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8C2EA" w14:textId="0DE16ADF" w:rsidR="004A0D70" w:rsidRPr="00D37004" w:rsidRDefault="00E634B8" w:rsidP="00E634B8">
      <w:pPr>
        <w:pStyle w:val="Pagedecouverture"/>
        <w:rPr>
          <w:noProof/>
        </w:rPr>
      </w:pPr>
      <w:bookmarkStart w:id="0" w:name="LW_BM_COVERPAGE"/>
      <w:r>
        <w:rPr>
          <w:noProof/>
        </w:rPr>
        <w:pict w14:anchorId="315C3F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66F11D4-3C55-49EF-A7F2-661865B32AC8" style="width:455.25pt;height:414.75pt">
            <v:imagedata r:id="rId11" o:title=""/>
          </v:shape>
        </w:pict>
      </w:r>
    </w:p>
    <w:bookmarkEnd w:id="0"/>
    <w:p w14:paraId="0DDEFAE4" w14:textId="77777777" w:rsidR="008374BF" w:rsidRPr="00D37004" w:rsidRDefault="008374BF" w:rsidP="008374BF">
      <w:pPr>
        <w:rPr>
          <w:noProof/>
        </w:rPr>
        <w:sectPr w:rsidR="008374BF" w:rsidRPr="00D37004" w:rsidSect="00E634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fmt="lowerRoman" w:start="1"/>
          <w:cols w:space="720"/>
          <w:docGrid w:linePitch="326"/>
        </w:sectPr>
      </w:pPr>
    </w:p>
    <w:bookmarkStart w:id="1" w:name="_GoBack" w:displacedByCustomXml="next"/>
    <w:bookmarkEnd w:id="1" w:displacedByCustomXml="next"/>
    <w:sdt>
      <w:sdtPr>
        <w:rPr>
          <w:rFonts w:eastAsiaTheme="minorEastAsia"/>
          <w:b w:val="0"/>
          <w:noProof/>
          <w:szCs w:val="24"/>
        </w:rPr>
        <w:id w:val="-86002446"/>
        <w:docPartObj>
          <w:docPartGallery w:val="Table of Contents"/>
          <w:docPartUnique/>
        </w:docPartObj>
      </w:sdtPr>
      <w:sdtEndPr/>
      <w:sdtContent>
        <w:p w14:paraId="301298BC" w14:textId="56E28AE3" w:rsidR="00443DA2" w:rsidRPr="00D37004" w:rsidRDefault="00443DA2">
          <w:pPr>
            <w:pStyle w:val="TOCHeading"/>
            <w:rPr>
              <w:noProof/>
            </w:rPr>
          </w:pPr>
          <w:r w:rsidRPr="00D37004">
            <w:rPr>
              <w:noProof/>
            </w:rPr>
            <w:t>Contents</w:t>
          </w:r>
        </w:p>
        <w:p w14:paraId="3DEDA955" w14:textId="4C61E6AE" w:rsidR="00C22214" w:rsidRDefault="00443DA2">
          <w:pPr>
            <w:pStyle w:val="TOC1"/>
            <w:rPr>
              <w:rFonts w:asciiTheme="minorHAnsi" w:eastAsiaTheme="minorEastAsia" w:hAnsiTheme="minorHAnsi" w:cstheme="minorBidi"/>
              <w:caps w:val="0"/>
              <w:noProof/>
              <w:kern w:val="2"/>
              <w:szCs w:val="24"/>
              <w:lang w:val="en-IE" w:eastAsia="en-IE"/>
              <w14:ligatures w14:val="standardContextual"/>
            </w:rPr>
          </w:pPr>
          <w:r w:rsidRPr="00D37004">
            <w:rPr>
              <w:caps w:val="0"/>
              <w:noProof/>
            </w:rPr>
            <w:fldChar w:fldCharType="begin"/>
          </w:r>
          <w:r w:rsidRPr="00D37004">
            <w:rPr>
              <w:caps w:val="0"/>
              <w:noProof/>
            </w:rPr>
            <w:instrText xml:space="preserve"> TOC \o "1-2" \h \z \u </w:instrText>
          </w:r>
          <w:r w:rsidRPr="00D37004">
            <w:rPr>
              <w:caps w:val="0"/>
              <w:noProof/>
            </w:rPr>
            <w:fldChar w:fldCharType="separate"/>
          </w:r>
          <w:hyperlink w:anchor="_Toc228346876" w:history="1">
            <w:r w:rsidR="00C22214" w:rsidRPr="00923AD9">
              <w:rPr>
                <w:rStyle w:val="Hyperlink"/>
                <w:bCs/>
                <w:noProof/>
                <w:lang w:val="en-IE"/>
              </w:rPr>
              <w:t>0.</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Glossary</w:t>
            </w:r>
            <w:r w:rsidR="00C22214">
              <w:rPr>
                <w:noProof/>
                <w:webHidden/>
              </w:rPr>
              <w:tab/>
            </w:r>
            <w:r w:rsidR="00C22214">
              <w:rPr>
                <w:noProof/>
                <w:webHidden/>
              </w:rPr>
              <w:fldChar w:fldCharType="begin"/>
            </w:r>
            <w:r w:rsidR="00C22214">
              <w:rPr>
                <w:noProof/>
                <w:webHidden/>
              </w:rPr>
              <w:instrText xml:space="preserve"> PAGEREF _Toc228346876 \h </w:instrText>
            </w:r>
            <w:r w:rsidR="00C22214">
              <w:rPr>
                <w:noProof/>
                <w:webHidden/>
              </w:rPr>
            </w:r>
            <w:r w:rsidR="00C22214">
              <w:rPr>
                <w:noProof/>
                <w:webHidden/>
              </w:rPr>
              <w:fldChar w:fldCharType="separate"/>
            </w:r>
            <w:r w:rsidR="00C22214">
              <w:rPr>
                <w:noProof/>
                <w:webHidden/>
              </w:rPr>
              <w:t>V</w:t>
            </w:r>
            <w:r w:rsidR="00C22214">
              <w:rPr>
                <w:noProof/>
                <w:webHidden/>
              </w:rPr>
              <w:fldChar w:fldCharType="end"/>
            </w:r>
          </w:hyperlink>
        </w:p>
        <w:p w14:paraId="6185E995" w14:textId="1B6DD7FB"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77" w:history="1">
            <w:r w:rsidR="00C22214" w:rsidRPr="00923AD9">
              <w:rPr>
                <w:rStyle w:val="Hyperlink"/>
                <w:noProof/>
                <w:lang w:val="en-IE"/>
              </w:rPr>
              <w:t>Annex 1: Procedural information</w:t>
            </w:r>
            <w:r w:rsidR="00C22214">
              <w:rPr>
                <w:noProof/>
                <w:webHidden/>
              </w:rPr>
              <w:tab/>
            </w:r>
            <w:r w:rsidR="00C22214">
              <w:rPr>
                <w:noProof/>
                <w:webHidden/>
              </w:rPr>
              <w:fldChar w:fldCharType="begin"/>
            </w:r>
            <w:r w:rsidR="00C22214">
              <w:rPr>
                <w:noProof/>
                <w:webHidden/>
              </w:rPr>
              <w:instrText xml:space="preserve"> PAGEREF _Toc228346877 \h </w:instrText>
            </w:r>
            <w:r w:rsidR="00C22214">
              <w:rPr>
                <w:noProof/>
                <w:webHidden/>
              </w:rPr>
            </w:r>
            <w:r w:rsidR="00C22214">
              <w:rPr>
                <w:noProof/>
                <w:webHidden/>
              </w:rPr>
              <w:fldChar w:fldCharType="separate"/>
            </w:r>
            <w:r w:rsidR="00C22214">
              <w:rPr>
                <w:noProof/>
                <w:webHidden/>
              </w:rPr>
              <w:t>7</w:t>
            </w:r>
            <w:r w:rsidR="00C22214">
              <w:rPr>
                <w:noProof/>
                <w:webHidden/>
              </w:rPr>
              <w:fldChar w:fldCharType="end"/>
            </w:r>
          </w:hyperlink>
        </w:p>
        <w:p w14:paraId="695EF2CF" w14:textId="7F8235D6"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78" w:history="1">
            <w:r w:rsidR="00C22214" w:rsidRPr="00923AD9">
              <w:rPr>
                <w:rStyle w:val="Hyperlink"/>
                <w:noProof/>
                <w:lang w:val="en-IE"/>
              </w:rPr>
              <w:t>1.</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Lead DG, Decide Planning &amp; CWP references</w:t>
            </w:r>
            <w:r w:rsidR="00C22214">
              <w:rPr>
                <w:noProof/>
                <w:webHidden/>
              </w:rPr>
              <w:tab/>
            </w:r>
            <w:r w:rsidR="00C22214">
              <w:rPr>
                <w:noProof/>
                <w:webHidden/>
              </w:rPr>
              <w:fldChar w:fldCharType="begin"/>
            </w:r>
            <w:r w:rsidR="00C22214">
              <w:rPr>
                <w:noProof/>
                <w:webHidden/>
              </w:rPr>
              <w:instrText xml:space="preserve"> PAGEREF _Toc228346878 \h </w:instrText>
            </w:r>
            <w:r w:rsidR="00C22214">
              <w:rPr>
                <w:noProof/>
                <w:webHidden/>
              </w:rPr>
            </w:r>
            <w:r w:rsidR="00C22214">
              <w:rPr>
                <w:noProof/>
                <w:webHidden/>
              </w:rPr>
              <w:fldChar w:fldCharType="separate"/>
            </w:r>
            <w:r w:rsidR="00C22214">
              <w:rPr>
                <w:noProof/>
                <w:webHidden/>
              </w:rPr>
              <w:t>7</w:t>
            </w:r>
            <w:r w:rsidR="00C22214">
              <w:rPr>
                <w:noProof/>
                <w:webHidden/>
              </w:rPr>
              <w:fldChar w:fldCharType="end"/>
            </w:r>
          </w:hyperlink>
        </w:p>
        <w:p w14:paraId="7A95EECD" w14:textId="756FD447"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79" w:history="1">
            <w:r w:rsidR="00C22214" w:rsidRPr="00923AD9">
              <w:rPr>
                <w:rStyle w:val="Hyperlink"/>
                <w:noProof/>
                <w:lang w:val="en-IE"/>
              </w:rPr>
              <w:t>2.</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Organisation and timing</w:t>
            </w:r>
            <w:r w:rsidR="00C22214">
              <w:rPr>
                <w:noProof/>
                <w:webHidden/>
              </w:rPr>
              <w:tab/>
            </w:r>
            <w:r w:rsidR="00C22214">
              <w:rPr>
                <w:noProof/>
                <w:webHidden/>
              </w:rPr>
              <w:fldChar w:fldCharType="begin"/>
            </w:r>
            <w:r w:rsidR="00C22214">
              <w:rPr>
                <w:noProof/>
                <w:webHidden/>
              </w:rPr>
              <w:instrText xml:space="preserve"> PAGEREF _Toc228346879 \h </w:instrText>
            </w:r>
            <w:r w:rsidR="00C22214">
              <w:rPr>
                <w:noProof/>
                <w:webHidden/>
              </w:rPr>
            </w:r>
            <w:r w:rsidR="00C22214">
              <w:rPr>
                <w:noProof/>
                <w:webHidden/>
              </w:rPr>
              <w:fldChar w:fldCharType="separate"/>
            </w:r>
            <w:r w:rsidR="00C22214">
              <w:rPr>
                <w:noProof/>
                <w:webHidden/>
              </w:rPr>
              <w:t>7</w:t>
            </w:r>
            <w:r w:rsidR="00C22214">
              <w:rPr>
                <w:noProof/>
                <w:webHidden/>
              </w:rPr>
              <w:fldChar w:fldCharType="end"/>
            </w:r>
          </w:hyperlink>
        </w:p>
        <w:p w14:paraId="64F7151F" w14:textId="63ABE635"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80" w:history="1">
            <w:r w:rsidR="00C22214" w:rsidRPr="00923AD9">
              <w:rPr>
                <w:rStyle w:val="Hyperlink"/>
                <w:noProof/>
                <w:lang w:val="en-IE"/>
              </w:rPr>
              <w:t>3.</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Consultation of the RSB</w:t>
            </w:r>
            <w:r w:rsidR="00C22214">
              <w:rPr>
                <w:noProof/>
                <w:webHidden/>
              </w:rPr>
              <w:tab/>
            </w:r>
            <w:r w:rsidR="00C22214">
              <w:rPr>
                <w:noProof/>
                <w:webHidden/>
              </w:rPr>
              <w:fldChar w:fldCharType="begin"/>
            </w:r>
            <w:r w:rsidR="00C22214">
              <w:rPr>
                <w:noProof/>
                <w:webHidden/>
              </w:rPr>
              <w:instrText xml:space="preserve"> PAGEREF _Toc228346880 \h </w:instrText>
            </w:r>
            <w:r w:rsidR="00C22214">
              <w:rPr>
                <w:noProof/>
                <w:webHidden/>
              </w:rPr>
            </w:r>
            <w:r w:rsidR="00C22214">
              <w:rPr>
                <w:noProof/>
                <w:webHidden/>
              </w:rPr>
              <w:fldChar w:fldCharType="separate"/>
            </w:r>
            <w:r w:rsidR="00C22214">
              <w:rPr>
                <w:noProof/>
                <w:webHidden/>
              </w:rPr>
              <w:t>7</w:t>
            </w:r>
            <w:r w:rsidR="00C22214">
              <w:rPr>
                <w:noProof/>
                <w:webHidden/>
              </w:rPr>
              <w:fldChar w:fldCharType="end"/>
            </w:r>
          </w:hyperlink>
        </w:p>
        <w:p w14:paraId="75F240C4" w14:textId="51DB21F6"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81" w:history="1">
            <w:r w:rsidR="00C22214" w:rsidRPr="00923AD9">
              <w:rPr>
                <w:rStyle w:val="Hyperlink"/>
                <w:noProof/>
                <w:lang w:val="en-IE"/>
              </w:rPr>
              <w:t>4.</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Evidence, sources and quality</w:t>
            </w:r>
            <w:r w:rsidR="00C22214">
              <w:rPr>
                <w:noProof/>
                <w:webHidden/>
              </w:rPr>
              <w:tab/>
            </w:r>
            <w:r w:rsidR="00C22214">
              <w:rPr>
                <w:noProof/>
                <w:webHidden/>
              </w:rPr>
              <w:fldChar w:fldCharType="begin"/>
            </w:r>
            <w:r w:rsidR="00C22214">
              <w:rPr>
                <w:noProof/>
                <w:webHidden/>
              </w:rPr>
              <w:instrText xml:space="preserve"> PAGEREF _Toc228346881 \h </w:instrText>
            </w:r>
            <w:r w:rsidR="00C22214">
              <w:rPr>
                <w:noProof/>
                <w:webHidden/>
              </w:rPr>
            </w:r>
            <w:r w:rsidR="00C22214">
              <w:rPr>
                <w:noProof/>
                <w:webHidden/>
              </w:rPr>
              <w:fldChar w:fldCharType="separate"/>
            </w:r>
            <w:r w:rsidR="00C22214">
              <w:rPr>
                <w:noProof/>
                <w:webHidden/>
              </w:rPr>
              <w:t>17</w:t>
            </w:r>
            <w:r w:rsidR="00C22214">
              <w:rPr>
                <w:noProof/>
                <w:webHidden/>
              </w:rPr>
              <w:fldChar w:fldCharType="end"/>
            </w:r>
          </w:hyperlink>
        </w:p>
        <w:p w14:paraId="69AB9EBB" w14:textId="08818963"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82" w:history="1">
            <w:r w:rsidR="00C22214" w:rsidRPr="00923AD9">
              <w:rPr>
                <w:rStyle w:val="Hyperlink"/>
                <w:noProof/>
                <w:lang w:val="en-IE"/>
              </w:rPr>
              <w:t>Annex 2: Stakeholder consultation (Synopsis report)</w:t>
            </w:r>
            <w:r w:rsidR="00C22214">
              <w:rPr>
                <w:noProof/>
                <w:webHidden/>
              </w:rPr>
              <w:tab/>
            </w:r>
            <w:r w:rsidR="00C22214">
              <w:rPr>
                <w:noProof/>
                <w:webHidden/>
              </w:rPr>
              <w:fldChar w:fldCharType="begin"/>
            </w:r>
            <w:r w:rsidR="00C22214">
              <w:rPr>
                <w:noProof/>
                <w:webHidden/>
              </w:rPr>
              <w:instrText xml:space="preserve"> PAGEREF _Toc228346882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77F54BC4" w14:textId="117934C9"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83" w:history="1">
            <w:r w:rsidR="00C22214" w:rsidRPr="00923AD9">
              <w:rPr>
                <w:rStyle w:val="Hyperlink"/>
                <w:rFonts w:eastAsia="Calibri"/>
                <w:bCs/>
                <w:noProof/>
                <w:lang w:val="en-IE"/>
              </w:rPr>
              <w:t>1.</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rFonts w:eastAsia="Calibri"/>
                <w:noProof/>
                <w:lang w:val="en-IE"/>
              </w:rPr>
              <w:t>Introduction</w:t>
            </w:r>
            <w:r w:rsidR="00C22214">
              <w:rPr>
                <w:noProof/>
                <w:webHidden/>
              </w:rPr>
              <w:tab/>
            </w:r>
            <w:r w:rsidR="00C22214">
              <w:rPr>
                <w:noProof/>
                <w:webHidden/>
              </w:rPr>
              <w:fldChar w:fldCharType="begin"/>
            </w:r>
            <w:r w:rsidR="00C22214">
              <w:rPr>
                <w:noProof/>
                <w:webHidden/>
              </w:rPr>
              <w:instrText xml:space="preserve"> PAGEREF _Toc228346883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18688442" w14:textId="56959EB8"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84" w:history="1">
            <w:r w:rsidR="00C22214" w:rsidRPr="00923AD9">
              <w:rPr>
                <w:rStyle w:val="Hyperlink"/>
                <w:rFonts w:eastAsia="Calibri"/>
                <w:bCs/>
                <w:noProof/>
                <w:lang w:val="en-IE"/>
              </w:rPr>
              <w:t>2.</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rFonts w:eastAsia="Calibri"/>
                <w:noProof/>
                <w:lang w:val="en-IE"/>
              </w:rPr>
              <w:t>Overview of consultation activities</w:t>
            </w:r>
            <w:r w:rsidR="00C22214">
              <w:rPr>
                <w:noProof/>
                <w:webHidden/>
              </w:rPr>
              <w:tab/>
            </w:r>
            <w:r w:rsidR="00C22214">
              <w:rPr>
                <w:noProof/>
                <w:webHidden/>
              </w:rPr>
              <w:fldChar w:fldCharType="begin"/>
            </w:r>
            <w:r w:rsidR="00C22214">
              <w:rPr>
                <w:noProof/>
                <w:webHidden/>
              </w:rPr>
              <w:instrText xml:space="preserve"> PAGEREF _Toc228346884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7CA69ABC" w14:textId="4CD7CB6B"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85" w:history="1">
            <w:r w:rsidR="00C22214" w:rsidRPr="00923AD9">
              <w:rPr>
                <w:rStyle w:val="Hyperlink"/>
                <w:rFonts w:eastAsia="Calibri"/>
                <w:noProof/>
              </w:rPr>
              <w:t>2.1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Public Consultation on the Cloud and AI Development Act</w:t>
            </w:r>
            <w:r w:rsidR="00C22214">
              <w:rPr>
                <w:noProof/>
                <w:webHidden/>
              </w:rPr>
              <w:tab/>
            </w:r>
            <w:r w:rsidR="00C22214">
              <w:rPr>
                <w:noProof/>
                <w:webHidden/>
              </w:rPr>
              <w:fldChar w:fldCharType="begin"/>
            </w:r>
            <w:r w:rsidR="00C22214">
              <w:rPr>
                <w:noProof/>
                <w:webHidden/>
              </w:rPr>
              <w:instrText xml:space="preserve"> PAGEREF _Toc228346885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1E8B186F" w14:textId="587CE06D"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86" w:history="1">
            <w:r w:rsidR="00C22214" w:rsidRPr="00923AD9">
              <w:rPr>
                <w:rStyle w:val="Hyperlink"/>
                <w:rFonts w:eastAsia="Calibri"/>
                <w:noProof/>
              </w:rPr>
              <w:t>2.2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Study to support the impact assessment</w:t>
            </w:r>
            <w:r w:rsidR="00C22214">
              <w:rPr>
                <w:noProof/>
                <w:webHidden/>
              </w:rPr>
              <w:tab/>
            </w:r>
            <w:r w:rsidR="00C22214">
              <w:rPr>
                <w:noProof/>
                <w:webHidden/>
              </w:rPr>
              <w:fldChar w:fldCharType="begin"/>
            </w:r>
            <w:r w:rsidR="00C22214">
              <w:rPr>
                <w:noProof/>
                <w:webHidden/>
              </w:rPr>
              <w:instrText xml:space="preserve"> PAGEREF _Toc228346886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593510CC" w14:textId="18E361E9"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87" w:history="1">
            <w:r w:rsidR="00C22214" w:rsidRPr="00923AD9">
              <w:rPr>
                <w:rStyle w:val="Hyperlink"/>
                <w:rFonts w:eastAsia="Calibri"/>
                <w:noProof/>
              </w:rPr>
              <w:t>2.3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Overview of workshops, seminars and roundtables:</w:t>
            </w:r>
            <w:r w:rsidR="00C22214">
              <w:rPr>
                <w:noProof/>
                <w:webHidden/>
              </w:rPr>
              <w:tab/>
            </w:r>
            <w:r w:rsidR="00C22214">
              <w:rPr>
                <w:noProof/>
                <w:webHidden/>
              </w:rPr>
              <w:fldChar w:fldCharType="begin"/>
            </w:r>
            <w:r w:rsidR="00C22214">
              <w:rPr>
                <w:noProof/>
                <w:webHidden/>
              </w:rPr>
              <w:instrText xml:space="preserve"> PAGEREF _Toc228346887 \h </w:instrText>
            </w:r>
            <w:r w:rsidR="00C22214">
              <w:rPr>
                <w:noProof/>
                <w:webHidden/>
              </w:rPr>
            </w:r>
            <w:r w:rsidR="00C22214">
              <w:rPr>
                <w:noProof/>
                <w:webHidden/>
              </w:rPr>
              <w:fldChar w:fldCharType="separate"/>
            </w:r>
            <w:r w:rsidR="00C22214">
              <w:rPr>
                <w:noProof/>
                <w:webHidden/>
              </w:rPr>
              <w:t>18</w:t>
            </w:r>
            <w:r w:rsidR="00C22214">
              <w:rPr>
                <w:noProof/>
                <w:webHidden/>
              </w:rPr>
              <w:fldChar w:fldCharType="end"/>
            </w:r>
          </w:hyperlink>
        </w:p>
        <w:p w14:paraId="63D23DF8" w14:textId="545ACCEB"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88" w:history="1">
            <w:r w:rsidR="00C22214" w:rsidRPr="00923AD9">
              <w:rPr>
                <w:rStyle w:val="Hyperlink"/>
                <w:rFonts w:eastAsia="Calibri"/>
                <w:noProof/>
              </w:rPr>
              <w:t>2.4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Awareness raising events in Member States and international outreach</w:t>
            </w:r>
            <w:r w:rsidR="00C22214">
              <w:rPr>
                <w:noProof/>
                <w:webHidden/>
              </w:rPr>
              <w:tab/>
            </w:r>
            <w:r w:rsidR="00C22214">
              <w:rPr>
                <w:noProof/>
                <w:webHidden/>
              </w:rPr>
              <w:fldChar w:fldCharType="begin"/>
            </w:r>
            <w:r w:rsidR="00C22214">
              <w:rPr>
                <w:noProof/>
                <w:webHidden/>
              </w:rPr>
              <w:instrText xml:space="preserve"> PAGEREF _Toc228346888 \h </w:instrText>
            </w:r>
            <w:r w:rsidR="00C22214">
              <w:rPr>
                <w:noProof/>
                <w:webHidden/>
              </w:rPr>
            </w:r>
            <w:r w:rsidR="00C22214">
              <w:rPr>
                <w:noProof/>
                <w:webHidden/>
              </w:rPr>
              <w:fldChar w:fldCharType="separate"/>
            </w:r>
            <w:r w:rsidR="00C22214">
              <w:rPr>
                <w:noProof/>
                <w:webHidden/>
              </w:rPr>
              <w:t>19</w:t>
            </w:r>
            <w:r w:rsidR="00C22214">
              <w:rPr>
                <w:noProof/>
                <w:webHidden/>
              </w:rPr>
              <w:fldChar w:fldCharType="end"/>
            </w:r>
          </w:hyperlink>
        </w:p>
        <w:p w14:paraId="13A04776" w14:textId="14C0D042"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89" w:history="1">
            <w:r w:rsidR="00C22214" w:rsidRPr="00923AD9">
              <w:rPr>
                <w:rStyle w:val="Hyperlink"/>
                <w:rFonts w:eastAsia="Calibri"/>
                <w:noProof/>
              </w:rPr>
              <w:t>2.5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Bilateral meetings with industry, academic institutions, think tanks</w:t>
            </w:r>
            <w:r w:rsidR="00C22214">
              <w:rPr>
                <w:noProof/>
                <w:webHidden/>
              </w:rPr>
              <w:tab/>
            </w:r>
            <w:r w:rsidR="00C22214">
              <w:rPr>
                <w:noProof/>
                <w:webHidden/>
              </w:rPr>
              <w:fldChar w:fldCharType="begin"/>
            </w:r>
            <w:r w:rsidR="00C22214">
              <w:rPr>
                <w:noProof/>
                <w:webHidden/>
              </w:rPr>
              <w:instrText xml:space="preserve"> PAGEREF _Toc228346889 \h </w:instrText>
            </w:r>
            <w:r w:rsidR="00C22214">
              <w:rPr>
                <w:noProof/>
                <w:webHidden/>
              </w:rPr>
            </w:r>
            <w:r w:rsidR="00C22214">
              <w:rPr>
                <w:noProof/>
                <w:webHidden/>
              </w:rPr>
              <w:fldChar w:fldCharType="separate"/>
            </w:r>
            <w:r w:rsidR="00C22214">
              <w:rPr>
                <w:noProof/>
                <w:webHidden/>
              </w:rPr>
              <w:t>19</w:t>
            </w:r>
            <w:r w:rsidR="00C22214">
              <w:rPr>
                <w:noProof/>
                <w:webHidden/>
              </w:rPr>
              <w:fldChar w:fldCharType="end"/>
            </w:r>
          </w:hyperlink>
        </w:p>
        <w:p w14:paraId="06E230B8" w14:textId="251477C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90" w:history="1">
            <w:r w:rsidR="00C22214" w:rsidRPr="00923AD9">
              <w:rPr>
                <w:rStyle w:val="Hyperlink"/>
                <w:rFonts w:eastAsia="Calibri"/>
                <w:bCs/>
                <w:noProof/>
                <w:lang w:val="en-IE"/>
              </w:rPr>
              <w:t>3.</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rFonts w:eastAsia="Calibri"/>
                <w:noProof/>
                <w:lang w:val="en-IE"/>
              </w:rPr>
              <w:t>Participants and methodology</w:t>
            </w:r>
            <w:r w:rsidR="00C22214">
              <w:rPr>
                <w:noProof/>
                <w:webHidden/>
              </w:rPr>
              <w:tab/>
            </w:r>
            <w:r w:rsidR="00C22214">
              <w:rPr>
                <w:noProof/>
                <w:webHidden/>
              </w:rPr>
              <w:fldChar w:fldCharType="begin"/>
            </w:r>
            <w:r w:rsidR="00C22214">
              <w:rPr>
                <w:noProof/>
                <w:webHidden/>
              </w:rPr>
              <w:instrText xml:space="preserve"> PAGEREF _Toc228346890 \h </w:instrText>
            </w:r>
            <w:r w:rsidR="00C22214">
              <w:rPr>
                <w:noProof/>
                <w:webHidden/>
              </w:rPr>
            </w:r>
            <w:r w:rsidR="00C22214">
              <w:rPr>
                <w:noProof/>
                <w:webHidden/>
              </w:rPr>
              <w:fldChar w:fldCharType="separate"/>
            </w:r>
            <w:r w:rsidR="00C22214">
              <w:rPr>
                <w:noProof/>
                <w:webHidden/>
              </w:rPr>
              <w:t>19</w:t>
            </w:r>
            <w:r w:rsidR="00C22214">
              <w:rPr>
                <w:noProof/>
                <w:webHidden/>
              </w:rPr>
              <w:fldChar w:fldCharType="end"/>
            </w:r>
          </w:hyperlink>
        </w:p>
        <w:p w14:paraId="2E73B4D3" w14:textId="31AD3E1A"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1" w:history="1">
            <w:r w:rsidR="00C22214" w:rsidRPr="00923AD9">
              <w:rPr>
                <w:rStyle w:val="Hyperlink"/>
                <w:rFonts w:eastAsia="Calibri"/>
                <w:noProof/>
              </w:rPr>
              <w:t>3.1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Participants</w:t>
            </w:r>
            <w:r w:rsidR="00C22214">
              <w:rPr>
                <w:noProof/>
                <w:webHidden/>
              </w:rPr>
              <w:tab/>
            </w:r>
            <w:r w:rsidR="00C22214">
              <w:rPr>
                <w:noProof/>
                <w:webHidden/>
              </w:rPr>
              <w:fldChar w:fldCharType="begin"/>
            </w:r>
            <w:r w:rsidR="00C22214">
              <w:rPr>
                <w:noProof/>
                <w:webHidden/>
              </w:rPr>
              <w:instrText xml:space="preserve"> PAGEREF _Toc228346891 \h </w:instrText>
            </w:r>
            <w:r w:rsidR="00C22214">
              <w:rPr>
                <w:noProof/>
                <w:webHidden/>
              </w:rPr>
            </w:r>
            <w:r w:rsidR="00C22214">
              <w:rPr>
                <w:noProof/>
                <w:webHidden/>
              </w:rPr>
              <w:fldChar w:fldCharType="separate"/>
            </w:r>
            <w:r w:rsidR="00C22214">
              <w:rPr>
                <w:noProof/>
                <w:webHidden/>
              </w:rPr>
              <w:t>19</w:t>
            </w:r>
            <w:r w:rsidR="00C22214">
              <w:rPr>
                <w:noProof/>
                <w:webHidden/>
              </w:rPr>
              <w:fldChar w:fldCharType="end"/>
            </w:r>
          </w:hyperlink>
        </w:p>
        <w:p w14:paraId="27ECBC0D" w14:textId="15CE9925"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2" w:history="1">
            <w:r w:rsidR="00C22214" w:rsidRPr="00923AD9">
              <w:rPr>
                <w:rStyle w:val="Hyperlink"/>
                <w:rFonts w:eastAsia="Calibri"/>
                <w:noProof/>
              </w:rPr>
              <w:t>3.2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Methodology</w:t>
            </w:r>
            <w:r w:rsidR="00C22214">
              <w:rPr>
                <w:noProof/>
                <w:webHidden/>
              </w:rPr>
              <w:tab/>
            </w:r>
            <w:r w:rsidR="00C22214">
              <w:rPr>
                <w:noProof/>
                <w:webHidden/>
              </w:rPr>
              <w:fldChar w:fldCharType="begin"/>
            </w:r>
            <w:r w:rsidR="00C22214">
              <w:rPr>
                <w:noProof/>
                <w:webHidden/>
              </w:rPr>
              <w:instrText xml:space="preserve"> PAGEREF _Toc228346892 \h </w:instrText>
            </w:r>
            <w:r w:rsidR="00C22214">
              <w:rPr>
                <w:noProof/>
                <w:webHidden/>
              </w:rPr>
            </w:r>
            <w:r w:rsidR="00C22214">
              <w:rPr>
                <w:noProof/>
                <w:webHidden/>
              </w:rPr>
              <w:fldChar w:fldCharType="separate"/>
            </w:r>
            <w:r w:rsidR="00C22214">
              <w:rPr>
                <w:noProof/>
                <w:webHidden/>
              </w:rPr>
              <w:t>20</w:t>
            </w:r>
            <w:r w:rsidR="00C22214">
              <w:rPr>
                <w:noProof/>
                <w:webHidden/>
              </w:rPr>
              <w:fldChar w:fldCharType="end"/>
            </w:r>
          </w:hyperlink>
        </w:p>
        <w:p w14:paraId="3FF6F772" w14:textId="72C834B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93" w:history="1">
            <w:r w:rsidR="00C22214" w:rsidRPr="00923AD9">
              <w:rPr>
                <w:rStyle w:val="Hyperlink"/>
                <w:rFonts w:eastAsia="Calibri"/>
                <w:bCs/>
                <w:noProof/>
                <w:lang w:val="en-IE"/>
              </w:rPr>
              <w:t>4.</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rFonts w:eastAsia="Calibri"/>
                <w:noProof/>
                <w:lang w:val="en-IE"/>
              </w:rPr>
              <w:t>Analysis of the stakeholder consultation</w:t>
            </w:r>
            <w:r w:rsidR="00C22214">
              <w:rPr>
                <w:noProof/>
                <w:webHidden/>
              </w:rPr>
              <w:tab/>
            </w:r>
            <w:r w:rsidR="00C22214">
              <w:rPr>
                <w:noProof/>
                <w:webHidden/>
              </w:rPr>
              <w:fldChar w:fldCharType="begin"/>
            </w:r>
            <w:r w:rsidR="00C22214">
              <w:rPr>
                <w:noProof/>
                <w:webHidden/>
              </w:rPr>
              <w:instrText xml:space="preserve"> PAGEREF _Toc228346893 \h </w:instrText>
            </w:r>
            <w:r w:rsidR="00C22214">
              <w:rPr>
                <w:noProof/>
                <w:webHidden/>
              </w:rPr>
            </w:r>
            <w:r w:rsidR="00C22214">
              <w:rPr>
                <w:noProof/>
                <w:webHidden/>
              </w:rPr>
              <w:fldChar w:fldCharType="separate"/>
            </w:r>
            <w:r w:rsidR="00C22214">
              <w:rPr>
                <w:noProof/>
                <w:webHidden/>
              </w:rPr>
              <w:t>20</w:t>
            </w:r>
            <w:r w:rsidR="00C22214">
              <w:rPr>
                <w:noProof/>
                <w:webHidden/>
              </w:rPr>
              <w:fldChar w:fldCharType="end"/>
            </w:r>
          </w:hyperlink>
        </w:p>
        <w:p w14:paraId="007F9727" w14:textId="14DFAFF8"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4" w:history="1">
            <w:r w:rsidR="00C22214" w:rsidRPr="00923AD9">
              <w:rPr>
                <w:rStyle w:val="Hyperlink"/>
                <w:rFonts w:eastAsia="Calibri"/>
                <w:noProof/>
              </w:rPr>
              <w:t>4.1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EU businesses and public authorities’ dependency on non-EU cloud and AI providers</w:t>
            </w:r>
            <w:r w:rsidR="00C22214">
              <w:rPr>
                <w:noProof/>
                <w:webHidden/>
              </w:rPr>
              <w:tab/>
            </w:r>
            <w:r w:rsidR="00C22214">
              <w:rPr>
                <w:noProof/>
                <w:webHidden/>
              </w:rPr>
              <w:fldChar w:fldCharType="begin"/>
            </w:r>
            <w:r w:rsidR="00C22214">
              <w:rPr>
                <w:noProof/>
                <w:webHidden/>
              </w:rPr>
              <w:instrText xml:space="preserve"> PAGEREF _Toc228346894 \h </w:instrText>
            </w:r>
            <w:r w:rsidR="00C22214">
              <w:rPr>
                <w:noProof/>
                <w:webHidden/>
              </w:rPr>
            </w:r>
            <w:r w:rsidR="00C22214">
              <w:rPr>
                <w:noProof/>
                <w:webHidden/>
              </w:rPr>
              <w:fldChar w:fldCharType="separate"/>
            </w:r>
            <w:r w:rsidR="00C22214">
              <w:rPr>
                <w:noProof/>
                <w:webHidden/>
              </w:rPr>
              <w:t>20</w:t>
            </w:r>
            <w:r w:rsidR="00C22214">
              <w:rPr>
                <w:noProof/>
                <w:webHidden/>
              </w:rPr>
              <w:fldChar w:fldCharType="end"/>
            </w:r>
          </w:hyperlink>
        </w:p>
        <w:p w14:paraId="39D65244" w14:textId="7C90BAD2"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5" w:history="1">
            <w:r w:rsidR="00C22214" w:rsidRPr="00923AD9">
              <w:rPr>
                <w:rStyle w:val="Hyperlink"/>
                <w:rFonts w:eastAsia="Calibri"/>
                <w:noProof/>
              </w:rPr>
              <w:t>4.2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Bottlenecks to expand (sustainable) data centre capacity within the EU</w:t>
            </w:r>
            <w:r w:rsidR="00C22214">
              <w:rPr>
                <w:noProof/>
                <w:webHidden/>
              </w:rPr>
              <w:tab/>
            </w:r>
            <w:r w:rsidR="00C22214">
              <w:rPr>
                <w:noProof/>
                <w:webHidden/>
              </w:rPr>
              <w:fldChar w:fldCharType="begin"/>
            </w:r>
            <w:r w:rsidR="00C22214">
              <w:rPr>
                <w:noProof/>
                <w:webHidden/>
              </w:rPr>
              <w:instrText xml:space="preserve"> PAGEREF _Toc228346895 \h </w:instrText>
            </w:r>
            <w:r w:rsidR="00C22214">
              <w:rPr>
                <w:noProof/>
                <w:webHidden/>
              </w:rPr>
            </w:r>
            <w:r w:rsidR="00C22214">
              <w:rPr>
                <w:noProof/>
                <w:webHidden/>
              </w:rPr>
              <w:fldChar w:fldCharType="separate"/>
            </w:r>
            <w:r w:rsidR="00C22214">
              <w:rPr>
                <w:noProof/>
                <w:webHidden/>
              </w:rPr>
              <w:t>21</w:t>
            </w:r>
            <w:r w:rsidR="00C22214">
              <w:rPr>
                <w:noProof/>
                <w:webHidden/>
              </w:rPr>
              <w:fldChar w:fldCharType="end"/>
            </w:r>
          </w:hyperlink>
        </w:p>
        <w:p w14:paraId="6E1EBCCA" w14:textId="7DCC9AF8"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6" w:history="1">
            <w:r w:rsidR="00C22214" w:rsidRPr="00923AD9">
              <w:rPr>
                <w:rStyle w:val="Hyperlink"/>
                <w:rFonts w:eastAsia="Calibri"/>
                <w:noProof/>
              </w:rPr>
              <w:t>4.3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Barriers to public sector transformation and public procurement</w:t>
            </w:r>
            <w:r w:rsidR="00C22214">
              <w:rPr>
                <w:noProof/>
                <w:webHidden/>
              </w:rPr>
              <w:tab/>
            </w:r>
            <w:r w:rsidR="00C22214">
              <w:rPr>
                <w:noProof/>
                <w:webHidden/>
              </w:rPr>
              <w:fldChar w:fldCharType="begin"/>
            </w:r>
            <w:r w:rsidR="00C22214">
              <w:rPr>
                <w:noProof/>
                <w:webHidden/>
              </w:rPr>
              <w:instrText xml:space="preserve"> PAGEREF _Toc228346896 \h </w:instrText>
            </w:r>
            <w:r w:rsidR="00C22214">
              <w:rPr>
                <w:noProof/>
                <w:webHidden/>
              </w:rPr>
            </w:r>
            <w:r w:rsidR="00C22214">
              <w:rPr>
                <w:noProof/>
                <w:webHidden/>
              </w:rPr>
              <w:fldChar w:fldCharType="separate"/>
            </w:r>
            <w:r w:rsidR="00C22214">
              <w:rPr>
                <w:noProof/>
                <w:webHidden/>
              </w:rPr>
              <w:t>23</w:t>
            </w:r>
            <w:r w:rsidR="00C22214">
              <w:rPr>
                <w:noProof/>
                <w:webHidden/>
              </w:rPr>
              <w:fldChar w:fldCharType="end"/>
            </w:r>
          </w:hyperlink>
        </w:p>
        <w:p w14:paraId="2C3D7EA1" w14:textId="246C2965"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897" w:history="1">
            <w:r w:rsidR="00C22214" w:rsidRPr="00923AD9">
              <w:rPr>
                <w:rStyle w:val="Hyperlink"/>
                <w:rFonts w:eastAsia="Calibri"/>
                <w:noProof/>
              </w:rPr>
              <w:t>4.4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Lack of common concept and operational criteria for sovereign cloud and AI computing services</w:t>
            </w:r>
            <w:r w:rsidR="00C22214">
              <w:rPr>
                <w:noProof/>
                <w:webHidden/>
              </w:rPr>
              <w:tab/>
            </w:r>
            <w:r w:rsidR="00C22214">
              <w:rPr>
                <w:noProof/>
                <w:webHidden/>
              </w:rPr>
              <w:fldChar w:fldCharType="begin"/>
            </w:r>
            <w:r w:rsidR="00C22214">
              <w:rPr>
                <w:noProof/>
                <w:webHidden/>
              </w:rPr>
              <w:instrText xml:space="preserve"> PAGEREF _Toc228346897 \h </w:instrText>
            </w:r>
            <w:r w:rsidR="00C22214">
              <w:rPr>
                <w:noProof/>
                <w:webHidden/>
              </w:rPr>
            </w:r>
            <w:r w:rsidR="00C22214">
              <w:rPr>
                <w:noProof/>
                <w:webHidden/>
              </w:rPr>
              <w:fldChar w:fldCharType="separate"/>
            </w:r>
            <w:r w:rsidR="00C22214">
              <w:rPr>
                <w:noProof/>
                <w:webHidden/>
              </w:rPr>
              <w:t>25</w:t>
            </w:r>
            <w:r w:rsidR="00C22214">
              <w:rPr>
                <w:noProof/>
                <w:webHidden/>
              </w:rPr>
              <w:fldChar w:fldCharType="end"/>
            </w:r>
          </w:hyperlink>
        </w:p>
        <w:p w14:paraId="4E2FBA08" w14:textId="23472E37"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98" w:history="1">
            <w:r w:rsidR="00C22214" w:rsidRPr="00923AD9">
              <w:rPr>
                <w:rStyle w:val="Hyperlink"/>
                <w:noProof/>
                <w:lang w:val="en-IE"/>
              </w:rPr>
              <w:t>Annex 3: Who is affected and how?</w:t>
            </w:r>
            <w:r w:rsidR="00C22214">
              <w:rPr>
                <w:noProof/>
                <w:webHidden/>
              </w:rPr>
              <w:tab/>
            </w:r>
            <w:r w:rsidR="00C22214">
              <w:rPr>
                <w:noProof/>
                <w:webHidden/>
              </w:rPr>
              <w:fldChar w:fldCharType="begin"/>
            </w:r>
            <w:r w:rsidR="00C22214">
              <w:rPr>
                <w:noProof/>
                <w:webHidden/>
              </w:rPr>
              <w:instrText xml:space="preserve"> PAGEREF _Toc228346898 \h </w:instrText>
            </w:r>
            <w:r w:rsidR="00C22214">
              <w:rPr>
                <w:noProof/>
                <w:webHidden/>
              </w:rPr>
            </w:r>
            <w:r w:rsidR="00C22214">
              <w:rPr>
                <w:noProof/>
                <w:webHidden/>
              </w:rPr>
              <w:fldChar w:fldCharType="separate"/>
            </w:r>
            <w:r w:rsidR="00C22214">
              <w:rPr>
                <w:noProof/>
                <w:webHidden/>
              </w:rPr>
              <w:t>27</w:t>
            </w:r>
            <w:r w:rsidR="00C22214">
              <w:rPr>
                <w:noProof/>
                <w:webHidden/>
              </w:rPr>
              <w:fldChar w:fldCharType="end"/>
            </w:r>
          </w:hyperlink>
        </w:p>
        <w:p w14:paraId="1800B30E" w14:textId="1F72E404"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899" w:history="1">
            <w:r w:rsidR="00C22214" w:rsidRPr="00923AD9">
              <w:rPr>
                <w:rStyle w:val="Hyperlink"/>
                <w:noProof/>
                <w:lang w:val="en-IE"/>
              </w:rPr>
              <w:t>1.</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Practical implications of the initiative</w:t>
            </w:r>
            <w:r w:rsidR="00C22214">
              <w:rPr>
                <w:noProof/>
                <w:webHidden/>
              </w:rPr>
              <w:tab/>
            </w:r>
            <w:r w:rsidR="00C22214">
              <w:rPr>
                <w:noProof/>
                <w:webHidden/>
              </w:rPr>
              <w:fldChar w:fldCharType="begin"/>
            </w:r>
            <w:r w:rsidR="00C22214">
              <w:rPr>
                <w:noProof/>
                <w:webHidden/>
              </w:rPr>
              <w:instrText xml:space="preserve"> PAGEREF _Toc228346899 \h </w:instrText>
            </w:r>
            <w:r w:rsidR="00C22214">
              <w:rPr>
                <w:noProof/>
                <w:webHidden/>
              </w:rPr>
            </w:r>
            <w:r w:rsidR="00C22214">
              <w:rPr>
                <w:noProof/>
                <w:webHidden/>
              </w:rPr>
              <w:fldChar w:fldCharType="separate"/>
            </w:r>
            <w:r w:rsidR="00C22214">
              <w:rPr>
                <w:noProof/>
                <w:webHidden/>
              </w:rPr>
              <w:t>27</w:t>
            </w:r>
            <w:r w:rsidR="00C22214">
              <w:rPr>
                <w:noProof/>
                <w:webHidden/>
              </w:rPr>
              <w:fldChar w:fldCharType="end"/>
            </w:r>
          </w:hyperlink>
        </w:p>
        <w:p w14:paraId="6DE1D402" w14:textId="07F89A96"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00" w:history="1">
            <w:r w:rsidR="00C22214" w:rsidRPr="00923AD9">
              <w:rPr>
                <w:rStyle w:val="Hyperlink"/>
                <w:noProof/>
              </w:rPr>
              <w:t>2.</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Summary</w:t>
            </w:r>
            <w:r w:rsidR="00C22214" w:rsidRPr="00923AD9">
              <w:rPr>
                <w:rStyle w:val="Hyperlink"/>
                <w:noProof/>
              </w:rPr>
              <w:t xml:space="preserve"> of costs and benefits</w:t>
            </w:r>
            <w:r w:rsidR="00C22214">
              <w:rPr>
                <w:noProof/>
                <w:webHidden/>
              </w:rPr>
              <w:tab/>
            </w:r>
            <w:r w:rsidR="00C22214">
              <w:rPr>
                <w:noProof/>
                <w:webHidden/>
              </w:rPr>
              <w:fldChar w:fldCharType="begin"/>
            </w:r>
            <w:r w:rsidR="00C22214">
              <w:rPr>
                <w:noProof/>
                <w:webHidden/>
              </w:rPr>
              <w:instrText xml:space="preserve"> PAGEREF _Toc228346900 \h </w:instrText>
            </w:r>
            <w:r w:rsidR="00C22214">
              <w:rPr>
                <w:noProof/>
                <w:webHidden/>
              </w:rPr>
            </w:r>
            <w:r w:rsidR="00C22214">
              <w:rPr>
                <w:noProof/>
                <w:webHidden/>
              </w:rPr>
              <w:fldChar w:fldCharType="separate"/>
            </w:r>
            <w:r w:rsidR="00C22214">
              <w:rPr>
                <w:noProof/>
                <w:webHidden/>
              </w:rPr>
              <w:t>30</w:t>
            </w:r>
            <w:r w:rsidR="00C22214">
              <w:rPr>
                <w:noProof/>
                <w:webHidden/>
              </w:rPr>
              <w:fldChar w:fldCharType="end"/>
            </w:r>
          </w:hyperlink>
        </w:p>
        <w:p w14:paraId="0B8F4C36" w14:textId="5FCF92AE"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01" w:history="1">
            <w:r w:rsidR="00C22214" w:rsidRPr="00923AD9">
              <w:rPr>
                <w:rStyle w:val="Hyperlink"/>
                <w:noProof/>
              </w:rPr>
              <w:t>3.</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rPr>
              <w:t>Relevant sustainable development goals</w:t>
            </w:r>
            <w:r w:rsidR="00C22214">
              <w:rPr>
                <w:noProof/>
                <w:webHidden/>
              </w:rPr>
              <w:tab/>
            </w:r>
            <w:r w:rsidR="00C22214">
              <w:rPr>
                <w:noProof/>
                <w:webHidden/>
              </w:rPr>
              <w:fldChar w:fldCharType="begin"/>
            </w:r>
            <w:r w:rsidR="00C22214">
              <w:rPr>
                <w:noProof/>
                <w:webHidden/>
              </w:rPr>
              <w:instrText xml:space="preserve"> PAGEREF _Toc228346901 \h </w:instrText>
            </w:r>
            <w:r w:rsidR="00C22214">
              <w:rPr>
                <w:noProof/>
                <w:webHidden/>
              </w:rPr>
            </w:r>
            <w:r w:rsidR="00C22214">
              <w:rPr>
                <w:noProof/>
                <w:webHidden/>
              </w:rPr>
              <w:fldChar w:fldCharType="separate"/>
            </w:r>
            <w:r w:rsidR="00C22214">
              <w:rPr>
                <w:noProof/>
                <w:webHidden/>
              </w:rPr>
              <w:t>34</w:t>
            </w:r>
            <w:r w:rsidR="00C22214">
              <w:rPr>
                <w:noProof/>
                <w:webHidden/>
              </w:rPr>
              <w:fldChar w:fldCharType="end"/>
            </w:r>
          </w:hyperlink>
        </w:p>
        <w:p w14:paraId="136B7449" w14:textId="29325C38"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02" w:history="1">
            <w:r w:rsidR="00C22214" w:rsidRPr="00923AD9">
              <w:rPr>
                <w:rStyle w:val="Hyperlink"/>
                <w:noProof/>
                <w:lang w:val="en-IE"/>
              </w:rPr>
              <w:t>Annex 4: Analytical methods</w:t>
            </w:r>
            <w:r w:rsidR="00C22214">
              <w:rPr>
                <w:noProof/>
                <w:webHidden/>
              </w:rPr>
              <w:tab/>
            </w:r>
            <w:r w:rsidR="00C22214">
              <w:rPr>
                <w:noProof/>
                <w:webHidden/>
              </w:rPr>
              <w:fldChar w:fldCharType="begin"/>
            </w:r>
            <w:r w:rsidR="00C22214">
              <w:rPr>
                <w:noProof/>
                <w:webHidden/>
              </w:rPr>
              <w:instrText xml:space="preserve"> PAGEREF _Toc228346902 \h </w:instrText>
            </w:r>
            <w:r w:rsidR="00C22214">
              <w:rPr>
                <w:noProof/>
                <w:webHidden/>
              </w:rPr>
            </w:r>
            <w:r w:rsidR="00C22214">
              <w:rPr>
                <w:noProof/>
                <w:webHidden/>
              </w:rPr>
              <w:fldChar w:fldCharType="separate"/>
            </w:r>
            <w:r w:rsidR="00C22214">
              <w:rPr>
                <w:noProof/>
                <w:webHidden/>
              </w:rPr>
              <w:t>36</w:t>
            </w:r>
            <w:r w:rsidR="00C22214">
              <w:rPr>
                <w:noProof/>
                <w:webHidden/>
              </w:rPr>
              <w:fldChar w:fldCharType="end"/>
            </w:r>
          </w:hyperlink>
        </w:p>
        <w:p w14:paraId="1C58BEA2" w14:textId="42226E0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03" w:history="1">
            <w:r w:rsidR="00C22214" w:rsidRPr="00923AD9">
              <w:rPr>
                <w:rStyle w:val="Hyperlink"/>
                <w:noProof/>
              </w:rPr>
              <w:t>1.</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Methodology</w:t>
            </w:r>
            <w:r w:rsidR="00C22214">
              <w:rPr>
                <w:noProof/>
                <w:webHidden/>
              </w:rPr>
              <w:tab/>
            </w:r>
            <w:r w:rsidR="00C22214">
              <w:rPr>
                <w:noProof/>
                <w:webHidden/>
              </w:rPr>
              <w:fldChar w:fldCharType="begin"/>
            </w:r>
            <w:r w:rsidR="00C22214">
              <w:rPr>
                <w:noProof/>
                <w:webHidden/>
              </w:rPr>
              <w:instrText xml:space="preserve"> PAGEREF _Toc228346903 \h </w:instrText>
            </w:r>
            <w:r w:rsidR="00C22214">
              <w:rPr>
                <w:noProof/>
                <w:webHidden/>
              </w:rPr>
            </w:r>
            <w:r w:rsidR="00C22214">
              <w:rPr>
                <w:noProof/>
                <w:webHidden/>
              </w:rPr>
              <w:fldChar w:fldCharType="separate"/>
            </w:r>
            <w:r w:rsidR="00C22214">
              <w:rPr>
                <w:noProof/>
                <w:webHidden/>
              </w:rPr>
              <w:t>36</w:t>
            </w:r>
            <w:r w:rsidR="00C22214">
              <w:rPr>
                <w:noProof/>
                <w:webHidden/>
              </w:rPr>
              <w:fldChar w:fldCharType="end"/>
            </w:r>
          </w:hyperlink>
        </w:p>
        <w:p w14:paraId="1396037A" w14:textId="4ADD4E97"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04" w:history="1">
            <w:r w:rsidR="00C22214" w:rsidRPr="00923AD9">
              <w:rPr>
                <w:rStyle w:val="Hyperlink"/>
                <w:noProof/>
                <w:lang w:val="en-IE"/>
              </w:rPr>
              <w:t>2.</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General assumptions for the modelling of the policy measures</w:t>
            </w:r>
            <w:r w:rsidR="00C22214">
              <w:rPr>
                <w:noProof/>
                <w:webHidden/>
              </w:rPr>
              <w:tab/>
            </w:r>
            <w:r w:rsidR="00C22214">
              <w:rPr>
                <w:noProof/>
                <w:webHidden/>
              </w:rPr>
              <w:fldChar w:fldCharType="begin"/>
            </w:r>
            <w:r w:rsidR="00C22214">
              <w:rPr>
                <w:noProof/>
                <w:webHidden/>
              </w:rPr>
              <w:instrText xml:space="preserve"> PAGEREF _Toc228346904 \h </w:instrText>
            </w:r>
            <w:r w:rsidR="00C22214">
              <w:rPr>
                <w:noProof/>
                <w:webHidden/>
              </w:rPr>
            </w:r>
            <w:r w:rsidR="00C22214">
              <w:rPr>
                <w:noProof/>
                <w:webHidden/>
              </w:rPr>
              <w:fldChar w:fldCharType="separate"/>
            </w:r>
            <w:r w:rsidR="00C22214">
              <w:rPr>
                <w:noProof/>
                <w:webHidden/>
              </w:rPr>
              <w:t>37</w:t>
            </w:r>
            <w:r w:rsidR="00C22214">
              <w:rPr>
                <w:noProof/>
                <w:webHidden/>
              </w:rPr>
              <w:fldChar w:fldCharType="end"/>
            </w:r>
          </w:hyperlink>
        </w:p>
        <w:p w14:paraId="7D1022C1" w14:textId="1A2B2F8F"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05" w:history="1">
            <w:r w:rsidR="00C22214" w:rsidRPr="00923AD9">
              <w:rPr>
                <w:rStyle w:val="Hyperlink"/>
                <w:bCs/>
                <w:noProof/>
              </w:rPr>
              <w:t>2.1.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Valuation framework and time horizon</w:t>
            </w:r>
            <w:r w:rsidR="00C22214">
              <w:rPr>
                <w:noProof/>
                <w:webHidden/>
              </w:rPr>
              <w:tab/>
            </w:r>
            <w:r w:rsidR="00C22214">
              <w:rPr>
                <w:noProof/>
                <w:webHidden/>
              </w:rPr>
              <w:fldChar w:fldCharType="begin"/>
            </w:r>
            <w:r w:rsidR="00C22214">
              <w:rPr>
                <w:noProof/>
                <w:webHidden/>
              </w:rPr>
              <w:instrText xml:space="preserve"> PAGEREF _Toc228346905 \h </w:instrText>
            </w:r>
            <w:r w:rsidR="00C22214">
              <w:rPr>
                <w:noProof/>
                <w:webHidden/>
              </w:rPr>
            </w:r>
            <w:r w:rsidR="00C22214">
              <w:rPr>
                <w:noProof/>
                <w:webHidden/>
              </w:rPr>
              <w:fldChar w:fldCharType="separate"/>
            </w:r>
            <w:r w:rsidR="00C22214">
              <w:rPr>
                <w:noProof/>
                <w:webHidden/>
              </w:rPr>
              <w:t>37</w:t>
            </w:r>
            <w:r w:rsidR="00C22214">
              <w:rPr>
                <w:noProof/>
                <w:webHidden/>
              </w:rPr>
              <w:fldChar w:fldCharType="end"/>
            </w:r>
          </w:hyperlink>
        </w:p>
        <w:p w14:paraId="6F12323B" w14:textId="0870EF57"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06" w:history="1">
            <w:r w:rsidR="00C22214" w:rsidRPr="00923AD9">
              <w:rPr>
                <w:rStyle w:val="Hyperlink"/>
                <w:rFonts w:eastAsia="Calibri"/>
                <w:bCs/>
                <w:noProof/>
              </w:rPr>
              <w:t>2.2.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Unit cost parameters/ standard cost model</w:t>
            </w:r>
            <w:r w:rsidR="00C22214">
              <w:rPr>
                <w:noProof/>
                <w:webHidden/>
              </w:rPr>
              <w:tab/>
            </w:r>
            <w:r w:rsidR="00C22214">
              <w:rPr>
                <w:noProof/>
                <w:webHidden/>
              </w:rPr>
              <w:fldChar w:fldCharType="begin"/>
            </w:r>
            <w:r w:rsidR="00C22214">
              <w:rPr>
                <w:noProof/>
                <w:webHidden/>
              </w:rPr>
              <w:instrText xml:space="preserve"> PAGEREF _Toc228346906 \h </w:instrText>
            </w:r>
            <w:r w:rsidR="00C22214">
              <w:rPr>
                <w:noProof/>
                <w:webHidden/>
              </w:rPr>
            </w:r>
            <w:r w:rsidR="00C22214">
              <w:rPr>
                <w:noProof/>
                <w:webHidden/>
              </w:rPr>
              <w:fldChar w:fldCharType="separate"/>
            </w:r>
            <w:r w:rsidR="00C22214">
              <w:rPr>
                <w:noProof/>
                <w:webHidden/>
              </w:rPr>
              <w:t>37</w:t>
            </w:r>
            <w:r w:rsidR="00C22214">
              <w:rPr>
                <w:noProof/>
                <w:webHidden/>
              </w:rPr>
              <w:fldChar w:fldCharType="end"/>
            </w:r>
          </w:hyperlink>
        </w:p>
        <w:p w14:paraId="281E05D5" w14:textId="165A1588"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07" w:history="1">
            <w:r w:rsidR="00C22214" w:rsidRPr="00923AD9">
              <w:rPr>
                <w:rStyle w:val="Hyperlink"/>
                <w:rFonts w:eastAsia="Calibri"/>
                <w:bCs/>
                <w:noProof/>
              </w:rPr>
              <w:t>2.3.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Estimates related to data centres</w:t>
            </w:r>
            <w:r w:rsidR="00C22214">
              <w:rPr>
                <w:noProof/>
                <w:webHidden/>
              </w:rPr>
              <w:tab/>
            </w:r>
            <w:r w:rsidR="00C22214">
              <w:rPr>
                <w:noProof/>
                <w:webHidden/>
              </w:rPr>
              <w:fldChar w:fldCharType="begin"/>
            </w:r>
            <w:r w:rsidR="00C22214">
              <w:rPr>
                <w:noProof/>
                <w:webHidden/>
              </w:rPr>
              <w:instrText xml:space="preserve"> PAGEREF _Toc228346907 \h </w:instrText>
            </w:r>
            <w:r w:rsidR="00C22214">
              <w:rPr>
                <w:noProof/>
                <w:webHidden/>
              </w:rPr>
            </w:r>
            <w:r w:rsidR="00C22214">
              <w:rPr>
                <w:noProof/>
                <w:webHidden/>
              </w:rPr>
              <w:fldChar w:fldCharType="separate"/>
            </w:r>
            <w:r w:rsidR="00C22214">
              <w:rPr>
                <w:noProof/>
                <w:webHidden/>
              </w:rPr>
              <w:t>39</w:t>
            </w:r>
            <w:r w:rsidR="00C22214">
              <w:rPr>
                <w:noProof/>
                <w:webHidden/>
              </w:rPr>
              <w:fldChar w:fldCharType="end"/>
            </w:r>
          </w:hyperlink>
        </w:p>
        <w:p w14:paraId="22D294B9" w14:textId="1746FDB5"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08" w:history="1">
            <w:r w:rsidR="00C22214" w:rsidRPr="00923AD9">
              <w:rPr>
                <w:rStyle w:val="Hyperlink"/>
                <w:bCs/>
                <w:noProof/>
              </w:rPr>
              <w:t>2.4.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Estimates</w:t>
            </w:r>
            <w:r w:rsidR="00C22214" w:rsidRPr="00923AD9">
              <w:rPr>
                <w:rStyle w:val="Hyperlink"/>
                <w:bCs/>
                <w:noProof/>
              </w:rPr>
              <w:t xml:space="preserve"> related to Public Procurement</w:t>
            </w:r>
            <w:r w:rsidR="00C22214">
              <w:rPr>
                <w:noProof/>
                <w:webHidden/>
              </w:rPr>
              <w:tab/>
            </w:r>
            <w:r w:rsidR="00C22214">
              <w:rPr>
                <w:noProof/>
                <w:webHidden/>
              </w:rPr>
              <w:fldChar w:fldCharType="begin"/>
            </w:r>
            <w:r w:rsidR="00C22214">
              <w:rPr>
                <w:noProof/>
                <w:webHidden/>
              </w:rPr>
              <w:instrText xml:space="preserve"> PAGEREF _Toc228346908 \h </w:instrText>
            </w:r>
            <w:r w:rsidR="00C22214">
              <w:rPr>
                <w:noProof/>
                <w:webHidden/>
              </w:rPr>
            </w:r>
            <w:r w:rsidR="00C22214">
              <w:rPr>
                <w:noProof/>
                <w:webHidden/>
              </w:rPr>
              <w:fldChar w:fldCharType="separate"/>
            </w:r>
            <w:r w:rsidR="00C22214">
              <w:rPr>
                <w:noProof/>
                <w:webHidden/>
              </w:rPr>
              <w:t>52</w:t>
            </w:r>
            <w:r w:rsidR="00C22214">
              <w:rPr>
                <w:noProof/>
                <w:webHidden/>
              </w:rPr>
              <w:fldChar w:fldCharType="end"/>
            </w:r>
          </w:hyperlink>
        </w:p>
        <w:p w14:paraId="03A0369B" w14:textId="589804BD"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09" w:history="1">
            <w:r w:rsidR="00C22214" w:rsidRPr="00923AD9">
              <w:rPr>
                <w:rStyle w:val="Hyperlink"/>
                <w:bCs/>
                <w:noProof/>
              </w:rPr>
              <w:t>2.5.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rFonts w:eastAsia="Calibri"/>
                <w:noProof/>
              </w:rPr>
              <w:t>Indirect</w:t>
            </w:r>
            <w:r w:rsidR="00C22214" w:rsidRPr="00923AD9">
              <w:rPr>
                <w:rStyle w:val="Hyperlink"/>
                <w:bCs/>
                <w:noProof/>
              </w:rPr>
              <w:t xml:space="preserve"> benefits from cloud adoption</w:t>
            </w:r>
            <w:r w:rsidR="00C22214">
              <w:rPr>
                <w:noProof/>
                <w:webHidden/>
              </w:rPr>
              <w:tab/>
            </w:r>
            <w:r w:rsidR="00C22214">
              <w:rPr>
                <w:noProof/>
                <w:webHidden/>
              </w:rPr>
              <w:fldChar w:fldCharType="begin"/>
            </w:r>
            <w:r w:rsidR="00C22214">
              <w:rPr>
                <w:noProof/>
                <w:webHidden/>
              </w:rPr>
              <w:instrText xml:space="preserve"> PAGEREF _Toc228346909 \h </w:instrText>
            </w:r>
            <w:r w:rsidR="00C22214">
              <w:rPr>
                <w:noProof/>
                <w:webHidden/>
              </w:rPr>
            </w:r>
            <w:r w:rsidR="00C22214">
              <w:rPr>
                <w:noProof/>
                <w:webHidden/>
              </w:rPr>
              <w:fldChar w:fldCharType="separate"/>
            </w:r>
            <w:r w:rsidR="00C22214">
              <w:rPr>
                <w:noProof/>
                <w:webHidden/>
              </w:rPr>
              <w:t>56</w:t>
            </w:r>
            <w:r w:rsidR="00C22214">
              <w:rPr>
                <w:noProof/>
                <w:webHidden/>
              </w:rPr>
              <w:fldChar w:fldCharType="end"/>
            </w:r>
          </w:hyperlink>
        </w:p>
        <w:p w14:paraId="345B9108" w14:textId="5AD82C96"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10" w:history="1">
            <w:r w:rsidR="00C22214" w:rsidRPr="00923AD9">
              <w:rPr>
                <w:rStyle w:val="Hyperlink"/>
                <w:noProof/>
                <w:lang w:val="en-IE"/>
              </w:rPr>
              <w:t>3.</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Impacts of policy measures in terms of costs and benefits</w:t>
            </w:r>
            <w:r w:rsidR="00C22214">
              <w:rPr>
                <w:noProof/>
                <w:webHidden/>
              </w:rPr>
              <w:tab/>
            </w:r>
            <w:r w:rsidR="00C22214">
              <w:rPr>
                <w:noProof/>
                <w:webHidden/>
              </w:rPr>
              <w:fldChar w:fldCharType="begin"/>
            </w:r>
            <w:r w:rsidR="00C22214">
              <w:rPr>
                <w:noProof/>
                <w:webHidden/>
              </w:rPr>
              <w:instrText xml:space="preserve"> PAGEREF _Toc228346910 \h </w:instrText>
            </w:r>
            <w:r w:rsidR="00C22214">
              <w:rPr>
                <w:noProof/>
                <w:webHidden/>
              </w:rPr>
            </w:r>
            <w:r w:rsidR="00C22214">
              <w:rPr>
                <w:noProof/>
                <w:webHidden/>
              </w:rPr>
              <w:fldChar w:fldCharType="separate"/>
            </w:r>
            <w:r w:rsidR="00C22214">
              <w:rPr>
                <w:noProof/>
                <w:webHidden/>
              </w:rPr>
              <w:t>57</w:t>
            </w:r>
            <w:r w:rsidR="00C22214">
              <w:rPr>
                <w:noProof/>
                <w:webHidden/>
              </w:rPr>
              <w:fldChar w:fldCharType="end"/>
            </w:r>
          </w:hyperlink>
        </w:p>
        <w:p w14:paraId="37D7A6A4" w14:textId="77584AA2"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1" w:history="1">
            <w:r w:rsidR="00C22214" w:rsidRPr="00923AD9">
              <w:rPr>
                <w:rStyle w:val="Hyperlink"/>
                <w:bCs/>
                <w:noProof/>
              </w:rPr>
              <w:t>3.1.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 Expanding the Alliance for Industrial Data, Edge and Cloud with a working group on data centres and extending membership to relevant players</w:t>
            </w:r>
            <w:r w:rsidR="00C22214">
              <w:rPr>
                <w:noProof/>
                <w:webHidden/>
              </w:rPr>
              <w:tab/>
            </w:r>
            <w:r w:rsidR="00C22214">
              <w:rPr>
                <w:noProof/>
                <w:webHidden/>
              </w:rPr>
              <w:fldChar w:fldCharType="begin"/>
            </w:r>
            <w:r w:rsidR="00C22214">
              <w:rPr>
                <w:noProof/>
                <w:webHidden/>
              </w:rPr>
              <w:instrText xml:space="preserve"> PAGEREF _Toc228346911 \h </w:instrText>
            </w:r>
            <w:r w:rsidR="00C22214">
              <w:rPr>
                <w:noProof/>
                <w:webHidden/>
              </w:rPr>
            </w:r>
            <w:r w:rsidR="00C22214">
              <w:rPr>
                <w:noProof/>
                <w:webHidden/>
              </w:rPr>
              <w:fldChar w:fldCharType="separate"/>
            </w:r>
            <w:r w:rsidR="00C22214">
              <w:rPr>
                <w:noProof/>
                <w:webHidden/>
              </w:rPr>
              <w:t>57</w:t>
            </w:r>
            <w:r w:rsidR="00C22214">
              <w:rPr>
                <w:noProof/>
                <w:webHidden/>
              </w:rPr>
              <w:fldChar w:fldCharType="end"/>
            </w:r>
          </w:hyperlink>
        </w:p>
        <w:p w14:paraId="6720A709" w14:textId="15E77490"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2" w:history="1">
            <w:r w:rsidR="00C22214" w:rsidRPr="00923AD9">
              <w:rPr>
                <w:rStyle w:val="Hyperlink"/>
                <w:bCs/>
                <w:noProof/>
              </w:rPr>
              <w:t>3.2.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PM2</w:t>
            </w:r>
            <w:r w:rsidR="00C22214" w:rsidRPr="00923AD9">
              <w:rPr>
                <w:rStyle w:val="Hyperlink"/>
                <w:bCs/>
                <w:noProof/>
              </w:rPr>
              <w:t xml:space="preserve">: Creating </w:t>
            </w:r>
            <w:r w:rsidR="00C22214" w:rsidRPr="00923AD9">
              <w:rPr>
                <w:rStyle w:val="Hyperlink"/>
                <w:noProof/>
              </w:rPr>
              <w:t xml:space="preserve">a forum for exchanges between relevant public and private </w:t>
            </w:r>
            <w:r w:rsidR="00C22214" w:rsidRPr="00923AD9">
              <w:rPr>
                <w:rStyle w:val="Hyperlink"/>
                <w:bCs/>
                <w:noProof/>
              </w:rPr>
              <w:t>stakeholders involved in the buildout of data centres</w:t>
            </w:r>
            <w:r w:rsidR="00C22214">
              <w:rPr>
                <w:noProof/>
                <w:webHidden/>
              </w:rPr>
              <w:tab/>
            </w:r>
            <w:r w:rsidR="00C22214">
              <w:rPr>
                <w:noProof/>
                <w:webHidden/>
              </w:rPr>
              <w:fldChar w:fldCharType="begin"/>
            </w:r>
            <w:r w:rsidR="00C22214">
              <w:rPr>
                <w:noProof/>
                <w:webHidden/>
              </w:rPr>
              <w:instrText xml:space="preserve"> PAGEREF _Toc228346912 \h </w:instrText>
            </w:r>
            <w:r w:rsidR="00C22214">
              <w:rPr>
                <w:noProof/>
                <w:webHidden/>
              </w:rPr>
            </w:r>
            <w:r w:rsidR="00C22214">
              <w:rPr>
                <w:noProof/>
                <w:webHidden/>
              </w:rPr>
              <w:fldChar w:fldCharType="separate"/>
            </w:r>
            <w:r w:rsidR="00C22214">
              <w:rPr>
                <w:noProof/>
                <w:webHidden/>
              </w:rPr>
              <w:t>59</w:t>
            </w:r>
            <w:r w:rsidR="00C22214">
              <w:rPr>
                <w:noProof/>
                <w:webHidden/>
              </w:rPr>
              <w:fldChar w:fldCharType="end"/>
            </w:r>
          </w:hyperlink>
        </w:p>
        <w:p w14:paraId="6AB4ECB8" w14:textId="306C692E"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3" w:history="1">
            <w:r w:rsidR="00C22214" w:rsidRPr="00923AD9">
              <w:rPr>
                <w:rStyle w:val="Hyperlink"/>
                <w:bCs/>
                <w:noProof/>
              </w:rPr>
              <w:t>3.3.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PM3</w:t>
            </w:r>
            <w:r w:rsidR="00C22214" w:rsidRPr="00923AD9">
              <w:rPr>
                <w:rStyle w:val="Hyperlink"/>
                <w:bCs/>
                <w:noProof/>
              </w:rPr>
              <w:t xml:space="preserve">: </w:t>
            </w:r>
            <w:r w:rsidR="00C22214" w:rsidRPr="00923AD9">
              <w:rPr>
                <w:rStyle w:val="Hyperlink"/>
                <w:noProof/>
              </w:rPr>
              <w:t xml:space="preserve">Adopting </w:t>
            </w:r>
            <w:r w:rsidR="00C22214" w:rsidRPr="00923AD9">
              <w:rPr>
                <w:rStyle w:val="Hyperlink"/>
                <w:bCs/>
                <w:noProof/>
              </w:rPr>
              <w:t>guidelines on building sustainable data centres in the EU</w:t>
            </w:r>
            <w:r w:rsidR="00C22214">
              <w:rPr>
                <w:noProof/>
                <w:webHidden/>
              </w:rPr>
              <w:tab/>
            </w:r>
            <w:r w:rsidR="00C22214">
              <w:rPr>
                <w:noProof/>
                <w:webHidden/>
              </w:rPr>
              <w:fldChar w:fldCharType="begin"/>
            </w:r>
            <w:r w:rsidR="00C22214">
              <w:rPr>
                <w:noProof/>
                <w:webHidden/>
              </w:rPr>
              <w:instrText xml:space="preserve"> PAGEREF _Toc228346913 \h </w:instrText>
            </w:r>
            <w:r w:rsidR="00C22214">
              <w:rPr>
                <w:noProof/>
                <w:webHidden/>
              </w:rPr>
            </w:r>
            <w:r w:rsidR="00C22214">
              <w:rPr>
                <w:noProof/>
                <w:webHidden/>
              </w:rPr>
              <w:fldChar w:fldCharType="separate"/>
            </w:r>
            <w:r w:rsidR="00C22214">
              <w:rPr>
                <w:noProof/>
                <w:webHidden/>
              </w:rPr>
              <w:t>61</w:t>
            </w:r>
            <w:r w:rsidR="00C22214">
              <w:rPr>
                <w:noProof/>
                <w:webHidden/>
              </w:rPr>
              <w:fldChar w:fldCharType="end"/>
            </w:r>
          </w:hyperlink>
        </w:p>
        <w:p w14:paraId="39EA30A0" w14:textId="4381BCC7"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4" w:history="1">
            <w:r w:rsidR="00C22214" w:rsidRPr="00923AD9">
              <w:rPr>
                <w:rStyle w:val="Hyperlink"/>
                <w:bCs/>
                <w:noProof/>
              </w:rPr>
              <w:t>3.4.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PM4</w:t>
            </w:r>
            <w:r w:rsidR="00C22214" w:rsidRPr="00923AD9">
              <w:rPr>
                <w:rStyle w:val="Hyperlink"/>
                <w:bCs/>
                <w:noProof/>
              </w:rPr>
              <w:t xml:space="preserve">: Project </w:t>
            </w:r>
            <w:r w:rsidR="00C22214" w:rsidRPr="00923AD9">
              <w:rPr>
                <w:rStyle w:val="Hyperlink"/>
                <w:noProof/>
              </w:rPr>
              <w:t>facilitators</w:t>
            </w:r>
            <w:r w:rsidR="00C22214" w:rsidRPr="00923AD9">
              <w:rPr>
                <w:rStyle w:val="Hyperlink"/>
                <w:bCs/>
                <w:noProof/>
              </w:rPr>
              <w:t xml:space="preserve"> for the roll-out of data centres</w:t>
            </w:r>
            <w:r w:rsidR="00C22214">
              <w:rPr>
                <w:noProof/>
                <w:webHidden/>
              </w:rPr>
              <w:tab/>
            </w:r>
            <w:r w:rsidR="00C22214">
              <w:rPr>
                <w:noProof/>
                <w:webHidden/>
              </w:rPr>
              <w:fldChar w:fldCharType="begin"/>
            </w:r>
            <w:r w:rsidR="00C22214">
              <w:rPr>
                <w:noProof/>
                <w:webHidden/>
              </w:rPr>
              <w:instrText xml:space="preserve"> PAGEREF _Toc228346914 \h </w:instrText>
            </w:r>
            <w:r w:rsidR="00C22214">
              <w:rPr>
                <w:noProof/>
                <w:webHidden/>
              </w:rPr>
            </w:r>
            <w:r w:rsidR="00C22214">
              <w:rPr>
                <w:noProof/>
                <w:webHidden/>
              </w:rPr>
              <w:fldChar w:fldCharType="separate"/>
            </w:r>
            <w:r w:rsidR="00C22214">
              <w:rPr>
                <w:noProof/>
                <w:webHidden/>
              </w:rPr>
              <w:t>64</w:t>
            </w:r>
            <w:r w:rsidR="00C22214">
              <w:rPr>
                <w:noProof/>
                <w:webHidden/>
              </w:rPr>
              <w:fldChar w:fldCharType="end"/>
            </w:r>
          </w:hyperlink>
        </w:p>
        <w:p w14:paraId="68584589" w14:textId="59E017C0"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5" w:history="1">
            <w:r w:rsidR="00C22214" w:rsidRPr="00923AD9">
              <w:rPr>
                <w:rStyle w:val="Hyperlink"/>
                <w:bCs/>
                <w:noProof/>
              </w:rPr>
              <w:t>3.5.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PM5: Mechanism for Member States to identify areas to fast-track data centre deployment</w:t>
            </w:r>
            <w:r w:rsidR="00C22214">
              <w:rPr>
                <w:noProof/>
                <w:webHidden/>
              </w:rPr>
              <w:tab/>
            </w:r>
            <w:r w:rsidR="00C22214">
              <w:rPr>
                <w:noProof/>
                <w:webHidden/>
              </w:rPr>
              <w:fldChar w:fldCharType="begin"/>
            </w:r>
            <w:r w:rsidR="00C22214">
              <w:rPr>
                <w:noProof/>
                <w:webHidden/>
              </w:rPr>
              <w:instrText xml:space="preserve"> PAGEREF _Toc228346915 \h </w:instrText>
            </w:r>
            <w:r w:rsidR="00C22214">
              <w:rPr>
                <w:noProof/>
                <w:webHidden/>
              </w:rPr>
            </w:r>
            <w:r w:rsidR="00C22214">
              <w:rPr>
                <w:noProof/>
                <w:webHidden/>
              </w:rPr>
              <w:fldChar w:fldCharType="separate"/>
            </w:r>
            <w:r w:rsidR="00C22214">
              <w:rPr>
                <w:noProof/>
                <w:webHidden/>
              </w:rPr>
              <w:t>68</w:t>
            </w:r>
            <w:r w:rsidR="00C22214">
              <w:rPr>
                <w:noProof/>
                <w:webHidden/>
              </w:rPr>
              <w:fldChar w:fldCharType="end"/>
            </w:r>
          </w:hyperlink>
        </w:p>
        <w:p w14:paraId="1D7089B0" w14:textId="51FD0233"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6" w:history="1">
            <w:r w:rsidR="00C22214" w:rsidRPr="00923AD9">
              <w:rPr>
                <w:rStyle w:val="Hyperlink"/>
                <w:bCs/>
                <w:noProof/>
              </w:rPr>
              <w:t>3.6.</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PM6</w:t>
            </w:r>
            <w:r w:rsidR="00C22214" w:rsidRPr="00923AD9">
              <w:rPr>
                <w:rStyle w:val="Hyperlink"/>
                <w:bCs/>
                <w:noProof/>
              </w:rPr>
              <w:t>: National funding support for data centres</w:t>
            </w:r>
            <w:r w:rsidR="00C22214">
              <w:rPr>
                <w:noProof/>
                <w:webHidden/>
              </w:rPr>
              <w:tab/>
            </w:r>
            <w:r w:rsidR="00C22214">
              <w:rPr>
                <w:noProof/>
                <w:webHidden/>
              </w:rPr>
              <w:fldChar w:fldCharType="begin"/>
            </w:r>
            <w:r w:rsidR="00C22214">
              <w:rPr>
                <w:noProof/>
                <w:webHidden/>
              </w:rPr>
              <w:instrText xml:space="preserve"> PAGEREF _Toc228346916 \h </w:instrText>
            </w:r>
            <w:r w:rsidR="00C22214">
              <w:rPr>
                <w:noProof/>
                <w:webHidden/>
              </w:rPr>
            </w:r>
            <w:r w:rsidR="00C22214">
              <w:rPr>
                <w:noProof/>
                <w:webHidden/>
              </w:rPr>
              <w:fldChar w:fldCharType="separate"/>
            </w:r>
            <w:r w:rsidR="00C22214">
              <w:rPr>
                <w:noProof/>
                <w:webHidden/>
              </w:rPr>
              <w:t>72</w:t>
            </w:r>
            <w:r w:rsidR="00C22214">
              <w:rPr>
                <w:noProof/>
                <w:webHidden/>
              </w:rPr>
              <w:fldChar w:fldCharType="end"/>
            </w:r>
          </w:hyperlink>
        </w:p>
        <w:p w14:paraId="015EF484" w14:textId="24B1BC33"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7" w:history="1">
            <w:r w:rsidR="00C22214" w:rsidRPr="00923AD9">
              <w:rPr>
                <w:rStyle w:val="Hyperlink"/>
                <w:bCs/>
                <w:noProof/>
              </w:rPr>
              <w:t>3.7.</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PM7</w:t>
            </w:r>
            <w:r w:rsidR="00C22214" w:rsidRPr="00923AD9">
              <w:rPr>
                <w:rStyle w:val="Hyperlink"/>
                <w:bCs/>
                <w:noProof/>
              </w:rPr>
              <w:t>: Set deployment targets and monitor progress</w:t>
            </w:r>
            <w:r w:rsidR="00C22214">
              <w:rPr>
                <w:noProof/>
                <w:webHidden/>
              </w:rPr>
              <w:tab/>
            </w:r>
            <w:r w:rsidR="00C22214">
              <w:rPr>
                <w:noProof/>
                <w:webHidden/>
              </w:rPr>
              <w:fldChar w:fldCharType="begin"/>
            </w:r>
            <w:r w:rsidR="00C22214">
              <w:rPr>
                <w:noProof/>
                <w:webHidden/>
              </w:rPr>
              <w:instrText xml:space="preserve"> PAGEREF _Toc228346917 \h </w:instrText>
            </w:r>
            <w:r w:rsidR="00C22214">
              <w:rPr>
                <w:noProof/>
                <w:webHidden/>
              </w:rPr>
            </w:r>
            <w:r w:rsidR="00C22214">
              <w:rPr>
                <w:noProof/>
                <w:webHidden/>
              </w:rPr>
              <w:fldChar w:fldCharType="separate"/>
            </w:r>
            <w:r w:rsidR="00C22214">
              <w:rPr>
                <w:noProof/>
                <w:webHidden/>
              </w:rPr>
              <w:t>74</w:t>
            </w:r>
            <w:r w:rsidR="00C22214">
              <w:rPr>
                <w:noProof/>
                <w:webHidden/>
              </w:rPr>
              <w:fldChar w:fldCharType="end"/>
            </w:r>
          </w:hyperlink>
        </w:p>
        <w:p w14:paraId="32D71BAF" w14:textId="47824ADB"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8" w:history="1">
            <w:r w:rsidR="00C22214" w:rsidRPr="00923AD9">
              <w:rPr>
                <w:rStyle w:val="Hyperlink"/>
                <w:bCs/>
                <w:noProof/>
              </w:rPr>
              <w:t>3.8.</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PM8</w:t>
            </w:r>
            <w:r w:rsidR="00C22214" w:rsidRPr="00923AD9">
              <w:rPr>
                <w:rStyle w:val="Hyperlink"/>
                <w:bCs/>
                <w:noProof/>
              </w:rPr>
              <w:t>: EU Funding for R&amp;D and innovation ecosystems for cloud and AI</w:t>
            </w:r>
            <w:r w:rsidR="00C22214">
              <w:rPr>
                <w:noProof/>
                <w:webHidden/>
              </w:rPr>
              <w:tab/>
            </w:r>
            <w:r w:rsidR="00C22214">
              <w:rPr>
                <w:noProof/>
                <w:webHidden/>
              </w:rPr>
              <w:fldChar w:fldCharType="begin"/>
            </w:r>
            <w:r w:rsidR="00C22214">
              <w:rPr>
                <w:noProof/>
                <w:webHidden/>
              </w:rPr>
              <w:instrText xml:space="preserve"> PAGEREF _Toc228346918 \h </w:instrText>
            </w:r>
            <w:r w:rsidR="00C22214">
              <w:rPr>
                <w:noProof/>
                <w:webHidden/>
              </w:rPr>
            </w:r>
            <w:r w:rsidR="00C22214">
              <w:rPr>
                <w:noProof/>
                <w:webHidden/>
              </w:rPr>
              <w:fldChar w:fldCharType="separate"/>
            </w:r>
            <w:r w:rsidR="00C22214">
              <w:rPr>
                <w:noProof/>
                <w:webHidden/>
              </w:rPr>
              <w:t>76</w:t>
            </w:r>
            <w:r w:rsidR="00C22214">
              <w:rPr>
                <w:noProof/>
                <w:webHidden/>
              </w:rPr>
              <w:fldChar w:fldCharType="end"/>
            </w:r>
          </w:hyperlink>
        </w:p>
        <w:p w14:paraId="014DD71B" w14:textId="4D231DD0"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19" w:history="1">
            <w:r w:rsidR="00C22214" w:rsidRPr="00923AD9">
              <w:rPr>
                <w:rStyle w:val="Hyperlink"/>
                <w:bCs/>
                <w:noProof/>
              </w:rPr>
              <w:t>3.9.</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PM9</w:t>
            </w:r>
            <w:r w:rsidR="00C22214" w:rsidRPr="00923AD9">
              <w:rPr>
                <w:rStyle w:val="Hyperlink"/>
                <w:bCs/>
                <w:noProof/>
              </w:rPr>
              <w:t>: EU deployment funding for strategic projects</w:t>
            </w:r>
            <w:r w:rsidR="00C22214">
              <w:rPr>
                <w:noProof/>
                <w:webHidden/>
              </w:rPr>
              <w:tab/>
            </w:r>
            <w:r w:rsidR="00C22214">
              <w:rPr>
                <w:noProof/>
                <w:webHidden/>
              </w:rPr>
              <w:fldChar w:fldCharType="begin"/>
            </w:r>
            <w:r w:rsidR="00C22214">
              <w:rPr>
                <w:noProof/>
                <w:webHidden/>
              </w:rPr>
              <w:instrText xml:space="preserve"> PAGEREF _Toc228346919 \h </w:instrText>
            </w:r>
            <w:r w:rsidR="00C22214">
              <w:rPr>
                <w:noProof/>
                <w:webHidden/>
              </w:rPr>
            </w:r>
            <w:r w:rsidR="00C22214">
              <w:rPr>
                <w:noProof/>
                <w:webHidden/>
              </w:rPr>
              <w:fldChar w:fldCharType="separate"/>
            </w:r>
            <w:r w:rsidR="00C22214">
              <w:rPr>
                <w:noProof/>
                <w:webHidden/>
              </w:rPr>
              <w:t>79</w:t>
            </w:r>
            <w:r w:rsidR="00C22214">
              <w:rPr>
                <w:noProof/>
                <w:webHidden/>
              </w:rPr>
              <w:fldChar w:fldCharType="end"/>
            </w:r>
          </w:hyperlink>
        </w:p>
        <w:p w14:paraId="2241CD36" w14:textId="24EF3EC7"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0" w:history="1">
            <w:r w:rsidR="00C22214" w:rsidRPr="00923AD9">
              <w:rPr>
                <w:rStyle w:val="Hyperlink"/>
                <w:bCs/>
                <w:noProof/>
                <w:lang w:val="en-IE"/>
              </w:rPr>
              <w:t>3.10.</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PM10</w:t>
            </w:r>
            <w:r w:rsidR="00C22214" w:rsidRPr="00923AD9">
              <w:rPr>
                <w:rStyle w:val="Hyperlink"/>
                <w:noProof/>
                <w:lang w:val="en-IE"/>
              </w:rPr>
              <w:t>: EU-level identification of areas for fast-track data centre deployment</w:t>
            </w:r>
            <w:r w:rsidR="00C22214">
              <w:rPr>
                <w:noProof/>
                <w:webHidden/>
              </w:rPr>
              <w:tab/>
            </w:r>
            <w:r w:rsidR="00C22214">
              <w:rPr>
                <w:noProof/>
                <w:webHidden/>
              </w:rPr>
              <w:fldChar w:fldCharType="begin"/>
            </w:r>
            <w:r w:rsidR="00C22214">
              <w:rPr>
                <w:noProof/>
                <w:webHidden/>
              </w:rPr>
              <w:instrText xml:space="preserve"> PAGEREF _Toc228346920 \h </w:instrText>
            </w:r>
            <w:r w:rsidR="00C22214">
              <w:rPr>
                <w:noProof/>
                <w:webHidden/>
              </w:rPr>
            </w:r>
            <w:r w:rsidR="00C22214">
              <w:rPr>
                <w:noProof/>
                <w:webHidden/>
              </w:rPr>
              <w:fldChar w:fldCharType="separate"/>
            </w:r>
            <w:r w:rsidR="00C22214">
              <w:rPr>
                <w:noProof/>
                <w:webHidden/>
              </w:rPr>
              <w:t>80</w:t>
            </w:r>
            <w:r w:rsidR="00C22214">
              <w:rPr>
                <w:noProof/>
                <w:webHidden/>
              </w:rPr>
              <w:fldChar w:fldCharType="end"/>
            </w:r>
          </w:hyperlink>
        </w:p>
        <w:p w14:paraId="516A5AC2" w14:textId="308761BC"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1" w:history="1">
            <w:r w:rsidR="00C22214" w:rsidRPr="00923AD9">
              <w:rPr>
                <w:rStyle w:val="Hyperlink"/>
                <w:bCs/>
                <w:noProof/>
              </w:rPr>
              <w:t>3.11.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PM11: Creating EU-level harmonized criteria for sovereign cloud and AI computing services</w:t>
            </w:r>
            <w:r w:rsidR="00C22214">
              <w:rPr>
                <w:noProof/>
                <w:webHidden/>
              </w:rPr>
              <w:tab/>
            </w:r>
            <w:r w:rsidR="00C22214">
              <w:rPr>
                <w:noProof/>
                <w:webHidden/>
              </w:rPr>
              <w:fldChar w:fldCharType="begin"/>
            </w:r>
            <w:r w:rsidR="00C22214">
              <w:rPr>
                <w:noProof/>
                <w:webHidden/>
              </w:rPr>
              <w:instrText xml:space="preserve"> PAGEREF _Toc228346921 \h </w:instrText>
            </w:r>
            <w:r w:rsidR="00C22214">
              <w:rPr>
                <w:noProof/>
                <w:webHidden/>
              </w:rPr>
            </w:r>
            <w:r w:rsidR="00C22214">
              <w:rPr>
                <w:noProof/>
                <w:webHidden/>
              </w:rPr>
              <w:fldChar w:fldCharType="separate"/>
            </w:r>
            <w:r w:rsidR="00C22214">
              <w:rPr>
                <w:noProof/>
                <w:webHidden/>
              </w:rPr>
              <w:t>84</w:t>
            </w:r>
            <w:r w:rsidR="00C22214">
              <w:rPr>
                <w:noProof/>
                <w:webHidden/>
              </w:rPr>
              <w:fldChar w:fldCharType="end"/>
            </w:r>
          </w:hyperlink>
        </w:p>
        <w:p w14:paraId="7828B2C5" w14:textId="782D90C5"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2" w:history="1">
            <w:r w:rsidR="00C22214" w:rsidRPr="00923AD9">
              <w:rPr>
                <w:rStyle w:val="Hyperlink"/>
                <w:bCs/>
                <w:noProof/>
              </w:rPr>
              <w:t>3.12.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PM12</w:t>
            </w:r>
            <w:r w:rsidR="00C22214" w:rsidRPr="00923AD9">
              <w:rPr>
                <w:rStyle w:val="Hyperlink"/>
                <w:bCs/>
                <w:noProof/>
              </w:rPr>
              <w:t>: Creating EU guidelines for sovereign Cloud AI computing services for public procurement</w:t>
            </w:r>
            <w:r w:rsidR="00C22214">
              <w:rPr>
                <w:noProof/>
                <w:webHidden/>
              </w:rPr>
              <w:tab/>
            </w:r>
            <w:r w:rsidR="00C22214">
              <w:rPr>
                <w:noProof/>
                <w:webHidden/>
              </w:rPr>
              <w:fldChar w:fldCharType="begin"/>
            </w:r>
            <w:r w:rsidR="00C22214">
              <w:rPr>
                <w:noProof/>
                <w:webHidden/>
              </w:rPr>
              <w:instrText xml:space="preserve"> PAGEREF _Toc228346922 \h </w:instrText>
            </w:r>
            <w:r w:rsidR="00C22214">
              <w:rPr>
                <w:noProof/>
                <w:webHidden/>
              </w:rPr>
            </w:r>
            <w:r w:rsidR="00C22214">
              <w:rPr>
                <w:noProof/>
                <w:webHidden/>
              </w:rPr>
              <w:fldChar w:fldCharType="separate"/>
            </w:r>
            <w:r w:rsidR="00C22214">
              <w:rPr>
                <w:noProof/>
                <w:webHidden/>
              </w:rPr>
              <w:t>88</w:t>
            </w:r>
            <w:r w:rsidR="00C22214">
              <w:rPr>
                <w:noProof/>
                <w:webHidden/>
              </w:rPr>
              <w:fldChar w:fldCharType="end"/>
            </w:r>
          </w:hyperlink>
        </w:p>
        <w:p w14:paraId="4C5F17CB" w14:textId="34C7A279"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3" w:history="1">
            <w:r w:rsidR="00C22214" w:rsidRPr="00923AD9">
              <w:rPr>
                <w:rStyle w:val="Hyperlink"/>
                <w:bCs/>
                <w:noProof/>
              </w:rPr>
              <w:t>3.13.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PM13: Annual conference on digital sovereignty</w:t>
            </w:r>
            <w:r w:rsidR="00C22214">
              <w:rPr>
                <w:noProof/>
                <w:webHidden/>
              </w:rPr>
              <w:tab/>
            </w:r>
            <w:r w:rsidR="00C22214">
              <w:rPr>
                <w:noProof/>
                <w:webHidden/>
              </w:rPr>
              <w:fldChar w:fldCharType="begin"/>
            </w:r>
            <w:r w:rsidR="00C22214">
              <w:rPr>
                <w:noProof/>
                <w:webHidden/>
              </w:rPr>
              <w:instrText xml:space="preserve"> PAGEREF _Toc228346923 \h </w:instrText>
            </w:r>
            <w:r w:rsidR="00C22214">
              <w:rPr>
                <w:noProof/>
                <w:webHidden/>
              </w:rPr>
            </w:r>
            <w:r w:rsidR="00C22214">
              <w:rPr>
                <w:noProof/>
                <w:webHidden/>
              </w:rPr>
              <w:fldChar w:fldCharType="separate"/>
            </w:r>
            <w:r w:rsidR="00C22214">
              <w:rPr>
                <w:noProof/>
                <w:webHidden/>
              </w:rPr>
              <w:t>90</w:t>
            </w:r>
            <w:r w:rsidR="00C22214">
              <w:rPr>
                <w:noProof/>
                <w:webHidden/>
              </w:rPr>
              <w:fldChar w:fldCharType="end"/>
            </w:r>
          </w:hyperlink>
        </w:p>
        <w:p w14:paraId="772093B2" w14:textId="411D983D"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4" w:history="1">
            <w:r w:rsidR="00C22214" w:rsidRPr="00923AD9">
              <w:rPr>
                <w:rStyle w:val="Hyperlink"/>
                <w:bCs/>
                <w:noProof/>
              </w:rPr>
              <w:t>3.14.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PM14:</w:t>
            </w:r>
            <w:r w:rsidR="00C22214" w:rsidRPr="00923AD9">
              <w:rPr>
                <w:rStyle w:val="Hyperlink"/>
                <w:noProof/>
              </w:rPr>
              <w:t xml:space="preserve"> Interoperability flanking measures</w:t>
            </w:r>
            <w:r w:rsidR="00C22214">
              <w:rPr>
                <w:noProof/>
                <w:webHidden/>
              </w:rPr>
              <w:tab/>
            </w:r>
            <w:r w:rsidR="00C22214">
              <w:rPr>
                <w:noProof/>
                <w:webHidden/>
              </w:rPr>
              <w:fldChar w:fldCharType="begin"/>
            </w:r>
            <w:r w:rsidR="00C22214">
              <w:rPr>
                <w:noProof/>
                <w:webHidden/>
              </w:rPr>
              <w:instrText xml:space="preserve"> PAGEREF _Toc228346924 \h </w:instrText>
            </w:r>
            <w:r w:rsidR="00C22214">
              <w:rPr>
                <w:noProof/>
                <w:webHidden/>
              </w:rPr>
            </w:r>
            <w:r w:rsidR="00C22214">
              <w:rPr>
                <w:noProof/>
                <w:webHidden/>
              </w:rPr>
              <w:fldChar w:fldCharType="separate"/>
            </w:r>
            <w:r w:rsidR="00C22214">
              <w:rPr>
                <w:noProof/>
                <w:webHidden/>
              </w:rPr>
              <w:t>92</w:t>
            </w:r>
            <w:r w:rsidR="00C22214">
              <w:rPr>
                <w:noProof/>
                <w:webHidden/>
              </w:rPr>
              <w:fldChar w:fldCharType="end"/>
            </w:r>
          </w:hyperlink>
        </w:p>
        <w:p w14:paraId="37CF0269" w14:textId="14B72C41"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5" w:history="1">
            <w:r w:rsidR="00C22214" w:rsidRPr="00923AD9">
              <w:rPr>
                <w:rStyle w:val="Hyperlink"/>
                <w:bCs/>
                <w:noProof/>
              </w:rPr>
              <w:t>3.15.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PM15: Voluntary sovereign risk assessments for the use of cloud and AI computing services in the public sector</w:t>
            </w:r>
            <w:r w:rsidR="00C22214">
              <w:rPr>
                <w:noProof/>
                <w:webHidden/>
              </w:rPr>
              <w:tab/>
            </w:r>
            <w:r w:rsidR="00C22214">
              <w:rPr>
                <w:noProof/>
                <w:webHidden/>
              </w:rPr>
              <w:fldChar w:fldCharType="begin"/>
            </w:r>
            <w:r w:rsidR="00C22214">
              <w:rPr>
                <w:noProof/>
                <w:webHidden/>
              </w:rPr>
              <w:instrText xml:space="preserve"> PAGEREF _Toc228346925 \h </w:instrText>
            </w:r>
            <w:r w:rsidR="00C22214">
              <w:rPr>
                <w:noProof/>
                <w:webHidden/>
              </w:rPr>
            </w:r>
            <w:r w:rsidR="00C22214">
              <w:rPr>
                <w:noProof/>
                <w:webHidden/>
              </w:rPr>
              <w:fldChar w:fldCharType="separate"/>
            </w:r>
            <w:r w:rsidR="00C22214">
              <w:rPr>
                <w:noProof/>
                <w:webHidden/>
              </w:rPr>
              <w:t>94</w:t>
            </w:r>
            <w:r w:rsidR="00C22214">
              <w:rPr>
                <w:noProof/>
                <w:webHidden/>
              </w:rPr>
              <w:fldChar w:fldCharType="end"/>
            </w:r>
          </w:hyperlink>
        </w:p>
        <w:p w14:paraId="1B9C3B9B" w14:textId="1E7B0CCB"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6" w:history="1">
            <w:r w:rsidR="00C22214" w:rsidRPr="00923AD9">
              <w:rPr>
                <w:rStyle w:val="Hyperlink"/>
                <w:bCs/>
                <w:noProof/>
              </w:rPr>
              <w:t>3.16.</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PM16: Non-mandatory specific award criteria for the procurement of cloud and AI computing services</w:t>
            </w:r>
            <w:r w:rsidR="00C22214">
              <w:rPr>
                <w:noProof/>
                <w:webHidden/>
              </w:rPr>
              <w:tab/>
            </w:r>
            <w:r w:rsidR="00C22214">
              <w:rPr>
                <w:noProof/>
                <w:webHidden/>
              </w:rPr>
              <w:fldChar w:fldCharType="begin"/>
            </w:r>
            <w:r w:rsidR="00C22214">
              <w:rPr>
                <w:noProof/>
                <w:webHidden/>
              </w:rPr>
              <w:instrText xml:space="preserve"> PAGEREF _Toc228346926 \h </w:instrText>
            </w:r>
            <w:r w:rsidR="00C22214">
              <w:rPr>
                <w:noProof/>
                <w:webHidden/>
              </w:rPr>
            </w:r>
            <w:r w:rsidR="00C22214">
              <w:rPr>
                <w:noProof/>
                <w:webHidden/>
              </w:rPr>
              <w:fldChar w:fldCharType="separate"/>
            </w:r>
            <w:r w:rsidR="00C22214">
              <w:rPr>
                <w:noProof/>
                <w:webHidden/>
              </w:rPr>
              <w:t>101</w:t>
            </w:r>
            <w:r w:rsidR="00C22214">
              <w:rPr>
                <w:noProof/>
                <w:webHidden/>
              </w:rPr>
              <w:fldChar w:fldCharType="end"/>
            </w:r>
          </w:hyperlink>
        </w:p>
        <w:p w14:paraId="53A76B65" w14:textId="1A5C30AF"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7" w:history="1">
            <w:r w:rsidR="00C22214" w:rsidRPr="00923AD9">
              <w:rPr>
                <w:rStyle w:val="Hyperlink"/>
                <w:bCs/>
                <w:noProof/>
              </w:rPr>
              <w:t>3.17.</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PM17: Public Sector Cloud Federation</w:t>
            </w:r>
            <w:r w:rsidR="00C22214">
              <w:rPr>
                <w:noProof/>
                <w:webHidden/>
              </w:rPr>
              <w:tab/>
            </w:r>
            <w:r w:rsidR="00C22214">
              <w:rPr>
                <w:noProof/>
                <w:webHidden/>
              </w:rPr>
              <w:fldChar w:fldCharType="begin"/>
            </w:r>
            <w:r w:rsidR="00C22214">
              <w:rPr>
                <w:noProof/>
                <w:webHidden/>
              </w:rPr>
              <w:instrText xml:space="preserve"> PAGEREF _Toc228346927 \h </w:instrText>
            </w:r>
            <w:r w:rsidR="00C22214">
              <w:rPr>
                <w:noProof/>
                <w:webHidden/>
              </w:rPr>
            </w:r>
            <w:r w:rsidR="00C22214">
              <w:rPr>
                <w:noProof/>
                <w:webHidden/>
              </w:rPr>
              <w:fldChar w:fldCharType="separate"/>
            </w:r>
            <w:r w:rsidR="00C22214">
              <w:rPr>
                <w:noProof/>
                <w:webHidden/>
              </w:rPr>
              <w:t>103</w:t>
            </w:r>
            <w:r w:rsidR="00C22214">
              <w:rPr>
                <w:noProof/>
                <w:webHidden/>
              </w:rPr>
              <w:fldChar w:fldCharType="end"/>
            </w:r>
          </w:hyperlink>
        </w:p>
        <w:p w14:paraId="58CFE379" w14:textId="53773345"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8" w:history="1">
            <w:r w:rsidR="00C22214" w:rsidRPr="00923AD9">
              <w:rPr>
                <w:rStyle w:val="Hyperlink"/>
                <w:bCs/>
                <w:noProof/>
              </w:rPr>
              <w:t>3.18.</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PM18: Vendor-neutral EU cloud/AI skill certificates</w:t>
            </w:r>
            <w:r w:rsidR="00C22214">
              <w:rPr>
                <w:noProof/>
                <w:webHidden/>
              </w:rPr>
              <w:tab/>
            </w:r>
            <w:r w:rsidR="00C22214">
              <w:rPr>
                <w:noProof/>
                <w:webHidden/>
              </w:rPr>
              <w:fldChar w:fldCharType="begin"/>
            </w:r>
            <w:r w:rsidR="00C22214">
              <w:rPr>
                <w:noProof/>
                <w:webHidden/>
              </w:rPr>
              <w:instrText xml:space="preserve"> PAGEREF _Toc228346928 \h </w:instrText>
            </w:r>
            <w:r w:rsidR="00C22214">
              <w:rPr>
                <w:noProof/>
                <w:webHidden/>
              </w:rPr>
            </w:r>
            <w:r w:rsidR="00C22214">
              <w:rPr>
                <w:noProof/>
                <w:webHidden/>
              </w:rPr>
              <w:fldChar w:fldCharType="separate"/>
            </w:r>
            <w:r w:rsidR="00C22214">
              <w:rPr>
                <w:noProof/>
                <w:webHidden/>
              </w:rPr>
              <w:t>106</w:t>
            </w:r>
            <w:r w:rsidR="00C22214">
              <w:rPr>
                <w:noProof/>
                <w:webHidden/>
              </w:rPr>
              <w:fldChar w:fldCharType="end"/>
            </w:r>
          </w:hyperlink>
        </w:p>
        <w:p w14:paraId="3A56745F" w14:textId="7BA37DCF"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29" w:history="1">
            <w:r w:rsidR="00C22214" w:rsidRPr="00923AD9">
              <w:rPr>
                <w:rStyle w:val="Hyperlink"/>
                <w:bCs/>
                <w:noProof/>
              </w:rPr>
              <w:t>3.19.</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 xml:space="preserve">PM19: Mandatory </w:t>
            </w:r>
            <w:r w:rsidR="00C22214" w:rsidRPr="00923AD9">
              <w:rPr>
                <w:rStyle w:val="Hyperlink"/>
                <w:bCs/>
                <w:noProof/>
              </w:rPr>
              <w:t>specific award criteria for the procurement of cloud and AI computing services</w:t>
            </w:r>
            <w:r w:rsidR="00C22214">
              <w:rPr>
                <w:noProof/>
                <w:webHidden/>
              </w:rPr>
              <w:tab/>
            </w:r>
            <w:r w:rsidR="00C22214">
              <w:rPr>
                <w:noProof/>
                <w:webHidden/>
              </w:rPr>
              <w:fldChar w:fldCharType="begin"/>
            </w:r>
            <w:r w:rsidR="00C22214">
              <w:rPr>
                <w:noProof/>
                <w:webHidden/>
              </w:rPr>
              <w:instrText xml:space="preserve"> PAGEREF _Toc228346929 \h </w:instrText>
            </w:r>
            <w:r w:rsidR="00C22214">
              <w:rPr>
                <w:noProof/>
                <w:webHidden/>
              </w:rPr>
            </w:r>
            <w:r w:rsidR="00C22214">
              <w:rPr>
                <w:noProof/>
                <w:webHidden/>
              </w:rPr>
              <w:fldChar w:fldCharType="separate"/>
            </w:r>
            <w:r w:rsidR="00C22214">
              <w:rPr>
                <w:noProof/>
                <w:webHidden/>
              </w:rPr>
              <w:t>109</w:t>
            </w:r>
            <w:r w:rsidR="00C22214">
              <w:rPr>
                <w:noProof/>
                <w:webHidden/>
              </w:rPr>
              <w:fldChar w:fldCharType="end"/>
            </w:r>
          </w:hyperlink>
        </w:p>
        <w:p w14:paraId="21BB2B11" w14:textId="0D027138"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0" w:history="1">
            <w:r w:rsidR="00C22214" w:rsidRPr="00923AD9">
              <w:rPr>
                <w:rStyle w:val="Hyperlink"/>
                <w:bCs/>
                <w:noProof/>
              </w:rPr>
              <w:t>3.20.</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bCs/>
                <w:noProof/>
              </w:rPr>
              <w:t>PM20</w:t>
            </w:r>
            <w:r w:rsidR="00C22214" w:rsidRPr="00923AD9">
              <w:rPr>
                <w:rStyle w:val="Hyperlink"/>
                <w:noProof/>
              </w:rPr>
              <w:t>:  Boosting open source in public administrations</w:t>
            </w:r>
            <w:r w:rsidR="00C22214">
              <w:rPr>
                <w:noProof/>
                <w:webHidden/>
              </w:rPr>
              <w:tab/>
            </w:r>
            <w:r w:rsidR="00C22214">
              <w:rPr>
                <w:noProof/>
                <w:webHidden/>
              </w:rPr>
              <w:fldChar w:fldCharType="begin"/>
            </w:r>
            <w:r w:rsidR="00C22214">
              <w:rPr>
                <w:noProof/>
                <w:webHidden/>
              </w:rPr>
              <w:instrText xml:space="preserve"> PAGEREF _Toc228346930 \h </w:instrText>
            </w:r>
            <w:r w:rsidR="00C22214">
              <w:rPr>
                <w:noProof/>
                <w:webHidden/>
              </w:rPr>
            </w:r>
            <w:r w:rsidR="00C22214">
              <w:rPr>
                <w:noProof/>
                <w:webHidden/>
              </w:rPr>
              <w:fldChar w:fldCharType="separate"/>
            </w:r>
            <w:r w:rsidR="00C22214">
              <w:rPr>
                <w:noProof/>
                <w:webHidden/>
              </w:rPr>
              <w:t>111</w:t>
            </w:r>
            <w:r w:rsidR="00C22214">
              <w:rPr>
                <w:noProof/>
                <w:webHidden/>
              </w:rPr>
              <w:fldChar w:fldCharType="end"/>
            </w:r>
          </w:hyperlink>
        </w:p>
        <w:p w14:paraId="246FFAC0" w14:textId="67E7AED4"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1" w:history="1">
            <w:r w:rsidR="00C22214" w:rsidRPr="00923AD9">
              <w:rPr>
                <w:rStyle w:val="Hyperlink"/>
                <w:bCs/>
                <w:noProof/>
              </w:rPr>
              <w:t>3.21.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PM21: Mandatory sovereign risk assessments for the use of cloud and AI computing services in the public sector</w:t>
            </w:r>
            <w:r w:rsidR="00C22214">
              <w:rPr>
                <w:noProof/>
                <w:webHidden/>
              </w:rPr>
              <w:tab/>
            </w:r>
            <w:r w:rsidR="00C22214">
              <w:rPr>
                <w:noProof/>
                <w:webHidden/>
              </w:rPr>
              <w:fldChar w:fldCharType="begin"/>
            </w:r>
            <w:r w:rsidR="00C22214">
              <w:rPr>
                <w:noProof/>
                <w:webHidden/>
              </w:rPr>
              <w:instrText xml:space="preserve"> PAGEREF _Toc228346931 \h </w:instrText>
            </w:r>
            <w:r w:rsidR="00C22214">
              <w:rPr>
                <w:noProof/>
                <w:webHidden/>
              </w:rPr>
            </w:r>
            <w:r w:rsidR="00C22214">
              <w:rPr>
                <w:noProof/>
                <w:webHidden/>
              </w:rPr>
              <w:fldChar w:fldCharType="separate"/>
            </w:r>
            <w:r w:rsidR="00C22214">
              <w:rPr>
                <w:noProof/>
                <w:webHidden/>
              </w:rPr>
              <w:t>116</w:t>
            </w:r>
            <w:r w:rsidR="00C22214">
              <w:rPr>
                <w:noProof/>
                <w:webHidden/>
              </w:rPr>
              <w:fldChar w:fldCharType="end"/>
            </w:r>
          </w:hyperlink>
        </w:p>
        <w:p w14:paraId="76F36DD7" w14:textId="0E9EAB6E"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2" w:history="1">
            <w:r w:rsidR="00C22214" w:rsidRPr="00923AD9">
              <w:rPr>
                <w:rStyle w:val="Hyperlink"/>
                <w:bCs/>
                <w:noProof/>
                <w:lang w:val="en-US"/>
              </w:rPr>
              <w:t>3.22.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PM22</w:t>
            </w:r>
            <w:r w:rsidR="00C22214" w:rsidRPr="00923AD9">
              <w:rPr>
                <w:rStyle w:val="Hyperlink"/>
                <w:noProof/>
                <w:lang w:val="en-US"/>
              </w:rPr>
              <w:t>: EU-level Procurement of cloud and AI computing services</w:t>
            </w:r>
            <w:r w:rsidR="00C22214">
              <w:rPr>
                <w:noProof/>
                <w:webHidden/>
              </w:rPr>
              <w:tab/>
            </w:r>
            <w:r w:rsidR="00C22214">
              <w:rPr>
                <w:noProof/>
                <w:webHidden/>
              </w:rPr>
              <w:fldChar w:fldCharType="begin"/>
            </w:r>
            <w:r w:rsidR="00C22214">
              <w:rPr>
                <w:noProof/>
                <w:webHidden/>
              </w:rPr>
              <w:instrText xml:space="preserve"> PAGEREF _Toc228346932 \h </w:instrText>
            </w:r>
            <w:r w:rsidR="00C22214">
              <w:rPr>
                <w:noProof/>
                <w:webHidden/>
              </w:rPr>
            </w:r>
            <w:r w:rsidR="00C22214">
              <w:rPr>
                <w:noProof/>
                <w:webHidden/>
              </w:rPr>
              <w:fldChar w:fldCharType="separate"/>
            </w:r>
            <w:r w:rsidR="00C22214">
              <w:rPr>
                <w:noProof/>
                <w:webHidden/>
              </w:rPr>
              <w:t>125</w:t>
            </w:r>
            <w:r w:rsidR="00C22214">
              <w:rPr>
                <w:noProof/>
                <w:webHidden/>
              </w:rPr>
              <w:fldChar w:fldCharType="end"/>
            </w:r>
          </w:hyperlink>
        </w:p>
        <w:p w14:paraId="73C9C5FE" w14:textId="7CE6D778"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3" w:history="1">
            <w:r w:rsidR="00C22214" w:rsidRPr="00923AD9">
              <w:rPr>
                <w:rStyle w:val="Hyperlink"/>
                <w:bCs/>
                <w:noProof/>
              </w:rPr>
              <w:t>3.23.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PM23</w:t>
            </w:r>
            <w:r w:rsidR="00C22214" w:rsidRPr="00923AD9">
              <w:rPr>
                <w:rStyle w:val="Hyperlink"/>
                <w:bCs/>
                <w:noProof/>
              </w:rPr>
              <w:t>: Financial support for SMEs to adopt cloud and AI</w:t>
            </w:r>
            <w:r w:rsidR="00C22214">
              <w:rPr>
                <w:noProof/>
                <w:webHidden/>
              </w:rPr>
              <w:tab/>
            </w:r>
            <w:r w:rsidR="00C22214">
              <w:rPr>
                <w:noProof/>
                <w:webHidden/>
              </w:rPr>
              <w:fldChar w:fldCharType="begin"/>
            </w:r>
            <w:r w:rsidR="00C22214">
              <w:rPr>
                <w:noProof/>
                <w:webHidden/>
              </w:rPr>
              <w:instrText xml:space="preserve"> PAGEREF _Toc228346933 \h </w:instrText>
            </w:r>
            <w:r w:rsidR="00C22214">
              <w:rPr>
                <w:noProof/>
                <w:webHidden/>
              </w:rPr>
            </w:r>
            <w:r w:rsidR="00C22214">
              <w:rPr>
                <w:noProof/>
                <w:webHidden/>
              </w:rPr>
              <w:fldChar w:fldCharType="separate"/>
            </w:r>
            <w:r w:rsidR="00C22214">
              <w:rPr>
                <w:noProof/>
                <w:webHidden/>
              </w:rPr>
              <w:t>127</w:t>
            </w:r>
            <w:r w:rsidR="00C22214">
              <w:rPr>
                <w:noProof/>
                <w:webHidden/>
              </w:rPr>
              <w:fldChar w:fldCharType="end"/>
            </w:r>
          </w:hyperlink>
        </w:p>
        <w:p w14:paraId="1EBD88E7" w14:textId="7512E894"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4" w:history="1">
            <w:r w:rsidR="00C22214" w:rsidRPr="00923AD9">
              <w:rPr>
                <w:rStyle w:val="Hyperlink"/>
                <w:bCs/>
                <w:noProof/>
              </w:rPr>
              <w:t>3.24.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PM24: Tools to enrich EU cloud and AI computing services offering</w:t>
            </w:r>
            <w:r w:rsidR="00C22214">
              <w:rPr>
                <w:noProof/>
                <w:webHidden/>
              </w:rPr>
              <w:tab/>
            </w:r>
            <w:r w:rsidR="00C22214">
              <w:rPr>
                <w:noProof/>
                <w:webHidden/>
              </w:rPr>
              <w:fldChar w:fldCharType="begin"/>
            </w:r>
            <w:r w:rsidR="00C22214">
              <w:rPr>
                <w:noProof/>
                <w:webHidden/>
              </w:rPr>
              <w:instrText xml:space="preserve"> PAGEREF _Toc228346934 \h </w:instrText>
            </w:r>
            <w:r w:rsidR="00C22214">
              <w:rPr>
                <w:noProof/>
                <w:webHidden/>
              </w:rPr>
            </w:r>
            <w:r w:rsidR="00C22214">
              <w:rPr>
                <w:noProof/>
                <w:webHidden/>
              </w:rPr>
              <w:fldChar w:fldCharType="separate"/>
            </w:r>
            <w:r w:rsidR="00C22214">
              <w:rPr>
                <w:noProof/>
                <w:webHidden/>
              </w:rPr>
              <w:t>129</w:t>
            </w:r>
            <w:r w:rsidR="00C22214">
              <w:rPr>
                <w:noProof/>
                <w:webHidden/>
              </w:rPr>
              <w:fldChar w:fldCharType="end"/>
            </w:r>
          </w:hyperlink>
        </w:p>
        <w:p w14:paraId="6839C17C" w14:textId="27602D15"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35" w:history="1">
            <w:r w:rsidR="00C22214" w:rsidRPr="00923AD9">
              <w:rPr>
                <w:rStyle w:val="Hyperlink"/>
                <w:noProof/>
                <w:lang w:val="en-IE"/>
              </w:rPr>
              <w:t>4.</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Strengths and limitations of the analysis</w:t>
            </w:r>
            <w:r w:rsidR="00C22214">
              <w:rPr>
                <w:noProof/>
                <w:webHidden/>
              </w:rPr>
              <w:tab/>
            </w:r>
            <w:r w:rsidR="00C22214">
              <w:rPr>
                <w:noProof/>
                <w:webHidden/>
              </w:rPr>
              <w:fldChar w:fldCharType="begin"/>
            </w:r>
            <w:r w:rsidR="00C22214">
              <w:rPr>
                <w:noProof/>
                <w:webHidden/>
              </w:rPr>
              <w:instrText xml:space="preserve"> PAGEREF _Toc228346935 \h </w:instrText>
            </w:r>
            <w:r w:rsidR="00C22214">
              <w:rPr>
                <w:noProof/>
                <w:webHidden/>
              </w:rPr>
            </w:r>
            <w:r w:rsidR="00C22214">
              <w:rPr>
                <w:noProof/>
                <w:webHidden/>
              </w:rPr>
              <w:fldChar w:fldCharType="separate"/>
            </w:r>
            <w:r w:rsidR="00C22214">
              <w:rPr>
                <w:noProof/>
                <w:webHidden/>
              </w:rPr>
              <w:t>131</w:t>
            </w:r>
            <w:r w:rsidR="00C22214">
              <w:rPr>
                <w:noProof/>
                <w:webHidden/>
              </w:rPr>
              <w:fldChar w:fldCharType="end"/>
            </w:r>
          </w:hyperlink>
        </w:p>
        <w:p w14:paraId="0AC09B66" w14:textId="4D42D3C0"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36" w:history="1">
            <w:r w:rsidR="00C22214" w:rsidRPr="00923AD9">
              <w:rPr>
                <w:rStyle w:val="Hyperlink"/>
                <w:noProof/>
                <w:lang w:val="en-IE"/>
              </w:rPr>
              <w:t>5.</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Sensitivity Analysis</w:t>
            </w:r>
            <w:r w:rsidR="00C22214">
              <w:rPr>
                <w:noProof/>
                <w:webHidden/>
              </w:rPr>
              <w:tab/>
            </w:r>
            <w:r w:rsidR="00C22214">
              <w:rPr>
                <w:noProof/>
                <w:webHidden/>
              </w:rPr>
              <w:fldChar w:fldCharType="begin"/>
            </w:r>
            <w:r w:rsidR="00C22214">
              <w:rPr>
                <w:noProof/>
                <w:webHidden/>
              </w:rPr>
              <w:instrText xml:space="preserve"> PAGEREF _Toc228346936 \h </w:instrText>
            </w:r>
            <w:r w:rsidR="00C22214">
              <w:rPr>
                <w:noProof/>
                <w:webHidden/>
              </w:rPr>
            </w:r>
            <w:r w:rsidR="00C22214">
              <w:rPr>
                <w:noProof/>
                <w:webHidden/>
              </w:rPr>
              <w:fldChar w:fldCharType="separate"/>
            </w:r>
            <w:r w:rsidR="00C22214">
              <w:rPr>
                <w:noProof/>
                <w:webHidden/>
              </w:rPr>
              <w:t>132</w:t>
            </w:r>
            <w:r w:rsidR="00C22214">
              <w:rPr>
                <w:noProof/>
                <w:webHidden/>
              </w:rPr>
              <w:fldChar w:fldCharType="end"/>
            </w:r>
          </w:hyperlink>
        </w:p>
        <w:p w14:paraId="1A165A5E" w14:textId="13379F3D"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37" w:history="1">
            <w:r w:rsidR="00C22214" w:rsidRPr="00923AD9">
              <w:rPr>
                <w:rStyle w:val="Hyperlink"/>
                <w:noProof/>
                <w:lang w:val="en-IE"/>
              </w:rPr>
              <w:t>6.</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Multi-criteria decision analysis</w:t>
            </w:r>
            <w:r w:rsidR="00C22214">
              <w:rPr>
                <w:noProof/>
                <w:webHidden/>
              </w:rPr>
              <w:tab/>
            </w:r>
            <w:r w:rsidR="00C22214">
              <w:rPr>
                <w:noProof/>
                <w:webHidden/>
              </w:rPr>
              <w:fldChar w:fldCharType="begin"/>
            </w:r>
            <w:r w:rsidR="00C22214">
              <w:rPr>
                <w:noProof/>
                <w:webHidden/>
              </w:rPr>
              <w:instrText xml:space="preserve"> PAGEREF _Toc228346937 \h </w:instrText>
            </w:r>
            <w:r w:rsidR="00C22214">
              <w:rPr>
                <w:noProof/>
                <w:webHidden/>
              </w:rPr>
            </w:r>
            <w:r w:rsidR="00C22214">
              <w:rPr>
                <w:noProof/>
                <w:webHidden/>
              </w:rPr>
              <w:fldChar w:fldCharType="separate"/>
            </w:r>
            <w:r w:rsidR="00C22214">
              <w:rPr>
                <w:noProof/>
                <w:webHidden/>
              </w:rPr>
              <w:t>138</w:t>
            </w:r>
            <w:r w:rsidR="00C22214">
              <w:rPr>
                <w:noProof/>
                <w:webHidden/>
              </w:rPr>
              <w:fldChar w:fldCharType="end"/>
            </w:r>
          </w:hyperlink>
        </w:p>
        <w:p w14:paraId="66959878" w14:textId="778EB693"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8" w:history="1">
            <w:r w:rsidR="00C22214" w:rsidRPr="00923AD9">
              <w:rPr>
                <w:rStyle w:val="Hyperlink"/>
                <w:bCs/>
                <w:noProof/>
              </w:rPr>
              <w:t>6.1.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Models used for the multi-</w:t>
            </w:r>
            <w:r w:rsidR="00C22214" w:rsidRPr="00923AD9">
              <w:rPr>
                <w:rStyle w:val="Hyperlink"/>
                <w:rFonts w:eastAsia="Calibri"/>
                <w:noProof/>
              </w:rPr>
              <w:t>criteria</w:t>
            </w:r>
            <w:r w:rsidR="00C22214" w:rsidRPr="00923AD9">
              <w:rPr>
                <w:rStyle w:val="Hyperlink"/>
                <w:noProof/>
              </w:rPr>
              <w:t xml:space="preserve"> analysis</w:t>
            </w:r>
            <w:r w:rsidR="00C22214">
              <w:rPr>
                <w:noProof/>
                <w:webHidden/>
              </w:rPr>
              <w:tab/>
            </w:r>
            <w:r w:rsidR="00C22214">
              <w:rPr>
                <w:noProof/>
                <w:webHidden/>
              </w:rPr>
              <w:fldChar w:fldCharType="begin"/>
            </w:r>
            <w:r w:rsidR="00C22214">
              <w:rPr>
                <w:noProof/>
                <w:webHidden/>
              </w:rPr>
              <w:instrText xml:space="preserve"> PAGEREF _Toc228346938 \h </w:instrText>
            </w:r>
            <w:r w:rsidR="00C22214">
              <w:rPr>
                <w:noProof/>
                <w:webHidden/>
              </w:rPr>
            </w:r>
            <w:r w:rsidR="00C22214">
              <w:rPr>
                <w:noProof/>
                <w:webHidden/>
              </w:rPr>
              <w:fldChar w:fldCharType="separate"/>
            </w:r>
            <w:r w:rsidR="00C22214">
              <w:rPr>
                <w:noProof/>
                <w:webHidden/>
              </w:rPr>
              <w:t>138</w:t>
            </w:r>
            <w:r w:rsidR="00C22214">
              <w:rPr>
                <w:noProof/>
                <w:webHidden/>
              </w:rPr>
              <w:fldChar w:fldCharType="end"/>
            </w:r>
          </w:hyperlink>
        </w:p>
        <w:p w14:paraId="14072902" w14:textId="2DAECFF0"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39" w:history="1">
            <w:r w:rsidR="00C22214" w:rsidRPr="00923AD9">
              <w:rPr>
                <w:rStyle w:val="Hyperlink"/>
                <w:bCs/>
                <w:noProof/>
              </w:rPr>
              <w:t>6.2.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Development and comparisons of policy options (MCDA)</w:t>
            </w:r>
            <w:r w:rsidR="00C22214">
              <w:rPr>
                <w:noProof/>
                <w:webHidden/>
              </w:rPr>
              <w:tab/>
            </w:r>
            <w:r w:rsidR="00C22214">
              <w:rPr>
                <w:noProof/>
                <w:webHidden/>
              </w:rPr>
              <w:fldChar w:fldCharType="begin"/>
            </w:r>
            <w:r w:rsidR="00C22214">
              <w:rPr>
                <w:noProof/>
                <w:webHidden/>
              </w:rPr>
              <w:instrText xml:space="preserve"> PAGEREF _Toc228346939 \h </w:instrText>
            </w:r>
            <w:r w:rsidR="00C22214">
              <w:rPr>
                <w:noProof/>
                <w:webHidden/>
              </w:rPr>
            </w:r>
            <w:r w:rsidR="00C22214">
              <w:rPr>
                <w:noProof/>
                <w:webHidden/>
              </w:rPr>
              <w:fldChar w:fldCharType="separate"/>
            </w:r>
            <w:r w:rsidR="00C22214">
              <w:rPr>
                <w:noProof/>
                <w:webHidden/>
              </w:rPr>
              <w:t>143</w:t>
            </w:r>
            <w:r w:rsidR="00C22214">
              <w:rPr>
                <w:noProof/>
                <w:webHidden/>
              </w:rPr>
              <w:fldChar w:fldCharType="end"/>
            </w:r>
          </w:hyperlink>
        </w:p>
        <w:p w14:paraId="71BCFD67" w14:textId="180BBBEB"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40" w:history="1">
            <w:r w:rsidR="00C22214" w:rsidRPr="00923AD9">
              <w:rPr>
                <w:rStyle w:val="Hyperlink"/>
                <w:noProof/>
                <w:lang w:val="en-IE"/>
              </w:rPr>
              <w:t>7.</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Environmental Impact Analysis</w:t>
            </w:r>
            <w:r w:rsidR="00C22214">
              <w:rPr>
                <w:noProof/>
                <w:webHidden/>
              </w:rPr>
              <w:tab/>
            </w:r>
            <w:r w:rsidR="00C22214">
              <w:rPr>
                <w:noProof/>
                <w:webHidden/>
              </w:rPr>
              <w:fldChar w:fldCharType="begin"/>
            </w:r>
            <w:r w:rsidR="00C22214">
              <w:rPr>
                <w:noProof/>
                <w:webHidden/>
              </w:rPr>
              <w:instrText xml:space="preserve"> PAGEREF _Toc228346940 \h </w:instrText>
            </w:r>
            <w:r w:rsidR="00C22214">
              <w:rPr>
                <w:noProof/>
                <w:webHidden/>
              </w:rPr>
            </w:r>
            <w:r w:rsidR="00C22214">
              <w:rPr>
                <w:noProof/>
                <w:webHidden/>
              </w:rPr>
              <w:fldChar w:fldCharType="separate"/>
            </w:r>
            <w:r w:rsidR="00C22214">
              <w:rPr>
                <w:noProof/>
                <w:webHidden/>
              </w:rPr>
              <w:t>155</w:t>
            </w:r>
            <w:r w:rsidR="00C22214">
              <w:rPr>
                <w:noProof/>
                <w:webHidden/>
              </w:rPr>
              <w:fldChar w:fldCharType="end"/>
            </w:r>
          </w:hyperlink>
        </w:p>
        <w:p w14:paraId="7A5243C9" w14:textId="27D84888"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41" w:history="1">
            <w:r w:rsidR="00C22214" w:rsidRPr="00923AD9">
              <w:rPr>
                <w:rStyle w:val="Hyperlink"/>
                <w:bCs/>
                <w:noProof/>
              </w:rPr>
              <w:t>7.1.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Installed IT capacity</w:t>
            </w:r>
            <w:r w:rsidR="00C22214">
              <w:rPr>
                <w:noProof/>
                <w:webHidden/>
              </w:rPr>
              <w:tab/>
            </w:r>
            <w:r w:rsidR="00C22214">
              <w:rPr>
                <w:noProof/>
                <w:webHidden/>
              </w:rPr>
              <w:fldChar w:fldCharType="begin"/>
            </w:r>
            <w:r w:rsidR="00C22214">
              <w:rPr>
                <w:noProof/>
                <w:webHidden/>
              </w:rPr>
              <w:instrText xml:space="preserve"> PAGEREF _Toc228346941 \h </w:instrText>
            </w:r>
            <w:r w:rsidR="00C22214">
              <w:rPr>
                <w:noProof/>
                <w:webHidden/>
              </w:rPr>
            </w:r>
            <w:r w:rsidR="00C22214">
              <w:rPr>
                <w:noProof/>
                <w:webHidden/>
              </w:rPr>
              <w:fldChar w:fldCharType="separate"/>
            </w:r>
            <w:r w:rsidR="00C22214">
              <w:rPr>
                <w:noProof/>
                <w:webHidden/>
              </w:rPr>
              <w:t>156</w:t>
            </w:r>
            <w:r w:rsidR="00C22214">
              <w:rPr>
                <w:noProof/>
                <w:webHidden/>
              </w:rPr>
              <w:fldChar w:fldCharType="end"/>
            </w:r>
          </w:hyperlink>
        </w:p>
        <w:p w14:paraId="40FF8176" w14:textId="101D3981"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42" w:history="1">
            <w:r w:rsidR="00C22214" w:rsidRPr="00923AD9">
              <w:rPr>
                <w:rStyle w:val="Hyperlink"/>
                <w:bCs/>
                <w:noProof/>
              </w:rPr>
              <w:t>7.2.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Utilisation and efficiency assumptions</w:t>
            </w:r>
            <w:r w:rsidR="00C22214">
              <w:rPr>
                <w:noProof/>
                <w:webHidden/>
              </w:rPr>
              <w:tab/>
            </w:r>
            <w:r w:rsidR="00C22214">
              <w:rPr>
                <w:noProof/>
                <w:webHidden/>
              </w:rPr>
              <w:fldChar w:fldCharType="begin"/>
            </w:r>
            <w:r w:rsidR="00C22214">
              <w:rPr>
                <w:noProof/>
                <w:webHidden/>
              </w:rPr>
              <w:instrText xml:space="preserve"> PAGEREF _Toc228346942 \h </w:instrText>
            </w:r>
            <w:r w:rsidR="00C22214">
              <w:rPr>
                <w:noProof/>
                <w:webHidden/>
              </w:rPr>
            </w:r>
            <w:r w:rsidR="00C22214">
              <w:rPr>
                <w:noProof/>
                <w:webHidden/>
              </w:rPr>
              <w:fldChar w:fldCharType="separate"/>
            </w:r>
            <w:r w:rsidR="00C22214">
              <w:rPr>
                <w:noProof/>
                <w:webHidden/>
              </w:rPr>
              <w:t>156</w:t>
            </w:r>
            <w:r w:rsidR="00C22214">
              <w:rPr>
                <w:noProof/>
                <w:webHidden/>
              </w:rPr>
              <w:fldChar w:fldCharType="end"/>
            </w:r>
          </w:hyperlink>
        </w:p>
        <w:p w14:paraId="2516670F" w14:textId="7AF301BE"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43" w:history="1">
            <w:r w:rsidR="00C22214" w:rsidRPr="00923AD9">
              <w:rPr>
                <w:rStyle w:val="Hyperlink"/>
                <w:bCs/>
                <w:noProof/>
              </w:rPr>
              <w:t>7.3.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Conversion to annual electricity demand</w:t>
            </w:r>
            <w:r w:rsidR="00C22214">
              <w:rPr>
                <w:noProof/>
                <w:webHidden/>
              </w:rPr>
              <w:tab/>
            </w:r>
            <w:r w:rsidR="00C22214">
              <w:rPr>
                <w:noProof/>
                <w:webHidden/>
              </w:rPr>
              <w:fldChar w:fldCharType="begin"/>
            </w:r>
            <w:r w:rsidR="00C22214">
              <w:rPr>
                <w:noProof/>
                <w:webHidden/>
              </w:rPr>
              <w:instrText xml:space="preserve"> PAGEREF _Toc228346943 \h </w:instrText>
            </w:r>
            <w:r w:rsidR="00C22214">
              <w:rPr>
                <w:noProof/>
                <w:webHidden/>
              </w:rPr>
            </w:r>
            <w:r w:rsidR="00C22214">
              <w:rPr>
                <w:noProof/>
                <w:webHidden/>
              </w:rPr>
              <w:fldChar w:fldCharType="separate"/>
            </w:r>
            <w:r w:rsidR="00C22214">
              <w:rPr>
                <w:noProof/>
                <w:webHidden/>
              </w:rPr>
              <w:t>156</w:t>
            </w:r>
            <w:r w:rsidR="00C22214">
              <w:rPr>
                <w:noProof/>
                <w:webHidden/>
              </w:rPr>
              <w:fldChar w:fldCharType="end"/>
            </w:r>
          </w:hyperlink>
        </w:p>
        <w:p w14:paraId="677C6019" w14:textId="52688C70"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44" w:history="1">
            <w:r w:rsidR="00C22214" w:rsidRPr="00923AD9">
              <w:rPr>
                <w:rStyle w:val="Hyperlink"/>
                <w:bCs/>
                <w:noProof/>
              </w:rPr>
              <w:t>7.4.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Emissions calculations</w:t>
            </w:r>
            <w:r w:rsidR="00C22214">
              <w:rPr>
                <w:noProof/>
                <w:webHidden/>
              </w:rPr>
              <w:tab/>
            </w:r>
            <w:r w:rsidR="00C22214">
              <w:rPr>
                <w:noProof/>
                <w:webHidden/>
              </w:rPr>
              <w:fldChar w:fldCharType="begin"/>
            </w:r>
            <w:r w:rsidR="00C22214">
              <w:rPr>
                <w:noProof/>
                <w:webHidden/>
              </w:rPr>
              <w:instrText xml:space="preserve"> PAGEREF _Toc228346944 \h </w:instrText>
            </w:r>
            <w:r w:rsidR="00C22214">
              <w:rPr>
                <w:noProof/>
                <w:webHidden/>
              </w:rPr>
            </w:r>
            <w:r w:rsidR="00C22214">
              <w:rPr>
                <w:noProof/>
                <w:webHidden/>
              </w:rPr>
              <w:fldChar w:fldCharType="separate"/>
            </w:r>
            <w:r w:rsidR="00C22214">
              <w:rPr>
                <w:noProof/>
                <w:webHidden/>
              </w:rPr>
              <w:t>157</w:t>
            </w:r>
            <w:r w:rsidR="00C22214">
              <w:rPr>
                <w:noProof/>
                <w:webHidden/>
              </w:rPr>
              <w:fldChar w:fldCharType="end"/>
            </w:r>
          </w:hyperlink>
        </w:p>
        <w:p w14:paraId="297F7B05" w14:textId="3317EA92"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45" w:history="1">
            <w:r w:rsidR="00C22214" w:rsidRPr="00923AD9">
              <w:rPr>
                <w:rStyle w:val="Hyperlink"/>
                <w:bCs/>
                <w:noProof/>
              </w:rPr>
              <w:t>7.5.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Limitations</w:t>
            </w:r>
            <w:r w:rsidR="00C22214">
              <w:rPr>
                <w:noProof/>
                <w:webHidden/>
              </w:rPr>
              <w:tab/>
            </w:r>
            <w:r w:rsidR="00C22214">
              <w:rPr>
                <w:noProof/>
                <w:webHidden/>
              </w:rPr>
              <w:fldChar w:fldCharType="begin"/>
            </w:r>
            <w:r w:rsidR="00C22214">
              <w:rPr>
                <w:noProof/>
                <w:webHidden/>
              </w:rPr>
              <w:instrText xml:space="preserve"> PAGEREF _Toc228346945 \h </w:instrText>
            </w:r>
            <w:r w:rsidR="00C22214">
              <w:rPr>
                <w:noProof/>
                <w:webHidden/>
              </w:rPr>
            </w:r>
            <w:r w:rsidR="00C22214">
              <w:rPr>
                <w:noProof/>
                <w:webHidden/>
              </w:rPr>
              <w:fldChar w:fldCharType="separate"/>
            </w:r>
            <w:r w:rsidR="00C22214">
              <w:rPr>
                <w:noProof/>
                <w:webHidden/>
              </w:rPr>
              <w:t>157</w:t>
            </w:r>
            <w:r w:rsidR="00C22214">
              <w:rPr>
                <w:noProof/>
                <w:webHidden/>
              </w:rPr>
              <w:fldChar w:fldCharType="end"/>
            </w:r>
          </w:hyperlink>
        </w:p>
        <w:p w14:paraId="1A9F43CA" w14:textId="7575E90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46" w:history="1">
            <w:r w:rsidR="00C22214" w:rsidRPr="00923AD9">
              <w:rPr>
                <w:rStyle w:val="Hyperlink"/>
                <w:noProof/>
                <w:lang w:val="en-IE"/>
              </w:rPr>
              <w:t>8.</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SO3 – How realistic is it to set an objective for EU providers to reach a market share of 30% by 2035?</w:t>
            </w:r>
            <w:r w:rsidR="00C22214">
              <w:rPr>
                <w:noProof/>
                <w:webHidden/>
              </w:rPr>
              <w:tab/>
            </w:r>
            <w:r w:rsidR="00C22214">
              <w:rPr>
                <w:noProof/>
                <w:webHidden/>
              </w:rPr>
              <w:fldChar w:fldCharType="begin"/>
            </w:r>
            <w:r w:rsidR="00C22214">
              <w:rPr>
                <w:noProof/>
                <w:webHidden/>
              </w:rPr>
              <w:instrText xml:space="preserve"> PAGEREF _Toc228346946 \h </w:instrText>
            </w:r>
            <w:r w:rsidR="00C22214">
              <w:rPr>
                <w:noProof/>
                <w:webHidden/>
              </w:rPr>
            </w:r>
            <w:r w:rsidR="00C22214">
              <w:rPr>
                <w:noProof/>
                <w:webHidden/>
              </w:rPr>
              <w:fldChar w:fldCharType="separate"/>
            </w:r>
            <w:r w:rsidR="00C22214">
              <w:rPr>
                <w:noProof/>
                <w:webHidden/>
              </w:rPr>
              <w:t>158</w:t>
            </w:r>
            <w:r w:rsidR="00C22214">
              <w:rPr>
                <w:noProof/>
                <w:webHidden/>
              </w:rPr>
              <w:fldChar w:fldCharType="end"/>
            </w:r>
          </w:hyperlink>
        </w:p>
        <w:p w14:paraId="6AF84F1B" w14:textId="0508B33F"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47" w:history="1">
            <w:r w:rsidR="00C22214" w:rsidRPr="00923AD9">
              <w:rPr>
                <w:rStyle w:val="Hyperlink"/>
                <w:noProof/>
                <w:lang w:val="en-IE"/>
              </w:rPr>
              <w:t>9.</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Types of procedures, permits and data centre deployment timelines per Member State</w:t>
            </w:r>
            <w:r w:rsidR="00C22214">
              <w:rPr>
                <w:noProof/>
                <w:webHidden/>
              </w:rPr>
              <w:tab/>
            </w:r>
            <w:r w:rsidR="00C22214">
              <w:rPr>
                <w:noProof/>
                <w:webHidden/>
              </w:rPr>
              <w:fldChar w:fldCharType="begin"/>
            </w:r>
            <w:r w:rsidR="00C22214">
              <w:rPr>
                <w:noProof/>
                <w:webHidden/>
              </w:rPr>
              <w:instrText xml:space="preserve"> PAGEREF _Toc228346947 \h </w:instrText>
            </w:r>
            <w:r w:rsidR="00C22214">
              <w:rPr>
                <w:noProof/>
                <w:webHidden/>
              </w:rPr>
            </w:r>
            <w:r w:rsidR="00C22214">
              <w:rPr>
                <w:noProof/>
                <w:webHidden/>
              </w:rPr>
              <w:fldChar w:fldCharType="separate"/>
            </w:r>
            <w:r w:rsidR="00C22214">
              <w:rPr>
                <w:noProof/>
                <w:webHidden/>
              </w:rPr>
              <w:t>160</w:t>
            </w:r>
            <w:r w:rsidR="00C22214">
              <w:rPr>
                <w:noProof/>
                <w:webHidden/>
              </w:rPr>
              <w:fldChar w:fldCharType="end"/>
            </w:r>
          </w:hyperlink>
        </w:p>
        <w:p w14:paraId="52FFBDE3" w14:textId="264E996B"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48" w:history="1">
            <w:r w:rsidR="00C22214" w:rsidRPr="00923AD9">
              <w:rPr>
                <w:rStyle w:val="Hyperlink"/>
                <w:noProof/>
                <w:lang w:val="en-IE"/>
              </w:rPr>
              <w:t>Annex 5: Competitiveness check</w:t>
            </w:r>
            <w:r w:rsidR="00C22214">
              <w:rPr>
                <w:noProof/>
                <w:webHidden/>
              </w:rPr>
              <w:tab/>
            </w:r>
            <w:r w:rsidR="00C22214">
              <w:rPr>
                <w:noProof/>
                <w:webHidden/>
              </w:rPr>
              <w:fldChar w:fldCharType="begin"/>
            </w:r>
            <w:r w:rsidR="00C22214">
              <w:rPr>
                <w:noProof/>
                <w:webHidden/>
              </w:rPr>
              <w:instrText xml:space="preserve"> PAGEREF _Toc228346948 \h </w:instrText>
            </w:r>
            <w:r w:rsidR="00C22214">
              <w:rPr>
                <w:noProof/>
                <w:webHidden/>
              </w:rPr>
            </w:r>
            <w:r w:rsidR="00C22214">
              <w:rPr>
                <w:noProof/>
                <w:webHidden/>
              </w:rPr>
              <w:fldChar w:fldCharType="separate"/>
            </w:r>
            <w:r w:rsidR="00C22214">
              <w:rPr>
                <w:noProof/>
                <w:webHidden/>
              </w:rPr>
              <w:t>172</w:t>
            </w:r>
            <w:r w:rsidR="00C22214">
              <w:rPr>
                <w:noProof/>
                <w:webHidden/>
              </w:rPr>
              <w:fldChar w:fldCharType="end"/>
            </w:r>
          </w:hyperlink>
        </w:p>
        <w:p w14:paraId="382489B4" w14:textId="7E424547"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49" w:history="1">
            <w:r w:rsidR="00C22214" w:rsidRPr="00923AD9">
              <w:rPr>
                <w:rStyle w:val="Hyperlink"/>
                <w:noProof/>
                <w:lang w:val="en-IE"/>
              </w:rPr>
              <w:t>1.</w:t>
            </w:r>
            <w:r w:rsidR="00C22214">
              <w:rPr>
                <w:rFonts w:asciiTheme="minorHAnsi" w:eastAsiaTheme="minorEastAsia" w:hAnsiTheme="minorHAnsi" w:cstheme="minorBidi"/>
                <w:caps w:val="0"/>
                <w:noProof/>
                <w:kern w:val="2"/>
                <w:szCs w:val="24"/>
                <w:lang w:val="en-IE" w:eastAsia="en-IE"/>
                <w14:ligatures w14:val="standardContextual"/>
              </w:rPr>
              <w:tab/>
            </w:r>
            <w:r w:rsidR="00C22214" w:rsidRPr="00923AD9">
              <w:rPr>
                <w:rStyle w:val="Hyperlink"/>
                <w:noProof/>
                <w:lang w:val="en-IE"/>
              </w:rPr>
              <w:t>Overview of impacts on competitiveness</w:t>
            </w:r>
            <w:r w:rsidR="00C22214">
              <w:rPr>
                <w:noProof/>
                <w:webHidden/>
              </w:rPr>
              <w:tab/>
            </w:r>
            <w:r w:rsidR="00C22214">
              <w:rPr>
                <w:noProof/>
                <w:webHidden/>
              </w:rPr>
              <w:fldChar w:fldCharType="begin"/>
            </w:r>
            <w:r w:rsidR="00C22214">
              <w:rPr>
                <w:noProof/>
                <w:webHidden/>
              </w:rPr>
              <w:instrText xml:space="preserve"> PAGEREF _Toc228346949 \h </w:instrText>
            </w:r>
            <w:r w:rsidR="00C22214">
              <w:rPr>
                <w:noProof/>
                <w:webHidden/>
              </w:rPr>
            </w:r>
            <w:r w:rsidR="00C22214">
              <w:rPr>
                <w:noProof/>
                <w:webHidden/>
              </w:rPr>
              <w:fldChar w:fldCharType="separate"/>
            </w:r>
            <w:r w:rsidR="00C22214">
              <w:rPr>
                <w:noProof/>
                <w:webHidden/>
              </w:rPr>
              <w:t>172</w:t>
            </w:r>
            <w:r w:rsidR="00C22214">
              <w:rPr>
                <w:noProof/>
                <w:webHidden/>
              </w:rPr>
              <w:fldChar w:fldCharType="end"/>
            </w:r>
          </w:hyperlink>
        </w:p>
        <w:p w14:paraId="6CC388DE" w14:textId="00F6F550"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0" w:history="1">
            <w:r w:rsidR="00C22214" w:rsidRPr="00923AD9">
              <w:rPr>
                <w:rStyle w:val="Hyperlink"/>
                <w:noProof/>
                <w:lang w:val="en-IE"/>
              </w:rPr>
              <w:t>Synthetic assessment</w:t>
            </w:r>
            <w:r w:rsidR="00C22214">
              <w:rPr>
                <w:noProof/>
                <w:webHidden/>
              </w:rPr>
              <w:tab/>
            </w:r>
            <w:r w:rsidR="00C22214">
              <w:rPr>
                <w:noProof/>
                <w:webHidden/>
              </w:rPr>
              <w:fldChar w:fldCharType="begin"/>
            </w:r>
            <w:r w:rsidR="00C22214">
              <w:rPr>
                <w:noProof/>
                <w:webHidden/>
              </w:rPr>
              <w:instrText xml:space="preserve"> PAGEREF _Toc228346950 \h </w:instrText>
            </w:r>
            <w:r w:rsidR="00C22214">
              <w:rPr>
                <w:noProof/>
                <w:webHidden/>
              </w:rPr>
            </w:r>
            <w:r w:rsidR="00C22214">
              <w:rPr>
                <w:noProof/>
                <w:webHidden/>
              </w:rPr>
              <w:fldChar w:fldCharType="separate"/>
            </w:r>
            <w:r w:rsidR="00C22214">
              <w:rPr>
                <w:noProof/>
                <w:webHidden/>
              </w:rPr>
              <w:t>172</w:t>
            </w:r>
            <w:r w:rsidR="00C22214">
              <w:rPr>
                <w:noProof/>
                <w:webHidden/>
              </w:rPr>
              <w:fldChar w:fldCharType="end"/>
            </w:r>
          </w:hyperlink>
        </w:p>
        <w:p w14:paraId="24669B9F" w14:textId="7DB5E4A8"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1" w:history="1">
            <w:r w:rsidR="00C22214" w:rsidRPr="00923AD9">
              <w:rPr>
                <w:rStyle w:val="Hyperlink"/>
                <w:noProof/>
                <w:lang w:val="en-IE"/>
              </w:rPr>
              <w:t>Annex 6: SME check</w:t>
            </w:r>
            <w:r w:rsidR="00C22214">
              <w:rPr>
                <w:noProof/>
                <w:webHidden/>
              </w:rPr>
              <w:tab/>
            </w:r>
            <w:r w:rsidR="00C22214">
              <w:rPr>
                <w:noProof/>
                <w:webHidden/>
              </w:rPr>
              <w:fldChar w:fldCharType="begin"/>
            </w:r>
            <w:r w:rsidR="00C22214">
              <w:rPr>
                <w:noProof/>
                <w:webHidden/>
              </w:rPr>
              <w:instrText xml:space="preserve"> PAGEREF _Toc228346951 \h </w:instrText>
            </w:r>
            <w:r w:rsidR="00C22214">
              <w:rPr>
                <w:noProof/>
                <w:webHidden/>
              </w:rPr>
            </w:r>
            <w:r w:rsidR="00C22214">
              <w:rPr>
                <w:noProof/>
                <w:webHidden/>
              </w:rPr>
              <w:fldChar w:fldCharType="separate"/>
            </w:r>
            <w:r w:rsidR="00C22214">
              <w:rPr>
                <w:noProof/>
                <w:webHidden/>
              </w:rPr>
              <w:t>176</w:t>
            </w:r>
            <w:r w:rsidR="00C22214">
              <w:rPr>
                <w:noProof/>
                <w:webHidden/>
              </w:rPr>
              <w:fldChar w:fldCharType="end"/>
            </w:r>
          </w:hyperlink>
        </w:p>
        <w:p w14:paraId="0F6CD6B1" w14:textId="39047C4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2" w:history="1">
            <w:r w:rsidR="00C22214" w:rsidRPr="00923AD9">
              <w:rPr>
                <w:rStyle w:val="Hyperlink"/>
                <w:noProof/>
                <w:lang w:val="en-IE"/>
              </w:rPr>
              <w:t>Annex 7: External coherence with relevant eu legislation and policy initiatives</w:t>
            </w:r>
            <w:r w:rsidR="00C22214">
              <w:rPr>
                <w:noProof/>
                <w:webHidden/>
              </w:rPr>
              <w:tab/>
            </w:r>
            <w:r w:rsidR="00C22214">
              <w:rPr>
                <w:noProof/>
                <w:webHidden/>
              </w:rPr>
              <w:fldChar w:fldCharType="begin"/>
            </w:r>
            <w:r w:rsidR="00C22214">
              <w:rPr>
                <w:noProof/>
                <w:webHidden/>
              </w:rPr>
              <w:instrText xml:space="preserve"> PAGEREF _Toc228346952 \h </w:instrText>
            </w:r>
            <w:r w:rsidR="00C22214">
              <w:rPr>
                <w:noProof/>
                <w:webHidden/>
              </w:rPr>
            </w:r>
            <w:r w:rsidR="00C22214">
              <w:rPr>
                <w:noProof/>
                <w:webHidden/>
              </w:rPr>
              <w:fldChar w:fldCharType="separate"/>
            </w:r>
            <w:r w:rsidR="00C22214">
              <w:rPr>
                <w:noProof/>
                <w:webHidden/>
              </w:rPr>
              <w:t>182</w:t>
            </w:r>
            <w:r w:rsidR="00C22214">
              <w:rPr>
                <w:noProof/>
                <w:webHidden/>
              </w:rPr>
              <w:fldChar w:fldCharType="end"/>
            </w:r>
          </w:hyperlink>
        </w:p>
        <w:p w14:paraId="5D74F30E" w14:textId="67666CF0"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3" w:history="1">
            <w:r w:rsidR="00C22214" w:rsidRPr="00923AD9">
              <w:rPr>
                <w:rStyle w:val="Hyperlink"/>
                <w:noProof/>
                <w:lang w:val="en-IE"/>
              </w:rPr>
              <w:t>Annex 8: Key technical concepts</w:t>
            </w:r>
            <w:r w:rsidR="00C22214">
              <w:rPr>
                <w:noProof/>
                <w:webHidden/>
              </w:rPr>
              <w:tab/>
            </w:r>
            <w:r w:rsidR="00C22214">
              <w:rPr>
                <w:noProof/>
                <w:webHidden/>
              </w:rPr>
              <w:fldChar w:fldCharType="begin"/>
            </w:r>
            <w:r w:rsidR="00C22214">
              <w:rPr>
                <w:noProof/>
                <w:webHidden/>
              </w:rPr>
              <w:instrText xml:space="preserve"> PAGEREF _Toc228346953 \h </w:instrText>
            </w:r>
            <w:r w:rsidR="00C22214">
              <w:rPr>
                <w:noProof/>
                <w:webHidden/>
              </w:rPr>
            </w:r>
            <w:r w:rsidR="00C22214">
              <w:rPr>
                <w:noProof/>
                <w:webHidden/>
              </w:rPr>
              <w:fldChar w:fldCharType="separate"/>
            </w:r>
            <w:r w:rsidR="00C22214">
              <w:rPr>
                <w:noProof/>
                <w:webHidden/>
              </w:rPr>
              <w:t>196</w:t>
            </w:r>
            <w:r w:rsidR="00C22214">
              <w:rPr>
                <w:noProof/>
                <w:webHidden/>
              </w:rPr>
              <w:fldChar w:fldCharType="end"/>
            </w:r>
          </w:hyperlink>
        </w:p>
        <w:p w14:paraId="6A9D471C" w14:textId="1CF94B94"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4" w:history="1">
            <w:r w:rsidR="00C22214" w:rsidRPr="00923AD9">
              <w:rPr>
                <w:rStyle w:val="Hyperlink"/>
                <w:noProof/>
                <w:lang w:val="en-IE"/>
              </w:rPr>
              <w:t>Annex 9. Baseline scenario (Policy Option 0)</w:t>
            </w:r>
            <w:r w:rsidR="00C22214">
              <w:rPr>
                <w:noProof/>
                <w:webHidden/>
              </w:rPr>
              <w:tab/>
            </w:r>
            <w:r w:rsidR="00C22214">
              <w:rPr>
                <w:noProof/>
                <w:webHidden/>
              </w:rPr>
              <w:fldChar w:fldCharType="begin"/>
            </w:r>
            <w:r w:rsidR="00C22214">
              <w:rPr>
                <w:noProof/>
                <w:webHidden/>
              </w:rPr>
              <w:instrText xml:space="preserve"> PAGEREF _Toc228346954 \h </w:instrText>
            </w:r>
            <w:r w:rsidR="00C22214">
              <w:rPr>
                <w:noProof/>
                <w:webHidden/>
              </w:rPr>
            </w:r>
            <w:r w:rsidR="00C22214">
              <w:rPr>
                <w:noProof/>
                <w:webHidden/>
              </w:rPr>
              <w:fldChar w:fldCharType="separate"/>
            </w:r>
            <w:r w:rsidR="00C22214">
              <w:rPr>
                <w:noProof/>
                <w:webHidden/>
              </w:rPr>
              <w:t>199</w:t>
            </w:r>
            <w:r w:rsidR="00C22214">
              <w:rPr>
                <w:noProof/>
                <w:webHidden/>
              </w:rPr>
              <w:fldChar w:fldCharType="end"/>
            </w:r>
          </w:hyperlink>
        </w:p>
        <w:p w14:paraId="2EBDF402" w14:textId="671A26FC"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55" w:history="1">
            <w:r w:rsidR="00C22214" w:rsidRPr="00923AD9">
              <w:rPr>
                <w:rStyle w:val="Hyperlink"/>
                <w:noProof/>
              </w:rPr>
              <w:t>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Limited and geographically concentrated availability of computing capacity</w:t>
            </w:r>
            <w:r w:rsidR="00C22214">
              <w:rPr>
                <w:noProof/>
                <w:webHidden/>
              </w:rPr>
              <w:tab/>
            </w:r>
            <w:r w:rsidR="00C22214">
              <w:rPr>
                <w:noProof/>
                <w:webHidden/>
              </w:rPr>
              <w:fldChar w:fldCharType="begin"/>
            </w:r>
            <w:r w:rsidR="00C22214">
              <w:rPr>
                <w:noProof/>
                <w:webHidden/>
              </w:rPr>
              <w:instrText xml:space="preserve"> PAGEREF _Toc228346955 \h </w:instrText>
            </w:r>
            <w:r w:rsidR="00C22214">
              <w:rPr>
                <w:noProof/>
                <w:webHidden/>
              </w:rPr>
            </w:r>
            <w:r w:rsidR="00C22214">
              <w:rPr>
                <w:noProof/>
                <w:webHidden/>
              </w:rPr>
              <w:fldChar w:fldCharType="separate"/>
            </w:r>
            <w:r w:rsidR="00C22214">
              <w:rPr>
                <w:noProof/>
                <w:webHidden/>
              </w:rPr>
              <w:t>199</w:t>
            </w:r>
            <w:r w:rsidR="00C22214">
              <w:rPr>
                <w:noProof/>
                <w:webHidden/>
              </w:rPr>
              <w:fldChar w:fldCharType="end"/>
            </w:r>
          </w:hyperlink>
        </w:p>
        <w:p w14:paraId="4846CDB6" w14:textId="1D84AE11"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56" w:history="1">
            <w:r w:rsidR="00C22214" w:rsidRPr="00923AD9">
              <w:rPr>
                <w:rStyle w:val="Hyperlink"/>
                <w:noProof/>
              </w:rPr>
              <w:t>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Dependence on cloud and AI computing services supplied by non-European providers</w:t>
            </w:r>
            <w:r w:rsidR="00C22214">
              <w:rPr>
                <w:noProof/>
                <w:webHidden/>
              </w:rPr>
              <w:tab/>
            </w:r>
            <w:r w:rsidR="00C22214">
              <w:rPr>
                <w:noProof/>
                <w:webHidden/>
              </w:rPr>
              <w:fldChar w:fldCharType="begin"/>
            </w:r>
            <w:r w:rsidR="00C22214">
              <w:rPr>
                <w:noProof/>
                <w:webHidden/>
              </w:rPr>
              <w:instrText xml:space="preserve"> PAGEREF _Toc228346956 \h </w:instrText>
            </w:r>
            <w:r w:rsidR="00C22214">
              <w:rPr>
                <w:noProof/>
                <w:webHidden/>
              </w:rPr>
            </w:r>
            <w:r w:rsidR="00C22214">
              <w:rPr>
                <w:noProof/>
                <w:webHidden/>
              </w:rPr>
              <w:fldChar w:fldCharType="separate"/>
            </w:r>
            <w:r w:rsidR="00C22214">
              <w:rPr>
                <w:noProof/>
                <w:webHidden/>
              </w:rPr>
              <w:t>202</w:t>
            </w:r>
            <w:r w:rsidR="00C22214">
              <w:rPr>
                <w:noProof/>
                <w:webHidden/>
              </w:rPr>
              <w:fldChar w:fldCharType="end"/>
            </w:r>
          </w:hyperlink>
        </w:p>
        <w:p w14:paraId="5F4EA8EA" w14:textId="29FF3310"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7" w:history="1">
            <w:r w:rsidR="00C22214" w:rsidRPr="00923AD9">
              <w:rPr>
                <w:rStyle w:val="Hyperlink"/>
                <w:noProof/>
                <w:lang w:val="en-IE"/>
              </w:rPr>
              <w:t>Annex 10. CADA Intervention Logic</w:t>
            </w:r>
            <w:r w:rsidR="00C22214">
              <w:rPr>
                <w:noProof/>
                <w:webHidden/>
              </w:rPr>
              <w:tab/>
            </w:r>
            <w:r w:rsidR="00C22214">
              <w:rPr>
                <w:noProof/>
                <w:webHidden/>
              </w:rPr>
              <w:fldChar w:fldCharType="begin"/>
            </w:r>
            <w:r w:rsidR="00C22214">
              <w:rPr>
                <w:noProof/>
                <w:webHidden/>
              </w:rPr>
              <w:instrText xml:space="preserve"> PAGEREF _Toc228346957 \h </w:instrText>
            </w:r>
            <w:r w:rsidR="00C22214">
              <w:rPr>
                <w:noProof/>
                <w:webHidden/>
              </w:rPr>
            </w:r>
            <w:r w:rsidR="00C22214">
              <w:rPr>
                <w:noProof/>
                <w:webHidden/>
              </w:rPr>
              <w:fldChar w:fldCharType="separate"/>
            </w:r>
            <w:r w:rsidR="00C22214">
              <w:rPr>
                <w:noProof/>
                <w:webHidden/>
              </w:rPr>
              <w:t>207</w:t>
            </w:r>
            <w:r w:rsidR="00C22214">
              <w:rPr>
                <w:noProof/>
                <w:webHidden/>
              </w:rPr>
              <w:fldChar w:fldCharType="end"/>
            </w:r>
          </w:hyperlink>
        </w:p>
        <w:p w14:paraId="67B30521" w14:textId="1D69BBE2"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58" w:history="1">
            <w:r w:rsidR="00C22214" w:rsidRPr="00923AD9">
              <w:rPr>
                <w:rStyle w:val="Hyperlink"/>
                <w:noProof/>
                <w:lang w:val="en-IE"/>
              </w:rPr>
              <w:t>Annex 11. Operational monitoring and evaluation system</w:t>
            </w:r>
            <w:r w:rsidR="00C22214">
              <w:rPr>
                <w:noProof/>
                <w:webHidden/>
              </w:rPr>
              <w:tab/>
            </w:r>
            <w:r w:rsidR="00C22214">
              <w:rPr>
                <w:noProof/>
                <w:webHidden/>
              </w:rPr>
              <w:fldChar w:fldCharType="begin"/>
            </w:r>
            <w:r w:rsidR="00C22214">
              <w:rPr>
                <w:noProof/>
                <w:webHidden/>
              </w:rPr>
              <w:instrText xml:space="preserve"> PAGEREF _Toc228346958 \h </w:instrText>
            </w:r>
            <w:r w:rsidR="00C22214">
              <w:rPr>
                <w:noProof/>
                <w:webHidden/>
              </w:rPr>
            </w:r>
            <w:r w:rsidR="00C22214">
              <w:rPr>
                <w:noProof/>
                <w:webHidden/>
              </w:rPr>
              <w:fldChar w:fldCharType="separate"/>
            </w:r>
            <w:r w:rsidR="00C22214">
              <w:rPr>
                <w:noProof/>
                <w:webHidden/>
              </w:rPr>
              <w:t>208</w:t>
            </w:r>
            <w:r w:rsidR="00C22214">
              <w:rPr>
                <w:noProof/>
                <w:webHidden/>
              </w:rPr>
              <w:fldChar w:fldCharType="end"/>
            </w:r>
          </w:hyperlink>
        </w:p>
        <w:p w14:paraId="59D8A0F2" w14:textId="134CE0EB"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59" w:history="1">
            <w:r w:rsidR="00C22214" w:rsidRPr="00923AD9">
              <w:rPr>
                <w:rStyle w:val="Hyperlink"/>
                <w:noProof/>
                <w:lang w:val="en-IE"/>
              </w:rPr>
              <w:t>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lang w:val="en-IE"/>
              </w:rPr>
              <w:t>Output monitoring: deliverables and direct effects</w:t>
            </w:r>
            <w:r w:rsidR="00C22214">
              <w:rPr>
                <w:noProof/>
                <w:webHidden/>
              </w:rPr>
              <w:tab/>
            </w:r>
            <w:r w:rsidR="00C22214">
              <w:rPr>
                <w:noProof/>
                <w:webHidden/>
              </w:rPr>
              <w:fldChar w:fldCharType="begin"/>
            </w:r>
            <w:r w:rsidR="00C22214">
              <w:rPr>
                <w:noProof/>
                <w:webHidden/>
              </w:rPr>
              <w:instrText xml:space="preserve"> PAGEREF _Toc228346959 \h </w:instrText>
            </w:r>
            <w:r w:rsidR="00C22214">
              <w:rPr>
                <w:noProof/>
                <w:webHidden/>
              </w:rPr>
            </w:r>
            <w:r w:rsidR="00C22214">
              <w:rPr>
                <w:noProof/>
                <w:webHidden/>
              </w:rPr>
              <w:fldChar w:fldCharType="separate"/>
            </w:r>
            <w:r w:rsidR="00C22214">
              <w:rPr>
                <w:noProof/>
                <w:webHidden/>
              </w:rPr>
              <w:t>208</w:t>
            </w:r>
            <w:r w:rsidR="00C22214">
              <w:rPr>
                <w:noProof/>
                <w:webHidden/>
              </w:rPr>
              <w:fldChar w:fldCharType="end"/>
            </w:r>
          </w:hyperlink>
        </w:p>
        <w:p w14:paraId="66A35B93" w14:textId="24BC0E16"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60" w:history="1">
            <w:r w:rsidR="00C22214" w:rsidRPr="00923AD9">
              <w:rPr>
                <w:rStyle w:val="Hyperlink"/>
                <w:noProof/>
                <w:lang w:val="en-IE"/>
              </w:rPr>
              <w:t>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lang w:val="en-IE"/>
              </w:rPr>
              <w:t>Outcome monitoring: mid-term change</w:t>
            </w:r>
            <w:r w:rsidR="00C22214">
              <w:rPr>
                <w:noProof/>
                <w:webHidden/>
              </w:rPr>
              <w:tab/>
            </w:r>
            <w:r w:rsidR="00C22214">
              <w:rPr>
                <w:noProof/>
                <w:webHidden/>
              </w:rPr>
              <w:fldChar w:fldCharType="begin"/>
            </w:r>
            <w:r w:rsidR="00C22214">
              <w:rPr>
                <w:noProof/>
                <w:webHidden/>
              </w:rPr>
              <w:instrText xml:space="preserve"> PAGEREF _Toc228346960 \h </w:instrText>
            </w:r>
            <w:r w:rsidR="00C22214">
              <w:rPr>
                <w:noProof/>
                <w:webHidden/>
              </w:rPr>
            </w:r>
            <w:r w:rsidR="00C22214">
              <w:rPr>
                <w:noProof/>
                <w:webHidden/>
              </w:rPr>
              <w:fldChar w:fldCharType="separate"/>
            </w:r>
            <w:r w:rsidR="00C22214">
              <w:rPr>
                <w:noProof/>
                <w:webHidden/>
              </w:rPr>
              <w:t>209</w:t>
            </w:r>
            <w:r w:rsidR="00C22214">
              <w:rPr>
                <w:noProof/>
                <w:webHidden/>
              </w:rPr>
              <w:fldChar w:fldCharType="end"/>
            </w:r>
          </w:hyperlink>
        </w:p>
        <w:p w14:paraId="23FCF351" w14:textId="741AFC58"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61" w:history="1">
            <w:r w:rsidR="00C22214" w:rsidRPr="00923AD9">
              <w:rPr>
                <w:rStyle w:val="Hyperlink"/>
                <w:noProof/>
                <w:lang w:val="en-IE"/>
              </w:rPr>
              <w:t>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lang w:val="en-IE"/>
              </w:rPr>
              <w:t>Impact monitoring: long-term structural effects</w:t>
            </w:r>
            <w:r w:rsidR="00C22214">
              <w:rPr>
                <w:noProof/>
                <w:webHidden/>
              </w:rPr>
              <w:tab/>
            </w:r>
            <w:r w:rsidR="00C22214">
              <w:rPr>
                <w:noProof/>
                <w:webHidden/>
              </w:rPr>
              <w:fldChar w:fldCharType="begin"/>
            </w:r>
            <w:r w:rsidR="00C22214">
              <w:rPr>
                <w:noProof/>
                <w:webHidden/>
              </w:rPr>
              <w:instrText xml:space="preserve"> PAGEREF _Toc228346961 \h </w:instrText>
            </w:r>
            <w:r w:rsidR="00C22214">
              <w:rPr>
                <w:noProof/>
                <w:webHidden/>
              </w:rPr>
            </w:r>
            <w:r w:rsidR="00C22214">
              <w:rPr>
                <w:noProof/>
                <w:webHidden/>
              </w:rPr>
              <w:fldChar w:fldCharType="separate"/>
            </w:r>
            <w:r w:rsidR="00C22214">
              <w:rPr>
                <w:noProof/>
                <w:webHidden/>
              </w:rPr>
              <w:t>211</w:t>
            </w:r>
            <w:r w:rsidR="00C22214">
              <w:rPr>
                <w:noProof/>
                <w:webHidden/>
              </w:rPr>
              <w:fldChar w:fldCharType="end"/>
            </w:r>
          </w:hyperlink>
        </w:p>
        <w:p w14:paraId="3A0F26E5" w14:textId="6D355549" w:rsidR="00C22214" w:rsidRDefault="00E634B8">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28346962" w:history="1">
            <w:r w:rsidR="00C22214" w:rsidRPr="00923AD9">
              <w:rPr>
                <w:rStyle w:val="Hyperlink"/>
                <w:noProof/>
                <w:lang w:val="en-IE"/>
              </w:rPr>
              <w:t>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lang w:val="en-IE"/>
              </w:rPr>
              <w:t>Evaluation arrangements and timing</w:t>
            </w:r>
            <w:r w:rsidR="00C22214">
              <w:rPr>
                <w:noProof/>
                <w:webHidden/>
              </w:rPr>
              <w:tab/>
            </w:r>
            <w:r w:rsidR="00C22214">
              <w:rPr>
                <w:noProof/>
                <w:webHidden/>
              </w:rPr>
              <w:fldChar w:fldCharType="begin"/>
            </w:r>
            <w:r w:rsidR="00C22214">
              <w:rPr>
                <w:noProof/>
                <w:webHidden/>
              </w:rPr>
              <w:instrText xml:space="preserve"> PAGEREF _Toc228346962 \h </w:instrText>
            </w:r>
            <w:r w:rsidR="00C22214">
              <w:rPr>
                <w:noProof/>
                <w:webHidden/>
              </w:rPr>
            </w:r>
            <w:r w:rsidR="00C22214">
              <w:rPr>
                <w:noProof/>
                <w:webHidden/>
              </w:rPr>
              <w:fldChar w:fldCharType="separate"/>
            </w:r>
            <w:r w:rsidR="00C22214">
              <w:rPr>
                <w:noProof/>
                <w:webHidden/>
              </w:rPr>
              <w:t>212</w:t>
            </w:r>
            <w:r w:rsidR="00C22214">
              <w:rPr>
                <w:noProof/>
                <w:webHidden/>
              </w:rPr>
              <w:fldChar w:fldCharType="end"/>
            </w:r>
          </w:hyperlink>
        </w:p>
        <w:p w14:paraId="7253E911" w14:textId="068C4107"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63" w:history="1">
            <w:r w:rsidR="00C22214" w:rsidRPr="00923AD9">
              <w:rPr>
                <w:rStyle w:val="Hyperlink"/>
                <w:noProof/>
                <w:lang w:val="en-IE"/>
              </w:rPr>
              <w:t>Annex 12. Costs of migrating and porting applications</w:t>
            </w:r>
            <w:r w:rsidR="00C22214">
              <w:rPr>
                <w:noProof/>
                <w:webHidden/>
              </w:rPr>
              <w:tab/>
            </w:r>
            <w:r w:rsidR="00C22214">
              <w:rPr>
                <w:noProof/>
                <w:webHidden/>
              </w:rPr>
              <w:fldChar w:fldCharType="begin"/>
            </w:r>
            <w:r w:rsidR="00C22214">
              <w:rPr>
                <w:noProof/>
                <w:webHidden/>
              </w:rPr>
              <w:instrText xml:space="preserve"> PAGEREF _Toc228346963 \h </w:instrText>
            </w:r>
            <w:r w:rsidR="00C22214">
              <w:rPr>
                <w:noProof/>
                <w:webHidden/>
              </w:rPr>
            </w:r>
            <w:r w:rsidR="00C22214">
              <w:rPr>
                <w:noProof/>
                <w:webHidden/>
              </w:rPr>
              <w:fldChar w:fldCharType="separate"/>
            </w:r>
            <w:r w:rsidR="00C22214">
              <w:rPr>
                <w:noProof/>
                <w:webHidden/>
              </w:rPr>
              <w:t>214</w:t>
            </w:r>
            <w:r w:rsidR="00C22214">
              <w:rPr>
                <w:noProof/>
                <w:webHidden/>
              </w:rPr>
              <w:fldChar w:fldCharType="end"/>
            </w:r>
          </w:hyperlink>
        </w:p>
        <w:p w14:paraId="18213521" w14:textId="2AFB5FB8"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64" w:history="1">
            <w:r w:rsidR="00C22214" w:rsidRPr="00923AD9">
              <w:rPr>
                <w:rStyle w:val="Hyperlink"/>
                <w:noProof/>
              </w:rPr>
              <w:t>12.1</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Considerations about migrating and porting</w:t>
            </w:r>
            <w:r w:rsidR="00C22214">
              <w:rPr>
                <w:noProof/>
                <w:webHidden/>
              </w:rPr>
              <w:tab/>
            </w:r>
            <w:r w:rsidR="00C22214">
              <w:rPr>
                <w:noProof/>
                <w:webHidden/>
              </w:rPr>
              <w:fldChar w:fldCharType="begin"/>
            </w:r>
            <w:r w:rsidR="00C22214">
              <w:rPr>
                <w:noProof/>
                <w:webHidden/>
              </w:rPr>
              <w:instrText xml:space="preserve"> PAGEREF _Toc228346964 \h </w:instrText>
            </w:r>
            <w:r w:rsidR="00C22214">
              <w:rPr>
                <w:noProof/>
                <w:webHidden/>
              </w:rPr>
            </w:r>
            <w:r w:rsidR="00C22214">
              <w:rPr>
                <w:noProof/>
                <w:webHidden/>
              </w:rPr>
              <w:fldChar w:fldCharType="separate"/>
            </w:r>
            <w:r w:rsidR="00C22214">
              <w:rPr>
                <w:noProof/>
                <w:webHidden/>
              </w:rPr>
              <w:t>214</w:t>
            </w:r>
            <w:r w:rsidR="00C22214">
              <w:rPr>
                <w:noProof/>
                <w:webHidden/>
              </w:rPr>
              <w:fldChar w:fldCharType="end"/>
            </w:r>
          </w:hyperlink>
        </w:p>
        <w:p w14:paraId="4CFFE185" w14:textId="2CF1CEAC"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65" w:history="1">
            <w:r w:rsidR="00C22214" w:rsidRPr="00923AD9">
              <w:rPr>
                <w:rStyle w:val="Hyperlink"/>
                <w:noProof/>
                <w:lang w:val="en-US"/>
              </w:rPr>
              <w:t>12.2</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lang w:val="en-US"/>
              </w:rPr>
              <w:t>Cost modelling for public administrations to port services (cloud-to-sovereign cloud)</w:t>
            </w:r>
            <w:r w:rsidR="00C22214">
              <w:rPr>
                <w:noProof/>
                <w:webHidden/>
              </w:rPr>
              <w:tab/>
            </w:r>
            <w:r w:rsidR="00C22214">
              <w:rPr>
                <w:noProof/>
                <w:webHidden/>
              </w:rPr>
              <w:fldChar w:fldCharType="begin"/>
            </w:r>
            <w:r w:rsidR="00C22214">
              <w:rPr>
                <w:noProof/>
                <w:webHidden/>
              </w:rPr>
              <w:instrText xml:space="preserve"> PAGEREF _Toc228346965 \h </w:instrText>
            </w:r>
            <w:r w:rsidR="00C22214">
              <w:rPr>
                <w:noProof/>
                <w:webHidden/>
              </w:rPr>
            </w:r>
            <w:r w:rsidR="00C22214">
              <w:rPr>
                <w:noProof/>
                <w:webHidden/>
              </w:rPr>
              <w:fldChar w:fldCharType="separate"/>
            </w:r>
            <w:r w:rsidR="00C22214">
              <w:rPr>
                <w:noProof/>
                <w:webHidden/>
              </w:rPr>
              <w:t>218</w:t>
            </w:r>
            <w:r w:rsidR="00C22214">
              <w:rPr>
                <w:noProof/>
                <w:webHidden/>
              </w:rPr>
              <w:fldChar w:fldCharType="end"/>
            </w:r>
          </w:hyperlink>
        </w:p>
        <w:p w14:paraId="0F7B7D71" w14:textId="32B2D845"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66" w:history="1">
            <w:r w:rsidR="00C22214" w:rsidRPr="00923AD9">
              <w:rPr>
                <w:rStyle w:val="Hyperlink"/>
                <w:noProof/>
              </w:rPr>
              <w:t>12.3</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Phases of a porting operation</w:t>
            </w:r>
            <w:r w:rsidR="00C22214">
              <w:rPr>
                <w:noProof/>
                <w:webHidden/>
              </w:rPr>
              <w:tab/>
            </w:r>
            <w:r w:rsidR="00C22214">
              <w:rPr>
                <w:noProof/>
                <w:webHidden/>
              </w:rPr>
              <w:fldChar w:fldCharType="begin"/>
            </w:r>
            <w:r w:rsidR="00C22214">
              <w:rPr>
                <w:noProof/>
                <w:webHidden/>
              </w:rPr>
              <w:instrText xml:space="preserve"> PAGEREF _Toc228346966 \h </w:instrText>
            </w:r>
            <w:r w:rsidR="00C22214">
              <w:rPr>
                <w:noProof/>
                <w:webHidden/>
              </w:rPr>
            </w:r>
            <w:r w:rsidR="00C22214">
              <w:rPr>
                <w:noProof/>
                <w:webHidden/>
              </w:rPr>
              <w:fldChar w:fldCharType="separate"/>
            </w:r>
            <w:r w:rsidR="00C22214">
              <w:rPr>
                <w:noProof/>
                <w:webHidden/>
              </w:rPr>
              <w:t>220</w:t>
            </w:r>
            <w:r w:rsidR="00C22214">
              <w:rPr>
                <w:noProof/>
                <w:webHidden/>
              </w:rPr>
              <w:fldChar w:fldCharType="end"/>
            </w:r>
          </w:hyperlink>
        </w:p>
        <w:p w14:paraId="0F880E87" w14:textId="5F8C2CE6"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67" w:history="1">
            <w:r w:rsidR="00C22214" w:rsidRPr="00923AD9">
              <w:rPr>
                <w:rStyle w:val="Hyperlink"/>
                <w:noProof/>
              </w:rPr>
              <w:t>12.4</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Aspects considered for the analysis of costs</w:t>
            </w:r>
            <w:r w:rsidR="00C22214">
              <w:rPr>
                <w:noProof/>
                <w:webHidden/>
              </w:rPr>
              <w:tab/>
            </w:r>
            <w:r w:rsidR="00C22214">
              <w:rPr>
                <w:noProof/>
                <w:webHidden/>
              </w:rPr>
              <w:fldChar w:fldCharType="begin"/>
            </w:r>
            <w:r w:rsidR="00C22214">
              <w:rPr>
                <w:noProof/>
                <w:webHidden/>
              </w:rPr>
              <w:instrText xml:space="preserve"> PAGEREF _Toc228346967 \h </w:instrText>
            </w:r>
            <w:r w:rsidR="00C22214">
              <w:rPr>
                <w:noProof/>
                <w:webHidden/>
              </w:rPr>
            </w:r>
            <w:r w:rsidR="00C22214">
              <w:rPr>
                <w:noProof/>
                <w:webHidden/>
              </w:rPr>
              <w:fldChar w:fldCharType="separate"/>
            </w:r>
            <w:r w:rsidR="00C22214">
              <w:rPr>
                <w:noProof/>
                <w:webHidden/>
              </w:rPr>
              <w:t>224</w:t>
            </w:r>
            <w:r w:rsidR="00C22214">
              <w:rPr>
                <w:noProof/>
                <w:webHidden/>
              </w:rPr>
              <w:fldChar w:fldCharType="end"/>
            </w:r>
          </w:hyperlink>
        </w:p>
        <w:p w14:paraId="71A2068A" w14:textId="56C30E87" w:rsidR="00C22214" w:rsidRDefault="00E634B8">
          <w:pPr>
            <w:pStyle w:val="TOC2"/>
            <w:tabs>
              <w:tab w:val="left" w:pos="1247"/>
            </w:tabs>
            <w:rPr>
              <w:rFonts w:asciiTheme="minorHAnsi" w:eastAsiaTheme="minorEastAsia" w:hAnsiTheme="minorHAnsi" w:cstheme="minorBidi"/>
              <w:noProof/>
              <w:kern w:val="2"/>
              <w:szCs w:val="24"/>
              <w:lang w:val="en-IE" w:eastAsia="en-IE"/>
              <w14:ligatures w14:val="standardContextual"/>
            </w:rPr>
          </w:pPr>
          <w:hyperlink w:anchor="_Toc228346968" w:history="1">
            <w:r w:rsidR="00C22214" w:rsidRPr="00923AD9">
              <w:rPr>
                <w:rStyle w:val="Hyperlink"/>
                <w:noProof/>
              </w:rPr>
              <w:t>12.5</w:t>
            </w:r>
            <w:r w:rsidR="00C22214">
              <w:rPr>
                <w:rFonts w:asciiTheme="minorHAnsi" w:eastAsiaTheme="minorEastAsia" w:hAnsiTheme="minorHAnsi" w:cstheme="minorBidi"/>
                <w:noProof/>
                <w:kern w:val="2"/>
                <w:szCs w:val="24"/>
                <w:lang w:val="en-IE" w:eastAsia="en-IE"/>
                <w14:ligatures w14:val="standardContextual"/>
              </w:rPr>
              <w:tab/>
            </w:r>
            <w:r w:rsidR="00C22214" w:rsidRPr="00923AD9">
              <w:rPr>
                <w:rStyle w:val="Hyperlink"/>
                <w:noProof/>
              </w:rPr>
              <w:t>Limitations of the analysis</w:t>
            </w:r>
            <w:r w:rsidR="00C22214">
              <w:rPr>
                <w:noProof/>
                <w:webHidden/>
              </w:rPr>
              <w:tab/>
            </w:r>
            <w:r w:rsidR="00C22214">
              <w:rPr>
                <w:noProof/>
                <w:webHidden/>
              </w:rPr>
              <w:fldChar w:fldCharType="begin"/>
            </w:r>
            <w:r w:rsidR="00C22214">
              <w:rPr>
                <w:noProof/>
                <w:webHidden/>
              </w:rPr>
              <w:instrText xml:space="preserve"> PAGEREF _Toc228346968 \h </w:instrText>
            </w:r>
            <w:r w:rsidR="00C22214">
              <w:rPr>
                <w:noProof/>
                <w:webHidden/>
              </w:rPr>
            </w:r>
            <w:r w:rsidR="00C22214">
              <w:rPr>
                <w:noProof/>
                <w:webHidden/>
              </w:rPr>
              <w:fldChar w:fldCharType="separate"/>
            </w:r>
            <w:r w:rsidR="00C22214">
              <w:rPr>
                <w:noProof/>
                <w:webHidden/>
              </w:rPr>
              <w:t>235</w:t>
            </w:r>
            <w:r w:rsidR="00C22214">
              <w:rPr>
                <w:noProof/>
                <w:webHidden/>
              </w:rPr>
              <w:fldChar w:fldCharType="end"/>
            </w:r>
          </w:hyperlink>
        </w:p>
        <w:p w14:paraId="6FE1D07E" w14:textId="7164D4BF" w:rsidR="00C22214" w:rsidRDefault="00E634B8">
          <w:pPr>
            <w:pStyle w:val="TOC1"/>
            <w:rPr>
              <w:rFonts w:asciiTheme="minorHAnsi" w:eastAsiaTheme="minorEastAsia" w:hAnsiTheme="minorHAnsi" w:cstheme="minorBidi"/>
              <w:caps w:val="0"/>
              <w:noProof/>
              <w:kern w:val="2"/>
              <w:szCs w:val="24"/>
              <w:lang w:val="en-IE" w:eastAsia="en-IE"/>
              <w14:ligatures w14:val="standardContextual"/>
            </w:rPr>
          </w:pPr>
          <w:hyperlink w:anchor="_Toc228346969" w:history="1">
            <w:r w:rsidR="00C22214" w:rsidRPr="00923AD9">
              <w:rPr>
                <w:rStyle w:val="Hyperlink"/>
                <w:noProof/>
                <w:lang w:val="en-IE"/>
              </w:rPr>
              <w:t>Annex 13. Comparative analysis of selected cloud services</w:t>
            </w:r>
            <w:r w:rsidR="00C22214">
              <w:rPr>
                <w:noProof/>
                <w:webHidden/>
              </w:rPr>
              <w:tab/>
            </w:r>
            <w:r w:rsidR="00C22214">
              <w:rPr>
                <w:noProof/>
                <w:webHidden/>
              </w:rPr>
              <w:fldChar w:fldCharType="begin"/>
            </w:r>
            <w:r w:rsidR="00C22214">
              <w:rPr>
                <w:noProof/>
                <w:webHidden/>
              </w:rPr>
              <w:instrText xml:space="preserve"> PAGEREF _Toc228346969 \h </w:instrText>
            </w:r>
            <w:r w:rsidR="00C22214">
              <w:rPr>
                <w:noProof/>
                <w:webHidden/>
              </w:rPr>
            </w:r>
            <w:r w:rsidR="00C22214">
              <w:rPr>
                <w:noProof/>
                <w:webHidden/>
              </w:rPr>
              <w:fldChar w:fldCharType="separate"/>
            </w:r>
            <w:r w:rsidR="00C22214">
              <w:rPr>
                <w:noProof/>
                <w:webHidden/>
              </w:rPr>
              <w:t>236</w:t>
            </w:r>
            <w:r w:rsidR="00C22214">
              <w:rPr>
                <w:noProof/>
                <w:webHidden/>
              </w:rPr>
              <w:fldChar w:fldCharType="end"/>
            </w:r>
          </w:hyperlink>
        </w:p>
        <w:p w14:paraId="4BF896AF" w14:textId="4508756C" w:rsidR="001B0161" w:rsidRPr="00D37004" w:rsidRDefault="00443DA2" w:rsidP="00557B97">
          <w:pPr>
            <w:rPr>
              <w:rFonts w:eastAsia="Times New Roman"/>
              <w:caps/>
              <w:noProof/>
              <w:sz w:val="20"/>
              <w:szCs w:val="20"/>
            </w:rPr>
          </w:pPr>
          <w:r w:rsidRPr="00D37004">
            <w:rPr>
              <w:rFonts w:eastAsia="Times New Roman"/>
              <w:caps/>
              <w:noProof/>
              <w:sz w:val="20"/>
              <w:szCs w:val="20"/>
            </w:rPr>
            <w:fldChar w:fldCharType="end"/>
          </w:r>
        </w:p>
      </w:sdtContent>
    </w:sdt>
    <w:p w14:paraId="5D6B1167" w14:textId="282F4859" w:rsidR="006B087E" w:rsidRPr="00D37004" w:rsidRDefault="00065C5F" w:rsidP="00913325">
      <w:pPr>
        <w:pStyle w:val="Heading1"/>
        <w:numPr>
          <w:ilvl w:val="0"/>
          <w:numId w:val="17"/>
        </w:numPr>
        <w:ind w:left="567" w:hanging="567"/>
        <w:rPr>
          <w:noProof/>
          <w:lang w:val="en-IE"/>
        </w:rPr>
      </w:pPr>
      <w:bookmarkStart w:id="2" w:name="_Toc216283321"/>
      <w:bookmarkStart w:id="3" w:name="_Toc228346876"/>
      <w:r w:rsidRPr="00D37004">
        <w:rPr>
          <w:noProof/>
          <w:lang w:val="en-IE"/>
        </w:rPr>
        <w:t>Glossary</w:t>
      </w:r>
      <w:bookmarkEnd w:id="2"/>
      <w:bookmarkEnd w:id="3"/>
    </w:p>
    <w:tbl>
      <w:tblPr>
        <w:tblStyle w:val="TableGrid"/>
        <w:tblW w:w="8642" w:type="dxa"/>
        <w:tblLook w:val="04A0" w:firstRow="1" w:lastRow="0" w:firstColumn="1" w:lastColumn="0" w:noHBand="0" w:noVBand="1"/>
      </w:tblPr>
      <w:tblGrid>
        <w:gridCol w:w="2141"/>
        <w:gridCol w:w="6501"/>
      </w:tblGrid>
      <w:tr w:rsidR="00325986" w:rsidRPr="00D37004" w14:paraId="739FE0D0" w14:textId="77777777" w:rsidTr="008D0BAC">
        <w:trPr>
          <w:tblHeader/>
        </w:trPr>
        <w:tc>
          <w:tcPr>
            <w:tcW w:w="2141" w:type="dxa"/>
            <w:tcBorders>
              <w:bottom w:val="double" w:sz="4" w:space="0" w:color="auto"/>
            </w:tcBorders>
            <w:shd w:val="clear" w:color="auto" w:fill="F2F2F2" w:themeFill="background1" w:themeFillShade="F2"/>
          </w:tcPr>
          <w:p w14:paraId="15685EA2" w14:textId="77777777" w:rsidR="00325986" w:rsidRPr="00D37004" w:rsidRDefault="00325986">
            <w:pPr>
              <w:spacing w:before="120" w:after="120"/>
              <w:jc w:val="left"/>
              <w:rPr>
                <w:noProof/>
              </w:rPr>
            </w:pPr>
            <w:r w:rsidRPr="00D37004">
              <w:rPr>
                <w:noProof/>
              </w:rPr>
              <w:t>Term or acronym</w:t>
            </w:r>
          </w:p>
        </w:tc>
        <w:tc>
          <w:tcPr>
            <w:tcW w:w="6501" w:type="dxa"/>
            <w:tcBorders>
              <w:bottom w:val="double" w:sz="4" w:space="0" w:color="auto"/>
            </w:tcBorders>
            <w:shd w:val="clear" w:color="auto" w:fill="F2F2F2" w:themeFill="background1" w:themeFillShade="F2"/>
          </w:tcPr>
          <w:p w14:paraId="60032499" w14:textId="77777777" w:rsidR="00325986" w:rsidRPr="00D37004" w:rsidRDefault="00325986">
            <w:pPr>
              <w:spacing w:before="120" w:after="120"/>
              <w:jc w:val="left"/>
              <w:rPr>
                <w:noProof/>
              </w:rPr>
            </w:pPr>
            <w:r w:rsidRPr="00D37004">
              <w:rPr>
                <w:noProof/>
              </w:rPr>
              <w:t>Meaning or definition</w:t>
            </w:r>
          </w:p>
        </w:tc>
      </w:tr>
      <w:tr w:rsidR="00325986" w:rsidRPr="00D37004" w14:paraId="5339330D" w14:textId="77777777" w:rsidTr="00D47A09">
        <w:trPr>
          <w:trHeight w:val="567"/>
        </w:trPr>
        <w:tc>
          <w:tcPr>
            <w:tcW w:w="2141" w:type="dxa"/>
            <w:tcBorders>
              <w:top w:val="double" w:sz="4" w:space="0" w:color="auto"/>
            </w:tcBorders>
            <w:vAlign w:val="center"/>
          </w:tcPr>
          <w:p w14:paraId="57808698" w14:textId="04ECF32B" w:rsidR="00325986" w:rsidRPr="00D37004" w:rsidRDefault="00325986" w:rsidP="00697B2D">
            <w:pPr>
              <w:spacing w:after="0"/>
              <w:jc w:val="left"/>
              <w:rPr>
                <w:noProof/>
              </w:rPr>
            </w:pPr>
            <w:r w:rsidRPr="00D37004">
              <w:rPr>
                <w:noProof/>
              </w:rPr>
              <w:t>AI</w:t>
            </w:r>
          </w:p>
        </w:tc>
        <w:tc>
          <w:tcPr>
            <w:tcW w:w="6501" w:type="dxa"/>
            <w:tcBorders>
              <w:top w:val="double" w:sz="4" w:space="0" w:color="auto"/>
            </w:tcBorders>
            <w:vAlign w:val="center"/>
          </w:tcPr>
          <w:p w14:paraId="78B858F2" w14:textId="11397996" w:rsidR="00325986" w:rsidRPr="00D37004" w:rsidRDefault="00325986" w:rsidP="00874FA0">
            <w:pPr>
              <w:spacing w:after="0"/>
              <w:rPr>
                <w:noProof/>
              </w:rPr>
            </w:pPr>
            <w:r w:rsidRPr="00D37004">
              <w:rPr>
                <w:noProof/>
              </w:rPr>
              <w:t>Artificial Intelligence</w:t>
            </w:r>
          </w:p>
        </w:tc>
      </w:tr>
      <w:tr w:rsidR="001E2C46" w:rsidRPr="00D37004" w14:paraId="7604CA67" w14:textId="77777777" w:rsidTr="00D47A09">
        <w:trPr>
          <w:trHeight w:val="567"/>
        </w:trPr>
        <w:tc>
          <w:tcPr>
            <w:tcW w:w="2141" w:type="dxa"/>
            <w:vAlign w:val="center"/>
          </w:tcPr>
          <w:p w14:paraId="3AD600F2" w14:textId="77777777" w:rsidR="001E2C46" w:rsidRPr="00D37004" w:rsidRDefault="001E2C46" w:rsidP="00697B2D">
            <w:pPr>
              <w:spacing w:after="0"/>
              <w:jc w:val="left"/>
              <w:rPr>
                <w:noProof/>
              </w:rPr>
            </w:pPr>
            <w:r w:rsidRPr="00D37004">
              <w:rPr>
                <w:noProof/>
              </w:rPr>
              <w:t>AZ</w:t>
            </w:r>
          </w:p>
        </w:tc>
        <w:tc>
          <w:tcPr>
            <w:tcW w:w="6501" w:type="dxa"/>
            <w:vAlign w:val="center"/>
          </w:tcPr>
          <w:p w14:paraId="3EEF1BA8" w14:textId="679F8093" w:rsidR="001E2C46" w:rsidRPr="00D37004" w:rsidRDefault="001E2C46" w:rsidP="00874FA0">
            <w:pPr>
              <w:spacing w:after="0"/>
              <w:rPr>
                <w:noProof/>
              </w:rPr>
            </w:pPr>
            <w:r w:rsidRPr="00D37004">
              <w:rPr>
                <w:noProof/>
              </w:rPr>
              <w:t>Availability Zone</w:t>
            </w:r>
          </w:p>
        </w:tc>
      </w:tr>
      <w:tr w:rsidR="00325986" w:rsidRPr="00D37004" w14:paraId="6F77C36E" w14:textId="77777777" w:rsidTr="00D47A09">
        <w:trPr>
          <w:trHeight w:val="567"/>
        </w:trPr>
        <w:tc>
          <w:tcPr>
            <w:tcW w:w="2141" w:type="dxa"/>
            <w:vAlign w:val="center"/>
          </w:tcPr>
          <w:p w14:paraId="54684C5E" w14:textId="64FA3579" w:rsidR="00325986" w:rsidRPr="00D37004" w:rsidRDefault="00325986" w:rsidP="00697B2D">
            <w:pPr>
              <w:spacing w:after="0"/>
              <w:jc w:val="left"/>
              <w:rPr>
                <w:noProof/>
              </w:rPr>
            </w:pPr>
            <w:r w:rsidRPr="00D37004">
              <w:rPr>
                <w:noProof/>
              </w:rPr>
              <w:t>CEN</w:t>
            </w:r>
          </w:p>
        </w:tc>
        <w:tc>
          <w:tcPr>
            <w:tcW w:w="6501" w:type="dxa"/>
            <w:vAlign w:val="center"/>
          </w:tcPr>
          <w:p w14:paraId="40469966" w14:textId="6DE255D2" w:rsidR="00325986" w:rsidRPr="00D37004" w:rsidRDefault="00325986" w:rsidP="00874FA0">
            <w:pPr>
              <w:spacing w:after="0"/>
              <w:rPr>
                <w:noProof/>
              </w:rPr>
            </w:pPr>
            <w:r w:rsidRPr="00D37004">
              <w:rPr>
                <w:noProof/>
              </w:rPr>
              <w:t>European Committee for Standardization</w:t>
            </w:r>
          </w:p>
        </w:tc>
      </w:tr>
      <w:tr w:rsidR="00325986" w:rsidRPr="00D37004" w14:paraId="54D5FA4C" w14:textId="77777777" w:rsidTr="00D47A09">
        <w:trPr>
          <w:trHeight w:val="567"/>
        </w:trPr>
        <w:tc>
          <w:tcPr>
            <w:tcW w:w="2141" w:type="dxa"/>
            <w:vAlign w:val="center"/>
          </w:tcPr>
          <w:p w14:paraId="609149F2" w14:textId="1F034497" w:rsidR="00325986" w:rsidRPr="00D37004" w:rsidRDefault="00325986" w:rsidP="00697B2D">
            <w:pPr>
              <w:spacing w:after="0"/>
              <w:jc w:val="left"/>
              <w:rPr>
                <w:noProof/>
              </w:rPr>
            </w:pPr>
            <w:r w:rsidRPr="00D37004">
              <w:rPr>
                <w:noProof/>
              </w:rPr>
              <w:t>CENELEC</w:t>
            </w:r>
          </w:p>
        </w:tc>
        <w:tc>
          <w:tcPr>
            <w:tcW w:w="6501" w:type="dxa"/>
            <w:vAlign w:val="center"/>
          </w:tcPr>
          <w:p w14:paraId="40CEB3D6" w14:textId="5B6B0C87" w:rsidR="00325986" w:rsidRPr="00D37004" w:rsidRDefault="00325986" w:rsidP="00874FA0">
            <w:pPr>
              <w:spacing w:after="0"/>
              <w:rPr>
                <w:noProof/>
              </w:rPr>
            </w:pPr>
            <w:r w:rsidRPr="00D37004">
              <w:rPr>
                <w:noProof/>
              </w:rPr>
              <w:t>European Committee for Electrotechnical Standardization</w:t>
            </w:r>
          </w:p>
        </w:tc>
      </w:tr>
      <w:tr w:rsidR="00A05048" w:rsidRPr="00D37004" w14:paraId="66CFC78D" w14:textId="77777777" w:rsidTr="0053604B">
        <w:trPr>
          <w:trHeight w:val="560"/>
        </w:trPr>
        <w:tc>
          <w:tcPr>
            <w:tcW w:w="2141" w:type="dxa"/>
            <w:vAlign w:val="center"/>
          </w:tcPr>
          <w:p w14:paraId="099F7491" w14:textId="781E2B66" w:rsidR="00A05048" w:rsidRPr="00D37004" w:rsidRDefault="00A05048" w:rsidP="00697B2D">
            <w:pPr>
              <w:spacing w:after="0"/>
              <w:jc w:val="left"/>
              <w:rPr>
                <w:noProof/>
              </w:rPr>
            </w:pPr>
            <w:r w:rsidRPr="00D37004">
              <w:rPr>
                <w:noProof/>
              </w:rPr>
              <w:t>CfE</w:t>
            </w:r>
          </w:p>
        </w:tc>
        <w:tc>
          <w:tcPr>
            <w:tcW w:w="6501" w:type="dxa"/>
            <w:vAlign w:val="center"/>
          </w:tcPr>
          <w:p w14:paraId="45479945" w14:textId="0798EC65" w:rsidR="00A05048" w:rsidRPr="00D37004" w:rsidRDefault="00A05048" w:rsidP="00874FA0">
            <w:pPr>
              <w:spacing w:after="0"/>
              <w:rPr>
                <w:noProof/>
              </w:rPr>
            </w:pPr>
            <w:r w:rsidRPr="00D37004">
              <w:rPr>
                <w:noProof/>
              </w:rPr>
              <w:t>Call for Evidence</w:t>
            </w:r>
          </w:p>
        </w:tc>
      </w:tr>
      <w:tr w:rsidR="00997C4E" w:rsidRPr="00D37004" w14:paraId="0E662A72" w14:textId="77777777" w:rsidTr="00D47A09">
        <w:trPr>
          <w:trHeight w:val="567"/>
        </w:trPr>
        <w:tc>
          <w:tcPr>
            <w:tcW w:w="2141" w:type="dxa"/>
            <w:vAlign w:val="center"/>
          </w:tcPr>
          <w:p w14:paraId="45F91BFF" w14:textId="0A56ACBB" w:rsidR="00997C4E" w:rsidRPr="00D37004" w:rsidRDefault="00997C4E" w:rsidP="00697B2D">
            <w:pPr>
              <w:spacing w:after="0"/>
              <w:jc w:val="left"/>
              <w:rPr>
                <w:noProof/>
              </w:rPr>
            </w:pPr>
            <w:r w:rsidRPr="00D37004">
              <w:rPr>
                <w:noProof/>
              </w:rPr>
              <w:t>Colocation data centre</w:t>
            </w:r>
          </w:p>
        </w:tc>
        <w:tc>
          <w:tcPr>
            <w:tcW w:w="6501" w:type="dxa"/>
            <w:vAlign w:val="center"/>
          </w:tcPr>
          <w:p w14:paraId="00B3D7B0" w14:textId="5CFFE774" w:rsidR="00997C4E" w:rsidRPr="00D37004" w:rsidRDefault="00281C1A" w:rsidP="00874FA0">
            <w:pPr>
              <w:spacing w:after="0"/>
              <w:rPr>
                <w:noProof/>
              </w:rPr>
            </w:pPr>
            <w:r w:rsidRPr="00D37004">
              <w:rPr>
                <w:noProof/>
              </w:rPr>
              <w:t>A data centre in which one or more customers install and manage their own network or networks, servers and storage equipment and service</w:t>
            </w:r>
          </w:p>
        </w:tc>
      </w:tr>
      <w:tr w:rsidR="00872CCA" w:rsidRPr="00D37004" w14:paraId="1EA1C8F7" w14:textId="77777777" w:rsidTr="00D47A09">
        <w:trPr>
          <w:trHeight w:val="567"/>
        </w:trPr>
        <w:tc>
          <w:tcPr>
            <w:tcW w:w="2141" w:type="dxa"/>
            <w:vAlign w:val="center"/>
          </w:tcPr>
          <w:p w14:paraId="7AA226F1" w14:textId="5707500B" w:rsidR="00872CCA" w:rsidRPr="00D37004" w:rsidRDefault="00872CCA" w:rsidP="00697B2D">
            <w:pPr>
              <w:spacing w:after="0"/>
              <w:jc w:val="left"/>
              <w:rPr>
                <w:noProof/>
              </w:rPr>
            </w:pPr>
            <w:r w:rsidRPr="00D37004">
              <w:rPr>
                <w:noProof/>
              </w:rPr>
              <w:t>Colocation data centre operator</w:t>
            </w:r>
          </w:p>
        </w:tc>
        <w:tc>
          <w:tcPr>
            <w:tcW w:w="6501" w:type="dxa"/>
            <w:vAlign w:val="center"/>
          </w:tcPr>
          <w:p w14:paraId="39BCE4C9" w14:textId="4102AA7E" w:rsidR="00872CCA" w:rsidRPr="00D37004" w:rsidRDefault="00281C1A" w:rsidP="00874FA0">
            <w:pPr>
              <w:spacing w:after="0"/>
              <w:rPr>
                <w:noProof/>
              </w:rPr>
            </w:pPr>
            <w:r w:rsidRPr="00D37004">
              <w:rPr>
                <w:noProof/>
              </w:rPr>
              <w:t>A</w:t>
            </w:r>
            <w:r w:rsidR="00616EDC" w:rsidRPr="00D37004">
              <w:rPr>
                <w:noProof/>
              </w:rPr>
              <w:t>n organisation</w:t>
            </w:r>
            <w:r w:rsidR="00FD4702" w:rsidRPr="00D37004">
              <w:rPr>
                <w:noProof/>
              </w:rPr>
              <w:t xml:space="preserve"> </w:t>
            </w:r>
            <w:r w:rsidR="003B7765" w:rsidRPr="00D37004">
              <w:rPr>
                <w:noProof/>
              </w:rPr>
              <w:t xml:space="preserve">who manages and </w:t>
            </w:r>
            <w:r w:rsidR="004922BA" w:rsidRPr="00D37004">
              <w:rPr>
                <w:noProof/>
              </w:rPr>
              <w:t>leases/</w:t>
            </w:r>
            <w:r w:rsidR="003B7765" w:rsidRPr="00D37004">
              <w:rPr>
                <w:noProof/>
              </w:rPr>
              <w:t xml:space="preserve">sells space, security, network access, power and cooling capacity </w:t>
            </w:r>
            <w:r w:rsidR="004922BA" w:rsidRPr="00D37004">
              <w:rPr>
                <w:noProof/>
              </w:rPr>
              <w:t>from a</w:t>
            </w:r>
            <w:r w:rsidR="003B7765" w:rsidRPr="00D37004">
              <w:rPr>
                <w:noProof/>
              </w:rPr>
              <w:t xml:space="preserve"> colocation data centre to one or more customers who install and manage their own network or networks, servers and storage equipment and services</w:t>
            </w:r>
          </w:p>
        </w:tc>
      </w:tr>
      <w:tr w:rsidR="00C53B3C" w:rsidRPr="00D37004" w14:paraId="6FA1CAD1" w14:textId="77777777" w:rsidTr="00D47A09">
        <w:trPr>
          <w:trHeight w:val="567"/>
        </w:trPr>
        <w:tc>
          <w:tcPr>
            <w:tcW w:w="2141" w:type="dxa"/>
            <w:vAlign w:val="center"/>
          </w:tcPr>
          <w:p w14:paraId="2CB0C8D5" w14:textId="1FEB3BED" w:rsidR="00C53B3C" w:rsidRPr="00D37004" w:rsidRDefault="00C53B3C" w:rsidP="00697B2D">
            <w:pPr>
              <w:spacing w:after="0"/>
              <w:jc w:val="left"/>
              <w:rPr>
                <w:noProof/>
              </w:rPr>
            </w:pPr>
            <w:r w:rsidRPr="00D37004">
              <w:rPr>
                <w:noProof/>
              </w:rPr>
              <w:t>CSP</w:t>
            </w:r>
          </w:p>
        </w:tc>
        <w:tc>
          <w:tcPr>
            <w:tcW w:w="6501" w:type="dxa"/>
            <w:vAlign w:val="center"/>
          </w:tcPr>
          <w:p w14:paraId="15155D1C" w14:textId="0367D5C7" w:rsidR="00C53B3C" w:rsidRPr="00D37004" w:rsidRDefault="00C53B3C" w:rsidP="00874FA0">
            <w:pPr>
              <w:spacing w:after="0"/>
              <w:rPr>
                <w:noProof/>
              </w:rPr>
            </w:pPr>
            <w:r w:rsidRPr="00D37004">
              <w:rPr>
                <w:noProof/>
              </w:rPr>
              <w:t>Cloud service provider</w:t>
            </w:r>
          </w:p>
        </w:tc>
      </w:tr>
      <w:tr w:rsidR="00D01FCE" w:rsidRPr="00D37004" w14:paraId="6E01DF62" w14:textId="77777777" w:rsidTr="00D47A09">
        <w:trPr>
          <w:trHeight w:val="567"/>
        </w:trPr>
        <w:tc>
          <w:tcPr>
            <w:tcW w:w="2141" w:type="dxa"/>
            <w:vAlign w:val="center"/>
          </w:tcPr>
          <w:p w14:paraId="7D75A9E3" w14:textId="2579E364" w:rsidR="00D01FCE" w:rsidRPr="00D37004" w:rsidRDefault="00F7238A" w:rsidP="00697B2D">
            <w:pPr>
              <w:spacing w:before="60" w:after="0" w:line="276" w:lineRule="auto"/>
              <w:jc w:val="left"/>
              <w:rPr>
                <w:noProof/>
              </w:rPr>
            </w:pPr>
            <w:r w:rsidRPr="00D37004">
              <w:rPr>
                <w:noProof/>
              </w:rPr>
              <w:t>Data Centre (</w:t>
            </w:r>
            <w:r w:rsidR="00D01FCE" w:rsidRPr="00D37004">
              <w:rPr>
                <w:noProof/>
              </w:rPr>
              <w:t>DC</w:t>
            </w:r>
            <w:r w:rsidRPr="00D37004">
              <w:rPr>
                <w:noProof/>
              </w:rPr>
              <w:t>)</w:t>
            </w:r>
          </w:p>
        </w:tc>
        <w:tc>
          <w:tcPr>
            <w:tcW w:w="6501" w:type="dxa"/>
            <w:vAlign w:val="center"/>
          </w:tcPr>
          <w:p w14:paraId="3EDD1E8E" w14:textId="349C8570" w:rsidR="00D01FCE" w:rsidRPr="00D37004" w:rsidRDefault="005010A8" w:rsidP="00874FA0">
            <w:pPr>
              <w:spacing w:before="60" w:after="0" w:line="276" w:lineRule="auto"/>
              <w:rPr>
                <w:noProof/>
              </w:rPr>
            </w:pPr>
            <w:r w:rsidRPr="00D37004">
              <w:rPr>
                <w:noProof/>
              </w:rPr>
              <w:t>A data centre (DC) is defined as a structure or a group of </w:t>
            </w:r>
            <w:r w:rsidRPr="00D37004">
              <w:rPr>
                <w:noProof/>
              </w:rPr>
              <w:br/>
              <w:t>structures used to house, connect and operate computer systems/</w:t>
            </w:r>
            <w:r w:rsidRPr="00D37004">
              <w:rPr>
                <w:noProof/>
              </w:rPr>
              <w:br/>
              <w:t>servers and associated equipment for data storage, processing </w:t>
            </w:r>
            <w:r w:rsidRPr="00D37004">
              <w:rPr>
                <w:noProof/>
              </w:rPr>
              <w:br/>
              <w:t>and/or distribution, as well as related activities.</w:t>
            </w:r>
          </w:p>
          <w:p w14:paraId="2603773B" w14:textId="4A376BCF" w:rsidR="00D01FCE" w:rsidRPr="00D37004" w:rsidRDefault="00D01FCE" w:rsidP="00874FA0">
            <w:pPr>
              <w:spacing w:before="60" w:after="0" w:line="276" w:lineRule="auto"/>
              <w:rPr>
                <w:noProof/>
              </w:rPr>
            </w:pPr>
          </w:p>
        </w:tc>
      </w:tr>
      <w:tr w:rsidR="001E2C46" w:rsidRPr="00D37004" w14:paraId="5AF914D6" w14:textId="77777777" w:rsidTr="00D47A09">
        <w:trPr>
          <w:trHeight w:val="567"/>
        </w:trPr>
        <w:tc>
          <w:tcPr>
            <w:tcW w:w="2141" w:type="dxa"/>
            <w:vAlign w:val="center"/>
          </w:tcPr>
          <w:p w14:paraId="7C080820" w14:textId="77777777" w:rsidR="001E2C46" w:rsidRPr="00D37004" w:rsidRDefault="001E2C46" w:rsidP="00697B2D">
            <w:pPr>
              <w:spacing w:before="60" w:after="0" w:line="276" w:lineRule="auto"/>
              <w:jc w:val="left"/>
              <w:rPr>
                <w:noProof/>
              </w:rPr>
            </w:pPr>
            <w:r w:rsidRPr="00D37004">
              <w:rPr>
                <w:noProof/>
              </w:rPr>
              <w:t>DSO</w:t>
            </w:r>
          </w:p>
        </w:tc>
        <w:tc>
          <w:tcPr>
            <w:tcW w:w="6501" w:type="dxa"/>
            <w:vAlign w:val="center"/>
          </w:tcPr>
          <w:p w14:paraId="5B2CA66A" w14:textId="69162A90" w:rsidR="001E2C46" w:rsidRPr="00D37004" w:rsidRDefault="001E2C46" w:rsidP="00874FA0">
            <w:pPr>
              <w:spacing w:before="60" w:after="0" w:line="276" w:lineRule="auto"/>
              <w:rPr>
                <w:noProof/>
              </w:rPr>
            </w:pPr>
            <w:r w:rsidRPr="00D37004">
              <w:rPr>
                <w:noProof/>
              </w:rPr>
              <w:t>Distribution System Operators</w:t>
            </w:r>
            <w:r w:rsidR="006B0C13" w:rsidRPr="00D37004">
              <w:rPr>
                <w:noProof/>
              </w:rPr>
              <w:t xml:space="preserve"> operate and manage local and regional distribution networks, delivering electricity to end users from the transmission system, such as Data Centres up to </w:t>
            </w:r>
            <w:r w:rsidR="00D07B42" w:rsidRPr="00D37004">
              <w:rPr>
                <w:noProof/>
              </w:rPr>
              <w:t>a given size. See also TSO.</w:t>
            </w:r>
          </w:p>
        </w:tc>
      </w:tr>
      <w:tr w:rsidR="00325986" w:rsidRPr="00D37004" w14:paraId="6462A565" w14:textId="77777777" w:rsidTr="00D47A09">
        <w:trPr>
          <w:trHeight w:val="567"/>
        </w:trPr>
        <w:tc>
          <w:tcPr>
            <w:tcW w:w="2141" w:type="dxa"/>
            <w:vAlign w:val="center"/>
          </w:tcPr>
          <w:p w14:paraId="2FF0227B" w14:textId="34CC6F4F" w:rsidR="00325986" w:rsidRPr="00D37004" w:rsidRDefault="00325986" w:rsidP="00697B2D">
            <w:pPr>
              <w:spacing w:after="0"/>
              <w:jc w:val="left"/>
              <w:rPr>
                <w:noProof/>
              </w:rPr>
            </w:pPr>
            <w:r w:rsidRPr="00D37004">
              <w:rPr>
                <w:noProof/>
              </w:rPr>
              <w:t>EC</w:t>
            </w:r>
          </w:p>
        </w:tc>
        <w:tc>
          <w:tcPr>
            <w:tcW w:w="6501" w:type="dxa"/>
            <w:vAlign w:val="center"/>
          </w:tcPr>
          <w:p w14:paraId="2A679F9A" w14:textId="21D7027E" w:rsidR="00325986" w:rsidRPr="00D37004" w:rsidRDefault="00325986" w:rsidP="00874FA0">
            <w:pPr>
              <w:spacing w:after="0"/>
              <w:rPr>
                <w:noProof/>
              </w:rPr>
            </w:pPr>
            <w:r w:rsidRPr="00D37004">
              <w:rPr>
                <w:noProof/>
              </w:rPr>
              <w:t>European Commission</w:t>
            </w:r>
          </w:p>
        </w:tc>
      </w:tr>
      <w:tr w:rsidR="00DA4E23" w:rsidRPr="00D37004" w14:paraId="5A123D9D" w14:textId="77777777" w:rsidTr="00D47A09">
        <w:trPr>
          <w:trHeight w:val="567"/>
        </w:trPr>
        <w:tc>
          <w:tcPr>
            <w:tcW w:w="2141" w:type="dxa"/>
            <w:vAlign w:val="center"/>
          </w:tcPr>
          <w:p w14:paraId="22560BAB" w14:textId="63A64534" w:rsidR="00DA4E23" w:rsidRPr="00D37004" w:rsidRDefault="006C0D86" w:rsidP="00697B2D">
            <w:pPr>
              <w:spacing w:after="0"/>
              <w:jc w:val="left"/>
              <w:rPr>
                <w:noProof/>
              </w:rPr>
            </w:pPr>
            <w:r w:rsidRPr="00D37004">
              <w:rPr>
                <w:noProof/>
              </w:rPr>
              <w:t>Enterprise</w:t>
            </w:r>
            <w:r w:rsidR="00DA4E23" w:rsidRPr="00D37004">
              <w:rPr>
                <w:noProof/>
              </w:rPr>
              <w:t xml:space="preserve"> data centre operator</w:t>
            </w:r>
          </w:p>
        </w:tc>
        <w:tc>
          <w:tcPr>
            <w:tcW w:w="6501" w:type="dxa"/>
            <w:vAlign w:val="center"/>
          </w:tcPr>
          <w:p w14:paraId="5A0A5957" w14:textId="18E0798F" w:rsidR="00DA4E23" w:rsidRPr="00D37004" w:rsidRDefault="008C3579" w:rsidP="00874FA0">
            <w:pPr>
              <w:spacing w:after="0"/>
              <w:rPr>
                <w:noProof/>
              </w:rPr>
            </w:pPr>
            <w:r w:rsidRPr="00D37004">
              <w:rPr>
                <w:noProof/>
              </w:rPr>
              <w:t>Enterprise data centre operator is a physical or legal person who manages the entire enterprise data centre, including the building and the use of the information technology services delivered</w:t>
            </w:r>
          </w:p>
        </w:tc>
      </w:tr>
      <w:tr w:rsidR="001E2C46" w:rsidRPr="00D37004" w14:paraId="5594275A" w14:textId="77777777" w:rsidTr="00D47A09">
        <w:trPr>
          <w:trHeight w:val="567"/>
        </w:trPr>
        <w:tc>
          <w:tcPr>
            <w:tcW w:w="2141" w:type="dxa"/>
            <w:vAlign w:val="center"/>
          </w:tcPr>
          <w:p w14:paraId="69DAF598" w14:textId="77777777" w:rsidR="001E2C46" w:rsidRPr="00D37004" w:rsidRDefault="001E2C46" w:rsidP="00697B2D">
            <w:pPr>
              <w:spacing w:before="60" w:after="0" w:line="276" w:lineRule="auto"/>
              <w:jc w:val="left"/>
              <w:rPr>
                <w:noProof/>
              </w:rPr>
            </w:pPr>
            <w:r w:rsidRPr="00D37004">
              <w:rPr>
                <w:noProof/>
              </w:rPr>
              <w:t>EED</w:t>
            </w:r>
          </w:p>
        </w:tc>
        <w:tc>
          <w:tcPr>
            <w:tcW w:w="6501" w:type="dxa"/>
            <w:vAlign w:val="center"/>
          </w:tcPr>
          <w:p w14:paraId="100CC953" w14:textId="77777777" w:rsidR="001E2C46" w:rsidRPr="00D37004" w:rsidRDefault="001E2C46" w:rsidP="00874FA0">
            <w:pPr>
              <w:spacing w:before="60" w:after="0" w:line="276" w:lineRule="auto"/>
              <w:rPr>
                <w:noProof/>
              </w:rPr>
            </w:pPr>
            <w:r w:rsidRPr="00D37004">
              <w:rPr>
                <w:noProof/>
              </w:rPr>
              <w:t>Energy Efficiency Directive</w:t>
            </w:r>
          </w:p>
        </w:tc>
      </w:tr>
      <w:tr w:rsidR="001E2C46" w:rsidRPr="00D37004" w14:paraId="1B27B70A" w14:textId="77777777" w:rsidTr="00D47A09">
        <w:trPr>
          <w:trHeight w:val="567"/>
        </w:trPr>
        <w:tc>
          <w:tcPr>
            <w:tcW w:w="2141" w:type="dxa"/>
            <w:vAlign w:val="center"/>
          </w:tcPr>
          <w:p w14:paraId="6DF3913F" w14:textId="77777777" w:rsidR="001E2C46" w:rsidRPr="00D37004" w:rsidRDefault="001E2C46" w:rsidP="00697B2D">
            <w:pPr>
              <w:spacing w:before="60" w:after="0" w:line="276" w:lineRule="auto"/>
              <w:jc w:val="left"/>
              <w:rPr>
                <w:noProof/>
              </w:rPr>
            </w:pPr>
            <w:r w:rsidRPr="00D37004">
              <w:rPr>
                <w:noProof/>
              </w:rPr>
              <w:t>ESO(s)</w:t>
            </w:r>
          </w:p>
        </w:tc>
        <w:tc>
          <w:tcPr>
            <w:tcW w:w="6501" w:type="dxa"/>
            <w:vAlign w:val="center"/>
          </w:tcPr>
          <w:p w14:paraId="34181699" w14:textId="77777777" w:rsidR="001E2C46" w:rsidRPr="00D37004" w:rsidRDefault="001E2C46" w:rsidP="00874FA0">
            <w:pPr>
              <w:spacing w:before="60" w:after="0" w:line="276" w:lineRule="auto"/>
              <w:rPr>
                <w:noProof/>
              </w:rPr>
            </w:pPr>
            <w:r w:rsidRPr="00D37004">
              <w:rPr>
                <w:noProof/>
              </w:rPr>
              <w:t>European Standardisation Organisation(s)</w:t>
            </w:r>
          </w:p>
        </w:tc>
      </w:tr>
      <w:tr w:rsidR="00325986" w:rsidRPr="00D37004" w14:paraId="129318B5" w14:textId="77777777" w:rsidTr="00D47A09">
        <w:trPr>
          <w:trHeight w:val="567"/>
        </w:trPr>
        <w:tc>
          <w:tcPr>
            <w:tcW w:w="2141" w:type="dxa"/>
            <w:vAlign w:val="center"/>
          </w:tcPr>
          <w:p w14:paraId="376FF45A" w14:textId="5087589D" w:rsidR="00325986" w:rsidRPr="00D37004" w:rsidRDefault="00325986" w:rsidP="00697B2D">
            <w:pPr>
              <w:spacing w:after="0"/>
              <w:jc w:val="left"/>
              <w:rPr>
                <w:noProof/>
              </w:rPr>
            </w:pPr>
            <w:r w:rsidRPr="00D37004">
              <w:rPr>
                <w:noProof/>
              </w:rPr>
              <w:t>EU</w:t>
            </w:r>
          </w:p>
        </w:tc>
        <w:tc>
          <w:tcPr>
            <w:tcW w:w="6501" w:type="dxa"/>
            <w:vAlign w:val="center"/>
          </w:tcPr>
          <w:p w14:paraId="5CFDE04F" w14:textId="735F6BC1" w:rsidR="00325986" w:rsidRPr="00D37004" w:rsidRDefault="00325986" w:rsidP="00874FA0">
            <w:pPr>
              <w:spacing w:after="0"/>
              <w:rPr>
                <w:noProof/>
              </w:rPr>
            </w:pPr>
            <w:r w:rsidRPr="00D37004">
              <w:rPr>
                <w:noProof/>
              </w:rPr>
              <w:t>European Union</w:t>
            </w:r>
          </w:p>
        </w:tc>
      </w:tr>
      <w:tr w:rsidR="0035194D" w:rsidRPr="00D37004" w14:paraId="5DDDE3BB" w14:textId="77777777" w:rsidTr="00D47A09">
        <w:trPr>
          <w:trHeight w:val="567"/>
        </w:trPr>
        <w:tc>
          <w:tcPr>
            <w:tcW w:w="2141" w:type="dxa"/>
            <w:vAlign w:val="center"/>
          </w:tcPr>
          <w:p w14:paraId="3F2A1362" w14:textId="477B79E2" w:rsidR="0035194D" w:rsidRPr="00D37004" w:rsidRDefault="0035194D" w:rsidP="00697B2D">
            <w:pPr>
              <w:spacing w:after="0"/>
              <w:jc w:val="left"/>
              <w:rPr>
                <w:noProof/>
              </w:rPr>
            </w:pPr>
            <w:r>
              <w:rPr>
                <w:noProof/>
              </w:rPr>
              <w:t>FLAPD</w:t>
            </w:r>
          </w:p>
        </w:tc>
        <w:tc>
          <w:tcPr>
            <w:tcW w:w="6501" w:type="dxa"/>
            <w:vAlign w:val="center"/>
          </w:tcPr>
          <w:p w14:paraId="4C36656D" w14:textId="7BCFEF6C" w:rsidR="0035194D" w:rsidRPr="00D37004" w:rsidDel="006B5642" w:rsidRDefault="002F2000" w:rsidP="00874FA0">
            <w:pPr>
              <w:spacing w:after="0"/>
              <w:rPr>
                <w:noProof/>
              </w:rPr>
            </w:pPr>
            <w:r>
              <w:rPr>
                <w:noProof/>
              </w:rPr>
              <w:t xml:space="preserve">Refers to the data centre markets located in </w:t>
            </w:r>
            <w:r w:rsidR="005E5AA4">
              <w:rPr>
                <w:noProof/>
              </w:rPr>
              <w:t>Frank</w:t>
            </w:r>
            <w:r>
              <w:rPr>
                <w:noProof/>
              </w:rPr>
              <w:t>furt, London, Amsterdam, Paris and Dublin.</w:t>
            </w:r>
          </w:p>
        </w:tc>
      </w:tr>
      <w:tr w:rsidR="00ED37E5" w:rsidRPr="00D37004" w14:paraId="0DFA41D8" w14:textId="77777777" w:rsidTr="00D47A09">
        <w:trPr>
          <w:trHeight w:val="567"/>
        </w:trPr>
        <w:tc>
          <w:tcPr>
            <w:tcW w:w="2141" w:type="dxa"/>
            <w:vAlign w:val="center"/>
          </w:tcPr>
          <w:p w14:paraId="60585D2A" w14:textId="3A5BAE2D" w:rsidR="00ED37E5" w:rsidRPr="00D37004" w:rsidRDefault="00ED37E5" w:rsidP="00697B2D">
            <w:pPr>
              <w:spacing w:after="0"/>
              <w:jc w:val="left"/>
              <w:rPr>
                <w:noProof/>
              </w:rPr>
            </w:pPr>
            <w:r w:rsidRPr="00D37004">
              <w:rPr>
                <w:noProof/>
              </w:rPr>
              <w:t>FTE</w:t>
            </w:r>
          </w:p>
        </w:tc>
        <w:tc>
          <w:tcPr>
            <w:tcW w:w="6501" w:type="dxa"/>
            <w:vAlign w:val="center"/>
          </w:tcPr>
          <w:p w14:paraId="38FAF0F2" w14:textId="2ACD6D43" w:rsidR="00ED37E5" w:rsidRPr="00D37004" w:rsidRDefault="00ED37E5" w:rsidP="00874FA0">
            <w:pPr>
              <w:spacing w:after="0"/>
              <w:rPr>
                <w:noProof/>
              </w:rPr>
            </w:pPr>
            <w:r w:rsidRPr="00D37004" w:rsidDel="006B5642">
              <w:rPr>
                <w:noProof/>
              </w:rPr>
              <w:t xml:space="preserve">Full </w:t>
            </w:r>
            <w:r w:rsidR="006B5642" w:rsidRPr="00D37004">
              <w:rPr>
                <w:noProof/>
              </w:rPr>
              <w:t>Time</w:t>
            </w:r>
            <w:r w:rsidR="0016668C" w:rsidRPr="00D37004">
              <w:rPr>
                <w:noProof/>
              </w:rPr>
              <w:t xml:space="preserve"> Employee</w:t>
            </w:r>
          </w:p>
        </w:tc>
      </w:tr>
      <w:tr w:rsidR="00325986" w:rsidRPr="00D37004" w14:paraId="19348466" w14:textId="77777777" w:rsidTr="00D47A09">
        <w:trPr>
          <w:trHeight w:val="567"/>
        </w:trPr>
        <w:tc>
          <w:tcPr>
            <w:tcW w:w="2141" w:type="dxa"/>
            <w:vAlign w:val="center"/>
          </w:tcPr>
          <w:p w14:paraId="3027A1B6" w14:textId="2EB5BA75" w:rsidR="00325986" w:rsidRPr="00D37004" w:rsidRDefault="00325986" w:rsidP="00697B2D">
            <w:pPr>
              <w:spacing w:after="0"/>
              <w:jc w:val="left"/>
              <w:rPr>
                <w:noProof/>
              </w:rPr>
            </w:pPr>
            <w:r w:rsidRPr="00D37004">
              <w:rPr>
                <w:noProof/>
              </w:rPr>
              <w:t>GDPR</w:t>
            </w:r>
          </w:p>
        </w:tc>
        <w:tc>
          <w:tcPr>
            <w:tcW w:w="6501" w:type="dxa"/>
            <w:vAlign w:val="center"/>
          </w:tcPr>
          <w:p w14:paraId="7B73814E" w14:textId="0CBEF159" w:rsidR="00325986" w:rsidRPr="00D37004" w:rsidRDefault="00325986" w:rsidP="00874FA0">
            <w:pPr>
              <w:spacing w:after="0"/>
              <w:rPr>
                <w:noProof/>
              </w:rPr>
            </w:pPr>
            <w:r w:rsidRPr="00D37004">
              <w:rPr>
                <w:noProof/>
              </w:rPr>
              <w:t xml:space="preserve">General Data Protection Regulation </w:t>
            </w:r>
          </w:p>
        </w:tc>
      </w:tr>
      <w:tr w:rsidR="00AE0628" w:rsidRPr="00D37004" w14:paraId="37F72C6F" w14:textId="77777777" w:rsidTr="00D47A09">
        <w:trPr>
          <w:trHeight w:val="567"/>
        </w:trPr>
        <w:tc>
          <w:tcPr>
            <w:tcW w:w="2141" w:type="dxa"/>
            <w:vAlign w:val="center"/>
          </w:tcPr>
          <w:p w14:paraId="0D5E79EF" w14:textId="25194F82" w:rsidR="00AE0628" w:rsidRPr="00D37004" w:rsidRDefault="00AE0628" w:rsidP="00697B2D">
            <w:pPr>
              <w:spacing w:after="0"/>
              <w:jc w:val="left"/>
              <w:rPr>
                <w:noProof/>
              </w:rPr>
            </w:pPr>
            <w:r w:rsidRPr="00D37004">
              <w:rPr>
                <w:noProof/>
              </w:rPr>
              <w:t>Hyperscaler</w:t>
            </w:r>
          </w:p>
        </w:tc>
        <w:tc>
          <w:tcPr>
            <w:tcW w:w="6501" w:type="dxa"/>
            <w:vAlign w:val="center"/>
          </w:tcPr>
          <w:p w14:paraId="7C788E47" w14:textId="720F2839" w:rsidR="00AE0628" w:rsidRPr="00D37004" w:rsidRDefault="00DA31B5" w:rsidP="00874FA0">
            <w:pPr>
              <w:spacing w:after="0"/>
              <w:rPr>
                <w:noProof/>
              </w:rPr>
            </w:pPr>
            <w:r w:rsidRPr="00D37004">
              <w:rPr>
                <w:noProof/>
              </w:rPr>
              <w:t xml:space="preserve">Hyperscalers are very large cloud service providers. They are characterized by their ability to provide cloud computing at </w:t>
            </w:r>
            <w:r w:rsidR="00A7799A" w:rsidRPr="00D37004">
              <w:rPr>
                <w:noProof/>
              </w:rPr>
              <w:t>very large scale</w:t>
            </w:r>
            <w:r w:rsidRPr="00D37004">
              <w:rPr>
                <w:noProof/>
              </w:rPr>
              <w:t xml:space="preserve">. </w:t>
            </w:r>
            <w:r w:rsidR="00A7799A" w:rsidRPr="00D37004">
              <w:rPr>
                <w:noProof/>
              </w:rPr>
              <w:t>H</w:t>
            </w:r>
            <w:r w:rsidRPr="00D37004">
              <w:rPr>
                <w:noProof/>
              </w:rPr>
              <w:t>yperscalers include Amazon</w:t>
            </w:r>
            <w:r w:rsidR="00A7799A" w:rsidRPr="00D37004">
              <w:rPr>
                <w:noProof/>
              </w:rPr>
              <w:t xml:space="preserve"> (Amazon Web Services)</w:t>
            </w:r>
            <w:r w:rsidRPr="00D37004">
              <w:rPr>
                <w:noProof/>
              </w:rPr>
              <w:t>, Microsoft</w:t>
            </w:r>
            <w:r w:rsidR="00A7799A" w:rsidRPr="00D37004">
              <w:rPr>
                <w:noProof/>
              </w:rPr>
              <w:t xml:space="preserve"> (Azure)</w:t>
            </w:r>
            <w:r w:rsidRPr="00D37004">
              <w:rPr>
                <w:noProof/>
              </w:rPr>
              <w:t>, and Google</w:t>
            </w:r>
            <w:r w:rsidR="001C400A" w:rsidRPr="00D37004">
              <w:rPr>
                <w:noProof/>
              </w:rPr>
              <w:t xml:space="preserve"> (Google Cloud Platform)</w:t>
            </w:r>
            <w:r w:rsidRPr="00D37004">
              <w:rPr>
                <w:noProof/>
              </w:rPr>
              <w:t>.</w:t>
            </w:r>
          </w:p>
        </w:tc>
      </w:tr>
      <w:tr w:rsidR="00325986" w:rsidRPr="00D37004" w14:paraId="5F6E0072" w14:textId="77777777" w:rsidTr="00D47A09">
        <w:trPr>
          <w:trHeight w:val="567"/>
        </w:trPr>
        <w:tc>
          <w:tcPr>
            <w:tcW w:w="2141" w:type="dxa"/>
            <w:vAlign w:val="center"/>
          </w:tcPr>
          <w:p w14:paraId="0EC808A9" w14:textId="143DAAD1" w:rsidR="00325986" w:rsidRPr="00D37004" w:rsidRDefault="00325986" w:rsidP="00697B2D">
            <w:pPr>
              <w:spacing w:after="0"/>
              <w:jc w:val="left"/>
              <w:rPr>
                <w:noProof/>
              </w:rPr>
            </w:pPr>
            <w:r w:rsidRPr="00D37004">
              <w:rPr>
                <w:noProof/>
              </w:rPr>
              <w:t>IA</w:t>
            </w:r>
          </w:p>
        </w:tc>
        <w:tc>
          <w:tcPr>
            <w:tcW w:w="6501" w:type="dxa"/>
            <w:vAlign w:val="center"/>
          </w:tcPr>
          <w:p w14:paraId="2B00F970" w14:textId="1CCED258" w:rsidR="00325986" w:rsidRPr="00D37004" w:rsidRDefault="00325986" w:rsidP="00874FA0">
            <w:pPr>
              <w:spacing w:after="0"/>
              <w:rPr>
                <w:noProof/>
              </w:rPr>
            </w:pPr>
            <w:r w:rsidRPr="00D37004">
              <w:rPr>
                <w:noProof/>
              </w:rPr>
              <w:t>Impact Assessment</w:t>
            </w:r>
          </w:p>
        </w:tc>
      </w:tr>
      <w:tr w:rsidR="00325986" w:rsidRPr="00D37004" w14:paraId="7629AAC8" w14:textId="77777777" w:rsidTr="00D47A09">
        <w:trPr>
          <w:trHeight w:val="567"/>
        </w:trPr>
        <w:tc>
          <w:tcPr>
            <w:tcW w:w="2141" w:type="dxa"/>
            <w:vAlign w:val="center"/>
          </w:tcPr>
          <w:p w14:paraId="1A140F8D" w14:textId="411BF149" w:rsidR="00325986" w:rsidRPr="00D37004" w:rsidRDefault="00E262C4" w:rsidP="00697B2D">
            <w:pPr>
              <w:spacing w:after="0"/>
              <w:jc w:val="left"/>
              <w:rPr>
                <w:noProof/>
              </w:rPr>
            </w:pPr>
            <w:r w:rsidRPr="00D37004">
              <w:rPr>
                <w:noProof/>
              </w:rPr>
              <w:t>ICT</w:t>
            </w:r>
          </w:p>
        </w:tc>
        <w:tc>
          <w:tcPr>
            <w:tcW w:w="6501" w:type="dxa"/>
            <w:vAlign w:val="center"/>
          </w:tcPr>
          <w:p w14:paraId="0EA54A8D" w14:textId="68044DFE" w:rsidR="00325986" w:rsidRPr="00D37004" w:rsidRDefault="00E262C4" w:rsidP="00874FA0">
            <w:pPr>
              <w:spacing w:after="0"/>
              <w:rPr>
                <w:noProof/>
              </w:rPr>
            </w:pPr>
            <w:r w:rsidRPr="00D37004">
              <w:rPr>
                <w:noProof/>
              </w:rPr>
              <w:t>Information and Communication Technology</w:t>
            </w:r>
          </w:p>
        </w:tc>
      </w:tr>
      <w:tr w:rsidR="001E2C46" w:rsidRPr="00D37004" w14:paraId="588E9973" w14:textId="77777777" w:rsidTr="00D47A09">
        <w:trPr>
          <w:trHeight w:val="567"/>
        </w:trPr>
        <w:tc>
          <w:tcPr>
            <w:tcW w:w="2141" w:type="dxa"/>
            <w:vAlign w:val="center"/>
          </w:tcPr>
          <w:p w14:paraId="7483EE71" w14:textId="77777777" w:rsidR="001E2C46" w:rsidRPr="00D37004" w:rsidRDefault="001E2C46" w:rsidP="00697B2D">
            <w:pPr>
              <w:spacing w:after="0"/>
              <w:jc w:val="left"/>
              <w:rPr>
                <w:noProof/>
              </w:rPr>
            </w:pPr>
            <w:r w:rsidRPr="00D37004">
              <w:rPr>
                <w:noProof/>
              </w:rPr>
              <w:t>IPCEI</w:t>
            </w:r>
          </w:p>
        </w:tc>
        <w:tc>
          <w:tcPr>
            <w:tcW w:w="6501" w:type="dxa"/>
            <w:vAlign w:val="center"/>
          </w:tcPr>
          <w:p w14:paraId="045F56B9" w14:textId="77777777" w:rsidR="001E2C46" w:rsidRPr="00D37004" w:rsidRDefault="001E2C46" w:rsidP="00874FA0">
            <w:pPr>
              <w:spacing w:after="0"/>
              <w:rPr>
                <w:noProof/>
              </w:rPr>
            </w:pPr>
            <w:r w:rsidRPr="00D37004">
              <w:rPr>
                <w:noProof/>
              </w:rPr>
              <w:t>Important Project of Common European Interest</w:t>
            </w:r>
          </w:p>
        </w:tc>
      </w:tr>
      <w:tr w:rsidR="00325986" w:rsidRPr="00D37004" w14:paraId="28DFB4BB" w14:textId="77777777" w:rsidTr="00D47A09">
        <w:trPr>
          <w:trHeight w:val="567"/>
        </w:trPr>
        <w:tc>
          <w:tcPr>
            <w:tcW w:w="2141" w:type="dxa"/>
            <w:vAlign w:val="center"/>
          </w:tcPr>
          <w:p w14:paraId="3789B743" w14:textId="0830E643" w:rsidR="00325986" w:rsidRPr="00D37004" w:rsidRDefault="00E262C4" w:rsidP="00697B2D">
            <w:pPr>
              <w:spacing w:after="0"/>
              <w:jc w:val="left"/>
              <w:rPr>
                <w:noProof/>
              </w:rPr>
            </w:pPr>
            <w:r w:rsidRPr="00D37004">
              <w:rPr>
                <w:noProof/>
              </w:rPr>
              <w:t xml:space="preserve">MS </w:t>
            </w:r>
          </w:p>
        </w:tc>
        <w:tc>
          <w:tcPr>
            <w:tcW w:w="6501" w:type="dxa"/>
            <w:vAlign w:val="center"/>
          </w:tcPr>
          <w:p w14:paraId="394861E1" w14:textId="56FE5BC6" w:rsidR="00325986" w:rsidRPr="00D37004" w:rsidRDefault="00E262C4" w:rsidP="00874FA0">
            <w:pPr>
              <w:spacing w:after="0"/>
              <w:rPr>
                <w:noProof/>
              </w:rPr>
            </w:pPr>
            <w:r w:rsidRPr="00D37004">
              <w:rPr>
                <w:noProof/>
              </w:rPr>
              <w:t>Member State(s)</w:t>
            </w:r>
          </w:p>
        </w:tc>
      </w:tr>
      <w:tr w:rsidR="001E2C46" w:rsidRPr="00D37004" w14:paraId="5D7B44B5" w14:textId="77777777" w:rsidTr="00D47A09">
        <w:trPr>
          <w:trHeight w:val="567"/>
        </w:trPr>
        <w:tc>
          <w:tcPr>
            <w:tcW w:w="2141" w:type="dxa"/>
            <w:vAlign w:val="center"/>
          </w:tcPr>
          <w:p w14:paraId="7FBC4AB2" w14:textId="77777777" w:rsidR="001E2C46" w:rsidRPr="00D37004" w:rsidRDefault="001E2C46" w:rsidP="00697B2D">
            <w:pPr>
              <w:spacing w:before="60" w:after="0" w:line="276" w:lineRule="auto"/>
              <w:jc w:val="left"/>
              <w:rPr>
                <w:noProof/>
              </w:rPr>
            </w:pPr>
            <w:r w:rsidRPr="00D37004">
              <w:rPr>
                <w:noProof/>
              </w:rPr>
              <w:t>OSS</w:t>
            </w:r>
          </w:p>
        </w:tc>
        <w:tc>
          <w:tcPr>
            <w:tcW w:w="6501" w:type="dxa"/>
            <w:vAlign w:val="center"/>
          </w:tcPr>
          <w:p w14:paraId="758A80C7" w14:textId="4161BACD" w:rsidR="001E2C46" w:rsidRPr="00D37004" w:rsidRDefault="001E2C46" w:rsidP="00874FA0">
            <w:pPr>
              <w:spacing w:before="60" w:after="0" w:line="276" w:lineRule="auto"/>
              <w:rPr>
                <w:noProof/>
              </w:rPr>
            </w:pPr>
            <w:r w:rsidRPr="00D37004">
              <w:rPr>
                <w:noProof/>
              </w:rPr>
              <w:t xml:space="preserve">Open-Source </w:t>
            </w:r>
            <w:r w:rsidR="00D07B42" w:rsidRPr="00D37004">
              <w:rPr>
                <w:noProof/>
              </w:rPr>
              <w:t>Software</w:t>
            </w:r>
            <w:r w:rsidR="00994586" w:rsidRPr="00D37004">
              <w:rPr>
                <w:noProof/>
              </w:rPr>
              <w:t xml:space="preserve"> is software that is released under a license that allows users to view, modify, and distribute the source code.</w:t>
            </w:r>
          </w:p>
        </w:tc>
      </w:tr>
      <w:tr w:rsidR="00325986" w:rsidRPr="00D37004" w14:paraId="3E13CE89" w14:textId="77777777" w:rsidTr="00D47A09">
        <w:trPr>
          <w:trHeight w:val="567"/>
        </w:trPr>
        <w:tc>
          <w:tcPr>
            <w:tcW w:w="2141" w:type="dxa"/>
            <w:vAlign w:val="center"/>
          </w:tcPr>
          <w:p w14:paraId="2925220E" w14:textId="7F7D48DF" w:rsidR="00325986" w:rsidRPr="00D37004" w:rsidRDefault="00E262C4" w:rsidP="00697B2D">
            <w:pPr>
              <w:spacing w:after="0"/>
              <w:jc w:val="left"/>
              <w:rPr>
                <w:noProof/>
              </w:rPr>
            </w:pPr>
            <w:r w:rsidRPr="00D37004">
              <w:rPr>
                <w:noProof/>
              </w:rPr>
              <w:t>PC</w:t>
            </w:r>
          </w:p>
        </w:tc>
        <w:tc>
          <w:tcPr>
            <w:tcW w:w="6501" w:type="dxa"/>
            <w:vAlign w:val="center"/>
          </w:tcPr>
          <w:p w14:paraId="10984ECD" w14:textId="04618FEC" w:rsidR="00325986" w:rsidRPr="00D37004" w:rsidRDefault="00E262C4" w:rsidP="00874FA0">
            <w:pPr>
              <w:spacing w:after="0"/>
              <w:rPr>
                <w:noProof/>
              </w:rPr>
            </w:pPr>
            <w:r w:rsidRPr="00D37004">
              <w:rPr>
                <w:noProof/>
              </w:rPr>
              <w:t>Public Consultation</w:t>
            </w:r>
          </w:p>
        </w:tc>
      </w:tr>
      <w:tr w:rsidR="00CE2A09" w:rsidRPr="00D37004" w14:paraId="41C40E6B" w14:textId="77777777" w:rsidTr="00D47A09">
        <w:trPr>
          <w:trHeight w:val="567"/>
        </w:trPr>
        <w:tc>
          <w:tcPr>
            <w:tcW w:w="2141" w:type="dxa"/>
            <w:vAlign w:val="center"/>
          </w:tcPr>
          <w:p w14:paraId="1B6FA369" w14:textId="21E71488" w:rsidR="00CE2A09" w:rsidRPr="00D37004" w:rsidRDefault="00CE2A09" w:rsidP="00697B2D">
            <w:pPr>
              <w:spacing w:after="0"/>
              <w:jc w:val="left"/>
              <w:rPr>
                <w:noProof/>
              </w:rPr>
            </w:pPr>
            <w:r w:rsidRPr="00D37004">
              <w:rPr>
                <w:noProof/>
              </w:rPr>
              <w:t>PUE</w:t>
            </w:r>
          </w:p>
        </w:tc>
        <w:tc>
          <w:tcPr>
            <w:tcW w:w="6501" w:type="dxa"/>
            <w:vAlign w:val="center"/>
          </w:tcPr>
          <w:p w14:paraId="24DCB2CC" w14:textId="202BC036" w:rsidR="00CE2A09" w:rsidRPr="00D37004" w:rsidRDefault="00CE2A09" w:rsidP="00874FA0">
            <w:pPr>
              <w:spacing w:after="0"/>
              <w:rPr>
                <w:noProof/>
              </w:rPr>
            </w:pPr>
            <w:r w:rsidRPr="00D37004">
              <w:rPr>
                <w:noProof/>
              </w:rPr>
              <w:t xml:space="preserve">Power </w:t>
            </w:r>
            <w:r w:rsidR="00AD0F17" w:rsidRPr="00D37004">
              <w:rPr>
                <w:noProof/>
              </w:rPr>
              <w:t>Usage Effectiveness</w:t>
            </w:r>
            <w:r w:rsidR="0098158E" w:rsidRPr="00D37004">
              <w:rPr>
                <w:noProof/>
              </w:rPr>
              <w:t>, or PUE,</w:t>
            </w:r>
            <w:r w:rsidR="00AD0F17" w:rsidRPr="00D37004">
              <w:rPr>
                <w:noProof/>
              </w:rPr>
              <w:t xml:space="preserve"> </w:t>
            </w:r>
            <w:r w:rsidR="0098158E" w:rsidRPr="00D37004">
              <w:rPr>
                <w:noProof/>
              </w:rPr>
              <w:t>is a metric used to measure the energy efficiency of data centres. It is defined as the ratio of total facility energy to the energy used by IT equipment.</w:t>
            </w:r>
            <w:r w:rsidR="00E03C2B" w:rsidRPr="00D37004">
              <w:rPr>
                <w:noProof/>
              </w:rPr>
              <w:t xml:space="preserve"> A PUE of 1</w:t>
            </w:r>
            <w:r w:rsidR="00BB0008">
              <w:rPr>
                <w:noProof/>
              </w:rPr>
              <w:t>.</w:t>
            </w:r>
            <w:r w:rsidR="00E03C2B" w:rsidRPr="00D37004">
              <w:rPr>
                <w:noProof/>
              </w:rPr>
              <w:t xml:space="preserve">2 implies that </w:t>
            </w:r>
            <w:r w:rsidR="00BA2DCF" w:rsidRPr="00D37004">
              <w:rPr>
                <w:noProof/>
              </w:rPr>
              <w:t>for each unit of energy spent in powering IT equipment, 0</w:t>
            </w:r>
            <w:r w:rsidR="00BB0008">
              <w:rPr>
                <w:noProof/>
              </w:rPr>
              <w:t>.</w:t>
            </w:r>
            <w:r w:rsidR="00BA2DCF" w:rsidRPr="00D37004">
              <w:rPr>
                <w:noProof/>
              </w:rPr>
              <w:t xml:space="preserve">2 units are spent for non-IT equipment such as cooling. </w:t>
            </w:r>
            <w:r w:rsidR="0098158E" w:rsidRPr="00D37004">
              <w:rPr>
                <w:noProof/>
              </w:rPr>
              <w:t>A lower PUE indicates better energy efficiency, as it means less energy is being used for non-IT purposes.</w:t>
            </w:r>
          </w:p>
        </w:tc>
      </w:tr>
      <w:tr w:rsidR="001E2C46" w:rsidRPr="00D37004" w14:paraId="02078C63" w14:textId="77777777" w:rsidTr="00D47A09">
        <w:trPr>
          <w:trHeight w:val="510"/>
        </w:trPr>
        <w:tc>
          <w:tcPr>
            <w:tcW w:w="2141" w:type="dxa"/>
            <w:vAlign w:val="center"/>
          </w:tcPr>
          <w:p w14:paraId="094BA6FD" w14:textId="00BA24AC" w:rsidR="001E2C46" w:rsidRPr="00D37004" w:rsidRDefault="001E2C46" w:rsidP="00302AB5">
            <w:pPr>
              <w:spacing w:after="0"/>
              <w:jc w:val="left"/>
              <w:rPr>
                <w:noProof/>
              </w:rPr>
            </w:pPr>
            <w:r w:rsidRPr="00D37004">
              <w:rPr>
                <w:noProof/>
              </w:rPr>
              <w:t>Simpl</w:t>
            </w:r>
          </w:p>
        </w:tc>
        <w:tc>
          <w:tcPr>
            <w:tcW w:w="6501" w:type="dxa"/>
            <w:vAlign w:val="center"/>
          </w:tcPr>
          <w:p w14:paraId="3651FA99" w14:textId="66D7F89B" w:rsidR="001E2C46" w:rsidRPr="00D37004" w:rsidRDefault="001E2C46" w:rsidP="00874FA0">
            <w:pPr>
              <w:spacing w:after="0"/>
              <w:rPr>
                <w:noProof/>
              </w:rPr>
            </w:pPr>
            <w:r w:rsidRPr="00D37004">
              <w:rPr>
                <w:noProof/>
              </w:rPr>
              <w:t>Smart middleware platform for data spaces</w:t>
            </w:r>
          </w:p>
        </w:tc>
      </w:tr>
      <w:tr w:rsidR="00325986" w:rsidRPr="00D37004" w14:paraId="65737F69" w14:textId="77777777" w:rsidTr="00D47A09">
        <w:trPr>
          <w:trHeight w:val="510"/>
        </w:trPr>
        <w:tc>
          <w:tcPr>
            <w:tcW w:w="2141" w:type="dxa"/>
            <w:vAlign w:val="center"/>
          </w:tcPr>
          <w:p w14:paraId="18E7433A" w14:textId="3C21BA06" w:rsidR="00325986" w:rsidRPr="00D37004" w:rsidRDefault="00E262C4" w:rsidP="00302AB5">
            <w:pPr>
              <w:spacing w:after="0"/>
              <w:jc w:val="left"/>
              <w:rPr>
                <w:noProof/>
              </w:rPr>
            </w:pPr>
            <w:r w:rsidRPr="00D37004">
              <w:rPr>
                <w:noProof/>
              </w:rPr>
              <w:t>SME(s)</w:t>
            </w:r>
          </w:p>
        </w:tc>
        <w:tc>
          <w:tcPr>
            <w:tcW w:w="6501" w:type="dxa"/>
            <w:vAlign w:val="center"/>
          </w:tcPr>
          <w:p w14:paraId="7B0AB94C" w14:textId="74EA3CA9" w:rsidR="00325986" w:rsidRPr="00D37004" w:rsidRDefault="00E262C4" w:rsidP="00874FA0">
            <w:pPr>
              <w:spacing w:after="0"/>
              <w:rPr>
                <w:noProof/>
              </w:rPr>
            </w:pPr>
            <w:r w:rsidRPr="00D37004">
              <w:rPr>
                <w:noProof/>
              </w:rPr>
              <w:t>Small- and Medium-sized Enterprise(s)</w:t>
            </w:r>
          </w:p>
        </w:tc>
      </w:tr>
      <w:tr w:rsidR="00325986" w:rsidRPr="00D37004" w14:paraId="763382EC" w14:textId="77777777" w:rsidTr="00D47A09">
        <w:trPr>
          <w:trHeight w:val="510"/>
        </w:trPr>
        <w:tc>
          <w:tcPr>
            <w:tcW w:w="2141" w:type="dxa"/>
            <w:vAlign w:val="center"/>
          </w:tcPr>
          <w:p w14:paraId="1AEBC114" w14:textId="59262058" w:rsidR="00325986" w:rsidRPr="00D37004" w:rsidRDefault="00E262C4" w:rsidP="00302AB5">
            <w:pPr>
              <w:spacing w:after="0"/>
              <w:jc w:val="left"/>
              <w:rPr>
                <w:noProof/>
              </w:rPr>
            </w:pPr>
            <w:r w:rsidRPr="00D37004">
              <w:rPr>
                <w:noProof/>
              </w:rPr>
              <w:t>TFEU</w:t>
            </w:r>
          </w:p>
        </w:tc>
        <w:tc>
          <w:tcPr>
            <w:tcW w:w="6501" w:type="dxa"/>
            <w:vAlign w:val="center"/>
          </w:tcPr>
          <w:p w14:paraId="615ADF40" w14:textId="26B3C10A" w:rsidR="00325986" w:rsidRPr="00D37004" w:rsidRDefault="00E262C4" w:rsidP="00874FA0">
            <w:pPr>
              <w:spacing w:after="0"/>
              <w:rPr>
                <w:noProof/>
              </w:rPr>
            </w:pPr>
            <w:r w:rsidRPr="00D37004">
              <w:rPr>
                <w:noProof/>
              </w:rPr>
              <w:t>Treaty on the Functioning of the European Union</w:t>
            </w:r>
          </w:p>
        </w:tc>
      </w:tr>
      <w:tr w:rsidR="00325986" w:rsidRPr="00D37004" w14:paraId="37B880DB" w14:textId="77777777" w:rsidTr="00D47A09">
        <w:trPr>
          <w:trHeight w:val="510"/>
        </w:trPr>
        <w:tc>
          <w:tcPr>
            <w:tcW w:w="2141" w:type="dxa"/>
            <w:vAlign w:val="center"/>
          </w:tcPr>
          <w:p w14:paraId="2AD1E9B0" w14:textId="692F5F4A" w:rsidR="00325986" w:rsidRPr="00D37004" w:rsidRDefault="00D7794D" w:rsidP="00302AB5">
            <w:pPr>
              <w:spacing w:after="0"/>
              <w:jc w:val="left"/>
              <w:rPr>
                <w:noProof/>
              </w:rPr>
            </w:pPr>
            <w:r w:rsidRPr="00D37004">
              <w:rPr>
                <w:noProof/>
              </w:rPr>
              <w:t>TS</w:t>
            </w:r>
          </w:p>
        </w:tc>
        <w:tc>
          <w:tcPr>
            <w:tcW w:w="6501" w:type="dxa"/>
            <w:vAlign w:val="center"/>
          </w:tcPr>
          <w:p w14:paraId="51FED183" w14:textId="197BC9D0" w:rsidR="00325986" w:rsidRPr="00D37004" w:rsidRDefault="00D7794D" w:rsidP="00874FA0">
            <w:pPr>
              <w:spacing w:after="0"/>
              <w:rPr>
                <w:noProof/>
              </w:rPr>
            </w:pPr>
            <w:r w:rsidRPr="00D37004">
              <w:rPr>
                <w:noProof/>
              </w:rPr>
              <w:t xml:space="preserve">Technical </w:t>
            </w:r>
            <w:r w:rsidR="00D20153" w:rsidRPr="00D37004">
              <w:rPr>
                <w:noProof/>
              </w:rPr>
              <w:t>Specification</w:t>
            </w:r>
          </w:p>
        </w:tc>
      </w:tr>
      <w:tr w:rsidR="001E2C46" w:rsidRPr="00D37004" w14:paraId="0917FEDD" w14:textId="77777777" w:rsidTr="00D47A09">
        <w:trPr>
          <w:trHeight w:val="510"/>
        </w:trPr>
        <w:tc>
          <w:tcPr>
            <w:tcW w:w="2141" w:type="dxa"/>
            <w:vAlign w:val="center"/>
          </w:tcPr>
          <w:p w14:paraId="3BE22EC3" w14:textId="77777777" w:rsidR="001E2C46" w:rsidRPr="00D37004" w:rsidRDefault="001E2C46" w:rsidP="00302AB5">
            <w:pPr>
              <w:spacing w:before="60" w:after="0" w:line="276" w:lineRule="auto"/>
              <w:jc w:val="left"/>
              <w:rPr>
                <w:noProof/>
              </w:rPr>
            </w:pPr>
            <w:r w:rsidRPr="00D37004">
              <w:rPr>
                <w:noProof/>
              </w:rPr>
              <w:t>TSO</w:t>
            </w:r>
          </w:p>
        </w:tc>
        <w:tc>
          <w:tcPr>
            <w:tcW w:w="6501" w:type="dxa"/>
            <w:vAlign w:val="center"/>
          </w:tcPr>
          <w:p w14:paraId="10F1EA2E" w14:textId="77777777" w:rsidR="001E2C46" w:rsidRDefault="001E2C46" w:rsidP="00874FA0">
            <w:pPr>
              <w:spacing w:before="60" w:after="0" w:line="276" w:lineRule="auto"/>
              <w:rPr>
                <w:noProof/>
              </w:rPr>
            </w:pPr>
            <w:r w:rsidRPr="00D37004">
              <w:rPr>
                <w:noProof/>
              </w:rPr>
              <w:t>Transmission System Operators</w:t>
            </w:r>
            <w:r w:rsidR="0080637D" w:rsidRPr="00D37004">
              <w:rPr>
                <w:noProof/>
              </w:rPr>
              <w:t>, or TSOs, manage the high-voltage transmission networks that transport electricity over long distances, ensuring stability and reliability across regions.</w:t>
            </w:r>
            <w:r w:rsidR="0006357B" w:rsidRPr="00D37004">
              <w:rPr>
                <w:noProof/>
              </w:rPr>
              <w:t xml:space="preserve"> Above a given size, Data Centres connect to the grid directly through TSOs. See also DSO.</w:t>
            </w:r>
          </w:p>
          <w:p w14:paraId="6F28BE43" w14:textId="0CF8B203" w:rsidR="00BB3222" w:rsidRPr="00D37004" w:rsidRDefault="00BB3222" w:rsidP="00874FA0">
            <w:pPr>
              <w:spacing w:before="60" w:after="0" w:line="276" w:lineRule="auto"/>
              <w:rPr>
                <w:noProof/>
              </w:rPr>
            </w:pPr>
          </w:p>
        </w:tc>
      </w:tr>
    </w:tbl>
    <w:p w14:paraId="6FFC44EA" w14:textId="77777777" w:rsidR="00C86C49" w:rsidRPr="00D37004" w:rsidRDefault="00C86C49" w:rsidP="003E4705">
      <w:pPr>
        <w:rPr>
          <w:noProof/>
        </w:rPr>
        <w:sectPr w:rsidR="00C86C49" w:rsidRPr="00D37004" w:rsidSect="001E2436">
          <w:headerReference w:type="even" r:id="rId18"/>
          <w:headerReference w:type="default" r:id="rId19"/>
          <w:footerReference w:type="even" r:id="rId20"/>
          <w:footerReference w:type="default" r:id="rId21"/>
          <w:headerReference w:type="first" r:id="rId22"/>
          <w:footerReference w:type="first" r:id="rId23"/>
          <w:pgSz w:w="11906" w:h="16838"/>
          <w:pgMar w:top="1020" w:right="1700" w:bottom="1020" w:left="1587" w:header="601" w:footer="1077" w:gutter="0"/>
          <w:pgNumType w:fmt="upperRoman"/>
          <w:cols w:space="720"/>
          <w:docGrid w:linePitch="326"/>
        </w:sectPr>
      </w:pPr>
      <w:bookmarkStart w:id="4" w:name="_Toc208138423"/>
    </w:p>
    <w:p w14:paraId="561EDA07" w14:textId="1303E3B0" w:rsidR="0099524E" w:rsidRPr="00D37004" w:rsidRDefault="0099524E" w:rsidP="009B2EF2">
      <w:pPr>
        <w:pStyle w:val="AnnexTitle"/>
        <w:rPr>
          <w:noProof/>
          <w:lang w:val="en-IE"/>
        </w:rPr>
      </w:pPr>
      <w:bookmarkStart w:id="5" w:name="_Toc214902932"/>
      <w:bookmarkStart w:id="6" w:name="_Toc214902933"/>
      <w:bookmarkStart w:id="7" w:name="_Toc214902937"/>
      <w:bookmarkStart w:id="8" w:name="_Toc214902942"/>
      <w:bookmarkStart w:id="9" w:name="_Toc214902947"/>
      <w:bookmarkStart w:id="10" w:name="_Toc214902951"/>
      <w:bookmarkStart w:id="11" w:name="_Toc214902956"/>
      <w:bookmarkStart w:id="12" w:name="_Toc214902961"/>
      <w:bookmarkStart w:id="13" w:name="_Toc214902970"/>
      <w:bookmarkStart w:id="14" w:name="_Toc139373869"/>
      <w:bookmarkStart w:id="15" w:name="_Toc208138432"/>
      <w:bookmarkStart w:id="16" w:name="_Toc216283322"/>
      <w:bookmarkStart w:id="17" w:name="_Toc228346877"/>
      <w:bookmarkEnd w:id="4"/>
      <w:bookmarkEnd w:id="5"/>
      <w:bookmarkEnd w:id="6"/>
      <w:bookmarkEnd w:id="7"/>
      <w:bookmarkEnd w:id="8"/>
      <w:bookmarkEnd w:id="9"/>
      <w:bookmarkEnd w:id="10"/>
      <w:bookmarkEnd w:id="11"/>
      <w:bookmarkEnd w:id="12"/>
      <w:bookmarkEnd w:id="13"/>
      <w:r w:rsidRPr="00156ABF">
        <w:rPr>
          <w:noProof/>
          <w:lang w:val="en-IE"/>
        </w:rPr>
        <w:t>Annex 1: Procedural information</w:t>
      </w:r>
      <w:bookmarkEnd w:id="14"/>
      <w:bookmarkEnd w:id="15"/>
      <w:bookmarkEnd w:id="16"/>
      <w:bookmarkEnd w:id="17"/>
    </w:p>
    <w:p w14:paraId="789F311B" w14:textId="10027E39" w:rsidR="0099524E" w:rsidRPr="00D37004" w:rsidRDefault="0099524E" w:rsidP="00913325">
      <w:pPr>
        <w:pStyle w:val="Heading1"/>
        <w:numPr>
          <w:ilvl w:val="0"/>
          <w:numId w:val="3"/>
        </w:numPr>
        <w:rPr>
          <w:noProof/>
          <w:lang w:val="en-IE"/>
        </w:rPr>
      </w:pPr>
      <w:bookmarkStart w:id="18" w:name="_Toc471997754"/>
      <w:bookmarkStart w:id="19" w:name="_Toc139373870"/>
      <w:bookmarkStart w:id="20" w:name="_Toc208138433"/>
      <w:bookmarkStart w:id="21" w:name="_Toc216283323"/>
      <w:bookmarkStart w:id="22" w:name="_Toc228346878"/>
      <w:r w:rsidRPr="00D37004">
        <w:rPr>
          <w:noProof/>
          <w:lang w:val="en-IE"/>
        </w:rPr>
        <w:t>Lead DG, Decide Planning</w:t>
      </w:r>
      <w:r w:rsidR="00AF25A1" w:rsidRPr="00D37004">
        <w:rPr>
          <w:noProof/>
          <w:lang w:val="en-IE"/>
        </w:rPr>
        <w:t xml:space="preserve"> &amp; </w:t>
      </w:r>
      <w:r w:rsidRPr="00D37004">
        <w:rPr>
          <w:noProof/>
          <w:lang w:val="en-IE"/>
        </w:rPr>
        <w:t>CWP references</w:t>
      </w:r>
      <w:bookmarkEnd w:id="18"/>
      <w:bookmarkEnd w:id="19"/>
      <w:bookmarkEnd w:id="20"/>
      <w:bookmarkEnd w:id="21"/>
      <w:bookmarkEnd w:id="22"/>
    </w:p>
    <w:p w14:paraId="0F77154E" w14:textId="7AD6B086" w:rsidR="6B1BBA96" w:rsidRPr="00D37004" w:rsidRDefault="6B1BBA96" w:rsidP="00651661">
      <w:pPr>
        <w:pStyle w:val="Text1"/>
        <w:spacing w:after="120"/>
        <w:ind w:left="0"/>
        <w:rPr>
          <w:noProof/>
          <w:color w:val="000000" w:themeColor="text1"/>
        </w:rPr>
      </w:pPr>
      <w:r w:rsidRPr="00D37004">
        <w:rPr>
          <w:noProof/>
          <w:color w:val="000000" w:themeColor="text1"/>
        </w:rPr>
        <w:t>The lead DG is Directorate-General for Communications Networks, Content and Technology (DG CNECT), UNIT E2: Cloud and Software</w:t>
      </w:r>
      <w:r w:rsidR="7146D7D3" w:rsidRPr="00D37004">
        <w:rPr>
          <w:noProof/>
          <w:color w:val="000000" w:themeColor="text1"/>
        </w:rPr>
        <w:t xml:space="preserve">. </w:t>
      </w:r>
    </w:p>
    <w:p w14:paraId="506045E8" w14:textId="4DC32439" w:rsidR="6B1BBA96" w:rsidRPr="00D37004" w:rsidRDefault="0719217E" w:rsidP="00B75EA8">
      <w:pPr>
        <w:pStyle w:val="Text1"/>
        <w:spacing w:after="120"/>
        <w:ind w:left="0"/>
        <w:rPr>
          <w:noProof/>
          <w:color w:val="000000" w:themeColor="text1"/>
        </w:rPr>
      </w:pPr>
      <w:r w:rsidRPr="00D37004">
        <w:rPr>
          <w:noProof/>
          <w:color w:val="000000" w:themeColor="text1"/>
        </w:rPr>
        <w:t xml:space="preserve">The </w:t>
      </w:r>
      <w:r w:rsidR="6B1BBA96" w:rsidRPr="00D37004">
        <w:rPr>
          <w:noProof/>
          <w:color w:val="000000" w:themeColor="text1"/>
        </w:rPr>
        <w:t>DECIDE reference number</w:t>
      </w:r>
      <w:r w:rsidR="0F44C6C3" w:rsidRPr="00D37004">
        <w:rPr>
          <w:noProof/>
          <w:color w:val="000000" w:themeColor="text1"/>
        </w:rPr>
        <w:t xml:space="preserve"> of this initiative is</w:t>
      </w:r>
      <w:r w:rsidR="00B10BE2">
        <w:rPr>
          <w:noProof/>
          <w:color w:val="000000" w:themeColor="text1"/>
        </w:rPr>
        <w:t xml:space="preserve"> PLAN/2025/815.</w:t>
      </w:r>
    </w:p>
    <w:p w14:paraId="434FDF51" w14:textId="24B1B279" w:rsidR="0DECC04B" w:rsidRPr="00D37004" w:rsidRDefault="68F07980" w:rsidP="0DECC04B">
      <w:pPr>
        <w:pStyle w:val="Text1"/>
        <w:ind w:left="0"/>
        <w:rPr>
          <w:noProof/>
          <w:color w:val="000000" w:themeColor="text1"/>
        </w:rPr>
      </w:pPr>
      <w:r w:rsidRPr="00D37004">
        <w:rPr>
          <w:noProof/>
          <w:color w:val="000000" w:themeColor="text1"/>
        </w:rPr>
        <w:t xml:space="preserve">The Commission work programme for </w:t>
      </w:r>
      <w:r w:rsidR="044DFB3E" w:rsidRPr="00D37004">
        <w:rPr>
          <w:noProof/>
          <w:color w:val="000000" w:themeColor="text1"/>
        </w:rPr>
        <w:t>2025</w:t>
      </w:r>
      <w:r w:rsidRPr="00D37004">
        <w:rPr>
          <w:noProof/>
          <w:color w:val="000000" w:themeColor="text1"/>
        </w:rPr>
        <w:t xml:space="preserve"> includes a legislative action for</w:t>
      </w:r>
      <w:r w:rsidR="255B17C9" w:rsidRPr="00D37004">
        <w:rPr>
          <w:noProof/>
          <w:color w:val="000000" w:themeColor="text1"/>
        </w:rPr>
        <w:t xml:space="preserve"> a </w:t>
      </w:r>
      <w:r w:rsidR="0001203E">
        <w:rPr>
          <w:noProof/>
          <w:color w:val="000000" w:themeColor="text1"/>
        </w:rPr>
        <w:t>cloud</w:t>
      </w:r>
      <w:r w:rsidR="255B17C9" w:rsidRPr="00D37004">
        <w:rPr>
          <w:noProof/>
          <w:color w:val="000000" w:themeColor="text1"/>
        </w:rPr>
        <w:t xml:space="preserve"> and AI Development Act</w:t>
      </w:r>
      <w:r w:rsidRPr="00D37004">
        <w:rPr>
          <w:noProof/>
          <w:color w:val="000000" w:themeColor="text1"/>
        </w:rPr>
        <w:t>, under the header “</w:t>
      </w:r>
      <w:r w:rsidR="1DD8224B" w:rsidRPr="00D37004">
        <w:rPr>
          <w:noProof/>
          <w:color w:val="000000" w:themeColor="text1"/>
        </w:rPr>
        <w:t>3.1 A new plan for Europe’s sustainable prosperity and competitiveness</w:t>
      </w:r>
      <w:r w:rsidRPr="00D37004">
        <w:rPr>
          <w:noProof/>
          <w:color w:val="000000" w:themeColor="text1"/>
        </w:rPr>
        <w:t>”.</w:t>
      </w:r>
    </w:p>
    <w:p w14:paraId="41A18BBD" w14:textId="206A0B2A" w:rsidR="0099524E" w:rsidRPr="00D37004" w:rsidRDefault="0099524E" w:rsidP="00913325">
      <w:pPr>
        <w:pStyle w:val="Heading1"/>
        <w:numPr>
          <w:ilvl w:val="0"/>
          <w:numId w:val="3"/>
        </w:numPr>
        <w:rPr>
          <w:noProof/>
          <w:lang w:val="en-IE"/>
        </w:rPr>
      </w:pPr>
      <w:bookmarkStart w:id="23" w:name="_Toc471997755"/>
      <w:bookmarkStart w:id="24" w:name="_Toc139373871"/>
      <w:bookmarkStart w:id="25" w:name="_Toc208138434"/>
      <w:bookmarkStart w:id="26" w:name="_Toc216283324"/>
      <w:bookmarkStart w:id="27" w:name="_Toc228346879"/>
      <w:r w:rsidRPr="00D37004">
        <w:rPr>
          <w:noProof/>
          <w:lang w:val="en-IE"/>
        </w:rPr>
        <w:t>Organisation and timing</w:t>
      </w:r>
      <w:bookmarkEnd w:id="23"/>
      <w:bookmarkEnd w:id="24"/>
      <w:bookmarkEnd w:id="25"/>
      <w:bookmarkEnd w:id="26"/>
      <w:bookmarkEnd w:id="27"/>
    </w:p>
    <w:p w14:paraId="6D7AA86D" w14:textId="46AA6A73" w:rsidR="0099524E" w:rsidRPr="00D37004" w:rsidRDefault="4F8CCC7A" w:rsidP="00B75EA8">
      <w:pPr>
        <w:spacing w:after="120"/>
        <w:rPr>
          <w:noProof/>
        </w:rPr>
      </w:pPr>
      <w:r w:rsidRPr="00D37004">
        <w:rPr>
          <w:noProof/>
        </w:rPr>
        <w:t xml:space="preserve">The impact assessment started in </w:t>
      </w:r>
      <w:r w:rsidR="56AB4B40" w:rsidRPr="00D37004">
        <w:rPr>
          <w:noProof/>
        </w:rPr>
        <w:t xml:space="preserve">2025, with the </w:t>
      </w:r>
      <w:r w:rsidR="00FC3FC0" w:rsidRPr="00D37004">
        <w:rPr>
          <w:noProof/>
        </w:rPr>
        <w:t xml:space="preserve">public consultation and </w:t>
      </w:r>
      <w:r w:rsidR="56AB4B40" w:rsidRPr="00D37004">
        <w:rPr>
          <w:noProof/>
        </w:rPr>
        <w:t>call for evidence published on 9 April 2025</w:t>
      </w:r>
      <w:r w:rsidRPr="00D37004">
        <w:rPr>
          <w:noProof/>
          <w:vertAlign w:val="superscript"/>
        </w:rPr>
        <w:footnoteReference w:id="2"/>
      </w:r>
      <w:r w:rsidR="56AB4B40" w:rsidRPr="00D37004">
        <w:rPr>
          <w:noProof/>
        </w:rPr>
        <w:t>.</w:t>
      </w:r>
    </w:p>
    <w:p w14:paraId="2884B2D6" w14:textId="235BC2AC" w:rsidR="248612F4" w:rsidRPr="00D37004" w:rsidRDefault="5E938DE8" w:rsidP="00B75EA8">
      <w:pPr>
        <w:spacing w:after="120"/>
        <w:rPr>
          <w:noProof/>
        </w:rPr>
      </w:pPr>
      <w:r>
        <w:rPr>
          <w:noProof/>
        </w:rPr>
        <w:t xml:space="preserve">The impact assessment on a possible </w:t>
      </w:r>
      <w:r w:rsidR="0001203E">
        <w:rPr>
          <w:noProof/>
        </w:rPr>
        <w:t>cloud</w:t>
      </w:r>
      <w:r>
        <w:rPr>
          <w:noProof/>
        </w:rPr>
        <w:t xml:space="preserve"> and AI Development Act was coordinated</w:t>
      </w:r>
      <w:r w:rsidR="0E61A2AE">
        <w:rPr>
          <w:noProof/>
        </w:rPr>
        <w:t xml:space="preserve"> by </w:t>
      </w:r>
      <w:r>
        <w:rPr>
          <w:noProof/>
        </w:rPr>
        <w:t xml:space="preserve">an Interservice </w:t>
      </w:r>
      <w:r w:rsidR="00730CCD">
        <w:rPr>
          <w:noProof/>
        </w:rPr>
        <w:t xml:space="preserve">Coordination </w:t>
      </w:r>
      <w:r>
        <w:rPr>
          <w:noProof/>
        </w:rPr>
        <w:t>Group (IS</w:t>
      </w:r>
      <w:r w:rsidR="00730CCD">
        <w:rPr>
          <w:noProof/>
        </w:rPr>
        <w:t>C</w:t>
      </w:r>
      <w:r>
        <w:rPr>
          <w:noProof/>
        </w:rPr>
        <w:t>G). The Commissions Services participating in the</w:t>
      </w:r>
      <w:r w:rsidR="540CDA1D">
        <w:rPr>
          <w:noProof/>
        </w:rPr>
        <w:t xml:space="preserve"> IS</w:t>
      </w:r>
      <w:r w:rsidR="00730CCD">
        <w:rPr>
          <w:noProof/>
        </w:rPr>
        <w:t>C</w:t>
      </w:r>
      <w:r w:rsidR="540CDA1D">
        <w:rPr>
          <w:noProof/>
        </w:rPr>
        <w:t>G</w:t>
      </w:r>
      <w:r w:rsidR="0F8D9664">
        <w:rPr>
          <w:noProof/>
        </w:rPr>
        <w:t xml:space="preserve"> were: Secretariat-General, Legal Service, DG Communications Networks, Content and Technology, DG for Internal Market, Industry, Entrepren</w:t>
      </w:r>
      <w:r w:rsidR="717E80AF">
        <w:rPr>
          <w:noProof/>
        </w:rPr>
        <w:t xml:space="preserve">eurship and SMEs, DG for Energy, DG for </w:t>
      </w:r>
      <w:r w:rsidR="448D9191">
        <w:rPr>
          <w:noProof/>
        </w:rPr>
        <w:t>Trade</w:t>
      </w:r>
      <w:r w:rsidR="1E61A567">
        <w:rPr>
          <w:noProof/>
        </w:rPr>
        <w:t xml:space="preserve">, DG for Digital Services, </w:t>
      </w:r>
      <w:r w:rsidR="265D827C">
        <w:rPr>
          <w:noProof/>
        </w:rPr>
        <w:t xml:space="preserve">DG for </w:t>
      </w:r>
      <w:r w:rsidR="717E80AF">
        <w:rPr>
          <w:noProof/>
        </w:rPr>
        <w:t>Environment</w:t>
      </w:r>
      <w:r w:rsidR="214B1F98">
        <w:rPr>
          <w:noProof/>
        </w:rPr>
        <w:t>,</w:t>
      </w:r>
      <w:r w:rsidR="265D827C">
        <w:rPr>
          <w:noProof/>
        </w:rPr>
        <w:t xml:space="preserve"> </w:t>
      </w:r>
      <w:r w:rsidR="448D9191">
        <w:rPr>
          <w:noProof/>
        </w:rPr>
        <w:t xml:space="preserve">DG for </w:t>
      </w:r>
      <w:r w:rsidR="265D827C">
        <w:rPr>
          <w:noProof/>
        </w:rPr>
        <w:t>Climate Action</w:t>
      </w:r>
      <w:r w:rsidR="17E98EBC">
        <w:rPr>
          <w:noProof/>
        </w:rPr>
        <w:t>, and DG for Competition</w:t>
      </w:r>
      <w:r w:rsidR="265D827C">
        <w:rPr>
          <w:noProof/>
        </w:rPr>
        <w:t xml:space="preserve">. </w:t>
      </w:r>
    </w:p>
    <w:p w14:paraId="4F003C44" w14:textId="17BDC2C4" w:rsidR="448D9191" w:rsidRPr="00D37004" w:rsidRDefault="448D9191" w:rsidP="04080839">
      <w:pPr>
        <w:rPr>
          <w:noProof/>
        </w:rPr>
      </w:pPr>
      <w:r w:rsidRPr="00D37004">
        <w:rPr>
          <w:noProof/>
        </w:rPr>
        <w:t>The I</w:t>
      </w:r>
      <w:r w:rsidR="00992BDE">
        <w:rPr>
          <w:noProof/>
        </w:rPr>
        <w:t>SC</w:t>
      </w:r>
      <w:r w:rsidRPr="00D37004">
        <w:rPr>
          <w:noProof/>
        </w:rPr>
        <w:t xml:space="preserve">G </w:t>
      </w:r>
      <w:r w:rsidR="57D8B5B0" w:rsidRPr="00D37004">
        <w:rPr>
          <w:noProof/>
        </w:rPr>
        <w:t xml:space="preserve">met </w:t>
      </w:r>
      <w:r w:rsidR="66BC1947" w:rsidRPr="00D37004">
        <w:rPr>
          <w:noProof/>
        </w:rPr>
        <w:t>on 24 July 2025</w:t>
      </w:r>
      <w:r w:rsidR="4CB65494" w:rsidRPr="00D37004">
        <w:rPr>
          <w:noProof/>
        </w:rPr>
        <w:t xml:space="preserve">, </w:t>
      </w:r>
      <w:r w:rsidR="34FC2805" w:rsidRPr="00D37004">
        <w:rPr>
          <w:noProof/>
        </w:rPr>
        <w:t>on 12 September 2025</w:t>
      </w:r>
      <w:r w:rsidR="21AA48A5" w:rsidRPr="00D37004">
        <w:rPr>
          <w:noProof/>
        </w:rPr>
        <w:t>,</w:t>
      </w:r>
      <w:r w:rsidR="08986E88" w:rsidRPr="00D37004">
        <w:rPr>
          <w:noProof/>
        </w:rPr>
        <w:t xml:space="preserve"> 28 November</w:t>
      </w:r>
      <w:r w:rsidR="1FC2E86B" w:rsidRPr="00D37004">
        <w:rPr>
          <w:noProof/>
        </w:rPr>
        <w:t xml:space="preserve"> 2025, </w:t>
      </w:r>
      <w:r w:rsidR="1FC2E86B" w:rsidRPr="00F65EF3">
        <w:rPr>
          <w:noProof/>
        </w:rPr>
        <w:t>and 25 January 2026</w:t>
      </w:r>
      <w:r w:rsidR="66BC1947" w:rsidRPr="00F65EF3">
        <w:rPr>
          <w:noProof/>
        </w:rPr>
        <w:t>.</w:t>
      </w:r>
      <w:r w:rsidR="57D8B5B0" w:rsidRPr="00F65EF3">
        <w:rPr>
          <w:noProof/>
        </w:rPr>
        <w:t xml:space="preserve"> It was consulted throughout the different steps of the impact assessment process</w:t>
      </w:r>
      <w:r w:rsidR="2386F8C4" w:rsidRPr="00D37004">
        <w:rPr>
          <w:noProof/>
        </w:rPr>
        <w:t>,</w:t>
      </w:r>
      <w:r w:rsidR="57D8B5B0" w:rsidRPr="00D37004">
        <w:rPr>
          <w:noProof/>
        </w:rPr>
        <w:t xml:space="preserve"> notably on all stakeholder consultation materials and deliverables from the external contractor and on the draft </w:t>
      </w:r>
      <w:r w:rsidR="00992BDE">
        <w:rPr>
          <w:noProof/>
        </w:rPr>
        <w:t>i</w:t>
      </w:r>
      <w:r w:rsidR="084429EB" w:rsidRPr="00D37004">
        <w:rPr>
          <w:noProof/>
        </w:rPr>
        <w:t xml:space="preserve">mpact </w:t>
      </w:r>
      <w:r w:rsidR="00992BDE">
        <w:rPr>
          <w:noProof/>
        </w:rPr>
        <w:t>a</w:t>
      </w:r>
      <w:r w:rsidR="084429EB" w:rsidRPr="00D37004">
        <w:rPr>
          <w:noProof/>
        </w:rPr>
        <w:t>ssessment before submission to the Regulatory Scrutiny Board (RSB)</w:t>
      </w:r>
      <w:r w:rsidR="57D8B5B0" w:rsidRPr="00D37004">
        <w:rPr>
          <w:noProof/>
        </w:rPr>
        <w:t xml:space="preserve">. </w:t>
      </w:r>
    </w:p>
    <w:p w14:paraId="159C447A" w14:textId="77777777" w:rsidR="0099524E" w:rsidRPr="00D37004" w:rsidRDefault="0099524E" w:rsidP="00913325">
      <w:pPr>
        <w:pStyle w:val="Heading1"/>
        <w:numPr>
          <w:ilvl w:val="0"/>
          <w:numId w:val="3"/>
        </w:numPr>
        <w:rPr>
          <w:noProof/>
          <w:lang w:val="en-IE"/>
        </w:rPr>
      </w:pPr>
      <w:bookmarkStart w:id="28" w:name="_Toc471997757"/>
      <w:bookmarkStart w:id="29" w:name="_Toc139373872"/>
      <w:bookmarkStart w:id="30" w:name="_Toc208138435"/>
      <w:bookmarkStart w:id="31" w:name="_Toc216283325"/>
      <w:bookmarkStart w:id="32" w:name="_Toc228346880"/>
      <w:r w:rsidRPr="00D37004">
        <w:rPr>
          <w:noProof/>
          <w:lang w:val="en-IE"/>
        </w:rPr>
        <w:t>Consultation of the RSB</w:t>
      </w:r>
      <w:bookmarkEnd w:id="28"/>
      <w:bookmarkEnd w:id="29"/>
      <w:bookmarkEnd w:id="30"/>
      <w:bookmarkEnd w:id="31"/>
      <w:bookmarkEnd w:id="32"/>
    </w:p>
    <w:p w14:paraId="53971D0C" w14:textId="11207BCE" w:rsidR="006C19AD" w:rsidRDefault="00695ECB" w:rsidP="00B75EA8">
      <w:pPr>
        <w:spacing w:after="120"/>
        <w:rPr>
          <w:noProof/>
        </w:rPr>
      </w:pPr>
      <w:r>
        <w:rPr>
          <w:noProof/>
        </w:rPr>
        <w:t xml:space="preserve">This version was submitted to the RSB on </w:t>
      </w:r>
      <w:r w:rsidR="00AC1D7A">
        <w:rPr>
          <w:noProof/>
        </w:rPr>
        <w:t>30 April 2026. The RSB issued a positive opinion with comments on 8 May 2026. The comments received from the Board have been addressed in the revise</w:t>
      </w:r>
      <w:r w:rsidR="006C19AD">
        <w:rPr>
          <w:noProof/>
        </w:rPr>
        <w:t>d version of the impact assessment as detailed below.</w:t>
      </w:r>
    </w:p>
    <w:p w14:paraId="224F487B" w14:textId="77777777" w:rsidR="006C19AD" w:rsidRDefault="006C19AD" w:rsidP="006C19AD">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Modifications of the impact assessment report in response to RSB comments</w:t>
      </w:r>
    </w:p>
    <w:tbl>
      <w:tblPr>
        <w:tblStyle w:val="TableGrid"/>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8"/>
        <w:gridCol w:w="4402"/>
        <w:gridCol w:w="1558"/>
      </w:tblGrid>
      <w:tr w:rsidR="006C19AD" w:rsidRPr="00A14359" w14:paraId="68282163" w14:textId="77777777">
        <w:trPr>
          <w:trHeight w:val="300"/>
          <w:tblHeader/>
        </w:trPr>
        <w:tc>
          <w:tcPr>
            <w:tcW w:w="1760" w:type="pct"/>
            <w:shd w:val="clear" w:color="auto" w:fill="0070C0"/>
          </w:tcPr>
          <w:p w14:paraId="569C5A0B" w14:textId="77777777" w:rsidR="006C19AD" w:rsidRPr="00A14359" w:rsidRDefault="006C19AD">
            <w:pPr>
              <w:spacing w:after="0"/>
              <w:rPr>
                <w:bCs/>
                <w:noProof/>
                <w:sz w:val="22"/>
                <w:szCs w:val="22"/>
              </w:rPr>
            </w:pPr>
            <w:r w:rsidRPr="00A14359">
              <w:rPr>
                <w:b/>
                <w:noProof/>
                <w:color w:val="FFFFFF" w:themeColor="background1"/>
                <w:sz w:val="22"/>
                <w:szCs w:val="22"/>
              </w:rPr>
              <w:t>Opinion of the RSB by point</w:t>
            </w:r>
          </w:p>
        </w:tc>
        <w:tc>
          <w:tcPr>
            <w:tcW w:w="2393" w:type="pct"/>
            <w:shd w:val="clear" w:color="auto" w:fill="0070C0"/>
          </w:tcPr>
          <w:p w14:paraId="47373D26" w14:textId="77777777" w:rsidR="006C19AD" w:rsidRPr="00A14359" w:rsidRDefault="006C19AD">
            <w:pPr>
              <w:spacing w:after="0"/>
              <w:rPr>
                <w:bCs/>
                <w:noProof/>
                <w:sz w:val="22"/>
                <w:szCs w:val="22"/>
              </w:rPr>
            </w:pPr>
            <w:r w:rsidRPr="00A14359">
              <w:rPr>
                <w:b/>
                <w:noProof/>
                <w:color w:val="FFFFFF" w:themeColor="background1"/>
                <w:sz w:val="22"/>
                <w:szCs w:val="22"/>
              </w:rPr>
              <w:t xml:space="preserve"> How comments have been addressed</w:t>
            </w:r>
          </w:p>
        </w:tc>
        <w:tc>
          <w:tcPr>
            <w:tcW w:w="847" w:type="pct"/>
            <w:shd w:val="clear" w:color="auto" w:fill="0070C0"/>
          </w:tcPr>
          <w:p w14:paraId="2D31BCE3" w14:textId="77777777" w:rsidR="006C19AD" w:rsidRPr="00A14359" w:rsidRDefault="006C19AD">
            <w:pPr>
              <w:spacing w:after="0"/>
              <w:rPr>
                <w:noProof/>
                <w:sz w:val="22"/>
                <w:szCs w:val="22"/>
              </w:rPr>
            </w:pPr>
            <w:r w:rsidRPr="00A14359">
              <w:rPr>
                <w:b/>
                <w:noProof/>
                <w:color w:val="FFFFFF" w:themeColor="background1"/>
                <w:sz w:val="22"/>
                <w:szCs w:val="22"/>
              </w:rPr>
              <w:t>Sections in IA report/Annex</w:t>
            </w:r>
          </w:p>
        </w:tc>
      </w:tr>
      <w:tr w:rsidR="006C19AD" w:rsidRPr="00A14359" w14:paraId="18102121" w14:textId="77777777">
        <w:trPr>
          <w:trHeight w:val="300"/>
        </w:trPr>
        <w:tc>
          <w:tcPr>
            <w:tcW w:w="5000" w:type="pct"/>
            <w:gridSpan w:val="3"/>
          </w:tcPr>
          <w:p w14:paraId="6695B365" w14:textId="689F381E" w:rsidR="006C19AD" w:rsidRPr="00A14359" w:rsidRDefault="006C19AD">
            <w:pPr>
              <w:spacing w:after="0"/>
              <w:rPr>
                <w:noProof/>
                <w:sz w:val="22"/>
                <w:szCs w:val="22"/>
              </w:rPr>
            </w:pPr>
            <w:r w:rsidRPr="00A14359">
              <w:rPr>
                <w:b/>
                <w:noProof/>
                <w:sz w:val="22"/>
                <w:szCs w:val="22"/>
              </w:rPr>
              <w:t>(B) Key iss</w:t>
            </w:r>
            <w:r w:rsidR="00F060A8" w:rsidRPr="00A14359">
              <w:rPr>
                <w:b/>
                <w:noProof/>
                <w:sz w:val="22"/>
                <w:szCs w:val="22"/>
              </w:rPr>
              <w:t>u</w:t>
            </w:r>
            <w:r w:rsidRPr="00A14359">
              <w:rPr>
                <w:b/>
                <w:noProof/>
                <w:sz w:val="22"/>
                <w:szCs w:val="22"/>
              </w:rPr>
              <w:t>es</w:t>
            </w:r>
          </w:p>
        </w:tc>
      </w:tr>
      <w:tr w:rsidR="006C19AD" w:rsidRPr="00A14359" w14:paraId="65FF378E" w14:textId="77777777" w:rsidTr="00407CA6">
        <w:trPr>
          <w:trHeight w:val="155"/>
        </w:trPr>
        <w:tc>
          <w:tcPr>
            <w:tcW w:w="1760" w:type="pct"/>
          </w:tcPr>
          <w:p w14:paraId="3DD3B6FF" w14:textId="37D60E20" w:rsidR="006C19AD" w:rsidRPr="00845A6D" w:rsidRDefault="00931A86" w:rsidP="00845A6D">
            <w:pPr>
              <w:rPr>
                <w:noProof/>
                <w:sz w:val="22"/>
                <w:szCs w:val="22"/>
                <w:lang w:val="en-IE"/>
              </w:rPr>
            </w:pPr>
            <w:r w:rsidRPr="00845A6D">
              <w:rPr>
                <w:noProof/>
                <w:sz w:val="22"/>
                <w:szCs w:val="22"/>
                <w:lang w:val="en-IE"/>
              </w:rPr>
              <w:t>The report should sufficiently describe the policy measure establishing a set of non-price award criteria and the one encouraging the use, reuse, development and sharing of open-source assets by the public sector.</w:t>
            </w:r>
          </w:p>
        </w:tc>
        <w:tc>
          <w:tcPr>
            <w:tcW w:w="2393" w:type="pct"/>
          </w:tcPr>
          <w:p w14:paraId="7919C609" w14:textId="2B7D40F9" w:rsidR="009D4B74" w:rsidRPr="00A14359" w:rsidRDefault="006D406D">
            <w:pPr>
              <w:rPr>
                <w:noProof/>
                <w:sz w:val="22"/>
                <w:szCs w:val="22"/>
              </w:rPr>
            </w:pPr>
            <w:r w:rsidRPr="00A14359">
              <w:rPr>
                <w:noProof/>
                <w:sz w:val="22"/>
                <w:szCs w:val="22"/>
              </w:rPr>
              <w:t>PM16 and PM19 have been reformulated to</w:t>
            </w:r>
            <w:r w:rsidR="00EE2FFD" w:rsidRPr="00A14359">
              <w:rPr>
                <w:noProof/>
                <w:sz w:val="22"/>
                <w:szCs w:val="22"/>
              </w:rPr>
              <w:t xml:space="preserve"> </w:t>
            </w:r>
            <w:r w:rsidR="000E27CA" w:rsidRPr="00A14359">
              <w:rPr>
                <w:noProof/>
                <w:sz w:val="22"/>
                <w:szCs w:val="22"/>
              </w:rPr>
              <w:t xml:space="preserve">support </w:t>
            </w:r>
            <w:r w:rsidR="00EE2FFD" w:rsidRPr="00A14359">
              <w:rPr>
                <w:noProof/>
                <w:sz w:val="22"/>
                <w:szCs w:val="22"/>
              </w:rPr>
              <w:t>EU added value</w:t>
            </w:r>
            <w:r w:rsidR="009D4B74" w:rsidRPr="00A14359">
              <w:rPr>
                <w:noProof/>
                <w:sz w:val="22"/>
                <w:szCs w:val="22"/>
              </w:rPr>
              <w:t xml:space="preserve">. </w:t>
            </w:r>
            <w:r w:rsidR="009D4B74" w:rsidRPr="00845A6D">
              <w:rPr>
                <w:noProof/>
                <w:sz w:val="22"/>
                <w:szCs w:val="22"/>
              </w:rPr>
              <w:t xml:space="preserve">The non-award criteria defined </w:t>
            </w:r>
            <w:r w:rsidR="00CA5021" w:rsidRPr="00845A6D">
              <w:rPr>
                <w:noProof/>
                <w:sz w:val="22"/>
                <w:szCs w:val="22"/>
              </w:rPr>
              <w:t xml:space="preserve">under these PMs </w:t>
            </w:r>
            <w:r w:rsidR="009D4B74" w:rsidRPr="00845A6D">
              <w:rPr>
                <w:noProof/>
                <w:sz w:val="22"/>
                <w:szCs w:val="22"/>
              </w:rPr>
              <w:t>should b</w:t>
            </w:r>
            <w:r w:rsidR="00CA5021" w:rsidRPr="00845A6D">
              <w:rPr>
                <w:noProof/>
                <w:sz w:val="22"/>
                <w:szCs w:val="22"/>
              </w:rPr>
              <w:t xml:space="preserve">e </w:t>
            </w:r>
            <w:r w:rsidR="009D4B74" w:rsidRPr="00845A6D">
              <w:rPr>
                <w:noProof/>
                <w:sz w:val="22"/>
                <w:szCs w:val="22"/>
              </w:rPr>
              <w:t xml:space="preserve">of ancillary and non-decisive value in view of the overall tender and are to be included, voluntarily, by contracting authorities in the procurement of cloud and AI computing services </w:t>
            </w:r>
            <w:r w:rsidR="009D4B74" w:rsidRPr="00845A6D">
              <w:rPr>
                <w:noProof/>
                <w:sz w:val="22"/>
                <w:szCs w:val="22"/>
                <w:lang w:val="en-IE" w:eastAsia="ja-JP"/>
              </w:rPr>
              <w:t>that are not off the shelf, standardised or commercially available services</w:t>
            </w:r>
            <w:r w:rsidR="009D4B74" w:rsidRPr="00845A6D">
              <w:rPr>
                <w:noProof/>
                <w:sz w:val="22"/>
                <w:szCs w:val="22"/>
              </w:rPr>
              <w:t>. These criteria will earn additional points to tenderers</w:t>
            </w:r>
            <w:r w:rsidR="00CA5021" w:rsidRPr="00845A6D">
              <w:rPr>
                <w:noProof/>
                <w:sz w:val="22"/>
                <w:szCs w:val="22"/>
              </w:rPr>
              <w:t>. Furthermore, the criteria have been updated. Given that the costs and benefits entailed majorly administrative costs (</w:t>
            </w:r>
            <w:r w:rsidR="00DD0112" w:rsidRPr="00A14359">
              <w:rPr>
                <w:noProof/>
                <w:sz w:val="22"/>
                <w:szCs w:val="22"/>
              </w:rPr>
              <w:t>e.g.</w:t>
            </w:r>
            <w:r w:rsidR="00CA5021" w:rsidRPr="0097758E">
              <w:rPr>
                <w:noProof/>
                <w:sz w:val="22"/>
                <w:szCs w:val="22"/>
              </w:rPr>
              <w:t xml:space="preserve"> updates of templates)</w:t>
            </w:r>
            <w:r w:rsidR="00B0750D" w:rsidRPr="0097758E">
              <w:rPr>
                <w:noProof/>
                <w:sz w:val="22"/>
                <w:szCs w:val="22"/>
              </w:rPr>
              <w:t xml:space="preserve"> these values remain unchanged.</w:t>
            </w:r>
          </w:p>
          <w:p w14:paraId="7E201D77" w14:textId="62673C4C" w:rsidR="009E5DFC" w:rsidRPr="00A14359" w:rsidRDefault="009E5DFC">
            <w:pPr>
              <w:rPr>
                <w:noProof/>
                <w:sz w:val="22"/>
                <w:szCs w:val="22"/>
              </w:rPr>
            </w:pPr>
            <w:r w:rsidRPr="00A14359">
              <w:rPr>
                <w:noProof/>
                <w:sz w:val="22"/>
                <w:szCs w:val="22"/>
              </w:rPr>
              <w:t>The description of PM20 in section 5.1.2 has been updated to make more explicit what it is intended with ‘use, reuse, and share’ in this context</w:t>
            </w:r>
            <w:r w:rsidR="00825B9E" w:rsidRPr="00A14359">
              <w:rPr>
                <w:noProof/>
                <w:sz w:val="22"/>
                <w:szCs w:val="22"/>
              </w:rPr>
              <w:t>, arguing</w:t>
            </w:r>
            <w:r w:rsidR="004971B7" w:rsidRPr="00A14359">
              <w:rPr>
                <w:noProof/>
                <w:sz w:val="22"/>
                <w:szCs w:val="22"/>
              </w:rPr>
              <w:t xml:space="preserve"> on the motivation to follow such an approach.</w:t>
            </w:r>
          </w:p>
        </w:tc>
        <w:tc>
          <w:tcPr>
            <w:tcW w:w="847" w:type="pct"/>
          </w:tcPr>
          <w:p w14:paraId="31174D5A" w14:textId="479C9247" w:rsidR="006C19AD" w:rsidRPr="00A14359" w:rsidRDefault="00355C84">
            <w:pPr>
              <w:spacing w:after="0"/>
              <w:rPr>
                <w:noProof/>
                <w:sz w:val="22"/>
                <w:szCs w:val="22"/>
              </w:rPr>
            </w:pPr>
            <w:r w:rsidRPr="00A14359">
              <w:rPr>
                <w:noProof/>
                <w:sz w:val="22"/>
                <w:szCs w:val="22"/>
              </w:rPr>
              <w:t xml:space="preserve">Main report sections 5.1.1 and 5.1.2 and </w:t>
            </w:r>
            <w:r w:rsidR="00CC2D8A" w:rsidRPr="00A14359">
              <w:rPr>
                <w:noProof/>
                <w:sz w:val="22"/>
                <w:szCs w:val="22"/>
              </w:rPr>
              <w:t>Annex 4.</w:t>
            </w:r>
          </w:p>
        </w:tc>
      </w:tr>
      <w:tr w:rsidR="006C19AD" w:rsidRPr="00A14359" w14:paraId="63572677" w14:textId="77777777">
        <w:trPr>
          <w:trHeight w:val="300"/>
        </w:trPr>
        <w:tc>
          <w:tcPr>
            <w:tcW w:w="1760" w:type="pct"/>
          </w:tcPr>
          <w:p w14:paraId="0B0335D4" w14:textId="051D66CC" w:rsidR="006C19AD" w:rsidRPr="00A14359" w:rsidRDefault="00D8252B">
            <w:pPr>
              <w:spacing w:after="0"/>
              <w:rPr>
                <w:noProof/>
                <w:sz w:val="22"/>
                <w:szCs w:val="22"/>
              </w:rPr>
            </w:pPr>
            <w:r w:rsidRPr="0097758E">
              <w:rPr>
                <w:noProof/>
                <w:sz w:val="22"/>
                <w:szCs w:val="22"/>
                <w:lang w:val="en-IE"/>
              </w:rPr>
              <w:t>The internal coherence between the policy measures addressing sovereign cloud and AI services and those addressing critical dependencies and supporting the use of Open Source should be sufficiently explained and assessed.</w:t>
            </w:r>
          </w:p>
        </w:tc>
        <w:tc>
          <w:tcPr>
            <w:tcW w:w="2393" w:type="pct"/>
          </w:tcPr>
          <w:p w14:paraId="1534C76E" w14:textId="7F1A6BB7" w:rsidR="006C19AD" w:rsidRPr="00A14359" w:rsidRDefault="00C26F9F">
            <w:pPr>
              <w:spacing w:after="0"/>
              <w:rPr>
                <w:noProof/>
                <w:sz w:val="22"/>
                <w:szCs w:val="22"/>
              </w:rPr>
            </w:pPr>
            <w:r w:rsidRPr="00A14359">
              <w:rPr>
                <w:noProof/>
                <w:sz w:val="22"/>
                <w:szCs w:val="22"/>
              </w:rPr>
              <w:t xml:space="preserve">Under section 7.2. the coherence between sovereign cloud and AI services, critical dependencies and open source </w:t>
            </w:r>
            <w:r w:rsidR="00556AFA" w:rsidRPr="00A14359">
              <w:rPr>
                <w:noProof/>
                <w:sz w:val="22"/>
                <w:szCs w:val="22"/>
              </w:rPr>
              <w:t>interplay with each other and are mutually reinforcing each other.</w:t>
            </w:r>
          </w:p>
        </w:tc>
        <w:tc>
          <w:tcPr>
            <w:tcW w:w="847" w:type="pct"/>
          </w:tcPr>
          <w:p w14:paraId="24D39065" w14:textId="72DB958D" w:rsidR="006C19AD" w:rsidRPr="00A14359" w:rsidRDefault="00D1653C">
            <w:pPr>
              <w:spacing w:after="0"/>
              <w:rPr>
                <w:noProof/>
                <w:sz w:val="22"/>
                <w:szCs w:val="22"/>
              </w:rPr>
            </w:pPr>
            <w:r w:rsidRPr="00A14359">
              <w:rPr>
                <w:noProof/>
                <w:sz w:val="22"/>
                <w:szCs w:val="22"/>
              </w:rPr>
              <w:t>Main report section 7.2</w:t>
            </w:r>
          </w:p>
        </w:tc>
      </w:tr>
      <w:tr w:rsidR="006C19AD" w:rsidRPr="00A14359" w14:paraId="48392247" w14:textId="77777777" w:rsidTr="00407CA6">
        <w:trPr>
          <w:trHeight w:val="1621"/>
        </w:trPr>
        <w:tc>
          <w:tcPr>
            <w:tcW w:w="1760" w:type="pct"/>
          </w:tcPr>
          <w:p w14:paraId="216B90C7" w14:textId="2996B576" w:rsidR="006C19AD" w:rsidRPr="0097758E" w:rsidRDefault="00D8252B" w:rsidP="0097758E">
            <w:pPr>
              <w:rPr>
                <w:noProof/>
                <w:sz w:val="22"/>
                <w:szCs w:val="22"/>
                <w:lang w:val="en-IE"/>
              </w:rPr>
            </w:pPr>
            <w:r w:rsidRPr="0097758E">
              <w:rPr>
                <w:noProof/>
                <w:sz w:val="22"/>
                <w:szCs w:val="22"/>
                <w:lang w:val="en-IE"/>
              </w:rPr>
              <w:t xml:space="preserve">The costs related to migration and porting and the related uncertainties should be sufficiently reflected in the assessment of the total costs in the main report. </w:t>
            </w:r>
          </w:p>
        </w:tc>
        <w:tc>
          <w:tcPr>
            <w:tcW w:w="2393" w:type="pct"/>
          </w:tcPr>
          <w:p w14:paraId="369DEB33" w14:textId="0669336E" w:rsidR="006C19AD" w:rsidRPr="00A14359" w:rsidRDefault="00C84BF8">
            <w:pPr>
              <w:spacing w:after="0"/>
              <w:rPr>
                <w:noProof/>
                <w:sz w:val="22"/>
                <w:szCs w:val="22"/>
              </w:rPr>
            </w:pPr>
            <w:r w:rsidRPr="00A14359">
              <w:rPr>
                <w:noProof/>
                <w:sz w:val="22"/>
                <w:szCs w:val="22"/>
              </w:rPr>
              <w:t>A portion of t</w:t>
            </w:r>
            <w:r w:rsidR="00C14A55" w:rsidRPr="00A14359">
              <w:rPr>
                <w:noProof/>
                <w:sz w:val="22"/>
                <w:szCs w:val="22"/>
              </w:rPr>
              <w:t xml:space="preserve">he costs of porting </w:t>
            </w:r>
            <w:r w:rsidRPr="00A14359">
              <w:rPr>
                <w:noProof/>
                <w:sz w:val="22"/>
                <w:szCs w:val="22"/>
              </w:rPr>
              <w:t>applications have been included</w:t>
            </w:r>
            <w:r w:rsidR="0071333C" w:rsidRPr="00A14359">
              <w:rPr>
                <w:noProof/>
                <w:sz w:val="22"/>
                <w:szCs w:val="22"/>
              </w:rPr>
              <w:t xml:space="preserve"> </w:t>
            </w:r>
            <w:r w:rsidRPr="00A14359">
              <w:rPr>
                <w:noProof/>
                <w:sz w:val="22"/>
                <w:szCs w:val="22"/>
              </w:rPr>
              <w:t>as part of the cost – benefit analysis</w:t>
            </w:r>
            <w:r w:rsidR="00E9630E" w:rsidRPr="00A14359">
              <w:rPr>
                <w:noProof/>
                <w:sz w:val="22"/>
                <w:szCs w:val="22"/>
              </w:rPr>
              <w:t>. The</w:t>
            </w:r>
            <w:r w:rsidR="00A44084" w:rsidRPr="00A14359">
              <w:rPr>
                <w:noProof/>
                <w:sz w:val="22"/>
                <w:szCs w:val="22"/>
              </w:rPr>
              <w:t xml:space="preserve"> text argues that the</w:t>
            </w:r>
            <w:r w:rsidR="00E9630E" w:rsidRPr="00A14359">
              <w:rPr>
                <w:noProof/>
                <w:sz w:val="22"/>
                <w:szCs w:val="22"/>
              </w:rPr>
              <w:t xml:space="preserve"> </w:t>
            </w:r>
            <w:r w:rsidR="00437620" w:rsidRPr="00A14359">
              <w:rPr>
                <w:noProof/>
                <w:sz w:val="22"/>
                <w:szCs w:val="22"/>
              </w:rPr>
              <w:t>central</w:t>
            </w:r>
            <w:r w:rsidR="00A44084" w:rsidRPr="00A14359">
              <w:rPr>
                <w:noProof/>
                <w:sz w:val="22"/>
                <w:szCs w:val="22"/>
              </w:rPr>
              <w:t xml:space="preserve"> value of</w:t>
            </w:r>
            <w:r w:rsidR="00437620" w:rsidRPr="00A14359">
              <w:rPr>
                <w:noProof/>
                <w:sz w:val="22"/>
                <w:szCs w:val="22"/>
              </w:rPr>
              <w:t xml:space="preserve"> EUR 86.3 bn should be considered </w:t>
            </w:r>
            <w:r w:rsidR="00074D2B">
              <w:rPr>
                <w:noProof/>
                <w:sz w:val="22"/>
                <w:szCs w:val="22"/>
              </w:rPr>
              <w:t xml:space="preserve">as a maximalist approach, where </w:t>
            </w:r>
            <w:r w:rsidR="007E334A">
              <w:rPr>
                <w:noProof/>
                <w:sz w:val="22"/>
                <w:szCs w:val="22"/>
              </w:rPr>
              <w:t xml:space="preserve">all </w:t>
            </w:r>
            <w:r w:rsidR="00992516">
              <w:rPr>
                <w:noProof/>
                <w:sz w:val="22"/>
                <w:szCs w:val="22"/>
              </w:rPr>
              <w:t xml:space="preserve">out of the </w:t>
            </w:r>
            <w:r w:rsidR="00074D2B">
              <w:rPr>
                <w:noProof/>
                <w:sz w:val="22"/>
                <w:szCs w:val="22"/>
              </w:rPr>
              <w:t>30% of the cloudified s</w:t>
            </w:r>
            <w:r w:rsidR="007E334A">
              <w:rPr>
                <w:noProof/>
                <w:sz w:val="22"/>
                <w:szCs w:val="22"/>
              </w:rPr>
              <w:t>olu</w:t>
            </w:r>
            <w:r w:rsidR="00074D2B">
              <w:rPr>
                <w:noProof/>
                <w:sz w:val="22"/>
                <w:szCs w:val="22"/>
              </w:rPr>
              <w:t>tions</w:t>
            </w:r>
            <w:r w:rsidR="00480CEC">
              <w:rPr>
                <w:noProof/>
                <w:sz w:val="22"/>
                <w:szCs w:val="22"/>
              </w:rPr>
              <w:t xml:space="preserve"> requiring sovereign level 2, 3, and 4</w:t>
            </w:r>
            <w:r w:rsidR="00074D2B">
              <w:rPr>
                <w:noProof/>
                <w:sz w:val="22"/>
                <w:szCs w:val="22"/>
              </w:rPr>
              <w:t xml:space="preserve"> of the 6 400</w:t>
            </w:r>
            <w:r w:rsidR="0087158C">
              <w:rPr>
                <w:noProof/>
                <w:sz w:val="22"/>
                <w:szCs w:val="22"/>
              </w:rPr>
              <w:t xml:space="preserve"> essential entities under NIS2</w:t>
            </w:r>
            <w:r w:rsidR="00480CEC">
              <w:rPr>
                <w:noProof/>
                <w:sz w:val="22"/>
                <w:szCs w:val="22"/>
              </w:rPr>
              <w:t xml:space="preserve"> </w:t>
            </w:r>
            <w:r w:rsidR="00992516">
              <w:rPr>
                <w:noProof/>
                <w:sz w:val="22"/>
                <w:szCs w:val="22"/>
              </w:rPr>
              <w:t>would</w:t>
            </w:r>
            <w:r w:rsidR="00480CEC">
              <w:rPr>
                <w:noProof/>
                <w:sz w:val="22"/>
                <w:szCs w:val="22"/>
              </w:rPr>
              <w:t xml:space="preserve"> be ported to a sovereign cloud service</w:t>
            </w:r>
            <w:r w:rsidR="001D29E8">
              <w:rPr>
                <w:noProof/>
                <w:sz w:val="22"/>
                <w:szCs w:val="22"/>
              </w:rPr>
              <w:t xml:space="preserve"> as of result of the intervention. </w:t>
            </w:r>
            <w:r w:rsidR="00554442">
              <w:rPr>
                <w:noProof/>
                <w:sz w:val="22"/>
                <w:szCs w:val="22"/>
              </w:rPr>
              <w:t>A more plausible scenario has been considered, where all</w:t>
            </w:r>
            <w:r w:rsidR="006D509B">
              <w:rPr>
                <w:noProof/>
                <w:sz w:val="22"/>
                <w:szCs w:val="22"/>
              </w:rPr>
              <w:t xml:space="preserve"> applications at level 4 (1% of the total applications) and half of the applications at level 3 (5% </w:t>
            </w:r>
            <w:r w:rsidR="00C70ED4">
              <w:rPr>
                <w:noProof/>
                <w:sz w:val="22"/>
                <w:szCs w:val="22"/>
              </w:rPr>
              <w:t>compared to the estimated 9%</w:t>
            </w:r>
            <w:r w:rsidR="009408D9">
              <w:rPr>
                <w:noProof/>
                <w:sz w:val="22"/>
                <w:szCs w:val="22"/>
              </w:rPr>
              <w:t>) will be ported over 3 years as a result of the intervention.</w:t>
            </w:r>
          </w:p>
        </w:tc>
        <w:tc>
          <w:tcPr>
            <w:tcW w:w="847" w:type="pct"/>
          </w:tcPr>
          <w:p w14:paraId="6354D340" w14:textId="0CC91421" w:rsidR="006C19AD" w:rsidRPr="00A14359" w:rsidRDefault="00152924">
            <w:pPr>
              <w:spacing w:after="0"/>
              <w:rPr>
                <w:b/>
                <w:noProof/>
                <w:sz w:val="22"/>
                <w:szCs w:val="22"/>
              </w:rPr>
            </w:pPr>
            <w:r w:rsidRPr="00A14359">
              <w:rPr>
                <w:noProof/>
                <w:sz w:val="22"/>
                <w:szCs w:val="22"/>
              </w:rPr>
              <w:t>Main report 6.1.2, 7.2 and Annex 12, section 12.4</w:t>
            </w:r>
          </w:p>
        </w:tc>
      </w:tr>
      <w:tr w:rsidR="006C19AD" w:rsidRPr="00A14359" w14:paraId="3302B310" w14:textId="77777777">
        <w:trPr>
          <w:trHeight w:val="300"/>
        </w:trPr>
        <w:tc>
          <w:tcPr>
            <w:tcW w:w="5000" w:type="pct"/>
            <w:gridSpan w:val="3"/>
          </w:tcPr>
          <w:p w14:paraId="52E4EA70" w14:textId="77777777" w:rsidR="006C19AD" w:rsidRPr="00A14359" w:rsidRDefault="006C19AD">
            <w:pPr>
              <w:spacing w:after="0"/>
              <w:rPr>
                <w:b/>
                <w:noProof/>
                <w:sz w:val="22"/>
                <w:szCs w:val="22"/>
              </w:rPr>
            </w:pPr>
            <w:r w:rsidRPr="00A14359">
              <w:rPr>
                <w:b/>
                <w:noProof/>
                <w:sz w:val="22"/>
                <w:szCs w:val="22"/>
              </w:rPr>
              <w:t>(C) What to improve</w:t>
            </w:r>
          </w:p>
        </w:tc>
      </w:tr>
      <w:tr w:rsidR="006C19AD" w:rsidRPr="00A14359" w14:paraId="57F2277F" w14:textId="77777777">
        <w:trPr>
          <w:trHeight w:val="300"/>
        </w:trPr>
        <w:tc>
          <w:tcPr>
            <w:tcW w:w="1760" w:type="pct"/>
          </w:tcPr>
          <w:p w14:paraId="099C47A1" w14:textId="09F2FDE0" w:rsidR="006C19AD" w:rsidRPr="0097758E" w:rsidRDefault="002C77CF">
            <w:pPr>
              <w:spacing w:after="0"/>
              <w:rPr>
                <w:noProof/>
                <w:sz w:val="22"/>
                <w:szCs w:val="22"/>
                <w:lang w:val="en-IE"/>
              </w:rPr>
            </w:pPr>
            <w:r w:rsidRPr="00A14359">
              <w:rPr>
                <w:noProof/>
                <w:sz w:val="22"/>
                <w:szCs w:val="22"/>
                <w:lang w:val="en-IE"/>
              </w:rPr>
              <w:t xml:space="preserve">The policy measures aimed at reducing critical dependencies (PM16/PM19) should be better described, in particular why the criterion “outside of the country of dependencies” is used rather than “within the EU”, on the basis of which criteria the dependency threshold is set at 50%, how the non-price award criteria are to be used by public buyers, how they will be used and assessed. The report should also better discuss the representativeness of the assumptions in PM15 regarding what percentages of use cases would respectively require sovereignty levels 1, 2, 3 and 4. </w:t>
            </w:r>
          </w:p>
        </w:tc>
        <w:tc>
          <w:tcPr>
            <w:tcW w:w="2393" w:type="pct"/>
          </w:tcPr>
          <w:p w14:paraId="33BCBF1D" w14:textId="77777777" w:rsidR="006C19AD" w:rsidRPr="00A14359" w:rsidRDefault="00CC2F50">
            <w:pPr>
              <w:spacing w:after="0"/>
              <w:rPr>
                <w:noProof/>
                <w:sz w:val="22"/>
                <w:szCs w:val="22"/>
              </w:rPr>
            </w:pPr>
            <w:r w:rsidRPr="00A14359">
              <w:rPr>
                <w:noProof/>
                <w:sz w:val="22"/>
                <w:szCs w:val="22"/>
              </w:rPr>
              <w:t xml:space="preserve">PM16 and PM19 have been reformulated to support EU added value. The non-award criteria defined under these PMs should be of ancillary and non-decisive value in view of the overall tender and are to be included, voluntarily, by contracting authorities in the procurement of cloud and AI computing services </w:t>
            </w:r>
            <w:r w:rsidRPr="00A14359">
              <w:rPr>
                <w:noProof/>
                <w:sz w:val="22"/>
                <w:szCs w:val="22"/>
                <w:lang w:val="en-IE" w:eastAsia="ja-JP"/>
              </w:rPr>
              <w:t>that are not off the shelf, standardised or commercially available services</w:t>
            </w:r>
            <w:r w:rsidRPr="00A14359">
              <w:rPr>
                <w:noProof/>
                <w:sz w:val="22"/>
                <w:szCs w:val="22"/>
              </w:rPr>
              <w:t>.</w:t>
            </w:r>
          </w:p>
          <w:p w14:paraId="645BFE64" w14:textId="77777777" w:rsidR="00CC2F50" w:rsidRPr="00A14359" w:rsidRDefault="00CC2F50">
            <w:pPr>
              <w:spacing w:after="0"/>
              <w:rPr>
                <w:noProof/>
                <w:sz w:val="22"/>
                <w:szCs w:val="22"/>
              </w:rPr>
            </w:pPr>
          </w:p>
          <w:p w14:paraId="4B74A4A8" w14:textId="4721B748" w:rsidR="00CC2F50" w:rsidRPr="00A14359" w:rsidRDefault="00CC2F50">
            <w:pPr>
              <w:spacing w:after="0"/>
              <w:rPr>
                <w:noProof/>
                <w:sz w:val="22"/>
                <w:szCs w:val="22"/>
              </w:rPr>
            </w:pPr>
            <w:r w:rsidRPr="00A14359">
              <w:rPr>
                <w:noProof/>
                <w:sz w:val="22"/>
                <w:szCs w:val="22"/>
              </w:rPr>
              <w:t>Under PM15</w:t>
            </w:r>
            <w:r w:rsidR="006E221B" w:rsidRPr="00A14359">
              <w:rPr>
                <w:noProof/>
                <w:sz w:val="22"/>
                <w:szCs w:val="22"/>
              </w:rPr>
              <w:t>, both in the main report and Annex 4,</w:t>
            </w:r>
            <w:r w:rsidRPr="00A14359">
              <w:rPr>
                <w:noProof/>
                <w:sz w:val="22"/>
                <w:szCs w:val="22"/>
              </w:rPr>
              <w:t xml:space="preserve"> a clarifying sentence has been included </w:t>
            </w:r>
            <w:r w:rsidR="006E221B" w:rsidRPr="00A14359">
              <w:rPr>
                <w:noProof/>
                <w:sz w:val="22"/>
                <w:szCs w:val="22"/>
              </w:rPr>
              <w:t xml:space="preserve">to argue on the representativeness of the </w:t>
            </w:r>
            <w:r w:rsidR="002F1106" w:rsidRPr="00A14359">
              <w:rPr>
                <w:noProof/>
                <w:sz w:val="22"/>
                <w:szCs w:val="22"/>
              </w:rPr>
              <w:t>assumptions.</w:t>
            </w:r>
          </w:p>
        </w:tc>
        <w:tc>
          <w:tcPr>
            <w:tcW w:w="847" w:type="pct"/>
          </w:tcPr>
          <w:p w14:paraId="54DDB193" w14:textId="4E42E56B" w:rsidR="006C19AD" w:rsidRPr="00A14359" w:rsidRDefault="00D005DD">
            <w:pPr>
              <w:spacing w:after="0"/>
              <w:rPr>
                <w:noProof/>
                <w:sz w:val="22"/>
                <w:szCs w:val="22"/>
              </w:rPr>
            </w:pPr>
            <w:r w:rsidRPr="00A14359">
              <w:rPr>
                <w:noProof/>
                <w:sz w:val="22"/>
                <w:szCs w:val="22"/>
              </w:rPr>
              <w:t>Main re</w:t>
            </w:r>
            <w:r w:rsidR="00DA4DA2" w:rsidRPr="00A14359">
              <w:rPr>
                <w:noProof/>
                <w:sz w:val="22"/>
                <w:szCs w:val="22"/>
              </w:rPr>
              <w:t>port</w:t>
            </w:r>
            <w:r w:rsidR="008F3447" w:rsidRPr="00A14359">
              <w:rPr>
                <w:noProof/>
                <w:sz w:val="22"/>
                <w:szCs w:val="22"/>
              </w:rPr>
              <w:t xml:space="preserve"> 5.1.1 and 5.1.2 and Annex 4.</w:t>
            </w:r>
          </w:p>
        </w:tc>
      </w:tr>
      <w:tr w:rsidR="006C19AD" w:rsidRPr="00A14359" w14:paraId="3FDE29FA" w14:textId="77777777">
        <w:trPr>
          <w:trHeight w:val="300"/>
        </w:trPr>
        <w:tc>
          <w:tcPr>
            <w:tcW w:w="1760" w:type="pct"/>
          </w:tcPr>
          <w:p w14:paraId="7FE21DD5" w14:textId="625A084A" w:rsidR="006C19AD" w:rsidRPr="00A14359" w:rsidRDefault="002C77CF" w:rsidP="00D53C36">
            <w:pPr>
              <w:spacing w:after="0"/>
              <w:rPr>
                <w:noProof/>
                <w:sz w:val="22"/>
                <w:szCs w:val="22"/>
              </w:rPr>
            </w:pPr>
            <w:r w:rsidRPr="00A14359">
              <w:rPr>
                <w:noProof/>
                <w:sz w:val="22"/>
                <w:szCs w:val="22"/>
                <w:lang w:val="en-IE"/>
              </w:rPr>
              <w:t xml:space="preserve">Policy measure PM20 encourages the use of Open Source in the public sector and requires the contracting authorities to assess the equivalence/superiority of Open Source over proprietary solutions in the tendering procedure. PM22 encourages EU level joint public procurement. Building on the annex, the report should better analyse the impact of these measures on public authorities, including the need for specialised expertise and interplay with envisaged Open-Source Programme Offices, as well as how a uniform approach across the EU will be ensured. The impact of these measures on the companies offering the relevant IT services should also be discussed </w:t>
            </w:r>
          </w:p>
        </w:tc>
        <w:tc>
          <w:tcPr>
            <w:tcW w:w="2393" w:type="pct"/>
          </w:tcPr>
          <w:p w14:paraId="69384252" w14:textId="77777777" w:rsidR="00500F82" w:rsidRPr="00A14359" w:rsidRDefault="000F183C">
            <w:pPr>
              <w:spacing w:after="0"/>
              <w:rPr>
                <w:noProof/>
                <w:sz w:val="22"/>
                <w:szCs w:val="22"/>
              </w:rPr>
            </w:pPr>
            <w:r w:rsidRPr="00A14359">
              <w:rPr>
                <w:noProof/>
                <w:sz w:val="22"/>
                <w:szCs w:val="22"/>
              </w:rPr>
              <w:t>The description</w:t>
            </w:r>
            <w:r w:rsidR="005C1A7F" w:rsidRPr="00A14359">
              <w:rPr>
                <w:noProof/>
                <w:sz w:val="22"/>
                <w:szCs w:val="22"/>
              </w:rPr>
              <w:t xml:space="preserve"> of PM20 in Annex 4 has been expanded</w:t>
            </w:r>
            <w:r w:rsidR="00B240C7" w:rsidRPr="00A14359">
              <w:rPr>
                <w:noProof/>
                <w:sz w:val="22"/>
                <w:szCs w:val="22"/>
              </w:rPr>
              <w:t xml:space="preserve">. It is discussed that the initial administrative costs </w:t>
            </w:r>
            <w:r w:rsidR="00E24C46" w:rsidRPr="00A14359">
              <w:rPr>
                <w:noProof/>
                <w:sz w:val="22"/>
                <w:szCs w:val="22"/>
              </w:rPr>
              <w:t xml:space="preserve">incurred </w:t>
            </w:r>
            <w:r w:rsidR="00B240C7" w:rsidRPr="00A14359">
              <w:rPr>
                <w:noProof/>
                <w:sz w:val="22"/>
                <w:szCs w:val="22"/>
              </w:rPr>
              <w:t xml:space="preserve">due to the </w:t>
            </w:r>
            <w:r w:rsidR="004C0E1B" w:rsidRPr="00A14359">
              <w:rPr>
                <w:noProof/>
                <w:sz w:val="22"/>
                <w:szCs w:val="22"/>
              </w:rPr>
              <w:t>comparative assessment of solutions (proprietary vs. open source)</w:t>
            </w:r>
            <w:r w:rsidR="009F3AE1" w:rsidRPr="00A14359">
              <w:rPr>
                <w:noProof/>
                <w:sz w:val="22"/>
                <w:szCs w:val="22"/>
              </w:rPr>
              <w:t xml:space="preserve"> </w:t>
            </w:r>
            <w:r w:rsidR="005D7611" w:rsidRPr="00A14359">
              <w:rPr>
                <w:noProof/>
                <w:sz w:val="22"/>
                <w:szCs w:val="22"/>
              </w:rPr>
              <w:t>in staff training</w:t>
            </w:r>
            <w:r w:rsidR="00EF5B41" w:rsidRPr="00A14359">
              <w:rPr>
                <w:noProof/>
                <w:sz w:val="22"/>
                <w:szCs w:val="22"/>
              </w:rPr>
              <w:t xml:space="preserve"> would result in</w:t>
            </w:r>
            <w:r w:rsidR="00B43D3E" w:rsidRPr="00A14359">
              <w:rPr>
                <w:noProof/>
                <w:sz w:val="22"/>
                <w:szCs w:val="22"/>
              </w:rPr>
              <w:t xml:space="preserve"> capability benefits in the long term. Furthermore, public authorities may rely on OSPOs as centres of excellence in open source, at technical, legal, procedural and strategic level</w:t>
            </w:r>
            <w:r w:rsidR="003B4D5E" w:rsidRPr="00A14359">
              <w:rPr>
                <w:noProof/>
                <w:sz w:val="22"/>
                <w:szCs w:val="22"/>
              </w:rPr>
              <w:t xml:space="preserve">, who can support public authorities with standardised evaluation frameworks and methodologies. </w:t>
            </w:r>
            <w:r w:rsidR="0098089F" w:rsidRPr="00A14359">
              <w:rPr>
                <w:noProof/>
                <w:sz w:val="22"/>
                <w:szCs w:val="22"/>
              </w:rPr>
              <w:t xml:space="preserve">Uniformity may be achieved by means of recommendations and experience sharing in the </w:t>
            </w:r>
            <w:r w:rsidR="00A5523B" w:rsidRPr="00A14359">
              <w:rPr>
                <w:noProof/>
                <w:sz w:val="22"/>
                <w:szCs w:val="22"/>
              </w:rPr>
              <w:t>OSPO networks.</w:t>
            </w:r>
            <w:r w:rsidR="009F3AE1" w:rsidRPr="00A14359">
              <w:rPr>
                <w:noProof/>
                <w:sz w:val="22"/>
                <w:szCs w:val="22"/>
              </w:rPr>
              <w:t xml:space="preserve"> </w:t>
            </w:r>
          </w:p>
          <w:p w14:paraId="7EC22B4B" w14:textId="77777777" w:rsidR="00500F82" w:rsidRPr="00A14359" w:rsidRDefault="00500F82">
            <w:pPr>
              <w:spacing w:after="0"/>
              <w:rPr>
                <w:noProof/>
                <w:sz w:val="22"/>
                <w:szCs w:val="22"/>
              </w:rPr>
            </w:pPr>
          </w:p>
          <w:p w14:paraId="209F6765" w14:textId="51D1F573" w:rsidR="006C19AD" w:rsidRPr="00A14359" w:rsidRDefault="00D2586A">
            <w:pPr>
              <w:spacing w:after="0"/>
              <w:rPr>
                <w:noProof/>
                <w:sz w:val="22"/>
                <w:szCs w:val="22"/>
              </w:rPr>
            </w:pPr>
            <w:r w:rsidRPr="00A14359">
              <w:rPr>
                <w:noProof/>
                <w:sz w:val="22"/>
                <w:szCs w:val="22"/>
              </w:rPr>
              <w:t xml:space="preserve">The new text also includes how </w:t>
            </w:r>
            <w:r w:rsidR="00707B7A" w:rsidRPr="00A14359">
              <w:rPr>
                <w:noProof/>
                <w:sz w:val="22"/>
                <w:szCs w:val="22"/>
              </w:rPr>
              <w:t>these new conditions would impact businesses, both providers of proprietary solutions and open source solutions, and the overall market.</w:t>
            </w:r>
          </w:p>
        </w:tc>
        <w:tc>
          <w:tcPr>
            <w:tcW w:w="847" w:type="pct"/>
          </w:tcPr>
          <w:p w14:paraId="1E4E60A4" w14:textId="73785F5E" w:rsidR="006C19AD" w:rsidRPr="00A14359" w:rsidRDefault="00510E1B">
            <w:pPr>
              <w:spacing w:after="0"/>
              <w:rPr>
                <w:noProof/>
                <w:sz w:val="22"/>
                <w:szCs w:val="22"/>
              </w:rPr>
            </w:pPr>
            <w:r w:rsidRPr="00A14359">
              <w:rPr>
                <w:noProof/>
                <w:sz w:val="22"/>
                <w:szCs w:val="22"/>
              </w:rPr>
              <w:t>Annex 4, description of PM20; main report section 6.1.2 and 6.1.4</w:t>
            </w:r>
          </w:p>
        </w:tc>
      </w:tr>
      <w:tr w:rsidR="006C19AD" w:rsidRPr="00A14359" w14:paraId="61A9A284" w14:textId="77777777">
        <w:trPr>
          <w:trHeight w:val="300"/>
        </w:trPr>
        <w:tc>
          <w:tcPr>
            <w:tcW w:w="1760" w:type="pct"/>
          </w:tcPr>
          <w:p w14:paraId="48FD30B7" w14:textId="0AE541F5" w:rsidR="006C19AD" w:rsidRPr="00A14359" w:rsidRDefault="00D53C36" w:rsidP="00D53C36">
            <w:pPr>
              <w:spacing w:after="0"/>
              <w:rPr>
                <w:noProof/>
                <w:sz w:val="22"/>
                <w:szCs w:val="22"/>
              </w:rPr>
            </w:pPr>
            <w:r w:rsidRPr="00A14359">
              <w:rPr>
                <w:noProof/>
                <w:sz w:val="22"/>
                <w:szCs w:val="22"/>
                <w:lang w:val="en-IE"/>
              </w:rPr>
              <w:t xml:space="preserve">Regarding external coherence: as the policy measure PM11, defining the sovereignty levels and the associated requirements, includes criteria based on the European Cybersecurity Certification Scheme for Cloud Services (EUCS), which has not yet been adopted, the report should describe in more detail the interplay of the two initiatives as well as implementation uncertainties for EUCS </w:t>
            </w:r>
          </w:p>
        </w:tc>
        <w:tc>
          <w:tcPr>
            <w:tcW w:w="2393" w:type="pct"/>
          </w:tcPr>
          <w:p w14:paraId="35E059F3" w14:textId="7281FA07" w:rsidR="006C19AD" w:rsidRPr="00A14359" w:rsidRDefault="00150F16">
            <w:pPr>
              <w:spacing w:after="0"/>
              <w:rPr>
                <w:noProof/>
                <w:sz w:val="22"/>
                <w:szCs w:val="22"/>
              </w:rPr>
            </w:pPr>
            <w:r w:rsidRPr="00A14359">
              <w:rPr>
                <w:noProof/>
                <w:sz w:val="22"/>
                <w:szCs w:val="22"/>
              </w:rPr>
              <w:t xml:space="preserve">PM11 includes the inter-relation between </w:t>
            </w:r>
            <w:r w:rsidR="000D6FB2" w:rsidRPr="00A14359">
              <w:rPr>
                <w:noProof/>
                <w:sz w:val="22"/>
                <w:szCs w:val="22"/>
              </w:rPr>
              <w:t>the sovereignty levels and EUCS</w:t>
            </w:r>
            <w:r w:rsidR="00882063" w:rsidRPr="00A14359">
              <w:rPr>
                <w:noProof/>
                <w:sz w:val="22"/>
                <w:szCs w:val="22"/>
              </w:rPr>
              <w:t xml:space="preserve"> as </w:t>
            </w:r>
            <w:r w:rsidR="005F3B9A" w:rsidRPr="00A14359">
              <w:rPr>
                <w:noProof/>
                <w:sz w:val="22"/>
                <w:szCs w:val="22"/>
              </w:rPr>
              <w:t>one of the criteria to fulfil.</w:t>
            </w:r>
          </w:p>
          <w:p w14:paraId="2398F167" w14:textId="133CAAFC" w:rsidR="00882063" w:rsidRPr="00A14359" w:rsidRDefault="005F3B9A" w:rsidP="00882063">
            <w:pPr>
              <w:spacing w:after="0"/>
              <w:rPr>
                <w:noProof/>
                <w:sz w:val="22"/>
                <w:szCs w:val="22"/>
                <w:lang w:val="en-IE"/>
              </w:rPr>
            </w:pPr>
            <w:r w:rsidRPr="00A14359">
              <w:rPr>
                <w:noProof/>
                <w:sz w:val="22"/>
                <w:szCs w:val="22"/>
              </w:rPr>
              <w:t>This footnote argues that a</w:t>
            </w:r>
            <w:r w:rsidR="00882063" w:rsidRPr="00A14359">
              <w:rPr>
                <w:noProof/>
                <w:sz w:val="22"/>
                <w:szCs w:val="22"/>
                <w:lang w:val="en-IE"/>
              </w:rPr>
              <w:t>s part of the ‘One Europe, one market’ roadmap agreed by the Parliament, the Council and the Commission, the co-legislator have agreed to finalise negotiation for this initiative ed by Q4 2027. Adding one year for the measures to take effect, this implies an enter into force in early 2029.</w:t>
            </w:r>
          </w:p>
          <w:p w14:paraId="64E35C61" w14:textId="77777777" w:rsidR="005F3B9A" w:rsidRPr="00A14359" w:rsidRDefault="005F3B9A" w:rsidP="00882063">
            <w:pPr>
              <w:spacing w:after="0"/>
              <w:rPr>
                <w:noProof/>
                <w:sz w:val="22"/>
                <w:szCs w:val="22"/>
                <w:lang w:val="en-IE"/>
              </w:rPr>
            </w:pPr>
          </w:p>
          <w:p w14:paraId="3442AE9A" w14:textId="5D289499" w:rsidR="00882063" w:rsidRPr="0097758E" w:rsidRDefault="00882063" w:rsidP="00882063">
            <w:pPr>
              <w:spacing w:after="0"/>
              <w:rPr>
                <w:noProof/>
                <w:sz w:val="22"/>
                <w:szCs w:val="22"/>
                <w:lang w:val="en-IE"/>
              </w:rPr>
            </w:pPr>
            <w:r w:rsidRPr="00A14359">
              <w:rPr>
                <w:noProof/>
                <w:sz w:val="22"/>
                <w:szCs w:val="22"/>
                <w:lang w:val="en-IE"/>
              </w:rPr>
              <w:t xml:space="preserve">EUCS technical work is done and has been adopted by CEN-CENELEC Technical Specifications. The candidate scheme has therefore reached an advanced stage of development, which now needs to be transformed into an Implementing Act </w:t>
            </w:r>
            <w:r w:rsidR="004500AB" w:rsidRPr="00A14359">
              <w:rPr>
                <w:noProof/>
                <w:sz w:val="22"/>
                <w:szCs w:val="22"/>
                <w:lang w:val="en-IE"/>
              </w:rPr>
              <w:t xml:space="preserve">to be </w:t>
            </w:r>
            <w:r w:rsidRPr="00A14359">
              <w:rPr>
                <w:noProof/>
                <w:sz w:val="22"/>
                <w:szCs w:val="22"/>
                <w:lang w:val="en-IE"/>
              </w:rPr>
              <w:t>adopted under the Cybersecurity Act, a process much shorter than CADA’s interinstitutional negotiations.</w:t>
            </w:r>
          </w:p>
        </w:tc>
        <w:tc>
          <w:tcPr>
            <w:tcW w:w="847" w:type="pct"/>
          </w:tcPr>
          <w:p w14:paraId="7D3126C7" w14:textId="29800EBC" w:rsidR="006C19AD" w:rsidRPr="0097758E" w:rsidRDefault="00E80EC4">
            <w:pPr>
              <w:spacing w:after="0"/>
              <w:rPr>
                <w:noProof/>
                <w:sz w:val="22"/>
                <w:szCs w:val="22"/>
              </w:rPr>
            </w:pPr>
            <w:r w:rsidRPr="0097758E">
              <w:rPr>
                <w:noProof/>
                <w:sz w:val="22"/>
                <w:szCs w:val="22"/>
              </w:rPr>
              <w:t xml:space="preserve">Main </w:t>
            </w:r>
            <w:r w:rsidR="00844F35" w:rsidRPr="00A14359">
              <w:rPr>
                <w:bCs/>
                <w:noProof/>
                <w:sz w:val="22"/>
                <w:szCs w:val="22"/>
              </w:rPr>
              <w:t>report 5.2.2</w:t>
            </w:r>
            <w:r w:rsidR="00844F35" w:rsidRPr="0097758E">
              <w:rPr>
                <w:noProof/>
                <w:sz w:val="22"/>
                <w:szCs w:val="22"/>
              </w:rPr>
              <w:t xml:space="preserve"> and Annex 4, as a footnote in PM11.</w:t>
            </w:r>
          </w:p>
        </w:tc>
      </w:tr>
      <w:tr w:rsidR="006C19AD" w:rsidRPr="00A14359" w14:paraId="0C52C6C1" w14:textId="77777777">
        <w:trPr>
          <w:trHeight w:val="300"/>
        </w:trPr>
        <w:tc>
          <w:tcPr>
            <w:tcW w:w="1760" w:type="pct"/>
          </w:tcPr>
          <w:p w14:paraId="43CC9677" w14:textId="5F635912" w:rsidR="006C19AD" w:rsidRPr="00A14359" w:rsidRDefault="00D53C36" w:rsidP="00D53C36">
            <w:pPr>
              <w:spacing w:after="0"/>
              <w:rPr>
                <w:noProof/>
                <w:sz w:val="22"/>
                <w:szCs w:val="22"/>
              </w:rPr>
            </w:pPr>
            <w:r w:rsidRPr="00A14359">
              <w:rPr>
                <w:noProof/>
                <w:sz w:val="22"/>
                <w:szCs w:val="22"/>
                <w:lang w:val="en-IE"/>
              </w:rPr>
              <w:t xml:space="preserve">In view of the impact on the total costs of the initiative, the costs related to migration and porting, described in box 2 and in the annex, should be reflected in a summary table of costs and benefits. </w:t>
            </w:r>
          </w:p>
        </w:tc>
        <w:tc>
          <w:tcPr>
            <w:tcW w:w="2393" w:type="pct"/>
          </w:tcPr>
          <w:p w14:paraId="1AB53E61" w14:textId="446E1B2C" w:rsidR="006C19AD" w:rsidRPr="00A14359" w:rsidRDefault="002456D3">
            <w:pPr>
              <w:spacing w:after="0"/>
              <w:rPr>
                <w:noProof/>
                <w:sz w:val="22"/>
                <w:szCs w:val="22"/>
              </w:rPr>
            </w:pPr>
            <w:r>
              <w:rPr>
                <w:noProof/>
                <w:sz w:val="22"/>
                <w:szCs w:val="22"/>
              </w:rPr>
              <w:t>The table and text in section 7.2 have been modified to reflect the costs of porting</w:t>
            </w:r>
            <w:r w:rsidR="00DF3E5A">
              <w:rPr>
                <w:noProof/>
                <w:sz w:val="22"/>
                <w:szCs w:val="22"/>
              </w:rPr>
              <w:t>.</w:t>
            </w:r>
            <w:r w:rsidR="005D3ED7">
              <w:rPr>
                <w:noProof/>
                <w:sz w:val="22"/>
                <w:szCs w:val="22"/>
              </w:rPr>
              <w:t xml:space="preserve"> Under 6.1.2 the estimated costs are </w:t>
            </w:r>
            <w:r w:rsidR="005417C9">
              <w:rPr>
                <w:noProof/>
                <w:sz w:val="22"/>
                <w:szCs w:val="22"/>
              </w:rPr>
              <w:t xml:space="preserve">detailed based on the explanations </w:t>
            </w:r>
            <w:r w:rsidR="00341216">
              <w:rPr>
                <w:noProof/>
                <w:sz w:val="22"/>
                <w:szCs w:val="22"/>
              </w:rPr>
              <w:t>provided under Annex 12, section 12.4, which has also been updated.</w:t>
            </w:r>
          </w:p>
        </w:tc>
        <w:tc>
          <w:tcPr>
            <w:tcW w:w="847" w:type="pct"/>
          </w:tcPr>
          <w:p w14:paraId="3626DF56" w14:textId="5F3CA5E5" w:rsidR="006C19AD" w:rsidRPr="00A14359" w:rsidRDefault="00844F35">
            <w:pPr>
              <w:spacing w:after="0"/>
              <w:rPr>
                <w:noProof/>
                <w:sz w:val="22"/>
                <w:szCs w:val="22"/>
              </w:rPr>
            </w:pPr>
            <w:r w:rsidRPr="00A14359">
              <w:rPr>
                <w:noProof/>
                <w:sz w:val="22"/>
                <w:szCs w:val="22"/>
              </w:rPr>
              <w:t>Main report</w:t>
            </w:r>
            <w:r w:rsidR="00706BF7" w:rsidRPr="00A14359">
              <w:rPr>
                <w:noProof/>
                <w:sz w:val="22"/>
                <w:szCs w:val="22"/>
              </w:rPr>
              <w:t xml:space="preserve"> </w:t>
            </w:r>
            <w:r w:rsidR="00DF477C" w:rsidRPr="00A14359">
              <w:rPr>
                <w:noProof/>
                <w:sz w:val="22"/>
                <w:szCs w:val="22"/>
              </w:rPr>
              <w:t xml:space="preserve">6.1.2, </w:t>
            </w:r>
            <w:r w:rsidR="00706BF7" w:rsidRPr="00A14359">
              <w:rPr>
                <w:noProof/>
                <w:sz w:val="22"/>
                <w:szCs w:val="22"/>
              </w:rPr>
              <w:t>7.2 and Annex 12</w:t>
            </w:r>
            <w:r w:rsidR="00EB709E" w:rsidRPr="00A14359">
              <w:rPr>
                <w:noProof/>
                <w:sz w:val="22"/>
                <w:szCs w:val="22"/>
              </w:rPr>
              <w:t>, section 12.4</w:t>
            </w:r>
          </w:p>
        </w:tc>
      </w:tr>
    </w:tbl>
    <w:p w14:paraId="5E9F8BCA" w14:textId="77777777" w:rsidR="006C19AD" w:rsidRDefault="006C19AD" w:rsidP="006C19AD">
      <w:pPr>
        <w:spacing w:after="120"/>
        <w:rPr>
          <w:noProof/>
        </w:rPr>
      </w:pPr>
    </w:p>
    <w:p w14:paraId="7DA82EC3" w14:textId="77777777" w:rsidR="006C19AD" w:rsidRPr="00D37004" w:rsidRDefault="006C19AD" w:rsidP="00B75EA8">
      <w:pPr>
        <w:spacing w:after="120"/>
        <w:rPr>
          <w:noProof/>
        </w:rPr>
      </w:pPr>
    </w:p>
    <w:p w14:paraId="1C51E6BC" w14:textId="0C58962D" w:rsidR="008D1899" w:rsidRDefault="008D1899" w:rsidP="00B05194">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1</w:t>
      </w:r>
      <w:r>
        <w:rPr>
          <w:noProof/>
        </w:rPr>
        <w:fldChar w:fldCharType="end"/>
      </w:r>
      <w:r>
        <w:rPr>
          <w:noProof/>
        </w:rPr>
        <w:t>. Modifications of the impact assessment report in response to RSB comments</w:t>
      </w:r>
    </w:p>
    <w:tbl>
      <w:tblPr>
        <w:tblStyle w:val="TableGrid"/>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8"/>
        <w:gridCol w:w="4402"/>
        <w:gridCol w:w="1558"/>
      </w:tblGrid>
      <w:tr w:rsidR="00E40BBA" w:rsidRPr="00D37004" w14:paraId="55AC6A5E" w14:textId="77777777" w:rsidTr="00F666E3">
        <w:trPr>
          <w:trHeight w:val="300"/>
          <w:tblHeader/>
        </w:trPr>
        <w:tc>
          <w:tcPr>
            <w:tcW w:w="1760" w:type="pct"/>
            <w:shd w:val="clear" w:color="auto" w:fill="0070C0"/>
          </w:tcPr>
          <w:p w14:paraId="6CF45E73" w14:textId="77777777" w:rsidR="00E40BBA" w:rsidRPr="001B54F9" w:rsidRDefault="00E40BBA">
            <w:pPr>
              <w:spacing w:after="0"/>
              <w:rPr>
                <w:bCs/>
                <w:noProof/>
                <w:sz w:val="22"/>
                <w:szCs w:val="22"/>
              </w:rPr>
            </w:pPr>
            <w:r w:rsidRPr="00777970">
              <w:rPr>
                <w:b/>
                <w:noProof/>
                <w:color w:val="FFFFFF" w:themeColor="background1"/>
                <w:sz w:val="22"/>
                <w:szCs w:val="22"/>
              </w:rPr>
              <w:t>Opinion of the RSB by point</w:t>
            </w:r>
          </w:p>
        </w:tc>
        <w:tc>
          <w:tcPr>
            <w:tcW w:w="2393" w:type="pct"/>
            <w:shd w:val="clear" w:color="auto" w:fill="0070C0"/>
          </w:tcPr>
          <w:p w14:paraId="75D85AB5" w14:textId="77777777" w:rsidR="00E40BBA" w:rsidRDefault="00E40BBA">
            <w:pPr>
              <w:spacing w:after="0"/>
              <w:rPr>
                <w:bCs/>
                <w:noProof/>
                <w:sz w:val="22"/>
                <w:szCs w:val="22"/>
              </w:rPr>
            </w:pPr>
            <w:r w:rsidRPr="00777970">
              <w:rPr>
                <w:b/>
                <w:noProof/>
                <w:color w:val="FFFFFF" w:themeColor="background1"/>
                <w:sz w:val="22"/>
                <w:szCs w:val="22"/>
              </w:rPr>
              <w:t xml:space="preserve"> How comments have been addressed</w:t>
            </w:r>
          </w:p>
        </w:tc>
        <w:tc>
          <w:tcPr>
            <w:tcW w:w="847" w:type="pct"/>
            <w:shd w:val="clear" w:color="auto" w:fill="0070C0"/>
          </w:tcPr>
          <w:p w14:paraId="081CD88E" w14:textId="77777777" w:rsidR="00E40BBA" w:rsidRPr="00777970" w:rsidRDefault="00E40BBA">
            <w:pPr>
              <w:spacing w:after="0"/>
              <w:rPr>
                <w:noProof/>
                <w:sz w:val="22"/>
                <w:szCs w:val="22"/>
              </w:rPr>
            </w:pPr>
            <w:r w:rsidRPr="00777970">
              <w:rPr>
                <w:b/>
                <w:noProof/>
                <w:color w:val="FFFFFF" w:themeColor="background1"/>
                <w:sz w:val="22"/>
                <w:szCs w:val="22"/>
              </w:rPr>
              <w:t>Sections in IA report/Annex</w:t>
            </w:r>
          </w:p>
        </w:tc>
      </w:tr>
      <w:tr w:rsidR="00DE011F" w:rsidRPr="00D37004" w14:paraId="0B4B1CE0" w14:textId="77777777" w:rsidTr="00DE011F">
        <w:trPr>
          <w:trHeight w:val="300"/>
        </w:trPr>
        <w:tc>
          <w:tcPr>
            <w:tcW w:w="5000" w:type="pct"/>
            <w:gridSpan w:val="3"/>
          </w:tcPr>
          <w:p w14:paraId="0077B443" w14:textId="627BC178" w:rsidR="00DE011F" w:rsidRPr="00777970" w:rsidRDefault="00DE011F">
            <w:pPr>
              <w:spacing w:after="0"/>
              <w:rPr>
                <w:noProof/>
                <w:sz w:val="22"/>
                <w:szCs w:val="22"/>
              </w:rPr>
            </w:pPr>
            <w:r>
              <w:rPr>
                <w:b/>
                <w:noProof/>
                <w:sz w:val="22"/>
                <w:szCs w:val="22"/>
              </w:rPr>
              <w:t>(B) Key issues</w:t>
            </w:r>
          </w:p>
        </w:tc>
      </w:tr>
      <w:tr w:rsidR="00E40BBA" w:rsidRPr="00D37004" w14:paraId="2FD257B0" w14:textId="77777777" w:rsidTr="00DE011F">
        <w:trPr>
          <w:trHeight w:val="300"/>
        </w:trPr>
        <w:tc>
          <w:tcPr>
            <w:tcW w:w="1760" w:type="pct"/>
          </w:tcPr>
          <w:p w14:paraId="540BA364" w14:textId="77777777" w:rsidR="00E40BBA" w:rsidRPr="007D2933" w:rsidRDefault="00E40BBA">
            <w:pPr>
              <w:spacing w:after="0"/>
              <w:rPr>
                <w:noProof/>
                <w:sz w:val="22"/>
                <w:szCs w:val="22"/>
              </w:rPr>
            </w:pPr>
            <w:r w:rsidRPr="007D2933">
              <w:rPr>
                <w:noProof/>
                <w:sz w:val="22"/>
                <w:szCs w:val="22"/>
              </w:rPr>
              <w:t>(1) The key proposed policy measures are not sufficiently specified to allow for the assessment of those measures and whether they can address the identified problems of EU competitiveness and strategic autonomy. Their proportionality is not adequately demonstrated.</w:t>
            </w:r>
          </w:p>
        </w:tc>
        <w:tc>
          <w:tcPr>
            <w:tcW w:w="2393" w:type="pct"/>
          </w:tcPr>
          <w:p w14:paraId="5D8817F5" w14:textId="77777777" w:rsidR="00E40BBA" w:rsidRPr="007D2933" w:rsidRDefault="00E40BBA" w:rsidP="00157D23">
            <w:pPr>
              <w:rPr>
                <w:bCs/>
                <w:noProof/>
                <w:sz w:val="22"/>
                <w:szCs w:val="22"/>
              </w:rPr>
            </w:pPr>
            <w:r w:rsidRPr="007D2933">
              <w:rPr>
                <w:bCs/>
                <w:noProof/>
                <w:sz w:val="22"/>
                <w:szCs w:val="22"/>
              </w:rPr>
              <w:t>In response to the Board’s comments regarding the measures designed to respond to Problem 2 and its corresponding drivers, the updated impact assessment proposes a more refined and proportionate approach to how sovereignty would be defined in CADA and how it would be practically implemented by public administrations.</w:t>
            </w:r>
          </w:p>
          <w:p w14:paraId="490BE9AB" w14:textId="77777777" w:rsidR="00E40BBA" w:rsidRPr="007D2933" w:rsidRDefault="00E40BBA" w:rsidP="00157D23">
            <w:pPr>
              <w:rPr>
                <w:bCs/>
                <w:noProof/>
                <w:sz w:val="22"/>
                <w:szCs w:val="22"/>
              </w:rPr>
            </w:pPr>
            <w:r w:rsidRPr="007D2933">
              <w:rPr>
                <w:bCs/>
                <w:noProof/>
                <w:sz w:val="22"/>
                <w:szCs w:val="22"/>
              </w:rPr>
              <w:t>PM11 now defines sovereignty along four levels (instead of one level, which required exemptions for particular cases), of which higher levels come with higher sovereignty demands. This allows for greater granularity in answering customers’ needs and reflects with more nuance the reality of available and future service offerings. The layered approach reinforces the proportionality of the measure. It aligns better with the available offer from European operators. It increases trust and enables broader cloudification of on-premises solutions of the most critical use cases, while creating new market opportunities for sovereign European providers. PM11 now also includes a dedicated synthesis table providing a consolidated view of the gradually demanding sovereignty criteria.</w:t>
            </w:r>
          </w:p>
          <w:p w14:paraId="691032E4" w14:textId="77777777" w:rsidR="00E40BBA" w:rsidRPr="007D2933" w:rsidRDefault="00E40BBA" w:rsidP="00157D23">
            <w:pPr>
              <w:rPr>
                <w:bCs/>
                <w:noProof/>
                <w:sz w:val="22"/>
                <w:szCs w:val="22"/>
              </w:rPr>
            </w:pPr>
            <w:r w:rsidRPr="007D2933">
              <w:rPr>
                <w:bCs/>
                <w:noProof/>
                <w:sz w:val="22"/>
                <w:szCs w:val="22"/>
              </w:rPr>
              <w:t>The assessment of conformity against the respective sovereignty levels is also more balanced and cost-effective for all parties involved, notably in terms of administrative burden on public authorities. As introduced by PM15, compliance against sovereignty level 1 would be based on self-assessments conducted by the service provider. Verifying compliance of service against sovereignty level 2-3-4 would be done through third party’s auditors and verified by national competent authorities designated by Member States (a mechanism similar to that used in the Digital Services Act).</w:t>
            </w:r>
          </w:p>
          <w:p w14:paraId="2D7D32A4" w14:textId="77777777" w:rsidR="00E40BBA" w:rsidRPr="007D2933" w:rsidRDefault="00E40BBA" w:rsidP="00157D23">
            <w:pPr>
              <w:rPr>
                <w:bCs/>
                <w:noProof/>
                <w:sz w:val="22"/>
                <w:szCs w:val="22"/>
              </w:rPr>
            </w:pPr>
            <w:r w:rsidRPr="007D2933">
              <w:rPr>
                <w:bCs/>
                <w:noProof/>
                <w:sz w:val="22"/>
                <w:szCs w:val="22"/>
              </w:rPr>
              <w:t>We make it explicit that services from non-European providers can qualify for Level 1 and Level 2, but not for Level 3 and Level 4. The measure remains anchored in addressing the protection of public order in the public sector (SO4). But since the new Level 3 and Level 4 are reserved to EU providers (on sovereignty grounds), it nevertheless justifies that this measure also addresses the overall dependence on non-European cloud and AI computing services (SO3).</w:t>
            </w:r>
          </w:p>
          <w:p w14:paraId="0C413955" w14:textId="0DF7198C" w:rsidR="00640E45" w:rsidRPr="00157D23" w:rsidRDefault="00E40BBA" w:rsidP="00157D23">
            <w:pPr>
              <w:rPr>
                <w:noProof/>
                <w:sz w:val="22"/>
                <w:szCs w:val="22"/>
              </w:rPr>
            </w:pPr>
            <w:r w:rsidRPr="007D2933">
              <w:rPr>
                <w:bCs/>
                <w:noProof/>
                <w:sz w:val="22"/>
                <w:szCs w:val="22"/>
              </w:rPr>
              <w:t>The sovereignty risk assessment newly introduced by PM15 allows Member States to identify which public sector use cases within require the use of which sovereignty level. This approach reinforces the subsidiarity dimension of the measure. It empowers Member Stats to integrate sovereignty criteria in their established practices and to better choose or change providers where the sovereignty risk assessment has determined so. It limits transition costs, by allowing Member States to consider their own budgets so that the transition to sovereign solutions naturally follows their existing investment schedules. Finally, it avoids big one-off expenditures by public authorities and diffuses any risk of a supply crunch since the uptake of sovereign services will be more gradual.</w:t>
            </w:r>
          </w:p>
          <w:p w14:paraId="370C80F1" w14:textId="6045E3A9" w:rsidR="00E40BBA" w:rsidRPr="00157D23" w:rsidRDefault="00640E45" w:rsidP="00157D23">
            <w:pPr>
              <w:rPr>
                <w:noProof/>
                <w:sz w:val="22"/>
                <w:szCs w:val="22"/>
              </w:rPr>
            </w:pPr>
            <w:r w:rsidRPr="00157D23">
              <w:rPr>
                <w:noProof/>
                <w:sz w:val="22"/>
                <w:szCs w:val="22"/>
              </w:rPr>
              <w:t>In this context, to ensure methodological clarity and appropriate degree of delineation between the different measures analysed, the previous PM19, part of PO2-B, which consisted in sovereignty audits to be conducted in the public sector has been removed altogether as it was too close of the sovereignty risk assessments now conducted under PM15 and PM21. A new PM19, now part of PO2-C, has been spun off from PM21 and consists in the award criteria made mandatory.</w:t>
            </w:r>
          </w:p>
        </w:tc>
        <w:tc>
          <w:tcPr>
            <w:tcW w:w="847" w:type="pct"/>
          </w:tcPr>
          <w:p w14:paraId="75BB5C56" w14:textId="77777777" w:rsidR="00E40BBA" w:rsidRPr="00777970" w:rsidRDefault="00E40BBA">
            <w:pPr>
              <w:spacing w:after="0"/>
              <w:rPr>
                <w:noProof/>
                <w:sz w:val="22"/>
                <w:szCs w:val="22"/>
              </w:rPr>
            </w:pPr>
            <w:r w:rsidRPr="00777970">
              <w:rPr>
                <w:noProof/>
                <w:sz w:val="22"/>
                <w:szCs w:val="22"/>
              </w:rPr>
              <w:t xml:space="preserve">Main report: </w:t>
            </w:r>
            <w:r>
              <w:rPr>
                <w:bCs/>
                <w:noProof/>
                <w:sz w:val="22"/>
                <w:szCs w:val="22"/>
              </w:rPr>
              <w:t>section 5.2.2. (and all subsequent analytical sections)</w:t>
            </w:r>
          </w:p>
        </w:tc>
      </w:tr>
      <w:tr w:rsidR="00E40BBA" w:rsidRPr="00D37004" w14:paraId="42A79CDA" w14:textId="77777777" w:rsidTr="00DE011F">
        <w:trPr>
          <w:trHeight w:val="300"/>
        </w:trPr>
        <w:tc>
          <w:tcPr>
            <w:tcW w:w="1760" w:type="pct"/>
          </w:tcPr>
          <w:p w14:paraId="337ACBF0" w14:textId="77777777" w:rsidR="00E40BBA" w:rsidRPr="007D2933" w:rsidRDefault="00E40BBA">
            <w:pPr>
              <w:spacing w:after="0"/>
              <w:rPr>
                <w:noProof/>
                <w:sz w:val="22"/>
                <w:szCs w:val="22"/>
              </w:rPr>
            </w:pPr>
            <w:r w:rsidRPr="007D2933">
              <w:rPr>
                <w:noProof/>
                <w:sz w:val="22"/>
                <w:szCs w:val="22"/>
              </w:rPr>
              <w:t>(2) The analysis of effectiveness and efficiency does not adequately reflect all the costs (i.e. transition costs). The benefits appear to be over-estimated.</w:t>
            </w:r>
          </w:p>
        </w:tc>
        <w:tc>
          <w:tcPr>
            <w:tcW w:w="2393" w:type="pct"/>
          </w:tcPr>
          <w:p w14:paraId="08EE773B" w14:textId="77777777" w:rsidR="00E40BBA" w:rsidRPr="007D2933" w:rsidRDefault="00E40BBA">
            <w:pPr>
              <w:rPr>
                <w:noProof/>
                <w:sz w:val="22"/>
                <w:szCs w:val="22"/>
              </w:rPr>
            </w:pPr>
            <w:r w:rsidRPr="007D2933">
              <w:rPr>
                <w:noProof/>
                <w:sz w:val="22"/>
                <w:szCs w:val="22"/>
              </w:rPr>
              <w:t>The updated approach to sovereignty is reflected in the way costs and cost savings are calculated. Based on the feedback of the Board, the impact assessment now includes in the costs not only those corresponding to the establishment of the measures, but also transition costs directly in the calculations, and not at a macro-economic level.</w:t>
            </w:r>
          </w:p>
          <w:p w14:paraId="3F60B906" w14:textId="77777777" w:rsidR="00E40BBA" w:rsidRPr="007D2933" w:rsidRDefault="00E40BBA">
            <w:pPr>
              <w:rPr>
                <w:noProof/>
                <w:sz w:val="22"/>
                <w:szCs w:val="22"/>
              </w:rPr>
            </w:pPr>
            <w:r w:rsidRPr="007D2933">
              <w:rPr>
                <w:noProof/>
                <w:sz w:val="22"/>
                <w:szCs w:val="22"/>
              </w:rPr>
              <w:t xml:space="preserve">In response to the Board’s targeted comments and based on new evidence, the impact assessment introduces an improved sensitivity analysis of the effective price mark-up of sovereign solutions, as described in </w:t>
            </w:r>
            <w:r w:rsidRPr="007D2933">
              <w:rPr>
                <w:i/>
                <w:iCs/>
                <w:noProof/>
                <w:sz w:val="22"/>
                <w:szCs w:val="22"/>
              </w:rPr>
              <w:t>section 2.3.4</w:t>
            </w:r>
            <w:r w:rsidRPr="007D2933">
              <w:rPr>
                <w:noProof/>
                <w:sz w:val="22"/>
                <w:szCs w:val="22"/>
              </w:rPr>
              <w:t xml:space="preserve">. This results into a more robust range-based calculation of impacts across the applicable PMs detailed in </w:t>
            </w:r>
            <w:r w:rsidRPr="007D2933">
              <w:rPr>
                <w:i/>
                <w:iCs/>
                <w:noProof/>
                <w:sz w:val="22"/>
                <w:szCs w:val="22"/>
              </w:rPr>
              <w:t>Annex 4, section 3</w:t>
            </w:r>
            <w:r w:rsidRPr="007D2933">
              <w:rPr>
                <w:noProof/>
                <w:sz w:val="22"/>
                <w:szCs w:val="22"/>
              </w:rPr>
              <w:t>.</w:t>
            </w:r>
          </w:p>
          <w:p w14:paraId="7CA6E38F" w14:textId="77777777" w:rsidR="00E40BBA" w:rsidRPr="007D2933" w:rsidRDefault="00E40BBA">
            <w:pPr>
              <w:rPr>
                <w:noProof/>
                <w:sz w:val="22"/>
                <w:szCs w:val="22"/>
              </w:rPr>
            </w:pPr>
            <w:r w:rsidRPr="007D2933">
              <w:rPr>
                <w:noProof/>
                <w:sz w:val="22"/>
                <w:szCs w:val="22"/>
              </w:rPr>
              <w:t xml:space="preserve">We now also analyse the costs for a customer to port individual IT systems from one provider to another. This is summarised in a new box under </w:t>
            </w:r>
            <w:r w:rsidRPr="007D2933">
              <w:rPr>
                <w:i/>
                <w:iCs/>
                <w:noProof/>
                <w:sz w:val="22"/>
                <w:szCs w:val="22"/>
              </w:rPr>
              <w:t>section 6.1.2</w:t>
            </w:r>
            <w:r w:rsidRPr="007D2933">
              <w:rPr>
                <w:noProof/>
                <w:sz w:val="22"/>
                <w:szCs w:val="22"/>
              </w:rPr>
              <w:t xml:space="preserve"> and detailed in the new </w:t>
            </w:r>
            <w:r w:rsidRPr="007D2933">
              <w:rPr>
                <w:i/>
                <w:iCs/>
                <w:noProof/>
                <w:sz w:val="22"/>
                <w:szCs w:val="22"/>
              </w:rPr>
              <w:t>Annex 12</w:t>
            </w:r>
            <w:r w:rsidRPr="007D2933">
              <w:rPr>
                <w:noProof/>
                <w:sz w:val="22"/>
                <w:szCs w:val="22"/>
              </w:rPr>
              <w:t xml:space="preserve"> provides which also covers the case of migration (cloudification) of legacy applications. It includes the migration/switching journey broken down into distinct phases and accounts for three gradual application sizes for which the corresponding costs are calculated.</w:t>
            </w:r>
          </w:p>
          <w:p w14:paraId="2974D09F" w14:textId="77777777" w:rsidR="00E40BBA" w:rsidRPr="007D2933" w:rsidRDefault="00E40BBA">
            <w:pPr>
              <w:spacing w:after="0"/>
              <w:rPr>
                <w:noProof/>
                <w:sz w:val="22"/>
                <w:szCs w:val="22"/>
              </w:rPr>
            </w:pPr>
            <w:r w:rsidRPr="007D2933">
              <w:rPr>
                <w:noProof/>
                <w:sz w:val="22"/>
                <w:szCs w:val="22"/>
              </w:rPr>
              <w:t xml:space="preserve">In response to the Board’s comments regarding the previous approach to quantification of benefits, </w:t>
            </w:r>
            <w:r w:rsidRPr="007D2933">
              <w:rPr>
                <w:i/>
                <w:iCs/>
                <w:noProof/>
                <w:sz w:val="22"/>
                <w:szCs w:val="22"/>
              </w:rPr>
              <w:t>section 6.1.5.</w:t>
            </w:r>
            <w:r w:rsidRPr="007D2933">
              <w:rPr>
                <w:noProof/>
                <w:sz w:val="22"/>
                <w:szCs w:val="22"/>
              </w:rPr>
              <w:t xml:space="preserve"> now provides a more narrowly defined and qualitative analysis of macro-economic effects. The first part of the new qualitative analysis focuses on benefits for public administrations related to improved sovereignty stemming from the use of sovereign services, lesser dependency on 3</w:t>
            </w:r>
            <w:r w:rsidRPr="007D2933">
              <w:rPr>
                <w:noProof/>
                <w:sz w:val="22"/>
                <w:szCs w:val="22"/>
                <w:vertAlign w:val="superscript"/>
              </w:rPr>
              <w:t>rd</w:t>
            </w:r>
            <w:r w:rsidRPr="007D2933">
              <w:rPr>
                <w:noProof/>
                <w:sz w:val="22"/>
                <w:szCs w:val="22"/>
              </w:rPr>
              <w:t>-country providers. The second part provides a qualitative analysis of the commercial spillover in terms of improved market opportunities for providers serving use cases associated with Level 3 and Level 4, related for example to improved visibility and perception in terms of service quality from the perspective of private buyers.</w:t>
            </w:r>
          </w:p>
        </w:tc>
        <w:tc>
          <w:tcPr>
            <w:tcW w:w="847" w:type="pct"/>
          </w:tcPr>
          <w:p w14:paraId="01743E5B" w14:textId="77777777" w:rsidR="00E40BBA" w:rsidRDefault="00E40BBA">
            <w:pPr>
              <w:spacing w:after="0"/>
              <w:rPr>
                <w:noProof/>
                <w:sz w:val="22"/>
                <w:szCs w:val="22"/>
              </w:rPr>
            </w:pPr>
            <w:r w:rsidRPr="00777970">
              <w:rPr>
                <w:noProof/>
                <w:sz w:val="22"/>
                <w:szCs w:val="22"/>
              </w:rPr>
              <w:t xml:space="preserve">Main report: section </w:t>
            </w:r>
            <w:r>
              <w:rPr>
                <w:noProof/>
                <w:sz w:val="22"/>
                <w:szCs w:val="22"/>
              </w:rPr>
              <w:t>2.3.4.,</w:t>
            </w:r>
          </w:p>
          <w:p w14:paraId="6388CD52" w14:textId="77777777" w:rsidR="00E40BBA" w:rsidRDefault="00E40BBA">
            <w:pPr>
              <w:spacing w:after="0"/>
              <w:rPr>
                <w:noProof/>
                <w:sz w:val="22"/>
                <w:szCs w:val="22"/>
              </w:rPr>
            </w:pPr>
            <w:r>
              <w:rPr>
                <w:noProof/>
                <w:sz w:val="22"/>
                <w:szCs w:val="22"/>
              </w:rPr>
              <w:t>6.1.2., 6.1.5</w:t>
            </w:r>
          </w:p>
          <w:p w14:paraId="1239BFB3" w14:textId="77777777" w:rsidR="00E40BBA" w:rsidRDefault="00E40BBA">
            <w:pPr>
              <w:spacing w:after="0"/>
              <w:rPr>
                <w:noProof/>
                <w:sz w:val="22"/>
                <w:szCs w:val="22"/>
              </w:rPr>
            </w:pPr>
          </w:p>
          <w:p w14:paraId="4C7BED19" w14:textId="77777777" w:rsidR="00E40BBA" w:rsidRDefault="00E40BBA">
            <w:pPr>
              <w:spacing w:after="0"/>
              <w:rPr>
                <w:noProof/>
                <w:sz w:val="22"/>
                <w:szCs w:val="22"/>
              </w:rPr>
            </w:pPr>
            <w:r>
              <w:rPr>
                <w:noProof/>
                <w:sz w:val="22"/>
                <w:szCs w:val="22"/>
              </w:rPr>
              <w:t>Annexes:</w:t>
            </w:r>
          </w:p>
          <w:p w14:paraId="4943C554" w14:textId="77777777" w:rsidR="00E40BBA" w:rsidRDefault="00E40BBA">
            <w:pPr>
              <w:spacing w:after="0"/>
              <w:rPr>
                <w:noProof/>
                <w:sz w:val="22"/>
                <w:szCs w:val="22"/>
              </w:rPr>
            </w:pPr>
            <w:r>
              <w:rPr>
                <w:noProof/>
                <w:sz w:val="22"/>
                <w:szCs w:val="22"/>
              </w:rPr>
              <w:t>Annex 4, section 3.</w:t>
            </w:r>
          </w:p>
          <w:p w14:paraId="47F5FAE9" w14:textId="77777777" w:rsidR="00E40BBA" w:rsidRPr="00777970" w:rsidRDefault="00E40BBA">
            <w:pPr>
              <w:spacing w:after="0"/>
              <w:rPr>
                <w:noProof/>
                <w:sz w:val="22"/>
                <w:szCs w:val="22"/>
              </w:rPr>
            </w:pPr>
            <w:r>
              <w:rPr>
                <w:noProof/>
                <w:sz w:val="22"/>
                <w:szCs w:val="22"/>
              </w:rPr>
              <w:t>Annex 12</w:t>
            </w:r>
          </w:p>
        </w:tc>
      </w:tr>
      <w:tr w:rsidR="00E40BBA" w:rsidRPr="00D37004" w14:paraId="5999904C" w14:textId="77777777" w:rsidTr="00DE011F">
        <w:trPr>
          <w:trHeight w:val="300"/>
        </w:trPr>
        <w:tc>
          <w:tcPr>
            <w:tcW w:w="1760" w:type="pct"/>
          </w:tcPr>
          <w:p w14:paraId="333939BA" w14:textId="77777777" w:rsidR="00E40BBA" w:rsidRPr="00777970" w:rsidRDefault="00E40BBA">
            <w:pPr>
              <w:spacing w:after="0"/>
              <w:rPr>
                <w:noProof/>
                <w:sz w:val="22"/>
                <w:szCs w:val="22"/>
              </w:rPr>
            </w:pPr>
            <w:r w:rsidRPr="007D2933">
              <w:rPr>
                <w:noProof/>
                <w:sz w:val="22"/>
                <w:szCs w:val="22"/>
              </w:rPr>
              <w:t>(3) The analysis of coherence must be reinforced as there are apparent overlaps with existing and upcoming legislation.</w:t>
            </w:r>
          </w:p>
        </w:tc>
        <w:tc>
          <w:tcPr>
            <w:tcW w:w="2393" w:type="pct"/>
          </w:tcPr>
          <w:p w14:paraId="356868F1" w14:textId="77777777" w:rsidR="00E40BBA" w:rsidRPr="007D2933" w:rsidRDefault="00E40BBA">
            <w:pPr>
              <w:spacing w:after="0"/>
              <w:rPr>
                <w:noProof/>
                <w:sz w:val="22"/>
                <w:szCs w:val="22"/>
              </w:rPr>
            </w:pPr>
            <w:r w:rsidRPr="007D2933">
              <w:rPr>
                <w:i/>
                <w:iCs/>
                <w:noProof/>
                <w:sz w:val="22"/>
                <w:szCs w:val="22"/>
              </w:rPr>
              <w:t>This comment is addressed under the more detailed point 4 of the What to improve section.</w:t>
            </w:r>
          </w:p>
        </w:tc>
        <w:tc>
          <w:tcPr>
            <w:tcW w:w="847" w:type="pct"/>
          </w:tcPr>
          <w:p w14:paraId="018EAD43" w14:textId="77777777" w:rsidR="00E40BBA" w:rsidRPr="00D37004" w:rsidRDefault="00E40BBA">
            <w:pPr>
              <w:spacing w:after="0"/>
              <w:rPr>
                <w:b/>
                <w:noProof/>
                <w:sz w:val="22"/>
                <w:szCs w:val="22"/>
              </w:rPr>
            </w:pPr>
          </w:p>
        </w:tc>
      </w:tr>
      <w:tr w:rsidR="00DE011F" w:rsidRPr="00D37004" w14:paraId="4767000A" w14:textId="77777777" w:rsidTr="00DE011F">
        <w:trPr>
          <w:trHeight w:val="300"/>
        </w:trPr>
        <w:tc>
          <w:tcPr>
            <w:tcW w:w="5000" w:type="pct"/>
            <w:gridSpan w:val="3"/>
          </w:tcPr>
          <w:p w14:paraId="760C0D4B" w14:textId="23522F95" w:rsidR="00DE011F" w:rsidRPr="00D37004" w:rsidRDefault="00DE011F">
            <w:pPr>
              <w:spacing w:after="0"/>
              <w:rPr>
                <w:b/>
                <w:noProof/>
                <w:sz w:val="22"/>
                <w:szCs w:val="22"/>
              </w:rPr>
            </w:pPr>
            <w:r>
              <w:rPr>
                <w:b/>
                <w:noProof/>
                <w:sz w:val="22"/>
                <w:szCs w:val="22"/>
              </w:rPr>
              <w:t>(C) What to improve</w:t>
            </w:r>
          </w:p>
        </w:tc>
      </w:tr>
      <w:tr w:rsidR="00E40BBA" w:rsidRPr="00D37004" w14:paraId="769EA453" w14:textId="77777777" w:rsidTr="00DE011F">
        <w:trPr>
          <w:trHeight w:val="300"/>
        </w:trPr>
        <w:tc>
          <w:tcPr>
            <w:tcW w:w="1760" w:type="pct"/>
          </w:tcPr>
          <w:p w14:paraId="110C0055" w14:textId="4CE02591" w:rsidR="00E40BBA" w:rsidRPr="007D2933" w:rsidRDefault="00E40BBA">
            <w:pPr>
              <w:spacing w:after="0"/>
              <w:rPr>
                <w:noProof/>
                <w:sz w:val="22"/>
                <w:szCs w:val="22"/>
              </w:rPr>
            </w:pPr>
            <w:r w:rsidRPr="007D2933">
              <w:rPr>
                <w:noProof/>
                <w:sz w:val="22"/>
                <w:szCs w:val="22"/>
              </w:rPr>
              <w:t>(1) Given the market situation and the stated specific objectives, the interplay between the criteria for authorising sovereign cloud services and existing legislation in third countries should be clarified and the resulting impacts analysed. The report must provide a robust estimate of the number of entities affected by mandatory requirements regarding sovereign solutions, as well as which sovereign cloud services EU service providers currently do not offer. The report should explain how “countries with dependencies” will be identified as well as how and by whom the criterion of equivalence/superiority will be established for the prioritisation of open source. Without these clarifications the impact and proportionality of the intervention in terms of costs, including transition costs, and benefits cannot be credibly assessed.</w:t>
            </w:r>
          </w:p>
        </w:tc>
        <w:tc>
          <w:tcPr>
            <w:tcW w:w="2393" w:type="pct"/>
          </w:tcPr>
          <w:p w14:paraId="14757E5F" w14:textId="77777777" w:rsidR="00E40BBA" w:rsidRPr="007D2933" w:rsidRDefault="00E40BBA">
            <w:pPr>
              <w:rPr>
                <w:noProof/>
                <w:sz w:val="22"/>
                <w:szCs w:val="22"/>
              </w:rPr>
            </w:pPr>
            <w:r w:rsidRPr="007D2933">
              <w:rPr>
                <w:noProof/>
                <w:sz w:val="22"/>
                <w:szCs w:val="22"/>
              </w:rPr>
              <w:t>The updated</w:t>
            </w:r>
            <w:r w:rsidRPr="007D2933">
              <w:rPr>
                <w:i/>
                <w:iCs/>
                <w:noProof/>
                <w:sz w:val="22"/>
                <w:szCs w:val="22"/>
              </w:rPr>
              <w:t xml:space="preserve"> PM11 </w:t>
            </w:r>
            <w:r w:rsidRPr="007D2933">
              <w:rPr>
                <w:noProof/>
                <w:sz w:val="22"/>
                <w:szCs w:val="22"/>
              </w:rPr>
              <w:t>provides under</w:t>
            </w:r>
            <w:r w:rsidRPr="007D2933">
              <w:rPr>
                <w:i/>
                <w:iCs/>
                <w:noProof/>
                <w:sz w:val="22"/>
                <w:szCs w:val="22"/>
              </w:rPr>
              <w:t xml:space="preserve"> section 5.2.2</w:t>
            </w:r>
            <w:r w:rsidRPr="007D2933">
              <w:rPr>
                <w:noProof/>
                <w:sz w:val="22"/>
                <w:szCs w:val="22"/>
              </w:rPr>
              <w:t>. a granular description</w:t>
            </w:r>
            <w:r w:rsidRPr="007D2933">
              <w:rPr>
                <w:i/>
                <w:iCs/>
                <w:noProof/>
                <w:sz w:val="22"/>
                <w:szCs w:val="22"/>
              </w:rPr>
              <w:t xml:space="preserve"> </w:t>
            </w:r>
            <w:r w:rsidRPr="007D2933">
              <w:rPr>
                <w:noProof/>
                <w:sz w:val="22"/>
                <w:szCs w:val="22"/>
              </w:rPr>
              <w:t xml:space="preserve">of the four levels of sovereignty, including a breakdown of the gradually demanding requirements. </w:t>
            </w:r>
            <w:r w:rsidRPr="007D2933">
              <w:rPr>
                <w:i/>
                <w:iCs/>
                <w:noProof/>
                <w:sz w:val="22"/>
                <w:szCs w:val="22"/>
              </w:rPr>
              <w:t>PM11</w:t>
            </w:r>
            <w:r w:rsidRPr="007D2933">
              <w:rPr>
                <w:noProof/>
                <w:sz w:val="22"/>
                <w:szCs w:val="22"/>
              </w:rPr>
              <w:t xml:space="preserve"> now also includes clarifications as to which types of providers could qualify for which sovereignty level, all in view of the increasing level of assurance provided between Levels 1 and 4 against the risks defined under Problem 2.</w:t>
            </w:r>
          </w:p>
          <w:p w14:paraId="7A7DAC8B" w14:textId="77777777" w:rsidR="00E40BBA" w:rsidRPr="007D2933" w:rsidRDefault="00E40BBA">
            <w:pPr>
              <w:rPr>
                <w:noProof/>
                <w:sz w:val="22"/>
                <w:szCs w:val="22"/>
              </w:rPr>
            </w:pPr>
            <w:r w:rsidRPr="007D2933">
              <w:rPr>
                <w:noProof/>
                <w:sz w:val="22"/>
                <w:szCs w:val="22"/>
              </w:rPr>
              <w:t xml:space="preserve">New analysis provided under </w:t>
            </w:r>
            <w:r w:rsidRPr="007D2933">
              <w:rPr>
                <w:i/>
                <w:iCs/>
                <w:noProof/>
                <w:sz w:val="22"/>
                <w:szCs w:val="22"/>
              </w:rPr>
              <w:t xml:space="preserve">PM15 </w:t>
            </w:r>
            <w:r w:rsidRPr="007D2933">
              <w:rPr>
                <w:noProof/>
                <w:sz w:val="22"/>
                <w:szCs w:val="22"/>
              </w:rPr>
              <w:t xml:space="preserve">in </w:t>
            </w:r>
            <w:r w:rsidRPr="007D2933">
              <w:rPr>
                <w:i/>
                <w:iCs/>
                <w:noProof/>
                <w:sz w:val="22"/>
                <w:szCs w:val="22"/>
              </w:rPr>
              <w:t>Annex 3, section 3.15.</w:t>
            </w:r>
            <w:r w:rsidRPr="007D2933">
              <w:rPr>
                <w:noProof/>
                <w:sz w:val="22"/>
                <w:szCs w:val="22"/>
              </w:rPr>
              <w:t xml:space="preserve"> connects the new stratified approach to sovereignty with current market realities with regard to providers in scope of CADA. The section details the number and type of providers who could reach the respective levels of sovereignty. We assess that 59 non-EU headquartered providers meet Level 1 requirements and would be able to qualify to Level 1 or 2 should they decide so. 226 EU headquartered providers could qualify as Level 1 or 2 and would be able to qualify as Level 3 should they decide so. Some of these providers are large companies with proven track record already in serving governments. We also clarify that at this moment, few European providers can achieve Level 4 but more are expected to reach this level soon.</w:t>
            </w:r>
          </w:p>
          <w:p w14:paraId="42514CE1" w14:textId="77777777" w:rsidR="00E40BBA" w:rsidRPr="007D2933" w:rsidRDefault="00E40BBA">
            <w:pPr>
              <w:rPr>
                <w:noProof/>
                <w:sz w:val="22"/>
                <w:szCs w:val="22"/>
              </w:rPr>
            </w:pPr>
            <w:r w:rsidRPr="007D2933">
              <w:rPr>
                <w:noProof/>
                <w:sz w:val="22"/>
                <w:szCs w:val="22"/>
              </w:rPr>
              <w:t xml:space="preserve">When it comes to the requested strengthened analysis of the number of entities impacted by the obligations under </w:t>
            </w:r>
            <w:r w:rsidRPr="007D2933">
              <w:rPr>
                <w:i/>
                <w:iCs/>
                <w:noProof/>
                <w:sz w:val="22"/>
                <w:szCs w:val="22"/>
              </w:rPr>
              <w:t>PM21</w:t>
            </w:r>
            <w:r w:rsidRPr="007D2933">
              <w:rPr>
                <w:noProof/>
                <w:sz w:val="22"/>
                <w:szCs w:val="22"/>
              </w:rPr>
              <w:t xml:space="preserve">, section 6.1.2. includes real life evidence-based calculations of costs of porting applications between two cloud environments with a view for three distinct types of public authorities (small, medium, high) and the implied IT system complexity. </w:t>
            </w:r>
            <w:r w:rsidRPr="007D2933">
              <w:rPr>
                <w:i/>
                <w:iCs/>
                <w:noProof/>
                <w:sz w:val="22"/>
                <w:szCs w:val="22"/>
              </w:rPr>
              <w:t xml:space="preserve">Annex 3, section 3.21. </w:t>
            </w:r>
            <w:r w:rsidRPr="007D2933">
              <w:rPr>
                <w:noProof/>
                <w:sz w:val="22"/>
                <w:szCs w:val="22"/>
              </w:rPr>
              <w:t>On this basis,</w:t>
            </w:r>
            <w:r w:rsidRPr="007D2933">
              <w:rPr>
                <w:i/>
                <w:iCs/>
                <w:noProof/>
                <w:sz w:val="22"/>
                <w:szCs w:val="22"/>
              </w:rPr>
              <w:t xml:space="preserve"> </w:t>
            </w:r>
            <w:r w:rsidRPr="007D2933" w:rsidDel="007D0FF4">
              <w:rPr>
                <w:noProof/>
                <w:sz w:val="22"/>
                <w:szCs w:val="22"/>
              </w:rPr>
              <w:t xml:space="preserve">three </w:t>
            </w:r>
            <w:r w:rsidRPr="007D2933">
              <w:rPr>
                <w:noProof/>
                <w:sz w:val="22"/>
                <w:szCs w:val="22"/>
              </w:rPr>
              <w:t xml:space="preserve">illustrative cases are presented to show how costs can vary across different types of public authorities. These scenarios provide a benchmark for individual authorities, while the aggregated cost across all 6400 public entities possibly in scope is presented under the new </w:t>
            </w:r>
            <w:r w:rsidRPr="007D2933">
              <w:rPr>
                <w:i/>
                <w:iCs/>
                <w:noProof/>
                <w:sz w:val="22"/>
                <w:szCs w:val="22"/>
              </w:rPr>
              <w:t>Annex 12</w:t>
            </w:r>
            <w:r w:rsidRPr="007D2933">
              <w:rPr>
                <w:noProof/>
                <w:sz w:val="22"/>
                <w:szCs w:val="22"/>
              </w:rPr>
              <w:t>.</w:t>
            </w:r>
          </w:p>
          <w:p w14:paraId="43FF1B4B" w14:textId="77777777" w:rsidR="00E40BBA" w:rsidRPr="007D2933" w:rsidRDefault="00E40BBA">
            <w:pPr>
              <w:rPr>
                <w:noProof/>
                <w:sz w:val="22"/>
                <w:szCs w:val="22"/>
              </w:rPr>
            </w:pPr>
            <w:r w:rsidRPr="007D2933">
              <w:rPr>
                <w:noProof/>
                <w:sz w:val="22"/>
                <w:szCs w:val="22"/>
              </w:rPr>
              <w:t xml:space="preserve">The new </w:t>
            </w:r>
            <w:r w:rsidRPr="007D2933">
              <w:rPr>
                <w:i/>
                <w:iCs/>
                <w:noProof/>
                <w:sz w:val="22"/>
                <w:szCs w:val="22"/>
              </w:rPr>
              <w:t>Annex 13</w:t>
            </w:r>
            <w:r w:rsidRPr="007D2933">
              <w:rPr>
                <w:noProof/>
                <w:sz w:val="22"/>
                <w:szCs w:val="22"/>
              </w:rPr>
              <w:t xml:space="preserve"> provides a comparative analysis between offerings of the three leading hyperscalers and three selected European providers. Complementing the previous description of the difference in terms of the number of offerings under </w:t>
            </w:r>
            <w:r w:rsidRPr="007D2933">
              <w:rPr>
                <w:i/>
                <w:iCs/>
                <w:noProof/>
                <w:sz w:val="22"/>
                <w:szCs w:val="22"/>
              </w:rPr>
              <w:t>PD1, section 2.3.2.</w:t>
            </w:r>
            <w:r w:rsidRPr="007D2933">
              <w:rPr>
                <w:noProof/>
                <w:sz w:val="22"/>
                <w:szCs w:val="22"/>
              </w:rPr>
              <w:t xml:space="preserve">, the Annex provides a much more granular and nuanced assessment of this. A set of dedicated </w:t>
            </w:r>
            <w:r w:rsidRPr="007D2933">
              <w:rPr>
                <w:noProof/>
                <w:sz w:val="22"/>
                <w:szCs w:val="22"/>
                <w:lang w:val="en-IE"/>
              </w:rPr>
              <w:t>tables shows that the selected European providers already offer services broadly equivalent to those of AWS, Microsoft Azure, and Google Cloud Platform across the core infrastructure categories that are most widely used: compute, storage, network, and managed container orchestration. The comparison has been extended to office automation suites, one of the most widely adopted SaaS categories in the public sector, where credible European and open-source alternatives are also available. Where previous interviews have shown that most public administrations use an average of twenty services, instead of the whole range offered by hyperscalers, the Annex demonstrates that EU providers already offer the most used services and with a similar level of functionality.</w:t>
            </w:r>
          </w:p>
          <w:p w14:paraId="2CC6F7FF" w14:textId="77777777" w:rsidR="00E40BBA" w:rsidRPr="007D2933" w:rsidRDefault="00E40BBA">
            <w:pPr>
              <w:rPr>
                <w:noProof/>
                <w:sz w:val="22"/>
                <w:szCs w:val="22"/>
              </w:rPr>
            </w:pPr>
            <w:r w:rsidRPr="007D2933">
              <w:rPr>
                <w:noProof/>
                <w:sz w:val="22"/>
                <w:szCs w:val="22"/>
              </w:rPr>
              <w:t xml:space="preserve">With respect to the identification of countries of dependence, </w:t>
            </w:r>
            <w:r w:rsidRPr="007D2933">
              <w:rPr>
                <w:i/>
                <w:iCs/>
                <w:noProof/>
                <w:sz w:val="22"/>
                <w:szCs w:val="22"/>
              </w:rPr>
              <w:t>PM16</w:t>
            </w:r>
            <w:r w:rsidRPr="007D2933">
              <w:rPr>
                <w:noProof/>
                <w:sz w:val="22"/>
                <w:szCs w:val="22"/>
              </w:rPr>
              <w:t>, under</w:t>
            </w:r>
            <w:r w:rsidRPr="007D2933">
              <w:rPr>
                <w:i/>
                <w:iCs/>
                <w:noProof/>
                <w:sz w:val="22"/>
                <w:szCs w:val="22"/>
              </w:rPr>
              <w:t xml:space="preserve"> section 5.2.2</w:t>
            </w:r>
            <w:r w:rsidRPr="007D2933">
              <w:rPr>
                <w:noProof/>
                <w:sz w:val="22"/>
                <w:szCs w:val="22"/>
              </w:rPr>
              <w:t>. now details the methodology to establish the necessary degree of dependence as well as the necessary evidence collection and notification to Member States contracting authorities.</w:t>
            </w:r>
          </w:p>
          <w:p w14:paraId="6824ACC1" w14:textId="77777777" w:rsidR="00E40BBA" w:rsidRPr="007D2933" w:rsidRDefault="00E40BBA">
            <w:pPr>
              <w:spacing w:after="0"/>
              <w:rPr>
                <w:noProof/>
                <w:sz w:val="22"/>
                <w:szCs w:val="22"/>
              </w:rPr>
            </w:pPr>
            <w:r w:rsidRPr="007D2933">
              <w:rPr>
                <w:noProof/>
                <w:sz w:val="22"/>
                <w:szCs w:val="22"/>
              </w:rPr>
              <w:t>Finally, regarding the approach to establishing equivalence or superiority of an open source solution to define its priority over a proprietary one,</w:t>
            </w:r>
            <w:r w:rsidRPr="007D2933">
              <w:rPr>
                <w:i/>
                <w:iCs/>
                <w:noProof/>
                <w:sz w:val="22"/>
                <w:szCs w:val="22"/>
              </w:rPr>
              <w:t xml:space="preserve"> PM20, </w:t>
            </w:r>
            <w:r w:rsidRPr="007D2933">
              <w:rPr>
                <w:noProof/>
                <w:sz w:val="22"/>
                <w:szCs w:val="22"/>
              </w:rPr>
              <w:t>under</w:t>
            </w:r>
            <w:r w:rsidRPr="007D2933">
              <w:rPr>
                <w:i/>
                <w:iCs/>
                <w:noProof/>
                <w:sz w:val="22"/>
                <w:szCs w:val="22"/>
              </w:rPr>
              <w:t xml:space="preserve"> section 5.2.2. </w:t>
            </w:r>
            <w:r w:rsidRPr="007D2933">
              <w:rPr>
                <w:noProof/>
                <w:sz w:val="22"/>
                <w:szCs w:val="22"/>
              </w:rPr>
              <w:t>now provides further operational details related to this assessment.</w:t>
            </w:r>
          </w:p>
        </w:tc>
        <w:tc>
          <w:tcPr>
            <w:tcW w:w="847" w:type="pct"/>
          </w:tcPr>
          <w:p w14:paraId="62044E04" w14:textId="77777777" w:rsidR="00E40BBA" w:rsidRDefault="00E40BBA">
            <w:pPr>
              <w:spacing w:after="0"/>
              <w:rPr>
                <w:bCs/>
                <w:noProof/>
                <w:sz w:val="22"/>
                <w:szCs w:val="22"/>
              </w:rPr>
            </w:pPr>
            <w:r w:rsidRPr="00777970">
              <w:rPr>
                <w:noProof/>
                <w:sz w:val="22"/>
                <w:szCs w:val="22"/>
              </w:rPr>
              <w:t xml:space="preserve">Main report: </w:t>
            </w:r>
            <w:r>
              <w:rPr>
                <w:bCs/>
                <w:noProof/>
                <w:sz w:val="22"/>
                <w:szCs w:val="22"/>
              </w:rPr>
              <w:t>section 5.2.2. (and all subsequent analytical sections),</w:t>
            </w:r>
          </w:p>
          <w:p w14:paraId="5A31CA7D" w14:textId="77777777" w:rsidR="00E40BBA" w:rsidRPr="00F65878" w:rsidRDefault="00E40BBA">
            <w:pPr>
              <w:spacing w:after="0"/>
              <w:rPr>
                <w:noProof/>
                <w:sz w:val="22"/>
                <w:szCs w:val="22"/>
                <w:lang w:val="fr-FR"/>
              </w:rPr>
            </w:pPr>
            <w:r w:rsidRPr="00F65878">
              <w:rPr>
                <w:noProof/>
                <w:sz w:val="22"/>
                <w:szCs w:val="22"/>
                <w:lang w:val="fr-FR"/>
              </w:rPr>
              <w:t>section 6.1.2.,</w:t>
            </w:r>
          </w:p>
          <w:p w14:paraId="433211D9" w14:textId="77777777" w:rsidR="00E40BBA" w:rsidRPr="00F65878" w:rsidRDefault="00E40BBA">
            <w:pPr>
              <w:spacing w:after="0"/>
              <w:rPr>
                <w:noProof/>
                <w:sz w:val="22"/>
                <w:szCs w:val="22"/>
                <w:lang w:val="fr-FR"/>
              </w:rPr>
            </w:pPr>
            <w:r w:rsidRPr="00F65878">
              <w:rPr>
                <w:noProof/>
                <w:sz w:val="22"/>
                <w:szCs w:val="22"/>
                <w:lang w:val="fr-FR"/>
              </w:rPr>
              <w:t>section 2.3.2.</w:t>
            </w:r>
          </w:p>
          <w:p w14:paraId="72E39602" w14:textId="77777777" w:rsidR="00E40BBA" w:rsidRPr="00F65878" w:rsidRDefault="00E40BBA">
            <w:pPr>
              <w:spacing w:after="0"/>
              <w:rPr>
                <w:noProof/>
                <w:sz w:val="22"/>
                <w:szCs w:val="22"/>
                <w:lang w:val="fr-FR"/>
              </w:rPr>
            </w:pPr>
          </w:p>
          <w:p w14:paraId="1FFEC550" w14:textId="77777777" w:rsidR="00E40BBA" w:rsidRPr="00F65878" w:rsidRDefault="00E40BBA">
            <w:pPr>
              <w:spacing w:after="0"/>
              <w:rPr>
                <w:noProof/>
                <w:sz w:val="22"/>
                <w:szCs w:val="22"/>
                <w:lang w:val="fr-FR"/>
              </w:rPr>
            </w:pPr>
            <w:r w:rsidRPr="00F65878">
              <w:rPr>
                <w:noProof/>
                <w:sz w:val="22"/>
                <w:szCs w:val="22"/>
                <w:lang w:val="fr-FR"/>
              </w:rPr>
              <w:t>Annexes:</w:t>
            </w:r>
          </w:p>
          <w:p w14:paraId="0BE447D6" w14:textId="77777777" w:rsidR="00E40BBA" w:rsidRPr="00F65878" w:rsidRDefault="00E40BBA">
            <w:pPr>
              <w:spacing w:after="0"/>
              <w:rPr>
                <w:noProof/>
                <w:sz w:val="22"/>
                <w:szCs w:val="22"/>
                <w:lang w:val="fr-FR"/>
              </w:rPr>
            </w:pPr>
            <w:r w:rsidRPr="00F65878">
              <w:rPr>
                <w:noProof/>
                <w:sz w:val="22"/>
                <w:szCs w:val="22"/>
                <w:lang w:val="fr-FR"/>
              </w:rPr>
              <w:t>Annex 3, section 3.1.5., section 3.2.1.</w:t>
            </w:r>
          </w:p>
          <w:p w14:paraId="4FA491F1" w14:textId="77777777" w:rsidR="00E40BBA" w:rsidRDefault="00E40BBA">
            <w:pPr>
              <w:spacing w:after="0"/>
              <w:rPr>
                <w:noProof/>
                <w:sz w:val="22"/>
                <w:szCs w:val="22"/>
              </w:rPr>
            </w:pPr>
            <w:r>
              <w:rPr>
                <w:noProof/>
                <w:sz w:val="22"/>
                <w:szCs w:val="22"/>
              </w:rPr>
              <w:t>Annex 12,</w:t>
            </w:r>
          </w:p>
          <w:p w14:paraId="777FA30A" w14:textId="77777777" w:rsidR="00E40BBA" w:rsidRPr="00777970" w:rsidRDefault="00E40BBA">
            <w:pPr>
              <w:spacing w:after="0"/>
              <w:rPr>
                <w:noProof/>
                <w:sz w:val="22"/>
                <w:szCs w:val="22"/>
              </w:rPr>
            </w:pPr>
            <w:r>
              <w:rPr>
                <w:noProof/>
                <w:sz w:val="22"/>
                <w:szCs w:val="22"/>
              </w:rPr>
              <w:t>Annex 13</w:t>
            </w:r>
          </w:p>
        </w:tc>
      </w:tr>
      <w:tr w:rsidR="00E40BBA" w:rsidRPr="00D37004" w14:paraId="00A62370" w14:textId="77777777" w:rsidTr="00DE011F">
        <w:trPr>
          <w:trHeight w:val="300"/>
        </w:trPr>
        <w:tc>
          <w:tcPr>
            <w:tcW w:w="1760" w:type="pct"/>
          </w:tcPr>
          <w:p w14:paraId="3F13015C" w14:textId="77777777" w:rsidR="00E40BBA" w:rsidRPr="007D2933" w:rsidRDefault="00E40BBA">
            <w:pPr>
              <w:spacing w:after="0"/>
              <w:rPr>
                <w:noProof/>
                <w:sz w:val="22"/>
                <w:szCs w:val="22"/>
              </w:rPr>
            </w:pPr>
            <w:r w:rsidRPr="007D2933">
              <w:rPr>
                <w:noProof/>
                <w:sz w:val="22"/>
                <w:szCs w:val="22"/>
              </w:rPr>
              <w:t>(2) The analysis of benefits must be based on robust and verifiable assumptions and methodologies. Although the report acknowledges the arbitrary choice of certain assumptions and parameters used for assessing the impact of key measures under the preferred option, those (for example increased market shares, risk parameters allocation between the various options, mark-up percentage for sovereignty increased costs) appear to drive the results of the analysis.</w:t>
            </w:r>
          </w:p>
        </w:tc>
        <w:tc>
          <w:tcPr>
            <w:tcW w:w="2393" w:type="pct"/>
          </w:tcPr>
          <w:p w14:paraId="5727EDFA" w14:textId="77777777" w:rsidR="00E40BBA" w:rsidRPr="007D2933" w:rsidRDefault="00E40BBA">
            <w:pPr>
              <w:spacing w:after="0"/>
              <w:rPr>
                <w:noProof/>
                <w:sz w:val="22"/>
                <w:szCs w:val="22"/>
              </w:rPr>
            </w:pPr>
            <w:r w:rsidRPr="007D2933">
              <w:rPr>
                <w:noProof/>
                <w:sz w:val="22"/>
                <w:szCs w:val="22"/>
              </w:rPr>
              <w:t xml:space="preserve">In response to this comment, the modelling has been reviewed for all PMs where changes were implemented. Where appropriate, to ensure the most convincing analysis attainable, we have shifted from a quantitative to a qualitative assessment, including with respect to increased market share of European providers (as explained in response to the Key issue #2). The analysis of a price mark-up for sovereign solutions and the sensitivity analysis thereof has also been redone and is now based on newly available empirical evidence, as detailed in </w:t>
            </w:r>
            <w:r w:rsidRPr="007D2933">
              <w:rPr>
                <w:i/>
                <w:iCs/>
                <w:noProof/>
                <w:sz w:val="22"/>
                <w:szCs w:val="22"/>
              </w:rPr>
              <w:t>section 2.3.4</w:t>
            </w:r>
            <w:r w:rsidRPr="007D2933">
              <w:rPr>
                <w:noProof/>
                <w:sz w:val="22"/>
                <w:szCs w:val="22"/>
              </w:rPr>
              <w:t>.</w:t>
            </w:r>
          </w:p>
        </w:tc>
        <w:tc>
          <w:tcPr>
            <w:tcW w:w="847" w:type="pct"/>
          </w:tcPr>
          <w:p w14:paraId="31E17B92" w14:textId="77777777" w:rsidR="00E40BBA" w:rsidRPr="00777970" w:rsidRDefault="00E40BBA">
            <w:pPr>
              <w:spacing w:after="0"/>
              <w:rPr>
                <w:noProof/>
                <w:sz w:val="22"/>
                <w:szCs w:val="22"/>
              </w:rPr>
            </w:pPr>
            <w:r w:rsidRPr="00777970">
              <w:rPr>
                <w:noProof/>
                <w:sz w:val="22"/>
                <w:szCs w:val="22"/>
              </w:rPr>
              <w:t xml:space="preserve">Main report: </w:t>
            </w:r>
          </w:p>
          <w:p w14:paraId="324E4B29" w14:textId="77777777" w:rsidR="00E40BBA" w:rsidRPr="00DC0AD4" w:rsidRDefault="00E40BBA">
            <w:pPr>
              <w:spacing w:after="0"/>
              <w:rPr>
                <w:noProof/>
                <w:sz w:val="22"/>
                <w:szCs w:val="22"/>
              </w:rPr>
            </w:pPr>
            <w:r>
              <w:rPr>
                <w:bCs/>
                <w:noProof/>
                <w:sz w:val="22"/>
                <w:szCs w:val="22"/>
              </w:rPr>
              <w:t>Section 2.3.4., 6.1.5.</w:t>
            </w:r>
          </w:p>
        </w:tc>
      </w:tr>
      <w:tr w:rsidR="00E40BBA" w:rsidRPr="00D37004" w14:paraId="25C02495" w14:textId="77777777" w:rsidTr="00DE011F">
        <w:trPr>
          <w:trHeight w:val="300"/>
        </w:trPr>
        <w:tc>
          <w:tcPr>
            <w:tcW w:w="1760" w:type="pct"/>
          </w:tcPr>
          <w:p w14:paraId="00AA345E" w14:textId="77777777" w:rsidR="00E40BBA" w:rsidRPr="007D2933" w:rsidRDefault="00E40BBA">
            <w:pPr>
              <w:spacing w:after="0"/>
              <w:rPr>
                <w:noProof/>
                <w:sz w:val="22"/>
                <w:szCs w:val="22"/>
              </w:rPr>
            </w:pPr>
            <w:r w:rsidRPr="007D2933">
              <w:rPr>
                <w:noProof/>
                <w:sz w:val="22"/>
                <w:szCs w:val="22"/>
              </w:rPr>
              <w:t>(3) The report must provide a more comprehensive analysis of technical, functional and operational consequences of key measures (i.e. PM 20, 21). As certain measures (in particular PM 21, embedding PM 11, 15 and 16) aim at building an EU sovereign cloud, the impacts of the limitations of supply from third countries must be assessed, including the time and costs estimated for EU service-providers to offer equivalent substitutes. The report should assess the pass-through of these cost</w:t>
            </w:r>
          </w:p>
        </w:tc>
        <w:tc>
          <w:tcPr>
            <w:tcW w:w="2393" w:type="pct"/>
          </w:tcPr>
          <w:p w14:paraId="1CA7A1DD" w14:textId="77777777" w:rsidR="00E40BBA" w:rsidRPr="007D2933" w:rsidRDefault="00E40BBA">
            <w:pPr>
              <w:spacing w:after="0"/>
              <w:rPr>
                <w:noProof/>
                <w:sz w:val="22"/>
                <w:szCs w:val="22"/>
              </w:rPr>
            </w:pPr>
            <w:r w:rsidRPr="007D2933">
              <w:rPr>
                <w:noProof/>
                <w:sz w:val="22"/>
                <w:szCs w:val="22"/>
              </w:rPr>
              <w:t xml:space="preserve">As part of the assessment of economic impact on industry, including SMEs and private sector essential entities, </w:t>
            </w:r>
            <w:r w:rsidRPr="007D2933">
              <w:rPr>
                <w:i/>
                <w:iCs/>
                <w:noProof/>
                <w:sz w:val="22"/>
                <w:szCs w:val="22"/>
              </w:rPr>
              <w:t>section 6.1.1.</w:t>
            </w:r>
            <w:r w:rsidRPr="007D2933">
              <w:rPr>
                <w:noProof/>
                <w:sz w:val="22"/>
                <w:szCs w:val="22"/>
              </w:rPr>
              <w:t xml:space="preserve"> now includes a dedicated Focus box detailing in qualitative terms (with several illustrative pieces of quantitative evidence) the costs for service providers to develop sovereign services or raise the conformity level of existing services. This section should be read in conjunction with the new Annex 13 providing a comparative analysis between offerings of the three leading hyperscalers and three selected European providers.</w:t>
            </w:r>
          </w:p>
        </w:tc>
        <w:tc>
          <w:tcPr>
            <w:tcW w:w="847" w:type="pct"/>
          </w:tcPr>
          <w:p w14:paraId="65F96499" w14:textId="77777777" w:rsidR="00E40BBA" w:rsidRDefault="00E40BBA">
            <w:pPr>
              <w:spacing w:after="0"/>
              <w:rPr>
                <w:noProof/>
                <w:sz w:val="22"/>
                <w:szCs w:val="22"/>
              </w:rPr>
            </w:pPr>
            <w:r w:rsidRPr="00777970">
              <w:rPr>
                <w:noProof/>
                <w:sz w:val="22"/>
                <w:szCs w:val="22"/>
              </w:rPr>
              <w:t xml:space="preserve">Main report: section </w:t>
            </w:r>
            <w:r>
              <w:rPr>
                <w:noProof/>
                <w:sz w:val="22"/>
                <w:szCs w:val="22"/>
              </w:rPr>
              <w:t>6.1.1.</w:t>
            </w:r>
          </w:p>
          <w:p w14:paraId="2B9533D0" w14:textId="77777777" w:rsidR="00E40BBA" w:rsidRDefault="00E40BBA">
            <w:pPr>
              <w:spacing w:after="0"/>
              <w:rPr>
                <w:b/>
                <w:noProof/>
                <w:sz w:val="22"/>
                <w:szCs w:val="22"/>
              </w:rPr>
            </w:pPr>
          </w:p>
          <w:p w14:paraId="15F175DA" w14:textId="77777777" w:rsidR="00E40BBA" w:rsidRPr="00DC0AD4" w:rsidRDefault="00E40BBA">
            <w:pPr>
              <w:spacing w:after="0"/>
              <w:rPr>
                <w:bCs/>
                <w:noProof/>
                <w:sz w:val="22"/>
                <w:szCs w:val="22"/>
              </w:rPr>
            </w:pPr>
            <w:r w:rsidRPr="00DC0AD4">
              <w:rPr>
                <w:bCs/>
                <w:noProof/>
                <w:sz w:val="22"/>
                <w:szCs w:val="22"/>
              </w:rPr>
              <w:t>Annexes:</w:t>
            </w:r>
          </w:p>
          <w:p w14:paraId="6B42E404" w14:textId="77777777" w:rsidR="00E40BBA" w:rsidRPr="00DC0AD4" w:rsidRDefault="00E40BBA">
            <w:pPr>
              <w:spacing w:after="0"/>
              <w:rPr>
                <w:bCs/>
                <w:noProof/>
                <w:sz w:val="22"/>
                <w:szCs w:val="22"/>
              </w:rPr>
            </w:pPr>
            <w:r w:rsidRPr="00DC0AD4">
              <w:rPr>
                <w:bCs/>
                <w:noProof/>
                <w:sz w:val="22"/>
                <w:szCs w:val="22"/>
              </w:rPr>
              <w:t>Annex 13</w:t>
            </w:r>
          </w:p>
          <w:p w14:paraId="003253A9" w14:textId="77777777" w:rsidR="00E40BBA" w:rsidRPr="00D37004" w:rsidRDefault="00E40BBA">
            <w:pPr>
              <w:spacing w:after="0"/>
              <w:rPr>
                <w:b/>
                <w:noProof/>
                <w:sz w:val="22"/>
                <w:szCs w:val="22"/>
              </w:rPr>
            </w:pPr>
          </w:p>
        </w:tc>
      </w:tr>
      <w:tr w:rsidR="00E40BBA" w:rsidRPr="00D37004" w14:paraId="48B39465" w14:textId="77777777" w:rsidTr="00DE011F">
        <w:trPr>
          <w:trHeight w:val="300"/>
        </w:trPr>
        <w:tc>
          <w:tcPr>
            <w:tcW w:w="1760" w:type="pct"/>
          </w:tcPr>
          <w:p w14:paraId="574825B8" w14:textId="77777777" w:rsidR="00E40BBA" w:rsidRPr="007D2933" w:rsidRDefault="00E40BBA">
            <w:pPr>
              <w:spacing w:after="0"/>
              <w:rPr>
                <w:noProof/>
                <w:sz w:val="22"/>
                <w:szCs w:val="22"/>
              </w:rPr>
            </w:pPr>
            <w:r w:rsidRPr="007D2933">
              <w:rPr>
                <w:noProof/>
              </w:rPr>
              <w:t>(4) The report should provide a detailed analysis of coherence, in particular of the authorisation scheme for cloud and AI computing services with the security risk assessment in the Cybersecurity Act and of public procurement measures with the upcoming revision of the public procurement rules. This should be accompanied by an analysis of the potential additional legal complexity and administrative burden.</w:t>
            </w:r>
          </w:p>
        </w:tc>
        <w:tc>
          <w:tcPr>
            <w:tcW w:w="2393" w:type="pct"/>
          </w:tcPr>
          <w:p w14:paraId="05DBF7E9" w14:textId="77777777" w:rsidR="00E40BBA" w:rsidRPr="007D2933" w:rsidRDefault="00E40BBA">
            <w:pPr>
              <w:rPr>
                <w:noProof/>
                <w:sz w:val="22"/>
                <w:szCs w:val="22"/>
              </w:rPr>
            </w:pPr>
            <w:r w:rsidRPr="007D2933">
              <w:rPr>
                <w:i/>
                <w:iCs/>
                <w:noProof/>
                <w:sz w:val="22"/>
                <w:szCs w:val="22"/>
              </w:rPr>
              <w:t xml:space="preserve">Section 7.3. </w:t>
            </w:r>
            <w:r w:rsidRPr="007D2933">
              <w:rPr>
                <w:noProof/>
                <w:sz w:val="22"/>
                <w:szCs w:val="22"/>
              </w:rPr>
              <w:t>now includes</w:t>
            </w:r>
            <w:r w:rsidRPr="007D2933">
              <w:rPr>
                <w:i/>
                <w:iCs/>
                <w:noProof/>
                <w:sz w:val="22"/>
                <w:szCs w:val="22"/>
              </w:rPr>
              <w:t xml:space="preserve"> </w:t>
            </w:r>
            <w:r w:rsidRPr="007D2933">
              <w:rPr>
                <w:noProof/>
                <w:sz w:val="22"/>
                <w:szCs w:val="22"/>
              </w:rPr>
              <w:t>a detailed description of delineation and complementarity between CADA and the Cybersecurity Act 2 (CSA 2) on one hand and the upcoming Public Procurement Act on the other.</w:t>
            </w:r>
          </w:p>
          <w:p w14:paraId="62C266FB" w14:textId="77777777" w:rsidR="00E40BBA" w:rsidRPr="007D2933" w:rsidRDefault="00E40BBA">
            <w:pPr>
              <w:rPr>
                <w:noProof/>
                <w:sz w:val="22"/>
                <w:szCs w:val="22"/>
              </w:rPr>
            </w:pPr>
            <w:r w:rsidRPr="007D2933">
              <w:rPr>
                <w:noProof/>
                <w:sz w:val="22"/>
                <w:szCs w:val="22"/>
              </w:rPr>
              <w:t xml:space="preserve">With regard to the CSA 2, this section details the complementarity between the cybersecurity measures established by the Act and the sovereignty criteria put forward by CADA. The risk assessments introduced by the CSA 2 and the possible prohibitions and other mitigating measure, including with respect to high-risk vendors, provides a cybersecurity baseline which CADA builds over </w:t>
            </w:r>
            <w:r w:rsidRPr="007D2933">
              <w:rPr>
                <w:noProof/>
                <w:sz w:val="22"/>
                <w:szCs w:val="22"/>
                <w:lang w:val="en-IE"/>
              </w:rPr>
              <w:t xml:space="preserve">by introducing a targeted approach to mitigating sovereignty risks specific to the provision and use of cloud and AI computing services. Similarly, the gradual sovereignty levels established by PM11, PM15, PM21 incorporate increasingly demanding compliance against the three assurance levels of the future European cybersecurity certification scheme </w:t>
            </w:r>
            <w:r w:rsidRPr="007D2933">
              <w:rPr>
                <w:noProof/>
                <w:sz w:val="22"/>
                <w:szCs w:val="22"/>
              </w:rPr>
              <w:t xml:space="preserve">(EUCS). The section also explains the absence of any overlap between the requirements of the CADA sovereignty levels and the applicable requirements and those assessed under the EUCS, which exclusively covers technical cybersecurity aspects. Finally, </w:t>
            </w:r>
            <w:r w:rsidRPr="007D2933">
              <w:rPr>
                <w:i/>
                <w:iCs/>
                <w:noProof/>
                <w:sz w:val="22"/>
                <w:szCs w:val="22"/>
              </w:rPr>
              <w:t>PM21</w:t>
            </w:r>
            <w:r w:rsidRPr="007D2933">
              <w:rPr>
                <w:noProof/>
                <w:sz w:val="22"/>
                <w:szCs w:val="22"/>
              </w:rPr>
              <w:t xml:space="preserve"> details further how private sector essential entities listed under Annex I of NIS 2 will have to integrate into the cybersecurity risk assessment they already conduct, the assessment of the risks stemming from their use of cloud and AI computing services. Accordingly, </w:t>
            </w:r>
            <w:r w:rsidRPr="007D2933">
              <w:rPr>
                <w:i/>
                <w:iCs/>
                <w:noProof/>
                <w:sz w:val="22"/>
                <w:szCs w:val="22"/>
              </w:rPr>
              <w:t>section 6.1.1.</w:t>
            </w:r>
            <w:r w:rsidRPr="007D2933">
              <w:rPr>
                <w:noProof/>
                <w:sz w:val="22"/>
                <w:szCs w:val="22"/>
              </w:rPr>
              <w:t xml:space="preserve"> clarifies the costs of such entities integrating sovereignty considerations in their existing risk assessment activities.</w:t>
            </w:r>
          </w:p>
          <w:p w14:paraId="56F59402" w14:textId="77777777" w:rsidR="00E40BBA" w:rsidRPr="007D2933" w:rsidRDefault="00E40BBA">
            <w:pPr>
              <w:spacing w:after="0"/>
              <w:rPr>
                <w:noProof/>
                <w:sz w:val="22"/>
                <w:szCs w:val="22"/>
              </w:rPr>
            </w:pPr>
            <w:r w:rsidRPr="007D2933">
              <w:rPr>
                <w:noProof/>
                <w:sz w:val="22"/>
                <w:szCs w:val="22"/>
              </w:rPr>
              <w:t xml:space="preserve">With respect to applicable legal framework of the Public Procurement Directives, currently under review, all measures of CADA related to public procurement are compatible with the rules in place and those anticipated to be proposed by the Commission under the new framework. Notably the measures related to restricted access to public procurement under </w:t>
            </w:r>
            <w:r w:rsidRPr="007D2933">
              <w:rPr>
                <w:i/>
                <w:iCs/>
                <w:noProof/>
                <w:sz w:val="22"/>
                <w:szCs w:val="22"/>
              </w:rPr>
              <w:t>PM15</w:t>
            </w:r>
            <w:r w:rsidRPr="007D2933">
              <w:rPr>
                <w:noProof/>
                <w:sz w:val="22"/>
                <w:szCs w:val="22"/>
              </w:rPr>
              <w:t xml:space="preserve"> and</w:t>
            </w:r>
            <w:r w:rsidRPr="007D2933">
              <w:rPr>
                <w:i/>
                <w:iCs/>
                <w:noProof/>
                <w:sz w:val="22"/>
                <w:szCs w:val="22"/>
              </w:rPr>
              <w:t xml:space="preserve"> PM21 </w:t>
            </w:r>
            <w:r w:rsidRPr="007D2933">
              <w:rPr>
                <w:noProof/>
                <w:sz w:val="22"/>
                <w:szCs w:val="22"/>
              </w:rPr>
              <w:t xml:space="preserve">incorporate the justifications necessary to comply with the requirements of the exemptions foreseen in the Government Procurement Agreement of the World Trade Organisation. Additionally, based on targeted consultation with DG GROW, the section now details the interplay between horizontal measures related to admissible means of incorporating “EU preference” requirements in public procurement which the Public Procurement Act should provide and the sector-specific approach leveraging award criteria under PM16 and PM19 of CADA. </w:t>
            </w:r>
          </w:p>
        </w:tc>
        <w:tc>
          <w:tcPr>
            <w:tcW w:w="847" w:type="pct"/>
          </w:tcPr>
          <w:p w14:paraId="263BEEFD" w14:textId="77777777" w:rsidR="00E40BBA" w:rsidRDefault="00E40BBA">
            <w:pPr>
              <w:spacing w:after="0"/>
              <w:rPr>
                <w:bCs/>
                <w:noProof/>
                <w:sz w:val="22"/>
                <w:szCs w:val="22"/>
              </w:rPr>
            </w:pPr>
            <w:r w:rsidRPr="00777970">
              <w:rPr>
                <w:noProof/>
                <w:sz w:val="22"/>
                <w:szCs w:val="22"/>
              </w:rPr>
              <w:t xml:space="preserve">Main report: Section </w:t>
            </w:r>
            <w:r>
              <w:rPr>
                <w:noProof/>
                <w:sz w:val="22"/>
                <w:szCs w:val="22"/>
              </w:rPr>
              <w:t>7</w:t>
            </w:r>
            <w:r w:rsidRPr="00777970">
              <w:rPr>
                <w:noProof/>
                <w:sz w:val="22"/>
                <w:szCs w:val="22"/>
              </w:rPr>
              <w:t>.3</w:t>
            </w:r>
          </w:p>
          <w:p w14:paraId="644C26B7" w14:textId="77777777" w:rsidR="00E40BBA" w:rsidRDefault="00E40BBA">
            <w:pPr>
              <w:spacing w:after="0"/>
              <w:rPr>
                <w:bCs/>
                <w:noProof/>
                <w:sz w:val="22"/>
                <w:szCs w:val="22"/>
              </w:rPr>
            </w:pPr>
          </w:p>
          <w:p w14:paraId="58762D45" w14:textId="77777777" w:rsidR="00E40BBA" w:rsidRPr="00777970" w:rsidRDefault="00E40BBA">
            <w:pPr>
              <w:spacing w:after="0"/>
              <w:rPr>
                <w:noProof/>
                <w:sz w:val="22"/>
                <w:szCs w:val="22"/>
              </w:rPr>
            </w:pPr>
            <w:r>
              <w:rPr>
                <w:bCs/>
                <w:noProof/>
                <w:sz w:val="22"/>
                <w:szCs w:val="22"/>
              </w:rPr>
              <w:t>Annex 7</w:t>
            </w:r>
          </w:p>
        </w:tc>
      </w:tr>
    </w:tbl>
    <w:p w14:paraId="4FE09E3C" w14:textId="77777777" w:rsidR="00DE011F" w:rsidRDefault="00DE011F">
      <w:pPr>
        <w:rPr>
          <w:noProof/>
        </w:rPr>
      </w:pPr>
    </w:p>
    <w:p w14:paraId="33D05CC4" w14:textId="2B9E905C" w:rsidR="00DE011F" w:rsidRDefault="00DE011F" w:rsidP="00DE011F">
      <w:pPr>
        <w:pStyle w:val="Caption"/>
        <w:keepNext/>
        <w:rPr>
          <w:noProof/>
        </w:rPr>
      </w:pPr>
      <w:r>
        <w:rPr>
          <w:noProof/>
        </w:rPr>
        <w:t xml:space="preserve">Table </w:t>
      </w:r>
      <w:r w:rsidR="003859E1">
        <w:rPr>
          <w:noProof/>
        </w:rPr>
        <w:t>2</w:t>
      </w:r>
      <w:r>
        <w:rPr>
          <w:noProof/>
        </w:rPr>
        <w:t xml:space="preserve">. Modifications of the </w:t>
      </w:r>
      <w:r w:rsidR="003859E1">
        <w:rPr>
          <w:noProof/>
        </w:rPr>
        <w:t xml:space="preserve">previous version of the </w:t>
      </w:r>
      <w:r>
        <w:rPr>
          <w:noProof/>
        </w:rPr>
        <w:t xml:space="preserve">impact assessment report in response to RSB </w:t>
      </w:r>
      <w:r w:rsidR="003859E1">
        <w:rPr>
          <w:noProof/>
        </w:rPr>
        <w:t>first negative opinion</w:t>
      </w:r>
    </w:p>
    <w:tbl>
      <w:tblPr>
        <w:tblStyle w:val="TableGrid"/>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238"/>
        <w:gridCol w:w="4402"/>
        <w:gridCol w:w="1558"/>
      </w:tblGrid>
      <w:tr w:rsidR="00651661" w:rsidRPr="00D37004" w14:paraId="7A918C36" w14:textId="77777777" w:rsidTr="00E40BBA">
        <w:trPr>
          <w:trHeight w:val="300"/>
          <w:tblHeader/>
        </w:trPr>
        <w:tc>
          <w:tcPr>
            <w:tcW w:w="1760" w:type="pct"/>
            <w:shd w:val="clear" w:color="auto" w:fill="0070C0"/>
          </w:tcPr>
          <w:p w14:paraId="6B100A2E" w14:textId="079BD628" w:rsidR="00651661" w:rsidRPr="001B54F9" w:rsidRDefault="00651661" w:rsidP="00651661">
            <w:pPr>
              <w:spacing w:after="0"/>
              <w:rPr>
                <w:bCs/>
                <w:noProof/>
                <w:sz w:val="22"/>
                <w:szCs w:val="22"/>
              </w:rPr>
            </w:pPr>
            <w:r w:rsidRPr="00777970">
              <w:rPr>
                <w:b/>
                <w:noProof/>
                <w:color w:val="FFFFFF" w:themeColor="background1"/>
                <w:sz w:val="22"/>
                <w:szCs w:val="22"/>
              </w:rPr>
              <w:t>Opinion of the RSB by point</w:t>
            </w:r>
          </w:p>
        </w:tc>
        <w:tc>
          <w:tcPr>
            <w:tcW w:w="2393" w:type="pct"/>
            <w:shd w:val="clear" w:color="auto" w:fill="0070C0"/>
          </w:tcPr>
          <w:p w14:paraId="61637C1F" w14:textId="007382E5" w:rsidR="00651661" w:rsidRDefault="00651661" w:rsidP="00651661">
            <w:pPr>
              <w:spacing w:after="0"/>
              <w:rPr>
                <w:bCs/>
                <w:noProof/>
                <w:sz w:val="22"/>
                <w:szCs w:val="22"/>
              </w:rPr>
            </w:pPr>
            <w:r w:rsidRPr="00777970">
              <w:rPr>
                <w:b/>
                <w:noProof/>
                <w:color w:val="FFFFFF" w:themeColor="background1"/>
                <w:sz w:val="22"/>
                <w:szCs w:val="22"/>
              </w:rPr>
              <w:t xml:space="preserve"> How comments have been addressed</w:t>
            </w:r>
          </w:p>
        </w:tc>
        <w:tc>
          <w:tcPr>
            <w:tcW w:w="847" w:type="pct"/>
            <w:shd w:val="clear" w:color="auto" w:fill="0070C0"/>
          </w:tcPr>
          <w:p w14:paraId="409DA361" w14:textId="6A712DCE" w:rsidR="00651661" w:rsidRPr="00777970" w:rsidRDefault="00651661" w:rsidP="00651661">
            <w:pPr>
              <w:spacing w:after="0"/>
              <w:rPr>
                <w:noProof/>
                <w:sz w:val="22"/>
                <w:szCs w:val="22"/>
              </w:rPr>
            </w:pPr>
            <w:r w:rsidRPr="00777970">
              <w:rPr>
                <w:b/>
                <w:noProof/>
                <w:color w:val="FFFFFF" w:themeColor="background1"/>
                <w:sz w:val="22"/>
                <w:szCs w:val="22"/>
              </w:rPr>
              <w:t>Sections in IA report/Annex</w:t>
            </w:r>
          </w:p>
        </w:tc>
      </w:tr>
      <w:tr w:rsidR="00651661" w:rsidRPr="00D37004" w14:paraId="3FCB194B" w14:textId="77777777" w:rsidTr="00E40BBA">
        <w:trPr>
          <w:trHeight w:val="283"/>
        </w:trPr>
        <w:tc>
          <w:tcPr>
            <w:tcW w:w="5000" w:type="pct"/>
            <w:gridSpan w:val="3"/>
            <w:shd w:val="clear" w:color="auto" w:fill="F2F2F2" w:themeFill="background1" w:themeFillShade="F2"/>
          </w:tcPr>
          <w:p w14:paraId="7BF6A2A9" w14:textId="0D43A7C2" w:rsidR="00651661" w:rsidRPr="00777970" w:rsidRDefault="00651661" w:rsidP="00BE7E4F">
            <w:pPr>
              <w:spacing w:after="0"/>
              <w:rPr>
                <w:noProof/>
                <w:sz w:val="22"/>
                <w:szCs w:val="22"/>
              </w:rPr>
            </w:pPr>
            <w:r>
              <w:rPr>
                <w:b/>
                <w:noProof/>
                <w:sz w:val="22"/>
                <w:szCs w:val="22"/>
              </w:rPr>
              <w:t>(B) Key issues</w:t>
            </w:r>
          </w:p>
        </w:tc>
      </w:tr>
      <w:tr w:rsidR="00F37FAB" w:rsidRPr="00D37004" w14:paraId="2E0781BD" w14:textId="78A8013B" w:rsidTr="00E40BBA">
        <w:trPr>
          <w:trHeight w:val="300"/>
        </w:trPr>
        <w:tc>
          <w:tcPr>
            <w:tcW w:w="1760" w:type="pct"/>
          </w:tcPr>
          <w:p w14:paraId="2A49146A" w14:textId="283D271C" w:rsidR="00C84EBC" w:rsidRPr="00C84EBC" w:rsidRDefault="00C84EBC" w:rsidP="00C84EBC">
            <w:pPr>
              <w:spacing w:after="0"/>
              <w:rPr>
                <w:bCs/>
                <w:noProof/>
                <w:sz w:val="22"/>
                <w:szCs w:val="22"/>
              </w:rPr>
            </w:pPr>
            <w:r w:rsidRPr="00C84EBC">
              <w:rPr>
                <w:bCs/>
                <w:noProof/>
                <w:sz w:val="22"/>
                <w:szCs w:val="22"/>
              </w:rPr>
              <w:t>(1</w:t>
            </w:r>
            <w:r>
              <w:rPr>
                <w:bCs/>
                <w:noProof/>
                <w:sz w:val="22"/>
                <w:szCs w:val="22"/>
              </w:rPr>
              <w:t xml:space="preserve">) </w:t>
            </w:r>
            <w:r w:rsidRPr="00C84EBC">
              <w:rPr>
                <w:bCs/>
                <w:noProof/>
                <w:sz w:val="22"/>
                <w:szCs w:val="22"/>
              </w:rPr>
              <w:t xml:space="preserve">The key proposed policy measures are not sufficiently specified to allow for the </w:t>
            </w:r>
          </w:p>
          <w:p w14:paraId="50A0DE41" w14:textId="77777777" w:rsidR="00C84EBC" w:rsidRPr="00C84EBC" w:rsidRDefault="00C84EBC" w:rsidP="00C84EBC">
            <w:pPr>
              <w:spacing w:after="0"/>
              <w:rPr>
                <w:bCs/>
                <w:noProof/>
                <w:sz w:val="22"/>
                <w:szCs w:val="22"/>
              </w:rPr>
            </w:pPr>
            <w:r w:rsidRPr="00C84EBC">
              <w:rPr>
                <w:bCs/>
                <w:noProof/>
                <w:sz w:val="22"/>
                <w:szCs w:val="22"/>
              </w:rPr>
              <w:t>assessment of those measures and whether they can address the identified</w:t>
            </w:r>
            <w:r>
              <w:rPr>
                <w:bCs/>
                <w:noProof/>
                <w:sz w:val="22"/>
                <w:szCs w:val="22"/>
              </w:rPr>
              <w:t xml:space="preserve"> </w:t>
            </w:r>
          </w:p>
          <w:p w14:paraId="467B42D9" w14:textId="47DD4D2A" w:rsidR="00C84EBC" w:rsidRPr="00C84EBC" w:rsidRDefault="00C84EBC" w:rsidP="00C84EBC">
            <w:pPr>
              <w:spacing w:after="0"/>
              <w:rPr>
                <w:bCs/>
                <w:noProof/>
                <w:sz w:val="22"/>
                <w:szCs w:val="22"/>
              </w:rPr>
            </w:pPr>
            <w:r w:rsidRPr="00C84EBC">
              <w:rPr>
                <w:bCs/>
                <w:noProof/>
                <w:sz w:val="22"/>
                <w:szCs w:val="22"/>
              </w:rPr>
              <w:t xml:space="preserve">problems of EU competitiveness and strategic autonomy. Their proportionality </w:t>
            </w:r>
          </w:p>
          <w:p w14:paraId="4B35FB60" w14:textId="01C05381" w:rsidR="0053010C" w:rsidRPr="00777970" w:rsidRDefault="00C84EBC" w:rsidP="001B54F9">
            <w:pPr>
              <w:spacing w:after="0"/>
              <w:rPr>
                <w:noProof/>
                <w:sz w:val="22"/>
                <w:szCs w:val="22"/>
              </w:rPr>
            </w:pPr>
            <w:r w:rsidRPr="00C84EBC">
              <w:rPr>
                <w:bCs/>
                <w:noProof/>
                <w:sz w:val="22"/>
                <w:szCs w:val="22"/>
              </w:rPr>
              <w:t>is not adequately demonstrated.</w:t>
            </w:r>
          </w:p>
        </w:tc>
        <w:tc>
          <w:tcPr>
            <w:tcW w:w="2393" w:type="pct"/>
          </w:tcPr>
          <w:p w14:paraId="70F97B99" w14:textId="5B8BB18A" w:rsidR="00F37FAB" w:rsidRPr="00D37004" w:rsidRDefault="005A4A3C" w:rsidP="00BE7E4F">
            <w:pPr>
              <w:spacing w:after="0"/>
              <w:rPr>
                <w:b/>
                <w:noProof/>
                <w:sz w:val="22"/>
                <w:szCs w:val="22"/>
              </w:rPr>
            </w:pPr>
            <w:r>
              <w:rPr>
                <w:bCs/>
                <w:noProof/>
                <w:sz w:val="22"/>
                <w:szCs w:val="22"/>
              </w:rPr>
              <w:t>A clearer description of the market historical context and evolution has been added</w:t>
            </w:r>
            <w:r w:rsidR="00385CEE">
              <w:rPr>
                <w:bCs/>
                <w:noProof/>
                <w:sz w:val="22"/>
                <w:szCs w:val="22"/>
              </w:rPr>
              <w:t xml:space="preserve"> before introducing the </w:t>
            </w:r>
            <w:r w:rsidR="001B51E8">
              <w:rPr>
                <w:bCs/>
                <w:noProof/>
                <w:sz w:val="22"/>
                <w:szCs w:val="22"/>
              </w:rPr>
              <w:t>problems of the intervention</w:t>
            </w:r>
            <w:r w:rsidR="00385CEE">
              <w:rPr>
                <w:bCs/>
                <w:noProof/>
                <w:sz w:val="22"/>
                <w:szCs w:val="22"/>
              </w:rPr>
              <w:t xml:space="preserve">. </w:t>
            </w:r>
            <w:r w:rsidR="00B1623B">
              <w:rPr>
                <w:bCs/>
                <w:noProof/>
                <w:sz w:val="22"/>
                <w:szCs w:val="22"/>
              </w:rPr>
              <w:t>Moreover</w:t>
            </w:r>
            <w:r w:rsidR="00385CEE">
              <w:rPr>
                <w:bCs/>
                <w:noProof/>
                <w:sz w:val="22"/>
                <w:szCs w:val="22"/>
              </w:rPr>
              <w:t xml:space="preserve">, </w:t>
            </w:r>
            <w:r w:rsidR="006B7FA6">
              <w:rPr>
                <w:bCs/>
                <w:noProof/>
                <w:sz w:val="22"/>
                <w:szCs w:val="22"/>
              </w:rPr>
              <w:t>p</w:t>
            </w:r>
            <w:r w:rsidR="00CC5F14" w:rsidRPr="00582213">
              <w:rPr>
                <w:bCs/>
                <w:noProof/>
                <w:sz w:val="22"/>
                <w:szCs w:val="22"/>
              </w:rPr>
              <w:t xml:space="preserve">roblem drivers 1 </w:t>
            </w:r>
            <w:r w:rsidR="009A03C3">
              <w:rPr>
                <w:bCs/>
                <w:noProof/>
                <w:sz w:val="22"/>
                <w:szCs w:val="22"/>
              </w:rPr>
              <w:t>-</w:t>
            </w:r>
            <w:r w:rsidR="00CC5F14" w:rsidRPr="00582213">
              <w:rPr>
                <w:bCs/>
                <w:noProof/>
                <w:sz w:val="22"/>
                <w:szCs w:val="22"/>
              </w:rPr>
              <w:t xml:space="preserve"> </w:t>
            </w:r>
            <w:r w:rsidR="009A03C3">
              <w:rPr>
                <w:bCs/>
                <w:noProof/>
                <w:sz w:val="22"/>
                <w:szCs w:val="22"/>
              </w:rPr>
              <w:t>4</w:t>
            </w:r>
            <w:r w:rsidR="00CC5F14" w:rsidRPr="00582213">
              <w:rPr>
                <w:bCs/>
                <w:noProof/>
                <w:sz w:val="22"/>
                <w:szCs w:val="22"/>
              </w:rPr>
              <w:t xml:space="preserve"> </w:t>
            </w:r>
            <w:r w:rsidR="00D14CEE">
              <w:rPr>
                <w:bCs/>
                <w:noProof/>
                <w:sz w:val="22"/>
                <w:szCs w:val="22"/>
              </w:rPr>
              <w:t>have been</w:t>
            </w:r>
            <w:r w:rsidR="00CC5F14" w:rsidRPr="00582213">
              <w:rPr>
                <w:bCs/>
                <w:noProof/>
                <w:sz w:val="22"/>
                <w:szCs w:val="22"/>
              </w:rPr>
              <w:t xml:space="preserve"> updated</w:t>
            </w:r>
            <w:r w:rsidR="00CC5F14">
              <w:rPr>
                <w:bCs/>
                <w:noProof/>
                <w:sz w:val="22"/>
                <w:szCs w:val="22"/>
              </w:rPr>
              <w:t xml:space="preserve"> to better reflect relevant failures and the regulatory complexity at play.</w:t>
            </w:r>
            <w:r w:rsidR="00411F6E">
              <w:rPr>
                <w:bCs/>
                <w:noProof/>
                <w:sz w:val="22"/>
                <w:szCs w:val="22"/>
              </w:rPr>
              <w:t xml:space="preserve"> </w:t>
            </w:r>
            <w:r w:rsidR="00B1623B">
              <w:rPr>
                <w:bCs/>
                <w:noProof/>
                <w:sz w:val="22"/>
                <w:szCs w:val="22"/>
              </w:rPr>
              <w:t xml:space="preserve"> </w:t>
            </w:r>
            <w:r w:rsidR="00CC5F14">
              <w:rPr>
                <w:bCs/>
                <w:noProof/>
                <w:sz w:val="22"/>
                <w:szCs w:val="22"/>
              </w:rPr>
              <w:t xml:space="preserve"> </w:t>
            </w:r>
          </w:p>
        </w:tc>
        <w:tc>
          <w:tcPr>
            <w:tcW w:w="847" w:type="pct"/>
          </w:tcPr>
          <w:p w14:paraId="6AE6343B" w14:textId="64C1F288" w:rsidR="00C102E9" w:rsidRPr="00777970" w:rsidRDefault="00CC5F14" w:rsidP="00BE7E4F">
            <w:pPr>
              <w:spacing w:after="0"/>
              <w:rPr>
                <w:noProof/>
                <w:sz w:val="22"/>
                <w:szCs w:val="22"/>
              </w:rPr>
            </w:pPr>
            <w:r w:rsidRPr="00777970">
              <w:rPr>
                <w:noProof/>
                <w:sz w:val="22"/>
                <w:szCs w:val="22"/>
              </w:rPr>
              <w:t xml:space="preserve">Main report: </w:t>
            </w:r>
            <w:r w:rsidR="00E92F9A">
              <w:rPr>
                <w:bCs/>
                <w:noProof/>
                <w:sz w:val="22"/>
                <w:szCs w:val="22"/>
              </w:rPr>
              <w:t xml:space="preserve">section 2.1, </w:t>
            </w:r>
            <w:r w:rsidRPr="00777970">
              <w:rPr>
                <w:noProof/>
                <w:sz w:val="22"/>
                <w:szCs w:val="22"/>
              </w:rPr>
              <w:t>section 2.2</w:t>
            </w:r>
            <w:r w:rsidR="006D284E">
              <w:rPr>
                <w:bCs/>
                <w:noProof/>
                <w:sz w:val="22"/>
                <w:szCs w:val="22"/>
              </w:rPr>
              <w:t>, section 2.3</w:t>
            </w:r>
          </w:p>
        </w:tc>
      </w:tr>
      <w:tr w:rsidR="00F37FAB" w:rsidRPr="00D37004" w14:paraId="25061192" w14:textId="63A3B3D2" w:rsidTr="00E40BBA">
        <w:trPr>
          <w:trHeight w:val="300"/>
        </w:trPr>
        <w:tc>
          <w:tcPr>
            <w:tcW w:w="1760" w:type="pct"/>
          </w:tcPr>
          <w:p w14:paraId="018A1238" w14:textId="11B50D5B" w:rsidR="00F37FAB" w:rsidRPr="00777970" w:rsidRDefault="0053010C" w:rsidP="00BE7E4F">
            <w:pPr>
              <w:spacing w:after="0"/>
              <w:rPr>
                <w:noProof/>
                <w:sz w:val="22"/>
                <w:szCs w:val="22"/>
              </w:rPr>
            </w:pPr>
            <w:r w:rsidRPr="00777970">
              <w:rPr>
                <w:noProof/>
                <w:sz w:val="22"/>
                <w:szCs w:val="22"/>
              </w:rPr>
              <w:t>(2) The aspects of EU strategic autonomy are insufficiently reflected in the report.</w:t>
            </w:r>
          </w:p>
        </w:tc>
        <w:tc>
          <w:tcPr>
            <w:tcW w:w="2393" w:type="pct"/>
          </w:tcPr>
          <w:p w14:paraId="1926D1FA" w14:textId="77777777" w:rsidR="00CC5F14" w:rsidRDefault="00CC5F14" w:rsidP="00CC5F14">
            <w:pPr>
              <w:spacing w:after="0"/>
              <w:rPr>
                <w:bCs/>
                <w:noProof/>
                <w:sz w:val="22"/>
                <w:szCs w:val="22"/>
              </w:rPr>
            </w:pPr>
            <w:r>
              <w:rPr>
                <w:bCs/>
                <w:noProof/>
                <w:sz w:val="22"/>
                <w:szCs w:val="22"/>
              </w:rPr>
              <w:t>The general objective</w:t>
            </w:r>
            <w:r w:rsidR="00BB6501">
              <w:rPr>
                <w:bCs/>
                <w:noProof/>
                <w:sz w:val="22"/>
                <w:szCs w:val="22"/>
              </w:rPr>
              <w:t>,</w:t>
            </w:r>
            <w:r w:rsidDel="00BB6501">
              <w:rPr>
                <w:bCs/>
                <w:noProof/>
                <w:sz w:val="22"/>
                <w:szCs w:val="22"/>
              </w:rPr>
              <w:t xml:space="preserve"> </w:t>
            </w:r>
            <w:r w:rsidR="00F02C31">
              <w:rPr>
                <w:bCs/>
                <w:noProof/>
                <w:sz w:val="22"/>
                <w:szCs w:val="22"/>
              </w:rPr>
              <w:t xml:space="preserve">and </w:t>
            </w:r>
            <w:r w:rsidR="00442B24">
              <w:rPr>
                <w:bCs/>
                <w:noProof/>
                <w:sz w:val="22"/>
                <w:szCs w:val="22"/>
              </w:rPr>
              <w:t xml:space="preserve">the </w:t>
            </w:r>
            <w:r>
              <w:rPr>
                <w:bCs/>
                <w:noProof/>
                <w:sz w:val="22"/>
                <w:szCs w:val="22"/>
              </w:rPr>
              <w:t xml:space="preserve">specific objectives 3 and 4 </w:t>
            </w:r>
            <w:r w:rsidR="00F02C31">
              <w:rPr>
                <w:bCs/>
                <w:noProof/>
                <w:sz w:val="22"/>
                <w:szCs w:val="22"/>
              </w:rPr>
              <w:t>have been</w:t>
            </w:r>
            <w:r>
              <w:rPr>
                <w:bCs/>
                <w:noProof/>
                <w:sz w:val="22"/>
                <w:szCs w:val="22"/>
              </w:rPr>
              <w:t xml:space="preserve"> updated to include a clearer strategic autonomy dimension.</w:t>
            </w:r>
          </w:p>
          <w:p w14:paraId="28E99BAD" w14:textId="77777777" w:rsidR="00F37FAB" w:rsidRPr="00D37004" w:rsidRDefault="00F37FAB" w:rsidP="00BE7E4F">
            <w:pPr>
              <w:spacing w:after="0"/>
              <w:rPr>
                <w:b/>
                <w:noProof/>
                <w:sz w:val="22"/>
                <w:szCs w:val="22"/>
              </w:rPr>
            </w:pPr>
          </w:p>
        </w:tc>
        <w:tc>
          <w:tcPr>
            <w:tcW w:w="847" w:type="pct"/>
          </w:tcPr>
          <w:p w14:paraId="3C5BD1C7" w14:textId="7F82441D" w:rsidR="00C102E9" w:rsidRPr="00777970" w:rsidRDefault="00CC5F14" w:rsidP="00BE7E4F">
            <w:pPr>
              <w:spacing w:after="0"/>
              <w:rPr>
                <w:noProof/>
                <w:sz w:val="22"/>
                <w:szCs w:val="22"/>
              </w:rPr>
            </w:pPr>
            <w:r w:rsidRPr="00777970">
              <w:rPr>
                <w:noProof/>
                <w:sz w:val="22"/>
                <w:szCs w:val="22"/>
              </w:rPr>
              <w:t>Main report: section 4</w:t>
            </w:r>
          </w:p>
        </w:tc>
      </w:tr>
      <w:tr w:rsidR="00F37FAB" w:rsidRPr="00D37004" w14:paraId="7549509C" w14:textId="4D5D2E24" w:rsidTr="00E40BBA">
        <w:trPr>
          <w:trHeight w:val="300"/>
        </w:trPr>
        <w:tc>
          <w:tcPr>
            <w:tcW w:w="1760" w:type="pct"/>
          </w:tcPr>
          <w:p w14:paraId="1C639A6B" w14:textId="5E4A1357" w:rsidR="00F37FAB" w:rsidRPr="00777970" w:rsidRDefault="0053010C" w:rsidP="00BE7E4F">
            <w:pPr>
              <w:spacing w:after="0"/>
              <w:rPr>
                <w:noProof/>
                <w:sz w:val="22"/>
                <w:szCs w:val="22"/>
              </w:rPr>
            </w:pPr>
            <w:r w:rsidRPr="00777970">
              <w:rPr>
                <w:noProof/>
                <w:sz w:val="22"/>
                <w:szCs w:val="22"/>
              </w:rPr>
              <w:t xml:space="preserve">(3) The proposed policy measures, including on EU ‘sovereign’ solutions, are </w:t>
            </w:r>
            <w:r w:rsidR="00487A4B" w:rsidRPr="00487A4B">
              <w:rPr>
                <w:bCs/>
                <w:noProof/>
                <w:sz w:val="22"/>
                <w:szCs w:val="22"/>
              </w:rPr>
              <w:t>not clearly</w:t>
            </w:r>
            <w:r w:rsidR="00D72547" w:rsidRPr="00777970">
              <w:rPr>
                <w:noProof/>
                <w:sz w:val="22"/>
                <w:szCs w:val="22"/>
              </w:rPr>
              <w:t xml:space="preserve"> defined and the causal links in the intervention logic are not sufficiently substantiated.</w:t>
            </w:r>
          </w:p>
        </w:tc>
        <w:tc>
          <w:tcPr>
            <w:tcW w:w="2393" w:type="pct"/>
          </w:tcPr>
          <w:p w14:paraId="01522B4E" w14:textId="77777777" w:rsidR="00F37FAB" w:rsidRPr="00777970" w:rsidRDefault="0057265F" w:rsidP="00BE7E4F">
            <w:pPr>
              <w:spacing w:after="0"/>
              <w:rPr>
                <w:noProof/>
                <w:sz w:val="22"/>
                <w:szCs w:val="22"/>
              </w:rPr>
            </w:pPr>
            <w:r w:rsidRPr="00777970">
              <w:rPr>
                <w:noProof/>
                <w:sz w:val="22"/>
                <w:szCs w:val="22"/>
              </w:rPr>
              <w:t xml:space="preserve">The description of the policy measures has been improved </w:t>
            </w:r>
            <w:r w:rsidR="00983A62">
              <w:rPr>
                <w:bCs/>
                <w:noProof/>
                <w:sz w:val="22"/>
                <w:szCs w:val="22"/>
              </w:rPr>
              <w:t xml:space="preserve">both </w:t>
            </w:r>
            <w:r w:rsidRPr="00777970">
              <w:rPr>
                <w:noProof/>
                <w:sz w:val="22"/>
                <w:szCs w:val="22"/>
              </w:rPr>
              <w:t>in section 5.2 and in annex 4</w:t>
            </w:r>
            <w:r w:rsidR="00983A62">
              <w:rPr>
                <w:bCs/>
                <w:noProof/>
                <w:sz w:val="22"/>
                <w:szCs w:val="22"/>
              </w:rPr>
              <w:t>, notably PM11, PM15 and PM21</w:t>
            </w:r>
            <w:r w:rsidRPr="00777970">
              <w:rPr>
                <w:noProof/>
                <w:sz w:val="22"/>
                <w:szCs w:val="22"/>
              </w:rPr>
              <w:t>.</w:t>
            </w:r>
            <w:r w:rsidR="00F6752B" w:rsidRPr="00777970">
              <w:rPr>
                <w:noProof/>
                <w:sz w:val="22"/>
                <w:szCs w:val="22"/>
              </w:rPr>
              <w:t xml:space="preserve"> The causal links have been inc</w:t>
            </w:r>
            <w:r w:rsidR="005F4F41" w:rsidRPr="00777970">
              <w:rPr>
                <w:noProof/>
                <w:sz w:val="22"/>
                <w:szCs w:val="22"/>
              </w:rPr>
              <w:t>luded also in section 5.2.</w:t>
            </w:r>
          </w:p>
          <w:p w14:paraId="48540DC0" w14:textId="77777777" w:rsidR="0083653E" w:rsidRDefault="00FC312D" w:rsidP="00BE7E4F">
            <w:pPr>
              <w:spacing w:after="0"/>
              <w:rPr>
                <w:bCs/>
                <w:noProof/>
                <w:sz w:val="22"/>
                <w:szCs w:val="22"/>
              </w:rPr>
            </w:pPr>
            <w:r w:rsidRPr="00777970">
              <w:rPr>
                <w:noProof/>
                <w:sz w:val="22"/>
                <w:szCs w:val="22"/>
              </w:rPr>
              <w:t>Furthermore</w:t>
            </w:r>
            <w:r w:rsidR="005F4F41" w:rsidRPr="00777970">
              <w:rPr>
                <w:noProof/>
                <w:sz w:val="22"/>
                <w:szCs w:val="22"/>
              </w:rPr>
              <w:t xml:space="preserve">, </w:t>
            </w:r>
            <w:r w:rsidR="0083653E">
              <w:rPr>
                <w:bCs/>
                <w:noProof/>
                <w:sz w:val="22"/>
                <w:szCs w:val="22"/>
              </w:rPr>
              <w:t>the table in section 5.2.3 has been updated to show clearer the</w:t>
            </w:r>
            <w:r w:rsidR="00D8545E">
              <w:rPr>
                <w:bCs/>
                <w:noProof/>
                <w:sz w:val="22"/>
                <w:szCs w:val="22"/>
              </w:rPr>
              <w:t xml:space="preserve"> link between the problem drivers, the problems, the policy options, policy </w:t>
            </w:r>
            <w:r w:rsidR="006036EA">
              <w:rPr>
                <w:bCs/>
                <w:noProof/>
                <w:sz w:val="22"/>
                <w:szCs w:val="22"/>
              </w:rPr>
              <w:t>measures</w:t>
            </w:r>
            <w:r w:rsidR="00D8545E">
              <w:rPr>
                <w:bCs/>
                <w:noProof/>
                <w:sz w:val="22"/>
                <w:szCs w:val="22"/>
              </w:rPr>
              <w:t xml:space="preserve"> and specific objectives.</w:t>
            </w:r>
            <w:r w:rsidR="00E420F3">
              <w:rPr>
                <w:bCs/>
                <w:noProof/>
                <w:sz w:val="22"/>
                <w:szCs w:val="22"/>
              </w:rPr>
              <w:t xml:space="preserve"> </w:t>
            </w:r>
          </w:p>
          <w:p w14:paraId="3427C8A6" w14:textId="5BA0645A" w:rsidR="005F4F41" w:rsidRPr="00777970" w:rsidRDefault="006036EA" w:rsidP="004C7FE6">
            <w:pPr>
              <w:spacing w:after="0"/>
              <w:rPr>
                <w:noProof/>
                <w:sz w:val="22"/>
                <w:szCs w:val="22"/>
              </w:rPr>
            </w:pPr>
            <w:r>
              <w:rPr>
                <w:bCs/>
                <w:noProof/>
                <w:sz w:val="22"/>
                <w:szCs w:val="22"/>
              </w:rPr>
              <w:t>Finally</w:t>
            </w:r>
            <w:r w:rsidR="006D284E">
              <w:rPr>
                <w:bCs/>
                <w:noProof/>
                <w:sz w:val="22"/>
                <w:szCs w:val="22"/>
              </w:rPr>
              <w:t>,</w:t>
            </w:r>
            <w:r>
              <w:rPr>
                <w:bCs/>
                <w:noProof/>
                <w:sz w:val="22"/>
                <w:szCs w:val="22"/>
              </w:rPr>
              <w:t xml:space="preserve"> a new table has been added in section 5.2.4 to better demonstrate </w:t>
            </w:r>
            <w:r w:rsidR="00FC1A16">
              <w:rPr>
                <w:bCs/>
                <w:noProof/>
                <w:sz w:val="22"/>
                <w:szCs w:val="22"/>
              </w:rPr>
              <w:t xml:space="preserve">which aspects of each problem driver </w:t>
            </w:r>
            <w:r w:rsidR="00943D66">
              <w:rPr>
                <w:bCs/>
                <w:noProof/>
                <w:sz w:val="22"/>
                <w:szCs w:val="22"/>
              </w:rPr>
              <w:t xml:space="preserve">the proposed policy measure address. </w:t>
            </w:r>
          </w:p>
        </w:tc>
        <w:tc>
          <w:tcPr>
            <w:tcW w:w="847" w:type="pct"/>
          </w:tcPr>
          <w:p w14:paraId="17E4AB3D" w14:textId="437BFE47" w:rsidR="00C102E9" w:rsidRPr="00D37004" w:rsidRDefault="00FC312D" w:rsidP="00BE7E4F">
            <w:pPr>
              <w:spacing w:after="0"/>
              <w:rPr>
                <w:b/>
                <w:noProof/>
                <w:sz w:val="22"/>
                <w:szCs w:val="22"/>
              </w:rPr>
            </w:pPr>
            <w:r w:rsidRPr="00777970">
              <w:rPr>
                <w:noProof/>
                <w:sz w:val="22"/>
                <w:szCs w:val="22"/>
              </w:rPr>
              <w:t>Main report: section 5.2 (notably 5.2.1, 5.2.2</w:t>
            </w:r>
            <w:r w:rsidR="006036EA">
              <w:rPr>
                <w:bCs/>
                <w:noProof/>
                <w:sz w:val="22"/>
                <w:szCs w:val="22"/>
              </w:rPr>
              <w:t>, 5.2.3</w:t>
            </w:r>
            <w:r w:rsidRPr="00777970">
              <w:rPr>
                <w:noProof/>
                <w:sz w:val="22"/>
                <w:szCs w:val="22"/>
              </w:rPr>
              <w:t xml:space="preserve"> and 5.24)</w:t>
            </w:r>
          </w:p>
        </w:tc>
      </w:tr>
      <w:tr w:rsidR="00F37FAB" w:rsidRPr="00D37004" w14:paraId="374AC584" w14:textId="535A995E" w:rsidTr="00E40BBA">
        <w:trPr>
          <w:trHeight w:val="4304"/>
        </w:trPr>
        <w:tc>
          <w:tcPr>
            <w:tcW w:w="1760" w:type="pct"/>
          </w:tcPr>
          <w:p w14:paraId="6B885648" w14:textId="56014585" w:rsidR="00F37FAB" w:rsidRPr="00777970" w:rsidRDefault="00D72547" w:rsidP="00BE7E4F">
            <w:pPr>
              <w:spacing w:after="0"/>
              <w:rPr>
                <w:noProof/>
                <w:sz w:val="22"/>
                <w:szCs w:val="22"/>
              </w:rPr>
            </w:pPr>
            <w:r w:rsidRPr="00777970">
              <w:rPr>
                <w:noProof/>
                <w:sz w:val="22"/>
                <w:szCs w:val="22"/>
              </w:rPr>
              <w:t>(4)</w:t>
            </w:r>
            <w:r>
              <w:rPr>
                <w:bCs/>
                <w:noProof/>
                <w:sz w:val="22"/>
                <w:szCs w:val="22"/>
              </w:rPr>
              <w:t xml:space="preserve"> </w:t>
            </w:r>
            <w:r w:rsidRPr="00777970">
              <w:rPr>
                <w:noProof/>
                <w:sz w:val="22"/>
                <w:szCs w:val="22"/>
              </w:rPr>
              <w:t>The analysis of effectiveness and efficiency does not sufficiently reflect the adjustment costs, technical feasibility and unintended consequences linked to the proposed policy measures.</w:t>
            </w:r>
          </w:p>
        </w:tc>
        <w:tc>
          <w:tcPr>
            <w:tcW w:w="2393" w:type="pct"/>
          </w:tcPr>
          <w:p w14:paraId="3336C1B0" w14:textId="77777777" w:rsidR="003C771B" w:rsidRDefault="00ED4CA6" w:rsidP="00BE7E4F">
            <w:pPr>
              <w:spacing w:after="0"/>
              <w:rPr>
                <w:bCs/>
                <w:noProof/>
                <w:sz w:val="22"/>
                <w:szCs w:val="22"/>
              </w:rPr>
            </w:pPr>
            <w:r>
              <w:rPr>
                <w:bCs/>
                <w:noProof/>
                <w:sz w:val="22"/>
                <w:szCs w:val="22"/>
              </w:rPr>
              <w:t xml:space="preserve">Adjustment and administrative costs have been cross-checked and </w:t>
            </w:r>
            <w:r w:rsidR="004C7FE6">
              <w:rPr>
                <w:bCs/>
                <w:noProof/>
                <w:sz w:val="22"/>
                <w:szCs w:val="22"/>
              </w:rPr>
              <w:t>updated</w:t>
            </w:r>
            <w:r>
              <w:rPr>
                <w:bCs/>
                <w:noProof/>
                <w:sz w:val="22"/>
                <w:szCs w:val="22"/>
              </w:rPr>
              <w:t xml:space="preserve"> in the main report under section 6 and Annex 4. </w:t>
            </w:r>
            <w:r w:rsidR="00B07D6F">
              <w:rPr>
                <w:bCs/>
                <w:noProof/>
                <w:sz w:val="22"/>
                <w:szCs w:val="22"/>
              </w:rPr>
              <w:t>W</w:t>
            </w:r>
            <w:r w:rsidR="001073A1">
              <w:rPr>
                <w:bCs/>
                <w:noProof/>
                <w:sz w:val="22"/>
                <w:szCs w:val="22"/>
              </w:rPr>
              <w:t>hile quantitative estimates of</w:t>
            </w:r>
            <w:r>
              <w:rPr>
                <w:bCs/>
                <w:noProof/>
                <w:sz w:val="22"/>
                <w:szCs w:val="22"/>
              </w:rPr>
              <w:t xml:space="preserve"> all possible</w:t>
            </w:r>
            <w:r w:rsidR="001073A1">
              <w:rPr>
                <w:bCs/>
                <w:noProof/>
                <w:sz w:val="22"/>
                <w:szCs w:val="22"/>
              </w:rPr>
              <w:t xml:space="preserve"> adjustment costs</w:t>
            </w:r>
            <w:r>
              <w:rPr>
                <w:bCs/>
                <w:noProof/>
                <w:sz w:val="22"/>
                <w:szCs w:val="22"/>
              </w:rPr>
              <w:t xml:space="preserve"> </w:t>
            </w:r>
            <w:r w:rsidR="001073A1">
              <w:rPr>
                <w:bCs/>
                <w:noProof/>
                <w:sz w:val="22"/>
                <w:szCs w:val="22"/>
              </w:rPr>
              <w:t>and unintended consequences were</w:t>
            </w:r>
            <w:r w:rsidR="00A74EF2">
              <w:rPr>
                <w:bCs/>
                <w:noProof/>
                <w:sz w:val="22"/>
                <w:szCs w:val="22"/>
              </w:rPr>
              <w:t xml:space="preserve"> at times</w:t>
            </w:r>
            <w:r w:rsidR="001073A1">
              <w:rPr>
                <w:bCs/>
                <w:noProof/>
                <w:sz w:val="22"/>
                <w:szCs w:val="22"/>
              </w:rPr>
              <w:t xml:space="preserve"> limited by data availability, </w:t>
            </w:r>
            <w:r w:rsidR="00B07D6F">
              <w:rPr>
                <w:bCs/>
                <w:noProof/>
                <w:sz w:val="22"/>
                <w:szCs w:val="22"/>
              </w:rPr>
              <w:t xml:space="preserve">the effectiveness and efficiency analysis </w:t>
            </w:r>
            <w:r w:rsidR="00316CD7">
              <w:rPr>
                <w:bCs/>
                <w:noProof/>
                <w:sz w:val="22"/>
                <w:szCs w:val="22"/>
              </w:rPr>
              <w:t xml:space="preserve">have been revised </w:t>
            </w:r>
            <w:r w:rsidR="001073A1">
              <w:rPr>
                <w:bCs/>
                <w:noProof/>
                <w:sz w:val="22"/>
                <w:szCs w:val="22"/>
              </w:rPr>
              <w:t>and the discussion to address transition costs, technical feasibility and possible side effects of the proposed measures</w:t>
            </w:r>
            <w:r w:rsidR="003C771B">
              <w:rPr>
                <w:bCs/>
                <w:noProof/>
                <w:sz w:val="22"/>
                <w:szCs w:val="22"/>
              </w:rPr>
              <w:t>, expanded</w:t>
            </w:r>
            <w:r w:rsidR="001073A1">
              <w:rPr>
                <w:bCs/>
                <w:noProof/>
                <w:sz w:val="22"/>
                <w:szCs w:val="22"/>
              </w:rPr>
              <w:t xml:space="preserve">. This has been added </w:t>
            </w:r>
            <w:r w:rsidR="00FA4158">
              <w:rPr>
                <w:bCs/>
                <w:noProof/>
                <w:sz w:val="22"/>
                <w:szCs w:val="22"/>
              </w:rPr>
              <w:t>under section 7.1</w:t>
            </w:r>
            <w:r w:rsidR="000F1593">
              <w:rPr>
                <w:bCs/>
                <w:noProof/>
                <w:sz w:val="22"/>
                <w:szCs w:val="22"/>
              </w:rPr>
              <w:t xml:space="preserve"> and 7.2</w:t>
            </w:r>
            <w:r w:rsidR="0006172A">
              <w:rPr>
                <w:bCs/>
                <w:noProof/>
                <w:sz w:val="22"/>
                <w:szCs w:val="22"/>
              </w:rPr>
              <w:t xml:space="preserve">. </w:t>
            </w:r>
          </w:p>
          <w:p w14:paraId="6862F480" w14:textId="56B1537B" w:rsidR="00F37FAB" w:rsidRPr="00777970" w:rsidRDefault="003C771B" w:rsidP="00BE7E4F">
            <w:pPr>
              <w:spacing w:after="0"/>
              <w:rPr>
                <w:noProof/>
                <w:sz w:val="22"/>
                <w:szCs w:val="22"/>
              </w:rPr>
            </w:pPr>
            <w:r>
              <w:rPr>
                <w:bCs/>
                <w:noProof/>
                <w:sz w:val="22"/>
                <w:szCs w:val="22"/>
              </w:rPr>
              <w:t>The sensitivity analysis in s</w:t>
            </w:r>
            <w:r w:rsidR="00FD6073">
              <w:rPr>
                <w:bCs/>
                <w:noProof/>
                <w:sz w:val="22"/>
                <w:szCs w:val="22"/>
              </w:rPr>
              <w:t xml:space="preserve">ection 7.5 </w:t>
            </w:r>
            <w:r>
              <w:rPr>
                <w:bCs/>
                <w:noProof/>
                <w:sz w:val="22"/>
                <w:szCs w:val="22"/>
              </w:rPr>
              <w:t>has</w:t>
            </w:r>
            <w:r w:rsidR="00FD6073" w:rsidDel="003C771B">
              <w:rPr>
                <w:bCs/>
                <w:noProof/>
                <w:sz w:val="22"/>
                <w:szCs w:val="22"/>
              </w:rPr>
              <w:t xml:space="preserve"> </w:t>
            </w:r>
            <w:r w:rsidR="00FD6073">
              <w:rPr>
                <w:bCs/>
                <w:noProof/>
                <w:sz w:val="22"/>
                <w:szCs w:val="22"/>
              </w:rPr>
              <w:t>also</w:t>
            </w:r>
            <w:r>
              <w:rPr>
                <w:bCs/>
                <w:noProof/>
                <w:sz w:val="22"/>
                <w:szCs w:val="22"/>
              </w:rPr>
              <w:t xml:space="preserve"> been</w:t>
            </w:r>
            <w:r w:rsidR="00FD6073">
              <w:rPr>
                <w:bCs/>
                <w:noProof/>
                <w:sz w:val="22"/>
                <w:szCs w:val="22"/>
              </w:rPr>
              <w:t xml:space="preserve"> updated to</w:t>
            </w:r>
            <w:r w:rsidR="009E0F53">
              <w:rPr>
                <w:bCs/>
                <w:noProof/>
                <w:sz w:val="22"/>
                <w:szCs w:val="22"/>
              </w:rPr>
              <w:t xml:space="preserve"> clearly</w:t>
            </w:r>
            <w:r w:rsidR="00FD6073">
              <w:rPr>
                <w:bCs/>
                <w:noProof/>
                <w:sz w:val="22"/>
                <w:szCs w:val="22"/>
              </w:rPr>
              <w:t xml:space="preserve"> </w:t>
            </w:r>
            <w:r w:rsidR="009E0F53">
              <w:rPr>
                <w:bCs/>
                <w:noProof/>
                <w:sz w:val="22"/>
                <w:szCs w:val="22"/>
              </w:rPr>
              <w:t>present the uncertaint</w:t>
            </w:r>
            <w:r w:rsidR="00240133">
              <w:rPr>
                <w:bCs/>
                <w:noProof/>
                <w:sz w:val="22"/>
                <w:szCs w:val="22"/>
              </w:rPr>
              <w:t>ies</w:t>
            </w:r>
            <w:r w:rsidR="009E0F53">
              <w:rPr>
                <w:bCs/>
                <w:noProof/>
                <w:sz w:val="22"/>
                <w:szCs w:val="22"/>
              </w:rPr>
              <w:t xml:space="preserve"> linked to the proposed policy measures. </w:t>
            </w:r>
          </w:p>
        </w:tc>
        <w:tc>
          <w:tcPr>
            <w:tcW w:w="847" w:type="pct"/>
          </w:tcPr>
          <w:p w14:paraId="06D6B972" w14:textId="77777777" w:rsidR="00C102E9" w:rsidRDefault="00A74EF2" w:rsidP="00BE7E4F">
            <w:pPr>
              <w:spacing w:after="0"/>
              <w:rPr>
                <w:bCs/>
                <w:noProof/>
                <w:sz w:val="22"/>
                <w:szCs w:val="22"/>
              </w:rPr>
            </w:pPr>
            <w:r>
              <w:rPr>
                <w:bCs/>
                <w:noProof/>
                <w:sz w:val="22"/>
                <w:szCs w:val="22"/>
              </w:rPr>
              <w:t xml:space="preserve">Main report: section </w:t>
            </w:r>
            <w:r w:rsidR="00BA7843">
              <w:rPr>
                <w:bCs/>
                <w:noProof/>
                <w:sz w:val="22"/>
                <w:szCs w:val="22"/>
              </w:rPr>
              <w:t>7.1, 7.2</w:t>
            </w:r>
            <w:r w:rsidR="009A4FF3">
              <w:rPr>
                <w:bCs/>
                <w:noProof/>
                <w:sz w:val="22"/>
                <w:szCs w:val="22"/>
              </w:rPr>
              <w:t>, 7.5</w:t>
            </w:r>
          </w:p>
          <w:p w14:paraId="4ABEE5A6" w14:textId="7695011C" w:rsidR="00BA7843" w:rsidRPr="00777970" w:rsidRDefault="00BA7843" w:rsidP="00BE7E4F">
            <w:pPr>
              <w:spacing w:after="0"/>
              <w:rPr>
                <w:noProof/>
                <w:sz w:val="22"/>
                <w:szCs w:val="22"/>
              </w:rPr>
            </w:pPr>
            <w:r>
              <w:rPr>
                <w:bCs/>
                <w:noProof/>
                <w:sz w:val="22"/>
                <w:szCs w:val="22"/>
              </w:rPr>
              <w:t>Annex 4</w:t>
            </w:r>
          </w:p>
        </w:tc>
      </w:tr>
      <w:tr w:rsidR="00651661" w:rsidRPr="00D37004" w14:paraId="63C699C2" w14:textId="77777777" w:rsidTr="00E40BBA">
        <w:trPr>
          <w:trHeight w:val="283"/>
        </w:trPr>
        <w:tc>
          <w:tcPr>
            <w:tcW w:w="5000" w:type="pct"/>
            <w:gridSpan w:val="3"/>
            <w:shd w:val="clear" w:color="auto" w:fill="F2F2F2" w:themeFill="background1" w:themeFillShade="F2"/>
            <w:vAlign w:val="center"/>
          </w:tcPr>
          <w:p w14:paraId="0AF13D3A" w14:textId="4C8C1ECE" w:rsidR="00651661" w:rsidRDefault="00651661" w:rsidP="00651661">
            <w:pPr>
              <w:spacing w:after="0"/>
              <w:jc w:val="left"/>
              <w:rPr>
                <w:bCs/>
                <w:noProof/>
                <w:sz w:val="22"/>
                <w:szCs w:val="22"/>
              </w:rPr>
            </w:pPr>
            <w:r>
              <w:rPr>
                <w:b/>
                <w:noProof/>
                <w:sz w:val="22"/>
                <w:szCs w:val="22"/>
              </w:rPr>
              <w:t>(C) What to improve</w:t>
            </w:r>
          </w:p>
        </w:tc>
      </w:tr>
      <w:tr w:rsidR="00F3141A" w:rsidRPr="00D37004" w14:paraId="56257B99" w14:textId="3DFA13F7" w:rsidTr="00E40BBA">
        <w:trPr>
          <w:trHeight w:val="300"/>
        </w:trPr>
        <w:tc>
          <w:tcPr>
            <w:tcW w:w="1760" w:type="pct"/>
          </w:tcPr>
          <w:p w14:paraId="02B9220F" w14:textId="4A1BC3A8" w:rsidR="00F3141A" w:rsidRPr="00777970" w:rsidRDefault="001B60F5" w:rsidP="00BE7E4F">
            <w:pPr>
              <w:spacing w:after="0"/>
              <w:rPr>
                <w:noProof/>
                <w:sz w:val="22"/>
                <w:szCs w:val="22"/>
              </w:rPr>
            </w:pPr>
            <w:r w:rsidRPr="00777970">
              <w:rPr>
                <w:noProof/>
                <w:sz w:val="22"/>
                <w:szCs w:val="22"/>
              </w:rPr>
              <w:t>1) The report should better analyse the root causes of the insufficient cloud capacities in the EU and the declining market share of European services providers. Based on an analysis of the main drivers of competitiveness, such as price, scope of services, innovation and quality, including cyber security, it should analyse potential market failures. It should also analyse potential regulatory failures based on available evidence of investment decisions. It should analyse more thoroughly the current practices and regulatory frameworks in Member States and how they impact the Internal Market. It should describe the risks of reliance on non-EU providers and the potential trade-offs with aspects of strategic autonomy.</w:t>
            </w:r>
          </w:p>
        </w:tc>
        <w:tc>
          <w:tcPr>
            <w:tcW w:w="2393" w:type="pct"/>
          </w:tcPr>
          <w:p w14:paraId="6BDC67A7" w14:textId="77777777" w:rsidR="00126939" w:rsidRDefault="000C0E18" w:rsidP="00BE7E4F">
            <w:pPr>
              <w:spacing w:after="0"/>
              <w:rPr>
                <w:bCs/>
                <w:noProof/>
                <w:sz w:val="22"/>
                <w:szCs w:val="22"/>
              </w:rPr>
            </w:pPr>
            <w:r>
              <w:rPr>
                <w:bCs/>
                <w:noProof/>
                <w:sz w:val="22"/>
                <w:szCs w:val="22"/>
              </w:rPr>
              <w:t xml:space="preserve">Section 2.1 </w:t>
            </w:r>
            <w:r w:rsidR="0083671F">
              <w:rPr>
                <w:bCs/>
                <w:noProof/>
                <w:sz w:val="22"/>
                <w:szCs w:val="22"/>
              </w:rPr>
              <w:t xml:space="preserve">(Problem context) </w:t>
            </w:r>
            <w:r>
              <w:rPr>
                <w:bCs/>
                <w:noProof/>
                <w:sz w:val="22"/>
                <w:szCs w:val="22"/>
              </w:rPr>
              <w:t>has been reformulated to include a</w:t>
            </w:r>
            <w:r w:rsidR="00DE7D23">
              <w:rPr>
                <w:bCs/>
                <w:noProof/>
                <w:sz w:val="22"/>
                <w:szCs w:val="22"/>
              </w:rPr>
              <w:t xml:space="preserve">n analysis of the main </w:t>
            </w:r>
            <w:r w:rsidR="006D284E">
              <w:rPr>
                <w:bCs/>
                <w:noProof/>
                <w:sz w:val="22"/>
                <w:szCs w:val="22"/>
              </w:rPr>
              <w:t>drivers</w:t>
            </w:r>
            <w:r w:rsidR="00DE7D23">
              <w:rPr>
                <w:bCs/>
                <w:noProof/>
                <w:sz w:val="22"/>
                <w:szCs w:val="22"/>
              </w:rPr>
              <w:t xml:space="preserve"> for the current situation of the declining market share of EU providers.</w:t>
            </w:r>
          </w:p>
          <w:p w14:paraId="018166EF" w14:textId="77777777" w:rsidR="000656BB" w:rsidRDefault="000656BB" w:rsidP="00BE7E4F">
            <w:pPr>
              <w:spacing w:after="0"/>
              <w:rPr>
                <w:bCs/>
                <w:noProof/>
                <w:sz w:val="22"/>
                <w:szCs w:val="22"/>
              </w:rPr>
            </w:pPr>
          </w:p>
          <w:p w14:paraId="5C569CA3" w14:textId="77777777" w:rsidR="007F1068" w:rsidRDefault="00BA3B15" w:rsidP="00BE7E4F">
            <w:pPr>
              <w:spacing w:after="0"/>
              <w:rPr>
                <w:bCs/>
                <w:noProof/>
                <w:sz w:val="22"/>
                <w:szCs w:val="22"/>
              </w:rPr>
            </w:pPr>
            <w:r>
              <w:rPr>
                <w:bCs/>
                <w:noProof/>
                <w:sz w:val="22"/>
                <w:szCs w:val="22"/>
              </w:rPr>
              <w:t>Problem drivers 1-4</w:t>
            </w:r>
            <w:r w:rsidR="003E172A">
              <w:rPr>
                <w:bCs/>
                <w:noProof/>
                <w:sz w:val="22"/>
                <w:szCs w:val="22"/>
              </w:rPr>
              <w:t xml:space="preserve"> have been updated to showcase better the different </w:t>
            </w:r>
            <w:r w:rsidR="00F457B3">
              <w:rPr>
                <w:bCs/>
                <w:noProof/>
                <w:sz w:val="22"/>
                <w:szCs w:val="22"/>
              </w:rPr>
              <w:t xml:space="preserve">failures, </w:t>
            </w:r>
            <w:r w:rsidR="003D1CBF">
              <w:rPr>
                <w:bCs/>
                <w:noProof/>
                <w:sz w:val="22"/>
                <w:szCs w:val="22"/>
              </w:rPr>
              <w:t xml:space="preserve">such as </w:t>
            </w:r>
            <w:r w:rsidR="00F457B3">
              <w:rPr>
                <w:bCs/>
                <w:noProof/>
                <w:sz w:val="22"/>
                <w:szCs w:val="22"/>
              </w:rPr>
              <w:t>market and regulatory</w:t>
            </w:r>
            <w:r w:rsidR="00685F36">
              <w:rPr>
                <w:bCs/>
                <w:noProof/>
                <w:sz w:val="22"/>
                <w:szCs w:val="22"/>
              </w:rPr>
              <w:t xml:space="preserve"> related ones</w:t>
            </w:r>
            <w:r w:rsidR="0081060B">
              <w:rPr>
                <w:bCs/>
                <w:noProof/>
                <w:sz w:val="22"/>
                <w:szCs w:val="22"/>
              </w:rPr>
              <w:t>. Problem driver 1 has been updated</w:t>
            </w:r>
            <w:r w:rsidR="007F1068">
              <w:rPr>
                <w:bCs/>
                <w:noProof/>
                <w:sz w:val="22"/>
                <w:szCs w:val="22"/>
              </w:rPr>
              <w:t xml:space="preserve"> seeking to respond to the aspe</w:t>
            </w:r>
            <w:r w:rsidR="003A3D1E">
              <w:rPr>
                <w:bCs/>
                <w:noProof/>
                <w:sz w:val="22"/>
                <w:szCs w:val="22"/>
              </w:rPr>
              <w:t xml:space="preserve">cts related to the </w:t>
            </w:r>
            <w:r w:rsidR="00EA2A20">
              <w:rPr>
                <w:bCs/>
                <w:noProof/>
                <w:sz w:val="22"/>
                <w:szCs w:val="22"/>
              </w:rPr>
              <w:t xml:space="preserve">main drivers of </w:t>
            </w:r>
            <w:r w:rsidR="00813694">
              <w:rPr>
                <w:bCs/>
                <w:noProof/>
                <w:sz w:val="22"/>
                <w:szCs w:val="22"/>
              </w:rPr>
              <w:t>competitiveness</w:t>
            </w:r>
            <w:r w:rsidR="00EA2A20">
              <w:rPr>
                <w:bCs/>
                <w:noProof/>
                <w:sz w:val="22"/>
                <w:szCs w:val="22"/>
              </w:rPr>
              <w:t xml:space="preserve">. </w:t>
            </w:r>
            <w:r w:rsidR="00A852C3">
              <w:rPr>
                <w:bCs/>
                <w:noProof/>
                <w:sz w:val="22"/>
                <w:szCs w:val="22"/>
              </w:rPr>
              <w:t xml:space="preserve">Problem </w:t>
            </w:r>
            <w:r w:rsidR="0083671F">
              <w:rPr>
                <w:bCs/>
                <w:noProof/>
                <w:sz w:val="22"/>
                <w:szCs w:val="22"/>
              </w:rPr>
              <w:t>d</w:t>
            </w:r>
            <w:r w:rsidR="00A852C3">
              <w:rPr>
                <w:bCs/>
                <w:noProof/>
                <w:sz w:val="22"/>
                <w:szCs w:val="22"/>
              </w:rPr>
              <w:t>river 2 has also been updated</w:t>
            </w:r>
            <w:r w:rsidR="00E121C2">
              <w:rPr>
                <w:bCs/>
                <w:noProof/>
                <w:sz w:val="22"/>
                <w:szCs w:val="22"/>
              </w:rPr>
              <w:t xml:space="preserve"> and reformulated to better substantiate the </w:t>
            </w:r>
            <w:r w:rsidR="002118E7">
              <w:rPr>
                <w:bCs/>
                <w:noProof/>
                <w:sz w:val="22"/>
                <w:szCs w:val="22"/>
              </w:rPr>
              <w:t>frag</w:t>
            </w:r>
            <w:r w:rsidR="00795780">
              <w:rPr>
                <w:bCs/>
                <w:noProof/>
                <w:sz w:val="22"/>
                <w:szCs w:val="22"/>
              </w:rPr>
              <w:t>mentation</w:t>
            </w:r>
            <w:r w:rsidR="002118E7">
              <w:rPr>
                <w:bCs/>
                <w:noProof/>
                <w:sz w:val="22"/>
                <w:szCs w:val="22"/>
              </w:rPr>
              <w:t xml:space="preserve"> of the </w:t>
            </w:r>
            <w:r w:rsidR="00BA4074">
              <w:rPr>
                <w:bCs/>
                <w:noProof/>
                <w:sz w:val="22"/>
                <w:szCs w:val="22"/>
              </w:rPr>
              <w:t xml:space="preserve">different </w:t>
            </w:r>
            <w:r w:rsidR="002118E7">
              <w:rPr>
                <w:bCs/>
                <w:noProof/>
                <w:sz w:val="22"/>
                <w:szCs w:val="22"/>
              </w:rPr>
              <w:t>regulatory frameworks across MS</w:t>
            </w:r>
            <w:r w:rsidR="00813694">
              <w:rPr>
                <w:bCs/>
                <w:noProof/>
                <w:sz w:val="22"/>
                <w:szCs w:val="22"/>
              </w:rPr>
              <w:t>. P</w:t>
            </w:r>
            <w:r w:rsidR="00C61F2D">
              <w:rPr>
                <w:bCs/>
                <w:noProof/>
                <w:sz w:val="22"/>
                <w:szCs w:val="22"/>
              </w:rPr>
              <w:t xml:space="preserve">roblem driver </w:t>
            </w:r>
            <w:r w:rsidR="00416BDC">
              <w:rPr>
                <w:bCs/>
                <w:noProof/>
                <w:sz w:val="22"/>
                <w:szCs w:val="22"/>
              </w:rPr>
              <w:t>3 has been updated to discuss the risks of reliance to non-EU providers, notably for the public sector</w:t>
            </w:r>
            <w:r w:rsidR="00D47076">
              <w:rPr>
                <w:bCs/>
                <w:noProof/>
                <w:sz w:val="22"/>
                <w:szCs w:val="22"/>
              </w:rPr>
              <w:t>.</w:t>
            </w:r>
          </w:p>
          <w:p w14:paraId="135C473C" w14:textId="5AA6FAE7" w:rsidR="00F3141A" w:rsidRPr="00777970" w:rsidRDefault="00F3141A" w:rsidP="00BE7E4F">
            <w:pPr>
              <w:spacing w:after="0"/>
              <w:rPr>
                <w:noProof/>
                <w:sz w:val="22"/>
                <w:szCs w:val="22"/>
              </w:rPr>
            </w:pPr>
          </w:p>
        </w:tc>
        <w:tc>
          <w:tcPr>
            <w:tcW w:w="847" w:type="pct"/>
          </w:tcPr>
          <w:p w14:paraId="6F3B2F5E" w14:textId="4D587FF0" w:rsidR="00C102E9" w:rsidRPr="00777970" w:rsidRDefault="00DE1E15" w:rsidP="00BE7E4F">
            <w:pPr>
              <w:spacing w:after="0"/>
              <w:rPr>
                <w:noProof/>
                <w:sz w:val="22"/>
                <w:szCs w:val="22"/>
              </w:rPr>
            </w:pPr>
            <w:r w:rsidRPr="00777970">
              <w:rPr>
                <w:noProof/>
                <w:sz w:val="22"/>
                <w:szCs w:val="22"/>
              </w:rPr>
              <w:t xml:space="preserve">Main report: </w:t>
            </w:r>
            <w:r w:rsidR="006D284E">
              <w:rPr>
                <w:bCs/>
                <w:noProof/>
                <w:sz w:val="22"/>
                <w:szCs w:val="22"/>
              </w:rPr>
              <w:t xml:space="preserve">Section 2.1, </w:t>
            </w:r>
            <w:r w:rsidRPr="005010AF">
              <w:rPr>
                <w:noProof/>
                <w:sz w:val="22"/>
                <w:szCs w:val="22"/>
              </w:rPr>
              <w:t xml:space="preserve">Section </w:t>
            </w:r>
            <w:r w:rsidRPr="00777970">
              <w:rPr>
                <w:noProof/>
                <w:sz w:val="22"/>
                <w:szCs w:val="22"/>
              </w:rPr>
              <w:t>2.</w:t>
            </w:r>
            <w:r w:rsidR="00234764" w:rsidRPr="005010AF">
              <w:rPr>
                <w:noProof/>
                <w:sz w:val="22"/>
                <w:szCs w:val="22"/>
              </w:rPr>
              <w:t>2</w:t>
            </w:r>
            <w:r w:rsidR="006D284E">
              <w:rPr>
                <w:bCs/>
                <w:noProof/>
                <w:sz w:val="22"/>
                <w:szCs w:val="22"/>
              </w:rPr>
              <w:t>, Section 2.3</w:t>
            </w:r>
          </w:p>
        </w:tc>
      </w:tr>
      <w:tr w:rsidR="00F3141A" w:rsidRPr="00D37004" w14:paraId="59A4CB75" w14:textId="2AD1417C" w:rsidTr="00E40BBA">
        <w:trPr>
          <w:trHeight w:val="300"/>
        </w:trPr>
        <w:tc>
          <w:tcPr>
            <w:tcW w:w="1760" w:type="pct"/>
          </w:tcPr>
          <w:p w14:paraId="344E5FD2" w14:textId="7DA516AE" w:rsidR="00F3141A" w:rsidRPr="00777970" w:rsidRDefault="00E66D92" w:rsidP="00BE7E4F">
            <w:pPr>
              <w:spacing w:after="0"/>
              <w:rPr>
                <w:noProof/>
                <w:sz w:val="22"/>
                <w:szCs w:val="22"/>
              </w:rPr>
            </w:pPr>
            <w:r w:rsidRPr="00777970">
              <w:rPr>
                <w:noProof/>
                <w:sz w:val="22"/>
                <w:szCs w:val="22"/>
              </w:rPr>
              <w:t>2) The report should be clear whether – and if yes how - the objectives of this initiative relate to the EU’s strategic autonomy. What level of autonomy is to be achieved and in which domains? The content of policy measures should be clearly defined, including the criteria for “sovereign solutions” and “EU-made”. The report should better justify how the target of market share of EU providers is set.</w:t>
            </w:r>
          </w:p>
        </w:tc>
        <w:tc>
          <w:tcPr>
            <w:tcW w:w="2393" w:type="pct"/>
          </w:tcPr>
          <w:p w14:paraId="01C413CE" w14:textId="77777777" w:rsidR="006E30A5" w:rsidRDefault="00895998" w:rsidP="00BE7E4F">
            <w:pPr>
              <w:spacing w:after="0"/>
              <w:rPr>
                <w:bCs/>
                <w:noProof/>
                <w:sz w:val="22"/>
                <w:szCs w:val="22"/>
              </w:rPr>
            </w:pPr>
            <w:r>
              <w:rPr>
                <w:bCs/>
                <w:noProof/>
                <w:sz w:val="22"/>
                <w:szCs w:val="22"/>
              </w:rPr>
              <w:t xml:space="preserve">The general objective as well as specific objectives 3 and 4 </w:t>
            </w:r>
            <w:r w:rsidR="00F425DA">
              <w:rPr>
                <w:bCs/>
                <w:noProof/>
                <w:sz w:val="22"/>
                <w:szCs w:val="22"/>
              </w:rPr>
              <w:t>have been</w:t>
            </w:r>
            <w:r>
              <w:rPr>
                <w:bCs/>
                <w:noProof/>
                <w:sz w:val="22"/>
                <w:szCs w:val="22"/>
              </w:rPr>
              <w:t xml:space="preserve"> updated to include a clearer </w:t>
            </w:r>
            <w:r w:rsidR="006B34B2">
              <w:rPr>
                <w:bCs/>
                <w:noProof/>
                <w:sz w:val="22"/>
                <w:szCs w:val="22"/>
              </w:rPr>
              <w:t>strategic autonomy dimension.</w:t>
            </w:r>
          </w:p>
          <w:p w14:paraId="5A3864B5" w14:textId="77777777" w:rsidR="006E30A5" w:rsidRDefault="006E30A5" w:rsidP="00BE7E4F">
            <w:pPr>
              <w:spacing w:after="0"/>
              <w:rPr>
                <w:bCs/>
                <w:noProof/>
                <w:sz w:val="22"/>
                <w:szCs w:val="22"/>
              </w:rPr>
            </w:pPr>
          </w:p>
          <w:p w14:paraId="407C474D" w14:textId="77777777" w:rsidR="00DF5168" w:rsidRDefault="002B06D4" w:rsidP="00BE7E4F">
            <w:pPr>
              <w:spacing w:after="0"/>
              <w:rPr>
                <w:bCs/>
                <w:noProof/>
                <w:sz w:val="22"/>
                <w:szCs w:val="22"/>
              </w:rPr>
            </w:pPr>
            <w:r>
              <w:rPr>
                <w:bCs/>
                <w:noProof/>
                <w:sz w:val="22"/>
                <w:szCs w:val="22"/>
              </w:rPr>
              <w:t xml:space="preserve">The explanations of the main </w:t>
            </w:r>
            <w:r w:rsidR="00F360FB">
              <w:rPr>
                <w:bCs/>
                <w:noProof/>
                <w:sz w:val="22"/>
                <w:szCs w:val="22"/>
              </w:rPr>
              <w:t>elements of the policy measures have been updated in section 5.</w:t>
            </w:r>
            <w:r w:rsidR="00822E4D">
              <w:rPr>
                <w:bCs/>
                <w:noProof/>
                <w:sz w:val="22"/>
                <w:szCs w:val="22"/>
              </w:rPr>
              <w:t>2. Further explanations and details have been included in annex 4 under each PM11, PM15, PM16 and PM21</w:t>
            </w:r>
            <w:r w:rsidR="00DF5168">
              <w:rPr>
                <w:bCs/>
                <w:noProof/>
                <w:sz w:val="22"/>
                <w:szCs w:val="22"/>
              </w:rPr>
              <w:t xml:space="preserve"> to clarify this.</w:t>
            </w:r>
          </w:p>
          <w:p w14:paraId="7AC833C1" w14:textId="77777777" w:rsidR="00DF5168" w:rsidRDefault="00DF5168" w:rsidP="00BE7E4F">
            <w:pPr>
              <w:spacing w:after="0"/>
              <w:rPr>
                <w:bCs/>
                <w:noProof/>
                <w:sz w:val="22"/>
                <w:szCs w:val="22"/>
              </w:rPr>
            </w:pPr>
          </w:p>
          <w:p w14:paraId="6D766AB2" w14:textId="77777777" w:rsidR="00DF5168" w:rsidRDefault="00F86034" w:rsidP="00BE7E4F">
            <w:pPr>
              <w:spacing w:after="0"/>
              <w:rPr>
                <w:bCs/>
                <w:noProof/>
                <w:sz w:val="22"/>
                <w:szCs w:val="22"/>
              </w:rPr>
            </w:pPr>
            <w:r>
              <w:rPr>
                <w:bCs/>
                <w:noProof/>
                <w:sz w:val="22"/>
                <w:szCs w:val="22"/>
              </w:rPr>
              <w:t xml:space="preserve">Section 6.1.5 </w:t>
            </w:r>
            <w:r w:rsidR="00A50267">
              <w:rPr>
                <w:bCs/>
                <w:noProof/>
                <w:sz w:val="22"/>
                <w:szCs w:val="22"/>
              </w:rPr>
              <w:t xml:space="preserve">has been updated to </w:t>
            </w:r>
            <w:r>
              <w:rPr>
                <w:bCs/>
                <w:noProof/>
                <w:sz w:val="22"/>
                <w:szCs w:val="22"/>
              </w:rPr>
              <w:t>include a justification of how the increase of market share from 15% to 30% has been used and what has been the rationale for such an assumption.</w:t>
            </w:r>
          </w:p>
          <w:p w14:paraId="72E82AF8" w14:textId="77777777" w:rsidR="000D1A1A" w:rsidRDefault="000D1A1A" w:rsidP="00BE7E4F">
            <w:pPr>
              <w:spacing w:after="0"/>
              <w:rPr>
                <w:bCs/>
                <w:noProof/>
                <w:sz w:val="22"/>
                <w:szCs w:val="22"/>
              </w:rPr>
            </w:pPr>
          </w:p>
          <w:p w14:paraId="3DBEBEA6" w14:textId="4FC5531F" w:rsidR="00DF5168" w:rsidRPr="00777970" w:rsidRDefault="000D1A1A" w:rsidP="00BE7E4F">
            <w:pPr>
              <w:spacing w:after="0"/>
              <w:rPr>
                <w:noProof/>
                <w:sz w:val="22"/>
                <w:szCs w:val="22"/>
              </w:rPr>
            </w:pPr>
            <w:r>
              <w:rPr>
                <w:bCs/>
                <w:noProof/>
                <w:sz w:val="22"/>
                <w:szCs w:val="22"/>
              </w:rPr>
              <w:t xml:space="preserve">A new section has been included </w:t>
            </w:r>
            <w:r w:rsidR="00B630BA">
              <w:rPr>
                <w:bCs/>
                <w:noProof/>
                <w:sz w:val="22"/>
                <w:szCs w:val="22"/>
              </w:rPr>
              <w:t xml:space="preserve">in Annex 4 (section 8.3) aiming to </w:t>
            </w:r>
            <w:r w:rsidR="00D86430">
              <w:rPr>
                <w:bCs/>
                <w:noProof/>
                <w:sz w:val="22"/>
                <w:szCs w:val="22"/>
              </w:rPr>
              <w:t xml:space="preserve">better </w:t>
            </w:r>
            <w:r w:rsidR="00B630BA">
              <w:rPr>
                <w:bCs/>
                <w:noProof/>
                <w:sz w:val="22"/>
                <w:szCs w:val="22"/>
              </w:rPr>
              <w:t xml:space="preserve">explain the </w:t>
            </w:r>
            <w:r w:rsidR="00D86430">
              <w:rPr>
                <w:bCs/>
                <w:noProof/>
                <w:sz w:val="22"/>
                <w:szCs w:val="22"/>
              </w:rPr>
              <w:t>feasibility of the</w:t>
            </w:r>
            <w:r w:rsidR="00B630BA">
              <w:rPr>
                <w:bCs/>
                <w:noProof/>
                <w:sz w:val="22"/>
                <w:szCs w:val="22"/>
              </w:rPr>
              <w:t xml:space="preserve"> move towards a market share of 30%</w:t>
            </w:r>
            <w:r w:rsidR="00CB5062">
              <w:rPr>
                <w:bCs/>
                <w:noProof/>
                <w:sz w:val="22"/>
                <w:szCs w:val="22"/>
              </w:rPr>
              <w:t xml:space="preserve"> by EU providers per customer segment.</w:t>
            </w:r>
          </w:p>
        </w:tc>
        <w:tc>
          <w:tcPr>
            <w:tcW w:w="847" w:type="pct"/>
          </w:tcPr>
          <w:p w14:paraId="57310243" w14:textId="77777777" w:rsidR="004C4CDF" w:rsidRPr="00777970" w:rsidRDefault="008A7360" w:rsidP="00BE7E4F">
            <w:pPr>
              <w:spacing w:after="0"/>
              <w:rPr>
                <w:noProof/>
                <w:sz w:val="22"/>
                <w:szCs w:val="22"/>
              </w:rPr>
            </w:pPr>
            <w:r w:rsidRPr="00777970">
              <w:rPr>
                <w:noProof/>
                <w:sz w:val="22"/>
                <w:szCs w:val="22"/>
              </w:rPr>
              <w:t xml:space="preserve">Main report: </w:t>
            </w:r>
          </w:p>
          <w:p w14:paraId="0E30A9A5" w14:textId="77777777" w:rsidR="00505C8D" w:rsidRDefault="00505C8D" w:rsidP="00BE7E4F">
            <w:pPr>
              <w:spacing w:after="0"/>
              <w:rPr>
                <w:bCs/>
                <w:noProof/>
                <w:sz w:val="22"/>
                <w:szCs w:val="22"/>
              </w:rPr>
            </w:pPr>
            <w:r>
              <w:rPr>
                <w:bCs/>
                <w:noProof/>
                <w:sz w:val="22"/>
                <w:szCs w:val="22"/>
              </w:rPr>
              <w:t>Section 4,</w:t>
            </w:r>
          </w:p>
          <w:p w14:paraId="7BE8E898" w14:textId="77777777" w:rsidR="004C4CDF" w:rsidRPr="00777970" w:rsidRDefault="004C4CDF" w:rsidP="00BE7E4F">
            <w:pPr>
              <w:spacing w:after="0"/>
              <w:rPr>
                <w:noProof/>
                <w:sz w:val="22"/>
                <w:szCs w:val="22"/>
              </w:rPr>
            </w:pPr>
            <w:r w:rsidRPr="00777970">
              <w:rPr>
                <w:noProof/>
                <w:sz w:val="22"/>
                <w:szCs w:val="22"/>
              </w:rPr>
              <w:t>Section 5.2,</w:t>
            </w:r>
          </w:p>
          <w:p w14:paraId="312FFE44" w14:textId="77777777" w:rsidR="00C102E9" w:rsidRPr="00777970" w:rsidRDefault="008A7360" w:rsidP="00BE7E4F">
            <w:pPr>
              <w:spacing w:after="0"/>
              <w:rPr>
                <w:noProof/>
                <w:sz w:val="22"/>
                <w:szCs w:val="22"/>
              </w:rPr>
            </w:pPr>
            <w:r w:rsidRPr="00777970">
              <w:rPr>
                <w:noProof/>
                <w:sz w:val="22"/>
                <w:szCs w:val="22"/>
              </w:rPr>
              <w:t>section 6.14</w:t>
            </w:r>
          </w:p>
          <w:p w14:paraId="193A31AD" w14:textId="77777777" w:rsidR="004C4CDF" w:rsidRPr="00777970" w:rsidRDefault="004C4CDF" w:rsidP="00BE7E4F">
            <w:pPr>
              <w:spacing w:after="0"/>
              <w:rPr>
                <w:noProof/>
                <w:sz w:val="22"/>
                <w:szCs w:val="22"/>
              </w:rPr>
            </w:pPr>
          </w:p>
          <w:p w14:paraId="6BE96681" w14:textId="68906B73" w:rsidR="008A7360" w:rsidRPr="00D37004" w:rsidRDefault="008A7360" w:rsidP="00BE7E4F">
            <w:pPr>
              <w:spacing w:after="0"/>
              <w:rPr>
                <w:b/>
                <w:noProof/>
                <w:sz w:val="22"/>
                <w:szCs w:val="22"/>
              </w:rPr>
            </w:pPr>
            <w:r w:rsidRPr="00777970">
              <w:rPr>
                <w:noProof/>
                <w:sz w:val="22"/>
                <w:szCs w:val="22"/>
              </w:rPr>
              <w:t>Annex 4 section 7.2</w:t>
            </w:r>
            <w:r w:rsidR="00A401C1">
              <w:rPr>
                <w:noProof/>
                <w:sz w:val="22"/>
                <w:szCs w:val="22"/>
              </w:rPr>
              <w:t>,</w:t>
            </w:r>
            <w:r w:rsidR="0085487B" w:rsidRPr="00777970">
              <w:rPr>
                <w:noProof/>
                <w:sz w:val="22"/>
                <w:szCs w:val="22"/>
              </w:rPr>
              <w:t xml:space="preserve"> </w:t>
            </w:r>
            <w:r w:rsidR="0035368D" w:rsidRPr="00777970">
              <w:rPr>
                <w:noProof/>
                <w:sz w:val="22"/>
                <w:szCs w:val="22"/>
              </w:rPr>
              <w:t>section</w:t>
            </w:r>
            <w:r w:rsidR="0035368D">
              <w:rPr>
                <w:b/>
                <w:noProof/>
                <w:sz w:val="22"/>
                <w:szCs w:val="22"/>
              </w:rPr>
              <w:t xml:space="preserve"> </w:t>
            </w:r>
            <w:r w:rsidR="0085487B" w:rsidRPr="00CB5062">
              <w:rPr>
                <w:bCs/>
                <w:noProof/>
                <w:sz w:val="22"/>
                <w:szCs w:val="22"/>
              </w:rPr>
              <w:t>3</w:t>
            </w:r>
            <w:r w:rsidR="0035368D" w:rsidRPr="00777970">
              <w:rPr>
                <w:noProof/>
                <w:sz w:val="22"/>
                <w:szCs w:val="22"/>
              </w:rPr>
              <w:t xml:space="preserve"> and</w:t>
            </w:r>
            <w:r w:rsidR="0085487B" w:rsidRPr="00777970">
              <w:rPr>
                <w:noProof/>
                <w:sz w:val="22"/>
                <w:szCs w:val="22"/>
              </w:rPr>
              <w:t xml:space="preserve"> </w:t>
            </w:r>
            <w:r w:rsidR="0035368D" w:rsidRPr="00777970">
              <w:rPr>
                <w:noProof/>
                <w:sz w:val="22"/>
                <w:szCs w:val="22"/>
              </w:rPr>
              <w:t>section</w:t>
            </w:r>
            <w:r w:rsidR="0035368D">
              <w:rPr>
                <w:noProof/>
                <w:sz w:val="22"/>
                <w:szCs w:val="22"/>
              </w:rPr>
              <w:t xml:space="preserve"> </w:t>
            </w:r>
            <w:r w:rsidR="00A401C1">
              <w:rPr>
                <w:bCs/>
                <w:noProof/>
                <w:sz w:val="22"/>
                <w:szCs w:val="22"/>
              </w:rPr>
              <w:t>8.</w:t>
            </w:r>
            <w:r w:rsidR="0085487B" w:rsidRPr="00CB5062">
              <w:rPr>
                <w:noProof/>
                <w:sz w:val="22"/>
                <w:szCs w:val="22"/>
              </w:rPr>
              <w:t>3</w:t>
            </w:r>
          </w:p>
        </w:tc>
      </w:tr>
      <w:tr w:rsidR="00F3141A" w:rsidRPr="00D37004" w14:paraId="74F1B0EC" w14:textId="26A4A37A" w:rsidTr="00E40BBA">
        <w:trPr>
          <w:trHeight w:val="300"/>
        </w:trPr>
        <w:tc>
          <w:tcPr>
            <w:tcW w:w="1760" w:type="pct"/>
          </w:tcPr>
          <w:p w14:paraId="3F454E46" w14:textId="0C6DF6E3" w:rsidR="00F3141A" w:rsidRPr="00777970" w:rsidRDefault="00E66D92" w:rsidP="00E66D92">
            <w:pPr>
              <w:spacing w:after="0"/>
              <w:rPr>
                <w:noProof/>
                <w:sz w:val="22"/>
                <w:szCs w:val="22"/>
              </w:rPr>
            </w:pPr>
            <w:r w:rsidRPr="00777970">
              <w:rPr>
                <w:noProof/>
                <w:sz w:val="22"/>
                <w:szCs w:val="22"/>
              </w:rPr>
              <w:t>3) The report should assess the potential impacts related to the criteria for “sovereign solutions”. It should analyse in sufficient detail the levels of sovereignty to be reached and be transparent about technical prerequisites needed. The report should assess all the adjustment costs and quantify them to the extent possible and be clear on who will bear these costs. The report should provide a more comprehensive analysis of unintended consequences, including on cyber security, in particular related to sovereignty and open</w:t>
            </w:r>
            <w:r>
              <w:rPr>
                <w:bCs/>
                <w:noProof/>
                <w:sz w:val="22"/>
                <w:szCs w:val="22"/>
              </w:rPr>
              <w:t>-</w:t>
            </w:r>
            <w:r w:rsidRPr="00777970">
              <w:rPr>
                <w:noProof/>
                <w:sz w:val="22"/>
                <w:szCs w:val="22"/>
              </w:rPr>
              <w:t>source requirements.</w:t>
            </w:r>
          </w:p>
        </w:tc>
        <w:tc>
          <w:tcPr>
            <w:tcW w:w="2393" w:type="pct"/>
          </w:tcPr>
          <w:p w14:paraId="60129CCF" w14:textId="77777777" w:rsidR="00F3141A" w:rsidRDefault="00F46708" w:rsidP="00BE7E4F">
            <w:pPr>
              <w:spacing w:after="0"/>
              <w:rPr>
                <w:bCs/>
                <w:noProof/>
                <w:sz w:val="22"/>
                <w:szCs w:val="22"/>
              </w:rPr>
            </w:pPr>
            <w:r>
              <w:rPr>
                <w:bCs/>
                <w:noProof/>
                <w:sz w:val="22"/>
                <w:szCs w:val="22"/>
              </w:rPr>
              <w:t>The report</w:t>
            </w:r>
            <w:r w:rsidR="00A50267">
              <w:rPr>
                <w:bCs/>
                <w:noProof/>
                <w:sz w:val="22"/>
                <w:szCs w:val="22"/>
              </w:rPr>
              <w:t xml:space="preserve"> has been</w:t>
            </w:r>
            <w:r w:rsidR="001069E8">
              <w:rPr>
                <w:bCs/>
                <w:noProof/>
                <w:sz w:val="22"/>
                <w:szCs w:val="22"/>
              </w:rPr>
              <w:t xml:space="preserve"> </w:t>
            </w:r>
            <w:r w:rsidR="006600E3">
              <w:rPr>
                <w:bCs/>
                <w:noProof/>
                <w:sz w:val="22"/>
                <w:szCs w:val="22"/>
              </w:rPr>
              <w:t>modified in</w:t>
            </w:r>
            <w:r>
              <w:rPr>
                <w:bCs/>
                <w:noProof/>
                <w:sz w:val="22"/>
                <w:szCs w:val="22"/>
              </w:rPr>
              <w:t xml:space="preserve"> section 5.2 </w:t>
            </w:r>
            <w:r w:rsidR="007F567E">
              <w:rPr>
                <w:bCs/>
                <w:noProof/>
                <w:sz w:val="22"/>
                <w:szCs w:val="22"/>
              </w:rPr>
              <w:t>and annex 4</w:t>
            </w:r>
            <w:r w:rsidR="008D57E7">
              <w:rPr>
                <w:bCs/>
                <w:noProof/>
                <w:sz w:val="22"/>
                <w:szCs w:val="22"/>
              </w:rPr>
              <w:t>, where a</w:t>
            </w:r>
            <w:r w:rsidR="007F567E">
              <w:rPr>
                <w:bCs/>
                <w:noProof/>
                <w:sz w:val="22"/>
                <w:szCs w:val="22"/>
              </w:rPr>
              <w:t xml:space="preserve"> </w:t>
            </w:r>
            <w:r>
              <w:rPr>
                <w:bCs/>
                <w:noProof/>
                <w:sz w:val="22"/>
                <w:szCs w:val="22"/>
              </w:rPr>
              <w:t>clearer definition of the soverei</w:t>
            </w:r>
            <w:r w:rsidR="00CF3E79">
              <w:rPr>
                <w:bCs/>
                <w:noProof/>
                <w:sz w:val="22"/>
                <w:szCs w:val="22"/>
              </w:rPr>
              <w:t>gnty criteri</w:t>
            </w:r>
            <w:r w:rsidR="007F567E">
              <w:rPr>
                <w:bCs/>
                <w:noProof/>
                <w:sz w:val="22"/>
                <w:szCs w:val="22"/>
              </w:rPr>
              <w:t>a</w:t>
            </w:r>
            <w:r w:rsidR="008D57E7">
              <w:rPr>
                <w:bCs/>
                <w:noProof/>
                <w:sz w:val="22"/>
                <w:szCs w:val="22"/>
              </w:rPr>
              <w:t xml:space="preserve"> is provided</w:t>
            </w:r>
            <w:r w:rsidR="007F567E">
              <w:rPr>
                <w:bCs/>
                <w:noProof/>
                <w:sz w:val="22"/>
                <w:szCs w:val="22"/>
              </w:rPr>
              <w:t xml:space="preserve">. </w:t>
            </w:r>
          </w:p>
          <w:p w14:paraId="45169527" w14:textId="77777777" w:rsidR="006B1499" w:rsidRDefault="006B1499" w:rsidP="00BE7E4F">
            <w:pPr>
              <w:spacing w:after="0"/>
              <w:rPr>
                <w:bCs/>
                <w:noProof/>
                <w:sz w:val="22"/>
                <w:szCs w:val="22"/>
              </w:rPr>
            </w:pPr>
          </w:p>
          <w:p w14:paraId="0E64DED9" w14:textId="77777777" w:rsidR="007F567E" w:rsidRDefault="007F567E" w:rsidP="00BE7E4F">
            <w:pPr>
              <w:spacing w:after="0"/>
              <w:rPr>
                <w:bCs/>
                <w:noProof/>
                <w:sz w:val="22"/>
                <w:szCs w:val="22"/>
              </w:rPr>
            </w:pPr>
            <w:r>
              <w:rPr>
                <w:bCs/>
                <w:noProof/>
                <w:sz w:val="22"/>
                <w:szCs w:val="22"/>
              </w:rPr>
              <w:t>Annex 4 and section 6.1</w:t>
            </w:r>
            <w:r w:rsidR="008D57E7">
              <w:rPr>
                <w:bCs/>
                <w:noProof/>
                <w:sz w:val="22"/>
                <w:szCs w:val="22"/>
              </w:rPr>
              <w:t xml:space="preserve"> have been amended to</w:t>
            </w:r>
            <w:r>
              <w:rPr>
                <w:bCs/>
                <w:noProof/>
                <w:sz w:val="22"/>
                <w:szCs w:val="22"/>
              </w:rPr>
              <w:t xml:space="preserve"> </w:t>
            </w:r>
            <w:r w:rsidR="0034573A">
              <w:rPr>
                <w:bCs/>
                <w:noProof/>
                <w:sz w:val="22"/>
                <w:szCs w:val="22"/>
              </w:rPr>
              <w:t>clarify</w:t>
            </w:r>
            <w:r w:rsidR="00D070E0">
              <w:rPr>
                <w:bCs/>
                <w:noProof/>
                <w:sz w:val="22"/>
                <w:szCs w:val="22"/>
              </w:rPr>
              <w:t xml:space="preserve"> </w:t>
            </w:r>
            <w:r w:rsidR="00597DC6">
              <w:rPr>
                <w:bCs/>
                <w:noProof/>
                <w:sz w:val="22"/>
                <w:szCs w:val="22"/>
              </w:rPr>
              <w:t>which</w:t>
            </w:r>
            <w:r w:rsidR="00D070E0">
              <w:rPr>
                <w:bCs/>
                <w:noProof/>
                <w:sz w:val="22"/>
                <w:szCs w:val="22"/>
              </w:rPr>
              <w:t xml:space="preserve"> adjustment </w:t>
            </w:r>
            <w:r w:rsidR="00597DC6">
              <w:rPr>
                <w:bCs/>
                <w:noProof/>
                <w:sz w:val="22"/>
                <w:szCs w:val="22"/>
              </w:rPr>
              <w:t>cots have been</w:t>
            </w:r>
            <w:r w:rsidR="00D070E0">
              <w:rPr>
                <w:bCs/>
                <w:noProof/>
                <w:sz w:val="22"/>
                <w:szCs w:val="22"/>
              </w:rPr>
              <w:t xml:space="preserve"> considered </w:t>
            </w:r>
            <w:r w:rsidR="00480C9F">
              <w:rPr>
                <w:bCs/>
                <w:noProof/>
                <w:sz w:val="22"/>
                <w:szCs w:val="22"/>
              </w:rPr>
              <w:t xml:space="preserve">for the </w:t>
            </w:r>
            <w:r w:rsidR="007776BE">
              <w:rPr>
                <w:bCs/>
                <w:noProof/>
                <w:sz w:val="22"/>
                <w:szCs w:val="22"/>
              </w:rPr>
              <w:t>sovereignty</w:t>
            </w:r>
            <w:r w:rsidR="00480C9F">
              <w:rPr>
                <w:bCs/>
                <w:noProof/>
                <w:sz w:val="22"/>
                <w:szCs w:val="22"/>
              </w:rPr>
              <w:t xml:space="preserve"> aspects</w:t>
            </w:r>
            <w:r w:rsidR="0034573A">
              <w:rPr>
                <w:bCs/>
                <w:noProof/>
                <w:sz w:val="22"/>
                <w:szCs w:val="22"/>
              </w:rPr>
              <w:t>.</w:t>
            </w:r>
            <w:r w:rsidR="009A11AE">
              <w:rPr>
                <w:bCs/>
                <w:noProof/>
                <w:sz w:val="22"/>
                <w:szCs w:val="22"/>
              </w:rPr>
              <w:t xml:space="preserve"> </w:t>
            </w:r>
            <w:r w:rsidR="00480C9F">
              <w:rPr>
                <w:bCs/>
                <w:noProof/>
                <w:sz w:val="22"/>
                <w:szCs w:val="22"/>
              </w:rPr>
              <w:t>Additional explanations</w:t>
            </w:r>
            <w:r w:rsidR="007776BE">
              <w:rPr>
                <w:bCs/>
                <w:noProof/>
                <w:sz w:val="22"/>
                <w:szCs w:val="22"/>
              </w:rPr>
              <w:t xml:space="preserve"> and </w:t>
            </w:r>
            <w:r w:rsidR="00480C9F">
              <w:rPr>
                <w:bCs/>
                <w:noProof/>
                <w:sz w:val="22"/>
                <w:szCs w:val="22"/>
              </w:rPr>
              <w:t>justifications have been included to motivate the rationale of why certain adjustment costs have</w:t>
            </w:r>
            <w:r w:rsidR="00D070E0">
              <w:rPr>
                <w:bCs/>
                <w:noProof/>
                <w:sz w:val="22"/>
                <w:szCs w:val="22"/>
              </w:rPr>
              <w:t xml:space="preserve"> not </w:t>
            </w:r>
            <w:r w:rsidR="00480C9F">
              <w:rPr>
                <w:bCs/>
                <w:noProof/>
                <w:sz w:val="22"/>
                <w:szCs w:val="22"/>
              </w:rPr>
              <w:t xml:space="preserve">been </w:t>
            </w:r>
            <w:r w:rsidR="00D070E0">
              <w:rPr>
                <w:bCs/>
                <w:noProof/>
                <w:sz w:val="22"/>
                <w:szCs w:val="22"/>
              </w:rPr>
              <w:t>considered</w:t>
            </w:r>
            <w:r w:rsidR="0034573A">
              <w:rPr>
                <w:bCs/>
                <w:noProof/>
                <w:sz w:val="22"/>
                <w:szCs w:val="22"/>
              </w:rPr>
              <w:t>.</w:t>
            </w:r>
          </w:p>
          <w:p w14:paraId="4EC5F0F7" w14:textId="77777777" w:rsidR="00BC1B6E" w:rsidRDefault="00BC1B6E" w:rsidP="00BE7E4F">
            <w:pPr>
              <w:spacing w:after="0"/>
              <w:rPr>
                <w:bCs/>
                <w:noProof/>
                <w:sz w:val="22"/>
                <w:szCs w:val="22"/>
              </w:rPr>
            </w:pPr>
          </w:p>
          <w:p w14:paraId="1ABA0E2C" w14:textId="77777777" w:rsidR="00840D0D" w:rsidRDefault="00840D0D" w:rsidP="00BE7E4F">
            <w:pPr>
              <w:spacing w:after="0"/>
              <w:rPr>
                <w:bCs/>
                <w:noProof/>
                <w:sz w:val="22"/>
                <w:szCs w:val="22"/>
              </w:rPr>
            </w:pPr>
            <w:r>
              <w:rPr>
                <w:bCs/>
                <w:noProof/>
                <w:sz w:val="22"/>
                <w:szCs w:val="22"/>
              </w:rPr>
              <w:t>The sovereignty criteria that have been discussed in the report will result in a unique level of sovereignty. However,</w:t>
            </w:r>
            <w:r w:rsidR="00C50BB4">
              <w:rPr>
                <w:bCs/>
                <w:noProof/>
                <w:sz w:val="22"/>
                <w:szCs w:val="22"/>
              </w:rPr>
              <w:t xml:space="preserve"> the report h</w:t>
            </w:r>
            <w:r w:rsidR="000D6D98">
              <w:rPr>
                <w:bCs/>
                <w:noProof/>
                <w:sz w:val="22"/>
                <w:szCs w:val="22"/>
              </w:rPr>
              <w:t>a</w:t>
            </w:r>
            <w:r w:rsidR="00C50BB4">
              <w:rPr>
                <w:bCs/>
                <w:noProof/>
                <w:sz w:val="22"/>
                <w:szCs w:val="22"/>
              </w:rPr>
              <w:t xml:space="preserve">s been edited to </w:t>
            </w:r>
            <w:r w:rsidR="000D6D98">
              <w:rPr>
                <w:bCs/>
                <w:noProof/>
                <w:sz w:val="22"/>
                <w:szCs w:val="22"/>
              </w:rPr>
              <w:t>include the notion of “sovereignty-readiness” in section 5.2 and annex 4, to clarify that not all cloud and AI computing service providers will start from the same situation and</w:t>
            </w:r>
            <w:r w:rsidR="005A588E">
              <w:rPr>
                <w:bCs/>
                <w:noProof/>
                <w:sz w:val="22"/>
                <w:szCs w:val="22"/>
              </w:rPr>
              <w:t xml:space="preserve"> what this may entail.</w:t>
            </w:r>
          </w:p>
          <w:p w14:paraId="6EBE6AAC" w14:textId="77777777" w:rsidR="00840D0D" w:rsidRDefault="00840D0D" w:rsidP="00BE7E4F">
            <w:pPr>
              <w:spacing w:after="0"/>
              <w:rPr>
                <w:bCs/>
                <w:noProof/>
                <w:sz w:val="22"/>
                <w:szCs w:val="22"/>
              </w:rPr>
            </w:pPr>
          </w:p>
          <w:p w14:paraId="60D8B702" w14:textId="1A0F4DA2" w:rsidR="00F3141A" w:rsidRPr="00777970" w:rsidRDefault="0034573A" w:rsidP="00BE7E4F">
            <w:pPr>
              <w:spacing w:after="0"/>
              <w:rPr>
                <w:noProof/>
                <w:sz w:val="22"/>
                <w:szCs w:val="22"/>
              </w:rPr>
            </w:pPr>
            <w:r>
              <w:rPr>
                <w:bCs/>
                <w:noProof/>
                <w:sz w:val="22"/>
                <w:szCs w:val="22"/>
              </w:rPr>
              <w:t xml:space="preserve">The unintended consequences of cybersecurity and open source </w:t>
            </w:r>
            <w:r w:rsidR="005A588E">
              <w:rPr>
                <w:bCs/>
                <w:noProof/>
                <w:sz w:val="22"/>
                <w:szCs w:val="22"/>
              </w:rPr>
              <w:t>have been</w:t>
            </w:r>
            <w:r>
              <w:rPr>
                <w:bCs/>
                <w:noProof/>
                <w:sz w:val="22"/>
                <w:szCs w:val="22"/>
              </w:rPr>
              <w:t xml:space="preserve"> described in PD3</w:t>
            </w:r>
            <w:r w:rsidR="009A11AE">
              <w:rPr>
                <w:bCs/>
                <w:noProof/>
                <w:sz w:val="22"/>
                <w:szCs w:val="22"/>
              </w:rPr>
              <w:t>, which has been adjusted accordin</w:t>
            </w:r>
            <w:r w:rsidR="005A5AFA">
              <w:rPr>
                <w:bCs/>
                <w:noProof/>
                <w:sz w:val="22"/>
                <w:szCs w:val="22"/>
              </w:rPr>
              <w:t>gly</w:t>
            </w:r>
            <w:r>
              <w:rPr>
                <w:bCs/>
                <w:noProof/>
                <w:sz w:val="22"/>
                <w:szCs w:val="22"/>
              </w:rPr>
              <w:t>.</w:t>
            </w:r>
          </w:p>
        </w:tc>
        <w:tc>
          <w:tcPr>
            <w:tcW w:w="847" w:type="pct"/>
          </w:tcPr>
          <w:p w14:paraId="0776FE10" w14:textId="77777777" w:rsidR="00C102E9" w:rsidRPr="00777970" w:rsidRDefault="0034573A" w:rsidP="00BE7E4F">
            <w:pPr>
              <w:spacing w:after="0"/>
              <w:rPr>
                <w:noProof/>
                <w:sz w:val="22"/>
                <w:szCs w:val="22"/>
              </w:rPr>
            </w:pPr>
            <w:r w:rsidRPr="00777970">
              <w:rPr>
                <w:noProof/>
                <w:sz w:val="22"/>
                <w:szCs w:val="22"/>
              </w:rPr>
              <w:t xml:space="preserve">Main report: section 5.2, section 6.1, </w:t>
            </w:r>
            <w:r w:rsidR="008C17C6" w:rsidRPr="00777970">
              <w:rPr>
                <w:noProof/>
                <w:sz w:val="22"/>
                <w:szCs w:val="22"/>
              </w:rPr>
              <w:t>section 2</w:t>
            </w:r>
            <w:r w:rsidR="00810DA8" w:rsidRPr="00777970">
              <w:rPr>
                <w:noProof/>
                <w:sz w:val="22"/>
                <w:szCs w:val="22"/>
              </w:rPr>
              <w:t>.2.3.</w:t>
            </w:r>
          </w:p>
          <w:p w14:paraId="7AFD52C6" w14:textId="77777777" w:rsidR="00810DA8" w:rsidRPr="00777970" w:rsidRDefault="00810DA8" w:rsidP="00BE7E4F">
            <w:pPr>
              <w:spacing w:after="0"/>
              <w:rPr>
                <w:noProof/>
                <w:sz w:val="22"/>
                <w:szCs w:val="22"/>
              </w:rPr>
            </w:pPr>
          </w:p>
          <w:p w14:paraId="2EC8621F" w14:textId="635D6126" w:rsidR="00C102E9" w:rsidRPr="00D37004" w:rsidRDefault="00810DA8" w:rsidP="00BE7E4F">
            <w:pPr>
              <w:spacing w:after="0"/>
              <w:rPr>
                <w:b/>
                <w:noProof/>
                <w:sz w:val="22"/>
                <w:szCs w:val="22"/>
              </w:rPr>
            </w:pPr>
            <w:r w:rsidRPr="00777970">
              <w:rPr>
                <w:noProof/>
                <w:sz w:val="22"/>
                <w:szCs w:val="22"/>
              </w:rPr>
              <w:t>Annex 4 section 3, description of PM11, PM15 and PM21</w:t>
            </w:r>
          </w:p>
        </w:tc>
      </w:tr>
      <w:tr w:rsidR="00F3141A" w:rsidRPr="00D37004" w14:paraId="21F90CF8" w14:textId="5B290674" w:rsidTr="00E40BBA">
        <w:trPr>
          <w:trHeight w:val="300"/>
        </w:trPr>
        <w:tc>
          <w:tcPr>
            <w:tcW w:w="1760" w:type="pct"/>
          </w:tcPr>
          <w:p w14:paraId="51ED0216" w14:textId="761C3DD6" w:rsidR="00F3141A" w:rsidRPr="00777970" w:rsidRDefault="00487A4B" w:rsidP="00BE7E4F">
            <w:pPr>
              <w:spacing w:after="0"/>
              <w:rPr>
                <w:noProof/>
                <w:sz w:val="22"/>
                <w:szCs w:val="22"/>
              </w:rPr>
            </w:pPr>
            <w:r w:rsidRPr="00777970">
              <w:rPr>
                <w:noProof/>
                <w:sz w:val="22"/>
                <w:szCs w:val="22"/>
              </w:rPr>
              <w:t>4) The analysis of benefits should be based on robust assumptions, in particular for PO2B and PO2C where stated benefits are very high. For example, all implications should be factored in the analysis, such as investments needed to maintain cyber security, and the scale needed to make them viable in economic terms. In terms of the environmental footprint, the report should explain the mechanisms leading small(er) EU cloud providers to significantly reduced Power Usage Effectiveness values and how European-funded R&amp;D initiatives are expected to deliver superior results when compared to the efforts of global hyperscalers.</w:t>
            </w:r>
          </w:p>
        </w:tc>
        <w:tc>
          <w:tcPr>
            <w:tcW w:w="2393" w:type="pct"/>
          </w:tcPr>
          <w:p w14:paraId="58221126" w14:textId="77777777" w:rsidR="00BA7843" w:rsidRDefault="00BA7843" w:rsidP="00BE7E4F">
            <w:pPr>
              <w:spacing w:after="0"/>
              <w:rPr>
                <w:noProof/>
                <w:sz w:val="22"/>
                <w:szCs w:val="22"/>
              </w:rPr>
            </w:pPr>
            <w:r>
              <w:rPr>
                <w:noProof/>
                <w:sz w:val="22"/>
                <w:szCs w:val="22"/>
              </w:rPr>
              <w:t xml:space="preserve">For PO2-B and PO2-C in annex 4 a clarification has been added both under PM15 (applicable to PO2-B) </w:t>
            </w:r>
            <w:r w:rsidR="00A541D3">
              <w:rPr>
                <w:noProof/>
                <w:sz w:val="22"/>
                <w:szCs w:val="22"/>
              </w:rPr>
              <w:t xml:space="preserve">and </w:t>
            </w:r>
            <w:r>
              <w:rPr>
                <w:noProof/>
                <w:sz w:val="22"/>
                <w:szCs w:val="22"/>
              </w:rPr>
              <w:t xml:space="preserve">PM21 (applicable to PO2-C) on the costs that have been included, the ones that have been excluded and the rationale behind them. </w:t>
            </w:r>
          </w:p>
          <w:p w14:paraId="2DF8BBB8" w14:textId="77777777" w:rsidR="00B75EA8" w:rsidRDefault="00B75EA8" w:rsidP="00BE7E4F">
            <w:pPr>
              <w:spacing w:after="0"/>
              <w:rPr>
                <w:noProof/>
                <w:sz w:val="22"/>
                <w:szCs w:val="22"/>
              </w:rPr>
            </w:pPr>
          </w:p>
          <w:p w14:paraId="0C75E5AE" w14:textId="3A463E50" w:rsidR="00F93F4D" w:rsidRPr="00777970" w:rsidRDefault="002E37D9" w:rsidP="00BE7E4F">
            <w:pPr>
              <w:spacing w:after="0"/>
              <w:rPr>
                <w:noProof/>
                <w:sz w:val="22"/>
                <w:szCs w:val="22"/>
              </w:rPr>
            </w:pPr>
            <w:r w:rsidRPr="5F7FD04C">
              <w:rPr>
                <w:noProof/>
                <w:sz w:val="22"/>
                <w:szCs w:val="22"/>
              </w:rPr>
              <w:t xml:space="preserve">The report has </w:t>
            </w:r>
            <w:r w:rsidR="00BA7843" w:rsidRPr="5F7FD04C">
              <w:rPr>
                <w:noProof/>
                <w:sz w:val="22"/>
                <w:szCs w:val="22"/>
              </w:rPr>
              <w:t xml:space="preserve">also </w:t>
            </w:r>
            <w:r w:rsidRPr="5F7FD04C">
              <w:rPr>
                <w:noProof/>
                <w:sz w:val="22"/>
                <w:szCs w:val="22"/>
              </w:rPr>
              <w:t>been updated to include additional considerations on the environmental impact of data centre capacity, with clearer explanations of how</w:t>
            </w:r>
            <w:r w:rsidR="00E96B40" w:rsidRPr="5F7FD04C">
              <w:rPr>
                <w:noProof/>
                <w:sz w:val="22"/>
                <w:szCs w:val="22"/>
              </w:rPr>
              <w:t xml:space="preserve"> EU-funded R&amp;D initiatives and other Policy Measures are expected to </w:t>
            </w:r>
            <w:r w:rsidR="004537EA" w:rsidRPr="5F7FD04C">
              <w:rPr>
                <w:noProof/>
                <w:sz w:val="22"/>
                <w:szCs w:val="22"/>
              </w:rPr>
              <w:t xml:space="preserve">accelerate the adoption of energy-efficient technologies within data centres and thus leading to a </w:t>
            </w:r>
            <w:r w:rsidR="00B77902" w:rsidRPr="5F7FD04C">
              <w:rPr>
                <w:noProof/>
                <w:sz w:val="22"/>
                <w:szCs w:val="22"/>
              </w:rPr>
              <w:t xml:space="preserve">long-term </w:t>
            </w:r>
            <w:r w:rsidR="004537EA" w:rsidRPr="5F7FD04C">
              <w:rPr>
                <w:noProof/>
                <w:sz w:val="22"/>
                <w:szCs w:val="22"/>
              </w:rPr>
              <w:t>reduction in PUE levels</w:t>
            </w:r>
            <w:r w:rsidR="00B77902" w:rsidRPr="5F7FD04C">
              <w:rPr>
                <w:noProof/>
                <w:sz w:val="22"/>
                <w:szCs w:val="22"/>
              </w:rPr>
              <w:t>, compared to the other options and baseline</w:t>
            </w:r>
            <w:r w:rsidR="004537EA" w:rsidRPr="5F7FD04C">
              <w:rPr>
                <w:noProof/>
                <w:sz w:val="22"/>
                <w:szCs w:val="22"/>
              </w:rPr>
              <w:t>.</w:t>
            </w:r>
            <w:r w:rsidR="00BB0008" w:rsidRPr="5F7FD04C">
              <w:rPr>
                <w:noProof/>
                <w:sz w:val="22"/>
                <w:szCs w:val="22"/>
              </w:rPr>
              <w:t xml:space="preserve"> The timing dimension of this reduction was also </w:t>
            </w:r>
            <w:r w:rsidR="00B77902" w:rsidRPr="5F7FD04C">
              <w:rPr>
                <w:noProof/>
                <w:sz w:val="22"/>
                <w:szCs w:val="22"/>
              </w:rPr>
              <w:t xml:space="preserve">further </w:t>
            </w:r>
            <w:r w:rsidR="00BB0008" w:rsidRPr="5F7FD04C">
              <w:rPr>
                <w:noProof/>
                <w:sz w:val="22"/>
                <w:szCs w:val="22"/>
              </w:rPr>
              <w:t>considered</w:t>
            </w:r>
            <w:r w:rsidR="004537EA" w:rsidRPr="5F7FD04C">
              <w:rPr>
                <w:noProof/>
                <w:sz w:val="22"/>
                <w:szCs w:val="22"/>
              </w:rPr>
              <w:t xml:space="preserve"> </w:t>
            </w:r>
            <w:r w:rsidR="003573FB" w:rsidRPr="5F7FD04C">
              <w:rPr>
                <w:noProof/>
                <w:sz w:val="22"/>
                <w:szCs w:val="22"/>
              </w:rPr>
              <w:t>as</w:t>
            </w:r>
            <w:r w:rsidR="004537EA" w:rsidRPr="5F7FD04C">
              <w:rPr>
                <w:noProof/>
                <w:sz w:val="22"/>
                <w:szCs w:val="22"/>
              </w:rPr>
              <w:t xml:space="preserve"> </w:t>
            </w:r>
            <w:r w:rsidR="00D35E86" w:rsidRPr="5F7FD04C">
              <w:rPr>
                <w:noProof/>
                <w:sz w:val="22"/>
                <w:szCs w:val="22"/>
              </w:rPr>
              <w:t xml:space="preserve">programmes require time to </w:t>
            </w:r>
            <w:r w:rsidR="00E66D9A" w:rsidRPr="5F7FD04C">
              <w:rPr>
                <w:noProof/>
                <w:sz w:val="22"/>
                <w:szCs w:val="22"/>
              </w:rPr>
              <w:t>develop and market new solutions</w:t>
            </w:r>
            <w:r w:rsidR="004537EA" w:rsidRPr="5F7FD04C">
              <w:rPr>
                <w:noProof/>
                <w:sz w:val="22"/>
                <w:szCs w:val="22"/>
              </w:rPr>
              <w:t xml:space="preserve"> </w:t>
            </w:r>
            <w:r w:rsidR="00B77902" w:rsidRPr="5F7FD04C">
              <w:rPr>
                <w:noProof/>
                <w:sz w:val="22"/>
                <w:szCs w:val="22"/>
              </w:rPr>
              <w:t>that would optimise energy-efficiency.</w:t>
            </w:r>
            <w:r w:rsidR="004537EA" w:rsidRPr="5F7FD04C">
              <w:rPr>
                <w:noProof/>
                <w:sz w:val="22"/>
                <w:szCs w:val="22"/>
              </w:rPr>
              <w:t xml:space="preserve"> </w:t>
            </w:r>
            <w:r w:rsidR="00EC6C2A" w:rsidRPr="5F7FD04C">
              <w:rPr>
                <w:noProof/>
                <w:sz w:val="22"/>
                <w:szCs w:val="22"/>
              </w:rPr>
              <w:t>The report does not suggest that EU-funded R&amp;D is expected to outperform or deliver superior results when compared to hyperscaler-led investments in innovation</w:t>
            </w:r>
            <w:r w:rsidR="009C620E" w:rsidRPr="5F7FD04C">
              <w:rPr>
                <w:noProof/>
                <w:sz w:val="22"/>
                <w:szCs w:val="22"/>
              </w:rPr>
              <w:t xml:space="preserve">. Rather, the discussion focuses on how public R&amp;D support and related policy instruments </w:t>
            </w:r>
            <w:r w:rsidR="00BA7843" w:rsidRPr="5F7FD04C">
              <w:rPr>
                <w:noProof/>
                <w:sz w:val="22"/>
                <w:szCs w:val="22"/>
              </w:rPr>
              <w:t>could</w:t>
            </w:r>
            <w:r w:rsidR="009C620E" w:rsidRPr="5F7FD04C">
              <w:rPr>
                <w:noProof/>
                <w:sz w:val="22"/>
                <w:szCs w:val="22"/>
              </w:rPr>
              <w:t xml:space="preserve"> help facilitate the diffusion and adoption of </w:t>
            </w:r>
            <w:r w:rsidR="00605ADA" w:rsidRPr="5F7FD04C">
              <w:rPr>
                <w:noProof/>
                <w:sz w:val="22"/>
                <w:szCs w:val="22"/>
              </w:rPr>
              <w:t>current and new technologies across the wider data centre ecosystem, and in particular among non-hyperscale operators</w:t>
            </w:r>
            <w:r w:rsidR="00173376" w:rsidRPr="5F7FD04C">
              <w:rPr>
                <w:noProof/>
                <w:sz w:val="22"/>
                <w:szCs w:val="22"/>
              </w:rPr>
              <w:t>, which have been found to exhibit higher average PUE levels than hyperscale facilities.</w:t>
            </w:r>
          </w:p>
        </w:tc>
        <w:tc>
          <w:tcPr>
            <w:tcW w:w="847" w:type="pct"/>
          </w:tcPr>
          <w:p w14:paraId="1064EC50" w14:textId="77777777" w:rsidR="00C102E9" w:rsidRDefault="00AA335C" w:rsidP="00BE7E4F">
            <w:pPr>
              <w:spacing w:after="0"/>
              <w:rPr>
                <w:bCs/>
                <w:noProof/>
                <w:sz w:val="22"/>
                <w:szCs w:val="22"/>
              </w:rPr>
            </w:pPr>
            <w:r w:rsidRPr="00777970">
              <w:rPr>
                <w:noProof/>
                <w:sz w:val="22"/>
                <w:szCs w:val="22"/>
              </w:rPr>
              <w:t>Main report: Section 6.3</w:t>
            </w:r>
          </w:p>
          <w:p w14:paraId="0ACA760F" w14:textId="77777777" w:rsidR="00492376" w:rsidRDefault="00492376" w:rsidP="00BE7E4F">
            <w:pPr>
              <w:spacing w:after="0"/>
              <w:rPr>
                <w:bCs/>
                <w:noProof/>
                <w:sz w:val="22"/>
                <w:szCs w:val="22"/>
              </w:rPr>
            </w:pPr>
          </w:p>
          <w:p w14:paraId="510E553C" w14:textId="141FCB62" w:rsidR="00492376" w:rsidRPr="00777970" w:rsidRDefault="00492376" w:rsidP="00BE7E4F">
            <w:pPr>
              <w:spacing w:after="0"/>
              <w:rPr>
                <w:noProof/>
                <w:sz w:val="22"/>
                <w:szCs w:val="22"/>
              </w:rPr>
            </w:pPr>
            <w:r>
              <w:rPr>
                <w:bCs/>
                <w:noProof/>
                <w:sz w:val="22"/>
                <w:szCs w:val="22"/>
              </w:rPr>
              <w:t>Annex 4</w:t>
            </w:r>
          </w:p>
        </w:tc>
      </w:tr>
      <w:tr w:rsidR="00F3141A" w:rsidRPr="00D37004" w14:paraId="2F53E926" w14:textId="247B163D" w:rsidTr="00E40BBA">
        <w:trPr>
          <w:trHeight w:val="300"/>
        </w:trPr>
        <w:tc>
          <w:tcPr>
            <w:tcW w:w="1760" w:type="pct"/>
          </w:tcPr>
          <w:p w14:paraId="2A180352" w14:textId="077F253B" w:rsidR="00F3141A" w:rsidRPr="00777970" w:rsidRDefault="00487A4B" w:rsidP="00BE7E4F">
            <w:pPr>
              <w:spacing w:after="0"/>
              <w:rPr>
                <w:noProof/>
                <w:sz w:val="22"/>
                <w:szCs w:val="22"/>
              </w:rPr>
            </w:pPr>
            <w:r w:rsidRPr="00777970">
              <w:rPr>
                <w:noProof/>
                <w:sz w:val="22"/>
                <w:szCs w:val="22"/>
              </w:rPr>
              <w:t>5) The report should allow for verifiability of the economic modelling. It should quantify and monetise only benefits which can be clearly linked to the policy measures and whose quantification can be substantiated by evidence. Currently the benefit cost ratios presented in the report are not plausible. After revision of the analysis of costs and benefits, the sensitivity analysis should be reviewed in order to allow to assess uncertainty related to the most impactful variables behind the projections.</w:t>
            </w:r>
          </w:p>
        </w:tc>
        <w:tc>
          <w:tcPr>
            <w:tcW w:w="2393" w:type="pct"/>
          </w:tcPr>
          <w:p w14:paraId="33D14CF1" w14:textId="77777777" w:rsidR="00807B33" w:rsidRDefault="00F14332" w:rsidP="00BE7E4F">
            <w:pPr>
              <w:spacing w:after="0"/>
              <w:rPr>
                <w:bCs/>
                <w:noProof/>
                <w:sz w:val="22"/>
                <w:szCs w:val="22"/>
              </w:rPr>
            </w:pPr>
            <w:r w:rsidRPr="00777970">
              <w:rPr>
                <w:noProof/>
                <w:sz w:val="22"/>
                <w:szCs w:val="22"/>
              </w:rPr>
              <w:t>The cost benefit analysis has been revised</w:t>
            </w:r>
            <w:r w:rsidR="004326C6">
              <w:rPr>
                <w:bCs/>
                <w:noProof/>
                <w:sz w:val="22"/>
                <w:szCs w:val="22"/>
              </w:rPr>
              <w:t xml:space="preserve">. The benefits </w:t>
            </w:r>
            <w:r w:rsidR="00173AC9">
              <w:rPr>
                <w:bCs/>
                <w:noProof/>
                <w:sz w:val="22"/>
                <w:szCs w:val="22"/>
              </w:rPr>
              <w:t>modelled in annex 4 include only those that can be quantified and monetised</w:t>
            </w:r>
            <w:r w:rsidR="005D4E9E">
              <w:rPr>
                <w:bCs/>
                <w:noProof/>
                <w:sz w:val="22"/>
                <w:szCs w:val="22"/>
              </w:rPr>
              <w:t xml:space="preserve">; </w:t>
            </w:r>
            <w:r w:rsidR="005D4E9E" w:rsidRPr="00B75EA8">
              <w:rPr>
                <w:noProof/>
                <w:sz w:val="22"/>
                <w:szCs w:val="22"/>
              </w:rPr>
              <w:t xml:space="preserve">however, </w:t>
            </w:r>
            <w:r w:rsidR="002E78D1" w:rsidRPr="00B75EA8">
              <w:rPr>
                <w:noProof/>
                <w:sz w:val="22"/>
                <w:szCs w:val="22"/>
              </w:rPr>
              <w:t xml:space="preserve">as an additional exercise, the indirect benefits, not quantified, </w:t>
            </w:r>
            <w:r w:rsidR="00DF2A1A" w:rsidRPr="00B75EA8">
              <w:rPr>
                <w:noProof/>
                <w:sz w:val="22"/>
                <w:szCs w:val="22"/>
              </w:rPr>
              <w:t>had already been</w:t>
            </w:r>
            <w:r w:rsidR="002E78D1" w:rsidRPr="00B75EA8">
              <w:rPr>
                <w:noProof/>
                <w:sz w:val="22"/>
                <w:szCs w:val="22"/>
              </w:rPr>
              <w:t xml:space="preserve"> included in </w:t>
            </w:r>
            <w:r w:rsidR="00DF2A1A" w:rsidRPr="00B75EA8">
              <w:rPr>
                <w:noProof/>
                <w:sz w:val="22"/>
                <w:szCs w:val="22"/>
              </w:rPr>
              <w:t xml:space="preserve">the previous version </w:t>
            </w:r>
            <w:r w:rsidR="00045614" w:rsidRPr="00B75EA8">
              <w:rPr>
                <w:noProof/>
                <w:sz w:val="22"/>
                <w:szCs w:val="22"/>
              </w:rPr>
              <w:t>of</w:t>
            </w:r>
            <w:r w:rsidR="002E78D1" w:rsidRPr="00B75EA8">
              <w:rPr>
                <w:noProof/>
                <w:sz w:val="22"/>
                <w:szCs w:val="22"/>
              </w:rPr>
              <w:t xml:space="preserve"> annex 4 under </w:t>
            </w:r>
            <w:r w:rsidR="00C83212" w:rsidRPr="00B75EA8">
              <w:rPr>
                <w:noProof/>
                <w:sz w:val="22"/>
                <w:szCs w:val="22"/>
              </w:rPr>
              <w:t>most</w:t>
            </w:r>
            <w:r w:rsidR="002E78D1" w:rsidRPr="00B75EA8">
              <w:rPr>
                <w:noProof/>
                <w:sz w:val="22"/>
                <w:szCs w:val="22"/>
              </w:rPr>
              <w:t xml:space="preserve"> policy measure</w:t>
            </w:r>
            <w:r w:rsidR="00C83212" w:rsidRPr="00B75EA8">
              <w:rPr>
                <w:noProof/>
                <w:sz w:val="22"/>
                <w:szCs w:val="22"/>
              </w:rPr>
              <w:t>s</w:t>
            </w:r>
            <w:r w:rsidR="00807B33" w:rsidRPr="00B75EA8">
              <w:rPr>
                <w:noProof/>
                <w:sz w:val="22"/>
                <w:szCs w:val="22"/>
              </w:rPr>
              <w:t>.</w:t>
            </w:r>
            <w:r w:rsidR="002C0D13" w:rsidRPr="00777970">
              <w:rPr>
                <w:noProof/>
                <w:sz w:val="22"/>
                <w:szCs w:val="22"/>
              </w:rPr>
              <w:t xml:space="preserve"> </w:t>
            </w:r>
          </w:p>
          <w:p w14:paraId="7F819722" w14:textId="77777777" w:rsidR="00807B33" w:rsidRDefault="00807B33" w:rsidP="00BE7E4F">
            <w:pPr>
              <w:spacing w:after="0"/>
              <w:rPr>
                <w:bCs/>
                <w:noProof/>
                <w:sz w:val="22"/>
                <w:szCs w:val="22"/>
              </w:rPr>
            </w:pPr>
          </w:p>
          <w:p w14:paraId="298FEE89" w14:textId="77777777" w:rsidR="00F3141A" w:rsidRDefault="007C12C9" w:rsidP="00BE7E4F">
            <w:pPr>
              <w:spacing w:after="0"/>
              <w:rPr>
                <w:noProof/>
                <w:sz w:val="22"/>
                <w:szCs w:val="22"/>
              </w:rPr>
            </w:pPr>
            <w:r>
              <w:rPr>
                <w:bCs/>
                <w:noProof/>
                <w:sz w:val="22"/>
                <w:szCs w:val="22"/>
              </w:rPr>
              <w:t>M</w:t>
            </w:r>
            <w:r w:rsidR="002C0D13" w:rsidRPr="00777970">
              <w:rPr>
                <w:noProof/>
                <w:sz w:val="22"/>
                <w:szCs w:val="22"/>
              </w:rPr>
              <w:t xml:space="preserve">ost of the assumptions remain </w:t>
            </w:r>
            <w:r w:rsidR="006F099E" w:rsidRPr="00777970">
              <w:rPr>
                <w:noProof/>
                <w:sz w:val="22"/>
                <w:szCs w:val="22"/>
              </w:rPr>
              <w:t xml:space="preserve">in line with what had been previously presented. </w:t>
            </w:r>
            <w:r w:rsidR="000542C0" w:rsidRPr="00777970">
              <w:rPr>
                <w:noProof/>
                <w:sz w:val="22"/>
                <w:szCs w:val="22"/>
              </w:rPr>
              <w:t xml:space="preserve">These were validated in </w:t>
            </w:r>
            <w:r w:rsidR="00F2306D" w:rsidRPr="00777970">
              <w:rPr>
                <w:noProof/>
                <w:sz w:val="22"/>
                <w:szCs w:val="22"/>
              </w:rPr>
              <w:t>one-to-one interviews, CATI surveys and the final validation workshop of the study led by Technopolis. In the even</w:t>
            </w:r>
            <w:r w:rsidR="002C3942">
              <w:rPr>
                <w:bCs/>
                <w:noProof/>
                <w:sz w:val="22"/>
                <w:szCs w:val="22"/>
              </w:rPr>
              <w:t>t</w:t>
            </w:r>
            <w:r w:rsidR="00F2306D" w:rsidRPr="00777970">
              <w:rPr>
                <w:noProof/>
                <w:sz w:val="22"/>
                <w:szCs w:val="22"/>
              </w:rPr>
              <w:t xml:space="preserve"> o</w:t>
            </w:r>
            <w:r w:rsidR="002C3942">
              <w:rPr>
                <w:bCs/>
                <w:noProof/>
                <w:sz w:val="22"/>
                <w:szCs w:val="22"/>
              </w:rPr>
              <w:t>f</w:t>
            </w:r>
            <w:r w:rsidR="00F2306D" w:rsidRPr="00777970">
              <w:rPr>
                <w:noProof/>
                <w:sz w:val="22"/>
                <w:szCs w:val="22"/>
              </w:rPr>
              <w:t xml:space="preserve"> uncertainty</w:t>
            </w:r>
            <w:r w:rsidR="00807B33">
              <w:rPr>
                <w:bCs/>
                <w:noProof/>
                <w:sz w:val="22"/>
                <w:szCs w:val="22"/>
              </w:rPr>
              <w:t>,</w:t>
            </w:r>
            <w:r w:rsidR="00F2306D" w:rsidRPr="00777970">
              <w:rPr>
                <w:noProof/>
                <w:sz w:val="22"/>
                <w:szCs w:val="22"/>
              </w:rPr>
              <w:t xml:space="preserve"> </w:t>
            </w:r>
            <w:r w:rsidR="008D51BD" w:rsidRPr="00777970">
              <w:rPr>
                <w:noProof/>
                <w:sz w:val="22"/>
                <w:szCs w:val="22"/>
              </w:rPr>
              <w:t xml:space="preserve">assumptions were discussed in the final validation workshop. </w:t>
            </w:r>
            <w:r w:rsidR="001D28E9" w:rsidRPr="00777970">
              <w:rPr>
                <w:noProof/>
                <w:sz w:val="22"/>
                <w:szCs w:val="22"/>
              </w:rPr>
              <w:t>Except for a couple of them (</w:t>
            </w:r>
            <w:r w:rsidR="00BF0104" w:rsidRPr="000E3CAD">
              <w:rPr>
                <w:noProof/>
                <w:sz w:val="22"/>
                <w:szCs w:val="22"/>
              </w:rPr>
              <w:t>authorisation</w:t>
            </w:r>
            <w:r w:rsidR="001D28E9" w:rsidRPr="000E3CAD">
              <w:rPr>
                <w:noProof/>
                <w:sz w:val="22"/>
                <w:szCs w:val="22"/>
              </w:rPr>
              <w:t xml:space="preserve"> effort and PUE</w:t>
            </w:r>
            <w:r w:rsidR="001D28E9" w:rsidRPr="00777970">
              <w:rPr>
                <w:noProof/>
                <w:sz w:val="22"/>
                <w:szCs w:val="22"/>
              </w:rPr>
              <w:t xml:space="preserve">) all other assumptions were confirmed </w:t>
            </w:r>
            <w:r w:rsidR="00BF0104" w:rsidRPr="00777970">
              <w:rPr>
                <w:noProof/>
                <w:sz w:val="22"/>
                <w:szCs w:val="22"/>
              </w:rPr>
              <w:t xml:space="preserve">by attendees. </w:t>
            </w:r>
          </w:p>
          <w:p w14:paraId="11BEC8ED" w14:textId="77777777" w:rsidR="00C96C97" w:rsidRPr="005010AF" w:rsidRDefault="00C96C97" w:rsidP="00BE7E4F">
            <w:pPr>
              <w:spacing w:after="0"/>
              <w:rPr>
                <w:noProof/>
                <w:sz w:val="22"/>
                <w:szCs w:val="22"/>
              </w:rPr>
            </w:pPr>
          </w:p>
          <w:p w14:paraId="76442532" w14:textId="5F2EE6B1" w:rsidR="00BF0104" w:rsidRPr="00D37004" w:rsidRDefault="00BF0104" w:rsidP="00BE7E4F">
            <w:pPr>
              <w:spacing w:after="0"/>
              <w:rPr>
                <w:b/>
                <w:noProof/>
                <w:sz w:val="22"/>
                <w:szCs w:val="22"/>
              </w:rPr>
            </w:pPr>
            <w:r w:rsidRPr="00777970">
              <w:rPr>
                <w:noProof/>
                <w:sz w:val="22"/>
                <w:szCs w:val="22"/>
              </w:rPr>
              <w:t xml:space="preserve">The </w:t>
            </w:r>
            <w:r w:rsidR="00481B95" w:rsidRPr="00777970">
              <w:rPr>
                <w:noProof/>
                <w:sz w:val="22"/>
                <w:szCs w:val="22"/>
              </w:rPr>
              <w:t xml:space="preserve">explanations for the </w:t>
            </w:r>
            <w:r w:rsidRPr="00777970">
              <w:rPr>
                <w:noProof/>
                <w:sz w:val="22"/>
                <w:szCs w:val="22"/>
              </w:rPr>
              <w:t xml:space="preserve">sensitivity analysis </w:t>
            </w:r>
            <w:r w:rsidR="00481B95" w:rsidRPr="00777970">
              <w:rPr>
                <w:noProof/>
                <w:sz w:val="22"/>
                <w:szCs w:val="22"/>
              </w:rPr>
              <w:t>have been improved in section 7.</w:t>
            </w:r>
            <w:r w:rsidR="00C96C97">
              <w:rPr>
                <w:bCs/>
                <w:noProof/>
                <w:sz w:val="22"/>
                <w:szCs w:val="22"/>
              </w:rPr>
              <w:t>5</w:t>
            </w:r>
          </w:p>
        </w:tc>
        <w:tc>
          <w:tcPr>
            <w:tcW w:w="847" w:type="pct"/>
          </w:tcPr>
          <w:p w14:paraId="22CA2F57" w14:textId="77777777" w:rsidR="00C102E9" w:rsidRPr="00777970" w:rsidRDefault="00123F4E" w:rsidP="00BE7E4F">
            <w:pPr>
              <w:spacing w:after="0"/>
              <w:rPr>
                <w:noProof/>
                <w:sz w:val="22"/>
                <w:szCs w:val="22"/>
              </w:rPr>
            </w:pPr>
            <w:r w:rsidRPr="00777970">
              <w:rPr>
                <w:noProof/>
                <w:sz w:val="22"/>
                <w:szCs w:val="22"/>
              </w:rPr>
              <w:t>Main report: section 7.5</w:t>
            </w:r>
          </w:p>
          <w:p w14:paraId="4186F40C" w14:textId="77777777" w:rsidR="00123F4E" w:rsidRPr="00777970" w:rsidRDefault="00123F4E" w:rsidP="00BE7E4F">
            <w:pPr>
              <w:spacing w:after="0"/>
              <w:rPr>
                <w:noProof/>
                <w:sz w:val="22"/>
                <w:szCs w:val="22"/>
              </w:rPr>
            </w:pPr>
          </w:p>
          <w:p w14:paraId="044E1014" w14:textId="714D4939" w:rsidR="00123F4E" w:rsidRPr="00D37004" w:rsidRDefault="00123F4E" w:rsidP="00BE7E4F">
            <w:pPr>
              <w:spacing w:after="0"/>
              <w:rPr>
                <w:b/>
                <w:noProof/>
                <w:sz w:val="22"/>
                <w:szCs w:val="22"/>
              </w:rPr>
            </w:pPr>
            <w:r w:rsidRPr="00777970">
              <w:rPr>
                <w:noProof/>
                <w:sz w:val="22"/>
                <w:szCs w:val="22"/>
              </w:rPr>
              <w:t>Annex 4</w:t>
            </w:r>
          </w:p>
        </w:tc>
      </w:tr>
      <w:tr w:rsidR="00F3141A" w:rsidRPr="00D37004" w14:paraId="17E1266F" w14:textId="0A99E099" w:rsidTr="00E40BBA">
        <w:trPr>
          <w:trHeight w:val="300"/>
        </w:trPr>
        <w:tc>
          <w:tcPr>
            <w:tcW w:w="1760" w:type="pct"/>
          </w:tcPr>
          <w:p w14:paraId="6BD1BA42" w14:textId="7CBFBB02" w:rsidR="00F3141A" w:rsidRPr="00777970" w:rsidRDefault="00487A4B" w:rsidP="00BE7E4F">
            <w:pPr>
              <w:spacing w:after="0"/>
              <w:rPr>
                <w:noProof/>
                <w:sz w:val="22"/>
                <w:szCs w:val="22"/>
              </w:rPr>
            </w:pPr>
            <w:r w:rsidRPr="00777970">
              <w:rPr>
                <w:noProof/>
                <w:sz w:val="22"/>
                <w:szCs w:val="22"/>
              </w:rPr>
              <w:t>6) The coherence, complementarity and potential synergies with other initiatives - such as the Cybersecurity Act, Data Act or the public procurement revision - should be analysed in more detail.</w:t>
            </w:r>
          </w:p>
        </w:tc>
        <w:tc>
          <w:tcPr>
            <w:tcW w:w="2393" w:type="pct"/>
          </w:tcPr>
          <w:p w14:paraId="67E3592E" w14:textId="2554EFCA" w:rsidR="00F3141A" w:rsidRPr="00777970" w:rsidRDefault="007D2BAC" w:rsidP="00BE7E4F">
            <w:pPr>
              <w:spacing w:after="0"/>
              <w:rPr>
                <w:noProof/>
                <w:sz w:val="22"/>
                <w:szCs w:val="22"/>
              </w:rPr>
            </w:pPr>
            <w:r w:rsidRPr="00777970">
              <w:rPr>
                <w:noProof/>
                <w:sz w:val="22"/>
                <w:szCs w:val="22"/>
              </w:rPr>
              <w:t xml:space="preserve">Additional clarifications on external coherence with the Cybersecurity Act, the Data Act and the public procurement revision </w:t>
            </w:r>
            <w:r w:rsidR="00A13D9E">
              <w:rPr>
                <w:bCs/>
                <w:noProof/>
                <w:sz w:val="22"/>
                <w:szCs w:val="22"/>
              </w:rPr>
              <w:t>have been</w:t>
            </w:r>
            <w:r w:rsidRPr="00777970">
              <w:rPr>
                <w:noProof/>
                <w:sz w:val="22"/>
                <w:szCs w:val="22"/>
              </w:rPr>
              <w:t xml:space="preserve"> added to section 7.3, on top of the existing analysis in Annex 7.</w:t>
            </w:r>
          </w:p>
        </w:tc>
        <w:tc>
          <w:tcPr>
            <w:tcW w:w="847" w:type="pct"/>
          </w:tcPr>
          <w:p w14:paraId="45392104" w14:textId="3CFEF9E2" w:rsidR="00C102E9" w:rsidRPr="00777970" w:rsidRDefault="00AA3C83" w:rsidP="00BE7E4F">
            <w:pPr>
              <w:spacing w:after="0"/>
              <w:rPr>
                <w:noProof/>
                <w:sz w:val="22"/>
                <w:szCs w:val="22"/>
              </w:rPr>
            </w:pPr>
            <w:r w:rsidRPr="00777970">
              <w:rPr>
                <w:noProof/>
                <w:sz w:val="22"/>
                <w:szCs w:val="22"/>
              </w:rPr>
              <w:t>Section 7.3 of the main report</w:t>
            </w:r>
          </w:p>
        </w:tc>
      </w:tr>
    </w:tbl>
    <w:p w14:paraId="22D89CA9" w14:textId="23657936" w:rsidR="0099524E" w:rsidRPr="00D37004" w:rsidRDefault="0099524E" w:rsidP="00913325">
      <w:pPr>
        <w:pStyle w:val="Heading1"/>
        <w:numPr>
          <w:ilvl w:val="0"/>
          <w:numId w:val="3"/>
        </w:numPr>
        <w:rPr>
          <w:noProof/>
          <w:lang w:val="en-IE"/>
        </w:rPr>
      </w:pPr>
      <w:bookmarkStart w:id="33" w:name="_Toc471997758"/>
      <w:bookmarkStart w:id="34" w:name="_Toc139373873"/>
      <w:bookmarkStart w:id="35" w:name="_Toc208138436"/>
      <w:bookmarkStart w:id="36" w:name="_Toc216283326"/>
      <w:bookmarkStart w:id="37" w:name="_Toc228346881"/>
      <w:r w:rsidRPr="00D37004">
        <w:rPr>
          <w:noProof/>
          <w:lang w:val="en-IE"/>
        </w:rPr>
        <w:t>Evidence, sources and quality</w:t>
      </w:r>
      <w:bookmarkEnd w:id="33"/>
      <w:bookmarkEnd w:id="34"/>
      <w:bookmarkEnd w:id="35"/>
      <w:bookmarkEnd w:id="36"/>
      <w:bookmarkEnd w:id="37"/>
    </w:p>
    <w:p w14:paraId="6AFEBDF5" w14:textId="38BDBF01" w:rsidR="0099524E" w:rsidRPr="00D37004" w:rsidRDefault="70C3728E" w:rsidP="00B75EA8">
      <w:pPr>
        <w:spacing w:after="120"/>
        <w:rPr>
          <w:noProof/>
        </w:rPr>
      </w:pPr>
      <w:r w:rsidRPr="00D37004">
        <w:rPr>
          <w:noProof/>
        </w:rPr>
        <w:t>The impact assessment is based on several sources, including:</w:t>
      </w:r>
    </w:p>
    <w:p w14:paraId="5FBE27AA" w14:textId="1DE13CCA" w:rsidR="70390AAA" w:rsidRPr="00D37004" w:rsidRDefault="70C3728E" w:rsidP="00B75EA8">
      <w:pPr>
        <w:pStyle w:val="ListParagraph"/>
        <w:numPr>
          <w:ilvl w:val="0"/>
          <w:numId w:val="124"/>
        </w:numPr>
        <w:rPr>
          <w:noProof/>
        </w:rPr>
      </w:pPr>
      <w:r w:rsidRPr="00D37004">
        <w:rPr>
          <w:noProof/>
        </w:rPr>
        <w:t>Stakeholder consultation activities (see Annex 2)</w:t>
      </w:r>
    </w:p>
    <w:p w14:paraId="71F3D8EE" w14:textId="7DCA6949" w:rsidR="0099524E" w:rsidRPr="00292291" w:rsidRDefault="70C3728E" w:rsidP="000B556F">
      <w:pPr>
        <w:pStyle w:val="ListParagraph"/>
        <w:numPr>
          <w:ilvl w:val="0"/>
          <w:numId w:val="124"/>
        </w:numPr>
        <w:rPr>
          <w:rFonts w:eastAsia="Times New Roman"/>
          <w:noProof/>
          <w:szCs w:val="20"/>
        </w:rPr>
      </w:pPr>
      <w:r w:rsidRPr="00D37004">
        <w:rPr>
          <w:noProof/>
        </w:rPr>
        <w:t xml:space="preserve">External support study carried out by an independent consultant </w:t>
      </w:r>
      <w:r w:rsidR="64D0C0CC" w:rsidRPr="00D37004">
        <w:rPr>
          <w:noProof/>
        </w:rPr>
        <w:t>(</w:t>
      </w:r>
      <w:r w:rsidR="7DA17BEE" w:rsidRPr="00D37004">
        <w:rPr>
          <w:noProof/>
        </w:rPr>
        <w:t xml:space="preserve">Technopolis Consulting Group Belgium coordinator - </w:t>
      </w:r>
      <w:r w:rsidR="7DA17BEE" w:rsidRPr="00B75EA8">
        <w:rPr>
          <w:rFonts w:eastAsia="Times New Roman"/>
          <w:noProof/>
        </w:rPr>
        <w:t xml:space="preserve">SPECIFIC CONTRACT No 4500075392 implementing framework contract No FW-00141707 CNECT/2022/OP/0036 - Framework Contract for the provision of Studies and related services on digital policy issues Study: </w:t>
      </w:r>
      <w:r w:rsidR="0001203E" w:rsidRPr="00B75EA8">
        <w:rPr>
          <w:rFonts w:eastAsia="Times New Roman"/>
          <w:noProof/>
        </w:rPr>
        <w:t>cloud</w:t>
      </w:r>
      <w:r w:rsidR="7DA17BEE" w:rsidRPr="00B75EA8">
        <w:rPr>
          <w:rFonts w:eastAsia="Times New Roman"/>
          <w:noProof/>
        </w:rPr>
        <w:t xml:space="preserve"> and AI – STUDY 2024-046)</w:t>
      </w:r>
      <w:r w:rsidR="0099524E" w:rsidRPr="00D37004">
        <w:rPr>
          <w:noProof/>
        </w:rPr>
        <w:br w:type="page"/>
      </w:r>
    </w:p>
    <w:p w14:paraId="32D60FB5" w14:textId="77777777" w:rsidR="0099524E" w:rsidRPr="00D37004" w:rsidRDefault="0099524E" w:rsidP="00E918FC">
      <w:pPr>
        <w:pStyle w:val="AnnexTitle"/>
        <w:rPr>
          <w:noProof/>
          <w:lang w:val="en-IE"/>
        </w:rPr>
      </w:pPr>
      <w:bookmarkStart w:id="38" w:name="_Toc139373874"/>
      <w:bookmarkStart w:id="39" w:name="_Toc208138437"/>
      <w:bookmarkStart w:id="40" w:name="_Toc216283327"/>
      <w:bookmarkStart w:id="41" w:name="_Toc228346882"/>
      <w:r w:rsidRPr="00156ABF">
        <w:rPr>
          <w:noProof/>
          <w:lang w:val="en-IE"/>
        </w:rPr>
        <w:t>Annex 2: Stakeholder consultation (Synopsis report)</w:t>
      </w:r>
      <w:bookmarkEnd w:id="38"/>
      <w:bookmarkEnd w:id="39"/>
      <w:bookmarkEnd w:id="40"/>
      <w:bookmarkEnd w:id="41"/>
    </w:p>
    <w:p w14:paraId="3CA38484" w14:textId="77777777" w:rsidR="00B275D3" w:rsidRPr="00D37004" w:rsidRDefault="00B275D3" w:rsidP="00913325">
      <w:pPr>
        <w:pStyle w:val="Heading1"/>
        <w:numPr>
          <w:ilvl w:val="0"/>
          <w:numId w:val="18"/>
        </w:numPr>
        <w:ind w:hanging="720"/>
        <w:rPr>
          <w:rFonts w:eastAsia="Calibri"/>
          <w:noProof/>
          <w:lang w:val="en-IE"/>
        </w:rPr>
      </w:pPr>
      <w:bookmarkStart w:id="42" w:name="_Toc216283328"/>
      <w:bookmarkStart w:id="43" w:name="_Toc228346883"/>
      <w:r w:rsidRPr="00D37004">
        <w:rPr>
          <w:rFonts w:eastAsia="Calibri"/>
          <w:noProof/>
          <w:lang w:val="en-IE"/>
        </w:rPr>
        <w:t>Introduction</w:t>
      </w:r>
      <w:bookmarkEnd w:id="42"/>
      <w:bookmarkEnd w:id="43"/>
      <w:r w:rsidRPr="00D37004">
        <w:rPr>
          <w:rFonts w:eastAsia="Calibri"/>
          <w:noProof/>
          <w:lang w:val="en-IE"/>
        </w:rPr>
        <w:t xml:space="preserve"> </w:t>
      </w:r>
    </w:p>
    <w:p w14:paraId="1F88B57F" w14:textId="7F612E64" w:rsidR="00B275D3" w:rsidRPr="00D37004" w:rsidRDefault="00B275D3" w:rsidP="00B275D3">
      <w:pPr>
        <w:rPr>
          <w:noProof/>
        </w:rPr>
      </w:pPr>
      <w:r w:rsidRPr="00D37004">
        <w:rPr>
          <w:noProof/>
        </w:rPr>
        <w:t xml:space="preserve">This annex provides a summary of the consultation activities undertaken to gather evidence and ensure that the public interest is well reflected in the design of potential policy measures for cloud and AI </w:t>
      </w:r>
      <w:r w:rsidR="00A011FC">
        <w:rPr>
          <w:noProof/>
        </w:rPr>
        <w:t>computing services</w:t>
      </w:r>
      <w:r w:rsidRPr="00D37004">
        <w:rPr>
          <w:noProof/>
        </w:rPr>
        <w:t xml:space="preserve"> development within the EU. It presents the range of stakeholders consulted, describes the main consultation activities and provides an analysis of their views and the main issues they raised.</w:t>
      </w:r>
      <w:r w:rsidR="00A056AE" w:rsidRPr="00D37004">
        <w:rPr>
          <w:noProof/>
        </w:rPr>
        <w:t xml:space="preserve"> </w:t>
      </w:r>
      <w:r w:rsidRPr="00D37004">
        <w:rPr>
          <w:noProof/>
        </w:rPr>
        <w:t xml:space="preserve">The objective of the consultation activities was to collect the views and experience of stakeholders on the key problems and associated drivers related to cloud and AI infrastructures in Europe, including current and future capacity needs, sustainability, investment conditions, and the availability of secure EU-based providers and services. In addition, it aimed to gather information and their opinions on the definition of relevant policy objectives linked to those problem areas and the identification, definition and screening of policy measures that could eventually be incorporated into policy options for this impact assessment as well as gather information and opinions on their likely impacts. </w:t>
      </w:r>
    </w:p>
    <w:p w14:paraId="5AA792B7" w14:textId="1D34636C" w:rsidR="00B275D3" w:rsidRPr="00D37004" w:rsidRDefault="00B275D3" w:rsidP="00913325">
      <w:pPr>
        <w:pStyle w:val="Heading1"/>
        <w:numPr>
          <w:ilvl w:val="0"/>
          <w:numId w:val="18"/>
        </w:numPr>
        <w:ind w:hanging="720"/>
        <w:rPr>
          <w:rFonts w:eastAsia="Calibri"/>
          <w:noProof/>
          <w:lang w:val="en-IE"/>
        </w:rPr>
      </w:pPr>
      <w:bookmarkStart w:id="44" w:name="_Toc216283329"/>
      <w:bookmarkStart w:id="45" w:name="_Toc228346884"/>
      <w:r w:rsidRPr="00D37004">
        <w:rPr>
          <w:rFonts w:eastAsia="Calibri"/>
          <w:noProof/>
          <w:lang w:val="en-IE"/>
        </w:rPr>
        <w:t>Overview of consultation activities</w:t>
      </w:r>
      <w:bookmarkEnd w:id="44"/>
      <w:bookmarkEnd w:id="45"/>
    </w:p>
    <w:p w14:paraId="69B45E8E" w14:textId="7DE35748" w:rsidR="00B275D3" w:rsidRPr="00D37004" w:rsidRDefault="00B275D3" w:rsidP="00913325">
      <w:pPr>
        <w:pStyle w:val="Heading2"/>
        <w:numPr>
          <w:ilvl w:val="1"/>
          <w:numId w:val="18"/>
        </w:numPr>
        <w:rPr>
          <w:rFonts w:eastAsia="Calibri"/>
          <w:noProof/>
        </w:rPr>
      </w:pPr>
      <w:bookmarkStart w:id="46" w:name="_Toc214902982"/>
      <w:bookmarkStart w:id="47" w:name="_Toc216118852"/>
      <w:bookmarkStart w:id="48" w:name="_Toc216283330"/>
      <w:bookmarkStart w:id="49" w:name="_Toc228346885"/>
      <w:bookmarkEnd w:id="46"/>
      <w:bookmarkEnd w:id="47"/>
      <w:r w:rsidRPr="00D37004">
        <w:rPr>
          <w:rFonts w:eastAsia="Calibri"/>
          <w:noProof/>
        </w:rPr>
        <w:t xml:space="preserve">Public Consultation on the </w:t>
      </w:r>
      <w:r w:rsidR="00874C60">
        <w:rPr>
          <w:rFonts w:eastAsia="Calibri"/>
          <w:noProof/>
        </w:rPr>
        <w:t>C</w:t>
      </w:r>
      <w:r w:rsidR="0001203E">
        <w:rPr>
          <w:rFonts w:eastAsia="Calibri"/>
          <w:noProof/>
        </w:rPr>
        <w:t>loud</w:t>
      </w:r>
      <w:r w:rsidRPr="00D37004">
        <w:rPr>
          <w:rFonts w:eastAsia="Calibri"/>
          <w:noProof/>
        </w:rPr>
        <w:t xml:space="preserve"> and AI Development Act</w:t>
      </w:r>
      <w:bookmarkEnd w:id="48"/>
      <w:bookmarkEnd w:id="49"/>
    </w:p>
    <w:p w14:paraId="5324BE7B" w14:textId="5A6917EA" w:rsidR="00B275D3" w:rsidRPr="00D37004" w:rsidRDefault="00B275D3" w:rsidP="00B275D3">
      <w:pPr>
        <w:rPr>
          <w:noProof/>
        </w:rPr>
      </w:pPr>
      <w:r w:rsidRPr="00D37004">
        <w:rPr>
          <w:noProof/>
        </w:rPr>
        <w:t xml:space="preserve">The Public Consultation (‘PC’) consisted of an online questionnaire available in English, French and German; and </w:t>
      </w:r>
      <w:r w:rsidR="00C8000F" w:rsidRPr="00D37004">
        <w:rPr>
          <w:noProof/>
        </w:rPr>
        <w:t>a</w:t>
      </w:r>
      <w:r w:rsidR="008D4130" w:rsidRPr="00D37004">
        <w:rPr>
          <w:noProof/>
        </w:rPr>
        <w:t xml:space="preserve"> </w:t>
      </w:r>
      <w:r w:rsidRPr="00D37004">
        <w:rPr>
          <w:noProof/>
        </w:rPr>
        <w:t xml:space="preserve">Call for Evidence (CfE) for stakeholders to submit detailed position papers outlining their views and recommendations on the objectives and proposed actions envisaged by the </w:t>
      </w:r>
      <w:r w:rsidR="0001203E">
        <w:rPr>
          <w:noProof/>
        </w:rPr>
        <w:t>cloud</w:t>
      </w:r>
      <w:r w:rsidRPr="00D37004">
        <w:rPr>
          <w:noProof/>
        </w:rPr>
        <w:t xml:space="preserve"> and AI Development Act, while also giving direct evidence to inform the design of policy options. The questionnaire and the Call for Evidence ran from 9 April 2025 to 3 July 2025.</w:t>
      </w:r>
      <w:r w:rsidR="001939FD" w:rsidRPr="00D37004">
        <w:rPr>
          <w:noProof/>
        </w:rPr>
        <w:t xml:space="preserve"> </w:t>
      </w:r>
      <w:r w:rsidRPr="00D37004">
        <w:rPr>
          <w:noProof/>
        </w:rPr>
        <w:t xml:space="preserve">In addition to the OPC, the following consultation activities were conducted: </w:t>
      </w:r>
    </w:p>
    <w:p w14:paraId="43AC63BA" w14:textId="77777777" w:rsidR="00B275D3" w:rsidRPr="00D37004" w:rsidRDefault="00B275D3" w:rsidP="00913325">
      <w:pPr>
        <w:numPr>
          <w:ilvl w:val="0"/>
          <w:numId w:val="8"/>
        </w:numPr>
        <w:spacing w:after="0"/>
        <w:ind w:left="714" w:hanging="357"/>
        <w:rPr>
          <w:noProof/>
        </w:rPr>
      </w:pPr>
      <w:r w:rsidRPr="00D37004">
        <w:rPr>
          <w:noProof/>
        </w:rPr>
        <w:t>Targeted Workshops with relevant stakeholders;</w:t>
      </w:r>
    </w:p>
    <w:p w14:paraId="477AB7C1" w14:textId="34BE0815" w:rsidR="00B275D3" w:rsidRPr="00D37004" w:rsidRDefault="00B275D3" w:rsidP="00913325">
      <w:pPr>
        <w:numPr>
          <w:ilvl w:val="0"/>
          <w:numId w:val="8"/>
        </w:numPr>
        <w:spacing w:after="0"/>
        <w:ind w:left="714" w:hanging="357"/>
        <w:rPr>
          <w:noProof/>
        </w:rPr>
      </w:pPr>
      <w:r w:rsidRPr="00D37004">
        <w:rPr>
          <w:noProof/>
        </w:rPr>
        <w:t>Ad-hoc contributions and targeted consultations with Member States, small-and-medium sized enterprises (SMEs) and other relevant stakeholders;</w:t>
      </w:r>
    </w:p>
    <w:p w14:paraId="49E83124" w14:textId="77777777" w:rsidR="00B275D3" w:rsidRPr="00D37004" w:rsidRDefault="00B275D3" w:rsidP="00913325">
      <w:pPr>
        <w:numPr>
          <w:ilvl w:val="0"/>
          <w:numId w:val="8"/>
        </w:numPr>
        <w:ind w:left="714" w:hanging="357"/>
        <w:rPr>
          <w:noProof/>
        </w:rPr>
      </w:pPr>
      <w:r w:rsidRPr="00D37004">
        <w:rPr>
          <w:noProof/>
        </w:rPr>
        <w:t>Targeted consultations with industry representatives and public authorities through surveys and workshops as part of a study commission by the Commission to support the impact assessment.</w:t>
      </w:r>
    </w:p>
    <w:p w14:paraId="6BB21D99" w14:textId="77777777" w:rsidR="00B275D3" w:rsidRPr="00D37004" w:rsidRDefault="00B275D3" w:rsidP="00913325">
      <w:pPr>
        <w:pStyle w:val="Heading2"/>
        <w:numPr>
          <w:ilvl w:val="1"/>
          <w:numId w:val="18"/>
        </w:numPr>
        <w:tabs>
          <w:tab w:val="num" w:pos="1060"/>
        </w:tabs>
        <w:rPr>
          <w:rFonts w:eastAsia="Calibri"/>
          <w:noProof/>
        </w:rPr>
      </w:pPr>
      <w:bookmarkStart w:id="50" w:name="_Toc216283331"/>
      <w:bookmarkStart w:id="51" w:name="_Toc228346886"/>
      <w:r w:rsidRPr="00D37004">
        <w:rPr>
          <w:rFonts w:eastAsia="Calibri"/>
          <w:noProof/>
        </w:rPr>
        <w:t>Study to support the impact assessment</w:t>
      </w:r>
      <w:bookmarkEnd w:id="50"/>
      <w:bookmarkEnd w:id="51"/>
    </w:p>
    <w:p w14:paraId="2B266986" w14:textId="12E0DC72" w:rsidR="00B275D3" w:rsidRPr="00D37004" w:rsidRDefault="00B275D3" w:rsidP="00B275D3">
      <w:pPr>
        <w:rPr>
          <w:noProof/>
        </w:rPr>
      </w:pPr>
      <w:r w:rsidRPr="00D37004">
        <w:rPr>
          <w:noProof/>
        </w:rPr>
        <w:t>The Commission contracted a study to a consortium led by Technopolis Group to provide empirical evidence on the currently available computing capacity across Europe and to assess present and projected future cloud computing needs within the EU. The study addresses knowledge gaps in cloud computing development and provides policy recommendations to support the Impact Assessment. The study incorporates multiple stakeholder engagement activities, including targeted interviews</w:t>
      </w:r>
      <w:r w:rsidR="00FB1B57" w:rsidRPr="00D37004">
        <w:rPr>
          <w:noProof/>
        </w:rPr>
        <w:t xml:space="preserve"> (</w:t>
      </w:r>
      <w:r w:rsidR="00E32A70" w:rsidRPr="00D37004">
        <w:rPr>
          <w:noProof/>
        </w:rPr>
        <w:t>over 60)</w:t>
      </w:r>
      <w:r w:rsidRPr="00D37004">
        <w:rPr>
          <w:noProof/>
        </w:rPr>
        <w:t xml:space="preserve">, surveys </w:t>
      </w:r>
      <w:r w:rsidR="0095044A" w:rsidRPr="00D37004">
        <w:rPr>
          <w:noProof/>
        </w:rPr>
        <w:t xml:space="preserve">(with over 250 replies) </w:t>
      </w:r>
      <w:r w:rsidRPr="00D37004">
        <w:rPr>
          <w:noProof/>
        </w:rPr>
        <w:t>and workshops</w:t>
      </w:r>
      <w:r w:rsidR="00C36DAF" w:rsidRPr="00D37004">
        <w:rPr>
          <w:noProof/>
        </w:rPr>
        <w:t xml:space="preserve"> (over 100 participants)</w:t>
      </w:r>
      <w:r w:rsidRPr="00D37004">
        <w:rPr>
          <w:noProof/>
        </w:rPr>
        <w:t>. The results of those activities are also included in this annex.</w:t>
      </w:r>
    </w:p>
    <w:p w14:paraId="7BAB05BB" w14:textId="2E790E91" w:rsidR="00B275D3" w:rsidRPr="00D37004" w:rsidRDefault="00B275D3" w:rsidP="00913325">
      <w:pPr>
        <w:pStyle w:val="Heading2"/>
        <w:numPr>
          <w:ilvl w:val="1"/>
          <w:numId w:val="18"/>
        </w:numPr>
        <w:tabs>
          <w:tab w:val="num" w:pos="1060"/>
        </w:tabs>
        <w:rPr>
          <w:rFonts w:eastAsia="Calibri"/>
          <w:noProof/>
        </w:rPr>
      </w:pPr>
      <w:bookmarkStart w:id="52" w:name="_Toc216283332"/>
      <w:bookmarkStart w:id="53" w:name="_Toc228346887"/>
      <w:r w:rsidRPr="00D37004">
        <w:rPr>
          <w:rFonts w:eastAsia="Calibri"/>
          <w:noProof/>
        </w:rPr>
        <w:t>Overview of workshops, seminars and roundtables:</w:t>
      </w:r>
      <w:bookmarkEnd w:id="52"/>
      <w:bookmarkEnd w:id="53"/>
    </w:p>
    <w:p w14:paraId="6B07BEC8" w14:textId="77777777" w:rsidR="00B275D3" w:rsidRPr="00D37004" w:rsidRDefault="00B275D3" w:rsidP="00913325">
      <w:pPr>
        <w:numPr>
          <w:ilvl w:val="0"/>
          <w:numId w:val="11"/>
        </w:numPr>
        <w:spacing w:after="0"/>
        <w:rPr>
          <w:noProof/>
        </w:rPr>
      </w:pPr>
      <w:r w:rsidRPr="00D37004">
        <w:rPr>
          <w:noProof/>
        </w:rPr>
        <w:t>Workshop with 70 industry actors on industry needs for cloud computing capacity for AI demand (4 October 2024, Brussels, Belgium);</w:t>
      </w:r>
    </w:p>
    <w:p w14:paraId="232EF592" w14:textId="25222B73" w:rsidR="00B275D3" w:rsidRPr="00D37004" w:rsidRDefault="00B275D3" w:rsidP="00913325">
      <w:pPr>
        <w:numPr>
          <w:ilvl w:val="0"/>
          <w:numId w:val="11"/>
        </w:numPr>
        <w:spacing w:after="0"/>
        <w:rPr>
          <w:noProof/>
        </w:rPr>
      </w:pPr>
      <w:r w:rsidRPr="00D37004">
        <w:rPr>
          <w:noProof/>
        </w:rPr>
        <w:t>Seminar with industry, academia and public authorities on the economic dynamics of the AI stack (4 April 2025, online);</w:t>
      </w:r>
    </w:p>
    <w:p w14:paraId="5B8F9FB4" w14:textId="77777777" w:rsidR="00B275D3" w:rsidRPr="00D37004" w:rsidRDefault="00B275D3" w:rsidP="00913325">
      <w:pPr>
        <w:numPr>
          <w:ilvl w:val="0"/>
          <w:numId w:val="11"/>
        </w:numPr>
        <w:spacing w:after="0"/>
        <w:rPr>
          <w:noProof/>
        </w:rPr>
      </w:pPr>
      <w:r w:rsidRPr="00D37004">
        <w:rPr>
          <w:noProof/>
        </w:rPr>
        <w:t>Workshop with industry on the rationale and policy options that underpin the Act (14 May 2025, Berlin, Germany);</w:t>
      </w:r>
    </w:p>
    <w:p w14:paraId="2FEEA90A" w14:textId="12E81ADC" w:rsidR="00B275D3" w:rsidRPr="00D37004" w:rsidRDefault="00B275D3" w:rsidP="00913325">
      <w:pPr>
        <w:numPr>
          <w:ilvl w:val="0"/>
          <w:numId w:val="11"/>
        </w:numPr>
        <w:spacing w:after="0"/>
        <w:rPr>
          <w:noProof/>
        </w:rPr>
      </w:pPr>
      <w:r w:rsidRPr="00D37004">
        <w:rPr>
          <w:noProof/>
        </w:rPr>
        <w:t xml:space="preserve">Workshop with </w:t>
      </w:r>
      <w:r w:rsidR="004C4F6E" w:rsidRPr="00D37004">
        <w:rPr>
          <w:noProof/>
        </w:rPr>
        <w:t>the</w:t>
      </w:r>
      <w:r w:rsidRPr="00D37004">
        <w:rPr>
          <w:noProof/>
        </w:rPr>
        <w:t xml:space="preserve"> Information Technology Industry Council (15 May 2025, Brussels, Belgium);</w:t>
      </w:r>
    </w:p>
    <w:p w14:paraId="71D7A6A4" w14:textId="77777777" w:rsidR="00B275D3" w:rsidRPr="00D37004" w:rsidRDefault="00B275D3" w:rsidP="00913325">
      <w:pPr>
        <w:numPr>
          <w:ilvl w:val="0"/>
          <w:numId w:val="11"/>
        </w:numPr>
        <w:spacing w:after="0"/>
        <w:rPr>
          <w:noProof/>
        </w:rPr>
      </w:pPr>
      <w:r w:rsidRPr="00D37004">
        <w:rPr>
          <w:noProof/>
        </w:rPr>
        <w:t>Roundtable on investment in cloud compute with financial investors (20 May 2025 Brussels, Belgium);</w:t>
      </w:r>
    </w:p>
    <w:p w14:paraId="7920E2C0" w14:textId="57811CF4" w:rsidR="00B275D3" w:rsidRPr="00D37004" w:rsidRDefault="00B275D3" w:rsidP="00913325">
      <w:pPr>
        <w:numPr>
          <w:ilvl w:val="0"/>
          <w:numId w:val="11"/>
        </w:numPr>
        <w:spacing w:after="0"/>
        <w:rPr>
          <w:noProof/>
        </w:rPr>
      </w:pPr>
      <w:r w:rsidRPr="00D37004">
        <w:rPr>
          <w:noProof/>
        </w:rPr>
        <w:t xml:space="preserve">Presentation on future EU </w:t>
      </w:r>
      <w:r w:rsidR="0001203E">
        <w:rPr>
          <w:noProof/>
        </w:rPr>
        <w:t>cloud</w:t>
      </w:r>
      <w:r w:rsidRPr="00D37004">
        <w:rPr>
          <w:noProof/>
        </w:rPr>
        <w:t xml:space="preserve"> and AI policy with industry (3 June 2025, Bilbao, Spain);</w:t>
      </w:r>
    </w:p>
    <w:p w14:paraId="7DA7E5A5" w14:textId="3F91338D" w:rsidR="00B275D3" w:rsidRPr="00D37004" w:rsidRDefault="00B275D3" w:rsidP="00913325">
      <w:pPr>
        <w:numPr>
          <w:ilvl w:val="0"/>
          <w:numId w:val="11"/>
        </w:numPr>
        <w:spacing w:after="0"/>
        <w:rPr>
          <w:noProof/>
        </w:rPr>
      </w:pPr>
      <w:r w:rsidRPr="00D37004">
        <w:rPr>
          <w:noProof/>
        </w:rPr>
        <w:t xml:space="preserve">Workshop on the preliminary findings of the accompanying study of the </w:t>
      </w:r>
      <w:r w:rsidR="0001203E">
        <w:rPr>
          <w:noProof/>
        </w:rPr>
        <w:t>cloud</w:t>
      </w:r>
      <w:r w:rsidRPr="00D37004">
        <w:rPr>
          <w:noProof/>
        </w:rPr>
        <w:t xml:space="preserve"> and AI Development Act (6 June 2025, Brussels, Belgium);</w:t>
      </w:r>
    </w:p>
    <w:p w14:paraId="2D21DB8F" w14:textId="79B7A124" w:rsidR="00B275D3" w:rsidRPr="00D37004" w:rsidRDefault="00B275D3" w:rsidP="00913325">
      <w:pPr>
        <w:numPr>
          <w:ilvl w:val="0"/>
          <w:numId w:val="11"/>
        </w:numPr>
        <w:spacing w:after="0"/>
        <w:rPr>
          <w:noProof/>
        </w:rPr>
      </w:pPr>
      <w:r w:rsidRPr="00D37004">
        <w:rPr>
          <w:noProof/>
        </w:rPr>
        <w:t>Roundtable on policy measures to facilitate data centre integration to the EU grid (18 June 2025, Brussels, Belgium);</w:t>
      </w:r>
    </w:p>
    <w:p w14:paraId="35A72EAB" w14:textId="77777777" w:rsidR="00B275D3" w:rsidRPr="00D37004" w:rsidRDefault="00B275D3" w:rsidP="00913325">
      <w:pPr>
        <w:numPr>
          <w:ilvl w:val="0"/>
          <w:numId w:val="11"/>
        </w:numPr>
        <w:spacing w:after="0"/>
        <w:rPr>
          <w:noProof/>
        </w:rPr>
      </w:pPr>
      <w:r w:rsidRPr="00D37004">
        <w:rPr>
          <w:noProof/>
        </w:rPr>
        <w:t>Roundtable with European Cloud Service Providers’ CEOs on developing sovereign cloud offerings in the EU (23 June 2025, Brussels, Belgium);</w:t>
      </w:r>
    </w:p>
    <w:p w14:paraId="60785489" w14:textId="13E78CC9" w:rsidR="00B275D3" w:rsidRPr="00D37004" w:rsidRDefault="00B275D3" w:rsidP="00913325">
      <w:pPr>
        <w:numPr>
          <w:ilvl w:val="0"/>
          <w:numId w:val="11"/>
        </w:numPr>
        <w:spacing w:after="0"/>
        <w:rPr>
          <w:noProof/>
        </w:rPr>
      </w:pPr>
      <w:r w:rsidRPr="00D37004">
        <w:rPr>
          <w:noProof/>
        </w:rPr>
        <w:t>Workshop during the 6th General Assembly and Alliance Forum of the European Alliance for Industrial Data, Edge and Cloud (8 July 2025, Brussels, Belgium).</w:t>
      </w:r>
    </w:p>
    <w:p w14:paraId="1F93EA40" w14:textId="48949E99" w:rsidR="002E46FE" w:rsidRPr="00D37004" w:rsidRDefault="005E0A7F" w:rsidP="00913325">
      <w:pPr>
        <w:numPr>
          <w:ilvl w:val="0"/>
          <w:numId w:val="11"/>
        </w:numPr>
        <w:spacing w:after="0"/>
        <w:rPr>
          <w:noProof/>
        </w:rPr>
      </w:pPr>
      <w:r w:rsidRPr="00D37004">
        <w:rPr>
          <w:noProof/>
        </w:rPr>
        <w:t>Roundtable with American Chamber of Commerce (</w:t>
      </w:r>
      <w:r w:rsidR="00AD5FDD" w:rsidRPr="00D37004">
        <w:rPr>
          <w:noProof/>
        </w:rPr>
        <w:t>22 October 2025, Brussels, Belgium)</w:t>
      </w:r>
      <w:r w:rsidR="002E46FE" w:rsidRPr="00D37004">
        <w:rPr>
          <w:noProof/>
        </w:rPr>
        <w:t>;</w:t>
      </w:r>
    </w:p>
    <w:p w14:paraId="758286A2" w14:textId="270CF71F" w:rsidR="002E46FE" w:rsidRPr="00D37004" w:rsidRDefault="002E46FE" w:rsidP="00913325">
      <w:pPr>
        <w:numPr>
          <w:ilvl w:val="0"/>
          <w:numId w:val="11"/>
        </w:numPr>
        <w:rPr>
          <w:noProof/>
        </w:rPr>
      </w:pPr>
      <w:r w:rsidRPr="00D37004">
        <w:rPr>
          <w:noProof/>
        </w:rPr>
        <w:t xml:space="preserve">Workshop on the final findings of the accompanying study of the </w:t>
      </w:r>
      <w:r w:rsidR="0001203E">
        <w:rPr>
          <w:noProof/>
        </w:rPr>
        <w:t>cloud</w:t>
      </w:r>
      <w:r w:rsidRPr="00D37004">
        <w:rPr>
          <w:noProof/>
        </w:rPr>
        <w:t xml:space="preserve"> and AI Development Act (12 November 2025, Brussels, Belgium);</w:t>
      </w:r>
    </w:p>
    <w:p w14:paraId="034FFB0B" w14:textId="77777777" w:rsidR="00B275D3" w:rsidRPr="00D37004" w:rsidRDefault="00B275D3" w:rsidP="00913325">
      <w:pPr>
        <w:pStyle w:val="Heading2"/>
        <w:numPr>
          <w:ilvl w:val="1"/>
          <w:numId w:val="18"/>
        </w:numPr>
        <w:tabs>
          <w:tab w:val="num" w:pos="1060"/>
        </w:tabs>
        <w:rPr>
          <w:rFonts w:eastAsia="Calibri"/>
          <w:noProof/>
        </w:rPr>
      </w:pPr>
      <w:bookmarkStart w:id="54" w:name="_Toc216283333"/>
      <w:bookmarkStart w:id="55" w:name="_Toc228346888"/>
      <w:r w:rsidRPr="00D37004">
        <w:rPr>
          <w:rFonts w:eastAsia="Calibri"/>
          <w:noProof/>
        </w:rPr>
        <w:t>Awareness raising events in Member States and international outreach</w:t>
      </w:r>
      <w:bookmarkEnd w:id="54"/>
      <w:bookmarkEnd w:id="55"/>
    </w:p>
    <w:p w14:paraId="2E5E7E5C" w14:textId="0BE4AB19" w:rsidR="00B275D3" w:rsidRPr="00D37004" w:rsidRDefault="00B275D3" w:rsidP="00B275D3">
      <w:pPr>
        <w:rPr>
          <w:i/>
          <w:noProof/>
        </w:rPr>
      </w:pPr>
      <w:r w:rsidRPr="00D37004">
        <w:rPr>
          <w:noProof/>
        </w:rPr>
        <w:t xml:space="preserve">The Commission conducted stakeholder activities across </w:t>
      </w:r>
      <w:r w:rsidR="00AC5BD0" w:rsidRPr="00D37004">
        <w:rPr>
          <w:noProof/>
        </w:rPr>
        <w:t xml:space="preserve">several </w:t>
      </w:r>
      <w:r w:rsidRPr="00D37004">
        <w:rPr>
          <w:noProof/>
        </w:rPr>
        <w:t>Member States, participating in bilateral meetings with a diverse range of stakeholders in Poland, Germany</w:t>
      </w:r>
      <w:r w:rsidR="00556445" w:rsidRPr="00D37004">
        <w:rPr>
          <w:noProof/>
        </w:rPr>
        <w:t>, the Netherlands</w:t>
      </w:r>
      <w:r w:rsidRPr="00D37004">
        <w:rPr>
          <w:noProof/>
        </w:rPr>
        <w:t xml:space="preserve"> and Spain to discuss the problem drivers and core elements of the proposed legislation. The Commission also maintained dialogue with Member States’ relevant authorities through the European Alliance for Industrial Data, Edge and Cloud (‘Cloud Alliance’) and bilateral meetings in Brussels. Furthermore, the Commission engaged in bilateral discussions with third countries, including Japan, </w:t>
      </w:r>
      <w:r w:rsidR="008D1781" w:rsidRPr="00D37004">
        <w:rPr>
          <w:noProof/>
        </w:rPr>
        <w:t>Switzerland</w:t>
      </w:r>
      <w:r w:rsidRPr="00D37004">
        <w:rPr>
          <w:noProof/>
        </w:rPr>
        <w:t xml:space="preserve"> and the United Kingdom, to present and discuss the considered policy options while gathering insight on best practices.</w:t>
      </w:r>
    </w:p>
    <w:p w14:paraId="7A224D16" w14:textId="77777777" w:rsidR="00B275D3" w:rsidRPr="00D37004" w:rsidRDefault="00B275D3" w:rsidP="00913325">
      <w:pPr>
        <w:pStyle w:val="Heading2"/>
        <w:numPr>
          <w:ilvl w:val="1"/>
          <w:numId w:val="18"/>
        </w:numPr>
        <w:tabs>
          <w:tab w:val="num" w:pos="1060"/>
        </w:tabs>
        <w:rPr>
          <w:rFonts w:eastAsia="Calibri"/>
          <w:noProof/>
        </w:rPr>
      </w:pPr>
      <w:bookmarkStart w:id="56" w:name="_Toc216283334"/>
      <w:bookmarkStart w:id="57" w:name="_Toc228346889"/>
      <w:r w:rsidRPr="00D37004">
        <w:rPr>
          <w:rFonts w:eastAsia="Calibri"/>
          <w:noProof/>
        </w:rPr>
        <w:t>Bilateral meetings with industry, academic institutions, think tanks</w:t>
      </w:r>
      <w:bookmarkEnd w:id="56"/>
      <w:bookmarkEnd w:id="57"/>
    </w:p>
    <w:p w14:paraId="10F448A5" w14:textId="0671100C" w:rsidR="00B275D3" w:rsidRPr="00D37004" w:rsidRDefault="00B275D3" w:rsidP="00B275D3">
      <w:pPr>
        <w:rPr>
          <w:noProof/>
        </w:rPr>
      </w:pPr>
      <w:r w:rsidRPr="00D37004">
        <w:rPr>
          <w:noProof/>
        </w:rPr>
        <w:t xml:space="preserve">The Commission conducted over 100 bilateral meetings with a diverse array of stakeholders, including industry representatives, academic institutions, think tanks and civil society organisations to gather feedback on the design of policy options for the </w:t>
      </w:r>
      <w:r w:rsidR="0001203E">
        <w:rPr>
          <w:noProof/>
        </w:rPr>
        <w:t>cloud</w:t>
      </w:r>
      <w:r w:rsidRPr="00D37004">
        <w:rPr>
          <w:noProof/>
        </w:rPr>
        <w:t xml:space="preserve"> and AI Development Act. These meetings facilitated an open dialogue with both European and international partners regarding their perspectives, concerns, and recommendations across the different policy pillars of the </w:t>
      </w:r>
      <w:r w:rsidR="0001203E">
        <w:rPr>
          <w:noProof/>
        </w:rPr>
        <w:t>cloud</w:t>
      </w:r>
      <w:r w:rsidRPr="00D37004">
        <w:rPr>
          <w:noProof/>
        </w:rPr>
        <w:t xml:space="preserve"> and AI Development Act. </w:t>
      </w:r>
    </w:p>
    <w:p w14:paraId="06939AF7" w14:textId="77777777" w:rsidR="00B275D3" w:rsidRPr="00D37004" w:rsidRDefault="00B275D3" w:rsidP="00913325">
      <w:pPr>
        <w:pStyle w:val="Heading1"/>
        <w:numPr>
          <w:ilvl w:val="0"/>
          <w:numId w:val="18"/>
        </w:numPr>
        <w:ind w:hanging="720"/>
        <w:rPr>
          <w:rFonts w:eastAsia="Calibri"/>
          <w:noProof/>
          <w:lang w:val="en-IE"/>
        </w:rPr>
      </w:pPr>
      <w:bookmarkStart w:id="58" w:name="_Toc216283335"/>
      <w:bookmarkStart w:id="59" w:name="_Toc228346890"/>
      <w:r w:rsidRPr="00D37004">
        <w:rPr>
          <w:rFonts w:eastAsia="Calibri"/>
          <w:noProof/>
          <w:lang w:val="en-IE"/>
        </w:rPr>
        <w:t>Participants and methodology</w:t>
      </w:r>
      <w:bookmarkEnd w:id="58"/>
      <w:bookmarkEnd w:id="59"/>
    </w:p>
    <w:p w14:paraId="67ACB1F9" w14:textId="77777777" w:rsidR="00B275D3" w:rsidRPr="00D37004" w:rsidRDefault="00B275D3" w:rsidP="00913325">
      <w:pPr>
        <w:pStyle w:val="Heading2"/>
        <w:numPr>
          <w:ilvl w:val="1"/>
          <w:numId w:val="18"/>
        </w:numPr>
        <w:tabs>
          <w:tab w:val="num" w:pos="1060"/>
        </w:tabs>
        <w:rPr>
          <w:rFonts w:eastAsia="Calibri"/>
          <w:noProof/>
        </w:rPr>
      </w:pPr>
      <w:bookmarkStart w:id="60" w:name="_Toc216283336"/>
      <w:bookmarkStart w:id="61" w:name="_Toc228346891"/>
      <w:r w:rsidRPr="00C56364">
        <w:rPr>
          <w:rFonts w:eastAsia="Calibri"/>
          <w:noProof/>
        </w:rPr>
        <w:t>Participants</w:t>
      </w:r>
      <w:bookmarkEnd w:id="60"/>
      <w:bookmarkEnd w:id="61"/>
    </w:p>
    <w:p w14:paraId="673478CB" w14:textId="1C84EA51" w:rsidR="00B275D3" w:rsidRPr="00D37004" w:rsidRDefault="00B275D3" w:rsidP="00F65EF3">
      <w:pPr>
        <w:spacing w:after="120"/>
        <w:rPr>
          <w:noProof/>
        </w:rPr>
      </w:pPr>
      <w:r w:rsidRPr="00D37004">
        <w:rPr>
          <w:noProof/>
        </w:rPr>
        <w:t>A total of 436 responses to the PC were received: 243 for the consultation survey and 193 for the Call for Evidence. The largest share came from EU citizens, accounting for 33% of all responses. This was followed by companies (28%) and associations and trade unions (18%). Additional contributions came from academic and research institutions (9%), civil society and consumer organisations (7%), and public authorities (4%). Only 2% of all respondents were non-EU citizens.</w:t>
      </w:r>
    </w:p>
    <w:p w14:paraId="22D9A80C" w14:textId="780ADB06" w:rsidR="00D27B62" w:rsidRPr="00D37004" w:rsidRDefault="00B275D3" w:rsidP="00F65EF3">
      <w:pPr>
        <w:spacing w:after="120"/>
        <w:rPr>
          <w:noProof/>
        </w:rPr>
      </w:pPr>
      <w:r w:rsidRPr="00D37004">
        <w:rPr>
          <w:noProof/>
        </w:rPr>
        <w:t>In terms of geographical origin, 90% of respondents (393) were based within the E</w:t>
      </w:r>
      <w:r w:rsidR="004203C1">
        <w:rPr>
          <w:noProof/>
        </w:rPr>
        <w:t>U</w:t>
      </w:r>
      <w:r w:rsidRPr="00D37004">
        <w:rPr>
          <w:noProof/>
        </w:rPr>
        <w:t>. The remaining 10% (43 responses) came from non-EU countries, including the U</w:t>
      </w:r>
      <w:r w:rsidR="004203C1">
        <w:rPr>
          <w:noProof/>
        </w:rPr>
        <w:t>S</w:t>
      </w:r>
      <w:r w:rsidRPr="00D37004">
        <w:rPr>
          <w:noProof/>
        </w:rPr>
        <w:t xml:space="preserve"> (25 responses), United Kingdom (10), Switzerland (2). The Member States with the highest participation rate were Spain (78 responses; 18%), Germany (57; 13%), and both France and Belgium (56; 10% each). No responses were received from Bulgaria, Croatia, Latvia, or Malta.</w:t>
      </w:r>
      <w:r w:rsidR="00A056AE" w:rsidRPr="00D37004">
        <w:rPr>
          <w:noProof/>
        </w:rPr>
        <w:t xml:space="preserve"> </w:t>
      </w:r>
    </w:p>
    <w:p w14:paraId="354D995C" w14:textId="5B48903D" w:rsidR="00B275D3" w:rsidRPr="00D37004" w:rsidRDefault="00B275D3" w:rsidP="00F65EF3">
      <w:pPr>
        <w:spacing w:after="120"/>
        <w:rPr>
          <w:noProof/>
        </w:rPr>
      </w:pPr>
      <w:r w:rsidRPr="00D37004">
        <w:rPr>
          <w:noProof/>
        </w:rPr>
        <w:t xml:space="preserve">The 243 respondents to the questionnaire comprised 66 companies and private businesses (27%) including </w:t>
      </w:r>
      <w:r w:rsidR="001F3D1A" w:rsidRPr="00D37004">
        <w:rPr>
          <w:noProof/>
        </w:rPr>
        <w:t>17</w:t>
      </w:r>
      <w:r w:rsidRPr="00D37004">
        <w:rPr>
          <w:noProof/>
        </w:rPr>
        <w:t xml:space="preserve"> SMEs, 96 EU citizens (39%), and 13 public authorities (0.4%). Out of the 66 companies and private businesses, 57% were AI developers or deployers, 56% were cloud/edge/AI users, 48% were cloud/edge/telecommunications providers, 45% were data centre operators, and 7% were financial institutions.</w:t>
      </w:r>
      <w:r w:rsidRPr="00D37004">
        <w:rPr>
          <w:noProof/>
          <w:vertAlign w:val="superscript"/>
        </w:rPr>
        <w:footnoteReference w:id="3"/>
      </w:r>
    </w:p>
    <w:p w14:paraId="7D013423" w14:textId="77777777" w:rsidR="00B275D3" w:rsidRPr="00D37004" w:rsidRDefault="00B275D3" w:rsidP="00913325">
      <w:pPr>
        <w:pStyle w:val="Heading2"/>
        <w:numPr>
          <w:ilvl w:val="1"/>
          <w:numId w:val="18"/>
        </w:numPr>
        <w:tabs>
          <w:tab w:val="num" w:pos="1060"/>
        </w:tabs>
        <w:rPr>
          <w:rFonts w:eastAsia="Calibri"/>
          <w:noProof/>
        </w:rPr>
      </w:pPr>
      <w:bookmarkStart w:id="62" w:name="_Toc216283337"/>
      <w:bookmarkStart w:id="63" w:name="_Toc228346892"/>
      <w:r w:rsidRPr="00D37004">
        <w:rPr>
          <w:rFonts w:eastAsia="Calibri"/>
          <w:noProof/>
        </w:rPr>
        <w:t>Methodology</w:t>
      </w:r>
      <w:bookmarkEnd w:id="62"/>
      <w:bookmarkEnd w:id="63"/>
    </w:p>
    <w:p w14:paraId="7A2F7091" w14:textId="7F29E0AB" w:rsidR="00B275D3" w:rsidRPr="00D37004" w:rsidRDefault="00B275D3" w:rsidP="00B275D3">
      <w:pPr>
        <w:rPr>
          <w:noProof/>
        </w:rPr>
      </w:pPr>
      <w:r w:rsidRPr="00D37004">
        <w:rPr>
          <w:noProof/>
        </w:rPr>
        <w:t>The responses to the OPC were subjected to quantitative and qualitative analys</w:t>
      </w:r>
      <w:r w:rsidR="748469CD" w:rsidRPr="00D37004">
        <w:rPr>
          <w:noProof/>
        </w:rPr>
        <w:t>e</w:t>
      </w:r>
      <w:r w:rsidRPr="00D37004">
        <w:rPr>
          <w:noProof/>
        </w:rPr>
        <w:t xml:space="preserve">s. In the quantitative analysis, the respondents were ordered into the main categories considered relevant for the analysis. The answers were mapped and analysed to identify patterns as regards “who thinks what?”. When considering the views of </w:t>
      </w:r>
      <w:r w:rsidR="00F760B9">
        <w:rPr>
          <w:noProof/>
        </w:rPr>
        <w:t>respondents</w:t>
      </w:r>
      <w:r w:rsidRPr="00D37004">
        <w:rPr>
          <w:noProof/>
        </w:rPr>
        <w:t xml:space="preserve"> on questions where they were asked to rank on a scale of 1 to 5 (1 = not very important, 5 = very important), only responses ranked 4 or 5 were considered when determining </w:t>
      </w:r>
      <w:r w:rsidR="00F760B9">
        <w:rPr>
          <w:noProof/>
        </w:rPr>
        <w:t>respondents</w:t>
      </w:r>
      <w:r w:rsidR="004C6D13">
        <w:rPr>
          <w:noProof/>
        </w:rPr>
        <w:t>’</w:t>
      </w:r>
      <w:r w:rsidRPr="00D37004">
        <w:rPr>
          <w:noProof/>
        </w:rPr>
        <w:t xml:space="preserve"> positions on each issue. The qualitative analysis of open responses and position papers was carried out in two stages. In a first step, the content of the submissions was synthesised to capture the main experiences and feedback of </w:t>
      </w:r>
      <w:r w:rsidR="00F760B9">
        <w:rPr>
          <w:noProof/>
        </w:rPr>
        <w:t>respondents</w:t>
      </w:r>
      <w:r w:rsidRPr="00D37004">
        <w:rPr>
          <w:noProof/>
        </w:rPr>
        <w:t>. In a second step, these summaries were clustered according to the type of issue raised, so that contributions addressing comparable concerns were considered together irrespective of their specific wording. This approach allowed for a structured overview of the main perspectives</w:t>
      </w:r>
      <w:r w:rsidR="00D3113C">
        <w:rPr>
          <w:noProof/>
        </w:rPr>
        <w:t xml:space="preserve"> of the respondents</w:t>
      </w:r>
      <w:r w:rsidRPr="00D37004">
        <w:rPr>
          <w:noProof/>
        </w:rPr>
        <w:t>.</w:t>
      </w:r>
    </w:p>
    <w:p w14:paraId="08FE51A2" w14:textId="77777777" w:rsidR="00B275D3" w:rsidRPr="00D37004" w:rsidRDefault="00B275D3" w:rsidP="00913325">
      <w:pPr>
        <w:pStyle w:val="Heading1"/>
        <w:numPr>
          <w:ilvl w:val="0"/>
          <w:numId w:val="18"/>
        </w:numPr>
        <w:ind w:hanging="720"/>
        <w:rPr>
          <w:rFonts w:eastAsia="Calibri"/>
          <w:noProof/>
          <w:lang w:val="en-IE"/>
        </w:rPr>
      </w:pPr>
      <w:bookmarkStart w:id="64" w:name="_Toc216283338"/>
      <w:bookmarkStart w:id="65" w:name="_Toc228346893"/>
      <w:r w:rsidRPr="00D37004">
        <w:rPr>
          <w:rFonts w:eastAsia="Calibri"/>
          <w:noProof/>
          <w:lang w:val="en-IE"/>
        </w:rPr>
        <w:t>Analysis of the stakeholder consultation</w:t>
      </w:r>
      <w:bookmarkEnd w:id="64"/>
      <w:bookmarkEnd w:id="65"/>
    </w:p>
    <w:p w14:paraId="1F8E5725" w14:textId="0DBE17F8" w:rsidR="00B275D3" w:rsidRPr="00D37004" w:rsidRDefault="00B275D3" w:rsidP="00B275D3">
      <w:pPr>
        <w:rPr>
          <w:noProof/>
        </w:rPr>
      </w:pPr>
      <w:r w:rsidRPr="00D37004">
        <w:rPr>
          <w:noProof/>
        </w:rPr>
        <w:t xml:space="preserve">The </w:t>
      </w:r>
      <w:r w:rsidR="00F760B9">
        <w:rPr>
          <w:noProof/>
        </w:rPr>
        <w:t>respondent</w:t>
      </w:r>
      <w:r w:rsidRPr="00D37004">
        <w:rPr>
          <w:noProof/>
        </w:rPr>
        <w:t xml:space="preserve"> input gathered through the OPC highlighted four core policy challenges, which directly inform</w:t>
      </w:r>
      <w:r w:rsidR="2C45CA76" w:rsidRPr="00D37004">
        <w:rPr>
          <w:noProof/>
        </w:rPr>
        <w:t>ed</w:t>
      </w:r>
      <w:r w:rsidRPr="00D37004">
        <w:rPr>
          <w:noProof/>
        </w:rPr>
        <w:t xml:space="preserve"> the structure of potential policy options under consideration for the </w:t>
      </w:r>
      <w:r w:rsidR="0001203E">
        <w:rPr>
          <w:noProof/>
        </w:rPr>
        <w:t>cloud</w:t>
      </w:r>
      <w:r w:rsidRPr="00D37004">
        <w:rPr>
          <w:noProof/>
        </w:rPr>
        <w:t xml:space="preserve"> and AI Development Act. The main challenges and problems identified through the OPC are:</w:t>
      </w:r>
    </w:p>
    <w:p w14:paraId="32B1EF1F" w14:textId="77777777" w:rsidR="00B275D3" w:rsidRPr="00D37004" w:rsidRDefault="00B275D3" w:rsidP="00913325">
      <w:pPr>
        <w:numPr>
          <w:ilvl w:val="0"/>
          <w:numId w:val="9"/>
        </w:numPr>
        <w:spacing w:after="120"/>
        <w:ind w:left="714" w:hanging="357"/>
        <w:rPr>
          <w:noProof/>
        </w:rPr>
      </w:pPr>
      <w:r w:rsidRPr="00D37004">
        <w:rPr>
          <w:noProof/>
        </w:rPr>
        <w:t>The strategic dependency of EU businesses and public authorities on non-EU providers of AI and cloud services, raising questions about sovereignty, resilience, and competitiveness;</w:t>
      </w:r>
    </w:p>
    <w:p w14:paraId="6F2F5971" w14:textId="77777777" w:rsidR="00B275D3" w:rsidRPr="00D37004" w:rsidRDefault="00B275D3" w:rsidP="00913325">
      <w:pPr>
        <w:numPr>
          <w:ilvl w:val="0"/>
          <w:numId w:val="9"/>
        </w:numPr>
        <w:spacing w:after="120"/>
        <w:ind w:left="714" w:hanging="357"/>
        <w:rPr>
          <w:noProof/>
        </w:rPr>
      </w:pPr>
      <w:r w:rsidRPr="00D37004">
        <w:rPr>
          <w:noProof/>
        </w:rPr>
        <w:t>Structural and regulatory bottlenecks hindering the expansion of data centre capacity across the EU, particularly in the face of growing AI-related demand;</w:t>
      </w:r>
    </w:p>
    <w:p w14:paraId="06873472" w14:textId="415FBAEE" w:rsidR="00B275D3" w:rsidRPr="00D37004" w:rsidRDefault="00B275D3" w:rsidP="00913325">
      <w:pPr>
        <w:numPr>
          <w:ilvl w:val="0"/>
          <w:numId w:val="9"/>
        </w:numPr>
        <w:spacing w:after="120"/>
        <w:ind w:left="714" w:hanging="357"/>
        <w:rPr>
          <w:noProof/>
        </w:rPr>
      </w:pPr>
      <w:r w:rsidRPr="00D37004">
        <w:rPr>
          <w:noProof/>
        </w:rPr>
        <w:t>Barriers to the digital transformation of the public sector, including limited capacity, fragmented compliance, and complex procurement procedures; and</w:t>
      </w:r>
    </w:p>
    <w:p w14:paraId="0BF3BE94" w14:textId="4E2EAC9F" w:rsidR="00B275D3" w:rsidRPr="00D37004" w:rsidRDefault="00B275D3" w:rsidP="00913325">
      <w:pPr>
        <w:numPr>
          <w:ilvl w:val="0"/>
          <w:numId w:val="9"/>
        </w:numPr>
        <w:spacing w:after="120"/>
        <w:ind w:left="714" w:hanging="357"/>
        <w:rPr>
          <w:noProof/>
        </w:rPr>
      </w:pPr>
      <w:r w:rsidRPr="00D37004">
        <w:rPr>
          <w:noProof/>
        </w:rPr>
        <w:t xml:space="preserve">The absence of a common EU-level definition and operational criteria for 'sovereign' cloud and AI </w:t>
      </w:r>
      <w:r w:rsidR="00A011FC">
        <w:rPr>
          <w:noProof/>
        </w:rPr>
        <w:t>computing services</w:t>
      </w:r>
      <w:r w:rsidRPr="00D37004">
        <w:rPr>
          <w:noProof/>
        </w:rPr>
        <w:t>, leading to legal uncertainty and inconsistent implementation across Member States.</w:t>
      </w:r>
    </w:p>
    <w:p w14:paraId="39D13E16" w14:textId="77777777" w:rsidR="00B275D3" w:rsidRPr="00D37004" w:rsidRDefault="00B275D3" w:rsidP="008D0BAC">
      <w:pPr>
        <w:pStyle w:val="Heading2"/>
        <w:numPr>
          <w:ilvl w:val="1"/>
          <w:numId w:val="9"/>
        </w:numPr>
        <w:ind w:left="993" w:hanging="567"/>
        <w:rPr>
          <w:rFonts w:eastAsia="Calibri"/>
          <w:noProof/>
        </w:rPr>
      </w:pPr>
      <w:bookmarkStart w:id="66" w:name="_Toc214902992"/>
      <w:bookmarkStart w:id="67" w:name="_Toc216118862"/>
      <w:bookmarkStart w:id="68" w:name="_Toc216283339"/>
      <w:bookmarkStart w:id="69" w:name="_Toc228346894"/>
      <w:bookmarkEnd w:id="66"/>
      <w:bookmarkEnd w:id="67"/>
      <w:r w:rsidRPr="00D37004">
        <w:rPr>
          <w:rFonts w:eastAsia="Calibri"/>
          <w:noProof/>
        </w:rPr>
        <w:t>EU businesses and public authorities’ dependency on non-EU cloud and AI providers</w:t>
      </w:r>
      <w:bookmarkEnd w:id="68"/>
      <w:bookmarkEnd w:id="69"/>
    </w:p>
    <w:p w14:paraId="779ABBEB" w14:textId="784E1E62" w:rsidR="00B275D3" w:rsidRPr="00D37004" w:rsidRDefault="00B275D3" w:rsidP="00F65EF3">
      <w:pPr>
        <w:spacing w:after="120"/>
        <w:rPr>
          <w:noProof/>
        </w:rPr>
      </w:pPr>
      <w:r w:rsidRPr="00D37004">
        <w:rPr>
          <w:noProof/>
        </w:rPr>
        <w:t>The hyperscalers are recogni</w:t>
      </w:r>
      <w:r w:rsidR="00B81CED">
        <w:rPr>
          <w:noProof/>
        </w:rPr>
        <w:t>s</w:t>
      </w:r>
      <w:r w:rsidRPr="00D37004">
        <w:rPr>
          <w:noProof/>
        </w:rPr>
        <w:t xml:space="preserve">ed for their ability to deliver comprehensive, ready-to-use business services that European providers have yet to match. For example, in terms of AI </w:t>
      </w:r>
      <w:r w:rsidR="00343147">
        <w:rPr>
          <w:noProof/>
        </w:rPr>
        <w:t>computing</w:t>
      </w:r>
      <w:r w:rsidRPr="00D37004">
        <w:rPr>
          <w:noProof/>
        </w:rPr>
        <w:t xml:space="preserve"> services, out of the respondents that provided an answer in the questionnaire, </w:t>
      </w:r>
      <w:r w:rsidRPr="005739D4">
        <w:rPr>
          <w:noProof/>
        </w:rPr>
        <w:t>48%</w:t>
      </w:r>
      <w:r w:rsidRPr="00D37004">
        <w:rPr>
          <w:noProof/>
        </w:rPr>
        <w:t xml:space="preserve"> indicated that only hyperscalers could offer those services and only </w:t>
      </w:r>
      <w:r w:rsidRPr="005739D4">
        <w:rPr>
          <w:noProof/>
        </w:rPr>
        <w:t>3%</w:t>
      </w:r>
      <w:r w:rsidRPr="00D37004">
        <w:rPr>
          <w:noProof/>
        </w:rPr>
        <w:t xml:space="preserve"> said that European providers were capable of offering those services. Despite this reliance, respondents emphasized the critical need for trusted EU-based cloud service providers, particularly for processing sensitive data. When selecting cloud service providers, users prioritise cybersecurity (97%), data location (87%), connectivity (81%), and innovation (81%) as their primary criteria.</w:t>
      </w:r>
    </w:p>
    <w:p w14:paraId="06282202" w14:textId="0CC958D4" w:rsidR="00B275D3" w:rsidRPr="00D37004" w:rsidRDefault="00B275D3" w:rsidP="00F65EF3">
      <w:pPr>
        <w:spacing w:after="120"/>
        <w:rPr>
          <w:noProof/>
        </w:rPr>
      </w:pPr>
      <w:r w:rsidRPr="00D37004">
        <w:rPr>
          <w:noProof/>
        </w:rPr>
        <w:t xml:space="preserve">Among respondents who provided an answer, when selecting a cloud provider, </w:t>
      </w:r>
      <w:r w:rsidRPr="005739D4">
        <w:rPr>
          <w:noProof/>
        </w:rPr>
        <w:t>82</w:t>
      </w:r>
      <w:r w:rsidRPr="00D37004">
        <w:rPr>
          <w:noProof/>
        </w:rPr>
        <w:t xml:space="preserve">% were concerned that provider was headquartered in a third country that poses specific cybersecurity threats to the EU. In addition, </w:t>
      </w:r>
      <w:r w:rsidRPr="005739D4">
        <w:rPr>
          <w:noProof/>
        </w:rPr>
        <w:t>58</w:t>
      </w:r>
      <w:r w:rsidRPr="00D37004">
        <w:rPr>
          <w:noProof/>
        </w:rPr>
        <w:t xml:space="preserve">% were concerned about vendor lock-in and </w:t>
      </w:r>
      <w:r w:rsidRPr="005739D4">
        <w:rPr>
          <w:noProof/>
        </w:rPr>
        <w:t>42</w:t>
      </w:r>
      <w:r w:rsidRPr="00D37004">
        <w:rPr>
          <w:noProof/>
        </w:rPr>
        <w:t>% considered as a challenge the limited access to computational capacity in the EU. Finally</w:t>
      </w:r>
      <w:r w:rsidR="00B14F1A" w:rsidRPr="00D37004">
        <w:rPr>
          <w:noProof/>
        </w:rPr>
        <w:t>,</w:t>
      </w:r>
      <w:r w:rsidRPr="00D37004">
        <w:rPr>
          <w:noProof/>
        </w:rPr>
        <w:t xml:space="preserve"> </w:t>
      </w:r>
      <w:r w:rsidRPr="005739D4">
        <w:rPr>
          <w:noProof/>
        </w:rPr>
        <w:t>89</w:t>
      </w:r>
      <w:r w:rsidRPr="00D37004">
        <w:rPr>
          <w:noProof/>
        </w:rPr>
        <w:t>% considered that the location of the data was one of the main factors impacting their choice of Cloud/Edge/AI provider.</w:t>
      </w:r>
      <w:r w:rsidR="00834106" w:rsidRPr="00D37004">
        <w:rPr>
          <w:noProof/>
        </w:rPr>
        <w:t xml:space="preserve"> </w:t>
      </w:r>
    </w:p>
    <w:p w14:paraId="61E33EA8" w14:textId="34365E89" w:rsidR="00834106" w:rsidRPr="00D37004" w:rsidRDefault="00834106" w:rsidP="00F65EF3">
      <w:pPr>
        <w:spacing w:after="120"/>
        <w:rPr>
          <w:noProof/>
        </w:rPr>
      </w:pPr>
      <w:r w:rsidRPr="00D37004">
        <w:rPr>
          <w:noProof/>
        </w:rPr>
        <w:t>In the CfE, public authorities showed widespread concern about Europe’s dependency on non-EU cloud and AI providers; however, there was some divergence on the solutions. Some authorities described the situation as a “market failure” due to the lack of viable European alternatives in key service areas and called for supplier diversification. Other public authorities advocated risk-based approaches to avoid protectionist outcomes. Some EU citizens questioned the structural reliance on private actors and proprietary systems while advocating for an EU-first approach and arguing that transformation cannot succeed while relying on foreign vendors whose strategic incentives may not align with public interest objectives.</w:t>
      </w:r>
    </w:p>
    <w:p w14:paraId="159F8BE3" w14:textId="2339BD55" w:rsidR="00B275D3" w:rsidRPr="00D37004" w:rsidRDefault="00B275D3" w:rsidP="00F65EF3">
      <w:pPr>
        <w:pStyle w:val="Heading3"/>
        <w:numPr>
          <w:ilvl w:val="2"/>
          <w:numId w:val="18"/>
        </w:numPr>
        <w:spacing w:after="120"/>
        <w:ind w:left="1871"/>
        <w:rPr>
          <w:rFonts w:eastAsia="Calibri"/>
          <w:noProof/>
        </w:rPr>
      </w:pPr>
      <w:r w:rsidRPr="008D0BAC">
        <w:rPr>
          <w:rFonts w:eastAsia="Calibri"/>
          <w:noProof/>
          <w:lang w:val="en-GB"/>
        </w:rPr>
        <w:t>Policy</w:t>
      </w:r>
      <w:r w:rsidRPr="00D37004">
        <w:rPr>
          <w:rFonts w:eastAsia="Calibri"/>
          <w:noProof/>
        </w:rPr>
        <w:t xml:space="preserve"> measures</w:t>
      </w:r>
    </w:p>
    <w:p w14:paraId="59E610A4" w14:textId="0B427E60" w:rsidR="00D558C6" w:rsidRPr="00D37004" w:rsidRDefault="00D558C6" w:rsidP="00B275D3">
      <w:pPr>
        <w:rPr>
          <w:noProof/>
          <w:highlight w:val="yellow"/>
        </w:rPr>
      </w:pPr>
      <w:r w:rsidRPr="00D37004">
        <w:rPr>
          <w:noProof/>
        </w:rPr>
        <w:t xml:space="preserve">In the CfE, </w:t>
      </w:r>
      <w:r w:rsidR="00DE3DD2">
        <w:rPr>
          <w:noProof/>
        </w:rPr>
        <w:t>respondents</w:t>
      </w:r>
      <w:r w:rsidRPr="00D37004">
        <w:rPr>
          <w:noProof/>
        </w:rPr>
        <w:t xml:space="preserve"> were generally in favour of simplifying permitting requirements and one-stop-shop to facilitate the deployment of data centres in the EU (see Section 4.2.1 below). European companies and business associations expressed strong interest in setting up sovereignty requirements and introducing “Buy EU” criteria in public tenders, whereas their global counterparts cautioned against digital protectionism and argued digital trust could be achieved without exclusion based on geographical origin (see Section 4.4.1).</w:t>
      </w:r>
    </w:p>
    <w:p w14:paraId="504FF8FE" w14:textId="14413EB6" w:rsidR="00B275D3" w:rsidRPr="00D37004" w:rsidRDefault="00B275D3" w:rsidP="008D0BAC">
      <w:pPr>
        <w:pStyle w:val="Heading2"/>
        <w:numPr>
          <w:ilvl w:val="1"/>
          <w:numId w:val="9"/>
        </w:numPr>
        <w:ind w:left="993" w:hanging="567"/>
        <w:rPr>
          <w:rFonts w:eastAsia="Calibri"/>
          <w:noProof/>
        </w:rPr>
      </w:pPr>
      <w:bookmarkStart w:id="70" w:name="_Toc216283340"/>
      <w:bookmarkStart w:id="71" w:name="_Toc228346895"/>
      <w:r w:rsidRPr="00D37004">
        <w:rPr>
          <w:rFonts w:eastAsia="Calibri"/>
          <w:noProof/>
        </w:rPr>
        <w:t>Bottlenecks to expand (sustainable) data centre capacity within the EU</w:t>
      </w:r>
      <w:bookmarkEnd w:id="70"/>
      <w:bookmarkEnd w:id="71"/>
    </w:p>
    <w:p w14:paraId="27100077" w14:textId="790F62E1" w:rsidR="00B275D3" w:rsidRPr="00D37004" w:rsidRDefault="00B275D3" w:rsidP="00F65EF3">
      <w:pPr>
        <w:spacing w:after="120"/>
        <w:rPr>
          <w:noProof/>
        </w:rPr>
      </w:pPr>
      <w:r w:rsidRPr="00D37004">
        <w:rPr>
          <w:noProof/>
        </w:rPr>
        <w:t xml:space="preserve">Data centre operators (‘operators’) demonstrated strong investment intentions in AI infrastructure, with </w:t>
      </w:r>
      <w:r w:rsidRPr="005739D4">
        <w:rPr>
          <w:noProof/>
        </w:rPr>
        <w:t>80</w:t>
      </w:r>
      <w:r w:rsidRPr="00D37004">
        <w:rPr>
          <w:noProof/>
        </w:rPr>
        <w:t xml:space="preserve">% of them planning to expand capacity within the EU. Among operators, </w:t>
      </w:r>
      <w:r w:rsidRPr="005739D4">
        <w:rPr>
          <w:noProof/>
        </w:rPr>
        <w:t>77</w:t>
      </w:r>
      <w:r w:rsidRPr="00D37004">
        <w:rPr>
          <w:noProof/>
        </w:rPr>
        <w:t xml:space="preserve">% replied future infrastructure would be dedicated to general purpose computation, </w:t>
      </w:r>
      <w:r w:rsidRPr="005739D4">
        <w:rPr>
          <w:noProof/>
        </w:rPr>
        <w:t>70</w:t>
      </w:r>
      <w:r w:rsidRPr="00D37004">
        <w:rPr>
          <w:noProof/>
        </w:rPr>
        <w:t xml:space="preserve">% indicated it would be used for AI model inference, </w:t>
      </w:r>
      <w:r w:rsidRPr="005739D4">
        <w:rPr>
          <w:noProof/>
        </w:rPr>
        <w:t>60</w:t>
      </w:r>
      <w:r w:rsidRPr="00D37004">
        <w:rPr>
          <w:noProof/>
        </w:rPr>
        <w:t xml:space="preserve">% on AI model training, and </w:t>
      </w:r>
      <w:r w:rsidRPr="005739D4">
        <w:rPr>
          <w:noProof/>
        </w:rPr>
        <w:t>33</w:t>
      </w:r>
      <w:r w:rsidRPr="00D37004">
        <w:rPr>
          <w:noProof/>
        </w:rPr>
        <w:t xml:space="preserve">% on edge AI. </w:t>
      </w:r>
    </w:p>
    <w:p w14:paraId="2BEEA70E" w14:textId="66873F5E" w:rsidR="00B275D3" w:rsidRPr="00D37004" w:rsidRDefault="00B275D3" w:rsidP="00F65EF3">
      <w:pPr>
        <w:spacing w:after="120"/>
        <w:rPr>
          <w:noProof/>
        </w:rPr>
      </w:pPr>
      <w:r w:rsidRPr="00D37004">
        <w:rPr>
          <w:noProof/>
        </w:rPr>
        <w:t>Despite this enthusiasm, operators face substantial barriers that may hamper their expansion plans. Complex and lengthy permitting procedures emerged as the primary challenge (</w:t>
      </w:r>
      <w:r w:rsidRPr="005739D4">
        <w:rPr>
          <w:noProof/>
        </w:rPr>
        <w:t>87</w:t>
      </w:r>
      <w:r w:rsidRPr="00D37004">
        <w:rPr>
          <w:noProof/>
        </w:rPr>
        <w:t>%), followed closely by limited access to energy resources (</w:t>
      </w:r>
      <w:r w:rsidRPr="005739D4">
        <w:rPr>
          <w:noProof/>
        </w:rPr>
        <w:t>83</w:t>
      </w:r>
      <w:r w:rsidRPr="00D37004">
        <w:rPr>
          <w:noProof/>
        </w:rPr>
        <w:t xml:space="preserve">%). The prevalence and severity of these obstacles is illustrated by the fact that </w:t>
      </w:r>
      <w:r w:rsidRPr="005739D4">
        <w:rPr>
          <w:noProof/>
        </w:rPr>
        <w:t>57</w:t>
      </w:r>
      <w:r w:rsidRPr="00D37004">
        <w:rPr>
          <w:noProof/>
        </w:rPr>
        <w:t xml:space="preserve">% of operators need on average between 3 and 5 years for the data centre to be operational, and </w:t>
      </w:r>
      <w:r w:rsidRPr="005739D4">
        <w:rPr>
          <w:noProof/>
        </w:rPr>
        <w:t>13</w:t>
      </w:r>
      <w:r w:rsidRPr="00D37004">
        <w:rPr>
          <w:noProof/>
        </w:rPr>
        <w:t xml:space="preserve">% of them need between 5 and 7 years. </w:t>
      </w:r>
    </w:p>
    <w:p w14:paraId="7D8B850C" w14:textId="6A14D94A" w:rsidR="00B275D3" w:rsidRPr="00D37004" w:rsidRDefault="00B275D3" w:rsidP="00F65EF3">
      <w:pPr>
        <w:spacing w:after="120"/>
        <w:rPr>
          <w:noProof/>
        </w:rPr>
      </w:pPr>
      <w:r w:rsidRPr="00D37004">
        <w:rPr>
          <w:noProof/>
        </w:rPr>
        <w:t xml:space="preserve">The presence of those bottlenecks is supported by the responses to the CfE where connection to the electrical grid was also identified as a key bottleneck by several respondents. One business association indicated it could take up to 7 or 8 years for transmission access and </w:t>
      </w:r>
      <w:r w:rsidRPr="005739D4">
        <w:rPr>
          <w:noProof/>
        </w:rPr>
        <w:t>two</w:t>
      </w:r>
      <w:r w:rsidRPr="00D37004">
        <w:rPr>
          <w:noProof/>
        </w:rPr>
        <w:t xml:space="preserve"> operators mentioned grid connection could take up to a decade. In addition, one business association considered those problems were exacerbated by growing local opposition to the construction of data centres, a phenomenon often termed “not in my backyard”.</w:t>
      </w:r>
    </w:p>
    <w:p w14:paraId="6C7C09B4" w14:textId="25C14E63" w:rsidR="00B275D3" w:rsidRPr="00D37004" w:rsidRDefault="00B275D3" w:rsidP="00F65EF3">
      <w:pPr>
        <w:spacing w:after="120"/>
        <w:rPr>
          <w:noProof/>
        </w:rPr>
      </w:pPr>
      <w:r w:rsidRPr="00D37004">
        <w:rPr>
          <w:noProof/>
        </w:rPr>
        <w:t>The factors considered by operators regarding building new data centres or exp</w:t>
      </w:r>
      <w:r w:rsidR="6D23E77E" w:rsidRPr="00D37004">
        <w:rPr>
          <w:noProof/>
        </w:rPr>
        <w:t>a</w:t>
      </w:r>
      <w:r w:rsidRPr="00D37004">
        <w:rPr>
          <w:noProof/>
        </w:rPr>
        <w:t>nding existing infrastructures are energy availability (</w:t>
      </w:r>
      <w:r w:rsidRPr="005739D4">
        <w:rPr>
          <w:noProof/>
        </w:rPr>
        <w:t>91</w:t>
      </w:r>
      <w:r w:rsidRPr="00D37004">
        <w:rPr>
          <w:noProof/>
        </w:rPr>
        <w:t>%), as well as long approval times (</w:t>
      </w:r>
      <w:r w:rsidRPr="005739D4">
        <w:rPr>
          <w:noProof/>
        </w:rPr>
        <w:t>83</w:t>
      </w:r>
      <w:r w:rsidRPr="00D37004">
        <w:rPr>
          <w:noProof/>
        </w:rPr>
        <w:t>%), permitting procedures (</w:t>
      </w:r>
      <w:r w:rsidRPr="005739D4">
        <w:rPr>
          <w:noProof/>
        </w:rPr>
        <w:t>82</w:t>
      </w:r>
      <w:r w:rsidRPr="00D37004">
        <w:rPr>
          <w:noProof/>
        </w:rPr>
        <w:t>%) and the complexity of the regulatory framework (</w:t>
      </w:r>
      <w:r w:rsidRPr="005739D4">
        <w:rPr>
          <w:noProof/>
        </w:rPr>
        <w:t>75</w:t>
      </w:r>
      <w:r w:rsidRPr="00D37004">
        <w:rPr>
          <w:noProof/>
        </w:rPr>
        <w:t>%).</w:t>
      </w:r>
      <w:r w:rsidRPr="00D37004">
        <w:rPr>
          <w:noProof/>
          <w:vertAlign w:val="superscript"/>
        </w:rPr>
        <w:footnoteReference w:id="4"/>
      </w:r>
      <w:r w:rsidRPr="00D37004">
        <w:rPr>
          <w:noProof/>
        </w:rPr>
        <w:t xml:space="preserve"> Those factors reflect the importance given by operators to grid connections and the entire permitting process. </w:t>
      </w:r>
    </w:p>
    <w:p w14:paraId="29F09422" w14:textId="77777777" w:rsidR="00C04BE8" w:rsidRPr="00D37004" w:rsidRDefault="00B275D3" w:rsidP="00F65EF3">
      <w:pPr>
        <w:spacing w:after="120"/>
        <w:rPr>
          <w:noProof/>
        </w:rPr>
      </w:pPr>
      <w:r w:rsidRPr="00D37004">
        <w:rPr>
          <w:noProof/>
        </w:rPr>
        <w:t xml:space="preserve">Access to finance also appears to be a common hurdle with </w:t>
      </w:r>
      <w:r w:rsidRPr="005739D4">
        <w:rPr>
          <w:noProof/>
        </w:rPr>
        <w:t>50</w:t>
      </w:r>
      <w:r w:rsidRPr="00D37004">
        <w:rPr>
          <w:noProof/>
        </w:rPr>
        <w:t xml:space="preserve">% of operators and </w:t>
      </w:r>
      <w:r w:rsidRPr="005739D4">
        <w:rPr>
          <w:noProof/>
        </w:rPr>
        <w:t>53</w:t>
      </w:r>
      <w:r w:rsidRPr="00D37004">
        <w:rPr>
          <w:noProof/>
        </w:rPr>
        <w:t>% of Cloud/Telco/edge providers considering high interest rates as a limitation when expending their capacity in the EU.</w:t>
      </w:r>
      <w:r w:rsidRPr="00D37004">
        <w:rPr>
          <w:noProof/>
          <w:vertAlign w:val="superscript"/>
        </w:rPr>
        <w:footnoteReference w:id="5"/>
      </w:r>
      <w:r w:rsidRPr="00D37004">
        <w:rPr>
          <w:noProof/>
        </w:rPr>
        <w:t xml:space="preserve"> In addition, </w:t>
      </w:r>
      <w:r w:rsidRPr="005739D4">
        <w:rPr>
          <w:noProof/>
        </w:rPr>
        <w:t>several</w:t>
      </w:r>
      <w:r w:rsidRPr="00D37004">
        <w:rPr>
          <w:noProof/>
        </w:rPr>
        <w:t xml:space="preserve"> SMEs expressed mounting concerns over high operational costs when it comes to infrastructure expansion in the EU.</w:t>
      </w:r>
    </w:p>
    <w:p w14:paraId="7BF2FD67" w14:textId="2054FC89" w:rsidR="00B275D3" w:rsidRPr="00D37004" w:rsidRDefault="00B275D3" w:rsidP="00B275D3">
      <w:pPr>
        <w:rPr>
          <w:noProof/>
        </w:rPr>
      </w:pPr>
      <w:r w:rsidRPr="00D37004">
        <w:rPr>
          <w:noProof/>
        </w:rPr>
        <w:t xml:space="preserve">In the </w:t>
      </w:r>
      <w:r w:rsidR="00B619DB" w:rsidRPr="00D37004">
        <w:rPr>
          <w:noProof/>
        </w:rPr>
        <w:t>CfE</w:t>
      </w:r>
      <w:r w:rsidRPr="00D37004">
        <w:rPr>
          <w:noProof/>
        </w:rPr>
        <w:t>, public authorities agreed on the need for increased data centre capacity while stressing different strategic priorities. I</w:t>
      </w:r>
      <w:r w:rsidR="00347CFD" w:rsidRPr="00D37004">
        <w:rPr>
          <w:noProof/>
        </w:rPr>
        <w:t>n</w:t>
      </w:r>
      <w:r w:rsidR="596B436A" w:rsidRPr="00D37004">
        <w:rPr>
          <w:noProof/>
        </w:rPr>
        <w:t>dustry</w:t>
      </w:r>
      <w:r w:rsidRPr="00D37004">
        <w:rPr>
          <w:noProof/>
        </w:rPr>
        <w:t xml:space="preserve"> associations identified fragmented permitting regimes</w:t>
      </w:r>
      <w:r w:rsidR="3786F4EA" w:rsidRPr="00D37004">
        <w:rPr>
          <w:noProof/>
        </w:rPr>
        <w:t xml:space="preserve"> across Europe</w:t>
      </w:r>
      <w:r w:rsidRPr="00D37004">
        <w:rPr>
          <w:noProof/>
        </w:rPr>
        <w:t>, limited energy access, and regional disparities as persistent constraints on capacity scaling.</w:t>
      </w:r>
      <w:r w:rsidR="008E5FB3" w:rsidRPr="00D37004">
        <w:rPr>
          <w:noProof/>
        </w:rPr>
        <w:t xml:space="preserve"> It is important to note that in the CfE, some EU citizens challenged the expansion narrative entirely, criticizing the approach for the ignoring social and environmental costs of AI and advocating for binding limits on resource consumption rather than efficiency improvements alone.</w:t>
      </w:r>
    </w:p>
    <w:p w14:paraId="26D23A18" w14:textId="77777777" w:rsidR="00B275D3" w:rsidRPr="00D37004" w:rsidRDefault="00B275D3" w:rsidP="008D0BAC">
      <w:pPr>
        <w:pStyle w:val="Heading3"/>
        <w:numPr>
          <w:ilvl w:val="2"/>
          <w:numId w:val="18"/>
        </w:numPr>
        <w:ind w:left="1872"/>
        <w:rPr>
          <w:rFonts w:eastAsia="Calibri"/>
          <w:noProof/>
        </w:rPr>
      </w:pPr>
      <w:r w:rsidRPr="008D0BAC">
        <w:rPr>
          <w:rFonts w:eastAsia="Calibri"/>
          <w:noProof/>
          <w:lang w:val="en-GB"/>
        </w:rPr>
        <w:t>Policy</w:t>
      </w:r>
      <w:r w:rsidRPr="00D37004">
        <w:rPr>
          <w:rFonts w:eastAsia="Calibri"/>
          <w:noProof/>
        </w:rPr>
        <w:t xml:space="preserve"> measures</w:t>
      </w:r>
    </w:p>
    <w:p w14:paraId="0A6835E5" w14:textId="20C1F664" w:rsidR="005F3A2D" w:rsidRPr="00D37004" w:rsidRDefault="005F3A2D" w:rsidP="005F3A2D">
      <w:pPr>
        <w:rPr>
          <w:noProof/>
        </w:rPr>
      </w:pPr>
      <w:r w:rsidRPr="00D37004">
        <w:rPr>
          <w:noProof/>
        </w:rPr>
        <w:t xml:space="preserve">Overall, across all </w:t>
      </w:r>
      <w:r w:rsidR="00DE3DD2">
        <w:rPr>
          <w:noProof/>
        </w:rPr>
        <w:t>respondent</w:t>
      </w:r>
      <w:r w:rsidRPr="00D37004">
        <w:rPr>
          <w:noProof/>
        </w:rPr>
        <w:t xml:space="preserve"> groups, </w:t>
      </w:r>
      <w:r w:rsidRPr="005739D4">
        <w:rPr>
          <w:noProof/>
        </w:rPr>
        <w:t>45%</w:t>
      </w:r>
      <w:r w:rsidRPr="00D37004">
        <w:rPr>
          <w:noProof/>
        </w:rPr>
        <w:t xml:space="preserve"> considered that having a one-stop-shop service to deal with permits at different administrative levels should be a priority action at EU level to boost the availability of sufficient and adequate cloud capacity for AI workloads; and </w:t>
      </w:r>
      <w:r w:rsidRPr="005739D4">
        <w:rPr>
          <w:noProof/>
        </w:rPr>
        <w:t>46%</w:t>
      </w:r>
      <w:r w:rsidRPr="00D37004">
        <w:rPr>
          <w:noProof/>
        </w:rPr>
        <w:t xml:space="preserve"> considered it essential to reduce the amount of time needed to obtain the necessary permits and environmental authorisations. Finally, </w:t>
      </w:r>
      <w:r w:rsidRPr="005739D4">
        <w:rPr>
          <w:noProof/>
        </w:rPr>
        <w:t>55</w:t>
      </w:r>
      <w:r w:rsidRPr="00D37004">
        <w:rPr>
          <w:noProof/>
        </w:rPr>
        <w:t xml:space="preserve">% were in favour of creating expedited approval mechanisms and clear conditions for critical or strategic projects. </w:t>
      </w:r>
    </w:p>
    <w:p w14:paraId="53C177F6" w14:textId="4A892407" w:rsidR="00B275D3" w:rsidRPr="008D0BAC" w:rsidRDefault="003D6E33" w:rsidP="008D0BAC">
      <w:pPr>
        <w:pStyle w:val="Caption"/>
        <w:rPr>
          <w:iCs w:val="0"/>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2</w:t>
      </w:r>
      <w:r>
        <w:rPr>
          <w:noProof/>
        </w:rPr>
        <w:fldChar w:fldCharType="end"/>
      </w:r>
      <w:r>
        <w:rPr>
          <w:noProof/>
        </w:rPr>
        <w:t>.</w:t>
      </w:r>
      <w:r w:rsidR="00B275D3">
        <w:rPr>
          <w:noProof/>
        </w:rPr>
        <w:t xml:space="preserve"> </w:t>
      </w:r>
      <w:r w:rsidR="00B275D3" w:rsidRPr="008D0BAC">
        <w:rPr>
          <w:iCs w:val="0"/>
          <w:noProof/>
        </w:rPr>
        <w:t>EU policy measures on simplification of infrastructure permitting procedures</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039"/>
        <w:gridCol w:w="1269"/>
        <w:gridCol w:w="1191"/>
        <w:gridCol w:w="1266"/>
        <w:gridCol w:w="951"/>
        <w:gridCol w:w="1548"/>
        <w:gridCol w:w="771"/>
      </w:tblGrid>
      <w:tr w:rsidR="005F3A2D" w:rsidRPr="00F65EF3" w14:paraId="59542D70" w14:textId="77777777" w:rsidTr="00F65EF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227ACB"/>
          </w:tcPr>
          <w:p w14:paraId="1ABFEE90" w14:textId="77777777" w:rsidR="005F3A2D" w:rsidRPr="00F65EF3" w:rsidRDefault="005F3A2D">
            <w:pPr>
              <w:spacing w:after="0"/>
              <w:jc w:val="left"/>
              <w:rPr>
                <w:noProof/>
                <w:color w:val="FFFFFF" w:themeColor="background1"/>
                <w:sz w:val="20"/>
                <w:szCs w:val="20"/>
              </w:rPr>
            </w:pPr>
            <w:r w:rsidRPr="00F65EF3">
              <w:rPr>
                <w:noProof/>
                <w:color w:val="FFFFFF" w:themeColor="background1"/>
                <w:sz w:val="20"/>
                <w:szCs w:val="20"/>
              </w:rPr>
              <w:t xml:space="preserve">Policy Measure </w:t>
            </w:r>
          </w:p>
        </w:tc>
        <w:tc>
          <w:tcPr>
            <w:tcW w:w="0" w:type="auto"/>
            <w:shd w:val="clear" w:color="auto" w:fill="227ACB"/>
          </w:tcPr>
          <w:p w14:paraId="502FDB16" w14:textId="77777777" w:rsidR="005F3A2D" w:rsidRPr="00F65EF3" w:rsidRDefault="005F3A2D">
            <w:pPr>
              <w:spacing w:after="0"/>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Companies (SMEs)</w:t>
            </w:r>
          </w:p>
        </w:tc>
        <w:tc>
          <w:tcPr>
            <w:tcW w:w="0" w:type="auto"/>
            <w:shd w:val="clear" w:color="auto" w:fill="227ACB"/>
          </w:tcPr>
          <w:p w14:paraId="56F4AD7D" w14:textId="77777777" w:rsidR="005F3A2D" w:rsidRPr="00F65EF3" w:rsidRDefault="005F3A2D">
            <w:pPr>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Data Centre operators</w:t>
            </w:r>
          </w:p>
        </w:tc>
        <w:tc>
          <w:tcPr>
            <w:tcW w:w="0" w:type="auto"/>
            <w:shd w:val="clear" w:color="auto" w:fill="227ACB"/>
          </w:tcPr>
          <w:p w14:paraId="03B06DBB" w14:textId="77777777" w:rsidR="005F3A2D" w:rsidRPr="00F65EF3" w:rsidRDefault="005F3A2D">
            <w:pPr>
              <w:spacing w:after="0"/>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 xml:space="preserve">Public Authorities </w:t>
            </w:r>
          </w:p>
        </w:tc>
        <w:tc>
          <w:tcPr>
            <w:tcW w:w="0" w:type="auto"/>
            <w:shd w:val="clear" w:color="auto" w:fill="227ACB"/>
          </w:tcPr>
          <w:p w14:paraId="226E3FD4" w14:textId="77777777" w:rsidR="005F3A2D" w:rsidRPr="00F65EF3" w:rsidRDefault="005F3A2D">
            <w:pPr>
              <w:spacing w:after="0"/>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EU Citizens</w:t>
            </w:r>
          </w:p>
        </w:tc>
        <w:tc>
          <w:tcPr>
            <w:tcW w:w="0" w:type="auto"/>
            <w:shd w:val="clear" w:color="auto" w:fill="227ACB"/>
          </w:tcPr>
          <w:p w14:paraId="7A9377E3" w14:textId="77777777" w:rsidR="005F3A2D" w:rsidRPr="00F65EF3" w:rsidRDefault="005F3A2D">
            <w:pPr>
              <w:spacing w:after="0"/>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Business associations/ trade unions</w:t>
            </w:r>
          </w:p>
        </w:tc>
        <w:tc>
          <w:tcPr>
            <w:tcW w:w="0" w:type="auto"/>
            <w:shd w:val="clear" w:color="auto" w:fill="227ACB"/>
          </w:tcPr>
          <w:p w14:paraId="066B316F" w14:textId="77777777" w:rsidR="005F3A2D" w:rsidRPr="00F65EF3" w:rsidRDefault="005F3A2D">
            <w:pPr>
              <w:spacing w:after="0"/>
              <w:jc w:val="left"/>
              <w:cnfStyle w:val="100000000000" w:firstRow="1" w:lastRow="0" w:firstColumn="0" w:lastColumn="0" w:oddVBand="0" w:evenVBand="0" w:oddHBand="0" w:evenHBand="0" w:firstRowFirstColumn="0" w:firstRowLastColumn="0" w:lastRowFirstColumn="0" w:lastRowLastColumn="0"/>
              <w:rPr>
                <w:noProof/>
                <w:color w:val="FFFFFF" w:themeColor="background1"/>
                <w:sz w:val="20"/>
                <w:szCs w:val="20"/>
              </w:rPr>
            </w:pPr>
            <w:r w:rsidRPr="00F65EF3">
              <w:rPr>
                <w:noProof/>
                <w:color w:val="FFFFFF" w:themeColor="background1"/>
                <w:sz w:val="20"/>
                <w:szCs w:val="20"/>
              </w:rPr>
              <w:t>CSOs</w:t>
            </w:r>
            <w:r w:rsidRPr="00F65EF3">
              <w:rPr>
                <w:noProof/>
                <w:color w:val="FFFFFF" w:themeColor="background1"/>
                <w:sz w:val="20"/>
                <w:szCs w:val="20"/>
                <w:vertAlign w:val="superscript"/>
              </w:rPr>
              <w:footnoteReference w:id="6"/>
            </w:r>
          </w:p>
        </w:tc>
      </w:tr>
      <w:tr w:rsidR="005F3A2D" w:rsidRPr="00F65EF3" w14:paraId="0C6A66EC" w14:textId="77777777" w:rsidTr="00F65EF3">
        <w:trPr>
          <w:trHeight w:val="328"/>
        </w:trPr>
        <w:tc>
          <w:tcPr>
            <w:cnfStyle w:val="001000000000" w:firstRow="0" w:lastRow="0" w:firstColumn="1" w:lastColumn="0" w:oddVBand="0" w:evenVBand="0" w:oddHBand="0" w:evenHBand="0" w:firstRowFirstColumn="0" w:firstRowLastColumn="0" w:lastRowFirstColumn="0" w:lastRowLastColumn="0"/>
            <w:tcW w:w="0" w:type="auto"/>
          </w:tcPr>
          <w:p w14:paraId="0D6011C9" w14:textId="77777777" w:rsidR="005F3A2D" w:rsidRPr="00F65EF3" w:rsidRDefault="005F3A2D">
            <w:pPr>
              <w:spacing w:after="0"/>
              <w:jc w:val="left"/>
              <w:rPr>
                <w:b w:val="0"/>
                <w:bCs w:val="0"/>
                <w:noProof/>
                <w:sz w:val="20"/>
                <w:szCs w:val="20"/>
              </w:rPr>
            </w:pPr>
            <w:r w:rsidRPr="00F65EF3">
              <w:rPr>
                <w:b w:val="0"/>
                <w:bCs w:val="0"/>
                <w:noProof/>
                <w:sz w:val="20"/>
                <w:szCs w:val="20"/>
              </w:rPr>
              <w:t>One stop shop service for managing permits</w:t>
            </w:r>
          </w:p>
        </w:tc>
        <w:tc>
          <w:tcPr>
            <w:tcW w:w="0" w:type="auto"/>
          </w:tcPr>
          <w:p w14:paraId="3996F54E"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59% (41%)</w:t>
            </w:r>
          </w:p>
        </w:tc>
        <w:tc>
          <w:tcPr>
            <w:tcW w:w="0" w:type="auto"/>
          </w:tcPr>
          <w:p w14:paraId="6F4D8E65" w14:textId="77777777" w:rsidR="005F3A2D" w:rsidRPr="00F65EF3" w:rsidRDefault="005F3A2D">
            <w:pPr>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83%</w:t>
            </w:r>
          </w:p>
        </w:tc>
        <w:tc>
          <w:tcPr>
            <w:tcW w:w="0" w:type="auto"/>
          </w:tcPr>
          <w:p w14:paraId="0D5CA976"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46%</w:t>
            </w:r>
          </w:p>
        </w:tc>
        <w:tc>
          <w:tcPr>
            <w:tcW w:w="0" w:type="auto"/>
          </w:tcPr>
          <w:p w14:paraId="36DDD595"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43%</w:t>
            </w:r>
          </w:p>
        </w:tc>
        <w:tc>
          <w:tcPr>
            <w:tcW w:w="0" w:type="auto"/>
          </w:tcPr>
          <w:p w14:paraId="77577411"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56%</w:t>
            </w:r>
          </w:p>
        </w:tc>
        <w:tc>
          <w:tcPr>
            <w:tcW w:w="0" w:type="auto"/>
          </w:tcPr>
          <w:p w14:paraId="710CA031"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15%</w:t>
            </w:r>
          </w:p>
        </w:tc>
      </w:tr>
      <w:tr w:rsidR="005F3A2D" w:rsidRPr="00F65EF3" w14:paraId="01ED1813"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68FB2D98" w14:textId="77777777" w:rsidR="005F3A2D" w:rsidRPr="00F65EF3" w:rsidRDefault="005F3A2D">
            <w:pPr>
              <w:spacing w:after="0"/>
              <w:jc w:val="left"/>
              <w:rPr>
                <w:b w:val="0"/>
                <w:bCs w:val="0"/>
                <w:noProof/>
                <w:sz w:val="20"/>
                <w:szCs w:val="20"/>
              </w:rPr>
            </w:pPr>
            <w:r w:rsidRPr="00F65EF3">
              <w:rPr>
                <w:b w:val="0"/>
                <w:bCs w:val="0"/>
                <w:noProof/>
                <w:sz w:val="20"/>
                <w:szCs w:val="20"/>
              </w:rPr>
              <w:t xml:space="preserve">Reduce time to obtain permits and environmental authorisations </w:t>
            </w:r>
          </w:p>
        </w:tc>
        <w:tc>
          <w:tcPr>
            <w:tcW w:w="0" w:type="auto"/>
          </w:tcPr>
          <w:p w14:paraId="07111376"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71% (53%)</w:t>
            </w:r>
          </w:p>
        </w:tc>
        <w:tc>
          <w:tcPr>
            <w:tcW w:w="0" w:type="auto"/>
          </w:tcPr>
          <w:p w14:paraId="35245748" w14:textId="77777777" w:rsidR="005F3A2D" w:rsidRPr="00F65EF3" w:rsidRDefault="005F3A2D">
            <w:pPr>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93%</w:t>
            </w:r>
          </w:p>
        </w:tc>
        <w:tc>
          <w:tcPr>
            <w:tcW w:w="0" w:type="auto"/>
          </w:tcPr>
          <w:p w14:paraId="4E352E96"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23%</w:t>
            </w:r>
          </w:p>
        </w:tc>
        <w:tc>
          <w:tcPr>
            <w:tcW w:w="0" w:type="auto"/>
          </w:tcPr>
          <w:p w14:paraId="69490AA1"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38%</w:t>
            </w:r>
          </w:p>
        </w:tc>
        <w:tc>
          <w:tcPr>
            <w:tcW w:w="0" w:type="auto"/>
          </w:tcPr>
          <w:p w14:paraId="3229B009"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60%</w:t>
            </w:r>
          </w:p>
        </w:tc>
        <w:tc>
          <w:tcPr>
            <w:tcW w:w="0" w:type="auto"/>
          </w:tcPr>
          <w:p w14:paraId="0453122E"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21%</w:t>
            </w:r>
          </w:p>
        </w:tc>
      </w:tr>
      <w:tr w:rsidR="005F3A2D" w:rsidRPr="00F65EF3" w14:paraId="1C077EFB"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FC14E91" w14:textId="77777777" w:rsidR="005F3A2D" w:rsidRPr="00F65EF3" w:rsidRDefault="005F3A2D">
            <w:pPr>
              <w:spacing w:after="0"/>
              <w:jc w:val="left"/>
              <w:rPr>
                <w:b w:val="0"/>
                <w:bCs w:val="0"/>
                <w:noProof/>
                <w:sz w:val="20"/>
                <w:szCs w:val="20"/>
              </w:rPr>
            </w:pPr>
            <w:r w:rsidRPr="00F65EF3">
              <w:rPr>
                <w:b w:val="0"/>
                <w:bCs w:val="0"/>
                <w:noProof/>
                <w:sz w:val="20"/>
                <w:szCs w:val="20"/>
              </w:rPr>
              <w:t>Expedited approval mechanisms for critical/strategic projects</w:t>
            </w:r>
          </w:p>
        </w:tc>
        <w:tc>
          <w:tcPr>
            <w:tcW w:w="0" w:type="auto"/>
          </w:tcPr>
          <w:p w14:paraId="35EFFD53"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79% (71%)</w:t>
            </w:r>
          </w:p>
        </w:tc>
        <w:tc>
          <w:tcPr>
            <w:tcW w:w="0" w:type="auto"/>
          </w:tcPr>
          <w:p w14:paraId="52D6323E" w14:textId="77777777" w:rsidR="005F3A2D" w:rsidRPr="00F65EF3" w:rsidRDefault="005F3A2D">
            <w:pPr>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97%</w:t>
            </w:r>
          </w:p>
        </w:tc>
        <w:tc>
          <w:tcPr>
            <w:tcW w:w="0" w:type="auto"/>
          </w:tcPr>
          <w:p w14:paraId="7E524D3C"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54%</w:t>
            </w:r>
          </w:p>
        </w:tc>
        <w:tc>
          <w:tcPr>
            <w:tcW w:w="0" w:type="auto"/>
          </w:tcPr>
          <w:p w14:paraId="3669F966"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49%</w:t>
            </w:r>
          </w:p>
        </w:tc>
        <w:tc>
          <w:tcPr>
            <w:tcW w:w="0" w:type="auto"/>
          </w:tcPr>
          <w:p w14:paraId="1A91889C"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57%</w:t>
            </w:r>
          </w:p>
        </w:tc>
        <w:tc>
          <w:tcPr>
            <w:tcW w:w="0" w:type="auto"/>
          </w:tcPr>
          <w:p w14:paraId="5C32983F" w14:textId="77777777" w:rsidR="005F3A2D" w:rsidRPr="00F65EF3" w:rsidRDefault="005F3A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65EF3">
              <w:rPr>
                <w:noProof/>
                <w:sz w:val="20"/>
                <w:szCs w:val="20"/>
              </w:rPr>
              <w:t>27%</w:t>
            </w:r>
          </w:p>
        </w:tc>
      </w:tr>
    </w:tbl>
    <w:p w14:paraId="2F3D265E" w14:textId="77777777" w:rsidR="00A056AE" w:rsidRPr="00D37004" w:rsidRDefault="00A056AE" w:rsidP="009C6BBC">
      <w:pPr>
        <w:spacing w:after="0"/>
        <w:rPr>
          <w:noProof/>
        </w:rPr>
      </w:pPr>
    </w:p>
    <w:p w14:paraId="23B02276" w14:textId="28EAD6A5" w:rsidR="00B275D3" w:rsidRPr="00D37004" w:rsidRDefault="00B275D3" w:rsidP="00F65EF3">
      <w:pPr>
        <w:spacing w:after="120"/>
        <w:rPr>
          <w:noProof/>
        </w:rPr>
      </w:pPr>
      <w:r w:rsidRPr="00D37004">
        <w:rPr>
          <w:noProof/>
        </w:rPr>
        <w:t xml:space="preserve">In the CfE, several industry associations and companies recommended the creation of EU-level zoning guidelines, one-stop-shop permitting hubs, and fast-track </w:t>
      </w:r>
      <w:r w:rsidR="005F3A2D" w:rsidRPr="00D37004">
        <w:rPr>
          <w:noProof/>
        </w:rPr>
        <w:t>authorisation</w:t>
      </w:r>
      <w:r w:rsidRPr="00D37004">
        <w:rPr>
          <w:noProof/>
        </w:rPr>
        <w:t xml:space="preserve"> for sustainable projects. This was echoed by investment </w:t>
      </w:r>
      <w:r w:rsidR="00FC7DB2">
        <w:rPr>
          <w:noProof/>
        </w:rPr>
        <w:t>respondents</w:t>
      </w:r>
      <w:r w:rsidRPr="00D37004">
        <w:rPr>
          <w:noProof/>
        </w:rPr>
        <w:t xml:space="preserve"> who stressed that streamlining permitting procedures would significantly enhance the sector's attractiveness for capital allocation. </w:t>
      </w:r>
    </w:p>
    <w:p w14:paraId="61B49888" w14:textId="4DBA9B28" w:rsidR="4D76E9E2" w:rsidRPr="00D37004" w:rsidRDefault="00B275D3" w:rsidP="4D76E9E2">
      <w:pPr>
        <w:rPr>
          <w:noProof/>
        </w:rPr>
      </w:pPr>
      <w:r w:rsidRPr="00D37004">
        <w:rPr>
          <w:noProof/>
        </w:rPr>
        <w:t xml:space="preserve">In terms of sustainability, </w:t>
      </w:r>
      <w:r w:rsidRPr="005739D4">
        <w:rPr>
          <w:noProof/>
        </w:rPr>
        <w:t>69</w:t>
      </w:r>
      <w:r w:rsidRPr="00D37004">
        <w:rPr>
          <w:noProof/>
        </w:rPr>
        <w:t xml:space="preserve">% of respondents supported funding for R&amp;D of energy-efficient technologies. </w:t>
      </w:r>
      <w:r w:rsidR="715C3648" w:rsidRPr="00D37004">
        <w:rPr>
          <w:noProof/>
        </w:rPr>
        <w:t xml:space="preserve">This was echoed in the CfE by a Member State’s </w:t>
      </w:r>
      <w:r w:rsidR="005F3A2D" w:rsidRPr="00D37004">
        <w:rPr>
          <w:noProof/>
        </w:rPr>
        <w:t>government</w:t>
      </w:r>
      <w:r w:rsidR="715C3648" w:rsidRPr="00D37004">
        <w:rPr>
          <w:noProof/>
        </w:rPr>
        <w:t xml:space="preserve"> which suggested R&amp;D&amp;I for data centre technologies enhancing sustainability</w:t>
      </w:r>
      <w:r w:rsidR="0840242E" w:rsidRPr="00D37004">
        <w:rPr>
          <w:noProof/>
        </w:rPr>
        <w:t>,</w:t>
      </w:r>
      <w:r w:rsidR="715C3648" w:rsidRPr="00D37004">
        <w:rPr>
          <w:noProof/>
        </w:rPr>
        <w:t xml:space="preserve"> </w:t>
      </w:r>
      <w:r w:rsidR="0840242E" w:rsidRPr="00D37004">
        <w:rPr>
          <w:noProof/>
        </w:rPr>
        <w:t>as well as several business associations and companies</w:t>
      </w:r>
      <w:r w:rsidR="715C3648" w:rsidRPr="00D37004">
        <w:rPr>
          <w:noProof/>
        </w:rPr>
        <w:t xml:space="preserve">. </w:t>
      </w:r>
      <w:r w:rsidRPr="00D37004">
        <w:rPr>
          <w:noProof/>
        </w:rPr>
        <w:t xml:space="preserve">In addition, </w:t>
      </w:r>
      <w:r w:rsidRPr="005739D4">
        <w:rPr>
          <w:noProof/>
        </w:rPr>
        <w:t>62</w:t>
      </w:r>
      <w:r w:rsidRPr="00D37004">
        <w:rPr>
          <w:noProof/>
        </w:rPr>
        <w:t xml:space="preserve">% were in favour of tax incentives for using sustainable technologies. In terms of EU actions that should be prioritised to boost the availability of sufficient and adequate cloud capacity for AI workloads, 72% supported the creation of clear environmental compliance requirement et EU level, and 66% were in favour of unified guidelines at EU level for energy efficiency for computing infrastructure. </w:t>
      </w:r>
    </w:p>
    <w:p w14:paraId="65001A09" w14:textId="04D6CBE3" w:rsidR="00B275D3" w:rsidRPr="00D37004" w:rsidRDefault="003D6E33" w:rsidP="008D0BAC">
      <w:pPr>
        <w:pStyle w:val="Caption"/>
        <w:rPr>
          <w:i/>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w:t>
      </w:r>
      <w:r>
        <w:rPr>
          <w:noProof/>
        </w:rPr>
        <w:fldChar w:fldCharType="end"/>
      </w:r>
      <w:r>
        <w:rPr>
          <w:noProof/>
        </w:rPr>
        <w:t xml:space="preserve">. </w:t>
      </w:r>
      <w:r w:rsidR="00B275D3" w:rsidRPr="008D0BAC">
        <w:rPr>
          <w:iCs w:val="0"/>
          <w:noProof/>
        </w:rPr>
        <w:t>EU policy measures to address sustainability aspects of data centres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84"/>
        <w:gridCol w:w="1237"/>
        <w:gridCol w:w="1099"/>
        <w:gridCol w:w="1246"/>
        <w:gridCol w:w="909"/>
        <w:gridCol w:w="1589"/>
        <w:gridCol w:w="771"/>
      </w:tblGrid>
      <w:tr w:rsidR="005F3A2D" w:rsidRPr="00F65EF3" w14:paraId="40FD5083" w14:textId="77777777" w:rsidTr="00F65EF3">
        <w:trPr>
          <w:trHeight w:val="300"/>
        </w:trPr>
        <w:tc>
          <w:tcPr>
            <w:tcW w:w="0" w:type="auto"/>
            <w:shd w:val="clear" w:color="auto" w:fill="227ACB"/>
          </w:tcPr>
          <w:p w14:paraId="44C381E1" w14:textId="77777777" w:rsidR="005F3A2D" w:rsidRPr="00F65EF3" w:rsidRDefault="005F3A2D">
            <w:pPr>
              <w:spacing w:after="0"/>
              <w:jc w:val="left"/>
              <w:rPr>
                <w:rFonts w:eastAsia="Calibri"/>
                <w:b/>
                <w:noProof/>
                <w:color w:val="FFFFFF" w:themeColor="background1"/>
                <w:sz w:val="20"/>
                <w:szCs w:val="20"/>
              </w:rPr>
            </w:pPr>
            <w:r w:rsidRPr="00F65EF3">
              <w:rPr>
                <w:rFonts w:eastAsia="Calibri"/>
                <w:b/>
                <w:noProof/>
                <w:color w:val="FFFFFF" w:themeColor="background1"/>
                <w:sz w:val="20"/>
                <w:szCs w:val="20"/>
              </w:rPr>
              <w:t>Policy measure</w:t>
            </w:r>
          </w:p>
        </w:tc>
        <w:tc>
          <w:tcPr>
            <w:tcW w:w="0" w:type="auto"/>
            <w:shd w:val="clear" w:color="auto" w:fill="227ACB"/>
          </w:tcPr>
          <w:p w14:paraId="1B5A64B0" w14:textId="77777777" w:rsidR="005F3A2D" w:rsidRPr="00F65EF3" w:rsidRDefault="005F3A2D">
            <w:pPr>
              <w:spacing w:after="0"/>
              <w:jc w:val="left"/>
              <w:rPr>
                <w:rFonts w:eastAsia="Calibri"/>
                <w:b/>
                <w:noProof/>
                <w:color w:val="FFFFFF" w:themeColor="background1"/>
                <w:sz w:val="20"/>
                <w:szCs w:val="20"/>
              </w:rPr>
            </w:pPr>
            <w:r w:rsidRPr="00F65EF3">
              <w:rPr>
                <w:rFonts w:eastAsia="Calibri"/>
                <w:b/>
                <w:noProof/>
                <w:color w:val="FFFFFF" w:themeColor="background1"/>
                <w:sz w:val="20"/>
                <w:szCs w:val="20"/>
              </w:rPr>
              <w:t>Companies</w:t>
            </w:r>
            <w:r w:rsidRPr="00F65EF3">
              <w:rPr>
                <w:rFonts w:eastAsia="Calibri"/>
                <w:b/>
                <w:noProof/>
                <w:color w:val="FFFFFF" w:themeColor="background1"/>
                <w:sz w:val="20"/>
                <w:szCs w:val="20"/>
                <w:vertAlign w:val="superscript"/>
              </w:rPr>
              <w:footnoteReference w:id="7"/>
            </w:r>
          </w:p>
        </w:tc>
        <w:tc>
          <w:tcPr>
            <w:tcW w:w="0" w:type="auto"/>
            <w:shd w:val="clear" w:color="auto" w:fill="227ACB"/>
          </w:tcPr>
          <w:p w14:paraId="75D58681" w14:textId="77777777" w:rsidR="005F3A2D" w:rsidRPr="00F65EF3" w:rsidRDefault="005F3A2D">
            <w:pPr>
              <w:jc w:val="left"/>
              <w:rPr>
                <w:b/>
                <w:noProof/>
                <w:color w:val="FFFFFF" w:themeColor="background1"/>
                <w:sz w:val="20"/>
                <w:szCs w:val="20"/>
              </w:rPr>
            </w:pPr>
            <w:r w:rsidRPr="00F65EF3">
              <w:rPr>
                <w:b/>
                <w:noProof/>
                <w:color w:val="FFFFFF" w:themeColor="background1"/>
                <w:sz w:val="20"/>
                <w:szCs w:val="20"/>
              </w:rPr>
              <w:t>DC operators</w:t>
            </w:r>
          </w:p>
        </w:tc>
        <w:tc>
          <w:tcPr>
            <w:tcW w:w="0" w:type="auto"/>
            <w:shd w:val="clear" w:color="auto" w:fill="227ACB"/>
          </w:tcPr>
          <w:p w14:paraId="1B960983" w14:textId="77777777" w:rsidR="005F3A2D" w:rsidRPr="00F65EF3" w:rsidRDefault="005F3A2D">
            <w:pPr>
              <w:spacing w:after="0"/>
              <w:jc w:val="left"/>
              <w:rPr>
                <w:rFonts w:eastAsia="Calibri"/>
                <w:b/>
                <w:noProof/>
                <w:color w:val="FFFFFF" w:themeColor="background1"/>
                <w:sz w:val="20"/>
                <w:szCs w:val="20"/>
              </w:rPr>
            </w:pPr>
            <w:r w:rsidRPr="00F65EF3">
              <w:rPr>
                <w:rFonts w:eastAsia="Calibri"/>
                <w:b/>
                <w:noProof/>
                <w:color w:val="FFFFFF" w:themeColor="background1"/>
                <w:sz w:val="20"/>
                <w:szCs w:val="20"/>
              </w:rPr>
              <w:t>Public authorities</w:t>
            </w:r>
          </w:p>
        </w:tc>
        <w:tc>
          <w:tcPr>
            <w:tcW w:w="0" w:type="auto"/>
            <w:shd w:val="clear" w:color="auto" w:fill="227ACB"/>
          </w:tcPr>
          <w:p w14:paraId="65F7A9CC" w14:textId="77777777" w:rsidR="005F3A2D" w:rsidRPr="00F65EF3" w:rsidRDefault="005F3A2D">
            <w:pPr>
              <w:spacing w:after="0"/>
              <w:jc w:val="left"/>
              <w:rPr>
                <w:rFonts w:eastAsia="Calibri"/>
                <w:b/>
                <w:noProof/>
                <w:color w:val="FFFFFF" w:themeColor="background1"/>
                <w:sz w:val="20"/>
                <w:szCs w:val="20"/>
              </w:rPr>
            </w:pPr>
            <w:r w:rsidRPr="00F65EF3">
              <w:rPr>
                <w:rFonts w:eastAsia="Calibri"/>
                <w:b/>
                <w:noProof/>
                <w:color w:val="FFFFFF" w:themeColor="background1"/>
                <w:sz w:val="20"/>
                <w:szCs w:val="20"/>
              </w:rPr>
              <w:t>EU citizens</w:t>
            </w:r>
          </w:p>
        </w:tc>
        <w:tc>
          <w:tcPr>
            <w:tcW w:w="0" w:type="auto"/>
            <w:shd w:val="clear" w:color="auto" w:fill="227ACB"/>
          </w:tcPr>
          <w:p w14:paraId="6939F4B0" w14:textId="77777777" w:rsidR="005F3A2D" w:rsidRPr="00F65EF3" w:rsidRDefault="005F3A2D">
            <w:pPr>
              <w:spacing w:after="0"/>
              <w:jc w:val="left"/>
              <w:rPr>
                <w:rFonts w:eastAsia="Calibri"/>
                <w:b/>
                <w:noProof/>
                <w:color w:val="FFFFFF" w:themeColor="background1"/>
                <w:sz w:val="20"/>
                <w:szCs w:val="20"/>
              </w:rPr>
            </w:pPr>
            <w:r w:rsidRPr="00F65EF3">
              <w:rPr>
                <w:rFonts w:eastAsia="Calibri"/>
                <w:b/>
                <w:noProof/>
                <w:color w:val="FFFFFF" w:themeColor="background1"/>
                <w:sz w:val="20"/>
                <w:szCs w:val="20"/>
              </w:rPr>
              <w:t>Business associations / trade unions</w:t>
            </w:r>
          </w:p>
        </w:tc>
        <w:tc>
          <w:tcPr>
            <w:tcW w:w="0" w:type="auto"/>
            <w:shd w:val="clear" w:color="auto" w:fill="227ACB"/>
          </w:tcPr>
          <w:p w14:paraId="6F6CEE42" w14:textId="77777777" w:rsidR="005F3A2D" w:rsidRPr="00F65EF3" w:rsidRDefault="005F3A2D">
            <w:pPr>
              <w:spacing w:after="0"/>
              <w:jc w:val="left"/>
              <w:rPr>
                <w:noProof/>
                <w:color w:val="FFFFFF" w:themeColor="background1"/>
                <w:sz w:val="20"/>
                <w:szCs w:val="20"/>
              </w:rPr>
            </w:pPr>
            <w:r w:rsidRPr="00F65EF3">
              <w:rPr>
                <w:rFonts w:eastAsia="Calibri"/>
                <w:b/>
                <w:noProof/>
                <w:color w:val="FFFFFF" w:themeColor="background1"/>
                <w:sz w:val="20"/>
                <w:szCs w:val="20"/>
              </w:rPr>
              <w:t>CSOs</w:t>
            </w:r>
            <w:r w:rsidRPr="00F65EF3">
              <w:rPr>
                <w:rStyle w:val="FootnoteReference"/>
                <w:rFonts w:eastAsia="Calibri"/>
                <w:b/>
                <w:noProof/>
                <w:color w:val="FFFFFF" w:themeColor="background1"/>
                <w:sz w:val="20"/>
                <w:szCs w:val="20"/>
              </w:rPr>
              <w:footnoteReference w:id="8"/>
            </w:r>
          </w:p>
        </w:tc>
      </w:tr>
      <w:tr w:rsidR="005F3A2D" w:rsidRPr="00F65EF3" w14:paraId="3B0B4352" w14:textId="77777777" w:rsidTr="00F65EF3">
        <w:trPr>
          <w:trHeight w:val="300"/>
        </w:trPr>
        <w:tc>
          <w:tcPr>
            <w:tcW w:w="0" w:type="auto"/>
          </w:tcPr>
          <w:p w14:paraId="51069937" w14:textId="77777777" w:rsidR="005F3A2D" w:rsidRPr="00F65EF3" w:rsidRDefault="005F3A2D">
            <w:pPr>
              <w:spacing w:after="0"/>
              <w:jc w:val="left"/>
              <w:rPr>
                <w:rFonts w:eastAsia="Calibri"/>
                <w:noProof/>
                <w:sz w:val="20"/>
                <w:szCs w:val="20"/>
              </w:rPr>
            </w:pPr>
            <w:r w:rsidRPr="00F65EF3">
              <w:rPr>
                <w:rFonts w:eastAsia="Calibri"/>
                <w:noProof/>
                <w:sz w:val="20"/>
                <w:szCs w:val="20"/>
              </w:rPr>
              <w:t>Clear environmental compliance requirements</w:t>
            </w:r>
          </w:p>
        </w:tc>
        <w:tc>
          <w:tcPr>
            <w:tcW w:w="0" w:type="auto"/>
          </w:tcPr>
          <w:p w14:paraId="0530B4D7" w14:textId="77777777" w:rsidR="005F3A2D" w:rsidRPr="00F65EF3" w:rsidRDefault="005F3A2D">
            <w:pPr>
              <w:spacing w:after="0"/>
              <w:rPr>
                <w:rFonts w:eastAsia="Calibri"/>
                <w:noProof/>
                <w:sz w:val="20"/>
                <w:szCs w:val="20"/>
              </w:rPr>
            </w:pPr>
            <w:r w:rsidRPr="00F65EF3">
              <w:rPr>
                <w:rFonts w:eastAsia="Calibri"/>
                <w:noProof/>
                <w:sz w:val="20"/>
                <w:szCs w:val="20"/>
              </w:rPr>
              <w:t>64%</w:t>
            </w:r>
          </w:p>
        </w:tc>
        <w:tc>
          <w:tcPr>
            <w:tcW w:w="0" w:type="auto"/>
          </w:tcPr>
          <w:p w14:paraId="38965820" w14:textId="77777777" w:rsidR="005F3A2D" w:rsidRPr="00F65EF3" w:rsidRDefault="005F3A2D">
            <w:pPr>
              <w:rPr>
                <w:rFonts w:eastAsia="Calibri"/>
                <w:noProof/>
                <w:sz w:val="20"/>
                <w:szCs w:val="20"/>
              </w:rPr>
            </w:pPr>
            <w:r w:rsidRPr="00F65EF3">
              <w:rPr>
                <w:rFonts w:eastAsia="Calibri"/>
                <w:noProof/>
                <w:sz w:val="20"/>
                <w:szCs w:val="20"/>
              </w:rPr>
              <w:t>73%</w:t>
            </w:r>
          </w:p>
        </w:tc>
        <w:tc>
          <w:tcPr>
            <w:tcW w:w="0" w:type="auto"/>
          </w:tcPr>
          <w:p w14:paraId="7ABF8A0E" w14:textId="77777777" w:rsidR="005F3A2D" w:rsidRPr="00F65EF3" w:rsidRDefault="005F3A2D">
            <w:pPr>
              <w:spacing w:after="0"/>
              <w:rPr>
                <w:rFonts w:eastAsia="Calibri"/>
                <w:noProof/>
                <w:sz w:val="20"/>
                <w:szCs w:val="20"/>
              </w:rPr>
            </w:pPr>
            <w:r w:rsidRPr="00F65EF3">
              <w:rPr>
                <w:rFonts w:eastAsia="Calibri"/>
                <w:noProof/>
                <w:sz w:val="20"/>
                <w:szCs w:val="20"/>
              </w:rPr>
              <w:t>46%</w:t>
            </w:r>
          </w:p>
        </w:tc>
        <w:tc>
          <w:tcPr>
            <w:tcW w:w="0" w:type="auto"/>
          </w:tcPr>
          <w:p w14:paraId="21203166" w14:textId="77777777" w:rsidR="005F3A2D" w:rsidRPr="00F65EF3" w:rsidRDefault="005F3A2D">
            <w:pPr>
              <w:spacing w:after="0"/>
              <w:rPr>
                <w:rFonts w:eastAsia="Calibri"/>
                <w:noProof/>
                <w:sz w:val="20"/>
                <w:szCs w:val="20"/>
              </w:rPr>
            </w:pPr>
            <w:r w:rsidRPr="00F65EF3">
              <w:rPr>
                <w:rFonts w:eastAsia="Calibri"/>
                <w:noProof/>
                <w:sz w:val="20"/>
                <w:szCs w:val="20"/>
              </w:rPr>
              <w:t>86%</w:t>
            </w:r>
          </w:p>
        </w:tc>
        <w:tc>
          <w:tcPr>
            <w:tcW w:w="0" w:type="auto"/>
          </w:tcPr>
          <w:p w14:paraId="6B13E8B3" w14:textId="77777777" w:rsidR="005F3A2D" w:rsidRPr="00F65EF3" w:rsidRDefault="005F3A2D">
            <w:pPr>
              <w:spacing w:after="0"/>
              <w:rPr>
                <w:rFonts w:eastAsia="Calibri"/>
                <w:noProof/>
                <w:sz w:val="20"/>
                <w:szCs w:val="20"/>
              </w:rPr>
            </w:pPr>
            <w:r w:rsidRPr="00F65EF3">
              <w:rPr>
                <w:rFonts w:eastAsia="Calibri"/>
                <w:noProof/>
                <w:sz w:val="20"/>
                <w:szCs w:val="20"/>
              </w:rPr>
              <w:t>60%</w:t>
            </w:r>
          </w:p>
        </w:tc>
        <w:tc>
          <w:tcPr>
            <w:tcW w:w="0" w:type="auto"/>
          </w:tcPr>
          <w:p w14:paraId="75D30247" w14:textId="77777777" w:rsidR="005F3A2D" w:rsidRPr="00F65EF3" w:rsidRDefault="005F3A2D">
            <w:pPr>
              <w:spacing w:after="0"/>
              <w:rPr>
                <w:rFonts w:eastAsia="Calibri"/>
                <w:noProof/>
                <w:sz w:val="20"/>
                <w:szCs w:val="20"/>
              </w:rPr>
            </w:pPr>
            <w:r w:rsidRPr="00F65EF3">
              <w:rPr>
                <w:rFonts w:eastAsia="Calibri"/>
                <w:noProof/>
                <w:sz w:val="20"/>
                <w:szCs w:val="20"/>
              </w:rPr>
              <w:t>70%</w:t>
            </w:r>
          </w:p>
        </w:tc>
      </w:tr>
      <w:tr w:rsidR="005F3A2D" w:rsidRPr="00F65EF3" w14:paraId="200726B2" w14:textId="77777777" w:rsidTr="00F65EF3">
        <w:trPr>
          <w:trHeight w:val="300"/>
        </w:trPr>
        <w:tc>
          <w:tcPr>
            <w:tcW w:w="0" w:type="auto"/>
          </w:tcPr>
          <w:p w14:paraId="3A227F6D" w14:textId="77777777" w:rsidR="005F3A2D" w:rsidRPr="00F65EF3" w:rsidRDefault="005F3A2D">
            <w:pPr>
              <w:spacing w:after="0"/>
              <w:jc w:val="left"/>
              <w:rPr>
                <w:rFonts w:eastAsia="Calibri"/>
                <w:noProof/>
                <w:sz w:val="20"/>
                <w:szCs w:val="20"/>
              </w:rPr>
            </w:pPr>
            <w:r w:rsidRPr="00F65EF3">
              <w:rPr>
                <w:rFonts w:eastAsia="Calibri"/>
                <w:noProof/>
                <w:sz w:val="20"/>
                <w:szCs w:val="20"/>
              </w:rPr>
              <w:t xml:space="preserve">Addressing energy availability </w:t>
            </w:r>
          </w:p>
        </w:tc>
        <w:tc>
          <w:tcPr>
            <w:tcW w:w="0" w:type="auto"/>
          </w:tcPr>
          <w:p w14:paraId="587F3BE2" w14:textId="77777777" w:rsidR="005F3A2D" w:rsidRPr="00F65EF3" w:rsidRDefault="005F3A2D">
            <w:pPr>
              <w:spacing w:after="0"/>
              <w:rPr>
                <w:rFonts w:eastAsia="Calibri"/>
                <w:noProof/>
                <w:sz w:val="20"/>
                <w:szCs w:val="20"/>
              </w:rPr>
            </w:pPr>
            <w:r w:rsidRPr="00F65EF3">
              <w:rPr>
                <w:rFonts w:eastAsia="Calibri"/>
                <w:noProof/>
                <w:sz w:val="20"/>
                <w:szCs w:val="20"/>
              </w:rPr>
              <w:t>73%</w:t>
            </w:r>
          </w:p>
        </w:tc>
        <w:tc>
          <w:tcPr>
            <w:tcW w:w="0" w:type="auto"/>
          </w:tcPr>
          <w:p w14:paraId="24292B4A" w14:textId="77777777" w:rsidR="005F3A2D" w:rsidRPr="00F65EF3" w:rsidRDefault="005F3A2D">
            <w:pPr>
              <w:rPr>
                <w:rFonts w:eastAsia="Calibri"/>
                <w:noProof/>
                <w:sz w:val="20"/>
                <w:szCs w:val="20"/>
              </w:rPr>
            </w:pPr>
            <w:r w:rsidRPr="00F65EF3">
              <w:rPr>
                <w:rFonts w:eastAsia="Calibri"/>
                <w:noProof/>
                <w:sz w:val="20"/>
                <w:szCs w:val="20"/>
              </w:rPr>
              <w:t>80%</w:t>
            </w:r>
          </w:p>
        </w:tc>
        <w:tc>
          <w:tcPr>
            <w:tcW w:w="0" w:type="auto"/>
          </w:tcPr>
          <w:p w14:paraId="5A6E75B8" w14:textId="77777777" w:rsidR="005F3A2D" w:rsidRPr="00F65EF3" w:rsidRDefault="005F3A2D">
            <w:pPr>
              <w:spacing w:after="0"/>
              <w:rPr>
                <w:rFonts w:eastAsia="Calibri"/>
                <w:noProof/>
                <w:sz w:val="20"/>
                <w:szCs w:val="20"/>
              </w:rPr>
            </w:pPr>
            <w:r w:rsidRPr="00F65EF3">
              <w:rPr>
                <w:rFonts w:eastAsia="Calibri"/>
                <w:noProof/>
                <w:sz w:val="20"/>
                <w:szCs w:val="20"/>
              </w:rPr>
              <w:t>54%</w:t>
            </w:r>
          </w:p>
        </w:tc>
        <w:tc>
          <w:tcPr>
            <w:tcW w:w="0" w:type="auto"/>
          </w:tcPr>
          <w:p w14:paraId="5AA70AC1" w14:textId="77777777" w:rsidR="005F3A2D" w:rsidRPr="00F65EF3" w:rsidRDefault="005F3A2D">
            <w:pPr>
              <w:spacing w:after="0"/>
              <w:rPr>
                <w:rFonts w:eastAsia="Calibri"/>
                <w:noProof/>
                <w:sz w:val="20"/>
                <w:szCs w:val="20"/>
              </w:rPr>
            </w:pPr>
            <w:r w:rsidRPr="00F65EF3">
              <w:rPr>
                <w:rFonts w:eastAsia="Calibri"/>
                <w:noProof/>
                <w:sz w:val="20"/>
                <w:szCs w:val="20"/>
              </w:rPr>
              <w:t>77%</w:t>
            </w:r>
          </w:p>
        </w:tc>
        <w:tc>
          <w:tcPr>
            <w:tcW w:w="0" w:type="auto"/>
          </w:tcPr>
          <w:p w14:paraId="55547211" w14:textId="77777777" w:rsidR="005F3A2D" w:rsidRPr="00F65EF3" w:rsidRDefault="005F3A2D">
            <w:pPr>
              <w:spacing w:after="0"/>
              <w:rPr>
                <w:rFonts w:eastAsia="Calibri"/>
                <w:noProof/>
                <w:sz w:val="20"/>
                <w:szCs w:val="20"/>
              </w:rPr>
            </w:pPr>
            <w:r w:rsidRPr="00F65EF3">
              <w:rPr>
                <w:rFonts w:eastAsia="Calibri"/>
                <w:noProof/>
                <w:sz w:val="20"/>
                <w:szCs w:val="20"/>
              </w:rPr>
              <w:t>50%</w:t>
            </w:r>
          </w:p>
        </w:tc>
        <w:tc>
          <w:tcPr>
            <w:tcW w:w="0" w:type="auto"/>
          </w:tcPr>
          <w:p w14:paraId="23A8DBDB" w14:textId="77777777" w:rsidR="005F3A2D" w:rsidRPr="00F65EF3" w:rsidRDefault="005F3A2D">
            <w:pPr>
              <w:spacing w:after="0"/>
              <w:rPr>
                <w:rFonts w:eastAsia="Calibri"/>
                <w:noProof/>
                <w:sz w:val="20"/>
                <w:szCs w:val="20"/>
              </w:rPr>
            </w:pPr>
            <w:r w:rsidRPr="00F65EF3">
              <w:rPr>
                <w:rFonts w:eastAsia="Calibri"/>
                <w:noProof/>
                <w:sz w:val="20"/>
                <w:szCs w:val="20"/>
              </w:rPr>
              <w:t>61%</w:t>
            </w:r>
          </w:p>
        </w:tc>
      </w:tr>
      <w:tr w:rsidR="005F3A2D" w:rsidRPr="00F65EF3" w14:paraId="3A28E3A3" w14:textId="77777777" w:rsidTr="00F65EF3">
        <w:trPr>
          <w:trHeight w:val="300"/>
        </w:trPr>
        <w:tc>
          <w:tcPr>
            <w:tcW w:w="0" w:type="auto"/>
          </w:tcPr>
          <w:p w14:paraId="4D642EBD" w14:textId="77777777" w:rsidR="005F3A2D" w:rsidRPr="00F65EF3" w:rsidRDefault="005F3A2D">
            <w:pPr>
              <w:spacing w:after="0"/>
              <w:jc w:val="left"/>
              <w:rPr>
                <w:rFonts w:eastAsia="Calibri"/>
                <w:noProof/>
                <w:sz w:val="20"/>
                <w:szCs w:val="20"/>
              </w:rPr>
            </w:pPr>
            <w:r w:rsidRPr="00F65EF3">
              <w:rPr>
                <w:rFonts w:eastAsia="Calibri"/>
                <w:noProof/>
                <w:sz w:val="20"/>
                <w:szCs w:val="20"/>
              </w:rPr>
              <w:t xml:space="preserve">Addressing land availability </w:t>
            </w:r>
          </w:p>
        </w:tc>
        <w:tc>
          <w:tcPr>
            <w:tcW w:w="0" w:type="auto"/>
          </w:tcPr>
          <w:p w14:paraId="1761EBB8" w14:textId="77777777" w:rsidR="005F3A2D" w:rsidRPr="00F65EF3" w:rsidRDefault="005F3A2D">
            <w:pPr>
              <w:spacing w:after="0"/>
              <w:rPr>
                <w:rFonts w:eastAsia="Calibri"/>
                <w:noProof/>
                <w:sz w:val="20"/>
                <w:szCs w:val="20"/>
              </w:rPr>
            </w:pPr>
            <w:r w:rsidRPr="00F65EF3">
              <w:rPr>
                <w:rFonts w:eastAsia="Calibri"/>
                <w:noProof/>
                <w:sz w:val="20"/>
                <w:szCs w:val="20"/>
              </w:rPr>
              <w:t>47%</w:t>
            </w:r>
          </w:p>
        </w:tc>
        <w:tc>
          <w:tcPr>
            <w:tcW w:w="0" w:type="auto"/>
          </w:tcPr>
          <w:p w14:paraId="229CAA44" w14:textId="77777777" w:rsidR="005F3A2D" w:rsidRPr="00F65EF3" w:rsidRDefault="005F3A2D">
            <w:pPr>
              <w:rPr>
                <w:rFonts w:eastAsia="Calibri"/>
                <w:noProof/>
                <w:sz w:val="20"/>
                <w:szCs w:val="20"/>
              </w:rPr>
            </w:pPr>
            <w:r w:rsidRPr="00F65EF3">
              <w:rPr>
                <w:rFonts w:eastAsia="Calibri"/>
                <w:noProof/>
                <w:sz w:val="20"/>
                <w:szCs w:val="20"/>
              </w:rPr>
              <w:t>47%</w:t>
            </w:r>
          </w:p>
        </w:tc>
        <w:tc>
          <w:tcPr>
            <w:tcW w:w="0" w:type="auto"/>
          </w:tcPr>
          <w:p w14:paraId="6F3CC3EC" w14:textId="77777777" w:rsidR="005F3A2D" w:rsidRPr="00F65EF3" w:rsidRDefault="005F3A2D">
            <w:pPr>
              <w:spacing w:after="0"/>
              <w:rPr>
                <w:rFonts w:eastAsia="Calibri"/>
                <w:noProof/>
                <w:sz w:val="20"/>
                <w:szCs w:val="20"/>
              </w:rPr>
            </w:pPr>
            <w:r w:rsidRPr="00F65EF3">
              <w:rPr>
                <w:rFonts w:eastAsia="Calibri"/>
                <w:noProof/>
                <w:sz w:val="20"/>
                <w:szCs w:val="20"/>
              </w:rPr>
              <w:t>23%</w:t>
            </w:r>
          </w:p>
        </w:tc>
        <w:tc>
          <w:tcPr>
            <w:tcW w:w="0" w:type="auto"/>
          </w:tcPr>
          <w:p w14:paraId="0935310B" w14:textId="77777777" w:rsidR="005F3A2D" w:rsidRPr="00F65EF3" w:rsidRDefault="005F3A2D">
            <w:pPr>
              <w:spacing w:after="0"/>
              <w:rPr>
                <w:rFonts w:eastAsia="Calibri"/>
                <w:noProof/>
                <w:sz w:val="20"/>
                <w:szCs w:val="20"/>
              </w:rPr>
            </w:pPr>
            <w:r w:rsidRPr="00F65EF3">
              <w:rPr>
                <w:rFonts w:eastAsia="Calibri"/>
                <w:noProof/>
                <w:sz w:val="20"/>
                <w:szCs w:val="20"/>
              </w:rPr>
              <w:t>65%</w:t>
            </w:r>
          </w:p>
        </w:tc>
        <w:tc>
          <w:tcPr>
            <w:tcW w:w="0" w:type="auto"/>
          </w:tcPr>
          <w:p w14:paraId="58A733A8" w14:textId="77777777" w:rsidR="005F3A2D" w:rsidRPr="00F65EF3" w:rsidRDefault="005F3A2D">
            <w:pPr>
              <w:spacing w:after="0"/>
              <w:rPr>
                <w:rFonts w:eastAsia="Calibri"/>
                <w:noProof/>
                <w:sz w:val="20"/>
                <w:szCs w:val="20"/>
              </w:rPr>
            </w:pPr>
            <w:r w:rsidRPr="00F65EF3">
              <w:rPr>
                <w:rFonts w:eastAsia="Calibri"/>
                <w:noProof/>
                <w:sz w:val="20"/>
                <w:szCs w:val="20"/>
              </w:rPr>
              <w:t>47%</w:t>
            </w:r>
          </w:p>
        </w:tc>
        <w:tc>
          <w:tcPr>
            <w:tcW w:w="0" w:type="auto"/>
          </w:tcPr>
          <w:p w14:paraId="2175AADF" w14:textId="77777777" w:rsidR="005F3A2D" w:rsidRPr="00F65EF3" w:rsidRDefault="005F3A2D">
            <w:pPr>
              <w:spacing w:after="0"/>
              <w:rPr>
                <w:rFonts w:eastAsia="Calibri"/>
                <w:noProof/>
                <w:sz w:val="20"/>
                <w:szCs w:val="20"/>
              </w:rPr>
            </w:pPr>
            <w:r w:rsidRPr="00F65EF3">
              <w:rPr>
                <w:rFonts w:eastAsia="Calibri"/>
                <w:noProof/>
                <w:sz w:val="20"/>
                <w:szCs w:val="20"/>
              </w:rPr>
              <w:t>52%</w:t>
            </w:r>
          </w:p>
        </w:tc>
      </w:tr>
      <w:tr w:rsidR="005F3A2D" w:rsidRPr="00F65EF3" w14:paraId="2CDEFE7E" w14:textId="77777777" w:rsidTr="00F65EF3">
        <w:trPr>
          <w:trHeight w:val="300"/>
        </w:trPr>
        <w:tc>
          <w:tcPr>
            <w:tcW w:w="0" w:type="auto"/>
          </w:tcPr>
          <w:p w14:paraId="4DB1A7A6" w14:textId="77777777" w:rsidR="005F3A2D" w:rsidRPr="00F65EF3" w:rsidRDefault="005F3A2D">
            <w:pPr>
              <w:spacing w:after="0"/>
              <w:jc w:val="left"/>
              <w:rPr>
                <w:rFonts w:eastAsia="Calibri"/>
                <w:noProof/>
                <w:sz w:val="20"/>
                <w:szCs w:val="20"/>
              </w:rPr>
            </w:pPr>
            <w:r w:rsidRPr="00F65EF3">
              <w:rPr>
                <w:rFonts w:eastAsia="Calibri"/>
                <w:noProof/>
                <w:sz w:val="20"/>
                <w:szCs w:val="20"/>
              </w:rPr>
              <w:t xml:space="preserve">Funding for research and development of energy-efficient technologies </w:t>
            </w:r>
          </w:p>
        </w:tc>
        <w:tc>
          <w:tcPr>
            <w:tcW w:w="0" w:type="auto"/>
          </w:tcPr>
          <w:p w14:paraId="3379776D" w14:textId="77777777" w:rsidR="005F3A2D" w:rsidRPr="00F65EF3" w:rsidRDefault="005F3A2D">
            <w:pPr>
              <w:spacing w:after="0"/>
              <w:rPr>
                <w:rFonts w:eastAsia="Calibri"/>
                <w:noProof/>
                <w:sz w:val="20"/>
                <w:szCs w:val="20"/>
              </w:rPr>
            </w:pPr>
            <w:r w:rsidRPr="00F65EF3">
              <w:rPr>
                <w:rFonts w:eastAsia="Calibri"/>
                <w:noProof/>
                <w:sz w:val="20"/>
                <w:szCs w:val="20"/>
              </w:rPr>
              <w:t>61%</w:t>
            </w:r>
          </w:p>
        </w:tc>
        <w:tc>
          <w:tcPr>
            <w:tcW w:w="0" w:type="auto"/>
          </w:tcPr>
          <w:p w14:paraId="55E76E8F" w14:textId="77777777" w:rsidR="005F3A2D" w:rsidRPr="00F65EF3" w:rsidRDefault="005F3A2D">
            <w:pPr>
              <w:rPr>
                <w:rFonts w:eastAsia="Calibri"/>
                <w:noProof/>
                <w:sz w:val="20"/>
                <w:szCs w:val="20"/>
              </w:rPr>
            </w:pPr>
            <w:r w:rsidRPr="00F65EF3">
              <w:rPr>
                <w:rFonts w:eastAsia="Calibri"/>
                <w:noProof/>
                <w:sz w:val="20"/>
                <w:szCs w:val="20"/>
              </w:rPr>
              <w:t>57%</w:t>
            </w:r>
          </w:p>
        </w:tc>
        <w:tc>
          <w:tcPr>
            <w:tcW w:w="0" w:type="auto"/>
          </w:tcPr>
          <w:p w14:paraId="2A893540" w14:textId="77777777" w:rsidR="005F3A2D" w:rsidRPr="00F65EF3" w:rsidRDefault="005F3A2D">
            <w:pPr>
              <w:spacing w:after="0"/>
              <w:rPr>
                <w:rFonts w:eastAsia="Calibri"/>
                <w:noProof/>
                <w:sz w:val="20"/>
                <w:szCs w:val="20"/>
              </w:rPr>
            </w:pPr>
            <w:r w:rsidRPr="00F65EF3">
              <w:rPr>
                <w:rFonts w:eastAsia="Calibri"/>
                <w:noProof/>
                <w:sz w:val="20"/>
                <w:szCs w:val="20"/>
              </w:rPr>
              <w:t>54%</w:t>
            </w:r>
          </w:p>
        </w:tc>
        <w:tc>
          <w:tcPr>
            <w:tcW w:w="0" w:type="auto"/>
          </w:tcPr>
          <w:p w14:paraId="6CCC8ECC" w14:textId="77777777" w:rsidR="005F3A2D" w:rsidRPr="00F65EF3" w:rsidRDefault="005F3A2D">
            <w:pPr>
              <w:spacing w:after="0"/>
              <w:rPr>
                <w:rFonts w:eastAsia="Calibri"/>
                <w:noProof/>
                <w:sz w:val="20"/>
                <w:szCs w:val="20"/>
              </w:rPr>
            </w:pPr>
            <w:r w:rsidRPr="00F65EF3">
              <w:rPr>
                <w:rFonts w:eastAsia="Calibri"/>
                <w:noProof/>
                <w:sz w:val="20"/>
                <w:szCs w:val="20"/>
              </w:rPr>
              <w:t>83%</w:t>
            </w:r>
          </w:p>
        </w:tc>
        <w:tc>
          <w:tcPr>
            <w:tcW w:w="0" w:type="auto"/>
          </w:tcPr>
          <w:p w14:paraId="7E8F0AF0" w14:textId="77777777" w:rsidR="005F3A2D" w:rsidRPr="00F65EF3" w:rsidRDefault="005F3A2D">
            <w:pPr>
              <w:spacing w:after="0"/>
              <w:rPr>
                <w:rFonts w:eastAsia="Calibri"/>
                <w:noProof/>
                <w:sz w:val="20"/>
                <w:szCs w:val="20"/>
              </w:rPr>
            </w:pPr>
            <w:r w:rsidRPr="00F65EF3">
              <w:rPr>
                <w:rFonts w:eastAsia="Calibri"/>
                <w:noProof/>
                <w:sz w:val="20"/>
                <w:szCs w:val="20"/>
              </w:rPr>
              <w:t>60%</w:t>
            </w:r>
          </w:p>
        </w:tc>
        <w:tc>
          <w:tcPr>
            <w:tcW w:w="0" w:type="auto"/>
          </w:tcPr>
          <w:p w14:paraId="50A38981" w14:textId="77777777" w:rsidR="005F3A2D" w:rsidRPr="00F65EF3" w:rsidRDefault="005F3A2D">
            <w:pPr>
              <w:spacing w:after="0"/>
              <w:rPr>
                <w:rFonts w:eastAsia="Calibri"/>
                <w:noProof/>
                <w:sz w:val="20"/>
                <w:szCs w:val="20"/>
              </w:rPr>
            </w:pPr>
            <w:r w:rsidRPr="00F65EF3">
              <w:rPr>
                <w:rFonts w:eastAsia="Calibri"/>
                <w:noProof/>
                <w:sz w:val="20"/>
                <w:szCs w:val="20"/>
              </w:rPr>
              <w:t>58%</w:t>
            </w:r>
          </w:p>
        </w:tc>
      </w:tr>
      <w:tr w:rsidR="005F3A2D" w:rsidRPr="00F65EF3" w14:paraId="1D8E241D" w14:textId="77777777" w:rsidTr="00F65EF3">
        <w:trPr>
          <w:trHeight w:val="300"/>
        </w:trPr>
        <w:tc>
          <w:tcPr>
            <w:tcW w:w="0" w:type="auto"/>
          </w:tcPr>
          <w:p w14:paraId="01D5FF72" w14:textId="77777777" w:rsidR="005F3A2D" w:rsidRPr="00F65EF3" w:rsidRDefault="005F3A2D">
            <w:pPr>
              <w:spacing w:after="0"/>
              <w:jc w:val="left"/>
              <w:rPr>
                <w:rFonts w:eastAsia="Calibri"/>
                <w:noProof/>
                <w:sz w:val="20"/>
                <w:szCs w:val="20"/>
              </w:rPr>
            </w:pPr>
            <w:r w:rsidRPr="00F65EF3">
              <w:rPr>
                <w:rFonts w:eastAsia="Calibri"/>
                <w:noProof/>
                <w:sz w:val="20"/>
                <w:szCs w:val="20"/>
              </w:rPr>
              <w:t>Tax incentives for using sustainable technologies</w:t>
            </w:r>
          </w:p>
        </w:tc>
        <w:tc>
          <w:tcPr>
            <w:tcW w:w="0" w:type="auto"/>
          </w:tcPr>
          <w:p w14:paraId="09B55976" w14:textId="77777777" w:rsidR="005F3A2D" w:rsidRPr="00F65EF3" w:rsidRDefault="005F3A2D">
            <w:pPr>
              <w:spacing w:after="0"/>
              <w:rPr>
                <w:rFonts w:eastAsia="Calibri"/>
                <w:noProof/>
                <w:sz w:val="20"/>
                <w:szCs w:val="20"/>
              </w:rPr>
            </w:pPr>
            <w:r w:rsidRPr="00F65EF3">
              <w:rPr>
                <w:rFonts w:eastAsia="Calibri"/>
                <w:noProof/>
                <w:sz w:val="20"/>
                <w:szCs w:val="20"/>
              </w:rPr>
              <w:t>70%</w:t>
            </w:r>
          </w:p>
        </w:tc>
        <w:tc>
          <w:tcPr>
            <w:tcW w:w="0" w:type="auto"/>
          </w:tcPr>
          <w:p w14:paraId="0D35BB52" w14:textId="77777777" w:rsidR="005F3A2D" w:rsidRPr="00F65EF3" w:rsidRDefault="005F3A2D">
            <w:pPr>
              <w:rPr>
                <w:rFonts w:eastAsia="Calibri"/>
                <w:noProof/>
                <w:sz w:val="20"/>
                <w:szCs w:val="20"/>
              </w:rPr>
            </w:pPr>
            <w:r w:rsidRPr="00F65EF3">
              <w:rPr>
                <w:rFonts w:eastAsia="Calibri"/>
                <w:noProof/>
                <w:sz w:val="20"/>
                <w:szCs w:val="20"/>
              </w:rPr>
              <w:t>73%</w:t>
            </w:r>
          </w:p>
        </w:tc>
        <w:tc>
          <w:tcPr>
            <w:tcW w:w="0" w:type="auto"/>
          </w:tcPr>
          <w:p w14:paraId="615FECC7" w14:textId="77777777" w:rsidR="005F3A2D" w:rsidRPr="00F65EF3" w:rsidRDefault="005F3A2D">
            <w:pPr>
              <w:spacing w:after="0"/>
              <w:rPr>
                <w:rFonts w:eastAsia="Calibri"/>
                <w:noProof/>
                <w:sz w:val="20"/>
                <w:szCs w:val="20"/>
              </w:rPr>
            </w:pPr>
            <w:r w:rsidRPr="00F65EF3">
              <w:rPr>
                <w:rFonts w:eastAsia="Calibri"/>
                <w:noProof/>
                <w:sz w:val="20"/>
                <w:szCs w:val="20"/>
              </w:rPr>
              <w:t>54%</w:t>
            </w:r>
          </w:p>
        </w:tc>
        <w:tc>
          <w:tcPr>
            <w:tcW w:w="0" w:type="auto"/>
          </w:tcPr>
          <w:p w14:paraId="380B817D" w14:textId="77777777" w:rsidR="005F3A2D" w:rsidRPr="00F65EF3" w:rsidRDefault="005F3A2D">
            <w:pPr>
              <w:spacing w:after="0"/>
              <w:rPr>
                <w:rFonts w:eastAsia="Calibri"/>
                <w:noProof/>
                <w:sz w:val="20"/>
                <w:szCs w:val="20"/>
              </w:rPr>
            </w:pPr>
            <w:r w:rsidRPr="00F65EF3">
              <w:rPr>
                <w:rFonts w:eastAsia="Calibri"/>
                <w:noProof/>
                <w:sz w:val="20"/>
                <w:szCs w:val="20"/>
              </w:rPr>
              <w:t>67%</w:t>
            </w:r>
          </w:p>
        </w:tc>
        <w:tc>
          <w:tcPr>
            <w:tcW w:w="0" w:type="auto"/>
          </w:tcPr>
          <w:p w14:paraId="2C735A46" w14:textId="77777777" w:rsidR="005F3A2D" w:rsidRPr="00F65EF3" w:rsidRDefault="005F3A2D">
            <w:pPr>
              <w:spacing w:after="0"/>
              <w:rPr>
                <w:rFonts w:eastAsia="Calibri"/>
                <w:noProof/>
                <w:sz w:val="20"/>
                <w:szCs w:val="20"/>
              </w:rPr>
            </w:pPr>
            <w:r w:rsidRPr="00F65EF3">
              <w:rPr>
                <w:rFonts w:eastAsia="Calibri"/>
                <w:noProof/>
                <w:sz w:val="20"/>
                <w:szCs w:val="20"/>
              </w:rPr>
              <w:t>60%</w:t>
            </w:r>
          </w:p>
        </w:tc>
        <w:tc>
          <w:tcPr>
            <w:tcW w:w="0" w:type="auto"/>
          </w:tcPr>
          <w:p w14:paraId="605AFC4E" w14:textId="77777777" w:rsidR="005F3A2D" w:rsidRPr="00F65EF3" w:rsidRDefault="005F3A2D">
            <w:pPr>
              <w:spacing w:after="0"/>
              <w:rPr>
                <w:rFonts w:eastAsia="Calibri"/>
                <w:noProof/>
                <w:sz w:val="20"/>
                <w:szCs w:val="20"/>
              </w:rPr>
            </w:pPr>
            <w:r w:rsidRPr="00F65EF3">
              <w:rPr>
                <w:rFonts w:eastAsia="Calibri"/>
                <w:noProof/>
                <w:sz w:val="20"/>
                <w:szCs w:val="20"/>
              </w:rPr>
              <w:t>39%</w:t>
            </w:r>
          </w:p>
        </w:tc>
      </w:tr>
    </w:tbl>
    <w:p w14:paraId="55616309" w14:textId="77777777" w:rsidR="00A056AE" w:rsidRPr="00D37004" w:rsidRDefault="00A056AE" w:rsidP="009C6BBC">
      <w:pPr>
        <w:spacing w:after="0"/>
        <w:rPr>
          <w:noProof/>
        </w:rPr>
      </w:pPr>
    </w:p>
    <w:p w14:paraId="572D71C4" w14:textId="541F000B" w:rsidR="00B275D3" w:rsidRPr="00D37004" w:rsidRDefault="00B275D3" w:rsidP="00F65EF3">
      <w:pPr>
        <w:spacing w:after="120"/>
        <w:rPr>
          <w:noProof/>
        </w:rPr>
      </w:pPr>
      <w:r w:rsidRPr="00D37004">
        <w:rPr>
          <w:noProof/>
        </w:rPr>
        <w:t xml:space="preserve">In the CfE, multiple business associations and companies suggested the introduction of targeted tax incentives to build sustainable and energy efficient cloud infrastructure. Some considered this would be more useful than </w:t>
      </w:r>
      <w:r w:rsidR="005F3A2D" w:rsidRPr="00D37004">
        <w:rPr>
          <w:noProof/>
        </w:rPr>
        <w:t>duplicating</w:t>
      </w:r>
      <w:r w:rsidRPr="00D37004">
        <w:rPr>
          <w:noProof/>
        </w:rPr>
        <w:t xml:space="preserve"> </w:t>
      </w:r>
      <w:r w:rsidR="7E8D6209" w:rsidRPr="00D37004">
        <w:rPr>
          <w:noProof/>
        </w:rPr>
        <w:t>the</w:t>
      </w:r>
      <w:r w:rsidRPr="00D37004">
        <w:rPr>
          <w:noProof/>
        </w:rPr>
        <w:t xml:space="preserve"> current environmental regulations. On</w:t>
      </w:r>
      <w:r w:rsidR="00DD564E" w:rsidRPr="00D37004">
        <w:rPr>
          <w:noProof/>
        </w:rPr>
        <w:t>e</w:t>
      </w:r>
      <w:r w:rsidRPr="00D37004">
        <w:rPr>
          <w:noProof/>
        </w:rPr>
        <w:t xml:space="preserve"> company suggested to create tax incentives for data centre operators that implement sustainable technologies, including waste heat reuse or immersion cooling.  In addition, one business association was in favour </w:t>
      </w:r>
      <w:r w:rsidR="6C046698" w:rsidRPr="00D37004">
        <w:rPr>
          <w:noProof/>
        </w:rPr>
        <w:t xml:space="preserve">of </w:t>
      </w:r>
      <w:r w:rsidRPr="00D37004">
        <w:rPr>
          <w:noProof/>
        </w:rPr>
        <w:t xml:space="preserve">public-private partnerships to build sustainable, innovative cloud infrastructure. Some public authorities recommended strategic infrastructure funding </w:t>
      </w:r>
      <w:r w:rsidR="00AF7673" w:rsidRPr="00D37004">
        <w:rPr>
          <w:noProof/>
        </w:rPr>
        <w:t xml:space="preserve">to </w:t>
      </w:r>
      <w:r w:rsidRPr="00D37004">
        <w:rPr>
          <w:noProof/>
        </w:rPr>
        <w:t xml:space="preserve">be tied to interoperability and climate goals. </w:t>
      </w:r>
    </w:p>
    <w:p w14:paraId="05724F1D" w14:textId="2564514B" w:rsidR="00B275D3" w:rsidRPr="00D37004" w:rsidRDefault="00B275D3" w:rsidP="00B275D3">
      <w:pPr>
        <w:rPr>
          <w:noProof/>
        </w:rPr>
      </w:pPr>
      <w:r w:rsidRPr="00D37004">
        <w:rPr>
          <w:noProof/>
        </w:rPr>
        <w:t xml:space="preserve">Overall, this shows a strong support by different </w:t>
      </w:r>
      <w:r w:rsidR="00DE3DD2">
        <w:rPr>
          <w:noProof/>
        </w:rPr>
        <w:t>respondent</w:t>
      </w:r>
      <w:r w:rsidRPr="00D37004">
        <w:rPr>
          <w:noProof/>
        </w:rPr>
        <w:t xml:space="preserve"> groups to address existing bottlenecks in the deployment of data centres and to ensure those are sustainable and energy efficient. </w:t>
      </w:r>
    </w:p>
    <w:p w14:paraId="0D51B606" w14:textId="74EC186B" w:rsidR="00B275D3" w:rsidRPr="00D37004" w:rsidRDefault="00B275D3" w:rsidP="008D0BAC">
      <w:pPr>
        <w:pStyle w:val="Heading2"/>
        <w:numPr>
          <w:ilvl w:val="1"/>
          <w:numId w:val="9"/>
        </w:numPr>
        <w:ind w:left="993" w:hanging="567"/>
        <w:rPr>
          <w:rFonts w:eastAsia="Calibri"/>
          <w:noProof/>
        </w:rPr>
      </w:pPr>
      <w:bookmarkStart w:id="72" w:name="_Toc216283341"/>
      <w:bookmarkStart w:id="73" w:name="_Toc228346896"/>
      <w:r w:rsidRPr="00D37004">
        <w:rPr>
          <w:rFonts w:eastAsia="Calibri"/>
          <w:noProof/>
        </w:rPr>
        <w:t>Barriers to public sector transformation</w:t>
      </w:r>
      <w:r w:rsidR="26AB82F7" w:rsidRPr="00D37004">
        <w:rPr>
          <w:rFonts w:eastAsia="Calibri"/>
          <w:noProof/>
        </w:rPr>
        <w:t xml:space="preserve"> and public procurement</w:t>
      </w:r>
      <w:bookmarkEnd w:id="72"/>
      <w:bookmarkEnd w:id="73"/>
    </w:p>
    <w:p w14:paraId="12C0B749" w14:textId="710F75D6" w:rsidR="00B275D3" w:rsidRPr="00D37004" w:rsidRDefault="00B275D3" w:rsidP="00F65EF3">
      <w:pPr>
        <w:spacing w:after="120"/>
        <w:rPr>
          <w:noProof/>
        </w:rPr>
      </w:pPr>
      <w:r w:rsidRPr="00D37004">
        <w:rPr>
          <w:noProof/>
        </w:rPr>
        <w:t xml:space="preserve">Cloud adoption in the public sector is already widespread with </w:t>
      </w:r>
      <w:r w:rsidRPr="005739D4">
        <w:rPr>
          <w:noProof/>
        </w:rPr>
        <w:t>85%</w:t>
      </w:r>
      <w:r w:rsidRPr="00D37004">
        <w:rPr>
          <w:noProof/>
        </w:rPr>
        <w:t xml:space="preserve"> of respondents (i.e. public authorities) storing data in cloud environments. This data often includes sensitive information (</w:t>
      </w:r>
      <w:r w:rsidRPr="005739D4">
        <w:rPr>
          <w:noProof/>
        </w:rPr>
        <w:t>46</w:t>
      </w:r>
      <w:r w:rsidRPr="00D37004">
        <w:rPr>
          <w:noProof/>
        </w:rPr>
        <w:t>%), commercially sensitive material (</w:t>
      </w:r>
      <w:r w:rsidRPr="005739D4">
        <w:rPr>
          <w:noProof/>
        </w:rPr>
        <w:t>38</w:t>
      </w:r>
      <w:r w:rsidRPr="00D37004">
        <w:rPr>
          <w:noProof/>
        </w:rPr>
        <w:t>%), or content related to public security and health (</w:t>
      </w:r>
      <w:r w:rsidRPr="005739D4">
        <w:rPr>
          <w:noProof/>
        </w:rPr>
        <w:t>23</w:t>
      </w:r>
      <w:r w:rsidRPr="00D37004">
        <w:rPr>
          <w:noProof/>
        </w:rPr>
        <w:t xml:space="preserve">%). The sensitive nature of this data creates heightened concerns about exposure to third-country authorities and the cybersecurity risks associated with cloud service providers headquartered in certain jurisdictions. </w:t>
      </w:r>
    </w:p>
    <w:p w14:paraId="06441A5B" w14:textId="56BCFBCF" w:rsidR="00B275D3" w:rsidRPr="00D37004" w:rsidRDefault="00B275D3" w:rsidP="00F65EF3">
      <w:pPr>
        <w:spacing w:after="120"/>
        <w:rPr>
          <w:noProof/>
        </w:rPr>
      </w:pPr>
      <w:r w:rsidRPr="00D37004">
        <w:rPr>
          <w:noProof/>
        </w:rPr>
        <w:t xml:space="preserve">Such a problem is not theoretical as </w:t>
      </w:r>
      <w:r w:rsidRPr="005739D4">
        <w:rPr>
          <w:noProof/>
        </w:rPr>
        <w:t>69%</w:t>
      </w:r>
      <w:r w:rsidRPr="00D37004">
        <w:rPr>
          <w:noProof/>
        </w:rPr>
        <w:t xml:space="preserve"> of public authorities acknowledged that their procured providers were subject to non-EU jurisdictions including laws with extraterritorial effect. In addition, </w:t>
      </w:r>
      <w:r w:rsidRPr="005739D4">
        <w:rPr>
          <w:noProof/>
        </w:rPr>
        <w:t>77</w:t>
      </w:r>
      <w:r w:rsidRPr="00D37004">
        <w:rPr>
          <w:noProof/>
        </w:rPr>
        <w:t xml:space="preserve">% of public authorities cited security risks as one of the primary obstacles preventing broader public sector cloud adoption, alongside regulatory </w:t>
      </w:r>
      <w:r w:rsidR="00B65BEC">
        <w:rPr>
          <w:noProof/>
        </w:rPr>
        <w:t>barriers</w:t>
      </w:r>
      <w:r w:rsidR="00CD33E3">
        <w:rPr>
          <w:noProof/>
        </w:rPr>
        <w:t>, including</w:t>
      </w:r>
      <w:r w:rsidRPr="00D37004">
        <w:rPr>
          <w:noProof/>
        </w:rPr>
        <w:t xml:space="preserve"> procurement </w:t>
      </w:r>
      <w:r w:rsidR="00B65BEC">
        <w:rPr>
          <w:noProof/>
        </w:rPr>
        <w:t>requirements</w:t>
      </w:r>
      <w:r w:rsidRPr="00D37004">
        <w:rPr>
          <w:noProof/>
        </w:rPr>
        <w:t xml:space="preserve"> (</w:t>
      </w:r>
      <w:r w:rsidR="00CD33E3" w:rsidRPr="005739D4">
        <w:rPr>
          <w:noProof/>
        </w:rPr>
        <w:t>68</w:t>
      </w:r>
      <w:r w:rsidRPr="00D37004">
        <w:rPr>
          <w:noProof/>
        </w:rPr>
        <w:t>%), and insufficient technical capacity to assess and procure appropriate cloud services (</w:t>
      </w:r>
      <w:r w:rsidRPr="005739D4">
        <w:rPr>
          <w:noProof/>
        </w:rPr>
        <w:t>62</w:t>
      </w:r>
      <w:r w:rsidRPr="00D37004">
        <w:rPr>
          <w:noProof/>
        </w:rPr>
        <w:t xml:space="preserve">%). In addition, 62% of public authorities mentioned fear of vendor lock </w:t>
      </w:r>
      <w:r w:rsidR="5FFD6805" w:rsidRPr="00D37004">
        <w:rPr>
          <w:noProof/>
        </w:rPr>
        <w:t>as</w:t>
      </w:r>
      <w:r w:rsidRPr="00D37004">
        <w:rPr>
          <w:noProof/>
        </w:rPr>
        <w:t xml:space="preserve"> a challenge in the adoption of cloud.</w:t>
      </w:r>
    </w:p>
    <w:p w14:paraId="7DB3B653" w14:textId="77777777" w:rsidR="00B275D3" w:rsidRPr="00D37004" w:rsidRDefault="00B275D3" w:rsidP="00F65EF3">
      <w:pPr>
        <w:spacing w:after="120"/>
        <w:rPr>
          <w:noProof/>
        </w:rPr>
      </w:pPr>
      <w:r w:rsidRPr="00D37004">
        <w:rPr>
          <w:noProof/>
        </w:rPr>
        <w:t xml:space="preserve">These concerns are echoed by EU citizens since </w:t>
      </w:r>
      <w:r w:rsidRPr="005739D4">
        <w:rPr>
          <w:noProof/>
        </w:rPr>
        <w:t>76</w:t>
      </w:r>
      <w:r w:rsidRPr="00D37004">
        <w:rPr>
          <w:noProof/>
        </w:rPr>
        <w:t xml:space="preserve">% considered public services in the EU should not be allowed to store citizen data with non-EU cloud providers, only </w:t>
      </w:r>
      <w:r w:rsidRPr="005739D4">
        <w:rPr>
          <w:noProof/>
        </w:rPr>
        <w:t>9</w:t>
      </w:r>
      <w:r w:rsidRPr="00D37004">
        <w:rPr>
          <w:noProof/>
        </w:rPr>
        <w:t>% considered it depended on the type of service or data.</w:t>
      </w:r>
    </w:p>
    <w:p w14:paraId="7CDC72B6" w14:textId="1DB72699" w:rsidR="340C0E6B" w:rsidRPr="00D37004" w:rsidRDefault="340C0E6B" w:rsidP="4CB373C4">
      <w:pPr>
        <w:rPr>
          <w:noProof/>
        </w:rPr>
      </w:pPr>
      <w:bookmarkStart w:id="74" w:name="_Hlk213345482"/>
      <w:r w:rsidRPr="00D37004">
        <w:rPr>
          <w:noProof/>
        </w:rPr>
        <w:t>In the CfE, regional and local authorities identified administrative barriers such as fragmented national audits, inconsistent certification requirements, and burdensome permitting processes as core obstacles</w:t>
      </w:r>
      <w:r w:rsidR="0089445C" w:rsidRPr="00D37004">
        <w:rPr>
          <w:noProof/>
        </w:rPr>
        <w:t xml:space="preserve">. Overall, multiple </w:t>
      </w:r>
      <w:r w:rsidR="00DE3DD2">
        <w:rPr>
          <w:noProof/>
        </w:rPr>
        <w:t>respondents</w:t>
      </w:r>
      <w:r w:rsidRPr="00D37004">
        <w:rPr>
          <w:noProof/>
        </w:rPr>
        <w:t xml:space="preserve"> emphasized that underlying market structure issues such as vendor lock-in and limited portability represent </w:t>
      </w:r>
      <w:r w:rsidR="0089445C" w:rsidRPr="00D37004">
        <w:rPr>
          <w:noProof/>
        </w:rPr>
        <w:t xml:space="preserve">real barriers. </w:t>
      </w:r>
    </w:p>
    <w:bookmarkEnd w:id="74"/>
    <w:p w14:paraId="726680DD" w14:textId="77777777" w:rsidR="00B275D3" w:rsidRPr="00D37004" w:rsidRDefault="00B275D3" w:rsidP="008D0BAC">
      <w:pPr>
        <w:pStyle w:val="Heading3"/>
        <w:numPr>
          <w:ilvl w:val="2"/>
          <w:numId w:val="18"/>
        </w:numPr>
        <w:ind w:left="1872"/>
        <w:rPr>
          <w:rFonts w:eastAsia="Calibri"/>
          <w:noProof/>
        </w:rPr>
      </w:pPr>
      <w:r w:rsidRPr="008D0BAC">
        <w:rPr>
          <w:rFonts w:eastAsia="Calibri"/>
          <w:noProof/>
          <w:lang w:val="en-GB"/>
        </w:rPr>
        <w:t>Policy</w:t>
      </w:r>
      <w:r w:rsidRPr="00D37004">
        <w:rPr>
          <w:rFonts w:eastAsia="Calibri"/>
          <w:noProof/>
        </w:rPr>
        <w:t xml:space="preserve"> measures</w:t>
      </w:r>
    </w:p>
    <w:p w14:paraId="5E2A8265" w14:textId="1598C090" w:rsidR="00AC62BC" w:rsidRPr="00D37004" w:rsidRDefault="00E526C5" w:rsidP="00F65EF3">
      <w:pPr>
        <w:spacing w:after="120"/>
        <w:rPr>
          <w:noProof/>
        </w:rPr>
      </w:pPr>
      <w:r w:rsidRPr="00D37004">
        <w:rPr>
          <w:noProof/>
        </w:rPr>
        <w:t xml:space="preserve">To address these barriers, public authorities advocated for coordinated EU-level action, with </w:t>
      </w:r>
      <w:r w:rsidRPr="005739D4">
        <w:rPr>
          <w:noProof/>
        </w:rPr>
        <w:t>84%</w:t>
      </w:r>
      <w:r w:rsidRPr="00D37004">
        <w:rPr>
          <w:noProof/>
        </w:rPr>
        <w:t xml:space="preserve"> supporting the establishment of cybersecurity guidelines, </w:t>
      </w:r>
      <w:r w:rsidRPr="005739D4">
        <w:rPr>
          <w:noProof/>
        </w:rPr>
        <w:t>77%</w:t>
      </w:r>
      <w:r w:rsidRPr="00D37004">
        <w:rPr>
          <w:noProof/>
        </w:rPr>
        <w:t xml:space="preserve"> supporting the adoption of standards, open specifications, and mechanisms to ensure interoperability. Finally</w:t>
      </w:r>
      <w:r w:rsidRPr="005739D4">
        <w:rPr>
          <w:noProof/>
        </w:rPr>
        <w:t>, 77%</w:t>
      </w:r>
      <w:r w:rsidRPr="00D37004">
        <w:rPr>
          <w:noProof/>
        </w:rPr>
        <w:t xml:space="preserve"> advocated for a mechanism to allow federation of cloud services across public administration within and across Member States. In terms of policy actions to address the current problems faced by public administrations regarding procurement, </w:t>
      </w:r>
      <w:r w:rsidRPr="005739D4">
        <w:rPr>
          <w:noProof/>
        </w:rPr>
        <w:t>85%</w:t>
      </w:r>
      <w:r w:rsidRPr="00D37004">
        <w:rPr>
          <w:noProof/>
        </w:rPr>
        <w:t xml:space="preserve"> of public authorities support the creation of guidelines with standard criteria to procure cloud services and </w:t>
      </w:r>
      <w:r w:rsidRPr="005739D4">
        <w:rPr>
          <w:noProof/>
        </w:rPr>
        <w:t>69%</w:t>
      </w:r>
      <w:r w:rsidRPr="00D37004">
        <w:rPr>
          <w:noProof/>
        </w:rPr>
        <w:t xml:space="preserve"> support guidelines with standard award criteria. Regarding cloud</w:t>
      </w:r>
      <w:r w:rsidR="00A011FC">
        <w:rPr>
          <w:noProof/>
        </w:rPr>
        <w:t xml:space="preserve"> and AI computing</w:t>
      </w:r>
      <w:r w:rsidRPr="00D37004">
        <w:rPr>
          <w:noProof/>
        </w:rPr>
        <w:t xml:space="preserve"> services more generally, </w:t>
      </w:r>
      <w:r w:rsidRPr="005739D4">
        <w:rPr>
          <w:noProof/>
        </w:rPr>
        <w:t>61</w:t>
      </w:r>
      <w:r w:rsidRPr="00D37004">
        <w:rPr>
          <w:noProof/>
        </w:rPr>
        <w:t xml:space="preserve">% would support the creation of a marketplace for cloud and AI </w:t>
      </w:r>
      <w:r w:rsidR="00A011FC">
        <w:rPr>
          <w:noProof/>
        </w:rPr>
        <w:t>computing services</w:t>
      </w:r>
      <w:r w:rsidRPr="00D37004">
        <w:rPr>
          <w:noProof/>
        </w:rPr>
        <w:t>.</w:t>
      </w:r>
    </w:p>
    <w:p w14:paraId="0092A52C" w14:textId="57D72B22" w:rsidR="001E5381" w:rsidRPr="00D37004" w:rsidRDefault="00AC62BC" w:rsidP="001E5381">
      <w:pPr>
        <w:rPr>
          <w:noProof/>
        </w:rPr>
      </w:pPr>
      <w:r w:rsidRPr="00D37004">
        <w:rPr>
          <w:noProof/>
        </w:rPr>
        <w:t>In addition</w:t>
      </w:r>
      <w:r w:rsidR="00F235A0" w:rsidRPr="00D37004">
        <w:rPr>
          <w:noProof/>
        </w:rPr>
        <w:t xml:space="preserve">, </w:t>
      </w:r>
      <w:r w:rsidR="00CC5465" w:rsidRPr="00D37004">
        <w:rPr>
          <w:noProof/>
        </w:rPr>
        <w:t>overall,</w:t>
      </w:r>
      <w:r w:rsidR="00F235A0" w:rsidRPr="00D37004">
        <w:rPr>
          <w:noProof/>
        </w:rPr>
        <w:t xml:space="preserve"> </w:t>
      </w:r>
      <w:r w:rsidR="001453A3" w:rsidRPr="00D37004">
        <w:rPr>
          <w:noProof/>
        </w:rPr>
        <w:t xml:space="preserve">74% of </w:t>
      </w:r>
      <w:r w:rsidR="001453A3" w:rsidRPr="005739D4">
        <w:rPr>
          <w:noProof/>
        </w:rPr>
        <w:t>respondent</w:t>
      </w:r>
      <w:r w:rsidR="00476C3D" w:rsidRPr="005739D4">
        <w:rPr>
          <w:noProof/>
        </w:rPr>
        <w:t>s</w:t>
      </w:r>
      <w:r w:rsidR="001453A3" w:rsidRPr="00D37004">
        <w:rPr>
          <w:noProof/>
        </w:rPr>
        <w:t xml:space="preserve"> support </w:t>
      </w:r>
      <w:r w:rsidR="00845CC6" w:rsidRPr="00D37004">
        <w:rPr>
          <w:noProof/>
        </w:rPr>
        <w:t>an open source software ecosystem.</w:t>
      </w:r>
      <w:r w:rsidRPr="00D37004">
        <w:rPr>
          <w:noProof/>
        </w:rPr>
        <w:t xml:space="preserve"> </w:t>
      </w:r>
      <w:r w:rsidR="001E5381" w:rsidRPr="00D37004">
        <w:rPr>
          <w:noProof/>
        </w:rPr>
        <w:t>The majority of</w:t>
      </w:r>
      <w:r w:rsidRPr="00D37004">
        <w:rPr>
          <w:noProof/>
        </w:rPr>
        <w:t xml:space="preserve"> public authorities, academic institutions and EU citizens</w:t>
      </w:r>
      <w:r w:rsidR="001E5381" w:rsidRPr="00D37004">
        <w:rPr>
          <w:noProof/>
        </w:rPr>
        <w:t xml:space="preserve"> would favour an obligation to release the code developed with public money onto open-source repositories</w:t>
      </w:r>
      <w:r w:rsidR="00F67901" w:rsidRPr="00D37004">
        <w:rPr>
          <w:noProof/>
        </w:rPr>
        <w:t xml:space="preserve"> (</w:t>
      </w:r>
      <w:r w:rsidR="00F67901" w:rsidRPr="005739D4">
        <w:rPr>
          <w:noProof/>
        </w:rPr>
        <w:t>61</w:t>
      </w:r>
      <w:r w:rsidR="00F67901" w:rsidRPr="00D37004">
        <w:rPr>
          <w:noProof/>
        </w:rPr>
        <w:t>%)</w:t>
      </w:r>
      <w:r w:rsidR="001E5381" w:rsidRPr="00D37004">
        <w:rPr>
          <w:noProof/>
        </w:rPr>
        <w:t>, as well as a common open-source licensing schema across the EU</w:t>
      </w:r>
      <w:r w:rsidR="00F67901" w:rsidRPr="00D37004">
        <w:rPr>
          <w:noProof/>
        </w:rPr>
        <w:t xml:space="preserve"> (</w:t>
      </w:r>
      <w:r w:rsidR="00F67901" w:rsidRPr="005739D4">
        <w:rPr>
          <w:noProof/>
        </w:rPr>
        <w:t>64</w:t>
      </w:r>
      <w:r w:rsidR="00F67901" w:rsidRPr="00D37004">
        <w:rPr>
          <w:noProof/>
        </w:rPr>
        <w:t>%)</w:t>
      </w:r>
      <w:r w:rsidR="001E5381" w:rsidRPr="00D37004">
        <w:rPr>
          <w:noProof/>
        </w:rPr>
        <w:t xml:space="preserve">. </w:t>
      </w:r>
    </w:p>
    <w:p w14:paraId="12B06FAB" w14:textId="3C8829C1" w:rsidR="00B275D3" w:rsidRPr="00D37004" w:rsidRDefault="007806E9" w:rsidP="008D0BAC">
      <w:pPr>
        <w:pStyle w:val="Caption"/>
        <w:rPr>
          <w:i/>
          <w:noProof/>
        </w:rPr>
      </w:pPr>
      <w:r>
        <w:rPr>
          <w:i/>
          <w:noProof/>
        </w:rPr>
        <w:t xml:space="preserve"> </w:t>
      </w: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w:t>
      </w:r>
      <w:r>
        <w:rPr>
          <w:noProof/>
        </w:rPr>
        <w:fldChar w:fldCharType="end"/>
      </w:r>
      <w:r>
        <w:rPr>
          <w:noProof/>
        </w:rPr>
        <w:t>.</w:t>
      </w:r>
      <w:r w:rsidR="00B275D3">
        <w:rPr>
          <w:noProof/>
        </w:rPr>
        <w:t xml:space="preserve"> </w:t>
      </w:r>
      <w:r w:rsidR="00B275D3" w:rsidRPr="008D0BAC">
        <w:rPr>
          <w:iCs w:val="0"/>
          <w:noProof/>
        </w:rPr>
        <w:t xml:space="preserve">EU policy measures to support procurement of cloud and AI </w:t>
      </w:r>
      <w:r w:rsidR="00A011FC" w:rsidRPr="008D0BAC">
        <w:rPr>
          <w:iCs w:val="0"/>
          <w:noProof/>
        </w:rPr>
        <w:t>computing services</w:t>
      </w:r>
    </w:p>
    <w:tbl>
      <w:tblPr>
        <w:tblStyle w:val="GridTable1Ligh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25"/>
        <w:gridCol w:w="1237"/>
        <w:gridCol w:w="1403"/>
        <w:gridCol w:w="1026"/>
        <w:gridCol w:w="1973"/>
        <w:gridCol w:w="771"/>
      </w:tblGrid>
      <w:tr w:rsidR="00E526C5" w:rsidRPr="00F65EF3" w14:paraId="7D47C006" w14:textId="77777777" w:rsidTr="00F65EF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227ACB"/>
          </w:tcPr>
          <w:p w14:paraId="337A2C79" w14:textId="77777777" w:rsidR="00E526C5" w:rsidRPr="00F65EF3" w:rsidRDefault="00E526C5">
            <w:pPr>
              <w:spacing w:after="0"/>
              <w:jc w:val="left"/>
              <w:rPr>
                <w:rFonts w:eastAsia="Calibri"/>
                <w:noProof/>
                <w:color w:val="FFFFFF" w:themeColor="background1"/>
                <w:sz w:val="20"/>
                <w:szCs w:val="20"/>
              </w:rPr>
            </w:pPr>
            <w:r w:rsidRPr="00F65EF3">
              <w:rPr>
                <w:rFonts w:eastAsia="Calibri"/>
                <w:noProof/>
                <w:color w:val="FFFFFF" w:themeColor="background1"/>
                <w:sz w:val="20"/>
                <w:szCs w:val="20"/>
              </w:rPr>
              <w:t>Policy Measure</w:t>
            </w:r>
          </w:p>
        </w:tc>
        <w:tc>
          <w:tcPr>
            <w:tcW w:w="0" w:type="auto"/>
            <w:shd w:val="clear" w:color="auto" w:fill="227ACB"/>
          </w:tcPr>
          <w:p w14:paraId="7108E85C" w14:textId="77777777" w:rsidR="00E526C5" w:rsidRPr="00F65EF3" w:rsidRDefault="00E526C5">
            <w:pPr>
              <w:spacing w:after="0"/>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Companies</w:t>
            </w:r>
            <w:r w:rsidRPr="00F65EF3">
              <w:rPr>
                <w:rFonts w:eastAsia="Calibri"/>
                <w:noProof/>
                <w:color w:val="FFFFFF" w:themeColor="background1"/>
                <w:sz w:val="20"/>
                <w:szCs w:val="20"/>
                <w:vertAlign w:val="superscript"/>
              </w:rPr>
              <w:footnoteReference w:id="9"/>
            </w:r>
          </w:p>
        </w:tc>
        <w:tc>
          <w:tcPr>
            <w:tcW w:w="0" w:type="auto"/>
            <w:shd w:val="clear" w:color="auto" w:fill="227ACB"/>
          </w:tcPr>
          <w:p w14:paraId="7DC6F96B" w14:textId="77777777" w:rsidR="00E526C5" w:rsidRPr="00F65EF3" w:rsidRDefault="00E526C5">
            <w:pPr>
              <w:spacing w:after="0"/>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 xml:space="preserve">Public Authorities </w:t>
            </w:r>
          </w:p>
        </w:tc>
        <w:tc>
          <w:tcPr>
            <w:tcW w:w="0" w:type="auto"/>
            <w:shd w:val="clear" w:color="auto" w:fill="227ACB"/>
          </w:tcPr>
          <w:p w14:paraId="555B8291" w14:textId="77777777" w:rsidR="00E526C5" w:rsidRPr="00F65EF3" w:rsidRDefault="00E526C5">
            <w:pPr>
              <w:spacing w:after="0"/>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EU Citizens</w:t>
            </w:r>
          </w:p>
        </w:tc>
        <w:tc>
          <w:tcPr>
            <w:tcW w:w="0" w:type="auto"/>
            <w:shd w:val="clear" w:color="auto" w:fill="227ACB"/>
          </w:tcPr>
          <w:p w14:paraId="32ACE8E4" w14:textId="77777777" w:rsidR="00E526C5" w:rsidRPr="00F65EF3" w:rsidRDefault="00E526C5">
            <w:pPr>
              <w:spacing w:after="0"/>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Business associations / trade unions</w:t>
            </w:r>
          </w:p>
        </w:tc>
        <w:tc>
          <w:tcPr>
            <w:tcW w:w="0" w:type="auto"/>
            <w:shd w:val="clear" w:color="auto" w:fill="227ACB"/>
          </w:tcPr>
          <w:p w14:paraId="2E6F421B" w14:textId="77777777" w:rsidR="00E526C5" w:rsidRPr="00F65EF3" w:rsidRDefault="00E526C5">
            <w:pPr>
              <w:spacing w:after="0"/>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CSOs</w:t>
            </w:r>
            <w:r w:rsidRPr="00F65EF3">
              <w:rPr>
                <w:rFonts w:eastAsia="Calibri"/>
                <w:noProof/>
                <w:color w:val="FFFFFF" w:themeColor="background1"/>
                <w:sz w:val="20"/>
                <w:szCs w:val="20"/>
                <w:vertAlign w:val="superscript"/>
              </w:rPr>
              <w:footnoteReference w:id="10"/>
            </w:r>
          </w:p>
        </w:tc>
      </w:tr>
      <w:tr w:rsidR="00E526C5" w:rsidRPr="00F65EF3" w14:paraId="7C02B28C"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449EAB8D" w14:textId="6511C65A"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Guidelines with standard criteria to procure cloud services</w:t>
            </w:r>
          </w:p>
        </w:tc>
        <w:tc>
          <w:tcPr>
            <w:tcW w:w="0" w:type="auto"/>
          </w:tcPr>
          <w:p w14:paraId="1628265A"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50%</w:t>
            </w:r>
          </w:p>
        </w:tc>
        <w:tc>
          <w:tcPr>
            <w:tcW w:w="0" w:type="auto"/>
          </w:tcPr>
          <w:p w14:paraId="1D541447"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85%</w:t>
            </w:r>
          </w:p>
        </w:tc>
        <w:tc>
          <w:tcPr>
            <w:tcW w:w="0" w:type="auto"/>
          </w:tcPr>
          <w:p w14:paraId="3D9AA981"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61%</w:t>
            </w:r>
          </w:p>
        </w:tc>
        <w:tc>
          <w:tcPr>
            <w:tcW w:w="0" w:type="auto"/>
          </w:tcPr>
          <w:p w14:paraId="71659F2A"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20%</w:t>
            </w:r>
          </w:p>
        </w:tc>
        <w:tc>
          <w:tcPr>
            <w:tcW w:w="0" w:type="auto"/>
          </w:tcPr>
          <w:p w14:paraId="6297FE4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55%</w:t>
            </w:r>
          </w:p>
        </w:tc>
      </w:tr>
      <w:tr w:rsidR="00E526C5" w:rsidRPr="00F65EF3" w14:paraId="5A5FBB0A"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0E888D03" w14:textId="77777777"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 xml:space="preserve">Standardised tender vocabulary and requirements </w:t>
            </w:r>
          </w:p>
        </w:tc>
        <w:tc>
          <w:tcPr>
            <w:tcW w:w="0" w:type="auto"/>
          </w:tcPr>
          <w:p w14:paraId="2796722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38%</w:t>
            </w:r>
          </w:p>
        </w:tc>
        <w:tc>
          <w:tcPr>
            <w:tcW w:w="0" w:type="auto"/>
          </w:tcPr>
          <w:p w14:paraId="51A5EF4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54%</w:t>
            </w:r>
          </w:p>
        </w:tc>
        <w:tc>
          <w:tcPr>
            <w:tcW w:w="0" w:type="auto"/>
          </w:tcPr>
          <w:p w14:paraId="65D9379B"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36%</w:t>
            </w:r>
          </w:p>
        </w:tc>
        <w:tc>
          <w:tcPr>
            <w:tcW w:w="0" w:type="auto"/>
          </w:tcPr>
          <w:p w14:paraId="593713B8"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20%</w:t>
            </w:r>
          </w:p>
        </w:tc>
        <w:tc>
          <w:tcPr>
            <w:tcW w:w="0" w:type="auto"/>
          </w:tcPr>
          <w:p w14:paraId="30FC4E97"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30%</w:t>
            </w:r>
          </w:p>
        </w:tc>
      </w:tr>
      <w:tr w:rsidR="00E526C5" w:rsidRPr="00F65EF3" w14:paraId="7381033A"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59753B7" w14:textId="77777777"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Guidelines with standard award criteria</w:t>
            </w:r>
          </w:p>
        </w:tc>
        <w:tc>
          <w:tcPr>
            <w:tcW w:w="0" w:type="auto"/>
          </w:tcPr>
          <w:p w14:paraId="3973483B"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32%</w:t>
            </w:r>
          </w:p>
        </w:tc>
        <w:tc>
          <w:tcPr>
            <w:tcW w:w="0" w:type="auto"/>
          </w:tcPr>
          <w:p w14:paraId="16A6D47B"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69%</w:t>
            </w:r>
          </w:p>
        </w:tc>
        <w:tc>
          <w:tcPr>
            <w:tcW w:w="0" w:type="auto"/>
          </w:tcPr>
          <w:p w14:paraId="19322C62"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26%</w:t>
            </w:r>
          </w:p>
        </w:tc>
        <w:tc>
          <w:tcPr>
            <w:tcW w:w="0" w:type="auto"/>
          </w:tcPr>
          <w:p w14:paraId="34DD59D5"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17%</w:t>
            </w:r>
          </w:p>
        </w:tc>
        <w:tc>
          <w:tcPr>
            <w:tcW w:w="0" w:type="auto"/>
          </w:tcPr>
          <w:p w14:paraId="2ACC1CFE"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39%</w:t>
            </w:r>
          </w:p>
        </w:tc>
      </w:tr>
      <w:tr w:rsidR="00E526C5" w:rsidRPr="00F65EF3" w14:paraId="0A383DFB"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3765C8CC" w14:textId="77777777"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Criterion for solutions with added value and innovation</w:t>
            </w:r>
          </w:p>
        </w:tc>
        <w:tc>
          <w:tcPr>
            <w:tcW w:w="0" w:type="auto"/>
          </w:tcPr>
          <w:p w14:paraId="56D51658"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27%</w:t>
            </w:r>
          </w:p>
        </w:tc>
        <w:tc>
          <w:tcPr>
            <w:tcW w:w="0" w:type="auto"/>
          </w:tcPr>
          <w:p w14:paraId="47C71ED0"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23%</w:t>
            </w:r>
          </w:p>
        </w:tc>
        <w:tc>
          <w:tcPr>
            <w:tcW w:w="0" w:type="auto"/>
          </w:tcPr>
          <w:p w14:paraId="3CF5DA2B"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30%</w:t>
            </w:r>
          </w:p>
        </w:tc>
        <w:tc>
          <w:tcPr>
            <w:tcW w:w="0" w:type="auto"/>
          </w:tcPr>
          <w:p w14:paraId="3EBF7DD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33%</w:t>
            </w:r>
          </w:p>
        </w:tc>
        <w:tc>
          <w:tcPr>
            <w:tcW w:w="0" w:type="auto"/>
          </w:tcPr>
          <w:p w14:paraId="534B48E4"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18%</w:t>
            </w:r>
          </w:p>
        </w:tc>
      </w:tr>
      <w:tr w:rsidR="00E526C5" w:rsidRPr="00F65EF3" w14:paraId="620EFD53"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2AAE6FEC" w14:textId="77777777"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Improvement of skills and capabilities</w:t>
            </w:r>
          </w:p>
        </w:tc>
        <w:tc>
          <w:tcPr>
            <w:tcW w:w="0" w:type="auto"/>
          </w:tcPr>
          <w:p w14:paraId="01086AE2"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32%</w:t>
            </w:r>
          </w:p>
        </w:tc>
        <w:tc>
          <w:tcPr>
            <w:tcW w:w="0" w:type="auto"/>
          </w:tcPr>
          <w:p w14:paraId="3AF911C8"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69%</w:t>
            </w:r>
          </w:p>
        </w:tc>
        <w:tc>
          <w:tcPr>
            <w:tcW w:w="0" w:type="auto"/>
          </w:tcPr>
          <w:p w14:paraId="002BE98C"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41%</w:t>
            </w:r>
          </w:p>
        </w:tc>
        <w:tc>
          <w:tcPr>
            <w:tcW w:w="0" w:type="auto"/>
          </w:tcPr>
          <w:p w14:paraId="2FAB4E2B"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40%</w:t>
            </w:r>
          </w:p>
        </w:tc>
        <w:tc>
          <w:tcPr>
            <w:tcW w:w="0" w:type="auto"/>
          </w:tcPr>
          <w:p w14:paraId="59E284D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21%</w:t>
            </w:r>
          </w:p>
        </w:tc>
      </w:tr>
      <w:tr w:rsidR="00E526C5" w:rsidRPr="00F65EF3" w14:paraId="183858D8"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74195575" w14:textId="4A1E9450" w:rsidR="00E526C5" w:rsidRPr="00F65EF3" w:rsidRDefault="00E526C5">
            <w:pPr>
              <w:spacing w:after="0"/>
              <w:jc w:val="left"/>
              <w:rPr>
                <w:rFonts w:eastAsia="Calibri"/>
                <w:b w:val="0"/>
                <w:bCs w:val="0"/>
                <w:noProof/>
                <w:sz w:val="20"/>
                <w:szCs w:val="20"/>
              </w:rPr>
            </w:pPr>
            <w:r w:rsidRPr="00F65EF3">
              <w:rPr>
                <w:rFonts w:eastAsia="Calibri"/>
                <w:b w:val="0"/>
                <w:bCs w:val="0"/>
                <w:noProof/>
                <w:sz w:val="20"/>
                <w:szCs w:val="20"/>
              </w:rPr>
              <w:t xml:space="preserve">Marketplace of cloud and AI </w:t>
            </w:r>
            <w:r w:rsidR="00A011FC" w:rsidRPr="00F65EF3">
              <w:rPr>
                <w:rFonts w:eastAsia="Calibri"/>
                <w:b w:val="0"/>
                <w:bCs w:val="0"/>
                <w:noProof/>
                <w:sz w:val="20"/>
                <w:szCs w:val="20"/>
              </w:rPr>
              <w:t>computing services</w:t>
            </w:r>
          </w:p>
        </w:tc>
        <w:tc>
          <w:tcPr>
            <w:tcW w:w="0" w:type="auto"/>
          </w:tcPr>
          <w:p w14:paraId="0AF05075"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26%</w:t>
            </w:r>
          </w:p>
        </w:tc>
        <w:tc>
          <w:tcPr>
            <w:tcW w:w="0" w:type="auto"/>
          </w:tcPr>
          <w:p w14:paraId="404B6229"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62%</w:t>
            </w:r>
          </w:p>
        </w:tc>
        <w:tc>
          <w:tcPr>
            <w:tcW w:w="0" w:type="auto"/>
          </w:tcPr>
          <w:p w14:paraId="27018794"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31%</w:t>
            </w:r>
          </w:p>
        </w:tc>
        <w:tc>
          <w:tcPr>
            <w:tcW w:w="0" w:type="auto"/>
          </w:tcPr>
          <w:p w14:paraId="00BAF397"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20%</w:t>
            </w:r>
          </w:p>
        </w:tc>
        <w:tc>
          <w:tcPr>
            <w:tcW w:w="0" w:type="auto"/>
          </w:tcPr>
          <w:p w14:paraId="1F1F8B86" w14:textId="77777777" w:rsidR="00E526C5" w:rsidRPr="00F65EF3" w:rsidRDefault="00E526C5">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27%</w:t>
            </w:r>
          </w:p>
        </w:tc>
      </w:tr>
      <w:tr w:rsidR="00F235A0" w:rsidRPr="00F65EF3" w14:paraId="2C59E922"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BC039E9" w14:textId="7A383FCC" w:rsidR="00F235A0" w:rsidRPr="00F65EF3" w:rsidRDefault="00F235A0" w:rsidP="00F235A0">
            <w:pPr>
              <w:spacing w:after="0"/>
              <w:jc w:val="left"/>
              <w:rPr>
                <w:rFonts w:eastAsia="Calibri"/>
                <w:b w:val="0"/>
                <w:bCs w:val="0"/>
                <w:noProof/>
                <w:sz w:val="20"/>
                <w:szCs w:val="20"/>
              </w:rPr>
            </w:pPr>
            <w:r w:rsidRPr="00F65EF3">
              <w:rPr>
                <w:rFonts w:eastAsia="Calibri"/>
                <w:b w:val="0"/>
                <w:bCs w:val="0"/>
                <w:noProof/>
                <w:sz w:val="20"/>
                <w:szCs w:val="20"/>
              </w:rPr>
              <w:t>Supporting an open source software ecosystem</w:t>
            </w:r>
          </w:p>
        </w:tc>
        <w:tc>
          <w:tcPr>
            <w:tcW w:w="0" w:type="auto"/>
          </w:tcPr>
          <w:p w14:paraId="387A6A20" w14:textId="13F9BA3F" w:rsidR="00F235A0" w:rsidRPr="00F65EF3" w:rsidRDefault="001B3E3C" w:rsidP="00F235A0">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62%</w:t>
            </w:r>
          </w:p>
        </w:tc>
        <w:tc>
          <w:tcPr>
            <w:tcW w:w="0" w:type="auto"/>
          </w:tcPr>
          <w:p w14:paraId="4B46163B" w14:textId="56235C8B" w:rsidR="00F235A0" w:rsidRPr="00F65EF3" w:rsidRDefault="009C7CC4" w:rsidP="00F235A0">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31%</w:t>
            </w:r>
          </w:p>
        </w:tc>
        <w:tc>
          <w:tcPr>
            <w:tcW w:w="0" w:type="auto"/>
          </w:tcPr>
          <w:p w14:paraId="5ACFAFA5" w14:textId="3D90461A" w:rsidR="00F235A0" w:rsidRPr="00F65EF3" w:rsidRDefault="00A917AB" w:rsidP="00F235A0">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92%</w:t>
            </w:r>
          </w:p>
        </w:tc>
        <w:tc>
          <w:tcPr>
            <w:tcW w:w="0" w:type="auto"/>
          </w:tcPr>
          <w:p w14:paraId="6C924174" w14:textId="3E51B5BC" w:rsidR="00F235A0" w:rsidRPr="00F65EF3" w:rsidRDefault="009412CD" w:rsidP="00F235A0">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73%</w:t>
            </w:r>
          </w:p>
        </w:tc>
        <w:tc>
          <w:tcPr>
            <w:tcW w:w="0" w:type="auto"/>
          </w:tcPr>
          <w:p w14:paraId="41E5EA4A" w14:textId="0829AF2F" w:rsidR="00F235A0" w:rsidRPr="00F65EF3" w:rsidRDefault="00EF1309" w:rsidP="00F235A0">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60%</w:t>
            </w:r>
          </w:p>
        </w:tc>
      </w:tr>
    </w:tbl>
    <w:p w14:paraId="73B0B34E" w14:textId="77777777" w:rsidR="00A056AE" w:rsidRPr="00D37004" w:rsidRDefault="00A056AE" w:rsidP="009C6BBC">
      <w:pPr>
        <w:spacing w:after="0"/>
        <w:rPr>
          <w:noProof/>
          <w:sz w:val="20"/>
          <w:szCs w:val="20"/>
        </w:rPr>
      </w:pPr>
    </w:p>
    <w:p w14:paraId="7007CD9F" w14:textId="45C3A95F" w:rsidR="00E526C5" w:rsidRPr="00D37004" w:rsidRDefault="00E526C5" w:rsidP="00E526C5">
      <w:pPr>
        <w:rPr>
          <w:noProof/>
        </w:rPr>
      </w:pPr>
      <w:r w:rsidRPr="00D37004">
        <w:rPr>
          <w:noProof/>
        </w:rPr>
        <w:t xml:space="preserve">In the CfE, some national and local governments as well as several public authorities emphasized empowering public buyers through model clauses and guidance to help public administrations to procure cloud services. However, some warned against mandatory obligations that could conflict with EU procurement principles or overly limit their flexibility. </w:t>
      </w:r>
    </w:p>
    <w:p w14:paraId="76684D7C" w14:textId="64C7A5DF" w:rsidR="00E526C5" w:rsidRPr="00D37004" w:rsidRDefault="00E526C5" w:rsidP="00F65EF3">
      <w:pPr>
        <w:spacing w:after="120"/>
        <w:rPr>
          <w:noProof/>
        </w:rPr>
      </w:pPr>
      <w:r w:rsidRPr="00D37004">
        <w:rPr>
          <w:noProof/>
        </w:rPr>
        <w:t xml:space="preserve">Some companies framed public procurement as a critical but underused leverage point, though they diverged sharply on solutions. European companies argued that current frameworks fail to empower buyers to choose sovereign, sustainable, or interoperable solutions, calling for uptake targets for trusted EU cloud services and criteria based on sovereignty and environmental performance. Some argued for a diversification of cloud supply, including strengthening EU-based alternatives and governance but without restricting the use of non-EU providers. </w:t>
      </w:r>
    </w:p>
    <w:p w14:paraId="1A7190A6" w14:textId="5DEC2B00" w:rsidR="00E526C5" w:rsidRPr="00D37004" w:rsidRDefault="00E526C5" w:rsidP="00F65EF3">
      <w:pPr>
        <w:spacing w:after="120"/>
        <w:rPr>
          <w:noProof/>
        </w:rPr>
      </w:pPr>
      <w:r w:rsidRPr="00D37004">
        <w:rPr>
          <w:noProof/>
        </w:rPr>
        <w:t>In contrast, global providers support the EU's ambitions to bolster innovation and security but warn against overly restrictive sovereignty rules that could hinder competitiveness and limit access to cutting-edge technologies if they exclude providers based on corporate origin. Sovereignty requirement for critical use cases must be carefully defined to avoid fragmentation. They advocate for a pragmatic and targeted approach to defining ‘sovereignty’ to avoid unintended consequences such as straining the EU's cloud ecosystem or fragmenting the Single Market. To strengthen resilience and avoid vendor lock-in, several companies and business organisations recommend that public authorities adopt multi-cloud strategies for non-critical use cases.</w:t>
      </w:r>
    </w:p>
    <w:p w14:paraId="4CCE4174" w14:textId="3F90DBB7" w:rsidR="00E526C5" w:rsidRPr="00D37004" w:rsidRDefault="00E526C5" w:rsidP="009C6BBC">
      <w:pPr>
        <w:rPr>
          <w:noProof/>
        </w:rPr>
      </w:pPr>
      <w:r w:rsidRPr="00D37004">
        <w:rPr>
          <w:noProof/>
        </w:rPr>
        <w:t xml:space="preserve">In general, all </w:t>
      </w:r>
      <w:r w:rsidR="00DE3DD2">
        <w:rPr>
          <w:noProof/>
        </w:rPr>
        <w:t>respondent</w:t>
      </w:r>
      <w:r w:rsidRPr="00D37004">
        <w:rPr>
          <w:noProof/>
        </w:rPr>
        <w:t xml:space="preserve"> groups, especially public authorities and both EU and non-EU companies, showed strong support for open source to foster sovereignty, interoperability and competition. </w:t>
      </w:r>
    </w:p>
    <w:p w14:paraId="6E274E0D" w14:textId="165382FC" w:rsidR="00B275D3" w:rsidRPr="00D37004" w:rsidRDefault="00B275D3" w:rsidP="008D0BAC">
      <w:pPr>
        <w:pStyle w:val="Heading2"/>
        <w:numPr>
          <w:ilvl w:val="1"/>
          <w:numId w:val="9"/>
        </w:numPr>
        <w:ind w:left="993" w:hanging="567"/>
        <w:rPr>
          <w:rFonts w:eastAsia="Calibri"/>
          <w:noProof/>
        </w:rPr>
      </w:pPr>
      <w:bookmarkStart w:id="75" w:name="_Toc216283342"/>
      <w:bookmarkStart w:id="76" w:name="_Toc228346897"/>
      <w:r w:rsidRPr="00D37004">
        <w:rPr>
          <w:rFonts w:eastAsia="Calibri"/>
          <w:noProof/>
        </w:rPr>
        <w:t xml:space="preserve">Lack of common concept and operational criteria for sovereign cloud and AI </w:t>
      </w:r>
      <w:r w:rsidR="00A011FC">
        <w:rPr>
          <w:rFonts w:eastAsia="Calibri"/>
          <w:noProof/>
        </w:rPr>
        <w:t>computing services</w:t>
      </w:r>
      <w:bookmarkEnd w:id="75"/>
      <w:bookmarkEnd w:id="76"/>
    </w:p>
    <w:p w14:paraId="33C25F6D" w14:textId="1281170C" w:rsidR="00A8003E" w:rsidRPr="00D37004" w:rsidRDefault="00A8003E" w:rsidP="00F65EF3">
      <w:pPr>
        <w:spacing w:after="120"/>
        <w:rPr>
          <w:noProof/>
        </w:rPr>
      </w:pPr>
      <w:r w:rsidRPr="00D37004">
        <w:rPr>
          <w:noProof/>
        </w:rPr>
        <w:t xml:space="preserve">In the CfE, </w:t>
      </w:r>
      <w:r w:rsidR="00DE3DD2">
        <w:rPr>
          <w:noProof/>
        </w:rPr>
        <w:t>respondents</w:t>
      </w:r>
      <w:r w:rsidRPr="00D37004">
        <w:rPr>
          <w:noProof/>
        </w:rPr>
        <w:t xml:space="preserve"> consistently identified the absence of a common EU definition and certification framework for sovereign cloud and AI </w:t>
      </w:r>
      <w:r w:rsidR="00A011FC">
        <w:rPr>
          <w:noProof/>
        </w:rPr>
        <w:t>computing services</w:t>
      </w:r>
      <w:r w:rsidRPr="00D37004">
        <w:rPr>
          <w:noProof/>
        </w:rPr>
        <w:t xml:space="preserve"> as a fundamental barrier to building trust, driving adoption, and enabling cross-border scalability. The lack of harmonized cybersecurity standards particularly limits providers’ ability to scale services across Member States, creating fragmentation that undermines the </w:t>
      </w:r>
      <w:r w:rsidR="00B5273D">
        <w:rPr>
          <w:noProof/>
        </w:rPr>
        <w:t>S</w:t>
      </w:r>
      <w:r w:rsidRPr="00D37004">
        <w:rPr>
          <w:noProof/>
        </w:rPr>
        <w:t xml:space="preserve">ingle </w:t>
      </w:r>
      <w:r w:rsidR="00B5273D">
        <w:rPr>
          <w:noProof/>
        </w:rPr>
        <w:t>M</w:t>
      </w:r>
      <w:r w:rsidRPr="00D37004">
        <w:rPr>
          <w:noProof/>
        </w:rPr>
        <w:t xml:space="preserve">arket potential. This regulatory gap has intensified demands for trusted EU-based cloud providers capable of delivering sensitive data services with robust guarantees of legal and operational sovereignty, interoperability, and protection from extraterritorial interference. These concerns align with public sentiment, as EU citizens expressed significant wariness about foreign control of public data where </w:t>
      </w:r>
      <w:r w:rsidRPr="005739D4">
        <w:rPr>
          <w:noProof/>
        </w:rPr>
        <w:t>85%</w:t>
      </w:r>
      <w:r w:rsidRPr="00D37004">
        <w:rPr>
          <w:noProof/>
        </w:rPr>
        <w:t xml:space="preserve"> reported low to very low trust in providers based outside of the EU, and </w:t>
      </w:r>
      <w:r w:rsidRPr="005739D4">
        <w:rPr>
          <w:noProof/>
        </w:rPr>
        <w:t>76%</w:t>
      </w:r>
      <w:r w:rsidRPr="00D37004">
        <w:rPr>
          <w:noProof/>
        </w:rPr>
        <w:t xml:space="preserve"> </w:t>
      </w:r>
      <w:r w:rsidRPr="00D37004">
        <w:rPr>
          <w:rFonts w:eastAsia="Times New Roman"/>
          <w:noProof/>
        </w:rPr>
        <w:t>considered public services in the EU should not be allowed to store citizen data with non-EU cloud providers</w:t>
      </w:r>
      <w:r w:rsidRPr="00D37004">
        <w:rPr>
          <w:noProof/>
        </w:rPr>
        <w:t>.</w:t>
      </w:r>
    </w:p>
    <w:p w14:paraId="42D39630" w14:textId="713FD5C5" w:rsidR="00A8003E" w:rsidRPr="00D37004" w:rsidRDefault="00A8003E" w:rsidP="00A8003E">
      <w:pPr>
        <w:rPr>
          <w:noProof/>
        </w:rPr>
      </w:pPr>
      <w:r w:rsidRPr="00D37004">
        <w:rPr>
          <w:noProof/>
        </w:rPr>
        <w:t xml:space="preserve">In the CfE, there was near-universal agreement that the term ‘digital sovereignty’ lacks a clear and actionable definition, particularly in the context of cloud and AI </w:t>
      </w:r>
      <w:r w:rsidR="00A011FC">
        <w:rPr>
          <w:noProof/>
        </w:rPr>
        <w:t>computing services</w:t>
      </w:r>
      <w:r w:rsidRPr="00D37004">
        <w:rPr>
          <w:noProof/>
        </w:rPr>
        <w:t>. Public authorities acknowledged that the concept of ‘sovereign cloud’ remains ill-defined, creating uncertainty across the policy landscape. Several EU citizens emphasized that sovereignty should ensure services critical to public continuity cannot be disrupted unilaterally by non-EU actors.</w:t>
      </w:r>
    </w:p>
    <w:p w14:paraId="7F6125F0" w14:textId="77777777" w:rsidR="00B275D3" w:rsidRPr="00D37004" w:rsidRDefault="00B275D3" w:rsidP="00F65EF3">
      <w:pPr>
        <w:pStyle w:val="Heading3"/>
        <w:numPr>
          <w:ilvl w:val="2"/>
          <w:numId w:val="18"/>
        </w:numPr>
        <w:spacing w:after="120"/>
        <w:ind w:left="1871"/>
        <w:rPr>
          <w:rFonts w:eastAsia="Calibri"/>
          <w:noProof/>
        </w:rPr>
      </w:pPr>
      <w:r w:rsidRPr="00D37004">
        <w:rPr>
          <w:rFonts w:eastAsia="Calibri"/>
          <w:noProof/>
        </w:rPr>
        <w:t xml:space="preserve">Policy </w:t>
      </w:r>
      <w:r w:rsidRPr="008D0BAC">
        <w:rPr>
          <w:rFonts w:eastAsia="Calibri"/>
          <w:noProof/>
          <w:lang w:val="en-GB"/>
        </w:rPr>
        <w:t>measures</w:t>
      </w:r>
    </w:p>
    <w:p w14:paraId="766F8DAD" w14:textId="7D5DE6BF" w:rsidR="003C4E74" w:rsidRPr="00D37004" w:rsidRDefault="003C4E74" w:rsidP="00F65EF3">
      <w:pPr>
        <w:spacing w:after="120"/>
        <w:rPr>
          <w:noProof/>
        </w:rPr>
      </w:pPr>
      <w:r w:rsidRPr="00D37004">
        <w:rPr>
          <w:noProof/>
        </w:rPr>
        <w:t xml:space="preserve">Among public authorities, </w:t>
      </w:r>
      <w:r w:rsidRPr="005739D4">
        <w:rPr>
          <w:noProof/>
        </w:rPr>
        <w:t>77</w:t>
      </w:r>
      <w:r w:rsidRPr="00D37004">
        <w:rPr>
          <w:noProof/>
        </w:rPr>
        <w:t>% would support a criterion to ensure sovereignty, autonomy, resilience and availability. In the CfE, public authorities specifically called for a clear, uniform definition of cloud sovereignty that encompasses data ownership, exclusive EU jurisdiction, and comprehensive contractual safeguards. Many advocated for deploying EU-level secure cloud offerings comparable to existing frameworks like SecNumCloud or EUCS High+.</w:t>
      </w:r>
      <w:r w:rsidR="006D5B05" w:rsidRPr="00D37004">
        <w:rPr>
          <w:noProof/>
        </w:rPr>
        <w:t xml:space="preserve"> S</w:t>
      </w:r>
      <w:r w:rsidRPr="00D37004">
        <w:rPr>
          <w:noProof/>
        </w:rPr>
        <w:t xml:space="preserve">ome </w:t>
      </w:r>
      <w:r w:rsidR="00DE3DD2">
        <w:rPr>
          <w:noProof/>
        </w:rPr>
        <w:t>respondents</w:t>
      </w:r>
      <w:r w:rsidRPr="00D37004">
        <w:rPr>
          <w:noProof/>
        </w:rPr>
        <w:t xml:space="preserve"> repeatedly emphasized the urgency of finalising the EUCS certification scheme and integrating it into procurement frameworks, while leveraging public procurement rules to reinforce sovereignty requirements and mitigate national security risks. Several public authorities proposed extending NIS2 scope to include suppliers serving essential public services. </w:t>
      </w:r>
    </w:p>
    <w:p w14:paraId="2B473A8D" w14:textId="366E458F" w:rsidR="00B275D3" w:rsidRPr="00D37004" w:rsidRDefault="003C4E74" w:rsidP="00F65EF3">
      <w:pPr>
        <w:spacing w:after="120"/>
        <w:rPr>
          <w:noProof/>
        </w:rPr>
      </w:pPr>
      <w:r w:rsidRPr="00D37004">
        <w:rPr>
          <w:noProof/>
        </w:rPr>
        <w:t xml:space="preserve">Some public authorities and </w:t>
      </w:r>
      <w:r w:rsidR="00B275D3" w:rsidRPr="00D37004">
        <w:rPr>
          <w:noProof/>
        </w:rPr>
        <w:t xml:space="preserve">national governments advocated for functional, risk-based </w:t>
      </w:r>
      <w:r w:rsidRPr="00D37004">
        <w:rPr>
          <w:noProof/>
        </w:rPr>
        <w:t xml:space="preserve">approach to sovereignty as full technological autonomy for all cases is not realistic. </w:t>
      </w:r>
      <w:r w:rsidR="001969C0" w:rsidRPr="00D37004">
        <w:rPr>
          <w:noProof/>
        </w:rPr>
        <w:t>Sovereignty</w:t>
      </w:r>
      <w:r w:rsidRPr="00D37004">
        <w:rPr>
          <w:noProof/>
        </w:rPr>
        <w:t xml:space="preserve"> should </w:t>
      </w:r>
      <w:r w:rsidR="001969C0" w:rsidRPr="00D37004">
        <w:rPr>
          <w:noProof/>
        </w:rPr>
        <w:t xml:space="preserve">be </w:t>
      </w:r>
      <w:r w:rsidRPr="00D37004">
        <w:rPr>
          <w:noProof/>
        </w:rPr>
        <w:t xml:space="preserve">anchored in clear operational </w:t>
      </w:r>
      <w:r w:rsidR="001969C0" w:rsidRPr="00D37004">
        <w:rPr>
          <w:noProof/>
        </w:rPr>
        <w:t>criteria</w:t>
      </w:r>
      <w:r w:rsidR="00B275D3" w:rsidRPr="00D37004">
        <w:rPr>
          <w:noProof/>
        </w:rPr>
        <w:t xml:space="preserve"> focused on retaining control over data and operations, switching providers, and avoiding undue foreign legal influence rather than mandating EU-only </w:t>
      </w:r>
      <w:r w:rsidRPr="00D37004">
        <w:rPr>
          <w:noProof/>
        </w:rPr>
        <w:t>solutions.</w:t>
      </w:r>
      <w:r w:rsidR="00CB3345" w:rsidRPr="00D37004">
        <w:rPr>
          <w:noProof/>
        </w:rPr>
        <w:t xml:space="preserve"> </w:t>
      </w:r>
      <w:r w:rsidR="00B275D3" w:rsidRPr="00D37004">
        <w:rPr>
          <w:noProof/>
        </w:rPr>
        <w:t xml:space="preserve">Regulatory bodies emphasized that sovereignty must not become a pretext for fragmentation, instead advocating for open architectures, </w:t>
      </w:r>
      <w:r w:rsidRPr="00D37004">
        <w:rPr>
          <w:noProof/>
        </w:rPr>
        <w:t>multi</w:t>
      </w:r>
      <w:r w:rsidR="00001E4D" w:rsidRPr="00D37004">
        <w:rPr>
          <w:noProof/>
        </w:rPr>
        <w:t>-</w:t>
      </w:r>
      <w:r w:rsidRPr="00D37004">
        <w:rPr>
          <w:noProof/>
        </w:rPr>
        <w:t>cloud</w:t>
      </w:r>
      <w:r w:rsidR="00B275D3" w:rsidRPr="00D37004">
        <w:rPr>
          <w:noProof/>
        </w:rPr>
        <w:t xml:space="preserve"> </w:t>
      </w:r>
      <w:r w:rsidR="00CB3345" w:rsidRPr="00D37004">
        <w:rPr>
          <w:noProof/>
        </w:rPr>
        <w:t>approach</w:t>
      </w:r>
      <w:r w:rsidR="00B275D3" w:rsidRPr="00D37004">
        <w:rPr>
          <w:noProof/>
        </w:rPr>
        <w:t>, and guaranteed access to key inputs for challenger firms.</w:t>
      </w:r>
    </w:p>
    <w:p w14:paraId="54A4FBCF" w14:textId="38BFEA0A" w:rsidR="00B275D3" w:rsidRPr="00D37004" w:rsidRDefault="00B275D3" w:rsidP="00B275D3">
      <w:pPr>
        <w:rPr>
          <w:noProof/>
        </w:rPr>
      </w:pPr>
      <w:r w:rsidRPr="00D37004">
        <w:rPr>
          <w:noProof/>
        </w:rPr>
        <w:t xml:space="preserve">Among industry associations, there was a split between those calling for functional definitions based on EU legal jurisdiction and vendor independence through federated European solutions, and those warning that overly restrictive criteria could impede cross-border services and harm innovation. </w:t>
      </w:r>
      <w:r w:rsidR="003C4E74" w:rsidRPr="00D37004">
        <w:rPr>
          <w:noProof/>
        </w:rPr>
        <w:t xml:space="preserve">Several </w:t>
      </w:r>
      <w:r w:rsidRPr="00D37004">
        <w:rPr>
          <w:noProof/>
        </w:rPr>
        <w:t>European companies pushed for enforceable criteria involving EU ownership, legal immunity from third-country laws, and operational autonomy, with some proposing sovereignty frameworks differentiated by use case criticality. In contrast, non-EU providers urged against rigid definitions, recommending non-discriminator</w:t>
      </w:r>
      <w:r w:rsidR="007C1CBA" w:rsidRPr="00D37004">
        <w:rPr>
          <w:noProof/>
        </w:rPr>
        <w:t>y</w:t>
      </w:r>
      <w:r w:rsidRPr="00D37004">
        <w:rPr>
          <w:noProof/>
        </w:rPr>
        <w:t xml:space="preserve"> and risk-based criteria grounded in technical safeguards rather than ownership or nationality. </w:t>
      </w:r>
    </w:p>
    <w:p w14:paraId="585D0D10" w14:textId="6670C9DE" w:rsidR="00B275D3" w:rsidRPr="00D37004" w:rsidRDefault="00215905" w:rsidP="008D0BAC">
      <w:pPr>
        <w:pStyle w:val="Caption"/>
        <w:rPr>
          <w:i/>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w:t>
      </w:r>
      <w:r>
        <w:rPr>
          <w:noProof/>
        </w:rPr>
        <w:fldChar w:fldCharType="end"/>
      </w:r>
      <w:r>
        <w:rPr>
          <w:noProof/>
        </w:rPr>
        <w:t>.</w:t>
      </w:r>
      <w:r w:rsidR="00B275D3">
        <w:rPr>
          <w:noProof/>
        </w:rPr>
        <w:t xml:space="preserve"> </w:t>
      </w:r>
      <w:r w:rsidR="1465506C" w:rsidRPr="008D0BAC">
        <w:rPr>
          <w:noProof/>
        </w:rPr>
        <w:t>Level of support for</w:t>
      </w:r>
      <w:r w:rsidR="00B275D3" w:rsidRPr="008D0BAC">
        <w:rPr>
          <w:noProof/>
        </w:rPr>
        <w:t xml:space="preserve"> EU policy measures to protect against unlawful access to sensitive data by third-country legislation with extraterritorial reach and risk associated with supply chain dependencies</w:t>
      </w:r>
    </w:p>
    <w:tbl>
      <w:tblPr>
        <w:tblStyle w:val="GridTable6Colorfu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31"/>
        <w:gridCol w:w="1302"/>
        <w:gridCol w:w="1315"/>
        <w:gridCol w:w="978"/>
        <w:gridCol w:w="1673"/>
        <w:gridCol w:w="836"/>
      </w:tblGrid>
      <w:tr w:rsidR="003C4E74" w:rsidRPr="00F65EF3" w14:paraId="2F20B135" w14:textId="77777777" w:rsidTr="00F65EF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227ACB"/>
          </w:tcPr>
          <w:p w14:paraId="5F20E676" w14:textId="77777777" w:rsidR="003C4E74" w:rsidRPr="00F65EF3" w:rsidRDefault="003C4E74" w:rsidP="003C4E74">
            <w:pPr>
              <w:spacing w:after="0"/>
              <w:jc w:val="left"/>
              <w:rPr>
                <w:rFonts w:eastAsia="Calibri"/>
                <w:noProof/>
                <w:color w:val="FFFFFF" w:themeColor="background1"/>
                <w:sz w:val="20"/>
                <w:szCs w:val="20"/>
              </w:rPr>
            </w:pPr>
            <w:r w:rsidRPr="00F65EF3">
              <w:rPr>
                <w:rFonts w:eastAsia="Calibri"/>
                <w:noProof/>
                <w:color w:val="FFFFFF" w:themeColor="background1"/>
                <w:sz w:val="20"/>
                <w:szCs w:val="20"/>
              </w:rPr>
              <w:t xml:space="preserve">Policy Measure </w:t>
            </w:r>
          </w:p>
        </w:tc>
        <w:tc>
          <w:tcPr>
            <w:tcW w:w="0" w:type="auto"/>
            <w:shd w:val="clear" w:color="auto" w:fill="227ACB"/>
          </w:tcPr>
          <w:p w14:paraId="0C363308" w14:textId="77777777" w:rsidR="003C4E74" w:rsidRPr="00F65EF3" w:rsidRDefault="003C4E74" w:rsidP="003C4E74">
            <w:pPr>
              <w:spacing w:after="0"/>
              <w:jc w:val="left"/>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Companies</w:t>
            </w:r>
            <w:r w:rsidRPr="00F65EF3">
              <w:rPr>
                <w:rFonts w:eastAsia="Calibri"/>
                <w:noProof/>
                <w:color w:val="FFFFFF" w:themeColor="background1"/>
                <w:sz w:val="20"/>
                <w:szCs w:val="20"/>
                <w:vertAlign w:val="superscript"/>
              </w:rPr>
              <w:footnoteReference w:id="11"/>
            </w:r>
          </w:p>
        </w:tc>
        <w:tc>
          <w:tcPr>
            <w:tcW w:w="0" w:type="auto"/>
            <w:shd w:val="clear" w:color="auto" w:fill="227ACB"/>
          </w:tcPr>
          <w:p w14:paraId="16507E8B" w14:textId="77777777" w:rsidR="003C4E74" w:rsidRPr="00F65EF3" w:rsidRDefault="003C4E74" w:rsidP="003C4E74">
            <w:pPr>
              <w:spacing w:after="0"/>
              <w:jc w:val="left"/>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 xml:space="preserve">Public Authorities </w:t>
            </w:r>
          </w:p>
        </w:tc>
        <w:tc>
          <w:tcPr>
            <w:tcW w:w="0" w:type="auto"/>
            <w:shd w:val="clear" w:color="auto" w:fill="227ACB"/>
          </w:tcPr>
          <w:p w14:paraId="29135CA9" w14:textId="77777777" w:rsidR="003C4E74" w:rsidRPr="00F65EF3" w:rsidRDefault="003C4E74" w:rsidP="003C4E74">
            <w:pPr>
              <w:spacing w:after="0"/>
              <w:jc w:val="left"/>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EU Citizens</w:t>
            </w:r>
          </w:p>
        </w:tc>
        <w:tc>
          <w:tcPr>
            <w:tcW w:w="0" w:type="auto"/>
            <w:shd w:val="clear" w:color="auto" w:fill="227ACB"/>
          </w:tcPr>
          <w:p w14:paraId="66D681C7" w14:textId="77777777" w:rsidR="003C4E74" w:rsidRPr="00F65EF3" w:rsidRDefault="003C4E74" w:rsidP="003C4E74">
            <w:pPr>
              <w:spacing w:after="0"/>
              <w:jc w:val="left"/>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Business associations / trade unions</w:t>
            </w:r>
          </w:p>
        </w:tc>
        <w:tc>
          <w:tcPr>
            <w:tcW w:w="0" w:type="auto"/>
            <w:shd w:val="clear" w:color="auto" w:fill="227ACB"/>
          </w:tcPr>
          <w:p w14:paraId="4E3DACF2" w14:textId="77777777" w:rsidR="003C4E74" w:rsidRPr="00F65EF3" w:rsidRDefault="003C4E74" w:rsidP="003C4E74">
            <w:pPr>
              <w:spacing w:after="0"/>
              <w:jc w:val="left"/>
              <w:cnfStyle w:val="100000000000" w:firstRow="1" w:lastRow="0" w:firstColumn="0" w:lastColumn="0" w:oddVBand="0" w:evenVBand="0" w:oddHBand="0" w:evenHBand="0" w:firstRowFirstColumn="0" w:firstRowLastColumn="0" w:lastRowFirstColumn="0" w:lastRowLastColumn="0"/>
              <w:rPr>
                <w:rFonts w:eastAsia="Calibri"/>
                <w:noProof/>
                <w:color w:val="FFFFFF" w:themeColor="background1"/>
                <w:sz w:val="20"/>
                <w:szCs w:val="20"/>
              </w:rPr>
            </w:pPr>
            <w:r w:rsidRPr="00F65EF3">
              <w:rPr>
                <w:rFonts w:eastAsia="Calibri"/>
                <w:noProof/>
                <w:color w:val="FFFFFF" w:themeColor="background1"/>
                <w:sz w:val="20"/>
                <w:szCs w:val="20"/>
              </w:rPr>
              <w:t>CSOs</w:t>
            </w:r>
            <w:r w:rsidRPr="00F65EF3">
              <w:rPr>
                <w:rFonts w:eastAsia="Calibri"/>
                <w:noProof/>
                <w:color w:val="FFFFFF" w:themeColor="background1"/>
                <w:sz w:val="20"/>
                <w:szCs w:val="20"/>
                <w:vertAlign w:val="superscript"/>
              </w:rPr>
              <w:footnoteReference w:id="12"/>
            </w:r>
          </w:p>
        </w:tc>
      </w:tr>
      <w:tr w:rsidR="003C4E74" w:rsidRPr="00F65EF3" w14:paraId="56B9DD3F" w14:textId="77777777" w:rsidTr="00F65EF3">
        <w:trPr>
          <w:trHeight w:val="693"/>
        </w:trPr>
        <w:tc>
          <w:tcPr>
            <w:cnfStyle w:val="001000000000" w:firstRow="0" w:lastRow="0" w:firstColumn="1" w:lastColumn="0" w:oddVBand="0" w:evenVBand="0" w:oddHBand="0" w:evenHBand="0" w:firstRowFirstColumn="0" w:firstRowLastColumn="0" w:lastRowFirstColumn="0" w:lastRowLastColumn="0"/>
            <w:tcW w:w="0" w:type="auto"/>
          </w:tcPr>
          <w:p w14:paraId="143B0A4F" w14:textId="1340E3B0" w:rsidR="003C4E74" w:rsidRPr="00F65EF3" w:rsidRDefault="003C4E74" w:rsidP="003C4E74">
            <w:pPr>
              <w:spacing w:after="0"/>
              <w:jc w:val="left"/>
              <w:rPr>
                <w:rFonts w:eastAsia="Times New Roman"/>
                <w:b w:val="0"/>
                <w:bCs w:val="0"/>
                <w:noProof/>
                <w:color w:val="750B1C"/>
                <w:sz w:val="20"/>
                <w:szCs w:val="20"/>
              </w:rPr>
            </w:pPr>
            <w:r w:rsidRPr="00F65EF3">
              <w:rPr>
                <w:rFonts w:eastAsia="Calibri"/>
                <w:b w:val="0"/>
                <w:bCs w:val="0"/>
                <w:noProof/>
                <w:sz w:val="20"/>
                <w:szCs w:val="20"/>
              </w:rPr>
              <w:t>Criterion ensuring sovereignty, autonomy, resilience and availability</w:t>
            </w:r>
            <w:r w:rsidRPr="00F65EF3">
              <w:rPr>
                <w:rFonts w:eastAsia="Times New Roman"/>
                <w:b w:val="0"/>
                <w:bCs w:val="0"/>
                <w:noProof/>
                <w:sz w:val="20"/>
                <w:szCs w:val="20"/>
              </w:rPr>
              <w:t xml:space="preserve"> </w:t>
            </w:r>
          </w:p>
        </w:tc>
        <w:tc>
          <w:tcPr>
            <w:tcW w:w="0" w:type="auto"/>
          </w:tcPr>
          <w:p w14:paraId="38073A30"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Times New Roman"/>
                <w:noProof/>
                <w:sz w:val="20"/>
                <w:szCs w:val="20"/>
              </w:rPr>
            </w:pPr>
            <w:r w:rsidRPr="00F65EF3">
              <w:rPr>
                <w:rFonts w:eastAsia="Times New Roman"/>
                <w:noProof/>
                <w:sz w:val="20"/>
                <w:szCs w:val="20"/>
              </w:rPr>
              <w:t>45%</w:t>
            </w:r>
          </w:p>
        </w:tc>
        <w:tc>
          <w:tcPr>
            <w:tcW w:w="0" w:type="auto"/>
          </w:tcPr>
          <w:p w14:paraId="085013D7"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Times New Roman"/>
                <w:noProof/>
                <w:sz w:val="20"/>
                <w:szCs w:val="20"/>
              </w:rPr>
            </w:pPr>
            <w:r w:rsidRPr="00F65EF3">
              <w:rPr>
                <w:rFonts w:eastAsia="Times New Roman"/>
                <w:noProof/>
                <w:sz w:val="20"/>
                <w:szCs w:val="20"/>
              </w:rPr>
              <w:t>77%</w:t>
            </w:r>
          </w:p>
        </w:tc>
        <w:tc>
          <w:tcPr>
            <w:tcW w:w="0" w:type="auto"/>
          </w:tcPr>
          <w:p w14:paraId="0315CEC4"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Times New Roman"/>
                <w:noProof/>
                <w:sz w:val="20"/>
                <w:szCs w:val="20"/>
              </w:rPr>
            </w:pPr>
            <w:r w:rsidRPr="00F65EF3">
              <w:rPr>
                <w:rFonts w:eastAsia="Times New Roman"/>
                <w:noProof/>
                <w:sz w:val="20"/>
                <w:szCs w:val="20"/>
              </w:rPr>
              <w:t>63%</w:t>
            </w:r>
          </w:p>
        </w:tc>
        <w:tc>
          <w:tcPr>
            <w:tcW w:w="0" w:type="auto"/>
          </w:tcPr>
          <w:p w14:paraId="76A9D665"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Times New Roman"/>
                <w:noProof/>
                <w:sz w:val="20"/>
                <w:szCs w:val="20"/>
              </w:rPr>
            </w:pPr>
            <w:r w:rsidRPr="00F65EF3">
              <w:rPr>
                <w:rFonts w:eastAsia="Times New Roman"/>
                <w:noProof/>
                <w:sz w:val="20"/>
                <w:szCs w:val="20"/>
              </w:rPr>
              <w:t>23%</w:t>
            </w:r>
          </w:p>
        </w:tc>
        <w:tc>
          <w:tcPr>
            <w:tcW w:w="0" w:type="auto"/>
          </w:tcPr>
          <w:p w14:paraId="6C92CC70"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Times New Roman"/>
                <w:noProof/>
                <w:sz w:val="20"/>
                <w:szCs w:val="20"/>
              </w:rPr>
            </w:pPr>
            <w:r w:rsidRPr="00F65EF3">
              <w:rPr>
                <w:rFonts w:eastAsia="Times New Roman"/>
                <w:noProof/>
                <w:sz w:val="20"/>
                <w:szCs w:val="20"/>
              </w:rPr>
              <w:t>52%</w:t>
            </w:r>
          </w:p>
        </w:tc>
      </w:tr>
      <w:tr w:rsidR="003C4E74" w:rsidRPr="00F65EF3" w14:paraId="60F47A4F" w14:textId="77777777" w:rsidTr="00F65EF3">
        <w:trPr>
          <w:trHeight w:val="633"/>
        </w:trPr>
        <w:tc>
          <w:tcPr>
            <w:cnfStyle w:val="001000000000" w:firstRow="0" w:lastRow="0" w:firstColumn="1" w:lastColumn="0" w:oddVBand="0" w:evenVBand="0" w:oddHBand="0" w:evenHBand="0" w:firstRowFirstColumn="0" w:firstRowLastColumn="0" w:lastRowFirstColumn="0" w:lastRowLastColumn="0"/>
            <w:tcW w:w="0" w:type="auto"/>
          </w:tcPr>
          <w:p w14:paraId="33699DC4" w14:textId="49B45243" w:rsidR="003C4E74" w:rsidRPr="00F65EF3" w:rsidRDefault="003C4E74" w:rsidP="003C4E74">
            <w:pPr>
              <w:spacing w:after="0"/>
              <w:jc w:val="left"/>
              <w:rPr>
                <w:rFonts w:eastAsia="Calibri"/>
                <w:b w:val="0"/>
                <w:bCs w:val="0"/>
                <w:noProof/>
                <w:sz w:val="20"/>
                <w:szCs w:val="20"/>
              </w:rPr>
            </w:pPr>
            <w:r w:rsidRPr="00F65EF3">
              <w:rPr>
                <w:rFonts w:eastAsia="Calibri"/>
                <w:b w:val="0"/>
                <w:bCs w:val="0"/>
                <w:noProof/>
                <w:sz w:val="20"/>
                <w:szCs w:val="20"/>
              </w:rPr>
              <w:t>Criteria to narrowly identify highly critical use cases for public procurement</w:t>
            </w:r>
          </w:p>
        </w:tc>
        <w:tc>
          <w:tcPr>
            <w:tcW w:w="0" w:type="auto"/>
          </w:tcPr>
          <w:p w14:paraId="75D646E9"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30%</w:t>
            </w:r>
          </w:p>
        </w:tc>
        <w:tc>
          <w:tcPr>
            <w:tcW w:w="0" w:type="auto"/>
          </w:tcPr>
          <w:p w14:paraId="386B4943"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62%</w:t>
            </w:r>
          </w:p>
        </w:tc>
        <w:tc>
          <w:tcPr>
            <w:tcW w:w="0" w:type="auto"/>
          </w:tcPr>
          <w:p w14:paraId="06E6697B"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48%</w:t>
            </w:r>
          </w:p>
        </w:tc>
        <w:tc>
          <w:tcPr>
            <w:tcW w:w="0" w:type="auto"/>
          </w:tcPr>
          <w:p w14:paraId="50695ADD"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20%</w:t>
            </w:r>
          </w:p>
        </w:tc>
        <w:tc>
          <w:tcPr>
            <w:tcW w:w="0" w:type="auto"/>
          </w:tcPr>
          <w:p w14:paraId="74CFBF8D"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52%</w:t>
            </w:r>
          </w:p>
        </w:tc>
      </w:tr>
      <w:tr w:rsidR="003C4E74" w:rsidRPr="00F65EF3" w14:paraId="59187CBA" w14:textId="77777777" w:rsidTr="00F65EF3">
        <w:trPr>
          <w:trHeight w:val="300"/>
        </w:trPr>
        <w:tc>
          <w:tcPr>
            <w:cnfStyle w:val="001000000000" w:firstRow="0" w:lastRow="0" w:firstColumn="1" w:lastColumn="0" w:oddVBand="0" w:evenVBand="0" w:oddHBand="0" w:evenHBand="0" w:firstRowFirstColumn="0" w:firstRowLastColumn="0" w:lastRowFirstColumn="0" w:lastRowLastColumn="0"/>
            <w:tcW w:w="0" w:type="auto"/>
          </w:tcPr>
          <w:p w14:paraId="1E050CBB" w14:textId="77777777" w:rsidR="003C4E74" w:rsidRPr="00F65EF3" w:rsidRDefault="003C4E74" w:rsidP="003C4E74">
            <w:pPr>
              <w:spacing w:after="0"/>
              <w:jc w:val="left"/>
              <w:rPr>
                <w:rFonts w:eastAsia="Calibri"/>
                <w:b w:val="0"/>
                <w:bCs w:val="0"/>
                <w:noProof/>
                <w:sz w:val="20"/>
                <w:szCs w:val="20"/>
              </w:rPr>
            </w:pPr>
            <w:r w:rsidRPr="00F65EF3">
              <w:rPr>
                <w:rFonts w:eastAsia="Calibri"/>
                <w:b w:val="0"/>
                <w:bCs w:val="0"/>
                <w:noProof/>
                <w:sz w:val="20"/>
                <w:szCs w:val="20"/>
              </w:rPr>
              <w:t>Pursue international cooperation with third countries that address such risks</w:t>
            </w:r>
          </w:p>
        </w:tc>
        <w:tc>
          <w:tcPr>
            <w:tcW w:w="0" w:type="auto"/>
          </w:tcPr>
          <w:p w14:paraId="42C62837"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45%</w:t>
            </w:r>
          </w:p>
        </w:tc>
        <w:tc>
          <w:tcPr>
            <w:tcW w:w="0" w:type="auto"/>
          </w:tcPr>
          <w:p w14:paraId="4701AE5B"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69%</w:t>
            </w:r>
          </w:p>
        </w:tc>
        <w:tc>
          <w:tcPr>
            <w:tcW w:w="0" w:type="auto"/>
          </w:tcPr>
          <w:p w14:paraId="268AB3E0"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40%</w:t>
            </w:r>
          </w:p>
        </w:tc>
        <w:tc>
          <w:tcPr>
            <w:tcW w:w="0" w:type="auto"/>
          </w:tcPr>
          <w:p w14:paraId="3223518C"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70%</w:t>
            </w:r>
          </w:p>
        </w:tc>
        <w:tc>
          <w:tcPr>
            <w:tcW w:w="0" w:type="auto"/>
          </w:tcPr>
          <w:p w14:paraId="0FFC320B"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27%</w:t>
            </w:r>
          </w:p>
        </w:tc>
      </w:tr>
      <w:tr w:rsidR="003C4E74" w:rsidRPr="00F65EF3" w14:paraId="73828253" w14:textId="77777777" w:rsidTr="00F65EF3">
        <w:trPr>
          <w:trHeight w:val="922"/>
        </w:trPr>
        <w:tc>
          <w:tcPr>
            <w:cnfStyle w:val="001000000000" w:firstRow="0" w:lastRow="0" w:firstColumn="1" w:lastColumn="0" w:oddVBand="0" w:evenVBand="0" w:oddHBand="0" w:evenHBand="0" w:firstRowFirstColumn="0" w:firstRowLastColumn="0" w:lastRowFirstColumn="0" w:lastRowLastColumn="0"/>
            <w:tcW w:w="0" w:type="auto"/>
          </w:tcPr>
          <w:p w14:paraId="1B75D645" w14:textId="77777777" w:rsidR="003C4E74" w:rsidRPr="00F65EF3" w:rsidRDefault="003C4E74" w:rsidP="003C4E74">
            <w:pPr>
              <w:spacing w:after="0"/>
              <w:jc w:val="left"/>
              <w:rPr>
                <w:rFonts w:eastAsia="Calibri"/>
                <w:b w:val="0"/>
                <w:bCs w:val="0"/>
                <w:noProof/>
                <w:sz w:val="20"/>
                <w:szCs w:val="20"/>
              </w:rPr>
            </w:pPr>
            <w:r w:rsidRPr="00F65EF3">
              <w:rPr>
                <w:rFonts w:eastAsia="Calibri"/>
                <w:b w:val="0"/>
                <w:bCs w:val="0"/>
                <w:noProof/>
                <w:sz w:val="20"/>
                <w:szCs w:val="20"/>
              </w:rPr>
              <w:t>Criteria to differentiate between third countries depending on whether they pose specific threats to the Union</w:t>
            </w:r>
          </w:p>
        </w:tc>
        <w:tc>
          <w:tcPr>
            <w:tcW w:w="0" w:type="auto"/>
          </w:tcPr>
          <w:p w14:paraId="12A9E1B9"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29%</w:t>
            </w:r>
          </w:p>
        </w:tc>
        <w:tc>
          <w:tcPr>
            <w:tcW w:w="0" w:type="auto"/>
          </w:tcPr>
          <w:p w14:paraId="1A4522B8"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54%</w:t>
            </w:r>
          </w:p>
        </w:tc>
        <w:tc>
          <w:tcPr>
            <w:tcW w:w="0" w:type="auto"/>
          </w:tcPr>
          <w:p w14:paraId="69519C45"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44%</w:t>
            </w:r>
          </w:p>
        </w:tc>
        <w:tc>
          <w:tcPr>
            <w:tcW w:w="0" w:type="auto"/>
          </w:tcPr>
          <w:p w14:paraId="7AE50271"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27%</w:t>
            </w:r>
          </w:p>
        </w:tc>
        <w:tc>
          <w:tcPr>
            <w:tcW w:w="0" w:type="auto"/>
          </w:tcPr>
          <w:p w14:paraId="3E9BA129" w14:textId="77777777" w:rsidR="003C4E74" w:rsidRPr="00F65EF3" w:rsidRDefault="003C4E74" w:rsidP="003C4E74">
            <w:pPr>
              <w:spacing w:after="0"/>
              <w:cnfStyle w:val="000000000000" w:firstRow="0" w:lastRow="0" w:firstColumn="0" w:lastColumn="0" w:oddVBand="0" w:evenVBand="0" w:oddHBand="0" w:evenHBand="0" w:firstRowFirstColumn="0" w:firstRowLastColumn="0" w:lastRowFirstColumn="0" w:lastRowLastColumn="0"/>
              <w:rPr>
                <w:rFonts w:eastAsia="Calibri"/>
                <w:noProof/>
                <w:sz w:val="20"/>
                <w:szCs w:val="20"/>
              </w:rPr>
            </w:pPr>
            <w:r w:rsidRPr="00F65EF3">
              <w:rPr>
                <w:rFonts w:eastAsia="Calibri"/>
                <w:noProof/>
                <w:sz w:val="20"/>
                <w:szCs w:val="20"/>
              </w:rPr>
              <w:t>24%</w:t>
            </w:r>
          </w:p>
        </w:tc>
      </w:tr>
    </w:tbl>
    <w:p w14:paraId="0AD25FC2" w14:textId="7B8932C4" w:rsidR="0099524E" w:rsidRPr="00D37004" w:rsidRDefault="0099524E" w:rsidP="00E918FC">
      <w:pPr>
        <w:pStyle w:val="AnnexTitle"/>
        <w:rPr>
          <w:noProof/>
          <w:lang w:val="en-IE"/>
        </w:rPr>
      </w:pPr>
      <w:bookmarkStart w:id="77" w:name="_Toc139373875"/>
      <w:bookmarkStart w:id="78" w:name="_Toc208138438"/>
      <w:bookmarkStart w:id="79" w:name="_Toc216283343"/>
      <w:bookmarkStart w:id="80" w:name="_Toc228346898"/>
      <w:r w:rsidRPr="00156ABF">
        <w:rPr>
          <w:noProof/>
          <w:lang w:val="en-IE"/>
        </w:rPr>
        <w:t>Annex 3: Who is affected and how?</w:t>
      </w:r>
      <w:bookmarkEnd w:id="77"/>
      <w:bookmarkEnd w:id="78"/>
      <w:bookmarkEnd w:id="79"/>
      <w:bookmarkEnd w:id="80"/>
    </w:p>
    <w:p w14:paraId="5CFCC989" w14:textId="22DD9671" w:rsidR="0099524E" w:rsidRPr="00D37004" w:rsidRDefault="0099524E" w:rsidP="00744B72">
      <w:pPr>
        <w:pStyle w:val="Heading1"/>
        <w:numPr>
          <w:ilvl w:val="0"/>
          <w:numId w:val="19"/>
        </w:numPr>
        <w:rPr>
          <w:noProof/>
          <w:lang w:val="en-IE"/>
        </w:rPr>
      </w:pPr>
      <w:bookmarkStart w:id="81" w:name="_Toc139373876"/>
      <w:bookmarkStart w:id="82" w:name="_Toc208138439"/>
      <w:bookmarkStart w:id="83" w:name="_Toc216283344"/>
      <w:bookmarkStart w:id="84" w:name="_Toc228346899"/>
      <w:r w:rsidRPr="00D37004">
        <w:rPr>
          <w:noProof/>
          <w:lang w:val="en-IE"/>
        </w:rPr>
        <w:t>Practical implications of the initiative</w:t>
      </w:r>
      <w:bookmarkEnd w:id="81"/>
      <w:bookmarkEnd w:id="82"/>
      <w:bookmarkEnd w:id="83"/>
      <w:bookmarkEnd w:id="84"/>
    </w:p>
    <w:p w14:paraId="6A6B625A" w14:textId="3C2E615A" w:rsidR="348BDA00" w:rsidRPr="00D37004" w:rsidRDefault="2E0678CB" w:rsidP="00E97363">
      <w:pPr>
        <w:pStyle w:val="Text1"/>
        <w:spacing w:after="120"/>
        <w:ind w:left="0"/>
        <w:rPr>
          <w:noProof/>
        </w:rPr>
      </w:pPr>
      <w:r w:rsidRPr="00D37004">
        <w:rPr>
          <w:noProof/>
        </w:rPr>
        <w:t xml:space="preserve">This initiative aims at providing a framework </w:t>
      </w:r>
      <w:r w:rsidR="00F717CA">
        <w:rPr>
          <w:noProof/>
        </w:rPr>
        <w:t>to ensure the functioning of the internal market for</w:t>
      </w:r>
      <w:r w:rsidRPr="00D37004">
        <w:rPr>
          <w:noProof/>
        </w:rPr>
        <w:t xml:space="preserve"> cloud and AI </w:t>
      </w:r>
      <w:r w:rsidR="00F717CA">
        <w:rPr>
          <w:noProof/>
        </w:rPr>
        <w:t xml:space="preserve">computing services </w:t>
      </w:r>
      <w:r w:rsidRPr="00D37004">
        <w:rPr>
          <w:noProof/>
        </w:rPr>
        <w:t>in the Union</w:t>
      </w:r>
      <w:r w:rsidR="0051690C">
        <w:rPr>
          <w:noProof/>
        </w:rPr>
        <w:t xml:space="preserve"> and</w:t>
      </w:r>
      <w:r w:rsidRPr="00D37004">
        <w:rPr>
          <w:noProof/>
        </w:rPr>
        <w:t xml:space="preserve"> </w:t>
      </w:r>
      <w:r w:rsidR="00990FB8" w:rsidRPr="00E92236">
        <w:rPr>
          <w:noProof/>
        </w:rPr>
        <w:t>secure the necessary conditions for the</w:t>
      </w:r>
      <w:r w:rsidR="00B93315">
        <w:rPr>
          <w:noProof/>
        </w:rPr>
        <w:t xml:space="preserve"> Union’s</w:t>
      </w:r>
      <w:r w:rsidR="00990FB8" w:rsidRPr="00E92236">
        <w:rPr>
          <w:noProof/>
        </w:rPr>
        <w:t xml:space="preserve"> competitiveness </w:t>
      </w:r>
      <w:r w:rsidR="00B93315">
        <w:rPr>
          <w:noProof/>
        </w:rPr>
        <w:t>and strategic autonomy</w:t>
      </w:r>
      <w:r w:rsidR="33E48FF6" w:rsidRPr="00D37004">
        <w:rPr>
          <w:noProof/>
        </w:rPr>
        <w:t>.</w:t>
      </w:r>
      <w:r w:rsidR="00A51DBF" w:rsidRPr="00D37004">
        <w:rPr>
          <w:noProof/>
        </w:rPr>
        <w:t xml:space="preserve"> </w:t>
      </w:r>
      <w:r w:rsidR="348BDA00" w:rsidRPr="00D37004">
        <w:rPr>
          <w:noProof/>
        </w:rPr>
        <w:t>The preferred policy option</w:t>
      </w:r>
      <w:r w:rsidR="0038095C">
        <w:rPr>
          <w:noProof/>
        </w:rPr>
        <w:t>s and measure</w:t>
      </w:r>
      <w:r w:rsidR="00D55271">
        <w:rPr>
          <w:noProof/>
        </w:rPr>
        <w:t>s</w:t>
      </w:r>
      <w:r w:rsidR="348BDA00" w:rsidRPr="00D37004">
        <w:rPr>
          <w:noProof/>
        </w:rPr>
        <w:t xml:space="preserve"> </w:t>
      </w:r>
      <w:r w:rsidR="0038095C">
        <w:rPr>
          <w:noProof/>
        </w:rPr>
        <w:t>are expected to</w:t>
      </w:r>
      <w:r w:rsidR="348BDA00" w:rsidRPr="00D37004">
        <w:rPr>
          <w:noProof/>
        </w:rPr>
        <w:t xml:space="preserve"> i</w:t>
      </w:r>
      <w:r w:rsidR="584DCF1E" w:rsidRPr="00D37004">
        <w:rPr>
          <w:noProof/>
        </w:rPr>
        <w:t>ncreas</w:t>
      </w:r>
      <w:r w:rsidR="348BDA00" w:rsidRPr="00D37004">
        <w:rPr>
          <w:noProof/>
        </w:rPr>
        <w:t xml:space="preserve">e </w:t>
      </w:r>
      <w:r w:rsidR="00E82A2C">
        <w:rPr>
          <w:noProof/>
        </w:rPr>
        <w:t>computing</w:t>
      </w:r>
      <w:r w:rsidR="5E87889A" w:rsidRPr="00D37004">
        <w:rPr>
          <w:noProof/>
        </w:rPr>
        <w:t xml:space="preserve"> capacity</w:t>
      </w:r>
      <w:r w:rsidR="00D55271">
        <w:rPr>
          <w:noProof/>
        </w:rPr>
        <w:t xml:space="preserve"> deployed in the EU</w:t>
      </w:r>
      <w:r w:rsidR="00E82A2C">
        <w:rPr>
          <w:noProof/>
        </w:rPr>
        <w:t xml:space="preserve"> through innovative and sustainable technologies</w:t>
      </w:r>
      <w:r w:rsidR="137B6035" w:rsidRPr="00D37004">
        <w:rPr>
          <w:noProof/>
        </w:rPr>
        <w:t>,</w:t>
      </w:r>
      <w:r w:rsidR="00EE06E6">
        <w:rPr>
          <w:noProof/>
        </w:rPr>
        <w:t xml:space="preserve"> ensure attractive conditions for the deployment </w:t>
      </w:r>
      <w:r w:rsidR="00B97409">
        <w:rPr>
          <w:noProof/>
        </w:rPr>
        <w:t>of such computing capacity, decreas</w:t>
      </w:r>
      <w:r w:rsidR="00F72DC6">
        <w:rPr>
          <w:noProof/>
        </w:rPr>
        <w:t>e</w:t>
      </w:r>
      <w:r w:rsidR="00B97409">
        <w:rPr>
          <w:noProof/>
        </w:rPr>
        <w:t xml:space="preserve"> the overall reliance on non-European</w:t>
      </w:r>
      <w:r w:rsidR="30976C7B" w:rsidRPr="00D37004">
        <w:rPr>
          <w:noProof/>
        </w:rPr>
        <w:t xml:space="preserve"> cloud and AI </w:t>
      </w:r>
      <w:r w:rsidR="00A011FC">
        <w:rPr>
          <w:noProof/>
        </w:rPr>
        <w:t>computing service</w:t>
      </w:r>
      <w:r w:rsidR="00B97409">
        <w:rPr>
          <w:noProof/>
        </w:rPr>
        <w:t>s and</w:t>
      </w:r>
      <w:r w:rsidR="00B97409" w:rsidRPr="00D37004">
        <w:rPr>
          <w:noProof/>
        </w:rPr>
        <w:t xml:space="preserve"> </w:t>
      </w:r>
      <w:r w:rsidR="0D4260D3" w:rsidRPr="00D37004">
        <w:rPr>
          <w:noProof/>
        </w:rPr>
        <w:t xml:space="preserve">contribute to the </w:t>
      </w:r>
      <w:r w:rsidR="00B97409">
        <w:rPr>
          <w:noProof/>
        </w:rPr>
        <w:t xml:space="preserve">protection of public order by enhancing </w:t>
      </w:r>
      <w:r w:rsidR="00FA571C">
        <w:rPr>
          <w:noProof/>
        </w:rPr>
        <w:t>resilience of supply of</w:t>
      </w:r>
      <w:r w:rsidR="30976C7B" w:rsidRPr="00D37004">
        <w:rPr>
          <w:noProof/>
        </w:rPr>
        <w:t xml:space="preserve"> cloud </w:t>
      </w:r>
      <w:r w:rsidR="00FA571C">
        <w:rPr>
          <w:noProof/>
        </w:rPr>
        <w:t>and AI computing services in particular for the public sector</w:t>
      </w:r>
      <w:r w:rsidR="30976C7B" w:rsidRPr="00D37004">
        <w:rPr>
          <w:noProof/>
        </w:rPr>
        <w:t>.</w:t>
      </w:r>
      <w:r w:rsidR="749DC426" w:rsidRPr="00D37004">
        <w:rPr>
          <w:noProof/>
        </w:rPr>
        <w:t xml:space="preserve"> </w:t>
      </w:r>
    </w:p>
    <w:p w14:paraId="69109291" w14:textId="2806877F" w:rsidR="001371E4" w:rsidRPr="00D37004" w:rsidRDefault="38CC2F7D" w:rsidP="0050496C">
      <w:pPr>
        <w:pStyle w:val="Text1"/>
        <w:spacing w:after="120"/>
        <w:ind w:left="0"/>
        <w:rPr>
          <w:noProof/>
        </w:rPr>
      </w:pPr>
      <w:r w:rsidRPr="00D37004">
        <w:rPr>
          <w:noProof/>
        </w:rPr>
        <w:t xml:space="preserve">The </w:t>
      </w:r>
      <w:r w:rsidR="00F72DC6">
        <w:rPr>
          <w:noProof/>
        </w:rPr>
        <w:t>key</w:t>
      </w:r>
      <w:r w:rsidR="00F72DC6" w:rsidRPr="00D37004">
        <w:rPr>
          <w:noProof/>
        </w:rPr>
        <w:t xml:space="preserve"> </w:t>
      </w:r>
      <w:r w:rsidRPr="00D37004">
        <w:rPr>
          <w:noProof/>
        </w:rPr>
        <w:t xml:space="preserve">stakeholder groups </w:t>
      </w:r>
      <w:r w:rsidR="000D5913" w:rsidRPr="00D37004">
        <w:rPr>
          <w:noProof/>
        </w:rPr>
        <w:t>concerned include</w:t>
      </w:r>
      <w:r w:rsidRPr="00D37004">
        <w:rPr>
          <w:noProof/>
        </w:rPr>
        <w:t xml:space="preserve"> </w:t>
      </w:r>
      <w:r w:rsidR="7DD9E65B" w:rsidRPr="00D37004">
        <w:rPr>
          <w:noProof/>
        </w:rPr>
        <w:t>data centre operators</w:t>
      </w:r>
      <w:r w:rsidR="00B13218" w:rsidRPr="00D37004">
        <w:rPr>
          <w:noProof/>
        </w:rPr>
        <w:t>,</w:t>
      </w:r>
      <w:r w:rsidR="7DD9E65B" w:rsidRPr="00D37004">
        <w:rPr>
          <w:noProof/>
        </w:rPr>
        <w:t xml:space="preserve"> </w:t>
      </w:r>
      <w:r w:rsidRPr="00D37004">
        <w:rPr>
          <w:noProof/>
        </w:rPr>
        <w:t xml:space="preserve">cloud and AI </w:t>
      </w:r>
      <w:r w:rsidR="00A011FC">
        <w:rPr>
          <w:noProof/>
        </w:rPr>
        <w:t>computing service</w:t>
      </w:r>
      <w:r w:rsidRPr="00D37004">
        <w:rPr>
          <w:noProof/>
        </w:rPr>
        <w:t xml:space="preserve"> providers,</w:t>
      </w:r>
      <w:r w:rsidR="00BA00B1">
        <w:rPr>
          <w:noProof/>
        </w:rPr>
        <w:t xml:space="preserve"> </w:t>
      </w:r>
      <w:r w:rsidR="00BA00B1" w:rsidRPr="00B50EA7">
        <w:rPr>
          <w:noProof/>
        </w:rPr>
        <w:t xml:space="preserve">private sector entities </w:t>
      </w:r>
      <w:r w:rsidR="00E9141C" w:rsidRPr="00B50EA7">
        <w:rPr>
          <w:noProof/>
        </w:rPr>
        <w:t>operating</w:t>
      </w:r>
      <w:r w:rsidR="00BA00B1" w:rsidRPr="00B50EA7">
        <w:rPr>
          <w:noProof/>
        </w:rPr>
        <w:t xml:space="preserve"> in sectors listed under Annex I of NIS2,</w:t>
      </w:r>
      <w:r w:rsidRPr="009D47D6">
        <w:rPr>
          <w:noProof/>
        </w:rPr>
        <w:t xml:space="preserve"> </w:t>
      </w:r>
      <w:r w:rsidRPr="00D37004">
        <w:rPr>
          <w:noProof/>
        </w:rPr>
        <w:t xml:space="preserve">national </w:t>
      </w:r>
      <w:r w:rsidR="003407A2">
        <w:rPr>
          <w:noProof/>
        </w:rPr>
        <w:t xml:space="preserve">and local </w:t>
      </w:r>
      <w:r w:rsidRPr="00D37004">
        <w:rPr>
          <w:noProof/>
        </w:rPr>
        <w:t>public authorities</w:t>
      </w:r>
      <w:r w:rsidR="00B13218" w:rsidRPr="00D37004">
        <w:rPr>
          <w:noProof/>
        </w:rPr>
        <w:t>,</w:t>
      </w:r>
      <w:r w:rsidRPr="00D37004">
        <w:rPr>
          <w:noProof/>
        </w:rPr>
        <w:t xml:space="preserve"> and the European Commission.</w:t>
      </w:r>
      <w:r w:rsidR="511AA675" w:rsidRPr="00D37004">
        <w:rPr>
          <w:noProof/>
        </w:rPr>
        <w:t xml:space="preserve"> </w:t>
      </w:r>
      <w:r w:rsidR="003D799A" w:rsidRPr="00D37004">
        <w:rPr>
          <w:noProof/>
        </w:rPr>
        <w:t xml:space="preserve">However, </w:t>
      </w:r>
      <w:r w:rsidR="00776074" w:rsidRPr="00D37004">
        <w:rPr>
          <w:noProof/>
        </w:rPr>
        <w:t xml:space="preserve">all businesses that rely on digital services across </w:t>
      </w:r>
      <w:r w:rsidR="000775E1" w:rsidRPr="00D37004">
        <w:rPr>
          <w:noProof/>
        </w:rPr>
        <w:t>a wide range of</w:t>
      </w:r>
      <w:r w:rsidR="00776074" w:rsidRPr="00D37004">
        <w:rPr>
          <w:noProof/>
        </w:rPr>
        <w:t xml:space="preserve"> sectors, as well as citizens will also be </w:t>
      </w:r>
      <w:r w:rsidR="003407A2">
        <w:rPr>
          <w:noProof/>
        </w:rPr>
        <w:t xml:space="preserve">indirectly </w:t>
      </w:r>
      <w:r w:rsidR="00776074" w:rsidRPr="00D37004">
        <w:rPr>
          <w:noProof/>
        </w:rPr>
        <w:t>impacted</w:t>
      </w:r>
      <w:r w:rsidR="000775E1" w:rsidRPr="00D37004">
        <w:rPr>
          <w:noProof/>
        </w:rPr>
        <w:t>, albeit in varying degrees</w:t>
      </w:r>
      <w:r w:rsidR="00776074" w:rsidRPr="00D37004">
        <w:rPr>
          <w:noProof/>
        </w:rPr>
        <w:t xml:space="preserve">. </w:t>
      </w:r>
      <w:r w:rsidR="00F6173D" w:rsidRPr="00D37004">
        <w:rPr>
          <w:noProof/>
        </w:rPr>
        <w:t>The following table</w:t>
      </w:r>
      <w:r w:rsidR="00445DDE" w:rsidRPr="00D37004">
        <w:rPr>
          <w:noProof/>
        </w:rPr>
        <w:t xml:space="preserve"> presents an overview of the main impacts and stakeholders </w:t>
      </w:r>
      <w:r w:rsidR="00D14417" w:rsidRPr="00D37004">
        <w:rPr>
          <w:noProof/>
        </w:rPr>
        <w:t xml:space="preserve">affected </w:t>
      </w:r>
      <w:r w:rsidR="009D64C8" w:rsidRPr="00D37004">
        <w:rPr>
          <w:noProof/>
        </w:rPr>
        <w:t>for the preferred options</w:t>
      </w:r>
      <w:r w:rsidR="00445DDE" w:rsidRPr="00D37004">
        <w:rPr>
          <w:noProof/>
        </w:rPr>
        <w:t>.</w:t>
      </w:r>
    </w:p>
    <w:p w14:paraId="34CDDC9E" w14:textId="14F17DBB" w:rsidR="00A617D0" w:rsidRPr="00D37004" w:rsidRDefault="00A617D0" w:rsidP="009C6BBC">
      <w:pPr>
        <w:pStyle w:val="Caption"/>
        <w:keepNext/>
        <w:rPr>
          <w:noProof/>
        </w:rPr>
      </w:pPr>
      <w:r w:rsidRPr="00A5048E">
        <w:rPr>
          <w:noProof/>
        </w:rPr>
        <w:t xml:space="preserve">Table </w:t>
      </w:r>
      <w:r w:rsidRPr="00A5048E">
        <w:rPr>
          <w:noProof/>
        </w:rPr>
        <w:fldChar w:fldCharType="begin"/>
      </w:r>
      <w:r w:rsidRPr="00A5048E">
        <w:rPr>
          <w:noProof/>
        </w:rPr>
        <w:instrText xml:space="preserve"> SEQ Table \* ARABIC </w:instrText>
      </w:r>
      <w:r w:rsidRPr="00A5048E">
        <w:rPr>
          <w:noProof/>
        </w:rPr>
        <w:fldChar w:fldCharType="separate"/>
      </w:r>
      <w:r w:rsidR="000E7F11">
        <w:rPr>
          <w:noProof/>
        </w:rPr>
        <w:t>6</w:t>
      </w:r>
      <w:r w:rsidRPr="00A5048E">
        <w:rPr>
          <w:noProof/>
        </w:rPr>
        <w:fldChar w:fldCharType="end"/>
      </w:r>
      <w:r w:rsidRPr="00A5048E">
        <w:rPr>
          <w:noProof/>
        </w:rPr>
        <w:t>. Main impacts and stakeholders affected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183"/>
        <w:gridCol w:w="1515"/>
        <w:gridCol w:w="3086"/>
        <w:gridCol w:w="3251"/>
      </w:tblGrid>
      <w:tr w:rsidR="001617C6" w:rsidRPr="00D37004" w14:paraId="51B573BA" w14:textId="77777777" w:rsidTr="00F84EC2">
        <w:trPr>
          <w:trHeight w:val="104"/>
          <w:tblHeader/>
        </w:trPr>
        <w:tc>
          <w:tcPr>
            <w:tcW w:w="2698" w:type="dxa"/>
            <w:gridSpan w:val="2"/>
            <w:vMerge w:val="restart"/>
            <w:tcBorders>
              <w:top w:val="single" w:sz="4" w:space="0" w:color="auto"/>
            </w:tcBorders>
            <w:shd w:val="clear" w:color="auto" w:fill="0070C0"/>
            <w:vAlign w:val="center"/>
          </w:tcPr>
          <w:p w14:paraId="58089969" w14:textId="77777777" w:rsidR="00A617D0" w:rsidRPr="00D37004" w:rsidRDefault="00A617D0">
            <w:pPr>
              <w:pStyle w:val="Text2"/>
              <w:spacing w:after="0"/>
              <w:ind w:left="0"/>
              <w:jc w:val="center"/>
              <w:rPr>
                <w:b/>
                <w:noProof/>
                <w:color w:val="FFFFFF" w:themeColor="background1"/>
                <w:sz w:val="20"/>
                <w:szCs w:val="16"/>
              </w:rPr>
            </w:pPr>
            <w:r w:rsidRPr="00D37004">
              <w:rPr>
                <w:b/>
                <w:noProof/>
                <w:color w:val="FFFFFF" w:themeColor="background1"/>
                <w:sz w:val="20"/>
                <w:szCs w:val="16"/>
              </w:rPr>
              <w:t>Affected stakeholder</w:t>
            </w:r>
          </w:p>
        </w:tc>
        <w:tc>
          <w:tcPr>
            <w:tcW w:w="6337" w:type="dxa"/>
            <w:gridSpan w:val="2"/>
            <w:tcBorders>
              <w:top w:val="single" w:sz="4" w:space="0" w:color="auto"/>
              <w:bottom w:val="nil"/>
              <w:right w:val="single" w:sz="4" w:space="0" w:color="auto"/>
            </w:tcBorders>
            <w:shd w:val="clear" w:color="auto" w:fill="0070C0"/>
            <w:vAlign w:val="center"/>
          </w:tcPr>
          <w:p w14:paraId="5CF22D01" w14:textId="77777777" w:rsidR="00A617D0" w:rsidRPr="00D37004" w:rsidRDefault="00A617D0">
            <w:pPr>
              <w:pStyle w:val="Text2"/>
              <w:spacing w:after="0"/>
              <w:ind w:left="0"/>
              <w:jc w:val="center"/>
              <w:rPr>
                <w:b/>
                <w:noProof/>
                <w:color w:val="FFFFFF" w:themeColor="background1"/>
                <w:sz w:val="20"/>
                <w:szCs w:val="16"/>
              </w:rPr>
            </w:pPr>
            <w:r w:rsidRPr="00D37004">
              <w:rPr>
                <w:b/>
                <w:noProof/>
                <w:color w:val="FFFFFF" w:themeColor="background1"/>
                <w:sz w:val="20"/>
                <w:szCs w:val="16"/>
              </w:rPr>
              <w:t>Main impacts</w:t>
            </w:r>
          </w:p>
        </w:tc>
      </w:tr>
      <w:tr w:rsidR="00720463" w:rsidRPr="00D37004" w14:paraId="172FDEEE" w14:textId="77777777" w:rsidTr="7A3C4C50">
        <w:trPr>
          <w:trHeight w:val="40"/>
          <w:tblHeader/>
        </w:trPr>
        <w:tc>
          <w:tcPr>
            <w:tcW w:w="2698" w:type="dxa"/>
            <w:gridSpan w:val="2"/>
            <w:vMerge/>
          </w:tcPr>
          <w:p w14:paraId="392583C8" w14:textId="77777777" w:rsidR="00A617D0" w:rsidRPr="00D37004" w:rsidRDefault="00A617D0">
            <w:pPr>
              <w:pStyle w:val="Text2"/>
              <w:spacing w:after="0"/>
              <w:ind w:left="0"/>
              <w:jc w:val="left"/>
              <w:rPr>
                <w:noProof/>
                <w:sz w:val="20"/>
                <w:szCs w:val="16"/>
              </w:rPr>
            </w:pPr>
          </w:p>
        </w:tc>
        <w:tc>
          <w:tcPr>
            <w:tcW w:w="3086" w:type="dxa"/>
            <w:tcBorders>
              <w:top w:val="nil"/>
              <w:bottom w:val="single" w:sz="4" w:space="0" w:color="auto"/>
            </w:tcBorders>
            <w:shd w:val="clear" w:color="auto" w:fill="0070C0"/>
          </w:tcPr>
          <w:p w14:paraId="6F3D67FF" w14:textId="6036556A" w:rsidR="00A617D0" w:rsidRPr="00D37004" w:rsidRDefault="00A617D0" w:rsidP="00432254">
            <w:pPr>
              <w:pStyle w:val="Text2"/>
              <w:spacing w:after="0"/>
              <w:ind w:left="0"/>
              <w:jc w:val="center"/>
              <w:rPr>
                <w:b/>
                <w:noProof/>
                <w:color w:val="FFFFFF" w:themeColor="background1"/>
                <w:sz w:val="20"/>
                <w:szCs w:val="16"/>
              </w:rPr>
            </w:pPr>
            <w:r w:rsidRPr="00D37004">
              <w:rPr>
                <w:b/>
                <w:noProof/>
                <w:color w:val="FFFFFF" w:themeColor="background1"/>
                <w:sz w:val="20"/>
                <w:szCs w:val="16"/>
              </w:rPr>
              <w:t>Costs</w:t>
            </w:r>
          </w:p>
        </w:tc>
        <w:tc>
          <w:tcPr>
            <w:tcW w:w="3251" w:type="dxa"/>
            <w:tcBorders>
              <w:top w:val="nil"/>
              <w:bottom w:val="single" w:sz="4" w:space="0" w:color="auto"/>
              <w:right w:val="single" w:sz="4" w:space="0" w:color="auto"/>
            </w:tcBorders>
            <w:shd w:val="clear" w:color="auto" w:fill="0070C0"/>
          </w:tcPr>
          <w:p w14:paraId="21CB8166" w14:textId="77777777" w:rsidR="00A617D0" w:rsidRPr="00D37004" w:rsidRDefault="00A617D0" w:rsidP="00432254">
            <w:pPr>
              <w:pStyle w:val="Text2"/>
              <w:spacing w:after="0"/>
              <w:ind w:left="0"/>
              <w:jc w:val="center"/>
              <w:rPr>
                <w:b/>
                <w:noProof/>
                <w:color w:val="FFFFFF" w:themeColor="background1"/>
                <w:sz w:val="20"/>
                <w:szCs w:val="16"/>
              </w:rPr>
            </w:pPr>
            <w:r w:rsidRPr="00D37004">
              <w:rPr>
                <w:b/>
                <w:noProof/>
                <w:color w:val="FFFFFF" w:themeColor="background1"/>
                <w:sz w:val="20"/>
                <w:szCs w:val="16"/>
              </w:rPr>
              <w:t xml:space="preserve">Benefits </w:t>
            </w:r>
            <w:r w:rsidRPr="00D37004">
              <w:rPr>
                <w:noProof/>
                <w:color w:val="FFFFFF" w:themeColor="background1"/>
                <w:sz w:val="20"/>
                <w:szCs w:val="16"/>
              </w:rPr>
              <w:t>(Direct and indirect)</w:t>
            </w:r>
          </w:p>
        </w:tc>
      </w:tr>
      <w:tr w:rsidR="007C77D2" w:rsidRPr="00D37004" w14:paraId="65A2029D" w14:textId="77777777" w:rsidTr="00F84EC2">
        <w:trPr>
          <w:trHeight w:val="4540"/>
        </w:trPr>
        <w:tc>
          <w:tcPr>
            <w:tcW w:w="1183" w:type="dxa"/>
            <w:tcBorders>
              <w:top w:val="single" w:sz="4" w:space="0" w:color="auto"/>
            </w:tcBorders>
          </w:tcPr>
          <w:p w14:paraId="2287FEC5" w14:textId="77777777" w:rsidR="00A617D0" w:rsidRPr="00D37004" w:rsidRDefault="00A617D0">
            <w:pPr>
              <w:pStyle w:val="Text2"/>
              <w:spacing w:after="0"/>
              <w:ind w:left="0"/>
              <w:jc w:val="left"/>
              <w:rPr>
                <w:b/>
                <w:noProof/>
                <w:sz w:val="20"/>
                <w:szCs w:val="16"/>
              </w:rPr>
            </w:pPr>
            <w:r w:rsidRPr="00D37004">
              <w:rPr>
                <w:b/>
                <w:noProof/>
                <w:sz w:val="20"/>
                <w:szCs w:val="16"/>
              </w:rPr>
              <w:t>Businesses</w:t>
            </w:r>
          </w:p>
        </w:tc>
        <w:tc>
          <w:tcPr>
            <w:tcW w:w="1515" w:type="dxa"/>
            <w:tcBorders>
              <w:top w:val="single" w:sz="4" w:space="0" w:color="auto"/>
            </w:tcBorders>
          </w:tcPr>
          <w:p w14:paraId="564588C8" w14:textId="6EE16AED" w:rsidR="00A617D0" w:rsidRPr="00D37004" w:rsidRDefault="00A617D0">
            <w:pPr>
              <w:pStyle w:val="Text2"/>
              <w:spacing w:after="0"/>
              <w:ind w:left="0"/>
              <w:jc w:val="left"/>
              <w:rPr>
                <w:noProof/>
                <w:sz w:val="20"/>
                <w:szCs w:val="16"/>
              </w:rPr>
            </w:pPr>
            <w:r w:rsidRPr="00D37004">
              <w:rPr>
                <w:noProof/>
                <w:sz w:val="20"/>
                <w:szCs w:val="16"/>
              </w:rPr>
              <w:t xml:space="preserve">Data centre operators </w:t>
            </w:r>
          </w:p>
        </w:tc>
        <w:tc>
          <w:tcPr>
            <w:tcW w:w="3086" w:type="dxa"/>
            <w:tcBorders>
              <w:top w:val="single" w:sz="4" w:space="0" w:color="auto"/>
            </w:tcBorders>
          </w:tcPr>
          <w:p w14:paraId="449D49DB" w14:textId="77777777" w:rsidR="00A617D0" w:rsidRPr="00D37004" w:rsidRDefault="00A617D0">
            <w:pPr>
              <w:pStyle w:val="Text2"/>
              <w:spacing w:after="0"/>
              <w:ind w:left="257" w:hanging="257"/>
              <w:jc w:val="left"/>
              <w:rPr>
                <w:noProof/>
                <w:sz w:val="20"/>
                <w:szCs w:val="16"/>
              </w:rPr>
            </w:pPr>
            <w:r w:rsidRPr="00D37004">
              <w:rPr>
                <w:rFonts w:ascii="Symbol" w:eastAsia="Symbol" w:hAnsi="Symbol" w:cs="Symbol"/>
                <w:noProof/>
                <w:sz w:val="20"/>
                <w:szCs w:val="16"/>
              </w:rPr>
              <w:t></w:t>
            </w:r>
            <w:r w:rsidRPr="00D37004">
              <w:rPr>
                <w:noProof/>
                <w:sz w:val="20"/>
                <w:szCs w:val="16"/>
              </w:rPr>
              <w:t xml:space="preserve"> Direct compliance costs:  </w:t>
            </w:r>
          </w:p>
          <w:p w14:paraId="6127314C" w14:textId="4F083346" w:rsidR="00A617D0" w:rsidRPr="00D37004" w:rsidRDefault="00A617D0">
            <w:pPr>
              <w:pStyle w:val="Text2"/>
              <w:spacing w:after="0"/>
              <w:ind w:left="682" w:hanging="283"/>
              <w:jc w:val="left"/>
              <w:rPr>
                <w:noProof/>
                <w:sz w:val="20"/>
              </w:rPr>
            </w:pPr>
            <w:r w:rsidRPr="00D37004">
              <w:rPr>
                <w:rFonts w:ascii="Symbol" w:eastAsia="Symbol" w:hAnsi="Symbol" w:cs="Symbol"/>
                <w:noProof/>
                <w:sz w:val="20"/>
              </w:rPr>
              <w:t></w:t>
            </w:r>
            <w:r w:rsidRPr="00D37004">
              <w:rPr>
                <w:noProof/>
                <w:sz w:val="20"/>
              </w:rPr>
              <w:t xml:space="preserve"> Administrative costs (e.g.  preparing applications and ensuring compliance with funding rules; paperwork for fast track permitting)</w:t>
            </w:r>
          </w:p>
          <w:p w14:paraId="379B092D" w14:textId="1BF2E312" w:rsidR="00A617D0" w:rsidRPr="00D37004" w:rsidRDefault="00A617D0">
            <w:pPr>
              <w:pStyle w:val="Text2"/>
              <w:spacing w:after="0"/>
              <w:ind w:left="682" w:hanging="283"/>
              <w:jc w:val="left"/>
              <w:rPr>
                <w:noProof/>
                <w:sz w:val="20"/>
                <w:szCs w:val="16"/>
              </w:rPr>
            </w:pPr>
            <w:r w:rsidRPr="00D37004">
              <w:rPr>
                <w:rFonts w:ascii="Symbol" w:eastAsia="Symbol" w:hAnsi="Symbol" w:cs="Symbol"/>
                <w:noProof/>
                <w:sz w:val="20"/>
                <w:szCs w:val="16"/>
              </w:rPr>
              <w:t></w:t>
            </w:r>
            <w:r w:rsidRPr="00D37004">
              <w:rPr>
                <w:noProof/>
                <w:sz w:val="20"/>
                <w:szCs w:val="16"/>
              </w:rPr>
              <w:t xml:space="preserve"> Adjustment costs (e.g. adjustments to meet funding eligibility criteria</w:t>
            </w:r>
            <w:r w:rsidR="00F11DAC">
              <w:rPr>
                <w:noProof/>
                <w:sz w:val="20"/>
                <w:szCs w:val="16"/>
              </w:rPr>
              <w:t xml:space="preserve"> and access the </w:t>
            </w:r>
            <w:r w:rsidR="007648B4">
              <w:rPr>
                <w:noProof/>
                <w:sz w:val="20"/>
                <w:szCs w:val="16"/>
              </w:rPr>
              <w:t>areas</w:t>
            </w:r>
            <w:r w:rsidRPr="00D37004">
              <w:rPr>
                <w:noProof/>
                <w:sz w:val="20"/>
                <w:szCs w:val="16"/>
              </w:rPr>
              <w:t xml:space="preserve">)  </w:t>
            </w:r>
          </w:p>
        </w:tc>
        <w:tc>
          <w:tcPr>
            <w:tcW w:w="3251" w:type="dxa"/>
            <w:tcBorders>
              <w:top w:val="single" w:sz="4" w:space="0" w:color="auto"/>
            </w:tcBorders>
          </w:tcPr>
          <w:p w14:paraId="51BBD1A6" w14:textId="77777777" w:rsidR="00A617D0" w:rsidRPr="00D37004" w:rsidRDefault="00A617D0">
            <w:pPr>
              <w:pStyle w:val="Text2"/>
              <w:spacing w:after="0"/>
              <w:ind w:left="237" w:hanging="237"/>
              <w:jc w:val="left"/>
              <w:rPr>
                <w:noProof/>
                <w:sz w:val="20"/>
                <w:szCs w:val="16"/>
              </w:rPr>
            </w:pPr>
            <w:r w:rsidRPr="00D37004">
              <w:rPr>
                <w:rFonts w:ascii="Symbol" w:eastAsia="Symbol" w:hAnsi="Symbol" w:cs="Symbol"/>
                <w:noProof/>
                <w:sz w:val="20"/>
                <w:szCs w:val="16"/>
              </w:rPr>
              <w:t></w:t>
            </w:r>
            <w:r w:rsidRPr="00D37004">
              <w:rPr>
                <w:noProof/>
                <w:sz w:val="20"/>
                <w:szCs w:val="16"/>
              </w:rPr>
              <w:t xml:space="preserve"> Improved predictability of regulatory direction (e.g. coordination efficiencies and reduced information asymmetries)</w:t>
            </w:r>
          </w:p>
          <w:p w14:paraId="2D66A007" w14:textId="489BF868" w:rsidR="00A617D0" w:rsidRPr="00D37004" w:rsidRDefault="00A617D0">
            <w:pPr>
              <w:pStyle w:val="Text2"/>
              <w:spacing w:after="0"/>
              <w:ind w:left="237" w:hanging="237"/>
              <w:jc w:val="left"/>
              <w:rPr>
                <w:noProof/>
                <w:sz w:val="20"/>
                <w:szCs w:val="16"/>
              </w:rPr>
            </w:pPr>
            <w:r w:rsidRPr="00D37004">
              <w:rPr>
                <w:rFonts w:ascii="Symbol" w:eastAsia="Symbol" w:hAnsi="Symbol" w:cs="Symbol"/>
                <w:noProof/>
                <w:sz w:val="20"/>
                <w:szCs w:val="16"/>
              </w:rPr>
              <w:t></w:t>
            </w:r>
            <w:r w:rsidRPr="00D37004">
              <w:rPr>
                <w:noProof/>
                <w:sz w:val="20"/>
                <w:szCs w:val="16"/>
              </w:rPr>
              <w:t xml:space="preserve"> Reduced fragmentation of national approaches </w:t>
            </w:r>
            <w:r w:rsidR="00717675" w:rsidRPr="00D37004">
              <w:rPr>
                <w:noProof/>
                <w:sz w:val="20"/>
                <w:szCs w:val="16"/>
              </w:rPr>
              <w:t>and administrative simplification, e.g. fewer bilateral interactions, clearer requirements, and coordinated processing</w:t>
            </w:r>
          </w:p>
          <w:p w14:paraId="464DCE50" w14:textId="7B9D52D5" w:rsidR="00A617D0" w:rsidRPr="00D37004" w:rsidRDefault="00A617D0">
            <w:pPr>
              <w:pStyle w:val="Text2"/>
              <w:spacing w:after="0"/>
              <w:ind w:left="237" w:hanging="237"/>
              <w:jc w:val="left"/>
              <w:rPr>
                <w:noProof/>
                <w:sz w:val="20"/>
                <w:szCs w:val="16"/>
              </w:rPr>
            </w:pPr>
            <w:r w:rsidRPr="00D37004">
              <w:rPr>
                <w:rFonts w:ascii="Symbol" w:eastAsia="Symbol" w:hAnsi="Symbol" w:cs="Symbol"/>
                <w:noProof/>
                <w:sz w:val="20"/>
                <w:szCs w:val="16"/>
              </w:rPr>
              <w:t></w:t>
            </w:r>
            <w:r w:rsidRPr="00D37004">
              <w:rPr>
                <w:noProof/>
                <w:sz w:val="20"/>
                <w:szCs w:val="16"/>
              </w:rPr>
              <w:t xml:space="preserve"> Reduced permitting delays (e.g., faster time to market </w:t>
            </w:r>
            <w:r w:rsidR="002B7B98" w:rsidRPr="00D37004">
              <w:rPr>
                <w:noProof/>
                <w:sz w:val="20"/>
                <w:szCs w:val="16"/>
              </w:rPr>
              <w:t>and</w:t>
            </w:r>
            <w:r w:rsidRPr="00D37004">
              <w:rPr>
                <w:noProof/>
                <w:sz w:val="20"/>
                <w:szCs w:val="16"/>
              </w:rPr>
              <w:t xml:space="preserve"> </w:t>
            </w:r>
            <w:r w:rsidR="002B7B98" w:rsidRPr="00D37004">
              <w:rPr>
                <w:noProof/>
                <w:sz w:val="20"/>
                <w:szCs w:val="16"/>
              </w:rPr>
              <w:t>higher NPV</w:t>
            </w:r>
            <w:r w:rsidRPr="00D37004">
              <w:rPr>
                <w:noProof/>
                <w:sz w:val="20"/>
                <w:szCs w:val="16"/>
              </w:rPr>
              <w:t>, labour time saved)</w:t>
            </w:r>
          </w:p>
          <w:p w14:paraId="31F0A410" w14:textId="77777777" w:rsidR="00A617D0" w:rsidRPr="00D37004" w:rsidRDefault="00A617D0">
            <w:pPr>
              <w:pStyle w:val="Text2"/>
              <w:spacing w:after="0"/>
              <w:ind w:left="237" w:hanging="237"/>
              <w:jc w:val="left"/>
              <w:rPr>
                <w:noProof/>
                <w:sz w:val="20"/>
                <w:szCs w:val="16"/>
              </w:rPr>
            </w:pPr>
            <w:r w:rsidRPr="00D37004">
              <w:rPr>
                <w:rFonts w:ascii="Symbol" w:eastAsia="Symbol" w:hAnsi="Symbol" w:cs="Symbol"/>
                <w:noProof/>
                <w:sz w:val="20"/>
                <w:szCs w:val="16"/>
              </w:rPr>
              <w:t></w:t>
            </w:r>
            <w:r w:rsidRPr="00D37004">
              <w:rPr>
                <w:noProof/>
                <w:sz w:val="20"/>
                <w:szCs w:val="16"/>
              </w:rPr>
              <w:t xml:space="preserve"> Direct financial support for innovation and deployment </w:t>
            </w:r>
          </w:p>
          <w:p w14:paraId="77D2BAD9" w14:textId="77777777" w:rsidR="00A617D0" w:rsidRPr="00D37004" w:rsidRDefault="00A617D0">
            <w:pPr>
              <w:pStyle w:val="Text2"/>
              <w:spacing w:after="0"/>
              <w:ind w:left="237" w:hanging="237"/>
              <w:jc w:val="left"/>
              <w:rPr>
                <w:noProof/>
                <w:sz w:val="20"/>
                <w:szCs w:val="16"/>
              </w:rPr>
            </w:pPr>
            <w:r w:rsidRPr="00D37004">
              <w:rPr>
                <w:rFonts w:ascii="Symbol" w:eastAsia="Symbol" w:hAnsi="Symbol" w:cs="Symbol"/>
                <w:noProof/>
                <w:sz w:val="20"/>
                <w:szCs w:val="16"/>
              </w:rPr>
              <w:t></w:t>
            </w:r>
            <w:r w:rsidRPr="00D37004">
              <w:rPr>
                <w:noProof/>
                <w:sz w:val="20"/>
                <w:szCs w:val="16"/>
              </w:rPr>
              <w:t xml:space="preserve"> Energy savings </w:t>
            </w:r>
          </w:p>
          <w:p w14:paraId="6A570A25" w14:textId="0FA465DE" w:rsidR="00A617D0" w:rsidRPr="00D37004" w:rsidRDefault="00A617D0">
            <w:pPr>
              <w:pStyle w:val="Text2"/>
              <w:spacing w:after="0"/>
              <w:ind w:left="236" w:hanging="236"/>
              <w:jc w:val="left"/>
              <w:rPr>
                <w:noProof/>
                <w:sz w:val="20"/>
                <w:szCs w:val="16"/>
              </w:rPr>
            </w:pPr>
            <w:r w:rsidRPr="00D37004">
              <w:rPr>
                <w:rFonts w:ascii="Symbol" w:eastAsia="Symbol" w:hAnsi="Symbol" w:cs="Symbol"/>
                <w:noProof/>
                <w:sz w:val="20"/>
                <w:szCs w:val="16"/>
              </w:rPr>
              <w:t></w:t>
            </w:r>
            <w:r w:rsidRPr="00D37004">
              <w:rPr>
                <w:noProof/>
                <w:sz w:val="20"/>
                <w:szCs w:val="16"/>
              </w:rPr>
              <w:t xml:space="preserve"> </w:t>
            </w:r>
            <w:r w:rsidR="00B556BC">
              <w:rPr>
                <w:noProof/>
                <w:sz w:val="20"/>
                <w:szCs w:val="16"/>
              </w:rPr>
              <w:t>Possibility for i</w:t>
            </w:r>
            <w:r w:rsidRPr="00D37004">
              <w:rPr>
                <w:noProof/>
                <w:sz w:val="20"/>
                <w:szCs w:val="16"/>
              </w:rPr>
              <w:t>mproved access to investment opportunities</w:t>
            </w:r>
            <w:r w:rsidR="004F20CE" w:rsidRPr="00D37004">
              <w:rPr>
                <w:noProof/>
                <w:sz w:val="20"/>
                <w:szCs w:val="16"/>
              </w:rPr>
              <w:t xml:space="preserve"> (CAPEX de-risking)</w:t>
            </w:r>
          </w:p>
          <w:p w14:paraId="282D1C43" w14:textId="77777777" w:rsidR="00A617D0" w:rsidRPr="00D37004" w:rsidRDefault="00A617D0">
            <w:pPr>
              <w:pStyle w:val="Text2"/>
              <w:spacing w:after="0"/>
              <w:ind w:left="236" w:hanging="236"/>
              <w:jc w:val="left"/>
              <w:rPr>
                <w:noProof/>
                <w:sz w:val="20"/>
                <w:szCs w:val="16"/>
              </w:rPr>
            </w:pPr>
            <w:r w:rsidRPr="00D37004">
              <w:rPr>
                <w:rFonts w:ascii="Symbol" w:eastAsia="Symbol" w:hAnsi="Symbol" w:cs="Symbol"/>
                <w:noProof/>
                <w:sz w:val="20"/>
                <w:szCs w:val="16"/>
              </w:rPr>
              <w:t></w:t>
            </w:r>
            <w:r w:rsidRPr="00D37004">
              <w:rPr>
                <w:noProof/>
                <w:sz w:val="20"/>
                <w:szCs w:val="16"/>
              </w:rPr>
              <w:t xml:space="preserve"> Easier cross-border operations</w:t>
            </w:r>
          </w:p>
        </w:tc>
      </w:tr>
      <w:tr w:rsidR="001617C6" w:rsidRPr="00D37004" w14:paraId="34300E5F" w14:textId="77777777" w:rsidTr="006F26A9">
        <w:trPr>
          <w:trHeight w:val="5328"/>
        </w:trPr>
        <w:tc>
          <w:tcPr>
            <w:tcW w:w="1183" w:type="dxa"/>
            <w:tcBorders>
              <w:bottom w:val="single" w:sz="4" w:space="0" w:color="FFFFFF" w:themeColor="background1"/>
            </w:tcBorders>
          </w:tcPr>
          <w:p w14:paraId="62B253A3" w14:textId="77777777" w:rsidR="00B23F48" w:rsidRPr="00D37004" w:rsidRDefault="00B23F48" w:rsidP="00B23F48">
            <w:pPr>
              <w:pStyle w:val="Text2"/>
              <w:spacing w:after="0"/>
              <w:ind w:left="0"/>
              <w:jc w:val="left"/>
              <w:rPr>
                <w:b/>
                <w:noProof/>
                <w:sz w:val="20"/>
                <w:szCs w:val="16"/>
              </w:rPr>
            </w:pPr>
          </w:p>
        </w:tc>
        <w:tc>
          <w:tcPr>
            <w:tcW w:w="1515" w:type="dxa"/>
            <w:tcBorders>
              <w:bottom w:val="single" w:sz="4" w:space="0" w:color="FFFFFF" w:themeColor="background1"/>
            </w:tcBorders>
          </w:tcPr>
          <w:p w14:paraId="6E3F6CDA" w14:textId="29705503" w:rsidR="00B23F48" w:rsidRPr="00D37004" w:rsidRDefault="00DA2AE8" w:rsidP="00B23F48">
            <w:pPr>
              <w:pStyle w:val="Text2"/>
              <w:spacing w:after="0"/>
              <w:ind w:left="0"/>
              <w:jc w:val="left"/>
              <w:rPr>
                <w:noProof/>
                <w:sz w:val="20"/>
                <w:szCs w:val="16"/>
              </w:rPr>
            </w:pPr>
            <w:r>
              <w:rPr>
                <w:noProof/>
                <w:sz w:val="20"/>
              </w:rPr>
              <w:t>C</w:t>
            </w:r>
            <w:r w:rsidR="0001203E">
              <w:rPr>
                <w:noProof/>
                <w:sz w:val="20"/>
              </w:rPr>
              <w:t>loud</w:t>
            </w:r>
            <w:r w:rsidR="00B23F48" w:rsidRPr="00D37004">
              <w:rPr>
                <w:noProof/>
                <w:sz w:val="20"/>
              </w:rPr>
              <w:t xml:space="preserve"> and AI </w:t>
            </w:r>
            <w:r w:rsidR="00A011FC">
              <w:rPr>
                <w:noProof/>
                <w:sz w:val="20"/>
              </w:rPr>
              <w:t>computing service</w:t>
            </w:r>
            <w:r w:rsidR="00B23F48" w:rsidRPr="00D37004">
              <w:rPr>
                <w:noProof/>
                <w:sz w:val="20"/>
              </w:rPr>
              <w:t xml:space="preserve"> Providers</w:t>
            </w:r>
          </w:p>
        </w:tc>
        <w:tc>
          <w:tcPr>
            <w:tcW w:w="3086" w:type="dxa"/>
            <w:tcBorders>
              <w:bottom w:val="single" w:sz="4" w:space="0" w:color="FFFFFF" w:themeColor="background1"/>
            </w:tcBorders>
          </w:tcPr>
          <w:p w14:paraId="3D887701" w14:textId="77777777" w:rsidR="00B23F48" w:rsidRPr="00D37004" w:rsidRDefault="00B23F48" w:rsidP="00B23F48">
            <w:pPr>
              <w:pStyle w:val="Text2"/>
              <w:spacing w:after="0"/>
              <w:ind w:left="0"/>
              <w:jc w:val="left"/>
              <w:rPr>
                <w:noProof/>
                <w:color w:val="000000" w:themeColor="text1"/>
                <w:sz w:val="20"/>
              </w:rPr>
            </w:pPr>
            <w:r w:rsidRPr="00D37004">
              <w:rPr>
                <w:rFonts w:ascii="Symbol" w:eastAsia="Symbol" w:hAnsi="Symbol" w:cs="Symbol"/>
                <w:noProof/>
                <w:sz w:val="20"/>
              </w:rPr>
              <w:t></w:t>
            </w:r>
            <w:r w:rsidRPr="00D37004">
              <w:rPr>
                <w:noProof/>
                <w:sz w:val="20"/>
              </w:rPr>
              <w:t xml:space="preserve"> Direct compliance costs:  </w:t>
            </w:r>
          </w:p>
          <w:p w14:paraId="374A35A9" w14:textId="5F4D7499" w:rsidR="00B23F48" w:rsidRPr="00D37004" w:rsidRDefault="00B23F48" w:rsidP="009C6BBC">
            <w:pPr>
              <w:pStyle w:val="Text2"/>
              <w:spacing w:after="0"/>
              <w:ind w:left="593" w:hanging="283"/>
              <w:jc w:val="left"/>
              <w:rPr>
                <w:noProof/>
                <w:sz w:val="20"/>
              </w:rPr>
            </w:pPr>
            <w:r w:rsidRPr="00D37004">
              <w:rPr>
                <w:rFonts w:ascii="Symbol" w:eastAsia="Symbol" w:hAnsi="Symbol" w:cs="Symbol"/>
                <w:noProof/>
                <w:sz w:val="20"/>
              </w:rPr>
              <w:t></w:t>
            </w:r>
            <w:r w:rsidRPr="00D37004">
              <w:rPr>
                <w:noProof/>
                <w:sz w:val="20"/>
              </w:rPr>
              <w:t xml:space="preserve"> Administrative costs (e.g.  providing information for repository; participation to audits; </w:t>
            </w:r>
            <w:r w:rsidR="00C52248">
              <w:rPr>
                <w:noProof/>
                <w:sz w:val="20"/>
              </w:rPr>
              <w:t xml:space="preserve">preparation of applications for funding </w:t>
            </w:r>
            <w:r w:rsidR="00CB3F5E">
              <w:rPr>
                <w:noProof/>
                <w:sz w:val="20"/>
              </w:rPr>
              <w:t>scheme</w:t>
            </w:r>
            <w:r w:rsidRPr="00D37004">
              <w:rPr>
                <w:noProof/>
                <w:sz w:val="20"/>
              </w:rPr>
              <w:t>)</w:t>
            </w:r>
          </w:p>
          <w:p w14:paraId="123FE2D5" w14:textId="397F0173" w:rsidR="00B23F48" w:rsidRPr="00D37004" w:rsidRDefault="00B23F48" w:rsidP="009C6BBC">
            <w:pPr>
              <w:pStyle w:val="Text2"/>
              <w:spacing w:after="0"/>
              <w:ind w:left="593" w:hanging="283"/>
              <w:jc w:val="left"/>
              <w:rPr>
                <w:rFonts w:ascii="Symbol" w:eastAsia="Symbol" w:hAnsi="Symbol" w:cs="Symbol"/>
                <w:noProof/>
                <w:sz w:val="20"/>
                <w:szCs w:val="16"/>
              </w:rPr>
            </w:pPr>
            <w:r w:rsidRPr="00D37004">
              <w:rPr>
                <w:rFonts w:ascii="Symbol" w:eastAsia="Symbol" w:hAnsi="Symbol" w:cs="Symbol"/>
                <w:noProof/>
                <w:sz w:val="20"/>
              </w:rPr>
              <w:t></w:t>
            </w:r>
            <w:r w:rsidRPr="00D37004">
              <w:rPr>
                <w:rFonts w:ascii="Symbol" w:eastAsia="Symbol" w:hAnsi="Symbol" w:cs="Symbol"/>
                <w:noProof/>
                <w:sz w:val="20"/>
              </w:rPr>
              <w:t></w:t>
            </w:r>
            <w:r w:rsidRPr="00D37004">
              <w:rPr>
                <w:noProof/>
                <w:sz w:val="20"/>
              </w:rPr>
              <w:t xml:space="preserve">Adjustment costs (e.g. alignment with sovereignty </w:t>
            </w:r>
            <w:r w:rsidR="00EA7FEB">
              <w:rPr>
                <w:noProof/>
                <w:sz w:val="20"/>
              </w:rPr>
              <w:t>criteria</w:t>
            </w:r>
            <w:r w:rsidRPr="00D37004">
              <w:rPr>
                <w:noProof/>
                <w:sz w:val="20"/>
              </w:rPr>
              <w:t>; participation to public procurement procedures; eventual alignment with standards)</w:t>
            </w:r>
          </w:p>
        </w:tc>
        <w:tc>
          <w:tcPr>
            <w:tcW w:w="3251" w:type="dxa"/>
            <w:tcBorders>
              <w:bottom w:val="single" w:sz="4" w:space="0" w:color="FFFFFF" w:themeColor="background1"/>
            </w:tcBorders>
          </w:tcPr>
          <w:p w14:paraId="5C43D0CB" w14:textId="77777777" w:rsidR="00B23F48" w:rsidRPr="00D37004" w:rsidRDefault="00B23F48" w:rsidP="00B23F48">
            <w:pPr>
              <w:pStyle w:val="Text2"/>
              <w:spacing w:after="0"/>
              <w:ind w:left="237" w:hanging="237"/>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Improved predictability of regulatory direction (e.g. coordination efficiencies and reduced information asymmetries)</w:t>
            </w:r>
          </w:p>
          <w:p w14:paraId="30ADD49D" w14:textId="77777777" w:rsidR="00B23F48" w:rsidRPr="00D37004" w:rsidRDefault="00B23F48" w:rsidP="00B23F48">
            <w:pPr>
              <w:pStyle w:val="Text2"/>
              <w:spacing w:after="0"/>
              <w:ind w:left="237" w:hanging="237"/>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Reduced fragmentation of national approaches </w:t>
            </w:r>
          </w:p>
          <w:p w14:paraId="17C24ED9" w14:textId="77777777" w:rsidR="00B23F48" w:rsidRPr="00D37004" w:rsidRDefault="00B23F48" w:rsidP="00B23F48">
            <w:pPr>
              <w:pStyle w:val="Text2"/>
              <w:spacing w:after="0"/>
              <w:ind w:left="237" w:hanging="237"/>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Reputational gains from alignment with EU standards</w:t>
            </w:r>
          </w:p>
          <w:p w14:paraId="14579D12" w14:textId="77777777" w:rsidR="00B23F48" w:rsidRPr="00D37004" w:rsidRDefault="00B23F48" w:rsidP="00B23F48">
            <w:pPr>
              <w:pStyle w:val="Text2"/>
              <w:spacing w:after="0"/>
              <w:ind w:left="236" w:hanging="236"/>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Easier cross-border operations</w:t>
            </w:r>
          </w:p>
          <w:p w14:paraId="003184E6" w14:textId="77777777" w:rsidR="00B23F48" w:rsidRPr="00D37004" w:rsidRDefault="00B23F48" w:rsidP="00B23F48">
            <w:pPr>
              <w:pStyle w:val="Text2"/>
              <w:spacing w:after="0"/>
              <w:ind w:left="237" w:hanging="237"/>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Faster procurement </w:t>
            </w:r>
          </w:p>
          <w:p w14:paraId="06C4185E" w14:textId="77777777" w:rsidR="00B23F48" w:rsidRPr="00D37004" w:rsidRDefault="00B23F48" w:rsidP="00B23F48">
            <w:pPr>
              <w:pStyle w:val="Text2"/>
              <w:spacing w:after="0"/>
              <w:ind w:left="237" w:hanging="237"/>
              <w:jc w:val="left"/>
              <w:rPr>
                <w:rFonts w:eastAsia="Symbol"/>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Direct financial support for innovation</w:t>
            </w:r>
          </w:p>
          <w:p w14:paraId="2BE77317" w14:textId="77777777" w:rsidR="00B23F48" w:rsidRPr="00D37004" w:rsidRDefault="00B23F48" w:rsidP="00B23F48">
            <w:pPr>
              <w:pStyle w:val="Text2"/>
              <w:spacing w:after="0"/>
              <w:ind w:left="236" w:hanging="236"/>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Improved access to investment opportunities</w:t>
            </w:r>
          </w:p>
          <w:p w14:paraId="69371043" w14:textId="77777777" w:rsidR="00B23F48" w:rsidRPr="00D37004" w:rsidRDefault="00B23F48" w:rsidP="00B23F48">
            <w:pPr>
              <w:pStyle w:val="Text2"/>
              <w:spacing w:after="0"/>
              <w:ind w:left="236" w:hanging="236"/>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Reduced marketing costs</w:t>
            </w:r>
          </w:p>
          <w:p w14:paraId="0077BFE9" w14:textId="77777777" w:rsidR="00B23F48" w:rsidRPr="00D37004" w:rsidRDefault="00B23F48" w:rsidP="00B23F48">
            <w:pPr>
              <w:pStyle w:val="Text2"/>
              <w:spacing w:after="0"/>
              <w:ind w:left="236" w:hanging="236"/>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Increased revenues</w:t>
            </w:r>
          </w:p>
          <w:p w14:paraId="0D09F61C" w14:textId="5193A251" w:rsidR="00B23F48" w:rsidRPr="00D37004" w:rsidRDefault="00B23F48" w:rsidP="00B23F48">
            <w:pPr>
              <w:pStyle w:val="Text2"/>
              <w:spacing w:after="0"/>
              <w:ind w:left="262" w:hanging="262"/>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Easier uptake of innovative solution</w:t>
            </w:r>
            <w:r w:rsidR="00B753AE">
              <w:rPr>
                <w:noProof/>
                <w:color w:val="000000" w:themeColor="text1"/>
                <w:sz w:val="20"/>
              </w:rPr>
              <w:t>s for</w:t>
            </w:r>
            <w:r w:rsidRPr="00D37004">
              <w:rPr>
                <w:noProof/>
                <w:color w:val="000000" w:themeColor="text1"/>
                <w:sz w:val="20"/>
              </w:rPr>
              <w:t xml:space="preserve"> cloud and AI </w:t>
            </w:r>
            <w:r w:rsidR="00A011FC">
              <w:rPr>
                <w:noProof/>
                <w:color w:val="000000" w:themeColor="text1"/>
                <w:sz w:val="20"/>
              </w:rPr>
              <w:t>computing services</w:t>
            </w:r>
          </w:p>
          <w:p w14:paraId="523346F2" w14:textId="77777777" w:rsidR="00B23F48" w:rsidRPr="00D37004" w:rsidRDefault="00B23F48" w:rsidP="00B23F48">
            <w:pPr>
              <w:pStyle w:val="Text2"/>
              <w:spacing w:after="0"/>
              <w:ind w:left="262" w:hanging="262"/>
              <w:jc w:val="left"/>
              <w:rPr>
                <w:noProof/>
                <w:color w:val="000000" w:themeColor="text1"/>
                <w:sz w:val="20"/>
              </w:rPr>
            </w:pPr>
            <w:r w:rsidRPr="00D37004">
              <w:rPr>
                <w:rFonts w:ascii="Symbol" w:eastAsia="Symbol" w:hAnsi="Symbol" w:cs="Symbol"/>
                <w:noProof/>
                <w:color w:val="000000" w:themeColor="text1"/>
                <w:sz w:val="20"/>
              </w:rPr>
              <w:t></w:t>
            </w:r>
            <w:r w:rsidRPr="00D37004">
              <w:rPr>
                <w:noProof/>
                <w:color w:val="000000" w:themeColor="text1"/>
                <w:sz w:val="20"/>
              </w:rPr>
              <w:t xml:space="preserve"> Productivity gain and business modernisation</w:t>
            </w:r>
          </w:p>
          <w:p w14:paraId="37EDADC4" w14:textId="14358ECA" w:rsidR="00B23F48" w:rsidRPr="00D37004" w:rsidRDefault="00B23F48" w:rsidP="00B23F48">
            <w:pPr>
              <w:pStyle w:val="Text2"/>
              <w:spacing w:after="0"/>
              <w:ind w:left="237" w:hanging="237"/>
              <w:jc w:val="left"/>
              <w:rPr>
                <w:rFonts w:ascii="Symbol" w:eastAsia="Symbol" w:hAnsi="Symbol" w:cs="Symbol"/>
                <w:noProof/>
                <w:sz w:val="20"/>
                <w:szCs w:val="16"/>
              </w:rPr>
            </w:pPr>
            <w:r w:rsidRPr="00D37004">
              <w:rPr>
                <w:rFonts w:ascii="Symbol" w:eastAsia="Symbol" w:hAnsi="Symbol" w:cs="Symbol"/>
                <w:noProof/>
                <w:color w:val="000000" w:themeColor="text1"/>
                <w:sz w:val="20"/>
              </w:rPr>
              <w:t></w:t>
            </w:r>
            <w:r w:rsidRPr="00D37004">
              <w:rPr>
                <w:noProof/>
                <w:color w:val="000000" w:themeColor="text1"/>
                <w:sz w:val="20"/>
              </w:rPr>
              <w:t xml:space="preserve"> Improved business continuity</w:t>
            </w:r>
          </w:p>
        </w:tc>
      </w:tr>
      <w:tr w:rsidR="00F45E4D" w:rsidRPr="00D37004" w14:paraId="6C65331A" w14:textId="77777777" w:rsidTr="00F45E4D">
        <w:trPr>
          <w:trHeight w:val="1264"/>
        </w:trPr>
        <w:tc>
          <w:tcPr>
            <w:tcW w:w="1183" w:type="dxa"/>
            <w:tcBorders>
              <w:top w:val="single" w:sz="4" w:space="0" w:color="FFFFFF" w:themeColor="background1"/>
              <w:left w:val="single" w:sz="4" w:space="0" w:color="auto"/>
              <w:bottom w:val="single" w:sz="4" w:space="0" w:color="auto"/>
              <w:right w:val="single" w:sz="4" w:space="0" w:color="FFFFFF" w:themeColor="background1"/>
            </w:tcBorders>
          </w:tcPr>
          <w:p w14:paraId="2D9E6D48" w14:textId="77777777" w:rsidR="006F26A9" w:rsidRPr="00D37004" w:rsidRDefault="006F26A9" w:rsidP="00B23F48">
            <w:pPr>
              <w:pStyle w:val="Text2"/>
              <w:spacing w:after="0"/>
              <w:ind w:left="0"/>
              <w:jc w:val="left"/>
              <w:rPr>
                <w:b/>
                <w:noProof/>
                <w:sz w:val="20"/>
                <w:szCs w:val="16"/>
              </w:rPr>
            </w:pPr>
          </w:p>
        </w:tc>
        <w:tc>
          <w:tcPr>
            <w:tcW w:w="1515"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1D32AB7" w14:textId="072C4B08" w:rsidR="006F26A9" w:rsidRDefault="006F26A9" w:rsidP="00B23F48">
            <w:pPr>
              <w:pStyle w:val="Text2"/>
              <w:spacing w:after="0"/>
              <w:ind w:left="0"/>
              <w:jc w:val="left"/>
              <w:rPr>
                <w:noProof/>
                <w:sz w:val="20"/>
              </w:rPr>
            </w:pPr>
            <w:r>
              <w:rPr>
                <w:noProof/>
                <w:sz w:val="20"/>
              </w:rPr>
              <w:t>Private sector entities</w:t>
            </w:r>
            <w:r w:rsidR="004E3150">
              <w:rPr>
                <w:noProof/>
                <w:sz w:val="20"/>
              </w:rPr>
              <w:t xml:space="preserve"> </w:t>
            </w:r>
            <w:r w:rsidR="004E3150" w:rsidRPr="004E3150">
              <w:rPr>
                <w:noProof/>
                <w:sz w:val="20"/>
              </w:rPr>
              <w:t>operating in sectors listed under Annex I of NIS2</w:t>
            </w:r>
          </w:p>
        </w:tc>
        <w:tc>
          <w:tcPr>
            <w:tcW w:w="3086"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8544B78" w14:textId="77777777" w:rsidR="00B5492A" w:rsidRPr="00D37004" w:rsidRDefault="00B5492A" w:rsidP="00B5492A">
            <w:pPr>
              <w:pStyle w:val="Text2"/>
              <w:spacing w:after="0"/>
              <w:ind w:left="0"/>
              <w:jc w:val="left"/>
              <w:rPr>
                <w:noProof/>
                <w:color w:val="000000" w:themeColor="text1"/>
                <w:sz w:val="20"/>
              </w:rPr>
            </w:pPr>
            <w:r>
              <w:rPr>
                <w:rFonts w:ascii="Symbol" w:eastAsia="Symbol" w:hAnsi="Symbol" w:cs="Symbol"/>
                <w:noProof/>
                <w:sz w:val="20"/>
              </w:rPr>
              <w:t></w:t>
            </w:r>
            <w:r>
              <w:rPr>
                <w:rFonts w:ascii="Symbol" w:eastAsia="Symbol" w:hAnsi="Symbol" w:cs="Symbol"/>
                <w:noProof/>
                <w:sz w:val="20"/>
              </w:rPr>
              <w:t></w:t>
            </w:r>
            <w:r w:rsidRPr="00D37004">
              <w:rPr>
                <w:noProof/>
                <w:sz w:val="20"/>
              </w:rPr>
              <w:t xml:space="preserve">Direct compliance costs:  </w:t>
            </w:r>
          </w:p>
          <w:p w14:paraId="0D1A73DE" w14:textId="70D74B04" w:rsidR="006F26A9" w:rsidRPr="00D37004" w:rsidRDefault="00B5492A" w:rsidP="00B05194">
            <w:pPr>
              <w:pStyle w:val="Text2"/>
              <w:spacing w:after="0"/>
              <w:ind w:left="588" w:hanging="278"/>
              <w:jc w:val="left"/>
              <w:rPr>
                <w:rFonts w:ascii="Symbol" w:eastAsia="Symbol" w:hAnsi="Symbol" w:cs="Symbol"/>
                <w:noProof/>
                <w:sz w:val="20"/>
              </w:rPr>
            </w:pPr>
            <w:r w:rsidRPr="00D37004">
              <w:rPr>
                <w:rFonts w:ascii="Symbol" w:eastAsia="Symbol" w:hAnsi="Symbol" w:cs="Symbol"/>
                <w:noProof/>
                <w:sz w:val="20"/>
              </w:rPr>
              <w:t></w:t>
            </w:r>
            <w:r w:rsidRPr="00D37004">
              <w:rPr>
                <w:noProof/>
                <w:sz w:val="20"/>
              </w:rPr>
              <w:t xml:space="preserve"> Administrative costs</w:t>
            </w:r>
            <w:r>
              <w:rPr>
                <w:noProof/>
                <w:sz w:val="20"/>
              </w:rPr>
              <w:t xml:space="preserve"> (i.e.</w:t>
            </w:r>
            <w:r w:rsidR="002721F7">
              <w:rPr>
                <w:noProof/>
                <w:sz w:val="20"/>
              </w:rPr>
              <w:t xml:space="preserve"> expanded cybersecurity risk assessment to address non-technical risks) </w:t>
            </w:r>
          </w:p>
        </w:tc>
        <w:tc>
          <w:tcPr>
            <w:tcW w:w="3251" w:type="dxa"/>
            <w:tcBorders>
              <w:top w:val="single" w:sz="4" w:space="0" w:color="FFFFFF" w:themeColor="background1"/>
              <w:left w:val="single" w:sz="4" w:space="0" w:color="FFFFFF" w:themeColor="background1"/>
              <w:bottom w:val="single" w:sz="4" w:space="0" w:color="auto"/>
              <w:right w:val="single" w:sz="4" w:space="0" w:color="auto"/>
            </w:tcBorders>
          </w:tcPr>
          <w:p w14:paraId="4ADBC6C4" w14:textId="77777777" w:rsidR="006F26A9" w:rsidRPr="00D37004" w:rsidRDefault="006F26A9" w:rsidP="00B23F48">
            <w:pPr>
              <w:pStyle w:val="Text2"/>
              <w:spacing w:after="0"/>
              <w:ind w:left="237" w:hanging="237"/>
              <w:jc w:val="left"/>
              <w:rPr>
                <w:rFonts w:ascii="Symbol" w:eastAsia="Symbol" w:hAnsi="Symbol" w:cs="Symbol"/>
                <w:noProof/>
                <w:color w:val="000000" w:themeColor="text1"/>
                <w:sz w:val="20"/>
              </w:rPr>
            </w:pPr>
          </w:p>
        </w:tc>
      </w:tr>
      <w:tr w:rsidR="007C77D2" w:rsidRPr="00D37004" w14:paraId="3FCC61B5" w14:textId="77777777" w:rsidTr="00F84EC2">
        <w:tc>
          <w:tcPr>
            <w:tcW w:w="1183" w:type="dxa"/>
            <w:vMerge w:val="restart"/>
          </w:tcPr>
          <w:p w14:paraId="134B3DCB" w14:textId="77777777" w:rsidR="00A617D0" w:rsidRPr="00D37004" w:rsidRDefault="00A617D0">
            <w:pPr>
              <w:pStyle w:val="Text2"/>
              <w:spacing w:after="0"/>
              <w:ind w:left="0"/>
              <w:jc w:val="left"/>
              <w:rPr>
                <w:b/>
                <w:noProof/>
                <w:sz w:val="20"/>
                <w:szCs w:val="16"/>
              </w:rPr>
            </w:pPr>
            <w:r w:rsidRPr="00D37004">
              <w:rPr>
                <w:b/>
                <w:noProof/>
                <w:sz w:val="20"/>
                <w:szCs w:val="16"/>
              </w:rPr>
              <w:t>Public authorities</w:t>
            </w:r>
          </w:p>
        </w:tc>
        <w:tc>
          <w:tcPr>
            <w:tcW w:w="1515" w:type="dxa"/>
          </w:tcPr>
          <w:p w14:paraId="488E58C8" w14:textId="056AC63D" w:rsidR="00A617D0" w:rsidRPr="00D37004" w:rsidRDefault="00A617D0">
            <w:pPr>
              <w:pStyle w:val="Text2"/>
              <w:spacing w:after="0"/>
              <w:ind w:left="0"/>
              <w:jc w:val="left"/>
              <w:rPr>
                <w:noProof/>
                <w:sz w:val="20"/>
                <w:szCs w:val="16"/>
              </w:rPr>
            </w:pPr>
            <w:r w:rsidRPr="00D37004">
              <w:rPr>
                <w:noProof/>
                <w:sz w:val="20"/>
                <w:szCs w:val="16"/>
              </w:rPr>
              <w:t xml:space="preserve">National </w:t>
            </w:r>
            <w:r w:rsidR="00B753AE">
              <w:rPr>
                <w:noProof/>
                <w:sz w:val="20"/>
                <w:szCs w:val="16"/>
              </w:rPr>
              <w:t xml:space="preserve">and local </w:t>
            </w:r>
            <w:r w:rsidRPr="00D37004">
              <w:rPr>
                <w:noProof/>
                <w:sz w:val="20"/>
                <w:szCs w:val="16"/>
              </w:rPr>
              <w:t>public authorities</w:t>
            </w:r>
          </w:p>
        </w:tc>
        <w:tc>
          <w:tcPr>
            <w:tcW w:w="3086" w:type="dxa"/>
          </w:tcPr>
          <w:p w14:paraId="17F0C7CD" w14:textId="73E790DD" w:rsidR="00A617D0" w:rsidRPr="00D37004" w:rsidRDefault="00A617D0">
            <w:pPr>
              <w:pStyle w:val="Text2"/>
              <w:spacing w:after="0"/>
              <w:ind w:left="0"/>
              <w:jc w:val="left"/>
              <w:rPr>
                <w:noProof/>
                <w:sz w:val="20"/>
                <w:szCs w:val="16"/>
              </w:rPr>
            </w:pPr>
            <w:r w:rsidRPr="00D37004">
              <w:rPr>
                <w:rFonts w:ascii="Symbol" w:eastAsia="Symbol" w:hAnsi="Symbol" w:cs="Symbol"/>
                <w:noProof/>
                <w:sz w:val="20"/>
                <w:szCs w:val="16"/>
              </w:rPr>
              <w:t></w:t>
            </w:r>
            <w:r w:rsidRPr="00D37004">
              <w:rPr>
                <w:noProof/>
                <w:sz w:val="20"/>
                <w:szCs w:val="16"/>
              </w:rPr>
              <w:t xml:space="preserve"> Direct compliance costs</w:t>
            </w:r>
            <w:r w:rsidR="00B87779" w:rsidRPr="00D37004">
              <w:rPr>
                <w:noProof/>
                <w:sz w:val="20"/>
                <w:szCs w:val="16"/>
              </w:rPr>
              <w:t>:</w:t>
            </w:r>
          </w:p>
          <w:p w14:paraId="0B2DC078" w14:textId="586779E2" w:rsidR="00A617D0" w:rsidRPr="00D37004" w:rsidRDefault="00A617D0" w:rsidP="009C6BBC">
            <w:pPr>
              <w:pStyle w:val="Text2"/>
              <w:spacing w:after="0"/>
              <w:ind w:left="452" w:hanging="284"/>
              <w:jc w:val="left"/>
              <w:rPr>
                <w:noProof/>
                <w:sz w:val="20"/>
              </w:rPr>
            </w:pPr>
            <w:r w:rsidRPr="52D50CED">
              <w:rPr>
                <w:rFonts w:ascii="Symbol" w:eastAsia="Symbol" w:hAnsi="Symbol" w:cs="Symbol"/>
                <w:noProof/>
                <w:sz w:val="20"/>
              </w:rPr>
              <w:t></w:t>
            </w:r>
            <w:r w:rsidRPr="52D50CED">
              <w:rPr>
                <w:rFonts w:ascii="Symbol" w:eastAsia="Symbol" w:hAnsi="Symbol" w:cs="Symbol"/>
                <w:noProof/>
                <w:sz w:val="20"/>
              </w:rPr>
              <w:t></w:t>
            </w:r>
            <w:r w:rsidRPr="52D50CED">
              <w:rPr>
                <w:noProof/>
                <w:sz w:val="20"/>
              </w:rPr>
              <w:t xml:space="preserve">Administrative costs (e.g. data collection </w:t>
            </w:r>
            <w:r w:rsidR="00581450" w:rsidRPr="52D50CED">
              <w:rPr>
                <w:noProof/>
                <w:sz w:val="20"/>
              </w:rPr>
              <w:t>of fast-track areas</w:t>
            </w:r>
            <w:r w:rsidR="00CE6F7D" w:rsidRPr="52D50CED" w:rsidDel="00581450">
              <w:rPr>
                <w:noProof/>
                <w:sz w:val="20"/>
              </w:rPr>
              <w:t>;</w:t>
            </w:r>
            <w:r w:rsidR="00292291" w:rsidRPr="52D50CED">
              <w:rPr>
                <w:noProof/>
                <w:sz w:val="20"/>
              </w:rPr>
              <w:t xml:space="preserve"> </w:t>
            </w:r>
            <w:r w:rsidR="0BB7A534" w:rsidRPr="6637DCFC">
              <w:rPr>
                <w:noProof/>
                <w:sz w:val="20"/>
              </w:rPr>
              <w:t xml:space="preserve">sovereignty risk assessments; </w:t>
            </w:r>
            <w:r w:rsidR="00292291" w:rsidRPr="6637DCFC">
              <w:rPr>
                <w:noProof/>
                <w:sz w:val="20"/>
              </w:rPr>
              <w:t>drafting</w:t>
            </w:r>
            <w:r w:rsidR="00292291" w:rsidRPr="52D50CED">
              <w:rPr>
                <w:noProof/>
                <w:sz w:val="20"/>
              </w:rPr>
              <w:t xml:space="preserve"> of national strategies;</w:t>
            </w:r>
            <w:r w:rsidR="00EC6CED" w:rsidRPr="52D50CED" w:rsidDel="00581450">
              <w:rPr>
                <w:noProof/>
                <w:sz w:val="20"/>
              </w:rPr>
              <w:t xml:space="preserve"> </w:t>
            </w:r>
            <w:r w:rsidR="004F00FE" w:rsidRPr="52D50CED">
              <w:rPr>
                <w:noProof/>
                <w:sz w:val="20"/>
              </w:rPr>
              <w:t xml:space="preserve">updates of </w:t>
            </w:r>
            <w:r w:rsidR="00670A03">
              <w:rPr>
                <w:noProof/>
                <w:sz w:val="20"/>
              </w:rPr>
              <w:t>p</w:t>
            </w:r>
            <w:r w:rsidR="004F00FE" w:rsidRPr="52D50CED">
              <w:rPr>
                <w:noProof/>
                <w:sz w:val="20"/>
              </w:rPr>
              <w:t>rocedures</w:t>
            </w:r>
            <w:r w:rsidR="00294018" w:rsidRPr="52D50CED">
              <w:rPr>
                <w:noProof/>
                <w:sz w:val="20"/>
              </w:rPr>
              <w:t>/</w:t>
            </w:r>
            <w:r w:rsidR="00670A03">
              <w:rPr>
                <w:noProof/>
                <w:sz w:val="20"/>
              </w:rPr>
              <w:t xml:space="preserve"> </w:t>
            </w:r>
            <w:r w:rsidR="00294018" w:rsidRPr="52D50CED">
              <w:rPr>
                <w:noProof/>
                <w:sz w:val="20"/>
              </w:rPr>
              <w:t>templates</w:t>
            </w:r>
            <w:r w:rsidR="004F00FE" w:rsidRPr="52D50CED">
              <w:rPr>
                <w:noProof/>
                <w:sz w:val="20"/>
              </w:rPr>
              <w:t xml:space="preserve"> related to public procurement</w:t>
            </w:r>
            <w:r w:rsidR="00995558" w:rsidRPr="52D50CED">
              <w:rPr>
                <w:noProof/>
                <w:sz w:val="20"/>
              </w:rPr>
              <w:t>; reporting activities to maintain the open source programme office</w:t>
            </w:r>
            <w:r w:rsidR="00292291" w:rsidRPr="52D50CED">
              <w:rPr>
                <w:noProof/>
                <w:sz w:val="20"/>
              </w:rPr>
              <w:t xml:space="preserve"> and on the implementation of national strategies</w:t>
            </w:r>
            <w:r w:rsidRPr="52D50CED">
              <w:rPr>
                <w:noProof/>
                <w:sz w:val="20"/>
              </w:rPr>
              <w:t>)</w:t>
            </w:r>
          </w:p>
          <w:p w14:paraId="753D6986" w14:textId="5CAA7E6D" w:rsidR="00A617D0" w:rsidRPr="00D37004" w:rsidRDefault="00A617D0" w:rsidP="009C6BBC">
            <w:pPr>
              <w:pStyle w:val="Text2"/>
              <w:spacing w:after="0"/>
              <w:ind w:left="452" w:hanging="284"/>
              <w:jc w:val="left"/>
              <w:rPr>
                <w:noProof/>
                <w:sz w:val="20"/>
              </w:rPr>
            </w:pPr>
            <w:r w:rsidRPr="00D37004">
              <w:rPr>
                <w:rFonts w:ascii="Symbol" w:eastAsia="Symbol" w:hAnsi="Symbol" w:cs="Symbol"/>
                <w:noProof/>
                <w:sz w:val="20"/>
              </w:rPr>
              <w:t></w:t>
            </w:r>
            <w:r w:rsidRPr="00D37004">
              <w:rPr>
                <w:noProof/>
                <w:sz w:val="20"/>
              </w:rPr>
              <w:t xml:space="preserve"> Adjustment costs (e.g. redesign of permitting processes and reprioritising planning resources for fast-track areas; alignment of national measures with EU-level rules; </w:t>
            </w:r>
            <w:r w:rsidR="00055CE1" w:rsidRPr="00D37004">
              <w:rPr>
                <w:noProof/>
                <w:sz w:val="20"/>
              </w:rPr>
              <w:t xml:space="preserve">integrating </w:t>
            </w:r>
            <w:r w:rsidR="00DE45B9">
              <w:rPr>
                <w:noProof/>
                <w:sz w:val="20"/>
              </w:rPr>
              <w:t>risk assessment outcomes</w:t>
            </w:r>
            <w:r w:rsidR="00DE45B9" w:rsidRPr="00D37004">
              <w:rPr>
                <w:noProof/>
                <w:sz w:val="20"/>
              </w:rPr>
              <w:t xml:space="preserve"> </w:t>
            </w:r>
            <w:r w:rsidR="00055CE1" w:rsidRPr="00D37004">
              <w:rPr>
                <w:noProof/>
                <w:sz w:val="20"/>
              </w:rPr>
              <w:t xml:space="preserve">within procurement; </w:t>
            </w:r>
            <w:r w:rsidR="735E54C2" w:rsidRPr="4BC46056">
              <w:rPr>
                <w:noProof/>
                <w:sz w:val="20"/>
              </w:rPr>
              <w:t>transition costs linked to new cloud and AI computing services providers;</w:t>
            </w:r>
            <w:r w:rsidR="0028690F" w:rsidRPr="2E89B17A">
              <w:rPr>
                <w:noProof/>
                <w:sz w:val="20"/>
              </w:rPr>
              <w:t xml:space="preserve"> </w:t>
            </w:r>
            <w:r w:rsidR="00EC6CED" w:rsidRPr="2E89B17A">
              <w:rPr>
                <w:noProof/>
                <w:sz w:val="20"/>
              </w:rPr>
              <w:t>participati</w:t>
            </w:r>
            <w:r w:rsidR="009C466C" w:rsidRPr="2E89B17A">
              <w:rPr>
                <w:noProof/>
                <w:sz w:val="20"/>
              </w:rPr>
              <w:t>on</w:t>
            </w:r>
            <w:r w:rsidR="00EC6CED" w:rsidRPr="2E89B17A">
              <w:rPr>
                <w:noProof/>
                <w:sz w:val="20"/>
              </w:rPr>
              <w:t xml:space="preserve"> in the public sector cloud federation</w:t>
            </w:r>
            <w:r w:rsidR="009C466C">
              <w:rPr>
                <w:noProof/>
                <w:sz w:val="20"/>
              </w:rPr>
              <w:t>;</w:t>
            </w:r>
            <w:r w:rsidR="00EC6CED" w:rsidRPr="00D37004">
              <w:rPr>
                <w:noProof/>
                <w:sz w:val="20"/>
              </w:rPr>
              <w:t xml:space="preserve"> </w:t>
            </w:r>
            <w:r w:rsidR="00055CE1" w:rsidRPr="00D37004">
              <w:rPr>
                <w:noProof/>
                <w:sz w:val="20"/>
              </w:rPr>
              <w:t>alignment of procurement criteria</w:t>
            </w:r>
            <w:r w:rsidR="009C466C">
              <w:rPr>
                <w:noProof/>
                <w:sz w:val="20"/>
              </w:rPr>
              <w:t>;</w:t>
            </w:r>
            <w:r w:rsidR="00C25B1D">
              <w:rPr>
                <w:noProof/>
                <w:sz w:val="20"/>
              </w:rPr>
              <w:t xml:space="preserve"> </w:t>
            </w:r>
            <w:r w:rsidR="009C466C" w:rsidRPr="2E89B17A">
              <w:rPr>
                <w:noProof/>
                <w:sz w:val="20"/>
              </w:rPr>
              <w:t>set up and management of the infrastructure for the open-source repository</w:t>
            </w:r>
            <w:r w:rsidRPr="00D37004">
              <w:rPr>
                <w:noProof/>
                <w:sz w:val="20"/>
              </w:rPr>
              <w:t>)</w:t>
            </w:r>
          </w:p>
        </w:tc>
        <w:tc>
          <w:tcPr>
            <w:tcW w:w="3251" w:type="dxa"/>
          </w:tcPr>
          <w:p w14:paraId="500620C8" w14:textId="77777777" w:rsidR="00A617D0" w:rsidRPr="00D37004" w:rsidRDefault="00A617D0">
            <w:pPr>
              <w:pStyle w:val="Text2"/>
              <w:spacing w:after="0"/>
              <w:ind w:left="377" w:hanging="377"/>
              <w:jc w:val="left"/>
              <w:rPr>
                <w:noProof/>
                <w:sz w:val="20"/>
                <w:szCs w:val="16"/>
              </w:rPr>
            </w:pPr>
            <w:r w:rsidRPr="00D37004">
              <w:rPr>
                <w:rFonts w:ascii="Symbol" w:eastAsia="Symbol" w:hAnsi="Symbol" w:cs="Symbol"/>
                <w:noProof/>
                <w:sz w:val="20"/>
                <w:szCs w:val="16"/>
              </w:rPr>
              <w:t></w:t>
            </w:r>
            <w:r w:rsidRPr="00D37004">
              <w:rPr>
                <w:noProof/>
                <w:sz w:val="20"/>
                <w:szCs w:val="16"/>
              </w:rPr>
              <w:t xml:space="preserve"> Enhanced dialogue with industry</w:t>
            </w:r>
          </w:p>
          <w:p w14:paraId="1624701A" w14:textId="77777777" w:rsidR="00A617D0" w:rsidRPr="00D37004" w:rsidRDefault="00A617D0">
            <w:pPr>
              <w:pStyle w:val="Text2"/>
              <w:spacing w:after="0"/>
              <w:ind w:left="212" w:hanging="212"/>
              <w:jc w:val="left"/>
              <w:rPr>
                <w:noProof/>
                <w:sz w:val="20"/>
                <w:szCs w:val="16"/>
              </w:rPr>
            </w:pPr>
            <w:r w:rsidRPr="00D37004">
              <w:rPr>
                <w:rFonts w:ascii="Symbol" w:eastAsia="Symbol" w:hAnsi="Symbol" w:cs="Symbol"/>
                <w:noProof/>
                <w:sz w:val="20"/>
                <w:szCs w:val="16"/>
              </w:rPr>
              <w:t></w:t>
            </w:r>
            <w:r w:rsidRPr="00D37004">
              <w:rPr>
                <w:noProof/>
                <w:sz w:val="20"/>
                <w:szCs w:val="16"/>
              </w:rPr>
              <w:t xml:space="preserve"> Better monitoring of sector developments </w:t>
            </w:r>
          </w:p>
          <w:p w14:paraId="0EED47F3" w14:textId="77777777" w:rsidR="00A617D0" w:rsidRPr="00D37004" w:rsidRDefault="00A617D0">
            <w:pPr>
              <w:pStyle w:val="Text2"/>
              <w:spacing w:after="0"/>
              <w:ind w:left="236" w:hanging="236"/>
              <w:jc w:val="left"/>
              <w:rPr>
                <w:noProof/>
                <w:sz w:val="20"/>
              </w:rPr>
            </w:pPr>
            <w:r w:rsidRPr="00D37004">
              <w:rPr>
                <w:rFonts w:ascii="Symbol" w:eastAsia="Symbol" w:hAnsi="Symbol" w:cs="Symbol"/>
                <w:noProof/>
                <w:sz w:val="20"/>
              </w:rPr>
              <w:t></w:t>
            </w:r>
            <w:r w:rsidRPr="00D37004">
              <w:rPr>
                <w:noProof/>
                <w:sz w:val="20"/>
              </w:rPr>
              <w:t xml:space="preserve"> Alleviated constraints and delays resulting in reduced pressure from industry over bottlenecks</w:t>
            </w:r>
          </w:p>
          <w:p w14:paraId="3FEDF916" w14:textId="2D7DAAA2" w:rsidR="00A617D0" w:rsidRPr="00D37004" w:rsidRDefault="00A617D0">
            <w:pPr>
              <w:pStyle w:val="Text2"/>
              <w:spacing w:after="0"/>
              <w:ind w:left="212" w:hanging="212"/>
              <w:jc w:val="left"/>
              <w:rPr>
                <w:noProof/>
                <w:sz w:val="20"/>
                <w:szCs w:val="16"/>
              </w:rPr>
            </w:pPr>
            <w:r w:rsidRPr="00D37004">
              <w:rPr>
                <w:rFonts w:ascii="Symbol" w:eastAsia="Symbol" w:hAnsi="Symbol" w:cs="Symbol"/>
                <w:noProof/>
                <w:sz w:val="20"/>
                <w:szCs w:val="16"/>
              </w:rPr>
              <w:t></w:t>
            </w:r>
            <w:r w:rsidRPr="00D37004">
              <w:rPr>
                <w:noProof/>
                <w:sz w:val="20"/>
                <w:szCs w:val="16"/>
              </w:rPr>
              <w:t xml:space="preserve"> Reduced time dedicated to individual </w:t>
            </w:r>
            <w:r w:rsidR="0085000C">
              <w:rPr>
                <w:noProof/>
                <w:sz w:val="20"/>
                <w:szCs w:val="16"/>
              </w:rPr>
              <w:t>d</w:t>
            </w:r>
            <w:r w:rsidRPr="00D37004">
              <w:rPr>
                <w:noProof/>
                <w:sz w:val="20"/>
                <w:szCs w:val="16"/>
              </w:rPr>
              <w:t xml:space="preserve">ata </w:t>
            </w:r>
            <w:r w:rsidR="0085000C">
              <w:rPr>
                <w:noProof/>
                <w:sz w:val="20"/>
                <w:szCs w:val="16"/>
              </w:rPr>
              <w:t>c</w:t>
            </w:r>
            <w:r w:rsidRPr="00D37004">
              <w:rPr>
                <w:noProof/>
                <w:sz w:val="20"/>
                <w:szCs w:val="16"/>
              </w:rPr>
              <w:t xml:space="preserve">entre </w:t>
            </w:r>
            <w:r w:rsidR="00FF4EA7">
              <w:rPr>
                <w:noProof/>
                <w:sz w:val="20"/>
                <w:szCs w:val="16"/>
              </w:rPr>
              <w:t>p</w:t>
            </w:r>
            <w:r w:rsidRPr="00D37004">
              <w:rPr>
                <w:noProof/>
                <w:sz w:val="20"/>
                <w:szCs w:val="16"/>
              </w:rPr>
              <w:t>rojects</w:t>
            </w:r>
          </w:p>
          <w:p w14:paraId="016BF594" w14:textId="22517B0D" w:rsidR="00A617D0" w:rsidRPr="00D37004" w:rsidRDefault="00A617D0">
            <w:pPr>
              <w:pStyle w:val="Text2"/>
              <w:spacing w:after="0"/>
              <w:ind w:left="236" w:hanging="236"/>
              <w:jc w:val="left"/>
              <w:rPr>
                <w:noProof/>
                <w:sz w:val="20"/>
                <w:szCs w:val="16"/>
              </w:rPr>
            </w:pPr>
            <w:r w:rsidRPr="00D37004">
              <w:rPr>
                <w:rFonts w:ascii="Symbol" w:eastAsia="Symbol" w:hAnsi="Symbol" w:cs="Symbol"/>
                <w:noProof/>
                <w:sz w:val="20"/>
                <w:szCs w:val="16"/>
              </w:rPr>
              <w:t></w:t>
            </w:r>
            <w:r w:rsidRPr="00D37004">
              <w:rPr>
                <w:noProof/>
                <w:sz w:val="20"/>
                <w:szCs w:val="16"/>
              </w:rPr>
              <w:t xml:space="preserve"> Saved effort from common mechanism </w:t>
            </w:r>
            <w:r w:rsidR="00293E5F">
              <w:rPr>
                <w:noProof/>
                <w:sz w:val="20"/>
                <w:szCs w:val="16"/>
              </w:rPr>
              <w:t>and sharing of idle capacity</w:t>
            </w:r>
          </w:p>
          <w:p w14:paraId="26A65EF1" w14:textId="4893E655" w:rsidR="00CD0993" w:rsidRPr="00D37004"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Faster and more reliable procurement processes </w:t>
            </w:r>
          </w:p>
          <w:p w14:paraId="57951539" w14:textId="36FEF442" w:rsidR="00CD0993" w:rsidRPr="00D37004"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Reduced screening efforts and efforts needed to verify eligibility </w:t>
            </w:r>
          </w:p>
          <w:p w14:paraId="599763B4" w14:textId="4394E0F9" w:rsidR="00CD0993" w:rsidRPr="00D37004" w:rsidRDefault="00CD0993" w:rsidP="00CD0993">
            <w:pPr>
              <w:pStyle w:val="Text2"/>
              <w:spacing w:after="0"/>
              <w:ind w:left="262" w:hanging="284"/>
              <w:jc w:val="left"/>
              <w:rPr>
                <w:noProof/>
                <w:sz w:val="20"/>
              </w:rPr>
            </w:pPr>
            <w:r w:rsidRPr="00D37004">
              <w:rPr>
                <w:rFonts w:ascii="Symbol" w:eastAsia="Symbol" w:hAnsi="Symbol" w:cs="Symbol"/>
                <w:noProof/>
                <w:sz w:val="20"/>
              </w:rPr>
              <w:t></w:t>
            </w:r>
            <w:r w:rsidRPr="00D37004">
              <w:rPr>
                <w:noProof/>
                <w:sz w:val="20"/>
              </w:rPr>
              <w:t xml:space="preserve"> Streamlined verification of compliance </w:t>
            </w:r>
          </w:p>
          <w:p w14:paraId="219845D8" w14:textId="4EDB0A15" w:rsidR="6D972B16" w:rsidRDefault="00E632B3" w:rsidP="4BC46056">
            <w:pPr>
              <w:pStyle w:val="Text2"/>
              <w:spacing w:after="0"/>
              <w:ind w:left="262" w:hanging="284"/>
              <w:jc w:val="left"/>
              <w:rPr>
                <w:noProof/>
                <w:sz w:val="20"/>
              </w:rPr>
            </w:pPr>
            <w:r w:rsidRPr="00D37004">
              <w:rPr>
                <w:rFonts w:ascii="Symbol" w:eastAsia="Symbol" w:hAnsi="Symbol" w:cs="Symbol"/>
                <w:noProof/>
                <w:sz w:val="20"/>
              </w:rPr>
              <w:t></w:t>
            </w:r>
            <w:r w:rsidRPr="00D37004">
              <w:rPr>
                <w:noProof/>
                <w:sz w:val="20"/>
              </w:rPr>
              <w:t xml:space="preserve"> </w:t>
            </w:r>
            <w:r>
              <w:rPr>
                <w:noProof/>
                <w:sz w:val="20"/>
              </w:rPr>
              <w:t>More</w:t>
            </w:r>
            <w:r w:rsidR="1950B215" w:rsidRPr="00331E0B">
              <w:rPr>
                <w:noProof/>
                <w:sz w:val="20"/>
              </w:rPr>
              <w:t xml:space="preserve"> sovereign cloud and AI computing services</w:t>
            </w:r>
          </w:p>
          <w:p w14:paraId="1E3C5E4F" w14:textId="2A737724" w:rsidR="00CD0993" w:rsidRPr="00D37004"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Reduction of proprietary license expenditures and lower licensing costs</w:t>
            </w:r>
          </w:p>
          <w:p w14:paraId="0CFAC875" w14:textId="1415EFDB" w:rsidR="00CD0993" w:rsidRPr="00D37004"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Reduced duplication of work and efforts</w:t>
            </w:r>
          </w:p>
          <w:p w14:paraId="0BE8D61F" w14:textId="60EDA135" w:rsidR="00CD0993" w:rsidRPr="00D37004"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Reduction of total cost of ownership for IT systems</w:t>
            </w:r>
          </w:p>
          <w:p w14:paraId="7E6B1DC7" w14:textId="27A334E8" w:rsidR="00CD0993" w:rsidRDefault="00CD0993" w:rsidP="00CD0993">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Shorter procurement time for innovative solutions; reduced time needed to find providers</w:t>
            </w:r>
          </w:p>
          <w:p w14:paraId="757C2F61" w14:textId="77777777" w:rsidR="00293E5F" w:rsidRPr="00D37004" w:rsidRDefault="00293E5F" w:rsidP="00CD0993">
            <w:pPr>
              <w:pStyle w:val="Text2"/>
              <w:spacing w:after="0"/>
              <w:ind w:left="262" w:hanging="262"/>
              <w:jc w:val="left"/>
              <w:rPr>
                <w:noProof/>
                <w:sz w:val="20"/>
              </w:rPr>
            </w:pPr>
          </w:p>
          <w:p w14:paraId="132AB3B8" w14:textId="77777777" w:rsidR="00CD0993" w:rsidRPr="00D37004" w:rsidRDefault="00CD0993">
            <w:pPr>
              <w:pStyle w:val="Text2"/>
              <w:spacing w:after="0"/>
              <w:ind w:left="236" w:hanging="236"/>
              <w:jc w:val="left"/>
              <w:rPr>
                <w:noProof/>
                <w:sz w:val="20"/>
                <w:szCs w:val="16"/>
              </w:rPr>
            </w:pPr>
          </w:p>
          <w:p w14:paraId="25B8DB93" w14:textId="77777777" w:rsidR="00A617D0" w:rsidRPr="00D37004" w:rsidRDefault="00A617D0">
            <w:pPr>
              <w:pStyle w:val="Text2"/>
              <w:spacing w:after="0"/>
              <w:ind w:left="0"/>
              <w:rPr>
                <w:noProof/>
                <w:sz w:val="20"/>
                <w:szCs w:val="16"/>
              </w:rPr>
            </w:pPr>
          </w:p>
        </w:tc>
      </w:tr>
      <w:tr w:rsidR="007C77D2" w:rsidRPr="00D37004" w14:paraId="15F89918" w14:textId="77777777" w:rsidTr="00F84EC2">
        <w:tc>
          <w:tcPr>
            <w:tcW w:w="1183" w:type="dxa"/>
            <w:vMerge/>
          </w:tcPr>
          <w:p w14:paraId="1ECD30CA" w14:textId="77777777" w:rsidR="00A617D0" w:rsidRPr="00D37004" w:rsidRDefault="00A617D0">
            <w:pPr>
              <w:pStyle w:val="Text2"/>
              <w:spacing w:after="0"/>
              <w:ind w:left="0"/>
              <w:jc w:val="left"/>
              <w:rPr>
                <w:noProof/>
                <w:sz w:val="20"/>
                <w:szCs w:val="16"/>
              </w:rPr>
            </w:pPr>
          </w:p>
        </w:tc>
        <w:tc>
          <w:tcPr>
            <w:tcW w:w="1515" w:type="dxa"/>
          </w:tcPr>
          <w:p w14:paraId="40D570E0" w14:textId="77777777" w:rsidR="00A617D0" w:rsidRPr="00D37004" w:rsidRDefault="00A617D0">
            <w:pPr>
              <w:pStyle w:val="Text2"/>
              <w:spacing w:after="0"/>
              <w:ind w:left="0"/>
              <w:jc w:val="left"/>
              <w:rPr>
                <w:noProof/>
                <w:sz w:val="20"/>
                <w:szCs w:val="16"/>
              </w:rPr>
            </w:pPr>
            <w:r w:rsidRPr="00D37004">
              <w:rPr>
                <w:noProof/>
                <w:sz w:val="20"/>
                <w:szCs w:val="16"/>
              </w:rPr>
              <w:t xml:space="preserve">European Commission </w:t>
            </w:r>
          </w:p>
        </w:tc>
        <w:tc>
          <w:tcPr>
            <w:tcW w:w="3086" w:type="dxa"/>
          </w:tcPr>
          <w:p w14:paraId="575823C1" w14:textId="549B892B" w:rsidR="00A617D0" w:rsidRPr="00D37004" w:rsidRDefault="00A617D0">
            <w:pPr>
              <w:pStyle w:val="Text2"/>
              <w:spacing w:after="0"/>
              <w:ind w:left="254" w:hanging="254"/>
              <w:jc w:val="left"/>
              <w:rPr>
                <w:noProof/>
                <w:sz w:val="20"/>
              </w:rPr>
            </w:pPr>
            <w:r w:rsidRPr="00D37004">
              <w:rPr>
                <w:rFonts w:ascii="Symbol" w:eastAsia="Symbol" w:hAnsi="Symbol" w:cs="Symbol"/>
                <w:noProof/>
                <w:sz w:val="20"/>
              </w:rPr>
              <w:t></w:t>
            </w:r>
            <w:r w:rsidRPr="00D37004">
              <w:rPr>
                <w:noProof/>
                <w:sz w:val="20"/>
              </w:rPr>
              <w:t xml:space="preserve"> Administrative costs (e.g. design and monitor EU-level funding instruments; </w:t>
            </w:r>
            <w:r w:rsidR="002E28DA" w:rsidRPr="00D37004">
              <w:rPr>
                <w:noProof/>
                <w:sz w:val="20"/>
              </w:rPr>
              <w:t xml:space="preserve">setting up and overseeing the </w:t>
            </w:r>
            <w:r w:rsidR="5E701BEF" w:rsidRPr="1F4B0CCD">
              <w:rPr>
                <w:noProof/>
                <w:sz w:val="20"/>
              </w:rPr>
              <w:t>repository</w:t>
            </w:r>
            <w:r w:rsidR="052964BF" w:rsidRPr="1E9230DE">
              <w:rPr>
                <w:noProof/>
                <w:sz w:val="20"/>
              </w:rPr>
              <w:t xml:space="preserve"> </w:t>
            </w:r>
            <w:r w:rsidR="00012F8F">
              <w:rPr>
                <w:noProof/>
                <w:sz w:val="20"/>
              </w:rPr>
              <w:t xml:space="preserve">of audited sovereign </w:t>
            </w:r>
            <w:r w:rsidR="052964BF" w:rsidRPr="1E9230DE">
              <w:rPr>
                <w:noProof/>
                <w:sz w:val="20"/>
              </w:rPr>
              <w:t>services</w:t>
            </w:r>
            <w:r w:rsidR="002E28DA" w:rsidRPr="00D37004">
              <w:rPr>
                <w:noProof/>
                <w:sz w:val="20"/>
              </w:rPr>
              <w:t>; financial and coordination support</w:t>
            </w:r>
            <w:r w:rsidRPr="00D37004">
              <w:rPr>
                <w:noProof/>
                <w:sz w:val="20"/>
              </w:rPr>
              <w:t>)</w:t>
            </w:r>
          </w:p>
          <w:p w14:paraId="6B608FE8" w14:textId="6DEA2A3C" w:rsidR="00A617D0" w:rsidRPr="00D37004" w:rsidRDefault="00A617D0">
            <w:pPr>
              <w:pStyle w:val="Text2"/>
              <w:spacing w:after="0"/>
              <w:ind w:left="254" w:hanging="254"/>
              <w:jc w:val="left"/>
              <w:rPr>
                <w:noProof/>
                <w:sz w:val="20"/>
              </w:rPr>
            </w:pPr>
            <w:r w:rsidRPr="00D37004">
              <w:rPr>
                <w:rFonts w:ascii="Symbol" w:eastAsia="Symbol" w:hAnsi="Symbol" w:cs="Symbol"/>
                <w:noProof/>
                <w:sz w:val="20"/>
              </w:rPr>
              <w:t></w:t>
            </w:r>
            <w:r w:rsidRPr="00D37004">
              <w:rPr>
                <w:noProof/>
                <w:sz w:val="20"/>
              </w:rPr>
              <w:t xml:space="preserve"> Adjustment costs (e.g., setting targets; monitoring progress; new supervisory capacity to enforce EU-level targets</w:t>
            </w:r>
            <w:r w:rsidR="00382038" w:rsidRPr="00D37004">
              <w:rPr>
                <w:noProof/>
                <w:sz w:val="20"/>
              </w:rPr>
              <w:t xml:space="preserve">; design of training programme; setting up the certification framework; developing and deploying the federation platform; </w:t>
            </w:r>
            <w:r w:rsidR="0028690F" w:rsidRPr="00D37004">
              <w:rPr>
                <w:noProof/>
                <w:sz w:val="20"/>
              </w:rPr>
              <w:t>setting up the voucher scheme for SMEs</w:t>
            </w:r>
            <w:r w:rsidR="0028690F">
              <w:rPr>
                <w:noProof/>
                <w:sz w:val="20"/>
              </w:rPr>
              <w:t xml:space="preserve">; </w:t>
            </w:r>
            <w:r w:rsidR="002749A8">
              <w:rPr>
                <w:noProof/>
                <w:sz w:val="20"/>
              </w:rPr>
              <w:t>setting up the cloud and AI toolbox</w:t>
            </w:r>
            <w:r w:rsidRPr="00D37004">
              <w:rPr>
                <w:noProof/>
                <w:sz w:val="20"/>
              </w:rPr>
              <w:t>)</w:t>
            </w:r>
          </w:p>
          <w:p w14:paraId="727DAD97" w14:textId="320152F2" w:rsidR="00A617D0" w:rsidRPr="00D37004" w:rsidRDefault="00A617D0">
            <w:pPr>
              <w:pStyle w:val="Text2"/>
              <w:spacing w:after="0"/>
              <w:ind w:left="254" w:hanging="254"/>
              <w:jc w:val="left"/>
              <w:rPr>
                <w:noProof/>
                <w:sz w:val="20"/>
              </w:rPr>
            </w:pPr>
            <w:r w:rsidRPr="00D37004">
              <w:rPr>
                <w:rFonts w:ascii="Symbol" w:eastAsia="Symbol" w:hAnsi="Symbol" w:cs="Symbol"/>
                <w:noProof/>
                <w:sz w:val="20"/>
              </w:rPr>
              <w:t></w:t>
            </w:r>
            <w:r w:rsidRPr="00D37004">
              <w:rPr>
                <w:noProof/>
                <w:sz w:val="20"/>
              </w:rPr>
              <w:t xml:space="preserve"> Enforcement costs (e.g. running EU-level infrastructure, defining targets and ensuring compliance)</w:t>
            </w:r>
          </w:p>
        </w:tc>
        <w:tc>
          <w:tcPr>
            <w:tcW w:w="3251" w:type="dxa"/>
          </w:tcPr>
          <w:p w14:paraId="5A7972DD" w14:textId="77777777" w:rsidR="00A617D0" w:rsidRPr="00D37004" w:rsidRDefault="00A617D0">
            <w:pPr>
              <w:pStyle w:val="Text2"/>
              <w:spacing w:after="0"/>
              <w:ind w:left="210" w:hanging="210"/>
              <w:jc w:val="left"/>
              <w:rPr>
                <w:noProof/>
                <w:sz w:val="20"/>
                <w:szCs w:val="16"/>
              </w:rPr>
            </w:pPr>
            <w:r w:rsidRPr="00D37004">
              <w:rPr>
                <w:rFonts w:ascii="Symbol" w:eastAsia="Symbol" w:hAnsi="Symbol" w:cs="Symbol"/>
                <w:noProof/>
                <w:sz w:val="20"/>
                <w:szCs w:val="16"/>
              </w:rPr>
              <w:t></w:t>
            </w:r>
            <w:r w:rsidRPr="00D37004">
              <w:rPr>
                <w:noProof/>
                <w:sz w:val="20"/>
                <w:szCs w:val="16"/>
              </w:rPr>
              <w:t xml:space="preserve"> Harmonisation of practices and approaches across the EU</w:t>
            </w:r>
          </w:p>
          <w:p w14:paraId="00386F9E" w14:textId="77777777" w:rsidR="00A617D0" w:rsidRPr="00D37004" w:rsidRDefault="00A617D0">
            <w:pPr>
              <w:pStyle w:val="Text2"/>
              <w:spacing w:after="0"/>
              <w:ind w:left="210" w:hanging="210"/>
              <w:jc w:val="left"/>
              <w:rPr>
                <w:noProof/>
                <w:sz w:val="20"/>
                <w:szCs w:val="16"/>
              </w:rPr>
            </w:pPr>
            <w:r w:rsidRPr="00D37004">
              <w:rPr>
                <w:rFonts w:ascii="Symbol" w:eastAsia="Symbol" w:hAnsi="Symbol" w:cs="Symbol"/>
                <w:noProof/>
                <w:sz w:val="20"/>
              </w:rPr>
              <w:t></w:t>
            </w:r>
            <w:r w:rsidRPr="00D37004">
              <w:rPr>
                <w:rFonts w:eastAsia="Symbol"/>
                <w:noProof/>
                <w:sz w:val="20"/>
                <w:szCs w:val="16"/>
              </w:rPr>
              <w:t xml:space="preserve"> </w:t>
            </w:r>
            <w:r w:rsidRPr="00D37004">
              <w:rPr>
                <w:noProof/>
                <w:sz w:val="20"/>
                <w:szCs w:val="16"/>
              </w:rPr>
              <w:t>Increased ability to steer the market towards EU priorities and accelerated innovation</w:t>
            </w:r>
          </w:p>
          <w:p w14:paraId="101EA005" w14:textId="77777777" w:rsidR="00C82F30" w:rsidRPr="00D37004" w:rsidRDefault="00A617D0" w:rsidP="00C82F30">
            <w:pPr>
              <w:pStyle w:val="Text2"/>
              <w:spacing w:after="0"/>
              <w:ind w:left="210" w:hanging="210"/>
              <w:jc w:val="left"/>
              <w:rPr>
                <w:noProof/>
                <w:sz w:val="20"/>
                <w:szCs w:val="16"/>
              </w:rPr>
            </w:pPr>
            <w:r w:rsidRPr="00D37004">
              <w:rPr>
                <w:rFonts w:ascii="Symbol" w:eastAsia="Symbol" w:hAnsi="Symbol" w:cs="Symbol"/>
                <w:noProof/>
                <w:sz w:val="20"/>
              </w:rPr>
              <w:t></w:t>
            </w:r>
            <w:r w:rsidRPr="00D37004">
              <w:rPr>
                <w:rFonts w:ascii="Symbol" w:eastAsia="Symbol" w:hAnsi="Symbol" w:cs="Symbol"/>
                <w:noProof/>
                <w:sz w:val="20"/>
              </w:rPr>
              <w:t></w:t>
            </w:r>
            <w:r w:rsidRPr="00D37004">
              <w:rPr>
                <w:noProof/>
                <w:sz w:val="20"/>
                <w:szCs w:val="16"/>
              </w:rPr>
              <w:t>Reduced duplication of efforts at   national level</w:t>
            </w:r>
          </w:p>
          <w:p w14:paraId="11AAFDDC" w14:textId="4A8146FA" w:rsidR="00C82F30" w:rsidRPr="00D37004" w:rsidRDefault="00C82F30" w:rsidP="009C6BBC">
            <w:pPr>
              <w:pStyle w:val="Text2"/>
              <w:spacing w:after="0"/>
              <w:ind w:left="210" w:hanging="210"/>
              <w:jc w:val="left"/>
              <w:rPr>
                <w:noProof/>
                <w:sz w:val="20"/>
                <w:szCs w:val="16"/>
              </w:rPr>
            </w:pPr>
            <w:r w:rsidRPr="00D37004">
              <w:rPr>
                <w:rFonts w:ascii="Symbol" w:eastAsia="Symbol" w:hAnsi="Symbol" w:cs="Symbol"/>
                <w:noProof/>
                <w:sz w:val="20"/>
              </w:rPr>
              <w:t></w:t>
            </w:r>
            <w:r w:rsidRPr="00D37004">
              <w:rPr>
                <w:rFonts w:ascii="Symbol" w:eastAsia="Symbol" w:hAnsi="Symbol" w:cs="Symbol"/>
                <w:noProof/>
                <w:sz w:val="20"/>
              </w:rPr>
              <w:t></w:t>
            </w:r>
            <w:r w:rsidRPr="00D37004">
              <w:rPr>
                <w:noProof/>
                <w:sz w:val="20"/>
              </w:rPr>
              <w:t xml:space="preserve">Faster and more reliable procurement processes;  </w:t>
            </w:r>
          </w:p>
          <w:p w14:paraId="67D9A8A0" w14:textId="77777777" w:rsidR="00C82F30" w:rsidRPr="00D37004" w:rsidRDefault="00C82F30" w:rsidP="00C82F30">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Reduced screening efforts and efforts needed to verify eligibility; </w:t>
            </w:r>
          </w:p>
          <w:p w14:paraId="2426FBD0" w14:textId="77777777" w:rsidR="00C82F30" w:rsidRPr="00D37004" w:rsidRDefault="00C82F30" w:rsidP="00C82F30">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Streamlined verification of compliance; </w:t>
            </w:r>
          </w:p>
          <w:p w14:paraId="06970D71" w14:textId="77777777" w:rsidR="00C82F30" w:rsidRPr="00D37004" w:rsidRDefault="00C82F30" w:rsidP="00C82F30">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Reduction of proprietary license expenditures and lower licensing costs;</w:t>
            </w:r>
          </w:p>
          <w:p w14:paraId="6BEB6856" w14:textId="77777777" w:rsidR="00C82F30" w:rsidRPr="00D37004" w:rsidRDefault="00C82F30" w:rsidP="00C82F30">
            <w:pPr>
              <w:pStyle w:val="Text2"/>
              <w:spacing w:after="0"/>
              <w:ind w:left="262" w:hanging="284"/>
              <w:jc w:val="left"/>
              <w:rPr>
                <w:noProof/>
                <w:sz w:val="20"/>
              </w:rPr>
            </w:pPr>
            <w:r w:rsidRPr="00D37004">
              <w:rPr>
                <w:rFonts w:ascii="Symbol" w:eastAsia="Symbol" w:hAnsi="Symbol" w:cs="Symbol"/>
                <w:noProof/>
                <w:sz w:val="20"/>
              </w:rPr>
              <w:t></w:t>
            </w:r>
            <w:r w:rsidRPr="00D37004">
              <w:rPr>
                <w:noProof/>
                <w:sz w:val="20"/>
              </w:rPr>
              <w:t xml:space="preserve"> Reduced duplication of work and efforts;</w:t>
            </w:r>
          </w:p>
          <w:p w14:paraId="410EA59A" w14:textId="77777777" w:rsidR="00C82F30" w:rsidRPr="00D37004" w:rsidRDefault="00C82F30" w:rsidP="00C82F30">
            <w:pPr>
              <w:pStyle w:val="Text2"/>
              <w:spacing w:after="0"/>
              <w:ind w:left="262" w:hanging="262"/>
              <w:jc w:val="left"/>
              <w:rPr>
                <w:noProof/>
                <w:sz w:val="20"/>
              </w:rPr>
            </w:pPr>
            <w:r w:rsidRPr="00D37004">
              <w:rPr>
                <w:rFonts w:ascii="Symbol" w:eastAsia="Symbol" w:hAnsi="Symbol" w:cs="Symbol"/>
                <w:noProof/>
                <w:sz w:val="20"/>
              </w:rPr>
              <w:t></w:t>
            </w:r>
            <w:r w:rsidRPr="00D37004">
              <w:rPr>
                <w:noProof/>
                <w:sz w:val="20"/>
              </w:rPr>
              <w:t xml:space="preserve"> Reduction of total cost of ownership for IT systems;</w:t>
            </w:r>
          </w:p>
          <w:p w14:paraId="0ABC8FE0" w14:textId="33851E2B" w:rsidR="00C82F30" w:rsidRPr="00D37004" w:rsidRDefault="00C82F30" w:rsidP="00C82F30">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Shorter procurement time for innovative solutions; reduced time needed to find providers</w:t>
            </w:r>
          </w:p>
          <w:p w14:paraId="01EDAC53" w14:textId="77777777" w:rsidR="00A617D0" w:rsidRPr="00D37004" w:rsidRDefault="00A617D0">
            <w:pPr>
              <w:pStyle w:val="Text2"/>
              <w:spacing w:after="0"/>
              <w:ind w:left="210" w:hanging="210"/>
              <w:jc w:val="left"/>
              <w:rPr>
                <w:noProof/>
                <w:sz w:val="20"/>
                <w:szCs w:val="16"/>
              </w:rPr>
            </w:pPr>
          </w:p>
        </w:tc>
      </w:tr>
      <w:tr w:rsidR="007C77D2" w:rsidRPr="00D37004" w14:paraId="194AB732" w14:textId="77777777" w:rsidTr="00B268C0">
        <w:trPr>
          <w:trHeight w:val="792"/>
        </w:trPr>
        <w:tc>
          <w:tcPr>
            <w:tcW w:w="1183" w:type="dxa"/>
          </w:tcPr>
          <w:p w14:paraId="7D15E871" w14:textId="77777777" w:rsidR="00A617D0" w:rsidRPr="00D37004" w:rsidRDefault="00A617D0">
            <w:pPr>
              <w:pStyle w:val="Text2"/>
              <w:spacing w:after="0"/>
              <w:ind w:left="0"/>
              <w:jc w:val="left"/>
              <w:rPr>
                <w:b/>
                <w:noProof/>
                <w:sz w:val="20"/>
                <w:szCs w:val="16"/>
              </w:rPr>
            </w:pPr>
            <w:r w:rsidRPr="00D37004">
              <w:rPr>
                <w:b/>
                <w:noProof/>
                <w:sz w:val="20"/>
                <w:szCs w:val="16"/>
              </w:rPr>
              <w:t xml:space="preserve">Consumers and citizens </w:t>
            </w:r>
          </w:p>
        </w:tc>
        <w:tc>
          <w:tcPr>
            <w:tcW w:w="1515" w:type="dxa"/>
          </w:tcPr>
          <w:p w14:paraId="4C833F53" w14:textId="77777777" w:rsidR="00A617D0" w:rsidRPr="00D37004" w:rsidRDefault="00A617D0">
            <w:pPr>
              <w:pStyle w:val="Text2"/>
              <w:spacing w:after="0"/>
              <w:ind w:left="0"/>
              <w:jc w:val="left"/>
              <w:rPr>
                <w:noProof/>
                <w:sz w:val="20"/>
                <w:szCs w:val="16"/>
              </w:rPr>
            </w:pPr>
            <w:r w:rsidRPr="00D37004">
              <w:rPr>
                <w:noProof/>
                <w:sz w:val="20"/>
                <w:szCs w:val="16"/>
              </w:rPr>
              <w:t>Consumers and citizens</w:t>
            </w:r>
          </w:p>
        </w:tc>
        <w:tc>
          <w:tcPr>
            <w:tcW w:w="3086" w:type="dxa"/>
          </w:tcPr>
          <w:p w14:paraId="6221445E" w14:textId="77777777" w:rsidR="00A617D0" w:rsidRPr="00D37004" w:rsidRDefault="00A617D0">
            <w:pPr>
              <w:pStyle w:val="Text2"/>
              <w:spacing w:after="0"/>
              <w:ind w:left="254" w:hanging="254"/>
              <w:jc w:val="left"/>
              <w:rPr>
                <w:noProof/>
                <w:sz w:val="20"/>
                <w:szCs w:val="16"/>
              </w:rPr>
            </w:pPr>
            <w:r w:rsidRPr="00D37004">
              <w:rPr>
                <w:rFonts w:ascii="Symbol" w:eastAsia="Symbol" w:hAnsi="Symbol" w:cs="Symbol"/>
                <w:noProof/>
                <w:sz w:val="20"/>
                <w:szCs w:val="16"/>
              </w:rPr>
              <w:t></w:t>
            </w:r>
            <w:r w:rsidRPr="00D37004">
              <w:rPr>
                <w:noProof/>
                <w:sz w:val="20"/>
                <w:szCs w:val="16"/>
              </w:rPr>
              <w:t xml:space="preserve"> Potential budgetary trade-offs from public funding </w:t>
            </w:r>
          </w:p>
          <w:p w14:paraId="630005E3" w14:textId="54091527" w:rsidR="00A617D0" w:rsidRPr="00D37004" w:rsidRDefault="00A617D0">
            <w:pPr>
              <w:pStyle w:val="Text2"/>
              <w:spacing w:after="0"/>
              <w:ind w:left="254" w:hanging="254"/>
              <w:jc w:val="left"/>
              <w:rPr>
                <w:noProof/>
                <w:sz w:val="20"/>
              </w:rPr>
            </w:pPr>
            <w:r w:rsidRPr="00D37004">
              <w:rPr>
                <w:rFonts w:ascii="Symbol" w:eastAsia="Symbol" w:hAnsi="Symbol" w:cs="Symbol"/>
                <w:noProof/>
                <w:sz w:val="20"/>
              </w:rPr>
              <w:t></w:t>
            </w:r>
            <w:r w:rsidRPr="00D37004">
              <w:rPr>
                <w:noProof/>
                <w:sz w:val="20"/>
              </w:rPr>
              <w:t xml:space="preserve"> Possible cost pass-through from compliance obligations to end users</w:t>
            </w:r>
          </w:p>
          <w:p w14:paraId="3148B599" w14:textId="796B93F7" w:rsidR="008E00E1" w:rsidRPr="00D37004" w:rsidRDefault="008E00E1">
            <w:pPr>
              <w:pStyle w:val="Text2"/>
              <w:spacing w:after="0"/>
              <w:ind w:left="254" w:hanging="254"/>
              <w:jc w:val="left"/>
              <w:rPr>
                <w:noProof/>
                <w:sz w:val="20"/>
              </w:rPr>
            </w:pPr>
            <w:r w:rsidRPr="00D37004">
              <w:rPr>
                <w:rFonts w:ascii="Symbol" w:eastAsia="Symbol" w:hAnsi="Symbol" w:cs="Symbol"/>
                <w:noProof/>
                <w:sz w:val="20"/>
              </w:rPr>
              <w:t></w:t>
            </w:r>
            <w:r w:rsidRPr="00D37004">
              <w:rPr>
                <w:noProof/>
                <w:sz w:val="20"/>
              </w:rPr>
              <w:t xml:space="preserve">  Higher prices</w:t>
            </w:r>
            <w:r w:rsidR="007B2213">
              <w:rPr>
                <w:rStyle w:val="FootnoteReference"/>
                <w:noProof/>
                <w:sz w:val="20"/>
              </w:rPr>
              <w:footnoteReference w:id="13"/>
            </w:r>
          </w:p>
        </w:tc>
        <w:tc>
          <w:tcPr>
            <w:tcW w:w="3251" w:type="dxa"/>
          </w:tcPr>
          <w:p w14:paraId="4D6B7431" w14:textId="77777777" w:rsidR="00A617D0" w:rsidRPr="00D37004" w:rsidRDefault="00A617D0">
            <w:pPr>
              <w:pStyle w:val="Text2"/>
              <w:spacing w:after="0"/>
              <w:ind w:left="210" w:hanging="210"/>
              <w:jc w:val="left"/>
              <w:rPr>
                <w:noProof/>
                <w:sz w:val="20"/>
                <w:szCs w:val="16"/>
              </w:rPr>
            </w:pPr>
            <w:r w:rsidRPr="00D37004">
              <w:rPr>
                <w:rFonts w:ascii="Symbol" w:eastAsia="Symbol" w:hAnsi="Symbol" w:cs="Symbol"/>
                <w:noProof/>
                <w:sz w:val="20"/>
                <w:szCs w:val="16"/>
              </w:rPr>
              <w:t></w:t>
            </w:r>
            <w:r w:rsidRPr="00D37004">
              <w:rPr>
                <w:noProof/>
                <w:sz w:val="20"/>
                <w:szCs w:val="16"/>
              </w:rPr>
              <w:t xml:space="preserve"> Improved transparency and stakeholder engagement </w:t>
            </w:r>
          </w:p>
          <w:p w14:paraId="0A1D623E" w14:textId="77777777" w:rsidR="00056394" w:rsidRDefault="00A617D0">
            <w:pPr>
              <w:pStyle w:val="Text2"/>
              <w:spacing w:after="0"/>
              <w:ind w:left="210" w:hanging="210"/>
              <w:jc w:val="left"/>
              <w:rPr>
                <w:noProof/>
                <w:sz w:val="20"/>
                <w:szCs w:val="16"/>
              </w:rPr>
            </w:pPr>
            <w:r w:rsidRPr="00D37004">
              <w:rPr>
                <w:rFonts w:ascii="Symbol" w:eastAsia="Symbol" w:hAnsi="Symbol" w:cs="Symbol"/>
                <w:noProof/>
                <w:sz w:val="20"/>
                <w:szCs w:val="16"/>
              </w:rPr>
              <w:t></w:t>
            </w:r>
            <w:r w:rsidRPr="00D37004">
              <w:rPr>
                <w:noProof/>
                <w:sz w:val="20"/>
                <w:szCs w:val="16"/>
              </w:rPr>
              <w:t xml:space="preserve"> Faster </w:t>
            </w:r>
            <w:r w:rsidR="00056394">
              <w:rPr>
                <w:noProof/>
                <w:sz w:val="20"/>
                <w:szCs w:val="16"/>
              </w:rPr>
              <w:t xml:space="preserve">and more sustainable </w:t>
            </w:r>
            <w:r w:rsidRPr="00D37004">
              <w:rPr>
                <w:noProof/>
                <w:sz w:val="20"/>
                <w:szCs w:val="16"/>
              </w:rPr>
              <w:t xml:space="preserve">roll-out of </w:t>
            </w:r>
            <w:r w:rsidR="00056394">
              <w:rPr>
                <w:noProof/>
                <w:sz w:val="20"/>
                <w:szCs w:val="16"/>
              </w:rPr>
              <w:t>digital infrastructure</w:t>
            </w:r>
          </w:p>
          <w:p w14:paraId="1312E4CC" w14:textId="19BD08E6" w:rsidR="00A617D0" w:rsidRPr="00D37004" w:rsidRDefault="00056394">
            <w:pPr>
              <w:pStyle w:val="Text2"/>
              <w:spacing w:after="0"/>
              <w:ind w:left="210" w:hanging="210"/>
              <w:jc w:val="left"/>
              <w:rPr>
                <w:noProof/>
                <w:sz w:val="20"/>
                <w:szCs w:val="16"/>
              </w:rPr>
            </w:pPr>
            <w:r w:rsidRPr="00D37004">
              <w:rPr>
                <w:rFonts w:ascii="Symbol" w:eastAsia="Symbol" w:hAnsi="Symbol" w:cs="Symbol"/>
                <w:noProof/>
                <w:sz w:val="20"/>
                <w:szCs w:val="16"/>
              </w:rPr>
              <w:t></w:t>
            </w:r>
            <w:r w:rsidRPr="00D37004">
              <w:rPr>
                <w:noProof/>
                <w:sz w:val="20"/>
                <w:szCs w:val="16"/>
              </w:rPr>
              <w:t xml:space="preserve"> </w:t>
            </w:r>
            <w:r>
              <w:rPr>
                <w:noProof/>
                <w:sz w:val="20"/>
                <w:szCs w:val="16"/>
              </w:rPr>
              <w:t>I</w:t>
            </w:r>
            <w:r w:rsidR="00A617D0" w:rsidRPr="00D37004">
              <w:rPr>
                <w:noProof/>
                <w:sz w:val="20"/>
                <w:szCs w:val="16"/>
              </w:rPr>
              <w:t>mproved digital service quality and lower costs</w:t>
            </w:r>
          </w:p>
          <w:p w14:paraId="6DAC38E5" w14:textId="32530D96" w:rsidR="009D64C8" w:rsidRPr="00D37004" w:rsidRDefault="009D64C8" w:rsidP="009D64C8">
            <w:pPr>
              <w:pStyle w:val="Text2"/>
              <w:spacing w:after="0"/>
              <w:ind w:left="210" w:hanging="210"/>
              <w:jc w:val="left"/>
              <w:rPr>
                <w:rFonts w:ascii="Symbol" w:eastAsia="Symbol" w:hAnsi="Symbol" w:cs="Symbol"/>
                <w:noProof/>
                <w:sz w:val="20"/>
              </w:rPr>
            </w:pPr>
            <w:r w:rsidRPr="00D37004">
              <w:rPr>
                <w:rFonts w:ascii="Symbol" w:eastAsia="Symbol" w:hAnsi="Symbol" w:cs="Symbol"/>
                <w:noProof/>
                <w:sz w:val="20"/>
              </w:rPr>
              <w:t></w:t>
            </w:r>
            <w:r w:rsidRPr="00D37004">
              <w:rPr>
                <w:rFonts w:ascii="Symbol" w:eastAsia="Symbol" w:hAnsi="Symbol" w:cs="Symbol"/>
                <w:noProof/>
                <w:sz w:val="20"/>
              </w:rPr>
              <w:t></w:t>
            </w:r>
            <w:r w:rsidRPr="00D37004">
              <w:rPr>
                <w:noProof/>
                <w:sz w:val="20"/>
              </w:rPr>
              <w:t>Improved transparency on security properties</w:t>
            </w:r>
          </w:p>
          <w:p w14:paraId="030F93F8" w14:textId="77777777" w:rsidR="009D64C8" w:rsidRPr="00D37004" w:rsidRDefault="009D64C8" w:rsidP="009D64C8">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Enhanced protection of fundamental rights, especially privacy and data protection  </w:t>
            </w:r>
          </w:p>
          <w:p w14:paraId="07AC3E6E" w14:textId="040B2D09" w:rsidR="009D64C8" w:rsidRPr="00D37004" w:rsidRDefault="009D64C8" w:rsidP="009D64C8">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Enhanced transparency and trust  </w:t>
            </w:r>
          </w:p>
          <w:p w14:paraId="75E3B151" w14:textId="3BCB5EB4" w:rsidR="009D64C8" w:rsidRPr="00D37004" w:rsidRDefault="009D64C8" w:rsidP="009D64C8">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Higher employability </w:t>
            </w:r>
          </w:p>
          <w:p w14:paraId="3B165977" w14:textId="03FCEE38" w:rsidR="009D64C8" w:rsidRPr="00D37004" w:rsidRDefault="009D64C8" w:rsidP="009D64C8">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G</w:t>
            </w:r>
            <w:bookmarkStart w:id="85" w:name="_Int_jujK2pW4"/>
            <w:r w:rsidRPr="00D37004">
              <w:rPr>
                <w:noProof/>
                <w:sz w:val="20"/>
              </w:rPr>
              <w:t>reater</w:t>
            </w:r>
            <w:bookmarkEnd w:id="85"/>
            <w:r w:rsidRPr="00D37004">
              <w:rPr>
                <w:noProof/>
                <w:sz w:val="20"/>
              </w:rPr>
              <w:t xml:space="preserve"> trust in public digital services</w:t>
            </w:r>
          </w:p>
          <w:p w14:paraId="2E554BD3" w14:textId="702E8501" w:rsidR="009D64C8" w:rsidRPr="00D37004" w:rsidRDefault="009D64C8" w:rsidP="009D64C8">
            <w:pPr>
              <w:pStyle w:val="Text2"/>
              <w:spacing w:after="0"/>
              <w:ind w:left="210" w:hanging="210"/>
              <w:jc w:val="left"/>
              <w:rPr>
                <w:noProof/>
                <w:sz w:val="20"/>
              </w:rPr>
            </w:pPr>
            <w:r w:rsidRPr="00D37004">
              <w:rPr>
                <w:rFonts w:ascii="Symbol" w:eastAsia="Symbol" w:hAnsi="Symbol" w:cs="Symbol"/>
                <w:noProof/>
                <w:sz w:val="20"/>
              </w:rPr>
              <w:t></w:t>
            </w:r>
            <w:r w:rsidRPr="00D37004">
              <w:rPr>
                <w:noProof/>
                <w:sz w:val="20"/>
              </w:rPr>
              <w:t xml:space="preserve"> Continuity and resilience of critical services, like health, defence, and finance </w:t>
            </w:r>
          </w:p>
        </w:tc>
      </w:tr>
    </w:tbl>
    <w:p w14:paraId="64620845" w14:textId="0759577E" w:rsidR="0079652E" w:rsidRPr="00D37004" w:rsidRDefault="0079652E" w:rsidP="0079652E">
      <w:pPr>
        <w:pStyle w:val="Text1"/>
        <w:spacing w:before="120" w:after="120"/>
        <w:ind w:left="0"/>
        <w:rPr>
          <w:noProof/>
        </w:rPr>
      </w:pPr>
      <w:r w:rsidRPr="00D37004">
        <w:rPr>
          <w:noProof/>
        </w:rPr>
        <w:t xml:space="preserve">This initiative </w:t>
      </w:r>
      <w:r w:rsidR="009B1043">
        <w:rPr>
          <w:noProof/>
        </w:rPr>
        <w:t>is expected to generate</w:t>
      </w:r>
      <w:r w:rsidR="009B1043" w:rsidRPr="00D37004">
        <w:rPr>
          <w:noProof/>
        </w:rPr>
        <w:t xml:space="preserve"> </w:t>
      </w:r>
      <w:r w:rsidRPr="00D37004">
        <w:rPr>
          <w:noProof/>
        </w:rPr>
        <w:t xml:space="preserve">costs for </w:t>
      </w:r>
      <w:r w:rsidRPr="00A92A5F">
        <w:rPr>
          <w:noProof/>
        </w:rPr>
        <w:t>data centre operators</w:t>
      </w:r>
      <w:r w:rsidRPr="005E367A">
        <w:rPr>
          <w:bCs/>
          <w:noProof/>
        </w:rPr>
        <w:t xml:space="preserve"> and </w:t>
      </w:r>
      <w:r w:rsidRPr="00A92A5F">
        <w:rPr>
          <w:noProof/>
        </w:rPr>
        <w:t xml:space="preserve">cloud and AI computing service providers, </w:t>
      </w:r>
      <w:r w:rsidRPr="005E367A">
        <w:rPr>
          <w:bCs/>
          <w:noProof/>
        </w:rPr>
        <w:t xml:space="preserve">but </w:t>
      </w:r>
      <w:r w:rsidR="009B1043">
        <w:rPr>
          <w:bCs/>
          <w:noProof/>
        </w:rPr>
        <w:t>also</w:t>
      </w:r>
      <w:r w:rsidR="009B1043" w:rsidRPr="005E367A">
        <w:rPr>
          <w:bCs/>
          <w:noProof/>
        </w:rPr>
        <w:t xml:space="preserve"> </w:t>
      </w:r>
      <w:r w:rsidRPr="005E367A">
        <w:rPr>
          <w:bCs/>
          <w:noProof/>
        </w:rPr>
        <w:t>significant</w:t>
      </w:r>
      <w:r w:rsidRPr="00D37004">
        <w:rPr>
          <w:noProof/>
        </w:rPr>
        <w:t xml:space="preserve"> savings</w:t>
      </w:r>
      <w:r w:rsidR="009B1043">
        <w:rPr>
          <w:noProof/>
        </w:rPr>
        <w:t xml:space="preserve"> and direct economic benefits</w:t>
      </w:r>
      <w:r w:rsidRPr="00D37004">
        <w:rPr>
          <w:noProof/>
        </w:rPr>
        <w:t xml:space="preserve">. While administrative and adjustment costs arise from, </w:t>
      </w:r>
      <w:r w:rsidRPr="00A92A5F">
        <w:rPr>
          <w:i/>
          <w:noProof/>
        </w:rPr>
        <w:t>inter alia</w:t>
      </w:r>
      <w:r w:rsidRPr="00D37004">
        <w:rPr>
          <w:noProof/>
        </w:rPr>
        <w:t xml:space="preserve">, participation in funding programmes and fast-track permitting procedures, or from the </w:t>
      </w:r>
      <w:r w:rsidR="008249A9">
        <w:rPr>
          <w:noProof/>
        </w:rPr>
        <w:t>audit procedures</w:t>
      </w:r>
      <w:r w:rsidR="00325F95">
        <w:rPr>
          <w:noProof/>
        </w:rPr>
        <w:t xml:space="preserve"> and risk assessments,</w:t>
      </w:r>
      <w:r w:rsidRPr="00D37004">
        <w:rPr>
          <w:noProof/>
        </w:rPr>
        <w:t xml:space="preserve"> these are offset by the efficiencies and benefits that emerge from administrative simplification, reduced fragmentation of national approaches</w:t>
      </w:r>
      <w:r w:rsidR="009B1043">
        <w:rPr>
          <w:noProof/>
        </w:rPr>
        <w:t>,</w:t>
      </w:r>
      <w:r w:rsidR="009B1043" w:rsidRPr="009B1043">
        <w:rPr>
          <w:noProof/>
        </w:rPr>
        <w:t xml:space="preserve"> </w:t>
      </w:r>
      <w:r w:rsidRPr="00D37004">
        <w:rPr>
          <w:noProof/>
        </w:rPr>
        <w:t xml:space="preserve">and greater incentives for investments, improving </w:t>
      </w:r>
      <w:r w:rsidR="00407646">
        <w:rPr>
          <w:noProof/>
        </w:rPr>
        <w:t>the attractiveness of</w:t>
      </w:r>
      <w:r w:rsidRPr="00D37004">
        <w:rPr>
          <w:noProof/>
        </w:rPr>
        <w:t xml:space="preserve"> the </w:t>
      </w:r>
      <w:r w:rsidR="00B5273D">
        <w:rPr>
          <w:noProof/>
        </w:rPr>
        <w:t>S</w:t>
      </w:r>
      <w:r w:rsidRPr="00D37004">
        <w:rPr>
          <w:noProof/>
        </w:rPr>
        <w:t xml:space="preserve">ingle </w:t>
      </w:r>
      <w:r w:rsidR="00B5273D">
        <w:rPr>
          <w:noProof/>
        </w:rPr>
        <w:t>M</w:t>
      </w:r>
      <w:r w:rsidRPr="00D37004">
        <w:rPr>
          <w:noProof/>
        </w:rPr>
        <w:t>arket.</w:t>
      </w:r>
      <w:r>
        <w:rPr>
          <w:noProof/>
        </w:rPr>
        <w:t xml:space="preserve"> </w:t>
      </w:r>
    </w:p>
    <w:p w14:paraId="7C0DB772" w14:textId="7D075186" w:rsidR="001661F5" w:rsidRPr="00D37004" w:rsidRDefault="000354A0" w:rsidP="00A92A5F">
      <w:pPr>
        <w:pStyle w:val="Text1"/>
        <w:spacing w:after="120"/>
        <w:ind w:left="0"/>
        <w:rPr>
          <w:noProof/>
        </w:rPr>
      </w:pPr>
      <w:r w:rsidRPr="00D37004">
        <w:rPr>
          <w:noProof/>
        </w:rPr>
        <w:t xml:space="preserve">National public authorities </w:t>
      </w:r>
      <w:r w:rsidR="005E367A">
        <w:rPr>
          <w:noProof/>
        </w:rPr>
        <w:t>are expected to</w:t>
      </w:r>
      <w:r w:rsidR="00EF407A" w:rsidRPr="00D37004">
        <w:rPr>
          <w:noProof/>
        </w:rPr>
        <w:t xml:space="preserve"> incur</w:t>
      </w:r>
      <w:r w:rsidR="19D239E6" w:rsidRPr="00D37004">
        <w:rPr>
          <w:noProof/>
        </w:rPr>
        <w:t xml:space="preserve"> administrative and adjustment costs for </w:t>
      </w:r>
      <w:r w:rsidR="128EC3DA" w:rsidRPr="00D37004">
        <w:rPr>
          <w:noProof/>
        </w:rPr>
        <w:t xml:space="preserve">assessing </w:t>
      </w:r>
      <w:r w:rsidR="0ED52E3F" w:rsidRPr="00D37004">
        <w:rPr>
          <w:noProof/>
        </w:rPr>
        <w:t>applications for support measures</w:t>
      </w:r>
      <w:r w:rsidR="43A60751" w:rsidRPr="00D37004">
        <w:rPr>
          <w:noProof/>
        </w:rPr>
        <w:t xml:space="preserve"> and permitting,</w:t>
      </w:r>
      <w:r w:rsidR="6A1DC4A5" w:rsidRPr="00D37004">
        <w:rPr>
          <w:noProof/>
        </w:rPr>
        <w:t xml:space="preserve"> planning resources for fast-track areas,</w:t>
      </w:r>
      <w:r w:rsidR="0ED52E3F" w:rsidRPr="00D37004">
        <w:rPr>
          <w:noProof/>
        </w:rPr>
        <w:t xml:space="preserve"> monitoring </w:t>
      </w:r>
      <w:r w:rsidR="72B95D5C" w:rsidRPr="00D37004">
        <w:rPr>
          <w:noProof/>
        </w:rPr>
        <w:t>compliance</w:t>
      </w:r>
      <w:r w:rsidR="08A1D6FC" w:rsidRPr="00D37004">
        <w:rPr>
          <w:noProof/>
        </w:rPr>
        <w:t xml:space="preserve">, and </w:t>
      </w:r>
      <w:r w:rsidR="2DDF4AE6" w:rsidRPr="00D37004">
        <w:rPr>
          <w:noProof/>
        </w:rPr>
        <w:t>participating</w:t>
      </w:r>
      <w:r w:rsidR="08A1D6FC" w:rsidRPr="00D37004">
        <w:rPr>
          <w:noProof/>
        </w:rPr>
        <w:t xml:space="preserve"> </w:t>
      </w:r>
      <w:r w:rsidR="463D2D9F" w:rsidRPr="00D37004">
        <w:rPr>
          <w:noProof/>
        </w:rPr>
        <w:t xml:space="preserve">in </w:t>
      </w:r>
      <w:r w:rsidR="570217CD" w:rsidRPr="00D37004">
        <w:rPr>
          <w:noProof/>
        </w:rPr>
        <w:t xml:space="preserve">the </w:t>
      </w:r>
      <w:r w:rsidR="00625D10">
        <w:rPr>
          <w:noProof/>
        </w:rPr>
        <w:t>c</w:t>
      </w:r>
      <w:r w:rsidR="570217CD" w:rsidRPr="00D37004">
        <w:rPr>
          <w:noProof/>
        </w:rPr>
        <w:t xml:space="preserve">loud </w:t>
      </w:r>
      <w:r w:rsidR="00625D10">
        <w:rPr>
          <w:noProof/>
        </w:rPr>
        <w:t>f</w:t>
      </w:r>
      <w:r w:rsidR="08A1D6FC" w:rsidRPr="00D37004">
        <w:rPr>
          <w:noProof/>
        </w:rPr>
        <w:t>ederation</w:t>
      </w:r>
      <w:r w:rsidR="3B2F0EBB" w:rsidRPr="00D37004">
        <w:rPr>
          <w:noProof/>
        </w:rPr>
        <w:t>.</w:t>
      </w:r>
      <w:r w:rsidR="4DD0037D" w:rsidRPr="00D37004">
        <w:rPr>
          <w:noProof/>
        </w:rPr>
        <w:t xml:space="preserve"> </w:t>
      </w:r>
      <w:r w:rsidR="03C82521" w:rsidRPr="00D37004">
        <w:rPr>
          <w:noProof/>
        </w:rPr>
        <w:t>However, these costs are balanced by significant savings resulting from reduced inefficiencies and duplications cause</w:t>
      </w:r>
      <w:r w:rsidR="73E039A2" w:rsidRPr="00D37004">
        <w:rPr>
          <w:noProof/>
        </w:rPr>
        <w:t>d</w:t>
      </w:r>
      <w:r w:rsidR="03C82521" w:rsidRPr="00D37004">
        <w:rPr>
          <w:noProof/>
        </w:rPr>
        <w:t xml:space="preserve"> by the lack of </w:t>
      </w:r>
      <w:r w:rsidR="005E367A" w:rsidRPr="00D37004">
        <w:rPr>
          <w:noProof/>
        </w:rPr>
        <w:t>harmoni</w:t>
      </w:r>
      <w:r w:rsidR="005E367A">
        <w:rPr>
          <w:noProof/>
        </w:rPr>
        <w:t>s</w:t>
      </w:r>
      <w:r w:rsidR="005E367A" w:rsidRPr="00D37004">
        <w:rPr>
          <w:noProof/>
        </w:rPr>
        <w:t>ation</w:t>
      </w:r>
      <w:r w:rsidR="03C82521" w:rsidRPr="00D37004">
        <w:rPr>
          <w:noProof/>
        </w:rPr>
        <w:t xml:space="preserve">. </w:t>
      </w:r>
      <w:r w:rsidR="051F9643" w:rsidRPr="00D37004">
        <w:rPr>
          <w:noProof/>
        </w:rPr>
        <w:t>National public authorities will also directly benefit from open</w:t>
      </w:r>
      <w:r w:rsidR="00625D10">
        <w:rPr>
          <w:noProof/>
        </w:rPr>
        <w:t xml:space="preserve"> </w:t>
      </w:r>
      <w:r w:rsidR="051F9643" w:rsidRPr="00D37004">
        <w:rPr>
          <w:noProof/>
        </w:rPr>
        <w:t xml:space="preserve">source solutions as well as </w:t>
      </w:r>
      <w:r w:rsidR="00F52302" w:rsidRPr="00D37004">
        <w:rPr>
          <w:noProof/>
        </w:rPr>
        <w:t xml:space="preserve">indirectly </w:t>
      </w:r>
      <w:r w:rsidR="051F9643" w:rsidRPr="00D37004">
        <w:rPr>
          <w:noProof/>
        </w:rPr>
        <w:t xml:space="preserve">from </w:t>
      </w:r>
      <w:r w:rsidR="2857BE1A" w:rsidRPr="00D37004">
        <w:rPr>
          <w:noProof/>
        </w:rPr>
        <w:t xml:space="preserve">additional cloud and AI capacity at lower costs. Ultimately, this initiative </w:t>
      </w:r>
      <w:r w:rsidR="00F722D9">
        <w:rPr>
          <w:noProof/>
        </w:rPr>
        <w:t>aims to</w:t>
      </w:r>
      <w:r w:rsidR="2857BE1A" w:rsidRPr="00D37004">
        <w:rPr>
          <w:noProof/>
        </w:rPr>
        <w:t xml:space="preserve"> support the digital transformation</w:t>
      </w:r>
      <w:r w:rsidR="008376FF">
        <w:rPr>
          <w:noProof/>
        </w:rPr>
        <w:t xml:space="preserve"> and resilience</w:t>
      </w:r>
      <w:r w:rsidR="2857BE1A" w:rsidRPr="00D37004">
        <w:rPr>
          <w:noProof/>
        </w:rPr>
        <w:t xml:space="preserve"> of public author</w:t>
      </w:r>
      <w:r w:rsidR="6BFEB6A6" w:rsidRPr="00D37004">
        <w:rPr>
          <w:noProof/>
        </w:rPr>
        <w:t xml:space="preserve">ities. </w:t>
      </w:r>
      <w:r w:rsidR="2109ED4E" w:rsidRPr="00D37004">
        <w:rPr>
          <w:noProof/>
        </w:rPr>
        <w:t>Moreover</w:t>
      </w:r>
      <w:r w:rsidR="6BFEB6A6" w:rsidRPr="00D37004">
        <w:rPr>
          <w:noProof/>
        </w:rPr>
        <w:t xml:space="preserve">, while some Member States might need </w:t>
      </w:r>
      <w:r w:rsidR="6ED1C304" w:rsidRPr="00D37004">
        <w:rPr>
          <w:noProof/>
        </w:rPr>
        <w:t>a</w:t>
      </w:r>
      <w:r w:rsidR="6BFEB6A6" w:rsidRPr="00D37004">
        <w:rPr>
          <w:noProof/>
        </w:rPr>
        <w:t xml:space="preserve"> reinforcement of capabilities, </w:t>
      </w:r>
      <w:r w:rsidR="760303F0" w:rsidRPr="00D37004">
        <w:rPr>
          <w:noProof/>
        </w:rPr>
        <w:t>t</w:t>
      </w:r>
      <w:r w:rsidR="49AFA30D" w:rsidRPr="00D37004">
        <w:rPr>
          <w:noProof/>
        </w:rPr>
        <w:t xml:space="preserve">he EU would bear </w:t>
      </w:r>
      <w:r w:rsidR="00325F95">
        <w:rPr>
          <w:noProof/>
        </w:rPr>
        <w:t>the</w:t>
      </w:r>
      <w:r w:rsidR="49AFA30D" w:rsidRPr="00D37004">
        <w:rPr>
          <w:noProof/>
        </w:rPr>
        <w:t xml:space="preserve"> cost of oversight, </w:t>
      </w:r>
      <w:r w:rsidR="00FA3DAC">
        <w:rPr>
          <w:noProof/>
        </w:rPr>
        <w:t xml:space="preserve">with the aim to create </w:t>
      </w:r>
      <w:r w:rsidR="49AFA30D" w:rsidRPr="00D37004">
        <w:rPr>
          <w:noProof/>
        </w:rPr>
        <w:t>efficiency gains in the cooperation across Member States.</w:t>
      </w:r>
      <w:r w:rsidR="001371E4" w:rsidRPr="00D37004">
        <w:rPr>
          <w:noProof/>
        </w:rPr>
        <w:t xml:space="preserve"> </w:t>
      </w:r>
      <w:r w:rsidR="00FA3DAC">
        <w:rPr>
          <w:noProof/>
        </w:rPr>
        <w:t>The</w:t>
      </w:r>
      <w:r w:rsidR="65633731" w:rsidRPr="00D37004">
        <w:rPr>
          <w:noProof/>
        </w:rPr>
        <w:t xml:space="preserve"> </w:t>
      </w:r>
      <w:r w:rsidR="5F5C1575" w:rsidRPr="00D37004">
        <w:rPr>
          <w:noProof/>
        </w:rPr>
        <w:t xml:space="preserve">administrative and adjustment costs borne by the </w:t>
      </w:r>
      <w:r w:rsidR="65633731" w:rsidRPr="00D37004">
        <w:rPr>
          <w:noProof/>
        </w:rPr>
        <w:t>European Commission</w:t>
      </w:r>
      <w:r w:rsidR="67163D9A" w:rsidRPr="00D37004">
        <w:rPr>
          <w:b/>
          <w:noProof/>
        </w:rPr>
        <w:t xml:space="preserve">, </w:t>
      </w:r>
      <w:r w:rsidR="67163D9A" w:rsidRPr="00D37004">
        <w:rPr>
          <w:noProof/>
        </w:rPr>
        <w:t xml:space="preserve">related to the implementation of the measures and their supervision </w:t>
      </w:r>
      <w:r w:rsidR="0C5640B1" w:rsidRPr="00D37004">
        <w:rPr>
          <w:noProof/>
        </w:rPr>
        <w:t xml:space="preserve">are expected to be outweighed by </w:t>
      </w:r>
      <w:r w:rsidR="008376FF">
        <w:rPr>
          <w:noProof/>
        </w:rPr>
        <w:t>significant</w:t>
      </w:r>
      <w:r w:rsidR="008376FF" w:rsidRPr="00D37004">
        <w:rPr>
          <w:noProof/>
        </w:rPr>
        <w:t xml:space="preserve"> </w:t>
      </w:r>
      <w:r w:rsidR="00947B3E">
        <w:rPr>
          <w:noProof/>
        </w:rPr>
        <w:t xml:space="preserve">long-term benefits. </w:t>
      </w:r>
      <w:r w:rsidR="0079652E">
        <w:rPr>
          <w:noProof/>
        </w:rPr>
        <w:t>S</w:t>
      </w:r>
      <w:r w:rsidR="65633731" w:rsidRPr="00D37004">
        <w:rPr>
          <w:noProof/>
        </w:rPr>
        <w:t xml:space="preserve">ociety </w:t>
      </w:r>
      <w:r w:rsidR="00F52302" w:rsidRPr="00D37004">
        <w:rPr>
          <w:noProof/>
        </w:rPr>
        <w:t>at large</w:t>
      </w:r>
      <w:r w:rsidR="083B4D98" w:rsidRPr="00D37004">
        <w:rPr>
          <w:noProof/>
        </w:rPr>
        <w:t xml:space="preserve"> </w:t>
      </w:r>
      <w:r w:rsidR="0079652E">
        <w:rPr>
          <w:noProof/>
        </w:rPr>
        <w:t>is expected to</w:t>
      </w:r>
      <w:r w:rsidR="083B4D98" w:rsidRPr="00D37004">
        <w:rPr>
          <w:noProof/>
        </w:rPr>
        <w:t xml:space="preserve"> benefit from the wider availability of digital services,</w:t>
      </w:r>
      <w:r w:rsidR="00FA3DAC">
        <w:rPr>
          <w:noProof/>
        </w:rPr>
        <w:t xml:space="preserve"> </w:t>
      </w:r>
      <w:r w:rsidR="42DC1650" w:rsidRPr="00D37004">
        <w:rPr>
          <w:noProof/>
        </w:rPr>
        <w:t>underpinned by robust digital infrastructures. As the same time, the deployment of sustainable infrastructures will accelerate the green transition, ensuring that digitalisation goes hand in hand with environmental responsibility.</w:t>
      </w:r>
    </w:p>
    <w:p w14:paraId="0F0BA4C7" w14:textId="3D0FE605" w:rsidR="008F73F7" w:rsidRPr="00A92A5F" w:rsidRDefault="0079652E" w:rsidP="00A92A5F">
      <w:pPr>
        <w:pStyle w:val="Text2"/>
        <w:ind w:left="0"/>
        <w:rPr>
          <w:noProof/>
          <w:color w:val="000000" w:themeColor="text1"/>
        </w:rPr>
      </w:pPr>
      <w:r w:rsidRPr="06173760">
        <w:rPr>
          <w:noProof/>
          <w:color w:val="000000" w:themeColor="text1"/>
        </w:rPr>
        <w:t xml:space="preserve">The assessment of the impacts draws on multiple data sources, including the targeted stakeholder consultation (interviews and surveys), the public consultation, and desk research in the context of the impact assessment support study. To the extent possible, the impacts are quantified based on available assessments or modelling by </w:t>
      </w:r>
      <w:r w:rsidR="00EF6CD1">
        <w:rPr>
          <w:noProof/>
          <w:color w:val="000000" w:themeColor="text1"/>
        </w:rPr>
        <w:t>Technopolis et al. (2025)</w:t>
      </w:r>
      <w:r w:rsidR="00EF6CD1">
        <w:rPr>
          <w:rStyle w:val="FootnoteReference"/>
          <w:noProof/>
          <w:color w:val="000000" w:themeColor="text1"/>
        </w:rPr>
        <w:footnoteReference w:id="14"/>
      </w:r>
      <w:r w:rsidRPr="06173760">
        <w:rPr>
          <w:noProof/>
          <w:color w:val="000000" w:themeColor="text1"/>
        </w:rPr>
        <w:t>. Where dedicated modelling was not possible due to the lack of tools or data, a qualitative assessment was performed, based on existing studies and input from stakeholders. Annex 4 provides further details on the methodological approach, detailed tables and estimates.</w:t>
      </w:r>
    </w:p>
    <w:p w14:paraId="712E3F1B" w14:textId="15173E57" w:rsidR="00E42CFE" w:rsidRPr="00F92EAE" w:rsidRDefault="00E42CFE" w:rsidP="00744B72">
      <w:pPr>
        <w:pStyle w:val="Heading1"/>
        <w:numPr>
          <w:ilvl w:val="0"/>
          <w:numId w:val="19"/>
        </w:numPr>
        <w:rPr>
          <w:noProof/>
        </w:rPr>
      </w:pPr>
      <w:bookmarkStart w:id="86" w:name="_Toc195101108"/>
      <w:bookmarkStart w:id="87" w:name="_Toc216283345"/>
      <w:bookmarkStart w:id="88" w:name="_Toc228346900"/>
      <w:r w:rsidRPr="001D1BEE">
        <w:rPr>
          <w:noProof/>
          <w:lang w:val="en-IE"/>
        </w:rPr>
        <w:t>Summary</w:t>
      </w:r>
      <w:r w:rsidRPr="00F92EAE">
        <w:rPr>
          <w:noProof/>
        </w:rPr>
        <w:t xml:space="preserve"> of costs and benefits</w:t>
      </w:r>
      <w:bookmarkEnd w:id="86"/>
      <w:bookmarkEnd w:id="87"/>
      <w:bookmarkEnd w:id="88"/>
    </w:p>
    <w:tbl>
      <w:tblPr>
        <w:tblStyle w:val="CV12"/>
        <w:tblpPr w:leftFromText="180" w:rightFromText="180" w:vertAnchor="text" w:tblpXSpec="right" w:tblpY="1"/>
        <w:tblOverlap w:val="never"/>
        <w:tblW w:w="101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962"/>
        <w:gridCol w:w="1701"/>
        <w:gridCol w:w="5471"/>
      </w:tblGrid>
      <w:tr w:rsidR="00096EAD" w:rsidRPr="00F92EAE" w14:paraId="05E290AF" w14:textId="77777777" w:rsidTr="00B268C0">
        <w:trPr>
          <w:tblHeader/>
        </w:trPr>
        <w:tc>
          <w:tcPr>
            <w:tcW w:w="10134" w:type="dxa"/>
            <w:gridSpan w:val="3"/>
            <w:tcBorders>
              <w:top w:val="double" w:sz="4" w:space="0" w:color="auto"/>
              <w:bottom w:val="single" w:sz="4" w:space="0" w:color="auto"/>
            </w:tcBorders>
            <w:shd w:val="clear" w:color="auto" w:fill="C6D9F1" w:themeFill="text2" w:themeFillTint="33"/>
          </w:tcPr>
          <w:p w14:paraId="76C886A6" w14:textId="287118F7" w:rsidR="00E42CFE" w:rsidRPr="00F92EAE" w:rsidRDefault="00E42CFE">
            <w:pPr>
              <w:spacing w:after="0"/>
              <w:rPr>
                <w:b/>
                <w:noProof/>
                <w:sz w:val="20"/>
              </w:rPr>
            </w:pPr>
            <w:r w:rsidRPr="00F92EAE">
              <w:rPr>
                <w:b/>
                <w:noProof/>
                <w:sz w:val="20"/>
              </w:rPr>
              <w:t xml:space="preserve">I. Overview of </w:t>
            </w:r>
            <w:r w:rsidR="00D70B38">
              <w:rPr>
                <w:b/>
                <w:noProof/>
                <w:sz w:val="20"/>
              </w:rPr>
              <w:t xml:space="preserve">Expected </w:t>
            </w:r>
            <w:r w:rsidRPr="00F92EAE">
              <w:rPr>
                <w:b/>
                <w:noProof/>
                <w:sz w:val="20"/>
              </w:rPr>
              <w:t>Benefits (total for all provisions) – Preferred Option</w:t>
            </w:r>
            <w:r w:rsidR="003D1C5A">
              <w:rPr>
                <w:b/>
                <w:noProof/>
                <w:sz w:val="20"/>
              </w:rPr>
              <w:t xml:space="preserve"> </w:t>
            </w:r>
          </w:p>
        </w:tc>
      </w:tr>
      <w:tr w:rsidR="00871EF9" w:rsidRPr="00F92EAE" w14:paraId="17195A89" w14:textId="77777777" w:rsidTr="008D406C">
        <w:trPr>
          <w:tblHeader/>
        </w:trPr>
        <w:tc>
          <w:tcPr>
            <w:tcW w:w="2962" w:type="dxa"/>
            <w:tcBorders>
              <w:top w:val="single" w:sz="4" w:space="0" w:color="auto"/>
            </w:tcBorders>
            <w:shd w:val="clear" w:color="auto" w:fill="C6D9F1" w:themeFill="text2" w:themeFillTint="33"/>
            <w:vAlign w:val="center"/>
          </w:tcPr>
          <w:p w14:paraId="5FD53F25" w14:textId="77777777" w:rsidR="00E42CFE" w:rsidRPr="00F92EAE" w:rsidRDefault="00E42CFE" w:rsidP="00845EE0">
            <w:pPr>
              <w:spacing w:after="0"/>
              <w:jc w:val="center"/>
              <w:rPr>
                <w:b/>
                <w:i/>
                <w:noProof/>
                <w:sz w:val="20"/>
              </w:rPr>
            </w:pPr>
            <w:r w:rsidRPr="00F92EAE">
              <w:rPr>
                <w:b/>
                <w:i/>
                <w:noProof/>
                <w:sz w:val="20"/>
              </w:rPr>
              <w:t>Description</w:t>
            </w:r>
          </w:p>
        </w:tc>
        <w:tc>
          <w:tcPr>
            <w:tcW w:w="1701" w:type="dxa"/>
            <w:tcBorders>
              <w:top w:val="single" w:sz="4" w:space="0" w:color="auto"/>
            </w:tcBorders>
            <w:shd w:val="clear" w:color="auto" w:fill="C6D9F1" w:themeFill="text2" w:themeFillTint="33"/>
            <w:vAlign w:val="center"/>
          </w:tcPr>
          <w:p w14:paraId="12E469C7" w14:textId="3BF994FA" w:rsidR="00E42CFE" w:rsidRPr="00F92EAE" w:rsidRDefault="00845EE0" w:rsidP="00845EE0">
            <w:pPr>
              <w:spacing w:after="0"/>
              <w:jc w:val="center"/>
              <w:rPr>
                <w:b/>
                <w:i/>
                <w:noProof/>
                <w:sz w:val="20"/>
              </w:rPr>
            </w:pPr>
            <w:r>
              <w:rPr>
                <w:b/>
                <w:i/>
                <w:noProof/>
                <w:sz w:val="20"/>
              </w:rPr>
              <w:t xml:space="preserve">Indicative range      </w:t>
            </w:r>
            <w:r w:rsidR="00343F9A" w:rsidRPr="008D0BAC">
              <w:rPr>
                <w:bCs/>
                <w:i/>
                <w:noProof/>
                <w:sz w:val="20"/>
              </w:rPr>
              <w:t>(NPV 10-years)</w:t>
            </w:r>
          </w:p>
        </w:tc>
        <w:tc>
          <w:tcPr>
            <w:tcW w:w="5471" w:type="dxa"/>
            <w:tcBorders>
              <w:top w:val="single" w:sz="4" w:space="0" w:color="auto"/>
            </w:tcBorders>
            <w:shd w:val="clear" w:color="auto" w:fill="C6D9F1" w:themeFill="text2" w:themeFillTint="33"/>
            <w:tcMar>
              <w:top w:w="57" w:type="dxa"/>
              <w:left w:w="57" w:type="dxa"/>
              <w:bottom w:w="57" w:type="dxa"/>
              <w:right w:w="57" w:type="dxa"/>
            </w:tcMar>
            <w:vAlign w:val="center"/>
          </w:tcPr>
          <w:p w14:paraId="5FBAAA05" w14:textId="77777777" w:rsidR="00E42CFE" w:rsidRPr="00F92EAE" w:rsidRDefault="00E42CFE" w:rsidP="00845EE0">
            <w:pPr>
              <w:spacing w:after="0"/>
              <w:jc w:val="center"/>
              <w:rPr>
                <w:b/>
                <w:i/>
                <w:noProof/>
                <w:sz w:val="20"/>
              </w:rPr>
            </w:pPr>
            <w:r w:rsidRPr="00F92EAE">
              <w:rPr>
                <w:b/>
                <w:i/>
                <w:noProof/>
                <w:sz w:val="20"/>
              </w:rPr>
              <w:t>Comments</w:t>
            </w:r>
          </w:p>
        </w:tc>
      </w:tr>
      <w:tr w:rsidR="004D5417" w:rsidRPr="00F92EAE" w14:paraId="65A0576B" w14:textId="77777777" w:rsidTr="000577BA">
        <w:tc>
          <w:tcPr>
            <w:tcW w:w="10134" w:type="dxa"/>
            <w:gridSpan w:val="3"/>
            <w:tcBorders>
              <w:top w:val="double" w:sz="4" w:space="0" w:color="auto"/>
            </w:tcBorders>
            <w:shd w:val="clear" w:color="auto" w:fill="F2F2F2" w:themeFill="background1" w:themeFillShade="F2"/>
          </w:tcPr>
          <w:p w14:paraId="42B2EFA5" w14:textId="77777777" w:rsidR="00E42CFE" w:rsidRPr="00F92EAE" w:rsidRDefault="00E42CFE">
            <w:pPr>
              <w:spacing w:after="0"/>
              <w:jc w:val="center"/>
              <w:rPr>
                <w:b/>
                <w:i/>
                <w:noProof/>
                <w:sz w:val="20"/>
              </w:rPr>
            </w:pPr>
            <w:r w:rsidRPr="00F92EAE">
              <w:rPr>
                <w:b/>
                <w:i/>
                <w:noProof/>
                <w:sz w:val="20"/>
              </w:rPr>
              <w:t>Direct benefits</w:t>
            </w:r>
          </w:p>
        </w:tc>
      </w:tr>
      <w:tr w:rsidR="00FE5436" w:rsidRPr="00F92EAE" w14:paraId="4FD63956" w14:textId="77777777" w:rsidTr="00FE5436">
        <w:tc>
          <w:tcPr>
            <w:tcW w:w="2962" w:type="dxa"/>
            <w:tcBorders>
              <w:top w:val="double" w:sz="4" w:space="0" w:color="auto"/>
              <w:bottom w:val="single" w:sz="4" w:space="0" w:color="auto"/>
            </w:tcBorders>
          </w:tcPr>
          <w:p w14:paraId="534692D7" w14:textId="1475CCF6" w:rsidR="00E42CFE" w:rsidRPr="00F92EAE" w:rsidRDefault="00C75E2E">
            <w:pPr>
              <w:spacing w:after="0"/>
              <w:rPr>
                <w:noProof/>
                <w:sz w:val="20"/>
              </w:rPr>
            </w:pPr>
            <w:r>
              <w:rPr>
                <w:noProof/>
                <w:sz w:val="20"/>
              </w:rPr>
              <w:t>Economic benefits</w:t>
            </w:r>
            <w:r w:rsidR="007F5A31">
              <w:rPr>
                <w:noProof/>
                <w:sz w:val="20"/>
              </w:rPr>
              <w:t xml:space="preserve"> from administrative simplification and fast-track areas</w:t>
            </w:r>
            <w:r w:rsidR="0047217D">
              <w:rPr>
                <w:noProof/>
                <w:sz w:val="20"/>
              </w:rPr>
              <w:t xml:space="preserve"> </w:t>
            </w:r>
            <w:r w:rsidR="00071038">
              <w:rPr>
                <w:noProof/>
                <w:sz w:val="20"/>
              </w:rPr>
              <w:t xml:space="preserve">for providers </w:t>
            </w:r>
            <w:r w:rsidR="0047217D">
              <w:rPr>
                <w:noProof/>
                <w:sz w:val="20"/>
              </w:rPr>
              <w:t>(PM4, PM5)</w:t>
            </w:r>
          </w:p>
        </w:tc>
        <w:tc>
          <w:tcPr>
            <w:tcW w:w="1701" w:type="dxa"/>
            <w:tcBorders>
              <w:top w:val="double" w:sz="4" w:space="0" w:color="auto"/>
              <w:bottom w:val="single" w:sz="4" w:space="0" w:color="auto"/>
            </w:tcBorders>
            <w:tcMar>
              <w:top w:w="57" w:type="dxa"/>
              <w:left w:w="57" w:type="dxa"/>
              <w:bottom w:w="57" w:type="dxa"/>
              <w:right w:w="57" w:type="dxa"/>
            </w:tcMar>
            <w:vAlign w:val="center"/>
          </w:tcPr>
          <w:p w14:paraId="557C1C51" w14:textId="1F51F147" w:rsidR="00E42CFE" w:rsidRPr="00637092" w:rsidRDefault="00721DB4" w:rsidP="00F5599F">
            <w:pPr>
              <w:spacing w:after="0"/>
              <w:jc w:val="right"/>
              <w:rPr>
                <w:noProof/>
                <w:sz w:val="20"/>
              </w:rPr>
            </w:pPr>
            <w:r w:rsidRPr="00637092">
              <w:rPr>
                <w:noProof/>
                <w:sz w:val="20"/>
              </w:rPr>
              <w:t xml:space="preserve">EUR 8 </w:t>
            </w:r>
            <w:r w:rsidR="00845EE0">
              <w:rPr>
                <w:noProof/>
                <w:sz w:val="20"/>
                <w:szCs w:val="20"/>
              </w:rPr>
              <w:t>–</w:t>
            </w:r>
            <w:r w:rsidR="00845EE0" w:rsidRPr="00637092">
              <w:rPr>
                <w:noProof/>
                <w:sz w:val="20"/>
              </w:rPr>
              <w:t xml:space="preserve"> </w:t>
            </w:r>
            <w:r w:rsidRPr="00637092">
              <w:rPr>
                <w:noProof/>
                <w:sz w:val="20"/>
              </w:rPr>
              <w:t>27 bn</w:t>
            </w:r>
          </w:p>
        </w:tc>
        <w:tc>
          <w:tcPr>
            <w:tcW w:w="5471" w:type="dxa"/>
            <w:tcBorders>
              <w:top w:val="double" w:sz="4" w:space="0" w:color="auto"/>
              <w:bottom w:val="single" w:sz="4" w:space="0" w:color="auto"/>
            </w:tcBorders>
            <w:tcMar>
              <w:top w:w="57" w:type="dxa"/>
              <w:left w:w="57" w:type="dxa"/>
              <w:bottom w:w="57" w:type="dxa"/>
              <w:right w:w="57" w:type="dxa"/>
            </w:tcMar>
          </w:tcPr>
          <w:p w14:paraId="155743F1" w14:textId="2604776D" w:rsidR="00E42CFE" w:rsidRPr="00F92EAE" w:rsidRDefault="005F3955">
            <w:pPr>
              <w:spacing w:after="0"/>
              <w:rPr>
                <w:noProof/>
                <w:sz w:val="20"/>
              </w:rPr>
            </w:pPr>
            <w:r>
              <w:rPr>
                <w:noProof/>
                <w:sz w:val="20"/>
              </w:rPr>
              <w:t xml:space="preserve">These are </w:t>
            </w:r>
            <w:r w:rsidR="00EF6133">
              <w:rPr>
                <w:noProof/>
                <w:sz w:val="20"/>
              </w:rPr>
              <w:t xml:space="preserve">the </w:t>
            </w:r>
            <w:r w:rsidR="00845EE0">
              <w:rPr>
                <w:noProof/>
                <w:sz w:val="20"/>
              </w:rPr>
              <w:t>large, expected</w:t>
            </w:r>
            <w:r w:rsidR="00EF6133">
              <w:rPr>
                <w:noProof/>
                <w:sz w:val="20"/>
              </w:rPr>
              <w:t xml:space="preserve"> </w:t>
            </w:r>
            <w:r w:rsidR="00D76637">
              <w:rPr>
                <w:noProof/>
                <w:sz w:val="20"/>
              </w:rPr>
              <w:t>benefits</w:t>
            </w:r>
            <w:r>
              <w:rPr>
                <w:noProof/>
                <w:sz w:val="20"/>
              </w:rPr>
              <w:t xml:space="preserve"> accruing to data centre operators</w:t>
            </w:r>
            <w:r w:rsidR="00F5599F">
              <w:rPr>
                <w:noProof/>
                <w:sz w:val="20"/>
              </w:rPr>
              <w:t xml:space="preserve"> which are </w:t>
            </w:r>
            <w:r w:rsidR="00EF6133">
              <w:rPr>
                <w:noProof/>
                <w:sz w:val="20"/>
              </w:rPr>
              <w:t xml:space="preserve">foreseen </w:t>
            </w:r>
            <w:r w:rsidR="00F5599F">
              <w:rPr>
                <w:noProof/>
                <w:sz w:val="20"/>
              </w:rPr>
              <w:t>to benefit from reduced times to build new facilities. It has been calculated</w:t>
            </w:r>
            <w:r>
              <w:rPr>
                <w:noProof/>
                <w:sz w:val="20"/>
              </w:rPr>
              <w:t xml:space="preserve"> as the net present value of discounted </w:t>
            </w:r>
            <w:r w:rsidR="000263CB">
              <w:rPr>
                <w:noProof/>
                <w:sz w:val="20"/>
              </w:rPr>
              <w:t>economic benefits</w:t>
            </w:r>
            <w:r w:rsidR="00CC0EBA">
              <w:rPr>
                <w:noProof/>
                <w:sz w:val="20"/>
              </w:rPr>
              <w:t xml:space="preserve"> over 10 </w:t>
            </w:r>
            <w:r w:rsidR="00E10190">
              <w:rPr>
                <w:noProof/>
                <w:sz w:val="20"/>
              </w:rPr>
              <w:t>years.</w:t>
            </w:r>
            <w:r w:rsidR="003849F8">
              <w:rPr>
                <w:noProof/>
                <w:sz w:val="20"/>
              </w:rPr>
              <w:t xml:space="preserve"> </w:t>
            </w:r>
            <w:r w:rsidR="00651DC7">
              <w:rPr>
                <w:noProof/>
                <w:sz w:val="20"/>
              </w:rPr>
              <w:t>The economic benefits that are expected from these measures extend beyond the measurable impact</w:t>
            </w:r>
            <w:r w:rsidR="009614E1">
              <w:rPr>
                <w:noProof/>
                <w:sz w:val="20"/>
              </w:rPr>
              <w:t xml:space="preserve"> (see below on indirect benefits). </w:t>
            </w:r>
          </w:p>
        </w:tc>
      </w:tr>
      <w:tr w:rsidR="00FE5436" w:rsidRPr="00F92EAE" w14:paraId="6087CF35" w14:textId="77777777" w:rsidTr="00FE5436">
        <w:tc>
          <w:tcPr>
            <w:tcW w:w="2962" w:type="dxa"/>
            <w:tcBorders>
              <w:top w:val="double" w:sz="4" w:space="0" w:color="auto"/>
              <w:bottom w:val="single" w:sz="4" w:space="0" w:color="auto"/>
            </w:tcBorders>
          </w:tcPr>
          <w:p w14:paraId="164D4A0B" w14:textId="18D32D94" w:rsidR="00071038" w:rsidRDefault="00071038">
            <w:pPr>
              <w:spacing w:after="0"/>
              <w:rPr>
                <w:noProof/>
                <w:sz w:val="20"/>
              </w:rPr>
            </w:pPr>
            <w:r>
              <w:rPr>
                <w:noProof/>
                <w:sz w:val="20"/>
              </w:rPr>
              <w:t>Cost savings from administrative simplification and fast-track areas for public authorities (PM4, PM5)</w:t>
            </w:r>
          </w:p>
        </w:tc>
        <w:tc>
          <w:tcPr>
            <w:tcW w:w="1701" w:type="dxa"/>
            <w:tcBorders>
              <w:top w:val="double" w:sz="4" w:space="0" w:color="auto"/>
              <w:bottom w:val="single" w:sz="4" w:space="0" w:color="auto"/>
            </w:tcBorders>
            <w:tcMar>
              <w:top w:w="57" w:type="dxa"/>
              <w:left w:w="57" w:type="dxa"/>
              <w:bottom w:w="57" w:type="dxa"/>
              <w:right w:w="57" w:type="dxa"/>
            </w:tcMar>
            <w:vAlign w:val="center"/>
          </w:tcPr>
          <w:p w14:paraId="2E1E400B" w14:textId="7F7EF8D5" w:rsidR="00071038" w:rsidRPr="00183999" w:rsidRDefault="00183999" w:rsidP="00F5599F">
            <w:pPr>
              <w:spacing w:after="0"/>
              <w:jc w:val="right"/>
              <w:rPr>
                <w:noProof/>
                <w:sz w:val="20"/>
              </w:rPr>
            </w:pPr>
            <w:r w:rsidRPr="00D507A5">
              <w:rPr>
                <w:bCs/>
                <w:noProof/>
                <w:sz w:val="20"/>
                <w:szCs w:val="20"/>
              </w:rPr>
              <w:t xml:space="preserve">EUR 166 </w:t>
            </w:r>
            <w:r w:rsidRPr="00637092">
              <w:rPr>
                <w:bCs/>
                <w:noProof/>
                <w:sz w:val="20"/>
                <w:szCs w:val="20"/>
              </w:rPr>
              <w:t xml:space="preserve">– </w:t>
            </w:r>
            <w:r w:rsidRPr="00D507A5">
              <w:rPr>
                <w:bCs/>
                <w:noProof/>
                <w:sz w:val="20"/>
                <w:szCs w:val="20"/>
              </w:rPr>
              <w:t>277 m</w:t>
            </w:r>
          </w:p>
        </w:tc>
        <w:tc>
          <w:tcPr>
            <w:tcW w:w="5471" w:type="dxa"/>
            <w:tcBorders>
              <w:top w:val="double" w:sz="4" w:space="0" w:color="auto"/>
              <w:bottom w:val="single" w:sz="4" w:space="0" w:color="auto"/>
            </w:tcBorders>
            <w:tcMar>
              <w:top w:w="57" w:type="dxa"/>
              <w:left w:w="57" w:type="dxa"/>
              <w:bottom w:w="57" w:type="dxa"/>
              <w:right w:w="57" w:type="dxa"/>
            </w:tcMar>
          </w:tcPr>
          <w:p w14:paraId="598BBABD" w14:textId="399F141D" w:rsidR="00071038" w:rsidRDefault="00071038">
            <w:pPr>
              <w:spacing w:after="0"/>
              <w:rPr>
                <w:noProof/>
                <w:sz w:val="20"/>
              </w:rPr>
            </w:pPr>
            <w:r>
              <w:rPr>
                <w:noProof/>
                <w:sz w:val="20"/>
              </w:rPr>
              <w:t>These include administrative cost savings accruing to public administrations as they reduce parallel processing of projects and back-and-forth interactions with operators</w:t>
            </w:r>
            <w:r w:rsidR="00651DC7">
              <w:rPr>
                <w:noProof/>
                <w:sz w:val="20"/>
              </w:rPr>
              <w:t xml:space="preserve">. </w:t>
            </w:r>
          </w:p>
        </w:tc>
      </w:tr>
      <w:tr w:rsidR="00FE5436" w:rsidRPr="00F92EAE" w14:paraId="1FC823A7" w14:textId="77777777" w:rsidTr="00FE5436">
        <w:tc>
          <w:tcPr>
            <w:tcW w:w="2962" w:type="dxa"/>
            <w:tcBorders>
              <w:top w:val="single" w:sz="4" w:space="0" w:color="auto"/>
              <w:bottom w:val="single" w:sz="4" w:space="0" w:color="auto"/>
            </w:tcBorders>
          </w:tcPr>
          <w:p w14:paraId="68626857" w14:textId="518095C4" w:rsidR="00982144" w:rsidRPr="00F92EAE" w:rsidRDefault="00982144" w:rsidP="00982144">
            <w:pPr>
              <w:spacing w:after="0"/>
              <w:rPr>
                <w:noProof/>
                <w:sz w:val="20"/>
              </w:rPr>
            </w:pPr>
            <w:r>
              <w:rPr>
                <w:noProof/>
                <w:sz w:val="20"/>
              </w:rPr>
              <w:t>Cost savings from the increased use of open source in public administrations</w:t>
            </w:r>
            <w:r w:rsidR="0047217D">
              <w:rPr>
                <w:noProof/>
                <w:sz w:val="20"/>
              </w:rPr>
              <w:t xml:space="preserve"> (PM20)</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2249B21E" w14:textId="69B4B581" w:rsidR="00982144" w:rsidRPr="00F92EAE" w:rsidRDefault="003B49A1" w:rsidP="00982144">
            <w:pPr>
              <w:spacing w:after="0"/>
              <w:ind w:firstLine="53"/>
              <w:jc w:val="right"/>
              <w:rPr>
                <w:noProof/>
                <w:sz w:val="20"/>
              </w:rPr>
            </w:pPr>
            <w:r w:rsidRPr="00D507A5">
              <w:rPr>
                <w:bCs/>
                <w:noProof/>
                <w:sz w:val="20"/>
                <w:szCs w:val="20"/>
              </w:rPr>
              <w:t xml:space="preserve">EUR </w:t>
            </w:r>
            <w:r w:rsidR="00637092" w:rsidRPr="00D507A5">
              <w:rPr>
                <w:bCs/>
                <w:noProof/>
                <w:sz w:val="20"/>
                <w:szCs w:val="20"/>
              </w:rPr>
              <w:t>2 – 12 bn</w:t>
            </w:r>
          </w:p>
        </w:tc>
        <w:tc>
          <w:tcPr>
            <w:tcW w:w="5471" w:type="dxa"/>
            <w:tcBorders>
              <w:top w:val="single" w:sz="4" w:space="0" w:color="auto"/>
              <w:bottom w:val="single" w:sz="4" w:space="0" w:color="auto"/>
            </w:tcBorders>
            <w:tcMar>
              <w:top w:w="57" w:type="dxa"/>
              <w:left w:w="57" w:type="dxa"/>
              <w:bottom w:w="57" w:type="dxa"/>
              <w:right w:w="57" w:type="dxa"/>
            </w:tcMar>
          </w:tcPr>
          <w:p w14:paraId="0042DA95" w14:textId="7E688519" w:rsidR="00982144" w:rsidRPr="00F92EAE" w:rsidRDefault="00982144" w:rsidP="00982144">
            <w:pPr>
              <w:spacing w:after="0"/>
              <w:rPr>
                <w:noProof/>
                <w:sz w:val="20"/>
              </w:rPr>
            </w:pPr>
            <w:r w:rsidRPr="00EE19E6">
              <w:rPr>
                <w:noProof/>
                <w:sz w:val="20"/>
              </w:rPr>
              <w:t>By reusing</w:t>
            </w:r>
            <w:r w:rsidRPr="00D655EE">
              <w:rPr>
                <w:noProof/>
                <w:sz w:val="20"/>
              </w:rPr>
              <w:t xml:space="preserve"> and </w:t>
            </w:r>
            <w:r w:rsidRPr="00EE19E6">
              <w:rPr>
                <w:noProof/>
                <w:sz w:val="20"/>
              </w:rPr>
              <w:t>adapting existing software rather than commissioning bespoke solutions, administrations can</w:t>
            </w:r>
            <w:r w:rsidRPr="00610405">
              <w:rPr>
                <w:noProof/>
                <w:sz w:val="20"/>
              </w:rPr>
              <w:t xml:space="preserve"> reduce </w:t>
            </w:r>
            <w:r w:rsidRPr="00EE19E6">
              <w:rPr>
                <w:noProof/>
                <w:sz w:val="20"/>
              </w:rPr>
              <w:t>duplication of effort and lower the total cost of ownership of ICT projects</w:t>
            </w:r>
            <w:r w:rsidRPr="00610405">
              <w:rPr>
                <w:noProof/>
                <w:sz w:val="20"/>
              </w:rPr>
              <w:t>.</w:t>
            </w:r>
          </w:p>
        </w:tc>
      </w:tr>
      <w:tr w:rsidR="00FE5436" w:rsidRPr="00F92EAE" w14:paraId="0FF1716E" w14:textId="77777777" w:rsidTr="00FE5436">
        <w:trPr>
          <w:trHeight w:val="453"/>
        </w:trPr>
        <w:tc>
          <w:tcPr>
            <w:tcW w:w="2962" w:type="dxa"/>
            <w:tcBorders>
              <w:top w:val="single" w:sz="4" w:space="0" w:color="auto"/>
              <w:bottom w:val="single" w:sz="4" w:space="0" w:color="auto"/>
            </w:tcBorders>
          </w:tcPr>
          <w:p w14:paraId="045AA9A6" w14:textId="3903CF85" w:rsidR="00982144" w:rsidDel="00BE0560" w:rsidRDefault="00A34A1B" w:rsidP="00982144">
            <w:pPr>
              <w:spacing w:after="0"/>
              <w:rPr>
                <w:noProof/>
                <w:sz w:val="20"/>
              </w:rPr>
            </w:pPr>
            <w:r w:rsidRPr="00A34A1B">
              <w:rPr>
                <w:noProof/>
                <w:sz w:val="20"/>
              </w:rPr>
              <w:t>Costs</w:t>
            </w:r>
            <w:r>
              <w:rPr>
                <w:noProof/>
                <w:sz w:val="20"/>
              </w:rPr>
              <w:t xml:space="preserve"> savings </w:t>
            </w:r>
            <w:r w:rsidR="00144A80">
              <w:rPr>
                <w:noProof/>
                <w:sz w:val="20"/>
              </w:rPr>
              <w:t>for authorities from</w:t>
            </w:r>
            <w:r w:rsidRPr="00A34A1B">
              <w:rPr>
                <w:noProof/>
                <w:sz w:val="20"/>
              </w:rPr>
              <w:t xml:space="preserve"> using standard non-specific award criteria when drafting </w:t>
            </w:r>
            <w:r>
              <w:rPr>
                <w:noProof/>
                <w:sz w:val="20"/>
              </w:rPr>
              <w:t>tender</w:t>
            </w:r>
            <w:r w:rsidRPr="00A34A1B">
              <w:rPr>
                <w:noProof/>
                <w:sz w:val="20"/>
              </w:rPr>
              <w:t xml:space="preserve"> specifications</w:t>
            </w:r>
            <w:r>
              <w:rPr>
                <w:noProof/>
                <w:sz w:val="20"/>
              </w:rPr>
              <w:t xml:space="preserve"> </w:t>
            </w:r>
            <w:r w:rsidR="00D126B2">
              <w:rPr>
                <w:noProof/>
                <w:sz w:val="20"/>
              </w:rPr>
              <w:t>(</w:t>
            </w:r>
            <w:r w:rsidR="006E6927">
              <w:rPr>
                <w:noProof/>
                <w:sz w:val="20"/>
              </w:rPr>
              <w:t>PM19</w:t>
            </w:r>
            <w:r w:rsidR="00D126B2">
              <w:rPr>
                <w:noProof/>
                <w:sz w:val="20"/>
              </w:rPr>
              <w:t>)</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252B0572" w14:textId="2FA3CB4E" w:rsidR="00982144" w:rsidRPr="00503CF2" w:rsidRDefault="00FE5436" w:rsidP="00982144">
            <w:pPr>
              <w:spacing w:after="0"/>
              <w:ind w:firstLine="53"/>
              <w:jc w:val="right"/>
              <w:rPr>
                <w:noProof/>
                <w:sz w:val="20"/>
              </w:rPr>
            </w:pPr>
            <w:r w:rsidRPr="00640712">
              <w:rPr>
                <w:bCs/>
                <w:noProof/>
                <w:sz w:val="20"/>
                <w:szCs w:val="20"/>
              </w:rPr>
              <w:t xml:space="preserve">EUR </w:t>
            </w:r>
            <w:r>
              <w:rPr>
                <w:bCs/>
                <w:noProof/>
                <w:sz w:val="20"/>
                <w:szCs w:val="20"/>
              </w:rPr>
              <w:t>4</w:t>
            </w:r>
            <w:r w:rsidRPr="00640712">
              <w:rPr>
                <w:bCs/>
                <w:noProof/>
                <w:sz w:val="20"/>
                <w:szCs w:val="20"/>
              </w:rPr>
              <w:t xml:space="preserve"> – </w:t>
            </w:r>
            <w:r>
              <w:rPr>
                <w:bCs/>
                <w:noProof/>
                <w:sz w:val="20"/>
                <w:szCs w:val="20"/>
              </w:rPr>
              <w:t>13</w:t>
            </w:r>
            <w:r w:rsidRPr="00640712">
              <w:rPr>
                <w:bCs/>
                <w:noProof/>
                <w:sz w:val="20"/>
                <w:szCs w:val="20"/>
              </w:rPr>
              <w:t xml:space="preserve"> </w:t>
            </w:r>
            <w:r>
              <w:rPr>
                <w:bCs/>
                <w:noProof/>
                <w:sz w:val="20"/>
                <w:szCs w:val="20"/>
              </w:rPr>
              <w:t>m</w:t>
            </w:r>
          </w:p>
        </w:tc>
        <w:tc>
          <w:tcPr>
            <w:tcW w:w="5471" w:type="dxa"/>
            <w:tcBorders>
              <w:top w:val="single" w:sz="4" w:space="0" w:color="auto"/>
              <w:bottom w:val="single" w:sz="4" w:space="0" w:color="auto"/>
            </w:tcBorders>
            <w:tcMar>
              <w:top w:w="57" w:type="dxa"/>
              <w:left w:w="57" w:type="dxa"/>
              <w:bottom w:w="57" w:type="dxa"/>
              <w:right w:w="57" w:type="dxa"/>
            </w:tcMar>
          </w:tcPr>
          <w:p w14:paraId="7E7CAC78" w14:textId="2004B311" w:rsidR="00982144" w:rsidRDefault="002332EC" w:rsidP="00982144">
            <w:pPr>
              <w:spacing w:after="0"/>
              <w:rPr>
                <w:noProof/>
                <w:sz w:val="20"/>
              </w:rPr>
            </w:pPr>
            <w:r w:rsidRPr="00B96380">
              <w:rPr>
                <w:noProof/>
                <w:sz w:val="20"/>
                <w:szCs w:val="20"/>
              </w:rPr>
              <w:t xml:space="preserve">Cost savings for public authorities stem from </w:t>
            </w:r>
            <w:r w:rsidR="007E571D">
              <w:rPr>
                <w:noProof/>
                <w:sz w:val="20"/>
                <w:szCs w:val="20"/>
              </w:rPr>
              <w:t>use of standard criteria when procuring cloud and AI computing services that can be reused</w:t>
            </w:r>
            <w:r w:rsidR="00E7602A">
              <w:rPr>
                <w:noProof/>
                <w:sz w:val="20"/>
                <w:szCs w:val="20"/>
              </w:rPr>
              <w:t xml:space="preserve"> across all public tenders</w:t>
            </w:r>
            <w:r w:rsidR="007E571D">
              <w:rPr>
                <w:noProof/>
                <w:sz w:val="20"/>
                <w:szCs w:val="20"/>
              </w:rPr>
              <w:t xml:space="preserve">. </w:t>
            </w:r>
          </w:p>
        </w:tc>
      </w:tr>
      <w:tr w:rsidR="00CD76BD" w:rsidRPr="00F92EAE" w14:paraId="29866D37" w14:textId="77777777" w:rsidTr="00B268C0">
        <w:trPr>
          <w:trHeight w:val="453"/>
        </w:trPr>
        <w:tc>
          <w:tcPr>
            <w:tcW w:w="2962" w:type="dxa"/>
            <w:tcBorders>
              <w:top w:val="single" w:sz="4" w:space="0" w:color="auto"/>
              <w:bottom w:val="single" w:sz="4" w:space="0" w:color="auto"/>
            </w:tcBorders>
          </w:tcPr>
          <w:p w14:paraId="56CD3361" w14:textId="75C6B4BC" w:rsidR="00CD76BD" w:rsidRPr="00A34A1B" w:rsidRDefault="00CD76BD" w:rsidP="00982144">
            <w:pPr>
              <w:spacing w:after="0"/>
              <w:rPr>
                <w:noProof/>
                <w:sz w:val="20"/>
              </w:rPr>
            </w:pPr>
            <w:r w:rsidRPr="00A34A1B">
              <w:rPr>
                <w:noProof/>
                <w:sz w:val="20"/>
              </w:rPr>
              <w:t>Costs</w:t>
            </w:r>
            <w:r>
              <w:rPr>
                <w:noProof/>
                <w:sz w:val="20"/>
              </w:rPr>
              <w:t xml:space="preserve"> savings </w:t>
            </w:r>
            <w:r w:rsidR="00144A80">
              <w:rPr>
                <w:noProof/>
                <w:sz w:val="20"/>
              </w:rPr>
              <w:t xml:space="preserve">for authorities </w:t>
            </w:r>
            <w:r w:rsidR="002808FA">
              <w:rPr>
                <w:noProof/>
                <w:sz w:val="20"/>
              </w:rPr>
              <w:t>from</w:t>
            </w:r>
            <w:r w:rsidRPr="00A34A1B">
              <w:rPr>
                <w:noProof/>
                <w:sz w:val="20"/>
              </w:rPr>
              <w:t xml:space="preserve"> using </w:t>
            </w:r>
            <w:r>
              <w:rPr>
                <w:noProof/>
                <w:sz w:val="20"/>
              </w:rPr>
              <w:t>audited services in tenders (PM21)</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1938E429" w14:textId="3B435E5B" w:rsidR="00CD76BD" w:rsidRDefault="0088188F" w:rsidP="00982144">
            <w:pPr>
              <w:spacing w:after="0"/>
              <w:ind w:firstLine="53"/>
              <w:jc w:val="right"/>
              <w:rPr>
                <w:noProof/>
                <w:sz w:val="20"/>
              </w:rPr>
            </w:pPr>
            <w:r>
              <w:rPr>
                <w:noProof/>
                <w:sz w:val="20"/>
              </w:rPr>
              <w:t xml:space="preserve">⁓ </w:t>
            </w:r>
            <w:r w:rsidR="007B35D2">
              <w:rPr>
                <w:noProof/>
                <w:sz w:val="20"/>
              </w:rPr>
              <w:t>EUR 2.5 m</w:t>
            </w:r>
          </w:p>
        </w:tc>
        <w:tc>
          <w:tcPr>
            <w:tcW w:w="5471" w:type="dxa"/>
            <w:tcBorders>
              <w:top w:val="single" w:sz="4" w:space="0" w:color="auto"/>
              <w:bottom w:val="single" w:sz="4" w:space="0" w:color="auto"/>
            </w:tcBorders>
            <w:tcMar>
              <w:top w:w="57" w:type="dxa"/>
              <w:left w:w="57" w:type="dxa"/>
              <w:bottom w:w="57" w:type="dxa"/>
              <w:right w:w="57" w:type="dxa"/>
            </w:tcMar>
          </w:tcPr>
          <w:p w14:paraId="3695BD28" w14:textId="0D4ADB79" w:rsidR="00CD76BD" w:rsidRPr="00B96380" w:rsidRDefault="00CD76BD" w:rsidP="00982144">
            <w:pPr>
              <w:spacing w:after="0"/>
              <w:rPr>
                <w:noProof/>
                <w:sz w:val="20"/>
                <w:szCs w:val="20"/>
              </w:rPr>
            </w:pPr>
            <w:r w:rsidRPr="00B96380">
              <w:rPr>
                <w:noProof/>
                <w:sz w:val="20"/>
                <w:szCs w:val="20"/>
              </w:rPr>
              <w:t xml:space="preserve">Cost savings for public authorities stem from the </w:t>
            </w:r>
            <w:r w:rsidR="00560297">
              <w:rPr>
                <w:noProof/>
                <w:sz w:val="20"/>
                <w:szCs w:val="20"/>
              </w:rPr>
              <w:t xml:space="preserve">use </w:t>
            </w:r>
            <w:r w:rsidRPr="00B96380">
              <w:rPr>
                <w:noProof/>
                <w:sz w:val="20"/>
                <w:szCs w:val="20"/>
              </w:rPr>
              <w:t>of the repository of sovereign cloud and AI computing services</w:t>
            </w:r>
            <w:r w:rsidR="00234519">
              <w:rPr>
                <w:noProof/>
                <w:sz w:val="20"/>
                <w:szCs w:val="20"/>
              </w:rPr>
              <w:t xml:space="preserve"> and audit reports</w:t>
            </w:r>
            <w:r w:rsidRPr="00B96380">
              <w:rPr>
                <w:noProof/>
                <w:sz w:val="20"/>
                <w:szCs w:val="20"/>
              </w:rPr>
              <w:t>, which are expected to save administrations time in their verification of the documentation for the evaluation of the offers</w:t>
            </w:r>
            <w:r>
              <w:rPr>
                <w:noProof/>
                <w:sz w:val="20"/>
                <w:szCs w:val="20"/>
              </w:rPr>
              <w:t>.</w:t>
            </w:r>
          </w:p>
        </w:tc>
      </w:tr>
      <w:tr w:rsidR="00FE5436" w:rsidRPr="00F92EAE" w14:paraId="0DEB8E26" w14:textId="77777777" w:rsidTr="00FE5436">
        <w:tc>
          <w:tcPr>
            <w:tcW w:w="2962" w:type="dxa"/>
            <w:tcBorders>
              <w:top w:val="single" w:sz="4" w:space="0" w:color="auto"/>
              <w:bottom w:val="single" w:sz="4" w:space="0" w:color="auto"/>
            </w:tcBorders>
          </w:tcPr>
          <w:p w14:paraId="2B3E6772" w14:textId="4864B428" w:rsidR="00982144" w:rsidRDefault="00982144" w:rsidP="00982144">
            <w:pPr>
              <w:spacing w:after="0"/>
              <w:rPr>
                <w:noProof/>
                <w:sz w:val="20"/>
              </w:rPr>
            </w:pPr>
            <w:r>
              <w:rPr>
                <w:noProof/>
                <w:sz w:val="20"/>
              </w:rPr>
              <w:t>Cost savings</w:t>
            </w:r>
            <w:r w:rsidR="002C7A47">
              <w:rPr>
                <w:noProof/>
                <w:sz w:val="20"/>
              </w:rPr>
              <w:t xml:space="preserve"> for cloud and AI service providers</w:t>
            </w:r>
            <w:r>
              <w:rPr>
                <w:noProof/>
                <w:sz w:val="20"/>
              </w:rPr>
              <w:t xml:space="preserve"> from </w:t>
            </w:r>
            <w:r w:rsidR="00AA6EBD">
              <w:rPr>
                <w:noProof/>
                <w:sz w:val="20"/>
              </w:rPr>
              <w:t>being able to use</w:t>
            </w:r>
            <w:r w:rsidR="002808FA">
              <w:rPr>
                <w:noProof/>
                <w:sz w:val="20"/>
              </w:rPr>
              <w:t xml:space="preserve"> </w:t>
            </w:r>
            <w:r w:rsidR="004D68B8">
              <w:rPr>
                <w:noProof/>
                <w:sz w:val="20"/>
              </w:rPr>
              <w:t xml:space="preserve">sovereignty audits </w:t>
            </w:r>
            <w:r w:rsidR="00AA6EBD">
              <w:rPr>
                <w:noProof/>
                <w:sz w:val="20"/>
              </w:rPr>
              <w:t>across all MS,</w:t>
            </w:r>
            <w:r w:rsidR="00C15D6E">
              <w:rPr>
                <w:noProof/>
                <w:sz w:val="20"/>
              </w:rPr>
              <w:t xml:space="preserve"> </w:t>
            </w:r>
            <w:r w:rsidR="00AA6EBD">
              <w:rPr>
                <w:noProof/>
                <w:sz w:val="20"/>
              </w:rPr>
              <w:t>i.e. once and for all</w:t>
            </w:r>
            <w:r w:rsidR="003F7F2F">
              <w:rPr>
                <w:noProof/>
                <w:sz w:val="20"/>
              </w:rPr>
              <w:t xml:space="preserve"> </w:t>
            </w:r>
            <w:r w:rsidR="00215683">
              <w:rPr>
                <w:noProof/>
                <w:sz w:val="20"/>
              </w:rPr>
              <w:t>(PM21)</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14134FEB" w14:textId="5B2871A0" w:rsidR="00982144" w:rsidRPr="00AE0580" w:rsidRDefault="00982144" w:rsidP="00982144">
            <w:pPr>
              <w:spacing w:after="0"/>
              <w:ind w:firstLine="53"/>
              <w:jc w:val="right"/>
              <w:rPr>
                <w:noProof/>
                <w:sz w:val="20"/>
              </w:rPr>
            </w:pPr>
            <w:r w:rsidRPr="00AE0580">
              <w:rPr>
                <w:noProof/>
                <w:sz w:val="20"/>
              </w:rPr>
              <w:t xml:space="preserve"> </w:t>
            </w:r>
            <w:r w:rsidR="00354B3E" w:rsidRPr="00640712">
              <w:rPr>
                <w:bCs/>
                <w:noProof/>
                <w:sz w:val="20"/>
                <w:szCs w:val="20"/>
              </w:rPr>
              <w:t xml:space="preserve"> EUR </w:t>
            </w:r>
            <w:r w:rsidR="00E20B2F">
              <w:rPr>
                <w:bCs/>
                <w:noProof/>
                <w:sz w:val="20"/>
                <w:szCs w:val="20"/>
              </w:rPr>
              <w:t>2</w:t>
            </w:r>
            <w:r w:rsidR="00354B3E" w:rsidRPr="00640712">
              <w:rPr>
                <w:bCs/>
                <w:noProof/>
                <w:sz w:val="20"/>
                <w:szCs w:val="20"/>
              </w:rPr>
              <w:t xml:space="preserve"> – </w:t>
            </w:r>
            <w:r w:rsidR="00E20B2F">
              <w:rPr>
                <w:bCs/>
                <w:noProof/>
                <w:sz w:val="20"/>
                <w:szCs w:val="20"/>
              </w:rPr>
              <w:t>5 bn</w:t>
            </w:r>
          </w:p>
        </w:tc>
        <w:tc>
          <w:tcPr>
            <w:tcW w:w="5471" w:type="dxa"/>
            <w:tcBorders>
              <w:top w:val="single" w:sz="4" w:space="0" w:color="auto"/>
              <w:bottom w:val="single" w:sz="4" w:space="0" w:color="auto"/>
            </w:tcBorders>
            <w:tcMar>
              <w:top w:w="57" w:type="dxa"/>
              <w:left w:w="57" w:type="dxa"/>
              <w:bottom w:w="57" w:type="dxa"/>
              <w:right w:w="57" w:type="dxa"/>
            </w:tcMar>
          </w:tcPr>
          <w:p w14:paraId="43ED9EA2" w14:textId="21E13976" w:rsidR="00982144" w:rsidRDefault="00982144" w:rsidP="00982144">
            <w:pPr>
              <w:spacing w:after="0"/>
              <w:rPr>
                <w:noProof/>
                <w:sz w:val="20"/>
              </w:rPr>
            </w:pPr>
            <w:r>
              <w:rPr>
                <w:noProof/>
                <w:sz w:val="20"/>
              </w:rPr>
              <w:t>These direct s</w:t>
            </w:r>
            <w:r w:rsidRPr="00D655EE">
              <w:rPr>
                <w:noProof/>
                <w:sz w:val="20"/>
              </w:rPr>
              <w:t xml:space="preserve">avings for providers </w:t>
            </w:r>
            <w:r>
              <w:rPr>
                <w:noProof/>
                <w:sz w:val="20"/>
              </w:rPr>
              <w:t xml:space="preserve">stem from their ability </w:t>
            </w:r>
            <w:r w:rsidRPr="00D655EE">
              <w:rPr>
                <w:noProof/>
                <w:sz w:val="20"/>
              </w:rPr>
              <w:t xml:space="preserve">to get the </w:t>
            </w:r>
            <w:r w:rsidR="00C15D6E">
              <w:rPr>
                <w:noProof/>
                <w:sz w:val="20"/>
              </w:rPr>
              <w:t>audited</w:t>
            </w:r>
            <w:r w:rsidR="00C15D6E" w:rsidRPr="00D655EE">
              <w:rPr>
                <w:noProof/>
                <w:sz w:val="20"/>
              </w:rPr>
              <w:t xml:space="preserve"> </w:t>
            </w:r>
            <w:r w:rsidRPr="00D655EE">
              <w:rPr>
                <w:noProof/>
                <w:sz w:val="20"/>
              </w:rPr>
              <w:t xml:space="preserve">in one </w:t>
            </w:r>
            <w:r w:rsidR="00813F26">
              <w:rPr>
                <w:noProof/>
                <w:sz w:val="20"/>
              </w:rPr>
              <w:t>Member State</w:t>
            </w:r>
            <w:r w:rsidRPr="00D655EE">
              <w:rPr>
                <w:noProof/>
                <w:sz w:val="20"/>
              </w:rPr>
              <w:t xml:space="preserve"> and </w:t>
            </w:r>
            <w:r w:rsidR="00F3558E">
              <w:rPr>
                <w:noProof/>
                <w:sz w:val="20"/>
              </w:rPr>
              <w:t>participate</w:t>
            </w:r>
            <w:r w:rsidR="00F3558E" w:rsidRPr="00D655EE">
              <w:rPr>
                <w:noProof/>
                <w:sz w:val="20"/>
              </w:rPr>
              <w:t xml:space="preserve"> in </w:t>
            </w:r>
            <w:r w:rsidR="00F3558E">
              <w:rPr>
                <w:noProof/>
                <w:sz w:val="20"/>
              </w:rPr>
              <w:t xml:space="preserve">procurement of services for critical use cases across </w:t>
            </w:r>
            <w:r w:rsidR="00F3558E" w:rsidRPr="00D655EE">
              <w:rPr>
                <w:noProof/>
                <w:sz w:val="20"/>
              </w:rPr>
              <w:t>al</w:t>
            </w:r>
            <w:r w:rsidRPr="00D655EE">
              <w:rPr>
                <w:noProof/>
                <w:sz w:val="20"/>
              </w:rPr>
              <w:t>l EU27</w:t>
            </w:r>
            <w:r>
              <w:rPr>
                <w:noProof/>
                <w:sz w:val="20"/>
              </w:rPr>
              <w:t xml:space="preserve">. </w:t>
            </w:r>
          </w:p>
        </w:tc>
      </w:tr>
      <w:tr w:rsidR="00FE5436" w:rsidRPr="00F92EAE" w14:paraId="03A76CCF" w14:textId="77777777" w:rsidTr="00FE5436">
        <w:tc>
          <w:tcPr>
            <w:tcW w:w="2962" w:type="dxa"/>
            <w:tcBorders>
              <w:top w:val="single" w:sz="4" w:space="0" w:color="auto"/>
              <w:bottom w:val="single" w:sz="4" w:space="0" w:color="auto"/>
            </w:tcBorders>
          </w:tcPr>
          <w:p w14:paraId="343A34F2" w14:textId="1E46E3D0" w:rsidR="007D0F48" w:rsidRPr="008113E3" w:rsidRDefault="007D0F48" w:rsidP="008D0BAC">
            <w:pPr>
              <w:spacing w:before="240" w:after="0"/>
              <w:rPr>
                <w:noProof/>
                <w:sz w:val="20"/>
              </w:rPr>
            </w:pPr>
            <w:r w:rsidRPr="008113E3">
              <w:rPr>
                <w:noProof/>
                <w:sz w:val="20"/>
              </w:rPr>
              <w:t xml:space="preserve">Cost savings from </w:t>
            </w:r>
            <w:r w:rsidR="00495C49" w:rsidRPr="008113E3">
              <w:rPr>
                <w:noProof/>
                <w:sz w:val="20"/>
              </w:rPr>
              <w:t xml:space="preserve">cloud federation and </w:t>
            </w:r>
            <w:r w:rsidRPr="008113E3">
              <w:rPr>
                <w:noProof/>
                <w:sz w:val="20"/>
              </w:rPr>
              <w:t>joint procurement</w:t>
            </w:r>
            <w:r w:rsidR="00495C49" w:rsidRPr="008113E3">
              <w:rPr>
                <w:noProof/>
                <w:sz w:val="20"/>
              </w:rPr>
              <w:t xml:space="preserve"> for public administrations</w:t>
            </w:r>
            <w:r w:rsidR="00215683" w:rsidRPr="008113E3">
              <w:rPr>
                <w:noProof/>
                <w:sz w:val="20"/>
              </w:rPr>
              <w:t xml:space="preserve"> (PM22)</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380DECED" w14:textId="05B47009" w:rsidR="007D0F48" w:rsidRPr="00AE0580" w:rsidRDefault="003D1CF2" w:rsidP="007D0F48">
            <w:pPr>
              <w:spacing w:after="0"/>
              <w:ind w:firstLine="53"/>
              <w:jc w:val="right"/>
              <w:rPr>
                <w:noProof/>
                <w:sz w:val="20"/>
              </w:rPr>
            </w:pPr>
            <w:r w:rsidRPr="00640712">
              <w:rPr>
                <w:bCs/>
                <w:noProof/>
                <w:sz w:val="20"/>
                <w:szCs w:val="20"/>
              </w:rPr>
              <w:t xml:space="preserve">EUR </w:t>
            </w:r>
            <w:r>
              <w:rPr>
                <w:bCs/>
                <w:noProof/>
                <w:sz w:val="20"/>
                <w:szCs w:val="20"/>
              </w:rPr>
              <w:t>19</w:t>
            </w:r>
            <w:r w:rsidRPr="00640712">
              <w:rPr>
                <w:bCs/>
                <w:noProof/>
                <w:sz w:val="20"/>
                <w:szCs w:val="20"/>
              </w:rPr>
              <w:t xml:space="preserve"> – </w:t>
            </w:r>
            <w:r w:rsidR="009F7C09">
              <w:rPr>
                <w:bCs/>
                <w:noProof/>
                <w:sz w:val="20"/>
                <w:szCs w:val="20"/>
              </w:rPr>
              <w:t>49</w:t>
            </w:r>
            <w:r>
              <w:rPr>
                <w:bCs/>
                <w:noProof/>
                <w:sz w:val="20"/>
                <w:szCs w:val="20"/>
              </w:rPr>
              <w:t xml:space="preserve"> bn</w:t>
            </w:r>
          </w:p>
        </w:tc>
        <w:tc>
          <w:tcPr>
            <w:tcW w:w="5471" w:type="dxa"/>
            <w:tcBorders>
              <w:top w:val="single" w:sz="4" w:space="0" w:color="auto"/>
              <w:bottom w:val="single" w:sz="4" w:space="0" w:color="auto"/>
            </w:tcBorders>
            <w:tcMar>
              <w:top w:w="57" w:type="dxa"/>
              <w:left w:w="57" w:type="dxa"/>
              <w:bottom w:w="57" w:type="dxa"/>
              <w:right w:w="57" w:type="dxa"/>
            </w:tcMar>
          </w:tcPr>
          <w:p w14:paraId="0946FEBE" w14:textId="17AF2EC7" w:rsidR="007D0F48" w:rsidRDefault="00CB3F5E" w:rsidP="007D0F48">
            <w:pPr>
              <w:spacing w:after="0"/>
              <w:rPr>
                <w:noProof/>
                <w:sz w:val="20"/>
              </w:rPr>
            </w:pPr>
            <w:r w:rsidRPr="000A3708">
              <w:rPr>
                <w:noProof/>
                <w:sz w:val="20"/>
                <w:lang w:val="en-US"/>
              </w:rPr>
              <w:t xml:space="preserve">Recurrent savings </w:t>
            </w:r>
            <w:r>
              <w:rPr>
                <w:noProof/>
                <w:sz w:val="20"/>
                <w:lang w:val="en-US"/>
              </w:rPr>
              <w:t>stem</w:t>
            </w:r>
            <w:r w:rsidRPr="000A3708">
              <w:rPr>
                <w:noProof/>
                <w:sz w:val="20"/>
                <w:lang w:val="en-US"/>
              </w:rPr>
              <w:t xml:space="preserve"> from </w:t>
            </w:r>
            <w:r>
              <w:rPr>
                <w:noProof/>
                <w:sz w:val="20"/>
                <w:lang w:val="en-US"/>
              </w:rPr>
              <w:t xml:space="preserve">the cloud </w:t>
            </w:r>
            <w:r w:rsidRPr="000A3708">
              <w:rPr>
                <w:noProof/>
                <w:sz w:val="20"/>
                <w:lang w:val="en-US"/>
              </w:rPr>
              <w:t>federation,</w:t>
            </w:r>
            <w:r w:rsidR="00495C49" w:rsidRPr="000A3708">
              <w:rPr>
                <w:noProof/>
                <w:sz w:val="20"/>
                <w:lang w:val="en-US"/>
              </w:rPr>
              <w:t xml:space="preserve"> </w:t>
            </w:r>
            <w:r w:rsidR="00495C49">
              <w:rPr>
                <w:noProof/>
                <w:sz w:val="20"/>
                <w:lang w:val="en-US"/>
              </w:rPr>
              <w:t>i.e.</w:t>
            </w:r>
            <w:r w:rsidR="00495C49" w:rsidRPr="000A3708">
              <w:rPr>
                <w:noProof/>
                <w:sz w:val="20"/>
                <w:lang w:val="en-US"/>
              </w:rPr>
              <w:t xml:space="preserve"> </w:t>
            </w:r>
            <w:r w:rsidRPr="000A3708">
              <w:rPr>
                <w:noProof/>
                <w:sz w:val="20"/>
                <w:lang w:val="en-US"/>
              </w:rPr>
              <w:t xml:space="preserve">from reducing idle capacity, getting cheaper computing resources and reducing the coordination effort for sharing </w:t>
            </w:r>
            <w:r w:rsidR="00637540">
              <w:rPr>
                <w:noProof/>
                <w:sz w:val="20"/>
                <w:lang w:val="en-US"/>
              </w:rPr>
              <w:t>comput</w:t>
            </w:r>
            <w:r w:rsidR="00871EF9">
              <w:rPr>
                <w:noProof/>
                <w:sz w:val="20"/>
                <w:lang w:val="en-US"/>
              </w:rPr>
              <w:t>ing</w:t>
            </w:r>
            <w:r w:rsidR="00637540">
              <w:rPr>
                <w:noProof/>
                <w:sz w:val="20"/>
                <w:lang w:val="en-US"/>
              </w:rPr>
              <w:t xml:space="preserve"> capacity. </w:t>
            </w:r>
            <w:r w:rsidR="007D0F48" w:rsidRPr="00092463">
              <w:rPr>
                <w:noProof/>
                <w:sz w:val="20"/>
                <w:lang w:val="en-US"/>
              </w:rPr>
              <w:t>The participation in the joint procurement framework and the aggregation of demand in common EU-level procurement process</w:t>
            </w:r>
            <w:r w:rsidR="007D0F48">
              <w:rPr>
                <w:noProof/>
                <w:sz w:val="20"/>
                <w:lang w:val="en-US"/>
              </w:rPr>
              <w:t>es</w:t>
            </w:r>
            <w:r w:rsidR="007D0F48" w:rsidRPr="00092463">
              <w:rPr>
                <w:noProof/>
                <w:sz w:val="20"/>
                <w:lang w:val="en-US"/>
              </w:rPr>
              <w:t xml:space="preserve"> </w:t>
            </w:r>
            <w:r w:rsidR="007D0F48">
              <w:rPr>
                <w:noProof/>
                <w:sz w:val="20"/>
                <w:lang w:val="en-US"/>
              </w:rPr>
              <w:t xml:space="preserve">is also expected to </w:t>
            </w:r>
            <w:r w:rsidR="008113E3">
              <w:rPr>
                <w:noProof/>
                <w:sz w:val="20"/>
                <w:lang w:val="en-US"/>
              </w:rPr>
              <w:t xml:space="preserve">significantly </w:t>
            </w:r>
            <w:r w:rsidR="007D0F48">
              <w:rPr>
                <w:noProof/>
                <w:sz w:val="20"/>
                <w:lang w:val="en-US"/>
              </w:rPr>
              <w:t>reduce</w:t>
            </w:r>
            <w:r w:rsidR="007D0F48" w:rsidRPr="00092463">
              <w:rPr>
                <w:noProof/>
                <w:sz w:val="20"/>
                <w:lang w:val="en-US"/>
              </w:rPr>
              <w:t xml:space="preserve"> the required FTEs for procuring </w:t>
            </w:r>
            <w:r w:rsidR="007D0F48">
              <w:rPr>
                <w:noProof/>
                <w:sz w:val="20"/>
                <w:lang w:val="en-US"/>
              </w:rPr>
              <w:t>cloud</w:t>
            </w:r>
            <w:r w:rsidR="007D0F48" w:rsidRPr="00092463">
              <w:rPr>
                <w:noProof/>
                <w:sz w:val="20"/>
                <w:lang w:val="en-US"/>
              </w:rPr>
              <w:t xml:space="preserve"> and AI </w:t>
            </w:r>
            <w:r w:rsidR="0017394F">
              <w:rPr>
                <w:noProof/>
                <w:sz w:val="20"/>
                <w:lang w:val="en-US"/>
              </w:rPr>
              <w:t xml:space="preserve">computing </w:t>
            </w:r>
            <w:r w:rsidR="007D0F48" w:rsidRPr="00092463">
              <w:rPr>
                <w:noProof/>
                <w:sz w:val="20"/>
                <w:lang w:val="en-US"/>
              </w:rPr>
              <w:t>services and service prices from higher scale</w:t>
            </w:r>
            <w:r w:rsidR="007D0F48">
              <w:rPr>
                <w:noProof/>
                <w:sz w:val="20"/>
                <w:lang w:val="en-US"/>
              </w:rPr>
              <w:t xml:space="preserve"> and</w:t>
            </w:r>
            <w:r w:rsidR="007D0F48" w:rsidRPr="00092463">
              <w:rPr>
                <w:noProof/>
                <w:sz w:val="20"/>
                <w:lang w:val="en-US"/>
              </w:rPr>
              <w:t xml:space="preserve"> purchase power.</w:t>
            </w:r>
          </w:p>
        </w:tc>
      </w:tr>
      <w:tr w:rsidR="00FE5436" w:rsidRPr="00F92EAE" w14:paraId="3C4449ED" w14:textId="77777777" w:rsidTr="00FE5436">
        <w:tc>
          <w:tcPr>
            <w:tcW w:w="2962" w:type="dxa"/>
            <w:tcBorders>
              <w:top w:val="single" w:sz="4" w:space="0" w:color="auto"/>
              <w:bottom w:val="single" w:sz="4" w:space="0" w:color="auto"/>
            </w:tcBorders>
          </w:tcPr>
          <w:p w14:paraId="29C61F12" w14:textId="5E90651B" w:rsidR="007D0F48" w:rsidRDefault="00B96099" w:rsidP="007D0F48">
            <w:pPr>
              <w:spacing w:after="0"/>
              <w:rPr>
                <w:noProof/>
                <w:sz w:val="20"/>
              </w:rPr>
            </w:pPr>
            <w:r>
              <w:rPr>
                <w:noProof/>
                <w:sz w:val="20"/>
              </w:rPr>
              <w:t xml:space="preserve">Direct </w:t>
            </w:r>
            <w:r w:rsidR="00B956C7">
              <w:rPr>
                <w:noProof/>
                <w:sz w:val="20"/>
              </w:rPr>
              <w:t xml:space="preserve">cost </w:t>
            </w:r>
            <w:r>
              <w:rPr>
                <w:noProof/>
                <w:sz w:val="20"/>
              </w:rPr>
              <w:t>s</w:t>
            </w:r>
            <w:r w:rsidRPr="00B96099">
              <w:rPr>
                <w:noProof/>
                <w:sz w:val="20"/>
              </w:rPr>
              <w:t>avings in AI-based transformation project design</w:t>
            </w:r>
            <w:r>
              <w:rPr>
                <w:noProof/>
                <w:sz w:val="20"/>
              </w:rPr>
              <w:t xml:space="preserve"> for SMEs</w:t>
            </w:r>
            <w:r w:rsidR="00AB0D4D">
              <w:rPr>
                <w:noProof/>
                <w:sz w:val="20"/>
              </w:rPr>
              <w:t xml:space="preserve"> (PM23)</w:t>
            </w:r>
          </w:p>
        </w:tc>
        <w:tc>
          <w:tcPr>
            <w:tcW w:w="1701" w:type="dxa"/>
            <w:tcBorders>
              <w:top w:val="single" w:sz="4" w:space="0" w:color="auto"/>
              <w:bottom w:val="single" w:sz="4" w:space="0" w:color="auto"/>
            </w:tcBorders>
            <w:tcMar>
              <w:top w:w="57" w:type="dxa"/>
              <w:left w:w="57" w:type="dxa"/>
              <w:bottom w:w="57" w:type="dxa"/>
              <w:right w:w="57" w:type="dxa"/>
            </w:tcMar>
            <w:vAlign w:val="center"/>
          </w:tcPr>
          <w:p w14:paraId="30A2B35B" w14:textId="3CC6D1E7" w:rsidR="007D0F48" w:rsidRPr="00AE0580" w:rsidRDefault="00617F92" w:rsidP="007D0F48">
            <w:pPr>
              <w:spacing w:after="0"/>
              <w:ind w:firstLine="53"/>
              <w:jc w:val="right"/>
              <w:rPr>
                <w:noProof/>
                <w:sz w:val="20"/>
              </w:rPr>
            </w:pPr>
            <w:r w:rsidRPr="00640712">
              <w:rPr>
                <w:bCs/>
                <w:noProof/>
                <w:sz w:val="20"/>
                <w:szCs w:val="20"/>
              </w:rPr>
              <w:t xml:space="preserve">EUR </w:t>
            </w:r>
            <w:r>
              <w:rPr>
                <w:bCs/>
                <w:noProof/>
                <w:sz w:val="20"/>
                <w:szCs w:val="20"/>
              </w:rPr>
              <w:t>160</w:t>
            </w:r>
            <w:r w:rsidRPr="00640712">
              <w:rPr>
                <w:bCs/>
                <w:noProof/>
                <w:sz w:val="20"/>
                <w:szCs w:val="20"/>
              </w:rPr>
              <w:t xml:space="preserve"> – </w:t>
            </w:r>
            <w:r>
              <w:rPr>
                <w:bCs/>
                <w:noProof/>
                <w:sz w:val="20"/>
                <w:szCs w:val="20"/>
              </w:rPr>
              <w:t>500 m</w:t>
            </w:r>
          </w:p>
        </w:tc>
        <w:tc>
          <w:tcPr>
            <w:tcW w:w="5471" w:type="dxa"/>
            <w:tcBorders>
              <w:top w:val="single" w:sz="4" w:space="0" w:color="auto"/>
              <w:bottom w:val="single" w:sz="4" w:space="0" w:color="auto"/>
            </w:tcBorders>
            <w:tcMar>
              <w:top w:w="57" w:type="dxa"/>
              <w:left w:w="57" w:type="dxa"/>
              <w:bottom w:w="57" w:type="dxa"/>
              <w:right w:w="57" w:type="dxa"/>
            </w:tcMar>
          </w:tcPr>
          <w:p w14:paraId="6CC77E47" w14:textId="66F8AFC0" w:rsidR="007D0F48" w:rsidRDefault="00B12AD4" w:rsidP="00B12AD4">
            <w:pPr>
              <w:spacing w:after="0"/>
              <w:rPr>
                <w:noProof/>
                <w:sz w:val="20"/>
              </w:rPr>
            </w:pPr>
            <w:r>
              <w:rPr>
                <w:noProof/>
                <w:sz w:val="20"/>
              </w:rPr>
              <w:t>The</w:t>
            </w:r>
            <w:r w:rsidRPr="00B12AD4">
              <w:rPr>
                <w:noProof/>
                <w:sz w:val="20"/>
              </w:rPr>
              <w:t xml:space="preserve"> targeted scheme to provide financial support to SMEs for adopting cloud and AI </w:t>
            </w:r>
            <w:r w:rsidR="0017394F">
              <w:rPr>
                <w:noProof/>
                <w:sz w:val="20"/>
              </w:rPr>
              <w:t xml:space="preserve">computing </w:t>
            </w:r>
            <w:r w:rsidRPr="00B12AD4">
              <w:rPr>
                <w:noProof/>
                <w:sz w:val="20"/>
              </w:rPr>
              <w:t xml:space="preserve">services </w:t>
            </w:r>
            <w:r>
              <w:rPr>
                <w:noProof/>
                <w:sz w:val="20"/>
              </w:rPr>
              <w:t>foresees a</w:t>
            </w:r>
            <w:r w:rsidRPr="00B12AD4">
              <w:rPr>
                <w:noProof/>
                <w:sz w:val="20"/>
              </w:rPr>
              <w:t xml:space="preserve"> yearly budget of EUR 40</w:t>
            </w:r>
            <w:r>
              <w:rPr>
                <w:noProof/>
                <w:sz w:val="20"/>
              </w:rPr>
              <w:t xml:space="preserve"> </w:t>
            </w:r>
            <w:r w:rsidRPr="00B12AD4">
              <w:rPr>
                <w:noProof/>
                <w:sz w:val="20"/>
              </w:rPr>
              <w:t>050</w:t>
            </w:r>
            <w:r>
              <w:rPr>
                <w:noProof/>
                <w:sz w:val="20"/>
              </w:rPr>
              <w:t xml:space="preserve"> </w:t>
            </w:r>
            <w:r w:rsidRPr="00B12AD4">
              <w:rPr>
                <w:noProof/>
                <w:sz w:val="20"/>
              </w:rPr>
              <w:t>000 over the 10-year period</w:t>
            </w:r>
            <w:r>
              <w:rPr>
                <w:noProof/>
                <w:sz w:val="20"/>
              </w:rPr>
              <w:t>, mostly</w:t>
            </w:r>
            <w:r w:rsidRPr="00B12AD4">
              <w:rPr>
                <w:noProof/>
                <w:sz w:val="20"/>
              </w:rPr>
              <w:t xml:space="preserve"> dedicated to supporting the design and planning phase of cloud and AI-based transformation projects for SMEs. The grants are fixed amounts that SMEs can spend in consultancy services to design digital transformation projects based on cloud and AI technolog</w:t>
            </w:r>
            <w:r>
              <w:rPr>
                <w:noProof/>
                <w:sz w:val="20"/>
              </w:rPr>
              <w:t>ies.</w:t>
            </w:r>
          </w:p>
        </w:tc>
      </w:tr>
      <w:tr w:rsidR="004D5417" w:rsidRPr="00F92EAE" w14:paraId="679F12FE" w14:textId="77777777" w:rsidTr="000577BA">
        <w:tc>
          <w:tcPr>
            <w:tcW w:w="10134" w:type="dxa"/>
            <w:gridSpan w:val="3"/>
            <w:shd w:val="clear" w:color="auto" w:fill="F2F2F2" w:themeFill="background1" w:themeFillShade="F2"/>
          </w:tcPr>
          <w:p w14:paraId="5C0C86DF" w14:textId="77777777" w:rsidR="00B956C7" w:rsidRPr="00F92EAE" w:rsidRDefault="00B956C7" w:rsidP="00B956C7">
            <w:pPr>
              <w:spacing w:after="0"/>
              <w:jc w:val="center"/>
              <w:rPr>
                <w:b/>
                <w:i/>
                <w:noProof/>
                <w:sz w:val="20"/>
              </w:rPr>
            </w:pPr>
            <w:r w:rsidRPr="00F92EAE">
              <w:rPr>
                <w:b/>
                <w:i/>
                <w:noProof/>
                <w:sz w:val="20"/>
              </w:rPr>
              <w:t>Indirect benefits</w:t>
            </w:r>
          </w:p>
        </w:tc>
      </w:tr>
      <w:tr w:rsidR="005F15C0" w:rsidRPr="00F92EAE" w14:paraId="009731FA" w14:textId="77777777" w:rsidTr="00B268C0">
        <w:tc>
          <w:tcPr>
            <w:tcW w:w="2962" w:type="dxa"/>
            <w:tcBorders>
              <w:top w:val="double" w:sz="4" w:space="0" w:color="auto"/>
            </w:tcBorders>
          </w:tcPr>
          <w:p w14:paraId="5CA88F63" w14:textId="7DD62584" w:rsidR="00B956C7" w:rsidRPr="00F92EAE" w:rsidRDefault="00B956C7" w:rsidP="00B956C7">
            <w:pPr>
              <w:spacing w:after="0"/>
              <w:rPr>
                <w:noProof/>
                <w:sz w:val="20"/>
              </w:rPr>
            </w:pPr>
            <w:r>
              <w:rPr>
                <w:noProof/>
                <w:sz w:val="20"/>
              </w:rPr>
              <w:t xml:space="preserve">Indirect benefits coming from data centre deployment targets </w:t>
            </w:r>
          </w:p>
        </w:tc>
        <w:tc>
          <w:tcPr>
            <w:tcW w:w="1701" w:type="dxa"/>
            <w:tcBorders>
              <w:top w:val="double" w:sz="4" w:space="0" w:color="auto"/>
            </w:tcBorders>
            <w:tcMar>
              <w:top w:w="57" w:type="dxa"/>
              <w:left w:w="57" w:type="dxa"/>
              <w:bottom w:w="57" w:type="dxa"/>
              <w:right w:w="57" w:type="dxa"/>
            </w:tcMar>
          </w:tcPr>
          <w:p w14:paraId="49919F22" w14:textId="593F0E3F" w:rsidR="00B956C7" w:rsidRPr="00F92EAE" w:rsidRDefault="00B956C7" w:rsidP="00B956C7">
            <w:pPr>
              <w:spacing w:after="0"/>
              <w:rPr>
                <w:noProof/>
                <w:sz w:val="20"/>
              </w:rPr>
            </w:pPr>
            <w:r>
              <w:rPr>
                <w:noProof/>
                <w:sz w:val="20"/>
              </w:rPr>
              <w:t xml:space="preserve">This was assessed qualitatively or based on existing literature. </w:t>
            </w:r>
          </w:p>
        </w:tc>
        <w:tc>
          <w:tcPr>
            <w:tcW w:w="5471" w:type="dxa"/>
            <w:tcBorders>
              <w:top w:val="double" w:sz="4" w:space="0" w:color="auto"/>
            </w:tcBorders>
            <w:tcMar>
              <w:top w:w="57" w:type="dxa"/>
              <w:left w:w="57" w:type="dxa"/>
              <w:bottom w:w="57" w:type="dxa"/>
              <w:right w:w="57" w:type="dxa"/>
            </w:tcMar>
          </w:tcPr>
          <w:p w14:paraId="7292B0D8" w14:textId="5E75E347" w:rsidR="00B956C7" w:rsidRPr="00F92EAE" w:rsidRDefault="00B956C7" w:rsidP="00B956C7">
            <w:pPr>
              <w:spacing w:after="0"/>
              <w:rPr>
                <w:noProof/>
                <w:sz w:val="20"/>
              </w:rPr>
            </w:pPr>
            <w:r>
              <w:rPr>
                <w:noProof/>
                <w:sz w:val="20"/>
              </w:rPr>
              <w:t>Decrease of the</w:t>
            </w:r>
            <w:r w:rsidRPr="005F1150">
              <w:rPr>
                <w:noProof/>
                <w:sz w:val="20"/>
              </w:rPr>
              <w:t xml:space="preserve"> capacity gap</w:t>
            </w:r>
            <w:r>
              <w:rPr>
                <w:noProof/>
                <w:sz w:val="20"/>
              </w:rPr>
              <w:t xml:space="preserve"> and contribution to </w:t>
            </w:r>
            <w:r w:rsidRPr="005F1150">
              <w:rPr>
                <w:noProof/>
                <w:sz w:val="20"/>
              </w:rPr>
              <w:t xml:space="preserve">the overall GDP and workforce driven by the </w:t>
            </w:r>
            <w:r>
              <w:rPr>
                <w:noProof/>
                <w:sz w:val="20"/>
              </w:rPr>
              <w:t>data centre</w:t>
            </w:r>
            <w:r w:rsidRPr="005F1150">
              <w:rPr>
                <w:noProof/>
                <w:sz w:val="20"/>
              </w:rPr>
              <w:t xml:space="preserve"> </w:t>
            </w:r>
            <w:r>
              <w:rPr>
                <w:noProof/>
                <w:sz w:val="20"/>
              </w:rPr>
              <w:t>sector and related fields.</w:t>
            </w:r>
            <w:r>
              <w:rPr>
                <w:noProof/>
              </w:rPr>
              <w:t xml:space="preserve"> </w:t>
            </w:r>
            <w:r w:rsidRPr="00632A51">
              <w:rPr>
                <w:noProof/>
                <w:sz w:val="20"/>
              </w:rPr>
              <w:t>For operators, clearer EU-wide targets and consistent monitoring could help reduce investment uncertainty, reducing effort in oversupplied or poorly sited locations. National authorities would also benefit from improved infrastructure foresight, with better planning for grid reinforcements and targeting of support schemes.</w:t>
            </w:r>
          </w:p>
        </w:tc>
      </w:tr>
      <w:tr w:rsidR="005F15C0" w:rsidRPr="00F92EAE" w14:paraId="07021D3F" w14:textId="77777777" w:rsidTr="00B268C0">
        <w:tc>
          <w:tcPr>
            <w:tcW w:w="2962" w:type="dxa"/>
            <w:tcBorders>
              <w:bottom w:val="single" w:sz="4" w:space="0" w:color="auto"/>
            </w:tcBorders>
          </w:tcPr>
          <w:p w14:paraId="4CBE6697" w14:textId="7305EFDF" w:rsidR="00B956C7" w:rsidRDefault="00B956C7" w:rsidP="00B956C7">
            <w:pPr>
              <w:spacing w:after="0"/>
              <w:rPr>
                <w:noProof/>
                <w:sz w:val="20"/>
              </w:rPr>
            </w:pPr>
            <w:r>
              <w:rPr>
                <w:noProof/>
                <w:sz w:val="20"/>
              </w:rPr>
              <w:t xml:space="preserve">Indirect benefits from additional data centre capacity on GDP growth and employment levels </w:t>
            </w:r>
          </w:p>
        </w:tc>
        <w:tc>
          <w:tcPr>
            <w:tcW w:w="1701" w:type="dxa"/>
            <w:tcBorders>
              <w:bottom w:val="single" w:sz="4" w:space="0" w:color="auto"/>
            </w:tcBorders>
            <w:tcMar>
              <w:top w:w="57" w:type="dxa"/>
              <w:left w:w="57" w:type="dxa"/>
              <w:bottom w:w="57" w:type="dxa"/>
              <w:right w:w="57" w:type="dxa"/>
            </w:tcMar>
          </w:tcPr>
          <w:p w14:paraId="3F728B05" w14:textId="6312606D" w:rsidR="00B956C7" w:rsidRDefault="00B956C7" w:rsidP="00B956C7">
            <w:pPr>
              <w:spacing w:after="0"/>
              <w:rPr>
                <w:noProof/>
                <w:sz w:val="20"/>
              </w:rPr>
            </w:pPr>
            <w:r>
              <w:rPr>
                <w:noProof/>
                <w:sz w:val="20"/>
              </w:rPr>
              <w:t>This was addressed under Section 6.1.5 and 6.2.</w:t>
            </w:r>
          </w:p>
        </w:tc>
        <w:tc>
          <w:tcPr>
            <w:tcW w:w="5471" w:type="dxa"/>
            <w:tcBorders>
              <w:bottom w:val="single" w:sz="4" w:space="0" w:color="auto"/>
            </w:tcBorders>
            <w:tcMar>
              <w:top w:w="57" w:type="dxa"/>
              <w:left w:w="57" w:type="dxa"/>
              <w:bottom w:w="57" w:type="dxa"/>
              <w:right w:w="57" w:type="dxa"/>
            </w:tcMar>
          </w:tcPr>
          <w:p w14:paraId="284C0254" w14:textId="0EB3E87C" w:rsidR="00B956C7" w:rsidRDefault="00B956C7" w:rsidP="00B956C7">
            <w:pPr>
              <w:spacing w:after="0"/>
              <w:rPr>
                <w:noProof/>
                <w:sz w:val="20"/>
              </w:rPr>
            </w:pPr>
            <w:r w:rsidRPr="31E94EFE">
              <w:rPr>
                <w:noProof/>
                <w:sz w:val="20"/>
                <w:szCs w:val="20"/>
              </w:rPr>
              <w:t>Economists have attributed the growth in GDP growth from investment in data centres and information processing technology</w:t>
            </w:r>
            <w:r w:rsidRPr="447984AA">
              <w:rPr>
                <w:rStyle w:val="FootnoteReference"/>
                <w:noProof/>
                <w:sz w:val="20"/>
                <w:szCs w:val="20"/>
              </w:rPr>
              <w:footnoteReference w:id="15"/>
            </w:r>
            <w:r w:rsidRPr="31E94EFE">
              <w:rPr>
                <w:noProof/>
                <w:sz w:val="20"/>
                <w:szCs w:val="20"/>
              </w:rPr>
              <w:t>.</w:t>
            </w:r>
            <w:r w:rsidR="009614E1">
              <w:rPr>
                <w:noProof/>
                <w:sz w:val="20"/>
                <w:szCs w:val="20"/>
              </w:rPr>
              <w:t xml:space="preserve"> </w:t>
            </w:r>
            <w:r w:rsidR="00FA4BF1">
              <w:rPr>
                <w:noProof/>
                <w:sz w:val="20"/>
                <w:szCs w:val="20"/>
              </w:rPr>
              <w:t xml:space="preserve">In additional to these gains, there are likely to be indirect benefits for society at large, e.g. in terms of improved </w:t>
            </w:r>
            <w:r w:rsidR="000E5FC5">
              <w:rPr>
                <w:noProof/>
                <w:sz w:val="20"/>
                <w:szCs w:val="20"/>
              </w:rPr>
              <w:t>digital infrastructure, skills development and increased attractiveness of the EU for complementary industries. These spillover effects, while possibly significant, are not directly quantified due to the lack of reliable data.</w:t>
            </w:r>
            <w:r w:rsidRPr="31E94EFE">
              <w:rPr>
                <w:noProof/>
                <w:sz w:val="20"/>
                <w:szCs w:val="20"/>
              </w:rPr>
              <w:t xml:space="preserve"> </w:t>
            </w:r>
          </w:p>
        </w:tc>
      </w:tr>
      <w:tr w:rsidR="005F15C0" w:rsidRPr="00F92EAE" w14:paraId="5F185302" w14:textId="77777777" w:rsidTr="00B268C0">
        <w:tc>
          <w:tcPr>
            <w:tcW w:w="2962" w:type="dxa"/>
            <w:tcBorders>
              <w:bottom w:val="single" w:sz="4" w:space="0" w:color="auto"/>
            </w:tcBorders>
          </w:tcPr>
          <w:p w14:paraId="4364FFB0" w14:textId="463B36E5" w:rsidR="00B956C7" w:rsidRPr="00F92EAE" w:rsidRDefault="00B956C7" w:rsidP="00B956C7">
            <w:pPr>
              <w:spacing w:after="0"/>
              <w:rPr>
                <w:noProof/>
                <w:sz w:val="20"/>
              </w:rPr>
            </w:pPr>
            <w:r>
              <w:rPr>
                <w:noProof/>
                <w:sz w:val="20"/>
              </w:rPr>
              <w:t>Indirect benefits coming from funding for R&amp;D and strategic projects</w:t>
            </w:r>
          </w:p>
        </w:tc>
        <w:tc>
          <w:tcPr>
            <w:tcW w:w="1701" w:type="dxa"/>
            <w:tcBorders>
              <w:bottom w:val="single" w:sz="4" w:space="0" w:color="auto"/>
            </w:tcBorders>
            <w:tcMar>
              <w:top w:w="57" w:type="dxa"/>
              <w:left w:w="57" w:type="dxa"/>
              <w:bottom w:w="57" w:type="dxa"/>
              <w:right w:w="57" w:type="dxa"/>
            </w:tcMar>
          </w:tcPr>
          <w:p w14:paraId="14B1E1CD" w14:textId="6B3B0D92" w:rsidR="00B956C7" w:rsidRPr="00F92EAE" w:rsidRDefault="00B956C7" w:rsidP="00B956C7">
            <w:pPr>
              <w:spacing w:after="0"/>
              <w:rPr>
                <w:noProof/>
                <w:sz w:val="20"/>
              </w:rPr>
            </w:pPr>
            <w:r>
              <w:rPr>
                <w:noProof/>
                <w:sz w:val="20"/>
              </w:rPr>
              <w:t xml:space="preserve">This was assessed qualitatively or based on existing literature. </w:t>
            </w:r>
          </w:p>
        </w:tc>
        <w:tc>
          <w:tcPr>
            <w:tcW w:w="5471" w:type="dxa"/>
            <w:tcBorders>
              <w:bottom w:val="single" w:sz="4" w:space="0" w:color="auto"/>
            </w:tcBorders>
            <w:tcMar>
              <w:top w:w="57" w:type="dxa"/>
              <w:left w:w="57" w:type="dxa"/>
              <w:bottom w:w="57" w:type="dxa"/>
              <w:right w:w="57" w:type="dxa"/>
            </w:tcMar>
          </w:tcPr>
          <w:p w14:paraId="073032C5" w14:textId="79F9243E" w:rsidR="00B956C7" w:rsidRPr="00F92EAE" w:rsidRDefault="000E5FC5" w:rsidP="00B956C7">
            <w:pPr>
              <w:spacing w:after="0"/>
              <w:rPr>
                <w:noProof/>
                <w:sz w:val="20"/>
              </w:rPr>
            </w:pPr>
            <w:r>
              <w:rPr>
                <w:noProof/>
                <w:sz w:val="20"/>
              </w:rPr>
              <w:t>It is important to underline that the expansion of data centre capacity entails considerable environmental impacts, including increased energy consumption, water use, land uptake and associated carbon emissions. These impacts may generate new social and environmental costs, with possible consequences for overall welfare, local ecosystem and community</w:t>
            </w:r>
            <w:r w:rsidR="00FB6FCA">
              <w:rPr>
                <w:noProof/>
                <w:sz w:val="20"/>
              </w:rPr>
              <w:t xml:space="preserve"> acceptance. </w:t>
            </w:r>
            <w:r w:rsidR="009B202B">
              <w:rPr>
                <w:noProof/>
                <w:sz w:val="20"/>
              </w:rPr>
              <w:t xml:space="preserve">For </w:t>
            </w:r>
            <w:r w:rsidR="00112C5A">
              <w:rPr>
                <w:noProof/>
                <w:sz w:val="20"/>
              </w:rPr>
              <w:t>these reasons</w:t>
            </w:r>
            <w:r w:rsidR="009B202B">
              <w:rPr>
                <w:noProof/>
                <w:sz w:val="20"/>
              </w:rPr>
              <w:t xml:space="preserve">, measures that promote sustainable solutions are fundamental to ensure that new facilities are designed and operated </w:t>
            </w:r>
            <w:r w:rsidR="00112C5A">
              <w:rPr>
                <w:noProof/>
                <w:sz w:val="20"/>
              </w:rPr>
              <w:t xml:space="preserve">with sustainability principles at their heart. </w:t>
            </w:r>
            <w:r w:rsidR="005A5964">
              <w:rPr>
                <w:noProof/>
                <w:sz w:val="20"/>
              </w:rPr>
              <w:t xml:space="preserve">This fundamental to maximise net social benefits and safeguard the public good over the long term. </w:t>
            </w:r>
          </w:p>
        </w:tc>
      </w:tr>
      <w:tr w:rsidR="005F15C0" w:rsidRPr="00F92EAE" w14:paraId="70DFE10E" w14:textId="77777777" w:rsidTr="00B268C0">
        <w:tc>
          <w:tcPr>
            <w:tcW w:w="2962" w:type="dxa"/>
            <w:tcBorders>
              <w:top w:val="single" w:sz="4" w:space="0" w:color="auto"/>
              <w:bottom w:val="single" w:sz="4" w:space="0" w:color="auto"/>
            </w:tcBorders>
          </w:tcPr>
          <w:p w14:paraId="45963ED6" w14:textId="04926136" w:rsidR="00B956C7" w:rsidRDefault="00B956C7" w:rsidP="00B956C7">
            <w:pPr>
              <w:spacing w:after="0"/>
              <w:rPr>
                <w:noProof/>
                <w:sz w:val="20"/>
              </w:rPr>
            </w:pPr>
            <w:r>
              <w:rPr>
                <w:noProof/>
                <w:sz w:val="20"/>
              </w:rPr>
              <w:t>Indirect benefits from the increased use of open source solutions in public administrations</w:t>
            </w:r>
          </w:p>
        </w:tc>
        <w:tc>
          <w:tcPr>
            <w:tcW w:w="1701" w:type="dxa"/>
            <w:tcBorders>
              <w:top w:val="single" w:sz="4" w:space="0" w:color="auto"/>
              <w:bottom w:val="single" w:sz="4" w:space="0" w:color="auto"/>
            </w:tcBorders>
            <w:tcMar>
              <w:top w:w="57" w:type="dxa"/>
              <w:left w:w="57" w:type="dxa"/>
              <w:bottom w:w="57" w:type="dxa"/>
              <w:right w:w="57" w:type="dxa"/>
            </w:tcMar>
          </w:tcPr>
          <w:p w14:paraId="2FF57E78" w14:textId="036FD216" w:rsidR="00B956C7" w:rsidRPr="00F92EAE" w:rsidRDefault="00B956C7" w:rsidP="00B956C7">
            <w:pPr>
              <w:spacing w:after="0"/>
              <w:rPr>
                <w:noProof/>
                <w:sz w:val="20"/>
              </w:rPr>
            </w:pPr>
            <w:r>
              <w:rPr>
                <w:noProof/>
                <w:sz w:val="20"/>
              </w:rPr>
              <w:t xml:space="preserve">This was assessed qualitatively or based on existing literature. </w:t>
            </w:r>
          </w:p>
        </w:tc>
        <w:tc>
          <w:tcPr>
            <w:tcW w:w="5471" w:type="dxa"/>
            <w:tcBorders>
              <w:top w:val="single" w:sz="4" w:space="0" w:color="auto"/>
              <w:bottom w:val="single" w:sz="4" w:space="0" w:color="auto"/>
            </w:tcBorders>
            <w:tcMar>
              <w:top w:w="57" w:type="dxa"/>
              <w:left w:w="57" w:type="dxa"/>
              <w:bottom w:w="57" w:type="dxa"/>
              <w:right w:w="57" w:type="dxa"/>
            </w:tcMar>
          </w:tcPr>
          <w:p w14:paraId="78019C8E" w14:textId="01D5EFB8" w:rsidR="00B956C7" w:rsidRDefault="00B956C7" w:rsidP="00B956C7">
            <w:pPr>
              <w:spacing w:after="0"/>
              <w:rPr>
                <w:noProof/>
                <w:sz w:val="20"/>
              </w:rPr>
            </w:pPr>
            <w:r w:rsidRPr="00CD407B">
              <w:rPr>
                <w:noProof/>
                <w:sz w:val="20"/>
              </w:rPr>
              <w:t>When public administrations increase their procurement and use of open source software, they create additional demand for open and interoperable solutions across the wider economy.</w:t>
            </w:r>
          </w:p>
        </w:tc>
      </w:tr>
      <w:tr w:rsidR="005F15C0" w:rsidRPr="00F92EAE" w14:paraId="77828EDC" w14:textId="77777777" w:rsidTr="00B268C0">
        <w:tc>
          <w:tcPr>
            <w:tcW w:w="2962" w:type="dxa"/>
            <w:tcBorders>
              <w:top w:val="single" w:sz="4" w:space="0" w:color="auto"/>
            </w:tcBorders>
          </w:tcPr>
          <w:p w14:paraId="43354A58" w14:textId="73DB377B" w:rsidR="00B956C7" w:rsidRPr="00F92EAE" w:rsidRDefault="00B956C7" w:rsidP="00B956C7">
            <w:pPr>
              <w:spacing w:after="0"/>
              <w:rPr>
                <w:noProof/>
                <w:sz w:val="20"/>
              </w:rPr>
            </w:pPr>
            <w:r>
              <w:rPr>
                <w:noProof/>
                <w:sz w:val="20"/>
              </w:rPr>
              <w:t xml:space="preserve">Indirect benefits from the </w:t>
            </w:r>
            <w:r w:rsidR="006E1F55">
              <w:rPr>
                <w:noProof/>
                <w:sz w:val="20"/>
              </w:rPr>
              <w:t xml:space="preserve">sovereignty risk assessment </w:t>
            </w:r>
            <w:r>
              <w:rPr>
                <w:noProof/>
                <w:sz w:val="20"/>
              </w:rPr>
              <w:t>scheme</w:t>
            </w:r>
          </w:p>
        </w:tc>
        <w:tc>
          <w:tcPr>
            <w:tcW w:w="1701" w:type="dxa"/>
            <w:tcBorders>
              <w:top w:val="single" w:sz="4" w:space="0" w:color="auto"/>
            </w:tcBorders>
            <w:tcMar>
              <w:top w:w="57" w:type="dxa"/>
              <w:left w:w="57" w:type="dxa"/>
              <w:bottom w:w="57" w:type="dxa"/>
              <w:right w:w="57" w:type="dxa"/>
            </w:tcMar>
          </w:tcPr>
          <w:p w14:paraId="6E71EAE8" w14:textId="3BEC714E" w:rsidR="00B956C7" w:rsidRPr="00F92EAE" w:rsidRDefault="00B956C7" w:rsidP="00B956C7">
            <w:pPr>
              <w:spacing w:after="0"/>
              <w:rPr>
                <w:noProof/>
                <w:sz w:val="20"/>
              </w:rPr>
            </w:pPr>
            <w:r>
              <w:rPr>
                <w:noProof/>
                <w:sz w:val="20"/>
              </w:rPr>
              <w:t xml:space="preserve">This was assessed qualitatively or based on existing literature. </w:t>
            </w:r>
          </w:p>
        </w:tc>
        <w:tc>
          <w:tcPr>
            <w:tcW w:w="5471" w:type="dxa"/>
            <w:tcBorders>
              <w:top w:val="single" w:sz="4" w:space="0" w:color="auto"/>
            </w:tcBorders>
            <w:tcMar>
              <w:top w:w="57" w:type="dxa"/>
              <w:left w:w="57" w:type="dxa"/>
              <w:bottom w:w="57" w:type="dxa"/>
              <w:right w:w="57" w:type="dxa"/>
            </w:tcMar>
          </w:tcPr>
          <w:p w14:paraId="234DB76D" w14:textId="03DAD421" w:rsidR="00B956C7" w:rsidRPr="00F92EAE" w:rsidRDefault="00C74AB9" w:rsidP="00B956C7">
            <w:pPr>
              <w:spacing w:after="0"/>
              <w:rPr>
                <w:noProof/>
                <w:sz w:val="20"/>
              </w:rPr>
            </w:pPr>
            <w:r w:rsidRPr="00C74AB9">
              <w:rPr>
                <w:noProof/>
                <w:sz w:val="20"/>
              </w:rPr>
              <w:t xml:space="preserve">The sovereignty assessment framework provides national authorities with a more robust mechanism to procure and uptake cloud and AI computing services, protecting critical use cases where public order is at stake. </w:t>
            </w:r>
            <w:r>
              <w:rPr>
                <w:noProof/>
                <w:sz w:val="20"/>
              </w:rPr>
              <w:t>It</w:t>
            </w:r>
            <w:r w:rsidRPr="00C74AB9">
              <w:rPr>
                <w:noProof/>
                <w:sz w:val="20"/>
              </w:rPr>
              <w:t xml:space="preserve"> allows for the diversification of dependencies, and services from non-European providers would still be able to qualify for 90% of the public sector’s needs.</w:t>
            </w:r>
            <w:r w:rsidR="00BF7B60">
              <w:rPr>
                <w:noProof/>
                <w:sz w:val="20"/>
              </w:rPr>
              <w:t xml:space="preserve"> At the same time, it contributes to</w:t>
            </w:r>
            <w:r w:rsidR="00BF7B60" w:rsidRPr="00BF7B60">
              <w:rPr>
                <w:noProof/>
                <w:sz w:val="20"/>
              </w:rPr>
              <w:t xml:space="preserve"> reduc</w:t>
            </w:r>
            <w:r w:rsidR="00BF7B60">
              <w:rPr>
                <w:noProof/>
                <w:sz w:val="20"/>
              </w:rPr>
              <w:t>ing</w:t>
            </w:r>
            <w:r w:rsidR="00BF7B60" w:rsidRPr="00BF7B60">
              <w:rPr>
                <w:noProof/>
                <w:sz w:val="20"/>
              </w:rPr>
              <w:t xml:space="preserve"> exposure to non-EU dependencies and single provider concentration risks, strengthening the resilience and autonomy of cloud and AI services</w:t>
            </w:r>
            <w:r w:rsidR="00BF7B60">
              <w:rPr>
                <w:noProof/>
                <w:sz w:val="20"/>
              </w:rPr>
              <w:t>.</w:t>
            </w:r>
          </w:p>
        </w:tc>
      </w:tr>
      <w:tr w:rsidR="005F15C0" w:rsidRPr="00F92EAE" w14:paraId="083F5104" w14:textId="77777777" w:rsidTr="00B268C0">
        <w:tc>
          <w:tcPr>
            <w:tcW w:w="2962" w:type="dxa"/>
            <w:tcBorders>
              <w:bottom w:val="double" w:sz="4" w:space="0" w:color="auto"/>
            </w:tcBorders>
          </w:tcPr>
          <w:p w14:paraId="20C5EF6B" w14:textId="36255AA7" w:rsidR="00B956C7" w:rsidRDefault="00B956C7" w:rsidP="00B956C7">
            <w:pPr>
              <w:spacing w:after="0"/>
              <w:rPr>
                <w:noProof/>
                <w:sz w:val="20"/>
              </w:rPr>
            </w:pPr>
            <w:r>
              <w:rPr>
                <w:noProof/>
                <w:sz w:val="20"/>
              </w:rPr>
              <w:t xml:space="preserve">Indirect benefits from joint EU-level procurement </w:t>
            </w:r>
          </w:p>
        </w:tc>
        <w:tc>
          <w:tcPr>
            <w:tcW w:w="1701" w:type="dxa"/>
            <w:tcBorders>
              <w:bottom w:val="double" w:sz="4" w:space="0" w:color="auto"/>
            </w:tcBorders>
            <w:tcMar>
              <w:top w:w="57" w:type="dxa"/>
              <w:left w:w="57" w:type="dxa"/>
              <w:bottom w:w="57" w:type="dxa"/>
              <w:right w:w="57" w:type="dxa"/>
            </w:tcMar>
          </w:tcPr>
          <w:p w14:paraId="647EA3BA" w14:textId="56F0FC1D" w:rsidR="00B956C7" w:rsidRPr="00F92EAE" w:rsidRDefault="00B956C7" w:rsidP="00B956C7">
            <w:pPr>
              <w:spacing w:after="0"/>
              <w:rPr>
                <w:noProof/>
                <w:sz w:val="20"/>
              </w:rPr>
            </w:pPr>
            <w:r>
              <w:rPr>
                <w:noProof/>
                <w:sz w:val="20"/>
              </w:rPr>
              <w:t xml:space="preserve">This was assessed qualitatively or based on existing literature. </w:t>
            </w:r>
          </w:p>
        </w:tc>
        <w:tc>
          <w:tcPr>
            <w:tcW w:w="5471" w:type="dxa"/>
            <w:tcBorders>
              <w:bottom w:val="double" w:sz="4" w:space="0" w:color="auto"/>
            </w:tcBorders>
            <w:tcMar>
              <w:top w:w="57" w:type="dxa"/>
              <w:left w:w="57" w:type="dxa"/>
              <w:bottom w:w="57" w:type="dxa"/>
              <w:right w:w="57" w:type="dxa"/>
            </w:tcMar>
          </w:tcPr>
          <w:p w14:paraId="695BF7D3" w14:textId="1FDFA614" w:rsidR="00B956C7" w:rsidRDefault="00B956C7" w:rsidP="00B956C7">
            <w:pPr>
              <w:spacing w:after="0"/>
              <w:rPr>
                <w:noProof/>
                <w:sz w:val="20"/>
              </w:rPr>
            </w:pPr>
            <w:r w:rsidRPr="00C645F3">
              <w:rPr>
                <w:noProof/>
                <w:sz w:val="20"/>
              </w:rPr>
              <w:t xml:space="preserve">The increase in public procurement of cloud and AI sales volume that is addressable by European providers may help increase their scale and competitiveness and their share in the European and global cloud and AI markets. </w:t>
            </w:r>
            <w:r w:rsidR="00BF7B60">
              <w:rPr>
                <w:noProof/>
              </w:rPr>
              <w:t xml:space="preserve"> </w:t>
            </w:r>
          </w:p>
        </w:tc>
      </w:tr>
    </w:tbl>
    <w:p w14:paraId="66AF8BF3" w14:textId="61A53957" w:rsidR="00E42CFE" w:rsidRPr="00F92EAE" w:rsidRDefault="000577BA" w:rsidP="00E42CFE">
      <w:pPr>
        <w:rPr>
          <w:i/>
          <w:noProof/>
          <w:sz w:val="20"/>
        </w:rPr>
      </w:pPr>
      <w:r>
        <w:rPr>
          <w:i/>
          <w:noProof/>
          <w:sz w:val="20"/>
        </w:rPr>
        <w:br w:type="textWrapping" w:clear="all"/>
      </w:r>
      <w:r w:rsidR="00E42CFE" w:rsidRPr="00F92EAE">
        <w:rPr>
          <w:i/>
          <w:noProof/>
          <w:sz w:val="20"/>
        </w:rPr>
        <w:t xml:space="preserve">(1) Estimates are gross values relative to the baseline for the preferred option as a whole (i.e. the impact of individual actions/obligations of the </w:t>
      </w:r>
      <w:r w:rsidR="00E42CFE" w:rsidRPr="00B05194">
        <w:rPr>
          <w:i/>
          <w:noProof/>
          <w:sz w:val="20"/>
        </w:rPr>
        <w:t>preferred</w:t>
      </w:r>
      <w:r w:rsidR="00E42CFE" w:rsidRPr="00F92EAE">
        <w:rPr>
          <w:i/>
          <w:noProof/>
          <w:sz w:val="20"/>
        </w:rPr>
        <w:t xml:space="preserve"> option are aggregated together); (2) </w:t>
      </w:r>
      <w:r w:rsidR="00D720A8">
        <w:rPr>
          <w:i/>
          <w:noProof/>
          <w:sz w:val="20"/>
        </w:rPr>
        <w:t>In</w:t>
      </w:r>
      <w:r w:rsidR="00E42CFE" w:rsidRPr="00F92EAE">
        <w:rPr>
          <w:i/>
          <w:noProof/>
          <w:sz w:val="20"/>
        </w:rPr>
        <w:t xml:space="preserve"> the comment</w:t>
      </w:r>
      <w:r w:rsidR="00E42CFE">
        <w:rPr>
          <w:i/>
          <w:noProof/>
          <w:sz w:val="20"/>
        </w:rPr>
        <w:t>s</w:t>
      </w:r>
      <w:r w:rsidR="00E42CFE" w:rsidRPr="00F92EAE">
        <w:rPr>
          <w:i/>
          <w:noProof/>
          <w:sz w:val="20"/>
        </w:rPr>
        <w:t xml:space="preserve"> </w:t>
      </w:r>
      <w:r w:rsidR="00E42CFE">
        <w:rPr>
          <w:i/>
          <w:noProof/>
          <w:sz w:val="20"/>
        </w:rPr>
        <w:t>column</w:t>
      </w:r>
      <w:r w:rsidR="00E42CFE" w:rsidRPr="00F92EAE">
        <w:rPr>
          <w:i/>
          <w:noProof/>
          <w:sz w:val="20"/>
        </w:rPr>
        <w:t xml:space="preserve"> </w:t>
      </w:r>
      <w:r w:rsidR="00D720A8">
        <w:rPr>
          <w:i/>
          <w:noProof/>
          <w:sz w:val="20"/>
        </w:rPr>
        <w:t xml:space="preserve">the </w:t>
      </w:r>
      <w:r w:rsidR="00A2639A">
        <w:rPr>
          <w:i/>
          <w:noProof/>
          <w:sz w:val="20"/>
        </w:rPr>
        <w:t xml:space="preserve">key </w:t>
      </w:r>
      <w:r w:rsidR="00E42CFE" w:rsidRPr="00F92EAE">
        <w:rPr>
          <w:i/>
          <w:noProof/>
          <w:sz w:val="20"/>
        </w:rPr>
        <w:t xml:space="preserve">stakeholder group </w:t>
      </w:r>
      <w:r w:rsidR="00D720A8">
        <w:rPr>
          <w:i/>
          <w:noProof/>
          <w:sz w:val="20"/>
        </w:rPr>
        <w:t>as</w:t>
      </w:r>
      <w:r w:rsidR="00E42CFE" w:rsidRPr="00F92EAE">
        <w:rPr>
          <w:i/>
          <w:noProof/>
          <w:sz w:val="20"/>
        </w:rPr>
        <w:t xml:space="preserve"> main recipient of the benefit</w:t>
      </w:r>
      <w:r w:rsidR="00D720A8">
        <w:rPr>
          <w:i/>
          <w:noProof/>
          <w:sz w:val="20"/>
        </w:rPr>
        <w:t xml:space="preserve"> is presented</w:t>
      </w:r>
      <w:r w:rsidR="00E42CFE" w:rsidRPr="00F92EAE">
        <w:rPr>
          <w:i/>
          <w:noProof/>
          <w:sz w:val="20"/>
        </w:rPr>
        <w:t xml:space="preserve">;(3) </w:t>
      </w:r>
      <w:r w:rsidR="00DE706C">
        <w:rPr>
          <w:i/>
          <w:noProof/>
          <w:sz w:val="20"/>
        </w:rPr>
        <w:t>S</w:t>
      </w:r>
      <w:r w:rsidR="00D720A8">
        <w:rPr>
          <w:i/>
          <w:noProof/>
          <w:sz w:val="20"/>
        </w:rPr>
        <w:t>pillover effects and broader social benefits of enhanced digital infrastructure for citizens and consumers were hard to quantify given their lon</w:t>
      </w:r>
      <w:r w:rsidR="00A2639A">
        <w:rPr>
          <w:i/>
          <w:noProof/>
          <w:sz w:val="20"/>
        </w:rPr>
        <w:t xml:space="preserve">g-term and diffuse nature and were thus assessed only qualitatively. </w:t>
      </w:r>
    </w:p>
    <w:tbl>
      <w:tblPr>
        <w:tblStyle w:val="CV11"/>
        <w:tblW w:w="10134" w:type="dxa"/>
        <w:tblInd w:w="-5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771"/>
        <w:gridCol w:w="1276"/>
        <w:gridCol w:w="709"/>
        <w:gridCol w:w="992"/>
        <w:gridCol w:w="1276"/>
        <w:gridCol w:w="1417"/>
        <w:gridCol w:w="1276"/>
        <w:gridCol w:w="1417"/>
      </w:tblGrid>
      <w:tr w:rsidR="0014259A" w:rsidRPr="003855AF" w14:paraId="1FEBC047" w14:textId="77777777" w:rsidTr="12736745">
        <w:trPr>
          <w:tblHeader/>
        </w:trPr>
        <w:tc>
          <w:tcPr>
            <w:tcW w:w="10134" w:type="dxa"/>
            <w:gridSpan w:val="8"/>
            <w:shd w:val="clear" w:color="auto" w:fill="C6D9F1" w:themeFill="text2" w:themeFillTint="33"/>
            <w:tcMar>
              <w:top w:w="57" w:type="dxa"/>
              <w:left w:w="57" w:type="dxa"/>
              <w:bottom w:w="57" w:type="dxa"/>
              <w:right w:w="57" w:type="dxa"/>
            </w:tcMar>
          </w:tcPr>
          <w:p w14:paraId="3D8484E9" w14:textId="428AB652" w:rsidR="00E42CFE" w:rsidRPr="00A92A5F" w:rsidRDefault="00E42CFE">
            <w:pPr>
              <w:spacing w:after="0"/>
              <w:rPr>
                <w:b/>
                <w:noProof/>
                <w:sz w:val="18"/>
                <w:szCs w:val="18"/>
              </w:rPr>
            </w:pPr>
            <w:r w:rsidRPr="00A92A5F">
              <w:rPr>
                <w:b/>
                <w:noProof/>
                <w:sz w:val="18"/>
                <w:szCs w:val="18"/>
              </w:rPr>
              <w:t xml:space="preserve">II. Overview of </w:t>
            </w:r>
            <w:r w:rsidR="00D70B38">
              <w:rPr>
                <w:b/>
                <w:noProof/>
                <w:sz w:val="18"/>
                <w:szCs w:val="18"/>
              </w:rPr>
              <w:t xml:space="preserve">expected </w:t>
            </w:r>
            <w:r w:rsidRPr="00A92A5F">
              <w:rPr>
                <w:b/>
                <w:noProof/>
                <w:sz w:val="18"/>
                <w:szCs w:val="18"/>
              </w:rPr>
              <w:t>costs</w:t>
            </w:r>
            <w:r w:rsidR="002E765B">
              <w:rPr>
                <w:b/>
                <w:noProof/>
                <w:sz w:val="18"/>
                <w:szCs w:val="18"/>
              </w:rPr>
              <w:t xml:space="preserve">, </w:t>
            </w:r>
            <w:r w:rsidR="005C37E6">
              <w:rPr>
                <w:b/>
                <w:noProof/>
                <w:sz w:val="18"/>
                <w:szCs w:val="18"/>
              </w:rPr>
              <w:t>i</w:t>
            </w:r>
            <w:r w:rsidR="002E765B">
              <w:rPr>
                <w:b/>
                <w:noProof/>
                <w:sz w:val="18"/>
                <w:szCs w:val="18"/>
              </w:rPr>
              <w:t xml:space="preserve">ndicative ranges as discounted NPV over 10 years </w:t>
            </w:r>
            <w:r w:rsidRPr="00A92A5F">
              <w:rPr>
                <w:b/>
                <w:noProof/>
                <w:sz w:val="18"/>
                <w:szCs w:val="18"/>
              </w:rPr>
              <w:t>– Preferred option</w:t>
            </w:r>
            <w:r w:rsidR="00E22403">
              <w:rPr>
                <w:b/>
                <w:noProof/>
                <w:sz w:val="18"/>
                <w:szCs w:val="18"/>
              </w:rPr>
              <w:t xml:space="preserve"> </w:t>
            </w:r>
          </w:p>
        </w:tc>
      </w:tr>
      <w:tr w:rsidR="00FB4987" w:rsidRPr="003855AF" w14:paraId="4FE3FE12" w14:textId="77777777" w:rsidTr="12736745">
        <w:trPr>
          <w:tblHeader/>
        </w:trPr>
        <w:tc>
          <w:tcPr>
            <w:tcW w:w="304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323C3145" w14:textId="77777777" w:rsidR="00E42CFE" w:rsidRPr="00A92A5F" w:rsidRDefault="00E42CFE">
            <w:pPr>
              <w:spacing w:after="0"/>
              <w:rPr>
                <w:b/>
                <w:noProof/>
                <w:sz w:val="18"/>
                <w:szCs w:val="18"/>
              </w:rPr>
            </w:pPr>
          </w:p>
        </w:tc>
        <w:tc>
          <w:tcPr>
            <w:tcW w:w="1701" w:type="dxa"/>
            <w:gridSpan w:val="2"/>
            <w:tcBorders>
              <w:left w:val="double" w:sz="4" w:space="0" w:color="auto"/>
            </w:tcBorders>
            <w:tcMar>
              <w:top w:w="57" w:type="dxa"/>
              <w:left w:w="57" w:type="dxa"/>
              <w:bottom w:w="57" w:type="dxa"/>
              <w:right w:w="57" w:type="dxa"/>
            </w:tcMar>
          </w:tcPr>
          <w:p w14:paraId="4A3AF6DD" w14:textId="77777777" w:rsidR="00E42CFE" w:rsidRPr="00A92A5F" w:rsidRDefault="00E42CFE">
            <w:pPr>
              <w:spacing w:after="0"/>
              <w:jc w:val="center"/>
              <w:rPr>
                <w:b/>
                <w:noProof/>
                <w:sz w:val="18"/>
                <w:szCs w:val="18"/>
              </w:rPr>
            </w:pPr>
            <w:r w:rsidRPr="00A92A5F">
              <w:rPr>
                <w:b/>
                <w:noProof/>
                <w:sz w:val="18"/>
                <w:szCs w:val="18"/>
              </w:rPr>
              <w:t>Citizens/Consumers</w:t>
            </w:r>
          </w:p>
        </w:tc>
        <w:tc>
          <w:tcPr>
            <w:tcW w:w="2693" w:type="dxa"/>
            <w:gridSpan w:val="2"/>
            <w:tcMar>
              <w:top w:w="57" w:type="dxa"/>
              <w:left w:w="57" w:type="dxa"/>
              <w:bottom w:w="57" w:type="dxa"/>
              <w:right w:w="57" w:type="dxa"/>
            </w:tcMar>
          </w:tcPr>
          <w:p w14:paraId="6293F406" w14:textId="77777777" w:rsidR="009F7191" w:rsidRDefault="00E42CFE">
            <w:pPr>
              <w:spacing w:after="0"/>
              <w:jc w:val="center"/>
              <w:rPr>
                <w:b/>
                <w:noProof/>
                <w:sz w:val="18"/>
                <w:szCs w:val="18"/>
              </w:rPr>
            </w:pPr>
            <w:r w:rsidRPr="00A92A5F">
              <w:rPr>
                <w:b/>
                <w:noProof/>
                <w:sz w:val="18"/>
                <w:szCs w:val="18"/>
              </w:rPr>
              <w:t>Businesses</w:t>
            </w:r>
            <w:r w:rsidR="009F7191">
              <w:rPr>
                <w:b/>
                <w:noProof/>
                <w:sz w:val="18"/>
                <w:szCs w:val="18"/>
              </w:rPr>
              <w:t xml:space="preserve"> </w:t>
            </w:r>
          </w:p>
          <w:p w14:paraId="531D4B1C" w14:textId="73F72544" w:rsidR="00E42CFE" w:rsidRPr="00E47447" w:rsidRDefault="00E47447">
            <w:pPr>
              <w:spacing w:after="0"/>
              <w:jc w:val="center"/>
              <w:rPr>
                <w:bCs/>
                <w:noProof/>
                <w:sz w:val="18"/>
                <w:szCs w:val="18"/>
              </w:rPr>
            </w:pPr>
            <w:r w:rsidRPr="00E47447">
              <w:rPr>
                <w:bCs/>
                <w:noProof/>
                <w:sz w:val="18"/>
                <w:szCs w:val="18"/>
              </w:rPr>
              <w:t>(including SMEs)</w:t>
            </w:r>
          </w:p>
        </w:tc>
        <w:tc>
          <w:tcPr>
            <w:tcW w:w="2693" w:type="dxa"/>
            <w:gridSpan w:val="2"/>
            <w:tcMar>
              <w:top w:w="57" w:type="dxa"/>
              <w:left w:w="57" w:type="dxa"/>
              <w:bottom w:w="57" w:type="dxa"/>
              <w:right w:w="57" w:type="dxa"/>
            </w:tcMar>
          </w:tcPr>
          <w:p w14:paraId="25D74E4F" w14:textId="66C4D2F8" w:rsidR="00E42CFE" w:rsidRPr="00A92A5F" w:rsidRDefault="00E42CFE">
            <w:pPr>
              <w:spacing w:after="0"/>
              <w:jc w:val="center"/>
              <w:rPr>
                <w:b/>
                <w:noProof/>
                <w:sz w:val="18"/>
                <w:szCs w:val="18"/>
              </w:rPr>
            </w:pPr>
            <w:r w:rsidRPr="00A92A5F">
              <w:rPr>
                <w:b/>
                <w:noProof/>
                <w:sz w:val="18"/>
                <w:szCs w:val="18"/>
              </w:rPr>
              <w:t>Administrations</w:t>
            </w:r>
            <w:r w:rsidR="008F6355">
              <w:rPr>
                <w:b/>
                <w:noProof/>
                <w:sz w:val="18"/>
                <w:szCs w:val="18"/>
              </w:rPr>
              <w:t xml:space="preserve"> </w:t>
            </w:r>
            <w:r w:rsidR="008F6355" w:rsidRPr="008F6355">
              <w:rPr>
                <w:bCs/>
                <w:noProof/>
                <w:sz w:val="18"/>
                <w:szCs w:val="18"/>
              </w:rPr>
              <w:t>(national public and European Commission)</w:t>
            </w:r>
          </w:p>
        </w:tc>
      </w:tr>
      <w:tr w:rsidR="00FB4987" w:rsidRPr="003855AF" w14:paraId="53888277" w14:textId="77777777" w:rsidTr="12736745">
        <w:trPr>
          <w:tblHeader/>
        </w:trPr>
        <w:tc>
          <w:tcPr>
            <w:tcW w:w="3047" w:type="dxa"/>
            <w:gridSpan w:val="2"/>
            <w:vMerge/>
            <w:tcBorders>
              <w:tl2br w:val="double" w:sz="4" w:space="0" w:color="auto"/>
            </w:tcBorders>
            <w:tcMar>
              <w:top w:w="57" w:type="dxa"/>
              <w:left w:w="57" w:type="dxa"/>
              <w:bottom w:w="57" w:type="dxa"/>
              <w:right w:w="57" w:type="dxa"/>
            </w:tcMar>
          </w:tcPr>
          <w:p w14:paraId="7896DC6A" w14:textId="77777777" w:rsidR="00E42CFE" w:rsidRPr="00A92A5F" w:rsidRDefault="00E42CFE">
            <w:pPr>
              <w:spacing w:after="0"/>
              <w:rPr>
                <w:b/>
                <w:noProof/>
                <w:sz w:val="18"/>
                <w:szCs w:val="18"/>
              </w:rPr>
            </w:pPr>
          </w:p>
        </w:tc>
        <w:tc>
          <w:tcPr>
            <w:tcW w:w="709" w:type="dxa"/>
            <w:tcBorders>
              <w:left w:val="double" w:sz="4" w:space="0" w:color="auto"/>
              <w:bottom w:val="double" w:sz="4" w:space="0" w:color="auto"/>
            </w:tcBorders>
            <w:tcMar>
              <w:top w:w="57" w:type="dxa"/>
              <w:left w:w="57" w:type="dxa"/>
              <w:bottom w:w="57" w:type="dxa"/>
              <w:right w:w="57" w:type="dxa"/>
            </w:tcMar>
          </w:tcPr>
          <w:p w14:paraId="4E92D394" w14:textId="77777777" w:rsidR="00E42CFE" w:rsidRPr="00A92A5F" w:rsidRDefault="00E42CFE">
            <w:pPr>
              <w:spacing w:after="0"/>
              <w:jc w:val="center"/>
              <w:rPr>
                <w:b/>
                <w:noProof/>
                <w:sz w:val="18"/>
                <w:szCs w:val="18"/>
              </w:rPr>
            </w:pPr>
            <w:r w:rsidRPr="00A92A5F">
              <w:rPr>
                <w:b/>
                <w:noProof/>
                <w:sz w:val="18"/>
                <w:szCs w:val="18"/>
              </w:rPr>
              <w:t>One-off</w:t>
            </w:r>
          </w:p>
        </w:tc>
        <w:tc>
          <w:tcPr>
            <w:tcW w:w="992" w:type="dxa"/>
            <w:tcBorders>
              <w:bottom w:val="double" w:sz="4" w:space="0" w:color="auto"/>
            </w:tcBorders>
            <w:tcMar>
              <w:top w:w="57" w:type="dxa"/>
              <w:left w:w="57" w:type="dxa"/>
              <w:bottom w:w="57" w:type="dxa"/>
              <w:right w:w="57" w:type="dxa"/>
            </w:tcMar>
          </w:tcPr>
          <w:p w14:paraId="71CBC561" w14:textId="77777777" w:rsidR="00E42CFE" w:rsidRPr="00A92A5F" w:rsidRDefault="00E42CFE">
            <w:pPr>
              <w:spacing w:after="0"/>
              <w:jc w:val="center"/>
              <w:rPr>
                <w:b/>
                <w:noProof/>
                <w:sz w:val="18"/>
                <w:szCs w:val="18"/>
              </w:rPr>
            </w:pPr>
            <w:r w:rsidRPr="00A92A5F">
              <w:rPr>
                <w:b/>
                <w:noProof/>
                <w:sz w:val="18"/>
                <w:szCs w:val="18"/>
              </w:rPr>
              <w:t>Recurrent</w:t>
            </w:r>
          </w:p>
        </w:tc>
        <w:tc>
          <w:tcPr>
            <w:tcW w:w="1276" w:type="dxa"/>
            <w:tcBorders>
              <w:bottom w:val="double" w:sz="4" w:space="0" w:color="auto"/>
            </w:tcBorders>
            <w:tcMar>
              <w:top w:w="57" w:type="dxa"/>
              <w:left w:w="57" w:type="dxa"/>
              <w:bottom w:w="57" w:type="dxa"/>
              <w:right w:w="57" w:type="dxa"/>
            </w:tcMar>
          </w:tcPr>
          <w:p w14:paraId="31601AAB" w14:textId="77777777" w:rsidR="00E42CFE" w:rsidRPr="00A92A5F" w:rsidRDefault="00E42CFE">
            <w:pPr>
              <w:spacing w:after="0"/>
              <w:jc w:val="center"/>
              <w:rPr>
                <w:b/>
                <w:noProof/>
                <w:sz w:val="18"/>
                <w:szCs w:val="18"/>
              </w:rPr>
            </w:pPr>
            <w:r w:rsidRPr="00A92A5F">
              <w:rPr>
                <w:b/>
                <w:noProof/>
                <w:sz w:val="18"/>
                <w:szCs w:val="18"/>
              </w:rPr>
              <w:t>One-off</w:t>
            </w:r>
          </w:p>
        </w:tc>
        <w:tc>
          <w:tcPr>
            <w:tcW w:w="1417" w:type="dxa"/>
            <w:tcBorders>
              <w:bottom w:val="double" w:sz="4" w:space="0" w:color="auto"/>
            </w:tcBorders>
            <w:tcMar>
              <w:top w:w="57" w:type="dxa"/>
              <w:left w:w="57" w:type="dxa"/>
              <w:bottom w:w="57" w:type="dxa"/>
              <w:right w:w="57" w:type="dxa"/>
            </w:tcMar>
          </w:tcPr>
          <w:p w14:paraId="4EEBD27C" w14:textId="77777777" w:rsidR="00E42CFE" w:rsidRPr="00A92A5F" w:rsidRDefault="00E42CFE">
            <w:pPr>
              <w:spacing w:after="0"/>
              <w:jc w:val="center"/>
              <w:rPr>
                <w:b/>
                <w:noProof/>
                <w:sz w:val="18"/>
                <w:szCs w:val="18"/>
              </w:rPr>
            </w:pPr>
            <w:r w:rsidRPr="00A92A5F">
              <w:rPr>
                <w:b/>
                <w:noProof/>
                <w:sz w:val="18"/>
                <w:szCs w:val="18"/>
              </w:rPr>
              <w:t>Recurrent</w:t>
            </w:r>
          </w:p>
        </w:tc>
        <w:tc>
          <w:tcPr>
            <w:tcW w:w="1276" w:type="dxa"/>
            <w:tcBorders>
              <w:bottom w:val="double" w:sz="4" w:space="0" w:color="auto"/>
            </w:tcBorders>
            <w:tcMar>
              <w:top w:w="57" w:type="dxa"/>
              <w:left w:w="57" w:type="dxa"/>
              <w:bottom w:w="57" w:type="dxa"/>
              <w:right w:w="57" w:type="dxa"/>
            </w:tcMar>
          </w:tcPr>
          <w:p w14:paraId="47F6BA02" w14:textId="77777777" w:rsidR="00E42CFE" w:rsidRPr="00A92A5F" w:rsidRDefault="00E42CFE">
            <w:pPr>
              <w:spacing w:after="0"/>
              <w:jc w:val="center"/>
              <w:rPr>
                <w:b/>
                <w:noProof/>
                <w:sz w:val="18"/>
                <w:szCs w:val="18"/>
              </w:rPr>
            </w:pPr>
            <w:r w:rsidRPr="00A92A5F">
              <w:rPr>
                <w:b/>
                <w:noProof/>
                <w:sz w:val="18"/>
                <w:szCs w:val="18"/>
              </w:rPr>
              <w:t>One-off</w:t>
            </w:r>
          </w:p>
        </w:tc>
        <w:tc>
          <w:tcPr>
            <w:tcW w:w="1417" w:type="dxa"/>
            <w:tcBorders>
              <w:bottom w:val="double" w:sz="4" w:space="0" w:color="auto"/>
            </w:tcBorders>
            <w:tcMar>
              <w:top w:w="57" w:type="dxa"/>
              <w:left w:w="57" w:type="dxa"/>
              <w:bottom w:w="57" w:type="dxa"/>
              <w:right w:w="57" w:type="dxa"/>
            </w:tcMar>
          </w:tcPr>
          <w:p w14:paraId="5F4ACC32" w14:textId="77777777" w:rsidR="00E42CFE" w:rsidRPr="00A92A5F" w:rsidRDefault="00E42CFE">
            <w:pPr>
              <w:spacing w:after="0"/>
              <w:jc w:val="center"/>
              <w:rPr>
                <w:b/>
                <w:noProof/>
                <w:sz w:val="18"/>
                <w:szCs w:val="18"/>
              </w:rPr>
            </w:pPr>
            <w:r w:rsidRPr="00A92A5F">
              <w:rPr>
                <w:b/>
                <w:noProof/>
                <w:sz w:val="18"/>
                <w:szCs w:val="18"/>
              </w:rPr>
              <w:t>Recurrent</w:t>
            </w:r>
          </w:p>
        </w:tc>
      </w:tr>
      <w:tr w:rsidR="0014259A" w:rsidRPr="003855AF" w14:paraId="3B1FB8EB" w14:textId="77777777" w:rsidTr="12736745">
        <w:trPr>
          <w:trHeight w:val="676"/>
        </w:trPr>
        <w:tc>
          <w:tcPr>
            <w:tcW w:w="1771" w:type="dxa"/>
            <w:vMerge w:val="restart"/>
            <w:tcMar>
              <w:top w:w="57" w:type="dxa"/>
              <w:left w:w="57" w:type="dxa"/>
              <w:bottom w:w="57" w:type="dxa"/>
              <w:right w:w="57" w:type="dxa"/>
            </w:tcMar>
            <w:vAlign w:val="center"/>
          </w:tcPr>
          <w:p w14:paraId="3701E313" w14:textId="46376710" w:rsidR="00E42CFE" w:rsidRPr="00FF5692" w:rsidRDefault="00A70D46" w:rsidP="00A70D46">
            <w:pPr>
              <w:spacing w:after="0"/>
              <w:jc w:val="left"/>
              <w:rPr>
                <w:noProof/>
                <w:sz w:val="18"/>
                <w:szCs w:val="18"/>
              </w:rPr>
            </w:pPr>
            <w:r w:rsidRPr="00A70D46">
              <w:rPr>
                <w:noProof/>
                <w:sz w:val="18"/>
                <w:szCs w:val="16"/>
              </w:rPr>
              <w:t>Legislative and financial intervention enforced nationally</w:t>
            </w:r>
            <w:r>
              <w:rPr>
                <w:noProof/>
                <w:sz w:val="16"/>
                <w:szCs w:val="16"/>
              </w:rPr>
              <w:t xml:space="preserve">: </w:t>
            </w:r>
            <w:r w:rsidR="001D0757" w:rsidRPr="00FF5692">
              <w:rPr>
                <w:noProof/>
                <w:sz w:val="18"/>
                <w:szCs w:val="18"/>
              </w:rPr>
              <w:t>Administrative simplification and fast-track areas for the roll-out of data centres</w:t>
            </w:r>
            <w:r w:rsidR="003855AF" w:rsidRPr="00FF5692">
              <w:rPr>
                <w:noProof/>
                <w:sz w:val="18"/>
                <w:szCs w:val="18"/>
              </w:rPr>
              <w:t xml:space="preserve">; support measures and deployment </w:t>
            </w:r>
            <w:r w:rsidR="00C35DF4" w:rsidRPr="00FF5692">
              <w:rPr>
                <w:noProof/>
                <w:sz w:val="18"/>
                <w:szCs w:val="18"/>
              </w:rPr>
              <w:t xml:space="preserve">targets </w:t>
            </w:r>
            <w:r w:rsidR="00C35DF4">
              <w:rPr>
                <w:noProof/>
                <w:sz w:val="18"/>
                <w:szCs w:val="18"/>
              </w:rPr>
              <w:t>also based</w:t>
            </w:r>
            <w:r w:rsidR="005C2915">
              <w:rPr>
                <w:noProof/>
                <w:sz w:val="18"/>
                <w:szCs w:val="18"/>
              </w:rPr>
              <w:t xml:space="preserve"> on national data centre strategies </w:t>
            </w:r>
            <w:r w:rsidR="00574CF6" w:rsidRPr="00FF5692">
              <w:rPr>
                <w:noProof/>
                <w:sz w:val="18"/>
                <w:szCs w:val="18"/>
              </w:rPr>
              <w:t>(PO1-B)</w:t>
            </w:r>
          </w:p>
        </w:tc>
        <w:tc>
          <w:tcPr>
            <w:tcW w:w="1276" w:type="dxa"/>
            <w:tcBorders>
              <w:right w:val="double" w:sz="4" w:space="0" w:color="auto"/>
            </w:tcBorders>
            <w:tcMar>
              <w:top w:w="57" w:type="dxa"/>
              <w:left w:w="57" w:type="dxa"/>
              <w:bottom w:w="57" w:type="dxa"/>
              <w:right w:w="57" w:type="dxa"/>
            </w:tcMar>
            <w:vAlign w:val="center"/>
          </w:tcPr>
          <w:p w14:paraId="5E71338E" w14:textId="77777777" w:rsidR="00E42CFE" w:rsidRPr="00A92A5F" w:rsidRDefault="00E42CFE">
            <w:pPr>
              <w:spacing w:after="0"/>
              <w:jc w:val="left"/>
              <w:rPr>
                <w:noProof/>
                <w:sz w:val="18"/>
                <w:szCs w:val="18"/>
              </w:rPr>
            </w:pPr>
            <w:r w:rsidRPr="00A92A5F">
              <w:rPr>
                <w:noProof/>
                <w:sz w:val="18"/>
                <w:szCs w:val="18"/>
              </w:rPr>
              <w:t>Direct adjustment costs</w:t>
            </w:r>
          </w:p>
        </w:tc>
        <w:tc>
          <w:tcPr>
            <w:tcW w:w="709" w:type="dxa"/>
            <w:tcBorders>
              <w:left w:val="double" w:sz="4" w:space="0" w:color="auto"/>
            </w:tcBorders>
            <w:tcMar>
              <w:top w:w="57" w:type="dxa"/>
              <w:left w:w="57" w:type="dxa"/>
              <w:bottom w:w="57" w:type="dxa"/>
              <w:right w:w="57" w:type="dxa"/>
            </w:tcMar>
            <w:vAlign w:val="center"/>
          </w:tcPr>
          <w:p w14:paraId="37D3BEC1" w14:textId="77777777" w:rsidR="00E42CFE" w:rsidRPr="00A92A5F" w:rsidRDefault="00E42CFE">
            <w:pPr>
              <w:spacing w:after="0"/>
              <w:rPr>
                <w:noProof/>
                <w:sz w:val="18"/>
                <w:szCs w:val="18"/>
              </w:rPr>
            </w:pPr>
          </w:p>
        </w:tc>
        <w:tc>
          <w:tcPr>
            <w:tcW w:w="992" w:type="dxa"/>
            <w:tcMar>
              <w:top w:w="57" w:type="dxa"/>
              <w:left w:w="57" w:type="dxa"/>
              <w:bottom w:w="57" w:type="dxa"/>
              <w:right w:w="57" w:type="dxa"/>
            </w:tcMar>
            <w:vAlign w:val="center"/>
          </w:tcPr>
          <w:p w14:paraId="5149C8BB" w14:textId="77777777" w:rsidR="00E42CFE" w:rsidRPr="00A92A5F" w:rsidRDefault="00E42CFE">
            <w:pPr>
              <w:spacing w:after="0"/>
              <w:rPr>
                <w:noProof/>
                <w:sz w:val="18"/>
                <w:szCs w:val="18"/>
              </w:rPr>
            </w:pPr>
          </w:p>
        </w:tc>
        <w:tc>
          <w:tcPr>
            <w:tcW w:w="1276" w:type="dxa"/>
            <w:tcMar>
              <w:top w:w="57" w:type="dxa"/>
              <w:left w:w="57" w:type="dxa"/>
              <w:bottom w:w="57" w:type="dxa"/>
              <w:right w:w="57" w:type="dxa"/>
            </w:tcMar>
            <w:vAlign w:val="center"/>
          </w:tcPr>
          <w:p w14:paraId="16A686E0" w14:textId="1FBF8F2A" w:rsidR="00E42CFE" w:rsidRPr="00F102F9" w:rsidRDefault="008F6355" w:rsidP="000A1F7C">
            <w:pPr>
              <w:spacing w:after="0"/>
              <w:jc w:val="right"/>
              <w:rPr>
                <w:noProof/>
                <w:sz w:val="18"/>
                <w:szCs w:val="18"/>
              </w:rPr>
            </w:pPr>
            <w:r>
              <w:rPr>
                <w:noProof/>
                <w:sz w:val="18"/>
                <w:szCs w:val="18"/>
              </w:rPr>
              <w:t xml:space="preserve"> </w:t>
            </w:r>
            <w:r w:rsidR="002E765B">
              <w:rPr>
                <w:noProof/>
                <w:sz w:val="18"/>
                <w:szCs w:val="18"/>
              </w:rPr>
              <w:t>EUR 6 – 26 m</w:t>
            </w:r>
          </w:p>
        </w:tc>
        <w:tc>
          <w:tcPr>
            <w:tcW w:w="1417" w:type="dxa"/>
            <w:tcMar>
              <w:top w:w="57" w:type="dxa"/>
              <w:left w:w="57" w:type="dxa"/>
              <w:bottom w:w="57" w:type="dxa"/>
              <w:right w:w="57" w:type="dxa"/>
            </w:tcMar>
            <w:vAlign w:val="center"/>
          </w:tcPr>
          <w:p w14:paraId="0D910A28" w14:textId="77777777" w:rsidR="00E42CFE" w:rsidRPr="00F102F9" w:rsidRDefault="00E42CFE" w:rsidP="000A1F7C">
            <w:pPr>
              <w:spacing w:after="0"/>
              <w:jc w:val="right"/>
              <w:rPr>
                <w:noProof/>
                <w:sz w:val="18"/>
                <w:szCs w:val="18"/>
              </w:rPr>
            </w:pPr>
          </w:p>
        </w:tc>
        <w:tc>
          <w:tcPr>
            <w:tcW w:w="1276" w:type="dxa"/>
            <w:tcMar>
              <w:top w:w="57" w:type="dxa"/>
              <w:left w:w="57" w:type="dxa"/>
              <w:bottom w:w="57" w:type="dxa"/>
              <w:right w:w="57" w:type="dxa"/>
            </w:tcMar>
            <w:vAlign w:val="center"/>
          </w:tcPr>
          <w:p w14:paraId="103F5EA6" w14:textId="506A40F8" w:rsidR="00E42CFE" w:rsidRPr="00090C65" w:rsidRDefault="0086009C" w:rsidP="000A1F7C">
            <w:pPr>
              <w:spacing w:after="0"/>
              <w:jc w:val="right"/>
              <w:rPr>
                <w:noProof/>
                <w:sz w:val="18"/>
                <w:szCs w:val="18"/>
              </w:rPr>
            </w:pPr>
            <w:r>
              <w:rPr>
                <w:noProof/>
                <w:sz w:val="18"/>
                <w:szCs w:val="18"/>
              </w:rPr>
              <w:t>EUR 28 – 43 m</w:t>
            </w:r>
          </w:p>
        </w:tc>
        <w:tc>
          <w:tcPr>
            <w:tcW w:w="1417" w:type="dxa"/>
            <w:tcMar>
              <w:top w:w="57" w:type="dxa"/>
              <w:left w:w="57" w:type="dxa"/>
              <w:bottom w:w="57" w:type="dxa"/>
              <w:right w:w="57" w:type="dxa"/>
            </w:tcMar>
            <w:vAlign w:val="center"/>
          </w:tcPr>
          <w:p w14:paraId="6A1ED008" w14:textId="7B05AEC7" w:rsidR="00E42CFE" w:rsidRPr="00090C65" w:rsidRDefault="007151B2" w:rsidP="000A1F7C">
            <w:pPr>
              <w:spacing w:after="0"/>
              <w:jc w:val="right"/>
              <w:rPr>
                <w:noProof/>
                <w:sz w:val="18"/>
                <w:szCs w:val="18"/>
              </w:rPr>
            </w:pPr>
            <w:r>
              <w:rPr>
                <w:noProof/>
                <w:sz w:val="18"/>
                <w:szCs w:val="18"/>
              </w:rPr>
              <w:t>EUR 2 – 14 m</w:t>
            </w:r>
          </w:p>
        </w:tc>
      </w:tr>
      <w:tr w:rsidR="0014259A" w:rsidRPr="003855AF" w14:paraId="4EE898B1" w14:textId="77777777" w:rsidTr="12736745">
        <w:trPr>
          <w:trHeight w:val="676"/>
        </w:trPr>
        <w:tc>
          <w:tcPr>
            <w:tcW w:w="1771" w:type="dxa"/>
            <w:vMerge/>
            <w:tcMar>
              <w:top w:w="57" w:type="dxa"/>
              <w:left w:w="57" w:type="dxa"/>
              <w:bottom w:w="57" w:type="dxa"/>
              <w:right w:w="57" w:type="dxa"/>
            </w:tcMar>
            <w:vAlign w:val="center"/>
          </w:tcPr>
          <w:p w14:paraId="4B05EC6F" w14:textId="77777777" w:rsidR="008559E0" w:rsidRPr="00FF5692" w:rsidRDefault="008559E0" w:rsidP="00FF5692">
            <w:pPr>
              <w:spacing w:after="0"/>
              <w:jc w:val="left"/>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3D4C28BA" w14:textId="77777777" w:rsidR="008559E0" w:rsidRPr="00A92A5F" w:rsidRDefault="008559E0" w:rsidP="008559E0">
            <w:pPr>
              <w:spacing w:after="0"/>
              <w:jc w:val="left"/>
              <w:rPr>
                <w:noProof/>
                <w:sz w:val="18"/>
                <w:szCs w:val="18"/>
              </w:rPr>
            </w:pPr>
            <w:r w:rsidRPr="00A92A5F">
              <w:rPr>
                <w:noProof/>
                <w:sz w:val="18"/>
                <w:szCs w:val="18"/>
              </w:rPr>
              <w:t>Direct administrative costs</w:t>
            </w:r>
          </w:p>
        </w:tc>
        <w:tc>
          <w:tcPr>
            <w:tcW w:w="709" w:type="dxa"/>
            <w:tcBorders>
              <w:left w:val="double" w:sz="4" w:space="0" w:color="auto"/>
            </w:tcBorders>
            <w:tcMar>
              <w:top w:w="57" w:type="dxa"/>
              <w:left w:w="57" w:type="dxa"/>
              <w:bottom w:w="57" w:type="dxa"/>
              <w:right w:w="57" w:type="dxa"/>
            </w:tcMar>
            <w:vAlign w:val="center"/>
          </w:tcPr>
          <w:p w14:paraId="2DC34F92" w14:textId="77777777" w:rsidR="008559E0" w:rsidRPr="00A92A5F" w:rsidRDefault="008559E0" w:rsidP="008559E0">
            <w:pPr>
              <w:spacing w:after="0"/>
              <w:rPr>
                <w:noProof/>
                <w:sz w:val="18"/>
                <w:szCs w:val="18"/>
              </w:rPr>
            </w:pPr>
          </w:p>
        </w:tc>
        <w:tc>
          <w:tcPr>
            <w:tcW w:w="992" w:type="dxa"/>
            <w:tcMar>
              <w:top w:w="57" w:type="dxa"/>
              <w:left w:w="57" w:type="dxa"/>
              <w:bottom w:w="57" w:type="dxa"/>
              <w:right w:w="57" w:type="dxa"/>
            </w:tcMar>
            <w:vAlign w:val="center"/>
          </w:tcPr>
          <w:p w14:paraId="38D07260" w14:textId="77777777" w:rsidR="008559E0" w:rsidRPr="00A92A5F" w:rsidRDefault="008559E0" w:rsidP="008559E0">
            <w:pPr>
              <w:spacing w:after="0"/>
              <w:rPr>
                <w:noProof/>
                <w:sz w:val="18"/>
                <w:szCs w:val="18"/>
              </w:rPr>
            </w:pPr>
          </w:p>
        </w:tc>
        <w:tc>
          <w:tcPr>
            <w:tcW w:w="1276" w:type="dxa"/>
            <w:tcMar>
              <w:top w:w="57" w:type="dxa"/>
              <w:left w:w="57" w:type="dxa"/>
              <w:bottom w:w="57" w:type="dxa"/>
              <w:right w:w="57" w:type="dxa"/>
            </w:tcMar>
            <w:vAlign w:val="center"/>
          </w:tcPr>
          <w:p w14:paraId="2FC09AA7" w14:textId="221F7C71" w:rsidR="008559E0" w:rsidRPr="00090C65" w:rsidRDefault="00D90D40" w:rsidP="000A1F7C">
            <w:pPr>
              <w:spacing w:after="0"/>
              <w:jc w:val="right"/>
              <w:rPr>
                <w:noProof/>
                <w:sz w:val="18"/>
                <w:szCs w:val="18"/>
              </w:rPr>
            </w:pPr>
            <w:r>
              <w:rPr>
                <w:noProof/>
                <w:sz w:val="18"/>
                <w:szCs w:val="18"/>
              </w:rPr>
              <w:t xml:space="preserve">EUR 1 – </w:t>
            </w:r>
            <w:r w:rsidR="00C25768">
              <w:rPr>
                <w:noProof/>
                <w:sz w:val="18"/>
                <w:szCs w:val="18"/>
              </w:rPr>
              <w:t>4</w:t>
            </w:r>
            <w:r>
              <w:rPr>
                <w:noProof/>
                <w:sz w:val="18"/>
                <w:szCs w:val="18"/>
              </w:rPr>
              <w:t xml:space="preserve"> m</w:t>
            </w:r>
          </w:p>
        </w:tc>
        <w:tc>
          <w:tcPr>
            <w:tcW w:w="1417" w:type="dxa"/>
            <w:tcMar>
              <w:top w:w="57" w:type="dxa"/>
              <w:left w:w="57" w:type="dxa"/>
              <w:bottom w:w="57" w:type="dxa"/>
              <w:right w:w="57" w:type="dxa"/>
            </w:tcMar>
            <w:vAlign w:val="center"/>
          </w:tcPr>
          <w:p w14:paraId="0AF9C0FA" w14:textId="450489DD" w:rsidR="008559E0" w:rsidRPr="00090C65" w:rsidRDefault="00761C9F" w:rsidP="000A1F7C">
            <w:pPr>
              <w:spacing w:after="0"/>
              <w:jc w:val="right"/>
              <w:rPr>
                <w:noProof/>
                <w:sz w:val="18"/>
                <w:szCs w:val="18"/>
              </w:rPr>
            </w:pPr>
            <w:r>
              <w:rPr>
                <w:noProof/>
                <w:sz w:val="18"/>
                <w:szCs w:val="18"/>
              </w:rPr>
              <w:t>EUR 0.2 – 0.6 m</w:t>
            </w:r>
          </w:p>
        </w:tc>
        <w:tc>
          <w:tcPr>
            <w:tcW w:w="1276" w:type="dxa"/>
            <w:tcMar>
              <w:top w:w="57" w:type="dxa"/>
              <w:left w:w="57" w:type="dxa"/>
              <w:bottom w:w="57" w:type="dxa"/>
              <w:right w:w="57" w:type="dxa"/>
            </w:tcMar>
            <w:vAlign w:val="center"/>
          </w:tcPr>
          <w:p w14:paraId="2A6CF52A" w14:textId="5A29B0D6" w:rsidR="008559E0" w:rsidRPr="00090C65" w:rsidRDefault="00987C82" w:rsidP="000A1F7C">
            <w:pPr>
              <w:spacing w:after="0"/>
              <w:jc w:val="right"/>
              <w:rPr>
                <w:noProof/>
                <w:sz w:val="18"/>
                <w:szCs w:val="18"/>
              </w:rPr>
            </w:pPr>
            <w:r>
              <w:rPr>
                <w:noProof/>
                <w:sz w:val="18"/>
                <w:szCs w:val="18"/>
              </w:rPr>
              <w:t xml:space="preserve">EUR 1 – </w:t>
            </w:r>
            <w:r w:rsidR="0066141C">
              <w:rPr>
                <w:noProof/>
                <w:sz w:val="18"/>
                <w:szCs w:val="18"/>
              </w:rPr>
              <w:t>6</w:t>
            </w:r>
            <w:r>
              <w:rPr>
                <w:noProof/>
                <w:sz w:val="18"/>
                <w:szCs w:val="18"/>
              </w:rPr>
              <w:t xml:space="preserve"> m</w:t>
            </w:r>
          </w:p>
        </w:tc>
        <w:tc>
          <w:tcPr>
            <w:tcW w:w="1417" w:type="dxa"/>
            <w:tcMar>
              <w:top w:w="57" w:type="dxa"/>
              <w:left w:w="57" w:type="dxa"/>
              <w:bottom w:w="57" w:type="dxa"/>
              <w:right w:w="57" w:type="dxa"/>
            </w:tcMar>
            <w:vAlign w:val="center"/>
          </w:tcPr>
          <w:p w14:paraId="31060488" w14:textId="793B8BF8" w:rsidR="008559E0" w:rsidRPr="00090C65" w:rsidRDefault="0066141C" w:rsidP="000A1F7C">
            <w:pPr>
              <w:spacing w:after="0"/>
              <w:jc w:val="right"/>
              <w:rPr>
                <w:noProof/>
                <w:sz w:val="18"/>
                <w:szCs w:val="18"/>
              </w:rPr>
            </w:pPr>
            <w:r>
              <w:rPr>
                <w:noProof/>
                <w:sz w:val="18"/>
                <w:szCs w:val="18"/>
              </w:rPr>
              <w:t>EUR 46 – 86 m</w:t>
            </w:r>
          </w:p>
        </w:tc>
      </w:tr>
      <w:tr w:rsidR="0014259A" w:rsidRPr="003855AF" w14:paraId="4FA1F460" w14:textId="77777777" w:rsidTr="12736745">
        <w:trPr>
          <w:trHeight w:val="677"/>
        </w:trPr>
        <w:tc>
          <w:tcPr>
            <w:tcW w:w="1771" w:type="dxa"/>
            <w:vMerge/>
            <w:tcMar>
              <w:top w:w="57" w:type="dxa"/>
              <w:left w:w="57" w:type="dxa"/>
              <w:bottom w:w="57" w:type="dxa"/>
              <w:right w:w="57" w:type="dxa"/>
            </w:tcMar>
            <w:vAlign w:val="center"/>
          </w:tcPr>
          <w:p w14:paraId="05BABBB9" w14:textId="77777777" w:rsidR="008559E0" w:rsidRPr="00FF5692" w:rsidRDefault="008559E0" w:rsidP="00FF5692">
            <w:pPr>
              <w:spacing w:after="0"/>
              <w:jc w:val="left"/>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67C05829" w14:textId="77777777" w:rsidR="008559E0" w:rsidRPr="00A92A5F" w:rsidRDefault="008559E0" w:rsidP="008559E0">
            <w:pPr>
              <w:spacing w:after="0"/>
              <w:jc w:val="left"/>
              <w:rPr>
                <w:noProof/>
                <w:sz w:val="18"/>
                <w:szCs w:val="18"/>
              </w:rPr>
            </w:pPr>
            <w:r w:rsidRPr="00A92A5F">
              <w:rPr>
                <w:noProof/>
                <w:sz w:val="18"/>
                <w:szCs w:val="18"/>
              </w:rPr>
              <w:t>Direct enforcement costs</w:t>
            </w:r>
          </w:p>
        </w:tc>
        <w:tc>
          <w:tcPr>
            <w:tcW w:w="709" w:type="dxa"/>
            <w:tcBorders>
              <w:left w:val="double" w:sz="4" w:space="0" w:color="auto"/>
            </w:tcBorders>
            <w:tcMar>
              <w:top w:w="57" w:type="dxa"/>
              <w:left w:w="57" w:type="dxa"/>
              <w:bottom w:w="57" w:type="dxa"/>
              <w:right w:w="57" w:type="dxa"/>
            </w:tcMar>
            <w:vAlign w:val="center"/>
          </w:tcPr>
          <w:p w14:paraId="59030053" w14:textId="77777777" w:rsidR="008559E0" w:rsidRPr="00A92A5F" w:rsidRDefault="008559E0" w:rsidP="008559E0">
            <w:pPr>
              <w:spacing w:after="0"/>
              <w:rPr>
                <w:noProof/>
                <w:sz w:val="18"/>
                <w:szCs w:val="18"/>
              </w:rPr>
            </w:pPr>
          </w:p>
        </w:tc>
        <w:tc>
          <w:tcPr>
            <w:tcW w:w="992" w:type="dxa"/>
            <w:tcMar>
              <w:top w:w="57" w:type="dxa"/>
              <w:left w:w="57" w:type="dxa"/>
              <w:bottom w:w="57" w:type="dxa"/>
              <w:right w:w="57" w:type="dxa"/>
            </w:tcMar>
            <w:vAlign w:val="center"/>
          </w:tcPr>
          <w:p w14:paraId="63304B6A" w14:textId="77777777" w:rsidR="008559E0" w:rsidRPr="00A92A5F" w:rsidRDefault="008559E0" w:rsidP="008559E0">
            <w:pPr>
              <w:spacing w:after="0"/>
              <w:rPr>
                <w:noProof/>
                <w:sz w:val="18"/>
                <w:szCs w:val="18"/>
              </w:rPr>
            </w:pPr>
          </w:p>
        </w:tc>
        <w:tc>
          <w:tcPr>
            <w:tcW w:w="1276" w:type="dxa"/>
            <w:tcMar>
              <w:top w:w="57" w:type="dxa"/>
              <w:left w:w="57" w:type="dxa"/>
              <w:bottom w:w="57" w:type="dxa"/>
              <w:right w:w="57" w:type="dxa"/>
            </w:tcMar>
            <w:vAlign w:val="center"/>
          </w:tcPr>
          <w:p w14:paraId="4ECA047D" w14:textId="77777777" w:rsidR="008559E0" w:rsidRPr="00F102F9" w:rsidRDefault="008559E0" w:rsidP="000A1F7C">
            <w:pPr>
              <w:spacing w:after="0"/>
              <w:jc w:val="right"/>
              <w:rPr>
                <w:noProof/>
                <w:sz w:val="18"/>
                <w:szCs w:val="18"/>
              </w:rPr>
            </w:pPr>
          </w:p>
        </w:tc>
        <w:tc>
          <w:tcPr>
            <w:tcW w:w="1417" w:type="dxa"/>
            <w:tcMar>
              <w:top w:w="57" w:type="dxa"/>
              <w:left w:w="57" w:type="dxa"/>
              <w:bottom w:w="57" w:type="dxa"/>
              <w:right w:w="57" w:type="dxa"/>
            </w:tcMar>
            <w:vAlign w:val="center"/>
          </w:tcPr>
          <w:p w14:paraId="371B073A" w14:textId="77777777" w:rsidR="008559E0" w:rsidRPr="00F102F9" w:rsidRDefault="008559E0" w:rsidP="000A1F7C">
            <w:pPr>
              <w:spacing w:after="0"/>
              <w:jc w:val="right"/>
              <w:rPr>
                <w:noProof/>
                <w:sz w:val="18"/>
                <w:szCs w:val="18"/>
              </w:rPr>
            </w:pPr>
          </w:p>
        </w:tc>
        <w:tc>
          <w:tcPr>
            <w:tcW w:w="1276" w:type="dxa"/>
            <w:tcMar>
              <w:top w:w="57" w:type="dxa"/>
              <w:left w:w="57" w:type="dxa"/>
              <w:bottom w:w="57" w:type="dxa"/>
              <w:right w:w="57" w:type="dxa"/>
            </w:tcMar>
            <w:vAlign w:val="center"/>
          </w:tcPr>
          <w:p w14:paraId="22F1116A" w14:textId="77777777" w:rsidR="008559E0" w:rsidRPr="00090C65" w:rsidRDefault="008559E0" w:rsidP="000A1F7C">
            <w:pPr>
              <w:spacing w:after="0"/>
              <w:jc w:val="right"/>
              <w:rPr>
                <w:noProof/>
                <w:sz w:val="18"/>
                <w:szCs w:val="18"/>
              </w:rPr>
            </w:pPr>
          </w:p>
        </w:tc>
        <w:tc>
          <w:tcPr>
            <w:tcW w:w="1417" w:type="dxa"/>
            <w:tcMar>
              <w:top w:w="57" w:type="dxa"/>
              <w:left w:w="57" w:type="dxa"/>
              <w:bottom w:w="57" w:type="dxa"/>
              <w:right w:w="57" w:type="dxa"/>
            </w:tcMar>
            <w:vAlign w:val="center"/>
          </w:tcPr>
          <w:p w14:paraId="1535E514" w14:textId="28F81368" w:rsidR="008559E0" w:rsidRPr="00090C65" w:rsidRDefault="00064123" w:rsidP="000A1F7C">
            <w:pPr>
              <w:spacing w:after="0"/>
              <w:jc w:val="right"/>
              <w:rPr>
                <w:noProof/>
                <w:sz w:val="18"/>
                <w:szCs w:val="18"/>
              </w:rPr>
            </w:pPr>
            <w:r>
              <w:rPr>
                <w:noProof/>
                <w:sz w:val="18"/>
                <w:szCs w:val="18"/>
              </w:rPr>
              <w:t>EUR 30 – 89 m</w:t>
            </w:r>
          </w:p>
        </w:tc>
      </w:tr>
      <w:tr w:rsidR="00D41D51" w:rsidRPr="003855AF" w14:paraId="0C13A8CD" w14:textId="77777777" w:rsidTr="12736745">
        <w:trPr>
          <w:trHeight w:val="621"/>
        </w:trPr>
        <w:tc>
          <w:tcPr>
            <w:tcW w:w="1771" w:type="dxa"/>
            <w:vMerge w:val="restart"/>
            <w:tcMar>
              <w:top w:w="57" w:type="dxa"/>
              <w:left w:w="57" w:type="dxa"/>
              <w:bottom w:w="57" w:type="dxa"/>
              <w:right w:w="57" w:type="dxa"/>
            </w:tcMar>
          </w:tcPr>
          <w:p w14:paraId="2286351C" w14:textId="77777777" w:rsidR="00B9305A" w:rsidRPr="00FF5692" w:rsidRDefault="00AD41AF" w:rsidP="00FF5692">
            <w:pPr>
              <w:pStyle w:val="Text2"/>
              <w:spacing w:after="0"/>
              <w:ind w:left="0"/>
              <w:jc w:val="left"/>
              <w:rPr>
                <w:noProof/>
                <w:sz w:val="18"/>
                <w:szCs w:val="18"/>
              </w:rPr>
            </w:pPr>
            <w:r w:rsidRPr="00FF5692">
              <w:rPr>
                <w:noProof/>
                <w:sz w:val="18"/>
                <w:szCs w:val="18"/>
              </w:rPr>
              <w:t xml:space="preserve">EU R&amp;D funding </w:t>
            </w:r>
            <w:r w:rsidR="00B9305A" w:rsidRPr="00FF5692">
              <w:rPr>
                <w:noProof/>
                <w:sz w:val="18"/>
                <w:szCs w:val="18"/>
              </w:rPr>
              <w:t>and deployment funding for strategic projects</w:t>
            </w:r>
          </w:p>
          <w:p w14:paraId="5999F1D2" w14:textId="11B04526" w:rsidR="008559E0" w:rsidRPr="00FF5692" w:rsidRDefault="008559E0" w:rsidP="00FF5692">
            <w:pPr>
              <w:spacing w:after="0"/>
              <w:jc w:val="left"/>
              <w:rPr>
                <w:noProof/>
                <w:sz w:val="18"/>
                <w:szCs w:val="18"/>
              </w:rPr>
            </w:pPr>
            <w:r w:rsidRPr="00FF5692">
              <w:rPr>
                <w:noProof/>
                <w:sz w:val="18"/>
                <w:szCs w:val="18"/>
              </w:rPr>
              <w:t>(PM8, PM9)</w:t>
            </w:r>
          </w:p>
        </w:tc>
        <w:tc>
          <w:tcPr>
            <w:tcW w:w="1276" w:type="dxa"/>
            <w:tcBorders>
              <w:right w:val="double" w:sz="4" w:space="0" w:color="auto"/>
            </w:tcBorders>
            <w:tcMar>
              <w:top w:w="57" w:type="dxa"/>
              <w:left w:w="57" w:type="dxa"/>
              <w:bottom w:w="57" w:type="dxa"/>
              <w:right w:w="57" w:type="dxa"/>
            </w:tcMar>
            <w:vAlign w:val="center"/>
          </w:tcPr>
          <w:p w14:paraId="01DEDA43" w14:textId="37CC6F2A" w:rsidR="008559E0" w:rsidRPr="00A92A5F" w:rsidRDefault="008559E0" w:rsidP="008559E0">
            <w:pPr>
              <w:spacing w:after="0"/>
              <w:jc w:val="left"/>
              <w:rPr>
                <w:noProof/>
                <w:sz w:val="18"/>
                <w:szCs w:val="18"/>
              </w:rPr>
            </w:pPr>
            <w:r w:rsidRPr="00A92A5F">
              <w:rPr>
                <w:noProof/>
                <w:sz w:val="18"/>
                <w:szCs w:val="18"/>
              </w:rPr>
              <w:t>Direct adjustment costs</w:t>
            </w:r>
          </w:p>
        </w:tc>
        <w:tc>
          <w:tcPr>
            <w:tcW w:w="709" w:type="dxa"/>
            <w:tcBorders>
              <w:left w:val="double" w:sz="4" w:space="0" w:color="auto"/>
            </w:tcBorders>
            <w:tcMar>
              <w:top w:w="57" w:type="dxa"/>
              <w:left w:w="57" w:type="dxa"/>
              <w:bottom w:w="57" w:type="dxa"/>
              <w:right w:w="57" w:type="dxa"/>
            </w:tcMar>
          </w:tcPr>
          <w:p w14:paraId="5D67EF11" w14:textId="77777777" w:rsidR="008559E0" w:rsidRPr="00A92A5F" w:rsidRDefault="008559E0" w:rsidP="008559E0">
            <w:pPr>
              <w:spacing w:after="0"/>
              <w:rPr>
                <w:noProof/>
                <w:sz w:val="18"/>
                <w:szCs w:val="18"/>
              </w:rPr>
            </w:pPr>
          </w:p>
        </w:tc>
        <w:tc>
          <w:tcPr>
            <w:tcW w:w="992" w:type="dxa"/>
            <w:tcMar>
              <w:top w:w="57" w:type="dxa"/>
              <w:left w:w="57" w:type="dxa"/>
              <w:bottom w:w="57" w:type="dxa"/>
              <w:right w:w="57" w:type="dxa"/>
            </w:tcMar>
          </w:tcPr>
          <w:p w14:paraId="774B37E4" w14:textId="77777777" w:rsidR="008559E0" w:rsidRPr="00A92A5F" w:rsidRDefault="008559E0" w:rsidP="008559E0">
            <w:pPr>
              <w:spacing w:after="0"/>
              <w:rPr>
                <w:noProof/>
                <w:sz w:val="18"/>
                <w:szCs w:val="18"/>
              </w:rPr>
            </w:pPr>
          </w:p>
        </w:tc>
        <w:tc>
          <w:tcPr>
            <w:tcW w:w="1276" w:type="dxa"/>
            <w:tcMar>
              <w:top w:w="57" w:type="dxa"/>
              <w:left w:w="57" w:type="dxa"/>
              <w:bottom w:w="57" w:type="dxa"/>
              <w:right w:w="57" w:type="dxa"/>
            </w:tcMar>
            <w:vAlign w:val="center"/>
          </w:tcPr>
          <w:p w14:paraId="1BAC1912" w14:textId="77777777" w:rsidR="008559E0" w:rsidRPr="00A92A5F" w:rsidRDefault="008559E0" w:rsidP="000A1F7C">
            <w:pPr>
              <w:spacing w:after="0"/>
              <w:jc w:val="right"/>
              <w:rPr>
                <w:noProof/>
                <w:sz w:val="18"/>
                <w:szCs w:val="18"/>
              </w:rPr>
            </w:pPr>
          </w:p>
        </w:tc>
        <w:tc>
          <w:tcPr>
            <w:tcW w:w="1417" w:type="dxa"/>
            <w:tcMar>
              <w:top w:w="57" w:type="dxa"/>
              <w:left w:w="57" w:type="dxa"/>
              <w:bottom w:w="57" w:type="dxa"/>
              <w:right w:w="57" w:type="dxa"/>
            </w:tcMar>
            <w:vAlign w:val="center"/>
          </w:tcPr>
          <w:p w14:paraId="344A891A" w14:textId="77777777" w:rsidR="008559E0" w:rsidRPr="00A92A5F" w:rsidRDefault="008559E0" w:rsidP="000A1F7C">
            <w:pPr>
              <w:spacing w:after="0"/>
              <w:jc w:val="right"/>
              <w:rPr>
                <w:noProof/>
                <w:sz w:val="18"/>
                <w:szCs w:val="18"/>
              </w:rPr>
            </w:pPr>
          </w:p>
        </w:tc>
        <w:tc>
          <w:tcPr>
            <w:tcW w:w="1276" w:type="dxa"/>
            <w:tcMar>
              <w:top w:w="57" w:type="dxa"/>
              <w:left w:w="57" w:type="dxa"/>
              <w:bottom w:w="57" w:type="dxa"/>
              <w:right w:w="57" w:type="dxa"/>
            </w:tcMar>
            <w:vAlign w:val="center"/>
          </w:tcPr>
          <w:p w14:paraId="2A7A81D0" w14:textId="7567E570" w:rsidR="008559E0" w:rsidRPr="00A92A5F" w:rsidRDefault="00C82504" w:rsidP="000A1F7C">
            <w:pPr>
              <w:spacing w:after="0"/>
              <w:jc w:val="right"/>
              <w:rPr>
                <w:noProof/>
                <w:sz w:val="18"/>
                <w:szCs w:val="18"/>
              </w:rPr>
            </w:pPr>
            <w:r>
              <w:rPr>
                <w:noProof/>
                <w:sz w:val="18"/>
                <w:szCs w:val="18"/>
              </w:rPr>
              <w:t>EUR 1 – 2 m</w:t>
            </w:r>
          </w:p>
        </w:tc>
        <w:tc>
          <w:tcPr>
            <w:tcW w:w="1417" w:type="dxa"/>
            <w:tcMar>
              <w:top w:w="57" w:type="dxa"/>
              <w:left w:w="57" w:type="dxa"/>
              <w:bottom w:w="57" w:type="dxa"/>
              <w:right w:w="57" w:type="dxa"/>
            </w:tcMar>
            <w:vAlign w:val="center"/>
          </w:tcPr>
          <w:p w14:paraId="38D2DA76" w14:textId="056102C2" w:rsidR="008559E0" w:rsidRPr="00A92A5F" w:rsidRDefault="000A1F7C" w:rsidP="000A1F7C">
            <w:pPr>
              <w:spacing w:after="0"/>
              <w:jc w:val="right"/>
              <w:rPr>
                <w:noProof/>
                <w:sz w:val="18"/>
                <w:szCs w:val="18"/>
              </w:rPr>
            </w:pPr>
            <w:r>
              <w:rPr>
                <w:noProof/>
                <w:sz w:val="18"/>
                <w:szCs w:val="18"/>
              </w:rPr>
              <w:t>EUR 0.6 – 1.2 m</w:t>
            </w:r>
          </w:p>
        </w:tc>
      </w:tr>
      <w:tr w:rsidR="00D41D51" w:rsidRPr="003855AF" w14:paraId="5514C2EF" w14:textId="77777777" w:rsidTr="12736745">
        <w:trPr>
          <w:trHeight w:val="621"/>
        </w:trPr>
        <w:tc>
          <w:tcPr>
            <w:tcW w:w="1771" w:type="dxa"/>
            <w:vMerge/>
            <w:tcMar>
              <w:top w:w="57" w:type="dxa"/>
              <w:left w:w="57" w:type="dxa"/>
              <w:bottom w:w="57" w:type="dxa"/>
              <w:right w:w="57" w:type="dxa"/>
            </w:tcMar>
          </w:tcPr>
          <w:p w14:paraId="6A7C33CA" w14:textId="77777777" w:rsidR="008559E0" w:rsidRPr="00FF5692" w:rsidRDefault="008559E0" w:rsidP="00FF5692">
            <w:pPr>
              <w:spacing w:after="0"/>
              <w:jc w:val="left"/>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39DBC2C5" w14:textId="38D163A4" w:rsidR="008559E0" w:rsidRPr="00A92A5F" w:rsidRDefault="008559E0" w:rsidP="008559E0">
            <w:pPr>
              <w:spacing w:after="0"/>
              <w:jc w:val="left"/>
              <w:rPr>
                <w:noProof/>
                <w:sz w:val="18"/>
                <w:szCs w:val="18"/>
              </w:rPr>
            </w:pPr>
            <w:r w:rsidRPr="00A92A5F">
              <w:rPr>
                <w:noProof/>
                <w:sz w:val="18"/>
                <w:szCs w:val="18"/>
              </w:rPr>
              <w:t>Direct administrative costs</w:t>
            </w:r>
          </w:p>
        </w:tc>
        <w:tc>
          <w:tcPr>
            <w:tcW w:w="709" w:type="dxa"/>
            <w:tcBorders>
              <w:left w:val="double" w:sz="4" w:space="0" w:color="auto"/>
            </w:tcBorders>
            <w:tcMar>
              <w:top w:w="57" w:type="dxa"/>
              <w:left w:w="57" w:type="dxa"/>
              <w:bottom w:w="57" w:type="dxa"/>
              <w:right w:w="57" w:type="dxa"/>
            </w:tcMar>
          </w:tcPr>
          <w:p w14:paraId="3ECBD91B" w14:textId="77777777" w:rsidR="008559E0" w:rsidRPr="00A92A5F" w:rsidRDefault="008559E0" w:rsidP="008559E0">
            <w:pPr>
              <w:spacing w:after="0"/>
              <w:rPr>
                <w:noProof/>
                <w:sz w:val="18"/>
                <w:szCs w:val="18"/>
              </w:rPr>
            </w:pPr>
          </w:p>
        </w:tc>
        <w:tc>
          <w:tcPr>
            <w:tcW w:w="992" w:type="dxa"/>
            <w:tcMar>
              <w:top w:w="57" w:type="dxa"/>
              <w:left w:w="57" w:type="dxa"/>
              <w:bottom w:w="57" w:type="dxa"/>
              <w:right w:w="57" w:type="dxa"/>
            </w:tcMar>
          </w:tcPr>
          <w:p w14:paraId="2D54BCF9" w14:textId="77777777" w:rsidR="008559E0" w:rsidRPr="00A92A5F" w:rsidRDefault="008559E0" w:rsidP="008559E0">
            <w:pPr>
              <w:spacing w:after="0"/>
              <w:rPr>
                <w:noProof/>
                <w:sz w:val="18"/>
                <w:szCs w:val="18"/>
              </w:rPr>
            </w:pPr>
          </w:p>
        </w:tc>
        <w:tc>
          <w:tcPr>
            <w:tcW w:w="1276" w:type="dxa"/>
            <w:tcMar>
              <w:top w:w="57" w:type="dxa"/>
              <w:left w:w="57" w:type="dxa"/>
              <w:bottom w:w="57" w:type="dxa"/>
              <w:right w:w="57" w:type="dxa"/>
            </w:tcMar>
            <w:vAlign w:val="center"/>
          </w:tcPr>
          <w:p w14:paraId="26E25FF8" w14:textId="0434AED0" w:rsidR="008559E0" w:rsidRPr="00090C65" w:rsidRDefault="002A3250" w:rsidP="000A1F7C">
            <w:pPr>
              <w:spacing w:after="0"/>
              <w:jc w:val="right"/>
              <w:rPr>
                <w:noProof/>
                <w:sz w:val="18"/>
                <w:szCs w:val="18"/>
              </w:rPr>
            </w:pPr>
            <w:r>
              <w:rPr>
                <w:noProof/>
                <w:sz w:val="18"/>
                <w:szCs w:val="18"/>
              </w:rPr>
              <w:t>EUR 1 – 3 m</w:t>
            </w:r>
          </w:p>
        </w:tc>
        <w:tc>
          <w:tcPr>
            <w:tcW w:w="1417" w:type="dxa"/>
            <w:tcMar>
              <w:top w:w="57" w:type="dxa"/>
              <w:left w:w="57" w:type="dxa"/>
              <w:bottom w:w="57" w:type="dxa"/>
              <w:right w:w="57" w:type="dxa"/>
            </w:tcMar>
            <w:vAlign w:val="center"/>
          </w:tcPr>
          <w:p w14:paraId="558879D2" w14:textId="77777777" w:rsidR="008559E0" w:rsidRPr="00A92A5F" w:rsidRDefault="008559E0" w:rsidP="000A1F7C">
            <w:pPr>
              <w:spacing w:after="0"/>
              <w:jc w:val="right"/>
              <w:rPr>
                <w:noProof/>
                <w:sz w:val="18"/>
                <w:szCs w:val="18"/>
              </w:rPr>
            </w:pPr>
          </w:p>
        </w:tc>
        <w:tc>
          <w:tcPr>
            <w:tcW w:w="1276" w:type="dxa"/>
            <w:tcMar>
              <w:top w:w="57" w:type="dxa"/>
              <w:left w:w="57" w:type="dxa"/>
              <w:bottom w:w="57" w:type="dxa"/>
              <w:right w:w="57" w:type="dxa"/>
            </w:tcMar>
            <w:vAlign w:val="center"/>
          </w:tcPr>
          <w:p w14:paraId="6FB64720" w14:textId="77777777" w:rsidR="008559E0" w:rsidRPr="00A92A5F" w:rsidRDefault="008559E0" w:rsidP="000A1F7C">
            <w:pPr>
              <w:spacing w:after="0"/>
              <w:jc w:val="right"/>
              <w:rPr>
                <w:noProof/>
                <w:sz w:val="18"/>
                <w:szCs w:val="18"/>
              </w:rPr>
            </w:pPr>
          </w:p>
        </w:tc>
        <w:tc>
          <w:tcPr>
            <w:tcW w:w="1417" w:type="dxa"/>
            <w:tcMar>
              <w:top w:w="57" w:type="dxa"/>
              <w:left w:w="57" w:type="dxa"/>
              <w:bottom w:w="57" w:type="dxa"/>
              <w:right w:w="57" w:type="dxa"/>
            </w:tcMar>
            <w:vAlign w:val="center"/>
          </w:tcPr>
          <w:p w14:paraId="3ED38EA9" w14:textId="77777777" w:rsidR="008559E0" w:rsidRPr="00A92A5F" w:rsidRDefault="008559E0" w:rsidP="000A1F7C">
            <w:pPr>
              <w:spacing w:after="0"/>
              <w:jc w:val="right"/>
              <w:rPr>
                <w:noProof/>
                <w:sz w:val="18"/>
                <w:szCs w:val="18"/>
              </w:rPr>
            </w:pPr>
          </w:p>
        </w:tc>
      </w:tr>
      <w:tr w:rsidR="00D41D51" w:rsidRPr="003855AF" w14:paraId="4F37B030" w14:textId="77777777" w:rsidTr="12736745">
        <w:trPr>
          <w:trHeight w:val="838"/>
        </w:trPr>
        <w:tc>
          <w:tcPr>
            <w:tcW w:w="1771" w:type="dxa"/>
            <w:vMerge w:val="restart"/>
            <w:tcMar>
              <w:top w:w="57" w:type="dxa"/>
              <w:left w:w="57" w:type="dxa"/>
              <w:bottom w:w="57" w:type="dxa"/>
              <w:right w:w="57" w:type="dxa"/>
            </w:tcMar>
          </w:tcPr>
          <w:p w14:paraId="10FF0185" w14:textId="371521A5" w:rsidR="00EE37DB" w:rsidRPr="00EE37DB" w:rsidRDefault="554D99A3" w:rsidP="00EE37DB">
            <w:pPr>
              <w:spacing w:after="0"/>
              <w:jc w:val="left"/>
              <w:rPr>
                <w:noProof/>
                <w:sz w:val="18"/>
                <w:szCs w:val="18"/>
              </w:rPr>
            </w:pPr>
            <w:r w:rsidRPr="12736745">
              <w:rPr>
                <w:noProof/>
                <w:sz w:val="18"/>
                <w:szCs w:val="18"/>
              </w:rPr>
              <w:t>EU-coordinated procurement and support framework for sovereign cloud and AI computing services</w:t>
            </w:r>
            <w:r w:rsidR="2EB117DA" w:rsidRPr="12736745">
              <w:rPr>
                <w:noProof/>
                <w:sz w:val="18"/>
                <w:szCs w:val="18"/>
              </w:rPr>
              <w:t>:</w:t>
            </w:r>
            <w:r w:rsidRPr="12736745">
              <w:rPr>
                <w:noProof/>
                <w:sz w:val="18"/>
                <w:szCs w:val="18"/>
              </w:rPr>
              <w:t xml:space="preserve"> </w:t>
            </w:r>
            <w:r w:rsidR="46C2854C" w:rsidRPr="12736745">
              <w:rPr>
                <w:noProof/>
                <w:sz w:val="18"/>
                <w:szCs w:val="18"/>
              </w:rPr>
              <w:t xml:space="preserve">OSS use in the public sector; mandatory use of </w:t>
            </w:r>
            <w:r w:rsidR="58BAC192" w:rsidRPr="12736745">
              <w:rPr>
                <w:noProof/>
                <w:sz w:val="18"/>
                <w:szCs w:val="18"/>
              </w:rPr>
              <w:t>audited</w:t>
            </w:r>
            <w:r w:rsidR="46C2854C" w:rsidRPr="12736745">
              <w:rPr>
                <w:noProof/>
                <w:sz w:val="18"/>
                <w:szCs w:val="18"/>
              </w:rPr>
              <w:t xml:space="preserve"> cloud and AI computing services in highly critical public sector use cases and award criteria;</w:t>
            </w:r>
            <w:r w:rsidR="7E4D3DF9" w:rsidRPr="12736745">
              <w:rPr>
                <w:noProof/>
                <w:sz w:val="18"/>
                <w:szCs w:val="18"/>
              </w:rPr>
              <w:t xml:space="preserve"> </w:t>
            </w:r>
            <w:r w:rsidR="1085026A" w:rsidRPr="12736745">
              <w:rPr>
                <w:noProof/>
                <w:sz w:val="18"/>
                <w:szCs w:val="18"/>
              </w:rPr>
              <w:t xml:space="preserve">private entities cybersecurity </w:t>
            </w:r>
            <w:r w:rsidR="7E4D3DF9" w:rsidRPr="12736745">
              <w:rPr>
                <w:noProof/>
                <w:sz w:val="18"/>
                <w:szCs w:val="18"/>
              </w:rPr>
              <w:t>risk-assessment</w:t>
            </w:r>
            <w:r w:rsidR="03C23FBB" w:rsidRPr="12736745">
              <w:rPr>
                <w:noProof/>
                <w:sz w:val="18"/>
                <w:szCs w:val="18"/>
              </w:rPr>
              <w:t xml:space="preserve"> integration</w:t>
            </w:r>
            <w:r w:rsidR="1085026A" w:rsidRPr="12736745">
              <w:rPr>
                <w:noProof/>
                <w:sz w:val="18"/>
                <w:szCs w:val="18"/>
              </w:rPr>
              <w:t xml:space="preserve"> to consider risks from using non </w:t>
            </w:r>
            <w:r w:rsidR="6E812175" w:rsidRPr="12736745">
              <w:rPr>
                <w:noProof/>
                <w:sz w:val="18"/>
                <w:szCs w:val="18"/>
              </w:rPr>
              <w:t>audited</w:t>
            </w:r>
            <w:r w:rsidR="1085026A" w:rsidRPr="12736745">
              <w:rPr>
                <w:noProof/>
                <w:sz w:val="18"/>
                <w:szCs w:val="18"/>
              </w:rPr>
              <w:t xml:space="preserve"> providers;</w:t>
            </w:r>
            <w:r w:rsidR="50213745" w:rsidRPr="12736745">
              <w:rPr>
                <w:noProof/>
                <w:sz w:val="18"/>
                <w:szCs w:val="18"/>
              </w:rPr>
              <w:t xml:space="preserve"> national strategy </w:t>
            </w:r>
            <w:r w:rsidR="0314A68B" w:rsidRPr="12736745">
              <w:rPr>
                <w:noProof/>
                <w:sz w:val="18"/>
                <w:szCs w:val="18"/>
              </w:rPr>
              <w:t>definition and monitoring</w:t>
            </w:r>
            <w:r w:rsidR="50213745" w:rsidRPr="12736745">
              <w:rPr>
                <w:noProof/>
                <w:sz w:val="18"/>
                <w:szCs w:val="18"/>
              </w:rPr>
              <w:t>;</w:t>
            </w:r>
            <w:r w:rsidR="46C2854C" w:rsidRPr="12736745">
              <w:rPr>
                <w:noProof/>
                <w:sz w:val="18"/>
                <w:szCs w:val="18"/>
              </w:rPr>
              <w:t xml:space="preserve"> joint EU-level procurement; </w:t>
            </w:r>
            <w:r w:rsidR="7D9FF26F" w:rsidRPr="12736745">
              <w:rPr>
                <w:noProof/>
                <w:sz w:val="18"/>
                <w:szCs w:val="18"/>
              </w:rPr>
              <w:t>public sector cloud federation;</w:t>
            </w:r>
          </w:p>
          <w:p w14:paraId="1D5E2D2D" w14:textId="029FDEA7" w:rsidR="005F3D74" w:rsidRPr="00FF5692" w:rsidRDefault="00EE37DB" w:rsidP="00EE37DB">
            <w:pPr>
              <w:spacing w:after="0"/>
              <w:jc w:val="left"/>
              <w:rPr>
                <w:noProof/>
                <w:sz w:val="18"/>
                <w:szCs w:val="18"/>
              </w:rPr>
            </w:pPr>
            <w:r w:rsidRPr="00EE37DB">
              <w:rPr>
                <w:noProof/>
                <w:sz w:val="18"/>
                <w:szCs w:val="18"/>
              </w:rPr>
              <w:t>SME support scheme</w:t>
            </w:r>
            <w:r>
              <w:rPr>
                <w:noProof/>
                <w:sz w:val="18"/>
                <w:szCs w:val="18"/>
              </w:rPr>
              <w:t xml:space="preserve">; </w:t>
            </w:r>
            <w:r w:rsidRPr="001F36F3">
              <w:rPr>
                <w:noProof/>
                <w:sz w:val="18"/>
                <w:szCs w:val="18"/>
              </w:rPr>
              <w:t xml:space="preserve">Cloud and AI </w:t>
            </w:r>
            <w:r w:rsidR="001F36F3" w:rsidRPr="001F36F3">
              <w:rPr>
                <w:noProof/>
                <w:sz w:val="18"/>
                <w:szCs w:val="18"/>
              </w:rPr>
              <w:t>toolbox</w:t>
            </w:r>
            <w:r w:rsidR="001F36F3">
              <w:rPr>
                <w:noProof/>
                <w:sz w:val="18"/>
                <w:szCs w:val="18"/>
              </w:rPr>
              <w:t xml:space="preserve"> </w:t>
            </w:r>
            <w:r w:rsidR="00C6120A" w:rsidRPr="00FF5692">
              <w:rPr>
                <w:noProof/>
                <w:sz w:val="18"/>
                <w:szCs w:val="18"/>
              </w:rPr>
              <w:t>(PO2-C)</w:t>
            </w:r>
          </w:p>
        </w:tc>
        <w:tc>
          <w:tcPr>
            <w:tcW w:w="1276" w:type="dxa"/>
            <w:tcBorders>
              <w:right w:val="double" w:sz="4" w:space="0" w:color="auto"/>
            </w:tcBorders>
            <w:tcMar>
              <w:top w:w="57" w:type="dxa"/>
              <w:left w:w="57" w:type="dxa"/>
              <w:bottom w:w="57" w:type="dxa"/>
              <w:right w:w="57" w:type="dxa"/>
            </w:tcMar>
            <w:vAlign w:val="center"/>
          </w:tcPr>
          <w:p w14:paraId="40F7D431" w14:textId="5B0FC443" w:rsidR="005F3D74" w:rsidRPr="00A92A5F" w:rsidRDefault="005F3D74" w:rsidP="005F3D74">
            <w:pPr>
              <w:spacing w:after="0"/>
              <w:jc w:val="left"/>
              <w:rPr>
                <w:noProof/>
                <w:sz w:val="18"/>
                <w:szCs w:val="18"/>
              </w:rPr>
            </w:pPr>
            <w:r w:rsidRPr="00A92A5F">
              <w:rPr>
                <w:noProof/>
                <w:sz w:val="18"/>
                <w:szCs w:val="18"/>
              </w:rPr>
              <w:t>Direct adjustment costs</w:t>
            </w:r>
          </w:p>
        </w:tc>
        <w:tc>
          <w:tcPr>
            <w:tcW w:w="709" w:type="dxa"/>
            <w:tcBorders>
              <w:left w:val="double" w:sz="4" w:space="0" w:color="auto"/>
            </w:tcBorders>
            <w:tcMar>
              <w:top w:w="57" w:type="dxa"/>
              <w:left w:w="57" w:type="dxa"/>
              <w:bottom w:w="57" w:type="dxa"/>
              <w:right w:w="57" w:type="dxa"/>
            </w:tcMar>
          </w:tcPr>
          <w:p w14:paraId="7E942228" w14:textId="77777777" w:rsidR="005F3D74" w:rsidRPr="00A92A5F" w:rsidRDefault="005F3D74" w:rsidP="005F3D74">
            <w:pPr>
              <w:spacing w:after="0"/>
              <w:rPr>
                <w:noProof/>
                <w:sz w:val="18"/>
                <w:szCs w:val="18"/>
              </w:rPr>
            </w:pPr>
          </w:p>
        </w:tc>
        <w:tc>
          <w:tcPr>
            <w:tcW w:w="992" w:type="dxa"/>
            <w:tcMar>
              <w:top w:w="57" w:type="dxa"/>
              <w:left w:w="57" w:type="dxa"/>
              <w:bottom w:w="57" w:type="dxa"/>
              <w:right w:w="57" w:type="dxa"/>
            </w:tcMar>
          </w:tcPr>
          <w:p w14:paraId="13EF47E1" w14:textId="77777777" w:rsidR="005F3D74" w:rsidRPr="00A92A5F" w:rsidRDefault="005F3D74" w:rsidP="005F3D74">
            <w:pPr>
              <w:spacing w:after="0"/>
              <w:rPr>
                <w:noProof/>
                <w:sz w:val="18"/>
                <w:szCs w:val="18"/>
              </w:rPr>
            </w:pPr>
          </w:p>
        </w:tc>
        <w:tc>
          <w:tcPr>
            <w:tcW w:w="1276" w:type="dxa"/>
            <w:tcMar>
              <w:top w:w="57" w:type="dxa"/>
              <w:left w:w="57" w:type="dxa"/>
              <w:bottom w:w="57" w:type="dxa"/>
              <w:right w:w="57" w:type="dxa"/>
            </w:tcMar>
            <w:vAlign w:val="center"/>
          </w:tcPr>
          <w:p w14:paraId="5DA53337" w14:textId="70BC4CBB" w:rsidR="005F3D74" w:rsidRPr="00A94579" w:rsidRDefault="001A6DB9" w:rsidP="005C37E6">
            <w:pPr>
              <w:spacing w:after="0"/>
              <w:rPr>
                <w:noProof/>
                <w:sz w:val="18"/>
                <w:szCs w:val="18"/>
              </w:rPr>
            </w:pPr>
            <w:r>
              <w:rPr>
                <w:noProof/>
                <w:sz w:val="18"/>
                <w:szCs w:val="18"/>
              </w:rPr>
              <w:t>EUR 173 m – 352 m</w:t>
            </w:r>
          </w:p>
        </w:tc>
        <w:tc>
          <w:tcPr>
            <w:tcW w:w="1417" w:type="dxa"/>
            <w:tcMar>
              <w:top w:w="57" w:type="dxa"/>
              <w:left w:w="57" w:type="dxa"/>
              <w:bottom w:w="57" w:type="dxa"/>
              <w:right w:w="57" w:type="dxa"/>
            </w:tcMar>
            <w:vAlign w:val="center"/>
          </w:tcPr>
          <w:p w14:paraId="25AAB2D4" w14:textId="114EA448" w:rsidR="005F3D74" w:rsidRPr="00A94579" w:rsidRDefault="005F3D74" w:rsidP="00A94579">
            <w:pPr>
              <w:spacing w:after="0"/>
              <w:jc w:val="right"/>
              <w:rPr>
                <w:noProof/>
                <w:sz w:val="18"/>
                <w:szCs w:val="18"/>
              </w:rPr>
            </w:pPr>
          </w:p>
        </w:tc>
        <w:tc>
          <w:tcPr>
            <w:tcW w:w="1276" w:type="dxa"/>
            <w:tcMar>
              <w:top w:w="57" w:type="dxa"/>
              <w:left w:w="57" w:type="dxa"/>
              <w:bottom w:w="57" w:type="dxa"/>
              <w:right w:w="57" w:type="dxa"/>
            </w:tcMar>
            <w:vAlign w:val="center"/>
          </w:tcPr>
          <w:p w14:paraId="209B2D6F" w14:textId="7817B448" w:rsidR="005F3D74" w:rsidRPr="00A94579" w:rsidRDefault="36E36B82" w:rsidP="00A94579">
            <w:pPr>
              <w:spacing w:after="0"/>
              <w:jc w:val="right"/>
              <w:rPr>
                <w:noProof/>
                <w:sz w:val="18"/>
                <w:szCs w:val="18"/>
              </w:rPr>
            </w:pPr>
            <w:r w:rsidRPr="12736745">
              <w:rPr>
                <w:noProof/>
                <w:sz w:val="18"/>
                <w:szCs w:val="18"/>
              </w:rPr>
              <w:t>EUR 1</w:t>
            </w:r>
            <w:r w:rsidR="4BD83DFA" w:rsidRPr="12736745">
              <w:rPr>
                <w:noProof/>
                <w:sz w:val="18"/>
                <w:szCs w:val="18"/>
              </w:rPr>
              <w:t>4</w:t>
            </w:r>
            <w:r w:rsidRPr="12736745">
              <w:rPr>
                <w:noProof/>
                <w:sz w:val="18"/>
                <w:szCs w:val="18"/>
              </w:rPr>
              <w:t>0 m – 4</w:t>
            </w:r>
            <w:r w:rsidR="59111E89" w:rsidRPr="12736745">
              <w:rPr>
                <w:noProof/>
                <w:sz w:val="18"/>
                <w:szCs w:val="18"/>
              </w:rPr>
              <w:t>20</w:t>
            </w:r>
            <w:r w:rsidRPr="12736745">
              <w:rPr>
                <w:noProof/>
                <w:sz w:val="18"/>
                <w:szCs w:val="18"/>
              </w:rPr>
              <w:t xml:space="preserve"> m</w:t>
            </w:r>
            <w:r w:rsidR="0050538B">
              <w:rPr>
                <w:noProof/>
                <w:sz w:val="18"/>
                <w:szCs w:val="18"/>
              </w:rPr>
              <w:t xml:space="preserve"> (*)</w:t>
            </w:r>
          </w:p>
        </w:tc>
        <w:tc>
          <w:tcPr>
            <w:tcW w:w="1417" w:type="dxa"/>
            <w:tcMar>
              <w:top w:w="57" w:type="dxa"/>
              <w:left w:w="57" w:type="dxa"/>
              <w:bottom w:w="57" w:type="dxa"/>
              <w:right w:w="57" w:type="dxa"/>
            </w:tcMar>
            <w:vAlign w:val="center"/>
          </w:tcPr>
          <w:p w14:paraId="7C2ABA8F" w14:textId="11680E00" w:rsidR="005F3D74" w:rsidRPr="00A94579" w:rsidRDefault="759ACA4A" w:rsidP="00A94579">
            <w:pPr>
              <w:spacing w:after="0"/>
              <w:jc w:val="right"/>
              <w:rPr>
                <w:noProof/>
                <w:sz w:val="18"/>
                <w:szCs w:val="18"/>
              </w:rPr>
            </w:pPr>
            <w:r w:rsidRPr="12736745">
              <w:rPr>
                <w:noProof/>
                <w:sz w:val="18"/>
                <w:szCs w:val="18"/>
              </w:rPr>
              <w:t>EUR 1</w:t>
            </w:r>
            <w:r w:rsidR="4B0589D1" w:rsidRPr="12736745">
              <w:rPr>
                <w:noProof/>
                <w:sz w:val="18"/>
                <w:szCs w:val="18"/>
              </w:rPr>
              <w:t>.3</w:t>
            </w:r>
            <w:r w:rsidRPr="12736745">
              <w:rPr>
                <w:noProof/>
                <w:sz w:val="18"/>
                <w:szCs w:val="18"/>
              </w:rPr>
              <w:t xml:space="preserve"> – </w:t>
            </w:r>
            <w:r w:rsidR="526F7E72" w:rsidRPr="12736745">
              <w:rPr>
                <w:noProof/>
                <w:sz w:val="18"/>
                <w:szCs w:val="18"/>
              </w:rPr>
              <w:t>2.7</w:t>
            </w:r>
            <w:r w:rsidRPr="12736745">
              <w:rPr>
                <w:noProof/>
                <w:sz w:val="18"/>
                <w:szCs w:val="18"/>
              </w:rPr>
              <w:t xml:space="preserve"> </w:t>
            </w:r>
            <w:r w:rsidR="64F16601" w:rsidRPr="12736745">
              <w:rPr>
                <w:noProof/>
                <w:sz w:val="18"/>
                <w:szCs w:val="18"/>
              </w:rPr>
              <w:t>bn</w:t>
            </w:r>
          </w:p>
        </w:tc>
      </w:tr>
      <w:tr w:rsidR="00D41D51" w:rsidRPr="003855AF" w14:paraId="336EDF64" w14:textId="77777777" w:rsidTr="12736745">
        <w:trPr>
          <w:trHeight w:val="839"/>
        </w:trPr>
        <w:tc>
          <w:tcPr>
            <w:tcW w:w="1771" w:type="dxa"/>
            <w:vMerge/>
            <w:tcMar>
              <w:top w:w="57" w:type="dxa"/>
              <w:left w:w="57" w:type="dxa"/>
              <w:bottom w:w="57" w:type="dxa"/>
              <w:right w:w="57" w:type="dxa"/>
            </w:tcMar>
          </w:tcPr>
          <w:p w14:paraId="73A5B72C" w14:textId="77777777" w:rsidR="005F3D74" w:rsidRPr="00A92A5F" w:rsidRDefault="005F3D74" w:rsidP="005F3D74">
            <w:pPr>
              <w:spacing w:after="0"/>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37710C98" w14:textId="06E91EB4" w:rsidR="005F3D74" w:rsidRPr="00A92A5F" w:rsidRDefault="005F3D74" w:rsidP="005F3D74">
            <w:pPr>
              <w:spacing w:after="0"/>
              <w:jc w:val="left"/>
              <w:rPr>
                <w:noProof/>
                <w:sz w:val="18"/>
                <w:szCs w:val="18"/>
              </w:rPr>
            </w:pPr>
            <w:r w:rsidRPr="00A92A5F">
              <w:rPr>
                <w:noProof/>
                <w:sz w:val="18"/>
                <w:szCs w:val="18"/>
              </w:rPr>
              <w:t>Direct administrative costs</w:t>
            </w:r>
          </w:p>
        </w:tc>
        <w:tc>
          <w:tcPr>
            <w:tcW w:w="709" w:type="dxa"/>
            <w:tcBorders>
              <w:left w:val="double" w:sz="4" w:space="0" w:color="auto"/>
            </w:tcBorders>
            <w:tcMar>
              <w:top w:w="57" w:type="dxa"/>
              <w:left w:w="57" w:type="dxa"/>
              <w:bottom w:w="57" w:type="dxa"/>
              <w:right w:w="57" w:type="dxa"/>
            </w:tcMar>
          </w:tcPr>
          <w:p w14:paraId="06FCF592" w14:textId="77777777" w:rsidR="005F3D74" w:rsidRPr="00A92A5F" w:rsidRDefault="005F3D74" w:rsidP="005F3D74">
            <w:pPr>
              <w:spacing w:after="0"/>
              <w:rPr>
                <w:noProof/>
                <w:sz w:val="18"/>
                <w:szCs w:val="18"/>
              </w:rPr>
            </w:pPr>
          </w:p>
        </w:tc>
        <w:tc>
          <w:tcPr>
            <w:tcW w:w="992" w:type="dxa"/>
            <w:tcMar>
              <w:top w:w="57" w:type="dxa"/>
              <w:left w:w="57" w:type="dxa"/>
              <w:bottom w:w="57" w:type="dxa"/>
              <w:right w:w="57" w:type="dxa"/>
            </w:tcMar>
          </w:tcPr>
          <w:p w14:paraId="3165870E" w14:textId="77777777" w:rsidR="005F3D74" w:rsidRPr="00A92A5F" w:rsidRDefault="005F3D74" w:rsidP="005F3D74">
            <w:pPr>
              <w:spacing w:after="0"/>
              <w:rPr>
                <w:noProof/>
                <w:sz w:val="18"/>
                <w:szCs w:val="18"/>
              </w:rPr>
            </w:pPr>
          </w:p>
        </w:tc>
        <w:tc>
          <w:tcPr>
            <w:tcW w:w="1276" w:type="dxa"/>
            <w:tcMar>
              <w:top w:w="57" w:type="dxa"/>
              <w:left w:w="57" w:type="dxa"/>
              <w:bottom w:w="57" w:type="dxa"/>
              <w:right w:w="57" w:type="dxa"/>
            </w:tcMar>
            <w:vAlign w:val="center"/>
          </w:tcPr>
          <w:p w14:paraId="1EFAF396" w14:textId="703F5987" w:rsidR="005F3D74" w:rsidRPr="00B05194" w:rsidRDefault="005668DF" w:rsidP="005C37E6">
            <w:pPr>
              <w:spacing w:after="0"/>
              <w:rPr>
                <w:noProof/>
                <w:sz w:val="18"/>
                <w:szCs w:val="18"/>
                <w:highlight w:val="yellow"/>
              </w:rPr>
            </w:pPr>
            <w:r>
              <w:rPr>
                <w:noProof/>
                <w:sz w:val="18"/>
                <w:szCs w:val="18"/>
              </w:rPr>
              <w:t>EUR 27 m – 83 m</w:t>
            </w:r>
          </w:p>
        </w:tc>
        <w:tc>
          <w:tcPr>
            <w:tcW w:w="1417" w:type="dxa"/>
            <w:tcMar>
              <w:top w:w="57" w:type="dxa"/>
              <w:left w:w="57" w:type="dxa"/>
              <w:bottom w:w="57" w:type="dxa"/>
              <w:right w:w="57" w:type="dxa"/>
            </w:tcMar>
            <w:vAlign w:val="center"/>
          </w:tcPr>
          <w:p w14:paraId="1C5F909E" w14:textId="3214B5F1" w:rsidR="005F3D74" w:rsidRPr="00B05194" w:rsidRDefault="00B718D6" w:rsidP="00A94579">
            <w:pPr>
              <w:spacing w:after="0"/>
              <w:jc w:val="right"/>
              <w:rPr>
                <w:noProof/>
                <w:sz w:val="18"/>
                <w:szCs w:val="18"/>
                <w:highlight w:val="yellow"/>
              </w:rPr>
            </w:pPr>
            <w:r>
              <w:rPr>
                <w:noProof/>
                <w:sz w:val="18"/>
                <w:szCs w:val="18"/>
              </w:rPr>
              <w:t xml:space="preserve">EUR 560 m – </w:t>
            </w:r>
            <w:r w:rsidR="00594504">
              <w:rPr>
                <w:noProof/>
                <w:sz w:val="18"/>
                <w:szCs w:val="18"/>
              </w:rPr>
              <w:t>2.9 bn</w:t>
            </w:r>
          </w:p>
        </w:tc>
        <w:tc>
          <w:tcPr>
            <w:tcW w:w="1276" w:type="dxa"/>
            <w:tcMar>
              <w:top w:w="57" w:type="dxa"/>
              <w:left w:w="57" w:type="dxa"/>
              <w:bottom w:w="57" w:type="dxa"/>
              <w:right w:w="57" w:type="dxa"/>
            </w:tcMar>
            <w:vAlign w:val="center"/>
          </w:tcPr>
          <w:p w14:paraId="193BD00C" w14:textId="6391034F" w:rsidR="005F3D74" w:rsidRPr="00A94579" w:rsidRDefault="001D277B" w:rsidP="005C37E6">
            <w:pPr>
              <w:spacing w:after="0"/>
              <w:rPr>
                <w:noProof/>
                <w:sz w:val="18"/>
                <w:szCs w:val="18"/>
              </w:rPr>
            </w:pPr>
            <w:r>
              <w:rPr>
                <w:noProof/>
                <w:sz w:val="18"/>
                <w:szCs w:val="18"/>
              </w:rPr>
              <w:t>EUR 10 m – 27 m</w:t>
            </w:r>
          </w:p>
        </w:tc>
        <w:tc>
          <w:tcPr>
            <w:tcW w:w="1417" w:type="dxa"/>
            <w:tcMar>
              <w:top w:w="57" w:type="dxa"/>
              <w:left w:w="57" w:type="dxa"/>
              <w:bottom w:w="57" w:type="dxa"/>
              <w:right w:w="57" w:type="dxa"/>
            </w:tcMar>
            <w:vAlign w:val="center"/>
          </w:tcPr>
          <w:p w14:paraId="26A91D40" w14:textId="7FE98816" w:rsidR="005F3D74" w:rsidRPr="00A94579" w:rsidRDefault="6B8FC9C8" w:rsidP="005C37E6">
            <w:pPr>
              <w:spacing w:after="0"/>
              <w:rPr>
                <w:noProof/>
                <w:sz w:val="18"/>
                <w:szCs w:val="18"/>
              </w:rPr>
            </w:pPr>
            <w:r w:rsidRPr="12736745">
              <w:rPr>
                <w:noProof/>
                <w:sz w:val="18"/>
                <w:szCs w:val="18"/>
              </w:rPr>
              <w:t>EUR 1</w:t>
            </w:r>
            <w:r w:rsidR="5E7323EC" w:rsidRPr="12736745">
              <w:rPr>
                <w:noProof/>
                <w:sz w:val="18"/>
                <w:szCs w:val="18"/>
              </w:rPr>
              <w:t>42</w:t>
            </w:r>
            <w:r w:rsidRPr="12736745">
              <w:rPr>
                <w:noProof/>
                <w:sz w:val="18"/>
                <w:szCs w:val="18"/>
              </w:rPr>
              <w:t xml:space="preserve"> m – </w:t>
            </w:r>
            <w:r w:rsidR="24A80DFD" w:rsidRPr="12736745">
              <w:rPr>
                <w:noProof/>
                <w:sz w:val="18"/>
                <w:szCs w:val="18"/>
              </w:rPr>
              <w:t>293</w:t>
            </w:r>
            <w:r w:rsidRPr="12736745">
              <w:rPr>
                <w:noProof/>
                <w:sz w:val="18"/>
                <w:szCs w:val="18"/>
              </w:rPr>
              <w:t xml:space="preserve"> m</w:t>
            </w:r>
          </w:p>
        </w:tc>
      </w:tr>
      <w:tr w:rsidR="00D41D51" w:rsidRPr="003855AF" w14:paraId="77DF5902" w14:textId="77777777" w:rsidTr="12736745">
        <w:trPr>
          <w:trHeight w:val="838"/>
        </w:trPr>
        <w:tc>
          <w:tcPr>
            <w:tcW w:w="1771" w:type="dxa"/>
            <w:vMerge/>
            <w:tcMar>
              <w:top w:w="57" w:type="dxa"/>
              <w:left w:w="57" w:type="dxa"/>
              <w:bottom w:w="57" w:type="dxa"/>
              <w:right w:w="57" w:type="dxa"/>
            </w:tcMar>
          </w:tcPr>
          <w:p w14:paraId="3EFF1EE4" w14:textId="77777777" w:rsidR="005F3D74" w:rsidRPr="00A92A5F" w:rsidRDefault="005F3D74" w:rsidP="005F3D74">
            <w:pPr>
              <w:spacing w:after="0"/>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5C50F05C" w14:textId="43F27B7B" w:rsidR="005F3D74" w:rsidRPr="00A92A5F" w:rsidRDefault="005F3D74" w:rsidP="005F3D74">
            <w:pPr>
              <w:spacing w:after="0"/>
              <w:jc w:val="left"/>
              <w:rPr>
                <w:noProof/>
                <w:sz w:val="18"/>
                <w:szCs w:val="18"/>
              </w:rPr>
            </w:pPr>
            <w:r w:rsidRPr="00A92A5F">
              <w:rPr>
                <w:noProof/>
                <w:sz w:val="18"/>
                <w:szCs w:val="18"/>
              </w:rPr>
              <w:t>Direct enforcement costs</w:t>
            </w:r>
          </w:p>
        </w:tc>
        <w:tc>
          <w:tcPr>
            <w:tcW w:w="709" w:type="dxa"/>
            <w:tcBorders>
              <w:left w:val="double" w:sz="4" w:space="0" w:color="auto"/>
            </w:tcBorders>
            <w:tcMar>
              <w:top w:w="57" w:type="dxa"/>
              <w:left w:w="57" w:type="dxa"/>
              <w:bottom w:w="57" w:type="dxa"/>
              <w:right w:w="57" w:type="dxa"/>
            </w:tcMar>
          </w:tcPr>
          <w:p w14:paraId="2821E9F7" w14:textId="77777777" w:rsidR="005F3D74" w:rsidRPr="00A92A5F" w:rsidRDefault="005F3D74" w:rsidP="005F3D74">
            <w:pPr>
              <w:spacing w:after="0"/>
              <w:rPr>
                <w:noProof/>
                <w:sz w:val="18"/>
                <w:szCs w:val="18"/>
              </w:rPr>
            </w:pPr>
          </w:p>
        </w:tc>
        <w:tc>
          <w:tcPr>
            <w:tcW w:w="992" w:type="dxa"/>
            <w:tcMar>
              <w:top w:w="57" w:type="dxa"/>
              <w:left w:w="57" w:type="dxa"/>
              <w:bottom w:w="57" w:type="dxa"/>
              <w:right w:w="57" w:type="dxa"/>
            </w:tcMar>
          </w:tcPr>
          <w:p w14:paraId="38197BD4" w14:textId="77777777" w:rsidR="005F3D74" w:rsidRPr="00A92A5F" w:rsidRDefault="005F3D74" w:rsidP="005F3D74">
            <w:pPr>
              <w:spacing w:after="0"/>
              <w:rPr>
                <w:noProof/>
                <w:sz w:val="18"/>
                <w:szCs w:val="18"/>
              </w:rPr>
            </w:pPr>
          </w:p>
        </w:tc>
        <w:tc>
          <w:tcPr>
            <w:tcW w:w="1276" w:type="dxa"/>
            <w:tcMar>
              <w:top w:w="57" w:type="dxa"/>
              <w:left w:w="57" w:type="dxa"/>
              <w:bottom w:w="57" w:type="dxa"/>
              <w:right w:w="57" w:type="dxa"/>
            </w:tcMar>
          </w:tcPr>
          <w:p w14:paraId="44B0385A" w14:textId="77777777" w:rsidR="005F3D74" w:rsidRPr="00A94579" w:rsidRDefault="005F3D74" w:rsidP="00A94579">
            <w:pPr>
              <w:spacing w:after="0"/>
              <w:jc w:val="right"/>
              <w:rPr>
                <w:noProof/>
                <w:sz w:val="18"/>
                <w:szCs w:val="18"/>
              </w:rPr>
            </w:pPr>
          </w:p>
        </w:tc>
        <w:tc>
          <w:tcPr>
            <w:tcW w:w="1417" w:type="dxa"/>
            <w:tcMar>
              <w:top w:w="57" w:type="dxa"/>
              <w:left w:w="57" w:type="dxa"/>
              <w:bottom w:w="57" w:type="dxa"/>
              <w:right w:w="57" w:type="dxa"/>
            </w:tcMar>
          </w:tcPr>
          <w:p w14:paraId="376EA159" w14:textId="77777777" w:rsidR="005F3D74" w:rsidRPr="00A94579" w:rsidRDefault="005F3D74" w:rsidP="00A94579">
            <w:pPr>
              <w:spacing w:after="0"/>
              <w:jc w:val="right"/>
              <w:rPr>
                <w:noProof/>
                <w:sz w:val="18"/>
                <w:szCs w:val="18"/>
              </w:rPr>
            </w:pPr>
          </w:p>
        </w:tc>
        <w:tc>
          <w:tcPr>
            <w:tcW w:w="1276" w:type="dxa"/>
            <w:tcMar>
              <w:top w:w="57" w:type="dxa"/>
              <w:left w:w="57" w:type="dxa"/>
              <w:bottom w:w="57" w:type="dxa"/>
              <w:right w:w="57" w:type="dxa"/>
            </w:tcMar>
          </w:tcPr>
          <w:p w14:paraId="2A30A634" w14:textId="77777777" w:rsidR="005F3D74" w:rsidRPr="00A94579" w:rsidRDefault="005F3D74" w:rsidP="00A94579">
            <w:pPr>
              <w:spacing w:after="0"/>
              <w:jc w:val="right"/>
              <w:rPr>
                <w:noProof/>
                <w:sz w:val="18"/>
                <w:szCs w:val="18"/>
              </w:rPr>
            </w:pPr>
          </w:p>
        </w:tc>
        <w:tc>
          <w:tcPr>
            <w:tcW w:w="1417" w:type="dxa"/>
            <w:tcMar>
              <w:top w:w="57" w:type="dxa"/>
              <w:left w:w="57" w:type="dxa"/>
              <w:bottom w:w="57" w:type="dxa"/>
              <w:right w:w="57" w:type="dxa"/>
            </w:tcMar>
            <w:vAlign w:val="center"/>
          </w:tcPr>
          <w:p w14:paraId="2764EEAF" w14:textId="75A88CF1" w:rsidR="005F3D74" w:rsidRPr="00A94579" w:rsidRDefault="005F3D74" w:rsidP="00A94579">
            <w:pPr>
              <w:spacing w:after="0"/>
              <w:jc w:val="right"/>
              <w:rPr>
                <w:noProof/>
                <w:sz w:val="18"/>
                <w:szCs w:val="18"/>
              </w:rPr>
            </w:pPr>
          </w:p>
        </w:tc>
      </w:tr>
      <w:tr w:rsidR="00D41D51" w:rsidRPr="003855AF" w14:paraId="44215EBD" w14:textId="77777777" w:rsidTr="12736745">
        <w:trPr>
          <w:trHeight w:val="839"/>
        </w:trPr>
        <w:tc>
          <w:tcPr>
            <w:tcW w:w="1771" w:type="dxa"/>
            <w:vMerge/>
            <w:tcMar>
              <w:top w:w="57" w:type="dxa"/>
              <w:left w:w="57" w:type="dxa"/>
              <w:bottom w:w="57" w:type="dxa"/>
              <w:right w:w="57" w:type="dxa"/>
            </w:tcMar>
          </w:tcPr>
          <w:p w14:paraId="0D1EEEA9" w14:textId="77777777" w:rsidR="00E811EE" w:rsidRPr="00A92A5F" w:rsidRDefault="00E811EE" w:rsidP="00E811EE">
            <w:pPr>
              <w:spacing w:after="0"/>
              <w:rPr>
                <w:noProof/>
                <w:sz w:val="18"/>
                <w:szCs w:val="18"/>
              </w:rPr>
            </w:pPr>
          </w:p>
        </w:tc>
        <w:tc>
          <w:tcPr>
            <w:tcW w:w="1276" w:type="dxa"/>
            <w:tcBorders>
              <w:right w:val="double" w:sz="4" w:space="0" w:color="auto"/>
            </w:tcBorders>
            <w:tcMar>
              <w:top w:w="57" w:type="dxa"/>
              <w:left w:w="57" w:type="dxa"/>
              <w:bottom w:w="57" w:type="dxa"/>
              <w:right w:w="57" w:type="dxa"/>
            </w:tcMar>
            <w:vAlign w:val="center"/>
          </w:tcPr>
          <w:p w14:paraId="76B6894E" w14:textId="2E34A52C" w:rsidR="00E811EE" w:rsidRPr="00A92A5F" w:rsidRDefault="00E811EE" w:rsidP="00E811EE">
            <w:pPr>
              <w:spacing w:after="0"/>
              <w:jc w:val="left"/>
              <w:rPr>
                <w:noProof/>
                <w:sz w:val="18"/>
                <w:szCs w:val="18"/>
              </w:rPr>
            </w:pPr>
            <w:r w:rsidRPr="00A92A5F">
              <w:rPr>
                <w:noProof/>
                <w:sz w:val="18"/>
                <w:szCs w:val="18"/>
              </w:rPr>
              <w:t>Direct regulatory fees and charges</w:t>
            </w:r>
          </w:p>
        </w:tc>
        <w:tc>
          <w:tcPr>
            <w:tcW w:w="709" w:type="dxa"/>
            <w:tcBorders>
              <w:left w:val="double" w:sz="4" w:space="0" w:color="auto"/>
            </w:tcBorders>
            <w:tcMar>
              <w:top w:w="57" w:type="dxa"/>
              <w:left w:w="57" w:type="dxa"/>
              <w:bottom w:w="57" w:type="dxa"/>
              <w:right w:w="57" w:type="dxa"/>
            </w:tcMar>
          </w:tcPr>
          <w:p w14:paraId="53BE7337" w14:textId="77777777" w:rsidR="00E811EE" w:rsidRPr="00A92A5F" w:rsidRDefault="00E811EE" w:rsidP="00E811EE">
            <w:pPr>
              <w:spacing w:after="0"/>
              <w:rPr>
                <w:noProof/>
                <w:sz w:val="18"/>
                <w:szCs w:val="18"/>
              </w:rPr>
            </w:pPr>
          </w:p>
        </w:tc>
        <w:tc>
          <w:tcPr>
            <w:tcW w:w="992" w:type="dxa"/>
            <w:tcMar>
              <w:top w:w="57" w:type="dxa"/>
              <w:left w:w="57" w:type="dxa"/>
              <w:bottom w:w="57" w:type="dxa"/>
              <w:right w:w="57" w:type="dxa"/>
            </w:tcMar>
          </w:tcPr>
          <w:p w14:paraId="4C56E4D0" w14:textId="77777777" w:rsidR="00E811EE" w:rsidRPr="00A92A5F" w:rsidRDefault="00E811EE" w:rsidP="00E811EE">
            <w:pPr>
              <w:spacing w:after="0"/>
              <w:rPr>
                <w:noProof/>
                <w:sz w:val="18"/>
                <w:szCs w:val="18"/>
              </w:rPr>
            </w:pPr>
          </w:p>
        </w:tc>
        <w:tc>
          <w:tcPr>
            <w:tcW w:w="1276" w:type="dxa"/>
            <w:tcMar>
              <w:top w:w="57" w:type="dxa"/>
              <w:left w:w="57" w:type="dxa"/>
              <w:bottom w:w="57" w:type="dxa"/>
              <w:right w:w="57" w:type="dxa"/>
            </w:tcMar>
            <w:vAlign w:val="center"/>
          </w:tcPr>
          <w:p w14:paraId="3C94E59E" w14:textId="5E33FF25" w:rsidR="00E811EE" w:rsidRPr="00A94579" w:rsidRDefault="00F12A77" w:rsidP="00A94579">
            <w:pPr>
              <w:spacing w:after="0"/>
              <w:jc w:val="right"/>
              <w:rPr>
                <w:noProof/>
                <w:sz w:val="18"/>
                <w:szCs w:val="18"/>
              </w:rPr>
            </w:pPr>
            <w:r>
              <w:rPr>
                <w:noProof/>
                <w:sz w:val="20"/>
              </w:rPr>
              <w:t>⁓ EUR 3 m</w:t>
            </w:r>
          </w:p>
        </w:tc>
        <w:tc>
          <w:tcPr>
            <w:tcW w:w="1417" w:type="dxa"/>
            <w:tcMar>
              <w:top w:w="57" w:type="dxa"/>
              <w:left w:w="57" w:type="dxa"/>
              <w:bottom w:w="57" w:type="dxa"/>
              <w:right w:w="57" w:type="dxa"/>
            </w:tcMar>
            <w:vAlign w:val="center"/>
          </w:tcPr>
          <w:p w14:paraId="3739A103" w14:textId="0BD0298D" w:rsidR="00E811EE" w:rsidRPr="00A94579" w:rsidRDefault="00F12A77" w:rsidP="00A94579">
            <w:pPr>
              <w:spacing w:after="0"/>
              <w:jc w:val="right"/>
              <w:rPr>
                <w:noProof/>
                <w:sz w:val="18"/>
                <w:szCs w:val="18"/>
              </w:rPr>
            </w:pPr>
            <w:r>
              <w:rPr>
                <w:noProof/>
                <w:sz w:val="20"/>
              </w:rPr>
              <w:t xml:space="preserve">⁓ </w:t>
            </w:r>
            <w:r w:rsidRPr="005C37E6">
              <w:rPr>
                <w:noProof/>
                <w:color w:val="000000" w:themeColor="text1"/>
                <w:sz w:val="20"/>
              </w:rPr>
              <w:t xml:space="preserve">EUR </w:t>
            </w:r>
            <w:r w:rsidR="002C00A7" w:rsidRPr="005C37E6">
              <w:rPr>
                <w:noProof/>
                <w:color w:val="000000" w:themeColor="text1"/>
                <w:sz w:val="20"/>
              </w:rPr>
              <w:t>3</w:t>
            </w:r>
            <w:r w:rsidRPr="005C37E6">
              <w:rPr>
                <w:noProof/>
                <w:color w:val="000000" w:themeColor="text1"/>
                <w:sz w:val="20"/>
              </w:rPr>
              <w:t>.</w:t>
            </w:r>
            <w:r w:rsidR="002C00A7" w:rsidRPr="005C37E6">
              <w:rPr>
                <w:noProof/>
                <w:color w:val="000000" w:themeColor="text1"/>
                <w:sz w:val="20"/>
              </w:rPr>
              <w:t>4</w:t>
            </w:r>
            <w:r w:rsidRPr="005C37E6">
              <w:rPr>
                <w:noProof/>
                <w:color w:val="000000" w:themeColor="text1"/>
                <w:sz w:val="20"/>
              </w:rPr>
              <w:t xml:space="preserve"> </w:t>
            </w:r>
            <w:r>
              <w:rPr>
                <w:noProof/>
                <w:sz w:val="20"/>
              </w:rPr>
              <w:t>m</w:t>
            </w:r>
          </w:p>
        </w:tc>
        <w:tc>
          <w:tcPr>
            <w:tcW w:w="1276" w:type="dxa"/>
            <w:tcMar>
              <w:top w:w="57" w:type="dxa"/>
              <w:left w:w="57" w:type="dxa"/>
              <w:bottom w:w="57" w:type="dxa"/>
              <w:right w:w="57" w:type="dxa"/>
            </w:tcMar>
            <w:vAlign w:val="center"/>
          </w:tcPr>
          <w:p w14:paraId="38E2B5EC" w14:textId="77777777" w:rsidR="00E811EE" w:rsidRPr="00A94579" w:rsidRDefault="00E811EE" w:rsidP="00A94579">
            <w:pPr>
              <w:spacing w:after="0"/>
              <w:jc w:val="right"/>
              <w:rPr>
                <w:noProof/>
                <w:sz w:val="18"/>
                <w:szCs w:val="18"/>
              </w:rPr>
            </w:pPr>
          </w:p>
        </w:tc>
        <w:tc>
          <w:tcPr>
            <w:tcW w:w="1417" w:type="dxa"/>
            <w:tcMar>
              <w:top w:w="57" w:type="dxa"/>
              <w:left w:w="57" w:type="dxa"/>
              <w:bottom w:w="57" w:type="dxa"/>
              <w:right w:w="57" w:type="dxa"/>
            </w:tcMar>
            <w:vAlign w:val="center"/>
          </w:tcPr>
          <w:p w14:paraId="6C6A03A9" w14:textId="77777777" w:rsidR="00E811EE" w:rsidRPr="00A94579" w:rsidRDefault="00E811EE" w:rsidP="00A94579">
            <w:pPr>
              <w:spacing w:after="0"/>
              <w:jc w:val="right"/>
              <w:rPr>
                <w:noProof/>
                <w:sz w:val="18"/>
                <w:szCs w:val="18"/>
              </w:rPr>
            </w:pPr>
          </w:p>
        </w:tc>
      </w:tr>
    </w:tbl>
    <w:p w14:paraId="309BFBCA" w14:textId="77777777" w:rsidR="0050538B" w:rsidRDefault="0050538B" w:rsidP="0050538B">
      <w:pPr>
        <w:pStyle w:val="ListParagraph"/>
        <w:rPr>
          <w:i/>
          <w:noProof/>
          <w:sz w:val="20"/>
        </w:rPr>
      </w:pPr>
    </w:p>
    <w:p w14:paraId="588ECF4A" w14:textId="1BB6D420" w:rsidR="00DF3D18" w:rsidRPr="00092BFD" w:rsidRDefault="00AF50FA" w:rsidP="00E745AC">
      <w:pPr>
        <w:rPr>
          <w:rFonts w:eastAsia="Times New Roman"/>
          <w:noProof/>
          <w:sz w:val="18"/>
          <w:szCs w:val="18"/>
          <w:lang w:eastAsia="en-GB"/>
        </w:rPr>
      </w:pPr>
      <w:r w:rsidRPr="00092BFD">
        <w:rPr>
          <w:iCs/>
          <w:noProof/>
          <w:sz w:val="20"/>
        </w:rPr>
        <w:t xml:space="preserve">(*) </w:t>
      </w:r>
      <w:r w:rsidR="0098279F" w:rsidRPr="00092BFD">
        <w:rPr>
          <w:rFonts w:eastAsia="Times New Roman"/>
          <w:noProof/>
          <w:sz w:val="18"/>
          <w:szCs w:val="18"/>
          <w:lang w:eastAsia="en-GB"/>
        </w:rPr>
        <w:t xml:space="preserve">The </w:t>
      </w:r>
      <w:r w:rsidR="00E745AC" w:rsidRPr="00092BFD">
        <w:rPr>
          <w:rFonts w:eastAsia="Times New Roman"/>
          <w:noProof/>
          <w:sz w:val="18"/>
          <w:szCs w:val="18"/>
          <w:lang w:eastAsia="en-GB"/>
        </w:rPr>
        <w:t xml:space="preserve">mandatory use of sovereign cloud and AI computing services </w:t>
      </w:r>
      <w:r w:rsidR="00DF3D18" w:rsidRPr="00092BFD">
        <w:rPr>
          <w:rFonts w:eastAsia="Times New Roman"/>
          <w:noProof/>
          <w:sz w:val="18"/>
          <w:szCs w:val="18"/>
          <w:lang w:eastAsia="en-GB"/>
        </w:rPr>
        <w:t>would trigger an acceleration of porting of some applications to sovereign cloud services of assurance levels 2 to 4, requiring an anticipation of expenses of EUR 3 to 15 bn</w:t>
      </w:r>
      <w:r w:rsidR="004E2C4B">
        <w:rPr>
          <w:rFonts w:eastAsia="Times New Roman"/>
          <w:noProof/>
          <w:sz w:val="18"/>
          <w:szCs w:val="18"/>
          <w:lang w:eastAsia="en-GB"/>
        </w:rPr>
        <w:t>, as reported in section 12.4 of Annex 4</w:t>
      </w:r>
      <w:r w:rsidR="00DF3D18" w:rsidRPr="00092BFD">
        <w:rPr>
          <w:rFonts w:eastAsia="Times New Roman"/>
          <w:noProof/>
          <w:sz w:val="18"/>
          <w:szCs w:val="18"/>
          <w:lang w:eastAsia="en-GB"/>
        </w:rPr>
        <w:t xml:space="preserve">. Since they represent planned expenditure that would be incurred in the future as part of the regular cloud contract renewal cycles and independent of the </w:t>
      </w:r>
      <w:r w:rsidR="004E2C4B">
        <w:rPr>
          <w:rFonts w:eastAsia="Times New Roman"/>
          <w:noProof/>
          <w:sz w:val="18"/>
          <w:szCs w:val="18"/>
          <w:lang w:eastAsia="en-GB"/>
        </w:rPr>
        <w:t>preferred option</w:t>
      </w:r>
      <w:r w:rsidR="00DF3D18" w:rsidRPr="00092BFD">
        <w:rPr>
          <w:rFonts w:eastAsia="Times New Roman"/>
          <w:noProof/>
          <w:sz w:val="18"/>
          <w:szCs w:val="18"/>
          <w:lang w:eastAsia="en-GB"/>
        </w:rPr>
        <w:t xml:space="preserve">, they have been scoped outside of the summary cost table so as not to conflate structural renewal costs with the incremental financial impact of the measure itself. </w:t>
      </w:r>
    </w:p>
    <w:p w14:paraId="171B10EA" w14:textId="4D9D8FA1" w:rsidR="00E42CFE" w:rsidRPr="00C22AB4" w:rsidRDefault="00E42CFE" w:rsidP="00913325">
      <w:pPr>
        <w:pStyle w:val="ListParagraph"/>
        <w:numPr>
          <w:ilvl w:val="0"/>
          <w:numId w:val="5"/>
        </w:numPr>
        <w:rPr>
          <w:i/>
          <w:noProof/>
          <w:sz w:val="20"/>
        </w:rPr>
      </w:pPr>
      <w:r w:rsidRPr="00C22AB4">
        <w:rPr>
          <w:i/>
          <w:noProof/>
          <w:sz w:val="20"/>
        </w:rPr>
        <w:t xml:space="preserve">Estimates (gross values) to be provided with respect to the baseline; (2) costs are provided for each identifiable action/obligation of the </w:t>
      </w:r>
      <w:r w:rsidRPr="00B05194">
        <w:rPr>
          <w:i/>
          <w:noProof/>
          <w:sz w:val="20"/>
        </w:rPr>
        <w:t>preferred</w:t>
      </w:r>
      <w:r w:rsidRPr="00C22AB4">
        <w:rPr>
          <w:i/>
          <w:noProof/>
          <w:sz w:val="20"/>
        </w:rPr>
        <w:t xml:space="preserve"> option otherwise for all retained options when no preferred option is specified; (3) If relevant and available, information on costs </w:t>
      </w:r>
      <w:r w:rsidR="005E221E">
        <w:rPr>
          <w:i/>
          <w:noProof/>
          <w:sz w:val="20"/>
        </w:rPr>
        <w:t xml:space="preserve">is presented </w:t>
      </w:r>
      <w:r w:rsidRPr="00C22AB4">
        <w:rPr>
          <w:i/>
          <w:noProof/>
          <w:sz w:val="20"/>
        </w:rPr>
        <w:t>according to the standard typology of costs (adjustment costs, administrative costs, regulatory charges, enforcement costs, indirect costs;)</w:t>
      </w:r>
      <w:r w:rsidR="00DE706C">
        <w:rPr>
          <w:i/>
          <w:noProof/>
          <w:sz w:val="20"/>
        </w:rPr>
        <w:t>; (4) a</w:t>
      </w:r>
      <w:r w:rsidR="00D720A8">
        <w:rPr>
          <w:i/>
          <w:noProof/>
          <w:sz w:val="20"/>
        </w:rPr>
        <w:t xml:space="preserve">lthough relevant environmental and social costs have been considered in this assessment, they were not quantified here due to the lack of sufficient and reliable data. </w:t>
      </w:r>
    </w:p>
    <w:p w14:paraId="04649CA8" w14:textId="77777777" w:rsidR="00E42CFE" w:rsidRPr="003506A0" w:rsidRDefault="00E42CFE" w:rsidP="00E42CFE">
      <w:pPr>
        <w:pStyle w:val="ListParagraph"/>
        <w:ind w:left="-207"/>
        <w:rPr>
          <w:noProof/>
          <w:sz w:val="22"/>
          <w:szCs w:val="22"/>
        </w:rPr>
      </w:pPr>
    </w:p>
    <w:tbl>
      <w:tblPr>
        <w:tblW w:w="10083" w:type="dxa"/>
        <w:tblInd w:w="-459" w:type="dxa"/>
        <w:tblCellMar>
          <w:left w:w="0" w:type="dxa"/>
          <w:right w:w="0" w:type="dxa"/>
        </w:tblCellMar>
        <w:tblLook w:val="04A0" w:firstRow="1" w:lastRow="0" w:firstColumn="1" w:lastColumn="0" w:noHBand="0" w:noVBand="1"/>
      </w:tblPr>
      <w:tblGrid>
        <w:gridCol w:w="2540"/>
        <w:gridCol w:w="2705"/>
        <w:gridCol w:w="2977"/>
        <w:gridCol w:w="1861"/>
      </w:tblGrid>
      <w:tr w:rsidR="00E42CFE" w14:paraId="32EBC451" w14:textId="77777777" w:rsidTr="00297C65">
        <w:trPr>
          <w:tblHeader/>
        </w:trPr>
        <w:tc>
          <w:tcPr>
            <w:tcW w:w="1008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22DA7CA0" w14:textId="2A182A73" w:rsidR="00E42CFE" w:rsidRDefault="00E42CFE">
            <w:pPr>
              <w:spacing w:before="60" w:after="60"/>
              <w:rPr>
                <w:b/>
                <w:bCs/>
                <w:noProof/>
                <w:sz w:val="20"/>
                <w:szCs w:val="20"/>
              </w:rPr>
            </w:pPr>
            <w:bookmarkStart w:id="89" w:name="_Hlk126312867"/>
            <w:r>
              <w:rPr>
                <w:b/>
                <w:bCs/>
                <w:noProof/>
                <w:sz w:val="20"/>
                <w:szCs w:val="20"/>
              </w:rPr>
              <w:t>III. Application of the ‘one in, one out’ approach – Preferred option</w:t>
            </w:r>
          </w:p>
        </w:tc>
      </w:tr>
      <w:tr w:rsidR="00E42CFE" w14:paraId="27F3A2BC" w14:textId="77777777" w:rsidTr="00297C65">
        <w:trPr>
          <w:tblHeader/>
        </w:trP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9D72820" w14:textId="63760F6B" w:rsidR="00E42CFE" w:rsidRDefault="00E42CFE">
            <w:pPr>
              <w:spacing w:before="60" w:after="60"/>
              <w:jc w:val="right"/>
              <w:rPr>
                <w:rFonts w:ascii="Calibri" w:hAnsi="Calibri" w:cs="Calibri"/>
                <w:b/>
                <w:bCs/>
                <w:noProof/>
                <w:sz w:val="20"/>
                <w:szCs w:val="20"/>
              </w:rPr>
            </w:pP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2B1F26" w14:textId="77777777" w:rsidR="00E42CFE" w:rsidRDefault="00E42CFE">
            <w:pPr>
              <w:spacing w:before="60"/>
              <w:jc w:val="center"/>
              <w:rPr>
                <w:b/>
                <w:bCs/>
                <w:noProof/>
                <w:sz w:val="20"/>
                <w:szCs w:val="20"/>
              </w:rPr>
            </w:pPr>
            <w:r>
              <w:rPr>
                <w:b/>
                <w:bCs/>
                <w:noProof/>
                <w:sz w:val="20"/>
                <w:szCs w:val="20"/>
              </w:rPr>
              <w:t>One-off</w:t>
            </w:r>
          </w:p>
          <w:p w14:paraId="0756F89B" w14:textId="77777777" w:rsidR="00E42CFE" w:rsidRDefault="00E42CFE">
            <w:pPr>
              <w:spacing w:after="60"/>
              <w:jc w:val="center"/>
              <w:rPr>
                <w:noProof/>
                <w:sz w:val="20"/>
                <w:szCs w:val="20"/>
              </w:rPr>
            </w:pPr>
            <w:r>
              <w:rPr>
                <w:noProof/>
                <w:sz w:val="20"/>
                <w:szCs w:val="20"/>
              </w:rPr>
              <w:t>(annualised total net present value over the relevant period)</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2E8C1944" w14:textId="77777777" w:rsidR="00E42CFE" w:rsidRDefault="00E42CFE">
            <w:pPr>
              <w:spacing w:before="60"/>
              <w:jc w:val="center"/>
              <w:rPr>
                <w:b/>
                <w:bCs/>
                <w:noProof/>
                <w:sz w:val="20"/>
                <w:szCs w:val="20"/>
              </w:rPr>
            </w:pPr>
            <w:r>
              <w:rPr>
                <w:b/>
                <w:bCs/>
                <w:noProof/>
                <w:sz w:val="20"/>
                <w:szCs w:val="20"/>
              </w:rPr>
              <w:t>Recurrent</w:t>
            </w:r>
          </w:p>
          <w:p w14:paraId="7F850842" w14:textId="058E08C7" w:rsidR="00E42CFE" w:rsidRDefault="00181391">
            <w:pPr>
              <w:spacing w:before="60" w:after="60"/>
              <w:jc w:val="center"/>
              <w:rPr>
                <w:b/>
                <w:bCs/>
                <w:noProof/>
                <w:sz w:val="20"/>
                <w:szCs w:val="20"/>
              </w:rPr>
            </w:pPr>
            <w:r>
              <w:rPr>
                <w:noProof/>
                <w:sz w:val="20"/>
                <w:szCs w:val="20"/>
              </w:rPr>
              <w:t>(annualised total net present value over the relevant period)</w:t>
            </w:r>
          </w:p>
        </w:tc>
        <w:tc>
          <w:tcPr>
            <w:tcW w:w="1861" w:type="dxa"/>
            <w:tcBorders>
              <w:top w:val="nil"/>
              <w:left w:val="nil"/>
              <w:bottom w:val="single" w:sz="8" w:space="0" w:color="auto"/>
              <w:right w:val="double" w:sz="4" w:space="0" w:color="auto"/>
            </w:tcBorders>
          </w:tcPr>
          <w:p w14:paraId="2D9AD53F" w14:textId="77777777" w:rsidR="00E42CFE" w:rsidRDefault="00E42CFE">
            <w:pPr>
              <w:spacing w:before="60"/>
              <w:jc w:val="center"/>
              <w:rPr>
                <w:b/>
                <w:bCs/>
                <w:noProof/>
                <w:sz w:val="20"/>
                <w:szCs w:val="20"/>
              </w:rPr>
            </w:pPr>
            <w:r>
              <w:rPr>
                <w:b/>
                <w:bCs/>
                <w:noProof/>
                <w:sz w:val="20"/>
                <w:szCs w:val="20"/>
              </w:rPr>
              <w:t>Total</w:t>
            </w:r>
          </w:p>
        </w:tc>
      </w:tr>
      <w:tr w:rsidR="00E42CFE" w14:paraId="2AB31109" w14:textId="77777777" w:rsidTr="00297C65">
        <w:trPr>
          <w:trHeight w:val="176"/>
        </w:trPr>
        <w:tc>
          <w:tcPr>
            <w:tcW w:w="1008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48B6DFC3" w14:textId="77777777" w:rsidR="00E42CFE" w:rsidRPr="00315B43" w:rsidRDefault="00E42CFE">
            <w:pPr>
              <w:spacing w:before="120" w:after="120"/>
              <w:jc w:val="left"/>
              <w:rPr>
                <w:b/>
                <w:bCs/>
                <w:noProof/>
                <w:sz w:val="20"/>
                <w:szCs w:val="20"/>
                <w:lang w:eastAsia="en-GB"/>
              </w:rPr>
            </w:pPr>
            <w:r>
              <w:rPr>
                <w:b/>
                <w:bCs/>
                <w:noProof/>
                <w:sz w:val="20"/>
                <w:szCs w:val="20"/>
              </w:rPr>
              <w:t>Businesses</w:t>
            </w:r>
          </w:p>
        </w:tc>
      </w:tr>
      <w:tr w:rsidR="00E42CFE" w14:paraId="4A985AA2"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32A14DE7" w14:textId="77777777" w:rsidR="00E42CFE" w:rsidRDefault="00E42CFE">
            <w:pPr>
              <w:spacing w:before="60" w:after="60"/>
              <w:ind w:left="284"/>
              <w:jc w:val="left"/>
              <w:rPr>
                <w:noProof/>
                <w:sz w:val="20"/>
                <w:szCs w:val="20"/>
              </w:rPr>
            </w:pPr>
            <w:r>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71366344" w14:textId="2AA2ADE7" w:rsidR="00E42CFE" w:rsidRDefault="00DF2F1A" w:rsidP="00B05194">
            <w:pPr>
              <w:spacing w:after="0"/>
              <w:jc w:val="right"/>
              <w:rPr>
                <w:noProof/>
                <w:sz w:val="20"/>
                <w:szCs w:val="20"/>
                <w:lang w:eastAsia="en-GB"/>
              </w:rPr>
            </w:pPr>
            <w:r>
              <w:rPr>
                <w:noProof/>
                <w:sz w:val="20"/>
                <w:szCs w:val="20"/>
              </w:rPr>
              <w:t>(</w:t>
            </w:r>
            <w:r w:rsidR="00097F01">
              <w:rPr>
                <w:noProof/>
                <w:sz w:val="20"/>
                <w:szCs w:val="20"/>
              </w:rPr>
              <w:t xml:space="preserve">EUR 30 m – </w:t>
            </w:r>
            <w:r w:rsidR="003C4923">
              <w:rPr>
                <w:noProof/>
                <w:sz w:val="20"/>
                <w:szCs w:val="20"/>
              </w:rPr>
              <w:t>90 m</w:t>
            </w:r>
            <w:r>
              <w:rPr>
                <w:noProof/>
                <w:sz w:val="20"/>
                <w:szCs w:val="20"/>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4E8B2B6D" w14:textId="38415BCC" w:rsidR="00E42CFE" w:rsidRDefault="00DF2F1A" w:rsidP="00B05194">
            <w:pPr>
              <w:spacing w:after="0"/>
              <w:jc w:val="right"/>
              <w:rPr>
                <w:noProof/>
                <w:sz w:val="20"/>
                <w:szCs w:val="20"/>
                <w:lang w:eastAsia="en-GB"/>
              </w:rPr>
            </w:pPr>
            <w:r>
              <w:rPr>
                <w:noProof/>
                <w:sz w:val="20"/>
                <w:szCs w:val="20"/>
              </w:rPr>
              <w:t>(</w:t>
            </w:r>
            <w:r w:rsidR="00CB74EF" w:rsidRPr="00CB74EF">
              <w:rPr>
                <w:noProof/>
                <w:sz w:val="20"/>
                <w:szCs w:val="20"/>
              </w:rPr>
              <w:t>EUR 5</w:t>
            </w:r>
            <w:r>
              <w:rPr>
                <w:noProof/>
                <w:sz w:val="20"/>
                <w:szCs w:val="20"/>
              </w:rPr>
              <w:t>59</w:t>
            </w:r>
            <w:r w:rsidR="00CB74EF">
              <w:rPr>
                <w:noProof/>
                <w:sz w:val="20"/>
                <w:szCs w:val="20"/>
              </w:rPr>
              <w:t xml:space="preserve"> </w:t>
            </w:r>
            <w:r w:rsidR="00CB74EF" w:rsidRPr="00CB74EF">
              <w:rPr>
                <w:noProof/>
                <w:sz w:val="20"/>
                <w:szCs w:val="20"/>
              </w:rPr>
              <w:t>m –</w:t>
            </w:r>
            <w:r w:rsidR="00CB74EF">
              <w:rPr>
                <w:noProof/>
                <w:sz w:val="20"/>
                <w:szCs w:val="20"/>
              </w:rPr>
              <w:t xml:space="preserve"> </w:t>
            </w:r>
            <w:r w:rsidR="00F23D4A">
              <w:rPr>
                <w:noProof/>
                <w:sz w:val="20"/>
                <w:szCs w:val="20"/>
              </w:rPr>
              <w:t>2.8 bn</w:t>
            </w:r>
            <w:r>
              <w:rPr>
                <w:noProof/>
                <w:sz w:val="20"/>
                <w:szCs w:val="20"/>
              </w:rPr>
              <w:t>)</w:t>
            </w:r>
          </w:p>
        </w:tc>
        <w:tc>
          <w:tcPr>
            <w:tcW w:w="1861" w:type="dxa"/>
            <w:tcBorders>
              <w:top w:val="nil"/>
              <w:left w:val="nil"/>
              <w:bottom w:val="single" w:sz="8" w:space="0" w:color="auto"/>
              <w:right w:val="double" w:sz="4" w:space="0" w:color="auto"/>
            </w:tcBorders>
            <w:vAlign w:val="center"/>
          </w:tcPr>
          <w:p w14:paraId="4C0DDB06" w14:textId="55EB048F" w:rsidR="00E42CFE" w:rsidRDefault="00DF2F1A" w:rsidP="00B05194">
            <w:pPr>
              <w:spacing w:after="0"/>
              <w:jc w:val="right"/>
              <w:rPr>
                <w:noProof/>
                <w:sz w:val="20"/>
                <w:szCs w:val="20"/>
                <w:lang w:eastAsia="en-GB"/>
              </w:rPr>
            </w:pPr>
            <w:r>
              <w:rPr>
                <w:noProof/>
                <w:sz w:val="20"/>
                <w:szCs w:val="20"/>
              </w:rPr>
              <w:t>(</w:t>
            </w:r>
            <w:r w:rsidR="005A7DD9" w:rsidRPr="005A7DD9">
              <w:rPr>
                <w:noProof/>
                <w:sz w:val="20"/>
                <w:szCs w:val="20"/>
              </w:rPr>
              <w:t>EUR 5</w:t>
            </w:r>
            <w:r>
              <w:rPr>
                <w:noProof/>
                <w:sz w:val="20"/>
                <w:szCs w:val="20"/>
              </w:rPr>
              <w:t>89</w:t>
            </w:r>
            <w:r w:rsidR="005A7DD9">
              <w:rPr>
                <w:noProof/>
                <w:sz w:val="20"/>
                <w:szCs w:val="20"/>
              </w:rPr>
              <w:t xml:space="preserve"> m</w:t>
            </w:r>
            <w:r w:rsidR="005A7DD9" w:rsidRPr="005A7DD9">
              <w:rPr>
                <w:noProof/>
                <w:sz w:val="20"/>
                <w:szCs w:val="20"/>
              </w:rPr>
              <w:t xml:space="preserve"> – </w:t>
            </w:r>
            <w:r w:rsidR="00A46BDB">
              <w:rPr>
                <w:noProof/>
                <w:sz w:val="20"/>
                <w:szCs w:val="20"/>
              </w:rPr>
              <w:t>2.8 bn</w:t>
            </w:r>
            <w:r>
              <w:rPr>
                <w:noProof/>
                <w:sz w:val="20"/>
                <w:szCs w:val="20"/>
                <w:lang w:eastAsia="en-GB"/>
              </w:rPr>
              <w:t>)</w:t>
            </w:r>
          </w:p>
        </w:tc>
      </w:tr>
      <w:tr w:rsidR="00066684" w14:paraId="16B54B22"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1D9D071" w14:textId="77777777" w:rsidR="00066684" w:rsidRDefault="00066684" w:rsidP="00066684">
            <w:pPr>
              <w:spacing w:before="60" w:after="60"/>
              <w:ind w:left="284"/>
              <w:jc w:val="left"/>
              <w:rPr>
                <w:noProof/>
                <w:sz w:val="20"/>
                <w:szCs w:val="20"/>
              </w:rPr>
            </w:pPr>
            <w:r>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2C1E65DB" w14:textId="77777777" w:rsidR="00066684" w:rsidRDefault="00066684" w:rsidP="00B05194">
            <w:pPr>
              <w:spacing w:after="0"/>
              <w:jc w:val="right"/>
              <w:rPr>
                <w:noProof/>
                <w:sz w:val="20"/>
                <w:szCs w:val="20"/>
                <w:lang w:eastAsia="en-GB"/>
              </w:rPr>
            </w:pP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25363E21" w14:textId="21DE97A8" w:rsidR="00066684" w:rsidRDefault="00A32EB0" w:rsidP="00B05194">
            <w:pPr>
              <w:spacing w:after="0"/>
              <w:jc w:val="right"/>
              <w:rPr>
                <w:noProof/>
                <w:sz w:val="20"/>
                <w:szCs w:val="20"/>
                <w:lang w:eastAsia="en-GB"/>
              </w:rPr>
            </w:pPr>
            <w:r w:rsidRPr="000C6692">
              <w:rPr>
                <w:noProof/>
                <w:sz w:val="20"/>
                <w:szCs w:val="20"/>
              </w:rPr>
              <w:t xml:space="preserve">EUR 404.3 – </w:t>
            </w:r>
            <w:r>
              <w:rPr>
                <w:noProof/>
                <w:sz w:val="20"/>
                <w:szCs w:val="20"/>
              </w:rPr>
              <w:t>2 bn</w:t>
            </w:r>
            <w:r w:rsidRPr="00D74DE5" w:rsidDel="00A32EB0">
              <w:rPr>
                <w:noProof/>
                <w:sz w:val="20"/>
                <w:szCs w:val="20"/>
              </w:rPr>
              <w:t xml:space="preserve"> </w:t>
            </w:r>
          </w:p>
        </w:tc>
        <w:tc>
          <w:tcPr>
            <w:tcW w:w="1861" w:type="dxa"/>
            <w:tcBorders>
              <w:top w:val="nil"/>
              <w:left w:val="nil"/>
              <w:bottom w:val="single" w:sz="8" w:space="0" w:color="auto"/>
              <w:right w:val="double" w:sz="4" w:space="0" w:color="auto"/>
            </w:tcBorders>
            <w:vAlign w:val="center"/>
          </w:tcPr>
          <w:p w14:paraId="2CFA3AFA" w14:textId="736CC7F1" w:rsidR="00066684" w:rsidRDefault="00A32EB0" w:rsidP="00B05194">
            <w:pPr>
              <w:spacing w:after="0"/>
              <w:jc w:val="right"/>
              <w:rPr>
                <w:noProof/>
                <w:sz w:val="20"/>
                <w:szCs w:val="20"/>
                <w:lang w:eastAsia="en-GB"/>
              </w:rPr>
            </w:pPr>
            <w:r w:rsidRPr="000C6692">
              <w:rPr>
                <w:noProof/>
                <w:sz w:val="20"/>
                <w:szCs w:val="20"/>
              </w:rPr>
              <w:t xml:space="preserve">EUR 404.3 – </w:t>
            </w:r>
            <w:r>
              <w:rPr>
                <w:noProof/>
                <w:sz w:val="20"/>
                <w:szCs w:val="20"/>
              </w:rPr>
              <w:t>2 bn</w:t>
            </w:r>
          </w:p>
        </w:tc>
      </w:tr>
      <w:tr w:rsidR="00066684" w14:paraId="422C56D7"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41027AD" w14:textId="77777777" w:rsidR="00066684" w:rsidRPr="000E345B" w:rsidRDefault="00066684" w:rsidP="00066684">
            <w:pPr>
              <w:spacing w:before="60" w:after="60"/>
              <w:ind w:left="284"/>
              <w:jc w:val="left"/>
              <w:rPr>
                <w:b/>
                <w:bCs/>
                <w:i/>
                <w:iCs/>
                <w:noProof/>
                <w:sz w:val="20"/>
                <w:szCs w:val="20"/>
              </w:rPr>
            </w:pPr>
            <w:r w:rsidRPr="000E345B">
              <w:rPr>
                <w:b/>
                <w:bCs/>
                <w:i/>
                <w:iCs/>
                <w:noProof/>
                <w:sz w:val="20"/>
                <w:szCs w:val="20"/>
              </w:rPr>
              <w:t>Net administrative burdens</w:t>
            </w:r>
            <w:r>
              <w:rPr>
                <w:b/>
                <w:bCs/>
                <w:i/>
                <w:iCs/>
                <w:noProof/>
                <w:sz w:val="20"/>
                <w:szCs w:val="20"/>
              </w:rPr>
              <w:t>*</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ACEE6E6" w14:textId="6A6E13F5" w:rsidR="00066684" w:rsidRDefault="002E1779" w:rsidP="00B05194">
            <w:pPr>
              <w:spacing w:after="0"/>
              <w:jc w:val="right"/>
              <w:rPr>
                <w:noProof/>
                <w:sz w:val="20"/>
                <w:szCs w:val="20"/>
                <w:lang w:eastAsia="en-GB"/>
              </w:rPr>
            </w:pPr>
            <w:r>
              <w:rPr>
                <w:noProof/>
                <w:sz w:val="20"/>
                <w:szCs w:val="20"/>
              </w:rPr>
              <w:t>(</w:t>
            </w:r>
            <w:r w:rsidR="00A32EB0">
              <w:rPr>
                <w:noProof/>
                <w:sz w:val="20"/>
                <w:szCs w:val="20"/>
              </w:rPr>
              <w:t>EUR 30 m – 90 m</w:t>
            </w:r>
            <w:r>
              <w:rPr>
                <w:noProof/>
                <w:sz w:val="20"/>
                <w:szCs w:val="20"/>
                <w:lang w:eastAsia="en-GB"/>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2E7CD13C" w14:textId="69BE5C92" w:rsidR="00066684" w:rsidRDefault="00091DAD" w:rsidP="00B05194">
            <w:pPr>
              <w:spacing w:after="0"/>
              <w:jc w:val="right"/>
              <w:rPr>
                <w:noProof/>
                <w:sz w:val="20"/>
                <w:szCs w:val="20"/>
                <w:lang w:eastAsia="en-GB"/>
              </w:rPr>
            </w:pPr>
            <w:r>
              <w:rPr>
                <w:noProof/>
                <w:sz w:val="20"/>
                <w:szCs w:val="20"/>
                <w:lang w:eastAsia="en-GB"/>
              </w:rPr>
              <w:t xml:space="preserve"> (EUR 154.7 m</w:t>
            </w:r>
            <w:r w:rsidR="000C6191">
              <w:rPr>
                <w:noProof/>
                <w:sz w:val="20"/>
                <w:szCs w:val="20"/>
                <w:lang w:eastAsia="en-GB"/>
              </w:rPr>
              <w:t xml:space="preserve"> – </w:t>
            </w:r>
            <w:r>
              <w:rPr>
                <w:noProof/>
                <w:sz w:val="20"/>
                <w:szCs w:val="20"/>
                <w:lang w:eastAsia="en-GB"/>
              </w:rPr>
              <w:t>0.8</w:t>
            </w:r>
            <w:r w:rsidR="000C6191">
              <w:rPr>
                <w:noProof/>
                <w:sz w:val="20"/>
                <w:szCs w:val="20"/>
                <w:lang w:eastAsia="en-GB"/>
              </w:rPr>
              <w:t xml:space="preserve"> bn</w:t>
            </w:r>
            <w:r>
              <w:rPr>
                <w:noProof/>
                <w:sz w:val="20"/>
                <w:szCs w:val="20"/>
                <w:lang w:eastAsia="en-GB"/>
              </w:rPr>
              <w:t>)</w:t>
            </w:r>
          </w:p>
        </w:tc>
        <w:tc>
          <w:tcPr>
            <w:tcW w:w="1861" w:type="dxa"/>
            <w:tcBorders>
              <w:top w:val="nil"/>
              <w:left w:val="nil"/>
              <w:bottom w:val="single" w:sz="8" w:space="0" w:color="auto"/>
              <w:right w:val="double" w:sz="4" w:space="0" w:color="auto"/>
            </w:tcBorders>
            <w:vAlign w:val="center"/>
          </w:tcPr>
          <w:p w14:paraId="0573AFCF" w14:textId="2FC79BDB" w:rsidR="00066684" w:rsidRDefault="00987E61" w:rsidP="00B05194">
            <w:pPr>
              <w:spacing w:after="0"/>
              <w:jc w:val="right"/>
              <w:rPr>
                <w:noProof/>
                <w:sz w:val="20"/>
                <w:szCs w:val="20"/>
                <w:lang w:eastAsia="en-GB"/>
              </w:rPr>
            </w:pPr>
            <w:r>
              <w:rPr>
                <w:noProof/>
                <w:sz w:val="20"/>
                <w:szCs w:val="20"/>
                <w:lang w:eastAsia="en-GB"/>
              </w:rPr>
              <w:t>(EUR 184.7 m</w:t>
            </w:r>
            <w:r w:rsidR="002E1779">
              <w:rPr>
                <w:noProof/>
                <w:sz w:val="20"/>
                <w:szCs w:val="20"/>
                <w:lang w:eastAsia="en-GB"/>
              </w:rPr>
              <w:t xml:space="preserve"> – </w:t>
            </w:r>
            <w:r>
              <w:rPr>
                <w:noProof/>
                <w:sz w:val="20"/>
                <w:szCs w:val="20"/>
                <w:lang w:eastAsia="en-GB"/>
              </w:rPr>
              <w:t>809 m</w:t>
            </w:r>
          </w:p>
        </w:tc>
      </w:tr>
      <w:tr w:rsidR="00066684" w14:paraId="280C013A" w14:textId="77777777" w:rsidTr="00A92A5F">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3A0C4A40" w14:textId="6AB5144E" w:rsidR="00066684" w:rsidRDefault="00066684" w:rsidP="00066684">
            <w:pPr>
              <w:spacing w:before="60" w:after="60"/>
              <w:ind w:left="284"/>
              <w:jc w:val="left"/>
              <w:rPr>
                <w:i/>
                <w:iCs/>
                <w:noProof/>
                <w:sz w:val="20"/>
                <w:szCs w:val="20"/>
              </w:rPr>
            </w:pPr>
            <w:bookmarkStart w:id="90" w:name="_Hlk126312690"/>
            <w:r>
              <w:rPr>
                <w:noProof/>
                <w:sz w:val="20"/>
                <w:szCs w:val="20"/>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0489526B" w14:textId="6A94C4E4" w:rsidR="00066684" w:rsidRPr="00B05194" w:rsidRDefault="00906DB2" w:rsidP="00B05194">
            <w:pPr>
              <w:spacing w:before="60" w:after="0"/>
              <w:jc w:val="right"/>
              <w:rPr>
                <w:noProof/>
                <w:sz w:val="18"/>
                <w:szCs w:val="18"/>
              </w:rPr>
            </w:pPr>
            <w:r>
              <w:rPr>
                <w:noProof/>
                <w:sz w:val="18"/>
                <w:szCs w:val="18"/>
              </w:rPr>
              <w:t>(</w:t>
            </w:r>
            <w:r w:rsidR="00AA41A2" w:rsidRPr="00AA41A2">
              <w:rPr>
                <w:noProof/>
                <w:sz w:val="18"/>
                <w:szCs w:val="18"/>
              </w:rPr>
              <w:t>EUR 179</w:t>
            </w:r>
            <w:r w:rsidR="00AA41A2">
              <w:rPr>
                <w:noProof/>
                <w:sz w:val="18"/>
                <w:szCs w:val="18"/>
              </w:rPr>
              <w:t xml:space="preserve"> </w:t>
            </w:r>
            <w:r w:rsidR="00AA41A2" w:rsidRPr="00AA41A2">
              <w:rPr>
                <w:noProof/>
                <w:sz w:val="18"/>
                <w:szCs w:val="18"/>
              </w:rPr>
              <w:t>m –</w:t>
            </w:r>
            <w:r w:rsidR="00AA41A2">
              <w:rPr>
                <w:noProof/>
                <w:sz w:val="18"/>
                <w:szCs w:val="18"/>
              </w:rPr>
              <w:t xml:space="preserve"> </w:t>
            </w:r>
            <w:r w:rsidR="00AA41A2" w:rsidRPr="00AA41A2">
              <w:rPr>
                <w:noProof/>
                <w:sz w:val="18"/>
                <w:szCs w:val="18"/>
              </w:rPr>
              <w:t>378</w:t>
            </w:r>
            <w:r w:rsidR="00AA41A2">
              <w:rPr>
                <w:noProof/>
                <w:sz w:val="18"/>
                <w:szCs w:val="18"/>
              </w:rPr>
              <w:t xml:space="preserve"> </w:t>
            </w:r>
            <w:r w:rsidR="00AA41A2" w:rsidRPr="00AA41A2">
              <w:rPr>
                <w:noProof/>
                <w:sz w:val="18"/>
                <w:szCs w:val="18"/>
              </w:rPr>
              <w:t>m</w:t>
            </w:r>
            <w:r>
              <w:rPr>
                <w:noProof/>
                <w:sz w:val="18"/>
                <w:szCs w:val="18"/>
              </w:rPr>
              <w:t>)</w:t>
            </w:r>
          </w:p>
        </w:tc>
        <w:tc>
          <w:tcPr>
            <w:tcW w:w="2977" w:type="dxa"/>
            <w:tcBorders>
              <w:top w:val="nil"/>
              <w:left w:val="single" w:sz="8" w:space="0" w:color="auto"/>
              <w:bottom w:val="double" w:sz="4" w:space="0" w:color="auto"/>
              <w:right w:val="double" w:sz="4" w:space="0" w:color="auto"/>
            </w:tcBorders>
            <w:vAlign w:val="center"/>
          </w:tcPr>
          <w:p w14:paraId="232B8C31" w14:textId="2B341375" w:rsidR="00066684" w:rsidRPr="00B05194" w:rsidRDefault="00066684" w:rsidP="00B05194">
            <w:pPr>
              <w:spacing w:before="60" w:after="0"/>
              <w:jc w:val="right"/>
              <w:rPr>
                <w:noProof/>
                <w:sz w:val="18"/>
                <w:szCs w:val="18"/>
              </w:rPr>
            </w:pPr>
          </w:p>
        </w:tc>
        <w:tc>
          <w:tcPr>
            <w:tcW w:w="1861" w:type="dxa"/>
            <w:tcBorders>
              <w:top w:val="single" w:sz="8" w:space="0" w:color="auto"/>
              <w:left w:val="single" w:sz="4" w:space="0" w:color="auto"/>
              <w:bottom w:val="double" w:sz="4" w:space="0" w:color="auto"/>
              <w:right w:val="double" w:sz="4" w:space="0" w:color="auto"/>
              <w:tl2br w:val="double" w:sz="4" w:space="0" w:color="auto"/>
            </w:tcBorders>
            <w:vAlign w:val="center"/>
          </w:tcPr>
          <w:p w14:paraId="58AE0BEA" w14:textId="77777777" w:rsidR="00066684" w:rsidRDefault="00066684" w:rsidP="00B05194">
            <w:pPr>
              <w:spacing w:before="60" w:after="0"/>
              <w:jc w:val="right"/>
              <w:rPr>
                <w:noProof/>
                <w:sz w:val="20"/>
                <w:szCs w:val="20"/>
              </w:rPr>
            </w:pPr>
          </w:p>
        </w:tc>
        <w:bookmarkEnd w:id="90"/>
      </w:tr>
      <w:tr w:rsidR="00066684" w14:paraId="2E8C6B24" w14:textId="77777777" w:rsidTr="00A92A5F">
        <w:tc>
          <w:tcPr>
            <w:tcW w:w="1008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6F97D327" w14:textId="15A8B84E" w:rsidR="00066684" w:rsidRPr="00315B43" w:rsidRDefault="00C414E2" w:rsidP="004D3BDC">
            <w:pPr>
              <w:spacing w:before="120" w:after="120"/>
              <w:jc w:val="left"/>
              <w:rPr>
                <w:b/>
                <w:bCs/>
                <w:noProof/>
                <w:sz w:val="20"/>
                <w:szCs w:val="20"/>
                <w:lang w:eastAsia="en-GB"/>
              </w:rPr>
            </w:pPr>
            <w:r>
              <w:rPr>
                <w:b/>
                <w:bCs/>
                <w:noProof/>
                <w:sz w:val="20"/>
                <w:szCs w:val="20"/>
              </w:rPr>
              <w:t>National p</w:t>
            </w:r>
            <w:r w:rsidR="00C43150">
              <w:rPr>
                <w:b/>
                <w:bCs/>
                <w:noProof/>
                <w:sz w:val="20"/>
                <w:szCs w:val="20"/>
              </w:rPr>
              <w:t>ublic</w:t>
            </w:r>
            <w:r w:rsidR="00066684">
              <w:rPr>
                <w:b/>
                <w:bCs/>
                <w:noProof/>
                <w:sz w:val="20"/>
                <w:szCs w:val="20"/>
              </w:rPr>
              <w:t xml:space="preserve"> administrations</w:t>
            </w:r>
          </w:p>
        </w:tc>
      </w:tr>
      <w:tr w:rsidR="00F8039B" w14:paraId="7F4FEA95"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BF7142D" w14:textId="77777777" w:rsidR="00F8039B" w:rsidRDefault="00F8039B" w:rsidP="00F8039B">
            <w:pPr>
              <w:spacing w:before="60" w:after="60"/>
              <w:ind w:left="284"/>
              <w:jc w:val="left"/>
              <w:rPr>
                <w:noProof/>
                <w:sz w:val="20"/>
                <w:szCs w:val="20"/>
              </w:rPr>
            </w:pPr>
            <w:r>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0CDE2DB" w14:textId="4F31931E" w:rsidR="00F8039B" w:rsidRDefault="00E00A07" w:rsidP="008D0BAC">
            <w:pPr>
              <w:jc w:val="right"/>
              <w:rPr>
                <w:noProof/>
                <w:sz w:val="20"/>
                <w:szCs w:val="20"/>
                <w:lang w:eastAsia="en-GB"/>
              </w:rPr>
            </w:pPr>
            <w:r>
              <w:rPr>
                <w:noProof/>
                <w:sz w:val="20"/>
                <w:szCs w:val="20"/>
                <w:lang w:eastAsia="en-GB"/>
              </w:rPr>
              <w:t>(</w:t>
            </w:r>
            <w:r w:rsidR="00C739FC" w:rsidRPr="00C739FC">
              <w:rPr>
                <w:noProof/>
                <w:sz w:val="20"/>
                <w:szCs w:val="20"/>
                <w:lang w:eastAsia="en-GB"/>
              </w:rPr>
              <w:t xml:space="preserve">EUR </w:t>
            </w:r>
            <w:r w:rsidR="00C739FC">
              <w:rPr>
                <w:noProof/>
                <w:sz w:val="20"/>
                <w:szCs w:val="20"/>
                <w:lang w:eastAsia="en-GB"/>
              </w:rPr>
              <w:t xml:space="preserve">12 </w:t>
            </w:r>
            <w:r w:rsidR="00C739FC" w:rsidRPr="00C739FC">
              <w:rPr>
                <w:noProof/>
                <w:sz w:val="20"/>
                <w:szCs w:val="20"/>
                <w:lang w:eastAsia="en-GB"/>
              </w:rPr>
              <w:t>m –</w:t>
            </w:r>
            <w:r w:rsidR="00C739FC">
              <w:rPr>
                <w:noProof/>
                <w:sz w:val="20"/>
                <w:szCs w:val="20"/>
                <w:lang w:eastAsia="en-GB"/>
              </w:rPr>
              <w:t xml:space="preserve"> 34 m</w:t>
            </w:r>
            <w:r>
              <w:rPr>
                <w:noProof/>
                <w:sz w:val="20"/>
                <w:szCs w:val="20"/>
                <w:lang w:eastAsia="en-GB"/>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6584C399" w14:textId="556C59EB" w:rsidR="00F8039B" w:rsidRDefault="00E00A07" w:rsidP="008D0BAC">
            <w:pPr>
              <w:jc w:val="right"/>
              <w:rPr>
                <w:noProof/>
                <w:sz w:val="20"/>
                <w:szCs w:val="20"/>
                <w:lang w:eastAsia="en-GB"/>
              </w:rPr>
            </w:pPr>
            <w:r>
              <w:rPr>
                <w:noProof/>
                <w:sz w:val="20"/>
                <w:szCs w:val="20"/>
              </w:rPr>
              <w:t>(</w:t>
            </w:r>
            <w:r w:rsidR="00F42D0C" w:rsidRPr="00F42D0C">
              <w:rPr>
                <w:noProof/>
                <w:sz w:val="20"/>
                <w:szCs w:val="20"/>
              </w:rPr>
              <w:t xml:space="preserve">EUR </w:t>
            </w:r>
            <w:r>
              <w:rPr>
                <w:noProof/>
                <w:sz w:val="20"/>
                <w:szCs w:val="20"/>
              </w:rPr>
              <w:t xml:space="preserve">154 </w:t>
            </w:r>
            <w:r w:rsidR="0071254F" w:rsidRPr="0071254F">
              <w:rPr>
                <w:noProof/>
                <w:sz w:val="20"/>
                <w:szCs w:val="20"/>
              </w:rPr>
              <w:t xml:space="preserve">m – </w:t>
            </w:r>
            <w:r>
              <w:rPr>
                <w:noProof/>
                <w:sz w:val="20"/>
                <w:szCs w:val="20"/>
              </w:rPr>
              <w:t>41</w:t>
            </w:r>
            <w:r w:rsidR="0071254F" w:rsidRPr="0071254F">
              <w:rPr>
                <w:noProof/>
                <w:sz w:val="20"/>
                <w:szCs w:val="20"/>
              </w:rPr>
              <w:t>4</w:t>
            </w:r>
            <w:r w:rsidR="0071254F">
              <w:rPr>
                <w:noProof/>
                <w:sz w:val="20"/>
                <w:szCs w:val="20"/>
              </w:rPr>
              <w:t xml:space="preserve"> </w:t>
            </w:r>
            <w:r w:rsidR="0071254F" w:rsidRPr="0071254F">
              <w:rPr>
                <w:noProof/>
                <w:sz w:val="20"/>
                <w:szCs w:val="20"/>
              </w:rPr>
              <w:t>m</w:t>
            </w:r>
            <w:r w:rsidR="006C75F9">
              <w:rPr>
                <w:noProof/>
                <w:sz w:val="20"/>
                <w:szCs w:val="20"/>
              </w:rPr>
              <w:t>)</w:t>
            </w:r>
          </w:p>
        </w:tc>
        <w:tc>
          <w:tcPr>
            <w:tcW w:w="1861" w:type="dxa"/>
            <w:tcBorders>
              <w:top w:val="nil"/>
              <w:left w:val="nil"/>
              <w:bottom w:val="single" w:sz="8" w:space="0" w:color="auto"/>
              <w:right w:val="double" w:sz="4" w:space="0" w:color="auto"/>
            </w:tcBorders>
            <w:vAlign w:val="center"/>
          </w:tcPr>
          <w:p w14:paraId="3150AED5" w14:textId="023E3406" w:rsidR="00F8039B" w:rsidRDefault="006C75F9" w:rsidP="008D0BAC">
            <w:pPr>
              <w:jc w:val="right"/>
              <w:rPr>
                <w:noProof/>
                <w:sz w:val="20"/>
                <w:szCs w:val="20"/>
                <w:lang w:eastAsia="en-GB"/>
              </w:rPr>
            </w:pPr>
            <w:r>
              <w:rPr>
                <w:noProof/>
                <w:sz w:val="20"/>
                <w:szCs w:val="20"/>
              </w:rPr>
              <w:t>(</w:t>
            </w:r>
            <w:r w:rsidRPr="006C75F9">
              <w:rPr>
                <w:noProof/>
                <w:sz w:val="20"/>
                <w:szCs w:val="20"/>
              </w:rPr>
              <w:t>EUR 166m – 448</w:t>
            </w:r>
            <w:r>
              <w:rPr>
                <w:noProof/>
                <w:sz w:val="20"/>
                <w:szCs w:val="20"/>
              </w:rPr>
              <w:t xml:space="preserve"> </w:t>
            </w:r>
            <w:r w:rsidRPr="006C75F9">
              <w:rPr>
                <w:noProof/>
                <w:sz w:val="20"/>
                <w:szCs w:val="20"/>
              </w:rPr>
              <w:t>m</w:t>
            </w:r>
            <w:r w:rsidR="00C618D6">
              <w:rPr>
                <w:noProof/>
                <w:sz w:val="20"/>
                <w:szCs w:val="20"/>
              </w:rPr>
              <w:t>)</w:t>
            </w:r>
          </w:p>
        </w:tc>
      </w:tr>
      <w:tr w:rsidR="00F8039B" w14:paraId="2646A29F"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37E741BA" w14:textId="77777777" w:rsidR="00F8039B" w:rsidRDefault="00F8039B" w:rsidP="00F8039B">
            <w:pPr>
              <w:spacing w:before="60" w:after="60"/>
              <w:ind w:left="284"/>
              <w:jc w:val="left"/>
              <w:rPr>
                <w:noProof/>
                <w:sz w:val="20"/>
                <w:szCs w:val="20"/>
              </w:rPr>
            </w:pPr>
            <w:r>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DD1501E" w14:textId="77777777" w:rsidR="00F8039B" w:rsidRDefault="00F8039B" w:rsidP="008D0BAC">
            <w:pPr>
              <w:jc w:val="right"/>
              <w:rPr>
                <w:noProof/>
                <w:sz w:val="20"/>
                <w:szCs w:val="20"/>
                <w:lang w:eastAsia="en-GB"/>
              </w:rPr>
            </w:pP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21FB56AF" w14:textId="1DE1FB45" w:rsidR="00F8039B" w:rsidRDefault="00605696" w:rsidP="008D0BAC">
            <w:pPr>
              <w:jc w:val="right"/>
              <w:rPr>
                <w:noProof/>
                <w:sz w:val="20"/>
                <w:szCs w:val="20"/>
                <w:lang w:eastAsia="en-GB"/>
              </w:rPr>
            </w:pPr>
            <w:r w:rsidRPr="00605696">
              <w:rPr>
                <w:noProof/>
                <w:color w:val="000000"/>
                <w:sz w:val="20"/>
                <w:szCs w:val="20"/>
              </w:rPr>
              <w:t xml:space="preserve">EUR </w:t>
            </w:r>
            <w:r>
              <w:rPr>
                <w:noProof/>
                <w:color w:val="000000"/>
                <w:sz w:val="20"/>
                <w:szCs w:val="20"/>
              </w:rPr>
              <w:t xml:space="preserve">90 </w:t>
            </w:r>
            <w:r w:rsidRPr="00605696">
              <w:rPr>
                <w:noProof/>
                <w:color w:val="000000"/>
                <w:sz w:val="20"/>
                <w:szCs w:val="20"/>
              </w:rPr>
              <w:t>m –</w:t>
            </w:r>
            <w:r>
              <w:rPr>
                <w:noProof/>
                <w:color w:val="000000"/>
                <w:sz w:val="20"/>
                <w:szCs w:val="20"/>
              </w:rPr>
              <w:t xml:space="preserve"> 154 m</w:t>
            </w:r>
          </w:p>
        </w:tc>
        <w:tc>
          <w:tcPr>
            <w:tcW w:w="1861" w:type="dxa"/>
            <w:tcBorders>
              <w:top w:val="nil"/>
              <w:left w:val="nil"/>
              <w:bottom w:val="single" w:sz="8" w:space="0" w:color="auto"/>
              <w:right w:val="double" w:sz="4" w:space="0" w:color="auto"/>
            </w:tcBorders>
            <w:vAlign w:val="center"/>
          </w:tcPr>
          <w:p w14:paraId="42392B80" w14:textId="7CFEA70A" w:rsidR="00F8039B" w:rsidRDefault="00275F78" w:rsidP="008D0BAC">
            <w:pPr>
              <w:jc w:val="right"/>
              <w:rPr>
                <w:noProof/>
                <w:sz w:val="20"/>
                <w:szCs w:val="20"/>
                <w:lang w:eastAsia="en-GB"/>
              </w:rPr>
            </w:pPr>
            <w:r>
              <w:rPr>
                <w:noProof/>
                <w:sz w:val="20"/>
                <w:szCs w:val="20"/>
                <w:lang w:eastAsia="en-GB"/>
              </w:rPr>
              <w:t xml:space="preserve"> </w:t>
            </w:r>
            <w:r w:rsidR="008E7512" w:rsidRPr="00605696">
              <w:rPr>
                <w:noProof/>
                <w:color w:val="000000"/>
                <w:sz w:val="20"/>
                <w:szCs w:val="20"/>
              </w:rPr>
              <w:t xml:space="preserve">EUR </w:t>
            </w:r>
            <w:r>
              <w:rPr>
                <w:noProof/>
                <w:color w:val="000000"/>
                <w:sz w:val="20"/>
                <w:szCs w:val="20"/>
              </w:rPr>
              <w:t>90</w:t>
            </w:r>
            <w:r w:rsidR="008E7512">
              <w:rPr>
                <w:noProof/>
                <w:color w:val="000000"/>
                <w:sz w:val="20"/>
                <w:szCs w:val="20"/>
              </w:rPr>
              <w:t xml:space="preserve"> </w:t>
            </w:r>
            <w:r w:rsidR="008E7512" w:rsidRPr="00605696">
              <w:rPr>
                <w:noProof/>
                <w:color w:val="000000"/>
                <w:sz w:val="20"/>
                <w:szCs w:val="20"/>
              </w:rPr>
              <w:t>m –</w:t>
            </w:r>
            <w:r w:rsidR="008E7512">
              <w:rPr>
                <w:noProof/>
                <w:color w:val="000000"/>
                <w:sz w:val="20"/>
                <w:szCs w:val="20"/>
              </w:rPr>
              <w:t xml:space="preserve"> </w:t>
            </w:r>
            <w:r>
              <w:rPr>
                <w:noProof/>
                <w:color w:val="000000"/>
                <w:sz w:val="20"/>
                <w:szCs w:val="20"/>
              </w:rPr>
              <w:t>154</w:t>
            </w:r>
            <w:r w:rsidR="008E7512">
              <w:rPr>
                <w:noProof/>
                <w:color w:val="000000"/>
                <w:sz w:val="20"/>
                <w:szCs w:val="20"/>
              </w:rPr>
              <w:t xml:space="preserve"> m</w:t>
            </w:r>
          </w:p>
        </w:tc>
      </w:tr>
      <w:tr w:rsidR="00F8039B" w14:paraId="0F30012C" w14:textId="77777777" w:rsidTr="00A92A5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ED96E6C" w14:textId="77777777" w:rsidR="00F8039B" w:rsidRPr="000E345B" w:rsidRDefault="00F8039B" w:rsidP="00F8039B">
            <w:pPr>
              <w:spacing w:before="60" w:after="60"/>
              <w:ind w:left="284"/>
              <w:jc w:val="left"/>
              <w:rPr>
                <w:b/>
                <w:bCs/>
                <w:noProof/>
                <w:sz w:val="20"/>
                <w:szCs w:val="20"/>
              </w:rPr>
            </w:pPr>
            <w:r w:rsidRPr="000E345B">
              <w:rPr>
                <w:b/>
                <w:bCs/>
                <w:i/>
                <w:iCs/>
                <w:noProof/>
                <w:sz w:val="20"/>
                <w:szCs w:val="20"/>
              </w:rPr>
              <w:t>Net administrative burdens</w:t>
            </w:r>
            <w:r>
              <w:rPr>
                <w:b/>
                <w:bCs/>
                <w:i/>
                <w:iCs/>
                <w:noProof/>
                <w:sz w:val="20"/>
                <w:szCs w:val="20"/>
              </w:rPr>
              <w:t>*</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766E1C11" w14:textId="1DC991B8" w:rsidR="00F8039B" w:rsidRPr="008D0BAC" w:rsidRDefault="00E00A07" w:rsidP="008D0BAC">
            <w:pPr>
              <w:spacing w:after="0"/>
              <w:jc w:val="right"/>
              <w:rPr>
                <w:noProof/>
                <w:color w:val="000000"/>
                <w:sz w:val="20"/>
                <w:szCs w:val="20"/>
              </w:rPr>
            </w:pPr>
            <w:r>
              <w:rPr>
                <w:noProof/>
                <w:sz w:val="20"/>
                <w:szCs w:val="20"/>
                <w:lang w:eastAsia="en-GB"/>
              </w:rPr>
              <w:t>(</w:t>
            </w:r>
            <w:r w:rsidRPr="00C739FC">
              <w:rPr>
                <w:noProof/>
                <w:sz w:val="20"/>
                <w:szCs w:val="20"/>
                <w:lang w:eastAsia="en-GB"/>
              </w:rPr>
              <w:t xml:space="preserve">EUR </w:t>
            </w:r>
            <w:r>
              <w:rPr>
                <w:noProof/>
                <w:sz w:val="20"/>
                <w:szCs w:val="20"/>
                <w:lang w:eastAsia="en-GB"/>
              </w:rPr>
              <w:t xml:space="preserve">12 </w:t>
            </w:r>
            <w:r w:rsidRPr="00C739FC">
              <w:rPr>
                <w:noProof/>
                <w:sz w:val="20"/>
                <w:szCs w:val="20"/>
                <w:lang w:eastAsia="en-GB"/>
              </w:rPr>
              <w:t>m –</w:t>
            </w:r>
            <w:r>
              <w:rPr>
                <w:noProof/>
                <w:sz w:val="20"/>
                <w:szCs w:val="20"/>
                <w:lang w:eastAsia="en-GB"/>
              </w:rPr>
              <w:t xml:space="preserve"> 34 m)</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7937BBAC" w14:textId="4626A376" w:rsidR="00F8039B" w:rsidRPr="008D0BAC" w:rsidRDefault="008E7512" w:rsidP="008D0BAC">
            <w:pPr>
              <w:spacing w:after="0"/>
              <w:jc w:val="right"/>
              <w:rPr>
                <w:noProof/>
                <w:color w:val="000000"/>
                <w:sz w:val="20"/>
                <w:szCs w:val="20"/>
              </w:rPr>
            </w:pPr>
            <w:r w:rsidRPr="008E7512">
              <w:rPr>
                <w:noProof/>
                <w:color w:val="000000"/>
                <w:sz w:val="20"/>
                <w:szCs w:val="20"/>
              </w:rPr>
              <w:t xml:space="preserve">EUR </w:t>
            </w:r>
            <w:r>
              <w:rPr>
                <w:noProof/>
                <w:color w:val="000000"/>
                <w:sz w:val="20"/>
                <w:szCs w:val="20"/>
              </w:rPr>
              <w:t xml:space="preserve"> 64</w:t>
            </w:r>
            <w:r w:rsidRPr="008E7512">
              <w:rPr>
                <w:noProof/>
                <w:color w:val="000000"/>
                <w:sz w:val="20"/>
                <w:szCs w:val="20"/>
              </w:rPr>
              <w:t xml:space="preserve"> –2</w:t>
            </w:r>
            <w:r>
              <w:rPr>
                <w:noProof/>
                <w:color w:val="000000"/>
                <w:sz w:val="20"/>
                <w:szCs w:val="20"/>
              </w:rPr>
              <w:t xml:space="preserve">-60 </w:t>
            </w:r>
            <w:r w:rsidRPr="008E7512">
              <w:rPr>
                <w:noProof/>
                <w:color w:val="000000"/>
                <w:sz w:val="20"/>
                <w:szCs w:val="20"/>
              </w:rPr>
              <w:t>m</w:t>
            </w:r>
          </w:p>
        </w:tc>
        <w:tc>
          <w:tcPr>
            <w:tcW w:w="1861" w:type="dxa"/>
            <w:tcBorders>
              <w:top w:val="nil"/>
              <w:left w:val="nil"/>
              <w:bottom w:val="single" w:sz="8" w:space="0" w:color="auto"/>
              <w:right w:val="double" w:sz="4" w:space="0" w:color="auto"/>
            </w:tcBorders>
            <w:vAlign w:val="center"/>
          </w:tcPr>
          <w:p w14:paraId="6A27AD4B" w14:textId="3EDD542C" w:rsidR="00F8039B" w:rsidRPr="008D0BAC" w:rsidRDefault="0040420B" w:rsidP="008D0BAC">
            <w:pPr>
              <w:spacing w:after="0"/>
              <w:jc w:val="right"/>
              <w:rPr>
                <w:noProof/>
                <w:color w:val="000000"/>
                <w:sz w:val="20"/>
                <w:szCs w:val="20"/>
              </w:rPr>
            </w:pPr>
            <w:r w:rsidRPr="0040420B">
              <w:rPr>
                <w:noProof/>
                <w:color w:val="000000"/>
                <w:sz w:val="20"/>
                <w:szCs w:val="20"/>
              </w:rPr>
              <w:t xml:space="preserve">EUR </w:t>
            </w:r>
            <w:r>
              <w:rPr>
                <w:noProof/>
                <w:color w:val="000000"/>
                <w:sz w:val="20"/>
                <w:szCs w:val="20"/>
              </w:rPr>
              <w:t>6</w:t>
            </w:r>
            <w:r w:rsidRPr="0040420B">
              <w:rPr>
                <w:noProof/>
                <w:color w:val="000000"/>
                <w:sz w:val="20"/>
                <w:szCs w:val="20"/>
              </w:rPr>
              <w:t>8</w:t>
            </w:r>
            <w:r w:rsidR="00FE4833">
              <w:rPr>
                <w:noProof/>
                <w:color w:val="000000"/>
                <w:sz w:val="20"/>
                <w:szCs w:val="20"/>
              </w:rPr>
              <w:t xml:space="preserve"> </w:t>
            </w:r>
            <w:r w:rsidRPr="0040420B">
              <w:rPr>
                <w:noProof/>
                <w:color w:val="000000"/>
                <w:sz w:val="20"/>
                <w:szCs w:val="20"/>
              </w:rPr>
              <w:t>m –</w:t>
            </w:r>
            <w:r>
              <w:rPr>
                <w:noProof/>
                <w:color w:val="000000"/>
                <w:sz w:val="20"/>
                <w:szCs w:val="20"/>
              </w:rPr>
              <w:t xml:space="preserve"> 194</w:t>
            </w:r>
            <w:r w:rsidRPr="0040420B">
              <w:rPr>
                <w:noProof/>
                <w:color w:val="000000"/>
                <w:sz w:val="20"/>
                <w:szCs w:val="20"/>
              </w:rPr>
              <w:t>m</w:t>
            </w:r>
          </w:p>
        </w:tc>
      </w:tr>
      <w:tr w:rsidR="00F8039B" w14:paraId="6114F81D" w14:textId="77777777" w:rsidTr="00A92A5F">
        <w:trPr>
          <w:trHeight w:val="557"/>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3FA9B02E" w14:textId="77777777" w:rsidR="00F8039B" w:rsidRDefault="00F8039B" w:rsidP="00F8039B">
            <w:pPr>
              <w:spacing w:before="60" w:after="60"/>
              <w:ind w:left="284"/>
              <w:jc w:val="left"/>
              <w:rPr>
                <w:i/>
                <w:iCs/>
                <w:noProof/>
                <w:sz w:val="20"/>
                <w:szCs w:val="20"/>
              </w:rPr>
            </w:pPr>
            <w:r>
              <w:rPr>
                <w:noProof/>
                <w:sz w:val="20"/>
                <w:szCs w:val="20"/>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6BD89B37" w14:textId="137B4C33" w:rsidR="00F8039B" w:rsidRPr="00B05194" w:rsidRDefault="007E7A00" w:rsidP="008D0BAC">
            <w:pPr>
              <w:spacing w:before="60" w:after="60"/>
              <w:jc w:val="right"/>
              <w:rPr>
                <w:noProof/>
                <w:sz w:val="18"/>
                <w:szCs w:val="18"/>
              </w:rPr>
            </w:pPr>
            <w:r w:rsidRPr="007E7A00">
              <w:rPr>
                <w:noProof/>
                <w:sz w:val="18"/>
                <w:szCs w:val="18"/>
              </w:rPr>
              <w:t>EUR 209</w:t>
            </w:r>
            <w:r>
              <w:rPr>
                <w:noProof/>
                <w:sz w:val="18"/>
                <w:szCs w:val="18"/>
              </w:rPr>
              <w:t xml:space="preserve"> </w:t>
            </w:r>
            <w:r w:rsidRPr="007E7A00">
              <w:rPr>
                <w:noProof/>
                <w:sz w:val="18"/>
                <w:szCs w:val="18"/>
              </w:rPr>
              <w:t>m –507</w:t>
            </w:r>
            <w:r>
              <w:rPr>
                <w:noProof/>
                <w:sz w:val="18"/>
                <w:szCs w:val="18"/>
              </w:rPr>
              <w:t xml:space="preserve"> </w:t>
            </w:r>
            <w:r w:rsidRPr="007E7A00">
              <w:rPr>
                <w:noProof/>
                <w:sz w:val="18"/>
                <w:szCs w:val="18"/>
              </w:rPr>
              <w:t>m</w:t>
            </w:r>
          </w:p>
        </w:tc>
        <w:tc>
          <w:tcPr>
            <w:tcW w:w="2977" w:type="dxa"/>
            <w:tcBorders>
              <w:top w:val="nil"/>
              <w:left w:val="single" w:sz="8" w:space="0" w:color="auto"/>
              <w:bottom w:val="double" w:sz="4" w:space="0" w:color="auto"/>
              <w:right w:val="double" w:sz="4" w:space="0" w:color="auto"/>
            </w:tcBorders>
            <w:vAlign w:val="center"/>
          </w:tcPr>
          <w:p w14:paraId="6FC78A42" w14:textId="513CFFEC" w:rsidR="00F8039B" w:rsidRPr="00906DB2" w:rsidRDefault="00906DB2" w:rsidP="008D0BAC">
            <w:pPr>
              <w:spacing w:before="60" w:after="60"/>
              <w:jc w:val="right"/>
              <w:rPr>
                <w:noProof/>
                <w:sz w:val="18"/>
                <w:szCs w:val="18"/>
              </w:rPr>
            </w:pPr>
            <w:r w:rsidRPr="005C37E6">
              <w:rPr>
                <w:noProof/>
                <w:sz w:val="18"/>
                <w:szCs w:val="18"/>
                <w:lang w:eastAsia="en-GB"/>
              </w:rPr>
              <w:t xml:space="preserve"> EUR 1 bn – </w:t>
            </w:r>
            <w:r>
              <w:rPr>
                <w:noProof/>
                <w:sz w:val="18"/>
                <w:szCs w:val="18"/>
                <w:lang w:eastAsia="en-GB"/>
              </w:rPr>
              <w:t>3</w:t>
            </w:r>
            <w:r w:rsidRPr="005C37E6">
              <w:rPr>
                <w:noProof/>
                <w:sz w:val="18"/>
                <w:szCs w:val="18"/>
                <w:lang w:eastAsia="en-GB"/>
              </w:rPr>
              <w:t xml:space="preserve"> bn</w:t>
            </w:r>
          </w:p>
        </w:tc>
        <w:tc>
          <w:tcPr>
            <w:tcW w:w="1861" w:type="dxa"/>
            <w:tcBorders>
              <w:top w:val="single" w:sz="8" w:space="0" w:color="auto"/>
              <w:left w:val="single" w:sz="4" w:space="0" w:color="auto"/>
              <w:bottom w:val="double" w:sz="4" w:space="0" w:color="auto"/>
              <w:right w:val="double" w:sz="4" w:space="0" w:color="auto"/>
              <w:tl2br w:val="double" w:sz="4" w:space="0" w:color="auto"/>
            </w:tcBorders>
            <w:vAlign w:val="center"/>
          </w:tcPr>
          <w:p w14:paraId="550FFACA" w14:textId="77777777" w:rsidR="00F8039B" w:rsidRDefault="00F8039B" w:rsidP="00F8039B">
            <w:pPr>
              <w:spacing w:before="60" w:after="60"/>
              <w:jc w:val="center"/>
              <w:rPr>
                <w:noProof/>
                <w:sz w:val="20"/>
                <w:szCs w:val="20"/>
              </w:rPr>
            </w:pPr>
          </w:p>
        </w:tc>
      </w:tr>
      <w:tr w:rsidR="00F8039B" w14:paraId="7FA9980E" w14:textId="77777777" w:rsidTr="00297C65">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7C7F5D7A" w14:textId="77777777" w:rsidR="00F8039B" w:rsidRDefault="00F8039B" w:rsidP="00F8039B">
            <w:pPr>
              <w:spacing w:before="60" w:after="60"/>
              <w:ind w:left="35"/>
              <w:jc w:val="left"/>
              <w:rPr>
                <w:noProof/>
                <w:sz w:val="20"/>
                <w:szCs w:val="20"/>
              </w:rPr>
            </w:pPr>
            <w:r>
              <w:rPr>
                <w:b/>
                <w:bCs/>
                <w:noProof/>
                <w:sz w:val="20"/>
                <w:szCs w:val="20"/>
              </w:rPr>
              <w:t>Total administrative burdens***</w:t>
            </w:r>
          </w:p>
        </w:tc>
        <w:tc>
          <w:tcPr>
            <w:tcW w:w="2705"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3D321592" w14:textId="015E5677" w:rsidR="00F8039B" w:rsidRPr="00315B43" w:rsidRDefault="002928C9" w:rsidP="008D0BAC">
            <w:pPr>
              <w:spacing w:before="60" w:after="60"/>
              <w:jc w:val="right"/>
              <w:rPr>
                <w:b/>
                <w:bCs/>
                <w:i/>
                <w:iCs/>
                <w:noProof/>
                <w:sz w:val="20"/>
                <w:szCs w:val="20"/>
              </w:rPr>
            </w:pPr>
            <w:r w:rsidRPr="002928C9">
              <w:rPr>
                <w:b/>
                <w:bCs/>
                <w:i/>
                <w:iCs/>
                <w:noProof/>
                <w:sz w:val="20"/>
                <w:szCs w:val="20"/>
              </w:rPr>
              <w:t>EUR 42</w:t>
            </w:r>
            <w:r>
              <w:rPr>
                <w:b/>
                <w:bCs/>
                <w:i/>
                <w:iCs/>
                <w:noProof/>
                <w:sz w:val="20"/>
                <w:szCs w:val="20"/>
              </w:rPr>
              <w:t xml:space="preserve"> </w:t>
            </w:r>
            <w:r w:rsidRPr="002928C9">
              <w:rPr>
                <w:b/>
                <w:bCs/>
                <w:i/>
                <w:iCs/>
                <w:noProof/>
                <w:sz w:val="20"/>
                <w:szCs w:val="20"/>
              </w:rPr>
              <w:t>m –</w:t>
            </w:r>
            <w:r>
              <w:rPr>
                <w:b/>
                <w:bCs/>
                <w:i/>
                <w:iCs/>
                <w:noProof/>
                <w:sz w:val="20"/>
                <w:szCs w:val="20"/>
              </w:rPr>
              <w:t xml:space="preserve"> </w:t>
            </w:r>
            <w:r w:rsidRPr="002928C9">
              <w:rPr>
                <w:b/>
                <w:bCs/>
                <w:i/>
                <w:iCs/>
                <w:noProof/>
                <w:sz w:val="20"/>
                <w:szCs w:val="20"/>
              </w:rPr>
              <w:t>124</w:t>
            </w:r>
            <w:r>
              <w:rPr>
                <w:b/>
                <w:bCs/>
                <w:i/>
                <w:iCs/>
                <w:noProof/>
                <w:sz w:val="20"/>
                <w:szCs w:val="20"/>
              </w:rPr>
              <w:t xml:space="preserve"> </w:t>
            </w:r>
            <w:r w:rsidRPr="002928C9">
              <w:rPr>
                <w:b/>
                <w:bCs/>
                <w:i/>
                <w:iCs/>
                <w:noProof/>
                <w:sz w:val="20"/>
                <w:szCs w:val="20"/>
              </w:rPr>
              <w:t>m</w:t>
            </w:r>
          </w:p>
        </w:tc>
        <w:tc>
          <w:tcPr>
            <w:tcW w:w="2977" w:type="dxa"/>
            <w:tcBorders>
              <w:top w:val="double" w:sz="4" w:space="0" w:color="auto"/>
              <w:left w:val="single" w:sz="8" w:space="0" w:color="auto"/>
              <w:bottom w:val="double" w:sz="4" w:space="0" w:color="auto"/>
              <w:right w:val="double" w:sz="4" w:space="0" w:color="auto"/>
            </w:tcBorders>
            <w:vAlign w:val="center"/>
          </w:tcPr>
          <w:p w14:paraId="45724C71" w14:textId="63058022" w:rsidR="00F8039B" w:rsidRPr="00297C65" w:rsidRDefault="00366CCE" w:rsidP="00297C65">
            <w:pPr>
              <w:spacing w:before="60" w:after="60"/>
              <w:jc w:val="right"/>
              <w:rPr>
                <w:b/>
                <w:i/>
                <w:noProof/>
                <w:sz w:val="20"/>
                <w:szCs w:val="20"/>
              </w:rPr>
            </w:pPr>
            <w:r w:rsidRPr="00366CCE">
              <w:rPr>
                <w:b/>
                <w:i/>
                <w:noProof/>
                <w:sz w:val="20"/>
                <w:szCs w:val="20"/>
              </w:rPr>
              <w:t xml:space="preserve">EUR </w:t>
            </w:r>
            <w:r>
              <w:rPr>
                <w:b/>
                <w:i/>
                <w:noProof/>
                <w:sz w:val="20"/>
                <w:szCs w:val="20"/>
              </w:rPr>
              <w:t>218.7 m</w:t>
            </w:r>
            <w:r w:rsidRPr="00366CCE">
              <w:rPr>
                <w:b/>
                <w:i/>
                <w:noProof/>
                <w:sz w:val="20"/>
                <w:szCs w:val="20"/>
              </w:rPr>
              <w:t xml:space="preserve"> – EUR </w:t>
            </w:r>
            <w:r>
              <w:rPr>
                <w:b/>
                <w:i/>
                <w:noProof/>
                <w:sz w:val="20"/>
                <w:szCs w:val="20"/>
              </w:rPr>
              <w:t>860 m</w:t>
            </w:r>
          </w:p>
        </w:tc>
        <w:tc>
          <w:tcPr>
            <w:tcW w:w="1861" w:type="dxa"/>
            <w:tcBorders>
              <w:top w:val="double" w:sz="4" w:space="0" w:color="auto"/>
              <w:left w:val="single" w:sz="4" w:space="0" w:color="auto"/>
              <w:bottom w:val="double" w:sz="4" w:space="0" w:color="auto"/>
              <w:right w:val="double" w:sz="4" w:space="0" w:color="auto"/>
            </w:tcBorders>
            <w:vAlign w:val="center"/>
          </w:tcPr>
          <w:p w14:paraId="4CEB730D" w14:textId="52A6D695" w:rsidR="00F8039B" w:rsidRPr="00315B43" w:rsidRDefault="00AC5CA4" w:rsidP="00F8039B">
            <w:pPr>
              <w:spacing w:before="60" w:after="60"/>
              <w:jc w:val="center"/>
              <w:rPr>
                <w:b/>
                <w:bCs/>
                <w:noProof/>
                <w:sz w:val="20"/>
                <w:szCs w:val="20"/>
              </w:rPr>
            </w:pPr>
            <w:r w:rsidRPr="00AC5CA4">
              <w:rPr>
                <w:b/>
                <w:bCs/>
                <w:noProof/>
                <w:sz w:val="20"/>
                <w:szCs w:val="20"/>
              </w:rPr>
              <w:t xml:space="preserve">EUR </w:t>
            </w:r>
            <w:r>
              <w:rPr>
                <w:b/>
                <w:bCs/>
                <w:noProof/>
                <w:sz w:val="20"/>
                <w:szCs w:val="20"/>
              </w:rPr>
              <w:t>252.7 m</w:t>
            </w:r>
            <w:r w:rsidRPr="00AC5CA4">
              <w:rPr>
                <w:b/>
                <w:bCs/>
                <w:noProof/>
                <w:sz w:val="20"/>
                <w:szCs w:val="20"/>
              </w:rPr>
              <w:t xml:space="preserve"> –1.</w:t>
            </w:r>
            <w:r>
              <w:rPr>
                <w:b/>
                <w:bCs/>
                <w:noProof/>
                <w:sz w:val="20"/>
                <w:szCs w:val="20"/>
              </w:rPr>
              <w:t xml:space="preserve">00 </w:t>
            </w:r>
            <w:r w:rsidRPr="00AC5CA4">
              <w:rPr>
                <w:b/>
                <w:bCs/>
                <w:noProof/>
                <w:sz w:val="20"/>
                <w:szCs w:val="20"/>
              </w:rPr>
              <w:t>bn</w:t>
            </w:r>
          </w:p>
        </w:tc>
      </w:tr>
    </w:tbl>
    <w:p w14:paraId="283B453A" w14:textId="77777777" w:rsidR="00E42CFE" w:rsidRDefault="00E42CFE" w:rsidP="00E42CFE">
      <w:pPr>
        <w:spacing w:after="0"/>
        <w:ind w:left="-567"/>
        <w:rPr>
          <w:i/>
          <w:iCs/>
          <w:noProof/>
          <w:sz w:val="20"/>
          <w:szCs w:val="20"/>
        </w:rPr>
      </w:pPr>
      <w:r w:rsidRPr="00315B43">
        <w:rPr>
          <w:i/>
          <w:iCs/>
          <w:noProof/>
          <w:sz w:val="20"/>
          <w:szCs w:val="20"/>
        </w:rPr>
        <w:t>(</w:t>
      </w:r>
      <w:r>
        <w:rPr>
          <w:i/>
          <w:iCs/>
          <w:noProof/>
          <w:sz w:val="20"/>
          <w:szCs w:val="20"/>
        </w:rPr>
        <w:t>*</w:t>
      </w:r>
      <w:r w:rsidRPr="00315B43">
        <w:rPr>
          <w:i/>
          <w:iCs/>
          <w:noProof/>
          <w:sz w:val="20"/>
          <w:szCs w:val="20"/>
        </w:rPr>
        <w:t xml:space="preserve">) Net administrative burdens = INs – OUTs; </w:t>
      </w:r>
    </w:p>
    <w:bookmarkEnd w:id="89"/>
    <w:p w14:paraId="04DB8A88" w14:textId="420F3D87" w:rsidR="00E42CFE" w:rsidRDefault="00E42CFE" w:rsidP="00E42CFE">
      <w:pPr>
        <w:spacing w:after="0"/>
        <w:ind w:left="-567"/>
        <w:rPr>
          <w:i/>
          <w:iCs/>
          <w:noProof/>
          <w:sz w:val="20"/>
          <w:szCs w:val="20"/>
        </w:rPr>
      </w:pPr>
      <w:r w:rsidRPr="00315B43">
        <w:rPr>
          <w:i/>
          <w:iCs/>
          <w:noProof/>
          <w:sz w:val="20"/>
          <w:szCs w:val="20"/>
        </w:rPr>
        <w:t>(</w:t>
      </w:r>
      <w:r>
        <w:rPr>
          <w:i/>
          <w:iCs/>
          <w:noProof/>
          <w:sz w:val="20"/>
          <w:szCs w:val="20"/>
        </w:rPr>
        <w:t>**</w:t>
      </w:r>
      <w:r w:rsidRPr="00315B43">
        <w:rPr>
          <w:i/>
          <w:iCs/>
          <w:noProof/>
          <w:sz w:val="20"/>
          <w:szCs w:val="20"/>
        </w:rPr>
        <w:t>) Adjustment costs falling under the scope of the OIOO approach are the same as reported in Table 2 above.</w:t>
      </w:r>
      <w:r>
        <w:rPr>
          <w:i/>
          <w:iCs/>
          <w:noProof/>
          <w:sz w:val="20"/>
          <w:szCs w:val="20"/>
        </w:rPr>
        <w:t xml:space="preserve"> </w:t>
      </w:r>
    </w:p>
    <w:p w14:paraId="3864052F" w14:textId="01627DBE" w:rsidR="00E42CFE" w:rsidRPr="00F92EAE" w:rsidRDefault="00E42CFE" w:rsidP="00A92A5F">
      <w:pPr>
        <w:ind w:left="-567"/>
        <w:rPr>
          <w:noProof/>
        </w:rPr>
      </w:pPr>
      <w:r>
        <w:rPr>
          <w:i/>
          <w:iCs/>
          <w:noProof/>
          <w:sz w:val="20"/>
          <w:szCs w:val="20"/>
        </w:rPr>
        <w:t xml:space="preserve">(***) Total administrative burdens = Net administrative burdens for businesses + net administrative burdens for </w:t>
      </w:r>
      <w:r w:rsidR="004043C6">
        <w:rPr>
          <w:i/>
          <w:iCs/>
          <w:noProof/>
          <w:sz w:val="20"/>
          <w:szCs w:val="20"/>
        </w:rPr>
        <w:t>public administrations</w:t>
      </w:r>
    </w:p>
    <w:p w14:paraId="7027A02E" w14:textId="1C8CD676" w:rsidR="00E42CFE" w:rsidRPr="00F92EAE" w:rsidRDefault="00E42CFE" w:rsidP="00744B72">
      <w:pPr>
        <w:pStyle w:val="Heading1"/>
        <w:numPr>
          <w:ilvl w:val="0"/>
          <w:numId w:val="19"/>
        </w:numPr>
        <w:rPr>
          <w:noProof/>
        </w:rPr>
      </w:pPr>
      <w:bookmarkStart w:id="91" w:name="_Toc195101109"/>
      <w:bookmarkStart w:id="92" w:name="_Toc216283346"/>
      <w:bookmarkStart w:id="93" w:name="_Toc228346901"/>
      <w:r w:rsidRPr="00F92EAE">
        <w:rPr>
          <w:noProof/>
        </w:rPr>
        <w:t>Relevant sustainable development goals</w:t>
      </w:r>
      <w:bookmarkEnd w:id="91"/>
      <w:bookmarkEnd w:id="92"/>
      <w:bookmarkEnd w:id="93"/>
    </w:p>
    <w:tbl>
      <w:tblPr>
        <w:tblStyle w:val="CV11"/>
        <w:tblW w:w="10083"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52"/>
        <w:gridCol w:w="4111"/>
        <w:gridCol w:w="3420"/>
      </w:tblGrid>
      <w:tr w:rsidR="00D41D51" w:rsidRPr="00F92EAE" w14:paraId="387DBE5E" w14:textId="77777777" w:rsidTr="00B96380">
        <w:trPr>
          <w:tblHeader/>
        </w:trPr>
        <w:tc>
          <w:tcPr>
            <w:tcW w:w="10083" w:type="dxa"/>
            <w:gridSpan w:val="3"/>
            <w:tcBorders>
              <w:top w:val="double" w:sz="4" w:space="0" w:color="auto"/>
              <w:bottom w:val="single" w:sz="4" w:space="0" w:color="auto"/>
            </w:tcBorders>
            <w:shd w:val="clear" w:color="auto" w:fill="C6D9F1" w:themeFill="text2" w:themeFillTint="33"/>
          </w:tcPr>
          <w:p w14:paraId="16222F50" w14:textId="1B26A15F" w:rsidR="00E42CFE" w:rsidRPr="00F92EAE" w:rsidRDefault="00E42CFE">
            <w:pPr>
              <w:spacing w:after="0"/>
              <w:rPr>
                <w:b/>
                <w:noProof/>
                <w:sz w:val="20"/>
              </w:rPr>
            </w:pPr>
            <w:r w:rsidRPr="00F92EAE">
              <w:rPr>
                <w:b/>
                <w:noProof/>
                <w:sz w:val="20"/>
              </w:rPr>
              <w:t>I</w:t>
            </w:r>
            <w:r>
              <w:rPr>
                <w:b/>
                <w:noProof/>
                <w:sz w:val="20"/>
              </w:rPr>
              <w:t>V</w:t>
            </w:r>
            <w:r w:rsidRPr="00F92EAE">
              <w:rPr>
                <w:b/>
                <w:noProof/>
                <w:sz w:val="20"/>
              </w:rPr>
              <w:t>. Overview of relevant Sustainable Development Goals – Preferred Option</w:t>
            </w:r>
          </w:p>
        </w:tc>
      </w:tr>
      <w:tr w:rsidR="00960E98" w:rsidRPr="00F92EAE" w14:paraId="35936BE7" w14:textId="77777777" w:rsidTr="00B96380">
        <w:trPr>
          <w:tblHeader/>
        </w:trPr>
        <w:tc>
          <w:tcPr>
            <w:tcW w:w="2552" w:type="dxa"/>
            <w:tcBorders>
              <w:top w:val="single" w:sz="4" w:space="0" w:color="auto"/>
            </w:tcBorders>
            <w:shd w:val="clear" w:color="auto" w:fill="C6D9F1" w:themeFill="text2" w:themeFillTint="33"/>
          </w:tcPr>
          <w:p w14:paraId="4AFCFFBA" w14:textId="77777777" w:rsidR="00E42CFE" w:rsidRPr="00F92EAE" w:rsidRDefault="00E42CFE">
            <w:pPr>
              <w:spacing w:after="0"/>
              <w:rPr>
                <w:b/>
                <w:noProof/>
                <w:sz w:val="20"/>
              </w:rPr>
            </w:pPr>
            <w:r w:rsidRPr="00F92EAE">
              <w:rPr>
                <w:b/>
                <w:noProof/>
                <w:sz w:val="20"/>
              </w:rPr>
              <w:t>Relevant SDG</w:t>
            </w:r>
          </w:p>
        </w:tc>
        <w:tc>
          <w:tcPr>
            <w:tcW w:w="4111" w:type="dxa"/>
            <w:tcBorders>
              <w:top w:val="single" w:sz="4" w:space="0" w:color="auto"/>
            </w:tcBorders>
            <w:shd w:val="clear" w:color="auto" w:fill="C6D9F1" w:themeFill="text2" w:themeFillTint="33"/>
          </w:tcPr>
          <w:p w14:paraId="66EB6BC5" w14:textId="77777777" w:rsidR="00E42CFE" w:rsidRPr="00F92EAE" w:rsidRDefault="00E42CFE">
            <w:pPr>
              <w:spacing w:after="0"/>
              <w:rPr>
                <w:b/>
                <w:noProof/>
                <w:sz w:val="20"/>
              </w:rPr>
            </w:pPr>
            <w:r w:rsidRPr="00F92EAE">
              <w:rPr>
                <w:b/>
                <w:noProof/>
                <w:sz w:val="20"/>
              </w:rPr>
              <w:t>Expected progress towards the Goal</w:t>
            </w:r>
          </w:p>
        </w:tc>
        <w:tc>
          <w:tcPr>
            <w:tcW w:w="3420" w:type="dxa"/>
            <w:tcBorders>
              <w:top w:val="single" w:sz="4" w:space="0" w:color="auto"/>
            </w:tcBorders>
            <w:shd w:val="clear" w:color="auto" w:fill="C6D9F1" w:themeFill="text2" w:themeFillTint="33"/>
            <w:tcMar>
              <w:top w:w="57" w:type="dxa"/>
              <w:left w:w="57" w:type="dxa"/>
              <w:bottom w:w="57" w:type="dxa"/>
              <w:right w:w="57" w:type="dxa"/>
            </w:tcMar>
          </w:tcPr>
          <w:p w14:paraId="70923F4D" w14:textId="77777777" w:rsidR="00E42CFE" w:rsidRPr="00F92EAE" w:rsidRDefault="00E42CFE">
            <w:pPr>
              <w:spacing w:after="0"/>
              <w:rPr>
                <w:b/>
                <w:noProof/>
                <w:sz w:val="20"/>
              </w:rPr>
            </w:pPr>
            <w:r w:rsidRPr="00F92EAE">
              <w:rPr>
                <w:b/>
                <w:noProof/>
                <w:sz w:val="20"/>
              </w:rPr>
              <w:t>Comments</w:t>
            </w:r>
          </w:p>
        </w:tc>
      </w:tr>
      <w:tr w:rsidR="0014259A" w:rsidRPr="00F92EAE" w14:paraId="38AD9E50" w14:textId="77777777" w:rsidTr="003855AF">
        <w:tc>
          <w:tcPr>
            <w:tcW w:w="2552" w:type="dxa"/>
            <w:tcBorders>
              <w:top w:val="double" w:sz="4" w:space="0" w:color="auto"/>
              <w:bottom w:val="single" w:sz="4" w:space="0" w:color="auto"/>
            </w:tcBorders>
          </w:tcPr>
          <w:p w14:paraId="739F4B5D" w14:textId="77777777" w:rsidR="00E42CFE" w:rsidRPr="00F92EAE" w:rsidRDefault="00E42CFE">
            <w:pPr>
              <w:spacing w:after="0"/>
              <w:rPr>
                <w:noProof/>
                <w:sz w:val="20"/>
              </w:rPr>
            </w:pPr>
            <w:r w:rsidRPr="00F92EAE">
              <w:rPr>
                <w:noProof/>
                <w:sz w:val="20"/>
              </w:rPr>
              <w:t>e.g. SDG no. 4 – quality education</w:t>
            </w:r>
          </w:p>
        </w:tc>
        <w:tc>
          <w:tcPr>
            <w:tcW w:w="4111" w:type="dxa"/>
            <w:tcBorders>
              <w:top w:val="double" w:sz="4" w:space="0" w:color="auto"/>
              <w:bottom w:val="single" w:sz="4" w:space="0" w:color="auto"/>
            </w:tcBorders>
            <w:tcMar>
              <w:top w:w="57" w:type="dxa"/>
              <w:left w:w="57" w:type="dxa"/>
              <w:bottom w:w="57" w:type="dxa"/>
              <w:right w:w="57" w:type="dxa"/>
            </w:tcMar>
          </w:tcPr>
          <w:p w14:paraId="411B35CE" w14:textId="4DDC5996" w:rsidR="00E42CFE" w:rsidRPr="00F92EAE" w:rsidRDefault="00081320">
            <w:pPr>
              <w:spacing w:after="0"/>
              <w:rPr>
                <w:noProof/>
                <w:sz w:val="20"/>
              </w:rPr>
            </w:pPr>
            <w:r>
              <w:rPr>
                <w:noProof/>
                <w:sz w:val="20"/>
                <w:lang w:val="en-IE"/>
              </w:rPr>
              <w:t>Increase in</w:t>
            </w:r>
            <w:r w:rsidR="00B94A60">
              <w:rPr>
                <w:noProof/>
                <w:sz w:val="20"/>
                <w:lang w:val="en-IE"/>
              </w:rPr>
              <w:t xml:space="preserve"> training opportunities </w:t>
            </w:r>
            <w:r>
              <w:rPr>
                <w:noProof/>
                <w:sz w:val="20"/>
                <w:lang w:val="en-IE"/>
              </w:rPr>
              <w:t>for enhancing</w:t>
            </w:r>
            <w:r w:rsidR="00B94A60">
              <w:rPr>
                <w:noProof/>
                <w:sz w:val="20"/>
                <w:lang w:val="en-IE"/>
              </w:rPr>
              <w:t xml:space="preserve"> digital skills, contributing to quality education and lifelong learning. </w:t>
            </w:r>
          </w:p>
        </w:tc>
        <w:tc>
          <w:tcPr>
            <w:tcW w:w="3420" w:type="dxa"/>
            <w:tcBorders>
              <w:top w:val="double" w:sz="4" w:space="0" w:color="auto"/>
              <w:bottom w:val="single" w:sz="4" w:space="0" w:color="auto"/>
            </w:tcBorders>
            <w:tcMar>
              <w:top w:w="57" w:type="dxa"/>
              <w:left w:w="57" w:type="dxa"/>
              <w:bottom w:w="57" w:type="dxa"/>
              <w:right w:w="57" w:type="dxa"/>
            </w:tcMar>
          </w:tcPr>
          <w:p w14:paraId="4BEC05F6" w14:textId="77777777" w:rsidR="00E42CFE" w:rsidRPr="00F92EAE" w:rsidRDefault="00E42CFE">
            <w:pPr>
              <w:spacing w:after="0"/>
              <w:rPr>
                <w:noProof/>
                <w:sz w:val="20"/>
              </w:rPr>
            </w:pPr>
          </w:p>
        </w:tc>
      </w:tr>
      <w:tr w:rsidR="00A02436" w:rsidRPr="00F92EAE" w14:paraId="744602D1" w14:textId="77777777" w:rsidTr="003855AF">
        <w:tc>
          <w:tcPr>
            <w:tcW w:w="2552" w:type="dxa"/>
            <w:tcBorders>
              <w:top w:val="single" w:sz="4" w:space="0" w:color="auto"/>
              <w:bottom w:val="single" w:sz="4" w:space="0" w:color="auto"/>
            </w:tcBorders>
          </w:tcPr>
          <w:p w14:paraId="779F24C6" w14:textId="0FBBABB0" w:rsidR="00E42CFE" w:rsidRPr="00F92EAE" w:rsidRDefault="004779E7">
            <w:pPr>
              <w:spacing w:after="0"/>
              <w:rPr>
                <w:noProof/>
                <w:sz w:val="20"/>
              </w:rPr>
            </w:pPr>
            <w:r w:rsidRPr="00F92EAE">
              <w:rPr>
                <w:noProof/>
                <w:sz w:val="20"/>
              </w:rPr>
              <w:t>e.g. SDG no. 7 - affordable and clean energy, 12 - responsible consumption and production, 13 - climate</w:t>
            </w:r>
          </w:p>
        </w:tc>
        <w:tc>
          <w:tcPr>
            <w:tcW w:w="4111" w:type="dxa"/>
            <w:tcBorders>
              <w:top w:val="single" w:sz="4" w:space="0" w:color="auto"/>
              <w:bottom w:val="single" w:sz="4" w:space="0" w:color="auto"/>
            </w:tcBorders>
            <w:tcMar>
              <w:top w:w="57" w:type="dxa"/>
              <w:left w:w="57" w:type="dxa"/>
              <w:bottom w:w="57" w:type="dxa"/>
              <w:right w:w="57" w:type="dxa"/>
            </w:tcMar>
          </w:tcPr>
          <w:p w14:paraId="2F52A53C" w14:textId="5D437B89" w:rsidR="00E42CFE" w:rsidRPr="00BD1B67" w:rsidRDefault="00081320">
            <w:pPr>
              <w:spacing w:after="0"/>
              <w:rPr>
                <w:noProof/>
                <w:sz w:val="20"/>
                <w:lang w:val="en-IE"/>
              </w:rPr>
            </w:pPr>
            <w:r>
              <w:rPr>
                <w:noProof/>
                <w:sz w:val="20"/>
              </w:rPr>
              <w:t>I</w:t>
            </w:r>
            <w:r w:rsidR="004779E7" w:rsidRPr="00F92EAE">
              <w:rPr>
                <w:noProof/>
                <w:sz w:val="20"/>
              </w:rPr>
              <w:t xml:space="preserve">ncreased energy efficiency of </w:t>
            </w:r>
            <w:r w:rsidR="00483FC6">
              <w:rPr>
                <w:noProof/>
                <w:sz w:val="20"/>
              </w:rPr>
              <w:t>data centres</w:t>
            </w:r>
            <w:r w:rsidR="004779E7" w:rsidRPr="00F92EAE">
              <w:rPr>
                <w:noProof/>
                <w:sz w:val="20"/>
              </w:rPr>
              <w:t xml:space="preserve"> will save energy </w:t>
            </w:r>
            <w:r w:rsidR="00C977FD">
              <w:rPr>
                <w:noProof/>
                <w:sz w:val="20"/>
              </w:rPr>
              <w:t xml:space="preserve">and </w:t>
            </w:r>
            <w:r w:rsidR="00C977FD" w:rsidRPr="00C977FD">
              <w:rPr>
                <w:noProof/>
                <w:sz w:val="20"/>
              </w:rPr>
              <w:t>CO₂</w:t>
            </w:r>
            <w:r w:rsidR="00C977FD">
              <w:rPr>
                <w:noProof/>
                <w:sz w:val="20"/>
              </w:rPr>
              <w:t>e</w:t>
            </w:r>
            <w:r w:rsidR="00C977FD" w:rsidRPr="00C977FD">
              <w:rPr>
                <w:noProof/>
                <w:sz w:val="20"/>
              </w:rPr>
              <w:t xml:space="preserve"> emissions </w:t>
            </w:r>
            <w:r w:rsidR="006E2221">
              <w:rPr>
                <w:noProof/>
                <w:sz w:val="20"/>
              </w:rPr>
              <w:t xml:space="preserve">per GW of additional capacity </w:t>
            </w:r>
            <w:r w:rsidR="00B136CC">
              <w:rPr>
                <w:noProof/>
                <w:sz w:val="20"/>
              </w:rPr>
              <w:t>added</w:t>
            </w:r>
            <w:r w:rsidR="006E2221">
              <w:rPr>
                <w:noProof/>
                <w:sz w:val="20"/>
              </w:rPr>
              <w:t xml:space="preserve"> </w:t>
            </w:r>
            <w:r w:rsidR="00C977FD">
              <w:rPr>
                <w:noProof/>
                <w:sz w:val="20"/>
              </w:rPr>
              <w:t>with respect to</w:t>
            </w:r>
            <w:r w:rsidR="00C977FD" w:rsidRPr="00C977FD">
              <w:rPr>
                <w:noProof/>
                <w:sz w:val="20"/>
              </w:rPr>
              <w:t xml:space="preserve"> the baseline </w:t>
            </w:r>
            <w:r w:rsidR="004779E7" w:rsidRPr="00F92EAE">
              <w:rPr>
                <w:noProof/>
                <w:sz w:val="20"/>
              </w:rPr>
              <w:t xml:space="preserve">over the next </w:t>
            </w:r>
            <w:r w:rsidR="004779E7">
              <w:rPr>
                <w:noProof/>
                <w:sz w:val="20"/>
              </w:rPr>
              <w:t>10</w:t>
            </w:r>
            <w:r w:rsidR="004779E7" w:rsidRPr="00F92EAE">
              <w:rPr>
                <w:noProof/>
                <w:sz w:val="20"/>
              </w:rPr>
              <w:t xml:space="preserve"> years</w:t>
            </w:r>
            <w:r w:rsidR="00C977FD">
              <w:rPr>
                <w:noProof/>
                <w:sz w:val="20"/>
              </w:rPr>
              <w:t>,</w:t>
            </w:r>
            <w:r w:rsidR="004779E7" w:rsidRPr="00F92EAE">
              <w:rPr>
                <w:noProof/>
                <w:sz w:val="20"/>
              </w:rPr>
              <w:t xml:space="preserve"> contributing positively to SDG no. 7 (affordable and clean energy) and SDG no. 13 (climate</w:t>
            </w:r>
            <w:r w:rsidR="004779E7">
              <w:rPr>
                <w:noProof/>
                <w:sz w:val="20"/>
              </w:rPr>
              <w:t xml:space="preserve"> action</w:t>
            </w:r>
            <w:r w:rsidR="004779E7" w:rsidRPr="00F92EAE">
              <w:rPr>
                <w:noProof/>
                <w:sz w:val="20"/>
              </w:rPr>
              <w:t xml:space="preserve">) </w:t>
            </w:r>
            <w:r w:rsidR="004779E7">
              <w:rPr>
                <w:noProof/>
                <w:sz w:val="20"/>
              </w:rPr>
              <w:t xml:space="preserve">including through the promotion of renewable energy sources to power data centres. </w:t>
            </w:r>
            <w:r w:rsidR="004779E7">
              <w:rPr>
                <w:noProof/>
                <w:sz w:val="20"/>
                <w:lang w:val="en-IE"/>
              </w:rPr>
              <w:t xml:space="preserve">Greener data centres would contribute to reduce their carbon footprint and support the clean energy transition.  </w:t>
            </w:r>
            <w:r w:rsidR="00121FB0" w:rsidRPr="00424316">
              <w:rPr>
                <w:noProof/>
                <w:sz w:val="20"/>
                <w:lang w:val="en-IE"/>
              </w:rPr>
              <w:t xml:space="preserve">Promotion of energy-efficient hardware and optimisation of cooling systems, also thanks to the use of AI-integrated solutions, is </w:t>
            </w:r>
            <w:r w:rsidR="005E367A">
              <w:rPr>
                <w:noProof/>
                <w:sz w:val="20"/>
                <w:lang w:val="en-IE"/>
              </w:rPr>
              <w:t xml:space="preserve">also </w:t>
            </w:r>
            <w:r w:rsidR="00121FB0" w:rsidRPr="00424316">
              <w:rPr>
                <w:noProof/>
                <w:sz w:val="20"/>
                <w:lang w:val="en-IE"/>
              </w:rPr>
              <w:t>expected to reduce waste and resource consumption.</w:t>
            </w:r>
            <w:r w:rsidR="00F7613B">
              <w:rPr>
                <w:noProof/>
              </w:rPr>
              <w:t xml:space="preserve"> </w:t>
            </w:r>
            <w:r w:rsidR="00F7613B">
              <w:rPr>
                <w:noProof/>
                <w:sz w:val="20"/>
                <w:lang w:val="en-IE"/>
              </w:rPr>
              <w:t>The</w:t>
            </w:r>
            <w:r w:rsidR="00F7613B" w:rsidRPr="00F7613B">
              <w:rPr>
                <w:noProof/>
                <w:sz w:val="20"/>
                <w:lang w:val="en-IE"/>
              </w:rPr>
              <w:t xml:space="preserve"> proposal embeds the concept of “sustainable-by-design” data centres, including high environmental and energy-efficiency obligations</w:t>
            </w:r>
            <w:r w:rsidR="002E51D0">
              <w:rPr>
                <w:noProof/>
                <w:sz w:val="20"/>
                <w:lang w:val="en-IE"/>
              </w:rPr>
              <w:t>, e.g.</w:t>
            </w:r>
            <w:r w:rsidR="00F7613B" w:rsidRPr="00F7613B">
              <w:rPr>
                <w:noProof/>
                <w:sz w:val="20"/>
                <w:lang w:val="en-IE"/>
              </w:rPr>
              <w:t>, through alignment with the upcoming Union scheme for rating the sustainability of data centres.</w:t>
            </w:r>
          </w:p>
        </w:tc>
        <w:tc>
          <w:tcPr>
            <w:tcW w:w="3420" w:type="dxa"/>
            <w:tcBorders>
              <w:top w:val="single" w:sz="4" w:space="0" w:color="auto"/>
              <w:bottom w:val="single" w:sz="4" w:space="0" w:color="auto"/>
            </w:tcBorders>
            <w:tcMar>
              <w:top w:w="57" w:type="dxa"/>
              <w:left w:w="57" w:type="dxa"/>
              <w:bottom w:w="57" w:type="dxa"/>
              <w:right w:w="57" w:type="dxa"/>
            </w:tcMar>
          </w:tcPr>
          <w:p w14:paraId="1099B874" w14:textId="405FEDB3" w:rsidR="00E42CFE" w:rsidRPr="00F92EAE" w:rsidRDefault="004779E7">
            <w:pPr>
              <w:spacing w:after="0"/>
              <w:rPr>
                <w:noProof/>
                <w:sz w:val="20"/>
              </w:rPr>
            </w:pPr>
            <w:r>
              <w:rPr>
                <w:noProof/>
                <w:sz w:val="20"/>
                <w:lang w:val="en-IE"/>
              </w:rPr>
              <w:t>Affordable energy for all must be sustained through the renewal and upgrade of the energy grids (which falls outside of the scope of the current initiative), but which is a relevant prerequisite to move closer to this SDG target</w:t>
            </w:r>
            <w:r>
              <w:rPr>
                <w:noProof/>
                <w:sz w:val="20"/>
              </w:rPr>
              <w:t>.</w:t>
            </w:r>
          </w:p>
        </w:tc>
      </w:tr>
      <w:tr w:rsidR="00A02436" w:rsidRPr="00F92EAE" w14:paraId="44DA5E02" w14:textId="77777777" w:rsidTr="003855AF">
        <w:tc>
          <w:tcPr>
            <w:tcW w:w="2552" w:type="dxa"/>
            <w:tcBorders>
              <w:top w:val="single" w:sz="4" w:space="0" w:color="auto"/>
            </w:tcBorders>
          </w:tcPr>
          <w:p w14:paraId="3CE71379" w14:textId="1965BAA4" w:rsidR="00E42CFE" w:rsidRPr="00F92EAE" w:rsidRDefault="00222D42">
            <w:pPr>
              <w:spacing w:after="0"/>
              <w:rPr>
                <w:noProof/>
                <w:sz w:val="20"/>
              </w:rPr>
            </w:pPr>
            <w:r w:rsidRPr="002B417B">
              <w:rPr>
                <w:noProof/>
                <w:sz w:val="20"/>
                <w:lang w:val="en-IE"/>
              </w:rPr>
              <w:t xml:space="preserve">SDG no. </w:t>
            </w:r>
            <w:r>
              <w:rPr>
                <w:noProof/>
                <w:sz w:val="20"/>
                <w:lang w:val="en-IE"/>
              </w:rPr>
              <w:t xml:space="preserve">8 – Decent work and economic growth </w:t>
            </w:r>
          </w:p>
        </w:tc>
        <w:tc>
          <w:tcPr>
            <w:tcW w:w="4111" w:type="dxa"/>
            <w:tcBorders>
              <w:top w:val="single" w:sz="4" w:space="0" w:color="auto"/>
            </w:tcBorders>
            <w:tcMar>
              <w:top w:w="57" w:type="dxa"/>
              <w:left w:w="57" w:type="dxa"/>
              <w:bottom w:w="57" w:type="dxa"/>
              <w:right w:w="57" w:type="dxa"/>
            </w:tcMar>
          </w:tcPr>
          <w:p w14:paraId="07E2D311" w14:textId="0538053B" w:rsidR="00E42CFE" w:rsidRPr="00F92EAE" w:rsidRDefault="00222D42">
            <w:pPr>
              <w:spacing w:after="0"/>
              <w:rPr>
                <w:noProof/>
                <w:sz w:val="20"/>
              </w:rPr>
            </w:pPr>
            <w:r>
              <w:rPr>
                <w:noProof/>
                <w:sz w:val="20"/>
                <w:lang w:val="en-IE"/>
              </w:rPr>
              <w:t>Expected increase in employment in relation to data centre rollout and GDP growth. Expected increase of SMEs and startups</w:t>
            </w:r>
            <w:r w:rsidR="00CC2874">
              <w:rPr>
                <w:noProof/>
                <w:sz w:val="20"/>
                <w:lang w:val="en-IE"/>
              </w:rPr>
              <w:t xml:space="preserve">’ </w:t>
            </w:r>
            <w:r>
              <w:rPr>
                <w:noProof/>
                <w:sz w:val="20"/>
                <w:lang w:val="en-IE"/>
              </w:rPr>
              <w:t xml:space="preserve">use of cloud to support inclusive economic growth.  </w:t>
            </w:r>
          </w:p>
        </w:tc>
        <w:tc>
          <w:tcPr>
            <w:tcW w:w="3420" w:type="dxa"/>
            <w:tcBorders>
              <w:top w:val="single" w:sz="4" w:space="0" w:color="auto"/>
            </w:tcBorders>
            <w:tcMar>
              <w:top w:w="57" w:type="dxa"/>
              <w:left w:w="57" w:type="dxa"/>
              <w:bottom w:w="57" w:type="dxa"/>
              <w:right w:w="57" w:type="dxa"/>
            </w:tcMar>
          </w:tcPr>
          <w:p w14:paraId="23C7D8F1" w14:textId="512D559D" w:rsidR="00E42CFE" w:rsidRPr="00F92EAE" w:rsidRDefault="00E42CFE">
            <w:pPr>
              <w:spacing w:after="0"/>
              <w:rPr>
                <w:noProof/>
                <w:sz w:val="20"/>
              </w:rPr>
            </w:pPr>
          </w:p>
        </w:tc>
      </w:tr>
      <w:tr w:rsidR="00A02436" w:rsidRPr="00F92EAE" w14:paraId="36374DBB" w14:textId="77777777" w:rsidTr="003855AF">
        <w:tc>
          <w:tcPr>
            <w:tcW w:w="2552" w:type="dxa"/>
            <w:tcBorders>
              <w:bottom w:val="double" w:sz="4" w:space="0" w:color="auto"/>
            </w:tcBorders>
          </w:tcPr>
          <w:p w14:paraId="08553F02" w14:textId="1522C359" w:rsidR="00E42CFE" w:rsidRPr="00F92EAE" w:rsidRDefault="00571878">
            <w:pPr>
              <w:spacing w:after="0"/>
              <w:rPr>
                <w:noProof/>
                <w:sz w:val="20"/>
              </w:rPr>
            </w:pPr>
            <w:r w:rsidRPr="002B417B">
              <w:rPr>
                <w:noProof/>
                <w:sz w:val="20"/>
                <w:lang w:val="en-IE"/>
              </w:rPr>
              <w:t xml:space="preserve">SDG no. </w:t>
            </w:r>
            <w:r>
              <w:rPr>
                <w:noProof/>
                <w:sz w:val="20"/>
                <w:lang w:val="en-IE"/>
              </w:rPr>
              <w:t>9 – Industry, innovation and infrastructure</w:t>
            </w:r>
          </w:p>
        </w:tc>
        <w:tc>
          <w:tcPr>
            <w:tcW w:w="4111" w:type="dxa"/>
            <w:tcBorders>
              <w:bottom w:val="double" w:sz="4" w:space="0" w:color="auto"/>
            </w:tcBorders>
            <w:tcMar>
              <w:top w:w="57" w:type="dxa"/>
              <w:left w:w="57" w:type="dxa"/>
              <w:bottom w:w="57" w:type="dxa"/>
              <w:right w:w="57" w:type="dxa"/>
            </w:tcMar>
          </w:tcPr>
          <w:p w14:paraId="495EDFC1" w14:textId="6FA9AEA2" w:rsidR="00E42CFE" w:rsidRPr="00F92EAE" w:rsidRDefault="00081320">
            <w:pPr>
              <w:spacing w:after="0"/>
              <w:rPr>
                <w:noProof/>
                <w:sz w:val="20"/>
              </w:rPr>
            </w:pPr>
            <w:r>
              <w:rPr>
                <w:noProof/>
                <w:sz w:val="20"/>
              </w:rPr>
              <w:t>I</w:t>
            </w:r>
            <w:r w:rsidR="00EE4508">
              <w:rPr>
                <w:noProof/>
                <w:sz w:val="20"/>
                <w:lang w:val="en-IE"/>
              </w:rPr>
              <w:t xml:space="preserve">ncrease in the number of data centres and next generation infrastructure to meet the needs of business and citizens in the EU, strengthen innovation and build resilient digital infrastructure. </w:t>
            </w:r>
          </w:p>
        </w:tc>
        <w:tc>
          <w:tcPr>
            <w:tcW w:w="3420" w:type="dxa"/>
            <w:tcBorders>
              <w:bottom w:val="double" w:sz="4" w:space="0" w:color="auto"/>
            </w:tcBorders>
            <w:tcMar>
              <w:top w:w="57" w:type="dxa"/>
              <w:left w:w="57" w:type="dxa"/>
              <w:bottom w:w="57" w:type="dxa"/>
              <w:right w:w="57" w:type="dxa"/>
            </w:tcMar>
          </w:tcPr>
          <w:p w14:paraId="57BAD983" w14:textId="6E387FE2" w:rsidR="00E42CFE" w:rsidRPr="00F92EAE" w:rsidRDefault="00081320">
            <w:pPr>
              <w:spacing w:after="0"/>
              <w:rPr>
                <w:noProof/>
                <w:sz w:val="20"/>
              </w:rPr>
            </w:pPr>
            <w:r>
              <w:rPr>
                <w:noProof/>
                <w:sz w:val="20"/>
                <w:lang w:val="en-IE"/>
              </w:rPr>
              <w:t xml:space="preserve">Cloud computing and AI also enable digital transformation across industries, boosting productivity and new services. </w:t>
            </w:r>
            <w:r w:rsidR="006A65D4">
              <w:rPr>
                <w:noProof/>
                <w:sz w:val="20"/>
                <w:lang w:val="en-IE"/>
              </w:rPr>
              <w:t>The initiative aims to increase the EU’s share in the global cloud market from 15% to 30%.</w:t>
            </w:r>
          </w:p>
        </w:tc>
      </w:tr>
    </w:tbl>
    <w:p w14:paraId="48C7D180" w14:textId="62306A4E" w:rsidR="0099524E" w:rsidRPr="00D37004" w:rsidRDefault="006173F1" w:rsidP="0099524E">
      <w:pPr>
        <w:rPr>
          <w:noProof/>
        </w:rPr>
      </w:pPr>
      <w:r w:rsidRPr="00D37004">
        <w:rPr>
          <w:noProof/>
        </w:rPr>
        <w:br w:type="page"/>
      </w:r>
    </w:p>
    <w:p w14:paraId="4EB37699" w14:textId="6424C409" w:rsidR="0099524E" w:rsidRDefault="0099524E" w:rsidP="00E918FC">
      <w:pPr>
        <w:pStyle w:val="AnnexTitle"/>
        <w:rPr>
          <w:noProof/>
          <w:lang w:val="en-IE"/>
        </w:rPr>
      </w:pPr>
      <w:bookmarkStart w:id="94" w:name="_Toc139373879"/>
      <w:bookmarkStart w:id="95" w:name="_Toc208138442"/>
      <w:bookmarkStart w:id="96" w:name="_Toc216283347"/>
      <w:bookmarkStart w:id="97" w:name="_Toc228346902"/>
      <w:r w:rsidRPr="00EE30FB">
        <w:rPr>
          <w:noProof/>
          <w:lang w:val="en-IE"/>
        </w:rPr>
        <w:t>Annex 4: Analytical methods</w:t>
      </w:r>
      <w:bookmarkEnd w:id="94"/>
      <w:bookmarkEnd w:id="95"/>
      <w:bookmarkEnd w:id="96"/>
      <w:bookmarkEnd w:id="97"/>
      <w:r w:rsidR="00244F93">
        <w:rPr>
          <w:noProof/>
          <w:lang w:val="en-IE"/>
        </w:rPr>
        <w:t xml:space="preserve"> </w:t>
      </w:r>
    </w:p>
    <w:p w14:paraId="55FC0849" w14:textId="77777777" w:rsidR="00A32E49" w:rsidRDefault="00A32E49" w:rsidP="00913325">
      <w:pPr>
        <w:pStyle w:val="Heading1"/>
        <w:numPr>
          <w:ilvl w:val="0"/>
          <w:numId w:val="15"/>
        </w:numPr>
        <w:rPr>
          <w:smallCaps w:val="0"/>
          <w:noProof/>
        </w:rPr>
      </w:pPr>
      <w:bookmarkStart w:id="98" w:name="_Ref213411910"/>
      <w:bookmarkStart w:id="99" w:name="_Toc214519687"/>
      <w:bookmarkStart w:id="100" w:name="_Toc216283348"/>
      <w:bookmarkStart w:id="101" w:name="_Toc228346903"/>
      <w:r w:rsidRPr="00766FA7">
        <w:rPr>
          <w:noProof/>
          <w:lang w:val="en-IE"/>
        </w:rPr>
        <w:t>Methodology</w:t>
      </w:r>
      <w:bookmarkEnd w:id="98"/>
      <w:bookmarkEnd w:id="99"/>
      <w:bookmarkEnd w:id="100"/>
      <w:bookmarkEnd w:id="101"/>
    </w:p>
    <w:p w14:paraId="40D6B6EE" w14:textId="77777777" w:rsidR="00A32E49" w:rsidRPr="0007547C" w:rsidRDefault="00A32E49" w:rsidP="00A32E49">
      <w:pPr>
        <w:rPr>
          <w:noProof/>
        </w:rPr>
      </w:pPr>
      <w:r w:rsidRPr="0007547C">
        <w:rPr>
          <w:noProof/>
        </w:rPr>
        <w:t>This impact analysis has followed a stepwise approach.</w:t>
      </w:r>
    </w:p>
    <w:p w14:paraId="08349D35" w14:textId="281A9AA3" w:rsidR="00A32E49" w:rsidRPr="0007547C" w:rsidRDefault="00A32E49" w:rsidP="00A32E49">
      <w:pPr>
        <w:rPr>
          <w:noProof/>
        </w:rPr>
      </w:pPr>
      <w:r w:rsidRPr="0007547C">
        <w:rPr>
          <w:noProof/>
        </w:rPr>
        <w:t xml:space="preserve">First, a </w:t>
      </w:r>
      <w:r w:rsidRPr="0007547C">
        <w:rPr>
          <w:b/>
          <w:noProof/>
        </w:rPr>
        <w:t>modelling analysis</w:t>
      </w:r>
      <w:r w:rsidRPr="0007547C">
        <w:rPr>
          <w:noProof/>
        </w:rPr>
        <w:t xml:space="preserve"> of each proposed policy measure has been carried out, </w:t>
      </w:r>
      <w:r w:rsidR="008E1398">
        <w:rPr>
          <w:noProof/>
        </w:rPr>
        <w:t>using a structured set of</w:t>
      </w:r>
      <w:r w:rsidRPr="0007547C">
        <w:rPr>
          <w:noProof/>
        </w:rPr>
        <w:t xml:space="preserve"> parameters</w:t>
      </w:r>
      <w:r w:rsidR="008E1398">
        <w:rPr>
          <w:noProof/>
        </w:rPr>
        <w:t>, assumptions</w:t>
      </w:r>
      <w:r w:rsidRPr="0007547C">
        <w:rPr>
          <w:noProof/>
        </w:rPr>
        <w:t xml:space="preserve"> and data</w:t>
      </w:r>
      <w:r w:rsidR="008E1398">
        <w:rPr>
          <w:noProof/>
        </w:rPr>
        <w:t xml:space="preserve"> inputs</w:t>
      </w:r>
      <w:r w:rsidR="001D237C">
        <w:rPr>
          <w:rStyle w:val="FootnoteReference"/>
          <w:noProof/>
        </w:rPr>
        <w:footnoteReference w:id="16"/>
      </w:r>
      <w:r w:rsidRPr="0007547C">
        <w:rPr>
          <w:noProof/>
        </w:rPr>
        <w:t>. The data included has been gathered from the following sources:</w:t>
      </w:r>
    </w:p>
    <w:p w14:paraId="657FBE70" w14:textId="52FD5CEA" w:rsidR="00A32E49" w:rsidRPr="0007547C" w:rsidRDefault="00A32E49" w:rsidP="00913325">
      <w:pPr>
        <w:pStyle w:val="ListParagraph"/>
        <w:numPr>
          <w:ilvl w:val="0"/>
          <w:numId w:val="13"/>
        </w:numPr>
        <w:spacing w:after="160"/>
        <w:rPr>
          <w:noProof/>
        </w:rPr>
      </w:pPr>
      <w:r w:rsidRPr="0007547C">
        <w:rPr>
          <w:noProof/>
        </w:rPr>
        <w:t>Eurostat, notably for the labour costs</w:t>
      </w:r>
      <w:r w:rsidR="00874901">
        <w:rPr>
          <w:noProof/>
        </w:rPr>
        <w:t>.</w:t>
      </w:r>
    </w:p>
    <w:p w14:paraId="70B9B3C3" w14:textId="03B0B0E0" w:rsidR="00A32E49" w:rsidRPr="0007547C" w:rsidRDefault="00A32E49" w:rsidP="00913325">
      <w:pPr>
        <w:pStyle w:val="ListParagraph"/>
        <w:numPr>
          <w:ilvl w:val="0"/>
          <w:numId w:val="13"/>
        </w:numPr>
        <w:spacing w:after="160"/>
        <w:rPr>
          <w:noProof/>
        </w:rPr>
      </w:pPr>
      <w:r w:rsidRPr="0007547C">
        <w:rPr>
          <w:noProof/>
        </w:rPr>
        <w:t xml:space="preserve">The supporting study </w:t>
      </w:r>
      <w:r w:rsidR="00EA4C5C">
        <w:rPr>
          <w:noProof/>
        </w:rPr>
        <w:t xml:space="preserve">“Study: cloud and AI” </w:t>
      </w:r>
      <w:r w:rsidR="00874901">
        <w:rPr>
          <w:noProof/>
        </w:rPr>
        <w:t xml:space="preserve">led </w:t>
      </w:r>
      <w:r w:rsidR="00EA4C5C">
        <w:rPr>
          <w:noProof/>
        </w:rPr>
        <w:t xml:space="preserve">by </w:t>
      </w:r>
      <w:r w:rsidR="00436CC3" w:rsidRPr="00785FC1">
        <w:rPr>
          <w:noProof/>
        </w:rPr>
        <w:t xml:space="preserve">Technopolis </w:t>
      </w:r>
      <w:r w:rsidR="00100370">
        <w:rPr>
          <w:noProof/>
        </w:rPr>
        <w:t>Group</w:t>
      </w:r>
      <w:r w:rsidR="00614DE6">
        <w:rPr>
          <w:rStyle w:val="FootnoteReference"/>
          <w:noProof/>
        </w:rPr>
        <w:footnoteReference w:id="17"/>
      </w:r>
      <w:r w:rsidR="004170DB">
        <w:rPr>
          <w:noProof/>
        </w:rPr>
        <w:t xml:space="preserve">, including </w:t>
      </w:r>
      <w:r w:rsidR="009906CE">
        <w:rPr>
          <w:noProof/>
        </w:rPr>
        <w:t xml:space="preserve">over 60 </w:t>
      </w:r>
      <w:r w:rsidR="009906CE" w:rsidRPr="00D37004">
        <w:rPr>
          <w:noProof/>
        </w:rPr>
        <w:t xml:space="preserve">targeted interviews, surveys with over 250 replies and </w:t>
      </w:r>
      <w:r w:rsidR="009906CE">
        <w:rPr>
          <w:noProof/>
        </w:rPr>
        <w:t xml:space="preserve">two </w:t>
      </w:r>
      <w:r w:rsidR="009906CE" w:rsidRPr="00D37004">
        <w:rPr>
          <w:noProof/>
        </w:rPr>
        <w:t xml:space="preserve">workshops </w:t>
      </w:r>
      <w:r w:rsidR="009906CE">
        <w:rPr>
          <w:noProof/>
        </w:rPr>
        <w:t xml:space="preserve">with </w:t>
      </w:r>
      <w:r w:rsidR="009906CE" w:rsidRPr="00D37004">
        <w:rPr>
          <w:noProof/>
        </w:rPr>
        <w:t>over 100 participants</w:t>
      </w:r>
      <w:r w:rsidR="009906CE">
        <w:rPr>
          <w:noProof/>
        </w:rPr>
        <w:t xml:space="preserve"> each. </w:t>
      </w:r>
    </w:p>
    <w:p w14:paraId="1F324151" w14:textId="0A99FC7F" w:rsidR="00A32E49" w:rsidRPr="0007547C" w:rsidRDefault="00A32E49" w:rsidP="00913325">
      <w:pPr>
        <w:pStyle w:val="ListParagraph"/>
        <w:numPr>
          <w:ilvl w:val="0"/>
          <w:numId w:val="13"/>
        </w:numPr>
        <w:spacing w:after="160"/>
        <w:rPr>
          <w:noProof/>
        </w:rPr>
      </w:pPr>
      <w:r w:rsidRPr="0007547C">
        <w:rPr>
          <w:noProof/>
        </w:rPr>
        <w:t>Tenders Europe Daily</w:t>
      </w:r>
      <w:r w:rsidR="00100370">
        <w:rPr>
          <w:noProof/>
        </w:rPr>
        <w:t xml:space="preserve"> (TED)</w:t>
      </w:r>
      <w:r w:rsidRPr="0007547C">
        <w:rPr>
          <w:noProof/>
        </w:rPr>
        <w:t xml:space="preserve">, for the calculation of the procurement contract values by public administrations in the field of cloud and AI </w:t>
      </w:r>
      <w:r w:rsidR="003B27FD">
        <w:rPr>
          <w:noProof/>
        </w:rPr>
        <w:t xml:space="preserve">computing </w:t>
      </w:r>
      <w:r w:rsidRPr="0007547C">
        <w:rPr>
          <w:noProof/>
        </w:rPr>
        <w:t>services</w:t>
      </w:r>
      <w:r w:rsidR="00100370">
        <w:rPr>
          <w:noProof/>
        </w:rPr>
        <w:t>.</w:t>
      </w:r>
    </w:p>
    <w:p w14:paraId="66009578" w14:textId="063019F1" w:rsidR="00A32E49" w:rsidRDefault="00A32E49" w:rsidP="00913325">
      <w:pPr>
        <w:pStyle w:val="ListParagraph"/>
        <w:numPr>
          <w:ilvl w:val="0"/>
          <w:numId w:val="13"/>
        </w:numPr>
        <w:spacing w:after="160"/>
        <w:rPr>
          <w:noProof/>
        </w:rPr>
      </w:pPr>
      <w:r w:rsidRPr="0007547C">
        <w:rPr>
          <w:noProof/>
        </w:rPr>
        <w:t>Desk research, with sources cited in the corresponding measures</w:t>
      </w:r>
      <w:r w:rsidR="00100370" w:rsidDel="008950DD">
        <w:rPr>
          <w:noProof/>
        </w:rPr>
        <w:t>.</w:t>
      </w:r>
    </w:p>
    <w:p w14:paraId="6E55DEEE" w14:textId="5586A1EE" w:rsidR="00910AAC" w:rsidRPr="0007547C" w:rsidRDefault="006C4F94" w:rsidP="00913325">
      <w:pPr>
        <w:pStyle w:val="ListParagraph"/>
        <w:numPr>
          <w:ilvl w:val="0"/>
          <w:numId w:val="13"/>
        </w:numPr>
        <w:spacing w:after="160"/>
        <w:rPr>
          <w:noProof/>
        </w:rPr>
      </w:pPr>
      <w:r>
        <w:rPr>
          <w:noProof/>
        </w:rPr>
        <w:t>Best practices documented in the industry or similar approaches followed in other world regions or in EU countries</w:t>
      </w:r>
      <w:r w:rsidR="004614CB">
        <w:rPr>
          <w:noProof/>
        </w:rPr>
        <w:t>.</w:t>
      </w:r>
    </w:p>
    <w:p w14:paraId="3F72FCA7" w14:textId="2A5CAA8F" w:rsidR="00A32E49" w:rsidRPr="0007547C" w:rsidRDefault="00A32E49" w:rsidP="00A32E49">
      <w:pPr>
        <w:rPr>
          <w:noProof/>
        </w:rPr>
      </w:pPr>
      <w:r w:rsidRPr="0007547C">
        <w:rPr>
          <w:noProof/>
        </w:rPr>
        <w:t xml:space="preserve">Section 2 of this Annex explains the general assumptions used for the modelling of the different policy measures. These assumptions </w:t>
      </w:r>
      <w:r w:rsidR="00CC3047">
        <w:rPr>
          <w:noProof/>
        </w:rPr>
        <w:t>apply across several</w:t>
      </w:r>
      <w:r w:rsidRPr="0007547C">
        <w:rPr>
          <w:noProof/>
        </w:rPr>
        <w:t xml:space="preserve"> policy measures and are </w:t>
      </w:r>
      <w:r w:rsidR="00BC7EEC">
        <w:rPr>
          <w:noProof/>
        </w:rPr>
        <w:t>therefore</w:t>
      </w:r>
      <w:r w:rsidRPr="0007547C">
        <w:rPr>
          <w:noProof/>
        </w:rPr>
        <w:t xml:space="preserve"> reused</w:t>
      </w:r>
      <w:r w:rsidR="00BC7EEC">
        <w:rPr>
          <w:noProof/>
        </w:rPr>
        <w:t xml:space="preserve"> throughout the analysis</w:t>
      </w:r>
      <w:r w:rsidRPr="0007547C">
        <w:rPr>
          <w:noProof/>
        </w:rPr>
        <w:t>.</w:t>
      </w:r>
      <w:r w:rsidR="00D11467">
        <w:rPr>
          <w:noProof/>
        </w:rPr>
        <w:t xml:space="preserve"> </w:t>
      </w:r>
    </w:p>
    <w:p w14:paraId="39536743" w14:textId="180C78B5" w:rsidR="00A32E49" w:rsidRPr="0007547C" w:rsidRDefault="00A32E49" w:rsidP="00A32E49">
      <w:pPr>
        <w:rPr>
          <w:noProof/>
        </w:rPr>
      </w:pPr>
      <w:r w:rsidRPr="0007547C">
        <w:rPr>
          <w:noProof/>
        </w:rPr>
        <w:t xml:space="preserve">Section 3 includes </w:t>
      </w:r>
      <w:r w:rsidR="00BC7EEC">
        <w:rPr>
          <w:noProof/>
        </w:rPr>
        <w:t>a</w:t>
      </w:r>
      <w:r w:rsidRPr="0007547C">
        <w:rPr>
          <w:noProof/>
        </w:rPr>
        <w:t xml:space="preserve"> detailed explanation of the modelling </w:t>
      </w:r>
      <w:r w:rsidR="00BC7EEC">
        <w:rPr>
          <w:noProof/>
        </w:rPr>
        <w:t xml:space="preserve">approach for each </w:t>
      </w:r>
      <w:r w:rsidRPr="0007547C">
        <w:rPr>
          <w:noProof/>
        </w:rPr>
        <w:t xml:space="preserve">policy measure. For each </w:t>
      </w:r>
      <w:r w:rsidR="00BC7EEC">
        <w:rPr>
          <w:noProof/>
        </w:rPr>
        <w:t>measure</w:t>
      </w:r>
      <w:r w:rsidRPr="0007547C">
        <w:rPr>
          <w:noProof/>
        </w:rPr>
        <w:t xml:space="preserve">, </w:t>
      </w:r>
      <w:r w:rsidR="00BC7EEC">
        <w:rPr>
          <w:noProof/>
        </w:rPr>
        <w:t>the analysis covers</w:t>
      </w:r>
      <w:r w:rsidRPr="0007547C">
        <w:rPr>
          <w:noProof/>
        </w:rPr>
        <w:t>:</w:t>
      </w:r>
    </w:p>
    <w:p w14:paraId="4FAD51F3" w14:textId="00E560BD" w:rsidR="00A32E49" w:rsidRPr="0007547C" w:rsidRDefault="00BC7EEC" w:rsidP="00913325">
      <w:pPr>
        <w:pStyle w:val="ListParagraph"/>
        <w:numPr>
          <w:ilvl w:val="0"/>
          <w:numId w:val="14"/>
        </w:numPr>
        <w:spacing w:after="160"/>
        <w:rPr>
          <w:noProof/>
        </w:rPr>
      </w:pPr>
      <w:r>
        <w:rPr>
          <w:noProof/>
        </w:rPr>
        <w:t>The scope</w:t>
      </w:r>
      <w:r w:rsidR="00A32E49" w:rsidRPr="0007547C">
        <w:rPr>
          <w:noProof/>
        </w:rPr>
        <w:t xml:space="preserve"> of the policy measure and how it would be implemented</w:t>
      </w:r>
      <w:r>
        <w:rPr>
          <w:noProof/>
        </w:rPr>
        <w:t xml:space="preserve"> in practice</w:t>
      </w:r>
      <w:r w:rsidR="00FC3615">
        <w:rPr>
          <w:noProof/>
        </w:rPr>
        <w:t>.</w:t>
      </w:r>
    </w:p>
    <w:p w14:paraId="75696FB8" w14:textId="7DA4C214" w:rsidR="002B7492" w:rsidRDefault="00BC7EEC" w:rsidP="00913325">
      <w:pPr>
        <w:pStyle w:val="ListParagraph"/>
        <w:numPr>
          <w:ilvl w:val="0"/>
          <w:numId w:val="14"/>
        </w:numPr>
        <w:spacing w:after="160"/>
        <w:rPr>
          <w:noProof/>
        </w:rPr>
      </w:pPr>
      <w:r>
        <w:rPr>
          <w:noProof/>
        </w:rPr>
        <w:t>The</w:t>
      </w:r>
      <w:r w:rsidR="00A32E49" w:rsidRPr="0007547C">
        <w:rPr>
          <w:noProof/>
        </w:rPr>
        <w:t xml:space="preserve"> different types of costs, </w:t>
      </w:r>
      <w:r>
        <w:rPr>
          <w:noProof/>
        </w:rPr>
        <w:t>including</w:t>
      </w:r>
      <w:r w:rsidR="00A32E49" w:rsidRPr="0007547C">
        <w:rPr>
          <w:noProof/>
        </w:rPr>
        <w:t xml:space="preserve"> the one</w:t>
      </w:r>
      <w:r w:rsidR="00BE70A6">
        <w:rPr>
          <w:noProof/>
        </w:rPr>
        <w:t>-</w:t>
      </w:r>
      <w:r w:rsidR="00A32E49" w:rsidRPr="0007547C">
        <w:rPr>
          <w:noProof/>
        </w:rPr>
        <w:t xml:space="preserve">off </w:t>
      </w:r>
      <w:r>
        <w:rPr>
          <w:noProof/>
        </w:rPr>
        <w:t xml:space="preserve">and recurrent </w:t>
      </w:r>
      <w:r w:rsidR="00A32E49" w:rsidRPr="0007547C">
        <w:rPr>
          <w:noProof/>
        </w:rPr>
        <w:t>administrative</w:t>
      </w:r>
      <w:r>
        <w:rPr>
          <w:noProof/>
        </w:rPr>
        <w:t xml:space="preserve"> and</w:t>
      </w:r>
      <w:r w:rsidR="00A32E49" w:rsidRPr="0007547C">
        <w:rPr>
          <w:noProof/>
        </w:rPr>
        <w:t xml:space="preserve"> adjustment costs per stakeholder</w:t>
      </w:r>
    </w:p>
    <w:p w14:paraId="472DC499" w14:textId="6E3B8D33" w:rsidR="00A32E49" w:rsidRPr="0007547C" w:rsidRDefault="002B7492" w:rsidP="00913325">
      <w:pPr>
        <w:pStyle w:val="ListParagraph"/>
        <w:numPr>
          <w:ilvl w:val="0"/>
          <w:numId w:val="14"/>
        </w:numPr>
        <w:spacing w:after="160"/>
        <w:rPr>
          <w:noProof/>
        </w:rPr>
      </w:pPr>
      <w:r>
        <w:rPr>
          <w:noProof/>
        </w:rPr>
        <w:t>The</w:t>
      </w:r>
      <w:r w:rsidR="00A32E49" w:rsidRPr="0007547C">
        <w:rPr>
          <w:noProof/>
        </w:rPr>
        <w:t xml:space="preserve"> assumptions, values and sources used </w:t>
      </w:r>
      <w:r>
        <w:rPr>
          <w:noProof/>
        </w:rPr>
        <w:t>to estimate these costs</w:t>
      </w:r>
      <w:r w:rsidR="00A32E49" w:rsidRPr="0007547C">
        <w:rPr>
          <w:noProof/>
        </w:rPr>
        <w:t>.</w:t>
      </w:r>
    </w:p>
    <w:p w14:paraId="41DBFBF2" w14:textId="34B68768" w:rsidR="00A32E49" w:rsidRPr="0007547C" w:rsidRDefault="002B7492" w:rsidP="00913325">
      <w:pPr>
        <w:pStyle w:val="ListParagraph"/>
        <w:numPr>
          <w:ilvl w:val="0"/>
          <w:numId w:val="14"/>
        </w:numPr>
        <w:spacing w:after="160"/>
        <w:rPr>
          <w:noProof/>
        </w:rPr>
      </w:pPr>
      <w:r>
        <w:rPr>
          <w:noProof/>
        </w:rPr>
        <w:t>The expected</w:t>
      </w:r>
      <w:r w:rsidR="00A32E49" w:rsidRPr="0007547C">
        <w:rPr>
          <w:noProof/>
        </w:rPr>
        <w:t xml:space="preserve"> cost savings</w:t>
      </w:r>
      <w:r>
        <w:rPr>
          <w:noProof/>
        </w:rPr>
        <w:t xml:space="preserve"> and benefits</w:t>
      </w:r>
      <w:r w:rsidR="00A32E49" w:rsidRPr="0007547C">
        <w:rPr>
          <w:noProof/>
        </w:rPr>
        <w:t xml:space="preserve">, </w:t>
      </w:r>
      <w:r>
        <w:rPr>
          <w:noProof/>
        </w:rPr>
        <w:t>including</w:t>
      </w:r>
      <w:r w:rsidR="00A32E49" w:rsidRPr="0007547C">
        <w:rPr>
          <w:noProof/>
        </w:rPr>
        <w:t xml:space="preserve"> the assumptions and the reasoning behind them.</w:t>
      </w:r>
    </w:p>
    <w:p w14:paraId="2F5D4F01" w14:textId="52B562EE" w:rsidR="00A32E49" w:rsidRPr="0007547C" w:rsidRDefault="00A32E49" w:rsidP="00913325">
      <w:pPr>
        <w:pStyle w:val="ListParagraph"/>
        <w:numPr>
          <w:ilvl w:val="0"/>
          <w:numId w:val="14"/>
        </w:numPr>
        <w:spacing w:after="160"/>
        <w:rPr>
          <w:noProof/>
        </w:rPr>
      </w:pPr>
      <w:r w:rsidRPr="0007547C">
        <w:rPr>
          <w:noProof/>
        </w:rPr>
        <w:t xml:space="preserve">Where relevant, indirect savings, that cannot be fully monetised, but that </w:t>
      </w:r>
      <w:r w:rsidR="00413DD5">
        <w:rPr>
          <w:noProof/>
        </w:rPr>
        <w:t>nevertheless</w:t>
      </w:r>
      <w:r w:rsidRPr="0007547C">
        <w:rPr>
          <w:noProof/>
        </w:rPr>
        <w:t xml:space="preserve"> play an important role </w:t>
      </w:r>
      <w:r w:rsidR="00413DD5">
        <w:rPr>
          <w:noProof/>
        </w:rPr>
        <w:t>for assessing</w:t>
      </w:r>
      <w:r w:rsidRPr="0007547C">
        <w:rPr>
          <w:noProof/>
        </w:rPr>
        <w:t xml:space="preserve"> the overall effect of the policy measure.</w:t>
      </w:r>
    </w:p>
    <w:p w14:paraId="6ED55011" w14:textId="092B3812" w:rsidR="00881D12" w:rsidRDefault="00413DD5" w:rsidP="00BD303D">
      <w:pPr>
        <w:rPr>
          <w:noProof/>
        </w:rPr>
      </w:pPr>
      <w:r>
        <w:rPr>
          <w:noProof/>
        </w:rPr>
        <w:t>A s</w:t>
      </w:r>
      <w:r w:rsidR="00A32E49" w:rsidRPr="0007547C">
        <w:rPr>
          <w:noProof/>
        </w:rPr>
        <w:t>ensitivity analysis</w:t>
      </w:r>
      <w:r>
        <w:rPr>
          <w:noProof/>
        </w:rPr>
        <w:t xml:space="preserve"> was carried out to identify</w:t>
      </w:r>
      <w:r w:rsidR="00A32E49" w:rsidRPr="0007547C">
        <w:rPr>
          <w:noProof/>
        </w:rPr>
        <w:t xml:space="preserve"> </w:t>
      </w:r>
      <w:r w:rsidR="00F3679B" w:rsidRPr="00F3679B">
        <w:rPr>
          <w:noProof/>
        </w:rPr>
        <w:t xml:space="preserve">the parameters </w:t>
      </w:r>
      <w:r>
        <w:rPr>
          <w:noProof/>
        </w:rPr>
        <w:t xml:space="preserve">with </w:t>
      </w:r>
      <w:r w:rsidR="00F3679B" w:rsidRPr="00F3679B">
        <w:rPr>
          <w:noProof/>
        </w:rPr>
        <w:t xml:space="preserve">the </w:t>
      </w:r>
      <w:r>
        <w:rPr>
          <w:noProof/>
        </w:rPr>
        <w:t>greatest</w:t>
      </w:r>
      <w:r w:rsidR="00F3679B" w:rsidRPr="00F3679B">
        <w:rPr>
          <w:noProof/>
        </w:rPr>
        <w:t xml:space="preserve"> variability and the </w:t>
      </w:r>
      <w:r>
        <w:rPr>
          <w:noProof/>
        </w:rPr>
        <w:t>strongest potential</w:t>
      </w:r>
      <w:r w:rsidR="00F3679B" w:rsidRPr="00F3679B">
        <w:rPr>
          <w:noProof/>
        </w:rPr>
        <w:t xml:space="preserve"> impact </w:t>
      </w:r>
      <w:r>
        <w:rPr>
          <w:noProof/>
        </w:rPr>
        <w:t>on</w:t>
      </w:r>
      <w:r w:rsidR="00F3679B" w:rsidRPr="00F3679B">
        <w:rPr>
          <w:noProof/>
        </w:rPr>
        <w:t xml:space="preserve"> the cost-benefit </w:t>
      </w:r>
      <w:r>
        <w:rPr>
          <w:noProof/>
        </w:rPr>
        <w:t>results</w:t>
      </w:r>
      <w:r w:rsidR="00F3679B" w:rsidRPr="00F3679B">
        <w:rPr>
          <w:noProof/>
        </w:rPr>
        <w:t xml:space="preserve">. </w:t>
      </w:r>
      <w:r>
        <w:rPr>
          <w:noProof/>
        </w:rPr>
        <w:t xml:space="preserve">This </w:t>
      </w:r>
      <w:r w:rsidR="00F3679B" w:rsidRPr="00F3679B">
        <w:rPr>
          <w:noProof/>
        </w:rPr>
        <w:t xml:space="preserve">analysis </w:t>
      </w:r>
      <w:r>
        <w:rPr>
          <w:noProof/>
        </w:rPr>
        <w:t xml:space="preserve">helps understand the robustness of results under the different assumptions. </w:t>
      </w:r>
      <w:r w:rsidR="00881D12">
        <w:rPr>
          <w:noProof/>
        </w:rPr>
        <w:t xml:space="preserve">A final summary table </w:t>
      </w:r>
      <w:r w:rsidR="00046AA0">
        <w:rPr>
          <w:noProof/>
        </w:rPr>
        <w:t xml:space="preserve">presents </w:t>
      </w:r>
      <w:r w:rsidR="004A6020">
        <w:rPr>
          <w:noProof/>
        </w:rPr>
        <w:t xml:space="preserve">the </w:t>
      </w:r>
      <w:r w:rsidR="00F3679B" w:rsidRPr="00F3679B">
        <w:rPr>
          <w:noProof/>
        </w:rPr>
        <w:t xml:space="preserve">overall </w:t>
      </w:r>
      <w:r w:rsidR="00046AA0">
        <w:rPr>
          <w:noProof/>
        </w:rPr>
        <w:t>results</w:t>
      </w:r>
      <w:r w:rsidR="00F3679B" w:rsidRPr="00F3679B">
        <w:rPr>
          <w:noProof/>
        </w:rPr>
        <w:t xml:space="preserve"> for </w:t>
      </w:r>
      <w:r w:rsidR="00046AA0">
        <w:rPr>
          <w:noProof/>
        </w:rPr>
        <w:t>each policy measures, under</w:t>
      </w:r>
      <w:r w:rsidR="00F3679B" w:rsidRPr="00F3679B">
        <w:rPr>
          <w:noProof/>
        </w:rPr>
        <w:t xml:space="preserve"> three scenarios (central-min-max)</w:t>
      </w:r>
      <w:r w:rsidR="00881D12">
        <w:rPr>
          <w:noProof/>
        </w:rPr>
        <w:t xml:space="preserve">, as well as costs and benefits for </w:t>
      </w:r>
      <w:r w:rsidR="00046AA0">
        <w:rPr>
          <w:noProof/>
        </w:rPr>
        <w:t xml:space="preserve">the </w:t>
      </w:r>
      <w:r w:rsidR="00881D12">
        <w:rPr>
          <w:noProof/>
        </w:rPr>
        <w:t>key stakeholder</w:t>
      </w:r>
      <w:r w:rsidR="00046AA0">
        <w:rPr>
          <w:noProof/>
        </w:rPr>
        <w:t xml:space="preserve"> groups</w:t>
      </w:r>
      <w:r w:rsidR="00881D12">
        <w:rPr>
          <w:noProof/>
        </w:rPr>
        <w:t xml:space="preserve"> impacted.  </w:t>
      </w:r>
    </w:p>
    <w:p w14:paraId="44FB9FAB" w14:textId="75037583" w:rsidR="00046AA0" w:rsidRDefault="008F24F5" w:rsidP="00B05194">
      <w:pPr>
        <w:spacing w:after="160"/>
        <w:rPr>
          <w:noProof/>
        </w:rPr>
      </w:pPr>
      <w:r>
        <w:rPr>
          <w:noProof/>
        </w:rPr>
        <w:t>The</w:t>
      </w:r>
      <w:r w:rsidRPr="0007547C">
        <w:rPr>
          <w:noProof/>
        </w:rPr>
        <w:t xml:space="preserve"> </w:t>
      </w:r>
      <w:r w:rsidR="00A32E49" w:rsidRPr="0007547C">
        <w:rPr>
          <w:noProof/>
        </w:rPr>
        <w:t xml:space="preserve">modelling has resulted in a cost-benefit analysis </w:t>
      </w:r>
      <w:r w:rsidR="004A6020">
        <w:rPr>
          <w:noProof/>
        </w:rPr>
        <w:t>for each policy measure,</w:t>
      </w:r>
      <w:r w:rsidR="005C2957">
        <w:rPr>
          <w:noProof/>
        </w:rPr>
        <w:t xml:space="preserve"> which was aggregated and </w:t>
      </w:r>
      <w:r w:rsidR="00A32E49" w:rsidRPr="0007547C">
        <w:rPr>
          <w:noProof/>
        </w:rPr>
        <w:t>presented in sections 6 and 7 of the core text of the impact assessment</w:t>
      </w:r>
      <w:r w:rsidR="0071206F">
        <w:rPr>
          <w:noProof/>
        </w:rPr>
        <w:t xml:space="preserve"> and in the Annex 3</w:t>
      </w:r>
      <w:r w:rsidR="00A32E49" w:rsidRPr="0007547C">
        <w:rPr>
          <w:noProof/>
        </w:rPr>
        <w:t xml:space="preserve">. In </w:t>
      </w:r>
      <w:r w:rsidR="000E7F27">
        <w:rPr>
          <w:noProof/>
        </w:rPr>
        <w:t>most</w:t>
      </w:r>
      <w:r w:rsidR="00A32E49" w:rsidRPr="0007547C">
        <w:rPr>
          <w:noProof/>
        </w:rPr>
        <w:t xml:space="preserve"> cases, the </w:t>
      </w:r>
      <w:r w:rsidR="005C2957">
        <w:rPr>
          <w:noProof/>
        </w:rPr>
        <w:t>analysis followed</w:t>
      </w:r>
      <w:r w:rsidR="000E7F27">
        <w:rPr>
          <w:noProof/>
        </w:rPr>
        <w:t xml:space="preserve"> the Standard Cost model, whereas in some instances the </w:t>
      </w:r>
      <w:r w:rsidR="00A32E49" w:rsidRPr="0007547C">
        <w:rPr>
          <w:noProof/>
        </w:rPr>
        <w:t xml:space="preserve">NPV </w:t>
      </w:r>
      <w:r w:rsidR="000E7F27">
        <w:rPr>
          <w:noProof/>
        </w:rPr>
        <w:t xml:space="preserve">or other </w:t>
      </w:r>
      <w:r w:rsidR="00046AA0">
        <w:rPr>
          <w:noProof/>
        </w:rPr>
        <w:t xml:space="preserve">quantification </w:t>
      </w:r>
      <w:r w:rsidR="000E7F27">
        <w:rPr>
          <w:noProof/>
        </w:rPr>
        <w:t xml:space="preserve">approaches have been used to </w:t>
      </w:r>
      <w:r w:rsidR="00046AA0">
        <w:rPr>
          <w:noProof/>
        </w:rPr>
        <w:t>estimate</w:t>
      </w:r>
      <w:r w:rsidR="00955507">
        <w:rPr>
          <w:noProof/>
        </w:rPr>
        <w:t xml:space="preserve"> expected benefits.</w:t>
      </w:r>
      <w:r w:rsidR="00A32E49" w:rsidRPr="0007547C">
        <w:rPr>
          <w:noProof/>
        </w:rPr>
        <w:t xml:space="preserve"> </w:t>
      </w:r>
    </w:p>
    <w:p w14:paraId="5CFFB621" w14:textId="1E82C762" w:rsidR="00A32E49" w:rsidRPr="0007547C" w:rsidRDefault="00826D4F" w:rsidP="00B05194">
      <w:pPr>
        <w:spacing w:after="160"/>
        <w:rPr>
          <w:noProof/>
        </w:rPr>
      </w:pPr>
      <w:r>
        <w:rPr>
          <w:noProof/>
        </w:rPr>
        <w:t xml:space="preserve">Section 4 </w:t>
      </w:r>
      <w:r w:rsidR="00EB2AC4">
        <w:rPr>
          <w:noProof/>
        </w:rPr>
        <w:t>discusses the strengths and limitations of</w:t>
      </w:r>
      <w:r w:rsidR="00955507">
        <w:rPr>
          <w:noProof/>
        </w:rPr>
        <w:t xml:space="preserve"> the approach and </w:t>
      </w:r>
      <w:r w:rsidR="00046AA0">
        <w:rPr>
          <w:noProof/>
        </w:rPr>
        <w:t xml:space="preserve">of the </w:t>
      </w:r>
      <w:r w:rsidR="00EB2AC4">
        <w:rPr>
          <w:noProof/>
        </w:rPr>
        <w:t>data used for the</w:t>
      </w:r>
      <w:r w:rsidR="000C796E">
        <w:rPr>
          <w:noProof/>
        </w:rPr>
        <w:t xml:space="preserve"> analysis. </w:t>
      </w:r>
      <w:r w:rsidR="00955507">
        <w:rPr>
          <w:noProof/>
        </w:rPr>
        <w:t>To</w:t>
      </w:r>
      <w:r w:rsidR="00A32E49" w:rsidRPr="0007547C">
        <w:rPr>
          <w:noProof/>
        </w:rPr>
        <w:t xml:space="preserve"> </w:t>
      </w:r>
      <w:r w:rsidR="00D2712F">
        <w:rPr>
          <w:noProof/>
        </w:rPr>
        <w:t>investigate</w:t>
      </w:r>
      <w:r w:rsidR="00D2712F" w:rsidRPr="0007547C">
        <w:rPr>
          <w:noProof/>
        </w:rPr>
        <w:t xml:space="preserve"> </w:t>
      </w:r>
      <w:r w:rsidR="00A32E49" w:rsidRPr="0007547C">
        <w:rPr>
          <w:noProof/>
        </w:rPr>
        <w:t xml:space="preserve">the robustness </w:t>
      </w:r>
      <w:r w:rsidR="00826C82">
        <w:rPr>
          <w:noProof/>
        </w:rPr>
        <w:t xml:space="preserve">and stability </w:t>
      </w:r>
      <w:r w:rsidR="00A32E49" w:rsidRPr="0007547C">
        <w:rPr>
          <w:noProof/>
        </w:rPr>
        <w:t xml:space="preserve">of the </w:t>
      </w:r>
      <w:r w:rsidR="00046AA0">
        <w:rPr>
          <w:noProof/>
        </w:rPr>
        <w:t>results</w:t>
      </w:r>
      <w:r w:rsidR="00A32E49" w:rsidRPr="0007547C">
        <w:rPr>
          <w:noProof/>
        </w:rPr>
        <w:t xml:space="preserve">, a </w:t>
      </w:r>
      <w:r w:rsidR="00955507">
        <w:rPr>
          <w:noProof/>
        </w:rPr>
        <w:t xml:space="preserve">min-max </w:t>
      </w:r>
      <w:r w:rsidR="00A32E49" w:rsidRPr="00881D12">
        <w:rPr>
          <w:b/>
          <w:noProof/>
        </w:rPr>
        <w:t>sensitivity analysis</w:t>
      </w:r>
      <w:r w:rsidR="00A32E49">
        <w:rPr>
          <w:b/>
          <w:noProof/>
        </w:rPr>
        <w:t xml:space="preserve"> </w:t>
      </w:r>
      <w:r w:rsidR="00046AA0" w:rsidRPr="008B239E">
        <w:rPr>
          <w:bCs/>
          <w:noProof/>
        </w:rPr>
        <w:t>was performed</w:t>
      </w:r>
      <w:r w:rsidR="00A32E49" w:rsidRPr="0007547C">
        <w:rPr>
          <w:noProof/>
        </w:rPr>
        <w:t xml:space="preserve"> (See section </w:t>
      </w:r>
      <w:r w:rsidR="001B0E30">
        <w:rPr>
          <w:noProof/>
        </w:rPr>
        <w:t>5</w:t>
      </w:r>
      <w:r w:rsidR="001B0E30" w:rsidRPr="0007547C">
        <w:rPr>
          <w:noProof/>
        </w:rPr>
        <w:t xml:space="preserve"> </w:t>
      </w:r>
      <w:r w:rsidR="00A32E49" w:rsidRPr="0007547C">
        <w:rPr>
          <w:noProof/>
        </w:rPr>
        <w:t>of this Annex for more details and assumptions checked in interviews and CATI surveys).</w:t>
      </w:r>
      <w:r w:rsidR="00903BBD" w:rsidRPr="00903BBD">
        <w:rPr>
          <w:noProof/>
        </w:rPr>
        <w:t xml:space="preserve"> </w:t>
      </w:r>
    </w:p>
    <w:p w14:paraId="040BDBCD" w14:textId="3BCCADC7" w:rsidR="00A32E49" w:rsidRDefault="00D42B3B" w:rsidP="00A32E49">
      <w:pPr>
        <w:rPr>
          <w:noProof/>
        </w:rPr>
      </w:pPr>
      <w:r>
        <w:rPr>
          <w:noProof/>
        </w:rPr>
        <w:t xml:space="preserve">Section 6 presents the </w:t>
      </w:r>
      <w:r w:rsidR="00A32E49" w:rsidRPr="0007547C">
        <w:rPr>
          <w:b/>
          <w:noProof/>
        </w:rPr>
        <w:t xml:space="preserve">multi-criteria </w:t>
      </w:r>
      <w:r w:rsidR="00E67B57">
        <w:rPr>
          <w:b/>
          <w:noProof/>
        </w:rPr>
        <w:t>decision</w:t>
      </w:r>
      <w:r w:rsidR="00A32E49" w:rsidRPr="0007547C">
        <w:rPr>
          <w:b/>
          <w:noProof/>
        </w:rPr>
        <w:t xml:space="preserve"> analysis</w:t>
      </w:r>
      <w:r w:rsidR="00A32E49">
        <w:rPr>
          <w:b/>
          <w:noProof/>
        </w:rPr>
        <w:t xml:space="preserve"> </w:t>
      </w:r>
      <w:r w:rsidR="001B0E30">
        <w:rPr>
          <w:b/>
          <w:noProof/>
        </w:rPr>
        <w:t>(MCDA)</w:t>
      </w:r>
      <w:r>
        <w:rPr>
          <w:noProof/>
        </w:rPr>
        <w:t>, which was carried out</w:t>
      </w:r>
      <w:r w:rsidR="00A32E49" w:rsidRPr="0007547C">
        <w:rPr>
          <w:noProof/>
        </w:rPr>
        <w:t xml:space="preserve"> </w:t>
      </w:r>
      <w:r>
        <w:rPr>
          <w:noProof/>
        </w:rPr>
        <w:t>using</w:t>
      </w:r>
      <w:r w:rsidRPr="0007547C">
        <w:rPr>
          <w:noProof/>
        </w:rPr>
        <w:t xml:space="preserve"> </w:t>
      </w:r>
      <w:r w:rsidR="00A32E49" w:rsidRPr="0007547C">
        <w:rPr>
          <w:noProof/>
        </w:rPr>
        <w:t xml:space="preserve">three different models, </w:t>
      </w:r>
      <w:r>
        <w:rPr>
          <w:noProof/>
        </w:rPr>
        <w:t xml:space="preserve">to further assess the strengths </w:t>
      </w:r>
      <w:r w:rsidR="00E67B57">
        <w:rPr>
          <w:noProof/>
        </w:rPr>
        <w:t xml:space="preserve">and weaknesses </w:t>
      </w:r>
      <w:r>
        <w:rPr>
          <w:noProof/>
        </w:rPr>
        <w:t>of each</w:t>
      </w:r>
      <w:r w:rsidR="00E67B57">
        <w:rPr>
          <w:noProof/>
        </w:rPr>
        <w:t xml:space="preserve"> option</w:t>
      </w:r>
      <w:r w:rsidR="00A32E49" w:rsidRPr="0007547C">
        <w:rPr>
          <w:noProof/>
        </w:rPr>
        <w:t>.</w:t>
      </w:r>
    </w:p>
    <w:p w14:paraId="17C344F6" w14:textId="77777777" w:rsidR="00FC7853" w:rsidRDefault="001D5BBE" w:rsidP="00A32E49">
      <w:pPr>
        <w:rPr>
          <w:noProof/>
        </w:rPr>
      </w:pPr>
      <w:r>
        <w:rPr>
          <w:noProof/>
        </w:rPr>
        <w:t xml:space="preserve">Wider economic impacts, indirect effects or non-market social and environmental externalities can be material but are excluded from the </w:t>
      </w:r>
      <w:r w:rsidR="00AF10E5">
        <w:rPr>
          <w:noProof/>
        </w:rPr>
        <w:t xml:space="preserve">monetisation within the Cost-Benefit Analysis </w:t>
      </w:r>
      <w:r>
        <w:rPr>
          <w:noProof/>
        </w:rPr>
        <w:t>due to limitations in available data and the lack of robust methodologies for monetising these effects.</w:t>
      </w:r>
    </w:p>
    <w:p w14:paraId="105ABC8B" w14:textId="33467927" w:rsidR="008F6DE8" w:rsidRDefault="00A30F7F" w:rsidP="00A32E49">
      <w:pPr>
        <w:rPr>
          <w:noProof/>
        </w:rPr>
      </w:pPr>
      <w:r>
        <w:rPr>
          <w:noProof/>
        </w:rPr>
        <w:t>S</w:t>
      </w:r>
      <w:r w:rsidR="001D5BBE">
        <w:rPr>
          <w:noProof/>
        </w:rPr>
        <w:t>ection 7 of this Annex</w:t>
      </w:r>
      <w:r w:rsidR="008F6DE8">
        <w:rPr>
          <w:noProof/>
        </w:rPr>
        <w:t xml:space="preserve"> includes </w:t>
      </w:r>
      <w:r w:rsidR="00683A35">
        <w:rPr>
          <w:noProof/>
        </w:rPr>
        <w:t>the</w:t>
      </w:r>
      <w:r w:rsidR="001A6ED7">
        <w:rPr>
          <w:noProof/>
        </w:rPr>
        <w:t xml:space="preserve"> assumptions behind the environmental impact analysis</w:t>
      </w:r>
      <w:r w:rsidR="00A96B54">
        <w:rPr>
          <w:noProof/>
        </w:rPr>
        <w:t xml:space="preserve"> </w:t>
      </w:r>
      <w:r w:rsidR="001D5BBE">
        <w:rPr>
          <w:noProof/>
        </w:rPr>
        <w:t>performed</w:t>
      </w:r>
      <w:r w:rsidR="00987CDB">
        <w:rPr>
          <w:noProof/>
        </w:rPr>
        <w:t xml:space="preserve">, while section 8 includes </w:t>
      </w:r>
      <w:r w:rsidR="00E67B57">
        <w:rPr>
          <w:noProof/>
        </w:rPr>
        <w:t>additional literature</w:t>
      </w:r>
      <w:r w:rsidR="00987CDB">
        <w:rPr>
          <w:noProof/>
        </w:rPr>
        <w:t xml:space="preserve"> </w:t>
      </w:r>
      <w:r w:rsidR="001D5BBE">
        <w:rPr>
          <w:noProof/>
        </w:rPr>
        <w:t xml:space="preserve">used </w:t>
      </w:r>
      <w:r w:rsidR="00E67B57">
        <w:rPr>
          <w:noProof/>
        </w:rPr>
        <w:t xml:space="preserve">to discuss the </w:t>
      </w:r>
      <w:r w:rsidR="001A6ED7">
        <w:rPr>
          <w:noProof/>
        </w:rPr>
        <w:t xml:space="preserve">wider economic effects </w:t>
      </w:r>
      <w:r w:rsidR="00E67B57">
        <w:rPr>
          <w:noProof/>
        </w:rPr>
        <w:t>associated with</w:t>
      </w:r>
      <w:r w:rsidR="00AA6A59" w:rsidRPr="00AA6A59">
        <w:rPr>
          <w:noProof/>
        </w:rPr>
        <w:t xml:space="preserve"> the </w:t>
      </w:r>
      <w:r w:rsidR="00E67B57">
        <w:rPr>
          <w:noProof/>
        </w:rPr>
        <w:t>policy options</w:t>
      </w:r>
      <w:r w:rsidR="00B02D1D">
        <w:rPr>
          <w:noProof/>
        </w:rPr>
        <w:t>.</w:t>
      </w:r>
      <w:r w:rsidR="00AA6A59" w:rsidRPr="00AA6A59">
        <w:rPr>
          <w:noProof/>
        </w:rPr>
        <w:t xml:space="preserve"> </w:t>
      </w:r>
    </w:p>
    <w:p w14:paraId="6A6AE419" w14:textId="35B5DD3B" w:rsidR="00B02D1D" w:rsidRDefault="00B02D1D" w:rsidP="00A32E49">
      <w:pPr>
        <w:rPr>
          <w:noProof/>
        </w:rPr>
      </w:pPr>
      <w:r>
        <w:rPr>
          <w:noProof/>
        </w:rPr>
        <w:t xml:space="preserve">Section </w:t>
      </w:r>
      <w:r w:rsidR="00987CDB">
        <w:rPr>
          <w:noProof/>
        </w:rPr>
        <w:t>9</w:t>
      </w:r>
      <w:r>
        <w:rPr>
          <w:noProof/>
        </w:rPr>
        <w:t xml:space="preserve"> shows the analysis performed by </w:t>
      </w:r>
      <w:r w:rsidR="00C95B15">
        <w:rPr>
          <w:noProof/>
        </w:rPr>
        <w:t>Technopolis Group as part of the study “Study: cloud and AI” on the different procedures</w:t>
      </w:r>
      <w:r w:rsidR="00CE62F8">
        <w:rPr>
          <w:noProof/>
        </w:rPr>
        <w:t>, permits and data centre deployment timelines</w:t>
      </w:r>
      <w:r w:rsidR="00C95B15">
        <w:rPr>
          <w:noProof/>
        </w:rPr>
        <w:t xml:space="preserve"> across several Member States</w:t>
      </w:r>
      <w:r w:rsidR="006D4541">
        <w:rPr>
          <w:noProof/>
        </w:rPr>
        <w:t>, aiming to demonstrate the</w:t>
      </w:r>
      <w:r w:rsidR="00533F89">
        <w:rPr>
          <w:noProof/>
        </w:rPr>
        <w:t xml:space="preserve"> fragmented approach currently existing in the EU.</w:t>
      </w:r>
    </w:p>
    <w:p w14:paraId="6554F017" w14:textId="77777777" w:rsidR="006C14F6" w:rsidRPr="00EA048E" w:rsidRDefault="006C14F6" w:rsidP="00913325">
      <w:pPr>
        <w:pStyle w:val="Heading1"/>
        <w:numPr>
          <w:ilvl w:val="0"/>
          <w:numId w:val="15"/>
        </w:numPr>
        <w:rPr>
          <w:noProof/>
          <w:lang w:val="en-IE"/>
        </w:rPr>
      </w:pPr>
      <w:bookmarkStart w:id="102" w:name="_Toc214519688"/>
      <w:bookmarkStart w:id="103" w:name="_Toc216283349"/>
      <w:bookmarkStart w:id="104" w:name="_Toc228346904"/>
      <w:r w:rsidRPr="00EA048E">
        <w:rPr>
          <w:noProof/>
          <w:lang w:val="en-IE"/>
        </w:rPr>
        <w:t>General assumptions</w:t>
      </w:r>
      <w:bookmarkStart w:id="105" w:name="_Toc208138448"/>
      <w:bookmarkStart w:id="106" w:name="_Toc208305073"/>
      <w:r w:rsidRPr="00EA048E">
        <w:rPr>
          <w:noProof/>
          <w:lang w:val="en-IE"/>
        </w:rPr>
        <w:t xml:space="preserve"> for the modelling of the policy measures</w:t>
      </w:r>
      <w:bookmarkEnd w:id="102"/>
      <w:bookmarkEnd w:id="103"/>
      <w:bookmarkEnd w:id="104"/>
    </w:p>
    <w:p w14:paraId="068B8B7C" w14:textId="77777777" w:rsidR="006C14F6" w:rsidRPr="00092167" w:rsidRDefault="006C14F6" w:rsidP="00913325">
      <w:pPr>
        <w:pStyle w:val="Heading2"/>
        <w:numPr>
          <w:ilvl w:val="1"/>
          <w:numId w:val="10"/>
        </w:numPr>
        <w:rPr>
          <w:bCs/>
          <w:noProof/>
        </w:rPr>
      </w:pPr>
      <w:bookmarkStart w:id="107" w:name="_Toc208595291"/>
      <w:bookmarkStart w:id="108" w:name="_Toc208836916"/>
      <w:bookmarkStart w:id="109" w:name="_Toc214519689"/>
      <w:bookmarkStart w:id="110" w:name="_Toc216283350"/>
      <w:bookmarkStart w:id="111" w:name="_Toc228346905"/>
      <w:r w:rsidRPr="00092167">
        <w:rPr>
          <w:bCs/>
          <w:noProof/>
        </w:rPr>
        <w:t>Valuation framework and time horizon</w:t>
      </w:r>
      <w:bookmarkEnd w:id="105"/>
      <w:bookmarkEnd w:id="106"/>
      <w:bookmarkEnd w:id="107"/>
      <w:bookmarkEnd w:id="108"/>
      <w:bookmarkEnd w:id="109"/>
      <w:bookmarkEnd w:id="110"/>
      <w:bookmarkEnd w:id="111"/>
    </w:p>
    <w:p w14:paraId="3272C174" w14:textId="77777777" w:rsidR="006C14F6" w:rsidRPr="003401EC" w:rsidRDefault="006C14F6" w:rsidP="006C14F6">
      <w:pPr>
        <w:rPr>
          <w:noProof/>
        </w:rPr>
      </w:pPr>
      <w:r w:rsidRPr="294AF3FA">
        <w:rPr>
          <w:b/>
          <w:bCs/>
          <w:noProof/>
        </w:rPr>
        <w:t>Price base.</w:t>
      </w:r>
      <w:r w:rsidRPr="294AF3FA">
        <w:rPr>
          <w:b/>
          <w:bCs/>
          <w:i/>
          <w:iCs/>
          <w:noProof/>
        </w:rPr>
        <w:t xml:space="preserve"> </w:t>
      </w:r>
      <w:r w:rsidRPr="003401EC">
        <w:rPr>
          <w:noProof/>
        </w:rPr>
        <w:t>All figures are expressed in real 2025 euros; no general price inflation is applied.</w:t>
      </w:r>
      <w:r w:rsidRPr="294AF3FA">
        <w:rPr>
          <w:b/>
          <w:bCs/>
          <w:i/>
          <w:iCs/>
          <w:noProof/>
        </w:rPr>
        <w:t xml:space="preserve"> </w:t>
      </w:r>
      <w:r w:rsidRPr="003401EC">
        <w:rPr>
          <w:noProof/>
        </w:rPr>
        <w:t xml:space="preserve"> All unit costs are expressed in real 2025 euros and are based on Eurostat hourly labour cost. In 2024, the EU-27 average hourly labour cost for the whole economy was </w:t>
      </w:r>
      <w:r>
        <w:rPr>
          <w:noProof/>
        </w:rPr>
        <w:t xml:space="preserve">EUR </w:t>
      </w:r>
      <w:r w:rsidRPr="003401EC">
        <w:rPr>
          <w:noProof/>
        </w:rPr>
        <w:t xml:space="preserve">33.5; services averaged </w:t>
      </w:r>
      <w:r>
        <w:rPr>
          <w:noProof/>
        </w:rPr>
        <w:t xml:space="preserve">EUR </w:t>
      </w:r>
      <w:r w:rsidRPr="003401EC">
        <w:rPr>
          <w:noProof/>
        </w:rPr>
        <w:t xml:space="preserve">33.3; </w:t>
      </w:r>
      <w:r>
        <w:rPr>
          <w:noProof/>
        </w:rPr>
        <w:t xml:space="preserve">information and communication at EUR 46.3; </w:t>
      </w:r>
      <w:r w:rsidRPr="003401EC">
        <w:rPr>
          <w:noProof/>
        </w:rPr>
        <w:t xml:space="preserve">and the mainly non-business economy (excl. public administration) averaged </w:t>
      </w:r>
      <w:r>
        <w:rPr>
          <w:noProof/>
        </w:rPr>
        <w:t xml:space="preserve">EUR </w:t>
      </w:r>
      <w:r w:rsidRPr="003401EC">
        <w:rPr>
          <w:noProof/>
        </w:rPr>
        <w:t>34.2. These figures are taken from Eurostat’s latest annual release and Statistics Explained pages</w:t>
      </w:r>
      <w:r w:rsidRPr="003401EC">
        <w:rPr>
          <w:rStyle w:val="FootnoteReference"/>
          <w:noProof/>
        </w:rPr>
        <w:footnoteReference w:id="18"/>
      </w:r>
      <w:r w:rsidRPr="003401EC">
        <w:rPr>
          <w:noProof/>
        </w:rPr>
        <w:t>.</w:t>
      </w:r>
    </w:p>
    <w:p w14:paraId="77745BD3" w14:textId="77777777" w:rsidR="006C14F6" w:rsidRPr="003401EC" w:rsidRDefault="006C14F6" w:rsidP="006C14F6">
      <w:pPr>
        <w:rPr>
          <w:noProof/>
        </w:rPr>
      </w:pPr>
      <w:r w:rsidRPr="003401EC">
        <w:rPr>
          <w:b/>
          <w:bCs/>
          <w:noProof/>
        </w:rPr>
        <w:t>Discounting</w:t>
      </w:r>
      <w:r w:rsidRPr="003401EC">
        <w:rPr>
          <w:noProof/>
        </w:rPr>
        <w:t xml:space="preserve">. Present values are computed at a 3% real discount rate. The discounting base date is </w:t>
      </w:r>
      <w:r>
        <w:rPr>
          <w:noProof/>
        </w:rPr>
        <w:t>the beginning</w:t>
      </w:r>
      <w:r w:rsidRPr="003401EC">
        <w:rPr>
          <w:noProof/>
        </w:rPr>
        <w:t xml:space="preserve"> of 202</w:t>
      </w:r>
      <w:r>
        <w:rPr>
          <w:noProof/>
        </w:rPr>
        <w:t>7</w:t>
      </w:r>
      <w:r w:rsidRPr="003401EC">
        <w:rPr>
          <w:noProof/>
        </w:rPr>
        <w:t xml:space="preserve">; cash-flow timing follows an end-of-year convention. </w:t>
      </w:r>
      <w:r>
        <w:rPr>
          <w:noProof/>
        </w:rPr>
        <w:t xml:space="preserve">The cumulation period is 2027-2036 inclusive. </w:t>
      </w:r>
      <w:r w:rsidRPr="003401EC">
        <w:rPr>
          <w:noProof/>
        </w:rPr>
        <w:t xml:space="preserve">The discount factor for a flow in year </w:t>
      </w:r>
      <w:r w:rsidRPr="003401EC">
        <w:rPr>
          <w:i/>
          <w:iCs/>
          <w:noProof/>
        </w:rPr>
        <w:t>t</w:t>
      </w:r>
      <w:r w:rsidRPr="003401EC">
        <w:rPr>
          <w:noProof/>
        </w:rPr>
        <w:t xml:space="preserve"> is:</w:t>
      </w:r>
    </w:p>
    <w:p w14:paraId="45F3A1F1" w14:textId="77777777" w:rsidR="006C14F6" w:rsidRPr="003401EC" w:rsidRDefault="00E634B8" w:rsidP="006C14F6">
      <w:pPr>
        <w:rPr>
          <w:iCs/>
          <w:noProof/>
        </w:rPr>
      </w:pPr>
      <m:oMathPara>
        <m:oMath>
          <m:sSub>
            <m:sSubPr>
              <m:ctrlPr>
                <w:rPr>
                  <w:rFonts w:ascii="Cambria Math" w:hAnsi="Cambria Math"/>
                  <w:iCs/>
                  <w:noProof/>
                </w:rPr>
              </m:ctrlPr>
            </m:sSubPr>
            <m:e>
              <m:r>
                <m:rPr>
                  <m:sty m:val="p"/>
                </m:rPr>
                <w:rPr>
                  <w:rFonts w:ascii="Cambria Math" w:hAnsi="Cambria Math"/>
                  <w:noProof/>
                </w:rPr>
                <m:t>DF</m:t>
              </m:r>
            </m:e>
            <m:sub>
              <m:r>
                <w:rPr>
                  <w:rFonts w:ascii="Cambria Math" w:hAnsi="Cambria Math"/>
                  <w:noProof/>
                </w:rPr>
                <m:t>t</m:t>
              </m:r>
            </m:sub>
          </m:sSub>
          <m:r>
            <w:rPr>
              <w:rFonts w:ascii="Cambria Math" w:hAnsi="Cambria Math"/>
              <w:noProof/>
            </w:rPr>
            <m:t xml:space="preserve"> = </m:t>
          </m:r>
          <m:f>
            <m:fPr>
              <m:ctrlPr>
                <w:rPr>
                  <w:rFonts w:ascii="Cambria Math" w:hAnsi="Cambria Math"/>
                  <w:i/>
                  <w:iCs/>
                  <w:noProof/>
                </w:rPr>
              </m:ctrlPr>
            </m:fPr>
            <m:num>
              <m:r>
                <w:rPr>
                  <w:rFonts w:ascii="Cambria Math" w:hAnsi="Cambria Math"/>
                  <w:noProof/>
                </w:rPr>
                <m:t>1</m:t>
              </m:r>
            </m:num>
            <m:den>
              <m:sSup>
                <m:sSupPr>
                  <m:ctrlPr>
                    <w:rPr>
                      <w:rFonts w:ascii="Cambria Math" w:hAnsi="Cambria Math"/>
                      <w:i/>
                      <w:iCs/>
                      <w:noProof/>
                    </w:rPr>
                  </m:ctrlPr>
                </m:sSupPr>
                <m:e>
                  <m:r>
                    <w:rPr>
                      <w:rFonts w:ascii="Cambria Math" w:hAnsi="Cambria Math"/>
                      <w:noProof/>
                    </w:rPr>
                    <m:t>(1+0.03)</m:t>
                  </m:r>
                </m:e>
                <m:sup>
                  <m:r>
                    <w:rPr>
                      <w:rFonts w:ascii="Cambria Math" w:hAnsi="Cambria Math"/>
                      <w:noProof/>
                    </w:rPr>
                    <m:t>t</m:t>
                  </m:r>
                  <m:r>
                    <w:rPr>
                      <w:rFonts w:ascii="Cambria Math" w:hAnsi="Cambria Math"/>
                      <w:noProof/>
                    </w:rPr>
                    <m:t>-</m:t>
                  </m:r>
                  <m:r>
                    <w:rPr>
                      <w:rFonts w:ascii="Cambria Math" w:hAnsi="Cambria Math"/>
                      <w:noProof/>
                    </w:rPr>
                    <m:t>2027</m:t>
                  </m:r>
                </m:sup>
              </m:sSup>
            </m:den>
          </m:f>
        </m:oMath>
      </m:oMathPara>
    </w:p>
    <w:p w14:paraId="2E9870CB" w14:textId="054E0173" w:rsidR="006C14F6" w:rsidRPr="003401EC" w:rsidRDefault="006C14F6" w:rsidP="006C14F6">
      <w:pPr>
        <w:rPr>
          <w:noProof/>
        </w:rPr>
      </w:pPr>
      <w:r w:rsidRPr="00A73DEC">
        <w:rPr>
          <w:b/>
          <w:noProof/>
          <w:lang w:val="en-IE"/>
        </w:rPr>
        <w:t>Horizon.</w:t>
      </w:r>
      <w:r w:rsidRPr="00A73DEC">
        <w:rPr>
          <w:noProof/>
          <w:lang w:val="en-IE"/>
        </w:rPr>
        <w:t xml:space="preserve"> </w:t>
      </w:r>
      <w:r w:rsidRPr="003401EC">
        <w:rPr>
          <w:noProof/>
        </w:rPr>
        <w:t>Impacts are accumulated over 202</w:t>
      </w:r>
      <w:r>
        <w:rPr>
          <w:noProof/>
        </w:rPr>
        <w:t>7</w:t>
      </w:r>
      <w:r w:rsidRPr="003401EC">
        <w:rPr>
          <w:noProof/>
        </w:rPr>
        <w:t>–203</w:t>
      </w:r>
      <w:r>
        <w:rPr>
          <w:noProof/>
        </w:rPr>
        <w:t>6</w:t>
      </w:r>
      <w:r w:rsidRPr="003401EC">
        <w:rPr>
          <w:noProof/>
        </w:rPr>
        <w:t xml:space="preserve"> inclusive</w:t>
      </w:r>
      <w:r w:rsidR="00075546">
        <w:rPr>
          <w:noProof/>
        </w:rPr>
        <w:t xml:space="preserve"> (10 years)</w:t>
      </w:r>
      <w:r w:rsidRPr="003401EC">
        <w:rPr>
          <w:noProof/>
        </w:rPr>
        <w:t>.</w:t>
      </w:r>
    </w:p>
    <w:p w14:paraId="292BF836" w14:textId="77777777" w:rsidR="006C14F6" w:rsidRPr="00EA048E" w:rsidRDefault="006C14F6" w:rsidP="00913325">
      <w:pPr>
        <w:pStyle w:val="Heading2"/>
        <w:numPr>
          <w:ilvl w:val="1"/>
          <w:numId w:val="10"/>
        </w:numPr>
        <w:rPr>
          <w:rFonts w:eastAsia="Calibri"/>
          <w:noProof/>
        </w:rPr>
      </w:pPr>
      <w:bookmarkStart w:id="112" w:name="_Toc208138449"/>
      <w:bookmarkStart w:id="113" w:name="_Toc208305074"/>
      <w:bookmarkStart w:id="114" w:name="_Toc208595292"/>
      <w:bookmarkStart w:id="115" w:name="_Toc208836917"/>
      <w:bookmarkStart w:id="116" w:name="_Toc214519690"/>
      <w:bookmarkStart w:id="117" w:name="_Toc216283351"/>
      <w:bookmarkStart w:id="118" w:name="_Toc228346906"/>
      <w:r w:rsidRPr="00EA048E">
        <w:rPr>
          <w:rFonts w:eastAsia="Calibri"/>
          <w:noProof/>
        </w:rPr>
        <w:t>Unit cost parameters/ standard cost model</w:t>
      </w:r>
      <w:bookmarkEnd w:id="112"/>
      <w:bookmarkEnd w:id="113"/>
      <w:bookmarkEnd w:id="114"/>
      <w:bookmarkEnd w:id="115"/>
      <w:bookmarkEnd w:id="116"/>
      <w:bookmarkEnd w:id="117"/>
      <w:bookmarkEnd w:id="118"/>
    </w:p>
    <w:p w14:paraId="16DDE8A4" w14:textId="77777777" w:rsidR="006C14F6" w:rsidRPr="003401EC" w:rsidRDefault="006C14F6" w:rsidP="006C14F6">
      <w:pPr>
        <w:pStyle w:val="Text1"/>
        <w:ind w:left="0"/>
        <w:rPr>
          <w:noProof/>
          <w:lang w:val="en-IE"/>
        </w:rPr>
      </w:pPr>
      <w:r w:rsidRPr="003401EC">
        <w:rPr>
          <w:b/>
          <w:noProof/>
          <w:lang w:val="en-IE"/>
        </w:rPr>
        <w:t>Working day length.</w:t>
      </w:r>
      <w:r w:rsidRPr="003401EC">
        <w:rPr>
          <w:noProof/>
          <w:lang w:val="en-IE"/>
        </w:rPr>
        <w:t xml:space="preserve"> 8 hours/day.</w:t>
      </w:r>
    </w:p>
    <w:p w14:paraId="5A3297D2" w14:textId="77777777" w:rsidR="006C14F6" w:rsidRPr="003401EC" w:rsidRDefault="006C14F6" w:rsidP="006C14F6">
      <w:pPr>
        <w:pStyle w:val="Text1"/>
        <w:ind w:left="0"/>
        <w:rPr>
          <w:noProof/>
          <w:lang w:val="en-IE"/>
        </w:rPr>
      </w:pPr>
      <w:r w:rsidRPr="001478A8">
        <w:rPr>
          <w:b/>
          <w:bCs/>
          <w:noProof/>
          <w:lang w:val="en-IE"/>
        </w:rPr>
        <w:t>Working days in the year</w:t>
      </w:r>
      <w:r w:rsidRPr="003401EC">
        <w:rPr>
          <w:noProof/>
          <w:lang w:val="en-IE"/>
        </w:rPr>
        <w:t>. 220 working days/year</w:t>
      </w:r>
    </w:p>
    <w:p w14:paraId="61F72EA0" w14:textId="77777777" w:rsidR="006C14F6" w:rsidRPr="003401EC" w:rsidRDefault="006C14F6" w:rsidP="006C14F6">
      <w:pPr>
        <w:pStyle w:val="Text1"/>
        <w:ind w:left="0"/>
        <w:rPr>
          <w:noProof/>
          <w:lang w:val="en-IE"/>
        </w:rPr>
      </w:pPr>
      <w:r w:rsidRPr="003401EC">
        <w:rPr>
          <w:b/>
          <w:noProof/>
          <w:lang w:val="en-IE"/>
        </w:rPr>
        <w:t>Day-rate proxies</w:t>
      </w:r>
      <w:r w:rsidRPr="003401EC">
        <w:rPr>
          <w:noProof/>
          <w:lang w:val="en-IE"/>
        </w:rPr>
        <w:t xml:space="preserve"> (EU averages with sector uplifts):</w:t>
      </w:r>
    </w:p>
    <w:p w14:paraId="62C49A12" w14:textId="77777777" w:rsidR="006C14F6" w:rsidRPr="003401EC" w:rsidRDefault="006C14F6" w:rsidP="006C14F6">
      <w:pPr>
        <w:pStyle w:val="Text1"/>
        <w:ind w:left="0"/>
        <w:rPr>
          <w:noProof/>
          <w:lang w:val="en-IE"/>
        </w:rPr>
      </w:pPr>
      <w:r w:rsidRPr="003401EC">
        <w:rPr>
          <w:noProof/>
          <w:lang w:val="en-IE"/>
        </w:rPr>
        <w:t>Eurostat’s EU-27 hourly labour cost converted to day-rates:</w:t>
      </w:r>
    </w:p>
    <w:p w14:paraId="12A3C124" w14:textId="12D21419" w:rsidR="0004492E" w:rsidRPr="003401EC" w:rsidRDefault="0004492E" w:rsidP="008D0BAC">
      <w:pPr>
        <w:pStyle w:val="Text1"/>
        <w:spacing w:before="60"/>
        <w:ind w:left="0"/>
        <w:rPr>
          <w:noProof/>
          <w:lang w:val="en-IE"/>
        </w:rPr>
      </w:pPr>
      <w:r w:rsidRPr="008D0BAC">
        <w:rPr>
          <w:b/>
          <w:bCs/>
          <w:noProof/>
          <w:sz w:val="18"/>
          <w:szCs w:val="18"/>
        </w:rPr>
        <w:t xml:space="preserve">Table </w:t>
      </w:r>
      <w:r w:rsidRPr="008D0BAC">
        <w:rPr>
          <w:b/>
          <w:bCs/>
          <w:noProof/>
          <w:sz w:val="18"/>
          <w:szCs w:val="18"/>
        </w:rPr>
        <w:fldChar w:fldCharType="begin"/>
      </w:r>
      <w:r w:rsidRPr="00A82E36">
        <w:rPr>
          <w:b/>
          <w:noProof/>
          <w:sz w:val="18"/>
          <w:szCs w:val="18"/>
        </w:rPr>
        <w:instrText xml:space="preserve"> SEQ Table \* ARABIC </w:instrText>
      </w:r>
      <w:r w:rsidRPr="008D0BAC">
        <w:rPr>
          <w:b/>
          <w:bCs/>
          <w:noProof/>
          <w:sz w:val="18"/>
          <w:szCs w:val="18"/>
        </w:rPr>
        <w:fldChar w:fldCharType="separate"/>
      </w:r>
      <w:r w:rsidR="000E7F11">
        <w:rPr>
          <w:b/>
          <w:noProof/>
          <w:sz w:val="18"/>
          <w:szCs w:val="18"/>
        </w:rPr>
        <w:t>7</w:t>
      </w:r>
      <w:r w:rsidRPr="008D0BAC">
        <w:rPr>
          <w:b/>
          <w:bCs/>
          <w:noProof/>
          <w:sz w:val="18"/>
          <w:szCs w:val="18"/>
        </w:rPr>
        <w:fldChar w:fldCharType="end"/>
      </w:r>
      <w:r w:rsidRPr="008D0BAC">
        <w:rPr>
          <w:b/>
          <w:bCs/>
          <w:noProof/>
          <w:sz w:val="18"/>
          <w:szCs w:val="18"/>
        </w:rPr>
        <w:t xml:space="preserve">. </w:t>
      </w:r>
      <w:r w:rsidR="00DB673A" w:rsidRPr="008D0BAC">
        <w:rPr>
          <w:b/>
          <w:bCs/>
          <w:noProof/>
          <w:sz w:val="18"/>
          <w:szCs w:val="18"/>
        </w:rPr>
        <w:t>Labour costs and rates used (</w:t>
      </w:r>
      <w:r w:rsidR="00DB673A" w:rsidRPr="008D0BAC">
        <w:rPr>
          <w:b/>
          <w:noProof/>
          <w:sz w:val="18"/>
          <w:szCs w:val="14"/>
          <w:lang w:val="en-IE"/>
        </w:rPr>
        <w:t>Source</w:t>
      </w:r>
      <w:r w:rsidR="009B0F0F">
        <w:rPr>
          <w:b/>
          <w:noProof/>
          <w:sz w:val="18"/>
          <w:szCs w:val="14"/>
          <w:lang w:val="en-IE"/>
        </w:rPr>
        <w:t>:</w:t>
      </w:r>
      <w:r w:rsidR="00DB673A" w:rsidRPr="008D0BAC">
        <w:rPr>
          <w:b/>
          <w:bCs/>
          <w:iCs/>
          <w:noProof/>
          <w:sz w:val="18"/>
          <w:szCs w:val="18"/>
          <w:lang w:val="en-IE"/>
        </w:rPr>
        <w:t xml:space="preserve"> Eurostat</w:t>
      </w:r>
      <w:r w:rsidR="009B0F0F">
        <w:rPr>
          <w:b/>
          <w:bCs/>
          <w:iCs/>
          <w:noProof/>
          <w:sz w:val="18"/>
          <w:szCs w:val="18"/>
          <w:lang w:val="en-IE"/>
        </w:rPr>
        <w:t xml:space="preserve"> and</w:t>
      </w:r>
      <w:r w:rsidR="0084456A">
        <w:rPr>
          <w:b/>
          <w:bCs/>
          <w:iCs/>
          <w:noProof/>
          <w:sz w:val="18"/>
          <w:szCs w:val="18"/>
          <w:lang w:val="en-IE"/>
        </w:rPr>
        <w:t xml:space="preserve"> </w:t>
      </w:r>
      <w:r w:rsidR="00DB673A" w:rsidRPr="008D0BAC">
        <w:rPr>
          <w:b/>
          <w:bCs/>
          <w:iCs/>
          <w:noProof/>
          <w:sz w:val="18"/>
          <w:szCs w:val="18"/>
          <w:lang w:val="en-IE"/>
        </w:rPr>
        <w:t>Statistics Explained Hourly labour costs page (Table for breakdown by activity)</w:t>
      </w:r>
    </w:p>
    <w:tbl>
      <w:tblPr>
        <w:tblStyle w:val="CV12"/>
        <w:tblW w:w="8715" w:type="dxa"/>
        <w:tblBorders>
          <w:bottom w:val="single" w:sz="12" w:space="0" w:color="00B0F0"/>
        </w:tblBorders>
        <w:tblLook w:val="04A0" w:firstRow="1" w:lastRow="0" w:firstColumn="1" w:lastColumn="0" w:noHBand="0" w:noVBand="1"/>
      </w:tblPr>
      <w:tblGrid>
        <w:gridCol w:w="4425"/>
        <w:gridCol w:w="2355"/>
        <w:gridCol w:w="1935"/>
      </w:tblGrid>
      <w:tr w:rsidR="006C14F6" w:rsidRPr="000C1CCF" w14:paraId="49C032AF" w14:textId="77777777" w:rsidTr="008D0BAC">
        <w:trPr>
          <w:trHeight w:val="390"/>
        </w:trPr>
        <w:tc>
          <w:tcPr>
            <w:tcW w:w="4425" w:type="dxa"/>
            <w:hideMark/>
          </w:tcPr>
          <w:p w14:paraId="2B579E99" w14:textId="77777777" w:rsidR="006C14F6" w:rsidRPr="00DA029C" w:rsidRDefault="006C14F6">
            <w:pPr>
              <w:pStyle w:val="Text1"/>
              <w:spacing w:after="0"/>
              <w:ind w:left="0"/>
              <w:rPr>
                <w:b/>
                <w:bCs/>
                <w:noProof/>
                <w:sz w:val="22"/>
                <w:szCs w:val="22"/>
                <w:lang w:val="en-IE"/>
              </w:rPr>
            </w:pPr>
            <w:r w:rsidRPr="00DA029C">
              <w:rPr>
                <w:b/>
                <w:bCs/>
                <w:noProof/>
                <w:sz w:val="22"/>
                <w:szCs w:val="22"/>
                <w:lang w:val="en-IE"/>
              </w:rPr>
              <w:t>Baseline aggregate</w:t>
            </w:r>
          </w:p>
        </w:tc>
        <w:tc>
          <w:tcPr>
            <w:tcW w:w="2355" w:type="dxa"/>
            <w:hideMark/>
          </w:tcPr>
          <w:p w14:paraId="5B6C294C" w14:textId="77777777" w:rsidR="006C14F6" w:rsidRPr="00DA029C" w:rsidRDefault="006C14F6">
            <w:pPr>
              <w:pStyle w:val="Text1"/>
              <w:spacing w:after="0"/>
              <w:ind w:left="0"/>
              <w:jc w:val="left"/>
              <w:rPr>
                <w:b/>
                <w:bCs/>
                <w:noProof/>
                <w:sz w:val="22"/>
                <w:szCs w:val="22"/>
                <w:lang w:val="en-IE"/>
              </w:rPr>
            </w:pPr>
            <w:r w:rsidRPr="00DA029C">
              <w:rPr>
                <w:b/>
                <w:bCs/>
                <w:noProof/>
                <w:sz w:val="22"/>
                <w:szCs w:val="22"/>
                <w:lang w:val="en-IE"/>
              </w:rPr>
              <w:t xml:space="preserve">Hourly labour cost </w:t>
            </w:r>
            <w:r w:rsidRPr="00DA029C">
              <w:rPr>
                <w:noProof/>
                <w:sz w:val="22"/>
                <w:szCs w:val="22"/>
                <w:lang w:val="en-IE"/>
              </w:rPr>
              <w:t>(2024, EU-27)</w:t>
            </w:r>
          </w:p>
        </w:tc>
        <w:tc>
          <w:tcPr>
            <w:tcW w:w="1935" w:type="dxa"/>
            <w:hideMark/>
          </w:tcPr>
          <w:p w14:paraId="5F794104" w14:textId="77777777" w:rsidR="006C14F6" w:rsidRPr="00DA029C" w:rsidRDefault="006C14F6">
            <w:pPr>
              <w:pStyle w:val="Text1"/>
              <w:spacing w:after="0"/>
              <w:ind w:left="0"/>
              <w:rPr>
                <w:b/>
                <w:bCs/>
                <w:noProof/>
                <w:sz w:val="22"/>
                <w:szCs w:val="22"/>
                <w:lang w:val="en-IE"/>
              </w:rPr>
            </w:pPr>
            <w:r w:rsidRPr="00DA029C">
              <w:rPr>
                <w:b/>
                <w:bCs/>
                <w:noProof/>
                <w:sz w:val="22"/>
                <w:szCs w:val="22"/>
                <w:lang w:val="en-IE"/>
              </w:rPr>
              <w:t xml:space="preserve">Day-rate </w:t>
            </w:r>
            <w:r w:rsidRPr="00DA029C">
              <w:rPr>
                <w:noProof/>
                <w:sz w:val="22"/>
                <w:szCs w:val="22"/>
                <w:lang w:val="en-IE"/>
              </w:rPr>
              <w:t>(8h)</w:t>
            </w:r>
          </w:p>
        </w:tc>
      </w:tr>
    </w:tbl>
    <w:tbl>
      <w:tblPr>
        <w:tblW w:w="9214" w:type="dxa"/>
        <w:tblLook w:val="04A0" w:firstRow="1" w:lastRow="0" w:firstColumn="1" w:lastColumn="0" w:noHBand="0" w:noVBand="1"/>
      </w:tblPr>
      <w:tblGrid>
        <w:gridCol w:w="4425"/>
        <w:gridCol w:w="2355"/>
        <w:gridCol w:w="2434"/>
      </w:tblGrid>
      <w:tr w:rsidR="006C14F6" w:rsidRPr="000C1CCF" w14:paraId="35F1EF4C" w14:textId="77777777" w:rsidTr="00826C82">
        <w:tc>
          <w:tcPr>
            <w:tcW w:w="4425" w:type="dxa"/>
            <w:hideMark/>
          </w:tcPr>
          <w:p w14:paraId="6D65438E" w14:textId="77777777" w:rsidR="006C14F6" w:rsidRPr="00DA029C" w:rsidRDefault="006C14F6">
            <w:pPr>
              <w:pStyle w:val="Text1"/>
              <w:spacing w:before="60" w:after="60"/>
              <w:ind w:left="0"/>
              <w:rPr>
                <w:noProof/>
                <w:sz w:val="22"/>
                <w:szCs w:val="22"/>
                <w:lang w:val="en-IE"/>
              </w:rPr>
            </w:pPr>
            <w:r w:rsidRPr="00DA029C">
              <w:rPr>
                <w:b/>
                <w:bCs/>
                <w:noProof/>
                <w:sz w:val="22"/>
                <w:szCs w:val="22"/>
                <w:lang w:val="en-IE"/>
              </w:rPr>
              <w:t>Services</w:t>
            </w:r>
          </w:p>
        </w:tc>
        <w:tc>
          <w:tcPr>
            <w:tcW w:w="2355" w:type="dxa"/>
            <w:hideMark/>
          </w:tcPr>
          <w:p w14:paraId="60DD9293"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33.3 / h</w:t>
            </w:r>
          </w:p>
        </w:tc>
        <w:tc>
          <w:tcPr>
            <w:tcW w:w="2434" w:type="dxa"/>
            <w:hideMark/>
          </w:tcPr>
          <w:p w14:paraId="2F4CF223"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266.40 / day</w:t>
            </w:r>
          </w:p>
        </w:tc>
      </w:tr>
      <w:tr w:rsidR="006C14F6" w:rsidRPr="000C1CCF" w14:paraId="4B3750CC" w14:textId="77777777" w:rsidTr="00826C82">
        <w:tc>
          <w:tcPr>
            <w:tcW w:w="4425" w:type="dxa"/>
            <w:hideMark/>
          </w:tcPr>
          <w:p w14:paraId="1D76147F" w14:textId="77777777" w:rsidR="006C14F6" w:rsidRPr="00DA029C" w:rsidRDefault="006C14F6">
            <w:pPr>
              <w:pStyle w:val="Text1"/>
              <w:spacing w:before="60" w:after="60"/>
              <w:ind w:left="0"/>
              <w:rPr>
                <w:noProof/>
                <w:sz w:val="22"/>
                <w:szCs w:val="22"/>
                <w:lang w:val="en-IE"/>
              </w:rPr>
            </w:pPr>
            <w:r w:rsidRPr="00DA029C">
              <w:rPr>
                <w:b/>
                <w:bCs/>
                <w:noProof/>
                <w:sz w:val="22"/>
                <w:szCs w:val="22"/>
                <w:lang w:val="en-IE"/>
              </w:rPr>
              <w:t xml:space="preserve">Mainly non-business </w:t>
            </w:r>
            <w:r w:rsidRPr="00DA029C">
              <w:rPr>
                <w:noProof/>
                <w:sz w:val="22"/>
                <w:szCs w:val="22"/>
                <w:lang w:val="en-IE"/>
              </w:rPr>
              <w:t>(excl. public admin)</w:t>
            </w:r>
          </w:p>
        </w:tc>
        <w:tc>
          <w:tcPr>
            <w:tcW w:w="2355" w:type="dxa"/>
            <w:hideMark/>
          </w:tcPr>
          <w:p w14:paraId="55FD1677"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34.2 / h</w:t>
            </w:r>
          </w:p>
        </w:tc>
        <w:tc>
          <w:tcPr>
            <w:tcW w:w="2434" w:type="dxa"/>
            <w:hideMark/>
          </w:tcPr>
          <w:p w14:paraId="6953B443"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273.60 / day</w:t>
            </w:r>
          </w:p>
        </w:tc>
      </w:tr>
      <w:tr w:rsidR="006C14F6" w:rsidRPr="000C1CCF" w14:paraId="2D817DC3" w14:textId="77777777" w:rsidTr="00826C82">
        <w:tc>
          <w:tcPr>
            <w:tcW w:w="4425" w:type="dxa"/>
          </w:tcPr>
          <w:p w14:paraId="24236F83" w14:textId="77777777" w:rsidR="006C14F6" w:rsidRPr="00DA029C" w:rsidRDefault="006C14F6">
            <w:pPr>
              <w:pStyle w:val="Text1"/>
              <w:spacing w:before="60" w:after="60"/>
              <w:ind w:left="0"/>
              <w:rPr>
                <w:b/>
                <w:bCs/>
                <w:noProof/>
                <w:sz w:val="22"/>
                <w:szCs w:val="22"/>
                <w:lang w:val="en-IE"/>
              </w:rPr>
            </w:pPr>
            <w:r w:rsidRPr="00DA029C">
              <w:rPr>
                <w:b/>
                <w:bCs/>
                <w:noProof/>
                <w:sz w:val="22"/>
                <w:szCs w:val="22"/>
                <w:lang w:val="en-IE"/>
              </w:rPr>
              <w:t>Information and communication</w:t>
            </w:r>
          </w:p>
        </w:tc>
        <w:tc>
          <w:tcPr>
            <w:tcW w:w="2355" w:type="dxa"/>
          </w:tcPr>
          <w:p w14:paraId="7E79C06A"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46.3/h</w:t>
            </w:r>
          </w:p>
        </w:tc>
        <w:tc>
          <w:tcPr>
            <w:tcW w:w="2434" w:type="dxa"/>
          </w:tcPr>
          <w:p w14:paraId="1FD79BD2" w14:textId="77777777" w:rsidR="006C14F6" w:rsidRPr="00DA029C" w:rsidRDefault="006C14F6">
            <w:pPr>
              <w:pStyle w:val="Text1"/>
              <w:spacing w:before="60" w:after="60"/>
              <w:ind w:left="0"/>
              <w:rPr>
                <w:noProof/>
                <w:sz w:val="22"/>
                <w:szCs w:val="22"/>
                <w:lang w:val="en-IE"/>
              </w:rPr>
            </w:pPr>
            <w:r w:rsidRPr="00DA029C">
              <w:rPr>
                <w:noProof/>
                <w:sz w:val="22"/>
                <w:szCs w:val="22"/>
                <w:lang w:val="en-IE"/>
              </w:rPr>
              <w:t>EUR 370.40 / day</w:t>
            </w:r>
          </w:p>
        </w:tc>
      </w:tr>
    </w:tbl>
    <w:p w14:paraId="1132E25B" w14:textId="77777777" w:rsidR="00826C82" w:rsidRDefault="00826C82" w:rsidP="006C14F6">
      <w:pPr>
        <w:pStyle w:val="Text1"/>
        <w:ind w:left="0"/>
        <w:rPr>
          <w:noProof/>
          <w:lang w:val="en-IE"/>
        </w:rPr>
      </w:pPr>
    </w:p>
    <w:p w14:paraId="4F5D3064" w14:textId="072E2AF6" w:rsidR="006C14F6" w:rsidRPr="00A54618" w:rsidRDefault="006C14F6" w:rsidP="006C14F6">
      <w:pPr>
        <w:pStyle w:val="Text1"/>
        <w:ind w:left="0"/>
        <w:rPr>
          <w:noProof/>
          <w:lang w:val="en-IE"/>
        </w:rPr>
      </w:pPr>
      <w:r w:rsidRPr="00A54618">
        <w:rPr>
          <w:noProof/>
          <w:lang w:val="en-IE"/>
        </w:rPr>
        <w:t xml:space="preserve">Eurostat’s 2024 reports, for the EU-27, an average hourly labour cost in Information and communication (NACE J) at </w:t>
      </w:r>
      <w:r>
        <w:rPr>
          <w:noProof/>
          <w:lang w:val="en-IE"/>
        </w:rPr>
        <w:t xml:space="preserve">EUR </w:t>
      </w:r>
      <w:r w:rsidRPr="00A54618">
        <w:rPr>
          <w:noProof/>
          <w:lang w:val="en-IE"/>
        </w:rPr>
        <w:t>46.3/hour</w:t>
      </w:r>
      <w:r w:rsidRPr="00A54618">
        <w:rPr>
          <w:rStyle w:val="FootnoteReference"/>
          <w:noProof/>
          <w:lang w:val="en-IE"/>
        </w:rPr>
        <w:footnoteReference w:id="19"/>
      </w:r>
      <w:r w:rsidRPr="00A54618">
        <w:rPr>
          <w:noProof/>
          <w:lang w:val="en-IE"/>
        </w:rPr>
        <w:t>. This level reflects the high ICT skill mix and sits above the overall services economy. Anchoring directly to NACE J provides a relevant comparator for data-intensive activities. To capture systematic differences in skill composition and overhead, modest multipliers are applied to the J baseline, justified by reports on ICT labour market tightness and hard-to-fill vacancies</w:t>
      </w:r>
      <w:r w:rsidRPr="00A54618">
        <w:rPr>
          <w:rStyle w:val="FootnoteReference"/>
          <w:noProof/>
          <w:lang w:val="en-IE"/>
        </w:rPr>
        <w:footnoteReference w:id="20"/>
      </w:r>
      <w:r w:rsidRPr="00A54618">
        <w:rPr>
          <w:noProof/>
          <w:lang w:val="en-IE"/>
        </w:rPr>
        <w:t xml:space="preserve">. </w:t>
      </w:r>
      <w:r w:rsidRPr="003401EC">
        <w:rPr>
          <w:noProof/>
          <w:lang w:val="en-IE"/>
        </w:rPr>
        <w:t xml:space="preserve">Each uplift is a </w:t>
      </w:r>
      <w:r w:rsidRPr="003401EC">
        <w:rPr>
          <w:b/>
          <w:bCs/>
          <w:noProof/>
          <w:lang w:val="en-IE"/>
        </w:rPr>
        <w:t>modelling parameter</w:t>
      </w:r>
      <w:r w:rsidRPr="003401EC">
        <w:rPr>
          <w:noProof/>
          <w:lang w:val="en-IE"/>
        </w:rPr>
        <w:t>, justified by EU evidence on sector pay premia and administrative overheads:</w:t>
      </w:r>
    </w:p>
    <w:p w14:paraId="4516498A" w14:textId="77777777" w:rsidR="006C14F6" w:rsidRDefault="006C14F6" w:rsidP="00913325">
      <w:pPr>
        <w:pStyle w:val="Text1"/>
        <w:numPr>
          <w:ilvl w:val="0"/>
          <w:numId w:val="16"/>
        </w:numPr>
        <w:rPr>
          <w:noProof/>
          <w:lang w:val="en-IE"/>
        </w:rPr>
      </w:pPr>
      <w:r w:rsidRPr="003401EC">
        <w:rPr>
          <w:b/>
          <w:bCs/>
          <w:noProof/>
          <w:lang w:val="en-IE"/>
        </w:rPr>
        <w:t xml:space="preserve">Cloud service providers (CSPs): </w:t>
      </w:r>
      <w:r w:rsidRPr="003401EC">
        <w:rPr>
          <w:noProof/>
          <w:lang w:val="en-IE"/>
        </w:rPr>
        <w:t>ICT activities (</w:t>
      </w:r>
      <w:r w:rsidRPr="00861014">
        <w:rPr>
          <w:noProof/>
          <w:lang w:val="en-IE"/>
        </w:rPr>
        <w:t>NACE J62 – Computer programming, consultancy, and related activities; J63 – Information service activities</w:t>
      </w:r>
      <w:r w:rsidRPr="003401EC">
        <w:rPr>
          <w:noProof/>
          <w:lang w:val="en-IE"/>
        </w:rPr>
        <w:t>) carry higher earnings and labour costs than services overall due to specialist roles (</w:t>
      </w:r>
      <w:r w:rsidRPr="00C76714">
        <w:rPr>
          <w:noProof/>
          <w:lang w:val="en-IE"/>
        </w:rPr>
        <w:t>software engineers, site reliability engineers, cybersecurity</w:t>
      </w:r>
      <w:r w:rsidRPr="003401EC">
        <w:rPr>
          <w:noProof/>
          <w:lang w:val="en-IE"/>
        </w:rPr>
        <w:t xml:space="preserve">). Eurostat SES shows ICT employees are concentrated in higher-skill/tertiary categories; Eurostat reports tight markets for ICT specialists and persistent hard-to-fill vacancies, supporting a positive premium vs. average services. A </w:t>
      </w:r>
      <w:r>
        <w:rPr>
          <w:noProof/>
          <w:lang w:val="en-IE"/>
        </w:rPr>
        <w:t>30</w:t>
      </w:r>
      <w:r w:rsidRPr="003401EC">
        <w:rPr>
          <w:noProof/>
          <w:lang w:val="en-IE"/>
        </w:rPr>
        <w:t>% uplift is set on th</w:t>
      </w:r>
      <w:r>
        <w:rPr>
          <w:noProof/>
          <w:lang w:val="en-IE"/>
        </w:rPr>
        <w:t xml:space="preserve">is </w:t>
      </w:r>
      <w:r w:rsidRPr="003401EC">
        <w:rPr>
          <w:noProof/>
          <w:lang w:val="en-IE"/>
        </w:rPr>
        <w:t>baseline</w:t>
      </w:r>
      <w:r>
        <w:rPr>
          <w:noProof/>
          <w:lang w:val="en-IE"/>
        </w:rPr>
        <w:t>, which</w:t>
      </w:r>
      <w:r w:rsidRPr="003401EC">
        <w:rPr>
          <w:noProof/>
          <w:lang w:val="en-IE"/>
        </w:rPr>
        <w:t xml:space="preserve"> yields to </w:t>
      </w:r>
      <w:r>
        <w:rPr>
          <w:noProof/>
          <w:lang w:val="en-IE"/>
        </w:rPr>
        <w:t>EUR 481</w:t>
      </w:r>
      <w:r w:rsidRPr="003401EC">
        <w:rPr>
          <w:noProof/>
          <w:lang w:val="en-IE"/>
        </w:rPr>
        <w:t>.</w:t>
      </w:r>
      <w:r>
        <w:rPr>
          <w:noProof/>
          <w:lang w:val="en-IE"/>
        </w:rPr>
        <w:t>52</w:t>
      </w:r>
      <w:r w:rsidRPr="003401EC">
        <w:rPr>
          <w:noProof/>
          <w:lang w:val="en-IE"/>
        </w:rPr>
        <w:t>/day (</w:t>
      </w:r>
      <w:r>
        <w:rPr>
          <w:noProof/>
          <w:lang w:val="en-IE"/>
        </w:rPr>
        <w:t>46</w:t>
      </w:r>
      <w:r w:rsidRPr="003401EC">
        <w:rPr>
          <w:noProof/>
          <w:lang w:val="en-IE"/>
        </w:rPr>
        <w:t>.3×8×1.</w:t>
      </w:r>
      <w:r>
        <w:rPr>
          <w:noProof/>
          <w:lang w:val="en-IE"/>
        </w:rPr>
        <w:t>3</w:t>
      </w:r>
      <w:r w:rsidRPr="003401EC">
        <w:rPr>
          <w:noProof/>
          <w:lang w:val="en-IE"/>
        </w:rPr>
        <w:t>)</w:t>
      </w:r>
    </w:p>
    <w:p w14:paraId="03100B7A" w14:textId="3422F883" w:rsidR="006C14F6" w:rsidRPr="00C76784" w:rsidRDefault="006C14F6" w:rsidP="00913325">
      <w:pPr>
        <w:pStyle w:val="Text1"/>
        <w:numPr>
          <w:ilvl w:val="0"/>
          <w:numId w:val="16"/>
        </w:numPr>
        <w:rPr>
          <w:noProof/>
          <w:lang w:val="en-IE"/>
        </w:rPr>
      </w:pPr>
      <w:r w:rsidRPr="00C53761">
        <w:rPr>
          <w:b/>
          <w:bCs/>
          <w:noProof/>
          <w:lang w:val="en-IE"/>
        </w:rPr>
        <w:t xml:space="preserve">AI </w:t>
      </w:r>
      <w:r w:rsidR="48DF4540" w:rsidRPr="00C53761">
        <w:rPr>
          <w:b/>
          <w:bCs/>
          <w:noProof/>
          <w:lang w:val="en-IE"/>
        </w:rPr>
        <w:t xml:space="preserve">computing </w:t>
      </w:r>
      <w:r w:rsidR="7C49D13A" w:rsidRPr="00C53761">
        <w:rPr>
          <w:b/>
          <w:bCs/>
          <w:noProof/>
          <w:lang w:val="en-IE"/>
        </w:rPr>
        <w:t>s</w:t>
      </w:r>
      <w:r w:rsidRPr="00C53761">
        <w:rPr>
          <w:b/>
          <w:bCs/>
          <w:noProof/>
          <w:lang w:val="en-IE"/>
        </w:rPr>
        <w:t xml:space="preserve">ervice </w:t>
      </w:r>
      <w:r w:rsidR="221C6BF8" w:rsidRPr="00C53761">
        <w:rPr>
          <w:b/>
          <w:bCs/>
          <w:noProof/>
          <w:lang w:val="en-IE"/>
        </w:rPr>
        <w:t>p</w:t>
      </w:r>
      <w:r w:rsidRPr="00C53761">
        <w:rPr>
          <w:b/>
          <w:bCs/>
          <w:noProof/>
          <w:lang w:val="en-IE"/>
        </w:rPr>
        <w:t>roviders:</w:t>
      </w:r>
      <w:r w:rsidRPr="294AF3FA">
        <w:rPr>
          <w:rFonts w:eastAsiaTheme="minorEastAsia"/>
          <w:noProof/>
          <w:kern w:val="2"/>
          <w:lang w:val="en-IE"/>
          <w14:ligatures w14:val="standardContextual"/>
        </w:rPr>
        <w:t xml:space="preserve"> </w:t>
      </w:r>
      <w:r w:rsidR="4B3111B8" w:rsidRPr="72DF0F3F">
        <w:rPr>
          <w:rFonts w:eastAsiaTheme="minorEastAsia"/>
          <w:noProof/>
          <w:kern w:val="2"/>
          <w:lang w:val="en-IE"/>
          <w14:ligatures w14:val="standardContextual"/>
        </w:rPr>
        <w:t xml:space="preserve">AI </w:t>
      </w:r>
      <w:r w:rsidR="4B3111B8" w:rsidRPr="6A7FCBF1">
        <w:rPr>
          <w:rFonts w:eastAsiaTheme="minorEastAsia"/>
          <w:noProof/>
          <w:kern w:val="2"/>
          <w:lang w:val="en-IE"/>
          <w14:ligatures w14:val="standardContextual"/>
        </w:rPr>
        <w:t>computing service providers</w:t>
      </w:r>
      <w:r w:rsidRPr="7B4238EB">
        <w:rPr>
          <w:rFonts w:eastAsiaTheme="minorEastAsia"/>
          <w:noProof/>
          <w:kern w:val="2"/>
          <w:lang w:val="en-IE"/>
          <w14:ligatures w14:val="standardContextual"/>
        </w:rPr>
        <w:t xml:space="preserve"> </w:t>
      </w:r>
      <w:r w:rsidR="5EE98A95" w:rsidRPr="6710D341">
        <w:rPr>
          <w:rFonts w:eastAsiaTheme="minorEastAsia"/>
          <w:noProof/>
          <w:kern w:val="2"/>
          <w:lang w:val="en-IE"/>
          <w14:ligatures w14:val="standardContextual"/>
        </w:rPr>
        <w:t xml:space="preserve">offer </w:t>
      </w:r>
      <w:r w:rsidR="5EE98A95" w:rsidRPr="6710D341">
        <w:rPr>
          <w:rFonts w:eastAsiaTheme="minorEastAsia"/>
          <w:noProof/>
          <w:lang w:val="en-IE"/>
        </w:rPr>
        <w:t xml:space="preserve">computing </w:t>
      </w:r>
      <w:r w:rsidRPr="6710D341">
        <w:rPr>
          <w:rFonts w:eastAsiaTheme="minorEastAsia"/>
          <w:noProof/>
          <w:lang w:val="en-IE"/>
        </w:rPr>
        <w:t>infrastructure</w:t>
      </w:r>
      <w:r w:rsidR="5EE98A95" w:rsidRPr="6710D341">
        <w:rPr>
          <w:rFonts w:eastAsiaTheme="minorEastAsia"/>
          <w:noProof/>
          <w:lang w:val="en-IE"/>
        </w:rPr>
        <w:t xml:space="preserve"> for the running (inference) of AI systems</w:t>
      </w:r>
      <w:r w:rsidR="1CFCD625" w:rsidRPr="6710D341">
        <w:rPr>
          <w:rFonts w:eastAsiaTheme="minorEastAsia"/>
          <w:noProof/>
          <w:lang w:val="en-IE"/>
        </w:rPr>
        <w:t>. Due to the complexity</w:t>
      </w:r>
      <w:r w:rsidRPr="6710D341">
        <w:rPr>
          <w:rFonts w:eastAsiaTheme="minorEastAsia"/>
          <w:noProof/>
          <w:lang w:val="en-IE"/>
        </w:rPr>
        <w:t xml:space="preserve"> and </w:t>
      </w:r>
      <w:r w:rsidR="18F63048" w:rsidRPr="6710D341">
        <w:rPr>
          <w:rFonts w:eastAsiaTheme="minorEastAsia"/>
          <w:noProof/>
          <w:lang w:val="en-IE"/>
        </w:rPr>
        <w:t xml:space="preserve">novelty </w:t>
      </w:r>
      <w:r w:rsidR="1CFCD625" w:rsidRPr="6710D341">
        <w:rPr>
          <w:rFonts w:eastAsiaTheme="minorEastAsia"/>
          <w:noProof/>
          <w:lang w:val="en-IE"/>
        </w:rPr>
        <w:t>of running these clusters of AI GPUs, more</w:t>
      </w:r>
      <w:r w:rsidRPr="6710D341">
        <w:rPr>
          <w:rFonts w:eastAsiaTheme="minorEastAsia"/>
          <w:noProof/>
          <w:lang w:val="en-IE"/>
        </w:rPr>
        <w:t xml:space="preserve"> specialised roles </w:t>
      </w:r>
      <w:r w:rsidR="1CFCD625" w:rsidRPr="6710D341">
        <w:rPr>
          <w:rFonts w:eastAsiaTheme="minorEastAsia"/>
          <w:noProof/>
          <w:lang w:val="en-IE"/>
        </w:rPr>
        <w:t>are needed</w:t>
      </w:r>
      <w:r w:rsidR="0B16AB6C" w:rsidRPr="6710D341">
        <w:rPr>
          <w:rFonts w:eastAsiaTheme="minorEastAsia"/>
          <w:noProof/>
          <w:lang w:val="en-IE"/>
        </w:rPr>
        <w:t xml:space="preserve"> compared to those running cloud infrastructures</w:t>
      </w:r>
      <w:r w:rsidR="573B6F7F" w:rsidRPr="6710D341">
        <w:rPr>
          <w:rFonts w:eastAsiaTheme="minorEastAsia"/>
          <w:noProof/>
          <w:lang w:val="en-IE"/>
        </w:rPr>
        <w:t>.</w:t>
      </w:r>
      <w:r w:rsidRPr="6710D341">
        <w:rPr>
          <w:rFonts w:eastAsiaTheme="minorEastAsia"/>
          <w:noProof/>
          <w:lang w:val="en-IE"/>
        </w:rPr>
        <w:t xml:space="preserve"> </w:t>
      </w:r>
      <w:r>
        <w:rPr>
          <w:noProof/>
          <w:lang w:val="en-IE"/>
        </w:rPr>
        <w:t>D</w:t>
      </w:r>
      <w:r w:rsidRPr="00C76784">
        <w:rPr>
          <w:noProof/>
          <w:lang w:val="en-IE"/>
        </w:rPr>
        <w:t>ata show employees in these groups cluster in the highest wage deciles within ICT</w:t>
      </w:r>
      <w:r>
        <w:rPr>
          <w:noProof/>
          <w:lang w:val="en-IE"/>
        </w:rPr>
        <w:t xml:space="preserve"> </w:t>
      </w:r>
      <w:r w:rsidRPr="004A3E64">
        <w:rPr>
          <w:noProof/>
          <w:lang w:val="en-IE"/>
        </w:rPr>
        <w:t>and Eurostat reports structural labour shortages in ICT that are particularly acute for advanced digital skill</w:t>
      </w:r>
      <w:r>
        <w:rPr>
          <w:noProof/>
          <w:lang w:val="en-IE"/>
        </w:rPr>
        <w:t xml:space="preserve">s. </w:t>
      </w:r>
      <w:r w:rsidRPr="00A83E39">
        <w:rPr>
          <w:noProof/>
          <w:lang w:val="en-IE"/>
        </w:rPr>
        <w:t>This systematic premium reflects both scarcity of talent and high value-add of AI services compared with broader ICT</w:t>
      </w:r>
      <w:r>
        <w:rPr>
          <w:rStyle w:val="FootnoteReference"/>
          <w:noProof/>
          <w:lang w:val="en-IE"/>
        </w:rPr>
        <w:footnoteReference w:id="21"/>
      </w:r>
      <w:r w:rsidRPr="00A83E39">
        <w:rPr>
          <w:noProof/>
          <w:lang w:val="en-IE"/>
        </w:rPr>
        <w:t xml:space="preserve">. </w:t>
      </w:r>
      <w:r w:rsidRPr="003401EC">
        <w:rPr>
          <w:noProof/>
          <w:lang w:val="en-IE"/>
        </w:rPr>
        <w:t xml:space="preserve">A </w:t>
      </w:r>
      <w:r>
        <w:rPr>
          <w:noProof/>
          <w:lang w:val="en-IE"/>
        </w:rPr>
        <w:t>45</w:t>
      </w:r>
      <w:r w:rsidRPr="003401EC">
        <w:rPr>
          <w:noProof/>
          <w:lang w:val="en-IE"/>
        </w:rPr>
        <w:t xml:space="preserve">% uplift is set on </w:t>
      </w:r>
      <w:r>
        <w:rPr>
          <w:noProof/>
          <w:lang w:val="en-IE"/>
        </w:rPr>
        <w:t xml:space="preserve">the </w:t>
      </w:r>
      <w:r w:rsidRPr="003401EC">
        <w:rPr>
          <w:noProof/>
          <w:lang w:val="en-IE"/>
        </w:rPr>
        <w:t>baseline</w:t>
      </w:r>
      <w:r>
        <w:rPr>
          <w:noProof/>
          <w:lang w:val="en-IE"/>
        </w:rPr>
        <w:t>, which</w:t>
      </w:r>
      <w:r w:rsidRPr="003401EC">
        <w:rPr>
          <w:noProof/>
          <w:lang w:val="en-IE"/>
        </w:rPr>
        <w:t xml:space="preserve"> yields to </w:t>
      </w:r>
      <w:r>
        <w:rPr>
          <w:noProof/>
          <w:lang w:val="en-IE"/>
        </w:rPr>
        <w:t>EUR 537.08</w:t>
      </w:r>
      <w:r w:rsidRPr="003401EC">
        <w:rPr>
          <w:noProof/>
          <w:lang w:val="en-IE"/>
        </w:rPr>
        <w:t>/day (</w:t>
      </w:r>
      <w:r>
        <w:rPr>
          <w:noProof/>
          <w:lang w:val="en-IE"/>
        </w:rPr>
        <w:t>46</w:t>
      </w:r>
      <w:r w:rsidRPr="003401EC">
        <w:rPr>
          <w:noProof/>
          <w:lang w:val="en-IE"/>
        </w:rPr>
        <w:t>.3×8×1.</w:t>
      </w:r>
      <w:r>
        <w:rPr>
          <w:noProof/>
          <w:lang w:val="en-IE"/>
        </w:rPr>
        <w:t>45</w:t>
      </w:r>
      <w:r w:rsidRPr="003401EC">
        <w:rPr>
          <w:noProof/>
          <w:lang w:val="en-IE"/>
        </w:rPr>
        <w:t>)</w:t>
      </w:r>
    </w:p>
    <w:p w14:paraId="199500B8" w14:textId="6AE85537" w:rsidR="006C14F6" w:rsidRPr="003401EC" w:rsidRDefault="006C14F6" w:rsidP="00913325">
      <w:pPr>
        <w:pStyle w:val="Text1"/>
        <w:numPr>
          <w:ilvl w:val="0"/>
          <w:numId w:val="16"/>
        </w:numPr>
        <w:rPr>
          <w:noProof/>
          <w:lang w:val="en-IE"/>
        </w:rPr>
      </w:pPr>
      <w:r w:rsidRPr="003401EC">
        <w:rPr>
          <w:b/>
          <w:bCs/>
          <w:noProof/>
          <w:lang w:val="en-IE"/>
        </w:rPr>
        <w:t>Data</w:t>
      </w:r>
      <w:r w:rsidR="00007637">
        <w:rPr>
          <w:b/>
          <w:bCs/>
          <w:noProof/>
          <w:lang w:val="en-IE"/>
        </w:rPr>
        <w:t xml:space="preserve"> </w:t>
      </w:r>
      <w:r w:rsidRPr="003401EC">
        <w:rPr>
          <w:b/>
          <w:bCs/>
          <w:noProof/>
          <w:lang w:val="en-IE"/>
        </w:rPr>
        <w:t xml:space="preserve">centre operators: </w:t>
      </w:r>
      <w:r w:rsidRPr="003401EC">
        <w:rPr>
          <w:noProof/>
          <w:lang w:val="en-IE"/>
        </w:rPr>
        <w:t xml:space="preserve">DC operations mix technical operators, electricians, facility engineers and IT technicians. The mix is more operations-heavy and less developer-heavy than CSP software teams, so the premium over services is lower than for CSPs but still positive relative to the broad aggregate due to 24/7 operations and specialised compliance (e.g., uptime, safety). A </w:t>
      </w:r>
      <w:r w:rsidR="00FB6069">
        <w:rPr>
          <w:noProof/>
          <w:lang w:val="en-IE"/>
        </w:rPr>
        <w:t>8</w:t>
      </w:r>
      <w:r w:rsidRPr="003401EC">
        <w:rPr>
          <w:noProof/>
          <w:lang w:val="en-IE"/>
        </w:rPr>
        <w:t>% uplift positions DC op</w:t>
      </w:r>
      <w:r>
        <w:rPr>
          <w:noProof/>
          <w:lang w:val="en-IE"/>
        </w:rPr>
        <w:t>eration</w:t>
      </w:r>
      <w:r w:rsidRPr="003401EC">
        <w:rPr>
          <w:noProof/>
          <w:lang w:val="en-IE"/>
        </w:rPr>
        <w:t xml:space="preserve">s below CSPs but above average </w:t>
      </w:r>
      <w:r>
        <w:rPr>
          <w:noProof/>
          <w:lang w:val="en-IE"/>
        </w:rPr>
        <w:t xml:space="preserve">ICT </w:t>
      </w:r>
      <w:r w:rsidRPr="003401EC">
        <w:rPr>
          <w:noProof/>
          <w:lang w:val="en-IE"/>
        </w:rPr>
        <w:t>services, consistent with observed role mixes in NACE J63.11. This +</w:t>
      </w:r>
      <w:r>
        <w:rPr>
          <w:noProof/>
          <w:lang w:val="en-IE"/>
        </w:rPr>
        <w:t>8</w:t>
      </w:r>
      <w:r w:rsidRPr="003401EC">
        <w:rPr>
          <w:noProof/>
          <w:lang w:val="en-IE"/>
        </w:rPr>
        <w:t xml:space="preserve">% leads to </w:t>
      </w:r>
      <w:r>
        <w:rPr>
          <w:noProof/>
          <w:lang w:val="en-IE"/>
        </w:rPr>
        <w:t>EUR 400</w:t>
      </w:r>
      <w:r w:rsidRPr="003401EC">
        <w:rPr>
          <w:noProof/>
          <w:lang w:val="en-IE"/>
        </w:rPr>
        <w:t>.</w:t>
      </w:r>
      <w:r>
        <w:rPr>
          <w:noProof/>
          <w:lang w:val="en-IE"/>
        </w:rPr>
        <w:t>03</w:t>
      </w:r>
      <w:r w:rsidRPr="003401EC">
        <w:rPr>
          <w:noProof/>
          <w:lang w:val="en-IE"/>
        </w:rPr>
        <w:t>/day (</w:t>
      </w:r>
      <w:r>
        <w:rPr>
          <w:noProof/>
          <w:lang w:val="en-IE"/>
        </w:rPr>
        <w:t>46</w:t>
      </w:r>
      <w:r w:rsidRPr="003401EC">
        <w:rPr>
          <w:noProof/>
          <w:lang w:val="en-IE"/>
        </w:rPr>
        <w:t>.3×8×1.</w:t>
      </w:r>
      <w:r>
        <w:rPr>
          <w:noProof/>
          <w:lang w:val="en-IE"/>
        </w:rPr>
        <w:t>08</w:t>
      </w:r>
      <w:r w:rsidRPr="003401EC">
        <w:rPr>
          <w:noProof/>
          <w:lang w:val="en-IE"/>
        </w:rPr>
        <w:t>).</w:t>
      </w:r>
    </w:p>
    <w:p w14:paraId="04494B92" w14:textId="77777777" w:rsidR="006C14F6" w:rsidRPr="003401EC" w:rsidRDefault="006C14F6" w:rsidP="00913325">
      <w:pPr>
        <w:pStyle w:val="Text1"/>
        <w:numPr>
          <w:ilvl w:val="0"/>
          <w:numId w:val="16"/>
        </w:numPr>
        <w:rPr>
          <w:noProof/>
          <w:lang w:val="en-IE"/>
        </w:rPr>
      </w:pPr>
      <w:r w:rsidRPr="003401EC">
        <w:rPr>
          <w:b/>
          <w:bCs/>
          <w:noProof/>
          <w:lang w:val="en-IE"/>
        </w:rPr>
        <w:t xml:space="preserve">National public authorities: </w:t>
      </w:r>
      <w:r w:rsidRPr="008E277D">
        <w:rPr>
          <w:noProof/>
          <w:lang w:val="en-IE"/>
        </w:rPr>
        <w:t xml:space="preserve">Eurostat does not publish NACE O separately in this dataset, but reports </w:t>
      </w:r>
      <w:r>
        <w:rPr>
          <w:noProof/>
          <w:lang w:val="en-IE"/>
        </w:rPr>
        <w:t xml:space="preserve">EUR </w:t>
      </w:r>
      <w:r w:rsidRPr="008E277D">
        <w:rPr>
          <w:noProof/>
          <w:lang w:val="en-IE"/>
        </w:rPr>
        <w:t>34.2/h for the “non-business economy excl. O” aggregate</w:t>
      </w:r>
      <w:r>
        <w:rPr>
          <w:noProof/>
          <w:lang w:val="en-IE"/>
        </w:rPr>
        <w:t xml:space="preserve">, with </w:t>
      </w:r>
      <w:r w:rsidRPr="003401EC">
        <w:rPr>
          <w:noProof/>
          <w:lang w:val="en-IE"/>
        </w:rPr>
        <w:t xml:space="preserve">a figure for the mainly non-business economy (excl. public administration) as </w:t>
      </w:r>
      <w:r>
        <w:rPr>
          <w:noProof/>
          <w:lang w:val="en-IE"/>
        </w:rPr>
        <w:t xml:space="preserve">EUR </w:t>
      </w:r>
      <w:r w:rsidRPr="003401EC">
        <w:rPr>
          <w:noProof/>
          <w:lang w:val="en-IE"/>
        </w:rPr>
        <w:t xml:space="preserve">34.2/h. We apply a small +5% uplift to proxy: (i) policy/project staff engaged in inter-institutional coordination (above average non-business roles), and (ii) inclusion of specialist grades not perfectly captured by the “excl. public administration” aggregate. This remains conservative relative to some MS where public-sector employer costs are higher than the EU average. This +5% on non-business (excl. public admin) leads to </w:t>
      </w:r>
      <w:r>
        <w:rPr>
          <w:noProof/>
          <w:lang w:val="en-IE"/>
        </w:rPr>
        <w:t xml:space="preserve">EUR </w:t>
      </w:r>
      <w:r w:rsidRPr="003401EC">
        <w:rPr>
          <w:noProof/>
          <w:lang w:val="en-IE"/>
        </w:rPr>
        <w:t>287.28/day (34.2×8×1.05).</w:t>
      </w:r>
    </w:p>
    <w:p w14:paraId="0AE4D76A" w14:textId="77777777" w:rsidR="006C14F6" w:rsidRDefault="006C14F6" w:rsidP="00913325">
      <w:pPr>
        <w:pStyle w:val="Text1"/>
        <w:numPr>
          <w:ilvl w:val="0"/>
          <w:numId w:val="16"/>
        </w:numPr>
        <w:rPr>
          <w:noProof/>
          <w:lang w:val="en-IE"/>
        </w:rPr>
      </w:pPr>
      <w:r w:rsidRPr="003401EC">
        <w:rPr>
          <w:b/>
          <w:bCs/>
          <w:noProof/>
          <w:lang w:val="en-IE"/>
        </w:rPr>
        <w:t xml:space="preserve">European Commission: </w:t>
      </w:r>
      <w:r w:rsidRPr="003401EC">
        <w:rPr>
          <w:noProof/>
          <w:lang w:val="en-IE"/>
        </w:rPr>
        <w:t xml:space="preserve">Coordination at EU level entails multilingual drafting, legal vetting, translation, dissemination, and inter-DG and MS engagement. Relative to Member-State averages for non-business activities, Commission project teams typically face higher overhead (procurement, </w:t>
      </w:r>
      <w:r>
        <w:rPr>
          <w:noProof/>
          <w:lang w:val="en-IE"/>
        </w:rPr>
        <w:t>quality assurance</w:t>
      </w:r>
      <w:r w:rsidRPr="003401EC">
        <w:rPr>
          <w:noProof/>
          <w:lang w:val="en-IE"/>
        </w:rPr>
        <w:t xml:space="preserve">, inter-service consultation). The +15% factor is a policy-evaluation convention to reflect those overheads while staying close to EU-wide non-business costs. Using the baselines and </w:t>
      </w:r>
      <w:r w:rsidRPr="000847C2">
        <w:rPr>
          <w:noProof/>
          <w:lang w:val="en-IE"/>
        </w:rPr>
        <w:t>multipliers above +15% on non-business (excl. public admin)</w:t>
      </w:r>
      <w:r w:rsidRPr="003401EC">
        <w:rPr>
          <w:noProof/>
          <w:lang w:val="en-IE"/>
        </w:rPr>
        <w:t xml:space="preserve"> </w:t>
      </w:r>
      <w:r>
        <w:rPr>
          <w:noProof/>
          <w:lang w:val="en-IE"/>
        </w:rPr>
        <w:t>leads to</w:t>
      </w:r>
      <w:r w:rsidRPr="003401EC">
        <w:rPr>
          <w:noProof/>
          <w:lang w:val="en-IE"/>
        </w:rPr>
        <w:t xml:space="preserve"> </w:t>
      </w:r>
      <w:r>
        <w:rPr>
          <w:noProof/>
          <w:lang w:val="en-IE"/>
        </w:rPr>
        <w:t xml:space="preserve">EUR </w:t>
      </w:r>
      <w:r w:rsidRPr="003401EC">
        <w:rPr>
          <w:noProof/>
          <w:lang w:val="en-IE"/>
        </w:rPr>
        <w:t>314.64/day (34.2×8×1.</w:t>
      </w:r>
      <w:r w:rsidRPr="699885E1">
        <w:rPr>
          <w:noProof/>
          <w:lang w:val="en-IE"/>
        </w:rPr>
        <w:t>15).</w:t>
      </w:r>
    </w:p>
    <w:p w14:paraId="1AE48486" w14:textId="686B15B2" w:rsidR="00723478" w:rsidRPr="0025208F" w:rsidRDefault="00723478" w:rsidP="00913325">
      <w:pPr>
        <w:pStyle w:val="Text1"/>
        <w:numPr>
          <w:ilvl w:val="0"/>
          <w:numId w:val="16"/>
        </w:numPr>
        <w:rPr>
          <w:noProof/>
          <w:lang w:val="en-IE"/>
        </w:rPr>
      </w:pPr>
      <w:r>
        <w:rPr>
          <w:b/>
          <w:bCs/>
          <w:noProof/>
          <w:lang w:val="en-IE"/>
        </w:rPr>
        <w:t>Private</w:t>
      </w:r>
      <w:r w:rsidR="007F2C90">
        <w:rPr>
          <w:b/>
          <w:bCs/>
          <w:noProof/>
          <w:lang w:val="en-IE"/>
        </w:rPr>
        <w:t xml:space="preserve"> sector essential entities </w:t>
      </w:r>
      <w:r w:rsidR="00511654">
        <w:rPr>
          <w:b/>
          <w:bCs/>
          <w:noProof/>
          <w:lang w:val="en-IE"/>
        </w:rPr>
        <w:t xml:space="preserve">operating in </w:t>
      </w:r>
      <w:r w:rsidR="007F2C90">
        <w:rPr>
          <w:b/>
          <w:bCs/>
          <w:noProof/>
          <w:lang w:val="en-IE"/>
        </w:rPr>
        <w:t xml:space="preserve">sectors listed in Annex I of NIS2: </w:t>
      </w:r>
      <w:r w:rsidR="0066410A">
        <w:rPr>
          <w:noProof/>
          <w:lang w:val="en-IE"/>
        </w:rPr>
        <w:t xml:space="preserve">Annex I NIS2 lists the following sectors </w:t>
      </w:r>
      <w:r w:rsidR="005D0C34">
        <w:rPr>
          <w:noProof/>
          <w:lang w:val="en-IE"/>
        </w:rPr>
        <w:t>as highly critical sectors: Banking</w:t>
      </w:r>
      <w:r w:rsidR="0084003D">
        <w:rPr>
          <w:noProof/>
          <w:lang w:val="en-IE"/>
        </w:rPr>
        <w:t xml:space="preserve"> and Financial market infrastructures (NACE Rev2 </w:t>
      </w:r>
      <w:r w:rsidR="0032361C">
        <w:rPr>
          <w:noProof/>
          <w:lang w:val="en-IE"/>
        </w:rPr>
        <w:t xml:space="preserve">- </w:t>
      </w:r>
      <w:r w:rsidR="0084003D">
        <w:rPr>
          <w:noProof/>
          <w:lang w:val="en-IE"/>
        </w:rPr>
        <w:t>K), Health (</w:t>
      </w:r>
      <w:r w:rsidR="00993BCB">
        <w:rPr>
          <w:noProof/>
          <w:lang w:val="en-IE"/>
        </w:rPr>
        <w:t>NACE Rev2</w:t>
      </w:r>
      <w:r w:rsidR="00823F1A">
        <w:rPr>
          <w:noProof/>
          <w:lang w:val="en-IE"/>
        </w:rPr>
        <w:t xml:space="preserve"> -</w:t>
      </w:r>
      <w:r w:rsidR="00993BCB">
        <w:rPr>
          <w:noProof/>
          <w:lang w:val="en-IE"/>
        </w:rPr>
        <w:t xml:space="preserve"> Q), Drinking Water and Waste water</w:t>
      </w:r>
      <w:r w:rsidR="00823F1A">
        <w:rPr>
          <w:noProof/>
          <w:lang w:val="en-IE"/>
        </w:rPr>
        <w:t xml:space="preserve"> (</w:t>
      </w:r>
      <w:r w:rsidR="00A30F7F">
        <w:rPr>
          <w:noProof/>
          <w:lang w:val="en-IE"/>
        </w:rPr>
        <w:t>NACE</w:t>
      </w:r>
      <w:r w:rsidR="00823F1A">
        <w:rPr>
          <w:noProof/>
          <w:lang w:val="en-IE"/>
        </w:rPr>
        <w:t xml:space="preserve"> Rev2</w:t>
      </w:r>
      <w:r w:rsidR="00A30F7F">
        <w:rPr>
          <w:noProof/>
          <w:lang w:val="en-IE"/>
        </w:rPr>
        <w:t xml:space="preserve"> </w:t>
      </w:r>
      <w:r w:rsidR="00823F1A">
        <w:rPr>
          <w:noProof/>
          <w:lang w:val="en-IE"/>
        </w:rPr>
        <w:t xml:space="preserve">- </w:t>
      </w:r>
      <w:r w:rsidR="009854CB">
        <w:rPr>
          <w:noProof/>
          <w:lang w:val="en-IE"/>
        </w:rPr>
        <w:t>E</w:t>
      </w:r>
      <w:r w:rsidR="00823F1A">
        <w:rPr>
          <w:noProof/>
          <w:lang w:val="en-IE"/>
        </w:rPr>
        <w:t xml:space="preserve">). </w:t>
      </w:r>
      <w:r w:rsidR="00823F1A" w:rsidRPr="0025208F">
        <w:rPr>
          <w:noProof/>
          <w:lang w:val="en-IE"/>
        </w:rPr>
        <w:t>Energy (NACE Rev2 - D), Transport (NACE Rev2 – H), Digital infrastructure</w:t>
      </w:r>
      <w:r w:rsidR="009854CB">
        <w:rPr>
          <w:noProof/>
          <w:lang w:val="en-IE"/>
        </w:rPr>
        <w:t xml:space="preserve"> and ICT Service Management</w:t>
      </w:r>
      <w:r w:rsidR="00823F1A" w:rsidRPr="0025208F">
        <w:rPr>
          <w:noProof/>
          <w:lang w:val="en-IE"/>
        </w:rPr>
        <w:t xml:space="preserve"> (NACE </w:t>
      </w:r>
      <w:r w:rsidR="00823F1A" w:rsidRPr="00032172">
        <w:rPr>
          <w:noProof/>
          <w:lang w:val="en-IE"/>
        </w:rPr>
        <w:t xml:space="preserve">REv2 </w:t>
      </w:r>
      <w:r w:rsidR="004907CF">
        <w:rPr>
          <w:noProof/>
          <w:lang w:val="en-IE"/>
        </w:rPr>
        <w:t xml:space="preserve">- </w:t>
      </w:r>
      <w:r w:rsidR="00823F1A" w:rsidRPr="00032172">
        <w:rPr>
          <w:noProof/>
          <w:lang w:val="en-IE"/>
        </w:rPr>
        <w:t>J)</w:t>
      </w:r>
      <w:r w:rsidR="005E19DC">
        <w:rPr>
          <w:noProof/>
          <w:lang w:val="en-IE"/>
        </w:rPr>
        <w:t>, Public Administration and defence (NACE Rev2 – O) and Space</w:t>
      </w:r>
      <w:r w:rsidR="002436C3">
        <w:rPr>
          <w:noProof/>
          <w:lang w:val="en-IE"/>
        </w:rPr>
        <w:t xml:space="preserve"> (NACE Rev2 – C)</w:t>
      </w:r>
      <w:r w:rsidR="003C1F83">
        <w:rPr>
          <w:noProof/>
          <w:lang w:val="en-IE"/>
        </w:rPr>
        <w:t xml:space="preserve">. The values that </w:t>
      </w:r>
      <w:r w:rsidR="00B72E0E">
        <w:rPr>
          <w:noProof/>
          <w:lang w:val="en-IE"/>
        </w:rPr>
        <w:t>Eurostat yields for this query for 2024, the most current data is 46.8 €/hour</w:t>
      </w:r>
      <w:r w:rsidR="00B72E0E">
        <w:rPr>
          <w:rStyle w:val="FootnoteReference"/>
          <w:noProof/>
          <w:lang w:val="en-IE"/>
        </w:rPr>
        <w:footnoteReference w:id="22"/>
      </w:r>
    </w:p>
    <w:p w14:paraId="0828B9E7" w14:textId="77777777" w:rsidR="006C14F6" w:rsidRPr="003401EC" w:rsidRDefault="006C14F6" w:rsidP="006C14F6">
      <w:pPr>
        <w:pStyle w:val="Text1"/>
        <w:ind w:left="0"/>
        <w:rPr>
          <w:noProof/>
          <w:lang w:val="en-IE"/>
        </w:rPr>
      </w:pPr>
      <w:r w:rsidRPr="003401EC">
        <w:rPr>
          <w:noProof/>
          <w:lang w:val="en-IE"/>
        </w:rPr>
        <w:t xml:space="preserve">Using the baselines and multipliers above </w:t>
      </w:r>
    </w:p>
    <w:p w14:paraId="1D7095D5" w14:textId="77777777" w:rsidR="006C14F6" w:rsidRPr="00DA029C" w:rsidRDefault="006C14F6" w:rsidP="00913325">
      <w:pPr>
        <w:pStyle w:val="Text1"/>
        <w:numPr>
          <w:ilvl w:val="0"/>
          <w:numId w:val="7"/>
        </w:numPr>
        <w:spacing w:after="0"/>
        <w:ind w:left="714" w:hanging="357"/>
        <w:rPr>
          <w:noProof/>
          <w:lang w:val="fr-BE"/>
        </w:rPr>
      </w:pPr>
      <w:r w:rsidRPr="00DA029C">
        <w:rPr>
          <w:noProof/>
          <w:lang w:val="fr-BE"/>
        </w:rPr>
        <w:t>CSPs: 46.3 EUR /h×8×1.30 = EUR 481.52 / day.</w:t>
      </w:r>
    </w:p>
    <w:p w14:paraId="0330C7BA" w14:textId="526C5EA3" w:rsidR="006C14F6" w:rsidRDefault="006C14F6" w:rsidP="00913325">
      <w:pPr>
        <w:pStyle w:val="Text1"/>
        <w:numPr>
          <w:ilvl w:val="0"/>
          <w:numId w:val="7"/>
        </w:numPr>
        <w:spacing w:after="0"/>
        <w:ind w:left="714" w:hanging="357"/>
        <w:rPr>
          <w:noProof/>
          <w:lang w:val="en-IE"/>
        </w:rPr>
      </w:pPr>
      <w:r w:rsidRPr="003401EC">
        <w:rPr>
          <w:noProof/>
          <w:lang w:val="en-IE"/>
        </w:rPr>
        <w:t xml:space="preserve">Data-centre operators: </w:t>
      </w:r>
      <w:r>
        <w:rPr>
          <w:noProof/>
          <w:lang w:val="en-IE"/>
        </w:rPr>
        <w:t>46</w:t>
      </w:r>
      <w:r w:rsidRPr="003401EC">
        <w:rPr>
          <w:noProof/>
          <w:lang w:val="en-IE"/>
        </w:rPr>
        <w:t>.3 </w:t>
      </w:r>
      <w:r>
        <w:rPr>
          <w:noProof/>
          <w:lang w:val="en-IE"/>
        </w:rPr>
        <w:t xml:space="preserve">EUR </w:t>
      </w:r>
      <w:r w:rsidRPr="003401EC">
        <w:rPr>
          <w:noProof/>
          <w:lang w:val="en-IE"/>
        </w:rPr>
        <w:t>/h×8×1.</w:t>
      </w:r>
      <w:r>
        <w:rPr>
          <w:noProof/>
          <w:lang w:val="en-IE"/>
        </w:rPr>
        <w:t xml:space="preserve">08 </w:t>
      </w:r>
      <w:r w:rsidRPr="003401EC">
        <w:rPr>
          <w:noProof/>
          <w:lang w:val="en-IE"/>
        </w:rPr>
        <w:t xml:space="preserve">= </w:t>
      </w:r>
      <w:r>
        <w:rPr>
          <w:noProof/>
          <w:lang w:val="en-IE"/>
        </w:rPr>
        <w:t xml:space="preserve">EUR </w:t>
      </w:r>
      <w:r w:rsidRPr="00794FA6">
        <w:rPr>
          <w:noProof/>
          <w:lang w:val="en-IE"/>
        </w:rPr>
        <w:t xml:space="preserve">400.03 </w:t>
      </w:r>
      <w:r w:rsidRPr="003401EC">
        <w:rPr>
          <w:noProof/>
          <w:lang w:val="en-IE"/>
        </w:rPr>
        <w:t>/ day.</w:t>
      </w:r>
    </w:p>
    <w:p w14:paraId="016AD8A8" w14:textId="77777777" w:rsidR="006C14F6" w:rsidRPr="003401EC" w:rsidRDefault="006C14F6" w:rsidP="00913325">
      <w:pPr>
        <w:pStyle w:val="Text1"/>
        <w:numPr>
          <w:ilvl w:val="0"/>
          <w:numId w:val="7"/>
        </w:numPr>
        <w:spacing w:after="0"/>
        <w:ind w:left="714" w:hanging="357"/>
        <w:rPr>
          <w:noProof/>
          <w:lang w:val="en-IE"/>
        </w:rPr>
      </w:pPr>
      <w:r>
        <w:rPr>
          <w:noProof/>
          <w:lang w:val="en-IE"/>
        </w:rPr>
        <w:t>AI service providers: 46</w:t>
      </w:r>
      <w:r w:rsidRPr="003401EC">
        <w:rPr>
          <w:noProof/>
          <w:lang w:val="en-IE"/>
        </w:rPr>
        <w:t>.3 </w:t>
      </w:r>
      <w:r>
        <w:rPr>
          <w:noProof/>
          <w:lang w:val="en-IE"/>
        </w:rPr>
        <w:t xml:space="preserve">EUR </w:t>
      </w:r>
      <w:r w:rsidRPr="003401EC">
        <w:rPr>
          <w:noProof/>
          <w:lang w:val="en-IE"/>
        </w:rPr>
        <w:t>/h×8×1.</w:t>
      </w:r>
      <w:r>
        <w:rPr>
          <w:noProof/>
          <w:lang w:val="en-IE"/>
        </w:rPr>
        <w:t xml:space="preserve">45 = EUR </w:t>
      </w:r>
      <w:r w:rsidRPr="001B1BDF">
        <w:rPr>
          <w:noProof/>
          <w:lang w:val="en-IE"/>
        </w:rPr>
        <w:t>537.08</w:t>
      </w:r>
      <w:r>
        <w:rPr>
          <w:noProof/>
          <w:lang w:val="en-IE"/>
        </w:rPr>
        <w:t xml:space="preserve"> / day</w:t>
      </w:r>
    </w:p>
    <w:p w14:paraId="7B064D57" w14:textId="77777777" w:rsidR="006C14F6" w:rsidRPr="003401EC" w:rsidRDefault="006C14F6" w:rsidP="00913325">
      <w:pPr>
        <w:pStyle w:val="Text1"/>
        <w:numPr>
          <w:ilvl w:val="0"/>
          <w:numId w:val="7"/>
        </w:numPr>
        <w:spacing w:after="0"/>
        <w:ind w:left="714" w:hanging="357"/>
        <w:rPr>
          <w:noProof/>
          <w:lang w:val="en-IE"/>
        </w:rPr>
      </w:pPr>
      <w:r w:rsidRPr="003401EC">
        <w:rPr>
          <w:noProof/>
          <w:lang w:val="en-IE"/>
        </w:rPr>
        <w:t>National authorities: 34.2 </w:t>
      </w:r>
      <w:r>
        <w:rPr>
          <w:noProof/>
          <w:lang w:val="en-IE"/>
        </w:rPr>
        <w:t xml:space="preserve">EUR </w:t>
      </w:r>
      <w:r w:rsidRPr="003401EC">
        <w:rPr>
          <w:noProof/>
          <w:lang w:val="en-IE"/>
        </w:rPr>
        <w:t>/h×8×1.05</w:t>
      </w:r>
      <w:r>
        <w:rPr>
          <w:noProof/>
          <w:lang w:val="en-IE"/>
        </w:rPr>
        <w:t xml:space="preserve"> </w:t>
      </w:r>
      <w:r w:rsidRPr="003401EC">
        <w:rPr>
          <w:noProof/>
          <w:lang w:val="en-IE"/>
        </w:rPr>
        <w:t xml:space="preserve">= </w:t>
      </w:r>
      <w:r>
        <w:rPr>
          <w:noProof/>
          <w:lang w:val="en-IE"/>
        </w:rPr>
        <w:t xml:space="preserve">EUR </w:t>
      </w:r>
      <w:r w:rsidRPr="003401EC">
        <w:rPr>
          <w:noProof/>
          <w:lang w:val="en-IE"/>
        </w:rPr>
        <w:t>287.28 / day.</w:t>
      </w:r>
    </w:p>
    <w:p w14:paraId="3BD20F2A" w14:textId="1D30C506" w:rsidR="006C14F6" w:rsidRPr="00DE21E2" w:rsidRDefault="006C14F6" w:rsidP="00913325">
      <w:pPr>
        <w:pStyle w:val="Text1"/>
        <w:numPr>
          <w:ilvl w:val="0"/>
          <w:numId w:val="7"/>
        </w:numPr>
        <w:ind w:left="714" w:hanging="357"/>
        <w:rPr>
          <w:noProof/>
          <w:lang w:val="fr-FR"/>
        </w:rPr>
      </w:pPr>
      <w:r w:rsidRPr="364D55B2">
        <w:rPr>
          <w:noProof/>
          <w:lang w:val="fr-FR"/>
        </w:rPr>
        <w:t>European Commission: 34.2 EUR /h×8×1.</w:t>
      </w:r>
      <w:r w:rsidR="005152D8" w:rsidRPr="364D55B2">
        <w:rPr>
          <w:noProof/>
          <w:lang w:val="fr-FR"/>
        </w:rPr>
        <w:t>15</w:t>
      </w:r>
      <w:r w:rsidRPr="364D55B2">
        <w:rPr>
          <w:noProof/>
          <w:lang w:val="fr-FR"/>
        </w:rPr>
        <w:t xml:space="preserve"> = EUR 3</w:t>
      </w:r>
      <w:r w:rsidR="005152D8" w:rsidRPr="364D55B2">
        <w:rPr>
          <w:noProof/>
          <w:lang w:val="fr-FR"/>
        </w:rPr>
        <w:t>14</w:t>
      </w:r>
      <w:r w:rsidRPr="364D55B2">
        <w:rPr>
          <w:noProof/>
          <w:lang w:val="fr-FR"/>
        </w:rPr>
        <w:t>.</w:t>
      </w:r>
      <w:r w:rsidR="005152D8" w:rsidRPr="364D55B2">
        <w:rPr>
          <w:noProof/>
          <w:lang w:val="fr-FR"/>
        </w:rPr>
        <w:t>6</w:t>
      </w:r>
      <w:r w:rsidRPr="364D55B2">
        <w:rPr>
          <w:noProof/>
          <w:lang w:val="fr-FR"/>
        </w:rPr>
        <w:t>4 / day.</w:t>
      </w:r>
    </w:p>
    <w:p w14:paraId="049CA224" w14:textId="77777777" w:rsidR="006C14F6" w:rsidRPr="003401EC" w:rsidRDefault="006C14F6" w:rsidP="006C14F6">
      <w:pPr>
        <w:pStyle w:val="Text1"/>
        <w:ind w:left="0"/>
        <w:rPr>
          <w:noProof/>
          <w:lang w:val="en-IE"/>
        </w:rPr>
      </w:pPr>
      <w:r w:rsidRPr="00921139">
        <w:rPr>
          <w:b/>
          <w:noProof/>
          <w:lang w:val="en-IE"/>
        </w:rPr>
        <w:t>External contractor rates</w:t>
      </w:r>
      <w:r>
        <w:rPr>
          <w:noProof/>
          <w:lang w:val="en-IE"/>
        </w:rPr>
        <w:t xml:space="preserve">: are set at 50% over external </w:t>
      </w:r>
      <w:r w:rsidDel="00916971">
        <w:rPr>
          <w:noProof/>
          <w:lang w:val="en-IE"/>
        </w:rPr>
        <w:t xml:space="preserve">AI </w:t>
      </w:r>
      <w:r>
        <w:rPr>
          <w:noProof/>
          <w:lang w:val="en-IE"/>
        </w:rPr>
        <w:t>developer, EUR 537.08/day x 1.5= EUR 805,62/day</w:t>
      </w:r>
      <w:r w:rsidDel="00C96869">
        <w:rPr>
          <w:noProof/>
          <w:lang w:val="en-IE"/>
        </w:rPr>
        <w:t>.</w:t>
      </w:r>
    </w:p>
    <w:p w14:paraId="0804F76E" w14:textId="77777777" w:rsidR="006C14F6" w:rsidRPr="003401EC" w:rsidRDefault="006C14F6" w:rsidP="006C14F6">
      <w:pPr>
        <w:pStyle w:val="Text1"/>
        <w:ind w:left="0"/>
        <w:rPr>
          <w:noProof/>
          <w:lang w:val="en-IE"/>
        </w:rPr>
      </w:pPr>
      <w:r w:rsidRPr="003401EC">
        <w:rPr>
          <w:b/>
          <w:noProof/>
          <w:lang w:val="en-IE"/>
        </w:rPr>
        <w:t>Travel.</w:t>
      </w:r>
      <w:r w:rsidRPr="003401EC">
        <w:rPr>
          <w:noProof/>
          <w:lang w:val="en-IE"/>
        </w:rPr>
        <w:t xml:space="preserve"> </w:t>
      </w:r>
      <w:r>
        <w:rPr>
          <w:noProof/>
          <w:lang w:val="en-IE"/>
        </w:rPr>
        <w:t>EUR 7</w:t>
      </w:r>
      <w:r w:rsidRPr="003401EC">
        <w:rPr>
          <w:noProof/>
          <w:lang w:val="en-IE"/>
        </w:rPr>
        <w:t>00 per in-person trip per participant (transport and incidentals</w:t>
      </w:r>
      <w:r>
        <w:rPr>
          <w:noProof/>
          <w:lang w:val="en-IE"/>
        </w:rPr>
        <w:t xml:space="preserve"> for one day and one night</w:t>
      </w:r>
      <w:r w:rsidRPr="003401EC">
        <w:rPr>
          <w:noProof/>
          <w:lang w:val="en-IE"/>
        </w:rPr>
        <w:t>).</w:t>
      </w:r>
    </w:p>
    <w:p w14:paraId="4194DADA" w14:textId="77777777" w:rsidR="006C14F6" w:rsidRPr="003401EC" w:rsidRDefault="006C14F6" w:rsidP="006C14F6">
      <w:pPr>
        <w:pStyle w:val="Text1"/>
        <w:ind w:left="0"/>
        <w:rPr>
          <w:noProof/>
          <w:lang w:val="en-IE"/>
        </w:rPr>
      </w:pPr>
      <w:r w:rsidRPr="003401EC">
        <w:rPr>
          <w:b/>
          <w:noProof/>
          <w:lang w:val="en-IE"/>
        </w:rPr>
        <w:t>Webinars</w:t>
      </w:r>
      <w:r w:rsidRPr="003401EC">
        <w:rPr>
          <w:noProof/>
          <w:lang w:val="en-IE"/>
        </w:rPr>
        <w:t>. 2 hours per participant, converted to 0.25 day for labour costing.</w:t>
      </w:r>
    </w:p>
    <w:p w14:paraId="069CB743" w14:textId="77777777" w:rsidR="006C14F6" w:rsidRDefault="006C14F6" w:rsidP="006C14F6">
      <w:pPr>
        <w:pStyle w:val="Text1"/>
        <w:ind w:left="0"/>
        <w:rPr>
          <w:noProof/>
          <w:lang w:val="en-IE"/>
        </w:rPr>
      </w:pPr>
      <w:r w:rsidRPr="003401EC">
        <w:rPr>
          <w:b/>
          <w:noProof/>
          <w:lang w:val="en-IE"/>
        </w:rPr>
        <w:t>In-person meeting/event time.</w:t>
      </w:r>
      <w:r w:rsidRPr="003401EC">
        <w:rPr>
          <w:noProof/>
          <w:lang w:val="en-IE"/>
        </w:rPr>
        <w:t xml:space="preserve"> Each in-person engagement entails 2.5 participant-days (</w:t>
      </w:r>
      <w:r>
        <w:rPr>
          <w:noProof/>
          <w:lang w:val="en-IE"/>
        </w:rPr>
        <w:t>1</w:t>
      </w:r>
      <w:r w:rsidRPr="003401EC">
        <w:rPr>
          <w:noProof/>
          <w:lang w:val="en-IE"/>
        </w:rPr>
        <w:t xml:space="preserve">.0 meeting days + </w:t>
      </w:r>
      <w:r>
        <w:rPr>
          <w:noProof/>
          <w:lang w:val="en-IE"/>
        </w:rPr>
        <w:t>1</w:t>
      </w:r>
      <w:r w:rsidRPr="003401EC">
        <w:rPr>
          <w:noProof/>
          <w:lang w:val="en-IE"/>
        </w:rPr>
        <w:t xml:space="preserve">.5-day </w:t>
      </w:r>
      <w:r>
        <w:rPr>
          <w:noProof/>
          <w:lang w:val="en-IE"/>
        </w:rPr>
        <w:t xml:space="preserve">for </w:t>
      </w:r>
      <w:r w:rsidRPr="003401EC">
        <w:rPr>
          <w:noProof/>
          <w:lang w:val="en-IE"/>
        </w:rPr>
        <w:t>preparation</w:t>
      </w:r>
      <w:r>
        <w:rPr>
          <w:noProof/>
          <w:lang w:val="en-IE"/>
        </w:rPr>
        <w:t xml:space="preserve"> and follow-up</w:t>
      </w:r>
      <w:r w:rsidRPr="003401EC">
        <w:rPr>
          <w:noProof/>
          <w:lang w:val="en-IE"/>
        </w:rPr>
        <w:t>).</w:t>
      </w:r>
    </w:p>
    <w:p w14:paraId="6F2B3950" w14:textId="6F530AFB" w:rsidR="00210DA9" w:rsidRPr="00861D1F" w:rsidRDefault="00210DA9" w:rsidP="00913325">
      <w:pPr>
        <w:pStyle w:val="Heading2"/>
        <w:numPr>
          <w:ilvl w:val="1"/>
          <w:numId w:val="10"/>
        </w:numPr>
        <w:tabs>
          <w:tab w:val="num" w:pos="283"/>
        </w:tabs>
        <w:rPr>
          <w:rFonts w:eastAsia="Calibri"/>
          <w:noProof/>
        </w:rPr>
      </w:pPr>
      <w:bookmarkStart w:id="119" w:name="_Toc214519691"/>
      <w:bookmarkStart w:id="120" w:name="_Ref214538227"/>
      <w:bookmarkStart w:id="121" w:name="_Ref214543816"/>
      <w:bookmarkStart w:id="122" w:name="_Ref214550271"/>
      <w:bookmarkStart w:id="123" w:name="_Toc216283352"/>
      <w:bookmarkStart w:id="124" w:name="_Toc228346907"/>
      <w:r w:rsidRPr="00861D1F">
        <w:rPr>
          <w:rFonts w:eastAsia="Calibri"/>
          <w:noProof/>
        </w:rPr>
        <w:t>Estimates related to data centres</w:t>
      </w:r>
      <w:bookmarkEnd w:id="119"/>
      <w:bookmarkEnd w:id="120"/>
      <w:bookmarkEnd w:id="121"/>
      <w:bookmarkEnd w:id="122"/>
      <w:bookmarkEnd w:id="123"/>
      <w:bookmarkEnd w:id="124"/>
      <w:r w:rsidR="00244F93" w:rsidRPr="00861D1F">
        <w:rPr>
          <w:rFonts w:eastAsia="Calibri"/>
          <w:noProof/>
        </w:rPr>
        <w:t xml:space="preserve"> </w:t>
      </w:r>
    </w:p>
    <w:p w14:paraId="68429DBB" w14:textId="51CD5B26" w:rsidR="00210DA9" w:rsidRPr="005372DD" w:rsidRDefault="00210DA9" w:rsidP="00744B72">
      <w:pPr>
        <w:pStyle w:val="Heading3"/>
        <w:numPr>
          <w:ilvl w:val="2"/>
          <w:numId w:val="39"/>
        </w:numPr>
        <w:ind w:left="1872"/>
        <w:rPr>
          <w:rFonts w:eastAsia="Calibri"/>
          <w:noProof/>
        </w:rPr>
      </w:pPr>
      <w:bookmarkStart w:id="125" w:name="_Toc214519692"/>
      <w:r w:rsidRPr="005372DD">
        <w:rPr>
          <w:noProof/>
        </w:rPr>
        <w:t xml:space="preserve">Data centre </w:t>
      </w:r>
      <w:bookmarkEnd w:id="125"/>
      <w:r w:rsidR="00726C65">
        <w:rPr>
          <w:noProof/>
        </w:rPr>
        <w:t>supply</w:t>
      </w:r>
      <w:r w:rsidRPr="005372DD">
        <w:rPr>
          <w:noProof/>
        </w:rPr>
        <w:t xml:space="preserve"> </w:t>
      </w:r>
      <w:r w:rsidR="00E87CF7">
        <w:rPr>
          <w:rFonts w:eastAsia="Calibri"/>
          <w:noProof/>
        </w:rPr>
        <w:t>growth</w:t>
      </w:r>
    </w:p>
    <w:p w14:paraId="1EA60E9F" w14:textId="77777777" w:rsidR="008A0B16" w:rsidRDefault="002C1508" w:rsidP="00B31119">
      <w:pPr>
        <w:spacing w:after="120"/>
        <w:rPr>
          <w:noProof/>
        </w:rPr>
      </w:pPr>
      <w:r w:rsidRPr="009F2DE7">
        <w:rPr>
          <w:noProof/>
        </w:rPr>
        <w:t xml:space="preserve">There is no single, EU-wide dataset produced by regulators or energy system planning exercises that consistently locates historical data centre capacity at site level in terms of commissioned IT load. </w:t>
      </w:r>
      <w:r w:rsidR="00464BCF" w:rsidRPr="0007547C">
        <w:rPr>
          <w:noProof/>
        </w:rPr>
        <w:t xml:space="preserve">The estimation of new data centres deployed under the different policy options builds on the scenarios of data centre growth (measured in MW) identified in </w:t>
      </w:r>
      <w:r w:rsidR="004037C8" w:rsidRPr="008D0BAC">
        <w:rPr>
          <w:noProof/>
          <w:lang w:val="en-IE"/>
        </w:rPr>
        <w:t xml:space="preserve">Technopolis et al. </w:t>
      </w:r>
      <w:r w:rsidR="004037C8" w:rsidRPr="00477260">
        <w:rPr>
          <w:noProof/>
          <w:lang w:val="en-US"/>
        </w:rPr>
        <w:t>(2025), “Study: Cloud and AI”</w:t>
      </w:r>
      <w:r w:rsidR="00464BCF" w:rsidRPr="0007547C">
        <w:rPr>
          <w:noProof/>
        </w:rPr>
        <w:t xml:space="preserve">. </w:t>
      </w:r>
      <w:r w:rsidR="00701D15" w:rsidRPr="00701D15">
        <w:rPr>
          <w:noProof/>
        </w:rPr>
        <w:t xml:space="preserve">The analysis relied primarily on the Data Centre Map dataset, which is built entirely on historical data centre sites that have already been developed and commissioned, i.e. the 2025 dataset reflects the cumulative outcome of past capacity development rather than a forward-looking projection. The dataset includes the year of launch of the sites for only around one-third of the recorded sites, with uneven coverage across countries and operators. As a result, it </w:t>
      </w:r>
      <w:r w:rsidR="00701D15">
        <w:rPr>
          <w:noProof/>
        </w:rPr>
        <w:t>was</w:t>
      </w:r>
      <w:r w:rsidR="00701D15" w:rsidRPr="00701D15">
        <w:rPr>
          <w:noProof/>
        </w:rPr>
        <w:t xml:space="preserve"> impossible to construct a consistent historical baseline of commissioned capacity across the EU without strong assumption or a systematic bias. </w:t>
      </w:r>
    </w:p>
    <w:p w14:paraId="75976DC6" w14:textId="65052396" w:rsidR="00464BCF" w:rsidRPr="0007547C" w:rsidRDefault="008A0B16" w:rsidP="00464BCF">
      <w:pPr>
        <w:rPr>
          <w:noProof/>
        </w:rPr>
      </w:pPr>
      <w:r>
        <w:rPr>
          <w:noProof/>
        </w:rPr>
        <w:t>Nevertheless, to present forward-looking projections based on past</w:t>
      </w:r>
      <w:r w:rsidR="00AE72BD">
        <w:rPr>
          <w:rStyle w:val="FootnoteReference"/>
          <w:noProof/>
        </w:rPr>
        <w:footnoteReference w:id="23"/>
      </w:r>
      <w:r>
        <w:rPr>
          <w:noProof/>
        </w:rPr>
        <w:t xml:space="preserve"> and future trends, the study </w:t>
      </w:r>
      <w:r w:rsidR="00AE72BD">
        <w:rPr>
          <w:noProof/>
        </w:rPr>
        <w:t>estimated possible</w:t>
      </w:r>
      <w:r w:rsidR="00464BCF" w:rsidRPr="0007547C">
        <w:rPr>
          <w:noProof/>
        </w:rPr>
        <w:t xml:space="preserve"> </w:t>
      </w:r>
      <w:r>
        <w:rPr>
          <w:noProof/>
        </w:rPr>
        <w:t>forecasts</w:t>
      </w:r>
      <w:r w:rsidR="00464BCF" w:rsidRPr="0007547C">
        <w:rPr>
          <w:noProof/>
        </w:rPr>
        <w:t xml:space="preserve"> for data centre capacity across the EU27 based on the characteristics of three strategic scenarios (low growth, </w:t>
      </w:r>
      <w:r w:rsidR="0083118B">
        <w:rPr>
          <w:noProof/>
        </w:rPr>
        <w:t>central growth</w:t>
      </w:r>
      <w:r w:rsidR="00464BCF" w:rsidRPr="0007547C">
        <w:rPr>
          <w:noProof/>
        </w:rPr>
        <w:t xml:space="preserve"> and </w:t>
      </w:r>
      <w:r w:rsidR="0083118B">
        <w:rPr>
          <w:noProof/>
        </w:rPr>
        <w:t>high</w:t>
      </w:r>
      <w:r w:rsidR="00464BCF" w:rsidRPr="0007547C">
        <w:rPr>
          <w:noProof/>
        </w:rPr>
        <w:t xml:space="preserve"> growth). These projections illustrate the potential evolution of installed capacity over the next decade, reflecting variations in natural resources, demand drivers, </w:t>
      </w:r>
      <w:r w:rsidR="004113C1">
        <w:rPr>
          <w:noProof/>
        </w:rPr>
        <w:t xml:space="preserve">policy intervention, </w:t>
      </w:r>
      <w:r w:rsidR="00464BCF" w:rsidRPr="0007547C">
        <w:rPr>
          <w:noProof/>
        </w:rPr>
        <w:t>technological innovation, and market responsiveness.</w:t>
      </w:r>
    </w:p>
    <w:p w14:paraId="4D5B3A0B" w14:textId="111AFD88" w:rsidR="00464BCF" w:rsidRDefault="00464BCF" w:rsidP="00464BCF">
      <w:pPr>
        <w:pStyle w:val="Caption"/>
        <w:rPr>
          <w:iCs w:val="0"/>
          <w:noProof/>
        </w:rPr>
      </w:pPr>
      <w:bookmarkStart w:id="126" w:name="_Toc204813820"/>
      <w:bookmarkStart w:id="127" w:name="_Toc213440590"/>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8</w:t>
      </w:r>
      <w:r>
        <w:rPr>
          <w:noProof/>
        </w:rPr>
        <w:fldChar w:fldCharType="end"/>
      </w:r>
      <w:r>
        <w:rPr>
          <w:noProof/>
        </w:rPr>
        <w:t xml:space="preserve">. </w:t>
      </w:r>
      <w:r w:rsidRPr="00823397">
        <w:rPr>
          <w:iCs w:val="0"/>
          <w:noProof/>
        </w:rPr>
        <w:t xml:space="preserve">Overview of low growth, </w:t>
      </w:r>
      <w:r w:rsidR="009D5FA4">
        <w:rPr>
          <w:iCs w:val="0"/>
          <w:noProof/>
        </w:rPr>
        <w:t>central</w:t>
      </w:r>
      <w:r w:rsidRPr="00823397">
        <w:rPr>
          <w:iCs w:val="0"/>
          <w:noProof/>
        </w:rPr>
        <w:t xml:space="preserve"> and </w:t>
      </w:r>
      <w:r w:rsidR="009D5FA4">
        <w:rPr>
          <w:iCs w:val="0"/>
          <w:noProof/>
        </w:rPr>
        <w:t>high</w:t>
      </w:r>
      <w:r w:rsidR="009D5FA4" w:rsidRPr="00823397">
        <w:rPr>
          <w:iCs w:val="0"/>
          <w:noProof/>
        </w:rPr>
        <w:t xml:space="preserve"> </w:t>
      </w:r>
      <w:r w:rsidRPr="00823397">
        <w:rPr>
          <w:iCs w:val="0"/>
          <w:noProof/>
        </w:rPr>
        <w:t>growth scenarios</w:t>
      </w:r>
      <w:bookmarkEnd w:id="126"/>
      <w:r>
        <w:rPr>
          <w:iCs w:val="0"/>
          <w:noProof/>
        </w:rPr>
        <w:t xml:space="preserve"> (Source: </w:t>
      </w:r>
      <w:bookmarkEnd w:id="127"/>
      <w:r w:rsidR="004D1B56">
        <w:rPr>
          <w:iCs w:val="0"/>
          <w:noProof/>
        </w:rPr>
        <w:t>Technopolis et al. (2025)</w:t>
      </w:r>
      <w:r>
        <w:rPr>
          <w:iCs w:val="0"/>
          <w:noProof/>
        </w:rPr>
        <w:t>)</w:t>
      </w:r>
    </w:p>
    <w:tbl>
      <w:tblPr>
        <w:tblW w:w="5000" w:type="pct"/>
        <w:tblLook w:val="0420" w:firstRow="1" w:lastRow="0" w:firstColumn="0" w:lastColumn="0" w:noHBand="0" w:noVBand="1"/>
      </w:tblPr>
      <w:tblGrid>
        <w:gridCol w:w="1313"/>
        <w:gridCol w:w="1460"/>
        <w:gridCol w:w="6272"/>
      </w:tblGrid>
      <w:tr w:rsidR="00464BCF" w:rsidRPr="006467A8" w14:paraId="14383B20" w14:textId="77777777" w:rsidTr="002A4F6F">
        <w:trPr>
          <w:trHeight w:val="462"/>
          <w:tblHeader/>
        </w:trPr>
        <w:tc>
          <w:tcPr>
            <w:tcW w:w="726" w:type="pct"/>
            <w:tcBorders>
              <w:bottom w:val="single" w:sz="12" w:space="0" w:color="00B0F0"/>
            </w:tcBorders>
            <w:vAlign w:val="center"/>
            <w:hideMark/>
          </w:tcPr>
          <w:p w14:paraId="3FCE8E3D" w14:textId="77777777" w:rsidR="00464BCF" w:rsidRPr="004A5303" w:rsidRDefault="00464BCF" w:rsidP="002A4F6F">
            <w:pPr>
              <w:spacing w:after="120"/>
              <w:jc w:val="center"/>
              <w:rPr>
                <w:b/>
                <w:bCs/>
                <w:noProof/>
                <w:sz w:val="22"/>
                <w:szCs w:val="22"/>
              </w:rPr>
            </w:pPr>
            <w:r w:rsidRPr="004A5303">
              <w:rPr>
                <w:b/>
                <w:bCs/>
                <w:noProof/>
                <w:sz w:val="22"/>
                <w:szCs w:val="22"/>
              </w:rPr>
              <w:t>Scenario</w:t>
            </w:r>
          </w:p>
        </w:tc>
        <w:tc>
          <w:tcPr>
            <w:tcW w:w="807" w:type="pct"/>
            <w:tcBorders>
              <w:bottom w:val="single" w:sz="12" w:space="0" w:color="00B0F0"/>
            </w:tcBorders>
            <w:vAlign w:val="center"/>
          </w:tcPr>
          <w:p w14:paraId="7233969E" w14:textId="1333DB10" w:rsidR="00464BCF" w:rsidRPr="004A5303" w:rsidRDefault="00464BCF" w:rsidP="002A4F6F">
            <w:pPr>
              <w:spacing w:after="120"/>
              <w:jc w:val="center"/>
              <w:rPr>
                <w:b/>
                <w:bCs/>
                <w:noProof/>
                <w:sz w:val="22"/>
                <w:szCs w:val="22"/>
              </w:rPr>
            </w:pPr>
            <w:r w:rsidRPr="004A5303">
              <w:rPr>
                <w:b/>
                <w:bCs/>
                <w:noProof/>
                <w:sz w:val="22"/>
                <w:szCs w:val="22"/>
              </w:rPr>
              <w:t>CAGR (2025-2036)</w:t>
            </w:r>
          </w:p>
        </w:tc>
        <w:tc>
          <w:tcPr>
            <w:tcW w:w="3467" w:type="pct"/>
            <w:tcBorders>
              <w:bottom w:val="single" w:sz="12" w:space="0" w:color="00B0F0"/>
            </w:tcBorders>
            <w:vAlign w:val="center"/>
            <w:hideMark/>
          </w:tcPr>
          <w:p w14:paraId="40263125" w14:textId="77777777" w:rsidR="00464BCF" w:rsidRPr="004A5303" w:rsidRDefault="00464BCF" w:rsidP="002A4F6F">
            <w:pPr>
              <w:spacing w:after="120"/>
              <w:jc w:val="center"/>
              <w:rPr>
                <w:b/>
                <w:bCs/>
                <w:noProof/>
                <w:sz w:val="22"/>
                <w:szCs w:val="22"/>
              </w:rPr>
            </w:pPr>
            <w:r w:rsidRPr="004A5303">
              <w:rPr>
                <w:b/>
                <w:bCs/>
                <w:noProof/>
                <w:sz w:val="22"/>
                <w:szCs w:val="22"/>
              </w:rPr>
              <w:t>Key assumptions and trends</w:t>
            </w:r>
          </w:p>
        </w:tc>
      </w:tr>
      <w:tr w:rsidR="00464BCF" w:rsidRPr="006467A8" w14:paraId="142C2468" w14:textId="77777777" w:rsidTr="00826C82">
        <w:trPr>
          <w:trHeight w:val="611"/>
        </w:trPr>
        <w:tc>
          <w:tcPr>
            <w:tcW w:w="726" w:type="pct"/>
            <w:tcBorders>
              <w:top w:val="single" w:sz="12" w:space="0" w:color="00B0F0"/>
            </w:tcBorders>
            <w:hideMark/>
          </w:tcPr>
          <w:p w14:paraId="4C40F691" w14:textId="39437103" w:rsidR="00464BCF" w:rsidRPr="00DA029C" w:rsidRDefault="004113C1">
            <w:pPr>
              <w:spacing w:after="160" w:line="278" w:lineRule="auto"/>
              <w:jc w:val="center"/>
              <w:rPr>
                <w:noProof/>
                <w:sz w:val="22"/>
                <w:szCs w:val="22"/>
              </w:rPr>
            </w:pPr>
            <w:r>
              <w:rPr>
                <w:noProof/>
                <w:sz w:val="22"/>
                <w:szCs w:val="22"/>
              </w:rPr>
              <w:t>Low growth</w:t>
            </w:r>
          </w:p>
        </w:tc>
        <w:tc>
          <w:tcPr>
            <w:tcW w:w="807" w:type="pct"/>
            <w:tcBorders>
              <w:top w:val="single" w:sz="12" w:space="0" w:color="00B0F0"/>
            </w:tcBorders>
          </w:tcPr>
          <w:p w14:paraId="733FFE80" w14:textId="77777777" w:rsidR="00464BCF" w:rsidRPr="00DA029C" w:rsidRDefault="00464BCF">
            <w:pPr>
              <w:spacing w:after="160" w:line="278" w:lineRule="auto"/>
              <w:jc w:val="center"/>
              <w:rPr>
                <w:noProof/>
                <w:sz w:val="22"/>
                <w:szCs w:val="22"/>
              </w:rPr>
            </w:pPr>
            <w:r w:rsidRPr="00DA029C">
              <w:rPr>
                <w:noProof/>
                <w:sz w:val="22"/>
                <w:szCs w:val="22"/>
              </w:rPr>
              <w:t>9%</w:t>
            </w:r>
          </w:p>
        </w:tc>
        <w:tc>
          <w:tcPr>
            <w:tcW w:w="3467" w:type="pct"/>
            <w:tcBorders>
              <w:top w:val="single" w:sz="12" w:space="0" w:color="00B0F0"/>
            </w:tcBorders>
            <w:hideMark/>
          </w:tcPr>
          <w:p w14:paraId="7993992B" w14:textId="0FCE41D8" w:rsidR="00464BCF" w:rsidRPr="00DA029C" w:rsidRDefault="00464BCF" w:rsidP="00744B72">
            <w:pPr>
              <w:pStyle w:val="Tablebullet1"/>
              <w:numPr>
                <w:ilvl w:val="0"/>
                <w:numId w:val="22"/>
              </w:numPr>
              <w:ind w:left="641" w:hanging="357"/>
              <w:rPr>
                <w:rFonts w:cs="Times New Roman"/>
                <w:noProof/>
                <w:kern w:val="2"/>
                <w:sz w:val="22"/>
                <w:szCs w:val="22"/>
                <w:lang w:val="en-IE"/>
                <w14:ligatures w14:val="standardContextual"/>
              </w:rPr>
            </w:pPr>
            <w:r w:rsidRPr="00DA029C">
              <w:rPr>
                <w:rFonts w:cs="Times New Roman"/>
                <w:noProof/>
                <w:kern w:val="2"/>
                <w:sz w:val="22"/>
                <w:szCs w:val="22"/>
                <w:lang w:val="en-IE"/>
                <w14:ligatures w14:val="standardContextual"/>
              </w:rPr>
              <w:t>Across 2025–2036, EMEA data centre capacity grows at an average ~9% CAGR, below the ~13.8% historic pace seen in 2018–2024. Growth remains concentrated in primary markets e.g. Germany, France, Ireland, and the Netherland while many secondary and emerging markets struggle to secure large, anchor-tenant investments or hyperscale commitments. The build-out is most intense in 2025–2030 (approximately 14% CAGR), driven by committed pipelines, cloud region rollouts, and AI-ready retrofits. From 2030–2036, moment</w:t>
            </w:r>
            <w:r w:rsidR="00E87CF7">
              <w:rPr>
                <w:rFonts w:cs="Times New Roman"/>
                <w:noProof/>
                <w:kern w:val="2"/>
                <w:sz w:val="22"/>
                <w:szCs w:val="22"/>
                <w:lang w:val="en-IE"/>
                <w14:ligatures w14:val="standardContextual"/>
              </w:rPr>
              <w:t>u</w:t>
            </w:r>
            <w:r w:rsidRPr="00DA029C">
              <w:rPr>
                <w:rFonts w:cs="Times New Roman"/>
                <w:noProof/>
                <w:kern w:val="2"/>
                <w:sz w:val="22"/>
                <w:szCs w:val="22"/>
                <w:lang w:val="en-IE"/>
                <w14:ligatures w14:val="standardContextual"/>
              </w:rPr>
              <w:t>m slows to roughly 4.2% CAGR as power, permitting, and capital discipline increasingly constrain new capacity additions.</w:t>
            </w:r>
          </w:p>
          <w:p w14:paraId="2E67F870" w14:textId="5F6B2D7E" w:rsidR="00464BCF" w:rsidRPr="00DA029C" w:rsidRDefault="00464BCF" w:rsidP="00744B72">
            <w:pPr>
              <w:pStyle w:val="Tablebullet1"/>
              <w:numPr>
                <w:ilvl w:val="0"/>
                <w:numId w:val="22"/>
              </w:numPr>
              <w:ind w:left="641" w:hanging="357"/>
              <w:rPr>
                <w:rFonts w:cs="Times New Roman"/>
                <w:noProof/>
                <w:kern w:val="2"/>
                <w:sz w:val="22"/>
                <w:szCs w:val="22"/>
                <w:lang w:val="en-IE"/>
                <w14:ligatures w14:val="standardContextual"/>
              </w:rPr>
            </w:pPr>
            <w:r w:rsidRPr="00DA029C">
              <w:rPr>
                <w:rFonts w:cs="Times New Roman"/>
                <w:noProof/>
                <w:kern w:val="2"/>
                <w:sz w:val="22"/>
                <w:szCs w:val="22"/>
                <w:lang w:val="en-IE"/>
                <w14:ligatures w14:val="standardContextual"/>
              </w:rPr>
              <w:t xml:space="preserve">Power availability is the binding constraint, with insufficient electrical capacity to support large-scale AI compute in countries such as Netherlands, Ireland, Germany with limited investment in grid modernisation, increasingly observed between 2030-36. These constraints limit the development of new high-density sites and delay infrastructure upgrades. </w:t>
            </w:r>
          </w:p>
          <w:p w14:paraId="65B2B73A" w14:textId="77777777" w:rsidR="00464BCF" w:rsidRPr="00DA029C" w:rsidRDefault="00464BCF" w:rsidP="00744B72">
            <w:pPr>
              <w:pStyle w:val="Tablebullet1"/>
              <w:numPr>
                <w:ilvl w:val="0"/>
                <w:numId w:val="22"/>
              </w:numPr>
              <w:ind w:left="641" w:hanging="357"/>
              <w:rPr>
                <w:rFonts w:cs="Times New Roman"/>
                <w:noProof/>
                <w:kern w:val="2"/>
                <w:sz w:val="22"/>
                <w:szCs w:val="22"/>
                <w:lang w:val="en-IE"/>
                <w14:ligatures w14:val="standardContextual"/>
              </w:rPr>
            </w:pPr>
            <w:r w:rsidRPr="00DA029C">
              <w:rPr>
                <w:rFonts w:cs="Times New Roman"/>
                <w:noProof/>
                <w:kern w:val="2"/>
                <w:sz w:val="22"/>
                <w:szCs w:val="22"/>
                <w:lang w:val="en-IE"/>
                <w14:ligatures w14:val="standardContextual"/>
              </w:rPr>
              <w:t>In the absence of major policy shifts, a fragmented regulatory landscape persists across Europe. Disjointed national strategies, coupled with tightened environmental restrictions on energy usage and prolonged permitting processes, create significant barriers to new data centre development. These hurdles constrain growth, keeping capacity expansion below historically observed levels.</w:t>
            </w:r>
          </w:p>
        </w:tc>
      </w:tr>
    </w:tbl>
    <w:tbl>
      <w:tblPr>
        <w:tblStyle w:val="GridTable2-Accent1"/>
        <w:tblW w:w="8784" w:type="dxa"/>
        <w:tblLook w:val="0420" w:firstRow="1" w:lastRow="0" w:firstColumn="0" w:lastColumn="0" w:noHBand="0" w:noVBand="1"/>
      </w:tblPr>
      <w:tblGrid>
        <w:gridCol w:w="1276"/>
        <w:gridCol w:w="1418"/>
        <w:gridCol w:w="6090"/>
      </w:tblGrid>
      <w:tr w:rsidR="00464BCF" w:rsidRPr="006467A8" w14:paraId="3617CC6D" w14:textId="77777777" w:rsidTr="004A5303">
        <w:trPr>
          <w:cnfStyle w:val="100000000000" w:firstRow="1" w:lastRow="0" w:firstColumn="0" w:lastColumn="0" w:oddVBand="0" w:evenVBand="0" w:oddHBand="0" w:evenHBand="0" w:firstRowFirstColumn="0" w:firstRowLastColumn="0" w:lastRowFirstColumn="0" w:lastRowLastColumn="0"/>
          <w:trHeight w:val="611"/>
        </w:trPr>
        <w:tc>
          <w:tcPr>
            <w:tcW w:w="1276" w:type="dxa"/>
            <w:shd w:val="clear" w:color="auto" w:fill="DEF1FA"/>
            <w:hideMark/>
          </w:tcPr>
          <w:p w14:paraId="7C7D78AD" w14:textId="1F776CEF" w:rsidR="00464BCF" w:rsidRPr="00B31119" w:rsidRDefault="00837850">
            <w:pPr>
              <w:spacing w:after="160" w:line="278" w:lineRule="auto"/>
              <w:jc w:val="center"/>
              <w:rPr>
                <w:noProof/>
                <w:sz w:val="22"/>
                <w:szCs w:val="22"/>
              </w:rPr>
            </w:pPr>
            <w:r>
              <w:rPr>
                <w:b w:val="0"/>
                <w:bCs w:val="0"/>
                <w:noProof/>
                <w:sz w:val="22"/>
                <w:szCs w:val="22"/>
              </w:rPr>
              <w:t xml:space="preserve">Central growth </w:t>
            </w:r>
            <w:r w:rsidR="002E4471">
              <w:rPr>
                <w:noProof/>
                <w:sz w:val="22"/>
                <w:szCs w:val="22"/>
              </w:rPr>
              <w:t xml:space="preserve">             </w:t>
            </w:r>
            <w:r>
              <w:rPr>
                <w:b w:val="0"/>
                <w:bCs w:val="0"/>
                <w:noProof/>
                <w:sz w:val="22"/>
                <w:szCs w:val="22"/>
              </w:rPr>
              <w:t>(</w:t>
            </w:r>
            <w:r w:rsidR="005010B1">
              <w:rPr>
                <w:b w:val="0"/>
                <w:bCs w:val="0"/>
                <w:noProof/>
                <w:sz w:val="22"/>
                <w:szCs w:val="22"/>
              </w:rPr>
              <w:t>used as b</w:t>
            </w:r>
            <w:r w:rsidR="005010B1" w:rsidRPr="004A5303">
              <w:rPr>
                <w:b w:val="0"/>
                <w:bCs w:val="0"/>
                <w:noProof/>
                <w:sz w:val="22"/>
                <w:szCs w:val="22"/>
              </w:rPr>
              <w:t>aseline</w:t>
            </w:r>
            <w:r>
              <w:rPr>
                <w:b w:val="0"/>
                <w:bCs w:val="0"/>
                <w:noProof/>
                <w:sz w:val="22"/>
                <w:szCs w:val="22"/>
              </w:rPr>
              <w:t>)</w:t>
            </w:r>
          </w:p>
        </w:tc>
        <w:tc>
          <w:tcPr>
            <w:tcW w:w="1418" w:type="dxa"/>
            <w:shd w:val="clear" w:color="auto" w:fill="DEF1FA"/>
          </w:tcPr>
          <w:p w14:paraId="748B8F50" w14:textId="59247877" w:rsidR="00464BCF" w:rsidRPr="004A5303" w:rsidRDefault="0020020D">
            <w:pPr>
              <w:spacing w:after="160" w:line="278" w:lineRule="auto"/>
              <w:jc w:val="center"/>
              <w:rPr>
                <w:b w:val="0"/>
                <w:bCs w:val="0"/>
                <w:noProof/>
                <w:sz w:val="22"/>
                <w:szCs w:val="22"/>
              </w:rPr>
            </w:pPr>
            <w:r w:rsidRPr="004A5303">
              <w:rPr>
                <w:b w:val="0"/>
                <w:bCs w:val="0"/>
                <w:noProof/>
                <w:sz w:val="22"/>
                <w:szCs w:val="22"/>
              </w:rPr>
              <w:t>1</w:t>
            </w:r>
            <w:r>
              <w:rPr>
                <w:b w:val="0"/>
                <w:bCs w:val="0"/>
                <w:noProof/>
                <w:sz w:val="22"/>
                <w:szCs w:val="22"/>
              </w:rPr>
              <w:t>2</w:t>
            </w:r>
            <w:r w:rsidR="00464BCF" w:rsidRPr="004A5303">
              <w:rPr>
                <w:b w:val="0"/>
                <w:bCs w:val="0"/>
                <w:noProof/>
                <w:sz w:val="22"/>
                <w:szCs w:val="22"/>
              </w:rPr>
              <w:t>%</w:t>
            </w:r>
          </w:p>
        </w:tc>
        <w:tc>
          <w:tcPr>
            <w:tcW w:w="6090" w:type="dxa"/>
            <w:shd w:val="clear" w:color="auto" w:fill="DEF1FA"/>
            <w:hideMark/>
          </w:tcPr>
          <w:p w14:paraId="61FC482D" w14:textId="18EDCDAF" w:rsidR="00464BCF" w:rsidRPr="004A5303" w:rsidRDefault="00464BCF" w:rsidP="00744B72">
            <w:pPr>
              <w:pStyle w:val="Tablebullet1"/>
              <w:numPr>
                <w:ilvl w:val="0"/>
                <w:numId w:val="23"/>
              </w:numPr>
              <w:ind w:left="641" w:hanging="357"/>
              <w:rPr>
                <w:rFonts w:cs="Times New Roman"/>
                <w:b w:val="0"/>
                <w:bCs w:val="0"/>
                <w:noProof/>
                <w:kern w:val="2"/>
                <w:sz w:val="22"/>
                <w:szCs w:val="22"/>
              </w:rPr>
            </w:pPr>
            <w:r w:rsidRPr="004A5303">
              <w:rPr>
                <w:rFonts w:cs="Times New Roman"/>
                <w:b w:val="0"/>
                <w:bCs w:val="0"/>
                <w:noProof/>
                <w:kern w:val="2"/>
                <w:sz w:val="22"/>
                <w:szCs w:val="22"/>
              </w:rPr>
              <w:t>Capacity growth aligns with the CATI survey average (~</w:t>
            </w:r>
            <w:r w:rsidR="003B2C1D" w:rsidRPr="004A5303">
              <w:rPr>
                <w:rFonts w:cs="Times New Roman"/>
                <w:b w:val="0"/>
                <w:bCs w:val="0"/>
                <w:noProof/>
                <w:kern w:val="2"/>
                <w:sz w:val="22"/>
                <w:szCs w:val="22"/>
              </w:rPr>
              <w:t>1</w:t>
            </w:r>
            <w:r w:rsidR="003B2C1D">
              <w:rPr>
                <w:rFonts w:cs="Times New Roman"/>
                <w:b w:val="0"/>
                <w:bCs w:val="0"/>
                <w:noProof/>
                <w:kern w:val="2"/>
                <w:sz w:val="22"/>
                <w:szCs w:val="22"/>
              </w:rPr>
              <w:t>3</w:t>
            </w:r>
            <w:r w:rsidRPr="004A5303">
              <w:rPr>
                <w:rFonts w:cs="Times New Roman"/>
                <w:b w:val="0"/>
                <w:bCs w:val="0"/>
                <w:noProof/>
                <w:kern w:val="2"/>
                <w:sz w:val="22"/>
                <w:szCs w:val="22"/>
              </w:rPr>
              <w:t>% CAGR) and broader industry momentum through 2025–2030, then eases over 2030–2036. Expansion remains concentrated in FLAP-D hubs, with steady investment in secondary markets (Nordics, Spain, Italy) and slower uptake in developing markets (around 6.49% CAGR). In the baseline, aggregate growth is ~17.7% over 2025–2030 (consistent with the survey’s ~</w:t>
            </w:r>
            <w:r w:rsidR="00B2570E" w:rsidRPr="004A5303">
              <w:rPr>
                <w:rFonts w:cs="Times New Roman"/>
                <w:b w:val="0"/>
                <w:bCs w:val="0"/>
                <w:noProof/>
                <w:kern w:val="2"/>
                <w:sz w:val="22"/>
                <w:szCs w:val="22"/>
              </w:rPr>
              <w:t>1</w:t>
            </w:r>
            <w:r w:rsidR="00B2570E">
              <w:rPr>
                <w:rFonts w:cs="Times New Roman"/>
                <w:b w:val="0"/>
                <w:bCs w:val="0"/>
                <w:noProof/>
                <w:kern w:val="2"/>
                <w:sz w:val="22"/>
                <w:szCs w:val="22"/>
              </w:rPr>
              <w:t>3</w:t>
            </w:r>
            <w:r w:rsidRPr="004A5303">
              <w:rPr>
                <w:rFonts w:cs="Times New Roman"/>
                <w:b w:val="0"/>
                <w:bCs w:val="0"/>
                <w:noProof/>
                <w:kern w:val="2"/>
                <w:sz w:val="22"/>
                <w:szCs w:val="22"/>
              </w:rPr>
              <w:t xml:space="preserve">% CAGR lens) as committed pipelines, AI-readiness upgrades, and new cloud regions come through. From </w:t>
            </w:r>
            <w:r w:rsidRPr="00E87CF7">
              <w:rPr>
                <w:rFonts w:cs="Times New Roman"/>
                <w:b w:val="0"/>
                <w:bCs w:val="0"/>
                <w:noProof/>
                <w:kern w:val="2"/>
                <w:sz w:val="22"/>
                <w:szCs w:val="22"/>
              </w:rPr>
              <w:t>20</w:t>
            </w:r>
            <w:r w:rsidR="00347457">
              <w:rPr>
                <w:rFonts w:cs="Times New Roman"/>
                <w:b w:val="0"/>
                <w:bCs w:val="0"/>
                <w:noProof/>
                <w:kern w:val="2"/>
                <w:sz w:val="22"/>
                <w:szCs w:val="22"/>
              </w:rPr>
              <w:t>3</w:t>
            </w:r>
            <w:r w:rsidRPr="00E87CF7">
              <w:rPr>
                <w:rFonts w:cs="Times New Roman"/>
                <w:b w:val="0"/>
                <w:bCs w:val="0"/>
                <w:noProof/>
                <w:kern w:val="2"/>
                <w:sz w:val="22"/>
                <w:szCs w:val="22"/>
              </w:rPr>
              <w:t>1</w:t>
            </w:r>
            <w:r w:rsidRPr="004A5303">
              <w:rPr>
                <w:rFonts w:cs="Times New Roman"/>
                <w:b w:val="0"/>
                <w:bCs w:val="0"/>
                <w:noProof/>
                <w:kern w:val="2"/>
                <w:sz w:val="22"/>
                <w:szCs w:val="22"/>
              </w:rPr>
              <w:t>–2036, growth moderates to ~7.1%, reflecting tighter site selection driven by power and land availability, longer permitting lead times, and higher financing costs.</w:t>
            </w:r>
          </w:p>
          <w:p w14:paraId="2669C881" w14:textId="77777777" w:rsidR="00464BCF" w:rsidRPr="004A5303" w:rsidRDefault="00464BCF" w:rsidP="00744B72">
            <w:pPr>
              <w:pStyle w:val="Tablebullet1"/>
              <w:numPr>
                <w:ilvl w:val="0"/>
                <w:numId w:val="23"/>
              </w:numPr>
              <w:ind w:left="641" w:hanging="357"/>
              <w:rPr>
                <w:rFonts w:cs="Times New Roman"/>
                <w:b w:val="0"/>
                <w:bCs w:val="0"/>
                <w:noProof/>
                <w:kern w:val="2"/>
                <w:sz w:val="22"/>
                <w:szCs w:val="22"/>
              </w:rPr>
            </w:pPr>
            <w:r w:rsidRPr="004A5303">
              <w:rPr>
                <w:rFonts w:cs="Times New Roman"/>
                <w:b w:val="0"/>
                <w:bCs w:val="0"/>
                <w:noProof/>
                <w:kern w:val="2"/>
                <w:sz w:val="22"/>
                <w:szCs w:val="22"/>
              </w:rPr>
              <w:t>Electrical grid limitations remain an issue in certain primary markets such as Ireland and the Netherlands. However, regulators and operators in several markets have begun investing in grid modernisation and demand management.</w:t>
            </w:r>
          </w:p>
          <w:p w14:paraId="433DD4C1" w14:textId="77777777" w:rsidR="00464BCF" w:rsidRPr="004A5303" w:rsidRDefault="00464BCF" w:rsidP="00744B72">
            <w:pPr>
              <w:pStyle w:val="Tablebullet1"/>
              <w:numPr>
                <w:ilvl w:val="0"/>
                <w:numId w:val="23"/>
              </w:numPr>
              <w:ind w:left="641" w:hanging="357"/>
              <w:rPr>
                <w:rFonts w:cs="Times New Roman"/>
                <w:b w:val="0"/>
                <w:bCs w:val="0"/>
                <w:noProof/>
                <w:kern w:val="2"/>
                <w:sz w:val="22"/>
                <w:szCs w:val="22"/>
              </w:rPr>
            </w:pPr>
            <w:r w:rsidRPr="004A5303">
              <w:rPr>
                <w:rFonts w:cs="Times New Roman"/>
                <w:b w:val="0"/>
                <w:bCs w:val="0"/>
                <w:noProof/>
                <w:kern w:val="2"/>
                <w:sz w:val="22"/>
                <w:szCs w:val="22"/>
              </w:rPr>
              <w:t>Policy evolution remains gradual and inconsistent, creating a fragmented regulatory landscape across Europe. Efforts to modernise infrastructure and streamline permitting are underway, but progress is uneven, often slowed by regulatory complexity and localised decision-making. Governments aim to balance digital infrastructure expansion with environmental priorities by introducing power efficiency targets, and sustainability requirements.</w:t>
            </w:r>
          </w:p>
        </w:tc>
      </w:tr>
    </w:tbl>
    <w:tbl>
      <w:tblPr>
        <w:tblW w:w="8784" w:type="dxa"/>
        <w:tblLook w:val="0420" w:firstRow="1" w:lastRow="0" w:firstColumn="0" w:lastColumn="0" w:noHBand="0" w:noVBand="1"/>
      </w:tblPr>
      <w:tblGrid>
        <w:gridCol w:w="1276"/>
        <w:gridCol w:w="1418"/>
        <w:gridCol w:w="6090"/>
      </w:tblGrid>
      <w:tr w:rsidR="00464BCF" w:rsidRPr="006467A8" w14:paraId="01ACC62D" w14:textId="77777777" w:rsidTr="294AF3FA">
        <w:trPr>
          <w:trHeight w:val="611"/>
        </w:trPr>
        <w:tc>
          <w:tcPr>
            <w:tcW w:w="1276" w:type="dxa"/>
            <w:hideMark/>
          </w:tcPr>
          <w:p w14:paraId="4A0A430B" w14:textId="77777777" w:rsidR="00464BCF" w:rsidRPr="00DA029C" w:rsidRDefault="00464BCF">
            <w:pPr>
              <w:spacing w:after="160" w:line="278" w:lineRule="auto"/>
              <w:jc w:val="center"/>
              <w:rPr>
                <w:noProof/>
                <w:sz w:val="22"/>
                <w:szCs w:val="22"/>
              </w:rPr>
            </w:pPr>
            <w:r w:rsidRPr="00DA029C">
              <w:rPr>
                <w:noProof/>
                <w:sz w:val="22"/>
                <w:szCs w:val="22"/>
              </w:rPr>
              <w:t xml:space="preserve">High growth </w:t>
            </w:r>
          </w:p>
        </w:tc>
        <w:tc>
          <w:tcPr>
            <w:tcW w:w="1418" w:type="dxa"/>
          </w:tcPr>
          <w:p w14:paraId="06BAE7D9" w14:textId="77777777" w:rsidR="00464BCF" w:rsidRPr="00DA029C" w:rsidRDefault="00464BCF">
            <w:pPr>
              <w:spacing w:after="160" w:line="278" w:lineRule="auto"/>
              <w:jc w:val="center"/>
              <w:rPr>
                <w:noProof/>
                <w:sz w:val="22"/>
                <w:szCs w:val="22"/>
              </w:rPr>
            </w:pPr>
            <w:r w:rsidRPr="00DA029C">
              <w:rPr>
                <w:noProof/>
                <w:sz w:val="22"/>
                <w:szCs w:val="22"/>
              </w:rPr>
              <w:t>15%</w:t>
            </w:r>
          </w:p>
        </w:tc>
        <w:tc>
          <w:tcPr>
            <w:tcW w:w="6090" w:type="dxa"/>
            <w:hideMark/>
          </w:tcPr>
          <w:p w14:paraId="3356E404" w14:textId="77777777" w:rsidR="006E642D" w:rsidRDefault="00464BCF" w:rsidP="006E642D">
            <w:pPr>
              <w:pStyle w:val="ListBullet"/>
              <w:ind w:left="567"/>
              <w:rPr>
                <w:noProof/>
                <w:sz w:val="22"/>
                <w:szCs w:val="18"/>
                <w:lang w:val="en-IE"/>
              </w:rPr>
            </w:pPr>
            <w:r w:rsidRPr="006E642D">
              <w:rPr>
                <w:noProof/>
                <w:sz w:val="22"/>
                <w:szCs w:val="18"/>
                <w:lang w:val="en-IE"/>
              </w:rPr>
              <w:t>The growth rate accelerates to 15% from 2025-2036 with front loaded 21.7% CAGR in 2025-2030 before moderating to 10.4% from 2030-36. This is improving on the baseline scenario by following the trajectory of advanced, leading-edge markets such as Northern Virginia in the US, where data centre capacity grew at a 25% CAGR between 2014 and 2021, with capacity doubling from 2018 to 2021</w:t>
            </w:r>
            <w:r w:rsidRPr="006E642D">
              <w:rPr>
                <w:noProof/>
                <w:sz w:val="22"/>
                <w:szCs w:val="18"/>
              </w:rPr>
              <w:footnoteReference w:id="24"/>
            </w:r>
            <w:r w:rsidRPr="006E642D">
              <w:rPr>
                <w:noProof/>
                <w:sz w:val="22"/>
                <w:szCs w:val="18"/>
                <w:lang w:val="en-IE"/>
              </w:rPr>
              <w:t xml:space="preserve">. This scenario sees aggressive geographic expansion beyond primary and secondary markets, with new regional hubs emerging in Southern Europe, the Baltics, and Central &amp; Eastern Europe. Growth in developing regions significantly exceeds historical trends with a CAGR of 13% and outpaces current market projections. </w:t>
            </w:r>
          </w:p>
          <w:p w14:paraId="60FAA893" w14:textId="77777777" w:rsidR="006E642D" w:rsidRPr="006E642D" w:rsidRDefault="00464BCF" w:rsidP="006E642D">
            <w:pPr>
              <w:pStyle w:val="ListBullet"/>
              <w:ind w:left="567"/>
              <w:rPr>
                <w:noProof/>
                <w:sz w:val="22"/>
                <w:szCs w:val="18"/>
                <w:lang w:val="en-IE"/>
              </w:rPr>
            </w:pPr>
            <w:r w:rsidRPr="006E642D">
              <w:rPr>
                <w:noProof/>
                <w:kern w:val="2"/>
                <w:sz w:val="22"/>
                <w:szCs w:val="22"/>
                <w:lang w:val="en-IE"/>
                <w14:ligatures w14:val="standardContextual"/>
              </w:rPr>
              <w:t>Major public and private investment in grid modernisation leads to substantial increases in available electrical capacity, effectively removing power availability as a constraint on data centre expansion.  This enables large scale AI deployments, including high density GPU workloads to proceed rapidly not only in primary markets but in secondary and developing markets.</w:t>
            </w:r>
          </w:p>
          <w:p w14:paraId="76B7BBCE" w14:textId="690E3456" w:rsidR="00464BCF" w:rsidRPr="006E642D" w:rsidRDefault="00464BCF" w:rsidP="006E642D">
            <w:pPr>
              <w:pStyle w:val="ListBullet"/>
              <w:ind w:left="567"/>
              <w:rPr>
                <w:noProof/>
                <w:sz w:val="22"/>
                <w:szCs w:val="18"/>
                <w:lang w:val="en-IE"/>
              </w:rPr>
            </w:pPr>
            <w:r w:rsidRPr="006E642D">
              <w:rPr>
                <w:noProof/>
                <w:kern w:val="2"/>
                <w:sz w:val="22"/>
                <w:szCs w:val="22"/>
                <w:lang w:val="en-IE"/>
                <w14:ligatures w14:val="standardContextual"/>
              </w:rPr>
              <w:t xml:space="preserve">Proactive, coordinated policy action is witnessed across Europe. National and EU-level governments prioritise digital infrastructure development, implementing supportive strategies such as AI innovation hubs, tax incentives, and expedited permitting processes. Environmental goals are addressed in parallel, but through mechanisms that encourage rather than restrict growth, such as mandates for renewable energy procurement and circular economy initiatives. </w:t>
            </w:r>
          </w:p>
        </w:tc>
      </w:tr>
    </w:tbl>
    <w:p w14:paraId="3D3080CC" w14:textId="13091D4A" w:rsidR="003D3BD1" w:rsidRPr="00752430" w:rsidRDefault="00464BCF" w:rsidP="00B31119">
      <w:pPr>
        <w:pStyle w:val="Text1"/>
        <w:spacing w:before="120" w:after="120"/>
        <w:ind w:left="0"/>
        <w:rPr>
          <w:noProof/>
        </w:rPr>
      </w:pPr>
      <w:r>
        <w:rPr>
          <w:noProof/>
          <w:lang w:val="en-IE"/>
        </w:rPr>
        <w:t>A</w:t>
      </w:r>
      <w:r w:rsidRPr="000D3B5A">
        <w:rPr>
          <w:noProof/>
          <w:lang w:val="en-IE"/>
        </w:rPr>
        <w:t>s of 2025, all three scenarios converge at an estimated 12</w:t>
      </w:r>
      <w:r w:rsidR="003D3BD1">
        <w:rPr>
          <w:noProof/>
          <w:lang w:val="en-IE"/>
        </w:rPr>
        <w:t>.4</w:t>
      </w:r>
      <w:r w:rsidRPr="000D3B5A">
        <w:rPr>
          <w:noProof/>
          <w:lang w:val="en-IE"/>
        </w:rPr>
        <w:t xml:space="preserve"> GW of installed data centre capacity. This uniform starting point persists into 2026, with all paths reaching 15</w:t>
      </w:r>
      <w:r w:rsidR="008F673F">
        <w:rPr>
          <w:noProof/>
          <w:lang w:val="en-IE"/>
        </w:rPr>
        <w:t>.1</w:t>
      </w:r>
      <w:r w:rsidRPr="000D3B5A">
        <w:rPr>
          <w:noProof/>
          <w:lang w:val="en-IE"/>
        </w:rPr>
        <w:t xml:space="preserve"> GW, based on relatively firm visibility of near-term buildout plans and permitted sites.</w:t>
      </w:r>
      <w:r w:rsidR="006E642D">
        <w:rPr>
          <w:noProof/>
          <w:lang w:val="en-IE"/>
        </w:rPr>
        <w:t xml:space="preserve"> </w:t>
      </w:r>
      <w:r w:rsidRPr="000D3B5A">
        <w:rPr>
          <w:noProof/>
          <w:lang w:val="en-IE"/>
        </w:rPr>
        <w:t>However, the trajectories begin to diverge thereafter as each scenario follows the key assumptions outlined above from 2027 onwards. This projection broadly aligns with the literature, even though some sources present slightly less ambitious estimates, such as a forecasted capacity of 13.1 GW by 2027</w:t>
      </w:r>
      <w:r w:rsidRPr="000D3B5A">
        <w:rPr>
          <w:noProof/>
          <w:vertAlign w:val="superscript"/>
          <w:lang w:val="en-IE"/>
        </w:rPr>
        <w:footnoteReference w:id="25"/>
      </w:r>
      <w:r w:rsidRPr="000D3B5A">
        <w:rPr>
          <w:noProof/>
          <w:lang w:val="en-IE"/>
        </w:rPr>
        <w:t>.</w:t>
      </w:r>
    </w:p>
    <w:p w14:paraId="40A19308" w14:textId="2BE88E1B" w:rsidR="00D02C96" w:rsidRDefault="00612347" w:rsidP="00B31119">
      <w:pPr>
        <w:pStyle w:val="Text1"/>
        <w:spacing w:before="120" w:after="120"/>
        <w:ind w:left="0"/>
        <w:rPr>
          <w:noProof/>
          <w:lang w:val="en-IE"/>
        </w:rPr>
      </w:pPr>
      <w:r>
        <w:rPr>
          <w:noProof/>
          <w:lang w:val="en-IE"/>
        </w:rPr>
        <w:t>By</w:t>
      </w:r>
      <w:r w:rsidRPr="000D3B5A">
        <w:rPr>
          <w:noProof/>
          <w:lang w:val="en-IE"/>
        </w:rPr>
        <w:t xml:space="preserve"> </w:t>
      </w:r>
      <w:r w:rsidR="00464BCF" w:rsidRPr="000D3B5A">
        <w:rPr>
          <w:noProof/>
          <w:lang w:val="en-IE"/>
        </w:rPr>
        <w:t xml:space="preserve">2030, under the </w:t>
      </w:r>
      <w:r w:rsidR="00905814">
        <w:rPr>
          <w:noProof/>
          <w:lang w:val="en-IE"/>
        </w:rPr>
        <w:t>central</w:t>
      </w:r>
      <w:r w:rsidR="00464BCF" w:rsidRPr="000D3B5A">
        <w:rPr>
          <w:noProof/>
          <w:lang w:val="en-IE"/>
        </w:rPr>
        <w:t xml:space="preserve"> scenario, capacity reaches 28</w:t>
      </w:r>
      <w:r w:rsidR="00B922D9">
        <w:rPr>
          <w:noProof/>
          <w:lang w:val="en-IE"/>
        </w:rPr>
        <w:t xml:space="preserve"> </w:t>
      </w:r>
      <w:r w:rsidR="00464BCF" w:rsidRPr="000D3B5A">
        <w:rPr>
          <w:noProof/>
          <w:lang w:val="en-IE"/>
        </w:rPr>
        <w:t xml:space="preserve">GW. In the </w:t>
      </w:r>
      <w:r w:rsidR="00B922D9">
        <w:rPr>
          <w:noProof/>
          <w:lang w:val="en-IE"/>
        </w:rPr>
        <w:t>high</w:t>
      </w:r>
      <w:r w:rsidR="00464BCF" w:rsidRPr="000D3B5A">
        <w:rPr>
          <w:noProof/>
          <w:lang w:val="en-IE"/>
        </w:rPr>
        <w:t xml:space="preserve"> growth scenario, driven by heightened demand and accelerated infrastructure deployment, capacity increases more sharply to 3</w:t>
      </w:r>
      <w:r w:rsidR="00A15DE0">
        <w:rPr>
          <w:noProof/>
          <w:lang w:val="en-IE"/>
        </w:rPr>
        <w:t>3</w:t>
      </w:r>
      <w:r w:rsidR="00464BCF" w:rsidRPr="000D3B5A">
        <w:rPr>
          <w:noProof/>
          <w:lang w:val="en-IE"/>
        </w:rPr>
        <w:t xml:space="preserve"> GW. Meanwhile, the low growth scenario sees more modest expansion, with capacity reaching just 24 GW by the end of the decade. The CAGR from </w:t>
      </w:r>
      <w:r w:rsidR="00563E1E" w:rsidRPr="000D3B5A">
        <w:rPr>
          <w:noProof/>
          <w:lang w:val="en-IE"/>
        </w:rPr>
        <w:t>202</w:t>
      </w:r>
      <w:r w:rsidR="00563E1E">
        <w:rPr>
          <w:noProof/>
          <w:lang w:val="en-IE"/>
        </w:rPr>
        <w:t>5</w:t>
      </w:r>
      <w:r w:rsidR="00464BCF" w:rsidRPr="000D3B5A">
        <w:rPr>
          <w:noProof/>
          <w:lang w:val="en-IE"/>
        </w:rPr>
        <w:t>-</w:t>
      </w:r>
      <w:r w:rsidR="00563E1E" w:rsidRPr="000D3B5A">
        <w:rPr>
          <w:noProof/>
          <w:lang w:val="en-IE"/>
        </w:rPr>
        <w:t>3</w:t>
      </w:r>
      <w:r w:rsidR="00563E1E">
        <w:rPr>
          <w:noProof/>
          <w:lang w:val="en-IE"/>
        </w:rPr>
        <w:t>6</w:t>
      </w:r>
      <w:r w:rsidR="00464BCF" w:rsidRPr="000D3B5A">
        <w:rPr>
          <w:noProof/>
          <w:lang w:val="en-IE"/>
        </w:rPr>
        <w:t xml:space="preserve"> for the low growth scenario is 9%, for the </w:t>
      </w:r>
      <w:r w:rsidR="00A15DE0">
        <w:rPr>
          <w:noProof/>
          <w:lang w:val="en-IE"/>
        </w:rPr>
        <w:t>central growth</w:t>
      </w:r>
      <w:r w:rsidR="00464BCF" w:rsidRPr="000D3B5A">
        <w:rPr>
          <w:noProof/>
          <w:lang w:val="en-IE"/>
        </w:rPr>
        <w:t xml:space="preserve"> scenario is </w:t>
      </w:r>
      <w:r w:rsidR="00563E1E" w:rsidRPr="000D3B5A">
        <w:rPr>
          <w:noProof/>
          <w:lang w:val="en-IE"/>
        </w:rPr>
        <w:t>1</w:t>
      </w:r>
      <w:r w:rsidR="00563E1E">
        <w:rPr>
          <w:noProof/>
          <w:lang w:val="en-IE"/>
        </w:rPr>
        <w:t>2</w:t>
      </w:r>
      <w:r w:rsidR="00464BCF" w:rsidRPr="000D3B5A">
        <w:rPr>
          <w:noProof/>
          <w:lang w:val="en-IE"/>
        </w:rPr>
        <w:t xml:space="preserve">% and for the fast growth scenario is </w:t>
      </w:r>
      <w:r w:rsidR="00563E1E" w:rsidRPr="000D3B5A">
        <w:rPr>
          <w:noProof/>
          <w:lang w:val="en-IE"/>
        </w:rPr>
        <w:t>1</w:t>
      </w:r>
      <w:r w:rsidR="00563E1E">
        <w:rPr>
          <w:noProof/>
          <w:lang w:val="en-IE"/>
        </w:rPr>
        <w:t>5</w:t>
      </w:r>
      <w:r w:rsidR="00464BCF" w:rsidRPr="000D3B5A">
        <w:rPr>
          <w:noProof/>
          <w:lang w:val="en-IE"/>
        </w:rPr>
        <w:t xml:space="preserve">%. </w:t>
      </w:r>
    </w:p>
    <w:p w14:paraId="39B1704D" w14:textId="5160C105" w:rsidR="00EA7EDC" w:rsidRDefault="00464BCF" w:rsidP="00443520">
      <w:pPr>
        <w:pStyle w:val="Text1"/>
        <w:spacing w:before="120" w:after="120"/>
        <w:ind w:left="0"/>
        <w:rPr>
          <w:noProof/>
        </w:rPr>
      </w:pPr>
      <w:r w:rsidRPr="000D3B5A">
        <w:rPr>
          <w:noProof/>
          <w:lang w:val="en-IE"/>
        </w:rPr>
        <w:t>Extending the forecast horizon to 203</w:t>
      </w:r>
      <w:r w:rsidR="00D02C96">
        <w:rPr>
          <w:noProof/>
          <w:lang w:val="en-IE"/>
        </w:rPr>
        <w:t>6</w:t>
      </w:r>
      <w:r w:rsidRPr="000D3B5A">
        <w:rPr>
          <w:noProof/>
          <w:lang w:val="en-IE"/>
        </w:rPr>
        <w:t xml:space="preserve"> introduces a higher degree of uncertainty, largely due to evolving market dynamics, potential technological breakthroughs, and a lack of visibility into planned or in-progress developments beyond the 2026–2030 window. That said, the divergence between the scenarios becomes more pronounced. In the low growth scenario, installed capacity reaches 3</w:t>
      </w:r>
      <w:r w:rsidR="00540463">
        <w:rPr>
          <w:noProof/>
          <w:lang w:val="en-IE"/>
        </w:rPr>
        <w:t>1</w:t>
      </w:r>
      <w:r w:rsidRPr="000D3B5A">
        <w:rPr>
          <w:noProof/>
          <w:lang w:val="en-IE"/>
        </w:rPr>
        <w:t xml:space="preserve"> GW, while the </w:t>
      </w:r>
      <w:r w:rsidR="00D02C96">
        <w:rPr>
          <w:noProof/>
          <w:lang w:val="en-IE"/>
        </w:rPr>
        <w:t xml:space="preserve">central </w:t>
      </w:r>
      <w:r w:rsidRPr="000D3B5A">
        <w:rPr>
          <w:noProof/>
          <w:lang w:val="en-IE"/>
        </w:rPr>
        <w:t>trajectory leads to 4</w:t>
      </w:r>
      <w:r w:rsidR="00540463">
        <w:rPr>
          <w:noProof/>
          <w:lang w:val="en-IE"/>
        </w:rPr>
        <w:t>2</w:t>
      </w:r>
      <w:r w:rsidRPr="000D3B5A">
        <w:rPr>
          <w:noProof/>
          <w:lang w:val="en-IE"/>
        </w:rPr>
        <w:t xml:space="preserve"> GW. The </w:t>
      </w:r>
      <w:r w:rsidR="00D02C96">
        <w:rPr>
          <w:noProof/>
          <w:lang w:val="en-IE"/>
        </w:rPr>
        <w:t>high</w:t>
      </w:r>
      <w:r w:rsidRPr="000D3B5A">
        <w:rPr>
          <w:noProof/>
          <w:lang w:val="en-IE"/>
        </w:rPr>
        <w:t xml:space="preserve"> growth scenario sees capacity expand dramatically to over </w:t>
      </w:r>
      <w:r w:rsidR="00540463">
        <w:rPr>
          <w:noProof/>
          <w:lang w:val="en-IE"/>
        </w:rPr>
        <w:t>60</w:t>
      </w:r>
      <w:r w:rsidR="00540463" w:rsidRPr="000D3B5A">
        <w:rPr>
          <w:noProof/>
          <w:lang w:val="en-IE"/>
        </w:rPr>
        <w:t xml:space="preserve"> </w:t>
      </w:r>
      <w:r w:rsidRPr="000D3B5A">
        <w:rPr>
          <w:noProof/>
          <w:lang w:val="en-IE"/>
        </w:rPr>
        <w:t xml:space="preserve">GW, representing a 55% increase over the </w:t>
      </w:r>
      <w:r w:rsidR="00D02C96">
        <w:rPr>
          <w:noProof/>
          <w:lang w:val="en-IE"/>
        </w:rPr>
        <w:t xml:space="preserve">central </w:t>
      </w:r>
      <w:r w:rsidRPr="000D3B5A">
        <w:rPr>
          <w:noProof/>
          <w:lang w:val="en-IE"/>
        </w:rPr>
        <w:t>forecast</w:t>
      </w:r>
      <w:r>
        <w:rPr>
          <w:noProof/>
          <w:lang w:val="en-IE"/>
        </w:rPr>
        <w:t xml:space="preserve">, as shown in the Figure below. </w:t>
      </w:r>
    </w:p>
    <w:p w14:paraId="2DDA759B" w14:textId="77777777" w:rsidR="00EA7EDC" w:rsidRDefault="00EA7EDC" w:rsidP="008150C9">
      <w:pPr>
        <w:pStyle w:val="Caption"/>
        <w:rPr>
          <w:noProof/>
        </w:rPr>
      </w:pPr>
    </w:p>
    <w:p w14:paraId="3CAF2DF1" w14:textId="7A054718" w:rsidR="008150C9" w:rsidRPr="004E72B3" w:rsidRDefault="008150C9" w:rsidP="002C1B83">
      <w:pPr>
        <w:pStyle w:val="Caption"/>
        <w:keepNext/>
        <w:rPr>
          <w:noProof/>
        </w:rPr>
      </w:pPr>
      <w:r w:rsidRPr="004E72B3">
        <w:rPr>
          <w:noProof/>
        </w:rPr>
        <w:t xml:space="preserve">Figure </w:t>
      </w:r>
      <w:r w:rsidRPr="004E72B3">
        <w:rPr>
          <w:noProof/>
        </w:rPr>
        <w:fldChar w:fldCharType="begin"/>
      </w:r>
      <w:r w:rsidRPr="004E72B3">
        <w:rPr>
          <w:noProof/>
        </w:rPr>
        <w:instrText xml:space="preserve"> SEQ Figure \* ARABIC </w:instrText>
      </w:r>
      <w:r w:rsidRPr="004E72B3">
        <w:rPr>
          <w:noProof/>
        </w:rPr>
        <w:fldChar w:fldCharType="separate"/>
      </w:r>
      <w:r w:rsidR="000E7F11">
        <w:rPr>
          <w:noProof/>
        </w:rPr>
        <w:t>1</w:t>
      </w:r>
      <w:r w:rsidRPr="004E72B3">
        <w:rPr>
          <w:noProof/>
        </w:rPr>
        <w:fldChar w:fldCharType="end"/>
      </w:r>
      <w:r w:rsidRPr="004E72B3">
        <w:rPr>
          <w:noProof/>
        </w:rPr>
        <w:t xml:space="preserve">. Data centre capacity across the EU27 in GW from 2025-36 across three growth scenarios </w:t>
      </w:r>
    </w:p>
    <w:p w14:paraId="0DA14DD3" w14:textId="1F617AA3" w:rsidR="003739F4" w:rsidRPr="003739F4" w:rsidRDefault="00464BCF" w:rsidP="003739F4">
      <w:pPr>
        <w:pStyle w:val="Text1"/>
        <w:spacing w:after="0"/>
        <w:ind w:left="0"/>
        <w:jc w:val="right"/>
        <w:rPr>
          <w:i/>
          <w:noProof/>
          <w:sz w:val="18"/>
          <w:szCs w:val="14"/>
          <w:lang w:val="en-IE"/>
        </w:rPr>
      </w:pPr>
      <w:r>
        <w:rPr>
          <w:i/>
          <w:noProof/>
          <w:lang w:eastAsia="en-GB"/>
        </w:rPr>
        <w:drawing>
          <wp:anchor distT="0" distB="0" distL="114300" distR="114300" simplePos="0" relativeHeight="251658240" behindDoc="1" locked="0" layoutInCell="1" allowOverlap="1" wp14:anchorId="1A96CFF9" wp14:editId="2375A203">
            <wp:simplePos x="0" y="0"/>
            <wp:positionH relativeFrom="column">
              <wp:posOffset>-3810</wp:posOffset>
            </wp:positionH>
            <wp:positionV relativeFrom="paragraph">
              <wp:posOffset>3175</wp:posOffset>
            </wp:positionV>
            <wp:extent cx="5721350" cy="2964815"/>
            <wp:effectExtent l="0" t="0" r="0" b="6985"/>
            <wp:wrapThrough wrapText="bothSides">
              <wp:wrapPolygon edited="0">
                <wp:start x="0" y="0"/>
                <wp:lineTo x="0" y="21512"/>
                <wp:lineTo x="21504" y="21512"/>
                <wp:lineTo x="21504" y="0"/>
                <wp:lineTo x="0" y="0"/>
              </wp:wrapPolygon>
            </wp:wrapThrough>
            <wp:docPr id="82238400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84008" name="Picture 1" descr="A graph of different colored line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1350" cy="2964815"/>
                    </a:xfrm>
                    <a:prstGeom prst="rect">
                      <a:avLst/>
                    </a:prstGeom>
                    <a:noFill/>
                  </pic:spPr>
                </pic:pic>
              </a:graphicData>
            </a:graphic>
            <wp14:sizeRelH relativeFrom="margin">
              <wp14:pctWidth>0</wp14:pctWidth>
            </wp14:sizeRelH>
            <wp14:sizeRelV relativeFrom="margin">
              <wp14:pctHeight>0</wp14:pctHeight>
            </wp14:sizeRelV>
          </wp:anchor>
        </w:drawing>
      </w:r>
      <w:r w:rsidR="003739F4" w:rsidRPr="003739F4">
        <w:rPr>
          <w:i/>
          <w:noProof/>
          <w:sz w:val="18"/>
          <w:szCs w:val="14"/>
          <w:lang w:val="en-IE"/>
        </w:rPr>
        <w:t>Source: Technopolis et al. (2025) by means of a CATI survey (n=100 companies, 280 Data Centres), DataCentreMap</w:t>
      </w:r>
    </w:p>
    <w:p w14:paraId="4A1B2B11" w14:textId="650487FF" w:rsidR="00464BCF" w:rsidRPr="00A54618" w:rsidRDefault="00464BCF" w:rsidP="00464BCF">
      <w:pPr>
        <w:pStyle w:val="Text1"/>
        <w:spacing w:before="240"/>
        <w:ind w:left="0"/>
        <w:rPr>
          <w:noProof/>
          <w:lang w:val="en-IE"/>
        </w:rPr>
      </w:pPr>
      <w:r w:rsidRPr="005F6F07">
        <w:rPr>
          <w:noProof/>
          <w:lang w:val="en-IE"/>
        </w:rPr>
        <w:t>These findings complement existing literature, which forecasts a rapid growth in European data centre capacities in the coming years driven by the breakthrough of AI</w:t>
      </w:r>
      <w:r w:rsidRPr="005F6F07">
        <w:rPr>
          <w:noProof/>
          <w:vertAlign w:val="superscript"/>
          <w:lang w:val="en-IE"/>
        </w:rPr>
        <w:footnoteReference w:id="26"/>
      </w:r>
      <w:r w:rsidRPr="005F6F07">
        <w:rPr>
          <w:noProof/>
          <w:lang w:val="en-IE"/>
        </w:rPr>
        <w:t>. While a diversification of data centre markets is similarly expected, the literature places more emphasis on constraints affecting the growth of emerging markets, including limited power grid capacity and less developed economic or business ecosystems</w:t>
      </w:r>
      <w:r w:rsidRPr="005F6F07">
        <w:rPr>
          <w:noProof/>
          <w:vertAlign w:val="superscript"/>
          <w:lang w:val="en-IE"/>
        </w:rPr>
        <w:footnoteReference w:id="27"/>
      </w:r>
      <w:r w:rsidRPr="005F6F07">
        <w:rPr>
          <w:noProof/>
          <w:lang w:val="en-IE"/>
        </w:rPr>
        <w:t>.</w:t>
      </w:r>
      <w:r w:rsidR="00E4166D">
        <w:rPr>
          <w:noProof/>
          <w:lang w:val="en-IE"/>
        </w:rPr>
        <w:t>Technologies typically follow an S-curve growth rate and so is the expectation about data centre growth, implying that at some point in the future, the CAGR will start declining. The study has modelled a partial inflection of growth rates after 2030 but finds that other inflexion points are not expected in the time horizon contemplated here.</w:t>
      </w:r>
    </w:p>
    <w:p w14:paraId="05BAC6CC" w14:textId="746CA887" w:rsidR="004A6D46" w:rsidRPr="009F2DE7" w:rsidRDefault="004A6D46" w:rsidP="004A6D46">
      <w:pPr>
        <w:rPr>
          <w:noProof/>
        </w:rPr>
      </w:pPr>
      <w:r w:rsidRPr="009F2DE7">
        <w:rPr>
          <w:noProof/>
        </w:rPr>
        <w:t xml:space="preserve">To estimate near-term growth, the Data Centre Map dataset was leveraged, since it includes site-level information of facilities "Under Construction" and "Planned." All data centres identified as "Under Construction" were assumed to be operational by 2026, reflecting standard build timelines and aligning with industry expectations. Facilities classified as "Planned" were incorporated into our longer-term forecasts, with their capacity distributed evenly across the 2026–2030 period. Information from government sources, company announcements, and market reports has been consulted to cross-check against these estimates. These sites </w:t>
      </w:r>
      <w:r>
        <w:rPr>
          <w:noProof/>
        </w:rPr>
        <w:t>were</w:t>
      </w:r>
      <w:r w:rsidRPr="009F2DE7">
        <w:rPr>
          <w:noProof/>
        </w:rPr>
        <w:t xml:space="preserve"> then assigned to NUTS-1 regions through geospatial mapping and manual checks where coordinates are missing. Projections beyond 2027 are also adjusted for regional and market maturity categories (primary, secondary, developing) across the three scenarios.</w:t>
      </w:r>
    </w:p>
    <w:p w14:paraId="6D457FF3" w14:textId="7C9F3AE7" w:rsidR="00B678DC" w:rsidRDefault="004A6D46" w:rsidP="004A6D46">
      <w:pPr>
        <w:rPr>
          <w:noProof/>
        </w:rPr>
      </w:pPr>
      <w:r w:rsidRPr="009F2DE7">
        <w:rPr>
          <w:noProof/>
        </w:rPr>
        <w:t>To assess the realism of projected capacity, a natural resource constraint at the NUTS 1 level was incorporated. This was based on the national electricity generation capacity from 2020–2024 available from the European Commission’s Europe and Industry dataset and downscaled to the NUTS 1 level. This data was used to project grid capacity to 2036, applying historical CAGR trends.</w:t>
      </w:r>
      <w:r>
        <w:rPr>
          <w:noProof/>
        </w:rPr>
        <w:t xml:space="preserve"> </w:t>
      </w:r>
      <w:r w:rsidRPr="009F2DE7">
        <w:rPr>
          <w:noProof/>
        </w:rPr>
        <w:t>A validation threshold was then introduced to ensure that forecasted data centre capacity does not exceed a set share of regional power generation. This percentage was 20% for the central scenario, to reflect a situation where data centres become a relevant electricity user in line with emerging patterns in highly digitised regions; a more conservative 10% for the low scenario to reflect tighter grid constraints; while no constraints were considered for the high scenario under the assumption that major public and private investment in grid modernisation would enable substantial increases in available electrical capacity.</w:t>
      </w:r>
    </w:p>
    <w:p w14:paraId="7BE5C828" w14:textId="4E8E624F" w:rsidR="00BA490B" w:rsidRPr="005372DD" w:rsidRDefault="00285F24" w:rsidP="00285F24">
      <w:pPr>
        <w:pStyle w:val="Heading3"/>
        <w:numPr>
          <w:ilvl w:val="3"/>
          <w:numId w:val="39"/>
        </w:numPr>
        <w:rPr>
          <w:rFonts w:eastAsia="Calibri"/>
          <w:noProof/>
        </w:rPr>
      </w:pPr>
      <w:r>
        <w:rPr>
          <w:noProof/>
        </w:rPr>
        <w:t xml:space="preserve">Scale, timing and distribution of new capacity </w:t>
      </w:r>
    </w:p>
    <w:p w14:paraId="6AA6F8DE" w14:textId="66C6D630" w:rsidR="00456DE4" w:rsidRPr="009F2DE7" w:rsidRDefault="00456DE4" w:rsidP="00456DE4">
      <w:pPr>
        <w:pStyle w:val="Reply"/>
        <w:rPr>
          <w:noProof/>
        </w:rPr>
      </w:pPr>
      <w:r>
        <w:rPr>
          <w:noProof/>
        </w:rPr>
        <w:t>This section</w:t>
      </w:r>
      <w:r w:rsidRPr="009F2DE7">
        <w:rPr>
          <w:noProof/>
        </w:rPr>
        <w:t xml:space="preserve"> provides additional information on the scale, timing, geographic distribution and functional orientation (AI-readiness) of new data centre capacity within the EU-27 under the central growth (baseline) scenario.</w:t>
      </w:r>
    </w:p>
    <w:p w14:paraId="22A64DDE" w14:textId="77777777" w:rsidR="00456DE4" w:rsidRPr="009F2DE7" w:rsidRDefault="00456DE4" w:rsidP="00456DE4">
      <w:pPr>
        <w:rPr>
          <w:noProof/>
        </w:rPr>
      </w:pPr>
      <w:r w:rsidRPr="009F2DE7">
        <w:rPr>
          <w:b/>
          <w:noProof/>
          <w:u w:val="single"/>
        </w:rPr>
        <w:t>Scale</w:t>
      </w:r>
      <w:r w:rsidRPr="009F2DE7">
        <w:rPr>
          <w:noProof/>
        </w:rPr>
        <w:t>: the split between hyperscalers and colocation facilities is illustrated here below.</w:t>
      </w:r>
    </w:p>
    <w:p w14:paraId="610602BB" w14:textId="77777777" w:rsidR="00456DE4" w:rsidRPr="009F2DE7" w:rsidRDefault="00456DE4" w:rsidP="00456DE4">
      <w:pPr>
        <w:pStyle w:val="ListParagraph"/>
        <w:ind w:left="360" w:hanging="360"/>
        <w:rPr>
          <w:i/>
          <w:noProof/>
        </w:rPr>
      </w:pPr>
      <w:r w:rsidRPr="009F2DE7">
        <w:rPr>
          <w:noProof/>
          <w:lang w:eastAsia="en-GB"/>
        </w:rPr>
        <w:drawing>
          <wp:inline distT="0" distB="0" distL="0" distR="0" wp14:anchorId="3AFDF8AB" wp14:editId="3C3991F6">
            <wp:extent cx="5731510" cy="628650"/>
            <wp:effectExtent l="0" t="0" r="2540" b="0"/>
            <wp:docPr id="162049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628650"/>
                    </a:xfrm>
                    <a:prstGeom prst="rect">
                      <a:avLst/>
                    </a:prstGeom>
                    <a:noFill/>
                    <a:ln>
                      <a:noFill/>
                    </a:ln>
                  </pic:spPr>
                </pic:pic>
              </a:graphicData>
            </a:graphic>
          </wp:inline>
        </w:drawing>
      </w:r>
    </w:p>
    <w:p w14:paraId="3EA3ABE8" w14:textId="66C3A5B0" w:rsidR="00456DE4" w:rsidRPr="009F2DE7" w:rsidRDefault="00456DE4" w:rsidP="00456DE4">
      <w:pPr>
        <w:rPr>
          <w:noProof/>
        </w:rPr>
      </w:pPr>
      <w:r w:rsidRPr="009F2DE7">
        <w:rPr>
          <w:b/>
          <w:noProof/>
          <w:u w:val="single"/>
        </w:rPr>
        <w:t>AI-readiness</w:t>
      </w:r>
      <w:r w:rsidRPr="009F2DE7">
        <w:rPr>
          <w:noProof/>
        </w:rPr>
        <w:t>: based on the results of the CATI survey, the study estimated that in 2025 approximately 12% of total EU-27 data centre capacity is AI-ready, defined as infrastructure capable of supporting high-density AI workloads (e.g. GPU-accelerated compute, advanced cooling, and power delivery). Survey responses indicate that hyperscale operators report a substantially higher share of AI-ready capacity than colocation providers, a finding that mirrors the scale of hyperscaler investment in advanced GPU architectures. Building on this baseline, three forward-looking scenarios for AI-ready capacity as a share of total data centre infrastructure were developed.</w:t>
      </w:r>
    </w:p>
    <w:p w14:paraId="2806B34E" w14:textId="77777777" w:rsidR="00456DE4" w:rsidRPr="009F2DE7" w:rsidRDefault="00456DE4" w:rsidP="00456DE4">
      <w:pPr>
        <w:pStyle w:val="ListParagraph"/>
        <w:numPr>
          <w:ilvl w:val="1"/>
          <w:numId w:val="109"/>
        </w:numPr>
        <w:spacing w:after="160" w:line="278" w:lineRule="auto"/>
        <w:rPr>
          <w:noProof/>
        </w:rPr>
      </w:pPr>
      <w:r w:rsidRPr="009F2DE7">
        <w:rPr>
          <w:noProof/>
        </w:rPr>
        <w:t>Slow growth scenario: By 2036, approximately 35% of total data centre capacity is AI-ready, corresponding to an average growth rate of ~32% over the ten-year period.</w:t>
      </w:r>
    </w:p>
    <w:p w14:paraId="241990E1" w14:textId="77777777" w:rsidR="00456DE4" w:rsidRPr="009F2DE7" w:rsidRDefault="00456DE4" w:rsidP="00456DE4">
      <w:pPr>
        <w:pStyle w:val="ListParagraph"/>
        <w:numPr>
          <w:ilvl w:val="1"/>
          <w:numId w:val="109"/>
        </w:numPr>
        <w:spacing w:after="160" w:line="278" w:lineRule="auto"/>
        <w:rPr>
          <w:noProof/>
        </w:rPr>
      </w:pPr>
      <w:r w:rsidRPr="009F2DE7">
        <w:rPr>
          <w:noProof/>
        </w:rPr>
        <w:t>Baseline growth scenario: By 2036, approximately 64% of data centre infrastructure is AI-ready.</w:t>
      </w:r>
    </w:p>
    <w:p w14:paraId="03D7BD8A" w14:textId="77777777" w:rsidR="00456DE4" w:rsidRPr="009F2DE7" w:rsidRDefault="00456DE4" w:rsidP="00456DE4">
      <w:pPr>
        <w:pStyle w:val="ListParagraph"/>
        <w:numPr>
          <w:ilvl w:val="1"/>
          <w:numId w:val="109"/>
        </w:numPr>
        <w:spacing w:after="160" w:line="278" w:lineRule="auto"/>
        <w:rPr>
          <w:noProof/>
        </w:rPr>
      </w:pPr>
      <w:r w:rsidRPr="009F2DE7">
        <w:rPr>
          <w:noProof/>
        </w:rPr>
        <w:t>Fast growth scenario: By 2036, approximately 85% of data centre infrastructure is AI-ready, directly aligned with the upper-bound expectations reported by CATI survey participants</w:t>
      </w:r>
    </w:p>
    <w:p w14:paraId="2D57D1B9" w14:textId="670F8127" w:rsidR="009D05A6" w:rsidRDefault="00456DE4" w:rsidP="0060592C">
      <w:pPr>
        <w:spacing w:after="120"/>
        <w:rPr>
          <w:noProof/>
        </w:rPr>
      </w:pPr>
      <w:r w:rsidRPr="009F2DE7">
        <w:rPr>
          <w:noProof/>
        </w:rPr>
        <w:t>These results were also validated through the several interviews with relevant stakeholders and two workshops organized in the context of the study</w:t>
      </w:r>
      <w:r w:rsidR="00B945F2">
        <w:rPr>
          <w:noProof/>
        </w:rPr>
        <w:t>.</w:t>
      </w:r>
    </w:p>
    <w:p w14:paraId="602EBB6B" w14:textId="64490A57" w:rsidR="009D6714" w:rsidRPr="00BE20E9" w:rsidRDefault="00E8018E" w:rsidP="00BE20E9">
      <w:pPr>
        <w:rPr>
          <w:noProof/>
        </w:rPr>
      </w:pPr>
      <w:r>
        <w:rPr>
          <w:noProof/>
        </w:rPr>
        <w:t>In practice, i</w:t>
      </w:r>
      <w:r w:rsidRPr="009F2DE7">
        <w:rPr>
          <w:noProof/>
        </w:rPr>
        <w:t>n relation</w:t>
      </w:r>
      <w:r w:rsidRPr="009F2DE7">
        <w:rPr>
          <w:bCs/>
          <w:noProof/>
        </w:rPr>
        <w:t xml:space="preserve"> to computing capacity, the market and technical reality does not lend itself to a distinction between different types of supply with the exception of the training of large AI models. As discussed in Annex 8, the training of AI models requires large, concentrated amounts of computing power. For training, low latency is not as important as for the later stages in an AI model’s lifecycle. This sets AI training facilities somehow apart. To a lesser extent, large facilities dedicated to a single client (typically hyperscalers) do not need to be in proximity to an economic centre, to the difference of colocation data centres which tend to be located next to their clients, so closer to economically active areas. </w:t>
      </w:r>
      <w:r>
        <w:rPr>
          <w:bCs/>
          <w:noProof/>
        </w:rPr>
        <w:t>The policy</w:t>
      </w:r>
      <w:r w:rsidRPr="009F2DE7">
        <w:rPr>
          <w:bCs/>
          <w:noProof/>
        </w:rPr>
        <w:t xml:space="preserve"> intervention is mostly agnostic on these considerations as the most pressing needs of data centres do not differ significantly based on their end use. </w:t>
      </w:r>
      <w:r w:rsidR="00054681">
        <w:rPr>
          <w:bCs/>
          <w:noProof/>
        </w:rPr>
        <w:t>One of its objectives is to</w:t>
      </w:r>
      <w:r w:rsidR="00054681" w:rsidRPr="009F2DE7">
        <w:rPr>
          <w:bCs/>
          <w:noProof/>
        </w:rPr>
        <w:t xml:space="preserve"> create the right conditions for a faster build-out of data centres and is agnostic to their ultimate use, allowing the market to find the right balance.</w:t>
      </w:r>
      <w:r w:rsidR="00054681">
        <w:rPr>
          <w:bCs/>
          <w:noProof/>
        </w:rPr>
        <w:t xml:space="preserve"> </w:t>
      </w:r>
      <w:r w:rsidRPr="009F2DE7">
        <w:rPr>
          <w:bCs/>
          <w:noProof/>
        </w:rPr>
        <w:t>That is why the capacity gap</w:t>
      </w:r>
      <w:r w:rsidR="00054681">
        <w:rPr>
          <w:bCs/>
          <w:noProof/>
        </w:rPr>
        <w:t xml:space="preserve"> presented in Annex 9 (baseline scenario)</w:t>
      </w:r>
      <w:r w:rsidRPr="009F2DE7">
        <w:rPr>
          <w:bCs/>
          <w:noProof/>
        </w:rPr>
        <w:t xml:space="preserve"> looks at total data centre capacity and does not differentiate data centre according to their use (in the colocation context, the data centre operators would not even know for which downstream purpose their clients use of the server rooms offered by the colocation provider). </w:t>
      </w:r>
    </w:p>
    <w:p w14:paraId="00B24B01" w14:textId="12FFEB79" w:rsidR="00EA5A9C" w:rsidRDefault="00EA5A9C" w:rsidP="00BA490B">
      <w:pPr>
        <w:pStyle w:val="Heading3"/>
        <w:numPr>
          <w:ilvl w:val="2"/>
          <w:numId w:val="108"/>
        </w:numPr>
        <w:ind w:left="1872"/>
        <w:rPr>
          <w:noProof/>
        </w:rPr>
      </w:pPr>
      <w:bookmarkStart w:id="128" w:name="_Toc208595295"/>
      <w:bookmarkStart w:id="129" w:name="_Toc208836920"/>
      <w:bookmarkStart w:id="130" w:name="_Ref213414542"/>
      <w:bookmarkStart w:id="131" w:name="_Toc214519693"/>
      <w:bookmarkStart w:id="132" w:name="_Ref214535550"/>
      <w:r>
        <w:rPr>
          <w:noProof/>
        </w:rPr>
        <w:t>Data centre demand growth</w:t>
      </w:r>
    </w:p>
    <w:p w14:paraId="1581643D" w14:textId="0150278B" w:rsidR="009840E6" w:rsidRPr="009840E6" w:rsidRDefault="009840E6" w:rsidP="009840E6">
      <w:pPr>
        <w:rPr>
          <w:noProof/>
          <w:lang w:val="en-IE"/>
        </w:rPr>
      </w:pPr>
      <w:r w:rsidRPr="0007547C">
        <w:rPr>
          <w:noProof/>
        </w:rPr>
        <w:t xml:space="preserve">The </w:t>
      </w:r>
      <w:r w:rsidR="006228B9" w:rsidRPr="0007547C">
        <w:rPr>
          <w:noProof/>
        </w:rPr>
        <w:t xml:space="preserve">estimation of </w:t>
      </w:r>
      <w:r w:rsidR="006228B9">
        <w:rPr>
          <w:noProof/>
        </w:rPr>
        <w:t>data centre demand</w:t>
      </w:r>
      <w:r w:rsidR="006228B9" w:rsidRPr="0007547C">
        <w:rPr>
          <w:noProof/>
        </w:rPr>
        <w:t xml:space="preserve"> builds on </w:t>
      </w:r>
      <w:r w:rsidR="006228B9">
        <w:rPr>
          <w:noProof/>
        </w:rPr>
        <w:t>three</w:t>
      </w:r>
      <w:r w:rsidR="006228B9" w:rsidRPr="0007547C">
        <w:rPr>
          <w:noProof/>
        </w:rPr>
        <w:t xml:space="preserve"> scenarios (measured in MW) identified in </w:t>
      </w:r>
      <w:r w:rsidR="006228B9" w:rsidRPr="008D0BAC">
        <w:rPr>
          <w:noProof/>
          <w:lang w:val="en-IE"/>
        </w:rPr>
        <w:t xml:space="preserve">Technopolis et al. </w:t>
      </w:r>
      <w:r w:rsidR="006228B9" w:rsidRPr="00477260">
        <w:rPr>
          <w:noProof/>
          <w:lang w:val="en-US"/>
        </w:rPr>
        <w:t>(2025), “Study: Cloud and AI”</w:t>
      </w:r>
      <w:r w:rsidR="006228B9" w:rsidRPr="0007547C">
        <w:rPr>
          <w:noProof/>
        </w:rPr>
        <w:t>. The analysis presents</w:t>
      </w:r>
      <w:r w:rsidRPr="0007547C">
        <w:rPr>
          <w:noProof/>
        </w:rPr>
        <w:t xml:space="preserve"> corresponding projections </w:t>
      </w:r>
      <w:r w:rsidRPr="009840E6">
        <w:rPr>
          <w:noProof/>
          <w:lang w:val="en-IE"/>
        </w:rPr>
        <w:t>for data centre demand across the EU27 region based off the characteristics of three strategic scenarios (low growth, central, and high growth). These projections illustrate the potential evolution of enterprise demand over the next decade.</w:t>
      </w:r>
    </w:p>
    <w:p w14:paraId="1FEF4244" w14:textId="44023A2D" w:rsidR="009840E6" w:rsidRPr="009840E6" w:rsidRDefault="009840E6" w:rsidP="009D5FA4">
      <w:pPr>
        <w:pStyle w:val="Caption"/>
        <w:rPr>
          <w:noProof/>
        </w:rPr>
      </w:pPr>
      <w:r w:rsidRPr="009840E6">
        <w:rPr>
          <w:noProof/>
        </w:rPr>
        <w:t xml:space="preserve">Table </w:t>
      </w:r>
      <w:r w:rsidR="009D5FA4">
        <w:rPr>
          <w:noProof/>
        </w:rPr>
        <w:fldChar w:fldCharType="begin"/>
      </w:r>
      <w:r w:rsidR="009D5FA4">
        <w:rPr>
          <w:noProof/>
        </w:rPr>
        <w:instrText xml:space="preserve"> SEQ Table \* ARABIC </w:instrText>
      </w:r>
      <w:r w:rsidR="009D5FA4">
        <w:rPr>
          <w:noProof/>
        </w:rPr>
        <w:fldChar w:fldCharType="separate"/>
      </w:r>
      <w:r w:rsidR="000E7F11">
        <w:rPr>
          <w:noProof/>
        </w:rPr>
        <w:t>9</w:t>
      </w:r>
      <w:r w:rsidR="009D5FA4">
        <w:rPr>
          <w:noProof/>
        </w:rPr>
        <w:fldChar w:fldCharType="end"/>
      </w:r>
      <w:r w:rsidR="009D5FA4">
        <w:rPr>
          <w:noProof/>
        </w:rPr>
        <w:t>.</w:t>
      </w:r>
      <w:r w:rsidRPr="009840E6">
        <w:rPr>
          <w:noProof/>
        </w:rPr>
        <w:t xml:space="preserve"> Overview of low growth, baseline and high growth scenarios for data centre demand</w:t>
      </w:r>
    </w:p>
    <w:tbl>
      <w:tblPr>
        <w:tblW w:w="5000" w:type="pct"/>
        <w:tblLook w:val="0420" w:firstRow="1" w:lastRow="0" w:firstColumn="0" w:lastColumn="0" w:noHBand="0" w:noVBand="1"/>
      </w:tblPr>
      <w:tblGrid>
        <w:gridCol w:w="1313"/>
        <w:gridCol w:w="1460"/>
        <w:gridCol w:w="6272"/>
      </w:tblGrid>
      <w:tr w:rsidR="004333D4" w:rsidRPr="006467A8" w14:paraId="3E92DE9A" w14:textId="77777777">
        <w:trPr>
          <w:trHeight w:val="462"/>
          <w:tblHeader/>
        </w:trPr>
        <w:tc>
          <w:tcPr>
            <w:tcW w:w="726" w:type="pct"/>
            <w:tcBorders>
              <w:bottom w:val="single" w:sz="12" w:space="0" w:color="00B0F0"/>
            </w:tcBorders>
            <w:vAlign w:val="center"/>
            <w:hideMark/>
          </w:tcPr>
          <w:p w14:paraId="36D8A200" w14:textId="77777777" w:rsidR="004333D4" w:rsidRPr="004A5303" w:rsidRDefault="004333D4">
            <w:pPr>
              <w:spacing w:after="120"/>
              <w:jc w:val="center"/>
              <w:rPr>
                <w:b/>
                <w:bCs/>
                <w:noProof/>
                <w:sz w:val="22"/>
                <w:szCs w:val="22"/>
              </w:rPr>
            </w:pPr>
            <w:r w:rsidRPr="004A5303">
              <w:rPr>
                <w:b/>
                <w:bCs/>
                <w:noProof/>
                <w:sz w:val="22"/>
                <w:szCs w:val="22"/>
              </w:rPr>
              <w:t>Scenario</w:t>
            </w:r>
          </w:p>
        </w:tc>
        <w:tc>
          <w:tcPr>
            <w:tcW w:w="807" w:type="pct"/>
            <w:tcBorders>
              <w:bottom w:val="single" w:sz="12" w:space="0" w:color="00B0F0"/>
            </w:tcBorders>
            <w:vAlign w:val="center"/>
          </w:tcPr>
          <w:p w14:paraId="2FCBB078" w14:textId="77777777" w:rsidR="004333D4" w:rsidRPr="004A5303" w:rsidRDefault="004333D4">
            <w:pPr>
              <w:spacing w:after="120"/>
              <w:jc w:val="center"/>
              <w:rPr>
                <w:b/>
                <w:bCs/>
                <w:noProof/>
                <w:sz w:val="22"/>
                <w:szCs w:val="22"/>
              </w:rPr>
            </w:pPr>
            <w:r w:rsidRPr="004A5303">
              <w:rPr>
                <w:b/>
                <w:bCs/>
                <w:noProof/>
                <w:sz w:val="22"/>
                <w:szCs w:val="22"/>
              </w:rPr>
              <w:t>CAGR (2025-2036)</w:t>
            </w:r>
          </w:p>
        </w:tc>
        <w:tc>
          <w:tcPr>
            <w:tcW w:w="3467" w:type="pct"/>
            <w:tcBorders>
              <w:bottom w:val="single" w:sz="12" w:space="0" w:color="00B0F0"/>
            </w:tcBorders>
            <w:vAlign w:val="center"/>
            <w:hideMark/>
          </w:tcPr>
          <w:p w14:paraId="343DB699" w14:textId="77777777" w:rsidR="004333D4" w:rsidRPr="004A5303" w:rsidRDefault="004333D4">
            <w:pPr>
              <w:spacing w:after="120"/>
              <w:jc w:val="center"/>
              <w:rPr>
                <w:b/>
                <w:bCs/>
                <w:noProof/>
                <w:sz w:val="22"/>
                <w:szCs w:val="22"/>
              </w:rPr>
            </w:pPr>
            <w:r w:rsidRPr="004A5303">
              <w:rPr>
                <w:b/>
                <w:bCs/>
                <w:noProof/>
                <w:sz w:val="22"/>
                <w:szCs w:val="22"/>
              </w:rPr>
              <w:t>Key assumptions and trends</w:t>
            </w:r>
          </w:p>
        </w:tc>
      </w:tr>
      <w:tr w:rsidR="004333D4" w:rsidRPr="006467A8" w14:paraId="11954BA1" w14:textId="77777777" w:rsidTr="00985C27">
        <w:trPr>
          <w:trHeight w:val="611"/>
        </w:trPr>
        <w:tc>
          <w:tcPr>
            <w:tcW w:w="726" w:type="pct"/>
            <w:tcBorders>
              <w:top w:val="single" w:sz="12" w:space="0" w:color="00B0F0"/>
              <w:bottom w:val="single" w:sz="12" w:space="0" w:color="00B0F0"/>
            </w:tcBorders>
            <w:hideMark/>
          </w:tcPr>
          <w:p w14:paraId="23729DAD" w14:textId="77777777" w:rsidR="004333D4" w:rsidRPr="00DA029C" w:rsidRDefault="004333D4">
            <w:pPr>
              <w:spacing w:after="160" w:line="278" w:lineRule="auto"/>
              <w:jc w:val="center"/>
              <w:rPr>
                <w:noProof/>
                <w:sz w:val="22"/>
                <w:szCs w:val="22"/>
              </w:rPr>
            </w:pPr>
            <w:r>
              <w:rPr>
                <w:noProof/>
                <w:sz w:val="22"/>
                <w:szCs w:val="22"/>
              </w:rPr>
              <w:t>Low growth</w:t>
            </w:r>
          </w:p>
        </w:tc>
        <w:tc>
          <w:tcPr>
            <w:tcW w:w="807" w:type="pct"/>
            <w:tcBorders>
              <w:top w:val="single" w:sz="12" w:space="0" w:color="00B0F0"/>
              <w:bottom w:val="single" w:sz="12" w:space="0" w:color="00B0F0"/>
            </w:tcBorders>
          </w:tcPr>
          <w:p w14:paraId="7F17C69E" w14:textId="49746D6A" w:rsidR="004333D4" w:rsidRPr="00DA029C" w:rsidRDefault="004333D4">
            <w:pPr>
              <w:spacing w:after="160" w:line="278" w:lineRule="auto"/>
              <w:jc w:val="center"/>
              <w:rPr>
                <w:noProof/>
                <w:sz w:val="22"/>
                <w:szCs w:val="22"/>
              </w:rPr>
            </w:pPr>
            <w:r>
              <w:rPr>
                <w:noProof/>
                <w:sz w:val="22"/>
                <w:szCs w:val="22"/>
              </w:rPr>
              <w:t>10</w:t>
            </w:r>
            <w:r w:rsidRPr="00DA029C">
              <w:rPr>
                <w:noProof/>
                <w:sz w:val="22"/>
                <w:szCs w:val="22"/>
              </w:rPr>
              <w:t>%</w:t>
            </w:r>
          </w:p>
        </w:tc>
        <w:tc>
          <w:tcPr>
            <w:tcW w:w="3467" w:type="pct"/>
            <w:tcBorders>
              <w:top w:val="single" w:sz="12" w:space="0" w:color="00B0F0"/>
              <w:bottom w:val="single" w:sz="12" w:space="0" w:color="00B0F0"/>
            </w:tcBorders>
            <w:hideMark/>
          </w:tcPr>
          <w:p w14:paraId="1AA9C48B" w14:textId="77777777" w:rsidR="00724621" w:rsidRPr="00724621" w:rsidRDefault="00724621" w:rsidP="00724621">
            <w:pPr>
              <w:pStyle w:val="Tablebullet1"/>
              <w:numPr>
                <w:ilvl w:val="0"/>
                <w:numId w:val="22"/>
              </w:numPr>
              <w:rPr>
                <w:rFonts w:cs="Times New Roman"/>
                <w:noProof/>
                <w:kern w:val="2"/>
                <w:sz w:val="22"/>
                <w:szCs w:val="22"/>
                <w:lang w:val="en-IE"/>
                <w14:ligatures w14:val="standardContextual"/>
              </w:rPr>
            </w:pPr>
            <w:r w:rsidRPr="00724621">
              <w:rPr>
                <w:rFonts w:cs="Times New Roman"/>
                <w:noProof/>
                <w:kern w:val="2"/>
                <w:sz w:val="22"/>
                <w:szCs w:val="22"/>
                <w:lang w:val="en-IE"/>
                <w14:ligatures w14:val="standardContextual"/>
              </w:rPr>
              <w:t>Enterprise IT budgets grow conservatively, constrained by macroeconomic headwinds, regulatory uncertainty, and cautious capital deployment across the EU27.</w:t>
            </w:r>
          </w:p>
          <w:p w14:paraId="7DE5D645" w14:textId="77777777" w:rsidR="00724621" w:rsidRPr="00724621" w:rsidRDefault="00724621" w:rsidP="00724621">
            <w:pPr>
              <w:pStyle w:val="Tablebullet1"/>
              <w:numPr>
                <w:ilvl w:val="0"/>
                <w:numId w:val="22"/>
              </w:numPr>
              <w:rPr>
                <w:rFonts w:cs="Times New Roman"/>
                <w:noProof/>
                <w:kern w:val="2"/>
                <w:sz w:val="22"/>
                <w:szCs w:val="22"/>
                <w:lang w:val="en-IE"/>
                <w14:ligatures w14:val="standardContextual"/>
              </w:rPr>
            </w:pPr>
            <w:r w:rsidRPr="00724621">
              <w:rPr>
                <w:rFonts w:cs="Times New Roman"/>
                <w:noProof/>
                <w:kern w:val="2"/>
                <w:sz w:val="22"/>
                <w:szCs w:val="22"/>
                <w:lang w:val="en-IE"/>
                <w14:ligatures w14:val="standardContextual"/>
              </w:rPr>
              <w:t>IT spending as a share of enterprise turnover holds steady at around 3.1%, reflecting a cautious approach to digital transformation. Within this, spending on data centre grows more slowly than in previous years, with a CAGR of approximately 8%, a notable deceleration from the 14% observed between 2021 and 2025.</w:t>
            </w:r>
          </w:p>
          <w:p w14:paraId="755A03BC" w14:textId="77777777" w:rsidR="00724621" w:rsidRPr="00724621" w:rsidRDefault="00724621" w:rsidP="00724621">
            <w:pPr>
              <w:pStyle w:val="Tablebullet1"/>
              <w:numPr>
                <w:ilvl w:val="0"/>
                <w:numId w:val="22"/>
              </w:numPr>
              <w:rPr>
                <w:rFonts w:cs="Times New Roman"/>
                <w:noProof/>
                <w:kern w:val="2"/>
                <w:sz w:val="22"/>
                <w:szCs w:val="22"/>
                <w:lang w:val="en-IE"/>
                <w14:ligatures w14:val="standardContextual"/>
              </w:rPr>
            </w:pPr>
            <w:r w:rsidRPr="00724621">
              <w:rPr>
                <w:rFonts w:cs="Times New Roman"/>
                <w:noProof/>
                <w:kern w:val="2"/>
                <w:sz w:val="22"/>
                <w:szCs w:val="22"/>
                <w:lang w:val="en-IE"/>
                <w14:ligatures w14:val="standardContextual"/>
              </w:rPr>
              <w:t>Workload growth remains relatively modest, with most enterprises focusing on efficiency gains rather than significant expansion of compute-intensive workloads. AI adoption progresses slowly, resulting in only incremental increases in processing and storage demand.</w:t>
            </w:r>
          </w:p>
          <w:p w14:paraId="4AE6C160" w14:textId="194E2814" w:rsidR="004333D4" w:rsidRPr="00DA029C" w:rsidRDefault="00724621" w:rsidP="00724621">
            <w:pPr>
              <w:pStyle w:val="Tablebullet1"/>
              <w:numPr>
                <w:ilvl w:val="0"/>
                <w:numId w:val="22"/>
              </w:numPr>
              <w:rPr>
                <w:rFonts w:cs="Times New Roman"/>
                <w:noProof/>
                <w:kern w:val="2"/>
                <w:sz w:val="22"/>
                <w:szCs w:val="22"/>
                <w:lang w:val="en-IE"/>
                <w14:ligatures w14:val="standardContextual"/>
              </w:rPr>
            </w:pPr>
            <w:r w:rsidRPr="00724621">
              <w:rPr>
                <w:rFonts w:cs="Times New Roman"/>
                <w:noProof/>
                <w:kern w:val="2"/>
                <w:sz w:val="22"/>
                <w:szCs w:val="22"/>
                <w:lang w:val="en-IE"/>
                <w14:ligatures w14:val="standardContextual"/>
              </w:rPr>
              <w:t>Digital policy has limited influence on demand in this scenario. Private enterprises see limited incentives or pressures to scale AI or data-driven services. The lack of cohesive policy momentum results in a focus on maintaining existing infrastructure rather than investing in new capacity to support advanced workloads.</w:t>
            </w:r>
          </w:p>
        </w:tc>
      </w:tr>
      <w:tr w:rsidR="00A01142" w:rsidRPr="006467A8" w14:paraId="368C7768" w14:textId="77777777" w:rsidTr="00985C27">
        <w:trPr>
          <w:trHeight w:val="611"/>
        </w:trPr>
        <w:tc>
          <w:tcPr>
            <w:tcW w:w="726" w:type="pct"/>
            <w:tcBorders>
              <w:top w:val="single" w:sz="12" w:space="0" w:color="00B0F0"/>
              <w:bottom w:val="single" w:sz="12" w:space="0" w:color="00B0F0"/>
            </w:tcBorders>
            <w:shd w:val="clear" w:color="auto" w:fill="DAEEF3" w:themeFill="accent5" w:themeFillTint="33"/>
          </w:tcPr>
          <w:p w14:paraId="5A19DFD2" w14:textId="19608FB3" w:rsidR="00A01142" w:rsidRDefault="00595C95">
            <w:pPr>
              <w:spacing w:after="160" w:line="278" w:lineRule="auto"/>
              <w:jc w:val="center"/>
              <w:rPr>
                <w:noProof/>
                <w:sz w:val="22"/>
                <w:szCs w:val="22"/>
              </w:rPr>
            </w:pPr>
            <w:r>
              <w:rPr>
                <w:noProof/>
                <w:sz w:val="22"/>
                <w:szCs w:val="22"/>
              </w:rPr>
              <w:t>Central growth (baseline)</w:t>
            </w:r>
          </w:p>
        </w:tc>
        <w:tc>
          <w:tcPr>
            <w:tcW w:w="807" w:type="pct"/>
            <w:tcBorders>
              <w:top w:val="single" w:sz="12" w:space="0" w:color="00B0F0"/>
              <w:bottom w:val="single" w:sz="12" w:space="0" w:color="00B0F0"/>
            </w:tcBorders>
            <w:shd w:val="clear" w:color="auto" w:fill="DAEEF3" w:themeFill="accent5" w:themeFillTint="33"/>
          </w:tcPr>
          <w:p w14:paraId="2DAC6AA2" w14:textId="60E8BB56" w:rsidR="00A01142" w:rsidRDefault="00595C95">
            <w:pPr>
              <w:spacing w:after="160" w:line="278" w:lineRule="auto"/>
              <w:jc w:val="center"/>
              <w:rPr>
                <w:noProof/>
                <w:sz w:val="22"/>
                <w:szCs w:val="22"/>
              </w:rPr>
            </w:pPr>
            <w:r>
              <w:rPr>
                <w:noProof/>
                <w:sz w:val="22"/>
                <w:szCs w:val="22"/>
              </w:rPr>
              <w:t>13%</w:t>
            </w:r>
          </w:p>
        </w:tc>
        <w:tc>
          <w:tcPr>
            <w:tcW w:w="3467" w:type="pct"/>
            <w:tcBorders>
              <w:top w:val="single" w:sz="12" w:space="0" w:color="00B0F0"/>
              <w:bottom w:val="single" w:sz="12" w:space="0" w:color="00B0F0"/>
            </w:tcBorders>
            <w:shd w:val="clear" w:color="auto" w:fill="DAEEF3" w:themeFill="accent5" w:themeFillTint="33"/>
          </w:tcPr>
          <w:p w14:paraId="3DFC3ECD" w14:textId="77777777" w:rsidR="000D14CA" w:rsidRPr="000D14CA" w:rsidRDefault="000D14CA" w:rsidP="000D14CA">
            <w:pPr>
              <w:pStyle w:val="Tablebullet1"/>
              <w:numPr>
                <w:ilvl w:val="0"/>
                <w:numId w:val="22"/>
              </w:numPr>
              <w:rPr>
                <w:rFonts w:cs="Times New Roman"/>
                <w:noProof/>
                <w:kern w:val="2"/>
                <w:sz w:val="22"/>
                <w:szCs w:val="22"/>
                <w:lang w:val="en-IE"/>
                <w14:ligatures w14:val="standardContextual"/>
              </w:rPr>
            </w:pPr>
            <w:r w:rsidRPr="000D14CA">
              <w:rPr>
                <w:rFonts w:cs="Times New Roman"/>
                <w:noProof/>
                <w:kern w:val="2"/>
                <w:sz w:val="22"/>
                <w:szCs w:val="22"/>
                <w:lang w:val="en-IE"/>
                <w14:ligatures w14:val="standardContextual"/>
              </w:rPr>
              <w:t>Enterprise IT budgets across the EU27 continue to expand at a steady and predictable pace, reflecting a stable macroeconomic environment and a measured approach to digital transformation.</w:t>
            </w:r>
          </w:p>
          <w:p w14:paraId="110226A0" w14:textId="77777777" w:rsidR="000D14CA" w:rsidRPr="000D14CA" w:rsidRDefault="000D14CA" w:rsidP="000D14CA">
            <w:pPr>
              <w:pStyle w:val="Tablebullet1"/>
              <w:numPr>
                <w:ilvl w:val="0"/>
                <w:numId w:val="22"/>
              </w:numPr>
              <w:rPr>
                <w:rFonts w:cs="Times New Roman"/>
                <w:noProof/>
                <w:kern w:val="2"/>
                <w:sz w:val="22"/>
                <w:szCs w:val="22"/>
                <w:lang w:val="en-IE"/>
                <w14:ligatures w14:val="standardContextual"/>
              </w:rPr>
            </w:pPr>
            <w:r w:rsidRPr="000D14CA">
              <w:rPr>
                <w:rFonts w:cs="Times New Roman"/>
                <w:noProof/>
                <w:kern w:val="2"/>
                <w:sz w:val="22"/>
                <w:szCs w:val="22"/>
                <w:lang w:val="en-IE"/>
                <w14:ligatures w14:val="standardContextual"/>
              </w:rPr>
              <w:t>IT spending as a share of enterprise turnover increases gradually, reaching 3.7% by 2032. From 2032 onwards, this ratio stabilises, indicating a maturing digital spend profile with spend only increasing to 3.8% by 2036. Within this broader trend, investment in data centre infrastructure grows in line with the historical CAGR of 14% through to 2030, reflecting sustained demand for compute and storage infrastructure. This growth supports both the retrofitting of legacy environments and the deployment of new, AI-capable facilities, particularly in markets where cloud adoption and enterprise workloads continue to scale.  From 2032 onwards, the growth rate of data centre spending decelerates, but outlays continue to increase, sustained by lifecycle refreshes, AI-capable retrofits, compliance and resilience upgrades, and steady colocation demand</w:t>
            </w:r>
          </w:p>
          <w:p w14:paraId="1A908E09" w14:textId="77777777" w:rsidR="000D14CA" w:rsidRPr="000D14CA" w:rsidRDefault="000D14CA" w:rsidP="000D14CA">
            <w:pPr>
              <w:pStyle w:val="Tablebullet1"/>
              <w:numPr>
                <w:ilvl w:val="0"/>
                <w:numId w:val="22"/>
              </w:numPr>
              <w:rPr>
                <w:rFonts w:cs="Times New Roman"/>
                <w:noProof/>
                <w:kern w:val="2"/>
                <w:sz w:val="22"/>
                <w:szCs w:val="22"/>
                <w:lang w:val="en-IE"/>
                <w14:ligatures w14:val="standardContextual"/>
              </w:rPr>
            </w:pPr>
            <w:r w:rsidRPr="000D14CA">
              <w:rPr>
                <w:rFonts w:cs="Times New Roman"/>
                <w:noProof/>
                <w:kern w:val="2"/>
                <w:sz w:val="22"/>
                <w:szCs w:val="22"/>
                <w:lang w:val="en-IE"/>
                <w14:ligatures w14:val="standardContextual"/>
              </w:rPr>
              <w:t>Workloads evolve steadily, with increased deployment of AI, machine learning, and data-driven services contributing to higher computational requirements.</w:t>
            </w:r>
          </w:p>
          <w:p w14:paraId="4A839F8B" w14:textId="36A5B4CE" w:rsidR="00A01142" w:rsidRPr="00724621" w:rsidRDefault="000D14CA" w:rsidP="000D14CA">
            <w:pPr>
              <w:pStyle w:val="Tablebullet1"/>
              <w:numPr>
                <w:ilvl w:val="0"/>
                <w:numId w:val="22"/>
              </w:numPr>
              <w:rPr>
                <w:rFonts w:cs="Times New Roman"/>
                <w:noProof/>
                <w:kern w:val="2"/>
                <w:sz w:val="22"/>
                <w:szCs w:val="22"/>
                <w:lang w:val="en-IE"/>
                <w14:ligatures w14:val="standardContextual"/>
              </w:rPr>
            </w:pPr>
            <w:r w:rsidRPr="000D14CA">
              <w:rPr>
                <w:rFonts w:cs="Times New Roman"/>
                <w:noProof/>
                <w:kern w:val="2"/>
                <w:sz w:val="22"/>
                <w:szCs w:val="22"/>
                <w:lang w:val="en-IE"/>
                <w14:ligatures w14:val="standardContextual"/>
              </w:rPr>
              <w:t>Digital policies boost private sector demand. As governments roll out e-government services, data-sharing initiatives, and sector-specific AI guidelines, private enterprises respond by adopting initiatives which steadily drive increases in compute and storage requirements.</w:t>
            </w:r>
          </w:p>
        </w:tc>
      </w:tr>
      <w:tr w:rsidR="00A01142" w:rsidRPr="006467A8" w14:paraId="34318924" w14:textId="77777777">
        <w:trPr>
          <w:trHeight w:val="611"/>
        </w:trPr>
        <w:tc>
          <w:tcPr>
            <w:tcW w:w="726" w:type="pct"/>
            <w:tcBorders>
              <w:top w:val="single" w:sz="12" w:space="0" w:color="00B0F0"/>
            </w:tcBorders>
          </w:tcPr>
          <w:p w14:paraId="08F91F47" w14:textId="2034FC22" w:rsidR="00A01142" w:rsidRDefault="0079751D" w:rsidP="00906AAB">
            <w:pPr>
              <w:spacing w:after="160" w:line="278" w:lineRule="auto"/>
              <w:jc w:val="center"/>
              <w:rPr>
                <w:noProof/>
                <w:sz w:val="22"/>
                <w:szCs w:val="22"/>
              </w:rPr>
            </w:pPr>
            <w:r>
              <w:rPr>
                <w:noProof/>
                <w:sz w:val="22"/>
                <w:szCs w:val="22"/>
              </w:rPr>
              <w:t>High growth</w:t>
            </w:r>
          </w:p>
        </w:tc>
        <w:tc>
          <w:tcPr>
            <w:tcW w:w="807" w:type="pct"/>
            <w:tcBorders>
              <w:top w:val="single" w:sz="12" w:space="0" w:color="00B0F0"/>
            </w:tcBorders>
          </w:tcPr>
          <w:p w14:paraId="58318FED" w14:textId="3A1ED52F" w:rsidR="00A01142" w:rsidRDefault="0079751D">
            <w:pPr>
              <w:spacing w:after="160" w:line="278" w:lineRule="auto"/>
              <w:jc w:val="center"/>
              <w:rPr>
                <w:noProof/>
                <w:sz w:val="22"/>
                <w:szCs w:val="22"/>
              </w:rPr>
            </w:pPr>
            <w:r>
              <w:rPr>
                <w:noProof/>
                <w:sz w:val="22"/>
                <w:szCs w:val="22"/>
              </w:rPr>
              <w:t>17%</w:t>
            </w:r>
          </w:p>
        </w:tc>
        <w:tc>
          <w:tcPr>
            <w:tcW w:w="3467" w:type="pct"/>
            <w:tcBorders>
              <w:top w:val="single" w:sz="12" w:space="0" w:color="00B0F0"/>
            </w:tcBorders>
          </w:tcPr>
          <w:p w14:paraId="1D375BDD" w14:textId="77777777" w:rsidR="008D4157" w:rsidRPr="008D4157" w:rsidRDefault="008D4157" w:rsidP="008D4157">
            <w:pPr>
              <w:pStyle w:val="Tablebullet1"/>
              <w:numPr>
                <w:ilvl w:val="0"/>
                <w:numId w:val="22"/>
              </w:numPr>
              <w:rPr>
                <w:rFonts w:cs="Times New Roman"/>
                <w:noProof/>
                <w:kern w:val="2"/>
                <w:sz w:val="22"/>
                <w:szCs w:val="22"/>
                <w:lang w:val="en-IE"/>
                <w14:ligatures w14:val="standardContextual"/>
              </w:rPr>
            </w:pPr>
            <w:r w:rsidRPr="008D4157">
              <w:rPr>
                <w:rFonts w:cs="Times New Roman"/>
                <w:noProof/>
                <w:kern w:val="2"/>
                <w:sz w:val="22"/>
                <w:szCs w:val="22"/>
                <w:lang w:val="en-IE"/>
                <w14:ligatures w14:val="standardContextual"/>
              </w:rPr>
              <w:t>In the fast growth scenario, enterprise IT budgets across the EU27 rise sharply as digital infrastructure becomes a central pillar of business strategy. This acceleration is driven by the widespread deployment of AI, real-time analytics, edge computing, and data-intensive applications. Organisations across all sectors and geographies invest aggressively in next-generation infrastructure, resulting in unprecedented demand for data centre capacity.</w:t>
            </w:r>
          </w:p>
          <w:p w14:paraId="6FCBE1E2" w14:textId="689A79D7" w:rsidR="008D4157" w:rsidRPr="008D4157" w:rsidRDefault="008D4157" w:rsidP="008D4157">
            <w:pPr>
              <w:pStyle w:val="Tablebullet1"/>
              <w:numPr>
                <w:ilvl w:val="0"/>
                <w:numId w:val="22"/>
              </w:numPr>
              <w:rPr>
                <w:rFonts w:cs="Times New Roman"/>
                <w:noProof/>
                <w:kern w:val="2"/>
                <w:sz w:val="22"/>
                <w:szCs w:val="22"/>
                <w:lang w:val="en-IE"/>
                <w14:ligatures w14:val="standardContextual"/>
              </w:rPr>
            </w:pPr>
            <w:r w:rsidRPr="008D4157">
              <w:rPr>
                <w:rFonts w:cs="Times New Roman"/>
                <w:noProof/>
                <w:kern w:val="2"/>
                <w:sz w:val="22"/>
                <w:szCs w:val="22"/>
                <w:lang w:val="en-IE"/>
                <w14:ligatures w14:val="standardContextual"/>
              </w:rPr>
              <w:t>IT spending as a share of enterprise turnover increases to 4.1% by 2033</w:t>
            </w:r>
            <w:r w:rsidR="00A71B48">
              <w:rPr>
                <w:rFonts w:cs="Times New Roman"/>
                <w:noProof/>
                <w:kern w:val="2"/>
                <w:sz w:val="22"/>
                <w:szCs w:val="22"/>
                <w:lang w:val="en-IE"/>
                <w14:ligatures w14:val="standardContextual"/>
              </w:rPr>
              <w:t>.</w:t>
            </w:r>
            <w:r w:rsidRPr="008D4157">
              <w:rPr>
                <w:rFonts w:cs="Times New Roman"/>
                <w:noProof/>
                <w:kern w:val="2"/>
                <w:sz w:val="22"/>
                <w:szCs w:val="22"/>
                <w:lang w:val="en-IE"/>
                <w14:ligatures w14:val="standardContextual"/>
              </w:rPr>
              <w:t xml:space="preserve"> After reaching this threshold, the share stabilises through 2036, with digital operations have become deeply embedded in business models. Within this expanded IT budget, the share allocated specifically to data centre systems grows substantially reaching 23% of total IT spending by 2035, underpinned by a CAGR of approximately 11% through to 2036. This growth supports large-scale, AI-optimised infrastructure rollouts across both traditional hubs and new emerging markets.</w:t>
            </w:r>
          </w:p>
          <w:p w14:paraId="7BA58892" w14:textId="77777777" w:rsidR="008D4157" w:rsidRPr="008D4157" w:rsidRDefault="008D4157" w:rsidP="008D4157">
            <w:pPr>
              <w:pStyle w:val="Tablebullet1"/>
              <w:numPr>
                <w:ilvl w:val="0"/>
                <w:numId w:val="22"/>
              </w:numPr>
              <w:rPr>
                <w:rFonts w:cs="Times New Roman"/>
                <w:noProof/>
                <w:kern w:val="2"/>
                <w:sz w:val="22"/>
                <w:szCs w:val="22"/>
                <w:lang w:val="en-IE"/>
                <w14:ligatures w14:val="standardContextual"/>
              </w:rPr>
            </w:pPr>
            <w:r w:rsidRPr="008D4157">
              <w:rPr>
                <w:rFonts w:cs="Times New Roman"/>
                <w:noProof/>
                <w:kern w:val="2"/>
                <w:sz w:val="22"/>
                <w:szCs w:val="22"/>
                <w:lang w:val="en-IE"/>
                <w14:ligatures w14:val="standardContextual"/>
              </w:rPr>
              <w:t>Workload growth is exponential, driven by generative AI, large language model training, real-time analytics, and autonomous operations with enterprises requiring significantly more computational power.</w:t>
            </w:r>
          </w:p>
          <w:p w14:paraId="006B6C97" w14:textId="1875316B" w:rsidR="00A01142" w:rsidRPr="00724621" w:rsidRDefault="008D4157" w:rsidP="008D4157">
            <w:pPr>
              <w:pStyle w:val="Tablebullet1"/>
              <w:numPr>
                <w:ilvl w:val="0"/>
                <w:numId w:val="22"/>
              </w:numPr>
              <w:rPr>
                <w:rFonts w:cs="Times New Roman"/>
                <w:noProof/>
                <w:kern w:val="2"/>
                <w:sz w:val="22"/>
                <w:szCs w:val="22"/>
                <w:lang w:val="en-IE"/>
                <w14:ligatures w14:val="standardContextual"/>
              </w:rPr>
            </w:pPr>
            <w:r w:rsidRPr="008D4157">
              <w:rPr>
                <w:rFonts w:cs="Times New Roman"/>
                <w:noProof/>
                <w:kern w:val="2"/>
                <w:sz w:val="22"/>
                <w:szCs w:val="22"/>
                <w:lang w:val="en-IE"/>
                <w14:ligatures w14:val="standardContextual"/>
              </w:rPr>
              <w:t>Proactive and coordinated digital policies act as a powerful enabler of private sector demand. Large-scale public investments in AI, national cloud services, and public sector digital transformation signal long-term commitment to digital growth, de-risking private sector investment. Enterprises accelerate their own AI deployment, edge computing, and data management strategies to align with evolving regulatory frameworks, increased data flows, and market expectations.</w:t>
            </w:r>
          </w:p>
        </w:tc>
      </w:tr>
    </w:tbl>
    <w:p w14:paraId="7AC212BC" w14:textId="77777777" w:rsidR="0014223D" w:rsidRPr="00985C27" w:rsidRDefault="0014223D" w:rsidP="0014223D">
      <w:pPr>
        <w:rPr>
          <w:noProof/>
        </w:rPr>
      </w:pPr>
    </w:p>
    <w:p w14:paraId="52D8F0D7" w14:textId="77777777" w:rsidR="009840E6" w:rsidRPr="009840E6" w:rsidRDefault="009840E6" w:rsidP="009840E6">
      <w:pPr>
        <w:rPr>
          <w:noProof/>
          <w:lang w:val="en-IE"/>
        </w:rPr>
      </w:pPr>
      <w:r w:rsidRPr="009840E6">
        <w:rPr>
          <w:noProof/>
          <w:lang w:val="en-IE"/>
        </w:rPr>
        <w:t xml:space="preserve">As of 2025, all three scenarios converge at an estimated 15.3 GW of installed data centre demand. However, the trajectories begin to diverge thereafter. By 2030, under the baseline scenario, demand reaches 37 GW. In the fast growth scenario, driven by increased spending, enterprise demand increases only slightly more sharply to nearly 40 GW. Meanwhile, the slow growth scenario sees more modest demand, reaching just 31 GW by the end of the decade. The CAGR from 2025-36 for the low growth scenario is 10%, for the baseline scenario is 13% and for the high growth scenario is 17%. </w:t>
      </w:r>
    </w:p>
    <w:p w14:paraId="679C58DF" w14:textId="77777777" w:rsidR="009840E6" w:rsidRPr="009840E6" w:rsidRDefault="009840E6" w:rsidP="009840E6">
      <w:pPr>
        <w:rPr>
          <w:noProof/>
          <w:lang w:val="en-IE"/>
        </w:rPr>
      </w:pPr>
      <w:r w:rsidRPr="009840E6">
        <w:rPr>
          <w:noProof/>
          <w:lang w:val="en-IE"/>
        </w:rPr>
        <w:t>Extending the demand forecast horizon to 2036 introduces greater uncertainty, reflecting the unpredictable nature of long-term market drivers, potential shifts in enterprise digital strategy, and the impact of emerging technologies such as generative AI and edge computing.</w:t>
      </w:r>
    </w:p>
    <w:p w14:paraId="740A4B02" w14:textId="77777777" w:rsidR="009840E6" w:rsidRPr="009840E6" w:rsidRDefault="009840E6" w:rsidP="009840E6">
      <w:pPr>
        <w:rPr>
          <w:noProof/>
          <w:lang w:val="en-IE"/>
        </w:rPr>
      </w:pPr>
      <w:r w:rsidRPr="009840E6">
        <w:rPr>
          <w:noProof/>
          <w:lang w:val="en-IE"/>
        </w:rPr>
        <w:t xml:space="preserve">The divergence between the scenarios becomes much more pronounced. In the low growth scenario, demand reaches 43 GW, while the baseline trajectory leads to 62 GW. The fast growth scenario sees capacity expand dramatically to over 83 GW, representing a 43% increase over the central forecast and a 93% increase over our slow growth forecast. </w:t>
      </w:r>
    </w:p>
    <w:p w14:paraId="4D8BF7F5" w14:textId="52DC0A8A" w:rsidR="00CA2A77" w:rsidRPr="004E72B3" w:rsidRDefault="00CA2A77" w:rsidP="00CA2A77">
      <w:pPr>
        <w:pStyle w:val="Caption"/>
        <w:keepNext/>
        <w:rPr>
          <w:noProof/>
        </w:rPr>
      </w:pPr>
      <w:r w:rsidRPr="004E72B3">
        <w:rPr>
          <w:noProof/>
        </w:rPr>
        <w:t xml:space="preserve">Figure </w:t>
      </w:r>
      <w:r w:rsidRPr="004E72B3">
        <w:rPr>
          <w:noProof/>
        </w:rPr>
        <w:fldChar w:fldCharType="begin"/>
      </w:r>
      <w:r w:rsidRPr="004E72B3">
        <w:rPr>
          <w:noProof/>
        </w:rPr>
        <w:instrText xml:space="preserve"> SEQ Figure \* ARABIC </w:instrText>
      </w:r>
      <w:r w:rsidRPr="004E72B3">
        <w:rPr>
          <w:noProof/>
        </w:rPr>
        <w:fldChar w:fldCharType="separate"/>
      </w:r>
      <w:r w:rsidR="000E7F11">
        <w:rPr>
          <w:noProof/>
        </w:rPr>
        <w:t>2</w:t>
      </w:r>
      <w:r w:rsidRPr="004E72B3">
        <w:rPr>
          <w:noProof/>
        </w:rPr>
        <w:fldChar w:fldCharType="end"/>
      </w:r>
      <w:r w:rsidRPr="004E72B3">
        <w:rPr>
          <w:noProof/>
        </w:rPr>
        <w:t xml:space="preserve">. Data centre </w:t>
      </w:r>
      <w:r>
        <w:rPr>
          <w:noProof/>
        </w:rPr>
        <w:t>demand</w:t>
      </w:r>
      <w:r w:rsidRPr="004E72B3">
        <w:rPr>
          <w:noProof/>
        </w:rPr>
        <w:t xml:space="preserve"> across the EU27 in GW from 2025-36 across three growth scenarios </w:t>
      </w:r>
    </w:p>
    <w:p w14:paraId="136D7374" w14:textId="40DE89B5" w:rsidR="009840E6" w:rsidRPr="00985C27" w:rsidRDefault="00A47D4A" w:rsidP="00985C27">
      <w:pPr>
        <w:pStyle w:val="Text1"/>
        <w:spacing w:after="0"/>
        <w:ind w:left="0"/>
        <w:jc w:val="right"/>
        <w:rPr>
          <w:i/>
          <w:noProof/>
          <w:sz w:val="18"/>
          <w:szCs w:val="14"/>
          <w:lang w:val="en-IE"/>
        </w:rPr>
      </w:pPr>
      <w:r w:rsidRPr="00985C27">
        <w:rPr>
          <w:i/>
          <w:noProof/>
          <w:sz w:val="18"/>
          <w:szCs w:val="14"/>
          <w:lang w:eastAsia="en-GB"/>
        </w:rPr>
        <w:drawing>
          <wp:inline distT="0" distB="0" distL="0" distR="0" wp14:anchorId="04797513" wp14:editId="0BA62A18">
            <wp:extent cx="5773420" cy="3042285"/>
            <wp:effectExtent l="0" t="0" r="0" b="5715"/>
            <wp:docPr id="1308518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3420" cy="3042285"/>
                    </a:xfrm>
                    <a:prstGeom prst="rect">
                      <a:avLst/>
                    </a:prstGeom>
                    <a:noFill/>
                  </pic:spPr>
                </pic:pic>
              </a:graphicData>
            </a:graphic>
          </wp:inline>
        </w:drawing>
      </w:r>
    </w:p>
    <w:p w14:paraId="68F2D20D" w14:textId="7BFBEBF7" w:rsidR="009840E6" w:rsidRPr="00985C27" w:rsidRDefault="009840E6" w:rsidP="00985C27">
      <w:pPr>
        <w:pStyle w:val="Text1"/>
        <w:spacing w:after="0"/>
        <w:ind w:left="0"/>
        <w:jc w:val="right"/>
        <w:rPr>
          <w:i/>
          <w:noProof/>
          <w:sz w:val="18"/>
          <w:szCs w:val="14"/>
          <w:lang w:val="en-IE"/>
        </w:rPr>
      </w:pPr>
      <w:r w:rsidRPr="00985C27">
        <w:rPr>
          <w:i/>
          <w:noProof/>
          <w:sz w:val="18"/>
          <w:szCs w:val="14"/>
          <w:lang w:val="en-IE"/>
        </w:rPr>
        <w:t xml:space="preserve">Source: </w:t>
      </w:r>
      <w:r w:rsidR="00A47D4A" w:rsidRPr="003739F4">
        <w:rPr>
          <w:i/>
          <w:noProof/>
          <w:sz w:val="18"/>
          <w:szCs w:val="14"/>
          <w:lang w:val="en-IE"/>
        </w:rPr>
        <w:t xml:space="preserve">Technopolis et al. (2025) by means of </w:t>
      </w:r>
      <w:r w:rsidRPr="00985C27">
        <w:rPr>
          <w:i/>
          <w:noProof/>
          <w:sz w:val="18"/>
          <w:szCs w:val="14"/>
          <w:lang w:val="en-IE"/>
        </w:rPr>
        <w:t xml:space="preserve">DataCentreMap, STL analysis </w:t>
      </w:r>
    </w:p>
    <w:p w14:paraId="46711D4E" w14:textId="5BE8EEFC" w:rsidR="009840E6" w:rsidRPr="009840E6" w:rsidRDefault="009840E6" w:rsidP="00985C27">
      <w:pPr>
        <w:spacing w:before="240"/>
        <w:rPr>
          <w:noProof/>
          <w:lang w:val="en-IE"/>
        </w:rPr>
      </w:pPr>
      <w:r w:rsidRPr="009840E6">
        <w:rPr>
          <w:noProof/>
          <w:lang w:val="en-IE"/>
        </w:rPr>
        <w:t xml:space="preserve">The literature aligns most closely with the status quo scenario, estimating European data centre demand at around 35 GW by 2030. In terms of growth, the study’s findings are supported by global projections in the literature, which forecast a compound annual growth rate of 19% to 22% between 2023 and 2030. AI is also consistently identified as a key driver of this demand,  with some sources expecting global data centre capacity to triple as a result . </w:t>
      </w:r>
    </w:p>
    <w:p w14:paraId="68B987C9" w14:textId="514DB365" w:rsidR="009840E6" w:rsidRPr="009840E6" w:rsidRDefault="009840E6" w:rsidP="009840E6">
      <w:pPr>
        <w:rPr>
          <w:noProof/>
          <w:lang w:val="en-IE"/>
        </w:rPr>
      </w:pPr>
      <w:r w:rsidRPr="009840E6">
        <w:rPr>
          <w:noProof/>
          <w:lang w:val="en-IE"/>
        </w:rPr>
        <w:t xml:space="preserve">Based on </w:t>
      </w:r>
      <w:r w:rsidR="00A47D4A">
        <w:rPr>
          <w:noProof/>
          <w:lang w:val="en-IE"/>
        </w:rPr>
        <w:t>these</w:t>
      </w:r>
      <w:r w:rsidRPr="009840E6">
        <w:rPr>
          <w:noProof/>
          <w:lang w:val="en-IE"/>
        </w:rPr>
        <w:t xml:space="preserve"> projections, a supply-demand gap is expected to emerge by 2030 under all three scenarios. In the low growth scenario, the shortfall reaches approximately 7 GW, reflecting modest demand outpacing limited infrastructure expansion. Under the central trajectory (baseline), the gap widens to around 9 GW, as steady demand growth outstrips the pace of new capacity being built. In the high growth scenario, the mismatch becomes even more pronounced, with demand exceeding supply by over 13 GW, driven by accelerated adoption of AI workloads and large-scale digital infrastructure investment. By 2036 the gap becomes even more pronounced across all three of the scenarios. In the low growth scenario, the shortfall reaches approximately 12 GW, in the baseline reaches </w:t>
      </w:r>
      <w:r w:rsidR="00EB2230">
        <w:rPr>
          <w:noProof/>
          <w:lang w:val="en-IE"/>
        </w:rPr>
        <w:t>19</w:t>
      </w:r>
      <w:r w:rsidRPr="009840E6">
        <w:rPr>
          <w:noProof/>
          <w:lang w:val="en-IE"/>
        </w:rPr>
        <w:t xml:space="preserve"> GW and in the high growth it reaches 23 GW. In the high growth scenario, the gap, though still large at 23 GW, is only slightly higher than in the baseline. This is due to the assumption that rapid increases in demand are matched, at least in part, by accelerated capacity deployment enabled by more favourable investment conditions, improved regulatory agility, and large-scale public-private initiatives. However, even under this high-investment environment, the pace at which demand scales, particularly for AI and high-performance compute, still exceeds the ability of the market to deliver sufficient, AI-ready capacity. </w:t>
      </w:r>
    </w:p>
    <w:p w14:paraId="232D2C2E" w14:textId="572287A8" w:rsidR="00913D0E" w:rsidRDefault="00913D0E" w:rsidP="00913D0E">
      <w:pPr>
        <w:pStyle w:val="Caption"/>
        <w:keepNext/>
        <w:rPr>
          <w:noProof/>
        </w:rPr>
      </w:pPr>
      <w:r w:rsidRPr="004E72B3">
        <w:rPr>
          <w:noProof/>
        </w:rPr>
        <w:t xml:space="preserve">Figure </w:t>
      </w:r>
      <w:r w:rsidRPr="004E72B3">
        <w:rPr>
          <w:noProof/>
        </w:rPr>
        <w:fldChar w:fldCharType="begin"/>
      </w:r>
      <w:r w:rsidRPr="004E72B3">
        <w:rPr>
          <w:noProof/>
        </w:rPr>
        <w:instrText xml:space="preserve"> SEQ Figure \* ARABIC </w:instrText>
      </w:r>
      <w:r w:rsidRPr="004E72B3">
        <w:rPr>
          <w:noProof/>
        </w:rPr>
        <w:fldChar w:fldCharType="separate"/>
      </w:r>
      <w:r w:rsidR="000E7F11">
        <w:rPr>
          <w:noProof/>
        </w:rPr>
        <w:t>3</w:t>
      </w:r>
      <w:r w:rsidRPr="004E72B3">
        <w:rPr>
          <w:noProof/>
        </w:rPr>
        <w:fldChar w:fldCharType="end"/>
      </w:r>
      <w:r w:rsidRPr="004E72B3">
        <w:rPr>
          <w:noProof/>
        </w:rPr>
        <w:t xml:space="preserve">. </w:t>
      </w:r>
      <w:r w:rsidRPr="009840E6">
        <w:rPr>
          <w:noProof/>
        </w:rPr>
        <w:t>Gap between data centre supply and demand in GW in 203</w:t>
      </w:r>
      <w:r>
        <w:rPr>
          <w:noProof/>
        </w:rPr>
        <w:t>6</w:t>
      </w:r>
    </w:p>
    <w:p w14:paraId="495119AB" w14:textId="33EE56CC" w:rsidR="009840E6" w:rsidRPr="009840E6" w:rsidRDefault="00B951F4" w:rsidP="000275CB">
      <w:pPr>
        <w:spacing w:after="0"/>
        <w:rPr>
          <w:noProof/>
          <w:lang w:val="en-IE"/>
        </w:rPr>
      </w:pPr>
      <w:r w:rsidRPr="009F2DE7">
        <w:rPr>
          <w:noProof/>
          <w:lang w:eastAsia="en-GB"/>
        </w:rPr>
        <w:drawing>
          <wp:inline distT="0" distB="0" distL="0" distR="0" wp14:anchorId="5984B0D7" wp14:editId="06354886">
            <wp:extent cx="5715635" cy="2733575"/>
            <wp:effectExtent l="0" t="0" r="0" b="0"/>
            <wp:docPr id="1433813641" name="Picture 3"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13641" name="Picture 3" descr="A graph of a diagram&#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101" cy="2756755"/>
                    </a:xfrm>
                    <a:prstGeom prst="rect">
                      <a:avLst/>
                    </a:prstGeom>
                    <a:noFill/>
                  </pic:spPr>
                </pic:pic>
              </a:graphicData>
            </a:graphic>
          </wp:inline>
        </w:drawing>
      </w:r>
      <w:r w:rsidR="009840E6" w:rsidRPr="009840E6">
        <w:rPr>
          <w:noProof/>
          <w:lang w:val="en-IE"/>
        </w:rPr>
        <w:t xml:space="preserve"> </w:t>
      </w:r>
    </w:p>
    <w:p w14:paraId="52CDDF27" w14:textId="77777777" w:rsidR="00B951F4" w:rsidRPr="00D46B6E" w:rsidRDefault="00B951F4" w:rsidP="000275CB">
      <w:pPr>
        <w:pStyle w:val="Text1"/>
        <w:ind w:left="0"/>
        <w:jc w:val="right"/>
        <w:rPr>
          <w:i/>
          <w:noProof/>
          <w:sz w:val="18"/>
          <w:szCs w:val="14"/>
          <w:lang w:val="en-IE"/>
        </w:rPr>
      </w:pPr>
      <w:r w:rsidRPr="00D46B6E">
        <w:rPr>
          <w:i/>
          <w:noProof/>
          <w:sz w:val="18"/>
          <w:szCs w:val="14"/>
          <w:lang w:val="en-IE"/>
        </w:rPr>
        <w:t xml:space="preserve">Source: </w:t>
      </w:r>
      <w:r w:rsidRPr="003739F4">
        <w:rPr>
          <w:i/>
          <w:noProof/>
          <w:sz w:val="18"/>
          <w:szCs w:val="14"/>
          <w:lang w:val="en-IE"/>
        </w:rPr>
        <w:t xml:space="preserve">Technopolis et al. (2025) by means of </w:t>
      </w:r>
      <w:r w:rsidRPr="00D46B6E">
        <w:rPr>
          <w:i/>
          <w:noProof/>
          <w:sz w:val="18"/>
          <w:szCs w:val="14"/>
          <w:lang w:val="en-IE"/>
        </w:rPr>
        <w:t>CATI survey (n=100 companies, 280 Data Centres)</w:t>
      </w:r>
    </w:p>
    <w:p w14:paraId="4DFBC836" w14:textId="77777777" w:rsidR="00F32E6C" w:rsidRPr="00143371" w:rsidRDefault="00F32E6C" w:rsidP="00BA490B">
      <w:pPr>
        <w:pStyle w:val="Heading3"/>
        <w:numPr>
          <w:ilvl w:val="2"/>
          <w:numId w:val="108"/>
        </w:numPr>
        <w:ind w:left="1872"/>
        <w:rPr>
          <w:noProof/>
        </w:rPr>
      </w:pPr>
      <w:r w:rsidRPr="008D0BAC">
        <w:rPr>
          <w:noProof/>
          <w:lang w:val="en-GB"/>
        </w:rPr>
        <w:t>Data</w:t>
      </w:r>
      <w:r w:rsidRPr="00143371">
        <w:rPr>
          <w:noProof/>
        </w:rPr>
        <w:t xml:space="preserve"> centres benefitting from each Policy Option</w:t>
      </w:r>
      <w:bookmarkEnd w:id="128"/>
      <w:bookmarkEnd w:id="129"/>
      <w:bookmarkEnd w:id="130"/>
      <w:bookmarkEnd w:id="131"/>
      <w:bookmarkEnd w:id="132"/>
    </w:p>
    <w:p w14:paraId="3BB4E2A0" w14:textId="14427161" w:rsidR="00010B16" w:rsidRDefault="00010B16" w:rsidP="00443520">
      <w:pPr>
        <w:pStyle w:val="Text1"/>
        <w:spacing w:before="240"/>
        <w:ind w:left="0"/>
        <w:rPr>
          <w:noProof/>
          <w:lang w:val="en-IE"/>
        </w:rPr>
      </w:pPr>
      <w:r>
        <w:rPr>
          <w:noProof/>
          <w:lang w:val="en-IE"/>
        </w:rPr>
        <w:t>The analysis of policy options uses the baseline and high growth results as anchor points to estimate the impact of different policy options, with intermediate values interpolated to reflect varying scenarios and intervention intensities. Growth trajectories under the different policy options are thus modelled according to three alternative compound annual growth rate (CAGR) trends, i.e. 15%, 14% and 13%, which reflect possible deviations from the central forecast expansion path (12%). To translate capacity expansion (MW) into the number of new data centres, the following assumptions are made:</w:t>
      </w:r>
    </w:p>
    <w:p w14:paraId="2566DFE1" w14:textId="77777777" w:rsidR="00010B16" w:rsidRDefault="00010B16" w:rsidP="00010B16">
      <w:pPr>
        <w:pStyle w:val="Text1"/>
        <w:numPr>
          <w:ilvl w:val="0"/>
          <w:numId w:val="20"/>
        </w:numPr>
        <w:spacing w:after="0"/>
        <w:ind w:left="1077" w:hanging="357"/>
        <w:rPr>
          <w:noProof/>
          <w:lang w:val="en-IE"/>
        </w:rPr>
      </w:pPr>
      <w:r w:rsidRPr="000A1438">
        <w:rPr>
          <w:noProof/>
          <w:lang w:val="en-IE"/>
        </w:rPr>
        <w:t>The average data centre capacity has bee</w:t>
      </w:r>
      <w:r>
        <w:rPr>
          <w:noProof/>
          <w:lang w:val="en-IE"/>
        </w:rPr>
        <w:t xml:space="preserve">n derived from past deployment trends </w:t>
      </w:r>
    </w:p>
    <w:p w14:paraId="76A786B6" w14:textId="77777777" w:rsidR="00010B16" w:rsidRDefault="00010B16" w:rsidP="00010B16">
      <w:pPr>
        <w:pStyle w:val="Text1"/>
        <w:numPr>
          <w:ilvl w:val="0"/>
          <w:numId w:val="20"/>
        </w:numPr>
        <w:spacing w:after="0"/>
        <w:ind w:left="1077" w:hanging="357"/>
        <w:rPr>
          <w:noProof/>
          <w:lang w:val="en-IE"/>
        </w:rPr>
      </w:pPr>
      <w:r>
        <w:rPr>
          <w:noProof/>
          <w:lang w:val="en-IE"/>
        </w:rPr>
        <w:t xml:space="preserve">A forward-looking adjustment is applied, assuming an </w:t>
      </w:r>
      <w:r w:rsidRPr="00212853">
        <w:rPr>
          <w:b/>
          <w:bCs/>
          <w:noProof/>
          <w:lang w:val="en-IE"/>
        </w:rPr>
        <w:t xml:space="preserve">annual increase of </w:t>
      </w:r>
      <w:r w:rsidRPr="00C1102A">
        <w:rPr>
          <w:b/>
          <w:bCs/>
          <w:noProof/>
          <w:lang w:val="en-IE"/>
        </w:rPr>
        <w:t>1</w:t>
      </w:r>
      <w:r w:rsidRPr="00212853">
        <w:rPr>
          <w:b/>
          <w:bCs/>
          <w:noProof/>
          <w:lang w:val="en-IE"/>
        </w:rPr>
        <w:t>% in average data centre size</w:t>
      </w:r>
      <w:r>
        <w:rPr>
          <w:noProof/>
          <w:lang w:val="en-IE"/>
        </w:rPr>
        <w:t xml:space="preserve">, to capture the tendency toward larger facilities over time </w:t>
      </w:r>
    </w:p>
    <w:p w14:paraId="13E7FB5E" w14:textId="77777777" w:rsidR="00010B16" w:rsidRDefault="00010B16" w:rsidP="00010B16">
      <w:pPr>
        <w:pStyle w:val="Text1"/>
        <w:numPr>
          <w:ilvl w:val="0"/>
          <w:numId w:val="20"/>
        </w:numPr>
        <w:spacing w:after="0"/>
        <w:ind w:left="1077" w:hanging="357"/>
        <w:rPr>
          <w:noProof/>
          <w:lang w:val="en-IE"/>
        </w:rPr>
      </w:pPr>
      <w:r>
        <w:rPr>
          <w:noProof/>
          <w:lang w:val="en-IE"/>
        </w:rPr>
        <w:t xml:space="preserve">For each year between 2026 and 2036, the additional MW capacity projected under the different policy growth scenarios is calculated </w:t>
      </w:r>
    </w:p>
    <w:p w14:paraId="45A2F361" w14:textId="77777777" w:rsidR="00010B16" w:rsidRDefault="00010B16" w:rsidP="00010B16">
      <w:pPr>
        <w:pStyle w:val="Text1"/>
        <w:numPr>
          <w:ilvl w:val="0"/>
          <w:numId w:val="20"/>
        </w:numPr>
        <w:spacing w:after="0"/>
        <w:ind w:left="1077" w:hanging="357"/>
        <w:rPr>
          <w:noProof/>
          <w:lang w:val="en-IE"/>
        </w:rPr>
      </w:pPr>
      <w:r>
        <w:rPr>
          <w:noProof/>
          <w:lang w:val="en-IE"/>
        </w:rPr>
        <w:t xml:space="preserve">The number of new data centres is then obtained by </w:t>
      </w:r>
      <w:r w:rsidRPr="546B54BC">
        <w:rPr>
          <w:noProof/>
          <w:lang w:val="en-IE"/>
        </w:rPr>
        <w:t>dividing</w:t>
      </w:r>
      <w:r>
        <w:rPr>
          <w:noProof/>
          <w:lang w:val="en-IE"/>
        </w:rPr>
        <w:t xml:space="preserve"> the incremental annual capacity (MW) by the estimated average </w:t>
      </w:r>
      <w:r w:rsidRPr="0FFB6086">
        <w:rPr>
          <w:noProof/>
          <w:lang w:val="en-IE"/>
        </w:rPr>
        <w:t>data</w:t>
      </w:r>
      <w:r>
        <w:rPr>
          <w:noProof/>
          <w:lang w:val="en-IE"/>
        </w:rPr>
        <w:t xml:space="preserve"> centre capacity for that year. </w:t>
      </w:r>
    </w:p>
    <w:p w14:paraId="175FACDA" w14:textId="77777777" w:rsidR="00010B16" w:rsidRDefault="00010B16" w:rsidP="00010B16">
      <w:pPr>
        <w:pStyle w:val="Text1"/>
        <w:numPr>
          <w:ilvl w:val="0"/>
          <w:numId w:val="20"/>
        </w:numPr>
        <w:spacing w:after="0"/>
        <w:ind w:left="1077" w:hanging="357"/>
        <w:rPr>
          <w:noProof/>
          <w:lang w:val="en-IE"/>
        </w:rPr>
      </w:pPr>
      <w:r w:rsidRPr="00620CCE">
        <w:rPr>
          <w:noProof/>
          <w:lang w:val="en-IE"/>
        </w:rPr>
        <w:t xml:space="preserve">It is </w:t>
      </w:r>
      <w:r>
        <w:rPr>
          <w:noProof/>
          <w:lang w:val="en-IE"/>
        </w:rPr>
        <w:t xml:space="preserve">then </w:t>
      </w:r>
      <w:r w:rsidRPr="00620CCE">
        <w:rPr>
          <w:noProof/>
          <w:lang w:val="en-IE"/>
        </w:rPr>
        <w:t xml:space="preserve">assumed that only a percentage of new data centres each year will benefit from </w:t>
      </w:r>
      <w:r>
        <w:rPr>
          <w:noProof/>
          <w:lang w:val="en-IE"/>
        </w:rPr>
        <w:t>the policy intervention</w:t>
      </w:r>
      <w:r w:rsidRPr="00620CCE">
        <w:rPr>
          <w:noProof/>
          <w:lang w:val="en-IE"/>
        </w:rPr>
        <w:t xml:space="preserve">. </w:t>
      </w:r>
    </w:p>
    <w:p w14:paraId="4C76EE27" w14:textId="77777777" w:rsidR="00010B16" w:rsidRDefault="00010B16" w:rsidP="00010B16">
      <w:pPr>
        <w:pStyle w:val="Text1"/>
        <w:spacing w:before="240"/>
        <w:ind w:left="0"/>
        <w:rPr>
          <w:noProof/>
          <w:lang w:val="en-IE"/>
        </w:rPr>
      </w:pPr>
      <w:r>
        <w:rPr>
          <w:noProof/>
          <w:lang w:val="en-IE"/>
        </w:rPr>
        <w:t xml:space="preserve">This approach ensures that the model accounts not only for aggregate capacity growth, but also for the evolution in average facility size, which affects how many new sites are required to deliver the expected expansion. </w:t>
      </w:r>
    </w:p>
    <w:p w14:paraId="4F3CAF2F" w14:textId="38DAFBB4" w:rsidR="00F32E6C" w:rsidRPr="0007547C" w:rsidRDefault="00F32E6C" w:rsidP="00D7416E">
      <w:pPr>
        <w:spacing w:after="120"/>
        <w:rPr>
          <w:rFonts w:eastAsia="Times New Roman"/>
          <w:noProof/>
          <w:szCs w:val="20"/>
        </w:rPr>
      </w:pPr>
      <w:r w:rsidRPr="0007547C">
        <w:rPr>
          <w:rFonts w:eastAsia="Times New Roman"/>
          <w:noProof/>
          <w:szCs w:val="20"/>
        </w:rPr>
        <w:t xml:space="preserve">The tables below present the estimated number of new data centres (DC) benefitting under each policy option (PO1-A, PO1-B, PO1-C). </w:t>
      </w:r>
      <w:r w:rsidR="00CA14E3">
        <w:rPr>
          <w:rFonts w:eastAsia="Times New Roman"/>
          <w:noProof/>
          <w:szCs w:val="20"/>
        </w:rPr>
        <w:t>T</w:t>
      </w:r>
      <w:r w:rsidRPr="0007547C">
        <w:rPr>
          <w:rFonts w:eastAsia="Times New Roman"/>
          <w:noProof/>
          <w:szCs w:val="20"/>
        </w:rPr>
        <w:t xml:space="preserve">hese figures are derived by multiplying the projected number of new DCs coming online each year by the assumed percentage that would qualify for, or take advantage of, the measures under each option. </w:t>
      </w:r>
      <w:r w:rsidR="00C566E9" w:rsidRPr="00C1102A">
        <w:rPr>
          <w:rFonts w:eastAsia="Times New Roman"/>
          <w:noProof/>
          <w:szCs w:val="20"/>
        </w:rPr>
        <w:t xml:space="preserve">The modelling distinguishes, wherever relevant, between the private market (colocation and hyperscalers) and the public sector. </w:t>
      </w:r>
      <w:r w:rsidR="00C566E9">
        <w:rPr>
          <w:rFonts w:eastAsia="Times New Roman"/>
          <w:noProof/>
          <w:szCs w:val="20"/>
        </w:rPr>
        <w:t>Enterprise data centres are not considered in the analysis.</w:t>
      </w:r>
      <w:r w:rsidRPr="0007547C">
        <w:rPr>
          <w:rFonts w:eastAsia="Times New Roman"/>
          <w:noProof/>
          <w:szCs w:val="20"/>
        </w:rPr>
        <w:t xml:space="preserve"> </w:t>
      </w:r>
    </w:p>
    <w:p w14:paraId="7D6A01C1" w14:textId="7D6DC2DE" w:rsidR="00947F0E" w:rsidRPr="00734200" w:rsidRDefault="00947F0E" w:rsidP="00F32E6C">
      <w:pPr>
        <w:rPr>
          <w:rFonts w:eastAsia="Times New Roman"/>
          <w:noProof/>
          <w:szCs w:val="20"/>
          <w:lang w:val="en-IE"/>
        </w:rPr>
      </w:pPr>
      <w:r>
        <w:rPr>
          <w:rFonts w:eastAsia="Times New Roman"/>
          <w:noProof/>
          <w:szCs w:val="20"/>
        </w:rPr>
        <w:t xml:space="preserve">To assess the impact of each </w:t>
      </w:r>
      <w:r w:rsidR="00D7416E">
        <w:rPr>
          <w:rFonts w:eastAsia="Times New Roman"/>
          <w:noProof/>
          <w:szCs w:val="20"/>
        </w:rPr>
        <w:t>option</w:t>
      </w:r>
      <w:r>
        <w:rPr>
          <w:rFonts w:eastAsia="Times New Roman"/>
          <w:noProof/>
          <w:szCs w:val="20"/>
        </w:rPr>
        <w:t xml:space="preserve"> on data centre investment, </w:t>
      </w:r>
      <w:r w:rsidR="00016DF5">
        <w:rPr>
          <w:rFonts w:eastAsia="Times New Roman"/>
          <w:noProof/>
          <w:szCs w:val="20"/>
        </w:rPr>
        <w:t>the outcomes under each policy scenario</w:t>
      </w:r>
      <w:r w:rsidR="00C00219">
        <w:rPr>
          <w:rFonts w:eastAsia="Times New Roman"/>
          <w:noProof/>
          <w:szCs w:val="20"/>
        </w:rPr>
        <w:t xml:space="preserve"> </w:t>
      </w:r>
      <w:r w:rsidR="00016DF5">
        <w:rPr>
          <w:rFonts w:eastAsia="Times New Roman"/>
          <w:noProof/>
          <w:szCs w:val="20"/>
        </w:rPr>
        <w:t xml:space="preserve">have been compared to the baseline scenario, in which no new policy is introduced. </w:t>
      </w:r>
      <w:r w:rsidR="007F795A">
        <w:rPr>
          <w:rFonts w:eastAsia="Times New Roman"/>
          <w:noProof/>
          <w:szCs w:val="20"/>
        </w:rPr>
        <w:t xml:space="preserve">Since the objective of each policy option is to alter investment conditions and increase data centre deployment, each scenario has been defined to reflect this potential induced build-out.  </w:t>
      </w:r>
      <w:r w:rsidR="007F795A" w:rsidRPr="0007748B">
        <w:rPr>
          <w:rFonts w:eastAsia="Times New Roman"/>
          <w:noProof/>
          <w:szCs w:val="20"/>
          <w:lang w:val="en-IE"/>
        </w:rPr>
        <w:t xml:space="preserve">To reflect uncertainty in the voluntary uptake of the mechanism, the analysis varies the share of new projects benefitting from the </w:t>
      </w:r>
      <w:r w:rsidR="007F795A">
        <w:rPr>
          <w:rFonts w:eastAsia="Times New Roman"/>
          <w:noProof/>
          <w:szCs w:val="20"/>
          <w:lang w:val="en-IE"/>
        </w:rPr>
        <w:t>different policy options</w:t>
      </w:r>
      <w:r w:rsidR="007F795A" w:rsidRPr="0007748B">
        <w:rPr>
          <w:rFonts w:eastAsia="Times New Roman"/>
          <w:noProof/>
          <w:szCs w:val="20"/>
          <w:lang w:val="en-IE"/>
        </w:rPr>
        <w:t xml:space="preserve"> between 30% (low), 50% (central</w:t>
      </w:r>
      <w:r w:rsidR="007F795A">
        <w:rPr>
          <w:rFonts w:eastAsia="Times New Roman"/>
          <w:noProof/>
          <w:szCs w:val="20"/>
          <w:lang w:val="en-IE"/>
        </w:rPr>
        <w:t>, reported below</w:t>
      </w:r>
      <w:r w:rsidR="007F795A" w:rsidRPr="0007748B">
        <w:rPr>
          <w:rFonts w:eastAsia="Times New Roman"/>
          <w:noProof/>
          <w:szCs w:val="20"/>
          <w:lang w:val="en-IE"/>
        </w:rPr>
        <w:t xml:space="preserve">) and 70% (high). This range captures realistic differences </w:t>
      </w:r>
      <w:r w:rsidR="00C00219">
        <w:rPr>
          <w:rFonts w:eastAsia="Times New Roman"/>
          <w:noProof/>
          <w:szCs w:val="20"/>
          <w:lang w:val="en-IE"/>
        </w:rPr>
        <w:t xml:space="preserve">in </w:t>
      </w:r>
      <w:r w:rsidR="007F795A">
        <w:rPr>
          <w:rFonts w:eastAsia="Times New Roman"/>
          <w:noProof/>
          <w:szCs w:val="20"/>
          <w:lang w:val="en-IE"/>
        </w:rPr>
        <w:t>data centre facilities</w:t>
      </w:r>
      <w:r w:rsidR="007F795A" w:rsidRPr="0007748B">
        <w:rPr>
          <w:rFonts w:eastAsia="Times New Roman"/>
          <w:noProof/>
          <w:szCs w:val="20"/>
          <w:lang w:val="en-IE"/>
        </w:rPr>
        <w:t xml:space="preserve"> adoption dynamics</w:t>
      </w:r>
      <w:r w:rsidR="00C00219">
        <w:rPr>
          <w:rFonts w:eastAsia="Times New Roman"/>
          <w:noProof/>
          <w:szCs w:val="20"/>
          <w:lang w:val="en-IE"/>
        </w:rPr>
        <w:t>,</w:t>
      </w:r>
      <w:r w:rsidR="007F795A" w:rsidRPr="0007748B">
        <w:rPr>
          <w:rFonts w:eastAsia="Times New Roman"/>
          <w:noProof/>
          <w:szCs w:val="20"/>
          <w:lang w:val="en-IE"/>
        </w:rPr>
        <w:t xml:space="preserve"> without assuming either full uptake or very limited </w:t>
      </w:r>
      <w:r w:rsidR="007F795A">
        <w:rPr>
          <w:rFonts w:eastAsia="Times New Roman"/>
          <w:noProof/>
          <w:szCs w:val="20"/>
          <w:lang w:val="en-IE"/>
        </w:rPr>
        <w:t>benefit from each option</w:t>
      </w:r>
      <w:r w:rsidR="007F795A" w:rsidRPr="0007748B">
        <w:rPr>
          <w:rFonts w:eastAsia="Times New Roman"/>
          <w:noProof/>
          <w:szCs w:val="20"/>
          <w:lang w:val="en-IE"/>
        </w:rPr>
        <w:t>.</w:t>
      </w:r>
    </w:p>
    <w:p w14:paraId="6E217DAF" w14:textId="531BC529" w:rsidR="00F32E6C" w:rsidRPr="00222058" w:rsidRDefault="00F32E6C" w:rsidP="00F32E6C">
      <w:pPr>
        <w:pStyle w:val="Caption"/>
        <w:rPr>
          <w:b w:val="0"/>
          <w:noProof/>
        </w:rPr>
      </w:pPr>
      <w:bookmarkStart w:id="133" w:name="_Toc213440591"/>
      <w:r w:rsidRPr="00C00219">
        <w:rPr>
          <w:noProof/>
        </w:rPr>
        <w:t xml:space="preserve">Table </w:t>
      </w:r>
      <w:r w:rsidRPr="00C00219">
        <w:rPr>
          <w:noProof/>
        </w:rPr>
        <w:fldChar w:fldCharType="begin"/>
      </w:r>
      <w:r w:rsidRPr="00C00219">
        <w:rPr>
          <w:noProof/>
        </w:rPr>
        <w:instrText xml:space="preserve"> SEQ Table \* ARABIC </w:instrText>
      </w:r>
      <w:r w:rsidRPr="00C00219">
        <w:rPr>
          <w:noProof/>
        </w:rPr>
        <w:fldChar w:fldCharType="separate"/>
      </w:r>
      <w:r w:rsidR="000E7F11">
        <w:rPr>
          <w:noProof/>
        </w:rPr>
        <w:t>10</w:t>
      </w:r>
      <w:r w:rsidRPr="00C00219">
        <w:rPr>
          <w:noProof/>
        </w:rPr>
        <w:fldChar w:fldCharType="end"/>
      </w:r>
      <w:r w:rsidRPr="00C00219">
        <w:rPr>
          <w:noProof/>
        </w:rPr>
        <w:t xml:space="preserve">. Capacity growth and new data centres under the baseline, considering no intervention </w:t>
      </w:r>
      <w:r w:rsidR="00222058">
        <w:rPr>
          <w:noProof/>
        </w:rPr>
        <w:t xml:space="preserve">                </w:t>
      </w:r>
      <w:r w:rsidRPr="00222058">
        <w:rPr>
          <w:b w:val="0"/>
          <w:noProof/>
        </w:rPr>
        <w:t xml:space="preserve">(Source: </w:t>
      </w:r>
      <w:bookmarkEnd w:id="133"/>
      <w:r w:rsidR="004D1B56" w:rsidRPr="00222058">
        <w:rPr>
          <w:b w:val="0"/>
          <w:noProof/>
        </w:rPr>
        <w:t>Technopolis et al. (2</w:t>
      </w:r>
      <w:r w:rsidR="000A3968" w:rsidRPr="00222058">
        <w:rPr>
          <w:b w:val="0"/>
          <w:noProof/>
        </w:rPr>
        <w:t>025)</w:t>
      </w:r>
      <w:r w:rsidRPr="00222058">
        <w:rPr>
          <w:b w:val="0"/>
          <w:noProof/>
        </w:rPr>
        <w:t>)</w:t>
      </w:r>
    </w:p>
    <w:tbl>
      <w:tblPr>
        <w:tblStyle w:val="TableGrid"/>
        <w:tblW w:w="10197" w:type="dxa"/>
        <w:tblInd w:w="-426" w:type="dxa"/>
        <w:shd w:val="clear" w:color="auto" w:fill="FFFFFF"/>
        <w:tblLayout w:type="fixed"/>
        <w:tblLook w:val="04A0" w:firstRow="1" w:lastRow="0" w:firstColumn="1" w:lastColumn="0" w:noHBand="0" w:noVBand="1"/>
      </w:tblPr>
      <w:tblGrid>
        <w:gridCol w:w="1419"/>
        <w:gridCol w:w="673"/>
        <w:gridCol w:w="674"/>
        <w:gridCol w:w="674"/>
        <w:gridCol w:w="673"/>
        <w:gridCol w:w="674"/>
        <w:gridCol w:w="674"/>
        <w:gridCol w:w="673"/>
        <w:gridCol w:w="674"/>
        <w:gridCol w:w="674"/>
        <w:gridCol w:w="673"/>
        <w:gridCol w:w="674"/>
        <w:gridCol w:w="669"/>
        <w:gridCol w:w="699"/>
      </w:tblGrid>
      <w:tr w:rsidR="00960E98" w:rsidRPr="00021DA2" w14:paraId="6CDB1FB0" w14:textId="77777777" w:rsidTr="00021DA2">
        <w:trPr>
          <w:trHeight w:val="170"/>
        </w:trPr>
        <w:tc>
          <w:tcPr>
            <w:tcW w:w="1419" w:type="dxa"/>
            <w:tcBorders>
              <w:bottom w:val="single" w:sz="12" w:space="0" w:color="00B0F0"/>
            </w:tcBorders>
            <w:shd w:val="clear" w:color="auto" w:fill="FFFFFF"/>
          </w:tcPr>
          <w:p w14:paraId="3A529FDE" w14:textId="77777777" w:rsidR="006B7F27" w:rsidRPr="00021DA2" w:rsidRDefault="006B7F27" w:rsidP="00021DA2">
            <w:pPr>
              <w:spacing w:after="0"/>
              <w:ind w:left="482"/>
              <w:jc w:val="left"/>
              <w:rPr>
                <w:b/>
                <w:bCs/>
                <w:noProof/>
                <w:sz w:val="18"/>
                <w:szCs w:val="18"/>
                <w:lang w:val="en-IE"/>
              </w:rPr>
            </w:pPr>
          </w:p>
        </w:tc>
        <w:tc>
          <w:tcPr>
            <w:tcW w:w="673" w:type="dxa"/>
            <w:tcBorders>
              <w:bottom w:val="single" w:sz="12" w:space="0" w:color="00B0F0"/>
            </w:tcBorders>
            <w:shd w:val="clear" w:color="auto" w:fill="FFFFFF"/>
          </w:tcPr>
          <w:p w14:paraId="0ECBD8CD" w14:textId="77777777" w:rsidR="006B7F27" w:rsidRPr="00021DA2" w:rsidRDefault="006B7F27" w:rsidP="006B7F27">
            <w:pPr>
              <w:spacing w:after="0"/>
              <w:rPr>
                <w:b/>
                <w:bCs/>
                <w:noProof/>
                <w:sz w:val="18"/>
                <w:szCs w:val="18"/>
                <w:lang w:val="en-IE"/>
              </w:rPr>
            </w:pPr>
            <w:r w:rsidRPr="00021DA2">
              <w:rPr>
                <w:b/>
                <w:bCs/>
                <w:noProof/>
                <w:sz w:val="18"/>
                <w:szCs w:val="18"/>
                <w:lang w:val="en-IE"/>
              </w:rPr>
              <w:t>2025</w:t>
            </w:r>
          </w:p>
        </w:tc>
        <w:tc>
          <w:tcPr>
            <w:tcW w:w="674" w:type="dxa"/>
            <w:tcBorders>
              <w:bottom w:val="single" w:sz="12" w:space="0" w:color="00B0F0"/>
            </w:tcBorders>
            <w:shd w:val="clear" w:color="auto" w:fill="FFFFFF"/>
          </w:tcPr>
          <w:p w14:paraId="3D48D916" w14:textId="77777777" w:rsidR="006B7F27" w:rsidRPr="00021DA2" w:rsidRDefault="006B7F27" w:rsidP="006B7F27">
            <w:pPr>
              <w:spacing w:after="0"/>
              <w:rPr>
                <w:b/>
                <w:bCs/>
                <w:noProof/>
                <w:sz w:val="18"/>
                <w:szCs w:val="18"/>
                <w:lang w:val="en-IE"/>
              </w:rPr>
            </w:pPr>
            <w:r w:rsidRPr="00021DA2">
              <w:rPr>
                <w:b/>
                <w:bCs/>
                <w:noProof/>
                <w:sz w:val="18"/>
                <w:szCs w:val="18"/>
                <w:lang w:val="en-IE"/>
              </w:rPr>
              <w:t>2026</w:t>
            </w:r>
          </w:p>
        </w:tc>
        <w:tc>
          <w:tcPr>
            <w:tcW w:w="674" w:type="dxa"/>
            <w:tcBorders>
              <w:bottom w:val="single" w:sz="12" w:space="0" w:color="00B0F0"/>
            </w:tcBorders>
            <w:shd w:val="clear" w:color="auto" w:fill="FFFFFF"/>
          </w:tcPr>
          <w:p w14:paraId="2EBCE5B4" w14:textId="77777777" w:rsidR="006B7F27" w:rsidRPr="00021DA2" w:rsidRDefault="006B7F27" w:rsidP="006B7F27">
            <w:pPr>
              <w:spacing w:after="0"/>
              <w:rPr>
                <w:b/>
                <w:bCs/>
                <w:noProof/>
                <w:sz w:val="18"/>
                <w:szCs w:val="18"/>
                <w:lang w:val="en-IE"/>
              </w:rPr>
            </w:pPr>
            <w:r w:rsidRPr="00021DA2">
              <w:rPr>
                <w:b/>
                <w:bCs/>
                <w:noProof/>
                <w:sz w:val="18"/>
                <w:szCs w:val="18"/>
                <w:lang w:val="en-IE"/>
              </w:rPr>
              <w:t>2027</w:t>
            </w:r>
          </w:p>
        </w:tc>
        <w:tc>
          <w:tcPr>
            <w:tcW w:w="673" w:type="dxa"/>
            <w:tcBorders>
              <w:bottom w:val="single" w:sz="12" w:space="0" w:color="00B0F0"/>
            </w:tcBorders>
            <w:shd w:val="clear" w:color="auto" w:fill="FFFFFF"/>
          </w:tcPr>
          <w:p w14:paraId="1FC4F386" w14:textId="77777777" w:rsidR="006B7F27" w:rsidRPr="00021DA2" w:rsidRDefault="006B7F27" w:rsidP="006B7F27">
            <w:pPr>
              <w:spacing w:after="0"/>
              <w:rPr>
                <w:b/>
                <w:bCs/>
                <w:noProof/>
                <w:sz w:val="18"/>
                <w:szCs w:val="18"/>
                <w:lang w:val="en-IE"/>
              </w:rPr>
            </w:pPr>
            <w:r w:rsidRPr="00021DA2">
              <w:rPr>
                <w:b/>
                <w:bCs/>
                <w:noProof/>
                <w:sz w:val="18"/>
                <w:szCs w:val="18"/>
                <w:lang w:val="en-IE"/>
              </w:rPr>
              <w:t>2028</w:t>
            </w:r>
          </w:p>
        </w:tc>
        <w:tc>
          <w:tcPr>
            <w:tcW w:w="674" w:type="dxa"/>
            <w:tcBorders>
              <w:bottom w:val="single" w:sz="12" w:space="0" w:color="00B0F0"/>
            </w:tcBorders>
            <w:shd w:val="clear" w:color="auto" w:fill="FFFFFF"/>
          </w:tcPr>
          <w:p w14:paraId="61BF19F2" w14:textId="77777777" w:rsidR="006B7F27" w:rsidRPr="00021DA2" w:rsidRDefault="006B7F27" w:rsidP="006B7F27">
            <w:pPr>
              <w:spacing w:after="0"/>
              <w:rPr>
                <w:b/>
                <w:bCs/>
                <w:noProof/>
                <w:sz w:val="18"/>
                <w:szCs w:val="18"/>
                <w:lang w:val="en-IE"/>
              </w:rPr>
            </w:pPr>
            <w:r w:rsidRPr="00021DA2">
              <w:rPr>
                <w:b/>
                <w:bCs/>
                <w:noProof/>
                <w:sz w:val="18"/>
                <w:szCs w:val="18"/>
                <w:lang w:val="en-IE"/>
              </w:rPr>
              <w:t>2029</w:t>
            </w:r>
          </w:p>
        </w:tc>
        <w:tc>
          <w:tcPr>
            <w:tcW w:w="674" w:type="dxa"/>
            <w:tcBorders>
              <w:bottom w:val="single" w:sz="12" w:space="0" w:color="00B0F0"/>
            </w:tcBorders>
            <w:shd w:val="clear" w:color="auto" w:fill="FFFFFF"/>
          </w:tcPr>
          <w:p w14:paraId="7B533094" w14:textId="77777777" w:rsidR="006B7F27" w:rsidRPr="00021DA2" w:rsidRDefault="006B7F27" w:rsidP="006B7F27">
            <w:pPr>
              <w:spacing w:after="0"/>
              <w:rPr>
                <w:b/>
                <w:bCs/>
                <w:noProof/>
                <w:sz w:val="18"/>
                <w:szCs w:val="18"/>
                <w:lang w:val="en-IE"/>
              </w:rPr>
            </w:pPr>
            <w:r w:rsidRPr="00021DA2">
              <w:rPr>
                <w:b/>
                <w:bCs/>
                <w:noProof/>
                <w:sz w:val="18"/>
                <w:szCs w:val="18"/>
                <w:lang w:val="en-IE"/>
              </w:rPr>
              <w:t>2030</w:t>
            </w:r>
          </w:p>
        </w:tc>
        <w:tc>
          <w:tcPr>
            <w:tcW w:w="673" w:type="dxa"/>
            <w:tcBorders>
              <w:bottom w:val="single" w:sz="12" w:space="0" w:color="00B0F0"/>
            </w:tcBorders>
            <w:shd w:val="clear" w:color="auto" w:fill="FFFFFF"/>
          </w:tcPr>
          <w:p w14:paraId="417B8B89" w14:textId="77777777" w:rsidR="006B7F27" w:rsidRPr="00021DA2" w:rsidRDefault="006B7F27" w:rsidP="006B7F27">
            <w:pPr>
              <w:spacing w:after="0"/>
              <w:rPr>
                <w:b/>
                <w:bCs/>
                <w:noProof/>
                <w:sz w:val="18"/>
                <w:szCs w:val="18"/>
                <w:lang w:val="en-IE"/>
              </w:rPr>
            </w:pPr>
            <w:r w:rsidRPr="00021DA2">
              <w:rPr>
                <w:b/>
                <w:bCs/>
                <w:noProof/>
                <w:sz w:val="18"/>
                <w:szCs w:val="18"/>
                <w:lang w:val="en-IE"/>
              </w:rPr>
              <w:t>2031</w:t>
            </w:r>
          </w:p>
        </w:tc>
        <w:tc>
          <w:tcPr>
            <w:tcW w:w="674" w:type="dxa"/>
            <w:tcBorders>
              <w:bottom w:val="single" w:sz="12" w:space="0" w:color="00B0F0"/>
            </w:tcBorders>
            <w:shd w:val="clear" w:color="auto" w:fill="FFFFFF"/>
          </w:tcPr>
          <w:p w14:paraId="3BA4E4A8" w14:textId="77777777" w:rsidR="006B7F27" w:rsidRPr="00021DA2" w:rsidRDefault="006B7F27" w:rsidP="006B7F27">
            <w:pPr>
              <w:spacing w:after="0"/>
              <w:rPr>
                <w:b/>
                <w:bCs/>
                <w:noProof/>
                <w:sz w:val="18"/>
                <w:szCs w:val="18"/>
                <w:lang w:val="en-IE"/>
              </w:rPr>
            </w:pPr>
            <w:r w:rsidRPr="00021DA2">
              <w:rPr>
                <w:b/>
                <w:bCs/>
                <w:noProof/>
                <w:sz w:val="18"/>
                <w:szCs w:val="18"/>
                <w:lang w:val="en-IE"/>
              </w:rPr>
              <w:t>2032</w:t>
            </w:r>
          </w:p>
        </w:tc>
        <w:tc>
          <w:tcPr>
            <w:tcW w:w="674" w:type="dxa"/>
            <w:tcBorders>
              <w:bottom w:val="single" w:sz="12" w:space="0" w:color="00B0F0"/>
            </w:tcBorders>
            <w:shd w:val="clear" w:color="auto" w:fill="FFFFFF"/>
          </w:tcPr>
          <w:p w14:paraId="3FE4CB5C" w14:textId="77777777" w:rsidR="006B7F27" w:rsidRPr="00021DA2" w:rsidRDefault="006B7F27" w:rsidP="006B7F27">
            <w:pPr>
              <w:spacing w:after="0"/>
              <w:rPr>
                <w:b/>
                <w:bCs/>
                <w:noProof/>
                <w:sz w:val="18"/>
                <w:szCs w:val="18"/>
                <w:lang w:val="en-IE"/>
              </w:rPr>
            </w:pPr>
            <w:r w:rsidRPr="00021DA2">
              <w:rPr>
                <w:b/>
                <w:bCs/>
                <w:noProof/>
                <w:sz w:val="18"/>
                <w:szCs w:val="18"/>
                <w:lang w:val="en-IE"/>
              </w:rPr>
              <w:t>2033</w:t>
            </w:r>
          </w:p>
        </w:tc>
        <w:tc>
          <w:tcPr>
            <w:tcW w:w="673" w:type="dxa"/>
            <w:tcBorders>
              <w:bottom w:val="single" w:sz="12" w:space="0" w:color="00B0F0"/>
            </w:tcBorders>
            <w:shd w:val="clear" w:color="auto" w:fill="FFFFFF"/>
          </w:tcPr>
          <w:p w14:paraId="475A6974" w14:textId="77777777" w:rsidR="006B7F27" w:rsidRPr="00021DA2" w:rsidRDefault="006B7F27" w:rsidP="006B7F27">
            <w:pPr>
              <w:spacing w:after="0"/>
              <w:rPr>
                <w:b/>
                <w:bCs/>
                <w:noProof/>
                <w:sz w:val="18"/>
                <w:szCs w:val="18"/>
                <w:lang w:val="en-IE"/>
              </w:rPr>
            </w:pPr>
            <w:r w:rsidRPr="00021DA2">
              <w:rPr>
                <w:b/>
                <w:bCs/>
                <w:noProof/>
                <w:sz w:val="18"/>
                <w:szCs w:val="18"/>
                <w:lang w:val="en-IE"/>
              </w:rPr>
              <w:t>2034</w:t>
            </w:r>
          </w:p>
        </w:tc>
        <w:tc>
          <w:tcPr>
            <w:tcW w:w="674" w:type="dxa"/>
            <w:tcBorders>
              <w:bottom w:val="single" w:sz="12" w:space="0" w:color="00B0F0"/>
            </w:tcBorders>
            <w:shd w:val="clear" w:color="auto" w:fill="FFFFFF"/>
          </w:tcPr>
          <w:p w14:paraId="728C6998" w14:textId="77777777" w:rsidR="006B7F27" w:rsidRPr="00021DA2" w:rsidRDefault="006B7F27" w:rsidP="006B7F27">
            <w:pPr>
              <w:spacing w:after="0"/>
              <w:rPr>
                <w:b/>
                <w:bCs/>
                <w:noProof/>
                <w:sz w:val="18"/>
                <w:szCs w:val="18"/>
                <w:lang w:val="en-IE"/>
              </w:rPr>
            </w:pPr>
            <w:r w:rsidRPr="00021DA2">
              <w:rPr>
                <w:b/>
                <w:bCs/>
                <w:noProof/>
                <w:sz w:val="18"/>
                <w:szCs w:val="18"/>
                <w:lang w:val="en-IE"/>
              </w:rPr>
              <w:t>2035</w:t>
            </w:r>
          </w:p>
        </w:tc>
        <w:tc>
          <w:tcPr>
            <w:tcW w:w="669" w:type="dxa"/>
            <w:tcBorders>
              <w:bottom w:val="single" w:sz="12" w:space="0" w:color="00B0F0"/>
            </w:tcBorders>
            <w:shd w:val="clear" w:color="auto" w:fill="FFFFFF"/>
          </w:tcPr>
          <w:p w14:paraId="0FBBDFFC" w14:textId="77777777" w:rsidR="006B7F27" w:rsidRPr="00021DA2" w:rsidRDefault="006B7F27" w:rsidP="006B7F27">
            <w:pPr>
              <w:spacing w:after="0"/>
              <w:rPr>
                <w:b/>
                <w:bCs/>
                <w:noProof/>
                <w:sz w:val="18"/>
                <w:szCs w:val="18"/>
                <w:lang w:val="en-IE"/>
              </w:rPr>
            </w:pPr>
            <w:r w:rsidRPr="00021DA2">
              <w:rPr>
                <w:b/>
                <w:bCs/>
                <w:noProof/>
                <w:sz w:val="18"/>
                <w:szCs w:val="18"/>
                <w:lang w:val="en-IE"/>
              </w:rPr>
              <w:t>2036</w:t>
            </w:r>
          </w:p>
        </w:tc>
        <w:tc>
          <w:tcPr>
            <w:tcW w:w="699" w:type="dxa"/>
            <w:tcBorders>
              <w:bottom w:val="single" w:sz="12" w:space="0" w:color="00B0F0"/>
            </w:tcBorders>
            <w:shd w:val="clear" w:color="auto" w:fill="FFFFFF"/>
          </w:tcPr>
          <w:p w14:paraId="358C9273" w14:textId="77777777" w:rsidR="006B7F27" w:rsidRPr="00021DA2" w:rsidRDefault="006B7F27" w:rsidP="00F44DC1">
            <w:pPr>
              <w:pStyle w:val="Text1"/>
              <w:spacing w:after="0"/>
              <w:ind w:left="0" w:hanging="108"/>
              <w:rPr>
                <w:b/>
                <w:bCs/>
                <w:noProof/>
                <w:sz w:val="18"/>
                <w:szCs w:val="18"/>
                <w:lang w:val="en-IE"/>
              </w:rPr>
            </w:pPr>
            <w:r w:rsidRPr="00021DA2">
              <w:rPr>
                <w:b/>
                <w:bCs/>
                <w:noProof/>
                <w:sz w:val="18"/>
                <w:szCs w:val="18"/>
                <w:lang w:val="en-IE"/>
              </w:rPr>
              <w:t>CAGR</w:t>
            </w:r>
          </w:p>
        </w:tc>
      </w:tr>
      <w:tr w:rsidR="00960E98" w:rsidRPr="00021DA2" w14:paraId="29764403" w14:textId="77777777" w:rsidTr="001F4382">
        <w:tc>
          <w:tcPr>
            <w:tcW w:w="1419" w:type="dxa"/>
            <w:tcBorders>
              <w:top w:val="single" w:sz="12" w:space="0" w:color="00B0F0"/>
            </w:tcBorders>
            <w:shd w:val="clear" w:color="auto" w:fill="DBE5F1" w:themeFill="accent1" w:themeFillTint="33"/>
          </w:tcPr>
          <w:p w14:paraId="2D5BA1F1" w14:textId="77777777" w:rsidR="006B7F27" w:rsidRPr="00021DA2" w:rsidRDefault="006B7F27" w:rsidP="00021DA2">
            <w:pPr>
              <w:tabs>
                <w:tab w:val="left" w:pos="455"/>
              </w:tabs>
              <w:spacing w:after="0"/>
              <w:jc w:val="left"/>
              <w:rPr>
                <w:noProof/>
                <w:sz w:val="18"/>
                <w:szCs w:val="18"/>
                <w:lang w:val="en-IE"/>
              </w:rPr>
            </w:pPr>
            <w:r w:rsidRPr="00021DA2">
              <w:rPr>
                <w:noProof/>
                <w:sz w:val="18"/>
                <w:szCs w:val="18"/>
                <w:lang w:val="en-IE"/>
              </w:rPr>
              <w:t>Capacity growth (MW)</w:t>
            </w:r>
          </w:p>
        </w:tc>
        <w:tc>
          <w:tcPr>
            <w:tcW w:w="673" w:type="dxa"/>
            <w:tcBorders>
              <w:top w:val="single" w:sz="12" w:space="0" w:color="00B0F0"/>
            </w:tcBorders>
            <w:shd w:val="clear" w:color="auto" w:fill="DBE5F1" w:themeFill="accent1" w:themeFillTint="33"/>
            <w:vAlign w:val="center"/>
          </w:tcPr>
          <w:p w14:paraId="2F606FE5" w14:textId="77777777" w:rsidR="006B7F27" w:rsidRPr="00021DA2" w:rsidRDefault="006B7F27" w:rsidP="001F4382">
            <w:pPr>
              <w:spacing w:after="0"/>
              <w:jc w:val="center"/>
              <w:rPr>
                <w:noProof/>
                <w:color w:val="000000"/>
                <w:sz w:val="18"/>
                <w:szCs w:val="18"/>
              </w:rPr>
            </w:pPr>
            <w:r w:rsidRPr="00021DA2">
              <w:rPr>
                <w:noProof/>
                <w:color w:val="000000"/>
                <w:sz w:val="18"/>
                <w:szCs w:val="18"/>
              </w:rPr>
              <w:t>12440</w:t>
            </w:r>
          </w:p>
        </w:tc>
        <w:tc>
          <w:tcPr>
            <w:tcW w:w="674" w:type="dxa"/>
            <w:tcBorders>
              <w:top w:val="single" w:sz="12" w:space="0" w:color="00B0F0"/>
            </w:tcBorders>
            <w:shd w:val="clear" w:color="auto" w:fill="DBE5F1" w:themeFill="accent1" w:themeFillTint="33"/>
            <w:vAlign w:val="center"/>
          </w:tcPr>
          <w:p w14:paraId="21B179C3" w14:textId="77777777" w:rsidR="006B7F27" w:rsidRPr="00021DA2" w:rsidRDefault="006B7F27" w:rsidP="001F4382">
            <w:pPr>
              <w:spacing w:after="0"/>
              <w:jc w:val="center"/>
              <w:rPr>
                <w:noProof/>
                <w:color w:val="000000"/>
                <w:sz w:val="18"/>
                <w:szCs w:val="18"/>
              </w:rPr>
            </w:pPr>
            <w:r w:rsidRPr="00021DA2">
              <w:rPr>
                <w:noProof/>
                <w:color w:val="000000"/>
                <w:sz w:val="18"/>
                <w:szCs w:val="18"/>
              </w:rPr>
              <w:t>15131</w:t>
            </w:r>
          </w:p>
        </w:tc>
        <w:tc>
          <w:tcPr>
            <w:tcW w:w="674" w:type="dxa"/>
            <w:tcBorders>
              <w:top w:val="single" w:sz="12" w:space="0" w:color="00B0F0"/>
            </w:tcBorders>
            <w:shd w:val="clear" w:color="auto" w:fill="DBE5F1" w:themeFill="accent1" w:themeFillTint="33"/>
            <w:vAlign w:val="center"/>
          </w:tcPr>
          <w:p w14:paraId="3098F1F3" w14:textId="77777777" w:rsidR="006B7F27" w:rsidRPr="00021DA2" w:rsidRDefault="006B7F27" w:rsidP="001F4382">
            <w:pPr>
              <w:spacing w:after="0"/>
              <w:jc w:val="center"/>
              <w:rPr>
                <w:noProof/>
                <w:color w:val="000000"/>
                <w:sz w:val="18"/>
                <w:szCs w:val="18"/>
              </w:rPr>
            </w:pPr>
            <w:r w:rsidRPr="00021DA2">
              <w:rPr>
                <w:noProof/>
                <w:color w:val="000000"/>
                <w:sz w:val="18"/>
                <w:szCs w:val="18"/>
              </w:rPr>
              <w:t>17932</w:t>
            </w:r>
          </w:p>
        </w:tc>
        <w:tc>
          <w:tcPr>
            <w:tcW w:w="673" w:type="dxa"/>
            <w:tcBorders>
              <w:top w:val="single" w:sz="12" w:space="0" w:color="00B0F0"/>
            </w:tcBorders>
            <w:shd w:val="clear" w:color="auto" w:fill="DBE5F1" w:themeFill="accent1" w:themeFillTint="33"/>
            <w:vAlign w:val="center"/>
          </w:tcPr>
          <w:p w14:paraId="7686D562" w14:textId="77777777" w:rsidR="006B7F27" w:rsidRPr="00021DA2" w:rsidRDefault="006B7F27" w:rsidP="001F4382">
            <w:pPr>
              <w:spacing w:after="0"/>
              <w:jc w:val="center"/>
              <w:rPr>
                <w:noProof/>
                <w:color w:val="000000"/>
                <w:sz w:val="18"/>
                <w:szCs w:val="18"/>
              </w:rPr>
            </w:pPr>
            <w:r w:rsidRPr="00021DA2">
              <w:rPr>
                <w:noProof/>
                <w:color w:val="000000"/>
                <w:sz w:val="18"/>
                <w:szCs w:val="18"/>
              </w:rPr>
              <w:t>20953</w:t>
            </w:r>
          </w:p>
        </w:tc>
        <w:tc>
          <w:tcPr>
            <w:tcW w:w="674" w:type="dxa"/>
            <w:tcBorders>
              <w:top w:val="single" w:sz="12" w:space="0" w:color="00B0F0"/>
            </w:tcBorders>
            <w:shd w:val="clear" w:color="auto" w:fill="DBE5F1" w:themeFill="accent1" w:themeFillTint="33"/>
            <w:vAlign w:val="center"/>
          </w:tcPr>
          <w:p w14:paraId="2DB51633" w14:textId="77777777" w:rsidR="006B7F27" w:rsidRPr="00021DA2" w:rsidRDefault="006B7F27" w:rsidP="001F4382">
            <w:pPr>
              <w:spacing w:after="0"/>
              <w:jc w:val="center"/>
              <w:rPr>
                <w:noProof/>
                <w:color w:val="000000"/>
                <w:sz w:val="18"/>
                <w:szCs w:val="18"/>
              </w:rPr>
            </w:pPr>
            <w:r w:rsidRPr="00021DA2">
              <w:rPr>
                <w:noProof/>
                <w:color w:val="000000"/>
                <w:sz w:val="18"/>
                <w:szCs w:val="18"/>
              </w:rPr>
              <w:t>24343</w:t>
            </w:r>
          </w:p>
        </w:tc>
        <w:tc>
          <w:tcPr>
            <w:tcW w:w="674" w:type="dxa"/>
            <w:tcBorders>
              <w:top w:val="single" w:sz="12" w:space="0" w:color="00B0F0"/>
            </w:tcBorders>
            <w:shd w:val="clear" w:color="auto" w:fill="DBE5F1" w:themeFill="accent1" w:themeFillTint="33"/>
            <w:vAlign w:val="center"/>
          </w:tcPr>
          <w:p w14:paraId="17217746" w14:textId="77777777" w:rsidR="006B7F27" w:rsidRPr="00021DA2" w:rsidRDefault="006B7F27" w:rsidP="001F4382">
            <w:pPr>
              <w:spacing w:after="0"/>
              <w:jc w:val="center"/>
              <w:rPr>
                <w:noProof/>
                <w:color w:val="000000"/>
                <w:sz w:val="18"/>
                <w:szCs w:val="18"/>
              </w:rPr>
            </w:pPr>
            <w:r w:rsidRPr="00021DA2">
              <w:rPr>
                <w:noProof/>
                <w:color w:val="000000"/>
                <w:sz w:val="18"/>
                <w:szCs w:val="18"/>
              </w:rPr>
              <w:t>28141</w:t>
            </w:r>
          </w:p>
        </w:tc>
        <w:tc>
          <w:tcPr>
            <w:tcW w:w="673" w:type="dxa"/>
            <w:tcBorders>
              <w:top w:val="single" w:sz="12" w:space="0" w:color="00B0F0"/>
            </w:tcBorders>
            <w:shd w:val="clear" w:color="auto" w:fill="DBE5F1" w:themeFill="accent1" w:themeFillTint="33"/>
            <w:vAlign w:val="center"/>
          </w:tcPr>
          <w:p w14:paraId="79E97C9C" w14:textId="77777777" w:rsidR="006B7F27" w:rsidRPr="00021DA2" w:rsidRDefault="006B7F27" w:rsidP="001F4382">
            <w:pPr>
              <w:spacing w:after="0"/>
              <w:jc w:val="center"/>
              <w:rPr>
                <w:noProof/>
                <w:color w:val="000000"/>
                <w:sz w:val="18"/>
                <w:szCs w:val="18"/>
              </w:rPr>
            </w:pPr>
            <w:r w:rsidRPr="00021DA2">
              <w:rPr>
                <w:noProof/>
                <w:color w:val="000000"/>
                <w:sz w:val="18"/>
                <w:szCs w:val="18"/>
              </w:rPr>
              <w:t>31254</w:t>
            </w:r>
          </w:p>
        </w:tc>
        <w:tc>
          <w:tcPr>
            <w:tcW w:w="674" w:type="dxa"/>
            <w:tcBorders>
              <w:top w:val="single" w:sz="12" w:space="0" w:color="00B0F0"/>
            </w:tcBorders>
            <w:shd w:val="clear" w:color="auto" w:fill="DBE5F1" w:themeFill="accent1" w:themeFillTint="33"/>
            <w:vAlign w:val="center"/>
          </w:tcPr>
          <w:p w14:paraId="0D5E781E" w14:textId="77777777" w:rsidR="006B7F27" w:rsidRPr="00021DA2" w:rsidRDefault="006B7F27" w:rsidP="001F4382">
            <w:pPr>
              <w:spacing w:after="0"/>
              <w:jc w:val="center"/>
              <w:rPr>
                <w:noProof/>
                <w:color w:val="000000"/>
                <w:sz w:val="18"/>
                <w:szCs w:val="18"/>
              </w:rPr>
            </w:pPr>
            <w:r w:rsidRPr="00021DA2">
              <w:rPr>
                <w:noProof/>
                <w:color w:val="000000"/>
                <w:sz w:val="18"/>
                <w:szCs w:val="18"/>
              </w:rPr>
              <w:t>33954</w:t>
            </w:r>
          </w:p>
        </w:tc>
        <w:tc>
          <w:tcPr>
            <w:tcW w:w="674" w:type="dxa"/>
            <w:tcBorders>
              <w:top w:val="single" w:sz="12" w:space="0" w:color="00B0F0"/>
            </w:tcBorders>
            <w:shd w:val="clear" w:color="auto" w:fill="DBE5F1" w:themeFill="accent1" w:themeFillTint="33"/>
            <w:vAlign w:val="center"/>
          </w:tcPr>
          <w:p w14:paraId="7C32CBB8" w14:textId="77777777" w:rsidR="006B7F27" w:rsidRPr="00021DA2" w:rsidRDefault="006B7F27" w:rsidP="001F4382">
            <w:pPr>
              <w:spacing w:after="0"/>
              <w:jc w:val="center"/>
              <w:rPr>
                <w:noProof/>
                <w:color w:val="000000"/>
                <w:sz w:val="18"/>
                <w:szCs w:val="18"/>
              </w:rPr>
            </w:pPr>
            <w:r w:rsidRPr="00021DA2">
              <w:rPr>
                <w:noProof/>
                <w:color w:val="000000"/>
                <w:sz w:val="18"/>
                <w:szCs w:val="18"/>
              </w:rPr>
              <w:t>36398</w:t>
            </w:r>
          </w:p>
        </w:tc>
        <w:tc>
          <w:tcPr>
            <w:tcW w:w="673" w:type="dxa"/>
            <w:tcBorders>
              <w:top w:val="single" w:sz="12" w:space="0" w:color="00B0F0"/>
            </w:tcBorders>
            <w:shd w:val="clear" w:color="auto" w:fill="DBE5F1" w:themeFill="accent1" w:themeFillTint="33"/>
            <w:vAlign w:val="center"/>
          </w:tcPr>
          <w:p w14:paraId="43BE5438" w14:textId="77777777" w:rsidR="006B7F27" w:rsidRPr="00021DA2" w:rsidRDefault="006B7F27" w:rsidP="001F4382">
            <w:pPr>
              <w:spacing w:after="0"/>
              <w:jc w:val="center"/>
              <w:rPr>
                <w:noProof/>
                <w:color w:val="000000"/>
                <w:sz w:val="18"/>
                <w:szCs w:val="18"/>
              </w:rPr>
            </w:pPr>
            <w:r w:rsidRPr="00021DA2">
              <w:rPr>
                <w:noProof/>
                <w:color w:val="000000"/>
                <w:sz w:val="18"/>
                <w:szCs w:val="18"/>
              </w:rPr>
              <w:t>38577</w:t>
            </w:r>
          </w:p>
        </w:tc>
        <w:tc>
          <w:tcPr>
            <w:tcW w:w="674" w:type="dxa"/>
            <w:tcBorders>
              <w:top w:val="single" w:sz="12" w:space="0" w:color="00B0F0"/>
            </w:tcBorders>
            <w:shd w:val="clear" w:color="auto" w:fill="DBE5F1" w:themeFill="accent1" w:themeFillTint="33"/>
            <w:vAlign w:val="center"/>
          </w:tcPr>
          <w:p w14:paraId="77B1C447" w14:textId="77777777" w:rsidR="006B7F27" w:rsidRPr="00021DA2" w:rsidRDefault="006B7F27" w:rsidP="001F4382">
            <w:pPr>
              <w:spacing w:after="0"/>
              <w:jc w:val="center"/>
              <w:rPr>
                <w:noProof/>
                <w:color w:val="000000"/>
                <w:sz w:val="18"/>
                <w:szCs w:val="18"/>
              </w:rPr>
            </w:pPr>
            <w:r w:rsidRPr="00021DA2">
              <w:rPr>
                <w:noProof/>
                <w:color w:val="000000"/>
                <w:sz w:val="18"/>
                <w:szCs w:val="18"/>
              </w:rPr>
              <w:t>40492</w:t>
            </w:r>
          </w:p>
        </w:tc>
        <w:tc>
          <w:tcPr>
            <w:tcW w:w="669" w:type="dxa"/>
            <w:tcBorders>
              <w:top w:val="single" w:sz="12" w:space="0" w:color="00B0F0"/>
            </w:tcBorders>
            <w:shd w:val="clear" w:color="auto" w:fill="DBE5F1" w:themeFill="accent1" w:themeFillTint="33"/>
            <w:vAlign w:val="center"/>
          </w:tcPr>
          <w:p w14:paraId="79C3D31F" w14:textId="77777777" w:rsidR="006B7F27" w:rsidRPr="00021DA2" w:rsidRDefault="006B7F27" w:rsidP="001F4382">
            <w:pPr>
              <w:spacing w:after="0"/>
              <w:jc w:val="center"/>
              <w:rPr>
                <w:noProof/>
                <w:color w:val="000000"/>
                <w:sz w:val="18"/>
                <w:szCs w:val="18"/>
              </w:rPr>
            </w:pPr>
            <w:r w:rsidRPr="00021DA2">
              <w:rPr>
                <w:noProof/>
                <w:color w:val="000000"/>
                <w:sz w:val="18"/>
                <w:szCs w:val="18"/>
              </w:rPr>
              <w:t>42460</w:t>
            </w:r>
          </w:p>
        </w:tc>
        <w:tc>
          <w:tcPr>
            <w:tcW w:w="699" w:type="dxa"/>
            <w:tcBorders>
              <w:top w:val="single" w:sz="12" w:space="0" w:color="00B0F0"/>
            </w:tcBorders>
            <w:shd w:val="clear" w:color="auto" w:fill="E8E8E8"/>
            <w:vAlign w:val="center"/>
          </w:tcPr>
          <w:p w14:paraId="68874BDD" w14:textId="42E29654" w:rsidR="006B7F27" w:rsidRPr="00021DA2" w:rsidRDefault="006B7F27" w:rsidP="001F4382">
            <w:pPr>
              <w:pStyle w:val="Text1"/>
              <w:spacing w:after="0"/>
              <w:ind w:left="0"/>
              <w:jc w:val="center"/>
              <w:rPr>
                <w:b/>
                <w:bCs/>
                <w:noProof/>
                <w:sz w:val="18"/>
                <w:szCs w:val="18"/>
                <w:lang w:val="en-IE"/>
              </w:rPr>
            </w:pPr>
            <w:r w:rsidRPr="00021DA2">
              <w:rPr>
                <w:b/>
                <w:bCs/>
                <w:noProof/>
                <w:sz w:val="18"/>
                <w:szCs w:val="18"/>
                <w:lang w:val="en-IE"/>
              </w:rPr>
              <w:t>1</w:t>
            </w:r>
            <w:r w:rsidR="00F072E7" w:rsidRPr="00021DA2">
              <w:rPr>
                <w:b/>
                <w:bCs/>
                <w:noProof/>
                <w:sz w:val="18"/>
                <w:szCs w:val="18"/>
                <w:lang w:val="en-IE"/>
              </w:rPr>
              <w:t>2</w:t>
            </w:r>
            <w:r w:rsidRPr="00021DA2">
              <w:rPr>
                <w:b/>
                <w:bCs/>
                <w:noProof/>
                <w:sz w:val="18"/>
                <w:szCs w:val="18"/>
                <w:lang w:val="en-IE"/>
              </w:rPr>
              <w:t>%</w:t>
            </w:r>
          </w:p>
        </w:tc>
      </w:tr>
      <w:tr w:rsidR="00960E98" w:rsidRPr="00021DA2" w14:paraId="1EDC9414" w14:textId="77777777" w:rsidTr="001F4382">
        <w:tc>
          <w:tcPr>
            <w:tcW w:w="1419" w:type="dxa"/>
            <w:shd w:val="clear" w:color="auto" w:fill="FFFFFF"/>
          </w:tcPr>
          <w:p w14:paraId="391C020E" w14:textId="42F6B937" w:rsidR="006B7F27" w:rsidRPr="00021DA2" w:rsidRDefault="00021DA2" w:rsidP="00021DA2">
            <w:pPr>
              <w:spacing w:after="0"/>
              <w:jc w:val="left"/>
              <w:rPr>
                <w:noProof/>
                <w:sz w:val="18"/>
                <w:szCs w:val="18"/>
                <w:lang w:val="en-IE"/>
              </w:rPr>
            </w:pPr>
            <w:r>
              <w:rPr>
                <w:bCs/>
                <w:noProof/>
                <w:sz w:val="18"/>
                <w:szCs w:val="18"/>
                <w:lang w:val="en-IE"/>
              </w:rPr>
              <w:t>Avg.</w:t>
            </w:r>
            <w:r w:rsidR="006B7F27" w:rsidRPr="00021DA2">
              <w:rPr>
                <w:noProof/>
                <w:sz w:val="18"/>
                <w:szCs w:val="18"/>
                <w:lang w:val="en-IE"/>
              </w:rPr>
              <w:t xml:space="preserve"> capacity of one DC (MW)</w:t>
            </w:r>
          </w:p>
        </w:tc>
        <w:tc>
          <w:tcPr>
            <w:tcW w:w="673" w:type="dxa"/>
            <w:shd w:val="clear" w:color="auto" w:fill="FFFFFF"/>
            <w:vAlign w:val="center"/>
          </w:tcPr>
          <w:p w14:paraId="02879A32" w14:textId="77777777" w:rsidR="006B7F27" w:rsidRPr="00021DA2" w:rsidRDefault="006B7F27" w:rsidP="001F4382">
            <w:pPr>
              <w:spacing w:after="0"/>
              <w:jc w:val="center"/>
              <w:rPr>
                <w:noProof/>
                <w:sz w:val="18"/>
                <w:szCs w:val="18"/>
                <w:lang w:val="en-IE"/>
              </w:rPr>
            </w:pPr>
            <w:r w:rsidRPr="00021DA2">
              <w:rPr>
                <w:noProof/>
                <w:sz w:val="18"/>
                <w:szCs w:val="18"/>
                <w:lang w:val="en-IE"/>
              </w:rPr>
              <w:t>13</w:t>
            </w:r>
          </w:p>
        </w:tc>
        <w:tc>
          <w:tcPr>
            <w:tcW w:w="674" w:type="dxa"/>
            <w:shd w:val="clear" w:color="auto" w:fill="FFFFFF"/>
            <w:vAlign w:val="center"/>
          </w:tcPr>
          <w:p w14:paraId="2733321A"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13.1</w:t>
            </w:r>
          </w:p>
        </w:tc>
        <w:tc>
          <w:tcPr>
            <w:tcW w:w="674" w:type="dxa"/>
            <w:shd w:val="clear" w:color="auto" w:fill="FFFFFF"/>
            <w:vAlign w:val="center"/>
          </w:tcPr>
          <w:p w14:paraId="7215E34A"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13.3</w:t>
            </w:r>
          </w:p>
        </w:tc>
        <w:tc>
          <w:tcPr>
            <w:tcW w:w="673" w:type="dxa"/>
            <w:shd w:val="clear" w:color="auto" w:fill="FFFFFF"/>
            <w:vAlign w:val="center"/>
          </w:tcPr>
          <w:p w14:paraId="4CBD888A"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13.4</w:t>
            </w:r>
          </w:p>
        </w:tc>
        <w:tc>
          <w:tcPr>
            <w:tcW w:w="674" w:type="dxa"/>
            <w:shd w:val="clear" w:color="auto" w:fill="FFFFFF"/>
            <w:vAlign w:val="center"/>
          </w:tcPr>
          <w:p w14:paraId="1E2BFD50"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13.5</w:t>
            </w:r>
          </w:p>
        </w:tc>
        <w:tc>
          <w:tcPr>
            <w:tcW w:w="674" w:type="dxa"/>
            <w:shd w:val="clear" w:color="auto" w:fill="FFFFFF"/>
            <w:vAlign w:val="center"/>
          </w:tcPr>
          <w:p w14:paraId="18A19E1D"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13.7</w:t>
            </w:r>
          </w:p>
        </w:tc>
        <w:tc>
          <w:tcPr>
            <w:tcW w:w="673" w:type="dxa"/>
            <w:shd w:val="clear" w:color="auto" w:fill="FFFFFF"/>
            <w:vAlign w:val="center"/>
          </w:tcPr>
          <w:p w14:paraId="0B3B6CEB"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13.8</w:t>
            </w:r>
          </w:p>
        </w:tc>
        <w:tc>
          <w:tcPr>
            <w:tcW w:w="674" w:type="dxa"/>
            <w:shd w:val="clear" w:color="auto" w:fill="FFFFFF"/>
            <w:vAlign w:val="center"/>
          </w:tcPr>
          <w:p w14:paraId="01CE378F"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13.9</w:t>
            </w:r>
          </w:p>
        </w:tc>
        <w:tc>
          <w:tcPr>
            <w:tcW w:w="674" w:type="dxa"/>
            <w:shd w:val="clear" w:color="auto" w:fill="FFFFFF"/>
            <w:vAlign w:val="center"/>
          </w:tcPr>
          <w:p w14:paraId="5F3627AA"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14.1</w:t>
            </w:r>
          </w:p>
        </w:tc>
        <w:tc>
          <w:tcPr>
            <w:tcW w:w="673" w:type="dxa"/>
            <w:shd w:val="clear" w:color="auto" w:fill="FFFFFF"/>
            <w:vAlign w:val="center"/>
          </w:tcPr>
          <w:p w14:paraId="3B9C7FE0"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14.2</w:t>
            </w:r>
          </w:p>
        </w:tc>
        <w:tc>
          <w:tcPr>
            <w:tcW w:w="674" w:type="dxa"/>
            <w:shd w:val="clear" w:color="auto" w:fill="FFFFFF"/>
            <w:vAlign w:val="center"/>
          </w:tcPr>
          <w:p w14:paraId="7DE27A0E"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14.4</w:t>
            </w:r>
          </w:p>
        </w:tc>
        <w:tc>
          <w:tcPr>
            <w:tcW w:w="669" w:type="dxa"/>
            <w:shd w:val="clear" w:color="auto" w:fill="FFFFFF"/>
            <w:vAlign w:val="center"/>
          </w:tcPr>
          <w:p w14:paraId="74716870" w14:textId="77777777" w:rsidR="006B7F27" w:rsidRPr="00021DA2" w:rsidRDefault="006B7F27" w:rsidP="001F4382">
            <w:pPr>
              <w:spacing w:after="0"/>
              <w:ind w:left="39"/>
              <w:jc w:val="center"/>
              <w:rPr>
                <w:noProof/>
                <w:sz w:val="18"/>
                <w:szCs w:val="18"/>
                <w:lang w:val="en-IE"/>
              </w:rPr>
            </w:pPr>
            <w:r w:rsidRPr="00021DA2">
              <w:rPr>
                <w:noProof/>
                <w:sz w:val="18"/>
                <w:szCs w:val="18"/>
                <w:lang w:val="en-IE"/>
              </w:rPr>
              <w:t>14.5</w:t>
            </w:r>
          </w:p>
        </w:tc>
        <w:tc>
          <w:tcPr>
            <w:tcW w:w="699" w:type="dxa"/>
            <w:shd w:val="clear" w:color="auto" w:fill="E8E8E8"/>
            <w:vAlign w:val="center"/>
          </w:tcPr>
          <w:p w14:paraId="3DC08C8B" w14:textId="618C5FAC" w:rsidR="006B7F27" w:rsidRPr="00021DA2" w:rsidRDefault="006B7F27" w:rsidP="001F4382">
            <w:pPr>
              <w:pStyle w:val="Text1"/>
              <w:spacing w:after="0"/>
              <w:ind w:left="0"/>
              <w:jc w:val="center"/>
              <w:rPr>
                <w:b/>
                <w:bCs/>
                <w:noProof/>
                <w:sz w:val="18"/>
                <w:szCs w:val="18"/>
                <w:lang w:val="en-IE"/>
              </w:rPr>
            </w:pPr>
            <w:r w:rsidRPr="00021DA2">
              <w:rPr>
                <w:b/>
                <w:bCs/>
                <w:noProof/>
                <w:sz w:val="18"/>
                <w:szCs w:val="18"/>
                <w:lang w:val="en-IE"/>
              </w:rPr>
              <w:t>1%</w:t>
            </w:r>
          </w:p>
        </w:tc>
      </w:tr>
      <w:tr w:rsidR="00960E98" w:rsidRPr="00021DA2" w14:paraId="04BF2899" w14:textId="77777777" w:rsidTr="001F4382">
        <w:tc>
          <w:tcPr>
            <w:tcW w:w="1419" w:type="dxa"/>
            <w:shd w:val="clear" w:color="auto" w:fill="DBE5F1" w:themeFill="accent1" w:themeFillTint="33"/>
          </w:tcPr>
          <w:p w14:paraId="0F29861B" w14:textId="77777777" w:rsidR="006B7F27" w:rsidRPr="00021DA2" w:rsidRDefault="006B7F27" w:rsidP="00021DA2">
            <w:pPr>
              <w:spacing w:after="0"/>
              <w:jc w:val="left"/>
              <w:rPr>
                <w:noProof/>
                <w:sz w:val="18"/>
                <w:szCs w:val="18"/>
                <w:lang w:val="en-IE"/>
              </w:rPr>
            </w:pPr>
            <w:r w:rsidRPr="00021DA2">
              <w:rPr>
                <w:noProof/>
                <w:sz w:val="18"/>
                <w:szCs w:val="18"/>
                <w:lang w:val="en-IE"/>
              </w:rPr>
              <w:t>No. of new DC built</w:t>
            </w:r>
          </w:p>
        </w:tc>
        <w:tc>
          <w:tcPr>
            <w:tcW w:w="673" w:type="dxa"/>
            <w:shd w:val="clear" w:color="auto" w:fill="DBE5F1" w:themeFill="accent1" w:themeFillTint="33"/>
            <w:vAlign w:val="center"/>
          </w:tcPr>
          <w:p w14:paraId="470A6E2F" w14:textId="77777777" w:rsidR="006B7F27" w:rsidRPr="00021DA2" w:rsidRDefault="006B7F27" w:rsidP="001F4382">
            <w:pPr>
              <w:spacing w:after="0"/>
              <w:ind w:left="482"/>
              <w:jc w:val="center"/>
              <w:rPr>
                <w:noProof/>
                <w:sz w:val="18"/>
                <w:szCs w:val="18"/>
                <w:lang w:val="en-IE"/>
              </w:rPr>
            </w:pPr>
          </w:p>
        </w:tc>
        <w:tc>
          <w:tcPr>
            <w:tcW w:w="674" w:type="dxa"/>
            <w:shd w:val="clear" w:color="auto" w:fill="DBE5F1" w:themeFill="accent1" w:themeFillTint="33"/>
            <w:vAlign w:val="center"/>
          </w:tcPr>
          <w:p w14:paraId="7631D9A3"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205</w:t>
            </w:r>
          </w:p>
        </w:tc>
        <w:tc>
          <w:tcPr>
            <w:tcW w:w="674" w:type="dxa"/>
            <w:shd w:val="clear" w:color="auto" w:fill="DBE5F1" w:themeFill="accent1" w:themeFillTint="33"/>
            <w:vAlign w:val="center"/>
          </w:tcPr>
          <w:p w14:paraId="717736E0"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211</w:t>
            </w:r>
          </w:p>
        </w:tc>
        <w:tc>
          <w:tcPr>
            <w:tcW w:w="673" w:type="dxa"/>
            <w:shd w:val="clear" w:color="auto" w:fill="DBE5F1" w:themeFill="accent1" w:themeFillTint="33"/>
            <w:vAlign w:val="center"/>
          </w:tcPr>
          <w:p w14:paraId="0581288A"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226</w:t>
            </w:r>
          </w:p>
        </w:tc>
        <w:tc>
          <w:tcPr>
            <w:tcW w:w="674" w:type="dxa"/>
            <w:shd w:val="clear" w:color="auto" w:fill="DBE5F1" w:themeFill="accent1" w:themeFillTint="33"/>
            <w:vAlign w:val="center"/>
          </w:tcPr>
          <w:p w14:paraId="46FCDEAB"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251</w:t>
            </w:r>
          </w:p>
        </w:tc>
        <w:tc>
          <w:tcPr>
            <w:tcW w:w="674" w:type="dxa"/>
            <w:shd w:val="clear" w:color="auto" w:fill="DBE5F1" w:themeFill="accent1" w:themeFillTint="33"/>
            <w:vAlign w:val="center"/>
          </w:tcPr>
          <w:p w14:paraId="6DF72A39"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278</w:t>
            </w:r>
          </w:p>
        </w:tc>
        <w:tc>
          <w:tcPr>
            <w:tcW w:w="673" w:type="dxa"/>
            <w:shd w:val="clear" w:color="auto" w:fill="DBE5F1" w:themeFill="accent1" w:themeFillTint="33"/>
            <w:vAlign w:val="center"/>
          </w:tcPr>
          <w:p w14:paraId="3E1BC052"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226</w:t>
            </w:r>
          </w:p>
        </w:tc>
        <w:tc>
          <w:tcPr>
            <w:tcW w:w="674" w:type="dxa"/>
            <w:shd w:val="clear" w:color="auto" w:fill="DBE5F1" w:themeFill="accent1" w:themeFillTint="33"/>
            <w:vAlign w:val="center"/>
          </w:tcPr>
          <w:p w14:paraId="49ADEE1E"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194</w:t>
            </w:r>
          </w:p>
        </w:tc>
        <w:tc>
          <w:tcPr>
            <w:tcW w:w="674" w:type="dxa"/>
            <w:shd w:val="clear" w:color="auto" w:fill="DBE5F1" w:themeFill="accent1" w:themeFillTint="33"/>
            <w:vAlign w:val="center"/>
          </w:tcPr>
          <w:p w14:paraId="3094D70E"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174</w:t>
            </w:r>
          </w:p>
        </w:tc>
        <w:tc>
          <w:tcPr>
            <w:tcW w:w="673" w:type="dxa"/>
            <w:shd w:val="clear" w:color="auto" w:fill="DBE5F1" w:themeFill="accent1" w:themeFillTint="33"/>
            <w:vAlign w:val="center"/>
          </w:tcPr>
          <w:p w14:paraId="590B0BFA"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153</w:t>
            </w:r>
          </w:p>
        </w:tc>
        <w:tc>
          <w:tcPr>
            <w:tcW w:w="674" w:type="dxa"/>
            <w:shd w:val="clear" w:color="auto" w:fill="DBE5F1" w:themeFill="accent1" w:themeFillTint="33"/>
            <w:vAlign w:val="center"/>
          </w:tcPr>
          <w:p w14:paraId="17D75222" w14:textId="77777777" w:rsidR="006B7F27" w:rsidRPr="00021DA2" w:rsidRDefault="006B7F27" w:rsidP="001F4382">
            <w:pPr>
              <w:spacing w:after="0"/>
              <w:ind w:left="35" w:hanging="142"/>
              <w:jc w:val="center"/>
              <w:rPr>
                <w:noProof/>
                <w:sz w:val="18"/>
                <w:szCs w:val="18"/>
                <w:lang w:val="en-IE"/>
              </w:rPr>
            </w:pPr>
            <w:r w:rsidRPr="00021DA2">
              <w:rPr>
                <w:noProof/>
                <w:color w:val="000000"/>
                <w:sz w:val="18"/>
                <w:szCs w:val="18"/>
              </w:rPr>
              <w:t>133</w:t>
            </w:r>
          </w:p>
        </w:tc>
        <w:tc>
          <w:tcPr>
            <w:tcW w:w="669" w:type="dxa"/>
            <w:shd w:val="clear" w:color="auto" w:fill="DBE5F1" w:themeFill="accent1" w:themeFillTint="33"/>
            <w:vAlign w:val="center"/>
          </w:tcPr>
          <w:p w14:paraId="3A76B3CD" w14:textId="77777777" w:rsidR="006B7F27" w:rsidRPr="00021DA2" w:rsidRDefault="006B7F27" w:rsidP="001F4382">
            <w:pPr>
              <w:spacing w:after="0"/>
              <w:ind w:left="35" w:hanging="142"/>
              <w:jc w:val="center"/>
              <w:rPr>
                <w:noProof/>
                <w:sz w:val="18"/>
                <w:szCs w:val="18"/>
                <w:lang w:val="en-IE"/>
              </w:rPr>
            </w:pPr>
            <w:r w:rsidRPr="00021DA2">
              <w:rPr>
                <w:b/>
                <w:noProof/>
                <w:color w:val="000000"/>
                <w:sz w:val="18"/>
                <w:szCs w:val="18"/>
              </w:rPr>
              <w:t>136</w:t>
            </w:r>
          </w:p>
        </w:tc>
        <w:tc>
          <w:tcPr>
            <w:tcW w:w="699" w:type="dxa"/>
            <w:shd w:val="clear" w:color="auto" w:fill="E8E8E8"/>
            <w:vAlign w:val="center"/>
          </w:tcPr>
          <w:p w14:paraId="76DC83F4" w14:textId="77777777" w:rsidR="006B7F27" w:rsidRPr="00021DA2" w:rsidRDefault="006B7F27" w:rsidP="001F4382">
            <w:pPr>
              <w:pStyle w:val="Text1"/>
              <w:spacing w:after="0"/>
              <w:ind w:left="0"/>
              <w:jc w:val="center"/>
              <w:rPr>
                <w:b/>
                <w:bCs/>
                <w:noProof/>
                <w:sz w:val="18"/>
                <w:szCs w:val="18"/>
                <w:lang w:val="en-IE"/>
              </w:rPr>
            </w:pPr>
          </w:p>
        </w:tc>
      </w:tr>
    </w:tbl>
    <w:p w14:paraId="74E83FBD" w14:textId="77777777" w:rsidR="00F32E6C" w:rsidRPr="0007547C" w:rsidRDefault="00F32E6C" w:rsidP="00F32E6C">
      <w:pPr>
        <w:pStyle w:val="BodyText"/>
        <w:rPr>
          <w:noProof/>
        </w:rPr>
      </w:pPr>
    </w:p>
    <w:p w14:paraId="0CE22D79" w14:textId="2B823484" w:rsidR="00F32E6C" w:rsidRPr="00A54618" w:rsidRDefault="00F32E6C" w:rsidP="00F32E6C">
      <w:pPr>
        <w:pStyle w:val="Caption"/>
        <w:rPr>
          <w:noProof/>
        </w:rPr>
      </w:pPr>
      <w:bookmarkStart w:id="134" w:name="_Toc213440592"/>
      <w:r w:rsidRPr="00222058">
        <w:rPr>
          <w:noProof/>
        </w:rPr>
        <w:t xml:space="preserve">Table </w:t>
      </w:r>
      <w:r w:rsidRPr="00222058">
        <w:rPr>
          <w:noProof/>
        </w:rPr>
        <w:fldChar w:fldCharType="begin"/>
      </w:r>
      <w:r w:rsidRPr="00222058">
        <w:rPr>
          <w:noProof/>
        </w:rPr>
        <w:instrText xml:space="preserve"> SEQ Table \* ARABIC </w:instrText>
      </w:r>
      <w:r w:rsidRPr="00222058">
        <w:rPr>
          <w:noProof/>
        </w:rPr>
        <w:fldChar w:fldCharType="separate"/>
      </w:r>
      <w:r w:rsidR="000E7F11">
        <w:rPr>
          <w:noProof/>
        </w:rPr>
        <w:t>11</w:t>
      </w:r>
      <w:r w:rsidRPr="00222058">
        <w:rPr>
          <w:noProof/>
        </w:rPr>
        <w:fldChar w:fldCharType="end"/>
      </w:r>
      <w:r w:rsidRPr="00222058">
        <w:rPr>
          <w:noProof/>
        </w:rPr>
        <w:t xml:space="preserve">. Capacity growth and new data centres benefitting from PO1-A </w:t>
      </w:r>
      <w:r w:rsidR="00222058">
        <w:rPr>
          <w:noProof/>
        </w:rPr>
        <w:t xml:space="preserve">                                                      </w:t>
      </w:r>
      <w:r w:rsidRPr="00222058">
        <w:rPr>
          <w:b w:val="0"/>
          <w:noProof/>
        </w:rPr>
        <w:t xml:space="preserve">(Source: </w:t>
      </w:r>
      <w:r w:rsidR="000A3968" w:rsidRPr="00222058">
        <w:rPr>
          <w:b w:val="0"/>
          <w:noProof/>
        </w:rPr>
        <w:t xml:space="preserve">Technopolis et al. </w:t>
      </w:r>
      <w:bookmarkEnd w:id="134"/>
      <w:r w:rsidR="000A3968" w:rsidRPr="00222058">
        <w:rPr>
          <w:b w:val="0"/>
          <w:noProof/>
        </w:rPr>
        <w:t>(2025))</w:t>
      </w:r>
    </w:p>
    <w:tbl>
      <w:tblPr>
        <w:tblStyle w:val="TableGrid"/>
        <w:tblW w:w="10348" w:type="dxa"/>
        <w:tblInd w:w="-567" w:type="dxa"/>
        <w:tblLook w:val="04A0" w:firstRow="1" w:lastRow="0" w:firstColumn="1" w:lastColumn="0" w:noHBand="0" w:noVBand="1"/>
      </w:tblPr>
      <w:tblGrid>
        <w:gridCol w:w="1610"/>
        <w:gridCol w:w="666"/>
        <w:gridCol w:w="666"/>
        <w:gridCol w:w="666"/>
        <w:gridCol w:w="666"/>
        <w:gridCol w:w="666"/>
        <w:gridCol w:w="666"/>
        <w:gridCol w:w="666"/>
        <w:gridCol w:w="666"/>
        <w:gridCol w:w="666"/>
        <w:gridCol w:w="666"/>
        <w:gridCol w:w="666"/>
        <w:gridCol w:w="666"/>
        <w:gridCol w:w="746"/>
      </w:tblGrid>
      <w:tr w:rsidR="00F32E6C" w:rsidRPr="005E0DD2" w14:paraId="01AC3DA2" w14:textId="77777777" w:rsidTr="000275CB">
        <w:trPr>
          <w:trHeight w:val="170"/>
          <w:tblHeader/>
        </w:trPr>
        <w:tc>
          <w:tcPr>
            <w:tcW w:w="1701" w:type="dxa"/>
            <w:tcBorders>
              <w:bottom w:val="single" w:sz="12" w:space="0" w:color="00B0F0"/>
            </w:tcBorders>
          </w:tcPr>
          <w:p w14:paraId="5BF73F84" w14:textId="77777777" w:rsidR="00F32E6C" w:rsidRPr="005E0DD2" w:rsidRDefault="00F32E6C">
            <w:pPr>
              <w:pStyle w:val="Text1"/>
              <w:spacing w:after="0"/>
              <w:rPr>
                <w:noProof/>
                <w:sz w:val="18"/>
                <w:szCs w:val="18"/>
                <w:lang w:val="en-IE"/>
              </w:rPr>
            </w:pPr>
          </w:p>
        </w:tc>
        <w:tc>
          <w:tcPr>
            <w:tcW w:w="0" w:type="auto"/>
            <w:tcBorders>
              <w:bottom w:val="single" w:sz="12" w:space="0" w:color="00B0F0"/>
            </w:tcBorders>
          </w:tcPr>
          <w:p w14:paraId="374C8C83"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2025</w:t>
            </w:r>
          </w:p>
        </w:tc>
        <w:tc>
          <w:tcPr>
            <w:tcW w:w="0" w:type="auto"/>
            <w:tcBorders>
              <w:bottom w:val="single" w:sz="12" w:space="0" w:color="00B0F0"/>
            </w:tcBorders>
          </w:tcPr>
          <w:p w14:paraId="0EB7441A"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2026</w:t>
            </w:r>
          </w:p>
        </w:tc>
        <w:tc>
          <w:tcPr>
            <w:tcW w:w="0" w:type="auto"/>
            <w:tcBorders>
              <w:bottom w:val="single" w:sz="12" w:space="0" w:color="00B0F0"/>
            </w:tcBorders>
          </w:tcPr>
          <w:p w14:paraId="27BC4A00"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2027</w:t>
            </w:r>
          </w:p>
        </w:tc>
        <w:tc>
          <w:tcPr>
            <w:tcW w:w="0" w:type="auto"/>
            <w:tcBorders>
              <w:bottom w:val="single" w:sz="12" w:space="0" w:color="00B0F0"/>
            </w:tcBorders>
          </w:tcPr>
          <w:p w14:paraId="7D6FB072"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2028</w:t>
            </w:r>
          </w:p>
        </w:tc>
        <w:tc>
          <w:tcPr>
            <w:tcW w:w="0" w:type="auto"/>
            <w:tcBorders>
              <w:bottom w:val="single" w:sz="12" w:space="0" w:color="00B0F0"/>
            </w:tcBorders>
          </w:tcPr>
          <w:p w14:paraId="40D10C6F"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2029</w:t>
            </w:r>
          </w:p>
        </w:tc>
        <w:tc>
          <w:tcPr>
            <w:tcW w:w="0" w:type="auto"/>
            <w:tcBorders>
              <w:bottom w:val="single" w:sz="12" w:space="0" w:color="00B0F0"/>
            </w:tcBorders>
          </w:tcPr>
          <w:p w14:paraId="2ED6E474"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2030</w:t>
            </w:r>
          </w:p>
        </w:tc>
        <w:tc>
          <w:tcPr>
            <w:tcW w:w="0" w:type="auto"/>
            <w:tcBorders>
              <w:bottom w:val="single" w:sz="12" w:space="0" w:color="00B0F0"/>
            </w:tcBorders>
          </w:tcPr>
          <w:p w14:paraId="0506FFB9"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2031</w:t>
            </w:r>
          </w:p>
        </w:tc>
        <w:tc>
          <w:tcPr>
            <w:tcW w:w="0" w:type="auto"/>
            <w:tcBorders>
              <w:bottom w:val="single" w:sz="12" w:space="0" w:color="00B0F0"/>
            </w:tcBorders>
          </w:tcPr>
          <w:p w14:paraId="788D1DEB"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2032</w:t>
            </w:r>
          </w:p>
        </w:tc>
        <w:tc>
          <w:tcPr>
            <w:tcW w:w="0" w:type="auto"/>
            <w:tcBorders>
              <w:bottom w:val="single" w:sz="12" w:space="0" w:color="00B0F0"/>
            </w:tcBorders>
          </w:tcPr>
          <w:p w14:paraId="58C1A5AC"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2033</w:t>
            </w:r>
          </w:p>
        </w:tc>
        <w:tc>
          <w:tcPr>
            <w:tcW w:w="0" w:type="auto"/>
            <w:tcBorders>
              <w:bottom w:val="single" w:sz="12" w:space="0" w:color="00B0F0"/>
            </w:tcBorders>
          </w:tcPr>
          <w:p w14:paraId="17FDA781"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2034</w:t>
            </w:r>
          </w:p>
        </w:tc>
        <w:tc>
          <w:tcPr>
            <w:tcW w:w="0" w:type="auto"/>
            <w:tcBorders>
              <w:bottom w:val="single" w:sz="12" w:space="0" w:color="00B0F0"/>
            </w:tcBorders>
          </w:tcPr>
          <w:p w14:paraId="790FC88A"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2035</w:t>
            </w:r>
          </w:p>
        </w:tc>
        <w:tc>
          <w:tcPr>
            <w:tcW w:w="0" w:type="auto"/>
            <w:tcBorders>
              <w:bottom w:val="single" w:sz="12" w:space="0" w:color="00B0F0"/>
            </w:tcBorders>
          </w:tcPr>
          <w:p w14:paraId="6D8D5DAD"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2036</w:t>
            </w:r>
          </w:p>
        </w:tc>
        <w:tc>
          <w:tcPr>
            <w:tcW w:w="583" w:type="dxa"/>
            <w:tcBorders>
              <w:bottom w:val="single" w:sz="12" w:space="0" w:color="00B0F0"/>
            </w:tcBorders>
          </w:tcPr>
          <w:p w14:paraId="634FA650" w14:textId="77777777" w:rsidR="00F32E6C" w:rsidRPr="005E0DD2" w:rsidRDefault="00F32E6C">
            <w:pPr>
              <w:pStyle w:val="Text1"/>
              <w:spacing w:after="0"/>
              <w:ind w:left="0"/>
              <w:rPr>
                <w:b/>
                <w:bCs/>
                <w:noProof/>
                <w:sz w:val="18"/>
                <w:szCs w:val="18"/>
                <w:lang w:val="en-IE"/>
              </w:rPr>
            </w:pPr>
            <w:r w:rsidRPr="005E0DD2">
              <w:rPr>
                <w:b/>
                <w:bCs/>
                <w:noProof/>
                <w:sz w:val="18"/>
                <w:szCs w:val="18"/>
                <w:lang w:val="en-IE"/>
              </w:rPr>
              <w:t>CAGR</w:t>
            </w:r>
          </w:p>
        </w:tc>
      </w:tr>
      <w:tr w:rsidR="00960E98" w:rsidRPr="005E0DD2" w14:paraId="5AAADAB0" w14:textId="77777777" w:rsidTr="00B74DD0">
        <w:tc>
          <w:tcPr>
            <w:tcW w:w="1701" w:type="dxa"/>
            <w:tcBorders>
              <w:top w:val="single" w:sz="12" w:space="0" w:color="00B0F0"/>
            </w:tcBorders>
            <w:shd w:val="clear" w:color="auto" w:fill="DBE5F1" w:themeFill="accent1" w:themeFillTint="33"/>
          </w:tcPr>
          <w:p w14:paraId="47C518EA" w14:textId="77777777" w:rsidR="005E0DD2" w:rsidRPr="005E0DD2" w:rsidRDefault="005E0DD2" w:rsidP="000275CB">
            <w:pPr>
              <w:pStyle w:val="Text1"/>
              <w:spacing w:after="0"/>
              <w:ind w:left="0"/>
              <w:jc w:val="left"/>
              <w:rPr>
                <w:noProof/>
                <w:sz w:val="18"/>
                <w:szCs w:val="18"/>
                <w:lang w:val="en-IE"/>
              </w:rPr>
            </w:pPr>
            <w:r w:rsidRPr="005E0DD2">
              <w:rPr>
                <w:noProof/>
                <w:sz w:val="18"/>
                <w:szCs w:val="18"/>
                <w:lang w:val="en-IE"/>
              </w:rPr>
              <w:t>Capacity growth (MW)</w:t>
            </w:r>
          </w:p>
        </w:tc>
        <w:tc>
          <w:tcPr>
            <w:tcW w:w="0" w:type="auto"/>
            <w:tcBorders>
              <w:top w:val="single" w:sz="12" w:space="0" w:color="00B0F0"/>
            </w:tcBorders>
            <w:shd w:val="clear" w:color="auto" w:fill="DBE5F1" w:themeFill="accent1" w:themeFillTint="33"/>
            <w:vAlign w:val="center"/>
          </w:tcPr>
          <w:p w14:paraId="6F59912A"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12440</w:t>
            </w:r>
          </w:p>
        </w:tc>
        <w:tc>
          <w:tcPr>
            <w:tcW w:w="0" w:type="auto"/>
            <w:tcBorders>
              <w:top w:val="single" w:sz="12" w:space="0" w:color="00B0F0"/>
            </w:tcBorders>
            <w:shd w:val="clear" w:color="auto" w:fill="DBE5F1" w:themeFill="accent1" w:themeFillTint="33"/>
            <w:vAlign w:val="center"/>
          </w:tcPr>
          <w:p w14:paraId="5A22E607"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15131</w:t>
            </w:r>
          </w:p>
        </w:tc>
        <w:tc>
          <w:tcPr>
            <w:tcW w:w="0" w:type="auto"/>
            <w:tcBorders>
              <w:top w:val="single" w:sz="12" w:space="0" w:color="00B0F0"/>
            </w:tcBorders>
            <w:shd w:val="clear" w:color="auto" w:fill="DBE5F1" w:themeFill="accent1" w:themeFillTint="33"/>
            <w:vAlign w:val="center"/>
          </w:tcPr>
          <w:p w14:paraId="07DF786F"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18189</w:t>
            </w:r>
          </w:p>
        </w:tc>
        <w:tc>
          <w:tcPr>
            <w:tcW w:w="0" w:type="auto"/>
            <w:tcBorders>
              <w:top w:val="single" w:sz="12" w:space="0" w:color="00B0F0"/>
            </w:tcBorders>
            <w:shd w:val="clear" w:color="auto" w:fill="DBE5F1" w:themeFill="accent1" w:themeFillTint="33"/>
            <w:vAlign w:val="center"/>
          </w:tcPr>
          <w:p w14:paraId="231BDE4B"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21573</w:t>
            </w:r>
          </w:p>
        </w:tc>
        <w:tc>
          <w:tcPr>
            <w:tcW w:w="0" w:type="auto"/>
            <w:tcBorders>
              <w:top w:val="single" w:sz="12" w:space="0" w:color="00B0F0"/>
            </w:tcBorders>
            <w:shd w:val="clear" w:color="auto" w:fill="DBE5F1" w:themeFill="accent1" w:themeFillTint="33"/>
            <w:vAlign w:val="center"/>
          </w:tcPr>
          <w:p w14:paraId="7F2B9DE9"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25409</w:t>
            </w:r>
          </w:p>
        </w:tc>
        <w:tc>
          <w:tcPr>
            <w:tcW w:w="0" w:type="auto"/>
            <w:tcBorders>
              <w:top w:val="single" w:sz="12" w:space="0" w:color="00B0F0"/>
            </w:tcBorders>
            <w:shd w:val="clear" w:color="auto" w:fill="DBE5F1" w:themeFill="accent1" w:themeFillTint="33"/>
            <w:vAlign w:val="center"/>
          </w:tcPr>
          <w:p w14:paraId="4755FC77"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29754</w:t>
            </w:r>
          </w:p>
        </w:tc>
        <w:tc>
          <w:tcPr>
            <w:tcW w:w="0" w:type="auto"/>
            <w:tcBorders>
              <w:top w:val="single" w:sz="12" w:space="0" w:color="00B0F0"/>
            </w:tcBorders>
            <w:shd w:val="clear" w:color="auto" w:fill="DBE5F1" w:themeFill="accent1" w:themeFillTint="33"/>
            <w:vAlign w:val="center"/>
          </w:tcPr>
          <w:p w14:paraId="48C32EC8"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33518</w:t>
            </w:r>
          </w:p>
        </w:tc>
        <w:tc>
          <w:tcPr>
            <w:tcW w:w="0" w:type="auto"/>
            <w:tcBorders>
              <w:top w:val="single" w:sz="12" w:space="0" w:color="00B0F0"/>
            </w:tcBorders>
            <w:shd w:val="clear" w:color="auto" w:fill="DBE5F1" w:themeFill="accent1" w:themeFillTint="33"/>
            <w:vAlign w:val="center"/>
          </w:tcPr>
          <w:p w14:paraId="02E6886D"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36893</w:t>
            </w:r>
          </w:p>
        </w:tc>
        <w:tc>
          <w:tcPr>
            <w:tcW w:w="0" w:type="auto"/>
            <w:tcBorders>
              <w:top w:val="single" w:sz="12" w:space="0" w:color="00B0F0"/>
            </w:tcBorders>
            <w:shd w:val="clear" w:color="auto" w:fill="DBE5F1" w:themeFill="accent1" w:themeFillTint="33"/>
            <w:vAlign w:val="center"/>
          </w:tcPr>
          <w:p w14:paraId="610C61F0"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39965</w:t>
            </w:r>
          </w:p>
        </w:tc>
        <w:tc>
          <w:tcPr>
            <w:tcW w:w="0" w:type="auto"/>
            <w:tcBorders>
              <w:top w:val="single" w:sz="12" w:space="0" w:color="00B0F0"/>
            </w:tcBorders>
            <w:shd w:val="clear" w:color="auto" w:fill="DBE5F1" w:themeFill="accent1" w:themeFillTint="33"/>
            <w:vAlign w:val="center"/>
          </w:tcPr>
          <w:p w14:paraId="331611B4"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42722</w:t>
            </w:r>
          </w:p>
        </w:tc>
        <w:tc>
          <w:tcPr>
            <w:tcW w:w="0" w:type="auto"/>
            <w:tcBorders>
              <w:top w:val="single" w:sz="12" w:space="0" w:color="00B0F0"/>
            </w:tcBorders>
            <w:shd w:val="clear" w:color="auto" w:fill="DBE5F1" w:themeFill="accent1" w:themeFillTint="33"/>
            <w:vAlign w:val="center"/>
          </w:tcPr>
          <w:p w14:paraId="70B1E4E1" w14:textId="77777777" w:rsidR="005E0DD2" w:rsidRPr="005E0DD2" w:rsidRDefault="005E0DD2" w:rsidP="001F4382">
            <w:pPr>
              <w:pStyle w:val="Text1"/>
              <w:spacing w:after="0"/>
              <w:ind w:left="0"/>
              <w:jc w:val="center"/>
              <w:rPr>
                <w:noProof/>
                <w:sz w:val="18"/>
                <w:szCs w:val="18"/>
                <w:lang w:val="en-IE"/>
              </w:rPr>
            </w:pPr>
            <w:r w:rsidRPr="005E0DD2">
              <w:rPr>
                <w:noProof/>
                <w:sz w:val="18"/>
                <w:szCs w:val="18"/>
              </w:rPr>
              <w:t>45168</w:t>
            </w:r>
          </w:p>
        </w:tc>
        <w:tc>
          <w:tcPr>
            <w:tcW w:w="0" w:type="auto"/>
            <w:tcBorders>
              <w:top w:val="single" w:sz="12" w:space="0" w:color="00B0F0"/>
            </w:tcBorders>
            <w:shd w:val="clear" w:color="auto" w:fill="DBE5F1" w:themeFill="accent1" w:themeFillTint="33"/>
            <w:vAlign w:val="center"/>
          </w:tcPr>
          <w:p w14:paraId="73A6784E" w14:textId="05AF18DD" w:rsidR="005E0DD2" w:rsidRPr="005E0DD2" w:rsidRDefault="005E0DD2" w:rsidP="001F4382">
            <w:pPr>
              <w:pStyle w:val="Text1"/>
              <w:spacing w:after="0"/>
              <w:ind w:left="0"/>
              <w:jc w:val="center"/>
              <w:rPr>
                <w:noProof/>
                <w:sz w:val="18"/>
                <w:szCs w:val="18"/>
                <w:lang w:val="en-IE"/>
              </w:rPr>
            </w:pPr>
            <w:r w:rsidRPr="005E0DD2">
              <w:rPr>
                <w:noProof/>
                <w:sz w:val="18"/>
                <w:szCs w:val="18"/>
              </w:rPr>
              <w:t>47712</w:t>
            </w:r>
          </w:p>
        </w:tc>
        <w:tc>
          <w:tcPr>
            <w:tcW w:w="583" w:type="dxa"/>
            <w:tcBorders>
              <w:top w:val="single" w:sz="12" w:space="0" w:color="00B0F0"/>
            </w:tcBorders>
            <w:shd w:val="clear" w:color="auto" w:fill="F2F2F2" w:themeFill="background1" w:themeFillShade="F2"/>
            <w:vAlign w:val="center"/>
          </w:tcPr>
          <w:p w14:paraId="5462502E" w14:textId="77777777" w:rsidR="005E0DD2" w:rsidRPr="005E0DD2" w:rsidRDefault="005E0DD2" w:rsidP="001F4382">
            <w:pPr>
              <w:pStyle w:val="Text1"/>
              <w:spacing w:after="0"/>
              <w:ind w:left="0"/>
              <w:jc w:val="center"/>
              <w:rPr>
                <w:b/>
                <w:noProof/>
                <w:sz w:val="18"/>
                <w:szCs w:val="18"/>
                <w:lang w:val="en-IE"/>
              </w:rPr>
            </w:pPr>
            <w:r w:rsidRPr="005E0DD2">
              <w:rPr>
                <w:b/>
                <w:noProof/>
                <w:sz w:val="18"/>
                <w:szCs w:val="18"/>
                <w:lang w:val="en-IE"/>
              </w:rPr>
              <w:t>13%</w:t>
            </w:r>
          </w:p>
        </w:tc>
      </w:tr>
      <w:tr w:rsidR="00E946AD" w:rsidRPr="005E0DD2" w14:paraId="2E47C8AE" w14:textId="77777777" w:rsidTr="00B74DD0">
        <w:tc>
          <w:tcPr>
            <w:tcW w:w="1701" w:type="dxa"/>
          </w:tcPr>
          <w:p w14:paraId="679473F1" w14:textId="77777777" w:rsidR="00F32E6C" w:rsidRPr="005E0DD2" w:rsidRDefault="00F32E6C" w:rsidP="000275CB">
            <w:pPr>
              <w:pStyle w:val="Text1"/>
              <w:spacing w:after="0"/>
              <w:ind w:left="0"/>
              <w:jc w:val="left"/>
              <w:rPr>
                <w:noProof/>
                <w:sz w:val="18"/>
                <w:szCs w:val="18"/>
                <w:lang w:val="en-IE"/>
              </w:rPr>
            </w:pPr>
            <w:r w:rsidRPr="005E0DD2">
              <w:rPr>
                <w:noProof/>
                <w:sz w:val="18"/>
                <w:szCs w:val="18"/>
                <w:lang w:val="en-IE"/>
              </w:rPr>
              <w:t>Average capacity of one DC (MW)</w:t>
            </w:r>
          </w:p>
        </w:tc>
        <w:tc>
          <w:tcPr>
            <w:tcW w:w="0" w:type="auto"/>
            <w:vAlign w:val="center"/>
          </w:tcPr>
          <w:p w14:paraId="4530D4DE"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13.0</w:t>
            </w:r>
          </w:p>
        </w:tc>
        <w:tc>
          <w:tcPr>
            <w:tcW w:w="0" w:type="auto"/>
            <w:vAlign w:val="center"/>
          </w:tcPr>
          <w:p w14:paraId="7D632D33"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13.1</w:t>
            </w:r>
          </w:p>
        </w:tc>
        <w:tc>
          <w:tcPr>
            <w:tcW w:w="0" w:type="auto"/>
            <w:vAlign w:val="center"/>
          </w:tcPr>
          <w:p w14:paraId="60C9F496"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13.3</w:t>
            </w:r>
          </w:p>
        </w:tc>
        <w:tc>
          <w:tcPr>
            <w:tcW w:w="0" w:type="auto"/>
            <w:vAlign w:val="center"/>
          </w:tcPr>
          <w:p w14:paraId="3EB91075"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13.4</w:t>
            </w:r>
          </w:p>
        </w:tc>
        <w:tc>
          <w:tcPr>
            <w:tcW w:w="0" w:type="auto"/>
            <w:vAlign w:val="center"/>
          </w:tcPr>
          <w:p w14:paraId="5CB93CE8"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13.5</w:t>
            </w:r>
          </w:p>
        </w:tc>
        <w:tc>
          <w:tcPr>
            <w:tcW w:w="0" w:type="auto"/>
            <w:vAlign w:val="center"/>
          </w:tcPr>
          <w:p w14:paraId="49627968"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13.7</w:t>
            </w:r>
          </w:p>
        </w:tc>
        <w:tc>
          <w:tcPr>
            <w:tcW w:w="0" w:type="auto"/>
            <w:vAlign w:val="center"/>
          </w:tcPr>
          <w:p w14:paraId="61D85E8D"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13.8</w:t>
            </w:r>
          </w:p>
        </w:tc>
        <w:tc>
          <w:tcPr>
            <w:tcW w:w="0" w:type="auto"/>
            <w:vAlign w:val="center"/>
          </w:tcPr>
          <w:p w14:paraId="44B023E9"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13.9</w:t>
            </w:r>
          </w:p>
        </w:tc>
        <w:tc>
          <w:tcPr>
            <w:tcW w:w="0" w:type="auto"/>
            <w:vAlign w:val="center"/>
          </w:tcPr>
          <w:p w14:paraId="345E6F92"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14.1</w:t>
            </w:r>
          </w:p>
        </w:tc>
        <w:tc>
          <w:tcPr>
            <w:tcW w:w="0" w:type="auto"/>
            <w:vAlign w:val="center"/>
          </w:tcPr>
          <w:p w14:paraId="25EB0A49"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14.2</w:t>
            </w:r>
          </w:p>
        </w:tc>
        <w:tc>
          <w:tcPr>
            <w:tcW w:w="0" w:type="auto"/>
            <w:vAlign w:val="center"/>
          </w:tcPr>
          <w:p w14:paraId="44F6489E"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14.4</w:t>
            </w:r>
          </w:p>
        </w:tc>
        <w:tc>
          <w:tcPr>
            <w:tcW w:w="0" w:type="auto"/>
            <w:vAlign w:val="center"/>
          </w:tcPr>
          <w:p w14:paraId="374CB4C8"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14.5</w:t>
            </w:r>
          </w:p>
        </w:tc>
        <w:tc>
          <w:tcPr>
            <w:tcW w:w="583" w:type="dxa"/>
            <w:shd w:val="clear" w:color="auto" w:fill="F2F2F2" w:themeFill="background1" w:themeFillShade="F2"/>
            <w:vAlign w:val="center"/>
          </w:tcPr>
          <w:p w14:paraId="14C03F44" w14:textId="20289699" w:rsidR="00F32E6C" w:rsidRPr="005E0DD2" w:rsidRDefault="00F32E6C" w:rsidP="001F4382">
            <w:pPr>
              <w:pStyle w:val="Text1"/>
              <w:spacing w:after="0"/>
              <w:ind w:left="0"/>
              <w:jc w:val="center"/>
              <w:rPr>
                <w:noProof/>
                <w:sz w:val="18"/>
                <w:szCs w:val="18"/>
                <w:lang w:val="en-IE"/>
              </w:rPr>
            </w:pPr>
            <w:r w:rsidRPr="005E0DD2">
              <w:rPr>
                <w:b/>
                <w:noProof/>
                <w:sz w:val="18"/>
                <w:szCs w:val="18"/>
                <w:lang w:val="en-IE"/>
              </w:rPr>
              <w:t>1%</w:t>
            </w:r>
          </w:p>
        </w:tc>
      </w:tr>
      <w:tr w:rsidR="00960E98" w:rsidRPr="005E0DD2" w14:paraId="2B4F891C" w14:textId="77777777" w:rsidTr="00B74DD0">
        <w:tc>
          <w:tcPr>
            <w:tcW w:w="1701" w:type="dxa"/>
            <w:shd w:val="clear" w:color="auto" w:fill="DBE5F1" w:themeFill="accent1" w:themeFillTint="33"/>
          </w:tcPr>
          <w:p w14:paraId="12EA7ECD" w14:textId="77777777" w:rsidR="001F4382" w:rsidRPr="005E0DD2" w:rsidRDefault="001F4382" w:rsidP="000275CB">
            <w:pPr>
              <w:pStyle w:val="Text1"/>
              <w:spacing w:after="0"/>
              <w:ind w:left="0"/>
              <w:jc w:val="left"/>
              <w:rPr>
                <w:noProof/>
                <w:sz w:val="18"/>
                <w:szCs w:val="18"/>
                <w:lang w:val="en-IE"/>
              </w:rPr>
            </w:pPr>
            <w:r w:rsidRPr="005E0DD2">
              <w:rPr>
                <w:noProof/>
                <w:sz w:val="18"/>
                <w:szCs w:val="18"/>
                <w:lang w:val="en-IE"/>
              </w:rPr>
              <w:t>No. of new DC built</w:t>
            </w:r>
          </w:p>
        </w:tc>
        <w:tc>
          <w:tcPr>
            <w:tcW w:w="0" w:type="auto"/>
            <w:shd w:val="clear" w:color="auto" w:fill="DBE5F1" w:themeFill="accent1" w:themeFillTint="33"/>
            <w:vAlign w:val="center"/>
          </w:tcPr>
          <w:p w14:paraId="490F2BCE" w14:textId="7C58EC20" w:rsidR="001F4382" w:rsidRPr="005E0DD2" w:rsidRDefault="001F4382" w:rsidP="001F4382">
            <w:pPr>
              <w:pStyle w:val="Text1"/>
              <w:spacing w:after="0"/>
              <w:jc w:val="center"/>
              <w:rPr>
                <w:noProof/>
                <w:sz w:val="18"/>
                <w:szCs w:val="18"/>
                <w:lang w:val="en-IE"/>
              </w:rPr>
            </w:pPr>
          </w:p>
        </w:tc>
        <w:tc>
          <w:tcPr>
            <w:tcW w:w="0" w:type="auto"/>
            <w:shd w:val="clear" w:color="auto" w:fill="DBE5F1" w:themeFill="accent1" w:themeFillTint="33"/>
            <w:vAlign w:val="center"/>
          </w:tcPr>
          <w:p w14:paraId="6610538D"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205</w:t>
            </w:r>
          </w:p>
        </w:tc>
        <w:tc>
          <w:tcPr>
            <w:tcW w:w="0" w:type="auto"/>
            <w:shd w:val="clear" w:color="auto" w:fill="DBE5F1" w:themeFill="accent1" w:themeFillTint="33"/>
            <w:vAlign w:val="center"/>
          </w:tcPr>
          <w:p w14:paraId="1B6240A3"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231</w:t>
            </w:r>
          </w:p>
        </w:tc>
        <w:tc>
          <w:tcPr>
            <w:tcW w:w="0" w:type="auto"/>
            <w:shd w:val="clear" w:color="auto" w:fill="DBE5F1" w:themeFill="accent1" w:themeFillTint="33"/>
            <w:vAlign w:val="center"/>
          </w:tcPr>
          <w:p w14:paraId="23565CB9"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253</w:t>
            </w:r>
          </w:p>
        </w:tc>
        <w:tc>
          <w:tcPr>
            <w:tcW w:w="0" w:type="auto"/>
            <w:shd w:val="clear" w:color="auto" w:fill="DBE5F1" w:themeFill="accent1" w:themeFillTint="33"/>
            <w:vAlign w:val="center"/>
          </w:tcPr>
          <w:p w14:paraId="432FDED4"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284</w:t>
            </w:r>
          </w:p>
        </w:tc>
        <w:tc>
          <w:tcPr>
            <w:tcW w:w="0" w:type="auto"/>
            <w:shd w:val="clear" w:color="auto" w:fill="DBE5F1" w:themeFill="accent1" w:themeFillTint="33"/>
            <w:vAlign w:val="center"/>
          </w:tcPr>
          <w:p w14:paraId="1E8438A5"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318</w:t>
            </w:r>
          </w:p>
        </w:tc>
        <w:tc>
          <w:tcPr>
            <w:tcW w:w="0" w:type="auto"/>
            <w:shd w:val="clear" w:color="auto" w:fill="DBE5F1" w:themeFill="accent1" w:themeFillTint="33"/>
            <w:vAlign w:val="center"/>
          </w:tcPr>
          <w:p w14:paraId="517DCC4F"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273</w:t>
            </w:r>
          </w:p>
        </w:tc>
        <w:tc>
          <w:tcPr>
            <w:tcW w:w="0" w:type="auto"/>
            <w:shd w:val="clear" w:color="auto" w:fill="DBE5F1" w:themeFill="accent1" w:themeFillTint="33"/>
            <w:vAlign w:val="center"/>
          </w:tcPr>
          <w:p w14:paraId="6213DFA5"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242</w:t>
            </w:r>
          </w:p>
        </w:tc>
        <w:tc>
          <w:tcPr>
            <w:tcW w:w="0" w:type="auto"/>
            <w:shd w:val="clear" w:color="auto" w:fill="DBE5F1" w:themeFill="accent1" w:themeFillTint="33"/>
            <w:vAlign w:val="center"/>
          </w:tcPr>
          <w:p w14:paraId="2F779AD4"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218</w:t>
            </w:r>
          </w:p>
        </w:tc>
        <w:tc>
          <w:tcPr>
            <w:tcW w:w="0" w:type="auto"/>
            <w:shd w:val="clear" w:color="auto" w:fill="DBE5F1" w:themeFill="accent1" w:themeFillTint="33"/>
            <w:vAlign w:val="center"/>
          </w:tcPr>
          <w:p w14:paraId="1A7B8159"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194</w:t>
            </w:r>
          </w:p>
        </w:tc>
        <w:tc>
          <w:tcPr>
            <w:tcW w:w="0" w:type="auto"/>
            <w:shd w:val="clear" w:color="auto" w:fill="DBE5F1" w:themeFill="accent1" w:themeFillTint="33"/>
            <w:vAlign w:val="center"/>
          </w:tcPr>
          <w:p w14:paraId="0F1DEE01" w14:textId="77777777" w:rsidR="001F4382" w:rsidRPr="005E0DD2" w:rsidRDefault="001F4382" w:rsidP="001F4382">
            <w:pPr>
              <w:pStyle w:val="Text1"/>
              <w:spacing w:after="0"/>
              <w:ind w:left="0"/>
              <w:jc w:val="center"/>
              <w:rPr>
                <w:noProof/>
                <w:sz w:val="18"/>
                <w:szCs w:val="18"/>
                <w:lang w:val="en-IE"/>
              </w:rPr>
            </w:pPr>
            <w:r w:rsidRPr="005E0DD2">
              <w:rPr>
                <w:noProof/>
                <w:sz w:val="18"/>
                <w:szCs w:val="18"/>
              </w:rPr>
              <w:t>170</w:t>
            </w:r>
          </w:p>
        </w:tc>
        <w:tc>
          <w:tcPr>
            <w:tcW w:w="0" w:type="auto"/>
            <w:shd w:val="clear" w:color="auto" w:fill="DBE5F1" w:themeFill="accent1" w:themeFillTint="33"/>
            <w:vAlign w:val="center"/>
          </w:tcPr>
          <w:p w14:paraId="0A405876" w14:textId="0BA450C0" w:rsidR="001F4382" w:rsidRPr="005E0DD2" w:rsidRDefault="001F4382" w:rsidP="001F4382">
            <w:pPr>
              <w:pStyle w:val="Text1"/>
              <w:spacing w:after="0"/>
              <w:ind w:left="0"/>
              <w:jc w:val="center"/>
              <w:rPr>
                <w:noProof/>
                <w:sz w:val="18"/>
                <w:szCs w:val="18"/>
                <w:lang w:val="en-IE"/>
              </w:rPr>
            </w:pPr>
            <w:r w:rsidRPr="001F4382">
              <w:rPr>
                <w:noProof/>
                <w:sz w:val="18"/>
                <w:szCs w:val="14"/>
              </w:rPr>
              <w:t>175</w:t>
            </w:r>
          </w:p>
        </w:tc>
        <w:tc>
          <w:tcPr>
            <w:tcW w:w="583" w:type="dxa"/>
            <w:shd w:val="clear" w:color="auto" w:fill="F2F2F2" w:themeFill="background1" w:themeFillShade="F2"/>
            <w:vAlign w:val="center"/>
          </w:tcPr>
          <w:p w14:paraId="618E4DE7" w14:textId="77777777" w:rsidR="001F4382" w:rsidRPr="005E0DD2" w:rsidRDefault="001F4382" w:rsidP="001F4382">
            <w:pPr>
              <w:pStyle w:val="Text1"/>
              <w:spacing w:after="0"/>
              <w:jc w:val="center"/>
              <w:rPr>
                <w:noProof/>
                <w:sz w:val="18"/>
                <w:szCs w:val="18"/>
                <w:lang w:val="en-IE"/>
              </w:rPr>
            </w:pPr>
          </w:p>
        </w:tc>
      </w:tr>
      <w:tr w:rsidR="00E946AD" w:rsidRPr="005E0DD2" w14:paraId="60B2E29D" w14:textId="77777777" w:rsidTr="00B74DD0">
        <w:tc>
          <w:tcPr>
            <w:tcW w:w="1701" w:type="dxa"/>
          </w:tcPr>
          <w:p w14:paraId="254BCA1F" w14:textId="77777777" w:rsidR="00F32E6C" w:rsidRPr="005E0DD2" w:rsidRDefault="00F32E6C" w:rsidP="000275CB">
            <w:pPr>
              <w:pStyle w:val="Text1"/>
              <w:spacing w:after="0"/>
              <w:ind w:left="0"/>
              <w:jc w:val="left"/>
              <w:rPr>
                <w:noProof/>
                <w:sz w:val="18"/>
                <w:szCs w:val="18"/>
                <w:lang w:val="en-IE"/>
              </w:rPr>
            </w:pPr>
            <w:r w:rsidRPr="005E0DD2">
              <w:rPr>
                <w:noProof/>
                <w:sz w:val="18"/>
                <w:szCs w:val="18"/>
                <w:lang w:val="en-IE"/>
              </w:rPr>
              <w:t>% of DC benefitting from the option</w:t>
            </w:r>
          </w:p>
        </w:tc>
        <w:tc>
          <w:tcPr>
            <w:tcW w:w="0" w:type="auto"/>
            <w:vAlign w:val="center"/>
          </w:tcPr>
          <w:p w14:paraId="6795BDA8"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0%</w:t>
            </w:r>
          </w:p>
        </w:tc>
        <w:tc>
          <w:tcPr>
            <w:tcW w:w="0" w:type="auto"/>
            <w:vAlign w:val="center"/>
          </w:tcPr>
          <w:p w14:paraId="7699D149"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0%</w:t>
            </w:r>
          </w:p>
        </w:tc>
        <w:tc>
          <w:tcPr>
            <w:tcW w:w="0" w:type="auto"/>
            <w:vAlign w:val="center"/>
          </w:tcPr>
          <w:p w14:paraId="05FED602"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5%</w:t>
            </w:r>
          </w:p>
        </w:tc>
        <w:tc>
          <w:tcPr>
            <w:tcW w:w="0" w:type="auto"/>
            <w:vAlign w:val="center"/>
          </w:tcPr>
          <w:p w14:paraId="1C64C134"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10%</w:t>
            </w:r>
          </w:p>
        </w:tc>
        <w:tc>
          <w:tcPr>
            <w:tcW w:w="0" w:type="auto"/>
            <w:vAlign w:val="center"/>
          </w:tcPr>
          <w:p w14:paraId="60549D63"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15%</w:t>
            </w:r>
          </w:p>
        </w:tc>
        <w:tc>
          <w:tcPr>
            <w:tcW w:w="0" w:type="auto"/>
            <w:vAlign w:val="center"/>
          </w:tcPr>
          <w:p w14:paraId="2926D355"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20%</w:t>
            </w:r>
          </w:p>
        </w:tc>
        <w:tc>
          <w:tcPr>
            <w:tcW w:w="0" w:type="auto"/>
            <w:vAlign w:val="center"/>
          </w:tcPr>
          <w:p w14:paraId="51861ABA"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25%</w:t>
            </w:r>
          </w:p>
        </w:tc>
        <w:tc>
          <w:tcPr>
            <w:tcW w:w="0" w:type="auto"/>
            <w:vAlign w:val="center"/>
          </w:tcPr>
          <w:p w14:paraId="20BC29EA"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30%</w:t>
            </w:r>
          </w:p>
        </w:tc>
        <w:tc>
          <w:tcPr>
            <w:tcW w:w="0" w:type="auto"/>
            <w:vAlign w:val="center"/>
          </w:tcPr>
          <w:p w14:paraId="6DA0AF67"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35%</w:t>
            </w:r>
          </w:p>
        </w:tc>
        <w:tc>
          <w:tcPr>
            <w:tcW w:w="0" w:type="auto"/>
            <w:vAlign w:val="center"/>
          </w:tcPr>
          <w:p w14:paraId="4875E180"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40%</w:t>
            </w:r>
          </w:p>
        </w:tc>
        <w:tc>
          <w:tcPr>
            <w:tcW w:w="0" w:type="auto"/>
            <w:vAlign w:val="center"/>
          </w:tcPr>
          <w:p w14:paraId="6D58D8AB"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45%</w:t>
            </w:r>
          </w:p>
        </w:tc>
        <w:tc>
          <w:tcPr>
            <w:tcW w:w="0" w:type="auto"/>
            <w:vAlign w:val="center"/>
          </w:tcPr>
          <w:p w14:paraId="047D0AEA" w14:textId="77777777" w:rsidR="00F32E6C" w:rsidRPr="005E0DD2" w:rsidRDefault="00F32E6C" w:rsidP="001F4382">
            <w:pPr>
              <w:pStyle w:val="Text1"/>
              <w:spacing w:after="0"/>
              <w:ind w:left="0"/>
              <w:jc w:val="center"/>
              <w:rPr>
                <w:noProof/>
                <w:sz w:val="18"/>
                <w:szCs w:val="18"/>
                <w:lang w:val="en-IE"/>
              </w:rPr>
            </w:pPr>
            <w:r w:rsidRPr="005E0DD2">
              <w:rPr>
                <w:noProof/>
                <w:sz w:val="18"/>
                <w:szCs w:val="18"/>
              </w:rPr>
              <w:t>50%</w:t>
            </w:r>
          </w:p>
        </w:tc>
        <w:tc>
          <w:tcPr>
            <w:tcW w:w="583" w:type="dxa"/>
            <w:shd w:val="clear" w:color="auto" w:fill="F2F2F2" w:themeFill="background1" w:themeFillShade="F2"/>
            <w:vAlign w:val="center"/>
          </w:tcPr>
          <w:p w14:paraId="4C1870F9" w14:textId="77777777" w:rsidR="00F32E6C" w:rsidRPr="005E0DD2" w:rsidRDefault="00F32E6C" w:rsidP="001F4382">
            <w:pPr>
              <w:pStyle w:val="Text1"/>
              <w:spacing w:after="0"/>
              <w:jc w:val="center"/>
              <w:rPr>
                <w:noProof/>
                <w:sz w:val="18"/>
                <w:szCs w:val="18"/>
                <w:lang w:val="en-IE"/>
              </w:rPr>
            </w:pPr>
          </w:p>
        </w:tc>
      </w:tr>
      <w:tr w:rsidR="00960E98" w:rsidRPr="005E0DD2" w14:paraId="5294369B" w14:textId="77777777" w:rsidTr="00B74DD0">
        <w:tc>
          <w:tcPr>
            <w:tcW w:w="1701" w:type="dxa"/>
            <w:shd w:val="clear" w:color="auto" w:fill="DBE5F1" w:themeFill="accent1" w:themeFillTint="33"/>
          </w:tcPr>
          <w:p w14:paraId="49AC78ED" w14:textId="77777777" w:rsidR="002939AE" w:rsidRPr="000275CB" w:rsidRDefault="002939AE" w:rsidP="000275CB">
            <w:pPr>
              <w:pStyle w:val="Text1"/>
              <w:spacing w:after="0"/>
              <w:ind w:left="0"/>
              <w:jc w:val="left"/>
              <w:rPr>
                <w:noProof/>
                <w:sz w:val="18"/>
                <w:szCs w:val="18"/>
                <w:lang w:val="en-IE"/>
              </w:rPr>
            </w:pPr>
            <w:r w:rsidRPr="000275CB">
              <w:rPr>
                <w:noProof/>
                <w:sz w:val="18"/>
                <w:szCs w:val="18"/>
                <w:lang w:val="en-IE"/>
              </w:rPr>
              <w:t>No. DC benefitting from the option</w:t>
            </w:r>
          </w:p>
        </w:tc>
        <w:tc>
          <w:tcPr>
            <w:tcW w:w="0" w:type="auto"/>
            <w:shd w:val="clear" w:color="auto" w:fill="DBE5F1" w:themeFill="accent1" w:themeFillTint="33"/>
          </w:tcPr>
          <w:p w14:paraId="78A7F868" w14:textId="7A678AAC" w:rsidR="002939AE" w:rsidRPr="005E0DD2" w:rsidRDefault="002939AE" w:rsidP="002939AE">
            <w:pPr>
              <w:pStyle w:val="Text1"/>
              <w:spacing w:after="0"/>
              <w:ind w:left="0"/>
              <w:jc w:val="center"/>
              <w:rPr>
                <w:noProof/>
                <w:sz w:val="18"/>
                <w:szCs w:val="18"/>
                <w:lang w:val="en-IE"/>
              </w:rPr>
            </w:pPr>
          </w:p>
        </w:tc>
        <w:tc>
          <w:tcPr>
            <w:tcW w:w="0" w:type="auto"/>
            <w:shd w:val="clear" w:color="auto" w:fill="DBE5F1" w:themeFill="accent1" w:themeFillTint="33"/>
            <w:vAlign w:val="center"/>
          </w:tcPr>
          <w:p w14:paraId="5EF1A597" w14:textId="2CBD92DB" w:rsidR="002939AE" w:rsidRPr="002939AE" w:rsidRDefault="002939AE" w:rsidP="002939AE">
            <w:pPr>
              <w:pStyle w:val="Text1"/>
              <w:spacing w:after="0"/>
              <w:ind w:left="0"/>
              <w:jc w:val="center"/>
              <w:rPr>
                <w:b/>
                <w:noProof/>
                <w:sz w:val="18"/>
                <w:szCs w:val="14"/>
                <w:lang w:val="en-IE"/>
              </w:rPr>
            </w:pPr>
            <w:r w:rsidRPr="002939AE">
              <w:rPr>
                <w:b/>
                <w:noProof/>
                <w:sz w:val="18"/>
                <w:szCs w:val="14"/>
              </w:rPr>
              <w:t>0</w:t>
            </w:r>
          </w:p>
        </w:tc>
        <w:tc>
          <w:tcPr>
            <w:tcW w:w="0" w:type="auto"/>
            <w:shd w:val="clear" w:color="auto" w:fill="DBE5F1" w:themeFill="accent1" w:themeFillTint="33"/>
            <w:vAlign w:val="center"/>
          </w:tcPr>
          <w:p w14:paraId="776A7CC6" w14:textId="4391D46E" w:rsidR="002939AE" w:rsidRPr="002939AE" w:rsidRDefault="002939AE" w:rsidP="002939AE">
            <w:pPr>
              <w:pStyle w:val="Text1"/>
              <w:spacing w:after="0"/>
              <w:ind w:left="0"/>
              <w:jc w:val="center"/>
              <w:rPr>
                <w:b/>
                <w:noProof/>
                <w:sz w:val="18"/>
                <w:szCs w:val="14"/>
                <w:lang w:val="en-IE"/>
              </w:rPr>
            </w:pPr>
            <w:r w:rsidRPr="002939AE">
              <w:rPr>
                <w:b/>
                <w:noProof/>
                <w:sz w:val="18"/>
                <w:szCs w:val="14"/>
              </w:rPr>
              <w:t>12</w:t>
            </w:r>
          </w:p>
        </w:tc>
        <w:tc>
          <w:tcPr>
            <w:tcW w:w="0" w:type="auto"/>
            <w:shd w:val="clear" w:color="auto" w:fill="DBE5F1" w:themeFill="accent1" w:themeFillTint="33"/>
            <w:vAlign w:val="center"/>
          </w:tcPr>
          <w:p w14:paraId="4B41BFD9" w14:textId="2FA07FBC" w:rsidR="002939AE" w:rsidRPr="002939AE" w:rsidRDefault="002939AE" w:rsidP="002939AE">
            <w:pPr>
              <w:pStyle w:val="Text1"/>
              <w:spacing w:after="0"/>
              <w:ind w:left="0"/>
              <w:jc w:val="center"/>
              <w:rPr>
                <w:b/>
                <w:noProof/>
                <w:sz w:val="18"/>
                <w:szCs w:val="14"/>
                <w:lang w:val="en-IE"/>
              </w:rPr>
            </w:pPr>
            <w:r w:rsidRPr="002939AE">
              <w:rPr>
                <w:b/>
                <w:noProof/>
                <w:sz w:val="18"/>
                <w:szCs w:val="14"/>
              </w:rPr>
              <w:t>25</w:t>
            </w:r>
          </w:p>
        </w:tc>
        <w:tc>
          <w:tcPr>
            <w:tcW w:w="0" w:type="auto"/>
            <w:shd w:val="clear" w:color="auto" w:fill="DBE5F1" w:themeFill="accent1" w:themeFillTint="33"/>
            <w:vAlign w:val="center"/>
          </w:tcPr>
          <w:p w14:paraId="3469D4DB" w14:textId="33FA3182" w:rsidR="002939AE" w:rsidRPr="002939AE" w:rsidRDefault="002939AE" w:rsidP="002939AE">
            <w:pPr>
              <w:pStyle w:val="Text1"/>
              <w:spacing w:after="0"/>
              <w:ind w:left="0"/>
              <w:jc w:val="center"/>
              <w:rPr>
                <w:b/>
                <w:noProof/>
                <w:sz w:val="18"/>
                <w:szCs w:val="14"/>
                <w:lang w:val="en-IE"/>
              </w:rPr>
            </w:pPr>
            <w:r w:rsidRPr="002939AE">
              <w:rPr>
                <w:b/>
                <w:noProof/>
                <w:sz w:val="18"/>
                <w:szCs w:val="14"/>
              </w:rPr>
              <w:t>43</w:t>
            </w:r>
          </w:p>
        </w:tc>
        <w:tc>
          <w:tcPr>
            <w:tcW w:w="0" w:type="auto"/>
            <w:shd w:val="clear" w:color="auto" w:fill="DBE5F1" w:themeFill="accent1" w:themeFillTint="33"/>
            <w:vAlign w:val="center"/>
          </w:tcPr>
          <w:p w14:paraId="5B17940C" w14:textId="55B0C75E" w:rsidR="002939AE" w:rsidRPr="002939AE" w:rsidRDefault="002939AE" w:rsidP="002939AE">
            <w:pPr>
              <w:pStyle w:val="Text1"/>
              <w:spacing w:after="0"/>
              <w:ind w:left="0"/>
              <w:jc w:val="center"/>
              <w:rPr>
                <w:b/>
                <w:noProof/>
                <w:sz w:val="18"/>
                <w:szCs w:val="14"/>
                <w:lang w:val="en-IE"/>
              </w:rPr>
            </w:pPr>
            <w:r w:rsidRPr="002939AE">
              <w:rPr>
                <w:b/>
                <w:noProof/>
                <w:sz w:val="18"/>
                <w:szCs w:val="14"/>
              </w:rPr>
              <w:t>64</w:t>
            </w:r>
          </w:p>
        </w:tc>
        <w:tc>
          <w:tcPr>
            <w:tcW w:w="0" w:type="auto"/>
            <w:shd w:val="clear" w:color="auto" w:fill="DBE5F1" w:themeFill="accent1" w:themeFillTint="33"/>
            <w:vAlign w:val="center"/>
          </w:tcPr>
          <w:p w14:paraId="32977CEE" w14:textId="367A959A" w:rsidR="002939AE" w:rsidRPr="002939AE" w:rsidRDefault="002939AE" w:rsidP="002939AE">
            <w:pPr>
              <w:pStyle w:val="Text1"/>
              <w:spacing w:after="0"/>
              <w:ind w:left="0"/>
              <w:jc w:val="center"/>
              <w:rPr>
                <w:b/>
                <w:noProof/>
                <w:sz w:val="18"/>
                <w:szCs w:val="14"/>
                <w:lang w:val="en-IE"/>
              </w:rPr>
            </w:pPr>
            <w:r w:rsidRPr="002939AE">
              <w:rPr>
                <w:b/>
                <w:noProof/>
                <w:sz w:val="18"/>
                <w:szCs w:val="14"/>
              </w:rPr>
              <w:t>68</w:t>
            </w:r>
          </w:p>
        </w:tc>
        <w:tc>
          <w:tcPr>
            <w:tcW w:w="0" w:type="auto"/>
            <w:shd w:val="clear" w:color="auto" w:fill="DBE5F1" w:themeFill="accent1" w:themeFillTint="33"/>
            <w:vAlign w:val="center"/>
          </w:tcPr>
          <w:p w14:paraId="78A097DD" w14:textId="3BA09DF8" w:rsidR="002939AE" w:rsidRPr="002939AE" w:rsidRDefault="002939AE" w:rsidP="002939AE">
            <w:pPr>
              <w:pStyle w:val="Text1"/>
              <w:spacing w:after="0"/>
              <w:ind w:left="0"/>
              <w:jc w:val="center"/>
              <w:rPr>
                <w:b/>
                <w:noProof/>
                <w:sz w:val="18"/>
                <w:szCs w:val="14"/>
                <w:lang w:val="en-IE"/>
              </w:rPr>
            </w:pPr>
            <w:r w:rsidRPr="002939AE">
              <w:rPr>
                <w:b/>
                <w:noProof/>
                <w:sz w:val="18"/>
                <w:szCs w:val="14"/>
              </w:rPr>
              <w:t>73</w:t>
            </w:r>
          </w:p>
        </w:tc>
        <w:tc>
          <w:tcPr>
            <w:tcW w:w="0" w:type="auto"/>
            <w:shd w:val="clear" w:color="auto" w:fill="DBE5F1" w:themeFill="accent1" w:themeFillTint="33"/>
            <w:vAlign w:val="center"/>
          </w:tcPr>
          <w:p w14:paraId="43EEFE95" w14:textId="72AF2906" w:rsidR="002939AE" w:rsidRPr="002939AE" w:rsidRDefault="002939AE" w:rsidP="002939AE">
            <w:pPr>
              <w:pStyle w:val="Text1"/>
              <w:spacing w:after="0"/>
              <w:ind w:left="0"/>
              <w:jc w:val="center"/>
              <w:rPr>
                <w:b/>
                <w:noProof/>
                <w:sz w:val="18"/>
                <w:szCs w:val="14"/>
                <w:lang w:val="en-IE"/>
              </w:rPr>
            </w:pPr>
            <w:r w:rsidRPr="002939AE">
              <w:rPr>
                <w:b/>
                <w:noProof/>
                <w:sz w:val="18"/>
                <w:szCs w:val="14"/>
              </w:rPr>
              <w:t>76</w:t>
            </w:r>
          </w:p>
        </w:tc>
        <w:tc>
          <w:tcPr>
            <w:tcW w:w="0" w:type="auto"/>
            <w:shd w:val="clear" w:color="auto" w:fill="DBE5F1" w:themeFill="accent1" w:themeFillTint="33"/>
            <w:vAlign w:val="center"/>
          </w:tcPr>
          <w:p w14:paraId="42A9795D" w14:textId="73FE3600" w:rsidR="002939AE" w:rsidRPr="002939AE" w:rsidRDefault="002939AE" w:rsidP="002939AE">
            <w:pPr>
              <w:pStyle w:val="Text1"/>
              <w:spacing w:after="0"/>
              <w:ind w:left="0"/>
              <w:jc w:val="center"/>
              <w:rPr>
                <w:b/>
                <w:noProof/>
                <w:sz w:val="18"/>
                <w:szCs w:val="14"/>
                <w:lang w:val="en-IE"/>
              </w:rPr>
            </w:pPr>
            <w:r w:rsidRPr="002939AE">
              <w:rPr>
                <w:b/>
                <w:noProof/>
                <w:sz w:val="18"/>
                <w:szCs w:val="14"/>
              </w:rPr>
              <w:t>78</w:t>
            </w:r>
          </w:p>
        </w:tc>
        <w:tc>
          <w:tcPr>
            <w:tcW w:w="0" w:type="auto"/>
            <w:shd w:val="clear" w:color="auto" w:fill="DBE5F1" w:themeFill="accent1" w:themeFillTint="33"/>
            <w:vAlign w:val="center"/>
          </w:tcPr>
          <w:p w14:paraId="7AA1B973" w14:textId="64D43EC6" w:rsidR="002939AE" w:rsidRPr="002939AE" w:rsidRDefault="002939AE" w:rsidP="002939AE">
            <w:pPr>
              <w:pStyle w:val="Text1"/>
              <w:spacing w:after="0"/>
              <w:ind w:left="0"/>
              <w:jc w:val="center"/>
              <w:rPr>
                <w:b/>
                <w:noProof/>
                <w:sz w:val="18"/>
                <w:szCs w:val="14"/>
                <w:lang w:val="en-IE"/>
              </w:rPr>
            </w:pPr>
            <w:r w:rsidRPr="002939AE">
              <w:rPr>
                <w:b/>
                <w:noProof/>
                <w:sz w:val="18"/>
                <w:szCs w:val="14"/>
              </w:rPr>
              <w:t>77</w:t>
            </w:r>
          </w:p>
        </w:tc>
        <w:tc>
          <w:tcPr>
            <w:tcW w:w="0" w:type="auto"/>
            <w:shd w:val="clear" w:color="auto" w:fill="DBE5F1" w:themeFill="accent1" w:themeFillTint="33"/>
            <w:vAlign w:val="center"/>
          </w:tcPr>
          <w:p w14:paraId="29547AB9" w14:textId="6B96AA44" w:rsidR="002939AE" w:rsidRPr="002939AE" w:rsidRDefault="002939AE" w:rsidP="002939AE">
            <w:pPr>
              <w:pStyle w:val="Text1"/>
              <w:spacing w:after="0"/>
              <w:ind w:left="0"/>
              <w:jc w:val="center"/>
              <w:rPr>
                <w:b/>
                <w:noProof/>
                <w:sz w:val="18"/>
                <w:szCs w:val="14"/>
                <w:lang w:val="en-IE"/>
              </w:rPr>
            </w:pPr>
            <w:r w:rsidRPr="002939AE">
              <w:rPr>
                <w:b/>
                <w:bCs/>
                <w:noProof/>
                <w:sz w:val="18"/>
                <w:szCs w:val="14"/>
              </w:rPr>
              <w:t>88</w:t>
            </w:r>
          </w:p>
        </w:tc>
        <w:tc>
          <w:tcPr>
            <w:tcW w:w="583" w:type="dxa"/>
            <w:shd w:val="clear" w:color="auto" w:fill="F2F2F2" w:themeFill="background1" w:themeFillShade="F2"/>
            <w:vAlign w:val="center"/>
          </w:tcPr>
          <w:p w14:paraId="28F4CE1F" w14:textId="77777777" w:rsidR="002939AE" w:rsidRPr="005E0DD2" w:rsidRDefault="002939AE" w:rsidP="002939AE">
            <w:pPr>
              <w:pStyle w:val="Text1"/>
              <w:spacing w:after="0"/>
              <w:jc w:val="center"/>
              <w:rPr>
                <w:noProof/>
                <w:sz w:val="18"/>
                <w:szCs w:val="18"/>
                <w:lang w:val="en-IE"/>
              </w:rPr>
            </w:pPr>
          </w:p>
        </w:tc>
      </w:tr>
    </w:tbl>
    <w:p w14:paraId="1AFFACC1" w14:textId="77777777" w:rsidR="00F32E6C" w:rsidRDefault="00F32E6C" w:rsidP="00F32E6C">
      <w:pPr>
        <w:pStyle w:val="Caption"/>
        <w:rPr>
          <w:noProof/>
        </w:rPr>
      </w:pPr>
    </w:p>
    <w:p w14:paraId="5D9336C9" w14:textId="2FFCE22B" w:rsidR="00F32E6C" w:rsidRPr="002939AE" w:rsidRDefault="00F32E6C" w:rsidP="00F32E6C">
      <w:pPr>
        <w:pStyle w:val="Caption"/>
        <w:rPr>
          <w:b w:val="0"/>
          <w:noProof/>
        </w:rPr>
      </w:pPr>
      <w:bookmarkStart w:id="135" w:name="_Toc213440593"/>
      <w:r w:rsidRPr="002939AE">
        <w:rPr>
          <w:noProof/>
        </w:rPr>
        <w:t xml:space="preserve">Table </w:t>
      </w:r>
      <w:r w:rsidRPr="002939AE">
        <w:rPr>
          <w:noProof/>
        </w:rPr>
        <w:fldChar w:fldCharType="begin"/>
      </w:r>
      <w:r w:rsidRPr="002939AE">
        <w:rPr>
          <w:noProof/>
        </w:rPr>
        <w:instrText xml:space="preserve"> SEQ Table \* ARABIC </w:instrText>
      </w:r>
      <w:r w:rsidRPr="002939AE">
        <w:rPr>
          <w:noProof/>
        </w:rPr>
        <w:fldChar w:fldCharType="separate"/>
      </w:r>
      <w:r w:rsidR="000E7F11">
        <w:rPr>
          <w:noProof/>
        </w:rPr>
        <w:t>12</w:t>
      </w:r>
      <w:r w:rsidRPr="002939AE">
        <w:rPr>
          <w:noProof/>
        </w:rPr>
        <w:fldChar w:fldCharType="end"/>
      </w:r>
      <w:r w:rsidRPr="002939AE">
        <w:rPr>
          <w:noProof/>
        </w:rPr>
        <w:t xml:space="preserve">. Capacity growth and new data centres benefitting from PO1-B </w:t>
      </w:r>
      <w:r w:rsidR="002939AE">
        <w:rPr>
          <w:noProof/>
        </w:rPr>
        <w:t xml:space="preserve">                                                      </w:t>
      </w:r>
      <w:r w:rsidRPr="002939AE">
        <w:rPr>
          <w:b w:val="0"/>
          <w:noProof/>
        </w:rPr>
        <w:t xml:space="preserve">(Source: </w:t>
      </w:r>
      <w:r w:rsidR="000A3968" w:rsidRPr="002939AE">
        <w:rPr>
          <w:b w:val="0"/>
          <w:noProof/>
        </w:rPr>
        <w:t xml:space="preserve">Technopolis et al. </w:t>
      </w:r>
      <w:bookmarkEnd w:id="135"/>
      <w:r w:rsidR="000A3968" w:rsidRPr="002939AE">
        <w:rPr>
          <w:b w:val="0"/>
          <w:noProof/>
        </w:rPr>
        <w:t>(2025))</w:t>
      </w:r>
    </w:p>
    <w:tbl>
      <w:tblPr>
        <w:tblStyle w:val="TableGrid"/>
        <w:tblW w:w="10346" w:type="dxa"/>
        <w:tblInd w:w="-567" w:type="dxa"/>
        <w:tblLook w:val="04A0" w:firstRow="1" w:lastRow="0" w:firstColumn="1" w:lastColumn="0" w:noHBand="0" w:noVBand="1"/>
      </w:tblPr>
      <w:tblGrid>
        <w:gridCol w:w="1608"/>
        <w:gridCol w:w="666"/>
        <w:gridCol w:w="666"/>
        <w:gridCol w:w="666"/>
        <w:gridCol w:w="666"/>
        <w:gridCol w:w="666"/>
        <w:gridCol w:w="666"/>
        <w:gridCol w:w="666"/>
        <w:gridCol w:w="666"/>
        <w:gridCol w:w="666"/>
        <w:gridCol w:w="666"/>
        <w:gridCol w:w="666"/>
        <w:gridCol w:w="666"/>
        <w:gridCol w:w="746"/>
      </w:tblGrid>
      <w:tr w:rsidR="00F32E6C" w:rsidRPr="00355A41" w14:paraId="2FA4F005" w14:textId="77777777" w:rsidTr="002939AE">
        <w:trPr>
          <w:trHeight w:val="170"/>
        </w:trPr>
        <w:tc>
          <w:tcPr>
            <w:tcW w:w="1608" w:type="dxa"/>
            <w:tcBorders>
              <w:bottom w:val="single" w:sz="12" w:space="0" w:color="00B0F0"/>
            </w:tcBorders>
            <w:vAlign w:val="center"/>
          </w:tcPr>
          <w:p w14:paraId="73A9B294" w14:textId="77777777" w:rsidR="00F32E6C" w:rsidRPr="00355A41" w:rsidRDefault="00F32E6C" w:rsidP="002939AE">
            <w:pPr>
              <w:pStyle w:val="Text1"/>
              <w:spacing w:after="0"/>
              <w:jc w:val="center"/>
              <w:rPr>
                <w:noProof/>
                <w:sz w:val="18"/>
                <w:szCs w:val="18"/>
                <w:lang w:val="en-IE"/>
              </w:rPr>
            </w:pPr>
          </w:p>
        </w:tc>
        <w:tc>
          <w:tcPr>
            <w:tcW w:w="0" w:type="auto"/>
            <w:tcBorders>
              <w:bottom w:val="single" w:sz="12" w:space="0" w:color="00B0F0"/>
            </w:tcBorders>
            <w:vAlign w:val="center"/>
          </w:tcPr>
          <w:p w14:paraId="5034D7BE"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2025</w:t>
            </w:r>
          </w:p>
        </w:tc>
        <w:tc>
          <w:tcPr>
            <w:tcW w:w="0" w:type="auto"/>
            <w:tcBorders>
              <w:bottom w:val="single" w:sz="12" w:space="0" w:color="00B0F0"/>
            </w:tcBorders>
            <w:vAlign w:val="center"/>
          </w:tcPr>
          <w:p w14:paraId="16457728"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2026</w:t>
            </w:r>
          </w:p>
        </w:tc>
        <w:tc>
          <w:tcPr>
            <w:tcW w:w="0" w:type="auto"/>
            <w:tcBorders>
              <w:bottom w:val="single" w:sz="12" w:space="0" w:color="00B0F0"/>
            </w:tcBorders>
            <w:vAlign w:val="center"/>
          </w:tcPr>
          <w:p w14:paraId="01F8F8ED"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2027</w:t>
            </w:r>
          </w:p>
        </w:tc>
        <w:tc>
          <w:tcPr>
            <w:tcW w:w="0" w:type="auto"/>
            <w:tcBorders>
              <w:bottom w:val="single" w:sz="12" w:space="0" w:color="00B0F0"/>
            </w:tcBorders>
            <w:vAlign w:val="center"/>
          </w:tcPr>
          <w:p w14:paraId="477242D6"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2028</w:t>
            </w:r>
          </w:p>
        </w:tc>
        <w:tc>
          <w:tcPr>
            <w:tcW w:w="0" w:type="auto"/>
            <w:tcBorders>
              <w:bottom w:val="single" w:sz="12" w:space="0" w:color="00B0F0"/>
            </w:tcBorders>
            <w:vAlign w:val="center"/>
          </w:tcPr>
          <w:p w14:paraId="057AE211"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2029</w:t>
            </w:r>
          </w:p>
        </w:tc>
        <w:tc>
          <w:tcPr>
            <w:tcW w:w="0" w:type="auto"/>
            <w:tcBorders>
              <w:bottom w:val="single" w:sz="12" w:space="0" w:color="00B0F0"/>
            </w:tcBorders>
            <w:vAlign w:val="center"/>
          </w:tcPr>
          <w:p w14:paraId="563F53E2"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2030</w:t>
            </w:r>
          </w:p>
        </w:tc>
        <w:tc>
          <w:tcPr>
            <w:tcW w:w="0" w:type="auto"/>
            <w:tcBorders>
              <w:bottom w:val="single" w:sz="12" w:space="0" w:color="00B0F0"/>
            </w:tcBorders>
            <w:vAlign w:val="center"/>
          </w:tcPr>
          <w:p w14:paraId="5681D74C"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2031</w:t>
            </w:r>
          </w:p>
        </w:tc>
        <w:tc>
          <w:tcPr>
            <w:tcW w:w="0" w:type="auto"/>
            <w:tcBorders>
              <w:bottom w:val="single" w:sz="12" w:space="0" w:color="00B0F0"/>
            </w:tcBorders>
            <w:vAlign w:val="center"/>
          </w:tcPr>
          <w:p w14:paraId="4E2D626A"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2032</w:t>
            </w:r>
          </w:p>
        </w:tc>
        <w:tc>
          <w:tcPr>
            <w:tcW w:w="0" w:type="auto"/>
            <w:tcBorders>
              <w:bottom w:val="single" w:sz="12" w:space="0" w:color="00B0F0"/>
            </w:tcBorders>
            <w:vAlign w:val="center"/>
          </w:tcPr>
          <w:p w14:paraId="3E255440"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2033</w:t>
            </w:r>
          </w:p>
        </w:tc>
        <w:tc>
          <w:tcPr>
            <w:tcW w:w="0" w:type="auto"/>
            <w:tcBorders>
              <w:bottom w:val="single" w:sz="12" w:space="0" w:color="00B0F0"/>
            </w:tcBorders>
            <w:vAlign w:val="center"/>
          </w:tcPr>
          <w:p w14:paraId="391DE9A0"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2034</w:t>
            </w:r>
          </w:p>
        </w:tc>
        <w:tc>
          <w:tcPr>
            <w:tcW w:w="0" w:type="auto"/>
            <w:tcBorders>
              <w:bottom w:val="single" w:sz="12" w:space="0" w:color="00B0F0"/>
            </w:tcBorders>
            <w:vAlign w:val="center"/>
          </w:tcPr>
          <w:p w14:paraId="4B9878D0"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2035</w:t>
            </w:r>
          </w:p>
        </w:tc>
        <w:tc>
          <w:tcPr>
            <w:tcW w:w="0" w:type="auto"/>
            <w:tcBorders>
              <w:bottom w:val="single" w:sz="12" w:space="0" w:color="00B0F0"/>
            </w:tcBorders>
            <w:vAlign w:val="center"/>
          </w:tcPr>
          <w:p w14:paraId="335FADA9"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2036</w:t>
            </w:r>
          </w:p>
        </w:tc>
        <w:tc>
          <w:tcPr>
            <w:tcW w:w="0" w:type="auto"/>
            <w:tcBorders>
              <w:bottom w:val="single" w:sz="12" w:space="0" w:color="00B0F0"/>
            </w:tcBorders>
            <w:vAlign w:val="center"/>
          </w:tcPr>
          <w:p w14:paraId="78960E06" w14:textId="77777777" w:rsidR="00F32E6C" w:rsidRPr="00DA029C" w:rsidRDefault="00F32E6C" w:rsidP="002939AE">
            <w:pPr>
              <w:pStyle w:val="Text1"/>
              <w:spacing w:after="0"/>
              <w:ind w:left="0"/>
              <w:jc w:val="center"/>
              <w:rPr>
                <w:b/>
                <w:noProof/>
                <w:sz w:val="18"/>
                <w:szCs w:val="18"/>
                <w:lang w:val="en-IE"/>
              </w:rPr>
            </w:pPr>
            <w:r w:rsidRPr="00DA029C">
              <w:rPr>
                <w:b/>
                <w:noProof/>
                <w:sz w:val="18"/>
                <w:szCs w:val="18"/>
                <w:lang w:val="en-IE"/>
              </w:rPr>
              <w:t>CAGR</w:t>
            </w:r>
          </w:p>
        </w:tc>
      </w:tr>
      <w:tr w:rsidR="00960E98" w:rsidRPr="00355A41" w14:paraId="73219065" w14:textId="77777777" w:rsidTr="002939AE">
        <w:tc>
          <w:tcPr>
            <w:tcW w:w="1608" w:type="dxa"/>
            <w:tcBorders>
              <w:top w:val="single" w:sz="12" w:space="0" w:color="00B0F0"/>
            </w:tcBorders>
            <w:shd w:val="clear" w:color="auto" w:fill="DBE5F1" w:themeFill="accent1" w:themeFillTint="33"/>
            <w:vAlign w:val="center"/>
          </w:tcPr>
          <w:p w14:paraId="6598C2C3" w14:textId="77777777" w:rsidR="00F32E6C" w:rsidRPr="002939AE" w:rsidRDefault="00F32E6C" w:rsidP="002939AE">
            <w:pPr>
              <w:pStyle w:val="Text1"/>
              <w:spacing w:after="0"/>
              <w:ind w:left="0"/>
              <w:jc w:val="left"/>
              <w:rPr>
                <w:noProof/>
                <w:sz w:val="18"/>
                <w:szCs w:val="18"/>
                <w:lang w:val="en-IE"/>
              </w:rPr>
            </w:pPr>
            <w:r w:rsidRPr="002939AE">
              <w:rPr>
                <w:noProof/>
                <w:sz w:val="18"/>
                <w:szCs w:val="18"/>
                <w:lang w:val="en-IE"/>
              </w:rPr>
              <w:t>Capacity growth (MW)</w:t>
            </w:r>
          </w:p>
        </w:tc>
        <w:tc>
          <w:tcPr>
            <w:tcW w:w="0" w:type="auto"/>
            <w:tcBorders>
              <w:top w:val="single" w:sz="12" w:space="0" w:color="00B0F0"/>
            </w:tcBorders>
            <w:shd w:val="clear" w:color="auto" w:fill="DBE5F1" w:themeFill="accent1" w:themeFillTint="33"/>
            <w:vAlign w:val="center"/>
          </w:tcPr>
          <w:p w14:paraId="30748F9A"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12440</w:t>
            </w:r>
          </w:p>
        </w:tc>
        <w:tc>
          <w:tcPr>
            <w:tcW w:w="0" w:type="auto"/>
            <w:tcBorders>
              <w:top w:val="single" w:sz="12" w:space="0" w:color="00B0F0"/>
            </w:tcBorders>
            <w:shd w:val="clear" w:color="auto" w:fill="DBE5F1" w:themeFill="accent1" w:themeFillTint="33"/>
            <w:vAlign w:val="center"/>
          </w:tcPr>
          <w:p w14:paraId="02B5DBD8"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15131</w:t>
            </w:r>
          </w:p>
        </w:tc>
        <w:tc>
          <w:tcPr>
            <w:tcW w:w="0" w:type="auto"/>
            <w:tcBorders>
              <w:top w:val="single" w:sz="12" w:space="0" w:color="00B0F0"/>
            </w:tcBorders>
            <w:shd w:val="clear" w:color="auto" w:fill="DBE5F1" w:themeFill="accent1" w:themeFillTint="33"/>
            <w:vAlign w:val="center"/>
          </w:tcPr>
          <w:p w14:paraId="15BF993B"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18705</w:t>
            </w:r>
          </w:p>
        </w:tc>
        <w:tc>
          <w:tcPr>
            <w:tcW w:w="0" w:type="auto"/>
            <w:tcBorders>
              <w:top w:val="single" w:sz="12" w:space="0" w:color="00B0F0"/>
            </w:tcBorders>
            <w:shd w:val="clear" w:color="auto" w:fill="DBE5F1" w:themeFill="accent1" w:themeFillTint="33"/>
            <w:vAlign w:val="center"/>
          </w:tcPr>
          <w:p w14:paraId="726622E8"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22839</w:t>
            </w:r>
          </w:p>
        </w:tc>
        <w:tc>
          <w:tcPr>
            <w:tcW w:w="0" w:type="auto"/>
            <w:tcBorders>
              <w:top w:val="single" w:sz="12" w:space="0" w:color="00B0F0"/>
            </w:tcBorders>
            <w:shd w:val="clear" w:color="auto" w:fill="DBE5F1" w:themeFill="accent1" w:themeFillTint="33"/>
            <w:vAlign w:val="center"/>
          </w:tcPr>
          <w:p w14:paraId="53561125"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27632</w:t>
            </w:r>
          </w:p>
        </w:tc>
        <w:tc>
          <w:tcPr>
            <w:tcW w:w="0" w:type="auto"/>
            <w:tcBorders>
              <w:top w:val="single" w:sz="12" w:space="0" w:color="00B0F0"/>
            </w:tcBorders>
            <w:shd w:val="clear" w:color="auto" w:fill="DBE5F1" w:themeFill="accent1" w:themeFillTint="33"/>
            <w:vAlign w:val="center"/>
          </w:tcPr>
          <w:p w14:paraId="27DCA3D1"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33186</w:t>
            </w:r>
          </w:p>
        </w:tc>
        <w:tc>
          <w:tcPr>
            <w:tcW w:w="0" w:type="auto"/>
            <w:tcBorders>
              <w:top w:val="single" w:sz="12" w:space="0" w:color="00B0F0"/>
            </w:tcBorders>
            <w:shd w:val="clear" w:color="auto" w:fill="DBE5F1" w:themeFill="accent1" w:themeFillTint="33"/>
            <w:vAlign w:val="center"/>
          </w:tcPr>
          <w:p w14:paraId="56854791"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38440</w:t>
            </w:r>
          </w:p>
        </w:tc>
        <w:tc>
          <w:tcPr>
            <w:tcW w:w="0" w:type="auto"/>
            <w:tcBorders>
              <w:top w:val="single" w:sz="12" w:space="0" w:color="00B0F0"/>
            </w:tcBorders>
            <w:shd w:val="clear" w:color="auto" w:fill="DBE5F1" w:themeFill="accent1" w:themeFillTint="33"/>
            <w:vAlign w:val="center"/>
          </w:tcPr>
          <w:p w14:paraId="521759D2"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43409</w:t>
            </w:r>
          </w:p>
        </w:tc>
        <w:tc>
          <w:tcPr>
            <w:tcW w:w="0" w:type="auto"/>
            <w:tcBorders>
              <w:top w:val="single" w:sz="12" w:space="0" w:color="00B0F0"/>
            </w:tcBorders>
            <w:shd w:val="clear" w:color="auto" w:fill="DBE5F1" w:themeFill="accent1" w:themeFillTint="33"/>
            <w:vAlign w:val="center"/>
          </w:tcPr>
          <w:p w14:paraId="64DDA674"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48003</w:t>
            </w:r>
          </w:p>
        </w:tc>
        <w:tc>
          <w:tcPr>
            <w:tcW w:w="0" w:type="auto"/>
            <w:tcBorders>
              <w:top w:val="single" w:sz="12" w:space="0" w:color="00B0F0"/>
            </w:tcBorders>
            <w:shd w:val="clear" w:color="auto" w:fill="DBE5F1" w:themeFill="accent1" w:themeFillTint="33"/>
            <w:vAlign w:val="center"/>
          </w:tcPr>
          <w:p w14:paraId="26478FD3"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52189</w:t>
            </w:r>
          </w:p>
        </w:tc>
        <w:tc>
          <w:tcPr>
            <w:tcW w:w="0" w:type="auto"/>
            <w:tcBorders>
              <w:top w:val="single" w:sz="12" w:space="0" w:color="00B0F0"/>
            </w:tcBorders>
            <w:shd w:val="clear" w:color="auto" w:fill="DBE5F1" w:themeFill="accent1" w:themeFillTint="33"/>
            <w:vAlign w:val="center"/>
          </w:tcPr>
          <w:p w14:paraId="226569C5"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55974</w:t>
            </w:r>
          </w:p>
        </w:tc>
        <w:tc>
          <w:tcPr>
            <w:tcW w:w="0" w:type="auto"/>
            <w:tcBorders>
              <w:top w:val="single" w:sz="12" w:space="0" w:color="00B0F0"/>
            </w:tcBorders>
            <w:shd w:val="clear" w:color="auto" w:fill="DBE5F1" w:themeFill="accent1" w:themeFillTint="33"/>
            <w:vAlign w:val="center"/>
          </w:tcPr>
          <w:p w14:paraId="2797756C"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59991</w:t>
            </w:r>
          </w:p>
        </w:tc>
        <w:tc>
          <w:tcPr>
            <w:tcW w:w="0" w:type="auto"/>
            <w:tcBorders>
              <w:top w:val="single" w:sz="12" w:space="0" w:color="00B0F0"/>
            </w:tcBorders>
            <w:shd w:val="clear" w:color="auto" w:fill="F2F2F2" w:themeFill="background1" w:themeFillShade="F2"/>
            <w:vAlign w:val="center"/>
          </w:tcPr>
          <w:p w14:paraId="78807551" w14:textId="77777777" w:rsidR="00F32E6C" w:rsidRPr="00355A41" w:rsidRDefault="00F32E6C" w:rsidP="002939AE">
            <w:pPr>
              <w:pStyle w:val="Text1"/>
              <w:spacing w:after="0"/>
              <w:ind w:left="0"/>
              <w:jc w:val="center"/>
              <w:rPr>
                <w:b/>
                <w:noProof/>
                <w:sz w:val="18"/>
                <w:szCs w:val="18"/>
                <w:lang w:val="en-IE"/>
              </w:rPr>
            </w:pPr>
            <w:r w:rsidRPr="00355A41">
              <w:rPr>
                <w:b/>
                <w:noProof/>
                <w:sz w:val="18"/>
                <w:szCs w:val="18"/>
                <w:lang w:val="en-IE"/>
              </w:rPr>
              <w:t>15%</w:t>
            </w:r>
          </w:p>
        </w:tc>
      </w:tr>
      <w:tr w:rsidR="00E946AD" w:rsidRPr="00355A41" w14:paraId="3A0FECDA" w14:textId="77777777" w:rsidTr="002939AE">
        <w:tc>
          <w:tcPr>
            <w:tcW w:w="1608" w:type="dxa"/>
            <w:vAlign w:val="center"/>
          </w:tcPr>
          <w:p w14:paraId="69AD6927" w14:textId="77777777" w:rsidR="00F32E6C" w:rsidRPr="002939AE" w:rsidRDefault="00F32E6C" w:rsidP="002939AE">
            <w:pPr>
              <w:pStyle w:val="Text1"/>
              <w:spacing w:after="0"/>
              <w:ind w:left="0"/>
              <w:jc w:val="left"/>
              <w:rPr>
                <w:noProof/>
                <w:sz w:val="18"/>
                <w:szCs w:val="18"/>
                <w:lang w:val="en-IE"/>
              </w:rPr>
            </w:pPr>
            <w:r w:rsidRPr="002939AE">
              <w:rPr>
                <w:noProof/>
                <w:sz w:val="18"/>
                <w:szCs w:val="18"/>
                <w:lang w:val="en-IE"/>
              </w:rPr>
              <w:t>Average capacity of one DC (MW)</w:t>
            </w:r>
          </w:p>
        </w:tc>
        <w:tc>
          <w:tcPr>
            <w:tcW w:w="0" w:type="auto"/>
            <w:vAlign w:val="center"/>
          </w:tcPr>
          <w:p w14:paraId="3CA7DDC0"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13.0</w:t>
            </w:r>
          </w:p>
        </w:tc>
        <w:tc>
          <w:tcPr>
            <w:tcW w:w="0" w:type="auto"/>
            <w:vAlign w:val="center"/>
          </w:tcPr>
          <w:p w14:paraId="0EF2EDC3"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13.1</w:t>
            </w:r>
          </w:p>
        </w:tc>
        <w:tc>
          <w:tcPr>
            <w:tcW w:w="0" w:type="auto"/>
            <w:vAlign w:val="center"/>
          </w:tcPr>
          <w:p w14:paraId="1898119B"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13.3</w:t>
            </w:r>
          </w:p>
        </w:tc>
        <w:tc>
          <w:tcPr>
            <w:tcW w:w="0" w:type="auto"/>
            <w:vAlign w:val="center"/>
          </w:tcPr>
          <w:p w14:paraId="1CE830E4"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13.4</w:t>
            </w:r>
          </w:p>
        </w:tc>
        <w:tc>
          <w:tcPr>
            <w:tcW w:w="0" w:type="auto"/>
            <w:vAlign w:val="center"/>
          </w:tcPr>
          <w:p w14:paraId="12A85C8B"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13.5</w:t>
            </w:r>
          </w:p>
        </w:tc>
        <w:tc>
          <w:tcPr>
            <w:tcW w:w="0" w:type="auto"/>
            <w:vAlign w:val="center"/>
          </w:tcPr>
          <w:p w14:paraId="5FF2FF6F"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13.7</w:t>
            </w:r>
          </w:p>
        </w:tc>
        <w:tc>
          <w:tcPr>
            <w:tcW w:w="0" w:type="auto"/>
            <w:vAlign w:val="center"/>
          </w:tcPr>
          <w:p w14:paraId="083E3559"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13.8</w:t>
            </w:r>
          </w:p>
        </w:tc>
        <w:tc>
          <w:tcPr>
            <w:tcW w:w="0" w:type="auto"/>
            <w:vAlign w:val="center"/>
          </w:tcPr>
          <w:p w14:paraId="559139A6"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13.9</w:t>
            </w:r>
          </w:p>
        </w:tc>
        <w:tc>
          <w:tcPr>
            <w:tcW w:w="0" w:type="auto"/>
            <w:vAlign w:val="center"/>
          </w:tcPr>
          <w:p w14:paraId="3F5D767D"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14.1</w:t>
            </w:r>
          </w:p>
        </w:tc>
        <w:tc>
          <w:tcPr>
            <w:tcW w:w="0" w:type="auto"/>
            <w:vAlign w:val="center"/>
          </w:tcPr>
          <w:p w14:paraId="7F976370"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14.2</w:t>
            </w:r>
          </w:p>
        </w:tc>
        <w:tc>
          <w:tcPr>
            <w:tcW w:w="0" w:type="auto"/>
            <w:vAlign w:val="center"/>
          </w:tcPr>
          <w:p w14:paraId="6DCEAB35"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14.4</w:t>
            </w:r>
          </w:p>
        </w:tc>
        <w:tc>
          <w:tcPr>
            <w:tcW w:w="0" w:type="auto"/>
            <w:vAlign w:val="center"/>
          </w:tcPr>
          <w:p w14:paraId="2C8B0345"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14.5</w:t>
            </w:r>
          </w:p>
        </w:tc>
        <w:tc>
          <w:tcPr>
            <w:tcW w:w="0" w:type="auto"/>
            <w:shd w:val="clear" w:color="auto" w:fill="F2F2F2" w:themeFill="background1" w:themeFillShade="F2"/>
            <w:vAlign w:val="center"/>
          </w:tcPr>
          <w:p w14:paraId="6C094102" w14:textId="20E9D845" w:rsidR="00F32E6C" w:rsidRPr="00355A41" w:rsidRDefault="00F32E6C" w:rsidP="002939AE">
            <w:pPr>
              <w:pStyle w:val="Text1"/>
              <w:spacing w:after="0"/>
              <w:ind w:left="0"/>
              <w:jc w:val="center"/>
              <w:rPr>
                <w:noProof/>
                <w:sz w:val="18"/>
                <w:szCs w:val="18"/>
                <w:lang w:val="en-IE"/>
              </w:rPr>
            </w:pPr>
            <w:r w:rsidRPr="00355A41">
              <w:rPr>
                <w:b/>
                <w:noProof/>
                <w:sz w:val="18"/>
                <w:szCs w:val="18"/>
                <w:lang w:val="en-IE"/>
              </w:rPr>
              <w:t>1%</w:t>
            </w:r>
          </w:p>
        </w:tc>
      </w:tr>
      <w:tr w:rsidR="00960E98" w:rsidRPr="00355A41" w14:paraId="1B873044" w14:textId="77777777" w:rsidTr="00474758">
        <w:tc>
          <w:tcPr>
            <w:tcW w:w="1608" w:type="dxa"/>
            <w:shd w:val="clear" w:color="auto" w:fill="DBE5F1" w:themeFill="accent1" w:themeFillTint="33"/>
            <w:vAlign w:val="center"/>
          </w:tcPr>
          <w:p w14:paraId="0FFE3C3E" w14:textId="77777777" w:rsidR="00474758" w:rsidRPr="002939AE" w:rsidRDefault="00474758" w:rsidP="00474758">
            <w:pPr>
              <w:pStyle w:val="Text1"/>
              <w:spacing w:after="0"/>
              <w:ind w:left="0"/>
              <w:jc w:val="left"/>
              <w:rPr>
                <w:noProof/>
                <w:sz w:val="18"/>
                <w:szCs w:val="18"/>
                <w:lang w:val="en-IE"/>
              </w:rPr>
            </w:pPr>
            <w:r w:rsidRPr="002939AE">
              <w:rPr>
                <w:noProof/>
                <w:sz w:val="18"/>
                <w:szCs w:val="18"/>
                <w:lang w:val="en-IE"/>
              </w:rPr>
              <w:t>No. of new DC built</w:t>
            </w:r>
          </w:p>
        </w:tc>
        <w:tc>
          <w:tcPr>
            <w:tcW w:w="0" w:type="auto"/>
            <w:shd w:val="clear" w:color="auto" w:fill="DBE5F1" w:themeFill="accent1" w:themeFillTint="33"/>
          </w:tcPr>
          <w:p w14:paraId="2759D038" w14:textId="6357077A" w:rsidR="00474758" w:rsidRPr="00355A41" w:rsidRDefault="00474758" w:rsidP="00474758">
            <w:pPr>
              <w:pStyle w:val="Text1"/>
              <w:spacing w:after="0"/>
              <w:jc w:val="center"/>
              <w:rPr>
                <w:noProof/>
                <w:sz w:val="18"/>
                <w:szCs w:val="18"/>
                <w:lang w:val="en-IE"/>
              </w:rPr>
            </w:pPr>
          </w:p>
        </w:tc>
        <w:tc>
          <w:tcPr>
            <w:tcW w:w="0" w:type="auto"/>
            <w:shd w:val="clear" w:color="auto" w:fill="DBE5F1" w:themeFill="accent1" w:themeFillTint="33"/>
            <w:vAlign w:val="center"/>
          </w:tcPr>
          <w:p w14:paraId="3B95C8F0" w14:textId="2ACE28D5" w:rsidR="00474758" w:rsidRPr="00474758" w:rsidRDefault="00474758" w:rsidP="00474758">
            <w:pPr>
              <w:pStyle w:val="Text1"/>
              <w:spacing w:after="0"/>
              <w:ind w:left="0"/>
              <w:jc w:val="center"/>
              <w:rPr>
                <w:noProof/>
                <w:sz w:val="18"/>
                <w:szCs w:val="14"/>
                <w:lang w:val="en-IE"/>
              </w:rPr>
            </w:pPr>
            <w:r w:rsidRPr="00474758">
              <w:rPr>
                <w:noProof/>
                <w:sz w:val="18"/>
                <w:szCs w:val="14"/>
              </w:rPr>
              <w:t>205</w:t>
            </w:r>
          </w:p>
        </w:tc>
        <w:tc>
          <w:tcPr>
            <w:tcW w:w="0" w:type="auto"/>
            <w:shd w:val="clear" w:color="auto" w:fill="DBE5F1" w:themeFill="accent1" w:themeFillTint="33"/>
            <w:vAlign w:val="center"/>
          </w:tcPr>
          <w:p w14:paraId="7C4A7BCC" w14:textId="43029CCC" w:rsidR="00474758" w:rsidRPr="00474758" w:rsidRDefault="00474758" w:rsidP="00474758">
            <w:pPr>
              <w:pStyle w:val="Text1"/>
              <w:spacing w:after="0"/>
              <w:ind w:left="0"/>
              <w:jc w:val="center"/>
              <w:rPr>
                <w:noProof/>
                <w:sz w:val="18"/>
                <w:szCs w:val="14"/>
                <w:lang w:val="en-IE"/>
              </w:rPr>
            </w:pPr>
            <w:r w:rsidRPr="00474758">
              <w:rPr>
                <w:noProof/>
                <w:sz w:val="18"/>
                <w:szCs w:val="14"/>
              </w:rPr>
              <w:t>269</w:t>
            </w:r>
          </w:p>
        </w:tc>
        <w:tc>
          <w:tcPr>
            <w:tcW w:w="0" w:type="auto"/>
            <w:shd w:val="clear" w:color="auto" w:fill="DBE5F1" w:themeFill="accent1" w:themeFillTint="33"/>
            <w:vAlign w:val="center"/>
          </w:tcPr>
          <w:p w14:paraId="507C2E6E" w14:textId="5A2895EA" w:rsidR="00474758" w:rsidRPr="00474758" w:rsidRDefault="00474758" w:rsidP="00474758">
            <w:pPr>
              <w:pStyle w:val="Text1"/>
              <w:spacing w:after="0"/>
              <w:ind w:left="0"/>
              <w:jc w:val="center"/>
              <w:rPr>
                <w:noProof/>
                <w:sz w:val="18"/>
                <w:szCs w:val="14"/>
                <w:lang w:val="en-IE"/>
              </w:rPr>
            </w:pPr>
            <w:r w:rsidRPr="00474758">
              <w:rPr>
                <w:noProof/>
                <w:sz w:val="18"/>
                <w:szCs w:val="14"/>
              </w:rPr>
              <w:t>309</w:t>
            </w:r>
          </w:p>
        </w:tc>
        <w:tc>
          <w:tcPr>
            <w:tcW w:w="0" w:type="auto"/>
            <w:shd w:val="clear" w:color="auto" w:fill="DBE5F1" w:themeFill="accent1" w:themeFillTint="33"/>
            <w:vAlign w:val="center"/>
          </w:tcPr>
          <w:p w14:paraId="470E0C66" w14:textId="03ED0CF9" w:rsidR="00474758" w:rsidRPr="00474758" w:rsidRDefault="00474758" w:rsidP="00474758">
            <w:pPr>
              <w:pStyle w:val="Text1"/>
              <w:spacing w:after="0"/>
              <w:ind w:left="0"/>
              <w:jc w:val="center"/>
              <w:rPr>
                <w:noProof/>
                <w:sz w:val="18"/>
                <w:szCs w:val="14"/>
                <w:lang w:val="en-IE"/>
              </w:rPr>
            </w:pPr>
            <w:r w:rsidRPr="00474758">
              <w:rPr>
                <w:noProof/>
                <w:sz w:val="18"/>
                <w:szCs w:val="14"/>
              </w:rPr>
              <w:t>354</w:t>
            </w:r>
          </w:p>
        </w:tc>
        <w:tc>
          <w:tcPr>
            <w:tcW w:w="0" w:type="auto"/>
            <w:shd w:val="clear" w:color="auto" w:fill="DBE5F1" w:themeFill="accent1" w:themeFillTint="33"/>
            <w:vAlign w:val="center"/>
          </w:tcPr>
          <w:p w14:paraId="00FE881D" w14:textId="7332AC38" w:rsidR="00474758" w:rsidRPr="00474758" w:rsidRDefault="00474758" w:rsidP="00474758">
            <w:pPr>
              <w:pStyle w:val="Text1"/>
              <w:spacing w:after="0"/>
              <w:ind w:left="0"/>
              <w:jc w:val="center"/>
              <w:rPr>
                <w:noProof/>
                <w:sz w:val="18"/>
                <w:szCs w:val="14"/>
                <w:lang w:val="en-IE"/>
              </w:rPr>
            </w:pPr>
            <w:r w:rsidRPr="00474758">
              <w:rPr>
                <w:noProof/>
                <w:sz w:val="18"/>
                <w:szCs w:val="14"/>
              </w:rPr>
              <w:t>407</w:t>
            </w:r>
          </w:p>
        </w:tc>
        <w:tc>
          <w:tcPr>
            <w:tcW w:w="0" w:type="auto"/>
            <w:shd w:val="clear" w:color="auto" w:fill="DBE5F1" w:themeFill="accent1" w:themeFillTint="33"/>
            <w:vAlign w:val="center"/>
          </w:tcPr>
          <w:p w14:paraId="3FB878F5" w14:textId="4C1188CC" w:rsidR="00474758" w:rsidRPr="00474758" w:rsidRDefault="00474758" w:rsidP="00474758">
            <w:pPr>
              <w:pStyle w:val="Text1"/>
              <w:spacing w:after="0"/>
              <w:ind w:left="0"/>
              <w:jc w:val="center"/>
              <w:rPr>
                <w:noProof/>
                <w:sz w:val="18"/>
                <w:szCs w:val="14"/>
                <w:lang w:val="en-IE"/>
              </w:rPr>
            </w:pPr>
            <w:r w:rsidRPr="00474758">
              <w:rPr>
                <w:noProof/>
                <w:sz w:val="18"/>
                <w:szCs w:val="14"/>
              </w:rPr>
              <w:t>381</w:t>
            </w:r>
          </w:p>
        </w:tc>
        <w:tc>
          <w:tcPr>
            <w:tcW w:w="0" w:type="auto"/>
            <w:shd w:val="clear" w:color="auto" w:fill="DBE5F1" w:themeFill="accent1" w:themeFillTint="33"/>
            <w:vAlign w:val="center"/>
          </w:tcPr>
          <w:p w14:paraId="2305203B" w14:textId="1268FBE5" w:rsidR="00474758" w:rsidRPr="00474758" w:rsidRDefault="00474758" w:rsidP="00474758">
            <w:pPr>
              <w:pStyle w:val="Text1"/>
              <w:spacing w:after="0"/>
              <w:ind w:left="0"/>
              <w:jc w:val="center"/>
              <w:rPr>
                <w:noProof/>
                <w:sz w:val="18"/>
                <w:szCs w:val="14"/>
                <w:lang w:val="en-IE"/>
              </w:rPr>
            </w:pPr>
            <w:r w:rsidRPr="00474758">
              <w:rPr>
                <w:noProof/>
                <w:sz w:val="18"/>
                <w:szCs w:val="14"/>
              </w:rPr>
              <w:t>357</w:t>
            </w:r>
          </w:p>
        </w:tc>
        <w:tc>
          <w:tcPr>
            <w:tcW w:w="0" w:type="auto"/>
            <w:shd w:val="clear" w:color="auto" w:fill="DBE5F1" w:themeFill="accent1" w:themeFillTint="33"/>
            <w:vAlign w:val="center"/>
          </w:tcPr>
          <w:p w14:paraId="16B2327B" w14:textId="33B3D495" w:rsidR="00474758" w:rsidRPr="00474758" w:rsidRDefault="00474758" w:rsidP="00474758">
            <w:pPr>
              <w:pStyle w:val="Text1"/>
              <w:spacing w:after="0"/>
              <w:ind w:left="0"/>
              <w:jc w:val="center"/>
              <w:rPr>
                <w:noProof/>
                <w:sz w:val="18"/>
                <w:szCs w:val="14"/>
                <w:lang w:val="en-IE"/>
              </w:rPr>
            </w:pPr>
            <w:r w:rsidRPr="00474758">
              <w:rPr>
                <w:noProof/>
                <w:sz w:val="18"/>
                <w:szCs w:val="14"/>
              </w:rPr>
              <w:t>326</w:t>
            </w:r>
          </w:p>
        </w:tc>
        <w:tc>
          <w:tcPr>
            <w:tcW w:w="0" w:type="auto"/>
            <w:shd w:val="clear" w:color="auto" w:fill="DBE5F1" w:themeFill="accent1" w:themeFillTint="33"/>
            <w:vAlign w:val="center"/>
          </w:tcPr>
          <w:p w14:paraId="4D475141" w14:textId="36D88EB7" w:rsidR="00474758" w:rsidRPr="00474758" w:rsidRDefault="00474758" w:rsidP="00474758">
            <w:pPr>
              <w:pStyle w:val="Text1"/>
              <w:spacing w:after="0"/>
              <w:ind w:left="0"/>
              <w:jc w:val="center"/>
              <w:rPr>
                <w:noProof/>
                <w:sz w:val="18"/>
                <w:szCs w:val="14"/>
                <w:lang w:val="en-IE"/>
              </w:rPr>
            </w:pPr>
            <w:r w:rsidRPr="00474758">
              <w:rPr>
                <w:noProof/>
                <w:sz w:val="18"/>
                <w:szCs w:val="14"/>
              </w:rPr>
              <w:t>294</w:t>
            </w:r>
          </w:p>
        </w:tc>
        <w:tc>
          <w:tcPr>
            <w:tcW w:w="0" w:type="auto"/>
            <w:shd w:val="clear" w:color="auto" w:fill="DBE5F1" w:themeFill="accent1" w:themeFillTint="33"/>
            <w:vAlign w:val="center"/>
          </w:tcPr>
          <w:p w14:paraId="440509C6" w14:textId="55948C1E" w:rsidR="00474758" w:rsidRPr="00474758" w:rsidRDefault="00474758" w:rsidP="00474758">
            <w:pPr>
              <w:pStyle w:val="Text1"/>
              <w:spacing w:after="0"/>
              <w:ind w:left="0"/>
              <w:jc w:val="center"/>
              <w:rPr>
                <w:noProof/>
                <w:sz w:val="18"/>
                <w:szCs w:val="14"/>
                <w:lang w:val="en-IE"/>
              </w:rPr>
            </w:pPr>
            <w:r w:rsidRPr="00474758">
              <w:rPr>
                <w:noProof/>
                <w:sz w:val="18"/>
                <w:szCs w:val="14"/>
              </w:rPr>
              <w:t>264</w:t>
            </w:r>
          </w:p>
        </w:tc>
        <w:tc>
          <w:tcPr>
            <w:tcW w:w="0" w:type="auto"/>
            <w:shd w:val="clear" w:color="auto" w:fill="DBE5F1" w:themeFill="accent1" w:themeFillTint="33"/>
            <w:vAlign w:val="center"/>
          </w:tcPr>
          <w:p w14:paraId="1054BEA2" w14:textId="53AF51E7" w:rsidR="00474758" w:rsidRPr="00474758" w:rsidRDefault="00474758" w:rsidP="00474758">
            <w:pPr>
              <w:pStyle w:val="Text1"/>
              <w:spacing w:after="0"/>
              <w:ind w:left="0"/>
              <w:jc w:val="center"/>
              <w:rPr>
                <w:noProof/>
                <w:sz w:val="18"/>
                <w:szCs w:val="14"/>
                <w:lang w:val="en-IE"/>
              </w:rPr>
            </w:pPr>
            <w:r w:rsidRPr="00474758">
              <w:rPr>
                <w:noProof/>
                <w:sz w:val="18"/>
                <w:szCs w:val="14"/>
              </w:rPr>
              <w:t>277</w:t>
            </w:r>
          </w:p>
        </w:tc>
        <w:tc>
          <w:tcPr>
            <w:tcW w:w="0" w:type="auto"/>
            <w:shd w:val="clear" w:color="auto" w:fill="F2F2F2" w:themeFill="background1" w:themeFillShade="F2"/>
            <w:vAlign w:val="center"/>
          </w:tcPr>
          <w:p w14:paraId="1E220E31" w14:textId="77777777" w:rsidR="00474758" w:rsidRPr="00355A41" w:rsidRDefault="00474758" w:rsidP="00474758">
            <w:pPr>
              <w:pStyle w:val="Text1"/>
              <w:spacing w:after="0"/>
              <w:jc w:val="center"/>
              <w:rPr>
                <w:noProof/>
                <w:sz w:val="18"/>
                <w:szCs w:val="18"/>
                <w:lang w:val="en-IE"/>
              </w:rPr>
            </w:pPr>
          </w:p>
        </w:tc>
      </w:tr>
      <w:tr w:rsidR="00E946AD" w:rsidRPr="00355A41" w14:paraId="0AF32CB6" w14:textId="77777777" w:rsidTr="002939AE">
        <w:tc>
          <w:tcPr>
            <w:tcW w:w="1608" w:type="dxa"/>
            <w:vAlign w:val="center"/>
          </w:tcPr>
          <w:p w14:paraId="2C53589A" w14:textId="77777777" w:rsidR="00F32E6C" w:rsidRPr="002939AE" w:rsidRDefault="00F32E6C" w:rsidP="002939AE">
            <w:pPr>
              <w:pStyle w:val="Text1"/>
              <w:spacing w:after="0"/>
              <w:ind w:left="0"/>
              <w:jc w:val="left"/>
              <w:rPr>
                <w:noProof/>
                <w:sz w:val="18"/>
                <w:szCs w:val="18"/>
                <w:lang w:val="en-IE"/>
              </w:rPr>
            </w:pPr>
            <w:r w:rsidRPr="002939AE">
              <w:rPr>
                <w:noProof/>
                <w:sz w:val="18"/>
                <w:szCs w:val="18"/>
                <w:lang w:val="en-IE"/>
              </w:rPr>
              <w:t>% of DC benefitting from the option</w:t>
            </w:r>
          </w:p>
        </w:tc>
        <w:tc>
          <w:tcPr>
            <w:tcW w:w="0" w:type="auto"/>
            <w:vAlign w:val="center"/>
          </w:tcPr>
          <w:p w14:paraId="147AD2C1"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0%</w:t>
            </w:r>
          </w:p>
        </w:tc>
        <w:tc>
          <w:tcPr>
            <w:tcW w:w="0" w:type="auto"/>
            <w:vAlign w:val="center"/>
          </w:tcPr>
          <w:p w14:paraId="46F4028A"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0%</w:t>
            </w:r>
          </w:p>
        </w:tc>
        <w:tc>
          <w:tcPr>
            <w:tcW w:w="0" w:type="auto"/>
            <w:vAlign w:val="center"/>
          </w:tcPr>
          <w:p w14:paraId="1A124C77"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5%</w:t>
            </w:r>
          </w:p>
        </w:tc>
        <w:tc>
          <w:tcPr>
            <w:tcW w:w="0" w:type="auto"/>
            <w:vAlign w:val="center"/>
          </w:tcPr>
          <w:p w14:paraId="4B0C2D06"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10%</w:t>
            </w:r>
          </w:p>
        </w:tc>
        <w:tc>
          <w:tcPr>
            <w:tcW w:w="0" w:type="auto"/>
            <w:vAlign w:val="center"/>
          </w:tcPr>
          <w:p w14:paraId="2D281712"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15%</w:t>
            </w:r>
          </w:p>
        </w:tc>
        <w:tc>
          <w:tcPr>
            <w:tcW w:w="0" w:type="auto"/>
            <w:vAlign w:val="center"/>
          </w:tcPr>
          <w:p w14:paraId="7609E9D9"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20%</w:t>
            </w:r>
          </w:p>
        </w:tc>
        <w:tc>
          <w:tcPr>
            <w:tcW w:w="0" w:type="auto"/>
            <w:vAlign w:val="center"/>
          </w:tcPr>
          <w:p w14:paraId="755D21A4"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25%</w:t>
            </w:r>
          </w:p>
        </w:tc>
        <w:tc>
          <w:tcPr>
            <w:tcW w:w="0" w:type="auto"/>
            <w:vAlign w:val="center"/>
          </w:tcPr>
          <w:p w14:paraId="10E07B81"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30%</w:t>
            </w:r>
          </w:p>
        </w:tc>
        <w:tc>
          <w:tcPr>
            <w:tcW w:w="0" w:type="auto"/>
            <w:vAlign w:val="center"/>
          </w:tcPr>
          <w:p w14:paraId="0EEEBF23"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35%</w:t>
            </w:r>
          </w:p>
        </w:tc>
        <w:tc>
          <w:tcPr>
            <w:tcW w:w="0" w:type="auto"/>
            <w:vAlign w:val="center"/>
          </w:tcPr>
          <w:p w14:paraId="782748D3"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40%</w:t>
            </w:r>
          </w:p>
        </w:tc>
        <w:tc>
          <w:tcPr>
            <w:tcW w:w="0" w:type="auto"/>
            <w:vAlign w:val="center"/>
          </w:tcPr>
          <w:p w14:paraId="1621BFD0"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45%</w:t>
            </w:r>
          </w:p>
        </w:tc>
        <w:tc>
          <w:tcPr>
            <w:tcW w:w="0" w:type="auto"/>
            <w:vAlign w:val="center"/>
          </w:tcPr>
          <w:p w14:paraId="27C85D77" w14:textId="77777777" w:rsidR="00F32E6C" w:rsidRPr="00355A41" w:rsidRDefault="00F32E6C" w:rsidP="002939AE">
            <w:pPr>
              <w:pStyle w:val="Text1"/>
              <w:spacing w:after="0"/>
              <w:ind w:left="0"/>
              <w:jc w:val="center"/>
              <w:rPr>
                <w:noProof/>
                <w:sz w:val="18"/>
                <w:szCs w:val="18"/>
                <w:lang w:val="en-IE"/>
              </w:rPr>
            </w:pPr>
            <w:r w:rsidRPr="00DA029C">
              <w:rPr>
                <w:noProof/>
                <w:sz w:val="18"/>
                <w:szCs w:val="18"/>
              </w:rPr>
              <w:t>50%</w:t>
            </w:r>
          </w:p>
        </w:tc>
        <w:tc>
          <w:tcPr>
            <w:tcW w:w="0" w:type="auto"/>
            <w:shd w:val="clear" w:color="auto" w:fill="F2F2F2" w:themeFill="background1" w:themeFillShade="F2"/>
            <w:vAlign w:val="center"/>
          </w:tcPr>
          <w:p w14:paraId="4CB65BF9" w14:textId="77777777" w:rsidR="00F32E6C" w:rsidRPr="00355A41" w:rsidRDefault="00F32E6C" w:rsidP="002939AE">
            <w:pPr>
              <w:pStyle w:val="Text1"/>
              <w:spacing w:after="0"/>
              <w:jc w:val="center"/>
              <w:rPr>
                <w:noProof/>
                <w:sz w:val="18"/>
                <w:szCs w:val="18"/>
                <w:lang w:val="en-IE"/>
              </w:rPr>
            </w:pPr>
          </w:p>
        </w:tc>
      </w:tr>
      <w:tr w:rsidR="00960E98" w:rsidRPr="00355A41" w14:paraId="73C0EC9E" w14:textId="77777777" w:rsidTr="002939AE">
        <w:tc>
          <w:tcPr>
            <w:tcW w:w="1608" w:type="dxa"/>
            <w:shd w:val="clear" w:color="auto" w:fill="DBE5F1" w:themeFill="accent1" w:themeFillTint="33"/>
            <w:vAlign w:val="center"/>
          </w:tcPr>
          <w:p w14:paraId="2E070002" w14:textId="77777777" w:rsidR="00F32E6C" w:rsidRPr="002939AE" w:rsidRDefault="00F32E6C" w:rsidP="002939AE">
            <w:pPr>
              <w:pStyle w:val="Text1"/>
              <w:spacing w:after="0"/>
              <w:ind w:left="0"/>
              <w:jc w:val="left"/>
              <w:rPr>
                <w:noProof/>
                <w:sz w:val="18"/>
                <w:szCs w:val="18"/>
                <w:lang w:val="en-IE"/>
              </w:rPr>
            </w:pPr>
            <w:r w:rsidRPr="002939AE">
              <w:rPr>
                <w:noProof/>
                <w:sz w:val="18"/>
                <w:szCs w:val="18"/>
                <w:lang w:val="en-IE"/>
              </w:rPr>
              <w:t>No. DC benefitting from the option</w:t>
            </w:r>
          </w:p>
        </w:tc>
        <w:tc>
          <w:tcPr>
            <w:tcW w:w="0" w:type="auto"/>
            <w:shd w:val="clear" w:color="auto" w:fill="DBE5F1" w:themeFill="accent1" w:themeFillTint="33"/>
            <w:vAlign w:val="center"/>
          </w:tcPr>
          <w:p w14:paraId="5D9827EA" w14:textId="1CC6BD45" w:rsidR="00F32E6C" w:rsidRPr="00355A41" w:rsidRDefault="00F32E6C" w:rsidP="002939AE">
            <w:pPr>
              <w:pStyle w:val="Text1"/>
              <w:spacing w:after="0"/>
              <w:ind w:left="0"/>
              <w:jc w:val="center"/>
              <w:rPr>
                <w:noProof/>
                <w:sz w:val="18"/>
                <w:szCs w:val="18"/>
                <w:lang w:val="en-IE"/>
              </w:rPr>
            </w:pPr>
          </w:p>
        </w:tc>
        <w:tc>
          <w:tcPr>
            <w:tcW w:w="0" w:type="auto"/>
            <w:shd w:val="clear" w:color="auto" w:fill="DBE5F1" w:themeFill="accent1" w:themeFillTint="33"/>
            <w:vAlign w:val="center"/>
          </w:tcPr>
          <w:p w14:paraId="31401805"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0</w:t>
            </w:r>
          </w:p>
        </w:tc>
        <w:tc>
          <w:tcPr>
            <w:tcW w:w="0" w:type="auto"/>
            <w:shd w:val="clear" w:color="auto" w:fill="DBE5F1" w:themeFill="accent1" w:themeFillTint="33"/>
            <w:vAlign w:val="center"/>
          </w:tcPr>
          <w:p w14:paraId="02E653C2"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13</w:t>
            </w:r>
          </w:p>
        </w:tc>
        <w:tc>
          <w:tcPr>
            <w:tcW w:w="0" w:type="auto"/>
            <w:shd w:val="clear" w:color="auto" w:fill="DBE5F1" w:themeFill="accent1" w:themeFillTint="33"/>
            <w:vAlign w:val="center"/>
          </w:tcPr>
          <w:p w14:paraId="5927E815"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31</w:t>
            </w:r>
          </w:p>
        </w:tc>
        <w:tc>
          <w:tcPr>
            <w:tcW w:w="0" w:type="auto"/>
            <w:shd w:val="clear" w:color="auto" w:fill="DBE5F1" w:themeFill="accent1" w:themeFillTint="33"/>
            <w:vAlign w:val="center"/>
          </w:tcPr>
          <w:p w14:paraId="6AFF46B8"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53</w:t>
            </w:r>
          </w:p>
        </w:tc>
        <w:tc>
          <w:tcPr>
            <w:tcW w:w="0" w:type="auto"/>
            <w:shd w:val="clear" w:color="auto" w:fill="DBE5F1" w:themeFill="accent1" w:themeFillTint="33"/>
            <w:vAlign w:val="center"/>
          </w:tcPr>
          <w:p w14:paraId="5E48F08F"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81</w:t>
            </w:r>
          </w:p>
        </w:tc>
        <w:tc>
          <w:tcPr>
            <w:tcW w:w="0" w:type="auto"/>
            <w:shd w:val="clear" w:color="auto" w:fill="DBE5F1" w:themeFill="accent1" w:themeFillTint="33"/>
            <w:vAlign w:val="center"/>
          </w:tcPr>
          <w:p w14:paraId="2F41978F"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95</w:t>
            </w:r>
          </w:p>
        </w:tc>
        <w:tc>
          <w:tcPr>
            <w:tcW w:w="0" w:type="auto"/>
            <w:shd w:val="clear" w:color="auto" w:fill="DBE5F1" w:themeFill="accent1" w:themeFillTint="33"/>
            <w:vAlign w:val="center"/>
          </w:tcPr>
          <w:p w14:paraId="02601B39"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107</w:t>
            </w:r>
          </w:p>
        </w:tc>
        <w:tc>
          <w:tcPr>
            <w:tcW w:w="0" w:type="auto"/>
            <w:shd w:val="clear" w:color="auto" w:fill="DBE5F1" w:themeFill="accent1" w:themeFillTint="33"/>
            <w:vAlign w:val="center"/>
          </w:tcPr>
          <w:p w14:paraId="3C011E1E"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114</w:t>
            </w:r>
          </w:p>
        </w:tc>
        <w:tc>
          <w:tcPr>
            <w:tcW w:w="0" w:type="auto"/>
            <w:shd w:val="clear" w:color="auto" w:fill="DBE5F1" w:themeFill="accent1" w:themeFillTint="33"/>
            <w:vAlign w:val="center"/>
          </w:tcPr>
          <w:p w14:paraId="11ED3886"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118</w:t>
            </w:r>
          </w:p>
        </w:tc>
        <w:tc>
          <w:tcPr>
            <w:tcW w:w="0" w:type="auto"/>
            <w:shd w:val="clear" w:color="auto" w:fill="DBE5F1" w:themeFill="accent1" w:themeFillTint="33"/>
            <w:vAlign w:val="center"/>
          </w:tcPr>
          <w:p w14:paraId="549E2C11"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119</w:t>
            </w:r>
          </w:p>
        </w:tc>
        <w:tc>
          <w:tcPr>
            <w:tcW w:w="0" w:type="auto"/>
            <w:shd w:val="clear" w:color="auto" w:fill="DBE5F1" w:themeFill="accent1" w:themeFillTint="33"/>
            <w:vAlign w:val="center"/>
          </w:tcPr>
          <w:p w14:paraId="530D7BA4" w14:textId="77777777" w:rsidR="00F32E6C" w:rsidRPr="00340A97" w:rsidRDefault="00F32E6C" w:rsidP="002939AE">
            <w:pPr>
              <w:pStyle w:val="Text1"/>
              <w:spacing w:after="0"/>
              <w:ind w:left="0"/>
              <w:jc w:val="center"/>
              <w:rPr>
                <w:b/>
                <w:noProof/>
                <w:sz w:val="18"/>
                <w:szCs w:val="18"/>
                <w:lang w:val="en-IE"/>
              </w:rPr>
            </w:pPr>
            <w:r w:rsidRPr="00340A97">
              <w:rPr>
                <w:b/>
                <w:noProof/>
                <w:sz w:val="18"/>
                <w:szCs w:val="18"/>
              </w:rPr>
              <w:t>138</w:t>
            </w:r>
          </w:p>
        </w:tc>
        <w:tc>
          <w:tcPr>
            <w:tcW w:w="0" w:type="auto"/>
            <w:shd w:val="clear" w:color="auto" w:fill="F2F2F2" w:themeFill="background1" w:themeFillShade="F2"/>
            <w:vAlign w:val="center"/>
          </w:tcPr>
          <w:p w14:paraId="474D18E5" w14:textId="77777777" w:rsidR="00F32E6C" w:rsidRPr="00355A41" w:rsidRDefault="00F32E6C" w:rsidP="002939AE">
            <w:pPr>
              <w:pStyle w:val="Text1"/>
              <w:spacing w:after="0"/>
              <w:jc w:val="center"/>
              <w:rPr>
                <w:noProof/>
                <w:sz w:val="18"/>
                <w:szCs w:val="18"/>
                <w:lang w:val="en-IE"/>
              </w:rPr>
            </w:pPr>
          </w:p>
        </w:tc>
      </w:tr>
    </w:tbl>
    <w:p w14:paraId="4B426B06" w14:textId="77777777" w:rsidR="00F32E6C" w:rsidRPr="0007547C" w:rsidRDefault="00F32E6C" w:rsidP="00F32E6C">
      <w:pPr>
        <w:pStyle w:val="Caption"/>
        <w:keepNext/>
        <w:rPr>
          <w:noProof/>
        </w:rPr>
      </w:pPr>
    </w:p>
    <w:p w14:paraId="4E10A84F" w14:textId="4483AB18" w:rsidR="00F32E6C" w:rsidRPr="00930D48" w:rsidRDefault="00F32E6C" w:rsidP="00F32E6C">
      <w:pPr>
        <w:pStyle w:val="Caption"/>
        <w:keepNext/>
        <w:rPr>
          <w:b w:val="0"/>
          <w:noProof/>
        </w:rPr>
      </w:pPr>
      <w:bookmarkStart w:id="136" w:name="_Toc213440594"/>
      <w:r w:rsidRPr="00930D48">
        <w:rPr>
          <w:noProof/>
        </w:rPr>
        <w:t xml:space="preserve">Table </w:t>
      </w:r>
      <w:r w:rsidRPr="00930D48">
        <w:rPr>
          <w:noProof/>
        </w:rPr>
        <w:fldChar w:fldCharType="begin"/>
      </w:r>
      <w:r w:rsidRPr="00930D48">
        <w:rPr>
          <w:noProof/>
        </w:rPr>
        <w:instrText xml:space="preserve"> SEQ Table \* ARABIC </w:instrText>
      </w:r>
      <w:r w:rsidRPr="00930D48">
        <w:rPr>
          <w:noProof/>
        </w:rPr>
        <w:fldChar w:fldCharType="separate"/>
      </w:r>
      <w:r w:rsidR="000E7F11">
        <w:rPr>
          <w:noProof/>
        </w:rPr>
        <w:t>13</w:t>
      </w:r>
      <w:r w:rsidRPr="00930D48">
        <w:rPr>
          <w:noProof/>
        </w:rPr>
        <w:fldChar w:fldCharType="end"/>
      </w:r>
      <w:r w:rsidRPr="00930D48">
        <w:rPr>
          <w:noProof/>
        </w:rPr>
        <w:t xml:space="preserve">. Capacity growth and new data centres benefitting from PO1-C </w:t>
      </w:r>
      <w:r w:rsidR="00930D48">
        <w:rPr>
          <w:noProof/>
        </w:rPr>
        <w:t xml:space="preserve">                                                        </w:t>
      </w:r>
      <w:r w:rsidRPr="00930D48">
        <w:rPr>
          <w:b w:val="0"/>
          <w:noProof/>
        </w:rPr>
        <w:t xml:space="preserve">(Source: </w:t>
      </w:r>
      <w:r w:rsidR="000A3968" w:rsidRPr="00930D48">
        <w:rPr>
          <w:b w:val="0"/>
          <w:noProof/>
        </w:rPr>
        <w:t xml:space="preserve">Technopolis et al. </w:t>
      </w:r>
      <w:bookmarkEnd w:id="136"/>
      <w:r w:rsidR="000A3968" w:rsidRPr="00930D48">
        <w:rPr>
          <w:b w:val="0"/>
          <w:noProof/>
        </w:rPr>
        <w:t>(2025))</w:t>
      </w:r>
    </w:p>
    <w:tbl>
      <w:tblPr>
        <w:tblStyle w:val="TableGrid"/>
        <w:tblW w:w="10424" w:type="dxa"/>
        <w:tblInd w:w="-567" w:type="dxa"/>
        <w:tblLook w:val="04A0" w:firstRow="1" w:lastRow="0" w:firstColumn="1" w:lastColumn="0" w:noHBand="0" w:noVBand="1"/>
      </w:tblPr>
      <w:tblGrid>
        <w:gridCol w:w="1607"/>
        <w:gridCol w:w="672"/>
        <w:gridCol w:w="672"/>
        <w:gridCol w:w="672"/>
        <w:gridCol w:w="672"/>
        <w:gridCol w:w="672"/>
        <w:gridCol w:w="672"/>
        <w:gridCol w:w="672"/>
        <w:gridCol w:w="672"/>
        <w:gridCol w:w="672"/>
        <w:gridCol w:w="672"/>
        <w:gridCol w:w="672"/>
        <w:gridCol w:w="672"/>
        <w:gridCol w:w="753"/>
      </w:tblGrid>
      <w:tr w:rsidR="00F32E6C" w:rsidRPr="00355A41" w14:paraId="27E73A09" w14:textId="77777777" w:rsidTr="002B108E">
        <w:trPr>
          <w:trHeight w:val="170"/>
          <w:tblHeader/>
        </w:trPr>
        <w:tc>
          <w:tcPr>
            <w:tcW w:w="1608" w:type="dxa"/>
            <w:tcBorders>
              <w:bottom w:val="single" w:sz="12" w:space="0" w:color="00B0F0"/>
            </w:tcBorders>
          </w:tcPr>
          <w:p w14:paraId="7015C473" w14:textId="77777777" w:rsidR="00F32E6C" w:rsidRPr="00355A41" w:rsidRDefault="00F32E6C" w:rsidP="00893D4D">
            <w:pPr>
              <w:pStyle w:val="Text1"/>
              <w:spacing w:after="0"/>
              <w:rPr>
                <w:noProof/>
                <w:sz w:val="18"/>
                <w:szCs w:val="18"/>
                <w:lang w:val="en-IE"/>
              </w:rPr>
            </w:pPr>
          </w:p>
        </w:tc>
        <w:tc>
          <w:tcPr>
            <w:tcW w:w="0" w:type="auto"/>
            <w:tcBorders>
              <w:bottom w:val="single" w:sz="12" w:space="0" w:color="00B0F0"/>
            </w:tcBorders>
          </w:tcPr>
          <w:p w14:paraId="0E1E633F"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2025</w:t>
            </w:r>
          </w:p>
        </w:tc>
        <w:tc>
          <w:tcPr>
            <w:tcW w:w="0" w:type="auto"/>
            <w:tcBorders>
              <w:bottom w:val="single" w:sz="12" w:space="0" w:color="00B0F0"/>
            </w:tcBorders>
          </w:tcPr>
          <w:p w14:paraId="3ED217EB"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2026</w:t>
            </w:r>
          </w:p>
        </w:tc>
        <w:tc>
          <w:tcPr>
            <w:tcW w:w="0" w:type="auto"/>
            <w:tcBorders>
              <w:bottom w:val="single" w:sz="12" w:space="0" w:color="00B0F0"/>
            </w:tcBorders>
          </w:tcPr>
          <w:p w14:paraId="1CEC5669"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2027</w:t>
            </w:r>
          </w:p>
        </w:tc>
        <w:tc>
          <w:tcPr>
            <w:tcW w:w="0" w:type="auto"/>
            <w:tcBorders>
              <w:bottom w:val="single" w:sz="12" w:space="0" w:color="00B0F0"/>
            </w:tcBorders>
          </w:tcPr>
          <w:p w14:paraId="31BBAAED"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2028</w:t>
            </w:r>
          </w:p>
        </w:tc>
        <w:tc>
          <w:tcPr>
            <w:tcW w:w="0" w:type="auto"/>
            <w:tcBorders>
              <w:bottom w:val="single" w:sz="12" w:space="0" w:color="00B0F0"/>
            </w:tcBorders>
          </w:tcPr>
          <w:p w14:paraId="07990318"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2029</w:t>
            </w:r>
          </w:p>
        </w:tc>
        <w:tc>
          <w:tcPr>
            <w:tcW w:w="0" w:type="auto"/>
            <w:tcBorders>
              <w:bottom w:val="single" w:sz="12" w:space="0" w:color="00B0F0"/>
            </w:tcBorders>
          </w:tcPr>
          <w:p w14:paraId="14185DA7"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2030</w:t>
            </w:r>
          </w:p>
        </w:tc>
        <w:tc>
          <w:tcPr>
            <w:tcW w:w="0" w:type="auto"/>
            <w:tcBorders>
              <w:bottom w:val="single" w:sz="12" w:space="0" w:color="00B0F0"/>
            </w:tcBorders>
          </w:tcPr>
          <w:p w14:paraId="05CD9069"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2031</w:t>
            </w:r>
          </w:p>
        </w:tc>
        <w:tc>
          <w:tcPr>
            <w:tcW w:w="0" w:type="auto"/>
            <w:tcBorders>
              <w:bottom w:val="single" w:sz="12" w:space="0" w:color="00B0F0"/>
            </w:tcBorders>
          </w:tcPr>
          <w:p w14:paraId="3A29BD39"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2032</w:t>
            </w:r>
          </w:p>
        </w:tc>
        <w:tc>
          <w:tcPr>
            <w:tcW w:w="0" w:type="auto"/>
            <w:tcBorders>
              <w:bottom w:val="single" w:sz="12" w:space="0" w:color="00B0F0"/>
            </w:tcBorders>
          </w:tcPr>
          <w:p w14:paraId="6E4D0C92"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2033</w:t>
            </w:r>
          </w:p>
        </w:tc>
        <w:tc>
          <w:tcPr>
            <w:tcW w:w="0" w:type="auto"/>
            <w:tcBorders>
              <w:bottom w:val="single" w:sz="12" w:space="0" w:color="00B0F0"/>
            </w:tcBorders>
          </w:tcPr>
          <w:p w14:paraId="1CE82737"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2034</w:t>
            </w:r>
          </w:p>
        </w:tc>
        <w:tc>
          <w:tcPr>
            <w:tcW w:w="0" w:type="auto"/>
            <w:tcBorders>
              <w:bottom w:val="single" w:sz="12" w:space="0" w:color="00B0F0"/>
            </w:tcBorders>
          </w:tcPr>
          <w:p w14:paraId="11352B4C"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2035</w:t>
            </w:r>
          </w:p>
        </w:tc>
        <w:tc>
          <w:tcPr>
            <w:tcW w:w="0" w:type="auto"/>
            <w:tcBorders>
              <w:bottom w:val="single" w:sz="12" w:space="0" w:color="00B0F0"/>
            </w:tcBorders>
          </w:tcPr>
          <w:p w14:paraId="3FCAAC92"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2036</w:t>
            </w:r>
          </w:p>
        </w:tc>
        <w:tc>
          <w:tcPr>
            <w:tcW w:w="0" w:type="auto"/>
            <w:tcBorders>
              <w:bottom w:val="single" w:sz="12" w:space="0" w:color="00B0F0"/>
            </w:tcBorders>
          </w:tcPr>
          <w:p w14:paraId="5D4B2C16" w14:textId="77777777" w:rsidR="00F32E6C" w:rsidRPr="00DA029C" w:rsidRDefault="00F32E6C" w:rsidP="00893D4D">
            <w:pPr>
              <w:pStyle w:val="Text1"/>
              <w:spacing w:after="0"/>
              <w:ind w:left="0"/>
              <w:rPr>
                <w:b/>
                <w:noProof/>
                <w:sz w:val="18"/>
                <w:szCs w:val="18"/>
                <w:lang w:val="en-IE"/>
              </w:rPr>
            </w:pPr>
            <w:r w:rsidRPr="00DA029C">
              <w:rPr>
                <w:b/>
                <w:noProof/>
                <w:sz w:val="18"/>
                <w:szCs w:val="18"/>
                <w:lang w:val="en-IE"/>
              </w:rPr>
              <w:t>CAGR</w:t>
            </w:r>
          </w:p>
        </w:tc>
      </w:tr>
      <w:tr w:rsidR="00960E98" w:rsidRPr="00355A41" w14:paraId="496D4242" w14:textId="77777777" w:rsidTr="004932BB">
        <w:tc>
          <w:tcPr>
            <w:tcW w:w="1608" w:type="dxa"/>
            <w:tcBorders>
              <w:top w:val="single" w:sz="12" w:space="0" w:color="00B0F0"/>
            </w:tcBorders>
            <w:shd w:val="clear" w:color="auto" w:fill="DBE5F1" w:themeFill="accent1" w:themeFillTint="33"/>
          </w:tcPr>
          <w:p w14:paraId="6CAA3047" w14:textId="77777777" w:rsidR="00F32E6C" w:rsidRPr="00893D4D" w:rsidRDefault="00F32E6C" w:rsidP="00893D4D">
            <w:pPr>
              <w:pStyle w:val="Text1"/>
              <w:spacing w:after="0"/>
              <w:ind w:left="0"/>
              <w:jc w:val="left"/>
              <w:rPr>
                <w:noProof/>
                <w:sz w:val="18"/>
                <w:szCs w:val="18"/>
                <w:lang w:val="en-IE"/>
              </w:rPr>
            </w:pPr>
            <w:r w:rsidRPr="00893D4D">
              <w:rPr>
                <w:noProof/>
                <w:sz w:val="18"/>
                <w:szCs w:val="18"/>
                <w:lang w:val="en-IE"/>
              </w:rPr>
              <w:t>Capacity growth (MW)</w:t>
            </w:r>
          </w:p>
        </w:tc>
        <w:tc>
          <w:tcPr>
            <w:tcW w:w="0" w:type="auto"/>
            <w:tcBorders>
              <w:top w:val="single" w:sz="12" w:space="0" w:color="00B0F0"/>
            </w:tcBorders>
            <w:shd w:val="clear" w:color="auto" w:fill="DBE5F1" w:themeFill="accent1" w:themeFillTint="33"/>
            <w:vAlign w:val="center"/>
          </w:tcPr>
          <w:p w14:paraId="580AF8CC"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12440</w:t>
            </w:r>
          </w:p>
        </w:tc>
        <w:tc>
          <w:tcPr>
            <w:tcW w:w="0" w:type="auto"/>
            <w:tcBorders>
              <w:top w:val="single" w:sz="12" w:space="0" w:color="00B0F0"/>
            </w:tcBorders>
            <w:shd w:val="clear" w:color="auto" w:fill="DBE5F1" w:themeFill="accent1" w:themeFillTint="33"/>
            <w:vAlign w:val="center"/>
          </w:tcPr>
          <w:p w14:paraId="37F77E41"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15131</w:t>
            </w:r>
          </w:p>
        </w:tc>
        <w:tc>
          <w:tcPr>
            <w:tcW w:w="0" w:type="auto"/>
            <w:tcBorders>
              <w:top w:val="single" w:sz="12" w:space="0" w:color="00B0F0"/>
            </w:tcBorders>
            <w:shd w:val="clear" w:color="auto" w:fill="DBE5F1" w:themeFill="accent1" w:themeFillTint="33"/>
            <w:vAlign w:val="center"/>
          </w:tcPr>
          <w:p w14:paraId="2CB35CC8"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18447</w:t>
            </w:r>
          </w:p>
        </w:tc>
        <w:tc>
          <w:tcPr>
            <w:tcW w:w="0" w:type="auto"/>
            <w:tcBorders>
              <w:top w:val="single" w:sz="12" w:space="0" w:color="00B0F0"/>
            </w:tcBorders>
            <w:shd w:val="clear" w:color="auto" w:fill="DBE5F1" w:themeFill="accent1" w:themeFillTint="33"/>
            <w:vAlign w:val="center"/>
          </w:tcPr>
          <w:p w14:paraId="77FB1DF9"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22202</w:t>
            </w:r>
          </w:p>
        </w:tc>
        <w:tc>
          <w:tcPr>
            <w:tcW w:w="0" w:type="auto"/>
            <w:tcBorders>
              <w:top w:val="single" w:sz="12" w:space="0" w:color="00B0F0"/>
            </w:tcBorders>
            <w:shd w:val="clear" w:color="auto" w:fill="DBE5F1" w:themeFill="accent1" w:themeFillTint="33"/>
            <w:vAlign w:val="center"/>
          </w:tcPr>
          <w:p w14:paraId="77B9D7EF"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26505</w:t>
            </w:r>
          </w:p>
        </w:tc>
        <w:tc>
          <w:tcPr>
            <w:tcW w:w="0" w:type="auto"/>
            <w:tcBorders>
              <w:top w:val="single" w:sz="12" w:space="0" w:color="00B0F0"/>
            </w:tcBorders>
            <w:shd w:val="clear" w:color="auto" w:fill="DBE5F1" w:themeFill="accent1" w:themeFillTint="33"/>
            <w:vAlign w:val="center"/>
          </w:tcPr>
          <w:p w14:paraId="2F9DDD0B"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31435</w:t>
            </w:r>
          </w:p>
        </w:tc>
        <w:tc>
          <w:tcPr>
            <w:tcW w:w="0" w:type="auto"/>
            <w:tcBorders>
              <w:top w:val="single" w:sz="12" w:space="0" w:color="00B0F0"/>
            </w:tcBorders>
            <w:shd w:val="clear" w:color="auto" w:fill="DBE5F1" w:themeFill="accent1" w:themeFillTint="33"/>
            <w:vAlign w:val="center"/>
          </w:tcPr>
          <w:p w14:paraId="5635B427"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35912</w:t>
            </w:r>
          </w:p>
        </w:tc>
        <w:tc>
          <w:tcPr>
            <w:tcW w:w="0" w:type="auto"/>
            <w:tcBorders>
              <w:top w:val="single" w:sz="12" w:space="0" w:color="00B0F0"/>
            </w:tcBorders>
            <w:shd w:val="clear" w:color="auto" w:fill="DBE5F1" w:themeFill="accent1" w:themeFillTint="33"/>
            <w:vAlign w:val="center"/>
          </w:tcPr>
          <w:p w14:paraId="654D2F1B"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40041</w:t>
            </w:r>
          </w:p>
        </w:tc>
        <w:tc>
          <w:tcPr>
            <w:tcW w:w="0" w:type="auto"/>
            <w:tcBorders>
              <w:top w:val="single" w:sz="12" w:space="0" w:color="00B0F0"/>
            </w:tcBorders>
            <w:shd w:val="clear" w:color="auto" w:fill="DBE5F1" w:themeFill="accent1" w:themeFillTint="33"/>
            <w:vAlign w:val="center"/>
          </w:tcPr>
          <w:p w14:paraId="5D151113"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43827</w:t>
            </w:r>
          </w:p>
        </w:tc>
        <w:tc>
          <w:tcPr>
            <w:tcW w:w="0" w:type="auto"/>
            <w:tcBorders>
              <w:top w:val="single" w:sz="12" w:space="0" w:color="00B0F0"/>
            </w:tcBorders>
            <w:shd w:val="clear" w:color="auto" w:fill="DBE5F1" w:themeFill="accent1" w:themeFillTint="33"/>
            <w:vAlign w:val="center"/>
          </w:tcPr>
          <w:p w14:paraId="0C3CDFD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47249</w:t>
            </w:r>
          </w:p>
        </w:tc>
        <w:tc>
          <w:tcPr>
            <w:tcW w:w="0" w:type="auto"/>
            <w:tcBorders>
              <w:top w:val="single" w:sz="12" w:space="0" w:color="00B0F0"/>
            </w:tcBorders>
            <w:shd w:val="clear" w:color="auto" w:fill="DBE5F1" w:themeFill="accent1" w:themeFillTint="33"/>
            <w:vAlign w:val="center"/>
          </w:tcPr>
          <w:p w14:paraId="16632D9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50315</w:t>
            </w:r>
          </w:p>
        </w:tc>
        <w:tc>
          <w:tcPr>
            <w:tcW w:w="0" w:type="auto"/>
            <w:tcBorders>
              <w:top w:val="single" w:sz="12" w:space="0" w:color="00B0F0"/>
            </w:tcBorders>
            <w:shd w:val="clear" w:color="auto" w:fill="DBE5F1" w:themeFill="accent1" w:themeFillTint="33"/>
            <w:vAlign w:val="center"/>
          </w:tcPr>
          <w:p w14:paraId="75D7E8F1" w14:textId="15D853BC" w:rsidR="00F32E6C" w:rsidRPr="00355A41" w:rsidRDefault="00E075CF" w:rsidP="004932BB">
            <w:pPr>
              <w:pStyle w:val="Text1"/>
              <w:spacing w:after="0"/>
              <w:ind w:left="0"/>
              <w:jc w:val="center"/>
              <w:rPr>
                <w:noProof/>
                <w:sz w:val="18"/>
                <w:szCs w:val="18"/>
                <w:lang w:val="en-IE"/>
              </w:rPr>
            </w:pPr>
            <w:r w:rsidRPr="00E075CF">
              <w:rPr>
                <w:noProof/>
                <w:sz w:val="18"/>
                <w:szCs w:val="18"/>
              </w:rPr>
              <w:t>53538</w:t>
            </w:r>
          </w:p>
        </w:tc>
        <w:tc>
          <w:tcPr>
            <w:tcW w:w="0" w:type="auto"/>
            <w:tcBorders>
              <w:top w:val="single" w:sz="12" w:space="0" w:color="00B0F0"/>
            </w:tcBorders>
            <w:shd w:val="clear" w:color="auto" w:fill="F2F2F2" w:themeFill="background1" w:themeFillShade="F2"/>
            <w:vAlign w:val="center"/>
          </w:tcPr>
          <w:p w14:paraId="77105A83" w14:textId="77777777" w:rsidR="00F32E6C" w:rsidRPr="00355A41" w:rsidRDefault="00F32E6C" w:rsidP="00893D4D">
            <w:pPr>
              <w:pStyle w:val="Text1"/>
              <w:spacing w:after="0"/>
              <w:ind w:left="0"/>
              <w:jc w:val="center"/>
              <w:rPr>
                <w:b/>
                <w:noProof/>
                <w:sz w:val="18"/>
                <w:szCs w:val="18"/>
                <w:lang w:val="en-IE"/>
              </w:rPr>
            </w:pPr>
            <w:r w:rsidRPr="00355A41">
              <w:rPr>
                <w:b/>
                <w:noProof/>
                <w:sz w:val="18"/>
                <w:szCs w:val="18"/>
                <w:lang w:val="en-IE"/>
              </w:rPr>
              <w:t>14%</w:t>
            </w:r>
          </w:p>
        </w:tc>
      </w:tr>
      <w:tr w:rsidR="00E946AD" w:rsidRPr="00355A41" w14:paraId="7C582D7F" w14:textId="77777777" w:rsidTr="004932BB">
        <w:trPr>
          <w:trHeight w:val="310"/>
        </w:trPr>
        <w:tc>
          <w:tcPr>
            <w:tcW w:w="1608" w:type="dxa"/>
          </w:tcPr>
          <w:p w14:paraId="7F93C2C0" w14:textId="77777777" w:rsidR="00F32E6C" w:rsidRPr="00893D4D" w:rsidRDefault="00F32E6C" w:rsidP="00893D4D">
            <w:pPr>
              <w:pStyle w:val="Text1"/>
              <w:spacing w:after="0"/>
              <w:ind w:left="0"/>
              <w:jc w:val="left"/>
              <w:rPr>
                <w:noProof/>
                <w:sz w:val="18"/>
                <w:szCs w:val="18"/>
                <w:lang w:val="en-IE"/>
              </w:rPr>
            </w:pPr>
            <w:r w:rsidRPr="00893D4D">
              <w:rPr>
                <w:noProof/>
                <w:sz w:val="18"/>
                <w:szCs w:val="18"/>
                <w:lang w:val="en-IE"/>
              </w:rPr>
              <w:t>Average capacity of one DC (MW)</w:t>
            </w:r>
          </w:p>
        </w:tc>
        <w:tc>
          <w:tcPr>
            <w:tcW w:w="0" w:type="auto"/>
            <w:vAlign w:val="center"/>
          </w:tcPr>
          <w:p w14:paraId="62A34BB7"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13.0</w:t>
            </w:r>
          </w:p>
        </w:tc>
        <w:tc>
          <w:tcPr>
            <w:tcW w:w="0" w:type="auto"/>
            <w:vAlign w:val="center"/>
          </w:tcPr>
          <w:p w14:paraId="2D9C910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13.1</w:t>
            </w:r>
          </w:p>
        </w:tc>
        <w:tc>
          <w:tcPr>
            <w:tcW w:w="0" w:type="auto"/>
            <w:vAlign w:val="center"/>
          </w:tcPr>
          <w:p w14:paraId="6A73D849"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13.3</w:t>
            </w:r>
          </w:p>
        </w:tc>
        <w:tc>
          <w:tcPr>
            <w:tcW w:w="0" w:type="auto"/>
            <w:vAlign w:val="center"/>
          </w:tcPr>
          <w:p w14:paraId="793D4B3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13.4</w:t>
            </w:r>
          </w:p>
        </w:tc>
        <w:tc>
          <w:tcPr>
            <w:tcW w:w="0" w:type="auto"/>
            <w:vAlign w:val="center"/>
          </w:tcPr>
          <w:p w14:paraId="3F7AC5D5"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13.5</w:t>
            </w:r>
          </w:p>
        </w:tc>
        <w:tc>
          <w:tcPr>
            <w:tcW w:w="0" w:type="auto"/>
            <w:vAlign w:val="center"/>
          </w:tcPr>
          <w:p w14:paraId="6404623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13.7</w:t>
            </w:r>
          </w:p>
        </w:tc>
        <w:tc>
          <w:tcPr>
            <w:tcW w:w="0" w:type="auto"/>
            <w:vAlign w:val="center"/>
          </w:tcPr>
          <w:p w14:paraId="17385F5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13.8</w:t>
            </w:r>
          </w:p>
        </w:tc>
        <w:tc>
          <w:tcPr>
            <w:tcW w:w="0" w:type="auto"/>
            <w:vAlign w:val="center"/>
          </w:tcPr>
          <w:p w14:paraId="68ADC559"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13.9</w:t>
            </w:r>
          </w:p>
        </w:tc>
        <w:tc>
          <w:tcPr>
            <w:tcW w:w="0" w:type="auto"/>
            <w:vAlign w:val="center"/>
          </w:tcPr>
          <w:p w14:paraId="6D78CB2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14.1</w:t>
            </w:r>
          </w:p>
        </w:tc>
        <w:tc>
          <w:tcPr>
            <w:tcW w:w="0" w:type="auto"/>
            <w:vAlign w:val="center"/>
          </w:tcPr>
          <w:p w14:paraId="4E15D575"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14.2</w:t>
            </w:r>
          </w:p>
        </w:tc>
        <w:tc>
          <w:tcPr>
            <w:tcW w:w="0" w:type="auto"/>
            <w:vAlign w:val="center"/>
          </w:tcPr>
          <w:p w14:paraId="36AAB7F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14.4</w:t>
            </w:r>
          </w:p>
        </w:tc>
        <w:tc>
          <w:tcPr>
            <w:tcW w:w="0" w:type="auto"/>
            <w:vAlign w:val="center"/>
          </w:tcPr>
          <w:p w14:paraId="4E5FEC4C"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14.5</w:t>
            </w:r>
          </w:p>
        </w:tc>
        <w:tc>
          <w:tcPr>
            <w:tcW w:w="0" w:type="auto"/>
            <w:shd w:val="clear" w:color="auto" w:fill="F2F2F2" w:themeFill="background1" w:themeFillShade="F2"/>
            <w:vAlign w:val="center"/>
          </w:tcPr>
          <w:p w14:paraId="50F90596" w14:textId="0AB0F0A3" w:rsidR="00F32E6C" w:rsidRPr="00355A41" w:rsidRDefault="00F32E6C" w:rsidP="00893D4D">
            <w:pPr>
              <w:pStyle w:val="Text1"/>
              <w:spacing w:after="0"/>
              <w:ind w:left="0"/>
              <w:jc w:val="center"/>
              <w:rPr>
                <w:noProof/>
                <w:sz w:val="18"/>
                <w:szCs w:val="18"/>
                <w:lang w:val="en-IE"/>
              </w:rPr>
            </w:pPr>
            <w:r w:rsidRPr="00355A41">
              <w:rPr>
                <w:b/>
                <w:noProof/>
                <w:sz w:val="18"/>
                <w:szCs w:val="18"/>
                <w:lang w:val="en-IE"/>
              </w:rPr>
              <w:t>1%</w:t>
            </w:r>
          </w:p>
        </w:tc>
      </w:tr>
      <w:tr w:rsidR="00960E98" w:rsidRPr="00355A41" w14:paraId="38305833" w14:textId="77777777" w:rsidTr="004932BB">
        <w:tc>
          <w:tcPr>
            <w:tcW w:w="1608" w:type="dxa"/>
            <w:shd w:val="clear" w:color="auto" w:fill="DBE5F1" w:themeFill="accent1" w:themeFillTint="33"/>
          </w:tcPr>
          <w:p w14:paraId="5DD65174" w14:textId="77777777" w:rsidR="00F32E6C" w:rsidRPr="00893D4D" w:rsidRDefault="00F32E6C" w:rsidP="00893D4D">
            <w:pPr>
              <w:pStyle w:val="Text1"/>
              <w:spacing w:after="0"/>
              <w:ind w:left="0"/>
              <w:jc w:val="left"/>
              <w:rPr>
                <w:noProof/>
                <w:sz w:val="18"/>
                <w:szCs w:val="18"/>
                <w:lang w:val="en-IE"/>
              </w:rPr>
            </w:pPr>
            <w:r w:rsidRPr="00893D4D">
              <w:rPr>
                <w:noProof/>
                <w:sz w:val="18"/>
                <w:szCs w:val="18"/>
                <w:lang w:val="en-IE"/>
              </w:rPr>
              <w:t>No. of new DC built</w:t>
            </w:r>
          </w:p>
        </w:tc>
        <w:tc>
          <w:tcPr>
            <w:tcW w:w="0" w:type="auto"/>
            <w:shd w:val="clear" w:color="auto" w:fill="DBE5F1" w:themeFill="accent1" w:themeFillTint="33"/>
            <w:vAlign w:val="center"/>
          </w:tcPr>
          <w:p w14:paraId="01FFB3C6" w14:textId="4C84D779" w:rsidR="00F32E6C" w:rsidRPr="00355A41" w:rsidRDefault="00F32E6C" w:rsidP="004932BB">
            <w:pPr>
              <w:pStyle w:val="Text1"/>
              <w:spacing w:after="0"/>
              <w:jc w:val="center"/>
              <w:rPr>
                <w:noProof/>
                <w:sz w:val="18"/>
                <w:szCs w:val="18"/>
                <w:lang w:val="en-IE"/>
              </w:rPr>
            </w:pPr>
          </w:p>
        </w:tc>
        <w:tc>
          <w:tcPr>
            <w:tcW w:w="0" w:type="auto"/>
            <w:shd w:val="clear" w:color="auto" w:fill="DBE5F1" w:themeFill="accent1" w:themeFillTint="33"/>
            <w:vAlign w:val="center"/>
          </w:tcPr>
          <w:p w14:paraId="49A0643B"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205</w:t>
            </w:r>
          </w:p>
        </w:tc>
        <w:tc>
          <w:tcPr>
            <w:tcW w:w="0" w:type="auto"/>
            <w:shd w:val="clear" w:color="auto" w:fill="DBE5F1" w:themeFill="accent1" w:themeFillTint="33"/>
            <w:vAlign w:val="center"/>
          </w:tcPr>
          <w:p w14:paraId="29321935"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250</w:t>
            </w:r>
          </w:p>
        </w:tc>
        <w:tc>
          <w:tcPr>
            <w:tcW w:w="0" w:type="auto"/>
            <w:shd w:val="clear" w:color="auto" w:fill="DBE5F1" w:themeFill="accent1" w:themeFillTint="33"/>
            <w:vAlign w:val="center"/>
          </w:tcPr>
          <w:p w14:paraId="01FDD4B5"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280</w:t>
            </w:r>
          </w:p>
        </w:tc>
        <w:tc>
          <w:tcPr>
            <w:tcW w:w="0" w:type="auto"/>
            <w:shd w:val="clear" w:color="auto" w:fill="DBE5F1" w:themeFill="accent1" w:themeFillTint="33"/>
            <w:vAlign w:val="center"/>
          </w:tcPr>
          <w:p w14:paraId="01D5DE0D"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318</w:t>
            </w:r>
          </w:p>
        </w:tc>
        <w:tc>
          <w:tcPr>
            <w:tcW w:w="0" w:type="auto"/>
            <w:shd w:val="clear" w:color="auto" w:fill="DBE5F1" w:themeFill="accent1" w:themeFillTint="33"/>
            <w:vAlign w:val="center"/>
          </w:tcPr>
          <w:p w14:paraId="04B45858"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361</w:t>
            </w:r>
          </w:p>
        </w:tc>
        <w:tc>
          <w:tcPr>
            <w:tcW w:w="0" w:type="auto"/>
            <w:shd w:val="clear" w:color="auto" w:fill="DBE5F1" w:themeFill="accent1" w:themeFillTint="33"/>
            <w:vAlign w:val="center"/>
          </w:tcPr>
          <w:p w14:paraId="15ADD440"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324</w:t>
            </w:r>
          </w:p>
        </w:tc>
        <w:tc>
          <w:tcPr>
            <w:tcW w:w="0" w:type="auto"/>
            <w:shd w:val="clear" w:color="auto" w:fill="DBE5F1" w:themeFill="accent1" w:themeFillTint="33"/>
            <w:vAlign w:val="center"/>
          </w:tcPr>
          <w:p w14:paraId="48B4548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296</w:t>
            </w:r>
          </w:p>
        </w:tc>
        <w:tc>
          <w:tcPr>
            <w:tcW w:w="0" w:type="auto"/>
            <w:shd w:val="clear" w:color="auto" w:fill="DBE5F1" w:themeFill="accent1" w:themeFillTint="33"/>
            <w:vAlign w:val="center"/>
          </w:tcPr>
          <w:p w14:paraId="491AE74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269</w:t>
            </w:r>
          </w:p>
        </w:tc>
        <w:tc>
          <w:tcPr>
            <w:tcW w:w="0" w:type="auto"/>
            <w:shd w:val="clear" w:color="auto" w:fill="DBE5F1" w:themeFill="accent1" w:themeFillTint="33"/>
            <w:vAlign w:val="center"/>
          </w:tcPr>
          <w:p w14:paraId="2826EA61"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241</w:t>
            </w:r>
          </w:p>
        </w:tc>
        <w:tc>
          <w:tcPr>
            <w:tcW w:w="0" w:type="auto"/>
            <w:shd w:val="clear" w:color="auto" w:fill="DBE5F1" w:themeFill="accent1" w:themeFillTint="33"/>
            <w:vAlign w:val="center"/>
          </w:tcPr>
          <w:p w14:paraId="77FA5A6F"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214</w:t>
            </w:r>
          </w:p>
        </w:tc>
        <w:tc>
          <w:tcPr>
            <w:tcW w:w="0" w:type="auto"/>
            <w:shd w:val="clear" w:color="auto" w:fill="DBE5F1" w:themeFill="accent1" w:themeFillTint="33"/>
            <w:vAlign w:val="center"/>
          </w:tcPr>
          <w:p w14:paraId="5A6C544D" w14:textId="5B2488B5" w:rsidR="00F32E6C" w:rsidRPr="00355A41" w:rsidRDefault="00DA661E" w:rsidP="004932BB">
            <w:pPr>
              <w:pStyle w:val="Text1"/>
              <w:spacing w:after="0"/>
              <w:ind w:left="0"/>
              <w:jc w:val="center"/>
              <w:rPr>
                <w:noProof/>
                <w:sz w:val="18"/>
                <w:szCs w:val="18"/>
                <w:lang w:val="en-IE"/>
              </w:rPr>
            </w:pPr>
            <w:r w:rsidRPr="00DA661E">
              <w:rPr>
                <w:noProof/>
                <w:sz w:val="18"/>
                <w:szCs w:val="18"/>
              </w:rPr>
              <w:t>222</w:t>
            </w:r>
          </w:p>
        </w:tc>
        <w:tc>
          <w:tcPr>
            <w:tcW w:w="0" w:type="auto"/>
            <w:shd w:val="clear" w:color="auto" w:fill="F2F2F2" w:themeFill="background1" w:themeFillShade="F2"/>
            <w:vAlign w:val="center"/>
          </w:tcPr>
          <w:p w14:paraId="08EAF11B" w14:textId="77777777" w:rsidR="00F32E6C" w:rsidRPr="00355A41" w:rsidRDefault="00F32E6C" w:rsidP="00893D4D">
            <w:pPr>
              <w:pStyle w:val="Text1"/>
              <w:spacing w:after="0"/>
              <w:jc w:val="center"/>
              <w:rPr>
                <w:noProof/>
                <w:sz w:val="18"/>
                <w:szCs w:val="18"/>
                <w:lang w:val="en-IE"/>
              </w:rPr>
            </w:pPr>
          </w:p>
        </w:tc>
      </w:tr>
      <w:tr w:rsidR="00E946AD" w:rsidRPr="00355A41" w14:paraId="06B5882D" w14:textId="77777777" w:rsidTr="004932BB">
        <w:tc>
          <w:tcPr>
            <w:tcW w:w="1608" w:type="dxa"/>
          </w:tcPr>
          <w:p w14:paraId="31B469A1" w14:textId="77777777" w:rsidR="00F32E6C" w:rsidRPr="00893D4D" w:rsidRDefault="00F32E6C" w:rsidP="00893D4D">
            <w:pPr>
              <w:pStyle w:val="Text1"/>
              <w:spacing w:after="0"/>
              <w:ind w:left="0"/>
              <w:jc w:val="left"/>
              <w:rPr>
                <w:noProof/>
                <w:sz w:val="18"/>
                <w:szCs w:val="18"/>
                <w:lang w:val="en-IE"/>
              </w:rPr>
            </w:pPr>
            <w:r w:rsidRPr="00893D4D">
              <w:rPr>
                <w:noProof/>
                <w:sz w:val="18"/>
                <w:szCs w:val="18"/>
                <w:lang w:val="en-IE"/>
              </w:rPr>
              <w:t>% of DC benefitting from the option</w:t>
            </w:r>
          </w:p>
        </w:tc>
        <w:tc>
          <w:tcPr>
            <w:tcW w:w="0" w:type="auto"/>
            <w:vAlign w:val="center"/>
          </w:tcPr>
          <w:p w14:paraId="71451BCE"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0%</w:t>
            </w:r>
          </w:p>
        </w:tc>
        <w:tc>
          <w:tcPr>
            <w:tcW w:w="0" w:type="auto"/>
            <w:vAlign w:val="center"/>
          </w:tcPr>
          <w:p w14:paraId="03489145"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0%</w:t>
            </w:r>
          </w:p>
        </w:tc>
        <w:tc>
          <w:tcPr>
            <w:tcW w:w="0" w:type="auto"/>
            <w:vAlign w:val="center"/>
          </w:tcPr>
          <w:p w14:paraId="11F9B90B"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5%</w:t>
            </w:r>
          </w:p>
        </w:tc>
        <w:tc>
          <w:tcPr>
            <w:tcW w:w="0" w:type="auto"/>
            <w:vAlign w:val="center"/>
          </w:tcPr>
          <w:p w14:paraId="343C9E96"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10%</w:t>
            </w:r>
          </w:p>
        </w:tc>
        <w:tc>
          <w:tcPr>
            <w:tcW w:w="0" w:type="auto"/>
            <w:vAlign w:val="center"/>
          </w:tcPr>
          <w:p w14:paraId="149CA4D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15%</w:t>
            </w:r>
          </w:p>
        </w:tc>
        <w:tc>
          <w:tcPr>
            <w:tcW w:w="0" w:type="auto"/>
            <w:vAlign w:val="center"/>
          </w:tcPr>
          <w:p w14:paraId="586C25AB"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20%</w:t>
            </w:r>
          </w:p>
        </w:tc>
        <w:tc>
          <w:tcPr>
            <w:tcW w:w="0" w:type="auto"/>
            <w:vAlign w:val="center"/>
          </w:tcPr>
          <w:p w14:paraId="47EDE3FE"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25%</w:t>
            </w:r>
          </w:p>
        </w:tc>
        <w:tc>
          <w:tcPr>
            <w:tcW w:w="0" w:type="auto"/>
            <w:vAlign w:val="center"/>
          </w:tcPr>
          <w:p w14:paraId="0C505D1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30%</w:t>
            </w:r>
          </w:p>
        </w:tc>
        <w:tc>
          <w:tcPr>
            <w:tcW w:w="0" w:type="auto"/>
            <w:vAlign w:val="center"/>
          </w:tcPr>
          <w:p w14:paraId="020F2E32"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35%</w:t>
            </w:r>
          </w:p>
        </w:tc>
        <w:tc>
          <w:tcPr>
            <w:tcW w:w="0" w:type="auto"/>
            <w:vAlign w:val="center"/>
          </w:tcPr>
          <w:p w14:paraId="1B6BDF8D"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40%</w:t>
            </w:r>
          </w:p>
        </w:tc>
        <w:tc>
          <w:tcPr>
            <w:tcW w:w="0" w:type="auto"/>
            <w:vAlign w:val="center"/>
          </w:tcPr>
          <w:p w14:paraId="146BDE39"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45%</w:t>
            </w:r>
          </w:p>
        </w:tc>
        <w:tc>
          <w:tcPr>
            <w:tcW w:w="0" w:type="auto"/>
            <w:vAlign w:val="center"/>
          </w:tcPr>
          <w:p w14:paraId="0938EB74" w14:textId="77777777" w:rsidR="00F32E6C" w:rsidRPr="00355A41" w:rsidRDefault="00F32E6C" w:rsidP="004932BB">
            <w:pPr>
              <w:pStyle w:val="Text1"/>
              <w:spacing w:after="0"/>
              <w:ind w:left="0"/>
              <w:jc w:val="center"/>
              <w:rPr>
                <w:noProof/>
                <w:sz w:val="18"/>
                <w:szCs w:val="18"/>
                <w:lang w:val="en-IE"/>
              </w:rPr>
            </w:pPr>
            <w:r w:rsidRPr="00DA029C">
              <w:rPr>
                <w:noProof/>
                <w:sz w:val="18"/>
                <w:szCs w:val="18"/>
              </w:rPr>
              <w:t>50%</w:t>
            </w:r>
          </w:p>
        </w:tc>
        <w:tc>
          <w:tcPr>
            <w:tcW w:w="0" w:type="auto"/>
            <w:shd w:val="clear" w:color="auto" w:fill="F2F2F2" w:themeFill="background1" w:themeFillShade="F2"/>
            <w:vAlign w:val="center"/>
          </w:tcPr>
          <w:p w14:paraId="67AD8433" w14:textId="77777777" w:rsidR="00F32E6C" w:rsidRPr="00355A41" w:rsidRDefault="00F32E6C" w:rsidP="00893D4D">
            <w:pPr>
              <w:pStyle w:val="Text1"/>
              <w:spacing w:after="0"/>
              <w:jc w:val="center"/>
              <w:rPr>
                <w:noProof/>
                <w:sz w:val="18"/>
                <w:szCs w:val="18"/>
                <w:lang w:val="en-IE"/>
              </w:rPr>
            </w:pPr>
          </w:p>
        </w:tc>
      </w:tr>
      <w:tr w:rsidR="00960E98" w:rsidRPr="00355A41" w14:paraId="67890735" w14:textId="77777777" w:rsidTr="004932BB">
        <w:tc>
          <w:tcPr>
            <w:tcW w:w="1608" w:type="dxa"/>
            <w:shd w:val="clear" w:color="auto" w:fill="DBE5F1" w:themeFill="accent1" w:themeFillTint="33"/>
          </w:tcPr>
          <w:p w14:paraId="7D35CC2F" w14:textId="77777777" w:rsidR="00E91626" w:rsidRPr="00893D4D" w:rsidRDefault="00E91626" w:rsidP="00E91626">
            <w:pPr>
              <w:pStyle w:val="Text1"/>
              <w:spacing w:after="0"/>
              <w:ind w:left="0"/>
              <w:jc w:val="left"/>
              <w:rPr>
                <w:noProof/>
                <w:sz w:val="18"/>
                <w:szCs w:val="18"/>
                <w:lang w:val="en-IE"/>
              </w:rPr>
            </w:pPr>
            <w:r w:rsidRPr="00893D4D">
              <w:rPr>
                <w:noProof/>
                <w:sz w:val="18"/>
                <w:szCs w:val="18"/>
                <w:lang w:val="en-IE"/>
              </w:rPr>
              <w:t>No. DC benefitting from the option</w:t>
            </w:r>
          </w:p>
        </w:tc>
        <w:tc>
          <w:tcPr>
            <w:tcW w:w="0" w:type="auto"/>
            <w:shd w:val="clear" w:color="auto" w:fill="DBE5F1" w:themeFill="accent1" w:themeFillTint="33"/>
            <w:vAlign w:val="center"/>
          </w:tcPr>
          <w:p w14:paraId="13E71CDD" w14:textId="1F4B11A1" w:rsidR="00E91626" w:rsidRPr="00355A41" w:rsidRDefault="00E91626" w:rsidP="004932BB">
            <w:pPr>
              <w:pStyle w:val="Text1"/>
              <w:spacing w:after="0"/>
              <w:ind w:left="0"/>
              <w:jc w:val="center"/>
              <w:rPr>
                <w:noProof/>
                <w:sz w:val="18"/>
                <w:szCs w:val="18"/>
                <w:lang w:val="en-IE"/>
              </w:rPr>
            </w:pPr>
          </w:p>
        </w:tc>
        <w:tc>
          <w:tcPr>
            <w:tcW w:w="0" w:type="auto"/>
            <w:shd w:val="clear" w:color="auto" w:fill="DBE5F1" w:themeFill="accent1" w:themeFillTint="33"/>
            <w:vAlign w:val="center"/>
          </w:tcPr>
          <w:p w14:paraId="244B1271"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0</w:t>
            </w:r>
          </w:p>
        </w:tc>
        <w:tc>
          <w:tcPr>
            <w:tcW w:w="0" w:type="auto"/>
            <w:shd w:val="clear" w:color="auto" w:fill="DBE5F1" w:themeFill="accent1" w:themeFillTint="33"/>
            <w:vAlign w:val="center"/>
          </w:tcPr>
          <w:p w14:paraId="6F0F4FD1"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13</w:t>
            </w:r>
          </w:p>
        </w:tc>
        <w:tc>
          <w:tcPr>
            <w:tcW w:w="0" w:type="auto"/>
            <w:shd w:val="clear" w:color="auto" w:fill="DBE5F1" w:themeFill="accent1" w:themeFillTint="33"/>
            <w:vAlign w:val="center"/>
          </w:tcPr>
          <w:p w14:paraId="3975EBCE"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28</w:t>
            </w:r>
          </w:p>
        </w:tc>
        <w:tc>
          <w:tcPr>
            <w:tcW w:w="0" w:type="auto"/>
            <w:shd w:val="clear" w:color="auto" w:fill="DBE5F1" w:themeFill="accent1" w:themeFillTint="33"/>
            <w:vAlign w:val="center"/>
          </w:tcPr>
          <w:p w14:paraId="7BE40072"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48</w:t>
            </w:r>
          </w:p>
        </w:tc>
        <w:tc>
          <w:tcPr>
            <w:tcW w:w="0" w:type="auto"/>
            <w:shd w:val="clear" w:color="auto" w:fill="DBE5F1" w:themeFill="accent1" w:themeFillTint="33"/>
            <w:vAlign w:val="center"/>
          </w:tcPr>
          <w:p w14:paraId="74F2019C"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72</w:t>
            </w:r>
          </w:p>
        </w:tc>
        <w:tc>
          <w:tcPr>
            <w:tcW w:w="0" w:type="auto"/>
            <w:shd w:val="clear" w:color="auto" w:fill="DBE5F1" w:themeFill="accent1" w:themeFillTint="33"/>
            <w:vAlign w:val="center"/>
          </w:tcPr>
          <w:p w14:paraId="0334A29B"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81</w:t>
            </w:r>
          </w:p>
        </w:tc>
        <w:tc>
          <w:tcPr>
            <w:tcW w:w="0" w:type="auto"/>
            <w:shd w:val="clear" w:color="auto" w:fill="DBE5F1" w:themeFill="accent1" w:themeFillTint="33"/>
            <w:vAlign w:val="center"/>
          </w:tcPr>
          <w:p w14:paraId="154EBB33"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89</w:t>
            </w:r>
          </w:p>
        </w:tc>
        <w:tc>
          <w:tcPr>
            <w:tcW w:w="0" w:type="auto"/>
            <w:shd w:val="clear" w:color="auto" w:fill="DBE5F1" w:themeFill="accent1" w:themeFillTint="33"/>
            <w:vAlign w:val="center"/>
          </w:tcPr>
          <w:p w14:paraId="0870516D"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94</w:t>
            </w:r>
          </w:p>
        </w:tc>
        <w:tc>
          <w:tcPr>
            <w:tcW w:w="0" w:type="auto"/>
            <w:shd w:val="clear" w:color="auto" w:fill="DBE5F1" w:themeFill="accent1" w:themeFillTint="33"/>
            <w:vAlign w:val="center"/>
          </w:tcPr>
          <w:p w14:paraId="57F06810"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96</w:t>
            </w:r>
          </w:p>
        </w:tc>
        <w:tc>
          <w:tcPr>
            <w:tcW w:w="0" w:type="auto"/>
            <w:shd w:val="clear" w:color="auto" w:fill="DBE5F1" w:themeFill="accent1" w:themeFillTint="33"/>
            <w:vAlign w:val="center"/>
          </w:tcPr>
          <w:p w14:paraId="3CD500C2" w14:textId="77777777" w:rsidR="00E91626" w:rsidRPr="00340A97" w:rsidRDefault="00E91626" w:rsidP="004932BB">
            <w:pPr>
              <w:pStyle w:val="Text1"/>
              <w:spacing w:after="0"/>
              <w:ind w:left="0"/>
              <w:jc w:val="center"/>
              <w:rPr>
                <w:b/>
                <w:noProof/>
                <w:sz w:val="18"/>
                <w:szCs w:val="14"/>
                <w:lang w:val="en-IE"/>
              </w:rPr>
            </w:pPr>
            <w:r w:rsidRPr="00340A97">
              <w:rPr>
                <w:b/>
                <w:noProof/>
                <w:sz w:val="18"/>
                <w:szCs w:val="14"/>
              </w:rPr>
              <w:t>96</w:t>
            </w:r>
          </w:p>
        </w:tc>
        <w:tc>
          <w:tcPr>
            <w:tcW w:w="0" w:type="auto"/>
            <w:shd w:val="clear" w:color="auto" w:fill="DBE5F1" w:themeFill="accent1" w:themeFillTint="33"/>
            <w:vAlign w:val="center"/>
          </w:tcPr>
          <w:p w14:paraId="528AEF3D" w14:textId="28752314" w:rsidR="00E91626" w:rsidRPr="00340A97" w:rsidRDefault="00E91626" w:rsidP="004932BB">
            <w:pPr>
              <w:pStyle w:val="Text1"/>
              <w:spacing w:after="0"/>
              <w:ind w:left="0"/>
              <w:jc w:val="center"/>
              <w:rPr>
                <w:b/>
                <w:noProof/>
                <w:sz w:val="18"/>
                <w:szCs w:val="14"/>
                <w:lang w:val="en-IE"/>
              </w:rPr>
            </w:pPr>
            <w:r w:rsidRPr="00340A97">
              <w:rPr>
                <w:b/>
                <w:bCs/>
                <w:noProof/>
                <w:sz w:val="18"/>
                <w:szCs w:val="14"/>
              </w:rPr>
              <w:t>111</w:t>
            </w:r>
          </w:p>
        </w:tc>
        <w:tc>
          <w:tcPr>
            <w:tcW w:w="0" w:type="auto"/>
            <w:shd w:val="clear" w:color="auto" w:fill="F2F2F2" w:themeFill="background1" w:themeFillShade="F2"/>
            <w:vAlign w:val="center"/>
          </w:tcPr>
          <w:p w14:paraId="3708CC0E" w14:textId="77777777" w:rsidR="00E91626" w:rsidRPr="00355A41" w:rsidRDefault="00E91626" w:rsidP="00E91626">
            <w:pPr>
              <w:pStyle w:val="Text1"/>
              <w:spacing w:after="0"/>
              <w:jc w:val="center"/>
              <w:rPr>
                <w:noProof/>
                <w:sz w:val="18"/>
                <w:szCs w:val="18"/>
                <w:lang w:val="en-IE"/>
              </w:rPr>
            </w:pPr>
          </w:p>
        </w:tc>
      </w:tr>
    </w:tbl>
    <w:p w14:paraId="27D5FCA3" w14:textId="77777777" w:rsidR="00210DA9" w:rsidRPr="003401EC" w:rsidRDefault="00210DA9" w:rsidP="006C14F6">
      <w:pPr>
        <w:pStyle w:val="Text1"/>
        <w:ind w:left="0"/>
        <w:rPr>
          <w:noProof/>
          <w:lang w:val="en-IE"/>
        </w:rPr>
      </w:pPr>
    </w:p>
    <w:p w14:paraId="13AF2FF6" w14:textId="77777777" w:rsidR="00BA30B9" w:rsidRPr="00BA30B9" w:rsidRDefault="00BA30B9" w:rsidP="00BA490B">
      <w:pPr>
        <w:pStyle w:val="Heading3"/>
        <w:numPr>
          <w:ilvl w:val="2"/>
          <w:numId w:val="108"/>
        </w:numPr>
        <w:ind w:left="1872"/>
        <w:rPr>
          <w:noProof/>
        </w:rPr>
      </w:pPr>
      <w:bookmarkStart w:id="137" w:name="_Toc208595296"/>
      <w:bookmarkStart w:id="138" w:name="_Toc208836921"/>
      <w:bookmarkStart w:id="139" w:name="_Ref213414573"/>
      <w:bookmarkStart w:id="140" w:name="_Ref213422943"/>
      <w:bookmarkStart w:id="141" w:name="_Ref213423736"/>
      <w:bookmarkStart w:id="142" w:name="_Toc214519694"/>
      <w:r w:rsidRPr="00BA30B9">
        <w:rPr>
          <w:noProof/>
        </w:rPr>
        <w:t>Impact modelling</w:t>
      </w:r>
      <w:bookmarkEnd w:id="137"/>
      <w:bookmarkEnd w:id="138"/>
      <w:bookmarkEnd w:id="139"/>
      <w:bookmarkEnd w:id="140"/>
      <w:bookmarkEnd w:id="141"/>
      <w:bookmarkEnd w:id="142"/>
      <w:r w:rsidRPr="00BA30B9">
        <w:rPr>
          <w:noProof/>
        </w:rPr>
        <w:t xml:space="preserve"> </w:t>
      </w:r>
    </w:p>
    <w:p w14:paraId="42CFA797" w14:textId="3EB59674" w:rsidR="00BA30B9" w:rsidRPr="004465BE" w:rsidRDefault="00BA30B9" w:rsidP="000275CB">
      <w:pPr>
        <w:spacing w:before="240" w:after="120"/>
        <w:rPr>
          <w:noProof/>
        </w:rPr>
      </w:pPr>
      <w:r w:rsidRPr="004465BE">
        <w:rPr>
          <w:noProof/>
        </w:rPr>
        <w:t>In order to evaluate the impact of each policy option (PO1-A, PO1-B, PO1-C), a Discounted Cash Flow (DCF) model has been carried out, for a single data centre, starting at 13 MW capacity in 2025</w:t>
      </w:r>
      <w:r>
        <w:rPr>
          <w:noProof/>
        </w:rPr>
        <w:t xml:space="preserve">, based on the estimations calculated </w:t>
      </w:r>
      <w:r w:rsidR="00D95634">
        <w:rPr>
          <w:noProof/>
        </w:rPr>
        <w:t xml:space="preserve">by </w:t>
      </w:r>
      <w:r w:rsidR="00E805AD" w:rsidRPr="008D0BAC">
        <w:rPr>
          <w:noProof/>
          <w:lang w:val="en-IE"/>
        </w:rPr>
        <w:t>Technopolis et al. (2025</w:t>
      </w:r>
      <w:r w:rsidR="0026231B">
        <w:rPr>
          <w:noProof/>
          <w:lang w:val="en-IE"/>
        </w:rPr>
        <w:t>)</w:t>
      </w:r>
      <w:r w:rsidRPr="004465BE">
        <w:rPr>
          <w:noProof/>
        </w:rPr>
        <w:t>.</w:t>
      </w:r>
    </w:p>
    <w:p w14:paraId="592DDE70" w14:textId="77777777" w:rsidR="0076259A" w:rsidRPr="007A681B" w:rsidRDefault="0076259A" w:rsidP="008D0BAC">
      <w:pPr>
        <w:spacing w:after="120"/>
        <w:rPr>
          <w:rFonts w:eastAsia="Aptos"/>
          <w:noProof/>
        </w:rPr>
      </w:pPr>
      <w:r w:rsidRPr="007A681B">
        <w:rPr>
          <w:rFonts w:eastAsia="Aptos"/>
          <w:noProof/>
        </w:rPr>
        <w:t>A dual approach has been used, including a company-level DCF (calculating the Weighted Average Cost of Capital (WACC) through a build-up methodology) and an external benchmarking at the MS-level (using WACC averages found in the literature for each MS</w:t>
      </w:r>
      <w:r w:rsidRPr="007A681B">
        <w:rPr>
          <w:rFonts w:eastAsia="Aptos"/>
          <w:noProof/>
          <w:vertAlign w:val="superscript"/>
        </w:rPr>
        <w:footnoteReference w:id="28"/>
      </w:r>
      <w:r w:rsidRPr="007A681B">
        <w:rPr>
          <w:rFonts w:eastAsia="Aptos"/>
          <w:noProof/>
        </w:rPr>
        <w:t>), to ensure that the DCF analysis is both methodologically rigorous and relevant for policymakers.</w:t>
      </w:r>
    </w:p>
    <w:p w14:paraId="4FBB5D81" w14:textId="18EA7F17" w:rsidR="0076259A" w:rsidRPr="007A681B" w:rsidRDefault="0076259A" w:rsidP="008D0BAC">
      <w:pPr>
        <w:spacing w:after="120"/>
        <w:rPr>
          <w:rFonts w:eastAsia="Aptos"/>
          <w:noProof/>
        </w:rPr>
      </w:pPr>
      <w:r w:rsidRPr="007A681B">
        <w:rPr>
          <w:rFonts w:eastAsia="Aptos"/>
          <w:noProof/>
        </w:rPr>
        <w:t xml:space="preserve">Firstly, a company level DCF has been carried out, extracting companies investing and operating data centres from </w:t>
      </w:r>
      <w:r w:rsidR="00177D41">
        <w:rPr>
          <w:rFonts w:eastAsia="Aptos"/>
          <w:noProof/>
        </w:rPr>
        <w:t>Data Centre Map</w:t>
      </w:r>
      <w:r w:rsidR="00177D41">
        <w:rPr>
          <w:rStyle w:val="FootnoteReference"/>
          <w:noProof/>
        </w:rPr>
        <w:footnoteReference w:id="29"/>
      </w:r>
      <w:r w:rsidRPr="007A681B">
        <w:rPr>
          <w:rFonts w:eastAsia="Aptos"/>
          <w:noProof/>
        </w:rPr>
        <w:t>. The following data has been extracted from companies when publicly available: WACC (if available), Cost of equity, Cost of debt, D/E ratio and beta. For private companies i.e., companies whose financial data are not publicly available, the Build-up model has been used to estimate the WACC factors.</w:t>
      </w:r>
    </w:p>
    <w:p w14:paraId="61FF1080" w14:textId="77777777" w:rsidR="0076259A" w:rsidRDefault="0076259A" w:rsidP="008D0BAC">
      <w:pPr>
        <w:spacing w:after="120"/>
        <w:rPr>
          <w:rFonts w:eastAsia="Aptos"/>
          <w:noProof/>
          <w:color w:val="000000"/>
          <w:sz w:val="20"/>
          <w:szCs w:val="18"/>
        </w:rPr>
      </w:pPr>
      <w:r w:rsidRPr="007A681B">
        <w:rPr>
          <w:rFonts w:eastAsia="Aptos"/>
          <w:bCs/>
          <w:iCs/>
          <w:noProof/>
          <w:color w:val="000000"/>
        </w:rPr>
        <w:t>The same analysis has been performed at the MS level, using WACC averages found in the literature. The following parameters have been gathered up or estimated for a 13 MW data centre: CAPEX, OPEX (using the energy consumption as a proxy), total revenues (fixing the expected EBITDA margin​ and power provisioning charged to customers has been kept in an average 165 €/kW/month</w:t>
      </w:r>
      <w:r w:rsidRPr="007A681B">
        <w:rPr>
          <w:rFonts w:eastAsia="Aptos"/>
          <w:bCs/>
          <w:iCs/>
          <w:noProof/>
          <w:color w:val="000000"/>
          <w:vertAlign w:val="superscript"/>
        </w:rPr>
        <w:footnoteReference w:id="30"/>
      </w:r>
      <w:r w:rsidRPr="007A681B">
        <w:rPr>
          <w:rFonts w:eastAsia="Aptos"/>
          <w:bCs/>
          <w:iCs/>
          <w:noProof/>
          <w:color w:val="000000"/>
        </w:rPr>
        <w:t xml:space="preserve"> </w:t>
      </w:r>
      <w:r w:rsidRPr="007A681B">
        <w:rPr>
          <w:rFonts w:eastAsia="Aptos"/>
          <w:bCs/>
          <w:iCs/>
          <w:noProof/>
          <w:color w:val="000000"/>
          <w:vertAlign w:val="superscript"/>
        </w:rPr>
        <w:footnoteReference w:id="31"/>
      </w:r>
      <w:r w:rsidRPr="007A681B">
        <w:rPr>
          <w:rFonts w:eastAsia="Aptos"/>
          <w:bCs/>
          <w:iCs/>
          <w:noProof/>
          <w:color w:val="000000"/>
        </w:rPr>
        <w:t>) and corporate tax rate</w:t>
      </w:r>
      <w:r w:rsidRPr="004A1EDB">
        <w:rPr>
          <w:rFonts w:eastAsia="Aptos"/>
          <w:bCs/>
          <w:iCs/>
          <w:noProof/>
          <w:color w:val="000000"/>
          <w:sz w:val="20"/>
          <w:szCs w:val="18"/>
          <w:vertAlign w:val="superscript"/>
        </w:rPr>
        <w:footnoteReference w:id="32"/>
      </w:r>
      <w:r w:rsidRPr="004A1EDB">
        <w:rPr>
          <w:rFonts w:eastAsia="Aptos"/>
          <w:bCs/>
          <w:iCs/>
          <w:noProof/>
          <w:color w:val="000000"/>
          <w:sz w:val="20"/>
          <w:szCs w:val="18"/>
        </w:rPr>
        <w:t>.</w:t>
      </w:r>
    </w:p>
    <w:p w14:paraId="4FB3B427" w14:textId="6E0F38E9" w:rsidR="002C737B" w:rsidRPr="000275CB" w:rsidRDefault="002C737B" w:rsidP="000275CB">
      <w:pPr>
        <w:pStyle w:val="Caption"/>
        <w:jc w:val="both"/>
        <w:rPr>
          <w:b w:val="0"/>
          <w:noProof/>
          <w:sz w:val="24"/>
          <w:szCs w:val="22"/>
        </w:rPr>
      </w:pPr>
      <w:r w:rsidRPr="00D46B6E">
        <w:rPr>
          <w:b w:val="0"/>
          <w:bCs/>
          <w:iCs w:val="0"/>
          <w:noProof/>
          <w:sz w:val="24"/>
          <w:szCs w:val="22"/>
        </w:rPr>
        <w:t xml:space="preserve">Energy price volatility and country-specific dynamics have been partly reflected in the model’s calibration. </w:t>
      </w:r>
      <w:r w:rsidRPr="001D1F3D">
        <w:rPr>
          <w:b w:val="0"/>
          <w:bCs/>
          <w:iCs w:val="0"/>
          <w:noProof/>
          <w:sz w:val="24"/>
          <w:szCs w:val="22"/>
        </w:rPr>
        <w:t xml:space="preserve">Electricity prices </w:t>
      </w:r>
      <w:r>
        <w:rPr>
          <w:b w:val="0"/>
          <w:bCs/>
          <w:iCs w:val="0"/>
          <w:noProof/>
          <w:sz w:val="24"/>
          <w:szCs w:val="22"/>
        </w:rPr>
        <w:t xml:space="preserve">used to calculate operational expenses for data centres in the discounted cash flow model have been </w:t>
      </w:r>
      <w:r w:rsidRPr="001D1F3D">
        <w:rPr>
          <w:b w:val="0"/>
          <w:bCs/>
          <w:iCs w:val="0"/>
          <w:noProof/>
          <w:sz w:val="24"/>
          <w:szCs w:val="22"/>
        </w:rPr>
        <w:t xml:space="preserve">based on non-household prices from Eurostat data and adjusted to reflect the two sourcing models identified in the CATI survey, i.e. grid supply and power purchase agreements (PPA), using a 40/60 mix. This includes declining prices driven by increasing renewable penetration, stable PPA prices for new contracts and stable network charges and non-recoverable taxes and levies. Volatility </w:t>
      </w:r>
      <w:r>
        <w:rPr>
          <w:b w:val="0"/>
          <w:bCs/>
          <w:iCs w:val="0"/>
          <w:noProof/>
          <w:sz w:val="24"/>
          <w:szCs w:val="22"/>
        </w:rPr>
        <w:t>has been</w:t>
      </w:r>
      <w:r w:rsidRPr="001D1F3D">
        <w:rPr>
          <w:b w:val="0"/>
          <w:bCs/>
          <w:iCs w:val="0"/>
          <w:noProof/>
          <w:sz w:val="24"/>
          <w:szCs w:val="22"/>
        </w:rPr>
        <w:t xml:space="preserve"> captured through these time-varying trajectories.</w:t>
      </w:r>
    </w:p>
    <w:p w14:paraId="1128FB42" w14:textId="77777777" w:rsidR="0076259A" w:rsidRPr="007A681B" w:rsidRDefault="0076259A" w:rsidP="008D0BAC">
      <w:pPr>
        <w:spacing w:after="120"/>
        <w:rPr>
          <w:rFonts w:eastAsia="Aptos"/>
          <w:noProof/>
        </w:rPr>
      </w:pPr>
      <w:r w:rsidRPr="007A681B">
        <w:rPr>
          <w:rFonts w:eastAsia="Aptos"/>
          <w:noProof/>
        </w:rPr>
        <w:t>The DCF for a 13 MW project has been then performed as a European average and for each country under study, with the following assumptions:</w:t>
      </w:r>
    </w:p>
    <w:p w14:paraId="6C3BD702" w14:textId="77777777" w:rsidR="0076259A" w:rsidRPr="0007748B" w:rsidRDefault="0076259A" w:rsidP="00744B72">
      <w:pPr>
        <w:pStyle w:val="ListParagraph"/>
        <w:numPr>
          <w:ilvl w:val="0"/>
          <w:numId w:val="42"/>
        </w:numPr>
        <w:spacing w:after="80"/>
        <w:rPr>
          <w:rFonts w:eastAsia="Aptos"/>
          <w:noProof/>
          <w:kern w:val="2"/>
          <w:lang w:val="en-IE"/>
          <w14:ligatures w14:val="standardContextual"/>
        </w:rPr>
      </w:pPr>
      <w:r w:rsidRPr="0007748B">
        <w:rPr>
          <w:rFonts w:eastAsia="Aptos"/>
          <w:noProof/>
          <w:kern w:val="2"/>
          <w:lang w:val="en-IE"/>
          <w14:ligatures w14:val="standardContextual"/>
        </w:rPr>
        <w:t>IT CAPEX is disbursed in two phases of 7 and 6MW capacity.</w:t>
      </w:r>
    </w:p>
    <w:p w14:paraId="4EB4653B" w14:textId="77777777" w:rsidR="0076259A" w:rsidRPr="0007748B" w:rsidRDefault="0076259A" w:rsidP="00744B72">
      <w:pPr>
        <w:pStyle w:val="ListParagraph"/>
        <w:numPr>
          <w:ilvl w:val="0"/>
          <w:numId w:val="42"/>
        </w:numPr>
        <w:spacing w:after="80"/>
        <w:rPr>
          <w:rFonts w:eastAsia="Aptos"/>
          <w:noProof/>
          <w:kern w:val="2"/>
          <w:lang w:val="en-IE"/>
          <w14:ligatures w14:val="standardContextual"/>
        </w:rPr>
      </w:pPr>
      <w:r w:rsidRPr="0007748B">
        <w:rPr>
          <w:rFonts w:eastAsia="Aptos"/>
          <w:noProof/>
          <w:kern w:val="2"/>
          <w:lang w:val="en-IE"/>
          <w14:ligatures w14:val="standardContextual"/>
        </w:rPr>
        <w:t>Ramp up period: the capacity utilisation is adjusted in the first 3 years of the operations: 3 years (50% year 1, 75% year 2, 100%-year 3+).</w:t>
      </w:r>
    </w:p>
    <w:p w14:paraId="799C6BDC" w14:textId="77777777" w:rsidR="0076259A" w:rsidRPr="0007748B" w:rsidRDefault="0076259A" w:rsidP="00744B72">
      <w:pPr>
        <w:pStyle w:val="ListParagraph"/>
        <w:numPr>
          <w:ilvl w:val="0"/>
          <w:numId w:val="42"/>
        </w:numPr>
        <w:spacing w:after="80"/>
        <w:rPr>
          <w:rFonts w:eastAsia="Aptos"/>
          <w:noProof/>
          <w:kern w:val="2"/>
          <w:lang w:val="en-IE"/>
          <w14:ligatures w14:val="standardContextual"/>
        </w:rPr>
      </w:pPr>
      <w:r w:rsidRPr="0007748B">
        <w:rPr>
          <w:rFonts w:eastAsia="Aptos"/>
          <w:noProof/>
          <w:kern w:val="2"/>
          <w:lang w:val="en-IE"/>
          <w14:ligatures w14:val="standardContextual"/>
        </w:rPr>
        <w:t>Depreciation of the construction is 15 years distributed equally while IT CAPEX presents different depreciation periods. Maintenance CAPEX has been calculated as a 3% of the total construction CAPEX yearly.</w:t>
      </w:r>
    </w:p>
    <w:p w14:paraId="199A55FE" w14:textId="2CD49861" w:rsidR="0076259A" w:rsidRPr="00B15A32" w:rsidRDefault="0076259A" w:rsidP="000275CB">
      <w:pPr>
        <w:pStyle w:val="ListParagraph"/>
        <w:numPr>
          <w:ilvl w:val="0"/>
          <w:numId w:val="42"/>
        </w:numPr>
        <w:spacing w:after="120"/>
        <w:ind w:left="357" w:hanging="357"/>
        <w:contextualSpacing w:val="0"/>
        <w:rPr>
          <w:rFonts w:ascii="Century Gothic" w:eastAsia="Aptos" w:hAnsi="Century Gothic"/>
          <w:noProof/>
          <w:sz w:val="20"/>
          <w:szCs w:val="16"/>
        </w:rPr>
      </w:pPr>
      <w:r w:rsidRPr="0007748B">
        <w:rPr>
          <w:rFonts w:eastAsia="Aptos"/>
          <w:noProof/>
          <w:kern w:val="2"/>
          <w:lang w:val="en-IE"/>
          <w14:ligatures w14:val="standardContextual"/>
        </w:rPr>
        <w:t>The DCF has been presented for the first 10 years of project, using the Gordon Growth model to calculate the Terminal value (an average 2% perpetual growth rate has been considered for all countries).</w:t>
      </w:r>
    </w:p>
    <w:p w14:paraId="335D20AD" w14:textId="16666B83" w:rsidR="00BA30B9" w:rsidRDefault="0076259A" w:rsidP="000275CB">
      <w:pPr>
        <w:spacing w:before="120" w:after="120"/>
        <w:rPr>
          <w:noProof/>
        </w:rPr>
      </w:pPr>
      <w:r w:rsidRPr="007A681B">
        <w:rPr>
          <w:rFonts w:eastAsia="Aptos"/>
          <w:noProof/>
        </w:rPr>
        <w:t>As mentioned above, the WACC used has been taken from the BEREC report that uses the methodology defined by the European Commission Notice of 2019 for consistent WACC calculations across EU national regulatory authorities and supports regulatory pricing decisions in the electronic communications infrastructure sector including data centres</w:t>
      </w:r>
      <w:r w:rsidRPr="007A681B">
        <w:rPr>
          <w:rFonts w:eastAsia="Aptos"/>
          <w:noProof/>
          <w:vertAlign w:val="superscript"/>
        </w:rPr>
        <w:footnoteReference w:id="33"/>
      </w:r>
      <w:r w:rsidRPr="007A681B">
        <w:rPr>
          <w:rFonts w:eastAsia="Aptos"/>
          <w:noProof/>
        </w:rPr>
        <w:t>.</w:t>
      </w:r>
    </w:p>
    <w:p w14:paraId="1A8129C1" w14:textId="34EF4A5F" w:rsidR="00CB35B6" w:rsidRDefault="007609B1" w:rsidP="001830AE">
      <w:pPr>
        <w:spacing w:after="120"/>
        <w:rPr>
          <w:rFonts w:eastAsia="Aptos"/>
          <w:noProof/>
        </w:rPr>
      </w:pPr>
      <w:r>
        <w:rPr>
          <w:rFonts w:eastAsia="Aptos"/>
          <w:noProof/>
        </w:rPr>
        <w:t xml:space="preserve">The numbers obtained under the previous section have been used </w:t>
      </w:r>
      <w:r w:rsidR="00913ED2">
        <w:rPr>
          <w:rFonts w:eastAsia="Aptos"/>
          <w:noProof/>
        </w:rPr>
        <w:t>in the DCF model to estimate net benefits</w:t>
      </w:r>
      <w:r w:rsidR="00770AF4">
        <w:rPr>
          <w:rFonts w:eastAsia="Aptos"/>
          <w:noProof/>
        </w:rPr>
        <w:t xml:space="preserve"> for data centre operators. The next present value of an average 13 MW project was calculated under the baseline scenario and under each option, varying key elements such as permitting timelines and PUE levels.</w:t>
      </w:r>
      <w:r w:rsidR="00F9548F">
        <w:rPr>
          <w:rFonts w:eastAsia="Aptos"/>
          <w:noProof/>
        </w:rPr>
        <w:t xml:space="preserve"> The NPV difference between each policy option and the </w:t>
      </w:r>
      <w:r w:rsidR="005E336B">
        <w:rPr>
          <w:rFonts w:eastAsia="Aptos"/>
          <w:noProof/>
        </w:rPr>
        <w:t>baseline</w:t>
      </w:r>
      <w:r w:rsidR="00E118B5">
        <w:rPr>
          <w:rFonts w:eastAsia="Aptos"/>
          <w:noProof/>
        </w:rPr>
        <w:t xml:space="preserve"> was then multiplied by the number of facilities expected to benefit under each option</w:t>
      </w:r>
      <w:r w:rsidR="005E39B1">
        <w:rPr>
          <w:rFonts w:eastAsia="Aptos"/>
          <w:noProof/>
        </w:rPr>
        <w:t xml:space="preserve">, as derived from the possible capacity paths. </w:t>
      </w:r>
    </w:p>
    <w:p w14:paraId="537375E1" w14:textId="0C3CD8E9" w:rsidR="009A5623" w:rsidRDefault="00960D39" w:rsidP="001830AE">
      <w:pPr>
        <w:pStyle w:val="Reply"/>
        <w:spacing w:after="120" w:line="240" w:lineRule="auto"/>
        <w:rPr>
          <w:rFonts w:eastAsia="Aptos"/>
          <w:bCs w:val="0"/>
          <w:iCs w:val="0"/>
          <w:noProof/>
          <w:kern w:val="0"/>
          <w14:ligatures w14:val="none"/>
        </w:rPr>
      </w:pPr>
      <w:r>
        <w:rPr>
          <w:rFonts w:eastAsia="Aptos"/>
          <w:bCs w:val="0"/>
          <w:iCs w:val="0"/>
          <w:noProof/>
          <w:kern w:val="0"/>
          <w14:ligatures w14:val="none"/>
        </w:rPr>
        <w:t>It is important to underline that the</w:t>
      </w:r>
      <w:r w:rsidRPr="001830AE">
        <w:rPr>
          <w:rFonts w:eastAsia="Aptos"/>
          <w:noProof/>
          <w:kern w:val="0"/>
          <w14:ligatures w14:val="none"/>
        </w:rPr>
        <w:t xml:space="preserve"> 13 MW representative data centre corresponds to the average installed capacity of data centre facilities identified in the underlying database used to construct the EU baseline. It thus reflects the observed mean of capacity distribution cross hyperscale and colocation facilities. This size is not held constant over time. As </w:t>
      </w:r>
      <w:r>
        <w:rPr>
          <w:rFonts w:eastAsia="Aptos"/>
          <w:bCs w:val="0"/>
          <w:iCs w:val="0"/>
          <w:noProof/>
          <w:kern w:val="0"/>
          <w14:ligatures w14:val="none"/>
        </w:rPr>
        <w:t>above</w:t>
      </w:r>
      <w:r w:rsidRPr="001830AE">
        <w:rPr>
          <w:rFonts w:eastAsia="Aptos"/>
          <w:noProof/>
          <w:kern w:val="0"/>
          <w14:ligatures w14:val="none"/>
        </w:rPr>
        <w:t xml:space="preserve">, the average facility size is projected to increase based on observed historical trends, thus capturing the shift towards larger, capital-intensive and possibly also AI-capable facilities. </w:t>
      </w:r>
      <w:r w:rsidR="00D50297">
        <w:rPr>
          <w:rFonts w:eastAsia="Aptos"/>
          <w:bCs w:val="0"/>
          <w:iCs w:val="0"/>
          <w:noProof/>
          <w:kern w:val="0"/>
          <w14:ligatures w14:val="none"/>
        </w:rPr>
        <w:t>It is</w:t>
      </w:r>
      <w:r w:rsidR="00103E36">
        <w:rPr>
          <w:rFonts w:eastAsia="Aptos"/>
          <w:bCs w:val="0"/>
          <w:iCs w:val="0"/>
          <w:noProof/>
          <w:kern w:val="0"/>
          <w14:ligatures w14:val="none"/>
        </w:rPr>
        <w:t xml:space="preserve"> also relevant to note that announcements of new data centre</w:t>
      </w:r>
      <w:r w:rsidR="002238FC">
        <w:rPr>
          <w:rFonts w:eastAsia="Aptos"/>
          <w:bCs w:val="0"/>
          <w:iCs w:val="0"/>
          <w:noProof/>
          <w:kern w:val="0"/>
          <w14:ligatures w14:val="none"/>
        </w:rPr>
        <w:t xml:space="preserve">s </w:t>
      </w:r>
      <w:r w:rsidR="00103E36">
        <w:rPr>
          <w:rFonts w:eastAsia="Aptos"/>
          <w:bCs w:val="0"/>
          <w:iCs w:val="0"/>
          <w:noProof/>
          <w:kern w:val="0"/>
          <w14:ligatures w14:val="none"/>
        </w:rPr>
        <w:t xml:space="preserve">with </w:t>
      </w:r>
      <w:r w:rsidR="0060142E">
        <w:rPr>
          <w:rFonts w:eastAsia="Aptos"/>
          <w:bCs w:val="0"/>
          <w:iCs w:val="0"/>
          <w:noProof/>
          <w:kern w:val="0"/>
          <w14:ligatures w14:val="none"/>
        </w:rPr>
        <w:t xml:space="preserve">200 MW+ capacity </w:t>
      </w:r>
      <w:r w:rsidR="004A190C">
        <w:rPr>
          <w:rFonts w:eastAsia="Aptos"/>
          <w:bCs w:val="0"/>
          <w:iCs w:val="0"/>
          <w:noProof/>
          <w:kern w:val="0"/>
          <w14:ligatures w14:val="none"/>
        </w:rPr>
        <w:t xml:space="preserve">are often </w:t>
      </w:r>
      <w:r w:rsidR="00511759">
        <w:rPr>
          <w:rFonts w:eastAsia="Aptos"/>
          <w:bCs w:val="0"/>
          <w:iCs w:val="0"/>
          <w:noProof/>
          <w:kern w:val="0"/>
          <w14:ligatures w14:val="none"/>
        </w:rPr>
        <w:t>planned and built as</w:t>
      </w:r>
      <w:r w:rsidR="004A190C">
        <w:rPr>
          <w:rFonts w:eastAsia="Aptos"/>
          <w:bCs w:val="0"/>
          <w:iCs w:val="0"/>
          <w:noProof/>
          <w:kern w:val="0"/>
          <w14:ligatures w14:val="none"/>
        </w:rPr>
        <w:t xml:space="preserve"> campus or cluster of multiple facilities </w:t>
      </w:r>
      <w:r w:rsidR="003A4143">
        <w:rPr>
          <w:rFonts w:eastAsia="Aptos"/>
          <w:bCs w:val="0"/>
          <w:iCs w:val="0"/>
          <w:noProof/>
          <w:kern w:val="0"/>
          <w14:ligatures w14:val="none"/>
        </w:rPr>
        <w:t>implemented as smaller units</w:t>
      </w:r>
      <w:r w:rsidR="00511759">
        <w:rPr>
          <w:rFonts w:eastAsia="Aptos"/>
          <w:bCs w:val="0"/>
          <w:iCs w:val="0"/>
          <w:noProof/>
          <w:kern w:val="0"/>
          <w14:ligatures w14:val="none"/>
        </w:rPr>
        <w:t>, e.g. of 10 to 20 MW,</w:t>
      </w:r>
      <w:r w:rsidR="003A4143">
        <w:rPr>
          <w:rFonts w:eastAsia="Aptos"/>
          <w:bCs w:val="0"/>
          <w:iCs w:val="0"/>
          <w:noProof/>
          <w:kern w:val="0"/>
          <w14:ligatures w14:val="none"/>
        </w:rPr>
        <w:t xml:space="preserve"> </w:t>
      </w:r>
      <w:r w:rsidR="004A190C">
        <w:rPr>
          <w:rFonts w:eastAsia="Aptos"/>
          <w:bCs w:val="0"/>
          <w:iCs w:val="0"/>
          <w:noProof/>
          <w:kern w:val="0"/>
          <w14:ligatures w14:val="none"/>
        </w:rPr>
        <w:t xml:space="preserve">that </w:t>
      </w:r>
      <w:r w:rsidR="003A4143">
        <w:rPr>
          <w:rFonts w:eastAsia="Aptos"/>
          <w:bCs w:val="0"/>
          <w:iCs w:val="0"/>
          <w:noProof/>
          <w:kern w:val="0"/>
          <w14:ligatures w14:val="none"/>
        </w:rPr>
        <w:t>altogether</w:t>
      </w:r>
      <w:r w:rsidR="004A190C">
        <w:rPr>
          <w:rFonts w:eastAsia="Aptos"/>
          <w:bCs w:val="0"/>
          <w:iCs w:val="0"/>
          <w:noProof/>
          <w:kern w:val="0"/>
          <w14:ligatures w14:val="none"/>
        </w:rPr>
        <w:t xml:space="preserve"> </w:t>
      </w:r>
      <w:r w:rsidR="003A4143">
        <w:rPr>
          <w:rFonts w:eastAsia="Aptos"/>
          <w:bCs w:val="0"/>
          <w:iCs w:val="0"/>
          <w:noProof/>
          <w:kern w:val="0"/>
          <w14:ligatures w14:val="none"/>
        </w:rPr>
        <w:t>compose the larger capacity, rather than a single installation.</w:t>
      </w:r>
      <w:r w:rsidR="007953CC">
        <w:rPr>
          <w:rFonts w:eastAsia="Aptos"/>
          <w:bCs w:val="0"/>
          <w:iCs w:val="0"/>
          <w:noProof/>
          <w:kern w:val="0"/>
          <w14:ligatures w14:val="none"/>
        </w:rPr>
        <w:t xml:space="preserve"> </w:t>
      </w:r>
    </w:p>
    <w:p w14:paraId="1D048BCA" w14:textId="5517D7CF" w:rsidR="00ED542F" w:rsidRPr="001830AE" w:rsidRDefault="00960D39" w:rsidP="001830AE">
      <w:pPr>
        <w:pStyle w:val="Reply"/>
        <w:spacing w:after="240" w:line="240" w:lineRule="auto"/>
        <w:rPr>
          <w:rFonts w:eastAsia="Aptos"/>
          <w:noProof/>
        </w:rPr>
      </w:pPr>
      <w:r w:rsidRPr="001830AE">
        <w:rPr>
          <w:rFonts w:eastAsia="Aptos"/>
          <w:noProof/>
          <w:kern w:val="0"/>
          <w14:ligatures w14:val="none"/>
        </w:rPr>
        <w:t>The heterogeneity</w:t>
      </w:r>
      <w:r w:rsidR="009A5623">
        <w:rPr>
          <w:rFonts w:eastAsia="Aptos"/>
          <w:bCs w:val="0"/>
          <w:iCs w:val="0"/>
          <w:noProof/>
          <w:kern w:val="0"/>
          <w14:ligatures w14:val="none"/>
        </w:rPr>
        <w:t xml:space="preserve"> in data centre</w:t>
      </w:r>
      <w:r w:rsidR="00187647">
        <w:rPr>
          <w:rFonts w:eastAsia="Aptos"/>
          <w:bCs w:val="0"/>
          <w:iCs w:val="0"/>
          <w:noProof/>
          <w:kern w:val="0"/>
          <w14:ligatures w14:val="none"/>
        </w:rPr>
        <w:t xml:space="preserve">s, e.g. </w:t>
      </w:r>
      <w:r w:rsidR="009931E0">
        <w:rPr>
          <w:rFonts w:eastAsia="Aptos"/>
          <w:bCs w:val="0"/>
          <w:iCs w:val="0"/>
          <w:noProof/>
          <w:kern w:val="0"/>
          <w14:ligatures w14:val="none"/>
        </w:rPr>
        <w:t xml:space="preserve">hyperscale facilities versus colocation operators, </w:t>
      </w:r>
      <w:r w:rsidRPr="001830AE">
        <w:rPr>
          <w:rFonts w:eastAsia="Aptos"/>
          <w:noProof/>
          <w:kern w:val="0"/>
          <w14:ligatures w14:val="none"/>
        </w:rPr>
        <w:t xml:space="preserve">has been incorporated into operating and financial parameters used to derive costs. Such differences were captured through PUE assumptions and utilisation rates, with hyperscalers operating at higher utilisation and lower PUEs than colocation centres on average. These parameters had a direct impact on electricity consumption and thus operating costs used in the Discounted Cash flow model. Similarly, </w:t>
      </w:r>
      <w:r w:rsidR="002238FC">
        <w:rPr>
          <w:rFonts w:eastAsia="Aptos"/>
          <w:bCs w:val="0"/>
          <w:iCs w:val="0"/>
          <w:noProof/>
          <w:kern w:val="0"/>
          <w14:ligatures w14:val="none"/>
        </w:rPr>
        <w:t xml:space="preserve">as mentioned above, </w:t>
      </w:r>
      <w:r w:rsidRPr="001830AE">
        <w:rPr>
          <w:rFonts w:eastAsia="Aptos"/>
          <w:noProof/>
          <w:kern w:val="0"/>
          <w14:ligatures w14:val="none"/>
        </w:rPr>
        <w:t xml:space="preserve">the WACC was calculated considering different business realities to reflect the different costs of capital. While any averaging compresses the dispersion, this simplification was needed in our analysis to estimate aggregate costs and benefits based on observed market dynamics and structures. </w:t>
      </w:r>
    </w:p>
    <w:p w14:paraId="3221325C" w14:textId="44782E26" w:rsidR="00316689" w:rsidRPr="002C1B83" w:rsidRDefault="00316689" w:rsidP="00BA490B">
      <w:pPr>
        <w:pStyle w:val="Heading3"/>
        <w:numPr>
          <w:ilvl w:val="2"/>
          <w:numId w:val="108"/>
        </w:numPr>
        <w:ind w:left="1872"/>
        <w:rPr>
          <w:noProof/>
        </w:rPr>
      </w:pPr>
      <w:bookmarkStart w:id="143" w:name="_Toc214519696"/>
      <w:r w:rsidRPr="002C1B83">
        <w:rPr>
          <w:noProof/>
          <w:lang w:val="en-GB"/>
        </w:rPr>
        <w:t>Energy</w:t>
      </w:r>
      <w:r w:rsidRPr="002C1B83">
        <w:rPr>
          <w:noProof/>
        </w:rPr>
        <w:t xml:space="preserve"> </w:t>
      </w:r>
      <w:bookmarkEnd w:id="143"/>
      <w:r w:rsidR="006643EA">
        <w:rPr>
          <w:noProof/>
        </w:rPr>
        <w:t>efficiency</w:t>
      </w:r>
    </w:p>
    <w:p w14:paraId="14DC0A69" w14:textId="20B0C713" w:rsidR="00316689" w:rsidRPr="003401EC" w:rsidRDefault="00316689" w:rsidP="00316689">
      <w:pPr>
        <w:rPr>
          <w:noProof/>
        </w:rPr>
      </w:pPr>
      <w:r w:rsidRPr="003401EC">
        <w:rPr>
          <w:noProof/>
        </w:rPr>
        <w:t>Starting with an average Power Usage Effectiveness, PUE, of 1.</w:t>
      </w:r>
      <w:r w:rsidR="0064787A">
        <w:rPr>
          <w:noProof/>
        </w:rPr>
        <w:t>29</w:t>
      </w:r>
      <w:r w:rsidRPr="003401EC">
        <w:rPr>
          <w:noProof/>
        </w:rPr>
        <w:t xml:space="preserve"> each policy option </w:t>
      </w:r>
      <w:r w:rsidR="004A1EDB">
        <w:rPr>
          <w:noProof/>
        </w:rPr>
        <w:t xml:space="preserve">is expected to </w:t>
      </w:r>
      <w:r w:rsidRPr="003401EC">
        <w:rPr>
          <w:noProof/>
        </w:rPr>
        <w:t>achieve different levels of improvement over time as shown in the figure below, with PO1-</w:t>
      </w:r>
      <w:r w:rsidR="009721AD">
        <w:rPr>
          <w:noProof/>
        </w:rPr>
        <w:t>C</w:t>
      </w:r>
      <w:r w:rsidRPr="003401EC">
        <w:rPr>
          <w:noProof/>
        </w:rPr>
        <w:t xml:space="preserve"> achieving the largest impact because of the contribution of public funding to R&amp;D and innovation in sustainable technologies.</w:t>
      </w:r>
    </w:p>
    <w:p w14:paraId="5931740C" w14:textId="05C3558F" w:rsidR="00945D00" w:rsidRPr="009F2DE7" w:rsidRDefault="00945D00" w:rsidP="001830AE">
      <w:pPr>
        <w:pStyle w:val="Reply"/>
        <w:spacing w:line="240" w:lineRule="auto"/>
        <w:rPr>
          <w:noProof/>
        </w:rPr>
      </w:pPr>
      <w:r w:rsidRPr="009F2DE7">
        <w:rPr>
          <w:noProof/>
        </w:rPr>
        <w:t>Colocation PUE was calculated using information from Data Center Map (coming out an average of 1.39) whereas hyperscaler PUE was calculated using the latest reported hyperscaler figures (coming out at an average of 1.13). The result</w:t>
      </w:r>
      <w:r>
        <w:rPr>
          <w:noProof/>
        </w:rPr>
        <w:t xml:space="preserve"> PUE of 1.29 for 2025</w:t>
      </w:r>
      <w:r w:rsidRPr="009F2DE7">
        <w:rPr>
          <w:noProof/>
        </w:rPr>
        <w:t xml:space="preserve"> is the capacity-weighted average of PUE levels identified for colocation and hyperscale facilities in the EU. This approach was used to capture the differences in efficiency across businesses of different sizes. Moreover, it </w:t>
      </w:r>
      <w:r w:rsidR="00F03E98">
        <w:rPr>
          <w:noProof/>
        </w:rPr>
        <w:t>has been</w:t>
      </w:r>
      <w:r w:rsidRPr="009F2DE7">
        <w:rPr>
          <w:noProof/>
        </w:rPr>
        <w:t xml:space="preserve"> validated with the industry during interviews and workshops, for which it was also subject to refinements and further changes as some stakeholders provided additional data on their PUE levels and market presence.</w:t>
      </w:r>
    </w:p>
    <w:p w14:paraId="2D7B955D" w14:textId="571B762D" w:rsidR="00426C14" w:rsidRPr="003401EC" w:rsidRDefault="00945D00" w:rsidP="001830AE">
      <w:pPr>
        <w:pStyle w:val="Reply"/>
        <w:spacing w:line="240" w:lineRule="auto"/>
        <w:rPr>
          <w:noProof/>
        </w:rPr>
      </w:pPr>
      <w:r w:rsidRPr="009F2DE7">
        <w:rPr>
          <w:noProof/>
        </w:rPr>
        <w:t>PUE improvements across the policy options are expected based on different mechanisms</w:t>
      </w:r>
      <w:r w:rsidR="001A0701">
        <w:rPr>
          <w:noProof/>
        </w:rPr>
        <w:t xml:space="preserve"> and time horizons</w:t>
      </w:r>
      <w:r w:rsidRPr="009F2DE7">
        <w:rPr>
          <w:noProof/>
        </w:rPr>
        <w:t xml:space="preserve">. Under PO1-A, such improvements are </w:t>
      </w:r>
      <w:r w:rsidR="001A0701">
        <w:rPr>
          <w:noProof/>
        </w:rPr>
        <w:t>mainly</w:t>
      </w:r>
      <w:r w:rsidRPr="009F2DE7">
        <w:rPr>
          <w:noProof/>
        </w:rPr>
        <w:t xml:space="preserve"> driven by the diffusion of best practices produced by the guidelines and as part of the established </w:t>
      </w:r>
      <w:r w:rsidR="001A0701">
        <w:rPr>
          <w:noProof/>
        </w:rPr>
        <w:t>forum</w:t>
      </w:r>
      <w:r w:rsidR="001A0701" w:rsidRPr="009F2DE7">
        <w:rPr>
          <w:noProof/>
        </w:rPr>
        <w:t xml:space="preserve"> </w:t>
      </w:r>
      <w:r w:rsidRPr="009F2DE7">
        <w:rPr>
          <w:noProof/>
        </w:rPr>
        <w:t xml:space="preserve">for exchanges. These are assumed to generate positive spillovers on the use of increasingly energy-efficient technologies beyond the baseline, where individual companies (usually the largest ones) have most of the incentives to invest in such technologies, without necessarily sharing the outcome of their investment. Under PO1-B, PUE reductions are driven by the stronger incentives for data centres to increase energy-efficiency due to the sustainability requirements linked to accessing the fast-track areas. </w:t>
      </w:r>
      <w:r w:rsidR="002412B3">
        <w:rPr>
          <w:noProof/>
        </w:rPr>
        <w:t xml:space="preserve">These conditions are expected to increase incentives for operators to adopt higher-efficiency and sustainable solutions relatively early, as this could become a prerequisite for benefitting from accelerated permitting. </w:t>
      </w:r>
      <w:r w:rsidRPr="009F2DE7">
        <w:rPr>
          <w:noProof/>
        </w:rPr>
        <w:t xml:space="preserve">Under PO1-C, in addition, data centre operators would benefit from </w:t>
      </w:r>
      <w:r w:rsidR="002412B3">
        <w:rPr>
          <w:noProof/>
        </w:rPr>
        <w:t xml:space="preserve">targeted </w:t>
      </w:r>
      <w:r w:rsidRPr="009F2DE7">
        <w:rPr>
          <w:noProof/>
        </w:rPr>
        <w:t xml:space="preserve">R&amp;D </w:t>
      </w:r>
      <w:r w:rsidR="002412B3">
        <w:rPr>
          <w:noProof/>
        </w:rPr>
        <w:t>programmes</w:t>
      </w:r>
      <w:r w:rsidRPr="009F2DE7">
        <w:rPr>
          <w:noProof/>
        </w:rPr>
        <w:t xml:space="preserve"> to optimise energy efficiency and, in some cases</w:t>
      </w:r>
      <w:r w:rsidR="00F91C08">
        <w:rPr>
          <w:noProof/>
        </w:rPr>
        <w:t>,</w:t>
      </w:r>
      <w:r w:rsidRPr="009F2DE7">
        <w:rPr>
          <w:noProof/>
        </w:rPr>
        <w:t xml:space="preserve"> deployment funds for particularly sustainable technologies</w:t>
      </w:r>
      <w:r w:rsidR="002412B3">
        <w:rPr>
          <w:noProof/>
        </w:rPr>
        <w:t xml:space="preserve"> and strategic use</w:t>
      </w:r>
      <w:r w:rsidR="00F91C08">
        <w:rPr>
          <w:noProof/>
        </w:rPr>
        <w:t>s</w:t>
      </w:r>
      <w:r w:rsidRPr="009F2DE7" w:rsidDel="00FF733A">
        <w:rPr>
          <w:noProof/>
        </w:rPr>
        <w:t>.</w:t>
      </w:r>
      <w:r w:rsidR="00FF733A">
        <w:rPr>
          <w:noProof/>
        </w:rPr>
        <w:t xml:space="preserve"> Since these</w:t>
      </w:r>
      <w:r w:rsidR="00FF733A" w:rsidRPr="00FF733A">
        <w:rPr>
          <w:noProof/>
        </w:rPr>
        <w:t xml:space="preserve"> programmes require time to develop, test and de-risk new solutions</w:t>
      </w:r>
      <w:r w:rsidR="00FF733A">
        <w:rPr>
          <w:noProof/>
        </w:rPr>
        <w:t xml:space="preserve">, </w:t>
      </w:r>
      <w:r w:rsidR="00FF733A" w:rsidRPr="00FF733A">
        <w:rPr>
          <w:noProof/>
        </w:rPr>
        <w:t>especially for smaller operators</w:t>
      </w:r>
      <w:r w:rsidR="00FF733A">
        <w:rPr>
          <w:noProof/>
        </w:rPr>
        <w:t xml:space="preserve">, </w:t>
      </w:r>
      <w:r w:rsidR="00FF733A" w:rsidRPr="00FF733A">
        <w:rPr>
          <w:noProof/>
        </w:rPr>
        <w:t xml:space="preserve">the most substantial PUE improvements are expected to materialise in the later years of the period. Quantitatively, this is reflected in a somewhat flatter </w:t>
      </w:r>
      <w:r w:rsidR="00FF733A">
        <w:rPr>
          <w:noProof/>
        </w:rPr>
        <w:t>PUE reduction</w:t>
      </w:r>
      <w:r w:rsidR="00FF733A" w:rsidRPr="00FF733A">
        <w:rPr>
          <w:noProof/>
        </w:rPr>
        <w:t xml:space="preserve"> in the early years and a comparatively steeper profile towards 20</w:t>
      </w:r>
      <w:r w:rsidR="009B0C74">
        <w:rPr>
          <w:noProof/>
        </w:rPr>
        <w:t>32</w:t>
      </w:r>
      <w:r w:rsidR="00FF733A" w:rsidRPr="00FF733A">
        <w:rPr>
          <w:noProof/>
        </w:rPr>
        <w:t>–203</w:t>
      </w:r>
      <w:r w:rsidR="009B0C74">
        <w:rPr>
          <w:noProof/>
        </w:rPr>
        <w:t>5</w:t>
      </w:r>
      <w:r w:rsidR="00FF733A" w:rsidRPr="00FF733A">
        <w:rPr>
          <w:noProof/>
        </w:rPr>
        <w:t>, when a larger share of new capacity can incorporate the mature, higher-efficiency designs</w:t>
      </w:r>
      <w:r w:rsidRPr="009F2DE7">
        <w:rPr>
          <w:noProof/>
        </w:rPr>
        <w:t>.</w:t>
      </w:r>
    </w:p>
    <w:p w14:paraId="58881883" w14:textId="78A3690B" w:rsidR="00316689" w:rsidRPr="007323C5" w:rsidRDefault="00316689" w:rsidP="00E859A8">
      <w:pPr>
        <w:spacing w:after="0"/>
        <w:rPr>
          <w:noProof/>
          <w:sz w:val="20"/>
          <w:szCs w:val="20"/>
        </w:rPr>
      </w:pPr>
      <w:r w:rsidRPr="007323C5">
        <w:rPr>
          <w:b/>
          <w:noProof/>
          <w:sz w:val="20"/>
          <w:szCs w:val="20"/>
        </w:rPr>
        <w:t xml:space="preserve">Figure </w:t>
      </w:r>
      <w:r w:rsidRPr="007323C5">
        <w:rPr>
          <w:noProof/>
          <w:sz w:val="20"/>
          <w:szCs w:val="20"/>
        </w:rPr>
        <w:fldChar w:fldCharType="begin"/>
      </w:r>
      <w:r w:rsidRPr="007323C5">
        <w:rPr>
          <w:b/>
          <w:noProof/>
          <w:sz w:val="20"/>
          <w:szCs w:val="20"/>
        </w:rPr>
        <w:instrText xml:space="preserve"> SEQ Figure \* ARABIC </w:instrText>
      </w:r>
      <w:r w:rsidRPr="007323C5">
        <w:rPr>
          <w:noProof/>
          <w:sz w:val="20"/>
          <w:szCs w:val="20"/>
        </w:rPr>
        <w:fldChar w:fldCharType="separate"/>
      </w:r>
      <w:r w:rsidR="000E7F11">
        <w:rPr>
          <w:b/>
          <w:noProof/>
          <w:sz w:val="20"/>
          <w:szCs w:val="20"/>
        </w:rPr>
        <w:t>4</w:t>
      </w:r>
      <w:r w:rsidRPr="007323C5">
        <w:rPr>
          <w:noProof/>
          <w:sz w:val="20"/>
          <w:szCs w:val="20"/>
        </w:rPr>
        <w:fldChar w:fldCharType="end"/>
      </w:r>
      <w:r w:rsidRPr="007323C5">
        <w:rPr>
          <w:b/>
          <w:noProof/>
          <w:sz w:val="20"/>
          <w:szCs w:val="20"/>
        </w:rPr>
        <w:t xml:space="preserve">. Assumptions in terms of PUE improvement across the different policy options for colocation providers and public sector 2025-35 (Source: </w:t>
      </w:r>
      <w:r w:rsidR="00D00353" w:rsidRPr="00D00353">
        <w:rPr>
          <w:b/>
          <w:noProof/>
          <w:sz w:val="20"/>
          <w:szCs w:val="20"/>
        </w:rPr>
        <w:t>Technopolis et al. (2025))</w:t>
      </w:r>
    </w:p>
    <w:p w14:paraId="7A520D9E" w14:textId="38A83557" w:rsidR="00E859A8" w:rsidRPr="00DA029C" w:rsidRDefault="004D2109" w:rsidP="00651661">
      <w:pPr>
        <w:jc w:val="center"/>
        <w:rPr>
          <w:noProof/>
        </w:rPr>
      </w:pPr>
      <w:r>
        <w:rPr>
          <w:noProof/>
          <w:lang w:eastAsia="en-GB"/>
        </w:rPr>
        <w:drawing>
          <wp:inline distT="0" distB="0" distL="0" distR="0" wp14:anchorId="253689C6" wp14:editId="3C6D1900">
            <wp:extent cx="4977418" cy="2580238"/>
            <wp:effectExtent l="0" t="0" r="0" b="0"/>
            <wp:docPr id="1133609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30887" cy="2607956"/>
                    </a:xfrm>
                    <a:prstGeom prst="rect">
                      <a:avLst/>
                    </a:prstGeom>
                    <a:noFill/>
                  </pic:spPr>
                </pic:pic>
              </a:graphicData>
            </a:graphic>
          </wp:inline>
        </w:drawing>
      </w:r>
    </w:p>
    <w:p w14:paraId="2F9BD3A8" w14:textId="77777777" w:rsidR="00316689" w:rsidRPr="00A112F4" w:rsidRDefault="00316689" w:rsidP="00913325">
      <w:pPr>
        <w:pStyle w:val="Heading2"/>
        <w:numPr>
          <w:ilvl w:val="1"/>
          <w:numId w:val="10"/>
        </w:numPr>
        <w:tabs>
          <w:tab w:val="num" w:pos="283"/>
        </w:tabs>
        <w:rPr>
          <w:bCs/>
          <w:noProof/>
        </w:rPr>
      </w:pPr>
      <w:bookmarkStart w:id="144" w:name="_Ref213412075"/>
      <w:bookmarkStart w:id="145" w:name="_Toc214519697"/>
      <w:bookmarkStart w:id="146" w:name="_Toc216283353"/>
      <w:bookmarkStart w:id="147" w:name="_Toc228346908"/>
      <w:r w:rsidRPr="00316689">
        <w:rPr>
          <w:rFonts w:eastAsia="Calibri"/>
          <w:noProof/>
        </w:rPr>
        <w:t>Estimates</w:t>
      </w:r>
      <w:r w:rsidRPr="00A112F4">
        <w:rPr>
          <w:bCs/>
          <w:noProof/>
        </w:rPr>
        <w:t xml:space="preserve"> related to Public Procurement</w:t>
      </w:r>
      <w:bookmarkEnd w:id="144"/>
      <w:bookmarkEnd w:id="145"/>
      <w:bookmarkEnd w:id="146"/>
      <w:bookmarkEnd w:id="147"/>
    </w:p>
    <w:p w14:paraId="08139E70" w14:textId="5954D831" w:rsidR="00316689" w:rsidRPr="00316689" w:rsidRDefault="00316689" w:rsidP="00744B72">
      <w:pPr>
        <w:pStyle w:val="Heading3"/>
        <w:numPr>
          <w:ilvl w:val="2"/>
          <w:numId w:val="40"/>
        </w:numPr>
        <w:ind w:left="1872"/>
        <w:rPr>
          <w:noProof/>
        </w:rPr>
      </w:pPr>
      <w:bookmarkStart w:id="148" w:name="_Toc214519698"/>
      <w:bookmarkStart w:id="149" w:name="_Ref214560056"/>
      <w:r w:rsidRPr="008D0BAC">
        <w:rPr>
          <w:noProof/>
          <w:lang w:val="en-GB"/>
        </w:rPr>
        <w:t>Number</w:t>
      </w:r>
      <w:r w:rsidRPr="00316689">
        <w:rPr>
          <w:noProof/>
        </w:rPr>
        <w:t xml:space="preserve"> of </w:t>
      </w:r>
      <w:r w:rsidR="003B27FD">
        <w:rPr>
          <w:noProof/>
        </w:rPr>
        <w:t>p</w:t>
      </w:r>
      <w:r w:rsidRPr="00316689">
        <w:rPr>
          <w:noProof/>
        </w:rPr>
        <w:t xml:space="preserve">ublic </w:t>
      </w:r>
      <w:r w:rsidR="003B27FD">
        <w:rPr>
          <w:noProof/>
        </w:rPr>
        <w:t>a</w:t>
      </w:r>
      <w:r w:rsidRPr="00316689">
        <w:rPr>
          <w:noProof/>
        </w:rPr>
        <w:t xml:space="preserve">uthorities procuring </w:t>
      </w:r>
      <w:r w:rsidR="0001203E">
        <w:rPr>
          <w:noProof/>
        </w:rPr>
        <w:t>cloud</w:t>
      </w:r>
      <w:r w:rsidRPr="00316689">
        <w:rPr>
          <w:noProof/>
        </w:rPr>
        <w:t xml:space="preserve"> and AI </w:t>
      </w:r>
      <w:r w:rsidR="003B27FD">
        <w:rPr>
          <w:noProof/>
        </w:rPr>
        <w:t xml:space="preserve">computing </w:t>
      </w:r>
      <w:r w:rsidRPr="00316689">
        <w:rPr>
          <w:noProof/>
        </w:rPr>
        <w:t>services</w:t>
      </w:r>
      <w:bookmarkEnd w:id="148"/>
      <w:bookmarkEnd w:id="149"/>
      <w:r w:rsidRPr="00316689">
        <w:rPr>
          <w:noProof/>
        </w:rPr>
        <w:t xml:space="preserve"> </w:t>
      </w:r>
    </w:p>
    <w:p w14:paraId="73B1F052" w14:textId="60CEE2CB" w:rsidR="00316689" w:rsidRDefault="00316689" w:rsidP="00316689">
      <w:pPr>
        <w:rPr>
          <w:noProof/>
        </w:rPr>
      </w:pPr>
      <w:r>
        <w:rPr>
          <w:noProof/>
        </w:rPr>
        <w:t xml:space="preserve">With regards to the number of public authorities that procure cloud and AI </w:t>
      </w:r>
      <w:r w:rsidR="003B27FD">
        <w:rPr>
          <w:noProof/>
        </w:rPr>
        <w:t xml:space="preserve">computing </w:t>
      </w:r>
      <w:r>
        <w:rPr>
          <w:noProof/>
        </w:rPr>
        <w:t xml:space="preserve">services and could participate at the </w:t>
      </w:r>
      <w:r w:rsidRPr="00A112F4">
        <w:rPr>
          <w:noProof/>
        </w:rPr>
        <w:t>EU-level procurement process, the assumption made is that there is one public authority in each NUTS1 and NUTS2 areas, and in most of the NUTS3 areas</w:t>
      </w:r>
      <w:r w:rsidRPr="00A112F4">
        <w:rPr>
          <w:rStyle w:val="FootnoteReference"/>
          <w:noProof/>
        </w:rPr>
        <w:footnoteReference w:id="34"/>
      </w:r>
      <w:r w:rsidRPr="00A112F4">
        <w:rPr>
          <w:noProof/>
        </w:rPr>
        <w:t>, resulting in a figure of 1</w:t>
      </w:r>
      <w:r w:rsidR="00791B50">
        <w:rPr>
          <w:noProof/>
        </w:rPr>
        <w:t xml:space="preserve"> </w:t>
      </w:r>
      <w:r w:rsidRPr="00A112F4">
        <w:rPr>
          <w:noProof/>
        </w:rPr>
        <w:t>206 public authorities</w:t>
      </w:r>
      <w:r>
        <w:rPr>
          <w:noProof/>
        </w:rPr>
        <w:t xml:space="preserve"> in Europe. This figure has been confirmed when filtering the number of unique buyers of cloud and AI </w:t>
      </w:r>
      <w:r w:rsidR="003B27FD">
        <w:rPr>
          <w:noProof/>
        </w:rPr>
        <w:t xml:space="preserve">computing </w:t>
      </w:r>
      <w:r>
        <w:rPr>
          <w:noProof/>
        </w:rPr>
        <w:t>services in the procurement notices registered in the years from 2021 to 2024 at the TED portal</w:t>
      </w:r>
      <w:r>
        <w:rPr>
          <w:rStyle w:val="FootnoteReference"/>
          <w:noProof/>
        </w:rPr>
        <w:footnoteReference w:id="35"/>
      </w:r>
      <w:r>
        <w:rPr>
          <w:noProof/>
        </w:rPr>
        <w:t xml:space="preserve"> (the filtering has been done applying a search of “cloud” and “AI” strings over the TED notices with </w:t>
      </w:r>
      <w:r w:rsidR="00910C98">
        <w:rPr>
          <w:noProof/>
        </w:rPr>
        <w:t>Common Procurement Vocabulary (</w:t>
      </w:r>
      <w:r>
        <w:rPr>
          <w:noProof/>
        </w:rPr>
        <w:t>CPV</w:t>
      </w:r>
      <w:r w:rsidR="00910C98">
        <w:rPr>
          <w:noProof/>
        </w:rPr>
        <w:t>)</w:t>
      </w:r>
      <w:r>
        <w:rPr>
          <w:noProof/>
        </w:rPr>
        <w:t xml:space="preserve"> 72</w:t>
      </w:r>
      <w:r w:rsidR="00910C98">
        <w:rPr>
          <w:noProof/>
        </w:rPr>
        <w:t xml:space="preserve"> and 48</w:t>
      </w:r>
      <w:r>
        <w:rPr>
          <w:noProof/>
        </w:rPr>
        <w:t xml:space="preserve">). Not all public authorities launch procurement processes every year; in 2024, for instance, there were just 463 </w:t>
      </w:r>
      <w:r w:rsidR="00BF75DB">
        <w:rPr>
          <w:noProof/>
        </w:rPr>
        <w:t xml:space="preserve">Public Administrations (PA) </w:t>
      </w:r>
      <w:r>
        <w:rPr>
          <w:noProof/>
        </w:rPr>
        <w:t xml:space="preserve">opening cloud and AI </w:t>
      </w:r>
      <w:r w:rsidR="003B27FD">
        <w:rPr>
          <w:noProof/>
        </w:rPr>
        <w:t xml:space="preserve">computing service </w:t>
      </w:r>
      <w:r>
        <w:rPr>
          <w:noProof/>
        </w:rPr>
        <w:t>tenders.</w:t>
      </w:r>
    </w:p>
    <w:p w14:paraId="0C5D7E7E" w14:textId="5BEE33F0" w:rsidR="00316689" w:rsidRPr="00316689" w:rsidRDefault="00316689" w:rsidP="00744B72">
      <w:pPr>
        <w:pStyle w:val="Heading3"/>
        <w:numPr>
          <w:ilvl w:val="2"/>
          <w:numId w:val="40"/>
        </w:numPr>
        <w:ind w:left="1872"/>
        <w:rPr>
          <w:noProof/>
        </w:rPr>
      </w:pPr>
      <w:bookmarkStart w:id="150" w:name="_Toc214519699"/>
      <w:r w:rsidRPr="008D0BAC">
        <w:rPr>
          <w:noProof/>
          <w:lang w:val="en-GB"/>
        </w:rPr>
        <w:t>Public</w:t>
      </w:r>
      <w:r w:rsidRPr="00316689">
        <w:rPr>
          <w:noProof/>
        </w:rPr>
        <w:t xml:space="preserve"> procurement contracts of cloud and AI </w:t>
      </w:r>
      <w:r w:rsidR="003B27FD">
        <w:rPr>
          <w:noProof/>
        </w:rPr>
        <w:t xml:space="preserve">computing </w:t>
      </w:r>
      <w:r w:rsidRPr="00316689">
        <w:rPr>
          <w:noProof/>
        </w:rPr>
        <w:t>services</w:t>
      </w:r>
      <w:bookmarkEnd w:id="150"/>
    </w:p>
    <w:p w14:paraId="79CA4F42" w14:textId="4B0C4548" w:rsidR="00316689" w:rsidRDefault="00316689" w:rsidP="00316689">
      <w:pPr>
        <w:rPr>
          <w:noProof/>
        </w:rPr>
      </w:pPr>
      <w:r w:rsidRPr="00EA22B4">
        <w:rPr>
          <w:noProof/>
        </w:rPr>
        <w:t>The following table shows the contract award notices in EU27 by public administrations, as extracted from TED</w:t>
      </w:r>
      <w:r>
        <w:rPr>
          <w:noProof/>
        </w:rPr>
        <w:t xml:space="preserve"> using the TED API</w:t>
      </w:r>
      <w:r>
        <w:rPr>
          <w:rStyle w:val="FootnoteReference"/>
          <w:noProof/>
        </w:rPr>
        <w:footnoteReference w:id="36"/>
      </w:r>
      <w:r w:rsidRPr="00EA22B4">
        <w:rPr>
          <w:noProof/>
        </w:rPr>
        <w:t>.</w:t>
      </w:r>
      <w:r>
        <w:rPr>
          <w:noProof/>
        </w:rPr>
        <w:t xml:space="preserve"> For the ICT award notices, ‘contract award notices’</w:t>
      </w:r>
      <w:r>
        <w:rPr>
          <w:rStyle w:val="FootnoteReference"/>
          <w:noProof/>
        </w:rPr>
        <w:footnoteReference w:id="37"/>
      </w:r>
      <w:r>
        <w:rPr>
          <w:noProof/>
        </w:rPr>
        <w:t xml:space="preserve"> with CPV code 72 </w:t>
      </w:r>
      <w:r w:rsidR="00BE27A8">
        <w:rPr>
          <w:noProof/>
        </w:rPr>
        <w:t>and 48</w:t>
      </w:r>
      <w:r>
        <w:rPr>
          <w:noProof/>
        </w:rPr>
        <w:t xml:space="preserve"> have been considered, whereas for cloud and AI, </w:t>
      </w:r>
      <w:r w:rsidR="00BE27A8">
        <w:rPr>
          <w:noProof/>
        </w:rPr>
        <w:t xml:space="preserve">combinations of </w:t>
      </w:r>
      <w:r>
        <w:rPr>
          <w:noProof/>
        </w:rPr>
        <w:t xml:space="preserve">the keywords “Cloud” or “AI” have been used as a subset of the previous. 2024 is taken as the baseline for the calculations. Then, the count of each of the results have been extracted, whereas for the share, the percentage </w:t>
      </w:r>
      <w:r w:rsidR="00DA6839">
        <w:rPr>
          <w:noProof/>
        </w:rPr>
        <w:t>has been</w:t>
      </w:r>
      <w:r>
        <w:rPr>
          <w:noProof/>
        </w:rPr>
        <w:t xml:space="preserve"> calculated.</w:t>
      </w:r>
    </w:p>
    <w:p w14:paraId="614F8C9D" w14:textId="35D2BC85" w:rsidR="00316689" w:rsidRPr="00A54618" w:rsidRDefault="00316689" w:rsidP="00316689">
      <w:pPr>
        <w:pStyle w:val="Caption"/>
        <w:rPr>
          <w:b w:val="0"/>
          <w:noProof/>
          <w:szCs w:val="20"/>
        </w:rPr>
      </w:pPr>
      <w:bookmarkStart w:id="151" w:name="_Toc213440598"/>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14</w:t>
      </w:r>
      <w:r>
        <w:rPr>
          <w:noProof/>
        </w:rPr>
        <w:fldChar w:fldCharType="end"/>
      </w:r>
      <w:r>
        <w:rPr>
          <w:noProof/>
        </w:rPr>
        <w:t xml:space="preserve">. </w:t>
      </w:r>
      <w:r w:rsidRPr="0020478B">
        <w:rPr>
          <w:bCs/>
          <w:noProof/>
        </w:rPr>
        <w:t>Count of Public procurement award notices in TED for 2024. (</w:t>
      </w:r>
      <w:r w:rsidRPr="0020478B">
        <w:rPr>
          <w:bCs/>
          <w:noProof/>
          <w:szCs w:val="20"/>
        </w:rPr>
        <w:t xml:space="preserve">Source: </w:t>
      </w:r>
      <w:r w:rsidR="008F1EBB">
        <w:rPr>
          <w:bCs/>
          <w:noProof/>
          <w:szCs w:val="20"/>
        </w:rPr>
        <w:t>Technopolis et al. (2025)</w:t>
      </w:r>
      <w:r w:rsidRPr="0020478B">
        <w:rPr>
          <w:bCs/>
          <w:noProof/>
          <w:szCs w:val="20"/>
        </w:rPr>
        <w:t>, elaborated from TED data)</w:t>
      </w:r>
      <w:bookmarkEnd w:id="151"/>
      <w:r w:rsidRPr="00A54618" w:rsidDel="00250D21">
        <w:rPr>
          <w:b w:val="0"/>
          <w:noProof/>
          <w:szCs w:val="20"/>
        </w:rPr>
        <w:t xml:space="preserve"> </w:t>
      </w:r>
    </w:p>
    <w:tbl>
      <w:tblPr>
        <w:tblStyle w:val="TableGrid"/>
        <w:tblW w:w="0" w:type="auto"/>
        <w:jc w:val="center"/>
        <w:tblLook w:val="04A0" w:firstRow="1" w:lastRow="0" w:firstColumn="1" w:lastColumn="0" w:noHBand="0" w:noVBand="1"/>
      </w:tblPr>
      <w:tblGrid>
        <w:gridCol w:w="4508"/>
        <w:gridCol w:w="1299"/>
      </w:tblGrid>
      <w:tr w:rsidR="00316689" w:rsidRPr="00BD6533" w14:paraId="3945C6B1" w14:textId="77777777" w:rsidTr="001830AE">
        <w:trPr>
          <w:tblHeader/>
          <w:jc w:val="center"/>
        </w:trPr>
        <w:tc>
          <w:tcPr>
            <w:tcW w:w="4508" w:type="dxa"/>
          </w:tcPr>
          <w:p w14:paraId="43D243C5" w14:textId="77777777" w:rsidR="00316689" w:rsidRPr="00DA029C" w:rsidRDefault="00316689" w:rsidP="00D81DB8">
            <w:pPr>
              <w:spacing w:after="0"/>
              <w:rPr>
                <w:b/>
                <w:noProof/>
                <w:sz w:val="22"/>
                <w:szCs w:val="22"/>
                <w:lang w:val="en-IE"/>
              </w:rPr>
            </w:pPr>
            <w:r w:rsidRPr="00DA029C">
              <w:rPr>
                <w:b/>
                <w:noProof/>
                <w:sz w:val="22"/>
                <w:szCs w:val="22"/>
              </w:rPr>
              <w:t>Count of Award Notices</w:t>
            </w:r>
          </w:p>
        </w:tc>
        <w:tc>
          <w:tcPr>
            <w:tcW w:w="1299" w:type="dxa"/>
          </w:tcPr>
          <w:p w14:paraId="747EA325" w14:textId="77777777" w:rsidR="00316689" w:rsidRPr="00DA029C" w:rsidRDefault="00316689" w:rsidP="00D81DB8">
            <w:pPr>
              <w:spacing w:after="0"/>
              <w:rPr>
                <w:b/>
                <w:noProof/>
                <w:sz w:val="22"/>
                <w:szCs w:val="22"/>
                <w:lang w:val="en-IE"/>
              </w:rPr>
            </w:pPr>
            <w:r w:rsidRPr="00DA029C">
              <w:rPr>
                <w:b/>
                <w:noProof/>
                <w:sz w:val="22"/>
                <w:szCs w:val="22"/>
              </w:rPr>
              <w:t>2024</w:t>
            </w:r>
          </w:p>
        </w:tc>
      </w:tr>
    </w:tbl>
    <w:tbl>
      <w:tblPr>
        <w:tblW w:w="0" w:type="auto"/>
        <w:jc w:val="center"/>
        <w:tblLook w:val="04A0" w:firstRow="1" w:lastRow="0" w:firstColumn="1" w:lastColumn="0" w:noHBand="0" w:noVBand="1"/>
      </w:tblPr>
      <w:tblGrid>
        <w:gridCol w:w="4508"/>
        <w:gridCol w:w="1299"/>
      </w:tblGrid>
      <w:tr w:rsidR="00316689" w:rsidRPr="00BD6533" w14:paraId="3EF945AA" w14:textId="77777777" w:rsidTr="001830AE">
        <w:trPr>
          <w:jc w:val="center"/>
        </w:trPr>
        <w:tc>
          <w:tcPr>
            <w:tcW w:w="4508" w:type="dxa"/>
            <w:tcBorders>
              <w:top w:val="single" w:sz="12" w:space="0" w:color="00B0F0"/>
            </w:tcBorders>
          </w:tcPr>
          <w:p w14:paraId="44E43EB4" w14:textId="77777777" w:rsidR="00316689" w:rsidRPr="00DA029C" w:rsidRDefault="00316689" w:rsidP="00D81DB8">
            <w:pPr>
              <w:spacing w:after="0"/>
              <w:rPr>
                <w:noProof/>
                <w:sz w:val="22"/>
                <w:szCs w:val="22"/>
                <w:lang w:val="en-IE"/>
              </w:rPr>
            </w:pPr>
            <w:r w:rsidRPr="00DA029C">
              <w:rPr>
                <w:noProof/>
                <w:sz w:val="22"/>
                <w:szCs w:val="22"/>
              </w:rPr>
              <w:t>Cloud &amp; AI awards</w:t>
            </w:r>
          </w:p>
        </w:tc>
        <w:tc>
          <w:tcPr>
            <w:tcW w:w="1299" w:type="dxa"/>
            <w:tcBorders>
              <w:top w:val="single" w:sz="12" w:space="0" w:color="00B0F0"/>
            </w:tcBorders>
          </w:tcPr>
          <w:p w14:paraId="03466765" w14:textId="1DC34E8B" w:rsidR="00316689" w:rsidRPr="00DA029C" w:rsidRDefault="00316689" w:rsidP="00D81DB8">
            <w:pPr>
              <w:spacing w:after="0"/>
              <w:jc w:val="right"/>
              <w:rPr>
                <w:noProof/>
                <w:sz w:val="22"/>
                <w:szCs w:val="22"/>
                <w:lang w:val="en-IE"/>
              </w:rPr>
            </w:pPr>
            <w:r w:rsidRPr="00DA029C">
              <w:rPr>
                <w:noProof/>
                <w:sz w:val="22"/>
                <w:szCs w:val="22"/>
              </w:rPr>
              <w:t>1</w:t>
            </w:r>
            <w:r w:rsidR="00043F5F">
              <w:rPr>
                <w:noProof/>
                <w:sz w:val="22"/>
                <w:szCs w:val="22"/>
              </w:rPr>
              <w:t xml:space="preserve"> </w:t>
            </w:r>
            <w:r w:rsidRPr="00DA029C">
              <w:rPr>
                <w:noProof/>
                <w:sz w:val="22"/>
                <w:szCs w:val="22"/>
              </w:rPr>
              <w:t>043</w:t>
            </w:r>
          </w:p>
        </w:tc>
      </w:tr>
      <w:tr w:rsidR="00316689" w:rsidRPr="00BD6533" w14:paraId="4FBB5DE7" w14:textId="77777777" w:rsidTr="001830AE">
        <w:trPr>
          <w:jc w:val="center"/>
        </w:trPr>
        <w:tc>
          <w:tcPr>
            <w:tcW w:w="4508" w:type="dxa"/>
          </w:tcPr>
          <w:p w14:paraId="7BF25888" w14:textId="77777777" w:rsidR="00316689" w:rsidRPr="00DA029C" w:rsidRDefault="00316689" w:rsidP="00D81DB8">
            <w:pPr>
              <w:spacing w:after="0"/>
              <w:rPr>
                <w:noProof/>
                <w:sz w:val="22"/>
                <w:szCs w:val="22"/>
                <w:lang w:val="en-IE"/>
              </w:rPr>
            </w:pPr>
            <w:r w:rsidRPr="00DA029C">
              <w:rPr>
                <w:noProof/>
                <w:sz w:val="22"/>
                <w:szCs w:val="22"/>
              </w:rPr>
              <w:t>ICT awards</w:t>
            </w:r>
          </w:p>
        </w:tc>
        <w:tc>
          <w:tcPr>
            <w:tcW w:w="1299" w:type="dxa"/>
          </w:tcPr>
          <w:p w14:paraId="1B3B5F15" w14:textId="68A8FB1E" w:rsidR="00316689" w:rsidRPr="00DA029C" w:rsidRDefault="00316689" w:rsidP="00D81DB8">
            <w:pPr>
              <w:spacing w:after="0"/>
              <w:jc w:val="right"/>
              <w:rPr>
                <w:noProof/>
                <w:sz w:val="22"/>
                <w:szCs w:val="22"/>
                <w:lang w:val="en-IE"/>
              </w:rPr>
            </w:pPr>
            <w:r w:rsidRPr="00DA029C">
              <w:rPr>
                <w:noProof/>
                <w:sz w:val="22"/>
                <w:szCs w:val="22"/>
              </w:rPr>
              <w:t>33</w:t>
            </w:r>
            <w:r w:rsidR="00043F5F">
              <w:rPr>
                <w:noProof/>
                <w:sz w:val="22"/>
                <w:szCs w:val="22"/>
              </w:rPr>
              <w:t xml:space="preserve"> </w:t>
            </w:r>
            <w:r w:rsidRPr="00DA029C">
              <w:rPr>
                <w:noProof/>
                <w:sz w:val="22"/>
                <w:szCs w:val="22"/>
              </w:rPr>
              <w:t>299</w:t>
            </w:r>
          </w:p>
        </w:tc>
      </w:tr>
      <w:tr w:rsidR="00316689" w:rsidRPr="00BD6533" w14:paraId="4233A4FE" w14:textId="77777777" w:rsidTr="001830AE">
        <w:trPr>
          <w:jc w:val="center"/>
        </w:trPr>
        <w:tc>
          <w:tcPr>
            <w:tcW w:w="4508" w:type="dxa"/>
          </w:tcPr>
          <w:p w14:paraId="620E4660" w14:textId="77777777" w:rsidR="00316689" w:rsidRPr="00DA029C" w:rsidRDefault="00316689" w:rsidP="00D81DB8">
            <w:pPr>
              <w:spacing w:after="0"/>
              <w:rPr>
                <w:noProof/>
                <w:sz w:val="22"/>
                <w:szCs w:val="22"/>
                <w:lang w:val="en-IE"/>
              </w:rPr>
            </w:pPr>
            <w:r w:rsidRPr="00DA029C">
              <w:rPr>
                <w:noProof/>
                <w:sz w:val="22"/>
                <w:szCs w:val="22"/>
              </w:rPr>
              <w:t>Share of Cloud &amp; AI in ICT awards</w:t>
            </w:r>
          </w:p>
        </w:tc>
        <w:tc>
          <w:tcPr>
            <w:tcW w:w="1299" w:type="dxa"/>
          </w:tcPr>
          <w:p w14:paraId="58AEBA73" w14:textId="77777777" w:rsidR="00316689" w:rsidRPr="00DA029C" w:rsidRDefault="00316689" w:rsidP="00D81DB8">
            <w:pPr>
              <w:spacing w:after="0"/>
              <w:jc w:val="right"/>
              <w:rPr>
                <w:noProof/>
                <w:sz w:val="22"/>
                <w:szCs w:val="22"/>
                <w:lang w:val="en-IE"/>
              </w:rPr>
            </w:pPr>
            <w:r w:rsidRPr="00DA029C">
              <w:rPr>
                <w:noProof/>
                <w:sz w:val="22"/>
                <w:szCs w:val="22"/>
              </w:rPr>
              <w:t>3.13%</w:t>
            </w:r>
          </w:p>
        </w:tc>
      </w:tr>
      <w:tr w:rsidR="00316689" w:rsidRPr="00BD6533" w14:paraId="17EDFA98" w14:textId="77777777" w:rsidTr="001830AE">
        <w:trPr>
          <w:jc w:val="center"/>
        </w:trPr>
        <w:tc>
          <w:tcPr>
            <w:tcW w:w="4508" w:type="dxa"/>
          </w:tcPr>
          <w:p w14:paraId="524D8E99" w14:textId="77777777" w:rsidR="00316689" w:rsidRPr="00DA029C" w:rsidRDefault="00316689" w:rsidP="00D81DB8">
            <w:pPr>
              <w:spacing w:after="0"/>
              <w:rPr>
                <w:noProof/>
                <w:sz w:val="22"/>
                <w:szCs w:val="22"/>
                <w:lang w:val="en-IE"/>
              </w:rPr>
            </w:pPr>
            <w:r w:rsidRPr="00DA029C">
              <w:rPr>
                <w:noProof/>
                <w:sz w:val="22"/>
                <w:szCs w:val="22"/>
              </w:rPr>
              <w:t>Total awards</w:t>
            </w:r>
          </w:p>
        </w:tc>
        <w:tc>
          <w:tcPr>
            <w:tcW w:w="1299" w:type="dxa"/>
          </w:tcPr>
          <w:p w14:paraId="046453C2" w14:textId="35B698D2" w:rsidR="00316689" w:rsidRPr="00DA029C" w:rsidRDefault="00316689" w:rsidP="00D81DB8">
            <w:pPr>
              <w:spacing w:after="0"/>
              <w:jc w:val="right"/>
              <w:rPr>
                <w:noProof/>
                <w:sz w:val="22"/>
                <w:szCs w:val="22"/>
                <w:lang w:val="en-IE"/>
              </w:rPr>
            </w:pPr>
            <w:r w:rsidRPr="00DA029C">
              <w:rPr>
                <w:noProof/>
                <w:sz w:val="22"/>
                <w:szCs w:val="22"/>
              </w:rPr>
              <w:t>30</w:t>
            </w:r>
            <w:r w:rsidR="00043F5F">
              <w:rPr>
                <w:noProof/>
                <w:sz w:val="22"/>
                <w:szCs w:val="22"/>
              </w:rPr>
              <w:t xml:space="preserve"> </w:t>
            </w:r>
            <w:r w:rsidRPr="00DA029C">
              <w:rPr>
                <w:noProof/>
                <w:sz w:val="22"/>
                <w:szCs w:val="22"/>
              </w:rPr>
              <w:t>7249</w:t>
            </w:r>
          </w:p>
        </w:tc>
      </w:tr>
      <w:tr w:rsidR="00316689" w:rsidRPr="00BD6533" w14:paraId="444E8145" w14:textId="77777777" w:rsidTr="001830AE">
        <w:trPr>
          <w:jc w:val="center"/>
        </w:trPr>
        <w:tc>
          <w:tcPr>
            <w:tcW w:w="4508" w:type="dxa"/>
          </w:tcPr>
          <w:p w14:paraId="1FB346C7" w14:textId="77777777" w:rsidR="00316689" w:rsidRPr="00DA029C" w:rsidRDefault="00316689" w:rsidP="00D81DB8">
            <w:pPr>
              <w:spacing w:after="0"/>
              <w:rPr>
                <w:noProof/>
                <w:sz w:val="22"/>
                <w:szCs w:val="22"/>
                <w:lang w:val="en-IE"/>
              </w:rPr>
            </w:pPr>
            <w:r w:rsidRPr="00DA029C">
              <w:rPr>
                <w:noProof/>
                <w:sz w:val="22"/>
                <w:szCs w:val="22"/>
              </w:rPr>
              <w:t>Share of Cloud &amp; AI in total awards</w:t>
            </w:r>
          </w:p>
        </w:tc>
        <w:tc>
          <w:tcPr>
            <w:tcW w:w="1299" w:type="dxa"/>
          </w:tcPr>
          <w:p w14:paraId="3BAF048E" w14:textId="3A6AE373" w:rsidR="00316689" w:rsidRPr="00DA029C" w:rsidRDefault="00316689" w:rsidP="00D81DB8">
            <w:pPr>
              <w:spacing w:after="0"/>
              <w:jc w:val="right"/>
              <w:rPr>
                <w:noProof/>
                <w:sz w:val="22"/>
                <w:szCs w:val="22"/>
                <w:lang w:val="en-IE"/>
              </w:rPr>
            </w:pPr>
            <w:r w:rsidRPr="00DA029C">
              <w:rPr>
                <w:noProof/>
                <w:sz w:val="22"/>
                <w:szCs w:val="22"/>
              </w:rPr>
              <w:t>0</w:t>
            </w:r>
            <w:r w:rsidR="00B6145B">
              <w:rPr>
                <w:noProof/>
                <w:sz w:val="22"/>
                <w:szCs w:val="22"/>
              </w:rPr>
              <w:t>.</w:t>
            </w:r>
            <w:r w:rsidRPr="00DA029C">
              <w:rPr>
                <w:noProof/>
                <w:sz w:val="22"/>
                <w:szCs w:val="22"/>
              </w:rPr>
              <w:t>34%</w:t>
            </w:r>
          </w:p>
        </w:tc>
      </w:tr>
    </w:tbl>
    <w:p w14:paraId="12C20B10" w14:textId="77777777" w:rsidR="00316689" w:rsidRPr="0007547C" w:rsidRDefault="00316689" w:rsidP="00316689">
      <w:pPr>
        <w:rPr>
          <w:noProof/>
        </w:rPr>
      </w:pPr>
    </w:p>
    <w:p w14:paraId="392F13DE" w14:textId="3CE3F615" w:rsidR="00316689" w:rsidRPr="00EA22B4" w:rsidRDefault="00316689" w:rsidP="00316689">
      <w:pPr>
        <w:rPr>
          <w:noProof/>
        </w:rPr>
      </w:pPr>
      <w:r>
        <w:rPr>
          <w:noProof/>
        </w:rPr>
        <w:t xml:space="preserve">For the </w:t>
      </w:r>
      <w:r w:rsidR="00324A3B">
        <w:rPr>
          <w:noProof/>
        </w:rPr>
        <w:t>calculation of</w:t>
      </w:r>
      <w:r>
        <w:rPr>
          <w:noProof/>
        </w:rPr>
        <w:t xml:space="preserve"> the CAGR the period spanning from 2021 – 2024 is considered. 2020 has been disregarded due to the COVID-19 pandemic effects. The values resulting from a query from TED are shown next:</w:t>
      </w:r>
    </w:p>
    <w:p w14:paraId="5E1A082F" w14:textId="24487359" w:rsidR="00316689" w:rsidRPr="00A54618" w:rsidRDefault="00316689" w:rsidP="00316689">
      <w:pPr>
        <w:pStyle w:val="Caption"/>
        <w:rPr>
          <w:noProof/>
          <w:szCs w:val="20"/>
        </w:rPr>
      </w:pPr>
      <w:bookmarkStart w:id="152" w:name="_Toc213440599"/>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15</w:t>
      </w:r>
      <w:r>
        <w:rPr>
          <w:noProof/>
        </w:rPr>
        <w:fldChar w:fldCharType="end"/>
      </w:r>
      <w:r>
        <w:rPr>
          <w:noProof/>
        </w:rPr>
        <w:t xml:space="preserve">. </w:t>
      </w:r>
      <w:r w:rsidRPr="00607521">
        <w:rPr>
          <w:bCs/>
          <w:noProof/>
        </w:rPr>
        <w:t xml:space="preserve">Evolution of public procurement award notices 2021 – 2024. </w:t>
      </w:r>
      <w:r w:rsidR="00984CB7">
        <w:rPr>
          <w:bCs/>
          <w:noProof/>
        </w:rPr>
        <w:t>(</w:t>
      </w:r>
      <w:r w:rsidRPr="00607521">
        <w:rPr>
          <w:bCs/>
          <w:noProof/>
          <w:szCs w:val="20"/>
        </w:rPr>
        <w:t xml:space="preserve">Source: </w:t>
      </w:r>
      <w:r w:rsidR="008F1EBB">
        <w:rPr>
          <w:bCs/>
          <w:noProof/>
          <w:szCs w:val="20"/>
        </w:rPr>
        <w:t>Technopolis et al. (2025)</w:t>
      </w:r>
      <w:r w:rsidRPr="00607521">
        <w:rPr>
          <w:bCs/>
          <w:noProof/>
          <w:szCs w:val="20"/>
        </w:rPr>
        <w:t>, elaborated from TED data</w:t>
      </w:r>
      <w:r>
        <w:rPr>
          <w:bCs/>
          <w:noProof/>
          <w:szCs w:val="20"/>
        </w:rPr>
        <w:t>)</w:t>
      </w:r>
      <w:bookmarkEnd w:id="152"/>
    </w:p>
    <w:tbl>
      <w:tblPr>
        <w:tblW w:w="5000" w:type="pct"/>
        <w:tblLook w:val="04A0" w:firstRow="1" w:lastRow="0" w:firstColumn="1" w:lastColumn="0" w:noHBand="0" w:noVBand="1"/>
      </w:tblPr>
      <w:tblGrid>
        <w:gridCol w:w="2595"/>
        <w:gridCol w:w="1087"/>
        <w:gridCol w:w="1275"/>
        <w:gridCol w:w="1277"/>
        <w:gridCol w:w="1255"/>
        <w:gridCol w:w="1556"/>
      </w:tblGrid>
      <w:tr w:rsidR="00316689" w:rsidRPr="00BD6533" w14:paraId="6B78905A" w14:textId="77777777" w:rsidTr="00070242">
        <w:trPr>
          <w:trHeight w:val="300"/>
          <w:tblHeader/>
        </w:trPr>
        <w:tc>
          <w:tcPr>
            <w:tcW w:w="1434" w:type="pct"/>
            <w:tcBorders>
              <w:bottom w:val="single" w:sz="12" w:space="0" w:color="00B0F0"/>
            </w:tcBorders>
            <w:noWrap/>
            <w:hideMark/>
          </w:tcPr>
          <w:p w14:paraId="27B8D96E" w14:textId="77777777" w:rsidR="00316689" w:rsidRPr="00DA029C" w:rsidRDefault="00316689">
            <w:pPr>
              <w:spacing w:after="0"/>
              <w:rPr>
                <w:rFonts w:eastAsia="Times New Roman"/>
                <w:b/>
                <w:noProof/>
                <w:sz w:val="22"/>
                <w:szCs w:val="22"/>
                <w:lang w:eastAsia="en-IE"/>
              </w:rPr>
            </w:pPr>
            <w:r w:rsidRPr="00DA029C">
              <w:rPr>
                <w:rFonts w:eastAsia="Times New Roman"/>
                <w:b/>
                <w:noProof/>
                <w:sz w:val="22"/>
                <w:szCs w:val="22"/>
                <w:lang w:eastAsia="en-IE"/>
              </w:rPr>
              <w:t>Count of Award Notices </w:t>
            </w:r>
          </w:p>
        </w:tc>
        <w:tc>
          <w:tcPr>
            <w:tcW w:w="601" w:type="pct"/>
            <w:tcBorders>
              <w:bottom w:val="single" w:sz="12" w:space="0" w:color="00B0F0"/>
            </w:tcBorders>
            <w:hideMark/>
          </w:tcPr>
          <w:p w14:paraId="797A0914" w14:textId="3BBC54AA" w:rsidR="00316689" w:rsidRPr="00DA029C" w:rsidRDefault="00316689" w:rsidP="00070242">
            <w:pPr>
              <w:spacing w:after="0"/>
              <w:jc w:val="center"/>
              <w:rPr>
                <w:rFonts w:eastAsia="Times New Roman"/>
                <w:b/>
                <w:noProof/>
                <w:sz w:val="22"/>
                <w:szCs w:val="22"/>
                <w:lang w:eastAsia="en-IE"/>
              </w:rPr>
            </w:pPr>
            <w:r w:rsidRPr="00DA029C">
              <w:rPr>
                <w:rFonts w:eastAsia="Times New Roman"/>
                <w:b/>
                <w:noProof/>
                <w:sz w:val="22"/>
                <w:szCs w:val="22"/>
                <w:lang w:eastAsia="en-IE"/>
              </w:rPr>
              <w:t>2021</w:t>
            </w:r>
          </w:p>
        </w:tc>
        <w:tc>
          <w:tcPr>
            <w:tcW w:w="705" w:type="pct"/>
            <w:tcBorders>
              <w:bottom w:val="single" w:sz="12" w:space="0" w:color="00B0F0"/>
            </w:tcBorders>
            <w:hideMark/>
          </w:tcPr>
          <w:p w14:paraId="59BB4657" w14:textId="4308D2BA" w:rsidR="00316689" w:rsidRPr="00DA029C" w:rsidRDefault="00316689" w:rsidP="00070242">
            <w:pPr>
              <w:spacing w:after="0"/>
              <w:jc w:val="center"/>
              <w:rPr>
                <w:rFonts w:eastAsia="Times New Roman"/>
                <w:b/>
                <w:noProof/>
                <w:sz w:val="22"/>
                <w:szCs w:val="22"/>
                <w:lang w:eastAsia="en-IE"/>
              </w:rPr>
            </w:pPr>
            <w:r w:rsidRPr="00DA029C">
              <w:rPr>
                <w:rFonts w:eastAsia="Times New Roman"/>
                <w:b/>
                <w:noProof/>
                <w:sz w:val="22"/>
                <w:szCs w:val="22"/>
                <w:lang w:eastAsia="en-IE"/>
              </w:rPr>
              <w:t>2022</w:t>
            </w:r>
          </w:p>
        </w:tc>
        <w:tc>
          <w:tcPr>
            <w:tcW w:w="706" w:type="pct"/>
            <w:tcBorders>
              <w:bottom w:val="single" w:sz="12" w:space="0" w:color="00B0F0"/>
            </w:tcBorders>
            <w:hideMark/>
          </w:tcPr>
          <w:p w14:paraId="00865E09" w14:textId="448902A9" w:rsidR="00316689" w:rsidRPr="00DA029C" w:rsidRDefault="00316689" w:rsidP="00070242">
            <w:pPr>
              <w:spacing w:after="0"/>
              <w:jc w:val="center"/>
              <w:rPr>
                <w:rFonts w:eastAsia="Times New Roman"/>
                <w:b/>
                <w:noProof/>
                <w:sz w:val="22"/>
                <w:szCs w:val="22"/>
                <w:lang w:eastAsia="en-IE"/>
              </w:rPr>
            </w:pPr>
            <w:r w:rsidRPr="00DA029C">
              <w:rPr>
                <w:rFonts w:eastAsia="Times New Roman"/>
                <w:b/>
                <w:noProof/>
                <w:sz w:val="22"/>
                <w:szCs w:val="22"/>
                <w:lang w:eastAsia="en-IE"/>
              </w:rPr>
              <w:t>2023</w:t>
            </w:r>
          </w:p>
        </w:tc>
        <w:tc>
          <w:tcPr>
            <w:tcW w:w="694" w:type="pct"/>
            <w:tcBorders>
              <w:bottom w:val="single" w:sz="12" w:space="0" w:color="00B0F0"/>
            </w:tcBorders>
            <w:hideMark/>
          </w:tcPr>
          <w:p w14:paraId="3DD23E5C" w14:textId="5737E61C" w:rsidR="00316689" w:rsidRPr="00DA029C" w:rsidRDefault="00316689" w:rsidP="00070242">
            <w:pPr>
              <w:spacing w:after="0"/>
              <w:jc w:val="center"/>
              <w:rPr>
                <w:rFonts w:eastAsia="Times New Roman"/>
                <w:b/>
                <w:noProof/>
                <w:sz w:val="22"/>
                <w:szCs w:val="22"/>
                <w:lang w:eastAsia="en-IE"/>
              </w:rPr>
            </w:pPr>
            <w:r w:rsidRPr="00DA029C">
              <w:rPr>
                <w:rFonts w:eastAsia="Times New Roman"/>
                <w:b/>
                <w:noProof/>
                <w:sz w:val="22"/>
                <w:szCs w:val="22"/>
                <w:lang w:eastAsia="en-IE"/>
              </w:rPr>
              <w:t>2024</w:t>
            </w:r>
          </w:p>
        </w:tc>
        <w:tc>
          <w:tcPr>
            <w:tcW w:w="860" w:type="pct"/>
            <w:tcBorders>
              <w:bottom w:val="single" w:sz="12" w:space="0" w:color="00B0F0"/>
            </w:tcBorders>
            <w:hideMark/>
          </w:tcPr>
          <w:p w14:paraId="45AF2704" w14:textId="77777777" w:rsidR="00316689" w:rsidRPr="00DA029C" w:rsidRDefault="00316689" w:rsidP="00070242">
            <w:pPr>
              <w:spacing w:after="0"/>
              <w:ind w:hanging="81"/>
              <w:jc w:val="center"/>
              <w:rPr>
                <w:rFonts w:eastAsia="Times New Roman"/>
                <w:b/>
                <w:noProof/>
                <w:sz w:val="22"/>
                <w:szCs w:val="22"/>
                <w:lang w:eastAsia="en-IE"/>
              </w:rPr>
            </w:pPr>
            <w:r w:rsidRPr="00DA029C">
              <w:rPr>
                <w:rFonts w:eastAsia="Times New Roman"/>
                <w:b/>
                <w:noProof/>
                <w:sz w:val="22"/>
                <w:szCs w:val="22"/>
                <w:lang w:eastAsia="en-IE"/>
              </w:rPr>
              <w:t>Avg 2021-2024</w:t>
            </w:r>
          </w:p>
        </w:tc>
      </w:tr>
      <w:tr w:rsidR="00316689" w:rsidRPr="00BD6533" w14:paraId="02CAAAF1" w14:textId="77777777" w:rsidTr="00070242">
        <w:trPr>
          <w:trHeight w:val="300"/>
        </w:trPr>
        <w:tc>
          <w:tcPr>
            <w:tcW w:w="1434" w:type="pct"/>
            <w:tcBorders>
              <w:top w:val="single" w:sz="12" w:space="0" w:color="00B0F0"/>
            </w:tcBorders>
            <w:noWrap/>
            <w:hideMark/>
          </w:tcPr>
          <w:p w14:paraId="0B46CCFA"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Cloud &amp; AI Awards</w:t>
            </w:r>
          </w:p>
        </w:tc>
        <w:tc>
          <w:tcPr>
            <w:tcW w:w="601" w:type="pct"/>
            <w:tcBorders>
              <w:top w:val="single" w:sz="12" w:space="0" w:color="00B0F0"/>
            </w:tcBorders>
            <w:noWrap/>
            <w:vAlign w:val="center"/>
            <w:hideMark/>
          </w:tcPr>
          <w:p w14:paraId="36324519"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815</w:t>
            </w:r>
          </w:p>
        </w:tc>
        <w:tc>
          <w:tcPr>
            <w:tcW w:w="705" w:type="pct"/>
            <w:tcBorders>
              <w:top w:val="single" w:sz="12" w:space="0" w:color="00B0F0"/>
            </w:tcBorders>
            <w:noWrap/>
            <w:vAlign w:val="center"/>
            <w:hideMark/>
          </w:tcPr>
          <w:p w14:paraId="4191A55A"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915 </w:t>
            </w:r>
          </w:p>
        </w:tc>
        <w:tc>
          <w:tcPr>
            <w:tcW w:w="706" w:type="pct"/>
            <w:tcBorders>
              <w:top w:val="single" w:sz="12" w:space="0" w:color="00B0F0"/>
            </w:tcBorders>
            <w:noWrap/>
            <w:vAlign w:val="center"/>
            <w:hideMark/>
          </w:tcPr>
          <w:p w14:paraId="0B813C4C" w14:textId="2C8B4318"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FA3CBE">
              <w:rPr>
                <w:rFonts w:eastAsia="Times New Roman"/>
                <w:noProof/>
                <w:sz w:val="22"/>
                <w:szCs w:val="22"/>
                <w:lang w:eastAsia="en-IE"/>
              </w:rPr>
              <w:t>,</w:t>
            </w:r>
            <w:r w:rsidRPr="00DA029C">
              <w:rPr>
                <w:rFonts w:eastAsia="Times New Roman"/>
                <w:noProof/>
                <w:sz w:val="22"/>
                <w:szCs w:val="22"/>
                <w:lang w:eastAsia="en-IE"/>
              </w:rPr>
              <w:t xml:space="preserve">017 </w:t>
            </w:r>
          </w:p>
        </w:tc>
        <w:tc>
          <w:tcPr>
            <w:tcW w:w="694" w:type="pct"/>
            <w:tcBorders>
              <w:top w:val="single" w:sz="12" w:space="0" w:color="00B0F0"/>
            </w:tcBorders>
            <w:noWrap/>
            <w:vAlign w:val="center"/>
            <w:hideMark/>
          </w:tcPr>
          <w:p w14:paraId="77F2F7D6" w14:textId="68808016" w:rsidR="00316689" w:rsidRPr="00DA029C" w:rsidRDefault="00316689" w:rsidP="00070242">
            <w:pPr>
              <w:spacing w:after="0"/>
              <w:ind w:right="11"/>
              <w:jc w:val="right"/>
              <w:rPr>
                <w:rFonts w:eastAsia="Times New Roman"/>
                <w:noProof/>
                <w:sz w:val="22"/>
                <w:szCs w:val="22"/>
                <w:lang w:eastAsia="en-IE"/>
              </w:rPr>
            </w:pPr>
            <w:r w:rsidRPr="00DA029C">
              <w:rPr>
                <w:rFonts w:eastAsia="Times New Roman"/>
                <w:noProof/>
                <w:sz w:val="22"/>
                <w:szCs w:val="22"/>
                <w:lang w:eastAsia="en-IE"/>
              </w:rPr>
              <w:t xml:space="preserve">    1</w:t>
            </w:r>
            <w:r w:rsidR="00043F5F">
              <w:rPr>
                <w:rFonts w:eastAsia="Times New Roman"/>
                <w:noProof/>
                <w:sz w:val="22"/>
                <w:szCs w:val="22"/>
                <w:lang w:eastAsia="en-IE"/>
              </w:rPr>
              <w:t xml:space="preserve"> </w:t>
            </w:r>
            <w:r w:rsidRPr="00DA029C">
              <w:rPr>
                <w:rFonts w:eastAsia="Times New Roman"/>
                <w:noProof/>
                <w:sz w:val="22"/>
                <w:szCs w:val="22"/>
                <w:lang w:eastAsia="en-IE"/>
              </w:rPr>
              <w:t xml:space="preserve">043 </w:t>
            </w:r>
          </w:p>
        </w:tc>
        <w:tc>
          <w:tcPr>
            <w:tcW w:w="860" w:type="pct"/>
            <w:tcBorders>
              <w:top w:val="single" w:sz="12" w:space="0" w:color="00B0F0"/>
            </w:tcBorders>
            <w:noWrap/>
            <w:vAlign w:val="center"/>
            <w:hideMark/>
          </w:tcPr>
          <w:p w14:paraId="3F1AD0D7"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948 </w:t>
            </w:r>
          </w:p>
        </w:tc>
      </w:tr>
      <w:tr w:rsidR="00316689" w:rsidRPr="00BD6533" w14:paraId="79C75941" w14:textId="77777777" w:rsidTr="00070242">
        <w:trPr>
          <w:trHeight w:val="300"/>
        </w:trPr>
        <w:tc>
          <w:tcPr>
            <w:tcW w:w="1434" w:type="pct"/>
            <w:noWrap/>
            <w:hideMark/>
          </w:tcPr>
          <w:p w14:paraId="340C8311" w14:textId="2F9309AC" w:rsidR="00316689" w:rsidRPr="00DA029C" w:rsidRDefault="00976672">
            <w:pPr>
              <w:spacing w:after="0"/>
              <w:rPr>
                <w:rFonts w:eastAsia="Times New Roman"/>
                <w:noProof/>
                <w:sz w:val="22"/>
                <w:szCs w:val="22"/>
                <w:lang w:eastAsia="en-IE"/>
              </w:rPr>
            </w:pPr>
            <w:r>
              <w:rPr>
                <w:rFonts w:eastAsia="Times New Roman"/>
                <w:noProof/>
                <w:sz w:val="22"/>
                <w:szCs w:val="22"/>
                <w:lang w:eastAsia="en-IE"/>
              </w:rPr>
              <w:t>I</w:t>
            </w:r>
            <w:r w:rsidR="00316689" w:rsidRPr="00DA029C">
              <w:rPr>
                <w:rFonts w:eastAsia="Times New Roman"/>
                <w:noProof/>
                <w:sz w:val="22"/>
                <w:szCs w:val="22"/>
                <w:lang w:eastAsia="en-IE"/>
              </w:rPr>
              <w:t>CT Awards</w:t>
            </w:r>
          </w:p>
        </w:tc>
        <w:tc>
          <w:tcPr>
            <w:tcW w:w="601" w:type="pct"/>
            <w:noWrap/>
            <w:vAlign w:val="center"/>
            <w:hideMark/>
          </w:tcPr>
          <w:p w14:paraId="5F0D00C3" w14:textId="24BEC3CE"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29</w:t>
            </w:r>
            <w:r w:rsidR="00043F5F">
              <w:rPr>
                <w:rFonts w:eastAsia="Times New Roman"/>
                <w:noProof/>
                <w:sz w:val="22"/>
                <w:szCs w:val="22"/>
                <w:lang w:eastAsia="en-IE"/>
              </w:rPr>
              <w:t xml:space="preserve"> </w:t>
            </w:r>
            <w:r w:rsidRPr="00DA029C">
              <w:rPr>
                <w:rFonts w:eastAsia="Times New Roman"/>
                <w:noProof/>
                <w:sz w:val="22"/>
                <w:szCs w:val="22"/>
                <w:lang w:eastAsia="en-IE"/>
              </w:rPr>
              <w:t>235</w:t>
            </w:r>
          </w:p>
        </w:tc>
        <w:tc>
          <w:tcPr>
            <w:tcW w:w="705" w:type="pct"/>
            <w:noWrap/>
            <w:vAlign w:val="center"/>
            <w:hideMark/>
          </w:tcPr>
          <w:p w14:paraId="10E324AA" w14:textId="456A7A52"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31</w:t>
            </w:r>
            <w:r w:rsidR="00043F5F">
              <w:rPr>
                <w:rFonts w:eastAsia="Times New Roman"/>
                <w:noProof/>
                <w:sz w:val="22"/>
                <w:szCs w:val="22"/>
                <w:lang w:eastAsia="en-IE"/>
              </w:rPr>
              <w:t xml:space="preserve"> </w:t>
            </w:r>
            <w:r w:rsidRPr="00DA029C">
              <w:rPr>
                <w:rFonts w:eastAsia="Times New Roman"/>
                <w:noProof/>
                <w:sz w:val="22"/>
                <w:szCs w:val="22"/>
                <w:lang w:eastAsia="en-IE"/>
              </w:rPr>
              <w:t xml:space="preserve">566 </w:t>
            </w:r>
          </w:p>
        </w:tc>
        <w:tc>
          <w:tcPr>
            <w:tcW w:w="706" w:type="pct"/>
            <w:noWrap/>
            <w:vAlign w:val="center"/>
            <w:hideMark/>
          </w:tcPr>
          <w:p w14:paraId="75024FD7" w14:textId="20E37661"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34</w:t>
            </w:r>
            <w:r w:rsidR="00043F5F">
              <w:rPr>
                <w:rFonts w:eastAsia="Times New Roman"/>
                <w:noProof/>
                <w:sz w:val="22"/>
                <w:szCs w:val="22"/>
                <w:lang w:eastAsia="en-IE"/>
              </w:rPr>
              <w:t xml:space="preserve"> </w:t>
            </w:r>
            <w:r w:rsidRPr="00DA029C">
              <w:rPr>
                <w:rFonts w:eastAsia="Times New Roman"/>
                <w:noProof/>
                <w:sz w:val="22"/>
                <w:szCs w:val="22"/>
                <w:lang w:eastAsia="en-IE"/>
              </w:rPr>
              <w:t xml:space="preserve">673 </w:t>
            </w:r>
          </w:p>
        </w:tc>
        <w:tc>
          <w:tcPr>
            <w:tcW w:w="694" w:type="pct"/>
            <w:noWrap/>
            <w:vAlign w:val="center"/>
            <w:hideMark/>
          </w:tcPr>
          <w:p w14:paraId="74BDF33F" w14:textId="514131DE"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33</w:t>
            </w:r>
            <w:r w:rsidR="00043F5F">
              <w:rPr>
                <w:rFonts w:eastAsia="Times New Roman"/>
                <w:noProof/>
                <w:sz w:val="22"/>
                <w:szCs w:val="22"/>
                <w:lang w:eastAsia="en-IE"/>
              </w:rPr>
              <w:t xml:space="preserve"> </w:t>
            </w:r>
            <w:r w:rsidRPr="00DA029C">
              <w:rPr>
                <w:rFonts w:eastAsia="Times New Roman"/>
                <w:noProof/>
                <w:sz w:val="22"/>
                <w:szCs w:val="22"/>
                <w:lang w:eastAsia="en-IE"/>
              </w:rPr>
              <w:t xml:space="preserve">299 </w:t>
            </w:r>
          </w:p>
        </w:tc>
        <w:tc>
          <w:tcPr>
            <w:tcW w:w="860" w:type="pct"/>
            <w:noWrap/>
            <w:vAlign w:val="center"/>
            <w:hideMark/>
          </w:tcPr>
          <w:p w14:paraId="3629B9BD" w14:textId="4D22E831"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32</w:t>
            </w:r>
            <w:r w:rsidR="00043F5F">
              <w:rPr>
                <w:rFonts w:eastAsia="Times New Roman"/>
                <w:noProof/>
                <w:sz w:val="22"/>
                <w:szCs w:val="22"/>
                <w:lang w:eastAsia="en-IE"/>
              </w:rPr>
              <w:t xml:space="preserve"> </w:t>
            </w:r>
            <w:r w:rsidRPr="00DA029C">
              <w:rPr>
                <w:rFonts w:eastAsia="Times New Roman"/>
                <w:noProof/>
                <w:sz w:val="22"/>
                <w:szCs w:val="22"/>
                <w:lang w:eastAsia="en-IE"/>
              </w:rPr>
              <w:t xml:space="preserve">193 </w:t>
            </w:r>
          </w:p>
        </w:tc>
      </w:tr>
      <w:tr w:rsidR="00316689" w:rsidRPr="00BD6533" w14:paraId="10FD9D10" w14:textId="77777777" w:rsidTr="00070242">
        <w:trPr>
          <w:trHeight w:val="300"/>
        </w:trPr>
        <w:tc>
          <w:tcPr>
            <w:tcW w:w="1434" w:type="pct"/>
            <w:noWrap/>
            <w:hideMark/>
          </w:tcPr>
          <w:p w14:paraId="6FB80B65"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Total Awards</w:t>
            </w:r>
          </w:p>
        </w:tc>
        <w:tc>
          <w:tcPr>
            <w:tcW w:w="601" w:type="pct"/>
            <w:noWrap/>
            <w:hideMark/>
          </w:tcPr>
          <w:p w14:paraId="029A1A68" w14:textId="4F3271C6"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272</w:t>
            </w:r>
            <w:r w:rsidR="00043F5F">
              <w:rPr>
                <w:rFonts w:eastAsia="Times New Roman"/>
                <w:noProof/>
                <w:sz w:val="22"/>
                <w:szCs w:val="22"/>
                <w:lang w:eastAsia="en-IE"/>
              </w:rPr>
              <w:t xml:space="preserve"> </w:t>
            </w:r>
            <w:r w:rsidRPr="00DA029C">
              <w:rPr>
                <w:rFonts w:eastAsia="Times New Roman"/>
                <w:noProof/>
                <w:sz w:val="22"/>
                <w:szCs w:val="22"/>
                <w:lang w:eastAsia="en-IE"/>
              </w:rPr>
              <w:t>004</w:t>
            </w:r>
          </w:p>
        </w:tc>
        <w:tc>
          <w:tcPr>
            <w:tcW w:w="705" w:type="pct"/>
            <w:noWrap/>
            <w:hideMark/>
          </w:tcPr>
          <w:p w14:paraId="6CF3ACDE" w14:textId="5D4387D4"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292</w:t>
            </w:r>
            <w:r w:rsidR="00043F5F">
              <w:rPr>
                <w:rFonts w:eastAsia="Times New Roman"/>
                <w:noProof/>
                <w:sz w:val="22"/>
                <w:szCs w:val="22"/>
                <w:lang w:eastAsia="en-IE"/>
              </w:rPr>
              <w:t xml:space="preserve"> </w:t>
            </w:r>
            <w:r w:rsidRPr="00DA029C">
              <w:rPr>
                <w:rFonts w:eastAsia="Times New Roman"/>
                <w:noProof/>
                <w:sz w:val="22"/>
                <w:szCs w:val="22"/>
                <w:lang w:eastAsia="en-IE"/>
              </w:rPr>
              <w:t>162 </w:t>
            </w:r>
          </w:p>
        </w:tc>
        <w:tc>
          <w:tcPr>
            <w:tcW w:w="706" w:type="pct"/>
            <w:noWrap/>
            <w:hideMark/>
          </w:tcPr>
          <w:p w14:paraId="5B3BBD7B" w14:textId="02BEB420"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316</w:t>
            </w:r>
            <w:r w:rsidR="00043F5F">
              <w:rPr>
                <w:rFonts w:eastAsia="Times New Roman"/>
                <w:noProof/>
                <w:sz w:val="22"/>
                <w:szCs w:val="22"/>
                <w:lang w:eastAsia="en-IE"/>
              </w:rPr>
              <w:t xml:space="preserve"> </w:t>
            </w:r>
            <w:r w:rsidRPr="00DA029C">
              <w:rPr>
                <w:rFonts w:eastAsia="Times New Roman"/>
                <w:noProof/>
                <w:sz w:val="22"/>
                <w:szCs w:val="22"/>
                <w:lang w:eastAsia="en-IE"/>
              </w:rPr>
              <w:t>899</w:t>
            </w:r>
          </w:p>
        </w:tc>
        <w:tc>
          <w:tcPr>
            <w:tcW w:w="694" w:type="pct"/>
            <w:noWrap/>
            <w:hideMark/>
          </w:tcPr>
          <w:p w14:paraId="1DE0F9C4" w14:textId="6910D683"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307</w:t>
            </w:r>
            <w:r w:rsidR="00043F5F">
              <w:rPr>
                <w:rFonts w:eastAsia="Times New Roman"/>
                <w:noProof/>
                <w:sz w:val="22"/>
                <w:szCs w:val="22"/>
                <w:lang w:eastAsia="en-IE"/>
              </w:rPr>
              <w:t xml:space="preserve"> </w:t>
            </w:r>
            <w:r w:rsidRPr="00DA029C">
              <w:rPr>
                <w:rFonts w:eastAsia="Times New Roman"/>
                <w:noProof/>
                <w:sz w:val="22"/>
                <w:szCs w:val="22"/>
                <w:lang w:eastAsia="en-IE"/>
              </w:rPr>
              <w:t>249</w:t>
            </w:r>
          </w:p>
        </w:tc>
        <w:tc>
          <w:tcPr>
            <w:tcW w:w="860" w:type="pct"/>
            <w:noWrap/>
            <w:hideMark/>
          </w:tcPr>
          <w:p w14:paraId="5ADAA520" w14:textId="460243D9"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297</w:t>
            </w:r>
            <w:r w:rsidR="00043F5F">
              <w:rPr>
                <w:rFonts w:eastAsia="Times New Roman"/>
                <w:noProof/>
                <w:sz w:val="22"/>
                <w:szCs w:val="22"/>
                <w:lang w:eastAsia="en-IE"/>
              </w:rPr>
              <w:t xml:space="preserve"> </w:t>
            </w:r>
            <w:r w:rsidRPr="00DA029C">
              <w:rPr>
                <w:rFonts w:eastAsia="Times New Roman"/>
                <w:noProof/>
                <w:sz w:val="22"/>
                <w:szCs w:val="22"/>
                <w:lang w:eastAsia="en-IE"/>
              </w:rPr>
              <w:t>079</w:t>
            </w:r>
          </w:p>
        </w:tc>
      </w:tr>
      <w:tr w:rsidR="00316689" w:rsidRPr="00BD6533" w14:paraId="2222C590" w14:textId="77777777" w:rsidTr="00070242">
        <w:trPr>
          <w:trHeight w:val="300"/>
        </w:trPr>
        <w:tc>
          <w:tcPr>
            <w:tcW w:w="1434" w:type="pct"/>
            <w:noWrap/>
            <w:hideMark/>
          </w:tcPr>
          <w:p w14:paraId="6C7F1985"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Share Cloud &amp; AI vs Total</w:t>
            </w:r>
          </w:p>
        </w:tc>
        <w:tc>
          <w:tcPr>
            <w:tcW w:w="601" w:type="pct"/>
            <w:hideMark/>
          </w:tcPr>
          <w:p w14:paraId="6302F1AF" w14:textId="1702BD4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w:t>
            </w:r>
            <w:r w:rsidR="00B6145B">
              <w:rPr>
                <w:rFonts w:eastAsia="Times New Roman"/>
                <w:noProof/>
                <w:sz w:val="22"/>
                <w:szCs w:val="22"/>
                <w:lang w:eastAsia="en-IE"/>
              </w:rPr>
              <w:t>.</w:t>
            </w:r>
            <w:r w:rsidRPr="00DA029C">
              <w:rPr>
                <w:rFonts w:eastAsia="Times New Roman"/>
                <w:noProof/>
                <w:sz w:val="22"/>
                <w:szCs w:val="22"/>
                <w:lang w:eastAsia="en-IE"/>
              </w:rPr>
              <w:t>30%</w:t>
            </w:r>
          </w:p>
        </w:tc>
        <w:tc>
          <w:tcPr>
            <w:tcW w:w="705" w:type="pct"/>
            <w:hideMark/>
          </w:tcPr>
          <w:p w14:paraId="02FEB5D9" w14:textId="22ED8569"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w:t>
            </w:r>
            <w:r w:rsidR="00B6145B">
              <w:rPr>
                <w:rFonts w:eastAsia="Times New Roman"/>
                <w:noProof/>
                <w:sz w:val="22"/>
                <w:szCs w:val="22"/>
                <w:lang w:eastAsia="en-IE"/>
              </w:rPr>
              <w:t>.</w:t>
            </w:r>
            <w:r w:rsidRPr="00DA029C">
              <w:rPr>
                <w:rFonts w:eastAsia="Times New Roman"/>
                <w:noProof/>
                <w:sz w:val="22"/>
                <w:szCs w:val="22"/>
                <w:lang w:eastAsia="en-IE"/>
              </w:rPr>
              <w:t>31%</w:t>
            </w:r>
          </w:p>
        </w:tc>
        <w:tc>
          <w:tcPr>
            <w:tcW w:w="706" w:type="pct"/>
            <w:hideMark/>
          </w:tcPr>
          <w:p w14:paraId="0092EF32" w14:textId="0D23E2B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w:t>
            </w:r>
            <w:r w:rsidR="00B6145B">
              <w:rPr>
                <w:rFonts w:eastAsia="Times New Roman"/>
                <w:noProof/>
                <w:sz w:val="22"/>
                <w:szCs w:val="22"/>
                <w:lang w:eastAsia="en-IE"/>
              </w:rPr>
              <w:t>.</w:t>
            </w:r>
            <w:r w:rsidRPr="00DA029C">
              <w:rPr>
                <w:rFonts w:eastAsia="Times New Roman"/>
                <w:noProof/>
                <w:sz w:val="22"/>
                <w:szCs w:val="22"/>
                <w:lang w:eastAsia="en-IE"/>
              </w:rPr>
              <w:t>32%</w:t>
            </w:r>
          </w:p>
        </w:tc>
        <w:tc>
          <w:tcPr>
            <w:tcW w:w="694" w:type="pct"/>
            <w:hideMark/>
          </w:tcPr>
          <w:p w14:paraId="1FEF0ED6" w14:textId="6B09068F"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w:t>
            </w:r>
            <w:r w:rsidR="00B6145B">
              <w:rPr>
                <w:rFonts w:eastAsia="Times New Roman"/>
                <w:noProof/>
                <w:sz w:val="22"/>
                <w:szCs w:val="22"/>
                <w:lang w:eastAsia="en-IE"/>
              </w:rPr>
              <w:t>.</w:t>
            </w:r>
            <w:r w:rsidRPr="00DA029C">
              <w:rPr>
                <w:rFonts w:eastAsia="Times New Roman"/>
                <w:noProof/>
                <w:sz w:val="22"/>
                <w:szCs w:val="22"/>
                <w:lang w:eastAsia="en-IE"/>
              </w:rPr>
              <w:t>34%</w:t>
            </w:r>
          </w:p>
        </w:tc>
        <w:tc>
          <w:tcPr>
            <w:tcW w:w="860" w:type="pct"/>
            <w:hideMark/>
          </w:tcPr>
          <w:p w14:paraId="3118DEA9" w14:textId="73DA1448"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w:t>
            </w:r>
            <w:r w:rsidR="00B6145B">
              <w:rPr>
                <w:rFonts w:eastAsia="Times New Roman"/>
                <w:noProof/>
                <w:sz w:val="22"/>
                <w:szCs w:val="22"/>
                <w:lang w:eastAsia="en-IE"/>
              </w:rPr>
              <w:t>.</w:t>
            </w:r>
            <w:r w:rsidRPr="00DA029C">
              <w:rPr>
                <w:rFonts w:eastAsia="Times New Roman"/>
                <w:noProof/>
                <w:sz w:val="22"/>
                <w:szCs w:val="22"/>
                <w:lang w:eastAsia="en-IE"/>
              </w:rPr>
              <w:t>32%</w:t>
            </w:r>
          </w:p>
        </w:tc>
      </w:tr>
    </w:tbl>
    <w:p w14:paraId="01B135F1" w14:textId="77777777" w:rsidR="00316689" w:rsidRDefault="00316689" w:rsidP="00070242">
      <w:pPr>
        <w:spacing w:before="240"/>
        <w:rPr>
          <w:noProof/>
        </w:rPr>
      </w:pPr>
      <w:r>
        <w:rPr>
          <w:noProof/>
        </w:rPr>
        <w:t>The data above r</w:t>
      </w:r>
      <w:r w:rsidRPr="00EA22B4">
        <w:rPr>
          <w:noProof/>
        </w:rPr>
        <w:t>esult</w:t>
      </w:r>
      <w:r>
        <w:rPr>
          <w:noProof/>
        </w:rPr>
        <w:t>s</w:t>
      </w:r>
      <w:r w:rsidRPr="00EA22B4">
        <w:rPr>
          <w:noProof/>
        </w:rPr>
        <w:t xml:space="preserve"> in a CAGR for the period 2021 </w:t>
      </w:r>
      <w:r w:rsidRPr="00EA22B4">
        <w:rPr>
          <w:rFonts w:hint="cs"/>
          <w:noProof/>
        </w:rPr>
        <w:t>–</w:t>
      </w:r>
      <w:r w:rsidRPr="00EA22B4">
        <w:rPr>
          <w:noProof/>
        </w:rPr>
        <w:t xml:space="preserve"> 20</w:t>
      </w:r>
      <w:r>
        <w:rPr>
          <w:noProof/>
        </w:rPr>
        <w:t>2</w:t>
      </w:r>
      <w:r w:rsidRPr="00EA22B4">
        <w:rPr>
          <w:noProof/>
        </w:rPr>
        <w:t>4</w:t>
      </w:r>
      <w:r>
        <w:rPr>
          <w:noProof/>
        </w:rPr>
        <w:t xml:space="preserve"> of 8.6%</w:t>
      </w:r>
      <w:r w:rsidRPr="00EA22B4">
        <w:rPr>
          <w:noProof/>
        </w:rPr>
        <w:t>. Conservatively</w:t>
      </w:r>
      <w:r>
        <w:rPr>
          <w:noProof/>
        </w:rPr>
        <w:t>,</w:t>
      </w:r>
      <w:r w:rsidRPr="00EA22B4">
        <w:rPr>
          <w:noProof/>
        </w:rPr>
        <w:t xml:space="preserve"> it is assumed that the CAGR between now and 2030 will grow at the current pace whereas it will grow half as fast</w:t>
      </w:r>
      <w:r>
        <w:rPr>
          <w:noProof/>
        </w:rPr>
        <w:t xml:space="preserve"> afterwards</w:t>
      </w:r>
      <w:r w:rsidRPr="00EA22B4">
        <w:rPr>
          <w:noProof/>
        </w:rPr>
        <w:t>.</w:t>
      </w:r>
    </w:p>
    <w:p w14:paraId="066F0EC5" w14:textId="72FBA23A" w:rsidR="00316689" w:rsidRPr="004C6723" w:rsidRDefault="00316689" w:rsidP="00316689">
      <w:pPr>
        <w:pStyle w:val="Caption"/>
        <w:rPr>
          <w:bCs/>
          <w:noProof/>
        </w:rPr>
      </w:pPr>
      <w:bookmarkStart w:id="153" w:name="_Toc213440600"/>
      <w:r w:rsidRPr="004C6723">
        <w:rPr>
          <w:bCs/>
          <w:noProof/>
        </w:rPr>
        <w:t xml:space="preserve">Table </w:t>
      </w:r>
      <w:r w:rsidRPr="004C6723">
        <w:rPr>
          <w:bCs/>
          <w:noProof/>
        </w:rPr>
        <w:fldChar w:fldCharType="begin"/>
      </w:r>
      <w:r w:rsidRPr="004C6723">
        <w:rPr>
          <w:bCs/>
          <w:noProof/>
        </w:rPr>
        <w:instrText xml:space="preserve"> SEQ Table \* ARABIC </w:instrText>
      </w:r>
      <w:r w:rsidRPr="004C6723">
        <w:rPr>
          <w:bCs/>
          <w:noProof/>
        </w:rPr>
        <w:fldChar w:fldCharType="separate"/>
      </w:r>
      <w:r w:rsidR="000E7F11">
        <w:rPr>
          <w:bCs/>
          <w:noProof/>
        </w:rPr>
        <w:t>16</w:t>
      </w:r>
      <w:r w:rsidRPr="004C6723">
        <w:rPr>
          <w:bCs/>
          <w:noProof/>
        </w:rPr>
        <w:fldChar w:fldCharType="end"/>
      </w:r>
      <w:r w:rsidRPr="004C6723">
        <w:rPr>
          <w:bCs/>
          <w:noProof/>
        </w:rPr>
        <w:t xml:space="preserve">. CAGR for public procurement award notices for ICT and cloud and AI. </w:t>
      </w:r>
      <w:r>
        <w:rPr>
          <w:bCs/>
          <w:noProof/>
        </w:rPr>
        <w:t>(</w:t>
      </w:r>
      <w:r w:rsidRPr="004C6723">
        <w:rPr>
          <w:bCs/>
          <w:noProof/>
        </w:rPr>
        <w:t xml:space="preserve">Source: European Commission based on data provided by </w:t>
      </w:r>
      <w:bookmarkEnd w:id="153"/>
      <w:r w:rsidR="00E805AD">
        <w:rPr>
          <w:bCs/>
          <w:noProof/>
        </w:rPr>
        <w:t>Technopolis et al. (2025)</w:t>
      </w:r>
      <w:r>
        <w:rPr>
          <w:bCs/>
          <w:noProof/>
        </w:rPr>
        <w:t>)</w:t>
      </w:r>
    </w:p>
    <w:tbl>
      <w:tblPr>
        <w:tblW w:w="5000" w:type="pct"/>
        <w:tblLook w:val="04A0" w:firstRow="1" w:lastRow="0" w:firstColumn="1" w:lastColumn="0" w:noHBand="0" w:noVBand="1"/>
      </w:tblPr>
      <w:tblGrid>
        <w:gridCol w:w="4478"/>
        <w:gridCol w:w="1523"/>
        <w:gridCol w:w="1523"/>
        <w:gridCol w:w="1521"/>
      </w:tblGrid>
      <w:tr w:rsidR="00316689" w:rsidRPr="00BD6533" w14:paraId="3DF84668" w14:textId="77777777" w:rsidTr="001830AE">
        <w:trPr>
          <w:trHeight w:val="300"/>
        </w:trPr>
        <w:tc>
          <w:tcPr>
            <w:tcW w:w="2475" w:type="pct"/>
            <w:tcBorders>
              <w:bottom w:val="single" w:sz="12" w:space="0" w:color="00B0F0"/>
            </w:tcBorders>
            <w:noWrap/>
            <w:vAlign w:val="bottom"/>
            <w:hideMark/>
          </w:tcPr>
          <w:p w14:paraId="6D965DD7" w14:textId="77777777" w:rsidR="00316689" w:rsidRPr="00DA029C" w:rsidRDefault="00316689">
            <w:pPr>
              <w:spacing w:after="0"/>
              <w:rPr>
                <w:rFonts w:eastAsia="Times New Roman"/>
                <w:noProof/>
                <w:sz w:val="22"/>
                <w:szCs w:val="22"/>
                <w:lang w:eastAsia="en-IE"/>
              </w:rPr>
            </w:pPr>
          </w:p>
        </w:tc>
        <w:tc>
          <w:tcPr>
            <w:tcW w:w="842" w:type="pct"/>
            <w:tcBorders>
              <w:bottom w:val="single" w:sz="12" w:space="0" w:color="00B0F0"/>
            </w:tcBorders>
            <w:noWrap/>
            <w:vAlign w:val="bottom"/>
            <w:hideMark/>
          </w:tcPr>
          <w:p w14:paraId="3C9AF81F" w14:textId="77777777" w:rsidR="00316689" w:rsidRPr="00DA029C" w:rsidRDefault="00316689">
            <w:pPr>
              <w:spacing w:after="0"/>
              <w:jc w:val="center"/>
              <w:rPr>
                <w:rFonts w:eastAsia="Times New Roman"/>
                <w:b/>
                <w:noProof/>
                <w:sz w:val="22"/>
                <w:szCs w:val="22"/>
                <w:lang w:eastAsia="en-IE"/>
              </w:rPr>
            </w:pPr>
            <w:r w:rsidRPr="00DA029C">
              <w:rPr>
                <w:rFonts w:eastAsia="Times New Roman"/>
                <w:b/>
                <w:noProof/>
                <w:sz w:val="22"/>
                <w:szCs w:val="22"/>
                <w:lang w:eastAsia="en-IE"/>
              </w:rPr>
              <w:t>2021-24</w:t>
            </w:r>
          </w:p>
        </w:tc>
        <w:tc>
          <w:tcPr>
            <w:tcW w:w="842" w:type="pct"/>
            <w:tcBorders>
              <w:bottom w:val="single" w:sz="12" w:space="0" w:color="00B0F0"/>
            </w:tcBorders>
            <w:noWrap/>
            <w:vAlign w:val="bottom"/>
            <w:hideMark/>
          </w:tcPr>
          <w:p w14:paraId="202D8951" w14:textId="77777777" w:rsidR="00316689" w:rsidRPr="00DA029C" w:rsidRDefault="00316689">
            <w:pPr>
              <w:spacing w:after="0"/>
              <w:jc w:val="center"/>
              <w:rPr>
                <w:rFonts w:eastAsia="Times New Roman"/>
                <w:b/>
                <w:noProof/>
                <w:sz w:val="22"/>
                <w:szCs w:val="22"/>
                <w:lang w:eastAsia="en-IE"/>
              </w:rPr>
            </w:pPr>
            <w:r w:rsidRPr="00DA029C">
              <w:rPr>
                <w:rFonts w:eastAsia="Times New Roman"/>
                <w:b/>
                <w:noProof/>
                <w:sz w:val="22"/>
                <w:szCs w:val="22"/>
                <w:lang w:eastAsia="en-IE"/>
              </w:rPr>
              <w:t>2025-30</w:t>
            </w:r>
          </w:p>
        </w:tc>
        <w:tc>
          <w:tcPr>
            <w:tcW w:w="842" w:type="pct"/>
            <w:tcBorders>
              <w:bottom w:val="single" w:sz="12" w:space="0" w:color="00B0F0"/>
            </w:tcBorders>
            <w:noWrap/>
            <w:vAlign w:val="bottom"/>
            <w:hideMark/>
          </w:tcPr>
          <w:p w14:paraId="0DF9A9EB" w14:textId="77777777" w:rsidR="00316689" w:rsidRPr="00DA029C" w:rsidRDefault="00316689">
            <w:pPr>
              <w:spacing w:after="0"/>
              <w:jc w:val="center"/>
              <w:rPr>
                <w:rFonts w:eastAsia="Times New Roman"/>
                <w:b/>
                <w:noProof/>
                <w:sz w:val="22"/>
                <w:szCs w:val="22"/>
                <w:lang w:eastAsia="en-IE"/>
              </w:rPr>
            </w:pPr>
            <w:r w:rsidRPr="00DA029C">
              <w:rPr>
                <w:rFonts w:eastAsia="Times New Roman"/>
                <w:b/>
                <w:noProof/>
                <w:sz w:val="22"/>
                <w:szCs w:val="22"/>
                <w:lang w:eastAsia="en-IE"/>
              </w:rPr>
              <w:t>2031-36</w:t>
            </w:r>
          </w:p>
        </w:tc>
      </w:tr>
      <w:tr w:rsidR="00316689" w:rsidRPr="00BD6533" w14:paraId="4150B894" w14:textId="77777777" w:rsidTr="001830AE">
        <w:trPr>
          <w:trHeight w:val="300"/>
        </w:trPr>
        <w:tc>
          <w:tcPr>
            <w:tcW w:w="2475" w:type="pct"/>
            <w:tcBorders>
              <w:top w:val="single" w:sz="12" w:space="0" w:color="00B0F0"/>
            </w:tcBorders>
            <w:vAlign w:val="center"/>
            <w:hideMark/>
          </w:tcPr>
          <w:p w14:paraId="78B1D9CC" w14:textId="77777777" w:rsidR="00316689" w:rsidRPr="00DA029C" w:rsidRDefault="00316689">
            <w:pPr>
              <w:spacing w:after="0"/>
              <w:rPr>
                <w:rFonts w:eastAsia="Times New Roman"/>
                <w:bCs/>
                <w:noProof/>
                <w:sz w:val="22"/>
                <w:szCs w:val="22"/>
                <w:lang w:eastAsia="en-IE"/>
              </w:rPr>
            </w:pPr>
            <w:r w:rsidRPr="00DA029C">
              <w:rPr>
                <w:rFonts w:eastAsia="Times New Roman"/>
                <w:bCs/>
                <w:noProof/>
                <w:sz w:val="22"/>
                <w:szCs w:val="22"/>
                <w:lang w:eastAsia="en-IE"/>
              </w:rPr>
              <w:t>CAGR Cloud &amp; AI Awards</w:t>
            </w:r>
          </w:p>
        </w:tc>
        <w:tc>
          <w:tcPr>
            <w:tcW w:w="842" w:type="pct"/>
            <w:tcBorders>
              <w:top w:val="single" w:sz="12" w:space="0" w:color="00B0F0"/>
            </w:tcBorders>
            <w:noWrap/>
            <w:vAlign w:val="bottom"/>
            <w:hideMark/>
          </w:tcPr>
          <w:p w14:paraId="59FD5507" w14:textId="6F30A1F8"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8</w:t>
            </w:r>
            <w:r w:rsidR="002B7AFC">
              <w:rPr>
                <w:rFonts w:eastAsia="Times New Roman"/>
                <w:noProof/>
                <w:sz w:val="22"/>
                <w:szCs w:val="22"/>
                <w:lang w:eastAsia="en-IE"/>
              </w:rPr>
              <w:t>.</w:t>
            </w:r>
            <w:r w:rsidRPr="00DA029C">
              <w:rPr>
                <w:rFonts w:eastAsia="Times New Roman"/>
                <w:noProof/>
                <w:sz w:val="22"/>
                <w:szCs w:val="22"/>
                <w:lang w:eastAsia="en-IE"/>
              </w:rPr>
              <w:t>6%</w:t>
            </w:r>
          </w:p>
        </w:tc>
        <w:tc>
          <w:tcPr>
            <w:tcW w:w="842" w:type="pct"/>
            <w:tcBorders>
              <w:top w:val="single" w:sz="12" w:space="0" w:color="00B0F0"/>
            </w:tcBorders>
            <w:noWrap/>
            <w:vAlign w:val="bottom"/>
            <w:hideMark/>
          </w:tcPr>
          <w:p w14:paraId="66B3D95D" w14:textId="02357169"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8</w:t>
            </w:r>
            <w:r w:rsidR="002B7AFC">
              <w:rPr>
                <w:rFonts w:eastAsia="Times New Roman"/>
                <w:noProof/>
                <w:sz w:val="22"/>
                <w:szCs w:val="22"/>
                <w:lang w:eastAsia="en-IE"/>
              </w:rPr>
              <w:t>.</w:t>
            </w:r>
            <w:r w:rsidRPr="00DA029C">
              <w:rPr>
                <w:rFonts w:eastAsia="Times New Roman"/>
                <w:noProof/>
                <w:sz w:val="22"/>
                <w:szCs w:val="22"/>
                <w:lang w:eastAsia="en-IE"/>
              </w:rPr>
              <w:t>6%</w:t>
            </w:r>
          </w:p>
        </w:tc>
        <w:tc>
          <w:tcPr>
            <w:tcW w:w="842" w:type="pct"/>
            <w:tcBorders>
              <w:top w:val="single" w:sz="12" w:space="0" w:color="00B0F0"/>
            </w:tcBorders>
            <w:noWrap/>
            <w:vAlign w:val="bottom"/>
            <w:hideMark/>
          </w:tcPr>
          <w:p w14:paraId="1CA6AD3D" w14:textId="42DA91B5"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w:t>
            </w:r>
            <w:r w:rsidR="002B7AFC">
              <w:rPr>
                <w:rFonts w:eastAsia="Times New Roman"/>
                <w:noProof/>
                <w:sz w:val="22"/>
                <w:szCs w:val="22"/>
                <w:lang w:eastAsia="en-IE"/>
              </w:rPr>
              <w:t>.</w:t>
            </w:r>
            <w:r w:rsidRPr="00DA029C">
              <w:rPr>
                <w:rFonts w:eastAsia="Times New Roman"/>
                <w:noProof/>
                <w:sz w:val="22"/>
                <w:szCs w:val="22"/>
                <w:lang w:eastAsia="en-IE"/>
              </w:rPr>
              <w:t>3%</w:t>
            </w:r>
          </w:p>
        </w:tc>
      </w:tr>
      <w:tr w:rsidR="00316689" w:rsidRPr="00BD6533" w14:paraId="02E8E3FE" w14:textId="77777777" w:rsidTr="001830AE">
        <w:trPr>
          <w:trHeight w:val="300"/>
        </w:trPr>
        <w:tc>
          <w:tcPr>
            <w:tcW w:w="2475" w:type="pct"/>
            <w:vAlign w:val="center"/>
            <w:hideMark/>
          </w:tcPr>
          <w:p w14:paraId="50C5E12D" w14:textId="77777777" w:rsidR="00316689" w:rsidRPr="00DA029C" w:rsidRDefault="00316689">
            <w:pPr>
              <w:spacing w:after="0"/>
              <w:rPr>
                <w:rFonts w:eastAsia="Times New Roman"/>
                <w:bCs/>
                <w:noProof/>
                <w:sz w:val="22"/>
                <w:szCs w:val="22"/>
                <w:lang w:eastAsia="en-IE"/>
              </w:rPr>
            </w:pPr>
            <w:r w:rsidRPr="00DA029C">
              <w:rPr>
                <w:rFonts w:eastAsia="Times New Roman"/>
                <w:bCs/>
                <w:noProof/>
                <w:sz w:val="22"/>
                <w:szCs w:val="22"/>
                <w:lang w:eastAsia="en-IE"/>
              </w:rPr>
              <w:t>CAGR ICT awards</w:t>
            </w:r>
          </w:p>
        </w:tc>
        <w:tc>
          <w:tcPr>
            <w:tcW w:w="842" w:type="pct"/>
            <w:noWrap/>
            <w:vAlign w:val="bottom"/>
            <w:hideMark/>
          </w:tcPr>
          <w:p w14:paraId="525C6C44" w14:textId="5614B01C"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w:t>
            </w:r>
            <w:r w:rsidR="002B7AFC">
              <w:rPr>
                <w:rFonts w:eastAsia="Times New Roman"/>
                <w:noProof/>
                <w:sz w:val="22"/>
                <w:szCs w:val="22"/>
                <w:lang w:eastAsia="en-IE"/>
              </w:rPr>
              <w:t>.</w:t>
            </w:r>
            <w:r w:rsidRPr="00DA029C">
              <w:rPr>
                <w:rFonts w:eastAsia="Times New Roman"/>
                <w:noProof/>
                <w:sz w:val="22"/>
                <w:szCs w:val="22"/>
                <w:lang w:eastAsia="en-IE"/>
              </w:rPr>
              <w:t>4%</w:t>
            </w:r>
          </w:p>
        </w:tc>
        <w:tc>
          <w:tcPr>
            <w:tcW w:w="842" w:type="pct"/>
            <w:noWrap/>
            <w:vAlign w:val="bottom"/>
            <w:hideMark/>
          </w:tcPr>
          <w:p w14:paraId="3EB23C47" w14:textId="38DF0652"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w:t>
            </w:r>
            <w:r w:rsidR="002B7AFC">
              <w:rPr>
                <w:rFonts w:eastAsia="Times New Roman"/>
                <w:noProof/>
                <w:sz w:val="22"/>
                <w:szCs w:val="22"/>
                <w:lang w:eastAsia="en-IE"/>
              </w:rPr>
              <w:t>.</w:t>
            </w:r>
            <w:r w:rsidRPr="00DA029C">
              <w:rPr>
                <w:rFonts w:eastAsia="Times New Roman"/>
                <w:noProof/>
                <w:sz w:val="22"/>
                <w:szCs w:val="22"/>
                <w:lang w:eastAsia="en-IE"/>
              </w:rPr>
              <w:t>4%</w:t>
            </w:r>
          </w:p>
        </w:tc>
        <w:tc>
          <w:tcPr>
            <w:tcW w:w="842" w:type="pct"/>
            <w:noWrap/>
            <w:vAlign w:val="bottom"/>
            <w:hideMark/>
          </w:tcPr>
          <w:p w14:paraId="56BF45E2" w14:textId="5F0250A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2</w:t>
            </w:r>
            <w:r w:rsidR="002B7AFC">
              <w:rPr>
                <w:rFonts w:eastAsia="Times New Roman"/>
                <w:noProof/>
                <w:sz w:val="22"/>
                <w:szCs w:val="22"/>
                <w:lang w:eastAsia="en-IE"/>
              </w:rPr>
              <w:t>.</w:t>
            </w:r>
            <w:r w:rsidRPr="00DA029C">
              <w:rPr>
                <w:rFonts w:eastAsia="Times New Roman"/>
                <w:noProof/>
                <w:sz w:val="22"/>
                <w:szCs w:val="22"/>
                <w:lang w:eastAsia="en-IE"/>
              </w:rPr>
              <w:t>2%</w:t>
            </w:r>
          </w:p>
        </w:tc>
      </w:tr>
      <w:tr w:rsidR="00316689" w:rsidRPr="00BD6533" w14:paraId="1DE24DC7" w14:textId="77777777" w:rsidTr="001830AE">
        <w:trPr>
          <w:trHeight w:val="300"/>
        </w:trPr>
        <w:tc>
          <w:tcPr>
            <w:tcW w:w="2475" w:type="pct"/>
            <w:vAlign w:val="center"/>
            <w:hideMark/>
          </w:tcPr>
          <w:p w14:paraId="3B7F4889" w14:textId="77777777" w:rsidR="00316689" w:rsidRPr="00DA029C" w:rsidRDefault="00316689">
            <w:pPr>
              <w:spacing w:after="0"/>
              <w:rPr>
                <w:rFonts w:eastAsia="Times New Roman"/>
                <w:bCs/>
                <w:noProof/>
                <w:sz w:val="22"/>
                <w:szCs w:val="22"/>
                <w:lang w:eastAsia="en-IE"/>
              </w:rPr>
            </w:pPr>
            <w:r w:rsidRPr="00DA029C">
              <w:rPr>
                <w:rFonts w:eastAsia="Times New Roman"/>
                <w:bCs/>
                <w:noProof/>
                <w:sz w:val="22"/>
                <w:szCs w:val="22"/>
                <w:lang w:eastAsia="en-IE"/>
              </w:rPr>
              <w:t xml:space="preserve">CAGR </w:t>
            </w:r>
            <w:r w:rsidRPr="00DA029C">
              <w:rPr>
                <w:rFonts w:eastAsia="Times New Roman"/>
                <w:noProof/>
                <w:sz w:val="22"/>
                <w:szCs w:val="22"/>
                <w:lang w:eastAsia="en-IE"/>
              </w:rPr>
              <w:t>Total awards</w:t>
            </w:r>
          </w:p>
        </w:tc>
        <w:tc>
          <w:tcPr>
            <w:tcW w:w="842" w:type="pct"/>
            <w:noWrap/>
            <w:vAlign w:val="bottom"/>
            <w:hideMark/>
          </w:tcPr>
          <w:p w14:paraId="1D0E91A1" w14:textId="4D6D1BAC"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w:t>
            </w:r>
            <w:r w:rsidR="002B7AFC">
              <w:rPr>
                <w:rFonts w:eastAsia="Times New Roman"/>
                <w:noProof/>
                <w:sz w:val="22"/>
                <w:szCs w:val="22"/>
                <w:lang w:eastAsia="en-IE"/>
              </w:rPr>
              <w:t>.</w:t>
            </w:r>
            <w:r w:rsidRPr="00DA029C">
              <w:rPr>
                <w:rFonts w:eastAsia="Times New Roman"/>
                <w:noProof/>
                <w:sz w:val="22"/>
                <w:szCs w:val="22"/>
                <w:lang w:eastAsia="en-IE"/>
              </w:rPr>
              <w:t>1%</w:t>
            </w:r>
          </w:p>
        </w:tc>
        <w:tc>
          <w:tcPr>
            <w:tcW w:w="842" w:type="pct"/>
            <w:noWrap/>
            <w:vAlign w:val="bottom"/>
            <w:hideMark/>
          </w:tcPr>
          <w:p w14:paraId="52F5A082" w14:textId="51671B2F"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w:t>
            </w:r>
            <w:r w:rsidR="002B7AFC">
              <w:rPr>
                <w:rFonts w:eastAsia="Times New Roman"/>
                <w:noProof/>
                <w:sz w:val="22"/>
                <w:szCs w:val="22"/>
                <w:lang w:eastAsia="en-IE"/>
              </w:rPr>
              <w:t>.</w:t>
            </w:r>
            <w:r w:rsidRPr="00DA029C">
              <w:rPr>
                <w:rFonts w:eastAsia="Times New Roman"/>
                <w:noProof/>
                <w:sz w:val="22"/>
                <w:szCs w:val="22"/>
                <w:lang w:eastAsia="en-IE"/>
              </w:rPr>
              <w:t>1%</w:t>
            </w:r>
          </w:p>
        </w:tc>
        <w:tc>
          <w:tcPr>
            <w:tcW w:w="842" w:type="pct"/>
            <w:noWrap/>
            <w:vAlign w:val="bottom"/>
            <w:hideMark/>
          </w:tcPr>
          <w:p w14:paraId="341B7EF5" w14:textId="0FD68154"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2</w:t>
            </w:r>
            <w:r w:rsidR="002B7AFC">
              <w:rPr>
                <w:rFonts w:eastAsia="Times New Roman"/>
                <w:noProof/>
                <w:sz w:val="22"/>
                <w:szCs w:val="22"/>
                <w:lang w:eastAsia="en-IE"/>
              </w:rPr>
              <w:t>.</w:t>
            </w:r>
            <w:r w:rsidRPr="00DA029C">
              <w:rPr>
                <w:rFonts w:eastAsia="Times New Roman"/>
                <w:noProof/>
                <w:sz w:val="22"/>
                <w:szCs w:val="22"/>
                <w:lang w:eastAsia="en-IE"/>
              </w:rPr>
              <w:t>1%</w:t>
            </w:r>
          </w:p>
        </w:tc>
      </w:tr>
    </w:tbl>
    <w:p w14:paraId="0DCE9DCB" w14:textId="77777777" w:rsidR="00316689" w:rsidRPr="0007547C" w:rsidRDefault="00316689" w:rsidP="00316689">
      <w:pPr>
        <w:rPr>
          <w:noProof/>
        </w:rPr>
      </w:pPr>
    </w:p>
    <w:p w14:paraId="4A8827B2" w14:textId="4BA29A8C" w:rsidR="00316689" w:rsidRPr="004311C3" w:rsidRDefault="00316689" w:rsidP="00316689">
      <w:pPr>
        <w:rPr>
          <w:noProof/>
        </w:rPr>
      </w:pPr>
      <w:r w:rsidRPr="004311C3">
        <w:rPr>
          <w:noProof/>
        </w:rPr>
        <w:t xml:space="preserve">With regards to the </w:t>
      </w:r>
      <w:r w:rsidRPr="004311C3">
        <w:rPr>
          <w:b/>
          <w:bCs/>
          <w:noProof/>
        </w:rPr>
        <w:t>highly critical use cases</w:t>
      </w:r>
      <w:r w:rsidRPr="004311C3">
        <w:rPr>
          <w:noProof/>
        </w:rPr>
        <w:t xml:space="preserve">, the assumption </w:t>
      </w:r>
      <w:r>
        <w:rPr>
          <w:noProof/>
        </w:rPr>
        <w:t xml:space="preserve">is </w:t>
      </w:r>
      <w:r w:rsidRPr="004311C3">
        <w:rPr>
          <w:noProof/>
        </w:rPr>
        <w:t xml:space="preserve">that </w:t>
      </w:r>
      <w:r w:rsidR="00005A4B">
        <w:rPr>
          <w:noProof/>
        </w:rPr>
        <w:t>10</w:t>
      </w:r>
      <w:r w:rsidRPr="004311C3">
        <w:rPr>
          <w:noProof/>
        </w:rPr>
        <w:t>% of all contract award notices represent these narrowly scoped use cases</w:t>
      </w:r>
      <w:r>
        <w:rPr>
          <w:rStyle w:val="FootnoteReference"/>
          <w:noProof/>
        </w:rPr>
        <w:footnoteReference w:id="38"/>
      </w:r>
      <w:r>
        <w:rPr>
          <w:noProof/>
        </w:rPr>
        <w:t xml:space="preserve">. </w:t>
      </w:r>
      <w:r w:rsidRPr="004311C3">
        <w:rPr>
          <w:noProof/>
        </w:rPr>
        <w:t xml:space="preserve"> </w:t>
      </w:r>
      <w:r>
        <w:rPr>
          <w:noProof/>
        </w:rPr>
        <w:t xml:space="preserve">Applying this to 2024 figures, the number of procurement procedures of cloud and AI </w:t>
      </w:r>
      <w:r w:rsidR="003B27FD">
        <w:rPr>
          <w:noProof/>
        </w:rPr>
        <w:t xml:space="preserve">computing </w:t>
      </w:r>
      <w:r>
        <w:rPr>
          <w:noProof/>
        </w:rPr>
        <w:t xml:space="preserve">services in that year is 52. </w:t>
      </w:r>
      <w:r w:rsidRPr="004311C3">
        <w:rPr>
          <w:noProof/>
        </w:rPr>
        <w:t>The CAGR for this specific case is considered to be the same as for other types of use cases.</w:t>
      </w:r>
      <w:r>
        <w:rPr>
          <w:noProof/>
        </w:rPr>
        <w:t xml:space="preserve"> The data provided in TED is not disaggregated enough to provide information on the criticality of the use cases and in some cases, the sectors are not present, making very difficult a further extrapolation.</w:t>
      </w:r>
    </w:p>
    <w:p w14:paraId="6467C548" w14:textId="77777777" w:rsidR="00316689" w:rsidRDefault="00316689" w:rsidP="00316689">
      <w:pPr>
        <w:rPr>
          <w:noProof/>
        </w:rPr>
      </w:pPr>
      <w:r>
        <w:rPr>
          <w:noProof/>
        </w:rPr>
        <w:t>The above assumptions yield the following projections:</w:t>
      </w:r>
    </w:p>
    <w:p w14:paraId="7C085164" w14:textId="3E27731B" w:rsidR="00316689" w:rsidRPr="00562AC9" w:rsidRDefault="00316689" w:rsidP="00316689">
      <w:pPr>
        <w:pStyle w:val="Caption"/>
        <w:rPr>
          <w:bCs/>
          <w:noProof/>
        </w:rPr>
      </w:pPr>
      <w:bookmarkStart w:id="154" w:name="_Toc213440601"/>
      <w:r w:rsidRPr="00562AC9">
        <w:rPr>
          <w:bCs/>
          <w:noProof/>
        </w:rPr>
        <w:t xml:space="preserve">Table </w:t>
      </w:r>
      <w:r w:rsidRPr="00562AC9">
        <w:rPr>
          <w:bCs/>
          <w:noProof/>
        </w:rPr>
        <w:fldChar w:fldCharType="begin"/>
      </w:r>
      <w:r w:rsidRPr="00562AC9">
        <w:rPr>
          <w:bCs/>
          <w:noProof/>
        </w:rPr>
        <w:instrText xml:space="preserve"> SEQ Table \* ARABIC </w:instrText>
      </w:r>
      <w:r w:rsidRPr="00562AC9">
        <w:rPr>
          <w:bCs/>
          <w:noProof/>
        </w:rPr>
        <w:fldChar w:fldCharType="separate"/>
      </w:r>
      <w:r w:rsidR="000E7F11">
        <w:rPr>
          <w:bCs/>
          <w:noProof/>
        </w:rPr>
        <w:t>17</w:t>
      </w:r>
      <w:r w:rsidRPr="00562AC9">
        <w:rPr>
          <w:bCs/>
          <w:noProof/>
        </w:rPr>
        <w:fldChar w:fldCharType="end"/>
      </w:r>
      <w:r w:rsidRPr="00562AC9">
        <w:rPr>
          <w:bCs/>
          <w:noProof/>
        </w:rPr>
        <w:t xml:space="preserve">. Projected </w:t>
      </w:r>
      <w:r w:rsidR="00CB7C1F" w:rsidRPr="00562AC9">
        <w:rPr>
          <w:bCs/>
          <w:noProof/>
        </w:rPr>
        <w:t>number</w:t>
      </w:r>
      <w:r w:rsidRPr="00562AC9">
        <w:rPr>
          <w:bCs/>
          <w:noProof/>
        </w:rPr>
        <w:t xml:space="preserve"> of cloud &amp; AI awards (Source: European Commission based on data provided by </w:t>
      </w:r>
      <w:r w:rsidR="00E805AD">
        <w:rPr>
          <w:bCs/>
          <w:noProof/>
        </w:rPr>
        <w:t xml:space="preserve">Technopolis et al. </w:t>
      </w:r>
      <w:bookmarkEnd w:id="154"/>
      <w:r w:rsidR="00E805AD">
        <w:rPr>
          <w:bCs/>
          <w:noProof/>
        </w:rPr>
        <w:t>(2025))</w:t>
      </w:r>
    </w:p>
    <w:tbl>
      <w:tblPr>
        <w:tblW w:w="5000" w:type="pct"/>
        <w:tblLook w:val="0000" w:firstRow="0" w:lastRow="0" w:firstColumn="0" w:lastColumn="0" w:noHBand="0" w:noVBand="0"/>
      </w:tblPr>
      <w:tblGrid>
        <w:gridCol w:w="3017"/>
        <w:gridCol w:w="3016"/>
        <w:gridCol w:w="3012"/>
      </w:tblGrid>
      <w:tr w:rsidR="00316689" w:rsidRPr="00BD6533" w14:paraId="761F6E9E" w14:textId="77777777" w:rsidTr="003739F4">
        <w:trPr>
          <w:trHeight w:val="305"/>
          <w:tblHeader/>
        </w:trPr>
        <w:tc>
          <w:tcPr>
            <w:tcW w:w="1668" w:type="pct"/>
            <w:tcBorders>
              <w:bottom w:val="single" w:sz="12" w:space="0" w:color="00B0F0"/>
            </w:tcBorders>
          </w:tcPr>
          <w:p w14:paraId="66275B4B" w14:textId="77777777" w:rsidR="00316689" w:rsidRPr="00DA029C" w:rsidRDefault="00316689">
            <w:pPr>
              <w:autoSpaceDE w:val="0"/>
              <w:autoSpaceDN w:val="0"/>
              <w:adjustRightInd w:val="0"/>
              <w:spacing w:after="0"/>
              <w:rPr>
                <w:b/>
                <w:bCs/>
                <w:noProof/>
                <w:sz w:val="22"/>
                <w:szCs w:val="22"/>
              </w:rPr>
            </w:pPr>
            <w:r w:rsidRPr="00DA029C">
              <w:rPr>
                <w:b/>
                <w:bCs/>
                <w:noProof/>
                <w:sz w:val="22"/>
                <w:szCs w:val="22"/>
              </w:rPr>
              <w:t>Projections</w:t>
            </w:r>
          </w:p>
        </w:tc>
        <w:tc>
          <w:tcPr>
            <w:tcW w:w="1667" w:type="pct"/>
            <w:tcBorders>
              <w:bottom w:val="single" w:sz="12" w:space="0" w:color="00B0F0"/>
            </w:tcBorders>
          </w:tcPr>
          <w:p w14:paraId="0EE630BA" w14:textId="77777777" w:rsidR="00316689" w:rsidRPr="00DA029C" w:rsidRDefault="00316689">
            <w:pPr>
              <w:autoSpaceDE w:val="0"/>
              <w:autoSpaceDN w:val="0"/>
              <w:adjustRightInd w:val="0"/>
              <w:spacing w:after="0"/>
              <w:rPr>
                <w:b/>
                <w:bCs/>
                <w:noProof/>
                <w:sz w:val="22"/>
                <w:szCs w:val="22"/>
              </w:rPr>
            </w:pPr>
            <w:r w:rsidRPr="00DA029C">
              <w:rPr>
                <w:b/>
                <w:bCs/>
                <w:noProof/>
                <w:sz w:val="22"/>
                <w:szCs w:val="22"/>
              </w:rPr>
              <w:t>Cloud &amp; AI Awards</w:t>
            </w:r>
          </w:p>
        </w:tc>
        <w:tc>
          <w:tcPr>
            <w:tcW w:w="1666" w:type="pct"/>
            <w:tcBorders>
              <w:bottom w:val="single" w:sz="12" w:space="0" w:color="00B0F0"/>
            </w:tcBorders>
          </w:tcPr>
          <w:p w14:paraId="2FE8194D" w14:textId="77777777" w:rsidR="00316689" w:rsidRPr="00DA029C" w:rsidRDefault="00316689">
            <w:pPr>
              <w:autoSpaceDE w:val="0"/>
              <w:autoSpaceDN w:val="0"/>
              <w:adjustRightInd w:val="0"/>
              <w:spacing w:after="0"/>
              <w:rPr>
                <w:b/>
                <w:bCs/>
                <w:noProof/>
                <w:sz w:val="22"/>
                <w:szCs w:val="22"/>
              </w:rPr>
            </w:pPr>
            <w:r w:rsidRPr="00DA029C">
              <w:rPr>
                <w:b/>
                <w:bCs/>
                <w:noProof/>
                <w:sz w:val="22"/>
                <w:szCs w:val="22"/>
              </w:rPr>
              <w:t>Cloud &amp; AI awards Highly critical services</w:t>
            </w:r>
          </w:p>
        </w:tc>
      </w:tr>
      <w:tr w:rsidR="00316689" w:rsidRPr="00BD6533" w14:paraId="12BC0A43" w14:textId="77777777" w:rsidTr="003739F4">
        <w:trPr>
          <w:trHeight w:val="305"/>
        </w:trPr>
        <w:tc>
          <w:tcPr>
            <w:tcW w:w="1668" w:type="pct"/>
            <w:tcBorders>
              <w:top w:val="single" w:sz="12" w:space="0" w:color="00B0F0"/>
            </w:tcBorders>
          </w:tcPr>
          <w:p w14:paraId="2EE3A6D3"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2025</w:t>
            </w:r>
          </w:p>
        </w:tc>
        <w:tc>
          <w:tcPr>
            <w:tcW w:w="1667" w:type="pct"/>
            <w:tcBorders>
              <w:top w:val="single" w:sz="12" w:space="0" w:color="00B0F0"/>
            </w:tcBorders>
          </w:tcPr>
          <w:p w14:paraId="6E83B734" w14:textId="79501C25"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132</w:t>
            </w:r>
          </w:p>
        </w:tc>
        <w:tc>
          <w:tcPr>
            <w:tcW w:w="1666" w:type="pct"/>
            <w:tcBorders>
              <w:top w:val="single" w:sz="12" w:space="0" w:color="00B0F0"/>
            </w:tcBorders>
          </w:tcPr>
          <w:p w14:paraId="4E183BD4" w14:textId="2D5D9321" w:rsidR="00316689" w:rsidRPr="00DA029C" w:rsidRDefault="002133D7" w:rsidP="001830AE">
            <w:pPr>
              <w:autoSpaceDE w:val="0"/>
              <w:autoSpaceDN w:val="0"/>
              <w:adjustRightInd w:val="0"/>
              <w:spacing w:after="0"/>
              <w:jc w:val="center"/>
              <w:rPr>
                <w:noProof/>
                <w:sz w:val="22"/>
                <w:szCs w:val="22"/>
              </w:rPr>
            </w:pPr>
            <w:r>
              <w:rPr>
                <w:noProof/>
                <w:sz w:val="22"/>
                <w:szCs w:val="22"/>
              </w:rPr>
              <w:t>113</w:t>
            </w:r>
          </w:p>
        </w:tc>
      </w:tr>
      <w:tr w:rsidR="00316689" w:rsidRPr="00BD6533" w14:paraId="082659C8" w14:textId="77777777" w:rsidTr="003739F4">
        <w:trPr>
          <w:trHeight w:val="305"/>
        </w:trPr>
        <w:tc>
          <w:tcPr>
            <w:tcW w:w="1668" w:type="pct"/>
          </w:tcPr>
          <w:p w14:paraId="52E26270"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2026</w:t>
            </w:r>
          </w:p>
        </w:tc>
        <w:tc>
          <w:tcPr>
            <w:tcW w:w="1667" w:type="pct"/>
          </w:tcPr>
          <w:p w14:paraId="51E74212" w14:textId="6317F288"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229</w:t>
            </w:r>
          </w:p>
        </w:tc>
        <w:tc>
          <w:tcPr>
            <w:tcW w:w="1666" w:type="pct"/>
          </w:tcPr>
          <w:p w14:paraId="2FDE8F25" w14:textId="15DD76FB" w:rsidR="00316689" w:rsidRPr="00DA029C" w:rsidRDefault="002133D7" w:rsidP="001830AE">
            <w:pPr>
              <w:autoSpaceDE w:val="0"/>
              <w:autoSpaceDN w:val="0"/>
              <w:adjustRightInd w:val="0"/>
              <w:spacing w:after="0"/>
              <w:jc w:val="center"/>
              <w:rPr>
                <w:noProof/>
                <w:sz w:val="22"/>
                <w:szCs w:val="22"/>
              </w:rPr>
            </w:pPr>
            <w:r>
              <w:rPr>
                <w:noProof/>
                <w:sz w:val="22"/>
                <w:szCs w:val="22"/>
              </w:rPr>
              <w:t>123</w:t>
            </w:r>
          </w:p>
        </w:tc>
      </w:tr>
      <w:tr w:rsidR="00316689" w:rsidRPr="00BD6533" w14:paraId="26B82CDC" w14:textId="77777777" w:rsidTr="003739F4">
        <w:trPr>
          <w:trHeight w:val="305"/>
        </w:trPr>
        <w:tc>
          <w:tcPr>
            <w:tcW w:w="1668" w:type="pct"/>
          </w:tcPr>
          <w:p w14:paraId="424F113E"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2027</w:t>
            </w:r>
          </w:p>
        </w:tc>
        <w:tc>
          <w:tcPr>
            <w:tcW w:w="1667" w:type="pct"/>
          </w:tcPr>
          <w:p w14:paraId="6E554B37" w14:textId="6C73DAC0"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335</w:t>
            </w:r>
          </w:p>
        </w:tc>
        <w:tc>
          <w:tcPr>
            <w:tcW w:w="1666" w:type="pct"/>
          </w:tcPr>
          <w:p w14:paraId="5933790F" w14:textId="7A1ACE66" w:rsidR="00316689" w:rsidRPr="00DA029C" w:rsidRDefault="0013647E" w:rsidP="001830AE">
            <w:pPr>
              <w:autoSpaceDE w:val="0"/>
              <w:autoSpaceDN w:val="0"/>
              <w:adjustRightInd w:val="0"/>
              <w:spacing w:after="0"/>
              <w:jc w:val="center"/>
              <w:rPr>
                <w:noProof/>
                <w:sz w:val="22"/>
                <w:szCs w:val="22"/>
              </w:rPr>
            </w:pPr>
            <w:r>
              <w:rPr>
                <w:noProof/>
                <w:sz w:val="22"/>
                <w:szCs w:val="22"/>
              </w:rPr>
              <w:t>133</w:t>
            </w:r>
          </w:p>
        </w:tc>
      </w:tr>
      <w:tr w:rsidR="00316689" w:rsidRPr="00BD6533" w14:paraId="38EF14BE" w14:textId="77777777" w:rsidTr="003739F4">
        <w:trPr>
          <w:trHeight w:val="305"/>
        </w:trPr>
        <w:tc>
          <w:tcPr>
            <w:tcW w:w="1668" w:type="pct"/>
          </w:tcPr>
          <w:p w14:paraId="029DC9CB"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2028</w:t>
            </w:r>
          </w:p>
        </w:tc>
        <w:tc>
          <w:tcPr>
            <w:tcW w:w="1667" w:type="pct"/>
          </w:tcPr>
          <w:p w14:paraId="7A532A5D" w14:textId="373DE9D0"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449</w:t>
            </w:r>
          </w:p>
        </w:tc>
        <w:tc>
          <w:tcPr>
            <w:tcW w:w="1666" w:type="pct"/>
          </w:tcPr>
          <w:p w14:paraId="638D25C6" w14:textId="657BFF70" w:rsidR="00316689" w:rsidRPr="00DA029C" w:rsidRDefault="0013647E" w:rsidP="001830AE">
            <w:pPr>
              <w:autoSpaceDE w:val="0"/>
              <w:autoSpaceDN w:val="0"/>
              <w:adjustRightInd w:val="0"/>
              <w:spacing w:after="0"/>
              <w:jc w:val="center"/>
              <w:rPr>
                <w:noProof/>
                <w:sz w:val="22"/>
                <w:szCs w:val="22"/>
              </w:rPr>
            </w:pPr>
            <w:r>
              <w:rPr>
                <w:noProof/>
                <w:sz w:val="22"/>
                <w:szCs w:val="22"/>
              </w:rPr>
              <w:t>145</w:t>
            </w:r>
          </w:p>
        </w:tc>
      </w:tr>
      <w:tr w:rsidR="00316689" w:rsidRPr="00BD6533" w14:paraId="4F258C21" w14:textId="77777777" w:rsidTr="003739F4">
        <w:trPr>
          <w:trHeight w:val="305"/>
        </w:trPr>
        <w:tc>
          <w:tcPr>
            <w:tcW w:w="1668" w:type="pct"/>
          </w:tcPr>
          <w:p w14:paraId="46FB8182"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2029</w:t>
            </w:r>
          </w:p>
        </w:tc>
        <w:tc>
          <w:tcPr>
            <w:tcW w:w="1667" w:type="pct"/>
          </w:tcPr>
          <w:p w14:paraId="39A432D1" w14:textId="5D63093B"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573</w:t>
            </w:r>
          </w:p>
        </w:tc>
        <w:tc>
          <w:tcPr>
            <w:tcW w:w="1666" w:type="pct"/>
          </w:tcPr>
          <w:p w14:paraId="6B3E468D" w14:textId="1A757153" w:rsidR="00316689" w:rsidRPr="00DA029C" w:rsidRDefault="0013647E" w:rsidP="001830AE">
            <w:pPr>
              <w:autoSpaceDE w:val="0"/>
              <w:autoSpaceDN w:val="0"/>
              <w:adjustRightInd w:val="0"/>
              <w:spacing w:after="0"/>
              <w:jc w:val="center"/>
              <w:rPr>
                <w:noProof/>
                <w:sz w:val="22"/>
                <w:szCs w:val="22"/>
              </w:rPr>
            </w:pPr>
            <w:r>
              <w:rPr>
                <w:noProof/>
                <w:sz w:val="22"/>
                <w:szCs w:val="22"/>
              </w:rPr>
              <w:t>157</w:t>
            </w:r>
          </w:p>
        </w:tc>
      </w:tr>
      <w:tr w:rsidR="00316689" w:rsidRPr="00BD6533" w14:paraId="16804D66" w14:textId="77777777" w:rsidTr="003739F4">
        <w:trPr>
          <w:trHeight w:val="305"/>
        </w:trPr>
        <w:tc>
          <w:tcPr>
            <w:tcW w:w="1668" w:type="pct"/>
          </w:tcPr>
          <w:p w14:paraId="6E7DA008"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2030</w:t>
            </w:r>
          </w:p>
        </w:tc>
        <w:tc>
          <w:tcPr>
            <w:tcW w:w="1667" w:type="pct"/>
          </w:tcPr>
          <w:p w14:paraId="64714F23" w14:textId="4CE5E51A"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708</w:t>
            </w:r>
          </w:p>
        </w:tc>
        <w:tc>
          <w:tcPr>
            <w:tcW w:w="1666" w:type="pct"/>
          </w:tcPr>
          <w:p w14:paraId="69F5D1D8" w14:textId="2049627D" w:rsidR="00316689" w:rsidRPr="00DA029C" w:rsidRDefault="0013647E" w:rsidP="001830AE">
            <w:pPr>
              <w:autoSpaceDE w:val="0"/>
              <w:autoSpaceDN w:val="0"/>
              <w:adjustRightInd w:val="0"/>
              <w:spacing w:after="0"/>
              <w:jc w:val="center"/>
              <w:rPr>
                <w:noProof/>
                <w:sz w:val="22"/>
                <w:szCs w:val="22"/>
              </w:rPr>
            </w:pPr>
            <w:r>
              <w:rPr>
                <w:noProof/>
                <w:sz w:val="22"/>
                <w:szCs w:val="22"/>
              </w:rPr>
              <w:t>171</w:t>
            </w:r>
          </w:p>
        </w:tc>
      </w:tr>
      <w:tr w:rsidR="00316689" w:rsidRPr="00BD6533" w14:paraId="2177A3AF" w14:textId="77777777" w:rsidTr="003739F4">
        <w:trPr>
          <w:trHeight w:val="305"/>
        </w:trPr>
        <w:tc>
          <w:tcPr>
            <w:tcW w:w="1668" w:type="pct"/>
          </w:tcPr>
          <w:p w14:paraId="5325F42E"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2031</w:t>
            </w:r>
          </w:p>
        </w:tc>
        <w:tc>
          <w:tcPr>
            <w:tcW w:w="1667" w:type="pct"/>
          </w:tcPr>
          <w:p w14:paraId="72157667" w14:textId="2F957968"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781</w:t>
            </w:r>
          </w:p>
        </w:tc>
        <w:tc>
          <w:tcPr>
            <w:tcW w:w="1666" w:type="pct"/>
          </w:tcPr>
          <w:p w14:paraId="3C6C4AA0" w14:textId="4A69AA3A" w:rsidR="00316689" w:rsidRPr="00DA029C" w:rsidRDefault="0013647E" w:rsidP="001830AE">
            <w:pPr>
              <w:autoSpaceDE w:val="0"/>
              <w:autoSpaceDN w:val="0"/>
              <w:adjustRightInd w:val="0"/>
              <w:spacing w:after="0"/>
              <w:jc w:val="center"/>
              <w:rPr>
                <w:noProof/>
                <w:sz w:val="22"/>
                <w:szCs w:val="22"/>
              </w:rPr>
            </w:pPr>
            <w:r>
              <w:rPr>
                <w:noProof/>
                <w:sz w:val="22"/>
                <w:szCs w:val="22"/>
              </w:rPr>
              <w:t>178</w:t>
            </w:r>
          </w:p>
        </w:tc>
      </w:tr>
      <w:tr w:rsidR="00316689" w:rsidRPr="00BD6533" w14:paraId="2E58F851" w14:textId="77777777" w:rsidTr="003739F4">
        <w:trPr>
          <w:trHeight w:val="305"/>
        </w:trPr>
        <w:tc>
          <w:tcPr>
            <w:tcW w:w="1668" w:type="pct"/>
          </w:tcPr>
          <w:p w14:paraId="05CF35F6"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2032</w:t>
            </w:r>
          </w:p>
        </w:tc>
        <w:tc>
          <w:tcPr>
            <w:tcW w:w="1667" w:type="pct"/>
          </w:tcPr>
          <w:p w14:paraId="7955D97C" w14:textId="029892F1"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858</w:t>
            </w:r>
          </w:p>
        </w:tc>
        <w:tc>
          <w:tcPr>
            <w:tcW w:w="1666" w:type="pct"/>
          </w:tcPr>
          <w:p w14:paraId="6D854FF2" w14:textId="04A5D1F6" w:rsidR="00316689" w:rsidRPr="00DA029C" w:rsidRDefault="0013647E" w:rsidP="001830AE">
            <w:pPr>
              <w:autoSpaceDE w:val="0"/>
              <w:autoSpaceDN w:val="0"/>
              <w:adjustRightInd w:val="0"/>
              <w:spacing w:after="0"/>
              <w:jc w:val="center"/>
              <w:rPr>
                <w:noProof/>
                <w:sz w:val="22"/>
                <w:szCs w:val="22"/>
              </w:rPr>
            </w:pPr>
            <w:r>
              <w:rPr>
                <w:noProof/>
                <w:sz w:val="22"/>
                <w:szCs w:val="22"/>
              </w:rPr>
              <w:t>186</w:t>
            </w:r>
          </w:p>
        </w:tc>
      </w:tr>
      <w:tr w:rsidR="00316689" w:rsidRPr="00BD6533" w14:paraId="727CE64B" w14:textId="77777777" w:rsidTr="003739F4">
        <w:trPr>
          <w:trHeight w:val="305"/>
        </w:trPr>
        <w:tc>
          <w:tcPr>
            <w:tcW w:w="1668" w:type="pct"/>
          </w:tcPr>
          <w:p w14:paraId="263B0994"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2033</w:t>
            </w:r>
          </w:p>
        </w:tc>
        <w:tc>
          <w:tcPr>
            <w:tcW w:w="1667" w:type="pct"/>
          </w:tcPr>
          <w:p w14:paraId="41EB378D" w14:textId="29348523"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1</w:t>
            </w:r>
            <w:r w:rsidR="004A2BF2">
              <w:rPr>
                <w:noProof/>
                <w:sz w:val="22"/>
                <w:szCs w:val="22"/>
              </w:rPr>
              <w:t xml:space="preserve"> </w:t>
            </w:r>
            <w:r w:rsidRPr="00DA029C">
              <w:rPr>
                <w:noProof/>
                <w:sz w:val="22"/>
                <w:szCs w:val="22"/>
              </w:rPr>
              <w:t>937</w:t>
            </w:r>
          </w:p>
        </w:tc>
        <w:tc>
          <w:tcPr>
            <w:tcW w:w="1666" w:type="pct"/>
          </w:tcPr>
          <w:p w14:paraId="77BEEC51" w14:textId="25F6AF38" w:rsidR="00316689" w:rsidRPr="00DA029C" w:rsidRDefault="0013647E" w:rsidP="001830AE">
            <w:pPr>
              <w:autoSpaceDE w:val="0"/>
              <w:autoSpaceDN w:val="0"/>
              <w:adjustRightInd w:val="0"/>
              <w:spacing w:after="0"/>
              <w:jc w:val="center"/>
              <w:rPr>
                <w:noProof/>
                <w:sz w:val="22"/>
                <w:szCs w:val="22"/>
              </w:rPr>
            </w:pPr>
            <w:r>
              <w:rPr>
                <w:noProof/>
                <w:sz w:val="22"/>
                <w:szCs w:val="22"/>
              </w:rPr>
              <w:t>194</w:t>
            </w:r>
          </w:p>
        </w:tc>
      </w:tr>
      <w:tr w:rsidR="00316689" w:rsidRPr="00BD6533" w14:paraId="6F11F1DE" w14:textId="77777777" w:rsidTr="003739F4">
        <w:trPr>
          <w:trHeight w:val="305"/>
        </w:trPr>
        <w:tc>
          <w:tcPr>
            <w:tcW w:w="1668" w:type="pct"/>
          </w:tcPr>
          <w:p w14:paraId="3C9BC9A7"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2034</w:t>
            </w:r>
          </w:p>
        </w:tc>
        <w:tc>
          <w:tcPr>
            <w:tcW w:w="1667" w:type="pct"/>
          </w:tcPr>
          <w:p w14:paraId="3F93CFA1" w14:textId="54BA06CD"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2</w:t>
            </w:r>
            <w:r w:rsidR="004A2BF2">
              <w:rPr>
                <w:noProof/>
                <w:sz w:val="22"/>
                <w:szCs w:val="22"/>
              </w:rPr>
              <w:t xml:space="preserve"> </w:t>
            </w:r>
            <w:r w:rsidRPr="00DA029C">
              <w:rPr>
                <w:noProof/>
                <w:sz w:val="22"/>
                <w:szCs w:val="22"/>
              </w:rPr>
              <w:t>020</w:t>
            </w:r>
          </w:p>
        </w:tc>
        <w:tc>
          <w:tcPr>
            <w:tcW w:w="1666" w:type="pct"/>
          </w:tcPr>
          <w:p w14:paraId="249123AA" w14:textId="2DF5BCE6" w:rsidR="00316689" w:rsidRPr="00DA029C" w:rsidRDefault="0013647E" w:rsidP="001830AE">
            <w:pPr>
              <w:autoSpaceDE w:val="0"/>
              <w:autoSpaceDN w:val="0"/>
              <w:adjustRightInd w:val="0"/>
              <w:spacing w:after="0"/>
              <w:jc w:val="center"/>
              <w:rPr>
                <w:noProof/>
                <w:sz w:val="22"/>
                <w:szCs w:val="22"/>
              </w:rPr>
            </w:pPr>
            <w:r>
              <w:rPr>
                <w:noProof/>
                <w:sz w:val="22"/>
                <w:szCs w:val="22"/>
              </w:rPr>
              <w:t>202</w:t>
            </w:r>
          </w:p>
        </w:tc>
      </w:tr>
      <w:tr w:rsidR="00316689" w:rsidRPr="00BD6533" w14:paraId="7C9CE4D6" w14:textId="77777777" w:rsidTr="003739F4">
        <w:trPr>
          <w:trHeight w:val="305"/>
        </w:trPr>
        <w:tc>
          <w:tcPr>
            <w:tcW w:w="1668" w:type="pct"/>
          </w:tcPr>
          <w:p w14:paraId="1E78CBEF"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2035</w:t>
            </w:r>
          </w:p>
        </w:tc>
        <w:tc>
          <w:tcPr>
            <w:tcW w:w="1667" w:type="pct"/>
          </w:tcPr>
          <w:p w14:paraId="1B345416" w14:textId="22048B8C"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2</w:t>
            </w:r>
            <w:r w:rsidR="004A2BF2">
              <w:rPr>
                <w:noProof/>
                <w:sz w:val="22"/>
                <w:szCs w:val="22"/>
              </w:rPr>
              <w:t xml:space="preserve"> </w:t>
            </w:r>
            <w:r w:rsidRPr="00DA029C">
              <w:rPr>
                <w:noProof/>
                <w:sz w:val="22"/>
                <w:szCs w:val="22"/>
              </w:rPr>
              <w:t>107</w:t>
            </w:r>
          </w:p>
        </w:tc>
        <w:tc>
          <w:tcPr>
            <w:tcW w:w="1666" w:type="pct"/>
          </w:tcPr>
          <w:p w14:paraId="418A95AD" w14:textId="02E63C36" w:rsidR="00316689" w:rsidRPr="00DA029C" w:rsidRDefault="0013647E" w:rsidP="001830AE">
            <w:pPr>
              <w:autoSpaceDE w:val="0"/>
              <w:autoSpaceDN w:val="0"/>
              <w:adjustRightInd w:val="0"/>
              <w:spacing w:after="0"/>
              <w:jc w:val="center"/>
              <w:rPr>
                <w:noProof/>
                <w:sz w:val="22"/>
                <w:szCs w:val="22"/>
              </w:rPr>
            </w:pPr>
            <w:r>
              <w:rPr>
                <w:noProof/>
                <w:sz w:val="22"/>
                <w:szCs w:val="22"/>
              </w:rPr>
              <w:t>211</w:t>
            </w:r>
          </w:p>
        </w:tc>
      </w:tr>
      <w:tr w:rsidR="00316689" w:rsidRPr="00BD6533" w14:paraId="4FC54D83" w14:textId="77777777" w:rsidTr="003739F4">
        <w:trPr>
          <w:trHeight w:val="305"/>
        </w:trPr>
        <w:tc>
          <w:tcPr>
            <w:tcW w:w="1668" w:type="pct"/>
          </w:tcPr>
          <w:p w14:paraId="2A03E186" w14:textId="77777777" w:rsidR="00316689" w:rsidRPr="00DA029C" w:rsidRDefault="00316689">
            <w:pPr>
              <w:autoSpaceDE w:val="0"/>
              <w:autoSpaceDN w:val="0"/>
              <w:adjustRightInd w:val="0"/>
              <w:spacing w:after="0"/>
              <w:jc w:val="center"/>
              <w:rPr>
                <w:b/>
                <w:bCs/>
                <w:noProof/>
                <w:sz w:val="22"/>
                <w:szCs w:val="22"/>
              </w:rPr>
            </w:pPr>
            <w:r w:rsidRPr="00DA029C">
              <w:rPr>
                <w:b/>
                <w:bCs/>
                <w:noProof/>
                <w:sz w:val="22"/>
                <w:szCs w:val="22"/>
              </w:rPr>
              <w:t>2036</w:t>
            </w:r>
          </w:p>
        </w:tc>
        <w:tc>
          <w:tcPr>
            <w:tcW w:w="1667" w:type="pct"/>
          </w:tcPr>
          <w:p w14:paraId="71EFAE37" w14:textId="4DA26EEB" w:rsidR="00316689" w:rsidRPr="00DA029C" w:rsidRDefault="00316689" w:rsidP="001830AE">
            <w:pPr>
              <w:autoSpaceDE w:val="0"/>
              <w:autoSpaceDN w:val="0"/>
              <w:adjustRightInd w:val="0"/>
              <w:spacing w:after="0"/>
              <w:jc w:val="center"/>
              <w:rPr>
                <w:noProof/>
                <w:sz w:val="22"/>
                <w:szCs w:val="22"/>
              </w:rPr>
            </w:pPr>
            <w:r w:rsidRPr="00DA029C">
              <w:rPr>
                <w:noProof/>
                <w:sz w:val="22"/>
                <w:szCs w:val="22"/>
              </w:rPr>
              <w:t>2</w:t>
            </w:r>
            <w:r w:rsidR="004A2BF2">
              <w:rPr>
                <w:noProof/>
                <w:sz w:val="22"/>
                <w:szCs w:val="22"/>
              </w:rPr>
              <w:t xml:space="preserve"> </w:t>
            </w:r>
            <w:r w:rsidRPr="00DA029C">
              <w:rPr>
                <w:noProof/>
                <w:sz w:val="22"/>
                <w:szCs w:val="22"/>
              </w:rPr>
              <w:t>197</w:t>
            </w:r>
          </w:p>
        </w:tc>
        <w:tc>
          <w:tcPr>
            <w:tcW w:w="1666" w:type="pct"/>
          </w:tcPr>
          <w:p w14:paraId="12FB5A56" w14:textId="430FA9C3" w:rsidR="00316689" w:rsidRPr="00DA029C" w:rsidRDefault="0013647E" w:rsidP="001830AE">
            <w:pPr>
              <w:autoSpaceDE w:val="0"/>
              <w:autoSpaceDN w:val="0"/>
              <w:adjustRightInd w:val="0"/>
              <w:spacing w:after="0"/>
              <w:jc w:val="center"/>
              <w:rPr>
                <w:noProof/>
                <w:sz w:val="22"/>
                <w:szCs w:val="22"/>
              </w:rPr>
            </w:pPr>
            <w:r>
              <w:rPr>
                <w:noProof/>
                <w:sz w:val="22"/>
                <w:szCs w:val="22"/>
              </w:rPr>
              <w:t>220</w:t>
            </w:r>
          </w:p>
        </w:tc>
      </w:tr>
    </w:tbl>
    <w:p w14:paraId="5F3B843D" w14:textId="77777777" w:rsidR="00316689" w:rsidRPr="004311C3" w:rsidRDefault="00316689" w:rsidP="00316689">
      <w:pPr>
        <w:rPr>
          <w:noProof/>
        </w:rPr>
      </w:pPr>
    </w:p>
    <w:p w14:paraId="094CF659" w14:textId="0D230E39" w:rsidR="00316689" w:rsidRPr="00A54618" w:rsidRDefault="00316689" w:rsidP="00316689">
      <w:pPr>
        <w:rPr>
          <w:noProof/>
        </w:rPr>
      </w:pPr>
      <w:r>
        <w:rPr>
          <w:noProof/>
        </w:rPr>
        <w:t xml:space="preserve">An important differentiation along the document shall be the delineation between procurement tenders and bids. A tender is the procedure that a contracting authority launches while a bid is an offer that a cloud and AI </w:t>
      </w:r>
      <w:r w:rsidR="00F277BE">
        <w:rPr>
          <w:noProof/>
        </w:rPr>
        <w:t>computing service provider</w:t>
      </w:r>
      <w:r>
        <w:rPr>
          <w:noProof/>
        </w:rPr>
        <w:t xml:space="preserve"> shall submit in response to the call for tender. The assumption is that as an average there are </w:t>
      </w:r>
      <w:r w:rsidRPr="0048328A">
        <w:rPr>
          <w:b/>
          <w:noProof/>
        </w:rPr>
        <w:t>3.5 bids</w:t>
      </w:r>
      <w:r>
        <w:rPr>
          <w:noProof/>
        </w:rPr>
        <w:t xml:space="preserve"> for each tender launched and awarded.</w:t>
      </w:r>
    </w:p>
    <w:p w14:paraId="6893742B" w14:textId="7B833754" w:rsidR="00316689" w:rsidRPr="00A54618" w:rsidRDefault="00316689" w:rsidP="00316689">
      <w:pPr>
        <w:rPr>
          <w:noProof/>
        </w:rPr>
      </w:pPr>
      <w:r w:rsidRPr="00884881">
        <w:rPr>
          <w:noProof/>
        </w:rPr>
        <w:t xml:space="preserve">Where </w:t>
      </w:r>
      <w:r w:rsidR="00104353" w:rsidRPr="00884881">
        <w:rPr>
          <w:noProof/>
        </w:rPr>
        <w:t>audit</w:t>
      </w:r>
      <w:r w:rsidRPr="00884881">
        <w:rPr>
          <w:noProof/>
        </w:rPr>
        <w:t xml:space="preserve"> is voluntary, the assumption is that 30% of the tenders will require providers to offer an </w:t>
      </w:r>
      <w:r w:rsidR="00841427" w:rsidRPr="00884881">
        <w:rPr>
          <w:noProof/>
        </w:rPr>
        <w:t>audited</w:t>
      </w:r>
      <w:r w:rsidRPr="00884881">
        <w:rPr>
          <w:noProof/>
        </w:rPr>
        <w:t xml:space="preserve"> service, unlike when </w:t>
      </w:r>
      <w:r w:rsidR="008C1E80">
        <w:rPr>
          <w:noProof/>
        </w:rPr>
        <w:t>audit</w:t>
      </w:r>
      <w:r w:rsidRPr="00884881">
        <w:rPr>
          <w:noProof/>
        </w:rPr>
        <w:t xml:space="preserve"> is mandatory, where this requirement is 100%.</w:t>
      </w:r>
    </w:p>
    <w:p w14:paraId="7BDC8C87" w14:textId="2C75D937" w:rsidR="00316689" w:rsidRPr="00A54618" w:rsidRDefault="00316689" w:rsidP="00316689">
      <w:pPr>
        <w:rPr>
          <w:noProof/>
        </w:rPr>
      </w:pPr>
      <w:r>
        <w:rPr>
          <w:noProof/>
        </w:rPr>
        <w:t>The projections resulting from these assumptions are</w:t>
      </w:r>
      <w:r w:rsidR="007264C9">
        <w:rPr>
          <w:noProof/>
        </w:rPr>
        <w:t xml:space="preserve"> depicted next</w:t>
      </w:r>
      <w:r>
        <w:rPr>
          <w:noProof/>
        </w:rPr>
        <w:t>:</w:t>
      </w:r>
    </w:p>
    <w:p w14:paraId="5708215C" w14:textId="28A94B45" w:rsidR="00316689" w:rsidRDefault="00316689" w:rsidP="00316689">
      <w:pPr>
        <w:pStyle w:val="Caption"/>
        <w:rPr>
          <w:noProof/>
        </w:rPr>
      </w:pPr>
      <w:bookmarkStart w:id="155" w:name="_Toc213440602"/>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18</w:t>
      </w:r>
      <w:r>
        <w:rPr>
          <w:noProof/>
        </w:rPr>
        <w:fldChar w:fldCharType="end"/>
      </w:r>
      <w:r>
        <w:rPr>
          <w:noProof/>
        </w:rPr>
        <w:t xml:space="preserve">. Projections for the number of bids of cloud and AI </w:t>
      </w:r>
      <w:r w:rsidR="00860A4C">
        <w:rPr>
          <w:noProof/>
        </w:rPr>
        <w:t xml:space="preserve">computing </w:t>
      </w:r>
      <w:r>
        <w:rPr>
          <w:noProof/>
        </w:rPr>
        <w:t xml:space="preserve">services that need to be </w:t>
      </w:r>
      <w:r w:rsidR="00BE73AF">
        <w:rPr>
          <w:noProof/>
        </w:rPr>
        <w:t xml:space="preserve">audited </w:t>
      </w:r>
      <w:r>
        <w:rPr>
          <w:noProof/>
        </w:rPr>
        <w:t xml:space="preserve">(Source: </w:t>
      </w:r>
      <w:r w:rsidRPr="0076120E">
        <w:rPr>
          <w:bCs/>
          <w:noProof/>
        </w:rPr>
        <w:t xml:space="preserve">European Commission based on data provided by </w:t>
      </w:r>
      <w:r w:rsidR="00E805AD">
        <w:rPr>
          <w:bCs/>
          <w:noProof/>
        </w:rPr>
        <w:t xml:space="preserve">Technopolis et al. </w:t>
      </w:r>
      <w:bookmarkEnd w:id="155"/>
      <w:r w:rsidR="00E805AD">
        <w:rPr>
          <w:bCs/>
          <w:noProof/>
        </w:rPr>
        <w:t>(2025))</w:t>
      </w:r>
    </w:p>
    <w:tbl>
      <w:tblPr>
        <w:tblW w:w="5000" w:type="pct"/>
        <w:tblLook w:val="04A0" w:firstRow="1" w:lastRow="0" w:firstColumn="1" w:lastColumn="0" w:noHBand="0" w:noVBand="1"/>
      </w:tblPr>
      <w:tblGrid>
        <w:gridCol w:w="1809"/>
        <w:gridCol w:w="3927"/>
        <w:gridCol w:w="3309"/>
      </w:tblGrid>
      <w:tr w:rsidR="00316689" w:rsidRPr="00BD6533" w14:paraId="64199517" w14:textId="77777777" w:rsidTr="006530C1">
        <w:trPr>
          <w:trHeight w:val="699"/>
          <w:tblHeader/>
        </w:trPr>
        <w:tc>
          <w:tcPr>
            <w:tcW w:w="1000" w:type="pct"/>
            <w:tcBorders>
              <w:bottom w:val="single" w:sz="12" w:space="0" w:color="00B0F0"/>
            </w:tcBorders>
            <w:vAlign w:val="center"/>
            <w:hideMark/>
          </w:tcPr>
          <w:p w14:paraId="6DF4AC3F" w14:textId="1B3CE19F"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Projections</w:t>
            </w:r>
          </w:p>
        </w:tc>
        <w:tc>
          <w:tcPr>
            <w:tcW w:w="2171" w:type="pct"/>
            <w:tcBorders>
              <w:bottom w:val="single" w:sz="12" w:space="0" w:color="00B0F0"/>
            </w:tcBorders>
            <w:vAlign w:val="center"/>
            <w:hideMark/>
          </w:tcPr>
          <w:p w14:paraId="5E80E751" w14:textId="60A62865"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 xml:space="preserve">Cloud &amp; AI bids for highly critical services (HCS) </w:t>
            </w:r>
            <w:r w:rsidR="003A2805" w:rsidRPr="0008654E">
              <w:rPr>
                <w:rFonts w:eastAsia="Times New Roman"/>
                <w:b/>
                <w:noProof/>
                <w:sz w:val="22"/>
                <w:szCs w:val="22"/>
                <w:lang w:eastAsia="en-IE"/>
              </w:rPr>
              <w:t xml:space="preserve">audit mechanism </w:t>
            </w:r>
            <w:r w:rsidRPr="0008654E">
              <w:rPr>
                <w:rFonts w:eastAsia="Times New Roman"/>
                <w:b/>
                <w:noProof/>
                <w:sz w:val="22"/>
                <w:szCs w:val="22"/>
                <w:lang w:eastAsia="en-IE"/>
              </w:rPr>
              <w:t>mandatory</w:t>
            </w:r>
          </w:p>
        </w:tc>
        <w:tc>
          <w:tcPr>
            <w:tcW w:w="1829" w:type="pct"/>
            <w:tcBorders>
              <w:bottom w:val="single" w:sz="12" w:space="0" w:color="00B0F0"/>
            </w:tcBorders>
            <w:vAlign w:val="center"/>
            <w:hideMark/>
          </w:tcPr>
          <w:p w14:paraId="12370723" w14:textId="64B2002A"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 xml:space="preserve">Cloud &amp; AI bids for HCS </w:t>
            </w:r>
            <w:r w:rsidR="003A2805" w:rsidRPr="0008654E">
              <w:rPr>
                <w:rFonts w:eastAsia="Times New Roman"/>
                <w:b/>
                <w:noProof/>
                <w:sz w:val="22"/>
                <w:szCs w:val="22"/>
                <w:lang w:eastAsia="en-IE"/>
              </w:rPr>
              <w:t>audit</w:t>
            </w:r>
            <w:r w:rsidRPr="0008654E">
              <w:rPr>
                <w:rFonts w:eastAsia="Times New Roman"/>
                <w:b/>
                <w:noProof/>
                <w:sz w:val="22"/>
                <w:szCs w:val="22"/>
                <w:lang w:eastAsia="en-IE"/>
              </w:rPr>
              <w:t xml:space="preserve"> mechanism voluntary</w:t>
            </w:r>
          </w:p>
        </w:tc>
      </w:tr>
      <w:tr w:rsidR="00316689" w:rsidRPr="00BD6533" w14:paraId="338E996A" w14:textId="77777777" w:rsidTr="006530C1">
        <w:trPr>
          <w:trHeight w:val="288"/>
          <w:tblHeader/>
        </w:trPr>
        <w:tc>
          <w:tcPr>
            <w:tcW w:w="1000" w:type="pct"/>
            <w:tcBorders>
              <w:top w:val="single" w:sz="12" w:space="0" w:color="00B0F0"/>
            </w:tcBorders>
            <w:noWrap/>
            <w:vAlign w:val="center"/>
            <w:hideMark/>
          </w:tcPr>
          <w:p w14:paraId="44798938"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2025</w:t>
            </w:r>
          </w:p>
        </w:tc>
        <w:tc>
          <w:tcPr>
            <w:tcW w:w="2171" w:type="pct"/>
            <w:tcBorders>
              <w:top w:val="single" w:sz="12" w:space="0" w:color="00B0F0"/>
            </w:tcBorders>
            <w:noWrap/>
            <w:vAlign w:val="bottom"/>
            <w:hideMark/>
          </w:tcPr>
          <w:p w14:paraId="0591F879" w14:textId="298FE171" w:rsidR="00316689" w:rsidRPr="0008654E" w:rsidRDefault="00230CB0" w:rsidP="008D0BAC">
            <w:pPr>
              <w:spacing w:after="0"/>
              <w:jc w:val="center"/>
              <w:rPr>
                <w:rFonts w:eastAsia="Times New Roman"/>
                <w:noProof/>
                <w:sz w:val="22"/>
                <w:szCs w:val="22"/>
                <w:lang w:eastAsia="en-IE"/>
              </w:rPr>
            </w:pPr>
            <w:r w:rsidRPr="0008654E">
              <w:rPr>
                <w:rFonts w:eastAsia="Times New Roman"/>
                <w:noProof/>
                <w:sz w:val="22"/>
                <w:szCs w:val="22"/>
                <w:lang w:eastAsia="en-IE"/>
              </w:rPr>
              <w:t>396</w:t>
            </w:r>
          </w:p>
        </w:tc>
        <w:tc>
          <w:tcPr>
            <w:tcW w:w="1829" w:type="pct"/>
            <w:tcBorders>
              <w:top w:val="single" w:sz="12" w:space="0" w:color="00B0F0"/>
            </w:tcBorders>
            <w:noWrap/>
            <w:vAlign w:val="bottom"/>
            <w:hideMark/>
          </w:tcPr>
          <w:p w14:paraId="4BF5E63D" w14:textId="46CBC0D4" w:rsidR="00316689" w:rsidRPr="0008654E" w:rsidRDefault="00CB7C1F" w:rsidP="008D0BAC">
            <w:pPr>
              <w:spacing w:after="0"/>
              <w:jc w:val="center"/>
              <w:rPr>
                <w:rFonts w:eastAsia="Times New Roman"/>
                <w:noProof/>
                <w:sz w:val="22"/>
                <w:szCs w:val="22"/>
                <w:lang w:eastAsia="en-IE"/>
              </w:rPr>
            </w:pPr>
            <w:r w:rsidRPr="0008654E">
              <w:rPr>
                <w:rFonts w:eastAsia="Times New Roman"/>
                <w:noProof/>
                <w:sz w:val="22"/>
                <w:szCs w:val="22"/>
                <w:lang w:eastAsia="en-IE"/>
              </w:rPr>
              <w:t>11</w:t>
            </w:r>
            <w:r w:rsidR="005D522A" w:rsidRPr="0008654E">
              <w:rPr>
                <w:rFonts w:eastAsia="Times New Roman"/>
                <w:noProof/>
                <w:sz w:val="22"/>
                <w:szCs w:val="22"/>
                <w:lang w:eastAsia="en-IE"/>
              </w:rPr>
              <w:t>9</w:t>
            </w:r>
          </w:p>
        </w:tc>
      </w:tr>
      <w:tr w:rsidR="00316689" w:rsidRPr="00BD6533" w14:paraId="347F3D40" w14:textId="77777777" w:rsidTr="006530C1">
        <w:trPr>
          <w:trHeight w:val="288"/>
          <w:tblHeader/>
        </w:trPr>
        <w:tc>
          <w:tcPr>
            <w:tcW w:w="1000" w:type="pct"/>
            <w:noWrap/>
            <w:vAlign w:val="center"/>
            <w:hideMark/>
          </w:tcPr>
          <w:p w14:paraId="00A03687"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2026</w:t>
            </w:r>
          </w:p>
        </w:tc>
        <w:tc>
          <w:tcPr>
            <w:tcW w:w="2171" w:type="pct"/>
            <w:noWrap/>
            <w:vAlign w:val="bottom"/>
            <w:hideMark/>
          </w:tcPr>
          <w:p w14:paraId="1D58834E" w14:textId="1DC74D82" w:rsidR="00316689" w:rsidRPr="0008654E" w:rsidRDefault="009A6D68" w:rsidP="008D0BAC">
            <w:pPr>
              <w:spacing w:after="0"/>
              <w:jc w:val="center"/>
              <w:rPr>
                <w:rFonts w:eastAsia="Times New Roman"/>
                <w:noProof/>
                <w:sz w:val="22"/>
                <w:szCs w:val="22"/>
                <w:lang w:eastAsia="en-IE"/>
              </w:rPr>
            </w:pPr>
            <w:r w:rsidRPr="0008654E">
              <w:rPr>
                <w:rFonts w:eastAsia="Times New Roman"/>
                <w:noProof/>
                <w:sz w:val="22"/>
                <w:szCs w:val="22"/>
                <w:lang w:eastAsia="en-IE"/>
              </w:rPr>
              <w:t>430</w:t>
            </w:r>
          </w:p>
        </w:tc>
        <w:tc>
          <w:tcPr>
            <w:tcW w:w="1829" w:type="pct"/>
            <w:noWrap/>
            <w:vAlign w:val="bottom"/>
            <w:hideMark/>
          </w:tcPr>
          <w:p w14:paraId="67B20BE5" w14:textId="76898696" w:rsidR="00316689" w:rsidRPr="0008654E" w:rsidRDefault="005D522A" w:rsidP="008D0BAC">
            <w:pPr>
              <w:spacing w:after="0"/>
              <w:jc w:val="center"/>
              <w:rPr>
                <w:rFonts w:eastAsia="Times New Roman"/>
                <w:noProof/>
                <w:sz w:val="22"/>
                <w:szCs w:val="22"/>
                <w:lang w:eastAsia="en-IE"/>
              </w:rPr>
            </w:pPr>
            <w:r w:rsidRPr="0008654E">
              <w:rPr>
                <w:rFonts w:eastAsia="Times New Roman"/>
                <w:noProof/>
                <w:sz w:val="22"/>
                <w:szCs w:val="22"/>
                <w:lang w:eastAsia="en-IE"/>
              </w:rPr>
              <w:t>129</w:t>
            </w:r>
          </w:p>
        </w:tc>
      </w:tr>
      <w:tr w:rsidR="00316689" w:rsidRPr="00BD6533" w14:paraId="0D90796E" w14:textId="77777777" w:rsidTr="006530C1">
        <w:trPr>
          <w:trHeight w:val="288"/>
          <w:tblHeader/>
        </w:trPr>
        <w:tc>
          <w:tcPr>
            <w:tcW w:w="1000" w:type="pct"/>
            <w:noWrap/>
            <w:vAlign w:val="center"/>
            <w:hideMark/>
          </w:tcPr>
          <w:p w14:paraId="105D955F"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2027</w:t>
            </w:r>
          </w:p>
        </w:tc>
        <w:tc>
          <w:tcPr>
            <w:tcW w:w="2171" w:type="pct"/>
            <w:noWrap/>
            <w:vAlign w:val="bottom"/>
            <w:hideMark/>
          </w:tcPr>
          <w:p w14:paraId="71381E2C" w14:textId="4EDE617D" w:rsidR="00316689" w:rsidRPr="0008654E" w:rsidRDefault="00706563" w:rsidP="008D0BAC">
            <w:pPr>
              <w:spacing w:after="0"/>
              <w:jc w:val="center"/>
              <w:rPr>
                <w:rFonts w:eastAsia="Times New Roman"/>
                <w:noProof/>
                <w:sz w:val="22"/>
                <w:szCs w:val="22"/>
                <w:lang w:eastAsia="en-IE"/>
              </w:rPr>
            </w:pPr>
            <w:r w:rsidRPr="0008654E">
              <w:rPr>
                <w:rFonts w:eastAsia="Times New Roman"/>
                <w:noProof/>
                <w:sz w:val="22"/>
                <w:szCs w:val="22"/>
                <w:lang w:eastAsia="en-IE"/>
              </w:rPr>
              <w:t>467</w:t>
            </w:r>
          </w:p>
        </w:tc>
        <w:tc>
          <w:tcPr>
            <w:tcW w:w="1829" w:type="pct"/>
            <w:noWrap/>
            <w:vAlign w:val="bottom"/>
            <w:hideMark/>
          </w:tcPr>
          <w:p w14:paraId="10EA74D3" w14:textId="17399296" w:rsidR="00316689" w:rsidRPr="0008654E" w:rsidRDefault="00910E74" w:rsidP="008D0BAC">
            <w:pPr>
              <w:spacing w:after="0"/>
              <w:jc w:val="center"/>
              <w:rPr>
                <w:rFonts w:eastAsia="Times New Roman"/>
                <w:noProof/>
                <w:sz w:val="22"/>
                <w:szCs w:val="22"/>
                <w:lang w:eastAsia="en-IE"/>
              </w:rPr>
            </w:pPr>
            <w:r w:rsidRPr="0008654E">
              <w:rPr>
                <w:rFonts w:eastAsia="Times New Roman"/>
                <w:noProof/>
                <w:sz w:val="22"/>
                <w:szCs w:val="22"/>
                <w:lang w:eastAsia="en-IE"/>
              </w:rPr>
              <w:t>140</w:t>
            </w:r>
          </w:p>
        </w:tc>
      </w:tr>
      <w:tr w:rsidR="00316689" w:rsidRPr="00BD6533" w14:paraId="6313EABE" w14:textId="77777777" w:rsidTr="006530C1">
        <w:trPr>
          <w:trHeight w:val="288"/>
          <w:tblHeader/>
        </w:trPr>
        <w:tc>
          <w:tcPr>
            <w:tcW w:w="1000" w:type="pct"/>
            <w:noWrap/>
            <w:vAlign w:val="center"/>
            <w:hideMark/>
          </w:tcPr>
          <w:p w14:paraId="7A8F1BF7"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2028</w:t>
            </w:r>
          </w:p>
        </w:tc>
        <w:tc>
          <w:tcPr>
            <w:tcW w:w="2171" w:type="pct"/>
            <w:noWrap/>
            <w:vAlign w:val="bottom"/>
            <w:hideMark/>
          </w:tcPr>
          <w:p w14:paraId="5F30DCF9" w14:textId="49D830E0" w:rsidR="00316689" w:rsidRPr="0008654E" w:rsidRDefault="00F70AA3" w:rsidP="008D0BAC">
            <w:pPr>
              <w:spacing w:after="0"/>
              <w:jc w:val="center"/>
              <w:rPr>
                <w:rFonts w:eastAsia="Times New Roman"/>
                <w:noProof/>
                <w:sz w:val="22"/>
                <w:szCs w:val="22"/>
                <w:lang w:eastAsia="en-IE"/>
              </w:rPr>
            </w:pPr>
            <w:r w:rsidRPr="0008654E">
              <w:rPr>
                <w:rFonts w:eastAsia="Times New Roman"/>
                <w:noProof/>
                <w:sz w:val="22"/>
                <w:szCs w:val="22"/>
                <w:lang w:eastAsia="en-IE"/>
              </w:rPr>
              <w:t>507</w:t>
            </w:r>
          </w:p>
        </w:tc>
        <w:tc>
          <w:tcPr>
            <w:tcW w:w="1829" w:type="pct"/>
            <w:noWrap/>
            <w:vAlign w:val="bottom"/>
            <w:hideMark/>
          </w:tcPr>
          <w:p w14:paraId="709A1B3D" w14:textId="57ED6FE0" w:rsidR="00316689" w:rsidRPr="0008654E" w:rsidRDefault="00910E74" w:rsidP="008D0BAC">
            <w:pPr>
              <w:spacing w:after="0"/>
              <w:jc w:val="center"/>
              <w:rPr>
                <w:rFonts w:eastAsia="Times New Roman"/>
                <w:noProof/>
                <w:sz w:val="22"/>
                <w:szCs w:val="22"/>
                <w:lang w:eastAsia="en-IE"/>
              </w:rPr>
            </w:pPr>
            <w:r w:rsidRPr="0008654E">
              <w:rPr>
                <w:rFonts w:eastAsia="Times New Roman"/>
                <w:noProof/>
                <w:sz w:val="22"/>
                <w:szCs w:val="22"/>
                <w:lang w:eastAsia="en-IE"/>
              </w:rPr>
              <w:t>152</w:t>
            </w:r>
          </w:p>
        </w:tc>
      </w:tr>
      <w:tr w:rsidR="00316689" w:rsidRPr="00BD6533" w14:paraId="6267A930" w14:textId="77777777" w:rsidTr="006530C1">
        <w:trPr>
          <w:trHeight w:val="288"/>
          <w:tblHeader/>
        </w:trPr>
        <w:tc>
          <w:tcPr>
            <w:tcW w:w="1000" w:type="pct"/>
            <w:noWrap/>
            <w:vAlign w:val="center"/>
            <w:hideMark/>
          </w:tcPr>
          <w:p w14:paraId="0E217755"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2029</w:t>
            </w:r>
          </w:p>
        </w:tc>
        <w:tc>
          <w:tcPr>
            <w:tcW w:w="2171" w:type="pct"/>
            <w:noWrap/>
            <w:vAlign w:val="bottom"/>
            <w:hideMark/>
          </w:tcPr>
          <w:p w14:paraId="34EBB878" w14:textId="44B408FB" w:rsidR="00316689" w:rsidRPr="0008654E" w:rsidRDefault="00F70AA3" w:rsidP="008D0BAC">
            <w:pPr>
              <w:spacing w:after="0"/>
              <w:jc w:val="center"/>
              <w:rPr>
                <w:rFonts w:eastAsia="Times New Roman"/>
                <w:noProof/>
                <w:sz w:val="22"/>
                <w:szCs w:val="22"/>
                <w:lang w:eastAsia="en-IE"/>
              </w:rPr>
            </w:pPr>
            <w:r w:rsidRPr="0008654E">
              <w:rPr>
                <w:rFonts w:eastAsia="Times New Roman"/>
                <w:noProof/>
                <w:sz w:val="22"/>
                <w:szCs w:val="22"/>
                <w:lang w:eastAsia="en-IE"/>
              </w:rPr>
              <w:t>551</w:t>
            </w:r>
          </w:p>
        </w:tc>
        <w:tc>
          <w:tcPr>
            <w:tcW w:w="1829" w:type="pct"/>
            <w:noWrap/>
            <w:vAlign w:val="bottom"/>
            <w:hideMark/>
          </w:tcPr>
          <w:p w14:paraId="52109D19" w14:textId="796C87F2" w:rsidR="00316689" w:rsidRPr="0008654E" w:rsidRDefault="00910E74" w:rsidP="008D0BAC">
            <w:pPr>
              <w:spacing w:after="0"/>
              <w:jc w:val="center"/>
              <w:rPr>
                <w:rFonts w:eastAsia="Times New Roman"/>
                <w:noProof/>
                <w:sz w:val="22"/>
                <w:szCs w:val="22"/>
                <w:lang w:eastAsia="en-IE"/>
              </w:rPr>
            </w:pPr>
            <w:r w:rsidRPr="0008654E">
              <w:rPr>
                <w:rFonts w:eastAsia="Times New Roman"/>
                <w:noProof/>
                <w:sz w:val="22"/>
                <w:szCs w:val="22"/>
                <w:lang w:eastAsia="en-IE"/>
              </w:rPr>
              <w:t>165</w:t>
            </w:r>
          </w:p>
        </w:tc>
      </w:tr>
      <w:tr w:rsidR="00316689" w:rsidRPr="00BD6533" w14:paraId="7F870F29" w14:textId="77777777" w:rsidTr="006530C1">
        <w:trPr>
          <w:trHeight w:val="288"/>
          <w:tblHeader/>
        </w:trPr>
        <w:tc>
          <w:tcPr>
            <w:tcW w:w="1000" w:type="pct"/>
            <w:noWrap/>
            <w:vAlign w:val="center"/>
            <w:hideMark/>
          </w:tcPr>
          <w:p w14:paraId="3DD27FDD"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2030</w:t>
            </w:r>
          </w:p>
        </w:tc>
        <w:tc>
          <w:tcPr>
            <w:tcW w:w="2171" w:type="pct"/>
            <w:noWrap/>
            <w:vAlign w:val="bottom"/>
            <w:hideMark/>
          </w:tcPr>
          <w:p w14:paraId="4F800A90" w14:textId="2E324DBC" w:rsidR="00316689" w:rsidRPr="0008654E" w:rsidRDefault="00F70AA3" w:rsidP="008D0BAC">
            <w:pPr>
              <w:spacing w:after="0"/>
              <w:jc w:val="center"/>
              <w:rPr>
                <w:rFonts w:eastAsia="Times New Roman"/>
                <w:noProof/>
                <w:sz w:val="22"/>
                <w:szCs w:val="22"/>
                <w:lang w:eastAsia="en-IE"/>
              </w:rPr>
            </w:pPr>
            <w:r w:rsidRPr="0008654E">
              <w:rPr>
                <w:rFonts w:eastAsia="Times New Roman"/>
                <w:noProof/>
                <w:sz w:val="22"/>
                <w:szCs w:val="22"/>
                <w:lang w:eastAsia="en-IE"/>
              </w:rPr>
              <w:t>598</w:t>
            </w:r>
          </w:p>
        </w:tc>
        <w:tc>
          <w:tcPr>
            <w:tcW w:w="1829" w:type="pct"/>
            <w:noWrap/>
            <w:vAlign w:val="bottom"/>
            <w:hideMark/>
          </w:tcPr>
          <w:p w14:paraId="7E2228E0" w14:textId="244BDFE8" w:rsidR="00316689" w:rsidRPr="0008654E" w:rsidRDefault="00910E74" w:rsidP="008D0BAC">
            <w:pPr>
              <w:spacing w:after="0"/>
              <w:jc w:val="center"/>
              <w:rPr>
                <w:rFonts w:eastAsia="Times New Roman"/>
                <w:noProof/>
                <w:sz w:val="22"/>
                <w:szCs w:val="22"/>
                <w:lang w:eastAsia="en-IE"/>
              </w:rPr>
            </w:pPr>
            <w:r w:rsidRPr="0008654E">
              <w:rPr>
                <w:rFonts w:eastAsia="Times New Roman"/>
                <w:noProof/>
                <w:sz w:val="22"/>
                <w:szCs w:val="22"/>
                <w:lang w:eastAsia="en-IE"/>
              </w:rPr>
              <w:t>179</w:t>
            </w:r>
          </w:p>
        </w:tc>
      </w:tr>
      <w:tr w:rsidR="00316689" w:rsidRPr="00BD6533" w14:paraId="4A5F15FF" w14:textId="77777777" w:rsidTr="006530C1">
        <w:trPr>
          <w:trHeight w:val="288"/>
          <w:tblHeader/>
        </w:trPr>
        <w:tc>
          <w:tcPr>
            <w:tcW w:w="1000" w:type="pct"/>
            <w:noWrap/>
            <w:vAlign w:val="center"/>
            <w:hideMark/>
          </w:tcPr>
          <w:p w14:paraId="7B5D8669"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2031</w:t>
            </w:r>
          </w:p>
        </w:tc>
        <w:tc>
          <w:tcPr>
            <w:tcW w:w="2171" w:type="pct"/>
            <w:noWrap/>
            <w:vAlign w:val="bottom"/>
            <w:hideMark/>
          </w:tcPr>
          <w:p w14:paraId="4DFA6759" w14:textId="37490C56" w:rsidR="00316689" w:rsidRPr="0008654E" w:rsidRDefault="00F2484F" w:rsidP="008D0BAC">
            <w:pPr>
              <w:spacing w:after="0"/>
              <w:jc w:val="center"/>
              <w:rPr>
                <w:rFonts w:eastAsia="Times New Roman"/>
                <w:noProof/>
                <w:sz w:val="22"/>
                <w:szCs w:val="22"/>
                <w:lang w:eastAsia="en-IE"/>
              </w:rPr>
            </w:pPr>
            <w:r w:rsidRPr="0008654E">
              <w:rPr>
                <w:rFonts w:eastAsia="Times New Roman"/>
                <w:noProof/>
                <w:sz w:val="22"/>
                <w:szCs w:val="22"/>
                <w:lang w:eastAsia="en-IE"/>
              </w:rPr>
              <w:t>623</w:t>
            </w:r>
          </w:p>
        </w:tc>
        <w:tc>
          <w:tcPr>
            <w:tcW w:w="1829" w:type="pct"/>
            <w:noWrap/>
            <w:vAlign w:val="bottom"/>
            <w:hideMark/>
          </w:tcPr>
          <w:p w14:paraId="1A5BAF41" w14:textId="4C67EA1A" w:rsidR="00316689" w:rsidRPr="0008654E" w:rsidRDefault="00B278D4" w:rsidP="008D0BAC">
            <w:pPr>
              <w:spacing w:after="0"/>
              <w:jc w:val="center"/>
              <w:rPr>
                <w:rFonts w:eastAsia="Times New Roman"/>
                <w:noProof/>
                <w:sz w:val="22"/>
                <w:szCs w:val="22"/>
                <w:lang w:eastAsia="en-IE"/>
              </w:rPr>
            </w:pPr>
            <w:r w:rsidRPr="0008654E">
              <w:rPr>
                <w:rFonts w:eastAsia="Times New Roman"/>
                <w:noProof/>
                <w:sz w:val="22"/>
                <w:szCs w:val="22"/>
                <w:lang w:eastAsia="en-IE"/>
              </w:rPr>
              <w:t>187</w:t>
            </w:r>
          </w:p>
        </w:tc>
      </w:tr>
      <w:tr w:rsidR="00316689" w:rsidRPr="00BD6533" w14:paraId="7914F7A9" w14:textId="77777777" w:rsidTr="006530C1">
        <w:trPr>
          <w:trHeight w:val="288"/>
          <w:tblHeader/>
        </w:trPr>
        <w:tc>
          <w:tcPr>
            <w:tcW w:w="1000" w:type="pct"/>
            <w:noWrap/>
            <w:vAlign w:val="center"/>
            <w:hideMark/>
          </w:tcPr>
          <w:p w14:paraId="3CDBB91E"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2032</w:t>
            </w:r>
          </w:p>
        </w:tc>
        <w:tc>
          <w:tcPr>
            <w:tcW w:w="2171" w:type="pct"/>
            <w:noWrap/>
            <w:vAlign w:val="bottom"/>
            <w:hideMark/>
          </w:tcPr>
          <w:p w14:paraId="545999CD" w14:textId="04AEA26C" w:rsidR="00316689" w:rsidRPr="0008654E" w:rsidRDefault="00F2484F" w:rsidP="008D0BAC">
            <w:pPr>
              <w:spacing w:after="0"/>
              <w:jc w:val="center"/>
              <w:rPr>
                <w:rFonts w:eastAsia="Times New Roman"/>
                <w:noProof/>
                <w:sz w:val="22"/>
                <w:szCs w:val="22"/>
                <w:lang w:eastAsia="en-IE"/>
              </w:rPr>
            </w:pPr>
            <w:r w:rsidRPr="0008654E">
              <w:rPr>
                <w:rFonts w:eastAsia="Times New Roman"/>
                <w:noProof/>
                <w:sz w:val="22"/>
                <w:szCs w:val="22"/>
                <w:lang w:eastAsia="en-IE"/>
              </w:rPr>
              <w:t>650</w:t>
            </w:r>
          </w:p>
        </w:tc>
        <w:tc>
          <w:tcPr>
            <w:tcW w:w="1829" w:type="pct"/>
            <w:noWrap/>
            <w:vAlign w:val="bottom"/>
            <w:hideMark/>
          </w:tcPr>
          <w:p w14:paraId="0C6E2884" w14:textId="50FD6024" w:rsidR="00316689" w:rsidRPr="0008654E" w:rsidRDefault="0008654E" w:rsidP="008D0BAC">
            <w:pPr>
              <w:spacing w:after="0"/>
              <w:jc w:val="center"/>
              <w:rPr>
                <w:rFonts w:eastAsia="Times New Roman"/>
                <w:noProof/>
                <w:sz w:val="22"/>
                <w:szCs w:val="22"/>
                <w:lang w:eastAsia="en-IE"/>
              </w:rPr>
            </w:pPr>
            <w:r w:rsidRPr="0008654E">
              <w:rPr>
                <w:rFonts w:eastAsia="Times New Roman"/>
                <w:noProof/>
                <w:sz w:val="22"/>
                <w:szCs w:val="22"/>
                <w:lang w:eastAsia="en-IE"/>
              </w:rPr>
              <w:t>195</w:t>
            </w:r>
          </w:p>
        </w:tc>
      </w:tr>
      <w:tr w:rsidR="00316689" w:rsidRPr="00BD6533" w14:paraId="413FB276" w14:textId="77777777" w:rsidTr="006530C1">
        <w:trPr>
          <w:trHeight w:val="288"/>
          <w:tblHeader/>
        </w:trPr>
        <w:tc>
          <w:tcPr>
            <w:tcW w:w="1000" w:type="pct"/>
            <w:noWrap/>
            <w:vAlign w:val="center"/>
            <w:hideMark/>
          </w:tcPr>
          <w:p w14:paraId="346E18F0"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2033</w:t>
            </w:r>
          </w:p>
        </w:tc>
        <w:tc>
          <w:tcPr>
            <w:tcW w:w="2171" w:type="pct"/>
            <w:noWrap/>
            <w:vAlign w:val="bottom"/>
            <w:hideMark/>
          </w:tcPr>
          <w:p w14:paraId="7EBF837A" w14:textId="6B26385B" w:rsidR="00316689" w:rsidRPr="0008654E" w:rsidRDefault="00F7252A" w:rsidP="008D0BAC">
            <w:pPr>
              <w:spacing w:after="0"/>
              <w:jc w:val="center"/>
              <w:rPr>
                <w:rFonts w:eastAsia="Times New Roman"/>
                <w:noProof/>
                <w:sz w:val="22"/>
                <w:szCs w:val="22"/>
                <w:lang w:eastAsia="en-IE"/>
              </w:rPr>
            </w:pPr>
            <w:r w:rsidRPr="0008654E">
              <w:rPr>
                <w:rFonts w:eastAsia="Times New Roman"/>
                <w:noProof/>
                <w:sz w:val="22"/>
                <w:szCs w:val="22"/>
                <w:lang w:eastAsia="en-IE"/>
              </w:rPr>
              <w:t>678</w:t>
            </w:r>
          </w:p>
        </w:tc>
        <w:tc>
          <w:tcPr>
            <w:tcW w:w="1829" w:type="pct"/>
            <w:noWrap/>
            <w:vAlign w:val="bottom"/>
            <w:hideMark/>
          </w:tcPr>
          <w:p w14:paraId="1423ECCA" w14:textId="5058EB3F" w:rsidR="00316689" w:rsidRPr="0008654E" w:rsidRDefault="0008654E" w:rsidP="008D0BAC">
            <w:pPr>
              <w:spacing w:after="0"/>
              <w:jc w:val="center"/>
              <w:rPr>
                <w:rFonts w:eastAsia="Times New Roman"/>
                <w:noProof/>
                <w:sz w:val="22"/>
                <w:szCs w:val="22"/>
                <w:lang w:eastAsia="en-IE"/>
              </w:rPr>
            </w:pPr>
            <w:r w:rsidRPr="0008654E">
              <w:rPr>
                <w:rFonts w:eastAsia="Times New Roman"/>
                <w:noProof/>
                <w:sz w:val="22"/>
                <w:szCs w:val="22"/>
                <w:lang w:eastAsia="en-IE"/>
              </w:rPr>
              <w:t>203</w:t>
            </w:r>
          </w:p>
        </w:tc>
      </w:tr>
      <w:tr w:rsidR="00316689" w:rsidRPr="00BD6533" w14:paraId="5C808E7F" w14:textId="77777777" w:rsidTr="006530C1">
        <w:trPr>
          <w:trHeight w:val="288"/>
          <w:tblHeader/>
        </w:trPr>
        <w:tc>
          <w:tcPr>
            <w:tcW w:w="1000" w:type="pct"/>
            <w:noWrap/>
            <w:vAlign w:val="center"/>
            <w:hideMark/>
          </w:tcPr>
          <w:p w14:paraId="43AE31BB"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2034</w:t>
            </w:r>
          </w:p>
        </w:tc>
        <w:tc>
          <w:tcPr>
            <w:tcW w:w="2171" w:type="pct"/>
            <w:noWrap/>
            <w:vAlign w:val="bottom"/>
            <w:hideMark/>
          </w:tcPr>
          <w:p w14:paraId="0CB6BD1C" w14:textId="04F104D3" w:rsidR="00316689" w:rsidRPr="0008654E" w:rsidRDefault="00F7252A" w:rsidP="008D0BAC">
            <w:pPr>
              <w:spacing w:after="0"/>
              <w:jc w:val="center"/>
              <w:rPr>
                <w:rFonts w:eastAsia="Times New Roman"/>
                <w:noProof/>
                <w:sz w:val="22"/>
                <w:szCs w:val="22"/>
                <w:lang w:eastAsia="en-IE"/>
              </w:rPr>
            </w:pPr>
            <w:r w:rsidRPr="0008654E">
              <w:rPr>
                <w:rFonts w:eastAsia="Times New Roman"/>
                <w:noProof/>
                <w:sz w:val="22"/>
                <w:szCs w:val="22"/>
                <w:lang w:eastAsia="en-IE"/>
              </w:rPr>
              <w:t>707</w:t>
            </w:r>
          </w:p>
        </w:tc>
        <w:tc>
          <w:tcPr>
            <w:tcW w:w="1829" w:type="pct"/>
            <w:noWrap/>
            <w:vAlign w:val="bottom"/>
            <w:hideMark/>
          </w:tcPr>
          <w:p w14:paraId="59819D68" w14:textId="38B3C0B2" w:rsidR="00316689" w:rsidRPr="0008654E" w:rsidRDefault="0008654E" w:rsidP="008D0BAC">
            <w:pPr>
              <w:spacing w:after="0"/>
              <w:jc w:val="center"/>
              <w:rPr>
                <w:rFonts w:eastAsia="Times New Roman"/>
                <w:noProof/>
                <w:sz w:val="22"/>
                <w:szCs w:val="22"/>
                <w:lang w:eastAsia="en-IE"/>
              </w:rPr>
            </w:pPr>
            <w:r w:rsidRPr="0008654E">
              <w:rPr>
                <w:rFonts w:eastAsia="Times New Roman"/>
                <w:noProof/>
                <w:sz w:val="22"/>
                <w:szCs w:val="22"/>
                <w:lang w:eastAsia="en-IE"/>
              </w:rPr>
              <w:t>212</w:t>
            </w:r>
          </w:p>
        </w:tc>
      </w:tr>
      <w:tr w:rsidR="00316689" w:rsidRPr="00BD6533" w14:paraId="30946941" w14:textId="77777777" w:rsidTr="006530C1">
        <w:trPr>
          <w:trHeight w:val="288"/>
          <w:tblHeader/>
        </w:trPr>
        <w:tc>
          <w:tcPr>
            <w:tcW w:w="1000" w:type="pct"/>
            <w:noWrap/>
            <w:vAlign w:val="center"/>
            <w:hideMark/>
          </w:tcPr>
          <w:p w14:paraId="4AE797AC"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2035</w:t>
            </w:r>
          </w:p>
        </w:tc>
        <w:tc>
          <w:tcPr>
            <w:tcW w:w="2171" w:type="pct"/>
            <w:noWrap/>
            <w:vAlign w:val="bottom"/>
            <w:hideMark/>
          </w:tcPr>
          <w:p w14:paraId="31B26CCA" w14:textId="37F10811" w:rsidR="00316689" w:rsidRPr="0008654E" w:rsidRDefault="00F7252A" w:rsidP="008D0BAC">
            <w:pPr>
              <w:spacing w:after="0"/>
              <w:jc w:val="center"/>
              <w:rPr>
                <w:rFonts w:eastAsia="Times New Roman"/>
                <w:noProof/>
                <w:sz w:val="22"/>
                <w:szCs w:val="22"/>
                <w:lang w:eastAsia="en-IE"/>
              </w:rPr>
            </w:pPr>
            <w:r w:rsidRPr="0008654E">
              <w:rPr>
                <w:rFonts w:eastAsia="Times New Roman"/>
                <w:noProof/>
                <w:sz w:val="22"/>
                <w:szCs w:val="22"/>
                <w:lang w:eastAsia="en-IE"/>
              </w:rPr>
              <w:t>737</w:t>
            </w:r>
          </w:p>
        </w:tc>
        <w:tc>
          <w:tcPr>
            <w:tcW w:w="1829" w:type="pct"/>
            <w:noWrap/>
            <w:vAlign w:val="bottom"/>
            <w:hideMark/>
          </w:tcPr>
          <w:p w14:paraId="250449EA" w14:textId="0FAEB232" w:rsidR="00316689" w:rsidRPr="0008654E" w:rsidRDefault="0008654E" w:rsidP="008D0BAC">
            <w:pPr>
              <w:spacing w:after="0"/>
              <w:jc w:val="center"/>
              <w:rPr>
                <w:rFonts w:eastAsia="Times New Roman"/>
                <w:noProof/>
                <w:sz w:val="22"/>
                <w:szCs w:val="22"/>
                <w:lang w:eastAsia="en-IE"/>
              </w:rPr>
            </w:pPr>
            <w:r w:rsidRPr="0008654E">
              <w:rPr>
                <w:rFonts w:eastAsia="Times New Roman"/>
                <w:noProof/>
                <w:sz w:val="22"/>
                <w:szCs w:val="22"/>
                <w:lang w:eastAsia="en-IE"/>
              </w:rPr>
              <w:t>221</w:t>
            </w:r>
          </w:p>
        </w:tc>
      </w:tr>
      <w:tr w:rsidR="00316689" w:rsidRPr="00BD6533" w14:paraId="7AD9E562" w14:textId="77777777" w:rsidTr="006530C1">
        <w:trPr>
          <w:trHeight w:val="288"/>
          <w:tblHeader/>
        </w:trPr>
        <w:tc>
          <w:tcPr>
            <w:tcW w:w="1000" w:type="pct"/>
            <w:noWrap/>
            <w:vAlign w:val="center"/>
            <w:hideMark/>
          </w:tcPr>
          <w:p w14:paraId="4896B4E2" w14:textId="77777777" w:rsidR="00316689" w:rsidRPr="0008654E" w:rsidRDefault="00316689" w:rsidP="006530C1">
            <w:pPr>
              <w:spacing w:after="0"/>
              <w:jc w:val="center"/>
              <w:rPr>
                <w:rFonts w:eastAsia="Times New Roman"/>
                <w:b/>
                <w:noProof/>
                <w:sz w:val="22"/>
                <w:szCs w:val="22"/>
                <w:lang w:eastAsia="en-IE"/>
              </w:rPr>
            </w:pPr>
            <w:r w:rsidRPr="0008654E">
              <w:rPr>
                <w:rFonts w:eastAsia="Times New Roman"/>
                <w:b/>
                <w:noProof/>
                <w:sz w:val="22"/>
                <w:szCs w:val="22"/>
                <w:lang w:eastAsia="en-IE"/>
              </w:rPr>
              <w:t>2036</w:t>
            </w:r>
          </w:p>
        </w:tc>
        <w:tc>
          <w:tcPr>
            <w:tcW w:w="2171" w:type="pct"/>
            <w:noWrap/>
            <w:vAlign w:val="bottom"/>
            <w:hideMark/>
          </w:tcPr>
          <w:p w14:paraId="58A62CE0" w14:textId="1B93F5E2" w:rsidR="00316689" w:rsidRPr="0008654E" w:rsidRDefault="00CB7C1F" w:rsidP="008D0BAC">
            <w:pPr>
              <w:spacing w:after="0"/>
              <w:jc w:val="center"/>
              <w:rPr>
                <w:rFonts w:eastAsia="Times New Roman"/>
                <w:noProof/>
                <w:sz w:val="22"/>
                <w:szCs w:val="22"/>
                <w:lang w:eastAsia="en-IE"/>
              </w:rPr>
            </w:pPr>
            <w:r w:rsidRPr="0008654E">
              <w:rPr>
                <w:rFonts w:eastAsia="Times New Roman"/>
                <w:noProof/>
                <w:sz w:val="22"/>
                <w:szCs w:val="22"/>
                <w:lang w:eastAsia="en-IE"/>
              </w:rPr>
              <w:t>769</w:t>
            </w:r>
          </w:p>
        </w:tc>
        <w:tc>
          <w:tcPr>
            <w:tcW w:w="1829" w:type="pct"/>
            <w:noWrap/>
            <w:vAlign w:val="bottom"/>
            <w:hideMark/>
          </w:tcPr>
          <w:p w14:paraId="7A1460FE" w14:textId="3E5499C6" w:rsidR="00316689" w:rsidRPr="0008654E" w:rsidRDefault="0008654E" w:rsidP="008D0BAC">
            <w:pPr>
              <w:spacing w:after="0"/>
              <w:jc w:val="center"/>
              <w:rPr>
                <w:rFonts w:eastAsia="Times New Roman"/>
                <w:noProof/>
                <w:sz w:val="22"/>
                <w:szCs w:val="22"/>
                <w:lang w:eastAsia="en-IE"/>
              </w:rPr>
            </w:pPr>
            <w:r w:rsidRPr="0008654E">
              <w:rPr>
                <w:rFonts w:eastAsia="Times New Roman"/>
                <w:noProof/>
                <w:sz w:val="22"/>
                <w:szCs w:val="22"/>
                <w:lang w:eastAsia="en-IE"/>
              </w:rPr>
              <w:t>231</w:t>
            </w:r>
          </w:p>
        </w:tc>
      </w:tr>
    </w:tbl>
    <w:p w14:paraId="1441DD36" w14:textId="77777777" w:rsidR="00316689" w:rsidRPr="00A54618" w:rsidRDefault="00316689" w:rsidP="00316689">
      <w:pPr>
        <w:rPr>
          <w:noProof/>
        </w:rPr>
      </w:pPr>
    </w:p>
    <w:p w14:paraId="3DD016CA" w14:textId="2B5F9D5E" w:rsidR="00316689" w:rsidRPr="00B42C03" w:rsidRDefault="00316689" w:rsidP="00744B72">
      <w:pPr>
        <w:pStyle w:val="Heading3"/>
        <w:numPr>
          <w:ilvl w:val="2"/>
          <w:numId w:val="40"/>
        </w:numPr>
        <w:ind w:left="1872"/>
        <w:rPr>
          <w:noProof/>
        </w:rPr>
      </w:pPr>
      <w:bookmarkStart w:id="156" w:name="_Toc214519700"/>
      <w:bookmarkStart w:id="157" w:name="_Ref214561876"/>
      <w:r w:rsidRPr="008D0BAC">
        <w:rPr>
          <w:noProof/>
          <w:lang w:val="en-GB"/>
        </w:rPr>
        <w:t>Public</w:t>
      </w:r>
      <w:r w:rsidRPr="00B42C03">
        <w:rPr>
          <w:noProof/>
        </w:rPr>
        <w:t xml:space="preserve"> procurement contract values of cloud and AI </w:t>
      </w:r>
      <w:r w:rsidR="005C7355">
        <w:rPr>
          <w:noProof/>
        </w:rPr>
        <w:t xml:space="preserve">computing </w:t>
      </w:r>
      <w:r w:rsidRPr="00B42C03">
        <w:rPr>
          <w:noProof/>
        </w:rPr>
        <w:t>services</w:t>
      </w:r>
      <w:bookmarkEnd w:id="156"/>
      <w:bookmarkEnd w:id="157"/>
    </w:p>
    <w:p w14:paraId="730729BB" w14:textId="5B8A5605" w:rsidR="00316689" w:rsidRDefault="00316689" w:rsidP="00316689">
      <w:pPr>
        <w:rPr>
          <w:noProof/>
        </w:rPr>
      </w:pPr>
      <w:r>
        <w:rPr>
          <w:noProof/>
        </w:rPr>
        <w:t xml:space="preserve">The baseline data taken into consideration for the contract values of cloud and AI </w:t>
      </w:r>
      <w:r w:rsidR="005C7355">
        <w:rPr>
          <w:noProof/>
        </w:rPr>
        <w:t>computing</w:t>
      </w:r>
      <w:r>
        <w:rPr>
          <w:noProof/>
        </w:rPr>
        <w:t xml:space="preserve"> services procured has been extracted from the TED database using the TED API</w:t>
      </w:r>
      <w:r>
        <w:rPr>
          <w:rStyle w:val="FootnoteReference"/>
          <w:noProof/>
        </w:rPr>
        <w:footnoteReference w:id="39"/>
      </w:r>
      <w:r>
        <w:rPr>
          <w:noProof/>
        </w:rPr>
        <w:t>. To calculate the ICT contract values, the sum of the contract values of the Contract Award notices under CPV72. For cloud and AI contract values, the keywords “cloud” or “AI” have been used to discriminate.</w:t>
      </w:r>
    </w:p>
    <w:p w14:paraId="74D8EFC7" w14:textId="390EF1A2" w:rsidR="00316689" w:rsidRPr="008D0BAC" w:rsidRDefault="00316689" w:rsidP="00316689">
      <w:pPr>
        <w:pStyle w:val="Caption"/>
        <w:rPr>
          <w:bCs/>
          <w:noProof/>
        </w:rPr>
      </w:pPr>
      <w:bookmarkStart w:id="158" w:name="_Toc213440603"/>
      <w:r w:rsidRPr="008D0BAC">
        <w:rPr>
          <w:noProof/>
          <w:lang w:val="fr-FR"/>
        </w:rPr>
        <w:t xml:space="preserve">Table </w:t>
      </w:r>
      <w:r w:rsidRPr="00EA3427">
        <w:rPr>
          <w:bCs/>
          <w:noProof/>
        </w:rPr>
        <w:fldChar w:fldCharType="begin"/>
      </w:r>
      <w:r w:rsidRPr="00EA3427">
        <w:rPr>
          <w:noProof/>
          <w:lang w:val="fr-BE"/>
        </w:rPr>
        <w:instrText xml:space="preserve"> SEQ Table \* ARABIC </w:instrText>
      </w:r>
      <w:r w:rsidRPr="00EA3427">
        <w:rPr>
          <w:bCs/>
          <w:noProof/>
        </w:rPr>
        <w:fldChar w:fldCharType="separate"/>
      </w:r>
      <w:r w:rsidR="000E7F11">
        <w:rPr>
          <w:noProof/>
          <w:lang w:val="fr-BE"/>
        </w:rPr>
        <w:t>19</w:t>
      </w:r>
      <w:r w:rsidRPr="00EA3427">
        <w:rPr>
          <w:bCs/>
          <w:noProof/>
        </w:rPr>
        <w:fldChar w:fldCharType="end"/>
      </w:r>
      <w:r w:rsidRPr="008D0BAC">
        <w:rPr>
          <w:noProof/>
          <w:lang w:val="fr-FR"/>
        </w:rPr>
        <w:t xml:space="preserve">. Public procurement contract values 2021 – 2024. </w:t>
      </w:r>
      <w:r w:rsidRPr="008D0BAC">
        <w:rPr>
          <w:bCs/>
          <w:noProof/>
        </w:rPr>
        <w:t xml:space="preserve">(Source: </w:t>
      </w:r>
      <w:r w:rsidR="00D00353" w:rsidRPr="008D0BAC">
        <w:rPr>
          <w:noProof/>
        </w:rPr>
        <w:t>Technopolis et al. (2025))</w:t>
      </w:r>
      <w:r w:rsidR="00D00353">
        <w:rPr>
          <w:noProof/>
        </w:rPr>
        <w:t xml:space="preserve"> </w:t>
      </w:r>
      <w:r w:rsidRPr="008D0BAC">
        <w:rPr>
          <w:bCs/>
          <w:noProof/>
        </w:rPr>
        <w:t>elaborated from TED data)</w:t>
      </w:r>
      <w:bookmarkEnd w:id="158"/>
    </w:p>
    <w:tbl>
      <w:tblPr>
        <w:tblW w:w="5060" w:type="pct"/>
        <w:tblLook w:val="04A0" w:firstRow="1" w:lastRow="0" w:firstColumn="1" w:lastColumn="0" w:noHBand="0" w:noVBand="1"/>
      </w:tblPr>
      <w:tblGrid>
        <w:gridCol w:w="3630"/>
        <w:gridCol w:w="908"/>
        <w:gridCol w:w="1019"/>
        <w:gridCol w:w="911"/>
        <w:gridCol w:w="911"/>
        <w:gridCol w:w="911"/>
        <w:gridCol w:w="864"/>
      </w:tblGrid>
      <w:tr w:rsidR="00316689" w:rsidRPr="00BD6533" w14:paraId="19AB41FB" w14:textId="77777777" w:rsidTr="00FF65A8">
        <w:trPr>
          <w:trHeight w:val="315"/>
          <w:tblHeader/>
        </w:trPr>
        <w:tc>
          <w:tcPr>
            <w:tcW w:w="1984" w:type="pct"/>
            <w:tcBorders>
              <w:bottom w:val="single" w:sz="12" w:space="0" w:color="00B0F0"/>
            </w:tcBorders>
            <w:noWrap/>
            <w:hideMark/>
          </w:tcPr>
          <w:p w14:paraId="4173A772" w14:textId="77777777" w:rsidR="00316689" w:rsidRPr="00DA029C" w:rsidRDefault="00316689">
            <w:pPr>
              <w:spacing w:after="0"/>
              <w:rPr>
                <w:rFonts w:eastAsia="Times New Roman"/>
                <w:b/>
                <w:bCs/>
                <w:noProof/>
                <w:sz w:val="22"/>
                <w:szCs w:val="22"/>
                <w:lang w:eastAsia="en-IE"/>
              </w:rPr>
            </w:pPr>
            <w:r w:rsidRPr="00DA029C">
              <w:rPr>
                <w:rFonts w:eastAsia="Times New Roman"/>
                <w:b/>
                <w:bCs/>
                <w:noProof/>
                <w:sz w:val="22"/>
                <w:szCs w:val="22"/>
                <w:lang w:eastAsia="en-IE"/>
              </w:rPr>
              <w:t>Value of Award notices (bn EUR)</w:t>
            </w:r>
          </w:p>
        </w:tc>
        <w:tc>
          <w:tcPr>
            <w:tcW w:w="497" w:type="pct"/>
            <w:tcBorders>
              <w:bottom w:val="single" w:sz="12" w:space="0" w:color="00B0F0"/>
            </w:tcBorders>
            <w:hideMark/>
          </w:tcPr>
          <w:p w14:paraId="0CEB8786" w14:textId="77777777" w:rsidR="00316689" w:rsidRPr="00DA029C" w:rsidRDefault="00316689">
            <w:pPr>
              <w:spacing w:after="0"/>
              <w:rPr>
                <w:rFonts w:eastAsia="Times New Roman"/>
                <w:b/>
                <w:bCs/>
                <w:noProof/>
                <w:sz w:val="22"/>
                <w:szCs w:val="22"/>
                <w:lang w:eastAsia="en-IE"/>
              </w:rPr>
            </w:pPr>
            <w:r w:rsidRPr="00DA029C">
              <w:rPr>
                <w:rFonts w:eastAsia="Times New Roman"/>
                <w:b/>
                <w:bCs/>
                <w:noProof/>
                <w:sz w:val="22"/>
                <w:szCs w:val="22"/>
                <w:lang w:eastAsia="en-IE"/>
              </w:rPr>
              <w:t>2021</w:t>
            </w:r>
            <w:r w:rsidRPr="00DA029C">
              <w:rPr>
                <w:rFonts w:eastAsia="Times New Roman"/>
                <w:noProof/>
                <w:sz w:val="22"/>
                <w:szCs w:val="22"/>
                <w:lang w:eastAsia="en-IE"/>
              </w:rPr>
              <w:t> </w:t>
            </w:r>
          </w:p>
        </w:tc>
        <w:tc>
          <w:tcPr>
            <w:tcW w:w="557" w:type="pct"/>
            <w:tcBorders>
              <w:bottom w:val="single" w:sz="12" w:space="0" w:color="00B0F0"/>
            </w:tcBorders>
            <w:hideMark/>
          </w:tcPr>
          <w:p w14:paraId="42BAE19E" w14:textId="77777777" w:rsidR="00316689" w:rsidRPr="00DA029C" w:rsidRDefault="00316689">
            <w:pPr>
              <w:spacing w:after="0"/>
              <w:rPr>
                <w:rFonts w:eastAsia="Times New Roman"/>
                <w:b/>
                <w:bCs/>
                <w:noProof/>
                <w:sz w:val="22"/>
                <w:szCs w:val="22"/>
                <w:lang w:eastAsia="en-IE"/>
              </w:rPr>
            </w:pPr>
            <w:r w:rsidRPr="00DA029C">
              <w:rPr>
                <w:rFonts w:eastAsia="Times New Roman"/>
                <w:b/>
                <w:bCs/>
                <w:noProof/>
                <w:sz w:val="22"/>
                <w:szCs w:val="22"/>
                <w:lang w:eastAsia="en-IE"/>
              </w:rPr>
              <w:t>2022</w:t>
            </w:r>
            <w:r w:rsidRPr="00DA029C">
              <w:rPr>
                <w:rFonts w:eastAsia="Times New Roman"/>
                <w:noProof/>
                <w:sz w:val="22"/>
                <w:szCs w:val="22"/>
                <w:lang w:eastAsia="en-IE"/>
              </w:rPr>
              <w:t> </w:t>
            </w:r>
          </w:p>
        </w:tc>
        <w:tc>
          <w:tcPr>
            <w:tcW w:w="498" w:type="pct"/>
            <w:tcBorders>
              <w:bottom w:val="single" w:sz="12" w:space="0" w:color="00B0F0"/>
            </w:tcBorders>
            <w:hideMark/>
          </w:tcPr>
          <w:p w14:paraId="166E3E3F" w14:textId="77777777" w:rsidR="00316689" w:rsidRPr="00DA029C" w:rsidRDefault="00316689">
            <w:pPr>
              <w:spacing w:after="0"/>
              <w:rPr>
                <w:rFonts w:eastAsia="Times New Roman"/>
                <w:b/>
                <w:bCs/>
                <w:noProof/>
                <w:sz w:val="22"/>
                <w:szCs w:val="22"/>
                <w:lang w:eastAsia="en-IE"/>
              </w:rPr>
            </w:pPr>
            <w:r w:rsidRPr="00DA029C">
              <w:rPr>
                <w:rFonts w:eastAsia="Times New Roman"/>
                <w:b/>
                <w:bCs/>
                <w:noProof/>
                <w:sz w:val="22"/>
                <w:szCs w:val="22"/>
                <w:lang w:eastAsia="en-IE"/>
              </w:rPr>
              <w:t>2023</w:t>
            </w:r>
            <w:r w:rsidRPr="00DA029C">
              <w:rPr>
                <w:rFonts w:eastAsia="Times New Roman"/>
                <w:noProof/>
                <w:sz w:val="22"/>
                <w:szCs w:val="22"/>
                <w:lang w:eastAsia="en-IE"/>
              </w:rPr>
              <w:t> </w:t>
            </w:r>
          </w:p>
        </w:tc>
        <w:tc>
          <w:tcPr>
            <w:tcW w:w="498" w:type="pct"/>
            <w:tcBorders>
              <w:bottom w:val="single" w:sz="12" w:space="0" w:color="00B0F0"/>
            </w:tcBorders>
            <w:hideMark/>
          </w:tcPr>
          <w:p w14:paraId="1E56B42E" w14:textId="77777777" w:rsidR="00316689" w:rsidRPr="00DA029C" w:rsidRDefault="00316689">
            <w:pPr>
              <w:spacing w:after="0"/>
              <w:rPr>
                <w:rFonts w:eastAsia="Times New Roman"/>
                <w:b/>
                <w:bCs/>
                <w:noProof/>
                <w:sz w:val="22"/>
                <w:szCs w:val="22"/>
                <w:lang w:eastAsia="en-IE"/>
              </w:rPr>
            </w:pPr>
            <w:r w:rsidRPr="00DA029C">
              <w:rPr>
                <w:rFonts w:eastAsia="Times New Roman"/>
                <w:b/>
                <w:bCs/>
                <w:noProof/>
                <w:sz w:val="22"/>
                <w:szCs w:val="22"/>
                <w:lang w:eastAsia="en-IE"/>
              </w:rPr>
              <w:t>2024</w:t>
            </w:r>
            <w:r w:rsidRPr="00DA029C">
              <w:rPr>
                <w:rFonts w:eastAsia="Times New Roman"/>
                <w:noProof/>
                <w:sz w:val="22"/>
                <w:szCs w:val="22"/>
                <w:lang w:eastAsia="en-IE"/>
              </w:rPr>
              <w:t> </w:t>
            </w:r>
          </w:p>
        </w:tc>
        <w:tc>
          <w:tcPr>
            <w:tcW w:w="498" w:type="pct"/>
            <w:tcBorders>
              <w:bottom w:val="single" w:sz="12" w:space="0" w:color="00B0F0"/>
            </w:tcBorders>
            <w:hideMark/>
          </w:tcPr>
          <w:p w14:paraId="7F4B1283" w14:textId="77777777" w:rsidR="00316689" w:rsidRPr="00DA029C" w:rsidRDefault="00316689">
            <w:pPr>
              <w:spacing w:after="0"/>
              <w:jc w:val="center"/>
              <w:rPr>
                <w:rFonts w:eastAsia="Times New Roman"/>
                <w:b/>
                <w:bCs/>
                <w:noProof/>
                <w:sz w:val="22"/>
                <w:szCs w:val="22"/>
                <w:lang w:eastAsia="en-IE"/>
              </w:rPr>
            </w:pPr>
            <w:r w:rsidRPr="00DA029C">
              <w:rPr>
                <w:rFonts w:eastAsia="Times New Roman"/>
                <w:b/>
                <w:bCs/>
                <w:noProof/>
                <w:sz w:val="22"/>
                <w:szCs w:val="22"/>
                <w:lang w:eastAsia="en-IE"/>
              </w:rPr>
              <w:t>Avg 21-24</w:t>
            </w:r>
          </w:p>
        </w:tc>
        <w:tc>
          <w:tcPr>
            <w:tcW w:w="469" w:type="pct"/>
            <w:tcBorders>
              <w:bottom w:val="single" w:sz="12" w:space="0" w:color="00B0F0"/>
            </w:tcBorders>
            <w:hideMark/>
          </w:tcPr>
          <w:p w14:paraId="7E122891" w14:textId="77777777" w:rsidR="00316689" w:rsidRPr="00DA029C" w:rsidRDefault="00316689">
            <w:pPr>
              <w:spacing w:after="0"/>
              <w:jc w:val="center"/>
              <w:rPr>
                <w:rFonts w:eastAsia="Times New Roman"/>
                <w:b/>
                <w:bCs/>
                <w:noProof/>
                <w:sz w:val="22"/>
                <w:szCs w:val="22"/>
                <w:lang w:eastAsia="en-IE"/>
              </w:rPr>
            </w:pPr>
            <w:r w:rsidRPr="00DA029C">
              <w:rPr>
                <w:rFonts w:eastAsia="Times New Roman"/>
                <w:b/>
                <w:bCs/>
                <w:noProof/>
                <w:sz w:val="22"/>
                <w:szCs w:val="22"/>
                <w:lang w:eastAsia="en-IE"/>
              </w:rPr>
              <w:t>CAGR 21-24</w:t>
            </w:r>
          </w:p>
        </w:tc>
      </w:tr>
      <w:tr w:rsidR="00316689" w:rsidRPr="00BD6533" w14:paraId="391B9347" w14:textId="77777777" w:rsidTr="00FF65A8">
        <w:trPr>
          <w:trHeight w:val="300"/>
          <w:tblHeader/>
        </w:trPr>
        <w:tc>
          <w:tcPr>
            <w:tcW w:w="1984" w:type="pct"/>
            <w:tcBorders>
              <w:top w:val="single" w:sz="12" w:space="0" w:color="00B0F0"/>
            </w:tcBorders>
            <w:vAlign w:val="center"/>
            <w:hideMark/>
          </w:tcPr>
          <w:p w14:paraId="5A0F0509"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Cloud &amp; AI value of award notices</w:t>
            </w:r>
          </w:p>
        </w:tc>
        <w:tc>
          <w:tcPr>
            <w:tcW w:w="497" w:type="pct"/>
            <w:tcBorders>
              <w:top w:val="single" w:sz="12" w:space="0" w:color="00B0F0"/>
            </w:tcBorders>
            <w:vAlign w:val="center"/>
            <w:hideMark/>
          </w:tcPr>
          <w:p w14:paraId="0D4115B8" w14:textId="20B4298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2</w:t>
            </w:r>
            <w:r w:rsidR="00911C3C">
              <w:rPr>
                <w:rFonts w:eastAsia="Times New Roman"/>
                <w:noProof/>
                <w:sz w:val="22"/>
                <w:szCs w:val="22"/>
                <w:lang w:eastAsia="en-IE"/>
              </w:rPr>
              <w:t>.</w:t>
            </w:r>
            <w:r w:rsidRPr="00DA029C">
              <w:rPr>
                <w:rFonts w:eastAsia="Times New Roman"/>
                <w:noProof/>
                <w:sz w:val="22"/>
                <w:szCs w:val="22"/>
                <w:lang w:eastAsia="en-IE"/>
              </w:rPr>
              <w:t xml:space="preserve">8 </w:t>
            </w:r>
          </w:p>
        </w:tc>
        <w:tc>
          <w:tcPr>
            <w:tcW w:w="557" w:type="pct"/>
            <w:tcBorders>
              <w:top w:val="single" w:sz="12" w:space="0" w:color="00B0F0"/>
            </w:tcBorders>
            <w:vAlign w:val="center"/>
            <w:hideMark/>
          </w:tcPr>
          <w:p w14:paraId="14EAF975" w14:textId="2753EAC1"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5</w:t>
            </w:r>
            <w:r w:rsidR="00911C3C">
              <w:rPr>
                <w:rFonts w:eastAsia="Times New Roman"/>
                <w:noProof/>
                <w:sz w:val="22"/>
                <w:szCs w:val="22"/>
                <w:lang w:eastAsia="en-IE"/>
              </w:rPr>
              <w:t>.</w:t>
            </w:r>
            <w:r w:rsidRPr="00DA029C">
              <w:rPr>
                <w:rFonts w:eastAsia="Times New Roman"/>
                <w:noProof/>
                <w:sz w:val="22"/>
                <w:szCs w:val="22"/>
                <w:lang w:eastAsia="en-IE"/>
              </w:rPr>
              <w:t xml:space="preserve">1 </w:t>
            </w:r>
          </w:p>
        </w:tc>
        <w:tc>
          <w:tcPr>
            <w:tcW w:w="498" w:type="pct"/>
            <w:tcBorders>
              <w:top w:val="single" w:sz="12" w:space="0" w:color="00B0F0"/>
            </w:tcBorders>
            <w:vAlign w:val="center"/>
            <w:hideMark/>
          </w:tcPr>
          <w:p w14:paraId="1570A72B" w14:textId="5961B43F"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12</w:t>
            </w:r>
            <w:r w:rsidR="00911C3C">
              <w:rPr>
                <w:rFonts w:eastAsia="Times New Roman"/>
                <w:noProof/>
                <w:sz w:val="22"/>
                <w:szCs w:val="22"/>
                <w:lang w:eastAsia="en-IE"/>
              </w:rPr>
              <w:t>.</w:t>
            </w:r>
            <w:r w:rsidRPr="00DA029C">
              <w:rPr>
                <w:rFonts w:eastAsia="Times New Roman"/>
                <w:noProof/>
                <w:sz w:val="22"/>
                <w:szCs w:val="22"/>
                <w:lang w:eastAsia="en-IE"/>
              </w:rPr>
              <w:t xml:space="preserve">5 </w:t>
            </w:r>
          </w:p>
        </w:tc>
        <w:tc>
          <w:tcPr>
            <w:tcW w:w="498" w:type="pct"/>
            <w:tcBorders>
              <w:top w:val="single" w:sz="12" w:space="0" w:color="00B0F0"/>
            </w:tcBorders>
            <w:vAlign w:val="center"/>
            <w:hideMark/>
          </w:tcPr>
          <w:p w14:paraId="1DC9CFCD" w14:textId="1DCCEA2C"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9</w:t>
            </w:r>
            <w:r w:rsidR="00911C3C">
              <w:rPr>
                <w:rFonts w:eastAsia="Times New Roman"/>
                <w:noProof/>
                <w:sz w:val="22"/>
                <w:szCs w:val="22"/>
                <w:lang w:eastAsia="en-IE"/>
              </w:rPr>
              <w:t>.</w:t>
            </w:r>
            <w:r w:rsidRPr="00DA029C">
              <w:rPr>
                <w:rFonts w:eastAsia="Times New Roman"/>
                <w:noProof/>
                <w:sz w:val="22"/>
                <w:szCs w:val="22"/>
                <w:lang w:eastAsia="en-IE"/>
              </w:rPr>
              <w:t xml:space="preserve">2 </w:t>
            </w:r>
          </w:p>
        </w:tc>
        <w:tc>
          <w:tcPr>
            <w:tcW w:w="498" w:type="pct"/>
            <w:tcBorders>
              <w:top w:val="single" w:sz="12" w:space="0" w:color="00B0F0"/>
            </w:tcBorders>
            <w:vAlign w:val="center"/>
            <w:hideMark/>
          </w:tcPr>
          <w:p w14:paraId="6235A145" w14:textId="59404D16"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7</w:t>
            </w:r>
            <w:r w:rsidR="00911C3C">
              <w:rPr>
                <w:rFonts w:eastAsia="Times New Roman"/>
                <w:noProof/>
                <w:sz w:val="22"/>
                <w:szCs w:val="22"/>
                <w:lang w:eastAsia="en-IE"/>
              </w:rPr>
              <w:t>.</w:t>
            </w:r>
            <w:r w:rsidRPr="00DA029C">
              <w:rPr>
                <w:rFonts w:eastAsia="Times New Roman"/>
                <w:noProof/>
                <w:sz w:val="22"/>
                <w:szCs w:val="22"/>
                <w:lang w:eastAsia="en-IE"/>
              </w:rPr>
              <w:t xml:space="preserve">4 </w:t>
            </w:r>
          </w:p>
        </w:tc>
        <w:tc>
          <w:tcPr>
            <w:tcW w:w="469" w:type="pct"/>
            <w:tcBorders>
              <w:top w:val="single" w:sz="12" w:space="0" w:color="00B0F0"/>
            </w:tcBorders>
            <w:noWrap/>
            <w:vAlign w:val="bottom"/>
            <w:hideMark/>
          </w:tcPr>
          <w:p w14:paraId="3E78BDF1" w14:textId="7777777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48%</w:t>
            </w:r>
          </w:p>
        </w:tc>
      </w:tr>
      <w:tr w:rsidR="00316689" w:rsidRPr="00BD6533" w14:paraId="5E14DC66" w14:textId="77777777">
        <w:trPr>
          <w:trHeight w:val="300"/>
          <w:tblHeader/>
        </w:trPr>
        <w:tc>
          <w:tcPr>
            <w:tcW w:w="1984" w:type="pct"/>
            <w:vAlign w:val="center"/>
            <w:hideMark/>
          </w:tcPr>
          <w:p w14:paraId="71EDE4A1"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ICT Value of award notices</w:t>
            </w:r>
          </w:p>
        </w:tc>
        <w:tc>
          <w:tcPr>
            <w:tcW w:w="497" w:type="pct"/>
            <w:vAlign w:val="center"/>
            <w:hideMark/>
          </w:tcPr>
          <w:p w14:paraId="4E68EC86" w14:textId="12DA1A30"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77</w:t>
            </w:r>
            <w:r w:rsidR="00911C3C">
              <w:rPr>
                <w:rFonts w:eastAsia="Times New Roman"/>
                <w:noProof/>
                <w:sz w:val="22"/>
                <w:szCs w:val="22"/>
                <w:lang w:eastAsia="en-IE"/>
              </w:rPr>
              <w:t>.</w:t>
            </w:r>
            <w:r w:rsidRPr="00DA029C">
              <w:rPr>
                <w:rFonts w:eastAsia="Times New Roman"/>
                <w:noProof/>
                <w:sz w:val="22"/>
                <w:szCs w:val="22"/>
                <w:lang w:eastAsia="en-IE"/>
              </w:rPr>
              <w:t xml:space="preserve">1 </w:t>
            </w:r>
          </w:p>
        </w:tc>
        <w:tc>
          <w:tcPr>
            <w:tcW w:w="557" w:type="pct"/>
            <w:vAlign w:val="center"/>
            <w:hideMark/>
          </w:tcPr>
          <w:p w14:paraId="2A46AA38" w14:textId="542B6B11"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98</w:t>
            </w:r>
            <w:r w:rsidR="00911C3C">
              <w:rPr>
                <w:rFonts w:eastAsia="Times New Roman"/>
                <w:noProof/>
                <w:sz w:val="22"/>
                <w:szCs w:val="22"/>
                <w:lang w:eastAsia="en-IE"/>
              </w:rPr>
              <w:t>.</w:t>
            </w:r>
            <w:r w:rsidRPr="00DA029C">
              <w:rPr>
                <w:rFonts w:eastAsia="Times New Roman"/>
                <w:noProof/>
                <w:sz w:val="22"/>
                <w:szCs w:val="22"/>
                <w:lang w:eastAsia="en-IE"/>
              </w:rPr>
              <w:t xml:space="preserve">7 </w:t>
            </w:r>
          </w:p>
        </w:tc>
        <w:tc>
          <w:tcPr>
            <w:tcW w:w="498" w:type="pct"/>
            <w:vAlign w:val="center"/>
            <w:hideMark/>
          </w:tcPr>
          <w:p w14:paraId="73FD0281" w14:textId="20B75DE5"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113</w:t>
            </w:r>
            <w:r w:rsidR="00911C3C">
              <w:rPr>
                <w:rFonts w:eastAsia="Times New Roman"/>
                <w:noProof/>
                <w:sz w:val="22"/>
                <w:szCs w:val="22"/>
                <w:lang w:eastAsia="en-IE"/>
              </w:rPr>
              <w:t>.</w:t>
            </w:r>
            <w:r w:rsidRPr="00DA029C">
              <w:rPr>
                <w:rFonts w:eastAsia="Times New Roman"/>
                <w:noProof/>
                <w:sz w:val="22"/>
                <w:szCs w:val="22"/>
                <w:lang w:eastAsia="en-IE"/>
              </w:rPr>
              <w:t xml:space="preserve">9 </w:t>
            </w:r>
          </w:p>
        </w:tc>
        <w:tc>
          <w:tcPr>
            <w:tcW w:w="498" w:type="pct"/>
            <w:vAlign w:val="center"/>
            <w:hideMark/>
          </w:tcPr>
          <w:p w14:paraId="4C55F8BD" w14:textId="3599D131"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124</w:t>
            </w:r>
            <w:r w:rsidR="00911C3C">
              <w:rPr>
                <w:rFonts w:eastAsia="Times New Roman"/>
                <w:noProof/>
                <w:sz w:val="22"/>
                <w:szCs w:val="22"/>
                <w:lang w:eastAsia="en-IE"/>
              </w:rPr>
              <w:t>.</w:t>
            </w:r>
            <w:r w:rsidRPr="00DA029C">
              <w:rPr>
                <w:rFonts w:eastAsia="Times New Roman"/>
                <w:noProof/>
                <w:sz w:val="22"/>
                <w:szCs w:val="22"/>
                <w:lang w:eastAsia="en-IE"/>
              </w:rPr>
              <w:t xml:space="preserve">9 </w:t>
            </w:r>
          </w:p>
        </w:tc>
        <w:tc>
          <w:tcPr>
            <w:tcW w:w="498" w:type="pct"/>
            <w:vAlign w:val="center"/>
            <w:hideMark/>
          </w:tcPr>
          <w:p w14:paraId="19343777" w14:textId="68FB04B6"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 xml:space="preserve">  103</w:t>
            </w:r>
            <w:r w:rsidR="00911C3C">
              <w:rPr>
                <w:rFonts w:eastAsia="Times New Roman"/>
                <w:noProof/>
                <w:sz w:val="22"/>
                <w:szCs w:val="22"/>
                <w:lang w:eastAsia="en-IE"/>
              </w:rPr>
              <w:t>.</w:t>
            </w:r>
            <w:r w:rsidRPr="00DA029C">
              <w:rPr>
                <w:rFonts w:eastAsia="Times New Roman"/>
                <w:noProof/>
                <w:sz w:val="22"/>
                <w:szCs w:val="22"/>
                <w:lang w:eastAsia="en-IE"/>
              </w:rPr>
              <w:t xml:space="preserve">6 </w:t>
            </w:r>
          </w:p>
        </w:tc>
        <w:tc>
          <w:tcPr>
            <w:tcW w:w="469" w:type="pct"/>
            <w:noWrap/>
            <w:vAlign w:val="bottom"/>
            <w:hideMark/>
          </w:tcPr>
          <w:p w14:paraId="03408AAE" w14:textId="7777777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17%</w:t>
            </w:r>
          </w:p>
        </w:tc>
      </w:tr>
      <w:tr w:rsidR="00316689" w:rsidRPr="00BD6533" w14:paraId="77AD7417" w14:textId="77777777">
        <w:trPr>
          <w:trHeight w:val="300"/>
          <w:tblHeader/>
        </w:trPr>
        <w:tc>
          <w:tcPr>
            <w:tcW w:w="1984" w:type="pct"/>
            <w:vAlign w:val="center"/>
            <w:hideMark/>
          </w:tcPr>
          <w:p w14:paraId="61580ED2"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Total Value of award notices</w:t>
            </w:r>
          </w:p>
        </w:tc>
        <w:tc>
          <w:tcPr>
            <w:tcW w:w="497" w:type="pct"/>
            <w:vAlign w:val="center"/>
          </w:tcPr>
          <w:p w14:paraId="0A3D7000" w14:textId="7D91D05F"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043F5F">
              <w:rPr>
                <w:rFonts w:eastAsia="Times New Roman"/>
                <w:noProof/>
                <w:sz w:val="22"/>
                <w:szCs w:val="22"/>
                <w:lang w:eastAsia="en-IE"/>
              </w:rPr>
              <w:t xml:space="preserve"> </w:t>
            </w:r>
            <w:r w:rsidRPr="00DA029C">
              <w:rPr>
                <w:rFonts w:eastAsia="Times New Roman"/>
                <w:noProof/>
                <w:sz w:val="22"/>
                <w:szCs w:val="22"/>
                <w:lang w:eastAsia="en-IE"/>
              </w:rPr>
              <w:t>031</w:t>
            </w:r>
            <w:r w:rsidR="00911C3C">
              <w:rPr>
                <w:rFonts w:eastAsia="Times New Roman"/>
                <w:noProof/>
                <w:sz w:val="22"/>
                <w:szCs w:val="22"/>
                <w:lang w:eastAsia="en-IE"/>
              </w:rPr>
              <w:t>.</w:t>
            </w:r>
            <w:r w:rsidRPr="00DA029C">
              <w:rPr>
                <w:rFonts w:eastAsia="Times New Roman"/>
                <w:noProof/>
                <w:sz w:val="22"/>
                <w:szCs w:val="22"/>
                <w:lang w:eastAsia="en-IE"/>
              </w:rPr>
              <w:t>5</w:t>
            </w:r>
          </w:p>
        </w:tc>
        <w:tc>
          <w:tcPr>
            <w:tcW w:w="557" w:type="pct"/>
            <w:vAlign w:val="center"/>
          </w:tcPr>
          <w:p w14:paraId="71FE5E14" w14:textId="5DF3C90B"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043F5F">
              <w:rPr>
                <w:rFonts w:eastAsia="Times New Roman"/>
                <w:noProof/>
                <w:sz w:val="22"/>
                <w:szCs w:val="22"/>
                <w:lang w:eastAsia="en-IE"/>
              </w:rPr>
              <w:t xml:space="preserve"> </w:t>
            </w:r>
            <w:r w:rsidRPr="00DA029C">
              <w:rPr>
                <w:rFonts w:eastAsia="Times New Roman"/>
                <w:noProof/>
                <w:sz w:val="22"/>
                <w:szCs w:val="22"/>
                <w:lang w:eastAsia="en-IE"/>
              </w:rPr>
              <w:t>041</w:t>
            </w:r>
            <w:r w:rsidR="00911C3C">
              <w:rPr>
                <w:rFonts w:eastAsia="Times New Roman"/>
                <w:noProof/>
                <w:sz w:val="22"/>
                <w:szCs w:val="22"/>
                <w:lang w:eastAsia="en-IE"/>
              </w:rPr>
              <w:t>.</w:t>
            </w:r>
            <w:r w:rsidRPr="00DA029C">
              <w:rPr>
                <w:rFonts w:eastAsia="Times New Roman"/>
                <w:noProof/>
                <w:sz w:val="22"/>
                <w:szCs w:val="22"/>
                <w:lang w:eastAsia="en-IE"/>
              </w:rPr>
              <w:t>1</w:t>
            </w:r>
          </w:p>
        </w:tc>
        <w:tc>
          <w:tcPr>
            <w:tcW w:w="498" w:type="pct"/>
            <w:vAlign w:val="center"/>
          </w:tcPr>
          <w:p w14:paraId="466C1A4E" w14:textId="6C7480A3"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043F5F">
              <w:rPr>
                <w:rFonts w:eastAsia="Times New Roman"/>
                <w:noProof/>
                <w:sz w:val="22"/>
                <w:szCs w:val="22"/>
                <w:lang w:eastAsia="en-IE"/>
              </w:rPr>
              <w:t xml:space="preserve"> </w:t>
            </w:r>
            <w:r w:rsidRPr="00DA029C">
              <w:rPr>
                <w:rFonts w:eastAsia="Times New Roman"/>
                <w:noProof/>
                <w:sz w:val="22"/>
                <w:szCs w:val="22"/>
                <w:lang w:eastAsia="en-IE"/>
              </w:rPr>
              <w:t>195</w:t>
            </w:r>
            <w:r w:rsidR="00911C3C">
              <w:rPr>
                <w:rFonts w:eastAsia="Times New Roman"/>
                <w:noProof/>
                <w:sz w:val="22"/>
                <w:szCs w:val="22"/>
                <w:lang w:eastAsia="en-IE"/>
              </w:rPr>
              <w:t>.</w:t>
            </w:r>
            <w:r w:rsidRPr="00DA029C">
              <w:rPr>
                <w:rFonts w:eastAsia="Times New Roman"/>
                <w:noProof/>
                <w:sz w:val="22"/>
                <w:szCs w:val="22"/>
                <w:lang w:eastAsia="en-IE"/>
              </w:rPr>
              <w:t>0</w:t>
            </w:r>
          </w:p>
        </w:tc>
        <w:tc>
          <w:tcPr>
            <w:tcW w:w="498" w:type="pct"/>
            <w:vAlign w:val="center"/>
          </w:tcPr>
          <w:p w14:paraId="3C39F1B0" w14:textId="4C77DEA8"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043F5F">
              <w:rPr>
                <w:rFonts w:eastAsia="Times New Roman"/>
                <w:noProof/>
                <w:sz w:val="22"/>
                <w:szCs w:val="22"/>
                <w:lang w:eastAsia="en-IE"/>
              </w:rPr>
              <w:t xml:space="preserve"> </w:t>
            </w:r>
            <w:r w:rsidRPr="00DA029C">
              <w:rPr>
                <w:rFonts w:eastAsia="Times New Roman"/>
                <w:noProof/>
                <w:sz w:val="22"/>
                <w:szCs w:val="22"/>
                <w:lang w:eastAsia="en-IE"/>
              </w:rPr>
              <w:t>356</w:t>
            </w:r>
            <w:r w:rsidR="00911C3C">
              <w:rPr>
                <w:rFonts w:eastAsia="Times New Roman"/>
                <w:noProof/>
                <w:sz w:val="22"/>
                <w:szCs w:val="22"/>
                <w:lang w:eastAsia="en-IE"/>
              </w:rPr>
              <w:t>.</w:t>
            </w:r>
            <w:r w:rsidRPr="00DA029C">
              <w:rPr>
                <w:rFonts w:eastAsia="Times New Roman"/>
                <w:noProof/>
                <w:sz w:val="22"/>
                <w:szCs w:val="22"/>
                <w:lang w:eastAsia="en-IE"/>
              </w:rPr>
              <w:t>1</w:t>
            </w:r>
          </w:p>
        </w:tc>
        <w:tc>
          <w:tcPr>
            <w:tcW w:w="498" w:type="pct"/>
            <w:vAlign w:val="center"/>
          </w:tcPr>
          <w:p w14:paraId="15F9AE21" w14:textId="2DA5AD2C"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w:t>
            </w:r>
            <w:r w:rsidR="00043F5F">
              <w:rPr>
                <w:rFonts w:eastAsia="Times New Roman"/>
                <w:noProof/>
                <w:sz w:val="22"/>
                <w:szCs w:val="22"/>
                <w:lang w:eastAsia="en-IE"/>
              </w:rPr>
              <w:t xml:space="preserve"> </w:t>
            </w:r>
            <w:r w:rsidRPr="00DA029C">
              <w:rPr>
                <w:rFonts w:eastAsia="Times New Roman"/>
                <w:noProof/>
                <w:sz w:val="22"/>
                <w:szCs w:val="22"/>
                <w:lang w:eastAsia="en-IE"/>
              </w:rPr>
              <w:t>155</w:t>
            </w:r>
            <w:r w:rsidR="00911C3C">
              <w:rPr>
                <w:rFonts w:eastAsia="Times New Roman"/>
                <w:noProof/>
                <w:sz w:val="22"/>
                <w:szCs w:val="22"/>
                <w:lang w:eastAsia="en-IE"/>
              </w:rPr>
              <w:t>.</w:t>
            </w:r>
            <w:r w:rsidRPr="00DA029C">
              <w:rPr>
                <w:rFonts w:eastAsia="Times New Roman"/>
                <w:noProof/>
                <w:sz w:val="22"/>
                <w:szCs w:val="22"/>
                <w:lang w:eastAsia="en-IE"/>
              </w:rPr>
              <w:t>9</w:t>
            </w:r>
          </w:p>
        </w:tc>
        <w:tc>
          <w:tcPr>
            <w:tcW w:w="469" w:type="pct"/>
            <w:noWrap/>
            <w:vAlign w:val="bottom"/>
            <w:hideMark/>
          </w:tcPr>
          <w:p w14:paraId="2699DC84" w14:textId="7777777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10%</w:t>
            </w:r>
          </w:p>
        </w:tc>
      </w:tr>
      <w:tr w:rsidR="00316689" w:rsidRPr="00BD6533" w14:paraId="6645C354" w14:textId="77777777">
        <w:trPr>
          <w:trHeight w:val="300"/>
          <w:tblHeader/>
        </w:trPr>
        <w:tc>
          <w:tcPr>
            <w:tcW w:w="1984" w:type="pct"/>
            <w:vAlign w:val="center"/>
            <w:hideMark/>
          </w:tcPr>
          <w:p w14:paraId="544B82C7"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Share of Cloud &amp; AI in ICT awards</w:t>
            </w:r>
          </w:p>
        </w:tc>
        <w:tc>
          <w:tcPr>
            <w:tcW w:w="497" w:type="pct"/>
            <w:vAlign w:val="center"/>
            <w:hideMark/>
          </w:tcPr>
          <w:p w14:paraId="6FE4DFD6" w14:textId="25CD166E"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3</w:t>
            </w:r>
            <w:r w:rsidR="00911C3C">
              <w:rPr>
                <w:rFonts w:eastAsia="Times New Roman"/>
                <w:noProof/>
                <w:sz w:val="22"/>
                <w:szCs w:val="22"/>
                <w:lang w:eastAsia="en-IE"/>
              </w:rPr>
              <w:t>.</w:t>
            </w:r>
            <w:r w:rsidRPr="00DA029C">
              <w:rPr>
                <w:rFonts w:eastAsia="Times New Roman"/>
                <w:noProof/>
                <w:sz w:val="22"/>
                <w:szCs w:val="22"/>
                <w:lang w:eastAsia="en-IE"/>
              </w:rPr>
              <w:t>66%</w:t>
            </w:r>
          </w:p>
        </w:tc>
        <w:tc>
          <w:tcPr>
            <w:tcW w:w="557" w:type="pct"/>
            <w:vAlign w:val="center"/>
            <w:hideMark/>
          </w:tcPr>
          <w:p w14:paraId="3A6C02E3" w14:textId="47E24869"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5</w:t>
            </w:r>
            <w:r w:rsidR="00911C3C">
              <w:rPr>
                <w:rFonts w:eastAsia="Times New Roman"/>
                <w:noProof/>
                <w:sz w:val="22"/>
                <w:szCs w:val="22"/>
                <w:lang w:eastAsia="en-IE"/>
              </w:rPr>
              <w:t>.</w:t>
            </w:r>
            <w:r w:rsidRPr="00DA029C">
              <w:rPr>
                <w:rFonts w:eastAsia="Times New Roman"/>
                <w:noProof/>
                <w:sz w:val="22"/>
                <w:szCs w:val="22"/>
                <w:lang w:eastAsia="en-IE"/>
              </w:rPr>
              <w:t>14%</w:t>
            </w:r>
          </w:p>
        </w:tc>
        <w:tc>
          <w:tcPr>
            <w:tcW w:w="498" w:type="pct"/>
            <w:vAlign w:val="center"/>
            <w:hideMark/>
          </w:tcPr>
          <w:p w14:paraId="5CB798E7" w14:textId="4F00C4CD"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10</w:t>
            </w:r>
            <w:r w:rsidR="00911C3C">
              <w:rPr>
                <w:rFonts w:eastAsia="Times New Roman"/>
                <w:noProof/>
                <w:sz w:val="22"/>
                <w:szCs w:val="22"/>
                <w:lang w:eastAsia="en-IE"/>
              </w:rPr>
              <w:t>.</w:t>
            </w:r>
            <w:r w:rsidRPr="00DA029C">
              <w:rPr>
                <w:rFonts w:eastAsia="Times New Roman"/>
                <w:noProof/>
                <w:sz w:val="22"/>
                <w:szCs w:val="22"/>
                <w:lang w:eastAsia="en-IE"/>
              </w:rPr>
              <w:t>99%</w:t>
            </w:r>
          </w:p>
        </w:tc>
        <w:tc>
          <w:tcPr>
            <w:tcW w:w="498" w:type="pct"/>
            <w:vAlign w:val="center"/>
            <w:hideMark/>
          </w:tcPr>
          <w:p w14:paraId="0A71B8FA" w14:textId="6B8AD273"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7</w:t>
            </w:r>
            <w:r w:rsidR="00911C3C">
              <w:rPr>
                <w:rFonts w:eastAsia="Times New Roman"/>
                <w:noProof/>
                <w:sz w:val="22"/>
                <w:szCs w:val="22"/>
                <w:lang w:eastAsia="en-IE"/>
              </w:rPr>
              <w:t>.</w:t>
            </w:r>
            <w:r w:rsidRPr="00DA029C">
              <w:rPr>
                <w:rFonts w:eastAsia="Times New Roman"/>
                <w:noProof/>
                <w:sz w:val="22"/>
                <w:szCs w:val="22"/>
                <w:lang w:eastAsia="en-IE"/>
              </w:rPr>
              <w:t>38%</w:t>
            </w:r>
          </w:p>
        </w:tc>
        <w:tc>
          <w:tcPr>
            <w:tcW w:w="498" w:type="pct"/>
            <w:vAlign w:val="center"/>
            <w:hideMark/>
          </w:tcPr>
          <w:p w14:paraId="47D2073E" w14:textId="47B867C9"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7</w:t>
            </w:r>
            <w:r w:rsidR="00911C3C">
              <w:rPr>
                <w:rFonts w:eastAsia="Times New Roman"/>
                <w:noProof/>
                <w:sz w:val="22"/>
                <w:szCs w:val="22"/>
                <w:lang w:eastAsia="en-IE"/>
              </w:rPr>
              <w:t>.</w:t>
            </w:r>
            <w:r w:rsidRPr="00DA029C">
              <w:rPr>
                <w:rFonts w:eastAsia="Times New Roman"/>
                <w:noProof/>
                <w:sz w:val="22"/>
                <w:szCs w:val="22"/>
                <w:lang w:eastAsia="en-IE"/>
              </w:rPr>
              <w:t>14%</w:t>
            </w:r>
          </w:p>
        </w:tc>
        <w:tc>
          <w:tcPr>
            <w:tcW w:w="469" w:type="pct"/>
            <w:noWrap/>
            <w:vAlign w:val="bottom"/>
            <w:hideMark/>
          </w:tcPr>
          <w:p w14:paraId="5F6CA6BE" w14:textId="7777777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26%</w:t>
            </w:r>
          </w:p>
        </w:tc>
      </w:tr>
      <w:tr w:rsidR="00316689" w:rsidRPr="00BD6533" w14:paraId="76515269" w14:textId="77777777">
        <w:trPr>
          <w:trHeight w:val="300"/>
          <w:tblHeader/>
        </w:trPr>
        <w:tc>
          <w:tcPr>
            <w:tcW w:w="1984" w:type="pct"/>
            <w:vAlign w:val="center"/>
          </w:tcPr>
          <w:p w14:paraId="1D635478" w14:textId="77777777" w:rsidR="00316689" w:rsidRPr="00DA029C" w:rsidRDefault="00316689">
            <w:pPr>
              <w:spacing w:after="0"/>
              <w:rPr>
                <w:rFonts w:eastAsia="Times New Roman"/>
                <w:noProof/>
                <w:sz w:val="22"/>
                <w:szCs w:val="22"/>
                <w:lang w:eastAsia="en-IE"/>
              </w:rPr>
            </w:pPr>
            <w:r w:rsidRPr="00DA029C">
              <w:rPr>
                <w:rFonts w:eastAsia="Times New Roman"/>
                <w:noProof/>
                <w:sz w:val="22"/>
                <w:szCs w:val="22"/>
                <w:lang w:eastAsia="en-IE"/>
              </w:rPr>
              <w:t>Share of Cloud &amp; AI in total awards</w:t>
            </w:r>
          </w:p>
        </w:tc>
        <w:tc>
          <w:tcPr>
            <w:tcW w:w="497" w:type="pct"/>
            <w:vAlign w:val="center"/>
          </w:tcPr>
          <w:p w14:paraId="06AC491A"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0.27%</w:t>
            </w:r>
          </w:p>
        </w:tc>
        <w:tc>
          <w:tcPr>
            <w:tcW w:w="557" w:type="pct"/>
            <w:vAlign w:val="center"/>
          </w:tcPr>
          <w:p w14:paraId="1A7D2531"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0.49%</w:t>
            </w:r>
          </w:p>
        </w:tc>
        <w:tc>
          <w:tcPr>
            <w:tcW w:w="498" w:type="pct"/>
            <w:vAlign w:val="center"/>
          </w:tcPr>
          <w:p w14:paraId="4E088BDC"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1.05%</w:t>
            </w:r>
          </w:p>
        </w:tc>
        <w:tc>
          <w:tcPr>
            <w:tcW w:w="498" w:type="pct"/>
            <w:vAlign w:val="center"/>
          </w:tcPr>
          <w:p w14:paraId="38EA6691"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0.68%</w:t>
            </w:r>
          </w:p>
        </w:tc>
        <w:tc>
          <w:tcPr>
            <w:tcW w:w="498" w:type="pct"/>
            <w:vAlign w:val="center"/>
          </w:tcPr>
          <w:p w14:paraId="136D94E2" w14:textId="77777777" w:rsidR="00316689" w:rsidRPr="00DA029C" w:rsidRDefault="00316689">
            <w:pPr>
              <w:spacing w:after="0"/>
              <w:jc w:val="right"/>
              <w:rPr>
                <w:rFonts w:eastAsia="Times New Roman"/>
                <w:noProof/>
                <w:sz w:val="22"/>
                <w:szCs w:val="22"/>
                <w:lang w:eastAsia="en-IE"/>
              </w:rPr>
            </w:pPr>
            <w:r w:rsidRPr="00DA029C">
              <w:rPr>
                <w:rFonts w:eastAsia="Times New Roman"/>
                <w:noProof/>
                <w:sz w:val="22"/>
                <w:szCs w:val="22"/>
                <w:lang w:eastAsia="en-IE"/>
              </w:rPr>
              <w:t>0.64%</w:t>
            </w:r>
          </w:p>
        </w:tc>
        <w:tc>
          <w:tcPr>
            <w:tcW w:w="469" w:type="pct"/>
            <w:noWrap/>
            <w:vAlign w:val="bottom"/>
          </w:tcPr>
          <w:p w14:paraId="6DF54B29" w14:textId="77777777" w:rsidR="00316689" w:rsidRPr="00DA029C" w:rsidRDefault="00316689">
            <w:pPr>
              <w:spacing w:after="0"/>
              <w:jc w:val="center"/>
              <w:rPr>
                <w:rFonts w:eastAsia="Times New Roman"/>
                <w:noProof/>
                <w:sz w:val="22"/>
                <w:szCs w:val="22"/>
                <w:lang w:eastAsia="en-IE"/>
              </w:rPr>
            </w:pPr>
            <w:r w:rsidRPr="00DA029C">
              <w:rPr>
                <w:rFonts w:eastAsia="Times New Roman"/>
                <w:noProof/>
                <w:sz w:val="22"/>
                <w:szCs w:val="22"/>
                <w:lang w:eastAsia="en-IE"/>
              </w:rPr>
              <w:t>35%</w:t>
            </w:r>
          </w:p>
        </w:tc>
      </w:tr>
    </w:tbl>
    <w:p w14:paraId="28D3835A" w14:textId="77777777" w:rsidR="00316689" w:rsidRPr="0086161D" w:rsidRDefault="00316689" w:rsidP="00316689">
      <w:pPr>
        <w:rPr>
          <w:noProof/>
        </w:rPr>
      </w:pPr>
    </w:p>
    <w:p w14:paraId="5562DB40" w14:textId="432F9221" w:rsidR="00316689" w:rsidRPr="00316689" w:rsidRDefault="00946A32" w:rsidP="00744B72">
      <w:pPr>
        <w:pStyle w:val="Heading3"/>
        <w:numPr>
          <w:ilvl w:val="2"/>
          <w:numId w:val="40"/>
        </w:numPr>
        <w:ind w:left="1872"/>
        <w:rPr>
          <w:noProof/>
        </w:rPr>
      </w:pPr>
      <w:bookmarkStart w:id="159" w:name="_Toc214519701"/>
      <w:r>
        <w:rPr>
          <w:noProof/>
        </w:rPr>
        <w:t>Estimated n</w:t>
      </w:r>
      <w:r w:rsidR="00316689" w:rsidRPr="00316689">
        <w:rPr>
          <w:noProof/>
        </w:rPr>
        <w:t xml:space="preserve">umber </w:t>
      </w:r>
      <w:r w:rsidR="00316689" w:rsidRPr="008D0BAC">
        <w:rPr>
          <w:noProof/>
          <w:lang w:val="en-GB"/>
        </w:rPr>
        <w:t>of</w:t>
      </w:r>
      <w:r w:rsidR="00316689" w:rsidRPr="00316689">
        <w:rPr>
          <w:noProof/>
        </w:rPr>
        <w:t xml:space="preserve"> </w:t>
      </w:r>
      <w:r w:rsidR="00A36ECD">
        <w:rPr>
          <w:noProof/>
        </w:rPr>
        <w:t>distinct</w:t>
      </w:r>
      <w:r w:rsidR="00316689" w:rsidRPr="00316689">
        <w:rPr>
          <w:noProof/>
        </w:rPr>
        <w:t xml:space="preserve"> cloud and AI </w:t>
      </w:r>
      <w:r w:rsidR="005C7355">
        <w:rPr>
          <w:noProof/>
        </w:rPr>
        <w:t xml:space="preserve">computing </w:t>
      </w:r>
      <w:r w:rsidR="00316689" w:rsidRPr="00316689">
        <w:rPr>
          <w:noProof/>
        </w:rPr>
        <w:t>service providers</w:t>
      </w:r>
      <w:bookmarkEnd w:id="159"/>
      <w:r>
        <w:rPr>
          <w:noProof/>
        </w:rPr>
        <w:t xml:space="preserve"> in the EU</w:t>
      </w:r>
    </w:p>
    <w:p w14:paraId="4C8211FF" w14:textId="0C049288" w:rsidR="00316689" w:rsidRDefault="00316689" w:rsidP="00316689">
      <w:pPr>
        <w:rPr>
          <w:noProof/>
        </w:rPr>
      </w:pPr>
      <w:r w:rsidRPr="00481547">
        <w:rPr>
          <w:noProof/>
        </w:rPr>
        <w:t xml:space="preserve">There is no common registry of cloud and AI </w:t>
      </w:r>
      <w:r w:rsidR="00F277BE">
        <w:rPr>
          <w:noProof/>
        </w:rPr>
        <w:t>computing service provider</w:t>
      </w:r>
      <w:r w:rsidRPr="00481547">
        <w:rPr>
          <w:noProof/>
        </w:rPr>
        <w:t>s. Furthermore, the provision of said services is not categorized under NACE J. Under these constraints</w:t>
      </w:r>
      <w:r>
        <w:rPr>
          <w:noProof/>
        </w:rPr>
        <w:t xml:space="preserve"> and in order to understand the current number of providers in the EU,</w:t>
      </w:r>
      <w:r w:rsidRPr="00481547">
        <w:rPr>
          <w:noProof/>
        </w:rPr>
        <w:t xml:space="preserve"> it has been performed a </w:t>
      </w:r>
      <w:r>
        <w:rPr>
          <w:noProof/>
        </w:rPr>
        <w:t>desk</w:t>
      </w:r>
      <w:r w:rsidRPr="00481547">
        <w:rPr>
          <w:noProof/>
        </w:rPr>
        <w:t xml:space="preserve"> search of Cloud Service Providers</w:t>
      </w:r>
      <w:r>
        <w:rPr>
          <w:noProof/>
        </w:rPr>
        <w:t xml:space="preserve"> along with </w:t>
      </w:r>
      <w:r w:rsidRPr="00481547">
        <w:rPr>
          <w:noProof/>
        </w:rPr>
        <w:t>crossing data from various associations, market reports</w:t>
      </w:r>
      <w:r>
        <w:rPr>
          <w:noProof/>
        </w:rPr>
        <w:t>, TED</w:t>
      </w:r>
      <w:r w:rsidRPr="00481547">
        <w:rPr>
          <w:noProof/>
        </w:rPr>
        <w:t xml:space="preserve"> and other documents</w:t>
      </w:r>
      <w:r>
        <w:rPr>
          <w:noProof/>
        </w:rPr>
        <w:t xml:space="preserve">. While this approach is limited, it has managed to capture the most relevant CSPs in the EU, both EU headquartered and non-EU. </w:t>
      </w:r>
    </w:p>
    <w:p w14:paraId="34F9451F" w14:textId="77777777" w:rsidR="00316689" w:rsidRDefault="00316689" w:rsidP="00316689">
      <w:pPr>
        <w:rPr>
          <w:noProof/>
        </w:rPr>
      </w:pPr>
      <w:r>
        <w:rPr>
          <w:noProof/>
        </w:rPr>
        <w:t>The results of this manual search yields in the following:</w:t>
      </w:r>
    </w:p>
    <w:p w14:paraId="59DD75CD" w14:textId="4799D606" w:rsidR="00316689" w:rsidRPr="00A54618" w:rsidRDefault="00316689" w:rsidP="00316689">
      <w:pPr>
        <w:pStyle w:val="Caption"/>
        <w:rPr>
          <w:noProof/>
        </w:rPr>
      </w:pPr>
      <w:r w:rsidRPr="00A54618">
        <w:rPr>
          <w:noProof/>
        </w:rPr>
        <w:t xml:space="preserve"> </w:t>
      </w:r>
      <w:bookmarkStart w:id="160" w:name="_Toc213440604"/>
      <w:r w:rsidRPr="00A54618">
        <w:rPr>
          <w:noProof/>
        </w:rPr>
        <w:t xml:space="preserve">Table </w:t>
      </w:r>
      <w:r w:rsidRPr="00A54618">
        <w:rPr>
          <w:noProof/>
        </w:rPr>
        <w:fldChar w:fldCharType="begin"/>
      </w:r>
      <w:r w:rsidRPr="00A54618">
        <w:rPr>
          <w:noProof/>
        </w:rPr>
        <w:instrText xml:space="preserve"> SEQ Table \* ARABIC </w:instrText>
      </w:r>
      <w:r w:rsidRPr="00A54618">
        <w:rPr>
          <w:noProof/>
        </w:rPr>
        <w:fldChar w:fldCharType="separate"/>
      </w:r>
      <w:r w:rsidR="000E7F11">
        <w:rPr>
          <w:noProof/>
        </w:rPr>
        <w:t>20</w:t>
      </w:r>
      <w:r w:rsidRPr="00A54618">
        <w:rPr>
          <w:noProof/>
        </w:rPr>
        <w:fldChar w:fldCharType="end"/>
      </w:r>
      <w:r w:rsidRPr="00A54618">
        <w:rPr>
          <w:noProof/>
        </w:rPr>
        <w:t xml:space="preserve">. Number of </w:t>
      </w:r>
      <w:r w:rsidR="0001203E">
        <w:rPr>
          <w:noProof/>
        </w:rPr>
        <w:t>cloud</w:t>
      </w:r>
      <w:r>
        <w:rPr>
          <w:noProof/>
        </w:rPr>
        <w:t xml:space="preserve"> and AI</w:t>
      </w:r>
      <w:r w:rsidRPr="00A54618">
        <w:rPr>
          <w:noProof/>
        </w:rPr>
        <w:t xml:space="preserve"> </w:t>
      </w:r>
      <w:r w:rsidR="00F277BE">
        <w:rPr>
          <w:noProof/>
        </w:rPr>
        <w:t>computing service provider</w:t>
      </w:r>
      <w:r w:rsidRPr="00A54618">
        <w:rPr>
          <w:noProof/>
        </w:rPr>
        <w:t xml:space="preserve">s. </w:t>
      </w:r>
      <w:r w:rsidR="00407B2A">
        <w:rPr>
          <w:noProof/>
        </w:rPr>
        <w:t>(</w:t>
      </w:r>
      <w:r w:rsidRPr="00A54618">
        <w:rPr>
          <w:noProof/>
        </w:rPr>
        <w:t xml:space="preserve">Source: </w:t>
      </w:r>
      <w:r w:rsidR="00407B2A" w:rsidRPr="008D0BAC">
        <w:rPr>
          <w:noProof/>
        </w:rPr>
        <w:t xml:space="preserve">Technopolis et al. </w:t>
      </w:r>
      <w:bookmarkEnd w:id="160"/>
      <w:r w:rsidR="00407B2A" w:rsidRPr="008D0BAC">
        <w:rPr>
          <w:noProof/>
        </w:rPr>
        <w:t>(2025))</w:t>
      </w:r>
    </w:p>
    <w:tbl>
      <w:tblPr>
        <w:tblW w:w="5000" w:type="pct"/>
        <w:shd w:val="clear" w:color="auto" w:fill="FFFFFF" w:themeFill="background1"/>
        <w:tblLook w:val="04A0" w:firstRow="1" w:lastRow="0" w:firstColumn="1" w:lastColumn="0" w:noHBand="0" w:noVBand="1"/>
      </w:tblPr>
      <w:tblGrid>
        <w:gridCol w:w="6460"/>
        <w:gridCol w:w="2585"/>
      </w:tblGrid>
      <w:tr w:rsidR="00316689" w:rsidRPr="006B7365" w14:paraId="27E164F0" w14:textId="77777777" w:rsidTr="001830AE">
        <w:trPr>
          <w:trHeight w:val="360"/>
          <w:tblHeader/>
        </w:trPr>
        <w:tc>
          <w:tcPr>
            <w:tcW w:w="3571" w:type="pct"/>
            <w:tcBorders>
              <w:bottom w:val="single" w:sz="12" w:space="0" w:color="00B0F0"/>
            </w:tcBorders>
            <w:shd w:val="clear" w:color="auto" w:fill="FFFFFF" w:themeFill="background1"/>
            <w:noWrap/>
          </w:tcPr>
          <w:p w14:paraId="1FFD1483" w14:textId="50B3ED50" w:rsidR="00316689" w:rsidRPr="00DA029C" w:rsidRDefault="0027585F">
            <w:pPr>
              <w:spacing w:after="0"/>
              <w:jc w:val="left"/>
              <w:rPr>
                <w:rFonts w:eastAsia="Times New Roman"/>
                <w:b/>
                <w:noProof/>
                <w:lang w:eastAsia="en-IE"/>
              </w:rPr>
            </w:pPr>
            <w:r>
              <w:rPr>
                <w:rFonts w:eastAsiaTheme="minorEastAsia"/>
                <w:b/>
                <w:noProof/>
                <w:lang w:eastAsia="en-IE"/>
              </w:rPr>
              <w:t>C</w:t>
            </w:r>
            <w:r w:rsidR="00F277BE">
              <w:rPr>
                <w:rFonts w:eastAsiaTheme="minorEastAsia"/>
                <w:b/>
                <w:noProof/>
                <w:lang w:eastAsia="en-IE"/>
              </w:rPr>
              <w:t>loud and AI computing service provider</w:t>
            </w:r>
            <w:r w:rsidR="00316689" w:rsidRPr="00DA029C">
              <w:rPr>
                <w:rFonts w:eastAsiaTheme="minorEastAsia"/>
                <w:b/>
                <w:noProof/>
                <w:lang w:eastAsia="en-IE"/>
              </w:rPr>
              <w:t>s</w:t>
            </w:r>
          </w:p>
        </w:tc>
        <w:tc>
          <w:tcPr>
            <w:tcW w:w="1429" w:type="pct"/>
            <w:tcBorders>
              <w:bottom w:val="single" w:sz="12" w:space="0" w:color="00B0F0"/>
            </w:tcBorders>
            <w:shd w:val="clear" w:color="auto" w:fill="FFFFFF" w:themeFill="background1"/>
            <w:noWrap/>
          </w:tcPr>
          <w:p w14:paraId="4B08B3AA" w14:textId="77777777" w:rsidR="00316689" w:rsidRPr="00DA029C" w:rsidRDefault="00316689">
            <w:pPr>
              <w:spacing w:after="0"/>
              <w:jc w:val="center"/>
              <w:rPr>
                <w:rFonts w:eastAsia="Times New Roman"/>
                <w:b/>
                <w:noProof/>
                <w:lang w:eastAsia="en-IE"/>
              </w:rPr>
            </w:pPr>
            <w:r w:rsidRPr="00DA029C">
              <w:rPr>
                <w:rFonts w:eastAsia="Times New Roman"/>
                <w:b/>
                <w:noProof/>
                <w:lang w:eastAsia="en-IE"/>
              </w:rPr>
              <w:t>Number</w:t>
            </w:r>
          </w:p>
        </w:tc>
      </w:tr>
      <w:tr w:rsidR="00316689" w:rsidRPr="006B7365" w14:paraId="4B99C492" w14:textId="77777777" w:rsidTr="001830AE">
        <w:trPr>
          <w:trHeight w:val="330"/>
        </w:trPr>
        <w:tc>
          <w:tcPr>
            <w:tcW w:w="3571" w:type="pct"/>
            <w:tcBorders>
              <w:top w:val="single" w:sz="12" w:space="0" w:color="00B0F0"/>
            </w:tcBorders>
            <w:shd w:val="clear" w:color="auto" w:fill="F2F2F2" w:themeFill="background1" w:themeFillShade="F2"/>
            <w:noWrap/>
            <w:hideMark/>
          </w:tcPr>
          <w:p w14:paraId="0CEA1F69" w14:textId="77777777" w:rsidR="00316689" w:rsidRPr="00DA029C" w:rsidRDefault="00316689">
            <w:pPr>
              <w:spacing w:after="0"/>
              <w:rPr>
                <w:rFonts w:eastAsia="Times New Roman"/>
                <w:b/>
                <w:bCs/>
                <w:noProof/>
                <w:lang w:eastAsia="en-IE"/>
              </w:rPr>
            </w:pPr>
            <w:r w:rsidRPr="004465BE">
              <w:rPr>
                <w:rFonts w:eastAsia="Times New Roman"/>
                <w:b/>
                <w:bCs/>
                <w:noProof/>
                <w:lang w:eastAsia="en-IE"/>
              </w:rPr>
              <w:t xml:space="preserve">Total </w:t>
            </w:r>
          </w:p>
        </w:tc>
        <w:tc>
          <w:tcPr>
            <w:tcW w:w="1429" w:type="pct"/>
            <w:tcBorders>
              <w:top w:val="single" w:sz="12" w:space="0" w:color="00B0F0"/>
            </w:tcBorders>
            <w:shd w:val="clear" w:color="auto" w:fill="F2F2F2" w:themeFill="background1" w:themeFillShade="F2"/>
            <w:noWrap/>
            <w:hideMark/>
          </w:tcPr>
          <w:p w14:paraId="0CC3B8EB" w14:textId="77777777" w:rsidR="00316689" w:rsidRPr="00DA029C" w:rsidRDefault="00316689">
            <w:pPr>
              <w:spacing w:after="0"/>
              <w:jc w:val="center"/>
              <w:rPr>
                <w:rFonts w:eastAsia="Times New Roman"/>
                <w:b/>
                <w:bCs/>
                <w:noProof/>
                <w:lang w:eastAsia="en-IE"/>
              </w:rPr>
            </w:pPr>
            <w:r w:rsidRPr="004465BE">
              <w:rPr>
                <w:rFonts w:eastAsia="Times New Roman"/>
                <w:b/>
                <w:bCs/>
                <w:noProof/>
                <w:lang w:eastAsia="en-IE"/>
              </w:rPr>
              <w:t>410</w:t>
            </w:r>
          </w:p>
        </w:tc>
      </w:tr>
      <w:tr w:rsidR="00316689" w:rsidRPr="006B7365" w14:paraId="011DC682" w14:textId="77777777" w:rsidTr="001830AE">
        <w:trPr>
          <w:trHeight w:val="330"/>
        </w:trPr>
        <w:tc>
          <w:tcPr>
            <w:tcW w:w="3571" w:type="pct"/>
            <w:shd w:val="clear" w:color="auto" w:fill="FFFFFF" w:themeFill="background1"/>
            <w:noWrap/>
            <w:hideMark/>
          </w:tcPr>
          <w:p w14:paraId="6516ED87" w14:textId="77777777" w:rsidR="00316689" w:rsidRPr="00DA029C" w:rsidRDefault="00316689">
            <w:pPr>
              <w:spacing w:after="0"/>
              <w:rPr>
                <w:rFonts w:eastAsia="Times New Roman"/>
                <w:noProof/>
                <w:lang w:eastAsia="en-IE"/>
              </w:rPr>
            </w:pPr>
            <w:r w:rsidRPr="004465BE">
              <w:rPr>
                <w:rFonts w:eastAsia="Times New Roman"/>
                <w:noProof/>
                <w:lang w:eastAsia="en-IE"/>
              </w:rPr>
              <w:t>EU-based</w:t>
            </w:r>
          </w:p>
        </w:tc>
        <w:tc>
          <w:tcPr>
            <w:tcW w:w="1429" w:type="pct"/>
            <w:shd w:val="clear" w:color="auto" w:fill="FFFFFF" w:themeFill="background1"/>
            <w:noWrap/>
            <w:hideMark/>
          </w:tcPr>
          <w:p w14:paraId="3BA341BD" w14:textId="77777777" w:rsidR="00316689" w:rsidRPr="00DA029C" w:rsidRDefault="00316689">
            <w:pPr>
              <w:spacing w:after="0"/>
              <w:jc w:val="center"/>
              <w:rPr>
                <w:rFonts w:eastAsia="Times New Roman"/>
                <w:noProof/>
                <w:lang w:eastAsia="en-IE"/>
              </w:rPr>
            </w:pPr>
            <w:r w:rsidRPr="004465BE">
              <w:rPr>
                <w:rFonts w:eastAsia="Times New Roman"/>
                <w:noProof/>
                <w:lang w:eastAsia="en-IE"/>
              </w:rPr>
              <w:t>350</w:t>
            </w:r>
          </w:p>
        </w:tc>
      </w:tr>
      <w:tr w:rsidR="00316689" w:rsidRPr="006B7365" w14:paraId="31C1AE9B" w14:textId="77777777" w:rsidTr="001830AE">
        <w:trPr>
          <w:trHeight w:val="315"/>
        </w:trPr>
        <w:tc>
          <w:tcPr>
            <w:tcW w:w="3571" w:type="pct"/>
            <w:shd w:val="clear" w:color="auto" w:fill="FFFFFF" w:themeFill="background1"/>
            <w:noWrap/>
            <w:hideMark/>
          </w:tcPr>
          <w:p w14:paraId="6E550A58" w14:textId="77777777" w:rsidR="00316689" w:rsidRPr="00DA029C" w:rsidRDefault="00316689">
            <w:pPr>
              <w:spacing w:after="0"/>
              <w:rPr>
                <w:rFonts w:eastAsia="Times New Roman"/>
                <w:noProof/>
                <w:lang w:eastAsia="en-IE"/>
              </w:rPr>
            </w:pPr>
            <w:r w:rsidRPr="004465BE">
              <w:rPr>
                <w:rFonts w:eastAsia="Times New Roman"/>
                <w:noProof/>
                <w:lang w:eastAsia="en-IE"/>
              </w:rPr>
              <w:t>non-EU based</w:t>
            </w:r>
          </w:p>
        </w:tc>
        <w:tc>
          <w:tcPr>
            <w:tcW w:w="1429" w:type="pct"/>
            <w:shd w:val="clear" w:color="auto" w:fill="FFFFFF" w:themeFill="background1"/>
            <w:noWrap/>
            <w:hideMark/>
          </w:tcPr>
          <w:p w14:paraId="4F7AB6BF" w14:textId="77777777" w:rsidR="00316689" w:rsidRPr="00DA029C" w:rsidRDefault="00316689">
            <w:pPr>
              <w:spacing w:after="0"/>
              <w:jc w:val="center"/>
              <w:rPr>
                <w:rFonts w:eastAsia="Times New Roman"/>
                <w:noProof/>
                <w:lang w:eastAsia="en-IE"/>
              </w:rPr>
            </w:pPr>
            <w:r w:rsidRPr="004465BE">
              <w:rPr>
                <w:rFonts w:eastAsia="Times New Roman"/>
                <w:noProof/>
                <w:lang w:eastAsia="en-IE"/>
              </w:rPr>
              <w:t>60</w:t>
            </w:r>
          </w:p>
        </w:tc>
      </w:tr>
    </w:tbl>
    <w:p w14:paraId="6E543564" w14:textId="6E073939" w:rsidR="00316689" w:rsidRPr="001B0B93" w:rsidRDefault="00D075A2" w:rsidP="00744B72">
      <w:pPr>
        <w:pStyle w:val="Heading3"/>
        <w:numPr>
          <w:ilvl w:val="2"/>
          <w:numId w:val="40"/>
        </w:numPr>
        <w:spacing w:before="240"/>
        <w:ind w:left="1871"/>
        <w:rPr>
          <w:noProof/>
        </w:rPr>
      </w:pPr>
      <w:bookmarkStart w:id="161" w:name="_Toc214519702"/>
      <w:r>
        <w:rPr>
          <w:noProof/>
          <w:lang w:val="en-GB"/>
        </w:rPr>
        <w:t>Audit</w:t>
      </w:r>
      <w:r w:rsidR="00316689" w:rsidRPr="008D0BAC" w:rsidDel="00D50CB3">
        <w:rPr>
          <w:noProof/>
          <w:lang w:val="en-GB"/>
        </w:rPr>
        <w:t>ed</w:t>
      </w:r>
      <w:r w:rsidR="00316689" w:rsidRPr="001B0B93" w:rsidDel="00D50CB3">
        <w:rPr>
          <w:noProof/>
        </w:rPr>
        <w:t xml:space="preserve"> </w:t>
      </w:r>
      <w:r w:rsidR="00316689" w:rsidRPr="001B0B93">
        <w:rPr>
          <w:noProof/>
        </w:rPr>
        <w:t xml:space="preserve">Sovereign </w:t>
      </w:r>
      <w:r w:rsidR="0001203E">
        <w:rPr>
          <w:noProof/>
        </w:rPr>
        <w:t>cloud</w:t>
      </w:r>
      <w:r w:rsidR="00316689" w:rsidRPr="001B0B93">
        <w:rPr>
          <w:noProof/>
        </w:rPr>
        <w:t xml:space="preserve"> and AI </w:t>
      </w:r>
      <w:r w:rsidR="00F277BE">
        <w:rPr>
          <w:noProof/>
        </w:rPr>
        <w:t>computing service</w:t>
      </w:r>
      <w:r w:rsidR="00F277BE" w:rsidDel="00D50CB3">
        <w:rPr>
          <w:noProof/>
        </w:rPr>
        <w:t xml:space="preserve"> </w:t>
      </w:r>
      <w:r w:rsidR="00316689" w:rsidRPr="001B0B93" w:rsidDel="00D50CB3">
        <w:rPr>
          <w:noProof/>
        </w:rPr>
        <w:t>providers</w:t>
      </w:r>
      <w:bookmarkEnd w:id="161"/>
    </w:p>
    <w:p w14:paraId="2F91294D" w14:textId="521A5E60" w:rsidR="00316689" w:rsidRPr="008F71A9" w:rsidRDefault="00316689" w:rsidP="00316689">
      <w:pPr>
        <w:rPr>
          <w:noProof/>
        </w:rPr>
      </w:pPr>
      <w:r>
        <w:rPr>
          <w:noProof/>
        </w:rPr>
        <w:t xml:space="preserve">To calculate the number of </w:t>
      </w:r>
      <w:r w:rsidR="004B6676">
        <w:rPr>
          <w:noProof/>
        </w:rPr>
        <w:t>audited</w:t>
      </w:r>
      <w:r>
        <w:rPr>
          <w:noProof/>
        </w:rPr>
        <w:t xml:space="preserve"> sovereign cloud and AI </w:t>
      </w:r>
      <w:r w:rsidR="00F277BE">
        <w:rPr>
          <w:noProof/>
        </w:rPr>
        <w:t xml:space="preserve">computing service </w:t>
      </w:r>
      <w:r>
        <w:rPr>
          <w:noProof/>
        </w:rPr>
        <w:t>providers, the number of services listed on the FedRAMP marketplace with Impact level moderate and high</w:t>
      </w:r>
      <w:r>
        <w:rPr>
          <w:rStyle w:val="FootnoteReference"/>
          <w:noProof/>
        </w:rPr>
        <w:footnoteReference w:id="40"/>
      </w:r>
      <w:r>
        <w:rPr>
          <w:noProof/>
        </w:rPr>
        <w:t xml:space="preserve"> has been taken as baseline for the assumptions</w:t>
      </w:r>
      <w:r w:rsidRPr="00A54618">
        <w:rPr>
          <w:noProof/>
        </w:rPr>
        <w:t xml:space="preserve">. </w:t>
      </w:r>
      <w:r>
        <w:rPr>
          <w:noProof/>
        </w:rPr>
        <w:t>FedRAMP is a programme that has been running since 2012 and</w:t>
      </w:r>
      <w:r w:rsidRPr="00A54618">
        <w:rPr>
          <w:noProof/>
        </w:rPr>
        <w:t xml:space="preserve">, </w:t>
      </w:r>
      <w:r>
        <w:rPr>
          <w:noProof/>
        </w:rPr>
        <w:t>as of October 2025, there are</w:t>
      </w:r>
      <w:r w:rsidRPr="00A54618">
        <w:rPr>
          <w:noProof/>
        </w:rPr>
        <w:t xml:space="preserve"> </w:t>
      </w:r>
      <w:r>
        <w:rPr>
          <w:noProof/>
        </w:rPr>
        <w:t>c</w:t>
      </w:r>
      <w:r w:rsidRPr="00A54618">
        <w:rPr>
          <w:noProof/>
        </w:rPr>
        <w:t xml:space="preserve">urrently </w:t>
      </w:r>
      <w:r>
        <w:rPr>
          <w:noProof/>
        </w:rPr>
        <w:t>533 services at impact level moderate and high with the status “FedRAMP authorised” or “FedRAMP in process” or “FedRAMP ready”.</w:t>
      </w:r>
    </w:p>
    <w:p w14:paraId="6EEA3F12" w14:textId="614FB1E1" w:rsidR="00316689" w:rsidRDefault="00316689" w:rsidP="00316689">
      <w:pPr>
        <w:rPr>
          <w:noProof/>
        </w:rPr>
      </w:pPr>
      <w:r>
        <w:rPr>
          <w:noProof/>
        </w:rPr>
        <w:t xml:space="preserve">The baseline situation is that in the first year, 30 cloud and AI </w:t>
      </w:r>
      <w:r w:rsidR="00F277BE">
        <w:rPr>
          <w:noProof/>
        </w:rPr>
        <w:t xml:space="preserve">computing service </w:t>
      </w:r>
      <w:r>
        <w:rPr>
          <w:noProof/>
        </w:rPr>
        <w:t xml:space="preserve">providers shall get </w:t>
      </w:r>
      <w:r w:rsidR="00BC22CB">
        <w:rPr>
          <w:noProof/>
        </w:rPr>
        <w:t>audited</w:t>
      </w:r>
      <w:r>
        <w:rPr>
          <w:noProof/>
        </w:rPr>
        <w:t xml:space="preserve">, reaching up to 600 </w:t>
      </w:r>
      <w:r w:rsidR="00696F49">
        <w:rPr>
          <w:noProof/>
        </w:rPr>
        <w:t>in 5 years</w:t>
      </w:r>
      <w:r>
        <w:rPr>
          <w:noProof/>
        </w:rPr>
        <w:t xml:space="preserve">. To reach to this number, this would imply a CAGR of 82%. The assumptions for the number of </w:t>
      </w:r>
      <w:r w:rsidR="00BC22CB">
        <w:rPr>
          <w:noProof/>
        </w:rPr>
        <w:t>positive audits</w:t>
      </w:r>
      <w:r w:rsidR="00BC22CB" w:rsidDel="00D50CB3">
        <w:rPr>
          <w:noProof/>
        </w:rPr>
        <w:t xml:space="preserve"> </w:t>
      </w:r>
      <w:r>
        <w:rPr>
          <w:noProof/>
        </w:rPr>
        <w:t xml:space="preserve">granted the first year are in line with how many </w:t>
      </w:r>
      <w:r w:rsidDel="00D50CB3">
        <w:rPr>
          <w:noProof/>
        </w:rPr>
        <w:t xml:space="preserve">authorisations </w:t>
      </w:r>
      <w:r>
        <w:rPr>
          <w:noProof/>
        </w:rPr>
        <w:t>FedRAMP authorised its first year of the programme, namely</w:t>
      </w:r>
      <w:r w:rsidR="000C019E">
        <w:rPr>
          <w:noProof/>
        </w:rPr>
        <w:t xml:space="preserve"> </w:t>
      </w:r>
      <w:r>
        <w:rPr>
          <w:noProof/>
        </w:rPr>
        <w:t>2013</w:t>
      </w:r>
      <w:r w:rsidRPr="009E1CDE">
        <w:rPr>
          <w:noProof/>
        </w:rPr>
        <w:t xml:space="preserve"> </w:t>
      </w:r>
      <w:r>
        <w:rPr>
          <w:noProof/>
        </w:rPr>
        <w:t>(10), and cross-referenced with SecNumCloud values</w:t>
      </w:r>
      <w:r w:rsidRPr="59E4558D">
        <w:rPr>
          <w:rStyle w:val="FootnoteReference"/>
          <w:noProof/>
        </w:rPr>
        <w:footnoteReference w:id="41"/>
      </w:r>
      <w:r>
        <w:rPr>
          <w:noProof/>
        </w:rPr>
        <w:t>.</w:t>
      </w:r>
    </w:p>
    <w:p w14:paraId="2B82760C" w14:textId="05426441" w:rsidR="00316689" w:rsidRPr="00DA029C" w:rsidRDefault="00316689" w:rsidP="00913325">
      <w:pPr>
        <w:pStyle w:val="Heading2"/>
        <w:numPr>
          <w:ilvl w:val="1"/>
          <w:numId w:val="10"/>
        </w:numPr>
        <w:tabs>
          <w:tab w:val="num" w:pos="283"/>
        </w:tabs>
        <w:rPr>
          <w:bCs/>
          <w:noProof/>
        </w:rPr>
      </w:pPr>
      <w:bookmarkStart w:id="162" w:name="_Toc214519703"/>
      <w:bookmarkStart w:id="163" w:name="_Ref214562278"/>
      <w:bookmarkStart w:id="164" w:name="_Toc216283354"/>
      <w:bookmarkStart w:id="165" w:name="_Toc228346909"/>
      <w:r w:rsidRPr="00316689">
        <w:rPr>
          <w:rFonts w:eastAsia="Calibri"/>
          <w:noProof/>
        </w:rPr>
        <w:t>Indirect</w:t>
      </w:r>
      <w:r w:rsidRPr="00DA029C">
        <w:rPr>
          <w:bCs/>
          <w:noProof/>
        </w:rPr>
        <w:t xml:space="preserve"> benefits from cloud adoption</w:t>
      </w:r>
      <w:bookmarkEnd w:id="162"/>
      <w:bookmarkEnd w:id="163"/>
      <w:bookmarkEnd w:id="164"/>
      <w:bookmarkEnd w:id="165"/>
    </w:p>
    <w:p w14:paraId="46F78266" w14:textId="6396A204" w:rsidR="00316689" w:rsidRPr="00C1102A" w:rsidRDefault="00316689" w:rsidP="00316689">
      <w:pPr>
        <w:pStyle w:val="Text2"/>
        <w:ind w:left="0"/>
        <w:rPr>
          <w:noProof/>
        </w:rPr>
      </w:pPr>
      <w:r w:rsidRPr="00C1102A">
        <w:rPr>
          <w:noProof/>
        </w:rPr>
        <w:t>Most of the policy measures contribute to the development of European data</w:t>
      </w:r>
      <w:r w:rsidR="00860A4C">
        <w:rPr>
          <w:noProof/>
        </w:rPr>
        <w:t xml:space="preserve"> </w:t>
      </w:r>
      <w:r w:rsidRPr="00C1102A">
        <w:rPr>
          <w:noProof/>
        </w:rPr>
        <w:t xml:space="preserve">centre infrastructure and cloud computing capacity, a richer European cloud and AI </w:t>
      </w:r>
      <w:r w:rsidR="00860A4C">
        <w:rPr>
          <w:noProof/>
        </w:rPr>
        <w:t xml:space="preserve">computing </w:t>
      </w:r>
      <w:r w:rsidRPr="00C1102A">
        <w:rPr>
          <w:noProof/>
        </w:rPr>
        <w:t>service offering and a more dynamic technological and industrial ecosystem, contributing to a higher adoption of cloud. This will improve the efficiency in software and IT projects, increasing productivity of IT staff, ensuring the continuity of business processes (less downtime) and facilitating migration processes. This impacts not only the efficiency of the IT staff but also the flexibility and capability of the European private and public sector to adapt in an agile way to evolving market needs and conditions, and to the dynamic technology landscape, increasing its competitiveness. This could have been measured in terms of effort saved in IT tasks (FTEs)</w:t>
      </w:r>
      <w:r w:rsidR="002025A7">
        <w:rPr>
          <w:noProof/>
        </w:rPr>
        <w:t>,</w:t>
      </w:r>
      <w:r w:rsidRPr="00C1102A">
        <w:rPr>
          <w:noProof/>
        </w:rPr>
        <w:t xml:space="preserve"> but it would have been difficult to allocate the specific contribution of each specific measure, adding potential risk of double counting their effect. The policy measures related to federation</w:t>
      </w:r>
      <w:r w:rsidR="00372F03">
        <w:rPr>
          <w:noProof/>
        </w:rPr>
        <w:t xml:space="preserve"> and</w:t>
      </w:r>
      <w:r w:rsidR="00372F03" w:rsidRPr="00C1102A">
        <w:rPr>
          <w:noProof/>
        </w:rPr>
        <w:t xml:space="preserve"> </w:t>
      </w:r>
      <w:r w:rsidRPr="00C1102A">
        <w:rPr>
          <w:noProof/>
        </w:rPr>
        <w:t>joint procurement are making the biggest contribution</w:t>
      </w:r>
      <w:r w:rsidR="00CC1AC2">
        <w:rPr>
          <w:noProof/>
        </w:rPr>
        <w:t>s</w:t>
      </w:r>
      <w:r w:rsidRPr="00C1102A">
        <w:rPr>
          <w:noProof/>
        </w:rPr>
        <w:t>, while most of the others will have a more limited impact.</w:t>
      </w:r>
    </w:p>
    <w:p w14:paraId="20526D4E" w14:textId="77777777" w:rsidR="00316689" w:rsidRDefault="00316689" w:rsidP="00316689">
      <w:pPr>
        <w:pStyle w:val="Text2"/>
        <w:ind w:left="0"/>
        <w:rPr>
          <w:noProof/>
        </w:rPr>
      </w:pPr>
      <w:r w:rsidRPr="00C1102A">
        <w:rPr>
          <w:noProof/>
        </w:rPr>
        <w:t>Cloud computing services generally offer a significant number of benefits, among them also the drive or productivity. The OECD reports strong productivity effects through cloud software investment, especially for low productivity firms, suggesting that such companies derive greater productivity benefits from this investment when fixed costs are lower and scaling-up opportunities are higher. It is implied that cloud adoption has the potential to support the productivity catch up of latecomer firms, while low cloud adoption could still hamper broader productivity gains</w:t>
      </w:r>
      <w:r w:rsidRPr="00DA029C">
        <w:rPr>
          <w:noProof/>
          <w:vertAlign w:val="superscript"/>
        </w:rPr>
        <w:footnoteReference w:id="42"/>
      </w:r>
      <w:r w:rsidRPr="00C1102A">
        <w:rPr>
          <w:noProof/>
        </w:rPr>
        <w:t>.</w:t>
      </w:r>
    </w:p>
    <w:p w14:paraId="63A56D48" w14:textId="32B22D3B" w:rsidR="006A0F15" w:rsidRPr="006A0F15" w:rsidRDefault="00B90DB6" w:rsidP="004A2124">
      <w:pPr>
        <w:pStyle w:val="Heading1"/>
        <w:numPr>
          <w:ilvl w:val="0"/>
          <w:numId w:val="15"/>
        </w:numPr>
        <w:spacing w:after="120"/>
        <w:ind w:left="482" w:hanging="482"/>
        <w:rPr>
          <w:noProof/>
          <w:lang w:val="en-IE"/>
        </w:rPr>
      </w:pPr>
      <w:bookmarkStart w:id="166" w:name="_Toc216283355"/>
      <w:bookmarkStart w:id="167" w:name="_Toc228346910"/>
      <w:r>
        <w:rPr>
          <w:noProof/>
          <w:lang w:val="en-IE"/>
        </w:rPr>
        <w:t xml:space="preserve">Impacts of policy measures in terms of costs and </w:t>
      </w:r>
      <w:bookmarkEnd w:id="166"/>
      <w:r w:rsidR="00A30F7F">
        <w:rPr>
          <w:noProof/>
          <w:lang w:val="en-IE"/>
        </w:rPr>
        <w:t>benefits</w:t>
      </w:r>
      <w:bookmarkEnd w:id="167"/>
    </w:p>
    <w:p w14:paraId="7BAEB959" w14:textId="302FD825" w:rsidR="00CC657B" w:rsidRPr="00CC657B" w:rsidRDefault="00CC657B" w:rsidP="004A2124">
      <w:pPr>
        <w:pStyle w:val="Text1"/>
        <w:ind w:left="0"/>
        <w:rPr>
          <w:noProof/>
          <w:lang w:val="en-IE"/>
        </w:rPr>
      </w:pPr>
      <w:r>
        <w:rPr>
          <w:noProof/>
          <w:lang w:val="en-IE"/>
        </w:rPr>
        <w:t xml:space="preserve">The assumptions </w:t>
      </w:r>
      <w:r w:rsidR="00A12B68">
        <w:rPr>
          <w:noProof/>
          <w:lang w:val="en-IE"/>
        </w:rPr>
        <w:t>presented below and used for the estimation of the impacts of policy measures</w:t>
      </w:r>
      <w:r w:rsidR="008D1E60">
        <w:rPr>
          <w:noProof/>
          <w:lang w:val="en-IE"/>
        </w:rPr>
        <w:t xml:space="preserve"> on key stakeholders</w:t>
      </w:r>
      <w:r w:rsidR="00631405">
        <w:rPr>
          <w:noProof/>
          <w:lang w:val="en-IE"/>
        </w:rPr>
        <w:t xml:space="preserve"> draw on recognised literature sources and observable practices </w:t>
      </w:r>
      <w:r w:rsidR="003F7E98">
        <w:rPr>
          <w:noProof/>
          <w:lang w:val="en-IE"/>
        </w:rPr>
        <w:t xml:space="preserve">in the industry and the public sector. </w:t>
      </w:r>
      <w:r w:rsidR="00E37300">
        <w:rPr>
          <w:noProof/>
          <w:lang w:val="en-IE"/>
        </w:rPr>
        <w:t xml:space="preserve">To </w:t>
      </w:r>
      <w:r w:rsidR="00AD55B0" w:rsidRPr="00525B76">
        <w:rPr>
          <w:noProof/>
        </w:rPr>
        <w:t xml:space="preserve">test their robustness, the supporting study led by Technopolis conducted a series of one-to-one interviews with a diverse set of relevant stakeholders. These assumptions were further scrutinised in the study’s final validation workshop, which led to an adjustment of </w:t>
      </w:r>
      <w:r w:rsidR="00AD55B0">
        <w:rPr>
          <w:noProof/>
        </w:rPr>
        <w:t>some</w:t>
      </w:r>
      <w:r w:rsidR="00AD55B0" w:rsidRPr="00525B76">
        <w:rPr>
          <w:noProof/>
        </w:rPr>
        <w:t xml:space="preserve"> parameter</w:t>
      </w:r>
      <w:r w:rsidR="00AD55B0">
        <w:rPr>
          <w:noProof/>
        </w:rPr>
        <w:t>s</w:t>
      </w:r>
      <w:r w:rsidR="00AD55B0" w:rsidRPr="00525B76">
        <w:rPr>
          <w:noProof/>
        </w:rPr>
        <w:t xml:space="preserve">. </w:t>
      </w:r>
    </w:p>
    <w:p w14:paraId="6131DC10" w14:textId="3E334C41" w:rsidR="00DF7232" w:rsidRPr="00C50E5A" w:rsidRDefault="00DF7232" w:rsidP="000B3BE1">
      <w:pPr>
        <w:pStyle w:val="Heading2"/>
        <w:numPr>
          <w:ilvl w:val="1"/>
          <w:numId w:val="10"/>
        </w:numPr>
        <w:tabs>
          <w:tab w:val="num" w:pos="283"/>
        </w:tabs>
        <w:rPr>
          <w:bCs/>
          <w:noProof/>
        </w:rPr>
      </w:pPr>
      <w:bookmarkStart w:id="168" w:name="_Toc208595298"/>
      <w:bookmarkStart w:id="169" w:name="_Toc208836924"/>
      <w:bookmarkStart w:id="170" w:name="_Toc214519705"/>
      <w:bookmarkStart w:id="171" w:name="_Toc216283356"/>
      <w:bookmarkStart w:id="172" w:name="_Toc228346911"/>
      <w:r w:rsidRPr="00C50E5A">
        <w:rPr>
          <w:bCs/>
          <w:noProof/>
        </w:rPr>
        <w:t>PM1: Expanding the Alliance for Industrial Data, Edge and Cloud with a work</w:t>
      </w:r>
      <w:r>
        <w:rPr>
          <w:bCs/>
          <w:noProof/>
        </w:rPr>
        <w:t xml:space="preserve">ing </w:t>
      </w:r>
      <w:r w:rsidRPr="00C50E5A">
        <w:rPr>
          <w:bCs/>
          <w:noProof/>
        </w:rPr>
        <w:t>group</w:t>
      </w:r>
      <w:r>
        <w:rPr>
          <w:bCs/>
          <w:noProof/>
        </w:rPr>
        <w:t xml:space="preserve"> </w:t>
      </w:r>
      <w:r w:rsidRPr="00C50E5A">
        <w:rPr>
          <w:bCs/>
          <w:noProof/>
        </w:rPr>
        <w:t>on data centres and extending membership to relevant players</w:t>
      </w:r>
      <w:bookmarkEnd w:id="168"/>
      <w:bookmarkEnd w:id="169"/>
      <w:bookmarkEnd w:id="170"/>
      <w:bookmarkEnd w:id="171"/>
      <w:bookmarkEnd w:id="172"/>
    </w:p>
    <w:p w14:paraId="50D44DF8" w14:textId="77777777" w:rsidR="00DF7232" w:rsidRDefault="00DF7232" w:rsidP="00DF7232">
      <w:pPr>
        <w:pStyle w:val="Text1"/>
        <w:ind w:left="0"/>
        <w:rPr>
          <w:noProof/>
          <w:lang w:val="en-IE"/>
        </w:rPr>
      </w:pPr>
      <w:r w:rsidRPr="003401EC">
        <w:rPr>
          <w:noProof/>
          <w:lang w:val="en-IE"/>
        </w:rPr>
        <w:t xml:space="preserve">Under this </w:t>
      </w:r>
      <w:r w:rsidRPr="00974604">
        <w:rPr>
          <w:noProof/>
          <w:lang w:val="en-IE"/>
        </w:rPr>
        <w:t>measure</w:t>
      </w:r>
      <w:r w:rsidRPr="003401EC">
        <w:rPr>
          <w:noProof/>
          <w:lang w:val="en-IE"/>
        </w:rPr>
        <w:t xml:space="preserve">, the European Commission would set up an additional Working Group </w:t>
      </w:r>
      <w:r>
        <w:rPr>
          <w:noProof/>
          <w:lang w:val="en-IE"/>
        </w:rPr>
        <w:t xml:space="preserve">(WG) </w:t>
      </w:r>
      <w:r w:rsidRPr="003401EC">
        <w:rPr>
          <w:noProof/>
          <w:lang w:val="en-IE"/>
        </w:rPr>
        <w:t>under the Alliance for Industrial Data, Edge and Cloud to include data centre operators. This would facilitate the exchange of best practices on the deployment of data centres with the objective to foster EU-located capacity, while collectively addressing the obstacles that hold back data centre investment and expansion in the EU.</w:t>
      </w:r>
      <w:r>
        <w:rPr>
          <w:noProof/>
          <w:lang w:val="en-IE"/>
        </w:rPr>
        <w:t xml:space="preserve"> </w:t>
      </w:r>
    </w:p>
    <w:p w14:paraId="7BBFFC1B" w14:textId="624C4C83" w:rsidR="00DF7232" w:rsidRDefault="00DF7232" w:rsidP="00DF7232">
      <w:pPr>
        <w:pStyle w:val="Text1"/>
        <w:ind w:left="0"/>
        <w:rPr>
          <w:noProof/>
          <w:lang w:val="en-IE"/>
        </w:rPr>
      </w:pPr>
      <w:r w:rsidRPr="001F0B9D">
        <w:rPr>
          <w:i/>
          <w:noProof/>
          <w:lang w:val="en-IE"/>
        </w:rPr>
        <w:t xml:space="preserve">Impact on </w:t>
      </w:r>
      <w:r w:rsidR="0F24C722" w:rsidRPr="001F0B9D">
        <w:rPr>
          <w:i/>
          <w:iCs/>
          <w:noProof/>
          <w:lang w:val="en-IE"/>
        </w:rPr>
        <w:t>d</w:t>
      </w:r>
      <w:r w:rsidRPr="001F0B9D">
        <w:rPr>
          <w:i/>
          <w:iCs/>
          <w:noProof/>
          <w:lang w:val="en-IE"/>
        </w:rPr>
        <w:t>ata centre</w:t>
      </w:r>
      <w:r w:rsidRPr="001F0B9D">
        <w:rPr>
          <w:i/>
          <w:noProof/>
          <w:lang w:val="en-IE"/>
        </w:rPr>
        <w:t xml:space="preserve"> deployment acceleration</w:t>
      </w:r>
      <w:r w:rsidRPr="68FE1ED1">
        <w:rPr>
          <w:noProof/>
          <w:lang w:val="en-IE"/>
        </w:rPr>
        <w:t xml:space="preserve">. This new working group may improve deployment speed </w:t>
      </w:r>
      <w:r w:rsidR="1F3B8A4E" w:rsidRPr="053D4AE9">
        <w:rPr>
          <w:noProof/>
          <w:lang w:val="en-IE"/>
        </w:rPr>
        <w:t xml:space="preserve">for </w:t>
      </w:r>
      <w:r w:rsidR="7A0E0D0B" w:rsidRPr="053D4AE9">
        <w:rPr>
          <w:noProof/>
          <w:lang w:val="en-IE"/>
        </w:rPr>
        <w:t xml:space="preserve">the </w:t>
      </w:r>
      <w:r w:rsidRPr="68FE1ED1">
        <w:rPr>
          <w:noProof/>
          <w:lang w:val="en-IE"/>
        </w:rPr>
        <w:t xml:space="preserve">participating alliance members. </w:t>
      </w:r>
      <w:r>
        <w:rPr>
          <w:noProof/>
          <w:lang w:val="en-IE"/>
        </w:rPr>
        <w:t xml:space="preserve">The </w:t>
      </w:r>
      <w:r w:rsidRPr="68FE1ED1">
        <w:rPr>
          <w:noProof/>
          <w:lang w:val="en-IE"/>
        </w:rPr>
        <w:t>reduc</w:t>
      </w:r>
      <w:r>
        <w:rPr>
          <w:noProof/>
          <w:lang w:val="en-IE"/>
        </w:rPr>
        <w:t>tion in</w:t>
      </w:r>
      <w:r w:rsidRPr="68FE1ED1">
        <w:rPr>
          <w:noProof/>
          <w:lang w:val="en-IE"/>
        </w:rPr>
        <w:t xml:space="preserve"> data</w:t>
      </w:r>
      <w:r>
        <w:rPr>
          <w:noProof/>
          <w:lang w:val="en-IE"/>
        </w:rPr>
        <w:t xml:space="preserve"> </w:t>
      </w:r>
      <w:r w:rsidRPr="68FE1ED1">
        <w:rPr>
          <w:noProof/>
          <w:lang w:val="en-IE"/>
        </w:rPr>
        <w:t xml:space="preserve">centre deployment time </w:t>
      </w:r>
      <w:r>
        <w:rPr>
          <w:noProof/>
          <w:lang w:val="en-IE"/>
        </w:rPr>
        <w:t>will</w:t>
      </w:r>
      <w:r w:rsidRPr="68FE1ED1">
        <w:rPr>
          <w:noProof/>
          <w:lang w:val="en-IE"/>
        </w:rPr>
        <w:t xml:space="preserve"> likely </w:t>
      </w:r>
      <w:r>
        <w:rPr>
          <w:noProof/>
          <w:lang w:val="en-IE"/>
        </w:rPr>
        <w:t xml:space="preserve">be </w:t>
      </w:r>
      <w:r w:rsidRPr="68FE1ED1">
        <w:rPr>
          <w:noProof/>
          <w:lang w:val="en-IE"/>
        </w:rPr>
        <w:t xml:space="preserve">very </w:t>
      </w:r>
      <w:r w:rsidR="001F23B4">
        <w:rPr>
          <w:noProof/>
          <w:lang w:val="en-IE"/>
        </w:rPr>
        <w:t>s</w:t>
      </w:r>
      <w:r w:rsidRPr="68FE1ED1">
        <w:rPr>
          <w:noProof/>
          <w:lang w:val="en-IE"/>
        </w:rPr>
        <w:t xml:space="preserve">low due to the limited reach </w:t>
      </w:r>
      <w:r>
        <w:rPr>
          <w:noProof/>
          <w:lang w:val="en-IE"/>
        </w:rPr>
        <w:t xml:space="preserve">of the initiative, the </w:t>
      </w:r>
      <w:r w:rsidRPr="68FE1ED1">
        <w:rPr>
          <w:noProof/>
          <w:lang w:val="en-IE"/>
        </w:rPr>
        <w:t xml:space="preserve">time </w:t>
      </w:r>
      <w:r>
        <w:rPr>
          <w:noProof/>
          <w:lang w:val="en-IE"/>
        </w:rPr>
        <w:t xml:space="preserve">required </w:t>
      </w:r>
      <w:r w:rsidRPr="68FE1ED1">
        <w:rPr>
          <w:noProof/>
          <w:lang w:val="en-IE"/>
        </w:rPr>
        <w:t>to produce and disseminate results</w:t>
      </w:r>
      <w:r>
        <w:rPr>
          <w:noProof/>
          <w:lang w:val="en-IE"/>
        </w:rPr>
        <w:t xml:space="preserve">, and the lack of structural effects. </w:t>
      </w:r>
    </w:p>
    <w:p w14:paraId="3954F8B5" w14:textId="77479AB6" w:rsidR="00422BDF" w:rsidRDefault="00B23997" w:rsidP="00DF7232">
      <w:pPr>
        <w:pStyle w:val="Text1"/>
        <w:ind w:left="0"/>
        <w:rPr>
          <w:noProof/>
        </w:rPr>
      </w:pPr>
      <w:r w:rsidRPr="59E4558D">
        <w:rPr>
          <w:b/>
          <w:i/>
          <w:noProof/>
        </w:rPr>
        <w:t>Ad</w:t>
      </w:r>
      <w:r>
        <w:rPr>
          <w:b/>
          <w:i/>
          <w:noProof/>
        </w:rPr>
        <w:t>justment</w:t>
      </w:r>
      <w:r w:rsidRPr="59E4558D">
        <w:rPr>
          <w:b/>
          <w:i/>
          <w:noProof/>
        </w:rPr>
        <w:t xml:space="preserve"> </w:t>
      </w:r>
      <w:r w:rsidR="00DF7232" w:rsidRPr="59E4558D">
        <w:rPr>
          <w:b/>
          <w:i/>
          <w:noProof/>
        </w:rPr>
        <w:t xml:space="preserve">costs for </w:t>
      </w:r>
      <w:r w:rsidR="5308670A" w:rsidRPr="264EBC7E">
        <w:rPr>
          <w:b/>
          <w:bCs/>
          <w:i/>
          <w:iCs/>
          <w:noProof/>
        </w:rPr>
        <w:t>d</w:t>
      </w:r>
      <w:r w:rsidR="00DF7232" w:rsidRPr="264EBC7E">
        <w:rPr>
          <w:b/>
          <w:bCs/>
          <w:i/>
          <w:iCs/>
          <w:noProof/>
        </w:rPr>
        <w:t xml:space="preserve">ata </w:t>
      </w:r>
      <w:r w:rsidR="7A7F4EB0" w:rsidRPr="264EBC7E">
        <w:rPr>
          <w:b/>
          <w:bCs/>
          <w:i/>
          <w:iCs/>
          <w:noProof/>
        </w:rPr>
        <w:t>c</w:t>
      </w:r>
      <w:r w:rsidR="00DF7232" w:rsidRPr="264EBC7E">
        <w:rPr>
          <w:b/>
          <w:bCs/>
          <w:i/>
          <w:iCs/>
          <w:noProof/>
        </w:rPr>
        <w:t>entre</w:t>
      </w:r>
      <w:r w:rsidR="00DF7232" w:rsidRPr="59E4558D">
        <w:rPr>
          <w:b/>
          <w:i/>
          <w:noProof/>
        </w:rPr>
        <w:t xml:space="preserve"> </w:t>
      </w:r>
      <w:r w:rsidR="45E7333C" w:rsidRPr="50341D45">
        <w:rPr>
          <w:b/>
          <w:bCs/>
          <w:i/>
          <w:iCs/>
          <w:noProof/>
        </w:rPr>
        <w:t>o</w:t>
      </w:r>
      <w:r w:rsidR="00DF7232" w:rsidRPr="50341D45">
        <w:rPr>
          <w:b/>
          <w:bCs/>
          <w:i/>
          <w:iCs/>
          <w:noProof/>
        </w:rPr>
        <w:t>perators.</w:t>
      </w:r>
      <w:r w:rsidR="00DF7232" w:rsidRPr="00E83676">
        <w:rPr>
          <w:noProof/>
        </w:rPr>
        <w:t xml:space="preserve"> </w:t>
      </w:r>
      <w:r w:rsidR="00DF7232" w:rsidRPr="00E83676">
        <w:rPr>
          <w:bCs/>
          <w:iCs/>
          <w:noProof/>
        </w:rPr>
        <w:t xml:space="preserve">Participation in </w:t>
      </w:r>
      <w:r w:rsidR="00DF7232">
        <w:rPr>
          <w:bCs/>
          <w:iCs/>
          <w:noProof/>
        </w:rPr>
        <w:t xml:space="preserve">the new </w:t>
      </w:r>
      <w:r w:rsidR="00DF7232" w:rsidRPr="00E83676">
        <w:rPr>
          <w:bCs/>
          <w:iCs/>
          <w:noProof/>
        </w:rPr>
        <w:t>working group</w:t>
      </w:r>
      <w:r w:rsidR="00DF7232">
        <w:rPr>
          <w:bCs/>
          <w:iCs/>
          <w:noProof/>
        </w:rPr>
        <w:t xml:space="preserve"> </w:t>
      </w:r>
      <w:r w:rsidR="00DF7232" w:rsidRPr="00E83676">
        <w:rPr>
          <w:bCs/>
          <w:iCs/>
          <w:noProof/>
        </w:rPr>
        <w:t xml:space="preserve">is voluntary at entry but </w:t>
      </w:r>
      <w:r w:rsidR="00DF7232">
        <w:rPr>
          <w:bCs/>
          <w:iCs/>
          <w:noProof/>
        </w:rPr>
        <w:t>implies</w:t>
      </w:r>
      <w:r w:rsidR="00DF7232" w:rsidRPr="00E83676">
        <w:rPr>
          <w:bCs/>
          <w:iCs/>
          <w:noProof/>
        </w:rPr>
        <w:t xml:space="preserve"> expectations of active attendance and contribution once membership is </w:t>
      </w:r>
      <w:r w:rsidR="002E3283">
        <w:rPr>
          <w:bCs/>
          <w:iCs/>
          <w:noProof/>
        </w:rPr>
        <w:t>granted</w:t>
      </w:r>
      <w:r w:rsidR="00DF7232" w:rsidRPr="00E83676">
        <w:rPr>
          <w:bCs/>
          <w:iCs/>
          <w:noProof/>
        </w:rPr>
        <w:t xml:space="preserve">. This </w:t>
      </w:r>
      <w:r w:rsidR="00CC4C56">
        <w:rPr>
          <w:bCs/>
          <w:iCs/>
          <w:noProof/>
        </w:rPr>
        <w:t xml:space="preserve">is expected to </w:t>
      </w:r>
      <w:r w:rsidR="00DF7232" w:rsidRPr="00E83676">
        <w:rPr>
          <w:bCs/>
          <w:iCs/>
          <w:noProof/>
        </w:rPr>
        <w:t xml:space="preserve">generate </w:t>
      </w:r>
      <w:r w:rsidR="00CC4C56">
        <w:rPr>
          <w:bCs/>
          <w:iCs/>
          <w:noProof/>
        </w:rPr>
        <w:t>adjustment</w:t>
      </w:r>
      <w:r w:rsidR="00DF7232" w:rsidRPr="00E83676">
        <w:rPr>
          <w:bCs/>
          <w:iCs/>
          <w:noProof/>
        </w:rPr>
        <w:t xml:space="preserve"> costs for stakeholders</w:t>
      </w:r>
      <w:r w:rsidR="00DF7232">
        <w:rPr>
          <w:bCs/>
          <w:iCs/>
          <w:noProof/>
        </w:rPr>
        <w:t xml:space="preserve"> willing to participate</w:t>
      </w:r>
      <w:r w:rsidR="00DF7232" w:rsidRPr="00E83676">
        <w:rPr>
          <w:bCs/>
          <w:iCs/>
          <w:noProof/>
        </w:rPr>
        <w:t xml:space="preserve">. Under the Better Regulation Toolbox, these </w:t>
      </w:r>
      <w:r w:rsidR="00DF7232">
        <w:rPr>
          <w:bCs/>
          <w:iCs/>
          <w:noProof/>
        </w:rPr>
        <w:t>can be considered</w:t>
      </w:r>
      <w:r w:rsidR="00DF7232" w:rsidRPr="00E83676">
        <w:rPr>
          <w:bCs/>
          <w:iCs/>
          <w:noProof/>
        </w:rPr>
        <w:t xml:space="preserve"> consultation-related burdens</w:t>
      </w:r>
      <w:r w:rsidR="00CC4C56">
        <w:rPr>
          <w:bCs/>
          <w:iCs/>
          <w:noProof/>
        </w:rPr>
        <w:t>, although voluntary</w:t>
      </w:r>
      <w:r w:rsidR="00DF7232" w:rsidRPr="00E83676">
        <w:rPr>
          <w:bCs/>
          <w:iCs/>
          <w:noProof/>
        </w:rPr>
        <w:t xml:space="preserve">. </w:t>
      </w:r>
      <w:r w:rsidR="00CC4C56">
        <w:rPr>
          <w:noProof/>
        </w:rPr>
        <w:t xml:space="preserve">Thus, </w:t>
      </w:r>
      <w:r w:rsidR="005E73B2">
        <w:rPr>
          <w:noProof/>
        </w:rPr>
        <w:t>the</w:t>
      </w:r>
      <w:r w:rsidR="00DF7232" w:rsidRPr="59E4558D">
        <w:rPr>
          <w:noProof/>
        </w:rPr>
        <w:t xml:space="preserve"> recurring source of </w:t>
      </w:r>
      <w:r w:rsidR="00CC4C56">
        <w:rPr>
          <w:noProof/>
        </w:rPr>
        <w:t>adjustment</w:t>
      </w:r>
      <w:r w:rsidR="00CC4C56" w:rsidRPr="59E4558D">
        <w:rPr>
          <w:noProof/>
        </w:rPr>
        <w:t xml:space="preserve"> </w:t>
      </w:r>
      <w:r w:rsidR="00DF7232" w:rsidRPr="59E4558D">
        <w:rPr>
          <w:noProof/>
        </w:rPr>
        <w:t>costs for data centre operators arises from their involvement in the newly established Working Group</w:t>
      </w:r>
      <w:r w:rsidR="005E73B2">
        <w:rPr>
          <w:noProof/>
        </w:rPr>
        <w:t>, who</w:t>
      </w:r>
      <w:r w:rsidR="00DF7232" w:rsidRPr="59E4558D">
        <w:rPr>
          <w:noProof/>
        </w:rPr>
        <w:t xml:space="preserve"> would face additional costs for travel and participation in this new structure.</w:t>
      </w:r>
      <w:r w:rsidR="00DF7232" w:rsidRPr="59E4558D" w:rsidDel="005C295A">
        <w:rPr>
          <w:noProof/>
        </w:rPr>
        <w:t xml:space="preserve"> </w:t>
      </w:r>
      <w:r w:rsidR="00DF7232" w:rsidRPr="59E4558D">
        <w:rPr>
          <w:noProof/>
        </w:rPr>
        <w:t>This is based on 2.5 days of effort per participant for each in-person meeting (</w:t>
      </w:r>
      <w:r w:rsidR="005C295A">
        <w:rPr>
          <w:noProof/>
        </w:rPr>
        <w:t>i.e.</w:t>
      </w:r>
      <w:r w:rsidR="00DF7232" w:rsidRPr="59E4558D" w:rsidDel="005C295A">
        <w:rPr>
          <w:noProof/>
        </w:rPr>
        <w:t xml:space="preserve"> </w:t>
      </w:r>
      <w:r w:rsidR="005C295A">
        <w:rPr>
          <w:noProof/>
        </w:rPr>
        <w:t>1</w:t>
      </w:r>
      <w:r w:rsidR="00DF7232" w:rsidRPr="59E4558D">
        <w:rPr>
          <w:noProof/>
        </w:rPr>
        <w:t xml:space="preserve"> day of attendance and 1.5 days of preparation), assuming two General Assemblies </w:t>
      </w:r>
      <w:r w:rsidR="005C295A">
        <w:rPr>
          <w:noProof/>
        </w:rPr>
        <w:t>(in-person meetings)</w:t>
      </w:r>
      <w:r w:rsidR="00DF7232" w:rsidRPr="59E4558D">
        <w:rPr>
          <w:noProof/>
        </w:rPr>
        <w:t xml:space="preserve"> </w:t>
      </w:r>
      <w:r w:rsidR="005C295A" w:rsidRPr="59E4558D">
        <w:rPr>
          <w:noProof/>
        </w:rPr>
        <w:t>per year</w:t>
      </w:r>
      <w:r w:rsidR="005C295A">
        <w:rPr>
          <w:noProof/>
        </w:rPr>
        <w:t>.</w:t>
      </w:r>
      <w:r w:rsidR="00DF7232" w:rsidRPr="59E4558D">
        <w:rPr>
          <w:noProof/>
        </w:rPr>
        <w:t xml:space="preserve"> In addition, participation in </w:t>
      </w:r>
      <w:r w:rsidR="005C295A">
        <w:rPr>
          <w:noProof/>
        </w:rPr>
        <w:t>10</w:t>
      </w:r>
      <w:r w:rsidR="005C295A" w:rsidRPr="59E4558D">
        <w:rPr>
          <w:noProof/>
        </w:rPr>
        <w:t xml:space="preserve"> </w:t>
      </w:r>
      <w:r w:rsidR="00DF7232" w:rsidRPr="59E4558D">
        <w:rPr>
          <w:noProof/>
        </w:rPr>
        <w:t>webinars annually has been costed</w:t>
      </w:r>
      <w:r w:rsidR="00DF7232" w:rsidDel="00DF7232">
        <w:rPr>
          <w:noProof/>
        </w:rPr>
        <w:t xml:space="preserve"> </w:t>
      </w:r>
      <w:r w:rsidR="00DF7232" w:rsidRPr="59E4558D">
        <w:rPr>
          <w:noProof/>
        </w:rPr>
        <w:t xml:space="preserve">at 0.5 days of effort </w:t>
      </w:r>
      <w:r w:rsidR="003E546C">
        <w:rPr>
          <w:noProof/>
        </w:rPr>
        <w:t xml:space="preserve">(or 4 hours) </w:t>
      </w:r>
      <w:r w:rsidR="00DF7232" w:rsidRPr="59E4558D">
        <w:rPr>
          <w:noProof/>
        </w:rPr>
        <w:t>per participant per webinar, including both attendance and preparatory work</w:t>
      </w:r>
      <w:r w:rsidR="003E546C">
        <w:rPr>
          <w:noProof/>
        </w:rPr>
        <w:t>.</w:t>
      </w:r>
      <w:r w:rsidR="00DF7232" w:rsidRPr="59E4558D">
        <w:rPr>
          <w:noProof/>
        </w:rPr>
        <w:t xml:space="preserve"> </w:t>
      </w:r>
      <w:r w:rsidR="00E75BE4">
        <w:rPr>
          <w:noProof/>
        </w:rPr>
        <w:t>Please see the formula below. T</w:t>
      </w:r>
      <w:r w:rsidR="00E75BE4" w:rsidRPr="59E4558D">
        <w:rPr>
          <w:noProof/>
        </w:rPr>
        <w:t xml:space="preserve">hese are estimated at approximately </w:t>
      </w:r>
      <w:r w:rsidR="00E75BE4">
        <w:rPr>
          <w:noProof/>
        </w:rPr>
        <w:t xml:space="preserve">EUR </w:t>
      </w:r>
      <w:r w:rsidR="00E75BE4" w:rsidRPr="59E4558D">
        <w:rPr>
          <w:noProof/>
        </w:rPr>
        <w:t>5,400 per operator each year</w:t>
      </w:r>
      <w:r w:rsidR="00E75BE4">
        <w:rPr>
          <w:noProof/>
        </w:rPr>
        <w:t>, made up of EUR 2</w:t>
      </w:r>
      <w:r w:rsidR="00BA56E5">
        <w:rPr>
          <w:noProof/>
        </w:rPr>
        <w:t xml:space="preserve"> </w:t>
      </w:r>
      <w:r w:rsidR="00E75BE4">
        <w:rPr>
          <w:noProof/>
        </w:rPr>
        <w:t>000 for in person engagement, EUR 2</w:t>
      </w:r>
      <w:r w:rsidR="009A0927">
        <w:rPr>
          <w:noProof/>
        </w:rPr>
        <w:t xml:space="preserve"> </w:t>
      </w:r>
      <w:r w:rsidR="00E75BE4">
        <w:rPr>
          <w:noProof/>
        </w:rPr>
        <w:t>000 for webinar participation and EUR 1</w:t>
      </w:r>
      <w:r w:rsidR="009A0927">
        <w:rPr>
          <w:noProof/>
        </w:rPr>
        <w:t xml:space="preserve"> </w:t>
      </w:r>
      <w:r w:rsidR="00E75BE4">
        <w:rPr>
          <w:noProof/>
        </w:rPr>
        <w:t>400 for travel expenses</w:t>
      </w:r>
      <w:r w:rsidR="00E75BE4" w:rsidRPr="00383E12">
        <w:rPr>
          <w:noProof/>
        </w:rPr>
        <w:t xml:space="preserve"> </w:t>
      </w:r>
      <w:r w:rsidR="00E75BE4">
        <w:rPr>
          <w:noProof/>
        </w:rPr>
        <w:t>(</w:t>
      </w:r>
      <w:r w:rsidR="00E75BE4" w:rsidRPr="59E4558D">
        <w:rPr>
          <w:noProof/>
        </w:rPr>
        <w:t xml:space="preserve">estimated at </w:t>
      </w:r>
      <w:r w:rsidR="00E75BE4">
        <w:rPr>
          <w:noProof/>
        </w:rPr>
        <w:t xml:space="preserve">EUR </w:t>
      </w:r>
      <w:r w:rsidR="00E75BE4" w:rsidRPr="59E4558D">
        <w:rPr>
          <w:noProof/>
        </w:rPr>
        <w:t>700 per trip per participant</w:t>
      </w:r>
      <w:r w:rsidR="00E75BE4">
        <w:rPr>
          <w:noProof/>
        </w:rPr>
        <w:t>)</w:t>
      </w:r>
      <w:r w:rsidR="00E75BE4" w:rsidRPr="59E4558D">
        <w:rPr>
          <w:noProof/>
        </w:rPr>
        <w:t xml:space="preserve">. </w:t>
      </w:r>
      <w:r w:rsidR="00DF7232" w:rsidRPr="59E4558D">
        <w:rPr>
          <w:noProof/>
        </w:rPr>
        <w:t>The Working Group is expected to involve 30 new delegates</w:t>
      </w:r>
      <w:r w:rsidR="00E75BE4">
        <w:rPr>
          <w:noProof/>
        </w:rPr>
        <w:t xml:space="preserve">: </w:t>
      </w:r>
      <w:r w:rsidR="00422BDF">
        <w:rPr>
          <w:noProof/>
        </w:rPr>
        <w:t xml:space="preserve">therefore, the total </w:t>
      </w:r>
      <w:r w:rsidR="00DE7B75">
        <w:rPr>
          <w:noProof/>
        </w:rPr>
        <w:t xml:space="preserve">recurrent </w:t>
      </w:r>
      <w:r w:rsidR="00422BDF">
        <w:rPr>
          <w:noProof/>
        </w:rPr>
        <w:t>adjustment cost stems from multiplying this total per participant by 30 and discounting it at present value</w:t>
      </w:r>
      <w:r w:rsidR="00DF7232" w:rsidRPr="59E4558D">
        <w:rPr>
          <w:noProof/>
        </w:rPr>
        <w:t xml:space="preserve">. </w:t>
      </w:r>
    </w:p>
    <w:p w14:paraId="29FC3880" w14:textId="6B6B0C4B" w:rsidR="00A81FB6" w:rsidRPr="0009165C" w:rsidRDefault="00DE7B75" w:rsidP="0009165C">
      <w:pPr>
        <w:jc w:val="center"/>
        <w:rPr>
          <w:i/>
          <w:noProof/>
          <w:sz w:val="18"/>
          <w:szCs w:val="18"/>
        </w:rPr>
      </w:pPr>
      <w:r>
        <w:rPr>
          <w:i/>
          <w:noProof/>
        </w:rPr>
        <w:t xml:space="preserve">Recurrent adjustment </w:t>
      </w:r>
      <w:r w:rsidR="00A81FB6">
        <w:rPr>
          <w:i/>
          <w:noProof/>
        </w:rPr>
        <w:t>cost</w:t>
      </w:r>
      <w:r w:rsidR="00A81FB6" w:rsidRPr="0007547C">
        <w:rPr>
          <w:i/>
          <w:noProof/>
        </w:rPr>
        <w:t xml:space="preserve"> </w:t>
      </w:r>
      <w:r w:rsidR="00A81FB6" w:rsidRPr="0091152D">
        <w:rPr>
          <w:i/>
          <w:noProof/>
          <w:vertAlign w:val="subscript"/>
        </w:rPr>
        <w:t>per participant</w:t>
      </w:r>
      <w:r w:rsidR="00A81FB6">
        <w:rPr>
          <w:i/>
          <w:noProof/>
          <w:vertAlign w:val="subscript"/>
        </w:rPr>
        <w:t>,</w:t>
      </w:r>
      <w:r w:rsidR="00A81FB6" w:rsidRPr="0091152D">
        <w:rPr>
          <w:i/>
          <w:noProof/>
          <w:vertAlign w:val="subscript"/>
        </w:rPr>
        <w:t>year</w:t>
      </w:r>
      <w:r w:rsidR="00A81FB6" w:rsidRPr="0007547C">
        <w:rPr>
          <w:i/>
          <w:noProof/>
        </w:rPr>
        <w:t xml:space="preserve"> = </w:t>
      </w:r>
      <w:r w:rsidR="00A81FB6">
        <w:rPr>
          <w:i/>
          <w:noProof/>
        </w:rPr>
        <w:t>(Days per in-person meeting × No. of in-person meetings × labour cost)</w:t>
      </w:r>
      <w:r w:rsidR="00A81FB6" w:rsidRPr="00A33769">
        <w:rPr>
          <w:i/>
          <w:noProof/>
        </w:rPr>
        <w:t xml:space="preserve"> </w:t>
      </w:r>
      <w:r w:rsidR="00A81FB6">
        <w:rPr>
          <w:i/>
          <w:noProof/>
        </w:rPr>
        <w:t>+ (Travel cost × No. of in-person meetings) + (Days per webinar × No. of webinars × Labour costs)</w:t>
      </w:r>
      <w:r w:rsidR="00A81FB6" w:rsidRPr="00364C21">
        <w:rPr>
          <w:i/>
          <w:noProof/>
          <w:sz w:val="18"/>
          <w:szCs w:val="18"/>
        </w:rPr>
        <w:t xml:space="preserve">  </w:t>
      </w:r>
    </w:p>
    <w:p w14:paraId="2353D803" w14:textId="572B4BD5" w:rsidR="006F1EF5" w:rsidRDefault="00DF7232" w:rsidP="006F1EF5">
      <w:pPr>
        <w:pStyle w:val="Text1"/>
        <w:ind w:left="0"/>
        <w:rPr>
          <w:noProof/>
        </w:rPr>
      </w:pPr>
      <w:r w:rsidRPr="59E4558D">
        <w:rPr>
          <w:noProof/>
        </w:rPr>
        <w:t>Additional effort has been considered for around 40% of the Working Group members, who would be active in producing documents, i.e. roadmaps or reports, each year, estimated at around 20 days of additional work per year</w:t>
      </w:r>
      <w:r w:rsidR="00B30964">
        <w:rPr>
          <w:noProof/>
        </w:rPr>
        <w:t>, for a total of EUR 96</w:t>
      </w:r>
      <w:r w:rsidR="00BA56E5">
        <w:rPr>
          <w:noProof/>
        </w:rPr>
        <w:t xml:space="preserve"> </w:t>
      </w:r>
      <w:r w:rsidR="00B30964">
        <w:rPr>
          <w:noProof/>
        </w:rPr>
        <w:t>008 each year.</w:t>
      </w:r>
      <w:r w:rsidR="00B30964" w:rsidRPr="59E4558D">
        <w:rPr>
          <w:noProof/>
        </w:rPr>
        <w:t xml:space="preserve"> </w:t>
      </w:r>
      <w:r w:rsidR="00B30964" w:rsidRPr="002B4322">
        <w:rPr>
          <w:noProof/>
        </w:rPr>
        <w:t xml:space="preserve">This estimate reflects the contribution of </w:t>
      </w:r>
      <w:r w:rsidR="00B30964">
        <w:rPr>
          <w:noProof/>
        </w:rPr>
        <w:t xml:space="preserve">the </w:t>
      </w:r>
      <w:r w:rsidR="00B30964" w:rsidRPr="002B4322">
        <w:rPr>
          <w:noProof/>
        </w:rPr>
        <w:t>chairing team and rapporteurs, elected from within the WG, who are responsible for supporting and implementing the group’s daily activities</w:t>
      </w:r>
      <w:r w:rsidRPr="59E4558D" w:rsidDel="00B30964">
        <w:rPr>
          <w:noProof/>
        </w:rPr>
        <w:t>.</w:t>
      </w:r>
      <w:r w:rsidRPr="59E4558D">
        <w:rPr>
          <w:noProof/>
        </w:rPr>
        <w:t xml:space="preserve"> Although not mandatory, these recurrent activities would be undertaken in the operators’ best interest to gain information and reduce uncertainty in project development.</w:t>
      </w:r>
      <w:r w:rsidR="006F1EF5" w:rsidRPr="006F1EF5">
        <w:rPr>
          <w:noProof/>
        </w:rPr>
        <w:t xml:space="preserve"> </w:t>
      </w:r>
      <w:r w:rsidR="005B0DEE">
        <w:rPr>
          <w:noProof/>
        </w:rPr>
        <w:t>For this, the</w:t>
      </w:r>
      <w:r w:rsidR="006F1EF5">
        <w:rPr>
          <w:noProof/>
        </w:rPr>
        <w:t xml:space="preserve"> formula </w:t>
      </w:r>
      <w:r w:rsidR="005B0DEE">
        <w:rPr>
          <w:noProof/>
        </w:rPr>
        <w:t>is:</w:t>
      </w:r>
      <w:r w:rsidR="006F1EF5">
        <w:rPr>
          <w:noProof/>
        </w:rPr>
        <w:t xml:space="preserve"> </w:t>
      </w:r>
    </w:p>
    <w:p w14:paraId="66501473" w14:textId="1157031A" w:rsidR="00DF7232" w:rsidRDefault="006F1EF5" w:rsidP="00BD1B67">
      <w:pPr>
        <w:jc w:val="center"/>
        <w:rPr>
          <w:i/>
          <w:noProof/>
        </w:rPr>
      </w:pPr>
      <w:r>
        <w:rPr>
          <w:i/>
          <w:noProof/>
        </w:rPr>
        <w:t>Document production</w:t>
      </w:r>
      <w:r w:rsidRPr="0007547C">
        <w:rPr>
          <w:i/>
          <w:noProof/>
        </w:rPr>
        <w:t xml:space="preserve"> </w:t>
      </w:r>
      <w:r>
        <w:rPr>
          <w:i/>
          <w:noProof/>
          <w:vertAlign w:val="subscript"/>
        </w:rPr>
        <w:t>40% subgroup/</w:t>
      </w:r>
      <w:r w:rsidRPr="00EF1655">
        <w:rPr>
          <w:i/>
          <w:noProof/>
          <w:vertAlign w:val="subscript"/>
        </w:rPr>
        <w:t>year</w:t>
      </w:r>
      <w:r w:rsidRPr="0007547C">
        <w:rPr>
          <w:i/>
          <w:noProof/>
        </w:rPr>
        <w:t xml:space="preserve"> = </w:t>
      </w:r>
      <w:r>
        <w:rPr>
          <w:i/>
          <w:noProof/>
        </w:rPr>
        <w:t xml:space="preserve">(40% × Total No. of participants) × (Effort of active engagement × labour cost) </w:t>
      </w:r>
    </w:p>
    <w:p w14:paraId="368F2E70" w14:textId="7288E61F" w:rsidR="00484FE8" w:rsidRPr="00484FE8" w:rsidRDefault="00484FE8" w:rsidP="00484FE8">
      <w:pPr>
        <w:pStyle w:val="Text1"/>
        <w:ind w:left="0"/>
        <w:rPr>
          <w:noProof/>
        </w:rPr>
      </w:pPr>
      <w:r>
        <w:rPr>
          <w:noProof/>
        </w:rPr>
        <w:t xml:space="preserve">Total </w:t>
      </w:r>
      <w:r w:rsidR="00DE7B75">
        <w:rPr>
          <w:noProof/>
        </w:rPr>
        <w:t xml:space="preserve">recurrent </w:t>
      </w:r>
      <w:r>
        <w:rPr>
          <w:noProof/>
        </w:rPr>
        <w:t>adjustment costs for data centre operators under PM1 are thus estimated at EUR 2.2 m (NPV, 10-years)</w:t>
      </w:r>
      <w:r w:rsidR="00DE7B75">
        <w:rPr>
          <w:noProof/>
        </w:rPr>
        <w:t>.</w:t>
      </w:r>
    </w:p>
    <w:p w14:paraId="61990ACD" w14:textId="6D4AB765" w:rsidR="00DF7232" w:rsidRDefault="00DF7232" w:rsidP="00DF7232">
      <w:pPr>
        <w:pStyle w:val="Text1"/>
        <w:ind w:left="0"/>
        <w:rPr>
          <w:noProof/>
          <w:lang w:val="en-IE"/>
        </w:rPr>
      </w:pPr>
      <w:r w:rsidRPr="59E4558D">
        <w:rPr>
          <w:b/>
          <w:i/>
          <w:noProof/>
        </w:rPr>
        <w:t xml:space="preserve">Cost savings for </w:t>
      </w:r>
      <w:r w:rsidR="4B17FD1D" w:rsidRPr="5552ABCB">
        <w:rPr>
          <w:b/>
          <w:bCs/>
          <w:i/>
          <w:iCs/>
          <w:noProof/>
        </w:rPr>
        <w:t>d</w:t>
      </w:r>
      <w:r w:rsidR="00C73124" w:rsidRPr="5552ABCB">
        <w:rPr>
          <w:b/>
          <w:bCs/>
          <w:i/>
          <w:iCs/>
          <w:noProof/>
        </w:rPr>
        <w:t xml:space="preserve">ata </w:t>
      </w:r>
      <w:r w:rsidR="64E8BBB7" w:rsidRPr="5552ABCB">
        <w:rPr>
          <w:b/>
          <w:bCs/>
          <w:i/>
          <w:iCs/>
          <w:noProof/>
        </w:rPr>
        <w:t>c</w:t>
      </w:r>
      <w:r w:rsidR="00C73124" w:rsidRPr="5552ABCB">
        <w:rPr>
          <w:b/>
          <w:bCs/>
          <w:i/>
          <w:iCs/>
          <w:noProof/>
        </w:rPr>
        <w:t xml:space="preserve">entre </w:t>
      </w:r>
      <w:r w:rsidR="2D87BE2B" w:rsidRPr="5552ABCB">
        <w:rPr>
          <w:b/>
          <w:bCs/>
          <w:i/>
          <w:iCs/>
          <w:noProof/>
        </w:rPr>
        <w:t>o</w:t>
      </w:r>
      <w:r w:rsidR="00C73124" w:rsidRPr="59E4558D">
        <w:rPr>
          <w:b/>
          <w:i/>
          <w:noProof/>
        </w:rPr>
        <w:t>perators</w:t>
      </w:r>
      <w:r>
        <w:rPr>
          <w:b/>
          <w:i/>
          <w:noProof/>
        </w:rPr>
        <w:t>.</w:t>
      </w:r>
      <w:r w:rsidRPr="00D801A5">
        <w:rPr>
          <w:noProof/>
          <w:lang w:val="en-IE"/>
        </w:rPr>
        <w:t xml:space="preserve"> </w:t>
      </w:r>
      <w:r>
        <w:rPr>
          <w:noProof/>
          <w:lang w:val="en-IE"/>
        </w:rPr>
        <w:t>The cost savings for data centre operators are explained as indirect impacts as the reach of this measure is by design not enough to justify a monetisation.</w:t>
      </w:r>
    </w:p>
    <w:p w14:paraId="4505BA3C" w14:textId="78B1BB20" w:rsidR="009D65E4" w:rsidRPr="009D65E4" w:rsidRDefault="009D65E4" w:rsidP="00DF7232">
      <w:pPr>
        <w:pStyle w:val="Text1"/>
        <w:ind w:left="0"/>
        <w:rPr>
          <w:bCs/>
          <w:noProof/>
          <w:lang w:val="en-IE"/>
        </w:rPr>
      </w:pPr>
      <w:r w:rsidRPr="00BE28B4">
        <w:rPr>
          <w:bCs/>
          <w:noProof/>
          <w:lang w:val="en-IE"/>
        </w:rPr>
        <w:t xml:space="preserve">No new costs or cost savings have been considered for national public authorities, as they would not participate in this new Working Group and are already participating </w:t>
      </w:r>
      <w:r>
        <w:rPr>
          <w:bCs/>
          <w:noProof/>
          <w:lang w:val="en-IE"/>
        </w:rPr>
        <w:t>in</w:t>
      </w:r>
      <w:r w:rsidRPr="00BE28B4">
        <w:rPr>
          <w:bCs/>
          <w:noProof/>
          <w:lang w:val="en-IE"/>
        </w:rPr>
        <w:t xml:space="preserve"> the General Assembly</w:t>
      </w:r>
      <w:r>
        <w:rPr>
          <w:bCs/>
          <w:noProof/>
          <w:lang w:val="en-IE"/>
        </w:rPr>
        <w:t xml:space="preserve"> </w:t>
      </w:r>
      <w:r w:rsidRPr="1A866EC5">
        <w:rPr>
          <w:noProof/>
          <w:lang w:val="en-IE"/>
        </w:rPr>
        <w:t>(as members of the Member State Cloud Cooperation Group),</w:t>
      </w:r>
      <w:r>
        <w:rPr>
          <w:noProof/>
          <w:lang w:val="en-IE"/>
        </w:rPr>
        <w:t xml:space="preserve"> to which</w:t>
      </w:r>
      <w:r w:rsidRPr="00BE28B4">
        <w:rPr>
          <w:bCs/>
          <w:noProof/>
          <w:lang w:val="en-IE"/>
        </w:rPr>
        <w:t xml:space="preserve"> this new working group would report</w:t>
      </w:r>
      <w:r w:rsidRPr="00437F91">
        <w:rPr>
          <w:bCs/>
          <w:noProof/>
          <w:lang w:val="en-IE"/>
        </w:rPr>
        <w:t>.</w:t>
      </w:r>
      <w:r>
        <w:rPr>
          <w:bCs/>
          <w:noProof/>
          <w:lang w:val="en-IE"/>
        </w:rPr>
        <w:t xml:space="preserve"> </w:t>
      </w:r>
    </w:p>
    <w:p w14:paraId="1E150F52" w14:textId="20C8CAFE" w:rsidR="00DF7232" w:rsidRDefault="00DF7232" w:rsidP="00DF7232">
      <w:pPr>
        <w:pStyle w:val="Text1"/>
        <w:ind w:left="0"/>
        <w:rPr>
          <w:noProof/>
          <w:lang w:val="en-IE"/>
        </w:rPr>
      </w:pPr>
      <w:r w:rsidRPr="294AF3FA">
        <w:rPr>
          <w:b/>
          <w:bCs/>
          <w:i/>
          <w:iCs/>
          <w:noProof/>
          <w:lang w:val="en-IE"/>
        </w:rPr>
        <w:t>Administrative costs for the European Commission</w:t>
      </w:r>
      <w:r w:rsidRPr="294AF3FA">
        <w:rPr>
          <w:b/>
          <w:bCs/>
          <w:noProof/>
          <w:lang w:val="en-IE"/>
        </w:rPr>
        <w:t>.</w:t>
      </w:r>
      <w:r w:rsidRPr="003401EC">
        <w:rPr>
          <w:noProof/>
          <w:lang w:val="en-IE"/>
        </w:rPr>
        <w:t xml:space="preserve"> The establishment and onboarding of the new Working Group entails one-off administrative costs for </w:t>
      </w:r>
      <w:r w:rsidRPr="294AF3FA">
        <w:rPr>
          <w:noProof/>
          <w:lang w:val="en-IE"/>
        </w:rPr>
        <w:t>the Commission</w:t>
      </w:r>
      <w:r w:rsidRPr="003401EC">
        <w:rPr>
          <w:noProof/>
          <w:lang w:val="en-IE"/>
        </w:rPr>
        <w:t xml:space="preserve">. The related costs are estimated considering the time taken to onboard the new delegates </w:t>
      </w:r>
      <w:r>
        <w:rPr>
          <w:noProof/>
          <w:lang w:val="en-IE"/>
        </w:rPr>
        <w:t>i</w:t>
      </w:r>
      <w:r w:rsidRPr="003401EC">
        <w:rPr>
          <w:noProof/>
          <w:lang w:val="en-IE"/>
        </w:rPr>
        <w:t>n the Working Group during the first year, considering 20 days or 0.09 FTE-year in 202</w:t>
      </w:r>
      <w:r>
        <w:rPr>
          <w:noProof/>
          <w:lang w:val="en-IE"/>
        </w:rPr>
        <w:t>7</w:t>
      </w:r>
      <w:r w:rsidR="00D62917">
        <w:rPr>
          <w:noProof/>
          <w:lang w:val="en-IE"/>
        </w:rPr>
        <w:t>.</w:t>
      </w:r>
      <w:r w:rsidR="00D62917" w:rsidRPr="00D62917">
        <w:rPr>
          <w:noProof/>
          <w:lang w:val="en-IE"/>
        </w:rPr>
        <w:t xml:space="preserve"> </w:t>
      </w:r>
      <w:r w:rsidR="00D62917">
        <w:rPr>
          <w:noProof/>
          <w:lang w:val="en-IE"/>
        </w:rPr>
        <w:t>This would be facilitated by the existence of an existing working group of cloud and edge providers</w:t>
      </w:r>
      <w:r w:rsidR="00D62917" w:rsidRPr="003401EC">
        <w:rPr>
          <w:rStyle w:val="FootnoteReference"/>
          <w:noProof/>
          <w:lang w:val="en-IE"/>
        </w:rPr>
        <w:t xml:space="preserve"> </w:t>
      </w:r>
      <w:r w:rsidRPr="003401EC">
        <w:rPr>
          <w:rStyle w:val="FootnoteReference"/>
          <w:noProof/>
          <w:lang w:val="en-IE"/>
        </w:rPr>
        <w:footnoteReference w:id="43"/>
      </w:r>
      <w:r w:rsidRPr="003401EC">
        <w:rPr>
          <w:noProof/>
          <w:lang w:val="en-IE"/>
        </w:rPr>
        <w:t xml:space="preserve">. Recurrent costs would reflect the additional administrative costs linked to the coordination of the new Alliance WG, </w:t>
      </w:r>
      <w:r w:rsidR="00EB21FE">
        <w:rPr>
          <w:noProof/>
          <w:lang w:val="en-IE"/>
        </w:rPr>
        <w:t>i.e. preparing the</w:t>
      </w:r>
      <w:r w:rsidR="00EB21FE" w:rsidRPr="00BC7096">
        <w:rPr>
          <w:noProof/>
          <w:lang w:val="en-IE"/>
        </w:rPr>
        <w:t xml:space="preserve"> work programme, meeting planning, agenda-setting, inviting stakeholders, circulating minutes, drafting reports, managing documents, dealing with day-to-day queries, running webinars and preparing them</w:t>
      </w:r>
      <w:r w:rsidR="00EB21FE">
        <w:rPr>
          <w:noProof/>
          <w:lang w:val="en-IE"/>
        </w:rPr>
        <w:t xml:space="preserve">, </w:t>
      </w:r>
      <w:r w:rsidRPr="003401EC">
        <w:rPr>
          <w:noProof/>
          <w:lang w:val="en-IE"/>
        </w:rPr>
        <w:t xml:space="preserve">for which </w:t>
      </w:r>
      <w:r w:rsidR="00EB21FE">
        <w:rPr>
          <w:noProof/>
          <w:lang w:val="en-IE"/>
        </w:rPr>
        <w:t>4</w:t>
      </w:r>
      <w:r w:rsidR="00EB21FE" w:rsidRPr="003401EC">
        <w:rPr>
          <w:noProof/>
          <w:lang w:val="en-IE"/>
        </w:rPr>
        <w:t xml:space="preserve">0 </w:t>
      </w:r>
      <w:r w:rsidRPr="003401EC">
        <w:rPr>
          <w:noProof/>
          <w:lang w:val="en-IE"/>
        </w:rPr>
        <w:t xml:space="preserve">days </w:t>
      </w:r>
      <w:r w:rsidR="00EB21FE">
        <w:rPr>
          <w:noProof/>
          <w:lang w:val="en-IE"/>
        </w:rPr>
        <w:t xml:space="preserve">per year </w:t>
      </w:r>
      <w:r w:rsidRPr="003401EC">
        <w:rPr>
          <w:noProof/>
          <w:lang w:val="en-IE"/>
        </w:rPr>
        <w:t xml:space="preserve">have been considered. These would include the additional meetings per year, preparation and reporting towards the Alliance Members. </w:t>
      </w:r>
      <w:r>
        <w:rPr>
          <w:noProof/>
          <w:lang w:val="en-IE"/>
        </w:rPr>
        <w:t>Total administrative costs have been calculated as the one-off administrative costs in year 1 plus the discounted value of the recurrent annual administrative costs over 10 years.</w:t>
      </w:r>
    </w:p>
    <w:p w14:paraId="28F98C4A" w14:textId="77777777" w:rsidR="00512DB6" w:rsidRPr="00327652" w:rsidRDefault="000F1006" w:rsidP="000F1006">
      <w:pPr>
        <w:pStyle w:val="Text1"/>
        <w:ind w:left="0"/>
        <w:jc w:val="center"/>
        <w:rPr>
          <w:i/>
          <w:noProof/>
        </w:rPr>
      </w:pPr>
      <w:r>
        <w:rPr>
          <w:i/>
          <w:noProof/>
        </w:rPr>
        <w:t>Total administrative costs = one-off administrative costs + recurrent administrative costs      = (ΔT × labour cost)</w:t>
      </w:r>
      <w:r>
        <w:rPr>
          <w:i/>
          <w:noProof/>
          <w:vertAlign w:val="subscript"/>
        </w:rPr>
        <w:t>year 1</w:t>
      </w:r>
      <w:r>
        <w:rPr>
          <w:i/>
          <w:noProof/>
        </w:rPr>
        <w:t xml:space="preserve"> +</w:t>
      </w:r>
      <m:oMath>
        <m:nary>
          <m:naryPr>
            <m:chr m:val="∑"/>
            <m:grow m:val="1"/>
            <m:ctrlPr>
              <w:rPr>
                <w:rFonts w:ascii="Cambria Math" w:hAnsi="Cambria Math"/>
                <w:noProof/>
              </w:rPr>
            </m:ctrlPr>
          </m:naryPr>
          <m:sub>
            <m:r>
              <w:rPr>
                <w:rFonts w:ascii="Cambria Math" w:eastAsia="Cambria Math" w:hAnsi="Cambria Math" w:cs="Cambria Math"/>
                <w:noProof/>
              </w:rPr>
              <m:t>t=2</m:t>
            </m:r>
          </m:sub>
          <m:sup>
            <m:r>
              <w:rPr>
                <w:rFonts w:ascii="Cambria Math" w:eastAsia="Cambria Math" w:hAnsi="Cambria Math" w:cs="Cambria Math"/>
                <w:noProof/>
              </w:rPr>
              <m:t>10</m:t>
            </m:r>
          </m:sup>
          <m:e>
            <m:f>
              <m:fPr>
                <m:ctrlPr>
                  <w:rPr>
                    <w:rFonts w:ascii="Cambria Math" w:hAnsi="Cambria Math"/>
                    <w:noProof/>
                  </w:rPr>
                </m:ctrlPr>
              </m:fPr>
              <m:num>
                <m:sSub>
                  <m:sSubPr>
                    <m:ctrlPr>
                      <w:rPr>
                        <w:rFonts w:ascii="Cambria Math" w:hAnsi="Cambria Math"/>
                        <w:i/>
                        <w:noProof/>
                        <w:vertAlign w:val="subscript"/>
                      </w:rPr>
                    </m:ctrlPr>
                  </m:sSubPr>
                  <m:e>
                    <m:r>
                      <w:rPr>
                        <w:rFonts w:ascii="Cambria Math" w:hAnsi="Cambria Math"/>
                        <w:noProof/>
                      </w:rPr>
                      <m:t>(ΔT × labour cost)</m:t>
                    </m:r>
                  </m:e>
                  <m:sub>
                    <m:r>
                      <w:rPr>
                        <w:rFonts w:ascii="Cambria Math" w:hAnsi="Cambria Math"/>
                        <w:noProof/>
                        <w:vertAlign w:val="subscript"/>
                      </w:rPr>
                      <m:t>year t</m:t>
                    </m:r>
                  </m:sub>
                </m:sSub>
              </m:num>
              <m:den>
                <m:sSup>
                  <m:sSupPr>
                    <m:ctrlPr>
                      <w:rPr>
                        <w:rFonts w:ascii="Cambria Math" w:hAnsi="Cambria Math"/>
                        <w:i/>
                        <w:iCs/>
                        <w:noProof/>
                      </w:rPr>
                    </m:ctrlPr>
                  </m:sSupPr>
                  <m:e>
                    <m:r>
                      <w:rPr>
                        <w:rFonts w:ascii="Cambria Math" w:hAnsi="Cambria Math"/>
                        <w:noProof/>
                      </w:rPr>
                      <m:t>(1+0.03)</m:t>
                    </m:r>
                  </m:e>
                  <m:sup>
                    <m:r>
                      <w:rPr>
                        <w:rFonts w:ascii="Cambria Math" w:hAnsi="Cambria Math"/>
                        <w:noProof/>
                      </w:rPr>
                      <m:t>t-1</m:t>
                    </m:r>
                  </m:sup>
                </m:sSup>
              </m:den>
            </m:f>
          </m:e>
        </m:nary>
      </m:oMath>
      <w:r>
        <w:rPr>
          <w:i/>
          <w:noProof/>
        </w:rPr>
        <w:t xml:space="preserve"> </w:t>
      </w:r>
    </w:p>
    <w:p w14:paraId="1DE34DD0" w14:textId="7A807D76" w:rsidR="0012034E" w:rsidRDefault="0012034E" w:rsidP="0012034E">
      <w:pPr>
        <w:pStyle w:val="Text1"/>
        <w:ind w:left="0"/>
        <w:rPr>
          <w:noProof/>
        </w:rPr>
      </w:pPr>
      <w:r>
        <w:rPr>
          <w:noProof/>
        </w:rPr>
        <w:t xml:space="preserve">Total </w:t>
      </w:r>
      <w:r w:rsidR="00522644">
        <w:rPr>
          <w:noProof/>
        </w:rPr>
        <w:t xml:space="preserve">(one-off and recurrent) </w:t>
      </w:r>
      <w:r>
        <w:rPr>
          <w:noProof/>
        </w:rPr>
        <w:t xml:space="preserve">administrative costs for the Commission under PM1 are thus estimated at EUR </w:t>
      </w:r>
      <w:r w:rsidR="006A59FA">
        <w:rPr>
          <w:noProof/>
        </w:rPr>
        <w:t>0.1</w:t>
      </w:r>
      <w:r>
        <w:rPr>
          <w:noProof/>
        </w:rPr>
        <w:t xml:space="preserve"> m (NPV, 10-years)</w:t>
      </w:r>
      <w:r w:rsidR="00522644">
        <w:rPr>
          <w:noProof/>
        </w:rPr>
        <w:t>.</w:t>
      </w:r>
    </w:p>
    <w:p w14:paraId="09931FA7" w14:textId="7CAE819B" w:rsidR="00DF7232" w:rsidRDefault="00DF7232" w:rsidP="00DF7232">
      <w:pPr>
        <w:pStyle w:val="Text1"/>
        <w:ind w:left="0"/>
        <w:rPr>
          <w:noProof/>
        </w:rPr>
      </w:pPr>
      <w:r w:rsidRPr="40A43D77">
        <w:rPr>
          <w:b/>
          <w:noProof/>
        </w:rPr>
        <w:t xml:space="preserve">Indirect </w:t>
      </w:r>
      <w:r w:rsidR="009A6552">
        <w:rPr>
          <w:b/>
          <w:noProof/>
        </w:rPr>
        <w:t>impact</w:t>
      </w:r>
      <w:r w:rsidRPr="40A43D77">
        <w:rPr>
          <w:b/>
          <w:noProof/>
        </w:rPr>
        <w:t>:</w:t>
      </w:r>
      <w:r w:rsidRPr="40A43D77">
        <w:rPr>
          <w:noProof/>
        </w:rPr>
        <w:t xml:space="preserve"> The WG will help to foster EU-located capacity, providing advice, guidelines and recommendations to remove or reduce the obstacles that hold back data centre investment and expansion in the EU. This contribution will help </w:t>
      </w:r>
      <w:r w:rsidR="33BE5514">
        <w:rPr>
          <w:noProof/>
        </w:rPr>
        <w:t xml:space="preserve">the European Commission </w:t>
      </w:r>
      <w:r w:rsidRPr="40A43D77">
        <w:rPr>
          <w:noProof/>
        </w:rPr>
        <w:t xml:space="preserve">and </w:t>
      </w:r>
      <w:r w:rsidR="0053505B">
        <w:rPr>
          <w:noProof/>
        </w:rPr>
        <w:t>n</w:t>
      </w:r>
      <w:r>
        <w:rPr>
          <w:noProof/>
        </w:rPr>
        <w:t xml:space="preserve">ational </w:t>
      </w:r>
      <w:r w:rsidR="0053505B">
        <w:rPr>
          <w:noProof/>
        </w:rPr>
        <w:t>p</w:t>
      </w:r>
      <w:r>
        <w:rPr>
          <w:noProof/>
        </w:rPr>
        <w:t xml:space="preserve">ublic </w:t>
      </w:r>
      <w:r w:rsidR="0053505B">
        <w:rPr>
          <w:noProof/>
        </w:rPr>
        <w:t>a</w:t>
      </w:r>
      <w:r>
        <w:rPr>
          <w:noProof/>
        </w:rPr>
        <w:t>uthorities (</w:t>
      </w:r>
      <w:r w:rsidRPr="40A43D77">
        <w:rPr>
          <w:noProof/>
        </w:rPr>
        <w:t>NPAs</w:t>
      </w:r>
      <w:r>
        <w:rPr>
          <w:noProof/>
        </w:rPr>
        <w:t>)</w:t>
      </w:r>
      <w:r w:rsidRPr="40A43D77">
        <w:rPr>
          <w:noProof/>
        </w:rPr>
        <w:t xml:space="preserve"> to orient their policies and </w:t>
      </w:r>
      <w:r w:rsidR="770B3E0F">
        <w:rPr>
          <w:noProof/>
        </w:rPr>
        <w:t xml:space="preserve">data centre </w:t>
      </w:r>
      <w:r w:rsidRPr="40A43D77">
        <w:rPr>
          <w:noProof/>
        </w:rPr>
        <w:t xml:space="preserve">operators to fine tune their deployment plans. However, it is also possible that larger companies will be willing to invest more time and resources into the participation compared to SMEs, and that the measure will be more costly in relative terms for SMEs – despite this is hard to quantify.  </w:t>
      </w:r>
    </w:p>
    <w:p w14:paraId="6C32127F" w14:textId="77777777" w:rsidR="00DF7232" w:rsidRDefault="00DF7232" w:rsidP="00DF7232">
      <w:pPr>
        <w:pStyle w:val="Text1"/>
        <w:ind w:left="0"/>
        <w:rPr>
          <w:noProof/>
          <w:lang w:val="en-IE"/>
        </w:rPr>
      </w:pPr>
      <w:r w:rsidRPr="001B55CF">
        <w:rPr>
          <w:b/>
          <w:bCs/>
          <w:noProof/>
          <w:lang w:val="en-IE"/>
        </w:rPr>
        <w:t>Sensitivity analysis:</w:t>
      </w:r>
      <w:r>
        <w:rPr>
          <w:b/>
          <w:bCs/>
          <w:noProof/>
          <w:lang w:val="en-IE"/>
        </w:rPr>
        <w:t xml:space="preserve"> </w:t>
      </w:r>
      <w:r>
        <w:rPr>
          <w:noProof/>
          <w:lang w:val="en-IE"/>
        </w:rPr>
        <w:t>No sensitivity analysis has been conducted on this policy measure as the amounts at stake are too small.</w:t>
      </w:r>
      <w:r w:rsidRPr="002762B9">
        <w:rPr>
          <w:noProof/>
          <w:lang w:val="en-IE"/>
        </w:rPr>
        <w:t xml:space="preserve"> </w:t>
      </w:r>
    </w:p>
    <w:p w14:paraId="0CF782D8" w14:textId="30691320" w:rsidR="00DF7232" w:rsidRDefault="00DF7232" w:rsidP="00DF7232">
      <w:pPr>
        <w:pStyle w:val="Text1"/>
        <w:ind w:left="0"/>
        <w:rPr>
          <w:noProof/>
          <w:lang w:val="en-IE"/>
        </w:rPr>
      </w:pPr>
      <w:r w:rsidRPr="008D0BAC">
        <w:rPr>
          <w:b/>
          <w:noProof/>
          <w:lang w:val="en-IE"/>
        </w:rPr>
        <w:t>Results</w:t>
      </w:r>
      <w:r w:rsidRPr="00AB0D4D">
        <w:rPr>
          <w:noProof/>
          <w:lang w:val="en-IE"/>
        </w:rPr>
        <w:t>:</w:t>
      </w:r>
      <w:r>
        <w:rPr>
          <w:noProof/>
          <w:lang w:val="en-IE"/>
        </w:rPr>
        <w:t xml:space="preserve"> For PM1</w:t>
      </w:r>
      <w:r w:rsidR="3589D06E" w:rsidRPr="1A866EC5">
        <w:rPr>
          <w:noProof/>
          <w:lang w:val="en-IE"/>
        </w:rPr>
        <w:t>,</w:t>
      </w:r>
      <w:r>
        <w:rPr>
          <w:noProof/>
          <w:lang w:val="en-IE"/>
        </w:rPr>
        <w:t xml:space="preserve"> the estimated costs for the implementation of this measure </w:t>
      </w:r>
      <w:r w:rsidR="007C78B2">
        <w:rPr>
          <w:noProof/>
          <w:lang w:val="en-IE"/>
        </w:rPr>
        <w:t xml:space="preserve">across all stakeholders </w:t>
      </w:r>
      <w:r>
        <w:rPr>
          <w:noProof/>
          <w:lang w:val="en-IE"/>
        </w:rPr>
        <w:t xml:space="preserve">are EUR </w:t>
      </w:r>
      <w:r w:rsidR="0021543A" w:rsidRPr="007C78B2">
        <w:rPr>
          <w:noProof/>
          <w:szCs w:val="24"/>
          <w:lang w:val="en-IE" w:eastAsia="en-IE"/>
        </w:rPr>
        <w:t>2 339 297</w:t>
      </w:r>
      <w:r>
        <w:rPr>
          <w:noProof/>
          <w:lang w:val="en-IE"/>
        </w:rPr>
        <w:t xml:space="preserve">. These costs </w:t>
      </w:r>
      <w:r w:rsidR="000C6E6F">
        <w:rPr>
          <w:noProof/>
          <w:lang w:val="en-IE"/>
        </w:rPr>
        <w:t>reflect the</w:t>
      </w:r>
      <w:r>
        <w:rPr>
          <w:noProof/>
          <w:lang w:val="en-IE"/>
        </w:rPr>
        <w:t xml:space="preserve"> recurrent administrative costs </w:t>
      </w:r>
      <w:r w:rsidR="000C6E6F">
        <w:rPr>
          <w:noProof/>
          <w:lang w:val="en-IE"/>
        </w:rPr>
        <w:t xml:space="preserve">borne by the additional Commission staff for the </w:t>
      </w:r>
      <w:r>
        <w:rPr>
          <w:noProof/>
          <w:lang w:val="en-IE"/>
        </w:rPr>
        <w:t>ongoing coordination, meeting and time to manage the working group activities</w:t>
      </w:r>
      <w:r w:rsidR="00D160E9">
        <w:rPr>
          <w:noProof/>
          <w:lang w:val="en-IE"/>
        </w:rPr>
        <w:t xml:space="preserve"> (EUR 130 696)</w:t>
      </w:r>
      <w:r>
        <w:rPr>
          <w:noProof/>
          <w:lang w:val="en-IE"/>
        </w:rPr>
        <w:t xml:space="preserve">. </w:t>
      </w:r>
      <w:r w:rsidR="00D160E9">
        <w:rPr>
          <w:noProof/>
          <w:lang w:val="en-IE"/>
        </w:rPr>
        <w:t xml:space="preserve">On top of </w:t>
      </w:r>
      <w:r w:rsidR="000C6E6F">
        <w:rPr>
          <w:noProof/>
          <w:lang w:val="en-IE"/>
        </w:rPr>
        <w:t>these, a</w:t>
      </w:r>
      <w:r>
        <w:rPr>
          <w:noProof/>
          <w:lang w:val="en-IE"/>
        </w:rPr>
        <w:t xml:space="preserve"> small one-off administrative cost (EUR 7</w:t>
      </w:r>
      <w:r w:rsidR="009A0927">
        <w:rPr>
          <w:noProof/>
          <w:lang w:val="en-IE"/>
        </w:rPr>
        <w:t xml:space="preserve"> </w:t>
      </w:r>
      <w:r>
        <w:rPr>
          <w:noProof/>
          <w:lang w:val="en-IE"/>
        </w:rPr>
        <w:t xml:space="preserve">661) is foreseen for initial setup tasks. </w:t>
      </w:r>
      <w:r w:rsidR="00D160E9">
        <w:rPr>
          <w:noProof/>
          <w:lang w:val="en-IE"/>
        </w:rPr>
        <w:t xml:space="preserve">The measure </w:t>
      </w:r>
      <w:r w:rsidR="002B3766">
        <w:rPr>
          <w:noProof/>
          <w:lang w:val="en-IE"/>
        </w:rPr>
        <w:t xml:space="preserve">also includes the adjustment costs </w:t>
      </w:r>
      <w:r w:rsidR="007338DA">
        <w:rPr>
          <w:noProof/>
          <w:lang w:val="en-IE"/>
        </w:rPr>
        <w:t>expected</w:t>
      </w:r>
      <w:r w:rsidR="002B3766">
        <w:rPr>
          <w:noProof/>
          <w:lang w:val="en-IE"/>
        </w:rPr>
        <w:t xml:space="preserve"> to be incurred by data centre operators and CSPs from </w:t>
      </w:r>
      <w:r w:rsidR="007338DA">
        <w:rPr>
          <w:noProof/>
          <w:lang w:val="en-IE"/>
        </w:rPr>
        <w:t>participating</w:t>
      </w:r>
      <w:r w:rsidR="002B3766">
        <w:rPr>
          <w:noProof/>
          <w:lang w:val="en-IE"/>
        </w:rPr>
        <w:t xml:space="preserve"> in the </w:t>
      </w:r>
      <w:r w:rsidR="007338DA">
        <w:rPr>
          <w:noProof/>
          <w:lang w:val="en-IE"/>
        </w:rPr>
        <w:t>WG</w:t>
      </w:r>
      <w:r w:rsidR="002B3766">
        <w:rPr>
          <w:noProof/>
          <w:lang w:val="en-IE"/>
        </w:rPr>
        <w:t>.</w:t>
      </w:r>
      <w:r>
        <w:rPr>
          <w:noProof/>
          <w:lang w:val="en-IE"/>
        </w:rPr>
        <w:t xml:space="preserve"> </w:t>
      </w:r>
    </w:p>
    <w:p w14:paraId="0E633EFC" w14:textId="5F17575A" w:rsidR="00DF7232" w:rsidRDefault="00DF7232" w:rsidP="00DF7232">
      <w:pPr>
        <w:pStyle w:val="Caption"/>
        <w:keepNext/>
        <w:rPr>
          <w:noProof/>
        </w:rPr>
      </w:pPr>
      <w:r w:rsidRPr="008D0BAC">
        <w:rPr>
          <w:noProof/>
        </w:rPr>
        <w:t xml:space="preserve">Table </w:t>
      </w:r>
      <w:r w:rsidRPr="008D0BAC">
        <w:rPr>
          <w:noProof/>
        </w:rPr>
        <w:fldChar w:fldCharType="begin"/>
      </w:r>
      <w:r w:rsidRPr="008D0BAC">
        <w:rPr>
          <w:noProof/>
        </w:rPr>
        <w:instrText xml:space="preserve"> SEQ Table \* ARABIC </w:instrText>
      </w:r>
      <w:r w:rsidRPr="008D0BAC">
        <w:rPr>
          <w:noProof/>
        </w:rPr>
        <w:fldChar w:fldCharType="separate"/>
      </w:r>
      <w:r w:rsidR="000E7F11">
        <w:rPr>
          <w:noProof/>
        </w:rPr>
        <w:t>21</w:t>
      </w:r>
      <w:r w:rsidRPr="008D0BAC">
        <w:rPr>
          <w:noProof/>
        </w:rPr>
        <w:fldChar w:fldCharType="end"/>
      </w:r>
      <w:r w:rsidRPr="008D0BAC">
        <w:rPr>
          <w:noProof/>
        </w:rPr>
        <w:t>. Expanding the Alliance for Industrial Data, Edge and Cloud with a workgroup on data centres and extending membership to relevant players (PM1)</w:t>
      </w:r>
    </w:p>
    <w:tbl>
      <w:tblPr>
        <w:tblStyle w:val="TableGrid"/>
        <w:tblW w:w="9072" w:type="dxa"/>
        <w:tblLayout w:type="fixed"/>
        <w:tblCellMar>
          <w:left w:w="28" w:type="dxa"/>
          <w:right w:w="28" w:type="dxa"/>
        </w:tblCellMar>
        <w:tblLook w:val="04A0" w:firstRow="1" w:lastRow="0" w:firstColumn="1" w:lastColumn="0" w:noHBand="0" w:noVBand="1"/>
      </w:tblPr>
      <w:tblGrid>
        <w:gridCol w:w="2127"/>
        <w:gridCol w:w="1134"/>
        <w:gridCol w:w="1134"/>
        <w:gridCol w:w="1251"/>
        <w:gridCol w:w="1158"/>
        <w:gridCol w:w="1134"/>
        <w:gridCol w:w="1134"/>
      </w:tblGrid>
      <w:tr w:rsidR="00120007" w:rsidRPr="00C1684C" w14:paraId="0CB1E20C" w14:textId="77777777" w:rsidTr="00443520">
        <w:trPr>
          <w:trHeight w:val="506"/>
          <w:tblHeader/>
        </w:trPr>
        <w:tc>
          <w:tcPr>
            <w:tcW w:w="2127" w:type="dxa"/>
            <w:tcBorders>
              <w:bottom w:val="single" w:sz="12" w:space="0" w:color="00B0F0"/>
            </w:tcBorders>
            <w:noWrap/>
            <w:vAlign w:val="center"/>
            <w:hideMark/>
          </w:tcPr>
          <w:p w14:paraId="3EE9535F" w14:textId="77777777" w:rsidR="007C6D8D" w:rsidRPr="004A2124" w:rsidRDefault="007C6D8D" w:rsidP="004A2124">
            <w:pPr>
              <w:spacing w:after="0"/>
              <w:jc w:val="left"/>
              <w:rPr>
                <w:b/>
                <w:noProof/>
                <w:sz w:val="20"/>
                <w:szCs w:val="20"/>
                <w:lang w:val="en-IE" w:eastAsia="en-IE"/>
              </w:rPr>
            </w:pPr>
            <w:r w:rsidRPr="004A2124">
              <w:rPr>
                <w:b/>
                <w:noProof/>
                <w:sz w:val="20"/>
                <w:szCs w:val="20"/>
                <w:lang w:val="en-IE" w:eastAsia="en-IE"/>
              </w:rPr>
              <w:t>Cost types</w:t>
            </w:r>
          </w:p>
        </w:tc>
        <w:tc>
          <w:tcPr>
            <w:tcW w:w="1134" w:type="dxa"/>
            <w:tcBorders>
              <w:bottom w:val="single" w:sz="12" w:space="0" w:color="00B0F0"/>
            </w:tcBorders>
            <w:vAlign w:val="center"/>
          </w:tcPr>
          <w:p w14:paraId="39D2A20C" w14:textId="5C48DF9E" w:rsidR="00776DD4" w:rsidRPr="00792011" w:rsidRDefault="00776DD4" w:rsidP="00F16441">
            <w:pPr>
              <w:spacing w:after="0"/>
              <w:jc w:val="center"/>
              <w:rPr>
                <w:b/>
                <w:noProof/>
                <w:sz w:val="20"/>
                <w:szCs w:val="20"/>
                <w:lang w:val="en-IE" w:eastAsia="en-IE"/>
              </w:rPr>
            </w:pPr>
            <w:r w:rsidRPr="004A2124">
              <w:rPr>
                <w:b/>
                <w:noProof/>
                <w:sz w:val="20"/>
                <w:szCs w:val="20"/>
                <w:lang w:val="en-IE" w:eastAsia="en-IE"/>
              </w:rPr>
              <w:t>Data centre operators</w:t>
            </w:r>
            <w:r w:rsidR="00BA3986">
              <w:rPr>
                <w:b/>
                <w:bCs/>
                <w:noProof/>
                <w:sz w:val="20"/>
                <w:szCs w:val="20"/>
                <w:lang w:val="en-IE" w:eastAsia="en-IE"/>
              </w:rPr>
              <w:t xml:space="preserve"> </w:t>
            </w:r>
            <w:r w:rsidR="00BA3986" w:rsidRPr="00FA63C0">
              <w:rPr>
                <w:noProof/>
                <w:sz w:val="20"/>
                <w:szCs w:val="20"/>
                <w:lang w:val="en-IE" w:eastAsia="en-IE"/>
              </w:rPr>
              <w:t>(</w:t>
            </w:r>
            <w:r w:rsidR="00BA3986" w:rsidRPr="00EC6BC1">
              <w:rPr>
                <w:noProof/>
                <w:sz w:val="20"/>
                <w:szCs w:val="20"/>
              </w:rPr>
              <w:t>€)</w:t>
            </w:r>
          </w:p>
        </w:tc>
        <w:tc>
          <w:tcPr>
            <w:tcW w:w="1134" w:type="dxa"/>
            <w:tcBorders>
              <w:bottom w:val="single" w:sz="12" w:space="0" w:color="00B0F0"/>
            </w:tcBorders>
            <w:vAlign w:val="center"/>
          </w:tcPr>
          <w:p w14:paraId="3A7A4081" w14:textId="47CE9D0F" w:rsidR="00776DD4" w:rsidRPr="00792011" w:rsidRDefault="00776DD4" w:rsidP="00F16441">
            <w:pPr>
              <w:spacing w:after="0"/>
              <w:jc w:val="center"/>
              <w:rPr>
                <w:b/>
                <w:noProof/>
                <w:sz w:val="20"/>
                <w:szCs w:val="20"/>
                <w:lang w:val="en-IE" w:eastAsia="en-IE"/>
              </w:rPr>
            </w:pPr>
            <w:r w:rsidRPr="004A2124">
              <w:rPr>
                <w:b/>
                <w:noProof/>
                <w:sz w:val="20"/>
                <w:szCs w:val="20"/>
                <w:lang w:val="en-IE" w:eastAsia="en-IE"/>
              </w:rPr>
              <w:t>Public authorities</w:t>
            </w:r>
            <w:r w:rsidR="00BA3986">
              <w:rPr>
                <w:b/>
                <w:bCs/>
                <w:noProof/>
                <w:sz w:val="20"/>
                <w:szCs w:val="20"/>
                <w:lang w:val="en-IE" w:eastAsia="en-IE"/>
              </w:rPr>
              <w:t xml:space="preserve"> </w:t>
            </w:r>
            <w:r w:rsidR="00BA3986" w:rsidRPr="00FA63C0">
              <w:rPr>
                <w:noProof/>
                <w:sz w:val="20"/>
                <w:szCs w:val="20"/>
                <w:lang w:val="en-IE" w:eastAsia="en-IE"/>
              </w:rPr>
              <w:t>(</w:t>
            </w:r>
            <w:r w:rsidR="00BA3986" w:rsidRPr="00EC6BC1">
              <w:rPr>
                <w:noProof/>
                <w:sz w:val="20"/>
                <w:szCs w:val="20"/>
              </w:rPr>
              <w:t>€)</w:t>
            </w:r>
          </w:p>
        </w:tc>
        <w:tc>
          <w:tcPr>
            <w:tcW w:w="1251" w:type="dxa"/>
            <w:tcBorders>
              <w:bottom w:val="single" w:sz="12" w:space="0" w:color="00B0F0"/>
            </w:tcBorders>
            <w:vAlign w:val="center"/>
          </w:tcPr>
          <w:p w14:paraId="65CEB0C4" w14:textId="30315CFD" w:rsidR="00DD45A8" w:rsidRPr="00792011" w:rsidRDefault="00DD45A8" w:rsidP="00F16441">
            <w:pPr>
              <w:spacing w:after="0"/>
              <w:jc w:val="center"/>
              <w:rPr>
                <w:b/>
                <w:noProof/>
                <w:sz w:val="20"/>
                <w:szCs w:val="20"/>
                <w:lang w:val="en-IE" w:eastAsia="en-IE"/>
              </w:rPr>
            </w:pPr>
            <w:r w:rsidRPr="004A2124">
              <w:rPr>
                <w:b/>
                <w:noProof/>
                <w:sz w:val="20"/>
                <w:szCs w:val="20"/>
                <w:lang w:val="en-IE" w:eastAsia="en-IE"/>
              </w:rPr>
              <w:t>European Commission</w:t>
            </w:r>
            <w:r w:rsidR="00BA3986">
              <w:rPr>
                <w:b/>
                <w:bCs/>
                <w:noProof/>
                <w:sz w:val="20"/>
                <w:szCs w:val="20"/>
                <w:lang w:val="en-IE" w:eastAsia="en-IE"/>
              </w:rPr>
              <w:t xml:space="preserve"> </w:t>
            </w:r>
            <w:r w:rsidR="00BA3986" w:rsidRPr="00FA63C0">
              <w:rPr>
                <w:noProof/>
                <w:sz w:val="20"/>
                <w:szCs w:val="20"/>
                <w:lang w:val="en-IE" w:eastAsia="en-IE"/>
              </w:rPr>
              <w:t>(</w:t>
            </w:r>
            <w:r w:rsidR="00BA3986" w:rsidRPr="00EC6BC1">
              <w:rPr>
                <w:noProof/>
                <w:sz w:val="20"/>
                <w:szCs w:val="20"/>
              </w:rPr>
              <w:t>€)</w:t>
            </w:r>
          </w:p>
        </w:tc>
        <w:tc>
          <w:tcPr>
            <w:tcW w:w="1158" w:type="dxa"/>
            <w:tcBorders>
              <w:bottom w:val="single" w:sz="12" w:space="0" w:color="00B0F0"/>
            </w:tcBorders>
            <w:noWrap/>
            <w:vAlign w:val="center"/>
            <w:hideMark/>
          </w:tcPr>
          <w:p w14:paraId="18304A8A" w14:textId="49FEFC11" w:rsidR="007C6D8D" w:rsidRPr="004A2124" w:rsidRDefault="00DF2802">
            <w:pPr>
              <w:spacing w:after="0"/>
              <w:jc w:val="center"/>
              <w:rPr>
                <w:b/>
                <w:noProof/>
                <w:sz w:val="20"/>
                <w:szCs w:val="20"/>
                <w:lang w:val="en-IE" w:eastAsia="en-IE"/>
              </w:rPr>
            </w:pPr>
            <w:r>
              <w:rPr>
                <w:b/>
                <w:bCs/>
                <w:noProof/>
                <w:sz w:val="20"/>
                <w:szCs w:val="20"/>
                <w:lang w:val="en-IE" w:eastAsia="en-IE"/>
              </w:rPr>
              <w:t xml:space="preserve">Total </w:t>
            </w:r>
            <w:r w:rsidR="00776DD4" w:rsidRPr="004A2124">
              <w:rPr>
                <w:b/>
                <w:bCs/>
                <w:noProof/>
                <w:sz w:val="20"/>
                <w:szCs w:val="20"/>
                <w:lang w:val="en-IE" w:eastAsia="en-IE"/>
              </w:rPr>
              <w:t>Valu</w:t>
            </w:r>
            <w:r w:rsidR="00542F5C">
              <w:rPr>
                <w:b/>
                <w:bCs/>
                <w:noProof/>
                <w:sz w:val="20"/>
                <w:szCs w:val="20"/>
                <w:lang w:val="en-IE" w:eastAsia="en-IE"/>
              </w:rPr>
              <w:t xml:space="preserve">e </w:t>
            </w:r>
            <w:r w:rsidR="00BA3986" w:rsidRPr="00FA63C0">
              <w:rPr>
                <w:noProof/>
                <w:sz w:val="20"/>
                <w:szCs w:val="20"/>
                <w:lang w:val="en-IE" w:eastAsia="en-IE"/>
              </w:rPr>
              <w:t>(</w:t>
            </w:r>
            <w:r w:rsidR="00542F5C">
              <w:rPr>
                <w:noProof/>
                <w:sz w:val="20"/>
                <w:szCs w:val="20"/>
                <w:lang w:val="en-IE" w:eastAsia="en-IE"/>
              </w:rPr>
              <w:t xml:space="preserve">central, </w:t>
            </w:r>
            <w:r w:rsidR="00BA3986" w:rsidRPr="00EC6BC1">
              <w:rPr>
                <w:noProof/>
                <w:sz w:val="20"/>
                <w:szCs w:val="20"/>
              </w:rPr>
              <w:t>€)</w:t>
            </w:r>
          </w:p>
        </w:tc>
        <w:tc>
          <w:tcPr>
            <w:tcW w:w="1134" w:type="dxa"/>
            <w:tcBorders>
              <w:bottom w:val="single" w:sz="12" w:space="0" w:color="00B0F0"/>
            </w:tcBorders>
            <w:noWrap/>
            <w:vAlign w:val="center"/>
            <w:hideMark/>
          </w:tcPr>
          <w:p w14:paraId="0FA8609C" w14:textId="56190485" w:rsidR="007C6D8D" w:rsidRPr="004A2124" w:rsidRDefault="00542F5C">
            <w:pPr>
              <w:spacing w:after="0"/>
              <w:jc w:val="center"/>
              <w:rPr>
                <w:b/>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34" w:type="dxa"/>
            <w:tcBorders>
              <w:bottom w:val="single" w:sz="12" w:space="0" w:color="00B0F0"/>
            </w:tcBorders>
            <w:noWrap/>
            <w:vAlign w:val="center"/>
            <w:hideMark/>
          </w:tcPr>
          <w:p w14:paraId="498EF74B" w14:textId="18CF552F" w:rsidR="007C6D8D" w:rsidRPr="004A2124" w:rsidRDefault="00542F5C">
            <w:pPr>
              <w:spacing w:after="0"/>
              <w:jc w:val="center"/>
              <w:rPr>
                <w:b/>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3E5188" w:rsidRPr="00C1684C" w14:paraId="524D5D85" w14:textId="77777777" w:rsidTr="00443520">
        <w:trPr>
          <w:trHeight w:val="283"/>
        </w:trPr>
        <w:tc>
          <w:tcPr>
            <w:tcW w:w="2127" w:type="dxa"/>
            <w:tcBorders>
              <w:top w:val="single" w:sz="12" w:space="0" w:color="00B0F0"/>
            </w:tcBorders>
            <w:noWrap/>
            <w:vAlign w:val="center"/>
            <w:hideMark/>
          </w:tcPr>
          <w:p w14:paraId="1F39AC1F" w14:textId="6503B102"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one-off admin</w:t>
            </w:r>
            <w:r>
              <w:rPr>
                <w:i/>
                <w:noProof/>
                <w:sz w:val="20"/>
                <w:szCs w:val="20"/>
                <w:lang w:val="en-IE" w:eastAsia="en-IE"/>
              </w:rPr>
              <w:t>istrative</w:t>
            </w:r>
          </w:p>
        </w:tc>
        <w:tc>
          <w:tcPr>
            <w:tcW w:w="1134" w:type="dxa"/>
            <w:tcBorders>
              <w:top w:val="single" w:sz="12" w:space="0" w:color="00B0F0"/>
            </w:tcBorders>
            <w:vAlign w:val="center"/>
          </w:tcPr>
          <w:p w14:paraId="03D67EB8" w14:textId="7E1A067B"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tcBorders>
              <w:top w:val="single" w:sz="12" w:space="0" w:color="00B0F0"/>
            </w:tcBorders>
            <w:vAlign w:val="center"/>
          </w:tcPr>
          <w:p w14:paraId="2B7EC221" w14:textId="47778C40"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tcBorders>
              <w:top w:val="single" w:sz="12" w:space="0" w:color="00B0F0"/>
            </w:tcBorders>
            <w:vAlign w:val="center"/>
          </w:tcPr>
          <w:p w14:paraId="684E93E9" w14:textId="34275E45" w:rsidR="0017349B" w:rsidRPr="00792011" w:rsidRDefault="0017349B" w:rsidP="0017349B">
            <w:pPr>
              <w:spacing w:after="0"/>
              <w:jc w:val="right"/>
              <w:rPr>
                <w:noProof/>
                <w:sz w:val="20"/>
                <w:szCs w:val="20"/>
                <w:lang w:val="en-IE" w:eastAsia="en-IE"/>
              </w:rPr>
            </w:pPr>
            <w:r w:rsidRPr="006526CE">
              <w:rPr>
                <w:noProof/>
                <w:sz w:val="20"/>
                <w:szCs w:val="20"/>
                <w:lang w:val="en-IE" w:eastAsia="en-IE"/>
              </w:rPr>
              <w:t>7 661</w:t>
            </w:r>
          </w:p>
        </w:tc>
        <w:tc>
          <w:tcPr>
            <w:tcW w:w="1158" w:type="dxa"/>
            <w:tcBorders>
              <w:top w:val="single" w:sz="12" w:space="0" w:color="00B0F0"/>
            </w:tcBorders>
            <w:noWrap/>
            <w:vAlign w:val="center"/>
            <w:hideMark/>
          </w:tcPr>
          <w:p w14:paraId="028CD8DD" w14:textId="59AA77C3"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7 661 </w:t>
            </w:r>
          </w:p>
        </w:tc>
        <w:tc>
          <w:tcPr>
            <w:tcW w:w="1134" w:type="dxa"/>
            <w:tcBorders>
              <w:top w:val="single" w:sz="12" w:space="0" w:color="00B0F0"/>
            </w:tcBorders>
            <w:noWrap/>
            <w:vAlign w:val="center"/>
            <w:hideMark/>
          </w:tcPr>
          <w:p w14:paraId="70684137" w14:textId="7BC14C1A"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7 661 </w:t>
            </w:r>
          </w:p>
        </w:tc>
        <w:tc>
          <w:tcPr>
            <w:tcW w:w="1134" w:type="dxa"/>
            <w:tcBorders>
              <w:top w:val="single" w:sz="12" w:space="0" w:color="00B0F0"/>
            </w:tcBorders>
            <w:noWrap/>
            <w:vAlign w:val="center"/>
            <w:hideMark/>
          </w:tcPr>
          <w:p w14:paraId="6A9ADE41" w14:textId="41918099"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7 661 </w:t>
            </w:r>
          </w:p>
        </w:tc>
      </w:tr>
      <w:tr w:rsidR="003E5188" w:rsidRPr="00C1684C" w14:paraId="7A182F1C" w14:textId="77777777" w:rsidTr="00443520">
        <w:trPr>
          <w:trHeight w:val="71"/>
        </w:trPr>
        <w:tc>
          <w:tcPr>
            <w:tcW w:w="2127" w:type="dxa"/>
            <w:noWrap/>
            <w:vAlign w:val="center"/>
            <w:hideMark/>
          </w:tcPr>
          <w:p w14:paraId="7D09A575" w14:textId="05FF50DE"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recurrent admin</w:t>
            </w:r>
            <w:r>
              <w:rPr>
                <w:i/>
                <w:noProof/>
                <w:sz w:val="20"/>
                <w:szCs w:val="20"/>
                <w:lang w:val="en-IE" w:eastAsia="en-IE"/>
              </w:rPr>
              <w:t>istrative</w:t>
            </w:r>
          </w:p>
        </w:tc>
        <w:tc>
          <w:tcPr>
            <w:tcW w:w="1134" w:type="dxa"/>
            <w:vAlign w:val="center"/>
          </w:tcPr>
          <w:p w14:paraId="434ED7D2" w14:textId="27C89E8A"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vAlign w:val="center"/>
          </w:tcPr>
          <w:p w14:paraId="60943F3A" w14:textId="5676CE34"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2FFA410E" w14:textId="6DCD8B82"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130 696 </w:t>
            </w:r>
          </w:p>
        </w:tc>
        <w:tc>
          <w:tcPr>
            <w:tcW w:w="1158" w:type="dxa"/>
            <w:noWrap/>
            <w:vAlign w:val="center"/>
            <w:hideMark/>
          </w:tcPr>
          <w:p w14:paraId="761D7A27" w14:textId="71897A41" w:rsidR="0017349B" w:rsidRPr="004A2124" w:rsidRDefault="0017349B" w:rsidP="0017349B">
            <w:pPr>
              <w:spacing w:after="0"/>
              <w:jc w:val="right"/>
              <w:rPr>
                <w:noProof/>
                <w:sz w:val="20"/>
                <w:szCs w:val="20"/>
                <w:lang w:val="en-IE" w:eastAsia="en-IE"/>
              </w:rPr>
            </w:pPr>
            <w:r w:rsidRPr="00AA0F31" w:rsidDel="00D135E2">
              <w:rPr>
                <w:noProof/>
                <w:sz w:val="20"/>
                <w:szCs w:val="20"/>
                <w:lang w:val="en-IE" w:eastAsia="en-IE"/>
              </w:rPr>
              <w:t xml:space="preserve">130 696 </w:t>
            </w:r>
          </w:p>
        </w:tc>
        <w:tc>
          <w:tcPr>
            <w:tcW w:w="1134" w:type="dxa"/>
            <w:noWrap/>
            <w:vAlign w:val="center"/>
            <w:hideMark/>
          </w:tcPr>
          <w:p w14:paraId="63E425B9" w14:textId="4224125D"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130 696 </w:t>
            </w:r>
          </w:p>
        </w:tc>
        <w:tc>
          <w:tcPr>
            <w:tcW w:w="1134" w:type="dxa"/>
            <w:noWrap/>
            <w:vAlign w:val="center"/>
            <w:hideMark/>
          </w:tcPr>
          <w:p w14:paraId="42881847" w14:textId="7CE15246"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130 696 </w:t>
            </w:r>
          </w:p>
        </w:tc>
      </w:tr>
      <w:tr w:rsidR="003E5188" w:rsidRPr="00C1684C" w14:paraId="2BD02753" w14:textId="77777777" w:rsidTr="00443520">
        <w:trPr>
          <w:trHeight w:val="283"/>
        </w:trPr>
        <w:tc>
          <w:tcPr>
            <w:tcW w:w="2127" w:type="dxa"/>
            <w:noWrap/>
            <w:vAlign w:val="center"/>
            <w:hideMark/>
          </w:tcPr>
          <w:p w14:paraId="0CD444C7" w14:textId="77777777"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one-off adjustment</w:t>
            </w:r>
          </w:p>
        </w:tc>
        <w:tc>
          <w:tcPr>
            <w:tcW w:w="1134" w:type="dxa"/>
            <w:vAlign w:val="center"/>
          </w:tcPr>
          <w:p w14:paraId="2D7AC6CB" w14:textId="73E6D76D"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r w:rsidR="0093345A">
              <w:rPr>
                <w:noProof/>
                <w:sz w:val="20"/>
                <w:szCs w:val="20"/>
                <w:lang w:val="en-IE" w:eastAsia="en-IE"/>
              </w:rPr>
              <w:t>-</w:t>
            </w:r>
            <w:r w:rsidRPr="006526CE">
              <w:rPr>
                <w:noProof/>
                <w:sz w:val="20"/>
                <w:szCs w:val="20"/>
                <w:lang w:val="en-IE" w:eastAsia="en-IE"/>
              </w:rPr>
              <w:t xml:space="preserve"> </w:t>
            </w:r>
          </w:p>
        </w:tc>
        <w:tc>
          <w:tcPr>
            <w:tcW w:w="1134" w:type="dxa"/>
            <w:vAlign w:val="center"/>
          </w:tcPr>
          <w:p w14:paraId="78BF3AC1" w14:textId="1F7F5EF9"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59621AEF" w14:textId="746B3A44"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58" w:type="dxa"/>
            <w:noWrap/>
            <w:vAlign w:val="center"/>
            <w:hideMark/>
          </w:tcPr>
          <w:p w14:paraId="465F46A8" w14:textId="016B3A28" w:rsidR="0017349B" w:rsidRPr="004A2124" w:rsidRDefault="007E501F" w:rsidP="0017349B">
            <w:pPr>
              <w:spacing w:after="0"/>
              <w:jc w:val="right"/>
              <w:rPr>
                <w:noProof/>
                <w:sz w:val="20"/>
                <w:szCs w:val="20"/>
                <w:lang w:val="en-IE" w:eastAsia="en-IE"/>
              </w:rPr>
            </w:pPr>
            <w:r>
              <w:rPr>
                <w:noProof/>
                <w:sz w:val="20"/>
                <w:szCs w:val="20"/>
                <w:lang w:val="en-IE" w:eastAsia="en-IE"/>
              </w:rPr>
              <w:t>-</w:t>
            </w:r>
          </w:p>
        </w:tc>
        <w:tc>
          <w:tcPr>
            <w:tcW w:w="1134" w:type="dxa"/>
            <w:noWrap/>
            <w:vAlign w:val="center"/>
            <w:hideMark/>
          </w:tcPr>
          <w:p w14:paraId="502675FE" w14:textId="4FE5F5EA" w:rsidR="0017349B" w:rsidRPr="004A2124" w:rsidRDefault="00222C7B" w:rsidP="0017349B">
            <w:pPr>
              <w:spacing w:after="0"/>
              <w:jc w:val="right"/>
              <w:rPr>
                <w:noProof/>
                <w:sz w:val="20"/>
                <w:szCs w:val="20"/>
                <w:lang w:val="en-IE" w:eastAsia="en-IE"/>
              </w:rPr>
            </w:pPr>
            <w:r>
              <w:rPr>
                <w:noProof/>
                <w:sz w:val="20"/>
                <w:szCs w:val="20"/>
                <w:lang w:val="en-IE" w:eastAsia="en-IE"/>
              </w:rPr>
              <w:t>-</w:t>
            </w:r>
          </w:p>
        </w:tc>
        <w:tc>
          <w:tcPr>
            <w:tcW w:w="1134" w:type="dxa"/>
            <w:noWrap/>
            <w:vAlign w:val="center"/>
            <w:hideMark/>
          </w:tcPr>
          <w:p w14:paraId="6E897EBE" w14:textId="4417E361" w:rsidR="0017349B" w:rsidRPr="004A2124" w:rsidRDefault="00222C7B" w:rsidP="0017349B">
            <w:pPr>
              <w:spacing w:after="0"/>
              <w:jc w:val="right"/>
              <w:rPr>
                <w:noProof/>
                <w:sz w:val="20"/>
                <w:szCs w:val="20"/>
                <w:lang w:val="en-IE" w:eastAsia="en-IE"/>
              </w:rPr>
            </w:pPr>
            <w:r>
              <w:rPr>
                <w:noProof/>
                <w:sz w:val="20"/>
                <w:szCs w:val="20"/>
                <w:lang w:val="en-IE" w:eastAsia="en-IE"/>
              </w:rPr>
              <w:t>-</w:t>
            </w:r>
          </w:p>
        </w:tc>
      </w:tr>
      <w:tr w:rsidR="00222C7B" w:rsidRPr="00C1684C" w14:paraId="34208A54" w14:textId="77777777" w:rsidTr="00443520">
        <w:trPr>
          <w:trHeight w:val="283"/>
        </w:trPr>
        <w:tc>
          <w:tcPr>
            <w:tcW w:w="2127" w:type="dxa"/>
            <w:noWrap/>
            <w:vAlign w:val="center"/>
            <w:hideMark/>
          </w:tcPr>
          <w:p w14:paraId="6B816EFF" w14:textId="77777777" w:rsidR="00222C7B" w:rsidRPr="004A2124" w:rsidRDefault="00222C7B" w:rsidP="00222C7B">
            <w:pPr>
              <w:spacing w:after="0"/>
              <w:jc w:val="left"/>
              <w:rPr>
                <w:i/>
                <w:noProof/>
                <w:sz w:val="20"/>
                <w:szCs w:val="20"/>
                <w:lang w:val="en-IE" w:eastAsia="en-IE"/>
              </w:rPr>
            </w:pPr>
            <w:r w:rsidRPr="004A2124">
              <w:rPr>
                <w:i/>
                <w:noProof/>
                <w:sz w:val="20"/>
                <w:szCs w:val="20"/>
                <w:lang w:val="en-IE" w:eastAsia="en-IE"/>
              </w:rPr>
              <w:t>recurrent adjustment</w:t>
            </w:r>
          </w:p>
        </w:tc>
        <w:tc>
          <w:tcPr>
            <w:tcW w:w="1134" w:type="dxa"/>
            <w:vAlign w:val="center"/>
          </w:tcPr>
          <w:p w14:paraId="75A51FD0" w14:textId="5B03E02D" w:rsidR="00222C7B" w:rsidRPr="00792011" w:rsidRDefault="00222C7B" w:rsidP="00222C7B">
            <w:pPr>
              <w:spacing w:after="0"/>
              <w:jc w:val="right"/>
              <w:rPr>
                <w:noProof/>
                <w:sz w:val="20"/>
                <w:szCs w:val="20"/>
                <w:lang w:val="en-IE" w:eastAsia="en-IE"/>
              </w:rPr>
            </w:pPr>
            <w:r>
              <w:rPr>
                <w:noProof/>
                <w:sz w:val="20"/>
                <w:szCs w:val="20"/>
                <w:lang w:val="en-IE" w:eastAsia="en-IE"/>
              </w:rPr>
              <w:t>2 200 940</w:t>
            </w:r>
            <w:r w:rsidRPr="006526CE">
              <w:rPr>
                <w:noProof/>
                <w:sz w:val="20"/>
                <w:szCs w:val="20"/>
                <w:lang w:val="en-IE" w:eastAsia="en-IE"/>
              </w:rPr>
              <w:t xml:space="preserve"> </w:t>
            </w:r>
          </w:p>
        </w:tc>
        <w:tc>
          <w:tcPr>
            <w:tcW w:w="1134" w:type="dxa"/>
            <w:vAlign w:val="center"/>
          </w:tcPr>
          <w:p w14:paraId="1277EB73" w14:textId="7C4A1FD2" w:rsidR="00222C7B" w:rsidRPr="00792011" w:rsidRDefault="00222C7B" w:rsidP="00222C7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2B2FC9ED" w14:textId="42B3ABE8" w:rsidR="00222C7B" w:rsidRPr="00792011" w:rsidRDefault="00222C7B" w:rsidP="00222C7B">
            <w:pPr>
              <w:spacing w:after="0"/>
              <w:jc w:val="right"/>
              <w:rPr>
                <w:noProof/>
                <w:sz w:val="20"/>
                <w:szCs w:val="20"/>
                <w:lang w:val="en-IE" w:eastAsia="en-IE"/>
              </w:rPr>
            </w:pPr>
            <w:r w:rsidRPr="006526CE">
              <w:rPr>
                <w:noProof/>
                <w:sz w:val="20"/>
                <w:szCs w:val="20"/>
                <w:lang w:val="en-IE" w:eastAsia="en-IE"/>
              </w:rPr>
              <w:t xml:space="preserve">- </w:t>
            </w:r>
          </w:p>
        </w:tc>
        <w:tc>
          <w:tcPr>
            <w:tcW w:w="1158" w:type="dxa"/>
            <w:noWrap/>
            <w:vAlign w:val="center"/>
            <w:hideMark/>
          </w:tcPr>
          <w:p w14:paraId="5F8C104A" w14:textId="2467028A" w:rsidR="00222C7B" w:rsidRPr="004A2124" w:rsidRDefault="00222C7B" w:rsidP="00222C7B">
            <w:pPr>
              <w:spacing w:after="0"/>
              <w:jc w:val="right"/>
              <w:rPr>
                <w:noProof/>
                <w:sz w:val="20"/>
                <w:szCs w:val="20"/>
                <w:lang w:val="en-IE" w:eastAsia="en-IE"/>
              </w:rPr>
            </w:pPr>
            <w:r>
              <w:rPr>
                <w:noProof/>
                <w:sz w:val="20"/>
                <w:szCs w:val="20"/>
                <w:lang w:val="en-IE" w:eastAsia="en-IE"/>
              </w:rPr>
              <w:t>2 200 940</w:t>
            </w:r>
          </w:p>
        </w:tc>
        <w:tc>
          <w:tcPr>
            <w:tcW w:w="1134" w:type="dxa"/>
            <w:noWrap/>
            <w:vAlign w:val="center"/>
            <w:hideMark/>
          </w:tcPr>
          <w:p w14:paraId="1B59D734" w14:textId="637AE41E" w:rsidR="00222C7B" w:rsidRPr="004A2124" w:rsidRDefault="00222C7B" w:rsidP="00222C7B">
            <w:pPr>
              <w:spacing w:after="0"/>
              <w:jc w:val="right"/>
              <w:rPr>
                <w:noProof/>
                <w:sz w:val="20"/>
                <w:szCs w:val="20"/>
                <w:lang w:val="en-IE" w:eastAsia="en-IE"/>
              </w:rPr>
            </w:pPr>
            <w:r>
              <w:rPr>
                <w:noProof/>
                <w:sz w:val="20"/>
                <w:szCs w:val="20"/>
                <w:lang w:val="en-IE" w:eastAsia="en-IE"/>
              </w:rPr>
              <w:t>2 200 940</w:t>
            </w:r>
          </w:p>
        </w:tc>
        <w:tc>
          <w:tcPr>
            <w:tcW w:w="1134" w:type="dxa"/>
            <w:noWrap/>
            <w:vAlign w:val="center"/>
            <w:hideMark/>
          </w:tcPr>
          <w:p w14:paraId="60A1A414" w14:textId="7C8E319B" w:rsidR="00222C7B" w:rsidRPr="004A2124" w:rsidRDefault="00222C7B" w:rsidP="00222C7B">
            <w:pPr>
              <w:spacing w:after="0"/>
              <w:jc w:val="right"/>
              <w:rPr>
                <w:noProof/>
                <w:sz w:val="20"/>
                <w:szCs w:val="20"/>
                <w:lang w:val="en-IE" w:eastAsia="en-IE"/>
              </w:rPr>
            </w:pPr>
            <w:r>
              <w:rPr>
                <w:noProof/>
                <w:sz w:val="20"/>
                <w:szCs w:val="20"/>
                <w:lang w:val="en-IE" w:eastAsia="en-IE"/>
              </w:rPr>
              <w:t>2 200 940</w:t>
            </w:r>
          </w:p>
        </w:tc>
      </w:tr>
      <w:tr w:rsidR="009C7F93" w:rsidRPr="00C1684C" w14:paraId="3EA4B883" w14:textId="77777777" w:rsidTr="009C7F93">
        <w:trPr>
          <w:trHeight w:val="283"/>
        </w:trPr>
        <w:tc>
          <w:tcPr>
            <w:tcW w:w="2127" w:type="dxa"/>
            <w:noWrap/>
            <w:vAlign w:val="center"/>
            <w:hideMark/>
          </w:tcPr>
          <w:p w14:paraId="5F67840B" w14:textId="6897206F"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 xml:space="preserve">one-off </w:t>
            </w:r>
            <w:r w:rsidRPr="004A2124">
              <w:rPr>
                <w:i/>
                <w:iCs/>
                <w:noProof/>
                <w:sz w:val="20"/>
                <w:szCs w:val="20"/>
                <w:lang w:val="en-IE" w:eastAsia="en-IE"/>
              </w:rPr>
              <w:t>regul</w:t>
            </w:r>
            <w:r>
              <w:rPr>
                <w:i/>
                <w:iCs/>
                <w:noProof/>
                <w:sz w:val="20"/>
                <w:szCs w:val="20"/>
                <w:lang w:val="en-IE" w:eastAsia="en-IE"/>
              </w:rPr>
              <w:t>atory</w:t>
            </w:r>
            <w:r w:rsidRPr="004A2124">
              <w:rPr>
                <w:i/>
                <w:noProof/>
                <w:sz w:val="20"/>
                <w:szCs w:val="20"/>
                <w:lang w:val="en-IE" w:eastAsia="en-IE"/>
              </w:rPr>
              <w:t xml:space="preserve"> fees</w:t>
            </w:r>
          </w:p>
        </w:tc>
        <w:tc>
          <w:tcPr>
            <w:tcW w:w="1134" w:type="dxa"/>
            <w:vAlign w:val="center"/>
          </w:tcPr>
          <w:p w14:paraId="5DB39B75" w14:textId="5BAF7C9C"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vAlign w:val="center"/>
          </w:tcPr>
          <w:p w14:paraId="2B7BB28F" w14:textId="245323FC"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685B9A10" w14:textId="24982E8D"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58" w:type="dxa"/>
            <w:noWrap/>
            <w:vAlign w:val="center"/>
            <w:hideMark/>
          </w:tcPr>
          <w:p w14:paraId="2141776F" w14:textId="08C43AD0"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w:t>
            </w:r>
          </w:p>
        </w:tc>
        <w:tc>
          <w:tcPr>
            <w:tcW w:w="1134" w:type="dxa"/>
            <w:noWrap/>
            <w:vAlign w:val="center"/>
            <w:hideMark/>
          </w:tcPr>
          <w:p w14:paraId="678FA434" w14:textId="6B10F408"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w:t>
            </w:r>
          </w:p>
        </w:tc>
        <w:tc>
          <w:tcPr>
            <w:tcW w:w="1134" w:type="dxa"/>
            <w:noWrap/>
            <w:vAlign w:val="center"/>
            <w:hideMark/>
          </w:tcPr>
          <w:p w14:paraId="0C9B58A7" w14:textId="046ED923"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r>
      <w:tr w:rsidR="009C7F93" w:rsidRPr="00C1684C" w14:paraId="52C2444E" w14:textId="77777777" w:rsidTr="009C7F93">
        <w:trPr>
          <w:trHeight w:val="283"/>
        </w:trPr>
        <w:tc>
          <w:tcPr>
            <w:tcW w:w="2127" w:type="dxa"/>
            <w:noWrap/>
            <w:vAlign w:val="center"/>
            <w:hideMark/>
          </w:tcPr>
          <w:p w14:paraId="50475C1F" w14:textId="2B8CBB81"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 xml:space="preserve">recurrent </w:t>
            </w:r>
            <w:r>
              <w:rPr>
                <w:i/>
                <w:noProof/>
                <w:sz w:val="20"/>
                <w:szCs w:val="20"/>
                <w:lang w:val="en-IE" w:eastAsia="en-IE"/>
              </w:rPr>
              <w:t xml:space="preserve">regulatory </w:t>
            </w:r>
            <w:r w:rsidRPr="004A2124">
              <w:rPr>
                <w:i/>
                <w:noProof/>
                <w:sz w:val="20"/>
                <w:szCs w:val="20"/>
                <w:lang w:val="en-IE" w:eastAsia="en-IE"/>
              </w:rPr>
              <w:t>fees</w:t>
            </w:r>
          </w:p>
        </w:tc>
        <w:tc>
          <w:tcPr>
            <w:tcW w:w="1134" w:type="dxa"/>
            <w:vAlign w:val="center"/>
          </w:tcPr>
          <w:p w14:paraId="201A04FF" w14:textId="120E08A4"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vAlign w:val="center"/>
          </w:tcPr>
          <w:p w14:paraId="52E9F5E4" w14:textId="3F6E4994"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50A4513F" w14:textId="08674E79" w:rsidR="0017349B" w:rsidRPr="00792011" w:rsidRDefault="00A21990" w:rsidP="0017349B">
            <w:pPr>
              <w:spacing w:after="0"/>
              <w:jc w:val="right"/>
              <w:rPr>
                <w:noProof/>
                <w:sz w:val="20"/>
                <w:szCs w:val="20"/>
                <w:lang w:val="en-IE" w:eastAsia="en-IE"/>
              </w:rPr>
            </w:pPr>
            <w:r w:rsidRPr="006526CE">
              <w:rPr>
                <w:noProof/>
                <w:sz w:val="20"/>
                <w:szCs w:val="20"/>
                <w:lang w:val="en-IE" w:eastAsia="en-IE"/>
              </w:rPr>
              <w:t>-</w:t>
            </w:r>
          </w:p>
        </w:tc>
        <w:tc>
          <w:tcPr>
            <w:tcW w:w="1158" w:type="dxa"/>
            <w:noWrap/>
            <w:vAlign w:val="center"/>
            <w:hideMark/>
          </w:tcPr>
          <w:p w14:paraId="5CA5E5A1" w14:textId="510208A6"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63673F8E" w14:textId="56129867"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0AFE2446" w14:textId="226D87EE"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r>
      <w:tr w:rsidR="009C7F93" w:rsidRPr="00C1684C" w14:paraId="23C080D5" w14:textId="77777777" w:rsidTr="009C7F93">
        <w:trPr>
          <w:trHeight w:val="283"/>
        </w:trPr>
        <w:tc>
          <w:tcPr>
            <w:tcW w:w="2127" w:type="dxa"/>
            <w:noWrap/>
            <w:vAlign w:val="center"/>
            <w:hideMark/>
          </w:tcPr>
          <w:p w14:paraId="01C34AFE" w14:textId="5F046723"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 xml:space="preserve">one-off </w:t>
            </w:r>
            <w:r>
              <w:rPr>
                <w:i/>
                <w:noProof/>
                <w:sz w:val="20"/>
                <w:szCs w:val="20"/>
                <w:lang w:val="en-IE" w:eastAsia="en-IE"/>
              </w:rPr>
              <w:t>enforcement</w:t>
            </w:r>
            <w:r>
              <w:rPr>
                <w:i/>
                <w:iCs/>
                <w:noProof/>
                <w:sz w:val="20"/>
                <w:szCs w:val="20"/>
                <w:lang w:val="en-IE" w:eastAsia="en-IE"/>
              </w:rPr>
              <w:t>.</w:t>
            </w:r>
          </w:p>
        </w:tc>
        <w:tc>
          <w:tcPr>
            <w:tcW w:w="1134" w:type="dxa"/>
            <w:vAlign w:val="center"/>
          </w:tcPr>
          <w:p w14:paraId="36FC637A" w14:textId="04245DAB"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vAlign w:val="center"/>
          </w:tcPr>
          <w:p w14:paraId="65F97F9B" w14:textId="022A102A"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5193CFED" w14:textId="1B94257B" w:rsidR="0017349B" w:rsidRPr="00792011" w:rsidRDefault="00A21990" w:rsidP="0017349B">
            <w:pPr>
              <w:spacing w:after="0"/>
              <w:jc w:val="right"/>
              <w:rPr>
                <w:noProof/>
                <w:sz w:val="20"/>
                <w:szCs w:val="20"/>
                <w:lang w:val="en-IE" w:eastAsia="en-IE"/>
              </w:rPr>
            </w:pPr>
            <w:r w:rsidRPr="006526CE">
              <w:rPr>
                <w:noProof/>
                <w:sz w:val="20"/>
                <w:szCs w:val="20"/>
                <w:lang w:val="en-IE" w:eastAsia="en-IE"/>
              </w:rPr>
              <w:t>-</w:t>
            </w:r>
          </w:p>
        </w:tc>
        <w:tc>
          <w:tcPr>
            <w:tcW w:w="1158" w:type="dxa"/>
            <w:noWrap/>
            <w:vAlign w:val="center"/>
            <w:hideMark/>
          </w:tcPr>
          <w:p w14:paraId="3C209FE8" w14:textId="46F593F7"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4AA35283" w14:textId="563A33EF"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76A14427" w14:textId="11E7436D"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r>
      <w:tr w:rsidR="009C7F93" w:rsidRPr="00C1684C" w14:paraId="5E6244BB" w14:textId="77777777" w:rsidTr="009C7F93">
        <w:trPr>
          <w:trHeight w:val="283"/>
        </w:trPr>
        <w:tc>
          <w:tcPr>
            <w:tcW w:w="2127" w:type="dxa"/>
            <w:noWrap/>
            <w:vAlign w:val="center"/>
            <w:hideMark/>
          </w:tcPr>
          <w:p w14:paraId="2B1B3E2D" w14:textId="701259C7" w:rsidR="0017349B" w:rsidRPr="004A2124" w:rsidRDefault="0017349B" w:rsidP="0017349B">
            <w:pPr>
              <w:spacing w:after="0"/>
              <w:jc w:val="left"/>
              <w:rPr>
                <w:i/>
                <w:noProof/>
                <w:sz w:val="20"/>
                <w:szCs w:val="20"/>
                <w:lang w:val="en-IE" w:eastAsia="en-IE"/>
              </w:rPr>
            </w:pPr>
            <w:r w:rsidRPr="004A2124">
              <w:rPr>
                <w:i/>
                <w:noProof/>
                <w:sz w:val="20"/>
                <w:szCs w:val="20"/>
                <w:lang w:val="en-IE" w:eastAsia="en-IE"/>
              </w:rPr>
              <w:t xml:space="preserve">recurrent </w:t>
            </w:r>
            <w:r>
              <w:rPr>
                <w:i/>
                <w:noProof/>
                <w:sz w:val="20"/>
                <w:szCs w:val="20"/>
                <w:lang w:val="en-IE" w:eastAsia="en-IE"/>
              </w:rPr>
              <w:t>enforcement</w:t>
            </w:r>
          </w:p>
        </w:tc>
        <w:tc>
          <w:tcPr>
            <w:tcW w:w="1134" w:type="dxa"/>
            <w:vAlign w:val="center"/>
          </w:tcPr>
          <w:p w14:paraId="59938E52" w14:textId="5045BFD1"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134" w:type="dxa"/>
            <w:vAlign w:val="center"/>
          </w:tcPr>
          <w:p w14:paraId="05EDFF6C" w14:textId="1EDCA373" w:rsidR="0017349B" w:rsidRPr="00792011" w:rsidRDefault="0017349B" w:rsidP="0017349B">
            <w:pPr>
              <w:spacing w:after="0"/>
              <w:jc w:val="right"/>
              <w:rPr>
                <w:noProof/>
                <w:sz w:val="20"/>
                <w:szCs w:val="20"/>
                <w:lang w:val="en-IE" w:eastAsia="en-IE"/>
              </w:rPr>
            </w:pPr>
            <w:r w:rsidRPr="006526CE">
              <w:rPr>
                <w:noProof/>
                <w:sz w:val="20"/>
                <w:szCs w:val="20"/>
                <w:lang w:val="en-IE" w:eastAsia="en-IE"/>
              </w:rPr>
              <w:t xml:space="preserve">- </w:t>
            </w:r>
          </w:p>
        </w:tc>
        <w:tc>
          <w:tcPr>
            <w:tcW w:w="1251" w:type="dxa"/>
            <w:vAlign w:val="center"/>
          </w:tcPr>
          <w:p w14:paraId="4E959FC1" w14:textId="7D601D63" w:rsidR="0017349B" w:rsidRPr="00792011" w:rsidRDefault="00A21990" w:rsidP="0017349B">
            <w:pPr>
              <w:spacing w:after="0"/>
              <w:jc w:val="right"/>
              <w:rPr>
                <w:noProof/>
                <w:sz w:val="20"/>
                <w:szCs w:val="20"/>
                <w:lang w:val="en-IE" w:eastAsia="en-IE"/>
              </w:rPr>
            </w:pPr>
            <w:r w:rsidRPr="006526CE">
              <w:rPr>
                <w:noProof/>
                <w:sz w:val="20"/>
                <w:szCs w:val="20"/>
                <w:lang w:val="en-IE" w:eastAsia="en-IE"/>
              </w:rPr>
              <w:t>-</w:t>
            </w:r>
          </w:p>
        </w:tc>
        <w:tc>
          <w:tcPr>
            <w:tcW w:w="1158" w:type="dxa"/>
            <w:noWrap/>
            <w:vAlign w:val="center"/>
            <w:hideMark/>
          </w:tcPr>
          <w:p w14:paraId="4F2D132C" w14:textId="0B0B1571"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0F455C20" w14:textId="43424420"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 </w:t>
            </w:r>
          </w:p>
        </w:tc>
        <w:tc>
          <w:tcPr>
            <w:tcW w:w="1134" w:type="dxa"/>
            <w:noWrap/>
            <w:vAlign w:val="center"/>
            <w:hideMark/>
          </w:tcPr>
          <w:p w14:paraId="72EBE2A2" w14:textId="603C62AE"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w:t>
            </w:r>
          </w:p>
        </w:tc>
      </w:tr>
      <w:tr w:rsidR="003E5188" w:rsidRPr="00C1684C" w14:paraId="61CE32A0" w14:textId="77777777" w:rsidTr="00443520">
        <w:trPr>
          <w:trHeight w:val="283"/>
        </w:trPr>
        <w:tc>
          <w:tcPr>
            <w:tcW w:w="2127" w:type="dxa"/>
            <w:shd w:val="clear" w:color="auto" w:fill="F2DBDB" w:themeFill="accent2" w:themeFillTint="33"/>
            <w:noWrap/>
            <w:vAlign w:val="center"/>
            <w:hideMark/>
          </w:tcPr>
          <w:p w14:paraId="6098D52C" w14:textId="77777777" w:rsidR="0017349B" w:rsidRPr="004A2124" w:rsidRDefault="0017349B" w:rsidP="0017349B">
            <w:pPr>
              <w:spacing w:after="0"/>
              <w:jc w:val="left"/>
              <w:rPr>
                <w:b/>
                <w:i/>
                <w:noProof/>
                <w:sz w:val="20"/>
                <w:szCs w:val="20"/>
                <w:lang w:val="en-IE" w:eastAsia="en-IE"/>
              </w:rPr>
            </w:pPr>
            <w:r w:rsidRPr="004A2124">
              <w:rPr>
                <w:b/>
                <w:i/>
                <w:noProof/>
                <w:sz w:val="20"/>
                <w:szCs w:val="20"/>
                <w:lang w:val="en-IE" w:eastAsia="en-IE"/>
              </w:rPr>
              <w:t>Total costs</w:t>
            </w:r>
          </w:p>
        </w:tc>
        <w:tc>
          <w:tcPr>
            <w:tcW w:w="1134" w:type="dxa"/>
            <w:shd w:val="clear" w:color="auto" w:fill="F2DBDB" w:themeFill="accent2" w:themeFillTint="33"/>
            <w:vAlign w:val="center"/>
          </w:tcPr>
          <w:p w14:paraId="3F35BD64" w14:textId="6A2B543E" w:rsidR="0017349B" w:rsidRPr="004A2124" w:rsidRDefault="000556E1" w:rsidP="0017349B">
            <w:pPr>
              <w:spacing w:after="0"/>
              <w:jc w:val="right"/>
              <w:rPr>
                <w:noProof/>
                <w:sz w:val="20"/>
                <w:szCs w:val="20"/>
                <w:lang w:val="en-IE" w:eastAsia="en-IE"/>
              </w:rPr>
            </w:pPr>
            <w:r w:rsidRPr="004A2124">
              <w:rPr>
                <w:noProof/>
                <w:sz w:val="20"/>
                <w:szCs w:val="20"/>
                <w:lang w:val="en-IE" w:eastAsia="en-IE"/>
              </w:rPr>
              <w:t>2 200 940</w:t>
            </w:r>
          </w:p>
        </w:tc>
        <w:tc>
          <w:tcPr>
            <w:tcW w:w="1134" w:type="dxa"/>
            <w:shd w:val="clear" w:color="auto" w:fill="F2DBDB" w:themeFill="accent2" w:themeFillTint="33"/>
            <w:vAlign w:val="center"/>
          </w:tcPr>
          <w:p w14:paraId="63589E19" w14:textId="6D840983" w:rsidR="0017349B" w:rsidRPr="004A2124" w:rsidRDefault="000556E1" w:rsidP="0017349B">
            <w:pPr>
              <w:spacing w:after="0"/>
              <w:jc w:val="right"/>
              <w:rPr>
                <w:noProof/>
                <w:sz w:val="20"/>
                <w:szCs w:val="20"/>
                <w:lang w:val="en-IE" w:eastAsia="en-IE"/>
              </w:rPr>
            </w:pPr>
            <w:r w:rsidRPr="004A2124">
              <w:rPr>
                <w:noProof/>
                <w:sz w:val="20"/>
                <w:szCs w:val="20"/>
                <w:lang w:val="en-IE" w:eastAsia="en-IE"/>
              </w:rPr>
              <w:t>-</w:t>
            </w:r>
          </w:p>
        </w:tc>
        <w:tc>
          <w:tcPr>
            <w:tcW w:w="1251" w:type="dxa"/>
            <w:shd w:val="clear" w:color="auto" w:fill="F2DBDB" w:themeFill="accent2" w:themeFillTint="33"/>
            <w:vAlign w:val="center"/>
          </w:tcPr>
          <w:p w14:paraId="1423415D" w14:textId="7611F7EC" w:rsidR="0017349B" w:rsidRPr="004A2124" w:rsidRDefault="005B3738" w:rsidP="0017349B">
            <w:pPr>
              <w:spacing w:after="0"/>
              <w:jc w:val="right"/>
              <w:rPr>
                <w:noProof/>
                <w:sz w:val="20"/>
                <w:szCs w:val="20"/>
                <w:lang w:val="en-IE" w:eastAsia="en-IE"/>
              </w:rPr>
            </w:pPr>
            <w:r w:rsidRPr="005B3738">
              <w:rPr>
                <w:noProof/>
                <w:sz w:val="20"/>
                <w:szCs w:val="20"/>
                <w:lang w:val="en-IE" w:eastAsia="en-IE"/>
              </w:rPr>
              <w:t>138</w:t>
            </w:r>
            <w:r>
              <w:rPr>
                <w:noProof/>
                <w:sz w:val="20"/>
                <w:szCs w:val="20"/>
                <w:lang w:val="en-IE" w:eastAsia="en-IE"/>
              </w:rPr>
              <w:t xml:space="preserve"> </w:t>
            </w:r>
            <w:r w:rsidRPr="005B3738">
              <w:rPr>
                <w:noProof/>
                <w:sz w:val="20"/>
                <w:szCs w:val="20"/>
                <w:lang w:val="en-IE" w:eastAsia="en-IE"/>
              </w:rPr>
              <w:t>357</w:t>
            </w:r>
          </w:p>
        </w:tc>
        <w:tc>
          <w:tcPr>
            <w:tcW w:w="1158" w:type="dxa"/>
            <w:shd w:val="clear" w:color="auto" w:fill="F2DBDB" w:themeFill="accent2" w:themeFillTint="33"/>
            <w:noWrap/>
            <w:vAlign w:val="center"/>
            <w:hideMark/>
          </w:tcPr>
          <w:p w14:paraId="6236F0B8" w14:textId="2274A562" w:rsidR="0017349B" w:rsidRPr="004A2124" w:rsidRDefault="0017349B" w:rsidP="0017349B">
            <w:pPr>
              <w:spacing w:after="0"/>
              <w:jc w:val="right"/>
              <w:rPr>
                <w:noProof/>
                <w:sz w:val="20"/>
                <w:szCs w:val="20"/>
                <w:lang w:val="en-IE" w:eastAsia="en-IE"/>
              </w:rPr>
            </w:pPr>
            <w:r w:rsidRPr="004A2124">
              <w:rPr>
                <w:noProof/>
                <w:sz w:val="20"/>
                <w:szCs w:val="20"/>
                <w:lang w:val="en-IE" w:eastAsia="en-IE"/>
              </w:rPr>
              <w:t>2</w:t>
            </w:r>
            <w:r w:rsidRPr="00CD0933">
              <w:rPr>
                <w:bCs/>
                <w:noProof/>
                <w:sz w:val="20"/>
                <w:szCs w:val="20"/>
                <w:lang w:val="en-IE" w:eastAsia="en-IE"/>
              </w:rPr>
              <w:t xml:space="preserve"> </w:t>
            </w:r>
            <w:r w:rsidRPr="004A2124">
              <w:rPr>
                <w:noProof/>
                <w:sz w:val="20"/>
                <w:szCs w:val="20"/>
                <w:lang w:val="en-IE" w:eastAsia="en-IE"/>
              </w:rPr>
              <w:t xml:space="preserve">339 297 </w:t>
            </w:r>
          </w:p>
        </w:tc>
        <w:tc>
          <w:tcPr>
            <w:tcW w:w="1134" w:type="dxa"/>
            <w:shd w:val="clear" w:color="auto" w:fill="F2DBDB" w:themeFill="accent2" w:themeFillTint="33"/>
            <w:noWrap/>
            <w:vAlign w:val="center"/>
            <w:hideMark/>
          </w:tcPr>
          <w:p w14:paraId="70BDA6B8" w14:textId="6FF96B74"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2 339 297 </w:t>
            </w:r>
          </w:p>
        </w:tc>
        <w:tc>
          <w:tcPr>
            <w:tcW w:w="1134" w:type="dxa"/>
            <w:shd w:val="clear" w:color="auto" w:fill="F2DBDB" w:themeFill="accent2" w:themeFillTint="33"/>
            <w:noWrap/>
            <w:vAlign w:val="center"/>
            <w:hideMark/>
          </w:tcPr>
          <w:p w14:paraId="36B1E5EB" w14:textId="5867629D" w:rsidR="0017349B" w:rsidRPr="004A2124" w:rsidRDefault="0017349B" w:rsidP="0017349B">
            <w:pPr>
              <w:spacing w:after="0"/>
              <w:jc w:val="right"/>
              <w:rPr>
                <w:noProof/>
                <w:sz w:val="20"/>
                <w:szCs w:val="20"/>
                <w:lang w:val="en-IE" w:eastAsia="en-IE"/>
              </w:rPr>
            </w:pPr>
            <w:r w:rsidRPr="004A2124">
              <w:rPr>
                <w:noProof/>
                <w:sz w:val="20"/>
                <w:szCs w:val="20"/>
                <w:lang w:val="en-IE" w:eastAsia="en-IE"/>
              </w:rPr>
              <w:t xml:space="preserve"> 2 339 297 </w:t>
            </w:r>
          </w:p>
        </w:tc>
      </w:tr>
      <w:tr w:rsidR="00A21990" w:rsidRPr="00C1684C" w14:paraId="458C8C75" w14:textId="77777777" w:rsidTr="00443520">
        <w:trPr>
          <w:trHeight w:val="283"/>
        </w:trPr>
        <w:tc>
          <w:tcPr>
            <w:tcW w:w="2127" w:type="dxa"/>
            <w:shd w:val="clear" w:color="auto" w:fill="EAF1DD" w:themeFill="accent3" w:themeFillTint="33"/>
            <w:noWrap/>
            <w:vAlign w:val="center"/>
            <w:hideMark/>
          </w:tcPr>
          <w:p w14:paraId="3E78FE30" w14:textId="38C94DEF" w:rsidR="00A21990" w:rsidRPr="004A2124" w:rsidRDefault="00A21990" w:rsidP="00A21990">
            <w:pPr>
              <w:spacing w:after="0"/>
              <w:jc w:val="left"/>
              <w:rPr>
                <w:b/>
                <w:i/>
                <w:noProof/>
                <w:sz w:val="20"/>
                <w:szCs w:val="20"/>
                <w:lang w:val="en-IE" w:eastAsia="en-IE"/>
              </w:rPr>
            </w:pPr>
            <w:r w:rsidRPr="004A2124">
              <w:rPr>
                <w:b/>
                <w:bCs/>
                <w:i/>
                <w:iCs/>
                <w:noProof/>
                <w:sz w:val="20"/>
                <w:szCs w:val="20"/>
                <w:lang w:val="en-IE" w:eastAsia="en-IE"/>
              </w:rPr>
              <w:t>Total benefits</w:t>
            </w:r>
          </w:p>
        </w:tc>
        <w:tc>
          <w:tcPr>
            <w:tcW w:w="1134" w:type="dxa"/>
            <w:shd w:val="clear" w:color="auto" w:fill="EAF1DD" w:themeFill="accent3" w:themeFillTint="33"/>
            <w:vAlign w:val="center"/>
          </w:tcPr>
          <w:p w14:paraId="4F17D510" w14:textId="7F7CABE4" w:rsidR="00A21990" w:rsidRPr="00792011" w:rsidRDefault="00A21990" w:rsidP="00A21990">
            <w:pPr>
              <w:spacing w:after="0"/>
              <w:jc w:val="right"/>
              <w:rPr>
                <w:b/>
                <w:noProof/>
                <w:sz w:val="20"/>
                <w:szCs w:val="20"/>
                <w:lang w:val="en-IE" w:eastAsia="en-IE"/>
              </w:rPr>
            </w:pPr>
            <w:r w:rsidRPr="006526CE">
              <w:rPr>
                <w:noProof/>
                <w:sz w:val="20"/>
                <w:szCs w:val="20"/>
                <w:lang w:val="en-IE" w:eastAsia="en-IE"/>
              </w:rPr>
              <w:t xml:space="preserve">- </w:t>
            </w:r>
          </w:p>
        </w:tc>
        <w:tc>
          <w:tcPr>
            <w:tcW w:w="1134" w:type="dxa"/>
            <w:shd w:val="clear" w:color="auto" w:fill="EAF1DD" w:themeFill="accent3" w:themeFillTint="33"/>
            <w:vAlign w:val="center"/>
          </w:tcPr>
          <w:p w14:paraId="591A4BBD" w14:textId="6CDB3559" w:rsidR="00A21990" w:rsidRPr="00792011" w:rsidRDefault="00A21990" w:rsidP="00A21990">
            <w:pPr>
              <w:spacing w:after="0"/>
              <w:jc w:val="right"/>
              <w:rPr>
                <w:b/>
                <w:noProof/>
                <w:sz w:val="20"/>
                <w:szCs w:val="20"/>
                <w:lang w:val="en-IE" w:eastAsia="en-IE"/>
              </w:rPr>
            </w:pPr>
            <w:r w:rsidRPr="006526CE">
              <w:rPr>
                <w:noProof/>
                <w:sz w:val="20"/>
                <w:szCs w:val="20"/>
                <w:lang w:val="en-IE" w:eastAsia="en-IE"/>
              </w:rPr>
              <w:t xml:space="preserve">- </w:t>
            </w:r>
          </w:p>
        </w:tc>
        <w:tc>
          <w:tcPr>
            <w:tcW w:w="1251" w:type="dxa"/>
            <w:shd w:val="clear" w:color="auto" w:fill="EAF1DD" w:themeFill="accent3" w:themeFillTint="33"/>
            <w:vAlign w:val="center"/>
          </w:tcPr>
          <w:p w14:paraId="446DD753" w14:textId="77777777" w:rsidR="00A21990" w:rsidRPr="00792011" w:rsidRDefault="00A21990" w:rsidP="00A21990">
            <w:pPr>
              <w:spacing w:after="0"/>
              <w:jc w:val="right"/>
              <w:rPr>
                <w:b/>
                <w:noProof/>
                <w:sz w:val="20"/>
                <w:szCs w:val="20"/>
                <w:lang w:val="en-IE" w:eastAsia="en-IE"/>
              </w:rPr>
            </w:pPr>
          </w:p>
        </w:tc>
        <w:tc>
          <w:tcPr>
            <w:tcW w:w="1158" w:type="dxa"/>
            <w:shd w:val="clear" w:color="auto" w:fill="EAF1DD" w:themeFill="accent3" w:themeFillTint="33"/>
            <w:noWrap/>
            <w:vAlign w:val="center"/>
            <w:hideMark/>
          </w:tcPr>
          <w:p w14:paraId="42BC5E04" w14:textId="1DBFA6BD" w:rsidR="00A21990" w:rsidRPr="004A2124" w:rsidRDefault="00A21990" w:rsidP="00A21990">
            <w:pPr>
              <w:spacing w:after="0"/>
              <w:jc w:val="right"/>
              <w:rPr>
                <w:noProof/>
                <w:sz w:val="20"/>
                <w:szCs w:val="20"/>
                <w:lang w:val="en-IE" w:eastAsia="en-IE"/>
              </w:rPr>
            </w:pPr>
            <w:r w:rsidRPr="004A2124">
              <w:rPr>
                <w:noProof/>
                <w:sz w:val="20"/>
                <w:szCs w:val="20"/>
                <w:lang w:val="en-IE" w:eastAsia="en-IE"/>
              </w:rPr>
              <w:t xml:space="preserve"> - </w:t>
            </w:r>
          </w:p>
        </w:tc>
        <w:tc>
          <w:tcPr>
            <w:tcW w:w="1134" w:type="dxa"/>
            <w:shd w:val="clear" w:color="auto" w:fill="EAF1DD" w:themeFill="accent3" w:themeFillTint="33"/>
            <w:noWrap/>
            <w:vAlign w:val="center"/>
            <w:hideMark/>
          </w:tcPr>
          <w:p w14:paraId="4F6F8C7B" w14:textId="5C6C5D20" w:rsidR="00A21990" w:rsidRPr="004A2124" w:rsidRDefault="00A21990" w:rsidP="00A21990">
            <w:pPr>
              <w:spacing w:after="0"/>
              <w:jc w:val="right"/>
              <w:rPr>
                <w:noProof/>
                <w:sz w:val="20"/>
                <w:szCs w:val="20"/>
                <w:lang w:val="en-IE" w:eastAsia="en-IE"/>
              </w:rPr>
            </w:pPr>
            <w:r w:rsidRPr="004A2124">
              <w:rPr>
                <w:noProof/>
                <w:sz w:val="20"/>
                <w:szCs w:val="20"/>
                <w:lang w:val="en-IE" w:eastAsia="en-IE"/>
              </w:rPr>
              <w:t xml:space="preserve"> - </w:t>
            </w:r>
          </w:p>
        </w:tc>
        <w:tc>
          <w:tcPr>
            <w:tcW w:w="1134" w:type="dxa"/>
            <w:shd w:val="clear" w:color="auto" w:fill="EAF1DD" w:themeFill="accent3" w:themeFillTint="33"/>
            <w:noWrap/>
            <w:vAlign w:val="center"/>
            <w:hideMark/>
          </w:tcPr>
          <w:p w14:paraId="056D1A09" w14:textId="443D84DE" w:rsidR="00A21990" w:rsidRPr="004A2124" w:rsidRDefault="00A21990" w:rsidP="00A21990">
            <w:pPr>
              <w:spacing w:after="0"/>
              <w:jc w:val="right"/>
              <w:rPr>
                <w:noProof/>
                <w:sz w:val="20"/>
                <w:szCs w:val="20"/>
                <w:lang w:val="en-IE" w:eastAsia="en-IE"/>
              </w:rPr>
            </w:pPr>
            <w:r w:rsidRPr="004A2124">
              <w:rPr>
                <w:noProof/>
                <w:sz w:val="20"/>
                <w:szCs w:val="20"/>
                <w:lang w:val="en-IE" w:eastAsia="en-IE"/>
              </w:rPr>
              <w:t xml:space="preserve"> - </w:t>
            </w:r>
          </w:p>
        </w:tc>
      </w:tr>
      <w:tr w:rsidR="005B3738" w:rsidRPr="00C1684C" w14:paraId="1E579040" w14:textId="77777777" w:rsidTr="00443520">
        <w:trPr>
          <w:trHeight w:val="283"/>
        </w:trPr>
        <w:tc>
          <w:tcPr>
            <w:tcW w:w="2127" w:type="dxa"/>
            <w:shd w:val="clear" w:color="auto" w:fill="F2F2F2" w:themeFill="background1" w:themeFillShade="F2"/>
            <w:noWrap/>
            <w:vAlign w:val="center"/>
            <w:hideMark/>
          </w:tcPr>
          <w:p w14:paraId="2696F52A" w14:textId="10F31F0D" w:rsidR="005B3738" w:rsidRPr="004A2124" w:rsidRDefault="005B3738" w:rsidP="005B3738">
            <w:pPr>
              <w:spacing w:after="0"/>
              <w:jc w:val="left"/>
              <w:rPr>
                <w:b/>
                <w:i/>
                <w:noProof/>
                <w:sz w:val="20"/>
                <w:szCs w:val="20"/>
                <w:lang w:val="en-IE" w:eastAsia="en-IE"/>
              </w:rPr>
            </w:pPr>
            <w:r w:rsidRPr="004A2124">
              <w:rPr>
                <w:b/>
                <w:bCs/>
                <w:i/>
                <w:iCs/>
                <w:noProof/>
                <w:sz w:val="20"/>
                <w:szCs w:val="20"/>
                <w:lang w:val="en-IE" w:eastAsia="en-IE"/>
              </w:rPr>
              <w:t>Net impact</w:t>
            </w:r>
          </w:p>
        </w:tc>
        <w:tc>
          <w:tcPr>
            <w:tcW w:w="1134" w:type="dxa"/>
            <w:shd w:val="clear" w:color="auto" w:fill="F2F2F2" w:themeFill="background1" w:themeFillShade="F2"/>
            <w:vAlign w:val="center"/>
          </w:tcPr>
          <w:p w14:paraId="7B581241" w14:textId="620C85CE" w:rsidR="005B3738" w:rsidRPr="00792011" w:rsidRDefault="005B3738" w:rsidP="005B3738">
            <w:pPr>
              <w:spacing w:after="0"/>
              <w:jc w:val="right"/>
              <w:rPr>
                <w:b/>
                <w:noProof/>
                <w:sz w:val="20"/>
                <w:szCs w:val="20"/>
                <w:lang w:val="en-IE" w:eastAsia="en-IE"/>
              </w:rPr>
            </w:pPr>
            <w:r w:rsidRPr="000556E1">
              <w:rPr>
                <w:b/>
                <w:noProof/>
                <w:sz w:val="20"/>
                <w:szCs w:val="20"/>
                <w:lang w:val="en-IE" w:eastAsia="en-IE"/>
              </w:rPr>
              <w:t>2</w:t>
            </w:r>
            <w:r>
              <w:rPr>
                <w:b/>
                <w:noProof/>
                <w:sz w:val="20"/>
                <w:szCs w:val="20"/>
                <w:lang w:val="en-IE" w:eastAsia="en-IE"/>
              </w:rPr>
              <w:t xml:space="preserve"> </w:t>
            </w:r>
            <w:r w:rsidRPr="000556E1">
              <w:rPr>
                <w:b/>
                <w:noProof/>
                <w:sz w:val="20"/>
                <w:szCs w:val="20"/>
                <w:lang w:val="en-IE" w:eastAsia="en-IE"/>
              </w:rPr>
              <w:t>200</w:t>
            </w:r>
            <w:r>
              <w:rPr>
                <w:b/>
                <w:noProof/>
                <w:sz w:val="20"/>
                <w:szCs w:val="20"/>
                <w:lang w:val="en-IE" w:eastAsia="en-IE"/>
              </w:rPr>
              <w:t xml:space="preserve"> </w:t>
            </w:r>
            <w:r w:rsidRPr="000556E1">
              <w:rPr>
                <w:b/>
                <w:noProof/>
                <w:sz w:val="20"/>
                <w:szCs w:val="20"/>
                <w:lang w:val="en-IE" w:eastAsia="en-IE"/>
              </w:rPr>
              <w:t>940</w:t>
            </w:r>
            <w:r w:rsidRPr="006526CE">
              <w:rPr>
                <w:noProof/>
                <w:sz w:val="20"/>
                <w:szCs w:val="20"/>
                <w:lang w:val="en-IE" w:eastAsia="en-IE"/>
              </w:rPr>
              <w:t xml:space="preserve"> </w:t>
            </w:r>
          </w:p>
        </w:tc>
        <w:tc>
          <w:tcPr>
            <w:tcW w:w="1134" w:type="dxa"/>
            <w:shd w:val="clear" w:color="auto" w:fill="F2F2F2" w:themeFill="background1" w:themeFillShade="F2"/>
            <w:vAlign w:val="center"/>
          </w:tcPr>
          <w:p w14:paraId="2BFC2297" w14:textId="2F047C6F" w:rsidR="005B3738" w:rsidRPr="00792011" w:rsidRDefault="005B3738" w:rsidP="005B3738">
            <w:pPr>
              <w:spacing w:after="0"/>
              <w:jc w:val="right"/>
              <w:rPr>
                <w:b/>
                <w:noProof/>
                <w:sz w:val="20"/>
                <w:szCs w:val="20"/>
                <w:lang w:val="en-IE" w:eastAsia="en-IE"/>
              </w:rPr>
            </w:pPr>
            <w:r w:rsidRPr="006526CE">
              <w:rPr>
                <w:noProof/>
                <w:sz w:val="20"/>
                <w:szCs w:val="20"/>
                <w:lang w:val="en-IE" w:eastAsia="en-IE"/>
              </w:rPr>
              <w:t xml:space="preserve">- </w:t>
            </w:r>
          </w:p>
        </w:tc>
        <w:tc>
          <w:tcPr>
            <w:tcW w:w="1251" w:type="dxa"/>
            <w:shd w:val="clear" w:color="auto" w:fill="F2F2F2" w:themeFill="background1" w:themeFillShade="F2"/>
            <w:vAlign w:val="center"/>
          </w:tcPr>
          <w:p w14:paraId="0816DCB9" w14:textId="2A61193D" w:rsidR="005B3738" w:rsidRPr="005B3738" w:rsidRDefault="005B3738" w:rsidP="005B3738">
            <w:pPr>
              <w:spacing w:after="0"/>
              <w:jc w:val="right"/>
              <w:rPr>
                <w:b/>
                <w:bCs/>
                <w:noProof/>
                <w:sz w:val="20"/>
                <w:szCs w:val="20"/>
                <w:lang w:val="en-IE" w:eastAsia="en-IE"/>
              </w:rPr>
            </w:pPr>
            <w:r w:rsidRPr="00B05194">
              <w:rPr>
                <w:b/>
                <w:bCs/>
                <w:noProof/>
                <w:sz w:val="20"/>
                <w:szCs w:val="20"/>
                <w:lang w:val="en-IE" w:eastAsia="en-IE"/>
              </w:rPr>
              <w:t>138 357</w:t>
            </w:r>
          </w:p>
        </w:tc>
        <w:tc>
          <w:tcPr>
            <w:tcW w:w="1158" w:type="dxa"/>
            <w:shd w:val="clear" w:color="auto" w:fill="F2F2F2" w:themeFill="background1" w:themeFillShade="F2"/>
            <w:noWrap/>
            <w:vAlign w:val="center"/>
            <w:hideMark/>
          </w:tcPr>
          <w:p w14:paraId="08482101" w14:textId="0B9D0683" w:rsidR="005B3738" w:rsidRPr="004A2124" w:rsidRDefault="005B3738" w:rsidP="005B3738">
            <w:pPr>
              <w:spacing w:after="0"/>
              <w:jc w:val="right"/>
              <w:rPr>
                <w:b/>
                <w:noProof/>
                <w:sz w:val="20"/>
                <w:szCs w:val="20"/>
                <w:lang w:val="en-IE" w:eastAsia="en-IE"/>
              </w:rPr>
            </w:pPr>
            <w:r w:rsidRPr="004A2124">
              <w:rPr>
                <w:b/>
                <w:noProof/>
                <w:sz w:val="20"/>
                <w:szCs w:val="20"/>
                <w:lang w:val="en-IE" w:eastAsia="en-IE"/>
              </w:rPr>
              <w:t xml:space="preserve">2 339 297 </w:t>
            </w:r>
          </w:p>
        </w:tc>
        <w:tc>
          <w:tcPr>
            <w:tcW w:w="1134" w:type="dxa"/>
            <w:shd w:val="clear" w:color="auto" w:fill="F2F2F2" w:themeFill="background1" w:themeFillShade="F2"/>
            <w:noWrap/>
            <w:vAlign w:val="center"/>
            <w:hideMark/>
          </w:tcPr>
          <w:p w14:paraId="5226E78C" w14:textId="46FEC20A" w:rsidR="005B3738" w:rsidRPr="004A2124" w:rsidRDefault="005B3738" w:rsidP="005B3738">
            <w:pPr>
              <w:spacing w:after="0"/>
              <w:jc w:val="right"/>
              <w:rPr>
                <w:b/>
                <w:noProof/>
                <w:sz w:val="20"/>
                <w:szCs w:val="20"/>
                <w:lang w:val="en-IE" w:eastAsia="en-IE"/>
              </w:rPr>
            </w:pPr>
            <w:r w:rsidRPr="004A2124">
              <w:rPr>
                <w:b/>
                <w:noProof/>
                <w:sz w:val="20"/>
                <w:szCs w:val="20"/>
                <w:lang w:val="en-IE" w:eastAsia="en-IE"/>
              </w:rPr>
              <w:t xml:space="preserve"> 2 339 297 </w:t>
            </w:r>
          </w:p>
        </w:tc>
        <w:tc>
          <w:tcPr>
            <w:tcW w:w="1134" w:type="dxa"/>
            <w:shd w:val="clear" w:color="auto" w:fill="F2F2F2" w:themeFill="background1" w:themeFillShade="F2"/>
            <w:noWrap/>
            <w:vAlign w:val="center"/>
            <w:hideMark/>
          </w:tcPr>
          <w:p w14:paraId="398DCAF0" w14:textId="3666D160" w:rsidR="005B3738" w:rsidRPr="004A2124" w:rsidRDefault="005B3738" w:rsidP="005B3738">
            <w:pPr>
              <w:spacing w:after="0"/>
              <w:jc w:val="right"/>
              <w:rPr>
                <w:b/>
                <w:noProof/>
                <w:sz w:val="20"/>
                <w:szCs w:val="20"/>
                <w:lang w:val="en-IE" w:eastAsia="en-IE"/>
              </w:rPr>
            </w:pPr>
            <w:r w:rsidRPr="004A2124">
              <w:rPr>
                <w:b/>
                <w:noProof/>
                <w:sz w:val="20"/>
                <w:szCs w:val="20"/>
                <w:lang w:val="en-IE" w:eastAsia="en-IE"/>
              </w:rPr>
              <w:t xml:space="preserve"> 2 339 297 </w:t>
            </w:r>
          </w:p>
        </w:tc>
      </w:tr>
    </w:tbl>
    <w:p w14:paraId="43A5D42A" w14:textId="391E2018" w:rsidR="001471E7" w:rsidRDefault="001471E7" w:rsidP="00340A97">
      <w:pPr>
        <w:pStyle w:val="Heading2"/>
        <w:numPr>
          <w:ilvl w:val="1"/>
          <w:numId w:val="10"/>
        </w:numPr>
        <w:tabs>
          <w:tab w:val="num" w:pos="283"/>
        </w:tabs>
        <w:spacing w:before="240"/>
        <w:ind w:left="1202"/>
        <w:rPr>
          <w:bCs/>
          <w:noProof/>
        </w:rPr>
      </w:pPr>
      <w:bookmarkStart w:id="173" w:name="_Toc214519706"/>
      <w:bookmarkStart w:id="174" w:name="_Toc216283357"/>
      <w:bookmarkStart w:id="175" w:name="_Toc228346912"/>
      <w:r w:rsidRPr="00437F91">
        <w:rPr>
          <w:noProof/>
        </w:rPr>
        <w:t>PM2</w:t>
      </w:r>
      <w:r w:rsidRPr="00437F91">
        <w:rPr>
          <w:bCs/>
          <w:noProof/>
        </w:rPr>
        <w:t xml:space="preserve">: Creating </w:t>
      </w:r>
      <w:r w:rsidR="4F11C4A7">
        <w:rPr>
          <w:noProof/>
        </w:rPr>
        <w:t>a forum for exchanges between relevant public and private</w:t>
      </w:r>
      <w:r>
        <w:rPr>
          <w:noProof/>
        </w:rPr>
        <w:t xml:space="preserve"> </w:t>
      </w:r>
      <w:r w:rsidRPr="00437F91">
        <w:rPr>
          <w:bCs/>
          <w:noProof/>
        </w:rPr>
        <w:t>stakeholders involved in the buildout of data centres</w:t>
      </w:r>
      <w:bookmarkEnd w:id="173"/>
      <w:bookmarkEnd w:id="174"/>
      <w:bookmarkEnd w:id="175"/>
    </w:p>
    <w:p w14:paraId="4BC92294" w14:textId="15C48D19" w:rsidR="001471E7" w:rsidRPr="00A54618" w:rsidRDefault="001471E7" w:rsidP="001471E7">
      <w:pPr>
        <w:pStyle w:val="Text1"/>
        <w:ind w:left="0"/>
        <w:rPr>
          <w:noProof/>
        </w:rPr>
      </w:pPr>
      <w:r w:rsidRPr="59E4558D">
        <w:rPr>
          <w:noProof/>
        </w:rPr>
        <w:t xml:space="preserve">Under this </w:t>
      </w:r>
      <w:r w:rsidR="00CF0B64">
        <w:rPr>
          <w:noProof/>
        </w:rPr>
        <w:t>m</w:t>
      </w:r>
      <w:r w:rsidRPr="59E4558D">
        <w:rPr>
          <w:noProof/>
        </w:rPr>
        <w:t xml:space="preserve">easure, the Commission would establish </w:t>
      </w:r>
      <w:r w:rsidR="2A610560">
        <w:rPr>
          <w:noProof/>
        </w:rPr>
        <w:t xml:space="preserve">a </w:t>
      </w:r>
      <w:r>
        <w:rPr>
          <w:noProof/>
        </w:rPr>
        <w:t>dedicated</w:t>
      </w:r>
      <w:r w:rsidRPr="59E4558D">
        <w:rPr>
          <w:noProof/>
        </w:rPr>
        <w:t xml:space="preserve"> </w:t>
      </w:r>
      <w:r>
        <w:rPr>
          <w:noProof/>
        </w:rPr>
        <w:t>for</w:t>
      </w:r>
      <w:r w:rsidR="13F1480E">
        <w:rPr>
          <w:noProof/>
        </w:rPr>
        <w:t>um</w:t>
      </w:r>
      <w:r w:rsidRPr="59E4558D">
        <w:rPr>
          <w:noProof/>
        </w:rPr>
        <w:t xml:space="preserve"> to facilitate structured exchanges between the key public and private stakeholders involved in the deployment of data centres, with the objective of accelerating the deployment of innovative and sustainable capacity in the EU. These fora would provide a structured platform for dialogue and coordination, enabling shareholders to share knowledge, identify challenges and coordinate approaches across the different stages of data centre planning, construction and operations. The</w:t>
      </w:r>
      <w:r w:rsidDel="001471E7">
        <w:rPr>
          <w:noProof/>
        </w:rPr>
        <w:t xml:space="preserve"> </w:t>
      </w:r>
      <w:r w:rsidR="7EFAF1D1">
        <w:rPr>
          <w:noProof/>
        </w:rPr>
        <w:t>forum</w:t>
      </w:r>
      <w:r w:rsidRPr="59E4558D">
        <w:rPr>
          <w:noProof/>
        </w:rPr>
        <w:t xml:space="preserve"> would bring together all relevant actors, including transmission system operators (TSOs), connectivity providers, data centre operators, equipment manufacturers, and local and regional authorities. The purpose of the</w:t>
      </w:r>
      <w:r w:rsidDel="001471E7">
        <w:rPr>
          <w:noProof/>
        </w:rPr>
        <w:t xml:space="preserve"> </w:t>
      </w:r>
      <w:r w:rsidR="10043A60">
        <w:rPr>
          <w:noProof/>
        </w:rPr>
        <w:t>forum</w:t>
      </w:r>
      <w:r w:rsidRPr="59E4558D">
        <w:rPr>
          <w:noProof/>
        </w:rPr>
        <w:t xml:space="preserve"> would be to support the uptake of advanced and sustainable technologies that can increase capacity while reducing the environmental footprint of data centres and to identify and address the obstacles currently hindering investment and expansion. These exchanges would also allow to include discussions on the needed communication regarding the trade-offs, benefits and potential mitigation strategies for public contestation of data centres. By fostering early and continuous exchanges, the </w:t>
      </w:r>
      <w:r w:rsidR="0A67B293">
        <w:rPr>
          <w:noProof/>
        </w:rPr>
        <w:t>forum</w:t>
      </w:r>
      <w:r>
        <w:rPr>
          <w:noProof/>
        </w:rPr>
        <w:t xml:space="preserve"> </w:t>
      </w:r>
      <w:r w:rsidRPr="59E4558D">
        <w:rPr>
          <w:noProof/>
        </w:rPr>
        <w:t xml:space="preserve">would enable stakeholders to align on technical requirements, investment priorities, and regulatory expectations. </w:t>
      </w:r>
    </w:p>
    <w:p w14:paraId="7E406100" w14:textId="2BE616AA" w:rsidR="001471E7" w:rsidRPr="00A54618" w:rsidRDefault="60ECAA8A" w:rsidP="001471E7">
      <w:pPr>
        <w:pStyle w:val="Text1"/>
        <w:ind w:left="0"/>
        <w:rPr>
          <w:noProof/>
        </w:rPr>
      </w:pPr>
      <w:r w:rsidRPr="00FF66E4">
        <w:rPr>
          <w:i/>
          <w:noProof/>
        </w:rPr>
        <w:t xml:space="preserve">Impact on </w:t>
      </w:r>
      <w:r w:rsidR="457425FC" w:rsidRPr="00FF66E4">
        <w:rPr>
          <w:i/>
          <w:iCs/>
          <w:noProof/>
        </w:rPr>
        <w:t>d</w:t>
      </w:r>
      <w:r w:rsidR="001471E7" w:rsidRPr="002E5BC0">
        <w:rPr>
          <w:i/>
          <w:iCs/>
          <w:noProof/>
        </w:rPr>
        <w:t>ata</w:t>
      </w:r>
      <w:r w:rsidR="55B4E133" w:rsidRPr="002E5BC0">
        <w:rPr>
          <w:i/>
          <w:noProof/>
        </w:rPr>
        <w:t xml:space="preserve"> </w:t>
      </w:r>
      <w:r w:rsidR="001471E7" w:rsidRPr="002E5BC0">
        <w:rPr>
          <w:i/>
          <w:noProof/>
        </w:rPr>
        <w:t>centre deployment acceleration</w:t>
      </w:r>
      <w:r w:rsidR="001471E7" w:rsidRPr="002E5BC0">
        <w:rPr>
          <w:noProof/>
        </w:rPr>
        <w:t>.</w:t>
      </w:r>
      <w:r w:rsidR="001471E7" w:rsidRPr="59E4558D">
        <w:rPr>
          <w:noProof/>
        </w:rPr>
        <w:t xml:space="preserve"> </w:t>
      </w:r>
      <w:r w:rsidR="71C46DA2">
        <w:rPr>
          <w:noProof/>
        </w:rPr>
        <w:t>This forum is</w:t>
      </w:r>
      <w:r w:rsidR="001471E7" w:rsidRPr="59E4558D">
        <w:rPr>
          <w:noProof/>
        </w:rPr>
        <w:t xml:space="preserve"> expected to contribute to creating a more predictable and investment-friendly environment for data centre deployment, supporting the EU’s objectives of technological leadership, strategic autonomy, and sustainable digital infrastructure growth. This </w:t>
      </w:r>
      <w:r w:rsidR="001471E7">
        <w:rPr>
          <w:noProof/>
        </w:rPr>
        <w:t>is expected to increase efficiencies in the deployment of a number of new data centres, especially of those operators participating in the for</w:t>
      </w:r>
      <w:r w:rsidR="58CC6006">
        <w:rPr>
          <w:noProof/>
        </w:rPr>
        <w:t>um</w:t>
      </w:r>
      <w:r w:rsidR="001471E7">
        <w:rPr>
          <w:noProof/>
        </w:rPr>
        <w:t>. This would be the consequence of increased exchanges of best practices, and reduced interactions between economic operators and authorities</w:t>
      </w:r>
      <w:r w:rsidR="001471E7" w:rsidRPr="59E4558D">
        <w:rPr>
          <w:noProof/>
        </w:rPr>
        <w:t>.</w:t>
      </w:r>
      <w:r w:rsidR="001471E7">
        <w:rPr>
          <w:noProof/>
        </w:rPr>
        <w:t xml:space="preserve"> </w:t>
      </w:r>
    </w:p>
    <w:p w14:paraId="68688E68" w14:textId="04A6A8E0" w:rsidR="006E6B15" w:rsidRDefault="00F63280" w:rsidP="00864060">
      <w:pPr>
        <w:pStyle w:val="Text1"/>
        <w:ind w:left="0"/>
        <w:rPr>
          <w:noProof/>
        </w:rPr>
      </w:pPr>
      <w:r w:rsidRPr="59E4558D">
        <w:rPr>
          <w:b/>
          <w:i/>
          <w:noProof/>
        </w:rPr>
        <w:t>Ad</w:t>
      </w:r>
      <w:r>
        <w:rPr>
          <w:b/>
          <w:i/>
          <w:noProof/>
        </w:rPr>
        <w:t>justment</w:t>
      </w:r>
      <w:r w:rsidRPr="59E4558D">
        <w:rPr>
          <w:b/>
          <w:i/>
          <w:noProof/>
        </w:rPr>
        <w:t xml:space="preserve"> </w:t>
      </w:r>
      <w:r w:rsidR="001471E7" w:rsidRPr="59E4558D">
        <w:rPr>
          <w:b/>
          <w:i/>
          <w:noProof/>
        </w:rPr>
        <w:t xml:space="preserve">costs for </w:t>
      </w:r>
      <w:r w:rsidR="0747EB73" w:rsidRPr="704409CD">
        <w:rPr>
          <w:b/>
          <w:bCs/>
          <w:i/>
          <w:iCs/>
          <w:noProof/>
        </w:rPr>
        <w:t>d</w:t>
      </w:r>
      <w:r w:rsidR="00C73124" w:rsidRPr="704409CD">
        <w:rPr>
          <w:b/>
          <w:bCs/>
          <w:i/>
          <w:iCs/>
          <w:noProof/>
        </w:rPr>
        <w:t xml:space="preserve">ata </w:t>
      </w:r>
      <w:r w:rsidR="7DED09C8" w:rsidRPr="704409CD">
        <w:rPr>
          <w:b/>
          <w:bCs/>
          <w:i/>
          <w:iCs/>
          <w:noProof/>
        </w:rPr>
        <w:t>c</w:t>
      </w:r>
      <w:r w:rsidR="00C73124" w:rsidRPr="59E4558D">
        <w:rPr>
          <w:b/>
          <w:i/>
          <w:noProof/>
        </w:rPr>
        <w:t xml:space="preserve">entre </w:t>
      </w:r>
      <w:r w:rsidR="3D504BD9" w:rsidRPr="488ECA01">
        <w:rPr>
          <w:b/>
          <w:bCs/>
          <w:i/>
          <w:iCs/>
          <w:noProof/>
        </w:rPr>
        <w:t>o</w:t>
      </w:r>
      <w:r w:rsidR="00C73124" w:rsidRPr="59E4558D">
        <w:rPr>
          <w:b/>
          <w:i/>
          <w:noProof/>
        </w:rPr>
        <w:t>perators</w:t>
      </w:r>
      <w:r w:rsidR="001471E7" w:rsidRPr="59E4558D">
        <w:rPr>
          <w:b/>
          <w:i/>
          <w:noProof/>
        </w:rPr>
        <w:t>.</w:t>
      </w:r>
      <w:r w:rsidR="001471E7" w:rsidRPr="59E4558D">
        <w:rPr>
          <w:noProof/>
        </w:rPr>
        <w:t xml:space="preserve"> </w:t>
      </w:r>
      <w:r w:rsidR="00AE69E3" w:rsidRPr="00B50435">
        <w:rPr>
          <w:noProof/>
        </w:rPr>
        <w:t xml:space="preserve">Recurrent participation in newly established </w:t>
      </w:r>
      <w:r w:rsidR="00AE69E3">
        <w:rPr>
          <w:noProof/>
        </w:rPr>
        <w:t xml:space="preserve">fora </w:t>
      </w:r>
      <w:r w:rsidR="00AE69E3" w:rsidRPr="00B50435">
        <w:rPr>
          <w:noProof/>
        </w:rPr>
        <w:t>is classified as</w:t>
      </w:r>
      <w:r w:rsidR="00AE69E3" w:rsidDel="00EB7AFB">
        <w:rPr>
          <w:noProof/>
        </w:rPr>
        <w:t xml:space="preserve"> </w:t>
      </w:r>
      <w:r w:rsidR="00EB7AFB">
        <w:rPr>
          <w:noProof/>
        </w:rPr>
        <w:t xml:space="preserve">a recurrent </w:t>
      </w:r>
      <w:r w:rsidR="00AE69E3">
        <w:rPr>
          <w:noProof/>
        </w:rPr>
        <w:t>adjustment</w:t>
      </w:r>
      <w:r w:rsidR="00AE69E3" w:rsidRPr="00B50435">
        <w:rPr>
          <w:noProof/>
        </w:rPr>
        <w:t xml:space="preserve"> cost</w:t>
      </w:r>
      <w:r w:rsidR="00AE69E3">
        <w:rPr>
          <w:noProof/>
        </w:rPr>
        <w:t xml:space="preserve"> for </w:t>
      </w:r>
      <w:r w:rsidR="00AE69E3" w:rsidRPr="00B50435">
        <w:rPr>
          <w:noProof/>
        </w:rPr>
        <w:t>organisations choos</w:t>
      </w:r>
      <w:r w:rsidR="00AE69E3">
        <w:rPr>
          <w:noProof/>
        </w:rPr>
        <w:t>ing</w:t>
      </w:r>
      <w:r w:rsidR="00AE69E3" w:rsidRPr="00B50435">
        <w:rPr>
          <w:noProof/>
        </w:rPr>
        <w:t xml:space="preserve"> to participate on an ongoing basis and are expected to contribute actively once involved, </w:t>
      </w:r>
      <w:r w:rsidR="00AE69E3">
        <w:rPr>
          <w:noProof/>
        </w:rPr>
        <w:t>i.e.</w:t>
      </w:r>
      <w:r w:rsidR="00AE69E3" w:rsidRPr="00B50435">
        <w:rPr>
          <w:noProof/>
        </w:rPr>
        <w:t xml:space="preserve"> in terms</w:t>
      </w:r>
      <w:r w:rsidR="00F8243F">
        <w:rPr>
          <w:noProof/>
        </w:rPr>
        <w:t xml:space="preserve"> of</w:t>
      </w:r>
      <w:r w:rsidR="00AE69E3" w:rsidRPr="00B50435">
        <w:rPr>
          <w:noProof/>
        </w:rPr>
        <w:t xml:space="preserve"> resource commitments associated with meetings, preparation and coordination.</w:t>
      </w:r>
      <w:r w:rsidR="001471E7" w:rsidRPr="59E4558D">
        <w:rPr>
          <w:noProof/>
        </w:rPr>
        <w:t xml:space="preserve"> Assuming </w:t>
      </w:r>
      <w:r w:rsidR="001471E7" w:rsidRPr="59E4558D">
        <w:rPr>
          <w:rFonts w:eastAsiaTheme="majorEastAsia"/>
          <w:noProof/>
        </w:rPr>
        <w:t>two in-person events per year</w:t>
      </w:r>
      <w:r w:rsidR="001471E7" w:rsidRPr="59E4558D">
        <w:rPr>
          <w:noProof/>
        </w:rPr>
        <w:t xml:space="preserve"> and </w:t>
      </w:r>
      <w:r w:rsidR="001471E7" w:rsidRPr="59E4558D">
        <w:rPr>
          <w:rFonts w:eastAsiaTheme="majorEastAsia"/>
          <w:noProof/>
        </w:rPr>
        <w:t>five online webinars per year</w:t>
      </w:r>
      <w:r w:rsidR="001471E7" w:rsidRPr="59E4558D">
        <w:rPr>
          <w:noProof/>
        </w:rPr>
        <w:t xml:space="preserve">, the participation requirement amounts to approximately </w:t>
      </w:r>
      <w:r w:rsidR="001471E7" w:rsidRPr="59E4558D">
        <w:rPr>
          <w:rFonts w:eastAsiaTheme="majorEastAsia"/>
          <w:noProof/>
        </w:rPr>
        <w:t>7.5 staff-days per participant per year</w:t>
      </w:r>
      <w:r w:rsidR="001471E7" w:rsidRPr="59E4558D">
        <w:rPr>
          <w:noProof/>
        </w:rPr>
        <w:t xml:space="preserve">, </w:t>
      </w:r>
      <w:r w:rsidR="001471E7" w:rsidRPr="59E4558D">
        <w:rPr>
          <w:rFonts w:eastAsiaTheme="majorEastAsia"/>
          <w:noProof/>
        </w:rPr>
        <w:t>plus travel costs per in-person trip</w:t>
      </w:r>
      <w:r w:rsidR="001471E7" w:rsidRPr="59E4558D">
        <w:rPr>
          <w:noProof/>
        </w:rPr>
        <w:t xml:space="preserve">. Participation is expected from </w:t>
      </w:r>
      <w:r w:rsidR="001471E7" w:rsidRPr="59E4558D">
        <w:rPr>
          <w:rFonts w:eastAsiaTheme="majorEastAsia"/>
          <w:noProof/>
        </w:rPr>
        <w:t>30 data centre operators</w:t>
      </w:r>
      <w:r w:rsidR="001471E7" w:rsidRPr="59E4558D">
        <w:rPr>
          <w:noProof/>
        </w:rPr>
        <w:t xml:space="preserve"> and </w:t>
      </w:r>
      <w:r w:rsidR="001471E7" w:rsidRPr="59E4558D">
        <w:rPr>
          <w:rFonts w:eastAsiaTheme="majorEastAsia"/>
          <w:noProof/>
        </w:rPr>
        <w:t>10 CSPs</w:t>
      </w:r>
      <w:r w:rsidR="001471E7">
        <w:rPr>
          <w:noProof/>
        </w:rPr>
        <w:t xml:space="preserve"> active in the deployment of data centres,</w:t>
      </w:r>
      <w:r w:rsidR="001471E7" w:rsidRPr="59E4558D">
        <w:rPr>
          <w:noProof/>
        </w:rPr>
        <w:t xml:space="preserve"> reflecting the </w:t>
      </w:r>
      <w:r w:rsidR="001471E7">
        <w:rPr>
          <w:noProof/>
        </w:rPr>
        <w:t>for</w:t>
      </w:r>
      <w:r w:rsidR="14865429">
        <w:rPr>
          <w:noProof/>
        </w:rPr>
        <w:t>um</w:t>
      </w:r>
      <w:r w:rsidR="001471E7">
        <w:rPr>
          <w:noProof/>
        </w:rPr>
        <w:t>’s</w:t>
      </w:r>
      <w:r w:rsidR="001471E7" w:rsidRPr="59E4558D">
        <w:rPr>
          <w:noProof/>
        </w:rPr>
        <w:t xml:space="preserve"> focus on data-centre deployment issues. The cost for other private sector stakeholders is not factored.</w:t>
      </w:r>
      <w:r w:rsidR="006A59FA" w:rsidRPr="006A59FA">
        <w:rPr>
          <w:noProof/>
        </w:rPr>
        <w:t xml:space="preserve"> </w:t>
      </w:r>
    </w:p>
    <w:p w14:paraId="65E24F98" w14:textId="615080C2" w:rsidR="001471E7" w:rsidRPr="00864060" w:rsidRDefault="006A59FA" w:rsidP="00864060">
      <w:pPr>
        <w:pStyle w:val="Text1"/>
        <w:ind w:left="0"/>
        <w:rPr>
          <w:noProof/>
        </w:rPr>
      </w:pPr>
      <w:r>
        <w:rPr>
          <w:noProof/>
        </w:rPr>
        <w:t xml:space="preserve">Total adjustment costs for data centre operators under PM2 are thus estimated at EUR </w:t>
      </w:r>
      <w:r w:rsidR="00864060">
        <w:rPr>
          <w:noProof/>
        </w:rPr>
        <w:t>1</w:t>
      </w:r>
      <w:r>
        <w:rPr>
          <w:noProof/>
        </w:rPr>
        <w:t>.</w:t>
      </w:r>
      <w:r w:rsidR="00864060">
        <w:rPr>
          <w:noProof/>
        </w:rPr>
        <w:t>5</w:t>
      </w:r>
      <w:r>
        <w:rPr>
          <w:noProof/>
        </w:rPr>
        <w:t xml:space="preserve"> m (NPV, 10-years)</w:t>
      </w:r>
    </w:p>
    <w:p w14:paraId="361479BF" w14:textId="7D83ECBA" w:rsidR="001471E7" w:rsidRPr="00A54618" w:rsidRDefault="001471E7" w:rsidP="001471E7">
      <w:pPr>
        <w:pStyle w:val="Text1"/>
        <w:spacing w:after="0"/>
        <w:ind w:left="0"/>
        <w:rPr>
          <w:noProof/>
        </w:rPr>
      </w:pPr>
      <w:r w:rsidRPr="59E4558D">
        <w:rPr>
          <w:b/>
          <w:i/>
          <w:noProof/>
        </w:rPr>
        <w:t xml:space="preserve">Cost savings for </w:t>
      </w:r>
      <w:r w:rsidR="5C259A63" w:rsidRPr="37D12A48">
        <w:rPr>
          <w:b/>
          <w:bCs/>
          <w:i/>
          <w:iCs/>
          <w:noProof/>
        </w:rPr>
        <w:t>d</w:t>
      </w:r>
      <w:r w:rsidR="00C73124" w:rsidRPr="37D12A48">
        <w:rPr>
          <w:b/>
          <w:bCs/>
          <w:i/>
          <w:iCs/>
          <w:noProof/>
        </w:rPr>
        <w:t xml:space="preserve">ata </w:t>
      </w:r>
      <w:r w:rsidR="2DDCDE2E" w:rsidRPr="37D12A48">
        <w:rPr>
          <w:b/>
          <w:bCs/>
          <w:i/>
          <w:iCs/>
          <w:noProof/>
        </w:rPr>
        <w:t>c</w:t>
      </w:r>
      <w:r w:rsidR="00C73124" w:rsidRPr="37D12A48">
        <w:rPr>
          <w:b/>
          <w:bCs/>
          <w:i/>
          <w:iCs/>
          <w:noProof/>
        </w:rPr>
        <w:t xml:space="preserve">entre </w:t>
      </w:r>
      <w:r w:rsidR="19088576" w:rsidRPr="37D12A48">
        <w:rPr>
          <w:b/>
          <w:bCs/>
          <w:i/>
          <w:iCs/>
          <w:noProof/>
        </w:rPr>
        <w:t>o</w:t>
      </w:r>
      <w:r w:rsidR="00C73124" w:rsidRPr="59E4558D">
        <w:rPr>
          <w:b/>
          <w:i/>
          <w:noProof/>
        </w:rPr>
        <w:t>perators</w:t>
      </w:r>
      <w:r w:rsidRPr="59E4558D">
        <w:rPr>
          <w:noProof/>
        </w:rPr>
        <w:t xml:space="preserve">. </w:t>
      </w:r>
      <w:r>
        <w:rPr>
          <w:noProof/>
        </w:rPr>
        <w:t xml:space="preserve">The cost savings for data centre operators are </w:t>
      </w:r>
      <w:r w:rsidR="00D073DB">
        <w:rPr>
          <w:noProof/>
        </w:rPr>
        <w:t>d</w:t>
      </w:r>
      <w:r>
        <w:rPr>
          <w:noProof/>
        </w:rPr>
        <w:t xml:space="preserve">escribed as indirect costs as the magnitude and reach of the measure is by design not big enough for these costs to be monetised. </w:t>
      </w:r>
    </w:p>
    <w:p w14:paraId="4A8F7412" w14:textId="77777777" w:rsidR="001471E7" w:rsidRPr="00A54618" w:rsidRDefault="001471E7" w:rsidP="001471E7">
      <w:pPr>
        <w:pStyle w:val="Text1"/>
        <w:spacing w:after="0"/>
        <w:ind w:left="0"/>
        <w:rPr>
          <w:noProof/>
          <w:lang w:val="en-IE"/>
        </w:rPr>
      </w:pPr>
    </w:p>
    <w:p w14:paraId="4433E9E6" w14:textId="77777777" w:rsidR="003E6D7D" w:rsidRDefault="00141411" w:rsidP="001471E7">
      <w:pPr>
        <w:pStyle w:val="Text1"/>
        <w:ind w:left="0"/>
        <w:rPr>
          <w:noProof/>
          <w:lang w:val="en-IE"/>
        </w:rPr>
      </w:pPr>
      <w:r>
        <w:rPr>
          <w:b/>
          <w:bCs/>
          <w:i/>
          <w:iCs/>
          <w:noProof/>
          <w:lang w:val="en-IE"/>
        </w:rPr>
        <w:t>A</w:t>
      </w:r>
      <w:r w:rsidR="00D073DB">
        <w:rPr>
          <w:b/>
          <w:bCs/>
          <w:i/>
          <w:iCs/>
          <w:noProof/>
          <w:lang w:val="en-IE"/>
        </w:rPr>
        <w:t xml:space="preserve">djustment </w:t>
      </w:r>
      <w:r w:rsidR="001471E7" w:rsidRPr="00C81870">
        <w:rPr>
          <w:b/>
          <w:bCs/>
          <w:i/>
          <w:iCs/>
          <w:noProof/>
          <w:lang w:val="en-IE"/>
        </w:rPr>
        <w:t xml:space="preserve">costs for </w:t>
      </w:r>
      <w:r w:rsidR="2CFEA8F7" w:rsidRPr="0AEF722F">
        <w:rPr>
          <w:b/>
          <w:bCs/>
          <w:i/>
          <w:iCs/>
          <w:noProof/>
          <w:lang w:val="en-IE"/>
        </w:rPr>
        <w:t>n</w:t>
      </w:r>
      <w:r w:rsidR="001471E7" w:rsidRPr="0AEF722F">
        <w:rPr>
          <w:b/>
          <w:bCs/>
          <w:i/>
          <w:iCs/>
          <w:noProof/>
          <w:lang w:val="en-IE"/>
        </w:rPr>
        <w:t xml:space="preserve">ational </w:t>
      </w:r>
      <w:r w:rsidR="7B5141DD" w:rsidRPr="0AEF722F">
        <w:rPr>
          <w:b/>
          <w:bCs/>
          <w:i/>
          <w:iCs/>
          <w:noProof/>
          <w:lang w:val="en-IE"/>
        </w:rPr>
        <w:t>p</w:t>
      </w:r>
      <w:r w:rsidR="001471E7" w:rsidRPr="0AEF722F">
        <w:rPr>
          <w:b/>
          <w:bCs/>
          <w:i/>
          <w:iCs/>
          <w:noProof/>
          <w:lang w:val="en-IE"/>
        </w:rPr>
        <w:t xml:space="preserve">ublic </w:t>
      </w:r>
      <w:r w:rsidR="6BF7B7EE" w:rsidRPr="0AEF722F">
        <w:rPr>
          <w:b/>
          <w:bCs/>
          <w:i/>
          <w:iCs/>
          <w:noProof/>
          <w:lang w:val="en-IE"/>
        </w:rPr>
        <w:t>a</w:t>
      </w:r>
      <w:r w:rsidR="001471E7" w:rsidRPr="00C81870">
        <w:rPr>
          <w:b/>
          <w:bCs/>
          <w:i/>
          <w:iCs/>
          <w:noProof/>
          <w:lang w:val="en-IE"/>
        </w:rPr>
        <w:t>uthorities.</w:t>
      </w:r>
      <w:r w:rsidR="001471E7" w:rsidRPr="003401EC">
        <w:rPr>
          <w:i/>
          <w:iCs/>
          <w:noProof/>
          <w:lang w:val="en-IE"/>
        </w:rPr>
        <w:t xml:space="preserve"> </w:t>
      </w:r>
      <w:r w:rsidR="001471E7" w:rsidRPr="003401EC">
        <w:rPr>
          <w:noProof/>
          <w:lang w:val="en-IE"/>
        </w:rPr>
        <w:t xml:space="preserve">Recurrent </w:t>
      </w:r>
      <w:r w:rsidR="00D073DB">
        <w:rPr>
          <w:noProof/>
          <w:lang w:val="en-IE"/>
        </w:rPr>
        <w:t>adjustment</w:t>
      </w:r>
      <w:r w:rsidR="001471E7" w:rsidRPr="003401EC">
        <w:rPr>
          <w:noProof/>
          <w:lang w:val="en-IE"/>
        </w:rPr>
        <w:t xml:space="preserve"> costs for public authorities </w:t>
      </w:r>
      <w:r w:rsidR="001471E7">
        <w:rPr>
          <w:noProof/>
          <w:lang w:val="en-IE"/>
        </w:rPr>
        <w:t>are</w:t>
      </w:r>
      <w:r w:rsidR="001471E7" w:rsidRPr="003401EC">
        <w:rPr>
          <w:noProof/>
          <w:lang w:val="en-IE"/>
        </w:rPr>
        <w:t xml:space="preserve"> primarily linked to their participation in the exchanges. For simplicity, it is assumed that 27 national authorities take part each year, although in practice representation may also be delegated to</w:t>
      </w:r>
      <w:r w:rsidR="001471E7" w:rsidRPr="1FD96E02">
        <w:rPr>
          <w:rFonts w:eastAsiaTheme="minorEastAsia"/>
          <w:noProof/>
          <w:lang w:val="en-IE"/>
        </w:rPr>
        <w:t xml:space="preserve"> local authorities, depending on their involvement in data centre deployment. </w:t>
      </w:r>
      <w:r w:rsidR="001471E7" w:rsidRPr="00A54618">
        <w:rPr>
          <w:noProof/>
          <w:lang w:val="en-IE"/>
        </w:rPr>
        <w:t xml:space="preserve">These costs cover attendance and preparation for two in-person meetings annually, as well as participation in a programme of five webinars per year for each authority. </w:t>
      </w:r>
    </w:p>
    <w:p w14:paraId="3D8D2DE3" w14:textId="7C2037AA" w:rsidR="001471E7" w:rsidRPr="00634892" w:rsidRDefault="00634892" w:rsidP="001471E7">
      <w:pPr>
        <w:pStyle w:val="Text1"/>
        <w:ind w:left="0"/>
        <w:rPr>
          <w:noProof/>
        </w:rPr>
      </w:pPr>
      <w:r>
        <w:rPr>
          <w:noProof/>
        </w:rPr>
        <w:t xml:space="preserve">Total </w:t>
      </w:r>
      <w:r w:rsidR="0088606B">
        <w:rPr>
          <w:noProof/>
        </w:rPr>
        <w:t xml:space="preserve">recurrent </w:t>
      </w:r>
      <w:r>
        <w:rPr>
          <w:noProof/>
        </w:rPr>
        <w:t xml:space="preserve">adjustment costs for national public authorities under PM2 are thus estimated at EUR </w:t>
      </w:r>
      <w:r w:rsidR="00032F71">
        <w:rPr>
          <w:noProof/>
        </w:rPr>
        <w:t>0.8</w:t>
      </w:r>
      <w:r>
        <w:rPr>
          <w:noProof/>
        </w:rPr>
        <w:t xml:space="preserve"> m (NPV, 10-years)</w:t>
      </w:r>
      <w:r w:rsidR="009A7019">
        <w:rPr>
          <w:noProof/>
        </w:rPr>
        <w:t>.</w:t>
      </w:r>
    </w:p>
    <w:p w14:paraId="6C26229F" w14:textId="02B96321" w:rsidR="001471E7" w:rsidRDefault="001471E7" w:rsidP="001471E7">
      <w:pPr>
        <w:pStyle w:val="Text1"/>
        <w:spacing w:after="0"/>
        <w:ind w:left="0"/>
        <w:rPr>
          <w:noProof/>
        </w:rPr>
      </w:pPr>
      <w:r w:rsidRPr="59E4558D">
        <w:rPr>
          <w:b/>
          <w:i/>
          <w:noProof/>
        </w:rPr>
        <w:t xml:space="preserve">Recurrent savings for </w:t>
      </w:r>
      <w:r w:rsidR="0009F7AB" w:rsidRPr="0AEF722F">
        <w:rPr>
          <w:b/>
          <w:bCs/>
          <w:i/>
          <w:iCs/>
          <w:noProof/>
        </w:rPr>
        <w:t>n</w:t>
      </w:r>
      <w:r w:rsidRPr="0AEF722F">
        <w:rPr>
          <w:b/>
          <w:bCs/>
          <w:i/>
          <w:iCs/>
          <w:noProof/>
        </w:rPr>
        <w:t xml:space="preserve">ational </w:t>
      </w:r>
      <w:r w:rsidR="40809279" w:rsidRPr="0AEF722F">
        <w:rPr>
          <w:b/>
          <w:bCs/>
          <w:i/>
          <w:iCs/>
          <w:noProof/>
        </w:rPr>
        <w:t>p</w:t>
      </w:r>
      <w:r w:rsidRPr="0AEF722F">
        <w:rPr>
          <w:b/>
          <w:bCs/>
          <w:i/>
          <w:iCs/>
          <w:noProof/>
        </w:rPr>
        <w:t xml:space="preserve">ublic </w:t>
      </w:r>
      <w:r w:rsidR="03789850" w:rsidRPr="0AEF722F">
        <w:rPr>
          <w:b/>
          <w:bCs/>
          <w:i/>
          <w:iCs/>
          <w:noProof/>
        </w:rPr>
        <w:t>a</w:t>
      </w:r>
      <w:r w:rsidRPr="59E4558D">
        <w:rPr>
          <w:b/>
          <w:i/>
          <w:noProof/>
        </w:rPr>
        <w:t>uthorities.</w:t>
      </w:r>
      <w:r w:rsidRPr="59E4558D">
        <w:rPr>
          <w:i/>
          <w:noProof/>
        </w:rPr>
        <w:t xml:space="preserve"> </w:t>
      </w:r>
      <w:r>
        <w:rPr>
          <w:noProof/>
        </w:rPr>
        <w:t xml:space="preserve">The cost savings for public authorities are </w:t>
      </w:r>
      <w:r w:rsidR="00CA67E8">
        <w:rPr>
          <w:noProof/>
        </w:rPr>
        <w:t>d</w:t>
      </w:r>
      <w:r>
        <w:rPr>
          <w:noProof/>
        </w:rPr>
        <w:t xml:space="preserve">escribed as indirect costs as the magnitude and reach of the measure is by design not big enough for these costs to be monetised. </w:t>
      </w:r>
    </w:p>
    <w:p w14:paraId="7DDE73EB" w14:textId="77777777" w:rsidR="009D65E4" w:rsidRDefault="009D65E4" w:rsidP="001471E7">
      <w:pPr>
        <w:pStyle w:val="Text1"/>
        <w:spacing w:after="0"/>
        <w:ind w:left="0"/>
        <w:rPr>
          <w:noProof/>
        </w:rPr>
      </w:pPr>
    </w:p>
    <w:p w14:paraId="60EA5A46" w14:textId="77777777" w:rsidR="009A7019" w:rsidRDefault="009D65E4" w:rsidP="009D65E4">
      <w:pPr>
        <w:pStyle w:val="Text1"/>
        <w:ind w:left="0"/>
        <w:rPr>
          <w:noProof/>
          <w:lang w:val="en-IE"/>
        </w:rPr>
      </w:pPr>
      <w:r w:rsidRPr="00C81870">
        <w:rPr>
          <w:b/>
          <w:bCs/>
          <w:i/>
          <w:iCs/>
          <w:noProof/>
          <w:lang w:val="en-IE"/>
        </w:rPr>
        <w:t>Administrative costs for the European Commission.</w:t>
      </w:r>
      <w:r w:rsidRPr="003401EC">
        <w:rPr>
          <w:noProof/>
          <w:lang w:val="en-IE"/>
        </w:rPr>
        <w:t xml:space="preserve"> The Commission would incur one-off</w:t>
      </w:r>
      <w:r w:rsidRPr="003401EC">
        <w:rPr>
          <w:b/>
          <w:noProof/>
          <w:lang w:val="en-IE"/>
        </w:rPr>
        <w:t xml:space="preserve"> </w:t>
      </w:r>
      <w:r w:rsidRPr="003401EC">
        <w:rPr>
          <w:noProof/>
          <w:lang w:val="en-IE"/>
        </w:rPr>
        <w:t xml:space="preserve">administrative costs to organise the exchanges, covering tasks such as defining the rules of procedure, issuing invitations and setting up the platforms for interaction. These start-up costs are estimated at approximately 40 staff days (equivalent to 0.2 FTE) for the first year of operation. Recurrent costs would arise from the supervisory and organisational role of the Commission in managing the </w:t>
      </w:r>
      <w:r w:rsidRPr="0AEF722F">
        <w:rPr>
          <w:noProof/>
          <w:lang w:val="en-IE"/>
        </w:rPr>
        <w:t>forum.</w:t>
      </w:r>
      <w:r w:rsidRPr="003401EC">
        <w:rPr>
          <w:noProof/>
          <w:lang w:val="en-IE"/>
        </w:rPr>
        <w:t xml:space="preserve"> This is estimated at </w:t>
      </w:r>
      <w:r>
        <w:rPr>
          <w:noProof/>
          <w:lang w:val="en-IE"/>
        </w:rPr>
        <w:t>4</w:t>
      </w:r>
      <w:r w:rsidRPr="003401EC">
        <w:rPr>
          <w:noProof/>
          <w:lang w:val="en-IE"/>
        </w:rPr>
        <w:t>0 staff days annually (0.</w:t>
      </w:r>
      <w:r>
        <w:rPr>
          <w:noProof/>
          <w:lang w:val="en-IE"/>
        </w:rPr>
        <w:t>2</w:t>
      </w:r>
      <w:r w:rsidRPr="003401EC">
        <w:rPr>
          <w:noProof/>
          <w:lang w:val="en-IE"/>
        </w:rPr>
        <w:t xml:space="preserve"> FTE) for coordination and oversight, </w:t>
      </w:r>
      <w:r>
        <w:rPr>
          <w:noProof/>
          <w:lang w:val="en-IE"/>
        </w:rPr>
        <w:t xml:space="preserve">including </w:t>
      </w:r>
      <w:r w:rsidRPr="003401EC">
        <w:rPr>
          <w:noProof/>
          <w:lang w:val="en-IE"/>
        </w:rPr>
        <w:t>the time dedicated to organising and participating in two in person events and five webinars per year.</w:t>
      </w:r>
      <w:r w:rsidRPr="00A54618">
        <w:rPr>
          <w:noProof/>
          <w:lang w:val="en-IE"/>
        </w:rPr>
        <w:t xml:space="preserve"> </w:t>
      </w:r>
      <w:r w:rsidRPr="003401EC">
        <w:rPr>
          <w:noProof/>
          <w:lang w:val="en-IE"/>
        </w:rPr>
        <w:t xml:space="preserve">Furthermore, the cost of hosting one in-person event per year at the Commission’s premises is estimated at </w:t>
      </w:r>
      <w:r>
        <w:rPr>
          <w:noProof/>
          <w:lang w:val="en-IE"/>
        </w:rPr>
        <w:t xml:space="preserve">EUR </w:t>
      </w:r>
      <w:r w:rsidRPr="003401EC">
        <w:rPr>
          <w:noProof/>
          <w:lang w:val="en-IE"/>
        </w:rPr>
        <w:t>5</w:t>
      </w:r>
      <w:r>
        <w:rPr>
          <w:noProof/>
          <w:lang w:val="en-IE"/>
        </w:rPr>
        <w:t xml:space="preserve"> </w:t>
      </w:r>
      <w:r w:rsidRPr="003401EC">
        <w:rPr>
          <w:noProof/>
          <w:lang w:val="en-IE"/>
        </w:rPr>
        <w:t>000.</w:t>
      </w:r>
      <w:r>
        <w:rPr>
          <w:noProof/>
          <w:lang w:val="en-IE"/>
        </w:rPr>
        <w:t xml:space="preserve"> </w:t>
      </w:r>
    </w:p>
    <w:p w14:paraId="265309BF" w14:textId="2FCCDA95" w:rsidR="009D65E4" w:rsidRPr="00864060" w:rsidRDefault="009D65E4" w:rsidP="009D65E4">
      <w:pPr>
        <w:pStyle w:val="Text1"/>
        <w:ind w:left="0"/>
        <w:rPr>
          <w:noProof/>
        </w:rPr>
      </w:pPr>
      <w:r>
        <w:rPr>
          <w:noProof/>
        </w:rPr>
        <w:t xml:space="preserve">Total administrative costs </w:t>
      </w:r>
      <w:r w:rsidR="0055041F">
        <w:rPr>
          <w:noProof/>
        </w:rPr>
        <w:t xml:space="preserve">(one-off and recurrent) </w:t>
      </w:r>
      <w:r>
        <w:rPr>
          <w:noProof/>
        </w:rPr>
        <w:t>for the Commission under PM2 are thus estimated at EUR 0.2 m (NPV, 10-years)</w:t>
      </w:r>
    </w:p>
    <w:p w14:paraId="5BF26571" w14:textId="1190B5EC" w:rsidR="001471E7" w:rsidRDefault="001471E7" w:rsidP="001471E7">
      <w:pPr>
        <w:pStyle w:val="Text1"/>
        <w:spacing w:after="0"/>
        <w:ind w:left="0"/>
        <w:rPr>
          <w:noProof/>
        </w:rPr>
      </w:pPr>
      <w:r w:rsidRPr="001F6C3A">
        <w:rPr>
          <w:b/>
          <w:iCs/>
          <w:noProof/>
        </w:rPr>
        <w:t xml:space="preserve">Indirect </w:t>
      </w:r>
      <w:r w:rsidR="009A6552">
        <w:rPr>
          <w:b/>
          <w:noProof/>
        </w:rPr>
        <w:t>impact</w:t>
      </w:r>
      <w:r w:rsidRPr="001F6C3A">
        <w:rPr>
          <w:b/>
          <w:iCs/>
          <w:noProof/>
        </w:rPr>
        <w:t>:</w:t>
      </w:r>
      <w:r w:rsidRPr="006F6E56">
        <w:rPr>
          <w:b/>
          <w:i/>
          <w:noProof/>
        </w:rPr>
        <w:t xml:space="preserve"> </w:t>
      </w:r>
      <w:r>
        <w:rPr>
          <w:noProof/>
        </w:rPr>
        <w:t>For data centre operators c</w:t>
      </w:r>
      <w:r w:rsidRPr="59E4558D">
        <w:rPr>
          <w:noProof/>
        </w:rPr>
        <w:t xml:space="preserve">ost savings under this measure would stem from coordination efficiencies due to these discussions focused on data centre development across the EU. </w:t>
      </w:r>
      <w:r>
        <w:rPr>
          <w:noProof/>
        </w:rPr>
        <w:t>The for</w:t>
      </w:r>
      <w:r w:rsidR="46555A71">
        <w:rPr>
          <w:noProof/>
        </w:rPr>
        <w:t>um</w:t>
      </w:r>
      <w:r>
        <w:rPr>
          <w:noProof/>
        </w:rPr>
        <w:t xml:space="preserve"> </w:t>
      </w:r>
      <w:r w:rsidR="0D71BDC9">
        <w:rPr>
          <w:noProof/>
        </w:rPr>
        <w:t>is</w:t>
      </w:r>
      <w:r w:rsidRPr="59E4558D">
        <w:rPr>
          <w:noProof/>
        </w:rPr>
        <w:t xml:space="preserve"> expected to reduce duplicated outreach and bilateral exchanges with key stakeholders, such as permitting authorities, </w:t>
      </w:r>
      <w:r w:rsidR="626573A4">
        <w:rPr>
          <w:noProof/>
        </w:rPr>
        <w:t xml:space="preserve">TSOs </w:t>
      </w:r>
      <w:r w:rsidRPr="59E4558D">
        <w:rPr>
          <w:noProof/>
        </w:rPr>
        <w:t xml:space="preserve">and local administrations when building new data centres. </w:t>
      </w:r>
    </w:p>
    <w:p w14:paraId="7D2A87E6" w14:textId="77777777" w:rsidR="001471E7" w:rsidRPr="006F6E56" w:rsidRDefault="001471E7" w:rsidP="001471E7">
      <w:pPr>
        <w:pStyle w:val="Text1"/>
        <w:spacing w:after="0"/>
        <w:ind w:left="0"/>
        <w:rPr>
          <w:noProof/>
        </w:rPr>
      </w:pPr>
    </w:p>
    <w:p w14:paraId="63AC7950" w14:textId="0DCA0726" w:rsidR="001471E7" w:rsidRDefault="001471E7" w:rsidP="001471E7">
      <w:pPr>
        <w:pStyle w:val="Text1"/>
        <w:spacing w:after="0"/>
        <w:ind w:left="0"/>
        <w:rPr>
          <w:noProof/>
        </w:rPr>
      </w:pPr>
      <w:r w:rsidRPr="59E4558D">
        <w:rPr>
          <w:noProof/>
        </w:rPr>
        <w:t xml:space="preserve">Recurrent cost savings for </w:t>
      </w:r>
      <w:r w:rsidR="00CA67E8">
        <w:rPr>
          <w:noProof/>
        </w:rPr>
        <w:t>national</w:t>
      </w:r>
      <w:r w:rsidRPr="59E4558D">
        <w:rPr>
          <w:noProof/>
        </w:rPr>
        <w:t xml:space="preserve"> public authorities are expected from the centralisation of exchanges through the </w:t>
      </w:r>
      <w:r>
        <w:rPr>
          <w:noProof/>
        </w:rPr>
        <w:t>for</w:t>
      </w:r>
      <w:r w:rsidR="42697356">
        <w:rPr>
          <w:noProof/>
        </w:rPr>
        <w:t>um</w:t>
      </w:r>
      <w:r w:rsidRPr="59E4558D">
        <w:rPr>
          <w:noProof/>
        </w:rPr>
        <w:t>, which reduces repeated bilateral interactions</w:t>
      </w:r>
      <w:r>
        <w:rPr>
          <w:noProof/>
        </w:rPr>
        <w:t xml:space="preserve"> with providers</w:t>
      </w:r>
      <w:r w:rsidRPr="59E4558D">
        <w:rPr>
          <w:noProof/>
        </w:rPr>
        <w:t>.</w:t>
      </w:r>
    </w:p>
    <w:p w14:paraId="6AB6EE84" w14:textId="77777777" w:rsidR="001471E7" w:rsidRDefault="001471E7" w:rsidP="001471E7">
      <w:pPr>
        <w:pStyle w:val="Text1"/>
        <w:spacing w:after="0"/>
        <w:ind w:left="0"/>
        <w:rPr>
          <w:noProof/>
        </w:rPr>
      </w:pPr>
    </w:p>
    <w:p w14:paraId="3B5049BB" w14:textId="48E1B057" w:rsidR="001471E7" w:rsidRPr="00C73124" w:rsidRDefault="001471E7" w:rsidP="00C73124">
      <w:pPr>
        <w:rPr>
          <w:rFonts w:eastAsia="Times New Roman"/>
          <w:noProof/>
        </w:rPr>
      </w:pPr>
      <w:r w:rsidRPr="0007547C">
        <w:rPr>
          <w:b/>
          <w:noProof/>
        </w:rPr>
        <w:t>Sensitivity analysis</w:t>
      </w:r>
      <w:r w:rsidRPr="00E3792D">
        <w:rPr>
          <w:b/>
          <w:noProof/>
        </w:rPr>
        <w:t>:</w:t>
      </w:r>
      <w:r w:rsidRPr="0007547C">
        <w:rPr>
          <w:b/>
          <w:noProof/>
        </w:rPr>
        <w:t xml:space="preserve"> </w:t>
      </w:r>
      <w:r w:rsidR="004E1369">
        <w:rPr>
          <w:bCs/>
          <w:noProof/>
        </w:rPr>
        <w:t xml:space="preserve">As above, </w:t>
      </w:r>
      <w:r w:rsidR="004E1369">
        <w:rPr>
          <w:noProof/>
          <w:lang w:val="en-IE"/>
        </w:rPr>
        <w:t>no sensitivity analysis has been conducted on this policy measure as the amounts at stake are too small.</w:t>
      </w:r>
    </w:p>
    <w:p w14:paraId="5CD5D4C7" w14:textId="36960C16" w:rsidR="00AD363F" w:rsidRDefault="001471E7" w:rsidP="001471E7">
      <w:pPr>
        <w:pStyle w:val="Text1"/>
        <w:ind w:left="0"/>
        <w:rPr>
          <w:noProof/>
          <w:lang w:val="en-IE"/>
        </w:rPr>
      </w:pPr>
      <w:r w:rsidRPr="008D0BAC">
        <w:rPr>
          <w:b/>
          <w:noProof/>
          <w:lang w:val="en-IE"/>
        </w:rPr>
        <w:t>Results:</w:t>
      </w:r>
      <w:r>
        <w:rPr>
          <w:noProof/>
          <w:lang w:val="en-IE"/>
        </w:rPr>
        <w:t xml:space="preserve"> </w:t>
      </w:r>
      <w:r w:rsidRPr="00DA029C">
        <w:rPr>
          <w:noProof/>
          <w:lang w:val="en-IE"/>
        </w:rPr>
        <w:t>For PM2</w:t>
      </w:r>
      <w:r w:rsidR="13D586AB" w:rsidRPr="3DDC7DAE">
        <w:rPr>
          <w:noProof/>
          <w:lang w:val="en-IE"/>
        </w:rPr>
        <w:t>,</w:t>
      </w:r>
      <w:r w:rsidRPr="00DA029C">
        <w:rPr>
          <w:noProof/>
          <w:lang w:val="en-IE"/>
        </w:rPr>
        <w:t xml:space="preserve"> the estimated</w:t>
      </w:r>
      <w:r w:rsidR="008F7892">
        <w:rPr>
          <w:noProof/>
          <w:lang w:val="en-IE"/>
        </w:rPr>
        <w:t xml:space="preserve"> net</w:t>
      </w:r>
      <w:r w:rsidRPr="00DA029C">
        <w:rPr>
          <w:noProof/>
          <w:lang w:val="en-IE"/>
        </w:rPr>
        <w:t xml:space="preserve"> costs for the implementation of this measure </w:t>
      </w:r>
      <w:r w:rsidR="007A4587">
        <w:rPr>
          <w:noProof/>
          <w:lang w:val="en-IE"/>
        </w:rPr>
        <w:t>are</w:t>
      </w:r>
      <w:r w:rsidR="007A4587" w:rsidRPr="00DA029C">
        <w:rPr>
          <w:noProof/>
          <w:lang w:val="en-IE"/>
        </w:rPr>
        <w:t xml:space="preserve"> </w:t>
      </w:r>
      <w:r w:rsidR="007A4587">
        <w:rPr>
          <w:noProof/>
          <w:lang w:val="en-IE"/>
        </w:rPr>
        <w:t xml:space="preserve">EUR </w:t>
      </w:r>
      <w:r w:rsidR="004E7958" w:rsidRPr="003C73E7">
        <w:rPr>
          <w:noProof/>
        </w:rPr>
        <w:t>2</w:t>
      </w:r>
      <w:r w:rsidR="004E7958">
        <w:rPr>
          <w:noProof/>
        </w:rPr>
        <w:t xml:space="preserve"> </w:t>
      </w:r>
      <w:r w:rsidR="004E7958" w:rsidRPr="003C73E7">
        <w:rPr>
          <w:noProof/>
        </w:rPr>
        <w:t>603</w:t>
      </w:r>
      <w:r w:rsidR="004E7958">
        <w:rPr>
          <w:noProof/>
        </w:rPr>
        <w:t xml:space="preserve"> </w:t>
      </w:r>
      <w:r w:rsidR="004E7958" w:rsidRPr="003C73E7">
        <w:rPr>
          <w:noProof/>
        </w:rPr>
        <w:t>530</w:t>
      </w:r>
      <w:r w:rsidR="007A4587" w:rsidRPr="00DA029C">
        <w:rPr>
          <w:noProof/>
          <w:lang w:val="en-IE"/>
        </w:rPr>
        <w:t>.</w:t>
      </w:r>
      <w:r w:rsidRPr="00DA029C">
        <w:rPr>
          <w:noProof/>
          <w:lang w:val="en-IE"/>
        </w:rPr>
        <w:t xml:space="preserve"> These stem mostly from recurrent </w:t>
      </w:r>
      <w:r w:rsidR="000E7B3B">
        <w:rPr>
          <w:noProof/>
          <w:lang w:val="en-IE"/>
        </w:rPr>
        <w:t>adjustment</w:t>
      </w:r>
      <w:r w:rsidR="000E7B3B" w:rsidRPr="00DA029C">
        <w:rPr>
          <w:noProof/>
          <w:lang w:val="en-IE"/>
        </w:rPr>
        <w:t xml:space="preserve"> </w:t>
      </w:r>
      <w:r w:rsidRPr="00DA029C">
        <w:rPr>
          <w:noProof/>
          <w:lang w:val="en-IE"/>
        </w:rPr>
        <w:t>costs (</w:t>
      </w:r>
      <w:r>
        <w:rPr>
          <w:noProof/>
          <w:lang w:val="en-IE"/>
        </w:rPr>
        <w:t xml:space="preserve">EUR </w:t>
      </w:r>
      <w:r w:rsidRPr="003C73E7">
        <w:rPr>
          <w:noProof/>
        </w:rPr>
        <w:t>2</w:t>
      </w:r>
      <w:r w:rsidR="004E7958">
        <w:rPr>
          <w:noProof/>
        </w:rPr>
        <w:t xml:space="preserve"> </w:t>
      </w:r>
      <w:r w:rsidR="008F7892">
        <w:rPr>
          <w:noProof/>
        </w:rPr>
        <w:t>3</w:t>
      </w:r>
      <w:r w:rsidR="000E7B3B">
        <w:rPr>
          <w:noProof/>
        </w:rPr>
        <w:t>72 210</w:t>
      </w:r>
      <w:r w:rsidRPr="00DA029C">
        <w:rPr>
          <w:noProof/>
          <w:lang w:val="en-IE"/>
        </w:rPr>
        <w:t xml:space="preserve">) </w:t>
      </w:r>
      <w:r w:rsidR="008F7892">
        <w:rPr>
          <w:noProof/>
        </w:rPr>
        <w:t>stemming from the participation in the forum by the national public authorities and the economic operators</w:t>
      </w:r>
      <w:r w:rsidRPr="00DA029C">
        <w:rPr>
          <w:noProof/>
          <w:lang w:val="en-IE"/>
        </w:rPr>
        <w:t xml:space="preserve">. A </w:t>
      </w:r>
      <w:r w:rsidRPr="00E06289">
        <w:rPr>
          <w:noProof/>
          <w:lang w:val="en-IE"/>
        </w:rPr>
        <w:t xml:space="preserve">one-off administrative cost (EUR </w:t>
      </w:r>
      <w:r w:rsidR="00F94B7E" w:rsidRPr="00E06289">
        <w:rPr>
          <w:noProof/>
          <w:lang w:val="en-IE"/>
        </w:rPr>
        <w:t>1</w:t>
      </w:r>
      <w:r w:rsidR="00F94B7E">
        <w:rPr>
          <w:noProof/>
          <w:lang w:val="en-IE"/>
        </w:rPr>
        <w:t>5</w:t>
      </w:r>
      <w:r w:rsidR="006C6DFF">
        <w:rPr>
          <w:noProof/>
          <w:lang w:val="en-IE"/>
        </w:rPr>
        <w:t xml:space="preserve"> </w:t>
      </w:r>
      <w:r w:rsidR="00F94B7E">
        <w:rPr>
          <w:noProof/>
          <w:lang w:val="en-IE"/>
        </w:rPr>
        <w:t>322</w:t>
      </w:r>
      <w:r w:rsidR="00F94B7E" w:rsidRPr="00E06289">
        <w:rPr>
          <w:noProof/>
          <w:lang w:val="en-IE"/>
        </w:rPr>
        <w:t>)</w:t>
      </w:r>
      <w:r w:rsidR="00F94B7E" w:rsidRPr="00DA029C">
        <w:rPr>
          <w:noProof/>
          <w:lang w:val="en-IE"/>
        </w:rPr>
        <w:t xml:space="preserve"> </w:t>
      </w:r>
      <w:r w:rsidRPr="00DA029C">
        <w:rPr>
          <w:noProof/>
          <w:lang w:val="en-IE"/>
        </w:rPr>
        <w:t>is foreseen for initial setup tasks</w:t>
      </w:r>
      <w:r w:rsidR="000E7B3B">
        <w:rPr>
          <w:noProof/>
          <w:lang w:val="en-IE"/>
        </w:rPr>
        <w:t xml:space="preserve"> borne by the Commission</w:t>
      </w:r>
      <w:r w:rsidRPr="00DA029C">
        <w:rPr>
          <w:noProof/>
          <w:lang w:val="en-IE"/>
        </w:rPr>
        <w:t xml:space="preserve">. </w:t>
      </w:r>
      <w:r w:rsidR="008F7892">
        <w:rPr>
          <w:noProof/>
          <w:lang w:val="en-IE"/>
        </w:rPr>
        <w:t>R</w:t>
      </w:r>
      <w:r w:rsidR="0037364E">
        <w:rPr>
          <w:noProof/>
        </w:rPr>
        <w:t xml:space="preserve">ecurrent </w:t>
      </w:r>
      <w:r w:rsidR="008F7892">
        <w:rPr>
          <w:noProof/>
        </w:rPr>
        <w:t xml:space="preserve">administrative </w:t>
      </w:r>
      <w:r w:rsidR="0037364E">
        <w:rPr>
          <w:noProof/>
        </w:rPr>
        <w:t xml:space="preserve">costs </w:t>
      </w:r>
      <w:r w:rsidR="008F7892">
        <w:rPr>
          <w:noProof/>
        </w:rPr>
        <w:t xml:space="preserve">of </w:t>
      </w:r>
      <w:r w:rsidR="0037364E" w:rsidRPr="003C73E7">
        <w:rPr>
          <w:noProof/>
        </w:rPr>
        <w:t>2</w:t>
      </w:r>
      <w:r w:rsidR="008F7892">
        <w:rPr>
          <w:noProof/>
        </w:rPr>
        <w:t xml:space="preserve">15 998 </w:t>
      </w:r>
      <w:r w:rsidR="008F7892">
        <w:rPr>
          <w:noProof/>
          <w:lang w:val="en-IE"/>
        </w:rPr>
        <w:t>are foreseen in relation</w:t>
      </w:r>
      <w:r w:rsidR="008F7892" w:rsidRPr="00DA029C">
        <w:rPr>
          <w:noProof/>
          <w:lang w:val="en-IE"/>
        </w:rPr>
        <w:t xml:space="preserve"> to coordination for the management of the for</w:t>
      </w:r>
      <w:r w:rsidR="008F7892" w:rsidRPr="58D85C27">
        <w:rPr>
          <w:noProof/>
          <w:lang w:val="en-IE"/>
        </w:rPr>
        <w:t>um</w:t>
      </w:r>
      <w:r w:rsidR="008F7892" w:rsidRPr="00DA029C">
        <w:rPr>
          <w:noProof/>
          <w:lang w:val="en-IE"/>
        </w:rPr>
        <w:t xml:space="preserve"> discussions</w:t>
      </w:r>
      <w:r w:rsidR="002D3ECD">
        <w:rPr>
          <w:noProof/>
        </w:rPr>
        <w:t xml:space="preserve">. </w:t>
      </w:r>
      <w:r w:rsidR="0037364E">
        <w:rPr>
          <w:noProof/>
          <w:lang w:val="en-IE"/>
        </w:rPr>
        <w:t xml:space="preserve">No </w:t>
      </w:r>
      <w:r w:rsidRPr="00DA029C">
        <w:rPr>
          <w:noProof/>
          <w:lang w:val="en-IE"/>
        </w:rPr>
        <w:t>direct savings are expected.</w:t>
      </w:r>
      <w:r>
        <w:rPr>
          <w:noProof/>
          <w:lang w:val="en-IE"/>
        </w:rPr>
        <w:t xml:space="preserve"> </w:t>
      </w:r>
    </w:p>
    <w:p w14:paraId="5A3F63C3" w14:textId="6F5270C0" w:rsidR="001471E7" w:rsidRPr="00CC3A5E" w:rsidRDefault="001471E7" w:rsidP="001471E7">
      <w:pPr>
        <w:pStyle w:val="Caption"/>
        <w:rPr>
          <w:noProof/>
        </w:rPr>
      </w:pPr>
      <w:r w:rsidRPr="008D0BAC">
        <w:rPr>
          <w:noProof/>
        </w:rPr>
        <w:t xml:space="preserve">Table </w:t>
      </w:r>
      <w:r w:rsidRPr="008D0BAC">
        <w:rPr>
          <w:b w:val="0"/>
          <w:noProof/>
        </w:rPr>
        <w:fldChar w:fldCharType="begin"/>
      </w:r>
      <w:r w:rsidRPr="008D0BAC">
        <w:rPr>
          <w:noProof/>
        </w:rPr>
        <w:instrText xml:space="preserve"> SEQ Table \* ARABIC </w:instrText>
      </w:r>
      <w:r w:rsidRPr="008D0BAC">
        <w:rPr>
          <w:b w:val="0"/>
          <w:noProof/>
        </w:rPr>
        <w:fldChar w:fldCharType="separate"/>
      </w:r>
      <w:r w:rsidR="000E7F11">
        <w:rPr>
          <w:noProof/>
        </w:rPr>
        <w:t>22</w:t>
      </w:r>
      <w:r w:rsidRPr="008D0BAC">
        <w:rPr>
          <w:b w:val="0"/>
          <w:noProof/>
        </w:rPr>
        <w:fldChar w:fldCharType="end"/>
      </w:r>
      <w:r w:rsidRPr="008D0BAC">
        <w:rPr>
          <w:b w:val="0"/>
          <w:noProof/>
        </w:rPr>
        <w:t>.</w:t>
      </w:r>
      <w:r w:rsidRPr="008D0BAC">
        <w:rPr>
          <w:noProof/>
        </w:rPr>
        <w:t xml:space="preserve"> </w:t>
      </w:r>
      <w:r w:rsidR="7F87322A" w:rsidRPr="008D0BAC">
        <w:rPr>
          <w:noProof/>
        </w:rPr>
        <w:t>Creating a forum</w:t>
      </w:r>
      <w:r w:rsidRPr="008D0BAC">
        <w:rPr>
          <w:noProof/>
        </w:rPr>
        <w:t xml:space="preserve"> for exchanges between relevant public and private stakeholders involved in the buildout of data centres (PM2)</w:t>
      </w:r>
    </w:p>
    <w:tbl>
      <w:tblPr>
        <w:tblStyle w:val="TableGrid"/>
        <w:tblW w:w="9003" w:type="dxa"/>
        <w:tblLayout w:type="fixed"/>
        <w:tblCellMar>
          <w:left w:w="28" w:type="dxa"/>
          <w:right w:w="28" w:type="dxa"/>
        </w:tblCellMar>
        <w:tblLook w:val="04A0" w:firstRow="1" w:lastRow="0" w:firstColumn="1" w:lastColumn="0" w:noHBand="0" w:noVBand="1"/>
      </w:tblPr>
      <w:tblGrid>
        <w:gridCol w:w="2127"/>
        <w:gridCol w:w="1134"/>
        <w:gridCol w:w="992"/>
        <w:gridCol w:w="1276"/>
        <w:gridCol w:w="1126"/>
        <w:gridCol w:w="1174"/>
        <w:gridCol w:w="1174"/>
      </w:tblGrid>
      <w:tr w:rsidR="006B45A1" w:rsidRPr="00C1684C" w14:paraId="28135E09" w14:textId="77777777" w:rsidTr="004A2124">
        <w:trPr>
          <w:trHeight w:val="506"/>
        </w:trPr>
        <w:tc>
          <w:tcPr>
            <w:tcW w:w="2127" w:type="dxa"/>
            <w:tcBorders>
              <w:bottom w:val="single" w:sz="12" w:space="0" w:color="00B0F0"/>
            </w:tcBorders>
            <w:noWrap/>
            <w:vAlign w:val="center"/>
            <w:hideMark/>
          </w:tcPr>
          <w:p w14:paraId="3F387A76" w14:textId="77777777" w:rsidR="006B45A1" w:rsidRPr="00FA63C0" w:rsidRDefault="006B45A1" w:rsidP="004A2124">
            <w:pPr>
              <w:spacing w:after="0"/>
              <w:ind w:left="-24" w:firstLine="24"/>
              <w:jc w:val="left"/>
              <w:rPr>
                <w:b/>
                <w:bCs/>
                <w:noProof/>
                <w:sz w:val="20"/>
                <w:szCs w:val="20"/>
                <w:lang w:val="en-IE" w:eastAsia="en-IE"/>
              </w:rPr>
            </w:pPr>
            <w:r w:rsidRPr="00FA63C0">
              <w:rPr>
                <w:b/>
                <w:bCs/>
                <w:noProof/>
                <w:sz w:val="20"/>
                <w:szCs w:val="20"/>
                <w:lang w:val="en-IE" w:eastAsia="en-IE"/>
              </w:rPr>
              <w:t>Cost types</w:t>
            </w:r>
          </w:p>
        </w:tc>
        <w:tc>
          <w:tcPr>
            <w:tcW w:w="1134" w:type="dxa"/>
            <w:tcBorders>
              <w:bottom w:val="single" w:sz="12" w:space="0" w:color="00B0F0"/>
            </w:tcBorders>
            <w:vAlign w:val="center"/>
          </w:tcPr>
          <w:p w14:paraId="74BEC4C0" w14:textId="4EEC0FE2"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992" w:type="dxa"/>
            <w:tcBorders>
              <w:bottom w:val="single" w:sz="12" w:space="0" w:color="00B0F0"/>
            </w:tcBorders>
            <w:vAlign w:val="center"/>
          </w:tcPr>
          <w:p w14:paraId="558EE951" w14:textId="427E89C1"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76" w:type="dxa"/>
            <w:tcBorders>
              <w:bottom w:val="single" w:sz="12" w:space="0" w:color="00B0F0"/>
            </w:tcBorders>
            <w:vAlign w:val="center"/>
          </w:tcPr>
          <w:p w14:paraId="6699B419" w14:textId="1F257180"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26" w:type="dxa"/>
            <w:tcBorders>
              <w:bottom w:val="single" w:sz="12" w:space="0" w:color="00B0F0"/>
            </w:tcBorders>
            <w:noWrap/>
            <w:vAlign w:val="center"/>
            <w:hideMark/>
          </w:tcPr>
          <w:p w14:paraId="319EFD99" w14:textId="427548E2"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74" w:type="dxa"/>
            <w:tcBorders>
              <w:bottom w:val="single" w:sz="12" w:space="0" w:color="00B0F0"/>
            </w:tcBorders>
            <w:noWrap/>
            <w:vAlign w:val="center"/>
            <w:hideMark/>
          </w:tcPr>
          <w:p w14:paraId="3B739A3E" w14:textId="772543A8"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74" w:type="dxa"/>
            <w:tcBorders>
              <w:bottom w:val="single" w:sz="12" w:space="0" w:color="00B0F0"/>
            </w:tcBorders>
            <w:noWrap/>
            <w:vAlign w:val="center"/>
            <w:hideMark/>
          </w:tcPr>
          <w:p w14:paraId="5CF1172F" w14:textId="3598DB71"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D20365" w:rsidRPr="00C1684C" w14:paraId="40DC4042" w14:textId="77777777" w:rsidTr="004A2124">
        <w:trPr>
          <w:trHeight w:val="283"/>
        </w:trPr>
        <w:tc>
          <w:tcPr>
            <w:tcW w:w="2127" w:type="dxa"/>
            <w:tcBorders>
              <w:top w:val="single" w:sz="12" w:space="0" w:color="00B0F0"/>
            </w:tcBorders>
            <w:noWrap/>
            <w:vAlign w:val="center"/>
            <w:hideMark/>
          </w:tcPr>
          <w:p w14:paraId="0A0B51B2"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134" w:type="dxa"/>
            <w:tcBorders>
              <w:top w:val="single" w:sz="12" w:space="0" w:color="00B0F0"/>
            </w:tcBorders>
          </w:tcPr>
          <w:p w14:paraId="6F49C5A5" w14:textId="469DAC7C" w:rsidR="00D20365" w:rsidRPr="00FA63C0" w:rsidRDefault="00D20365" w:rsidP="00D20365">
            <w:pPr>
              <w:spacing w:after="0"/>
              <w:jc w:val="right"/>
              <w:rPr>
                <w:noProof/>
                <w:sz w:val="20"/>
                <w:szCs w:val="20"/>
                <w:lang w:val="en-IE" w:eastAsia="en-IE"/>
              </w:rPr>
            </w:pPr>
            <w:r w:rsidRPr="007330EA">
              <w:rPr>
                <w:b/>
                <w:bCs/>
                <w:noProof/>
                <w:sz w:val="20"/>
                <w:szCs w:val="20"/>
              </w:rPr>
              <w:t xml:space="preserve"> -</w:t>
            </w:r>
          </w:p>
        </w:tc>
        <w:tc>
          <w:tcPr>
            <w:tcW w:w="992" w:type="dxa"/>
            <w:tcBorders>
              <w:top w:val="single" w:sz="12" w:space="0" w:color="00B0F0"/>
            </w:tcBorders>
          </w:tcPr>
          <w:p w14:paraId="7C303CAE" w14:textId="4EE0CAB0" w:rsidR="00D20365" w:rsidRPr="00FA63C0" w:rsidRDefault="00D20365" w:rsidP="00D20365">
            <w:pPr>
              <w:spacing w:after="0"/>
              <w:jc w:val="right"/>
              <w:rPr>
                <w:noProof/>
                <w:sz w:val="20"/>
                <w:szCs w:val="20"/>
                <w:lang w:val="en-IE" w:eastAsia="en-IE"/>
              </w:rPr>
            </w:pPr>
            <w:r w:rsidRPr="007330EA">
              <w:rPr>
                <w:b/>
                <w:bCs/>
                <w:noProof/>
                <w:sz w:val="20"/>
                <w:szCs w:val="20"/>
              </w:rPr>
              <w:t xml:space="preserve"> -</w:t>
            </w:r>
          </w:p>
        </w:tc>
        <w:tc>
          <w:tcPr>
            <w:tcW w:w="1276" w:type="dxa"/>
            <w:tcBorders>
              <w:top w:val="single" w:sz="12" w:space="0" w:color="00B0F0"/>
            </w:tcBorders>
            <w:vAlign w:val="center"/>
          </w:tcPr>
          <w:p w14:paraId="6194D539" w14:textId="055E0470" w:rsidR="00D20365" w:rsidRPr="00FA63C0" w:rsidRDefault="00D20365" w:rsidP="00D20365">
            <w:pPr>
              <w:spacing w:after="0"/>
              <w:jc w:val="right"/>
              <w:rPr>
                <w:noProof/>
                <w:sz w:val="20"/>
                <w:szCs w:val="20"/>
                <w:lang w:val="en-IE" w:eastAsia="en-IE"/>
              </w:rPr>
            </w:pPr>
            <w:r w:rsidRPr="006526CE">
              <w:rPr>
                <w:noProof/>
                <w:sz w:val="20"/>
                <w:szCs w:val="20"/>
              </w:rPr>
              <w:t xml:space="preserve"> 15 322 </w:t>
            </w:r>
          </w:p>
        </w:tc>
        <w:tc>
          <w:tcPr>
            <w:tcW w:w="1126" w:type="dxa"/>
            <w:tcBorders>
              <w:top w:val="single" w:sz="12" w:space="0" w:color="00B0F0"/>
            </w:tcBorders>
            <w:noWrap/>
            <w:vAlign w:val="center"/>
          </w:tcPr>
          <w:p w14:paraId="25C4C8D8" w14:textId="1464F684" w:rsidR="00D20365" w:rsidRPr="00CD0933" w:rsidRDefault="00D20365" w:rsidP="00D20365">
            <w:pPr>
              <w:spacing w:after="0"/>
              <w:jc w:val="right"/>
              <w:rPr>
                <w:noProof/>
                <w:sz w:val="20"/>
                <w:szCs w:val="20"/>
                <w:lang w:val="en-IE" w:eastAsia="en-IE"/>
              </w:rPr>
            </w:pPr>
            <w:r w:rsidRPr="004A2124">
              <w:rPr>
                <w:noProof/>
                <w:sz w:val="20"/>
                <w:szCs w:val="20"/>
              </w:rPr>
              <w:t xml:space="preserve"> 15 322 </w:t>
            </w:r>
          </w:p>
        </w:tc>
        <w:tc>
          <w:tcPr>
            <w:tcW w:w="1174" w:type="dxa"/>
            <w:tcBorders>
              <w:top w:val="single" w:sz="12" w:space="0" w:color="00B0F0"/>
            </w:tcBorders>
            <w:noWrap/>
            <w:vAlign w:val="center"/>
          </w:tcPr>
          <w:p w14:paraId="0959D7D8" w14:textId="64228350" w:rsidR="00D20365" w:rsidRPr="00E64FF6" w:rsidRDefault="00D20365" w:rsidP="00D20365">
            <w:pPr>
              <w:spacing w:after="0"/>
              <w:jc w:val="right"/>
              <w:rPr>
                <w:noProof/>
                <w:sz w:val="20"/>
                <w:szCs w:val="20"/>
                <w:lang w:val="en-IE" w:eastAsia="en-IE"/>
              </w:rPr>
            </w:pPr>
            <w:r w:rsidRPr="004A2124">
              <w:rPr>
                <w:noProof/>
                <w:sz w:val="20"/>
                <w:szCs w:val="20"/>
              </w:rPr>
              <w:t xml:space="preserve"> 15 322 </w:t>
            </w:r>
          </w:p>
        </w:tc>
        <w:tc>
          <w:tcPr>
            <w:tcW w:w="1174" w:type="dxa"/>
            <w:tcBorders>
              <w:top w:val="single" w:sz="12" w:space="0" w:color="00B0F0"/>
            </w:tcBorders>
            <w:noWrap/>
            <w:vAlign w:val="center"/>
          </w:tcPr>
          <w:p w14:paraId="56BA36FC" w14:textId="12C8C878" w:rsidR="00D20365" w:rsidRPr="00E64FF6" w:rsidRDefault="00D20365" w:rsidP="00D20365">
            <w:pPr>
              <w:spacing w:after="0"/>
              <w:jc w:val="right"/>
              <w:rPr>
                <w:noProof/>
                <w:sz w:val="20"/>
                <w:szCs w:val="20"/>
                <w:lang w:val="en-IE" w:eastAsia="en-IE"/>
              </w:rPr>
            </w:pPr>
            <w:r w:rsidRPr="004A2124">
              <w:rPr>
                <w:noProof/>
                <w:sz w:val="20"/>
                <w:szCs w:val="20"/>
              </w:rPr>
              <w:t xml:space="preserve"> 15 322 </w:t>
            </w:r>
          </w:p>
        </w:tc>
      </w:tr>
      <w:tr w:rsidR="00D20365" w:rsidRPr="00C1684C" w14:paraId="5CA8FE9E" w14:textId="77777777" w:rsidTr="004A2124">
        <w:trPr>
          <w:trHeight w:val="283"/>
        </w:trPr>
        <w:tc>
          <w:tcPr>
            <w:tcW w:w="2127" w:type="dxa"/>
            <w:noWrap/>
            <w:vAlign w:val="center"/>
            <w:hideMark/>
          </w:tcPr>
          <w:p w14:paraId="5C99EE3B"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134" w:type="dxa"/>
          </w:tcPr>
          <w:p w14:paraId="18552780" w14:textId="15B38728" w:rsidR="00D20365" w:rsidRPr="00FA63C0" w:rsidRDefault="00D20365" w:rsidP="00D20365">
            <w:pPr>
              <w:spacing w:after="0"/>
              <w:jc w:val="right"/>
              <w:rPr>
                <w:noProof/>
                <w:sz w:val="20"/>
                <w:szCs w:val="20"/>
                <w:lang w:val="en-IE" w:eastAsia="en-IE"/>
              </w:rPr>
            </w:pPr>
            <w:r w:rsidRPr="000E79D3">
              <w:rPr>
                <w:b/>
                <w:bCs/>
                <w:noProof/>
                <w:sz w:val="20"/>
                <w:szCs w:val="20"/>
              </w:rPr>
              <w:t xml:space="preserve"> -</w:t>
            </w:r>
          </w:p>
        </w:tc>
        <w:tc>
          <w:tcPr>
            <w:tcW w:w="992" w:type="dxa"/>
          </w:tcPr>
          <w:p w14:paraId="15D919B7" w14:textId="0595FF62" w:rsidR="00D20365" w:rsidRPr="00FA63C0" w:rsidRDefault="00D20365" w:rsidP="00D20365">
            <w:pPr>
              <w:spacing w:after="0"/>
              <w:jc w:val="right"/>
              <w:rPr>
                <w:noProof/>
                <w:sz w:val="20"/>
                <w:szCs w:val="20"/>
                <w:lang w:val="en-IE" w:eastAsia="en-IE"/>
              </w:rPr>
            </w:pPr>
            <w:r w:rsidRPr="000E79D3">
              <w:rPr>
                <w:b/>
                <w:bCs/>
                <w:noProof/>
                <w:sz w:val="20"/>
                <w:szCs w:val="20"/>
              </w:rPr>
              <w:t xml:space="preserve"> -</w:t>
            </w:r>
          </w:p>
        </w:tc>
        <w:tc>
          <w:tcPr>
            <w:tcW w:w="1276" w:type="dxa"/>
            <w:vAlign w:val="center"/>
          </w:tcPr>
          <w:p w14:paraId="44BC4E82" w14:textId="02DCEC32" w:rsidR="00D20365" w:rsidRPr="00FA63C0" w:rsidRDefault="00D20365" w:rsidP="00D20365">
            <w:pPr>
              <w:spacing w:after="0"/>
              <w:jc w:val="right"/>
              <w:rPr>
                <w:noProof/>
                <w:sz w:val="20"/>
                <w:szCs w:val="20"/>
                <w:lang w:val="en-IE" w:eastAsia="en-IE"/>
              </w:rPr>
            </w:pPr>
            <w:r w:rsidRPr="006526CE">
              <w:rPr>
                <w:noProof/>
                <w:sz w:val="20"/>
                <w:szCs w:val="20"/>
              </w:rPr>
              <w:t xml:space="preserve"> 215 998 </w:t>
            </w:r>
          </w:p>
        </w:tc>
        <w:tc>
          <w:tcPr>
            <w:tcW w:w="1126" w:type="dxa"/>
            <w:noWrap/>
            <w:vAlign w:val="center"/>
          </w:tcPr>
          <w:p w14:paraId="071CA094" w14:textId="60E716C0" w:rsidR="00D20365" w:rsidRPr="00CD0933" w:rsidRDefault="00D20365" w:rsidP="00D20365">
            <w:pPr>
              <w:spacing w:after="0"/>
              <w:jc w:val="right"/>
              <w:rPr>
                <w:noProof/>
                <w:sz w:val="20"/>
                <w:szCs w:val="20"/>
                <w:lang w:val="en-IE" w:eastAsia="en-IE"/>
              </w:rPr>
            </w:pPr>
            <w:r w:rsidRPr="004A2124">
              <w:rPr>
                <w:noProof/>
                <w:sz w:val="20"/>
                <w:szCs w:val="20"/>
              </w:rPr>
              <w:t xml:space="preserve"> 215 998 </w:t>
            </w:r>
          </w:p>
        </w:tc>
        <w:tc>
          <w:tcPr>
            <w:tcW w:w="1174" w:type="dxa"/>
            <w:noWrap/>
            <w:vAlign w:val="center"/>
          </w:tcPr>
          <w:p w14:paraId="70490EF3" w14:textId="0063068B" w:rsidR="00D20365" w:rsidRPr="00E64FF6" w:rsidRDefault="00D20365" w:rsidP="00D20365">
            <w:pPr>
              <w:spacing w:after="0"/>
              <w:jc w:val="right"/>
              <w:rPr>
                <w:noProof/>
                <w:sz w:val="20"/>
                <w:szCs w:val="20"/>
                <w:lang w:val="en-IE" w:eastAsia="en-IE"/>
              </w:rPr>
            </w:pPr>
            <w:r w:rsidRPr="004A2124">
              <w:rPr>
                <w:noProof/>
                <w:sz w:val="20"/>
                <w:szCs w:val="20"/>
              </w:rPr>
              <w:t xml:space="preserve"> 215 998 </w:t>
            </w:r>
          </w:p>
        </w:tc>
        <w:tc>
          <w:tcPr>
            <w:tcW w:w="1174" w:type="dxa"/>
            <w:noWrap/>
            <w:vAlign w:val="center"/>
          </w:tcPr>
          <w:p w14:paraId="3DCF8187" w14:textId="4B1C2DDE" w:rsidR="00D20365" w:rsidRPr="00E64FF6" w:rsidRDefault="00D20365" w:rsidP="00D20365">
            <w:pPr>
              <w:spacing w:after="0"/>
              <w:jc w:val="right"/>
              <w:rPr>
                <w:noProof/>
                <w:sz w:val="20"/>
                <w:szCs w:val="20"/>
                <w:lang w:val="en-IE" w:eastAsia="en-IE"/>
              </w:rPr>
            </w:pPr>
            <w:r w:rsidRPr="004A2124">
              <w:rPr>
                <w:noProof/>
                <w:sz w:val="20"/>
                <w:szCs w:val="20"/>
              </w:rPr>
              <w:t xml:space="preserve"> 215 998 </w:t>
            </w:r>
          </w:p>
        </w:tc>
      </w:tr>
      <w:tr w:rsidR="00D20365" w:rsidRPr="00C1684C" w14:paraId="70E5DBEC" w14:textId="77777777" w:rsidTr="004A2124">
        <w:trPr>
          <w:trHeight w:val="283"/>
        </w:trPr>
        <w:tc>
          <w:tcPr>
            <w:tcW w:w="2127" w:type="dxa"/>
            <w:noWrap/>
            <w:vAlign w:val="center"/>
            <w:hideMark/>
          </w:tcPr>
          <w:p w14:paraId="5A3CE6C9"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one-off adjustment</w:t>
            </w:r>
          </w:p>
        </w:tc>
        <w:tc>
          <w:tcPr>
            <w:tcW w:w="1134" w:type="dxa"/>
            <w:vAlign w:val="center"/>
          </w:tcPr>
          <w:p w14:paraId="6D6EA2BB" w14:textId="22965A7F" w:rsidR="00D20365" w:rsidRPr="004A2124" w:rsidRDefault="0068160C" w:rsidP="00D20365">
            <w:pPr>
              <w:spacing w:after="0"/>
              <w:jc w:val="right"/>
              <w:rPr>
                <w:b/>
                <w:noProof/>
                <w:sz w:val="20"/>
                <w:szCs w:val="20"/>
                <w:lang w:val="en-IE" w:eastAsia="en-IE"/>
              </w:rPr>
            </w:pPr>
            <w:r w:rsidRPr="004A2124">
              <w:rPr>
                <w:b/>
                <w:noProof/>
                <w:sz w:val="20"/>
                <w:szCs w:val="20"/>
                <w:lang w:val="en-IE" w:eastAsia="en-IE"/>
              </w:rPr>
              <w:t>-</w:t>
            </w:r>
            <w:r w:rsidR="00D20365" w:rsidRPr="004A2124">
              <w:rPr>
                <w:b/>
                <w:noProof/>
                <w:sz w:val="20"/>
                <w:szCs w:val="20"/>
                <w:lang w:val="en-IE" w:eastAsia="en-IE"/>
              </w:rPr>
              <w:t xml:space="preserve"> </w:t>
            </w:r>
          </w:p>
        </w:tc>
        <w:tc>
          <w:tcPr>
            <w:tcW w:w="992" w:type="dxa"/>
            <w:vAlign w:val="center"/>
          </w:tcPr>
          <w:p w14:paraId="4865C77C" w14:textId="721F4998" w:rsidR="00D20365" w:rsidRPr="004A2124" w:rsidRDefault="004902A6" w:rsidP="00D20365">
            <w:pPr>
              <w:spacing w:after="0"/>
              <w:jc w:val="right"/>
              <w:rPr>
                <w:b/>
                <w:noProof/>
                <w:sz w:val="20"/>
                <w:szCs w:val="20"/>
                <w:lang w:val="en-IE" w:eastAsia="en-IE"/>
              </w:rPr>
            </w:pPr>
            <w:r w:rsidRPr="004A2124">
              <w:rPr>
                <w:b/>
                <w:noProof/>
                <w:sz w:val="20"/>
                <w:szCs w:val="20"/>
                <w:lang w:val="en-IE" w:eastAsia="en-IE"/>
              </w:rPr>
              <w:t>-</w:t>
            </w:r>
            <w:r w:rsidR="00D20365" w:rsidRPr="004A2124">
              <w:rPr>
                <w:b/>
                <w:noProof/>
                <w:sz w:val="20"/>
                <w:szCs w:val="20"/>
                <w:lang w:val="en-IE" w:eastAsia="en-IE"/>
              </w:rPr>
              <w:t xml:space="preserve">  </w:t>
            </w:r>
          </w:p>
        </w:tc>
        <w:tc>
          <w:tcPr>
            <w:tcW w:w="1276" w:type="dxa"/>
          </w:tcPr>
          <w:p w14:paraId="03A2BB17" w14:textId="05E3B828" w:rsidR="00D20365" w:rsidRPr="00FA63C0" w:rsidRDefault="00D20365" w:rsidP="00D20365">
            <w:pPr>
              <w:spacing w:after="0"/>
              <w:jc w:val="right"/>
              <w:rPr>
                <w:noProof/>
                <w:sz w:val="20"/>
                <w:szCs w:val="20"/>
                <w:lang w:val="en-IE" w:eastAsia="en-IE"/>
              </w:rPr>
            </w:pPr>
            <w:r w:rsidRPr="00B93719">
              <w:rPr>
                <w:b/>
                <w:bCs/>
                <w:noProof/>
                <w:sz w:val="20"/>
                <w:szCs w:val="20"/>
              </w:rPr>
              <w:t>-</w:t>
            </w:r>
          </w:p>
        </w:tc>
        <w:tc>
          <w:tcPr>
            <w:tcW w:w="1126" w:type="dxa"/>
            <w:noWrap/>
            <w:vAlign w:val="center"/>
          </w:tcPr>
          <w:p w14:paraId="14F00912" w14:textId="31EF750F" w:rsidR="00D20365" w:rsidRPr="004A2124" w:rsidRDefault="00B8361E" w:rsidP="00D20365">
            <w:pPr>
              <w:spacing w:after="0"/>
              <w:jc w:val="right"/>
              <w:rPr>
                <w:b/>
                <w:noProof/>
                <w:sz w:val="20"/>
                <w:szCs w:val="20"/>
                <w:lang w:val="en-IE" w:eastAsia="en-IE"/>
              </w:rPr>
            </w:pPr>
            <w:r w:rsidRPr="004A2124">
              <w:rPr>
                <w:b/>
                <w:noProof/>
                <w:sz w:val="20"/>
                <w:szCs w:val="20"/>
              </w:rPr>
              <w:t>-</w:t>
            </w:r>
            <w:r w:rsidR="00D20365" w:rsidRPr="004A2124">
              <w:rPr>
                <w:b/>
                <w:noProof/>
                <w:sz w:val="20"/>
                <w:szCs w:val="20"/>
              </w:rPr>
              <w:t xml:space="preserve"> </w:t>
            </w:r>
          </w:p>
        </w:tc>
        <w:tc>
          <w:tcPr>
            <w:tcW w:w="1174" w:type="dxa"/>
            <w:noWrap/>
            <w:vAlign w:val="center"/>
          </w:tcPr>
          <w:p w14:paraId="5798B55B" w14:textId="4E6FD352" w:rsidR="00D20365" w:rsidRPr="004E68CB" w:rsidRDefault="004E68CB" w:rsidP="00D20365">
            <w:pPr>
              <w:spacing w:after="0"/>
              <w:jc w:val="right"/>
              <w:rPr>
                <w:b/>
                <w:noProof/>
                <w:sz w:val="20"/>
                <w:szCs w:val="20"/>
                <w:lang w:val="en-IE" w:eastAsia="en-IE"/>
              </w:rPr>
            </w:pPr>
            <w:r w:rsidRPr="004E68CB">
              <w:rPr>
                <w:b/>
                <w:bCs/>
                <w:noProof/>
                <w:sz w:val="20"/>
                <w:szCs w:val="20"/>
              </w:rPr>
              <w:t>-</w:t>
            </w:r>
          </w:p>
        </w:tc>
        <w:tc>
          <w:tcPr>
            <w:tcW w:w="1174" w:type="dxa"/>
            <w:noWrap/>
            <w:vAlign w:val="center"/>
          </w:tcPr>
          <w:p w14:paraId="18723848" w14:textId="2DA08DF3" w:rsidR="00D20365" w:rsidRPr="004E68CB" w:rsidRDefault="004E68CB" w:rsidP="00D20365">
            <w:pPr>
              <w:spacing w:after="0"/>
              <w:jc w:val="right"/>
              <w:rPr>
                <w:b/>
                <w:noProof/>
                <w:sz w:val="20"/>
                <w:szCs w:val="20"/>
                <w:lang w:val="en-IE" w:eastAsia="en-IE"/>
              </w:rPr>
            </w:pPr>
            <w:r w:rsidRPr="004E68CB">
              <w:rPr>
                <w:b/>
                <w:bCs/>
                <w:noProof/>
                <w:sz w:val="20"/>
                <w:szCs w:val="20"/>
              </w:rPr>
              <w:t>-</w:t>
            </w:r>
            <w:r w:rsidR="00D20365" w:rsidRPr="004E68CB">
              <w:rPr>
                <w:b/>
                <w:bCs/>
                <w:noProof/>
                <w:sz w:val="20"/>
                <w:szCs w:val="20"/>
              </w:rPr>
              <w:t xml:space="preserve"> </w:t>
            </w:r>
          </w:p>
        </w:tc>
      </w:tr>
      <w:tr w:rsidR="00D20365" w:rsidRPr="00C1684C" w14:paraId="32CDB6C9" w14:textId="77777777" w:rsidTr="004A2124">
        <w:trPr>
          <w:trHeight w:val="283"/>
        </w:trPr>
        <w:tc>
          <w:tcPr>
            <w:tcW w:w="2127" w:type="dxa"/>
            <w:noWrap/>
            <w:vAlign w:val="center"/>
            <w:hideMark/>
          </w:tcPr>
          <w:p w14:paraId="3D32EEA9"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recurrent adjustment</w:t>
            </w:r>
          </w:p>
        </w:tc>
        <w:tc>
          <w:tcPr>
            <w:tcW w:w="1134" w:type="dxa"/>
            <w:vAlign w:val="center"/>
          </w:tcPr>
          <w:p w14:paraId="65FAA208" w14:textId="23C8B9B2" w:rsidR="00D20365" w:rsidRPr="00FA63C0" w:rsidRDefault="005B715A" w:rsidP="00D20365">
            <w:pPr>
              <w:spacing w:after="0"/>
              <w:jc w:val="right"/>
              <w:rPr>
                <w:noProof/>
                <w:sz w:val="20"/>
                <w:szCs w:val="20"/>
                <w:lang w:val="en-IE" w:eastAsia="en-IE"/>
              </w:rPr>
            </w:pPr>
            <w:r>
              <w:rPr>
                <w:noProof/>
                <w:sz w:val="20"/>
                <w:szCs w:val="20"/>
                <w:lang w:val="en-IE" w:eastAsia="en-IE"/>
              </w:rPr>
              <w:t>1</w:t>
            </w:r>
            <w:r w:rsidR="0068160C">
              <w:rPr>
                <w:noProof/>
                <w:sz w:val="20"/>
                <w:szCs w:val="20"/>
                <w:lang w:val="en-IE" w:eastAsia="en-IE"/>
              </w:rPr>
              <w:t xml:space="preserve"> </w:t>
            </w:r>
            <w:r>
              <w:rPr>
                <w:noProof/>
                <w:sz w:val="20"/>
                <w:szCs w:val="20"/>
                <w:lang w:val="en-IE" w:eastAsia="en-IE"/>
              </w:rPr>
              <w:t>5</w:t>
            </w:r>
            <w:r w:rsidR="0068160C">
              <w:rPr>
                <w:noProof/>
                <w:sz w:val="20"/>
                <w:szCs w:val="20"/>
                <w:lang w:val="en-IE" w:eastAsia="en-IE"/>
              </w:rPr>
              <w:t>53 531</w:t>
            </w:r>
          </w:p>
        </w:tc>
        <w:tc>
          <w:tcPr>
            <w:tcW w:w="992" w:type="dxa"/>
            <w:vAlign w:val="center"/>
          </w:tcPr>
          <w:p w14:paraId="5B270889" w14:textId="1080005A" w:rsidR="00D20365" w:rsidRPr="00FA63C0" w:rsidRDefault="004902A6" w:rsidP="00D20365">
            <w:pPr>
              <w:spacing w:after="0"/>
              <w:jc w:val="right"/>
              <w:rPr>
                <w:noProof/>
                <w:sz w:val="20"/>
                <w:szCs w:val="20"/>
                <w:lang w:val="en-IE" w:eastAsia="en-IE"/>
              </w:rPr>
            </w:pPr>
            <w:r>
              <w:rPr>
                <w:noProof/>
                <w:sz w:val="20"/>
                <w:szCs w:val="20"/>
                <w:lang w:val="en-IE" w:eastAsia="en-IE"/>
              </w:rPr>
              <w:t>818 679</w:t>
            </w:r>
          </w:p>
        </w:tc>
        <w:tc>
          <w:tcPr>
            <w:tcW w:w="1276" w:type="dxa"/>
          </w:tcPr>
          <w:p w14:paraId="037F64BD" w14:textId="40C9FF29" w:rsidR="00D20365" w:rsidRPr="00FA63C0" w:rsidRDefault="00D20365" w:rsidP="00D20365">
            <w:pPr>
              <w:spacing w:after="0"/>
              <w:jc w:val="right"/>
              <w:rPr>
                <w:noProof/>
                <w:sz w:val="20"/>
                <w:szCs w:val="20"/>
                <w:lang w:val="en-IE" w:eastAsia="en-IE"/>
              </w:rPr>
            </w:pPr>
            <w:r w:rsidRPr="00B93719">
              <w:rPr>
                <w:b/>
                <w:bCs/>
                <w:noProof/>
                <w:sz w:val="20"/>
                <w:szCs w:val="20"/>
              </w:rPr>
              <w:t>-</w:t>
            </w:r>
          </w:p>
        </w:tc>
        <w:tc>
          <w:tcPr>
            <w:tcW w:w="1126" w:type="dxa"/>
            <w:noWrap/>
            <w:vAlign w:val="center"/>
          </w:tcPr>
          <w:p w14:paraId="49484887" w14:textId="7BE1397B" w:rsidR="00D20365" w:rsidRPr="00CD0933" w:rsidRDefault="00D20365" w:rsidP="004A2124">
            <w:pPr>
              <w:spacing w:after="0"/>
              <w:jc w:val="right"/>
              <w:rPr>
                <w:noProof/>
                <w:sz w:val="20"/>
                <w:szCs w:val="20"/>
                <w:lang w:val="en-IE" w:eastAsia="en-IE"/>
              </w:rPr>
            </w:pPr>
            <w:r w:rsidRPr="004A2124">
              <w:rPr>
                <w:noProof/>
                <w:sz w:val="20"/>
                <w:szCs w:val="20"/>
              </w:rPr>
              <w:t xml:space="preserve">2 </w:t>
            </w:r>
            <w:r w:rsidR="00B8361E">
              <w:rPr>
                <w:noProof/>
                <w:sz w:val="20"/>
                <w:szCs w:val="20"/>
              </w:rPr>
              <w:t>372 210</w:t>
            </w:r>
            <w:r w:rsidRPr="004A2124">
              <w:rPr>
                <w:noProof/>
                <w:sz w:val="20"/>
                <w:szCs w:val="20"/>
              </w:rPr>
              <w:t xml:space="preserve"> </w:t>
            </w:r>
          </w:p>
        </w:tc>
        <w:tc>
          <w:tcPr>
            <w:tcW w:w="1174" w:type="dxa"/>
            <w:noWrap/>
            <w:vAlign w:val="center"/>
          </w:tcPr>
          <w:p w14:paraId="751340C6" w14:textId="5E495C71" w:rsidR="00D20365" w:rsidRPr="00472176" w:rsidRDefault="00472176" w:rsidP="00D20365">
            <w:pPr>
              <w:spacing w:after="0"/>
              <w:jc w:val="right"/>
              <w:rPr>
                <w:noProof/>
                <w:sz w:val="20"/>
                <w:szCs w:val="20"/>
              </w:rPr>
            </w:pPr>
            <w:r w:rsidRPr="004A2124">
              <w:rPr>
                <w:noProof/>
                <w:sz w:val="20"/>
                <w:szCs w:val="20"/>
              </w:rPr>
              <w:t xml:space="preserve">2 </w:t>
            </w:r>
            <w:r>
              <w:rPr>
                <w:noProof/>
                <w:sz w:val="20"/>
                <w:szCs w:val="20"/>
              </w:rPr>
              <w:t>372 210</w:t>
            </w:r>
            <w:r w:rsidRPr="004A2124">
              <w:rPr>
                <w:noProof/>
                <w:sz w:val="20"/>
                <w:szCs w:val="20"/>
              </w:rPr>
              <w:t xml:space="preserve"> </w:t>
            </w:r>
          </w:p>
        </w:tc>
        <w:tc>
          <w:tcPr>
            <w:tcW w:w="1174" w:type="dxa"/>
            <w:noWrap/>
            <w:vAlign w:val="center"/>
          </w:tcPr>
          <w:p w14:paraId="7EA8F50C" w14:textId="37FEC06E" w:rsidR="00D20365" w:rsidRPr="00472176" w:rsidRDefault="00472176" w:rsidP="00D20365">
            <w:pPr>
              <w:spacing w:after="0"/>
              <w:jc w:val="right"/>
              <w:rPr>
                <w:noProof/>
                <w:sz w:val="20"/>
                <w:szCs w:val="20"/>
              </w:rPr>
            </w:pPr>
            <w:r w:rsidRPr="004A2124">
              <w:rPr>
                <w:noProof/>
                <w:sz w:val="20"/>
                <w:szCs w:val="20"/>
              </w:rPr>
              <w:t xml:space="preserve">2 </w:t>
            </w:r>
            <w:r>
              <w:rPr>
                <w:noProof/>
                <w:sz w:val="20"/>
                <w:szCs w:val="20"/>
              </w:rPr>
              <w:t>372 210</w:t>
            </w:r>
            <w:r w:rsidRPr="004A2124">
              <w:rPr>
                <w:noProof/>
                <w:sz w:val="20"/>
                <w:szCs w:val="20"/>
              </w:rPr>
              <w:t xml:space="preserve"> </w:t>
            </w:r>
          </w:p>
        </w:tc>
      </w:tr>
      <w:tr w:rsidR="00D20365" w:rsidRPr="00C1684C" w14:paraId="4AB9565F" w14:textId="77777777" w:rsidTr="004A2124">
        <w:trPr>
          <w:trHeight w:val="283"/>
        </w:trPr>
        <w:tc>
          <w:tcPr>
            <w:tcW w:w="2127" w:type="dxa"/>
            <w:noWrap/>
            <w:vAlign w:val="center"/>
            <w:hideMark/>
          </w:tcPr>
          <w:p w14:paraId="18EA0661"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134" w:type="dxa"/>
          </w:tcPr>
          <w:p w14:paraId="6503640B" w14:textId="32A57BC4" w:rsidR="00D20365" w:rsidRPr="00FA63C0" w:rsidRDefault="00D20365" w:rsidP="00D20365">
            <w:pPr>
              <w:spacing w:after="0"/>
              <w:jc w:val="right"/>
              <w:rPr>
                <w:noProof/>
                <w:sz w:val="20"/>
                <w:szCs w:val="20"/>
                <w:lang w:val="en-IE" w:eastAsia="en-IE"/>
              </w:rPr>
            </w:pPr>
            <w:r w:rsidRPr="009A6494">
              <w:rPr>
                <w:b/>
                <w:bCs/>
                <w:noProof/>
                <w:sz w:val="20"/>
                <w:szCs w:val="20"/>
              </w:rPr>
              <w:t>-</w:t>
            </w:r>
          </w:p>
        </w:tc>
        <w:tc>
          <w:tcPr>
            <w:tcW w:w="992" w:type="dxa"/>
          </w:tcPr>
          <w:p w14:paraId="4E21EBA9" w14:textId="727B00F5" w:rsidR="00D20365" w:rsidRPr="00FA63C0" w:rsidRDefault="00D20365" w:rsidP="00D20365">
            <w:pPr>
              <w:spacing w:after="0"/>
              <w:jc w:val="right"/>
              <w:rPr>
                <w:noProof/>
                <w:sz w:val="20"/>
                <w:szCs w:val="20"/>
                <w:lang w:val="en-IE" w:eastAsia="en-IE"/>
              </w:rPr>
            </w:pPr>
            <w:r w:rsidRPr="009A6494">
              <w:rPr>
                <w:b/>
                <w:bCs/>
                <w:noProof/>
                <w:sz w:val="20"/>
                <w:szCs w:val="20"/>
              </w:rPr>
              <w:t>-</w:t>
            </w:r>
          </w:p>
        </w:tc>
        <w:tc>
          <w:tcPr>
            <w:tcW w:w="1276" w:type="dxa"/>
          </w:tcPr>
          <w:p w14:paraId="065AA14B" w14:textId="05D001C1" w:rsidR="00D20365" w:rsidRPr="00FA63C0" w:rsidRDefault="00D20365" w:rsidP="00D20365">
            <w:pPr>
              <w:spacing w:after="0"/>
              <w:jc w:val="right"/>
              <w:rPr>
                <w:noProof/>
                <w:sz w:val="20"/>
                <w:szCs w:val="20"/>
                <w:lang w:val="en-IE" w:eastAsia="en-IE"/>
              </w:rPr>
            </w:pPr>
            <w:r w:rsidRPr="00B93719">
              <w:rPr>
                <w:b/>
                <w:bCs/>
                <w:noProof/>
                <w:sz w:val="20"/>
                <w:szCs w:val="20"/>
              </w:rPr>
              <w:t>-</w:t>
            </w:r>
          </w:p>
        </w:tc>
        <w:tc>
          <w:tcPr>
            <w:tcW w:w="1126" w:type="dxa"/>
            <w:noWrap/>
            <w:vAlign w:val="center"/>
          </w:tcPr>
          <w:p w14:paraId="5DEA6720" w14:textId="6FF3B869" w:rsidR="00D20365" w:rsidRPr="004A2124" w:rsidRDefault="00D20365" w:rsidP="00D20365">
            <w:pPr>
              <w:spacing w:after="0"/>
              <w:jc w:val="right"/>
              <w:rPr>
                <w:b/>
                <w:noProof/>
                <w:sz w:val="20"/>
                <w:szCs w:val="20"/>
                <w:lang w:val="en-IE" w:eastAsia="en-IE"/>
              </w:rPr>
            </w:pPr>
            <w:r w:rsidRPr="004A2124">
              <w:rPr>
                <w:b/>
                <w:noProof/>
                <w:sz w:val="20"/>
                <w:szCs w:val="20"/>
              </w:rPr>
              <w:t xml:space="preserve"> -   </w:t>
            </w:r>
          </w:p>
        </w:tc>
        <w:tc>
          <w:tcPr>
            <w:tcW w:w="1174" w:type="dxa"/>
            <w:noWrap/>
            <w:vAlign w:val="center"/>
          </w:tcPr>
          <w:p w14:paraId="04832F43" w14:textId="4FFC4533"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c>
          <w:tcPr>
            <w:tcW w:w="1174" w:type="dxa"/>
            <w:noWrap/>
            <w:vAlign w:val="center"/>
          </w:tcPr>
          <w:p w14:paraId="37B8E1C0" w14:textId="737AD60F"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r>
      <w:tr w:rsidR="00D20365" w:rsidRPr="00C1684C" w14:paraId="6623A5E9" w14:textId="77777777" w:rsidTr="004A2124">
        <w:trPr>
          <w:trHeight w:val="283"/>
        </w:trPr>
        <w:tc>
          <w:tcPr>
            <w:tcW w:w="2127" w:type="dxa"/>
            <w:noWrap/>
            <w:vAlign w:val="center"/>
            <w:hideMark/>
          </w:tcPr>
          <w:p w14:paraId="43334943"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134" w:type="dxa"/>
          </w:tcPr>
          <w:p w14:paraId="218E6582" w14:textId="1CE04E84"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992" w:type="dxa"/>
          </w:tcPr>
          <w:p w14:paraId="6ED901B8" w14:textId="2AD3BCB3"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276" w:type="dxa"/>
          </w:tcPr>
          <w:p w14:paraId="1623D35A" w14:textId="42AEA863"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126" w:type="dxa"/>
            <w:noWrap/>
            <w:vAlign w:val="center"/>
          </w:tcPr>
          <w:p w14:paraId="776FDF8F" w14:textId="0CFE1735" w:rsidR="00D20365" w:rsidRPr="004A2124" w:rsidRDefault="00D20365" w:rsidP="00D20365">
            <w:pPr>
              <w:spacing w:after="0"/>
              <w:jc w:val="right"/>
              <w:rPr>
                <w:b/>
                <w:noProof/>
                <w:sz w:val="20"/>
                <w:szCs w:val="20"/>
                <w:lang w:val="en-IE" w:eastAsia="en-IE"/>
              </w:rPr>
            </w:pPr>
            <w:r w:rsidRPr="004A2124">
              <w:rPr>
                <w:b/>
                <w:noProof/>
                <w:sz w:val="20"/>
                <w:szCs w:val="20"/>
              </w:rPr>
              <w:t xml:space="preserve"> -   </w:t>
            </w:r>
          </w:p>
        </w:tc>
        <w:tc>
          <w:tcPr>
            <w:tcW w:w="1174" w:type="dxa"/>
            <w:noWrap/>
            <w:vAlign w:val="center"/>
          </w:tcPr>
          <w:p w14:paraId="19E0762D" w14:textId="291BC4C2"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c>
          <w:tcPr>
            <w:tcW w:w="1174" w:type="dxa"/>
            <w:noWrap/>
            <w:vAlign w:val="center"/>
          </w:tcPr>
          <w:p w14:paraId="53224E53" w14:textId="32D84770"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r>
      <w:tr w:rsidR="00D20365" w:rsidRPr="00C1684C" w14:paraId="5A80E870" w14:textId="77777777" w:rsidTr="004A2124">
        <w:trPr>
          <w:trHeight w:val="283"/>
        </w:trPr>
        <w:tc>
          <w:tcPr>
            <w:tcW w:w="2127" w:type="dxa"/>
            <w:noWrap/>
            <w:vAlign w:val="center"/>
            <w:hideMark/>
          </w:tcPr>
          <w:p w14:paraId="00A0BABC"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134" w:type="dxa"/>
          </w:tcPr>
          <w:p w14:paraId="31285EAB" w14:textId="6430D699"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992" w:type="dxa"/>
          </w:tcPr>
          <w:p w14:paraId="74C48B94" w14:textId="17FAE0BE"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276" w:type="dxa"/>
          </w:tcPr>
          <w:p w14:paraId="332BA0B8" w14:textId="417EA6A5"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126" w:type="dxa"/>
            <w:noWrap/>
            <w:vAlign w:val="center"/>
          </w:tcPr>
          <w:p w14:paraId="2BC17CF3" w14:textId="5305DD44" w:rsidR="00D20365" w:rsidRPr="004A2124" w:rsidRDefault="00D20365" w:rsidP="00D20365">
            <w:pPr>
              <w:spacing w:after="0"/>
              <w:jc w:val="right"/>
              <w:rPr>
                <w:b/>
                <w:noProof/>
                <w:sz w:val="20"/>
                <w:szCs w:val="20"/>
                <w:lang w:val="en-IE" w:eastAsia="en-IE"/>
              </w:rPr>
            </w:pPr>
            <w:r w:rsidRPr="004A2124">
              <w:rPr>
                <w:b/>
                <w:noProof/>
                <w:sz w:val="20"/>
                <w:szCs w:val="20"/>
              </w:rPr>
              <w:t xml:space="preserve"> -   </w:t>
            </w:r>
          </w:p>
        </w:tc>
        <w:tc>
          <w:tcPr>
            <w:tcW w:w="1174" w:type="dxa"/>
            <w:noWrap/>
            <w:vAlign w:val="center"/>
          </w:tcPr>
          <w:p w14:paraId="38E34268" w14:textId="07F87B0E"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c>
          <w:tcPr>
            <w:tcW w:w="1174" w:type="dxa"/>
            <w:noWrap/>
            <w:vAlign w:val="center"/>
          </w:tcPr>
          <w:p w14:paraId="0177583E" w14:textId="3E11B5D1" w:rsidR="00D20365" w:rsidRPr="00E64FF6" w:rsidRDefault="00D20365" w:rsidP="00D20365">
            <w:pPr>
              <w:spacing w:after="0"/>
              <w:jc w:val="right"/>
              <w:rPr>
                <w:noProof/>
                <w:sz w:val="20"/>
                <w:szCs w:val="20"/>
                <w:lang w:val="en-IE" w:eastAsia="en-IE"/>
              </w:rPr>
            </w:pPr>
            <w:r w:rsidRPr="004A2124">
              <w:rPr>
                <w:noProof/>
                <w:sz w:val="20"/>
                <w:szCs w:val="20"/>
              </w:rPr>
              <w:t xml:space="preserve">-   </w:t>
            </w:r>
          </w:p>
        </w:tc>
      </w:tr>
      <w:tr w:rsidR="00D20365" w:rsidRPr="00C1684C" w14:paraId="046DD8A7" w14:textId="77777777" w:rsidTr="004A2124">
        <w:trPr>
          <w:trHeight w:val="283"/>
        </w:trPr>
        <w:tc>
          <w:tcPr>
            <w:tcW w:w="2127" w:type="dxa"/>
            <w:noWrap/>
            <w:vAlign w:val="center"/>
            <w:hideMark/>
          </w:tcPr>
          <w:p w14:paraId="1E61E715" w14:textId="77777777" w:rsidR="00D20365" w:rsidRPr="00FA63C0" w:rsidRDefault="00D20365" w:rsidP="00D20365">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134" w:type="dxa"/>
          </w:tcPr>
          <w:p w14:paraId="2CEAE021" w14:textId="40A591B6"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992" w:type="dxa"/>
          </w:tcPr>
          <w:p w14:paraId="49A5211D" w14:textId="0E8C97F7"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276" w:type="dxa"/>
          </w:tcPr>
          <w:p w14:paraId="5EF4282E" w14:textId="32CBE920" w:rsidR="00D20365" w:rsidRPr="00FA63C0" w:rsidRDefault="00D20365" w:rsidP="00D20365">
            <w:pPr>
              <w:spacing w:after="0"/>
              <w:jc w:val="right"/>
              <w:rPr>
                <w:noProof/>
                <w:sz w:val="20"/>
                <w:szCs w:val="20"/>
                <w:lang w:val="en-IE" w:eastAsia="en-IE"/>
              </w:rPr>
            </w:pPr>
            <w:r w:rsidRPr="00F85099">
              <w:rPr>
                <w:b/>
                <w:bCs/>
                <w:noProof/>
                <w:sz w:val="20"/>
                <w:szCs w:val="20"/>
              </w:rPr>
              <w:t>-</w:t>
            </w:r>
          </w:p>
        </w:tc>
        <w:tc>
          <w:tcPr>
            <w:tcW w:w="1126" w:type="dxa"/>
            <w:noWrap/>
            <w:vAlign w:val="center"/>
          </w:tcPr>
          <w:p w14:paraId="57B653F6" w14:textId="1D304A6D" w:rsidR="00D20365" w:rsidRPr="004A2124" w:rsidRDefault="00D20365" w:rsidP="00D20365">
            <w:pPr>
              <w:spacing w:after="0"/>
              <w:jc w:val="right"/>
              <w:rPr>
                <w:b/>
                <w:noProof/>
                <w:sz w:val="20"/>
                <w:szCs w:val="20"/>
                <w:lang w:val="en-IE" w:eastAsia="en-IE"/>
              </w:rPr>
            </w:pPr>
            <w:r w:rsidRPr="004A2124">
              <w:rPr>
                <w:b/>
                <w:noProof/>
                <w:sz w:val="20"/>
                <w:szCs w:val="20"/>
              </w:rPr>
              <w:t xml:space="preserve"> -   </w:t>
            </w:r>
          </w:p>
        </w:tc>
        <w:tc>
          <w:tcPr>
            <w:tcW w:w="1174" w:type="dxa"/>
            <w:noWrap/>
            <w:vAlign w:val="center"/>
          </w:tcPr>
          <w:p w14:paraId="08BFE9C0" w14:textId="64D1332E" w:rsidR="00D20365" w:rsidRPr="00E64FF6" w:rsidRDefault="00D20365" w:rsidP="00D20365">
            <w:pPr>
              <w:spacing w:after="0"/>
              <w:jc w:val="right"/>
              <w:rPr>
                <w:noProof/>
                <w:sz w:val="20"/>
                <w:szCs w:val="20"/>
                <w:lang w:val="en-IE" w:eastAsia="en-IE"/>
              </w:rPr>
            </w:pPr>
            <w:r w:rsidRPr="004A2124">
              <w:rPr>
                <w:noProof/>
                <w:sz w:val="20"/>
                <w:szCs w:val="20"/>
              </w:rPr>
              <w:t xml:space="preserve">-   </w:t>
            </w:r>
          </w:p>
        </w:tc>
        <w:tc>
          <w:tcPr>
            <w:tcW w:w="1174" w:type="dxa"/>
            <w:noWrap/>
            <w:vAlign w:val="center"/>
          </w:tcPr>
          <w:p w14:paraId="45771502" w14:textId="11DE205B" w:rsidR="00D20365" w:rsidRPr="00E64FF6" w:rsidRDefault="00D20365" w:rsidP="00D20365">
            <w:pPr>
              <w:spacing w:after="0"/>
              <w:jc w:val="right"/>
              <w:rPr>
                <w:noProof/>
                <w:sz w:val="20"/>
                <w:szCs w:val="20"/>
                <w:lang w:val="en-IE" w:eastAsia="en-IE"/>
              </w:rPr>
            </w:pPr>
            <w:r w:rsidRPr="004A2124">
              <w:rPr>
                <w:noProof/>
                <w:sz w:val="20"/>
                <w:szCs w:val="20"/>
              </w:rPr>
              <w:t xml:space="preserve"> -   </w:t>
            </w:r>
          </w:p>
        </w:tc>
      </w:tr>
      <w:tr w:rsidR="00ED5550" w:rsidRPr="00C1684C" w14:paraId="7A9D4884" w14:textId="77777777" w:rsidTr="004A2124">
        <w:trPr>
          <w:trHeight w:val="283"/>
        </w:trPr>
        <w:tc>
          <w:tcPr>
            <w:tcW w:w="2127" w:type="dxa"/>
            <w:shd w:val="clear" w:color="auto" w:fill="F2DBDB" w:themeFill="accent2" w:themeFillTint="33"/>
            <w:noWrap/>
            <w:vAlign w:val="center"/>
            <w:hideMark/>
          </w:tcPr>
          <w:p w14:paraId="051D39DE" w14:textId="77777777" w:rsidR="007E1B60" w:rsidRPr="00FA63C0" w:rsidRDefault="007E1B60" w:rsidP="007E1B60">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134" w:type="dxa"/>
            <w:shd w:val="clear" w:color="auto" w:fill="F2DBDB" w:themeFill="accent2" w:themeFillTint="33"/>
            <w:vAlign w:val="center"/>
          </w:tcPr>
          <w:p w14:paraId="4D4199CB" w14:textId="605CBF6F" w:rsidR="007E1B60" w:rsidRPr="004A2124" w:rsidRDefault="00100C96" w:rsidP="00ED5550">
            <w:pPr>
              <w:spacing w:after="0"/>
              <w:jc w:val="right"/>
              <w:rPr>
                <w:noProof/>
                <w:sz w:val="20"/>
                <w:szCs w:val="20"/>
                <w:lang w:val="en-IE" w:eastAsia="en-IE"/>
              </w:rPr>
            </w:pPr>
            <w:r w:rsidRPr="004A2124">
              <w:rPr>
                <w:noProof/>
                <w:sz w:val="20"/>
                <w:szCs w:val="20"/>
                <w:lang w:val="en-IE" w:eastAsia="en-IE"/>
              </w:rPr>
              <w:t>1 553 531</w:t>
            </w:r>
          </w:p>
        </w:tc>
        <w:tc>
          <w:tcPr>
            <w:tcW w:w="992" w:type="dxa"/>
            <w:shd w:val="clear" w:color="auto" w:fill="F2DBDB" w:themeFill="accent2" w:themeFillTint="33"/>
            <w:vAlign w:val="center"/>
          </w:tcPr>
          <w:p w14:paraId="68B5D7A9" w14:textId="019CD84F" w:rsidR="007E1B60" w:rsidRPr="004A2124" w:rsidRDefault="00ED5550" w:rsidP="00ED5550">
            <w:pPr>
              <w:spacing w:after="0"/>
              <w:jc w:val="right"/>
              <w:rPr>
                <w:noProof/>
                <w:sz w:val="20"/>
                <w:szCs w:val="20"/>
                <w:lang w:val="en-IE" w:eastAsia="en-IE"/>
              </w:rPr>
            </w:pPr>
            <w:r w:rsidRPr="004A2124">
              <w:rPr>
                <w:noProof/>
                <w:sz w:val="20"/>
                <w:szCs w:val="20"/>
                <w:lang w:val="en-IE" w:eastAsia="en-IE"/>
              </w:rPr>
              <w:t xml:space="preserve"> 818 679</w:t>
            </w:r>
          </w:p>
        </w:tc>
        <w:tc>
          <w:tcPr>
            <w:tcW w:w="1276" w:type="dxa"/>
            <w:shd w:val="clear" w:color="auto" w:fill="F2DBDB" w:themeFill="accent2" w:themeFillTint="33"/>
            <w:vAlign w:val="center"/>
          </w:tcPr>
          <w:p w14:paraId="231F6336" w14:textId="33205D14" w:rsidR="007E1B60" w:rsidRPr="004A2124" w:rsidRDefault="00C36F5E" w:rsidP="00ED5550">
            <w:pPr>
              <w:spacing w:after="0"/>
              <w:jc w:val="right"/>
              <w:rPr>
                <w:noProof/>
                <w:sz w:val="20"/>
                <w:szCs w:val="20"/>
                <w:lang w:val="en-IE" w:eastAsia="en-IE"/>
              </w:rPr>
            </w:pPr>
            <w:r w:rsidRPr="004A2124">
              <w:rPr>
                <w:noProof/>
                <w:sz w:val="20"/>
                <w:szCs w:val="20"/>
                <w:lang w:val="en-IE" w:eastAsia="en-IE"/>
              </w:rPr>
              <w:t xml:space="preserve"> 231 320</w:t>
            </w:r>
          </w:p>
        </w:tc>
        <w:tc>
          <w:tcPr>
            <w:tcW w:w="1126" w:type="dxa"/>
            <w:shd w:val="clear" w:color="auto" w:fill="F2DBDB" w:themeFill="accent2" w:themeFillTint="33"/>
            <w:noWrap/>
            <w:vAlign w:val="center"/>
          </w:tcPr>
          <w:p w14:paraId="062DC8EA" w14:textId="3E16C14F" w:rsidR="007E1B60" w:rsidRPr="004A2124" w:rsidRDefault="007E1B60" w:rsidP="004A2124">
            <w:pPr>
              <w:spacing w:after="0"/>
              <w:jc w:val="right"/>
              <w:rPr>
                <w:noProof/>
                <w:sz w:val="20"/>
                <w:szCs w:val="20"/>
              </w:rPr>
            </w:pPr>
            <w:r w:rsidRPr="00CD0933">
              <w:rPr>
                <w:noProof/>
                <w:sz w:val="20"/>
                <w:szCs w:val="20"/>
              </w:rPr>
              <w:t xml:space="preserve">2 603 530 </w:t>
            </w:r>
          </w:p>
        </w:tc>
        <w:tc>
          <w:tcPr>
            <w:tcW w:w="1174" w:type="dxa"/>
            <w:shd w:val="clear" w:color="auto" w:fill="F2DBDB" w:themeFill="accent2" w:themeFillTint="33"/>
            <w:noWrap/>
            <w:vAlign w:val="center"/>
          </w:tcPr>
          <w:p w14:paraId="258178A0" w14:textId="2E61413D" w:rsidR="007E1B60" w:rsidRPr="004A2124" w:rsidRDefault="007E1B60" w:rsidP="00ED5550">
            <w:pPr>
              <w:spacing w:after="0"/>
              <w:jc w:val="right"/>
              <w:rPr>
                <w:noProof/>
                <w:sz w:val="20"/>
                <w:szCs w:val="20"/>
              </w:rPr>
            </w:pPr>
            <w:r w:rsidRPr="00265FE4">
              <w:rPr>
                <w:noProof/>
                <w:sz w:val="20"/>
                <w:szCs w:val="20"/>
              </w:rPr>
              <w:t xml:space="preserve"> 2 603 530 </w:t>
            </w:r>
          </w:p>
        </w:tc>
        <w:tc>
          <w:tcPr>
            <w:tcW w:w="1174" w:type="dxa"/>
            <w:shd w:val="clear" w:color="auto" w:fill="F2DBDB" w:themeFill="accent2" w:themeFillTint="33"/>
            <w:noWrap/>
            <w:vAlign w:val="center"/>
          </w:tcPr>
          <w:p w14:paraId="72FD4DC4" w14:textId="6BA8346E" w:rsidR="007E1B60" w:rsidRPr="004A2124" w:rsidRDefault="007E1B60" w:rsidP="004A2124">
            <w:pPr>
              <w:spacing w:after="0"/>
              <w:jc w:val="right"/>
              <w:rPr>
                <w:noProof/>
                <w:sz w:val="20"/>
                <w:szCs w:val="20"/>
              </w:rPr>
            </w:pPr>
            <w:r w:rsidRPr="00265FE4">
              <w:rPr>
                <w:noProof/>
                <w:sz w:val="20"/>
                <w:szCs w:val="20"/>
              </w:rPr>
              <w:t xml:space="preserve"> 2 603 530 </w:t>
            </w:r>
          </w:p>
        </w:tc>
      </w:tr>
      <w:tr w:rsidR="00D7593D" w:rsidRPr="00C1684C" w14:paraId="668C0BB2" w14:textId="77777777" w:rsidTr="00D7593D">
        <w:trPr>
          <w:trHeight w:val="283"/>
        </w:trPr>
        <w:tc>
          <w:tcPr>
            <w:tcW w:w="2127" w:type="dxa"/>
            <w:shd w:val="clear" w:color="auto" w:fill="EAF1DD" w:themeFill="accent3" w:themeFillTint="33"/>
            <w:noWrap/>
            <w:vAlign w:val="center"/>
            <w:hideMark/>
          </w:tcPr>
          <w:p w14:paraId="7EF3FAF1" w14:textId="77777777" w:rsidR="007E1B60" w:rsidRPr="00FA63C0" w:rsidRDefault="007E1B60" w:rsidP="007E1B60">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134" w:type="dxa"/>
            <w:shd w:val="clear" w:color="auto" w:fill="EAF1DD" w:themeFill="accent3" w:themeFillTint="33"/>
            <w:vAlign w:val="center"/>
          </w:tcPr>
          <w:p w14:paraId="70EEEDA7" w14:textId="1EA69A88" w:rsidR="007E1B60" w:rsidRPr="00FA63C0" w:rsidRDefault="00C34C11" w:rsidP="007E1B60">
            <w:pPr>
              <w:spacing w:after="0"/>
              <w:jc w:val="right"/>
              <w:rPr>
                <w:b/>
                <w:bCs/>
                <w:noProof/>
                <w:sz w:val="20"/>
                <w:szCs w:val="20"/>
                <w:lang w:val="en-IE" w:eastAsia="en-IE"/>
              </w:rPr>
            </w:pPr>
            <w:r w:rsidRPr="00F85099">
              <w:rPr>
                <w:b/>
                <w:bCs/>
                <w:noProof/>
                <w:sz w:val="20"/>
                <w:szCs w:val="20"/>
              </w:rPr>
              <w:t>-</w:t>
            </w:r>
          </w:p>
        </w:tc>
        <w:tc>
          <w:tcPr>
            <w:tcW w:w="992" w:type="dxa"/>
            <w:shd w:val="clear" w:color="auto" w:fill="EAF1DD" w:themeFill="accent3" w:themeFillTint="33"/>
            <w:vAlign w:val="center"/>
          </w:tcPr>
          <w:p w14:paraId="1920147C" w14:textId="7C89FC26" w:rsidR="007E1B60" w:rsidRPr="00FA63C0" w:rsidRDefault="00C34C11" w:rsidP="007E1B60">
            <w:pPr>
              <w:spacing w:after="0"/>
              <w:jc w:val="right"/>
              <w:rPr>
                <w:b/>
                <w:bCs/>
                <w:noProof/>
                <w:sz w:val="20"/>
                <w:szCs w:val="20"/>
                <w:lang w:val="en-IE" w:eastAsia="en-IE"/>
              </w:rPr>
            </w:pPr>
            <w:r w:rsidRPr="00F85099">
              <w:rPr>
                <w:b/>
                <w:bCs/>
                <w:noProof/>
                <w:sz w:val="20"/>
                <w:szCs w:val="20"/>
              </w:rPr>
              <w:t>-</w:t>
            </w:r>
          </w:p>
        </w:tc>
        <w:tc>
          <w:tcPr>
            <w:tcW w:w="1276" w:type="dxa"/>
            <w:shd w:val="clear" w:color="auto" w:fill="EAF1DD" w:themeFill="accent3" w:themeFillTint="33"/>
            <w:vAlign w:val="center"/>
          </w:tcPr>
          <w:p w14:paraId="7EBE936A" w14:textId="072F576B" w:rsidR="007E1B60" w:rsidRPr="00FA63C0" w:rsidRDefault="00C34C11" w:rsidP="007E1B60">
            <w:pPr>
              <w:spacing w:after="0"/>
              <w:jc w:val="right"/>
              <w:rPr>
                <w:b/>
                <w:bCs/>
                <w:noProof/>
                <w:sz w:val="20"/>
                <w:szCs w:val="20"/>
                <w:lang w:val="en-IE" w:eastAsia="en-IE"/>
              </w:rPr>
            </w:pPr>
            <w:r w:rsidRPr="00F85099">
              <w:rPr>
                <w:b/>
                <w:bCs/>
                <w:noProof/>
                <w:sz w:val="20"/>
                <w:szCs w:val="20"/>
              </w:rPr>
              <w:t>-</w:t>
            </w:r>
          </w:p>
        </w:tc>
        <w:tc>
          <w:tcPr>
            <w:tcW w:w="1126" w:type="dxa"/>
            <w:shd w:val="clear" w:color="auto" w:fill="EAF1DD" w:themeFill="accent3" w:themeFillTint="33"/>
            <w:noWrap/>
            <w:vAlign w:val="center"/>
          </w:tcPr>
          <w:p w14:paraId="702A3673" w14:textId="25543234" w:rsidR="007E1B60" w:rsidRPr="00247FE0" w:rsidRDefault="007E1B60" w:rsidP="007E1B60">
            <w:pPr>
              <w:spacing w:after="0"/>
              <w:jc w:val="right"/>
              <w:rPr>
                <w:b/>
                <w:bCs/>
                <w:noProof/>
                <w:sz w:val="20"/>
                <w:szCs w:val="20"/>
                <w:lang w:val="en-IE" w:eastAsia="en-IE"/>
              </w:rPr>
            </w:pPr>
            <w:r w:rsidRPr="004A2124">
              <w:rPr>
                <w:b/>
                <w:noProof/>
                <w:sz w:val="20"/>
                <w:szCs w:val="20"/>
              </w:rPr>
              <w:t xml:space="preserve"> -   </w:t>
            </w:r>
          </w:p>
        </w:tc>
        <w:tc>
          <w:tcPr>
            <w:tcW w:w="1174" w:type="dxa"/>
            <w:shd w:val="clear" w:color="auto" w:fill="EAF1DD" w:themeFill="accent3" w:themeFillTint="33"/>
            <w:noWrap/>
            <w:vAlign w:val="center"/>
          </w:tcPr>
          <w:p w14:paraId="1E77DE2E" w14:textId="66F730C9" w:rsidR="007E1B60" w:rsidRPr="00E64FF6" w:rsidRDefault="007E1B60" w:rsidP="007E1B60">
            <w:pPr>
              <w:spacing w:after="0"/>
              <w:jc w:val="right"/>
              <w:rPr>
                <w:b/>
                <w:bCs/>
                <w:noProof/>
                <w:sz w:val="20"/>
                <w:szCs w:val="20"/>
                <w:lang w:val="en-IE" w:eastAsia="en-IE"/>
              </w:rPr>
            </w:pPr>
            <w:r w:rsidRPr="00FA63C0">
              <w:rPr>
                <w:noProof/>
                <w:sz w:val="20"/>
                <w:szCs w:val="20"/>
              </w:rPr>
              <w:t xml:space="preserve"> -   </w:t>
            </w:r>
          </w:p>
        </w:tc>
        <w:tc>
          <w:tcPr>
            <w:tcW w:w="1174" w:type="dxa"/>
            <w:shd w:val="clear" w:color="auto" w:fill="EAF1DD" w:themeFill="accent3" w:themeFillTint="33"/>
            <w:noWrap/>
            <w:vAlign w:val="center"/>
          </w:tcPr>
          <w:p w14:paraId="77933CAF" w14:textId="02E86809" w:rsidR="007E1B60" w:rsidRPr="00E64FF6" w:rsidRDefault="007E1B60" w:rsidP="007E1B60">
            <w:pPr>
              <w:spacing w:after="0"/>
              <w:jc w:val="right"/>
              <w:rPr>
                <w:b/>
                <w:bCs/>
                <w:noProof/>
                <w:sz w:val="20"/>
                <w:szCs w:val="20"/>
                <w:lang w:val="en-IE" w:eastAsia="en-IE"/>
              </w:rPr>
            </w:pPr>
            <w:r w:rsidRPr="00FA63C0">
              <w:rPr>
                <w:noProof/>
                <w:sz w:val="20"/>
                <w:szCs w:val="20"/>
              </w:rPr>
              <w:t xml:space="preserve"> -   </w:t>
            </w:r>
          </w:p>
        </w:tc>
      </w:tr>
      <w:tr w:rsidR="00ED5550" w:rsidRPr="00C1684C" w14:paraId="65D24736" w14:textId="77777777" w:rsidTr="004A2124">
        <w:trPr>
          <w:trHeight w:val="283"/>
        </w:trPr>
        <w:tc>
          <w:tcPr>
            <w:tcW w:w="2127" w:type="dxa"/>
            <w:shd w:val="clear" w:color="auto" w:fill="F2F2F2" w:themeFill="background1" w:themeFillShade="F2"/>
            <w:noWrap/>
            <w:vAlign w:val="center"/>
            <w:hideMark/>
          </w:tcPr>
          <w:p w14:paraId="3FF2F7CC" w14:textId="77777777" w:rsidR="00ED5550" w:rsidRPr="00FA63C0" w:rsidRDefault="00ED5550" w:rsidP="00ED5550">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134" w:type="dxa"/>
            <w:shd w:val="clear" w:color="auto" w:fill="F2F2F2" w:themeFill="background1" w:themeFillShade="F2"/>
            <w:vAlign w:val="center"/>
          </w:tcPr>
          <w:p w14:paraId="6719278C" w14:textId="2FB7431F" w:rsidR="00ED5550" w:rsidRPr="00FA63C0" w:rsidRDefault="00ED5550" w:rsidP="00ED5550">
            <w:pPr>
              <w:spacing w:after="0"/>
              <w:jc w:val="right"/>
              <w:rPr>
                <w:b/>
                <w:bCs/>
                <w:noProof/>
                <w:sz w:val="20"/>
                <w:szCs w:val="20"/>
                <w:lang w:val="en-IE" w:eastAsia="en-IE"/>
              </w:rPr>
            </w:pPr>
            <w:r>
              <w:rPr>
                <w:b/>
                <w:bCs/>
                <w:noProof/>
                <w:sz w:val="20"/>
                <w:szCs w:val="20"/>
                <w:lang w:val="en-IE" w:eastAsia="en-IE"/>
              </w:rPr>
              <w:t>1 553 531</w:t>
            </w:r>
          </w:p>
        </w:tc>
        <w:tc>
          <w:tcPr>
            <w:tcW w:w="992" w:type="dxa"/>
            <w:shd w:val="clear" w:color="auto" w:fill="F2F2F2" w:themeFill="background1" w:themeFillShade="F2"/>
            <w:vAlign w:val="center"/>
          </w:tcPr>
          <w:p w14:paraId="4B0F08EA" w14:textId="2496C1CC" w:rsidR="00ED5550" w:rsidRPr="00FA63C0" w:rsidRDefault="00ED5550" w:rsidP="00ED5550">
            <w:pPr>
              <w:spacing w:after="0"/>
              <w:jc w:val="right"/>
              <w:rPr>
                <w:b/>
                <w:bCs/>
                <w:noProof/>
                <w:sz w:val="20"/>
                <w:szCs w:val="20"/>
                <w:lang w:val="en-IE" w:eastAsia="en-IE"/>
              </w:rPr>
            </w:pPr>
            <w:r>
              <w:rPr>
                <w:b/>
                <w:bCs/>
                <w:noProof/>
                <w:sz w:val="20"/>
                <w:szCs w:val="20"/>
                <w:lang w:val="en-IE" w:eastAsia="en-IE"/>
              </w:rPr>
              <w:t xml:space="preserve"> </w:t>
            </w:r>
            <w:r w:rsidRPr="00ED5550">
              <w:rPr>
                <w:b/>
                <w:bCs/>
                <w:noProof/>
                <w:sz w:val="20"/>
                <w:szCs w:val="20"/>
                <w:lang w:val="en-IE" w:eastAsia="en-IE"/>
              </w:rPr>
              <w:t>818</w:t>
            </w:r>
            <w:r>
              <w:rPr>
                <w:b/>
                <w:bCs/>
                <w:noProof/>
                <w:sz w:val="20"/>
                <w:szCs w:val="20"/>
                <w:lang w:val="en-IE" w:eastAsia="en-IE"/>
              </w:rPr>
              <w:t xml:space="preserve"> </w:t>
            </w:r>
            <w:r w:rsidRPr="00ED5550">
              <w:rPr>
                <w:b/>
                <w:bCs/>
                <w:noProof/>
                <w:sz w:val="20"/>
                <w:szCs w:val="20"/>
                <w:lang w:val="en-IE" w:eastAsia="en-IE"/>
              </w:rPr>
              <w:t>679</w:t>
            </w:r>
          </w:p>
        </w:tc>
        <w:tc>
          <w:tcPr>
            <w:tcW w:w="1276" w:type="dxa"/>
            <w:shd w:val="clear" w:color="auto" w:fill="F2F2F2" w:themeFill="background1" w:themeFillShade="F2"/>
            <w:vAlign w:val="center"/>
          </w:tcPr>
          <w:p w14:paraId="1AD5D7CB" w14:textId="4695782A" w:rsidR="00ED5550" w:rsidRPr="00FA63C0" w:rsidRDefault="00ED5550" w:rsidP="00ED5550">
            <w:pPr>
              <w:spacing w:after="0"/>
              <w:jc w:val="right"/>
              <w:rPr>
                <w:b/>
                <w:bCs/>
                <w:noProof/>
                <w:sz w:val="20"/>
                <w:szCs w:val="20"/>
                <w:lang w:val="en-IE" w:eastAsia="en-IE"/>
              </w:rPr>
            </w:pPr>
            <w:r>
              <w:rPr>
                <w:b/>
                <w:bCs/>
                <w:noProof/>
                <w:sz w:val="20"/>
                <w:szCs w:val="20"/>
                <w:lang w:val="en-IE" w:eastAsia="en-IE"/>
              </w:rPr>
              <w:t xml:space="preserve"> </w:t>
            </w:r>
            <w:r w:rsidRPr="00C36F5E">
              <w:rPr>
                <w:b/>
                <w:bCs/>
                <w:noProof/>
                <w:sz w:val="20"/>
                <w:szCs w:val="20"/>
                <w:lang w:val="en-IE" w:eastAsia="en-IE"/>
              </w:rPr>
              <w:t>231</w:t>
            </w:r>
            <w:r>
              <w:rPr>
                <w:b/>
                <w:bCs/>
                <w:noProof/>
                <w:sz w:val="20"/>
                <w:szCs w:val="20"/>
                <w:lang w:val="en-IE" w:eastAsia="en-IE"/>
              </w:rPr>
              <w:t xml:space="preserve"> </w:t>
            </w:r>
            <w:r w:rsidRPr="00C36F5E">
              <w:rPr>
                <w:b/>
                <w:bCs/>
                <w:noProof/>
                <w:sz w:val="20"/>
                <w:szCs w:val="20"/>
                <w:lang w:val="en-IE" w:eastAsia="en-IE"/>
              </w:rPr>
              <w:t>320</w:t>
            </w:r>
          </w:p>
        </w:tc>
        <w:tc>
          <w:tcPr>
            <w:tcW w:w="1126" w:type="dxa"/>
            <w:shd w:val="clear" w:color="auto" w:fill="F2F2F2" w:themeFill="background1" w:themeFillShade="F2"/>
            <w:noWrap/>
            <w:vAlign w:val="center"/>
          </w:tcPr>
          <w:p w14:paraId="18C457F9" w14:textId="552402FF" w:rsidR="00ED5550" w:rsidRPr="00247FE0" w:rsidRDefault="00ED5550" w:rsidP="004A2124">
            <w:pPr>
              <w:spacing w:after="0"/>
              <w:jc w:val="right"/>
              <w:rPr>
                <w:b/>
                <w:bCs/>
                <w:noProof/>
                <w:sz w:val="20"/>
                <w:szCs w:val="20"/>
                <w:lang w:val="en-IE" w:eastAsia="en-IE"/>
              </w:rPr>
            </w:pPr>
            <w:r w:rsidRPr="004A2124">
              <w:rPr>
                <w:b/>
                <w:noProof/>
                <w:sz w:val="20"/>
                <w:szCs w:val="20"/>
              </w:rPr>
              <w:t xml:space="preserve">2 603 530 </w:t>
            </w:r>
          </w:p>
        </w:tc>
        <w:tc>
          <w:tcPr>
            <w:tcW w:w="1174" w:type="dxa"/>
            <w:shd w:val="clear" w:color="auto" w:fill="F2F2F2" w:themeFill="background1" w:themeFillShade="F2"/>
            <w:noWrap/>
            <w:vAlign w:val="center"/>
          </w:tcPr>
          <w:p w14:paraId="3F6F9B09" w14:textId="12DAF94C" w:rsidR="00ED5550" w:rsidRPr="00CD0933" w:rsidRDefault="00ED5550" w:rsidP="00ED5550">
            <w:pPr>
              <w:spacing w:after="0"/>
              <w:jc w:val="right"/>
              <w:rPr>
                <w:b/>
                <w:bCs/>
                <w:noProof/>
                <w:sz w:val="20"/>
                <w:szCs w:val="20"/>
                <w:lang w:val="en-IE" w:eastAsia="en-IE"/>
              </w:rPr>
            </w:pPr>
            <w:r w:rsidRPr="004A2124">
              <w:rPr>
                <w:b/>
                <w:noProof/>
                <w:sz w:val="20"/>
                <w:szCs w:val="20"/>
              </w:rPr>
              <w:t xml:space="preserve"> 2 603 530 </w:t>
            </w:r>
          </w:p>
        </w:tc>
        <w:tc>
          <w:tcPr>
            <w:tcW w:w="1174" w:type="dxa"/>
            <w:shd w:val="clear" w:color="auto" w:fill="F2F2F2" w:themeFill="background1" w:themeFillShade="F2"/>
            <w:noWrap/>
            <w:vAlign w:val="center"/>
          </w:tcPr>
          <w:p w14:paraId="379B8F39" w14:textId="3695EDE8" w:rsidR="00ED5550" w:rsidRPr="00CD0933" w:rsidRDefault="00ED5550" w:rsidP="00ED5550">
            <w:pPr>
              <w:spacing w:after="0"/>
              <w:jc w:val="right"/>
              <w:rPr>
                <w:b/>
                <w:bCs/>
                <w:noProof/>
                <w:sz w:val="20"/>
                <w:szCs w:val="20"/>
                <w:lang w:val="en-IE" w:eastAsia="en-IE"/>
              </w:rPr>
            </w:pPr>
            <w:r w:rsidRPr="004A2124">
              <w:rPr>
                <w:b/>
                <w:noProof/>
                <w:sz w:val="20"/>
                <w:szCs w:val="20"/>
              </w:rPr>
              <w:t xml:space="preserve"> 2 603 530 </w:t>
            </w:r>
          </w:p>
        </w:tc>
      </w:tr>
    </w:tbl>
    <w:p w14:paraId="4C4BE7E1" w14:textId="18B1538E" w:rsidR="001471E7" w:rsidRPr="00437F91" w:rsidRDefault="001471E7" w:rsidP="00340A97">
      <w:pPr>
        <w:pStyle w:val="Heading2"/>
        <w:numPr>
          <w:ilvl w:val="1"/>
          <w:numId w:val="10"/>
        </w:numPr>
        <w:tabs>
          <w:tab w:val="num" w:pos="283"/>
        </w:tabs>
        <w:spacing w:before="240"/>
        <w:ind w:left="1202"/>
        <w:rPr>
          <w:bCs/>
          <w:noProof/>
        </w:rPr>
      </w:pPr>
      <w:bookmarkStart w:id="176" w:name="_Toc208595300"/>
      <w:bookmarkStart w:id="177" w:name="_Toc208836926"/>
      <w:bookmarkStart w:id="178" w:name="_Toc214519707"/>
      <w:bookmarkStart w:id="179" w:name="_Toc216283358"/>
      <w:bookmarkStart w:id="180" w:name="_Toc228346913"/>
      <w:r w:rsidRPr="00437F91">
        <w:rPr>
          <w:noProof/>
        </w:rPr>
        <w:t>PM3</w:t>
      </w:r>
      <w:r w:rsidRPr="00437F91">
        <w:rPr>
          <w:bCs/>
          <w:noProof/>
        </w:rPr>
        <w:t xml:space="preserve">: </w:t>
      </w:r>
      <w:r w:rsidR="48821F3D">
        <w:rPr>
          <w:noProof/>
        </w:rPr>
        <w:t xml:space="preserve">Adopting </w:t>
      </w:r>
      <w:r w:rsidRPr="00437F91">
        <w:rPr>
          <w:bCs/>
          <w:noProof/>
        </w:rPr>
        <w:t>guidelines on building sustainable data centres in the EU</w:t>
      </w:r>
      <w:bookmarkEnd w:id="176"/>
      <w:bookmarkEnd w:id="177"/>
      <w:bookmarkEnd w:id="178"/>
      <w:bookmarkEnd w:id="179"/>
      <w:bookmarkEnd w:id="180"/>
    </w:p>
    <w:p w14:paraId="170B8C3D" w14:textId="7A06802C" w:rsidR="001471E7" w:rsidRDefault="001471E7" w:rsidP="001471E7">
      <w:pPr>
        <w:pStyle w:val="Text1"/>
        <w:ind w:left="0"/>
        <w:rPr>
          <w:noProof/>
          <w:lang w:val="en-IE"/>
        </w:rPr>
      </w:pPr>
      <w:r w:rsidRPr="007A0B91">
        <w:rPr>
          <w:noProof/>
          <w:lang w:val="en-IE"/>
        </w:rPr>
        <w:t xml:space="preserve">Under </w:t>
      </w:r>
      <w:r>
        <w:rPr>
          <w:noProof/>
          <w:lang w:val="en-IE"/>
        </w:rPr>
        <w:t>this measure, the Commission would develop non-binding EU guidelines for the sustainable planning, design and operation</w:t>
      </w:r>
      <w:r w:rsidR="007B094B">
        <w:rPr>
          <w:noProof/>
          <w:lang w:val="en-IE"/>
        </w:rPr>
        <w:t>/deployment</w:t>
      </w:r>
      <w:r>
        <w:rPr>
          <w:noProof/>
          <w:lang w:val="en-IE"/>
        </w:rPr>
        <w:t xml:space="preserve"> of data centres</w:t>
      </w:r>
      <w:r w:rsidR="007C449F">
        <w:rPr>
          <w:noProof/>
          <w:lang w:val="en-IE"/>
        </w:rPr>
        <w:t>, which</w:t>
      </w:r>
      <w:r w:rsidRPr="009D561C">
        <w:rPr>
          <w:noProof/>
          <w:lang w:val="en-IE"/>
        </w:rPr>
        <w:t xml:space="preserve"> </w:t>
      </w:r>
      <w:r>
        <w:rPr>
          <w:noProof/>
          <w:lang w:val="en-IE"/>
        </w:rPr>
        <w:t>complement existing initiatives, e.g. DG ENER’s grid package, the EED, and the simplification of environmental permitting</w:t>
      </w:r>
      <w:r w:rsidR="00781416">
        <w:rPr>
          <w:noProof/>
          <w:lang w:val="en-IE"/>
        </w:rPr>
        <w:t xml:space="preserve">. </w:t>
      </w:r>
      <w:r w:rsidRPr="009D561C">
        <w:rPr>
          <w:noProof/>
          <w:lang w:val="en-IE"/>
        </w:rPr>
        <w:t xml:space="preserve">The guidelines would prioritise voluntary coordination over top-down prescription. Their purpose is to address practical bottlenecks encountered by market participants and </w:t>
      </w:r>
      <w:r w:rsidR="00CA67E8">
        <w:rPr>
          <w:noProof/>
          <w:lang w:val="en-IE"/>
        </w:rPr>
        <w:t>national</w:t>
      </w:r>
      <w:r w:rsidRPr="009D561C">
        <w:rPr>
          <w:noProof/>
          <w:lang w:val="en-IE"/>
        </w:rPr>
        <w:t xml:space="preserve"> public authorities, notably in </w:t>
      </w:r>
      <w:r w:rsidR="00781416">
        <w:rPr>
          <w:noProof/>
          <w:lang w:val="en-IE"/>
        </w:rPr>
        <w:t>terms of</w:t>
      </w:r>
      <w:r w:rsidRPr="009D561C">
        <w:rPr>
          <w:noProof/>
          <w:lang w:val="en-IE"/>
        </w:rPr>
        <w:t xml:space="preserve"> permitting, grid access, and financing, while promoting the uptake of innovative and resource-efficient technologies</w:t>
      </w:r>
      <w:r>
        <w:rPr>
          <w:noProof/>
          <w:lang w:val="en-IE"/>
        </w:rPr>
        <w:t xml:space="preserve">. </w:t>
      </w:r>
      <w:r w:rsidR="0156184F" w:rsidRPr="0056B38C">
        <w:rPr>
          <w:noProof/>
          <w:lang w:val="en-IE"/>
        </w:rPr>
        <w:t xml:space="preserve">They would also include recommendations on identifying suitable areas for data centre </w:t>
      </w:r>
      <w:r w:rsidR="0156184F" w:rsidRPr="2FCA70F6">
        <w:rPr>
          <w:noProof/>
          <w:lang w:val="en-IE"/>
        </w:rPr>
        <w:t xml:space="preserve">deployment. </w:t>
      </w:r>
      <w:r w:rsidRPr="2FCA70F6">
        <w:rPr>
          <w:noProof/>
          <w:lang w:val="en-IE"/>
        </w:rPr>
        <w:t>The</w:t>
      </w:r>
      <w:r>
        <w:rPr>
          <w:noProof/>
          <w:lang w:val="en-IE"/>
        </w:rPr>
        <w:t xml:space="preserve"> guidelines would be co-created with Member States, relevant regulators, local authorities, TSOs/DSOs, data centre operators and CSPs. Drafting would also draw on the </w:t>
      </w:r>
      <w:r w:rsidRPr="02AC9CBC">
        <w:rPr>
          <w:noProof/>
          <w:lang w:val="en-IE"/>
        </w:rPr>
        <w:t>for</w:t>
      </w:r>
      <w:r w:rsidR="41FC2361" w:rsidRPr="02AC9CBC">
        <w:rPr>
          <w:noProof/>
          <w:lang w:val="en-IE"/>
        </w:rPr>
        <w:t>um</w:t>
      </w:r>
      <w:r>
        <w:rPr>
          <w:noProof/>
          <w:lang w:val="en-IE"/>
        </w:rPr>
        <w:t xml:space="preserve"> established under PM2, public </w:t>
      </w:r>
      <w:r w:rsidRPr="66CBAEBB">
        <w:rPr>
          <w:noProof/>
          <w:lang w:val="en-IE"/>
        </w:rPr>
        <w:t>consultation</w:t>
      </w:r>
      <w:r w:rsidR="39F9F8F5" w:rsidRPr="66CBAEBB">
        <w:rPr>
          <w:noProof/>
          <w:lang w:val="en-IE"/>
        </w:rPr>
        <w:t>s</w:t>
      </w:r>
      <w:r>
        <w:rPr>
          <w:noProof/>
          <w:lang w:val="en-IE"/>
        </w:rPr>
        <w:t xml:space="preserve">, and periodic review to reflect technological progress and implementation feedback. The text would be adaptable to national or regional contexts, allowing authorities to reference it if consistent and helpful with respect to domestic frameworks.  </w:t>
      </w:r>
    </w:p>
    <w:p w14:paraId="310FD069" w14:textId="77777777" w:rsidR="001471E7" w:rsidRPr="007A0B91" w:rsidRDefault="001471E7" w:rsidP="001471E7">
      <w:pPr>
        <w:pStyle w:val="Text1"/>
        <w:ind w:left="0"/>
        <w:rPr>
          <w:noProof/>
          <w:lang w:val="en-IE"/>
        </w:rPr>
      </w:pPr>
      <w:r w:rsidRPr="00C73124">
        <w:rPr>
          <w:bCs/>
          <w:i/>
          <w:noProof/>
          <w:lang w:val="en-IE"/>
        </w:rPr>
        <w:t>Governance cadence</w:t>
      </w:r>
      <w:r w:rsidRPr="00C73124">
        <w:rPr>
          <w:bCs/>
          <w:i/>
          <w:iCs/>
          <w:noProof/>
          <w:lang w:val="en-IE"/>
        </w:rPr>
        <w:t>.</w:t>
      </w:r>
      <w:r>
        <w:rPr>
          <w:noProof/>
          <w:lang w:val="en-IE"/>
        </w:rPr>
        <w:t xml:space="preserve"> Initial issuance of the guidelines in 2027, followed by triennial reviews (2030, 2033, 2036) to reflect technological progress and implementation feedback.</w:t>
      </w:r>
    </w:p>
    <w:p w14:paraId="46BB143A" w14:textId="6E97557F" w:rsidR="001471E7" w:rsidRDefault="00891515" w:rsidP="001471E7">
      <w:pPr>
        <w:pStyle w:val="Text1"/>
        <w:ind w:left="0"/>
        <w:rPr>
          <w:noProof/>
          <w:lang w:val="en-IE"/>
        </w:rPr>
      </w:pPr>
      <w:r>
        <w:rPr>
          <w:bCs/>
          <w:i/>
          <w:noProof/>
          <w:lang w:val="en-IE"/>
        </w:rPr>
        <w:t>Impact on d</w:t>
      </w:r>
      <w:r w:rsidR="001471E7" w:rsidRPr="00313EA4">
        <w:rPr>
          <w:bCs/>
          <w:i/>
          <w:noProof/>
          <w:lang w:val="en-IE"/>
        </w:rPr>
        <w:t>ata</w:t>
      </w:r>
      <w:r>
        <w:rPr>
          <w:bCs/>
          <w:i/>
          <w:noProof/>
          <w:lang w:val="en-IE"/>
        </w:rPr>
        <w:t xml:space="preserve"> </w:t>
      </w:r>
      <w:r w:rsidR="001471E7" w:rsidRPr="00313EA4">
        <w:rPr>
          <w:bCs/>
          <w:i/>
          <w:noProof/>
          <w:lang w:val="en-IE"/>
        </w:rPr>
        <w:t xml:space="preserve">centre </w:t>
      </w:r>
      <w:r>
        <w:rPr>
          <w:bCs/>
          <w:i/>
          <w:noProof/>
          <w:lang w:val="en-IE"/>
        </w:rPr>
        <w:t>deployment acceleration</w:t>
      </w:r>
      <w:r w:rsidR="001471E7" w:rsidRPr="00313EA4">
        <w:rPr>
          <w:bCs/>
          <w:noProof/>
          <w:lang w:val="en-IE"/>
        </w:rPr>
        <w:t>.</w:t>
      </w:r>
      <w:r w:rsidR="001471E7" w:rsidRPr="51F6B4DA">
        <w:rPr>
          <w:noProof/>
          <w:lang w:val="en-IE"/>
        </w:rPr>
        <w:t xml:space="preserve"> </w:t>
      </w:r>
      <w:r w:rsidR="001471E7">
        <w:rPr>
          <w:bCs/>
          <w:iCs/>
          <w:noProof/>
          <w:lang w:val="en-IE"/>
        </w:rPr>
        <w:t xml:space="preserve">The baseline capacity growth presents a </w:t>
      </w:r>
      <w:r w:rsidR="00F153E8">
        <w:rPr>
          <w:bCs/>
          <w:iCs/>
          <w:noProof/>
          <w:lang w:val="en-IE"/>
        </w:rPr>
        <w:t>12</w:t>
      </w:r>
      <w:r w:rsidR="001471E7">
        <w:rPr>
          <w:bCs/>
          <w:iCs/>
          <w:noProof/>
          <w:lang w:val="en-IE"/>
        </w:rPr>
        <w:t>% CAGR in data centre capacity (</w:t>
      </w:r>
      <w:r w:rsidR="00F153E8">
        <w:rPr>
          <w:bCs/>
          <w:iCs/>
          <w:noProof/>
          <w:lang w:val="en-IE"/>
        </w:rPr>
        <w:t>2025</w:t>
      </w:r>
      <w:r w:rsidR="001471E7">
        <w:rPr>
          <w:bCs/>
          <w:iCs/>
          <w:noProof/>
          <w:lang w:val="en-IE"/>
        </w:rPr>
        <w:t xml:space="preserve">-2036). Under this option, it is assumed that the capacity growth rate </w:t>
      </w:r>
      <w:r w:rsidR="000925D8">
        <w:rPr>
          <w:bCs/>
          <w:iCs/>
          <w:noProof/>
          <w:lang w:val="en-IE"/>
        </w:rPr>
        <w:t xml:space="preserve">(CAGR) </w:t>
      </w:r>
      <w:r w:rsidR="001471E7">
        <w:rPr>
          <w:bCs/>
          <w:iCs/>
          <w:noProof/>
          <w:lang w:val="en-IE"/>
        </w:rPr>
        <w:t xml:space="preserve">increases </w:t>
      </w:r>
      <w:r>
        <w:rPr>
          <w:bCs/>
          <w:iCs/>
          <w:noProof/>
          <w:lang w:val="en-IE"/>
        </w:rPr>
        <w:t>slightly</w:t>
      </w:r>
      <w:r w:rsidR="00F153E8">
        <w:rPr>
          <w:bCs/>
          <w:iCs/>
          <w:noProof/>
          <w:lang w:val="en-IE"/>
        </w:rPr>
        <w:t xml:space="preserve"> </w:t>
      </w:r>
      <w:r w:rsidR="001471E7">
        <w:rPr>
          <w:bCs/>
          <w:iCs/>
          <w:noProof/>
          <w:lang w:val="en-IE"/>
        </w:rPr>
        <w:t xml:space="preserve">to 13% (see section </w:t>
      </w:r>
      <w:r w:rsidR="001471E7" w:rsidRPr="00E34FDB">
        <w:rPr>
          <w:bCs/>
          <w:iCs/>
          <w:noProof/>
          <w:lang w:val="en-IE"/>
        </w:rPr>
        <w:fldChar w:fldCharType="begin"/>
      </w:r>
      <w:r w:rsidR="001471E7" w:rsidRPr="00E34FDB">
        <w:rPr>
          <w:bCs/>
          <w:iCs/>
          <w:noProof/>
          <w:lang w:val="en-IE"/>
        </w:rPr>
        <w:instrText xml:space="preserve"> REF _Ref214535550 \r \h </w:instrText>
      </w:r>
      <w:r w:rsidR="00E34FDB">
        <w:rPr>
          <w:bCs/>
          <w:iCs/>
          <w:noProof/>
          <w:lang w:val="en-IE"/>
        </w:rPr>
        <w:instrText xml:space="preserve"> \* MERGEFORMAT </w:instrText>
      </w:r>
      <w:r w:rsidR="001471E7" w:rsidRPr="00E34FDB">
        <w:rPr>
          <w:bCs/>
          <w:iCs/>
          <w:noProof/>
          <w:lang w:val="en-IE"/>
        </w:rPr>
      </w:r>
      <w:r w:rsidR="001471E7" w:rsidRPr="00E34FDB">
        <w:rPr>
          <w:bCs/>
          <w:iCs/>
          <w:noProof/>
          <w:lang w:val="en-IE"/>
        </w:rPr>
        <w:fldChar w:fldCharType="separate"/>
      </w:r>
      <w:r w:rsidR="000E7F11">
        <w:rPr>
          <w:bCs/>
          <w:iCs/>
          <w:noProof/>
          <w:lang w:val="en-IE"/>
        </w:rPr>
        <w:t>2.3.1</w:t>
      </w:r>
      <w:r w:rsidR="001471E7" w:rsidRPr="00E34FDB">
        <w:rPr>
          <w:bCs/>
          <w:iCs/>
          <w:noProof/>
          <w:lang w:val="en-IE"/>
        </w:rPr>
        <w:fldChar w:fldCharType="end"/>
      </w:r>
      <w:r w:rsidR="000925D8" w:rsidRPr="00E34FDB">
        <w:rPr>
          <w:bCs/>
          <w:iCs/>
          <w:noProof/>
          <w:lang w:val="en-IE"/>
        </w:rPr>
        <w:t xml:space="preserve"> of this Annex</w:t>
      </w:r>
      <w:r w:rsidR="001471E7" w:rsidRPr="00E34FDB">
        <w:rPr>
          <w:bCs/>
          <w:iCs/>
          <w:noProof/>
          <w:lang w:val="en-IE"/>
        </w:rPr>
        <w:t>).</w:t>
      </w:r>
      <w:r w:rsidR="001471E7">
        <w:rPr>
          <w:bCs/>
          <w:iCs/>
          <w:noProof/>
          <w:lang w:val="en-IE"/>
        </w:rPr>
        <w:t xml:space="preserve"> </w:t>
      </w:r>
      <w:r w:rsidR="001471E7" w:rsidRPr="68FE1ED1" w:rsidDel="009E377E">
        <w:rPr>
          <w:noProof/>
          <w:lang w:val="en-IE"/>
        </w:rPr>
        <w:t>The</w:t>
      </w:r>
      <w:r w:rsidR="001471E7">
        <w:rPr>
          <w:noProof/>
          <w:lang w:val="en-IE"/>
        </w:rPr>
        <w:t xml:space="preserve"> </w:t>
      </w:r>
      <w:r w:rsidR="001471E7" w:rsidRPr="68FE1ED1" w:rsidDel="009E377E">
        <w:rPr>
          <w:noProof/>
          <w:lang w:val="en-IE"/>
        </w:rPr>
        <w:t xml:space="preserve">guidelines </w:t>
      </w:r>
      <w:r w:rsidR="001471E7">
        <w:rPr>
          <w:noProof/>
          <w:lang w:val="en-IE"/>
        </w:rPr>
        <w:t>are expected to</w:t>
      </w:r>
      <w:r w:rsidR="001471E7" w:rsidRPr="68FE1ED1" w:rsidDel="009E377E">
        <w:rPr>
          <w:noProof/>
          <w:lang w:val="en-IE"/>
        </w:rPr>
        <w:t xml:space="preserve"> </w:t>
      </w:r>
      <w:r w:rsidR="00F153E8">
        <w:rPr>
          <w:noProof/>
          <w:lang w:val="en-IE"/>
        </w:rPr>
        <w:t>reduce</w:t>
      </w:r>
      <w:r w:rsidR="001471E7" w:rsidRPr="68FE1ED1" w:rsidDel="009E377E">
        <w:rPr>
          <w:noProof/>
          <w:lang w:val="en-IE"/>
        </w:rPr>
        <w:t xml:space="preserve"> design, assessment and administrative tasks and applying best practices in datacentre rollout and operation.</w:t>
      </w:r>
      <w:r w:rsidR="001471E7">
        <w:rPr>
          <w:noProof/>
          <w:lang w:val="en-IE"/>
        </w:rPr>
        <w:t xml:space="preserve"> </w:t>
      </w:r>
      <w:r w:rsidR="001471E7">
        <w:rPr>
          <w:bCs/>
          <w:iCs/>
          <w:noProof/>
          <w:lang w:val="en-IE"/>
        </w:rPr>
        <w:t xml:space="preserve">The scope of this measure covers </w:t>
      </w:r>
      <w:r w:rsidR="00F153E8">
        <w:rPr>
          <w:bCs/>
          <w:iCs/>
          <w:noProof/>
          <w:lang w:val="en-IE"/>
        </w:rPr>
        <w:t>data centre</w:t>
      </w:r>
      <w:r w:rsidR="001471E7">
        <w:rPr>
          <w:bCs/>
          <w:iCs/>
          <w:noProof/>
          <w:lang w:val="en-IE"/>
        </w:rPr>
        <w:t xml:space="preserve"> operators </w:t>
      </w:r>
      <w:r w:rsidR="00F153E8">
        <w:rPr>
          <w:bCs/>
          <w:iCs/>
          <w:noProof/>
          <w:lang w:val="en-IE"/>
        </w:rPr>
        <w:t xml:space="preserve">and CSPs </w:t>
      </w:r>
      <w:r w:rsidR="001471E7">
        <w:rPr>
          <w:bCs/>
          <w:iCs/>
          <w:noProof/>
          <w:lang w:val="en-IE"/>
        </w:rPr>
        <w:t>active in the building of data centres in the EU. I</w:t>
      </w:r>
      <w:r w:rsidR="001471E7" w:rsidRPr="00AB4C2D">
        <w:rPr>
          <w:bCs/>
          <w:iCs/>
          <w:noProof/>
          <w:lang w:val="en-IE"/>
        </w:rPr>
        <w:t xml:space="preserve">mpacts scale with the </w:t>
      </w:r>
      <w:r w:rsidR="001471E7" w:rsidRPr="00EC643D">
        <w:rPr>
          <w:noProof/>
          <w:lang w:val="en-IE"/>
        </w:rPr>
        <w:t>share of organisations adopting</w:t>
      </w:r>
      <w:r w:rsidR="001471E7" w:rsidRPr="00AB4C2D">
        <w:rPr>
          <w:bCs/>
          <w:iCs/>
          <w:noProof/>
          <w:lang w:val="en-IE"/>
        </w:rPr>
        <w:t xml:space="preserve"> the guidelines and the </w:t>
      </w:r>
      <w:r w:rsidR="001471E7" w:rsidRPr="00EC643D">
        <w:rPr>
          <w:noProof/>
          <w:lang w:val="en-IE"/>
        </w:rPr>
        <w:t>share of new projects applying</w:t>
      </w:r>
      <w:r w:rsidR="001471E7" w:rsidRPr="00AB4C2D">
        <w:rPr>
          <w:bCs/>
          <w:iCs/>
          <w:noProof/>
          <w:lang w:val="en-IE"/>
        </w:rPr>
        <w:t xml:space="preserve"> them</w:t>
      </w:r>
      <w:r w:rsidR="001471E7">
        <w:rPr>
          <w:bCs/>
          <w:iCs/>
          <w:noProof/>
          <w:lang w:val="en-IE"/>
        </w:rPr>
        <w:t xml:space="preserve"> (</w:t>
      </w:r>
      <w:r w:rsidR="001471E7">
        <w:rPr>
          <w:noProof/>
          <w:lang w:val="en-IE"/>
        </w:rPr>
        <w:t xml:space="preserve">see section </w:t>
      </w:r>
      <w:r w:rsidR="001471E7" w:rsidRPr="0007547C">
        <w:rPr>
          <w:noProof/>
          <w:lang w:val="en-IE"/>
        </w:rPr>
        <w:fldChar w:fldCharType="begin"/>
      </w:r>
      <w:r w:rsidR="001471E7" w:rsidRPr="0007547C">
        <w:rPr>
          <w:noProof/>
          <w:lang w:val="en-IE"/>
        </w:rPr>
        <w:instrText xml:space="preserve"> REF _Ref213414573 \w \h </w:instrText>
      </w:r>
      <w:r w:rsidR="001471E7">
        <w:rPr>
          <w:noProof/>
          <w:lang w:val="en-IE"/>
        </w:rPr>
        <w:instrText xml:space="preserve"> \* MERGEFORMAT </w:instrText>
      </w:r>
      <w:r w:rsidR="001471E7" w:rsidRPr="0007547C">
        <w:rPr>
          <w:noProof/>
          <w:lang w:val="en-IE"/>
        </w:rPr>
      </w:r>
      <w:r w:rsidR="001471E7" w:rsidRPr="0007547C">
        <w:rPr>
          <w:noProof/>
          <w:lang w:val="en-IE"/>
        </w:rPr>
        <w:fldChar w:fldCharType="separate"/>
      </w:r>
      <w:r w:rsidR="000E7F11">
        <w:rPr>
          <w:noProof/>
          <w:lang w:val="en-IE"/>
        </w:rPr>
        <w:t>2.3.3</w:t>
      </w:r>
      <w:r w:rsidR="001471E7" w:rsidRPr="0007547C">
        <w:rPr>
          <w:noProof/>
          <w:lang w:val="en-IE"/>
        </w:rPr>
        <w:fldChar w:fldCharType="end"/>
      </w:r>
      <w:r w:rsidR="001471E7" w:rsidRPr="0007547C">
        <w:rPr>
          <w:noProof/>
          <w:lang w:val="en-IE"/>
        </w:rPr>
        <w:t>).</w:t>
      </w:r>
      <w:r w:rsidR="001471E7">
        <w:rPr>
          <w:noProof/>
          <w:lang w:val="en-IE"/>
        </w:rPr>
        <w:t xml:space="preserve"> Since the use of the guidelines</w:t>
      </w:r>
      <w:r w:rsidR="001471E7" w:rsidRPr="00530E3F">
        <w:rPr>
          <w:noProof/>
          <w:lang w:val="en-IE"/>
        </w:rPr>
        <w:t xml:space="preserve"> is voluntary</w:t>
      </w:r>
      <w:r w:rsidR="001471E7">
        <w:rPr>
          <w:noProof/>
          <w:lang w:val="en-IE"/>
        </w:rPr>
        <w:t>, it is assumed that the</w:t>
      </w:r>
      <w:r w:rsidR="001471E7" w:rsidRPr="00530E3F">
        <w:rPr>
          <w:noProof/>
          <w:lang w:val="en-IE"/>
        </w:rPr>
        <w:t xml:space="preserve"> share of </w:t>
      </w:r>
      <w:r w:rsidR="001471E7" w:rsidRPr="00EC643D">
        <w:rPr>
          <w:noProof/>
          <w:lang w:val="en-IE"/>
        </w:rPr>
        <w:t>new projects applying</w:t>
      </w:r>
      <w:r w:rsidR="001471E7" w:rsidRPr="00530E3F">
        <w:rPr>
          <w:noProof/>
          <w:lang w:val="en-IE"/>
        </w:rPr>
        <w:t xml:space="preserve"> the guidelines increases from </w:t>
      </w:r>
      <w:r w:rsidR="001471E7" w:rsidRPr="00EC643D">
        <w:rPr>
          <w:noProof/>
          <w:lang w:val="en-IE"/>
        </w:rPr>
        <w:t>0% in 202</w:t>
      </w:r>
      <w:r w:rsidR="001471E7">
        <w:rPr>
          <w:noProof/>
          <w:lang w:val="en-IE"/>
        </w:rPr>
        <w:t>7</w:t>
      </w:r>
      <w:r w:rsidR="001471E7" w:rsidRPr="00530E3F">
        <w:rPr>
          <w:noProof/>
          <w:lang w:val="en-IE"/>
        </w:rPr>
        <w:t xml:space="preserve"> to </w:t>
      </w:r>
      <w:r w:rsidR="001471E7">
        <w:rPr>
          <w:noProof/>
          <w:lang w:val="en-IE"/>
        </w:rPr>
        <w:t>5</w:t>
      </w:r>
      <w:r w:rsidR="001471E7" w:rsidRPr="00EC643D">
        <w:rPr>
          <w:noProof/>
          <w:lang w:val="en-IE"/>
        </w:rPr>
        <w:t>0% by 2036</w:t>
      </w:r>
      <w:r w:rsidR="001471E7">
        <w:rPr>
          <w:noProof/>
          <w:lang w:val="en-IE"/>
        </w:rPr>
        <w:t xml:space="preserve">, </w:t>
      </w:r>
      <w:r w:rsidR="00524F96">
        <w:rPr>
          <w:noProof/>
          <w:lang w:val="en-IE"/>
        </w:rPr>
        <w:t xml:space="preserve">to </w:t>
      </w:r>
      <w:r w:rsidR="009362FE">
        <w:rPr>
          <w:noProof/>
          <w:lang w:val="en-IE"/>
        </w:rPr>
        <w:t>consider</w:t>
      </w:r>
      <w:r w:rsidR="00524F96">
        <w:rPr>
          <w:noProof/>
          <w:lang w:val="en-IE"/>
        </w:rPr>
        <w:t xml:space="preserve"> the </w:t>
      </w:r>
      <w:r w:rsidR="001471E7" w:rsidRPr="00C1102A">
        <w:rPr>
          <w:noProof/>
          <w:lang w:val="en-IE"/>
        </w:rPr>
        <w:t xml:space="preserve">differing views received during the consultations of </w:t>
      </w:r>
      <w:r w:rsidR="00E805AD">
        <w:rPr>
          <w:noProof/>
          <w:lang w:val="en-IE"/>
        </w:rPr>
        <w:t xml:space="preserve">Technopolis et al. (2025) </w:t>
      </w:r>
      <w:r w:rsidR="001471E7">
        <w:rPr>
          <w:noProof/>
          <w:lang w:val="en-IE"/>
        </w:rPr>
        <w:t>about the usefulness and rate of uptake of the guidelines.</w:t>
      </w:r>
    </w:p>
    <w:p w14:paraId="1203C4DF" w14:textId="3683C7ED" w:rsidR="001471E7" w:rsidRPr="00D53E1F" w:rsidRDefault="00EC07EB" w:rsidP="001471E7">
      <w:pPr>
        <w:pStyle w:val="Text1"/>
        <w:ind w:left="0"/>
        <w:rPr>
          <w:noProof/>
        </w:rPr>
      </w:pPr>
      <w:r>
        <w:rPr>
          <w:b/>
          <w:bCs/>
          <w:i/>
          <w:iCs/>
          <w:noProof/>
          <w:lang w:val="en-IE"/>
        </w:rPr>
        <w:t>A</w:t>
      </w:r>
      <w:r w:rsidR="001471E7" w:rsidRPr="294AF3FA">
        <w:rPr>
          <w:b/>
          <w:bCs/>
          <w:i/>
          <w:iCs/>
          <w:noProof/>
          <w:lang w:val="en-IE"/>
        </w:rPr>
        <w:t xml:space="preserve">djustment costs for </w:t>
      </w:r>
      <w:r w:rsidR="6E748053" w:rsidRPr="7D6CC567">
        <w:rPr>
          <w:b/>
          <w:bCs/>
          <w:i/>
          <w:iCs/>
          <w:noProof/>
          <w:lang w:val="en-IE"/>
        </w:rPr>
        <w:t>d</w:t>
      </w:r>
      <w:r w:rsidR="00C73124" w:rsidRPr="7D6CC567">
        <w:rPr>
          <w:b/>
          <w:bCs/>
          <w:i/>
          <w:iCs/>
          <w:noProof/>
        </w:rPr>
        <w:t xml:space="preserve">ata </w:t>
      </w:r>
      <w:r w:rsidR="457F57A4" w:rsidRPr="7D6CC567">
        <w:rPr>
          <w:b/>
          <w:bCs/>
          <w:i/>
          <w:iCs/>
          <w:noProof/>
        </w:rPr>
        <w:t>c</w:t>
      </w:r>
      <w:r w:rsidR="00C73124" w:rsidRPr="7D6CC567">
        <w:rPr>
          <w:b/>
          <w:bCs/>
          <w:i/>
          <w:iCs/>
          <w:noProof/>
        </w:rPr>
        <w:t xml:space="preserve">entre </w:t>
      </w:r>
      <w:r w:rsidR="635EA8DD" w:rsidRPr="7D6CC567">
        <w:rPr>
          <w:b/>
          <w:bCs/>
          <w:i/>
          <w:iCs/>
          <w:noProof/>
        </w:rPr>
        <w:t>o</w:t>
      </w:r>
      <w:r w:rsidR="00C73124" w:rsidRPr="7D6CC567">
        <w:rPr>
          <w:b/>
          <w:bCs/>
          <w:i/>
          <w:iCs/>
          <w:noProof/>
        </w:rPr>
        <w:t>perators</w:t>
      </w:r>
      <w:r w:rsidR="001471E7" w:rsidRPr="7D6CC567">
        <w:rPr>
          <w:b/>
          <w:bCs/>
          <w:i/>
          <w:iCs/>
          <w:noProof/>
          <w:lang w:val="en-IE"/>
        </w:rPr>
        <w:t>.</w:t>
      </w:r>
      <w:r w:rsidR="001471E7" w:rsidRPr="7D4A0C3D">
        <w:rPr>
          <w:noProof/>
          <w:lang w:val="en-IE"/>
        </w:rPr>
        <w:t xml:space="preserve"> The impact of the guidelines on businesses is modelled as </w:t>
      </w:r>
      <w:r w:rsidR="00AF39A4">
        <w:rPr>
          <w:noProof/>
          <w:lang w:val="en-IE"/>
        </w:rPr>
        <w:t xml:space="preserve">adjustment </w:t>
      </w:r>
      <w:r w:rsidR="001471E7" w:rsidRPr="7D4A0C3D">
        <w:rPr>
          <w:noProof/>
          <w:lang w:val="en-IE"/>
        </w:rPr>
        <w:t xml:space="preserve">costs using the </w:t>
      </w:r>
      <w:r w:rsidR="001471E7">
        <w:rPr>
          <w:noProof/>
          <w:lang w:val="en-IE"/>
        </w:rPr>
        <w:t>S</w:t>
      </w:r>
      <w:r w:rsidR="001471E7" w:rsidRPr="7D4A0C3D">
        <w:rPr>
          <w:noProof/>
          <w:lang w:val="en-IE"/>
        </w:rPr>
        <w:t xml:space="preserve">tandard </w:t>
      </w:r>
      <w:r w:rsidR="001471E7">
        <w:rPr>
          <w:noProof/>
          <w:lang w:val="en-IE"/>
        </w:rPr>
        <w:t>C</w:t>
      </w:r>
      <w:r w:rsidR="001471E7" w:rsidRPr="7D4A0C3D">
        <w:rPr>
          <w:noProof/>
          <w:lang w:val="en-IE"/>
        </w:rPr>
        <w:t xml:space="preserve">ost </w:t>
      </w:r>
      <w:r w:rsidR="001471E7">
        <w:rPr>
          <w:noProof/>
          <w:lang w:val="en-IE"/>
        </w:rPr>
        <w:t>M</w:t>
      </w:r>
      <w:r w:rsidR="001471E7" w:rsidRPr="7D4A0C3D">
        <w:rPr>
          <w:noProof/>
          <w:lang w:val="en-IE"/>
        </w:rPr>
        <w:t>odel</w:t>
      </w:r>
      <w:r w:rsidR="001471E7">
        <w:rPr>
          <w:noProof/>
          <w:lang w:val="en-IE"/>
        </w:rPr>
        <w:t xml:space="preserve"> (SCM)</w:t>
      </w:r>
      <w:r w:rsidR="001471E7" w:rsidRPr="7D4A0C3D">
        <w:rPr>
          <w:noProof/>
          <w:lang w:val="en-IE"/>
        </w:rPr>
        <w:t xml:space="preserve">, which accounts for the time and resources needed to understand and apply the guidelines. In year 1, each participating operator incurs one-off </w:t>
      </w:r>
      <w:r w:rsidR="00AF39A4">
        <w:rPr>
          <w:noProof/>
          <w:lang w:val="en-IE"/>
        </w:rPr>
        <w:t xml:space="preserve">adjustment </w:t>
      </w:r>
      <w:r w:rsidR="001471E7" w:rsidRPr="7D4A0C3D">
        <w:rPr>
          <w:noProof/>
          <w:lang w:val="en-IE"/>
        </w:rPr>
        <w:t>costs for consultation</w:t>
      </w:r>
      <w:r w:rsidR="001471E7" w:rsidRPr="7D4A0C3D" w:rsidDel="00CD3886">
        <w:rPr>
          <w:noProof/>
          <w:lang w:val="en-IE"/>
        </w:rPr>
        <w:t xml:space="preserve"> </w:t>
      </w:r>
      <w:r w:rsidR="001471E7" w:rsidRPr="7D4A0C3D">
        <w:rPr>
          <w:noProof/>
          <w:lang w:val="en-IE"/>
        </w:rPr>
        <w:t xml:space="preserve">and discussions </w:t>
      </w:r>
      <w:r w:rsidR="00CF7EC6">
        <w:rPr>
          <w:noProof/>
          <w:lang w:val="en-IE"/>
        </w:rPr>
        <w:t>o</w:t>
      </w:r>
      <w:r w:rsidR="00FA3B00">
        <w:rPr>
          <w:noProof/>
          <w:lang w:val="en-IE"/>
        </w:rPr>
        <w:t xml:space="preserve">f the guidelines </w:t>
      </w:r>
      <w:r w:rsidR="001471E7" w:rsidRPr="7D4A0C3D">
        <w:rPr>
          <w:noProof/>
          <w:lang w:val="en-IE"/>
        </w:rPr>
        <w:t>with authorities. Participation in the initial consultation process is estimated for 30 data centre operators and 10 CSPs</w:t>
      </w:r>
      <w:r w:rsidR="001471E7" w:rsidRPr="7D4A0C3D">
        <w:rPr>
          <w:rStyle w:val="FootnoteReference"/>
          <w:noProof/>
          <w:lang w:val="en-IE"/>
        </w:rPr>
        <w:footnoteReference w:id="44"/>
      </w:r>
      <w:r w:rsidR="001471E7" w:rsidRPr="7D4A0C3D">
        <w:rPr>
          <w:noProof/>
          <w:lang w:val="en-IE"/>
        </w:rPr>
        <w:t xml:space="preserve">, considering around </w:t>
      </w:r>
      <w:r w:rsidR="001471E7">
        <w:rPr>
          <w:noProof/>
          <w:lang w:val="en-IE"/>
        </w:rPr>
        <w:t xml:space="preserve">27.5 staff days per operator per year (equivalent to </w:t>
      </w:r>
      <w:r w:rsidR="001471E7" w:rsidRPr="003401EC">
        <w:rPr>
          <w:noProof/>
          <w:lang w:val="en-IE"/>
        </w:rPr>
        <w:t xml:space="preserve">0.125 FTE or around 2-3 </w:t>
      </w:r>
      <w:r w:rsidR="001471E7">
        <w:rPr>
          <w:noProof/>
          <w:lang w:val="en-IE"/>
        </w:rPr>
        <w:t xml:space="preserve">full working </w:t>
      </w:r>
      <w:r w:rsidR="001471E7" w:rsidRPr="003401EC">
        <w:rPr>
          <w:noProof/>
          <w:lang w:val="en-IE"/>
        </w:rPr>
        <w:t>days per month</w:t>
      </w:r>
      <w:r w:rsidR="001471E7">
        <w:rPr>
          <w:noProof/>
          <w:lang w:val="en-IE"/>
        </w:rPr>
        <w:t xml:space="preserve">, </w:t>
      </w:r>
      <w:r w:rsidR="001471E7" w:rsidRPr="003401EC">
        <w:rPr>
          <w:noProof/>
          <w:lang w:val="en-IE"/>
        </w:rPr>
        <w:t>spread across the year</w:t>
      </w:r>
      <w:r w:rsidR="001471E7">
        <w:rPr>
          <w:noProof/>
          <w:lang w:val="en-IE"/>
        </w:rPr>
        <w:t>)</w:t>
      </w:r>
      <w:r w:rsidR="001471E7">
        <w:rPr>
          <w:rStyle w:val="FootnoteReference"/>
          <w:noProof/>
          <w:lang w:val="en-IE"/>
        </w:rPr>
        <w:footnoteReference w:id="45"/>
      </w:r>
      <w:r w:rsidR="001471E7">
        <w:rPr>
          <w:noProof/>
          <w:lang w:val="en-IE"/>
        </w:rPr>
        <w:t xml:space="preserve">. </w:t>
      </w:r>
      <w:r w:rsidR="001471E7" w:rsidRPr="00C1102A">
        <w:rPr>
          <w:noProof/>
          <w:lang w:val="en-IE"/>
        </w:rPr>
        <w:t>The continued involvement in the revisions/updates of the guidelines is estimated at an additional 20 days every three years, but only for the 30 data centre operators and 10 CSPs originally engaged in the drafting</w:t>
      </w:r>
      <w:r w:rsidR="001471E7">
        <w:rPr>
          <w:noProof/>
          <w:lang w:val="en-IE"/>
        </w:rPr>
        <w:t>.</w:t>
      </w:r>
      <w:r w:rsidR="00D625BE" w:rsidRPr="00D625BE">
        <w:rPr>
          <w:noProof/>
          <w:lang w:val="en-IE"/>
        </w:rPr>
        <w:t xml:space="preserve"> </w:t>
      </w:r>
      <w:r w:rsidR="00D625BE">
        <w:rPr>
          <w:noProof/>
          <w:lang w:val="en-IE"/>
        </w:rPr>
        <w:t>These days of effort per operator for participating in the discussion of the guidelines every three years and until 2036 would entail adjustment costs of EUR 1.58 m in total (NPV), assuming 30 data centre operators and 10 CSPs.</w:t>
      </w:r>
      <w:r w:rsidR="00D53E1F">
        <w:rPr>
          <w:noProof/>
          <w:lang w:val="en-IE"/>
        </w:rPr>
        <w:t xml:space="preserve"> </w:t>
      </w:r>
    </w:p>
    <w:p w14:paraId="76189B27" w14:textId="77777777" w:rsidR="009A7019" w:rsidRDefault="00677E68" w:rsidP="00677E68">
      <w:pPr>
        <w:pStyle w:val="Text1"/>
        <w:ind w:left="0"/>
        <w:rPr>
          <w:noProof/>
          <w:lang w:val="en-IE"/>
        </w:rPr>
      </w:pPr>
      <w:r w:rsidRPr="00C1102A">
        <w:rPr>
          <w:noProof/>
          <w:lang w:val="en-IE"/>
        </w:rPr>
        <w:t xml:space="preserve">For operators adopting the guidelines, </w:t>
      </w:r>
      <w:r w:rsidR="00FA38FF">
        <w:rPr>
          <w:noProof/>
          <w:lang w:val="en-IE"/>
        </w:rPr>
        <w:t>2</w:t>
      </w:r>
      <w:r w:rsidRPr="00C1102A">
        <w:rPr>
          <w:noProof/>
          <w:lang w:val="en-IE"/>
        </w:rPr>
        <w:t xml:space="preserve">0 days per operator </w:t>
      </w:r>
      <w:r w:rsidR="00FA38FF">
        <w:rPr>
          <w:noProof/>
          <w:lang w:val="en-IE"/>
        </w:rPr>
        <w:t>are considered</w:t>
      </w:r>
      <w:r w:rsidRPr="00C1102A">
        <w:rPr>
          <w:noProof/>
          <w:lang w:val="en-IE"/>
        </w:rPr>
        <w:t xml:space="preserve"> for </w:t>
      </w:r>
      <w:r w:rsidRPr="00677E68">
        <w:rPr>
          <w:noProof/>
          <w:lang w:val="en-IE"/>
        </w:rPr>
        <w:t xml:space="preserve">checking/adjusting planned solutions for the roll-out of data centres or of existing processes. It is assumed, backed by the results of the Final Workshop of </w:t>
      </w:r>
      <w:r w:rsidR="000C53E9">
        <w:rPr>
          <w:noProof/>
          <w:lang w:val="en-IE"/>
        </w:rPr>
        <w:t xml:space="preserve">the study carried out by </w:t>
      </w:r>
      <w:r w:rsidR="00E805AD">
        <w:rPr>
          <w:noProof/>
          <w:lang w:val="en-IE"/>
        </w:rPr>
        <w:t>Technopolis et al.</w:t>
      </w:r>
      <w:r w:rsidR="000C53E9">
        <w:rPr>
          <w:noProof/>
          <w:lang w:val="en-IE"/>
        </w:rPr>
        <w:t xml:space="preserve"> (2025)</w:t>
      </w:r>
      <w:r w:rsidRPr="00677E68">
        <w:rPr>
          <w:noProof/>
          <w:lang w:val="en-IE"/>
        </w:rPr>
        <w:t xml:space="preserve">, that 50% of the approximately 400 CSPs and data centre operators active in building data centres in the EU would adopt the guidelines and adjust their processes. </w:t>
      </w:r>
      <w:r w:rsidR="001A5DD8">
        <w:rPr>
          <w:noProof/>
          <w:lang w:val="en-IE"/>
        </w:rPr>
        <w:t>Consequently, adjustment costs are estimated to amount to around EUR 29</w:t>
      </w:r>
      <w:r w:rsidR="009A0927">
        <w:rPr>
          <w:noProof/>
          <w:lang w:val="en-IE"/>
        </w:rPr>
        <w:t xml:space="preserve"> </w:t>
      </w:r>
      <w:r w:rsidR="001A5DD8">
        <w:rPr>
          <w:noProof/>
          <w:lang w:val="en-IE"/>
        </w:rPr>
        <w:t xml:space="preserve">317 per operator. </w:t>
      </w:r>
    </w:p>
    <w:p w14:paraId="625E56AA" w14:textId="457CB786" w:rsidR="00677E68" w:rsidRPr="00C1102A" w:rsidRDefault="00D53E1F" w:rsidP="00677E68">
      <w:pPr>
        <w:pStyle w:val="Text1"/>
        <w:ind w:left="0"/>
        <w:rPr>
          <w:noProof/>
          <w:lang w:val="en-IE"/>
        </w:rPr>
      </w:pPr>
      <w:r>
        <w:rPr>
          <w:noProof/>
        </w:rPr>
        <w:t xml:space="preserve">Total adjustment costs </w:t>
      </w:r>
      <w:r w:rsidR="00E722A2">
        <w:rPr>
          <w:noProof/>
        </w:rPr>
        <w:t xml:space="preserve">(one-off and recurrent) </w:t>
      </w:r>
      <w:r>
        <w:rPr>
          <w:noProof/>
        </w:rPr>
        <w:t xml:space="preserve">for data centre operators under PM3 are thus estimated at EUR </w:t>
      </w:r>
      <w:r w:rsidR="00E74716">
        <w:rPr>
          <w:noProof/>
        </w:rPr>
        <w:t>7.4</w:t>
      </w:r>
      <w:r>
        <w:rPr>
          <w:noProof/>
        </w:rPr>
        <w:t xml:space="preserve"> m (NPV, 10-years)</w:t>
      </w:r>
    </w:p>
    <w:p w14:paraId="58854E81" w14:textId="098AE4E8" w:rsidR="0093438B" w:rsidRDefault="00476EA0" w:rsidP="0093438B">
      <w:pPr>
        <w:pStyle w:val="Text1"/>
        <w:ind w:left="0"/>
        <w:rPr>
          <w:noProof/>
        </w:rPr>
      </w:pPr>
      <w:r>
        <w:rPr>
          <w:b/>
          <w:i/>
          <w:noProof/>
          <w:lang w:val="en-IE"/>
        </w:rPr>
        <w:t>Administrative cost savings</w:t>
      </w:r>
      <w:r w:rsidRPr="00A54618">
        <w:rPr>
          <w:b/>
          <w:i/>
          <w:noProof/>
          <w:lang w:val="en-IE"/>
        </w:rPr>
        <w:t xml:space="preserve"> </w:t>
      </w:r>
      <w:r w:rsidR="001471E7" w:rsidRPr="00A54618">
        <w:rPr>
          <w:b/>
          <w:i/>
          <w:noProof/>
          <w:lang w:val="en-IE"/>
        </w:rPr>
        <w:t xml:space="preserve">for </w:t>
      </w:r>
      <w:r w:rsidR="2E83CF5A" w:rsidRPr="60C73AE4">
        <w:rPr>
          <w:b/>
          <w:bCs/>
          <w:i/>
          <w:iCs/>
          <w:noProof/>
        </w:rPr>
        <w:t>d</w:t>
      </w:r>
      <w:r w:rsidR="00C73124" w:rsidRPr="60C73AE4">
        <w:rPr>
          <w:b/>
          <w:bCs/>
          <w:i/>
          <w:iCs/>
          <w:noProof/>
        </w:rPr>
        <w:t xml:space="preserve">ata </w:t>
      </w:r>
      <w:r w:rsidR="2C7EE75F" w:rsidRPr="60C73AE4">
        <w:rPr>
          <w:b/>
          <w:bCs/>
          <w:i/>
          <w:iCs/>
          <w:noProof/>
        </w:rPr>
        <w:t>c</w:t>
      </w:r>
      <w:r w:rsidR="00C73124" w:rsidRPr="60C73AE4">
        <w:rPr>
          <w:b/>
          <w:bCs/>
          <w:i/>
          <w:iCs/>
          <w:noProof/>
        </w:rPr>
        <w:t xml:space="preserve">entre </w:t>
      </w:r>
      <w:r w:rsidR="3AA3503F" w:rsidRPr="60C73AE4">
        <w:rPr>
          <w:b/>
          <w:bCs/>
          <w:i/>
          <w:iCs/>
          <w:noProof/>
        </w:rPr>
        <w:t>o</w:t>
      </w:r>
      <w:r w:rsidR="00C73124" w:rsidRPr="60C73AE4">
        <w:rPr>
          <w:b/>
          <w:bCs/>
          <w:i/>
          <w:iCs/>
          <w:noProof/>
        </w:rPr>
        <w:t>perators</w:t>
      </w:r>
      <w:r w:rsidR="001471E7" w:rsidRPr="60C73AE4">
        <w:rPr>
          <w:b/>
          <w:bCs/>
          <w:i/>
          <w:iCs/>
          <w:noProof/>
          <w:lang w:val="en-IE"/>
        </w:rPr>
        <w:t>.</w:t>
      </w:r>
      <w:r w:rsidR="001471E7" w:rsidRPr="003401EC">
        <w:rPr>
          <w:bCs/>
          <w:iCs/>
          <w:noProof/>
          <w:lang w:val="en-IE"/>
        </w:rPr>
        <w:t xml:space="preserve"> </w:t>
      </w:r>
      <w:r w:rsidR="004F6CF5" w:rsidRPr="00CF0D03">
        <w:rPr>
          <w:bCs/>
          <w:iCs/>
          <w:noProof/>
        </w:rPr>
        <w:t>The benefits generated by voluntary guidelines</w:t>
      </w:r>
      <w:r w:rsidR="004F6CF5">
        <w:rPr>
          <w:bCs/>
          <w:iCs/>
          <w:noProof/>
        </w:rPr>
        <w:t xml:space="preserve">, e.g. </w:t>
      </w:r>
      <w:r w:rsidR="004F6CF5" w:rsidRPr="00CF0D03">
        <w:rPr>
          <w:bCs/>
          <w:iCs/>
          <w:noProof/>
        </w:rPr>
        <w:t>fewer mistakes, reduced rework, faster processes and improved coordination</w:t>
      </w:r>
      <w:r w:rsidR="004F6CF5">
        <w:rPr>
          <w:bCs/>
          <w:iCs/>
          <w:noProof/>
        </w:rPr>
        <w:t xml:space="preserve">, </w:t>
      </w:r>
      <w:r w:rsidR="004F6CF5" w:rsidRPr="00CF0D03">
        <w:rPr>
          <w:bCs/>
          <w:iCs/>
          <w:noProof/>
        </w:rPr>
        <w:t xml:space="preserve">are classified as administrative burden reductions. </w:t>
      </w:r>
      <w:r w:rsidR="001471E7">
        <w:rPr>
          <w:bCs/>
          <w:iCs/>
          <w:noProof/>
          <w:lang w:val="en-IE"/>
        </w:rPr>
        <w:t xml:space="preserve">The impact of the guidelines is modelled by assuming shorter administrative timelines using a SCM approach. </w:t>
      </w:r>
      <w:r w:rsidR="001471E7" w:rsidRPr="006D3300">
        <w:rPr>
          <w:noProof/>
        </w:rPr>
        <w:t xml:space="preserve">The guidelines are expected to reduce the incidence of mistakes during the pre-operation phase </w:t>
      </w:r>
      <w:r w:rsidR="004F6CF5">
        <w:rPr>
          <w:noProof/>
        </w:rPr>
        <w:t>of building a new data centre.</w:t>
      </w:r>
      <w:r w:rsidR="001471E7" w:rsidRPr="006D3300">
        <w:rPr>
          <w:noProof/>
        </w:rPr>
        <w:t xml:space="preserve"> This is modelled as a central 10-days saving</w:t>
      </w:r>
      <w:r w:rsidR="001B4A6C">
        <w:rPr>
          <w:noProof/>
        </w:rPr>
        <w:t xml:space="preserve"> (min 5</w:t>
      </w:r>
      <w:r w:rsidR="00DB6E76">
        <w:rPr>
          <w:noProof/>
        </w:rPr>
        <w:t xml:space="preserve"> </w:t>
      </w:r>
      <w:r w:rsidR="001B4A6C">
        <w:rPr>
          <w:noProof/>
        </w:rPr>
        <w:t>days;</w:t>
      </w:r>
      <w:r w:rsidR="006A0F15">
        <w:rPr>
          <w:noProof/>
        </w:rPr>
        <w:t xml:space="preserve"> </w:t>
      </w:r>
      <w:r w:rsidR="001B4A6C">
        <w:rPr>
          <w:noProof/>
        </w:rPr>
        <w:t>max 15</w:t>
      </w:r>
      <w:r w:rsidR="00DB6E76">
        <w:rPr>
          <w:noProof/>
        </w:rPr>
        <w:t xml:space="preserve"> </w:t>
      </w:r>
      <w:r w:rsidR="001B4A6C">
        <w:rPr>
          <w:noProof/>
        </w:rPr>
        <w:t>days),</w:t>
      </w:r>
      <w:r w:rsidR="009A0927">
        <w:rPr>
          <w:noProof/>
        </w:rPr>
        <w:t xml:space="preserve"> </w:t>
      </w:r>
      <w:r w:rsidR="001471E7" w:rsidRPr="006D3300">
        <w:rPr>
          <w:noProof/>
        </w:rPr>
        <w:t xml:space="preserve">with an increasing number of data centres benefitting from this measure </w:t>
      </w:r>
      <w:r w:rsidR="003F2B6A">
        <w:rPr>
          <w:noProof/>
        </w:rPr>
        <w:t>(subject to sensitivity analysis)</w:t>
      </w:r>
      <w:r w:rsidR="001471E7" w:rsidRPr="006D3300">
        <w:rPr>
          <w:noProof/>
        </w:rPr>
        <w:t xml:space="preserve">. </w:t>
      </w:r>
      <w:r w:rsidR="0093438B" w:rsidRPr="007E5E1E">
        <w:rPr>
          <w:noProof/>
        </w:rPr>
        <w:t>The time</w:t>
      </w:r>
      <w:r w:rsidR="00894B0F">
        <w:rPr>
          <w:noProof/>
        </w:rPr>
        <w:t xml:space="preserve"> </w:t>
      </w:r>
      <w:r w:rsidR="0093438B" w:rsidRPr="007E5E1E">
        <w:rPr>
          <w:noProof/>
        </w:rPr>
        <w:t>saving benefit of the voluntary guidelines is calculated as the time saved per facility that adopts the guidelines (ΔT) multiplied by the relevant labour cost, the total number of new facilities, and the estimated adoption rate</w:t>
      </w:r>
      <w:r w:rsidR="0093438B">
        <w:rPr>
          <w:noProof/>
        </w:rPr>
        <w:t>.</w:t>
      </w:r>
      <w:r w:rsidR="0093438B" w:rsidRPr="007E5E1E">
        <w:rPr>
          <w:noProof/>
        </w:rPr>
        <w:t xml:space="preserve"> </w:t>
      </w:r>
      <w:r w:rsidR="0093438B" w:rsidRPr="00E22C6A">
        <w:rPr>
          <w:noProof/>
        </w:rPr>
        <w:t>This follows the SCM formula:</w:t>
      </w:r>
    </w:p>
    <w:p w14:paraId="65FF52FA" w14:textId="408E88E1" w:rsidR="001471E7" w:rsidRPr="003B6EF8" w:rsidRDefault="0093438B" w:rsidP="003B6EF8">
      <w:pPr>
        <w:jc w:val="center"/>
        <w:rPr>
          <w:i/>
          <w:noProof/>
          <w:lang w:val="en-IE" w:bidi="he-IL"/>
        </w:rPr>
      </w:pPr>
      <w:r>
        <w:rPr>
          <w:i/>
          <w:noProof/>
        </w:rPr>
        <w:t>Total savings</w:t>
      </w:r>
      <w:r w:rsidRPr="0007547C">
        <w:rPr>
          <w:i/>
          <w:noProof/>
        </w:rPr>
        <w:t xml:space="preserve"> = </w:t>
      </w:r>
      <w:r>
        <w:rPr>
          <w:i/>
          <w:noProof/>
        </w:rPr>
        <w:t xml:space="preserve">ΔT × labour cost × s × No. new facilities </w:t>
      </w:r>
    </w:p>
    <w:p w14:paraId="05E6002D" w14:textId="63064BBD" w:rsidR="00E74716" w:rsidRDefault="00E74716" w:rsidP="00E74716">
      <w:pPr>
        <w:pStyle w:val="Text1"/>
        <w:ind w:left="0"/>
        <w:rPr>
          <w:noProof/>
        </w:rPr>
      </w:pPr>
      <w:r>
        <w:rPr>
          <w:noProof/>
        </w:rPr>
        <w:t xml:space="preserve">Total </w:t>
      </w:r>
      <w:r w:rsidR="00894B0F">
        <w:rPr>
          <w:noProof/>
        </w:rPr>
        <w:t xml:space="preserve">administrative </w:t>
      </w:r>
      <w:r>
        <w:rPr>
          <w:noProof/>
        </w:rPr>
        <w:t>cost savings for data centre operators under PM3 are thus estimated at EU</w:t>
      </w:r>
      <w:r w:rsidRPr="00C1284C">
        <w:rPr>
          <w:noProof/>
        </w:rPr>
        <w:t xml:space="preserve">R </w:t>
      </w:r>
      <w:r w:rsidR="00C1284C" w:rsidRPr="00443520">
        <w:rPr>
          <w:noProof/>
        </w:rPr>
        <w:t>2</w:t>
      </w:r>
      <w:r w:rsidRPr="00C1284C">
        <w:rPr>
          <w:noProof/>
        </w:rPr>
        <w:t>.</w:t>
      </w:r>
      <w:r w:rsidR="00C1284C" w:rsidRPr="000B7B77">
        <w:rPr>
          <w:noProof/>
        </w:rPr>
        <w:t>1</w:t>
      </w:r>
      <w:r w:rsidR="00C1284C" w:rsidRPr="00C1284C">
        <w:rPr>
          <w:noProof/>
        </w:rPr>
        <w:t xml:space="preserve"> </w:t>
      </w:r>
      <w:r w:rsidRPr="00C1284C">
        <w:rPr>
          <w:noProof/>
        </w:rPr>
        <w:t>m</w:t>
      </w:r>
      <w:r>
        <w:rPr>
          <w:noProof/>
        </w:rPr>
        <w:t xml:space="preserve"> (NPV, 10-years)</w:t>
      </w:r>
    </w:p>
    <w:p w14:paraId="3CB258FE" w14:textId="1F15697D" w:rsidR="001471E7" w:rsidRDefault="00D76305" w:rsidP="001471E7">
      <w:pPr>
        <w:pStyle w:val="Text1"/>
        <w:ind w:left="0"/>
        <w:rPr>
          <w:noProof/>
          <w:lang w:val="en-IE"/>
        </w:rPr>
      </w:pPr>
      <w:r>
        <w:rPr>
          <w:b/>
          <w:bCs/>
          <w:i/>
          <w:iCs/>
          <w:noProof/>
          <w:lang w:val="en-IE"/>
        </w:rPr>
        <w:t xml:space="preserve">Adjustment </w:t>
      </w:r>
      <w:r w:rsidR="001471E7">
        <w:rPr>
          <w:b/>
          <w:bCs/>
          <w:i/>
          <w:iCs/>
          <w:noProof/>
          <w:lang w:val="en-IE"/>
        </w:rPr>
        <w:t>costs for n</w:t>
      </w:r>
      <w:r w:rsidR="001471E7" w:rsidRPr="00572005">
        <w:rPr>
          <w:b/>
          <w:bCs/>
          <w:i/>
          <w:iCs/>
          <w:noProof/>
          <w:lang w:val="en-IE"/>
        </w:rPr>
        <w:t>ational public authorities</w:t>
      </w:r>
      <w:r w:rsidR="001471E7">
        <w:rPr>
          <w:b/>
          <w:bCs/>
          <w:i/>
          <w:iCs/>
          <w:noProof/>
          <w:lang w:val="en-IE"/>
        </w:rPr>
        <w:t xml:space="preserve">. </w:t>
      </w:r>
      <w:r w:rsidR="001471E7">
        <w:rPr>
          <w:noProof/>
          <w:lang w:val="en-IE"/>
        </w:rPr>
        <w:t>For public authorities</w:t>
      </w:r>
      <w:r>
        <w:rPr>
          <w:noProof/>
          <w:lang w:val="en-IE"/>
        </w:rPr>
        <w:t xml:space="preserve"> that participate in drafting the guidelines</w:t>
      </w:r>
      <w:r w:rsidR="001471E7">
        <w:rPr>
          <w:noProof/>
          <w:lang w:val="en-IE"/>
        </w:rPr>
        <w:t>,</w:t>
      </w:r>
      <w:r w:rsidR="001471E7" w:rsidDel="00756CF3">
        <w:rPr>
          <w:noProof/>
          <w:lang w:val="en-IE"/>
        </w:rPr>
        <w:t xml:space="preserve"> </w:t>
      </w:r>
      <w:r w:rsidR="00D82E60">
        <w:rPr>
          <w:noProof/>
          <w:lang w:val="en-IE"/>
        </w:rPr>
        <w:t xml:space="preserve">adjustment </w:t>
      </w:r>
      <w:r w:rsidR="001471E7">
        <w:rPr>
          <w:noProof/>
          <w:lang w:val="en-IE"/>
        </w:rPr>
        <w:t>cost</w:t>
      </w:r>
      <w:r w:rsidR="00756CF3">
        <w:rPr>
          <w:noProof/>
          <w:lang w:val="en-IE"/>
        </w:rPr>
        <w:t>s</w:t>
      </w:r>
      <w:r w:rsidR="001471E7">
        <w:rPr>
          <w:noProof/>
          <w:lang w:val="en-IE"/>
        </w:rPr>
        <w:t xml:space="preserve"> would be</w:t>
      </w:r>
      <w:r w:rsidR="00D82E60">
        <w:rPr>
          <w:noProof/>
          <w:lang w:val="en-IE"/>
        </w:rPr>
        <w:t xml:space="preserve"> related to</w:t>
      </w:r>
      <w:r w:rsidR="001471E7">
        <w:rPr>
          <w:noProof/>
          <w:lang w:val="en-IE"/>
        </w:rPr>
        <w:t xml:space="preserve"> their </w:t>
      </w:r>
      <w:r w:rsidR="001471E7" w:rsidRPr="003401EC">
        <w:rPr>
          <w:noProof/>
          <w:lang w:val="en-IE"/>
        </w:rPr>
        <w:t>participation in the drafting of the guidelines and their internal adoption</w:t>
      </w:r>
      <w:r w:rsidR="001471E7">
        <w:rPr>
          <w:noProof/>
          <w:lang w:val="en-IE"/>
        </w:rPr>
        <w:t>, in terms of familiarisation and optional adaptation of local checklists and templates, estimated at 30.5 days per year (</w:t>
      </w:r>
      <w:r w:rsidR="001471E7" w:rsidRPr="003401EC">
        <w:rPr>
          <w:noProof/>
          <w:lang w:val="en-IE"/>
        </w:rPr>
        <w:t>0.</w:t>
      </w:r>
      <w:r w:rsidR="001471E7">
        <w:rPr>
          <w:noProof/>
          <w:lang w:val="en-IE"/>
        </w:rPr>
        <w:t>14</w:t>
      </w:r>
      <w:r w:rsidR="001471E7" w:rsidRPr="003401EC">
        <w:rPr>
          <w:noProof/>
          <w:lang w:val="en-IE"/>
        </w:rPr>
        <w:t xml:space="preserve"> FTE</w:t>
      </w:r>
      <w:r w:rsidR="001471E7">
        <w:rPr>
          <w:noProof/>
          <w:lang w:val="en-IE"/>
        </w:rPr>
        <w:t>)</w:t>
      </w:r>
      <w:r w:rsidR="001471E7" w:rsidRPr="003401EC">
        <w:rPr>
          <w:noProof/>
          <w:lang w:val="en-IE"/>
        </w:rPr>
        <w:t xml:space="preserve"> or around 2-3 days per month of full-time work per national authority spread across the year </w:t>
      </w:r>
      <w:r w:rsidR="001471E7">
        <w:rPr>
          <w:noProof/>
          <w:lang w:val="en-IE"/>
        </w:rPr>
        <w:t xml:space="preserve">of adoption. </w:t>
      </w:r>
      <w:r w:rsidR="0065794F">
        <w:rPr>
          <w:noProof/>
          <w:lang w:val="en-IE"/>
        </w:rPr>
        <w:t>If one representative from each Member State would participate, this would translate into approximately EUR 236</w:t>
      </w:r>
      <w:r w:rsidR="00587226">
        <w:rPr>
          <w:noProof/>
          <w:lang w:val="en-IE"/>
        </w:rPr>
        <w:t xml:space="preserve"> </w:t>
      </w:r>
      <w:r w:rsidR="0065794F">
        <w:rPr>
          <w:noProof/>
          <w:lang w:val="en-IE"/>
        </w:rPr>
        <w:t xml:space="preserve">575 in year 1. </w:t>
      </w:r>
      <w:r w:rsidR="001471E7" w:rsidRPr="003401EC">
        <w:rPr>
          <w:noProof/>
          <w:lang w:val="en-IE"/>
        </w:rPr>
        <w:t xml:space="preserve"> </w:t>
      </w:r>
      <w:r w:rsidR="001471E7">
        <w:rPr>
          <w:noProof/>
          <w:lang w:val="en-IE"/>
        </w:rPr>
        <w:t xml:space="preserve">Thereafter, adaptation of the new templates/tools together with the participation of authorities in the review of the guidelines every three years are expected to require 20 staff days (0.1 FTE). </w:t>
      </w:r>
      <w:r w:rsidR="00D71E7B">
        <w:rPr>
          <w:noProof/>
          <w:lang w:val="en-IE"/>
        </w:rPr>
        <w:t xml:space="preserve">This would entail </w:t>
      </w:r>
      <w:r w:rsidR="00DA6832">
        <w:rPr>
          <w:noProof/>
          <w:lang w:val="en-IE"/>
        </w:rPr>
        <w:t xml:space="preserve">recurrent </w:t>
      </w:r>
      <w:r w:rsidR="00D71E7B">
        <w:rPr>
          <w:noProof/>
          <w:lang w:val="en-IE"/>
        </w:rPr>
        <w:t xml:space="preserve">adjustment costs of EUR 155,131 each update cycle, assuming </w:t>
      </w:r>
      <w:r w:rsidR="001471E7">
        <w:rPr>
          <w:noProof/>
          <w:lang w:val="en-IE"/>
        </w:rPr>
        <w:t xml:space="preserve">all </w:t>
      </w:r>
      <w:r w:rsidR="00D71E7B">
        <w:rPr>
          <w:noProof/>
          <w:lang w:val="en-IE"/>
        </w:rPr>
        <w:t>Member States</w:t>
      </w:r>
      <w:r w:rsidR="001471E7">
        <w:rPr>
          <w:noProof/>
          <w:lang w:val="en-IE"/>
        </w:rPr>
        <w:t xml:space="preserve"> </w:t>
      </w:r>
      <w:r w:rsidR="00D71E7B">
        <w:rPr>
          <w:noProof/>
          <w:lang w:val="en-IE"/>
        </w:rPr>
        <w:t>would</w:t>
      </w:r>
      <w:r w:rsidR="001471E7">
        <w:rPr>
          <w:noProof/>
          <w:lang w:val="en-IE"/>
        </w:rPr>
        <w:t xml:space="preserve"> adopt the guidelines</w:t>
      </w:r>
      <w:r w:rsidR="00D71E7B">
        <w:rPr>
          <w:noProof/>
          <w:lang w:val="en-IE"/>
        </w:rPr>
        <w:t>.</w:t>
      </w:r>
    </w:p>
    <w:p w14:paraId="03A522A9" w14:textId="66791DC4" w:rsidR="004523B1" w:rsidRPr="004523B1" w:rsidRDefault="004523B1" w:rsidP="001471E7">
      <w:pPr>
        <w:pStyle w:val="Text1"/>
        <w:ind w:left="0"/>
        <w:rPr>
          <w:noProof/>
        </w:rPr>
      </w:pPr>
      <w:r>
        <w:rPr>
          <w:noProof/>
        </w:rPr>
        <w:t xml:space="preserve">Total </w:t>
      </w:r>
      <w:r w:rsidR="00DA6832">
        <w:rPr>
          <w:noProof/>
        </w:rPr>
        <w:t xml:space="preserve">recurrent </w:t>
      </w:r>
      <w:r>
        <w:rPr>
          <w:noProof/>
        </w:rPr>
        <w:t xml:space="preserve">adjustment costs for national public authorities under PM3 are thus estimated at EUR </w:t>
      </w:r>
      <w:r w:rsidR="0026702B">
        <w:rPr>
          <w:noProof/>
        </w:rPr>
        <w:t>0.</w:t>
      </w:r>
      <w:r w:rsidR="0026702B" w:rsidDel="00347A6B">
        <w:rPr>
          <w:noProof/>
        </w:rPr>
        <w:t>6</w:t>
      </w:r>
      <w:r w:rsidDel="00347A6B">
        <w:rPr>
          <w:noProof/>
        </w:rPr>
        <w:t xml:space="preserve"> </w:t>
      </w:r>
      <w:r>
        <w:rPr>
          <w:noProof/>
        </w:rPr>
        <w:t>m (NPV, 10-years)</w:t>
      </w:r>
    </w:p>
    <w:p w14:paraId="210CCC16" w14:textId="2311636A" w:rsidR="001471E7" w:rsidRDefault="001471E7" w:rsidP="001471E7">
      <w:pPr>
        <w:pStyle w:val="Text1"/>
        <w:ind w:left="0"/>
        <w:rPr>
          <w:noProof/>
          <w:lang w:val="en-IE"/>
        </w:rPr>
      </w:pPr>
      <w:r>
        <w:rPr>
          <w:b/>
          <w:bCs/>
          <w:i/>
          <w:iCs/>
          <w:noProof/>
          <w:lang w:val="en-IE"/>
        </w:rPr>
        <w:t>Administrative cost savings for n</w:t>
      </w:r>
      <w:r w:rsidRPr="00572005">
        <w:rPr>
          <w:b/>
          <w:bCs/>
          <w:i/>
          <w:iCs/>
          <w:noProof/>
          <w:lang w:val="en-IE"/>
        </w:rPr>
        <w:t>ational public authorities</w:t>
      </w:r>
      <w:r>
        <w:rPr>
          <w:b/>
          <w:bCs/>
          <w:i/>
          <w:iCs/>
          <w:noProof/>
          <w:lang w:val="en-IE"/>
        </w:rPr>
        <w:t>.</w:t>
      </w:r>
      <w:r w:rsidRPr="003401EC">
        <w:rPr>
          <w:noProof/>
          <w:lang w:val="en-IE"/>
        </w:rPr>
        <w:t xml:space="preserve"> </w:t>
      </w:r>
      <w:r w:rsidR="003A3C07">
        <w:rPr>
          <w:noProof/>
          <w:lang w:val="en-IE"/>
        </w:rPr>
        <w:t>H</w:t>
      </w:r>
      <w:r w:rsidR="003A3C07" w:rsidRPr="003401EC">
        <w:rPr>
          <w:noProof/>
          <w:lang w:val="en-IE"/>
        </w:rPr>
        <w:t xml:space="preserve">armonised EU guidelines </w:t>
      </w:r>
      <w:r w:rsidR="003A3C07">
        <w:rPr>
          <w:noProof/>
          <w:lang w:val="en-IE"/>
        </w:rPr>
        <w:t>are expected to limit</w:t>
      </w:r>
      <w:r w:rsidR="003A3C07" w:rsidRPr="003401EC">
        <w:rPr>
          <w:noProof/>
          <w:lang w:val="en-IE"/>
        </w:rPr>
        <w:t xml:space="preserve"> the need for national authorities to interpret divergent compliance questions during permitting. </w:t>
      </w:r>
      <w:r w:rsidR="003A3C07">
        <w:rPr>
          <w:noProof/>
          <w:lang w:val="en-IE"/>
        </w:rPr>
        <w:t>A</w:t>
      </w:r>
      <w:r w:rsidR="003A3C07" w:rsidRPr="00BA5859">
        <w:rPr>
          <w:noProof/>
        </w:rPr>
        <w:t xml:space="preserve">uthorities </w:t>
      </w:r>
      <w:r w:rsidR="000F60CB">
        <w:rPr>
          <w:noProof/>
        </w:rPr>
        <w:t>are expected to</w:t>
      </w:r>
      <w:r w:rsidR="003A3C07" w:rsidRPr="00BA5859">
        <w:rPr>
          <w:noProof/>
        </w:rPr>
        <w:t xml:space="preserve"> realise </w:t>
      </w:r>
      <w:r w:rsidR="000F60CB">
        <w:rPr>
          <w:noProof/>
        </w:rPr>
        <w:t>administrative burden reduction</w:t>
      </w:r>
      <w:r w:rsidR="003A3C07" w:rsidRPr="00BA5859">
        <w:rPr>
          <w:noProof/>
        </w:rPr>
        <w:t xml:space="preserve"> once the guidelines are applied, including reduced errors, faster processing</w:t>
      </w:r>
      <w:r w:rsidR="003A3C07">
        <w:rPr>
          <w:noProof/>
        </w:rPr>
        <w:t xml:space="preserve"> with</w:t>
      </w:r>
      <w:r w:rsidR="003A3C07" w:rsidRPr="00BA5859">
        <w:rPr>
          <w:noProof/>
        </w:rPr>
        <w:t xml:space="preserve"> fewer clarifications, and improved coordination</w:t>
      </w:r>
      <w:r w:rsidR="003A3C07">
        <w:rPr>
          <w:noProof/>
        </w:rPr>
        <w:t xml:space="preserve"> with operators</w:t>
      </w:r>
      <w:r w:rsidR="003A3C07" w:rsidRPr="00BA5859">
        <w:rPr>
          <w:noProof/>
        </w:rPr>
        <w:t xml:space="preserve">. These time and resource savings are counted as </w:t>
      </w:r>
      <w:r w:rsidR="000F60CB">
        <w:rPr>
          <w:noProof/>
        </w:rPr>
        <w:t>administrative cost savings</w:t>
      </w:r>
      <w:r w:rsidR="003A3C07" w:rsidRPr="00BA5859">
        <w:rPr>
          <w:noProof/>
        </w:rPr>
        <w:t xml:space="preserve"> in the impact assessment and are quantified using Standard Cost Model principles.</w:t>
      </w:r>
      <w:r>
        <w:rPr>
          <w:noProof/>
        </w:rPr>
        <w:t xml:space="preserve"> </w:t>
      </w:r>
      <w:r w:rsidRPr="003401EC">
        <w:rPr>
          <w:noProof/>
          <w:lang w:val="en-IE"/>
        </w:rPr>
        <w:t xml:space="preserve">From 2027 onwards, </w:t>
      </w:r>
      <w:r>
        <w:rPr>
          <w:noProof/>
          <w:lang w:val="en-IE"/>
        </w:rPr>
        <w:t>clearer information requirements are</w:t>
      </w:r>
      <w:r w:rsidRPr="003401EC">
        <w:rPr>
          <w:noProof/>
          <w:lang w:val="en-IE"/>
        </w:rPr>
        <w:t xml:space="preserve"> assumed to generate lasting process efficiencies, reducing administrative efforts per project and lowering disputes with data centre operators</w:t>
      </w:r>
      <w:r>
        <w:rPr>
          <w:noProof/>
          <w:lang w:val="en-IE"/>
        </w:rPr>
        <w:t>, as well as the need for repeated iterations with applicants.</w:t>
      </w:r>
      <w:r w:rsidRPr="003401EC">
        <w:rPr>
          <w:noProof/>
          <w:lang w:val="en-IE"/>
        </w:rPr>
        <w:t xml:space="preserve"> </w:t>
      </w:r>
      <w:r w:rsidR="00B56C04" w:rsidRPr="00D845E3">
        <w:rPr>
          <w:noProof/>
        </w:rPr>
        <w:t xml:space="preserve">Given that operators are expected to save 10 days per project, a proportional reduction of approximately 20% on the authority side is applied, resulting in an estimated saving of 2 days </w:t>
      </w:r>
      <w:r w:rsidR="00B56C04">
        <w:rPr>
          <w:noProof/>
        </w:rPr>
        <w:t xml:space="preserve">(min 1 day; max 3 days) </w:t>
      </w:r>
      <w:r w:rsidR="00B56C04" w:rsidRPr="00D845E3">
        <w:rPr>
          <w:noProof/>
        </w:rPr>
        <w:t>per project</w:t>
      </w:r>
      <w:r w:rsidR="00B56C04">
        <w:rPr>
          <w:noProof/>
        </w:rPr>
        <w:t xml:space="preserve"> </w:t>
      </w:r>
      <w:r w:rsidR="00B56C04" w:rsidRPr="007E5E1E">
        <w:rPr>
          <w:noProof/>
        </w:rPr>
        <w:t>(ΔT)</w:t>
      </w:r>
      <w:r w:rsidR="00B56C04" w:rsidRPr="00D845E3">
        <w:rPr>
          <w:noProof/>
        </w:rPr>
        <w:t>. This reflects reduced requests for clarification, fewer iterative corrections and smoother coordination thanks to the guidelines</w:t>
      </w:r>
      <w:r w:rsidR="00B56C04">
        <w:rPr>
          <w:noProof/>
        </w:rPr>
        <w:t xml:space="preserve">. </w:t>
      </w:r>
      <w:r>
        <w:rPr>
          <w:noProof/>
          <w:lang w:val="en-IE"/>
        </w:rPr>
        <w:t>The savings would largely depend on the voluntary adoption of the guidelines by the new data centre projects, allowing authorities to save time in terms of decreased interactions with them.</w:t>
      </w:r>
      <w:r w:rsidR="00497605">
        <w:rPr>
          <w:noProof/>
          <w:lang w:val="en-IE"/>
        </w:rPr>
        <w:t xml:space="preserve"> </w:t>
      </w:r>
      <w:r>
        <w:rPr>
          <w:noProof/>
          <w:lang w:val="en-IE"/>
        </w:rPr>
        <w:t xml:space="preserve">Benefits are estimated considering they would accrue to around 50% of </w:t>
      </w:r>
      <w:r w:rsidR="00CA67E8">
        <w:rPr>
          <w:noProof/>
          <w:lang w:val="en-IE"/>
        </w:rPr>
        <w:t xml:space="preserve">national </w:t>
      </w:r>
      <w:r>
        <w:rPr>
          <w:noProof/>
          <w:lang w:val="en-IE"/>
        </w:rPr>
        <w:t>public authorities</w:t>
      </w:r>
      <w:r w:rsidR="002A16DB">
        <w:rPr>
          <w:noProof/>
          <w:lang w:val="en-IE"/>
        </w:rPr>
        <w:t xml:space="preserve"> (central estimate)</w:t>
      </w:r>
      <w:r>
        <w:rPr>
          <w:noProof/>
          <w:lang w:val="en-IE"/>
        </w:rPr>
        <w:t xml:space="preserve"> in the EU dealing with data centre projects.</w:t>
      </w:r>
    </w:p>
    <w:p w14:paraId="66559E42" w14:textId="111503F5" w:rsidR="002A16DB" w:rsidRPr="00BD1B67" w:rsidDel="002A16DB" w:rsidRDefault="002A16DB" w:rsidP="00BD1B67">
      <w:pPr>
        <w:jc w:val="center"/>
        <w:rPr>
          <w:i/>
          <w:noProof/>
          <w:lang w:val="en-IE" w:bidi="he-IL"/>
        </w:rPr>
      </w:pPr>
      <w:r>
        <w:rPr>
          <w:i/>
          <w:noProof/>
        </w:rPr>
        <w:t>Cost savings</w:t>
      </w:r>
      <w:r>
        <w:rPr>
          <w:i/>
          <w:noProof/>
          <w:vertAlign w:val="subscript"/>
        </w:rPr>
        <w:t>PA</w:t>
      </w:r>
      <w:r w:rsidRPr="0007547C">
        <w:rPr>
          <w:i/>
          <w:noProof/>
        </w:rPr>
        <w:t xml:space="preserve"> = </w:t>
      </w:r>
      <w:r>
        <w:rPr>
          <w:i/>
          <w:noProof/>
        </w:rPr>
        <w:t xml:space="preserve">ΔT × labour cost × s × </w:t>
      </w:r>
      <m:oMath>
        <m:f>
          <m:fPr>
            <m:ctrlPr>
              <w:rPr>
                <w:rFonts w:ascii="Cambria Math" w:hAnsi="Cambria Math"/>
                <w:i/>
                <w:noProof/>
              </w:rPr>
            </m:ctrlPr>
          </m:fPr>
          <m:num>
            <m:r>
              <w:rPr>
                <w:rFonts w:ascii="Cambria Math" w:hAnsi="Cambria Math"/>
                <w:noProof/>
              </w:rPr>
              <m:t>No. new facilities</m:t>
            </m:r>
          </m:num>
          <m:den>
            <m:r>
              <w:rPr>
                <w:rFonts w:ascii="Cambria Math" w:hAnsi="Cambria Math"/>
                <w:noProof/>
              </w:rPr>
              <m:t>MS</m:t>
            </m:r>
          </m:den>
        </m:f>
      </m:oMath>
      <w:r>
        <w:rPr>
          <w:i/>
          <w:noProof/>
        </w:rPr>
        <w:t xml:space="preserve"> × No of MS</w:t>
      </w:r>
    </w:p>
    <w:p w14:paraId="13F75678" w14:textId="2295137D" w:rsidR="00647D70" w:rsidRDefault="00647D70" w:rsidP="00647D70">
      <w:pPr>
        <w:pStyle w:val="Text1"/>
        <w:ind w:left="0"/>
        <w:rPr>
          <w:noProof/>
        </w:rPr>
      </w:pPr>
      <w:r>
        <w:rPr>
          <w:noProof/>
        </w:rPr>
        <w:t xml:space="preserve">Total administrative cost savings for national public authorities under PM3 are thus estimated at EUR </w:t>
      </w:r>
      <w:r w:rsidR="00E331C3">
        <w:rPr>
          <w:noProof/>
        </w:rPr>
        <w:t>0.3</w:t>
      </w:r>
      <w:r>
        <w:rPr>
          <w:noProof/>
        </w:rPr>
        <w:t xml:space="preserve"> m (NPV, 10-years)</w:t>
      </w:r>
    </w:p>
    <w:p w14:paraId="453405E1" w14:textId="77777777" w:rsidR="009D65E4" w:rsidRPr="003401EC" w:rsidRDefault="009D65E4" w:rsidP="009D65E4">
      <w:pPr>
        <w:pStyle w:val="Text1"/>
        <w:ind w:left="0"/>
        <w:rPr>
          <w:noProof/>
          <w:lang w:val="en-IE"/>
        </w:rPr>
      </w:pPr>
      <w:r>
        <w:rPr>
          <w:b/>
          <w:bCs/>
          <w:i/>
          <w:iCs/>
          <w:noProof/>
          <w:lang w:val="en-IE"/>
        </w:rPr>
        <w:t>Adjustment</w:t>
      </w:r>
      <w:r w:rsidRPr="006D3300">
        <w:rPr>
          <w:b/>
          <w:bCs/>
          <w:i/>
          <w:iCs/>
          <w:noProof/>
          <w:lang w:val="en-IE"/>
        </w:rPr>
        <w:t xml:space="preserve"> costs for the European Commission. </w:t>
      </w:r>
      <w:r w:rsidRPr="006D3300">
        <w:rPr>
          <w:noProof/>
          <w:lang w:val="en-IE"/>
        </w:rPr>
        <w:t xml:space="preserve">The Commission would </w:t>
      </w:r>
      <w:r>
        <w:rPr>
          <w:noProof/>
          <w:lang w:val="en-IE"/>
        </w:rPr>
        <w:t xml:space="preserve">be in charge of </w:t>
      </w:r>
      <w:r w:rsidRPr="006D3300">
        <w:rPr>
          <w:noProof/>
          <w:lang w:val="en-IE"/>
        </w:rPr>
        <w:t>develop</w:t>
      </w:r>
      <w:r>
        <w:rPr>
          <w:noProof/>
          <w:lang w:val="en-IE"/>
        </w:rPr>
        <w:t>ing</w:t>
      </w:r>
      <w:r w:rsidRPr="006D3300">
        <w:rPr>
          <w:noProof/>
          <w:lang w:val="en-IE"/>
        </w:rPr>
        <w:t xml:space="preserve"> the guidelines, requiring one-off </w:t>
      </w:r>
      <w:r>
        <w:rPr>
          <w:noProof/>
          <w:lang w:val="en-IE"/>
        </w:rPr>
        <w:t>adjustment</w:t>
      </w:r>
      <w:r w:rsidRPr="006D3300">
        <w:rPr>
          <w:noProof/>
          <w:lang w:val="en-IE"/>
        </w:rPr>
        <w:t xml:space="preserve"> costs covering</w:t>
      </w:r>
      <w:r w:rsidRPr="006D3300">
        <w:rPr>
          <w:bCs/>
          <w:noProof/>
          <w:lang w:val="en-IE"/>
        </w:rPr>
        <w:t xml:space="preserve"> the </w:t>
      </w:r>
      <w:r w:rsidRPr="006D3300">
        <w:rPr>
          <w:noProof/>
          <w:lang w:val="en-IE"/>
        </w:rPr>
        <w:t xml:space="preserve">drafting, consultation, translation and dissemination. These </w:t>
      </w:r>
      <w:r>
        <w:rPr>
          <w:noProof/>
          <w:lang w:val="en-IE"/>
        </w:rPr>
        <w:t>tasks</w:t>
      </w:r>
      <w:r w:rsidRPr="006D3300">
        <w:rPr>
          <w:noProof/>
          <w:lang w:val="en-IE"/>
        </w:rPr>
        <w:t xml:space="preserve"> are estimated </w:t>
      </w:r>
      <w:r>
        <w:rPr>
          <w:noProof/>
          <w:lang w:val="en-IE"/>
        </w:rPr>
        <w:t>to require</w:t>
      </w:r>
      <w:r w:rsidRPr="006D3300">
        <w:rPr>
          <w:noProof/>
          <w:lang w:val="en-IE"/>
        </w:rPr>
        <w:t xml:space="preserve"> a</w:t>
      </w:r>
      <w:r>
        <w:rPr>
          <w:noProof/>
          <w:lang w:val="en-IE"/>
        </w:rPr>
        <w:t xml:space="preserve">round 110 staff days during the first year (0.5 FTE). </w:t>
      </w:r>
      <w:r w:rsidRPr="006215FD">
        <w:rPr>
          <w:noProof/>
          <w:lang w:val="en-IE"/>
        </w:rPr>
        <w:t xml:space="preserve">Thereafter, </w:t>
      </w:r>
      <w:r>
        <w:rPr>
          <w:noProof/>
          <w:lang w:val="en-IE"/>
        </w:rPr>
        <w:t xml:space="preserve">periodic </w:t>
      </w:r>
      <w:r w:rsidRPr="006215FD">
        <w:rPr>
          <w:noProof/>
          <w:lang w:val="en-IE"/>
        </w:rPr>
        <w:t>improvements and review</w:t>
      </w:r>
      <w:r>
        <w:rPr>
          <w:noProof/>
          <w:lang w:val="en-IE"/>
        </w:rPr>
        <w:t>s</w:t>
      </w:r>
      <w:r w:rsidRPr="006215FD">
        <w:rPr>
          <w:noProof/>
          <w:lang w:val="en-IE"/>
        </w:rPr>
        <w:t xml:space="preserve">, comprising an update every three years, would require about </w:t>
      </w:r>
      <w:r>
        <w:rPr>
          <w:noProof/>
          <w:lang w:val="en-IE"/>
        </w:rPr>
        <w:t>55</w:t>
      </w:r>
      <w:r w:rsidRPr="006215FD">
        <w:rPr>
          <w:noProof/>
          <w:lang w:val="en-IE"/>
        </w:rPr>
        <w:t xml:space="preserve"> staff days (0.</w:t>
      </w:r>
      <w:r>
        <w:rPr>
          <w:noProof/>
          <w:lang w:val="en-IE"/>
        </w:rPr>
        <w:t>2</w:t>
      </w:r>
      <w:r w:rsidRPr="006215FD">
        <w:rPr>
          <w:noProof/>
          <w:lang w:val="en-IE"/>
        </w:rPr>
        <w:t>5 FTE)</w:t>
      </w:r>
      <w:r>
        <w:rPr>
          <w:noProof/>
          <w:lang w:val="en-IE"/>
        </w:rPr>
        <w:t xml:space="preserve"> for each update cycle</w:t>
      </w:r>
      <w:r w:rsidRPr="006215FD">
        <w:rPr>
          <w:noProof/>
          <w:lang w:val="en-IE"/>
        </w:rPr>
        <w:t>.</w:t>
      </w:r>
    </w:p>
    <w:p w14:paraId="77D26E30" w14:textId="458BCEEB" w:rsidR="009D65E4" w:rsidRPr="003401EC" w:rsidRDefault="009D65E4" w:rsidP="009D65E4">
      <w:pPr>
        <w:pStyle w:val="Text1"/>
        <w:ind w:left="0"/>
        <w:jc w:val="center"/>
        <w:rPr>
          <w:i/>
          <w:noProof/>
        </w:rPr>
      </w:pPr>
      <w:r>
        <w:rPr>
          <w:i/>
          <w:noProof/>
        </w:rPr>
        <w:t xml:space="preserve">Total </w:t>
      </w:r>
      <w:r w:rsidR="00DA6832">
        <w:rPr>
          <w:i/>
          <w:noProof/>
        </w:rPr>
        <w:t xml:space="preserve">adjustment </w:t>
      </w:r>
      <w:r>
        <w:rPr>
          <w:i/>
          <w:noProof/>
        </w:rPr>
        <w:t xml:space="preserve">costs = one-off </w:t>
      </w:r>
      <w:r w:rsidR="00F4467B">
        <w:rPr>
          <w:i/>
          <w:noProof/>
        </w:rPr>
        <w:t xml:space="preserve">adjustment </w:t>
      </w:r>
      <w:r>
        <w:rPr>
          <w:i/>
          <w:noProof/>
        </w:rPr>
        <w:t xml:space="preserve">costs + recurrent </w:t>
      </w:r>
      <w:r w:rsidR="00F4467B">
        <w:rPr>
          <w:i/>
          <w:noProof/>
        </w:rPr>
        <w:t xml:space="preserve">adjustment </w:t>
      </w:r>
      <w:r>
        <w:rPr>
          <w:i/>
          <w:noProof/>
        </w:rPr>
        <w:t>costs</w:t>
      </w:r>
      <w:r w:rsidR="00F4467B">
        <w:rPr>
          <w:i/>
          <w:noProof/>
        </w:rPr>
        <w:t xml:space="preserve"> </w:t>
      </w:r>
      <w:r>
        <w:rPr>
          <w:i/>
          <w:noProof/>
        </w:rPr>
        <w:t>= (ΔT × labour cost)</w:t>
      </w:r>
      <w:r>
        <w:rPr>
          <w:i/>
          <w:noProof/>
          <w:vertAlign w:val="subscript"/>
        </w:rPr>
        <w:t>year 1</w:t>
      </w:r>
      <w:r>
        <w:rPr>
          <w:i/>
          <w:noProof/>
        </w:rPr>
        <w:t xml:space="preserve"> + (ΔT × labour cost)</w:t>
      </w:r>
      <w:r>
        <w:rPr>
          <w:i/>
          <w:noProof/>
          <w:vertAlign w:val="subscript"/>
        </w:rPr>
        <w:t>year update</w:t>
      </w:r>
    </w:p>
    <w:p w14:paraId="5EDA2564" w14:textId="77777777" w:rsidR="009D65E4" w:rsidRDefault="009D65E4" w:rsidP="009D65E4">
      <w:pPr>
        <w:pStyle w:val="Text1"/>
        <w:ind w:left="0"/>
        <w:rPr>
          <w:noProof/>
        </w:rPr>
      </w:pPr>
      <w:r>
        <w:rPr>
          <w:noProof/>
        </w:rPr>
        <w:t>Total adjustment costs for the European Commission under PM3 are thus estimated at EUR 0.1 m (NPV, 10-years)</w:t>
      </w:r>
    </w:p>
    <w:p w14:paraId="02FE2A3C" w14:textId="1F382B21" w:rsidR="001471E7" w:rsidRDefault="001471E7" w:rsidP="001471E7">
      <w:pPr>
        <w:pStyle w:val="Text1"/>
        <w:ind w:left="0"/>
        <w:rPr>
          <w:b/>
          <w:noProof/>
          <w:lang w:val="en-IE"/>
        </w:rPr>
      </w:pPr>
      <w:r w:rsidRPr="00FD11AA">
        <w:rPr>
          <w:b/>
          <w:noProof/>
          <w:lang w:val="en-IE"/>
        </w:rPr>
        <w:t xml:space="preserve">Indirect </w:t>
      </w:r>
      <w:r w:rsidR="002A16DB">
        <w:rPr>
          <w:b/>
          <w:noProof/>
        </w:rPr>
        <w:t>impact</w:t>
      </w:r>
      <w:r w:rsidRPr="00FD11AA">
        <w:rPr>
          <w:b/>
          <w:noProof/>
          <w:lang w:val="en-IE"/>
        </w:rPr>
        <w:t>:</w:t>
      </w:r>
      <w:r>
        <w:rPr>
          <w:b/>
          <w:noProof/>
          <w:lang w:val="en-IE"/>
        </w:rPr>
        <w:t xml:space="preserve"> </w:t>
      </w:r>
      <w:r>
        <w:rPr>
          <w:bCs/>
          <w:iCs/>
          <w:noProof/>
          <w:lang w:val="en-IE"/>
        </w:rPr>
        <w:t>The guidelines are supposed to support cross-fertilisation of best practices, especially for those operators with operations across EU27 borders, and by doing that they should work towards the improvement of the investment climate for green and sustainable technologies for data centres rollout.</w:t>
      </w:r>
    </w:p>
    <w:p w14:paraId="6BA6E2C9" w14:textId="2CD7C897" w:rsidR="001471E7" w:rsidRDefault="001471E7" w:rsidP="001471E7">
      <w:pPr>
        <w:pStyle w:val="Text1"/>
        <w:ind w:left="0"/>
        <w:rPr>
          <w:noProof/>
        </w:rPr>
      </w:pPr>
      <w:r w:rsidRPr="00A54618">
        <w:rPr>
          <w:b/>
          <w:noProof/>
          <w:lang w:val="en-IE"/>
        </w:rPr>
        <w:t>Sensitivity analysis:</w:t>
      </w:r>
      <w:r w:rsidRPr="00A54618">
        <w:rPr>
          <w:noProof/>
          <w:lang w:val="en-IE"/>
        </w:rPr>
        <w:t xml:space="preserve"> </w:t>
      </w:r>
      <w:r w:rsidRPr="00342183">
        <w:rPr>
          <w:noProof/>
        </w:rPr>
        <w:t xml:space="preserve">The key parameters tested </w:t>
      </w:r>
      <w:r w:rsidR="00D05474">
        <w:rPr>
          <w:noProof/>
        </w:rPr>
        <w:t xml:space="preserve">for sensitivity </w:t>
      </w:r>
      <w:r w:rsidRPr="00342183">
        <w:rPr>
          <w:noProof/>
        </w:rPr>
        <w:t xml:space="preserve">include </w:t>
      </w:r>
      <w:r>
        <w:rPr>
          <w:noProof/>
        </w:rPr>
        <w:t xml:space="preserve">(1) </w:t>
      </w:r>
      <w:r w:rsidRPr="00342183">
        <w:rPr>
          <w:noProof/>
        </w:rPr>
        <w:t>the adoption rate of the guidelines</w:t>
      </w:r>
      <w:r w:rsidRPr="001A6415">
        <w:rPr>
          <w:noProof/>
        </w:rPr>
        <w:t xml:space="preserve"> </w:t>
      </w:r>
      <w:r>
        <w:rPr>
          <w:noProof/>
        </w:rPr>
        <w:t xml:space="preserve">in terms of </w:t>
      </w:r>
      <w:r w:rsidRPr="00342183">
        <w:rPr>
          <w:noProof/>
        </w:rPr>
        <w:t xml:space="preserve">the number of projects concerned, </w:t>
      </w:r>
      <w:r>
        <w:rPr>
          <w:noProof/>
        </w:rPr>
        <w:t xml:space="preserve">(2) </w:t>
      </w:r>
      <w:r w:rsidRPr="00342183">
        <w:rPr>
          <w:noProof/>
        </w:rPr>
        <w:t>time saved per project for operators and authorities.</w:t>
      </w:r>
      <w:r>
        <w:rPr>
          <w:noProof/>
        </w:rPr>
        <w:t xml:space="preserve"> For such purposes min-max were created for these parameters. </w:t>
      </w:r>
      <w:r w:rsidRPr="00E67DBB">
        <w:rPr>
          <w:noProof/>
        </w:rPr>
        <w:t xml:space="preserve">The number of projects benefitting from the guidelines ranges from </w:t>
      </w:r>
      <w:r>
        <w:rPr>
          <w:noProof/>
        </w:rPr>
        <w:t>30</w:t>
      </w:r>
      <w:r w:rsidRPr="00E67DBB">
        <w:rPr>
          <w:noProof/>
        </w:rPr>
        <w:t>% in the low scenario to 7</w:t>
      </w:r>
      <w:r>
        <w:rPr>
          <w:noProof/>
        </w:rPr>
        <w:t>0</w:t>
      </w:r>
      <w:r w:rsidRPr="00E67DBB">
        <w:rPr>
          <w:noProof/>
        </w:rPr>
        <w:t xml:space="preserve">% in the high scenario, with a central estimate of 50%. </w:t>
      </w:r>
      <w:r>
        <w:rPr>
          <w:noProof/>
        </w:rPr>
        <w:t xml:space="preserve">A low case combines a conservative adoption rate and limited time savings, while a high case combines a high adoption rate with higher efficiency gains. </w:t>
      </w:r>
    </w:p>
    <w:p w14:paraId="7C57328D" w14:textId="2C1BCF7B" w:rsidR="001471E7" w:rsidRDefault="001471E7" w:rsidP="001471E7">
      <w:pPr>
        <w:pStyle w:val="Text1"/>
        <w:ind w:left="0"/>
        <w:rPr>
          <w:rFonts w:eastAsiaTheme="minorHAnsi"/>
          <w:noProof/>
        </w:rPr>
      </w:pPr>
      <w:r w:rsidRPr="008D0BAC">
        <w:rPr>
          <w:b/>
          <w:noProof/>
        </w:rPr>
        <w:t>Results:</w:t>
      </w:r>
      <w:r>
        <w:rPr>
          <w:noProof/>
        </w:rPr>
        <w:t xml:space="preserve"> </w:t>
      </w:r>
      <w:r>
        <w:rPr>
          <w:rFonts w:eastAsiaTheme="minorHAnsi" w:cstheme="minorBidi"/>
          <w:noProof/>
          <w:kern w:val="2"/>
          <w:szCs w:val="24"/>
          <w:lang w:val="en-IE"/>
          <w14:ligatures w14:val="standardContextual"/>
        </w:rPr>
        <w:t xml:space="preserve">The table below presents the aggregated costs for all stakeholders for the implementation of this measure. Total implementation costs are estimated between </w:t>
      </w:r>
      <w:r>
        <w:rPr>
          <w:noProof/>
        </w:rPr>
        <w:t xml:space="preserve">EUR </w:t>
      </w:r>
      <w:r w:rsidR="00091C49" w:rsidRPr="00091C49">
        <w:rPr>
          <w:noProof/>
        </w:rPr>
        <w:t xml:space="preserve"> 4 </w:t>
      </w:r>
      <w:r w:rsidR="00B3475E">
        <w:rPr>
          <w:noProof/>
        </w:rPr>
        <w:t>948 939</w:t>
      </w:r>
      <w:r w:rsidR="00091C49" w:rsidRPr="00091C49">
        <w:rPr>
          <w:noProof/>
        </w:rPr>
        <w:t xml:space="preserve"> </w:t>
      </w:r>
      <w:r w:rsidR="00091C49">
        <w:rPr>
          <w:noProof/>
        </w:rPr>
        <w:t xml:space="preserve">to EUR </w:t>
      </w:r>
      <w:r w:rsidR="00091C49" w:rsidRPr="00091C49">
        <w:rPr>
          <w:noProof/>
        </w:rPr>
        <w:t xml:space="preserve">15 </w:t>
      </w:r>
      <w:r w:rsidR="00B3475E">
        <w:rPr>
          <w:noProof/>
        </w:rPr>
        <w:t>841 158</w:t>
      </w:r>
      <w:r>
        <w:rPr>
          <w:noProof/>
        </w:rPr>
        <w:t xml:space="preserve">, while total cost savings range from EUR </w:t>
      </w:r>
      <w:r w:rsidR="007F1C1F">
        <w:rPr>
          <w:noProof/>
        </w:rPr>
        <w:t>1</w:t>
      </w:r>
      <w:r w:rsidR="007F1C1F" w:rsidRPr="00FE20BE">
        <w:rPr>
          <w:noProof/>
        </w:rPr>
        <w:t xml:space="preserve"> </w:t>
      </w:r>
      <w:r w:rsidR="007F1C1F">
        <w:rPr>
          <w:noProof/>
        </w:rPr>
        <w:t>298 171</w:t>
      </w:r>
      <w:r w:rsidR="00FE20BE">
        <w:rPr>
          <w:noProof/>
        </w:rPr>
        <w:t xml:space="preserve"> </w:t>
      </w:r>
      <w:r>
        <w:rPr>
          <w:noProof/>
        </w:rPr>
        <w:t xml:space="preserve">to EUR </w:t>
      </w:r>
      <w:r w:rsidR="007F1C1F">
        <w:rPr>
          <w:noProof/>
        </w:rPr>
        <w:t>4 191 108</w:t>
      </w:r>
      <w:r w:rsidR="002C4458">
        <w:rPr>
          <w:noProof/>
        </w:rPr>
        <w:t xml:space="preserve">, with a central value of EUR </w:t>
      </w:r>
      <w:r w:rsidR="007F1C1F">
        <w:rPr>
          <w:noProof/>
        </w:rPr>
        <w:t>2 383 022</w:t>
      </w:r>
      <w:r>
        <w:rPr>
          <w:noProof/>
        </w:rPr>
        <w:t xml:space="preserve">. The measure is therefore </w:t>
      </w:r>
      <w:r w:rsidR="007F1C1F">
        <w:rPr>
          <w:noProof/>
        </w:rPr>
        <w:t>costly</w:t>
      </w:r>
      <w:r>
        <w:rPr>
          <w:noProof/>
        </w:rPr>
        <w:t xml:space="preserve"> in all cases. The min and max scenarios are largely driven by </w:t>
      </w:r>
      <w:r w:rsidDel="002074D8">
        <w:rPr>
          <w:noProof/>
        </w:rPr>
        <w:t xml:space="preserve">the </w:t>
      </w:r>
      <w:r w:rsidR="002074D8">
        <w:rPr>
          <w:noProof/>
        </w:rPr>
        <w:t xml:space="preserve">adjustment costs required and consequent cost savings expected. </w:t>
      </w:r>
    </w:p>
    <w:p w14:paraId="383B53F8" w14:textId="7240AD8B" w:rsidR="001471E7" w:rsidRDefault="001471E7" w:rsidP="001471E7">
      <w:pPr>
        <w:pStyle w:val="Caption"/>
        <w:rPr>
          <w:noProof/>
        </w:rPr>
      </w:pPr>
      <w:r w:rsidRPr="008D0BAC">
        <w:rPr>
          <w:noProof/>
        </w:rPr>
        <w:t xml:space="preserve">Table </w:t>
      </w:r>
      <w:r w:rsidRPr="008D0BAC">
        <w:rPr>
          <w:noProof/>
        </w:rPr>
        <w:fldChar w:fldCharType="begin"/>
      </w:r>
      <w:r w:rsidRPr="008D0BAC">
        <w:rPr>
          <w:noProof/>
        </w:rPr>
        <w:instrText xml:space="preserve"> SEQ Table \* ARABIC </w:instrText>
      </w:r>
      <w:r w:rsidRPr="008D0BAC">
        <w:rPr>
          <w:noProof/>
        </w:rPr>
        <w:fldChar w:fldCharType="separate"/>
      </w:r>
      <w:r w:rsidR="000E7F11">
        <w:rPr>
          <w:noProof/>
        </w:rPr>
        <w:t>23</w:t>
      </w:r>
      <w:r w:rsidRPr="008D0BAC">
        <w:rPr>
          <w:noProof/>
        </w:rPr>
        <w:fldChar w:fldCharType="end"/>
      </w:r>
      <w:r w:rsidRPr="008D0BAC">
        <w:rPr>
          <w:noProof/>
        </w:rPr>
        <w:t>. Creating guidelines on building sustainable data centres in the EU (PM3)</w:t>
      </w:r>
    </w:p>
    <w:tbl>
      <w:tblPr>
        <w:tblStyle w:val="TableGrid"/>
        <w:tblW w:w="9670" w:type="dxa"/>
        <w:tblInd w:w="-346" w:type="dxa"/>
        <w:tblLayout w:type="fixed"/>
        <w:tblCellMar>
          <w:left w:w="28" w:type="dxa"/>
          <w:right w:w="28" w:type="dxa"/>
        </w:tblCellMar>
        <w:tblLook w:val="04A0" w:firstRow="1" w:lastRow="0" w:firstColumn="1" w:lastColumn="0" w:noHBand="0" w:noVBand="1"/>
      </w:tblPr>
      <w:tblGrid>
        <w:gridCol w:w="2269"/>
        <w:gridCol w:w="1196"/>
        <w:gridCol w:w="1134"/>
        <w:gridCol w:w="1134"/>
        <w:gridCol w:w="1276"/>
        <w:gridCol w:w="1275"/>
        <w:gridCol w:w="1386"/>
      </w:tblGrid>
      <w:tr w:rsidR="006B45A1" w:rsidRPr="00C1684C" w14:paraId="0878141D" w14:textId="77777777" w:rsidTr="00EC6BC1">
        <w:trPr>
          <w:trHeight w:val="506"/>
        </w:trPr>
        <w:tc>
          <w:tcPr>
            <w:tcW w:w="2269" w:type="dxa"/>
            <w:tcBorders>
              <w:bottom w:val="single" w:sz="12" w:space="0" w:color="00B0F0"/>
            </w:tcBorders>
            <w:noWrap/>
            <w:vAlign w:val="center"/>
            <w:hideMark/>
          </w:tcPr>
          <w:p w14:paraId="08FE5D8A" w14:textId="77777777" w:rsidR="006B45A1" w:rsidRPr="00FA63C0" w:rsidRDefault="006B45A1" w:rsidP="006B45A1">
            <w:pPr>
              <w:spacing w:after="0"/>
              <w:jc w:val="left"/>
              <w:rPr>
                <w:b/>
                <w:bCs/>
                <w:noProof/>
                <w:sz w:val="20"/>
                <w:szCs w:val="20"/>
                <w:lang w:val="en-IE" w:eastAsia="en-IE"/>
              </w:rPr>
            </w:pPr>
            <w:r w:rsidRPr="00FA63C0">
              <w:rPr>
                <w:b/>
                <w:bCs/>
                <w:noProof/>
                <w:sz w:val="20"/>
                <w:szCs w:val="20"/>
                <w:lang w:val="en-IE" w:eastAsia="en-IE"/>
              </w:rPr>
              <w:t>Cost types</w:t>
            </w:r>
          </w:p>
        </w:tc>
        <w:tc>
          <w:tcPr>
            <w:tcW w:w="1196" w:type="dxa"/>
            <w:tcBorders>
              <w:bottom w:val="single" w:sz="12" w:space="0" w:color="00B0F0"/>
            </w:tcBorders>
            <w:vAlign w:val="center"/>
          </w:tcPr>
          <w:p w14:paraId="21572717"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p>
        </w:tc>
        <w:tc>
          <w:tcPr>
            <w:tcW w:w="1134" w:type="dxa"/>
            <w:tcBorders>
              <w:bottom w:val="single" w:sz="12" w:space="0" w:color="00B0F0"/>
            </w:tcBorders>
            <w:vAlign w:val="center"/>
          </w:tcPr>
          <w:p w14:paraId="27835A6D"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p>
        </w:tc>
        <w:tc>
          <w:tcPr>
            <w:tcW w:w="1134" w:type="dxa"/>
            <w:tcBorders>
              <w:bottom w:val="single" w:sz="12" w:space="0" w:color="00B0F0"/>
            </w:tcBorders>
            <w:vAlign w:val="center"/>
          </w:tcPr>
          <w:p w14:paraId="7530BC7E"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p>
        </w:tc>
        <w:tc>
          <w:tcPr>
            <w:tcW w:w="1276" w:type="dxa"/>
            <w:tcBorders>
              <w:bottom w:val="single" w:sz="12" w:space="0" w:color="00B0F0"/>
            </w:tcBorders>
            <w:noWrap/>
            <w:vAlign w:val="center"/>
            <w:hideMark/>
          </w:tcPr>
          <w:p w14:paraId="69BC371D" w14:textId="3F02C8FB"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275" w:type="dxa"/>
            <w:tcBorders>
              <w:bottom w:val="single" w:sz="12" w:space="0" w:color="00B0F0"/>
            </w:tcBorders>
            <w:noWrap/>
            <w:vAlign w:val="center"/>
            <w:hideMark/>
          </w:tcPr>
          <w:p w14:paraId="749B51C9" w14:textId="358FE6F5"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386" w:type="dxa"/>
            <w:tcBorders>
              <w:bottom w:val="single" w:sz="12" w:space="0" w:color="00B0F0"/>
            </w:tcBorders>
            <w:noWrap/>
            <w:vAlign w:val="center"/>
            <w:hideMark/>
          </w:tcPr>
          <w:p w14:paraId="059D8EB3" w14:textId="546B5AFB"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1E76F6" w:rsidRPr="00C1684C" w14:paraId="37399BB8" w14:textId="77777777" w:rsidTr="00443520">
        <w:trPr>
          <w:trHeight w:val="283"/>
        </w:trPr>
        <w:tc>
          <w:tcPr>
            <w:tcW w:w="2269" w:type="dxa"/>
            <w:tcBorders>
              <w:top w:val="single" w:sz="12" w:space="0" w:color="00B0F0"/>
            </w:tcBorders>
            <w:noWrap/>
            <w:vAlign w:val="center"/>
            <w:hideMark/>
          </w:tcPr>
          <w:p w14:paraId="01A86106" w14:textId="77777777" w:rsidR="00426486" w:rsidRPr="00FA63C0" w:rsidRDefault="00426486" w:rsidP="00426486">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196" w:type="dxa"/>
            <w:tcBorders>
              <w:top w:val="single" w:sz="12" w:space="0" w:color="00B0F0"/>
            </w:tcBorders>
            <w:vAlign w:val="center"/>
          </w:tcPr>
          <w:p w14:paraId="339ED768" w14:textId="20A19798" w:rsidR="00426486" w:rsidRPr="00FF7DA8" w:rsidRDefault="001A46B9" w:rsidP="00426486">
            <w:pPr>
              <w:spacing w:after="0"/>
              <w:jc w:val="right"/>
              <w:rPr>
                <w:b/>
                <w:noProof/>
                <w:sz w:val="20"/>
                <w:szCs w:val="20"/>
                <w:lang w:val="en-IE" w:eastAsia="en-IE"/>
              </w:rPr>
            </w:pPr>
            <w:r w:rsidRPr="00FF7DA8">
              <w:rPr>
                <w:b/>
                <w:noProof/>
                <w:sz w:val="20"/>
                <w:szCs w:val="20"/>
                <w:lang w:val="en-IE" w:eastAsia="en-IE"/>
              </w:rPr>
              <w:t>-</w:t>
            </w:r>
          </w:p>
        </w:tc>
        <w:tc>
          <w:tcPr>
            <w:tcW w:w="1134" w:type="dxa"/>
            <w:tcBorders>
              <w:top w:val="single" w:sz="12" w:space="0" w:color="00B0F0"/>
            </w:tcBorders>
            <w:vAlign w:val="center"/>
          </w:tcPr>
          <w:p w14:paraId="6FBA7B69" w14:textId="42FAF674" w:rsidR="00426486" w:rsidRPr="00FF7DA8" w:rsidRDefault="001A46B9" w:rsidP="00426486">
            <w:pPr>
              <w:spacing w:after="0"/>
              <w:jc w:val="right"/>
              <w:rPr>
                <w:b/>
                <w:noProof/>
                <w:sz w:val="20"/>
                <w:szCs w:val="20"/>
                <w:lang w:val="en-IE" w:eastAsia="en-IE"/>
              </w:rPr>
            </w:pPr>
            <w:r w:rsidRPr="00FF7DA8">
              <w:rPr>
                <w:b/>
                <w:noProof/>
                <w:sz w:val="20"/>
                <w:szCs w:val="20"/>
                <w:lang w:val="en-IE" w:eastAsia="en-IE"/>
              </w:rPr>
              <w:t>-</w:t>
            </w:r>
          </w:p>
        </w:tc>
        <w:tc>
          <w:tcPr>
            <w:tcW w:w="1134" w:type="dxa"/>
            <w:tcBorders>
              <w:top w:val="single" w:sz="12" w:space="0" w:color="00B0F0"/>
            </w:tcBorders>
            <w:vAlign w:val="center"/>
          </w:tcPr>
          <w:p w14:paraId="601D4D30" w14:textId="0C79A80B" w:rsidR="00426486" w:rsidRPr="00FF7DA8" w:rsidRDefault="004D1862" w:rsidP="00426486">
            <w:pPr>
              <w:spacing w:after="0"/>
              <w:jc w:val="right"/>
              <w:rPr>
                <w:b/>
                <w:noProof/>
                <w:sz w:val="20"/>
                <w:szCs w:val="20"/>
                <w:lang w:val="en-IE" w:eastAsia="en-IE"/>
              </w:rPr>
            </w:pPr>
            <w:r w:rsidRPr="00FF7DA8">
              <w:rPr>
                <w:b/>
                <w:noProof/>
                <w:sz w:val="20"/>
                <w:szCs w:val="20"/>
              </w:rPr>
              <w:t>-</w:t>
            </w:r>
          </w:p>
        </w:tc>
        <w:tc>
          <w:tcPr>
            <w:tcW w:w="1276" w:type="dxa"/>
            <w:tcBorders>
              <w:top w:val="single" w:sz="12" w:space="0" w:color="00B0F0"/>
            </w:tcBorders>
            <w:noWrap/>
            <w:vAlign w:val="center"/>
          </w:tcPr>
          <w:p w14:paraId="5F270B2B" w14:textId="721099A5" w:rsidR="00426486" w:rsidRPr="00FF7DA8" w:rsidRDefault="00452C25" w:rsidP="00426486">
            <w:pPr>
              <w:spacing w:after="0"/>
              <w:jc w:val="right"/>
              <w:rPr>
                <w:b/>
                <w:noProof/>
                <w:sz w:val="20"/>
                <w:szCs w:val="20"/>
                <w:lang w:val="en-IE" w:eastAsia="en-IE"/>
              </w:rPr>
            </w:pPr>
            <w:r w:rsidRPr="00FF7DA8">
              <w:rPr>
                <w:b/>
                <w:noProof/>
                <w:sz w:val="20"/>
                <w:szCs w:val="20"/>
              </w:rPr>
              <w:t>-</w:t>
            </w:r>
          </w:p>
        </w:tc>
        <w:tc>
          <w:tcPr>
            <w:tcW w:w="1275" w:type="dxa"/>
            <w:tcBorders>
              <w:top w:val="single" w:sz="12" w:space="0" w:color="00B0F0"/>
            </w:tcBorders>
            <w:noWrap/>
            <w:vAlign w:val="center"/>
          </w:tcPr>
          <w:p w14:paraId="77E45D90" w14:textId="264C1C5A" w:rsidR="00426486" w:rsidRPr="00FF7DA8" w:rsidRDefault="002308A0" w:rsidP="00426486">
            <w:pPr>
              <w:spacing w:after="0"/>
              <w:jc w:val="right"/>
              <w:rPr>
                <w:b/>
                <w:noProof/>
                <w:sz w:val="20"/>
                <w:szCs w:val="20"/>
                <w:lang w:val="en-IE" w:eastAsia="en-IE"/>
              </w:rPr>
            </w:pPr>
            <w:r w:rsidRPr="00FF7DA8">
              <w:rPr>
                <w:b/>
                <w:noProof/>
                <w:sz w:val="20"/>
                <w:szCs w:val="20"/>
                <w:lang w:val="en-IE" w:eastAsia="en-IE"/>
              </w:rPr>
              <w:t>-</w:t>
            </w:r>
          </w:p>
        </w:tc>
        <w:tc>
          <w:tcPr>
            <w:tcW w:w="1386" w:type="dxa"/>
            <w:tcBorders>
              <w:top w:val="single" w:sz="12" w:space="0" w:color="00B0F0"/>
            </w:tcBorders>
            <w:noWrap/>
            <w:vAlign w:val="center"/>
          </w:tcPr>
          <w:p w14:paraId="0EE66190" w14:textId="55F08739" w:rsidR="00426486" w:rsidRPr="00FF7DA8" w:rsidRDefault="002308A0" w:rsidP="00426486">
            <w:pPr>
              <w:spacing w:after="0"/>
              <w:jc w:val="right"/>
              <w:rPr>
                <w:b/>
                <w:noProof/>
                <w:sz w:val="20"/>
                <w:szCs w:val="20"/>
                <w:lang w:val="en-IE" w:eastAsia="en-IE"/>
              </w:rPr>
            </w:pPr>
            <w:r w:rsidRPr="00FF7DA8">
              <w:rPr>
                <w:b/>
                <w:noProof/>
                <w:sz w:val="20"/>
                <w:szCs w:val="20"/>
                <w:lang w:val="en-IE" w:eastAsia="en-IE"/>
              </w:rPr>
              <w:t>-</w:t>
            </w:r>
          </w:p>
        </w:tc>
      </w:tr>
      <w:tr w:rsidR="001A46B9" w:rsidRPr="00C1684C" w14:paraId="7DC81455" w14:textId="77777777" w:rsidTr="00443520">
        <w:trPr>
          <w:trHeight w:val="283"/>
        </w:trPr>
        <w:tc>
          <w:tcPr>
            <w:tcW w:w="2269" w:type="dxa"/>
            <w:noWrap/>
            <w:vAlign w:val="center"/>
            <w:hideMark/>
          </w:tcPr>
          <w:p w14:paraId="3817A37B" w14:textId="77777777" w:rsidR="001A46B9" w:rsidRPr="00FA63C0" w:rsidRDefault="001A46B9" w:rsidP="001A46B9">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196" w:type="dxa"/>
            <w:vAlign w:val="center"/>
          </w:tcPr>
          <w:p w14:paraId="7DE78404" w14:textId="311ABCE5"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35C08198" w14:textId="69CD5AB5"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35386CAD" w14:textId="3996EA15" w:rsidR="001A46B9" w:rsidRPr="00FF7DA8" w:rsidRDefault="001A46B9" w:rsidP="001A46B9">
            <w:pPr>
              <w:spacing w:after="0"/>
              <w:jc w:val="right"/>
              <w:rPr>
                <w:b/>
                <w:noProof/>
                <w:sz w:val="20"/>
                <w:szCs w:val="20"/>
                <w:lang w:val="en-IE" w:eastAsia="en-IE"/>
              </w:rPr>
            </w:pPr>
            <w:r w:rsidRPr="00FF7DA8">
              <w:rPr>
                <w:b/>
                <w:noProof/>
                <w:sz w:val="20"/>
                <w:szCs w:val="20"/>
              </w:rPr>
              <w:t xml:space="preserve"> </w:t>
            </w:r>
            <w:r w:rsidR="004D1862" w:rsidRPr="00FF7DA8">
              <w:rPr>
                <w:b/>
                <w:noProof/>
                <w:sz w:val="20"/>
                <w:szCs w:val="20"/>
              </w:rPr>
              <w:t>-</w:t>
            </w:r>
            <w:r w:rsidRPr="00FF7DA8">
              <w:rPr>
                <w:b/>
                <w:noProof/>
                <w:sz w:val="20"/>
                <w:szCs w:val="20"/>
              </w:rPr>
              <w:t xml:space="preserve"> </w:t>
            </w:r>
          </w:p>
        </w:tc>
        <w:tc>
          <w:tcPr>
            <w:tcW w:w="1276" w:type="dxa"/>
            <w:noWrap/>
            <w:vAlign w:val="center"/>
          </w:tcPr>
          <w:p w14:paraId="50ADF520" w14:textId="000B80D6" w:rsidR="001A46B9" w:rsidRPr="00C44C22" w:rsidRDefault="001A46B9" w:rsidP="001A46B9">
            <w:pPr>
              <w:spacing w:after="0"/>
              <w:jc w:val="right"/>
              <w:rPr>
                <w:noProof/>
                <w:sz w:val="20"/>
                <w:szCs w:val="20"/>
                <w:lang w:val="en-IE" w:eastAsia="en-IE"/>
              </w:rPr>
            </w:pPr>
            <w:r w:rsidRPr="00FF7DA8">
              <w:rPr>
                <w:noProof/>
                <w:sz w:val="20"/>
                <w:szCs w:val="20"/>
              </w:rPr>
              <w:t xml:space="preserve"> </w:t>
            </w:r>
            <w:r w:rsidR="00452C25" w:rsidRPr="00743B56">
              <w:rPr>
                <w:b/>
                <w:bCs/>
                <w:noProof/>
                <w:sz w:val="20"/>
                <w:szCs w:val="20"/>
              </w:rPr>
              <w:t>-</w:t>
            </w:r>
          </w:p>
        </w:tc>
        <w:tc>
          <w:tcPr>
            <w:tcW w:w="1275" w:type="dxa"/>
            <w:noWrap/>
            <w:vAlign w:val="center"/>
          </w:tcPr>
          <w:p w14:paraId="3CA1A305" w14:textId="7BE29719" w:rsidR="001A46B9" w:rsidRPr="00FF7DA8" w:rsidRDefault="002308A0" w:rsidP="001A46B9">
            <w:pPr>
              <w:spacing w:after="0"/>
              <w:jc w:val="right"/>
              <w:rPr>
                <w:b/>
                <w:noProof/>
                <w:sz w:val="20"/>
                <w:szCs w:val="20"/>
                <w:lang w:val="en-IE" w:eastAsia="en-IE"/>
              </w:rPr>
            </w:pPr>
            <w:r w:rsidRPr="00FF7DA8">
              <w:rPr>
                <w:b/>
                <w:noProof/>
                <w:sz w:val="20"/>
                <w:szCs w:val="20"/>
                <w:lang w:val="en-IE" w:eastAsia="en-IE"/>
              </w:rPr>
              <w:t>-</w:t>
            </w:r>
          </w:p>
        </w:tc>
        <w:tc>
          <w:tcPr>
            <w:tcW w:w="1386" w:type="dxa"/>
            <w:noWrap/>
            <w:vAlign w:val="center"/>
          </w:tcPr>
          <w:p w14:paraId="1FF7BADB" w14:textId="3E56E500" w:rsidR="001A46B9" w:rsidRPr="00FF7DA8" w:rsidRDefault="002308A0" w:rsidP="001A46B9">
            <w:pPr>
              <w:spacing w:after="0"/>
              <w:jc w:val="right"/>
              <w:rPr>
                <w:b/>
                <w:noProof/>
                <w:sz w:val="20"/>
                <w:szCs w:val="20"/>
                <w:lang w:val="en-IE" w:eastAsia="en-IE"/>
              </w:rPr>
            </w:pPr>
            <w:r w:rsidRPr="00FF7DA8">
              <w:rPr>
                <w:b/>
                <w:noProof/>
                <w:sz w:val="20"/>
                <w:szCs w:val="20"/>
                <w:lang w:val="en-IE" w:eastAsia="en-IE"/>
              </w:rPr>
              <w:t>-</w:t>
            </w:r>
          </w:p>
        </w:tc>
      </w:tr>
      <w:tr w:rsidR="004D1862" w:rsidRPr="00C1684C" w14:paraId="353A956A" w14:textId="77777777" w:rsidTr="00443520">
        <w:trPr>
          <w:trHeight w:val="283"/>
        </w:trPr>
        <w:tc>
          <w:tcPr>
            <w:tcW w:w="2269" w:type="dxa"/>
            <w:noWrap/>
            <w:vAlign w:val="center"/>
            <w:hideMark/>
          </w:tcPr>
          <w:p w14:paraId="7FC10A98" w14:textId="77777777" w:rsidR="004D1862" w:rsidRPr="00FA63C0" w:rsidRDefault="004D1862" w:rsidP="004D1862">
            <w:pPr>
              <w:spacing w:after="0"/>
              <w:jc w:val="left"/>
              <w:rPr>
                <w:i/>
                <w:iCs/>
                <w:noProof/>
                <w:sz w:val="20"/>
                <w:szCs w:val="20"/>
                <w:lang w:val="en-IE" w:eastAsia="en-IE"/>
              </w:rPr>
            </w:pPr>
            <w:r w:rsidRPr="00FA63C0">
              <w:rPr>
                <w:i/>
                <w:iCs/>
                <w:noProof/>
                <w:sz w:val="20"/>
                <w:szCs w:val="20"/>
                <w:lang w:val="en-IE" w:eastAsia="en-IE"/>
              </w:rPr>
              <w:t>one-off adjustment</w:t>
            </w:r>
          </w:p>
        </w:tc>
        <w:tc>
          <w:tcPr>
            <w:tcW w:w="1196" w:type="dxa"/>
            <w:vAlign w:val="center"/>
          </w:tcPr>
          <w:p w14:paraId="2BC06407" w14:textId="60DCD8B7" w:rsidR="004D1862" w:rsidRPr="00FA63C0" w:rsidRDefault="004D1862" w:rsidP="004D1862">
            <w:pPr>
              <w:spacing w:after="0"/>
              <w:jc w:val="right"/>
              <w:rPr>
                <w:noProof/>
                <w:sz w:val="20"/>
                <w:szCs w:val="20"/>
                <w:lang w:val="en-IE" w:eastAsia="en-IE"/>
              </w:rPr>
            </w:pPr>
            <w:r w:rsidRPr="00743B56">
              <w:rPr>
                <w:noProof/>
                <w:sz w:val="20"/>
                <w:szCs w:val="20"/>
              </w:rPr>
              <w:t>2</w:t>
            </w:r>
            <w:r>
              <w:rPr>
                <w:noProof/>
                <w:sz w:val="20"/>
                <w:szCs w:val="20"/>
              </w:rPr>
              <w:t xml:space="preserve"> </w:t>
            </w:r>
            <w:r w:rsidRPr="00743B56">
              <w:rPr>
                <w:noProof/>
                <w:sz w:val="20"/>
                <w:szCs w:val="20"/>
              </w:rPr>
              <w:t xml:space="preserve">080 146 </w:t>
            </w:r>
          </w:p>
        </w:tc>
        <w:tc>
          <w:tcPr>
            <w:tcW w:w="1134" w:type="dxa"/>
            <w:vAlign w:val="center"/>
          </w:tcPr>
          <w:p w14:paraId="0ECA2F4C" w14:textId="0FF77955" w:rsidR="004D1862" w:rsidRPr="00FA63C0" w:rsidRDefault="004D1862" w:rsidP="004D1862">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7D852669" w14:textId="74F7E298" w:rsidR="004D1862" w:rsidRPr="00FA63C0" w:rsidRDefault="004D1862" w:rsidP="004D1862">
            <w:pPr>
              <w:spacing w:after="0"/>
              <w:jc w:val="right"/>
              <w:rPr>
                <w:noProof/>
                <w:sz w:val="20"/>
                <w:szCs w:val="20"/>
                <w:lang w:val="en-IE" w:eastAsia="en-IE"/>
              </w:rPr>
            </w:pPr>
            <w:r w:rsidRPr="00743B56">
              <w:rPr>
                <w:noProof/>
                <w:sz w:val="20"/>
                <w:szCs w:val="20"/>
              </w:rPr>
              <w:t xml:space="preserve"> 40 907 </w:t>
            </w:r>
          </w:p>
        </w:tc>
        <w:tc>
          <w:tcPr>
            <w:tcW w:w="1276" w:type="dxa"/>
            <w:noWrap/>
            <w:vAlign w:val="center"/>
          </w:tcPr>
          <w:p w14:paraId="781F85FF" w14:textId="6BA389F7" w:rsidR="004D1862" w:rsidRPr="00C44C22" w:rsidRDefault="004D1862" w:rsidP="004D1862">
            <w:pPr>
              <w:spacing w:after="0"/>
              <w:jc w:val="right"/>
              <w:rPr>
                <w:noProof/>
                <w:sz w:val="20"/>
                <w:szCs w:val="20"/>
                <w:lang w:val="en-IE" w:eastAsia="en-IE"/>
              </w:rPr>
            </w:pPr>
            <w:r>
              <w:rPr>
                <w:noProof/>
                <w:sz w:val="20"/>
                <w:szCs w:val="20"/>
              </w:rPr>
              <w:t>2 121 053</w:t>
            </w:r>
            <w:r w:rsidRPr="00FF7DA8">
              <w:rPr>
                <w:noProof/>
                <w:sz w:val="20"/>
                <w:szCs w:val="20"/>
              </w:rPr>
              <w:t xml:space="preserve"> </w:t>
            </w:r>
          </w:p>
        </w:tc>
        <w:tc>
          <w:tcPr>
            <w:tcW w:w="1275" w:type="dxa"/>
            <w:noWrap/>
            <w:vAlign w:val="center"/>
          </w:tcPr>
          <w:p w14:paraId="6C649194" w14:textId="2294A3EE" w:rsidR="004D1862" w:rsidRPr="00C44C22" w:rsidRDefault="004D1862" w:rsidP="004D1862">
            <w:pPr>
              <w:spacing w:after="0"/>
              <w:jc w:val="right"/>
              <w:rPr>
                <w:noProof/>
                <w:sz w:val="20"/>
                <w:szCs w:val="20"/>
                <w:lang w:val="en-IE" w:eastAsia="en-IE"/>
              </w:rPr>
            </w:pPr>
            <w:r w:rsidRPr="00FF7DA8">
              <w:rPr>
                <w:noProof/>
                <w:sz w:val="20"/>
                <w:szCs w:val="20"/>
              </w:rPr>
              <w:t xml:space="preserve"> 1 </w:t>
            </w:r>
            <w:r>
              <w:rPr>
                <w:noProof/>
                <w:sz w:val="20"/>
                <w:szCs w:val="20"/>
              </w:rPr>
              <w:t>305 468</w:t>
            </w:r>
            <w:r w:rsidRPr="00FF7DA8">
              <w:rPr>
                <w:noProof/>
                <w:sz w:val="20"/>
                <w:szCs w:val="20"/>
              </w:rPr>
              <w:t xml:space="preserve"> </w:t>
            </w:r>
          </w:p>
        </w:tc>
        <w:tc>
          <w:tcPr>
            <w:tcW w:w="1386" w:type="dxa"/>
            <w:noWrap/>
            <w:vAlign w:val="center"/>
          </w:tcPr>
          <w:p w14:paraId="6931C40A" w14:textId="78E612E0" w:rsidR="004D1862" w:rsidRPr="00C44C22" w:rsidRDefault="004D1862" w:rsidP="004D1862">
            <w:pPr>
              <w:spacing w:after="0"/>
              <w:jc w:val="right"/>
              <w:rPr>
                <w:noProof/>
                <w:sz w:val="20"/>
                <w:szCs w:val="20"/>
                <w:lang w:val="en-IE" w:eastAsia="en-IE"/>
              </w:rPr>
            </w:pPr>
            <w:r w:rsidRPr="00FF7DA8">
              <w:rPr>
                <w:noProof/>
                <w:sz w:val="20"/>
                <w:szCs w:val="20"/>
              </w:rPr>
              <w:t xml:space="preserve"> </w:t>
            </w:r>
            <w:r>
              <w:rPr>
                <w:noProof/>
                <w:sz w:val="20"/>
                <w:szCs w:val="20"/>
              </w:rPr>
              <w:t>4 159 557</w:t>
            </w:r>
            <w:r w:rsidRPr="00FF7DA8">
              <w:rPr>
                <w:noProof/>
                <w:sz w:val="20"/>
                <w:szCs w:val="20"/>
              </w:rPr>
              <w:t xml:space="preserve"> </w:t>
            </w:r>
          </w:p>
        </w:tc>
      </w:tr>
      <w:tr w:rsidR="004D1862" w:rsidRPr="00C1684C" w14:paraId="4905B877" w14:textId="77777777" w:rsidTr="00443520">
        <w:trPr>
          <w:trHeight w:val="283"/>
        </w:trPr>
        <w:tc>
          <w:tcPr>
            <w:tcW w:w="2269" w:type="dxa"/>
            <w:noWrap/>
            <w:vAlign w:val="center"/>
            <w:hideMark/>
          </w:tcPr>
          <w:p w14:paraId="2382DEEC" w14:textId="77777777" w:rsidR="004D1862" w:rsidRPr="00FA63C0" w:rsidRDefault="004D1862" w:rsidP="004D1862">
            <w:pPr>
              <w:spacing w:after="0"/>
              <w:jc w:val="left"/>
              <w:rPr>
                <w:i/>
                <w:iCs/>
                <w:noProof/>
                <w:sz w:val="20"/>
                <w:szCs w:val="20"/>
                <w:lang w:val="en-IE" w:eastAsia="en-IE"/>
              </w:rPr>
            </w:pPr>
            <w:r w:rsidRPr="00FA63C0">
              <w:rPr>
                <w:i/>
                <w:iCs/>
                <w:noProof/>
                <w:sz w:val="20"/>
                <w:szCs w:val="20"/>
                <w:lang w:val="en-IE" w:eastAsia="en-IE"/>
              </w:rPr>
              <w:t>recurrent adjustment</w:t>
            </w:r>
          </w:p>
        </w:tc>
        <w:tc>
          <w:tcPr>
            <w:tcW w:w="1196" w:type="dxa"/>
            <w:vAlign w:val="center"/>
          </w:tcPr>
          <w:p w14:paraId="6EAECE49" w14:textId="3C40D611" w:rsidR="004D1862" w:rsidRPr="00FA63C0" w:rsidRDefault="004D1862" w:rsidP="004D1862">
            <w:pPr>
              <w:spacing w:after="0"/>
              <w:jc w:val="right"/>
              <w:rPr>
                <w:noProof/>
                <w:sz w:val="20"/>
                <w:szCs w:val="20"/>
                <w:lang w:val="en-IE" w:eastAsia="en-IE"/>
              </w:rPr>
            </w:pPr>
            <w:r>
              <w:rPr>
                <w:noProof/>
                <w:sz w:val="20"/>
                <w:szCs w:val="20"/>
              </w:rPr>
              <w:t>5 363 245</w:t>
            </w:r>
            <w:r w:rsidRPr="00743B56">
              <w:rPr>
                <w:noProof/>
                <w:sz w:val="20"/>
                <w:szCs w:val="20"/>
              </w:rPr>
              <w:t xml:space="preserve"> </w:t>
            </w:r>
          </w:p>
        </w:tc>
        <w:tc>
          <w:tcPr>
            <w:tcW w:w="1134" w:type="dxa"/>
            <w:vAlign w:val="center"/>
          </w:tcPr>
          <w:p w14:paraId="432CBC75" w14:textId="73D19E96" w:rsidR="004D1862" w:rsidRPr="00FA63C0" w:rsidRDefault="004D1862" w:rsidP="004D1862">
            <w:pPr>
              <w:spacing w:after="0"/>
              <w:jc w:val="right"/>
              <w:rPr>
                <w:noProof/>
                <w:sz w:val="20"/>
                <w:szCs w:val="20"/>
                <w:lang w:val="en-IE" w:eastAsia="en-IE"/>
              </w:rPr>
            </w:pPr>
            <w:r>
              <w:rPr>
                <w:noProof/>
                <w:sz w:val="20"/>
                <w:szCs w:val="20"/>
                <w:lang w:val="en-IE" w:eastAsia="en-IE"/>
              </w:rPr>
              <w:t>61</w:t>
            </w:r>
            <w:r w:rsidR="00086ED6">
              <w:rPr>
                <w:noProof/>
                <w:sz w:val="20"/>
                <w:szCs w:val="20"/>
                <w:lang w:val="en-IE" w:eastAsia="en-IE"/>
              </w:rPr>
              <w:t>2</w:t>
            </w:r>
            <w:r>
              <w:rPr>
                <w:noProof/>
                <w:sz w:val="20"/>
                <w:szCs w:val="20"/>
                <w:lang w:val="en-IE" w:eastAsia="en-IE"/>
              </w:rPr>
              <w:t xml:space="preserve"> </w:t>
            </w:r>
            <w:r w:rsidR="00201E30">
              <w:rPr>
                <w:noProof/>
                <w:sz w:val="20"/>
                <w:szCs w:val="20"/>
                <w:lang w:val="en-IE" w:eastAsia="en-IE"/>
              </w:rPr>
              <w:t>097</w:t>
            </w:r>
          </w:p>
        </w:tc>
        <w:tc>
          <w:tcPr>
            <w:tcW w:w="1134" w:type="dxa"/>
            <w:vAlign w:val="center"/>
          </w:tcPr>
          <w:p w14:paraId="2646AAC0" w14:textId="3AA57AA3" w:rsidR="004D1862" w:rsidRPr="00FA63C0" w:rsidRDefault="004D1862" w:rsidP="004D1862">
            <w:pPr>
              <w:spacing w:after="0"/>
              <w:jc w:val="right"/>
              <w:rPr>
                <w:noProof/>
                <w:sz w:val="20"/>
                <w:szCs w:val="20"/>
                <w:lang w:val="en-IE" w:eastAsia="en-IE"/>
              </w:rPr>
            </w:pPr>
            <w:r w:rsidRPr="00743B56">
              <w:rPr>
                <w:noProof/>
                <w:sz w:val="20"/>
                <w:szCs w:val="20"/>
              </w:rPr>
              <w:t xml:space="preserve"> 51 523 </w:t>
            </w:r>
          </w:p>
        </w:tc>
        <w:tc>
          <w:tcPr>
            <w:tcW w:w="1276" w:type="dxa"/>
            <w:noWrap/>
            <w:vAlign w:val="center"/>
          </w:tcPr>
          <w:p w14:paraId="00113DDA" w14:textId="46DE3B90" w:rsidR="004D1862" w:rsidRPr="00C44C22" w:rsidRDefault="004D1862" w:rsidP="00FF7DA8">
            <w:pPr>
              <w:spacing w:after="0"/>
              <w:jc w:val="right"/>
              <w:rPr>
                <w:noProof/>
                <w:sz w:val="20"/>
                <w:szCs w:val="20"/>
                <w:lang w:val="en-IE" w:eastAsia="en-IE"/>
              </w:rPr>
            </w:pPr>
            <w:r>
              <w:rPr>
                <w:noProof/>
                <w:sz w:val="20"/>
                <w:szCs w:val="20"/>
              </w:rPr>
              <w:t xml:space="preserve">6 </w:t>
            </w:r>
            <w:r w:rsidR="00480E8F">
              <w:rPr>
                <w:noProof/>
                <w:sz w:val="20"/>
                <w:szCs w:val="20"/>
              </w:rPr>
              <w:t>026</w:t>
            </w:r>
            <w:r w:rsidR="00263296">
              <w:rPr>
                <w:noProof/>
                <w:sz w:val="20"/>
                <w:szCs w:val="20"/>
              </w:rPr>
              <w:t xml:space="preserve"> </w:t>
            </w:r>
            <w:r w:rsidR="00480E8F">
              <w:rPr>
                <w:noProof/>
                <w:sz w:val="20"/>
                <w:szCs w:val="20"/>
              </w:rPr>
              <w:t>866</w:t>
            </w:r>
            <w:r w:rsidRPr="00FF7DA8">
              <w:rPr>
                <w:noProof/>
                <w:sz w:val="20"/>
                <w:szCs w:val="20"/>
              </w:rPr>
              <w:t xml:space="preserve"> </w:t>
            </w:r>
          </w:p>
        </w:tc>
        <w:tc>
          <w:tcPr>
            <w:tcW w:w="1275" w:type="dxa"/>
            <w:noWrap/>
            <w:vAlign w:val="center"/>
          </w:tcPr>
          <w:p w14:paraId="307E8D38" w14:textId="5B812560" w:rsidR="004D1862" w:rsidRPr="00C44C22" w:rsidRDefault="004D1862" w:rsidP="004D1862">
            <w:pPr>
              <w:spacing w:after="0"/>
              <w:jc w:val="right"/>
              <w:rPr>
                <w:noProof/>
                <w:sz w:val="20"/>
                <w:szCs w:val="20"/>
                <w:lang w:val="en-IE" w:eastAsia="en-IE"/>
              </w:rPr>
            </w:pPr>
            <w:r w:rsidRPr="00FF7DA8">
              <w:rPr>
                <w:noProof/>
                <w:sz w:val="20"/>
                <w:szCs w:val="20"/>
              </w:rPr>
              <w:t xml:space="preserve"> </w:t>
            </w:r>
            <w:r>
              <w:rPr>
                <w:noProof/>
                <w:sz w:val="20"/>
                <w:szCs w:val="20"/>
              </w:rPr>
              <w:t xml:space="preserve">3 </w:t>
            </w:r>
            <w:r w:rsidR="00480434">
              <w:rPr>
                <w:noProof/>
                <w:sz w:val="20"/>
                <w:szCs w:val="20"/>
              </w:rPr>
              <w:t>6</w:t>
            </w:r>
            <w:r>
              <w:rPr>
                <w:noProof/>
                <w:sz w:val="20"/>
                <w:szCs w:val="20"/>
              </w:rPr>
              <w:t xml:space="preserve">53 </w:t>
            </w:r>
            <w:r w:rsidR="00480434">
              <w:rPr>
                <w:noProof/>
                <w:sz w:val="20"/>
                <w:szCs w:val="20"/>
              </w:rPr>
              <w:t>4</w:t>
            </w:r>
            <w:r>
              <w:rPr>
                <w:noProof/>
                <w:sz w:val="20"/>
                <w:szCs w:val="20"/>
              </w:rPr>
              <w:t>71</w:t>
            </w:r>
            <w:r w:rsidRPr="00FF7DA8">
              <w:rPr>
                <w:noProof/>
                <w:sz w:val="20"/>
                <w:szCs w:val="20"/>
              </w:rPr>
              <w:t xml:space="preserve"> </w:t>
            </w:r>
          </w:p>
        </w:tc>
        <w:tc>
          <w:tcPr>
            <w:tcW w:w="1386" w:type="dxa"/>
            <w:noWrap/>
            <w:vAlign w:val="center"/>
          </w:tcPr>
          <w:p w14:paraId="01FC5997" w14:textId="0483BE47" w:rsidR="004D1862" w:rsidRPr="00C44C22" w:rsidRDefault="00480434" w:rsidP="004D1862">
            <w:pPr>
              <w:spacing w:after="0"/>
              <w:jc w:val="right"/>
              <w:rPr>
                <w:noProof/>
                <w:sz w:val="20"/>
                <w:szCs w:val="20"/>
                <w:lang w:val="en-IE" w:eastAsia="en-IE"/>
              </w:rPr>
            </w:pPr>
            <w:r>
              <w:rPr>
                <w:noProof/>
                <w:sz w:val="20"/>
                <w:szCs w:val="20"/>
              </w:rPr>
              <w:t>11 681 301</w:t>
            </w:r>
            <w:r w:rsidR="004D1862" w:rsidRPr="00FF7DA8">
              <w:rPr>
                <w:noProof/>
                <w:sz w:val="20"/>
                <w:szCs w:val="20"/>
              </w:rPr>
              <w:t xml:space="preserve"> </w:t>
            </w:r>
          </w:p>
        </w:tc>
      </w:tr>
      <w:tr w:rsidR="001A46B9" w:rsidRPr="00C1684C" w14:paraId="2F034346" w14:textId="77777777" w:rsidTr="00443520">
        <w:trPr>
          <w:trHeight w:val="283"/>
        </w:trPr>
        <w:tc>
          <w:tcPr>
            <w:tcW w:w="2269" w:type="dxa"/>
            <w:noWrap/>
            <w:vAlign w:val="center"/>
            <w:hideMark/>
          </w:tcPr>
          <w:p w14:paraId="7B82996D" w14:textId="77777777" w:rsidR="001A46B9" w:rsidRPr="00FA63C0" w:rsidRDefault="001A46B9" w:rsidP="001A46B9">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196" w:type="dxa"/>
            <w:vAlign w:val="center"/>
          </w:tcPr>
          <w:p w14:paraId="5C44E687" w14:textId="37670439"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5A4CB3AA" w14:textId="0619C3A5"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tcPr>
          <w:p w14:paraId="4B956CCE" w14:textId="316AAAD5" w:rsidR="001A46B9" w:rsidRPr="00FA63C0" w:rsidRDefault="001A46B9" w:rsidP="001A46B9">
            <w:pPr>
              <w:spacing w:after="0"/>
              <w:jc w:val="right"/>
              <w:rPr>
                <w:noProof/>
                <w:sz w:val="20"/>
                <w:szCs w:val="20"/>
                <w:lang w:val="en-IE" w:eastAsia="en-IE"/>
              </w:rPr>
            </w:pPr>
            <w:r w:rsidRPr="00FA291B">
              <w:rPr>
                <w:b/>
                <w:bCs/>
                <w:noProof/>
                <w:sz w:val="20"/>
                <w:szCs w:val="20"/>
                <w:lang w:val="en-IE" w:eastAsia="en-IE"/>
              </w:rPr>
              <w:t>-</w:t>
            </w:r>
          </w:p>
        </w:tc>
        <w:tc>
          <w:tcPr>
            <w:tcW w:w="1276" w:type="dxa"/>
            <w:noWrap/>
            <w:vAlign w:val="center"/>
          </w:tcPr>
          <w:p w14:paraId="3E7BF1D4" w14:textId="1E8F1224"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275" w:type="dxa"/>
            <w:noWrap/>
            <w:vAlign w:val="center"/>
          </w:tcPr>
          <w:p w14:paraId="33F9276F" w14:textId="7BA243A3"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386" w:type="dxa"/>
            <w:noWrap/>
            <w:vAlign w:val="center"/>
          </w:tcPr>
          <w:p w14:paraId="786AA9DC" w14:textId="51499ECB" w:rsidR="001A46B9" w:rsidRPr="00FF7DA8" w:rsidRDefault="001A46B9" w:rsidP="001A46B9">
            <w:pPr>
              <w:spacing w:after="0"/>
              <w:jc w:val="right"/>
              <w:rPr>
                <w:b/>
                <w:noProof/>
                <w:sz w:val="20"/>
                <w:szCs w:val="20"/>
                <w:lang w:val="en-IE" w:eastAsia="en-IE"/>
              </w:rPr>
            </w:pPr>
            <w:r w:rsidRPr="00FF7DA8">
              <w:rPr>
                <w:b/>
                <w:noProof/>
                <w:sz w:val="20"/>
                <w:szCs w:val="20"/>
              </w:rPr>
              <w:t xml:space="preserve">-   </w:t>
            </w:r>
          </w:p>
        </w:tc>
      </w:tr>
      <w:tr w:rsidR="001A46B9" w:rsidRPr="00C1684C" w14:paraId="56C8FF25" w14:textId="77777777" w:rsidTr="00443520">
        <w:trPr>
          <w:trHeight w:val="283"/>
        </w:trPr>
        <w:tc>
          <w:tcPr>
            <w:tcW w:w="2269" w:type="dxa"/>
            <w:noWrap/>
            <w:vAlign w:val="center"/>
            <w:hideMark/>
          </w:tcPr>
          <w:p w14:paraId="2B38B311" w14:textId="77777777" w:rsidR="001A46B9" w:rsidRPr="00FA63C0" w:rsidRDefault="001A46B9" w:rsidP="001A46B9">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196" w:type="dxa"/>
            <w:vAlign w:val="center"/>
          </w:tcPr>
          <w:p w14:paraId="393A5676" w14:textId="2573489D"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0E13CB0E" w14:textId="52B5874D"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tcPr>
          <w:p w14:paraId="286197ED" w14:textId="6428856B" w:rsidR="001A46B9" w:rsidRPr="00FA63C0" w:rsidRDefault="001A46B9" w:rsidP="001A46B9">
            <w:pPr>
              <w:spacing w:after="0"/>
              <w:jc w:val="right"/>
              <w:rPr>
                <w:noProof/>
                <w:sz w:val="20"/>
                <w:szCs w:val="20"/>
                <w:lang w:val="en-IE" w:eastAsia="en-IE"/>
              </w:rPr>
            </w:pPr>
            <w:r w:rsidRPr="00FA291B">
              <w:rPr>
                <w:b/>
                <w:bCs/>
                <w:noProof/>
                <w:sz w:val="20"/>
                <w:szCs w:val="20"/>
                <w:lang w:val="en-IE" w:eastAsia="en-IE"/>
              </w:rPr>
              <w:t>-</w:t>
            </w:r>
          </w:p>
        </w:tc>
        <w:tc>
          <w:tcPr>
            <w:tcW w:w="1276" w:type="dxa"/>
            <w:noWrap/>
            <w:vAlign w:val="center"/>
          </w:tcPr>
          <w:p w14:paraId="430E2FA5" w14:textId="5D12D212"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275" w:type="dxa"/>
            <w:noWrap/>
            <w:vAlign w:val="center"/>
          </w:tcPr>
          <w:p w14:paraId="1246B0E6" w14:textId="29F2B25B"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386" w:type="dxa"/>
            <w:noWrap/>
            <w:vAlign w:val="center"/>
          </w:tcPr>
          <w:p w14:paraId="3CFD26DF" w14:textId="590987C6"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r>
      <w:tr w:rsidR="001A46B9" w:rsidRPr="00C1684C" w14:paraId="317B2815" w14:textId="77777777" w:rsidTr="00443520">
        <w:trPr>
          <w:trHeight w:val="283"/>
        </w:trPr>
        <w:tc>
          <w:tcPr>
            <w:tcW w:w="2269" w:type="dxa"/>
            <w:noWrap/>
            <w:vAlign w:val="center"/>
            <w:hideMark/>
          </w:tcPr>
          <w:p w14:paraId="77F108E0" w14:textId="77777777" w:rsidR="001A46B9" w:rsidRPr="00FA63C0" w:rsidRDefault="001A46B9" w:rsidP="001A46B9">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196" w:type="dxa"/>
            <w:vAlign w:val="center"/>
          </w:tcPr>
          <w:p w14:paraId="74EE82CA" w14:textId="19146DC4"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7D1C84AD" w14:textId="3FC3B50C"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tcPr>
          <w:p w14:paraId="4A1AE672" w14:textId="01934420" w:rsidR="001A46B9" w:rsidRPr="00FA63C0" w:rsidRDefault="001A46B9" w:rsidP="001A46B9">
            <w:pPr>
              <w:spacing w:after="0"/>
              <w:jc w:val="right"/>
              <w:rPr>
                <w:noProof/>
                <w:sz w:val="20"/>
                <w:szCs w:val="20"/>
                <w:lang w:val="en-IE" w:eastAsia="en-IE"/>
              </w:rPr>
            </w:pPr>
            <w:r w:rsidRPr="00FA291B">
              <w:rPr>
                <w:b/>
                <w:bCs/>
                <w:noProof/>
                <w:sz w:val="20"/>
                <w:szCs w:val="20"/>
                <w:lang w:val="en-IE" w:eastAsia="en-IE"/>
              </w:rPr>
              <w:t>-</w:t>
            </w:r>
          </w:p>
        </w:tc>
        <w:tc>
          <w:tcPr>
            <w:tcW w:w="1276" w:type="dxa"/>
            <w:noWrap/>
            <w:vAlign w:val="center"/>
          </w:tcPr>
          <w:p w14:paraId="05077829" w14:textId="336ED6BD"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275" w:type="dxa"/>
            <w:noWrap/>
            <w:vAlign w:val="center"/>
          </w:tcPr>
          <w:p w14:paraId="0A998115" w14:textId="3BD09F5D"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386" w:type="dxa"/>
            <w:noWrap/>
            <w:vAlign w:val="center"/>
          </w:tcPr>
          <w:p w14:paraId="3DF9C158" w14:textId="1152D9CF" w:rsidR="001A46B9" w:rsidRPr="00FF7DA8" w:rsidRDefault="001A46B9" w:rsidP="001A46B9">
            <w:pPr>
              <w:spacing w:after="0"/>
              <w:jc w:val="right"/>
              <w:rPr>
                <w:b/>
                <w:noProof/>
                <w:sz w:val="20"/>
                <w:szCs w:val="20"/>
                <w:lang w:val="en-IE" w:eastAsia="en-IE"/>
              </w:rPr>
            </w:pPr>
            <w:r w:rsidRPr="00FF7DA8">
              <w:rPr>
                <w:b/>
                <w:noProof/>
                <w:sz w:val="20"/>
                <w:szCs w:val="20"/>
              </w:rPr>
              <w:t xml:space="preserve">-   </w:t>
            </w:r>
          </w:p>
        </w:tc>
      </w:tr>
      <w:tr w:rsidR="001A46B9" w:rsidRPr="00C1684C" w14:paraId="2C4C3EBF" w14:textId="77777777" w:rsidTr="00443520">
        <w:trPr>
          <w:trHeight w:val="283"/>
        </w:trPr>
        <w:tc>
          <w:tcPr>
            <w:tcW w:w="2269" w:type="dxa"/>
            <w:noWrap/>
            <w:vAlign w:val="center"/>
            <w:hideMark/>
          </w:tcPr>
          <w:p w14:paraId="5CBD82AC" w14:textId="77777777" w:rsidR="001A46B9" w:rsidRPr="00FA63C0" w:rsidRDefault="001A46B9" w:rsidP="001A46B9">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196" w:type="dxa"/>
            <w:vAlign w:val="center"/>
          </w:tcPr>
          <w:p w14:paraId="6D4AE08A" w14:textId="520553B7"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vAlign w:val="center"/>
          </w:tcPr>
          <w:p w14:paraId="6C950916" w14:textId="316982D3" w:rsidR="001A46B9" w:rsidRPr="00FA63C0" w:rsidRDefault="001A46B9" w:rsidP="001A46B9">
            <w:pPr>
              <w:spacing w:after="0"/>
              <w:jc w:val="right"/>
              <w:rPr>
                <w:noProof/>
                <w:sz w:val="20"/>
                <w:szCs w:val="20"/>
                <w:lang w:val="en-IE" w:eastAsia="en-IE"/>
              </w:rPr>
            </w:pPr>
            <w:r w:rsidRPr="00743B56">
              <w:rPr>
                <w:b/>
                <w:bCs/>
                <w:noProof/>
                <w:sz w:val="20"/>
                <w:szCs w:val="20"/>
                <w:lang w:val="en-IE" w:eastAsia="en-IE"/>
              </w:rPr>
              <w:t>-</w:t>
            </w:r>
          </w:p>
        </w:tc>
        <w:tc>
          <w:tcPr>
            <w:tcW w:w="1134" w:type="dxa"/>
          </w:tcPr>
          <w:p w14:paraId="2C8A940B" w14:textId="09A92278" w:rsidR="001A46B9" w:rsidRPr="00FA63C0" w:rsidRDefault="001A46B9" w:rsidP="001A46B9">
            <w:pPr>
              <w:spacing w:after="0"/>
              <w:jc w:val="right"/>
              <w:rPr>
                <w:noProof/>
                <w:sz w:val="20"/>
                <w:szCs w:val="20"/>
                <w:lang w:val="en-IE" w:eastAsia="en-IE"/>
              </w:rPr>
            </w:pPr>
            <w:r w:rsidRPr="00FA291B">
              <w:rPr>
                <w:b/>
                <w:bCs/>
                <w:noProof/>
                <w:sz w:val="20"/>
                <w:szCs w:val="20"/>
                <w:lang w:val="en-IE" w:eastAsia="en-IE"/>
              </w:rPr>
              <w:t>-</w:t>
            </w:r>
          </w:p>
        </w:tc>
        <w:tc>
          <w:tcPr>
            <w:tcW w:w="1276" w:type="dxa"/>
            <w:noWrap/>
            <w:vAlign w:val="center"/>
          </w:tcPr>
          <w:p w14:paraId="5B5E37FF" w14:textId="596BA96C"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275" w:type="dxa"/>
            <w:noWrap/>
            <w:vAlign w:val="center"/>
          </w:tcPr>
          <w:p w14:paraId="48970ED9" w14:textId="10B4451F"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c>
          <w:tcPr>
            <w:tcW w:w="1386" w:type="dxa"/>
            <w:noWrap/>
            <w:vAlign w:val="center"/>
          </w:tcPr>
          <w:p w14:paraId="6621732C" w14:textId="5756F71C" w:rsidR="001A46B9" w:rsidRPr="00FF7DA8" w:rsidRDefault="001A46B9" w:rsidP="001A46B9">
            <w:pPr>
              <w:spacing w:after="0"/>
              <w:jc w:val="right"/>
              <w:rPr>
                <w:b/>
                <w:noProof/>
                <w:sz w:val="20"/>
                <w:szCs w:val="20"/>
                <w:lang w:val="en-IE" w:eastAsia="en-IE"/>
              </w:rPr>
            </w:pPr>
            <w:r w:rsidRPr="00FF7DA8">
              <w:rPr>
                <w:b/>
                <w:noProof/>
                <w:sz w:val="20"/>
                <w:szCs w:val="20"/>
              </w:rPr>
              <w:t xml:space="preserve"> -   </w:t>
            </w:r>
          </w:p>
        </w:tc>
      </w:tr>
      <w:tr w:rsidR="00E946AD" w:rsidRPr="00C1684C" w14:paraId="76DF9AB9" w14:textId="77777777" w:rsidTr="00933A01">
        <w:trPr>
          <w:trHeight w:val="247"/>
        </w:trPr>
        <w:tc>
          <w:tcPr>
            <w:tcW w:w="2269" w:type="dxa"/>
            <w:shd w:val="clear" w:color="auto" w:fill="F2DBDB" w:themeFill="accent2" w:themeFillTint="33"/>
            <w:noWrap/>
            <w:vAlign w:val="center"/>
            <w:hideMark/>
          </w:tcPr>
          <w:p w14:paraId="040FDE1D" w14:textId="77777777" w:rsidR="001A46B9" w:rsidRPr="00FA63C0" w:rsidRDefault="001A46B9" w:rsidP="001A46B9">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196" w:type="dxa"/>
            <w:shd w:val="clear" w:color="auto" w:fill="F2DBDB" w:themeFill="accent2" w:themeFillTint="33"/>
            <w:vAlign w:val="center"/>
          </w:tcPr>
          <w:p w14:paraId="6FC89EE7" w14:textId="0B980BE1" w:rsidR="001A46B9" w:rsidRPr="00FF7DA8" w:rsidRDefault="001A46B9" w:rsidP="001A46B9">
            <w:pPr>
              <w:spacing w:after="0"/>
              <w:jc w:val="right"/>
              <w:rPr>
                <w:noProof/>
                <w:sz w:val="20"/>
                <w:szCs w:val="20"/>
                <w:lang w:val="en-IE" w:eastAsia="en-IE"/>
              </w:rPr>
            </w:pPr>
            <w:r w:rsidRPr="00FF7DA8">
              <w:rPr>
                <w:noProof/>
                <w:sz w:val="20"/>
                <w:szCs w:val="20"/>
                <w:lang w:val="en-IE" w:eastAsia="en-IE"/>
              </w:rPr>
              <w:t>7 443 391</w:t>
            </w:r>
          </w:p>
        </w:tc>
        <w:tc>
          <w:tcPr>
            <w:tcW w:w="1134" w:type="dxa"/>
            <w:shd w:val="clear" w:color="auto" w:fill="F2DBDB" w:themeFill="accent2" w:themeFillTint="33"/>
            <w:vAlign w:val="center"/>
          </w:tcPr>
          <w:p w14:paraId="7E84EFBC" w14:textId="4D275A92" w:rsidR="001A46B9" w:rsidRPr="00FF7DA8" w:rsidRDefault="00201E30" w:rsidP="001A46B9">
            <w:pPr>
              <w:spacing w:after="0"/>
              <w:jc w:val="right"/>
              <w:rPr>
                <w:noProof/>
                <w:sz w:val="20"/>
                <w:szCs w:val="20"/>
                <w:lang w:val="en-IE" w:eastAsia="en-IE"/>
              </w:rPr>
            </w:pPr>
            <w:r>
              <w:rPr>
                <w:noProof/>
                <w:sz w:val="20"/>
                <w:szCs w:val="20"/>
                <w:lang w:val="en-IE" w:eastAsia="en-IE"/>
              </w:rPr>
              <w:t>612 097</w:t>
            </w:r>
          </w:p>
        </w:tc>
        <w:tc>
          <w:tcPr>
            <w:tcW w:w="1134" w:type="dxa"/>
            <w:shd w:val="clear" w:color="auto" w:fill="F2DBDB" w:themeFill="accent2" w:themeFillTint="33"/>
            <w:vAlign w:val="center"/>
          </w:tcPr>
          <w:p w14:paraId="4CEE0E2F" w14:textId="789E3A0E" w:rsidR="001A46B9" w:rsidRPr="00FF7DA8" w:rsidRDefault="001A46B9" w:rsidP="001A46B9">
            <w:pPr>
              <w:spacing w:after="0"/>
              <w:jc w:val="right"/>
              <w:rPr>
                <w:noProof/>
                <w:sz w:val="20"/>
                <w:szCs w:val="20"/>
                <w:lang w:val="en-IE" w:eastAsia="en-IE"/>
              </w:rPr>
            </w:pPr>
            <w:r w:rsidRPr="00FF7DA8">
              <w:rPr>
                <w:noProof/>
                <w:sz w:val="20"/>
                <w:szCs w:val="20"/>
                <w:lang w:val="en-IE" w:eastAsia="en-IE"/>
              </w:rPr>
              <w:t>92 431</w:t>
            </w:r>
          </w:p>
        </w:tc>
        <w:tc>
          <w:tcPr>
            <w:tcW w:w="1276" w:type="dxa"/>
            <w:shd w:val="clear" w:color="auto" w:fill="F2DBDB" w:themeFill="accent2" w:themeFillTint="33"/>
            <w:noWrap/>
            <w:vAlign w:val="center"/>
          </w:tcPr>
          <w:p w14:paraId="63A309E6" w14:textId="79CA7664" w:rsidR="001A46B9" w:rsidRPr="00CD0933" w:rsidRDefault="001A46B9" w:rsidP="001A46B9">
            <w:pPr>
              <w:spacing w:after="0"/>
              <w:jc w:val="right"/>
              <w:rPr>
                <w:noProof/>
                <w:sz w:val="20"/>
                <w:szCs w:val="20"/>
              </w:rPr>
            </w:pPr>
            <w:r w:rsidRPr="00FF7DA8">
              <w:rPr>
                <w:noProof/>
                <w:sz w:val="20"/>
                <w:szCs w:val="20"/>
              </w:rPr>
              <w:t>8 1</w:t>
            </w:r>
            <w:r w:rsidR="002442DA">
              <w:rPr>
                <w:noProof/>
                <w:sz w:val="20"/>
                <w:szCs w:val="20"/>
              </w:rPr>
              <w:t>47 919</w:t>
            </w:r>
            <w:r w:rsidRPr="00FF7DA8">
              <w:rPr>
                <w:noProof/>
                <w:sz w:val="20"/>
                <w:szCs w:val="20"/>
              </w:rPr>
              <w:t xml:space="preserve"> </w:t>
            </w:r>
          </w:p>
        </w:tc>
        <w:tc>
          <w:tcPr>
            <w:tcW w:w="1275" w:type="dxa"/>
            <w:shd w:val="clear" w:color="auto" w:fill="F2DBDB" w:themeFill="accent2" w:themeFillTint="33"/>
            <w:noWrap/>
            <w:vAlign w:val="center"/>
          </w:tcPr>
          <w:p w14:paraId="00BF9AD2" w14:textId="672CD4FC" w:rsidR="001A46B9" w:rsidRPr="00CD0933" w:rsidRDefault="001A46B9" w:rsidP="001A46B9">
            <w:pPr>
              <w:spacing w:after="0"/>
              <w:jc w:val="right"/>
              <w:rPr>
                <w:noProof/>
                <w:sz w:val="20"/>
                <w:szCs w:val="20"/>
              </w:rPr>
            </w:pPr>
            <w:r w:rsidRPr="00FF7DA8">
              <w:rPr>
                <w:noProof/>
                <w:sz w:val="20"/>
                <w:szCs w:val="20"/>
              </w:rPr>
              <w:t xml:space="preserve"> 4 </w:t>
            </w:r>
            <w:r w:rsidR="002442DA">
              <w:rPr>
                <w:noProof/>
                <w:sz w:val="20"/>
                <w:szCs w:val="20"/>
              </w:rPr>
              <w:t>948 939</w:t>
            </w:r>
            <w:r w:rsidRPr="00FF7DA8">
              <w:rPr>
                <w:noProof/>
                <w:sz w:val="20"/>
                <w:szCs w:val="20"/>
              </w:rPr>
              <w:t xml:space="preserve"> </w:t>
            </w:r>
          </w:p>
        </w:tc>
        <w:tc>
          <w:tcPr>
            <w:tcW w:w="1386" w:type="dxa"/>
            <w:shd w:val="clear" w:color="auto" w:fill="F2DBDB" w:themeFill="accent2" w:themeFillTint="33"/>
            <w:noWrap/>
            <w:vAlign w:val="center"/>
          </w:tcPr>
          <w:p w14:paraId="51A30ABB" w14:textId="3DF3AEB9" w:rsidR="001A46B9" w:rsidRPr="0049798B" w:rsidRDefault="001A46B9" w:rsidP="001A46B9">
            <w:pPr>
              <w:spacing w:after="0"/>
              <w:jc w:val="right"/>
              <w:rPr>
                <w:noProof/>
                <w:sz w:val="20"/>
                <w:szCs w:val="20"/>
              </w:rPr>
            </w:pPr>
            <w:r w:rsidRPr="00FF7DA8">
              <w:rPr>
                <w:noProof/>
                <w:sz w:val="20"/>
                <w:szCs w:val="20"/>
              </w:rPr>
              <w:t xml:space="preserve"> 15 </w:t>
            </w:r>
            <w:r w:rsidR="002442DA">
              <w:rPr>
                <w:noProof/>
                <w:sz w:val="20"/>
                <w:szCs w:val="20"/>
              </w:rPr>
              <w:t>841 158</w:t>
            </w:r>
            <w:r w:rsidRPr="00FF7DA8">
              <w:rPr>
                <w:noProof/>
                <w:sz w:val="20"/>
                <w:szCs w:val="20"/>
              </w:rPr>
              <w:t xml:space="preserve"> </w:t>
            </w:r>
          </w:p>
        </w:tc>
      </w:tr>
      <w:tr w:rsidR="00E946AD" w:rsidRPr="00C1684C" w14:paraId="338BF8D8" w14:textId="77777777" w:rsidTr="00933A01">
        <w:trPr>
          <w:trHeight w:val="247"/>
        </w:trPr>
        <w:tc>
          <w:tcPr>
            <w:tcW w:w="2269" w:type="dxa"/>
            <w:shd w:val="clear" w:color="auto" w:fill="EAF1DD" w:themeFill="accent3" w:themeFillTint="33"/>
            <w:noWrap/>
            <w:vAlign w:val="center"/>
            <w:hideMark/>
          </w:tcPr>
          <w:p w14:paraId="7B3F9AFF" w14:textId="77777777" w:rsidR="001A46B9" w:rsidRPr="00FA63C0" w:rsidRDefault="001A46B9" w:rsidP="001A46B9">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196" w:type="dxa"/>
            <w:shd w:val="clear" w:color="auto" w:fill="EAF1DD" w:themeFill="accent3" w:themeFillTint="33"/>
            <w:vAlign w:val="center"/>
          </w:tcPr>
          <w:p w14:paraId="522A2923" w14:textId="10848B40" w:rsidR="001A46B9" w:rsidRPr="00FF7DA8" w:rsidRDefault="001A46B9" w:rsidP="001A46B9">
            <w:pPr>
              <w:spacing w:after="0"/>
              <w:jc w:val="right"/>
              <w:rPr>
                <w:noProof/>
                <w:sz w:val="20"/>
                <w:szCs w:val="20"/>
                <w:lang w:val="en-IE" w:eastAsia="en-IE"/>
              </w:rPr>
            </w:pPr>
            <w:r w:rsidRPr="00FF7DA8">
              <w:rPr>
                <w:noProof/>
                <w:sz w:val="20"/>
                <w:szCs w:val="20"/>
                <w:lang w:val="en-IE" w:eastAsia="en-IE"/>
              </w:rPr>
              <w:t>(2 103 643)</w:t>
            </w:r>
          </w:p>
        </w:tc>
        <w:tc>
          <w:tcPr>
            <w:tcW w:w="1134" w:type="dxa"/>
            <w:shd w:val="clear" w:color="auto" w:fill="EAF1DD" w:themeFill="accent3" w:themeFillTint="33"/>
            <w:vAlign w:val="center"/>
          </w:tcPr>
          <w:p w14:paraId="36791156" w14:textId="78A1C70D" w:rsidR="001A46B9" w:rsidRPr="00FF7DA8" w:rsidRDefault="001A46B9" w:rsidP="001A46B9">
            <w:pPr>
              <w:spacing w:after="0"/>
              <w:jc w:val="right"/>
              <w:rPr>
                <w:noProof/>
                <w:sz w:val="20"/>
                <w:szCs w:val="20"/>
                <w:lang w:val="en-IE" w:eastAsia="en-IE"/>
              </w:rPr>
            </w:pPr>
            <w:r w:rsidRPr="00FF7DA8">
              <w:rPr>
                <w:noProof/>
                <w:sz w:val="20"/>
                <w:szCs w:val="20"/>
                <w:lang w:val="en-IE" w:eastAsia="en-IE"/>
              </w:rPr>
              <w:t xml:space="preserve">  </w:t>
            </w:r>
            <w:r w:rsidRPr="00CD0933">
              <w:rPr>
                <w:noProof/>
                <w:sz w:val="20"/>
                <w:szCs w:val="20"/>
                <w:lang w:val="en-IE" w:eastAsia="en-IE"/>
              </w:rPr>
              <w:t>(</w:t>
            </w:r>
            <w:r w:rsidRPr="00FF7DA8">
              <w:rPr>
                <w:noProof/>
                <w:sz w:val="20"/>
                <w:szCs w:val="20"/>
                <w:lang w:val="en-IE" w:eastAsia="en-IE"/>
              </w:rPr>
              <w:t>279 379</w:t>
            </w:r>
            <w:r w:rsidRPr="00CD0933">
              <w:rPr>
                <w:noProof/>
                <w:sz w:val="20"/>
                <w:szCs w:val="20"/>
                <w:lang w:val="en-IE" w:eastAsia="en-IE"/>
              </w:rPr>
              <w:t>)</w:t>
            </w:r>
          </w:p>
        </w:tc>
        <w:tc>
          <w:tcPr>
            <w:tcW w:w="1134" w:type="dxa"/>
            <w:shd w:val="clear" w:color="auto" w:fill="EAF1DD" w:themeFill="accent3" w:themeFillTint="33"/>
            <w:vAlign w:val="center"/>
          </w:tcPr>
          <w:p w14:paraId="5D9AE01D" w14:textId="7BEBB996" w:rsidR="001A46B9" w:rsidRPr="00FF7DA8" w:rsidRDefault="001A46B9" w:rsidP="001A46B9">
            <w:pPr>
              <w:spacing w:after="0"/>
              <w:jc w:val="right"/>
              <w:rPr>
                <w:noProof/>
                <w:sz w:val="20"/>
                <w:szCs w:val="20"/>
                <w:lang w:val="en-IE" w:eastAsia="en-IE"/>
              </w:rPr>
            </w:pPr>
            <w:r w:rsidRPr="00FF7DA8">
              <w:rPr>
                <w:noProof/>
                <w:sz w:val="20"/>
                <w:szCs w:val="20"/>
                <w:lang w:val="en-IE" w:eastAsia="en-IE"/>
              </w:rPr>
              <w:t>-</w:t>
            </w:r>
          </w:p>
        </w:tc>
        <w:tc>
          <w:tcPr>
            <w:tcW w:w="1276" w:type="dxa"/>
            <w:shd w:val="clear" w:color="auto" w:fill="EAF1DD" w:themeFill="accent3" w:themeFillTint="33"/>
            <w:noWrap/>
            <w:vAlign w:val="center"/>
          </w:tcPr>
          <w:p w14:paraId="1994AA81" w14:textId="2FA0752E" w:rsidR="001A46B9" w:rsidRPr="00FF7DA8" w:rsidRDefault="001A46B9" w:rsidP="001A46B9">
            <w:pPr>
              <w:spacing w:after="0"/>
              <w:jc w:val="right"/>
              <w:rPr>
                <w:noProof/>
                <w:sz w:val="20"/>
                <w:szCs w:val="20"/>
                <w:lang w:val="en-IE" w:eastAsia="en-IE"/>
              </w:rPr>
            </w:pPr>
            <w:r w:rsidRPr="00FF7DA8">
              <w:rPr>
                <w:noProof/>
                <w:sz w:val="20"/>
                <w:szCs w:val="20"/>
              </w:rPr>
              <w:t xml:space="preserve"> </w:t>
            </w:r>
            <w:r w:rsidRPr="00CD0933">
              <w:rPr>
                <w:noProof/>
                <w:sz w:val="20"/>
                <w:szCs w:val="20"/>
              </w:rPr>
              <w:t>(</w:t>
            </w:r>
            <w:r w:rsidRPr="00FF7DA8">
              <w:rPr>
                <w:noProof/>
                <w:sz w:val="20"/>
                <w:szCs w:val="20"/>
              </w:rPr>
              <w:t>2 383 022</w:t>
            </w:r>
            <w:r w:rsidRPr="00CD0933">
              <w:rPr>
                <w:noProof/>
                <w:sz w:val="20"/>
                <w:szCs w:val="20"/>
              </w:rPr>
              <w:t>)</w:t>
            </w:r>
          </w:p>
        </w:tc>
        <w:tc>
          <w:tcPr>
            <w:tcW w:w="1275" w:type="dxa"/>
            <w:shd w:val="clear" w:color="auto" w:fill="EAF1DD" w:themeFill="accent3" w:themeFillTint="33"/>
            <w:noWrap/>
            <w:vAlign w:val="center"/>
          </w:tcPr>
          <w:p w14:paraId="775DD4E7" w14:textId="20E0F531" w:rsidR="001A46B9" w:rsidRPr="00FF7DA8" w:rsidRDefault="001A46B9" w:rsidP="001A46B9">
            <w:pPr>
              <w:spacing w:after="0"/>
              <w:jc w:val="right"/>
              <w:rPr>
                <w:noProof/>
                <w:sz w:val="20"/>
                <w:szCs w:val="20"/>
                <w:lang w:val="en-IE" w:eastAsia="en-IE"/>
              </w:rPr>
            </w:pPr>
            <w:r w:rsidRPr="00FF7DA8">
              <w:rPr>
                <w:noProof/>
                <w:sz w:val="20"/>
                <w:szCs w:val="20"/>
              </w:rPr>
              <w:t xml:space="preserve"> </w:t>
            </w:r>
            <w:r w:rsidRPr="00CD0933">
              <w:rPr>
                <w:noProof/>
                <w:sz w:val="20"/>
                <w:szCs w:val="20"/>
              </w:rPr>
              <w:t>(</w:t>
            </w:r>
            <w:r w:rsidRPr="00FF7DA8">
              <w:rPr>
                <w:noProof/>
                <w:sz w:val="20"/>
                <w:szCs w:val="20"/>
              </w:rPr>
              <w:t>1 298 171</w:t>
            </w:r>
            <w:r w:rsidRPr="00CD0933">
              <w:rPr>
                <w:noProof/>
                <w:sz w:val="20"/>
                <w:szCs w:val="20"/>
              </w:rPr>
              <w:t>)</w:t>
            </w:r>
          </w:p>
        </w:tc>
        <w:tc>
          <w:tcPr>
            <w:tcW w:w="1386" w:type="dxa"/>
            <w:shd w:val="clear" w:color="auto" w:fill="EAF1DD" w:themeFill="accent3" w:themeFillTint="33"/>
            <w:noWrap/>
            <w:vAlign w:val="center"/>
          </w:tcPr>
          <w:p w14:paraId="65BD8B0A" w14:textId="32D25B34" w:rsidR="001A46B9" w:rsidRPr="00FF7DA8" w:rsidRDefault="001A46B9" w:rsidP="001A46B9">
            <w:pPr>
              <w:spacing w:after="0"/>
              <w:jc w:val="right"/>
              <w:rPr>
                <w:noProof/>
                <w:sz w:val="20"/>
                <w:szCs w:val="20"/>
                <w:lang w:val="en-IE" w:eastAsia="en-IE"/>
              </w:rPr>
            </w:pPr>
            <w:r w:rsidRPr="00FF7DA8">
              <w:rPr>
                <w:noProof/>
                <w:sz w:val="20"/>
                <w:szCs w:val="20"/>
              </w:rPr>
              <w:t xml:space="preserve">  </w:t>
            </w:r>
            <w:r>
              <w:rPr>
                <w:noProof/>
                <w:sz w:val="20"/>
                <w:szCs w:val="20"/>
              </w:rPr>
              <w:t>(</w:t>
            </w:r>
            <w:r w:rsidRPr="00FF7DA8">
              <w:rPr>
                <w:noProof/>
                <w:sz w:val="20"/>
                <w:szCs w:val="20"/>
              </w:rPr>
              <w:t>4 191 108</w:t>
            </w:r>
            <w:r>
              <w:rPr>
                <w:noProof/>
                <w:sz w:val="20"/>
                <w:szCs w:val="20"/>
              </w:rPr>
              <w:t>)</w:t>
            </w:r>
          </w:p>
        </w:tc>
      </w:tr>
      <w:tr w:rsidR="00E946AD" w:rsidRPr="00C1684C" w14:paraId="5D78C92F" w14:textId="77777777" w:rsidTr="00933A01">
        <w:trPr>
          <w:trHeight w:val="247"/>
        </w:trPr>
        <w:tc>
          <w:tcPr>
            <w:tcW w:w="2269" w:type="dxa"/>
            <w:shd w:val="clear" w:color="auto" w:fill="F2F2F2" w:themeFill="background1" w:themeFillShade="F2"/>
            <w:noWrap/>
            <w:vAlign w:val="center"/>
            <w:hideMark/>
          </w:tcPr>
          <w:p w14:paraId="1BD633C3" w14:textId="77777777" w:rsidR="001A46B9" w:rsidRPr="00FA63C0" w:rsidRDefault="001A46B9" w:rsidP="001A46B9">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196" w:type="dxa"/>
            <w:shd w:val="clear" w:color="auto" w:fill="F2F2F2" w:themeFill="background1" w:themeFillShade="F2"/>
            <w:vAlign w:val="center"/>
          </w:tcPr>
          <w:p w14:paraId="038C89A6" w14:textId="17DAC9B2" w:rsidR="001A46B9" w:rsidRPr="00247FE0" w:rsidRDefault="001A46B9" w:rsidP="001A46B9">
            <w:pPr>
              <w:spacing w:after="0"/>
              <w:jc w:val="right"/>
              <w:rPr>
                <w:b/>
                <w:bCs/>
                <w:noProof/>
                <w:sz w:val="20"/>
                <w:szCs w:val="20"/>
                <w:lang w:val="en-IE" w:eastAsia="en-IE"/>
              </w:rPr>
            </w:pPr>
            <w:r w:rsidRPr="00247FE0">
              <w:rPr>
                <w:b/>
                <w:bCs/>
                <w:noProof/>
                <w:sz w:val="20"/>
                <w:szCs w:val="20"/>
                <w:lang w:val="en-IE" w:eastAsia="en-IE"/>
              </w:rPr>
              <w:t>5 339 748</w:t>
            </w:r>
          </w:p>
        </w:tc>
        <w:tc>
          <w:tcPr>
            <w:tcW w:w="1134" w:type="dxa"/>
            <w:shd w:val="clear" w:color="auto" w:fill="F2F2F2" w:themeFill="background1" w:themeFillShade="F2"/>
            <w:vAlign w:val="center"/>
          </w:tcPr>
          <w:p w14:paraId="4189558F" w14:textId="5D16FB24" w:rsidR="001A46B9" w:rsidRPr="00247FE0" w:rsidRDefault="001A46B9" w:rsidP="001A46B9">
            <w:pPr>
              <w:spacing w:after="0"/>
              <w:jc w:val="right"/>
              <w:rPr>
                <w:b/>
                <w:bCs/>
                <w:noProof/>
                <w:sz w:val="20"/>
                <w:szCs w:val="20"/>
                <w:lang w:val="en-IE" w:eastAsia="en-IE"/>
              </w:rPr>
            </w:pPr>
            <w:r w:rsidRPr="00247FE0">
              <w:rPr>
                <w:b/>
                <w:bCs/>
                <w:noProof/>
                <w:sz w:val="20"/>
                <w:szCs w:val="20"/>
                <w:lang w:val="en-IE" w:eastAsia="en-IE"/>
              </w:rPr>
              <w:t>33</w:t>
            </w:r>
            <w:r w:rsidR="00201E30">
              <w:rPr>
                <w:b/>
                <w:bCs/>
                <w:noProof/>
                <w:sz w:val="20"/>
                <w:szCs w:val="20"/>
                <w:lang w:val="en-IE" w:eastAsia="en-IE"/>
              </w:rPr>
              <w:t>2 718</w:t>
            </w:r>
          </w:p>
        </w:tc>
        <w:tc>
          <w:tcPr>
            <w:tcW w:w="1134" w:type="dxa"/>
            <w:shd w:val="clear" w:color="auto" w:fill="F2F2F2" w:themeFill="background1" w:themeFillShade="F2"/>
            <w:vAlign w:val="center"/>
          </w:tcPr>
          <w:p w14:paraId="4CA427E3" w14:textId="73732633" w:rsidR="001A46B9" w:rsidRPr="00247FE0" w:rsidRDefault="001A46B9" w:rsidP="001A46B9">
            <w:pPr>
              <w:spacing w:after="0"/>
              <w:jc w:val="right"/>
              <w:rPr>
                <w:b/>
                <w:bCs/>
                <w:noProof/>
                <w:sz w:val="20"/>
                <w:szCs w:val="20"/>
                <w:lang w:val="en-IE" w:eastAsia="en-IE"/>
              </w:rPr>
            </w:pPr>
            <w:r w:rsidRPr="00FF7DA8">
              <w:rPr>
                <w:b/>
                <w:noProof/>
                <w:sz w:val="20"/>
                <w:szCs w:val="20"/>
                <w:lang w:val="en-IE" w:eastAsia="en-IE"/>
              </w:rPr>
              <w:t>92 431</w:t>
            </w:r>
          </w:p>
        </w:tc>
        <w:tc>
          <w:tcPr>
            <w:tcW w:w="1276" w:type="dxa"/>
            <w:shd w:val="clear" w:color="auto" w:fill="F2F2F2" w:themeFill="background1" w:themeFillShade="F2"/>
            <w:noWrap/>
            <w:vAlign w:val="center"/>
          </w:tcPr>
          <w:p w14:paraId="509B209B" w14:textId="460EB1F5" w:rsidR="001A46B9" w:rsidRPr="00247FE0" w:rsidRDefault="001A46B9" w:rsidP="00FF7DA8">
            <w:pPr>
              <w:spacing w:after="0"/>
              <w:jc w:val="right"/>
              <w:rPr>
                <w:b/>
                <w:bCs/>
                <w:noProof/>
                <w:sz w:val="20"/>
                <w:szCs w:val="20"/>
                <w:lang w:val="en-IE" w:eastAsia="en-IE"/>
              </w:rPr>
            </w:pPr>
            <w:r w:rsidRPr="00FF7DA8">
              <w:rPr>
                <w:b/>
                <w:noProof/>
                <w:sz w:val="20"/>
                <w:szCs w:val="20"/>
              </w:rPr>
              <w:t xml:space="preserve"> </w:t>
            </w:r>
            <w:r w:rsidRPr="00247FE0">
              <w:rPr>
                <w:b/>
                <w:bCs/>
                <w:noProof/>
                <w:sz w:val="20"/>
                <w:szCs w:val="20"/>
              </w:rPr>
              <w:t xml:space="preserve"> </w:t>
            </w:r>
            <w:r w:rsidRPr="00FF7DA8">
              <w:rPr>
                <w:b/>
                <w:noProof/>
                <w:sz w:val="20"/>
                <w:szCs w:val="20"/>
              </w:rPr>
              <w:t>5</w:t>
            </w:r>
            <w:r w:rsidRPr="00247FE0">
              <w:rPr>
                <w:b/>
                <w:bCs/>
                <w:noProof/>
                <w:sz w:val="20"/>
                <w:szCs w:val="20"/>
              </w:rPr>
              <w:t xml:space="preserve"> </w:t>
            </w:r>
            <w:r w:rsidRPr="00FF7DA8">
              <w:rPr>
                <w:b/>
                <w:noProof/>
                <w:sz w:val="20"/>
                <w:szCs w:val="20"/>
              </w:rPr>
              <w:t>768</w:t>
            </w:r>
            <w:r w:rsidRPr="00247FE0">
              <w:rPr>
                <w:b/>
                <w:bCs/>
                <w:noProof/>
                <w:sz w:val="20"/>
                <w:szCs w:val="20"/>
              </w:rPr>
              <w:t xml:space="preserve"> </w:t>
            </w:r>
            <w:r w:rsidRPr="00FF7DA8">
              <w:rPr>
                <w:b/>
                <w:noProof/>
                <w:sz w:val="20"/>
                <w:szCs w:val="20"/>
              </w:rPr>
              <w:t xml:space="preserve">775 </w:t>
            </w:r>
          </w:p>
        </w:tc>
        <w:tc>
          <w:tcPr>
            <w:tcW w:w="1275" w:type="dxa"/>
            <w:shd w:val="clear" w:color="auto" w:fill="F2F2F2" w:themeFill="background1" w:themeFillShade="F2"/>
            <w:noWrap/>
            <w:vAlign w:val="center"/>
          </w:tcPr>
          <w:p w14:paraId="6A3EBEC9" w14:textId="5956D480" w:rsidR="001A46B9" w:rsidRPr="00CD0933" w:rsidRDefault="001A46B9" w:rsidP="001A46B9">
            <w:pPr>
              <w:spacing w:after="0"/>
              <w:jc w:val="right"/>
              <w:rPr>
                <w:b/>
                <w:bCs/>
                <w:noProof/>
                <w:sz w:val="20"/>
                <w:szCs w:val="20"/>
                <w:lang w:val="en-IE" w:eastAsia="en-IE"/>
              </w:rPr>
            </w:pPr>
            <w:r w:rsidRPr="00FF7DA8">
              <w:rPr>
                <w:b/>
                <w:noProof/>
                <w:sz w:val="20"/>
                <w:szCs w:val="20"/>
              </w:rPr>
              <w:t xml:space="preserve"> </w:t>
            </w:r>
            <w:r w:rsidRPr="00CD0933">
              <w:rPr>
                <w:b/>
                <w:bCs/>
                <w:noProof/>
                <w:sz w:val="20"/>
                <w:szCs w:val="20"/>
              </w:rPr>
              <w:t xml:space="preserve"> </w:t>
            </w:r>
            <w:r w:rsidRPr="00FF7DA8">
              <w:rPr>
                <w:b/>
                <w:noProof/>
                <w:sz w:val="20"/>
                <w:szCs w:val="20"/>
              </w:rPr>
              <w:t>3</w:t>
            </w:r>
            <w:r w:rsidRPr="00CD0933">
              <w:rPr>
                <w:b/>
                <w:bCs/>
                <w:noProof/>
                <w:sz w:val="20"/>
                <w:szCs w:val="20"/>
              </w:rPr>
              <w:t xml:space="preserve"> </w:t>
            </w:r>
            <w:r w:rsidR="002442DA">
              <w:rPr>
                <w:b/>
                <w:noProof/>
                <w:sz w:val="20"/>
                <w:szCs w:val="20"/>
              </w:rPr>
              <w:t>650 768</w:t>
            </w:r>
            <w:r w:rsidRPr="00FF7DA8">
              <w:rPr>
                <w:b/>
                <w:noProof/>
                <w:sz w:val="20"/>
                <w:szCs w:val="20"/>
              </w:rPr>
              <w:t xml:space="preserve"> </w:t>
            </w:r>
          </w:p>
        </w:tc>
        <w:tc>
          <w:tcPr>
            <w:tcW w:w="1386" w:type="dxa"/>
            <w:shd w:val="clear" w:color="auto" w:fill="F2F2F2" w:themeFill="background1" w:themeFillShade="F2"/>
            <w:noWrap/>
            <w:vAlign w:val="center"/>
          </w:tcPr>
          <w:p w14:paraId="042A151E" w14:textId="5E51066D" w:rsidR="001A46B9" w:rsidRPr="00CD0933" w:rsidRDefault="002442DA" w:rsidP="001A46B9">
            <w:pPr>
              <w:spacing w:after="0"/>
              <w:jc w:val="right"/>
              <w:rPr>
                <w:b/>
                <w:bCs/>
                <w:noProof/>
                <w:sz w:val="20"/>
                <w:szCs w:val="20"/>
                <w:lang w:val="en-IE" w:eastAsia="en-IE"/>
              </w:rPr>
            </w:pPr>
            <w:r>
              <w:rPr>
                <w:b/>
                <w:noProof/>
                <w:sz w:val="20"/>
                <w:szCs w:val="20"/>
              </w:rPr>
              <w:t>11 650 050</w:t>
            </w:r>
          </w:p>
        </w:tc>
      </w:tr>
    </w:tbl>
    <w:p w14:paraId="1366759F" w14:textId="5F0FCBA8" w:rsidR="008D15EE" w:rsidRPr="00437F91" w:rsidRDefault="008D15EE" w:rsidP="00340A97">
      <w:pPr>
        <w:pStyle w:val="Heading2"/>
        <w:numPr>
          <w:ilvl w:val="1"/>
          <w:numId w:val="10"/>
        </w:numPr>
        <w:tabs>
          <w:tab w:val="num" w:pos="283"/>
        </w:tabs>
        <w:spacing w:before="240"/>
        <w:ind w:left="1202"/>
        <w:rPr>
          <w:bCs/>
          <w:noProof/>
        </w:rPr>
      </w:pPr>
      <w:bookmarkStart w:id="181" w:name="_Toc208595304"/>
      <w:bookmarkStart w:id="182" w:name="_Toc208836928"/>
      <w:bookmarkStart w:id="183" w:name="_Toc214519708"/>
      <w:bookmarkStart w:id="184" w:name="_Toc216283359"/>
      <w:bookmarkStart w:id="185" w:name="_Toc228346914"/>
      <w:r w:rsidRPr="00437F91">
        <w:rPr>
          <w:noProof/>
        </w:rPr>
        <w:t>PM4</w:t>
      </w:r>
      <w:r w:rsidRPr="00437F91">
        <w:rPr>
          <w:bCs/>
          <w:noProof/>
        </w:rPr>
        <w:t xml:space="preserve">: </w:t>
      </w:r>
      <w:r w:rsidR="00C5659B">
        <w:rPr>
          <w:bCs/>
          <w:noProof/>
        </w:rPr>
        <w:t xml:space="preserve">Project </w:t>
      </w:r>
      <w:r w:rsidR="3C1C5D52">
        <w:rPr>
          <w:noProof/>
        </w:rPr>
        <w:t>facilitator</w:t>
      </w:r>
      <w:r w:rsidR="5058E071">
        <w:rPr>
          <w:noProof/>
        </w:rPr>
        <w:t>s</w:t>
      </w:r>
      <w:r w:rsidRPr="00437F91">
        <w:rPr>
          <w:bCs/>
          <w:noProof/>
        </w:rPr>
        <w:t xml:space="preserve"> for the roll-out of data centres</w:t>
      </w:r>
      <w:bookmarkEnd w:id="181"/>
      <w:bookmarkEnd w:id="182"/>
      <w:bookmarkEnd w:id="183"/>
      <w:bookmarkEnd w:id="184"/>
      <w:bookmarkEnd w:id="185"/>
    </w:p>
    <w:p w14:paraId="10B8E0FF" w14:textId="39A0816D" w:rsidR="008D15EE" w:rsidRPr="00B33BBD" w:rsidRDefault="008D15EE" w:rsidP="008D15EE">
      <w:pPr>
        <w:pStyle w:val="Text1"/>
        <w:ind w:left="0"/>
        <w:rPr>
          <w:noProof/>
        </w:rPr>
      </w:pPr>
      <w:r>
        <w:rPr>
          <w:noProof/>
          <w:lang w:val="en-IE"/>
        </w:rPr>
        <w:t xml:space="preserve">Under this measure, </w:t>
      </w:r>
      <w:r w:rsidR="00FC1C35">
        <w:rPr>
          <w:noProof/>
          <w:lang w:val="en-IE"/>
        </w:rPr>
        <w:t>Member States would</w:t>
      </w:r>
      <w:r w:rsidRPr="001A66D1">
        <w:rPr>
          <w:noProof/>
          <w:lang w:val="en-IE"/>
        </w:rPr>
        <w:t xml:space="preserve"> simplify the administrative efforts required to roll</w:t>
      </w:r>
      <w:r>
        <w:rPr>
          <w:noProof/>
          <w:lang w:val="en-IE"/>
        </w:rPr>
        <w:t xml:space="preserve"> </w:t>
      </w:r>
      <w:r w:rsidRPr="001A66D1">
        <w:rPr>
          <w:noProof/>
          <w:lang w:val="en-IE"/>
        </w:rPr>
        <w:t>out data centres</w:t>
      </w:r>
      <w:r>
        <w:rPr>
          <w:noProof/>
          <w:lang w:val="en-IE"/>
        </w:rPr>
        <w:t xml:space="preserve">, by </w:t>
      </w:r>
      <w:r w:rsidR="00FB3672">
        <w:rPr>
          <w:noProof/>
          <w:lang w:val="en-IE"/>
        </w:rPr>
        <w:t>designating</w:t>
      </w:r>
      <w:r>
        <w:rPr>
          <w:noProof/>
          <w:lang w:val="en-IE"/>
        </w:rPr>
        <w:t xml:space="preserve"> a </w:t>
      </w:r>
      <w:r w:rsidR="002B1F2F">
        <w:rPr>
          <w:noProof/>
          <w:lang w:val="en-IE"/>
        </w:rPr>
        <w:t xml:space="preserve">project </w:t>
      </w:r>
      <w:r w:rsidR="29A43B3B" w:rsidRPr="5A734F14">
        <w:rPr>
          <w:noProof/>
          <w:lang w:val="en-IE"/>
        </w:rPr>
        <w:t>facilitator</w:t>
      </w:r>
      <w:r w:rsidR="002B1F2F">
        <w:rPr>
          <w:noProof/>
          <w:lang w:val="en-IE"/>
        </w:rPr>
        <w:t xml:space="preserve"> acting</w:t>
      </w:r>
      <w:r>
        <w:rPr>
          <w:noProof/>
          <w:lang w:val="en-IE"/>
        </w:rPr>
        <w:t xml:space="preserve"> </w:t>
      </w:r>
      <w:r>
        <w:rPr>
          <w:noProof/>
        </w:rPr>
        <w:t xml:space="preserve">as </w:t>
      </w:r>
      <w:r w:rsidR="00C41242">
        <w:rPr>
          <w:noProof/>
        </w:rPr>
        <w:t xml:space="preserve">a </w:t>
      </w:r>
      <w:r>
        <w:rPr>
          <w:noProof/>
        </w:rPr>
        <w:t xml:space="preserve">central coordinator </w:t>
      </w:r>
      <w:r w:rsidRPr="00DD122F">
        <w:rPr>
          <w:noProof/>
          <w:lang w:val="en-IE"/>
        </w:rPr>
        <w:t>for the permitting process</w:t>
      </w:r>
      <w:r w:rsidR="007627A8">
        <w:rPr>
          <w:noProof/>
          <w:lang w:val="en-IE"/>
        </w:rPr>
        <w:t xml:space="preserve"> at national level</w:t>
      </w:r>
      <w:r w:rsidR="00556F27">
        <w:rPr>
          <w:noProof/>
          <w:lang w:val="en-IE"/>
        </w:rPr>
        <w:t>, where this does not already exist</w:t>
      </w:r>
      <w:r w:rsidRPr="00DD122F">
        <w:rPr>
          <w:noProof/>
          <w:lang w:val="en-IE"/>
        </w:rPr>
        <w:t xml:space="preserve">. </w:t>
      </w:r>
      <w:r w:rsidR="00FB3672">
        <w:rPr>
          <w:noProof/>
          <w:lang w:val="en-IE"/>
        </w:rPr>
        <w:t>Member States would be free of designating the facilitator as per their own structures, e.g. a service within their central administration or within an agency.</w:t>
      </w:r>
      <w:r w:rsidRPr="00DD122F">
        <w:rPr>
          <w:noProof/>
          <w:lang w:val="en-IE"/>
        </w:rPr>
        <w:t xml:space="preserve"> The </w:t>
      </w:r>
      <w:r w:rsidRPr="47D2AEBB">
        <w:rPr>
          <w:noProof/>
          <w:lang w:val="en-IE"/>
        </w:rPr>
        <w:t>pro</w:t>
      </w:r>
      <w:r w:rsidR="535C3639" w:rsidRPr="47D2AEBB">
        <w:rPr>
          <w:noProof/>
          <w:lang w:val="en-IE"/>
        </w:rPr>
        <w:t>ject</w:t>
      </w:r>
      <w:r w:rsidRPr="47D2AEBB">
        <w:rPr>
          <w:noProof/>
          <w:lang w:val="en-IE"/>
        </w:rPr>
        <w:t xml:space="preserve"> </w:t>
      </w:r>
      <w:r w:rsidR="403358A3" w:rsidRPr="47D2AEBB">
        <w:rPr>
          <w:noProof/>
          <w:lang w:val="en-IE"/>
        </w:rPr>
        <w:t>facilitator</w:t>
      </w:r>
      <w:r w:rsidRPr="00DD122F">
        <w:rPr>
          <w:noProof/>
          <w:lang w:val="en-IE"/>
        </w:rPr>
        <w:t xml:space="preserve"> would be responsible for </w:t>
      </w:r>
      <w:r w:rsidR="00FB3672">
        <w:rPr>
          <w:noProof/>
          <w:lang w:val="en-IE"/>
        </w:rPr>
        <w:t xml:space="preserve">accompanying the applicants in </w:t>
      </w:r>
      <w:r w:rsidRPr="00DD122F">
        <w:rPr>
          <w:noProof/>
          <w:lang w:val="en-IE"/>
        </w:rPr>
        <w:t xml:space="preserve">securing all </w:t>
      </w:r>
      <w:r w:rsidR="00FB3672">
        <w:rPr>
          <w:noProof/>
          <w:lang w:val="en-IE"/>
        </w:rPr>
        <w:t>relevant</w:t>
      </w:r>
      <w:r w:rsidRPr="00DD122F">
        <w:rPr>
          <w:noProof/>
          <w:lang w:val="en-IE"/>
        </w:rPr>
        <w:t xml:space="preserve"> authorisations (including </w:t>
      </w:r>
      <w:r w:rsidR="00D14702">
        <w:rPr>
          <w:noProof/>
          <w:lang w:val="en-IE"/>
        </w:rPr>
        <w:t xml:space="preserve">environmental assessments, </w:t>
      </w:r>
      <w:r w:rsidRPr="00DD122F">
        <w:rPr>
          <w:noProof/>
          <w:lang w:val="en-IE"/>
        </w:rPr>
        <w:t>construction permits and</w:t>
      </w:r>
      <w:r w:rsidR="00D14702">
        <w:rPr>
          <w:noProof/>
          <w:lang w:val="en-IE"/>
        </w:rPr>
        <w:t>/or</w:t>
      </w:r>
      <w:r w:rsidRPr="00DD122F">
        <w:rPr>
          <w:noProof/>
          <w:lang w:val="en-IE"/>
        </w:rPr>
        <w:t xml:space="preserve"> grid connection </w:t>
      </w:r>
      <w:r w:rsidR="00F31913">
        <w:rPr>
          <w:noProof/>
          <w:lang w:val="en-IE"/>
        </w:rPr>
        <w:t>permit</w:t>
      </w:r>
      <w:r w:rsidR="008D46F4">
        <w:rPr>
          <w:noProof/>
          <w:lang w:val="en-IE"/>
        </w:rPr>
        <w:t>s</w:t>
      </w:r>
      <w:r w:rsidRPr="00DD122F">
        <w:rPr>
          <w:noProof/>
          <w:lang w:val="en-IE"/>
        </w:rPr>
        <w:t>)</w:t>
      </w:r>
      <w:r>
        <w:rPr>
          <w:noProof/>
          <w:lang w:val="en-IE"/>
        </w:rPr>
        <w:t xml:space="preserve"> and</w:t>
      </w:r>
      <w:r w:rsidRPr="00DD122F">
        <w:rPr>
          <w:noProof/>
          <w:lang w:val="en-IE"/>
        </w:rPr>
        <w:t xml:space="preserve"> coordinating with </w:t>
      </w:r>
      <w:r>
        <w:rPr>
          <w:noProof/>
          <w:lang w:val="en-IE"/>
        </w:rPr>
        <w:t xml:space="preserve">other national agencies/administrative entities </w:t>
      </w:r>
      <w:r w:rsidR="008D46F4">
        <w:rPr>
          <w:noProof/>
          <w:lang w:val="en-IE"/>
        </w:rPr>
        <w:t xml:space="preserve">(e.g. </w:t>
      </w:r>
      <w:r w:rsidR="003F21A8">
        <w:rPr>
          <w:noProof/>
          <w:lang w:val="en-IE"/>
        </w:rPr>
        <w:t xml:space="preserve">possible future single points of contact for environmental assessments) </w:t>
      </w:r>
      <w:r>
        <w:rPr>
          <w:noProof/>
          <w:lang w:val="en-IE"/>
        </w:rPr>
        <w:t>involved in the permitting process on one side, and with the data centres on the other.</w:t>
      </w:r>
      <w:r w:rsidRPr="00DD122F">
        <w:rPr>
          <w:noProof/>
          <w:lang w:val="en-IE"/>
        </w:rPr>
        <w:t xml:space="preserve"> </w:t>
      </w:r>
      <w:r>
        <w:rPr>
          <w:noProof/>
        </w:rPr>
        <w:t>It</w:t>
      </w:r>
      <w:r w:rsidRPr="00B33BBD">
        <w:rPr>
          <w:noProof/>
        </w:rPr>
        <w:t xml:space="preserve"> would </w:t>
      </w:r>
      <w:r w:rsidR="004D5E1D">
        <w:rPr>
          <w:noProof/>
        </w:rPr>
        <w:t>also provide support to the data centre operators in assessing</w:t>
      </w:r>
      <w:r w:rsidRPr="00B33BBD">
        <w:rPr>
          <w:noProof/>
        </w:rPr>
        <w:t xml:space="preserve"> whether projects qualify to be recognised as strategic, thereby </w:t>
      </w:r>
      <w:r w:rsidR="00AE4B8B">
        <w:rPr>
          <w:noProof/>
        </w:rPr>
        <w:t>enabling</w:t>
      </w:r>
      <w:r w:rsidRPr="00B33BBD">
        <w:rPr>
          <w:noProof/>
        </w:rPr>
        <w:t xml:space="preserve"> them </w:t>
      </w:r>
      <w:r w:rsidR="00AE4B8B">
        <w:rPr>
          <w:noProof/>
        </w:rPr>
        <w:t>to benefit</w:t>
      </w:r>
      <w:r w:rsidR="00DA561F">
        <w:rPr>
          <w:noProof/>
        </w:rPr>
        <w:t xml:space="preserve"> from</w:t>
      </w:r>
      <w:r w:rsidRPr="00B33BBD">
        <w:rPr>
          <w:noProof/>
        </w:rPr>
        <w:t xml:space="preserve"> access to funding, </w:t>
      </w:r>
      <w:r w:rsidR="00DB7EF1">
        <w:rPr>
          <w:noProof/>
        </w:rPr>
        <w:t>helping data centres demonstrating readiness when it comes to grid connection</w:t>
      </w:r>
      <w:r w:rsidRPr="00B33BBD">
        <w:rPr>
          <w:noProof/>
        </w:rPr>
        <w:t xml:space="preserve">, and dedicated administrative support. For environmental authorisations, the </w:t>
      </w:r>
      <w:r w:rsidR="38390F6A">
        <w:rPr>
          <w:noProof/>
        </w:rPr>
        <w:t>project facilitator</w:t>
      </w:r>
      <w:r w:rsidRPr="00B33BBD">
        <w:rPr>
          <w:noProof/>
        </w:rPr>
        <w:t xml:space="preserve"> would interact</w:t>
      </w:r>
      <w:r>
        <w:rPr>
          <w:noProof/>
        </w:rPr>
        <w:t xml:space="preserve"> directly</w:t>
      </w:r>
      <w:r w:rsidRPr="00B33BBD">
        <w:rPr>
          <w:noProof/>
        </w:rPr>
        <w:t xml:space="preserve"> with the designated authorities or through the national single point of contact (SPOC), ensuring</w:t>
      </w:r>
      <w:r>
        <w:rPr>
          <w:noProof/>
        </w:rPr>
        <w:t xml:space="preserve"> that there is</w:t>
      </w:r>
      <w:r w:rsidRPr="00B33BBD">
        <w:rPr>
          <w:noProof/>
        </w:rPr>
        <w:t xml:space="preserve"> efficient coordination.</w:t>
      </w:r>
    </w:p>
    <w:p w14:paraId="1F9C4B63" w14:textId="0208ED9C" w:rsidR="008D15EE" w:rsidRDefault="008D15EE" w:rsidP="008D15EE">
      <w:pPr>
        <w:pStyle w:val="Text1"/>
        <w:ind w:left="0"/>
        <w:rPr>
          <w:noProof/>
          <w:lang w:val="en-IE"/>
        </w:rPr>
      </w:pPr>
      <w:r>
        <w:rPr>
          <w:noProof/>
          <w:lang w:val="en-IE"/>
        </w:rPr>
        <w:t xml:space="preserve">Evidence from </w:t>
      </w:r>
      <w:r w:rsidR="000C53E9">
        <w:rPr>
          <w:bCs/>
          <w:noProof/>
        </w:rPr>
        <w:t>Technopolis et al. (2025)</w:t>
      </w:r>
      <w:r w:rsidR="00992040">
        <w:rPr>
          <w:bCs/>
          <w:noProof/>
        </w:rPr>
        <w:t xml:space="preserve"> </w:t>
      </w:r>
      <w:r>
        <w:rPr>
          <w:noProof/>
          <w:lang w:val="en-IE"/>
        </w:rPr>
        <w:t>covering 12 Member shows that overall permitting timelines, i.e. including z</w:t>
      </w:r>
      <w:r w:rsidRPr="009D53C3">
        <w:rPr>
          <w:noProof/>
          <w:lang w:val="en-IE"/>
        </w:rPr>
        <w:t>oning &amp; land allocation</w:t>
      </w:r>
      <w:r>
        <w:rPr>
          <w:noProof/>
          <w:lang w:val="en-IE"/>
        </w:rPr>
        <w:t>, bu</w:t>
      </w:r>
      <w:r w:rsidRPr="009D53C3">
        <w:rPr>
          <w:noProof/>
          <w:lang w:val="en-IE"/>
        </w:rPr>
        <w:t>ilding permit</w:t>
      </w:r>
      <w:r>
        <w:rPr>
          <w:noProof/>
          <w:lang w:val="en-IE"/>
        </w:rPr>
        <w:t>, u</w:t>
      </w:r>
      <w:r w:rsidRPr="009D53C3">
        <w:rPr>
          <w:noProof/>
          <w:lang w:val="en-IE"/>
        </w:rPr>
        <w:t>tilities &amp; grid connection</w:t>
      </w:r>
      <w:r>
        <w:rPr>
          <w:noProof/>
          <w:lang w:val="en-IE"/>
        </w:rPr>
        <w:t>, e</w:t>
      </w:r>
      <w:r w:rsidRPr="009D53C3">
        <w:rPr>
          <w:noProof/>
          <w:lang w:val="en-IE"/>
        </w:rPr>
        <w:t>nvironmental permit</w:t>
      </w:r>
      <w:r>
        <w:rPr>
          <w:noProof/>
          <w:lang w:val="en-IE"/>
        </w:rPr>
        <w:t xml:space="preserve">/s currently range 32 months on average (see section </w:t>
      </w:r>
      <w:r w:rsidRPr="00E34FDB">
        <w:rPr>
          <w:noProof/>
          <w:lang w:val="en-IE"/>
        </w:rPr>
        <w:fldChar w:fldCharType="begin"/>
      </w:r>
      <w:r w:rsidRPr="00E34FDB">
        <w:rPr>
          <w:noProof/>
          <w:lang w:val="en-IE"/>
        </w:rPr>
        <w:instrText xml:space="preserve"> REF _Ref214538154 \r \h </w:instrText>
      </w:r>
      <w:r w:rsidR="00E34FDB">
        <w:rPr>
          <w:noProof/>
          <w:lang w:val="en-IE"/>
        </w:rPr>
        <w:instrText xml:space="preserve"> \* MERGEFORMAT </w:instrText>
      </w:r>
      <w:r w:rsidRPr="00E34FDB">
        <w:rPr>
          <w:noProof/>
          <w:lang w:val="en-IE"/>
        </w:rPr>
      </w:r>
      <w:r w:rsidRPr="00E34FDB">
        <w:rPr>
          <w:noProof/>
          <w:lang w:val="en-IE"/>
        </w:rPr>
        <w:fldChar w:fldCharType="separate"/>
      </w:r>
      <w:r w:rsidR="000E7F11">
        <w:rPr>
          <w:noProof/>
          <w:lang w:val="en-IE"/>
        </w:rPr>
        <w:t>9</w:t>
      </w:r>
      <w:r w:rsidRPr="00E34FDB">
        <w:rPr>
          <w:noProof/>
          <w:lang w:val="en-IE"/>
        </w:rPr>
        <w:fldChar w:fldCharType="end"/>
      </w:r>
      <w:r w:rsidR="002B4B4F">
        <w:rPr>
          <w:noProof/>
          <w:lang w:val="en-IE"/>
        </w:rPr>
        <w:t xml:space="preserve">8 of this Annex </w:t>
      </w:r>
      <w:r>
        <w:rPr>
          <w:noProof/>
          <w:lang w:val="en-IE"/>
        </w:rPr>
        <w:t xml:space="preserve">for a more detailed overview). </w:t>
      </w:r>
    </w:p>
    <w:p w14:paraId="4A04EA02" w14:textId="5648EF28" w:rsidR="008D15EE" w:rsidRPr="008C3C5A" w:rsidRDefault="001D6BC3" w:rsidP="008D15EE">
      <w:pPr>
        <w:pStyle w:val="Text1"/>
        <w:ind w:left="0"/>
        <w:rPr>
          <w:noProof/>
          <w:lang w:val="en-IE"/>
        </w:rPr>
      </w:pPr>
      <w:r>
        <w:rPr>
          <w:bCs/>
          <w:i/>
          <w:noProof/>
          <w:lang w:val="en-IE"/>
        </w:rPr>
        <w:t>Impact on d</w:t>
      </w:r>
      <w:r w:rsidRPr="008C3C5A">
        <w:rPr>
          <w:bCs/>
          <w:i/>
          <w:noProof/>
          <w:lang w:val="en-IE"/>
        </w:rPr>
        <w:t>ata</w:t>
      </w:r>
      <w:r>
        <w:rPr>
          <w:bCs/>
          <w:i/>
          <w:noProof/>
          <w:lang w:val="en-IE"/>
        </w:rPr>
        <w:t xml:space="preserve"> </w:t>
      </w:r>
      <w:r w:rsidRPr="008C3C5A">
        <w:rPr>
          <w:bCs/>
          <w:i/>
          <w:noProof/>
          <w:lang w:val="en-IE"/>
        </w:rPr>
        <w:t xml:space="preserve">centre </w:t>
      </w:r>
      <w:r>
        <w:rPr>
          <w:bCs/>
          <w:i/>
          <w:noProof/>
          <w:lang w:val="en-IE"/>
        </w:rPr>
        <w:t>deployment acceleration</w:t>
      </w:r>
      <w:r w:rsidR="008D15EE" w:rsidRPr="008C3C5A">
        <w:rPr>
          <w:noProof/>
          <w:lang w:val="en-IE"/>
        </w:rPr>
        <w:t xml:space="preserve">. The baseline capacity growth presents a </w:t>
      </w:r>
      <w:r w:rsidR="00244F93" w:rsidRPr="008C3C5A">
        <w:rPr>
          <w:noProof/>
          <w:lang w:val="en-IE"/>
        </w:rPr>
        <w:t>1</w:t>
      </w:r>
      <w:r w:rsidR="00244F93">
        <w:rPr>
          <w:noProof/>
          <w:lang w:val="en-IE"/>
        </w:rPr>
        <w:t>2</w:t>
      </w:r>
      <w:r w:rsidR="008D15EE" w:rsidRPr="008C3C5A">
        <w:rPr>
          <w:noProof/>
          <w:lang w:val="en-IE"/>
        </w:rPr>
        <w:t>% CAGR in data centre capacity (</w:t>
      </w:r>
      <w:r w:rsidR="00970933" w:rsidRPr="008C3C5A">
        <w:rPr>
          <w:noProof/>
          <w:lang w:val="en-IE"/>
        </w:rPr>
        <w:t>202</w:t>
      </w:r>
      <w:r w:rsidR="00970933">
        <w:rPr>
          <w:noProof/>
          <w:lang w:val="en-IE"/>
        </w:rPr>
        <w:t>5</w:t>
      </w:r>
      <w:r w:rsidR="008D15EE" w:rsidRPr="008C3C5A">
        <w:rPr>
          <w:noProof/>
          <w:lang w:val="en-IE"/>
        </w:rPr>
        <w:t xml:space="preserve">-2036). Under this option, it is assumed that the capacity growth </w:t>
      </w:r>
      <w:r w:rsidR="008D15EE" w:rsidRPr="008C3C5A">
        <w:rPr>
          <w:bCs/>
          <w:iCs/>
          <w:noProof/>
          <w:lang w:val="en-IE"/>
        </w:rPr>
        <w:t>rate increases to 15%.</w:t>
      </w:r>
      <w:r w:rsidR="008D15EE" w:rsidRPr="008C3C5A">
        <w:rPr>
          <w:noProof/>
          <w:lang w:val="en-IE"/>
        </w:rPr>
        <w:t xml:space="preserve"> This uplift reflects the assumption that shorter, more predictable permitting procedures reduce barriers to investment, accelerate time to market, and improve certainty for operators, thereby stimulating additional capacity deployment. The scope of this measure covers data centre operators and CSPs active in new data centre builds in the EU (see section </w:t>
      </w:r>
      <w:r w:rsidR="008D15EE" w:rsidRPr="00E34FDB">
        <w:rPr>
          <w:noProof/>
          <w:lang w:val="en-IE"/>
        </w:rPr>
        <w:fldChar w:fldCharType="begin"/>
      </w:r>
      <w:r w:rsidR="008D15EE" w:rsidRPr="00E34FDB">
        <w:rPr>
          <w:noProof/>
          <w:lang w:val="en-IE"/>
        </w:rPr>
        <w:instrText xml:space="preserve"> REF _Ref214538227 \r \h </w:instrText>
      </w:r>
      <w:r w:rsidR="00E34FDB">
        <w:rPr>
          <w:noProof/>
          <w:lang w:val="en-IE"/>
        </w:rPr>
        <w:instrText xml:space="preserve"> \* MERGEFORMAT </w:instrText>
      </w:r>
      <w:r w:rsidR="008D15EE" w:rsidRPr="00E34FDB">
        <w:rPr>
          <w:noProof/>
          <w:lang w:val="en-IE"/>
        </w:rPr>
      </w:r>
      <w:r w:rsidR="008D15EE" w:rsidRPr="00E34FDB">
        <w:rPr>
          <w:noProof/>
          <w:lang w:val="en-IE"/>
        </w:rPr>
        <w:fldChar w:fldCharType="separate"/>
      </w:r>
      <w:r w:rsidR="000E7F11">
        <w:rPr>
          <w:noProof/>
          <w:lang w:val="en-IE"/>
        </w:rPr>
        <w:t>2.3</w:t>
      </w:r>
      <w:r w:rsidR="008D15EE" w:rsidRPr="00E34FDB">
        <w:rPr>
          <w:noProof/>
          <w:lang w:val="en-IE"/>
        </w:rPr>
        <w:fldChar w:fldCharType="end"/>
      </w:r>
      <w:r w:rsidR="008D15EE" w:rsidRPr="00E34FDB">
        <w:rPr>
          <w:noProof/>
          <w:lang w:val="en-IE"/>
        </w:rPr>
        <w:t xml:space="preserve"> </w:t>
      </w:r>
      <w:r w:rsidR="00F25E80">
        <w:rPr>
          <w:noProof/>
          <w:lang w:val="en-IE"/>
        </w:rPr>
        <w:t xml:space="preserve">of this annex </w:t>
      </w:r>
      <w:r w:rsidR="008D15EE" w:rsidRPr="00E34FDB">
        <w:rPr>
          <w:noProof/>
          <w:lang w:val="en-IE"/>
        </w:rPr>
        <w:t>for further details).</w:t>
      </w:r>
      <w:r w:rsidR="008D15EE" w:rsidRPr="008C3C5A">
        <w:rPr>
          <w:noProof/>
          <w:lang w:val="en-IE"/>
        </w:rPr>
        <w:t xml:space="preserve"> It is assumed that 50% of the new builds will be adopting this measure, in a staged adoption going from 0% in 2027 until 50% in 2036. This is a conservative assumption used for modelling purposes only, </w:t>
      </w:r>
      <w:r w:rsidR="008D15EE">
        <w:rPr>
          <w:noProof/>
          <w:lang w:val="en-IE"/>
        </w:rPr>
        <w:t xml:space="preserve">with the caveat that </w:t>
      </w:r>
      <w:r w:rsidR="008D15EE" w:rsidRPr="008C3C5A">
        <w:rPr>
          <w:noProof/>
          <w:lang w:val="en-IE"/>
        </w:rPr>
        <w:t>the detailed assumptions of number of new builds forecasted per country per year</w:t>
      </w:r>
      <w:r w:rsidR="008D15EE">
        <w:rPr>
          <w:noProof/>
          <w:lang w:val="en-IE"/>
        </w:rPr>
        <w:t xml:space="preserve"> is not considered</w:t>
      </w:r>
      <w:r w:rsidR="008D15EE" w:rsidRPr="008C3C5A">
        <w:rPr>
          <w:noProof/>
          <w:lang w:val="en-IE"/>
        </w:rPr>
        <w:t xml:space="preserve">, and not knowing how many countries will adopt this measure. </w:t>
      </w:r>
    </w:p>
    <w:p w14:paraId="39922EC9" w14:textId="21798019" w:rsidR="008D15EE" w:rsidRPr="008C3C5A" w:rsidRDefault="0076320A" w:rsidP="008D15EE">
      <w:pPr>
        <w:pStyle w:val="Text1"/>
        <w:ind w:left="0"/>
        <w:rPr>
          <w:noProof/>
          <w:lang w:val="en-IE"/>
        </w:rPr>
      </w:pPr>
      <w:r>
        <w:rPr>
          <w:b/>
          <w:i/>
          <w:noProof/>
          <w:lang w:val="en-IE"/>
        </w:rPr>
        <w:t>C</w:t>
      </w:r>
      <w:r w:rsidR="008D15EE" w:rsidRPr="008C3C5A">
        <w:rPr>
          <w:b/>
          <w:i/>
          <w:noProof/>
          <w:lang w:val="en-IE"/>
        </w:rPr>
        <w:t xml:space="preserve">osts for </w:t>
      </w:r>
      <w:r>
        <w:rPr>
          <w:b/>
          <w:i/>
          <w:noProof/>
        </w:rPr>
        <w:t>d</w:t>
      </w:r>
      <w:r w:rsidRPr="59E4558D">
        <w:rPr>
          <w:b/>
          <w:i/>
          <w:noProof/>
        </w:rPr>
        <w:t xml:space="preserve">ata </w:t>
      </w:r>
      <w:r>
        <w:rPr>
          <w:b/>
          <w:i/>
          <w:noProof/>
        </w:rPr>
        <w:t>c</w:t>
      </w:r>
      <w:r w:rsidRPr="59E4558D">
        <w:rPr>
          <w:b/>
          <w:i/>
          <w:noProof/>
        </w:rPr>
        <w:t xml:space="preserve">entre </w:t>
      </w:r>
      <w:r>
        <w:rPr>
          <w:b/>
          <w:i/>
          <w:noProof/>
        </w:rPr>
        <w:t>o</w:t>
      </w:r>
      <w:r w:rsidRPr="59E4558D">
        <w:rPr>
          <w:b/>
          <w:i/>
          <w:noProof/>
        </w:rPr>
        <w:t>perators</w:t>
      </w:r>
      <w:r w:rsidR="008D15EE" w:rsidRPr="008C3C5A">
        <w:rPr>
          <w:noProof/>
          <w:lang w:val="en-IE"/>
        </w:rPr>
        <w:t xml:space="preserve">. </w:t>
      </w:r>
      <w:r w:rsidR="005145D0">
        <w:rPr>
          <w:noProof/>
          <w:lang w:val="en-IE"/>
        </w:rPr>
        <w:t>Data centre operators will engage with the facilitator to submit necessary documents, attend joint meetings and receive guidance on the permitting processes. From the operator’s perspective this</w:t>
      </w:r>
      <w:r w:rsidR="00CE79D4">
        <w:rPr>
          <w:noProof/>
          <w:lang w:val="en-IE"/>
        </w:rPr>
        <w:t xml:space="preserve"> should replace the numerous, fragmented integrations with individual authorities that currently occur, resulting in limited additional costs. </w:t>
      </w:r>
      <w:r w:rsidR="00977126" w:rsidRPr="00977126">
        <w:rPr>
          <w:noProof/>
          <w:lang w:val="en-IE"/>
        </w:rPr>
        <w:t xml:space="preserve">Although operators may incur some initial costs to familiarise themselves with the facilitator's procedures, these are likely to be outweighed by benefits </w:t>
      </w:r>
      <w:r w:rsidR="00977126">
        <w:rPr>
          <w:noProof/>
          <w:lang w:val="en-IE"/>
        </w:rPr>
        <w:t xml:space="preserve">in terms of </w:t>
      </w:r>
      <w:r w:rsidR="00977126" w:rsidRPr="00977126">
        <w:rPr>
          <w:noProof/>
          <w:lang w:val="en-IE"/>
        </w:rPr>
        <w:t>fewer repeated submissions</w:t>
      </w:r>
      <w:r w:rsidR="00977126">
        <w:rPr>
          <w:noProof/>
          <w:lang w:val="en-IE"/>
        </w:rPr>
        <w:t xml:space="preserve"> </w:t>
      </w:r>
      <w:r w:rsidR="007A39F8">
        <w:rPr>
          <w:noProof/>
          <w:lang w:val="en-IE"/>
        </w:rPr>
        <w:t xml:space="preserve">and </w:t>
      </w:r>
      <w:r w:rsidR="00977126">
        <w:rPr>
          <w:noProof/>
          <w:lang w:val="en-IE"/>
        </w:rPr>
        <w:t>shorter procedures (see below)</w:t>
      </w:r>
      <w:r w:rsidR="00977126" w:rsidRPr="00977126">
        <w:rPr>
          <w:noProof/>
          <w:lang w:val="en-IE"/>
        </w:rPr>
        <w:t xml:space="preserve">. As the measure is expected to simplify the process without increasing the overall time spent on permitting, no separate administrative cost is </w:t>
      </w:r>
      <w:r w:rsidR="00977126">
        <w:rPr>
          <w:noProof/>
          <w:lang w:val="en-IE"/>
        </w:rPr>
        <w:t>considered for</w:t>
      </w:r>
      <w:r w:rsidR="00977126" w:rsidRPr="00977126">
        <w:rPr>
          <w:noProof/>
          <w:lang w:val="en-IE"/>
        </w:rPr>
        <w:t xml:space="preserve"> data</w:t>
      </w:r>
      <w:r w:rsidR="00977126">
        <w:rPr>
          <w:noProof/>
          <w:lang w:val="en-IE"/>
        </w:rPr>
        <w:t xml:space="preserve"> </w:t>
      </w:r>
      <w:r w:rsidR="00977126" w:rsidRPr="00977126">
        <w:rPr>
          <w:noProof/>
          <w:lang w:val="en-IE"/>
        </w:rPr>
        <w:t>centre operators.</w:t>
      </w:r>
      <w:r w:rsidR="004E19A8">
        <w:rPr>
          <w:noProof/>
          <w:lang w:val="en-IE"/>
        </w:rPr>
        <w:t xml:space="preserve"> </w:t>
      </w:r>
    </w:p>
    <w:p w14:paraId="3819A99D" w14:textId="5E756CF5" w:rsidR="008D15EE" w:rsidRDefault="00C35B3D" w:rsidP="008D15EE">
      <w:pPr>
        <w:pStyle w:val="Text1"/>
        <w:ind w:left="0"/>
        <w:rPr>
          <w:noProof/>
        </w:rPr>
      </w:pPr>
      <w:r>
        <w:rPr>
          <w:b/>
          <w:i/>
          <w:noProof/>
        </w:rPr>
        <w:t>Direct economic benefits</w:t>
      </w:r>
      <w:r w:rsidR="008D15EE" w:rsidRPr="008C3C5A">
        <w:rPr>
          <w:b/>
          <w:i/>
          <w:noProof/>
        </w:rPr>
        <w:t xml:space="preserve"> for </w:t>
      </w:r>
      <w:r>
        <w:rPr>
          <w:b/>
          <w:i/>
          <w:noProof/>
        </w:rPr>
        <w:t>d</w:t>
      </w:r>
      <w:r w:rsidRPr="59E4558D">
        <w:rPr>
          <w:b/>
          <w:i/>
          <w:noProof/>
        </w:rPr>
        <w:t xml:space="preserve">ata </w:t>
      </w:r>
      <w:r>
        <w:rPr>
          <w:b/>
          <w:i/>
          <w:noProof/>
        </w:rPr>
        <w:t>c</w:t>
      </w:r>
      <w:r w:rsidRPr="59E4558D">
        <w:rPr>
          <w:b/>
          <w:i/>
          <w:noProof/>
        </w:rPr>
        <w:t xml:space="preserve">entre </w:t>
      </w:r>
      <w:r w:rsidDel="00B37054">
        <w:rPr>
          <w:b/>
          <w:i/>
          <w:noProof/>
        </w:rPr>
        <w:t>o</w:t>
      </w:r>
      <w:r w:rsidR="00C73124" w:rsidRPr="59E4558D" w:rsidDel="00B37054">
        <w:rPr>
          <w:b/>
          <w:i/>
          <w:noProof/>
        </w:rPr>
        <w:t>perators</w:t>
      </w:r>
      <w:r w:rsidR="008D15EE" w:rsidRPr="008C3C5A">
        <w:rPr>
          <w:noProof/>
        </w:rPr>
        <w:t xml:space="preserve">. </w:t>
      </w:r>
      <w:r w:rsidR="00650FEB" w:rsidRPr="00542CAF">
        <w:rPr>
          <w:noProof/>
        </w:rPr>
        <w:t xml:space="preserve">The most relevant benefits of this measure arise from the </w:t>
      </w:r>
      <w:r w:rsidR="00572082" w:rsidDel="006350D5">
        <w:rPr>
          <w:noProof/>
        </w:rPr>
        <w:t>direct</w:t>
      </w:r>
      <w:r w:rsidR="00F8115D">
        <w:rPr>
          <w:noProof/>
        </w:rPr>
        <w:t xml:space="preserve"> economic benefits</w:t>
      </w:r>
      <w:r w:rsidR="006350D5">
        <w:rPr>
          <w:noProof/>
        </w:rPr>
        <w:t xml:space="preserve"> of earlier cash-flow realisation for one pro</w:t>
      </w:r>
      <w:r w:rsidR="00250CF8">
        <w:rPr>
          <w:noProof/>
        </w:rPr>
        <w:t>ject</w:t>
      </w:r>
      <w:r w:rsidR="00650FEB" w:rsidRPr="00542CAF">
        <w:rPr>
          <w:noProof/>
        </w:rPr>
        <w:t xml:space="preserve"> linked to shorter permitting </w:t>
      </w:r>
      <w:r w:rsidR="00650FEB">
        <w:rPr>
          <w:noProof/>
        </w:rPr>
        <w:t>times achieved through the accompanying effects of the facilitator, i.e.</w:t>
      </w:r>
      <w:r w:rsidR="00650FEB" w:rsidRPr="00542CAF">
        <w:rPr>
          <w:noProof/>
        </w:rPr>
        <w:t xml:space="preserve"> the reduction in administrative processing time and the resulting acceleration of the overall development timeline for new data</w:t>
      </w:r>
      <w:r w:rsidR="00650FEB">
        <w:rPr>
          <w:noProof/>
        </w:rPr>
        <w:t xml:space="preserve"> </w:t>
      </w:r>
      <w:r w:rsidR="00650FEB" w:rsidRPr="00542CAF">
        <w:rPr>
          <w:noProof/>
        </w:rPr>
        <w:t>centre projects</w:t>
      </w:r>
      <w:r w:rsidR="00F8115D">
        <w:rPr>
          <w:rStyle w:val="FootnoteReference"/>
          <w:noProof/>
        </w:rPr>
        <w:footnoteReference w:id="46"/>
      </w:r>
      <w:r w:rsidR="00650FEB" w:rsidRPr="00542CAF">
        <w:rPr>
          <w:noProof/>
        </w:rPr>
        <w:t xml:space="preserve">. These benefits represent a subset of all the potential improvements generated by the measure, but they are the ones that can be robustly </w:t>
      </w:r>
      <w:r w:rsidR="00650FEB">
        <w:rPr>
          <w:noProof/>
        </w:rPr>
        <w:t>monetised</w:t>
      </w:r>
      <w:r w:rsidR="00650FEB" w:rsidRPr="00542CAF">
        <w:rPr>
          <w:noProof/>
        </w:rPr>
        <w:t xml:space="preserve">. To capture them, the analysis applies a </w:t>
      </w:r>
      <w:r w:rsidR="00EA21E2">
        <w:rPr>
          <w:noProof/>
        </w:rPr>
        <w:t>project-level</w:t>
      </w:r>
      <w:r w:rsidR="00650FEB" w:rsidRPr="00542CAF">
        <w:rPr>
          <w:noProof/>
        </w:rPr>
        <w:t xml:space="preserve"> Net Present Value (NPV) approach </w:t>
      </w:r>
      <w:r w:rsidR="00BD62C0">
        <w:rPr>
          <w:noProof/>
        </w:rPr>
        <w:t>(discounted cash flow)</w:t>
      </w:r>
      <w:r w:rsidR="00650FEB" w:rsidRPr="00542CAF">
        <w:rPr>
          <w:noProof/>
        </w:rPr>
        <w:t xml:space="preserve"> that compares the baseline permitting duration with the </w:t>
      </w:r>
      <w:r w:rsidR="00650FEB">
        <w:rPr>
          <w:noProof/>
        </w:rPr>
        <w:t>accelerated</w:t>
      </w:r>
      <w:r w:rsidR="00650FEB" w:rsidRPr="00542CAF">
        <w:rPr>
          <w:noProof/>
        </w:rPr>
        <w:t xml:space="preserve"> scenario and measures the economic value of bringing construction and commercial operation</w:t>
      </w:r>
      <w:r w:rsidR="007A39F8">
        <w:rPr>
          <w:noProof/>
        </w:rPr>
        <w:t>s</w:t>
      </w:r>
      <w:r w:rsidR="00650FEB" w:rsidRPr="00542CAF">
        <w:rPr>
          <w:noProof/>
        </w:rPr>
        <w:t xml:space="preserve"> forward, discounted at the project WACC</w:t>
      </w:r>
      <w:r w:rsidR="00650FEB">
        <w:rPr>
          <w:noProof/>
        </w:rPr>
        <w:t xml:space="preserve"> (6%)</w:t>
      </w:r>
      <w:r w:rsidR="00650FEB" w:rsidRPr="00542CAF">
        <w:rPr>
          <w:noProof/>
        </w:rPr>
        <w:t xml:space="preserve">. </w:t>
      </w:r>
      <w:r w:rsidR="00824076" w:rsidRPr="009F2DE7">
        <w:rPr>
          <w:noProof/>
        </w:rPr>
        <w:t>Earlier time-to-market gains from faster permitting are reflected directly in the DCF through a shorter period before revenues are realised and thus earlier start of cash flows, while reduced operating costs from improved energy efficiency (declining PUE</w:t>
      </w:r>
      <w:r w:rsidR="0024775A">
        <w:rPr>
          <w:noProof/>
        </w:rPr>
        <w:t>, baseline scenario</w:t>
      </w:r>
      <w:r w:rsidR="00824076" w:rsidRPr="009F2DE7">
        <w:rPr>
          <w:noProof/>
        </w:rPr>
        <w:t>) are included as part of the OPEX assumptions over the life of the project. Risk-related efficiency gains, e.g. better certainty on siting, permitting and investment conditions, are considered indirect benefits rather than appearing directly in the model</w:t>
      </w:r>
      <w:r w:rsidR="007339AC">
        <w:rPr>
          <w:rStyle w:val="FootnoteReference"/>
          <w:noProof/>
        </w:rPr>
        <w:footnoteReference w:id="47"/>
      </w:r>
      <w:r w:rsidR="00824076" w:rsidRPr="009F2DE7">
        <w:rPr>
          <w:noProof/>
        </w:rPr>
        <w:t>.</w:t>
      </w:r>
    </w:p>
    <w:p w14:paraId="4B8CC8A5" w14:textId="49A09F58" w:rsidR="008D15EE" w:rsidRPr="00150A32" w:rsidRDefault="00650FEB" w:rsidP="008D15EE">
      <w:pPr>
        <w:pStyle w:val="Text1"/>
        <w:ind w:left="0"/>
        <w:rPr>
          <w:noProof/>
        </w:rPr>
      </w:pPr>
      <w:r>
        <w:rPr>
          <w:noProof/>
        </w:rPr>
        <w:t>The simplified process through the use of a project facilitator</w:t>
      </w:r>
      <w:r w:rsidR="008D15EE" w:rsidRPr="008C3C5A">
        <w:rPr>
          <w:noProof/>
        </w:rPr>
        <w:t xml:space="preserve"> is </w:t>
      </w:r>
      <w:r w:rsidR="00FF28DD">
        <w:rPr>
          <w:noProof/>
        </w:rPr>
        <w:t>estimated, based on interviews with stakeholders and validated during the final validation workshop,</w:t>
      </w:r>
      <w:r w:rsidR="008D15EE" w:rsidRPr="008C3C5A">
        <w:rPr>
          <w:noProof/>
        </w:rPr>
        <w:t xml:space="preserve"> to shorten the average </w:t>
      </w:r>
      <w:r w:rsidR="005256AC">
        <w:rPr>
          <w:noProof/>
        </w:rPr>
        <w:t>permitting duration</w:t>
      </w:r>
      <w:r w:rsidR="008D15EE" w:rsidRPr="008C3C5A">
        <w:rPr>
          <w:noProof/>
        </w:rPr>
        <w:t xml:space="preserve"> for a new data centre facility by</w:t>
      </w:r>
      <w:r w:rsidR="00576221">
        <w:rPr>
          <w:noProof/>
        </w:rPr>
        <w:t xml:space="preserve"> </w:t>
      </w:r>
      <w:r w:rsidR="008D15EE">
        <w:rPr>
          <w:noProof/>
        </w:rPr>
        <w:t>6</w:t>
      </w:r>
      <w:r w:rsidR="008D15EE" w:rsidRPr="008C3C5A">
        <w:rPr>
          <w:noProof/>
        </w:rPr>
        <w:t xml:space="preserve"> months, </w:t>
      </w:r>
      <w:r w:rsidR="002A5442">
        <w:rPr>
          <w:noProof/>
        </w:rPr>
        <w:t>from a</w:t>
      </w:r>
      <w:r w:rsidR="00B749E2">
        <w:rPr>
          <w:noProof/>
        </w:rPr>
        <w:t>n average</w:t>
      </w:r>
      <w:r w:rsidR="002A5442">
        <w:rPr>
          <w:noProof/>
        </w:rPr>
        <w:t xml:space="preserve"> baseline of 32 months</w:t>
      </w:r>
      <w:r w:rsidR="008D15EE" w:rsidRPr="008C3C5A">
        <w:rPr>
          <w:noProof/>
        </w:rPr>
        <w:t xml:space="preserve"> to </w:t>
      </w:r>
      <w:r w:rsidR="002A5442">
        <w:rPr>
          <w:noProof/>
        </w:rPr>
        <w:t>around</w:t>
      </w:r>
      <w:r w:rsidR="008D15EE" w:rsidRPr="008C3C5A">
        <w:rPr>
          <w:noProof/>
        </w:rPr>
        <w:t xml:space="preserve"> 2</w:t>
      </w:r>
      <w:r w:rsidR="008D15EE">
        <w:rPr>
          <w:noProof/>
        </w:rPr>
        <w:t>6</w:t>
      </w:r>
      <w:r w:rsidR="008D15EE" w:rsidRPr="008C3C5A">
        <w:rPr>
          <w:noProof/>
        </w:rPr>
        <w:t xml:space="preserve"> </w:t>
      </w:r>
      <w:r w:rsidR="00C73124" w:rsidRPr="008C3C5A">
        <w:rPr>
          <w:noProof/>
        </w:rPr>
        <w:t>month</w:t>
      </w:r>
      <w:r w:rsidR="002A5442">
        <w:rPr>
          <w:noProof/>
        </w:rPr>
        <w:t>s</w:t>
      </w:r>
      <w:r w:rsidR="008D15EE" w:rsidRPr="008C3C5A">
        <w:rPr>
          <w:noProof/>
        </w:rPr>
        <w:t xml:space="preserve"> duration from </w:t>
      </w:r>
      <w:r w:rsidR="002C7931">
        <w:rPr>
          <w:noProof/>
        </w:rPr>
        <w:t xml:space="preserve">the </w:t>
      </w:r>
      <w:r w:rsidR="00C666C9">
        <w:rPr>
          <w:noProof/>
        </w:rPr>
        <w:t>development phase</w:t>
      </w:r>
      <w:r w:rsidR="00B749E2">
        <w:rPr>
          <w:noProof/>
        </w:rPr>
        <w:t xml:space="preserve"> to</w:t>
      </w:r>
      <w:r w:rsidR="008D15EE" w:rsidRPr="008C3C5A">
        <w:rPr>
          <w:noProof/>
        </w:rPr>
        <w:t xml:space="preserve"> operation</w:t>
      </w:r>
      <w:r w:rsidR="00B749E2">
        <w:rPr>
          <w:noProof/>
        </w:rPr>
        <w:t>s</w:t>
      </w:r>
      <w:r w:rsidR="0045009B">
        <w:rPr>
          <w:noProof/>
        </w:rPr>
        <w:t>.</w:t>
      </w:r>
      <w:r w:rsidR="008D15EE" w:rsidRPr="008C3C5A">
        <w:rPr>
          <w:noProof/>
          <w:lang w:val="en-IE"/>
        </w:rPr>
        <w:t xml:space="preserve"> </w:t>
      </w:r>
      <w:r w:rsidR="00857881" w:rsidRPr="009427D4">
        <w:rPr>
          <w:noProof/>
        </w:rPr>
        <w:t xml:space="preserve">The NPV gain associated with </w:t>
      </w:r>
      <w:r w:rsidR="00857881">
        <w:rPr>
          <w:noProof/>
        </w:rPr>
        <w:t>this</w:t>
      </w:r>
      <w:r w:rsidR="00857881" w:rsidRPr="009427D4">
        <w:rPr>
          <w:noProof/>
        </w:rPr>
        <w:t xml:space="preserve"> reduction in permitting timelines is not driven </w:t>
      </w:r>
      <w:r w:rsidR="00857881">
        <w:rPr>
          <w:noProof/>
        </w:rPr>
        <w:t xml:space="preserve">only </w:t>
      </w:r>
      <w:r w:rsidR="00857881" w:rsidRPr="009427D4">
        <w:rPr>
          <w:noProof/>
        </w:rPr>
        <w:t xml:space="preserve">by timing effects. The project’s cash-flow model incorporates several operational and financial parameters that together increase the economic value of accelerated deployment, resulting in a higher NPV than would be obtained through time-shifting alone. Consequently, the NPV increase from </w:t>
      </w:r>
      <w:r w:rsidR="00857881">
        <w:rPr>
          <w:noProof/>
        </w:rPr>
        <w:t xml:space="preserve">EUR </w:t>
      </w:r>
      <w:r w:rsidR="00857881" w:rsidRPr="009427D4">
        <w:rPr>
          <w:noProof/>
        </w:rPr>
        <w:t xml:space="preserve">58 million to </w:t>
      </w:r>
      <w:r w:rsidR="00857881">
        <w:rPr>
          <w:noProof/>
        </w:rPr>
        <w:t>EUR 6</w:t>
      </w:r>
      <w:r w:rsidR="007A39F8">
        <w:rPr>
          <w:noProof/>
        </w:rPr>
        <w:t>5</w:t>
      </w:r>
      <w:r w:rsidR="00857881" w:rsidRPr="009427D4">
        <w:rPr>
          <w:noProof/>
        </w:rPr>
        <w:t xml:space="preserve"> million reflects the combined impact of accelerated commissioning</w:t>
      </w:r>
      <w:r w:rsidR="00857881">
        <w:rPr>
          <w:noProof/>
        </w:rPr>
        <w:t xml:space="preserve"> and </w:t>
      </w:r>
      <w:r w:rsidR="00857881" w:rsidRPr="009427D4">
        <w:rPr>
          <w:noProof/>
        </w:rPr>
        <w:t>improved operational performance, which contribute to the economic benefit of permitting simplification</w:t>
      </w:r>
      <w:r w:rsidR="00857881">
        <w:rPr>
          <w:noProof/>
        </w:rPr>
        <w:t xml:space="preserve">. </w:t>
      </w:r>
    </w:p>
    <w:p w14:paraId="72FA4F42" w14:textId="719C58C9" w:rsidR="008D15EE" w:rsidRPr="00C314F9" w:rsidRDefault="00D30CB1" w:rsidP="00F66EA4">
      <w:pPr>
        <w:pStyle w:val="Text1"/>
        <w:ind w:left="0"/>
        <w:jc w:val="center"/>
        <w:rPr>
          <w:noProof/>
          <w:lang w:val="en-IE"/>
        </w:rPr>
      </w:pPr>
      <w:r>
        <w:rPr>
          <w:i/>
          <w:noProof/>
          <w:lang w:val="en-IE"/>
        </w:rPr>
        <w:t>Direct e</w:t>
      </w:r>
      <w:r w:rsidR="00154FC7">
        <w:rPr>
          <w:i/>
          <w:noProof/>
          <w:lang w:val="en-IE"/>
        </w:rPr>
        <w:t>conomic benefit</w:t>
      </w:r>
      <w:r w:rsidR="008D15EE" w:rsidRPr="00C314F9">
        <w:rPr>
          <w:i/>
          <w:noProof/>
          <w:vertAlign w:val="subscript"/>
          <w:lang w:val="en-IE"/>
        </w:rPr>
        <w:t xml:space="preserve"> </w:t>
      </w:r>
      <w:r w:rsidR="008D15EE" w:rsidRPr="00C314F9">
        <w:rPr>
          <w:noProof/>
          <w:lang w:val="en-IE"/>
        </w:rPr>
        <w:t xml:space="preserve">= </w:t>
      </w:r>
      <w:r w:rsidR="008D15EE" w:rsidRPr="00AF7814">
        <w:rPr>
          <w:i/>
          <w:iCs/>
          <w:noProof/>
          <w:lang w:val="en-IE"/>
        </w:rPr>
        <w:t>ΔNPV =</w:t>
      </w:r>
      <m:oMath>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PM4</m:t>
            </m:r>
          </m:sub>
        </m:sSub>
        <m:r>
          <w:rPr>
            <w:rFonts w:ascii="Cambria Math" w:hAnsi="Cambria Math"/>
            <w:noProof/>
            <w:lang w:val="en-IE"/>
          </w:rPr>
          <m:t>-</m:t>
        </m:r>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baseline</m:t>
            </m:r>
          </m:sub>
        </m:sSub>
      </m:oMath>
    </w:p>
    <w:p w14:paraId="07BF97B5" w14:textId="445E59A9" w:rsidR="008D15EE" w:rsidRPr="006F6E56" w:rsidRDefault="008D15EE" w:rsidP="008D15EE">
      <w:pPr>
        <w:pStyle w:val="Text1"/>
        <w:ind w:left="0"/>
        <w:rPr>
          <w:noProof/>
          <w:lang w:val="en-IE"/>
        </w:rPr>
      </w:pPr>
      <w:r w:rsidRPr="00FB4EAE">
        <w:rPr>
          <w:noProof/>
          <w:lang w:val="en-IE"/>
        </w:rPr>
        <w:t>Where each NPV is computed over a 1</w:t>
      </w:r>
      <w:r w:rsidRPr="006F6E56">
        <w:rPr>
          <w:noProof/>
          <w:lang w:val="en-IE"/>
        </w:rPr>
        <w:t>0</w:t>
      </w:r>
      <w:r w:rsidRPr="00FB4EAE">
        <w:rPr>
          <w:noProof/>
          <w:lang w:val="en-IE"/>
        </w:rPr>
        <w:t>-year horizon and includes all cash flows: CAPEX outflows during construction, OPEX, Revenues</w:t>
      </w:r>
      <w:r>
        <w:rPr>
          <w:noProof/>
          <w:lang w:val="en-IE"/>
        </w:rPr>
        <w:t>.</w:t>
      </w:r>
      <w:r w:rsidR="00A33538" w:rsidRPr="00A33538">
        <w:rPr>
          <w:noProof/>
        </w:rPr>
        <w:t xml:space="preserve"> </w:t>
      </w:r>
      <w:r w:rsidR="00A33538">
        <w:rPr>
          <w:noProof/>
        </w:rPr>
        <w:t>The analysis has been</w:t>
      </w:r>
      <w:r w:rsidR="00A33538" w:rsidRPr="00922A68">
        <w:rPr>
          <w:noProof/>
        </w:rPr>
        <w:t xml:space="preserve"> carried out in nominal terms, with both costs and revenues indexed over time and discounted using a nominal WACC.</w:t>
      </w:r>
    </w:p>
    <w:tbl>
      <w:tblPr>
        <w:tblW w:w="5000" w:type="pct"/>
        <w:tblInd w:w="-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3805"/>
        <w:gridCol w:w="801"/>
        <w:gridCol w:w="2533"/>
        <w:gridCol w:w="1896"/>
      </w:tblGrid>
      <w:tr w:rsidR="008D15EE" w:rsidRPr="0007547C" w14:paraId="341235AD" w14:textId="77777777" w:rsidTr="00872EB7">
        <w:trPr>
          <w:trHeight w:val="290"/>
        </w:trPr>
        <w:tc>
          <w:tcPr>
            <w:tcW w:w="2012" w:type="pct"/>
            <w:shd w:val="clear" w:color="auto" w:fill="FFFFFF" w:themeFill="background1"/>
            <w:noWrap/>
            <w:hideMark/>
          </w:tcPr>
          <w:p w14:paraId="5C2BB0A0" w14:textId="71188572" w:rsidR="008D15EE" w:rsidRPr="008D0BAC" w:rsidRDefault="008D15EE">
            <w:pPr>
              <w:spacing w:after="0"/>
              <w:rPr>
                <w:rFonts w:eastAsia="Times New Roman"/>
                <w:b/>
                <w:bCs/>
                <w:noProof/>
                <w:sz w:val="22"/>
                <w:szCs w:val="22"/>
                <w:lang w:val="en-US"/>
              </w:rPr>
            </w:pPr>
            <w:r w:rsidRPr="008D0BAC">
              <w:rPr>
                <w:rFonts w:eastAsia="Times New Roman"/>
                <w:b/>
                <w:bCs/>
                <w:noProof/>
                <w:sz w:val="22"/>
                <w:szCs w:val="22"/>
                <w:lang w:val="en-US"/>
              </w:rPr>
              <w:t xml:space="preserve">NPV baseline (EUR </w:t>
            </w:r>
            <w:r w:rsidR="00A33538" w:rsidRPr="008D0BAC">
              <w:rPr>
                <w:rFonts w:eastAsia="Times New Roman"/>
                <w:b/>
                <w:bCs/>
                <w:noProof/>
                <w:sz w:val="22"/>
                <w:szCs w:val="22"/>
                <w:lang w:val="en-US"/>
              </w:rPr>
              <w:t>m</w:t>
            </w:r>
            <w:r w:rsidRPr="008D0BAC">
              <w:rPr>
                <w:rFonts w:eastAsia="Times New Roman"/>
                <w:b/>
                <w:bCs/>
                <w:noProof/>
                <w:sz w:val="22"/>
                <w:szCs w:val="22"/>
                <w:lang w:val="en-US"/>
              </w:rPr>
              <w:t>)</w:t>
            </w:r>
          </w:p>
        </w:tc>
        <w:tc>
          <w:tcPr>
            <w:tcW w:w="475" w:type="pct"/>
            <w:shd w:val="clear" w:color="auto" w:fill="FFFFFF" w:themeFill="background1"/>
            <w:noWrap/>
            <w:hideMark/>
          </w:tcPr>
          <w:p w14:paraId="1323DAF8" w14:textId="7AAC6D6D" w:rsidR="008D15EE" w:rsidRPr="00222B39" w:rsidRDefault="00A33538">
            <w:pPr>
              <w:spacing w:after="0"/>
              <w:rPr>
                <w:rFonts w:eastAsia="Times New Roman"/>
                <w:noProof/>
                <w:sz w:val="22"/>
                <w:szCs w:val="22"/>
                <w:lang w:val="en-US"/>
              </w:rPr>
            </w:pPr>
            <w:r>
              <w:rPr>
                <w:rFonts w:eastAsia="Times New Roman"/>
                <w:bCs/>
                <w:noProof/>
                <w:sz w:val="22"/>
                <w:szCs w:val="22"/>
                <w:lang w:val="en-US"/>
              </w:rPr>
              <w:t>58.32</w:t>
            </w:r>
          </w:p>
        </w:tc>
        <w:tc>
          <w:tcPr>
            <w:tcW w:w="2513" w:type="pct"/>
            <w:gridSpan w:val="2"/>
            <w:shd w:val="clear" w:color="auto" w:fill="FFFFFF" w:themeFill="background1"/>
            <w:noWrap/>
            <w:vAlign w:val="bottom"/>
            <w:hideMark/>
          </w:tcPr>
          <w:p w14:paraId="619424B3" w14:textId="4176F2C5" w:rsidR="008D15EE" w:rsidRPr="008D0BAC" w:rsidRDefault="00A33538">
            <w:pPr>
              <w:spacing w:after="0"/>
              <w:rPr>
                <w:rFonts w:eastAsia="Times New Roman"/>
                <w:b/>
                <w:noProof/>
                <w:sz w:val="22"/>
                <w:szCs w:val="22"/>
                <w:lang w:val="en-US"/>
              </w:rPr>
            </w:pPr>
            <w:r w:rsidRPr="008D0BAC">
              <w:rPr>
                <w:rFonts w:eastAsia="Times New Roman"/>
                <w:b/>
                <w:noProof/>
                <w:sz w:val="22"/>
                <w:szCs w:val="22"/>
                <w:lang w:val="en-US"/>
              </w:rPr>
              <w:t>Economic benefits</w:t>
            </w:r>
            <w:r w:rsidR="008D15EE" w:rsidRPr="008D0BAC">
              <w:rPr>
                <w:rFonts w:eastAsia="Times New Roman"/>
                <w:b/>
                <w:noProof/>
                <w:sz w:val="22"/>
                <w:szCs w:val="22"/>
                <w:lang w:val="en-US"/>
              </w:rPr>
              <w:t xml:space="preserve"> per project (EUR </w:t>
            </w:r>
            <w:r w:rsidRPr="008D0BAC">
              <w:rPr>
                <w:rFonts w:eastAsia="Times New Roman"/>
                <w:b/>
                <w:noProof/>
                <w:sz w:val="22"/>
                <w:szCs w:val="22"/>
                <w:lang w:val="en-US"/>
              </w:rPr>
              <w:t>m</w:t>
            </w:r>
            <w:r w:rsidR="008D15EE" w:rsidRPr="008D0BAC">
              <w:rPr>
                <w:rFonts w:eastAsia="Times New Roman"/>
                <w:b/>
                <w:noProof/>
                <w:sz w:val="22"/>
                <w:szCs w:val="22"/>
                <w:lang w:val="en-US"/>
              </w:rPr>
              <w:t>)</w:t>
            </w:r>
          </w:p>
          <w:p w14:paraId="0B50C13F" w14:textId="77777777" w:rsidR="008D15EE" w:rsidRPr="001921FC" w:rsidRDefault="008D15EE">
            <w:pPr>
              <w:spacing w:after="0"/>
              <w:rPr>
                <w:rFonts w:eastAsia="Times New Roman"/>
                <w:noProof/>
                <w:sz w:val="22"/>
                <w:szCs w:val="22"/>
                <w:lang w:val="en-US"/>
              </w:rPr>
            </w:pPr>
            <w:r w:rsidRPr="008D0BAC">
              <w:rPr>
                <w:rFonts w:eastAsia="Times New Roman"/>
                <w:b/>
                <w:noProof/>
                <w:sz w:val="22"/>
                <w:szCs w:val="22"/>
                <w:lang w:val="en-US"/>
              </w:rPr>
              <w:t>Timeline reduction of 6 months</w:t>
            </w:r>
          </w:p>
        </w:tc>
      </w:tr>
      <w:tr w:rsidR="008D15EE" w:rsidRPr="0007547C" w14:paraId="6627FEB2" w14:textId="77777777" w:rsidTr="00872EB7">
        <w:trPr>
          <w:trHeight w:val="290"/>
        </w:trPr>
        <w:tc>
          <w:tcPr>
            <w:tcW w:w="2012" w:type="pct"/>
            <w:shd w:val="clear" w:color="auto" w:fill="FFFFFF" w:themeFill="background1"/>
            <w:noWrap/>
            <w:vAlign w:val="bottom"/>
            <w:hideMark/>
          </w:tcPr>
          <w:p w14:paraId="39A1F2A2" w14:textId="09E8008B" w:rsidR="008D15EE" w:rsidRPr="001921FC" w:rsidRDefault="008D15EE">
            <w:pPr>
              <w:spacing w:after="0"/>
              <w:rPr>
                <w:rFonts w:eastAsia="Times New Roman"/>
                <w:noProof/>
                <w:sz w:val="22"/>
                <w:szCs w:val="22"/>
                <w:lang w:val="en-US"/>
              </w:rPr>
            </w:pPr>
            <w:r w:rsidRPr="008D0BAC">
              <w:rPr>
                <w:rFonts w:eastAsia="Times New Roman"/>
                <w:b/>
                <w:bCs/>
                <w:noProof/>
                <w:sz w:val="22"/>
                <w:szCs w:val="22"/>
                <w:lang w:val="en-US"/>
              </w:rPr>
              <w:t xml:space="preserve">NPV after PM implementation (EUR </w:t>
            </w:r>
            <w:r w:rsidR="00A33538" w:rsidRPr="008D0BAC">
              <w:rPr>
                <w:rFonts w:eastAsia="Times New Roman"/>
                <w:b/>
                <w:bCs/>
                <w:noProof/>
                <w:sz w:val="22"/>
                <w:szCs w:val="22"/>
                <w:lang w:val="en-US"/>
              </w:rPr>
              <w:t>m</w:t>
            </w:r>
            <w:r w:rsidR="00A33538">
              <w:rPr>
                <w:rFonts w:eastAsia="Times New Roman"/>
                <w:bCs/>
                <w:noProof/>
                <w:sz w:val="22"/>
                <w:szCs w:val="22"/>
                <w:lang w:val="en-US"/>
              </w:rPr>
              <w:t>)</w:t>
            </w:r>
          </w:p>
        </w:tc>
        <w:tc>
          <w:tcPr>
            <w:tcW w:w="475" w:type="pct"/>
            <w:shd w:val="clear" w:color="auto" w:fill="FFFFFF" w:themeFill="background1"/>
            <w:noWrap/>
            <w:vAlign w:val="bottom"/>
            <w:hideMark/>
          </w:tcPr>
          <w:p w14:paraId="14E600F4" w14:textId="2F9E25A4" w:rsidR="008D15EE" w:rsidRPr="00222B39" w:rsidRDefault="00A33538">
            <w:pPr>
              <w:spacing w:after="0"/>
              <w:rPr>
                <w:rFonts w:eastAsia="Times New Roman"/>
                <w:noProof/>
                <w:sz w:val="22"/>
                <w:szCs w:val="22"/>
                <w:lang w:val="en-US"/>
              </w:rPr>
            </w:pPr>
            <w:r>
              <w:rPr>
                <w:rFonts w:eastAsia="Times New Roman"/>
                <w:bCs/>
                <w:noProof/>
                <w:sz w:val="22"/>
                <w:szCs w:val="22"/>
                <w:lang w:val="en-US"/>
              </w:rPr>
              <w:t>64.74</w:t>
            </w:r>
          </w:p>
        </w:tc>
        <w:tc>
          <w:tcPr>
            <w:tcW w:w="1433" w:type="pct"/>
            <w:shd w:val="clear" w:color="auto" w:fill="FFFFFF" w:themeFill="background1"/>
            <w:noWrap/>
            <w:hideMark/>
          </w:tcPr>
          <w:p w14:paraId="56BF4AC9" w14:textId="66FD2F20" w:rsidR="008D15EE" w:rsidRPr="00F41D93" w:rsidRDefault="00A33538">
            <w:pPr>
              <w:spacing w:after="0"/>
              <w:rPr>
                <w:rFonts w:eastAsia="Times New Roman"/>
                <w:bCs/>
                <w:noProof/>
                <w:sz w:val="22"/>
                <w:szCs w:val="22"/>
                <w:lang w:val="en-US"/>
              </w:rPr>
            </w:pPr>
            <w:r w:rsidRPr="009F74E7">
              <w:rPr>
                <w:noProof/>
                <w:sz w:val="22"/>
                <w:szCs w:val="22"/>
              </w:rPr>
              <w:t>6.42</w:t>
            </w:r>
          </w:p>
        </w:tc>
        <w:tc>
          <w:tcPr>
            <w:tcW w:w="1080" w:type="pct"/>
            <w:shd w:val="clear" w:color="auto" w:fill="FFFFFF" w:themeFill="background1"/>
            <w:noWrap/>
            <w:hideMark/>
          </w:tcPr>
          <w:p w14:paraId="03A4D910" w14:textId="3C09D79F" w:rsidR="008D15EE" w:rsidRPr="00F41D93" w:rsidRDefault="00A33538">
            <w:pPr>
              <w:spacing w:after="0"/>
              <w:rPr>
                <w:rFonts w:eastAsia="Times New Roman"/>
                <w:i/>
                <w:noProof/>
                <w:sz w:val="22"/>
                <w:szCs w:val="22"/>
                <w:lang w:val="en-US"/>
              </w:rPr>
            </w:pPr>
            <w:r w:rsidRPr="009F74E7">
              <w:rPr>
                <w:noProof/>
                <w:sz w:val="22"/>
                <w:szCs w:val="22"/>
              </w:rPr>
              <w:t>11</w:t>
            </w:r>
            <w:r w:rsidR="008D15EE" w:rsidRPr="009F74E7">
              <w:rPr>
                <w:noProof/>
                <w:sz w:val="22"/>
                <w:szCs w:val="22"/>
              </w:rPr>
              <w:t>%</w:t>
            </w:r>
          </w:p>
        </w:tc>
      </w:tr>
    </w:tbl>
    <w:p w14:paraId="64A7F2C8" w14:textId="341856D5" w:rsidR="00872EB7" w:rsidRDefault="00872EB7" w:rsidP="00872EB7">
      <w:pPr>
        <w:spacing w:before="240"/>
        <w:rPr>
          <w:noProof/>
        </w:rPr>
      </w:pPr>
      <w:r w:rsidRPr="0007748B">
        <w:rPr>
          <w:noProof/>
        </w:rPr>
        <w:t xml:space="preserve">Beyond the quantified </w:t>
      </w:r>
      <w:r>
        <w:rPr>
          <w:noProof/>
        </w:rPr>
        <w:t>impact</w:t>
      </w:r>
      <w:r w:rsidRPr="0007748B">
        <w:rPr>
          <w:noProof/>
        </w:rPr>
        <w:t xml:space="preserve">, the measure is also expected to generate additional direct benefits such as improved information for operators and authorities, reduced administrative friction, and greater market efficiency through more consistent and predictable interactions with permitting bodies. These impacts </w:t>
      </w:r>
      <w:r>
        <w:rPr>
          <w:noProof/>
        </w:rPr>
        <w:t xml:space="preserve">can be considered administrative </w:t>
      </w:r>
      <w:r w:rsidRPr="0007748B">
        <w:rPr>
          <w:noProof/>
        </w:rPr>
        <w:t>cost savings,</w:t>
      </w:r>
      <w:r>
        <w:rPr>
          <w:noProof/>
        </w:rPr>
        <w:t xml:space="preserve"> </w:t>
      </w:r>
      <w:r w:rsidRPr="0007748B">
        <w:rPr>
          <w:noProof/>
        </w:rPr>
        <w:t>improved information</w:t>
      </w:r>
      <w:r>
        <w:rPr>
          <w:noProof/>
        </w:rPr>
        <w:t xml:space="preserve"> </w:t>
      </w:r>
      <w:r w:rsidRPr="0007748B">
        <w:rPr>
          <w:noProof/>
        </w:rPr>
        <w:t xml:space="preserve">and </w:t>
      </w:r>
      <w:r>
        <w:rPr>
          <w:noProof/>
        </w:rPr>
        <w:t>better</w:t>
      </w:r>
      <w:r w:rsidRPr="0007748B">
        <w:rPr>
          <w:noProof/>
        </w:rPr>
        <w:t xml:space="preserve"> market efficiency</w:t>
      </w:r>
      <w:r>
        <w:rPr>
          <w:noProof/>
        </w:rPr>
        <w:t>, under the Better Regulation</w:t>
      </w:r>
      <w:r w:rsidRPr="0007748B">
        <w:rPr>
          <w:noProof/>
        </w:rPr>
        <w:t xml:space="preserve">. </w:t>
      </w:r>
      <w:r w:rsidR="002A41EA">
        <w:rPr>
          <w:noProof/>
        </w:rPr>
        <w:t>They</w:t>
      </w:r>
      <w:r w:rsidR="002A41EA" w:rsidRPr="00457E74">
        <w:rPr>
          <w:noProof/>
        </w:rPr>
        <w:t xml:space="preserve"> are not monetised because </w:t>
      </w:r>
      <w:r w:rsidR="002A41EA">
        <w:rPr>
          <w:noProof/>
        </w:rPr>
        <w:t>of their</w:t>
      </w:r>
      <w:r w:rsidR="002A41EA" w:rsidRPr="00457E74">
        <w:rPr>
          <w:noProof/>
        </w:rPr>
        <w:t xml:space="preserve"> smaller scale </w:t>
      </w:r>
      <w:r w:rsidR="002A41EA">
        <w:rPr>
          <w:noProof/>
        </w:rPr>
        <w:t xml:space="preserve">compared to the efficiency gains captured through the NPV differences. </w:t>
      </w:r>
    </w:p>
    <w:p w14:paraId="26BC2953" w14:textId="5AF686F1" w:rsidR="00C15654" w:rsidRPr="0007748B" w:rsidRDefault="00C15654" w:rsidP="00C15654">
      <w:pPr>
        <w:pStyle w:val="Text1"/>
        <w:ind w:left="0"/>
        <w:rPr>
          <w:noProof/>
        </w:rPr>
      </w:pPr>
      <w:r>
        <w:rPr>
          <w:noProof/>
        </w:rPr>
        <w:t xml:space="preserve">Total </w:t>
      </w:r>
      <w:r w:rsidR="00C955BE">
        <w:rPr>
          <w:noProof/>
        </w:rPr>
        <w:t xml:space="preserve">direct </w:t>
      </w:r>
      <w:r>
        <w:rPr>
          <w:noProof/>
        </w:rPr>
        <w:t>economic benefits for data centre operators under PM</w:t>
      </w:r>
      <w:r w:rsidR="00543CE2">
        <w:rPr>
          <w:noProof/>
        </w:rPr>
        <w:t>4</w:t>
      </w:r>
      <w:r>
        <w:rPr>
          <w:noProof/>
        </w:rPr>
        <w:t xml:space="preserve"> are thus estimated at EUR </w:t>
      </w:r>
      <w:r w:rsidR="00543CE2">
        <w:rPr>
          <w:noProof/>
        </w:rPr>
        <w:t>4</w:t>
      </w:r>
      <w:r>
        <w:rPr>
          <w:noProof/>
        </w:rPr>
        <w:t>.</w:t>
      </w:r>
      <w:r w:rsidR="00543CE2">
        <w:rPr>
          <w:noProof/>
        </w:rPr>
        <w:t>6</w:t>
      </w:r>
      <w:r>
        <w:rPr>
          <w:noProof/>
        </w:rPr>
        <w:t xml:space="preserve"> </w:t>
      </w:r>
      <w:r w:rsidR="00543CE2">
        <w:rPr>
          <w:noProof/>
        </w:rPr>
        <w:t>bn</w:t>
      </w:r>
      <w:r>
        <w:rPr>
          <w:noProof/>
        </w:rPr>
        <w:t xml:space="preserve"> (NPV, 10-years)</w:t>
      </w:r>
    </w:p>
    <w:p w14:paraId="178DDD09" w14:textId="5E354C8C" w:rsidR="008D15EE" w:rsidRPr="0007547C" w:rsidRDefault="008D15EE" w:rsidP="00C73124">
      <w:pPr>
        <w:spacing w:before="240"/>
        <w:rPr>
          <w:noProof/>
        </w:rPr>
      </w:pPr>
      <w:r w:rsidRPr="294AF3FA">
        <w:rPr>
          <w:b/>
          <w:bCs/>
          <w:i/>
          <w:iCs/>
          <w:noProof/>
        </w:rPr>
        <w:t>Adjustment</w:t>
      </w:r>
      <w:r w:rsidRPr="294AF3FA">
        <w:rPr>
          <w:rFonts w:eastAsia="Times New Roman"/>
          <w:b/>
          <w:bCs/>
          <w:i/>
          <w:iCs/>
          <w:noProof/>
        </w:rPr>
        <w:t xml:space="preserve"> </w:t>
      </w:r>
      <w:r w:rsidR="00B045D7">
        <w:rPr>
          <w:rFonts w:eastAsia="Times New Roman"/>
          <w:b/>
          <w:bCs/>
          <w:i/>
          <w:iCs/>
          <w:noProof/>
        </w:rPr>
        <w:t xml:space="preserve">and enforcement </w:t>
      </w:r>
      <w:r w:rsidRPr="294AF3FA">
        <w:rPr>
          <w:rFonts w:eastAsia="Times New Roman"/>
          <w:b/>
          <w:bCs/>
          <w:i/>
          <w:iCs/>
          <w:noProof/>
        </w:rPr>
        <w:t>costs for national public authorities.</w:t>
      </w:r>
      <w:r w:rsidRPr="294AF3FA">
        <w:rPr>
          <w:b/>
          <w:bCs/>
          <w:i/>
          <w:iCs/>
          <w:noProof/>
        </w:rPr>
        <w:t xml:space="preserve"> </w:t>
      </w:r>
      <w:r w:rsidRPr="0007547C">
        <w:rPr>
          <w:noProof/>
        </w:rPr>
        <w:t xml:space="preserve">National authorities </w:t>
      </w:r>
      <w:r w:rsidR="00110A0A">
        <w:rPr>
          <w:noProof/>
        </w:rPr>
        <w:t>are expected to</w:t>
      </w:r>
      <w:r w:rsidRPr="0007547C">
        <w:rPr>
          <w:noProof/>
        </w:rPr>
        <w:t xml:space="preserve"> face one-off </w:t>
      </w:r>
      <w:r w:rsidRPr="0007547C" w:rsidDel="00613124">
        <w:rPr>
          <w:noProof/>
        </w:rPr>
        <w:t xml:space="preserve">adjustment </w:t>
      </w:r>
      <w:r w:rsidRPr="0007547C">
        <w:rPr>
          <w:noProof/>
        </w:rPr>
        <w:t xml:space="preserve">costs to </w:t>
      </w:r>
      <w:r w:rsidR="00E721E4">
        <w:rPr>
          <w:noProof/>
        </w:rPr>
        <w:t xml:space="preserve">comply with this measure and establish the project facilitator. These costs </w:t>
      </w:r>
      <w:r w:rsidR="00435666">
        <w:rPr>
          <w:noProof/>
        </w:rPr>
        <w:t xml:space="preserve">arise to </w:t>
      </w:r>
      <w:r w:rsidRPr="0007547C">
        <w:rPr>
          <w:noProof/>
        </w:rPr>
        <w:t xml:space="preserve">design and implement </w:t>
      </w:r>
      <w:r w:rsidR="00435666">
        <w:rPr>
          <w:noProof/>
        </w:rPr>
        <w:t>streamlined</w:t>
      </w:r>
      <w:r w:rsidRPr="0007547C">
        <w:rPr>
          <w:noProof/>
        </w:rPr>
        <w:t xml:space="preserve"> permitting procedures, designate and staff a </w:t>
      </w:r>
      <w:r w:rsidR="00435666">
        <w:rPr>
          <w:noProof/>
        </w:rPr>
        <w:t>task force</w:t>
      </w:r>
      <w:r w:rsidRPr="0007547C">
        <w:rPr>
          <w:noProof/>
        </w:rPr>
        <w:t xml:space="preserve"> and </w:t>
      </w:r>
      <w:r w:rsidR="00435666">
        <w:rPr>
          <w:noProof/>
        </w:rPr>
        <w:t xml:space="preserve">align responsibilities across </w:t>
      </w:r>
      <w:r w:rsidR="00DB199F">
        <w:rPr>
          <w:noProof/>
        </w:rPr>
        <w:t>relevant authorities</w:t>
      </w:r>
      <w:r w:rsidRPr="0007547C">
        <w:rPr>
          <w:noProof/>
        </w:rPr>
        <w:t>.</w:t>
      </w:r>
      <w:r w:rsidRPr="0007547C" w:rsidDel="009907E9">
        <w:rPr>
          <w:noProof/>
        </w:rPr>
        <w:t xml:space="preserve"> </w:t>
      </w:r>
      <w:r w:rsidRPr="0007547C">
        <w:rPr>
          <w:noProof/>
        </w:rPr>
        <w:t xml:space="preserve">For modelling, a one-off cost of </w:t>
      </w:r>
      <w:r w:rsidR="009907E9">
        <w:rPr>
          <w:noProof/>
        </w:rPr>
        <w:t xml:space="preserve">around </w:t>
      </w:r>
      <w:r>
        <w:rPr>
          <w:noProof/>
        </w:rPr>
        <w:t xml:space="preserve">EUR </w:t>
      </w:r>
      <w:r w:rsidR="009907E9">
        <w:rPr>
          <w:noProof/>
        </w:rPr>
        <w:t>0.4</w:t>
      </w:r>
      <w:r w:rsidR="009907E9" w:rsidRPr="0007547C">
        <w:rPr>
          <w:noProof/>
        </w:rPr>
        <w:t xml:space="preserve"> </w:t>
      </w:r>
      <w:r w:rsidRPr="0007547C">
        <w:rPr>
          <w:noProof/>
        </w:rPr>
        <w:t>million per Member State has been assumed</w:t>
      </w:r>
      <w:r w:rsidR="00DC008B">
        <w:rPr>
          <w:noProof/>
        </w:rPr>
        <w:t xml:space="preserve"> to capture the effort to (i) set up the project facilitator</w:t>
      </w:r>
      <w:r w:rsidR="00EB5F2D">
        <w:rPr>
          <w:noProof/>
        </w:rPr>
        <w:t>, i.e. defining the mandate, governance, allocation of responsibilities and decisions (1 FTE), (ii) staff new people, i.e. initial</w:t>
      </w:r>
      <w:r w:rsidR="0048477F">
        <w:rPr>
          <w:noProof/>
        </w:rPr>
        <w:t xml:space="preserve"> team preparation and training (2 FTEs), (iii) </w:t>
      </w:r>
      <w:r w:rsidR="00872EB7">
        <w:rPr>
          <w:noProof/>
        </w:rPr>
        <w:t>design</w:t>
      </w:r>
      <w:r w:rsidR="0048477F">
        <w:rPr>
          <w:noProof/>
        </w:rPr>
        <w:t xml:space="preserve"> streamlined procedures </w:t>
      </w:r>
      <w:r w:rsidR="00872EB7">
        <w:rPr>
          <w:noProof/>
        </w:rPr>
        <w:t>and</w:t>
      </w:r>
      <w:r w:rsidR="0048477F">
        <w:rPr>
          <w:noProof/>
        </w:rPr>
        <w:t xml:space="preserve"> guidelines (</w:t>
      </w:r>
      <w:r w:rsidR="00CD679E">
        <w:rPr>
          <w:noProof/>
        </w:rPr>
        <w:t xml:space="preserve">1 FTE) and (iv) coordinate effectively among different authorities, i.e. meet with relevant ministries, agencies, authorities and other bodies, as well as secretariat support (2 FTEs). This cost corresponds to a total </w:t>
      </w:r>
      <w:r w:rsidR="008D4FC6">
        <w:rPr>
          <w:noProof/>
        </w:rPr>
        <w:t xml:space="preserve">effort </w:t>
      </w:r>
      <w:r w:rsidR="00CD679E">
        <w:rPr>
          <w:noProof/>
        </w:rPr>
        <w:t>of 6 FTEs</w:t>
      </w:r>
      <w:r w:rsidR="007F5CC0">
        <w:rPr>
          <w:noProof/>
        </w:rPr>
        <w:t xml:space="preserve"> </w:t>
      </w:r>
      <w:r w:rsidR="008D4FC6">
        <w:rPr>
          <w:noProof/>
        </w:rPr>
        <w:t>to enable the measure’s</w:t>
      </w:r>
      <w:r w:rsidR="007F5CC0">
        <w:rPr>
          <w:noProof/>
        </w:rPr>
        <w:t xml:space="preserve"> </w:t>
      </w:r>
      <w:r w:rsidR="008D4FC6">
        <w:rPr>
          <w:noProof/>
        </w:rPr>
        <w:t>organisational design, workflow streamlining, initial staffing and coordination with other authorities. To reflect differences in</w:t>
      </w:r>
      <w:r w:rsidRPr="0007547C">
        <w:rPr>
          <w:noProof/>
        </w:rPr>
        <w:t xml:space="preserve"> territorial complexity </w:t>
      </w:r>
      <w:r w:rsidR="008D4FC6">
        <w:rPr>
          <w:noProof/>
        </w:rPr>
        <w:t>and</w:t>
      </w:r>
      <w:r w:rsidRPr="0007547C">
        <w:rPr>
          <w:noProof/>
        </w:rPr>
        <w:t xml:space="preserve"> the number of administrative regions involved</w:t>
      </w:r>
      <w:r w:rsidR="008D4FC6">
        <w:rPr>
          <w:noProof/>
        </w:rPr>
        <w:t>, this amount has been uplifted with a</w:t>
      </w:r>
      <w:r w:rsidRPr="0007547C">
        <w:rPr>
          <w:noProof/>
        </w:rPr>
        <w:t xml:space="preserve"> mark-up for each NUTS administrative tier (NUTS 1/2/3)</w:t>
      </w:r>
      <w:r w:rsidR="008D4FC6">
        <w:rPr>
          <w:noProof/>
        </w:rPr>
        <w:t xml:space="preserve">, i.e. </w:t>
      </w:r>
      <w:r w:rsidRPr="0007547C">
        <w:rPr>
          <w:noProof/>
        </w:rPr>
        <w:t xml:space="preserve">+ </w:t>
      </w:r>
      <w:r>
        <w:rPr>
          <w:noProof/>
        </w:rPr>
        <w:t xml:space="preserve">EUR </w:t>
      </w:r>
      <w:r w:rsidRPr="0007547C">
        <w:rPr>
          <w:noProof/>
        </w:rPr>
        <w:t>0.05</w:t>
      </w:r>
      <w:r w:rsidR="008D4FC6">
        <w:rPr>
          <w:noProof/>
        </w:rPr>
        <w:t>2</w:t>
      </w:r>
      <w:r w:rsidRPr="0007547C">
        <w:rPr>
          <w:noProof/>
        </w:rPr>
        <w:t xml:space="preserve">m per NUTS-1 region, + </w:t>
      </w:r>
      <w:r>
        <w:rPr>
          <w:noProof/>
        </w:rPr>
        <w:t xml:space="preserve">EUR </w:t>
      </w:r>
      <w:r w:rsidRPr="0007547C">
        <w:rPr>
          <w:noProof/>
        </w:rPr>
        <w:t>0.</w:t>
      </w:r>
      <w:r w:rsidR="008D4FC6" w:rsidRPr="0007547C">
        <w:rPr>
          <w:noProof/>
        </w:rPr>
        <w:t>0</w:t>
      </w:r>
      <w:r w:rsidR="008D4FC6">
        <w:rPr>
          <w:noProof/>
        </w:rPr>
        <w:t>1</w:t>
      </w:r>
      <w:r w:rsidR="008D4FC6" w:rsidRPr="0007547C">
        <w:rPr>
          <w:noProof/>
        </w:rPr>
        <w:t>m</w:t>
      </w:r>
      <w:r w:rsidRPr="0007547C">
        <w:rPr>
          <w:noProof/>
        </w:rPr>
        <w:t xml:space="preserve"> per NUTS-2 region, + </w:t>
      </w:r>
      <w:r>
        <w:rPr>
          <w:noProof/>
        </w:rPr>
        <w:t xml:space="preserve">EUR </w:t>
      </w:r>
      <w:r w:rsidRPr="0007547C">
        <w:rPr>
          <w:noProof/>
        </w:rPr>
        <w:t>0.</w:t>
      </w:r>
      <w:r w:rsidR="008D4FC6" w:rsidRPr="0007547C">
        <w:rPr>
          <w:noProof/>
        </w:rPr>
        <w:t>0</w:t>
      </w:r>
      <w:r w:rsidR="008D4FC6">
        <w:rPr>
          <w:noProof/>
        </w:rPr>
        <w:t xml:space="preserve">05 </w:t>
      </w:r>
      <w:r w:rsidR="008D4FC6" w:rsidRPr="0007547C">
        <w:rPr>
          <w:noProof/>
        </w:rPr>
        <w:t>m</w:t>
      </w:r>
      <w:r w:rsidRPr="0007547C">
        <w:rPr>
          <w:noProof/>
        </w:rPr>
        <w:t xml:space="preserve"> per NUTS-3 region</w:t>
      </w:r>
      <w:r w:rsidRPr="0007547C">
        <w:rPr>
          <w:rStyle w:val="FootnoteReference"/>
          <w:noProof/>
        </w:rPr>
        <w:footnoteReference w:id="48"/>
      </w:r>
      <w:r w:rsidRPr="0007547C">
        <w:rPr>
          <w:noProof/>
        </w:rPr>
        <w:t xml:space="preserve">. </w:t>
      </w:r>
    </w:p>
    <w:p w14:paraId="2D021EFB" w14:textId="44C53967" w:rsidR="00D97897" w:rsidRDefault="008D15EE" w:rsidP="00D97897">
      <w:pPr>
        <w:rPr>
          <w:noProof/>
        </w:rPr>
      </w:pPr>
      <w:r w:rsidRPr="0007547C">
        <w:rPr>
          <w:noProof/>
        </w:rPr>
        <w:t>The</w:t>
      </w:r>
      <w:r w:rsidRPr="0007547C" w:rsidDel="00054658">
        <w:rPr>
          <w:noProof/>
        </w:rPr>
        <w:t xml:space="preserve"> </w:t>
      </w:r>
      <w:r w:rsidRPr="0007547C">
        <w:rPr>
          <w:noProof/>
        </w:rPr>
        <w:t>measure</w:t>
      </w:r>
      <w:r w:rsidR="00054658">
        <w:rPr>
          <w:noProof/>
        </w:rPr>
        <w:t xml:space="preserve"> would also</w:t>
      </w:r>
      <w:r w:rsidRPr="0007547C">
        <w:rPr>
          <w:noProof/>
        </w:rPr>
        <w:t xml:space="preserve"> entail recurrent </w:t>
      </w:r>
      <w:r w:rsidR="000E7871">
        <w:rPr>
          <w:noProof/>
        </w:rPr>
        <w:t xml:space="preserve">enforcement </w:t>
      </w:r>
      <w:r w:rsidRPr="0007547C">
        <w:rPr>
          <w:noProof/>
        </w:rPr>
        <w:t>costs for national authorities</w:t>
      </w:r>
      <w:r w:rsidR="000E7871">
        <w:rPr>
          <w:noProof/>
        </w:rPr>
        <w:t xml:space="preserve">, reflecting the operations of the project facilitator and task force once established. These include staff time for coordinating with competent authorities, handling applications, maintaining harmonised workflows and acting as a central interface for data centre </w:t>
      </w:r>
      <w:r w:rsidR="00693EE1">
        <w:rPr>
          <w:noProof/>
        </w:rPr>
        <w:t>projects</w:t>
      </w:r>
      <w:r w:rsidR="000E7871">
        <w:rPr>
          <w:noProof/>
        </w:rPr>
        <w:t xml:space="preserve">. </w:t>
      </w:r>
      <w:r w:rsidRPr="0007547C">
        <w:rPr>
          <w:noProof/>
        </w:rPr>
        <w:t xml:space="preserve">These costs are mainly staff-time-based, assuming </w:t>
      </w:r>
      <w:r w:rsidR="008175AF">
        <w:rPr>
          <w:noProof/>
        </w:rPr>
        <w:t>4</w:t>
      </w:r>
      <w:r w:rsidR="00122EBF" w:rsidRPr="0007547C">
        <w:rPr>
          <w:noProof/>
        </w:rPr>
        <w:t xml:space="preserve"> </w:t>
      </w:r>
      <w:r w:rsidRPr="0007547C">
        <w:rPr>
          <w:noProof/>
        </w:rPr>
        <w:t>FTEs/year.</w:t>
      </w:r>
      <w:r w:rsidR="00107B83" w:rsidRPr="00107B83">
        <w:rPr>
          <w:noProof/>
        </w:rPr>
        <w:t xml:space="preserve"> </w:t>
      </w:r>
      <w:r w:rsidR="00107B83" w:rsidRPr="002D4688">
        <w:rPr>
          <w:noProof/>
        </w:rPr>
        <w:t xml:space="preserve">The total EU-wide </w:t>
      </w:r>
      <w:r w:rsidR="00107B83">
        <w:rPr>
          <w:noProof/>
        </w:rPr>
        <w:t>costs</w:t>
      </w:r>
      <w:r w:rsidR="00107B83" w:rsidRPr="002D4688">
        <w:rPr>
          <w:noProof/>
        </w:rPr>
        <w:t xml:space="preserve"> are obtained by multiplying Member State–level savings by the </w:t>
      </w:r>
      <w:r w:rsidR="00107B83">
        <w:rPr>
          <w:noProof/>
        </w:rPr>
        <w:t>total number of</w:t>
      </w:r>
      <w:r w:rsidR="00107B83" w:rsidRPr="002D4688">
        <w:rPr>
          <w:noProof/>
        </w:rPr>
        <w:t xml:space="preserve"> Member States.</w:t>
      </w:r>
    </w:p>
    <w:p w14:paraId="6DCC58B8" w14:textId="7E8306E2" w:rsidR="00D97897" w:rsidRDefault="00D97897" w:rsidP="00D97897">
      <w:pPr>
        <w:pStyle w:val="Text1"/>
        <w:ind w:left="0"/>
        <w:rPr>
          <w:noProof/>
        </w:rPr>
      </w:pPr>
      <w:r>
        <w:rPr>
          <w:noProof/>
        </w:rPr>
        <w:t xml:space="preserve">Total costs </w:t>
      </w:r>
      <w:r w:rsidR="009F170E">
        <w:rPr>
          <w:noProof/>
        </w:rPr>
        <w:t xml:space="preserve">(one-off adjustment and recurrent enforcement) </w:t>
      </w:r>
      <w:r>
        <w:rPr>
          <w:noProof/>
        </w:rPr>
        <w:t xml:space="preserve">for national public authorities under PM4 are thus estimated at EUR </w:t>
      </w:r>
      <w:r w:rsidR="00807A7D">
        <w:rPr>
          <w:noProof/>
        </w:rPr>
        <w:t>78</w:t>
      </w:r>
      <w:r>
        <w:rPr>
          <w:noProof/>
        </w:rPr>
        <w:t>.</w:t>
      </w:r>
      <w:r w:rsidR="00807A7D">
        <w:rPr>
          <w:noProof/>
        </w:rPr>
        <w:t>9</w:t>
      </w:r>
      <w:r>
        <w:rPr>
          <w:noProof/>
        </w:rPr>
        <w:t xml:space="preserve"> m (NPV, 10-years). </w:t>
      </w:r>
    </w:p>
    <w:p w14:paraId="2295F8B6" w14:textId="61714BC2" w:rsidR="00585359" w:rsidRDefault="00585359" w:rsidP="00D97897">
      <w:pPr>
        <w:pStyle w:val="Text1"/>
        <w:ind w:left="0"/>
        <w:rPr>
          <w:noProof/>
        </w:rPr>
      </w:pPr>
      <w:r>
        <w:rPr>
          <w:noProof/>
        </w:rPr>
        <w:t>It is important to underline that this estimate represents a worst case scenario in which authorities would need to establish a dedicated team from scratch, whereas in practice Member States may rely on existing resources under the Gigabit Infrastructure Act, including by designating a single information point established under Regulation (EU) 2024/1309, with the relevant functions, procedures and mechanisms applying accordingly.</w:t>
      </w:r>
    </w:p>
    <w:p w14:paraId="21A5DCED" w14:textId="68DDBA84" w:rsidR="008D15EE" w:rsidRPr="00F70E5C" w:rsidRDefault="008D15EE" w:rsidP="00D97897">
      <w:pPr>
        <w:rPr>
          <w:noProof/>
          <w:lang w:val="en-IE"/>
        </w:rPr>
      </w:pPr>
      <w:r w:rsidRPr="001A66D1">
        <w:rPr>
          <w:b/>
          <w:i/>
          <w:noProof/>
          <w:lang w:val="en-IE"/>
        </w:rPr>
        <w:t xml:space="preserve">Administrative </w:t>
      </w:r>
      <w:r w:rsidR="00107B83">
        <w:rPr>
          <w:b/>
          <w:i/>
          <w:noProof/>
          <w:lang w:val="en-IE"/>
        </w:rPr>
        <w:t>cost</w:t>
      </w:r>
      <w:r w:rsidRPr="001A66D1">
        <w:rPr>
          <w:b/>
          <w:i/>
          <w:noProof/>
          <w:lang w:val="en-IE"/>
        </w:rPr>
        <w:t xml:space="preserve"> savings for national public authorities.</w:t>
      </w:r>
      <w:r>
        <w:rPr>
          <w:noProof/>
          <w:lang w:val="en-IE"/>
        </w:rPr>
        <w:t xml:space="preserve"> R</w:t>
      </w:r>
      <w:r w:rsidRPr="003401EC">
        <w:rPr>
          <w:noProof/>
          <w:lang w:val="en-IE"/>
        </w:rPr>
        <w:t xml:space="preserve">ecurrent savings </w:t>
      </w:r>
      <w:r>
        <w:rPr>
          <w:noProof/>
          <w:lang w:val="en-IE"/>
        </w:rPr>
        <w:t xml:space="preserve">for national public authorities should </w:t>
      </w:r>
      <w:r w:rsidRPr="003401EC">
        <w:rPr>
          <w:noProof/>
          <w:lang w:val="en-IE"/>
        </w:rPr>
        <w:t>stem from administrative simplifications</w:t>
      </w:r>
      <w:r>
        <w:rPr>
          <w:noProof/>
          <w:lang w:val="en-IE"/>
        </w:rPr>
        <w:t xml:space="preserve"> given the assumed reduction of </w:t>
      </w:r>
      <w:r w:rsidRPr="003401EC">
        <w:rPr>
          <w:noProof/>
          <w:lang w:val="en-IE"/>
        </w:rPr>
        <w:t xml:space="preserve">parallel </w:t>
      </w:r>
      <w:r>
        <w:rPr>
          <w:noProof/>
          <w:lang w:val="en-IE"/>
        </w:rPr>
        <w:t>processing and fewer back-</w:t>
      </w:r>
      <w:r w:rsidR="00107B83">
        <w:rPr>
          <w:noProof/>
          <w:lang w:val="en-IE"/>
        </w:rPr>
        <w:t>and-</w:t>
      </w:r>
      <w:r>
        <w:rPr>
          <w:noProof/>
          <w:lang w:val="en-IE"/>
        </w:rPr>
        <w:t xml:space="preserve">forth interactions between authorities and with economic operators. </w:t>
      </w:r>
      <w:r w:rsidR="00DD2A3A" w:rsidRPr="00DD2A3A">
        <w:rPr>
          <w:noProof/>
        </w:rPr>
        <w:t xml:space="preserve">In the baseline, permit applications are processed through multiple parallel channels, with each authority devoting staff time to separate contacts, repeated information requests and uncoordinated reviews. Under the new set-up, a dedicated facilitator team </w:t>
      </w:r>
      <w:r w:rsidR="00DD2A3A">
        <w:rPr>
          <w:noProof/>
        </w:rPr>
        <w:t xml:space="preserve">would </w:t>
      </w:r>
      <w:r w:rsidR="00DD2A3A" w:rsidRPr="00DD2A3A">
        <w:rPr>
          <w:noProof/>
        </w:rPr>
        <w:t>coordinate input, standardise documentation and organise joint meetings. As a result,</w:t>
      </w:r>
      <w:r w:rsidR="00024517">
        <w:rPr>
          <w:noProof/>
        </w:rPr>
        <w:t xml:space="preserve"> and based on the</w:t>
      </w:r>
      <w:r w:rsidR="00B02DF8">
        <w:rPr>
          <w:noProof/>
        </w:rPr>
        <w:t xml:space="preserve"> interviews conducted,</w:t>
      </w:r>
      <w:r w:rsidR="00DD2A3A" w:rsidRPr="00DD2A3A">
        <w:rPr>
          <w:noProof/>
        </w:rPr>
        <w:t xml:space="preserve"> the </w:t>
      </w:r>
      <w:r w:rsidR="00DD2A3A" w:rsidRPr="00C674A6">
        <w:rPr>
          <w:noProof/>
        </w:rPr>
        <w:t>total number of staff</w:t>
      </w:r>
      <w:r w:rsidR="00DD2A3A">
        <w:rPr>
          <w:noProof/>
        </w:rPr>
        <w:t xml:space="preserve"> </w:t>
      </w:r>
      <w:r w:rsidR="00DD2A3A" w:rsidRPr="00C674A6">
        <w:rPr>
          <w:noProof/>
        </w:rPr>
        <w:t xml:space="preserve">days required per </w:t>
      </w:r>
      <w:r w:rsidR="00DD2A3A">
        <w:rPr>
          <w:noProof/>
        </w:rPr>
        <w:t>project</w:t>
      </w:r>
      <w:r w:rsidR="00DD2A3A" w:rsidRPr="00C674A6">
        <w:rPr>
          <w:noProof/>
        </w:rPr>
        <w:t xml:space="preserve"> across all authorities is assumed to decrease</w:t>
      </w:r>
      <w:r w:rsidR="00DD2A3A" w:rsidRPr="00DD2A3A">
        <w:rPr>
          <w:noProof/>
        </w:rPr>
        <w:t xml:space="preserve">, even though some of this effort is reallocated. </w:t>
      </w:r>
      <w:r w:rsidRPr="003401EC">
        <w:rPr>
          <w:noProof/>
          <w:lang w:val="en-IE"/>
        </w:rPr>
        <w:t>The figures</w:t>
      </w:r>
      <w:r w:rsidR="00430791">
        <w:rPr>
          <w:noProof/>
          <w:lang w:val="en-IE"/>
        </w:rPr>
        <w:t xml:space="preserve"> used</w:t>
      </w:r>
      <w:r w:rsidRPr="003401EC" w:rsidDel="00363AB1">
        <w:rPr>
          <w:noProof/>
          <w:lang w:val="en-IE"/>
        </w:rPr>
        <w:t xml:space="preserve"> </w:t>
      </w:r>
      <w:r w:rsidR="00363AB1">
        <w:rPr>
          <w:noProof/>
          <w:lang w:val="en-IE"/>
        </w:rPr>
        <w:t>consider</w:t>
      </w:r>
      <w:r w:rsidR="00363AB1" w:rsidRPr="003401EC">
        <w:rPr>
          <w:noProof/>
          <w:lang w:val="en-IE"/>
        </w:rPr>
        <w:t xml:space="preserve"> </w:t>
      </w:r>
      <w:r w:rsidRPr="003401EC">
        <w:rPr>
          <w:noProof/>
          <w:lang w:val="en-IE"/>
        </w:rPr>
        <w:t>that</w:t>
      </w:r>
      <w:r w:rsidR="00467A55">
        <w:rPr>
          <w:noProof/>
          <w:lang w:val="en-IE"/>
        </w:rPr>
        <w:t xml:space="preserve"> </w:t>
      </w:r>
      <w:r w:rsidR="00363AB1">
        <w:rPr>
          <w:noProof/>
          <w:lang w:val="en-IE"/>
        </w:rPr>
        <w:t xml:space="preserve">average processing of </w:t>
      </w:r>
      <w:r w:rsidRPr="003401EC">
        <w:rPr>
          <w:noProof/>
          <w:lang w:val="en-IE"/>
        </w:rPr>
        <w:t>permitting</w:t>
      </w:r>
      <w:r w:rsidR="00363AB1">
        <w:rPr>
          <w:noProof/>
          <w:lang w:val="en-IE"/>
        </w:rPr>
        <w:t xml:space="preserve"> procedures</w:t>
      </w:r>
      <w:r w:rsidRPr="003401EC">
        <w:rPr>
          <w:noProof/>
          <w:lang w:val="en-IE"/>
        </w:rPr>
        <w:t xml:space="preserve"> currently requires around </w:t>
      </w:r>
      <w:r w:rsidR="00FF1EC8">
        <w:rPr>
          <w:noProof/>
          <w:lang w:val="en-IE"/>
        </w:rPr>
        <w:t>8</w:t>
      </w:r>
      <w:r w:rsidR="000746AB">
        <w:rPr>
          <w:noProof/>
          <w:lang w:val="en-IE"/>
        </w:rPr>
        <w:t>0</w:t>
      </w:r>
      <w:r w:rsidR="000746AB" w:rsidRPr="003401EC">
        <w:rPr>
          <w:noProof/>
          <w:lang w:val="en-IE"/>
        </w:rPr>
        <w:t xml:space="preserve"> </w:t>
      </w:r>
      <w:r w:rsidRPr="003401EC">
        <w:rPr>
          <w:noProof/>
          <w:lang w:val="en-IE"/>
        </w:rPr>
        <w:t xml:space="preserve">staff days (or </w:t>
      </w:r>
      <w:r w:rsidR="00FF1EC8">
        <w:rPr>
          <w:noProof/>
          <w:lang w:val="en-IE"/>
        </w:rPr>
        <w:t>20</w:t>
      </w:r>
      <w:r w:rsidR="00FF1EC8" w:rsidRPr="003401EC">
        <w:rPr>
          <w:noProof/>
          <w:lang w:val="en-IE"/>
        </w:rPr>
        <w:t xml:space="preserve"> </w:t>
      </w:r>
      <w:r w:rsidRPr="003401EC">
        <w:rPr>
          <w:noProof/>
          <w:lang w:val="en-IE"/>
        </w:rPr>
        <w:t xml:space="preserve">weeks) per project by each authority. </w:t>
      </w:r>
      <w:r w:rsidRPr="00F70E5C">
        <w:rPr>
          <w:noProof/>
          <w:lang w:val="en-IE"/>
        </w:rPr>
        <w:t xml:space="preserve">Under the measure, process redesign and single-window coordination </w:t>
      </w:r>
      <w:r w:rsidR="00430791">
        <w:rPr>
          <w:noProof/>
          <w:lang w:val="en-IE"/>
        </w:rPr>
        <w:t xml:space="preserve">could </w:t>
      </w:r>
      <w:r w:rsidRPr="00F70E5C">
        <w:rPr>
          <w:noProof/>
          <w:lang w:val="en-IE"/>
        </w:rPr>
        <w:t xml:space="preserve">reduce this by </w:t>
      </w:r>
      <w:r w:rsidRPr="00CF6F0C">
        <w:rPr>
          <w:noProof/>
          <w:lang w:val="en-IE"/>
        </w:rPr>
        <w:t xml:space="preserve">approximately </w:t>
      </w:r>
      <w:r w:rsidR="002C7E11" w:rsidRPr="00CF6F0C">
        <w:rPr>
          <w:noProof/>
          <w:lang w:val="en-IE"/>
        </w:rPr>
        <w:t>20</w:t>
      </w:r>
      <w:r w:rsidR="002F3584" w:rsidRPr="00CF6F0C">
        <w:rPr>
          <w:noProof/>
          <w:lang w:val="en-IE"/>
        </w:rPr>
        <w:t xml:space="preserve"> </w:t>
      </w:r>
      <w:r w:rsidRPr="00CF6F0C">
        <w:rPr>
          <w:noProof/>
          <w:lang w:val="en-IE"/>
        </w:rPr>
        <w:t>staff days</w:t>
      </w:r>
      <w:r w:rsidRPr="00F70E5C">
        <w:rPr>
          <w:noProof/>
          <w:lang w:val="en-IE"/>
        </w:rPr>
        <w:t xml:space="preserve"> per new data centre project</w:t>
      </w:r>
      <w:r w:rsidR="00FE1A9F">
        <w:rPr>
          <w:noProof/>
          <w:lang w:val="en-IE"/>
        </w:rPr>
        <w:t xml:space="preserve"> (15-25 for sensitivity)</w:t>
      </w:r>
      <w:r w:rsidRPr="00F70E5C">
        <w:rPr>
          <w:noProof/>
          <w:lang w:val="en-IE"/>
        </w:rPr>
        <w:t>.</w:t>
      </w:r>
    </w:p>
    <w:p w14:paraId="1B06B378" w14:textId="02A13AED" w:rsidR="002C352B" w:rsidRPr="00F572E4" w:rsidRDefault="002C352B" w:rsidP="00F572E4">
      <w:pPr>
        <w:jc w:val="center"/>
        <w:rPr>
          <w:i/>
          <w:noProof/>
          <w:lang w:val="en-IE" w:bidi="he-IL"/>
        </w:rPr>
      </w:pPr>
      <w:r>
        <w:rPr>
          <w:i/>
          <w:noProof/>
        </w:rPr>
        <w:t>Cost savings</w:t>
      </w:r>
      <w:r>
        <w:rPr>
          <w:i/>
          <w:noProof/>
          <w:vertAlign w:val="subscript"/>
        </w:rPr>
        <w:t>PA</w:t>
      </w:r>
      <w:r w:rsidRPr="0007547C">
        <w:rPr>
          <w:i/>
          <w:noProof/>
        </w:rPr>
        <w:t xml:space="preserve"> = </w:t>
      </w:r>
      <w:r>
        <w:rPr>
          <w:i/>
          <w:noProof/>
        </w:rPr>
        <w:t>ΔT × labour cost × s × No. new projects × No. of MS</w:t>
      </w:r>
    </w:p>
    <w:p w14:paraId="6AD0A6FA" w14:textId="2678C2CA" w:rsidR="00807A7D" w:rsidRDefault="00807A7D" w:rsidP="00807A7D">
      <w:pPr>
        <w:pStyle w:val="Text1"/>
        <w:ind w:left="0"/>
        <w:rPr>
          <w:noProof/>
        </w:rPr>
      </w:pPr>
      <w:r>
        <w:rPr>
          <w:noProof/>
        </w:rPr>
        <w:t xml:space="preserve">Total administrative cost savings for national public authorities under PM4 are thus estimated at EUR </w:t>
      </w:r>
      <w:r w:rsidR="00F05430">
        <w:rPr>
          <w:noProof/>
        </w:rPr>
        <w:t>110</w:t>
      </w:r>
      <w:r w:rsidR="00F87BC4">
        <w:rPr>
          <w:noProof/>
        </w:rPr>
        <w:t>.8</w:t>
      </w:r>
      <w:r>
        <w:rPr>
          <w:noProof/>
        </w:rPr>
        <w:t xml:space="preserve"> m (NPV, 10-years)</w:t>
      </w:r>
    </w:p>
    <w:p w14:paraId="73192405" w14:textId="49E9284E" w:rsidR="008D15EE" w:rsidRPr="000864E8" w:rsidRDefault="008D15EE" w:rsidP="008D15EE">
      <w:pPr>
        <w:pStyle w:val="Text1"/>
        <w:ind w:left="0"/>
        <w:rPr>
          <w:b/>
          <w:bCs/>
          <w:noProof/>
          <w:lang w:val="en-IE"/>
        </w:rPr>
      </w:pPr>
      <w:r w:rsidRPr="000864E8">
        <w:rPr>
          <w:b/>
          <w:bCs/>
          <w:noProof/>
          <w:lang w:val="en-IE"/>
        </w:rPr>
        <w:t xml:space="preserve">Indirect </w:t>
      </w:r>
      <w:r w:rsidR="002C352B">
        <w:rPr>
          <w:b/>
          <w:noProof/>
        </w:rPr>
        <w:t>impact</w:t>
      </w:r>
      <w:r w:rsidRPr="000864E8">
        <w:rPr>
          <w:b/>
          <w:bCs/>
          <w:noProof/>
          <w:lang w:val="en-IE"/>
        </w:rPr>
        <w:t xml:space="preserve">: </w:t>
      </w:r>
      <w:r w:rsidRPr="00B1326A">
        <w:rPr>
          <w:noProof/>
          <w:lang w:val="en-IE"/>
        </w:rPr>
        <w:t xml:space="preserve"> </w:t>
      </w:r>
      <w:r w:rsidR="00F3532D">
        <w:rPr>
          <w:noProof/>
        </w:rPr>
        <w:t>This</w:t>
      </w:r>
      <w:r w:rsidR="00F3532D" w:rsidRPr="00C64326">
        <w:rPr>
          <w:noProof/>
        </w:rPr>
        <w:t xml:space="preserve"> measure </w:t>
      </w:r>
      <w:r w:rsidR="00F3532D">
        <w:rPr>
          <w:noProof/>
        </w:rPr>
        <w:t>is also expected to</w:t>
      </w:r>
      <w:r w:rsidR="00F3532D" w:rsidRPr="00C64326">
        <w:rPr>
          <w:noProof/>
        </w:rPr>
        <w:t xml:space="preserve"> produce wider economic benefits and non-monetary benefits</w:t>
      </w:r>
      <w:r w:rsidR="00F3532D">
        <w:rPr>
          <w:noProof/>
        </w:rPr>
        <w:t xml:space="preserve">, such as </w:t>
      </w:r>
      <w:r w:rsidR="00F3532D" w:rsidRPr="00C64326">
        <w:rPr>
          <w:noProof/>
        </w:rPr>
        <w:t>reduced investment uncertainty, more predictable project planning, lower likelihood of disputes or appeals, enhanced coordination across authorities, and a more attractive investment environment for large-scale digital infrastructure. While these indirect effects are not quantified, they reinforce the overall positive impact of the measure and help explain the broader efficiency gains supported by the quantified analysis.</w:t>
      </w:r>
      <w:r w:rsidR="00F3532D">
        <w:rPr>
          <w:noProof/>
        </w:rPr>
        <w:t xml:space="preserve"> </w:t>
      </w:r>
    </w:p>
    <w:p w14:paraId="2687CF4D" w14:textId="3F1937D2" w:rsidR="008D15EE" w:rsidRDefault="008D15EE" w:rsidP="008D15EE">
      <w:pPr>
        <w:pStyle w:val="Text1"/>
        <w:ind w:left="0"/>
        <w:rPr>
          <w:noProof/>
        </w:rPr>
      </w:pPr>
      <w:r w:rsidRPr="59E4558D">
        <w:rPr>
          <w:b/>
          <w:noProof/>
        </w:rPr>
        <w:t>Sensitivity analysis:</w:t>
      </w:r>
      <w:r w:rsidR="00787769" w:rsidDel="00DC710A">
        <w:rPr>
          <w:noProof/>
        </w:rPr>
        <w:t xml:space="preserve"> </w:t>
      </w:r>
      <w:r w:rsidR="00DC710A">
        <w:rPr>
          <w:noProof/>
        </w:rPr>
        <w:t>Four</w:t>
      </w:r>
      <w:r w:rsidR="00787769">
        <w:rPr>
          <w:noProof/>
        </w:rPr>
        <w:t xml:space="preserve"> key</w:t>
      </w:r>
      <w:r>
        <w:rPr>
          <w:noProof/>
        </w:rPr>
        <w:t xml:space="preserve"> parameters are subject to sensitivity checks because of the complexity of this policy measure and the number of assumptions implied </w:t>
      </w:r>
      <w:r w:rsidR="00787769">
        <w:rPr>
          <w:noProof/>
        </w:rPr>
        <w:t>most affecting the balance of costs and benefits.</w:t>
      </w:r>
      <w:r>
        <w:rPr>
          <w:noProof/>
        </w:rPr>
        <w:t xml:space="preserve"> The parameters subject to sensitivity are: </w:t>
      </w:r>
      <w:r w:rsidR="00787769">
        <w:rPr>
          <w:noProof/>
        </w:rPr>
        <w:t>(i) the time saved in permitting processes (ΔT)</w:t>
      </w:r>
      <w:r w:rsidR="00787769" w:rsidRPr="00B04259">
        <w:rPr>
          <w:rFonts w:eastAsiaTheme="minorHAnsi"/>
          <w:noProof/>
          <w:szCs w:val="24"/>
        </w:rPr>
        <w:t xml:space="preserve"> </w:t>
      </w:r>
      <w:r w:rsidR="00787769" w:rsidRPr="00B04259">
        <w:rPr>
          <w:noProof/>
        </w:rPr>
        <w:t>as this determines the scale of the economic benefits for operators through time-to-market acceleration</w:t>
      </w:r>
      <w:r w:rsidR="00787769">
        <w:rPr>
          <w:noProof/>
        </w:rPr>
        <w:t xml:space="preserve"> (varied between 4 and 8 months)</w:t>
      </w:r>
      <w:r w:rsidR="00787769" w:rsidRPr="006F6E56">
        <w:rPr>
          <w:noProof/>
        </w:rPr>
        <w:t>,</w:t>
      </w:r>
      <w:r w:rsidR="00787769">
        <w:rPr>
          <w:noProof/>
        </w:rPr>
        <w:t xml:space="preserve"> (</w:t>
      </w:r>
      <w:r w:rsidR="00787769" w:rsidRPr="006F6E56">
        <w:rPr>
          <w:noProof/>
        </w:rPr>
        <w:t xml:space="preserve">ii) the </w:t>
      </w:r>
      <w:r w:rsidR="00787769">
        <w:rPr>
          <w:noProof/>
        </w:rPr>
        <w:t xml:space="preserve">number of data centre projects that would benefit by 2036, (iii) the implementation costs for authorities and (iv) </w:t>
      </w:r>
      <w:r w:rsidR="00787769" w:rsidRPr="006F6E56">
        <w:rPr>
          <w:noProof/>
        </w:rPr>
        <w:t>time saving</w:t>
      </w:r>
      <w:r w:rsidR="00787769">
        <w:rPr>
          <w:noProof/>
        </w:rPr>
        <w:t>s</w:t>
      </w:r>
      <w:r w:rsidR="00787769" w:rsidRPr="006F6E56">
        <w:rPr>
          <w:noProof/>
        </w:rPr>
        <w:t xml:space="preserve"> for permitting by public administrations. </w:t>
      </w:r>
      <w:r w:rsidR="00787769">
        <w:rPr>
          <w:noProof/>
        </w:rPr>
        <w:t xml:space="preserve">These dimensions form the low and high scenarios to test potential outcomes of this measure. </w:t>
      </w:r>
    </w:p>
    <w:p w14:paraId="06969BDF" w14:textId="01B2146A" w:rsidR="008C021A" w:rsidRDefault="008D15EE" w:rsidP="008C021A">
      <w:pPr>
        <w:pStyle w:val="Text1"/>
        <w:ind w:left="0"/>
        <w:rPr>
          <w:noProof/>
        </w:rPr>
      </w:pPr>
      <w:r w:rsidRPr="00DA029C">
        <w:rPr>
          <w:b/>
          <w:bCs/>
          <w:noProof/>
        </w:rPr>
        <w:t>Results</w:t>
      </w:r>
      <w:r w:rsidR="008C021A">
        <w:rPr>
          <w:b/>
          <w:bCs/>
          <w:noProof/>
        </w:rPr>
        <w:t>:</w:t>
      </w:r>
      <w:r w:rsidRPr="006863C5">
        <w:rPr>
          <w:noProof/>
        </w:rPr>
        <w:t xml:space="preserve"> </w:t>
      </w:r>
      <w:r w:rsidR="008C021A">
        <w:rPr>
          <w:noProof/>
        </w:rPr>
        <w:t>The</w:t>
      </w:r>
      <w:r w:rsidR="008C021A" w:rsidRPr="006863C5">
        <w:rPr>
          <w:noProof/>
        </w:rPr>
        <w:t xml:space="preserve"> aggregated </w:t>
      </w:r>
      <w:r w:rsidR="008C021A">
        <w:rPr>
          <w:noProof/>
        </w:rPr>
        <w:t>costs and benefits for all stakeholders over the time horizon are</w:t>
      </w:r>
      <w:r w:rsidR="008C021A" w:rsidRPr="006863C5">
        <w:rPr>
          <w:noProof/>
        </w:rPr>
        <w:t xml:space="preserve"> summarised in the table below. </w:t>
      </w:r>
      <w:r w:rsidR="00231B5C">
        <w:rPr>
          <w:noProof/>
        </w:rPr>
        <w:t>While</w:t>
      </w:r>
      <w:r w:rsidR="008C021A">
        <w:rPr>
          <w:noProof/>
        </w:rPr>
        <w:t xml:space="preserve"> </w:t>
      </w:r>
      <w:r w:rsidR="008C021A" w:rsidRPr="00013206">
        <w:rPr>
          <w:noProof/>
        </w:rPr>
        <w:t xml:space="preserve">operators do not incur </w:t>
      </w:r>
      <w:r w:rsidR="008C021A">
        <w:rPr>
          <w:noProof/>
        </w:rPr>
        <w:t>additional</w:t>
      </w:r>
      <w:r w:rsidR="008C021A" w:rsidRPr="00013206">
        <w:rPr>
          <w:noProof/>
        </w:rPr>
        <w:t xml:space="preserve"> direct </w:t>
      </w:r>
      <w:r w:rsidR="008C021A">
        <w:rPr>
          <w:noProof/>
        </w:rPr>
        <w:t>and experience substantial economic benefits</w:t>
      </w:r>
      <w:r w:rsidR="008C021A" w:rsidRPr="00013206">
        <w:rPr>
          <w:noProof/>
        </w:rPr>
        <w:t xml:space="preserve"> from time-to-market acceleration, national public authorities face one-off </w:t>
      </w:r>
      <w:r w:rsidR="00D66C68">
        <w:rPr>
          <w:noProof/>
        </w:rPr>
        <w:t xml:space="preserve">adjustment </w:t>
      </w:r>
      <w:r w:rsidR="008C021A" w:rsidRPr="00013206">
        <w:rPr>
          <w:noProof/>
        </w:rPr>
        <w:t xml:space="preserve">and </w:t>
      </w:r>
      <w:r w:rsidR="008C021A">
        <w:rPr>
          <w:noProof/>
        </w:rPr>
        <w:t>recurrent</w:t>
      </w:r>
      <w:r w:rsidR="008C021A" w:rsidRPr="00013206">
        <w:rPr>
          <w:noProof/>
        </w:rPr>
        <w:t xml:space="preserve"> </w:t>
      </w:r>
      <w:r w:rsidR="00D66C68">
        <w:rPr>
          <w:noProof/>
        </w:rPr>
        <w:t>enforcement</w:t>
      </w:r>
      <w:r w:rsidR="008C021A">
        <w:rPr>
          <w:noProof/>
        </w:rPr>
        <w:t xml:space="preserve"> costs, with</w:t>
      </w:r>
      <w:r w:rsidR="008C021A" w:rsidRPr="00013206">
        <w:rPr>
          <w:noProof/>
        </w:rPr>
        <w:t xml:space="preserve"> administrative </w:t>
      </w:r>
      <w:r w:rsidR="00D66C68">
        <w:rPr>
          <w:noProof/>
        </w:rPr>
        <w:t>cost</w:t>
      </w:r>
      <w:r w:rsidR="008C021A" w:rsidRPr="00013206">
        <w:rPr>
          <w:noProof/>
        </w:rPr>
        <w:t xml:space="preserve"> savings</w:t>
      </w:r>
      <w:r w:rsidR="00D66C68">
        <w:rPr>
          <w:noProof/>
        </w:rPr>
        <w:t xml:space="preserve"> from simplification</w:t>
      </w:r>
      <w:r w:rsidR="008C021A" w:rsidRPr="00013206">
        <w:rPr>
          <w:noProof/>
        </w:rPr>
        <w:t xml:space="preserve">. </w:t>
      </w:r>
      <w:r w:rsidR="00D66C68">
        <w:rPr>
          <w:noProof/>
        </w:rPr>
        <w:t>E</w:t>
      </w:r>
      <w:r w:rsidR="008C021A" w:rsidRPr="00013206">
        <w:rPr>
          <w:noProof/>
        </w:rPr>
        <w:t xml:space="preserve">ven though </w:t>
      </w:r>
      <w:r w:rsidR="008C021A">
        <w:rPr>
          <w:noProof/>
        </w:rPr>
        <w:t>authorities’</w:t>
      </w:r>
      <w:r w:rsidR="008C021A" w:rsidRPr="00013206">
        <w:rPr>
          <w:noProof/>
        </w:rPr>
        <w:t xml:space="preserve"> </w:t>
      </w:r>
      <w:r w:rsidR="00D66C68">
        <w:rPr>
          <w:noProof/>
        </w:rPr>
        <w:t>cost savings</w:t>
      </w:r>
      <w:r w:rsidR="008C021A" w:rsidRPr="00013206">
        <w:rPr>
          <w:noProof/>
        </w:rPr>
        <w:t xml:space="preserve"> slightly outweigh their </w:t>
      </w:r>
      <w:r w:rsidR="00D66C68">
        <w:rPr>
          <w:noProof/>
        </w:rPr>
        <w:t>costs</w:t>
      </w:r>
      <w:r w:rsidR="008C021A" w:rsidRPr="00013206">
        <w:rPr>
          <w:noProof/>
        </w:rPr>
        <w:t xml:space="preserve"> in all scenarios, the large economic benefits accruing to operators dominate the overall balance. The differences between scenarios are mainly driven by changes in the magnitude of the NPV gains linked to the </w:t>
      </w:r>
      <w:r w:rsidR="001427C2">
        <w:rPr>
          <w:noProof/>
        </w:rPr>
        <w:t>expected</w:t>
      </w:r>
      <w:r w:rsidR="008C021A" w:rsidRPr="00013206">
        <w:rPr>
          <w:noProof/>
        </w:rPr>
        <w:t xml:space="preserve"> reduction in permitting timelines</w:t>
      </w:r>
      <w:r w:rsidR="008C021A">
        <w:rPr>
          <w:noProof/>
        </w:rPr>
        <w:t>.</w:t>
      </w:r>
    </w:p>
    <w:p w14:paraId="60CF8AEC" w14:textId="7E7AC2CB" w:rsidR="008D15EE" w:rsidRDefault="008D15EE" w:rsidP="009F74E7">
      <w:pPr>
        <w:pStyle w:val="Text1"/>
        <w:ind w:left="0"/>
        <w:jc w:val="center"/>
        <w:rPr>
          <w:b/>
          <w:noProof/>
          <w:sz w:val="22"/>
          <w:szCs w:val="22"/>
        </w:rPr>
      </w:pPr>
      <w:r w:rsidRPr="008D0BAC">
        <w:rPr>
          <w:b/>
          <w:noProof/>
          <w:sz w:val="22"/>
          <w:szCs w:val="22"/>
        </w:rPr>
        <w:t xml:space="preserve">Table </w:t>
      </w:r>
      <w:r w:rsidRPr="008D0BAC">
        <w:rPr>
          <w:b/>
          <w:noProof/>
          <w:sz w:val="22"/>
          <w:szCs w:val="22"/>
        </w:rPr>
        <w:fldChar w:fldCharType="begin"/>
      </w:r>
      <w:r w:rsidRPr="003055C7">
        <w:rPr>
          <w:b/>
          <w:noProof/>
          <w:sz w:val="22"/>
          <w:szCs w:val="22"/>
        </w:rPr>
        <w:instrText xml:space="preserve"> SEQ Table \* ARABIC </w:instrText>
      </w:r>
      <w:r w:rsidRPr="008D0BAC">
        <w:rPr>
          <w:b/>
          <w:noProof/>
          <w:sz w:val="22"/>
          <w:szCs w:val="22"/>
        </w:rPr>
        <w:fldChar w:fldCharType="separate"/>
      </w:r>
      <w:r w:rsidR="000E7F11">
        <w:rPr>
          <w:b/>
          <w:noProof/>
          <w:sz w:val="22"/>
          <w:szCs w:val="22"/>
        </w:rPr>
        <w:t>24</w:t>
      </w:r>
      <w:r w:rsidRPr="008D0BAC">
        <w:rPr>
          <w:b/>
          <w:noProof/>
          <w:sz w:val="22"/>
          <w:szCs w:val="22"/>
        </w:rPr>
        <w:fldChar w:fldCharType="end"/>
      </w:r>
      <w:r w:rsidRPr="008D0BAC">
        <w:rPr>
          <w:b/>
          <w:noProof/>
          <w:sz w:val="22"/>
          <w:szCs w:val="22"/>
        </w:rPr>
        <w:t>. Administrative simplification for the roll-out of data centres (PM4)</w:t>
      </w:r>
    </w:p>
    <w:tbl>
      <w:tblPr>
        <w:tblStyle w:val="TableGrid"/>
        <w:tblW w:w="10147" w:type="dxa"/>
        <w:tblInd w:w="-567" w:type="dxa"/>
        <w:tblLayout w:type="fixed"/>
        <w:tblCellMar>
          <w:left w:w="0" w:type="dxa"/>
          <w:right w:w="0" w:type="dxa"/>
        </w:tblCellMar>
        <w:tblLook w:val="04A0" w:firstRow="1" w:lastRow="0" w:firstColumn="1" w:lastColumn="0" w:noHBand="0" w:noVBand="1"/>
      </w:tblPr>
      <w:tblGrid>
        <w:gridCol w:w="2127"/>
        <w:gridCol w:w="1417"/>
        <w:gridCol w:w="1276"/>
        <w:gridCol w:w="1134"/>
        <w:gridCol w:w="1389"/>
        <w:gridCol w:w="1418"/>
        <w:gridCol w:w="1386"/>
      </w:tblGrid>
      <w:tr w:rsidR="006B45A1" w:rsidRPr="00FA63C0" w14:paraId="137A5B5B" w14:textId="77777777" w:rsidTr="00651661">
        <w:trPr>
          <w:trHeight w:val="506"/>
        </w:trPr>
        <w:tc>
          <w:tcPr>
            <w:tcW w:w="2127" w:type="dxa"/>
            <w:tcBorders>
              <w:bottom w:val="single" w:sz="12" w:space="0" w:color="00B0F0"/>
            </w:tcBorders>
            <w:noWrap/>
            <w:vAlign w:val="center"/>
            <w:hideMark/>
          </w:tcPr>
          <w:p w14:paraId="7EE3CBB7" w14:textId="77777777" w:rsidR="006B45A1" w:rsidRPr="00FA63C0" w:rsidRDefault="006B45A1" w:rsidP="009F74E7">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417" w:type="dxa"/>
            <w:tcBorders>
              <w:bottom w:val="single" w:sz="12" w:space="0" w:color="00B0F0"/>
            </w:tcBorders>
            <w:vAlign w:val="center"/>
          </w:tcPr>
          <w:p w14:paraId="040B3953" w14:textId="5A7A7B8B"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76" w:type="dxa"/>
            <w:tcBorders>
              <w:bottom w:val="single" w:sz="12" w:space="0" w:color="00B0F0"/>
            </w:tcBorders>
            <w:vAlign w:val="center"/>
          </w:tcPr>
          <w:p w14:paraId="3DA2D2C9" w14:textId="03084A01"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vAlign w:val="center"/>
          </w:tcPr>
          <w:p w14:paraId="2A7D3440" w14:textId="7381A51B"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389" w:type="dxa"/>
            <w:tcBorders>
              <w:bottom w:val="single" w:sz="12" w:space="0" w:color="00B0F0"/>
            </w:tcBorders>
            <w:noWrap/>
            <w:vAlign w:val="center"/>
            <w:hideMark/>
          </w:tcPr>
          <w:p w14:paraId="204A3CD1" w14:textId="79FC4174"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vAlign w:val="center"/>
            <w:hideMark/>
          </w:tcPr>
          <w:p w14:paraId="5B0BCEED" w14:textId="323BFF57"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386" w:type="dxa"/>
            <w:tcBorders>
              <w:bottom w:val="single" w:sz="12" w:space="0" w:color="00B0F0"/>
            </w:tcBorders>
            <w:noWrap/>
            <w:vAlign w:val="center"/>
            <w:hideMark/>
          </w:tcPr>
          <w:p w14:paraId="6F0E525B" w14:textId="3DA3E168"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542350" w:rsidRPr="00C44C22" w14:paraId="54D0399F" w14:textId="77777777" w:rsidTr="00651661">
        <w:trPr>
          <w:trHeight w:val="283"/>
        </w:trPr>
        <w:tc>
          <w:tcPr>
            <w:tcW w:w="2127" w:type="dxa"/>
            <w:tcBorders>
              <w:top w:val="single" w:sz="12" w:space="0" w:color="00B0F0"/>
            </w:tcBorders>
            <w:noWrap/>
            <w:vAlign w:val="center"/>
            <w:hideMark/>
          </w:tcPr>
          <w:p w14:paraId="580F73EB"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417" w:type="dxa"/>
            <w:tcBorders>
              <w:top w:val="single" w:sz="12" w:space="0" w:color="00B0F0"/>
            </w:tcBorders>
          </w:tcPr>
          <w:p w14:paraId="63DEF19C" w14:textId="65E293AB"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276" w:type="dxa"/>
            <w:tcBorders>
              <w:top w:val="single" w:sz="12" w:space="0" w:color="00B0F0"/>
            </w:tcBorders>
          </w:tcPr>
          <w:p w14:paraId="7AE7D572" w14:textId="4047E874"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134" w:type="dxa"/>
            <w:tcBorders>
              <w:top w:val="single" w:sz="12" w:space="0" w:color="00B0F0"/>
            </w:tcBorders>
            <w:vAlign w:val="center"/>
          </w:tcPr>
          <w:p w14:paraId="2AF46635" w14:textId="78430BC4" w:rsidR="00542350" w:rsidRPr="009F74E7" w:rsidRDefault="00542350" w:rsidP="00542350">
            <w:pPr>
              <w:spacing w:after="0"/>
              <w:jc w:val="right"/>
              <w:rPr>
                <w:b/>
                <w:noProof/>
                <w:sz w:val="20"/>
                <w:szCs w:val="20"/>
                <w:lang w:val="en-IE" w:eastAsia="en-IE"/>
              </w:rPr>
            </w:pPr>
            <w:r w:rsidRPr="009F74E7">
              <w:rPr>
                <w:b/>
                <w:noProof/>
                <w:sz w:val="20"/>
                <w:szCs w:val="20"/>
                <w:lang w:val="en-IE" w:eastAsia="en-IE"/>
              </w:rPr>
              <w:t>-</w:t>
            </w:r>
          </w:p>
        </w:tc>
        <w:tc>
          <w:tcPr>
            <w:tcW w:w="1389" w:type="dxa"/>
            <w:tcBorders>
              <w:top w:val="single" w:sz="12" w:space="0" w:color="00B0F0"/>
            </w:tcBorders>
            <w:noWrap/>
          </w:tcPr>
          <w:p w14:paraId="7D01D964" w14:textId="78A8D051" w:rsidR="00542350" w:rsidRPr="00E97345" w:rsidRDefault="00542350" w:rsidP="00542350">
            <w:pPr>
              <w:spacing w:after="0"/>
              <w:jc w:val="right"/>
              <w:rPr>
                <w:noProof/>
                <w:sz w:val="20"/>
                <w:szCs w:val="20"/>
                <w:lang w:val="en-IE" w:eastAsia="en-IE"/>
              </w:rPr>
            </w:pPr>
            <w:r w:rsidRPr="009F74E7">
              <w:rPr>
                <w:noProof/>
                <w:sz w:val="20"/>
                <w:szCs w:val="20"/>
              </w:rPr>
              <w:t xml:space="preserve"> -   </w:t>
            </w:r>
          </w:p>
        </w:tc>
        <w:tc>
          <w:tcPr>
            <w:tcW w:w="1418" w:type="dxa"/>
            <w:tcBorders>
              <w:top w:val="single" w:sz="12" w:space="0" w:color="00B0F0"/>
            </w:tcBorders>
            <w:noWrap/>
          </w:tcPr>
          <w:p w14:paraId="4AFDBEDF" w14:textId="38083749" w:rsidR="00542350" w:rsidRPr="00E97345" w:rsidRDefault="00542350" w:rsidP="00542350">
            <w:pPr>
              <w:spacing w:after="0"/>
              <w:jc w:val="right"/>
              <w:rPr>
                <w:noProof/>
                <w:sz w:val="20"/>
                <w:szCs w:val="20"/>
                <w:lang w:val="en-IE" w:eastAsia="en-IE"/>
              </w:rPr>
            </w:pPr>
            <w:r w:rsidRPr="009F74E7">
              <w:rPr>
                <w:noProof/>
                <w:sz w:val="20"/>
                <w:szCs w:val="20"/>
              </w:rPr>
              <w:t xml:space="preserve"> -   </w:t>
            </w:r>
          </w:p>
        </w:tc>
        <w:tc>
          <w:tcPr>
            <w:tcW w:w="1386" w:type="dxa"/>
            <w:tcBorders>
              <w:top w:val="single" w:sz="12" w:space="0" w:color="00B0F0"/>
            </w:tcBorders>
            <w:noWrap/>
          </w:tcPr>
          <w:p w14:paraId="0390606F" w14:textId="49AB772C" w:rsidR="00542350" w:rsidRPr="00E97345" w:rsidRDefault="00542350" w:rsidP="00542350">
            <w:pPr>
              <w:spacing w:after="0"/>
              <w:jc w:val="right"/>
              <w:rPr>
                <w:noProof/>
                <w:sz w:val="20"/>
                <w:szCs w:val="20"/>
                <w:lang w:val="en-IE" w:eastAsia="en-IE"/>
              </w:rPr>
            </w:pPr>
            <w:r w:rsidRPr="009F74E7">
              <w:rPr>
                <w:noProof/>
                <w:sz w:val="20"/>
                <w:szCs w:val="20"/>
              </w:rPr>
              <w:t xml:space="preserve">-   </w:t>
            </w:r>
          </w:p>
        </w:tc>
      </w:tr>
      <w:tr w:rsidR="00542350" w:rsidRPr="00C44C22" w14:paraId="54285A1D" w14:textId="77777777" w:rsidTr="00651661">
        <w:trPr>
          <w:trHeight w:val="283"/>
        </w:trPr>
        <w:tc>
          <w:tcPr>
            <w:tcW w:w="2127" w:type="dxa"/>
            <w:noWrap/>
            <w:vAlign w:val="center"/>
            <w:hideMark/>
          </w:tcPr>
          <w:p w14:paraId="533F648C"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417" w:type="dxa"/>
            <w:vAlign w:val="center"/>
          </w:tcPr>
          <w:p w14:paraId="42013C41" w14:textId="7C53F12A" w:rsidR="00542350" w:rsidRPr="00FA63C0" w:rsidRDefault="00542350" w:rsidP="00542350">
            <w:pPr>
              <w:spacing w:after="0"/>
              <w:jc w:val="right"/>
              <w:rPr>
                <w:noProof/>
                <w:sz w:val="20"/>
                <w:szCs w:val="20"/>
                <w:lang w:val="en-IE" w:eastAsia="en-IE"/>
              </w:rPr>
            </w:pPr>
            <w:r w:rsidRPr="00743B56">
              <w:rPr>
                <w:b/>
                <w:bCs/>
                <w:noProof/>
                <w:sz w:val="20"/>
                <w:szCs w:val="20"/>
                <w:lang w:val="en-IE" w:eastAsia="en-IE"/>
              </w:rPr>
              <w:t>-</w:t>
            </w:r>
          </w:p>
        </w:tc>
        <w:tc>
          <w:tcPr>
            <w:tcW w:w="1276" w:type="dxa"/>
            <w:vAlign w:val="center"/>
          </w:tcPr>
          <w:p w14:paraId="44716AF2" w14:textId="77777777" w:rsidR="00542350" w:rsidRPr="00FA63C0" w:rsidRDefault="00542350" w:rsidP="009F74E7">
            <w:pPr>
              <w:spacing w:after="0"/>
              <w:rPr>
                <w:noProof/>
                <w:sz w:val="20"/>
                <w:szCs w:val="20"/>
                <w:lang w:val="en-IE" w:eastAsia="en-IE"/>
              </w:rPr>
            </w:pPr>
          </w:p>
        </w:tc>
        <w:tc>
          <w:tcPr>
            <w:tcW w:w="1134" w:type="dxa"/>
            <w:vAlign w:val="center"/>
          </w:tcPr>
          <w:p w14:paraId="4E209DE1" w14:textId="0D4E4320" w:rsidR="00542350" w:rsidRPr="00FA63C0" w:rsidRDefault="00542350" w:rsidP="00542350">
            <w:pPr>
              <w:spacing w:after="0"/>
              <w:jc w:val="right"/>
              <w:rPr>
                <w:noProof/>
                <w:sz w:val="20"/>
                <w:szCs w:val="20"/>
                <w:lang w:val="en-IE" w:eastAsia="en-IE"/>
              </w:rPr>
            </w:pPr>
            <w:r w:rsidRPr="00743B56">
              <w:rPr>
                <w:b/>
                <w:bCs/>
                <w:noProof/>
                <w:sz w:val="20"/>
                <w:szCs w:val="20"/>
                <w:lang w:val="en-IE" w:eastAsia="en-IE"/>
              </w:rPr>
              <w:t>-</w:t>
            </w:r>
          </w:p>
        </w:tc>
        <w:tc>
          <w:tcPr>
            <w:tcW w:w="1389" w:type="dxa"/>
            <w:noWrap/>
          </w:tcPr>
          <w:p w14:paraId="5455A404" w14:textId="7B1055E8" w:rsidR="00542350" w:rsidRPr="00E97345" w:rsidRDefault="00542350" w:rsidP="00542350">
            <w:pPr>
              <w:spacing w:after="0"/>
              <w:jc w:val="right"/>
              <w:rPr>
                <w:noProof/>
                <w:sz w:val="20"/>
                <w:szCs w:val="20"/>
                <w:lang w:val="en-IE" w:eastAsia="en-IE"/>
              </w:rPr>
            </w:pPr>
            <w:r w:rsidRPr="00FA63C0">
              <w:rPr>
                <w:noProof/>
                <w:sz w:val="20"/>
                <w:szCs w:val="20"/>
              </w:rPr>
              <w:t xml:space="preserve"> -   </w:t>
            </w:r>
          </w:p>
        </w:tc>
        <w:tc>
          <w:tcPr>
            <w:tcW w:w="1418" w:type="dxa"/>
            <w:noWrap/>
          </w:tcPr>
          <w:p w14:paraId="74822124" w14:textId="29C3F336" w:rsidR="00542350" w:rsidRPr="00E97345" w:rsidRDefault="00542350" w:rsidP="00542350">
            <w:pPr>
              <w:spacing w:after="0"/>
              <w:jc w:val="right"/>
              <w:rPr>
                <w:noProof/>
                <w:sz w:val="20"/>
                <w:szCs w:val="20"/>
                <w:lang w:val="en-IE" w:eastAsia="en-IE"/>
              </w:rPr>
            </w:pPr>
            <w:r w:rsidRPr="00FA63C0">
              <w:rPr>
                <w:noProof/>
                <w:sz w:val="20"/>
                <w:szCs w:val="20"/>
              </w:rPr>
              <w:t xml:space="preserve"> -   </w:t>
            </w:r>
          </w:p>
        </w:tc>
        <w:tc>
          <w:tcPr>
            <w:tcW w:w="1386" w:type="dxa"/>
            <w:noWrap/>
          </w:tcPr>
          <w:p w14:paraId="3F3E4D4D" w14:textId="4F6D55ED" w:rsidR="00542350" w:rsidRPr="00E97345" w:rsidRDefault="00542350" w:rsidP="00542350">
            <w:pPr>
              <w:spacing w:after="0"/>
              <w:jc w:val="right"/>
              <w:rPr>
                <w:noProof/>
                <w:sz w:val="20"/>
                <w:szCs w:val="20"/>
                <w:lang w:val="en-IE" w:eastAsia="en-IE"/>
              </w:rPr>
            </w:pPr>
            <w:r w:rsidRPr="00FA63C0">
              <w:rPr>
                <w:noProof/>
                <w:sz w:val="20"/>
                <w:szCs w:val="20"/>
              </w:rPr>
              <w:t xml:space="preserve">-   </w:t>
            </w:r>
          </w:p>
        </w:tc>
      </w:tr>
      <w:tr w:rsidR="00542350" w:rsidRPr="00C44C22" w14:paraId="658080C3" w14:textId="77777777" w:rsidTr="00651661">
        <w:trPr>
          <w:trHeight w:val="283"/>
        </w:trPr>
        <w:tc>
          <w:tcPr>
            <w:tcW w:w="2127" w:type="dxa"/>
            <w:noWrap/>
            <w:vAlign w:val="center"/>
            <w:hideMark/>
          </w:tcPr>
          <w:p w14:paraId="2B15EDE4"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one-off adjustment</w:t>
            </w:r>
          </w:p>
        </w:tc>
        <w:tc>
          <w:tcPr>
            <w:tcW w:w="1417" w:type="dxa"/>
            <w:vAlign w:val="center"/>
          </w:tcPr>
          <w:p w14:paraId="03541820" w14:textId="77777777" w:rsidR="00542350" w:rsidRPr="00FA63C0" w:rsidRDefault="00542350" w:rsidP="00542350">
            <w:pPr>
              <w:spacing w:after="0"/>
              <w:jc w:val="right"/>
              <w:rPr>
                <w:noProof/>
                <w:sz w:val="20"/>
                <w:szCs w:val="20"/>
                <w:lang w:val="en-IE" w:eastAsia="en-IE"/>
              </w:rPr>
            </w:pPr>
          </w:p>
        </w:tc>
        <w:tc>
          <w:tcPr>
            <w:tcW w:w="1276" w:type="dxa"/>
          </w:tcPr>
          <w:p w14:paraId="4C2E445D" w14:textId="626B5DE0" w:rsidR="00542350" w:rsidRPr="00FA63C0" w:rsidRDefault="00542350" w:rsidP="00542350">
            <w:pPr>
              <w:spacing w:after="0"/>
              <w:jc w:val="right"/>
              <w:rPr>
                <w:noProof/>
                <w:sz w:val="20"/>
                <w:szCs w:val="20"/>
                <w:lang w:val="en-IE" w:eastAsia="en-IE"/>
              </w:rPr>
            </w:pPr>
            <w:r w:rsidRPr="00743B56">
              <w:rPr>
                <w:noProof/>
                <w:sz w:val="20"/>
                <w:szCs w:val="20"/>
              </w:rPr>
              <w:t xml:space="preserve"> 20 668 601 </w:t>
            </w:r>
          </w:p>
        </w:tc>
        <w:tc>
          <w:tcPr>
            <w:tcW w:w="1134" w:type="dxa"/>
            <w:vAlign w:val="center"/>
          </w:tcPr>
          <w:p w14:paraId="26017B3B" w14:textId="02728B58" w:rsidR="00542350" w:rsidRPr="00FA63C0" w:rsidRDefault="00542350" w:rsidP="00542350">
            <w:pPr>
              <w:spacing w:after="0"/>
              <w:jc w:val="right"/>
              <w:rPr>
                <w:noProof/>
                <w:sz w:val="20"/>
                <w:szCs w:val="20"/>
                <w:lang w:val="en-IE" w:eastAsia="en-IE"/>
              </w:rPr>
            </w:pPr>
            <w:r w:rsidRPr="00743B56">
              <w:rPr>
                <w:b/>
                <w:bCs/>
                <w:noProof/>
                <w:sz w:val="20"/>
                <w:szCs w:val="20"/>
                <w:lang w:val="en-IE" w:eastAsia="en-IE"/>
              </w:rPr>
              <w:t>-</w:t>
            </w:r>
          </w:p>
        </w:tc>
        <w:tc>
          <w:tcPr>
            <w:tcW w:w="1389" w:type="dxa"/>
            <w:noWrap/>
          </w:tcPr>
          <w:p w14:paraId="21E14FF1" w14:textId="44E45C8B" w:rsidR="00542350" w:rsidRPr="00E97345" w:rsidRDefault="00542350" w:rsidP="00542350">
            <w:pPr>
              <w:spacing w:after="0"/>
              <w:jc w:val="right"/>
              <w:rPr>
                <w:noProof/>
                <w:sz w:val="20"/>
                <w:szCs w:val="20"/>
                <w:lang w:val="en-IE" w:eastAsia="en-IE"/>
              </w:rPr>
            </w:pPr>
            <w:r w:rsidRPr="009F74E7">
              <w:rPr>
                <w:noProof/>
                <w:sz w:val="20"/>
                <w:szCs w:val="20"/>
              </w:rPr>
              <w:t xml:space="preserve"> 20 668 601 </w:t>
            </w:r>
          </w:p>
        </w:tc>
        <w:tc>
          <w:tcPr>
            <w:tcW w:w="1418" w:type="dxa"/>
            <w:noWrap/>
          </w:tcPr>
          <w:p w14:paraId="5BC48B4B" w14:textId="5D4ABBD4" w:rsidR="00542350" w:rsidRPr="00E97345" w:rsidRDefault="00542350" w:rsidP="00542350">
            <w:pPr>
              <w:spacing w:after="0"/>
              <w:jc w:val="right"/>
              <w:rPr>
                <w:noProof/>
                <w:sz w:val="20"/>
                <w:szCs w:val="20"/>
                <w:lang w:val="en-IE" w:eastAsia="en-IE"/>
              </w:rPr>
            </w:pPr>
            <w:r w:rsidRPr="009F74E7">
              <w:rPr>
                <w:noProof/>
                <w:sz w:val="20"/>
                <w:szCs w:val="20"/>
              </w:rPr>
              <w:t xml:space="preserve"> 19 011 860 </w:t>
            </w:r>
          </w:p>
        </w:tc>
        <w:tc>
          <w:tcPr>
            <w:tcW w:w="1386" w:type="dxa"/>
            <w:noWrap/>
          </w:tcPr>
          <w:p w14:paraId="1E20A5AC" w14:textId="4FDE2B12" w:rsidR="00542350" w:rsidRPr="00E97345" w:rsidRDefault="00542350" w:rsidP="00542350">
            <w:pPr>
              <w:spacing w:after="0"/>
              <w:jc w:val="right"/>
              <w:rPr>
                <w:noProof/>
                <w:sz w:val="20"/>
                <w:szCs w:val="20"/>
                <w:lang w:val="en-IE" w:eastAsia="en-IE"/>
              </w:rPr>
            </w:pPr>
            <w:r w:rsidRPr="009F74E7">
              <w:rPr>
                <w:noProof/>
                <w:sz w:val="20"/>
                <w:szCs w:val="20"/>
              </w:rPr>
              <w:t xml:space="preserve"> 22 325 342 </w:t>
            </w:r>
          </w:p>
        </w:tc>
      </w:tr>
      <w:tr w:rsidR="00542350" w:rsidRPr="00C44C22" w14:paraId="492CD061" w14:textId="77777777" w:rsidTr="00651661">
        <w:trPr>
          <w:trHeight w:val="283"/>
        </w:trPr>
        <w:tc>
          <w:tcPr>
            <w:tcW w:w="2127" w:type="dxa"/>
            <w:noWrap/>
            <w:vAlign w:val="center"/>
            <w:hideMark/>
          </w:tcPr>
          <w:p w14:paraId="0DD8AB69"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recurrent adjustment</w:t>
            </w:r>
          </w:p>
        </w:tc>
        <w:tc>
          <w:tcPr>
            <w:tcW w:w="1417" w:type="dxa"/>
          </w:tcPr>
          <w:p w14:paraId="4C348434" w14:textId="7553A8B0"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276" w:type="dxa"/>
          </w:tcPr>
          <w:p w14:paraId="15C0AD6A" w14:textId="4BFD4F56"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134" w:type="dxa"/>
          </w:tcPr>
          <w:p w14:paraId="1BC96BEA" w14:textId="3A7DE3C0" w:rsidR="00542350" w:rsidRPr="009F74E7" w:rsidRDefault="00542350" w:rsidP="00542350">
            <w:pPr>
              <w:spacing w:after="0"/>
              <w:jc w:val="right"/>
              <w:rPr>
                <w:b/>
                <w:noProof/>
                <w:sz w:val="20"/>
                <w:szCs w:val="20"/>
                <w:lang w:val="en-IE" w:eastAsia="en-IE"/>
              </w:rPr>
            </w:pPr>
            <w:r w:rsidRPr="00743B56">
              <w:rPr>
                <w:b/>
                <w:bCs/>
                <w:noProof/>
                <w:sz w:val="20"/>
                <w:szCs w:val="20"/>
              </w:rPr>
              <w:t xml:space="preserve"> -   </w:t>
            </w:r>
          </w:p>
        </w:tc>
        <w:tc>
          <w:tcPr>
            <w:tcW w:w="1389" w:type="dxa"/>
            <w:noWrap/>
          </w:tcPr>
          <w:p w14:paraId="193DB086" w14:textId="49C160A8"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418" w:type="dxa"/>
            <w:noWrap/>
          </w:tcPr>
          <w:p w14:paraId="6EA9C737" w14:textId="6CA78760"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386" w:type="dxa"/>
            <w:noWrap/>
          </w:tcPr>
          <w:p w14:paraId="024C6E36" w14:textId="39F77D76" w:rsidR="00542350" w:rsidRPr="009F74E7" w:rsidRDefault="00542350" w:rsidP="00542350">
            <w:pPr>
              <w:spacing w:after="0"/>
              <w:jc w:val="right"/>
              <w:rPr>
                <w:b/>
                <w:noProof/>
                <w:sz w:val="20"/>
                <w:szCs w:val="20"/>
                <w:lang w:val="en-IE" w:eastAsia="en-IE"/>
              </w:rPr>
            </w:pPr>
            <w:r w:rsidRPr="009F74E7">
              <w:rPr>
                <w:b/>
                <w:noProof/>
                <w:sz w:val="20"/>
                <w:szCs w:val="20"/>
              </w:rPr>
              <w:t xml:space="preserve">-   </w:t>
            </w:r>
          </w:p>
        </w:tc>
      </w:tr>
      <w:tr w:rsidR="00542350" w:rsidRPr="00C44C22" w14:paraId="435E02B2" w14:textId="77777777" w:rsidTr="00651661">
        <w:trPr>
          <w:trHeight w:val="283"/>
        </w:trPr>
        <w:tc>
          <w:tcPr>
            <w:tcW w:w="2127" w:type="dxa"/>
            <w:noWrap/>
            <w:vAlign w:val="center"/>
            <w:hideMark/>
          </w:tcPr>
          <w:p w14:paraId="5742ED02"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417" w:type="dxa"/>
          </w:tcPr>
          <w:p w14:paraId="3D8B596B" w14:textId="257B6119"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276" w:type="dxa"/>
          </w:tcPr>
          <w:p w14:paraId="25F222BB" w14:textId="4FD984D6"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134" w:type="dxa"/>
          </w:tcPr>
          <w:p w14:paraId="552B3700" w14:textId="0A971971" w:rsidR="00542350" w:rsidRPr="009F74E7" w:rsidRDefault="00542350" w:rsidP="00542350">
            <w:pPr>
              <w:spacing w:after="0"/>
              <w:jc w:val="right"/>
              <w:rPr>
                <w:b/>
                <w:noProof/>
                <w:sz w:val="20"/>
                <w:szCs w:val="20"/>
                <w:lang w:val="en-IE" w:eastAsia="en-IE"/>
              </w:rPr>
            </w:pPr>
            <w:r w:rsidRPr="00743B56">
              <w:rPr>
                <w:b/>
                <w:bCs/>
                <w:noProof/>
                <w:sz w:val="20"/>
                <w:szCs w:val="20"/>
              </w:rPr>
              <w:t xml:space="preserve"> -   </w:t>
            </w:r>
          </w:p>
        </w:tc>
        <w:tc>
          <w:tcPr>
            <w:tcW w:w="1389" w:type="dxa"/>
            <w:noWrap/>
          </w:tcPr>
          <w:p w14:paraId="75E9D762"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418" w:type="dxa"/>
            <w:noWrap/>
          </w:tcPr>
          <w:p w14:paraId="26F8C962"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386" w:type="dxa"/>
            <w:noWrap/>
          </w:tcPr>
          <w:p w14:paraId="315274F7"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w:t>
            </w:r>
          </w:p>
        </w:tc>
      </w:tr>
      <w:tr w:rsidR="00542350" w:rsidRPr="00C44C22" w14:paraId="4D0244C4" w14:textId="77777777" w:rsidTr="00651661">
        <w:trPr>
          <w:trHeight w:val="283"/>
        </w:trPr>
        <w:tc>
          <w:tcPr>
            <w:tcW w:w="2127" w:type="dxa"/>
            <w:noWrap/>
            <w:vAlign w:val="center"/>
            <w:hideMark/>
          </w:tcPr>
          <w:p w14:paraId="089A2DC6"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417" w:type="dxa"/>
          </w:tcPr>
          <w:p w14:paraId="1DDAC6DE" w14:textId="0948CAFC"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276" w:type="dxa"/>
          </w:tcPr>
          <w:p w14:paraId="6D0C067E" w14:textId="66C9E37A"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134" w:type="dxa"/>
          </w:tcPr>
          <w:p w14:paraId="0161F36F" w14:textId="61B7AB9C" w:rsidR="00542350" w:rsidRPr="009F74E7" w:rsidRDefault="00542350" w:rsidP="00542350">
            <w:pPr>
              <w:spacing w:after="0"/>
              <w:jc w:val="right"/>
              <w:rPr>
                <w:b/>
                <w:noProof/>
                <w:sz w:val="20"/>
                <w:szCs w:val="20"/>
                <w:lang w:val="en-IE" w:eastAsia="en-IE"/>
              </w:rPr>
            </w:pPr>
            <w:r w:rsidRPr="00743B56">
              <w:rPr>
                <w:b/>
                <w:bCs/>
                <w:noProof/>
                <w:sz w:val="20"/>
                <w:szCs w:val="20"/>
              </w:rPr>
              <w:t xml:space="preserve"> -   </w:t>
            </w:r>
          </w:p>
        </w:tc>
        <w:tc>
          <w:tcPr>
            <w:tcW w:w="1389" w:type="dxa"/>
            <w:noWrap/>
          </w:tcPr>
          <w:p w14:paraId="25C48CEB"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418" w:type="dxa"/>
            <w:noWrap/>
          </w:tcPr>
          <w:p w14:paraId="005ED191"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386" w:type="dxa"/>
            <w:noWrap/>
          </w:tcPr>
          <w:p w14:paraId="509A5D83" w14:textId="75625083" w:rsidR="00542350" w:rsidRPr="009F74E7" w:rsidRDefault="00542350" w:rsidP="00542350">
            <w:pPr>
              <w:spacing w:after="0"/>
              <w:jc w:val="right"/>
              <w:rPr>
                <w:b/>
                <w:noProof/>
                <w:sz w:val="20"/>
                <w:szCs w:val="20"/>
                <w:lang w:val="en-IE" w:eastAsia="en-IE"/>
              </w:rPr>
            </w:pPr>
            <w:r w:rsidRPr="009F74E7">
              <w:rPr>
                <w:b/>
                <w:noProof/>
                <w:sz w:val="20"/>
                <w:szCs w:val="20"/>
              </w:rPr>
              <w:t xml:space="preserve">-   </w:t>
            </w:r>
          </w:p>
        </w:tc>
      </w:tr>
      <w:tr w:rsidR="00542350" w:rsidRPr="00C44C22" w14:paraId="05532587" w14:textId="77777777" w:rsidTr="00651661">
        <w:trPr>
          <w:trHeight w:val="283"/>
        </w:trPr>
        <w:tc>
          <w:tcPr>
            <w:tcW w:w="2127" w:type="dxa"/>
            <w:noWrap/>
            <w:vAlign w:val="center"/>
            <w:hideMark/>
          </w:tcPr>
          <w:p w14:paraId="6B14FF66"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417" w:type="dxa"/>
          </w:tcPr>
          <w:p w14:paraId="1F96D0FC" w14:textId="489FE34A" w:rsidR="00542350" w:rsidRPr="00FA63C0" w:rsidRDefault="00542350" w:rsidP="00542350">
            <w:pPr>
              <w:spacing w:after="0"/>
              <w:jc w:val="right"/>
              <w:rPr>
                <w:noProof/>
                <w:sz w:val="20"/>
                <w:szCs w:val="20"/>
                <w:lang w:val="en-IE" w:eastAsia="en-IE"/>
              </w:rPr>
            </w:pPr>
            <w:r w:rsidRPr="00743B56">
              <w:rPr>
                <w:b/>
                <w:bCs/>
                <w:noProof/>
                <w:sz w:val="20"/>
                <w:szCs w:val="20"/>
              </w:rPr>
              <w:t xml:space="preserve"> -   </w:t>
            </w:r>
          </w:p>
        </w:tc>
        <w:tc>
          <w:tcPr>
            <w:tcW w:w="1276" w:type="dxa"/>
          </w:tcPr>
          <w:p w14:paraId="77DC20CB" w14:textId="6A28A213"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134" w:type="dxa"/>
          </w:tcPr>
          <w:p w14:paraId="52E3165D" w14:textId="5E3F7C47" w:rsidR="00542350" w:rsidRPr="009F74E7" w:rsidRDefault="00542350" w:rsidP="00542350">
            <w:pPr>
              <w:spacing w:after="0"/>
              <w:jc w:val="right"/>
              <w:rPr>
                <w:b/>
                <w:noProof/>
                <w:sz w:val="20"/>
                <w:szCs w:val="20"/>
                <w:lang w:val="en-IE" w:eastAsia="en-IE"/>
              </w:rPr>
            </w:pPr>
            <w:r w:rsidRPr="00743B56">
              <w:rPr>
                <w:b/>
                <w:bCs/>
                <w:noProof/>
                <w:sz w:val="20"/>
                <w:szCs w:val="20"/>
              </w:rPr>
              <w:t xml:space="preserve"> -   </w:t>
            </w:r>
          </w:p>
        </w:tc>
        <w:tc>
          <w:tcPr>
            <w:tcW w:w="1389" w:type="dxa"/>
            <w:noWrap/>
          </w:tcPr>
          <w:p w14:paraId="6CDDC91F"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418" w:type="dxa"/>
            <w:noWrap/>
          </w:tcPr>
          <w:p w14:paraId="13799437"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   </w:t>
            </w:r>
          </w:p>
        </w:tc>
        <w:tc>
          <w:tcPr>
            <w:tcW w:w="1386" w:type="dxa"/>
            <w:noWrap/>
          </w:tcPr>
          <w:p w14:paraId="3A37AF76" w14:textId="77777777" w:rsidR="00542350" w:rsidRPr="009F74E7" w:rsidRDefault="00542350" w:rsidP="00542350">
            <w:pPr>
              <w:spacing w:after="0"/>
              <w:jc w:val="right"/>
              <w:rPr>
                <w:b/>
                <w:noProof/>
                <w:sz w:val="20"/>
                <w:szCs w:val="20"/>
                <w:lang w:val="en-IE" w:eastAsia="en-IE"/>
              </w:rPr>
            </w:pPr>
            <w:r w:rsidRPr="009F74E7">
              <w:rPr>
                <w:b/>
                <w:noProof/>
                <w:sz w:val="20"/>
                <w:szCs w:val="20"/>
              </w:rPr>
              <w:t xml:space="preserve">-   </w:t>
            </w:r>
          </w:p>
        </w:tc>
      </w:tr>
      <w:tr w:rsidR="00542350" w:rsidRPr="00C44C22" w14:paraId="5FAAAF05" w14:textId="77777777" w:rsidTr="00651661">
        <w:trPr>
          <w:trHeight w:val="283"/>
        </w:trPr>
        <w:tc>
          <w:tcPr>
            <w:tcW w:w="2127" w:type="dxa"/>
            <w:noWrap/>
            <w:vAlign w:val="center"/>
            <w:hideMark/>
          </w:tcPr>
          <w:p w14:paraId="61D34F7B" w14:textId="77777777" w:rsidR="00542350" w:rsidRPr="00FA63C0" w:rsidRDefault="00542350" w:rsidP="00542350">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417" w:type="dxa"/>
            <w:vAlign w:val="center"/>
          </w:tcPr>
          <w:p w14:paraId="029D1EAB" w14:textId="5D8AB9F0" w:rsidR="00542350" w:rsidRPr="00FA63C0" w:rsidRDefault="00542350" w:rsidP="00542350">
            <w:pPr>
              <w:spacing w:after="0"/>
              <w:jc w:val="right"/>
              <w:rPr>
                <w:noProof/>
                <w:sz w:val="20"/>
                <w:szCs w:val="20"/>
                <w:lang w:val="en-IE" w:eastAsia="en-IE"/>
              </w:rPr>
            </w:pPr>
            <w:r w:rsidRPr="00743B56">
              <w:rPr>
                <w:b/>
                <w:bCs/>
                <w:noProof/>
                <w:sz w:val="20"/>
                <w:szCs w:val="20"/>
                <w:lang w:val="en-IE" w:eastAsia="en-IE"/>
              </w:rPr>
              <w:t>-</w:t>
            </w:r>
          </w:p>
        </w:tc>
        <w:tc>
          <w:tcPr>
            <w:tcW w:w="1276" w:type="dxa"/>
          </w:tcPr>
          <w:p w14:paraId="60AE38B2" w14:textId="33DE9C2D" w:rsidR="00542350" w:rsidRPr="00FA63C0" w:rsidRDefault="00542350" w:rsidP="00542350">
            <w:pPr>
              <w:spacing w:after="0"/>
              <w:jc w:val="right"/>
              <w:rPr>
                <w:noProof/>
                <w:sz w:val="20"/>
                <w:szCs w:val="20"/>
                <w:lang w:val="en-IE" w:eastAsia="en-IE"/>
              </w:rPr>
            </w:pPr>
            <w:r w:rsidRPr="00743B56">
              <w:rPr>
                <w:noProof/>
                <w:sz w:val="20"/>
                <w:szCs w:val="20"/>
              </w:rPr>
              <w:t xml:space="preserve"> 58 225 227 </w:t>
            </w:r>
          </w:p>
        </w:tc>
        <w:tc>
          <w:tcPr>
            <w:tcW w:w="1134" w:type="dxa"/>
            <w:vAlign w:val="center"/>
          </w:tcPr>
          <w:p w14:paraId="16C1F5D0" w14:textId="2F8968BA" w:rsidR="00542350" w:rsidRPr="00FA63C0" w:rsidRDefault="00542350" w:rsidP="00542350">
            <w:pPr>
              <w:spacing w:after="0"/>
              <w:jc w:val="right"/>
              <w:rPr>
                <w:noProof/>
                <w:sz w:val="20"/>
                <w:szCs w:val="20"/>
                <w:lang w:val="en-IE" w:eastAsia="en-IE"/>
              </w:rPr>
            </w:pPr>
            <w:r w:rsidRPr="00743B56">
              <w:rPr>
                <w:b/>
                <w:bCs/>
                <w:noProof/>
                <w:sz w:val="20"/>
                <w:szCs w:val="20"/>
                <w:lang w:val="en-IE" w:eastAsia="en-IE"/>
              </w:rPr>
              <w:t>-</w:t>
            </w:r>
          </w:p>
        </w:tc>
        <w:tc>
          <w:tcPr>
            <w:tcW w:w="1389" w:type="dxa"/>
            <w:noWrap/>
          </w:tcPr>
          <w:p w14:paraId="29FFDB52" w14:textId="3B3CBF97" w:rsidR="00542350" w:rsidRPr="00E97345" w:rsidRDefault="00542350" w:rsidP="00542350">
            <w:pPr>
              <w:spacing w:after="0"/>
              <w:jc w:val="right"/>
              <w:rPr>
                <w:noProof/>
                <w:sz w:val="20"/>
                <w:szCs w:val="20"/>
                <w:lang w:val="en-IE" w:eastAsia="en-IE"/>
              </w:rPr>
            </w:pPr>
            <w:r w:rsidRPr="009F74E7">
              <w:rPr>
                <w:noProof/>
                <w:sz w:val="20"/>
                <w:szCs w:val="20"/>
              </w:rPr>
              <w:t xml:space="preserve"> 58 225 227 </w:t>
            </w:r>
          </w:p>
        </w:tc>
        <w:tc>
          <w:tcPr>
            <w:tcW w:w="1418" w:type="dxa"/>
            <w:noWrap/>
          </w:tcPr>
          <w:p w14:paraId="578D9973" w14:textId="1C57027C" w:rsidR="00542350" w:rsidRPr="00E97345" w:rsidRDefault="00542350" w:rsidP="00542350">
            <w:pPr>
              <w:spacing w:after="0"/>
              <w:jc w:val="right"/>
              <w:rPr>
                <w:noProof/>
                <w:sz w:val="20"/>
                <w:szCs w:val="20"/>
                <w:lang w:val="en-IE" w:eastAsia="en-IE"/>
              </w:rPr>
            </w:pPr>
            <w:r w:rsidRPr="009F74E7">
              <w:rPr>
                <w:noProof/>
                <w:sz w:val="20"/>
                <w:szCs w:val="20"/>
              </w:rPr>
              <w:t xml:space="preserve"> </w:t>
            </w:r>
            <w:r w:rsidR="00592926">
              <w:rPr>
                <w:noProof/>
                <w:sz w:val="20"/>
                <w:szCs w:val="20"/>
              </w:rPr>
              <w:t>29 112 613</w:t>
            </w:r>
            <w:r w:rsidRPr="009F74E7">
              <w:rPr>
                <w:noProof/>
                <w:sz w:val="20"/>
                <w:szCs w:val="20"/>
              </w:rPr>
              <w:t xml:space="preserve"> </w:t>
            </w:r>
          </w:p>
        </w:tc>
        <w:tc>
          <w:tcPr>
            <w:tcW w:w="1386" w:type="dxa"/>
            <w:noWrap/>
          </w:tcPr>
          <w:p w14:paraId="6E44C79C" w14:textId="47DC43B0" w:rsidR="00542350" w:rsidRPr="00E97345" w:rsidRDefault="00592926" w:rsidP="00542350">
            <w:pPr>
              <w:spacing w:after="0"/>
              <w:jc w:val="right"/>
              <w:rPr>
                <w:noProof/>
                <w:sz w:val="20"/>
                <w:szCs w:val="20"/>
                <w:lang w:val="en-IE" w:eastAsia="en-IE"/>
              </w:rPr>
            </w:pPr>
            <w:r>
              <w:rPr>
                <w:noProof/>
                <w:sz w:val="20"/>
                <w:szCs w:val="20"/>
              </w:rPr>
              <w:t>87 337 840</w:t>
            </w:r>
          </w:p>
        </w:tc>
      </w:tr>
      <w:tr w:rsidR="00982AEA" w:rsidRPr="0049798B" w14:paraId="32D9A69F" w14:textId="77777777" w:rsidTr="00651661">
        <w:trPr>
          <w:trHeight w:val="283"/>
        </w:trPr>
        <w:tc>
          <w:tcPr>
            <w:tcW w:w="2127" w:type="dxa"/>
            <w:shd w:val="clear" w:color="auto" w:fill="F2DBDB" w:themeFill="accent2" w:themeFillTint="33"/>
            <w:noWrap/>
            <w:vAlign w:val="center"/>
            <w:hideMark/>
          </w:tcPr>
          <w:p w14:paraId="32093CB1" w14:textId="77777777" w:rsidR="00542350" w:rsidRPr="00FA63C0" w:rsidRDefault="00542350" w:rsidP="00542350">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417" w:type="dxa"/>
            <w:shd w:val="clear" w:color="auto" w:fill="F2DBDB" w:themeFill="accent2" w:themeFillTint="33"/>
            <w:vAlign w:val="center"/>
          </w:tcPr>
          <w:p w14:paraId="276A1F07" w14:textId="0BB46099" w:rsidR="00542350" w:rsidRPr="009F74E7" w:rsidRDefault="00542350" w:rsidP="00542350">
            <w:pPr>
              <w:spacing w:after="0"/>
              <w:jc w:val="right"/>
              <w:rPr>
                <w:noProof/>
                <w:sz w:val="20"/>
                <w:szCs w:val="20"/>
                <w:lang w:val="en-IE" w:eastAsia="en-IE"/>
              </w:rPr>
            </w:pPr>
            <w:r w:rsidRPr="009F74E7">
              <w:rPr>
                <w:noProof/>
                <w:sz w:val="20"/>
                <w:szCs w:val="20"/>
                <w:lang w:val="en-IE" w:eastAsia="en-IE"/>
              </w:rPr>
              <w:t>-</w:t>
            </w:r>
          </w:p>
        </w:tc>
        <w:tc>
          <w:tcPr>
            <w:tcW w:w="1276" w:type="dxa"/>
            <w:shd w:val="clear" w:color="auto" w:fill="F2DBDB" w:themeFill="accent2" w:themeFillTint="33"/>
            <w:vAlign w:val="center"/>
          </w:tcPr>
          <w:p w14:paraId="2D352962" w14:textId="52BFB46F" w:rsidR="00542350" w:rsidRPr="009F74E7" w:rsidRDefault="00542350" w:rsidP="00542350">
            <w:pPr>
              <w:spacing w:after="0"/>
              <w:jc w:val="right"/>
              <w:rPr>
                <w:noProof/>
                <w:sz w:val="20"/>
                <w:szCs w:val="20"/>
                <w:lang w:val="en-IE" w:eastAsia="en-IE"/>
              </w:rPr>
            </w:pPr>
            <w:r w:rsidRPr="009F74E7">
              <w:rPr>
                <w:noProof/>
                <w:sz w:val="20"/>
                <w:szCs w:val="20"/>
              </w:rPr>
              <w:t>78 893 828</w:t>
            </w:r>
          </w:p>
        </w:tc>
        <w:tc>
          <w:tcPr>
            <w:tcW w:w="1134" w:type="dxa"/>
            <w:shd w:val="clear" w:color="auto" w:fill="F2DBDB" w:themeFill="accent2" w:themeFillTint="33"/>
            <w:vAlign w:val="center"/>
          </w:tcPr>
          <w:p w14:paraId="6B816645" w14:textId="32C46849" w:rsidR="00542350" w:rsidRPr="009F74E7" w:rsidRDefault="00542350" w:rsidP="00542350">
            <w:pPr>
              <w:spacing w:after="0"/>
              <w:jc w:val="right"/>
              <w:rPr>
                <w:noProof/>
                <w:sz w:val="20"/>
                <w:szCs w:val="20"/>
                <w:lang w:val="en-IE" w:eastAsia="en-IE"/>
              </w:rPr>
            </w:pPr>
            <w:r w:rsidRPr="009F74E7">
              <w:rPr>
                <w:noProof/>
                <w:sz w:val="20"/>
                <w:szCs w:val="20"/>
                <w:lang w:val="en-IE" w:eastAsia="en-IE"/>
              </w:rPr>
              <w:t>-</w:t>
            </w:r>
          </w:p>
        </w:tc>
        <w:tc>
          <w:tcPr>
            <w:tcW w:w="1389" w:type="dxa"/>
            <w:shd w:val="clear" w:color="auto" w:fill="F2DBDB" w:themeFill="accent2" w:themeFillTint="33"/>
            <w:noWrap/>
          </w:tcPr>
          <w:p w14:paraId="5E3D64D1" w14:textId="61FE769A" w:rsidR="00542350" w:rsidRPr="00CD0933" w:rsidRDefault="00542350" w:rsidP="00542350">
            <w:pPr>
              <w:spacing w:after="0"/>
              <w:jc w:val="right"/>
              <w:rPr>
                <w:noProof/>
                <w:sz w:val="20"/>
                <w:szCs w:val="20"/>
              </w:rPr>
            </w:pPr>
            <w:r w:rsidRPr="009F74E7">
              <w:rPr>
                <w:noProof/>
                <w:sz w:val="20"/>
                <w:szCs w:val="20"/>
              </w:rPr>
              <w:t xml:space="preserve"> 78 893 828 </w:t>
            </w:r>
          </w:p>
        </w:tc>
        <w:tc>
          <w:tcPr>
            <w:tcW w:w="1418" w:type="dxa"/>
            <w:shd w:val="clear" w:color="auto" w:fill="F2DBDB" w:themeFill="accent2" w:themeFillTint="33"/>
            <w:noWrap/>
          </w:tcPr>
          <w:p w14:paraId="74519A96" w14:textId="775ED1BB" w:rsidR="00542350" w:rsidRPr="00E97345" w:rsidRDefault="00592926" w:rsidP="00542350">
            <w:pPr>
              <w:spacing w:after="0"/>
              <w:jc w:val="right"/>
              <w:rPr>
                <w:noProof/>
                <w:sz w:val="20"/>
                <w:szCs w:val="20"/>
              </w:rPr>
            </w:pPr>
            <w:r>
              <w:rPr>
                <w:noProof/>
                <w:sz w:val="20"/>
                <w:szCs w:val="20"/>
              </w:rPr>
              <w:t>48</w:t>
            </w:r>
            <w:r w:rsidR="00007B7A">
              <w:rPr>
                <w:noProof/>
                <w:sz w:val="20"/>
                <w:szCs w:val="20"/>
              </w:rPr>
              <w:t xml:space="preserve"> 124 473</w:t>
            </w:r>
          </w:p>
        </w:tc>
        <w:tc>
          <w:tcPr>
            <w:tcW w:w="1386" w:type="dxa"/>
            <w:shd w:val="clear" w:color="auto" w:fill="F2DBDB" w:themeFill="accent2" w:themeFillTint="33"/>
            <w:noWrap/>
          </w:tcPr>
          <w:p w14:paraId="79A46593" w14:textId="79B3FC1C" w:rsidR="00542350" w:rsidRPr="00E97345" w:rsidRDefault="00007B7A" w:rsidP="00542350">
            <w:pPr>
              <w:spacing w:after="0"/>
              <w:jc w:val="right"/>
              <w:rPr>
                <w:noProof/>
                <w:sz w:val="20"/>
                <w:szCs w:val="20"/>
              </w:rPr>
            </w:pPr>
            <w:r>
              <w:rPr>
                <w:noProof/>
                <w:sz w:val="20"/>
                <w:szCs w:val="20"/>
              </w:rPr>
              <w:t>109 663 182</w:t>
            </w:r>
          </w:p>
        </w:tc>
      </w:tr>
      <w:tr w:rsidR="00982AEA" w:rsidRPr="00FA63C0" w14:paraId="71DC4D3D" w14:textId="77777777" w:rsidTr="00651661">
        <w:trPr>
          <w:trHeight w:val="283"/>
        </w:trPr>
        <w:tc>
          <w:tcPr>
            <w:tcW w:w="2127" w:type="dxa"/>
            <w:shd w:val="clear" w:color="auto" w:fill="EAF1DD" w:themeFill="accent3" w:themeFillTint="33"/>
            <w:noWrap/>
            <w:vAlign w:val="center"/>
            <w:hideMark/>
          </w:tcPr>
          <w:p w14:paraId="62DA0317" w14:textId="77777777" w:rsidR="00542350" w:rsidRPr="00FA63C0" w:rsidRDefault="00542350" w:rsidP="00542350">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417" w:type="dxa"/>
            <w:shd w:val="clear" w:color="auto" w:fill="EAF1DD" w:themeFill="accent3" w:themeFillTint="33"/>
            <w:vAlign w:val="center"/>
          </w:tcPr>
          <w:p w14:paraId="60B587AF" w14:textId="7E6C9B3C" w:rsidR="00542350" w:rsidRPr="009F74E7" w:rsidRDefault="00542350" w:rsidP="00542350">
            <w:pPr>
              <w:spacing w:after="0"/>
              <w:jc w:val="right"/>
              <w:rPr>
                <w:noProof/>
                <w:sz w:val="20"/>
                <w:szCs w:val="20"/>
                <w:lang w:val="en-IE" w:eastAsia="en-IE"/>
              </w:rPr>
            </w:pPr>
            <w:r w:rsidRPr="009F74E7">
              <w:rPr>
                <w:noProof/>
                <w:sz w:val="20"/>
                <w:szCs w:val="20"/>
                <w:lang w:val="en-IE" w:eastAsia="en-IE"/>
              </w:rPr>
              <w:t>(4 585 666 446)</w:t>
            </w:r>
          </w:p>
        </w:tc>
        <w:tc>
          <w:tcPr>
            <w:tcW w:w="1276" w:type="dxa"/>
            <w:shd w:val="clear" w:color="auto" w:fill="EAF1DD" w:themeFill="accent3" w:themeFillTint="33"/>
            <w:vAlign w:val="center"/>
          </w:tcPr>
          <w:p w14:paraId="2F2327DB" w14:textId="2ACE07C0" w:rsidR="00542350" w:rsidRPr="009F74E7" w:rsidRDefault="00542350" w:rsidP="00542350">
            <w:pPr>
              <w:spacing w:after="0"/>
              <w:jc w:val="right"/>
              <w:rPr>
                <w:noProof/>
                <w:sz w:val="20"/>
                <w:szCs w:val="20"/>
                <w:lang w:val="en-IE" w:eastAsia="en-IE"/>
              </w:rPr>
            </w:pPr>
            <w:r w:rsidRPr="009F74E7">
              <w:rPr>
                <w:noProof/>
                <w:sz w:val="20"/>
                <w:szCs w:val="20"/>
                <w:lang w:val="en-IE" w:eastAsia="en-IE"/>
              </w:rPr>
              <w:t>(</w:t>
            </w:r>
            <w:r w:rsidR="004F4002">
              <w:rPr>
                <w:noProof/>
                <w:sz w:val="20"/>
                <w:szCs w:val="20"/>
                <w:lang w:val="en-IE" w:eastAsia="en-IE"/>
              </w:rPr>
              <w:t>110 843 709</w:t>
            </w:r>
            <w:r w:rsidRPr="009F74E7">
              <w:rPr>
                <w:noProof/>
                <w:sz w:val="20"/>
                <w:szCs w:val="20"/>
                <w:lang w:val="en-IE" w:eastAsia="en-IE"/>
              </w:rPr>
              <w:t>)</w:t>
            </w:r>
          </w:p>
        </w:tc>
        <w:tc>
          <w:tcPr>
            <w:tcW w:w="1134" w:type="dxa"/>
            <w:shd w:val="clear" w:color="auto" w:fill="EAF1DD" w:themeFill="accent3" w:themeFillTint="33"/>
            <w:vAlign w:val="center"/>
          </w:tcPr>
          <w:p w14:paraId="72BCC9E2" w14:textId="5CA848B8" w:rsidR="00542350" w:rsidRPr="009F74E7" w:rsidRDefault="00542350" w:rsidP="00542350">
            <w:pPr>
              <w:spacing w:after="0"/>
              <w:jc w:val="right"/>
              <w:rPr>
                <w:noProof/>
                <w:sz w:val="20"/>
                <w:szCs w:val="20"/>
                <w:lang w:val="en-IE" w:eastAsia="en-IE"/>
              </w:rPr>
            </w:pPr>
            <w:r w:rsidRPr="009F74E7">
              <w:rPr>
                <w:noProof/>
                <w:sz w:val="20"/>
                <w:szCs w:val="20"/>
                <w:lang w:val="en-IE" w:eastAsia="en-IE"/>
              </w:rPr>
              <w:t>-</w:t>
            </w:r>
          </w:p>
        </w:tc>
        <w:tc>
          <w:tcPr>
            <w:tcW w:w="1389" w:type="dxa"/>
            <w:shd w:val="clear" w:color="auto" w:fill="EAF1DD" w:themeFill="accent3" w:themeFillTint="33"/>
            <w:noWrap/>
          </w:tcPr>
          <w:p w14:paraId="4F99CE53" w14:textId="24CD4463" w:rsidR="00542350" w:rsidRPr="00CD0933" w:rsidRDefault="00542350" w:rsidP="00542350">
            <w:pPr>
              <w:spacing w:after="0"/>
              <w:jc w:val="right"/>
              <w:rPr>
                <w:noProof/>
                <w:sz w:val="20"/>
                <w:szCs w:val="20"/>
                <w:lang w:val="en-IE" w:eastAsia="en-IE"/>
              </w:rPr>
            </w:pPr>
            <w:r w:rsidRPr="009F74E7">
              <w:rPr>
                <w:noProof/>
                <w:sz w:val="20"/>
                <w:szCs w:val="20"/>
              </w:rPr>
              <w:t xml:space="preserve">(4 </w:t>
            </w:r>
            <w:r w:rsidR="001970E4">
              <w:rPr>
                <w:noProof/>
                <w:sz w:val="20"/>
                <w:szCs w:val="20"/>
              </w:rPr>
              <w:t>696 510 155</w:t>
            </w:r>
            <w:r w:rsidRPr="009F74E7">
              <w:rPr>
                <w:noProof/>
                <w:sz w:val="20"/>
                <w:szCs w:val="20"/>
              </w:rPr>
              <w:t>)</w:t>
            </w:r>
          </w:p>
        </w:tc>
        <w:tc>
          <w:tcPr>
            <w:tcW w:w="1418" w:type="dxa"/>
            <w:shd w:val="clear" w:color="auto" w:fill="EAF1DD" w:themeFill="accent3" w:themeFillTint="33"/>
            <w:noWrap/>
          </w:tcPr>
          <w:p w14:paraId="5A8D1D4B" w14:textId="758D86B2" w:rsidR="00542350" w:rsidRPr="00E97345" w:rsidRDefault="00542350" w:rsidP="00542350">
            <w:pPr>
              <w:spacing w:after="0"/>
              <w:jc w:val="right"/>
              <w:rPr>
                <w:noProof/>
                <w:sz w:val="20"/>
                <w:szCs w:val="20"/>
                <w:lang w:val="en-IE" w:eastAsia="en-IE"/>
              </w:rPr>
            </w:pPr>
            <w:r w:rsidRPr="009F74E7">
              <w:rPr>
                <w:noProof/>
                <w:sz w:val="20"/>
                <w:szCs w:val="20"/>
              </w:rPr>
              <w:t xml:space="preserve">(1 </w:t>
            </w:r>
            <w:r w:rsidR="001970E4">
              <w:rPr>
                <w:noProof/>
                <w:sz w:val="20"/>
                <w:szCs w:val="20"/>
              </w:rPr>
              <w:t>908 005 277</w:t>
            </w:r>
            <w:r w:rsidRPr="009F74E7">
              <w:rPr>
                <w:noProof/>
                <w:sz w:val="20"/>
                <w:szCs w:val="20"/>
              </w:rPr>
              <w:t>)</w:t>
            </w:r>
          </w:p>
        </w:tc>
        <w:tc>
          <w:tcPr>
            <w:tcW w:w="1386" w:type="dxa"/>
            <w:shd w:val="clear" w:color="auto" w:fill="EAF1DD" w:themeFill="accent3" w:themeFillTint="33"/>
            <w:noWrap/>
          </w:tcPr>
          <w:p w14:paraId="72A9A999" w14:textId="04EF4199" w:rsidR="00542350" w:rsidRPr="00E97345" w:rsidRDefault="00542350" w:rsidP="00542350">
            <w:pPr>
              <w:spacing w:after="0"/>
              <w:jc w:val="right"/>
              <w:rPr>
                <w:noProof/>
                <w:sz w:val="20"/>
                <w:szCs w:val="20"/>
                <w:lang w:val="en-IE" w:eastAsia="en-IE"/>
              </w:rPr>
            </w:pPr>
            <w:r w:rsidRPr="009F74E7">
              <w:rPr>
                <w:noProof/>
                <w:sz w:val="20"/>
                <w:szCs w:val="20"/>
              </w:rPr>
              <w:t xml:space="preserve">(8 </w:t>
            </w:r>
            <w:r w:rsidR="001970E4">
              <w:rPr>
                <w:noProof/>
                <w:sz w:val="20"/>
                <w:szCs w:val="20"/>
              </w:rPr>
              <w:t>742 605 033</w:t>
            </w:r>
            <w:r w:rsidRPr="009F74E7">
              <w:rPr>
                <w:noProof/>
                <w:sz w:val="20"/>
                <w:szCs w:val="20"/>
              </w:rPr>
              <w:t>)</w:t>
            </w:r>
          </w:p>
        </w:tc>
      </w:tr>
      <w:tr w:rsidR="00542350" w:rsidRPr="0049798B" w14:paraId="49A24CBE" w14:textId="77777777" w:rsidTr="00651661">
        <w:trPr>
          <w:trHeight w:val="283"/>
        </w:trPr>
        <w:tc>
          <w:tcPr>
            <w:tcW w:w="2127" w:type="dxa"/>
            <w:shd w:val="clear" w:color="auto" w:fill="F2F2F2" w:themeFill="background1" w:themeFillShade="F2"/>
            <w:noWrap/>
            <w:vAlign w:val="center"/>
            <w:hideMark/>
          </w:tcPr>
          <w:p w14:paraId="2B8C0457" w14:textId="77777777" w:rsidR="00542350" w:rsidRPr="00FA63C0" w:rsidRDefault="00542350" w:rsidP="00542350">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417" w:type="dxa"/>
            <w:shd w:val="clear" w:color="auto" w:fill="F2F2F2" w:themeFill="background1" w:themeFillShade="F2"/>
            <w:vAlign w:val="center"/>
          </w:tcPr>
          <w:p w14:paraId="358F35BA" w14:textId="3E8BC2F8" w:rsidR="00542350" w:rsidRPr="00FA63C0" w:rsidRDefault="00542350" w:rsidP="00542350">
            <w:pPr>
              <w:spacing w:after="0"/>
              <w:jc w:val="right"/>
              <w:rPr>
                <w:b/>
                <w:bCs/>
                <w:noProof/>
                <w:sz w:val="20"/>
                <w:szCs w:val="20"/>
                <w:lang w:val="en-IE" w:eastAsia="en-IE"/>
              </w:rPr>
            </w:pPr>
            <w:r>
              <w:rPr>
                <w:b/>
                <w:bCs/>
                <w:noProof/>
                <w:sz w:val="20"/>
                <w:szCs w:val="20"/>
                <w:lang w:val="en-IE" w:eastAsia="en-IE"/>
              </w:rPr>
              <w:t>(4 585 666 446)</w:t>
            </w:r>
          </w:p>
        </w:tc>
        <w:tc>
          <w:tcPr>
            <w:tcW w:w="1276" w:type="dxa"/>
            <w:shd w:val="clear" w:color="auto" w:fill="F2F2F2" w:themeFill="background1" w:themeFillShade="F2"/>
            <w:vAlign w:val="center"/>
          </w:tcPr>
          <w:p w14:paraId="520CFC48" w14:textId="74C4D61E" w:rsidR="00542350" w:rsidRPr="00FA63C0" w:rsidRDefault="00542350" w:rsidP="00542350">
            <w:pPr>
              <w:spacing w:after="0"/>
              <w:jc w:val="right"/>
              <w:rPr>
                <w:b/>
                <w:bCs/>
                <w:noProof/>
                <w:sz w:val="20"/>
                <w:szCs w:val="20"/>
                <w:lang w:val="en-IE" w:eastAsia="en-IE"/>
              </w:rPr>
            </w:pPr>
            <w:r>
              <w:rPr>
                <w:b/>
                <w:bCs/>
                <w:noProof/>
                <w:sz w:val="20"/>
                <w:szCs w:val="20"/>
                <w:lang w:val="en-IE" w:eastAsia="en-IE"/>
              </w:rPr>
              <w:t>(</w:t>
            </w:r>
            <w:r w:rsidR="004F4002">
              <w:rPr>
                <w:b/>
                <w:bCs/>
                <w:noProof/>
                <w:sz w:val="20"/>
                <w:szCs w:val="20"/>
                <w:lang w:val="en-IE" w:eastAsia="en-IE"/>
              </w:rPr>
              <w:t>31 949 881</w:t>
            </w:r>
            <w:r>
              <w:rPr>
                <w:b/>
                <w:bCs/>
                <w:noProof/>
                <w:sz w:val="20"/>
                <w:szCs w:val="20"/>
                <w:lang w:val="en-IE" w:eastAsia="en-IE"/>
              </w:rPr>
              <w:t>)</w:t>
            </w:r>
          </w:p>
        </w:tc>
        <w:tc>
          <w:tcPr>
            <w:tcW w:w="1134" w:type="dxa"/>
            <w:shd w:val="clear" w:color="auto" w:fill="F2F2F2" w:themeFill="background1" w:themeFillShade="F2"/>
            <w:vAlign w:val="center"/>
          </w:tcPr>
          <w:p w14:paraId="57373C95" w14:textId="676D3845" w:rsidR="00542350" w:rsidRPr="00FA63C0" w:rsidRDefault="00542350" w:rsidP="00542350">
            <w:pPr>
              <w:spacing w:after="0"/>
              <w:jc w:val="right"/>
              <w:rPr>
                <w:b/>
                <w:bCs/>
                <w:noProof/>
                <w:sz w:val="20"/>
                <w:szCs w:val="20"/>
                <w:lang w:val="en-IE" w:eastAsia="en-IE"/>
              </w:rPr>
            </w:pPr>
            <w:r w:rsidRPr="00743B56">
              <w:rPr>
                <w:b/>
                <w:bCs/>
                <w:noProof/>
                <w:sz w:val="20"/>
                <w:szCs w:val="20"/>
                <w:lang w:val="en-IE" w:eastAsia="en-IE"/>
              </w:rPr>
              <w:t>-</w:t>
            </w:r>
          </w:p>
        </w:tc>
        <w:tc>
          <w:tcPr>
            <w:tcW w:w="1389" w:type="dxa"/>
            <w:shd w:val="clear" w:color="auto" w:fill="F2F2F2" w:themeFill="background1" w:themeFillShade="F2"/>
            <w:noWrap/>
          </w:tcPr>
          <w:p w14:paraId="7D1C0594" w14:textId="5BDCE90A" w:rsidR="00542350" w:rsidRPr="00A23119" w:rsidRDefault="00542350" w:rsidP="00542350">
            <w:pPr>
              <w:spacing w:after="0"/>
              <w:jc w:val="right"/>
              <w:rPr>
                <w:b/>
                <w:bCs/>
                <w:noProof/>
                <w:sz w:val="20"/>
                <w:szCs w:val="20"/>
                <w:lang w:val="en-IE" w:eastAsia="en-IE"/>
              </w:rPr>
            </w:pPr>
            <w:r w:rsidRPr="009F74E7">
              <w:rPr>
                <w:b/>
                <w:noProof/>
                <w:sz w:val="20"/>
                <w:szCs w:val="20"/>
              </w:rPr>
              <w:t xml:space="preserve">(4 </w:t>
            </w:r>
            <w:r w:rsidR="001970E4">
              <w:rPr>
                <w:b/>
                <w:noProof/>
                <w:sz w:val="20"/>
                <w:szCs w:val="20"/>
              </w:rPr>
              <w:t>617 616 327</w:t>
            </w:r>
            <w:r w:rsidRPr="009F74E7">
              <w:rPr>
                <w:b/>
                <w:noProof/>
                <w:sz w:val="20"/>
                <w:szCs w:val="20"/>
              </w:rPr>
              <w:t>)</w:t>
            </w:r>
          </w:p>
        </w:tc>
        <w:tc>
          <w:tcPr>
            <w:tcW w:w="1418" w:type="dxa"/>
            <w:shd w:val="clear" w:color="auto" w:fill="F2F2F2" w:themeFill="background1" w:themeFillShade="F2"/>
            <w:noWrap/>
          </w:tcPr>
          <w:p w14:paraId="370EFCB9" w14:textId="10BEBD8B" w:rsidR="00542350" w:rsidRPr="00CD0933" w:rsidRDefault="006B5F22" w:rsidP="00542350">
            <w:pPr>
              <w:spacing w:after="0"/>
              <w:jc w:val="right"/>
              <w:rPr>
                <w:b/>
                <w:bCs/>
                <w:noProof/>
                <w:sz w:val="20"/>
                <w:szCs w:val="20"/>
                <w:lang w:val="en-IE" w:eastAsia="en-IE"/>
              </w:rPr>
            </w:pPr>
            <w:r w:rsidRPr="006B5F22">
              <w:rPr>
                <w:b/>
                <w:noProof/>
                <w:sz w:val="20"/>
                <w:szCs w:val="20"/>
              </w:rPr>
              <w:t>(1</w:t>
            </w:r>
            <w:r>
              <w:rPr>
                <w:b/>
                <w:noProof/>
                <w:sz w:val="20"/>
                <w:szCs w:val="20"/>
              </w:rPr>
              <w:t xml:space="preserve"> </w:t>
            </w:r>
            <w:r w:rsidRPr="006B5F22">
              <w:rPr>
                <w:b/>
                <w:noProof/>
                <w:sz w:val="20"/>
                <w:szCs w:val="20"/>
              </w:rPr>
              <w:t>859</w:t>
            </w:r>
            <w:r>
              <w:rPr>
                <w:b/>
                <w:noProof/>
                <w:sz w:val="20"/>
                <w:szCs w:val="20"/>
              </w:rPr>
              <w:t xml:space="preserve"> </w:t>
            </w:r>
            <w:r w:rsidRPr="006B5F22">
              <w:rPr>
                <w:b/>
                <w:noProof/>
                <w:sz w:val="20"/>
                <w:szCs w:val="20"/>
              </w:rPr>
              <w:t>880</w:t>
            </w:r>
            <w:r>
              <w:rPr>
                <w:b/>
                <w:noProof/>
                <w:sz w:val="20"/>
                <w:szCs w:val="20"/>
              </w:rPr>
              <w:t xml:space="preserve"> </w:t>
            </w:r>
            <w:r w:rsidRPr="006B5F22">
              <w:rPr>
                <w:b/>
                <w:noProof/>
                <w:sz w:val="20"/>
                <w:szCs w:val="20"/>
              </w:rPr>
              <w:t>804)</w:t>
            </w:r>
            <w:r w:rsidRPr="006B5F22" w:rsidDel="006B5F22">
              <w:rPr>
                <w:b/>
                <w:noProof/>
                <w:sz w:val="20"/>
                <w:szCs w:val="20"/>
              </w:rPr>
              <w:t xml:space="preserve"> </w:t>
            </w:r>
          </w:p>
        </w:tc>
        <w:tc>
          <w:tcPr>
            <w:tcW w:w="1386" w:type="dxa"/>
            <w:shd w:val="clear" w:color="auto" w:fill="F2F2F2" w:themeFill="background1" w:themeFillShade="F2"/>
            <w:noWrap/>
          </w:tcPr>
          <w:p w14:paraId="550205B8" w14:textId="7A52210B" w:rsidR="00542350" w:rsidRPr="00CD0933" w:rsidRDefault="00542350" w:rsidP="00542350">
            <w:pPr>
              <w:spacing w:after="0"/>
              <w:jc w:val="right"/>
              <w:rPr>
                <w:b/>
                <w:bCs/>
                <w:noProof/>
                <w:sz w:val="20"/>
                <w:szCs w:val="20"/>
                <w:lang w:val="en-IE" w:eastAsia="en-IE"/>
              </w:rPr>
            </w:pPr>
            <w:r w:rsidRPr="009F74E7">
              <w:rPr>
                <w:b/>
                <w:noProof/>
                <w:sz w:val="20"/>
                <w:szCs w:val="20"/>
              </w:rPr>
              <w:t>(</w:t>
            </w:r>
            <w:r w:rsidR="006B5F22" w:rsidRPr="006B5F22">
              <w:rPr>
                <w:b/>
                <w:noProof/>
                <w:sz w:val="20"/>
                <w:szCs w:val="20"/>
              </w:rPr>
              <w:t>8</w:t>
            </w:r>
            <w:r w:rsidR="006B5F22">
              <w:rPr>
                <w:b/>
                <w:noProof/>
                <w:sz w:val="20"/>
                <w:szCs w:val="20"/>
              </w:rPr>
              <w:t xml:space="preserve"> </w:t>
            </w:r>
            <w:r w:rsidR="006B5F22" w:rsidRPr="006B5F22">
              <w:rPr>
                <w:b/>
                <w:noProof/>
                <w:sz w:val="20"/>
                <w:szCs w:val="20"/>
              </w:rPr>
              <w:t>632</w:t>
            </w:r>
            <w:r w:rsidR="006B5F22">
              <w:rPr>
                <w:b/>
                <w:noProof/>
                <w:sz w:val="20"/>
                <w:szCs w:val="20"/>
              </w:rPr>
              <w:t xml:space="preserve"> </w:t>
            </w:r>
            <w:r w:rsidR="006B5F22" w:rsidRPr="006B5F22">
              <w:rPr>
                <w:b/>
                <w:noProof/>
                <w:sz w:val="20"/>
                <w:szCs w:val="20"/>
              </w:rPr>
              <w:t>941</w:t>
            </w:r>
            <w:r w:rsidR="006B5F22">
              <w:rPr>
                <w:b/>
                <w:noProof/>
                <w:sz w:val="20"/>
                <w:szCs w:val="20"/>
              </w:rPr>
              <w:t xml:space="preserve"> </w:t>
            </w:r>
            <w:r w:rsidR="006B5F22" w:rsidRPr="006B5F22">
              <w:rPr>
                <w:b/>
                <w:noProof/>
                <w:sz w:val="20"/>
                <w:szCs w:val="20"/>
              </w:rPr>
              <w:t>851</w:t>
            </w:r>
            <w:r w:rsidRPr="009F74E7">
              <w:rPr>
                <w:b/>
                <w:noProof/>
                <w:sz w:val="20"/>
                <w:szCs w:val="20"/>
              </w:rPr>
              <w:t>)</w:t>
            </w:r>
          </w:p>
        </w:tc>
      </w:tr>
    </w:tbl>
    <w:p w14:paraId="4A78A671" w14:textId="27A53F88" w:rsidR="008F30BE" w:rsidRPr="00FE1A9F" w:rsidRDefault="008F30BE" w:rsidP="00340A97">
      <w:pPr>
        <w:pStyle w:val="Heading2"/>
        <w:numPr>
          <w:ilvl w:val="1"/>
          <w:numId w:val="10"/>
        </w:numPr>
        <w:tabs>
          <w:tab w:val="num" w:pos="283"/>
        </w:tabs>
        <w:spacing w:before="240"/>
        <w:ind w:left="1202"/>
        <w:rPr>
          <w:noProof/>
        </w:rPr>
      </w:pPr>
      <w:bookmarkStart w:id="186" w:name="_Toc208595305"/>
      <w:bookmarkStart w:id="187" w:name="_Toc208836929"/>
      <w:bookmarkStart w:id="188" w:name="_Toc214519709"/>
      <w:bookmarkStart w:id="189" w:name="_Toc216283360"/>
      <w:bookmarkStart w:id="190" w:name="_Toc228346915"/>
      <w:r w:rsidRPr="00FE1A9F">
        <w:rPr>
          <w:noProof/>
        </w:rPr>
        <w:t xml:space="preserve">PM5: </w:t>
      </w:r>
      <w:r w:rsidR="004D48D4" w:rsidRPr="00FE1A9F">
        <w:rPr>
          <w:noProof/>
        </w:rPr>
        <w:t>M</w:t>
      </w:r>
      <w:r w:rsidRPr="00FE1A9F">
        <w:rPr>
          <w:noProof/>
        </w:rPr>
        <w:t>echanism for Member States to identify areas to fast-track data centre deployment</w:t>
      </w:r>
      <w:bookmarkEnd w:id="186"/>
      <w:bookmarkEnd w:id="187"/>
      <w:bookmarkEnd w:id="188"/>
      <w:bookmarkEnd w:id="189"/>
      <w:bookmarkEnd w:id="190"/>
    </w:p>
    <w:p w14:paraId="119610E6" w14:textId="25AC0B02" w:rsidR="00561D9D" w:rsidRPr="00A3456F" w:rsidRDefault="00561D9D" w:rsidP="00561D9D">
      <w:pPr>
        <w:pStyle w:val="Text1"/>
        <w:ind w:left="0"/>
        <w:rPr>
          <w:noProof/>
        </w:rPr>
      </w:pPr>
      <w:r w:rsidRPr="59E4558D">
        <w:rPr>
          <w:noProof/>
        </w:rPr>
        <w:t xml:space="preserve">Under this measure, </w:t>
      </w:r>
      <w:r w:rsidR="005D42BA">
        <w:rPr>
          <w:noProof/>
        </w:rPr>
        <w:t>on the basis of a national data centre strategy</w:t>
      </w:r>
      <w:r w:rsidR="000C7CD2">
        <w:rPr>
          <w:noProof/>
        </w:rPr>
        <w:t>/plan</w:t>
      </w:r>
      <w:r w:rsidR="005D42BA">
        <w:rPr>
          <w:noProof/>
        </w:rPr>
        <w:t xml:space="preserve">, </w:t>
      </w:r>
      <w:r w:rsidRPr="59E4558D">
        <w:rPr>
          <w:noProof/>
        </w:rPr>
        <w:t xml:space="preserve">Member States would </w:t>
      </w:r>
      <w:r w:rsidR="00DE78CD">
        <w:rPr>
          <w:noProof/>
        </w:rPr>
        <w:t xml:space="preserve">need to </w:t>
      </w:r>
      <w:r w:rsidRPr="59E4558D">
        <w:rPr>
          <w:noProof/>
        </w:rPr>
        <w:t xml:space="preserve">identify areas to fast-track data centre deployment based on shared EU-level criteria (e.g. on connectivity, energy, water), allowing for the pre-selection of strategic sites where permitting procedures will be streamlined. Fast-tracking measures would apply to projects that have a significant social </w:t>
      </w:r>
      <w:r w:rsidRPr="00A3456F">
        <w:rPr>
          <w:noProof/>
        </w:rPr>
        <w:t>interest. This would be supported by EU level support through a coordination hub, which will provide guidance, model templates and best practice</w:t>
      </w:r>
      <w:r w:rsidR="00DE78CD">
        <w:rPr>
          <w:noProof/>
        </w:rPr>
        <w:t>s</w:t>
      </w:r>
      <w:r w:rsidRPr="00A3456F">
        <w:rPr>
          <w:noProof/>
        </w:rPr>
        <w:t>.</w:t>
      </w:r>
      <w:r w:rsidR="0054312B">
        <w:rPr>
          <w:noProof/>
        </w:rPr>
        <w:t xml:space="preserve"> </w:t>
      </w:r>
      <w:r w:rsidRPr="001F768F">
        <w:rPr>
          <w:noProof/>
        </w:rPr>
        <w:t xml:space="preserve">The toolbox established in the new Regulation on speeding-up environmental assessments would be leveraged for </w:t>
      </w:r>
      <w:r>
        <w:rPr>
          <w:noProof/>
        </w:rPr>
        <w:t>the designated</w:t>
      </w:r>
      <w:r w:rsidRPr="001F768F">
        <w:rPr>
          <w:noProof/>
        </w:rPr>
        <w:t xml:space="preserve"> </w:t>
      </w:r>
      <w:r w:rsidR="007648B4">
        <w:rPr>
          <w:noProof/>
        </w:rPr>
        <w:t>areas</w:t>
      </w:r>
      <w:r w:rsidRPr="001F768F">
        <w:rPr>
          <w:noProof/>
        </w:rPr>
        <w:t>, to allow them to benefit from the additional favourable provisions in environmental assessments</w:t>
      </w:r>
      <w:r>
        <w:rPr>
          <w:noProof/>
        </w:rPr>
        <w:t xml:space="preserve"> (overriding public interest, tacit approval, and dispute settlement)</w:t>
      </w:r>
      <w:r w:rsidRPr="001F768F">
        <w:rPr>
          <w:noProof/>
        </w:rPr>
        <w:t>.</w:t>
      </w:r>
      <w:r w:rsidRPr="00A3456F">
        <w:rPr>
          <w:noProof/>
        </w:rPr>
        <w:t xml:space="preserve"> Within fast-track </w:t>
      </w:r>
      <w:r w:rsidR="00A757C5">
        <w:rPr>
          <w:noProof/>
        </w:rPr>
        <w:t>areas</w:t>
      </w:r>
      <w:r w:rsidRPr="00A3456F">
        <w:rPr>
          <w:noProof/>
        </w:rPr>
        <w:t xml:space="preserve">, maximum timelines for data centre permitting </w:t>
      </w:r>
      <w:r w:rsidR="00815194">
        <w:rPr>
          <w:noProof/>
        </w:rPr>
        <w:t xml:space="preserve">beyond environmental impact assessment should </w:t>
      </w:r>
      <w:r w:rsidR="00D764BB" w:rsidRPr="00A3456F">
        <w:rPr>
          <w:noProof/>
        </w:rPr>
        <w:t>be</w:t>
      </w:r>
      <w:r w:rsidRPr="00A3456F">
        <w:rPr>
          <w:noProof/>
        </w:rPr>
        <w:t xml:space="preserve"> of 18 months from </w:t>
      </w:r>
      <w:r w:rsidR="00BB45CA" w:rsidDel="00A122E5">
        <w:rPr>
          <w:noProof/>
        </w:rPr>
        <w:t>the</w:t>
      </w:r>
      <w:r w:rsidR="00A122E5">
        <w:rPr>
          <w:noProof/>
        </w:rPr>
        <w:t xml:space="preserve"> date on which</w:t>
      </w:r>
      <w:r w:rsidRPr="00A3456F">
        <w:rPr>
          <w:noProof/>
        </w:rPr>
        <w:t xml:space="preserve"> a complete application </w:t>
      </w:r>
      <w:r w:rsidR="00A122E5">
        <w:rPr>
          <w:noProof/>
        </w:rPr>
        <w:t xml:space="preserve">is acknowledged as duly submitted to the point at which </w:t>
      </w:r>
      <w:r w:rsidR="00085E21">
        <w:rPr>
          <w:noProof/>
        </w:rPr>
        <w:t>constr</w:t>
      </w:r>
      <w:r w:rsidR="00A122E5">
        <w:rPr>
          <w:noProof/>
        </w:rPr>
        <w:t>u</w:t>
      </w:r>
      <w:r w:rsidR="00085E21">
        <w:rPr>
          <w:noProof/>
        </w:rPr>
        <w:t xml:space="preserve">ction </w:t>
      </w:r>
      <w:r w:rsidR="00FA676D">
        <w:rPr>
          <w:noProof/>
        </w:rPr>
        <w:t xml:space="preserve">activities for the new </w:t>
      </w:r>
      <w:r w:rsidR="00085E21">
        <w:rPr>
          <w:noProof/>
        </w:rPr>
        <w:t>facility</w:t>
      </w:r>
      <w:r w:rsidR="00FA676D">
        <w:rPr>
          <w:noProof/>
        </w:rPr>
        <w:t xml:space="preserve"> begin</w:t>
      </w:r>
      <w:r w:rsidRPr="00A3456F">
        <w:rPr>
          <w:noProof/>
        </w:rPr>
        <w:t xml:space="preserve">. This implies that Member States would be required to adopt procedural measures for accelerated data centre deployment. </w:t>
      </w:r>
    </w:p>
    <w:p w14:paraId="451304D9" w14:textId="19A36AF5" w:rsidR="00561D9D" w:rsidRPr="0007547C" w:rsidRDefault="00AC4E0E" w:rsidP="00561D9D">
      <w:pPr>
        <w:rPr>
          <w:noProof/>
        </w:rPr>
      </w:pPr>
      <w:r>
        <w:rPr>
          <w:bCs/>
          <w:i/>
          <w:noProof/>
          <w:lang w:val="en-IE"/>
        </w:rPr>
        <w:t>Impact on d</w:t>
      </w:r>
      <w:r w:rsidRPr="008C3C5A">
        <w:rPr>
          <w:bCs/>
          <w:i/>
          <w:noProof/>
          <w:lang w:val="en-IE"/>
        </w:rPr>
        <w:t>ata</w:t>
      </w:r>
      <w:r>
        <w:rPr>
          <w:bCs/>
          <w:i/>
          <w:noProof/>
          <w:lang w:val="en-IE"/>
        </w:rPr>
        <w:t xml:space="preserve"> </w:t>
      </w:r>
      <w:r w:rsidRPr="008C3C5A">
        <w:rPr>
          <w:bCs/>
          <w:i/>
          <w:noProof/>
          <w:lang w:val="en-IE"/>
        </w:rPr>
        <w:t xml:space="preserve">centre </w:t>
      </w:r>
      <w:r>
        <w:rPr>
          <w:bCs/>
          <w:i/>
          <w:noProof/>
          <w:lang w:val="en-IE"/>
        </w:rPr>
        <w:t>deployment acceleration</w:t>
      </w:r>
      <w:r w:rsidR="00561D9D" w:rsidRPr="0007547C">
        <w:rPr>
          <w:rFonts w:eastAsia="Times New Roman"/>
          <w:i/>
          <w:noProof/>
        </w:rPr>
        <w:t>.</w:t>
      </w:r>
      <w:r w:rsidR="00561D9D" w:rsidRPr="0007547C">
        <w:rPr>
          <w:rFonts w:eastAsia="Times New Roman"/>
          <w:noProof/>
        </w:rPr>
        <w:t xml:space="preserve"> </w:t>
      </w:r>
      <w:r w:rsidR="006D54A5">
        <w:rPr>
          <w:rFonts w:eastAsia="Times New Roman"/>
          <w:noProof/>
        </w:rPr>
        <w:t>As above, i</w:t>
      </w:r>
      <w:r w:rsidR="00561D9D" w:rsidRPr="0007547C">
        <w:rPr>
          <w:rFonts w:eastAsia="Times New Roman"/>
          <w:noProof/>
        </w:rPr>
        <w:t xml:space="preserve">t is assumed that the data centre growth rate under this option increases to </w:t>
      </w:r>
      <w:r w:rsidR="00561D9D">
        <w:rPr>
          <w:rFonts w:eastAsia="Times New Roman"/>
          <w:noProof/>
        </w:rPr>
        <w:t>15%</w:t>
      </w:r>
      <w:r w:rsidR="00561D9D" w:rsidRPr="0007547C">
        <w:rPr>
          <w:rFonts w:eastAsia="Times New Roman"/>
          <w:noProof/>
        </w:rPr>
        <w:t xml:space="preserve">. This uplift reflects the expectation that faster and more predictable processes with lower entry barriers, reduce time-to-market and improve investor certainty, thereby stimulating additional deployment compared to the baseline. A geographic expansion beyond primary and secondary markets is supposed to emerge under this measure, with new regional hubs emerging in Southern Europe, the Baltics, and Central &amp; Eastern Europe. The measure would primarily affect data centre operators, who account for most projects, and cloud service providers (CSPs) that construct and operate their own facilities (around 40% of projects). See Section </w:t>
      </w:r>
      <w:r w:rsidR="00561D9D" w:rsidRPr="0007547C">
        <w:rPr>
          <w:rFonts w:eastAsia="Times New Roman"/>
          <w:noProof/>
        </w:rPr>
        <w:fldChar w:fldCharType="begin"/>
      </w:r>
      <w:r w:rsidR="00561D9D" w:rsidRPr="0007547C">
        <w:rPr>
          <w:rFonts w:eastAsia="Times New Roman"/>
          <w:noProof/>
        </w:rPr>
        <w:instrText xml:space="preserve"> REF _Ref213422943 \w \h  \* MERGEFORMAT </w:instrText>
      </w:r>
      <w:r w:rsidR="00561D9D" w:rsidRPr="0007547C">
        <w:rPr>
          <w:rFonts w:eastAsia="Times New Roman"/>
          <w:noProof/>
        </w:rPr>
      </w:r>
      <w:r w:rsidR="00561D9D" w:rsidRPr="0007547C">
        <w:rPr>
          <w:rFonts w:eastAsia="Times New Roman"/>
          <w:noProof/>
        </w:rPr>
        <w:fldChar w:fldCharType="separate"/>
      </w:r>
      <w:r w:rsidR="000E7F11">
        <w:rPr>
          <w:rFonts w:eastAsia="Times New Roman"/>
          <w:noProof/>
        </w:rPr>
        <w:t>2.3.3</w:t>
      </w:r>
      <w:r w:rsidR="00561D9D" w:rsidRPr="0007547C">
        <w:rPr>
          <w:rFonts w:eastAsia="Times New Roman"/>
          <w:noProof/>
        </w:rPr>
        <w:fldChar w:fldCharType="end"/>
      </w:r>
      <w:r w:rsidR="00561D9D" w:rsidRPr="0007547C">
        <w:rPr>
          <w:rFonts w:eastAsia="Times New Roman"/>
          <w:noProof/>
        </w:rPr>
        <w:t xml:space="preserve"> for further details. It is assumed that the share of new projects benefitting from this measure increases from </w:t>
      </w:r>
      <w:r w:rsidR="006D54A5">
        <w:rPr>
          <w:rFonts w:eastAsia="Times New Roman"/>
          <w:noProof/>
        </w:rPr>
        <w:t>5</w:t>
      </w:r>
      <w:r w:rsidR="00561D9D" w:rsidRPr="0007547C">
        <w:rPr>
          <w:rFonts w:eastAsia="Times New Roman"/>
          <w:noProof/>
        </w:rPr>
        <w:t xml:space="preserve">% in 2027 to </w:t>
      </w:r>
      <w:r w:rsidR="006D54A5">
        <w:rPr>
          <w:rFonts w:eastAsia="Times New Roman"/>
          <w:noProof/>
        </w:rPr>
        <w:t>5</w:t>
      </w:r>
      <w:r w:rsidR="006D54A5" w:rsidRPr="0007547C">
        <w:rPr>
          <w:rFonts w:eastAsia="Times New Roman"/>
          <w:noProof/>
        </w:rPr>
        <w:t>0</w:t>
      </w:r>
      <w:r w:rsidR="00561D9D" w:rsidRPr="0007547C">
        <w:rPr>
          <w:rFonts w:eastAsia="Times New Roman"/>
          <w:noProof/>
        </w:rPr>
        <w:t>% by 2036.</w:t>
      </w:r>
      <w:r w:rsidR="00561D9D" w:rsidRPr="0007547C">
        <w:rPr>
          <w:noProof/>
        </w:rPr>
        <w:t xml:space="preserve"> </w:t>
      </w:r>
    </w:p>
    <w:p w14:paraId="3A9B675F" w14:textId="2DC888E4" w:rsidR="00E128E4" w:rsidRDefault="00561D9D" w:rsidP="00E128E4">
      <w:pPr>
        <w:pStyle w:val="Text1"/>
        <w:ind w:left="0"/>
        <w:rPr>
          <w:noProof/>
          <w:lang w:val="en-IE"/>
        </w:rPr>
      </w:pPr>
      <w:r w:rsidRPr="00A3456F">
        <w:rPr>
          <w:b/>
          <w:i/>
          <w:noProof/>
          <w:lang w:val="en-IE"/>
        </w:rPr>
        <w:t xml:space="preserve">Administrative </w:t>
      </w:r>
      <w:r w:rsidR="00370A93">
        <w:rPr>
          <w:b/>
          <w:i/>
          <w:noProof/>
          <w:lang w:val="en-IE"/>
        </w:rPr>
        <w:t xml:space="preserve">and adjustment </w:t>
      </w:r>
      <w:r w:rsidRPr="00A3456F">
        <w:rPr>
          <w:b/>
          <w:i/>
          <w:noProof/>
          <w:lang w:val="en-IE"/>
        </w:rPr>
        <w:t xml:space="preserve">costs for </w:t>
      </w:r>
      <w:r w:rsidR="00370A93">
        <w:rPr>
          <w:b/>
          <w:i/>
          <w:noProof/>
        </w:rPr>
        <w:t>d</w:t>
      </w:r>
      <w:r w:rsidR="00370A93" w:rsidRPr="59E4558D">
        <w:rPr>
          <w:b/>
          <w:i/>
          <w:noProof/>
        </w:rPr>
        <w:t xml:space="preserve">ata </w:t>
      </w:r>
      <w:r w:rsidR="00370A93">
        <w:rPr>
          <w:b/>
          <w:i/>
          <w:noProof/>
        </w:rPr>
        <w:t>c</w:t>
      </w:r>
      <w:r w:rsidR="00370A93" w:rsidRPr="59E4558D">
        <w:rPr>
          <w:b/>
          <w:i/>
          <w:noProof/>
        </w:rPr>
        <w:t xml:space="preserve">entre </w:t>
      </w:r>
      <w:r w:rsidR="00370A93">
        <w:rPr>
          <w:b/>
          <w:i/>
          <w:noProof/>
        </w:rPr>
        <w:t>o</w:t>
      </w:r>
      <w:r w:rsidR="00370A93" w:rsidRPr="59E4558D">
        <w:rPr>
          <w:b/>
          <w:i/>
          <w:noProof/>
        </w:rPr>
        <w:t>perators</w:t>
      </w:r>
      <w:r w:rsidRPr="00A3456F">
        <w:rPr>
          <w:noProof/>
          <w:lang w:val="en-IE"/>
        </w:rPr>
        <w:t xml:space="preserve">. </w:t>
      </w:r>
      <w:r w:rsidR="00E128E4">
        <w:rPr>
          <w:noProof/>
          <w:lang w:val="en-IE"/>
        </w:rPr>
        <w:t xml:space="preserve">If operators choose to build in these </w:t>
      </w:r>
      <w:r w:rsidR="007648B4">
        <w:rPr>
          <w:noProof/>
          <w:lang w:val="en-IE"/>
        </w:rPr>
        <w:t>areas</w:t>
      </w:r>
      <w:r w:rsidR="00E128E4">
        <w:rPr>
          <w:noProof/>
          <w:lang w:val="en-IE"/>
        </w:rPr>
        <w:t xml:space="preserve"> to benefit from accelerated permitting, they must comply with the technical, environmental and procedural conditions attached to the </w:t>
      </w:r>
      <w:r w:rsidR="007648B4">
        <w:rPr>
          <w:noProof/>
          <w:lang w:val="en-IE"/>
        </w:rPr>
        <w:t>areas</w:t>
      </w:r>
      <w:r w:rsidR="00E128E4">
        <w:rPr>
          <w:noProof/>
          <w:lang w:val="en-IE"/>
        </w:rPr>
        <w:t>. This gives rise both to administrative costs (i.e. information obligations needed to demonstrate compliance) as well as to</w:t>
      </w:r>
      <w:r w:rsidR="00E128E4" w:rsidRPr="001B7C4E">
        <w:rPr>
          <w:noProof/>
          <w:lang w:val="en-IE"/>
        </w:rPr>
        <w:t xml:space="preserve"> </w:t>
      </w:r>
      <w:r w:rsidR="00E128E4">
        <w:rPr>
          <w:noProof/>
          <w:lang w:val="en-IE"/>
        </w:rPr>
        <w:t>adjustment costs (i.e. changes in project design or planning). Even if they are voluntary costs as operators opt into the scheme, they are considered direct compliance costs once participation is decided. Administrative c</w:t>
      </w:r>
      <w:r w:rsidR="00E128E4" w:rsidRPr="00A3456F">
        <w:rPr>
          <w:noProof/>
          <w:lang w:val="en-IE"/>
        </w:rPr>
        <w:t xml:space="preserve">osts </w:t>
      </w:r>
      <w:r w:rsidR="00E128E4">
        <w:rPr>
          <w:noProof/>
          <w:lang w:val="en-IE"/>
        </w:rPr>
        <w:t xml:space="preserve">arise from the additional effort required to access the </w:t>
      </w:r>
      <w:r w:rsidR="007648B4">
        <w:rPr>
          <w:noProof/>
          <w:lang w:val="en-IE"/>
        </w:rPr>
        <w:t>area</w:t>
      </w:r>
      <w:r w:rsidR="00E128E4">
        <w:rPr>
          <w:noProof/>
          <w:lang w:val="en-IE"/>
        </w:rPr>
        <w:t xml:space="preserve">, i.e. preparing a specific application file, familiarising themselves with criteria and national implementing guidance, including connectivity, energy and water benchmarks, completing standardised templates/checklists and submitting evidence of compliance with </w:t>
      </w:r>
      <w:r w:rsidR="007648B4">
        <w:rPr>
          <w:noProof/>
          <w:lang w:val="en-IE"/>
        </w:rPr>
        <w:t>area</w:t>
      </w:r>
      <w:r w:rsidR="00E128E4">
        <w:rPr>
          <w:noProof/>
          <w:lang w:val="en-IE"/>
        </w:rPr>
        <w:t xml:space="preserve"> conditions.</w:t>
      </w:r>
      <w:r w:rsidR="00E128E4" w:rsidRPr="00A3456F">
        <w:rPr>
          <w:noProof/>
          <w:lang w:val="en-IE"/>
        </w:rPr>
        <w:t xml:space="preserve"> </w:t>
      </w:r>
      <w:r w:rsidR="00E128E4">
        <w:rPr>
          <w:noProof/>
          <w:lang w:val="en-IE"/>
        </w:rPr>
        <w:t xml:space="preserve">These costs </w:t>
      </w:r>
      <w:r w:rsidR="00E128E4" w:rsidRPr="00A3456F">
        <w:rPr>
          <w:noProof/>
          <w:lang w:val="en-IE"/>
        </w:rPr>
        <w:t xml:space="preserve">are assessed following the Standard Cost Model, focusing on </w:t>
      </w:r>
      <w:r w:rsidR="00E128E4">
        <w:rPr>
          <w:noProof/>
          <w:lang w:val="en-IE"/>
        </w:rPr>
        <w:t>the time</w:t>
      </w:r>
      <w:r w:rsidR="00E128E4" w:rsidRPr="00A3456F">
        <w:rPr>
          <w:noProof/>
          <w:lang w:val="en-IE"/>
        </w:rPr>
        <w:t xml:space="preserve"> required for operators to </w:t>
      </w:r>
      <w:r w:rsidR="00E128E4">
        <w:rPr>
          <w:noProof/>
          <w:lang w:val="en-IE"/>
        </w:rPr>
        <w:t xml:space="preserve">complete these tasks to </w:t>
      </w:r>
      <w:r w:rsidR="00E128E4" w:rsidRPr="00A3456F">
        <w:rPr>
          <w:noProof/>
          <w:lang w:val="en-IE"/>
        </w:rPr>
        <w:t xml:space="preserve">access fast-track </w:t>
      </w:r>
      <w:r w:rsidR="007648B4">
        <w:rPr>
          <w:noProof/>
          <w:lang w:val="en-IE"/>
        </w:rPr>
        <w:t>areas</w:t>
      </w:r>
      <w:r w:rsidR="00E128E4" w:rsidRPr="00A3456F">
        <w:rPr>
          <w:noProof/>
          <w:lang w:val="en-IE"/>
        </w:rPr>
        <w:t xml:space="preserve">. </w:t>
      </w:r>
      <w:r w:rsidR="00E128E4">
        <w:rPr>
          <w:noProof/>
          <w:lang w:val="en-IE"/>
        </w:rPr>
        <w:t>This is estimated as an effort of</w:t>
      </w:r>
      <w:r w:rsidR="00E128E4" w:rsidRPr="00DA029C">
        <w:rPr>
          <w:bCs/>
          <w:noProof/>
          <w:lang w:val="en-IE"/>
        </w:rPr>
        <w:t xml:space="preserve"> </w:t>
      </w:r>
      <w:r w:rsidR="00E128E4">
        <w:rPr>
          <w:bCs/>
          <w:noProof/>
          <w:lang w:val="en-IE"/>
        </w:rPr>
        <w:t>20</w:t>
      </w:r>
      <w:r w:rsidR="00E128E4" w:rsidRPr="00DA029C">
        <w:rPr>
          <w:bCs/>
          <w:noProof/>
          <w:lang w:val="en-IE"/>
        </w:rPr>
        <w:t xml:space="preserve"> staff days</w:t>
      </w:r>
      <w:r w:rsidR="00E128E4" w:rsidRPr="00EA560E">
        <w:rPr>
          <w:bCs/>
          <w:noProof/>
          <w:lang w:val="en-IE"/>
        </w:rPr>
        <w:t xml:space="preserve"> </w:t>
      </w:r>
      <w:r w:rsidR="00E128E4">
        <w:rPr>
          <w:bCs/>
          <w:noProof/>
          <w:lang w:val="en-IE"/>
        </w:rPr>
        <w:t>or 4 weeks</w:t>
      </w:r>
      <w:r w:rsidR="00E128E4" w:rsidRPr="00EA560E">
        <w:rPr>
          <w:bCs/>
          <w:noProof/>
          <w:lang w:val="en-IE"/>
        </w:rPr>
        <w:t xml:space="preserve"> (sensitivity range </w:t>
      </w:r>
      <w:r w:rsidR="00E128E4">
        <w:rPr>
          <w:bCs/>
          <w:noProof/>
          <w:lang w:val="en-IE"/>
        </w:rPr>
        <w:t>25</w:t>
      </w:r>
      <w:r w:rsidR="00E128E4" w:rsidRPr="00EA560E">
        <w:rPr>
          <w:bCs/>
          <w:noProof/>
          <w:lang w:val="en-IE"/>
        </w:rPr>
        <w:t>-</w:t>
      </w:r>
      <w:r w:rsidR="00E128E4">
        <w:rPr>
          <w:bCs/>
          <w:noProof/>
          <w:lang w:val="en-IE"/>
        </w:rPr>
        <w:t>15</w:t>
      </w:r>
      <w:r w:rsidR="00E128E4" w:rsidRPr="00EA560E">
        <w:rPr>
          <w:bCs/>
          <w:noProof/>
          <w:lang w:val="en-IE"/>
        </w:rPr>
        <w:t>)</w:t>
      </w:r>
      <w:r w:rsidR="00E128E4">
        <w:rPr>
          <w:bCs/>
          <w:noProof/>
          <w:lang w:val="en-IE"/>
        </w:rPr>
        <w:t xml:space="preserve"> per application.</w:t>
      </w:r>
      <w:r w:rsidR="00E128E4" w:rsidRPr="00BF15F2">
        <w:rPr>
          <w:bCs/>
          <w:noProof/>
          <w:lang w:val="en-IE"/>
        </w:rPr>
        <w:t xml:space="preserve"> </w:t>
      </w:r>
      <w:r w:rsidR="00E128E4" w:rsidRPr="005A7189">
        <w:rPr>
          <w:bCs/>
          <w:noProof/>
          <w:lang w:val="en-IE"/>
        </w:rPr>
        <w:t>This is multiplied by the</w:t>
      </w:r>
      <w:r w:rsidR="00E128E4">
        <w:rPr>
          <w:noProof/>
          <w:lang w:val="en-IE"/>
        </w:rPr>
        <w:t xml:space="preserve"> share of the data centre operators applying for the </w:t>
      </w:r>
      <w:r w:rsidR="007648B4">
        <w:rPr>
          <w:noProof/>
          <w:lang w:val="en-IE"/>
        </w:rPr>
        <w:t>areas</w:t>
      </w:r>
      <w:r w:rsidR="00E128E4">
        <w:rPr>
          <w:noProof/>
          <w:lang w:val="en-IE"/>
        </w:rPr>
        <w:t xml:space="preserve"> across the EU, since such </w:t>
      </w:r>
      <w:r w:rsidR="00E128E4" w:rsidRPr="006156D8">
        <w:rPr>
          <w:noProof/>
          <w:lang w:val="en-IE"/>
        </w:rPr>
        <w:t xml:space="preserve">costs </w:t>
      </w:r>
      <w:r w:rsidR="00E128E4">
        <w:rPr>
          <w:noProof/>
          <w:lang w:val="en-IE"/>
        </w:rPr>
        <w:t>are only incurred by</w:t>
      </w:r>
      <w:r w:rsidR="00E128E4" w:rsidRPr="006156D8">
        <w:rPr>
          <w:noProof/>
          <w:lang w:val="en-IE"/>
        </w:rPr>
        <w:t xml:space="preserve"> operators that apply to use fast-track </w:t>
      </w:r>
      <w:r w:rsidR="007648B4">
        <w:rPr>
          <w:noProof/>
          <w:lang w:val="en-IE"/>
        </w:rPr>
        <w:t>areas</w:t>
      </w:r>
      <w:r w:rsidR="00E128E4" w:rsidRPr="006156D8">
        <w:rPr>
          <w:noProof/>
          <w:lang w:val="en-IE"/>
        </w:rPr>
        <w:t>.</w:t>
      </w:r>
      <w:r w:rsidR="00E128E4" w:rsidRPr="004D3F8C">
        <w:rPr>
          <w:noProof/>
          <w:lang w:val="en-IE"/>
        </w:rPr>
        <w:t xml:space="preserve"> </w:t>
      </w:r>
      <w:r w:rsidR="00E128E4">
        <w:rPr>
          <w:noProof/>
          <w:lang w:val="en-IE"/>
        </w:rPr>
        <w:t>This is assumed to be 50% of the companies identified as building data centres in the EU.</w:t>
      </w:r>
    </w:p>
    <w:p w14:paraId="76D984CB" w14:textId="77777777" w:rsidR="00E128E4" w:rsidRPr="00BF15F2" w:rsidRDefault="00E128E4" w:rsidP="00E128E4">
      <w:pPr>
        <w:jc w:val="center"/>
        <w:rPr>
          <w:i/>
          <w:noProof/>
          <w:lang w:val="en-IE" w:bidi="he-IL"/>
        </w:rPr>
      </w:pPr>
      <w:r>
        <w:rPr>
          <w:i/>
          <w:noProof/>
        </w:rPr>
        <w:t>One-off administrative costs</w:t>
      </w:r>
      <w:r>
        <w:rPr>
          <w:i/>
          <w:noProof/>
          <w:vertAlign w:val="subscript"/>
        </w:rPr>
        <w:t xml:space="preserve"> year t</w:t>
      </w:r>
      <w:r w:rsidRPr="0007547C">
        <w:rPr>
          <w:i/>
          <w:noProof/>
        </w:rPr>
        <w:t xml:space="preserve"> = </w:t>
      </w:r>
      <w:r>
        <w:rPr>
          <w:i/>
          <w:noProof/>
        </w:rPr>
        <w:t>ΔT × labour cost × No. of applications</w:t>
      </w:r>
    </w:p>
    <w:p w14:paraId="11C8656C" w14:textId="112F5339" w:rsidR="00E128E4" w:rsidRDefault="00E128E4" w:rsidP="00E128E4">
      <w:pPr>
        <w:pStyle w:val="Text1"/>
        <w:ind w:left="0"/>
        <w:rPr>
          <w:noProof/>
          <w:lang w:val="en-IE"/>
        </w:rPr>
      </w:pPr>
      <w:r>
        <w:rPr>
          <w:noProof/>
          <w:lang w:val="en-IE"/>
        </w:rPr>
        <w:t xml:space="preserve">Operators are also expected to face one-off adjustment costs if their project design/planning shall be adapted to meet the </w:t>
      </w:r>
      <w:r w:rsidR="007648B4">
        <w:rPr>
          <w:noProof/>
          <w:lang w:val="en-IE"/>
        </w:rPr>
        <w:t>area</w:t>
      </w:r>
      <w:r>
        <w:rPr>
          <w:noProof/>
          <w:lang w:val="en-IE"/>
        </w:rPr>
        <w:t xml:space="preserve"> requirements, e.g., to comply with environmental conditions applicable within the </w:t>
      </w:r>
      <w:r w:rsidR="007648B4">
        <w:rPr>
          <w:noProof/>
          <w:lang w:val="en-IE"/>
        </w:rPr>
        <w:t>area</w:t>
      </w:r>
      <w:r>
        <w:rPr>
          <w:noProof/>
          <w:lang w:val="en-IE"/>
        </w:rPr>
        <w:t xml:space="preserve">. For simplicity, </w:t>
      </w:r>
      <w:r>
        <w:rPr>
          <w:bCs/>
          <w:noProof/>
          <w:lang w:val="en-IE"/>
        </w:rPr>
        <w:t>a</w:t>
      </w:r>
      <w:r w:rsidRPr="005A7189">
        <w:rPr>
          <w:bCs/>
          <w:noProof/>
          <w:lang w:val="en-IE"/>
        </w:rPr>
        <w:t>dapting workflows</w:t>
      </w:r>
      <w:r>
        <w:rPr>
          <w:bCs/>
          <w:noProof/>
          <w:lang w:val="en-IE"/>
        </w:rPr>
        <w:t>/operations</w:t>
      </w:r>
      <w:r w:rsidRPr="005A7189">
        <w:rPr>
          <w:bCs/>
          <w:noProof/>
          <w:lang w:val="en-IE"/>
        </w:rPr>
        <w:t xml:space="preserve"> to comply with </w:t>
      </w:r>
      <w:r w:rsidR="007648B4">
        <w:rPr>
          <w:bCs/>
          <w:noProof/>
          <w:lang w:val="en-IE"/>
        </w:rPr>
        <w:t>area</w:t>
      </w:r>
      <w:r w:rsidRPr="005A7189">
        <w:rPr>
          <w:bCs/>
          <w:noProof/>
          <w:lang w:val="en-IE"/>
        </w:rPr>
        <w:t xml:space="preserve">-specific requirements and accelerated permitting timelines has been estimated to cost each operator </w:t>
      </w:r>
      <w:r w:rsidRPr="00DA029C">
        <w:rPr>
          <w:bCs/>
          <w:noProof/>
          <w:lang w:val="en-IE"/>
        </w:rPr>
        <w:t xml:space="preserve">additional </w:t>
      </w:r>
      <w:r w:rsidR="002E0826">
        <w:rPr>
          <w:bCs/>
          <w:noProof/>
          <w:lang w:val="en-IE"/>
        </w:rPr>
        <w:t>40</w:t>
      </w:r>
      <w:r w:rsidR="002E0826" w:rsidRPr="00DA029C">
        <w:rPr>
          <w:bCs/>
          <w:noProof/>
          <w:lang w:val="en-IE"/>
        </w:rPr>
        <w:t xml:space="preserve"> </w:t>
      </w:r>
      <w:r w:rsidRPr="00DA029C">
        <w:rPr>
          <w:bCs/>
          <w:noProof/>
          <w:lang w:val="en-IE"/>
        </w:rPr>
        <w:t>staff days</w:t>
      </w:r>
      <w:r>
        <w:rPr>
          <w:bCs/>
          <w:noProof/>
          <w:lang w:val="en-IE"/>
        </w:rPr>
        <w:t xml:space="preserve"> </w:t>
      </w:r>
      <w:r w:rsidRPr="00EA560E">
        <w:rPr>
          <w:bCs/>
          <w:noProof/>
          <w:lang w:val="en-IE"/>
        </w:rPr>
        <w:t>(</w:t>
      </w:r>
      <w:r w:rsidR="004241F8">
        <w:rPr>
          <w:bCs/>
          <w:noProof/>
          <w:lang w:val="en-IE"/>
        </w:rPr>
        <w:t>30</w:t>
      </w:r>
      <w:r w:rsidRPr="00EA560E">
        <w:rPr>
          <w:bCs/>
          <w:noProof/>
          <w:lang w:val="en-IE"/>
        </w:rPr>
        <w:t>-</w:t>
      </w:r>
      <w:r w:rsidR="004241F8">
        <w:rPr>
          <w:bCs/>
          <w:noProof/>
          <w:lang w:val="en-IE"/>
        </w:rPr>
        <w:t>60</w:t>
      </w:r>
      <w:r w:rsidR="004241F8" w:rsidRPr="00EA560E">
        <w:rPr>
          <w:bCs/>
          <w:noProof/>
          <w:lang w:val="en-IE"/>
        </w:rPr>
        <w:t xml:space="preserve"> </w:t>
      </w:r>
      <w:r w:rsidRPr="00EA560E">
        <w:rPr>
          <w:bCs/>
          <w:noProof/>
          <w:lang w:val="en-IE"/>
        </w:rPr>
        <w:t>days)</w:t>
      </w:r>
      <w:r>
        <w:rPr>
          <w:bCs/>
          <w:noProof/>
          <w:lang w:val="en-IE"/>
        </w:rPr>
        <w:t xml:space="preserve"> to modify the project</w:t>
      </w:r>
      <w:r>
        <w:rPr>
          <w:rStyle w:val="FootnoteReference"/>
          <w:bCs/>
          <w:noProof/>
          <w:lang w:val="en-IE"/>
        </w:rPr>
        <w:footnoteReference w:id="49"/>
      </w:r>
      <w:r w:rsidRPr="005A7189">
        <w:rPr>
          <w:bCs/>
          <w:noProof/>
          <w:lang w:val="en-IE"/>
        </w:rPr>
        <w:t xml:space="preserve">. After this initial set-up, recurring costs per project to demonstrate </w:t>
      </w:r>
      <w:r w:rsidR="007648B4">
        <w:rPr>
          <w:bCs/>
          <w:noProof/>
          <w:lang w:val="en-IE"/>
        </w:rPr>
        <w:t>area</w:t>
      </w:r>
      <w:r w:rsidRPr="005A7189">
        <w:rPr>
          <w:bCs/>
          <w:noProof/>
          <w:lang w:val="en-IE"/>
        </w:rPr>
        <w:t xml:space="preserve"> eligibility are expected not to be incremental with respect to the baseline and are thus not represented. </w:t>
      </w:r>
    </w:p>
    <w:p w14:paraId="4FE79582" w14:textId="77777777" w:rsidR="00E128E4" w:rsidRDefault="00E128E4" w:rsidP="00E128E4">
      <w:pPr>
        <w:jc w:val="center"/>
        <w:rPr>
          <w:i/>
          <w:noProof/>
          <w:lang w:bidi="he-IL"/>
        </w:rPr>
      </w:pPr>
      <w:r>
        <w:rPr>
          <w:i/>
          <w:noProof/>
        </w:rPr>
        <w:t>One-off adjustment costs</w:t>
      </w:r>
      <w:r>
        <w:rPr>
          <w:i/>
          <w:noProof/>
          <w:vertAlign w:val="subscript"/>
        </w:rPr>
        <w:t>t</w:t>
      </w:r>
      <w:r w:rsidRPr="0007547C">
        <w:rPr>
          <w:i/>
          <w:noProof/>
        </w:rPr>
        <w:t xml:space="preserve"> = </w:t>
      </w:r>
      <w:r>
        <w:rPr>
          <w:i/>
          <w:noProof/>
        </w:rPr>
        <w:t xml:space="preserve">ΔT × labour cost × s × No. new facilities </w:t>
      </w:r>
    </w:p>
    <w:p w14:paraId="06B14137" w14:textId="11E48115" w:rsidR="009A20E4" w:rsidRPr="009A20E4" w:rsidRDefault="009A20E4" w:rsidP="009A20E4">
      <w:pPr>
        <w:pStyle w:val="Text1"/>
        <w:ind w:left="0"/>
        <w:rPr>
          <w:noProof/>
        </w:rPr>
      </w:pPr>
      <w:r>
        <w:rPr>
          <w:noProof/>
        </w:rPr>
        <w:t xml:space="preserve">Total costs </w:t>
      </w:r>
      <w:r w:rsidR="00AC6E16">
        <w:rPr>
          <w:noProof/>
        </w:rPr>
        <w:t xml:space="preserve">(one-off adjustment and one-off administrative) </w:t>
      </w:r>
      <w:r>
        <w:rPr>
          <w:noProof/>
        </w:rPr>
        <w:t xml:space="preserve">for data centre operators under PM5 are thus estimated at EUR </w:t>
      </w:r>
      <w:r w:rsidR="00174B69">
        <w:rPr>
          <w:noProof/>
        </w:rPr>
        <w:t>13.8</w:t>
      </w:r>
      <w:r>
        <w:rPr>
          <w:noProof/>
        </w:rPr>
        <w:t xml:space="preserve"> m (NPV, 10-years)</w:t>
      </w:r>
    </w:p>
    <w:p w14:paraId="26F59A99" w14:textId="6F0294AB" w:rsidR="00C01BF3" w:rsidRPr="003B56BA" w:rsidRDefault="00684C0C" w:rsidP="00C73124">
      <w:pPr>
        <w:pStyle w:val="Text1"/>
        <w:ind w:left="0"/>
        <w:rPr>
          <w:noProof/>
        </w:rPr>
      </w:pPr>
      <w:r>
        <w:rPr>
          <w:b/>
          <w:i/>
          <w:noProof/>
        </w:rPr>
        <w:t>Direct economic benefits for data centre operators</w:t>
      </w:r>
      <w:r w:rsidR="00561D9D" w:rsidRPr="003B56BA">
        <w:rPr>
          <w:noProof/>
        </w:rPr>
        <w:t>. This measure aims to provide additional benefits by reducing uncertainty over where investments should be directed. By creating a mechanism for Member States to identify fast-track areas, operators avoid wasted effort on non-viable sites. These changes are expected to reduce the number of iterations required and shorten internal and external time commitments. Once initiated, each new deployment in a designated</w:t>
      </w:r>
      <w:r w:rsidR="00561D9D" w:rsidRPr="003B56BA" w:rsidDel="007648B4">
        <w:rPr>
          <w:noProof/>
        </w:rPr>
        <w:t xml:space="preserve"> </w:t>
      </w:r>
      <w:r w:rsidR="007648B4">
        <w:rPr>
          <w:noProof/>
        </w:rPr>
        <w:t>area</w:t>
      </w:r>
      <w:r w:rsidR="007648B4" w:rsidRPr="003B56BA">
        <w:rPr>
          <w:noProof/>
        </w:rPr>
        <w:t xml:space="preserve"> </w:t>
      </w:r>
      <w:r w:rsidR="00561D9D" w:rsidRPr="003B56BA">
        <w:rPr>
          <w:noProof/>
        </w:rPr>
        <w:t xml:space="preserve">requires fewer efforts as eligibility is predefined and baseline data on connectivity, grid, water, land use are available. </w:t>
      </w:r>
      <w:r w:rsidR="00B02898" w:rsidRPr="003B56BA">
        <w:rPr>
          <w:noProof/>
        </w:rPr>
        <w:t xml:space="preserve">The </w:t>
      </w:r>
      <w:r w:rsidR="007648B4">
        <w:rPr>
          <w:noProof/>
        </w:rPr>
        <w:t>areas</w:t>
      </w:r>
      <w:r w:rsidR="00B02898" w:rsidRPr="003B56BA">
        <w:rPr>
          <w:noProof/>
        </w:rPr>
        <w:t xml:space="preserve"> are also assumed to shorten the average development cycle for a new data centre facility by an additional </w:t>
      </w:r>
      <w:r w:rsidR="00B02898">
        <w:rPr>
          <w:noProof/>
        </w:rPr>
        <w:t>8</w:t>
      </w:r>
      <w:r w:rsidR="00B02898" w:rsidRPr="003B56BA">
        <w:rPr>
          <w:noProof/>
        </w:rPr>
        <w:t xml:space="preserve"> months </w:t>
      </w:r>
      <w:r w:rsidR="00B02898">
        <w:rPr>
          <w:noProof/>
        </w:rPr>
        <w:t xml:space="preserve">(sensitivity 6-10), thus leading to a total </w:t>
      </w:r>
      <w:r w:rsidR="00B02898" w:rsidRPr="003B56BA">
        <w:rPr>
          <w:noProof/>
        </w:rPr>
        <w:t xml:space="preserve">duration from end of procurement to operation of </w:t>
      </w:r>
      <w:r w:rsidR="00B02898">
        <w:rPr>
          <w:noProof/>
        </w:rPr>
        <w:t>18</w:t>
      </w:r>
      <w:r w:rsidR="00B02898" w:rsidRPr="003B56BA">
        <w:rPr>
          <w:noProof/>
        </w:rPr>
        <w:t xml:space="preserve"> months</w:t>
      </w:r>
      <w:r w:rsidR="00B02898">
        <w:rPr>
          <w:noProof/>
        </w:rPr>
        <w:t xml:space="preserve">, </w:t>
      </w:r>
      <w:r w:rsidR="00B02898" w:rsidRPr="003B56BA">
        <w:rPr>
          <w:noProof/>
        </w:rPr>
        <w:t xml:space="preserve">assuming the full effect of </w:t>
      </w:r>
      <w:r w:rsidR="00B02898">
        <w:rPr>
          <w:noProof/>
        </w:rPr>
        <w:t>the above measure (PM4)</w:t>
      </w:r>
      <w:r w:rsidR="00B02898" w:rsidRPr="003B56BA">
        <w:rPr>
          <w:noProof/>
        </w:rPr>
        <w:t xml:space="preserve"> is also factored in. The improvement in timeline coming from the implementation of the areas identified for</w:t>
      </w:r>
      <w:r w:rsidR="00B02898">
        <w:rPr>
          <w:noProof/>
        </w:rPr>
        <w:t xml:space="preserve"> simplification</w:t>
      </w:r>
      <w:r w:rsidR="00B02898" w:rsidRPr="003B56BA">
        <w:rPr>
          <w:noProof/>
        </w:rPr>
        <w:t xml:space="preserve"> fast-track deployment, has been estimated in </w:t>
      </w:r>
      <w:r w:rsidR="00B02898">
        <w:rPr>
          <w:noProof/>
        </w:rPr>
        <w:t>8</w:t>
      </w:r>
      <w:r w:rsidR="00B02898" w:rsidRPr="003B56BA">
        <w:rPr>
          <w:noProof/>
        </w:rPr>
        <w:t xml:space="preserve"> months average, due to</w:t>
      </w:r>
      <w:r w:rsidR="00B02898">
        <w:rPr>
          <w:noProof/>
        </w:rPr>
        <w:t>:</w:t>
      </w:r>
    </w:p>
    <w:p w14:paraId="4F7F2A43" w14:textId="62E4697A" w:rsidR="00561D9D" w:rsidRPr="0007547C" w:rsidRDefault="00561D9D" w:rsidP="00744B72">
      <w:pPr>
        <w:pStyle w:val="Text1"/>
        <w:numPr>
          <w:ilvl w:val="0"/>
          <w:numId w:val="46"/>
        </w:numPr>
        <w:spacing w:after="0"/>
        <w:ind w:hanging="357"/>
        <w:rPr>
          <w:noProof/>
        </w:rPr>
      </w:pPr>
      <w:r w:rsidRPr="0007547C">
        <w:rPr>
          <w:noProof/>
        </w:rPr>
        <w:t>Coordinated spatial mapping, identifying brownfield sites, industrial areas near power infrastructure, and locations with minimal environmental sensitivity (2 months savings).</w:t>
      </w:r>
    </w:p>
    <w:p w14:paraId="32A42CB5" w14:textId="321D156B" w:rsidR="00FA139B" w:rsidRPr="0007547C" w:rsidRDefault="00561D9D" w:rsidP="00744B72">
      <w:pPr>
        <w:pStyle w:val="Text1"/>
        <w:numPr>
          <w:ilvl w:val="0"/>
          <w:numId w:val="46"/>
        </w:numPr>
        <w:spacing w:after="0"/>
        <w:ind w:hanging="357"/>
        <w:rPr>
          <w:noProof/>
        </w:rPr>
      </w:pPr>
      <w:r w:rsidRPr="0007547C">
        <w:rPr>
          <w:noProof/>
        </w:rPr>
        <w:t xml:space="preserve">Area-level </w:t>
      </w:r>
      <w:r w:rsidR="008F5D10">
        <w:rPr>
          <w:noProof/>
        </w:rPr>
        <w:t>Environmental Impact Assessment (EIA)</w:t>
      </w:r>
      <w:r w:rsidR="008F5D10" w:rsidRPr="0007547C">
        <w:rPr>
          <w:noProof/>
        </w:rPr>
        <w:t xml:space="preserve"> </w:t>
      </w:r>
      <w:r w:rsidRPr="0007547C">
        <w:rPr>
          <w:noProof/>
        </w:rPr>
        <w:t xml:space="preserve">completed in advance for entire </w:t>
      </w:r>
      <w:r w:rsidR="007648B4">
        <w:rPr>
          <w:noProof/>
        </w:rPr>
        <w:t>areas</w:t>
      </w:r>
      <w:r w:rsidR="007648B4" w:rsidRPr="0007547C">
        <w:rPr>
          <w:noProof/>
        </w:rPr>
        <w:t xml:space="preserve"> </w:t>
      </w:r>
      <w:r w:rsidRPr="0007547C">
        <w:rPr>
          <w:noProof/>
        </w:rPr>
        <w:t>(1 month carried out in parallel to the zoning).</w:t>
      </w:r>
    </w:p>
    <w:p w14:paraId="774AF128" w14:textId="309B2A2E" w:rsidR="00561D9D" w:rsidRPr="0007547C" w:rsidRDefault="00561D9D" w:rsidP="00744B72">
      <w:pPr>
        <w:pStyle w:val="Text1"/>
        <w:numPr>
          <w:ilvl w:val="0"/>
          <w:numId w:val="46"/>
        </w:numPr>
        <w:spacing w:after="0"/>
        <w:ind w:hanging="357"/>
        <w:rPr>
          <w:noProof/>
        </w:rPr>
      </w:pPr>
      <w:r w:rsidRPr="0007547C">
        <w:rPr>
          <w:noProof/>
        </w:rPr>
        <w:t>Standardized building codes, infrastructure requirements, and technical specifications (3 months average for building permit).</w:t>
      </w:r>
    </w:p>
    <w:p w14:paraId="068E743C" w14:textId="77777777" w:rsidR="00561D9D" w:rsidRPr="0007547C" w:rsidRDefault="00561D9D" w:rsidP="00744B72">
      <w:pPr>
        <w:pStyle w:val="Text1"/>
        <w:numPr>
          <w:ilvl w:val="0"/>
          <w:numId w:val="46"/>
        </w:numPr>
        <w:spacing w:after="120"/>
        <w:ind w:left="363" w:hanging="357"/>
        <w:rPr>
          <w:noProof/>
        </w:rPr>
      </w:pPr>
      <w:r w:rsidRPr="0007547C">
        <w:rPr>
          <w:noProof/>
        </w:rPr>
        <w:t>Dedicated infrastructure areas, i.e., pre-planned electrical capacity (12 months for grid connection).</w:t>
      </w:r>
    </w:p>
    <w:p w14:paraId="19164C67" w14:textId="644ED136" w:rsidR="00322845" w:rsidRDefault="008F41B8" w:rsidP="008D0BAC">
      <w:pPr>
        <w:pStyle w:val="Text1"/>
        <w:ind w:left="0"/>
        <w:rPr>
          <w:i/>
          <w:noProof/>
          <w:lang w:val="en-IE"/>
        </w:rPr>
      </w:pPr>
      <w:r>
        <w:rPr>
          <w:noProof/>
        </w:rPr>
        <w:t>As above, to capture these</w:t>
      </w:r>
      <w:r w:rsidRPr="005E02F6">
        <w:rPr>
          <w:noProof/>
        </w:rPr>
        <w:t xml:space="preserve"> </w:t>
      </w:r>
      <w:r>
        <w:rPr>
          <w:noProof/>
        </w:rPr>
        <w:t>direct economic</w:t>
      </w:r>
      <w:r w:rsidRPr="005E02F6">
        <w:rPr>
          <w:noProof/>
        </w:rPr>
        <w:t xml:space="preserve"> benefits, the analysis applies a </w:t>
      </w:r>
      <w:r>
        <w:rPr>
          <w:noProof/>
        </w:rPr>
        <w:t>NPV</w:t>
      </w:r>
      <w:r w:rsidRPr="005E02F6">
        <w:rPr>
          <w:noProof/>
        </w:rPr>
        <w:t xml:space="preserve"> approach </w:t>
      </w:r>
      <w:r>
        <w:rPr>
          <w:noProof/>
        </w:rPr>
        <w:t>to</w:t>
      </w:r>
      <w:r w:rsidRPr="005E02F6">
        <w:rPr>
          <w:noProof/>
        </w:rPr>
        <w:t xml:space="preserve"> compare the baseline permitting duration with the accelerated scenario and measure the economic value of bringing construction and commercial operation</w:t>
      </w:r>
      <w:r>
        <w:rPr>
          <w:noProof/>
        </w:rPr>
        <w:t>s</w:t>
      </w:r>
      <w:r w:rsidRPr="005E02F6">
        <w:rPr>
          <w:noProof/>
        </w:rPr>
        <w:t xml:space="preserve"> forward, discounted at the project WACC. The NPV gain </w:t>
      </w:r>
      <w:r>
        <w:rPr>
          <w:noProof/>
        </w:rPr>
        <w:t xml:space="preserve">is also </w:t>
      </w:r>
      <w:r w:rsidRPr="005E02F6">
        <w:rPr>
          <w:noProof/>
        </w:rPr>
        <w:t xml:space="preserve">associated with </w:t>
      </w:r>
      <w:r>
        <w:rPr>
          <w:noProof/>
        </w:rPr>
        <w:t>the reduction in PUE foreseen under this measure, as only the most sustainable data centres would be able to benefit from the fast-tracking.</w:t>
      </w:r>
      <w:r w:rsidRPr="005E02F6">
        <w:rPr>
          <w:noProof/>
        </w:rPr>
        <w:t xml:space="preserve"> </w:t>
      </w:r>
      <w:r>
        <w:rPr>
          <w:noProof/>
        </w:rPr>
        <w:t>In fact, expected i</w:t>
      </w:r>
      <w:r w:rsidRPr="000E0291">
        <w:rPr>
          <w:noProof/>
        </w:rPr>
        <w:t>mprovements in energy efficiency</w:t>
      </w:r>
      <w:r>
        <w:rPr>
          <w:noProof/>
        </w:rPr>
        <w:t xml:space="preserve">, modelled as </w:t>
      </w:r>
      <w:r w:rsidRPr="000E0291">
        <w:rPr>
          <w:noProof/>
        </w:rPr>
        <w:t>a declining PUE</w:t>
      </w:r>
      <w:r>
        <w:rPr>
          <w:noProof/>
        </w:rPr>
        <w:t xml:space="preserve">, also contribute to reducing </w:t>
      </w:r>
      <w:r w:rsidRPr="000E0291">
        <w:rPr>
          <w:noProof/>
        </w:rPr>
        <w:t>operating costs over time</w:t>
      </w:r>
      <w:r w:rsidRPr="005E02F6">
        <w:rPr>
          <w:noProof/>
        </w:rPr>
        <w:t xml:space="preserve">. </w:t>
      </w:r>
      <w:r w:rsidRPr="0007748B">
        <w:rPr>
          <w:noProof/>
        </w:rPr>
        <w:t>The</w:t>
      </w:r>
      <w:r w:rsidRPr="003F6E98">
        <w:rPr>
          <w:noProof/>
        </w:rPr>
        <w:t xml:space="preserve"> </w:t>
      </w:r>
      <w:r w:rsidRPr="004115EC">
        <w:rPr>
          <w:noProof/>
        </w:rPr>
        <w:t xml:space="preserve">NPV increase from EUR 58 million to EUR </w:t>
      </w:r>
      <w:r w:rsidRPr="0007748B">
        <w:rPr>
          <w:noProof/>
        </w:rPr>
        <w:t>7</w:t>
      </w:r>
      <w:r w:rsidRPr="004115EC">
        <w:rPr>
          <w:noProof/>
        </w:rPr>
        <w:t>4 million reflects the combined impact of accelerated commissioning and improved operational performance, which contribute to the economic benefit of permitting simplification.</w:t>
      </w:r>
      <w:r>
        <w:rPr>
          <w:noProof/>
        </w:rPr>
        <w:t xml:space="preserve"> </w:t>
      </w:r>
      <w:r w:rsidR="00561D9D" w:rsidRPr="00C1102A">
        <w:rPr>
          <w:bCs/>
          <w:iCs/>
          <w:noProof/>
          <w:lang w:val="en-IE"/>
        </w:rPr>
        <w:t>The business benefit is measured as the difference in net present value (NPV) between an accelerated-permitting scenario and a baseline scenario, discounted at project WACC (6%):</w:t>
      </w:r>
    </w:p>
    <w:p w14:paraId="6FDB41F7" w14:textId="7DFD86D0" w:rsidR="00322845" w:rsidRPr="00C1102A" w:rsidRDefault="00DF13FE" w:rsidP="00322845">
      <w:pPr>
        <w:pStyle w:val="Text1"/>
        <w:ind w:left="0"/>
        <w:jc w:val="center"/>
        <w:rPr>
          <w:noProof/>
          <w:lang w:val="en-IE"/>
        </w:rPr>
      </w:pPr>
      <w:r>
        <w:rPr>
          <w:i/>
          <w:noProof/>
          <w:lang w:val="en-IE"/>
        </w:rPr>
        <w:t>Direct e</w:t>
      </w:r>
      <w:r w:rsidR="00322845">
        <w:rPr>
          <w:i/>
          <w:noProof/>
          <w:lang w:val="en-IE"/>
        </w:rPr>
        <w:t>conomic benefit</w:t>
      </w:r>
      <w:r w:rsidR="00322845" w:rsidRPr="00C1102A">
        <w:rPr>
          <w:i/>
          <w:noProof/>
          <w:vertAlign w:val="subscript"/>
          <w:lang w:val="en-IE"/>
        </w:rPr>
        <w:t xml:space="preserve"> t</w:t>
      </w:r>
      <w:r w:rsidR="00322845" w:rsidRPr="00C1102A">
        <w:rPr>
          <w:noProof/>
          <w:lang w:val="en-IE"/>
        </w:rPr>
        <w:t xml:space="preserve"> = </w:t>
      </w:r>
      <w:r w:rsidR="00322845">
        <w:rPr>
          <w:noProof/>
          <w:lang w:val="en-IE"/>
        </w:rPr>
        <w:t>(</w:t>
      </w:r>
      <w:r w:rsidR="00322845" w:rsidRPr="00C1102A">
        <w:rPr>
          <w:i/>
          <w:iCs/>
          <w:noProof/>
          <w:lang w:val="en-IE"/>
        </w:rPr>
        <w:t>ΔNPV =</w:t>
      </w:r>
      <m:oMath>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PM5</m:t>
            </m:r>
          </m:sub>
        </m:sSub>
        <m:r>
          <w:rPr>
            <w:rFonts w:ascii="Cambria Math" w:hAnsi="Cambria Math"/>
            <w:noProof/>
            <w:lang w:val="en-IE"/>
          </w:rPr>
          <m:t>-</m:t>
        </m:r>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baseline</m:t>
            </m:r>
          </m:sub>
        </m:sSub>
        <m:r>
          <w:rPr>
            <w:rFonts w:ascii="Cambria Math" w:hAnsi="Cambria Math"/>
            <w:noProof/>
            <w:vertAlign w:val="subscript"/>
            <w:lang w:val="en-IE"/>
          </w:rPr>
          <m:t>)</m:t>
        </m:r>
      </m:oMath>
      <w:r w:rsidR="00322845">
        <w:rPr>
          <w:i/>
          <w:noProof/>
        </w:rPr>
        <w:t>× s × No. new facilities</w:t>
      </w:r>
    </w:p>
    <w:p w14:paraId="53CF0863" w14:textId="2C8A40C8" w:rsidR="00561D9D" w:rsidRPr="00741529" w:rsidRDefault="00561D9D" w:rsidP="00561D9D">
      <w:pPr>
        <w:pStyle w:val="Text1"/>
        <w:ind w:left="0"/>
        <w:rPr>
          <w:noProof/>
          <w:lang w:val="en-IE"/>
        </w:rPr>
      </w:pPr>
      <w:r w:rsidRPr="00C1102A">
        <w:rPr>
          <w:noProof/>
          <w:lang w:val="en-IE"/>
        </w:rPr>
        <w:t>Where each NPV is computed over a 1</w:t>
      </w:r>
      <w:r w:rsidRPr="00741529">
        <w:rPr>
          <w:noProof/>
          <w:lang w:val="en-IE"/>
        </w:rPr>
        <w:t>0</w:t>
      </w:r>
      <w:r w:rsidRPr="00C1102A">
        <w:rPr>
          <w:noProof/>
          <w:lang w:val="en-IE"/>
        </w:rPr>
        <w:t>-year horizon and includes all cash flows: CAPEX outflows during construction, OPEX, Revenues.</w:t>
      </w:r>
      <w:r w:rsidRPr="004115EC">
        <w:rPr>
          <w:noProof/>
        </w:rPr>
        <w:t xml:space="preserve"> The analysis has been carried out in nominal terms, with both costs and revenues indexed over time and discounted using a nominal WACC</w:t>
      </w:r>
      <w:r>
        <w:rPr>
          <w:noProof/>
        </w:rPr>
        <w:t>.</w:t>
      </w:r>
    </w:p>
    <w:tbl>
      <w:tblPr>
        <w:tblW w:w="5002" w:type="pct"/>
        <w:tblInd w:w="-3"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shd w:val="clear" w:color="auto" w:fill="FFFFFF" w:themeFill="background1"/>
        <w:tblLayout w:type="fixed"/>
        <w:tblCellMar>
          <w:left w:w="0" w:type="dxa"/>
          <w:right w:w="0" w:type="dxa"/>
        </w:tblCellMar>
        <w:tblLook w:val="04A0" w:firstRow="1" w:lastRow="0" w:firstColumn="1" w:lastColumn="0" w:noHBand="0" w:noVBand="1"/>
      </w:tblPr>
      <w:tblGrid>
        <w:gridCol w:w="4030"/>
        <w:gridCol w:w="1032"/>
        <w:gridCol w:w="2234"/>
        <w:gridCol w:w="1743"/>
      </w:tblGrid>
      <w:tr w:rsidR="00561D9D" w:rsidRPr="008F5D10" w14:paraId="175696C5" w14:textId="77777777">
        <w:trPr>
          <w:trHeight w:val="290"/>
        </w:trPr>
        <w:tc>
          <w:tcPr>
            <w:tcW w:w="2229" w:type="pct"/>
            <w:shd w:val="clear" w:color="auto" w:fill="FFFFFF" w:themeFill="background1"/>
            <w:noWrap/>
            <w:hideMark/>
          </w:tcPr>
          <w:p w14:paraId="4881ABE2" w14:textId="744CF288" w:rsidR="00561D9D" w:rsidRPr="008D0BAC" w:rsidRDefault="00561D9D">
            <w:pPr>
              <w:spacing w:after="0"/>
              <w:rPr>
                <w:rFonts w:eastAsia="Times New Roman"/>
                <w:b/>
                <w:bCs/>
                <w:noProof/>
                <w:sz w:val="22"/>
                <w:szCs w:val="22"/>
                <w:lang w:val="en-US"/>
              </w:rPr>
            </w:pPr>
            <w:r w:rsidRPr="008D0BAC">
              <w:rPr>
                <w:rFonts w:eastAsia="Times New Roman"/>
                <w:b/>
                <w:bCs/>
                <w:noProof/>
                <w:sz w:val="22"/>
                <w:szCs w:val="22"/>
                <w:lang w:val="en-US"/>
              </w:rPr>
              <w:t xml:space="preserve">NPV baseline (EUR </w:t>
            </w:r>
            <w:r w:rsidR="000511E9" w:rsidRPr="008D0BAC">
              <w:rPr>
                <w:rFonts w:eastAsia="Times New Roman"/>
                <w:b/>
                <w:bCs/>
                <w:noProof/>
                <w:sz w:val="22"/>
                <w:szCs w:val="22"/>
                <w:lang w:val="en-US"/>
              </w:rPr>
              <w:t>m</w:t>
            </w:r>
            <w:r w:rsidRPr="008D0BAC">
              <w:rPr>
                <w:rFonts w:eastAsia="Times New Roman"/>
                <w:b/>
                <w:bCs/>
                <w:noProof/>
                <w:sz w:val="22"/>
                <w:szCs w:val="22"/>
                <w:lang w:val="en-US"/>
              </w:rPr>
              <w:t>)</w:t>
            </w:r>
          </w:p>
        </w:tc>
        <w:tc>
          <w:tcPr>
            <w:tcW w:w="571" w:type="pct"/>
            <w:shd w:val="clear" w:color="auto" w:fill="FFFFFF" w:themeFill="background1"/>
          </w:tcPr>
          <w:p w14:paraId="596AB29B" w14:textId="56BA7577" w:rsidR="0053174D" w:rsidRPr="002770E2" w:rsidRDefault="0053174D" w:rsidP="000511E9">
            <w:pPr>
              <w:spacing w:after="0"/>
              <w:jc w:val="right"/>
              <w:rPr>
                <w:rFonts w:eastAsia="Times New Roman"/>
                <w:noProof/>
                <w:sz w:val="22"/>
                <w:szCs w:val="22"/>
                <w:lang w:val="en-US"/>
              </w:rPr>
            </w:pPr>
            <w:r w:rsidRPr="002770E2">
              <w:rPr>
                <w:rFonts w:eastAsia="Times New Roman"/>
                <w:noProof/>
                <w:sz w:val="22"/>
                <w:szCs w:val="22"/>
                <w:lang w:val="en-US"/>
              </w:rPr>
              <w:t>58.32</w:t>
            </w:r>
          </w:p>
        </w:tc>
        <w:tc>
          <w:tcPr>
            <w:tcW w:w="2200" w:type="pct"/>
            <w:gridSpan w:val="2"/>
            <w:shd w:val="clear" w:color="auto" w:fill="FFFFFF" w:themeFill="background1"/>
            <w:noWrap/>
            <w:hideMark/>
          </w:tcPr>
          <w:p w14:paraId="2B10AE51" w14:textId="5496679A" w:rsidR="00561D9D" w:rsidRPr="008D0BAC" w:rsidRDefault="000511E9" w:rsidP="00970D7D">
            <w:pPr>
              <w:spacing w:after="0"/>
              <w:jc w:val="right"/>
              <w:rPr>
                <w:rFonts w:eastAsia="Times New Roman"/>
                <w:b/>
                <w:noProof/>
                <w:sz w:val="22"/>
                <w:szCs w:val="22"/>
                <w:lang w:val="en-US"/>
              </w:rPr>
            </w:pPr>
            <w:r w:rsidRPr="008D0BAC">
              <w:rPr>
                <w:rFonts w:eastAsia="Times New Roman"/>
                <w:b/>
                <w:noProof/>
                <w:sz w:val="22"/>
                <w:szCs w:val="22"/>
                <w:lang w:val="en-US"/>
              </w:rPr>
              <w:t>Economic benefit</w:t>
            </w:r>
            <w:r w:rsidR="00561D9D" w:rsidRPr="008D0BAC">
              <w:rPr>
                <w:rFonts w:eastAsia="Times New Roman"/>
                <w:b/>
                <w:noProof/>
                <w:sz w:val="22"/>
                <w:szCs w:val="22"/>
                <w:lang w:val="en-US"/>
              </w:rPr>
              <w:t xml:space="preserve"> per project (EUR </w:t>
            </w:r>
            <w:r w:rsidRPr="008D0BAC">
              <w:rPr>
                <w:rFonts w:eastAsia="Times New Roman"/>
                <w:b/>
                <w:noProof/>
                <w:sz w:val="22"/>
                <w:szCs w:val="22"/>
                <w:lang w:val="en-US"/>
              </w:rPr>
              <w:t>m</w:t>
            </w:r>
            <w:r w:rsidR="00561D9D" w:rsidRPr="008D0BAC">
              <w:rPr>
                <w:rFonts w:eastAsia="Times New Roman"/>
                <w:b/>
                <w:noProof/>
                <w:sz w:val="22"/>
                <w:szCs w:val="22"/>
                <w:lang w:val="en-US"/>
              </w:rPr>
              <w:t>)</w:t>
            </w:r>
          </w:p>
          <w:p w14:paraId="39FC18F7" w14:textId="0A1CEB83" w:rsidR="00561D9D" w:rsidRPr="009C6360" w:rsidRDefault="00561D9D" w:rsidP="00970D7D">
            <w:pPr>
              <w:spacing w:after="0"/>
              <w:jc w:val="right"/>
              <w:rPr>
                <w:rFonts w:eastAsia="Times New Roman"/>
                <w:b/>
                <w:noProof/>
                <w:sz w:val="22"/>
                <w:szCs w:val="22"/>
                <w:lang w:val="en-US"/>
              </w:rPr>
            </w:pPr>
            <w:r w:rsidRPr="008D0BAC">
              <w:rPr>
                <w:rFonts w:eastAsia="Times New Roman"/>
                <w:b/>
                <w:noProof/>
                <w:sz w:val="22"/>
                <w:szCs w:val="22"/>
                <w:lang w:val="en-US"/>
              </w:rPr>
              <w:t xml:space="preserve">timeline reduction of </w:t>
            </w:r>
            <w:r w:rsidR="000511E9" w:rsidRPr="008D0BAC">
              <w:rPr>
                <w:rFonts w:eastAsia="Times New Roman"/>
                <w:b/>
                <w:noProof/>
                <w:sz w:val="22"/>
                <w:szCs w:val="22"/>
                <w:lang w:val="en-US"/>
              </w:rPr>
              <w:t>8</w:t>
            </w:r>
            <w:r w:rsidRPr="008D0BAC">
              <w:rPr>
                <w:rFonts w:eastAsia="Times New Roman"/>
                <w:b/>
                <w:noProof/>
                <w:sz w:val="22"/>
                <w:szCs w:val="22"/>
                <w:lang w:val="en-US"/>
              </w:rPr>
              <w:t xml:space="preserve"> months</w:t>
            </w:r>
          </w:p>
        </w:tc>
      </w:tr>
      <w:tr w:rsidR="00561D9D" w:rsidRPr="009C6360" w14:paraId="3E451D6F" w14:textId="77777777">
        <w:trPr>
          <w:trHeight w:val="290"/>
        </w:trPr>
        <w:tc>
          <w:tcPr>
            <w:tcW w:w="2229" w:type="pct"/>
            <w:shd w:val="clear" w:color="auto" w:fill="FFFFFF" w:themeFill="background1"/>
            <w:noWrap/>
            <w:hideMark/>
          </w:tcPr>
          <w:p w14:paraId="6FE2D1A4" w14:textId="355C77A4" w:rsidR="00561D9D" w:rsidRPr="008D0BAC" w:rsidRDefault="00561D9D">
            <w:pPr>
              <w:spacing w:after="0"/>
              <w:rPr>
                <w:rFonts w:eastAsia="Times New Roman"/>
                <w:b/>
                <w:bCs/>
                <w:noProof/>
                <w:sz w:val="22"/>
                <w:szCs w:val="22"/>
                <w:lang w:val="en-US"/>
              </w:rPr>
            </w:pPr>
            <w:r w:rsidRPr="008D0BAC">
              <w:rPr>
                <w:rFonts w:eastAsia="Times New Roman"/>
                <w:b/>
                <w:bCs/>
                <w:noProof/>
                <w:sz w:val="22"/>
                <w:szCs w:val="22"/>
                <w:lang w:val="en-US"/>
              </w:rPr>
              <w:t xml:space="preserve">NPV after PM implementation (EUR </w:t>
            </w:r>
            <w:r w:rsidR="000511E9" w:rsidRPr="008D0BAC">
              <w:rPr>
                <w:rFonts w:eastAsia="Times New Roman"/>
                <w:b/>
                <w:bCs/>
                <w:noProof/>
                <w:sz w:val="22"/>
                <w:szCs w:val="22"/>
                <w:lang w:val="en-US"/>
              </w:rPr>
              <w:t>m</w:t>
            </w:r>
            <w:r w:rsidRPr="008D0BAC">
              <w:rPr>
                <w:rFonts w:eastAsia="Times New Roman"/>
                <w:b/>
                <w:bCs/>
                <w:noProof/>
                <w:sz w:val="22"/>
                <w:szCs w:val="22"/>
                <w:lang w:val="en-US"/>
              </w:rPr>
              <w:t>)</w:t>
            </w:r>
          </w:p>
        </w:tc>
        <w:tc>
          <w:tcPr>
            <w:tcW w:w="571" w:type="pct"/>
            <w:shd w:val="clear" w:color="auto" w:fill="FFFFFF" w:themeFill="background1"/>
          </w:tcPr>
          <w:p w14:paraId="4F57E4D0" w14:textId="4A3940C7" w:rsidR="0053174D" w:rsidRDefault="0053174D" w:rsidP="000511E9">
            <w:pPr>
              <w:spacing w:after="0"/>
              <w:jc w:val="right"/>
              <w:rPr>
                <w:rFonts w:eastAsia="Times New Roman"/>
                <w:noProof/>
                <w:sz w:val="22"/>
                <w:szCs w:val="22"/>
                <w:lang w:val="en-US"/>
              </w:rPr>
            </w:pPr>
            <w:r>
              <w:rPr>
                <w:rFonts w:eastAsia="Times New Roman"/>
                <w:noProof/>
                <w:sz w:val="22"/>
                <w:szCs w:val="22"/>
                <w:lang w:val="en-US"/>
              </w:rPr>
              <w:t>74</w:t>
            </w:r>
            <w:r w:rsidR="00561D9D" w:rsidRPr="004465BE">
              <w:rPr>
                <w:rFonts w:eastAsia="Times New Roman"/>
                <w:noProof/>
                <w:sz w:val="22"/>
                <w:szCs w:val="22"/>
                <w:lang w:val="en-US"/>
              </w:rPr>
              <w:t>.</w:t>
            </w:r>
            <w:r>
              <w:rPr>
                <w:rFonts w:eastAsia="Times New Roman"/>
                <w:noProof/>
                <w:sz w:val="22"/>
                <w:szCs w:val="22"/>
                <w:lang w:val="en-US"/>
              </w:rPr>
              <w:t>89</w:t>
            </w:r>
          </w:p>
        </w:tc>
        <w:tc>
          <w:tcPr>
            <w:tcW w:w="1236" w:type="pct"/>
            <w:shd w:val="clear" w:color="auto" w:fill="FFFFFF" w:themeFill="background1"/>
            <w:noWrap/>
            <w:hideMark/>
          </w:tcPr>
          <w:p w14:paraId="43D33AC5" w14:textId="7819CC84" w:rsidR="00561D9D" w:rsidRPr="009C6360" w:rsidRDefault="0053174D" w:rsidP="00970D7D">
            <w:pPr>
              <w:spacing w:after="0"/>
              <w:jc w:val="right"/>
              <w:rPr>
                <w:rFonts w:eastAsia="Times New Roman"/>
                <w:noProof/>
                <w:sz w:val="22"/>
                <w:szCs w:val="22"/>
                <w:lang w:val="en-US"/>
              </w:rPr>
            </w:pPr>
            <w:r w:rsidRPr="0007748B">
              <w:rPr>
                <w:noProof/>
                <w:sz w:val="22"/>
                <w:szCs w:val="22"/>
              </w:rPr>
              <w:t>16.</w:t>
            </w:r>
            <w:r w:rsidR="003F0DE3" w:rsidRPr="0007748B">
              <w:rPr>
                <w:noProof/>
                <w:sz w:val="22"/>
                <w:szCs w:val="22"/>
              </w:rPr>
              <w:t>58</w:t>
            </w:r>
          </w:p>
        </w:tc>
        <w:tc>
          <w:tcPr>
            <w:tcW w:w="964" w:type="pct"/>
            <w:shd w:val="clear" w:color="auto" w:fill="FFFFFF" w:themeFill="background1"/>
            <w:noWrap/>
            <w:hideMark/>
          </w:tcPr>
          <w:p w14:paraId="19827EBF" w14:textId="0C07AA0B" w:rsidR="00561D9D" w:rsidRPr="009C6360" w:rsidRDefault="0053174D" w:rsidP="00970D7D">
            <w:pPr>
              <w:spacing w:after="0"/>
              <w:jc w:val="right"/>
              <w:rPr>
                <w:rFonts w:eastAsia="Times New Roman"/>
                <w:noProof/>
                <w:sz w:val="22"/>
                <w:szCs w:val="22"/>
                <w:lang w:val="en-US"/>
              </w:rPr>
            </w:pPr>
            <w:r w:rsidRPr="0007748B">
              <w:rPr>
                <w:noProof/>
                <w:sz w:val="22"/>
                <w:szCs w:val="22"/>
              </w:rPr>
              <w:t>28</w:t>
            </w:r>
            <w:r w:rsidR="00561D9D" w:rsidRPr="0007748B">
              <w:rPr>
                <w:noProof/>
                <w:sz w:val="22"/>
                <w:szCs w:val="22"/>
              </w:rPr>
              <w:t>%</w:t>
            </w:r>
          </w:p>
        </w:tc>
      </w:tr>
    </w:tbl>
    <w:p w14:paraId="282FFFBF" w14:textId="6BE72BCB" w:rsidR="003515EA" w:rsidRDefault="003515EA" w:rsidP="00C73124">
      <w:pPr>
        <w:pStyle w:val="Text1"/>
        <w:spacing w:before="240"/>
        <w:ind w:left="0"/>
        <w:rPr>
          <w:noProof/>
        </w:rPr>
      </w:pPr>
      <w:r>
        <w:rPr>
          <w:noProof/>
        </w:rPr>
        <w:t xml:space="preserve">As mentioned above under PM4, </w:t>
      </w:r>
      <w:r w:rsidRPr="00DE6E61">
        <w:rPr>
          <w:noProof/>
        </w:rPr>
        <w:t xml:space="preserve">a small share of this </w:t>
      </w:r>
      <w:r>
        <w:rPr>
          <w:noProof/>
        </w:rPr>
        <w:t xml:space="preserve">economic </w:t>
      </w:r>
      <w:r w:rsidRPr="00DE6E61">
        <w:rPr>
          <w:noProof/>
        </w:rPr>
        <w:t xml:space="preserve">benefit (around 1%) </w:t>
      </w:r>
      <w:r w:rsidR="005D3296">
        <w:rPr>
          <w:noProof/>
        </w:rPr>
        <w:t>is expected</w:t>
      </w:r>
      <w:r w:rsidRPr="00DE6E61">
        <w:rPr>
          <w:noProof/>
        </w:rPr>
        <w:t xml:space="preserve"> to direct administrative cost savings</w:t>
      </w:r>
      <w:r>
        <w:rPr>
          <w:noProof/>
        </w:rPr>
        <w:t xml:space="preserve">, i.e. </w:t>
      </w:r>
      <w:r w:rsidRPr="00DE6E61">
        <w:rPr>
          <w:noProof/>
        </w:rPr>
        <w:t>avoided work by staff and consultants (</w:t>
      </w:r>
      <w:r>
        <w:rPr>
          <w:noProof/>
        </w:rPr>
        <w:t>around 1</w:t>
      </w:r>
      <w:r w:rsidRPr="00DE6E61">
        <w:rPr>
          <w:noProof/>
        </w:rPr>
        <w:t>.5 FTE-years) that would otherwise be needed for document preparation, follow-ups with authorities, and procedural back-and-forth</w:t>
      </w:r>
      <w:r>
        <w:rPr>
          <w:noProof/>
        </w:rPr>
        <w:t xml:space="preserve"> foreseen before building a new data centre project</w:t>
      </w:r>
      <w:r w:rsidRPr="00DE6E61">
        <w:rPr>
          <w:noProof/>
        </w:rPr>
        <w:t>.</w:t>
      </w:r>
    </w:p>
    <w:p w14:paraId="77F9D10A" w14:textId="656CBF77" w:rsidR="00865F4C" w:rsidRDefault="003741E6" w:rsidP="000D48D6">
      <w:pPr>
        <w:pStyle w:val="Text1"/>
        <w:ind w:left="0"/>
        <w:rPr>
          <w:noProof/>
        </w:rPr>
      </w:pPr>
      <w:r>
        <w:rPr>
          <w:noProof/>
        </w:rPr>
        <w:t xml:space="preserve">Under this policy option, the project’s internal rate of return would consequently increase by over 80 basis points with respect to the baseline. Taken together, </w:t>
      </w:r>
      <w:r w:rsidR="0027296A">
        <w:rPr>
          <w:noProof/>
        </w:rPr>
        <w:t>PM4 and PM5 would increase the project’s IRR from 9.</w:t>
      </w:r>
      <w:r w:rsidR="003836B6">
        <w:rPr>
          <w:noProof/>
        </w:rPr>
        <w:t xml:space="preserve">86% to 10.70%, i.e. an economically meaningful </w:t>
      </w:r>
      <w:r w:rsidR="00874056">
        <w:rPr>
          <w:noProof/>
        </w:rPr>
        <w:t>shift which is expected to improve investor appetite.</w:t>
      </w:r>
      <w:r w:rsidR="005967B4">
        <w:rPr>
          <w:noProof/>
        </w:rPr>
        <w:t xml:space="preserve"> Interviews with investors confirmed that</w:t>
      </w:r>
      <w:r w:rsidR="00E47E37">
        <w:rPr>
          <w:noProof/>
        </w:rPr>
        <w:t xml:space="preserve"> data centre investments are evaluated across a wide risk-return spectrum, broadly consistent with market benchmarks positioning core infrastructure targeting around 7-</w:t>
      </w:r>
      <w:r w:rsidR="00FA6D76">
        <w:rPr>
          <w:noProof/>
        </w:rPr>
        <w:t>9</w:t>
      </w:r>
      <w:r w:rsidR="00E47E37">
        <w:rPr>
          <w:noProof/>
        </w:rPr>
        <w:t xml:space="preserve">% IRR and core-plus assets around 10-13%. </w:t>
      </w:r>
      <w:r w:rsidR="001E1760">
        <w:rPr>
          <w:noProof/>
        </w:rPr>
        <w:t>E</w:t>
      </w:r>
      <w:r w:rsidR="001E1760" w:rsidRPr="001E1760">
        <w:rPr>
          <w:noProof/>
        </w:rPr>
        <w:t>xpected returns depend strongly on asset maturity and risk profile: stabilised, fully built platforms with secured power and long-term contracts are treated as lower-risk assets, while development-stage projects face higher execution risk related to permitting, power availability, equipment procurement, and commercialisation.</w:t>
      </w:r>
      <w:r w:rsidR="001E1760">
        <w:rPr>
          <w:noProof/>
        </w:rPr>
        <w:t xml:space="preserve"> </w:t>
      </w:r>
      <w:r w:rsidR="00876E20">
        <w:rPr>
          <w:noProof/>
        </w:rPr>
        <w:t>E</w:t>
      </w:r>
      <w:r w:rsidR="00876E20" w:rsidRPr="00876E20">
        <w:rPr>
          <w:noProof/>
        </w:rPr>
        <w:t>quity investors typically target “</w:t>
      </w:r>
      <w:r w:rsidR="00301211" w:rsidRPr="00876E20">
        <w:rPr>
          <w:noProof/>
        </w:rPr>
        <w:t>single digit</w:t>
      </w:r>
      <w:r w:rsidR="00876E20" w:rsidRPr="00876E20">
        <w:rPr>
          <w:noProof/>
        </w:rPr>
        <w:t xml:space="preserve"> returns plus a risk premium,” with materially higher expectations for projects exposed to development, energy, or commercial risk. Together, these perspectives illustrate why moving a project from 9.9% to 10.7% IRR can reposition assets within investor target bands, improving competitiveness versus alternative infrastructure investments and affecting bankability</w:t>
      </w:r>
      <w:r w:rsidR="00301211">
        <w:rPr>
          <w:noProof/>
        </w:rPr>
        <w:t>. This is</w:t>
      </w:r>
      <w:r w:rsidR="00876E20">
        <w:rPr>
          <w:noProof/>
        </w:rPr>
        <w:t xml:space="preserve"> </w:t>
      </w:r>
      <w:r w:rsidR="00876E20" w:rsidRPr="00876E20">
        <w:rPr>
          <w:noProof/>
        </w:rPr>
        <w:t xml:space="preserve">particularly </w:t>
      </w:r>
      <w:r w:rsidR="00301211">
        <w:rPr>
          <w:noProof/>
        </w:rPr>
        <w:t xml:space="preserve">relevant </w:t>
      </w:r>
      <w:r w:rsidR="00876E20" w:rsidRPr="00876E20">
        <w:rPr>
          <w:noProof/>
        </w:rPr>
        <w:t xml:space="preserve">for mid-sized European data centres (typically 5–25 MW), which </w:t>
      </w:r>
      <w:r w:rsidR="003213B4">
        <w:rPr>
          <w:noProof/>
        </w:rPr>
        <w:t>are aligned with institutional investment ticket sizes</w:t>
      </w:r>
      <w:r w:rsidR="00876E20" w:rsidRPr="00876E20">
        <w:rPr>
          <w:noProof/>
        </w:rPr>
        <w:t xml:space="preserve"> but face tighter margins and higher relative development risk than hyperscale</w:t>
      </w:r>
      <w:r w:rsidR="00557F1C">
        <w:rPr>
          <w:noProof/>
        </w:rPr>
        <w:t>r projects</w:t>
      </w:r>
      <w:r w:rsidR="00876E20" w:rsidRPr="00876E20">
        <w:rPr>
          <w:noProof/>
        </w:rPr>
        <w:t>.</w:t>
      </w:r>
      <w:r w:rsidR="00557F1C">
        <w:rPr>
          <w:noProof/>
        </w:rPr>
        <w:t xml:space="preserve"> </w:t>
      </w:r>
    </w:p>
    <w:p w14:paraId="2E705A8D" w14:textId="1A64EB6B" w:rsidR="000D48D6" w:rsidRPr="008D0BAC" w:rsidRDefault="000D48D6" w:rsidP="000D48D6">
      <w:pPr>
        <w:pStyle w:val="Text1"/>
        <w:ind w:left="0"/>
        <w:rPr>
          <w:noProof/>
        </w:rPr>
      </w:pPr>
      <w:r>
        <w:rPr>
          <w:noProof/>
        </w:rPr>
        <w:t xml:space="preserve">Total </w:t>
      </w:r>
      <w:r w:rsidR="001E0AF9">
        <w:rPr>
          <w:noProof/>
        </w:rPr>
        <w:t>direct</w:t>
      </w:r>
      <w:r>
        <w:rPr>
          <w:noProof/>
        </w:rPr>
        <w:t xml:space="preserve"> economic benefits for data centre operators under PM5 are thus estimated at EUR </w:t>
      </w:r>
      <w:r w:rsidR="005E49F6">
        <w:rPr>
          <w:noProof/>
        </w:rPr>
        <w:t>11</w:t>
      </w:r>
      <w:r>
        <w:rPr>
          <w:noProof/>
        </w:rPr>
        <w:t>.</w:t>
      </w:r>
      <w:r w:rsidR="005E49F6">
        <w:rPr>
          <w:noProof/>
        </w:rPr>
        <w:t>8</w:t>
      </w:r>
      <w:r>
        <w:rPr>
          <w:noProof/>
        </w:rPr>
        <w:t xml:space="preserve"> </w:t>
      </w:r>
      <w:r w:rsidR="005E49F6">
        <w:rPr>
          <w:noProof/>
        </w:rPr>
        <w:t>bn</w:t>
      </w:r>
      <w:r>
        <w:rPr>
          <w:noProof/>
        </w:rPr>
        <w:t xml:space="preserve"> (NPV, 10-years)</w:t>
      </w:r>
    </w:p>
    <w:p w14:paraId="6D1DA0AD" w14:textId="30F6FE7B" w:rsidR="00C037D0" w:rsidRDefault="00561D9D" w:rsidP="00561D9D">
      <w:pPr>
        <w:pStyle w:val="Text1"/>
        <w:ind w:left="0"/>
        <w:rPr>
          <w:noProof/>
          <w:lang w:val="en-IE"/>
        </w:rPr>
      </w:pPr>
      <w:r w:rsidRPr="00335BA7">
        <w:rPr>
          <w:b/>
          <w:i/>
          <w:noProof/>
          <w:lang w:val="en-IE"/>
        </w:rPr>
        <w:t>Ad</w:t>
      </w:r>
      <w:r w:rsidRPr="00335BA7">
        <w:rPr>
          <w:b/>
          <w:bCs/>
          <w:i/>
          <w:iCs/>
          <w:noProof/>
          <w:lang w:val="en-IE"/>
        </w:rPr>
        <w:t xml:space="preserve">justment </w:t>
      </w:r>
      <w:r w:rsidR="00843CA7">
        <w:rPr>
          <w:b/>
          <w:bCs/>
          <w:i/>
          <w:iCs/>
          <w:noProof/>
          <w:lang w:val="en-IE"/>
        </w:rPr>
        <w:t xml:space="preserve">and administrative </w:t>
      </w:r>
      <w:r w:rsidRPr="00335BA7">
        <w:rPr>
          <w:b/>
          <w:bCs/>
          <w:i/>
          <w:iCs/>
          <w:noProof/>
          <w:lang w:val="en-IE"/>
        </w:rPr>
        <w:t>costs for</w:t>
      </w:r>
      <w:r w:rsidRPr="00335BA7">
        <w:rPr>
          <w:b/>
          <w:i/>
          <w:noProof/>
          <w:lang w:val="en-IE"/>
        </w:rPr>
        <w:t xml:space="preserve"> </w:t>
      </w:r>
      <w:r w:rsidR="00CA67E8">
        <w:rPr>
          <w:b/>
          <w:i/>
          <w:noProof/>
          <w:lang w:val="en-IE"/>
        </w:rPr>
        <w:t>n</w:t>
      </w:r>
      <w:r w:rsidR="00CA67E8" w:rsidRPr="00335BA7">
        <w:rPr>
          <w:b/>
          <w:i/>
          <w:noProof/>
          <w:lang w:val="en-IE"/>
        </w:rPr>
        <w:t xml:space="preserve">ational </w:t>
      </w:r>
      <w:r w:rsidRPr="00335BA7">
        <w:rPr>
          <w:b/>
          <w:i/>
          <w:noProof/>
          <w:lang w:val="en-IE"/>
        </w:rPr>
        <w:t>public authorities</w:t>
      </w:r>
      <w:r w:rsidRPr="00335BA7">
        <w:rPr>
          <w:noProof/>
          <w:lang w:val="en-IE"/>
        </w:rPr>
        <w:t xml:space="preserve">. </w:t>
      </w:r>
      <w:r>
        <w:rPr>
          <w:noProof/>
        </w:rPr>
        <w:t>M</w:t>
      </w:r>
      <w:r w:rsidR="00DC6CD5">
        <w:rPr>
          <w:noProof/>
        </w:rPr>
        <w:t>ember States</w:t>
      </w:r>
      <w:r>
        <w:rPr>
          <w:noProof/>
        </w:rPr>
        <w:t xml:space="preserve"> are required to</w:t>
      </w:r>
      <w:r w:rsidR="000C7CD2">
        <w:rPr>
          <w:noProof/>
        </w:rPr>
        <w:t xml:space="preserve"> draft strategies </w:t>
      </w:r>
      <w:r w:rsidR="005D0C15">
        <w:rPr>
          <w:noProof/>
        </w:rPr>
        <w:t>for national data centre deployment</w:t>
      </w:r>
      <w:r w:rsidR="000A7BD7">
        <w:rPr>
          <w:noProof/>
        </w:rPr>
        <w:t>, where these do not already exist</w:t>
      </w:r>
      <w:r w:rsidR="00F90E7C">
        <w:rPr>
          <w:noProof/>
        </w:rPr>
        <w:t xml:space="preserve"> and, a</w:t>
      </w:r>
      <w:r w:rsidR="000A7BD7">
        <w:rPr>
          <w:noProof/>
        </w:rPr>
        <w:t xml:space="preserve">s part of these, </w:t>
      </w:r>
      <w:r>
        <w:rPr>
          <w:noProof/>
        </w:rPr>
        <w:t>designate suitable areas for fast-track data centre permitting</w:t>
      </w:r>
      <w:r w:rsidR="00F90E7C">
        <w:rPr>
          <w:noProof/>
        </w:rPr>
        <w:t>. This activity is expected to generate</w:t>
      </w:r>
      <w:r>
        <w:rPr>
          <w:noProof/>
        </w:rPr>
        <w:t xml:space="preserve"> mandatory </w:t>
      </w:r>
      <w:r w:rsidR="00C230D1">
        <w:rPr>
          <w:noProof/>
        </w:rPr>
        <w:t xml:space="preserve">one-off </w:t>
      </w:r>
      <w:r w:rsidR="009A740A">
        <w:rPr>
          <w:noProof/>
        </w:rPr>
        <w:t xml:space="preserve">administrative </w:t>
      </w:r>
      <w:r>
        <w:rPr>
          <w:noProof/>
        </w:rPr>
        <w:t xml:space="preserve">costs for public authorities. </w:t>
      </w:r>
      <w:r w:rsidR="00093B11">
        <w:rPr>
          <w:noProof/>
          <w:lang w:val="en-IE"/>
        </w:rPr>
        <w:t>Since at least 7 MS already have a national data centre strategy or</w:t>
      </w:r>
      <w:r w:rsidR="00013FCE">
        <w:rPr>
          <w:noProof/>
          <w:lang w:val="en-IE"/>
        </w:rPr>
        <w:t xml:space="preserve"> an analogous</w:t>
      </w:r>
      <w:r w:rsidR="00093B11">
        <w:rPr>
          <w:noProof/>
          <w:lang w:val="en-IE"/>
        </w:rPr>
        <w:t xml:space="preserve"> document</w:t>
      </w:r>
      <w:r w:rsidR="00013FCE">
        <w:rPr>
          <w:noProof/>
          <w:lang w:val="en-IE"/>
        </w:rPr>
        <w:t xml:space="preserve"> ready or in the making (see footnote </w:t>
      </w:r>
      <w:r w:rsidR="005C5C0B">
        <w:rPr>
          <w:noProof/>
          <w:lang w:val="en-IE"/>
        </w:rPr>
        <w:fldChar w:fldCharType="begin"/>
      </w:r>
      <w:r w:rsidR="005C5C0B">
        <w:rPr>
          <w:noProof/>
          <w:lang w:val="en-IE"/>
        </w:rPr>
        <w:instrText xml:space="preserve"> NOTEREF _Ref221814707 \h </w:instrText>
      </w:r>
      <w:r w:rsidR="005C5C0B">
        <w:rPr>
          <w:noProof/>
          <w:lang w:val="en-IE"/>
        </w:rPr>
      </w:r>
      <w:r w:rsidR="005C5C0B">
        <w:rPr>
          <w:noProof/>
          <w:lang w:val="en-IE"/>
        </w:rPr>
        <w:fldChar w:fldCharType="separate"/>
      </w:r>
      <w:r w:rsidR="000E7F11">
        <w:rPr>
          <w:noProof/>
          <w:lang w:val="en-IE"/>
        </w:rPr>
        <w:t>206</w:t>
      </w:r>
      <w:r w:rsidR="005C5C0B">
        <w:rPr>
          <w:noProof/>
          <w:lang w:val="en-IE"/>
        </w:rPr>
        <w:fldChar w:fldCharType="end"/>
      </w:r>
      <w:r w:rsidR="00013FCE">
        <w:rPr>
          <w:noProof/>
          <w:lang w:val="en-IE"/>
        </w:rPr>
        <w:t>)</w:t>
      </w:r>
      <w:r w:rsidR="00093B11">
        <w:rPr>
          <w:noProof/>
          <w:lang w:val="en-IE"/>
        </w:rPr>
        <w:t>, 20</w:t>
      </w:r>
      <w:r w:rsidR="00CB7CB5">
        <w:rPr>
          <w:noProof/>
          <w:lang w:val="en-IE"/>
        </w:rPr>
        <w:t xml:space="preserve"> Member States </w:t>
      </w:r>
      <w:r w:rsidR="009A740A">
        <w:rPr>
          <w:noProof/>
          <w:lang w:val="en-IE"/>
        </w:rPr>
        <w:t>are expected</w:t>
      </w:r>
      <w:r w:rsidR="00CB7CB5">
        <w:rPr>
          <w:noProof/>
          <w:lang w:val="en-IE"/>
        </w:rPr>
        <w:t xml:space="preserve"> to </w:t>
      </w:r>
      <w:r w:rsidR="00DB218A">
        <w:rPr>
          <w:noProof/>
          <w:lang w:val="en-IE"/>
        </w:rPr>
        <w:t xml:space="preserve">incur </w:t>
      </w:r>
      <w:r w:rsidR="009A740A">
        <w:rPr>
          <w:noProof/>
          <w:lang w:val="en-IE"/>
        </w:rPr>
        <w:t>additional administrative</w:t>
      </w:r>
      <w:r w:rsidR="00DB218A">
        <w:rPr>
          <w:noProof/>
          <w:lang w:val="en-IE"/>
        </w:rPr>
        <w:t xml:space="preserve"> costs to draft new strategies</w:t>
      </w:r>
      <w:r w:rsidR="00F72EE0">
        <w:rPr>
          <w:noProof/>
          <w:lang w:val="en-IE"/>
        </w:rPr>
        <w:t xml:space="preserve">. </w:t>
      </w:r>
      <w:r w:rsidR="00037DDC" w:rsidRPr="00AE1F35">
        <w:rPr>
          <w:noProof/>
          <w:lang w:val="en-IE"/>
        </w:rPr>
        <w:t xml:space="preserve">These have been estimated </w:t>
      </w:r>
      <w:r w:rsidR="00464CDE" w:rsidRPr="00AE1F35">
        <w:rPr>
          <w:noProof/>
          <w:lang w:val="en-IE"/>
        </w:rPr>
        <w:t xml:space="preserve">as 3 FTEs </w:t>
      </w:r>
      <w:r w:rsidR="00961B65" w:rsidRPr="00AE1F35">
        <w:rPr>
          <w:noProof/>
          <w:lang w:val="en-IE"/>
        </w:rPr>
        <w:t xml:space="preserve">(1-5 for sensitivity) </w:t>
      </w:r>
      <w:r w:rsidR="00464CDE" w:rsidRPr="00AE1F35">
        <w:rPr>
          <w:noProof/>
          <w:lang w:val="en-IE"/>
        </w:rPr>
        <w:t>per Member State.</w:t>
      </w:r>
      <w:r w:rsidR="00464CDE" w:rsidRPr="002468EF">
        <w:rPr>
          <w:noProof/>
          <w:lang w:val="en-IE"/>
        </w:rPr>
        <w:t xml:space="preserve"> </w:t>
      </w:r>
      <w:r w:rsidR="000E005E" w:rsidRPr="002468EF">
        <w:rPr>
          <w:noProof/>
          <w:lang w:val="en-IE"/>
        </w:rPr>
        <w:t xml:space="preserve">Moreover, </w:t>
      </w:r>
      <w:r w:rsidRPr="002468EF" w:rsidDel="000E005E">
        <w:rPr>
          <w:noProof/>
          <w:lang w:val="en-IE"/>
        </w:rPr>
        <w:t>each</w:t>
      </w:r>
      <w:r w:rsidRPr="00335BA7">
        <w:rPr>
          <w:noProof/>
          <w:lang w:val="en-IE"/>
        </w:rPr>
        <w:t xml:space="preserve"> Member State would need to reprioritise resources to set up processes and align national practices with these new rules. This</w:t>
      </w:r>
      <w:r w:rsidRPr="00335BA7" w:rsidDel="00FF6CF2">
        <w:rPr>
          <w:noProof/>
          <w:lang w:val="en-IE"/>
        </w:rPr>
        <w:t xml:space="preserve"> </w:t>
      </w:r>
      <w:r w:rsidR="00FF6CF2">
        <w:rPr>
          <w:noProof/>
          <w:lang w:val="en-IE"/>
        </w:rPr>
        <w:t>has been estimated as</w:t>
      </w:r>
      <w:r w:rsidR="00FF6CF2" w:rsidRPr="00335BA7">
        <w:rPr>
          <w:noProof/>
          <w:lang w:val="en-IE"/>
        </w:rPr>
        <w:t xml:space="preserve"> </w:t>
      </w:r>
      <w:r w:rsidRPr="00335BA7">
        <w:rPr>
          <w:noProof/>
          <w:lang w:val="en-IE"/>
        </w:rPr>
        <w:t xml:space="preserve">a one-off adjustment cost equivalent to 6 FTEs </w:t>
      </w:r>
      <w:r w:rsidR="00DC6CD5">
        <w:rPr>
          <w:noProof/>
          <w:lang w:val="en-IE"/>
        </w:rPr>
        <w:t>(4-8 for sensitivity)</w:t>
      </w:r>
      <w:r w:rsidRPr="00335BA7">
        <w:rPr>
          <w:noProof/>
          <w:lang w:val="en-IE"/>
        </w:rPr>
        <w:t xml:space="preserve"> per Member State</w:t>
      </w:r>
      <w:r w:rsidR="00DC6CD5">
        <w:rPr>
          <w:noProof/>
          <w:lang w:val="en-IE"/>
        </w:rPr>
        <w:t>.</w:t>
      </w:r>
      <w:r w:rsidRPr="00335BA7">
        <w:rPr>
          <w:noProof/>
          <w:lang w:val="en-IE"/>
        </w:rPr>
        <w:t xml:space="preserve"> </w:t>
      </w:r>
    </w:p>
    <w:p w14:paraId="2C497C70" w14:textId="05C04A44" w:rsidR="00561D9D" w:rsidRDefault="00561D9D" w:rsidP="00561D9D">
      <w:pPr>
        <w:pStyle w:val="Text1"/>
        <w:ind w:left="0"/>
        <w:rPr>
          <w:noProof/>
          <w:lang w:val="en-IE"/>
        </w:rPr>
      </w:pPr>
      <w:r w:rsidRPr="00335BA7">
        <w:rPr>
          <w:noProof/>
          <w:lang w:val="en-IE"/>
        </w:rPr>
        <w:t>M</w:t>
      </w:r>
      <w:r w:rsidR="00C433A5">
        <w:rPr>
          <w:noProof/>
          <w:lang w:val="en-IE"/>
        </w:rPr>
        <w:t xml:space="preserve">ember </w:t>
      </w:r>
      <w:r w:rsidRPr="00335BA7">
        <w:rPr>
          <w:noProof/>
          <w:lang w:val="en-IE"/>
        </w:rPr>
        <w:t>S</w:t>
      </w:r>
      <w:r w:rsidR="00C433A5">
        <w:rPr>
          <w:noProof/>
          <w:lang w:val="en-IE"/>
        </w:rPr>
        <w:t>tates</w:t>
      </w:r>
      <w:r w:rsidRPr="00335BA7">
        <w:rPr>
          <w:noProof/>
          <w:lang w:val="en-IE"/>
        </w:rPr>
        <w:t xml:space="preserve"> </w:t>
      </w:r>
      <w:r w:rsidR="00C037D0">
        <w:rPr>
          <w:noProof/>
          <w:lang w:val="en-IE"/>
        </w:rPr>
        <w:t>are also expected to</w:t>
      </w:r>
      <w:r w:rsidR="00C037D0" w:rsidRPr="00335BA7">
        <w:rPr>
          <w:noProof/>
          <w:lang w:val="en-IE"/>
        </w:rPr>
        <w:t xml:space="preserve"> </w:t>
      </w:r>
      <w:r w:rsidRPr="00335BA7">
        <w:rPr>
          <w:noProof/>
          <w:lang w:val="en-IE"/>
        </w:rPr>
        <w:t xml:space="preserve">face ongoing administrative costs to update the </w:t>
      </w:r>
      <w:r w:rsidR="00C037D0">
        <w:rPr>
          <w:noProof/>
          <w:lang w:val="en-IE"/>
        </w:rPr>
        <w:t>strategies</w:t>
      </w:r>
      <w:r w:rsidR="008600CE">
        <w:rPr>
          <w:noProof/>
          <w:lang w:val="en-IE"/>
        </w:rPr>
        <w:t xml:space="preserve"> and the </w:t>
      </w:r>
      <w:r w:rsidRPr="00335BA7">
        <w:rPr>
          <w:noProof/>
          <w:lang w:val="en-IE"/>
        </w:rPr>
        <w:t xml:space="preserve">list of suitable fast-track areas for data centre deployment, estimated </w:t>
      </w:r>
      <w:r w:rsidR="00387BAF">
        <w:rPr>
          <w:noProof/>
          <w:lang w:val="en-IE"/>
        </w:rPr>
        <w:t xml:space="preserve">respectively </w:t>
      </w:r>
      <w:r w:rsidR="00387BAF" w:rsidRPr="00AF54BF">
        <w:rPr>
          <w:noProof/>
          <w:lang w:val="en-IE"/>
        </w:rPr>
        <w:t xml:space="preserve">as 3 </w:t>
      </w:r>
      <w:r w:rsidR="00387BAF">
        <w:rPr>
          <w:noProof/>
          <w:lang w:val="en-IE"/>
        </w:rPr>
        <w:t xml:space="preserve">FTEs every 5 years and </w:t>
      </w:r>
      <w:r w:rsidR="00DC6CD5">
        <w:rPr>
          <w:noProof/>
          <w:lang w:val="en-IE"/>
        </w:rPr>
        <w:t>4</w:t>
      </w:r>
      <w:r w:rsidR="00DC6CD5" w:rsidRPr="00335BA7">
        <w:rPr>
          <w:noProof/>
          <w:lang w:val="en-IE"/>
        </w:rPr>
        <w:t xml:space="preserve"> </w:t>
      </w:r>
      <w:r w:rsidRPr="00335BA7">
        <w:rPr>
          <w:noProof/>
          <w:lang w:val="en-IE"/>
        </w:rPr>
        <w:t xml:space="preserve">FTEs </w:t>
      </w:r>
      <w:r w:rsidR="005F2941">
        <w:rPr>
          <w:noProof/>
          <w:lang w:val="en-IE"/>
        </w:rPr>
        <w:t>every</w:t>
      </w:r>
      <w:r w:rsidR="008600CE">
        <w:rPr>
          <w:noProof/>
          <w:lang w:val="en-IE"/>
        </w:rPr>
        <w:t xml:space="preserve"> year</w:t>
      </w:r>
      <w:r w:rsidRPr="00335BA7">
        <w:rPr>
          <w:noProof/>
          <w:lang w:val="en-IE"/>
        </w:rPr>
        <w:t xml:space="preserve">. </w:t>
      </w:r>
    </w:p>
    <w:p w14:paraId="6314BF04" w14:textId="5AD14B41" w:rsidR="00C218C0" w:rsidRPr="00C218C0" w:rsidRDefault="00C218C0" w:rsidP="00561D9D">
      <w:pPr>
        <w:pStyle w:val="Text1"/>
        <w:ind w:left="0"/>
        <w:rPr>
          <w:noProof/>
        </w:rPr>
      </w:pPr>
      <w:r>
        <w:rPr>
          <w:noProof/>
        </w:rPr>
        <w:t xml:space="preserve">Total </w:t>
      </w:r>
      <w:r w:rsidR="00C230D1">
        <w:rPr>
          <w:noProof/>
        </w:rPr>
        <w:t xml:space="preserve">one-off </w:t>
      </w:r>
      <w:r>
        <w:rPr>
          <w:noProof/>
        </w:rPr>
        <w:t>adjustment</w:t>
      </w:r>
      <w:r w:rsidR="00EC2125">
        <w:rPr>
          <w:noProof/>
        </w:rPr>
        <w:t xml:space="preserve">, one-off administrative </w:t>
      </w:r>
      <w:r w:rsidR="00AA76B6">
        <w:rPr>
          <w:noProof/>
        </w:rPr>
        <w:t xml:space="preserve">and </w:t>
      </w:r>
      <w:r w:rsidR="00C230D1">
        <w:rPr>
          <w:noProof/>
        </w:rPr>
        <w:t xml:space="preserve">recurrent </w:t>
      </w:r>
      <w:r w:rsidR="00AA76B6">
        <w:rPr>
          <w:noProof/>
        </w:rPr>
        <w:t>administrative</w:t>
      </w:r>
      <w:r>
        <w:rPr>
          <w:noProof/>
        </w:rPr>
        <w:t xml:space="preserve"> costs for national public authorities under PM5 are thus estimated at EUR </w:t>
      </w:r>
      <w:r w:rsidR="006C2AB1" w:rsidRPr="00A32203">
        <w:rPr>
          <w:noProof/>
        </w:rPr>
        <w:t>79.</w:t>
      </w:r>
      <w:r w:rsidR="008E3869" w:rsidRPr="00A32203">
        <w:rPr>
          <w:noProof/>
        </w:rPr>
        <w:t>9</w:t>
      </w:r>
      <w:r w:rsidRPr="00A32203">
        <w:rPr>
          <w:noProof/>
        </w:rPr>
        <w:t xml:space="preserve"> m (</w:t>
      </w:r>
      <w:r>
        <w:rPr>
          <w:noProof/>
        </w:rPr>
        <w:t>NPV, 10-years)</w:t>
      </w:r>
      <w:r w:rsidR="006276F4">
        <w:rPr>
          <w:noProof/>
        </w:rPr>
        <w:t>.</w:t>
      </w:r>
    </w:p>
    <w:p w14:paraId="52894ACE" w14:textId="7ABA78BA" w:rsidR="00E84058" w:rsidRDefault="00E84058" w:rsidP="00E84058">
      <w:pPr>
        <w:pStyle w:val="Text1"/>
        <w:ind w:left="0"/>
        <w:rPr>
          <w:noProof/>
          <w:lang w:val="en-IE"/>
        </w:rPr>
      </w:pPr>
      <w:r w:rsidRPr="00E64695">
        <w:rPr>
          <w:b/>
          <w:i/>
          <w:noProof/>
          <w:lang w:val="en-IE"/>
        </w:rPr>
        <w:t>Administrative cost savings for national public authorities.</w:t>
      </w:r>
      <w:r>
        <w:rPr>
          <w:noProof/>
          <w:lang w:val="en-IE"/>
        </w:rPr>
        <w:t xml:space="preserve"> R</w:t>
      </w:r>
      <w:r w:rsidRPr="003401EC">
        <w:rPr>
          <w:noProof/>
          <w:lang w:val="en-IE"/>
        </w:rPr>
        <w:t xml:space="preserve">ecurrent savings </w:t>
      </w:r>
      <w:r>
        <w:rPr>
          <w:noProof/>
          <w:lang w:val="en-IE"/>
        </w:rPr>
        <w:t xml:space="preserve">for national public authorities should also </w:t>
      </w:r>
      <w:r w:rsidRPr="003401EC">
        <w:rPr>
          <w:noProof/>
          <w:lang w:val="en-IE"/>
        </w:rPr>
        <w:t>stem from administrative simplifications</w:t>
      </w:r>
      <w:r>
        <w:rPr>
          <w:noProof/>
          <w:lang w:val="en-IE"/>
        </w:rPr>
        <w:t xml:space="preserve"> given the assumed reduction back and forth interactions between authorities and with economic operators, thanks to the clearer requirements from the </w:t>
      </w:r>
      <w:r w:rsidR="009341C4">
        <w:rPr>
          <w:noProof/>
          <w:lang w:val="en-IE"/>
        </w:rPr>
        <w:t>areas</w:t>
      </w:r>
      <w:r>
        <w:rPr>
          <w:noProof/>
          <w:lang w:val="en-IE"/>
        </w:rPr>
        <w:t xml:space="preserve">. </w:t>
      </w:r>
      <w:r w:rsidRPr="00E64695">
        <w:rPr>
          <w:noProof/>
          <w:lang w:val="en-IE"/>
        </w:rPr>
        <w:t>As above, given</w:t>
      </w:r>
      <w:r>
        <w:rPr>
          <w:noProof/>
          <w:lang w:val="en-IE"/>
        </w:rPr>
        <w:t xml:space="preserve"> that</w:t>
      </w:r>
      <w:r w:rsidRPr="003401EC">
        <w:rPr>
          <w:noProof/>
          <w:lang w:val="en-IE"/>
        </w:rPr>
        <w:t xml:space="preserve"> permitting requires </w:t>
      </w:r>
      <w:r w:rsidRPr="00B576BC">
        <w:rPr>
          <w:noProof/>
          <w:lang w:val="en-IE"/>
        </w:rPr>
        <w:t xml:space="preserve">around </w:t>
      </w:r>
      <w:r w:rsidR="0081476E" w:rsidRPr="00B576BC">
        <w:rPr>
          <w:noProof/>
          <w:lang w:val="en-IE"/>
        </w:rPr>
        <w:t>8</w:t>
      </w:r>
      <w:r w:rsidRPr="00B576BC">
        <w:rPr>
          <w:noProof/>
          <w:lang w:val="en-IE"/>
        </w:rPr>
        <w:t>0</w:t>
      </w:r>
      <w:r w:rsidR="00E64695" w:rsidRPr="00B576BC">
        <w:rPr>
          <w:noProof/>
          <w:lang w:val="en-IE"/>
        </w:rPr>
        <w:t xml:space="preserve"> </w:t>
      </w:r>
      <w:r w:rsidRPr="00B576BC">
        <w:rPr>
          <w:noProof/>
          <w:lang w:val="en-IE"/>
        </w:rPr>
        <w:t xml:space="preserve">staff days per project by each authority, process redesign and clearer requirements are expected to reduce this </w:t>
      </w:r>
      <w:r w:rsidRPr="00B576BC" w:rsidDel="00E64695">
        <w:rPr>
          <w:noProof/>
          <w:lang w:val="en-IE"/>
        </w:rPr>
        <w:t>to</w:t>
      </w:r>
      <w:r w:rsidRPr="00B576BC">
        <w:rPr>
          <w:noProof/>
          <w:lang w:val="en-IE"/>
        </w:rPr>
        <w:t xml:space="preserve"> </w:t>
      </w:r>
      <w:r w:rsidR="0081476E" w:rsidRPr="00B576BC">
        <w:rPr>
          <w:noProof/>
          <w:lang w:val="en-IE"/>
        </w:rPr>
        <w:t>2</w:t>
      </w:r>
      <w:r w:rsidRPr="00B576BC">
        <w:rPr>
          <w:noProof/>
          <w:lang w:val="en-IE"/>
        </w:rPr>
        <w:t>0</w:t>
      </w:r>
      <w:r w:rsidRPr="00B576BC" w:rsidDel="00E64695">
        <w:rPr>
          <w:noProof/>
          <w:lang w:val="en-IE"/>
        </w:rPr>
        <w:t xml:space="preserve"> </w:t>
      </w:r>
      <w:r w:rsidRPr="00B576BC">
        <w:rPr>
          <w:noProof/>
          <w:lang w:val="en-IE"/>
        </w:rPr>
        <w:t>staff</w:t>
      </w:r>
      <w:r w:rsidRPr="00F70E5C">
        <w:rPr>
          <w:noProof/>
          <w:lang w:val="en-IE"/>
        </w:rPr>
        <w:t xml:space="preserve"> days per new data centre project.</w:t>
      </w:r>
      <w:r w:rsidR="00AF54BF">
        <w:rPr>
          <w:noProof/>
          <w:lang w:val="en-IE"/>
        </w:rPr>
        <w:t xml:space="preserve"> </w:t>
      </w:r>
      <w:r w:rsidR="00BB1A5D">
        <w:rPr>
          <w:noProof/>
          <w:lang w:val="en-IE"/>
        </w:rPr>
        <w:t xml:space="preserve">The analysis thus foresees that the project facilitator and the fast-track approach might reduce overall administrative staff days </w:t>
      </w:r>
      <w:r w:rsidR="00B23A11">
        <w:rPr>
          <w:noProof/>
          <w:lang w:val="en-IE"/>
        </w:rPr>
        <w:t xml:space="preserve">per project compared with the baseline. </w:t>
      </w:r>
      <w:r>
        <w:rPr>
          <w:noProof/>
          <w:lang w:val="en-IE"/>
        </w:rPr>
        <w:t xml:space="preserve"> </w:t>
      </w:r>
    </w:p>
    <w:p w14:paraId="7807AED4" w14:textId="2E05C99E" w:rsidR="00E84058" w:rsidRDefault="00C47742" w:rsidP="00E84058">
      <w:pPr>
        <w:jc w:val="center"/>
        <w:rPr>
          <w:i/>
          <w:noProof/>
        </w:rPr>
      </w:pPr>
      <w:r>
        <w:rPr>
          <w:i/>
          <w:noProof/>
        </w:rPr>
        <w:t>Administrative c</w:t>
      </w:r>
      <w:r w:rsidR="00E84058">
        <w:rPr>
          <w:i/>
          <w:noProof/>
        </w:rPr>
        <w:t>ost savings</w:t>
      </w:r>
      <w:r w:rsidR="00E84058">
        <w:rPr>
          <w:i/>
          <w:noProof/>
          <w:vertAlign w:val="subscript"/>
        </w:rPr>
        <w:t>PA</w:t>
      </w:r>
      <w:r w:rsidR="00E84058" w:rsidRPr="0007547C">
        <w:rPr>
          <w:i/>
          <w:noProof/>
        </w:rPr>
        <w:t xml:space="preserve"> = </w:t>
      </w:r>
      <w:r w:rsidR="00E84058">
        <w:rPr>
          <w:i/>
          <w:noProof/>
        </w:rPr>
        <w:t>ΔT × labour cost × s × No. new projects × No. of MS</w:t>
      </w:r>
    </w:p>
    <w:p w14:paraId="100E8124" w14:textId="6ED75301" w:rsidR="00F559F5" w:rsidRPr="00F559F5" w:rsidRDefault="00F559F5" w:rsidP="00F559F5">
      <w:pPr>
        <w:pStyle w:val="Text1"/>
        <w:ind w:left="0"/>
        <w:rPr>
          <w:noProof/>
        </w:rPr>
      </w:pPr>
      <w:r>
        <w:rPr>
          <w:noProof/>
        </w:rPr>
        <w:t xml:space="preserve">Total </w:t>
      </w:r>
      <w:r w:rsidR="008B46F0">
        <w:rPr>
          <w:noProof/>
        </w:rPr>
        <w:t>administrative</w:t>
      </w:r>
      <w:r>
        <w:rPr>
          <w:noProof/>
        </w:rPr>
        <w:t xml:space="preserve"> costs savings for national public authorities under PM</w:t>
      </w:r>
      <w:r w:rsidR="004C42F7">
        <w:rPr>
          <w:noProof/>
        </w:rPr>
        <w:t>5</w:t>
      </w:r>
      <w:r>
        <w:rPr>
          <w:noProof/>
        </w:rPr>
        <w:t xml:space="preserve"> are thus estimated at EUR </w:t>
      </w:r>
      <w:r w:rsidR="00421619">
        <w:rPr>
          <w:noProof/>
        </w:rPr>
        <w:t>110.8</w:t>
      </w:r>
      <w:r>
        <w:rPr>
          <w:noProof/>
        </w:rPr>
        <w:t xml:space="preserve"> m (NPV, 10-years)</w:t>
      </w:r>
      <w:r w:rsidR="006276F4">
        <w:rPr>
          <w:noProof/>
        </w:rPr>
        <w:t>.</w:t>
      </w:r>
    </w:p>
    <w:p w14:paraId="5A8A7AB1" w14:textId="77777777" w:rsidR="00337C58" w:rsidRDefault="00337C58" w:rsidP="00337C58">
      <w:pPr>
        <w:pStyle w:val="Text1"/>
        <w:spacing w:before="240"/>
        <w:ind w:left="0"/>
        <w:rPr>
          <w:noProof/>
          <w:lang w:val="en-IE"/>
        </w:rPr>
      </w:pPr>
      <w:r>
        <w:rPr>
          <w:b/>
          <w:bCs/>
          <w:i/>
          <w:iCs/>
          <w:noProof/>
          <w:lang w:val="en-IE"/>
        </w:rPr>
        <w:t>Adjustment</w:t>
      </w:r>
      <w:r w:rsidRPr="00915236">
        <w:rPr>
          <w:b/>
          <w:bCs/>
          <w:i/>
          <w:iCs/>
          <w:noProof/>
          <w:lang w:val="en-IE"/>
        </w:rPr>
        <w:t xml:space="preserve"> costs for the European Commission.</w:t>
      </w:r>
      <w:r>
        <w:rPr>
          <w:b/>
          <w:bCs/>
          <w:i/>
          <w:iCs/>
          <w:noProof/>
          <w:lang w:val="en-IE"/>
        </w:rPr>
        <w:t xml:space="preserve"> </w:t>
      </w:r>
      <w:r>
        <w:rPr>
          <w:noProof/>
          <w:lang w:val="en-IE"/>
        </w:rPr>
        <w:t xml:space="preserve">The Commission would face one-off adjustment costs to set up the coordination hub. This has been estimated at 3 FTE during the first year. Moreover, recurrent annual adjustment costs are also estimated for the operation of the coordination hub that supports Member States in identifying and designing fast-track areas. This is estimated at 3 staff days per month each year (0.11 FTE/year) covering Commission staff time. </w:t>
      </w:r>
    </w:p>
    <w:p w14:paraId="0D91CE3E" w14:textId="35DFE12F" w:rsidR="00337C58" w:rsidRPr="005E49F6" w:rsidRDefault="00337C58" w:rsidP="00337C58">
      <w:pPr>
        <w:pStyle w:val="Text1"/>
        <w:ind w:left="0"/>
        <w:rPr>
          <w:noProof/>
        </w:rPr>
      </w:pPr>
      <w:r>
        <w:rPr>
          <w:noProof/>
        </w:rPr>
        <w:t xml:space="preserve">Total </w:t>
      </w:r>
      <w:r w:rsidR="00A63052">
        <w:rPr>
          <w:noProof/>
        </w:rPr>
        <w:t>one-off and recurrent</w:t>
      </w:r>
      <w:r>
        <w:rPr>
          <w:noProof/>
        </w:rPr>
        <w:t xml:space="preserve"> adjustment costs for the European Commission under PM5 are thus estimated at EUR 0.4 m (NPV, 10-years)</w:t>
      </w:r>
    </w:p>
    <w:p w14:paraId="61B70AAD" w14:textId="4CFF6409" w:rsidR="00561D9D" w:rsidRPr="006920D5" w:rsidRDefault="00561D9D" w:rsidP="00561D9D">
      <w:pPr>
        <w:pStyle w:val="Text1"/>
        <w:ind w:left="0"/>
        <w:rPr>
          <w:noProof/>
          <w:lang w:val="en-IE"/>
        </w:rPr>
      </w:pPr>
      <w:r w:rsidRPr="000864E8">
        <w:rPr>
          <w:b/>
          <w:bCs/>
          <w:noProof/>
          <w:lang w:val="en-IE"/>
        </w:rPr>
        <w:t xml:space="preserve">Indirect </w:t>
      </w:r>
      <w:r w:rsidR="001D1524">
        <w:rPr>
          <w:b/>
          <w:noProof/>
        </w:rPr>
        <w:t>savings</w:t>
      </w:r>
      <w:r>
        <w:rPr>
          <w:b/>
          <w:bCs/>
          <w:noProof/>
          <w:lang w:val="en-IE"/>
        </w:rPr>
        <w:t xml:space="preserve">: </w:t>
      </w:r>
      <w:r w:rsidRPr="006920D5">
        <w:rPr>
          <w:noProof/>
          <w:lang w:val="en-IE"/>
        </w:rPr>
        <w:t>Similarly to the measure on administrative simplification, this measure</w:t>
      </w:r>
      <w:r>
        <w:rPr>
          <w:noProof/>
          <w:lang w:val="en-IE"/>
        </w:rPr>
        <w:t xml:space="preserve"> has the potential to realise a broad range of indirect positive impacts on the investments climate, better compliance and transparency of operators during the permitting process, as well as an overall improvement of the decision making process. </w:t>
      </w:r>
    </w:p>
    <w:p w14:paraId="46216FA8" w14:textId="49273AE7" w:rsidR="00561D9D" w:rsidRDefault="00561D9D" w:rsidP="00561D9D">
      <w:pPr>
        <w:pStyle w:val="Text1"/>
        <w:ind w:left="0"/>
        <w:rPr>
          <w:noProof/>
        </w:rPr>
      </w:pPr>
      <w:r w:rsidRPr="00DA029C">
        <w:rPr>
          <w:b/>
          <w:bCs/>
          <w:noProof/>
        </w:rPr>
        <w:t>Sensitivity analysis</w:t>
      </w:r>
      <w:r w:rsidRPr="00E04831">
        <w:rPr>
          <w:noProof/>
        </w:rPr>
        <w:t>:</w:t>
      </w:r>
      <w:r w:rsidRPr="00C1102A">
        <w:rPr>
          <w:noProof/>
        </w:rPr>
        <w:t xml:space="preserve"> </w:t>
      </w:r>
      <w:r w:rsidR="0072684A">
        <w:rPr>
          <w:noProof/>
        </w:rPr>
        <w:t xml:space="preserve">Sensitivity analysis focuses on the potential effectiveness of the measure and the ensuring associated regulatory costs, with parameters modelled to consider a changing level of effort to comply with the data centres </w:t>
      </w:r>
      <w:r w:rsidR="009341C4">
        <w:rPr>
          <w:noProof/>
        </w:rPr>
        <w:t>areas</w:t>
      </w:r>
      <w:r w:rsidR="0072684A">
        <w:rPr>
          <w:noProof/>
        </w:rPr>
        <w:t xml:space="preserve"> requirements, both in terms of administrative and adjustment costs, as well as to understand how time savings influencing NPV calculations and adoption rates impact potential direct economic benefits.</w:t>
      </w:r>
      <w:r w:rsidR="0072684A" w:rsidRPr="00C1102A">
        <w:rPr>
          <w:noProof/>
        </w:rPr>
        <w:t xml:space="preserve"> </w:t>
      </w:r>
      <w:r w:rsidR="0072684A">
        <w:rPr>
          <w:noProof/>
        </w:rPr>
        <w:t xml:space="preserve">With respect to benefits, the reduction in months saved is varied between 6 and 10 (central 8 months saving) as well as the share of facilities using the </w:t>
      </w:r>
      <w:r w:rsidR="009341C4">
        <w:rPr>
          <w:noProof/>
        </w:rPr>
        <w:t>areas</w:t>
      </w:r>
      <w:r w:rsidR="0072684A">
        <w:rPr>
          <w:noProof/>
        </w:rPr>
        <w:t xml:space="preserve"> by 2036, i.e. considering between 30% and 70% (with a central scenario of 50%). Concerning the costs, the additional time considered for administrative and adjustment costs is also varied to reflect the uncertainty about the intensity of the new procedures. The low scenario (min) combines conservative assumptions on effectiveness (</w:t>
      </w:r>
      <w:r w:rsidR="005C4FB8">
        <w:rPr>
          <w:noProof/>
        </w:rPr>
        <w:t>6</w:t>
      </w:r>
      <w:r w:rsidR="0072684A">
        <w:rPr>
          <w:noProof/>
        </w:rPr>
        <w:t xml:space="preserve"> months saved, 30% uptake by 2036) with higher costs, while the high scenario (max) does the opposite. Sensitivities were also considered for national public authorities, to reflect the uncertainty related to the complexity of setting up </w:t>
      </w:r>
      <w:r w:rsidR="00F851AE">
        <w:rPr>
          <w:noProof/>
        </w:rPr>
        <w:t xml:space="preserve">the strategies </w:t>
      </w:r>
      <w:r w:rsidR="0072684A">
        <w:rPr>
          <w:noProof/>
        </w:rPr>
        <w:t xml:space="preserve">and administering the new processes, considering </w:t>
      </w:r>
      <w:r w:rsidR="003F6FAA">
        <w:rPr>
          <w:noProof/>
        </w:rPr>
        <w:t xml:space="preserve">respectively </w:t>
      </w:r>
      <w:r w:rsidR="0072684A">
        <w:rPr>
          <w:noProof/>
        </w:rPr>
        <w:t>minimum</w:t>
      </w:r>
      <w:r w:rsidR="003F6FAA">
        <w:rPr>
          <w:noProof/>
        </w:rPr>
        <w:t xml:space="preserve"> 1 and</w:t>
      </w:r>
      <w:r w:rsidR="0072684A">
        <w:rPr>
          <w:noProof/>
        </w:rPr>
        <w:t xml:space="preserve"> 4 and maximum </w:t>
      </w:r>
      <w:r w:rsidR="003F6FAA">
        <w:rPr>
          <w:noProof/>
        </w:rPr>
        <w:t xml:space="preserve">5 and </w:t>
      </w:r>
      <w:r w:rsidR="0072684A">
        <w:rPr>
          <w:noProof/>
        </w:rPr>
        <w:t xml:space="preserve">8 FTEs. </w:t>
      </w:r>
    </w:p>
    <w:p w14:paraId="20C5AEAC" w14:textId="55C6A8FF" w:rsidR="0085206B" w:rsidRPr="00C73124" w:rsidRDefault="00561D9D" w:rsidP="0085206B">
      <w:pPr>
        <w:pStyle w:val="Text1"/>
        <w:ind w:left="0"/>
        <w:rPr>
          <w:noProof/>
        </w:rPr>
      </w:pPr>
      <w:r w:rsidRPr="00DA029C">
        <w:rPr>
          <w:b/>
          <w:bCs/>
          <w:noProof/>
        </w:rPr>
        <w:t>Results</w:t>
      </w:r>
      <w:r w:rsidR="0072684A">
        <w:rPr>
          <w:b/>
          <w:bCs/>
          <w:noProof/>
        </w:rPr>
        <w:t>:</w:t>
      </w:r>
      <w:r w:rsidRPr="006863C5">
        <w:rPr>
          <w:noProof/>
        </w:rPr>
        <w:t xml:space="preserve"> </w:t>
      </w:r>
      <w:r w:rsidR="0085206B">
        <w:rPr>
          <w:noProof/>
        </w:rPr>
        <w:t>The</w:t>
      </w:r>
      <w:r w:rsidR="0085206B" w:rsidRPr="006863C5">
        <w:rPr>
          <w:noProof/>
        </w:rPr>
        <w:t xml:space="preserve"> aggregated </w:t>
      </w:r>
      <w:r w:rsidR="0085206B">
        <w:rPr>
          <w:noProof/>
        </w:rPr>
        <w:t>costs and benefits for all stakeholders over the time horizon are</w:t>
      </w:r>
      <w:r w:rsidR="0085206B" w:rsidRPr="006863C5">
        <w:rPr>
          <w:noProof/>
        </w:rPr>
        <w:t xml:space="preserve"> summarised in the table below</w:t>
      </w:r>
      <w:r w:rsidR="0085206B">
        <w:rPr>
          <w:noProof/>
        </w:rPr>
        <w:t xml:space="preserve">. </w:t>
      </w:r>
      <w:r w:rsidR="00231B5C">
        <w:rPr>
          <w:noProof/>
        </w:rPr>
        <w:t>O</w:t>
      </w:r>
      <w:r w:rsidR="0085206B" w:rsidRPr="001A611E">
        <w:rPr>
          <w:noProof/>
        </w:rPr>
        <w:t>perators incur limited administrative and adjustment costs, while they benefit from substantial NPV gains through shorter time</w:t>
      </w:r>
      <w:r w:rsidR="0085206B">
        <w:rPr>
          <w:noProof/>
        </w:rPr>
        <w:t>s to market</w:t>
      </w:r>
      <w:r w:rsidR="0085206B" w:rsidRPr="001A611E">
        <w:rPr>
          <w:noProof/>
        </w:rPr>
        <w:t xml:space="preserve"> and reduced uncertainty, and public authorities face moderate administrative costs. </w:t>
      </w:r>
      <w:r w:rsidR="0085206B" w:rsidRPr="00780353">
        <w:rPr>
          <w:noProof/>
        </w:rPr>
        <w:t xml:space="preserve">The scenarios are largely driven by the NPV calculation which is affected by the number of months </w:t>
      </w:r>
      <w:r w:rsidR="0085206B">
        <w:rPr>
          <w:noProof/>
        </w:rPr>
        <w:t>and PUE savings that are expected to stem from this new</w:t>
      </w:r>
      <w:r w:rsidR="0085206B" w:rsidRPr="00780353">
        <w:rPr>
          <w:noProof/>
        </w:rPr>
        <w:t xml:space="preserve"> process.</w:t>
      </w:r>
      <w:r w:rsidR="0085206B" w:rsidRPr="00385371">
        <w:rPr>
          <w:noProof/>
        </w:rPr>
        <w:t xml:space="preserve"> </w:t>
      </w:r>
      <w:r w:rsidR="0085206B">
        <w:rPr>
          <w:noProof/>
        </w:rPr>
        <w:t xml:space="preserve">This would be expected for simplification measures, whereby the benefits associated with earlier commissioning and reduced delays are economically significant while the costs are limited to a small number of administrative and compliance activities. As participation to use the </w:t>
      </w:r>
      <w:r w:rsidR="009341C4">
        <w:rPr>
          <w:noProof/>
        </w:rPr>
        <w:t>areas</w:t>
      </w:r>
      <w:r w:rsidR="0085206B">
        <w:rPr>
          <w:noProof/>
        </w:rPr>
        <w:t xml:space="preserve"> is voluntary, no major regulatory burdens are imposed.</w:t>
      </w:r>
    </w:p>
    <w:p w14:paraId="2B3E26E5" w14:textId="1C439644" w:rsidR="008F30BE" w:rsidRDefault="008F30BE" w:rsidP="001D3313">
      <w:pPr>
        <w:pStyle w:val="Text1"/>
        <w:ind w:left="0"/>
        <w:jc w:val="center"/>
        <w:rPr>
          <w:b/>
          <w:noProof/>
          <w:sz w:val="22"/>
          <w:szCs w:val="22"/>
        </w:rPr>
      </w:pPr>
      <w:r w:rsidRPr="008D0BAC">
        <w:rPr>
          <w:b/>
          <w:noProof/>
          <w:sz w:val="22"/>
          <w:szCs w:val="22"/>
        </w:rPr>
        <w:t xml:space="preserve">Table </w:t>
      </w:r>
      <w:r w:rsidRPr="008D0BAC">
        <w:rPr>
          <w:b/>
          <w:noProof/>
          <w:sz w:val="22"/>
          <w:szCs w:val="22"/>
        </w:rPr>
        <w:fldChar w:fldCharType="begin"/>
      </w:r>
      <w:r w:rsidRPr="008D0BAC">
        <w:rPr>
          <w:b/>
          <w:noProof/>
          <w:sz w:val="22"/>
          <w:szCs w:val="22"/>
        </w:rPr>
        <w:instrText xml:space="preserve"> SEQ Table \* ARABIC </w:instrText>
      </w:r>
      <w:r w:rsidRPr="008D0BAC">
        <w:rPr>
          <w:b/>
          <w:noProof/>
          <w:sz w:val="22"/>
          <w:szCs w:val="22"/>
        </w:rPr>
        <w:fldChar w:fldCharType="separate"/>
      </w:r>
      <w:r w:rsidR="000E7F11">
        <w:rPr>
          <w:b/>
          <w:noProof/>
          <w:sz w:val="22"/>
          <w:szCs w:val="22"/>
        </w:rPr>
        <w:t>25</w:t>
      </w:r>
      <w:r w:rsidRPr="008D0BAC">
        <w:rPr>
          <w:b/>
          <w:noProof/>
          <w:sz w:val="22"/>
          <w:szCs w:val="22"/>
        </w:rPr>
        <w:fldChar w:fldCharType="end"/>
      </w:r>
      <w:r w:rsidRPr="008D0BAC">
        <w:rPr>
          <w:b/>
          <w:noProof/>
          <w:sz w:val="22"/>
          <w:szCs w:val="22"/>
        </w:rPr>
        <w:t>. Establishing mechanism for Member States to identify areas to fast-track data centre deployment (PM5)</w:t>
      </w:r>
    </w:p>
    <w:tbl>
      <w:tblPr>
        <w:tblStyle w:val="TableGrid"/>
        <w:tblW w:w="10176" w:type="dxa"/>
        <w:tblInd w:w="-567" w:type="dxa"/>
        <w:tblLayout w:type="fixed"/>
        <w:tblCellMar>
          <w:left w:w="0" w:type="dxa"/>
          <w:right w:w="0" w:type="dxa"/>
        </w:tblCellMar>
        <w:tblLook w:val="04A0" w:firstRow="1" w:lastRow="0" w:firstColumn="1" w:lastColumn="0" w:noHBand="0" w:noVBand="1"/>
      </w:tblPr>
      <w:tblGrid>
        <w:gridCol w:w="2189"/>
        <w:gridCol w:w="1355"/>
        <w:gridCol w:w="1134"/>
        <w:gridCol w:w="851"/>
        <w:gridCol w:w="1843"/>
        <w:gridCol w:w="1418"/>
        <w:gridCol w:w="1386"/>
      </w:tblGrid>
      <w:tr w:rsidR="006B45A1" w:rsidRPr="00FA63C0" w14:paraId="36556E04" w14:textId="77777777" w:rsidTr="00924BBE">
        <w:trPr>
          <w:trHeight w:val="506"/>
        </w:trPr>
        <w:tc>
          <w:tcPr>
            <w:tcW w:w="2189" w:type="dxa"/>
            <w:tcBorders>
              <w:bottom w:val="single" w:sz="12" w:space="0" w:color="00B0F0"/>
            </w:tcBorders>
            <w:noWrap/>
            <w:vAlign w:val="center"/>
            <w:hideMark/>
          </w:tcPr>
          <w:p w14:paraId="3DFBF359"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355" w:type="dxa"/>
            <w:tcBorders>
              <w:bottom w:val="single" w:sz="12" w:space="0" w:color="00B0F0"/>
            </w:tcBorders>
            <w:vAlign w:val="center"/>
          </w:tcPr>
          <w:p w14:paraId="05B37860"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vAlign w:val="center"/>
          </w:tcPr>
          <w:p w14:paraId="511DA296"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851" w:type="dxa"/>
            <w:tcBorders>
              <w:bottom w:val="single" w:sz="12" w:space="0" w:color="00B0F0"/>
            </w:tcBorders>
            <w:vAlign w:val="center"/>
          </w:tcPr>
          <w:p w14:paraId="78F338AB"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843" w:type="dxa"/>
            <w:tcBorders>
              <w:bottom w:val="single" w:sz="12" w:space="0" w:color="00B0F0"/>
            </w:tcBorders>
            <w:noWrap/>
            <w:vAlign w:val="center"/>
            <w:hideMark/>
          </w:tcPr>
          <w:p w14:paraId="25D1F2B5" w14:textId="569F39C6"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vAlign w:val="center"/>
            <w:hideMark/>
          </w:tcPr>
          <w:p w14:paraId="0258C387" w14:textId="6A7F51FC"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386" w:type="dxa"/>
            <w:tcBorders>
              <w:bottom w:val="single" w:sz="12" w:space="0" w:color="00B0F0"/>
            </w:tcBorders>
            <w:noWrap/>
            <w:vAlign w:val="center"/>
            <w:hideMark/>
          </w:tcPr>
          <w:p w14:paraId="2251C73F" w14:textId="0A334EBD"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CD0933" w:rsidRPr="00C44C22" w14:paraId="77557CF1" w14:textId="77777777" w:rsidTr="00924BBE">
        <w:trPr>
          <w:trHeight w:val="283"/>
        </w:trPr>
        <w:tc>
          <w:tcPr>
            <w:tcW w:w="2189" w:type="dxa"/>
            <w:tcBorders>
              <w:top w:val="single" w:sz="12" w:space="0" w:color="00B0F0"/>
            </w:tcBorders>
            <w:noWrap/>
            <w:vAlign w:val="center"/>
            <w:hideMark/>
          </w:tcPr>
          <w:p w14:paraId="066A6DCB" w14:textId="77777777" w:rsidR="00CD0933" w:rsidRPr="00FA63C0" w:rsidRDefault="00CD0933" w:rsidP="00CD0933">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355" w:type="dxa"/>
            <w:tcBorders>
              <w:top w:val="single" w:sz="12" w:space="0" w:color="00B0F0"/>
            </w:tcBorders>
          </w:tcPr>
          <w:p w14:paraId="3C02AC29" w14:textId="23F3DCF6" w:rsidR="00CD0933" w:rsidRPr="00FA63C0" w:rsidRDefault="008F7B77" w:rsidP="00CD0933">
            <w:pPr>
              <w:spacing w:after="0"/>
              <w:jc w:val="right"/>
              <w:rPr>
                <w:noProof/>
                <w:sz w:val="20"/>
                <w:szCs w:val="20"/>
                <w:lang w:val="en-IE" w:eastAsia="en-IE"/>
              </w:rPr>
            </w:pPr>
            <w:r w:rsidRPr="00743B56">
              <w:rPr>
                <w:noProof/>
                <w:sz w:val="20"/>
                <w:szCs w:val="20"/>
              </w:rPr>
              <w:t xml:space="preserve">1 476 159 </w:t>
            </w:r>
            <w:r w:rsidR="00CD0933" w:rsidRPr="00743B56">
              <w:rPr>
                <w:noProof/>
                <w:sz w:val="20"/>
                <w:szCs w:val="20"/>
              </w:rPr>
              <w:t xml:space="preserve">   </w:t>
            </w:r>
          </w:p>
        </w:tc>
        <w:tc>
          <w:tcPr>
            <w:tcW w:w="1134" w:type="dxa"/>
            <w:tcBorders>
              <w:top w:val="single" w:sz="12" w:space="0" w:color="00B0F0"/>
            </w:tcBorders>
          </w:tcPr>
          <w:p w14:paraId="4D936933" w14:textId="010B7AB3" w:rsidR="00CD0933" w:rsidRPr="00FA63C0" w:rsidRDefault="00765D65" w:rsidP="00CD0933">
            <w:pPr>
              <w:spacing w:after="0"/>
              <w:jc w:val="right"/>
              <w:rPr>
                <w:noProof/>
                <w:sz w:val="20"/>
                <w:szCs w:val="20"/>
                <w:lang w:val="en-IE" w:eastAsia="en-IE"/>
              </w:rPr>
            </w:pPr>
            <w:r>
              <w:rPr>
                <w:noProof/>
                <w:sz w:val="20"/>
                <w:szCs w:val="20"/>
              </w:rPr>
              <w:t>3 681 647</w:t>
            </w:r>
            <w:r w:rsidR="00CD0933" w:rsidRPr="00743B56">
              <w:rPr>
                <w:noProof/>
                <w:sz w:val="20"/>
                <w:szCs w:val="20"/>
              </w:rPr>
              <w:t xml:space="preserve">   </w:t>
            </w:r>
          </w:p>
        </w:tc>
        <w:tc>
          <w:tcPr>
            <w:tcW w:w="851" w:type="dxa"/>
            <w:tcBorders>
              <w:top w:val="single" w:sz="12" w:space="0" w:color="00B0F0"/>
            </w:tcBorders>
          </w:tcPr>
          <w:p w14:paraId="2B37AE3C" w14:textId="57793366" w:rsidR="00CD0933" w:rsidRPr="00FA63C0" w:rsidRDefault="00CD0933" w:rsidP="00CD0933">
            <w:pPr>
              <w:spacing w:after="0"/>
              <w:jc w:val="right"/>
              <w:rPr>
                <w:noProof/>
                <w:sz w:val="20"/>
                <w:szCs w:val="20"/>
                <w:lang w:val="en-IE" w:eastAsia="en-IE"/>
              </w:rPr>
            </w:pPr>
            <w:r w:rsidRPr="00743B56">
              <w:rPr>
                <w:noProof/>
                <w:sz w:val="20"/>
                <w:szCs w:val="20"/>
              </w:rPr>
              <w:t xml:space="preserve"> -   </w:t>
            </w:r>
          </w:p>
        </w:tc>
        <w:tc>
          <w:tcPr>
            <w:tcW w:w="1843" w:type="dxa"/>
            <w:tcBorders>
              <w:top w:val="single" w:sz="12" w:space="0" w:color="00B0F0"/>
            </w:tcBorders>
            <w:noWrap/>
          </w:tcPr>
          <w:p w14:paraId="1223EC12" w14:textId="306EE325" w:rsidR="00CD0933" w:rsidRPr="000A7265" w:rsidRDefault="00CD0933" w:rsidP="00CD0933">
            <w:pPr>
              <w:spacing w:after="0"/>
              <w:jc w:val="right"/>
              <w:rPr>
                <w:noProof/>
                <w:sz w:val="20"/>
                <w:szCs w:val="20"/>
                <w:lang w:val="en-IE" w:eastAsia="en-IE"/>
              </w:rPr>
            </w:pPr>
            <w:r w:rsidRPr="00FC7013">
              <w:rPr>
                <w:noProof/>
                <w:sz w:val="20"/>
                <w:szCs w:val="20"/>
              </w:rPr>
              <w:t xml:space="preserve"> </w:t>
            </w:r>
            <w:r w:rsidR="000646DE">
              <w:rPr>
                <w:noProof/>
                <w:sz w:val="20"/>
                <w:szCs w:val="20"/>
              </w:rPr>
              <w:t>5 157 806</w:t>
            </w:r>
            <w:r w:rsidRPr="00FC7013">
              <w:rPr>
                <w:noProof/>
                <w:sz w:val="20"/>
                <w:szCs w:val="20"/>
              </w:rPr>
              <w:t xml:space="preserve"> </w:t>
            </w:r>
          </w:p>
        </w:tc>
        <w:tc>
          <w:tcPr>
            <w:tcW w:w="1418" w:type="dxa"/>
            <w:tcBorders>
              <w:top w:val="single" w:sz="12" w:space="0" w:color="00B0F0"/>
            </w:tcBorders>
            <w:noWrap/>
          </w:tcPr>
          <w:p w14:paraId="072431D4" w14:textId="290CCC2C" w:rsidR="00CD0933" w:rsidRPr="000A7265" w:rsidRDefault="00006E0F" w:rsidP="00CD0933">
            <w:pPr>
              <w:spacing w:after="0"/>
              <w:jc w:val="right"/>
              <w:rPr>
                <w:noProof/>
                <w:sz w:val="20"/>
                <w:szCs w:val="20"/>
                <w:lang w:val="en-IE" w:eastAsia="en-IE"/>
              </w:rPr>
            </w:pPr>
            <w:r>
              <w:rPr>
                <w:noProof/>
                <w:sz w:val="20"/>
                <w:szCs w:val="20"/>
              </w:rPr>
              <w:t>2 057 555</w:t>
            </w:r>
          </w:p>
        </w:tc>
        <w:tc>
          <w:tcPr>
            <w:tcW w:w="1386" w:type="dxa"/>
            <w:tcBorders>
              <w:top w:val="single" w:sz="12" w:space="0" w:color="00B0F0"/>
            </w:tcBorders>
            <w:noWrap/>
          </w:tcPr>
          <w:p w14:paraId="129849D7" w14:textId="6B018F22" w:rsidR="00CD0933" w:rsidRPr="000A7265" w:rsidRDefault="00006E0F" w:rsidP="00CD0933">
            <w:pPr>
              <w:spacing w:after="0"/>
              <w:jc w:val="right"/>
              <w:rPr>
                <w:noProof/>
                <w:sz w:val="20"/>
                <w:szCs w:val="20"/>
                <w:lang w:val="en-IE" w:eastAsia="en-IE"/>
              </w:rPr>
            </w:pPr>
            <w:r>
              <w:rPr>
                <w:noProof/>
                <w:sz w:val="20"/>
                <w:szCs w:val="20"/>
              </w:rPr>
              <w:t>8 903 876</w:t>
            </w:r>
          </w:p>
        </w:tc>
      </w:tr>
      <w:tr w:rsidR="00956684" w:rsidRPr="00C44C22" w14:paraId="6F8626ED" w14:textId="77777777" w:rsidTr="00924BBE">
        <w:trPr>
          <w:trHeight w:val="283"/>
        </w:trPr>
        <w:tc>
          <w:tcPr>
            <w:tcW w:w="2189" w:type="dxa"/>
            <w:noWrap/>
            <w:vAlign w:val="center"/>
            <w:hideMark/>
          </w:tcPr>
          <w:p w14:paraId="25A72077" w14:textId="77777777" w:rsidR="00956684" w:rsidRPr="00FA63C0" w:rsidRDefault="00956684" w:rsidP="00956684">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355" w:type="dxa"/>
          </w:tcPr>
          <w:p w14:paraId="179532E6" w14:textId="58C6726E" w:rsidR="00956684" w:rsidRPr="00FA63C0" w:rsidRDefault="00956684" w:rsidP="00956684">
            <w:pPr>
              <w:spacing w:after="0"/>
              <w:jc w:val="right"/>
              <w:rPr>
                <w:noProof/>
                <w:sz w:val="20"/>
                <w:szCs w:val="20"/>
                <w:lang w:val="en-IE" w:eastAsia="en-IE"/>
              </w:rPr>
            </w:pPr>
            <w:r w:rsidRPr="00FA63C0">
              <w:rPr>
                <w:noProof/>
                <w:sz w:val="20"/>
                <w:szCs w:val="20"/>
              </w:rPr>
              <w:t xml:space="preserve"> -   </w:t>
            </w:r>
          </w:p>
        </w:tc>
        <w:tc>
          <w:tcPr>
            <w:tcW w:w="1134" w:type="dxa"/>
          </w:tcPr>
          <w:p w14:paraId="51CE67D6" w14:textId="3F06B00D" w:rsidR="00956684" w:rsidRPr="00956684" w:rsidRDefault="00956684" w:rsidP="00956684">
            <w:pPr>
              <w:spacing w:after="0"/>
              <w:jc w:val="right"/>
              <w:rPr>
                <w:noProof/>
                <w:sz w:val="20"/>
                <w:szCs w:val="20"/>
                <w:lang w:val="en-IE" w:eastAsia="en-IE"/>
              </w:rPr>
            </w:pPr>
            <w:r w:rsidRPr="00FC7013">
              <w:rPr>
                <w:noProof/>
                <w:sz w:val="20"/>
                <w:szCs w:val="20"/>
              </w:rPr>
              <w:t xml:space="preserve"> </w:t>
            </w:r>
            <w:r>
              <w:rPr>
                <w:noProof/>
                <w:sz w:val="20"/>
                <w:szCs w:val="20"/>
              </w:rPr>
              <w:t xml:space="preserve"> </w:t>
            </w:r>
            <w:r w:rsidR="00765D65">
              <w:rPr>
                <w:noProof/>
                <w:sz w:val="20"/>
                <w:szCs w:val="20"/>
              </w:rPr>
              <w:t>66 321 846</w:t>
            </w:r>
            <w:r w:rsidRPr="00FC7013">
              <w:rPr>
                <w:noProof/>
                <w:sz w:val="20"/>
                <w:szCs w:val="20"/>
              </w:rPr>
              <w:t xml:space="preserve"> </w:t>
            </w:r>
          </w:p>
        </w:tc>
        <w:tc>
          <w:tcPr>
            <w:tcW w:w="851" w:type="dxa"/>
          </w:tcPr>
          <w:p w14:paraId="7672651D" w14:textId="5FB5AA1E" w:rsidR="00956684" w:rsidRPr="00FA63C0" w:rsidRDefault="00956684" w:rsidP="00956684">
            <w:pPr>
              <w:spacing w:after="0"/>
              <w:jc w:val="right"/>
              <w:rPr>
                <w:noProof/>
                <w:sz w:val="20"/>
                <w:szCs w:val="20"/>
                <w:lang w:val="en-IE" w:eastAsia="en-IE"/>
              </w:rPr>
            </w:pPr>
            <w:r w:rsidRPr="00FA63C0">
              <w:rPr>
                <w:noProof/>
                <w:sz w:val="20"/>
                <w:szCs w:val="20"/>
              </w:rPr>
              <w:t xml:space="preserve"> -   </w:t>
            </w:r>
          </w:p>
        </w:tc>
        <w:tc>
          <w:tcPr>
            <w:tcW w:w="1843" w:type="dxa"/>
            <w:noWrap/>
          </w:tcPr>
          <w:p w14:paraId="1D9E0AB7" w14:textId="7E9CB404" w:rsidR="00956684" w:rsidRPr="000A7265" w:rsidRDefault="000646DE" w:rsidP="00956684">
            <w:pPr>
              <w:spacing w:after="0"/>
              <w:jc w:val="right"/>
              <w:rPr>
                <w:noProof/>
                <w:sz w:val="20"/>
                <w:szCs w:val="20"/>
                <w:lang w:val="en-IE" w:eastAsia="en-IE"/>
              </w:rPr>
            </w:pPr>
            <w:r w:rsidRPr="00FC7013">
              <w:rPr>
                <w:noProof/>
                <w:sz w:val="20"/>
                <w:szCs w:val="20"/>
              </w:rPr>
              <w:t xml:space="preserve"> </w:t>
            </w:r>
            <w:r>
              <w:rPr>
                <w:noProof/>
                <w:sz w:val="20"/>
                <w:szCs w:val="20"/>
              </w:rPr>
              <w:t xml:space="preserve"> 66 321 846</w:t>
            </w:r>
          </w:p>
        </w:tc>
        <w:tc>
          <w:tcPr>
            <w:tcW w:w="1418" w:type="dxa"/>
            <w:noWrap/>
          </w:tcPr>
          <w:p w14:paraId="530DC7A6" w14:textId="1AD6C57E" w:rsidR="00956684" w:rsidRPr="000A7265" w:rsidRDefault="00E432B0" w:rsidP="00956684">
            <w:pPr>
              <w:spacing w:after="0"/>
              <w:jc w:val="right"/>
              <w:rPr>
                <w:noProof/>
                <w:sz w:val="20"/>
                <w:szCs w:val="20"/>
                <w:lang w:val="en-IE" w:eastAsia="en-IE"/>
              </w:rPr>
            </w:pPr>
            <w:r>
              <w:rPr>
                <w:noProof/>
                <w:sz w:val="20"/>
                <w:szCs w:val="20"/>
              </w:rPr>
              <w:t>4</w:t>
            </w:r>
            <w:r w:rsidR="003B5E01">
              <w:rPr>
                <w:noProof/>
                <w:sz w:val="20"/>
                <w:szCs w:val="20"/>
              </w:rPr>
              <w:t>6</w:t>
            </w:r>
            <w:r>
              <w:rPr>
                <w:noProof/>
                <w:sz w:val="20"/>
                <w:szCs w:val="20"/>
              </w:rPr>
              <w:t xml:space="preserve"> 367 793</w:t>
            </w:r>
          </w:p>
        </w:tc>
        <w:tc>
          <w:tcPr>
            <w:tcW w:w="1386" w:type="dxa"/>
            <w:noWrap/>
          </w:tcPr>
          <w:p w14:paraId="52B11BD9" w14:textId="5A2FC266" w:rsidR="00956684" w:rsidRPr="000A7265" w:rsidRDefault="00E432B0" w:rsidP="00956684">
            <w:pPr>
              <w:spacing w:after="0"/>
              <w:jc w:val="right"/>
              <w:rPr>
                <w:noProof/>
                <w:sz w:val="20"/>
                <w:szCs w:val="20"/>
                <w:lang w:val="en-IE" w:eastAsia="en-IE"/>
              </w:rPr>
            </w:pPr>
            <w:r>
              <w:rPr>
                <w:noProof/>
                <w:sz w:val="20"/>
                <w:szCs w:val="20"/>
              </w:rPr>
              <w:t>86 275 900</w:t>
            </w:r>
          </w:p>
        </w:tc>
      </w:tr>
      <w:tr w:rsidR="00956684" w:rsidRPr="00C44C22" w14:paraId="6E41BAF5" w14:textId="77777777" w:rsidTr="00924BBE">
        <w:trPr>
          <w:trHeight w:val="283"/>
        </w:trPr>
        <w:tc>
          <w:tcPr>
            <w:tcW w:w="2189" w:type="dxa"/>
            <w:noWrap/>
            <w:vAlign w:val="center"/>
            <w:hideMark/>
          </w:tcPr>
          <w:p w14:paraId="08903CCD" w14:textId="77777777" w:rsidR="00956684" w:rsidRPr="00FA63C0" w:rsidRDefault="00956684" w:rsidP="00956684">
            <w:pPr>
              <w:spacing w:after="0"/>
              <w:jc w:val="left"/>
              <w:rPr>
                <w:i/>
                <w:iCs/>
                <w:noProof/>
                <w:sz w:val="20"/>
                <w:szCs w:val="20"/>
                <w:lang w:val="en-IE" w:eastAsia="en-IE"/>
              </w:rPr>
            </w:pPr>
            <w:r w:rsidRPr="00FA63C0">
              <w:rPr>
                <w:i/>
                <w:iCs/>
                <w:noProof/>
                <w:sz w:val="20"/>
                <w:szCs w:val="20"/>
                <w:lang w:val="en-IE" w:eastAsia="en-IE"/>
              </w:rPr>
              <w:t>one-off adjustment</w:t>
            </w:r>
          </w:p>
        </w:tc>
        <w:tc>
          <w:tcPr>
            <w:tcW w:w="1355" w:type="dxa"/>
          </w:tcPr>
          <w:p w14:paraId="20792AC3" w14:textId="3FD98FAC" w:rsidR="00956684" w:rsidRPr="00FA63C0" w:rsidRDefault="00932847" w:rsidP="00956684">
            <w:pPr>
              <w:spacing w:after="0"/>
              <w:jc w:val="right"/>
              <w:rPr>
                <w:noProof/>
                <w:sz w:val="20"/>
                <w:szCs w:val="20"/>
                <w:lang w:val="en-IE" w:eastAsia="en-IE"/>
              </w:rPr>
            </w:pPr>
            <w:r>
              <w:rPr>
                <w:noProof/>
                <w:sz w:val="20"/>
                <w:szCs w:val="20"/>
              </w:rPr>
              <w:t>12 364 761</w:t>
            </w:r>
            <w:r w:rsidR="00956684" w:rsidRPr="00743B56">
              <w:rPr>
                <w:noProof/>
                <w:sz w:val="20"/>
                <w:szCs w:val="20"/>
              </w:rPr>
              <w:t xml:space="preserve">   </w:t>
            </w:r>
          </w:p>
        </w:tc>
        <w:tc>
          <w:tcPr>
            <w:tcW w:w="1134" w:type="dxa"/>
          </w:tcPr>
          <w:p w14:paraId="636A4DB5" w14:textId="4FDC90A0" w:rsidR="00956684" w:rsidRPr="00956684" w:rsidRDefault="00956684" w:rsidP="00956684">
            <w:pPr>
              <w:spacing w:after="0"/>
              <w:jc w:val="right"/>
              <w:rPr>
                <w:noProof/>
                <w:sz w:val="20"/>
                <w:szCs w:val="20"/>
                <w:lang w:val="en-IE" w:eastAsia="en-IE"/>
              </w:rPr>
            </w:pPr>
            <w:r w:rsidRPr="00FC7013">
              <w:rPr>
                <w:noProof/>
                <w:sz w:val="20"/>
                <w:szCs w:val="20"/>
              </w:rPr>
              <w:t xml:space="preserve"> </w:t>
            </w:r>
            <w:r>
              <w:rPr>
                <w:noProof/>
                <w:sz w:val="20"/>
                <w:szCs w:val="20"/>
              </w:rPr>
              <w:t xml:space="preserve"> </w:t>
            </w:r>
            <w:r w:rsidRPr="00FC7013">
              <w:rPr>
                <w:noProof/>
                <w:sz w:val="20"/>
                <w:szCs w:val="20"/>
              </w:rPr>
              <w:t>9</w:t>
            </w:r>
            <w:r>
              <w:rPr>
                <w:noProof/>
                <w:sz w:val="20"/>
                <w:szCs w:val="20"/>
              </w:rPr>
              <w:t xml:space="preserve"> </w:t>
            </w:r>
            <w:r w:rsidRPr="00FC7013">
              <w:rPr>
                <w:noProof/>
                <w:sz w:val="20"/>
                <w:szCs w:val="20"/>
              </w:rPr>
              <w:t>940</w:t>
            </w:r>
            <w:r>
              <w:rPr>
                <w:noProof/>
                <w:sz w:val="20"/>
                <w:szCs w:val="20"/>
              </w:rPr>
              <w:t xml:space="preserve"> </w:t>
            </w:r>
            <w:r w:rsidRPr="00FC7013">
              <w:rPr>
                <w:noProof/>
                <w:sz w:val="20"/>
                <w:szCs w:val="20"/>
              </w:rPr>
              <w:t xml:space="preserve">446 </w:t>
            </w:r>
          </w:p>
        </w:tc>
        <w:tc>
          <w:tcPr>
            <w:tcW w:w="851" w:type="dxa"/>
          </w:tcPr>
          <w:p w14:paraId="003414EA" w14:textId="4104867B" w:rsidR="00956684" w:rsidRPr="00BA1ED7" w:rsidRDefault="00956684" w:rsidP="00956684">
            <w:pPr>
              <w:spacing w:after="0"/>
              <w:jc w:val="right"/>
              <w:rPr>
                <w:noProof/>
                <w:sz w:val="20"/>
                <w:szCs w:val="20"/>
                <w:lang w:val="en-IE" w:eastAsia="en-IE"/>
              </w:rPr>
            </w:pPr>
            <w:r w:rsidRPr="00FC7013">
              <w:rPr>
                <w:noProof/>
                <w:sz w:val="20"/>
                <w:szCs w:val="20"/>
              </w:rPr>
              <w:t xml:space="preserve"> </w:t>
            </w:r>
            <w:r>
              <w:rPr>
                <w:noProof/>
                <w:sz w:val="20"/>
                <w:szCs w:val="20"/>
              </w:rPr>
              <w:t xml:space="preserve"> </w:t>
            </w:r>
            <w:r w:rsidRPr="00FC7013">
              <w:rPr>
                <w:noProof/>
                <w:sz w:val="20"/>
                <w:szCs w:val="20"/>
              </w:rPr>
              <w:t>245</w:t>
            </w:r>
            <w:r>
              <w:rPr>
                <w:noProof/>
                <w:sz w:val="20"/>
                <w:szCs w:val="20"/>
              </w:rPr>
              <w:t xml:space="preserve"> </w:t>
            </w:r>
            <w:r w:rsidRPr="00FC7013">
              <w:rPr>
                <w:noProof/>
                <w:sz w:val="20"/>
                <w:szCs w:val="20"/>
              </w:rPr>
              <w:t xml:space="preserve">443 </w:t>
            </w:r>
          </w:p>
        </w:tc>
        <w:tc>
          <w:tcPr>
            <w:tcW w:w="1843" w:type="dxa"/>
            <w:noWrap/>
          </w:tcPr>
          <w:p w14:paraId="691307A8" w14:textId="54CA0153" w:rsidR="00956684" w:rsidRPr="000A7265" w:rsidRDefault="007167AC" w:rsidP="00956684">
            <w:pPr>
              <w:spacing w:after="0"/>
              <w:jc w:val="right"/>
              <w:rPr>
                <w:noProof/>
                <w:sz w:val="20"/>
                <w:szCs w:val="20"/>
                <w:lang w:val="en-IE" w:eastAsia="en-IE"/>
              </w:rPr>
            </w:pPr>
            <w:r>
              <w:rPr>
                <w:noProof/>
                <w:sz w:val="20"/>
                <w:szCs w:val="20"/>
                <w:lang w:val="en-IE" w:eastAsia="en-IE"/>
              </w:rPr>
              <w:t>22 550 649</w:t>
            </w:r>
          </w:p>
        </w:tc>
        <w:tc>
          <w:tcPr>
            <w:tcW w:w="1418" w:type="dxa"/>
            <w:noWrap/>
          </w:tcPr>
          <w:p w14:paraId="1A19B025" w14:textId="6C7B2E36" w:rsidR="00956684" w:rsidRPr="000A7265" w:rsidRDefault="007167AC" w:rsidP="00956684">
            <w:pPr>
              <w:spacing w:after="0"/>
              <w:jc w:val="right"/>
              <w:rPr>
                <w:noProof/>
                <w:sz w:val="20"/>
                <w:szCs w:val="20"/>
                <w:lang w:val="en-IE" w:eastAsia="en-IE"/>
              </w:rPr>
            </w:pPr>
            <w:r>
              <w:rPr>
                <w:noProof/>
                <w:sz w:val="20"/>
                <w:szCs w:val="20"/>
                <w:lang w:val="en-IE" w:eastAsia="en-IE"/>
              </w:rPr>
              <w:t>12 436 549</w:t>
            </w:r>
          </w:p>
        </w:tc>
        <w:tc>
          <w:tcPr>
            <w:tcW w:w="1386" w:type="dxa"/>
            <w:noWrap/>
          </w:tcPr>
          <w:p w14:paraId="668743D2" w14:textId="56E56092" w:rsidR="00956684" w:rsidRPr="000A7265" w:rsidRDefault="007167AC" w:rsidP="00956684">
            <w:pPr>
              <w:spacing w:after="0"/>
              <w:jc w:val="right"/>
              <w:rPr>
                <w:noProof/>
                <w:sz w:val="20"/>
                <w:szCs w:val="20"/>
                <w:lang w:val="en-IE" w:eastAsia="en-IE"/>
              </w:rPr>
            </w:pPr>
            <w:r>
              <w:rPr>
                <w:noProof/>
                <w:sz w:val="20"/>
                <w:szCs w:val="20"/>
                <w:lang w:val="en-IE" w:eastAsia="en-IE"/>
              </w:rPr>
              <w:t>39 465</w:t>
            </w:r>
            <w:r w:rsidR="00B96432">
              <w:rPr>
                <w:noProof/>
                <w:sz w:val="20"/>
                <w:szCs w:val="20"/>
                <w:lang w:val="en-IE" w:eastAsia="en-IE"/>
              </w:rPr>
              <w:t xml:space="preserve"> </w:t>
            </w:r>
            <w:r w:rsidR="008A72F3">
              <w:rPr>
                <w:noProof/>
                <w:sz w:val="20"/>
                <w:szCs w:val="20"/>
                <w:lang w:val="en-IE" w:eastAsia="en-IE"/>
              </w:rPr>
              <w:t>3</w:t>
            </w:r>
            <w:r w:rsidR="00B96432">
              <w:rPr>
                <w:noProof/>
                <w:sz w:val="20"/>
                <w:szCs w:val="20"/>
                <w:lang w:val="en-IE" w:eastAsia="en-IE"/>
              </w:rPr>
              <w:t>6</w:t>
            </w:r>
            <w:r w:rsidR="008A72F3">
              <w:rPr>
                <w:noProof/>
                <w:sz w:val="20"/>
                <w:szCs w:val="20"/>
                <w:lang w:val="en-IE" w:eastAsia="en-IE"/>
              </w:rPr>
              <w:t>8</w:t>
            </w:r>
          </w:p>
        </w:tc>
      </w:tr>
      <w:tr w:rsidR="00BA1ED7" w:rsidRPr="00C44C22" w14:paraId="1DE09E10" w14:textId="77777777" w:rsidTr="00924BBE">
        <w:trPr>
          <w:trHeight w:val="283"/>
        </w:trPr>
        <w:tc>
          <w:tcPr>
            <w:tcW w:w="2189" w:type="dxa"/>
            <w:noWrap/>
            <w:vAlign w:val="center"/>
            <w:hideMark/>
          </w:tcPr>
          <w:p w14:paraId="6AAE49E1" w14:textId="388D50A3" w:rsidR="00BA1ED7" w:rsidRPr="00FA63C0" w:rsidRDefault="00BA1ED7" w:rsidP="00BA1ED7">
            <w:pPr>
              <w:spacing w:after="0"/>
              <w:jc w:val="left"/>
              <w:rPr>
                <w:i/>
                <w:iCs/>
                <w:noProof/>
                <w:sz w:val="20"/>
                <w:szCs w:val="20"/>
                <w:lang w:val="en-IE" w:eastAsia="en-IE"/>
              </w:rPr>
            </w:pPr>
            <w:r w:rsidRPr="00FA63C0">
              <w:rPr>
                <w:i/>
                <w:iCs/>
                <w:noProof/>
                <w:sz w:val="20"/>
                <w:szCs w:val="20"/>
                <w:lang w:val="en-IE" w:eastAsia="en-IE"/>
              </w:rPr>
              <w:t>recurrent adjustment</w:t>
            </w:r>
          </w:p>
        </w:tc>
        <w:tc>
          <w:tcPr>
            <w:tcW w:w="1355" w:type="dxa"/>
          </w:tcPr>
          <w:p w14:paraId="3B5526C3" w14:textId="30F5C993" w:rsidR="00BA1ED7" w:rsidRPr="00FA63C0" w:rsidRDefault="00BA1ED7" w:rsidP="00BA1ED7">
            <w:pPr>
              <w:spacing w:after="0"/>
              <w:jc w:val="right"/>
              <w:rPr>
                <w:noProof/>
                <w:sz w:val="20"/>
                <w:szCs w:val="20"/>
                <w:lang w:val="en-IE" w:eastAsia="en-IE"/>
              </w:rPr>
            </w:pPr>
            <w:r w:rsidRPr="00FA63C0">
              <w:rPr>
                <w:noProof/>
                <w:sz w:val="20"/>
                <w:szCs w:val="20"/>
              </w:rPr>
              <w:t xml:space="preserve"> -   </w:t>
            </w:r>
          </w:p>
        </w:tc>
        <w:tc>
          <w:tcPr>
            <w:tcW w:w="1134" w:type="dxa"/>
          </w:tcPr>
          <w:p w14:paraId="4CBCE181" w14:textId="6042D335" w:rsidR="00BA1ED7" w:rsidRPr="00FA63C0" w:rsidRDefault="00BA1ED7" w:rsidP="00BA1ED7">
            <w:pPr>
              <w:spacing w:after="0"/>
              <w:jc w:val="right"/>
              <w:rPr>
                <w:noProof/>
                <w:sz w:val="20"/>
                <w:szCs w:val="20"/>
                <w:lang w:val="en-IE" w:eastAsia="en-IE"/>
              </w:rPr>
            </w:pPr>
            <w:r w:rsidRPr="00FA63C0">
              <w:rPr>
                <w:noProof/>
                <w:sz w:val="20"/>
                <w:szCs w:val="20"/>
              </w:rPr>
              <w:t xml:space="preserve">-   </w:t>
            </w:r>
          </w:p>
        </w:tc>
        <w:tc>
          <w:tcPr>
            <w:tcW w:w="851" w:type="dxa"/>
          </w:tcPr>
          <w:p w14:paraId="0523E377" w14:textId="16ECEBC0" w:rsidR="00BA1ED7" w:rsidRPr="00BA1ED7" w:rsidRDefault="00BA1ED7" w:rsidP="00BA1ED7">
            <w:pPr>
              <w:spacing w:after="0"/>
              <w:jc w:val="right"/>
              <w:rPr>
                <w:noProof/>
                <w:sz w:val="20"/>
                <w:szCs w:val="20"/>
                <w:lang w:val="en-IE" w:eastAsia="en-IE"/>
              </w:rPr>
            </w:pPr>
            <w:r w:rsidRPr="00FC7013">
              <w:rPr>
                <w:noProof/>
                <w:sz w:val="20"/>
                <w:szCs w:val="20"/>
              </w:rPr>
              <w:t xml:space="preserve"> </w:t>
            </w:r>
            <w:r>
              <w:rPr>
                <w:noProof/>
                <w:sz w:val="20"/>
                <w:szCs w:val="20"/>
              </w:rPr>
              <w:t xml:space="preserve"> </w:t>
            </w:r>
            <w:r w:rsidRPr="00FC7013">
              <w:rPr>
                <w:noProof/>
                <w:sz w:val="20"/>
                <w:szCs w:val="20"/>
              </w:rPr>
              <w:t>117</w:t>
            </w:r>
            <w:r>
              <w:rPr>
                <w:noProof/>
                <w:sz w:val="20"/>
                <w:szCs w:val="20"/>
              </w:rPr>
              <w:t xml:space="preserve"> </w:t>
            </w:r>
            <w:r w:rsidRPr="00FC7013">
              <w:rPr>
                <w:noProof/>
                <w:sz w:val="20"/>
                <w:szCs w:val="20"/>
              </w:rPr>
              <w:t xml:space="preserve">627 </w:t>
            </w:r>
          </w:p>
        </w:tc>
        <w:tc>
          <w:tcPr>
            <w:tcW w:w="1843" w:type="dxa"/>
            <w:noWrap/>
          </w:tcPr>
          <w:p w14:paraId="4CD9F84A" w14:textId="447E153B" w:rsidR="00BA1ED7" w:rsidRPr="000A7265" w:rsidRDefault="00BA1ED7" w:rsidP="00BA1ED7">
            <w:pPr>
              <w:spacing w:after="0"/>
              <w:jc w:val="right"/>
              <w:rPr>
                <w:noProof/>
                <w:sz w:val="20"/>
                <w:szCs w:val="20"/>
                <w:lang w:val="en-IE" w:eastAsia="en-IE"/>
              </w:rPr>
            </w:pPr>
            <w:r w:rsidRPr="00FC7013">
              <w:rPr>
                <w:noProof/>
                <w:sz w:val="20"/>
                <w:szCs w:val="20"/>
              </w:rPr>
              <w:t xml:space="preserve"> 117 627 </w:t>
            </w:r>
          </w:p>
        </w:tc>
        <w:tc>
          <w:tcPr>
            <w:tcW w:w="1418" w:type="dxa"/>
            <w:noWrap/>
          </w:tcPr>
          <w:p w14:paraId="6117013A" w14:textId="0BAAB0F6" w:rsidR="00BA1ED7" w:rsidRPr="000A7265" w:rsidRDefault="00BA1ED7" w:rsidP="00BA1ED7">
            <w:pPr>
              <w:spacing w:after="0"/>
              <w:jc w:val="right"/>
              <w:rPr>
                <w:noProof/>
                <w:sz w:val="20"/>
                <w:szCs w:val="20"/>
                <w:lang w:val="en-IE" w:eastAsia="en-IE"/>
              </w:rPr>
            </w:pPr>
            <w:r w:rsidRPr="00FC7013">
              <w:rPr>
                <w:noProof/>
                <w:sz w:val="20"/>
                <w:szCs w:val="20"/>
              </w:rPr>
              <w:t xml:space="preserve"> 117 627 </w:t>
            </w:r>
          </w:p>
        </w:tc>
        <w:tc>
          <w:tcPr>
            <w:tcW w:w="1386" w:type="dxa"/>
            <w:noWrap/>
          </w:tcPr>
          <w:p w14:paraId="4A96FFD0" w14:textId="51898A0B" w:rsidR="00BA1ED7" w:rsidRPr="000A7265" w:rsidRDefault="00BA1ED7" w:rsidP="00BA1ED7">
            <w:pPr>
              <w:spacing w:after="0"/>
              <w:jc w:val="right"/>
              <w:rPr>
                <w:noProof/>
                <w:sz w:val="20"/>
                <w:szCs w:val="20"/>
                <w:lang w:val="en-IE" w:eastAsia="en-IE"/>
              </w:rPr>
            </w:pPr>
            <w:r w:rsidRPr="00FC7013">
              <w:rPr>
                <w:noProof/>
                <w:sz w:val="20"/>
                <w:szCs w:val="20"/>
              </w:rPr>
              <w:t xml:space="preserve"> 117 627 </w:t>
            </w:r>
          </w:p>
        </w:tc>
      </w:tr>
      <w:tr w:rsidR="00CD0933" w:rsidRPr="00C44C22" w14:paraId="2926B51A" w14:textId="77777777" w:rsidTr="00924BBE">
        <w:trPr>
          <w:trHeight w:val="283"/>
        </w:trPr>
        <w:tc>
          <w:tcPr>
            <w:tcW w:w="2189" w:type="dxa"/>
            <w:noWrap/>
            <w:vAlign w:val="center"/>
            <w:hideMark/>
          </w:tcPr>
          <w:p w14:paraId="4D1C9AF0" w14:textId="77777777" w:rsidR="00CD0933" w:rsidRPr="00FA63C0" w:rsidRDefault="00CD0933" w:rsidP="00CD0933">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355" w:type="dxa"/>
          </w:tcPr>
          <w:p w14:paraId="5D70BBD5" w14:textId="7EAD8B0A" w:rsidR="00CD0933" w:rsidRPr="00FA63C0" w:rsidRDefault="00CD0933" w:rsidP="00CD0933">
            <w:pPr>
              <w:spacing w:after="0"/>
              <w:jc w:val="right"/>
              <w:rPr>
                <w:noProof/>
                <w:sz w:val="20"/>
                <w:szCs w:val="20"/>
                <w:lang w:val="en-IE" w:eastAsia="en-IE"/>
              </w:rPr>
            </w:pPr>
            <w:r w:rsidRPr="00743B56">
              <w:rPr>
                <w:noProof/>
                <w:sz w:val="20"/>
                <w:szCs w:val="20"/>
              </w:rPr>
              <w:t xml:space="preserve"> -   </w:t>
            </w:r>
          </w:p>
        </w:tc>
        <w:tc>
          <w:tcPr>
            <w:tcW w:w="1134" w:type="dxa"/>
          </w:tcPr>
          <w:p w14:paraId="48E2C1A1" w14:textId="62BC0953" w:rsidR="00CD0933" w:rsidRPr="00FA63C0" w:rsidRDefault="00CD0933" w:rsidP="00CD0933">
            <w:pPr>
              <w:spacing w:after="0"/>
              <w:jc w:val="right"/>
              <w:rPr>
                <w:noProof/>
                <w:sz w:val="20"/>
                <w:szCs w:val="20"/>
                <w:lang w:val="en-IE" w:eastAsia="en-IE"/>
              </w:rPr>
            </w:pPr>
            <w:r w:rsidRPr="00743B56">
              <w:rPr>
                <w:noProof/>
                <w:sz w:val="20"/>
                <w:szCs w:val="20"/>
              </w:rPr>
              <w:t xml:space="preserve">-   </w:t>
            </w:r>
          </w:p>
        </w:tc>
        <w:tc>
          <w:tcPr>
            <w:tcW w:w="851" w:type="dxa"/>
          </w:tcPr>
          <w:p w14:paraId="3E2B22DE" w14:textId="6F1865AE" w:rsidR="00CD0933" w:rsidRPr="00FA63C0" w:rsidRDefault="00CD0933" w:rsidP="00CD0933">
            <w:pPr>
              <w:spacing w:after="0"/>
              <w:jc w:val="right"/>
              <w:rPr>
                <w:noProof/>
                <w:sz w:val="20"/>
                <w:szCs w:val="20"/>
                <w:lang w:val="en-IE" w:eastAsia="en-IE"/>
              </w:rPr>
            </w:pPr>
            <w:r w:rsidRPr="00743B56">
              <w:rPr>
                <w:noProof/>
                <w:sz w:val="20"/>
                <w:szCs w:val="20"/>
              </w:rPr>
              <w:t xml:space="preserve"> -   </w:t>
            </w:r>
          </w:p>
        </w:tc>
        <w:tc>
          <w:tcPr>
            <w:tcW w:w="1843" w:type="dxa"/>
            <w:noWrap/>
          </w:tcPr>
          <w:p w14:paraId="17E56F46" w14:textId="77777777" w:rsidR="00CD0933" w:rsidRPr="000A7265" w:rsidRDefault="00CD0933" w:rsidP="00CD0933">
            <w:pPr>
              <w:spacing w:after="0"/>
              <w:jc w:val="right"/>
              <w:rPr>
                <w:noProof/>
                <w:sz w:val="20"/>
                <w:szCs w:val="20"/>
                <w:lang w:val="en-IE" w:eastAsia="en-IE"/>
              </w:rPr>
            </w:pPr>
            <w:r w:rsidRPr="00FC7013">
              <w:rPr>
                <w:noProof/>
                <w:sz w:val="20"/>
                <w:szCs w:val="20"/>
              </w:rPr>
              <w:t xml:space="preserve"> -   </w:t>
            </w:r>
          </w:p>
        </w:tc>
        <w:tc>
          <w:tcPr>
            <w:tcW w:w="1418" w:type="dxa"/>
            <w:noWrap/>
          </w:tcPr>
          <w:p w14:paraId="57EA94FD" w14:textId="7B7E907F" w:rsidR="00CD0933" w:rsidRPr="000A7265" w:rsidRDefault="00CD0933" w:rsidP="00CD0933">
            <w:pPr>
              <w:spacing w:after="0"/>
              <w:jc w:val="right"/>
              <w:rPr>
                <w:noProof/>
                <w:sz w:val="20"/>
                <w:szCs w:val="20"/>
                <w:lang w:val="en-IE" w:eastAsia="en-IE"/>
              </w:rPr>
            </w:pPr>
            <w:r w:rsidRPr="00FC7013">
              <w:rPr>
                <w:noProof/>
                <w:sz w:val="20"/>
                <w:szCs w:val="20"/>
              </w:rPr>
              <w:t xml:space="preserve">-   </w:t>
            </w:r>
          </w:p>
        </w:tc>
        <w:tc>
          <w:tcPr>
            <w:tcW w:w="1386" w:type="dxa"/>
            <w:noWrap/>
          </w:tcPr>
          <w:p w14:paraId="5D628F77" w14:textId="128DC385" w:rsidR="00CD0933" w:rsidRPr="000A7265" w:rsidRDefault="00CD0933" w:rsidP="00CD0933">
            <w:pPr>
              <w:spacing w:after="0"/>
              <w:jc w:val="right"/>
              <w:rPr>
                <w:noProof/>
                <w:sz w:val="20"/>
                <w:szCs w:val="20"/>
                <w:lang w:val="en-IE" w:eastAsia="en-IE"/>
              </w:rPr>
            </w:pPr>
            <w:r w:rsidRPr="00FC7013">
              <w:rPr>
                <w:noProof/>
                <w:sz w:val="20"/>
                <w:szCs w:val="20"/>
              </w:rPr>
              <w:t xml:space="preserve"> -   </w:t>
            </w:r>
          </w:p>
        </w:tc>
      </w:tr>
      <w:tr w:rsidR="00CD0933" w:rsidRPr="00C44C22" w14:paraId="1A83E265" w14:textId="77777777" w:rsidTr="00924BBE">
        <w:trPr>
          <w:trHeight w:val="283"/>
        </w:trPr>
        <w:tc>
          <w:tcPr>
            <w:tcW w:w="2189" w:type="dxa"/>
            <w:noWrap/>
            <w:vAlign w:val="center"/>
            <w:hideMark/>
          </w:tcPr>
          <w:p w14:paraId="4CFE7D5D" w14:textId="77777777" w:rsidR="00CD0933" w:rsidRPr="00FA63C0" w:rsidRDefault="00CD0933" w:rsidP="00CD093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355" w:type="dxa"/>
          </w:tcPr>
          <w:p w14:paraId="5A1C273C" w14:textId="62BE9762" w:rsidR="00CD0933" w:rsidRPr="00FA63C0" w:rsidRDefault="00CD0933" w:rsidP="00CD0933">
            <w:pPr>
              <w:spacing w:after="0"/>
              <w:jc w:val="right"/>
              <w:rPr>
                <w:noProof/>
                <w:sz w:val="20"/>
                <w:szCs w:val="20"/>
                <w:lang w:val="en-IE" w:eastAsia="en-IE"/>
              </w:rPr>
            </w:pPr>
            <w:r w:rsidRPr="00FA63C0">
              <w:rPr>
                <w:noProof/>
                <w:sz w:val="20"/>
                <w:szCs w:val="20"/>
              </w:rPr>
              <w:t xml:space="preserve"> -   </w:t>
            </w:r>
          </w:p>
        </w:tc>
        <w:tc>
          <w:tcPr>
            <w:tcW w:w="1134" w:type="dxa"/>
          </w:tcPr>
          <w:p w14:paraId="051A0975" w14:textId="44C26976" w:rsidR="00CD0933" w:rsidRPr="00FA63C0" w:rsidRDefault="00CD0933" w:rsidP="00CD0933">
            <w:pPr>
              <w:spacing w:after="0"/>
              <w:jc w:val="right"/>
              <w:rPr>
                <w:noProof/>
                <w:sz w:val="20"/>
                <w:szCs w:val="20"/>
                <w:lang w:val="en-IE" w:eastAsia="en-IE"/>
              </w:rPr>
            </w:pPr>
            <w:r w:rsidRPr="00FA63C0">
              <w:rPr>
                <w:noProof/>
                <w:sz w:val="20"/>
                <w:szCs w:val="20"/>
              </w:rPr>
              <w:t xml:space="preserve">-   </w:t>
            </w:r>
          </w:p>
        </w:tc>
        <w:tc>
          <w:tcPr>
            <w:tcW w:w="851" w:type="dxa"/>
          </w:tcPr>
          <w:p w14:paraId="52E98D1E" w14:textId="1601ABC4" w:rsidR="00CD0933" w:rsidRPr="00FA63C0" w:rsidRDefault="00CD0933" w:rsidP="00CD0933">
            <w:pPr>
              <w:spacing w:after="0"/>
              <w:jc w:val="right"/>
              <w:rPr>
                <w:noProof/>
                <w:sz w:val="20"/>
                <w:szCs w:val="20"/>
                <w:lang w:val="en-IE" w:eastAsia="en-IE"/>
              </w:rPr>
            </w:pPr>
            <w:r w:rsidRPr="00FA63C0">
              <w:rPr>
                <w:noProof/>
                <w:sz w:val="20"/>
                <w:szCs w:val="20"/>
              </w:rPr>
              <w:t xml:space="preserve"> -   </w:t>
            </w:r>
          </w:p>
        </w:tc>
        <w:tc>
          <w:tcPr>
            <w:tcW w:w="1843" w:type="dxa"/>
            <w:noWrap/>
          </w:tcPr>
          <w:p w14:paraId="64D799E7" w14:textId="77777777"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c>
          <w:tcPr>
            <w:tcW w:w="1418" w:type="dxa"/>
            <w:noWrap/>
          </w:tcPr>
          <w:p w14:paraId="3E38233C" w14:textId="21746B0A" w:rsidR="00CD0933" w:rsidRPr="000A7265" w:rsidRDefault="00CD0933" w:rsidP="00CD0933">
            <w:pPr>
              <w:spacing w:after="0"/>
              <w:jc w:val="right"/>
              <w:rPr>
                <w:noProof/>
                <w:sz w:val="20"/>
                <w:szCs w:val="20"/>
                <w:lang w:val="en-IE" w:eastAsia="en-IE"/>
              </w:rPr>
            </w:pPr>
            <w:r w:rsidRPr="00FA63C0">
              <w:rPr>
                <w:noProof/>
                <w:sz w:val="20"/>
                <w:szCs w:val="20"/>
              </w:rPr>
              <w:t xml:space="preserve">-   </w:t>
            </w:r>
          </w:p>
        </w:tc>
        <w:tc>
          <w:tcPr>
            <w:tcW w:w="1386" w:type="dxa"/>
            <w:noWrap/>
          </w:tcPr>
          <w:p w14:paraId="0AAC995B" w14:textId="1C6B31B6"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r>
      <w:tr w:rsidR="00CD0933" w:rsidRPr="00C44C22" w14:paraId="4718FA40" w14:textId="77777777" w:rsidTr="00924BBE">
        <w:trPr>
          <w:trHeight w:val="283"/>
        </w:trPr>
        <w:tc>
          <w:tcPr>
            <w:tcW w:w="2189" w:type="dxa"/>
            <w:noWrap/>
            <w:vAlign w:val="center"/>
            <w:hideMark/>
          </w:tcPr>
          <w:p w14:paraId="50910838" w14:textId="77777777" w:rsidR="00CD0933" w:rsidRPr="00FA63C0" w:rsidRDefault="00CD0933" w:rsidP="00CD0933">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355" w:type="dxa"/>
          </w:tcPr>
          <w:p w14:paraId="66F529C7" w14:textId="7154AC0E" w:rsidR="00CD0933" w:rsidRPr="00FA63C0" w:rsidRDefault="00CD0933" w:rsidP="00CD0933">
            <w:pPr>
              <w:spacing w:after="0"/>
              <w:jc w:val="right"/>
              <w:rPr>
                <w:noProof/>
                <w:sz w:val="20"/>
                <w:szCs w:val="20"/>
                <w:lang w:val="en-IE" w:eastAsia="en-IE"/>
              </w:rPr>
            </w:pPr>
            <w:r w:rsidRPr="00743B56">
              <w:rPr>
                <w:noProof/>
                <w:sz w:val="20"/>
                <w:szCs w:val="20"/>
              </w:rPr>
              <w:t xml:space="preserve"> -   </w:t>
            </w:r>
          </w:p>
        </w:tc>
        <w:tc>
          <w:tcPr>
            <w:tcW w:w="1134" w:type="dxa"/>
          </w:tcPr>
          <w:p w14:paraId="6650A489" w14:textId="58598D45" w:rsidR="00CD0933" w:rsidRPr="00FA63C0" w:rsidRDefault="00CD0933" w:rsidP="00CD0933">
            <w:pPr>
              <w:spacing w:after="0"/>
              <w:jc w:val="right"/>
              <w:rPr>
                <w:noProof/>
                <w:sz w:val="20"/>
                <w:szCs w:val="20"/>
                <w:lang w:val="en-IE" w:eastAsia="en-IE"/>
              </w:rPr>
            </w:pPr>
            <w:r w:rsidRPr="00743B56">
              <w:rPr>
                <w:noProof/>
                <w:sz w:val="20"/>
                <w:szCs w:val="20"/>
              </w:rPr>
              <w:t xml:space="preserve">-   </w:t>
            </w:r>
          </w:p>
        </w:tc>
        <w:tc>
          <w:tcPr>
            <w:tcW w:w="851" w:type="dxa"/>
          </w:tcPr>
          <w:p w14:paraId="3EC51587" w14:textId="592732E0" w:rsidR="00CD0933" w:rsidRPr="00FA63C0" w:rsidRDefault="00CD0933" w:rsidP="00CD0933">
            <w:pPr>
              <w:spacing w:after="0"/>
              <w:jc w:val="right"/>
              <w:rPr>
                <w:noProof/>
                <w:sz w:val="20"/>
                <w:szCs w:val="20"/>
                <w:lang w:val="en-IE" w:eastAsia="en-IE"/>
              </w:rPr>
            </w:pPr>
            <w:r w:rsidRPr="00743B56">
              <w:rPr>
                <w:noProof/>
                <w:sz w:val="20"/>
                <w:szCs w:val="20"/>
              </w:rPr>
              <w:t xml:space="preserve"> -   </w:t>
            </w:r>
          </w:p>
        </w:tc>
        <w:tc>
          <w:tcPr>
            <w:tcW w:w="1843" w:type="dxa"/>
            <w:noWrap/>
          </w:tcPr>
          <w:p w14:paraId="29D7BC41" w14:textId="77777777"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c>
          <w:tcPr>
            <w:tcW w:w="1418" w:type="dxa"/>
            <w:noWrap/>
          </w:tcPr>
          <w:p w14:paraId="545DC5C8" w14:textId="7795BC50" w:rsidR="00CD0933" w:rsidRPr="000A7265" w:rsidRDefault="00CD0933" w:rsidP="00CD0933">
            <w:pPr>
              <w:spacing w:after="0"/>
              <w:jc w:val="right"/>
              <w:rPr>
                <w:noProof/>
                <w:sz w:val="20"/>
                <w:szCs w:val="20"/>
                <w:lang w:val="en-IE" w:eastAsia="en-IE"/>
              </w:rPr>
            </w:pPr>
            <w:r w:rsidRPr="00FA63C0">
              <w:rPr>
                <w:noProof/>
                <w:sz w:val="20"/>
                <w:szCs w:val="20"/>
              </w:rPr>
              <w:t xml:space="preserve">-   </w:t>
            </w:r>
          </w:p>
        </w:tc>
        <w:tc>
          <w:tcPr>
            <w:tcW w:w="1386" w:type="dxa"/>
            <w:noWrap/>
          </w:tcPr>
          <w:p w14:paraId="2C795E07" w14:textId="5D2106EE"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r>
      <w:tr w:rsidR="00CD0933" w:rsidRPr="00C44C22" w14:paraId="6ECB532F" w14:textId="77777777" w:rsidTr="00924BBE">
        <w:trPr>
          <w:trHeight w:val="283"/>
        </w:trPr>
        <w:tc>
          <w:tcPr>
            <w:tcW w:w="2189" w:type="dxa"/>
            <w:noWrap/>
            <w:vAlign w:val="center"/>
            <w:hideMark/>
          </w:tcPr>
          <w:p w14:paraId="24453C93" w14:textId="77777777" w:rsidR="00CD0933" w:rsidRPr="00FA63C0" w:rsidRDefault="00CD0933" w:rsidP="00CD093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355" w:type="dxa"/>
          </w:tcPr>
          <w:p w14:paraId="0F318648" w14:textId="7E8D7764" w:rsidR="00CD0933" w:rsidRPr="00FA63C0" w:rsidRDefault="00CD0933" w:rsidP="00CD0933">
            <w:pPr>
              <w:spacing w:after="0"/>
              <w:jc w:val="right"/>
              <w:rPr>
                <w:noProof/>
                <w:sz w:val="20"/>
                <w:szCs w:val="20"/>
                <w:lang w:val="en-IE" w:eastAsia="en-IE"/>
              </w:rPr>
            </w:pPr>
            <w:r w:rsidRPr="00FA63C0">
              <w:rPr>
                <w:noProof/>
                <w:sz w:val="20"/>
                <w:szCs w:val="20"/>
              </w:rPr>
              <w:t xml:space="preserve"> -   </w:t>
            </w:r>
          </w:p>
        </w:tc>
        <w:tc>
          <w:tcPr>
            <w:tcW w:w="1134" w:type="dxa"/>
          </w:tcPr>
          <w:p w14:paraId="79F93871" w14:textId="142A23AD" w:rsidR="00CD0933" w:rsidRPr="00FA63C0" w:rsidRDefault="00CD0933" w:rsidP="00CD0933">
            <w:pPr>
              <w:spacing w:after="0"/>
              <w:jc w:val="right"/>
              <w:rPr>
                <w:noProof/>
                <w:sz w:val="20"/>
                <w:szCs w:val="20"/>
                <w:lang w:val="en-IE" w:eastAsia="en-IE"/>
              </w:rPr>
            </w:pPr>
            <w:r w:rsidRPr="00FA63C0">
              <w:rPr>
                <w:noProof/>
                <w:sz w:val="20"/>
                <w:szCs w:val="20"/>
              </w:rPr>
              <w:t xml:space="preserve">-   </w:t>
            </w:r>
          </w:p>
        </w:tc>
        <w:tc>
          <w:tcPr>
            <w:tcW w:w="851" w:type="dxa"/>
          </w:tcPr>
          <w:p w14:paraId="68F74168" w14:textId="4FD7AFD0" w:rsidR="00CD0933" w:rsidRPr="00FA63C0" w:rsidRDefault="00CD0933" w:rsidP="00CD0933">
            <w:pPr>
              <w:spacing w:after="0"/>
              <w:jc w:val="right"/>
              <w:rPr>
                <w:noProof/>
                <w:sz w:val="20"/>
                <w:szCs w:val="20"/>
                <w:lang w:val="en-IE" w:eastAsia="en-IE"/>
              </w:rPr>
            </w:pPr>
            <w:r w:rsidRPr="00FA63C0">
              <w:rPr>
                <w:noProof/>
                <w:sz w:val="20"/>
                <w:szCs w:val="20"/>
              </w:rPr>
              <w:t xml:space="preserve"> -   </w:t>
            </w:r>
          </w:p>
        </w:tc>
        <w:tc>
          <w:tcPr>
            <w:tcW w:w="1843" w:type="dxa"/>
            <w:noWrap/>
          </w:tcPr>
          <w:p w14:paraId="70952472" w14:textId="2DED74A2"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c>
          <w:tcPr>
            <w:tcW w:w="1418" w:type="dxa"/>
            <w:noWrap/>
          </w:tcPr>
          <w:p w14:paraId="24A4184F" w14:textId="604D9BF3" w:rsidR="00CD0933" w:rsidRPr="000A7265" w:rsidRDefault="00CD0933" w:rsidP="00CD0933">
            <w:pPr>
              <w:spacing w:after="0"/>
              <w:jc w:val="right"/>
              <w:rPr>
                <w:noProof/>
                <w:sz w:val="20"/>
                <w:szCs w:val="20"/>
                <w:lang w:val="en-IE" w:eastAsia="en-IE"/>
              </w:rPr>
            </w:pPr>
            <w:r w:rsidRPr="00FA63C0">
              <w:rPr>
                <w:noProof/>
                <w:sz w:val="20"/>
                <w:szCs w:val="20"/>
              </w:rPr>
              <w:t xml:space="preserve">-   </w:t>
            </w:r>
          </w:p>
        </w:tc>
        <w:tc>
          <w:tcPr>
            <w:tcW w:w="1386" w:type="dxa"/>
            <w:noWrap/>
          </w:tcPr>
          <w:p w14:paraId="464561F2" w14:textId="5E439FD4" w:rsidR="00CD0933" w:rsidRPr="000A7265" w:rsidRDefault="00CD0933" w:rsidP="00CD0933">
            <w:pPr>
              <w:spacing w:after="0"/>
              <w:jc w:val="right"/>
              <w:rPr>
                <w:noProof/>
                <w:sz w:val="20"/>
                <w:szCs w:val="20"/>
                <w:lang w:val="en-IE" w:eastAsia="en-IE"/>
              </w:rPr>
            </w:pPr>
            <w:r w:rsidRPr="00FA63C0">
              <w:rPr>
                <w:noProof/>
                <w:sz w:val="20"/>
                <w:szCs w:val="20"/>
              </w:rPr>
              <w:t xml:space="preserve"> -   </w:t>
            </w:r>
          </w:p>
        </w:tc>
      </w:tr>
      <w:tr w:rsidR="00982AEA" w:rsidRPr="0049798B" w14:paraId="7E551694" w14:textId="77777777" w:rsidTr="00924BBE">
        <w:trPr>
          <w:trHeight w:val="283"/>
        </w:trPr>
        <w:tc>
          <w:tcPr>
            <w:tcW w:w="2189" w:type="dxa"/>
            <w:shd w:val="clear" w:color="auto" w:fill="F2DBDB" w:themeFill="accent2" w:themeFillTint="33"/>
            <w:noWrap/>
            <w:vAlign w:val="center"/>
            <w:hideMark/>
          </w:tcPr>
          <w:p w14:paraId="09431CDA" w14:textId="77777777" w:rsidR="00CD0933" w:rsidRPr="00FA63C0" w:rsidRDefault="00CD0933" w:rsidP="00CD0933">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355" w:type="dxa"/>
            <w:shd w:val="clear" w:color="auto" w:fill="F2DBDB" w:themeFill="accent2" w:themeFillTint="33"/>
          </w:tcPr>
          <w:p w14:paraId="6EB68486" w14:textId="2CD2EC48" w:rsidR="00CD0933" w:rsidRPr="00FA63C0" w:rsidRDefault="00CB59D0" w:rsidP="00CD0933">
            <w:pPr>
              <w:spacing w:after="0"/>
              <w:jc w:val="right"/>
              <w:rPr>
                <w:b/>
                <w:bCs/>
                <w:noProof/>
                <w:sz w:val="20"/>
                <w:szCs w:val="20"/>
                <w:lang w:val="en-IE" w:eastAsia="en-IE"/>
              </w:rPr>
            </w:pPr>
            <w:r>
              <w:rPr>
                <w:noProof/>
                <w:sz w:val="20"/>
                <w:szCs w:val="20"/>
              </w:rPr>
              <w:t>13 840 920</w:t>
            </w:r>
            <w:r w:rsidR="00CD0933" w:rsidRPr="00743B56">
              <w:rPr>
                <w:noProof/>
                <w:sz w:val="20"/>
                <w:szCs w:val="20"/>
              </w:rPr>
              <w:t xml:space="preserve">   </w:t>
            </w:r>
          </w:p>
        </w:tc>
        <w:tc>
          <w:tcPr>
            <w:tcW w:w="1134" w:type="dxa"/>
            <w:shd w:val="clear" w:color="auto" w:fill="F2DBDB" w:themeFill="accent2" w:themeFillTint="33"/>
          </w:tcPr>
          <w:p w14:paraId="6B0704C2" w14:textId="38D80070" w:rsidR="00CD0933" w:rsidRPr="00FA63C0" w:rsidRDefault="00652994" w:rsidP="00CD0933">
            <w:pPr>
              <w:spacing w:after="0"/>
              <w:jc w:val="right"/>
              <w:rPr>
                <w:b/>
                <w:bCs/>
                <w:noProof/>
                <w:sz w:val="20"/>
                <w:szCs w:val="20"/>
                <w:lang w:val="en-IE" w:eastAsia="en-IE"/>
              </w:rPr>
            </w:pPr>
            <w:r>
              <w:rPr>
                <w:noProof/>
                <w:sz w:val="20"/>
                <w:szCs w:val="20"/>
              </w:rPr>
              <w:t xml:space="preserve"> </w:t>
            </w:r>
            <w:r w:rsidR="00765D65">
              <w:rPr>
                <w:noProof/>
                <w:sz w:val="20"/>
                <w:szCs w:val="20"/>
              </w:rPr>
              <w:t>79 943 939</w:t>
            </w:r>
            <w:r w:rsidRPr="00652994">
              <w:rPr>
                <w:noProof/>
                <w:sz w:val="20"/>
                <w:szCs w:val="20"/>
              </w:rPr>
              <w:t xml:space="preserve"> </w:t>
            </w:r>
            <w:r w:rsidR="00CD0933" w:rsidRPr="00743B56">
              <w:rPr>
                <w:noProof/>
                <w:sz w:val="20"/>
                <w:szCs w:val="20"/>
              </w:rPr>
              <w:t xml:space="preserve">   </w:t>
            </w:r>
          </w:p>
        </w:tc>
        <w:tc>
          <w:tcPr>
            <w:tcW w:w="851" w:type="dxa"/>
            <w:shd w:val="clear" w:color="auto" w:fill="F2DBDB" w:themeFill="accent2" w:themeFillTint="33"/>
          </w:tcPr>
          <w:p w14:paraId="074E7EE4" w14:textId="6ED1B711" w:rsidR="00CD0933" w:rsidRPr="00FA63C0" w:rsidRDefault="00CD0933" w:rsidP="00CD0933">
            <w:pPr>
              <w:spacing w:after="0"/>
              <w:jc w:val="right"/>
              <w:rPr>
                <w:b/>
                <w:bCs/>
                <w:noProof/>
                <w:sz w:val="20"/>
                <w:szCs w:val="20"/>
                <w:lang w:val="en-IE" w:eastAsia="en-IE"/>
              </w:rPr>
            </w:pPr>
            <w:r w:rsidRPr="00743B56">
              <w:rPr>
                <w:noProof/>
                <w:sz w:val="20"/>
                <w:szCs w:val="20"/>
              </w:rPr>
              <w:t xml:space="preserve"> </w:t>
            </w:r>
            <w:r w:rsidR="004F35A5" w:rsidRPr="004F35A5">
              <w:rPr>
                <w:noProof/>
                <w:sz w:val="20"/>
                <w:szCs w:val="20"/>
              </w:rPr>
              <w:t xml:space="preserve"> </w:t>
            </w:r>
            <w:r w:rsidR="004F35A5">
              <w:rPr>
                <w:noProof/>
                <w:sz w:val="20"/>
                <w:szCs w:val="20"/>
              </w:rPr>
              <w:t xml:space="preserve"> </w:t>
            </w:r>
            <w:r w:rsidR="004F35A5" w:rsidRPr="004F35A5">
              <w:rPr>
                <w:noProof/>
                <w:sz w:val="20"/>
                <w:szCs w:val="20"/>
              </w:rPr>
              <w:t>363</w:t>
            </w:r>
            <w:r w:rsidR="004F35A5">
              <w:rPr>
                <w:noProof/>
                <w:sz w:val="20"/>
                <w:szCs w:val="20"/>
              </w:rPr>
              <w:t xml:space="preserve"> </w:t>
            </w:r>
            <w:r w:rsidR="004F35A5" w:rsidRPr="004F35A5">
              <w:rPr>
                <w:noProof/>
                <w:sz w:val="20"/>
                <w:szCs w:val="20"/>
              </w:rPr>
              <w:t xml:space="preserve">070 </w:t>
            </w:r>
            <w:r w:rsidRPr="00743B56">
              <w:rPr>
                <w:noProof/>
                <w:sz w:val="20"/>
                <w:szCs w:val="20"/>
              </w:rPr>
              <w:t xml:space="preserve">   </w:t>
            </w:r>
          </w:p>
        </w:tc>
        <w:tc>
          <w:tcPr>
            <w:tcW w:w="1843" w:type="dxa"/>
            <w:shd w:val="clear" w:color="auto" w:fill="F2DBDB" w:themeFill="accent2" w:themeFillTint="33"/>
            <w:noWrap/>
          </w:tcPr>
          <w:p w14:paraId="6966A068" w14:textId="307177C9" w:rsidR="00CD0933" w:rsidRPr="000A7265" w:rsidRDefault="00C46067" w:rsidP="00085574">
            <w:pPr>
              <w:spacing w:after="0"/>
              <w:jc w:val="right"/>
              <w:rPr>
                <w:noProof/>
                <w:sz w:val="20"/>
                <w:szCs w:val="20"/>
              </w:rPr>
            </w:pPr>
            <w:r>
              <w:rPr>
                <w:noProof/>
                <w:sz w:val="20"/>
                <w:szCs w:val="20"/>
              </w:rPr>
              <w:t>94 147 928</w:t>
            </w:r>
          </w:p>
        </w:tc>
        <w:tc>
          <w:tcPr>
            <w:tcW w:w="1418" w:type="dxa"/>
            <w:shd w:val="clear" w:color="auto" w:fill="F2DBDB" w:themeFill="accent2" w:themeFillTint="33"/>
            <w:noWrap/>
          </w:tcPr>
          <w:p w14:paraId="21249CBC" w14:textId="1B8621E7" w:rsidR="00CD0933" w:rsidRPr="000A7265" w:rsidRDefault="00C46067" w:rsidP="00CD0933">
            <w:pPr>
              <w:spacing w:after="0"/>
              <w:jc w:val="right"/>
              <w:rPr>
                <w:noProof/>
                <w:sz w:val="20"/>
                <w:szCs w:val="20"/>
              </w:rPr>
            </w:pPr>
            <w:r>
              <w:rPr>
                <w:noProof/>
                <w:sz w:val="20"/>
                <w:szCs w:val="20"/>
              </w:rPr>
              <w:t>60 979 524</w:t>
            </w:r>
          </w:p>
        </w:tc>
        <w:tc>
          <w:tcPr>
            <w:tcW w:w="1386" w:type="dxa"/>
            <w:shd w:val="clear" w:color="auto" w:fill="F2DBDB" w:themeFill="accent2" w:themeFillTint="33"/>
            <w:noWrap/>
          </w:tcPr>
          <w:p w14:paraId="149DA1CE" w14:textId="4261700E" w:rsidR="00CD0933" w:rsidRPr="000A7265" w:rsidRDefault="00EF7E86" w:rsidP="00CD0933">
            <w:pPr>
              <w:spacing w:after="0"/>
              <w:jc w:val="right"/>
              <w:rPr>
                <w:noProof/>
                <w:sz w:val="20"/>
                <w:szCs w:val="20"/>
              </w:rPr>
            </w:pPr>
            <w:r>
              <w:rPr>
                <w:noProof/>
                <w:sz w:val="20"/>
                <w:szCs w:val="20"/>
              </w:rPr>
              <w:t>134 762 770</w:t>
            </w:r>
          </w:p>
        </w:tc>
      </w:tr>
      <w:tr w:rsidR="00982AEA" w:rsidRPr="00FA63C0" w14:paraId="61B77F65" w14:textId="77777777" w:rsidTr="00924BBE">
        <w:trPr>
          <w:trHeight w:val="283"/>
        </w:trPr>
        <w:tc>
          <w:tcPr>
            <w:tcW w:w="2189" w:type="dxa"/>
            <w:shd w:val="clear" w:color="auto" w:fill="EAF1DD" w:themeFill="accent3" w:themeFillTint="33"/>
            <w:noWrap/>
            <w:vAlign w:val="center"/>
            <w:hideMark/>
          </w:tcPr>
          <w:p w14:paraId="21501531" w14:textId="77777777" w:rsidR="00CD0933" w:rsidRPr="00FA63C0" w:rsidRDefault="00CD0933" w:rsidP="00CD0933">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355" w:type="dxa"/>
            <w:shd w:val="clear" w:color="auto" w:fill="EAF1DD" w:themeFill="accent3" w:themeFillTint="33"/>
          </w:tcPr>
          <w:p w14:paraId="1849C229" w14:textId="267F903D" w:rsidR="00CD0933" w:rsidRPr="00FA63C0" w:rsidRDefault="003C20F9" w:rsidP="00FC7013">
            <w:pPr>
              <w:spacing w:after="0"/>
              <w:rPr>
                <w:b/>
                <w:bCs/>
                <w:noProof/>
                <w:sz w:val="20"/>
                <w:szCs w:val="20"/>
                <w:lang w:val="en-IE" w:eastAsia="en-IE"/>
              </w:rPr>
            </w:pPr>
            <w:r>
              <w:rPr>
                <w:noProof/>
                <w:sz w:val="20"/>
                <w:szCs w:val="20"/>
              </w:rPr>
              <w:t>(11 844 675 172)</w:t>
            </w:r>
            <w:r w:rsidR="00CD0933" w:rsidRPr="00FA63C0">
              <w:rPr>
                <w:noProof/>
                <w:sz w:val="20"/>
                <w:szCs w:val="20"/>
              </w:rPr>
              <w:t xml:space="preserve">  </w:t>
            </w:r>
          </w:p>
        </w:tc>
        <w:tc>
          <w:tcPr>
            <w:tcW w:w="1134" w:type="dxa"/>
            <w:shd w:val="clear" w:color="auto" w:fill="EAF1DD" w:themeFill="accent3" w:themeFillTint="33"/>
          </w:tcPr>
          <w:p w14:paraId="60AA4BB3" w14:textId="7998AF22" w:rsidR="00CD0933" w:rsidRPr="00FA63C0" w:rsidRDefault="009A5283" w:rsidP="00CD0933">
            <w:pPr>
              <w:spacing w:after="0"/>
              <w:jc w:val="right"/>
              <w:rPr>
                <w:b/>
                <w:bCs/>
                <w:noProof/>
                <w:sz w:val="20"/>
                <w:szCs w:val="20"/>
                <w:lang w:val="en-IE" w:eastAsia="en-IE"/>
              </w:rPr>
            </w:pPr>
            <w:r w:rsidRPr="00652994">
              <w:rPr>
                <w:noProof/>
                <w:sz w:val="20"/>
                <w:szCs w:val="20"/>
              </w:rPr>
              <w:t>(</w:t>
            </w:r>
            <w:r w:rsidR="008F22EC">
              <w:rPr>
                <w:noProof/>
                <w:sz w:val="20"/>
                <w:szCs w:val="20"/>
              </w:rPr>
              <w:t>110 843 709</w:t>
            </w:r>
            <w:r w:rsidRPr="00652994">
              <w:rPr>
                <w:noProof/>
                <w:sz w:val="20"/>
                <w:szCs w:val="20"/>
              </w:rPr>
              <w:t>)</w:t>
            </w:r>
            <w:r w:rsidRPr="00FA63C0">
              <w:rPr>
                <w:noProof/>
                <w:sz w:val="20"/>
                <w:szCs w:val="20"/>
              </w:rPr>
              <w:t xml:space="preserve">   </w:t>
            </w:r>
          </w:p>
        </w:tc>
        <w:tc>
          <w:tcPr>
            <w:tcW w:w="851" w:type="dxa"/>
            <w:shd w:val="clear" w:color="auto" w:fill="EAF1DD" w:themeFill="accent3" w:themeFillTint="33"/>
          </w:tcPr>
          <w:p w14:paraId="002703B3" w14:textId="01F0273F" w:rsidR="00CD0933" w:rsidRPr="00FA63C0" w:rsidRDefault="00CD0933" w:rsidP="00CD0933">
            <w:pPr>
              <w:spacing w:after="0"/>
              <w:jc w:val="right"/>
              <w:rPr>
                <w:b/>
                <w:bCs/>
                <w:noProof/>
                <w:sz w:val="20"/>
                <w:szCs w:val="20"/>
                <w:lang w:val="en-IE" w:eastAsia="en-IE"/>
              </w:rPr>
            </w:pPr>
            <w:r w:rsidRPr="00FA63C0">
              <w:rPr>
                <w:noProof/>
                <w:sz w:val="20"/>
                <w:szCs w:val="20"/>
              </w:rPr>
              <w:t xml:space="preserve"> -   </w:t>
            </w:r>
          </w:p>
        </w:tc>
        <w:tc>
          <w:tcPr>
            <w:tcW w:w="1843" w:type="dxa"/>
            <w:shd w:val="clear" w:color="auto" w:fill="EAF1DD" w:themeFill="accent3" w:themeFillTint="33"/>
            <w:noWrap/>
          </w:tcPr>
          <w:p w14:paraId="73C58C31" w14:textId="4A6F6FE1" w:rsidR="00CD0933" w:rsidRPr="000A7265" w:rsidRDefault="009A5283" w:rsidP="00B05194">
            <w:pPr>
              <w:spacing w:after="0"/>
              <w:jc w:val="right"/>
              <w:rPr>
                <w:noProof/>
                <w:sz w:val="20"/>
                <w:szCs w:val="20"/>
                <w:lang w:val="en-IE" w:eastAsia="en-IE"/>
              </w:rPr>
            </w:pPr>
            <w:r w:rsidRPr="009A5283">
              <w:rPr>
                <w:noProof/>
                <w:sz w:val="20"/>
                <w:szCs w:val="20"/>
              </w:rPr>
              <w:t>(11</w:t>
            </w:r>
            <w:r>
              <w:rPr>
                <w:noProof/>
                <w:sz w:val="20"/>
                <w:szCs w:val="20"/>
              </w:rPr>
              <w:t xml:space="preserve"> </w:t>
            </w:r>
            <w:r w:rsidRPr="009A5283">
              <w:rPr>
                <w:noProof/>
                <w:sz w:val="20"/>
                <w:szCs w:val="20"/>
              </w:rPr>
              <w:t>955</w:t>
            </w:r>
            <w:r>
              <w:rPr>
                <w:noProof/>
                <w:sz w:val="20"/>
                <w:szCs w:val="20"/>
              </w:rPr>
              <w:t xml:space="preserve"> </w:t>
            </w:r>
            <w:r w:rsidRPr="009A5283">
              <w:rPr>
                <w:noProof/>
                <w:sz w:val="20"/>
                <w:szCs w:val="20"/>
              </w:rPr>
              <w:t>518</w:t>
            </w:r>
            <w:r>
              <w:rPr>
                <w:noProof/>
                <w:sz w:val="20"/>
                <w:szCs w:val="20"/>
              </w:rPr>
              <w:t xml:space="preserve"> </w:t>
            </w:r>
            <w:r w:rsidRPr="009A5283">
              <w:rPr>
                <w:noProof/>
                <w:sz w:val="20"/>
                <w:szCs w:val="20"/>
              </w:rPr>
              <w:t>881)</w:t>
            </w:r>
          </w:p>
        </w:tc>
        <w:tc>
          <w:tcPr>
            <w:tcW w:w="1418" w:type="dxa"/>
            <w:shd w:val="clear" w:color="auto" w:fill="EAF1DD" w:themeFill="accent3" w:themeFillTint="33"/>
            <w:noWrap/>
          </w:tcPr>
          <w:p w14:paraId="7CA02D68" w14:textId="15E22DDA" w:rsidR="00CD0933" w:rsidRPr="000A7265" w:rsidRDefault="009A5283" w:rsidP="00CD0933">
            <w:pPr>
              <w:spacing w:after="0"/>
              <w:jc w:val="right"/>
              <w:rPr>
                <w:noProof/>
                <w:sz w:val="20"/>
                <w:szCs w:val="20"/>
                <w:lang w:val="en-IE" w:eastAsia="en-IE"/>
              </w:rPr>
            </w:pPr>
            <w:r w:rsidRPr="009A5283">
              <w:rPr>
                <w:noProof/>
                <w:sz w:val="20"/>
                <w:szCs w:val="20"/>
              </w:rPr>
              <w:t xml:space="preserve"> (6</w:t>
            </w:r>
            <w:r>
              <w:rPr>
                <w:noProof/>
                <w:sz w:val="20"/>
                <w:szCs w:val="20"/>
              </w:rPr>
              <w:t xml:space="preserve"> </w:t>
            </w:r>
            <w:r w:rsidRPr="009A5283">
              <w:rPr>
                <w:noProof/>
                <w:sz w:val="20"/>
                <w:szCs w:val="20"/>
              </w:rPr>
              <w:t>219</w:t>
            </w:r>
            <w:r>
              <w:rPr>
                <w:noProof/>
                <w:sz w:val="20"/>
                <w:szCs w:val="20"/>
              </w:rPr>
              <w:t xml:space="preserve"> </w:t>
            </w:r>
            <w:r w:rsidRPr="009A5283">
              <w:rPr>
                <w:noProof/>
                <w:sz w:val="20"/>
                <w:szCs w:val="20"/>
              </w:rPr>
              <w:t>100</w:t>
            </w:r>
            <w:r>
              <w:rPr>
                <w:noProof/>
                <w:sz w:val="20"/>
                <w:szCs w:val="20"/>
              </w:rPr>
              <w:t xml:space="preserve"> </w:t>
            </w:r>
            <w:r w:rsidRPr="009A5283">
              <w:rPr>
                <w:noProof/>
                <w:sz w:val="20"/>
                <w:szCs w:val="20"/>
              </w:rPr>
              <w:t>693)</w:t>
            </w:r>
          </w:p>
        </w:tc>
        <w:tc>
          <w:tcPr>
            <w:tcW w:w="1386" w:type="dxa"/>
            <w:shd w:val="clear" w:color="auto" w:fill="EAF1DD" w:themeFill="accent3" w:themeFillTint="33"/>
            <w:noWrap/>
          </w:tcPr>
          <w:p w14:paraId="27FAF5E1" w14:textId="648D932C" w:rsidR="00CD0933" w:rsidRPr="000A7265" w:rsidRDefault="009A5283" w:rsidP="00CD0933">
            <w:pPr>
              <w:spacing w:after="0"/>
              <w:jc w:val="right"/>
              <w:rPr>
                <w:noProof/>
                <w:sz w:val="20"/>
                <w:szCs w:val="20"/>
                <w:lang w:val="en-IE" w:eastAsia="en-IE"/>
              </w:rPr>
            </w:pPr>
            <w:r w:rsidRPr="009A5283">
              <w:rPr>
                <w:noProof/>
                <w:sz w:val="20"/>
                <w:szCs w:val="20"/>
              </w:rPr>
              <w:t>(19</w:t>
            </w:r>
            <w:r>
              <w:rPr>
                <w:noProof/>
                <w:sz w:val="20"/>
                <w:szCs w:val="20"/>
              </w:rPr>
              <w:t xml:space="preserve"> </w:t>
            </w:r>
            <w:r w:rsidRPr="009A5283">
              <w:rPr>
                <w:noProof/>
                <w:sz w:val="20"/>
                <w:szCs w:val="20"/>
              </w:rPr>
              <w:t>009</w:t>
            </w:r>
            <w:r>
              <w:rPr>
                <w:noProof/>
                <w:sz w:val="20"/>
                <w:szCs w:val="20"/>
              </w:rPr>
              <w:t xml:space="preserve"> </w:t>
            </w:r>
            <w:r w:rsidRPr="009A5283">
              <w:rPr>
                <w:noProof/>
                <w:sz w:val="20"/>
                <w:szCs w:val="20"/>
              </w:rPr>
              <w:t>669</w:t>
            </w:r>
            <w:r>
              <w:rPr>
                <w:noProof/>
                <w:sz w:val="20"/>
                <w:szCs w:val="20"/>
              </w:rPr>
              <w:t xml:space="preserve"> </w:t>
            </w:r>
            <w:r w:rsidRPr="009A5283">
              <w:rPr>
                <w:noProof/>
                <w:sz w:val="20"/>
                <w:szCs w:val="20"/>
              </w:rPr>
              <w:t>476)</w:t>
            </w:r>
          </w:p>
        </w:tc>
      </w:tr>
      <w:tr w:rsidR="00DA351D" w:rsidRPr="0049798B" w14:paraId="4ABBE721" w14:textId="77777777" w:rsidTr="00924BBE">
        <w:trPr>
          <w:trHeight w:val="283"/>
        </w:trPr>
        <w:tc>
          <w:tcPr>
            <w:tcW w:w="2189" w:type="dxa"/>
            <w:shd w:val="clear" w:color="auto" w:fill="F2F2F2" w:themeFill="background1" w:themeFillShade="F2"/>
            <w:noWrap/>
            <w:vAlign w:val="center"/>
            <w:hideMark/>
          </w:tcPr>
          <w:p w14:paraId="579F2A8B" w14:textId="77777777" w:rsidR="00DA351D" w:rsidRPr="00FA63C0" w:rsidRDefault="00DA351D" w:rsidP="00DA351D">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355" w:type="dxa"/>
            <w:shd w:val="clear" w:color="auto" w:fill="F2F2F2" w:themeFill="background1" w:themeFillShade="F2"/>
          </w:tcPr>
          <w:p w14:paraId="10300312" w14:textId="3562800B" w:rsidR="00DA351D" w:rsidRPr="004F35A5" w:rsidRDefault="00DA351D" w:rsidP="00FC7013">
            <w:pPr>
              <w:spacing w:after="0"/>
              <w:rPr>
                <w:b/>
                <w:bCs/>
                <w:noProof/>
                <w:sz w:val="20"/>
                <w:szCs w:val="20"/>
                <w:lang w:val="en-IE" w:eastAsia="en-IE"/>
              </w:rPr>
            </w:pPr>
            <w:r w:rsidRPr="00FC7013">
              <w:rPr>
                <w:b/>
                <w:noProof/>
                <w:sz w:val="20"/>
                <w:szCs w:val="20"/>
              </w:rPr>
              <w:t xml:space="preserve">(11 </w:t>
            </w:r>
            <w:r w:rsidR="004F65C4">
              <w:rPr>
                <w:b/>
                <w:noProof/>
                <w:sz w:val="20"/>
                <w:szCs w:val="20"/>
              </w:rPr>
              <w:t>830 834 252</w:t>
            </w:r>
            <w:r w:rsidRPr="00FC7013">
              <w:rPr>
                <w:b/>
                <w:noProof/>
                <w:sz w:val="20"/>
                <w:szCs w:val="20"/>
              </w:rPr>
              <w:t xml:space="preserve">)  </w:t>
            </w:r>
          </w:p>
        </w:tc>
        <w:tc>
          <w:tcPr>
            <w:tcW w:w="1134" w:type="dxa"/>
            <w:shd w:val="clear" w:color="auto" w:fill="F2F2F2" w:themeFill="background1" w:themeFillShade="F2"/>
          </w:tcPr>
          <w:p w14:paraId="1CF28496" w14:textId="1FD27B3D" w:rsidR="00DA351D" w:rsidRPr="004F35A5" w:rsidRDefault="00186605" w:rsidP="00DA351D">
            <w:pPr>
              <w:spacing w:after="0"/>
              <w:jc w:val="right"/>
              <w:rPr>
                <w:b/>
                <w:bCs/>
                <w:noProof/>
                <w:sz w:val="20"/>
                <w:szCs w:val="20"/>
                <w:lang w:val="en-IE" w:eastAsia="en-IE"/>
              </w:rPr>
            </w:pPr>
            <w:r>
              <w:rPr>
                <w:b/>
                <w:bCs/>
                <w:noProof/>
                <w:sz w:val="20"/>
                <w:szCs w:val="20"/>
              </w:rPr>
              <w:t xml:space="preserve"> </w:t>
            </w:r>
            <w:r w:rsidR="008F22EC">
              <w:rPr>
                <w:b/>
                <w:bCs/>
                <w:noProof/>
                <w:sz w:val="20"/>
                <w:szCs w:val="20"/>
              </w:rPr>
              <w:t>(30 899 770</w:t>
            </w:r>
            <w:r w:rsidR="008F22EC">
              <w:rPr>
                <w:b/>
                <w:noProof/>
                <w:sz w:val="20"/>
                <w:szCs w:val="20"/>
              </w:rPr>
              <w:t>)</w:t>
            </w:r>
          </w:p>
        </w:tc>
        <w:tc>
          <w:tcPr>
            <w:tcW w:w="851" w:type="dxa"/>
            <w:shd w:val="clear" w:color="auto" w:fill="F2F2F2" w:themeFill="background1" w:themeFillShade="F2"/>
          </w:tcPr>
          <w:p w14:paraId="1ED52711" w14:textId="0365347F" w:rsidR="00DA351D" w:rsidRPr="004F35A5" w:rsidRDefault="004F35A5" w:rsidP="00DA351D">
            <w:pPr>
              <w:spacing w:after="0"/>
              <w:jc w:val="right"/>
              <w:rPr>
                <w:b/>
                <w:bCs/>
                <w:noProof/>
                <w:sz w:val="20"/>
                <w:szCs w:val="20"/>
                <w:lang w:val="en-IE" w:eastAsia="en-IE"/>
              </w:rPr>
            </w:pPr>
            <w:r w:rsidRPr="00FC7013">
              <w:rPr>
                <w:b/>
                <w:noProof/>
                <w:sz w:val="20"/>
                <w:szCs w:val="20"/>
              </w:rPr>
              <w:t xml:space="preserve">363 070    </w:t>
            </w:r>
            <w:r w:rsidR="00DA351D" w:rsidRPr="00FC7013">
              <w:rPr>
                <w:b/>
                <w:noProof/>
                <w:sz w:val="20"/>
                <w:szCs w:val="20"/>
              </w:rPr>
              <w:t xml:space="preserve">   </w:t>
            </w:r>
          </w:p>
        </w:tc>
        <w:tc>
          <w:tcPr>
            <w:tcW w:w="1843" w:type="dxa"/>
            <w:shd w:val="clear" w:color="auto" w:fill="F2F2F2" w:themeFill="background1" w:themeFillShade="F2"/>
            <w:noWrap/>
          </w:tcPr>
          <w:p w14:paraId="72486FF8" w14:textId="0C0D1D02" w:rsidR="00DA351D" w:rsidRPr="004F35A5" w:rsidRDefault="00186605" w:rsidP="00B05194">
            <w:pPr>
              <w:spacing w:after="0"/>
              <w:jc w:val="right"/>
              <w:rPr>
                <w:b/>
                <w:bCs/>
                <w:noProof/>
                <w:sz w:val="20"/>
                <w:szCs w:val="20"/>
                <w:lang w:val="en-IE" w:eastAsia="en-IE"/>
              </w:rPr>
            </w:pPr>
            <w:r w:rsidRPr="00186605">
              <w:rPr>
                <w:noProof/>
                <w:sz w:val="20"/>
                <w:szCs w:val="20"/>
              </w:rPr>
              <w:t>(11</w:t>
            </w:r>
            <w:r w:rsidR="00646175">
              <w:rPr>
                <w:noProof/>
                <w:sz w:val="20"/>
                <w:szCs w:val="20"/>
              </w:rPr>
              <w:t xml:space="preserve"> </w:t>
            </w:r>
            <w:r w:rsidRPr="00186605">
              <w:rPr>
                <w:noProof/>
                <w:sz w:val="20"/>
                <w:szCs w:val="20"/>
              </w:rPr>
              <w:t>861</w:t>
            </w:r>
            <w:r w:rsidR="00646175">
              <w:rPr>
                <w:noProof/>
                <w:sz w:val="20"/>
                <w:szCs w:val="20"/>
              </w:rPr>
              <w:t xml:space="preserve"> </w:t>
            </w:r>
            <w:r w:rsidRPr="00186605">
              <w:rPr>
                <w:noProof/>
                <w:sz w:val="20"/>
                <w:szCs w:val="20"/>
              </w:rPr>
              <w:t>370</w:t>
            </w:r>
            <w:r w:rsidR="00646175">
              <w:rPr>
                <w:noProof/>
                <w:sz w:val="20"/>
                <w:szCs w:val="20"/>
              </w:rPr>
              <w:t xml:space="preserve"> </w:t>
            </w:r>
            <w:r w:rsidRPr="00186605">
              <w:rPr>
                <w:noProof/>
                <w:sz w:val="20"/>
                <w:szCs w:val="20"/>
              </w:rPr>
              <w:t>953)</w:t>
            </w:r>
          </w:p>
        </w:tc>
        <w:tc>
          <w:tcPr>
            <w:tcW w:w="1418" w:type="dxa"/>
            <w:shd w:val="clear" w:color="auto" w:fill="F2F2F2" w:themeFill="background1" w:themeFillShade="F2"/>
            <w:noWrap/>
          </w:tcPr>
          <w:p w14:paraId="5FFC7128" w14:textId="7D7E043D" w:rsidR="00DA351D" w:rsidRPr="004F35A5" w:rsidRDefault="00186605" w:rsidP="00DA351D">
            <w:pPr>
              <w:spacing w:after="0"/>
              <w:jc w:val="right"/>
              <w:rPr>
                <w:b/>
                <w:bCs/>
                <w:noProof/>
                <w:sz w:val="20"/>
                <w:szCs w:val="20"/>
                <w:lang w:val="en-IE" w:eastAsia="en-IE"/>
              </w:rPr>
            </w:pPr>
            <w:r w:rsidRPr="00186605">
              <w:rPr>
                <w:noProof/>
                <w:sz w:val="20"/>
                <w:szCs w:val="20"/>
              </w:rPr>
              <w:t xml:space="preserve"> (6</w:t>
            </w:r>
            <w:r w:rsidR="00646175">
              <w:rPr>
                <w:noProof/>
                <w:sz w:val="20"/>
                <w:szCs w:val="20"/>
              </w:rPr>
              <w:t xml:space="preserve"> </w:t>
            </w:r>
            <w:r w:rsidRPr="00186605">
              <w:rPr>
                <w:noProof/>
                <w:sz w:val="20"/>
                <w:szCs w:val="20"/>
              </w:rPr>
              <w:t>158</w:t>
            </w:r>
            <w:r w:rsidR="00646175">
              <w:rPr>
                <w:noProof/>
                <w:sz w:val="20"/>
                <w:szCs w:val="20"/>
              </w:rPr>
              <w:t xml:space="preserve"> </w:t>
            </w:r>
            <w:r w:rsidRPr="00186605">
              <w:rPr>
                <w:noProof/>
                <w:sz w:val="20"/>
                <w:szCs w:val="20"/>
              </w:rPr>
              <w:t>121</w:t>
            </w:r>
            <w:r w:rsidR="00646175">
              <w:rPr>
                <w:noProof/>
                <w:sz w:val="20"/>
                <w:szCs w:val="20"/>
              </w:rPr>
              <w:t xml:space="preserve"> </w:t>
            </w:r>
            <w:r w:rsidRPr="00186605">
              <w:rPr>
                <w:noProof/>
                <w:sz w:val="20"/>
                <w:szCs w:val="20"/>
              </w:rPr>
              <w:t>169)</w:t>
            </w:r>
          </w:p>
        </w:tc>
        <w:tc>
          <w:tcPr>
            <w:tcW w:w="1386" w:type="dxa"/>
            <w:shd w:val="clear" w:color="auto" w:fill="F2F2F2" w:themeFill="background1" w:themeFillShade="F2"/>
            <w:noWrap/>
          </w:tcPr>
          <w:p w14:paraId="728DF34E" w14:textId="1BD0E030" w:rsidR="00DA351D" w:rsidRPr="004F35A5" w:rsidRDefault="00186605" w:rsidP="00DA351D">
            <w:pPr>
              <w:spacing w:after="0"/>
              <w:jc w:val="right"/>
              <w:rPr>
                <w:b/>
                <w:bCs/>
                <w:noProof/>
                <w:sz w:val="20"/>
                <w:szCs w:val="20"/>
                <w:lang w:val="en-IE" w:eastAsia="en-IE"/>
              </w:rPr>
            </w:pPr>
            <w:r w:rsidRPr="00186605">
              <w:rPr>
                <w:noProof/>
                <w:sz w:val="20"/>
                <w:szCs w:val="20"/>
              </w:rPr>
              <w:t>(18</w:t>
            </w:r>
            <w:r w:rsidR="00646175">
              <w:rPr>
                <w:noProof/>
                <w:sz w:val="20"/>
                <w:szCs w:val="20"/>
              </w:rPr>
              <w:t xml:space="preserve"> </w:t>
            </w:r>
            <w:r w:rsidRPr="00186605">
              <w:rPr>
                <w:noProof/>
                <w:sz w:val="20"/>
                <w:szCs w:val="20"/>
              </w:rPr>
              <w:t>874</w:t>
            </w:r>
            <w:r w:rsidR="00646175">
              <w:rPr>
                <w:noProof/>
                <w:sz w:val="20"/>
                <w:szCs w:val="20"/>
              </w:rPr>
              <w:t xml:space="preserve"> </w:t>
            </w:r>
            <w:r w:rsidRPr="00186605">
              <w:rPr>
                <w:noProof/>
                <w:sz w:val="20"/>
                <w:szCs w:val="20"/>
              </w:rPr>
              <w:t>906</w:t>
            </w:r>
            <w:r w:rsidR="00646175">
              <w:rPr>
                <w:noProof/>
                <w:sz w:val="20"/>
                <w:szCs w:val="20"/>
              </w:rPr>
              <w:t xml:space="preserve"> </w:t>
            </w:r>
            <w:r w:rsidRPr="00186605">
              <w:rPr>
                <w:noProof/>
                <w:sz w:val="20"/>
                <w:szCs w:val="20"/>
              </w:rPr>
              <w:t>705)</w:t>
            </w:r>
          </w:p>
        </w:tc>
      </w:tr>
    </w:tbl>
    <w:p w14:paraId="5D6478EA" w14:textId="02A10598" w:rsidR="00F919A1" w:rsidRPr="00437F91" w:rsidRDefault="00F919A1" w:rsidP="00340A97">
      <w:pPr>
        <w:pStyle w:val="Heading2"/>
        <w:numPr>
          <w:ilvl w:val="1"/>
          <w:numId w:val="10"/>
        </w:numPr>
        <w:tabs>
          <w:tab w:val="num" w:pos="283"/>
        </w:tabs>
        <w:spacing w:before="240"/>
        <w:ind w:left="1202"/>
        <w:rPr>
          <w:bCs/>
          <w:noProof/>
        </w:rPr>
      </w:pPr>
      <w:bookmarkStart w:id="191" w:name="_Toc208595307"/>
      <w:bookmarkStart w:id="192" w:name="_Toc208836931"/>
      <w:bookmarkStart w:id="193" w:name="_Toc214519710"/>
      <w:bookmarkStart w:id="194" w:name="_Toc216283361"/>
      <w:bookmarkStart w:id="195" w:name="_Toc228346916"/>
      <w:r w:rsidRPr="00437F91">
        <w:rPr>
          <w:noProof/>
        </w:rPr>
        <w:t>PM6</w:t>
      </w:r>
      <w:r w:rsidRPr="00437F91">
        <w:rPr>
          <w:bCs/>
          <w:noProof/>
        </w:rPr>
        <w:t xml:space="preserve">: </w:t>
      </w:r>
      <w:r w:rsidR="008D177F">
        <w:rPr>
          <w:bCs/>
          <w:noProof/>
        </w:rPr>
        <w:t>National funding</w:t>
      </w:r>
      <w:r w:rsidRPr="00437F91">
        <w:rPr>
          <w:bCs/>
          <w:noProof/>
        </w:rPr>
        <w:t xml:space="preserve"> support for data centres</w:t>
      </w:r>
      <w:bookmarkEnd w:id="191"/>
      <w:bookmarkEnd w:id="192"/>
      <w:bookmarkEnd w:id="193"/>
      <w:bookmarkEnd w:id="194"/>
      <w:bookmarkEnd w:id="195"/>
    </w:p>
    <w:p w14:paraId="1B321AD7" w14:textId="309851D6" w:rsidR="006A0F15" w:rsidRDefault="00F919A1" w:rsidP="00F919A1">
      <w:pPr>
        <w:pStyle w:val="Text1"/>
        <w:ind w:left="0"/>
        <w:rPr>
          <w:noProof/>
        </w:rPr>
      </w:pPr>
      <w:r w:rsidRPr="0007547C">
        <w:rPr>
          <w:noProof/>
        </w:rPr>
        <w:t>The introduction of</w:t>
      </w:r>
      <w:r w:rsidR="00503555">
        <w:rPr>
          <w:noProof/>
        </w:rPr>
        <w:t xml:space="preserve"> public</w:t>
      </w:r>
      <w:r w:rsidRPr="0007547C">
        <w:rPr>
          <w:noProof/>
        </w:rPr>
        <w:t xml:space="preserve"> support measures </w:t>
      </w:r>
      <w:r w:rsidR="00A13CB8">
        <w:rPr>
          <w:noProof/>
        </w:rPr>
        <w:t>that target clearly</w:t>
      </w:r>
      <w:r w:rsidR="00C4690C">
        <w:rPr>
          <w:noProof/>
        </w:rPr>
        <w:t xml:space="preserve"> </w:t>
      </w:r>
      <w:r w:rsidR="00A13CB8">
        <w:rPr>
          <w:noProof/>
        </w:rPr>
        <w:t xml:space="preserve">defined market failures </w:t>
      </w:r>
      <w:r w:rsidRPr="0007547C">
        <w:rPr>
          <w:noProof/>
        </w:rPr>
        <w:t xml:space="preserve">in </w:t>
      </w:r>
      <w:r w:rsidR="00503555">
        <w:rPr>
          <w:noProof/>
        </w:rPr>
        <w:t>line with applicable State aid rules</w:t>
      </w:r>
      <w:r w:rsidRPr="0007547C">
        <w:rPr>
          <w:noProof/>
        </w:rPr>
        <w:t>,</w:t>
      </w:r>
      <w:r w:rsidRPr="0007547C" w:rsidDel="00503555">
        <w:rPr>
          <w:noProof/>
        </w:rPr>
        <w:t xml:space="preserve"> </w:t>
      </w:r>
      <w:r w:rsidRPr="0007547C">
        <w:rPr>
          <w:noProof/>
        </w:rPr>
        <w:t xml:space="preserve">to support data centre deployment would generate cost and benefits mainly for operators and national authorities. Under this measure, Member States </w:t>
      </w:r>
      <w:r w:rsidR="00E278AB">
        <w:rPr>
          <w:noProof/>
        </w:rPr>
        <w:t>may</w:t>
      </w:r>
      <w:r w:rsidRPr="0007547C">
        <w:rPr>
          <w:noProof/>
        </w:rPr>
        <w:t xml:space="preserve"> grant public support to particularly sustainable and strategic data centres </w:t>
      </w:r>
      <w:r w:rsidR="00F91CD6">
        <w:rPr>
          <w:noProof/>
        </w:rPr>
        <w:t xml:space="preserve">deployed </w:t>
      </w:r>
      <w:r w:rsidRPr="0007547C">
        <w:rPr>
          <w:noProof/>
        </w:rPr>
        <w:t>within pre-identified areas</w:t>
      </w:r>
      <w:r w:rsidR="00E71541">
        <w:rPr>
          <w:noProof/>
        </w:rPr>
        <w:t xml:space="preserve"> (see PM5)</w:t>
      </w:r>
      <w:r w:rsidRPr="0007547C">
        <w:rPr>
          <w:noProof/>
        </w:rPr>
        <w:t xml:space="preserve">, according to commonly defined criteria. </w:t>
      </w:r>
    </w:p>
    <w:p w14:paraId="207B1421" w14:textId="5BB491BB" w:rsidR="00F919A1" w:rsidRDefault="001762A8" w:rsidP="00F919A1">
      <w:pPr>
        <w:pStyle w:val="Text1"/>
        <w:ind w:left="0"/>
        <w:rPr>
          <w:noProof/>
          <w:lang w:val="en-IE"/>
        </w:rPr>
      </w:pPr>
      <w:r>
        <w:rPr>
          <w:i/>
          <w:iCs/>
          <w:noProof/>
          <w:lang w:val="en-IE"/>
        </w:rPr>
        <w:t>Impact on d</w:t>
      </w:r>
      <w:r w:rsidRPr="00C73124">
        <w:rPr>
          <w:i/>
          <w:iCs/>
          <w:noProof/>
          <w:lang w:val="en-IE"/>
        </w:rPr>
        <w:t>ata</w:t>
      </w:r>
      <w:r>
        <w:rPr>
          <w:i/>
          <w:iCs/>
          <w:noProof/>
          <w:lang w:val="en-IE"/>
        </w:rPr>
        <w:t xml:space="preserve"> </w:t>
      </w:r>
      <w:r w:rsidR="00F919A1" w:rsidRPr="00C73124">
        <w:rPr>
          <w:i/>
          <w:iCs/>
          <w:noProof/>
          <w:lang w:val="en-IE"/>
        </w:rPr>
        <w:t xml:space="preserve">centre </w:t>
      </w:r>
      <w:r>
        <w:rPr>
          <w:i/>
          <w:iCs/>
          <w:noProof/>
          <w:lang w:val="en-IE"/>
        </w:rPr>
        <w:t>deployment acceleration</w:t>
      </w:r>
      <w:r w:rsidR="00F919A1" w:rsidRPr="00C73124">
        <w:rPr>
          <w:noProof/>
          <w:lang w:val="en-IE"/>
        </w:rPr>
        <w:t>.</w:t>
      </w:r>
      <w:r w:rsidR="00F919A1" w:rsidRPr="51F6B4DA">
        <w:rPr>
          <w:noProof/>
          <w:lang w:val="en-IE"/>
        </w:rPr>
        <w:t xml:space="preserve"> </w:t>
      </w:r>
      <w:r w:rsidR="00F919A1">
        <w:rPr>
          <w:bCs/>
          <w:iCs/>
          <w:noProof/>
          <w:lang w:val="en-IE"/>
        </w:rPr>
        <w:t>The baseline capacity growth presents a 1</w:t>
      </w:r>
      <w:r w:rsidR="002D4A56">
        <w:rPr>
          <w:bCs/>
          <w:iCs/>
          <w:noProof/>
          <w:lang w:val="en-IE"/>
        </w:rPr>
        <w:t>2</w:t>
      </w:r>
      <w:r w:rsidR="00F919A1">
        <w:rPr>
          <w:bCs/>
          <w:iCs/>
          <w:noProof/>
          <w:lang w:val="en-IE"/>
        </w:rPr>
        <w:t>% CAGR in data centre capacity (202</w:t>
      </w:r>
      <w:r w:rsidR="002D4A56">
        <w:rPr>
          <w:bCs/>
          <w:iCs/>
          <w:noProof/>
          <w:lang w:val="en-IE"/>
        </w:rPr>
        <w:t>5</w:t>
      </w:r>
      <w:r w:rsidR="00F919A1">
        <w:rPr>
          <w:bCs/>
          <w:iCs/>
          <w:noProof/>
          <w:lang w:val="en-IE"/>
        </w:rPr>
        <w:t xml:space="preserve">-2036). Under this option, it is assumed that the capacity growth rate increases to 15%. </w:t>
      </w:r>
      <w:r w:rsidR="00F919A1" w:rsidRPr="002B3D39">
        <w:rPr>
          <w:bCs/>
          <w:iCs/>
          <w:noProof/>
          <w:lang w:val="en-IE"/>
        </w:rPr>
        <w:t xml:space="preserve">This uplift reflects the assumption that </w:t>
      </w:r>
      <w:r w:rsidR="00F919A1">
        <w:rPr>
          <w:bCs/>
          <w:iCs/>
          <w:noProof/>
          <w:lang w:val="en-IE"/>
        </w:rPr>
        <w:t xml:space="preserve">support measures - together with the other PM described above implemented as part of this option – would </w:t>
      </w:r>
      <w:r w:rsidR="00F919A1" w:rsidRPr="002B3D39">
        <w:rPr>
          <w:bCs/>
          <w:iCs/>
          <w:noProof/>
          <w:lang w:val="en-IE"/>
        </w:rPr>
        <w:t>reduce barriers to investment, accelerate time to market, and improve certainty for operators, thereby stimulating additional capacity deployment.</w:t>
      </w:r>
      <w:r w:rsidR="00F919A1">
        <w:rPr>
          <w:bCs/>
          <w:iCs/>
          <w:noProof/>
          <w:lang w:val="en-IE"/>
        </w:rPr>
        <w:t xml:space="preserve"> The scope of this measure covers data centre operators and CSPs active in new data centre builds in the EU, while </w:t>
      </w:r>
      <w:r w:rsidR="00F919A1" w:rsidRPr="00AB4C2D">
        <w:rPr>
          <w:bCs/>
          <w:iCs/>
          <w:noProof/>
          <w:lang w:val="en-IE"/>
        </w:rPr>
        <w:t xml:space="preserve">impacts scale with the </w:t>
      </w:r>
      <w:r w:rsidR="00F919A1" w:rsidRPr="00284043">
        <w:rPr>
          <w:bCs/>
          <w:iCs/>
          <w:noProof/>
          <w:lang w:val="en-IE"/>
        </w:rPr>
        <w:t xml:space="preserve">share of new projects </w:t>
      </w:r>
      <w:r w:rsidR="00F919A1">
        <w:rPr>
          <w:bCs/>
          <w:iCs/>
          <w:noProof/>
          <w:lang w:val="en-IE"/>
        </w:rPr>
        <w:t>receiving funding</w:t>
      </w:r>
      <w:r w:rsidR="00F919A1" w:rsidRPr="00AB4C2D">
        <w:rPr>
          <w:bCs/>
          <w:iCs/>
          <w:noProof/>
          <w:lang w:val="en-IE"/>
        </w:rPr>
        <w:t>.</w:t>
      </w:r>
      <w:r w:rsidR="00F919A1">
        <w:rPr>
          <w:bCs/>
          <w:iCs/>
          <w:noProof/>
          <w:lang w:val="en-IE"/>
        </w:rPr>
        <w:t xml:space="preserve"> </w:t>
      </w:r>
      <w:r w:rsidR="00F919A1">
        <w:rPr>
          <w:noProof/>
          <w:lang w:val="en-IE"/>
        </w:rPr>
        <w:t xml:space="preserve">Please see Section </w:t>
      </w:r>
      <w:r w:rsidR="00F919A1" w:rsidRPr="0007547C">
        <w:rPr>
          <w:noProof/>
          <w:lang w:val="en-IE"/>
        </w:rPr>
        <w:fldChar w:fldCharType="begin"/>
      </w:r>
      <w:r w:rsidR="00F919A1" w:rsidRPr="0007547C">
        <w:rPr>
          <w:noProof/>
          <w:lang w:val="en-IE"/>
        </w:rPr>
        <w:instrText xml:space="preserve"> REF _Ref213423736 \w \h </w:instrText>
      </w:r>
      <w:r w:rsidR="00F919A1">
        <w:rPr>
          <w:noProof/>
          <w:lang w:val="en-IE"/>
        </w:rPr>
        <w:instrText xml:space="preserve"> \* MERGEFORMAT </w:instrText>
      </w:r>
      <w:r w:rsidR="00F919A1" w:rsidRPr="0007547C">
        <w:rPr>
          <w:noProof/>
          <w:lang w:val="en-IE"/>
        </w:rPr>
      </w:r>
      <w:r w:rsidR="00F919A1" w:rsidRPr="0007547C">
        <w:rPr>
          <w:noProof/>
          <w:lang w:val="en-IE"/>
        </w:rPr>
        <w:fldChar w:fldCharType="separate"/>
      </w:r>
      <w:r w:rsidR="000E7F11">
        <w:rPr>
          <w:noProof/>
          <w:lang w:val="en-IE"/>
        </w:rPr>
        <w:t>2.3.3</w:t>
      </w:r>
      <w:r w:rsidR="00F919A1" w:rsidRPr="0007547C">
        <w:rPr>
          <w:noProof/>
          <w:lang w:val="en-IE"/>
        </w:rPr>
        <w:fldChar w:fldCharType="end"/>
      </w:r>
      <w:r w:rsidR="00F919A1">
        <w:rPr>
          <w:noProof/>
          <w:lang w:val="en-IE"/>
        </w:rPr>
        <w:t xml:space="preserve"> </w:t>
      </w:r>
      <w:r w:rsidR="00F919A1" w:rsidRPr="0007547C">
        <w:rPr>
          <w:noProof/>
          <w:lang w:val="en-IE"/>
        </w:rPr>
        <w:t xml:space="preserve">for further details. </w:t>
      </w:r>
    </w:p>
    <w:p w14:paraId="16550B4D" w14:textId="1F82BEE6" w:rsidR="0005115E" w:rsidRDefault="00F919A1" w:rsidP="0005115E">
      <w:pPr>
        <w:rPr>
          <w:rFonts w:eastAsia="Times New Roman"/>
          <w:noProof/>
        </w:rPr>
      </w:pPr>
      <w:r w:rsidRPr="0007547C">
        <w:rPr>
          <w:rFonts w:eastAsia="Times New Roman"/>
          <w:b/>
          <w:i/>
          <w:noProof/>
        </w:rPr>
        <w:t xml:space="preserve">Administrative costs for </w:t>
      </w:r>
      <w:r w:rsidR="00C73124" w:rsidRPr="59E4558D">
        <w:rPr>
          <w:b/>
          <w:i/>
          <w:noProof/>
        </w:rPr>
        <w:t>Data Centre Operators</w:t>
      </w:r>
      <w:r w:rsidRPr="0007547C">
        <w:rPr>
          <w:rFonts w:eastAsia="Times New Roman"/>
          <w:b/>
          <w:i/>
          <w:noProof/>
        </w:rPr>
        <w:t xml:space="preserve">. </w:t>
      </w:r>
      <w:r w:rsidRPr="0007547C">
        <w:rPr>
          <w:rFonts w:eastAsia="Times New Roman"/>
          <w:noProof/>
        </w:rPr>
        <w:t xml:space="preserve">For operators, the </w:t>
      </w:r>
      <w:r w:rsidR="00C44395">
        <w:rPr>
          <w:rFonts w:eastAsia="Times New Roman"/>
          <w:noProof/>
        </w:rPr>
        <w:t>one-off</w:t>
      </w:r>
      <w:r w:rsidRPr="0007547C">
        <w:rPr>
          <w:rFonts w:eastAsia="Times New Roman"/>
          <w:noProof/>
        </w:rPr>
        <w:t xml:space="preserve"> administrative costs of participating in such </w:t>
      </w:r>
      <w:r w:rsidR="00E326E7">
        <w:rPr>
          <w:rFonts w:eastAsia="Times New Roman"/>
          <w:noProof/>
        </w:rPr>
        <w:t>public support measures</w:t>
      </w:r>
      <w:r w:rsidR="00E326E7" w:rsidRPr="0007547C">
        <w:rPr>
          <w:rFonts w:eastAsia="Times New Roman"/>
          <w:noProof/>
        </w:rPr>
        <w:t xml:space="preserve"> </w:t>
      </w:r>
      <w:r w:rsidRPr="0007547C">
        <w:rPr>
          <w:rFonts w:eastAsia="Times New Roman"/>
          <w:noProof/>
        </w:rPr>
        <w:t>are modest. Preparing applications, providing supporting documentation and fulfilling reporting obligations are estimated at 0.2 FTE</w:t>
      </w:r>
      <w:r w:rsidR="007215DB">
        <w:rPr>
          <w:rFonts w:eastAsia="Times New Roman"/>
          <w:noProof/>
        </w:rPr>
        <w:t>, or 45 days,</w:t>
      </w:r>
      <w:r w:rsidRPr="0007547C">
        <w:rPr>
          <w:rFonts w:eastAsia="Times New Roman"/>
          <w:noProof/>
        </w:rPr>
        <w:t xml:space="preserve"> during the first year</w:t>
      </w:r>
      <w:r w:rsidR="0010416C">
        <w:rPr>
          <w:rFonts w:eastAsia="Times New Roman"/>
          <w:noProof/>
        </w:rPr>
        <w:t>.</w:t>
      </w:r>
      <w:r w:rsidRPr="0007547C">
        <w:rPr>
          <w:rFonts w:eastAsia="Times New Roman"/>
          <w:noProof/>
        </w:rPr>
        <w:t xml:space="preserve"> </w:t>
      </w:r>
      <w:r w:rsidR="0005115E" w:rsidRPr="00F86749">
        <w:rPr>
          <w:rFonts w:eastAsia="Times New Roman"/>
          <w:noProof/>
        </w:rPr>
        <w:t xml:space="preserve">These </w:t>
      </w:r>
      <w:r w:rsidR="0005115E">
        <w:rPr>
          <w:rFonts w:eastAsia="Times New Roman"/>
          <w:noProof/>
        </w:rPr>
        <w:t>are estimated as the</w:t>
      </w:r>
      <w:r w:rsidR="0005115E" w:rsidRPr="00F86749">
        <w:rPr>
          <w:rFonts w:eastAsia="Times New Roman"/>
          <w:noProof/>
        </w:rPr>
        <w:t xml:space="preserve"> staff time </w:t>
      </w:r>
      <w:r w:rsidR="0005115E">
        <w:rPr>
          <w:rFonts w:eastAsia="Times New Roman"/>
          <w:noProof/>
        </w:rPr>
        <w:t xml:space="preserve">spent on the application </w:t>
      </w:r>
      <w:r w:rsidR="0005115E" w:rsidRPr="00F86749">
        <w:rPr>
          <w:rFonts w:eastAsia="Times New Roman"/>
          <w:noProof/>
        </w:rPr>
        <w:t>and, where required, verification processes</w:t>
      </w:r>
      <w:r w:rsidR="0005115E">
        <w:rPr>
          <w:rFonts w:eastAsia="Times New Roman"/>
          <w:noProof/>
        </w:rPr>
        <w:t xml:space="preserve"> multiplied by the relevant labour costs</w:t>
      </w:r>
      <w:r w:rsidR="0005115E" w:rsidRPr="00F86749">
        <w:rPr>
          <w:rFonts w:eastAsia="Times New Roman"/>
          <w:noProof/>
        </w:rPr>
        <w:t>.</w:t>
      </w:r>
      <w:r w:rsidR="0005115E">
        <w:rPr>
          <w:rFonts w:eastAsia="Times New Roman"/>
          <w:noProof/>
        </w:rPr>
        <w:t xml:space="preserve"> </w:t>
      </w:r>
    </w:p>
    <w:p w14:paraId="579F4537" w14:textId="6B8261AC" w:rsidR="0005115E" w:rsidRPr="00576897" w:rsidRDefault="00C44395" w:rsidP="0005115E">
      <w:pPr>
        <w:jc w:val="center"/>
        <w:rPr>
          <w:i/>
          <w:noProof/>
          <w:lang w:val="en-IE" w:bidi="he-IL"/>
        </w:rPr>
      </w:pPr>
      <w:r>
        <w:rPr>
          <w:i/>
          <w:noProof/>
        </w:rPr>
        <w:t>One-off a</w:t>
      </w:r>
      <w:r w:rsidR="0005115E">
        <w:rPr>
          <w:i/>
          <w:noProof/>
        </w:rPr>
        <w:t>dministrative costs</w:t>
      </w:r>
      <w:r w:rsidR="0005115E">
        <w:rPr>
          <w:i/>
          <w:noProof/>
          <w:vertAlign w:val="subscript"/>
        </w:rPr>
        <w:t xml:space="preserve"> year t</w:t>
      </w:r>
      <w:r w:rsidR="0005115E" w:rsidRPr="0007547C">
        <w:rPr>
          <w:i/>
          <w:noProof/>
        </w:rPr>
        <w:t xml:space="preserve"> = </w:t>
      </w:r>
      <w:r w:rsidR="0005115E">
        <w:rPr>
          <w:i/>
          <w:noProof/>
        </w:rPr>
        <w:t>ΔT × labour cost × No. of applications</w:t>
      </w:r>
    </w:p>
    <w:p w14:paraId="2CBFE977" w14:textId="4F15795C" w:rsidR="00F919A1" w:rsidRDefault="00F919A1" w:rsidP="00F919A1">
      <w:pPr>
        <w:rPr>
          <w:rFonts w:eastAsia="Times New Roman"/>
          <w:noProof/>
        </w:rPr>
      </w:pPr>
      <w:r w:rsidRPr="0007547C">
        <w:rPr>
          <w:rFonts w:eastAsia="Times New Roman"/>
          <w:noProof/>
        </w:rPr>
        <w:t>Operators may face incremental costs to meet eligibility requirements. For example, the inclusion of battery storage, waste-heat reuse, or other technologies to improve grid stability and sustainability could raise investment costs.</w:t>
      </w:r>
      <w:r w:rsidR="00250674">
        <w:rPr>
          <w:rFonts w:eastAsia="Times New Roman"/>
          <w:noProof/>
        </w:rPr>
        <w:t xml:space="preserve"> However, these would depend on the nature of the support measure and thus cannot be reasonably quantified. </w:t>
      </w:r>
    </w:p>
    <w:p w14:paraId="0003A17F" w14:textId="33D22B07" w:rsidR="00FF3332" w:rsidRPr="0007547C" w:rsidRDefault="00FF3332" w:rsidP="00FF3332">
      <w:pPr>
        <w:pStyle w:val="Text1"/>
        <w:ind w:left="0"/>
        <w:rPr>
          <w:noProof/>
        </w:rPr>
      </w:pPr>
      <w:r>
        <w:rPr>
          <w:noProof/>
        </w:rPr>
        <w:t xml:space="preserve">Total </w:t>
      </w:r>
      <w:r w:rsidR="00AA331F">
        <w:rPr>
          <w:noProof/>
        </w:rPr>
        <w:t>one-off</w:t>
      </w:r>
      <w:r>
        <w:rPr>
          <w:noProof/>
        </w:rPr>
        <w:t xml:space="preserve"> administrative costs for data centre operators under PM6 are thus estimated at EUR </w:t>
      </w:r>
      <w:r w:rsidR="00AC01B0">
        <w:rPr>
          <w:noProof/>
        </w:rPr>
        <w:t>0.7</w:t>
      </w:r>
      <w:r>
        <w:rPr>
          <w:noProof/>
        </w:rPr>
        <w:t xml:space="preserve"> m (NPV, 10-years)</w:t>
      </w:r>
      <w:r w:rsidR="00AC01B0">
        <w:rPr>
          <w:noProof/>
        </w:rPr>
        <w:t>.</w:t>
      </w:r>
    </w:p>
    <w:p w14:paraId="7C94ADE3" w14:textId="3C633C47" w:rsidR="00300976" w:rsidRDefault="0005115E" w:rsidP="00300976">
      <w:pPr>
        <w:rPr>
          <w:rFonts w:eastAsia="Times New Roman"/>
          <w:noProof/>
        </w:rPr>
      </w:pPr>
      <w:r>
        <w:rPr>
          <w:rFonts w:eastAsia="Times New Roman"/>
          <w:b/>
          <w:bCs/>
          <w:i/>
          <w:iCs/>
          <w:noProof/>
        </w:rPr>
        <w:t>Benefits</w:t>
      </w:r>
      <w:r w:rsidR="00F919A1" w:rsidRPr="294AF3FA">
        <w:rPr>
          <w:rFonts w:eastAsia="Times New Roman"/>
          <w:b/>
          <w:bCs/>
          <w:i/>
          <w:iCs/>
          <w:noProof/>
        </w:rPr>
        <w:t xml:space="preserve"> for </w:t>
      </w:r>
      <w:r>
        <w:rPr>
          <w:b/>
          <w:bCs/>
          <w:i/>
          <w:iCs/>
          <w:noProof/>
        </w:rPr>
        <w:t>d</w:t>
      </w:r>
      <w:r w:rsidRPr="294AF3FA">
        <w:rPr>
          <w:b/>
          <w:bCs/>
          <w:i/>
          <w:iCs/>
          <w:noProof/>
        </w:rPr>
        <w:t xml:space="preserve">ata </w:t>
      </w:r>
      <w:r>
        <w:rPr>
          <w:b/>
          <w:bCs/>
          <w:i/>
          <w:iCs/>
          <w:noProof/>
        </w:rPr>
        <w:t>c</w:t>
      </w:r>
      <w:r w:rsidRPr="294AF3FA">
        <w:rPr>
          <w:b/>
          <w:bCs/>
          <w:i/>
          <w:iCs/>
          <w:noProof/>
        </w:rPr>
        <w:t xml:space="preserve">entre </w:t>
      </w:r>
      <w:r w:rsidR="00BF577E">
        <w:rPr>
          <w:b/>
          <w:bCs/>
          <w:i/>
          <w:iCs/>
          <w:noProof/>
        </w:rPr>
        <w:t>o</w:t>
      </w:r>
      <w:r w:rsidRPr="294AF3FA">
        <w:rPr>
          <w:b/>
          <w:bCs/>
          <w:i/>
          <w:iCs/>
          <w:noProof/>
        </w:rPr>
        <w:t>perators</w:t>
      </w:r>
      <w:r w:rsidR="00F919A1" w:rsidRPr="294AF3FA">
        <w:rPr>
          <w:rFonts w:eastAsia="Times New Roman"/>
          <w:b/>
          <w:bCs/>
          <w:i/>
          <w:iCs/>
          <w:noProof/>
        </w:rPr>
        <w:t xml:space="preserve">. </w:t>
      </w:r>
      <w:r w:rsidR="00F919A1" w:rsidRPr="00170E39">
        <w:rPr>
          <w:rFonts w:eastAsia="Times New Roman"/>
          <w:noProof/>
        </w:rPr>
        <w:t xml:space="preserve">Operators </w:t>
      </w:r>
      <w:r w:rsidR="003E5ACB" w:rsidRPr="00170E39">
        <w:rPr>
          <w:rFonts w:eastAsia="Times New Roman"/>
          <w:noProof/>
        </w:rPr>
        <w:t xml:space="preserve">would </w:t>
      </w:r>
      <w:r w:rsidR="00F919A1" w:rsidRPr="00170E39">
        <w:rPr>
          <w:rFonts w:eastAsia="Times New Roman"/>
          <w:noProof/>
        </w:rPr>
        <w:t xml:space="preserve">benefit from direct financial support, </w:t>
      </w:r>
      <w:r w:rsidR="006561C2" w:rsidRPr="00BD570F">
        <w:rPr>
          <w:rFonts w:eastAsia="Times New Roman"/>
          <w:noProof/>
        </w:rPr>
        <w:t>for example</w:t>
      </w:r>
      <w:r w:rsidR="00F919A1" w:rsidRPr="00170E39">
        <w:rPr>
          <w:rFonts w:eastAsia="Times New Roman"/>
          <w:noProof/>
        </w:rPr>
        <w:t xml:space="preserve"> through </w:t>
      </w:r>
      <w:r w:rsidR="00F33A08" w:rsidRPr="00D102BE">
        <w:rPr>
          <w:rFonts w:eastAsia="Times New Roman"/>
          <w:noProof/>
        </w:rPr>
        <w:t>tax advantages or incentives</w:t>
      </w:r>
      <w:r w:rsidR="00F919A1" w:rsidRPr="0007547C">
        <w:rPr>
          <w:rFonts w:eastAsia="Times New Roman"/>
          <w:noProof/>
        </w:rPr>
        <w:t>, which</w:t>
      </w:r>
      <w:r w:rsidR="00E451D8">
        <w:rPr>
          <w:rFonts w:eastAsia="Times New Roman"/>
          <w:noProof/>
        </w:rPr>
        <w:t xml:space="preserve"> </w:t>
      </w:r>
      <w:r w:rsidR="00BF577E">
        <w:rPr>
          <w:rFonts w:eastAsia="Times New Roman"/>
          <w:noProof/>
        </w:rPr>
        <w:t xml:space="preserve">is expected to </w:t>
      </w:r>
      <w:r w:rsidR="00F919A1" w:rsidRPr="0007547C">
        <w:rPr>
          <w:rFonts w:eastAsia="Times New Roman"/>
          <w:noProof/>
        </w:rPr>
        <w:t xml:space="preserve">reduce their </w:t>
      </w:r>
      <w:r w:rsidR="00E451D8">
        <w:rPr>
          <w:rFonts w:eastAsia="Times New Roman"/>
          <w:noProof/>
        </w:rPr>
        <w:t xml:space="preserve">capital expenditure </w:t>
      </w:r>
      <w:r w:rsidR="007E41AE">
        <w:rPr>
          <w:rFonts w:eastAsia="Times New Roman"/>
          <w:noProof/>
        </w:rPr>
        <w:t xml:space="preserve">and accelerate or make possible the implementation of </w:t>
      </w:r>
      <w:r w:rsidR="00BF577E">
        <w:rPr>
          <w:rFonts w:eastAsia="Times New Roman"/>
          <w:noProof/>
        </w:rPr>
        <w:t>data centre</w:t>
      </w:r>
      <w:r w:rsidR="007E41AE">
        <w:rPr>
          <w:rFonts w:eastAsia="Times New Roman"/>
          <w:noProof/>
        </w:rPr>
        <w:t xml:space="preserve"> </w:t>
      </w:r>
      <w:r w:rsidR="00F919A1" w:rsidRPr="0007547C" w:rsidDel="007E41AE">
        <w:rPr>
          <w:rFonts w:eastAsia="Times New Roman"/>
          <w:noProof/>
        </w:rPr>
        <w:t>projects</w:t>
      </w:r>
      <w:r w:rsidR="00B749E2">
        <w:rPr>
          <w:rFonts w:eastAsia="Times New Roman"/>
          <w:noProof/>
        </w:rPr>
        <w:t xml:space="preserve">. </w:t>
      </w:r>
      <w:r w:rsidR="00300976">
        <w:rPr>
          <w:rFonts w:eastAsia="Times New Roman"/>
          <w:noProof/>
        </w:rPr>
        <w:t xml:space="preserve">These subsidy amounts </w:t>
      </w:r>
      <w:r w:rsidR="00B749E2">
        <w:rPr>
          <w:rFonts w:eastAsia="Times New Roman"/>
          <w:noProof/>
        </w:rPr>
        <w:t>would represent</w:t>
      </w:r>
      <w:r w:rsidR="00300976">
        <w:rPr>
          <w:rFonts w:eastAsia="Times New Roman"/>
          <w:noProof/>
        </w:rPr>
        <w:t xml:space="preserve"> </w:t>
      </w:r>
      <w:r w:rsidR="00B749E2">
        <w:rPr>
          <w:rFonts w:eastAsia="Times New Roman"/>
          <w:noProof/>
        </w:rPr>
        <w:t>direct</w:t>
      </w:r>
      <w:r w:rsidR="00300976">
        <w:rPr>
          <w:rFonts w:eastAsia="Times New Roman"/>
          <w:noProof/>
        </w:rPr>
        <w:t xml:space="preserve"> benefits for operators and corresponding costs for public authorities</w:t>
      </w:r>
      <w:r w:rsidR="00B749E2">
        <w:rPr>
          <w:rFonts w:eastAsia="Times New Roman"/>
          <w:noProof/>
        </w:rPr>
        <w:t xml:space="preserve">. Nevertheless, given the </w:t>
      </w:r>
      <w:r w:rsidR="00440DB8">
        <w:rPr>
          <w:rFonts w:eastAsia="Times New Roman"/>
          <w:noProof/>
        </w:rPr>
        <w:t xml:space="preserve">voluntary nature </w:t>
      </w:r>
      <w:r w:rsidR="00B749E2">
        <w:rPr>
          <w:rFonts w:eastAsia="Times New Roman"/>
          <w:noProof/>
        </w:rPr>
        <w:t xml:space="preserve">of the funding scheme </w:t>
      </w:r>
      <w:r w:rsidR="00432D5F">
        <w:rPr>
          <w:rFonts w:eastAsia="Times New Roman"/>
          <w:noProof/>
        </w:rPr>
        <w:t xml:space="preserve">(as the Member State must first decide that it wants to implement such a scheme) </w:t>
      </w:r>
      <w:r w:rsidR="00B749E2">
        <w:rPr>
          <w:rFonts w:eastAsia="Times New Roman"/>
          <w:noProof/>
        </w:rPr>
        <w:t>they have not been quantified</w:t>
      </w:r>
      <w:r w:rsidR="00300976">
        <w:rPr>
          <w:rFonts w:eastAsia="Times New Roman"/>
          <w:noProof/>
        </w:rPr>
        <w:t xml:space="preserve"> as fiscal transfers. </w:t>
      </w:r>
    </w:p>
    <w:p w14:paraId="2DA51FAF" w14:textId="77F3D602" w:rsidR="00F57802" w:rsidRDefault="001E1B13" w:rsidP="00F57802">
      <w:pPr>
        <w:rPr>
          <w:rFonts w:eastAsia="Times New Roman"/>
          <w:b/>
          <w:i/>
          <w:noProof/>
          <w:szCs w:val="20"/>
        </w:rPr>
      </w:pPr>
      <w:r>
        <w:rPr>
          <w:rFonts w:eastAsia="Times New Roman"/>
          <w:b/>
          <w:i/>
          <w:noProof/>
          <w:szCs w:val="20"/>
        </w:rPr>
        <w:t>Adjustment</w:t>
      </w:r>
      <w:r w:rsidR="00300976">
        <w:rPr>
          <w:rFonts w:eastAsia="Times New Roman"/>
          <w:b/>
          <w:i/>
          <w:noProof/>
          <w:szCs w:val="20"/>
        </w:rPr>
        <w:t xml:space="preserve"> c</w:t>
      </w:r>
      <w:r w:rsidR="00300976" w:rsidRPr="0007547C">
        <w:rPr>
          <w:rFonts w:eastAsia="Times New Roman"/>
          <w:b/>
          <w:i/>
          <w:noProof/>
          <w:szCs w:val="20"/>
        </w:rPr>
        <w:t xml:space="preserve">osts </w:t>
      </w:r>
      <w:r w:rsidR="00F919A1" w:rsidRPr="0007547C">
        <w:rPr>
          <w:rFonts w:eastAsia="Times New Roman"/>
          <w:b/>
          <w:i/>
          <w:noProof/>
          <w:szCs w:val="20"/>
        </w:rPr>
        <w:t xml:space="preserve">for national public authorities. </w:t>
      </w:r>
      <w:r w:rsidR="00F919A1" w:rsidRPr="0007547C">
        <w:rPr>
          <w:rFonts w:eastAsia="Times New Roman"/>
          <w:noProof/>
          <w:szCs w:val="20"/>
        </w:rPr>
        <w:t xml:space="preserve">For national authorities, </w:t>
      </w:r>
      <w:r w:rsidR="007775E3">
        <w:rPr>
          <w:rFonts w:eastAsia="Times New Roman"/>
          <w:noProof/>
          <w:szCs w:val="20"/>
        </w:rPr>
        <w:t xml:space="preserve">in addition to the overall fiscal transfer costs, </w:t>
      </w:r>
      <w:r w:rsidR="00F919A1" w:rsidRPr="0007547C">
        <w:rPr>
          <w:rFonts w:eastAsia="Times New Roman"/>
          <w:noProof/>
          <w:szCs w:val="20"/>
        </w:rPr>
        <w:t xml:space="preserve">the set-up and management of the scheme generates new </w:t>
      </w:r>
      <w:r>
        <w:rPr>
          <w:rFonts w:eastAsia="Times New Roman"/>
          <w:noProof/>
          <w:szCs w:val="20"/>
        </w:rPr>
        <w:t>adjustment</w:t>
      </w:r>
      <w:r w:rsidRPr="0007547C">
        <w:rPr>
          <w:rFonts w:eastAsia="Times New Roman"/>
          <w:noProof/>
          <w:szCs w:val="20"/>
        </w:rPr>
        <w:t xml:space="preserve"> </w:t>
      </w:r>
      <w:r w:rsidR="00F919A1" w:rsidRPr="0007547C">
        <w:rPr>
          <w:rFonts w:eastAsia="Times New Roman"/>
          <w:noProof/>
          <w:szCs w:val="20"/>
        </w:rPr>
        <w:t xml:space="preserve">costs. </w:t>
      </w:r>
      <w:r w:rsidR="00F57802">
        <w:rPr>
          <w:rFonts w:eastAsia="Times New Roman"/>
          <w:noProof/>
          <w:szCs w:val="20"/>
        </w:rPr>
        <w:t>These are quantified based on the expected effort required by each Member State, assuming that</w:t>
      </w:r>
      <w:r w:rsidR="00F57802" w:rsidRPr="0007547C">
        <w:rPr>
          <w:rFonts w:eastAsia="Times New Roman"/>
          <w:noProof/>
          <w:szCs w:val="20"/>
        </w:rPr>
        <w:t xml:space="preserve"> for the design and legal establishment of the scheme</w:t>
      </w:r>
      <w:r w:rsidR="00F57802">
        <w:rPr>
          <w:rFonts w:eastAsia="Times New Roman"/>
          <w:noProof/>
          <w:szCs w:val="20"/>
        </w:rPr>
        <w:t xml:space="preserve"> during the first year,</w:t>
      </w:r>
      <w:r w:rsidR="00F57802" w:rsidRPr="0007547C">
        <w:rPr>
          <w:rFonts w:eastAsia="Times New Roman"/>
          <w:noProof/>
          <w:szCs w:val="20"/>
        </w:rPr>
        <w:t xml:space="preserve"> </w:t>
      </w:r>
      <w:r w:rsidR="00F57802">
        <w:rPr>
          <w:rFonts w:eastAsia="Times New Roman"/>
          <w:noProof/>
          <w:szCs w:val="20"/>
        </w:rPr>
        <w:t>4</w:t>
      </w:r>
      <w:r w:rsidR="00F57802" w:rsidRPr="0007547C">
        <w:rPr>
          <w:rFonts w:eastAsia="Times New Roman"/>
          <w:noProof/>
          <w:szCs w:val="20"/>
        </w:rPr>
        <w:t xml:space="preserve"> FTEs</w:t>
      </w:r>
      <w:r w:rsidR="00F57802">
        <w:rPr>
          <w:rFonts w:eastAsia="Times New Roman"/>
          <w:noProof/>
          <w:szCs w:val="20"/>
        </w:rPr>
        <w:t xml:space="preserve"> (3-5 for sensitivity ranges) are required and entail one-off </w:t>
      </w:r>
      <w:r w:rsidR="006B1183">
        <w:rPr>
          <w:rFonts w:eastAsia="Times New Roman"/>
          <w:noProof/>
          <w:szCs w:val="20"/>
        </w:rPr>
        <w:t>adjustment</w:t>
      </w:r>
      <w:r w:rsidR="00F57802">
        <w:rPr>
          <w:rFonts w:eastAsia="Times New Roman"/>
          <w:noProof/>
          <w:szCs w:val="20"/>
        </w:rPr>
        <w:t xml:space="preserve"> costs</w:t>
      </w:r>
      <w:r w:rsidR="00F57802" w:rsidRPr="0007547C">
        <w:rPr>
          <w:rFonts w:eastAsia="Times New Roman"/>
          <w:noProof/>
          <w:szCs w:val="20"/>
        </w:rPr>
        <w:t xml:space="preserve">. </w:t>
      </w:r>
      <w:r w:rsidR="00F57802" w:rsidRPr="003A4F72">
        <w:rPr>
          <w:rFonts w:eastAsia="Times New Roman"/>
          <w:noProof/>
          <w:szCs w:val="20"/>
        </w:rPr>
        <w:t xml:space="preserve">These costs are scaled by the number of </w:t>
      </w:r>
      <w:r w:rsidR="00F57802">
        <w:rPr>
          <w:rFonts w:eastAsia="Times New Roman"/>
          <w:noProof/>
          <w:szCs w:val="20"/>
        </w:rPr>
        <w:t>Member States</w:t>
      </w:r>
      <w:r w:rsidR="00F57802" w:rsidRPr="003A4F72">
        <w:rPr>
          <w:rFonts w:eastAsia="Times New Roman"/>
          <w:noProof/>
          <w:szCs w:val="20"/>
        </w:rPr>
        <w:t xml:space="preserve"> expected to operate the scheme under low, central and high uptake scenarios (25%, 50% and 75% of MS). </w:t>
      </w:r>
      <w:r w:rsidR="00F57802" w:rsidRPr="0007547C">
        <w:rPr>
          <w:rFonts w:eastAsia="Times New Roman"/>
          <w:noProof/>
          <w:szCs w:val="20"/>
        </w:rPr>
        <w:t>Thereafter, processing, evaluation of applications, and monitoring is estimated at 3 FTEs</w:t>
      </w:r>
      <w:r w:rsidR="00F57802">
        <w:rPr>
          <w:rFonts w:eastAsia="Times New Roman"/>
          <w:noProof/>
          <w:szCs w:val="20"/>
        </w:rPr>
        <w:t xml:space="preserve"> (2-4 for sensitivity ranges)</w:t>
      </w:r>
      <w:r w:rsidR="00F57802" w:rsidRPr="0007547C">
        <w:rPr>
          <w:rFonts w:eastAsia="Times New Roman"/>
          <w:noProof/>
          <w:szCs w:val="20"/>
        </w:rPr>
        <w:t xml:space="preserve"> </w:t>
      </w:r>
      <w:r w:rsidR="00F57802">
        <w:rPr>
          <w:rFonts w:eastAsia="Times New Roman"/>
          <w:noProof/>
          <w:szCs w:val="20"/>
        </w:rPr>
        <w:t>every two</w:t>
      </w:r>
      <w:r w:rsidR="00F57802" w:rsidRPr="0007547C">
        <w:rPr>
          <w:rFonts w:eastAsia="Times New Roman"/>
          <w:noProof/>
          <w:szCs w:val="20"/>
        </w:rPr>
        <w:t xml:space="preserve"> year</w:t>
      </w:r>
      <w:r w:rsidR="00F57802">
        <w:rPr>
          <w:rFonts w:eastAsia="Times New Roman"/>
          <w:noProof/>
          <w:szCs w:val="20"/>
        </w:rPr>
        <w:t xml:space="preserve">s as recurrent </w:t>
      </w:r>
      <w:r>
        <w:rPr>
          <w:rFonts w:eastAsia="Times New Roman"/>
          <w:noProof/>
          <w:szCs w:val="20"/>
        </w:rPr>
        <w:t>adjustment</w:t>
      </w:r>
      <w:r w:rsidR="00F57802">
        <w:rPr>
          <w:rFonts w:eastAsia="Times New Roman"/>
          <w:noProof/>
          <w:szCs w:val="20"/>
        </w:rPr>
        <w:t xml:space="preserve"> costs for the duration of the grant (assumed to be of 7-years)</w:t>
      </w:r>
      <w:r w:rsidR="00F57802" w:rsidRPr="0007547C">
        <w:rPr>
          <w:rFonts w:eastAsia="Times New Roman"/>
          <w:b/>
          <w:i/>
          <w:noProof/>
          <w:szCs w:val="20"/>
        </w:rPr>
        <w:t xml:space="preserve">. </w:t>
      </w:r>
    </w:p>
    <w:p w14:paraId="2AA8B64F" w14:textId="1F67B03B" w:rsidR="00F919A1" w:rsidRPr="0007547C" w:rsidRDefault="00F57802" w:rsidP="00F919A1">
      <w:pPr>
        <w:pStyle w:val="Text1"/>
        <w:ind w:left="0"/>
        <w:jc w:val="center"/>
        <w:rPr>
          <w:i/>
          <w:noProof/>
        </w:rPr>
      </w:pPr>
      <w:r>
        <w:rPr>
          <w:i/>
          <w:noProof/>
        </w:rPr>
        <w:t xml:space="preserve">Total </w:t>
      </w:r>
      <w:r w:rsidR="001E1B13">
        <w:rPr>
          <w:i/>
          <w:noProof/>
        </w:rPr>
        <w:t>adjustment</w:t>
      </w:r>
      <w:r>
        <w:rPr>
          <w:i/>
          <w:noProof/>
        </w:rPr>
        <w:t xml:space="preserve"> costs = (one-off </w:t>
      </w:r>
      <w:r w:rsidR="001E1B13">
        <w:rPr>
          <w:i/>
          <w:noProof/>
        </w:rPr>
        <w:t>adjustment</w:t>
      </w:r>
      <w:r>
        <w:rPr>
          <w:i/>
          <w:noProof/>
        </w:rPr>
        <w:t xml:space="preserve"> costs + recurrent </w:t>
      </w:r>
      <w:r w:rsidR="001E1B13">
        <w:rPr>
          <w:i/>
          <w:noProof/>
        </w:rPr>
        <w:t>adjustment</w:t>
      </w:r>
      <w:r>
        <w:rPr>
          <w:i/>
          <w:noProof/>
        </w:rPr>
        <w:t xml:space="preserve"> costs)</w:t>
      </w:r>
      <w:r w:rsidRPr="003A4F72">
        <w:rPr>
          <w:i/>
          <w:noProof/>
        </w:rPr>
        <w:t xml:space="preserve"> </w:t>
      </w:r>
      <w:r>
        <w:rPr>
          <w:i/>
          <w:noProof/>
        </w:rPr>
        <w:t>× s × MS = [(ΔT × labour cost)</w:t>
      </w:r>
      <w:r>
        <w:rPr>
          <w:i/>
          <w:noProof/>
          <w:vertAlign w:val="subscript"/>
        </w:rPr>
        <w:t xml:space="preserve"> year 1</w:t>
      </w:r>
      <w:r>
        <w:rPr>
          <w:i/>
          <w:noProof/>
        </w:rPr>
        <w:t xml:space="preserve"> + (ΔT × labour cost)</w:t>
      </w:r>
      <w:r>
        <w:rPr>
          <w:i/>
          <w:noProof/>
          <w:vertAlign w:val="subscript"/>
        </w:rPr>
        <w:t xml:space="preserve"> year 1,3,5,7</w:t>
      </w:r>
      <w:r w:rsidRPr="00F84D14">
        <w:rPr>
          <w:i/>
          <w:noProof/>
        </w:rPr>
        <w:t>]</w:t>
      </w:r>
      <w:r>
        <w:rPr>
          <w:i/>
          <w:noProof/>
          <w:vertAlign w:val="subscript"/>
        </w:rPr>
        <w:t xml:space="preserve"> </w:t>
      </w:r>
      <w:r>
        <w:rPr>
          <w:i/>
          <w:noProof/>
        </w:rPr>
        <w:t>× s × MS</w:t>
      </w:r>
    </w:p>
    <w:p w14:paraId="1442AC0E" w14:textId="2EE01F35" w:rsidR="00AC01B0" w:rsidRDefault="00AC01B0" w:rsidP="00AC01B0">
      <w:pPr>
        <w:pStyle w:val="Text1"/>
        <w:ind w:left="0"/>
        <w:rPr>
          <w:noProof/>
        </w:rPr>
      </w:pPr>
      <w:r>
        <w:rPr>
          <w:noProof/>
        </w:rPr>
        <w:t xml:space="preserve">Total </w:t>
      </w:r>
      <w:r w:rsidR="00D563D2">
        <w:rPr>
          <w:noProof/>
        </w:rPr>
        <w:t>one-off and recurrent</w:t>
      </w:r>
      <w:r>
        <w:rPr>
          <w:noProof/>
        </w:rPr>
        <w:t xml:space="preserve"> adjustment costs for national public authorities under PM6 are thus estimated at EUR </w:t>
      </w:r>
      <w:r w:rsidR="00487E93">
        <w:rPr>
          <w:noProof/>
        </w:rPr>
        <w:t>10.1</w:t>
      </w:r>
      <w:r>
        <w:rPr>
          <w:noProof/>
        </w:rPr>
        <w:t xml:space="preserve"> m (NPV, 10-years)</w:t>
      </w:r>
    </w:p>
    <w:p w14:paraId="2566C2ED" w14:textId="12C79228" w:rsidR="00F919A1" w:rsidRPr="0007547C" w:rsidRDefault="00F919A1" w:rsidP="00F919A1">
      <w:pPr>
        <w:rPr>
          <w:rFonts w:eastAsia="Times New Roman"/>
          <w:noProof/>
          <w:szCs w:val="20"/>
        </w:rPr>
      </w:pPr>
      <w:r w:rsidRPr="0007547C">
        <w:rPr>
          <w:rFonts w:eastAsia="Times New Roman"/>
          <w:b/>
          <w:i/>
          <w:noProof/>
          <w:szCs w:val="20"/>
        </w:rPr>
        <w:t xml:space="preserve">Cost savings for national public authorities. </w:t>
      </w:r>
      <w:r w:rsidRPr="0007547C">
        <w:rPr>
          <w:rFonts w:eastAsia="Times New Roman"/>
          <w:noProof/>
          <w:szCs w:val="20"/>
        </w:rPr>
        <w:t xml:space="preserve">Administrative savings may be realised where harmonised EU criteria and templates reduce duplication of effort, </w:t>
      </w:r>
      <w:r w:rsidR="001E1B13">
        <w:rPr>
          <w:rFonts w:eastAsia="Times New Roman"/>
          <w:noProof/>
          <w:szCs w:val="20"/>
        </w:rPr>
        <w:t xml:space="preserve">e.g. </w:t>
      </w:r>
      <w:r w:rsidRPr="0007547C">
        <w:rPr>
          <w:rFonts w:eastAsia="Times New Roman"/>
          <w:noProof/>
          <w:szCs w:val="20"/>
        </w:rPr>
        <w:t>estimated at around 1 FTE annually compared with purely national schemes. However, they are deemed negligeable and are not included in the calculations.</w:t>
      </w:r>
    </w:p>
    <w:p w14:paraId="7250C9D9" w14:textId="0276607F" w:rsidR="00F919A1" w:rsidRPr="0007547C" w:rsidRDefault="00F919A1" w:rsidP="00F919A1">
      <w:pPr>
        <w:rPr>
          <w:rFonts w:eastAsia="Times New Roman"/>
          <w:noProof/>
        </w:rPr>
      </w:pPr>
      <w:r w:rsidRPr="0007547C">
        <w:rPr>
          <w:rFonts w:eastAsia="Times New Roman"/>
          <w:b/>
          <w:i/>
          <w:noProof/>
        </w:rPr>
        <w:t>Costs for the European Commission.</w:t>
      </w:r>
      <w:r w:rsidRPr="0007547C">
        <w:rPr>
          <w:rFonts w:eastAsia="Times New Roman"/>
          <w:noProof/>
        </w:rPr>
        <w:t xml:space="preserve"> At EU level, modest administrative costs would arise for the oversight and monitoring of Member State schemes. These costs are not accounted for in the calculations.</w:t>
      </w:r>
    </w:p>
    <w:p w14:paraId="2A6BC6FE" w14:textId="512D7F75" w:rsidR="009C029F" w:rsidRDefault="00F919A1" w:rsidP="0053174D">
      <w:pPr>
        <w:rPr>
          <w:rFonts w:eastAsia="Times New Roman"/>
          <w:noProof/>
          <w:szCs w:val="20"/>
        </w:rPr>
      </w:pPr>
      <w:r w:rsidRPr="00DA029C">
        <w:rPr>
          <w:rFonts w:eastAsia="Times New Roman"/>
          <w:b/>
          <w:iCs/>
          <w:noProof/>
        </w:rPr>
        <w:t xml:space="preserve">Indirect </w:t>
      </w:r>
      <w:r w:rsidR="007E5487">
        <w:rPr>
          <w:b/>
          <w:noProof/>
        </w:rPr>
        <w:t>benefits</w:t>
      </w:r>
      <w:r w:rsidRPr="0007547C">
        <w:rPr>
          <w:rFonts w:eastAsia="Times New Roman"/>
          <w:b/>
          <w:iCs/>
          <w:noProof/>
        </w:rPr>
        <w:t>:</w:t>
      </w:r>
      <w:r w:rsidRPr="0007547C">
        <w:rPr>
          <w:rFonts w:eastAsia="Times New Roman"/>
          <w:noProof/>
          <w:szCs w:val="20"/>
        </w:rPr>
        <w:t xml:space="preserve"> </w:t>
      </w:r>
      <w:r w:rsidRPr="00930207">
        <w:rPr>
          <w:rFonts w:eastAsia="Times New Roman"/>
          <w:noProof/>
          <w:szCs w:val="20"/>
        </w:rPr>
        <w:t xml:space="preserve">Subsidies </w:t>
      </w:r>
      <w:r>
        <w:rPr>
          <w:rFonts w:eastAsia="Times New Roman"/>
          <w:noProof/>
          <w:szCs w:val="20"/>
        </w:rPr>
        <w:t xml:space="preserve">for </w:t>
      </w:r>
      <w:r w:rsidRPr="0007547C">
        <w:rPr>
          <w:noProof/>
        </w:rPr>
        <w:t xml:space="preserve">particularly sustainable and strategic data centres </w:t>
      </w:r>
      <w:r w:rsidRPr="00930207">
        <w:rPr>
          <w:rFonts w:eastAsia="Times New Roman"/>
          <w:noProof/>
          <w:szCs w:val="20"/>
        </w:rPr>
        <w:t>may generate public</w:t>
      </w:r>
      <w:r>
        <w:rPr>
          <w:rFonts w:eastAsia="Times New Roman"/>
          <w:noProof/>
          <w:szCs w:val="20"/>
        </w:rPr>
        <w:t xml:space="preserve"> </w:t>
      </w:r>
      <w:r w:rsidRPr="00930207">
        <w:rPr>
          <w:rFonts w:eastAsia="Times New Roman"/>
          <w:noProof/>
          <w:szCs w:val="20"/>
        </w:rPr>
        <w:t>sector benefits through higher tax revenues</w:t>
      </w:r>
      <w:r>
        <w:rPr>
          <w:rFonts w:eastAsia="Times New Roman"/>
          <w:noProof/>
          <w:szCs w:val="20"/>
        </w:rPr>
        <w:t xml:space="preserve"> with positive spillover effects on</w:t>
      </w:r>
      <w:r w:rsidRPr="00930207">
        <w:rPr>
          <w:rFonts w:eastAsia="Times New Roman"/>
          <w:noProof/>
          <w:szCs w:val="20"/>
        </w:rPr>
        <w:t xml:space="preserve"> </w:t>
      </w:r>
      <w:r>
        <w:rPr>
          <w:rFonts w:eastAsia="Times New Roman"/>
          <w:noProof/>
          <w:szCs w:val="20"/>
        </w:rPr>
        <w:t xml:space="preserve">the advancement of </w:t>
      </w:r>
      <w:r w:rsidRPr="00930207">
        <w:rPr>
          <w:rFonts w:eastAsia="Times New Roman"/>
          <w:noProof/>
          <w:szCs w:val="20"/>
        </w:rPr>
        <w:t>digital objectives.</w:t>
      </w:r>
      <w:r>
        <w:rPr>
          <w:rFonts w:eastAsia="Times New Roman"/>
          <w:noProof/>
          <w:szCs w:val="20"/>
        </w:rPr>
        <w:t xml:space="preserve"> </w:t>
      </w:r>
      <w:r w:rsidR="00512A69">
        <w:rPr>
          <w:rFonts w:eastAsia="Times New Roman"/>
          <w:noProof/>
          <w:szCs w:val="20"/>
        </w:rPr>
        <w:t xml:space="preserve">Tax reductions for data centres can also indirectly </w:t>
      </w:r>
      <w:r w:rsidR="00925974">
        <w:rPr>
          <w:rFonts w:eastAsia="Times New Roman"/>
          <w:noProof/>
          <w:szCs w:val="20"/>
        </w:rPr>
        <w:t>generate benefits, e.g. in terms of increased capital inflows and improved digital capacity that supports broader economic competitiveness</w:t>
      </w:r>
      <w:r w:rsidR="002B0A5D">
        <w:rPr>
          <w:rFonts w:eastAsia="Times New Roman"/>
          <w:noProof/>
          <w:szCs w:val="20"/>
        </w:rPr>
        <w:t>.</w:t>
      </w:r>
      <w:r w:rsidR="00B83203">
        <w:rPr>
          <w:rFonts w:eastAsia="Times New Roman"/>
          <w:noProof/>
          <w:szCs w:val="20"/>
        </w:rPr>
        <w:t xml:space="preserve"> </w:t>
      </w:r>
      <w:r w:rsidR="003E6330">
        <w:rPr>
          <w:rFonts w:eastAsia="Times New Roman"/>
          <w:noProof/>
          <w:szCs w:val="20"/>
        </w:rPr>
        <w:t>Such measures would need to be carefully designed to account for their opportunity costs and ensure that the expected benefits</w:t>
      </w:r>
      <w:r w:rsidR="00826958">
        <w:rPr>
          <w:rFonts w:eastAsia="Times New Roman"/>
          <w:noProof/>
          <w:szCs w:val="20"/>
        </w:rPr>
        <w:t xml:space="preserve"> justify the reduced fiscal intake</w:t>
      </w:r>
      <w:r w:rsidR="003E6330">
        <w:rPr>
          <w:rFonts w:eastAsia="Times New Roman"/>
          <w:noProof/>
          <w:szCs w:val="20"/>
        </w:rPr>
        <w:t xml:space="preserve">. </w:t>
      </w:r>
      <w:r>
        <w:rPr>
          <w:rFonts w:eastAsia="Times New Roman"/>
          <w:noProof/>
          <w:szCs w:val="20"/>
        </w:rPr>
        <w:t>The</w:t>
      </w:r>
      <w:r w:rsidRPr="00B16402">
        <w:rPr>
          <w:rFonts w:eastAsia="Times New Roman"/>
          <w:noProof/>
          <w:szCs w:val="20"/>
        </w:rPr>
        <w:t xml:space="preserve"> </w:t>
      </w:r>
      <w:r>
        <w:rPr>
          <w:rFonts w:eastAsia="Times New Roman"/>
          <w:noProof/>
          <w:szCs w:val="20"/>
        </w:rPr>
        <w:t>support</w:t>
      </w:r>
      <w:r w:rsidR="00826958">
        <w:rPr>
          <w:rFonts w:eastAsia="Times New Roman"/>
          <w:noProof/>
          <w:szCs w:val="20"/>
        </w:rPr>
        <w:t xml:space="preserve"> measures should </w:t>
      </w:r>
      <w:r w:rsidR="00170E39">
        <w:rPr>
          <w:rFonts w:eastAsia="Times New Roman"/>
          <w:noProof/>
          <w:szCs w:val="20"/>
        </w:rPr>
        <w:t>also</w:t>
      </w:r>
      <w:r>
        <w:rPr>
          <w:rFonts w:eastAsia="Times New Roman"/>
          <w:noProof/>
          <w:szCs w:val="20"/>
        </w:rPr>
        <w:t xml:space="preserve"> aim to foster</w:t>
      </w:r>
      <w:r w:rsidRPr="00B16402">
        <w:rPr>
          <w:rFonts w:eastAsia="Times New Roman"/>
          <w:noProof/>
          <w:szCs w:val="20"/>
        </w:rPr>
        <w:t xml:space="preserve"> energy-efficient, environmentally responsible data centre </w:t>
      </w:r>
      <w:r>
        <w:rPr>
          <w:rFonts w:eastAsia="Times New Roman"/>
          <w:noProof/>
          <w:szCs w:val="20"/>
        </w:rPr>
        <w:t>facilities</w:t>
      </w:r>
      <w:r w:rsidRPr="00B16402">
        <w:rPr>
          <w:rFonts w:eastAsia="Times New Roman"/>
          <w:noProof/>
          <w:szCs w:val="20"/>
        </w:rPr>
        <w:t>, contribut</w:t>
      </w:r>
      <w:r>
        <w:rPr>
          <w:rFonts w:eastAsia="Times New Roman"/>
          <w:noProof/>
          <w:szCs w:val="20"/>
        </w:rPr>
        <w:t>ing</w:t>
      </w:r>
      <w:r w:rsidRPr="00B16402">
        <w:rPr>
          <w:rFonts w:eastAsia="Times New Roman"/>
          <w:noProof/>
          <w:szCs w:val="20"/>
        </w:rPr>
        <w:t xml:space="preserve"> to improve digital resilience and service quality for citizens and businesses. </w:t>
      </w:r>
      <w:r>
        <w:rPr>
          <w:rFonts w:eastAsia="Times New Roman"/>
          <w:noProof/>
          <w:szCs w:val="20"/>
        </w:rPr>
        <w:t xml:space="preserve">These elements have not been quantified in this section. </w:t>
      </w:r>
    </w:p>
    <w:p w14:paraId="17148505" w14:textId="464382D4" w:rsidR="00F919A1" w:rsidRDefault="00F919A1" w:rsidP="00F919A1">
      <w:pPr>
        <w:rPr>
          <w:rFonts w:eastAsia="Times New Roman"/>
          <w:b/>
          <w:bCs/>
          <w:noProof/>
          <w:szCs w:val="20"/>
        </w:rPr>
      </w:pPr>
      <w:r w:rsidRPr="00C73124">
        <w:rPr>
          <w:rFonts w:eastAsia="Times New Roman"/>
          <w:b/>
          <w:bCs/>
          <w:noProof/>
          <w:szCs w:val="20"/>
        </w:rPr>
        <w:t>Sensitivity analysis:</w:t>
      </w:r>
      <w:r w:rsidR="00C73124" w:rsidRPr="00C73124">
        <w:rPr>
          <w:rFonts w:eastAsia="Times New Roman"/>
          <w:b/>
          <w:bCs/>
          <w:noProof/>
          <w:szCs w:val="20"/>
        </w:rPr>
        <w:t xml:space="preserve"> </w:t>
      </w:r>
      <w:r>
        <w:rPr>
          <w:rFonts w:eastAsia="Times New Roman"/>
          <w:noProof/>
          <w:szCs w:val="20"/>
        </w:rPr>
        <w:t>Sensitivity analysis was considered for the total administrative costs for the number of public authorities administering the scheme and the effort required to set-it up and manage it in terms of FTEs.</w:t>
      </w:r>
    </w:p>
    <w:p w14:paraId="093FCCEA" w14:textId="618870FA" w:rsidR="00F919A1" w:rsidRPr="001112FD" w:rsidRDefault="00F919A1" w:rsidP="00877ACE">
      <w:pPr>
        <w:pStyle w:val="Caption"/>
        <w:keepNext/>
        <w:jc w:val="both"/>
        <w:rPr>
          <w:rFonts w:eastAsia="Times New Roman"/>
          <w:b w:val="0"/>
          <w:noProof/>
          <w:color w:val="auto"/>
          <w:sz w:val="24"/>
          <w:szCs w:val="20"/>
        </w:rPr>
      </w:pPr>
      <w:r w:rsidRPr="00487E93">
        <w:rPr>
          <w:rFonts w:eastAsia="Times New Roman"/>
          <w:noProof/>
          <w:color w:val="auto"/>
          <w:sz w:val="24"/>
          <w:szCs w:val="24"/>
        </w:rPr>
        <w:t>Results</w:t>
      </w:r>
      <w:r w:rsidR="00DD5189" w:rsidRPr="00487E93">
        <w:rPr>
          <w:rFonts w:eastAsia="Times New Roman"/>
          <w:noProof/>
          <w:color w:val="auto"/>
          <w:sz w:val="24"/>
          <w:szCs w:val="24"/>
        </w:rPr>
        <w:t>:</w:t>
      </w:r>
      <w:r w:rsidRPr="00487E93">
        <w:rPr>
          <w:rFonts w:eastAsia="Times New Roman"/>
          <w:b w:val="0"/>
          <w:noProof/>
          <w:color w:val="auto"/>
          <w:sz w:val="24"/>
          <w:szCs w:val="24"/>
        </w:rPr>
        <w:t xml:space="preserve"> </w:t>
      </w:r>
      <w:r w:rsidR="00DD5189" w:rsidRPr="00487E93">
        <w:rPr>
          <w:rFonts w:eastAsia="Times New Roman"/>
          <w:b w:val="0"/>
          <w:noProof/>
          <w:color w:val="auto"/>
          <w:sz w:val="24"/>
          <w:szCs w:val="24"/>
        </w:rPr>
        <w:t>The table below presents the aggregated costs for all stakeholders for the implementation of this measure. Total costs are estimated at EUR 10.</w:t>
      </w:r>
      <w:r w:rsidR="00EF4AE9">
        <w:rPr>
          <w:rFonts w:eastAsia="Times New Roman"/>
          <w:b w:val="0"/>
          <w:noProof/>
          <w:color w:val="auto"/>
          <w:sz w:val="24"/>
          <w:szCs w:val="24"/>
        </w:rPr>
        <w:t>8</w:t>
      </w:r>
      <w:r w:rsidR="00EF4AE9" w:rsidRPr="00487E93">
        <w:rPr>
          <w:rFonts w:eastAsia="Times New Roman"/>
          <w:b w:val="0"/>
          <w:noProof/>
          <w:color w:val="auto"/>
          <w:sz w:val="24"/>
          <w:szCs w:val="24"/>
        </w:rPr>
        <w:t xml:space="preserve"> </w:t>
      </w:r>
      <w:r w:rsidR="00DD5189" w:rsidRPr="00487E93">
        <w:rPr>
          <w:rFonts w:eastAsia="Times New Roman"/>
          <w:b w:val="0"/>
          <w:noProof/>
          <w:color w:val="auto"/>
          <w:sz w:val="24"/>
          <w:szCs w:val="24"/>
        </w:rPr>
        <w:t>m. The minimum and maximum ranges are driven by variations in the number of MS wishing to operate the scheme by and the magnitude of staff days involved. Fiscal transfers have no net effect when aggregated across stakeholders, i.e. financial benefits for operators are mirrored by equivalent fiscal costs for public authorities. Indirect opportunity costs for operators participating in the scheme are also illustrated in the table below</w:t>
      </w:r>
      <w:r w:rsidR="00F360B7" w:rsidRPr="00487E93">
        <w:rPr>
          <w:rFonts w:eastAsia="Times New Roman"/>
          <w:b w:val="0"/>
          <w:noProof/>
          <w:color w:val="auto"/>
          <w:sz w:val="24"/>
          <w:szCs w:val="24"/>
        </w:rPr>
        <w:t xml:space="preserve"> and</w:t>
      </w:r>
      <w:r w:rsidR="00DD5189" w:rsidRPr="00487E93">
        <w:rPr>
          <w:rFonts w:eastAsia="Times New Roman"/>
          <w:b w:val="0"/>
          <w:noProof/>
          <w:color w:val="auto"/>
          <w:sz w:val="24"/>
          <w:szCs w:val="24"/>
        </w:rPr>
        <w:t xml:space="preserve"> vary based on the uncertainty with respect to the number of applications and days dedicated to proposal/application preparation</w:t>
      </w:r>
      <w:r w:rsidR="00DD5189" w:rsidRPr="00DD5189">
        <w:rPr>
          <w:rFonts w:eastAsia="Times New Roman"/>
          <w:b w:val="0"/>
          <w:iCs w:val="0"/>
          <w:noProof/>
          <w:color w:val="auto"/>
          <w:sz w:val="24"/>
          <w:szCs w:val="20"/>
        </w:rPr>
        <w:t>.</w:t>
      </w:r>
    </w:p>
    <w:p w14:paraId="6FA4D40B" w14:textId="2788926B" w:rsidR="00F919A1" w:rsidRDefault="00F919A1" w:rsidP="00F919A1">
      <w:pPr>
        <w:pStyle w:val="Caption"/>
        <w:keepNext/>
        <w:rPr>
          <w:noProof/>
        </w:rPr>
      </w:pPr>
      <w:r w:rsidRPr="008D0BAC">
        <w:rPr>
          <w:noProof/>
        </w:rPr>
        <w:t xml:space="preserve">Table </w:t>
      </w:r>
      <w:r w:rsidRPr="008D0BAC">
        <w:rPr>
          <w:noProof/>
        </w:rPr>
        <w:fldChar w:fldCharType="begin"/>
      </w:r>
      <w:r w:rsidRPr="008D0BAC">
        <w:rPr>
          <w:noProof/>
        </w:rPr>
        <w:instrText xml:space="preserve"> SEQ Table \* ARABIC </w:instrText>
      </w:r>
      <w:r w:rsidRPr="008D0BAC">
        <w:rPr>
          <w:noProof/>
        </w:rPr>
        <w:fldChar w:fldCharType="separate"/>
      </w:r>
      <w:r w:rsidR="000E7F11">
        <w:rPr>
          <w:noProof/>
        </w:rPr>
        <w:t>26</w:t>
      </w:r>
      <w:r w:rsidRPr="008D0BAC">
        <w:rPr>
          <w:noProof/>
        </w:rPr>
        <w:fldChar w:fldCharType="end"/>
      </w:r>
      <w:r w:rsidRPr="008D0BAC">
        <w:rPr>
          <w:noProof/>
        </w:rPr>
        <w:t xml:space="preserve">. </w:t>
      </w:r>
      <w:r w:rsidR="00DD5189" w:rsidRPr="008D0BAC">
        <w:rPr>
          <w:noProof/>
        </w:rPr>
        <w:t>National funding</w:t>
      </w:r>
      <w:r w:rsidRPr="008D0BAC">
        <w:rPr>
          <w:noProof/>
        </w:rPr>
        <w:t xml:space="preserve"> support measures for data centres (PM6)</w:t>
      </w:r>
    </w:p>
    <w:tbl>
      <w:tblPr>
        <w:tblStyle w:val="TableGrid"/>
        <w:tblW w:w="9561" w:type="dxa"/>
        <w:tblInd w:w="-284" w:type="dxa"/>
        <w:tblLayout w:type="fixed"/>
        <w:tblCellMar>
          <w:left w:w="0" w:type="dxa"/>
          <w:right w:w="0" w:type="dxa"/>
        </w:tblCellMar>
        <w:tblLook w:val="04A0" w:firstRow="1" w:lastRow="0" w:firstColumn="1" w:lastColumn="0" w:noHBand="0" w:noVBand="1"/>
      </w:tblPr>
      <w:tblGrid>
        <w:gridCol w:w="2189"/>
        <w:gridCol w:w="1276"/>
        <w:gridCol w:w="1213"/>
        <w:gridCol w:w="1418"/>
        <w:gridCol w:w="1134"/>
        <w:gridCol w:w="1169"/>
        <w:gridCol w:w="1162"/>
      </w:tblGrid>
      <w:tr w:rsidR="006B45A1" w:rsidRPr="00FA63C0" w14:paraId="464917E0" w14:textId="77777777" w:rsidTr="001A49D4">
        <w:trPr>
          <w:trHeight w:val="506"/>
        </w:trPr>
        <w:tc>
          <w:tcPr>
            <w:tcW w:w="2189" w:type="dxa"/>
            <w:tcBorders>
              <w:bottom w:val="single" w:sz="12" w:space="0" w:color="00B0F0"/>
            </w:tcBorders>
            <w:noWrap/>
            <w:vAlign w:val="center"/>
            <w:hideMark/>
          </w:tcPr>
          <w:p w14:paraId="15CE898B"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76" w:type="dxa"/>
            <w:tcBorders>
              <w:bottom w:val="single" w:sz="12" w:space="0" w:color="00B0F0"/>
            </w:tcBorders>
            <w:vAlign w:val="center"/>
          </w:tcPr>
          <w:p w14:paraId="2F7F69BF"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13" w:type="dxa"/>
            <w:tcBorders>
              <w:bottom w:val="single" w:sz="12" w:space="0" w:color="00B0F0"/>
            </w:tcBorders>
            <w:vAlign w:val="center"/>
          </w:tcPr>
          <w:p w14:paraId="46088C78"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vAlign w:val="center"/>
          </w:tcPr>
          <w:p w14:paraId="5101A764"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noWrap/>
            <w:vAlign w:val="center"/>
            <w:hideMark/>
          </w:tcPr>
          <w:p w14:paraId="477F9253" w14:textId="080CB4D7"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69" w:type="dxa"/>
            <w:tcBorders>
              <w:bottom w:val="single" w:sz="12" w:space="0" w:color="00B0F0"/>
            </w:tcBorders>
            <w:noWrap/>
            <w:vAlign w:val="center"/>
            <w:hideMark/>
          </w:tcPr>
          <w:p w14:paraId="041D62AE" w14:textId="0B66761D"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62" w:type="dxa"/>
            <w:tcBorders>
              <w:bottom w:val="single" w:sz="12" w:space="0" w:color="00B0F0"/>
            </w:tcBorders>
            <w:noWrap/>
            <w:vAlign w:val="center"/>
            <w:hideMark/>
          </w:tcPr>
          <w:p w14:paraId="765F6F98" w14:textId="06556A27"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4B3443" w:rsidRPr="00C44C22" w14:paraId="2294AA25" w14:textId="77777777" w:rsidTr="001A49D4">
        <w:trPr>
          <w:trHeight w:val="283"/>
        </w:trPr>
        <w:tc>
          <w:tcPr>
            <w:tcW w:w="2189" w:type="dxa"/>
            <w:tcBorders>
              <w:top w:val="single" w:sz="12" w:space="0" w:color="00B0F0"/>
            </w:tcBorders>
            <w:noWrap/>
            <w:vAlign w:val="center"/>
            <w:hideMark/>
          </w:tcPr>
          <w:p w14:paraId="7D25B760"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76" w:type="dxa"/>
            <w:tcBorders>
              <w:top w:val="single" w:sz="12" w:space="0" w:color="00B0F0"/>
            </w:tcBorders>
          </w:tcPr>
          <w:p w14:paraId="2AF8D743" w14:textId="68BD2CFD" w:rsidR="004B3443" w:rsidRPr="00FA63C0" w:rsidRDefault="00806229" w:rsidP="004B3443">
            <w:pPr>
              <w:spacing w:after="0"/>
              <w:jc w:val="right"/>
              <w:rPr>
                <w:noProof/>
                <w:sz w:val="20"/>
                <w:szCs w:val="20"/>
                <w:lang w:val="en-IE" w:eastAsia="en-IE"/>
              </w:rPr>
            </w:pPr>
            <w:r>
              <w:rPr>
                <w:noProof/>
                <w:sz w:val="20"/>
                <w:szCs w:val="20"/>
              </w:rPr>
              <w:t>6</w:t>
            </w:r>
            <w:r w:rsidR="00084F32">
              <w:rPr>
                <w:noProof/>
                <w:sz w:val="20"/>
                <w:szCs w:val="20"/>
              </w:rPr>
              <w:t>54</w:t>
            </w:r>
            <w:r>
              <w:rPr>
                <w:noProof/>
                <w:sz w:val="20"/>
                <w:szCs w:val="20"/>
              </w:rPr>
              <w:t xml:space="preserve"> 225</w:t>
            </w:r>
            <w:r w:rsidR="004B3443" w:rsidRPr="00FA63C0">
              <w:rPr>
                <w:noProof/>
                <w:sz w:val="20"/>
                <w:szCs w:val="20"/>
              </w:rPr>
              <w:t xml:space="preserve">   </w:t>
            </w:r>
          </w:p>
        </w:tc>
        <w:tc>
          <w:tcPr>
            <w:tcW w:w="1213" w:type="dxa"/>
            <w:tcBorders>
              <w:top w:val="single" w:sz="12" w:space="0" w:color="00B0F0"/>
            </w:tcBorders>
          </w:tcPr>
          <w:p w14:paraId="2766E2B5" w14:textId="40218C7D"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Borders>
              <w:top w:val="single" w:sz="12" w:space="0" w:color="00B0F0"/>
            </w:tcBorders>
          </w:tcPr>
          <w:p w14:paraId="31140A87" w14:textId="1F452BFE"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tcBorders>
              <w:top w:val="single" w:sz="12" w:space="0" w:color="00B0F0"/>
            </w:tcBorders>
            <w:noWrap/>
          </w:tcPr>
          <w:p w14:paraId="68E4AF89" w14:textId="62C033F1" w:rsidR="004B3443" w:rsidRPr="00187DE1" w:rsidRDefault="004B3443" w:rsidP="004B3443">
            <w:pPr>
              <w:spacing w:after="0"/>
              <w:jc w:val="right"/>
              <w:rPr>
                <w:noProof/>
                <w:sz w:val="20"/>
                <w:szCs w:val="20"/>
                <w:lang w:val="en-IE" w:eastAsia="en-IE"/>
              </w:rPr>
            </w:pPr>
            <w:r w:rsidRPr="00082E1B">
              <w:rPr>
                <w:noProof/>
                <w:sz w:val="20"/>
                <w:szCs w:val="20"/>
              </w:rPr>
              <w:t xml:space="preserve"> 654 225 </w:t>
            </w:r>
          </w:p>
        </w:tc>
        <w:tc>
          <w:tcPr>
            <w:tcW w:w="1169" w:type="dxa"/>
            <w:tcBorders>
              <w:top w:val="single" w:sz="12" w:space="0" w:color="00B0F0"/>
            </w:tcBorders>
            <w:noWrap/>
          </w:tcPr>
          <w:p w14:paraId="282F1A73" w14:textId="4EFF0754" w:rsidR="004B3443" w:rsidRPr="00187DE1" w:rsidRDefault="004B3443" w:rsidP="004B3443">
            <w:pPr>
              <w:spacing w:after="0"/>
              <w:jc w:val="right"/>
              <w:rPr>
                <w:noProof/>
                <w:sz w:val="20"/>
                <w:szCs w:val="20"/>
                <w:lang w:val="en-IE" w:eastAsia="en-IE"/>
              </w:rPr>
            </w:pPr>
            <w:r w:rsidRPr="00082E1B">
              <w:rPr>
                <w:noProof/>
                <w:sz w:val="20"/>
                <w:szCs w:val="20"/>
              </w:rPr>
              <w:t xml:space="preserve"> 169 614 </w:t>
            </w:r>
          </w:p>
        </w:tc>
        <w:tc>
          <w:tcPr>
            <w:tcW w:w="1162" w:type="dxa"/>
            <w:tcBorders>
              <w:top w:val="single" w:sz="12" w:space="0" w:color="00B0F0"/>
            </w:tcBorders>
            <w:noWrap/>
          </w:tcPr>
          <w:p w14:paraId="32167509" w14:textId="602E21ED" w:rsidR="004B3443" w:rsidRPr="00187DE1" w:rsidRDefault="004B3443" w:rsidP="004B3443">
            <w:pPr>
              <w:spacing w:after="0"/>
              <w:jc w:val="right"/>
              <w:rPr>
                <w:noProof/>
                <w:sz w:val="20"/>
                <w:szCs w:val="20"/>
                <w:lang w:val="en-IE" w:eastAsia="en-IE"/>
              </w:rPr>
            </w:pPr>
            <w:r w:rsidRPr="00082E1B">
              <w:rPr>
                <w:noProof/>
                <w:sz w:val="20"/>
                <w:szCs w:val="20"/>
              </w:rPr>
              <w:t xml:space="preserve"> 1 332 680 </w:t>
            </w:r>
          </w:p>
        </w:tc>
      </w:tr>
      <w:tr w:rsidR="004B3443" w:rsidRPr="00C44C22" w14:paraId="6D4990AE" w14:textId="77777777" w:rsidTr="001A49D4">
        <w:trPr>
          <w:trHeight w:val="283"/>
        </w:trPr>
        <w:tc>
          <w:tcPr>
            <w:tcW w:w="2189" w:type="dxa"/>
            <w:noWrap/>
            <w:vAlign w:val="center"/>
            <w:hideMark/>
          </w:tcPr>
          <w:p w14:paraId="3C50190B"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76" w:type="dxa"/>
          </w:tcPr>
          <w:p w14:paraId="67DD9F66" w14:textId="621778AA"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213" w:type="dxa"/>
          </w:tcPr>
          <w:p w14:paraId="3C38F52E" w14:textId="397D091F"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Pr>
          <w:p w14:paraId="7022B97A" w14:textId="3BB578A1"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noWrap/>
          </w:tcPr>
          <w:p w14:paraId="7F32805E" w14:textId="450D9B37" w:rsidR="004B3443" w:rsidRPr="00187DE1" w:rsidRDefault="004B3443" w:rsidP="004B3443">
            <w:pPr>
              <w:spacing w:after="0"/>
              <w:jc w:val="right"/>
              <w:rPr>
                <w:noProof/>
                <w:sz w:val="20"/>
                <w:szCs w:val="20"/>
                <w:lang w:val="en-IE" w:eastAsia="en-IE"/>
              </w:rPr>
            </w:pPr>
            <w:r w:rsidRPr="00082E1B">
              <w:rPr>
                <w:noProof/>
                <w:sz w:val="20"/>
                <w:szCs w:val="20"/>
              </w:rPr>
              <w:t xml:space="preserve">-   </w:t>
            </w:r>
          </w:p>
        </w:tc>
        <w:tc>
          <w:tcPr>
            <w:tcW w:w="1169" w:type="dxa"/>
            <w:noWrap/>
          </w:tcPr>
          <w:p w14:paraId="4F738A83" w14:textId="2A6F4C5C" w:rsidR="004B3443" w:rsidRPr="00187DE1" w:rsidRDefault="004B3443" w:rsidP="004B3443">
            <w:pPr>
              <w:spacing w:after="0"/>
              <w:jc w:val="right"/>
              <w:rPr>
                <w:noProof/>
                <w:sz w:val="20"/>
                <w:szCs w:val="20"/>
                <w:lang w:val="en-IE" w:eastAsia="en-IE"/>
              </w:rPr>
            </w:pPr>
            <w:r w:rsidRPr="00082E1B">
              <w:rPr>
                <w:noProof/>
                <w:sz w:val="20"/>
                <w:szCs w:val="20"/>
              </w:rPr>
              <w:t xml:space="preserve">-   </w:t>
            </w:r>
          </w:p>
        </w:tc>
        <w:tc>
          <w:tcPr>
            <w:tcW w:w="1162" w:type="dxa"/>
            <w:noWrap/>
          </w:tcPr>
          <w:p w14:paraId="1E95A0E1" w14:textId="000EBD61" w:rsidR="004B3443" w:rsidRPr="00187DE1" w:rsidRDefault="004B3443" w:rsidP="004B3443">
            <w:pPr>
              <w:spacing w:after="0"/>
              <w:jc w:val="right"/>
              <w:rPr>
                <w:noProof/>
                <w:sz w:val="20"/>
                <w:szCs w:val="20"/>
                <w:lang w:val="en-IE" w:eastAsia="en-IE"/>
              </w:rPr>
            </w:pPr>
            <w:r w:rsidRPr="00082E1B">
              <w:rPr>
                <w:noProof/>
                <w:sz w:val="20"/>
                <w:szCs w:val="20"/>
              </w:rPr>
              <w:t xml:space="preserve">-   </w:t>
            </w:r>
          </w:p>
        </w:tc>
      </w:tr>
      <w:tr w:rsidR="0043066F" w:rsidRPr="00C44C22" w14:paraId="33730169" w14:textId="77777777" w:rsidTr="001A49D4">
        <w:trPr>
          <w:trHeight w:val="283"/>
        </w:trPr>
        <w:tc>
          <w:tcPr>
            <w:tcW w:w="2189" w:type="dxa"/>
            <w:noWrap/>
            <w:vAlign w:val="center"/>
            <w:hideMark/>
          </w:tcPr>
          <w:p w14:paraId="3A406536" w14:textId="77777777" w:rsidR="0043066F" w:rsidRPr="00FA63C0" w:rsidRDefault="0043066F" w:rsidP="0043066F">
            <w:pPr>
              <w:spacing w:after="0"/>
              <w:jc w:val="left"/>
              <w:rPr>
                <w:i/>
                <w:iCs/>
                <w:noProof/>
                <w:sz w:val="20"/>
                <w:szCs w:val="20"/>
                <w:lang w:val="en-IE" w:eastAsia="en-IE"/>
              </w:rPr>
            </w:pPr>
            <w:r w:rsidRPr="00FA63C0">
              <w:rPr>
                <w:i/>
                <w:iCs/>
                <w:noProof/>
                <w:sz w:val="20"/>
                <w:szCs w:val="20"/>
                <w:lang w:val="en-IE" w:eastAsia="en-IE"/>
              </w:rPr>
              <w:t>one-off adjustment</w:t>
            </w:r>
          </w:p>
        </w:tc>
        <w:tc>
          <w:tcPr>
            <w:tcW w:w="1276" w:type="dxa"/>
          </w:tcPr>
          <w:p w14:paraId="5377A826" w14:textId="0CD3AB4E" w:rsidR="0043066F" w:rsidRPr="00FA63C0" w:rsidRDefault="0043066F" w:rsidP="0043066F">
            <w:pPr>
              <w:spacing w:after="0"/>
              <w:jc w:val="right"/>
              <w:rPr>
                <w:noProof/>
                <w:sz w:val="20"/>
                <w:szCs w:val="20"/>
                <w:lang w:val="en-IE" w:eastAsia="en-IE"/>
              </w:rPr>
            </w:pPr>
            <w:r w:rsidRPr="00FA63C0">
              <w:rPr>
                <w:noProof/>
                <w:sz w:val="20"/>
                <w:szCs w:val="20"/>
              </w:rPr>
              <w:t xml:space="preserve"> -   </w:t>
            </w:r>
          </w:p>
        </w:tc>
        <w:tc>
          <w:tcPr>
            <w:tcW w:w="1213" w:type="dxa"/>
          </w:tcPr>
          <w:p w14:paraId="307AAA59" w14:textId="1A669138" w:rsidR="0043066F" w:rsidRPr="0043066F" w:rsidRDefault="0043066F" w:rsidP="0043066F">
            <w:pPr>
              <w:spacing w:after="0"/>
              <w:jc w:val="right"/>
              <w:rPr>
                <w:noProof/>
                <w:sz w:val="20"/>
                <w:szCs w:val="20"/>
                <w:lang w:val="en-IE" w:eastAsia="en-IE"/>
              </w:rPr>
            </w:pPr>
            <w:r w:rsidRPr="00082E1B">
              <w:rPr>
                <w:noProof/>
                <w:sz w:val="20"/>
                <w:szCs w:val="20"/>
              </w:rPr>
              <w:t xml:space="preserve"> </w:t>
            </w:r>
            <w:r>
              <w:rPr>
                <w:noProof/>
                <w:sz w:val="20"/>
                <w:szCs w:val="20"/>
              </w:rPr>
              <w:t xml:space="preserve"> </w:t>
            </w:r>
            <w:r w:rsidRPr="00082E1B">
              <w:rPr>
                <w:noProof/>
                <w:sz w:val="20"/>
                <w:szCs w:val="20"/>
              </w:rPr>
              <w:t>3</w:t>
            </w:r>
            <w:r>
              <w:rPr>
                <w:noProof/>
                <w:sz w:val="20"/>
                <w:szCs w:val="20"/>
              </w:rPr>
              <w:t xml:space="preserve"> </w:t>
            </w:r>
            <w:r w:rsidRPr="00082E1B">
              <w:rPr>
                <w:noProof/>
                <w:sz w:val="20"/>
                <w:szCs w:val="20"/>
              </w:rPr>
              <w:t>313</w:t>
            </w:r>
            <w:r>
              <w:rPr>
                <w:noProof/>
                <w:sz w:val="20"/>
                <w:szCs w:val="20"/>
              </w:rPr>
              <w:t xml:space="preserve"> </w:t>
            </w:r>
            <w:r w:rsidRPr="00082E1B">
              <w:rPr>
                <w:noProof/>
                <w:sz w:val="20"/>
                <w:szCs w:val="20"/>
              </w:rPr>
              <w:t xml:space="preserve">482 </w:t>
            </w:r>
          </w:p>
        </w:tc>
        <w:tc>
          <w:tcPr>
            <w:tcW w:w="1418" w:type="dxa"/>
          </w:tcPr>
          <w:p w14:paraId="6CE5EB6D" w14:textId="3BE18BA9" w:rsidR="0043066F" w:rsidRPr="00FA63C0" w:rsidRDefault="0043066F" w:rsidP="0043066F">
            <w:pPr>
              <w:spacing w:after="0"/>
              <w:jc w:val="right"/>
              <w:rPr>
                <w:noProof/>
                <w:sz w:val="20"/>
                <w:szCs w:val="20"/>
                <w:lang w:val="en-IE" w:eastAsia="en-IE"/>
              </w:rPr>
            </w:pPr>
            <w:r w:rsidRPr="00FA63C0">
              <w:rPr>
                <w:noProof/>
                <w:sz w:val="20"/>
                <w:szCs w:val="20"/>
              </w:rPr>
              <w:t xml:space="preserve"> -   </w:t>
            </w:r>
          </w:p>
        </w:tc>
        <w:tc>
          <w:tcPr>
            <w:tcW w:w="1134" w:type="dxa"/>
            <w:noWrap/>
          </w:tcPr>
          <w:p w14:paraId="4B859F4C" w14:textId="7F3CC1FE" w:rsidR="0043066F" w:rsidRPr="00187DE1" w:rsidRDefault="0043066F" w:rsidP="0043066F">
            <w:pPr>
              <w:spacing w:after="0"/>
              <w:jc w:val="right"/>
              <w:rPr>
                <w:noProof/>
                <w:sz w:val="20"/>
                <w:szCs w:val="20"/>
                <w:lang w:val="en-IE" w:eastAsia="en-IE"/>
              </w:rPr>
            </w:pPr>
            <w:r w:rsidRPr="00082E1B">
              <w:rPr>
                <w:noProof/>
                <w:sz w:val="20"/>
                <w:szCs w:val="20"/>
              </w:rPr>
              <w:t xml:space="preserve"> 3 313 482 </w:t>
            </w:r>
          </w:p>
        </w:tc>
        <w:tc>
          <w:tcPr>
            <w:tcW w:w="1169" w:type="dxa"/>
            <w:noWrap/>
          </w:tcPr>
          <w:p w14:paraId="603CF342" w14:textId="4D40B772" w:rsidR="0043066F" w:rsidRPr="00187DE1" w:rsidRDefault="0043066F" w:rsidP="0043066F">
            <w:pPr>
              <w:spacing w:after="0"/>
              <w:jc w:val="right"/>
              <w:rPr>
                <w:noProof/>
                <w:sz w:val="20"/>
                <w:szCs w:val="20"/>
                <w:lang w:val="en-IE" w:eastAsia="en-IE"/>
              </w:rPr>
            </w:pPr>
            <w:r w:rsidRPr="00082E1B">
              <w:rPr>
                <w:noProof/>
                <w:sz w:val="20"/>
                <w:szCs w:val="20"/>
              </w:rPr>
              <w:t xml:space="preserve"> 1 242 556 </w:t>
            </w:r>
          </w:p>
        </w:tc>
        <w:tc>
          <w:tcPr>
            <w:tcW w:w="1162" w:type="dxa"/>
            <w:noWrap/>
          </w:tcPr>
          <w:p w14:paraId="1D4D2437" w14:textId="46C90527" w:rsidR="0043066F" w:rsidRPr="00187DE1" w:rsidRDefault="0043066F" w:rsidP="0043066F">
            <w:pPr>
              <w:spacing w:after="0"/>
              <w:jc w:val="right"/>
              <w:rPr>
                <w:noProof/>
                <w:sz w:val="20"/>
                <w:szCs w:val="20"/>
                <w:lang w:val="en-IE" w:eastAsia="en-IE"/>
              </w:rPr>
            </w:pPr>
            <w:r w:rsidRPr="00082E1B">
              <w:rPr>
                <w:noProof/>
                <w:sz w:val="20"/>
                <w:szCs w:val="20"/>
              </w:rPr>
              <w:t xml:space="preserve"> 6 212 779 </w:t>
            </w:r>
          </w:p>
        </w:tc>
      </w:tr>
      <w:tr w:rsidR="0043066F" w:rsidRPr="00C44C22" w14:paraId="465CC220" w14:textId="77777777" w:rsidTr="001A49D4">
        <w:trPr>
          <w:trHeight w:val="283"/>
        </w:trPr>
        <w:tc>
          <w:tcPr>
            <w:tcW w:w="2189" w:type="dxa"/>
            <w:noWrap/>
            <w:vAlign w:val="center"/>
            <w:hideMark/>
          </w:tcPr>
          <w:p w14:paraId="5E09F228" w14:textId="77777777" w:rsidR="0043066F" w:rsidRPr="00FA63C0" w:rsidRDefault="0043066F" w:rsidP="0043066F">
            <w:pPr>
              <w:spacing w:after="0"/>
              <w:jc w:val="left"/>
              <w:rPr>
                <w:i/>
                <w:iCs/>
                <w:noProof/>
                <w:sz w:val="20"/>
                <w:szCs w:val="20"/>
                <w:lang w:val="en-IE" w:eastAsia="en-IE"/>
              </w:rPr>
            </w:pPr>
            <w:r w:rsidRPr="00FA63C0">
              <w:rPr>
                <w:i/>
                <w:iCs/>
                <w:noProof/>
                <w:sz w:val="20"/>
                <w:szCs w:val="20"/>
                <w:lang w:val="en-IE" w:eastAsia="en-IE"/>
              </w:rPr>
              <w:t>recurrent adjustment</w:t>
            </w:r>
          </w:p>
        </w:tc>
        <w:tc>
          <w:tcPr>
            <w:tcW w:w="1276" w:type="dxa"/>
          </w:tcPr>
          <w:p w14:paraId="3E9BE0A4" w14:textId="7C3BCD7A" w:rsidR="0043066F" w:rsidRPr="00FA63C0" w:rsidRDefault="0043066F" w:rsidP="0043066F">
            <w:pPr>
              <w:spacing w:after="0"/>
              <w:jc w:val="right"/>
              <w:rPr>
                <w:noProof/>
                <w:sz w:val="20"/>
                <w:szCs w:val="20"/>
                <w:lang w:val="en-IE" w:eastAsia="en-IE"/>
              </w:rPr>
            </w:pPr>
            <w:r w:rsidRPr="00FA63C0">
              <w:rPr>
                <w:noProof/>
                <w:sz w:val="20"/>
                <w:szCs w:val="20"/>
              </w:rPr>
              <w:t xml:space="preserve"> -   </w:t>
            </w:r>
          </w:p>
        </w:tc>
        <w:tc>
          <w:tcPr>
            <w:tcW w:w="1213" w:type="dxa"/>
          </w:tcPr>
          <w:p w14:paraId="7D05D3EF" w14:textId="4D36887F" w:rsidR="0043066F" w:rsidRPr="0043066F" w:rsidRDefault="0043066F" w:rsidP="0043066F">
            <w:pPr>
              <w:spacing w:after="0"/>
              <w:jc w:val="right"/>
              <w:rPr>
                <w:noProof/>
                <w:sz w:val="20"/>
                <w:szCs w:val="20"/>
                <w:lang w:val="en-IE" w:eastAsia="en-IE"/>
              </w:rPr>
            </w:pPr>
            <w:r w:rsidRPr="00082E1B">
              <w:rPr>
                <w:noProof/>
                <w:sz w:val="20"/>
                <w:szCs w:val="20"/>
              </w:rPr>
              <w:t xml:space="preserve"> </w:t>
            </w:r>
            <w:r>
              <w:rPr>
                <w:noProof/>
                <w:sz w:val="20"/>
                <w:szCs w:val="20"/>
              </w:rPr>
              <w:t xml:space="preserve"> </w:t>
            </w:r>
            <w:r w:rsidRPr="00082E1B">
              <w:rPr>
                <w:noProof/>
                <w:sz w:val="20"/>
                <w:szCs w:val="20"/>
              </w:rPr>
              <w:t>6</w:t>
            </w:r>
            <w:r>
              <w:rPr>
                <w:noProof/>
                <w:sz w:val="20"/>
                <w:szCs w:val="20"/>
              </w:rPr>
              <w:t xml:space="preserve"> </w:t>
            </w:r>
            <w:r w:rsidRPr="00082E1B">
              <w:rPr>
                <w:noProof/>
                <w:sz w:val="20"/>
                <w:szCs w:val="20"/>
              </w:rPr>
              <w:t>830</w:t>
            </w:r>
            <w:r>
              <w:rPr>
                <w:noProof/>
                <w:sz w:val="20"/>
                <w:szCs w:val="20"/>
              </w:rPr>
              <w:t xml:space="preserve"> </w:t>
            </w:r>
            <w:r w:rsidRPr="00082E1B">
              <w:rPr>
                <w:noProof/>
                <w:sz w:val="20"/>
                <w:szCs w:val="20"/>
              </w:rPr>
              <w:t xml:space="preserve">638 </w:t>
            </w:r>
          </w:p>
        </w:tc>
        <w:tc>
          <w:tcPr>
            <w:tcW w:w="1418" w:type="dxa"/>
          </w:tcPr>
          <w:p w14:paraId="63A0684A" w14:textId="56B79DB2" w:rsidR="0043066F" w:rsidRPr="00FA63C0" w:rsidRDefault="0043066F" w:rsidP="0043066F">
            <w:pPr>
              <w:spacing w:after="0"/>
              <w:jc w:val="right"/>
              <w:rPr>
                <w:noProof/>
                <w:sz w:val="20"/>
                <w:szCs w:val="20"/>
                <w:lang w:val="en-IE" w:eastAsia="en-IE"/>
              </w:rPr>
            </w:pPr>
            <w:r w:rsidRPr="00FA63C0">
              <w:rPr>
                <w:noProof/>
                <w:sz w:val="20"/>
                <w:szCs w:val="20"/>
              </w:rPr>
              <w:t xml:space="preserve"> -   </w:t>
            </w:r>
          </w:p>
        </w:tc>
        <w:tc>
          <w:tcPr>
            <w:tcW w:w="1134" w:type="dxa"/>
            <w:noWrap/>
          </w:tcPr>
          <w:p w14:paraId="1BCDD173" w14:textId="48839425" w:rsidR="0043066F" w:rsidRPr="00187DE1" w:rsidRDefault="0043066F" w:rsidP="0043066F">
            <w:pPr>
              <w:spacing w:after="0"/>
              <w:jc w:val="right"/>
              <w:rPr>
                <w:noProof/>
                <w:sz w:val="20"/>
                <w:szCs w:val="20"/>
                <w:lang w:val="en-IE" w:eastAsia="en-IE"/>
              </w:rPr>
            </w:pPr>
            <w:r w:rsidRPr="00082E1B">
              <w:rPr>
                <w:noProof/>
                <w:sz w:val="20"/>
                <w:szCs w:val="20"/>
              </w:rPr>
              <w:t xml:space="preserve"> 6 830 638 </w:t>
            </w:r>
          </w:p>
        </w:tc>
        <w:tc>
          <w:tcPr>
            <w:tcW w:w="1169" w:type="dxa"/>
            <w:noWrap/>
          </w:tcPr>
          <w:p w14:paraId="41E8F834" w14:textId="479D1120" w:rsidR="0043066F" w:rsidRPr="00187DE1" w:rsidRDefault="0043066F" w:rsidP="0043066F">
            <w:pPr>
              <w:spacing w:after="0"/>
              <w:jc w:val="right"/>
              <w:rPr>
                <w:noProof/>
                <w:sz w:val="20"/>
                <w:szCs w:val="20"/>
                <w:lang w:val="en-IE" w:eastAsia="en-IE"/>
              </w:rPr>
            </w:pPr>
            <w:r w:rsidRPr="00082E1B">
              <w:rPr>
                <w:noProof/>
                <w:sz w:val="20"/>
                <w:szCs w:val="20"/>
              </w:rPr>
              <w:t xml:space="preserve"> 2 276 879 </w:t>
            </w:r>
          </w:p>
        </w:tc>
        <w:tc>
          <w:tcPr>
            <w:tcW w:w="1162" w:type="dxa"/>
            <w:noWrap/>
          </w:tcPr>
          <w:p w14:paraId="2186AB0C" w14:textId="378C6E55" w:rsidR="0043066F" w:rsidRPr="00187DE1" w:rsidRDefault="0043066F" w:rsidP="0043066F">
            <w:pPr>
              <w:spacing w:after="0"/>
              <w:jc w:val="right"/>
              <w:rPr>
                <w:noProof/>
                <w:sz w:val="20"/>
                <w:szCs w:val="20"/>
                <w:lang w:val="en-IE" w:eastAsia="en-IE"/>
              </w:rPr>
            </w:pPr>
            <w:r w:rsidRPr="00082E1B">
              <w:rPr>
                <w:noProof/>
                <w:sz w:val="20"/>
                <w:szCs w:val="20"/>
              </w:rPr>
              <w:t xml:space="preserve"> 13 661 275 </w:t>
            </w:r>
          </w:p>
        </w:tc>
      </w:tr>
      <w:tr w:rsidR="004B3443" w:rsidRPr="00C44C22" w14:paraId="49A003CA" w14:textId="77777777" w:rsidTr="001A49D4">
        <w:trPr>
          <w:trHeight w:val="283"/>
        </w:trPr>
        <w:tc>
          <w:tcPr>
            <w:tcW w:w="2189" w:type="dxa"/>
            <w:noWrap/>
            <w:vAlign w:val="center"/>
            <w:hideMark/>
          </w:tcPr>
          <w:p w14:paraId="6F902C80"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76" w:type="dxa"/>
          </w:tcPr>
          <w:p w14:paraId="09081367" w14:textId="3B6766DD"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213" w:type="dxa"/>
          </w:tcPr>
          <w:p w14:paraId="15DD1549" w14:textId="08E1F6EB"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Pr>
          <w:p w14:paraId="5D865434" w14:textId="5D29A48E"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noWrap/>
          </w:tcPr>
          <w:p w14:paraId="0559420F"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c>
          <w:tcPr>
            <w:tcW w:w="1169" w:type="dxa"/>
            <w:noWrap/>
          </w:tcPr>
          <w:p w14:paraId="4C47F3E5"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w:t>
            </w:r>
          </w:p>
        </w:tc>
        <w:tc>
          <w:tcPr>
            <w:tcW w:w="1162" w:type="dxa"/>
            <w:noWrap/>
          </w:tcPr>
          <w:p w14:paraId="7F6465BD"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r>
      <w:tr w:rsidR="004B3443" w:rsidRPr="00C44C22" w14:paraId="57871E76" w14:textId="77777777" w:rsidTr="001A49D4">
        <w:trPr>
          <w:trHeight w:val="283"/>
        </w:trPr>
        <w:tc>
          <w:tcPr>
            <w:tcW w:w="2189" w:type="dxa"/>
            <w:noWrap/>
            <w:vAlign w:val="center"/>
            <w:hideMark/>
          </w:tcPr>
          <w:p w14:paraId="1ABE273D"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76" w:type="dxa"/>
          </w:tcPr>
          <w:p w14:paraId="0BF4143F" w14:textId="5FCA458C"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213" w:type="dxa"/>
          </w:tcPr>
          <w:p w14:paraId="2DB97A7F" w14:textId="6DDB0431"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Pr>
          <w:p w14:paraId="3F9D2A29" w14:textId="219AD532"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noWrap/>
          </w:tcPr>
          <w:p w14:paraId="0B674070"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c>
          <w:tcPr>
            <w:tcW w:w="1169" w:type="dxa"/>
            <w:noWrap/>
          </w:tcPr>
          <w:p w14:paraId="131FBE7D"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w:t>
            </w:r>
          </w:p>
        </w:tc>
        <w:tc>
          <w:tcPr>
            <w:tcW w:w="1162" w:type="dxa"/>
            <w:noWrap/>
          </w:tcPr>
          <w:p w14:paraId="43DB84EC"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r>
      <w:tr w:rsidR="004B3443" w:rsidRPr="00C44C22" w14:paraId="5180ECD4" w14:textId="77777777" w:rsidTr="001A49D4">
        <w:trPr>
          <w:trHeight w:val="283"/>
        </w:trPr>
        <w:tc>
          <w:tcPr>
            <w:tcW w:w="2189" w:type="dxa"/>
            <w:noWrap/>
            <w:vAlign w:val="center"/>
            <w:hideMark/>
          </w:tcPr>
          <w:p w14:paraId="75A86EB4"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76" w:type="dxa"/>
          </w:tcPr>
          <w:p w14:paraId="59ABE76D" w14:textId="063CC111"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213" w:type="dxa"/>
          </w:tcPr>
          <w:p w14:paraId="32DA1A23" w14:textId="63C766FD"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Pr>
          <w:p w14:paraId="74298CE0" w14:textId="4BF1B16F"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noWrap/>
          </w:tcPr>
          <w:p w14:paraId="790E573F"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c>
          <w:tcPr>
            <w:tcW w:w="1169" w:type="dxa"/>
            <w:noWrap/>
          </w:tcPr>
          <w:p w14:paraId="3635FF0D"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w:t>
            </w:r>
          </w:p>
        </w:tc>
        <w:tc>
          <w:tcPr>
            <w:tcW w:w="1162" w:type="dxa"/>
            <w:noWrap/>
          </w:tcPr>
          <w:p w14:paraId="5086769B"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r>
      <w:tr w:rsidR="004B3443" w:rsidRPr="00C44C22" w14:paraId="03E562AE" w14:textId="77777777" w:rsidTr="001A49D4">
        <w:trPr>
          <w:trHeight w:val="283"/>
        </w:trPr>
        <w:tc>
          <w:tcPr>
            <w:tcW w:w="2189" w:type="dxa"/>
            <w:noWrap/>
            <w:vAlign w:val="center"/>
            <w:hideMark/>
          </w:tcPr>
          <w:p w14:paraId="5A0A56A8" w14:textId="77777777" w:rsidR="004B3443" w:rsidRPr="00FA63C0" w:rsidRDefault="004B3443" w:rsidP="004B344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76" w:type="dxa"/>
          </w:tcPr>
          <w:p w14:paraId="59AB5C79" w14:textId="73C6F27D"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213" w:type="dxa"/>
          </w:tcPr>
          <w:p w14:paraId="1E0767F3" w14:textId="3251ABE8" w:rsidR="004B3443" w:rsidRPr="00FA63C0" w:rsidRDefault="004B3443" w:rsidP="004B3443">
            <w:pPr>
              <w:spacing w:after="0"/>
              <w:jc w:val="right"/>
              <w:rPr>
                <w:noProof/>
                <w:sz w:val="20"/>
                <w:szCs w:val="20"/>
                <w:lang w:val="en-IE" w:eastAsia="en-IE"/>
              </w:rPr>
            </w:pPr>
            <w:r w:rsidRPr="00FA63C0">
              <w:rPr>
                <w:noProof/>
                <w:sz w:val="20"/>
                <w:szCs w:val="20"/>
              </w:rPr>
              <w:t xml:space="preserve">-   </w:t>
            </w:r>
          </w:p>
        </w:tc>
        <w:tc>
          <w:tcPr>
            <w:tcW w:w="1418" w:type="dxa"/>
          </w:tcPr>
          <w:p w14:paraId="1D2B8E86" w14:textId="1230DA1A" w:rsidR="004B3443" w:rsidRPr="00FA63C0" w:rsidRDefault="004B3443" w:rsidP="004B3443">
            <w:pPr>
              <w:spacing w:after="0"/>
              <w:jc w:val="right"/>
              <w:rPr>
                <w:noProof/>
                <w:sz w:val="20"/>
                <w:szCs w:val="20"/>
                <w:lang w:val="en-IE" w:eastAsia="en-IE"/>
              </w:rPr>
            </w:pPr>
            <w:r w:rsidRPr="00FA63C0">
              <w:rPr>
                <w:noProof/>
                <w:sz w:val="20"/>
                <w:szCs w:val="20"/>
              </w:rPr>
              <w:t xml:space="preserve"> -   </w:t>
            </w:r>
          </w:p>
        </w:tc>
        <w:tc>
          <w:tcPr>
            <w:tcW w:w="1134" w:type="dxa"/>
            <w:noWrap/>
          </w:tcPr>
          <w:p w14:paraId="2B077BD4"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c>
          <w:tcPr>
            <w:tcW w:w="1169" w:type="dxa"/>
            <w:noWrap/>
          </w:tcPr>
          <w:p w14:paraId="592642FD"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w:t>
            </w:r>
          </w:p>
        </w:tc>
        <w:tc>
          <w:tcPr>
            <w:tcW w:w="1162" w:type="dxa"/>
            <w:noWrap/>
          </w:tcPr>
          <w:p w14:paraId="2BE4CEFC" w14:textId="77777777" w:rsidR="004B3443" w:rsidRPr="000A7265" w:rsidRDefault="004B3443" w:rsidP="004B3443">
            <w:pPr>
              <w:spacing w:after="0"/>
              <w:jc w:val="right"/>
              <w:rPr>
                <w:noProof/>
                <w:sz w:val="20"/>
                <w:szCs w:val="20"/>
                <w:lang w:val="en-IE" w:eastAsia="en-IE"/>
              </w:rPr>
            </w:pPr>
            <w:r w:rsidRPr="00FA63C0">
              <w:rPr>
                <w:noProof/>
                <w:sz w:val="20"/>
                <w:szCs w:val="20"/>
              </w:rPr>
              <w:t xml:space="preserve"> -   </w:t>
            </w:r>
          </w:p>
        </w:tc>
      </w:tr>
      <w:tr w:rsidR="004B3443" w:rsidRPr="0049798B" w14:paraId="5C387083" w14:textId="77777777" w:rsidTr="005D7722">
        <w:trPr>
          <w:trHeight w:val="283"/>
        </w:trPr>
        <w:tc>
          <w:tcPr>
            <w:tcW w:w="2189" w:type="dxa"/>
            <w:shd w:val="clear" w:color="auto" w:fill="F2DBDB" w:themeFill="accent2" w:themeFillTint="33"/>
            <w:noWrap/>
            <w:vAlign w:val="center"/>
            <w:hideMark/>
          </w:tcPr>
          <w:p w14:paraId="12076B7B" w14:textId="77777777" w:rsidR="004B3443" w:rsidRPr="00FA63C0" w:rsidRDefault="004B3443" w:rsidP="004B3443">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76" w:type="dxa"/>
            <w:shd w:val="clear" w:color="auto" w:fill="F2DBDB" w:themeFill="accent2" w:themeFillTint="33"/>
          </w:tcPr>
          <w:p w14:paraId="41B2FEFD" w14:textId="126A679A" w:rsidR="004B3443" w:rsidRPr="00FA63C0" w:rsidRDefault="004B3443" w:rsidP="004B3443">
            <w:pPr>
              <w:spacing w:after="0"/>
              <w:jc w:val="right"/>
              <w:rPr>
                <w:b/>
                <w:bCs/>
                <w:noProof/>
                <w:sz w:val="20"/>
                <w:szCs w:val="20"/>
                <w:lang w:val="en-IE" w:eastAsia="en-IE"/>
              </w:rPr>
            </w:pPr>
            <w:r w:rsidRPr="00FA63C0">
              <w:rPr>
                <w:noProof/>
                <w:sz w:val="20"/>
                <w:szCs w:val="20"/>
              </w:rPr>
              <w:t xml:space="preserve"> </w:t>
            </w:r>
            <w:r w:rsidR="00806229">
              <w:rPr>
                <w:noProof/>
                <w:sz w:val="20"/>
                <w:szCs w:val="20"/>
              </w:rPr>
              <w:t>645 225</w:t>
            </w:r>
            <w:r w:rsidR="00806229" w:rsidRPr="00FA63C0">
              <w:rPr>
                <w:noProof/>
                <w:sz w:val="20"/>
                <w:szCs w:val="20"/>
              </w:rPr>
              <w:t xml:space="preserve">   </w:t>
            </w:r>
            <w:r w:rsidRPr="00FA63C0">
              <w:rPr>
                <w:noProof/>
                <w:sz w:val="20"/>
                <w:szCs w:val="20"/>
              </w:rPr>
              <w:t xml:space="preserve">   </w:t>
            </w:r>
          </w:p>
        </w:tc>
        <w:tc>
          <w:tcPr>
            <w:tcW w:w="1213" w:type="dxa"/>
            <w:shd w:val="clear" w:color="auto" w:fill="F2DBDB" w:themeFill="accent2" w:themeFillTint="33"/>
          </w:tcPr>
          <w:p w14:paraId="0AECF752" w14:textId="530370DC" w:rsidR="004B3443" w:rsidRPr="00FA63C0" w:rsidRDefault="0043066F" w:rsidP="004B3443">
            <w:pPr>
              <w:spacing w:after="0"/>
              <w:jc w:val="right"/>
              <w:rPr>
                <w:b/>
                <w:bCs/>
                <w:noProof/>
                <w:sz w:val="20"/>
                <w:szCs w:val="20"/>
                <w:lang w:val="en-IE" w:eastAsia="en-IE"/>
              </w:rPr>
            </w:pPr>
            <w:r>
              <w:rPr>
                <w:noProof/>
                <w:sz w:val="20"/>
                <w:szCs w:val="20"/>
              </w:rPr>
              <w:t xml:space="preserve"> </w:t>
            </w:r>
            <w:r w:rsidRPr="0043066F">
              <w:rPr>
                <w:noProof/>
                <w:sz w:val="20"/>
                <w:szCs w:val="20"/>
              </w:rPr>
              <w:t>10</w:t>
            </w:r>
            <w:r>
              <w:rPr>
                <w:noProof/>
                <w:sz w:val="20"/>
                <w:szCs w:val="20"/>
              </w:rPr>
              <w:t xml:space="preserve"> </w:t>
            </w:r>
            <w:r w:rsidRPr="0043066F">
              <w:rPr>
                <w:noProof/>
                <w:sz w:val="20"/>
                <w:szCs w:val="20"/>
              </w:rPr>
              <w:t>144</w:t>
            </w:r>
            <w:r>
              <w:rPr>
                <w:noProof/>
                <w:sz w:val="20"/>
                <w:szCs w:val="20"/>
              </w:rPr>
              <w:t xml:space="preserve"> </w:t>
            </w:r>
            <w:r w:rsidRPr="0043066F">
              <w:rPr>
                <w:noProof/>
                <w:sz w:val="20"/>
                <w:szCs w:val="20"/>
              </w:rPr>
              <w:t xml:space="preserve">120 </w:t>
            </w:r>
            <w:r w:rsidR="004B3443" w:rsidRPr="00FA63C0">
              <w:rPr>
                <w:noProof/>
                <w:sz w:val="20"/>
                <w:szCs w:val="20"/>
              </w:rPr>
              <w:t xml:space="preserve">   </w:t>
            </w:r>
          </w:p>
        </w:tc>
        <w:tc>
          <w:tcPr>
            <w:tcW w:w="1418" w:type="dxa"/>
            <w:shd w:val="clear" w:color="auto" w:fill="F2DBDB" w:themeFill="accent2" w:themeFillTint="33"/>
          </w:tcPr>
          <w:p w14:paraId="3FD8BC3D" w14:textId="772BC4B3" w:rsidR="004B3443" w:rsidRPr="00FA63C0" w:rsidRDefault="004B3443" w:rsidP="004B3443">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F2DBDB" w:themeFill="accent2" w:themeFillTint="33"/>
            <w:noWrap/>
          </w:tcPr>
          <w:p w14:paraId="78BA3384" w14:textId="0E6F4868" w:rsidR="004B3443" w:rsidRPr="007B1859" w:rsidRDefault="004B3443" w:rsidP="004B3443">
            <w:pPr>
              <w:spacing w:after="0"/>
              <w:jc w:val="right"/>
              <w:rPr>
                <w:noProof/>
                <w:sz w:val="20"/>
                <w:szCs w:val="20"/>
              </w:rPr>
            </w:pPr>
            <w:r w:rsidRPr="00082E1B">
              <w:rPr>
                <w:noProof/>
                <w:sz w:val="20"/>
                <w:szCs w:val="20"/>
              </w:rPr>
              <w:t xml:space="preserve"> 10 798 344 </w:t>
            </w:r>
          </w:p>
        </w:tc>
        <w:tc>
          <w:tcPr>
            <w:tcW w:w="1169" w:type="dxa"/>
            <w:shd w:val="clear" w:color="auto" w:fill="F2DBDB" w:themeFill="accent2" w:themeFillTint="33"/>
            <w:noWrap/>
          </w:tcPr>
          <w:p w14:paraId="1A575A79" w14:textId="127A3435" w:rsidR="004B3443" w:rsidRPr="007B1859" w:rsidRDefault="004B3443" w:rsidP="004B3443">
            <w:pPr>
              <w:spacing w:after="0"/>
              <w:jc w:val="right"/>
              <w:rPr>
                <w:noProof/>
                <w:sz w:val="20"/>
                <w:szCs w:val="20"/>
              </w:rPr>
            </w:pPr>
            <w:r w:rsidRPr="00082E1B">
              <w:rPr>
                <w:noProof/>
                <w:sz w:val="20"/>
                <w:szCs w:val="20"/>
              </w:rPr>
              <w:t xml:space="preserve"> 3 689 049 </w:t>
            </w:r>
          </w:p>
        </w:tc>
        <w:tc>
          <w:tcPr>
            <w:tcW w:w="1162" w:type="dxa"/>
            <w:shd w:val="clear" w:color="auto" w:fill="F2DBDB" w:themeFill="accent2" w:themeFillTint="33"/>
            <w:noWrap/>
          </w:tcPr>
          <w:p w14:paraId="24368FD4" w14:textId="14BD0A11" w:rsidR="004B3443" w:rsidRPr="007B1859" w:rsidRDefault="004B3443" w:rsidP="004B3443">
            <w:pPr>
              <w:spacing w:after="0"/>
              <w:jc w:val="right"/>
              <w:rPr>
                <w:noProof/>
                <w:sz w:val="20"/>
                <w:szCs w:val="20"/>
              </w:rPr>
            </w:pPr>
            <w:r w:rsidRPr="00082E1B">
              <w:rPr>
                <w:noProof/>
                <w:sz w:val="20"/>
                <w:szCs w:val="20"/>
              </w:rPr>
              <w:t xml:space="preserve"> 21 206 734</w:t>
            </w:r>
          </w:p>
        </w:tc>
      </w:tr>
      <w:tr w:rsidR="004B3443" w:rsidRPr="00FA63C0" w14:paraId="0FF7AA7E" w14:textId="77777777" w:rsidTr="005D7722">
        <w:trPr>
          <w:trHeight w:val="283"/>
        </w:trPr>
        <w:tc>
          <w:tcPr>
            <w:tcW w:w="2189" w:type="dxa"/>
            <w:shd w:val="clear" w:color="auto" w:fill="EAF1DD" w:themeFill="accent3" w:themeFillTint="33"/>
            <w:noWrap/>
            <w:vAlign w:val="center"/>
            <w:hideMark/>
          </w:tcPr>
          <w:p w14:paraId="7C4129C7" w14:textId="77777777" w:rsidR="004B3443" w:rsidRPr="00FA63C0" w:rsidRDefault="004B3443" w:rsidP="004B3443">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76" w:type="dxa"/>
            <w:shd w:val="clear" w:color="auto" w:fill="EAF1DD" w:themeFill="accent3" w:themeFillTint="33"/>
          </w:tcPr>
          <w:p w14:paraId="6AECAF7A" w14:textId="7ADFDA97" w:rsidR="004B3443" w:rsidRPr="00FA63C0" w:rsidRDefault="004B3443" w:rsidP="004B3443">
            <w:pPr>
              <w:spacing w:after="0"/>
              <w:jc w:val="right"/>
              <w:rPr>
                <w:b/>
                <w:bCs/>
                <w:noProof/>
                <w:sz w:val="20"/>
                <w:szCs w:val="20"/>
                <w:lang w:val="en-IE" w:eastAsia="en-IE"/>
              </w:rPr>
            </w:pPr>
            <w:r w:rsidRPr="00FA63C0">
              <w:rPr>
                <w:noProof/>
                <w:sz w:val="20"/>
                <w:szCs w:val="20"/>
              </w:rPr>
              <w:t xml:space="preserve"> -   </w:t>
            </w:r>
          </w:p>
        </w:tc>
        <w:tc>
          <w:tcPr>
            <w:tcW w:w="1213" w:type="dxa"/>
            <w:shd w:val="clear" w:color="auto" w:fill="EAF1DD" w:themeFill="accent3" w:themeFillTint="33"/>
          </w:tcPr>
          <w:p w14:paraId="1514C2A6" w14:textId="78D1C112" w:rsidR="004B3443" w:rsidRPr="00FA63C0" w:rsidRDefault="004B3443" w:rsidP="004B3443">
            <w:pPr>
              <w:spacing w:after="0"/>
              <w:jc w:val="right"/>
              <w:rPr>
                <w:b/>
                <w:bCs/>
                <w:noProof/>
                <w:sz w:val="20"/>
                <w:szCs w:val="20"/>
                <w:lang w:val="en-IE" w:eastAsia="en-IE"/>
              </w:rPr>
            </w:pPr>
            <w:r w:rsidRPr="00FA63C0">
              <w:rPr>
                <w:noProof/>
                <w:sz w:val="20"/>
                <w:szCs w:val="20"/>
              </w:rPr>
              <w:t xml:space="preserve">-   </w:t>
            </w:r>
          </w:p>
        </w:tc>
        <w:tc>
          <w:tcPr>
            <w:tcW w:w="1418" w:type="dxa"/>
            <w:shd w:val="clear" w:color="auto" w:fill="EAF1DD" w:themeFill="accent3" w:themeFillTint="33"/>
          </w:tcPr>
          <w:p w14:paraId="587C205D" w14:textId="6525FC23" w:rsidR="004B3443" w:rsidRPr="00FA63C0" w:rsidRDefault="004B3443" w:rsidP="004B3443">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EAF1DD" w:themeFill="accent3" w:themeFillTint="33"/>
            <w:noWrap/>
            <w:vAlign w:val="center"/>
          </w:tcPr>
          <w:p w14:paraId="2CF26342" w14:textId="35ADB38B" w:rsidR="004B3443" w:rsidRPr="007B1859" w:rsidRDefault="004B3443" w:rsidP="00082E1B">
            <w:pPr>
              <w:spacing w:after="0"/>
              <w:jc w:val="right"/>
              <w:rPr>
                <w:noProof/>
                <w:sz w:val="20"/>
                <w:szCs w:val="20"/>
                <w:lang w:val="en-IE" w:eastAsia="en-IE"/>
              </w:rPr>
            </w:pPr>
            <w:r w:rsidRPr="00FA63C0">
              <w:rPr>
                <w:noProof/>
                <w:sz w:val="20"/>
                <w:szCs w:val="20"/>
              </w:rPr>
              <w:t xml:space="preserve"> -   </w:t>
            </w:r>
          </w:p>
        </w:tc>
        <w:tc>
          <w:tcPr>
            <w:tcW w:w="1169" w:type="dxa"/>
            <w:shd w:val="clear" w:color="auto" w:fill="EAF1DD" w:themeFill="accent3" w:themeFillTint="33"/>
            <w:noWrap/>
            <w:vAlign w:val="center"/>
          </w:tcPr>
          <w:p w14:paraId="69D69BCA" w14:textId="635F70AF" w:rsidR="004B3443" w:rsidRPr="007B1859" w:rsidRDefault="004B3443" w:rsidP="004B3443">
            <w:pPr>
              <w:spacing w:after="0"/>
              <w:jc w:val="right"/>
              <w:rPr>
                <w:noProof/>
                <w:sz w:val="20"/>
                <w:szCs w:val="20"/>
                <w:lang w:val="en-IE" w:eastAsia="en-IE"/>
              </w:rPr>
            </w:pPr>
            <w:r w:rsidRPr="00FA63C0">
              <w:rPr>
                <w:noProof/>
                <w:sz w:val="20"/>
                <w:szCs w:val="20"/>
              </w:rPr>
              <w:t xml:space="preserve">-   </w:t>
            </w:r>
          </w:p>
        </w:tc>
        <w:tc>
          <w:tcPr>
            <w:tcW w:w="1162" w:type="dxa"/>
            <w:shd w:val="clear" w:color="auto" w:fill="EAF1DD" w:themeFill="accent3" w:themeFillTint="33"/>
            <w:noWrap/>
            <w:vAlign w:val="center"/>
          </w:tcPr>
          <w:p w14:paraId="692372CA" w14:textId="520A1C4E" w:rsidR="004B3443" w:rsidRPr="007B1859" w:rsidRDefault="004B3443" w:rsidP="004B3443">
            <w:pPr>
              <w:spacing w:after="0"/>
              <w:jc w:val="right"/>
              <w:rPr>
                <w:noProof/>
                <w:sz w:val="20"/>
                <w:szCs w:val="20"/>
                <w:lang w:val="en-IE" w:eastAsia="en-IE"/>
              </w:rPr>
            </w:pPr>
            <w:r w:rsidRPr="00FA63C0">
              <w:rPr>
                <w:noProof/>
                <w:sz w:val="20"/>
                <w:szCs w:val="20"/>
              </w:rPr>
              <w:t xml:space="preserve"> -   </w:t>
            </w:r>
          </w:p>
        </w:tc>
      </w:tr>
      <w:tr w:rsidR="004B3443" w:rsidRPr="0049798B" w14:paraId="316FB782" w14:textId="77777777" w:rsidTr="005D7722">
        <w:trPr>
          <w:trHeight w:val="283"/>
        </w:trPr>
        <w:tc>
          <w:tcPr>
            <w:tcW w:w="2189" w:type="dxa"/>
            <w:shd w:val="clear" w:color="auto" w:fill="F2F2F2" w:themeFill="background1" w:themeFillShade="F2"/>
            <w:noWrap/>
            <w:vAlign w:val="center"/>
            <w:hideMark/>
          </w:tcPr>
          <w:p w14:paraId="2B5467F6" w14:textId="77777777" w:rsidR="004B3443" w:rsidRPr="00FA63C0" w:rsidRDefault="004B3443" w:rsidP="004B3443">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76" w:type="dxa"/>
            <w:shd w:val="clear" w:color="auto" w:fill="F2F2F2" w:themeFill="background1" w:themeFillShade="F2"/>
          </w:tcPr>
          <w:p w14:paraId="60250715" w14:textId="7719287D" w:rsidR="004B3443" w:rsidRPr="00806229" w:rsidRDefault="004B3443" w:rsidP="004B3443">
            <w:pPr>
              <w:spacing w:after="0"/>
              <w:jc w:val="right"/>
              <w:rPr>
                <w:b/>
                <w:bCs/>
                <w:noProof/>
                <w:sz w:val="20"/>
                <w:szCs w:val="20"/>
                <w:lang w:val="en-IE" w:eastAsia="en-IE"/>
              </w:rPr>
            </w:pPr>
            <w:r w:rsidRPr="00082E1B">
              <w:rPr>
                <w:b/>
                <w:noProof/>
                <w:sz w:val="20"/>
                <w:szCs w:val="20"/>
              </w:rPr>
              <w:t xml:space="preserve"> </w:t>
            </w:r>
            <w:r w:rsidR="00806229" w:rsidRPr="00082E1B">
              <w:rPr>
                <w:b/>
                <w:noProof/>
                <w:sz w:val="20"/>
                <w:szCs w:val="20"/>
              </w:rPr>
              <w:t xml:space="preserve"> 645 225      </w:t>
            </w:r>
            <w:r w:rsidRPr="00082E1B">
              <w:rPr>
                <w:b/>
                <w:noProof/>
                <w:sz w:val="20"/>
                <w:szCs w:val="20"/>
              </w:rPr>
              <w:t xml:space="preserve">   </w:t>
            </w:r>
          </w:p>
        </w:tc>
        <w:tc>
          <w:tcPr>
            <w:tcW w:w="1213" w:type="dxa"/>
            <w:shd w:val="clear" w:color="auto" w:fill="F2F2F2" w:themeFill="background1" w:themeFillShade="F2"/>
          </w:tcPr>
          <w:p w14:paraId="078D8BBF" w14:textId="1B4CC660" w:rsidR="004B3443" w:rsidRPr="00806229" w:rsidRDefault="0043066F" w:rsidP="004B3443">
            <w:pPr>
              <w:spacing w:after="0"/>
              <w:jc w:val="right"/>
              <w:rPr>
                <w:b/>
                <w:bCs/>
                <w:noProof/>
                <w:sz w:val="20"/>
                <w:szCs w:val="20"/>
                <w:lang w:val="en-IE" w:eastAsia="en-IE"/>
              </w:rPr>
            </w:pPr>
            <w:r w:rsidRPr="00082E1B">
              <w:rPr>
                <w:b/>
                <w:noProof/>
                <w:sz w:val="20"/>
                <w:szCs w:val="20"/>
              </w:rPr>
              <w:t xml:space="preserve">10 144 120    </w:t>
            </w:r>
            <w:r w:rsidR="004B3443" w:rsidRPr="00082E1B">
              <w:rPr>
                <w:b/>
                <w:noProof/>
                <w:sz w:val="20"/>
                <w:szCs w:val="20"/>
              </w:rPr>
              <w:t xml:space="preserve">   </w:t>
            </w:r>
          </w:p>
        </w:tc>
        <w:tc>
          <w:tcPr>
            <w:tcW w:w="1418" w:type="dxa"/>
            <w:shd w:val="clear" w:color="auto" w:fill="F2F2F2" w:themeFill="background1" w:themeFillShade="F2"/>
          </w:tcPr>
          <w:p w14:paraId="5C36CD11" w14:textId="7D46C751" w:rsidR="004B3443" w:rsidRPr="00806229" w:rsidRDefault="004B3443" w:rsidP="004B3443">
            <w:pPr>
              <w:spacing w:after="0"/>
              <w:jc w:val="right"/>
              <w:rPr>
                <w:b/>
                <w:bCs/>
                <w:noProof/>
                <w:sz w:val="20"/>
                <w:szCs w:val="20"/>
                <w:lang w:val="en-IE" w:eastAsia="en-IE"/>
              </w:rPr>
            </w:pPr>
            <w:r w:rsidRPr="00082E1B">
              <w:rPr>
                <w:b/>
                <w:noProof/>
                <w:sz w:val="20"/>
                <w:szCs w:val="20"/>
              </w:rPr>
              <w:t xml:space="preserve"> -   </w:t>
            </w:r>
          </w:p>
        </w:tc>
        <w:tc>
          <w:tcPr>
            <w:tcW w:w="1134" w:type="dxa"/>
            <w:shd w:val="clear" w:color="auto" w:fill="F2F2F2" w:themeFill="background1" w:themeFillShade="F2"/>
            <w:noWrap/>
          </w:tcPr>
          <w:p w14:paraId="3D65E53C" w14:textId="749CB73B" w:rsidR="004B3443" w:rsidRPr="00806229" w:rsidRDefault="004B3443" w:rsidP="004B3443">
            <w:pPr>
              <w:spacing w:after="0"/>
              <w:jc w:val="right"/>
              <w:rPr>
                <w:b/>
                <w:bCs/>
                <w:noProof/>
                <w:sz w:val="20"/>
                <w:szCs w:val="20"/>
                <w:lang w:val="en-IE" w:eastAsia="en-IE"/>
              </w:rPr>
            </w:pPr>
            <w:r w:rsidRPr="00082E1B">
              <w:rPr>
                <w:b/>
                <w:noProof/>
                <w:sz w:val="20"/>
                <w:szCs w:val="20"/>
              </w:rPr>
              <w:t xml:space="preserve"> 10 798 344 </w:t>
            </w:r>
          </w:p>
        </w:tc>
        <w:tc>
          <w:tcPr>
            <w:tcW w:w="1169" w:type="dxa"/>
            <w:shd w:val="clear" w:color="auto" w:fill="F2F2F2" w:themeFill="background1" w:themeFillShade="F2"/>
            <w:noWrap/>
          </w:tcPr>
          <w:p w14:paraId="09180365" w14:textId="4238C7CA" w:rsidR="004B3443" w:rsidRPr="00806229" w:rsidRDefault="004B3443" w:rsidP="004B3443">
            <w:pPr>
              <w:spacing w:after="0"/>
              <w:jc w:val="right"/>
              <w:rPr>
                <w:b/>
                <w:bCs/>
                <w:noProof/>
                <w:sz w:val="20"/>
                <w:szCs w:val="20"/>
                <w:lang w:val="en-IE" w:eastAsia="en-IE"/>
              </w:rPr>
            </w:pPr>
            <w:r w:rsidRPr="00082E1B">
              <w:rPr>
                <w:b/>
                <w:noProof/>
                <w:sz w:val="20"/>
                <w:szCs w:val="20"/>
              </w:rPr>
              <w:t xml:space="preserve"> 3 689 049 </w:t>
            </w:r>
          </w:p>
        </w:tc>
        <w:tc>
          <w:tcPr>
            <w:tcW w:w="1162" w:type="dxa"/>
            <w:shd w:val="clear" w:color="auto" w:fill="F2F2F2" w:themeFill="background1" w:themeFillShade="F2"/>
            <w:noWrap/>
          </w:tcPr>
          <w:p w14:paraId="7946EFF0" w14:textId="63BB23DB" w:rsidR="004B3443" w:rsidRPr="00806229" w:rsidRDefault="004B3443" w:rsidP="004B3443">
            <w:pPr>
              <w:spacing w:after="0"/>
              <w:jc w:val="right"/>
              <w:rPr>
                <w:b/>
                <w:bCs/>
                <w:noProof/>
                <w:sz w:val="20"/>
                <w:szCs w:val="20"/>
                <w:lang w:val="en-IE" w:eastAsia="en-IE"/>
              </w:rPr>
            </w:pPr>
            <w:r w:rsidRPr="00082E1B">
              <w:rPr>
                <w:b/>
                <w:noProof/>
                <w:sz w:val="20"/>
                <w:szCs w:val="20"/>
              </w:rPr>
              <w:t xml:space="preserve"> 21 206 734</w:t>
            </w:r>
          </w:p>
        </w:tc>
      </w:tr>
    </w:tbl>
    <w:p w14:paraId="508A9F93" w14:textId="77777777" w:rsidR="00740769" w:rsidRDefault="00740769" w:rsidP="00487E93">
      <w:pPr>
        <w:pStyle w:val="Heading2"/>
        <w:numPr>
          <w:ilvl w:val="1"/>
          <w:numId w:val="10"/>
        </w:numPr>
        <w:tabs>
          <w:tab w:val="num" w:pos="283"/>
        </w:tabs>
        <w:spacing w:before="240"/>
        <w:ind w:left="1202"/>
        <w:rPr>
          <w:bCs/>
          <w:noProof/>
        </w:rPr>
      </w:pPr>
      <w:bookmarkStart w:id="196" w:name="_Toc214519711"/>
      <w:bookmarkStart w:id="197" w:name="_Toc216283362"/>
      <w:bookmarkStart w:id="198" w:name="_Toc228346917"/>
      <w:r w:rsidRPr="00437F91">
        <w:rPr>
          <w:noProof/>
        </w:rPr>
        <w:t>PM7</w:t>
      </w:r>
      <w:r w:rsidRPr="00437F91">
        <w:rPr>
          <w:bCs/>
          <w:noProof/>
        </w:rPr>
        <w:t>: Set deployment targets and monitor progress</w:t>
      </w:r>
      <w:bookmarkEnd w:id="196"/>
      <w:bookmarkEnd w:id="197"/>
      <w:bookmarkEnd w:id="198"/>
    </w:p>
    <w:p w14:paraId="7118ABCE" w14:textId="37FDFF78" w:rsidR="00740769" w:rsidRPr="0007547C" w:rsidRDefault="00740769" w:rsidP="00740769">
      <w:pPr>
        <w:rPr>
          <w:noProof/>
        </w:rPr>
      </w:pPr>
      <w:r w:rsidRPr="0007547C">
        <w:rPr>
          <w:noProof/>
        </w:rPr>
        <w:t>The measure sets EU-level deployment targets for data</w:t>
      </w:r>
      <w:r w:rsidR="003D6CD3">
        <w:rPr>
          <w:noProof/>
        </w:rPr>
        <w:t xml:space="preserve"> </w:t>
      </w:r>
      <w:r w:rsidRPr="0007547C">
        <w:rPr>
          <w:noProof/>
        </w:rPr>
        <w:t>centre capacity (e.g., MW IT load)</w:t>
      </w:r>
      <w:r w:rsidR="004F2695">
        <w:rPr>
          <w:noProof/>
        </w:rPr>
        <w:t xml:space="preserve"> which should </w:t>
      </w:r>
      <w:r w:rsidR="00A81D3B">
        <w:rPr>
          <w:noProof/>
        </w:rPr>
        <w:t xml:space="preserve">be </w:t>
      </w:r>
      <w:r w:rsidR="004F2695">
        <w:rPr>
          <w:noProof/>
        </w:rPr>
        <w:t xml:space="preserve">regularly adjusted </w:t>
      </w:r>
      <w:r w:rsidR="00D62A8E">
        <w:rPr>
          <w:noProof/>
        </w:rPr>
        <w:t>in light of a monitoring of</w:t>
      </w:r>
      <w:r w:rsidRPr="0007547C">
        <w:rPr>
          <w:noProof/>
        </w:rPr>
        <w:t xml:space="preserve"> the compute-capacity gap identified for the </w:t>
      </w:r>
      <w:r w:rsidR="00026D62">
        <w:rPr>
          <w:noProof/>
        </w:rPr>
        <w:t>EU</w:t>
      </w:r>
      <w:r w:rsidRPr="0007547C">
        <w:rPr>
          <w:noProof/>
        </w:rPr>
        <w:t>.</w:t>
      </w:r>
      <w:r w:rsidR="004A073F">
        <w:rPr>
          <w:noProof/>
        </w:rPr>
        <w:t xml:space="preserve"> Such monitoring</w:t>
      </w:r>
      <w:r w:rsidRPr="0007547C">
        <w:rPr>
          <w:noProof/>
        </w:rPr>
        <w:t xml:space="preserve"> would be </w:t>
      </w:r>
      <w:r w:rsidR="00C83BBF">
        <w:rPr>
          <w:noProof/>
        </w:rPr>
        <w:t>carried</w:t>
      </w:r>
      <w:r w:rsidRPr="0007547C">
        <w:rPr>
          <w:noProof/>
        </w:rPr>
        <w:t xml:space="preserve"> by </w:t>
      </w:r>
      <w:r w:rsidR="00C83BBF">
        <w:rPr>
          <w:noProof/>
        </w:rPr>
        <w:t xml:space="preserve">the </w:t>
      </w:r>
      <w:r w:rsidR="00044494" w:rsidRPr="0007547C">
        <w:rPr>
          <w:noProof/>
        </w:rPr>
        <w:t xml:space="preserve">Commission </w:t>
      </w:r>
      <w:r w:rsidRPr="0007547C">
        <w:rPr>
          <w:noProof/>
        </w:rPr>
        <w:t xml:space="preserve">and </w:t>
      </w:r>
      <w:r w:rsidR="00515A1C">
        <w:rPr>
          <w:noProof/>
        </w:rPr>
        <w:t>verified</w:t>
      </w:r>
      <w:r w:rsidRPr="0007547C">
        <w:rPr>
          <w:noProof/>
        </w:rPr>
        <w:t xml:space="preserve"> by </w:t>
      </w:r>
      <w:r w:rsidR="005931F2">
        <w:rPr>
          <w:noProof/>
        </w:rPr>
        <w:t xml:space="preserve">relevant </w:t>
      </w:r>
      <w:r w:rsidR="00515A1C">
        <w:rPr>
          <w:noProof/>
        </w:rPr>
        <w:t xml:space="preserve">national </w:t>
      </w:r>
      <w:r w:rsidR="005931F2">
        <w:rPr>
          <w:noProof/>
        </w:rPr>
        <w:t>authorities</w:t>
      </w:r>
      <w:r w:rsidR="005C6CE6" w:rsidRPr="0007547C">
        <w:rPr>
          <w:noProof/>
        </w:rPr>
        <w:t xml:space="preserve">. </w:t>
      </w:r>
      <w:r w:rsidRPr="0007547C">
        <w:rPr>
          <w:noProof/>
        </w:rPr>
        <w:t xml:space="preserve">The measure does not create mandatory obligations for private operators. </w:t>
      </w:r>
      <w:r w:rsidR="005C3978">
        <w:rPr>
          <w:noProof/>
        </w:rPr>
        <w:t xml:space="preserve">The main costs would fall on the Commission, which would be responsible for developing the methodology and compiling the initial dataset. </w:t>
      </w:r>
      <w:r w:rsidR="008A2D1D">
        <w:rPr>
          <w:noProof/>
        </w:rPr>
        <w:t xml:space="preserve">In so far as possible, the methodology would build on existing publicly available data and the data collected as part of the </w:t>
      </w:r>
      <w:r w:rsidR="004A3240">
        <w:rPr>
          <w:noProof/>
        </w:rPr>
        <w:t xml:space="preserve">energy efficiency </w:t>
      </w:r>
      <w:r w:rsidR="008A2D1D">
        <w:rPr>
          <w:noProof/>
        </w:rPr>
        <w:t xml:space="preserve">monitoring of </w:t>
      </w:r>
      <w:r w:rsidR="004A3240">
        <w:rPr>
          <w:noProof/>
        </w:rPr>
        <w:t xml:space="preserve">the </w:t>
      </w:r>
      <w:r w:rsidR="008A2D1D">
        <w:rPr>
          <w:noProof/>
        </w:rPr>
        <w:t>En</w:t>
      </w:r>
      <w:r w:rsidR="004A3240">
        <w:rPr>
          <w:noProof/>
        </w:rPr>
        <w:t>ergy Efficiency directive</w:t>
      </w:r>
      <w:r w:rsidR="00F44A0E">
        <w:rPr>
          <w:noProof/>
        </w:rPr>
        <w:t>, and o</w:t>
      </w:r>
      <w:r w:rsidR="005C3978">
        <w:rPr>
          <w:noProof/>
        </w:rPr>
        <w:t xml:space="preserve">perators </w:t>
      </w:r>
      <w:r w:rsidR="00717140">
        <w:rPr>
          <w:noProof/>
        </w:rPr>
        <w:t>are expected</w:t>
      </w:r>
      <w:r w:rsidR="005C3978">
        <w:rPr>
          <w:noProof/>
        </w:rPr>
        <w:t xml:space="preserve"> </w:t>
      </w:r>
      <w:r w:rsidR="00AE42C4">
        <w:rPr>
          <w:noProof/>
        </w:rPr>
        <w:t>to</w:t>
      </w:r>
      <w:r w:rsidR="005C3978">
        <w:rPr>
          <w:noProof/>
        </w:rPr>
        <w:t xml:space="preserve"> incur limited costs associated </w:t>
      </w:r>
      <w:r w:rsidR="00717140">
        <w:rPr>
          <w:noProof/>
        </w:rPr>
        <w:t xml:space="preserve">with providing supplementary information, while national authorities would face small recurrent costs to verify and validate the data submitted. </w:t>
      </w:r>
    </w:p>
    <w:p w14:paraId="5A840322" w14:textId="6CF5ADC1" w:rsidR="00740769" w:rsidRDefault="00AC4E0E" w:rsidP="00740769">
      <w:pPr>
        <w:pStyle w:val="Text1"/>
        <w:ind w:left="0"/>
        <w:rPr>
          <w:noProof/>
          <w:lang w:val="en-IE"/>
        </w:rPr>
      </w:pPr>
      <w:r>
        <w:rPr>
          <w:bCs/>
          <w:i/>
          <w:noProof/>
          <w:lang w:val="en-IE"/>
        </w:rPr>
        <w:t>Impact on d</w:t>
      </w:r>
      <w:r w:rsidRPr="008C3C5A">
        <w:rPr>
          <w:bCs/>
          <w:i/>
          <w:noProof/>
          <w:lang w:val="en-IE"/>
        </w:rPr>
        <w:t>ata</w:t>
      </w:r>
      <w:r>
        <w:rPr>
          <w:bCs/>
          <w:i/>
          <w:noProof/>
          <w:lang w:val="en-IE"/>
        </w:rPr>
        <w:t xml:space="preserve"> </w:t>
      </w:r>
      <w:r w:rsidRPr="008C3C5A">
        <w:rPr>
          <w:bCs/>
          <w:i/>
          <w:noProof/>
          <w:lang w:val="en-IE"/>
        </w:rPr>
        <w:t xml:space="preserve">centre </w:t>
      </w:r>
      <w:r>
        <w:rPr>
          <w:bCs/>
          <w:i/>
          <w:noProof/>
          <w:lang w:val="en-IE"/>
        </w:rPr>
        <w:t>deployment acceleration</w:t>
      </w:r>
      <w:r w:rsidR="00740769" w:rsidRPr="00740769">
        <w:rPr>
          <w:noProof/>
          <w:lang w:val="en-IE"/>
        </w:rPr>
        <w:t xml:space="preserve">. </w:t>
      </w:r>
      <w:r w:rsidR="00EA34FC">
        <w:rPr>
          <w:bCs/>
          <w:iCs/>
          <w:noProof/>
          <w:lang w:val="en-IE"/>
        </w:rPr>
        <w:t>As above, u</w:t>
      </w:r>
      <w:r w:rsidR="00740769" w:rsidRPr="00740769">
        <w:rPr>
          <w:bCs/>
          <w:iCs/>
          <w:noProof/>
          <w:lang w:val="en-IE"/>
        </w:rPr>
        <w:t>nder this option, it is assumed that the capacity growth rate increases to 15%.</w:t>
      </w:r>
      <w:r w:rsidR="00740769">
        <w:rPr>
          <w:bCs/>
          <w:iCs/>
          <w:noProof/>
          <w:lang w:val="en-IE"/>
        </w:rPr>
        <w:t xml:space="preserve">  </w:t>
      </w:r>
    </w:p>
    <w:p w14:paraId="4A264A1C" w14:textId="4857FB70" w:rsidR="005045FF" w:rsidRDefault="00DB60D3" w:rsidP="005045FF">
      <w:pPr>
        <w:pStyle w:val="Text1"/>
        <w:ind w:left="0"/>
        <w:rPr>
          <w:noProof/>
          <w:lang w:val="en-IE"/>
        </w:rPr>
      </w:pPr>
      <w:r>
        <w:rPr>
          <w:b/>
          <w:i/>
          <w:noProof/>
          <w:lang w:val="en-IE"/>
        </w:rPr>
        <w:t>Administrative c</w:t>
      </w:r>
      <w:r w:rsidR="00740769" w:rsidRPr="00A54618">
        <w:rPr>
          <w:b/>
          <w:i/>
          <w:noProof/>
          <w:lang w:val="en-IE"/>
        </w:rPr>
        <w:t xml:space="preserve">osts for </w:t>
      </w:r>
      <w:r w:rsidR="00C73124" w:rsidRPr="59E4558D">
        <w:rPr>
          <w:b/>
          <w:i/>
          <w:noProof/>
        </w:rPr>
        <w:t>Data Centre Operators</w:t>
      </w:r>
      <w:r w:rsidR="00740769" w:rsidRPr="00284043">
        <w:rPr>
          <w:noProof/>
          <w:lang w:val="en-IE"/>
        </w:rPr>
        <w:t>.</w:t>
      </w:r>
      <w:r w:rsidR="00740769">
        <w:rPr>
          <w:noProof/>
          <w:lang w:val="en-IE"/>
        </w:rPr>
        <w:t xml:space="preserve"> </w:t>
      </w:r>
      <w:r w:rsidR="00773036">
        <w:rPr>
          <w:noProof/>
          <w:lang w:val="en-IE"/>
        </w:rPr>
        <w:t xml:space="preserve">Operators are expected to face minor </w:t>
      </w:r>
      <w:r w:rsidR="000F5BD9">
        <w:rPr>
          <w:noProof/>
          <w:lang w:val="en-IE"/>
        </w:rPr>
        <w:t xml:space="preserve">recurrent </w:t>
      </w:r>
      <w:r w:rsidR="00773036">
        <w:rPr>
          <w:noProof/>
          <w:lang w:val="en-IE"/>
        </w:rPr>
        <w:t xml:space="preserve">administrative costs to </w:t>
      </w:r>
      <w:r w:rsidR="006361B1">
        <w:rPr>
          <w:noProof/>
          <w:lang w:val="en-IE"/>
        </w:rPr>
        <w:t xml:space="preserve">provide </w:t>
      </w:r>
      <w:r w:rsidR="00E56E1B">
        <w:rPr>
          <w:noProof/>
          <w:lang w:val="en-IE"/>
        </w:rPr>
        <w:t xml:space="preserve">supplementary information need for the dataset. These </w:t>
      </w:r>
      <w:r w:rsidR="006323CD">
        <w:rPr>
          <w:noProof/>
          <w:lang w:val="en-IE"/>
        </w:rPr>
        <w:t>tasks</w:t>
      </w:r>
      <w:r w:rsidR="00E56E1B">
        <w:rPr>
          <w:noProof/>
          <w:lang w:val="en-IE"/>
        </w:rPr>
        <w:t xml:space="preserve"> involve </w:t>
      </w:r>
      <w:r w:rsidR="006323CD">
        <w:rPr>
          <w:noProof/>
          <w:lang w:val="en-IE"/>
        </w:rPr>
        <w:t>supplying</w:t>
      </w:r>
      <w:r w:rsidR="00E56E1B">
        <w:rPr>
          <w:noProof/>
          <w:lang w:val="en-IE"/>
        </w:rPr>
        <w:t xml:space="preserve"> data that they already hold for operational or reporting </w:t>
      </w:r>
      <w:r w:rsidR="006323CD">
        <w:rPr>
          <w:noProof/>
          <w:lang w:val="en-IE"/>
        </w:rPr>
        <w:t>purposes</w:t>
      </w:r>
      <w:r w:rsidR="00E56E1B">
        <w:rPr>
          <w:noProof/>
          <w:lang w:val="en-IE"/>
        </w:rPr>
        <w:t>,</w:t>
      </w:r>
      <w:r w:rsidR="006323CD">
        <w:rPr>
          <w:noProof/>
          <w:lang w:val="en-IE"/>
        </w:rPr>
        <w:t xml:space="preserve"> notably covering </w:t>
      </w:r>
      <w:r w:rsidR="006323CD" w:rsidRPr="00694A98">
        <w:rPr>
          <w:noProof/>
          <w:lang w:val="en-IE"/>
        </w:rPr>
        <w:t>capacity</w:t>
      </w:r>
      <w:r w:rsidR="006323CD">
        <w:rPr>
          <w:noProof/>
          <w:lang w:val="en-IE"/>
        </w:rPr>
        <w:t xml:space="preserve"> in MW or FLOP</w:t>
      </w:r>
      <w:r w:rsidR="001422A8">
        <w:rPr>
          <w:rStyle w:val="FootnoteReference"/>
          <w:noProof/>
          <w:lang w:val="en-IE"/>
        </w:rPr>
        <w:footnoteReference w:id="50"/>
      </w:r>
      <w:r w:rsidR="006323CD">
        <w:rPr>
          <w:noProof/>
          <w:lang w:val="en-IE"/>
        </w:rPr>
        <w:t>,</w:t>
      </w:r>
      <w:r w:rsidR="00E56E1B">
        <w:rPr>
          <w:noProof/>
          <w:lang w:val="en-IE"/>
        </w:rPr>
        <w:t xml:space="preserve"> which would </w:t>
      </w:r>
      <w:r w:rsidR="006323CD">
        <w:rPr>
          <w:noProof/>
          <w:lang w:val="en-IE"/>
        </w:rPr>
        <w:t>keep</w:t>
      </w:r>
      <w:r w:rsidR="00E56E1B">
        <w:rPr>
          <w:noProof/>
          <w:lang w:val="en-IE"/>
        </w:rPr>
        <w:t xml:space="preserve"> the burden </w:t>
      </w:r>
      <w:r w:rsidR="00FC22C3">
        <w:rPr>
          <w:noProof/>
          <w:lang w:val="en-IE"/>
        </w:rPr>
        <w:t>at a minimum</w:t>
      </w:r>
      <w:r w:rsidR="00E56E1B">
        <w:rPr>
          <w:noProof/>
          <w:lang w:val="en-IE"/>
        </w:rPr>
        <w:t>.</w:t>
      </w:r>
      <w:r w:rsidR="00740769" w:rsidDel="006323CD">
        <w:rPr>
          <w:noProof/>
          <w:lang w:val="en-IE"/>
        </w:rPr>
        <w:t xml:space="preserve"> </w:t>
      </w:r>
      <w:r w:rsidR="005045FF">
        <w:rPr>
          <w:noProof/>
          <w:lang w:val="en-IE"/>
        </w:rPr>
        <w:t>T</w:t>
      </w:r>
      <w:r w:rsidR="005045FF" w:rsidRPr="00523CEF">
        <w:rPr>
          <w:noProof/>
        </w:rPr>
        <w:t xml:space="preserve">hese costs </w:t>
      </w:r>
      <w:r w:rsidR="006323CD">
        <w:rPr>
          <w:noProof/>
        </w:rPr>
        <w:t>have been modelled as</w:t>
      </w:r>
      <w:r w:rsidR="005045FF" w:rsidRPr="00523CEF">
        <w:rPr>
          <w:noProof/>
        </w:rPr>
        <w:t xml:space="preserve"> staff time spent </w:t>
      </w:r>
      <w:r w:rsidR="006323CD">
        <w:rPr>
          <w:noProof/>
        </w:rPr>
        <w:t>participating in surveys and possibly</w:t>
      </w:r>
      <w:r w:rsidR="005045FF" w:rsidRPr="00523CEF">
        <w:rPr>
          <w:noProof/>
        </w:rPr>
        <w:t xml:space="preserve"> validating data quality.</w:t>
      </w:r>
      <w:r w:rsidR="005045FF">
        <w:rPr>
          <w:noProof/>
        </w:rPr>
        <w:t xml:space="preserve"> </w:t>
      </w:r>
      <w:r w:rsidR="005045FF">
        <w:rPr>
          <w:noProof/>
          <w:lang w:val="en-IE"/>
        </w:rPr>
        <w:t>This</w:t>
      </w:r>
      <w:r w:rsidR="005045FF" w:rsidRPr="00694A98">
        <w:rPr>
          <w:noProof/>
          <w:lang w:val="en-IE"/>
        </w:rPr>
        <w:t xml:space="preserve"> is expected to require approximately </w:t>
      </w:r>
      <w:r w:rsidR="006323CD">
        <w:rPr>
          <w:noProof/>
          <w:lang w:val="en-IE"/>
        </w:rPr>
        <w:t>1 day per year</w:t>
      </w:r>
      <w:r w:rsidR="00C153C8">
        <w:rPr>
          <w:noProof/>
          <w:lang w:val="en-IE"/>
        </w:rPr>
        <w:t xml:space="preserve"> (0.5-1.5 for sensitivity ranges). </w:t>
      </w:r>
      <w:r w:rsidR="005045FF" w:rsidRPr="005D305C">
        <w:rPr>
          <w:noProof/>
          <w:lang w:val="en-IE"/>
        </w:rPr>
        <w:t xml:space="preserve">Annual updates </w:t>
      </w:r>
      <w:r w:rsidR="005045FF">
        <w:rPr>
          <w:noProof/>
          <w:lang w:val="en-IE"/>
        </w:rPr>
        <w:t xml:space="preserve">are assumed </w:t>
      </w:r>
      <w:r w:rsidR="00AD1A6E">
        <w:rPr>
          <w:noProof/>
          <w:lang w:val="en-IE"/>
        </w:rPr>
        <w:t xml:space="preserve">to </w:t>
      </w:r>
      <w:r w:rsidR="00C153C8">
        <w:rPr>
          <w:noProof/>
          <w:lang w:val="en-IE"/>
        </w:rPr>
        <w:t>entail the same cost</w:t>
      </w:r>
      <w:r w:rsidR="005045FF">
        <w:rPr>
          <w:noProof/>
          <w:lang w:val="en-IE"/>
        </w:rPr>
        <w:t xml:space="preserve">. </w:t>
      </w:r>
    </w:p>
    <w:p w14:paraId="39F601B8" w14:textId="0CC0D007" w:rsidR="005045FF" w:rsidRPr="00576897" w:rsidRDefault="005045FF" w:rsidP="005045FF">
      <w:pPr>
        <w:pStyle w:val="Text1"/>
        <w:ind w:left="0"/>
        <w:jc w:val="center"/>
        <w:rPr>
          <w:i/>
          <w:noProof/>
        </w:rPr>
      </w:pPr>
      <w:r>
        <w:rPr>
          <w:i/>
          <w:noProof/>
        </w:rPr>
        <w:t xml:space="preserve">Total </w:t>
      </w:r>
      <w:r w:rsidR="000F5BD9">
        <w:rPr>
          <w:i/>
          <w:noProof/>
        </w:rPr>
        <w:t xml:space="preserve">recurrent administrative </w:t>
      </w:r>
      <w:r>
        <w:rPr>
          <w:i/>
          <w:noProof/>
        </w:rPr>
        <w:t>costs</w:t>
      </w:r>
      <w:r w:rsidR="000F5BD9">
        <w:rPr>
          <w:i/>
          <w:noProof/>
        </w:rPr>
        <w:t xml:space="preserve"> (voluntary)</w:t>
      </w:r>
      <w:r w:rsidR="008D1CCA">
        <w:rPr>
          <w:i/>
          <w:noProof/>
        </w:rPr>
        <w:t>=</w:t>
      </w:r>
      <w:r>
        <w:rPr>
          <w:i/>
          <w:noProof/>
        </w:rPr>
        <w:t xml:space="preserve"> (ΔT × labour cost × No. of operators)</w:t>
      </w:r>
    </w:p>
    <w:p w14:paraId="50A6FD33" w14:textId="2415FDCD" w:rsidR="00487E93" w:rsidRDefault="00487E93" w:rsidP="00487E93">
      <w:pPr>
        <w:pStyle w:val="Text1"/>
        <w:ind w:left="0"/>
        <w:rPr>
          <w:noProof/>
        </w:rPr>
      </w:pPr>
      <w:r>
        <w:rPr>
          <w:noProof/>
        </w:rPr>
        <w:t xml:space="preserve">Total </w:t>
      </w:r>
      <w:r w:rsidR="008A156F">
        <w:rPr>
          <w:noProof/>
        </w:rPr>
        <w:t>administrative</w:t>
      </w:r>
      <w:r>
        <w:rPr>
          <w:noProof/>
        </w:rPr>
        <w:t xml:space="preserve"> costs for data centre operators under PM</w:t>
      </w:r>
      <w:r w:rsidR="008A156F">
        <w:rPr>
          <w:noProof/>
        </w:rPr>
        <w:t>7</w:t>
      </w:r>
      <w:r>
        <w:rPr>
          <w:noProof/>
        </w:rPr>
        <w:t xml:space="preserve"> are thus estimated at EUR </w:t>
      </w:r>
      <w:r w:rsidR="00144FDC">
        <w:rPr>
          <w:noProof/>
        </w:rPr>
        <w:t>0.4</w:t>
      </w:r>
      <w:r>
        <w:rPr>
          <w:noProof/>
        </w:rPr>
        <w:t xml:space="preserve"> m (NPV, 10-years)</w:t>
      </w:r>
      <w:r w:rsidR="00144FDC">
        <w:rPr>
          <w:noProof/>
        </w:rPr>
        <w:t>.</w:t>
      </w:r>
    </w:p>
    <w:p w14:paraId="740C4E79" w14:textId="1F350427" w:rsidR="00F323DC" w:rsidRDefault="00740769" w:rsidP="00740769">
      <w:pPr>
        <w:rPr>
          <w:rFonts w:eastAsia="Times New Roman"/>
          <w:noProof/>
        </w:rPr>
      </w:pPr>
      <w:r w:rsidRPr="0007547C">
        <w:rPr>
          <w:rFonts w:eastAsia="Times New Roman"/>
          <w:b/>
          <w:i/>
          <w:noProof/>
        </w:rPr>
        <w:t xml:space="preserve">Costs for national public authorities. </w:t>
      </w:r>
      <w:r w:rsidR="00485860">
        <w:rPr>
          <w:rFonts w:eastAsia="Times New Roman"/>
          <w:noProof/>
        </w:rPr>
        <w:t xml:space="preserve">National authorities would </w:t>
      </w:r>
      <w:r w:rsidR="00983362">
        <w:rPr>
          <w:rFonts w:eastAsia="Times New Roman"/>
          <w:noProof/>
        </w:rPr>
        <w:t xml:space="preserve">incur </w:t>
      </w:r>
      <w:r w:rsidR="008668ED">
        <w:rPr>
          <w:rFonts w:eastAsia="Times New Roman"/>
          <w:noProof/>
        </w:rPr>
        <w:t>limited</w:t>
      </w:r>
      <w:r w:rsidR="00485860">
        <w:rPr>
          <w:rFonts w:eastAsia="Times New Roman"/>
          <w:noProof/>
        </w:rPr>
        <w:t xml:space="preserve"> recurrent </w:t>
      </w:r>
      <w:r w:rsidR="00E10144">
        <w:rPr>
          <w:rFonts w:eastAsia="Times New Roman"/>
          <w:noProof/>
        </w:rPr>
        <w:t>enforcement</w:t>
      </w:r>
      <w:r w:rsidR="00485860">
        <w:rPr>
          <w:rFonts w:eastAsia="Times New Roman"/>
          <w:noProof/>
        </w:rPr>
        <w:t xml:space="preserve"> costs. Their main </w:t>
      </w:r>
      <w:r w:rsidR="002F7223">
        <w:rPr>
          <w:rFonts w:eastAsia="Times New Roman"/>
          <w:noProof/>
        </w:rPr>
        <w:t>effort</w:t>
      </w:r>
      <w:r w:rsidR="00485860">
        <w:rPr>
          <w:rFonts w:eastAsia="Times New Roman"/>
          <w:noProof/>
        </w:rPr>
        <w:t xml:space="preserve"> would </w:t>
      </w:r>
      <w:r w:rsidR="002F7223">
        <w:rPr>
          <w:rFonts w:eastAsia="Times New Roman"/>
          <w:noProof/>
        </w:rPr>
        <w:t>entail</w:t>
      </w:r>
      <w:r w:rsidR="00485860">
        <w:rPr>
          <w:rFonts w:eastAsia="Times New Roman"/>
          <w:noProof/>
        </w:rPr>
        <w:t xml:space="preserve"> perform</w:t>
      </w:r>
      <w:r w:rsidR="002F7223">
        <w:rPr>
          <w:rFonts w:eastAsia="Times New Roman"/>
          <w:noProof/>
        </w:rPr>
        <w:t>ing</w:t>
      </w:r>
      <w:r w:rsidR="00485860">
        <w:rPr>
          <w:rFonts w:eastAsia="Times New Roman"/>
          <w:noProof/>
        </w:rPr>
        <w:t xml:space="preserve"> periodic checks to verify that the </w:t>
      </w:r>
      <w:r w:rsidR="00573763">
        <w:rPr>
          <w:rFonts w:eastAsia="Times New Roman"/>
          <w:noProof/>
        </w:rPr>
        <w:t xml:space="preserve">compiled </w:t>
      </w:r>
      <w:r w:rsidR="00485860">
        <w:rPr>
          <w:rFonts w:eastAsia="Times New Roman"/>
          <w:noProof/>
        </w:rPr>
        <w:t xml:space="preserve">data is complete and reflects national conditions. </w:t>
      </w:r>
      <w:r w:rsidR="008F33CE">
        <w:rPr>
          <w:rFonts w:eastAsia="Times New Roman"/>
          <w:noProof/>
        </w:rPr>
        <w:t xml:space="preserve">In this context, the monitoring effort </w:t>
      </w:r>
      <w:r w:rsidR="00BD503F">
        <w:rPr>
          <w:rFonts w:eastAsia="Times New Roman"/>
          <w:noProof/>
        </w:rPr>
        <w:t xml:space="preserve">should take into consideration the implementation of national data centre strategies and </w:t>
      </w:r>
      <w:r w:rsidR="00282D7E">
        <w:rPr>
          <w:rFonts w:eastAsia="Times New Roman"/>
          <w:noProof/>
        </w:rPr>
        <w:t xml:space="preserve">track progress against </w:t>
      </w:r>
      <w:r w:rsidR="00695A6E">
        <w:rPr>
          <w:rFonts w:eastAsia="Times New Roman"/>
          <w:noProof/>
        </w:rPr>
        <w:t>their</w:t>
      </w:r>
      <w:r w:rsidR="00282D7E">
        <w:rPr>
          <w:rFonts w:eastAsia="Times New Roman"/>
          <w:noProof/>
        </w:rPr>
        <w:t xml:space="preserve"> objectives</w:t>
      </w:r>
      <w:r w:rsidR="008E6217">
        <w:rPr>
          <w:rFonts w:eastAsia="Times New Roman"/>
          <w:noProof/>
        </w:rPr>
        <w:t xml:space="preserve"> so that any relevant results are also shared</w:t>
      </w:r>
      <w:r w:rsidR="00573763">
        <w:rPr>
          <w:rFonts w:eastAsia="Times New Roman"/>
          <w:noProof/>
        </w:rPr>
        <w:t xml:space="preserve"> with the Commission</w:t>
      </w:r>
      <w:r w:rsidR="008E6217">
        <w:rPr>
          <w:rFonts w:eastAsia="Times New Roman"/>
          <w:noProof/>
        </w:rPr>
        <w:t xml:space="preserve">. </w:t>
      </w:r>
      <w:r w:rsidR="00485860">
        <w:rPr>
          <w:rFonts w:eastAsia="Times New Roman"/>
          <w:noProof/>
        </w:rPr>
        <w:t xml:space="preserve">This effort is expected to require approximately </w:t>
      </w:r>
      <w:r w:rsidR="00B446E1">
        <w:rPr>
          <w:rFonts w:eastAsia="Times New Roman"/>
          <w:noProof/>
        </w:rPr>
        <w:t xml:space="preserve">15 </w:t>
      </w:r>
      <w:r w:rsidR="00485860">
        <w:rPr>
          <w:rFonts w:eastAsia="Times New Roman"/>
          <w:noProof/>
        </w:rPr>
        <w:t>staff days per year</w:t>
      </w:r>
      <w:r w:rsidR="00671D08">
        <w:rPr>
          <w:rFonts w:eastAsia="Times New Roman"/>
          <w:noProof/>
        </w:rPr>
        <w:t xml:space="preserve"> (</w:t>
      </w:r>
      <w:r w:rsidR="00B446E1">
        <w:rPr>
          <w:rFonts w:eastAsia="Times New Roman"/>
          <w:noProof/>
        </w:rPr>
        <w:t>10</w:t>
      </w:r>
      <w:r w:rsidR="00671D08">
        <w:rPr>
          <w:rFonts w:eastAsia="Times New Roman"/>
          <w:noProof/>
        </w:rPr>
        <w:t>-</w:t>
      </w:r>
      <w:r w:rsidR="00B446E1">
        <w:rPr>
          <w:rFonts w:eastAsia="Times New Roman"/>
          <w:noProof/>
        </w:rPr>
        <w:t xml:space="preserve">20 </w:t>
      </w:r>
      <w:r w:rsidR="00671D08">
        <w:rPr>
          <w:rFonts w:eastAsia="Times New Roman"/>
          <w:noProof/>
        </w:rPr>
        <w:t>for sensitivity ranges)</w:t>
      </w:r>
      <w:r w:rsidR="00485860">
        <w:rPr>
          <w:rFonts w:eastAsia="Times New Roman"/>
          <w:noProof/>
        </w:rPr>
        <w:t xml:space="preserve">, resulting in small and predictable administrative burden. </w:t>
      </w:r>
    </w:p>
    <w:p w14:paraId="1D924029" w14:textId="06E415A7" w:rsidR="00740769" w:rsidRPr="00263B8A" w:rsidRDefault="00F323DC" w:rsidP="00263B8A">
      <w:pPr>
        <w:pStyle w:val="Text1"/>
        <w:ind w:left="0"/>
        <w:jc w:val="center"/>
        <w:rPr>
          <w:i/>
          <w:noProof/>
        </w:rPr>
      </w:pPr>
      <w:r>
        <w:rPr>
          <w:i/>
          <w:noProof/>
        </w:rPr>
        <w:t xml:space="preserve">Total recurrent </w:t>
      </w:r>
      <w:r w:rsidR="00E10144">
        <w:rPr>
          <w:i/>
          <w:noProof/>
        </w:rPr>
        <w:t>enforcement</w:t>
      </w:r>
      <w:r>
        <w:rPr>
          <w:i/>
          <w:noProof/>
        </w:rPr>
        <w:t xml:space="preserve"> costs = ΔT × labour cost × No. of MS</w:t>
      </w:r>
    </w:p>
    <w:p w14:paraId="066D013A" w14:textId="53AA9C82" w:rsidR="009B57BF" w:rsidRPr="0007547C" w:rsidRDefault="009B57BF" w:rsidP="009B57BF">
      <w:pPr>
        <w:pStyle w:val="Text1"/>
        <w:ind w:left="0"/>
        <w:rPr>
          <w:noProof/>
        </w:rPr>
      </w:pPr>
      <w:r>
        <w:rPr>
          <w:noProof/>
        </w:rPr>
        <w:t xml:space="preserve">Total enforcement costs for national public authorities under PM7 are thus estimated at EUR </w:t>
      </w:r>
      <w:r w:rsidR="00552DCD">
        <w:rPr>
          <w:noProof/>
        </w:rPr>
        <w:t>0.</w:t>
      </w:r>
      <w:r w:rsidR="006A49CF">
        <w:rPr>
          <w:noProof/>
        </w:rPr>
        <w:t xml:space="preserve">9 </w:t>
      </w:r>
      <w:r>
        <w:rPr>
          <w:noProof/>
        </w:rPr>
        <w:t>m (NPV, 10-years).</w:t>
      </w:r>
    </w:p>
    <w:p w14:paraId="6837DC87" w14:textId="77777777" w:rsidR="00337C58" w:rsidRDefault="00337C58" w:rsidP="00337C58">
      <w:pPr>
        <w:pStyle w:val="Text1"/>
        <w:ind w:left="0"/>
        <w:rPr>
          <w:noProof/>
        </w:rPr>
      </w:pPr>
      <w:r w:rsidRPr="0007547C">
        <w:rPr>
          <w:b/>
          <w:i/>
          <w:noProof/>
        </w:rPr>
        <w:t xml:space="preserve">Costs for the European Commission. </w:t>
      </w:r>
      <w:r>
        <w:rPr>
          <w:noProof/>
        </w:rPr>
        <w:t>The</w:t>
      </w:r>
      <w:r w:rsidRPr="0007547C">
        <w:rPr>
          <w:noProof/>
        </w:rPr>
        <w:t xml:space="preserve"> Commission would be responsible for </w:t>
      </w:r>
      <w:r>
        <w:rPr>
          <w:noProof/>
        </w:rPr>
        <w:t>carrying the study</w:t>
      </w:r>
      <w:r w:rsidRPr="0007547C">
        <w:rPr>
          <w:noProof/>
        </w:rPr>
        <w:t xml:space="preserve"> and publishing the results</w:t>
      </w:r>
      <w:r>
        <w:rPr>
          <w:noProof/>
        </w:rPr>
        <w:t xml:space="preserve"> at EU level</w:t>
      </w:r>
      <w:r w:rsidRPr="0007547C">
        <w:rPr>
          <w:noProof/>
        </w:rPr>
        <w:t xml:space="preserve">. This would result in one-off </w:t>
      </w:r>
      <w:r>
        <w:rPr>
          <w:noProof/>
        </w:rPr>
        <w:t xml:space="preserve">adjustment </w:t>
      </w:r>
      <w:r w:rsidRPr="0007547C">
        <w:rPr>
          <w:noProof/>
        </w:rPr>
        <w:t xml:space="preserve">costs to set up the </w:t>
      </w:r>
      <w:r>
        <w:rPr>
          <w:noProof/>
        </w:rPr>
        <w:t>process</w:t>
      </w:r>
      <w:r w:rsidRPr="0007547C">
        <w:rPr>
          <w:noProof/>
        </w:rPr>
        <w:t xml:space="preserve"> and guidance effort, estimated at </w:t>
      </w:r>
      <w:r>
        <w:rPr>
          <w:noProof/>
        </w:rPr>
        <w:t>1.5</w:t>
      </w:r>
      <w:r w:rsidRPr="0007547C">
        <w:rPr>
          <w:noProof/>
        </w:rPr>
        <w:t xml:space="preserve"> FTEs </w:t>
      </w:r>
      <w:r>
        <w:rPr>
          <w:noProof/>
        </w:rPr>
        <w:t>(1-2 for sensitivity ranges)</w:t>
      </w:r>
      <w:r w:rsidRPr="0007547C">
        <w:rPr>
          <w:noProof/>
        </w:rPr>
        <w:t xml:space="preserve"> in year 1</w:t>
      </w:r>
      <w:r>
        <w:rPr>
          <w:noProof/>
        </w:rPr>
        <w:t>, including the procurement of a study to survey capacity periodically over 10-years, with an estimated budget of EUR 800 000</w:t>
      </w:r>
      <w:r w:rsidRPr="0007547C">
        <w:rPr>
          <w:noProof/>
        </w:rPr>
        <w:t xml:space="preserve">. Recurring </w:t>
      </w:r>
      <w:r>
        <w:rPr>
          <w:noProof/>
        </w:rPr>
        <w:t xml:space="preserve">enforcement </w:t>
      </w:r>
      <w:r w:rsidRPr="0007547C">
        <w:rPr>
          <w:noProof/>
        </w:rPr>
        <w:t xml:space="preserve">costs for monitoring and coordinating </w:t>
      </w:r>
      <w:r>
        <w:rPr>
          <w:noProof/>
        </w:rPr>
        <w:t xml:space="preserve">with </w:t>
      </w:r>
      <w:r w:rsidRPr="0007547C">
        <w:rPr>
          <w:noProof/>
        </w:rPr>
        <w:t xml:space="preserve">Member States’ have then been estimated for </w:t>
      </w:r>
      <w:r>
        <w:rPr>
          <w:noProof/>
        </w:rPr>
        <w:t>at 25 days per year or</w:t>
      </w:r>
      <w:r w:rsidRPr="0007547C">
        <w:rPr>
          <w:noProof/>
        </w:rPr>
        <w:t xml:space="preserve"> </w:t>
      </w:r>
      <w:r>
        <w:rPr>
          <w:noProof/>
        </w:rPr>
        <w:t>0</w:t>
      </w:r>
      <w:r w:rsidRPr="0007547C">
        <w:rPr>
          <w:noProof/>
        </w:rPr>
        <w:t>.</w:t>
      </w:r>
      <w:r>
        <w:rPr>
          <w:noProof/>
        </w:rPr>
        <w:t>1</w:t>
      </w:r>
      <w:r w:rsidRPr="0007547C">
        <w:rPr>
          <w:noProof/>
        </w:rPr>
        <w:t xml:space="preserve"> FTEs.</w:t>
      </w:r>
    </w:p>
    <w:p w14:paraId="4214157D" w14:textId="6E6A377E" w:rsidR="00337C58" w:rsidRPr="0007547C" w:rsidRDefault="00337C58" w:rsidP="00337C58">
      <w:pPr>
        <w:pStyle w:val="Text1"/>
        <w:ind w:left="0"/>
        <w:rPr>
          <w:noProof/>
        </w:rPr>
      </w:pPr>
      <w:r>
        <w:rPr>
          <w:noProof/>
        </w:rPr>
        <w:t xml:space="preserve">Total </w:t>
      </w:r>
      <w:r w:rsidR="00966ADF">
        <w:rPr>
          <w:noProof/>
        </w:rPr>
        <w:t xml:space="preserve">one-off </w:t>
      </w:r>
      <w:r>
        <w:rPr>
          <w:noProof/>
        </w:rPr>
        <w:t xml:space="preserve">adjustment and </w:t>
      </w:r>
      <w:r w:rsidR="00966ADF">
        <w:rPr>
          <w:noProof/>
        </w:rPr>
        <w:t xml:space="preserve">recurrent </w:t>
      </w:r>
      <w:r>
        <w:rPr>
          <w:noProof/>
        </w:rPr>
        <w:t>enforcement costs for the European Commission under PM7 are thus estimated at EUR 1.0 m (NPV, 10-years).</w:t>
      </w:r>
    </w:p>
    <w:p w14:paraId="38233410" w14:textId="2FB62083" w:rsidR="00740769" w:rsidRPr="001C18A0" w:rsidRDefault="00740769">
      <w:pPr>
        <w:pStyle w:val="Text1"/>
        <w:ind w:left="0"/>
        <w:rPr>
          <w:noProof/>
        </w:rPr>
      </w:pPr>
      <w:r w:rsidRPr="0007547C">
        <w:rPr>
          <w:b/>
          <w:noProof/>
        </w:rPr>
        <w:t>Indirect impacts</w:t>
      </w:r>
      <w:r w:rsidRPr="0007547C">
        <w:rPr>
          <w:b/>
          <w:i/>
          <w:noProof/>
        </w:rPr>
        <w:t xml:space="preserve">. </w:t>
      </w:r>
      <w:r w:rsidR="00BC286D">
        <w:rPr>
          <w:noProof/>
        </w:rPr>
        <w:t>The measure</w:t>
      </w:r>
      <w:r w:rsidRPr="0007547C">
        <w:rPr>
          <w:noProof/>
        </w:rPr>
        <w:t xml:space="preserve"> generates </w:t>
      </w:r>
      <w:r>
        <w:rPr>
          <w:noProof/>
        </w:rPr>
        <w:t xml:space="preserve">relevant </w:t>
      </w:r>
      <w:r w:rsidRPr="0007547C">
        <w:rPr>
          <w:noProof/>
        </w:rPr>
        <w:t xml:space="preserve">indirect </w:t>
      </w:r>
      <w:r>
        <w:rPr>
          <w:noProof/>
        </w:rPr>
        <w:t>benefits</w:t>
      </w:r>
      <w:r w:rsidRPr="0007547C">
        <w:rPr>
          <w:noProof/>
        </w:rPr>
        <w:t xml:space="preserve">. </w:t>
      </w:r>
      <w:r w:rsidRPr="009C6181">
        <w:rPr>
          <w:noProof/>
          <w:lang w:val="en-IE"/>
        </w:rPr>
        <w:t xml:space="preserve">For operators, </w:t>
      </w:r>
      <w:r w:rsidRPr="0007547C">
        <w:rPr>
          <w:noProof/>
        </w:rPr>
        <w:t xml:space="preserve">clearer EU-wide targets </w:t>
      </w:r>
      <w:r>
        <w:rPr>
          <w:noProof/>
        </w:rPr>
        <w:t>are expected to reduce</w:t>
      </w:r>
      <w:r w:rsidRPr="0007547C">
        <w:rPr>
          <w:noProof/>
        </w:rPr>
        <w:t xml:space="preserve"> investment uncertainty</w:t>
      </w:r>
      <w:r>
        <w:rPr>
          <w:noProof/>
        </w:rPr>
        <w:t xml:space="preserve"> and</w:t>
      </w:r>
      <w:r w:rsidRPr="0007547C">
        <w:rPr>
          <w:noProof/>
        </w:rPr>
        <w:t xml:space="preserve"> effort in oversupplied locations</w:t>
      </w:r>
      <w:r w:rsidRPr="009C6181">
        <w:rPr>
          <w:noProof/>
          <w:lang w:val="en-IE"/>
        </w:rPr>
        <w:t>.</w:t>
      </w:r>
      <w:r>
        <w:rPr>
          <w:noProof/>
          <w:lang w:val="en-IE"/>
        </w:rPr>
        <w:t xml:space="preserve"> It is expected to create better conditions for operators to understand regional demand and supply gaps and get access to EU-wide benchmarking on capacity utilisation and build-out. In addition, one harmonised EU reporting would reduce duplication of data </w:t>
      </w:r>
      <w:r w:rsidR="00BC286D">
        <w:rPr>
          <w:noProof/>
          <w:lang w:val="en-IE"/>
        </w:rPr>
        <w:t>reporting</w:t>
      </w:r>
      <w:r>
        <w:rPr>
          <w:noProof/>
          <w:lang w:val="en-IE"/>
        </w:rPr>
        <w:t xml:space="preserve"> at national level. </w:t>
      </w:r>
      <w:r w:rsidRPr="0007547C">
        <w:rPr>
          <w:noProof/>
        </w:rPr>
        <w:t>National authorities would benefit from improved infrastructure foresight</w:t>
      </w:r>
      <w:r>
        <w:rPr>
          <w:noProof/>
        </w:rPr>
        <w:t xml:space="preserve"> and visibility of national data centre capacity</w:t>
      </w:r>
      <w:r w:rsidRPr="0007547C">
        <w:rPr>
          <w:noProof/>
        </w:rPr>
        <w:t xml:space="preserve">, with better planning for grid reinforcements and targeting of support schemes. The Commission would ultimately also benefit through reduced duplication of studies, easier cross-DG coordination, and enhanced credibility when engaging with international partners. </w:t>
      </w:r>
      <w:r>
        <w:rPr>
          <w:noProof/>
        </w:rPr>
        <w:t xml:space="preserve">It would benefit from a cross-border, EU-wide analysis of capacity availability and needs to improve evidence-based policy intervention. </w:t>
      </w:r>
      <w:r w:rsidRPr="004A2799">
        <w:rPr>
          <w:noProof/>
        </w:rPr>
        <w:t>Wider economic benefits include improved sector planning, enhanced competitiveness and potentially better environmental outcome</w:t>
      </w:r>
      <w:r>
        <w:rPr>
          <w:noProof/>
        </w:rPr>
        <w:t>s.</w:t>
      </w:r>
    </w:p>
    <w:p w14:paraId="66FA7908" w14:textId="5C6A14BB" w:rsidR="00170E39" w:rsidRPr="00A54618" w:rsidRDefault="00740769" w:rsidP="00740769">
      <w:pPr>
        <w:rPr>
          <w:noProof/>
          <w:lang w:val="en-IE"/>
        </w:rPr>
      </w:pPr>
      <w:r w:rsidRPr="001B55CF">
        <w:rPr>
          <w:b/>
          <w:bCs/>
          <w:noProof/>
          <w:lang w:val="en-IE"/>
        </w:rPr>
        <w:t>Sensitivity analysis:</w:t>
      </w:r>
      <w:r>
        <w:rPr>
          <w:b/>
          <w:bCs/>
          <w:noProof/>
          <w:lang w:val="en-IE"/>
        </w:rPr>
        <w:t xml:space="preserve"> </w:t>
      </w:r>
      <w:r w:rsidR="00B911FD">
        <w:rPr>
          <w:noProof/>
          <w:lang w:val="en-IE"/>
        </w:rPr>
        <w:t xml:space="preserve">Sensitivity analysis has been performed to understand the possible direction of costs, i.e. FTE resources needed by operators, authorities and the Commission to participate in this monitoring exercise. Min and max scenarios vary the central assumptions presented above by approximately ±33%, resulting in conservative, central and optimistic estimates of total costs.   </w:t>
      </w:r>
    </w:p>
    <w:p w14:paraId="0AB71960" w14:textId="1BA02DB2" w:rsidR="006F2BDE" w:rsidRPr="00A54618" w:rsidRDefault="00740769" w:rsidP="006F2BDE">
      <w:pPr>
        <w:pStyle w:val="Text1"/>
        <w:ind w:left="0"/>
        <w:rPr>
          <w:noProof/>
          <w:lang w:val="en-IE"/>
        </w:rPr>
      </w:pPr>
      <w:r w:rsidRPr="00DA029C">
        <w:rPr>
          <w:b/>
          <w:bCs/>
          <w:noProof/>
          <w:lang w:val="en-IE"/>
        </w:rPr>
        <w:t>Results</w:t>
      </w:r>
      <w:r w:rsidR="00170E39">
        <w:rPr>
          <w:b/>
          <w:bCs/>
          <w:noProof/>
          <w:lang w:val="en-IE"/>
        </w:rPr>
        <w:t>:</w:t>
      </w:r>
      <w:r w:rsidR="006F2BDE" w:rsidRPr="006F2BDE">
        <w:rPr>
          <w:noProof/>
          <w:lang w:val="en-IE"/>
        </w:rPr>
        <w:t xml:space="preserve"> </w:t>
      </w:r>
      <w:r w:rsidR="006F2BDE">
        <w:rPr>
          <w:noProof/>
          <w:lang w:val="en-IE"/>
        </w:rPr>
        <w:t>For this measure, total estimated costs for the implementation are</w:t>
      </w:r>
      <w:r w:rsidR="0099789F">
        <w:rPr>
          <w:noProof/>
          <w:lang w:val="en-IE"/>
        </w:rPr>
        <w:t xml:space="preserve"> modest at</w:t>
      </w:r>
      <w:r w:rsidR="006F2BDE">
        <w:rPr>
          <w:noProof/>
          <w:lang w:val="en-IE"/>
        </w:rPr>
        <w:t xml:space="preserve"> EUR </w:t>
      </w:r>
      <w:r w:rsidR="00341F01">
        <w:rPr>
          <w:noProof/>
        </w:rPr>
        <w:t>2 266 361</w:t>
      </w:r>
      <w:r w:rsidR="006F2BDE">
        <w:rPr>
          <w:noProof/>
          <w:lang w:val="en-IE"/>
        </w:rPr>
        <w:t>. These costs reflect the recurrent adjustment and recurrent administrative costs</w:t>
      </w:r>
      <w:r w:rsidR="0099789F">
        <w:rPr>
          <w:noProof/>
          <w:lang w:val="en-IE"/>
        </w:rPr>
        <w:t xml:space="preserve"> mainly</w:t>
      </w:r>
      <w:r w:rsidR="006F2BDE">
        <w:rPr>
          <w:noProof/>
          <w:lang w:val="en-IE"/>
        </w:rPr>
        <w:t xml:space="preserve"> borne by the Commission staff</w:t>
      </w:r>
      <w:r w:rsidR="00A8033F">
        <w:rPr>
          <w:noProof/>
          <w:lang w:val="en-IE"/>
        </w:rPr>
        <w:t xml:space="preserve"> and national authorities</w:t>
      </w:r>
      <w:r w:rsidR="006F2BDE">
        <w:rPr>
          <w:noProof/>
          <w:lang w:val="en-IE"/>
        </w:rPr>
        <w:t xml:space="preserve"> for monitoring activities. </w:t>
      </w:r>
    </w:p>
    <w:p w14:paraId="049CAFE5" w14:textId="2FD7E1CF" w:rsidR="00740769" w:rsidRDefault="00740769" w:rsidP="00740769">
      <w:pPr>
        <w:pStyle w:val="Caption"/>
        <w:keepNext/>
        <w:rPr>
          <w:noProof/>
        </w:rPr>
      </w:pPr>
      <w:r w:rsidRPr="00A82E36">
        <w:rPr>
          <w:noProof/>
        </w:rPr>
        <w:t xml:space="preserve">Table </w:t>
      </w:r>
      <w:r w:rsidRPr="00A82E36">
        <w:rPr>
          <w:noProof/>
        </w:rPr>
        <w:fldChar w:fldCharType="begin"/>
      </w:r>
      <w:r w:rsidRPr="00A82E36">
        <w:rPr>
          <w:noProof/>
        </w:rPr>
        <w:instrText xml:space="preserve"> SEQ Table \* ARABIC </w:instrText>
      </w:r>
      <w:r w:rsidRPr="00A82E36">
        <w:rPr>
          <w:noProof/>
        </w:rPr>
        <w:fldChar w:fldCharType="separate"/>
      </w:r>
      <w:r w:rsidR="000E7F11">
        <w:rPr>
          <w:noProof/>
        </w:rPr>
        <w:t>27</w:t>
      </w:r>
      <w:r w:rsidRPr="00A82E36">
        <w:rPr>
          <w:noProof/>
        </w:rPr>
        <w:fldChar w:fldCharType="end"/>
      </w:r>
      <w:r w:rsidRPr="00A82E36">
        <w:rPr>
          <w:noProof/>
        </w:rPr>
        <w:t>. Set deployment targets and monitor progress (PM7)</w:t>
      </w:r>
    </w:p>
    <w:tbl>
      <w:tblPr>
        <w:tblStyle w:val="TableGrid"/>
        <w:tblW w:w="9561" w:type="dxa"/>
        <w:tblInd w:w="-284" w:type="dxa"/>
        <w:tblLayout w:type="fixed"/>
        <w:tblCellMar>
          <w:left w:w="0" w:type="dxa"/>
          <w:right w:w="0" w:type="dxa"/>
        </w:tblCellMar>
        <w:tblLook w:val="04A0" w:firstRow="1" w:lastRow="0" w:firstColumn="1" w:lastColumn="0" w:noHBand="0" w:noVBand="1"/>
      </w:tblPr>
      <w:tblGrid>
        <w:gridCol w:w="2189"/>
        <w:gridCol w:w="1276"/>
        <w:gridCol w:w="1213"/>
        <w:gridCol w:w="1418"/>
        <w:gridCol w:w="1134"/>
        <w:gridCol w:w="1169"/>
        <w:gridCol w:w="1162"/>
      </w:tblGrid>
      <w:tr w:rsidR="006B45A1" w:rsidRPr="00FA63C0" w14:paraId="663E8CED" w14:textId="77777777">
        <w:trPr>
          <w:trHeight w:val="506"/>
        </w:trPr>
        <w:tc>
          <w:tcPr>
            <w:tcW w:w="2189" w:type="dxa"/>
            <w:tcBorders>
              <w:bottom w:val="single" w:sz="12" w:space="0" w:color="00B0F0"/>
            </w:tcBorders>
            <w:noWrap/>
            <w:vAlign w:val="center"/>
            <w:hideMark/>
          </w:tcPr>
          <w:p w14:paraId="173DCD33"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76" w:type="dxa"/>
            <w:tcBorders>
              <w:bottom w:val="single" w:sz="12" w:space="0" w:color="00B0F0"/>
            </w:tcBorders>
            <w:vAlign w:val="center"/>
          </w:tcPr>
          <w:p w14:paraId="38F5D6A0"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13" w:type="dxa"/>
            <w:tcBorders>
              <w:bottom w:val="single" w:sz="12" w:space="0" w:color="00B0F0"/>
            </w:tcBorders>
            <w:vAlign w:val="center"/>
          </w:tcPr>
          <w:p w14:paraId="4A377B56"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vAlign w:val="center"/>
          </w:tcPr>
          <w:p w14:paraId="4D836975"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noWrap/>
            <w:vAlign w:val="center"/>
            <w:hideMark/>
          </w:tcPr>
          <w:p w14:paraId="457197D4" w14:textId="618DE105"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69" w:type="dxa"/>
            <w:tcBorders>
              <w:bottom w:val="single" w:sz="12" w:space="0" w:color="00B0F0"/>
            </w:tcBorders>
            <w:noWrap/>
            <w:vAlign w:val="center"/>
            <w:hideMark/>
          </w:tcPr>
          <w:p w14:paraId="31DA7031" w14:textId="3F5CB0D9"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62" w:type="dxa"/>
            <w:tcBorders>
              <w:bottom w:val="single" w:sz="12" w:space="0" w:color="00B0F0"/>
            </w:tcBorders>
            <w:noWrap/>
            <w:vAlign w:val="center"/>
            <w:hideMark/>
          </w:tcPr>
          <w:p w14:paraId="240EC8EA" w14:textId="125277B7"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806229" w:rsidRPr="00C44C22" w14:paraId="57124CDE" w14:textId="77777777" w:rsidTr="001A49D4">
        <w:trPr>
          <w:trHeight w:val="283"/>
        </w:trPr>
        <w:tc>
          <w:tcPr>
            <w:tcW w:w="2189" w:type="dxa"/>
            <w:tcBorders>
              <w:top w:val="single" w:sz="12" w:space="0" w:color="00B0F0"/>
            </w:tcBorders>
            <w:noWrap/>
            <w:vAlign w:val="center"/>
            <w:hideMark/>
          </w:tcPr>
          <w:p w14:paraId="08B14AB9"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76" w:type="dxa"/>
            <w:tcBorders>
              <w:top w:val="single" w:sz="12" w:space="0" w:color="00B0F0"/>
            </w:tcBorders>
            <w:vAlign w:val="center"/>
          </w:tcPr>
          <w:p w14:paraId="148C60E5" w14:textId="29C8E554"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tcBorders>
              <w:top w:val="single" w:sz="12" w:space="0" w:color="00B0F0"/>
            </w:tcBorders>
            <w:vAlign w:val="center"/>
          </w:tcPr>
          <w:p w14:paraId="686DE1D1" w14:textId="1B128748"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tcBorders>
              <w:top w:val="single" w:sz="12" w:space="0" w:color="00B0F0"/>
            </w:tcBorders>
            <w:vAlign w:val="center"/>
          </w:tcPr>
          <w:p w14:paraId="5A7D0AB5" w14:textId="39E45E89"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tcBorders>
              <w:top w:val="single" w:sz="12" w:space="0" w:color="00B0F0"/>
            </w:tcBorders>
            <w:noWrap/>
            <w:vAlign w:val="center"/>
          </w:tcPr>
          <w:p w14:paraId="0A109E4B" w14:textId="5B7FB578" w:rsidR="00806229" w:rsidRPr="00187DE1"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tcBorders>
              <w:top w:val="single" w:sz="12" w:space="0" w:color="00B0F0"/>
            </w:tcBorders>
            <w:noWrap/>
            <w:vAlign w:val="center"/>
          </w:tcPr>
          <w:p w14:paraId="3A95633C" w14:textId="4D61ACE9" w:rsidR="00806229" w:rsidRPr="00187DE1" w:rsidRDefault="00806229" w:rsidP="00806229">
            <w:pPr>
              <w:spacing w:after="0"/>
              <w:jc w:val="right"/>
              <w:rPr>
                <w:noProof/>
                <w:sz w:val="20"/>
                <w:szCs w:val="20"/>
                <w:lang w:val="en-IE" w:eastAsia="en-IE"/>
              </w:rPr>
            </w:pPr>
            <w:r w:rsidRPr="00FA63C0">
              <w:rPr>
                <w:noProof/>
                <w:sz w:val="20"/>
                <w:szCs w:val="20"/>
              </w:rPr>
              <w:t xml:space="preserve">-   </w:t>
            </w:r>
          </w:p>
        </w:tc>
        <w:tc>
          <w:tcPr>
            <w:tcW w:w="1162" w:type="dxa"/>
            <w:tcBorders>
              <w:top w:val="single" w:sz="12" w:space="0" w:color="00B0F0"/>
            </w:tcBorders>
            <w:noWrap/>
            <w:vAlign w:val="center"/>
          </w:tcPr>
          <w:p w14:paraId="100CD349" w14:textId="37334B33" w:rsidR="00806229" w:rsidRPr="00187DE1" w:rsidRDefault="00806229" w:rsidP="00806229">
            <w:pPr>
              <w:spacing w:after="0"/>
              <w:jc w:val="right"/>
              <w:rPr>
                <w:noProof/>
                <w:sz w:val="20"/>
                <w:szCs w:val="20"/>
                <w:lang w:val="en-IE" w:eastAsia="en-IE"/>
              </w:rPr>
            </w:pPr>
            <w:r w:rsidRPr="00FA63C0">
              <w:rPr>
                <w:noProof/>
                <w:sz w:val="20"/>
                <w:szCs w:val="20"/>
              </w:rPr>
              <w:t xml:space="preserve"> -   </w:t>
            </w:r>
          </w:p>
        </w:tc>
      </w:tr>
      <w:tr w:rsidR="00806229" w:rsidRPr="00C44C22" w14:paraId="739F7771" w14:textId="77777777" w:rsidTr="001A49D4">
        <w:trPr>
          <w:trHeight w:val="283"/>
        </w:trPr>
        <w:tc>
          <w:tcPr>
            <w:tcW w:w="2189" w:type="dxa"/>
            <w:noWrap/>
            <w:vAlign w:val="center"/>
            <w:hideMark/>
          </w:tcPr>
          <w:p w14:paraId="741BC713"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76" w:type="dxa"/>
            <w:vAlign w:val="center"/>
          </w:tcPr>
          <w:p w14:paraId="68B1095A" w14:textId="2153DF2A" w:rsidR="00806229" w:rsidRPr="00FA63C0" w:rsidRDefault="004D757B" w:rsidP="00806229">
            <w:pPr>
              <w:spacing w:after="0"/>
              <w:jc w:val="right"/>
              <w:rPr>
                <w:noProof/>
                <w:sz w:val="20"/>
                <w:szCs w:val="20"/>
                <w:lang w:val="en-IE" w:eastAsia="en-IE"/>
              </w:rPr>
            </w:pPr>
            <w:r>
              <w:rPr>
                <w:noProof/>
                <w:sz w:val="20"/>
                <w:szCs w:val="20"/>
              </w:rPr>
              <w:t>392 445</w:t>
            </w:r>
            <w:r w:rsidR="00806229" w:rsidRPr="00FA63C0">
              <w:rPr>
                <w:noProof/>
                <w:sz w:val="20"/>
                <w:szCs w:val="20"/>
              </w:rPr>
              <w:t xml:space="preserve">   </w:t>
            </w:r>
          </w:p>
        </w:tc>
        <w:tc>
          <w:tcPr>
            <w:tcW w:w="1213" w:type="dxa"/>
            <w:vAlign w:val="center"/>
          </w:tcPr>
          <w:p w14:paraId="6AC0BFCC" w14:textId="1AC27A60"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vAlign w:val="center"/>
          </w:tcPr>
          <w:p w14:paraId="7F8AE9D8" w14:textId="090B7DA6"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noWrap/>
            <w:vAlign w:val="center"/>
          </w:tcPr>
          <w:p w14:paraId="0F3A0386" w14:textId="09B39B24" w:rsidR="00806229" w:rsidRPr="00061A60" w:rsidRDefault="00806229" w:rsidP="00806229">
            <w:pPr>
              <w:spacing w:after="0"/>
              <w:jc w:val="right"/>
              <w:rPr>
                <w:noProof/>
                <w:sz w:val="20"/>
                <w:szCs w:val="20"/>
                <w:lang w:val="en-IE" w:eastAsia="en-IE"/>
              </w:rPr>
            </w:pPr>
            <w:r w:rsidRPr="00082E1B">
              <w:rPr>
                <w:noProof/>
                <w:sz w:val="20"/>
                <w:szCs w:val="20"/>
              </w:rPr>
              <w:t xml:space="preserve"> 392 445 </w:t>
            </w:r>
          </w:p>
        </w:tc>
        <w:tc>
          <w:tcPr>
            <w:tcW w:w="1169" w:type="dxa"/>
            <w:noWrap/>
            <w:vAlign w:val="center"/>
          </w:tcPr>
          <w:p w14:paraId="3FA5EF7D" w14:textId="064CB3C0" w:rsidR="00806229" w:rsidRPr="00061A60" w:rsidRDefault="00806229" w:rsidP="00806229">
            <w:pPr>
              <w:spacing w:after="0"/>
              <w:jc w:val="right"/>
              <w:rPr>
                <w:noProof/>
                <w:sz w:val="20"/>
                <w:szCs w:val="20"/>
                <w:lang w:val="en-IE" w:eastAsia="en-IE"/>
              </w:rPr>
            </w:pPr>
            <w:r w:rsidRPr="00082E1B">
              <w:rPr>
                <w:noProof/>
                <w:sz w:val="20"/>
                <w:szCs w:val="20"/>
              </w:rPr>
              <w:t xml:space="preserve"> 196 222 </w:t>
            </w:r>
          </w:p>
        </w:tc>
        <w:tc>
          <w:tcPr>
            <w:tcW w:w="1162" w:type="dxa"/>
            <w:noWrap/>
            <w:vAlign w:val="center"/>
          </w:tcPr>
          <w:p w14:paraId="5BE17702" w14:textId="7C83B741" w:rsidR="00806229" w:rsidRPr="00061A60" w:rsidRDefault="00806229" w:rsidP="00806229">
            <w:pPr>
              <w:spacing w:after="0"/>
              <w:jc w:val="right"/>
              <w:rPr>
                <w:noProof/>
                <w:sz w:val="20"/>
                <w:szCs w:val="20"/>
                <w:lang w:val="en-IE" w:eastAsia="en-IE"/>
              </w:rPr>
            </w:pPr>
            <w:r w:rsidRPr="00082E1B">
              <w:rPr>
                <w:noProof/>
                <w:sz w:val="20"/>
                <w:szCs w:val="20"/>
              </w:rPr>
              <w:t xml:space="preserve"> 588 667 </w:t>
            </w:r>
          </w:p>
        </w:tc>
      </w:tr>
      <w:tr w:rsidR="00806229" w:rsidRPr="00C44C22" w14:paraId="5A2215E4" w14:textId="77777777" w:rsidTr="001A49D4">
        <w:trPr>
          <w:trHeight w:val="283"/>
        </w:trPr>
        <w:tc>
          <w:tcPr>
            <w:tcW w:w="2189" w:type="dxa"/>
            <w:noWrap/>
            <w:vAlign w:val="center"/>
            <w:hideMark/>
          </w:tcPr>
          <w:p w14:paraId="47B62396"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one-off adjustment</w:t>
            </w:r>
          </w:p>
        </w:tc>
        <w:tc>
          <w:tcPr>
            <w:tcW w:w="1276" w:type="dxa"/>
            <w:vAlign w:val="center"/>
          </w:tcPr>
          <w:p w14:paraId="317FFCF2" w14:textId="31DD73D1"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1617A662" w14:textId="62579117" w:rsidR="00806229" w:rsidRPr="00FA63C0" w:rsidRDefault="001639AA" w:rsidP="00806229">
            <w:pPr>
              <w:spacing w:after="0"/>
              <w:jc w:val="right"/>
              <w:rPr>
                <w:noProof/>
                <w:sz w:val="20"/>
                <w:szCs w:val="20"/>
                <w:lang w:val="en-IE" w:eastAsia="en-IE"/>
              </w:rPr>
            </w:pPr>
            <w:r>
              <w:rPr>
                <w:noProof/>
                <w:sz w:val="20"/>
                <w:szCs w:val="20"/>
              </w:rPr>
              <w:t>-</w:t>
            </w:r>
            <w:r w:rsidR="00806229" w:rsidRPr="00FA63C0">
              <w:rPr>
                <w:noProof/>
                <w:sz w:val="20"/>
                <w:szCs w:val="20"/>
              </w:rPr>
              <w:t xml:space="preserve">   </w:t>
            </w:r>
          </w:p>
        </w:tc>
        <w:tc>
          <w:tcPr>
            <w:tcW w:w="1418" w:type="dxa"/>
            <w:vAlign w:val="center"/>
          </w:tcPr>
          <w:p w14:paraId="2456C89B" w14:textId="13BF0971" w:rsidR="00806229" w:rsidRPr="00FA63C0" w:rsidRDefault="009816BA" w:rsidP="00806229">
            <w:pPr>
              <w:spacing w:after="0"/>
              <w:jc w:val="right"/>
              <w:rPr>
                <w:noProof/>
                <w:sz w:val="20"/>
                <w:szCs w:val="20"/>
                <w:lang w:val="en-IE" w:eastAsia="en-IE"/>
              </w:rPr>
            </w:pPr>
            <w:r>
              <w:rPr>
                <w:noProof/>
                <w:sz w:val="20"/>
                <w:szCs w:val="20"/>
              </w:rPr>
              <w:t xml:space="preserve"> </w:t>
            </w:r>
            <w:r w:rsidRPr="009816BA">
              <w:rPr>
                <w:noProof/>
                <w:sz w:val="20"/>
                <w:szCs w:val="20"/>
              </w:rPr>
              <w:t>899</w:t>
            </w:r>
            <w:r>
              <w:rPr>
                <w:noProof/>
                <w:sz w:val="20"/>
                <w:szCs w:val="20"/>
              </w:rPr>
              <w:t xml:space="preserve"> </w:t>
            </w:r>
            <w:r w:rsidRPr="009816BA">
              <w:rPr>
                <w:noProof/>
                <w:sz w:val="20"/>
                <w:szCs w:val="20"/>
              </w:rPr>
              <w:t xml:space="preserve">421 </w:t>
            </w:r>
            <w:r w:rsidR="00806229" w:rsidRPr="00FA63C0">
              <w:rPr>
                <w:noProof/>
                <w:sz w:val="20"/>
                <w:szCs w:val="20"/>
              </w:rPr>
              <w:t xml:space="preserve">   </w:t>
            </w:r>
          </w:p>
        </w:tc>
        <w:tc>
          <w:tcPr>
            <w:tcW w:w="1134" w:type="dxa"/>
            <w:noWrap/>
            <w:vAlign w:val="center"/>
          </w:tcPr>
          <w:p w14:paraId="305AB555" w14:textId="59A840AC" w:rsidR="00806229" w:rsidRPr="00061A60" w:rsidRDefault="00806229" w:rsidP="00806229">
            <w:pPr>
              <w:spacing w:after="0"/>
              <w:jc w:val="right"/>
              <w:rPr>
                <w:noProof/>
                <w:sz w:val="20"/>
                <w:szCs w:val="20"/>
                <w:lang w:val="en-IE" w:eastAsia="en-IE"/>
              </w:rPr>
            </w:pPr>
            <w:r w:rsidRPr="00082E1B">
              <w:rPr>
                <w:noProof/>
                <w:sz w:val="20"/>
                <w:szCs w:val="20"/>
              </w:rPr>
              <w:t xml:space="preserve"> </w:t>
            </w:r>
            <w:r w:rsidR="00FE128C" w:rsidRPr="009816BA">
              <w:rPr>
                <w:noProof/>
                <w:sz w:val="20"/>
                <w:szCs w:val="20"/>
              </w:rPr>
              <w:t>899</w:t>
            </w:r>
            <w:r w:rsidR="00FE128C">
              <w:rPr>
                <w:noProof/>
                <w:sz w:val="20"/>
                <w:szCs w:val="20"/>
              </w:rPr>
              <w:t xml:space="preserve"> </w:t>
            </w:r>
            <w:r w:rsidR="00FE128C" w:rsidRPr="009816BA">
              <w:rPr>
                <w:noProof/>
                <w:sz w:val="20"/>
                <w:szCs w:val="20"/>
              </w:rPr>
              <w:t xml:space="preserve">421 </w:t>
            </w:r>
            <w:r w:rsidR="00FE128C" w:rsidRPr="00FA63C0">
              <w:rPr>
                <w:noProof/>
                <w:sz w:val="20"/>
                <w:szCs w:val="20"/>
              </w:rPr>
              <w:t xml:space="preserve">   </w:t>
            </w:r>
          </w:p>
        </w:tc>
        <w:tc>
          <w:tcPr>
            <w:tcW w:w="1169" w:type="dxa"/>
            <w:noWrap/>
            <w:vAlign w:val="center"/>
          </w:tcPr>
          <w:p w14:paraId="22EB3B3F" w14:textId="2ED0B303" w:rsidR="00806229" w:rsidRPr="00061A60" w:rsidRDefault="00806229" w:rsidP="00806229">
            <w:pPr>
              <w:spacing w:after="0"/>
              <w:jc w:val="right"/>
              <w:rPr>
                <w:noProof/>
                <w:sz w:val="20"/>
                <w:szCs w:val="20"/>
                <w:lang w:val="en-IE" w:eastAsia="en-IE"/>
              </w:rPr>
            </w:pPr>
            <w:r w:rsidRPr="00082E1B">
              <w:rPr>
                <w:noProof/>
                <w:sz w:val="20"/>
                <w:szCs w:val="20"/>
              </w:rPr>
              <w:t xml:space="preserve"> </w:t>
            </w:r>
            <w:r w:rsidR="00C510FE">
              <w:rPr>
                <w:noProof/>
                <w:sz w:val="20"/>
                <w:szCs w:val="20"/>
              </w:rPr>
              <w:t>858 513</w:t>
            </w:r>
            <w:r w:rsidRPr="00082E1B">
              <w:rPr>
                <w:noProof/>
                <w:sz w:val="20"/>
                <w:szCs w:val="20"/>
              </w:rPr>
              <w:t xml:space="preserve"> </w:t>
            </w:r>
          </w:p>
        </w:tc>
        <w:tc>
          <w:tcPr>
            <w:tcW w:w="1162" w:type="dxa"/>
            <w:noWrap/>
            <w:vAlign w:val="center"/>
          </w:tcPr>
          <w:p w14:paraId="354CB0A9" w14:textId="717FA3C3" w:rsidR="00806229" w:rsidRPr="00061A60" w:rsidRDefault="00806229" w:rsidP="00806229">
            <w:pPr>
              <w:spacing w:after="0"/>
              <w:jc w:val="right"/>
              <w:rPr>
                <w:noProof/>
                <w:sz w:val="20"/>
                <w:szCs w:val="20"/>
                <w:lang w:val="en-IE" w:eastAsia="en-IE"/>
              </w:rPr>
            </w:pPr>
            <w:r w:rsidRPr="00082E1B">
              <w:rPr>
                <w:noProof/>
                <w:sz w:val="20"/>
                <w:szCs w:val="20"/>
              </w:rPr>
              <w:t xml:space="preserve"> </w:t>
            </w:r>
            <w:r w:rsidR="00C510FE">
              <w:rPr>
                <w:noProof/>
                <w:sz w:val="20"/>
                <w:szCs w:val="20"/>
              </w:rPr>
              <w:t>940 328</w:t>
            </w:r>
            <w:r w:rsidRPr="00082E1B">
              <w:rPr>
                <w:noProof/>
                <w:sz w:val="20"/>
                <w:szCs w:val="20"/>
              </w:rPr>
              <w:t xml:space="preserve"> </w:t>
            </w:r>
          </w:p>
        </w:tc>
      </w:tr>
      <w:tr w:rsidR="00806229" w:rsidRPr="00C44C22" w14:paraId="0075CEFA" w14:textId="77777777" w:rsidTr="001A49D4">
        <w:trPr>
          <w:trHeight w:val="283"/>
        </w:trPr>
        <w:tc>
          <w:tcPr>
            <w:tcW w:w="2189" w:type="dxa"/>
            <w:noWrap/>
            <w:vAlign w:val="center"/>
            <w:hideMark/>
          </w:tcPr>
          <w:p w14:paraId="68AEA524"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recurrent adjustment</w:t>
            </w:r>
          </w:p>
        </w:tc>
        <w:tc>
          <w:tcPr>
            <w:tcW w:w="1276" w:type="dxa"/>
            <w:vAlign w:val="center"/>
          </w:tcPr>
          <w:p w14:paraId="0F0243B4" w14:textId="77F136CE"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64EBF9E6" w14:textId="7BD08461"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vAlign w:val="center"/>
          </w:tcPr>
          <w:p w14:paraId="4BDEDE85" w14:textId="61CF2EE6"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noWrap/>
            <w:vAlign w:val="center"/>
          </w:tcPr>
          <w:p w14:paraId="400B78B8" w14:textId="256AC20E" w:rsidR="00806229" w:rsidRPr="00187DE1"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132313F9" w14:textId="381F5D7A" w:rsidR="00806229" w:rsidRPr="00187DE1" w:rsidRDefault="00806229" w:rsidP="00806229">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43C1E4DD" w14:textId="3010718F" w:rsidR="00806229" w:rsidRPr="00187DE1" w:rsidRDefault="00806229" w:rsidP="00806229">
            <w:pPr>
              <w:spacing w:after="0"/>
              <w:jc w:val="right"/>
              <w:rPr>
                <w:noProof/>
                <w:sz w:val="20"/>
                <w:szCs w:val="20"/>
                <w:lang w:val="en-IE" w:eastAsia="en-IE"/>
              </w:rPr>
            </w:pPr>
            <w:r w:rsidRPr="00FA63C0">
              <w:rPr>
                <w:noProof/>
                <w:sz w:val="20"/>
                <w:szCs w:val="20"/>
              </w:rPr>
              <w:t xml:space="preserve"> -   </w:t>
            </w:r>
          </w:p>
        </w:tc>
      </w:tr>
      <w:tr w:rsidR="00806229" w:rsidRPr="00C44C22" w14:paraId="3990E8B4" w14:textId="77777777" w:rsidTr="001A49D4">
        <w:trPr>
          <w:trHeight w:val="283"/>
        </w:trPr>
        <w:tc>
          <w:tcPr>
            <w:tcW w:w="2189" w:type="dxa"/>
            <w:noWrap/>
            <w:vAlign w:val="center"/>
            <w:hideMark/>
          </w:tcPr>
          <w:p w14:paraId="4291F462"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76" w:type="dxa"/>
            <w:vAlign w:val="center"/>
          </w:tcPr>
          <w:p w14:paraId="745929D8" w14:textId="09736DB6"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1BA72B66" w14:textId="2C4484F5"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vAlign w:val="center"/>
          </w:tcPr>
          <w:p w14:paraId="77389921" w14:textId="644716AD"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noWrap/>
            <w:vAlign w:val="center"/>
          </w:tcPr>
          <w:p w14:paraId="51578637" w14:textId="7DECDE9C"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25C4D64E" w14:textId="3C270C56" w:rsidR="00806229" w:rsidRPr="000A7265" w:rsidRDefault="00806229" w:rsidP="00806229">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0B5E3E83" w14:textId="70340102"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r>
      <w:tr w:rsidR="00806229" w:rsidRPr="00C44C22" w14:paraId="64EF4152" w14:textId="77777777" w:rsidTr="001A49D4">
        <w:trPr>
          <w:trHeight w:val="283"/>
        </w:trPr>
        <w:tc>
          <w:tcPr>
            <w:tcW w:w="2189" w:type="dxa"/>
            <w:noWrap/>
            <w:vAlign w:val="center"/>
            <w:hideMark/>
          </w:tcPr>
          <w:p w14:paraId="073C1550"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76" w:type="dxa"/>
            <w:vAlign w:val="center"/>
          </w:tcPr>
          <w:p w14:paraId="270A6253" w14:textId="5BAD7A6D"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546ACFD6" w14:textId="293E961E"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vAlign w:val="center"/>
          </w:tcPr>
          <w:p w14:paraId="20B41BBC" w14:textId="163DE4FC"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noWrap/>
            <w:vAlign w:val="center"/>
          </w:tcPr>
          <w:p w14:paraId="3898D0B7"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598BD904"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651154CE"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r>
      <w:tr w:rsidR="00806229" w:rsidRPr="00C44C22" w14:paraId="35568CB1" w14:textId="77777777" w:rsidTr="001A49D4">
        <w:trPr>
          <w:trHeight w:val="283"/>
        </w:trPr>
        <w:tc>
          <w:tcPr>
            <w:tcW w:w="2189" w:type="dxa"/>
            <w:noWrap/>
            <w:vAlign w:val="center"/>
            <w:hideMark/>
          </w:tcPr>
          <w:p w14:paraId="49A9C280"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76" w:type="dxa"/>
            <w:vAlign w:val="center"/>
          </w:tcPr>
          <w:p w14:paraId="10978EEE" w14:textId="6111D3AA"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2152FF8E" w14:textId="03F207A3" w:rsidR="00806229" w:rsidRPr="00FA63C0" w:rsidRDefault="00806229" w:rsidP="00806229">
            <w:pPr>
              <w:spacing w:after="0"/>
              <w:jc w:val="right"/>
              <w:rPr>
                <w:noProof/>
                <w:sz w:val="20"/>
                <w:szCs w:val="20"/>
                <w:lang w:val="en-IE" w:eastAsia="en-IE"/>
              </w:rPr>
            </w:pPr>
            <w:r w:rsidRPr="00FA63C0">
              <w:rPr>
                <w:noProof/>
                <w:sz w:val="20"/>
                <w:szCs w:val="20"/>
              </w:rPr>
              <w:t xml:space="preserve"> -   </w:t>
            </w:r>
          </w:p>
        </w:tc>
        <w:tc>
          <w:tcPr>
            <w:tcW w:w="1418" w:type="dxa"/>
            <w:vAlign w:val="center"/>
          </w:tcPr>
          <w:p w14:paraId="08229BD1" w14:textId="5F864DDE"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134" w:type="dxa"/>
            <w:noWrap/>
            <w:vAlign w:val="center"/>
          </w:tcPr>
          <w:p w14:paraId="32C0615E"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19640EB8"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2E956BD5" w14:textId="77777777" w:rsidR="00806229" w:rsidRPr="000A7265" w:rsidRDefault="00806229" w:rsidP="00806229">
            <w:pPr>
              <w:spacing w:after="0"/>
              <w:jc w:val="right"/>
              <w:rPr>
                <w:noProof/>
                <w:sz w:val="20"/>
                <w:szCs w:val="20"/>
                <w:lang w:val="en-IE" w:eastAsia="en-IE"/>
              </w:rPr>
            </w:pPr>
            <w:r w:rsidRPr="00FA63C0">
              <w:rPr>
                <w:noProof/>
                <w:sz w:val="20"/>
                <w:szCs w:val="20"/>
              </w:rPr>
              <w:t xml:space="preserve"> -   </w:t>
            </w:r>
          </w:p>
        </w:tc>
      </w:tr>
      <w:tr w:rsidR="00806229" w:rsidRPr="00C44C22" w14:paraId="14E9BF55" w14:textId="77777777" w:rsidTr="001A49D4">
        <w:trPr>
          <w:trHeight w:val="283"/>
        </w:trPr>
        <w:tc>
          <w:tcPr>
            <w:tcW w:w="2189" w:type="dxa"/>
            <w:noWrap/>
            <w:vAlign w:val="center"/>
            <w:hideMark/>
          </w:tcPr>
          <w:p w14:paraId="5460329F" w14:textId="77777777" w:rsidR="00806229" w:rsidRPr="00FA63C0" w:rsidRDefault="00806229" w:rsidP="00806229">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76" w:type="dxa"/>
            <w:vAlign w:val="center"/>
          </w:tcPr>
          <w:p w14:paraId="0982F32E" w14:textId="771BBAC0" w:rsidR="00806229" w:rsidRPr="00FA63C0" w:rsidRDefault="00806229" w:rsidP="00806229">
            <w:pPr>
              <w:spacing w:after="0"/>
              <w:jc w:val="right"/>
              <w:rPr>
                <w:noProof/>
                <w:sz w:val="20"/>
                <w:szCs w:val="20"/>
                <w:lang w:val="en-IE" w:eastAsia="en-IE"/>
              </w:rPr>
            </w:pPr>
            <w:r w:rsidRPr="00FA63C0">
              <w:rPr>
                <w:noProof/>
                <w:sz w:val="20"/>
                <w:szCs w:val="20"/>
              </w:rPr>
              <w:t xml:space="preserve">-   </w:t>
            </w:r>
          </w:p>
        </w:tc>
        <w:tc>
          <w:tcPr>
            <w:tcW w:w="1213" w:type="dxa"/>
            <w:vAlign w:val="center"/>
          </w:tcPr>
          <w:p w14:paraId="7FB7D106" w14:textId="61EBEFBA" w:rsidR="00806229" w:rsidRPr="00FA63C0" w:rsidRDefault="006A49CF" w:rsidP="00806229">
            <w:pPr>
              <w:spacing w:after="0"/>
              <w:jc w:val="right"/>
              <w:rPr>
                <w:noProof/>
                <w:sz w:val="20"/>
                <w:szCs w:val="20"/>
                <w:lang w:val="en-IE" w:eastAsia="en-IE"/>
              </w:rPr>
            </w:pPr>
            <w:r>
              <w:rPr>
                <w:noProof/>
                <w:sz w:val="20"/>
                <w:szCs w:val="20"/>
              </w:rPr>
              <w:t>902 108</w:t>
            </w:r>
            <w:r w:rsidR="001639AA" w:rsidRPr="00FA63C0">
              <w:rPr>
                <w:noProof/>
                <w:sz w:val="20"/>
                <w:szCs w:val="20"/>
              </w:rPr>
              <w:t xml:space="preserve">   </w:t>
            </w:r>
          </w:p>
        </w:tc>
        <w:tc>
          <w:tcPr>
            <w:tcW w:w="1418" w:type="dxa"/>
            <w:vAlign w:val="center"/>
          </w:tcPr>
          <w:p w14:paraId="49DABE8D" w14:textId="4E5D82F3" w:rsidR="00806229" w:rsidRPr="00FA63C0" w:rsidRDefault="009816BA" w:rsidP="00806229">
            <w:pPr>
              <w:spacing w:after="0"/>
              <w:jc w:val="right"/>
              <w:rPr>
                <w:noProof/>
                <w:sz w:val="20"/>
                <w:szCs w:val="20"/>
                <w:lang w:val="en-IE" w:eastAsia="en-IE"/>
              </w:rPr>
            </w:pPr>
            <w:r>
              <w:rPr>
                <w:noProof/>
                <w:sz w:val="20"/>
                <w:szCs w:val="20"/>
              </w:rPr>
              <w:t xml:space="preserve"> </w:t>
            </w:r>
            <w:r w:rsidRPr="009816BA">
              <w:rPr>
                <w:noProof/>
                <w:sz w:val="20"/>
                <w:szCs w:val="20"/>
              </w:rPr>
              <w:t>72</w:t>
            </w:r>
            <w:r>
              <w:rPr>
                <w:noProof/>
                <w:sz w:val="20"/>
                <w:szCs w:val="20"/>
              </w:rPr>
              <w:t xml:space="preserve"> </w:t>
            </w:r>
            <w:r w:rsidRPr="009816BA">
              <w:rPr>
                <w:noProof/>
                <w:sz w:val="20"/>
                <w:szCs w:val="20"/>
              </w:rPr>
              <w:t xml:space="preserve">388 </w:t>
            </w:r>
            <w:r w:rsidR="00806229" w:rsidRPr="00FA63C0">
              <w:rPr>
                <w:noProof/>
                <w:sz w:val="20"/>
                <w:szCs w:val="20"/>
              </w:rPr>
              <w:t xml:space="preserve">   </w:t>
            </w:r>
          </w:p>
        </w:tc>
        <w:tc>
          <w:tcPr>
            <w:tcW w:w="1134" w:type="dxa"/>
            <w:noWrap/>
            <w:vAlign w:val="center"/>
          </w:tcPr>
          <w:p w14:paraId="67CD0C4C" w14:textId="6B05B385" w:rsidR="00806229" w:rsidRPr="00A53ED9" w:rsidRDefault="00806229" w:rsidP="00806229">
            <w:pPr>
              <w:spacing w:after="0"/>
              <w:jc w:val="right"/>
              <w:rPr>
                <w:noProof/>
                <w:sz w:val="20"/>
                <w:szCs w:val="20"/>
                <w:lang w:val="en-IE" w:eastAsia="en-IE"/>
              </w:rPr>
            </w:pPr>
            <w:r w:rsidRPr="00082E1B">
              <w:rPr>
                <w:noProof/>
                <w:sz w:val="20"/>
                <w:szCs w:val="20"/>
              </w:rPr>
              <w:t xml:space="preserve"> </w:t>
            </w:r>
            <w:r w:rsidR="0002492F">
              <w:rPr>
                <w:noProof/>
                <w:sz w:val="20"/>
                <w:szCs w:val="20"/>
              </w:rPr>
              <w:t>974 496</w:t>
            </w:r>
            <w:r w:rsidRPr="00082E1B">
              <w:rPr>
                <w:noProof/>
                <w:sz w:val="20"/>
                <w:szCs w:val="20"/>
              </w:rPr>
              <w:t xml:space="preserve"> </w:t>
            </w:r>
          </w:p>
        </w:tc>
        <w:tc>
          <w:tcPr>
            <w:tcW w:w="1169" w:type="dxa"/>
            <w:noWrap/>
            <w:vAlign w:val="center"/>
          </w:tcPr>
          <w:p w14:paraId="405DC116" w14:textId="54C4D573" w:rsidR="00806229" w:rsidRPr="00A53ED9" w:rsidRDefault="006518FD" w:rsidP="00806229">
            <w:pPr>
              <w:spacing w:after="0"/>
              <w:jc w:val="right"/>
              <w:rPr>
                <w:noProof/>
                <w:sz w:val="20"/>
                <w:szCs w:val="20"/>
                <w:lang w:val="en-IE" w:eastAsia="en-IE"/>
              </w:rPr>
            </w:pPr>
            <w:r>
              <w:rPr>
                <w:noProof/>
                <w:sz w:val="20"/>
                <w:szCs w:val="20"/>
              </w:rPr>
              <w:t>659 316</w:t>
            </w:r>
          </w:p>
        </w:tc>
        <w:tc>
          <w:tcPr>
            <w:tcW w:w="1162" w:type="dxa"/>
            <w:noWrap/>
            <w:vAlign w:val="center"/>
          </w:tcPr>
          <w:p w14:paraId="67C53E09" w14:textId="1E3D786B" w:rsidR="00806229" w:rsidRPr="00A53ED9" w:rsidRDefault="000B1DC4" w:rsidP="00806229">
            <w:pPr>
              <w:spacing w:after="0"/>
              <w:jc w:val="right"/>
              <w:rPr>
                <w:noProof/>
                <w:sz w:val="20"/>
                <w:szCs w:val="20"/>
                <w:lang w:val="en-IE" w:eastAsia="en-IE"/>
              </w:rPr>
            </w:pPr>
            <w:r>
              <w:rPr>
                <w:noProof/>
                <w:sz w:val="20"/>
                <w:szCs w:val="20"/>
              </w:rPr>
              <w:t>1 289 676</w:t>
            </w:r>
          </w:p>
        </w:tc>
      </w:tr>
      <w:tr w:rsidR="00806229" w:rsidRPr="0049798B" w14:paraId="6E125041" w14:textId="77777777" w:rsidTr="005D7722">
        <w:trPr>
          <w:trHeight w:val="283"/>
        </w:trPr>
        <w:tc>
          <w:tcPr>
            <w:tcW w:w="2189" w:type="dxa"/>
            <w:shd w:val="clear" w:color="auto" w:fill="F2DBDB" w:themeFill="accent2" w:themeFillTint="33"/>
            <w:noWrap/>
            <w:vAlign w:val="center"/>
            <w:hideMark/>
          </w:tcPr>
          <w:p w14:paraId="665DCE1C" w14:textId="77777777" w:rsidR="00806229" w:rsidRPr="00FA63C0" w:rsidRDefault="00806229" w:rsidP="00806229">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76" w:type="dxa"/>
            <w:shd w:val="clear" w:color="auto" w:fill="F2DBDB" w:themeFill="accent2" w:themeFillTint="33"/>
            <w:vAlign w:val="center"/>
          </w:tcPr>
          <w:p w14:paraId="37B8E4C9" w14:textId="15CBD62B" w:rsidR="00806229" w:rsidRPr="00FA63C0" w:rsidRDefault="004D757B" w:rsidP="00806229">
            <w:pPr>
              <w:spacing w:after="0"/>
              <w:jc w:val="right"/>
              <w:rPr>
                <w:b/>
                <w:bCs/>
                <w:noProof/>
                <w:sz w:val="20"/>
                <w:szCs w:val="20"/>
                <w:lang w:val="en-IE" w:eastAsia="en-IE"/>
              </w:rPr>
            </w:pPr>
            <w:r>
              <w:rPr>
                <w:noProof/>
                <w:sz w:val="20"/>
                <w:szCs w:val="20"/>
              </w:rPr>
              <w:t>392 445</w:t>
            </w:r>
            <w:r w:rsidRPr="00FA63C0">
              <w:rPr>
                <w:noProof/>
                <w:sz w:val="20"/>
                <w:szCs w:val="20"/>
              </w:rPr>
              <w:t xml:space="preserve">   </w:t>
            </w:r>
          </w:p>
        </w:tc>
        <w:tc>
          <w:tcPr>
            <w:tcW w:w="1213" w:type="dxa"/>
            <w:shd w:val="clear" w:color="auto" w:fill="F2DBDB" w:themeFill="accent2" w:themeFillTint="33"/>
            <w:vAlign w:val="center"/>
          </w:tcPr>
          <w:p w14:paraId="4B2DB9FA" w14:textId="10B98BA5" w:rsidR="00806229" w:rsidRPr="00FA63C0" w:rsidRDefault="00A9612E" w:rsidP="00806229">
            <w:pPr>
              <w:spacing w:after="0"/>
              <w:jc w:val="right"/>
              <w:rPr>
                <w:b/>
                <w:bCs/>
                <w:noProof/>
                <w:sz w:val="20"/>
                <w:szCs w:val="20"/>
                <w:lang w:val="en-IE" w:eastAsia="en-IE"/>
              </w:rPr>
            </w:pPr>
            <w:r>
              <w:rPr>
                <w:noProof/>
                <w:sz w:val="20"/>
                <w:szCs w:val="20"/>
              </w:rPr>
              <w:t>902 108</w:t>
            </w:r>
            <w:r w:rsidR="00806229" w:rsidRPr="00FA63C0">
              <w:rPr>
                <w:noProof/>
                <w:sz w:val="20"/>
                <w:szCs w:val="20"/>
              </w:rPr>
              <w:t xml:space="preserve">   </w:t>
            </w:r>
          </w:p>
        </w:tc>
        <w:tc>
          <w:tcPr>
            <w:tcW w:w="1418" w:type="dxa"/>
            <w:shd w:val="clear" w:color="auto" w:fill="F2DBDB" w:themeFill="accent2" w:themeFillTint="33"/>
            <w:vAlign w:val="center"/>
          </w:tcPr>
          <w:p w14:paraId="3444862F" w14:textId="79447C04" w:rsidR="00806229" w:rsidRPr="00FA63C0" w:rsidRDefault="009816BA" w:rsidP="00806229">
            <w:pPr>
              <w:spacing w:after="0"/>
              <w:jc w:val="right"/>
              <w:rPr>
                <w:b/>
                <w:bCs/>
                <w:noProof/>
                <w:sz w:val="20"/>
                <w:szCs w:val="20"/>
                <w:lang w:val="en-IE" w:eastAsia="en-IE"/>
              </w:rPr>
            </w:pPr>
            <w:r>
              <w:rPr>
                <w:noProof/>
                <w:sz w:val="20"/>
                <w:szCs w:val="20"/>
              </w:rPr>
              <w:t>971 809</w:t>
            </w:r>
            <w:r w:rsidR="00806229" w:rsidRPr="00FA63C0">
              <w:rPr>
                <w:noProof/>
                <w:sz w:val="20"/>
                <w:szCs w:val="20"/>
              </w:rPr>
              <w:t xml:space="preserve">   </w:t>
            </w:r>
          </w:p>
        </w:tc>
        <w:tc>
          <w:tcPr>
            <w:tcW w:w="1134" w:type="dxa"/>
            <w:shd w:val="clear" w:color="auto" w:fill="F2DBDB" w:themeFill="accent2" w:themeFillTint="33"/>
            <w:noWrap/>
            <w:vAlign w:val="center"/>
          </w:tcPr>
          <w:p w14:paraId="43DC9529" w14:textId="29205B97" w:rsidR="00806229" w:rsidRPr="00A53ED9" w:rsidRDefault="00806229" w:rsidP="00806229">
            <w:pPr>
              <w:spacing w:after="0"/>
              <w:jc w:val="right"/>
              <w:rPr>
                <w:noProof/>
                <w:sz w:val="20"/>
                <w:szCs w:val="20"/>
              </w:rPr>
            </w:pPr>
            <w:r w:rsidRPr="00082E1B">
              <w:rPr>
                <w:noProof/>
                <w:sz w:val="20"/>
                <w:szCs w:val="20"/>
              </w:rPr>
              <w:t xml:space="preserve"> </w:t>
            </w:r>
            <w:r w:rsidR="0002492F">
              <w:rPr>
                <w:noProof/>
                <w:sz w:val="20"/>
                <w:szCs w:val="20"/>
              </w:rPr>
              <w:t>2 266 361</w:t>
            </w:r>
            <w:r w:rsidRPr="00082E1B">
              <w:rPr>
                <w:noProof/>
                <w:sz w:val="20"/>
                <w:szCs w:val="20"/>
              </w:rPr>
              <w:t xml:space="preserve"> </w:t>
            </w:r>
          </w:p>
        </w:tc>
        <w:tc>
          <w:tcPr>
            <w:tcW w:w="1169" w:type="dxa"/>
            <w:shd w:val="clear" w:color="auto" w:fill="F2DBDB" w:themeFill="accent2" w:themeFillTint="33"/>
            <w:noWrap/>
            <w:vAlign w:val="center"/>
          </w:tcPr>
          <w:p w14:paraId="005328CE" w14:textId="503FA16D" w:rsidR="00806229" w:rsidRPr="00A53ED9" w:rsidRDefault="000B1DC4" w:rsidP="00806229">
            <w:pPr>
              <w:spacing w:after="0"/>
              <w:jc w:val="right"/>
              <w:rPr>
                <w:noProof/>
                <w:sz w:val="20"/>
                <w:szCs w:val="20"/>
              </w:rPr>
            </w:pPr>
            <w:r>
              <w:rPr>
                <w:noProof/>
                <w:sz w:val="20"/>
                <w:szCs w:val="20"/>
              </w:rPr>
              <w:t>1 714 051</w:t>
            </w:r>
          </w:p>
        </w:tc>
        <w:tc>
          <w:tcPr>
            <w:tcW w:w="1162" w:type="dxa"/>
            <w:shd w:val="clear" w:color="auto" w:fill="F2DBDB" w:themeFill="accent2" w:themeFillTint="33"/>
            <w:noWrap/>
            <w:vAlign w:val="center"/>
          </w:tcPr>
          <w:p w14:paraId="11511153" w14:textId="0760F12D" w:rsidR="00806229" w:rsidRPr="00A53ED9" w:rsidRDefault="000B1DC4" w:rsidP="00806229">
            <w:pPr>
              <w:spacing w:after="0"/>
              <w:jc w:val="right"/>
              <w:rPr>
                <w:noProof/>
                <w:sz w:val="20"/>
                <w:szCs w:val="20"/>
              </w:rPr>
            </w:pPr>
            <w:r>
              <w:rPr>
                <w:noProof/>
                <w:sz w:val="20"/>
                <w:szCs w:val="20"/>
              </w:rPr>
              <w:t>2 81</w:t>
            </w:r>
            <w:r w:rsidR="008A7E83">
              <w:rPr>
                <w:noProof/>
                <w:sz w:val="20"/>
                <w:szCs w:val="20"/>
              </w:rPr>
              <w:t>8 671</w:t>
            </w:r>
          </w:p>
        </w:tc>
      </w:tr>
      <w:tr w:rsidR="00806229" w:rsidRPr="00FA63C0" w14:paraId="2082CABC" w14:textId="77777777" w:rsidTr="005D7722">
        <w:trPr>
          <w:trHeight w:val="283"/>
        </w:trPr>
        <w:tc>
          <w:tcPr>
            <w:tcW w:w="2189" w:type="dxa"/>
            <w:shd w:val="clear" w:color="auto" w:fill="EAF1DD" w:themeFill="accent3" w:themeFillTint="33"/>
            <w:noWrap/>
            <w:vAlign w:val="center"/>
            <w:hideMark/>
          </w:tcPr>
          <w:p w14:paraId="4F9DB12C" w14:textId="77777777" w:rsidR="00806229" w:rsidRPr="00FA63C0" w:rsidRDefault="00806229" w:rsidP="00806229">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76" w:type="dxa"/>
            <w:shd w:val="clear" w:color="auto" w:fill="EAF1DD" w:themeFill="accent3" w:themeFillTint="33"/>
            <w:vAlign w:val="center"/>
          </w:tcPr>
          <w:p w14:paraId="6FA2D60C" w14:textId="09321436" w:rsidR="00806229" w:rsidRPr="00FA63C0" w:rsidRDefault="00806229" w:rsidP="00806229">
            <w:pPr>
              <w:spacing w:after="0"/>
              <w:jc w:val="right"/>
              <w:rPr>
                <w:b/>
                <w:bCs/>
                <w:noProof/>
                <w:sz w:val="20"/>
                <w:szCs w:val="20"/>
                <w:lang w:val="en-IE" w:eastAsia="en-IE"/>
              </w:rPr>
            </w:pPr>
            <w:r w:rsidRPr="00FA63C0">
              <w:rPr>
                <w:noProof/>
                <w:sz w:val="20"/>
                <w:szCs w:val="20"/>
              </w:rPr>
              <w:t xml:space="preserve">-   </w:t>
            </w:r>
          </w:p>
        </w:tc>
        <w:tc>
          <w:tcPr>
            <w:tcW w:w="1213" w:type="dxa"/>
            <w:shd w:val="clear" w:color="auto" w:fill="EAF1DD" w:themeFill="accent3" w:themeFillTint="33"/>
            <w:vAlign w:val="center"/>
          </w:tcPr>
          <w:p w14:paraId="54FA8E3B" w14:textId="613E0606" w:rsidR="00806229" w:rsidRPr="00FA63C0" w:rsidRDefault="00806229" w:rsidP="00806229">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EAF1DD" w:themeFill="accent3" w:themeFillTint="33"/>
            <w:vAlign w:val="center"/>
          </w:tcPr>
          <w:p w14:paraId="2B2F61A6" w14:textId="39AF4A6C" w:rsidR="00806229" w:rsidRPr="00FA63C0" w:rsidRDefault="00806229" w:rsidP="00806229">
            <w:pPr>
              <w:spacing w:after="0"/>
              <w:jc w:val="right"/>
              <w:rPr>
                <w:b/>
                <w:bCs/>
                <w:noProof/>
                <w:sz w:val="20"/>
                <w:szCs w:val="20"/>
                <w:lang w:val="en-IE" w:eastAsia="en-IE"/>
              </w:rPr>
            </w:pPr>
            <w:r w:rsidRPr="00FA63C0">
              <w:rPr>
                <w:noProof/>
                <w:sz w:val="20"/>
                <w:szCs w:val="20"/>
              </w:rPr>
              <w:t xml:space="preserve">-   </w:t>
            </w:r>
          </w:p>
        </w:tc>
        <w:tc>
          <w:tcPr>
            <w:tcW w:w="1134" w:type="dxa"/>
            <w:shd w:val="clear" w:color="auto" w:fill="EAF1DD" w:themeFill="accent3" w:themeFillTint="33"/>
            <w:noWrap/>
            <w:vAlign w:val="center"/>
          </w:tcPr>
          <w:p w14:paraId="53C1EC94" w14:textId="77777777" w:rsidR="00806229" w:rsidRPr="007B1859" w:rsidRDefault="00806229" w:rsidP="00806229">
            <w:pPr>
              <w:spacing w:after="0"/>
              <w:jc w:val="right"/>
              <w:rPr>
                <w:noProof/>
                <w:sz w:val="20"/>
                <w:szCs w:val="20"/>
                <w:lang w:val="en-IE" w:eastAsia="en-IE"/>
              </w:rPr>
            </w:pPr>
            <w:r w:rsidRPr="00FA63C0">
              <w:rPr>
                <w:noProof/>
                <w:sz w:val="20"/>
                <w:szCs w:val="20"/>
              </w:rPr>
              <w:t xml:space="preserve"> -   </w:t>
            </w:r>
          </w:p>
        </w:tc>
        <w:tc>
          <w:tcPr>
            <w:tcW w:w="1169" w:type="dxa"/>
            <w:shd w:val="clear" w:color="auto" w:fill="EAF1DD" w:themeFill="accent3" w:themeFillTint="33"/>
            <w:noWrap/>
            <w:vAlign w:val="center"/>
          </w:tcPr>
          <w:p w14:paraId="519DCA59" w14:textId="77777777" w:rsidR="00806229" w:rsidRPr="007B1859" w:rsidRDefault="00806229" w:rsidP="00806229">
            <w:pPr>
              <w:spacing w:after="0"/>
              <w:jc w:val="right"/>
              <w:rPr>
                <w:noProof/>
                <w:sz w:val="20"/>
                <w:szCs w:val="20"/>
                <w:lang w:val="en-IE" w:eastAsia="en-IE"/>
              </w:rPr>
            </w:pPr>
            <w:r w:rsidRPr="00FA63C0">
              <w:rPr>
                <w:noProof/>
                <w:sz w:val="20"/>
                <w:szCs w:val="20"/>
              </w:rPr>
              <w:t xml:space="preserve">-   </w:t>
            </w:r>
          </w:p>
        </w:tc>
        <w:tc>
          <w:tcPr>
            <w:tcW w:w="1162" w:type="dxa"/>
            <w:shd w:val="clear" w:color="auto" w:fill="EAF1DD" w:themeFill="accent3" w:themeFillTint="33"/>
            <w:noWrap/>
            <w:vAlign w:val="center"/>
          </w:tcPr>
          <w:p w14:paraId="2D689758" w14:textId="77777777" w:rsidR="00806229" w:rsidRPr="007B1859" w:rsidRDefault="00806229" w:rsidP="00806229">
            <w:pPr>
              <w:spacing w:after="0"/>
              <w:jc w:val="right"/>
              <w:rPr>
                <w:noProof/>
                <w:sz w:val="20"/>
                <w:szCs w:val="20"/>
                <w:lang w:val="en-IE" w:eastAsia="en-IE"/>
              </w:rPr>
            </w:pPr>
            <w:r w:rsidRPr="00FA63C0">
              <w:rPr>
                <w:noProof/>
                <w:sz w:val="20"/>
                <w:szCs w:val="20"/>
              </w:rPr>
              <w:t xml:space="preserve"> -   </w:t>
            </w:r>
          </w:p>
        </w:tc>
      </w:tr>
      <w:tr w:rsidR="006B70DE" w:rsidRPr="0049798B" w14:paraId="5019F0F6" w14:textId="77777777" w:rsidTr="005D7722">
        <w:trPr>
          <w:trHeight w:val="283"/>
        </w:trPr>
        <w:tc>
          <w:tcPr>
            <w:tcW w:w="2189" w:type="dxa"/>
            <w:shd w:val="clear" w:color="auto" w:fill="F2F2F2" w:themeFill="background1" w:themeFillShade="F2"/>
            <w:noWrap/>
            <w:vAlign w:val="center"/>
            <w:hideMark/>
          </w:tcPr>
          <w:p w14:paraId="54A857E0" w14:textId="77777777" w:rsidR="006B70DE" w:rsidRPr="00FA63C0" w:rsidRDefault="006B70DE" w:rsidP="006B70DE">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76" w:type="dxa"/>
            <w:shd w:val="clear" w:color="auto" w:fill="F2F2F2" w:themeFill="background1" w:themeFillShade="F2"/>
            <w:vAlign w:val="center"/>
          </w:tcPr>
          <w:p w14:paraId="59401473" w14:textId="67AA703D" w:rsidR="006B70DE" w:rsidRPr="006D0660" w:rsidRDefault="006B70DE" w:rsidP="006B70DE">
            <w:pPr>
              <w:spacing w:after="0"/>
              <w:jc w:val="right"/>
              <w:rPr>
                <w:b/>
                <w:bCs/>
                <w:noProof/>
                <w:sz w:val="20"/>
                <w:szCs w:val="20"/>
                <w:lang w:val="en-IE" w:eastAsia="en-IE"/>
              </w:rPr>
            </w:pPr>
            <w:r w:rsidRPr="00082E1B">
              <w:rPr>
                <w:b/>
                <w:noProof/>
                <w:sz w:val="20"/>
                <w:szCs w:val="20"/>
              </w:rPr>
              <w:t xml:space="preserve">392 445      </w:t>
            </w:r>
          </w:p>
        </w:tc>
        <w:tc>
          <w:tcPr>
            <w:tcW w:w="1213" w:type="dxa"/>
            <w:shd w:val="clear" w:color="auto" w:fill="F2F2F2" w:themeFill="background1" w:themeFillShade="F2"/>
            <w:vAlign w:val="center"/>
          </w:tcPr>
          <w:p w14:paraId="0A5D6516" w14:textId="3380BFDF" w:rsidR="006B70DE" w:rsidRPr="005B4AA7" w:rsidRDefault="006B70DE" w:rsidP="006B70DE">
            <w:pPr>
              <w:spacing w:after="0"/>
              <w:jc w:val="right"/>
              <w:rPr>
                <w:b/>
                <w:bCs/>
                <w:noProof/>
                <w:sz w:val="20"/>
                <w:szCs w:val="20"/>
                <w:lang w:val="en-IE" w:eastAsia="en-IE"/>
              </w:rPr>
            </w:pPr>
            <w:r w:rsidRPr="00082E1B">
              <w:rPr>
                <w:b/>
                <w:noProof/>
                <w:sz w:val="20"/>
                <w:szCs w:val="20"/>
              </w:rPr>
              <w:t xml:space="preserve"> </w:t>
            </w:r>
            <w:r>
              <w:rPr>
                <w:b/>
                <w:bCs/>
                <w:noProof/>
                <w:sz w:val="20"/>
                <w:szCs w:val="20"/>
              </w:rPr>
              <w:t>902 108</w:t>
            </w:r>
            <w:r w:rsidRPr="00082E1B">
              <w:rPr>
                <w:b/>
                <w:noProof/>
                <w:sz w:val="20"/>
                <w:szCs w:val="20"/>
              </w:rPr>
              <w:t xml:space="preserve">      </w:t>
            </w:r>
          </w:p>
        </w:tc>
        <w:tc>
          <w:tcPr>
            <w:tcW w:w="1418" w:type="dxa"/>
            <w:shd w:val="clear" w:color="auto" w:fill="F2F2F2" w:themeFill="background1" w:themeFillShade="F2"/>
            <w:vAlign w:val="center"/>
          </w:tcPr>
          <w:p w14:paraId="3BFBA049" w14:textId="536C2F16" w:rsidR="006B70DE" w:rsidRPr="009816BA" w:rsidRDefault="006B70DE" w:rsidP="006B70DE">
            <w:pPr>
              <w:spacing w:after="0"/>
              <w:jc w:val="right"/>
              <w:rPr>
                <w:b/>
                <w:bCs/>
                <w:noProof/>
                <w:sz w:val="20"/>
                <w:szCs w:val="20"/>
                <w:lang w:val="en-IE" w:eastAsia="en-IE"/>
              </w:rPr>
            </w:pPr>
            <w:r w:rsidRPr="00082E1B">
              <w:rPr>
                <w:b/>
                <w:noProof/>
                <w:sz w:val="20"/>
                <w:szCs w:val="20"/>
              </w:rPr>
              <w:t xml:space="preserve">971 809      </w:t>
            </w:r>
          </w:p>
        </w:tc>
        <w:tc>
          <w:tcPr>
            <w:tcW w:w="1134" w:type="dxa"/>
            <w:shd w:val="clear" w:color="auto" w:fill="F2F2F2" w:themeFill="background1" w:themeFillShade="F2"/>
            <w:noWrap/>
            <w:vAlign w:val="center"/>
          </w:tcPr>
          <w:p w14:paraId="3F40D933" w14:textId="4CD5511A" w:rsidR="006B70DE" w:rsidRPr="00397C78" w:rsidRDefault="006B70DE" w:rsidP="006B70DE">
            <w:pPr>
              <w:spacing w:after="0"/>
              <w:jc w:val="right"/>
              <w:rPr>
                <w:b/>
                <w:bCs/>
                <w:noProof/>
                <w:sz w:val="20"/>
                <w:szCs w:val="20"/>
                <w:lang w:val="en-IE" w:eastAsia="en-IE"/>
              </w:rPr>
            </w:pPr>
            <w:r w:rsidRPr="00082E1B">
              <w:rPr>
                <w:b/>
                <w:noProof/>
                <w:sz w:val="20"/>
                <w:szCs w:val="20"/>
              </w:rPr>
              <w:t xml:space="preserve"> </w:t>
            </w:r>
            <w:r>
              <w:rPr>
                <w:b/>
                <w:bCs/>
                <w:noProof/>
                <w:sz w:val="20"/>
                <w:szCs w:val="20"/>
              </w:rPr>
              <w:t>2 266 361</w:t>
            </w:r>
            <w:r w:rsidRPr="00082E1B">
              <w:rPr>
                <w:b/>
                <w:noProof/>
                <w:sz w:val="20"/>
                <w:szCs w:val="20"/>
              </w:rPr>
              <w:t xml:space="preserve"> </w:t>
            </w:r>
          </w:p>
        </w:tc>
        <w:tc>
          <w:tcPr>
            <w:tcW w:w="1169" w:type="dxa"/>
            <w:shd w:val="clear" w:color="auto" w:fill="F2F2F2" w:themeFill="background1" w:themeFillShade="F2"/>
            <w:noWrap/>
            <w:vAlign w:val="center"/>
          </w:tcPr>
          <w:p w14:paraId="35D95AB6" w14:textId="158ED94E" w:rsidR="006B70DE" w:rsidRPr="006B70DE" w:rsidRDefault="006B70DE" w:rsidP="006B70DE">
            <w:pPr>
              <w:spacing w:after="0"/>
              <w:jc w:val="right"/>
              <w:rPr>
                <w:b/>
                <w:bCs/>
                <w:noProof/>
                <w:sz w:val="20"/>
                <w:szCs w:val="20"/>
                <w:lang w:val="en-IE" w:eastAsia="en-IE"/>
              </w:rPr>
            </w:pPr>
            <w:r w:rsidRPr="00082E1B">
              <w:rPr>
                <w:b/>
                <w:noProof/>
                <w:sz w:val="20"/>
                <w:szCs w:val="20"/>
              </w:rPr>
              <w:t>1 714 051</w:t>
            </w:r>
          </w:p>
        </w:tc>
        <w:tc>
          <w:tcPr>
            <w:tcW w:w="1162" w:type="dxa"/>
            <w:shd w:val="clear" w:color="auto" w:fill="F2F2F2" w:themeFill="background1" w:themeFillShade="F2"/>
            <w:noWrap/>
            <w:vAlign w:val="center"/>
          </w:tcPr>
          <w:p w14:paraId="6E79C225" w14:textId="5ECC1611" w:rsidR="006B70DE" w:rsidRPr="006B70DE" w:rsidRDefault="006B70DE" w:rsidP="006B70DE">
            <w:pPr>
              <w:spacing w:after="0"/>
              <w:jc w:val="right"/>
              <w:rPr>
                <w:b/>
                <w:bCs/>
                <w:noProof/>
                <w:sz w:val="20"/>
                <w:szCs w:val="20"/>
                <w:lang w:val="en-IE" w:eastAsia="en-IE"/>
              </w:rPr>
            </w:pPr>
            <w:r w:rsidRPr="00082E1B">
              <w:rPr>
                <w:b/>
                <w:noProof/>
                <w:sz w:val="20"/>
                <w:szCs w:val="20"/>
              </w:rPr>
              <w:t>2 818 671</w:t>
            </w:r>
          </w:p>
        </w:tc>
      </w:tr>
    </w:tbl>
    <w:p w14:paraId="36F693B7" w14:textId="77777777" w:rsidR="00293B92" w:rsidRDefault="00293B92" w:rsidP="00AE4012">
      <w:pPr>
        <w:pStyle w:val="Heading2"/>
        <w:numPr>
          <w:ilvl w:val="1"/>
          <w:numId w:val="10"/>
        </w:numPr>
        <w:tabs>
          <w:tab w:val="num" w:pos="283"/>
        </w:tabs>
        <w:spacing w:before="240"/>
        <w:ind w:left="1202"/>
        <w:rPr>
          <w:bCs/>
          <w:noProof/>
        </w:rPr>
      </w:pPr>
      <w:bookmarkStart w:id="199" w:name="_Toc208836932"/>
      <w:bookmarkStart w:id="200" w:name="_Toc214519712"/>
      <w:bookmarkStart w:id="201" w:name="_Toc216283363"/>
      <w:bookmarkStart w:id="202" w:name="_Toc228346918"/>
      <w:r w:rsidRPr="00437F91">
        <w:rPr>
          <w:noProof/>
        </w:rPr>
        <w:t>PM8</w:t>
      </w:r>
      <w:r w:rsidRPr="00437F91">
        <w:rPr>
          <w:bCs/>
          <w:noProof/>
        </w:rPr>
        <w:t>: EU Funding for R&amp;D and innovation ecosystems for cloud and AI</w:t>
      </w:r>
      <w:bookmarkEnd w:id="199"/>
      <w:bookmarkEnd w:id="200"/>
      <w:bookmarkEnd w:id="201"/>
      <w:bookmarkEnd w:id="202"/>
    </w:p>
    <w:p w14:paraId="0DD9F817" w14:textId="4D6B6814" w:rsidR="0088115D" w:rsidRPr="001D33C1" w:rsidRDefault="0088115D" w:rsidP="0088115D">
      <w:pPr>
        <w:pStyle w:val="Text1"/>
        <w:ind w:left="0"/>
        <w:rPr>
          <w:noProof/>
          <w:lang w:val="en-IE"/>
        </w:rPr>
      </w:pPr>
      <w:r w:rsidRPr="65A5080D">
        <w:rPr>
          <w:noProof/>
          <w:lang w:val="en-IE"/>
        </w:rPr>
        <w:t xml:space="preserve">Under this measure, the Commission would </w:t>
      </w:r>
      <w:r w:rsidR="008B4A04">
        <w:rPr>
          <w:noProof/>
          <w:lang w:val="en-IE"/>
        </w:rPr>
        <w:t>identify</w:t>
      </w:r>
      <w:r w:rsidR="00CF54BE">
        <w:rPr>
          <w:noProof/>
          <w:lang w:val="en-IE"/>
        </w:rPr>
        <w:t xml:space="preserve"> key </w:t>
      </w:r>
      <w:r w:rsidR="008E690A">
        <w:rPr>
          <w:noProof/>
          <w:lang w:val="en-IE"/>
        </w:rPr>
        <w:t xml:space="preserve">R&amp;D funding challenges </w:t>
      </w:r>
      <w:r w:rsidR="00D7739F">
        <w:rPr>
          <w:noProof/>
          <w:lang w:val="en-IE"/>
        </w:rPr>
        <w:t>for</w:t>
      </w:r>
      <w:r w:rsidR="00184314">
        <w:rPr>
          <w:noProof/>
          <w:lang w:val="en-IE"/>
        </w:rPr>
        <w:t xml:space="preserve"> the development of energy and resource efficient </w:t>
      </w:r>
      <w:r w:rsidR="0065796C">
        <w:rPr>
          <w:noProof/>
          <w:lang w:val="en-IE"/>
        </w:rPr>
        <w:t>and secure data centre technologies, including advanced cooling, renewable energy and storage integration and AI-based optimisation tools.</w:t>
      </w:r>
      <w:r w:rsidR="008B4A04" w:rsidRPr="65A5080D">
        <w:rPr>
          <w:noProof/>
          <w:lang w:val="en-IE"/>
        </w:rPr>
        <w:t xml:space="preserve"> </w:t>
      </w:r>
      <w:r w:rsidR="002E36D6">
        <w:rPr>
          <w:noProof/>
          <w:lang w:val="en-IE"/>
        </w:rPr>
        <w:t>Funding</w:t>
      </w:r>
      <w:r w:rsidRPr="65A5080D">
        <w:rPr>
          <w:noProof/>
          <w:lang w:val="en-IE"/>
        </w:rPr>
        <w:t xml:space="preserve"> schemes </w:t>
      </w:r>
      <w:r w:rsidR="002E36D6">
        <w:rPr>
          <w:noProof/>
          <w:lang w:val="en-IE"/>
        </w:rPr>
        <w:t xml:space="preserve">would be used accordingly </w:t>
      </w:r>
      <w:r w:rsidRPr="65A5080D">
        <w:rPr>
          <w:noProof/>
          <w:lang w:val="en-IE"/>
        </w:rPr>
        <w:t>to develop R&amp;D and innovation ecosystems focused on cloud and AI data centres</w:t>
      </w:r>
      <w:r w:rsidR="000101B5">
        <w:rPr>
          <w:noProof/>
          <w:lang w:val="en-IE"/>
        </w:rPr>
        <w:t xml:space="preserve"> and innovative software enabling cloud and AI </w:t>
      </w:r>
      <w:r w:rsidR="00A24504">
        <w:rPr>
          <w:noProof/>
          <w:lang w:val="en-IE"/>
        </w:rPr>
        <w:t xml:space="preserve">computing </w:t>
      </w:r>
      <w:r w:rsidR="000101B5">
        <w:rPr>
          <w:noProof/>
          <w:lang w:val="en-IE"/>
        </w:rPr>
        <w:t>services across the European cloud-to-edge continuum</w:t>
      </w:r>
      <w:r w:rsidRPr="65A5080D">
        <w:rPr>
          <w:noProof/>
          <w:lang w:val="en-IE"/>
        </w:rPr>
        <w:t>. The measure would aim to de-risk and accelerate the uptake of advanced, sustainable and secure technologies, with a focus on data centre technologies to improve the replicability and scalability of innovative solutions across Member States</w:t>
      </w:r>
      <w:r w:rsidR="00C25756">
        <w:rPr>
          <w:noProof/>
          <w:lang w:val="en-IE"/>
        </w:rPr>
        <w:t>, especially for smaller providers</w:t>
      </w:r>
      <w:r w:rsidRPr="65A5080D">
        <w:rPr>
          <w:noProof/>
          <w:lang w:val="en-IE"/>
        </w:rPr>
        <w:t xml:space="preserve">. The measure </w:t>
      </w:r>
      <w:r w:rsidR="005406A4">
        <w:rPr>
          <w:noProof/>
          <w:lang w:val="en-IE"/>
        </w:rPr>
        <w:t xml:space="preserve">assumes that successors to </w:t>
      </w:r>
      <w:r w:rsidR="00672B4B">
        <w:rPr>
          <w:noProof/>
          <w:lang w:val="en-IE"/>
        </w:rPr>
        <w:t>today’s</w:t>
      </w:r>
      <w:r w:rsidR="005406A4">
        <w:rPr>
          <w:noProof/>
          <w:lang w:val="en-IE"/>
        </w:rPr>
        <w:t xml:space="preserve"> Horizon Europe</w:t>
      </w:r>
      <w:r w:rsidRPr="65A5080D">
        <w:rPr>
          <w:noProof/>
          <w:lang w:val="en-IE"/>
        </w:rPr>
        <w:t xml:space="preserve"> exist</w:t>
      </w:r>
      <w:r w:rsidR="00D01B63">
        <w:rPr>
          <w:noProof/>
          <w:lang w:val="en-IE"/>
        </w:rPr>
        <w:t>s</w:t>
      </w:r>
      <w:r w:rsidR="00672B4B">
        <w:rPr>
          <w:noProof/>
          <w:lang w:val="en-IE"/>
        </w:rPr>
        <w:t xml:space="preserve"> in the </w:t>
      </w:r>
      <w:r w:rsidRPr="65A5080D">
        <w:rPr>
          <w:noProof/>
          <w:lang w:val="en-IE"/>
        </w:rPr>
        <w:t xml:space="preserve">next </w:t>
      </w:r>
      <w:r w:rsidR="00D01B63">
        <w:rPr>
          <w:noProof/>
          <w:lang w:val="en-IE"/>
        </w:rPr>
        <w:t xml:space="preserve">multiannual financial framework </w:t>
      </w:r>
      <w:r w:rsidR="00436656">
        <w:rPr>
          <w:noProof/>
          <w:lang w:val="en-IE"/>
        </w:rPr>
        <w:t>and is provided for modelling purposes only, with no pre-emption of future budgetary decisions</w:t>
      </w:r>
      <w:r w:rsidRPr="65A5080D">
        <w:rPr>
          <w:noProof/>
          <w:lang w:val="en-IE"/>
        </w:rPr>
        <w:t>. The time horizon considered is seven years</w:t>
      </w:r>
      <w:r w:rsidR="00712574">
        <w:rPr>
          <w:noProof/>
          <w:lang w:val="en-IE"/>
        </w:rPr>
        <w:t>, with Work Programmes designed every two years</w:t>
      </w:r>
      <w:r w:rsidRPr="65A5080D">
        <w:rPr>
          <w:noProof/>
          <w:lang w:val="en-IE"/>
        </w:rPr>
        <w:t>. The scope covers activities at technology readiness levels four to eight, ranging from laboratory-scale research through piloting and demonstration, and includes sustainable cooling and energy solutions, reuse of waste heat and AI-enabled operations.</w:t>
      </w:r>
    </w:p>
    <w:p w14:paraId="7E0F4120" w14:textId="4E531631" w:rsidR="0088115D" w:rsidRDefault="00AC4E0E" w:rsidP="0088115D">
      <w:pPr>
        <w:pStyle w:val="Text1"/>
        <w:ind w:left="0"/>
        <w:rPr>
          <w:noProof/>
          <w:lang w:val="en-IE"/>
        </w:rPr>
      </w:pPr>
      <w:r>
        <w:rPr>
          <w:bCs/>
          <w:i/>
          <w:noProof/>
          <w:lang w:val="en-IE"/>
        </w:rPr>
        <w:t>Impact on d</w:t>
      </w:r>
      <w:r w:rsidRPr="008C3C5A">
        <w:rPr>
          <w:bCs/>
          <w:i/>
          <w:noProof/>
          <w:lang w:val="en-IE"/>
        </w:rPr>
        <w:t>ata</w:t>
      </w:r>
      <w:r>
        <w:rPr>
          <w:bCs/>
          <w:i/>
          <w:noProof/>
          <w:lang w:val="en-IE"/>
        </w:rPr>
        <w:t xml:space="preserve"> </w:t>
      </w:r>
      <w:r w:rsidRPr="008C3C5A">
        <w:rPr>
          <w:bCs/>
          <w:i/>
          <w:noProof/>
          <w:lang w:val="en-IE"/>
        </w:rPr>
        <w:t xml:space="preserve">centre </w:t>
      </w:r>
      <w:r>
        <w:rPr>
          <w:bCs/>
          <w:i/>
          <w:noProof/>
          <w:lang w:val="en-IE"/>
        </w:rPr>
        <w:t>deployment acceleration</w:t>
      </w:r>
      <w:r w:rsidR="0088115D" w:rsidRPr="005D26C8">
        <w:rPr>
          <w:i/>
          <w:iCs/>
          <w:noProof/>
          <w:lang w:val="en-IE"/>
        </w:rPr>
        <w:t>.</w:t>
      </w:r>
      <w:r w:rsidR="0088115D" w:rsidRPr="005D26C8">
        <w:rPr>
          <w:noProof/>
          <w:lang w:val="en-IE"/>
        </w:rPr>
        <w:t xml:space="preserve"> </w:t>
      </w:r>
      <w:r w:rsidR="0088115D" w:rsidRPr="005D26C8">
        <w:rPr>
          <w:iCs/>
          <w:noProof/>
          <w:lang w:val="en-IE"/>
        </w:rPr>
        <w:t xml:space="preserve">The baseline capacity growth presents a </w:t>
      </w:r>
      <w:r w:rsidR="0079286E" w:rsidRPr="0079286E">
        <w:rPr>
          <w:iCs/>
          <w:noProof/>
          <w:lang w:val="en-IE"/>
        </w:rPr>
        <w:t>12</w:t>
      </w:r>
      <w:r w:rsidR="0088115D" w:rsidRPr="0079286E">
        <w:rPr>
          <w:iCs/>
          <w:noProof/>
          <w:lang w:val="en-IE"/>
        </w:rPr>
        <w:t>% CAGR in data centre</w:t>
      </w:r>
      <w:r w:rsidR="0088115D" w:rsidRPr="0079286E">
        <w:rPr>
          <w:bCs/>
          <w:iCs/>
          <w:noProof/>
          <w:lang w:val="en-IE"/>
        </w:rPr>
        <w:t xml:space="preserve"> capacity (202</w:t>
      </w:r>
      <w:r w:rsidR="00712574">
        <w:rPr>
          <w:bCs/>
          <w:iCs/>
          <w:noProof/>
          <w:lang w:val="en-IE"/>
        </w:rPr>
        <w:t>5</w:t>
      </w:r>
      <w:r w:rsidR="0088115D" w:rsidRPr="0079286E">
        <w:rPr>
          <w:bCs/>
          <w:iCs/>
          <w:noProof/>
          <w:lang w:val="en-IE"/>
        </w:rPr>
        <w:t xml:space="preserve">-2036). Under this option, it is assumed that the capacity growth rate increases to 13%. The scope of this measure covers CSPs and operators active in new data centre builds in the EU, while impacts scale with the share of new projects receiving funding. </w:t>
      </w:r>
      <w:r w:rsidR="0088115D" w:rsidRPr="0079286E">
        <w:rPr>
          <w:noProof/>
          <w:lang w:val="en-IE"/>
        </w:rPr>
        <w:t xml:space="preserve">See Section </w:t>
      </w:r>
      <w:r w:rsidR="0088115D" w:rsidRPr="0079286E">
        <w:rPr>
          <w:noProof/>
          <w:lang w:val="en-IE"/>
        </w:rPr>
        <w:fldChar w:fldCharType="begin"/>
      </w:r>
      <w:r w:rsidR="0088115D" w:rsidRPr="0079286E">
        <w:rPr>
          <w:noProof/>
          <w:lang w:val="en-IE"/>
        </w:rPr>
        <w:instrText xml:space="preserve"> REF _Ref214543816 \r \h </w:instrText>
      </w:r>
      <w:r w:rsidR="0079286E">
        <w:rPr>
          <w:noProof/>
          <w:lang w:val="en-IE"/>
        </w:rPr>
        <w:instrText xml:space="preserve"> \* MERGEFORMAT </w:instrText>
      </w:r>
      <w:r w:rsidR="0088115D" w:rsidRPr="0079286E">
        <w:rPr>
          <w:noProof/>
          <w:lang w:val="en-IE"/>
        </w:rPr>
      </w:r>
      <w:r w:rsidR="0088115D" w:rsidRPr="0079286E">
        <w:rPr>
          <w:noProof/>
          <w:lang w:val="en-IE"/>
        </w:rPr>
        <w:fldChar w:fldCharType="separate"/>
      </w:r>
      <w:r w:rsidR="000E7F11">
        <w:rPr>
          <w:noProof/>
          <w:lang w:val="en-IE"/>
        </w:rPr>
        <w:t>2.3</w:t>
      </w:r>
      <w:r w:rsidR="0088115D" w:rsidRPr="0079286E">
        <w:rPr>
          <w:noProof/>
          <w:lang w:val="en-IE"/>
        </w:rPr>
        <w:fldChar w:fldCharType="end"/>
      </w:r>
      <w:r w:rsidR="0088115D" w:rsidRPr="0079286E">
        <w:rPr>
          <w:noProof/>
          <w:lang w:val="en-IE"/>
        </w:rPr>
        <w:t xml:space="preserve"> for further details. It is assumed that the share of new projects benefitting from PO1-C increases from 10% in 2026 to 50% by 2036 (see also sensitivity section).</w:t>
      </w:r>
    </w:p>
    <w:p w14:paraId="078E877E" w14:textId="79F20BEF" w:rsidR="007B1DAC" w:rsidRDefault="0088115D" w:rsidP="007B1DAC">
      <w:pPr>
        <w:rPr>
          <w:rFonts w:eastAsia="Times New Roman"/>
          <w:noProof/>
        </w:rPr>
      </w:pPr>
      <w:r w:rsidRPr="0007547C">
        <w:rPr>
          <w:b/>
          <w:i/>
          <w:noProof/>
        </w:rPr>
        <w:t xml:space="preserve">Administrative costs for </w:t>
      </w:r>
      <w:r w:rsidR="00712574">
        <w:rPr>
          <w:b/>
          <w:i/>
          <w:noProof/>
        </w:rPr>
        <w:t>d</w:t>
      </w:r>
      <w:r w:rsidR="00712574" w:rsidRPr="59E4558D">
        <w:rPr>
          <w:b/>
          <w:i/>
          <w:noProof/>
        </w:rPr>
        <w:t xml:space="preserve">ata </w:t>
      </w:r>
      <w:r w:rsidR="00712574">
        <w:rPr>
          <w:b/>
          <w:i/>
          <w:noProof/>
        </w:rPr>
        <w:t>c</w:t>
      </w:r>
      <w:r w:rsidR="00712574" w:rsidRPr="59E4558D">
        <w:rPr>
          <w:b/>
          <w:i/>
          <w:noProof/>
        </w:rPr>
        <w:t xml:space="preserve">entre </w:t>
      </w:r>
      <w:r w:rsidR="00712574">
        <w:rPr>
          <w:b/>
          <w:i/>
          <w:noProof/>
        </w:rPr>
        <w:t>o</w:t>
      </w:r>
      <w:r w:rsidR="00712574" w:rsidRPr="59E4558D">
        <w:rPr>
          <w:b/>
          <w:i/>
          <w:noProof/>
        </w:rPr>
        <w:t>perators</w:t>
      </w:r>
      <w:r w:rsidRPr="0007547C">
        <w:rPr>
          <w:noProof/>
        </w:rPr>
        <w:t xml:space="preserve">. </w:t>
      </w:r>
      <w:r w:rsidR="00712574">
        <w:rPr>
          <w:noProof/>
        </w:rPr>
        <w:t xml:space="preserve">Shall they wish to apply for this type of funding businesses would face </w:t>
      </w:r>
      <w:r w:rsidRPr="0007547C">
        <w:rPr>
          <w:noProof/>
        </w:rPr>
        <w:t xml:space="preserve">administrative one-off costs include proposal preparation and consortium coordination. </w:t>
      </w:r>
      <w:r w:rsidR="007B1DAC">
        <w:rPr>
          <w:rFonts w:eastAsia="Times New Roman"/>
          <w:noProof/>
        </w:rPr>
        <w:t>These costs (e.g. for p</w:t>
      </w:r>
      <w:r w:rsidR="007B1DAC" w:rsidRPr="0007547C">
        <w:rPr>
          <w:rFonts w:eastAsia="Times New Roman"/>
          <w:noProof/>
        </w:rPr>
        <w:t>reparing applications, providing supporting documentation and fulfilling reporting obligations</w:t>
      </w:r>
      <w:r w:rsidR="007B1DAC">
        <w:rPr>
          <w:rFonts w:eastAsia="Times New Roman"/>
          <w:noProof/>
        </w:rPr>
        <w:t>) have been</w:t>
      </w:r>
      <w:r w:rsidR="007B1DAC" w:rsidRPr="0007547C">
        <w:rPr>
          <w:rFonts w:eastAsia="Times New Roman"/>
          <w:noProof/>
        </w:rPr>
        <w:t xml:space="preserve"> estimated at </w:t>
      </w:r>
      <w:r w:rsidR="007B1DAC">
        <w:rPr>
          <w:rFonts w:eastAsia="Times New Roman"/>
          <w:noProof/>
        </w:rPr>
        <w:t xml:space="preserve">0.2 FTEs, or 45 days </w:t>
      </w:r>
      <w:r w:rsidR="007B1DAC" w:rsidRPr="0007547C">
        <w:rPr>
          <w:rFonts w:eastAsia="Times New Roman"/>
          <w:noProof/>
        </w:rPr>
        <w:t>during the first year</w:t>
      </w:r>
      <w:r w:rsidR="007B1DAC">
        <w:rPr>
          <w:rFonts w:eastAsia="Times New Roman"/>
          <w:noProof/>
        </w:rPr>
        <w:t xml:space="preserve"> for consortium building and design of governance structures</w:t>
      </w:r>
      <w:r w:rsidR="007B1DAC" w:rsidRPr="0007547C">
        <w:rPr>
          <w:rFonts w:eastAsia="Times New Roman"/>
          <w:noProof/>
        </w:rPr>
        <w:t xml:space="preserve">. </w:t>
      </w:r>
      <w:r w:rsidR="007B1DAC" w:rsidRPr="0007547C">
        <w:rPr>
          <w:noProof/>
        </w:rPr>
        <w:t xml:space="preserve">It has been assumed that </w:t>
      </w:r>
      <w:r w:rsidR="007B1DAC">
        <w:rPr>
          <w:noProof/>
        </w:rPr>
        <w:t>20</w:t>
      </w:r>
      <w:r w:rsidR="007B1DAC" w:rsidRPr="0007547C">
        <w:rPr>
          <w:noProof/>
        </w:rPr>
        <w:t xml:space="preserve"> proposals </w:t>
      </w:r>
      <w:r w:rsidR="007B1DAC">
        <w:rPr>
          <w:noProof/>
        </w:rPr>
        <w:t>would be prepared every 2 years.</w:t>
      </w:r>
      <w:r w:rsidR="007B1DAC" w:rsidRPr="00F86749">
        <w:rPr>
          <w:rFonts w:eastAsia="Times New Roman"/>
          <w:noProof/>
        </w:rPr>
        <w:t xml:space="preserve"> These </w:t>
      </w:r>
      <w:r w:rsidR="007B1DAC">
        <w:rPr>
          <w:rFonts w:eastAsia="Times New Roman"/>
          <w:noProof/>
        </w:rPr>
        <w:t>are estimated as the</w:t>
      </w:r>
      <w:r w:rsidR="007B1DAC" w:rsidRPr="00F86749">
        <w:rPr>
          <w:rFonts w:eastAsia="Times New Roman"/>
          <w:noProof/>
        </w:rPr>
        <w:t xml:space="preserve"> staff time </w:t>
      </w:r>
      <w:r w:rsidR="007B1DAC">
        <w:rPr>
          <w:rFonts w:eastAsia="Times New Roman"/>
          <w:noProof/>
        </w:rPr>
        <w:t>spent on the application multiplied by the relevant labour costs</w:t>
      </w:r>
      <w:r w:rsidR="007B1DAC" w:rsidRPr="00F86749">
        <w:rPr>
          <w:rFonts w:eastAsia="Times New Roman"/>
          <w:noProof/>
        </w:rPr>
        <w:t>.</w:t>
      </w:r>
      <w:r w:rsidR="007B1DAC">
        <w:rPr>
          <w:rFonts w:eastAsia="Times New Roman"/>
          <w:noProof/>
        </w:rPr>
        <w:t xml:space="preserve"> </w:t>
      </w:r>
    </w:p>
    <w:p w14:paraId="01F0A101" w14:textId="0EFCCB8A" w:rsidR="007B1DAC" w:rsidRPr="00576897" w:rsidRDefault="00965CB1" w:rsidP="007B1DAC">
      <w:pPr>
        <w:jc w:val="center"/>
        <w:rPr>
          <w:i/>
          <w:noProof/>
          <w:lang w:val="en-IE" w:bidi="he-IL"/>
        </w:rPr>
      </w:pPr>
      <w:r>
        <w:rPr>
          <w:i/>
          <w:noProof/>
        </w:rPr>
        <w:t>One- off a</w:t>
      </w:r>
      <w:r w:rsidR="007B1DAC">
        <w:rPr>
          <w:i/>
          <w:noProof/>
        </w:rPr>
        <w:t>dministrative costs</w:t>
      </w:r>
      <w:r w:rsidR="007B1DAC">
        <w:rPr>
          <w:i/>
          <w:noProof/>
          <w:vertAlign w:val="subscript"/>
        </w:rPr>
        <w:t xml:space="preserve"> year t</w:t>
      </w:r>
      <w:r w:rsidR="007B1DAC" w:rsidRPr="0007547C">
        <w:rPr>
          <w:i/>
          <w:noProof/>
        </w:rPr>
        <w:t xml:space="preserve"> = </w:t>
      </w:r>
      <w:r w:rsidR="007B1DAC">
        <w:rPr>
          <w:i/>
          <w:noProof/>
        </w:rPr>
        <w:t xml:space="preserve">ΔT × labour cost × No. of applications/proposals </w:t>
      </w:r>
    </w:p>
    <w:p w14:paraId="60817792" w14:textId="468DCA97" w:rsidR="009D48DA" w:rsidRDefault="009D48DA" w:rsidP="009D48DA">
      <w:pPr>
        <w:pStyle w:val="Text1"/>
        <w:ind w:left="0"/>
        <w:rPr>
          <w:noProof/>
        </w:rPr>
      </w:pPr>
      <w:r>
        <w:rPr>
          <w:noProof/>
        </w:rPr>
        <w:t xml:space="preserve">Total </w:t>
      </w:r>
      <w:r w:rsidR="00965CB1">
        <w:rPr>
          <w:noProof/>
        </w:rPr>
        <w:t>one-off</w:t>
      </w:r>
      <w:r>
        <w:rPr>
          <w:noProof/>
        </w:rPr>
        <w:t xml:space="preserve"> administrative costs for data centre operators under PM8 are thus estimated at EUR </w:t>
      </w:r>
      <w:r w:rsidR="00014E1E">
        <w:rPr>
          <w:noProof/>
        </w:rPr>
        <w:t>1.</w:t>
      </w:r>
      <w:r w:rsidR="00235B46">
        <w:rPr>
          <w:noProof/>
        </w:rPr>
        <w:t xml:space="preserve">1 </w:t>
      </w:r>
      <w:r>
        <w:rPr>
          <w:noProof/>
        </w:rPr>
        <w:t>m (NPV, 10-years).</w:t>
      </w:r>
    </w:p>
    <w:p w14:paraId="075D47A2" w14:textId="77777777" w:rsidR="007B1DAC" w:rsidRPr="00576897" w:rsidRDefault="007B1DAC" w:rsidP="007B1DAC">
      <w:pPr>
        <w:pStyle w:val="Text1"/>
        <w:ind w:left="0"/>
        <w:rPr>
          <w:i/>
          <w:noProof/>
          <w:lang w:val="en-IE" w:bidi="he-IL"/>
        </w:rPr>
      </w:pPr>
      <w:r w:rsidRPr="0007547C">
        <w:rPr>
          <w:noProof/>
        </w:rPr>
        <w:t xml:space="preserve">Operators may </w:t>
      </w:r>
      <w:r>
        <w:rPr>
          <w:noProof/>
        </w:rPr>
        <w:t xml:space="preserve">also </w:t>
      </w:r>
      <w:r w:rsidRPr="0007547C">
        <w:rPr>
          <w:noProof/>
        </w:rPr>
        <w:t xml:space="preserve">face incremental costs to meet eligibility requirements. </w:t>
      </w:r>
    </w:p>
    <w:p w14:paraId="2091C209" w14:textId="726ECB60" w:rsidR="007B1DAC" w:rsidRDefault="007B1DAC" w:rsidP="007B1DAC">
      <w:pPr>
        <w:pStyle w:val="Text1"/>
        <w:ind w:left="0"/>
        <w:rPr>
          <w:b/>
          <w:bCs/>
          <w:noProof/>
          <w:lang w:val="en-IE"/>
        </w:rPr>
      </w:pPr>
      <w:r>
        <w:rPr>
          <w:b/>
          <w:i/>
          <w:noProof/>
        </w:rPr>
        <w:t>Benefits</w:t>
      </w:r>
      <w:r w:rsidRPr="294AF3FA">
        <w:rPr>
          <w:b/>
          <w:i/>
          <w:noProof/>
        </w:rPr>
        <w:t xml:space="preserve"> for </w:t>
      </w:r>
      <w:r w:rsidRPr="294AF3FA">
        <w:rPr>
          <w:b/>
          <w:bCs/>
          <w:i/>
          <w:iCs/>
          <w:noProof/>
        </w:rPr>
        <w:t>Data Centre Operators</w:t>
      </w:r>
      <w:r w:rsidRPr="294AF3FA">
        <w:rPr>
          <w:b/>
          <w:i/>
          <w:noProof/>
        </w:rPr>
        <w:t xml:space="preserve">. </w:t>
      </w:r>
      <w:r w:rsidRPr="0007547C">
        <w:rPr>
          <w:noProof/>
        </w:rPr>
        <w:t xml:space="preserve">Operators </w:t>
      </w:r>
      <w:r>
        <w:rPr>
          <w:noProof/>
        </w:rPr>
        <w:t xml:space="preserve">would </w:t>
      </w:r>
      <w:r w:rsidRPr="0007547C">
        <w:rPr>
          <w:noProof/>
        </w:rPr>
        <w:t>benefit from direct financial support, which</w:t>
      </w:r>
      <w:r>
        <w:rPr>
          <w:noProof/>
        </w:rPr>
        <w:t xml:space="preserve"> is expected to</w:t>
      </w:r>
      <w:r w:rsidRPr="0007547C">
        <w:rPr>
          <w:noProof/>
        </w:rPr>
        <w:t xml:space="preserve"> reduce their return on </w:t>
      </w:r>
      <w:r>
        <w:rPr>
          <w:noProof/>
        </w:rPr>
        <w:t>investments for cloud and AI</w:t>
      </w:r>
      <w:r w:rsidRPr="0007547C">
        <w:rPr>
          <w:noProof/>
        </w:rPr>
        <w:t xml:space="preserve"> projects. </w:t>
      </w:r>
      <w:r w:rsidRPr="0007748B">
        <w:rPr>
          <w:noProof/>
        </w:rPr>
        <w:t xml:space="preserve">These subsidy amounts are </w:t>
      </w:r>
      <w:r w:rsidR="00E24B86">
        <w:rPr>
          <w:noProof/>
        </w:rPr>
        <w:t>considered</w:t>
      </w:r>
      <w:r w:rsidRPr="0007748B">
        <w:rPr>
          <w:noProof/>
        </w:rPr>
        <w:t xml:space="preserve"> benefits for operators and corresponding costs for </w:t>
      </w:r>
      <w:r>
        <w:rPr>
          <w:noProof/>
        </w:rPr>
        <w:t>the Commission</w:t>
      </w:r>
      <w:r w:rsidRPr="0007748B">
        <w:rPr>
          <w:noProof/>
        </w:rPr>
        <w:t xml:space="preserve"> for transparency, but they do not contribute to the direct impact assessment as they constitute fiscal transfers. </w:t>
      </w:r>
      <w:r w:rsidRPr="00941971">
        <w:rPr>
          <w:noProof/>
          <w:lang w:val="en-IE"/>
        </w:rPr>
        <w:t xml:space="preserve">Savings are calculated as the amount of reimbursable financing provided to the eligible final recipients. </w:t>
      </w:r>
      <w:r>
        <w:rPr>
          <w:noProof/>
          <w:lang w:val="en-IE"/>
        </w:rPr>
        <w:t xml:space="preserve">Currently, </w:t>
      </w:r>
      <w:r w:rsidRPr="00941971">
        <w:rPr>
          <w:noProof/>
          <w:lang w:val="en-IE"/>
        </w:rPr>
        <w:t xml:space="preserve">Horizon Europe Research and Innovation Action (RIA) applies a 100% funding rate while the Digital Europe Programme funding rate is 50% for simple action grants and 75% for the SME Support Actions. </w:t>
      </w:r>
    </w:p>
    <w:p w14:paraId="0F35F8E0" w14:textId="1F7D0755" w:rsidR="00837E08" w:rsidRDefault="005B0B73" w:rsidP="00837E08">
      <w:pPr>
        <w:pStyle w:val="Text1"/>
        <w:ind w:left="0"/>
        <w:rPr>
          <w:noProof/>
          <w:lang w:val="en-IE"/>
        </w:rPr>
      </w:pPr>
      <w:r>
        <w:rPr>
          <w:b/>
          <w:bCs/>
          <w:i/>
          <w:iCs/>
          <w:noProof/>
          <w:lang w:val="en-IE"/>
        </w:rPr>
        <w:t>Adjustment</w:t>
      </w:r>
      <w:r w:rsidR="0088115D" w:rsidRPr="294AF3FA">
        <w:rPr>
          <w:b/>
          <w:bCs/>
          <w:i/>
          <w:iCs/>
          <w:noProof/>
          <w:lang w:val="en-IE"/>
        </w:rPr>
        <w:t xml:space="preserve"> costs for the European Commission. </w:t>
      </w:r>
      <w:r w:rsidR="0088115D" w:rsidRPr="005A3CD9">
        <w:rPr>
          <w:noProof/>
          <w:lang w:val="en-IE"/>
        </w:rPr>
        <w:t>The Commission bears responsibility for the management of calls, development of templates and reporting tools, and the evaluation and synthesis of project</w:t>
      </w:r>
      <w:r w:rsidR="0088115D">
        <w:rPr>
          <w:noProof/>
          <w:lang w:val="en-IE"/>
        </w:rPr>
        <w:t>s</w:t>
      </w:r>
      <w:r w:rsidR="0088115D" w:rsidRPr="294AF3FA">
        <w:rPr>
          <w:b/>
          <w:bCs/>
          <w:i/>
          <w:iCs/>
          <w:noProof/>
          <w:lang w:val="en-IE"/>
        </w:rPr>
        <w:t xml:space="preserve">. </w:t>
      </w:r>
      <w:r w:rsidR="0088115D">
        <w:rPr>
          <w:noProof/>
          <w:lang w:val="en-IE"/>
        </w:rPr>
        <w:t>The main cost would be one-off programme design and administration, i.e. work programme preparation, call management, evaluation, grant management preparation, monitoring and results dissemination.</w:t>
      </w:r>
      <w:r w:rsidR="0088115D" w:rsidRPr="00D12373">
        <w:rPr>
          <w:noProof/>
          <w:lang w:val="en-IE"/>
        </w:rPr>
        <w:t xml:space="preserve"> </w:t>
      </w:r>
      <w:r w:rsidR="00837E08">
        <w:rPr>
          <w:noProof/>
          <w:lang w:val="en-IE"/>
        </w:rPr>
        <w:t>This has been estimated as 3 FTEs during the first year of the programme</w:t>
      </w:r>
      <w:r w:rsidR="00D053BE">
        <w:rPr>
          <w:noProof/>
          <w:lang w:val="en-IE"/>
        </w:rPr>
        <w:t xml:space="preserve"> and</w:t>
      </w:r>
      <w:r w:rsidR="00837E08">
        <w:rPr>
          <w:noProof/>
          <w:lang w:val="en-IE"/>
        </w:rPr>
        <w:t xml:space="preserve"> recurring every two years for Work Programme design. R</w:t>
      </w:r>
      <w:r w:rsidR="00837E08" w:rsidRPr="003401EC">
        <w:rPr>
          <w:noProof/>
          <w:lang w:val="en-IE"/>
        </w:rPr>
        <w:t>ecurrent costs</w:t>
      </w:r>
      <w:r w:rsidR="00837E08">
        <w:rPr>
          <w:noProof/>
          <w:lang w:val="en-IE"/>
        </w:rPr>
        <w:t xml:space="preserve"> then arise in relation </w:t>
      </w:r>
      <w:r w:rsidR="00837E08" w:rsidRPr="003401EC">
        <w:rPr>
          <w:noProof/>
          <w:lang w:val="en-IE"/>
        </w:rPr>
        <w:t xml:space="preserve">to managing the funding </w:t>
      </w:r>
      <w:r w:rsidR="00837E08">
        <w:rPr>
          <w:noProof/>
          <w:lang w:val="en-IE"/>
        </w:rPr>
        <w:t>scheme and have been estimated as 1 FTEs. The</w:t>
      </w:r>
      <w:r w:rsidR="00837E08" w:rsidRPr="00E4559C">
        <w:rPr>
          <w:noProof/>
          <w:lang w:val="en-IE"/>
        </w:rPr>
        <w:t xml:space="preserve"> assumed portfolio consists of </w:t>
      </w:r>
      <w:r w:rsidR="00837E08">
        <w:rPr>
          <w:noProof/>
          <w:lang w:val="en-IE"/>
        </w:rPr>
        <w:t>one</w:t>
      </w:r>
      <w:r w:rsidR="00837E08" w:rsidRPr="00E4559C">
        <w:rPr>
          <w:noProof/>
          <w:lang w:val="en-IE"/>
        </w:rPr>
        <w:t xml:space="preserve"> call</w:t>
      </w:r>
      <w:r w:rsidR="00837E08">
        <w:rPr>
          <w:noProof/>
          <w:lang w:val="en-IE"/>
        </w:rPr>
        <w:t xml:space="preserve"> every two years</w:t>
      </w:r>
      <w:r w:rsidR="00837E08" w:rsidRPr="00E4559C">
        <w:rPr>
          <w:noProof/>
          <w:lang w:val="en-IE"/>
        </w:rPr>
        <w:t xml:space="preserve"> funding approximately </w:t>
      </w:r>
      <w:r w:rsidR="00837E08">
        <w:rPr>
          <w:noProof/>
          <w:lang w:val="en-IE"/>
        </w:rPr>
        <w:t>10</w:t>
      </w:r>
      <w:r w:rsidR="00837E08" w:rsidRPr="00E4559C">
        <w:rPr>
          <w:noProof/>
          <w:lang w:val="en-IE"/>
        </w:rPr>
        <w:t xml:space="preserve"> projects</w:t>
      </w:r>
      <w:r w:rsidR="00837E08">
        <w:rPr>
          <w:noProof/>
          <w:lang w:val="en-IE"/>
        </w:rPr>
        <w:t>.</w:t>
      </w:r>
    </w:p>
    <w:p w14:paraId="2499744F" w14:textId="4B7ED6FE" w:rsidR="00837E08" w:rsidRPr="0007748B" w:rsidRDefault="00837E08" w:rsidP="00837E08">
      <w:pPr>
        <w:pStyle w:val="Text1"/>
        <w:ind w:left="0"/>
        <w:jc w:val="center"/>
        <w:rPr>
          <w:i/>
          <w:noProof/>
        </w:rPr>
      </w:pPr>
      <w:r>
        <w:rPr>
          <w:i/>
          <w:noProof/>
        </w:rPr>
        <w:t xml:space="preserve">Total </w:t>
      </w:r>
      <w:r w:rsidR="005B0B73">
        <w:rPr>
          <w:i/>
          <w:noProof/>
        </w:rPr>
        <w:t>adjustment</w:t>
      </w:r>
      <w:r>
        <w:rPr>
          <w:i/>
          <w:noProof/>
        </w:rPr>
        <w:t xml:space="preserve"> costs = (one-off </w:t>
      </w:r>
      <w:r w:rsidR="005B0B73">
        <w:rPr>
          <w:i/>
          <w:noProof/>
        </w:rPr>
        <w:t>adjustment</w:t>
      </w:r>
      <w:r>
        <w:rPr>
          <w:i/>
          <w:noProof/>
        </w:rPr>
        <w:t xml:space="preserve"> costs + recurrent </w:t>
      </w:r>
      <w:r w:rsidR="005B0B73">
        <w:rPr>
          <w:i/>
          <w:noProof/>
        </w:rPr>
        <w:t>adjustment</w:t>
      </w:r>
      <w:r>
        <w:rPr>
          <w:i/>
          <w:noProof/>
        </w:rPr>
        <w:t xml:space="preserve"> costs)</w:t>
      </w:r>
      <w:r w:rsidRPr="003A4F72">
        <w:rPr>
          <w:i/>
          <w:noProof/>
        </w:rPr>
        <w:t xml:space="preserve"> </w:t>
      </w:r>
      <w:r>
        <w:rPr>
          <w:i/>
          <w:noProof/>
        </w:rPr>
        <w:t>= [(ΔT × labour cost)</w:t>
      </w:r>
      <w:r>
        <w:rPr>
          <w:i/>
          <w:noProof/>
          <w:vertAlign w:val="subscript"/>
        </w:rPr>
        <w:t xml:space="preserve"> year 1,3,5</w:t>
      </w:r>
      <w:r>
        <w:rPr>
          <w:i/>
          <w:noProof/>
        </w:rPr>
        <w:t xml:space="preserve"> + (ΔT × labour cost)</w:t>
      </w:r>
      <w:r>
        <w:rPr>
          <w:i/>
          <w:noProof/>
          <w:vertAlign w:val="subscript"/>
        </w:rPr>
        <w:t xml:space="preserve"> year 2,4,6,7</w:t>
      </w:r>
      <w:r w:rsidRPr="00F84D14">
        <w:rPr>
          <w:i/>
          <w:noProof/>
        </w:rPr>
        <w:t>]</w:t>
      </w:r>
      <w:r>
        <w:rPr>
          <w:i/>
          <w:noProof/>
          <w:vertAlign w:val="subscript"/>
        </w:rPr>
        <w:t xml:space="preserve"> </w:t>
      </w:r>
    </w:p>
    <w:p w14:paraId="305FDC53" w14:textId="00D2692D" w:rsidR="00014E1E" w:rsidRDefault="00014E1E" w:rsidP="00014E1E">
      <w:pPr>
        <w:pStyle w:val="Text1"/>
        <w:ind w:left="0"/>
        <w:rPr>
          <w:noProof/>
        </w:rPr>
      </w:pPr>
      <w:r>
        <w:rPr>
          <w:noProof/>
        </w:rPr>
        <w:t xml:space="preserve">Total adjustment costs for the European Commission under PM8 are thus estimated at EUR </w:t>
      </w:r>
      <w:r w:rsidR="004F5C6D">
        <w:rPr>
          <w:noProof/>
        </w:rPr>
        <w:t>1.1</w:t>
      </w:r>
      <w:r>
        <w:rPr>
          <w:noProof/>
        </w:rPr>
        <w:t xml:space="preserve"> m (NPV, 10-years).</w:t>
      </w:r>
    </w:p>
    <w:p w14:paraId="387A616D" w14:textId="3B8CA96C" w:rsidR="0088115D" w:rsidRPr="00A54618" w:rsidRDefault="0088115D" w:rsidP="00837E08">
      <w:pPr>
        <w:rPr>
          <w:noProof/>
          <w:lang w:val="en-IE"/>
        </w:rPr>
      </w:pPr>
      <w:r w:rsidRPr="00A54618">
        <w:rPr>
          <w:noProof/>
          <w:lang w:val="en-IE"/>
        </w:rPr>
        <w:t>There could be an impact for those MS that decide to contribute to the funding programme with national funds</w:t>
      </w:r>
      <w:r w:rsidR="005A47C2">
        <w:rPr>
          <w:noProof/>
          <w:lang w:val="en-IE"/>
        </w:rPr>
        <w:t xml:space="preserve"> </w:t>
      </w:r>
      <w:r w:rsidR="005A47C2" w:rsidRPr="00103AD6">
        <w:rPr>
          <w:rFonts w:eastAsia="Calibri"/>
          <w:noProof/>
        </w:rPr>
        <w:t xml:space="preserve">in line with </w:t>
      </w:r>
      <w:r w:rsidR="71E18F33" w:rsidRPr="00103AD6">
        <w:rPr>
          <w:rFonts w:eastAsia="Calibri"/>
          <w:noProof/>
        </w:rPr>
        <w:t>applicable State aid rules</w:t>
      </w:r>
      <w:r w:rsidR="71E18F33" w:rsidRPr="0539CB7A">
        <w:rPr>
          <w:noProof/>
          <w:lang w:val="en-IE"/>
        </w:rPr>
        <w:t>.</w:t>
      </w:r>
      <w:r w:rsidRPr="5C4C9883">
        <w:rPr>
          <w:noProof/>
          <w:lang w:val="en-IE"/>
        </w:rPr>
        <w:t xml:space="preserve"> </w:t>
      </w:r>
      <w:r w:rsidRPr="00A54618">
        <w:rPr>
          <w:noProof/>
          <w:lang w:val="en-IE"/>
        </w:rPr>
        <w:t>As this would depend on the size of this contribution, it has not been modelled under this policy measure.</w:t>
      </w:r>
    </w:p>
    <w:p w14:paraId="56D2BF7C" w14:textId="3A05CE47" w:rsidR="0088115D" w:rsidRPr="0088115D" w:rsidRDefault="0088115D" w:rsidP="0088115D">
      <w:pPr>
        <w:pStyle w:val="Text1"/>
        <w:ind w:left="0"/>
        <w:rPr>
          <w:noProof/>
          <w:szCs w:val="24"/>
          <w:lang w:val="en-IE"/>
        </w:rPr>
      </w:pPr>
      <w:r w:rsidRPr="294AF3FA">
        <w:rPr>
          <w:b/>
          <w:bCs/>
          <w:noProof/>
          <w:lang w:val="en-IE"/>
        </w:rPr>
        <w:t xml:space="preserve">Indirect </w:t>
      </w:r>
      <w:r w:rsidR="001D1524" w:rsidRPr="294AF3FA">
        <w:rPr>
          <w:b/>
          <w:bCs/>
          <w:noProof/>
        </w:rPr>
        <w:t>savings</w:t>
      </w:r>
      <w:r w:rsidRPr="294AF3FA">
        <w:rPr>
          <w:b/>
          <w:bCs/>
          <w:noProof/>
          <w:lang w:val="en-IE"/>
        </w:rPr>
        <w:t xml:space="preserve">: </w:t>
      </w:r>
      <w:r w:rsidRPr="00DA029C">
        <w:rPr>
          <w:noProof/>
          <w:lang w:val="en-IE"/>
        </w:rPr>
        <w:t xml:space="preserve">the main indirect impact, which is hard to quantify, is the value generated in terms of making current product and services more efficient and competitive and of generating new products and services. The EC estimated that every Euro invested in Horizon Europe generates 11 EUR in economic value (GDP gains by 2045), </w:t>
      </w:r>
      <w:r w:rsidRPr="294AF3FA">
        <w:rPr>
          <w:i/>
          <w:iCs/>
          <w:noProof/>
          <w:lang w:val="en-IE"/>
        </w:rPr>
        <w:t>i.e. “For every euro of costs to EU society, the programme is expected to generate up to six euros in benefits for EU citizens by 2045. In terms of economic growth, every euro of EU contribution is estimated to generate up to €11 in GDP gains by 2045, according to an evaluation of the Commission released today...</w:t>
      </w:r>
      <w:r w:rsidRPr="00DA029C">
        <w:rPr>
          <w:noProof/>
          <w:lang w:val="en-IE"/>
        </w:rPr>
        <w:t>" (April 2025)</w:t>
      </w:r>
      <w:r w:rsidRPr="00DFD3C6">
        <w:rPr>
          <w:rStyle w:val="FootnoteReference"/>
          <w:noProof/>
          <w:lang w:val="es-ES"/>
        </w:rPr>
        <w:footnoteReference w:id="51"/>
      </w:r>
      <w:r w:rsidRPr="00DA029C">
        <w:rPr>
          <w:noProof/>
          <w:lang w:val="en-IE"/>
        </w:rPr>
        <w:t xml:space="preserve">. </w:t>
      </w:r>
      <w:r w:rsidRPr="0088115D">
        <w:rPr>
          <w:noProof/>
        </w:rPr>
        <w:t>The impact of Horizon Europe is directly reflected in the success of funding various research and innovation projects, in January 2025 for example, more than 15,000 projects in fields such as electric vehicles, new antibiotics, and accessible AI technologies benefitted from the programme</w:t>
      </w:r>
      <w:r w:rsidRPr="0088115D">
        <w:rPr>
          <w:rStyle w:val="FootnoteReference"/>
          <w:noProof/>
          <w:lang w:val="es-ES"/>
        </w:rPr>
        <w:footnoteReference w:id="52"/>
      </w:r>
      <w:r w:rsidRPr="001D1524">
        <w:rPr>
          <w:rStyle w:val="FootnoteReference"/>
          <w:noProof/>
          <w:lang w:val="en-IE"/>
        </w:rPr>
        <w:t xml:space="preserve">. </w:t>
      </w:r>
      <w:r w:rsidRPr="0088115D">
        <w:rPr>
          <w:noProof/>
        </w:rPr>
        <w:t>A last element has also made Horizon Europe particularly beneficial to European innovation and research savings, with lump sum grants being estimated to reduce beneficiaries’ administrative costs from 14% up to 30% over projects’ lifetime</w:t>
      </w:r>
      <w:r w:rsidRPr="0088115D">
        <w:rPr>
          <w:rStyle w:val="FootnoteReference"/>
          <w:noProof/>
          <w:lang w:val="es-ES"/>
        </w:rPr>
        <w:footnoteReference w:id="53"/>
      </w:r>
      <w:r w:rsidRPr="001D1524">
        <w:rPr>
          <w:rStyle w:val="FootnoteReference"/>
          <w:noProof/>
          <w:lang w:val="en-IE"/>
        </w:rPr>
        <w:t xml:space="preserve"> </w:t>
      </w:r>
      <w:r w:rsidRPr="0088115D">
        <w:rPr>
          <w:noProof/>
        </w:rPr>
        <w:t>with the elimination</w:t>
      </w:r>
      <w:r w:rsidRPr="447984AA">
        <w:rPr>
          <w:rStyle w:val="FootnoteReference"/>
          <w:noProof/>
          <w:lang w:val="en-IE"/>
        </w:rPr>
        <w:t xml:space="preserve"> </w:t>
      </w:r>
      <w:r w:rsidRPr="0088115D">
        <w:rPr>
          <w:noProof/>
        </w:rPr>
        <w:t>of financial reporting requirements being of paramount importance in stimulating industry participation of SMEs and newcomers.</w:t>
      </w:r>
    </w:p>
    <w:p w14:paraId="60426941" w14:textId="1129354F" w:rsidR="007335B5" w:rsidRDefault="007335B5" w:rsidP="007335B5">
      <w:pPr>
        <w:rPr>
          <w:rFonts w:eastAsia="Times New Roman"/>
          <w:b/>
          <w:bCs/>
          <w:noProof/>
          <w:szCs w:val="20"/>
        </w:rPr>
      </w:pPr>
      <w:r w:rsidRPr="00C73124">
        <w:rPr>
          <w:rFonts w:eastAsia="Times New Roman"/>
          <w:b/>
          <w:bCs/>
          <w:noProof/>
          <w:szCs w:val="20"/>
        </w:rPr>
        <w:t xml:space="preserve">Sensitivity analysis: </w:t>
      </w:r>
      <w:r>
        <w:rPr>
          <w:rFonts w:eastAsia="Times New Roman"/>
          <w:noProof/>
          <w:szCs w:val="20"/>
        </w:rPr>
        <w:t>Sensitivity analysis was considered for the total costs for the Commission in administering the scheme, i.e. the effort required to set-it up and manage it in terms of FTEs, also to consider the uncertainty related to the overall magnitude of the scheme.</w:t>
      </w:r>
    </w:p>
    <w:p w14:paraId="6ECCD88C" w14:textId="374159F8" w:rsidR="007335B5" w:rsidRPr="00327652" w:rsidRDefault="007335B5" w:rsidP="007335B5">
      <w:pPr>
        <w:pStyle w:val="Text1"/>
        <w:ind w:left="0"/>
        <w:rPr>
          <w:rFonts w:eastAsiaTheme="minorHAnsi"/>
          <w:b/>
          <w:noProof/>
        </w:rPr>
      </w:pPr>
      <w:r w:rsidRPr="00327652">
        <w:rPr>
          <w:b/>
          <w:iCs/>
          <w:noProof/>
        </w:rPr>
        <w:t>Results:</w:t>
      </w:r>
      <w:r>
        <w:rPr>
          <w:bCs/>
          <w:iCs/>
          <w:noProof/>
        </w:rPr>
        <w:t xml:space="preserve"> </w:t>
      </w:r>
      <w:r>
        <w:rPr>
          <w:rFonts w:eastAsiaTheme="minorHAnsi" w:cstheme="minorBidi"/>
          <w:noProof/>
          <w:kern w:val="2"/>
          <w:szCs w:val="24"/>
          <w:lang w:val="en-IE"/>
          <w14:ligatures w14:val="standardContextual"/>
        </w:rPr>
        <w:t xml:space="preserve">The table below presents the aggregated costs for all stakeholders for the implementation of this measure. Total </w:t>
      </w:r>
      <w:r w:rsidR="00325584">
        <w:rPr>
          <w:rFonts w:eastAsiaTheme="minorHAnsi" w:cstheme="minorBidi"/>
          <w:noProof/>
          <w:kern w:val="2"/>
          <w:szCs w:val="24"/>
          <w:lang w:val="en-IE"/>
          <w14:ligatures w14:val="standardContextual"/>
        </w:rPr>
        <w:t>adjustment</w:t>
      </w:r>
      <w:r>
        <w:rPr>
          <w:rFonts w:eastAsiaTheme="minorHAnsi" w:cstheme="minorBidi"/>
          <w:noProof/>
          <w:kern w:val="2"/>
          <w:szCs w:val="24"/>
          <w:lang w:val="en-IE"/>
          <w14:ligatures w14:val="standardContextual"/>
        </w:rPr>
        <w:t xml:space="preserve"> costs for the European Commission are estimated at </w:t>
      </w:r>
      <w:r>
        <w:rPr>
          <w:noProof/>
        </w:rPr>
        <w:t xml:space="preserve">EUR </w:t>
      </w:r>
      <w:r w:rsidRPr="0007748B">
        <w:rPr>
          <w:noProof/>
        </w:rPr>
        <w:t>1.</w:t>
      </w:r>
      <w:r w:rsidR="00A74948">
        <w:rPr>
          <w:noProof/>
        </w:rPr>
        <w:t>09</w:t>
      </w:r>
      <w:r w:rsidRPr="00241F1C">
        <w:rPr>
          <w:noProof/>
        </w:rPr>
        <w:t xml:space="preserve"> m</w:t>
      </w:r>
      <w:r w:rsidRPr="00E6271B">
        <w:rPr>
          <w:noProof/>
        </w:rPr>
        <w:t xml:space="preserve">. The minimum and maximum ranges are driven by variations in the </w:t>
      </w:r>
      <w:r>
        <w:rPr>
          <w:noProof/>
        </w:rPr>
        <w:t>effort levels required to operate the scheme</w:t>
      </w:r>
      <w:r w:rsidRPr="00E6271B">
        <w:rPr>
          <w:noProof/>
        </w:rPr>
        <w:t xml:space="preserve"> </w:t>
      </w:r>
      <w:r>
        <w:rPr>
          <w:noProof/>
        </w:rPr>
        <w:t xml:space="preserve">by </w:t>
      </w:r>
      <w:r w:rsidRPr="00E6271B">
        <w:rPr>
          <w:noProof/>
        </w:rPr>
        <w:t xml:space="preserve">and the magnitude of </w:t>
      </w:r>
      <w:r>
        <w:rPr>
          <w:noProof/>
        </w:rPr>
        <w:t xml:space="preserve">staff days involved. </w:t>
      </w:r>
      <w:r w:rsidRPr="00E47755">
        <w:rPr>
          <w:noProof/>
        </w:rPr>
        <w:t>Fiscal transfers have no net effect when aggregated across stakeholders</w:t>
      </w:r>
      <w:r>
        <w:rPr>
          <w:noProof/>
        </w:rPr>
        <w:t xml:space="preserve">, i.e. </w:t>
      </w:r>
      <w:r w:rsidRPr="00E47755">
        <w:rPr>
          <w:noProof/>
        </w:rPr>
        <w:t>financial benefit</w:t>
      </w:r>
      <w:r>
        <w:rPr>
          <w:noProof/>
        </w:rPr>
        <w:t>s</w:t>
      </w:r>
      <w:r w:rsidRPr="00E47755">
        <w:rPr>
          <w:noProof/>
        </w:rPr>
        <w:t xml:space="preserve"> for operators </w:t>
      </w:r>
      <w:r>
        <w:rPr>
          <w:noProof/>
        </w:rPr>
        <w:t>are</w:t>
      </w:r>
      <w:r w:rsidRPr="00E47755">
        <w:rPr>
          <w:noProof/>
        </w:rPr>
        <w:t xml:space="preserve"> mirrored by equivalent fiscal cost</w:t>
      </w:r>
      <w:r>
        <w:rPr>
          <w:noProof/>
        </w:rPr>
        <w:t>s</w:t>
      </w:r>
      <w:r w:rsidRPr="00E47755">
        <w:rPr>
          <w:noProof/>
        </w:rPr>
        <w:t xml:space="preserve"> for </w:t>
      </w:r>
      <w:r>
        <w:rPr>
          <w:noProof/>
        </w:rPr>
        <w:t xml:space="preserve">the Commission. </w:t>
      </w:r>
      <w:r w:rsidR="008B1991">
        <w:rPr>
          <w:noProof/>
        </w:rPr>
        <w:t xml:space="preserve">Administrative </w:t>
      </w:r>
      <w:r w:rsidR="00325584">
        <w:rPr>
          <w:noProof/>
        </w:rPr>
        <w:t>costs</w:t>
      </w:r>
      <w:r>
        <w:rPr>
          <w:noProof/>
        </w:rPr>
        <w:t xml:space="preserve"> for operators participating in the scheme are also illustrated in the table below and vary based on the uncertainty with respect to the number of applications and days dedicated to </w:t>
      </w:r>
      <w:r w:rsidR="00E1625A">
        <w:rPr>
          <w:noProof/>
        </w:rPr>
        <w:t xml:space="preserve">the preparation of the </w:t>
      </w:r>
      <w:r>
        <w:rPr>
          <w:noProof/>
        </w:rPr>
        <w:t xml:space="preserve">proposal/application. </w:t>
      </w:r>
    </w:p>
    <w:p w14:paraId="33BE58B7" w14:textId="656E221D" w:rsidR="0066569D" w:rsidRDefault="0066569D" w:rsidP="0066569D">
      <w:pPr>
        <w:pStyle w:val="Caption"/>
        <w:keepNext/>
        <w:rPr>
          <w:noProof/>
        </w:rPr>
      </w:pPr>
      <w:r w:rsidRPr="00D337FA">
        <w:rPr>
          <w:noProof/>
        </w:rPr>
        <w:t xml:space="preserve">Table </w:t>
      </w:r>
      <w:r w:rsidRPr="00D337FA">
        <w:rPr>
          <w:noProof/>
        </w:rPr>
        <w:fldChar w:fldCharType="begin"/>
      </w:r>
      <w:r w:rsidRPr="00D337FA">
        <w:rPr>
          <w:noProof/>
        </w:rPr>
        <w:instrText xml:space="preserve"> SEQ Table \* ARABIC </w:instrText>
      </w:r>
      <w:r w:rsidRPr="00D337FA">
        <w:rPr>
          <w:noProof/>
        </w:rPr>
        <w:fldChar w:fldCharType="separate"/>
      </w:r>
      <w:r w:rsidR="000E7F11">
        <w:rPr>
          <w:noProof/>
        </w:rPr>
        <w:t>28</w:t>
      </w:r>
      <w:r w:rsidRPr="00D337FA">
        <w:rPr>
          <w:noProof/>
        </w:rPr>
        <w:fldChar w:fldCharType="end"/>
      </w:r>
      <w:r w:rsidRPr="00D337FA">
        <w:rPr>
          <w:noProof/>
        </w:rPr>
        <w:t>. EU Funding for R&amp;D and innovation ecosystems for cloud and AI (PM8)</w:t>
      </w:r>
    </w:p>
    <w:tbl>
      <w:tblPr>
        <w:tblStyle w:val="TableGrid"/>
        <w:tblW w:w="9561" w:type="dxa"/>
        <w:tblInd w:w="-284" w:type="dxa"/>
        <w:tblLayout w:type="fixed"/>
        <w:tblCellMar>
          <w:left w:w="0" w:type="dxa"/>
          <w:right w:w="0" w:type="dxa"/>
        </w:tblCellMar>
        <w:tblLook w:val="04A0" w:firstRow="1" w:lastRow="0" w:firstColumn="1" w:lastColumn="0" w:noHBand="0" w:noVBand="1"/>
      </w:tblPr>
      <w:tblGrid>
        <w:gridCol w:w="2189"/>
        <w:gridCol w:w="1276"/>
        <w:gridCol w:w="1213"/>
        <w:gridCol w:w="1418"/>
        <w:gridCol w:w="1134"/>
        <w:gridCol w:w="1169"/>
        <w:gridCol w:w="1162"/>
      </w:tblGrid>
      <w:tr w:rsidR="006B45A1" w:rsidRPr="00FA63C0" w14:paraId="0AF0BB9A" w14:textId="77777777">
        <w:trPr>
          <w:trHeight w:val="506"/>
        </w:trPr>
        <w:tc>
          <w:tcPr>
            <w:tcW w:w="2189" w:type="dxa"/>
            <w:tcBorders>
              <w:bottom w:val="single" w:sz="12" w:space="0" w:color="00B0F0"/>
            </w:tcBorders>
            <w:noWrap/>
            <w:vAlign w:val="center"/>
            <w:hideMark/>
          </w:tcPr>
          <w:p w14:paraId="1F025FBA"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76" w:type="dxa"/>
            <w:tcBorders>
              <w:bottom w:val="single" w:sz="12" w:space="0" w:color="00B0F0"/>
            </w:tcBorders>
            <w:vAlign w:val="center"/>
          </w:tcPr>
          <w:p w14:paraId="391F3345"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13" w:type="dxa"/>
            <w:tcBorders>
              <w:bottom w:val="single" w:sz="12" w:space="0" w:color="00B0F0"/>
            </w:tcBorders>
            <w:vAlign w:val="center"/>
          </w:tcPr>
          <w:p w14:paraId="7CFEA997"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vAlign w:val="center"/>
          </w:tcPr>
          <w:p w14:paraId="50BD09A7"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noWrap/>
            <w:vAlign w:val="center"/>
            <w:hideMark/>
          </w:tcPr>
          <w:p w14:paraId="7F2838FC" w14:textId="0A0B99FF"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69" w:type="dxa"/>
            <w:tcBorders>
              <w:bottom w:val="single" w:sz="12" w:space="0" w:color="00B0F0"/>
            </w:tcBorders>
            <w:noWrap/>
            <w:vAlign w:val="center"/>
            <w:hideMark/>
          </w:tcPr>
          <w:p w14:paraId="451F1C46" w14:textId="2A6F49BD"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62" w:type="dxa"/>
            <w:tcBorders>
              <w:bottom w:val="single" w:sz="12" w:space="0" w:color="00B0F0"/>
            </w:tcBorders>
            <w:noWrap/>
            <w:vAlign w:val="center"/>
            <w:hideMark/>
          </w:tcPr>
          <w:p w14:paraId="558C85AA" w14:textId="1B778EF6"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402183" w:rsidRPr="00C44C22" w14:paraId="51DBF494" w14:textId="77777777" w:rsidTr="001A49D4">
        <w:trPr>
          <w:trHeight w:val="283"/>
        </w:trPr>
        <w:tc>
          <w:tcPr>
            <w:tcW w:w="2189" w:type="dxa"/>
            <w:tcBorders>
              <w:top w:val="single" w:sz="12" w:space="0" w:color="00B0F0"/>
            </w:tcBorders>
            <w:noWrap/>
            <w:vAlign w:val="center"/>
            <w:hideMark/>
          </w:tcPr>
          <w:p w14:paraId="5059CB8D"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76" w:type="dxa"/>
            <w:tcBorders>
              <w:top w:val="single" w:sz="12" w:space="0" w:color="00B0F0"/>
            </w:tcBorders>
            <w:vAlign w:val="center"/>
          </w:tcPr>
          <w:p w14:paraId="1FE2BA70" w14:textId="1861262D" w:rsidR="00402183" w:rsidRPr="00FA63C0" w:rsidRDefault="00D102EC" w:rsidP="00402183">
            <w:pPr>
              <w:spacing w:after="0"/>
              <w:jc w:val="right"/>
              <w:rPr>
                <w:noProof/>
                <w:sz w:val="20"/>
                <w:szCs w:val="20"/>
                <w:lang w:val="en-IE" w:eastAsia="en-IE"/>
              </w:rPr>
            </w:pPr>
            <w:r>
              <w:rPr>
                <w:noProof/>
                <w:sz w:val="20"/>
                <w:szCs w:val="20"/>
              </w:rPr>
              <w:t>1 090 375</w:t>
            </w:r>
            <w:r w:rsidR="00402183" w:rsidRPr="00FA63C0">
              <w:rPr>
                <w:noProof/>
                <w:sz w:val="20"/>
                <w:szCs w:val="20"/>
              </w:rPr>
              <w:t xml:space="preserve">   </w:t>
            </w:r>
          </w:p>
        </w:tc>
        <w:tc>
          <w:tcPr>
            <w:tcW w:w="1213" w:type="dxa"/>
            <w:tcBorders>
              <w:top w:val="single" w:sz="12" w:space="0" w:color="00B0F0"/>
            </w:tcBorders>
            <w:vAlign w:val="center"/>
          </w:tcPr>
          <w:p w14:paraId="581728D6" w14:textId="18B589FC"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tcBorders>
              <w:top w:val="single" w:sz="12" w:space="0" w:color="00B0F0"/>
            </w:tcBorders>
            <w:vAlign w:val="center"/>
          </w:tcPr>
          <w:p w14:paraId="0B8684E5" w14:textId="244E8F47"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tcBorders>
              <w:top w:val="single" w:sz="12" w:space="0" w:color="00B0F0"/>
            </w:tcBorders>
            <w:noWrap/>
            <w:vAlign w:val="center"/>
          </w:tcPr>
          <w:p w14:paraId="42A4EEED" w14:textId="1C95331A" w:rsidR="00402183" w:rsidRPr="00397C78" w:rsidRDefault="00402183" w:rsidP="00402183">
            <w:pPr>
              <w:spacing w:after="0"/>
              <w:jc w:val="right"/>
              <w:rPr>
                <w:noProof/>
                <w:sz w:val="20"/>
                <w:szCs w:val="20"/>
                <w:lang w:val="en-IE" w:eastAsia="en-IE"/>
              </w:rPr>
            </w:pPr>
            <w:r w:rsidRPr="00082E1B">
              <w:rPr>
                <w:noProof/>
                <w:sz w:val="20"/>
                <w:szCs w:val="20"/>
              </w:rPr>
              <w:t xml:space="preserve"> 1 090 375 </w:t>
            </w:r>
          </w:p>
        </w:tc>
        <w:tc>
          <w:tcPr>
            <w:tcW w:w="1169" w:type="dxa"/>
            <w:tcBorders>
              <w:top w:val="single" w:sz="12" w:space="0" w:color="00B0F0"/>
            </w:tcBorders>
            <w:noWrap/>
            <w:vAlign w:val="center"/>
          </w:tcPr>
          <w:p w14:paraId="4C6EDA9B" w14:textId="12AF14C0" w:rsidR="00402183" w:rsidRPr="00397C78" w:rsidRDefault="00402183" w:rsidP="00402183">
            <w:pPr>
              <w:spacing w:after="0"/>
              <w:jc w:val="right"/>
              <w:rPr>
                <w:noProof/>
                <w:sz w:val="20"/>
                <w:szCs w:val="20"/>
                <w:lang w:val="en-IE" w:eastAsia="en-IE"/>
              </w:rPr>
            </w:pPr>
            <w:r w:rsidRPr="00082E1B">
              <w:rPr>
                <w:noProof/>
                <w:sz w:val="20"/>
                <w:szCs w:val="20"/>
              </w:rPr>
              <w:t xml:space="preserve"> 678 455 </w:t>
            </w:r>
          </w:p>
        </w:tc>
        <w:tc>
          <w:tcPr>
            <w:tcW w:w="1162" w:type="dxa"/>
            <w:tcBorders>
              <w:top w:val="single" w:sz="12" w:space="0" w:color="00B0F0"/>
            </w:tcBorders>
            <w:noWrap/>
            <w:vAlign w:val="center"/>
          </w:tcPr>
          <w:p w14:paraId="53C54459" w14:textId="21471B12" w:rsidR="00402183" w:rsidRPr="00397C78" w:rsidRDefault="00402183" w:rsidP="00402183">
            <w:pPr>
              <w:spacing w:after="0"/>
              <w:jc w:val="right"/>
              <w:rPr>
                <w:noProof/>
                <w:sz w:val="20"/>
                <w:szCs w:val="20"/>
                <w:lang w:val="en-IE" w:eastAsia="en-IE"/>
              </w:rPr>
            </w:pPr>
            <w:r w:rsidRPr="00082E1B">
              <w:rPr>
                <w:noProof/>
                <w:sz w:val="20"/>
                <w:szCs w:val="20"/>
              </w:rPr>
              <w:t xml:space="preserve"> 1 599 216 </w:t>
            </w:r>
          </w:p>
        </w:tc>
      </w:tr>
      <w:tr w:rsidR="00402183" w:rsidRPr="00C44C22" w14:paraId="709EF9D1" w14:textId="77777777">
        <w:trPr>
          <w:trHeight w:val="283"/>
        </w:trPr>
        <w:tc>
          <w:tcPr>
            <w:tcW w:w="2189" w:type="dxa"/>
            <w:noWrap/>
            <w:vAlign w:val="center"/>
            <w:hideMark/>
          </w:tcPr>
          <w:p w14:paraId="7E42C155"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76" w:type="dxa"/>
            <w:vAlign w:val="center"/>
          </w:tcPr>
          <w:p w14:paraId="61FFC579" w14:textId="51D359AC"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213" w:type="dxa"/>
            <w:vAlign w:val="center"/>
          </w:tcPr>
          <w:p w14:paraId="2C47ACDE" w14:textId="077B5427"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vAlign w:val="center"/>
          </w:tcPr>
          <w:p w14:paraId="54BF886E" w14:textId="74DB5A60"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52E1BE40" w14:textId="65ADD36E" w:rsidR="00402183" w:rsidRPr="00061A60"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394C725F" w14:textId="0DD48F9B" w:rsidR="00402183" w:rsidRPr="00061A60" w:rsidRDefault="00402183" w:rsidP="00402183">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44CC672D" w14:textId="69838072" w:rsidR="00402183" w:rsidRPr="00061A60" w:rsidRDefault="00402183" w:rsidP="00402183">
            <w:pPr>
              <w:spacing w:after="0"/>
              <w:jc w:val="right"/>
              <w:rPr>
                <w:noProof/>
                <w:sz w:val="20"/>
                <w:szCs w:val="20"/>
                <w:lang w:val="en-IE" w:eastAsia="en-IE"/>
              </w:rPr>
            </w:pPr>
            <w:r w:rsidRPr="00FA63C0">
              <w:rPr>
                <w:noProof/>
                <w:sz w:val="20"/>
                <w:szCs w:val="20"/>
              </w:rPr>
              <w:t xml:space="preserve"> -   </w:t>
            </w:r>
          </w:p>
        </w:tc>
      </w:tr>
      <w:tr w:rsidR="004D03E5" w:rsidRPr="00C44C22" w14:paraId="6E27B0E8" w14:textId="77777777" w:rsidTr="001A49D4">
        <w:trPr>
          <w:trHeight w:val="283"/>
        </w:trPr>
        <w:tc>
          <w:tcPr>
            <w:tcW w:w="2189" w:type="dxa"/>
            <w:noWrap/>
            <w:vAlign w:val="center"/>
            <w:hideMark/>
          </w:tcPr>
          <w:p w14:paraId="1DE2CA47" w14:textId="77777777" w:rsidR="004D03E5" w:rsidRPr="00FA63C0" w:rsidRDefault="004D03E5" w:rsidP="004D03E5">
            <w:pPr>
              <w:spacing w:after="0"/>
              <w:jc w:val="left"/>
              <w:rPr>
                <w:i/>
                <w:iCs/>
                <w:noProof/>
                <w:sz w:val="20"/>
                <w:szCs w:val="20"/>
                <w:lang w:val="en-IE" w:eastAsia="en-IE"/>
              </w:rPr>
            </w:pPr>
            <w:r w:rsidRPr="00FA63C0">
              <w:rPr>
                <w:i/>
                <w:iCs/>
                <w:noProof/>
                <w:sz w:val="20"/>
                <w:szCs w:val="20"/>
                <w:lang w:val="en-IE" w:eastAsia="en-IE"/>
              </w:rPr>
              <w:t>one-off adjustment</w:t>
            </w:r>
          </w:p>
        </w:tc>
        <w:tc>
          <w:tcPr>
            <w:tcW w:w="1276" w:type="dxa"/>
            <w:vAlign w:val="center"/>
          </w:tcPr>
          <w:p w14:paraId="2076C94E" w14:textId="3423ED15" w:rsidR="004D03E5" w:rsidRPr="00FA63C0" w:rsidRDefault="004D03E5" w:rsidP="004D03E5">
            <w:pPr>
              <w:spacing w:after="0"/>
              <w:jc w:val="right"/>
              <w:rPr>
                <w:noProof/>
                <w:sz w:val="20"/>
                <w:szCs w:val="20"/>
                <w:lang w:val="en-IE" w:eastAsia="en-IE"/>
              </w:rPr>
            </w:pPr>
            <w:r w:rsidRPr="00FA63C0">
              <w:rPr>
                <w:noProof/>
                <w:sz w:val="20"/>
                <w:szCs w:val="20"/>
              </w:rPr>
              <w:t xml:space="preserve"> -   </w:t>
            </w:r>
          </w:p>
        </w:tc>
        <w:tc>
          <w:tcPr>
            <w:tcW w:w="1213" w:type="dxa"/>
            <w:vAlign w:val="center"/>
          </w:tcPr>
          <w:p w14:paraId="08158211" w14:textId="21581A36" w:rsidR="004D03E5" w:rsidRPr="00FA63C0" w:rsidRDefault="004D03E5" w:rsidP="004D03E5">
            <w:pPr>
              <w:spacing w:after="0"/>
              <w:jc w:val="right"/>
              <w:rPr>
                <w:noProof/>
                <w:sz w:val="20"/>
                <w:szCs w:val="20"/>
                <w:lang w:val="en-IE" w:eastAsia="en-IE"/>
              </w:rPr>
            </w:pPr>
            <w:r w:rsidRPr="00FA63C0">
              <w:rPr>
                <w:noProof/>
                <w:sz w:val="20"/>
                <w:szCs w:val="20"/>
              </w:rPr>
              <w:t xml:space="preserve"> -   </w:t>
            </w:r>
          </w:p>
        </w:tc>
        <w:tc>
          <w:tcPr>
            <w:tcW w:w="1418" w:type="dxa"/>
            <w:vAlign w:val="center"/>
          </w:tcPr>
          <w:p w14:paraId="3C2B79A7" w14:textId="0B02EB7E" w:rsidR="004D03E5" w:rsidRPr="00FA63C0" w:rsidRDefault="004D03E5" w:rsidP="004D03E5">
            <w:pPr>
              <w:spacing w:after="0"/>
              <w:jc w:val="right"/>
              <w:rPr>
                <w:noProof/>
                <w:sz w:val="20"/>
                <w:szCs w:val="20"/>
                <w:lang w:val="en-IE" w:eastAsia="en-IE"/>
              </w:rPr>
            </w:pPr>
            <w:r w:rsidRPr="00743B56">
              <w:rPr>
                <w:noProof/>
                <w:sz w:val="20"/>
                <w:szCs w:val="20"/>
              </w:rPr>
              <w:t xml:space="preserve"> 694 870 </w:t>
            </w:r>
          </w:p>
        </w:tc>
        <w:tc>
          <w:tcPr>
            <w:tcW w:w="1134" w:type="dxa"/>
            <w:noWrap/>
            <w:vAlign w:val="center"/>
          </w:tcPr>
          <w:p w14:paraId="6AE6CD56" w14:textId="430AAE07" w:rsidR="004D03E5" w:rsidRPr="00397C78" w:rsidRDefault="004D03E5" w:rsidP="004D03E5">
            <w:pPr>
              <w:spacing w:after="0"/>
              <w:jc w:val="right"/>
              <w:rPr>
                <w:noProof/>
                <w:sz w:val="20"/>
                <w:szCs w:val="20"/>
                <w:lang w:val="en-IE" w:eastAsia="en-IE"/>
              </w:rPr>
            </w:pPr>
            <w:r w:rsidRPr="00082E1B">
              <w:rPr>
                <w:noProof/>
                <w:sz w:val="20"/>
                <w:szCs w:val="20"/>
              </w:rPr>
              <w:t xml:space="preserve"> 694 870 </w:t>
            </w:r>
          </w:p>
        </w:tc>
        <w:tc>
          <w:tcPr>
            <w:tcW w:w="1169" w:type="dxa"/>
            <w:noWrap/>
            <w:vAlign w:val="center"/>
          </w:tcPr>
          <w:p w14:paraId="33605BFF" w14:textId="2EF25568" w:rsidR="004D03E5" w:rsidRPr="00397C78" w:rsidRDefault="004D03E5" w:rsidP="004D03E5">
            <w:pPr>
              <w:spacing w:after="0"/>
              <w:jc w:val="right"/>
              <w:rPr>
                <w:noProof/>
                <w:sz w:val="20"/>
                <w:szCs w:val="20"/>
                <w:lang w:val="en-IE" w:eastAsia="en-IE"/>
              </w:rPr>
            </w:pPr>
            <w:r w:rsidRPr="00082E1B">
              <w:rPr>
                <w:noProof/>
                <w:sz w:val="20"/>
                <w:szCs w:val="20"/>
              </w:rPr>
              <w:t xml:space="preserve"> 463 247 </w:t>
            </w:r>
          </w:p>
        </w:tc>
        <w:tc>
          <w:tcPr>
            <w:tcW w:w="1162" w:type="dxa"/>
            <w:noWrap/>
            <w:vAlign w:val="center"/>
          </w:tcPr>
          <w:p w14:paraId="12B613F1" w14:textId="477D1BD9" w:rsidR="004D03E5" w:rsidRPr="00397C78" w:rsidRDefault="004D03E5" w:rsidP="004D03E5">
            <w:pPr>
              <w:spacing w:after="0"/>
              <w:jc w:val="right"/>
              <w:rPr>
                <w:noProof/>
                <w:sz w:val="20"/>
                <w:szCs w:val="20"/>
                <w:lang w:val="en-IE" w:eastAsia="en-IE"/>
              </w:rPr>
            </w:pPr>
            <w:r w:rsidRPr="00082E1B">
              <w:rPr>
                <w:noProof/>
                <w:sz w:val="20"/>
                <w:szCs w:val="20"/>
              </w:rPr>
              <w:t xml:space="preserve"> 926 493 </w:t>
            </w:r>
          </w:p>
        </w:tc>
      </w:tr>
      <w:tr w:rsidR="004D03E5" w:rsidRPr="00C44C22" w14:paraId="7C55E22F" w14:textId="77777777" w:rsidTr="001A49D4">
        <w:trPr>
          <w:trHeight w:val="283"/>
        </w:trPr>
        <w:tc>
          <w:tcPr>
            <w:tcW w:w="2189" w:type="dxa"/>
            <w:noWrap/>
            <w:vAlign w:val="center"/>
            <w:hideMark/>
          </w:tcPr>
          <w:p w14:paraId="03BAA281" w14:textId="77777777" w:rsidR="004D03E5" w:rsidRPr="00FA63C0" w:rsidRDefault="004D03E5" w:rsidP="004D03E5">
            <w:pPr>
              <w:spacing w:after="0"/>
              <w:jc w:val="left"/>
              <w:rPr>
                <w:i/>
                <w:iCs/>
                <w:noProof/>
                <w:sz w:val="20"/>
                <w:szCs w:val="20"/>
                <w:lang w:val="en-IE" w:eastAsia="en-IE"/>
              </w:rPr>
            </w:pPr>
            <w:r w:rsidRPr="00FA63C0">
              <w:rPr>
                <w:i/>
                <w:iCs/>
                <w:noProof/>
                <w:sz w:val="20"/>
                <w:szCs w:val="20"/>
                <w:lang w:val="en-IE" w:eastAsia="en-IE"/>
              </w:rPr>
              <w:t>recurrent adjustment</w:t>
            </w:r>
          </w:p>
        </w:tc>
        <w:tc>
          <w:tcPr>
            <w:tcW w:w="1276" w:type="dxa"/>
            <w:vAlign w:val="center"/>
          </w:tcPr>
          <w:p w14:paraId="29F8E9D5" w14:textId="614B110C" w:rsidR="004D03E5" w:rsidRPr="00FA63C0" w:rsidRDefault="004D03E5" w:rsidP="004D03E5">
            <w:pPr>
              <w:spacing w:after="0"/>
              <w:jc w:val="right"/>
              <w:rPr>
                <w:noProof/>
                <w:sz w:val="20"/>
                <w:szCs w:val="20"/>
                <w:lang w:val="en-IE" w:eastAsia="en-IE"/>
              </w:rPr>
            </w:pPr>
            <w:r w:rsidRPr="00FA63C0">
              <w:rPr>
                <w:noProof/>
                <w:sz w:val="20"/>
                <w:szCs w:val="20"/>
              </w:rPr>
              <w:t xml:space="preserve"> -   </w:t>
            </w:r>
          </w:p>
        </w:tc>
        <w:tc>
          <w:tcPr>
            <w:tcW w:w="1213" w:type="dxa"/>
            <w:vAlign w:val="center"/>
          </w:tcPr>
          <w:p w14:paraId="4D2F6858" w14:textId="4BF24C61" w:rsidR="004D03E5" w:rsidRPr="00FA63C0" w:rsidRDefault="004D03E5" w:rsidP="004D03E5">
            <w:pPr>
              <w:spacing w:after="0"/>
              <w:jc w:val="right"/>
              <w:rPr>
                <w:noProof/>
                <w:sz w:val="20"/>
                <w:szCs w:val="20"/>
                <w:lang w:val="en-IE" w:eastAsia="en-IE"/>
              </w:rPr>
            </w:pPr>
            <w:r w:rsidRPr="00FA63C0">
              <w:rPr>
                <w:noProof/>
                <w:sz w:val="20"/>
                <w:szCs w:val="20"/>
              </w:rPr>
              <w:t xml:space="preserve"> -   </w:t>
            </w:r>
          </w:p>
        </w:tc>
        <w:tc>
          <w:tcPr>
            <w:tcW w:w="1418" w:type="dxa"/>
            <w:vAlign w:val="center"/>
          </w:tcPr>
          <w:p w14:paraId="2EC2DB40" w14:textId="456624B8" w:rsidR="004D03E5" w:rsidRPr="00FA63C0" w:rsidRDefault="004D03E5" w:rsidP="004D03E5">
            <w:pPr>
              <w:spacing w:after="0"/>
              <w:jc w:val="right"/>
              <w:rPr>
                <w:noProof/>
                <w:sz w:val="20"/>
                <w:szCs w:val="20"/>
                <w:lang w:val="en-IE" w:eastAsia="en-IE"/>
              </w:rPr>
            </w:pPr>
            <w:r w:rsidRPr="00743B56">
              <w:rPr>
                <w:noProof/>
                <w:sz w:val="20"/>
                <w:szCs w:val="20"/>
              </w:rPr>
              <w:t xml:space="preserve"> 440 093 </w:t>
            </w:r>
          </w:p>
        </w:tc>
        <w:tc>
          <w:tcPr>
            <w:tcW w:w="1134" w:type="dxa"/>
            <w:noWrap/>
            <w:vAlign w:val="center"/>
          </w:tcPr>
          <w:p w14:paraId="0461F394" w14:textId="36882B1C" w:rsidR="004D03E5" w:rsidRPr="00397C78" w:rsidRDefault="004D03E5" w:rsidP="004D03E5">
            <w:pPr>
              <w:spacing w:after="0"/>
              <w:jc w:val="right"/>
              <w:rPr>
                <w:noProof/>
                <w:sz w:val="20"/>
                <w:szCs w:val="20"/>
                <w:lang w:val="en-IE" w:eastAsia="en-IE"/>
              </w:rPr>
            </w:pPr>
            <w:r w:rsidRPr="00082E1B">
              <w:rPr>
                <w:noProof/>
                <w:sz w:val="20"/>
                <w:szCs w:val="20"/>
              </w:rPr>
              <w:t xml:space="preserve"> 440 093 </w:t>
            </w:r>
          </w:p>
        </w:tc>
        <w:tc>
          <w:tcPr>
            <w:tcW w:w="1169" w:type="dxa"/>
            <w:noWrap/>
            <w:vAlign w:val="center"/>
          </w:tcPr>
          <w:p w14:paraId="3CCA39A0" w14:textId="15A41D6D" w:rsidR="004D03E5" w:rsidRPr="00397C78" w:rsidRDefault="004D03E5" w:rsidP="004D03E5">
            <w:pPr>
              <w:spacing w:after="0"/>
              <w:jc w:val="right"/>
              <w:rPr>
                <w:noProof/>
                <w:sz w:val="20"/>
                <w:szCs w:val="20"/>
                <w:lang w:val="en-IE" w:eastAsia="en-IE"/>
              </w:rPr>
            </w:pPr>
            <w:r w:rsidRPr="00082E1B">
              <w:rPr>
                <w:noProof/>
                <w:sz w:val="20"/>
                <w:szCs w:val="20"/>
              </w:rPr>
              <w:t xml:space="preserve"> 293 395 </w:t>
            </w:r>
          </w:p>
        </w:tc>
        <w:tc>
          <w:tcPr>
            <w:tcW w:w="1162" w:type="dxa"/>
            <w:noWrap/>
            <w:vAlign w:val="center"/>
          </w:tcPr>
          <w:p w14:paraId="35118631" w14:textId="787CE449" w:rsidR="004D03E5" w:rsidRPr="00397C78" w:rsidRDefault="004D03E5" w:rsidP="004D03E5">
            <w:pPr>
              <w:spacing w:after="0"/>
              <w:jc w:val="right"/>
              <w:rPr>
                <w:noProof/>
                <w:sz w:val="20"/>
                <w:szCs w:val="20"/>
                <w:lang w:val="en-IE" w:eastAsia="en-IE"/>
              </w:rPr>
            </w:pPr>
            <w:r w:rsidRPr="00082E1B">
              <w:rPr>
                <w:noProof/>
                <w:sz w:val="20"/>
                <w:szCs w:val="20"/>
              </w:rPr>
              <w:t xml:space="preserve"> 586 790 </w:t>
            </w:r>
          </w:p>
        </w:tc>
      </w:tr>
      <w:tr w:rsidR="00402183" w:rsidRPr="00C44C22" w14:paraId="6D194FB0" w14:textId="77777777">
        <w:trPr>
          <w:trHeight w:val="283"/>
        </w:trPr>
        <w:tc>
          <w:tcPr>
            <w:tcW w:w="2189" w:type="dxa"/>
            <w:noWrap/>
            <w:vAlign w:val="center"/>
            <w:hideMark/>
          </w:tcPr>
          <w:p w14:paraId="05D323DB"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76" w:type="dxa"/>
            <w:vAlign w:val="center"/>
          </w:tcPr>
          <w:p w14:paraId="101348ED" w14:textId="17D9F212"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213" w:type="dxa"/>
            <w:vAlign w:val="center"/>
          </w:tcPr>
          <w:p w14:paraId="4EE160B2" w14:textId="2968F903"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vAlign w:val="center"/>
          </w:tcPr>
          <w:p w14:paraId="37477A23" w14:textId="2874D26A"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4C2552A7"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4EE0A483"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1B14193F"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r>
      <w:tr w:rsidR="00402183" w:rsidRPr="00C44C22" w14:paraId="2C2D1293" w14:textId="77777777">
        <w:trPr>
          <w:trHeight w:val="283"/>
        </w:trPr>
        <w:tc>
          <w:tcPr>
            <w:tcW w:w="2189" w:type="dxa"/>
            <w:noWrap/>
            <w:vAlign w:val="center"/>
            <w:hideMark/>
          </w:tcPr>
          <w:p w14:paraId="7F130FEA"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76" w:type="dxa"/>
            <w:vAlign w:val="center"/>
          </w:tcPr>
          <w:p w14:paraId="19568350" w14:textId="1F2867EB"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213" w:type="dxa"/>
            <w:vAlign w:val="center"/>
          </w:tcPr>
          <w:p w14:paraId="26F85EEB" w14:textId="3B259E6A"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vAlign w:val="center"/>
          </w:tcPr>
          <w:p w14:paraId="215E2275" w14:textId="24B8FE42"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335CA81D"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04AA3090"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1015B77E"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r>
      <w:tr w:rsidR="00402183" w:rsidRPr="00C44C22" w14:paraId="1597D07C" w14:textId="77777777">
        <w:trPr>
          <w:trHeight w:val="283"/>
        </w:trPr>
        <w:tc>
          <w:tcPr>
            <w:tcW w:w="2189" w:type="dxa"/>
            <w:noWrap/>
            <w:vAlign w:val="center"/>
            <w:hideMark/>
          </w:tcPr>
          <w:p w14:paraId="582E54E9"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76" w:type="dxa"/>
            <w:vAlign w:val="center"/>
          </w:tcPr>
          <w:p w14:paraId="047C61BD" w14:textId="6C2771DE"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213" w:type="dxa"/>
            <w:vAlign w:val="center"/>
          </w:tcPr>
          <w:p w14:paraId="32BE4323" w14:textId="2D3B166F"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vAlign w:val="center"/>
          </w:tcPr>
          <w:p w14:paraId="48226763" w14:textId="67FEE3F8"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6AE51A5A"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7230E348"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588C3345" w14:textId="77777777" w:rsidR="00402183" w:rsidRPr="000A7265" w:rsidRDefault="00402183" w:rsidP="00402183">
            <w:pPr>
              <w:spacing w:after="0"/>
              <w:jc w:val="right"/>
              <w:rPr>
                <w:noProof/>
                <w:sz w:val="20"/>
                <w:szCs w:val="20"/>
                <w:lang w:val="en-IE" w:eastAsia="en-IE"/>
              </w:rPr>
            </w:pPr>
            <w:r w:rsidRPr="00FA63C0">
              <w:rPr>
                <w:noProof/>
                <w:sz w:val="20"/>
                <w:szCs w:val="20"/>
              </w:rPr>
              <w:t xml:space="preserve"> -   </w:t>
            </w:r>
          </w:p>
        </w:tc>
      </w:tr>
      <w:tr w:rsidR="00402183" w:rsidRPr="00C44C22" w14:paraId="7AFC47D0" w14:textId="77777777">
        <w:trPr>
          <w:trHeight w:val="283"/>
        </w:trPr>
        <w:tc>
          <w:tcPr>
            <w:tcW w:w="2189" w:type="dxa"/>
            <w:noWrap/>
            <w:vAlign w:val="center"/>
            <w:hideMark/>
          </w:tcPr>
          <w:p w14:paraId="7C25E688" w14:textId="77777777" w:rsidR="00402183" w:rsidRPr="00FA63C0" w:rsidRDefault="00402183" w:rsidP="0040218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76" w:type="dxa"/>
            <w:vAlign w:val="center"/>
          </w:tcPr>
          <w:p w14:paraId="5509E62B" w14:textId="40484723"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213" w:type="dxa"/>
            <w:vAlign w:val="center"/>
          </w:tcPr>
          <w:p w14:paraId="77CFD5B6" w14:textId="4ED87691"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418" w:type="dxa"/>
            <w:vAlign w:val="center"/>
          </w:tcPr>
          <w:p w14:paraId="7B469C01" w14:textId="387C9190" w:rsidR="00402183" w:rsidRPr="00FA63C0" w:rsidRDefault="00402183" w:rsidP="00402183">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5EDBB9FD" w14:textId="6B1973C1" w:rsidR="00402183" w:rsidRPr="00A53ED9"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2E7B00D8" w14:textId="07637E5F" w:rsidR="00402183" w:rsidRPr="00A53ED9" w:rsidRDefault="00402183" w:rsidP="00402183">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3FDC2174" w14:textId="61032666" w:rsidR="00402183" w:rsidRPr="00A53ED9" w:rsidRDefault="00402183" w:rsidP="00402183">
            <w:pPr>
              <w:spacing w:after="0"/>
              <w:jc w:val="right"/>
              <w:rPr>
                <w:noProof/>
                <w:sz w:val="20"/>
                <w:szCs w:val="20"/>
                <w:lang w:val="en-IE" w:eastAsia="en-IE"/>
              </w:rPr>
            </w:pPr>
            <w:r w:rsidRPr="00FA63C0">
              <w:rPr>
                <w:noProof/>
                <w:sz w:val="20"/>
                <w:szCs w:val="20"/>
              </w:rPr>
              <w:t xml:space="preserve"> -   </w:t>
            </w:r>
          </w:p>
        </w:tc>
      </w:tr>
      <w:tr w:rsidR="00402183" w:rsidRPr="0049798B" w14:paraId="22DB1E67" w14:textId="77777777" w:rsidTr="005D7722">
        <w:trPr>
          <w:trHeight w:val="283"/>
        </w:trPr>
        <w:tc>
          <w:tcPr>
            <w:tcW w:w="2189" w:type="dxa"/>
            <w:shd w:val="clear" w:color="auto" w:fill="F2DBDB" w:themeFill="accent2" w:themeFillTint="33"/>
            <w:noWrap/>
            <w:vAlign w:val="center"/>
            <w:hideMark/>
          </w:tcPr>
          <w:p w14:paraId="3B5BED40" w14:textId="77777777" w:rsidR="00402183" w:rsidRPr="00FA63C0" w:rsidRDefault="00402183" w:rsidP="00402183">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76" w:type="dxa"/>
            <w:shd w:val="clear" w:color="auto" w:fill="F2DBDB" w:themeFill="accent2" w:themeFillTint="33"/>
            <w:vAlign w:val="center"/>
          </w:tcPr>
          <w:p w14:paraId="50A97F4C" w14:textId="1A0A309D" w:rsidR="00402183" w:rsidRPr="00FA63C0" w:rsidRDefault="00B73F6C" w:rsidP="00402183">
            <w:pPr>
              <w:spacing w:after="0"/>
              <w:jc w:val="right"/>
              <w:rPr>
                <w:b/>
                <w:bCs/>
                <w:noProof/>
                <w:sz w:val="20"/>
                <w:szCs w:val="20"/>
                <w:lang w:val="en-IE" w:eastAsia="en-IE"/>
              </w:rPr>
            </w:pPr>
            <w:r>
              <w:rPr>
                <w:noProof/>
                <w:sz w:val="20"/>
                <w:szCs w:val="20"/>
              </w:rPr>
              <w:t>1 090 375</w:t>
            </w:r>
            <w:r w:rsidRPr="00FA63C0">
              <w:rPr>
                <w:noProof/>
                <w:sz w:val="20"/>
                <w:szCs w:val="20"/>
              </w:rPr>
              <w:t xml:space="preserve">   </w:t>
            </w:r>
          </w:p>
        </w:tc>
        <w:tc>
          <w:tcPr>
            <w:tcW w:w="1213" w:type="dxa"/>
            <w:shd w:val="clear" w:color="auto" w:fill="F2DBDB" w:themeFill="accent2" w:themeFillTint="33"/>
            <w:vAlign w:val="center"/>
          </w:tcPr>
          <w:p w14:paraId="118578A7" w14:textId="61497523" w:rsidR="00402183" w:rsidRPr="00FA63C0" w:rsidRDefault="00402183" w:rsidP="00402183">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F2DBDB" w:themeFill="accent2" w:themeFillTint="33"/>
            <w:vAlign w:val="center"/>
          </w:tcPr>
          <w:p w14:paraId="487263AD" w14:textId="4BC76BD9" w:rsidR="00402183" w:rsidRPr="00FA63C0" w:rsidRDefault="00F725F8" w:rsidP="00402183">
            <w:pPr>
              <w:spacing w:after="0"/>
              <w:jc w:val="right"/>
              <w:rPr>
                <w:b/>
                <w:bCs/>
                <w:noProof/>
                <w:sz w:val="20"/>
                <w:szCs w:val="20"/>
                <w:lang w:val="en-IE" w:eastAsia="en-IE"/>
              </w:rPr>
            </w:pPr>
            <w:r>
              <w:rPr>
                <w:noProof/>
                <w:sz w:val="20"/>
                <w:szCs w:val="20"/>
              </w:rPr>
              <w:t>1 134 963</w:t>
            </w:r>
            <w:r w:rsidR="00402183" w:rsidRPr="00FA63C0">
              <w:rPr>
                <w:noProof/>
                <w:sz w:val="20"/>
                <w:szCs w:val="20"/>
              </w:rPr>
              <w:t xml:space="preserve">   </w:t>
            </w:r>
          </w:p>
        </w:tc>
        <w:tc>
          <w:tcPr>
            <w:tcW w:w="1134" w:type="dxa"/>
            <w:shd w:val="clear" w:color="auto" w:fill="F2DBDB" w:themeFill="accent2" w:themeFillTint="33"/>
            <w:noWrap/>
            <w:vAlign w:val="center"/>
          </w:tcPr>
          <w:p w14:paraId="6766C8D9" w14:textId="2EBBF4FD" w:rsidR="00402183" w:rsidRPr="00397C78" w:rsidRDefault="00402183" w:rsidP="00402183">
            <w:pPr>
              <w:spacing w:after="0"/>
              <w:jc w:val="right"/>
              <w:rPr>
                <w:noProof/>
                <w:sz w:val="20"/>
                <w:szCs w:val="20"/>
              </w:rPr>
            </w:pPr>
            <w:r w:rsidRPr="00082E1B">
              <w:rPr>
                <w:noProof/>
                <w:sz w:val="20"/>
                <w:szCs w:val="20"/>
              </w:rPr>
              <w:t xml:space="preserve"> 2 225 337 </w:t>
            </w:r>
          </w:p>
        </w:tc>
        <w:tc>
          <w:tcPr>
            <w:tcW w:w="1169" w:type="dxa"/>
            <w:shd w:val="clear" w:color="auto" w:fill="F2DBDB" w:themeFill="accent2" w:themeFillTint="33"/>
            <w:noWrap/>
            <w:vAlign w:val="center"/>
          </w:tcPr>
          <w:p w14:paraId="6D342756" w14:textId="05D011FC" w:rsidR="00402183" w:rsidRPr="00397C78" w:rsidRDefault="00402183" w:rsidP="00402183">
            <w:pPr>
              <w:spacing w:after="0"/>
              <w:jc w:val="right"/>
              <w:rPr>
                <w:noProof/>
                <w:sz w:val="20"/>
                <w:szCs w:val="20"/>
              </w:rPr>
            </w:pPr>
            <w:r w:rsidRPr="00082E1B">
              <w:rPr>
                <w:noProof/>
                <w:sz w:val="20"/>
                <w:szCs w:val="20"/>
              </w:rPr>
              <w:t xml:space="preserve"> 1 435 097 </w:t>
            </w:r>
          </w:p>
        </w:tc>
        <w:tc>
          <w:tcPr>
            <w:tcW w:w="1162" w:type="dxa"/>
            <w:shd w:val="clear" w:color="auto" w:fill="F2DBDB" w:themeFill="accent2" w:themeFillTint="33"/>
            <w:noWrap/>
            <w:vAlign w:val="center"/>
          </w:tcPr>
          <w:p w14:paraId="04D60DC6" w14:textId="60FD8E4B" w:rsidR="00402183" w:rsidRPr="00397C78" w:rsidRDefault="00402183" w:rsidP="00402183">
            <w:pPr>
              <w:spacing w:after="0"/>
              <w:jc w:val="right"/>
              <w:rPr>
                <w:noProof/>
                <w:sz w:val="20"/>
                <w:szCs w:val="20"/>
              </w:rPr>
            </w:pPr>
            <w:r w:rsidRPr="00082E1B">
              <w:rPr>
                <w:noProof/>
                <w:sz w:val="20"/>
                <w:szCs w:val="20"/>
              </w:rPr>
              <w:t xml:space="preserve"> 3 112 500 </w:t>
            </w:r>
          </w:p>
        </w:tc>
      </w:tr>
      <w:tr w:rsidR="00402183" w:rsidRPr="00FA63C0" w14:paraId="679CADA8" w14:textId="77777777" w:rsidTr="005D7722">
        <w:trPr>
          <w:trHeight w:val="283"/>
        </w:trPr>
        <w:tc>
          <w:tcPr>
            <w:tcW w:w="2189" w:type="dxa"/>
            <w:shd w:val="clear" w:color="auto" w:fill="EAF1DD" w:themeFill="accent3" w:themeFillTint="33"/>
            <w:noWrap/>
            <w:vAlign w:val="center"/>
            <w:hideMark/>
          </w:tcPr>
          <w:p w14:paraId="4B2A151B" w14:textId="77777777" w:rsidR="00402183" w:rsidRPr="00FA63C0" w:rsidRDefault="00402183" w:rsidP="00402183">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76" w:type="dxa"/>
            <w:shd w:val="clear" w:color="auto" w:fill="EAF1DD" w:themeFill="accent3" w:themeFillTint="33"/>
            <w:vAlign w:val="center"/>
          </w:tcPr>
          <w:p w14:paraId="287895C9" w14:textId="6D5B9CAC" w:rsidR="00402183" w:rsidRPr="00FA63C0" w:rsidRDefault="00402183" w:rsidP="00402183">
            <w:pPr>
              <w:spacing w:after="0"/>
              <w:jc w:val="right"/>
              <w:rPr>
                <w:b/>
                <w:bCs/>
                <w:noProof/>
                <w:sz w:val="20"/>
                <w:szCs w:val="20"/>
                <w:lang w:val="en-IE" w:eastAsia="en-IE"/>
              </w:rPr>
            </w:pPr>
            <w:r w:rsidRPr="00FA63C0">
              <w:rPr>
                <w:noProof/>
                <w:sz w:val="20"/>
                <w:szCs w:val="20"/>
              </w:rPr>
              <w:t xml:space="preserve"> -   </w:t>
            </w:r>
          </w:p>
        </w:tc>
        <w:tc>
          <w:tcPr>
            <w:tcW w:w="1213" w:type="dxa"/>
            <w:shd w:val="clear" w:color="auto" w:fill="EAF1DD" w:themeFill="accent3" w:themeFillTint="33"/>
            <w:vAlign w:val="center"/>
          </w:tcPr>
          <w:p w14:paraId="351705DB" w14:textId="5A1F9F19" w:rsidR="00402183" w:rsidRPr="00FA63C0" w:rsidRDefault="00402183" w:rsidP="00402183">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EAF1DD" w:themeFill="accent3" w:themeFillTint="33"/>
            <w:vAlign w:val="center"/>
          </w:tcPr>
          <w:p w14:paraId="4F486120" w14:textId="10B57082" w:rsidR="00402183" w:rsidRPr="00FA63C0" w:rsidRDefault="00402183" w:rsidP="00402183">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EAF1DD" w:themeFill="accent3" w:themeFillTint="33"/>
            <w:noWrap/>
            <w:vAlign w:val="center"/>
          </w:tcPr>
          <w:p w14:paraId="26C2D5CE" w14:textId="77777777" w:rsidR="00402183" w:rsidRPr="007B1859" w:rsidRDefault="00402183" w:rsidP="00402183">
            <w:pPr>
              <w:spacing w:after="0"/>
              <w:jc w:val="right"/>
              <w:rPr>
                <w:noProof/>
                <w:sz w:val="20"/>
                <w:szCs w:val="20"/>
                <w:lang w:val="en-IE" w:eastAsia="en-IE"/>
              </w:rPr>
            </w:pPr>
            <w:r w:rsidRPr="00FA63C0">
              <w:rPr>
                <w:noProof/>
                <w:sz w:val="20"/>
                <w:szCs w:val="20"/>
              </w:rPr>
              <w:t xml:space="preserve"> -   </w:t>
            </w:r>
          </w:p>
        </w:tc>
        <w:tc>
          <w:tcPr>
            <w:tcW w:w="1169" w:type="dxa"/>
            <w:shd w:val="clear" w:color="auto" w:fill="EAF1DD" w:themeFill="accent3" w:themeFillTint="33"/>
            <w:noWrap/>
            <w:vAlign w:val="center"/>
          </w:tcPr>
          <w:p w14:paraId="1B90F6C3" w14:textId="77777777" w:rsidR="00402183" w:rsidRPr="007B1859" w:rsidRDefault="00402183" w:rsidP="00402183">
            <w:pPr>
              <w:spacing w:after="0"/>
              <w:jc w:val="right"/>
              <w:rPr>
                <w:noProof/>
                <w:sz w:val="20"/>
                <w:szCs w:val="20"/>
                <w:lang w:val="en-IE" w:eastAsia="en-IE"/>
              </w:rPr>
            </w:pPr>
            <w:r w:rsidRPr="00FA63C0">
              <w:rPr>
                <w:noProof/>
                <w:sz w:val="20"/>
                <w:szCs w:val="20"/>
              </w:rPr>
              <w:t xml:space="preserve">-   </w:t>
            </w:r>
          </w:p>
        </w:tc>
        <w:tc>
          <w:tcPr>
            <w:tcW w:w="1162" w:type="dxa"/>
            <w:shd w:val="clear" w:color="auto" w:fill="EAF1DD" w:themeFill="accent3" w:themeFillTint="33"/>
            <w:noWrap/>
            <w:vAlign w:val="center"/>
          </w:tcPr>
          <w:p w14:paraId="23574FCA" w14:textId="77777777" w:rsidR="00402183" w:rsidRPr="007B1859" w:rsidRDefault="00402183" w:rsidP="00402183">
            <w:pPr>
              <w:spacing w:after="0"/>
              <w:jc w:val="right"/>
              <w:rPr>
                <w:noProof/>
                <w:sz w:val="20"/>
                <w:szCs w:val="20"/>
                <w:lang w:val="en-IE" w:eastAsia="en-IE"/>
              </w:rPr>
            </w:pPr>
            <w:r w:rsidRPr="00FA63C0">
              <w:rPr>
                <w:noProof/>
                <w:sz w:val="20"/>
                <w:szCs w:val="20"/>
              </w:rPr>
              <w:t xml:space="preserve"> -   </w:t>
            </w:r>
          </w:p>
        </w:tc>
      </w:tr>
      <w:tr w:rsidR="00402183" w:rsidRPr="0049798B" w14:paraId="6AE6BC63" w14:textId="77777777">
        <w:trPr>
          <w:trHeight w:val="283"/>
        </w:trPr>
        <w:tc>
          <w:tcPr>
            <w:tcW w:w="2189" w:type="dxa"/>
            <w:shd w:val="clear" w:color="auto" w:fill="F2F2F2" w:themeFill="background1" w:themeFillShade="F2"/>
            <w:noWrap/>
            <w:vAlign w:val="center"/>
            <w:hideMark/>
          </w:tcPr>
          <w:p w14:paraId="00BEE57E" w14:textId="77777777" w:rsidR="00402183" w:rsidRPr="00FA63C0" w:rsidRDefault="00402183" w:rsidP="00402183">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76" w:type="dxa"/>
            <w:shd w:val="clear" w:color="auto" w:fill="F2F2F2" w:themeFill="background1" w:themeFillShade="F2"/>
            <w:vAlign w:val="center"/>
          </w:tcPr>
          <w:p w14:paraId="3676D5FC" w14:textId="02FE7B8D" w:rsidR="00402183" w:rsidRPr="00B73F6C" w:rsidRDefault="00402183" w:rsidP="00402183">
            <w:pPr>
              <w:spacing w:after="0"/>
              <w:jc w:val="right"/>
              <w:rPr>
                <w:b/>
                <w:bCs/>
                <w:noProof/>
                <w:sz w:val="20"/>
                <w:szCs w:val="20"/>
                <w:lang w:val="en-IE" w:eastAsia="en-IE"/>
              </w:rPr>
            </w:pPr>
            <w:r w:rsidRPr="00082E1B">
              <w:rPr>
                <w:b/>
                <w:noProof/>
                <w:sz w:val="20"/>
                <w:szCs w:val="20"/>
              </w:rPr>
              <w:t xml:space="preserve"> </w:t>
            </w:r>
            <w:r w:rsidR="00B73F6C" w:rsidRPr="00082E1B">
              <w:rPr>
                <w:b/>
                <w:noProof/>
                <w:sz w:val="20"/>
                <w:szCs w:val="20"/>
              </w:rPr>
              <w:t xml:space="preserve">1 090 375   </w:t>
            </w:r>
          </w:p>
        </w:tc>
        <w:tc>
          <w:tcPr>
            <w:tcW w:w="1213" w:type="dxa"/>
            <w:shd w:val="clear" w:color="auto" w:fill="F2F2F2" w:themeFill="background1" w:themeFillShade="F2"/>
            <w:vAlign w:val="center"/>
          </w:tcPr>
          <w:p w14:paraId="07FBFBC5" w14:textId="0A2764B1" w:rsidR="00402183" w:rsidRPr="00FA63C0" w:rsidRDefault="00402183" w:rsidP="00402183">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F2F2F2" w:themeFill="background1" w:themeFillShade="F2"/>
            <w:vAlign w:val="center"/>
          </w:tcPr>
          <w:p w14:paraId="68F65DA0" w14:textId="5A96E619" w:rsidR="00402183" w:rsidRPr="00F725F8" w:rsidRDefault="00F725F8" w:rsidP="00402183">
            <w:pPr>
              <w:spacing w:after="0"/>
              <w:jc w:val="right"/>
              <w:rPr>
                <w:b/>
                <w:bCs/>
                <w:noProof/>
                <w:sz w:val="20"/>
                <w:szCs w:val="20"/>
                <w:lang w:val="en-IE" w:eastAsia="en-IE"/>
              </w:rPr>
            </w:pPr>
            <w:r w:rsidRPr="00082E1B">
              <w:rPr>
                <w:b/>
                <w:noProof/>
                <w:sz w:val="20"/>
                <w:szCs w:val="20"/>
              </w:rPr>
              <w:t xml:space="preserve">1 134 963   </w:t>
            </w:r>
            <w:r w:rsidR="00402183" w:rsidRPr="00082E1B">
              <w:rPr>
                <w:b/>
                <w:noProof/>
                <w:sz w:val="20"/>
                <w:szCs w:val="20"/>
              </w:rPr>
              <w:t xml:space="preserve">   </w:t>
            </w:r>
          </w:p>
        </w:tc>
        <w:tc>
          <w:tcPr>
            <w:tcW w:w="1134" w:type="dxa"/>
            <w:shd w:val="clear" w:color="auto" w:fill="F2F2F2" w:themeFill="background1" w:themeFillShade="F2"/>
            <w:noWrap/>
            <w:vAlign w:val="center"/>
          </w:tcPr>
          <w:p w14:paraId="4E72B1A5" w14:textId="747AC716" w:rsidR="00402183" w:rsidRPr="007C40E5" w:rsidRDefault="00402183" w:rsidP="00402183">
            <w:pPr>
              <w:spacing w:after="0"/>
              <w:jc w:val="right"/>
              <w:rPr>
                <w:b/>
                <w:bCs/>
                <w:noProof/>
                <w:sz w:val="20"/>
                <w:szCs w:val="20"/>
                <w:lang w:val="en-IE" w:eastAsia="en-IE"/>
              </w:rPr>
            </w:pPr>
            <w:r w:rsidRPr="00082E1B">
              <w:rPr>
                <w:b/>
                <w:noProof/>
                <w:sz w:val="20"/>
                <w:szCs w:val="20"/>
              </w:rPr>
              <w:t xml:space="preserve"> 2 225 337 </w:t>
            </w:r>
          </w:p>
        </w:tc>
        <w:tc>
          <w:tcPr>
            <w:tcW w:w="1169" w:type="dxa"/>
            <w:shd w:val="clear" w:color="auto" w:fill="F2F2F2" w:themeFill="background1" w:themeFillShade="F2"/>
            <w:noWrap/>
            <w:vAlign w:val="center"/>
          </w:tcPr>
          <w:p w14:paraId="2115DDB6" w14:textId="3B0FC742" w:rsidR="00402183" w:rsidRPr="007C40E5" w:rsidRDefault="00402183" w:rsidP="00402183">
            <w:pPr>
              <w:spacing w:after="0"/>
              <w:jc w:val="right"/>
              <w:rPr>
                <w:b/>
                <w:bCs/>
                <w:noProof/>
                <w:sz w:val="20"/>
                <w:szCs w:val="20"/>
                <w:lang w:val="en-IE" w:eastAsia="en-IE"/>
              </w:rPr>
            </w:pPr>
            <w:r w:rsidRPr="00082E1B">
              <w:rPr>
                <w:b/>
                <w:noProof/>
                <w:sz w:val="20"/>
                <w:szCs w:val="20"/>
              </w:rPr>
              <w:t xml:space="preserve"> 1 435 097 </w:t>
            </w:r>
          </w:p>
        </w:tc>
        <w:tc>
          <w:tcPr>
            <w:tcW w:w="1162" w:type="dxa"/>
            <w:shd w:val="clear" w:color="auto" w:fill="F2F2F2" w:themeFill="background1" w:themeFillShade="F2"/>
            <w:noWrap/>
            <w:vAlign w:val="center"/>
          </w:tcPr>
          <w:p w14:paraId="5EE74FA1" w14:textId="24D77851" w:rsidR="00402183" w:rsidRPr="007C40E5" w:rsidRDefault="00402183" w:rsidP="00402183">
            <w:pPr>
              <w:spacing w:after="0"/>
              <w:jc w:val="right"/>
              <w:rPr>
                <w:b/>
                <w:bCs/>
                <w:noProof/>
                <w:sz w:val="20"/>
                <w:szCs w:val="20"/>
                <w:lang w:val="en-IE" w:eastAsia="en-IE"/>
              </w:rPr>
            </w:pPr>
            <w:r w:rsidRPr="00082E1B">
              <w:rPr>
                <w:b/>
                <w:noProof/>
                <w:sz w:val="20"/>
                <w:szCs w:val="20"/>
              </w:rPr>
              <w:t xml:space="preserve"> 3 112 500 </w:t>
            </w:r>
          </w:p>
        </w:tc>
      </w:tr>
    </w:tbl>
    <w:p w14:paraId="766BEEF9" w14:textId="079F5380" w:rsidR="00BB6877" w:rsidRPr="00437F91" w:rsidRDefault="00BB6877" w:rsidP="00E741C5">
      <w:pPr>
        <w:pStyle w:val="Heading2"/>
        <w:numPr>
          <w:ilvl w:val="1"/>
          <w:numId w:val="10"/>
        </w:numPr>
        <w:tabs>
          <w:tab w:val="num" w:pos="283"/>
        </w:tabs>
        <w:spacing w:before="240"/>
        <w:ind w:left="1202"/>
        <w:rPr>
          <w:bCs/>
          <w:noProof/>
        </w:rPr>
      </w:pPr>
      <w:bookmarkStart w:id="203" w:name="_Toc216283364"/>
      <w:bookmarkStart w:id="204" w:name="_Toc228346919"/>
      <w:bookmarkStart w:id="205" w:name="_Toc214519713"/>
      <w:r w:rsidRPr="00437F91">
        <w:rPr>
          <w:noProof/>
        </w:rPr>
        <w:t>PM9</w:t>
      </w:r>
      <w:r w:rsidRPr="00437F91">
        <w:rPr>
          <w:bCs/>
          <w:noProof/>
        </w:rPr>
        <w:t xml:space="preserve">: </w:t>
      </w:r>
      <w:r w:rsidR="007473D9">
        <w:rPr>
          <w:bCs/>
          <w:noProof/>
        </w:rPr>
        <w:t>EU deployment</w:t>
      </w:r>
      <w:r w:rsidRPr="00437F91">
        <w:rPr>
          <w:bCs/>
          <w:noProof/>
        </w:rPr>
        <w:t xml:space="preserve"> funding for strategic projects</w:t>
      </w:r>
      <w:bookmarkEnd w:id="203"/>
      <w:bookmarkEnd w:id="204"/>
      <w:r w:rsidRPr="00437F91">
        <w:rPr>
          <w:bCs/>
          <w:noProof/>
        </w:rPr>
        <w:t xml:space="preserve"> </w:t>
      </w:r>
      <w:bookmarkEnd w:id="205"/>
    </w:p>
    <w:p w14:paraId="25BBCE61" w14:textId="0BFCC146" w:rsidR="00BB6877" w:rsidRDefault="00BB6877" w:rsidP="00BB6877">
      <w:pPr>
        <w:pStyle w:val="Text1"/>
        <w:ind w:left="0"/>
        <w:rPr>
          <w:noProof/>
          <w:lang w:val="en-IE"/>
        </w:rPr>
      </w:pPr>
      <w:r>
        <w:rPr>
          <w:noProof/>
          <w:lang w:val="en-IE"/>
        </w:rPr>
        <w:t xml:space="preserve">Under this policy measure, </w:t>
      </w:r>
      <w:r w:rsidR="0071148D" w:rsidRPr="00A828E3">
        <w:rPr>
          <w:noProof/>
        </w:rPr>
        <w:t xml:space="preserve">without prejudice to </w:t>
      </w:r>
      <w:r w:rsidRPr="00A828E3">
        <w:rPr>
          <w:noProof/>
        </w:rPr>
        <w:t xml:space="preserve">the </w:t>
      </w:r>
      <w:r w:rsidR="0071148D" w:rsidRPr="00A828E3">
        <w:rPr>
          <w:noProof/>
        </w:rPr>
        <w:t>outcome of the negotiations on the next MFF proposal,</w:t>
      </w:r>
      <w:r w:rsidR="0071148D">
        <w:rPr>
          <w:noProof/>
        </w:rPr>
        <w:t xml:space="preserve"> </w:t>
      </w:r>
      <w:r>
        <w:rPr>
          <w:noProof/>
          <w:lang w:val="en-IE"/>
        </w:rPr>
        <w:t>the</w:t>
      </w:r>
      <w:r w:rsidRPr="00BC4D9C">
        <w:rPr>
          <w:noProof/>
          <w:lang w:val="en-IE"/>
        </w:rPr>
        <w:t xml:space="preserve"> </w:t>
      </w:r>
      <w:r w:rsidR="0071148D">
        <w:rPr>
          <w:noProof/>
          <w:lang w:val="en-IE"/>
        </w:rPr>
        <w:t>Commission</w:t>
      </w:r>
      <w:r w:rsidRPr="00BC4D9C">
        <w:rPr>
          <w:noProof/>
          <w:lang w:val="en-IE"/>
        </w:rPr>
        <w:t xml:space="preserve"> </w:t>
      </w:r>
      <w:r>
        <w:rPr>
          <w:noProof/>
          <w:lang w:val="en-IE"/>
        </w:rPr>
        <w:t>would</w:t>
      </w:r>
      <w:r w:rsidRPr="00BC4D9C">
        <w:rPr>
          <w:noProof/>
          <w:lang w:val="en-IE"/>
        </w:rPr>
        <w:t xml:space="preserve"> provide financial incentives specifically for</w:t>
      </w:r>
      <w:r>
        <w:rPr>
          <w:noProof/>
          <w:lang w:val="en-IE"/>
        </w:rPr>
        <w:t xml:space="preserve"> data centre</w:t>
      </w:r>
      <w:r w:rsidRPr="00BC4D9C">
        <w:rPr>
          <w:noProof/>
          <w:lang w:val="en-IE"/>
        </w:rPr>
        <w:t xml:space="preserve"> projects </w:t>
      </w:r>
      <w:r>
        <w:rPr>
          <w:noProof/>
          <w:lang w:val="en-IE"/>
        </w:rPr>
        <w:t>of</w:t>
      </w:r>
      <w:r w:rsidRPr="00BC4D9C">
        <w:rPr>
          <w:noProof/>
          <w:lang w:val="en-IE"/>
        </w:rPr>
        <w:t xml:space="preserve"> European strategic interest </w:t>
      </w:r>
      <w:r>
        <w:rPr>
          <w:noProof/>
          <w:lang w:val="en-IE"/>
        </w:rPr>
        <w:t>and importance according to EU-level</w:t>
      </w:r>
      <w:r w:rsidRPr="00BC4D9C">
        <w:rPr>
          <w:noProof/>
          <w:lang w:val="en-IE"/>
        </w:rPr>
        <w:t xml:space="preserve"> eligibility criteria. </w:t>
      </w:r>
      <w:r w:rsidR="00B17AA1" w:rsidRPr="65A5080D">
        <w:rPr>
          <w:noProof/>
          <w:lang w:val="en-IE"/>
        </w:rPr>
        <w:t xml:space="preserve">The measure </w:t>
      </w:r>
      <w:r w:rsidR="00B17AA1">
        <w:rPr>
          <w:noProof/>
          <w:lang w:val="en-IE"/>
        </w:rPr>
        <w:t>assumes is provided for modelling purposes only, with no pre-emption of future budgetary decisions</w:t>
      </w:r>
      <w:r w:rsidR="00487E1F">
        <w:rPr>
          <w:noProof/>
          <w:lang w:val="en-IE"/>
        </w:rPr>
        <w:t>.</w:t>
      </w:r>
      <w:r w:rsidRPr="00BC4D9C">
        <w:rPr>
          <w:noProof/>
          <w:lang w:val="en-IE"/>
        </w:rPr>
        <w:t xml:space="preserve"> Under this policy option, the EU would act as a market-enabler through financial incentives that de-risk infrastructure investment. By absorbing early capital expenditures (CAPEX) risk in </w:t>
      </w:r>
      <w:r w:rsidR="00854D39">
        <w:rPr>
          <w:noProof/>
          <w:lang w:val="en-IE"/>
        </w:rPr>
        <w:t>data centre</w:t>
      </w:r>
      <w:r w:rsidRPr="00BC4D9C">
        <w:rPr>
          <w:noProof/>
          <w:lang w:val="en-IE"/>
        </w:rPr>
        <w:t xml:space="preserve"> deployment, these investments would incentivise private investments where private return of investment is uncertain. This </w:t>
      </w:r>
      <w:r w:rsidRPr="00A64834">
        <w:rPr>
          <w:noProof/>
          <w:lang w:val="en-IE"/>
        </w:rPr>
        <w:t>measure is designed to accelerate the roll-out of secure, sustainable, and cross-border digital services across the Union, while reinforcing European strategic autonomy.</w:t>
      </w:r>
      <w:r>
        <w:rPr>
          <w:noProof/>
          <w:lang w:val="en-IE"/>
        </w:rPr>
        <w:t xml:space="preserve"> </w:t>
      </w:r>
    </w:p>
    <w:p w14:paraId="7B5FA70B" w14:textId="29CF00BE" w:rsidR="00BB6877" w:rsidRDefault="0053174D" w:rsidP="00BB6877">
      <w:pPr>
        <w:pStyle w:val="Text1"/>
        <w:ind w:left="0"/>
        <w:rPr>
          <w:noProof/>
          <w:lang w:val="en-IE"/>
        </w:rPr>
      </w:pPr>
      <w:r>
        <w:rPr>
          <w:bCs/>
          <w:i/>
          <w:noProof/>
          <w:lang w:val="en-IE"/>
        </w:rPr>
        <w:t>Impact on d</w:t>
      </w:r>
      <w:r w:rsidRPr="008C3C5A">
        <w:rPr>
          <w:bCs/>
          <w:i/>
          <w:noProof/>
          <w:lang w:val="en-IE"/>
        </w:rPr>
        <w:t>ata</w:t>
      </w:r>
      <w:r>
        <w:rPr>
          <w:bCs/>
          <w:i/>
          <w:noProof/>
          <w:lang w:val="en-IE"/>
        </w:rPr>
        <w:t xml:space="preserve"> </w:t>
      </w:r>
      <w:r w:rsidRPr="008C3C5A">
        <w:rPr>
          <w:bCs/>
          <w:i/>
          <w:noProof/>
          <w:lang w:val="en-IE"/>
        </w:rPr>
        <w:t xml:space="preserve">centre </w:t>
      </w:r>
      <w:r>
        <w:rPr>
          <w:bCs/>
          <w:i/>
          <w:noProof/>
          <w:lang w:val="en-IE"/>
        </w:rPr>
        <w:t xml:space="preserve">deployment </w:t>
      </w:r>
      <w:r w:rsidR="008B0109">
        <w:rPr>
          <w:bCs/>
          <w:i/>
          <w:noProof/>
          <w:lang w:val="en-IE"/>
        </w:rPr>
        <w:t>acceleration</w:t>
      </w:r>
      <w:r w:rsidR="00BB6877" w:rsidRPr="00CA083D">
        <w:rPr>
          <w:noProof/>
          <w:lang w:val="en-IE"/>
        </w:rPr>
        <w:t>.</w:t>
      </w:r>
      <w:r w:rsidR="00BB6877" w:rsidRPr="51F6B4DA">
        <w:rPr>
          <w:noProof/>
          <w:lang w:val="en-IE"/>
        </w:rPr>
        <w:t xml:space="preserve"> </w:t>
      </w:r>
      <w:r w:rsidR="00BB6877">
        <w:rPr>
          <w:bCs/>
          <w:iCs/>
          <w:noProof/>
          <w:lang w:val="en-IE"/>
        </w:rPr>
        <w:t>The baseline capacity growth presents a 11% CAGR in data centre capacity (202</w:t>
      </w:r>
      <w:r w:rsidR="00FD038C">
        <w:rPr>
          <w:bCs/>
          <w:iCs/>
          <w:noProof/>
          <w:lang w:val="en-IE"/>
        </w:rPr>
        <w:t>5</w:t>
      </w:r>
      <w:r w:rsidR="00BB6877">
        <w:rPr>
          <w:bCs/>
          <w:iCs/>
          <w:noProof/>
          <w:lang w:val="en-IE"/>
        </w:rPr>
        <w:t xml:space="preserve">-2036). Under this option, it is assumed that the capacity growth rate increases to 14% over the same period. </w:t>
      </w:r>
      <w:r w:rsidR="00BB6877" w:rsidRPr="002B3D39">
        <w:rPr>
          <w:bCs/>
          <w:iCs/>
          <w:noProof/>
          <w:lang w:val="en-IE"/>
        </w:rPr>
        <w:t xml:space="preserve">This uplift reflects the assumption that </w:t>
      </w:r>
      <w:r w:rsidR="00BB6877">
        <w:rPr>
          <w:bCs/>
          <w:iCs/>
          <w:noProof/>
          <w:lang w:val="en-IE"/>
        </w:rPr>
        <w:t xml:space="preserve">public funding lowers barriers to investment, reduces financing costs for enterprises and accelerates the timing of large-scale deployment projects. </w:t>
      </w:r>
      <w:r w:rsidR="00BB6877" w:rsidRPr="009F4C08">
        <w:rPr>
          <w:bCs/>
          <w:iCs/>
          <w:noProof/>
          <w:lang w:val="en-IE"/>
        </w:rPr>
        <w:t xml:space="preserve">Over time, CSPs and operators build more facilities than in the baseline </w:t>
      </w:r>
      <w:r w:rsidR="00BB6877">
        <w:rPr>
          <w:bCs/>
          <w:iCs/>
          <w:noProof/>
          <w:lang w:val="en-IE"/>
        </w:rPr>
        <w:t>and</w:t>
      </w:r>
      <w:r w:rsidR="00BB6877" w:rsidRPr="009F4C08">
        <w:rPr>
          <w:bCs/>
          <w:iCs/>
          <w:noProof/>
          <w:lang w:val="en-IE"/>
        </w:rPr>
        <w:t xml:space="preserve"> benefit from public support on a rising share of those builds.</w:t>
      </w:r>
      <w:r w:rsidR="00BB6877">
        <w:rPr>
          <w:bCs/>
          <w:iCs/>
          <w:noProof/>
          <w:lang w:val="en-IE"/>
        </w:rPr>
        <w:t xml:space="preserve"> The scope of this measure covers CSPs and operators active in new data centre builds in the EU, while </w:t>
      </w:r>
      <w:r w:rsidR="00BB6877" w:rsidRPr="00AB4C2D">
        <w:rPr>
          <w:bCs/>
          <w:iCs/>
          <w:noProof/>
          <w:lang w:val="en-IE"/>
        </w:rPr>
        <w:t xml:space="preserve">impacts scale with the </w:t>
      </w:r>
      <w:r w:rsidR="00BB6877" w:rsidRPr="00284043">
        <w:rPr>
          <w:bCs/>
          <w:iCs/>
          <w:noProof/>
          <w:lang w:val="en-IE"/>
        </w:rPr>
        <w:t xml:space="preserve">share of new projects </w:t>
      </w:r>
      <w:r w:rsidR="00BB6877">
        <w:rPr>
          <w:bCs/>
          <w:iCs/>
          <w:noProof/>
          <w:lang w:val="en-IE"/>
        </w:rPr>
        <w:t>receiving funding</w:t>
      </w:r>
      <w:r w:rsidR="00BB6877" w:rsidRPr="00AB4C2D">
        <w:rPr>
          <w:bCs/>
          <w:iCs/>
          <w:noProof/>
          <w:lang w:val="en-IE"/>
        </w:rPr>
        <w:t>.</w:t>
      </w:r>
      <w:r w:rsidR="00BB6877">
        <w:rPr>
          <w:bCs/>
          <w:iCs/>
          <w:noProof/>
          <w:lang w:val="en-IE"/>
        </w:rPr>
        <w:t xml:space="preserve"> </w:t>
      </w:r>
    </w:p>
    <w:p w14:paraId="1F983D92" w14:textId="4C6A3247" w:rsidR="00BB6877" w:rsidRPr="0007547C" w:rsidRDefault="00BB6877" w:rsidP="00BB6877">
      <w:pPr>
        <w:rPr>
          <w:noProof/>
        </w:rPr>
      </w:pPr>
      <w:r w:rsidRPr="294AF3FA">
        <w:rPr>
          <w:b/>
          <w:bCs/>
          <w:i/>
          <w:iCs/>
          <w:noProof/>
        </w:rPr>
        <w:t xml:space="preserve">Administrative costs for </w:t>
      </w:r>
      <w:r w:rsidR="00CA083D" w:rsidRPr="294AF3FA">
        <w:rPr>
          <w:b/>
          <w:bCs/>
          <w:i/>
          <w:iCs/>
          <w:noProof/>
        </w:rPr>
        <w:t>Data Centre Operators</w:t>
      </w:r>
      <w:r w:rsidRPr="0007547C">
        <w:rPr>
          <w:noProof/>
        </w:rPr>
        <w:t xml:space="preserve">. </w:t>
      </w:r>
      <w:r w:rsidR="00E32C47">
        <w:rPr>
          <w:noProof/>
        </w:rPr>
        <w:t>Even though participating in the funding scheme would be voluntary, it would create administrative</w:t>
      </w:r>
      <w:r w:rsidRPr="0007547C">
        <w:rPr>
          <w:noProof/>
        </w:rPr>
        <w:t xml:space="preserve"> costs through financing obligations and administrative compliance requirements. This would include proposal preparation and consortium coordination. </w:t>
      </w:r>
      <w:r w:rsidR="003C0E48">
        <w:rPr>
          <w:noProof/>
        </w:rPr>
        <w:t>O</w:t>
      </w:r>
      <w:r w:rsidRPr="0007547C">
        <w:rPr>
          <w:noProof/>
        </w:rPr>
        <w:t>perators would need to prepare proposals and adapt processes to meet eligibility requirements. These would translate into</w:t>
      </w:r>
      <w:r w:rsidRPr="0007547C" w:rsidDel="00A70EF2">
        <w:rPr>
          <w:noProof/>
        </w:rPr>
        <w:t xml:space="preserve"> </w:t>
      </w:r>
      <w:r w:rsidR="00A70EF2">
        <w:rPr>
          <w:noProof/>
        </w:rPr>
        <w:t>one-off administrative</w:t>
      </w:r>
      <w:r w:rsidRPr="0007547C">
        <w:rPr>
          <w:noProof/>
        </w:rPr>
        <w:t xml:space="preserve"> costs incurred every two years in line with the funding cycle. It has been assumed that </w:t>
      </w:r>
      <w:r w:rsidR="003C0E48">
        <w:rPr>
          <w:noProof/>
        </w:rPr>
        <w:t>operators</w:t>
      </w:r>
      <w:r w:rsidRPr="0007547C">
        <w:rPr>
          <w:noProof/>
        </w:rPr>
        <w:t xml:space="preserve"> would prepare around </w:t>
      </w:r>
      <w:r w:rsidR="003C0E48">
        <w:rPr>
          <w:noProof/>
        </w:rPr>
        <w:t>15</w:t>
      </w:r>
      <w:r w:rsidR="003C0E48" w:rsidRPr="0007547C">
        <w:rPr>
          <w:noProof/>
        </w:rPr>
        <w:t xml:space="preserve"> </w:t>
      </w:r>
      <w:r w:rsidRPr="0007547C">
        <w:rPr>
          <w:noProof/>
        </w:rPr>
        <w:t xml:space="preserve">proposals per cycle, each requiring staff days (approximately </w:t>
      </w:r>
      <w:r w:rsidR="003C0E48">
        <w:rPr>
          <w:noProof/>
        </w:rPr>
        <w:t>4</w:t>
      </w:r>
      <w:r w:rsidR="003C0E48" w:rsidRPr="0007547C">
        <w:rPr>
          <w:noProof/>
        </w:rPr>
        <w:t xml:space="preserve">5 </w:t>
      </w:r>
      <w:r w:rsidRPr="0007547C">
        <w:rPr>
          <w:noProof/>
        </w:rPr>
        <w:t>days) of work on average</w:t>
      </w:r>
      <w:r w:rsidRPr="0007547C">
        <w:rPr>
          <w:rStyle w:val="FootnoteReference"/>
          <w:noProof/>
        </w:rPr>
        <w:footnoteReference w:id="54"/>
      </w:r>
      <w:r w:rsidRPr="0007547C">
        <w:rPr>
          <w:noProof/>
        </w:rPr>
        <w:t>. The average size of consortia has been considered of 2-</w:t>
      </w:r>
      <w:r>
        <w:rPr>
          <w:noProof/>
        </w:rPr>
        <w:t>4</w:t>
      </w:r>
      <w:r w:rsidRPr="0007547C">
        <w:rPr>
          <w:noProof/>
        </w:rPr>
        <w:t xml:space="preserve"> partners per project. </w:t>
      </w:r>
    </w:p>
    <w:p w14:paraId="40769A31" w14:textId="6FD8F3EA" w:rsidR="007101C6" w:rsidRPr="004B0030" w:rsidRDefault="006B07AE" w:rsidP="007101C6">
      <w:pPr>
        <w:jc w:val="center"/>
        <w:rPr>
          <w:noProof/>
          <w:lang w:val="en-IE"/>
        </w:rPr>
      </w:pPr>
      <w:r>
        <w:rPr>
          <w:i/>
          <w:iCs/>
          <w:noProof/>
          <w:lang w:val="en-IE"/>
        </w:rPr>
        <w:t>One-off administrative</w:t>
      </w:r>
      <w:r w:rsidR="007101C6" w:rsidRPr="004B0030">
        <w:rPr>
          <w:i/>
          <w:iCs/>
          <w:noProof/>
          <w:lang w:val="en-IE"/>
        </w:rPr>
        <w:t xml:space="preserve"> costs </w:t>
      </w:r>
      <w:r w:rsidR="007101C6" w:rsidRPr="006B07AE">
        <w:rPr>
          <w:i/>
          <w:noProof/>
          <w:vertAlign w:val="subscript"/>
          <w:lang w:val="en-IE"/>
        </w:rPr>
        <w:t>year t</w:t>
      </w:r>
      <w:r w:rsidR="007101C6" w:rsidRPr="004B0030">
        <w:rPr>
          <w:i/>
          <w:iCs/>
          <w:noProof/>
          <w:lang w:val="en-IE"/>
        </w:rPr>
        <w:t xml:space="preserve"> = ΔT × labour cost × No. of applications/proposals</w:t>
      </w:r>
    </w:p>
    <w:p w14:paraId="03A1F941" w14:textId="0B3FA5EA" w:rsidR="00954638" w:rsidRDefault="00954638" w:rsidP="00954638">
      <w:pPr>
        <w:pStyle w:val="Text1"/>
        <w:ind w:left="0"/>
        <w:rPr>
          <w:noProof/>
        </w:rPr>
      </w:pPr>
      <w:r>
        <w:rPr>
          <w:noProof/>
        </w:rPr>
        <w:t>Total administrative costs for data centre operators under PM9 are thus estimated at EUR 0.</w:t>
      </w:r>
      <w:r w:rsidR="00C50887">
        <w:rPr>
          <w:noProof/>
        </w:rPr>
        <w:t>8</w:t>
      </w:r>
      <w:r>
        <w:rPr>
          <w:noProof/>
        </w:rPr>
        <w:t xml:space="preserve"> m (NPV, 10-years).</w:t>
      </w:r>
    </w:p>
    <w:p w14:paraId="2A0A165B" w14:textId="0D872311" w:rsidR="007101C6" w:rsidRDefault="007101C6" w:rsidP="007101C6">
      <w:pPr>
        <w:rPr>
          <w:noProof/>
          <w:lang w:val="en-IE"/>
        </w:rPr>
      </w:pPr>
      <w:r w:rsidRPr="004B0030">
        <w:rPr>
          <w:noProof/>
          <w:lang w:val="en-IE"/>
        </w:rPr>
        <w:t>Operators may also face incremental costs to meet eligibility requirements</w:t>
      </w:r>
      <w:r w:rsidR="00071041">
        <w:rPr>
          <w:noProof/>
          <w:lang w:val="en-IE"/>
        </w:rPr>
        <w:t>.</w:t>
      </w:r>
    </w:p>
    <w:p w14:paraId="6E441E05" w14:textId="31D2FCC9" w:rsidR="00071041" w:rsidRPr="0007748B" w:rsidRDefault="00071041" w:rsidP="00071041">
      <w:pPr>
        <w:pStyle w:val="Text1"/>
        <w:ind w:left="0"/>
        <w:rPr>
          <w:noProof/>
        </w:rPr>
      </w:pPr>
      <w:r w:rsidRPr="00D23A08">
        <w:rPr>
          <w:b/>
          <w:bCs/>
          <w:i/>
          <w:iCs/>
          <w:noProof/>
        </w:rPr>
        <w:t>Benefits for Data Centre Operators. </w:t>
      </w:r>
      <w:r w:rsidRPr="0007748B">
        <w:rPr>
          <w:noProof/>
        </w:rPr>
        <w:t xml:space="preserve">As described above, operators would benefit from direct financial support, which is expected to reduce their return on investments for data centre projects. These subsidy amounts are </w:t>
      </w:r>
      <w:r w:rsidR="00170E39">
        <w:rPr>
          <w:noProof/>
        </w:rPr>
        <w:t>acknowledged</w:t>
      </w:r>
      <w:r w:rsidRPr="0007748B">
        <w:rPr>
          <w:noProof/>
        </w:rPr>
        <w:t xml:space="preserve"> as</w:t>
      </w:r>
      <w:r>
        <w:rPr>
          <w:noProof/>
        </w:rPr>
        <w:t xml:space="preserve"> direct</w:t>
      </w:r>
      <w:r w:rsidRPr="0007748B">
        <w:rPr>
          <w:noProof/>
        </w:rPr>
        <w:t xml:space="preserve"> benefits for operators and corresponding costs for the Commission, but they do not contribute to the direct impact assessment as they constitute fiscal transfers. </w:t>
      </w:r>
    </w:p>
    <w:p w14:paraId="06F9B724" w14:textId="795CCAA9" w:rsidR="009C029F" w:rsidRDefault="00794666" w:rsidP="0053174D">
      <w:pPr>
        <w:pStyle w:val="Text1"/>
        <w:ind w:left="0"/>
        <w:rPr>
          <w:noProof/>
          <w:lang w:val="en-IE"/>
        </w:rPr>
      </w:pPr>
      <w:r>
        <w:rPr>
          <w:b/>
          <w:bCs/>
          <w:i/>
          <w:iCs/>
          <w:noProof/>
          <w:lang w:val="en-IE"/>
        </w:rPr>
        <w:t>A</w:t>
      </w:r>
      <w:r w:rsidR="00071041">
        <w:rPr>
          <w:b/>
          <w:bCs/>
          <w:i/>
          <w:iCs/>
          <w:noProof/>
          <w:lang w:val="en-IE"/>
        </w:rPr>
        <w:t>djustment</w:t>
      </w:r>
      <w:r w:rsidR="00BB6877">
        <w:rPr>
          <w:b/>
          <w:bCs/>
          <w:i/>
          <w:iCs/>
          <w:noProof/>
          <w:lang w:val="en-IE"/>
        </w:rPr>
        <w:t xml:space="preserve"> costs for the </w:t>
      </w:r>
      <w:r w:rsidR="00BB6877" w:rsidRPr="00B5359F">
        <w:rPr>
          <w:b/>
          <w:bCs/>
          <w:i/>
          <w:iCs/>
          <w:noProof/>
          <w:lang w:val="en-IE"/>
        </w:rPr>
        <w:t>European Commission</w:t>
      </w:r>
      <w:r w:rsidR="00BB6877">
        <w:rPr>
          <w:b/>
          <w:bCs/>
          <w:i/>
          <w:iCs/>
          <w:noProof/>
          <w:lang w:val="en-IE"/>
        </w:rPr>
        <w:t xml:space="preserve">. </w:t>
      </w:r>
      <w:r w:rsidR="00BB6877" w:rsidRPr="005A3CD9">
        <w:rPr>
          <w:noProof/>
          <w:lang w:val="en-IE"/>
        </w:rPr>
        <w:t>The Commission bears responsibility for the management of calls, development of templates and reporting tools, and the evaluation of project</w:t>
      </w:r>
      <w:r w:rsidR="00BB6877">
        <w:rPr>
          <w:noProof/>
          <w:lang w:val="en-IE"/>
        </w:rPr>
        <w:t>s</w:t>
      </w:r>
      <w:r w:rsidR="00BB6877" w:rsidRPr="005A3CD9">
        <w:rPr>
          <w:b/>
          <w:bCs/>
          <w:i/>
          <w:iCs/>
          <w:noProof/>
          <w:lang w:val="en-IE"/>
        </w:rPr>
        <w:t>.</w:t>
      </w:r>
      <w:r w:rsidR="00BB6877">
        <w:rPr>
          <w:b/>
          <w:bCs/>
          <w:i/>
          <w:iCs/>
          <w:noProof/>
          <w:lang w:val="en-IE"/>
        </w:rPr>
        <w:t xml:space="preserve"> </w:t>
      </w:r>
      <w:r w:rsidR="00BB6877">
        <w:rPr>
          <w:noProof/>
          <w:lang w:val="en-IE"/>
        </w:rPr>
        <w:t xml:space="preserve">The main </w:t>
      </w:r>
      <w:r w:rsidR="007019C8">
        <w:rPr>
          <w:noProof/>
          <w:lang w:val="en-IE"/>
        </w:rPr>
        <w:t>adjustment</w:t>
      </w:r>
      <w:r w:rsidR="00BB6877">
        <w:rPr>
          <w:noProof/>
          <w:lang w:val="en-IE"/>
        </w:rPr>
        <w:t xml:space="preserve"> cost would be one-off programme design and administration, i.e. work programme preparation, call management, evaluation, grant management preparation, monitoring and results dissemination.</w:t>
      </w:r>
      <w:r w:rsidR="00BB6877" w:rsidRPr="00D12373">
        <w:rPr>
          <w:noProof/>
          <w:lang w:val="en-IE"/>
        </w:rPr>
        <w:t xml:space="preserve"> </w:t>
      </w:r>
      <w:r w:rsidR="00BB6877">
        <w:rPr>
          <w:noProof/>
          <w:lang w:val="en-IE"/>
        </w:rPr>
        <w:t>Aligned with the estimations above, this has been estimated as 3 FTEs during the first year of the programme</w:t>
      </w:r>
      <w:r w:rsidR="00BB6877" w:rsidRPr="00386215">
        <w:rPr>
          <w:rFonts w:eastAsiaTheme="minorHAnsi"/>
          <w:noProof/>
          <w:szCs w:val="24"/>
        </w:rPr>
        <w:t xml:space="preserve"> </w:t>
      </w:r>
      <w:r w:rsidR="00BB6877" w:rsidRPr="00386215">
        <w:rPr>
          <w:noProof/>
        </w:rPr>
        <w:t xml:space="preserve">and recurring every two years for Work Programme design. Recurrent costs then arise in relation to managing the funding scheme and have been estimated as 1 FTEs. The assumed portfolio consists of one call every two years funding approximately </w:t>
      </w:r>
      <w:r w:rsidR="00BB6877">
        <w:rPr>
          <w:noProof/>
        </w:rPr>
        <w:t>5</w:t>
      </w:r>
      <w:r w:rsidR="00BB6877" w:rsidRPr="00386215">
        <w:rPr>
          <w:noProof/>
        </w:rPr>
        <w:t xml:space="preserve"> projects</w:t>
      </w:r>
      <w:r w:rsidR="00BB6877">
        <w:rPr>
          <w:noProof/>
          <w:lang w:val="en-IE"/>
        </w:rPr>
        <w:t xml:space="preserve">. </w:t>
      </w:r>
    </w:p>
    <w:p w14:paraId="34F3888A" w14:textId="5D07C1FB" w:rsidR="009C029F" w:rsidRPr="0007748B" w:rsidRDefault="0053174D" w:rsidP="0053174D">
      <w:pPr>
        <w:pStyle w:val="Text1"/>
        <w:ind w:left="0"/>
        <w:jc w:val="center"/>
        <w:rPr>
          <w:i/>
          <w:noProof/>
        </w:rPr>
      </w:pPr>
      <w:r>
        <w:rPr>
          <w:i/>
          <w:noProof/>
        </w:rPr>
        <w:t xml:space="preserve">Total </w:t>
      </w:r>
      <w:r w:rsidR="00794666">
        <w:rPr>
          <w:i/>
          <w:noProof/>
        </w:rPr>
        <w:t>adjustment</w:t>
      </w:r>
      <w:r>
        <w:rPr>
          <w:i/>
          <w:noProof/>
        </w:rPr>
        <w:t xml:space="preserve"> costs = (one-off </w:t>
      </w:r>
      <w:r w:rsidR="00476C4D">
        <w:rPr>
          <w:i/>
          <w:noProof/>
        </w:rPr>
        <w:t>adjustment</w:t>
      </w:r>
      <w:r>
        <w:rPr>
          <w:i/>
          <w:noProof/>
        </w:rPr>
        <w:t xml:space="preserve"> costs + recurrent </w:t>
      </w:r>
      <w:r w:rsidR="00794666">
        <w:rPr>
          <w:i/>
          <w:noProof/>
        </w:rPr>
        <w:t>adjustment</w:t>
      </w:r>
      <w:r>
        <w:rPr>
          <w:i/>
          <w:noProof/>
        </w:rPr>
        <w:t xml:space="preserve"> costs)</w:t>
      </w:r>
      <w:r w:rsidRPr="003A4F72">
        <w:rPr>
          <w:i/>
          <w:noProof/>
        </w:rPr>
        <w:t xml:space="preserve"> </w:t>
      </w:r>
      <w:r>
        <w:rPr>
          <w:i/>
          <w:noProof/>
        </w:rPr>
        <w:t>= [(ΔT × labour cost)</w:t>
      </w:r>
      <w:r>
        <w:rPr>
          <w:i/>
          <w:noProof/>
          <w:vertAlign w:val="subscript"/>
        </w:rPr>
        <w:t xml:space="preserve"> year 1,3,5</w:t>
      </w:r>
      <w:r>
        <w:rPr>
          <w:i/>
          <w:noProof/>
        </w:rPr>
        <w:t xml:space="preserve"> + (ΔT × labour cost)</w:t>
      </w:r>
      <w:r>
        <w:rPr>
          <w:i/>
          <w:noProof/>
          <w:vertAlign w:val="subscript"/>
        </w:rPr>
        <w:t xml:space="preserve"> year 2,4,6,7</w:t>
      </w:r>
      <w:r w:rsidRPr="00F84D14">
        <w:rPr>
          <w:i/>
          <w:noProof/>
        </w:rPr>
        <w:t>]</w:t>
      </w:r>
      <w:r>
        <w:rPr>
          <w:i/>
          <w:noProof/>
          <w:vertAlign w:val="subscript"/>
        </w:rPr>
        <w:t xml:space="preserve"> </w:t>
      </w:r>
    </w:p>
    <w:p w14:paraId="15ED04D2" w14:textId="344B976D" w:rsidR="00C50887" w:rsidRDefault="00C50887" w:rsidP="00C50887">
      <w:pPr>
        <w:pStyle w:val="Text1"/>
        <w:ind w:left="0"/>
        <w:rPr>
          <w:noProof/>
        </w:rPr>
      </w:pPr>
      <w:r>
        <w:rPr>
          <w:noProof/>
        </w:rPr>
        <w:t xml:space="preserve">Total adjustment costs for the European Commission under PM9 are thus estimated at EUR </w:t>
      </w:r>
      <w:r w:rsidR="00981BD4">
        <w:rPr>
          <w:noProof/>
        </w:rPr>
        <w:t>1.</w:t>
      </w:r>
      <w:r w:rsidR="009A3E35">
        <w:rPr>
          <w:noProof/>
        </w:rPr>
        <w:t>1</w:t>
      </w:r>
      <w:r>
        <w:rPr>
          <w:noProof/>
        </w:rPr>
        <w:t xml:space="preserve"> m (NPV, 10-years).</w:t>
      </w:r>
    </w:p>
    <w:p w14:paraId="505E756F" w14:textId="7BA5D234" w:rsidR="00BB6877" w:rsidRPr="00A54618" w:rsidRDefault="00BB6877" w:rsidP="00BB6877">
      <w:pPr>
        <w:pStyle w:val="Text1"/>
        <w:ind w:left="0"/>
        <w:rPr>
          <w:noProof/>
          <w:lang w:val="en-IE"/>
        </w:rPr>
      </w:pPr>
      <w:r w:rsidRPr="65A5080D">
        <w:rPr>
          <w:noProof/>
          <w:lang w:val="en-IE"/>
        </w:rPr>
        <w:t>There could be an impact for those MS that decide to contribute to the funding programme with national funds</w:t>
      </w:r>
      <w:r w:rsidR="46E719D6" w:rsidRPr="65A5080D">
        <w:rPr>
          <w:noProof/>
          <w:lang w:val="en-IE"/>
        </w:rPr>
        <w:t xml:space="preserve"> </w:t>
      </w:r>
      <w:r w:rsidR="46E719D6" w:rsidRPr="00D9579E">
        <w:rPr>
          <w:rFonts w:eastAsia="Calibri"/>
          <w:noProof/>
          <w:szCs w:val="24"/>
        </w:rPr>
        <w:t>in line with applicable State aid rules</w:t>
      </w:r>
      <w:r w:rsidRPr="65A5080D">
        <w:rPr>
          <w:noProof/>
          <w:lang w:val="en-IE"/>
        </w:rPr>
        <w:t>. As this would depend on the size of this contribution, it has not been modelled under this policy measure.</w:t>
      </w:r>
    </w:p>
    <w:p w14:paraId="52CBFE5C" w14:textId="1FB6BFCB" w:rsidR="00BB6877" w:rsidRDefault="00BB6877" w:rsidP="00BB6877">
      <w:pPr>
        <w:pStyle w:val="Text1"/>
        <w:ind w:left="0"/>
        <w:rPr>
          <w:rStyle w:val="FootnoteReference"/>
          <w:noProof/>
          <w:lang w:val="en-IE"/>
        </w:rPr>
      </w:pPr>
      <w:r w:rsidRPr="21BF1A83">
        <w:rPr>
          <w:b/>
          <w:bCs/>
          <w:noProof/>
          <w:lang w:val="en-IE"/>
        </w:rPr>
        <w:t xml:space="preserve">Indirect </w:t>
      </w:r>
      <w:r w:rsidR="001D1524">
        <w:rPr>
          <w:b/>
          <w:noProof/>
        </w:rPr>
        <w:t>savings</w:t>
      </w:r>
      <w:r w:rsidRPr="21BF1A83">
        <w:rPr>
          <w:b/>
          <w:bCs/>
          <w:noProof/>
          <w:lang w:val="en-IE"/>
        </w:rPr>
        <w:t xml:space="preserve">: </w:t>
      </w:r>
      <w:r w:rsidRPr="21BF1A83">
        <w:rPr>
          <w:noProof/>
          <w:lang w:val="en-IE"/>
        </w:rPr>
        <w:t>the main indirect impact</w:t>
      </w:r>
      <w:r>
        <w:rPr>
          <w:noProof/>
          <w:lang w:val="en-IE"/>
        </w:rPr>
        <w:t xml:space="preserve"> stems from</w:t>
      </w:r>
      <w:r w:rsidRPr="21BF1A83">
        <w:rPr>
          <w:noProof/>
          <w:lang w:val="en-IE"/>
        </w:rPr>
        <w:t xml:space="preserve"> the value generated in terms of making current product and services more competitive and </w:t>
      </w:r>
      <w:r>
        <w:rPr>
          <w:noProof/>
          <w:lang w:val="en-IE"/>
        </w:rPr>
        <w:t>from</w:t>
      </w:r>
      <w:r w:rsidRPr="21BF1A83">
        <w:rPr>
          <w:noProof/>
          <w:lang w:val="en-IE"/>
        </w:rPr>
        <w:t xml:space="preserve"> generating new products and services. </w:t>
      </w:r>
    </w:p>
    <w:p w14:paraId="358B4AEE" w14:textId="627E4EA1" w:rsidR="00BB6877" w:rsidRDefault="00BB6877" w:rsidP="00BB6877">
      <w:pPr>
        <w:pStyle w:val="Text1"/>
        <w:ind w:left="0"/>
        <w:rPr>
          <w:noProof/>
          <w:lang w:val="en-IE"/>
        </w:rPr>
      </w:pPr>
      <w:r w:rsidRPr="005F08AC">
        <w:rPr>
          <w:b/>
          <w:noProof/>
          <w:lang w:val="en-IE"/>
        </w:rPr>
        <w:t>Sensitivity analysis:</w:t>
      </w:r>
      <w:r>
        <w:rPr>
          <w:noProof/>
          <w:lang w:val="en-IE"/>
        </w:rPr>
        <w:t xml:space="preserve"> </w:t>
      </w:r>
      <w:r w:rsidRPr="00C2741D">
        <w:rPr>
          <w:noProof/>
        </w:rPr>
        <w:t>Sensitivity analysis was considered for the total administrative costs for the Commission in administering the scheme, i.e. the effort required to set-it up and manage it in terms of FTEs, also to consider the uncertainty related to the overall magnitude of the scheme.</w:t>
      </w:r>
    </w:p>
    <w:p w14:paraId="2EEF5A24" w14:textId="15D3D797" w:rsidR="00BA788C" w:rsidRPr="009F4C08" w:rsidRDefault="00BB6877" w:rsidP="00BA788C">
      <w:pPr>
        <w:pStyle w:val="Text1"/>
        <w:ind w:left="0"/>
        <w:rPr>
          <w:noProof/>
          <w:lang w:val="en-IE"/>
        </w:rPr>
      </w:pPr>
      <w:r w:rsidRPr="00DA029C">
        <w:rPr>
          <w:b/>
          <w:bCs/>
          <w:noProof/>
          <w:lang w:val="en-IE"/>
        </w:rPr>
        <w:t>Results</w:t>
      </w:r>
      <w:r>
        <w:rPr>
          <w:noProof/>
          <w:lang w:val="en-IE"/>
        </w:rPr>
        <w:t xml:space="preserve">: </w:t>
      </w:r>
      <w:r w:rsidR="00BA788C" w:rsidRPr="00C2741D">
        <w:rPr>
          <w:noProof/>
        </w:rPr>
        <w:t xml:space="preserve">The table below presents the aggregated costs for all stakeholders for the implementation of this measure. Total </w:t>
      </w:r>
      <w:r w:rsidR="00F74012">
        <w:rPr>
          <w:noProof/>
        </w:rPr>
        <w:t>adjus</w:t>
      </w:r>
      <w:r w:rsidR="00391AA3">
        <w:rPr>
          <w:noProof/>
        </w:rPr>
        <w:t>tment</w:t>
      </w:r>
      <w:r w:rsidR="00BA788C" w:rsidRPr="00C2741D">
        <w:rPr>
          <w:noProof/>
        </w:rPr>
        <w:t xml:space="preserve"> costs for the European Commission are estimated at</w:t>
      </w:r>
      <w:r w:rsidR="009E539F">
        <w:rPr>
          <w:noProof/>
        </w:rPr>
        <w:t xml:space="preserve"> </w:t>
      </w:r>
      <w:r w:rsidR="00BA788C" w:rsidRPr="00C2741D">
        <w:rPr>
          <w:noProof/>
        </w:rPr>
        <w:t xml:space="preserve">EUR </w:t>
      </w:r>
      <w:r w:rsidR="003A7760">
        <w:rPr>
          <w:noProof/>
        </w:rPr>
        <w:t>1.</w:t>
      </w:r>
      <w:r w:rsidR="00C21564">
        <w:rPr>
          <w:noProof/>
        </w:rPr>
        <w:t>1</w:t>
      </w:r>
      <w:r w:rsidR="003A7760">
        <w:rPr>
          <w:noProof/>
        </w:rPr>
        <w:t xml:space="preserve"> </w:t>
      </w:r>
      <w:r w:rsidR="00BA788C" w:rsidRPr="006221CE">
        <w:rPr>
          <w:noProof/>
        </w:rPr>
        <w:t>m.</w:t>
      </w:r>
      <w:r w:rsidR="00BA788C" w:rsidRPr="00C2741D">
        <w:rPr>
          <w:noProof/>
        </w:rPr>
        <w:t xml:space="preserve"> The minimum and maximum ranges are driven by variations in the effort levels required to operate the scheme by and the magnitude of staff days involved. Fiscal transfers have no net effect when aggregated across stakeholders, i.e. financial benefits for operators are mirrored by equivalent fiscal costs for the Commission. </w:t>
      </w:r>
      <w:r w:rsidR="000F5D2C">
        <w:rPr>
          <w:noProof/>
        </w:rPr>
        <w:t>Administrative</w:t>
      </w:r>
      <w:r w:rsidR="00BA788C" w:rsidRPr="00C2741D">
        <w:rPr>
          <w:noProof/>
        </w:rPr>
        <w:t xml:space="preserve"> costs</w:t>
      </w:r>
      <w:r w:rsidR="000F5D2C">
        <w:rPr>
          <w:noProof/>
        </w:rPr>
        <w:t xml:space="preserve"> </w:t>
      </w:r>
      <w:r w:rsidR="00114BFD">
        <w:rPr>
          <w:noProof/>
        </w:rPr>
        <w:t>(EUR 0</w:t>
      </w:r>
      <w:r w:rsidR="00C21564">
        <w:rPr>
          <w:noProof/>
        </w:rPr>
        <w:t>.</w:t>
      </w:r>
      <w:r w:rsidR="0036257B">
        <w:rPr>
          <w:noProof/>
        </w:rPr>
        <w:t>79 m)</w:t>
      </w:r>
      <w:r w:rsidR="00BA788C" w:rsidRPr="00C2741D">
        <w:rPr>
          <w:noProof/>
        </w:rPr>
        <w:t xml:space="preserve"> for operators participating in the scheme are also illustrated in the table below and vary based on the uncertainty with respect to the number of applications and days dedicated to proposal/application preparation.</w:t>
      </w:r>
    </w:p>
    <w:p w14:paraId="285500BE" w14:textId="6F89B3E8" w:rsidR="00BB6877" w:rsidRDefault="00BB6877" w:rsidP="00F46575">
      <w:pPr>
        <w:pStyle w:val="Text1"/>
        <w:ind w:left="0"/>
        <w:jc w:val="center"/>
        <w:rPr>
          <w:rFonts w:eastAsiaTheme="minorHAnsi"/>
          <w:b/>
          <w:noProof/>
          <w:color w:val="000000" w:themeColor="text1"/>
          <w:sz w:val="20"/>
          <w:szCs w:val="18"/>
          <w:lang w:val="en-IE"/>
        </w:rPr>
      </w:pPr>
      <w:r w:rsidRPr="00830D09">
        <w:rPr>
          <w:rFonts w:eastAsiaTheme="minorHAnsi"/>
          <w:b/>
          <w:noProof/>
          <w:color w:val="000000" w:themeColor="text1"/>
          <w:sz w:val="20"/>
          <w:szCs w:val="18"/>
          <w:lang w:val="en-IE"/>
        </w:rPr>
        <w:t xml:space="preserve">Table </w:t>
      </w:r>
      <w:r w:rsidRPr="00830D09">
        <w:rPr>
          <w:rFonts w:eastAsiaTheme="minorHAnsi"/>
          <w:b/>
          <w:noProof/>
          <w:color w:val="000000" w:themeColor="text1"/>
          <w:sz w:val="20"/>
          <w:szCs w:val="18"/>
          <w:lang w:val="en-IE"/>
        </w:rPr>
        <w:fldChar w:fldCharType="begin"/>
      </w:r>
      <w:r w:rsidRPr="00830D09">
        <w:rPr>
          <w:rFonts w:eastAsiaTheme="minorHAnsi"/>
          <w:b/>
          <w:noProof/>
          <w:color w:val="000000" w:themeColor="text1"/>
          <w:sz w:val="20"/>
          <w:szCs w:val="18"/>
          <w:lang w:val="en-IE"/>
        </w:rPr>
        <w:instrText xml:space="preserve"> SEQ Table \* ARABIC </w:instrText>
      </w:r>
      <w:r w:rsidRPr="00830D09">
        <w:rPr>
          <w:rFonts w:eastAsiaTheme="minorHAnsi"/>
          <w:b/>
          <w:noProof/>
          <w:color w:val="000000" w:themeColor="text1"/>
          <w:sz w:val="20"/>
          <w:szCs w:val="18"/>
          <w:lang w:val="en-IE"/>
        </w:rPr>
        <w:fldChar w:fldCharType="separate"/>
      </w:r>
      <w:r w:rsidR="000E7F11">
        <w:rPr>
          <w:rFonts w:eastAsiaTheme="minorHAnsi"/>
          <w:b/>
          <w:noProof/>
          <w:color w:val="000000" w:themeColor="text1"/>
          <w:sz w:val="20"/>
          <w:szCs w:val="18"/>
          <w:lang w:val="en-IE"/>
        </w:rPr>
        <w:t>29</w:t>
      </w:r>
      <w:r w:rsidRPr="00830D09">
        <w:rPr>
          <w:rFonts w:eastAsiaTheme="minorHAnsi"/>
          <w:b/>
          <w:noProof/>
          <w:color w:val="000000" w:themeColor="text1"/>
          <w:sz w:val="20"/>
          <w:szCs w:val="18"/>
          <w:lang w:val="en-IE"/>
        </w:rPr>
        <w:fldChar w:fldCharType="end"/>
      </w:r>
      <w:r w:rsidRPr="00830D09">
        <w:rPr>
          <w:rFonts w:eastAsiaTheme="minorHAnsi"/>
          <w:b/>
          <w:noProof/>
          <w:color w:val="000000" w:themeColor="text1"/>
          <w:sz w:val="20"/>
          <w:szCs w:val="18"/>
          <w:lang w:val="en-IE"/>
        </w:rPr>
        <w:t xml:space="preserve">. </w:t>
      </w:r>
      <w:r w:rsidR="00BA788C" w:rsidRPr="00830D09">
        <w:rPr>
          <w:rFonts w:eastAsiaTheme="minorHAnsi"/>
          <w:b/>
          <w:iCs/>
          <w:noProof/>
          <w:color w:val="000000" w:themeColor="text1"/>
          <w:sz w:val="20"/>
          <w:szCs w:val="18"/>
          <w:lang w:val="en-IE"/>
        </w:rPr>
        <w:t>EU</w:t>
      </w:r>
      <w:r w:rsidR="00BA788C" w:rsidRPr="00830D09">
        <w:rPr>
          <w:rFonts w:eastAsiaTheme="minorHAnsi"/>
          <w:b/>
          <w:noProof/>
          <w:color w:val="000000" w:themeColor="text1"/>
          <w:sz w:val="20"/>
          <w:szCs w:val="18"/>
          <w:lang w:val="en-IE"/>
        </w:rPr>
        <w:t xml:space="preserve"> deployment funding for strategic projects</w:t>
      </w:r>
      <w:r w:rsidRPr="00830D09">
        <w:rPr>
          <w:rFonts w:eastAsiaTheme="minorHAnsi"/>
          <w:b/>
          <w:noProof/>
          <w:color w:val="000000" w:themeColor="text1"/>
          <w:sz w:val="20"/>
          <w:szCs w:val="18"/>
          <w:lang w:val="en-IE"/>
        </w:rPr>
        <w:t xml:space="preserve"> (PM9)</w:t>
      </w:r>
    </w:p>
    <w:tbl>
      <w:tblPr>
        <w:tblStyle w:val="TableGrid"/>
        <w:tblW w:w="9561" w:type="dxa"/>
        <w:tblInd w:w="-284" w:type="dxa"/>
        <w:tblLayout w:type="fixed"/>
        <w:tblCellMar>
          <w:left w:w="0" w:type="dxa"/>
          <w:right w:w="0" w:type="dxa"/>
        </w:tblCellMar>
        <w:tblLook w:val="04A0" w:firstRow="1" w:lastRow="0" w:firstColumn="1" w:lastColumn="0" w:noHBand="0" w:noVBand="1"/>
      </w:tblPr>
      <w:tblGrid>
        <w:gridCol w:w="2189"/>
        <w:gridCol w:w="1276"/>
        <w:gridCol w:w="1213"/>
        <w:gridCol w:w="1418"/>
        <w:gridCol w:w="1134"/>
        <w:gridCol w:w="1169"/>
        <w:gridCol w:w="1162"/>
      </w:tblGrid>
      <w:tr w:rsidR="006B45A1" w:rsidRPr="00FA63C0" w14:paraId="204C59CA" w14:textId="77777777">
        <w:trPr>
          <w:trHeight w:val="506"/>
        </w:trPr>
        <w:tc>
          <w:tcPr>
            <w:tcW w:w="2189" w:type="dxa"/>
            <w:tcBorders>
              <w:bottom w:val="single" w:sz="12" w:space="0" w:color="00B0F0"/>
            </w:tcBorders>
            <w:noWrap/>
            <w:vAlign w:val="center"/>
            <w:hideMark/>
          </w:tcPr>
          <w:p w14:paraId="3C9D435F"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76" w:type="dxa"/>
            <w:tcBorders>
              <w:bottom w:val="single" w:sz="12" w:space="0" w:color="00B0F0"/>
            </w:tcBorders>
            <w:vAlign w:val="center"/>
          </w:tcPr>
          <w:p w14:paraId="782E63D5"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13" w:type="dxa"/>
            <w:tcBorders>
              <w:bottom w:val="single" w:sz="12" w:space="0" w:color="00B0F0"/>
            </w:tcBorders>
            <w:vAlign w:val="center"/>
          </w:tcPr>
          <w:p w14:paraId="26B8D7CB"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vAlign w:val="center"/>
          </w:tcPr>
          <w:p w14:paraId="1C3B5280"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noWrap/>
            <w:vAlign w:val="center"/>
            <w:hideMark/>
          </w:tcPr>
          <w:p w14:paraId="2AD8C47B" w14:textId="049CEDEC"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69" w:type="dxa"/>
            <w:tcBorders>
              <w:bottom w:val="single" w:sz="12" w:space="0" w:color="00B0F0"/>
            </w:tcBorders>
            <w:noWrap/>
            <w:vAlign w:val="center"/>
            <w:hideMark/>
          </w:tcPr>
          <w:p w14:paraId="58F65D34" w14:textId="1A70D874"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162" w:type="dxa"/>
            <w:tcBorders>
              <w:bottom w:val="single" w:sz="12" w:space="0" w:color="00B0F0"/>
            </w:tcBorders>
            <w:noWrap/>
            <w:vAlign w:val="center"/>
            <w:hideMark/>
          </w:tcPr>
          <w:p w14:paraId="7E626868" w14:textId="74A791D6"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381866" w:rsidRPr="00397C78" w14:paraId="5B58BF85" w14:textId="77777777" w:rsidTr="001A49D4">
        <w:trPr>
          <w:trHeight w:val="283"/>
        </w:trPr>
        <w:tc>
          <w:tcPr>
            <w:tcW w:w="2189" w:type="dxa"/>
            <w:tcBorders>
              <w:top w:val="single" w:sz="12" w:space="0" w:color="00B0F0"/>
            </w:tcBorders>
            <w:noWrap/>
            <w:vAlign w:val="center"/>
            <w:hideMark/>
          </w:tcPr>
          <w:p w14:paraId="2C1D658A"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76" w:type="dxa"/>
            <w:tcBorders>
              <w:top w:val="single" w:sz="12" w:space="0" w:color="00B0F0"/>
            </w:tcBorders>
            <w:vAlign w:val="center"/>
          </w:tcPr>
          <w:p w14:paraId="7ECD19B9" w14:textId="065DB685" w:rsidR="00381866" w:rsidRPr="00FA63C0" w:rsidRDefault="0022115C" w:rsidP="00381866">
            <w:pPr>
              <w:spacing w:after="0"/>
              <w:jc w:val="right"/>
              <w:rPr>
                <w:noProof/>
                <w:sz w:val="20"/>
                <w:szCs w:val="20"/>
                <w:lang w:val="en-IE" w:eastAsia="en-IE"/>
              </w:rPr>
            </w:pPr>
            <w:r>
              <w:rPr>
                <w:noProof/>
                <w:sz w:val="20"/>
                <w:szCs w:val="20"/>
              </w:rPr>
              <w:t>792 583</w:t>
            </w:r>
            <w:r w:rsidR="00381866" w:rsidRPr="00FA63C0">
              <w:rPr>
                <w:noProof/>
                <w:sz w:val="20"/>
                <w:szCs w:val="20"/>
              </w:rPr>
              <w:t xml:space="preserve">   </w:t>
            </w:r>
          </w:p>
        </w:tc>
        <w:tc>
          <w:tcPr>
            <w:tcW w:w="1213" w:type="dxa"/>
            <w:tcBorders>
              <w:top w:val="single" w:sz="12" w:space="0" w:color="00B0F0"/>
            </w:tcBorders>
            <w:vAlign w:val="center"/>
          </w:tcPr>
          <w:p w14:paraId="1D60D00F" w14:textId="65BB0F71"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tcBorders>
              <w:top w:val="single" w:sz="12" w:space="0" w:color="00B0F0"/>
            </w:tcBorders>
            <w:vAlign w:val="center"/>
          </w:tcPr>
          <w:p w14:paraId="261AA10C" w14:textId="544C5776"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tcBorders>
              <w:top w:val="single" w:sz="12" w:space="0" w:color="00B0F0"/>
            </w:tcBorders>
            <w:noWrap/>
            <w:vAlign w:val="center"/>
          </w:tcPr>
          <w:p w14:paraId="66A11BC7" w14:textId="71D8640B" w:rsidR="00381866" w:rsidRPr="007C40E5" w:rsidRDefault="00381866" w:rsidP="00381866">
            <w:pPr>
              <w:spacing w:after="0"/>
              <w:jc w:val="right"/>
              <w:rPr>
                <w:noProof/>
                <w:sz w:val="20"/>
                <w:szCs w:val="20"/>
                <w:lang w:val="en-IE" w:eastAsia="en-IE"/>
              </w:rPr>
            </w:pPr>
            <w:r w:rsidRPr="00082E1B">
              <w:rPr>
                <w:noProof/>
                <w:sz w:val="20"/>
                <w:szCs w:val="20"/>
              </w:rPr>
              <w:t xml:space="preserve"> 792 583 </w:t>
            </w:r>
          </w:p>
        </w:tc>
        <w:tc>
          <w:tcPr>
            <w:tcW w:w="1169" w:type="dxa"/>
            <w:tcBorders>
              <w:top w:val="single" w:sz="12" w:space="0" w:color="00B0F0"/>
            </w:tcBorders>
            <w:noWrap/>
            <w:vAlign w:val="center"/>
          </w:tcPr>
          <w:p w14:paraId="4DB39A00" w14:textId="48EA370B" w:rsidR="00381866" w:rsidRPr="007C40E5" w:rsidRDefault="00381866" w:rsidP="00381866">
            <w:pPr>
              <w:spacing w:after="0"/>
              <w:jc w:val="right"/>
              <w:rPr>
                <w:noProof/>
                <w:sz w:val="20"/>
                <w:szCs w:val="20"/>
                <w:lang w:val="en-IE" w:eastAsia="en-IE"/>
              </w:rPr>
            </w:pPr>
            <w:r w:rsidRPr="00082E1B">
              <w:rPr>
                <w:noProof/>
                <w:sz w:val="20"/>
                <w:szCs w:val="20"/>
              </w:rPr>
              <w:t xml:space="preserve"> 446 840 </w:t>
            </w:r>
          </w:p>
        </w:tc>
        <w:tc>
          <w:tcPr>
            <w:tcW w:w="1162" w:type="dxa"/>
            <w:tcBorders>
              <w:top w:val="single" w:sz="12" w:space="0" w:color="00B0F0"/>
            </w:tcBorders>
            <w:noWrap/>
            <w:vAlign w:val="center"/>
          </w:tcPr>
          <w:p w14:paraId="7E27E3BD" w14:textId="120BEBF5" w:rsidR="00381866" w:rsidRPr="007C40E5" w:rsidRDefault="00381866" w:rsidP="00381866">
            <w:pPr>
              <w:spacing w:after="0"/>
              <w:jc w:val="right"/>
              <w:rPr>
                <w:noProof/>
                <w:sz w:val="20"/>
                <w:szCs w:val="20"/>
                <w:lang w:val="en-IE" w:eastAsia="en-IE"/>
              </w:rPr>
            </w:pPr>
            <w:r w:rsidRPr="00082E1B">
              <w:rPr>
                <w:noProof/>
                <w:sz w:val="20"/>
                <w:szCs w:val="20"/>
              </w:rPr>
              <w:t xml:space="preserve"> 1 235 249 </w:t>
            </w:r>
          </w:p>
        </w:tc>
      </w:tr>
      <w:tr w:rsidR="00381866" w:rsidRPr="00061A60" w14:paraId="6504FD3C" w14:textId="77777777" w:rsidTr="001A49D4">
        <w:trPr>
          <w:trHeight w:val="283"/>
        </w:trPr>
        <w:tc>
          <w:tcPr>
            <w:tcW w:w="2189" w:type="dxa"/>
            <w:noWrap/>
            <w:vAlign w:val="center"/>
            <w:hideMark/>
          </w:tcPr>
          <w:p w14:paraId="76B846E0"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76" w:type="dxa"/>
            <w:vAlign w:val="center"/>
          </w:tcPr>
          <w:p w14:paraId="1683FF5B" w14:textId="0FC43BE9"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213" w:type="dxa"/>
            <w:vAlign w:val="center"/>
          </w:tcPr>
          <w:p w14:paraId="60E802D3" w14:textId="763B1EA7"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vAlign w:val="center"/>
          </w:tcPr>
          <w:p w14:paraId="3FC13E68" w14:textId="5513D1AC"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7383E8E1" w14:textId="77777777" w:rsidR="00381866" w:rsidRPr="00061A60"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2689FC6C" w14:textId="77777777" w:rsidR="00381866" w:rsidRPr="00061A60" w:rsidRDefault="00381866" w:rsidP="00381866">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16A5784E" w14:textId="77777777" w:rsidR="00381866" w:rsidRPr="00061A60" w:rsidRDefault="00381866" w:rsidP="00381866">
            <w:pPr>
              <w:spacing w:after="0"/>
              <w:jc w:val="right"/>
              <w:rPr>
                <w:noProof/>
                <w:sz w:val="20"/>
                <w:szCs w:val="20"/>
                <w:lang w:val="en-IE" w:eastAsia="en-IE"/>
              </w:rPr>
            </w:pPr>
            <w:r w:rsidRPr="00FA63C0">
              <w:rPr>
                <w:noProof/>
                <w:sz w:val="20"/>
                <w:szCs w:val="20"/>
              </w:rPr>
              <w:t xml:space="preserve"> -   </w:t>
            </w:r>
          </w:p>
        </w:tc>
      </w:tr>
      <w:tr w:rsidR="008A76A0" w:rsidRPr="00397C78" w14:paraId="18075B8C" w14:textId="77777777" w:rsidTr="001A49D4">
        <w:trPr>
          <w:trHeight w:val="283"/>
        </w:trPr>
        <w:tc>
          <w:tcPr>
            <w:tcW w:w="2189" w:type="dxa"/>
            <w:noWrap/>
            <w:vAlign w:val="center"/>
            <w:hideMark/>
          </w:tcPr>
          <w:p w14:paraId="0B73C9C8" w14:textId="77777777" w:rsidR="008A76A0" w:rsidRPr="00FA63C0" w:rsidRDefault="008A76A0" w:rsidP="008A76A0">
            <w:pPr>
              <w:spacing w:after="0"/>
              <w:jc w:val="left"/>
              <w:rPr>
                <w:i/>
                <w:iCs/>
                <w:noProof/>
                <w:sz w:val="20"/>
                <w:szCs w:val="20"/>
                <w:lang w:val="en-IE" w:eastAsia="en-IE"/>
              </w:rPr>
            </w:pPr>
            <w:r w:rsidRPr="00FA63C0">
              <w:rPr>
                <w:i/>
                <w:iCs/>
                <w:noProof/>
                <w:sz w:val="20"/>
                <w:szCs w:val="20"/>
                <w:lang w:val="en-IE" w:eastAsia="en-IE"/>
              </w:rPr>
              <w:t>one-off adjustment</w:t>
            </w:r>
          </w:p>
        </w:tc>
        <w:tc>
          <w:tcPr>
            <w:tcW w:w="1276" w:type="dxa"/>
            <w:vAlign w:val="center"/>
          </w:tcPr>
          <w:p w14:paraId="7410AF1B" w14:textId="745F87A0" w:rsidR="008A76A0" w:rsidRPr="00FA63C0" w:rsidRDefault="008A76A0" w:rsidP="008A76A0">
            <w:pPr>
              <w:spacing w:after="0"/>
              <w:jc w:val="right"/>
              <w:rPr>
                <w:noProof/>
                <w:sz w:val="20"/>
                <w:szCs w:val="20"/>
                <w:lang w:val="en-IE" w:eastAsia="en-IE"/>
              </w:rPr>
            </w:pPr>
            <w:r w:rsidRPr="00FA63C0">
              <w:rPr>
                <w:noProof/>
                <w:sz w:val="20"/>
                <w:szCs w:val="20"/>
              </w:rPr>
              <w:t xml:space="preserve"> -   </w:t>
            </w:r>
          </w:p>
        </w:tc>
        <w:tc>
          <w:tcPr>
            <w:tcW w:w="1213" w:type="dxa"/>
            <w:vAlign w:val="center"/>
          </w:tcPr>
          <w:p w14:paraId="3F1A9A84" w14:textId="0FE304A8" w:rsidR="008A76A0" w:rsidRPr="00FA63C0" w:rsidRDefault="008A76A0" w:rsidP="008A76A0">
            <w:pPr>
              <w:spacing w:after="0"/>
              <w:jc w:val="right"/>
              <w:rPr>
                <w:noProof/>
                <w:sz w:val="20"/>
                <w:szCs w:val="20"/>
                <w:lang w:val="en-IE" w:eastAsia="en-IE"/>
              </w:rPr>
            </w:pPr>
            <w:r w:rsidRPr="00FA63C0">
              <w:rPr>
                <w:noProof/>
                <w:sz w:val="20"/>
                <w:szCs w:val="20"/>
              </w:rPr>
              <w:t xml:space="preserve">-   </w:t>
            </w:r>
          </w:p>
        </w:tc>
        <w:tc>
          <w:tcPr>
            <w:tcW w:w="1418" w:type="dxa"/>
            <w:vAlign w:val="center"/>
          </w:tcPr>
          <w:p w14:paraId="7AA68F98" w14:textId="3351245D" w:rsidR="008A76A0" w:rsidRPr="00FA63C0" w:rsidRDefault="008A76A0" w:rsidP="008A76A0">
            <w:pPr>
              <w:spacing w:after="0"/>
              <w:jc w:val="right"/>
              <w:rPr>
                <w:noProof/>
                <w:sz w:val="20"/>
                <w:szCs w:val="20"/>
                <w:lang w:val="en-IE" w:eastAsia="en-IE"/>
              </w:rPr>
            </w:pPr>
            <w:r w:rsidRPr="00743B56">
              <w:rPr>
                <w:noProof/>
                <w:sz w:val="20"/>
                <w:szCs w:val="20"/>
              </w:rPr>
              <w:t xml:space="preserve"> 694 870 </w:t>
            </w:r>
          </w:p>
        </w:tc>
        <w:tc>
          <w:tcPr>
            <w:tcW w:w="1134" w:type="dxa"/>
            <w:noWrap/>
            <w:vAlign w:val="center"/>
          </w:tcPr>
          <w:p w14:paraId="62DFABA9" w14:textId="43F36D05" w:rsidR="008A76A0" w:rsidRPr="007C40E5" w:rsidRDefault="008A76A0" w:rsidP="008A76A0">
            <w:pPr>
              <w:spacing w:after="0"/>
              <w:jc w:val="right"/>
              <w:rPr>
                <w:noProof/>
                <w:sz w:val="20"/>
                <w:szCs w:val="20"/>
                <w:lang w:val="en-IE" w:eastAsia="en-IE"/>
              </w:rPr>
            </w:pPr>
            <w:r w:rsidRPr="00082E1B">
              <w:rPr>
                <w:noProof/>
                <w:sz w:val="20"/>
                <w:szCs w:val="20"/>
              </w:rPr>
              <w:t xml:space="preserve"> 694 870 </w:t>
            </w:r>
          </w:p>
        </w:tc>
        <w:tc>
          <w:tcPr>
            <w:tcW w:w="1169" w:type="dxa"/>
            <w:noWrap/>
            <w:vAlign w:val="center"/>
          </w:tcPr>
          <w:p w14:paraId="39C94C89" w14:textId="68C091EE" w:rsidR="008A76A0" w:rsidRPr="007C40E5" w:rsidRDefault="008A76A0" w:rsidP="008A76A0">
            <w:pPr>
              <w:spacing w:after="0"/>
              <w:jc w:val="right"/>
              <w:rPr>
                <w:noProof/>
                <w:sz w:val="20"/>
                <w:szCs w:val="20"/>
                <w:lang w:val="en-IE" w:eastAsia="en-IE"/>
              </w:rPr>
            </w:pPr>
            <w:r w:rsidRPr="00082E1B">
              <w:rPr>
                <w:noProof/>
                <w:sz w:val="20"/>
                <w:szCs w:val="20"/>
              </w:rPr>
              <w:t xml:space="preserve"> 463 247 </w:t>
            </w:r>
          </w:p>
        </w:tc>
        <w:tc>
          <w:tcPr>
            <w:tcW w:w="1162" w:type="dxa"/>
            <w:noWrap/>
            <w:vAlign w:val="center"/>
          </w:tcPr>
          <w:p w14:paraId="7A89EAF3" w14:textId="32A37ABD" w:rsidR="008A76A0" w:rsidRPr="007C40E5" w:rsidRDefault="008A76A0" w:rsidP="008A76A0">
            <w:pPr>
              <w:spacing w:after="0"/>
              <w:jc w:val="right"/>
              <w:rPr>
                <w:noProof/>
                <w:sz w:val="20"/>
                <w:szCs w:val="20"/>
                <w:lang w:val="en-IE" w:eastAsia="en-IE"/>
              </w:rPr>
            </w:pPr>
            <w:r w:rsidRPr="00082E1B">
              <w:rPr>
                <w:noProof/>
                <w:sz w:val="20"/>
                <w:szCs w:val="20"/>
              </w:rPr>
              <w:t xml:space="preserve"> 926 493 </w:t>
            </w:r>
          </w:p>
        </w:tc>
      </w:tr>
      <w:tr w:rsidR="008A76A0" w:rsidRPr="00397C78" w14:paraId="330D9465" w14:textId="77777777" w:rsidTr="001A49D4">
        <w:trPr>
          <w:trHeight w:val="283"/>
        </w:trPr>
        <w:tc>
          <w:tcPr>
            <w:tcW w:w="2189" w:type="dxa"/>
            <w:noWrap/>
            <w:vAlign w:val="center"/>
            <w:hideMark/>
          </w:tcPr>
          <w:p w14:paraId="6D4FD9A8" w14:textId="77777777" w:rsidR="008A76A0" w:rsidRPr="00FA63C0" w:rsidRDefault="008A76A0" w:rsidP="008A76A0">
            <w:pPr>
              <w:spacing w:after="0"/>
              <w:jc w:val="left"/>
              <w:rPr>
                <w:i/>
                <w:iCs/>
                <w:noProof/>
                <w:sz w:val="20"/>
                <w:szCs w:val="20"/>
                <w:lang w:val="en-IE" w:eastAsia="en-IE"/>
              </w:rPr>
            </w:pPr>
            <w:r w:rsidRPr="00FA63C0">
              <w:rPr>
                <w:i/>
                <w:iCs/>
                <w:noProof/>
                <w:sz w:val="20"/>
                <w:szCs w:val="20"/>
                <w:lang w:val="en-IE" w:eastAsia="en-IE"/>
              </w:rPr>
              <w:t>recurrent adjustment</w:t>
            </w:r>
          </w:p>
        </w:tc>
        <w:tc>
          <w:tcPr>
            <w:tcW w:w="1276" w:type="dxa"/>
            <w:vAlign w:val="center"/>
          </w:tcPr>
          <w:p w14:paraId="2B5DED08" w14:textId="273AC68E" w:rsidR="008A76A0" w:rsidRPr="00FA63C0" w:rsidRDefault="008A76A0" w:rsidP="008A76A0">
            <w:pPr>
              <w:spacing w:after="0"/>
              <w:jc w:val="right"/>
              <w:rPr>
                <w:noProof/>
                <w:sz w:val="20"/>
                <w:szCs w:val="20"/>
                <w:lang w:val="en-IE" w:eastAsia="en-IE"/>
              </w:rPr>
            </w:pPr>
            <w:r w:rsidRPr="00FA63C0">
              <w:rPr>
                <w:noProof/>
                <w:sz w:val="20"/>
                <w:szCs w:val="20"/>
              </w:rPr>
              <w:t xml:space="preserve"> -   </w:t>
            </w:r>
          </w:p>
        </w:tc>
        <w:tc>
          <w:tcPr>
            <w:tcW w:w="1213" w:type="dxa"/>
            <w:vAlign w:val="center"/>
          </w:tcPr>
          <w:p w14:paraId="4D5B0E11" w14:textId="14DFF833" w:rsidR="008A76A0" w:rsidRPr="00FA63C0" w:rsidRDefault="008A76A0" w:rsidP="008A76A0">
            <w:pPr>
              <w:spacing w:after="0"/>
              <w:jc w:val="right"/>
              <w:rPr>
                <w:noProof/>
                <w:sz w:val="20"/>
                <w:szCs w:val="20"/>
                <w:lang w:val="en-IE" w:eastAsia="en-IE"/>
              </w:rPr>
            </w:pPr>
            <w:r w:rsidRPr="00FA63C0">
              <w:rPr>
                <w:noProof/>
                <w:sz w:val="20"/>
                <w:szCs w:val="20"/>
              </w:rPr>
              <w:t xml:space="preserve">-   </w:t>
            </w:r>
          </w:p>
        </w:tc>
        <w:tc>
          <w:tcPr>
            <w:tcW w:w="1418" w:type="dxa"/>
            <w:vAlign w:val="center"/>
          </w:tcPr>
          <w:p w14:paraId="39378AED" w14:textId="01768DCD" w:rsidR="008A76A0" w:rsidRPr="00FA63C0" w:rsidRDefault="008A76A0" w:rsidP="008A76A0">
            <w:pPr>
              <w:spacing w:after="0"/>
              <w:jc w:val="right"/>
              <w:rPr>
                <w:noProof/>
                <w:sz w:val="20"/>
                <w:szCs w:val="20"/>
                <w:lang w:val="en-IE" w:eastAsia="en-IE"/>
              </w:rPr>
            </w:pPr>
            <w:r w:rsidRPr="00743B56">
              <w:rPr>
                <w:noProof/>
                <w:sz w:val="20"/>
                <w:szCs w:val="20"/>
              </w:rPr>
              <w:t xml:space="preserve"> </w:t>
            </w:r>
            <w:r w:rsidR="00E04DCF">
              <w:rPr>
                <w:noProof/>
                <w:sz w:val="20"/>
                <w:szCs w:val="20"/>
              </w:rPr>
              <w:t>440 093</w:t>
            </w:r>
            <w:r w:rsidRPr="00743B56">
              <w:rPr>
                <w:noProof/>
                <w:sz w:val="20"/>
                <w:szCs w:val="20"/>
              </w:rPr>
              <w:t xml:space="preserve"> </w:t>
            </w:r>
          </w:p>
        </w:tc>
        <w:tc>
          <w:tcPr>
            <w:tcW w:w="1134" w:type="dxa"/>
            <w:noWrap/>
            <w:vAlign w:val="center"/>
          </w:tcPr>
          <w:p w14:paraId="22D97D64" w14:textId="11E117FA" w:rsidR="008A76A0" w:rsidRPr="007C40E5" w:rsidRDefault="006B22DA" w:rsidP="008A76A0">
            <w:pPr>
              <w:spacing w:after="0"/>
              <w:jc w:val="right"/>
              <w:rPr>
                <w:noProof/>
                <w:sz w:val="20"/>
                <w:szCs w:val="20"/>
                <w:lang w:val="en-IE" w:eastAsia="en-IE"/>
              </w:rPr>
            </w:pPr>
            <w:r>
              <w:rPr>
                <w:noProof/>
                <w:sz w:val="20"/>
                <w:szCs w:val="20"/>
              </w:rPr>
              <w:t>440 093</w:t>
            </w:r>
            <w:r w:rsidR="008A76A0" w:rsidRPr="00082E1B">
              <w:rPr>
                <w:noProof/>
                <w:sz w:val="20"/>
                <w:szCs w:val="20"/>
              </w:rPr>
              <w:t xml:space="preserve"> </w:t>
            </w:r>
          </w:p>
        </w:tc>
        <w:tc>
          <w:tcPr>
            <w:tcW w:w="1169" w:type="dxa"/>
            <w:noWrap/>
            <w:vAlign w:val="center"/>
          </w:tcPr>
          <w:p w14:paraId="0CAC3043" w14:textId="6AFD6A8A" w:rsidR="008A76A0" w:rsidRPr="007C40E5" w:rsidRDefault="008A76A0" w:rsidP="008A76A0">
            <w:pPr>
              <w:spacing w:after="0"/>
              <w:jc w:val="right"/>
              <w:rPr>
                <w:noProof/>
                <w:sz w:val="20"/>
                <w:szCs w:val="20"/>
                <w:lang w:val="en-IE" w:eastAsia="en-IE"/>
              </w:rPr>
            </w:pPr>
            <w:r w:rsidRPr="00082E1B">
              <w:rPr>
                <w:noProof/>
                <w:sz w:val="20"/>
                <w:szCs w:val="20"/>
              </w:rPr>
              <w:t xml:space="preserve"> 293 395 </w:t>
            </w:r>
          </w:p>
        </w:tc>
        <w:tc>
          <w:tcPr>
            <w:tcW w:w="1162" w:type="dxa"/>
            <w:noWrap/>
            <w:vAlign w:val="center"/>
          </w:tcPr>
          <w:p w14:paraId="44C42007" w14:textId="1E89563A" w:rsidR="008A76A0" w:rsidRPr="007C40E5" w:rsidRDefault="008A76A0" w:rsidP="008A76A0">
            <w:pPr>
              <w:spacing w:after="0"/>
              <w:jc w:val="right"/>
              <w:rPr>
                <w:noProof/>
                <w:sz w:val="20"/>
                <w:szCs w:val="20"/>
                <w:lang w:val="en-IE" w:eastAsia="en-IE"/>
              </w:rPr>
            </w:pPr>
            <w:r w:rsidRPr="00082E1B">
              <w:rPr>
                <w:noProof/>
                <w:sz w:val="20"/>
                <w:szCs w:val="20"/>
              </w:rPr>
              <w:t xml:space="preserve"> 586 790 </w:t>
            </w:r>
          </w:p>
        </w:tc>
      </w:tr>
      <w:tr w:rsidR="00381866" w:rsidRPr="000A7265" w14:paraId="54DCD453" w14:textId="77777777" w:rsidTr="001A49D4">
        <w:trPr>
          <w:trHeight w:val="283"/>
        </w:trPr>
        <w:tc>
          <w:tcPr>
            <w:tcW w:w="2189" w:type="dxa"/>
            <w:noWrap/>
            <w:vAlign w:val="center"/>
            <w:hideMark/>
          </w:tcPr>
          <w:p w14:paraId="2B02B717"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76" w:type="dxa"/>
            <w:vAlign w:val="center"/>
          </w:tcPr>
          <w:p w14:paraId="2236C360" w14:textId="3F32E85A"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213" w:type="dxa"/>
            <w:vAlign w:val="center"/>
          </w:tcPr>
          <w:p w14:paraId="29F2016F" w14:textId="1F0891F3"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vAlign w:val="center"/>
          </w:tcPr>
          <w:p w14:paraId="442DC4B5" w14:textId="26D3D52C"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2AE0353D"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766724B2"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6DF7C210"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r>
      <w:tr w:rsidR="00381866" w:rsidRPr="000A7265" w14:paraId="79CEAB66" w14:textId="77777777" w:rsidTr="001A49D4">
        <w:trPr>
          <w:trHeight w:val="283"/>
        </w:trPr>
        <w:tc>
          <w:tcPr>
            <w:tcW w:w="2189" w:type="dxa"/>
            <w:noWrap/>
            <w:vAlign w:val="center"/>
            <w:hideMark/>
          </w:tcPr>
          <w:p w14:paraId="36CA5F60"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76" w:type="dxa"/>
            <w:vAlign w:val="center"/>
          </w:tcPr>
          <w:p w14:paraId="0CB9BCF2" w14:textId="27A5ADD0"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213" w:type="dxa"/>
            <w:vAlign w:val="center"/>
          </w:tcPr>
          <w:p w14:paraId="4C9245F0" w14:textId="1A09BA37"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vAlign w:val="center"/>
          </w:tcPr>
          <w:p w14:paraId="2291E09B" w14:textId="0239858F"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51625AAC"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453D5373"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5CB729E2"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r>
      <w:tr w:rsidR="00381866" w:rsidRPr="000A7265" w14:paraId="028F7DDE" w14:textId="77777777" w:rsidTr="001A49D4">
        <w:trPr>
          <w:trHeight w:val="283"/>
        </w:trPr>
        <w:tc>
          <w:tcPr>
            <w:tcW w:w="2189" w:type="dxa"/>
            <w:noWrap/>
            <w:vAlign w:val="center"/>
            <w:hideMark/>
          </w:tcPr>
          <w:p w14:paraId="08926244"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76" w:type="dxa"/>
            <w:vAlign w:val="center"/>
          </w:tcPr>
          <w:p w14:paraId="72D08811" w14:textId="73C56D8D"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213" w:type="dxa"/>
            <w:vAlign w:val="center"/>
          </w:tcPr>
          <w:p w14:paraId="4500EB50" w14:textId="7808B9AD"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vAlign w:val="center"/>
          </w:tcPr>
          <w:p w14:paraId="4F502EB5" w14:textId="01C81192"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521CBD01"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338BB4BE"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11A1ADA6" w14:textId="77777777" w:rsidR="00381866" w:rsidRPr="000A7265" w:rsidRDefault="00381866" w:rsidP="00381866">
            <w:pPr>
              <w:spacing w:after="0"/>
              <w:jc w:val="right"/>
              <w:rPr>
                <w:noProof/>
                <w:sz w:val="20"/>
                <w:szCs w:val="20"/>
                <w:lang w:val="en-IE" w:eastAsia="en-IE"/>
              </w:rPr>
            </w:pPr>
            <w:r w:rsidRPr="00FA63C0">
              <w:rPr>
                <w:noProof/>
                <w:sz w:val="20"/>
                <w:szCs w:val="20"/>
              </w:rPr>
              <w:t xml:space="preserve"> -   </w:t>
            </w:r>
          </w:p>
        </w:tc>
      </w:tr>
      <w:tr w:rsidR="00381866" w:rsidRPr="00A53ED9" w14:paraId="1CEDE001" w14:textId="77777777" w:rsidTr="001A49D4">
        <w:trPr>
          <w:trHeight w:val="283"/>
        </w:trPr>
        <w:tc>
          <w:tcPr>
            <w:tcW w:w="2189" w:type="dxa"/>
            <w:noWrap/>
            <w:vAlign w:val="center"/>
            <w:hideMark/>
          </w:tcPr>
          <w:p w14:paraId="55DC68D7" w14:textId="77777777" w:rsidR="00381866" w:rsidRPr="00FA63C0" w:rsidRDefault="00381866" w:rsidP="00381866">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76" w:type="dxa"/>
            <w:vAlign w:val="center"/>
          </w:tcPr>
          <w:p w14:paraId="03AEECFC" w14:textId="7356BAEB"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213" w:type="dxa"/>
            <w:vAlign w:val="center"/>
          </w:tcPr>
          <w:p w14:paraId="68C620BD" w14:textId="614DC202" w:rsidR="00381866" w:rsidRPr="00FA63C0" w:rsidRDefault="00381866" w:rsidP="00381866">
            <w:pPr>
              <w:spacing w:after="0"/>
              <w:jc w:val="right"/>
              <w:rPr>
                <w:noProof/>
                <w:sz w:val="20"/>
                <w:szCs w:val="20"/>
                <w:lang w:val="en-IE" w:eastAsia="en-IE"/>
              </w:rPr>
            </w:pPr>
            <w:r w:rsidRPr="00FA63C0">
              <w:rPr>
                <w:noProof/>
                <w:sz w:val="20"/>
                <w:szCs w:val="20"/>
              </w:rPr>
              <w:t xml:space="preserve">-   </w:t>
            </w:r>
          </w:p>
        </w:tc>
        <w:tc>
          <w:tcPr>
            <w:tcW w:w="1418" w:type="dxa"/>
            <w:vAlign w:val="center"/>
          </w:tcPr>
          <w:p w14:paraId="13E2DE69" w14:textId="7F18A236" w:rsidR="00381866" w:rsidRPr="00FA63C0" w:rsidRDefault="00381866" w:rsidP="00381866">
            <w:pPr>
              <w:spacing w:after="0"/>
              <w:jc w:val="right"/>
              <w:rPr>
                <w:noProof/>
                <w:sz w:val="20"/>
                <w:szCs w:val="20"/>
                <w:lang w:val="en-IE" w:eastAsia="en-IE"/>
              </w:rPr>
            </w:pPr>
            <w:r w:rsidRPr="00FA63C0">
              <w:rPr>
                <w:noProof/>
                <w:sz w:val="20"/>
                <w:szCs w:val="20"/>
              </w:rPr>
              <w:t xml:space="preserve"> -   </w:t>
            </w:r>
          </w:p>
        </w:tc>
        <w:tc>
          <w:tcPr>
            <w:tcW w:w="1134" w:type="dxa"/>
            <w:noWrap/>
            <w:vAlign w:val="center"/>
          </w:tcPr>
          <w:p w14:paraId="017B1D44" w14:textId="77777777" w:rsidR="00381866" w:rsidRPr="00A53ED9"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6B1E793D" w14:textId="77777777" w:rsidR="00381866" w:rsidRPr="00A53ED9" w:rsidRDefault="00381866" w:rsidP="00381866">
            <w:pPr>
              <w:spacing w:after="0"/>
              <w:jc w:val="right"/>
              <w:rPr>
                <w:noProof/>
                <w:sz w:val="20"/>
                <w:szCs w:val="20"/>
                <w:lang w:val="en-IE" w:eastAsia="en-IE"/>
              </w:rPr>
            </w:pPr>
            <w:r w:rsidRPr="00FA63C0">
              <w:rPr>
                <w:noProof/>
                <w:sz w:val="20"/>
                <w:szCs w:val="20"/>
              </w:rPr>
              <w:t xml:space="preserve">-   </w:t>
            </w:r>
          </w:p>
        </w:tc>
        <w:tc>
          <w:tcPr>
            <w:tcW w:w="1162" w:type="dxa"/>
            <w:noWrap/>
            <w:vAlign w:val="center"/>
          </w:tcPr>
          <w:p w14:paraId="0B1E1A91" w14:textId="77777777" w:rsidR="00381866" w:rsidRPr="00A53ED9" w:rsidRDefault="00381866" w:rsidP="00381866">
            <w:pPr>
              <w:spacing w:after="0"/>
              <w:jc w:val="right"/>
              <w:rPr>
                <w:noProof/>
                <w:sz w:val="20"/>
                <w:szCs w:val="20"/>
                <w:lang w:val="en-IE" w:eastAsia="en-IE"/>
              </w:rPr>
            </w:pPr>
            <w:r w:rsidRPr="00FA63C0">
              <w:rPr>
                <w:noProof/>
                <w:sz w:val="20"/>
                <w:szCs w:val="20"/>
              </w:rPr>
              <w:t xml:space="preserve"> -   </w:t>
            </w:r>
          </w:p>
        </w:tc>
      </w:tr>
      <w:tr w:rsidR="00381866" w:rsidRPr="00397C78" w14:paraId="13011C44" w14:textId="77777777" w:rsidTr="005D7722">
        <w:trPr>
          <w:trHeight w:val="283"/>
        </w:trPr>
        <w:tc>
          <w:tcPr>
            <w:tcW w:w="2189" w:type="dxa"/>
            <w:shd w:val="clear" w:color="auto" w:fill="F2DBDB" w:themeFill="accent2" w:themeFillTint="33"/>
            <w:noWrap/>
            <w:vAlign w:val="center"/>
            <w:hideMark/>
          </w:tcPr>
          <w:p w14:paraId="6CB74A19" w14:textId="77777777" w:rsidR="00381866" w:rsidRPr="00FA63C0" w:rsidRDefault="00381866" w:rsidP="00381866">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76" w:type="dxa"/>
            <w:shd w:val="clear" w:color="auto" w:fill="F2DBDB" w:themeFill="accent2" w:themeFillTint="33"/>
            <w:vAlign w:val="center"/>
          </w:tcPr>
          <w:p w14:paraId="4EA282B7" w14:textId="33881DD2" w:rsidR="00381866" w:rsidRPr="00FA63C0" w:rsidRDefault="00381866" w:rsidP="00381866">
            <w:pPr>
              <w:spacing w:after="0"/>
              <w:jc w:val="right"/>
              <w:rPr>
                <w:b/>
                <w:bCs/>
                <w:noProof/>
                <w:sz w:val="20"/>
                <w:szCs w:val="20"/>
                <w:lang w:val="en-IE" w:eastAsia="en-IE"/>
              </w:rPr>
            </w:pPr>
            <w:r w:rsidRPr="00FA63C0">
              <w:rPr>
                <w:noProof/>
                <w:sz w:val="20"/>
                <w:szCs w:val="20"/>
              </w:rPr>
              <w:t xml:space="preserve"> </w:t>
            </w:r>
            <w:r w:rsidR="0022115C">
              <w:rPr>
                <w:noProof/>
                <w:sz w:val="20"/>
                <w:szCs w:val="20"/>
              </w:rPr>
              <w:t>792 583</w:t>
            </w:r>
            <w:r w:rsidR="0022115C" w:rsidRPr="00FA63C0">
              <w:rPr>
                <w:noProof/>
                <w:sz w:val="20"/>
                <w:szCs w:val="20"/>
              </w:rPr>
              <w:t xml:space="preserve">   </w:t>
            </w:r>
            <w:r w:rsidRPr="00FA63C0">
              <w:rPr>
                <w:noProof/>
                <w:sz w:val="20"/>
                <w:szCs w:val="20"/>
              </w:rPr>
              <w:t xml:space="preserve">   </w:t>
            </w:r>
          </w:p>
        </w:tc>
        <w:tc>
          <w:tcPr>
            <w:tcW w:w="1213" w:type="dxa"/>
            <w:shd w:val="clear" w:color="auto" w:fill="F2DBDB" w:themeFill="accent2" w:themeFillTint="33"/>
            <w:vAlign w:val="center"/>
          </w:tcPr>
          <w:p w14:paraId="4B7D7408" w14:textId="69F1C550" w:rsidR="00381866" w:rsidRPr="00FA63C0" w:rsidRDefault="00381866" w:rsidP="00381866">
            <w:pPr>
              <w:spacing w:after="0"/>
              <w:jc w:val="right"/>
              <w:rPr>
                <w:b/>
                <w:bCs/>
                <w:noProof/>
                <w:sz w:val="20"/>
                <w:szCs w:val="20"/>
                <w:lang w:val="en-IE" w:eastAsia="en-IE"/>
              </w:rPr>
            </w:pPr>
            <w:r w:rsidRPr="00FA63C0">
              <w:rPr>
                <w:noProof/>
                <w:sz w:val="20"/>
                <w:szCs w:val="20"/>
              </w:rPr>
              <w:t xml:space="preserve">-   </w:t>
            </w:r>
          </w:p>
        </w:tc>
        <w:tc>
          <w:tcPr>
            <w:tcW w:w="1418" w:type="dxa"/>
            <w:shd w:val="clear" w:color="auto" w:fill="F2DBDB" w:themeFill="accent2" w:themeFillTint="33"/>
            <w:vAlign w:val="center"/>
          </w:tcPr>
          <w:p w14:paraId="26D930AC" w14:textId="46984957" w:rsidR="00381866" w:rsidRPr="00FA63C0" w:rsidRDefault="00381866" w:rsidP="00381866">
            <w:pPr>
              <w:spacing w:after="0"/>
              <w:jc w:val="right"/>
              <w:rPr>
                <w:b/>
                <w:bCs/>
                <w:noProof/>
                <w:sz w:val="20"/>
                <w:szCs w:val="20"/>
                <w:lang w:val="en-IE" w:eastAsia="en-IE"/>
              </w:rPr>
            </w:pPr>
            <w:r w:rsidRPr="00FA63C0">
              <w:rPr>
                <w:noProof/>
                <w:sz w:val="20"/>
                <w:szCs w:val="20"/>
              </w:rPr>
              <w:t xml:space="preserve"> </w:t>
            </w:r>
            <w:r w:rsidR="000F0CB1">
              <w:rPr>
                <w:noProof/>
                <w:sz w:val="20"/>
                <w:szCs w:val="20"/>
              </w:rPr>
              <w:t xml:space="preserve">1 </w:t>
            </w:r>
            <w:r w:rsidR="0071434E">
              <w:rPr>
                <w:noProof/>
                <w:sz w:val="20"/>
                <w:szCs w:val="20"/>
              </w:rPr>
              <w:t>134 963</w:t>
            </w:r>
            <w:r w:rsidRPr="00FA63C0">
              <w:rPr>
                <w:noProof/>
                <w:sz w:val="20"/>
                <w:szCs w:val="20"/>
              </w:rPr>
              <w:t xml:space="preserve">   </w:t>
            </w:r>
          </w:p>
        </w:tc>
        <w:tc>
          <w:tcPr>
            <w:tcW w:w="1134" w:type="dxa"/>
            <w:shd w:val="clear" w:color="auto" w:fill="F2DBDB" w:themeFill="accent2" w:themeFillTint="33"/>
            <w:noWrap/>
            <w:vAlign w:val="center"/>
          </w:tcPr>
          <w:p w14:paraId="752D012F" w14:textId="0824A357" w:rsidR="00381866" w:rsidRPr="007C40E5" w:rsidRDefault="00381866" w:rsidP="00381866">
            <w:pPr>
              <w:spacing w:after="0"/>
              <w:jc w:val="right"/>
              <w:rPr>
                <w:noProof/>
                <w:sz w:val="20"/>
                <w:szCs w:val="20"/>
              </w:rPr>
            </w:pPr>
            <w:r w:rsidRPr="00082E1B">
              <w:rPr>
                <w:noProof/>
                <w:sz w:val="20"/>
                <w:szCs w:val="20"/>
              </w:rPr>
              <w:t xml:space="preserve"> 1 </w:t>
            </w:r>
            <w:r w:rsidR="000012D5">
              <w:rPr>
                <w:noProof/>
                <w:sz w:val="20"/>
                <w:szCs w:val="20"/>
              </w:rPr>
              <w:t>927 546</w:t>
            </w:r>
            <w:r w:rsidRPr="00082E1B">
              <w:rPr>
                <w:noProof/>
                <w:sz w:val="20"/>
                <w:szCs w:val="20"/>
              </w:rPr>
              <w:t xml:space="preserve"> </w:t>
            </w:r>
          </w:p>
        </w:tc>
        <w:tc>
          <w:tcPr>
            <w:tcW w:w="1169" w:type="dxa"/>
            <w:shd w:val="clear" w:color="auto" w:fill="F2DBDB" w:themeFill="accent2" w:themeFillTint="33"/>
            <w:noWrap/>
            <w:vAlign w:val="center"/>
          </w:tcPr>
          <w:p w14:paraId="5A936BF2" w14:textId="4299FCEA" w:rsidR="00381866" w:rsidRPr="007C40E5" w:rsidRDefault="00381866" w:rsidP="00381866">
            <w:pPr>
              <w:spacing w:after="0"/>
              <w:jc w:val="right"/>
              <w:rPr>
                <w:noProof/>
                <w:sz w:val="20"/>
                <w:szCs w:val="20"/>
              </w:rPr>
            </w:pPr>
            <w:r w:rsidRPr="00082E1B">
              <w:rPr>
                <w:noProof/>
                <w:sz w:val="20"/>
                <w:szCs w:val="20"/>
              </w:rPr>
              <w:t xml:space="preserve"> 1 203 482 </w:t>
            </w:r>
          </w:p>
        </w:tc>
        <w:tc>
          <w:tcPr>
            <w:tcW w:w="1162" w:type="dxa"/>
            <w:shd w:val="clear" w:color="auto" w:fill="F2DBDB" w:themeFill="accent2" w:themeFillTint="33"/>
            <w:noWrap/>
            <w:vAlign w:val="center"/>
          </w:tcPr>
          <w:p w14:paraId="64A11720" w14:textId="7BC3C52F" w:rsidR="00381866" w:rsidRPr="007C40E5" w:rsidRDefault="00381866" w:rsidP="00381866">
            <w:pPr>
              <w:spacing w:after="0"/>
              <w:jc w:val="right"/>
              <w:rPr>
                <w:noProof/>
                <w:sz w:val="20"/>
                <w:szCs w:val="20"/>
              </w:rPr>
            </w:pPr>
            <w:r w:rsidRPr="00082E1B">
              <w:rPr>
                <w:noProof/>
                <w:sz w:val="20"/>
                <w:szCs w:val="20"/>
              </w:rPr>
              <w:t xml:space="preserve"> 2 748 533 </w:t>
            </w:r>
          </w:p>
        </w:tc>
      </w:tr>
      <w:tr w:rsidR="00381866" w:rsidRPr="007B1859" w14:paraId="21B155A1" w14:textId="77777777" w:rsidTr="005D7722">
        <w:trPr>
          <w:trHeight w:val="283"/>
        </w:trPr>
        <w:tc>
          <w:tcPr>
            <w:tcW w:w="2189" w:type="dxa"/>
            <w:shd w:val="clear" w:color="auto" w:fill="EAF1DD" w:themeFill="accent3" w:themeFillTint="33"/>
            <w:noWrap/>
            <w:vAlign w:val="center"/>
            <w:hideMark/>
          </w:tcPr>
          <w:p w14:paraId="2CA616ED" w14:textId="77777777" w:rsidR="00381866" w:rsidRPr="00FA63C0" w:rsidRDefault="00381866" w:rsidP="00381866">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76" w:type="dxa"/>
            <w:shd w:val="clear" w:color="auto" w:fill="EAF1DD" w:themeFill="accent3" w:themeFillTint="33"/>
            <w:vAlign w:val="center"/>
          </w:tcPr>
          <w:p w14:paraId="7ACA3ABD" w14:textId="507F1E11" w:rsidR="00381866" w:rsidRPr="00FA63C0" w:rsidRDefault="00381866" w:rsidP="00381866">
            <w:pPr>
              <w:spacing w:after="0"/>
              <w:jc w:val="right"/>
              <w:rPr>
                <w:b/>
                <w:bCs/>
                <w:noProof/>
                <w:sz w:val="20"/>
                <w:szCs w:val="20"/>
                <w:lang w:val="en-IE" w:eastAsia="en-IE"/>
              </w:rPr>
            </w:pPr>
            <w:r w:rsidRPr="00FA63C0">
              <w:rPr>
                <w:noProof/>
                <w:sz w:val="20"/>
                <w:szCs w:val="20"/>
              </w:rPr>
              <w:t xml:space="preserve"> -   </w:t>
            </w:r>
          </w:p>
        </w:tc>
        <w:tc>
          <w:tcPr>
            <w:tcW w:w="1213" w:type="dxa"/>
            <w:shd w:val="clear" w:color="auto" w:fill="EAF1DD" w:themeFill="accent3" w:themeFillTint="33"/>
            <w:vAlign w:val="center"/>
          </w:tcPr>
          <w:p w14:paraId="3B3C7127" w14:textId="37B1413A" w:rsidR="00381866" w:rsidRPr="00FA63C0" w:rsidRDefault="00381866" w:rsidP="00381866">
            <w:pPr>
              <w:spacing w:after="0"/>
              <w:jc w:val="right"/>
              <w:rPr>
                <w:b/>
                <w:bCs/>
                <w:noProof/>
                <w:sz w:val="20"/>
                <w:szCs w:val="20"/>
                <w:lang w:val="en-IE" w:eastAsia="en-IE"/>
              </w:rPr>
            </w:pPr>
            <w:r w:rsidRPr="00FA63C0">
              <w:rPr>
                <w:noProof/>
                <w:sz w:val="20"/>
                <w:szCs w:val="20"/>
              </w:rPr>
              <w:t xml:space="preserve">-   </w:t>
            </w:r>
          </w:p>
        </w:tc>
        <w:tc>
          <w:tcPr>
            <w:tcW w:w="1418" w:type="dxa"/>
            <w:shd w:val="clear" w:color="auto" w:fill="EAF1DD" w:themeFill="accent3" w:themeFillTint="33"/>
            <w:vAlign w:val="center"/>
          </w:tcPr>
          <w:p w14:paraId="18CDAED3" w14:textId="262019C0" w:rsidR="00381866" w:rsidRPr="00FA63C0" w:rsidRDefault="00381866" w:rsidP="00381866">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EAF1DD" w:themeFill="accent3" w:themeFillTint="33"/>
            <w:noWrap/>
            <w:vAlign w:val="center"/>
          </w:tcPr>
          <w:p w14:paraId="25B89D56" w14:textId="77777777" w:rsidR="00381866" w:rsidRPr="007B1859" w:rsidRDefault="00381866" w:rsidP="00381866">
            <w:pPr>
              <w:spacing w:after="0"/>
              <w:jc w:val="right"/>
              <w:rPr>
                <w:noProof/>
                <w:sz w:val="20"/>
                <w:szCs w:val="20"/>
                <w:lang w:val="en-IE" w:eastAsia="en-IE"/>
              </w:rPr>
            </w:pPr>
            <w:r w:rsidRPr="00FA63C0">
              <w:rPr>
                <w:noProof/>
                <w:sz w:val="20"/>
                <w:szCs w:val="20"/>
              </w:rPr>
              <w:t xml:space="preserve"> -   </w:t>
            </w:r>
          </w:p>
        </w:tc>
        <w:tc>
          <w:tcPr>
            <w:tcW w:w="1169" w:type="dxa"/>
            <w:shd w:val="clear" w:color="auto" w:fill="EAF1DD" w:themeFill="accent3" w:themeFillTint="33"/>
            <w:noWrap/>
            <w:vAlign w:val="center"/>
          </w:tcPr>
          <w:p w14:paraId="3678A710" w14:textId="77777777" w:rsidR="00381866" w:rsidRPr="007B1859" w:rsidRDefault="00381866" w:rsidP="00381866">
            <w:pPr>
              <w:spacing w:after="0"/>
              <w:jc w:val="right"/>
              <w:rPr>
                <w:noProof/>
                <w:sz w:val="20"/>
                <w:szCs w:val="20"/>
                <w:lang w:val="en-IE" w:eastAsia="en-IE"/>
              </w:rPr>
            </w:pPr>
            <w:r w:rsidRPr="00FA63C0">
              <w:rPr>
                <w:noProof/>
                <w:sz w:val="20"/>
                <w:szCs w:val="20"/>
              </w:rPr>
              <w:t xml:space="preserve">-   </w:t>
            </w:r>
          </w:p>
        </w:tc>
        <w:tc>
          <w:tcPr>
            <w:tcW w:w="1162" w:type="dxa"/>
            <w:shd w:val="clear" w:color="auto" w:fill="EAF1DD" w:themeFill="accent3" w:themeFillTint="33"/>
            <w:noWrap/>
            <w:vAlign w:val="center"/>
          </w:tcPr>
          <w:p w14:paraId="4DADDAD7" w14:textId="77777777" w:rsidR="00381866" w:rsidRPr="007B1859" w:rsidRDefault="00381866" w:rsidP="00381866">
            <w:pPr>
              <w:spacing w:after="0"/>
              <w:jc w:val="right"/>
              <w:rPr>
                <w:noProof/>
                <w:sz w:val="20"/>
                <w:szCs w:val="20"/>
                <w:lang w:val="en-IE" w:eastAsia="en-IE"/>
              </w:rPr>
            </w:pPr>
            <w:r w:rsidRPr="00FA63C0">
              <w:rPr>
                <w:noProof/>
                <w:sz w:val="20"/>
                <w:szCs w:val="20"/>
              </w:rPr>
              <w:t xml:space="preserve"> -   </w:t>
            </w:r>
          </w:p>
        </w:tc>
      </w:tr>
      <w:tr w:rsidR="00381866" w:rsidRPr="007C40E5" w14:paraId="12A087E9" w14:textId="77777777" w:rsidTr="005D7722">
        <w:trPr>
          <w:trHeight w:val="283"/>
        </w:trPr>
        <w:tc>
          <w:tcPr>
            <w:tcW w:w="2189" w:type="dxa"/>
            <w:shd w:val="clear" w:color="auto" w:fill="F2F2F2" w:themeFill="background1" w:themeFillShade="F2"/>
            <w:noWrap/>
            <w:vAlign w:val="center"/>
            <w:hideMark/>
          </w:tcPr>
          <w:p w14:paraId="2B2ECE11" w14:textId="77777777" w:rsidR="00381866" w:rsidRPr="00FA63C0" w:rsidRDefault="00381866" w:rsidP="00381866">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76" w:type="dxa"/>
            <w:shd w:val="clear" w:color="auto" w:fill="F2F2F2" w:themeFill="background1" w:themeFillShade="F2"/>
            <w:vAlign w:val="center"/>
          </w:tcPr>
          <w:p w14:paraId="3DA42E14" w14:textId="0117D236" w:rsidR="00381866" w:rsidRPr="007A7D33" w:rsidRDefault="00381866" w:rsidP="00381866">
            <w:pPr>
              <w:spacing w:after="0"/>
              <w:jc w:val="right"/>
              <w:rPr>
                <w:b/>
                <w:bCs/>
                <w:noProof/>
                <w:sz w:val="20"/>
                <w:szCs w:val="20"/>
                <w:lang w:val="en-IE" w:eastAsia="en-IE"/>
              </w:rPr>
            </w:pPr>
            <w:r w:rsidRPr="00082E1B">
              <w:rPr>
                <w:b/>
                <w:noProof/>
                <w:sz w:val="20"/>
                <w:szCs w:val="20"/>
              </w:rPr>
              <w:t xml:space="preserve"> </w:t>
            </w:r>
            <w:r w:rsidR="007A7D33" w:rsidRPr="00082E1B">
              <w:rPr>
                <w:b/>
                <w:noProof/>
                <w:sz w:val="20"/>
                <w:szCs w:val="20"/>
              </w:rPr>
              <w:t xml:space="preserve">792 583      </w:t>
            </w:r>
            <w:r w:rsidRPr="00082E1B">
              <w:rPr>
                <w:b/>
                <w:noProof/>
                <w:sz w:val="20"/>
                <w:szCs w:val="20"/>
              </w:rPr>
              <w:t xml:space="preserve">   </w:t>
            </w:r>
          </w:p>
        </w:tc>
        <w:tc>
          <w:tcPr>
            <w:tcW w:w="1213" w:type="dxa"/>
            <w:shd w:val="clear" w:color="auto" w:fill="F2F2F2" w:themeFill="background1" w:themeFillShade="F2"/>
            <w:vAlign w:val="center"/>
          </w:tcPr>
          <w:p w14:paraId="5E888F2E" w14:textId="6C65BA7A" w:rsidR="00381866" w:rsidRPr="00FA63C0" w:rsidRDefault="00381866" w:rsidP="00381866">
            <w:pPr>
              <w:spacing w:after="0"/>
              <w:jc w:val="right"/>
              <w:rPr>
                <w:b/>
                <w:bCs/>
                <w:noProof/>
                <w:sz w:val="20"/>
                <w:szCs w:val="20"/>
                <w:lang w:val="en-IE" w:eastAsia="en-IE"/>
              </w:rPr>
            </w:pPr>
            <w:r w:rsidRPr="00FA63C0">
              <w:rPr>
                <w:noProof/>
                <w:sz w:val="20"/>
                <w:szCs w:val="20"/>
              </w:rPr>
              <w:t xml:space="preserve">-   </w:t>
            </w:r>
          </w:p>
        </w:tc>
        <w:tc>
          <w:tcPr>
            <w:tcW w:w="1418" w:type="dxa"/>
            <w:shd w:val="clear" w:color="auto" w:fill="F2F2F2" w:themeFill="background1" w:themeFillShade="F2"/>
            <w:vAlign w:val="center"/>
          </w:tcPr>
          <w:p w14:paraId="37E9B05A" w14:textId="004EC1A4" w:rsidR="00381866" w:rsidRPr="007A7D33" w:rsidRDefault="0071434E" w:rsidP="00381866">
            <w:pPr>
              <w:spacing w:after="0"/>
              <w:jc w:val="right"/>
              <w:rPr>
                <w:b/>
                <w:bCs/>
                <w:noProof/>
                <w:sz w:val="20"/>
                <w:szCs w:val="20"/>
                <w:lang w:val="en-IE" w:eastAsia="en-IE"/>
              </w:rPr>
            </w:pPr>
            <w:r w:rsidRPr="0071434E">
              <w:rPr>
                <w:b/>
                <w:bCs/>
                <w:noProof/>
                <w:sz w:val="20"/>
                <w:szCs w:val="20"/>
              </w:rPr>
              <w:t xml:space="preserve">1 134 963   </w:t>
            </w:r>
          </w:p>
        </w:tc>
        <w:tc>
          <w:tcPr>
            <w:tcW w:w="1134" w:type="dxa"/>
            <w:shd w:val="clear" w:color="auto" w:fill="F2F2F2" w:themeFill="background1" w:themeFillShade="F2"/>
            <w:noWrap/>
            <w:vAlign w:val="center"/>
          </w:tcPr>
          <w:p w14:paraId="1B1F41F7" w14:textId="1502A215" w:rsidR="00381866" w:rsidRPr="007A7D33" w:rsidRDefault="00381866" w:rsidP="00381866">
            <w:pPr>
              <w:spacing w:after="0"/>
              <w:jc w:val="right"/>
              <w:rPr>
                <w:b/>
                <w:bCs/>
                <w:noProof/>
                <w:sz w:val="20"/>
                <w:szCs w:val="20"/>
                <w:lang w:val="en-IE" w:eastAsia="en-IE"/>
              </w:rPr>
            </w:pPr>
            <w:r w:rsidRPr="000012D5">
              <w:rPr>
                <w:b/>
                <w:bCs/>
                <w:noProof/>
                <w:sz w:val="20"/>
                <w:szCs w:val="20"/>
              </w:rPr>
              <w:t xml:space="preserve"> </w:t>
            </w:r>
            <w:r w:rsidR="000012D5" w:rsidRPr="000012D5">
              <w:rPr>
                <w:b/>
                <w:bCs/>
                <w:noProof/>
                <w:sz w:val="20"/>
                <w:szCs w:val="20"/>
              </w:rPr>
              <w:t>1 927 546</w:t>
            </w:r>
          </w:p>
        </w:tc>
        <w:tc>
          <w:tcPr>
            <w:tcW w:w="1169" w:type="dxa"/>
            <w:shd w:val="clear" w:color="auto" w:fill="F2F2F2" w:themeFill="background1" w:themeFillShade="F2"/>
            <w:noWrap/>
            <w:vAlign w:val="center"/>
          </w:tcPr>
          <w:p w14:paraId="19326F55" w14:textId="2BC3F74E" w:rsidR="00381866" w:rsidRPr="00241569" w:rsidRDefault="00381866" w:rsidP="00381866">
            <w:pPr>
              <w:spacing w:after="0"/>
              <w:jc w:val="right"/>
              <w:rPr>
                <w:b/>
                <w:bCs/>
                <w:noProof/>
                <w:sz w:val="20"/>
                <w:szCs w:val="20"/>
                <w:lang w:val="en-IE" w:eastAsia="en-IE"/>
              </w:rPr>
            </w:pPr>
            <w:r w:rsidRPr="00082E1B">
              <w:rPr>
                <w:b/>
                <w:noProof/>
                <w:sz w:val="20"/>
                <w:szCs w:val="20"/>
              </w:rPr>
              <w:t xml:space="preserve"> 1 203 482 </w:t>
            </w:r>
          </w:p>
        </w:tc>
        <w:tc>
          <w:tcPr>
            <w:tcW w:w="1162" w:type="dxa"/>
            <w:shd w:val="clear" w:color="auto" w:fill="F2F2F2" w:themeFill="background1" w:themeFillShade="F2"/>
            <w:noWrap/>
            <w:vAlign w:val="center"/>
          </w:tcPr>
          <w:p w14:paraId="3EE5D81C" w14:textId="43F07236" w:rsidR="00381866" w:rsidRPr="00241569" w:rsidRDefault="00381866" w:rsidP="00381866">
            <w:pPr>
              <w:spacing w:after="0"/>
              <w:jc w:val="right"/>
              <w:rPr>
                <w:b/>
                <w:bCs/>
                <w:noProof/>
                <w:sz w:val="20"/>
                <w:szCs w:val="20"/>
                <w:lang w:val="en-IE" w:eastAsia="en-IE"/>
              </w:rPr>
            </w:pPr>
            <w:r w:rsidRPr="00082E1B">
              <w:rPr>
                <w:b/>
                <w:noProof/>
                <w:sz w:val="20"/>
                <w:szCs w:val="20"/>
              </w:rPr>
              <w:t xml:space="preserve"> 2 748 533 </w:t>
            </w:r>
          </w:p>
        </w:tc>
      </w:tr>
    </w:tbl>
    <w:p w14:paraId="378B8487" w14:textId="0768DC83" w:rsidR="00B7069E" w:rsidRPr="0071434E" w:rsidRDefault="00B7069E" w:rsidP="00A007F2">
      <w:pPr>
        <w:pStyle w:val="Heading2"/>
        <w:numPr>
          <w:ilvl w:val="1"/>
          <w:numId w:val="10"/>
        </w:numPr>
        <w:tabs>
          <w:tab w:val="num" w:pos="283"/>
        </w:tabs>
        <w:spacing w:before="240"/>
        <w:ind w:left="1202"/>
        <w:rPr>
          <w:noProof/>
          <w:szCs w:val="32"/>
          <w:lang w:val="en-IE"/>
        </w:rPr>
      </w:pPr>
      <w:bookmarkStart w:id="206" w:name="_Toc216283365"/>
      <w:bookmarkStart w:id="207" w:name="_Toc228346920"/>
      <w:bookmarkStart w:id="208" w:name="_Toc214519714"/>
      <w:r w:rsidRPr="0071434E">
        <w:rPr>
          <w:noProof/>
        </w:rPr>
        <w:t>PM10</w:t>
      </w:r>
      <w:r w:rsidRPr="0071434E">
        <w:rPr>
          <w:noProof/>
          <w:szCs w:val="32"/>
          <w:lang w:val="en-IE"/>
        </w:rPr>
        <w:t>: EU-level identification of areas for fast-track data centre deployment</w:t>
      </w:r>
      <w:bookmarkEnd w:id="206"/>
      <w:bookmarkEnd w:id="207"/>
      <w:r w:rsidRPr="0071434E">
        <w:rPr>
          <w:noProof/>
          <w:szCs w:val="32"/>
          <w:lang w:val="en-IE"/>
        </w:rPr>
        <w:t xml:space="preserve"> </w:t>
      </w:r>
      <w:bookmarkEnd w:id="208"/>
    </w:p>
    <w:p w14:paraId="7E680715" w14:textId="48F41CC8" w:rsidR="00B7069E" w:rsidRPr="00A54618" w:rsidRDefault="00B7069E" w:rsidP="00B7069E">
      <w:pPr>
        <w:pStyle w:val="Text1"/>
        <w:ind w:left="0"/>
        <w:rPr>
          <w:noProof/>
        </w:rPr>
      </w:pPr>
      <w:r w:rsidRPr="59E4558D">
        <w:rPr>
          <w:noProof/>
        </w:rPr>
        <w:t xml:space="preserve">Under this measure, the Commission would directly designate areas to fast-track permitting for data centre deployment based on </w:t>
      </w:r>
      <w:r w:rsidR="00BB5CA2" w:rsidRPr="00D37004">
        <w:rPr>
          <w:noProof/>
        </w:rPr>
        <w:t xml:space="preserve">EU-level </w:t>
      </w:r>
      <w:r w:rsidRPr="59E4558D">
        <w:rPr>
          <w:noProof/>
        </w:rPr>
        <w:t xml:space="preserve">criteria (e.g. on connectivity, energy, water) </w:t>
      </w:r>
      <w:r w:rsidR="00BB5CA2" w:rsidRPr="00D37004">
        <w:rPr>
          <w:noProof/>
        </w:rPr>
        <w:t>and in consultation with Member States experts</w:t>
      </w:r>
      <w:r w:rsidR="00BB5CA2">
        <w:rPr>
          <w:noProof/>
        </w:rPr>
        <w:t>,</w:t>
      </w:r>
      <w:r w:rsidRPr="59E4558D">
        <w:rPr>
          <w:noProof/>
        </w:rPr>
        <w:t xml:space="preserve"> allowing for the pre-selection of strategic sites where permitting procedures will be streamlined. Consultation with a newly created EU Data Centre Acceleration Board consisting of Member State experts would be required for the identification and greenlighting of such areas. </w:t>
      </w:r>
      <w:r w:rsidR="00BC5A0B" w:rsidRPr="00D37004">
        <w:rPr>
          <w:noProof/>
        </w:rPr>
        <w:t xml:space="preserve">Permit granting for data centre projects would follow EU-wide rules and require approval from the Board. </w:t>
      </w:r>
      <w:r w:rsidR="00BC5A0B">
        <w:rPr>
          <w:noProof/>
        </w:rPr>
        <w:t xml:space="preserve">For these areas, Member States would be required to enact a set of acceleration measures prescribed at EU level. </w:t>
      </w:r>
    </w:p>
    <w:p w14:paraId="77E49AE0" w14:textId="4043ECFB" w:rsidR="00B7069E" w:rsidRPr="0007547C" w:rsidRDefault="00AC4E0E" w:rsidP="00B7069E">
      <w:pPr>
        <w:pStyle w:val="Tablebullet1"/>
        <w:numPr>
          <w:ilvl w:val="0"/>
          <w:numId w:val="0"/>
        </w:numPr>
        <w:spacing w:after="240"/>
        <w:rPr>
          <w:rFonts w:cs="Times New Roman"/>
          <w:noProof/>
          <w:sz w:val="24"/>
          <w:szCs w:val="24"/>
        </w:rPr>
      </w:pPr>
      <w:r w:rsidRPr="00AC4E0E">
        <w:rPr>
          <w:rFonts w:eastAsia="Times New Roman" w:cs="Times New Roman"/>
          <w:bCs/>
          <w:i/>
          <w:noProof/>
          <w:kern w:val="0"/>
          <w:sz w:val="24"/>
          <w:szCs w:val="24"/>
        </w:rPr>
        <w:t xml:space="preserve">Impact on Datacentre data </w:t>
      </w:r>
      <w:r w:rsidR="00B7069E" w:rsidRPr="00DA029C">
        <w:rPr>
          <w:rFonts w:eastAsia="Times New Roman" w:cs="Times New Roman"/>
          <w:bCs/>
          <w:i/>
          <w:noProof/>
          <w:kern w:val="0"/>
          <w:sz w:val="24"/>
          <w:szCs w:val="24"/>
        </w:rPr>
        <w:t xml:space="preserve">centre </w:t>
      </w:r>
      <w:r w:rsidRPr="00AC4E0E">
        <w:rPr>
          <w:rFonts w:eastAsia="Times New Roman" w:cs="Times New Roman"/>
          <w:bCs/>
          <w:i/>
          <w:noProof/>
          <w:kern w:val="0"/>
          <w:sz w:val="24"/>
          <w:szCs w:val="24"/>
        </w:rPr>
        <w:t>deployment acceleration</w:t>
      </w:r>
      <w:r w:rsidR="00B7069E" w:rsidRPr="00DA029C">
        <w:rPr>
          <w:rFonts w:eastAsia="Times New Roman" w:cs="Times New Roman"/>
          <w:bCs/>
          <w:i/>
          <w:noProof/>
          <w:kern w:val="0"/>
          <w:sz w:val="24"/>
          <w:szCs w:val="24"/>
        </w:rPr>
        <w:t>.</w:t>
      </w:r>
      <w:r w:rsidR="00B7069E" w:rsidRPr="59E4558D">
        <w:rPr>
          <w:rFonts w:eastAsia="Times New Roman" w:cs="Times New Roman"/>
          <w:noProof/>
          <w:kern w:val="0"/>
          <w:sz w:val="24"/>
          <w:szCs w:val="24"/>
        </w:rPr>
        <w:t xml:space="preserve"> Under this option, it is assumed that the capacity growth rate increases to 1</w:t>
      </w:r>
      <w:r w:rsidR="00B7069E">
        <w:rPr>
          <w:rFonts w:eastAsia="Times New Roman" w:cs="Times New Roman"/>
          <w:noProof/>
          <w:kern w:val="0"/>
          <w:sz w:val="24"/>
          <w:szCs w:val="24"/>
        </w:rPr>
        <w:t>4</w:t>
      </w:r>
      <w:r w:rsidR="00B7069E" w:rsidRPr="59E4558D">
        <w:rPr>
          <w:rFonts w:eastAsia="Times New Roman" w:cs="Times New Roman"/>
          <w:noProof/>
          <w:kern w:val="0"/>
          <w:sz w:val="24"/>
          <w:szCs w:val="24"/>
        </w:rPr>
        <w:t xml:space="preserve">%. This uplift reflects the expectation that faster and more predictable processes with lower entry barriers, reduce time-to-market and improve investor certainty, thereby stimulating additional deployment compared to the baseline trend. It is assumed that the share of new projects benefitting from </w:t>
      </w:r>
      <w:r w:rsidR="00B7069E">
        <w:rPr>
          <w:rFonts w:eastAsia="Times New Roman" w:cs="Times New Roman"/>
          <w:noProof/>
          <w:kern w:val="0"/>
          <w:sz w:val="24"/>
          <w:szCs w:val="24"/>
        </w:rPr>
        <w:t>this policy measure</w:t>
      </w:r>
      <w:r w:rsidR="00B7069E" w:rsidRPr="59E4558D">
        <w:rPr>
          <w:rFonts w:eastAsia="Times New Roman" w:cs="Times New Roman"/>
          <w:noProof/>
          <w:kern w:val="0"/>
          <w:sz w:val="24"/>
          <w:szCs w:val="24"/>
        </w:rPr>
        <w:t xml:space="preserve"> increases from </w:t>
      </w:r>
      <w:r w:rsidR="00B7069E">
        <w:rPr>
          <w:rFonts w:eastAsia="Times New Roman" w:cs="Times New Roman"/>
          <w:noProof/>
          <w:kern w:val="0"/>
          <w:sz w:val="24"/>
          <w:szCs w:val="24"/>
        </w:rPr>
        <w:t>5</w:t>
      </w:r>
      <w:r w:rsidR="00B7069E" w:rsidRPr="59E4558D">
        <w:rPr>
          <w:rFonts w:eastAsia="Times New Roman" w:cs="Times New Roman"/>
          <w:noProof/>
          <w:kern w:val="0"/>
          <w:sz w:val="24"/>
          <w:szCs w:val="24"/>
        </w:rPr>
        <w:t>% in 202</w:t>
      </w:r>
      <w:r w:rsidR="00B7069E">
        <w:rPr>
          <w:rFonts w:eastAsia="Times New Roman" w:cs="Times New Roman"/>
          <w:noProof/>
          <w:kern w:val="0"/>
          <w:sz w:val="24"/>
          <w:szCs w:val="24"/>
        </w:rPr>
        <w:t>7</w:t>
      </w:r>
      <w:r w:rsidR="00B7069E" w:rsidRPr="59E4558D">
        <w:rPr>
          <w:rFonts w:eastAsia="Times New Roman" w:cs="Times New Roman"/>
          <w:noProof/>
          <w:kern w:val="0"/>
          <w:sz w:val="24"/>
          <w:szCs w:val="24"/>
        </w:rPr>
        <w:t xml:space="preserve"> to 50% by 2036.</w:t>
      </w:r>
      <w:r w:rsidR="00B7069E" w:rsidRPr="00DA029C">
        <w:rPr>
          <w:rFonts w:eastAsia="Times New Roman" w:cs="Times New Roman"/>
          <w:noProof/>
          <w:kern w:val="0"/>
          <w:sz w:val="24"/>
          <w:szCs w:val="24"/>
        </w:rPr>
        <w:t xml:space="preserve"> </w:t>
      </w:r>
    </w:p>
    <w:p w14:paraId="43AEDA5B" w14:textId="5CDF8903" w:rsidR="009C029F" w:rsidRDefault="00B7069E" w:rsidP="0053174D">
      <w:pPr>
        <w:pStyle w:val="Text1"/>
        <w:ind w:left="0"/>
        <w:rPr>
          <w:noProof/>
        </w:rPr>
      </w:pPr>
      <w:r w:rsidRPr="00A54618">
        <w:rPr>
          <w:b/>
          <w:i/>
          <w:noProof/>
          <w:lang w:val="en-IE"/>
        </w:rPr>
        <w:t xml:space="preserve">Administrative </w:t>
      </w:r>
      <w:r w:rsidR="00BB5CA2">
        <w:rPr>
          <w:b/>
          <w:i/>
          <w:noProof/>
          <w:lang w:val="en-IE"/>
        </w:rPr>
        <w:t xml:space="preserve">and adjustment </w:t>
      </w:r>
      <w:r w:rsidRPr="00A54618">
        <w:rPr>
          <w:b/>
          <w:i/>
          <w:noProof/>
          <w:lang w:val="en-IE"/>
        </w:rPr>
        <w:t xml:space="preserve">costs for </w:t>
      </w:r>
      <w:r w:rsidR="00BB5CA2">
        <w:rPr>
          <w:b/>
          <w:i/>
          <w:noProof/>
        </w:rPr>
        <w:t>d</w:t>
      </w:r>
      <w:r w:rsidR="00BB5CA2" w:rsidRPr="59E4558D">
        <w:rPr>
          <w:b/>
          <w:i/>
          <w:noProof/>
        </w:rPr>
        <w:t xml:space="preserve">ata </w:t>
      </w:r>
      <w:r w:rsidR="00BB5CA2">
        <w:rPr>
          <w:b/>
          <w:i/>
          <w:noProof/>
        </w:rPr>
        <w:t>c</w:t>
      </w:r>
      <w:r w:rsidR="00BB5CA2" w:rsidRPr="59E4558D">
        <w:rPr>
          <w:b/>
          <w:i/>
          <w:noProof/>
        </w:rPr>
        <w:t xml:space="preserve">entre </w:t>
      </w:r>
      <w:r w:rsidR="00BB5CA2">
        <w:rPr>
          <w:b/>
          <w:i/>
          <w:noProof/>
        </w:rPr>
        <w:t>o</w:t>
      </w:r>
      <w:r w:rsidR="00BB5CA2" w:rsidRPr="59E4558D">
        <w:rPr>
          <w:b/>
          <w:i/>
          <w:noProof/>
        </w:rPr>
        <w:t>perators</w:t>
      </w:r>
      <w:r w:rsidRPr="00284043">
        <w:rPr>
          <w:noProof/>
          <w:lang w:val="en-IE"/>
        </w:rPr>
        <w:t>.</w:t>
      </w:r>
      <w:r>
        <w:rPr>
          <w:noProof/>
          <w:lang w:val="en-IE"/>
        </w:rPr>
        <w:t xml:space="preserve"> </w:t>
      </w:r>
      <w:r w:rsidR="00CF46EC">
        <w:rPr>
          <w:noProof/>
          <w:lang w:val="en-IE"/>
        </w:rPr>
        <w:t xml:space="preserve">As above, if operators choose to build in these </w:t>
      </w:r>
      <w:r w:rsidR="001D39E5">
        <w:rPr>
          <w:noProof/>
          <w:lang w:val="en-IE"/>
        </w:rPr>
        <w:t>areas</w:t>
      </w:r>
      <w:r w:rsidR="00CF46EC">
        <w:rPr>
          <w:noProof/>
          <w:lang w:val="en-IE"/>
        </w:rPr>
        <w:t xml:space="preserve"> to benefit from accelerated permitting, they must comply with the </w:t>
      </w:r>
      <w:r w:rsidR="001D39E5">
        <w:rPr>
          <w:noProof/>
          <w:lang w:val="en-IE"/>
        </w:rPr>
        <w:t xml:space="preserve">attached </w:t>
      </w:r>
      <w:r w:rsidR="00CF46EC">
        <w:rPr>
          <w:noProof/>
          <w:lang w:val="en-IE"/>
        </w:rPr>
        <w:t>conditions, which give rise to both administrative and adjustment costs.</w:t>
      </w:r>
      <w:r>
        <w:rPr>
          <w:noProof/>
          <w:lang w:val="en-IE"/>
        </w:rPr>
        <w:t xml:space="preserve"> Costs are assessed following the Standard Cost Model, focusing on the information obligations and activities required for operators to access fast-track </w:t>
      </w:r>
      <w:r w:rsidR="001D39E5">
        <w:rPr>
          <w:noProof/>
          <w:lang w:val="en-IE"/>
        </w:rPr>
        <w:t>areas</w:t>
      </w:r>
      <w:r>
        <w:rPr>
          <w:noProof/>
          <w:lang w:val="en-IE"/>
        </w:rPr>
        <w:t xml:space="preserve">. Reading EU-level guidance, adapting internal </w:t>
      </w:r>
      <w:r w:rsidRPr="00A46C51">
        <w:rPr>
          <w:noProof/>
          <w:lang w:val="en-IE"/>
        </w:rPr>
        <w:t xml:space="preserve">procedures and staff would entail one-off costs for each operator. To access </w:t>
      </w:r>
      <w:r w:rsidR="001D39E5">
        <w:rPr>
          <w:noProof/>
          <w:lang w:val="en-IE"/>
        </w:rPr>
        <w:t>areas</w:t>
      </w:r>
      <w:r w:rsidRPr="00A46C51">
        <w:rPr>
          <w:noProof/>
          <w:lang w:val="en-IE"/>
        </w:rPr>
        <w:t xml:space="preserve">, operators must familiarise themselves with EU-level criteria. </w:t>
      </w:r>
      <w:r>
        <w:rPr>
          <w:noProof/>
          <w:lang w:val="en-IE"/>
        </w:rPr>
        <w:t>As above, t</w:t>
      </w:r>
      <w:r w:rsidRPr="00A46C51">
        <w:rPr>
          <w:noProof/>
          <w:lang w:val="en-IE"/>
        </w:rPr>
        <w:t xml:space="preserve">his is estimated as an effort of additional </w:t>
      </w:r>
      <w:r>
        <w:rPr>
          <w:noProof/>
          <w:lang w:val="en-IE"/>
        </w:rPr>
        <w:t>20</w:t>
      </w:r>
      <w:r w:rsidRPr="00DA029C">
        <w:rPr>
          <w:noProof/>
          <w:lang w:val="en-IE"/>
        </w:rPr>
        <w:t xml:space="preserve"> days</w:t>
      </w:r>
      <w:r>
        <w:rPr>
          <w:noProof/>
          <w:lang w:val="en-IE"/>
        </w:rPr>
        <w:t xml:space="preserve"> </w:t>
      </w:r>
      <w:r w:rsidRPr="00EA560E">
        <w:rPr>
          <w:bCs/>
          <w:noProof/>
          <w:lang w:val="en-IE"/>
        </w:rPr>
        <w:t xml:space="preserve">(sensitivity range </w:t>
      </w:r>
      <w:r>
        <w:rPr>
          <w:bCs/>
          <w:noProof/>
          <w:lang w:val="en-IE"/>
        </w:rPr>
        <w:t>25</w:t>
      </w:r>
      <w:r w:rsidRPr="00EA560E">
        <w:rPr>
          <w:bCs/>
          <w:noProof/>
          <w:lang w:val="en-IE"/>
        </w:rPr>
        <w:t>-</w:t>
      </w:r>
      <w:r>
        <w:rPr>
          <w:bCs/>
          <w:noProof/>
          <w:lang w:val="en-IE"/>
        </w:rPr>
        <w:t>15</w:t>
      </w:r>
      <w:r w:rsidRPr="00EA560E">
        <w:rPr>
          <w:bCs/>
          <w:noProof/>
          <w:lang w:val="en-IE"/>
        </w:rPr>
        <w:t>)</w:t>
      </w:r>
      <w:r>
        <w:rPr>
          <w:bCs/>
          <w:noProof/>
          <w:lang w:val="en-IE"/>
        </w:rPr>
        <w:t xml:space="preserve"> </w:t>
      </w:r>
      <w:r>
        <w:rPr>
          <w:noProof/>
          <w:lang w:val="en-IE"/>
        </w:rPr>
        <w:t xml:space="preserve">per operator, which </w:t>
      </w:r>
      <w:r w:rsidRPr="00256ACA">
        <w:rPr>
          <w:noProof/>
        </w:rPr>
        <w:t xml:space="preserve">is multiplied by the share of the operators applying for the </w:t>
      </w:r>
      <w:r w:rsidR="001D39E5">
        <w:rPr>
          <w:noProof/>
        </w:rPr>
        <w:t>areas</w:t>
      </w:r>
      <w:r w:rsidRPr="00256ACA">
        <w:rPr>
          <w:noProof/>
        </w:rPr>
        <w:t xml:space="preserve"> across the EU. This is assumed to be 50%</w:t>
      </w:r>
      <w:r>
        <w:rPr>
          <w:noProof/>
        </w:rPr>
        <w:t xml:space="preserve"> (central value; 30%-70% for sensitivity)</w:t>
      </w:r>
      <w:r w:rsidRPr="00256ACA">
        <w:rPr>
          <w:noProof/>
        </w:rPr>
        <w:t xml:space="preserve"> of the companies identified as building data centres in the EU.</w:t>
      </w:r>
    </w:p>
    <w:p w14:paraId="25FBA037" w14:textId="716ACCC3" w:rsidR="009C029F" w:rsidRDefault="0053174D" w:rsidP="0053174D">
      <w:pPr>
        <w:pStyle w:val="Text1"/>
        <w:jc w:val="center"/>
        <w:rPr>
          <w:noProof/>
          <w:lang w:val="en-IE"/>
        </w:rPr>
      </w:pPr>
      <w:r w:rsidRPr="00172EE4">
        <w:rPr>
          <w:i/>
          <w:iCs/>
          <w:noProof/>
          <w:lang w:val="en-IE"/>
        </w:rPr>
        <w:t xml:space="preserve">One-off </w:t>
      </w:r>
      <w:r w:rsidR="009A312F">
        <w:rPr>
          <w:i/>
          <w:iCs/>
          <w:noProof/>
          <w:lang w:val="en-IE"/>
        </w:rPr>
        <w:t>adjustment</w:t>
      </w:r>
      <w:r w:rsidRPr="00172EE4">
        <w:rPr>
          <w:i/>
          <w:iCs/>
          <w:noProof/>
          <w:lang w:val="en-IE"/>
        </w:rPr>
        <w:t xml:space="preserve"> costs year t = ΔT × labour cost × No. of applications</w:t>
      </w:r>
    </w:p>
    <w:p w14:paraId="413E1893" w14:textId="306DF262" w:rsidR="009C029F" w:rsidRDefault="0053174D" w:rsidP="0053174D">
      <w:pPr>
        <w:pStyle w:val="Text1"/>
        <w:ind w:left="0"/>
        <w:rPr>
          <w:noProof/>
          <w:lang w:val="en-IE"/>
        </w:rPr>
      </w:pPr>
      <w:r>
        <w:rPr>
          <w:noProof/>
        </w:rPr>
        <w:t>O</w:t>
      </w:r>
      <w:r w:rsidRPr="002B1349">
        <w:rPr>
          <w:noProof/>
        </w:rPr>
        <w:t>perators are also expected to face one-off adjustment costs i</w:t>
      </w:r>
      <w:r>
        <w:rPr>
          <w:noProof/>
        </w:rPr>
        <w:t xml:space="preserve">n </w:t>
      </w:r>
      <w:r w:rsidRPr="00A46C51">
        <w:rPr>
          <w:noProof/>
          <w:lang w:val="en-IE"/>
        </w:rPr>
        <w:t xml:space="preserve">adapting workflows and templates to comply with </w:t>
      </w:r>
      <w:r w:rsidR="001D39E5">
        <w:rPr>
          <w:noProof/>
          <w:lang w:val="en-IE"/>
        </w:rPr>
        <w:t>area</w:t>
      </w:r>
      <w:r w:rsidRPr="00A46C51">
        <w:rPr>
          <w:noProof/>
          <w:lang w:val="en-IE"/>
        </w:rPr>
        <w:t>-specific requirements and accelerated permitting timelines.</w:t>
      </w:r>
      <w:r>
        <w:rPr>
          <w:noProof/>
          <w:lang w:val="en-IE"/>
        </w:rPr>
        <w:t xml:space="preserve"> </w:t>
      </w:r>
      <w:r>
        <w:rPr>
          <w:noProof/>
        </w:rPr>
        <w:t>A</w:t>
      </w:r>
      <w:r w:rsidRPr="00592567">
        <w:rPr>
          <w:noProof/>
        </w:rPr>
        <w:t xml:space="preserve">dapting workflows/operations to comply with requirements has been estimated to cost each operator additional </w:t>
      </w:r>
      <w:r w:rsidR="00FB3381" w:rsidRPr="005D7722">
        <w:rPr>
          <w:noProof/>
        </w:rPr>
        <w:t>40</w:t>
      </w:r>
      <w:r w:rsidR="00FB3381" w:rsidRPr="00FB3381">
        <w:rPr>
          <w:noProof/>
        </w:rPr>
        <w:t xml:space="preserve"> </w:t>
      </w:r>
      <w:r w:rsidRPr="00592567">
        <w:rPr>
          <w:noProof/>
        </w:rPr>
        <w:t>staff days (</w:t>
      </w:r>
      <w:r w:rsidR="00FB3381" w:rsidRPr="00546A53">
        <w:rPr>
          <w:noProof/>
        </w:rPr>
        <w:t>30</w:t>
      </w:r>
      <w:r w:rsidRPr="00FB3381">
        <w:rPr>
          <w:noProof/>
        </w:rPr>
        <w:t>-</w:t>
      </w:r>
      <w:r w:rsidR="00FB3381" w:rsidRPr="005D7722">
        <w:rPr>
          <w:noProof/>
        </w:rPr>
        <w:t>60</w:t>
      </w:r>
      <w:r w:rsidR="00FB3381" w:rsidRPr="00FB3381">
        <w:rPr>
          <w:noProof/>
        </w:rPr>
        <w:t xml:space="preserve"> </w:t>
      </w:r>
      <w:r w:rsidRPr="00592567">
        <w:rPr>
          <w:noProof/>
        </w:rPr>
        <w:t xml:space="preserve">days) to modify the project. </w:t>
      </w:r>
      <w:r w:rsidR="001F5680">
        <w:rPr>
          <w:noProof/>
          <w:lang w:val="en-IE"/>
        </w:rPr>
        <w:t xml:space="preserve">This would be multiplied by a share of the projects benefitting from the areas across the EU (50% by 2036 as the central scenario; 30%-70% for sensitivity).  </w:t>
      </w:r>
      <w:r w:rsidR="001F5680">
        <w:rPr>
          <w:noProof/>
        </w:rPr>
        <w:t>As outlined above,</w:t>
      </w:r>
      <w:r w:rsidR="001F5680" w:rsidRPr="001F5680">
        <w:rPr>
          <w:noProof/>
        </w:rPr>
        <w:t xml:space="preserve"> CAPEX investments are not considered as part of the adjustment costs as only projects that already comply, or are willing to comply, with the EED and other relevant requirements under the baseline scenario would be eligible to apply for the fast-track areas. As a result, no additional CAPEX beyond what is already required under existing legislation is expected to arise specifically from participation in the areas.</w:t>
      </w:r>
      <w:r w:rsidR="001F5680">
        <w:rPr>
          <w:noProof/>
          <w:lang w:val="en-IE"/>
        </w:rPr>
        <w:t xml:space="preserve"> </w:t>
      </w:r>
    </w:p>
    <w:p w14:paraId="06419AE5" w14:textId="77777777" w:rsidR="009C029F" w:rsidRPr="00477DA3" w:rsidRDefault="0053174D" w:rsidP="0053174D">
      <w:pPr>
        <w:pStyle w:val="Text1"/>
        <w:jc w:val="center"/>
        <w:rPr>
          <w:i/>
          <w:noProof/>
          <w:lang w:val="en-IE"/>
        </w:rPr>
      </w:pPr>
      <w:r w:rsidRPr="00477DA3">
        <w:rPr>
          <w:i/>
          <w:iCs/>
          <w:noProof/>
          <w:lang w:val="en-IE"/>
        </w:rPr>
        <w:t>One-off adjustment costs = ΔT × labour cost × s × No. new facilities</w:t>
      </w:r>
    </w:p>
    <w:p w14:paraId="682AED1A" w14:textId="77777777" w:rsidR="00B22A1A" w:rsidRDefault="00CA7D51" w:rsidP="00B7069E">
      <w:pPr>
        <w:pStyle w:val="Text1"/>
        <w:ind w:left="0"/>
        <w:rPr>
          <w:noProof/>
        </w:rPr>
      </w:pPr>
      <w:r w:rsidRPr="00592567">
        <w:rPr>
          <w:noProof/>
        </w:rPr>
        <w:t>After this initial set-up, recurring costs per project to demonstrate eligibility are expected not to be incremental with respect to the baseline and are thus not represented.</w:t>
      </w:r>
      <w:r>
        <w:rPr>
          <w:noProof/>
        </w:rPr>
        <w:t xml:space="preserve"> </w:t>
      </w:r>
    </w:p>
    <w:p w14:paraId="022F729D" w14:textId="4975B73D" w:rsidR="00981BD4" w:rsidRDefault="00981BD4" w:rsidP="00B7069E">
      <w:pPr>
        <w:pStyle w:val="Text1"/>
        <w:ind w:left="0"/>
        <w:rPr>
          <w:noProof/>
        </w:rPr>
      </w:pPr>
      <w:r>
        <w:rPr>
          <w:noProof/>
        </w:rPr>
        <w:t>Total costs for data centre operators under PM</w:t>
      </w:r>
      <w:r w:rsidR="00B3054D">
        <w:rPr>
          <w:noProof/>
        </w:rPr>
        <w:t>10</w:t>
      </w:r>
      <w:r>
        <w:rPr>
          <w:noProof/>
        </w:rPr>
        <w:t xml:space="preserve"> are thus estimated at EUR </w:t>
      </w:r>
      <w:r w:rsidR="005F58E8">
        <w:rPr>
          <w:noProof/>
        </w:rPr>
        <w:t>11.9</w:t>
      </w:r>
      <w:r>
        <w:rPr>
          <w:noProof/>
        </w:rPr>
        <w:t xml:space="preserve"> m (NPV, 10-years).</w:t>
      </w:r>
    </w:p>
    <w:p w14:paraId="29920001" w14:textId="3D3DE210" w:rsidR="00B7069E" w:rsidRDefault="002E6DB2" w:rsidP="00B7069E">
      <w:pPr>
        <w:pStyle w:val="Text1"/>
        <w:ind w:left="0"/>
        <w:rPr>
          <w:noProof/>
        </w:rPr>
      </w:pPr>
      <w:r>
        <w:rPr>
          <w:b/>
          <w:i/>
          <w:noProof/>
        </w:rPr>
        <w:t>Direct economic benefits</w:t>
      </w:r>
      <w:r w:rsidR="00B7069E" w:rsidRPr="59E4558D">
        <w:rPr>
          <w:b/>
          <w:i/>
          <w:noProof/>
        </w:rPr>
        <w:t xml:space="preserve"> for </w:t>
      </w:r>
      <w:r>
        <w:rPr>
          <w:b/>
          <w:i/>
          <w:noProof/>
        </w:rPr>
        <w:t>d</w:t>
      </w:r>
      <w:r w:rsidRPr="59E4558D">
        <w:rPr>
          <w:b/>
          <w:i/>
          <w:noProof/>
        </w:rPr>
        <w:t xml:space="preserve">ata </w:t>
      </w:r>
      <w:r>
        <w:rPr>
          <w:b/>
          <w:i/>
          <w:noProof/>
        </w:rPr>
        <w:t>c</w:t>
      </w:r>
      <w:r w:rsidRPr="59E4558D">
        <w:rPr>
          <w:b/>
          <w:i/>
          <w:noProof/>
        </w:rPr>
        <w:t xml:space="preserve">entre </w:t>
      </w:r>
      <w:r>
        <w:rPr>
          <w:b/>
          <w:i/>
          <w:noProof/>
        </w:rPr>
        <w:t>o</w:t>
      </w:r>
      <w:r w:rsidRPr="59E4558D">
        <w:rPr>
          <w:b/>
          <w:i/>
          <w:noProof/>
        </w:rPr>
        <w:t>perators</w:t>
      </w:r>
      <w:r w:rsidR="00B7069E" w:rsidRPr="59E4558D">
        <w:rPr>
          <w:noProof/>
        </w:rPr>
        <w:t xml:space="preserve">. This measure </w:t>
      </w:r>
      <w:r>
        <w:rPr>
          <w:noProof/>
        </w:rPr>
        <w:t>aims to</w:t>
      </w:r>
      <w:r w:rsidR="00B7069E" w:rsidRPr="59E4558D">
        <w:rPr>
          <w:noProof/>
        </w:rPr>
        <w:t xml:space="preserve"> provide additional benefits by reducing uncertainty over where investments can be facilitated, </w:t>
      </w:r>
      <w:r w:rsidR="00B7069E">
        <w:rPr>
          <w:noProof/>
        </w:rPr>
        <w:t>similarly to</w:t>
      </w:r>
      <w:r w:rsidR="00B7069E" w:rsidRPr="59E4558D">
        <w:rPr>
          <w:noProof/>
        </w:rPr>
        <w:t xml:space="preserve"> PM5 but at European scale. With fast-track areas, operators </w:t>
      </w:r>
      <w:r w:rsidR="00B7069E">
        <w:rPr>
          <w:noProof/>
        </w:rPr>
        <w:t xml:space="preserve">should be able to </w:t>
      </w:r>
      <w:r w:rsidR="00B7069E" w:rsidRPr="59E4558D">
        <w:rPr>
          <w:noProof/>
        </w:rPr>
        <w:t xml:space="preserve">avoid </w:t>
      </w:r>
      <w:r w:rsidR="00B7069E">
        <w:rPr>
          <w:noProof/>
        </w:rPr>
        <w:t xml:space="preserve">much of the </w:t>
      </w:r>
      <w:r w:rsidR="00B7069E" w:rsidRPr="59E4558D">
        <w:rPr>
          <w:noProof/>
        </w:rPr>
        <w:t xml:space="preserve">wasted effort on non-viable sites. These changes are expected to reduce the number of iterations required and shorten internal and external time commitments. </w:t>
      </w:r>
      <w:r w:rsidR="00B7069E">
        <w:rPr>
          <w:noProof/>
        </w:rPr>
        <w:t xml:space="preserve">These savings are modelled using NPV, reflecting a time saving from end-procurement to </w:t>
      </w:r>
      <w:r w:rsidR="00B7069E" w:rsidRPr="005F12D6">
        <w:rPr>
          <w:noProof/>
        </w:rPr>
        <w:t xml:space="preserve">deployment of </w:t>
      </w:r>
      <w:r>
        <w:rPr>
          <w:noProof/>
        </w:rPr>
        <w:t>3</w:t>
      </w:r>
      <w:r w:rsidRPr="005F12D6">
        <w:rPr>
          <w:noProof/>
        </w:rPr>
        <w:t xml:space="preserve"> </w:t>
      </w:r>
      <w:r w:rsidR="00B7069E" w:rsidRPr="005F12D6">
        <w:rPr>
          <w:noProof/>
        </w:rPr>
        <w:t>months in total</w:t>
      </w:r>
      <w:r>
        <w:rPr>
          <w:noProof/>
        </w:rPr>
        <w:t xml:space="preserve"> (2-4 months for sensitivity ranges)</w:t>
      </w:r>
      <w:r w:rsidR="00B7069E" w:rsidRPr="005F12D6">
        <w:rPr>
          <w:noProof/>
        </w:rPr>
        <w:t>. This is assumed because, while this measure is wider than the</w:t>
      </w:r>
      <w:r w:rsidR="00B7069E">
        <w:rPr>
          <w:noProof/>
        </w:rPr>
        <w:t xml:space="preserve"> measure on the fast-track zoning at MS level, the feedback received during consultations with industry highlight</w:t>
      </w:r>
      <w:r w:rsidR="006E4B05">
        <w:rPr>
          <w:noProof/>
        </w:rPr>
        <w:t>ed</w:t>
      </w:r>
      <w:r w:rsidR="00B7069E">
        <w:rPr>
          <w:noProof/>
        </w:rPr>
        <w:t xml:space="preserve"> that a top-level identification would be less </w:t>
      </w:r>
      <w:r w:rsidR="006E4B05">
        <w:rPr>
          <w:noProof/>
        </w:rPr>
        <w:t>effective</w:t>
      </w:r>
      <w:r w:rsidR="00B7069E">
        <w:rPr>
          <w:noProof/>
        </w:rPr>
        <w:t xml:space="preserve"> as it would not be able to account in the same way, of geographical and local specificities. </w:t>
      </w:r>
    </w:p>
    <w:p w14:paraId="10B7A302" w14:textId="4BD3BCA3" w:rsidR="00B776F6" w:rsidRDefault="00B776F6" w:rsidP="0053174D">
      <w:pPr>
        <w:pStyle w:val="Text1"/>
        <w:ind w:left="0"/>
        <w:rPr>
          <w:noProof/>
        </w:rPr>
      </w:pPr>
      <w:r w:rsidRPr="000D0113">
        <w:rPr>
          <w:noProof/>
        </w:rPr>
        <w:t xml:space="preserve">As above, to capture these direct economic benefits, the analysis applies a NPV approach to compare the baseline with the accelerated scenario and measure the economic value of bringing construction and commercial operations forward, discounted at the project WACC. The </w:t>
      </w:r>
      <w:r w:rsidR="00BF00EA">
        <w:rPr>
          <w:noProof/>
        </w:rPr>
        <w:t xml:space="preserve">strong </w:t>
      </w:r>
      <w:r w:rsidRPr="000D0113">
        <w:rPr>
          <w:noProof/>
        </w:rPr>
        <w:t xml:space="preserve">NPV gain is also </w:t>
      </w:r>
      <w:r w:rsidR="00BF00EA">
        <w:rPr>
          <w:noProof/>
        </w:rPr>
        <w:t>very sensitive to the strong</w:t>
      </w:r>
      <w:r>
        <w:rPr>
          <w:noProof/>
        </w:rPr>
        <w:t xml:space="preserve"> </w:t>
      </w:r>
      <w:r w:rsidRPr="000D0113">
        <w:rPr>
          <w:noProof/>
        </w:rPr>
        <w:t xml:space="preserve">reduction in PUE foreseen under this measure, as </w:t>
      </w:r>
      <w:r>
        <w:rPr>
          <w:noProof/>
        </w:rPr>
        <w:t>data centres would also be able to benefit from dedicated R&amp;D to optimised energy efficiency and increase their sustainability. E</w:t>
      </w:r>
      <w:r w:rsidRPr="000D0113">
        <w:rPr>
          <w:noProof/>
        </w:rPr>
        <w:t xml:space="preserve">xpected improvements in energy efficiency, modelled as a declining PUE, </w:t>
      </w:r>
      <w:r>
        <w:rPr>
          <w:noProof/>
        </w:rPr>
        <w:t>greatly</w:t>
      </w:r>
      <w:r w:rsidRPr="000D0113">
        <w:rPr>
          <w:noProof/>
        </w:rPr>
        <w:t xml:space="preserve"> contribute to reducing operating costs over time. The NPV increase from EUR 58 million to EUR 7</w:t>
      </w:r>
      <w:r>
        <w:rPr>
          <w:noProof/>
        </w:rPr>
        <w:t>2</w:t>
      </w:r>
      <w:r w:rsidRPr="000D0113">
        <w:rPr>
          <w:noProof/>
        </w:rPr>
        <w:t xml:space="preserve"> million reflects the combined impact of accelerated commissioning and improved operational</w:t>
      </w:r>
      <w:r>
        <w:rPr>
          <w:noProof/>
        </w:rPr>
        <w:t xml:space="preserve"> and energy</w:t>
      </w:r>
      <w:r w:rsidRPr="000D0113">
        <w:rPr>
          <w:noProof/>
        </w:rPr>
        <w:t xml:space="preserve"> performance, which contribute to the economic benefit of permitting simplification. The business benefit is measured as the difference in net present value (NPV) between an accelerated-permitting scenario and a baseline scenario, discounted at project WACC (6%):</w:t>
      </w:r>
    </w:p>
    <w:p w14:paraId="6FF542F7" w14:textId="77777777" w:rsidR="00B776F6" w:rsidRPr="00C1102A" w:rsidRDefault="00B776F6" w:rsidP="0053174D">
      <w:pPr>
        <w:pStyle w:val="Text1"/>
        <w:ind w:left="0"/>
        <w:jc w:val="center"/>
        <w:rPr>
          <w:noProof/>
          <w:lang w:val="en-IE"/>
        </w:rPr>
      </w:pPr>
      <w:r>
        <w:rPr>
          <w:i/>
          <w:noProof/>
          <w:lang w:val="en-IE"/>
        </w:rPr>
        <w:t>Economic benefit</w:t>
      </w:r>
      <w:r w:rsidRPr="00C1102A">
        <w:rPr>
          <w:i/>
          <w:noProof/>
          <w:vertAlign w:val="subscript"/>
          <w:lang w:val="en-IE"/>
        </w:rPr>
        <w:t xml:space="preserve"> t</w:t>
      </w:r>
      <w:r w:rsidRPr="00C1102A">
        <w:rPr>
          <w:noProof/>
          <w:lang w:val="en-IE"/>
        </w:rPr>
        <w:t xml:space="preserve"> = </w:t>
      </w:r>
      <w:r>
        <w:rPr>
          <w:noProof/>
          <w:lang w:val="en-IE"/>
        </w:rPr>
        <w:t>(</w:t>
      </w:r>
      <w:r w:rsidRPr="00C1102A">
        <w:rPr>
          <w:i/>
          <w:iCs/>
          <w:noProof/>
          <w:lang w:val="en-IE"/>
        </w:rPr>
        <w:t>ΔNPV =</w:t>
      </w:r>
      <m:oMath>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PM10</m:t>
            </m:r>
          </m:sub>
        </m:sSub>
        <m:r>
          <w:rPr>
            <w:rFonts w:ascii="Cambria Math" w:hAnsi="Cambria Math"/>
            <w:noProof/>
            <w:lang w:val="en-IE"/>
          </w:rPr>
          <m:t>-</m:t>
        </m:r>
        <m:sSub>
          <m:sSubPr>
            <m:ctrlPr>
              <w:rPr>
                <w:rFonts w:ascii="Cambria Math" w:hAnsi="Cambria Math"/>
                <w:i/>
                <w:iCs/>
                <w:noProof/>
                <w:vertAlign w:val="subscript"/>
                <w:lang w:val="en-IE"/>
              </w:rPr>
            </m:ctrlPr>
          </m:sSubPr>
          <m:e>
            <m:r>
              <w:rPr>
                <w:rFonts w:ascii="Cambria Math" w:hAnsi="Cambria Math"/>
                <w:noProof/>
                <w:lang w:val="en-IE"/>
              </w:rPr>
              <m:t xml:space="preserve"> NPV</m:t>
            </m:r>
          </m:e>
          <m:sub>
            <m:r>
              <w:rPr>
                <w:rFonts w:ascii="Cambria Math" w:hAnsi="Cambria Math"/>
                <w:noProof/>
                <w:vertAlign w:val="subscript"/>
                <w:lang w:val="en-IE"/>
              </w:rPr>
              <m:t>baseline</m:t>
            </m:r>
          </m:sub>
        </m:sSub>
        <m:r>
          <w:rPr>
            <w:rFonts w:ascii="Cambria Math" w:hAnsi="Cambria Math"/>
            <w:noProof/>
            <w:vertAlign w:val="subscript"/>
            <w:lang w:val="en-IE"/>
          </w:rPr>
          <m:t>)</m:t>
        </m:r>
      </m:oMath>
      <w:r>
        <w:rPr>
          <w:i/>
          <w:noProof/>
        </w:rPr>
        <w:t>× s × No. new facilities</w:t>
      </w:r>
    </w:p>
    <w:p w14:paraId="2F16EEC3" w14:textId="77777777" w:rsidR="00B776F6" w:rsidRPr="005C23DA" w:rsidRDefault="00B776F6" w:rsidP="00B776F6">
      <w:pPr>
        <w:pStyle w:val="Text1"/>
        <w:ind w:left="0"/>
        <w:rPr>
          <w:noProof/>
          <w:lang w:val="en-IE"/>
        </w:rPr>
      </w:pPr>
      <w:r w:rsidRPr="00C04DDD">
        <w:rPr>
          <w:noProof/>
        </w:rPr>
        <w:t>Where each NPV is computed over a 10-year horizon and includes all cash flows: CAPEX outflows during construction, OPEX, Revenues. The analysis has been carried out in nominal terms, with both costs and revenues indexed over time and discounted using a nominal WACC.</w:t>
      </w:r>
    </w:p>
    <w:tbl>
      <w:tblPr>
        <w:tblW w:w="9038" w:type="dxa"/>
        <w:tblInd w:w="-3"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shd w:val="clear" w:color="auto" w:fill="FFFFFF" w:themeFill="background1"/>
        <w:tblCellMar>
          <w:left w:w="0" w:type="dxa"/>
          <w:right w:w="0" w:type="dxa"/>
        </w:tblCellMar>
        <w:tblLook w:val="04A0" w:firstRow="1" w:lastRow="0" w:firstColumn="1" w:lastColumn="0" w:noHBand="0" w:noVBand="1"/>
      </w:tblPr>
      <w:tblGrid>
        <w:gridCol w:w="3129"/>
        <w:gridCol w:w="1831"/>
        <w:gridCol w:w="2692"/>
        <w:gridCol w:w="1386"/>
      </w:tblGrid>
      <w:tr w:rsidR="00B7069E" w:rsidRPr="005721DF" w14:paraId="6111A126" w14:textId="77777777" w:rsidTr="008D0BAC">
        <w:trPr>
          <w:trHeight w:val="290"/>
        </w:trPr>
        <w:tc>
          <w:tcPr>
            <w:tcW w:w="3129" w:type="dxa"/>
            <w:shd w:val="clear" w:color="auto" w:fill="FFFFFF" w:themeFill="background1"/>
            <w:noWrap/>
            <w:hideMark/>
          </w:tcPr>
          <w:p w14:paraId="042BCCFA" w14:textId="336B3631" w:rsidR="00B7069E" w:rsidRPr="008D0BAC" w:rsidRDefault="00B7069E">
            <w:pPr>
              <w:spacing w:after="0"/>
              <w:rPr>
                <w:rFonts w:eastAsia="Times New Roman"/>
                <w:b/>
                <w:bCs/>
                <w:noProof/>
                <w:sz w:val="22"/>
                <w:szCs w:val="22"/>
                <w:lang w:val="en-US"/>
              </w:rPr>
            </w:pPr>
            <w:r w:rsidRPr="008D0BAC">
              <w:rPr>
                <w:rFonts w:eastAsia="Times New Roman"/>
                <w:b/>
                <w:bCs/>
                <w:noProof/>
                <w:sz w:val="22"/>
                <w:szCs w:val="22"/>
                <w:lang w:val="en-US"/>
              </w:rPr>
              <w:t xml:space="preserve">NPV baseline (EUR </w:t>
            </w:r>
            <w:r w:rsidR="005652A7" w:rsidRPr="008D0BAC">
              <w:rPr>
                <w:rFonts w:eastAsia="Times New Roman"/>
                <w:b/>
                <w:bCs/>
                <w:noProof/>
                <w:sz w:val="22"/>
                <w:szCs w:val="22"/>
                <w:lang w:val="en-US"/>
              </w:rPr>
              <w:t>m)</w:t>
            </w:r>
          </w:p>
        </w:tc>
        <w:tc>
          <w:tcPr>
            <w:tcW w:w="1831" w:type="dxa"/>
            <w:shd w:val="clear" w:color="auto" w:fill="FFFFFF" w:themeFill="background1"/>
            <w:noWrap/>
            <w:hideMark/>
          </w:tcPr>
          <w:p w14:paraId="72B456BE" w14:textId="1B503C96" w:rsidR="005652A7" w:rsidRPr="00C04DDD" w:rsidRDefault="005652A7" w:rsidP="005652A7">
            <w:pPr>
              <w:spacing w:after="0"/>
              <w:rPr>
                <w:rFonts w:eastAsia="Times New Roman"/>
                <w:noProof/>
                <w:sz w:val="22"/>
                <w:szCs w:val="22"/>
              </w:rPr>
            </w:pPr>
            <w:r w:rsidRPr="00C04DDD">
              <w:rPr>
                <w:rFonts w:eastAsia="Times New Roman"/>
                <w:noProof/>
                <w:sz w:val="22"/>
                <w:szCs w:val="22"/>
              </w:rPr>
              <w:t>58.32</w:t>
            </w:r>
          </w:p>
        </w:tc>
        <w:tc>
          <w:tcPr>
            <w:tcW w:w="4078" w:type="dxa"/>
            <w:gridSpan w:val="2"/>
            <w:shd w:val="clear" w:color="auto" w:fill="FFFFFF" w:themeFill="background1"/>
            <w:noWrap/>
            <w:hideMark/>
          </w:tcPr>
          <w:p w14:paraId="3DFFC99E" w14:textId="1A10D41E" w:rsidR="00B7069E" w:rsidRPr="008D0BAC" w:rsidRDefault="00B7069E">
            <w:pPr>
              <w:spacing w:after="0"/>
              <w:rPr>
                <w:rFonts w:eastAsia="Times New Roman"/>
                <w:b/>
                <w:bCs/>
                <w:noProof/>
                <w:sz w:val="22"/>
                <w:szCs w:val="22"/>
                <w:lang w:val="en-US"/>
              </w:rPr>
            </w:pPr>
            <w:r w:rsidRPr="008D0BAC">
              <w:rPr>
                <w:rFonts w:eastAsia="Times New Roman"/>
                <w:b/>
                <w:bCs/>
                <w:noProof/>
                <w:sz w:val="22"/>
                <w:szCs w:val="22"/>
                <w:lang w:val="en-US"/>
              </w:rPr>
              <w:t xml:space="preserve">Cost savings per project (EUR </w:t>
            </w:r>
            <w:r w:rsidR="00BF00EA" w:rsidRPr="008D0BAC">
              <w:rPr>
                <w:rFonts w:eastAsia="Times New Roman"/>
                <w:b/>
                <w:bCs/>
                <w:noProof/>
                <w:sz w:val="22"/>
                <w:szCs w:val="22"/>
                <w:lang w:val="en-US"/>
              </w:rPr>
              <w:t>m</w:t>
            </w:r>
            <w:r w:rsidRPr="008D0BAC">
              <w:rPr>
                <w:rFonts w:eastAsia="Times New Roman"/>
                <w:b/>
                <w:bCs/>
                <w:noProof/>
                <w:sz w:val="22"/>
                <w:szCs w:val="22"/>
                <w:lang w:val="en-US"/>
              </w:rPr>
              <w:t>)</w:t>
            </w:r>
          </w:p>
          <w:p w14:paraId="18E695E8" w14:textId="4AFCDE14" w:rsidR="00B7069E" w:rsidRPr="000821DF" w:rsidRDefault="00B7069E">
            <w:pPr>
              <w:spacing w:after="0"/>
              <w:rPr>
                <w:rFonts w:eastAsia="Times New Roman"/>
                <w:noProof/>
                <w:sz w:val="22"/>
                <w:szCs w:val="22"/>
                <w:lang w:val="en-US"/>
              </w:rPr>
            </w:pPr>
            <w:r w:rsidRPr="008D0BAC">
              <w:rPr>
                <w:rFonts w:eastAsia="Times New Roman"/>
                <w:b/>
                <w:bCs/>
                <w:noProof/>
                <w:sz w:val="22"/>
                <w:szCs w:val="22"/>
                <w:lang w:val="en-US"/>
              </w:rPr>
              <w:t xml:space="preserve">Timeline reduction of </w:t>
            </w:r>
            <w:r w:rsidR="00BF00EA" w:rsidRPr="008D0BAC">
              <w:rPr>
                <w:rFonts w:eastAsia="Times New Roman"/>
                <w:b/>
                <w:bCs/>
                <w:noProof/>
                <w:sz w:val="22"/>
                <w:szCs w:val="22"/>
                <w:lang w:val="en-US"/>
              </w:rPr>
              <w:t xml:space="preserve">3 </w:t>
            </w:r>
            <w:r w:rsidRPr="008D0BAC">
              <w:rPr>
                <w:rFonts w:eastAsia="Times New Roman"/>
                <w:b/>
                <w:bCs/>
                <w:noProof/>
                <w:sz w:val="22"/>
                <w:szCs w:val="22"/>
                <w:lang w:val="en-US"/>
              </w:rPr>
              <w:t>months</w:t>
            </w:r>
          </w:p>
        </w:tc>
      </w:tr>
      <w:tr w:rsidR="00B7069E" w:rsidRPr="005721DF" w14:paraId="57B48804" w14:textId="77777777" w:rsidTr="008D0BAC">
        <w:trPr>
          <w:trHeight w:val="300"/>
        </w:trPr>
        <w:tc>
          <w:tcPr>
            <w:tcW w:w="3129" w:type="dxa"/>
            <w:shd w:val="clear" w:color="auto" w:fill="FFFFFF" w:themeFill="background1"/>
            <w:noWrap/>
            <w:hideMark/>
          </w:tcPr>
          <w:p w14:paraId="7C600DA9" w14:textId="16A7AF79" w:rsidR="00B7069E" w:rsidRPr="008D0BAC" w:rsidRDefault="00B7069E">
            <w:pPr>
              <w:spacing w:after="0"/>
              <w:rPr>
                <w:rFonts w:eastAsia="Times New Roman"/>
                <w:b/>
                <w:bCs/>
                <w:noProof/>
                <w:sz w:val="22"/>
                <w:szCs w:val="22"/>
                <w:lang w:val="en-US"/>
              </w:rPr>
            </w:pPr>
            <w:r w:rsidRPr="008D0BAC">
              <w:rPr>
                <w:rFonts w:eastAsia="Times New Roman"/>
                <w:b/>
                <w:bCs/>
                <w:noProof/>
                <w:sz w:val="22"/>
                <w:szCs w:val="22"/>
                <w:lang w:val="en-US"/>
              </w:rPr>
              <w:t xml:space="preserve">NPV after PM implementation (EUR </w:t>
            </w:r>
            <w:r w:rsidR="00BF00EA" w:rsidRPr="008D0BAC">
              <w:rPr>
                <w:rFonts w:eastAsia="Times New Roman"/>
                <w:b/>
                <w:bCs/>
                <w:noProof/>
                <w:sz w:val="22"/>
                <w:szCs w:val="22"/>
                <w:lang w:val="en-US"/>
              </w:rPr>
              <w:t>m</w:t>
            </w:r>
            <w:r w:rsidRPr="008D0BAC">
              <w:rPr>
                <w:rFonts w:eastAsia="Times New Roman"/>
                <w:b/>
                <w:bCs/>
                <w:noProof/>
                <w:sz w:val="22"/>
                <w:szCs w:val="22"/>
                <w:lang w:val="en-US"/>
              </w:rPr>
              <w:t xml:space="preserve">) </w:t>
            </w:r>
          </w:p>
        </w:tc>
        <w:tc>
          <w:tcPr>
            <w:tcW w:w="1831" w:type="dxa"/>
            <w:shd w:val="clear" w:color="auto" w:fill="FFFFFF" w:themeFill="background1"/>
            <w:noWrap/>
            <w:hideMark/>
          </w:tcPr>
          <w:p w14:paraId="729589F6" w14:textId="7C0A39B7" w:rsidR="00BF00EA" w:rsidRDefault="00BF00EA" w:rsidP="00BF00EA">
            <w:pPr>
              <w:spacing w:after="0"/>
              <w:rPr>
                <w:rFonts w:eastAsia="Times New Roman"/>
                <w:noProof/>
                <w:sz w:val="22"/>
                <w:szCs w:val="22"/>
                <w:lang w:val="en-US"/>
              </w:rPr>
            </w:pPr>
            <w:r>
              <w:rPr>
                <w:rFonts w:eastAsia="Times New Roman"/>
                <w:noProof/>
                <w:sz w:val="22"/>
                <w:szCs w:val="22"/>
                <w:lang w:val="en-US"/>
              </w:rPr>
              <w:t>72.</w:t>
            </w:r>
            <w:r w:rsidR="00833D44">
              <w:rPr>
                <w:rFonts w:eastAsia="Times New Roman"/>
                <w:noProof/>
                <w:sz w:val="22"/>
                <w:szCs w:val="22"/>
                <w:lang w:val="en-US"/>
              </w:rPr>
              <w:t>08</w:t>
            </w:r>
          </w:p>
        </w:tc>
        <w:tc>
          <w:tcPr>
            <w:tcW w:w="2692" w:type="dxa"/>
            <w:shd w:val="clear" w:color="auto" w:fill="FFFFFF" w:themeFill="background1"/>
            <w:noWrap/>
            <w:hideMark/>
          </w:tcPr>
          <w:p w14:paraId="6C25DE2C" w14:textId="265E980C" w:rsidR="00B7069E" w:rsidRPr="00DA029C" w:rsidRDefault="00597505">
            <w:pPr>
              <w:spacing w:after="0"/>
              <w:rPr>
                <w:rFonts w:eastAsia="Times New Roman"/>
                <w:bCs/>
                <w:noProof/>
                <w:sz w:val="22"/>
                <w:szCs w:val="22"/>
                <w:lang w:val="en-US"/>
              </w:rPr>
            </w:pPr>
            <w:r>
              <w:rPr>
                <w:noProof/>
                <w:sz w:val="22"/>
                <w:szCs w:val="22"/>
              </w:rPr>
              <w:t>13</w:t>
            </w:r>
            <w:r w:rsidR="00BF00EA">
              <w:rPr>
                <w:noProof/>
                <w:sz w:val="22"/>
                <w:szCs w:val="22"/>
              </w:rPr>
              <w:t>.</w:t>
            </w:r>
            <w:r>
              <w:rPr>
                <w:noProof/>
                <w:sz w:val="22"/>
                <w:szCs w:val="22"/>
              </w:rPr>
              <w:t>76</w:t>
            </w:r>
          </w:p>
        </w:tc>
        <w:tc>
          <w:tcPr>
            <w:tcW w:w="1386" w:type="dxa"/>
            <w:shd w:val="clear" w:color="auto" w:fill="FFFFFF" w:themeFill="background1"/>
            <w:noWrap/>
            <w:hideMark/>
          </w:tcPr>
          <w:p w14:paraId="03C92C48" w14:textId="16502ACD" w:rsidR="00B7069E" w:rsidRPr="00DA029C" w:rsidRDefault="009E7F98">
            <w:pPr>
              <w:spacing w:after="0"/>
              <w:rPr>
                <w:rFonts w:eastAsia="Times New Roman"/>
                <w:bCs/>
                <w:noProof/>
                <w:sz w:val="22"/>
                <w:szCs w:val="22"/>
                <w:lang w:val="en-US"/>
              </w:rPr>
            </w:pPr>
            <w:r>
              <w:rPr>
                <w:noProof/>
                <w:sz w:val="22"/>
                <w:szCs w:val="22"/>
              </w:rPr>
              <w:t>24</w:t>
            </w:r>
            <w:r w:rsidR="00BF00EA" w:rsidRPr="00DA029C">
              <w:rPr>
                <w:noProof/>
                <w:sz w:val="22"/>
                <w:szCs w:val="22"/>
              </w:rPr>
              <w:t>%</w:t>
            </w:r>
          </w:p>
        </w:tc>
      </w:tr>
    </w:tbl>
    <w:p w14:paraId="68F38F40" w14:textId="580B78DB" w:rsidR="00B3054D" w:rsidRDefault="00B3054D" w:rsidP="00B3054D">
      <w:pPr>
        <w:pStyle w:val="Text1"/>
        <w:spacing w:before="240"/>
        <w:ind w:left="0"/>
        <w:rPr>
          <w:noProof/>
        </w:rPr>
      </w:pPr>
      <w:r>
        <w:rPr>
          <w:noProof/>
        </w:rPr>
        <w:t xml:space="preserve">Total </w:t>
      </w:r>
      <w:r w:rsidR="009A11D1">
        <w:rPr>
          <w:noProof/>
        </w:rPr>
        <w:t xml:space="preserve">direct </w:t>
      </w:r>
      <w:r w:rsidR="00C35BC0">
        <w:rPr>
          <w:noProof/>
        </w:rPr>
        <w:t>economic benefits</w:t>
      </w:r>
      <w:r>
        <w:rPr>
          <w:noProof/>
        </w:rPr>
        <w:t xml:space="preserve"> for data centre operators under PM</w:t>
      </w:r>
      <w:r w:rsidR="00C35BC0">
        <w:rPr>
          <w:noProof/>
        </w:rPr>
        <w:t>10</w:t>
      </w:r>
      <w:r>
        <w:rPr>
          <w:noProof/>
        </w:rPr>
        <w:t xml:space="preserve"> are thus estimated at EUR </w:t>
      </w:r>
      <w:r w:rsidR="00C35BC0">
        <w:rPr>
          <w:noProof/>
        </w:rPr>
        <w:t>8.</w:t>
      </w:r>
      <w:r w:rsidR="0061735F">
        <w:rPr>
          <w:noProof/>
        </w:rPr>
        <w:t>1 bn</w:t>
      </w:r>
      <w:r>
        <w:rPr>
          <w:noProof/>
        </w:rPr>
        <w:t xml:space="preserve"> (NPV, 10-years).</w:t>
      </w:r>
    </w:p>
    <w:p w14:paraId="5D7C52B2" w14:textId="2AF53B34" w:rsidR="00B7069E" w:rsidRPr="003401EC" w:rsidRDefault="002D37D2" w:rsidP="00AE0B6F">
      <w:pPr>
        <w:pStyle w:val="Text1"/>
        <w:ind w:left="0"/>
        <w:rPr>
          <w:noProof/>
          <w:lang w:val="en-IE"/>
        </w:rPr>
      </w:pPr>
      <w:r>
        <w:rPr>
          <w:b/>
          <w:i/>
          <w:noProof/>
          <w:lang w:val="en-IE"/>
        </w:rPr>
        <w:t>Adjustment</w:t>
      </w:r>
      <w:r w:rsidRPr="3F87501C">
        <w:rPr>
          <w:b/>
          <w:bCs/>
          <w:i/>
          <w:iCs/>
          <w:noProof/>
          <w:lang w:val="en-IE"/>
        </w:rPr>
        <w:t xml:space="preserve"> </w:t>
      </w:r>
      <w:r w:rsidR="00170E39">
        <w:rPr>
          <w:b/>
          <w:bCs/>
          <w:i/>
          <w:iCs/>
          <w:noProof/>
          <w:lang w:val="en-IE"/>
        </w:rPr>
        <w:t xml:space="preserve">and administrative </w:t>
      </w:r>
      <w:r w:rsidR="00B7069E" w:rsidRPr="364F776D">
        <w:rPr>
          <w:b/>
          <w:bCs/>
          <w:i/>
          <w:iCs/>
          <w:noProof/>
          <w:lang w:val="en-IE"/>
        </w:rPr>
        <w:t xml:space="preserve">costs </w:t>
      </w:r>
      <w:r w:rsidR="00B7069E" w:rsidRPr="5F9B7E36">
        <w:rPr>
          <w:b/>
          <w:bCs/>
          <w:i/>
          <w:iCs/>
          <w:noProof/>
          <w:lang w:val="en-IE"/>
        </w:rPr>
        <w:t>for</w:t>
      </w:r>
      <w:r w:rsidR="00B7069E" w:rsidRPr="00110F5F">
        <w:rPr>
          <w:b/>
          <w:i/>
          <w:noProof/>
          <w:lang w:val="en-IE"/>
        </w:rPr>
        <w:t xml:space="preserve"> </w:t>
      </w:r>
      <w:r w:rsidR="00CA67E8">
        <w:rPr>
          <w:b/>
          <w:i/>
          <w:noProof/>
          <w:lang w:val="en-IE"/>
        </w:rPr>
        <w:t>n</w:t>
      </w:r>
      <w:r w:rsidR="00CA67E8" w:rsidRPr="00110F5F">
        <w:rPr>
          <w:b/>
          <w:i/>
          <w:noProof/>
          <w:lang w:val="en-IE"/>
        </w:rPr>
        <w:t xml:space="preserve">ational </w:t>
      </w:r>
      <w:r w:rsidR="00B7069E" w:rsidRPr="00110F5F">
        <w:rPr>
          <w:b/>
          <w:i/>
          <w:noProof/>
          <w:lang w:val="en-IE"/>
        </w:rPr>
        <w:t>public authorities</w:t>
      </w:r>
      <w:r w:rsidR="00B7069E">
        <w:rPr>
          <w:noProof/>
          <w:lang w:val="en-IE"/>
        </w:rPr>
        <w:t xml:space="preserve">. It is assumed that each Member State would need to set up processes and align national practices with these new rules to provide data to the Commission. This </w:t>
      </w:r>
      <w:r w:rsidR="00AE0B6F">
        <w:rPr>
          <w:noProof/>
          <w:lang w:val="en-IE"/>
        </w:rPr>
        <w:t xml:space="preserve">has been estimated as </w:t>
      </w:r>
      <w:r w:rsidR="00B7069E">
        <w:rPr>
          <w:noProof/>
          <w:lang w:val="en-IE"/>
        </w:rPr>
        <w:t xml:space="preserve">a one-off adjustment cost equivalent to </w:t>
      </w:r>
      <w:r w:rsidR="00A51B1F">
        <w:rPr>
          <w:noProof/>
          <w:lang w:val="en-IE"/>
        </w:rPr>
        <w:t>6</w:t>
      </w:r>
      <w:r w:rsidR="00540B2D">
        <w:rPr>
          <w:noProof/>
          <w:lang w:val="en-IE"/>
        </w:rPr>
        <w:t xml:space="preserve"> </w:t>
      </w:r>
      <w:r w:rsidR="00B7069E">
        <w:rPr>
          <w:noProof/>
          <w:lang w:val="en-IE"/>
        </w:rPr>
        <w:t xml:space="preserve">FTEs </w:t>
      </w:r>
      <w:r w:rsidR="00556E10">
        <w:rPr>
          <w:noProof/>
          <w:lang w:val="en-IE"/>
        </w:rPr>
        <w:t>(</w:t>
      </w:r>
      <w:r w:rsidR="00A51B1F">
        <w:rPr>
          <w:noProof/>
          <w:lang w:val="en-IE"/>
        </w:rPr>
        <w:t>4</w:t>
      </w:r>
      <w:r w:rsidR="00556E10">
        <w:rPr>
          <w:noProof/>
          <w:lang w:val="en-IE"/>
        </w:rPr>
        <w:t>-</w:t>
      </w:r>
      <w:r w:rsidR="00A51B1F">
        <w:rPr>
          <w:noProof/>
          <w:lang w:val="en-IE"/>
        </w:rPr>
        <w:t>8</w:t>
      </w:r>
      <w:r w:rsidR="00556E10">
        <w:rPr>
          <w:noProof/>
          <w:lang w:val="en-IE"/>
        </w:rPr>
        <w:t xml:space="preserve"> for sensitivity)</w:t>
      </w:r>
      <w:r w:rsidR="00B7069E">
        <w:rPr>
          <w:noProof/>
          <w:lang w:val="en-IE"/>
        </w:rPr>
        <w:t xml:space="preserve"> per Member State </w:t>
      </w:r>
      <w:r w:rsidR="00B7069E" w:rsidRPr="003401EC">
        <w:rPr>
          <w:noProof/>
          <w:lang w:val="en-IE"/>
        </w:rPr>
        <w:t xml:space="preserve">as they would need to get familiarised with </w:t>
      </w:r>
      <w:r w:rsidR="00914DB8">
        <w:rPr>
          <w:noProof/>
          <w:lang w:val="en-IE"/>
        </w:rPr>
        <w:t xml:space="preserve">and onboard </w:t>
      </w:r>
      <w:r w:rsidR="00B7069E" w:rsidRPr="003401EC">
        <w:rPr>
          <w:noProof/>
          <w:lang w:val="en-IE"/>
        </w:rPr>
        <w:t xml:space="preserve">the new platform </w:t>
      </w:r>
      <w:r>
        <w:rPr>
          <w:noProof/>
          <w:lang w:val="en-IE"/>
        </w:rPr>
        <w:t xml:space="preserve">and </w:t>
      </w:r>
      <w:r w:rsidR="00B7069E" w:rsidRPr="003401EC">
        <w:rPr>
          <w:noProof/>
          <w:lang w:val="en-IE"/>
        </w:rPr>
        <w:t>adopt templates to provide data to the relevant EU entity in charge of identifying suitable areas to fast-track data centre deployment</w:t>
      </w:r>
      <w:r w:rsidR="00B7069E">
        <w:rPr>
          <w:noProof/>
          <w:lang w:val="en-IE"/>
        </w:rPr>
        <w:t>.</w:t>
      </w:r>
      <w:r w:rsidR="00B7069E" w:rsidRPr="003401EC">
        <w:rPr>
          <w:noProof/>
          <w:lang w:val="en-IE"/>
        </w:rPr>
        <w:t xml:space="preserve"> </w:t>
      </w:r>
      <w:r w:rsidR="00B7069E">
        <w:rPr>
          <w:noProof/>
          <w:lang w:val="en-IE"/>
        </w:rPr>
        <w:t xml:space="preserve">In addition to this, MS would face </w:t>
      </w:r>
      <w:r w:rsidR="00B7069E" w:rsidRPr="003401EC">
        <w:rPr>
          <w:noProof/>
          <w:lang w:val="en-IE"/>
        </w:rPr>
        <w:t xml:space="preserve">one-off administrative costs associated to having to appoint delegates to the management board of the </w:t>
      </w:r>
      <w:r w:rsidRPr="59E4558D">
        <w:rPr>
          <w:noProof/>
        </w:rPr>
        <w:t>EU Data Centre Acceleration Board</w:t>
      </w:r>
      <w:r w:rsidR="00B7069E" w:rsidRPr="003401EC">
        <w:rPr>
          <w:noProof/>
          <w:lang w:val="en-IE"/>
        </w:rPr>
        <w:t xml:space="preserve">. </w:t>
      </w:r>
    </w:p>
    <w:p w14:paraId="057D50CF" w14:textId="30DE23B1" w:rsidR="00B7069E" w:rsidRDefault="000047B8" w:rsidP="00B7069E">
      <w:pPr>
        <w:pStyle w:val="Text1"/>
        <w:ind w:left="0"/>
        <w:rPr>
          <w:noProof/>
          <w:lang w:val="en-IE"/>
        </w:rPr>
      </w:pPr>
      <w:r w:rsidRPr="00C227FF">
        <w:rPr>
          <w:noProof/>
        </w:rPr>
        <w:t xml:space="preserve">Once the mechanism is operational, authorities </w:t>
      </w:r>
      <w:r>
        <w:rPr>
          <w:noProof/>
        </w:rPr>
        <w:t xml:space="preserve">would </w:t>
      </w:r>
      <w:r w:rsidRPr="00C227FF">
        <w:rPr>
          <w:noProof/>
        </w:rPr>
        <w:t>incur recurrent administrative</w:t>
      </w:r>
      <w:r w:rsidR="00B7069E">
        <w:rPr>
          <w:noProof/>
          <w:lang w:val="en-IE"/>
        </w:rPr>
        <w:t xml:space="preserve"> administrative costs to map and </w:t>
      </w:r>
      <w:r w:rsidR="00B7069E" w:rsidRPr="003401EC">
        <w:rPr>
          <w:noProof/>
          <w:lang w:val="en-IE"/>
        </w:rPr>
        <w:t>upload data on suitable deployment</w:t>
      </w:r>
      <w:r w:rsidR="00B7069E">
        <w:rPr>
          <w:noProof/>
          <w:lang w:val="en-IE"/>
        </w:rPr>
        <w:t xml:space="preserve"> areas </w:t>
      </w:r>
      <w:r w:rsidR="00B7069E" w:rsidRPr="003401EC">
        <w:rPr>
          <w:noProof/>
          <w:lang w:val="en-IE"/>
        </w:rPr>
        <w:t>onto the EU platform.</w:t>
      </w:r>
      <w:r w:rsidR="00B7069E">
        <w:rPr>
          <w:noProof/>
          <w:lang w:val="en-IE"/>
        </w:rPr>
        <w:t xml:space="preserve"> </w:t>
      </w:r>
      <w:r w:rsidR="00B7069E" w:rsidRPr="003401EC">
        <w:rPr>
          <w:noProof/>
          <w:lang w:val="en-IE"/>
        </w:rPr>
        <w:t>For this,</w:t>
      </w:r>
      <w:r w:rsidR="00B7069E" w:rsidDel="00540B2D">
        <w:rPr>
          <w:noProof/>
          <w:lang w:val="en-IE"/>
        </w:rPr>
        <w:t xml:space="preserve"> </w:t>
      </w:r>
      <w:r w:rsidR="000A2B72">
        <w:rPr>
          <w:noProof/>
          <w:lang w:val="en-IE"/>
        </w:rPr>
        <w:t>3</w:t>
      </w:r>
      <w:r w:rsidR="00B7069E">
        <w:rPr>
          <w:noProof/>
          <w:lang w:val="en-IE"/>
        </w:rPr>
        <w:t xml:space="preserve"> </w:t>
      </w:r>
      <w:r w:rsidR="00B7069E" w:rsidRPr="003401EC">
        <w:rPr>
          <w:noProof/>
          <w:lang w:val="en-IE"/>
        </w:rPr>
        <w:t>FTE</w:t>
      </w:r>
      <w:r w:rsidR="00B7069E">
        <w:rPr>
          <w:noProof/>
          <w:lang w:val="en-IE"/>
        </w:rPr>
        <w:t xml:space="preserve"> </w:t>
      </w:r>
      <w:r w:rsidR="00C67D62">
        <w:rPr>
          <w:noProof/>
          <w:lang w:val="en-IE"/>
        </w:rPr>
        <w:t>annually has</w:t>
      </w:r>
      <w:r w:rsidR="00B7069E">
        <w:rPr>
          <w:noProof/>
          <w:lang w:val="en-IE"/>
        </w:rPr>
        <w:t xml:space="preserve"> been</w:t>
      </w:r>
      <w:r w:rsidR="00B7069E" w:rsidRPr="003401EC">
        <w:rPr>
          <w:noProof/>
          <w:lang w:val="en-IE"/>
        </w:rPr>
        <w:t xml:space="preserve"> assumed</w:t>
      </w:r>
      <w:r w:rsidR="00B7069E">
        <w:rPr>
          <w:noProof/>
          <w:lang w:val="en-IE"/>
        </w:rPr>
        <w:t>.</w:t>
      </w:r>
      <w:r w:rsidR="00B7069E" w:rsidRPr="00621A52">
        <w:rPr>
          <w:noProof/>
          <w:lang w:val="en-IE"/>
        </w:rPr>
        <w:t xml:space="preserve"> </w:t>
      </w:r>
      <w:r w:rsidR="00B7069E">
        <w:rPr>
          <w:noProof/>
          <w:lang w:val="en-IE"/>
        </w:rPr>
        <w:t>R</w:t>
      </w:r>
      <w:r w:rsidR="00B7069E" w:rsidRPr="003401EC">
        <w:rPr>
          <w:noProof/>
          <w:lang w:val="en-IE"/>
        </w:rPr>
        <w:t xml:space="preserve">ecurrent </w:t>
      </w:r>
      <w:r w:rsidR="00AD0F27">
        <w:rPr>
          <w:noProof/>
          <w:lang w:val="en-IE"/>
        </w:rPr>
        <w:t xml:space="preserve">adjustment </w:t>
      </w:r>
      <w:r w:rsidR="00B7069E" w:rsidRPr="003401EC">
        <w:rPr>
          <w:noProof/>
          <w:lang w:val="en-IE"/>
        </w:rPr>
        <w:t xml:space="preserve">costs are </w:t>
      </w:r>
      <w:r w:rsidR="00B7069E">
        <w:rPr>
          <w:noProof/>
          <w:lang w:val="en-IE"/>
        </w:rPr>
        <w:t xml:space="preserve">also </w:t>
      </w:r>
      <w:r w:rsidR="00B7069E" w:rsidRPr="003401EC">
        <w:rPr>
          <w:noProof/>
          <w:lang w:val="en-IE"/>
        </w:rPr>
        <w:t xml:space="preserve">expected from national authorities’ online participation in the </w:t>
      </w:r>
      <w:r w:rsidR="002D37D2" w:rsidRPr="59E4558D">
        <w:rPr>
          <w:noProof/>
        </w:rPr>
        <w:t>EU Data Centre Acceleration Board</w:t>
      </w:r>
      <w:r w:rsidR="00B7069E" w:rsidRPr="003401EC">
        <w:rPr>
          <w:noProof/>
          <w:lang w:val="en-IE"/>
        </w:rPr>
        <w:t xml:space="preserve">. For this, participation is estimated at </w:t>
      </w:r>
      <w:r w:rsidR="000A2B72">
        <w:rPr>
          <w:noProof/>
          <w:lang w:val="en-IE"/>
        </w:rPr>
        <w:t>3</w:t>
      </w:r>
      <w:r w:rsidR="00B7069E" w:rsidRPr="003401EC">
        <w:rPr>
          <w:noProof/>
          <w:lang w:val="en-IE"/>
        </w:rPr>
        <w:t xml:space="preserve"> FTE </w:t>
      </w:r>
      <w:r w:rsidR="006E4103">
        <w:rPr>
          <w:noProof/>
          <w:lang w:val="en-IE"/>
        </w:rPr>
        <w:t xml:space="preserve">each year </w:t>
      </w:r>
      <w:r w:rsidR="00B7069E" w:rsidRPr="003401EC">
        <w:rPr>
          <w:noProof/>
          <w:lang w:val="en-IE"/>
        </w:rPr>
        <w:t xml:space="preserve">per Member State, covering </w:t>
      </w:r>
      <w:r w:rsidR="00D12AF2">
        <w:rPr>
          <w:noProof/>
          <w:lang w:val="en-IE"/>
        </w:rPr>
        <w:t xml:space="preserve">several </w:t>
      </w:r>
      <w:r w:rsidR="00B7069E" w:rsidRPr="003401EC">
        <w:rPr>
          <w:noProof/>
          <w:lang w:val="en-IE"/>
        </w:rPr>
        <w:t xml:space="preserve">meetings annually and </w:t>
      </w:r>
      <w:r w:rsidR="00D12AF2">
        <w:rPr>
          <w:noProof/>
          <w:lang w:val="en-IE"/>
        </w:rPr>
        <w:t xml:space="preserve">additional </w:t>
      </w:r>
      <w:r w:rsidR="00091075">
        <w:rPr>
          <w:noProof/>
          <w:lang w:val="en-IE"/>
        </w:rPr>
        <w:t>related work</w:t>
      </w:r>
      <w:r w:rsidR="00B7069E" w:rsidRPr="003401EC">
        <w:rPr>
          <w:noProof/>
          <w:lang w:val="en-IE"/>
        </w:rPr>
        <w:t>.</w:t>
      </w:r>
    </w:p>
    <w:p w14:paraId="2911F5A9" w14:textId="5BFC9D37" w:rsidR="00B37AB9" w:rsidRPr="00B37AB9" w:rsidRDefault="00B37AB9" w:rsidP="00B7069E">
      <w:pPr>
        <w:pStyle w:val="Text1"/>
        <w:ind w:left="0"/>
        <w:rPr>
          <w:noProof/>
        </w:rPr>
      </w:pPr>
      <w:r>
        <w:rPr>
          <w:noProof/>
        </w:rPr>
        <w:t xml:space="preserve">Total costs for national public authorities under PM10 are thus estimated at EUR </w:t>
      </w:r>
      <w:r w:rsidR="005F58E8">
        <w:rPr>
          <w:noProof/>
        </w:rPr>
        <w:t>87.3</w:t>
      </w:r>
      <w:r>
        <w:rPr>
          <w:noProof/>
        </w:rPr>
        <w:t xml:space="preserve"> m (NPV, 10-years).</w:t>
      </w:r>
    </w:p>
    <w:p w14:paraId="3391B605" w14:textId="7AE0A81F" w:rsidR="00B7069E" w:rsidRDefault="009A11D1" w:rsidP="00B7069E">
      <w:pPr>
        <w:pStyle w:val="Text1"/>
        <w:ind w:left="0"/>
        <w:rPr>
          <w:noProof/>
          <w:lang w:val="en-IE"/>
        </w:rPr>
      </w:pPr>
      <w:r>
        <w:rPr>
          <w:b/>
          <w:i/>
          <w:noProof/>
          <w:lang w:val="en-IE"/>
        </w:rPr>
        <w:t>Administrative c</w:t>
      </w:r>
      <w:r w:rsidRPr="00A54618">
        <w:rPr>
          <w:b/>
          <w:i/>
          <w:noProof/>
          <w:lang w:val="en-IE"/>
        </w:rPr>
        <w:t xml:space="preserve">ost </w:t>
      </w:r>
      <w:r w:rsidR="00B7069E" w:rsidRPr="00A54618">
        <w:rPr>
          <w:b/>
          <w:i/>
          <w:noProof/>
          <w:lang w:val="en-IE"/>
        </w:rPr>
        <w:t xml:space="preserve">savings for </w:t>
      </w:r>
      <w:r w:rsidR="00CA67E8">
        <w:rPr>
          <w:b/>
          <w:i/>
          <w:noProof/>
          <w:lang w:val="en-IE"/>
        </w:rPr>
        <w:t>n</w:t>
      </w:r>
      <w:r w:rsidR="00CA67E8" w:rsidRPr="00A54618">
        <w:rPr>
          <w:b/>
          <w:i/>
          <w:noProof/>
          <w:lang w:val="en-IE"/>
        </w:rPr>
        <w:t xml:space="preserve">ational </w:t>
      </w:r>
      <w:r w:rsidR="00CA67E8">
        <w:rPr>
          <w:b/>
          <w:i/>
          <w:noProof/>
          <w:lang w:val="en-IE"/>
        </w:rPr>
        <w:t>p</w:t>
      </w:r>
      <w:r w:rsidR="00CA67E8" w:rsidRPr="00A54618">
        <w:rPr>
          <w:b/>
          <w:i/>
          <w:noProof/>
          <w:lang w:val="en-IE"/>
        </w:rPr>
        <w:t xml:space="preserve">ublic </w:t>
      </w:r>
      <w:r w:rsidR="00B7069E" w:rsidRPr="00A54618">
        <w:rPr>
          <w:b/>
          <w:i/>
          <w:noProof/>
          <w:lang w:val="en-IE"/>
        </w:rPr>
        <w:t xml:space="preserve">authorities. </w:t>
      </w:r>
      <w:r w:rsidR="00B7069E" w:rsidRPr="00A54618">
        <w:rPr>
          <w:noProof/>
          <w:lang w:val="en-IE"/>
        </w:rPr>
        <w:t>By using a central EU-based database, Member States avoid repeated ad hoc clarifications with operators on deployment and siting rules for new data centres</w:t>
      </w:r>
      <w:r w:rsidR="00E30A93">
        <w:rPr>
          <w:noProof/>
          <w:lang w:val="en-IE"/>
        </w:rPr>
        <w:t>, thus reducing information obligations and simplifying tasks</w:t>
      </w:r>
      <w:r w:rsidR="00B7069E" w:rsidRPr="00A54618" w:rsidDel="00E30A93">
        <w:rPr>
          <w:noProof/>
          <w:lang w:val="en-IE"/>
        </w:rPr>
        <w:t>.</w:t>
      </w:r>
      <w:r w:rsidR="00B7069E" w:rsidRPr="00A54618">
        <w:rPr>
          <w:noProof/>
          <w:lang w:val="en-IE"/>
        </w:rPr>
        <w:t xml:space="preserve"> On average, savings are estimated at </w:t>
      </w:r>
      <w:r w:rsidR="00B7069E">
        <w:rPr>
          <w:noProof/>
          <w:lang w:val="en-IE"/>
        </w:rPr>
        <w:t>one-third</w:t>
      </w:r>
      <w:r w:rsidR="00B7069E" w:rsidRPr="00A54618">
        <w:rPr>
          <w:noProof/>
          <w:lang w:val="en-IE"/>
        </w:rPr>
        <w:t xml:space="preserve"> of time saved in terms of staff days, i.e. estimated as 1 FTE</w:t>
      </w:r>
      <w:r w:rsidR="00AE6930">
        <w:rPr>
          <w:noProof/>
          <w:lang w:val="en-IE"/>
        </w:rPr>
        <w:t xml:space="preserve"> (0.5-2.0 for sensitivity ranges) </w:t>
      </w:r>
      <w:r w:rsidR="00B7069E" w:rsidRPr="00A54618">
        <w:rPr>
          <w:noProof/>
          <w:lang w:val="en-IE"/>
        </w:rPr>
        <w:t>each year</w:t>
      </w:r>
      <w:r w:rsidR="00B7069E" w:rsidRPr="0007547C">
        <w:rPr>
          <w:rFonts w:eastAsiaTheme="minorEastAsia"/>
          <w:noProof/>
          <w:kern w:val="2"/>
          <w:lang w:val="en-IE"/>
          <w14:ligatures w14:val="standardContextual"/>
        </w:rPr>
        <w:t>,</w:t>
      </w:r>
      <w:r w:rsidR="00B7069E" w:rsidRPr="00A54618">
        <w:rPr>
          <w:noProof/>
          <w:lang w:val="en-IE"/>
        </w:rPr>
        <w:t xml:space="preserve"> reducing authorities’ net administrative burden. Savings for authorities would also results from a centralised </w:t>
      </w:r>
      <w:r w:rsidR="00B7069E" w:rsidRPr="003401EC">
        <w:rPr>
          <w:noProof/>
          <w:lang w:val="en-IE"/>
        </w:rPr>
        <w:t xml:space="preserve">EU-level structure that reduces duplication in national-level coordination meetings. </w:t>
      </w:r>
    </w:p>
    <w:p w14:paraId="6765FC16" w14:textId="46C66FB5" w:rsidR="00980EDB" w:rsidRPr="00980EDB" w:rsidRDefault="00980EDB" w:rsidP="00B7069E">
      <w:pPr>
        <w:pStyle w:val="Text1"/>
        <w:ind w:left="0"/>
        <w:rPr>
          <w:noProof/>
        </w:rPr>
      </w:pPr>
      <w:r>
        <w:rPr>
          <w:noProof/>
        </w:rPr>
        <w:t xml:space="preserve">Total </w:t>
      </w:r>
      <w:r w:rsidR="009A11D1">
        <w:rPr>
          <w:noProof/>
        </w:rPr>
        <w:t xml:space="preserve">administrative </w:t>
      </w:r>
      <w:r>
        <w:rPr>
          <w:noProof/>
        </w:rPr>
        <w:t xml:space="preserve">cost savings for national public authorities under PM10 are thus estimated at EUR </w:t>
      </w:r>
      <w:r w:rsidR="008C0A23">
        <w:rPr>
          <w:noProof/>
        </w:rPr>
        <w:t>12.9</w:t>
      </w:r>
      <w:r>
        <w:rPr>
          <w:noProof/>
        </w:rPr>
        <w:t xml:space="preserve"> m (NPV, 10-years).</w:t>
      </w:r>
    </w:p>
    <w:p w14:paraId="60BE9F87" w14:textId="77777777" w:rsidR="00337C58" w:rsidRDefault="00337C58" w:rsidP="00337C58">
      <w:pPr>
        <w:pStyle w:val="Text1"/>
        <w:spacing w:before="240"/>
        <w:ind w:left="0"/>
        <w:rPr>
          <w:noProof/>
          <w:lang w:val="en-IE"/>
        </w:rPr>
      </w:pPr>
      <w:r w:rsidRPr="00915236">
        <w:rPr>
          <w:b/>
          <w:bCs/>
          <w:i/>
          <w:iCs/>
          <w:noProof/>
          <w:lang w:val="en-IE"/>
        </w:rPr>
        <w:t xml:space="preserve">Administrative </w:t>
      </w:r>
      <w:r>
        <w:rPr>
          <w:b/>
          <w:bCs/>
          <w:i/>
          <w:iCs/>
          <w:noProof/>
          <w:lang w:val="en-IE"/>
        </w:rPr>
        <w:t xml:space="preserve">and adjustment </w:t>
      </w:r>
      <w:r w:rsidRPr="00915236">
        <w:rPr>
          <w:b/>
          <w:bCs/>
          <w:i/>
          <w:iCs/>
          <w:noProof/>
          <w:lang w:val="en-IE"/>
        </w:rPr>
        <w:t>costs for the European Commission.</w:t>
      </w:r>
      <w:r>
        <w:rPr>
          <w:b/>
          <w:bCs/>
          <w:i/>
          <w:iCs/>
          <w:noProof/>
          <w:lang w:val="en-IE"/>
        </w:rPr>
        <w:t xml:space="preserve"> </w:t>
      </w:r>
      <w:r>
        <w:rPr>
          <w:noProof/>
          <w:lang w:val="en-IE"/>
        </w:rPr>
        <w:t xml:space="preserve">The Commission would face one-off adjustment costs to set up the mechanism and the data centre acceleration board. This has been estimated at 8 FTE during the first year, plus costs for the procurement and development of the supporting digital tool (EUR 2.0 m). Recurrent annual administrative costs are also estimated for the operation of the Board and to map and update the list of suitable fast-track areas for data centre deployment, also estimated at 6 FTEs per year. Adjustment costs in terms of maintenance of the tool (EUR 0.8 m) and a budget for procuring periodic external studies and/or expert meetings (EUR 2 m) are also considered to take place every two years on average.  </w:t>
      </w:r>
    </w:p>
    <w:p w14:paraId="0BFAF15C" w14:textId="77777777" w:rsidR="00337C58" w:rsidRPr="00C35BC0" w:rsidRDefault="00337C58" w:rsidP="00337C58">
      <w:pPr>
        <w:pStyle w:val="Text1"/>
        <w:ind w:left="0"/>
        <w:rPr>
          <w:noProof/>
        </w:rPr>
      </w:pPr>
      <w:r>
        <w:rPr>
          <w:noProof/>
        </w:rPr>
        <w:t>Total costs for the European Commission under PM10 are thus estimated at EUR 16.1 m (NPV, 10-years).</w:t>
      </w:r>
    </w:p>
    <w:p w14:paraId="002CFE49" w14:textId="7BBA2660" w:rsidR="00170E39" w:rsidRPr="00170E39" w:rsidRDefault="00B7069E" w:rsidP="00B7069E">
      <w:pPr>
        <w:pStyle w:val="Text1"/>
        <w:ind w:left="0"/>
        <w:rPr>
          <w:noProof/>
          <w:lang w:val="en-IE"/>
        </w:rPr>
      </w:pPr>
      <w:r w:rsidRPr="001112FD">
        <w:rPr>
          <w:b/>
          <w:noProof/>
          <w:lang w:val="en-IE"/>
        </w:rPr>
        <w:t>Sensitivity analysis</w:t>
      </w:r>
      <w:r w:rsidRPr="000B2169">
        <w:rPr>
          <w:b/>
          <w:noProof/>
          <w:lang w:val="en-IE"/>
        </w:rPr>
        <w:t>:</w:t>
      </w:r>
      <w:r w:rsidRPr="00C1102A">
        <w:rPr>
          <w:noProof/>
          <w:lang w:val="en-IE"/>
        </w:rPr>
        <w:t xml:space="preserve"> </w:t>
      </w:r>
      <w:r w:rsidR="007C7952">
        <w:rPr>
          <w:noProof/>
          <w:lang w:val="en-IE"/>
        </w:rPr>
        <w:t>T</w:t>
      </w:r>
      <w:r w:rsidR="007C7952" w:rsidRPr="00C1102A">
        <w:rPr>
          <w:noProof/>
          <w:lang w:val="en-IE"/>
        </w:rPr>
        <w:t>he parameters are very sensitive to the number of benefitting operators</w:t>
      </w:r>
      <w:r w:rsidR="007C7952">
        <w:rPr>
          <w:noProof/>
          <w:lang w:val="en-IE"/>
        </w:rPr>
        <w:t xml:space="preserve"> and</w:t>
      </w:r>
      <w:r w:rsidR="007C7952" w:rsidRPr="00C1102A">
        <w:rPr>
          <w:noProof/>
          <w:lang w:val="en-IE"/>
        </w:rPr>
        <w:t xml:space="preserve"> </w:t>
      </w:r>
      <w:r w:rsidR="007C7952">
        <w:rPr>
          <w:noProof/>
          <w:lang w:val="en-IE"/>
        </w:rPr>
        <w:t xml:space="preserve">the assumed time reductions. </w:t>
      </w:r>
      <w:r w:rsidR="007C7952" w:rsidRPr="000B2169">
        <w:rPr>
          <w:noProof/>
          <w:lang w:val="en-IE"/>
        </w:rPr>
        <w:t xml:space="preserve">As above, sensitivity analysis focuses on the potential effectiveness of the measure and the associated regulatory costs, with parameters modelled to consider a changing level of effort to comply with the </w:t>
      </w:r>
      <w:r w:rsidR="00170E39">
        <w:rPr>
          <w:noProof/>
          <w:lang w:val="en-IE"/>
        </w:rPr>
        <w:t>areas</w:t>
      </w:r>
      <w:r w:rsidR="007C7952" w:rsidRPr="000B2169">
        <w:rPr>
          <w:noProof/>
          <w:lang w:val="en-IE"/>
        </w:rPr>
        <w:t xml:space="preserve"> requirements, both in terms of administrative and adjustment costs, as well as to understand how time savings influencing NPV calculations and adoption rates impact economic benefits. The reduction in months saved varie</w:t>
      </w:r>
      <w:r w:rsidR="00814021">
        <w:rPr>
          <w:noProof/>
          <w:lang w:val="en-IE"/>
        </w:rPr>
        <w:t>s</w:t>
      </w:r>
      <w:r w:rsidR="007C7952" w:rsidRPr="000B2169">
        <w:rPr>
          <w:noProof/>
          <w:lang w:val="en-IE"/>
        </w:rPr>
        <w:t xml:space="preserve"> between </w:t>
      </w:r>
      <w:r w:rsidR="00D347CA">
        <w:rPr>
          <w:noProof/>
          <w:lang w:val="en-IE"/>
        </w:rPr>
        <w:t>2</w:t>
      </w:r>
      <w:r w:rsidR="007C7952" w:rsidRPr="000B2169">
        <w:rPr>
          <w:noProof/>
          <w:lang w:val="en-IE"/>
        </w:rPr>
        <w:t xml:space="preserve"> and </w:t>
      </w:r>
      <w:r w:rsidR="00D347CA">
        <w:rPr>
          <w:noProof/>
          <w:lang w:val="en-IE"/>
        </w:rPr>
        <w:t>4</w:t>
      </w:r>
      <w:r w:rsidR="007C7952" w:rsidRPr="000B2169">
        <w:rPr>
          <w:noProof/>
          <w:lang w:val="en-IE"/>
        </w:rPr>
        <w:t xml:space="preserve"> (central </w:t>
      </w:r>
      <w:r w:rsidR="00D347CA">
        <w:rPr>
          <w:noProof/>
          <w:lang w:val="en-IE"/>
        </w:rPr>
        <w:t>3</w:t>
      </w:r>
      <w:r w:rsidR="007C7952" w:rsidRPr="000B2169">
        <w:rPr>
          <w:noProof/>
          <w:lang w:val="en-IE"/>
        </w:rPr>
        <w:t xml:space="preserve"> months saving) as well as the share of facilities using the </w:t>
      </w:r>
      <w:r w:rsidR="009341C4">
        <w:rPr>
          <w:noProof/>
          <w:lang w:val="en-IE"/>
        </w:rPr>
        <w:t>areas</w:t>
      </w:r>
      <w:r w:rsidR="007C7952" w:rsidRPr="000B2169">
        <w:rPr>
          <w:noProof/>
          <w:lang w:val="en-IE"/>
        </w:rPr>
        <w:t xml:space="preserve"> by 2036, i.e. considering between 30% and 70% (with a central scenario of 50%). Concerning the costs, the additional time considered for administrative and adjustment costs is also varied to reflect the uncertainty about the intensity of the new procedures. The low scenario combines conservative assumptions on effectiveness (4 months saved, 30% uptake by 2036) with higher costs, while the high scenario does the opposite. Sensitivities were also considered for national public authorities, to reflect the uncertainty related the annual effort for participating in the new processes. This has been varied considering between 15 days (high-effort) and 5 days (low-effort) per year and expected administrative cost savings generated by the mechanism, ranging from 0.5 to 1.5 FTEs saved per year at EU level under the low and high scenarios. The measure is highly sensitive to assumptions on PUE improvements, which significantly influence overall OPEX. In the absence of PUE reductions beyond the baseline scenario, the NPV would fall to EUR 59.82 million, i.e. only around 3% of projected cost savings. This highlights the critical role of PM8 and PM9 in driving more sustainable and energy-efficient data-centre operations.</w:t>
      </w:r>
    </w:p>
    <w:p w14:paraId="6F34151C" w14:textId="3D359454" w:rsidR="00170E39" w:rsidRPr="00170E39" w:rsidRDefault="00B7069E" w:rsidP="000B2169">
      <w:pPr>
        <w:rPr>
          <w:noProof/>
          <w:lang w:val="en-IE"/>
        </w:rPr>
      </w:pPr>
      <w:r w:rsidRPr="000B2169">
        <w:rPr>
          <w:rFonts w:eastAsia="Times New Roman"/>
          <w:b/>
          <w:noProof/>
          <w:szCs w:val="20"/>
        </w:rPr>
        <w:t>Results</w:t>
      </w:r>
      <w:r w:rsidRPr="000B2169">
        <w:rPr>
          <w:rFonts w:eastAsia="Times New Roman"/>
          <w:noProof/>
          <w:szCs w:val="20"/>
        </w:rPr>
        <w:t xml:space="preserve">: </w:t>
      </w:r>
      <w:r w:rsidR="00C62CF5" w:rsidRPr="000B2169">
        <w:rPr>
          <w:rFonts w:eastAsia="Times New Roman"/>
          <w:noProof/>
          <w:szCs w:val="20"/>
        </w:rPr>
        <w:t xml:space="preserve">The total costs and benefits for all stakeholders are summarised in the table below. Total costs are estimated between EUR </w:t>
      </w:r>
      <w:r w:rsidR="009318B6">
        <w:rPr>
          <w:rFonts w:eastAsia="Times New Roman"/>
          <w:noProof/>
          <w:szCs w:val="20"/>
        </w:rPr>
        <w:t>1</w:t>
      </w:r>
      <w:r w:rsidR="00C21564">
        <w:rPr>
          <w:rFonts w:eastAsia="Times New Roman"/>
          <w:noProof/>
          <w:szCs w:val="20"/>
        </w:rPr>
        <w:t>0</w:t>
      </w:r>
      <w:r w:rsidR="009318B6">
        <w:rPr>
          <w:rFonts w:eastAsia="Times New Roman"/>
          <w:noProof/>
          <w:szCs w:val="20"/>
        </w:rPr>
        <w:t>5</w:t>
      </w:r>
      <w:r w:rsidR="00C62CF5" w:rsidRPr="000B2169">
        <w:rPr>
          <w:rFonts w:eastAsia="Times New Roman"/>
          <w:noProof/>
          <w:szCs w:val="20"/>
        </w:rPr>
        <w:t>.</w:t>
      </w:r>
      <w:r w:rsidR="00C21564">
        <w:rPr>
          <w:rFonts w:eastAsia="Times New Roman"/>
          <w:noProof/>
          <w:szCs w:val="20"/>
        </w:rPr>
        <w:t>5</w:t>
      </w:r>
      <w:r w:rsidR="009318B6" w:rsidRPr="000B2169">
        <w:rPr>
          <w:rFonts w:eastAsia="Times New Roman"/>
          <w:noProof/>
          <w:szCs w:val="20"/>
        </w:rPr>
        <w:t xml:space="preserve"> </w:t>
      </w:r>
      <w:r w:rsidR="00C62CF5" w:rsidRPr="000B2169">
        <w:rPr>
          <w:rFonts w:eastAsia="Times New Roman"/>
          <w:noProof/>
          <w:szCs w:val="20"/>
        </w:rPr>
        <w:t xml:space="preserve">m and EUR </w:t>
      </w:r>
      <w:r w:rsidR="00476EA0">
        <w:rPr>
          <w:rFonts w:eastAsia="Times New Roman"/>
          <w:noProof/>
          <w:szCs w:val="20"/>
        </w:rPr>
        <w:t>131</w:t>
      </w:r>
      <w:r w:rsidR="00C62CF5" w:rsidRPr="000B2169">
        <w:rPr>
          <w:rFonts w:eastAsia="Times New Roman"/>
          <w:noProof/>
          <w:szCs w:val="20"/>
        </w:rPr>
        <w:t>.</w:t>
      </w:r>
      <w:r w:rsidR="00476EA0">
        <w:rPr>
          <w:rFonts w:eastAsia="Times New Roman"/>
          <w:noProof/>
          <w:szCs w:val="20"/>
        </w:rPr>
        <w:t>1</w:t>
      </w:r>
      <w:r w:rsidR="00476EA0" w:rsidRPr="000B2169">
        <w:rPr>
          <w:rFonts w:eastAsia="Times New Roman"/>
          <w:noProof/>
          <w:szCs w:val="20"/>
        </w:rPr>
        <w:t xml:space="preserve"> </w:t>
      </w:r>
      <w:r w:rsidR="00C62CF5" w:rsidRPr="000B2169">
        <w:rPr>
          <w:rFonts w:eastAsia="Times New Roman"/>
          <w:noProof/>
          <w:szCs w:val="20"/>
        </w:rPr>
        <w:t xml:space="preserve">m, including administrative and adjustment </w:t>
      </w:r>
      <w:r w:rsidR="00EA6A3D">
        <w:rPr>
          <w:rFonts w:eastAsia="Times New Roman"/>
          <w:noProof/>
          <w:szCs w:val="20"/>
        </w:rPr>
        <w:t>costs</w:t>
      </w:r>
      <w:r w:rsidR="00C62CF5" w:rsidRPr="000B2169">
        <w:rPr>
          <w:rFonts w:eastAsia="Times New Roman"/>
          <w:noProof/>
          <w:szCs w:val="20"/>
        </w:rPr>
        <w:t xml:space="preserve"> for establishing and maintaining the EU-level mechanism. Total savings are substantial, ranging from EUR 4.</w:t>
      </w:r>
      <w:r w:rsidR="00476EA0">
        <w:rPr>
          <w:rFonts w:eastAsia="Times New Roman"/>
          <w:noProof/>
          <w:szCs w:val="20"/>
        </w:rPr>
        <w:t>8</w:t>
      </w:r>
      <w:r w:rsidR="00476EA0" w:rsidRPr="000B2169">
        <w:rPr>
          <w:rFonts w:eastAsia="Times New Roman"/>
          <w:noProof/>
          <w:szCs w:val="20"/>
        </w:rPr>
        <w:t xml:space="preserve"> </w:t>
      </w:r>
      <w:r w:rsidR="007F4FAE">
        <w:rPr>
          <w:rFonts w:eastAsia="Times New Roman"/>
          <w:noProof/>
          <w:szCs w:val="20"/>
        </w:rPr>
        <w:t>bn</w:t>
      </w:r>
      <w:r w:rsidR="00C62CF5" w:rsidRPr="000B2169">
        <w:rPr>
          <w:rFonts w:eastAsia="Times New Roman"/>
          <w:noProof/>
          <w:szCs w:val="20"/>
        </w:rPr>
        <w:t xml:space="preserve"> to EUR 12.</w:t>
      </w:r>
      <w:r w:rsidR="00476EA0">
        <w:rPr>
          <w:rFonts w:eastAsia="Times New Roman"/>
          <w:noProof/>
          <w:szCs w:val="20"/>
        </w:rPr>
        <w:t>2</w:t>
      </w:r>
      <w:r w:rsidR="00476EA0" w:rsidRPr="000B2169">
        <w:rPr>
          <w:rFonts w:eastAsia="Times New Roman"/>
          <w:noProof/>
          <w:szCs w:val="20"/>
        </w:rPr>
        <w:t xml:space="preserve"> </w:t>
      </w:r>
      <w:r w:rsidR="007F4FAE">
        <w:rPr>
          <w:rFonts w:eastAsia="Times New Roman"/>
          <w:noProof/>
          <w:szCs w:val="20"/>
        </w:rPr>
        <w:t>bn</w:t>
      </w:r>
      <w:r w:rsidR="00C62CF5" w:rsidRPr="000B2169">
        <w:rPr>
          <w:rFonts w:eastAsia="Times New Roman"/>
          <w:noProof/>
          <w:szCs w:val="20"/>
        </w:rPr>
        <w:t>, reflecting the expected efficiency gains from faster permitting, coordinated siting, and reduced duplication across Member States. The high-low scenarios are largely driven by the NPV calculation which is affected by the number of months which is perceived to be saved in this process</w:t>
      </w:r>
      <w:r w:rsidR="00DE1401">
        <w:rPr>
          <w:rFonts w:eastAsia="Times New Roman"/>
          <w:noProof/>
          <w:szCs w:val="20"/>
          <w:lang w:val="en-IE"/>
        </w:rPr>
        <w:t>.</w:t>
      </w:r>
    </w:p>
    <w:p w14:paraId="0A2A4C7E" w14:textId="2D6DFEE1" w:rsidR="00B7069E" w:rsidRDefault="00B7069E" w:rsidP="00B7069E">
      <w:pPr>
        <w:pStyle w:val="Caption"/>
        <w:keepNext/>
        <w:rPr>
          <w:noProof/>
        </w:rPr>
      </w:pPr>
      <w:r w:rsidRPr="00276391">
        <w:rPr>
          <w:noProof/>
        </w:rPr>
        <w:t xml:space="preserve">Table </w:t>
      </w:r>
      <w:r w:rsidRPr="00276391">
        <w:rPr>
          <w:noProof/>
        </w:rPr>
        <w:fldChar w:fldCharType="begin"/>
      </w:r>
      <w:r w:rsidRPr="00276391">
        <w:rPr>
          <w:noProof/>
        </w:rPr>
        <w:instrText xml:space="preserve"> SEQ Table \* ARABIC </w:instrText>
      </w:r>
      <w:r w:rsidRPr="00276391">
        <w:rPr>
          <w:noProof/>
        </w:rPr>
        <w:fldChar w:fldCharType="separate"/>
      </w:r>
      <w:r w:rsidR="000E7F11">
        <w:rPr>
          <w:noProof/>
        </w:rPr>
        <w:t>30</w:t>
      </w:r>
      <w:r w:rsidRPr="00276391">
        <w:rPr>
          <w:noProof/>
        </w:rPr>
        <w:fldChar w:fldCharType="end"/>
      </w:r>
      <w:r w:rsidRPr="00276391">
        <w:rPr>
          <w:noProof/>
        </w:rPr>
        <w:t>. EU-level identification of areas for fast-track data centre deployment (PM10)</w:t>
      </w:r>
    </w:p>
    <w:tbl>
      <w:tblPr>
        <w:tblStyle w:val="TableGrid"/>
        <w:tblW w:w="9985" w:type="dxa"/>
        <w:tblInd w:w="-567" w:type="dxa"/>
        <w:tblLayout w:type="fixed"/>
        <w:tblCellMar>
          <w:left w:w="0" w:type="dxa"/>
          <w:right w:w="0" w:type="dxa"/>
        </w:tblCellMar>
        <w:tblLook w:val="04A0" w:firstRow="1" w:lastRow="0" w:firstColumn="1" w:lastColumn="0" w:noHBand="0" w:noVBand="1"/>
      </w:tblPr>
      <w:tblGrid>
        <w:gridCol w:w="2127"/>
        <w:gridCol w:w="1417"/>
        <w:gridCol w:w="1134"/>
        <w:gridCol w:w="1134"/>
        <w:gridCol w:w="1338"/>
        <w:gridCol w:w="1418"/>
        <w:gridCol w:w="1417"/>
      </w:tblGrid>
      <w:tr w:rsidR="006B45A1" w:rsidRPr="00FA63C0" w14:paraId="0F1D8DD0" w14:textId="77777777" w:rsidTr="00082E1B">
        <w:trPr>
          <w:trHeight w:val="506"/>
          <w:tblHeader/>
        </w:trPr>
        <w:tc>
          <w:tcPr>
            <w:tcW w:w="2127" w:type="dxa"/>
            <w:tcBorders>
              <w:bottom w:val="single" w:sz="12" w:space="0" w:color="00B0F0"/>
            </w:tcBorders>
            <w:noWrap/>
            <w:vAlign w:val="center"/>
            <w:hideMark/>
          </w:tcPr>
          <w:p w14:paraId="49AD9228" w14:textId="77777777" w:rsidR="006B45A1" w:rsidRPr="00FA63C0" w:rsidRDefault="006B45A1" w:rsidP="006B45A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417" w:type="dxa"/>
            <w:tcBorders>
              <w:bottom w:val="single" w:sz="12" w:space="0" w:color="00B0F0"/>
            </w:tcBorders>
            <w:vAlign w:val="center"/>
          </w:tcPr>
          <w:p w14:paraId="22CCDF9A" w14:textId="53C2D1CC" w:rsidR="006B45A1" w:rsidRPr="00FA63C0" w:rsidRDefault="00651661" w:rsidP="00082E1B">
            <w:pPr>
              <w:spacing w:after="0"/>
              <w:ind w:left="79"/>
              <w:jc w:val="center"/>
              <w:rPr>
                <w:b/>
                <w:bCs/>
                <w:noProof/>
                <w:sz w:val="20"/>
                <w:szCs w:val="20"/>
                <w:lang w:val="en-IE" w:eastAsia="en-IE"/>
              </w:rPr>
            </w:pPr>
            <w:r w:rsidRPr="00FA63C0">
              <w:rPr>
                <w:b/>
                <w:bCs/>
                <w:noProof/>
                <w:sz w:val="20"/>
                <w:szCs w:val="20"/>
                <w:lang w:val="en-IE" w:eastAsia="en-IE"/>
              </w:rPr>
              <w:t>Data centre operators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vAlign w:val="center"/>
          </w:tcPr>
          <w:p w14:paraId="28AACCF8"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vAlign w:val="center"/>
          </w:tcPr>
          <w:p w14:paraId="3B861E82" w14:textId="77777777" w:rsidR="006B45A1" w:rsidRPr="00FA63C0" w:rsidRDefault="006B45A1" w:rsidP="006B45A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338" w:type="dxa"/>
            <w:tcBorders>
              <w:bottom w:val="single" w:sz="12" w:space="0" w:color="00B0F0"/>
            </w:tcBorders>
            <w:noWrap/>
            <w:vAlign w:val="center"/>
            <w:hideMark/>
          </w:tcPr>
          <w:p w14:paraId="234D47F5" w14:textId="694E3E38"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vAlign w:val="center"/>
            <w:hideMark/>
          </w:tcPr>
          <w:p w14:paraId="66CE369A" w14:textId="28820E54" w:rsidR="006B45A1" w:rsidRPr="00EC6BC1"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417" w:type="dxa"/>
            <w:tcBorders>
              <w:bottom w:val="single" w:sz="12" w:space="0" w:color="00B0F0"/>
            </w:tcBorders>
            <w:noWrap/>
            <w:vAlign w:val="center"/>
            <w:hideMark/>
          </w:tcPr>
          <w:p w14:paraId="10119F6B" w14:textId="153CC9BA" w:rsidR="006B45A1" w:rsidRPr="00FA63C0" w:rsidRDefault="006B45A1" w:rsidP="006B45A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927281" w:rsidRPr="00397C78" w14:paraId="4ED1B831" w14:textId="77777777">
        <w:trPr>
          <w:trHeight w:val="283"/>
        </w:trPr>
        <w:tc>
          <w:tcPr>
            <w:tcW w:w="2127" w:type="dxa"/>
            <w:tcBorders>
              <w:top w:val="single" w:sz="12" w:space="0" w:color="00B0F0"/>
            </w:tcBorders>
            <w:noWrap/>
            <w:vAlign w:val="center"/>
            <w:hideMark/>
          </w:tcPr>
          <w:p w14:paraId="7BD6120A" w14:textId="77777777" w:rsidR="00927281" w:rsidRPr="00FA63C0" w:rsidRDefault="00927281" w:rsidP="00927281">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417" w:type="dxa"/>
            <w:tcBorders>
              <w:top w:val="single" w:sz="12" w:space="0" w:color="00B0F0"/>
            </w:tcBorders>
            <w:vAlign w:val="center"/>
          </w:tcPr>
          <w:p w14:paraId="5E7F13A6" w14:textId="45778577" w:rsidR="00927281" w:rsidRPr="00FA63C0" w:rsidRDefault="00772CFD" w:rsidP="00927281">
            <w:pPr>
              <w:spacing w:after="0"/>
              <w:jc w:val="right"/>
              <w:rPr>
                <w:noProof/>
                <w:sz w:val="20"/>
                <w:szCs w:val="20"/>
                <w:lang w:val="en-IE" w:eastAsia="en-IE"/>
              </w:rPr>
            </w:pPr>
            <w:r>
              <w:rPr>
                <w:noProof/>
                <w:sz w:val="20"/>
                <w:szCs w:val="20"/>
              </w:rPr>
              <w:t>1 476 159</w:t>
            </w:r>
            <w:r w:rsidR="00063F61" w:rsidRPr="00FA63C0">
              <w:rPr>
                <w:noProof/>
                <w:sz w:val="20"/>
                <w:szCs w:val="20"/>
              </w:rPr>
              <w:t xml:space="preserve">   </w:t>
            </w:r>
          </w:p>
        </w:tc>
        <w:tc>
          <w:tcPr>
            <w:tcW w:w="1134" w:type="dxa"/>
            <w:tcBorders>
              <w:top w:val="single" w:sz="12" w:space="0" w:color="00B0F0"/>
            </w:tcBorders>
            <w:vAlign w:val="center"/>
          </w:tcPr>
          <w:p w14:paraId="4C21B79F" w14:textId="7BEB985E" w:rsidR="00927281" w:rsidRPr="00FA63C0" w:rsidRDefault="00927281" w:rsidP="00927281">
            <w:pPr>
              <w:spacing w:after="0"/>
              <w:jc w:val="right"/>
              <w:rPr>
                <w:noProof/>
                <w:sz w:val="20"/>
                <w:szCs w:val="20"/>
                <w:lang w:val="en-IE" w:eastAsia="en-IE"/>
              </w:rPr>
            </w:pPr>
            <w:r w:rsidRPr="00FA63C0">
              <w:rPr>
                <w:noProof/>
                <w:sz w:val="20"/>
                <w:szCs w:val="20"/>
              </w:rPr>
              <w:t xml:space="preserve">-   </w:t>
            </w:r>
          </w:p>
        </w:tc>
        <w:tc>
          <w:tcPr>
            <w:tcW w:w="1134" w:type="dxa"/>
            <w:tcBorders>
              <w:top w:val="single" w:sz="12" w:space="0" w:color="00B0F0"/>
            </w:tcBorders>
            <w:vAlign w:val="center"/>
          </w:tcPr>
          <w:p w14:paraId="448E3351" w14:textId="18414CB5"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338" w:type="dxa"/>
            <w:tcBorders>
              <w:top w:val="single" w:sz="12" w:space="0" w:color="00B0F0"/>
            </w:tcBorders>
            <w:noWrap/>
          </w:tcPr>
          <w:p w14:paraId="1E537B20" w14:textId="4E32A571" w:rsidR="00927281" w:rsidRPr="007C40E5" w:rsidRDefault="00063F61" w:rsidP="00927281">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1</w:t>
            </w:r>
            <w:r>
              <w:rPr>
                <w:noProof/>
                <w:sz w:val="20"/>
                <w:szCs w:val="20"/>
              </w:rPr>
              <w:t xml:space="preserve"> </w:t>
            </w:r>
            <w:r w:rsidRPr="00063F61">
              <w:rPr>
                <w:noProof/>
                <w:sz w:val="20"/>
                <w:szCs w:val="20"/>
              </w:rPr>
              <w:t>476</w:t>
            </w:r>
            <w:r>
              <w:rPr>
                <w:noProof/>
                <w:sz w:val="20"/>
                <w:szCs w:val="20"/>
              </w:rPr>
              <w:t xml:space="preserve"> </w:t>
            </w:r>
            <w:r w:rsidRPr="00063F61">
              <w:rPr>
                <w:noProof/>
                <w:sz w:val="20"/>
                <w:szCs w:val="20"/>
              </w:rPr>
              <w:t xml:space="preserve">159 </w:t>
            </w:r>
          </w:p>
        </w:tc>
        <w:tc>
          <w:tcPr>
            <w:tcW w:w="1418" w:type="dxa"/>
            <w:tcBorders>
              <w:top w:val="single" w:sz="12" w:space="0" w:color="00B0F0"/>
            </w:tcBorders>
            <w:noWrap/>
          </w:tcPr>
          <w:p w14:paraId="03A74628" w14:textId="5F2BE66B" w:rsidR="00927281" w:rsidRPr="007C40E5" w:rsidRDefault="00063F61" w:rsidP="00927281">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830</w:t>
            </w:r>
            <w:r>
              <w:rPr>
                <w:noProof/>
                <w:sz w:val="20"/>
                <w:szCs w:val="20"/>
              </w:rPr>
              <w:t xml:space="preserve"> </w:t>
            </w:r>
            <w:r w:rsidRPr="00063F61">
              <w:rPr>
                <w:noProof/>
                <w:sz w:val="20"/>
                <w:szCs w:val="20"/>
              </w:rPr>
              <w:t xml:space="preserve">339 </w:t>
            </w:r>
          </w:p>
        </w:tc>
        <w:tc>
          <w:tcPr>
            <w:tcW w:w="1417" w:type="dxa"/>
            <w:tcBorders>
              <w:top w:val="single" w:sz="12" w:space="0" w:color="00B0F0"/>
            </w:tcBorders>
            <w:noWrap/>
          </w:tcPr>
          <w:p w14:paraId="433B239B" w14:textId="4A8ED3E1" w:rsidR="00927281" w:rsidRPr="007C40E5" w:rsidRDefault="00063F61" w:rsidP="00927281">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2</w:t>
            </w:r>
            <w:r>
              <w:rPr>
                <w:noProof/>
                <w:sz w:val="20"/>
                <w:szCs w:val="20"/>
              </w:rPr>
              <w:t xml:space="preserve"> </w:t>
            </w:r>
            <w:r w:rsidRPr="00063F61">
              <w:rPr>
                <w:noProof/>
                <w:sz w:val="20"/>
                <w:szCs w:val="20"/>
              </w:rPr>
              <w:t>767</w:t>
            </w:r>
            <w:r>
              <w:rPr>
                <w:noProof/>
                <w:sz w:val="20"/>
                <w:szCs w:val="20"/>
              </w:rPr>
              <w:t xml:space="preserve"> </w:t>
            </w:r>
            <w:r w:rsidRPr="00063F61">
              <w:rPr>
                <w:noProof/>
                <w:sz w:val="20"/>
                <w:szCs w:val="20"/>
              </w:rPr>
              <w:t xml:space="preserve">798 </w:t>
            </w:r>
          </w:p>
        </w:tc>
      </w:tr>
      <w:tr w:rsidR="00A14B05" w:rsidRPr="00061A60" w14:paraId="306B53D8" w14:textId="77777777">
        <w:trPr>
          <w:trHeight w:val="283"/>
        </w:trPr>
        <w:tc>
          <w:tcPr>
            <w:tcW w:w="2127" w:type="dxa"/>
            <w:noWrap/>
            <w:vAlign w:val="center"/>
            <w:hideMark/>
          </w:tcPr>
          <w:p w14:paraId="5E940332" w14:textId="77777777" w:rsidR="00A14B05" w:rsidRPr="00FA63C0" w:rsidRDefault="00A14B05" w:rsidP="00A14B05">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417" w:type="dxa"/>
            <w:vAlign w:val="center"/>
          </w:tcPr>
          <w:p w14:paraId="6F4B755F" w14:textId="1C2872D4" w:rsidR="00A14B05" w:rsidRPr="00FA63C0" w:rsidRDefault="00A14B05" w:rsidP="00A14B05">
            <w:pPr>
              <w:spacing w:after="0"/>
              <w:jc w:val="right"/>
              <w:rPr>
                <w:noProof/>
                <w:sz w:val="20"/>
                <w:szCs w:val="20"/>
                <w:lang w:val="en-IE" w:eastAsia="en-IE"/>
              </w:rPr>
            </w:pPr>
            <w:r w:rsidRPr="00FA63C0">
              <w:rPr>
                <w:noProof/>
                <w:sz w:val="20"/>
                <w:szCs w:val="20"/>
              </w:rPr>
              <w:t xml:space="preserve"> -   </w:t>
            </w:r>
          </w:p>
        </w:tc>
        <w:tc>
          <w:tcPr>
            <w:tcW w:w="1134" w:type="dxa"/>
          </w:tcPr>
          <w:p w14:paraId="3CE2A00B" w14:textId="09CEA6D9" w:rsidR="00A14B05" w:rsidRPr="00CD1E9D" w:rsidRDefault="008B4678" w:rsidP="00A14B05">
            <w:pPr>
              <w:spacing w:after="0"/>
              <w:jc w:val="right"/>
              <w:rPr>
                <w:noProof/>
                <w:sz w:val="20"/>
                <w:szCs w:val="20"/>
                <w:lang w:val="en-IE" w:eastAsia="en-IE"/>
              </w:rPr>
            </w:pPr>
            <w:r w:rsidRPr="008B4678">
              <w:rPr>
                <w:noProof/>
                <w:sz w:val="20"/>
                <w:szCs w:val="20"/>
              </w:rPr>
              <w:t xml:space="preserve"> </w:t>
            </w:r>
            <w:r>
              <w:rPr>
                <w:noProof/>
                <w:sz w:val="20"/>
                <w:szCs w:val="20"/>
              </w:rPr>
              <w:t xml:space="preserve"> </w:t>
            </w:r>
            <w:r w:rsidRPr="008B4678">
              <w:rPr>
                <w:noProof/>
                <w:sz w:val="20"/>
                <w:szCs w:val="20"/>
              </w:rPr>
              <w:t>38</w:t>
            </w:r>
            <w:r>
              <w:rPr>
                <w:noProof/>
                <w:sz w:val="20"/>
                <w:szCs w:val="20"/>
              </w:rPr>
              <w:t xml:space="preserve"> </w:t>
            </w:r>
            <w:r w:rsidRPr="008B4678">
              <w:rPr>
                <w:noProof/>
                <w:sz w:val="20"/>
                <w:szCs w:val="20"/>
              </w:rPr>
              <w:t>698</w:t>
            </w:r>
            <w:r>
              <w:rPr>
                <w:noProof/>
                <w:sz w:val="20"/>
                <w:szCs w:val="20"/>
              </w:rPr>
              <w:t xml:space="preserve"> </w:t>
            </w:r>
            <w:r w:rsidRPr="008B4678">
              <w:rPr>
                <w:noProof/>
                <w:sz w:val="20"/>
                <w:szCs w:val="20"/>
              </w:rPr>
              <w:t xml:space="preserve">697 </w:t>
            </w:r>
          </w:p>
        </w:tc>
        <w:tc>
          <w:tcPr>
            <w:tcW w:w="1134" w:type="dxa"/>
          </w:tcPr>
          <w:p w14:paraId="5D229A70" w14:textId="1EBC2D09" w:rsidR="00A14B05" w:rsidRPr="00A14B05" w:rsidRDefault="00A14B05" w:rsidP="00A14B05">
            <w:pPr>
              <w:spacing w:after="0"/>
              <w:jc w:val="right"/>
              <w:rPr>
                <w:noProof/>
                <w:sz w:val="20"/>
                <w:szCs w:val="20"/>
                <w:lang w:val="en-IE" w:eastAsia="en-IE"/>
              </w:rPr>
            </w:pPr>
            <w:r w:rsidRPr="00082E1B">
              <w:rPr>
                <w:noProof/>
                <w:sz w:val="20"/>
                <w:szCs w:val="20"/>
              </w:rPr>
              <w:t xml:space="preserve"> </w:t>
            </w:r>
            <w:r>
              <w:rPr>
                <w:noProof/>
                <w:sz w:val="20"/>
                <w:szCs w:val="20"/>
              </w:rPr>
              <w:t xml:space="preserve"> </w:t>
            </w:r>
            <w:r w:rsidRPr="00082E1B">
              <w:rPr>
                <w:noProof/>
                <w:sz w:val="20"/>
                <w:szCs w:val="20"/>
              </w:rPr>
              <w:t>3</w:t>
            </w:r>
            <w:r>
              <w:rPr>
                <w:noProof/>
                <w:sz w:val="20"/>
                <w:szCs w:val="20"/>
              </w:rPr>
              <w:t xml:space="preserve"> </w:t>
            </w:r>
            <w:r w:rsidRPr="00082E1B">
              <w:rPr>
                <w:noProof/>
                <w:sz w:val="20"/>
                <w:szCs w:val="20"/>
              </w:rPr>
              <w:t>822</w:t>
            </w:r>
            <w:r>
              <w:rPr>
                <w:noProof/>
                <w:sz w:val="20"/>
                <w:szCs w:val="20"/>
              </w:rPr>
              <w:t xml:space="preserve"> </w:t>
            </w:r>
            <w:r w:rsidRPr="00082E1B">
              <w:rPr>
                <w:noProof/>
                <w:sz w:val="20"/>
                <w:szCs w:val="20"/>
              </w:rPr>
              <w:t xml:space="preserve">094 </w:t>
            </w:r>
          </w:p>
        </w:tc>
        <w:tc>
          <w:tcPr>
            <w:tcW w:w="1338" w:type="dxa"/>
            <w:noWrap/>
          </w:tcPr>
          <w:p w14:paraId="138BAFBB" w14:textId="30370F4B"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42</w:t>
            </w:r>
            <w:r>
              <w:rPr>
                <w:noProof/>
                <w:sz w:val="20"/>
                <w:szCs w:val="20"/>
              </w:rPr>
              <w:t xml:space="preserve"> </w:t>
            </w:r>
            <w:r w:rsidRPr="00063F61">
              <w:rPr>
                <w:noProof/>
                <w:sz w:val="20"/>
                <w:szCs w:val="20"/>
              </w:rPr>
              <w:t>520</w:t>
            </w:r>
            <w:r>
              <w:rPr>
                <w:noProof/>
                <w:sz w:val="20"/>
                <w:szCs w:val="20"/>
              </w:rPr>
              <w:t xml:space="preserve"> </w:t>
            </w:r>
            <w:r w:rsidRPr="00063F61">
              <w:rPr>
                <w:noProof/>
                <w:sz w:val="20"/>
                <w:szCs w:val="20"/>
              </w:rPr>
              <w:t xml:space="preserve">790 </w:t>
            </w:r>
          </w:p>
        </w:tc>
        <w:tc>
          <w:tcPr>
            <w:tcW w:w="1418" w:type="dxa"/>
            <w:noWrap/>
          </w:tcPr>
          <w:p w14:paraId="70E141C4" w14:textId="6FAC17A7"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42</w:t>
            </w:r>
            <w:r>
              <w:rPr>
                <w:noProof/>
                <w:sz w:val="20"/>
                <w:szCs w:val="20"/>
              </w:rPr>
              <w:t xml:space="preserve"> </w:t>
            </w:r>
            <w:r w:rsidRPr="00063F61">
              <w:rPr>
                <w:noProof/>
                <w:sz w:val="20"/>
                <w:szCs w:val="20"/>
              </w:rPr>
              <w:t>520</w:t>
            </w:r>
            <w:r>
              <w:rPr>
                <w:noProof/>
                <w:sz w:val="20"/>
                <w:szCs w:val="20"/>
              </w:rPr>
              <w:t xml:space="preserve"> </w:t>
            </w:r>
            <w:r w:rsidRPr="00063F61">
              <w:rPr>
                <w:noProof/>
                <w:sz w:val="20"/>
                <w:szCs w:val="20"/>
              </w:rPr>
              <w:t xml:space="preserve">790 </w:t>
            </w:r>
          </w:p>
        </w:tc>
        <w:tc>
          <w:tcPr>
            <w:tcW w:w="1417" w:type="dxa"/>
            <w:noWrap/>
          </w:tcPr>
          <w:p w14:paraId="0CA4FC2F" w14:textId="1BDBDB35"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42</w:t>
            </w:r>
            <w:r>
              <w:rPr>
                <w:noProof/>
                <w:sz w:val="20"/>
                <w:szCs w:val="20"/>
              </w:rPr>
              <w:t xml:space="preserve"> </w:t>
            </w:r>
            <w:r w:rsidRPr="00063F61">
              <w:rPr>
                <w:noProof/>
                <w:sz w:val="20"/>
                <w:szCs w:val="20"/>
              </w:rPr>
              <w:t>520</w:t>
            </w:r>
            <w:r>
              <w:rPr>
                <w:noProof/>
                <w:sz w:val="20"/>
                <w:szCs w:val="20"/>
              </w:rPr>
              <w:t xml:space="preserve"> </w:t>
            </w:r>
            <w:r w:rsidRPr="00063F61">
              <w:rPr>
                <w:noProof/>
                <w:sz w:val="20"/>
                <w:szCs w:val="20"/>
              </w:rPr>
              <w:t xml:space="preserve">790 </w:t>
            </w:r>
          </w:p>
        </w:tc>
      </w:tr>
      <w:tr w:rsidR="00A14B05" w:rsidRPr="00397C78" w14:paraId="336FEE08" w14:textId="77777777">
        <w:trPr>
          <w:trHeight w:val="283"/>
        </w:trPr>
        <w:tc>
          <w:tcPr>
            <w:tcW w:w="2127" w:type="dxa"/>
            <w:noWrap/>
            <w:vAlign w:val="center"/>
            <w:hideMark/>
          </w:tcPr>
          <w:p w14:paraId="207C44DC" w14:textId="77777777" w:rsidR="00A14B05" w:rsidRPr="00FA63C0" w:rsidRDefault="00A14B05" w:rsidP="00A14B05">
            <w:pPr>
              <w:spacing w:after="0"/>
              <w:jc w:val="left"/>
              <w:rPr>
                <w:i/>
                <w:iCs/>
                <w:noProof/>
                <w:sz w:val="20"/>
                <w:szCs w:val="20"/>
                <w:lang w:val="en-IE" w:eastAsia="en-IE"/>
              </w:rPr>
            </w:pPr>
            <w:r w:rsidRPr="00FA63C0">
              <w:rPr>
                <w:i/>
                <w:iCs/>
                <w:noProof/>
                <w:sz w:val="20"/>
                <w:szCs w:val="20"/>
                <w:lang w:val="en-IE" w:eastAsia="en-IE"/>
              </w:rPr>
              <w:t>one-off adjustment</w:t>
            </w:r>
          </w:p>
        </w:tc>
        <w:tc>
          <w:tcPr>
            <w:tcW w:w="1417" w:type="dxa"/>
            <w:vAlign w:val="center"/>
          </w:tcPr>
          <w:p w14:paraId="5A6A7906" w14:textId="009A93A1" w:rsidR="00A14B05" w:rsidRPr="00FA63C0" w:rsidRDefault="008B4678" w:rsidP="00A14B05">
            <w:pPr>
              <w:spacing w:after="0"/>
              <w:jc w:val="right"/>
              <w:rPr>
                <w:noProof/>
                <w:sz w:val="20"/>
                <w:szCs w:val="20"/>
                <w:lang w:val="en-IE" w:eastAsia="en-IE"/>
              </w:rPr>
            </w:pPr>
            <w:r w:rsidRPr="00FA63C0">
              <w:rPr>
                <w:noProof/>
                <w:sz w:val="20"/>
                <w:szCs w:val="20"/>
              </w:rPr>
              <w:t xml:space="preserve"> </w:t>
            </w:r>
            <w:r w:rsidR="00C83409">
              <w:rPr>
                <w:noProof/>
                <w:sz w:val="20"/>
                <w:szCs w:val="20"/>
              </w:rPr>
              <w:t>10 375 852</w:t>
            </w:r>
            <w:r w:rsidRPr="00FA63C0">
              <w:rPr>
                <w:noProof/>
                <w:sz w:val="20"/>
                <w:szCs w:val="20"/>
              </w:rPr>
              <w:t xml:space="preserve">   </w:t>
            </w:r>
          </w:p>
        </w:tc>
        <w:tc>
          <w:tcPr>
            <w:tcW w:w="1134" w:type="dxa"/>
          </w:tcPr>
          <w:p w14:paraId="41B1B17F" w14:textId="33FFC4F1" w:rsidR="00A14B05" w:rsidRPr="00CD1E9D" w:rsidRDefault="008B4678" w:rsidP="00A14B05">
            <w:pPr>
              <w:spacing w:after="0"/>
              <w:jc w:val="right"/>
              <w:rPr>
                <w:noProof/>
                <w:sz w:val="20"/>
                <w:szCs w:val="20"/>
                <w:lang w:val="en-IE" w:eastAsia="en-IE"/>
              </w:rPr>
            </w:pPr>
            <w:r w:rsidRPr="008B4678">
              <w:rPr>
                <w:noProof/>
                <w:sz w:val="20"/>
                <w:szCs w:val="20"/>
              </w:rPr>
              <w:t xml:space="preserve"> </w:t>
            </w:r>
            <w:r>
              <w:rPr>
                <w:noProof/>
                <w:sz w:val="20"/>
                <w:szCs w:val="20"/>
              </w:rPr>
              <w:t xml:space="preserve"> </w:t>
            </w:r>
            <w:r w:rsidRPr="008B4678">
              <w:rPr>
                <w:noProof/>
                <w:sz w:val="20"/>
                <w:szCs w:val="20"/>
              </w:rPr>
              <w:t>9</w:t>
            </w:r>
            <w:r>
              <w:rPr>
                <w:noProof/>
                <w:sz w:val="20"/>
                <w:szCs w:val="20"/>
              </w:rPr>
              <w:t xml:space="preserve"> </w:t>
            </w:r>
            <w:r w:rsidRPr="008B4678">
              <w:rPr>
                <w:noProof/>
                <w:sz w:val="20"/>
                <w:szCs w:val="20"/>
              </w:rPr>
              <w:t>940</w:t>
            </w:r>
            <w:r>
              <w:rPr>
                <w:noProof/>
                <w:sz w:val="20"/>
                <w:szCs w:val="20"/>
              </w:rPr>
              <w:t xml:space="preserve"> </w:t>
            </w:r>
            <w:r w:rsidRPr="008B4678">
              <w:rPr>
                <w:noProof/>
                <w:sz w:val="20"/>
                <w:szCs w:val="20"/>
              </w:rPr>
              <w:t xml:space="preserve">446 </w:t>
            </w:r>
          </w:p>
        </w:tc>
        <w:tc>
          <w:tcPr>
            <w:tcW w:w="1134" w:type="dxa"/>
          </w:tcPr>
          <w:p w14:paraId="58F33891" w14:textId="4DAF5398" w:rsidR="00A14B05" w:rsidRPr="00A14B05" w:rsidRDefault="00A14B05" w:rsidP="00A14B05">
            <w:pPr>
              <w:spacing w:after="0"/>
              <w:jc w:val="right"/>
              <w:rPr>
                <w:noProof/>
                <w:sz w:val="20"/>
                <w:szCs w:val="20"/>
                <w:lang w:val="en-IE" w:eastAsia="en-IE"/>
              </w:rPr>
            </w:pPr>
            <w:r w:rsidRPr="00082E1B">
              <w:rPr>
                <w:noProof/>
                <w:sz w:val="20"/>
                <w:szCs w:val="20"/>
              </w:rPr>
              <w:t xml:space="preserve"> </w:t>
            </w:r>
            <w:r>
              <w:rPr>
                <w:noProof/>
                <w:sz w:val="20"/>
                <w:szCs w:val="20"/>
              </w:rPr>
              <w:t xml:space="preserve"> </w:t>
            </w:r>
            <w:r w:rsidRPr="00082E1B">
              <w:rPr>
                <w:noProof/>
                <w:sz w:val="20"/>
                <w:szCs w:val="20"/>
              </w:rPr>
              <w:t>2</w:t>
            </w:r>
            <w:r>
              <w:rPr>
                <w:noProof/>
                <w:sz w:val="20"/>
                <w:szCs w:val="20"/>
              </w:rPr>
              <w:t xml:space="preserve"> </w:t>
            </w:r>
            <w:r w:rsidRPr="00082E1B">
              <w:rPr>
                <w:noProof/>
                <w:sz w:val="20"/>
                <w:szCs w:val="20"/>
              </w:rPr>
              <w:t>596</w:t>
            </w:r>
            <w:r>
              <w:rPr>
                <w:noProof/>
                <w:sz w:val="20"/>
                <w:szCs w:val="20"/>
              </w:rPr>
              <w:t xml:space="preserve"> </w:t>
            </w:r>
            <w:r w:rsidRPr="00082E1B">
              <w:rPr>
                <w:noProof/>
                <w:sz w:val="20"/>
                <w:szCs w:val="20"/>
              </w:rPr>
              <w:t xml:space="preserve">263 </w:t>
            </w:r>
          </w:p>
        </w:tc>
        <w:tc>
          <w:tcPr>
            <w:tcW w:w="1338" w:type="dxa"/>
            <w:noWrap/>
          </w:tcPr>
          <w:p w14:paraId="05CDEDF1" w14:textId="7BC10EA2"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22</w:t>
            </w:r>
            <w:r>
              <w:rPr>
                <w:noProof/>
                <w:sz w:val="20"/>
                <w:szCs w:val="20"/>
              </w:rPr>
              <w:t xml:space="preserve"> </w:t>
            </w:r>
            <w:r w:rsidRPr="00063F61">
              <w:rPr>
                <w:noProof/>
                <w:sz w:val="20"/>
                <w:szCs w:val="20"/>
              </w:rPr>
              <w:t>912</w:t>
            </w:r>
            <w:r>
              <w:rPr>
                <w:noProof/>
                <w:sz w:val="20"/>
                <w:szCs w:val="20"/>
              </w:rPr>
              <w:t xml:space="preserve"> </w:t>
            </w:r>
            <w:r w:rsidRPr="00063F61">
              <w:rPr>
                <w:noProof/>
                <w:sz w:val="20"/>
                <w:szCs w:val="20"/>
              </w:rPr>
              <w:t xml:space="preserve">560 </w:t>
            </w:r>
          </w:p>
        </w:tc>
        <w:tc>
          <w:tcPr>
            <w:tcW w:w="1418" w:type="dxa"/>
            <w:noWrap/>
          </w:tcPr>
          <w:p w14:paraId="482DF32B" w14:textId="26A33A58"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13</w:t>
            </w:r>
            <w:r>
              <w:rPr>
                <w:noProof/>
                <w:sz w:val="20"/>
                <w:szCs w:val="20"/>
              </w:rPr>
              <w:t xml:space="preserve"> </w:t>
            </w:r>
            <w:r w:rsidRPr="00063F61">
              <w:rPr>
                <w:noProof/>
                <w:sz w:val="20"/>
                <w:szCs w:val="20"/>
              </w:rPr>
              <w:t>728</w:t>
            </w:r>
            <w:r>
              <w:rPr>
                <w:noProof/>
                <w:sz w:val="20"/>
                <w:szCs w:val="20"/>
              </w:rPr>
              <w:t xml:space="preserve"> </w:t>
            </w:r>
            <w:r w:rsidRPr="00063F61">
              <w:rPr>
                <w:noProof/>
                <w:sz w:val="20"/>
                <w:szCs w:val="20"/>
              </w:rPr>
              <w:t xml:space="preserve">731 </w:t>
            </w:r>
          </w:p>
        </w:tc>
        <w:tc>
          <w:tcPr>
            <w:tcW w:w="1417" w:type="dxa"/>
            <w:noWrap/>
          </w:tcPr>
          <w:p w14:paraId="25D69070" w14:textId="18093634"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37</w:t>
            </w:r>
            <w:r>
              <w:rPr>
                <w:noProof/>
                <w:sz w:val="20"/>
                <w:szCs w:val="20"/>
              </w:rPr>
              <w:t xml:space="preserve"> </w:t>
            </w:r>
            <w:r w:rsidRPr="00063F61">
              <w:rPr>
                <w:noProof/>
                <w:sz w:val="20"/>
                <w:szCs w:val="20"/>
              </w:rPr>
              <w:t>475</w:t>
            </w:r>
            <w:r>
              <w:rPr>
                <w:noProof/>
                <w:sz w:val="20"/>
                <w:szCs w:val="20"/>
              </w:rPr>
              <w:t xml:space="preserve"> </w:t>
            </w:r>
            <w:r w:rsidRPr="00063F61">
              <w:rPr>
                <w:noProof/>
                <w:sz w:val="20"/>
                <w:szCs w:val="20"/>
              </w:rPr>
              <w:t xml:space="preserve">850 </w:t>
            </w:r>
          </w:p>
        </w:tc>
      </w:tr>
      <w:tr w:rsidR="00A14B05" w:rsidRPr="00397C78" w14:paraId="303D5775" w14:textId="77777777">
        <w:trPr>
          <w:trHeight w:val="283"/>
        </w:trPr>
        <w:tc>
          <w:tcPr>
            <w:tcW w:w="2127" w:type="dxa"/>
            <w:noWrap/>
            <w:vAlign w:val="center"/>
            <w:hideMark/>
          </w:tcPr>
          <w:p w14:paraId="680B7E79" w14:textId="77777777" w:rsidR="00A14B05" w:rsidRPr="00FA63C0" w:rsidRDefault="00A14B05" w:rsidP="00A14B05">
            <w:pPr>
              <w:spacing w:after="0"/>
              <w:jc w:val="left"/>
              <w:rPr>
                <w:i/>
                <w:iCs/>
                <w:noProof/>
                <w:sz w:val="20"/>
                <w:szCs w:val="20"/>
                <w:lang w:val="en-IE" w:eastAsia="en-IE"/>
              </w:rPr>
            </w:pPr>
            <w:r w:rsidRPr="00FA63C0">
              <w:rPr>
                <w:i/>
                <w:iCs/>
                <w:noProof/>
                <w:sz w:val="20"/>
                <w:szCs w:val="20"/>
                <w:lang w:val="en-IE" w:eastAsia="en-IE"/>
              </w:rPr>
              <w:t>recurrent adjustment</w:t>
            </w:r>
          </w:p>
        </w:tc>
        <w:tc>
          <w:tcPr>
            <w:tcW w:w="1417" w:type="dxa"/>
            <w:vAlign w:val="center"/>
          </w:tcPr>
          <w:p w14:paraId="1BFFD26F" w14:textId="27B0DC6C" w:rsidR="00A14B05" w:rsidRPr="00FA63C0" w:rsidRDefault="00A14B05" w:rsidP="00A14B05">
            <w:pPr>
              <w:spacing w:after="0"/>
              <w:jc w:val="right"/>
              <w:rPr>
                <w:noProof/>
                <w:sz w:val="20"/>
                <w:szCs w:val="20"/>
                <w:lang w:val="en-IE" w:eastAsia="en-IE"/>
              </w:rPr>
            </w:pPr>
            <w:r w:rsidRPr="00FA63C0">
              <w:rPr>
                <w:noProof/>
                <w:sz w:val="20"/>
                <w:szCs w:val="20"/>
              </w:rPr>
              <w:t xml:space="preserve"> -   </w:t>
            </w:r>
          </w:p>
        </w:tc>
        <w:tc>
          <w:tcPr>
            <w:tcW w:w="1134" w:type="dxa"/>
          </w:tcPr>
          <w:p w14:paraId="4038A412" w14:textId="638A1DFB" w:rsidR="00A14B05" w:rsidRPr="00CD1E9D" w:rsidRDefault="008B4678" w:rsidP="00A14B05">
            <w:pPr>
              <w:spacing w:after="0"/>
              <w:jc w:val="right"/>
              <w:rPr>
                <w:noProof/>
                <w:sz w:val="20"/>
                <w:szCs w:val="20"/>
                <w:lang w:val="en-IE" w:eastAsia="en-IE"/>
              </w:rPr>
            </w:pPr>
            <w:r w:rsidRPr="008B4678">
              <w:rPr>
                <w:noProof/>
                <w:sz w:val="20"/>
                <w:szCs w:val="20"/>
              </w:rPr>
              <w:t xml:space="preserve"> </w:t>
            </w:r>
            <w:r>
              <w:rPr>
                <w:noProof/>
                <w:sz w:val="20"/>
                <w:szCs w:val="20"/>
              </w:rPr>
              <w:t xml:space="preserve"> </w:t>
            </w:r>
            <w:r w:rsidRPr="008B4678">
              <w:rPr>
                <w:noProof/>
                <w:sz w:val="20"/>
                <w:szCs w:val="20"/>
              </w:rPr>
              <w:t>38</w:t>
            </w:r>
            <w:r>
              <w:rPr>
                <w:noProof/>
                <w:sz w:val="20"/>
                <w:szCs w:val="20"/>
              </w:rPr>
              <w:t xml:space="preserve"> </w:t>
            </w:r>
            <w:r w:rsidRPr="008B4678">
              <w:rPr>
                <w:noProof/>
                <w:sz w:val="20"/>
                <w:szCs w:val="20"/>
              </w:rPr>
              <w:t>698</w:t>
            </w:r>
            <w:r>
              <w:rPr>
                <w:noProof/>
                <w:sz w:val="20"/>
                <w:szCs w:val="20"/>
              </w:rPr>
              <w:t xml:space="preserve"> </w:t>
            </w:r>
            <w:r w:rsidRPr="008B4678">
              <w:rPr>
                <w:noProof/>
                <w:sz w:val="20"/>
                <w:szCs w:val="20"/>
              </w:rPr>
              <w:t xml:space="preserve">697 </w:t>
            </w:r>
          </w:p>
        </w:tc>
        <w:tc>
          <w:tcPr>
            <w:tcW w:w="1134" w:type="dxa"/>
          </w:tcPr>
          <w:p w14:paraId="57FB25C6" w14:textId="55ED6697" w:rsidR="00A14B05" w:rsidRPr="00A14B05" w:rsidRDefault="00A14B05" w:rsidP="00A14B05">
            <w:pPr>
              <w:spacing w:after="0"/>
              <w:jc w:val="right"/>
              <w:rPr>
                <w:noProof/>
                <w:sz w:val="20"/>
                <w:szCs w:val="20"/>
                <w:lang w:val="en-IE" w:eastAsia="en-IE"/>
              </w:rPr>
            </w:pPr>
            <w:r w:rsidRPr="00082E1B">
              <w:rPr>
                <w:noProof/>
                <w:sz w:val="20"/>
                <w:szCs w:val="20"/>
              </w:rPr>
              <w:t xml:space="preserve"> </w:t>
            </w:r>
            <w:r>
              <w:rPr>
                <w:noProof/>
                <w:sz w:val="20"/>
                <w:szCs w:val="20"/>
              </w:rPr>
              <w:t xml:space="preserve"> </w:t>
            </w:r>
            <w:r w:rsidRPr="00082E1B">
              <w:rPr>
                <w:noProof/>
                <w:sz w:val="20"/>
                <w:szCs w:val="20"/>
              </w:rPr>
              <w:t>9</w:t>
            </w:r>
            <w:r>
              <w:rPr>
                <w:noProof/>
                <w:sz w:val="20"/>
                <w:szCs w:val="20"/>
              </w:rPr>
              <w:t xml:space="preserve"> </w:t>
            </w:r>
            <w:r w:rsidRPr="00082E1B">
              <w:rPr>
                <w:noProof/>
                <w:sz w:val="20"/>
                <w:szCs w:val="20"/>
              </w:rPr>
              <w:t>682</w:t>
            </w:r>
            <w:r>
              <w:rPr>
                <w:noProof/>
                <w:sz w:val="20"/>
                <w:szCs w:val="20"/>
              </w:rPr>
              <w:t xml:space="preserve"> </w:t>
            </w:r>
            <w:r w:rsidRPr="00082E1B">
              <w:rPr>
                <w:noProof/>
                <w:sz w:val="20"/>
                <w:szCs w:val="20"/>
              </w:rPr>
              <w:t xml:space="preserve">334 </w:t>
            </w:r>
          </w:p>
        </w:tc>
        <w:tc>
          <w:tcPr>
            <w:tcW w:w="1338" w:type="dxa"/>
            <w:noWrap/>
          </w:tcPr>
          <w:p w14:paraId="58E4F199" w14:textId="4355DFC5"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48</w:t>
            </w:r>
            <w:r>
              <w:rPr>
                <w:noProof/>
                <w:sz w:val="20"/>
                <w:szCs w:val="20"/>
              </w:rPr>
              <w:t xml:space="preserve"> </w:t>
            </w:r>
            <w:r w:rsidRPr="00063F61">
              <w:rPr>
                <w:noProof/>
                <w:sz w:val="20"/>
                <w:szCs w:val="20"/>
              </w:rPr>
              <w:t>381</w:t>
            </w:r>
            <w:r>
              <w:rPr>
                <w:noProof/>
                <w:sz w:val="20"/>
                <w:szCs w:val="20"/>
              </w:rPr>
              <w:t xml:space="preserve"> </w:t>
            </w:r>
            <w:r w:rsidRPr="00063F61">
              <w:rPr>
                <w:noProof/>
                <w:sz w:val="20"/>
                <w:szCs w:val="20"/>
              </w:rPr>
              <w:t xml:space="preserve">031 </w:t>
            </w:r>
          </w:p>
        </w:tc>
        <w:tc>
          <w:tcPr>
            <w:tcW w:w="1418" w:type="dxa"/>
            <w:noWrap/>
          </w:tcPr>
          <w:p w14:paraId="62155E29" w14:textId="2B1DBAE4"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48</w:t>
            </w:r>
            <w:r>
              <w:rPr>
                <w:noProof/>
                <w:sz w:val="20"/>
                <w:szCs w:val="20"/>
              </w:rPr>
              <w:t xml:space="preserve"> </w:t>
            </w:r>
            <w:r w:rsidRPr="00063F61">
              <w:rPr>
                <w:noProof/>
                <w:sz w:val="20"/>
                <w:szCs w:val="20"/>
              </w:rPr>
              <w:t>381</w:t>
            </w:r>
            <w:r>
              <w:rPr>
                <w:noProof/>
                <w:sz w:val="20"/>
                <w:szCs w:val="20"/>
              </w:rPr>
              <w:t xml:space="preserve"> </w:t>
            </w:r>
            <w:r w:rsidRPr="00063F61">
              <w:rPr>
                <w:noProof/>
                <w:sz w:val="20"/>
                <w:szCs w:val="20"/>
              </w:rPr>
              <w:t xml:space="preserve">031 </w:t>
            </w:r>
          </w:p>
        </w:tc>
        <w:tc>
          <w:tcPr>
            <w:tcW w:w="1417" w:type="dxa"/>
            <w:noWrap/>
          </w:tcPr>
          <w:p w14:paraId="68CA3417" w14:textId="7262B36E" w:rsidR="00A14B05" w:rsidRPr="00241569" w:rsidRDefault="00063F61" w:rsidP="00A14B05">
            <w:pPr>
              <w:spacing w:after="0"/>
              <w:jc w:val="right"/>
              <w:rPr>
                <w:noProof/>
                <w:sz w:val="20"/>
                <w:szCs w:val="20"/>
                <w:lang w:val="en-IE" w:eastAsia="en-IE"/>
              </w:rPr>
            </w:pPr>
            <w:r w:rsidRPr="00063F61">
              <w:rPr>
                <w:noProof/>
                <w:sz w:val="20"/>
                <w:szCs w:val="20"/>
              </w:rPr>
              <w:t xml:space="preserve"> </w:t>
            </w:r>
            <w:r>
              <w:rPr>
                <w:noProof/>
                <w:sz w:val="20"/>
                <w:szCs w:val="20"/>
              </w:rPr>
              <w:t xml:space="preserve"> </w:t>
            </w:r>
            <w:r w:rsidRPr="00063F61">
              <w:rPr>
                <w:noProof/>
                <w:sz w:val="20"/>
                <w:szCs w:val="20"/>
              </w:rPr>
              <w:t>48</w:t>
            </w:r>
            <w:r>
              <w:rPr>
                <w:noProof/>
                <w:sz w:val="20"/>
                <w:szCs w:val="20"/>
              </w:rPr>
              <w:t xml:space="preserve"> </w:t>
            </w:r>
            <w:r w:rsidRPr="00063F61">
              <w:rPr>
                <w:noProof/>
                <w:sz w:val="20"/>
                <w:szCs w:val="20"/>
              </w:rPr>
              <w:t>381</w:t>
            </w:r>
            <w:r>
              <w:rPr>
                <w:noProof/>
                <w:sz w:val="20"/>
                <w:szCs w:val="20"/>
              </w:rPr>
              <w:t xml:space="preserve"> </w:t>
            </w:r>
            <w:r w:rsidRPr="00063F61">
              <w:rPr>
                <w:noProof/>
                <w:sz w:val="20"/>
                <w:szCs w:val="20"/>
              </w:rPr>
              <w:t xml:space="preserve">031 </w:t>
            </w:r>
          </w:p>
        </w:tc>
      </w:tr>
      <w:tr w:rsidR="00927281" w:rsidRPr="000A7265" w14:paraId="1471DE0C" w14:textId="77777777" w:rsidTr="00082E1B">
        <w:trPr>
          <w:trHeight w:val="283"/>
        </w:trPr>
        <w:tc>
          <w:tcPr>
            <w:tcW w:w="2127" w:type="dxa"/>
            <w:noWrap/>
            <w:vAlign w:val="center"/>
            <w:hideMark/>
          </w:tcPr>
          <w:p w14:paraId="3C50FC12" w14:textId="77777777" w:rsidR="00927281" w:rsidRPr="00FA63C0" w:rsidRDefault="00927281" w:rsidP="00927281">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417" w:type="dxa"/>
            <w:vAlign w:val="center"/>
          </w:tcPr>
          <w:p w14:paraId="09E30CD8" w14:textId="7FE7034D"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134" w:type="dxa"/>
            <w:vAlign w:val="center"/>
          </w:tcPr>
          <w:p w14:paraId="667066D3" w14:textId="5C769B54" w:rsidR="00927281" w:rsidRPr="00FA63C0" w:rsidRDefault="00927281" w:rsidP="00927281">
            <w:pPr>
              <w:spacing w:after="0"/>
              <w:jc w:val="right"/>
              <w:rPr>
                <w:noProof/>
                <w:sz w:val="20"/>
                <w:szCs w:val="20"/>
                <w:lang w:val="en-IE" w:eastAsia="en-IE"/>
              </w:rPr>
            </w:pPr>
            <w:r w:rsidRPr="00FA63C0">
              <w:rPr>
                <w:noProof/>
                <w:sz w:val="20"/>
                <w:szCs w:val="20"/>
              </w:rPr>
              <w:t xml:space="preserve">-   </w:t>
            </w:r>
          </w:p>
        </w:tc>
        <w:tc>
          <w:tcPr>
            <w:tcW w:w="1134" w:type="dxa"/>
            <w:vAlign w:val="center"/>
          </w:tcPr>
          <w:p w14:paraId="01259AE0" w14:textId="4D31D72E"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338" w:type="dxa"/>
            <w:noWrap/>
            <w:vAlign w:val="center"/>
          </w:tcPr>
          <w:p w14:paraId="1AB33E45"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c>
          <w:tcPr>
            <w:tcW w:w="1418" w:type="dxa"/>
            <w:noWrap/>
            <w:vAlign w:val="center"/>
          </w:tcPr>
          <w:p w14:paraId="6968AE10"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w:t>
            </w:r>
          </w:p>
        </w:tc>
        <w:tc>
          <w:tcPr>
            <w:tcW w:w="1417" w:type="dxa"/>
            <w:noWrap/>
            <w:vAlign w:val="center"/>
          </w:tcPr>
          <w:p w14:paraId="6FEA8EB6"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r>
      <w:tr w:rsidR="00927281" w:rsidRPr="000A7265" w14:paraId="39520901" w14:textId="77777777" w:rsidTr="00082E1B">
        <w:trPr>
          <w:trHeight w:val="283"/>
        </w:trPr>
        <w:tc>
          <w:tcPr>
            <w:tcW w:w="2127" w:type="dxa"/>
            <w:noWrap/>
            <w:vAlign w:val="center"/>
            <w:hideMark/>
          </w:tcPr>
          <w:p w14:paraId="6F6024A2" w14:textId="77777777" w:rsidR="00927281" w:rsidRPr="00FA63C0" w:rsidRDefault="00927281" w:rsidP="00927281">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417" w:type="dxa"/>
            <w:vAlign w:val="center"/>
          </w:tcPr>
          <w:p w14:paraId="566A567B" w14:textId="0C18EE9C"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134" w:type="dxa"/>
            <w:vAlign w:val="center"/>
          </w:tcPr>
          <w:p w14:paraId="4884A1CC" w14:textId="3386838E" w:rsidR="00927281" w:rsidRPr="00FA63C0" w:rsidRDefault="00927281" w:rsidP="00927281">
            <w:pPr>
              <w:spacing w:after="0"/>
              <w:jc w:val="right"/>
              <w:rPr>
                <w:noProof/>
                <w:sz w:val="20"/>
                <w:szCs w:val="20"/>
                <w:lang w:val="en-IE" w:eastAsia="en-IE"/>
              </w:rPr>
            </w:pPr>
            <w:r w:rsidRPr="00FA63C0">
              <w:rPr>
                <w:noProof/>
                <w:sz w:val="20"/>
                <w:szCs w:val="20"/>
              </w:rPr>
              <w:t xml:space="preserve">-   </w:t>
            </w:r>
          </w:p>
        </w:tc>
        <w:tc>
          <w:tcPr>
            <w:tcW w:w="1134" w:type="dxa"/>
            <w:vAlign w:val="center"/>
          </w:tcPr>
          <w:p w14:paraId="233FE547" w14:textId="4A71B0DB"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338" w:type="dxa"/>
            <w:noWrap/>
            <w:vAlign w:val="center"/>
          </w:tcPr>
          <w:p w14:paraId="654BAA49"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c>
          <w:tcPr>
            <w:tcW w:w="1418" w:type="dxa"/>
            <w:noWrap/>
            <w:vAlign w:val="center"/>
          </w:tcPr>
          <w:p w14:paraId="22D09607"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w:t>
            </w:r>
          </w:p>
        </w:tc>
        <w:tc>
          <w:tcPr>
            <w:tcW w:w="1417" w:type="dxa"/>
            <w:noWrap/>
            <w:vAlign w:val="center"/>
          </w:tcPr>
          <w:p w14:paraId="37184669"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r>
      <w:tr w:rsidR="00927281" w:rsidRPr="000A7265" w14:paraId="7B80AAC4" w14:textId="77777777" w:rsidTr="00082E1B">
        <w:trPr>
          <w:trHeight w:val="283"/>
        </w:trPr>
        <w:tc>
          <w:tcPr>
            <w:tcW w:w="2127" w:type="dxa"/>
            <w:noWrap/>
            <w:vAlign w:val="center"/>
            <w:hideMark/>
          </w:tcPr>
          <w:p w14:paraId="1B30438E" w14:textId="77777777" w:rsidR="00927281" w:rsidRPr="00FA63C0" w:rsidRDefault="00927281" w:rsidP="00927281">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417" w:type="dxa"/>
            <w:vAlign w:val="center"/>
          </w:tcPr>
          <w:p w14:paraId="259C7069" w14:textId="069AAC56"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134" w:type="dxa"/>
            <w:vAlign w:val="center"/>
          </w:tcPr>
          <w:p w14:paraId="7D912D1B" w14:textId="76D20C7F" w:rsidR="00927281" w:rsidRPr="00FA63C0" w:rsidRDefault="00927281" w:rsidP="00927281">
            <w:pPr>
              <w:spacing w:after="0"/>
              <w:jc w:val="right"/>
              <w:rPr>
                <w:noProof/>
                <w:sz w:val="20"/>
                <w:szCs w:val="20"/>
                <w:lang w:val="en-IE" w:eastAsia="en-IE"/>
              </w:rPr>
            </w:pPr>
            <w:r w:rsidRPr="00FA63C0">
              <w:rPr>
                <w:noProof/>
                <w:sz w:val="20"/>
                <w:szCs w:val="20"/>
              </w:rPr>
              <w:t xml:space="preserve">-   </w:t>
            </w:r>
          </w:p>
        </w:tc>
        <w:tc>
          <w:tcPr>
            <w:tcW w:w="1134" w:type="dxa"/>
            <w:vAlign w:val="center"/>
          </w:tcPr>
          <w:p w14:paraId="457C5128" w14:textId="7336593F"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338" w:type="dxa"/>
            <w:noWrap/>
            <w:vAlign w:val="center"/>
          </w:tcPr>
          <w:p w14:paraId="4D42382F"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c>
          <w:tcPr>
            <w:tcW w:w="1418" w:type="dxa"/>
            <w:noWrap/>
            <w:vAlign w:val="center"/>
          </w:tcPr>
          <w:p w14:paraId="007235F3"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w:t>
            </w:r>
          </w:p>
        </w:tc>
        <w:tc>
          <w:tcPr>
            <w:tcW w:w="1417" w:type="dxa"/>
            <w:noWrap/>
            <w:vAlign w:val="center"/>
          </w:tcPr>
          <w:p w14:paraId="388C5AB5" w14:textId="77777777" w:rsidR="00927281" w:rsidRPr="000A7265" w:rsidRDefault="00927281" w:rsidP="00927281">
            <w:pPr>
              <w:spacing w:after="0"/>
              <w:jc w:val="right"/>
              <w:rPr>
                <w:noProof/>
                <w:sz w:val="20"/>
                <w:szCs w:val="20"/>
                <w:lang w:val="en-IE" w:eastAsia="en-IE"/>
              </w:rPr>
            </w:pPr>
            <w:r w:rsidRPr="00FA63C0">
              <w:rPr>
                <w:noProof/>
                <w:sz w:val="20"/>
                <w:szCs w:val="20"/>
              </w:rPr>
              <w:t xml:space="preserve"> -   </w:t>
            </w:r>
          </w:p>
        </w:tc>
      </w:tr>
      <w:tr w:rsidR="00927281" w:rsidRPr="00A53ED9" w14:paraId="0AF7687B" w14:textId="77777777" w:rsidTr="00082E1B">
        <w:trPr>
          <w:trHeight w:val="283"/>
        </w:trPr>
        <w:tc>
          <w:tcPr>
            <w:tcW w:w="2127" w:type="dxa"/>
            <w:noWrap/>
            <w:vAlign w:val="center"/>
            <w:hideMark/>
          </w:tcPr>
          <w:p w14:paraId="122424C8" w14:textId="77777777" w:rsidR="00927281" w:rsidRPr="00FA63C0" w:rsidRDefault="00927281" w:rsidP="00927281">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417" w:type="dxa"/>
            <w:vAlign w:val="center"/>
          </w:tcPr>
          <w:p w14:paraId="0FA3BEA3" w14:textId="070AC27F"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134" w:type="dxa"/>
            <w:vAlign w:val="center"/>
          </w:tcPr>
          <w:p w14:paraId="17D52C9D" w14:textId="42D4384F" w:rsidR="00927281" w:rsidRPr="00FA63C0" w:rsidRDefault="00927281" w:rsidP="00927281">
            <w:pPr>
              <w:spacing w:after="0"/>
              <w:jc w:val="right"/>
              <w:rPr>
                <w:noProof/>
                <w:sz w:val="20"/>
                <w:szCs w:val="20"/>
                <w:lang w:val="en-IE" w:eastAsia="en-IE"/>
              </w:rPr>
            </w:pPr>
            <w:r w:rsidRPr="00FA63C0">
              <w:rPr>
                <w:noProof/>
                <w:sz w:val="20"/>
                <w:szCs w:val="20"/>
              </w:rPr>
              <w:t xml:space="preserve">-   </w:t>
            </w:r>
          </w:p>
        </w:tc>
        <w:tc>
          <w:tcPr>
            <w:tcW w:w="1134" w:type="dxa"/>
            <w:vAlign w:val="center"/>
          </w:tcPr>
          <w:p w14:paraId="681D3BC1" w14:textId="6281150D" w:rsidR="00927281" w:rsidRPr="00FA63C0" w:rsidRDefault="00927281" w:rsidP="00927281">
            <w:pPr>
              <w:spacing w:after="0"/>
              <w:jc w:val="right"/>
              <w:rPr>
                <w:noProof/>
                <w:sz w:val="20"/>
                <w:szCs w:val="20"/>
                <w:lang w:val="en-IE" w:eastAsia="en-IE"/>
              </w:rPr>
            </w:pPr>
            <w:r w:rsidRPr="00FA63C0">
              <w:rPr>
                <w:noProof/>
                <w:sz w:val="20"/>
                <w:szCs w:val="20"/>
              </w:rPr>
              <w:t xml:space="preserve"> -   </w:t>
            </w:r>
          </w:p>
        </w:tc>
        <w:tc>
          <w:tcPr>
            <w:tcW w:w="1338" w:type="dxa"/>
            <w:noWrap/>
            <w:vAlign w:val="center"/>
          </w:tcPr>
          <w:p w14:paraId="448A4835" w14:textId="77777777" w:rsidR="00927281" w:rsidRPr="00A53ED9" w:rsidRDefault="00927281" w:rsidP="00927281">
            <w:pPr>
              <w:spacing w:after="0"/>
              <w:jc w:val="right"/>
              <w:rPr>
                <w:noProof/>
                <w:sz w:val="20"/>
                <w:szCs w:val="20"/>
                <w:lang w:val="en-IE" w:eastAsia="en-IE"/>
              </w:rPr>
            </w:pPr>
            <w:r w:rsidRPr="00FA63C0">
              <w:rPr>
                <w:noProof/>
                <w:sz w:val="20"/>
                <w:szCs w:val="20"/>
              </w:rPr>
              <w:t xml:space="preserve"> -   </w:t>
            </w:r>
          </w:p>
        </w:tc>
        <w:tc>
          <w:tcPr>
            <w:tcW w:w="1418" w:type="dxa"/>
            <w:noWrap/>
            <w:vAlign w:val="center"/>
          </w:tcPr>
          <w:p w14:paraId="08010514" w14:textId="77777777" w:rsidR="00927281" w:rsidRPr="00A53ED9" w:rsidRDefault="00927281" w:rsidP="00927281">
            <w:pPr>
              <w:spacing w:after="0"/>
              <w:jc w:val="right"/>
              <w:rPr>
                <w:noProof/>
                <w:sz w:val="20"/>
                <w:szCs w:val="20"/>
                <w:lang w:val="en-IE" w:eastAsia="en-IE"/>
              </w:rPr>
            </w:pPr>
            <w:r w:rsidRPr="00FA63C0">
              <w:rPr>
                <w:noProof/>
                <w:sz w:val="20"/>
                <w:szCs w:val="20"/>
              </w:rPr>
              <w:t xml:space="preserve">-   </w:t>
            </w:r>
          </w:p>
        </w:tc>
        <w:tc>
          <w:tcPr>
            <w:tcW w:w="1417" w:type="dxa"/>
            <w:noWrap/>
            <w:vAlign w:val="center"/>
          </w:tcPr>
          <w:p w14:paraId="2A2C925B" w14:textId="77777777" w:rsidR="00927281" w:rsidRPr="00A53ED9" w:rsidRDefault="00927281" w:rsidP="00927281">
            <w:pPr>
              <w:spacing w:after="0"/>
              <w:jc w:val="right"/>
              <w:rPr>
                <w:noProof/>
                <w:sz w:val="20"/>
                <w:szCs w:val="20"/>
                <w:lang w:val="en-IE" w:eastAsia="en-IE"/>
              </w:rPr>
            </w:pPr>
            <w:r w:rsidRPr="00FA63C0">
              <w:rPr>
                <w:noProof/>
                <w:sz w:val="20"/>
                <w:szCs w:val="20"/>
              </w:rPr>
              <w:t xml:space="preserve"> -   </w:t>
            </w:r>
          </w:p>
        </w:tc>
      </w:tr>
      <w:tr w:rsidR="00927281" w:rsidRPr="00397C78" w14:paraId="576BE7E4" w14:textId="77777777">
        <w:trPr>
          <w:trHeight w:val="283"/>
        </w:trPr>
        <w:tc>
          <w:tcPr>
            <w:tcW w:w="2127" w:type="dxa"/>
            <w:shd w:val="clear" w:color="auto" w:fill="F2DBDB" w:themeFill="accent2" w:themeFillTint="33"/>
            <w:noWrap/>
            <w:vAlign w:val="center"/>
            <w:hideMark/>
          </w:tcPr>
          <w:p w14:paraId="506FEBBB" w14:textId="77777777" w:rsidR="00927281" w:rsidRPr="00FA63C0" w:rsidRDefault="00927281" w:rsidP="00927281">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417" w:type="dxa"/>
            <w:shd w:val="clear" w:color="auto" w:fill="F2DBDB" w:themeFill="accent2" w:themeFillTint="33"/>
            <w:vAlign w:val="center"/>
          </w:tcPr>
          <w:p w14:paraId="70B355D9" w14:textId="416D232B" w:rsidR="00927281" w:rsidRPr="00FA63C0" w:rsidRDefault="00E654F5" w:rsidP="00927281">
            <w:pPr>
              <w:spacing w:after="0"/>
              <w:jc w:val="right"/>
              <w:rPr>
                <w:b/>
                <w:bCs/>
                <w:noProof/>
                <w:sz w:val="20"/>
                <w:szCs w:val="20"/>
                <w:lang w:val="en-IE" w:eastAsia="en-IE"/>
              </w:rPr>
            </w:pPr>
            <w:r>
              <w:rPr>
                <w:noProof/>
                <w:sz w:val="20"/>
                <w:szCs w:val="20"/>
              </w:rPr>
              <w:t>11 852 011</w:t>
            </w:r>
          </w:p>
        </w:tc>
        <w:tc>
          <w:tcPr>
            <w:tcW w:w="1134" w:type="dxa"/>
            <w:shd w:val="clear" w:color="auto" w:fill="F2DBDB" w:themeFill="accent2" w:themeFillTint="33"/>
            <w:vAlign w:val="bottom"/>
          </w:tcPr>
          <w:p w14:paraId="2AF15BC5" w14:textId="6EC4B2A8" w:rsidR="00927281" w:rsidRPr="00FA63C0" w:rsidRDefault="006D59AF" w:rsidP="00927281">
            <w:pPr>
              <w:spacing w:after="0"/>
              <w:jc w:val="right"/>
              <w:rPr>
                <w:b/>
                <w:bCs/>
                <w:noProof/>
                <w:sz w:val="20"/>
                <w:szCs w:val="20"/>
                <w:lang w:val="en-IE" w:eastAsia="en-IE"/>
              </w:rPr>
            </w:pPr>
            <w:r w:rsidRPr="006D59AF">
              <w:rPr>
                <w:noProof/>
                <w:color w:val="000000"/>
                <w:sz w:val="20"/>
                <w:szCs w:val="20"/>
              </w:rPr>
              <w:t xml:space="preserve"> 87</w:t>
            </w:r>
            <w:r>
              <w:rPr>
                <w:noProof/>
                <w:color w:val="000000"/>
                <w:sz w:val="20"/>
                <w:szCs w:val="20"/>
              </w:rPr>
              <w:t xml:space="preserve"> </w:t>
            </w:r>
            <w:r w:rsidRPr="006D59AF">
              <w:rPr>
                <w:noProof/>
                <w:color w:val="000000"/>
                <w:sz w:val="20"/>
                <w:szCs w:val="20"/>
              </w:rPr>
              <w:t>337</w:t>
            </w:r>
            <w:r>
              <w:rPr>
                <w:noProof/>
                <w:color w:val="000000"/>
                <w:sz w:val="20"/>
                <w:szCs w:val="20"/>
              </w:rPr>
              <w:t xml:space="preserve"> </w:t>
            </w:r>
            <w:r w:rsidRPr="006D59AF">
              <w:rPr>
                <w:noProof/>
                <w:color w:val="000000"/>
                <w:sz w:val="20"/>
                <w:szCs w:val="20"/>
              </w:rPr>
              <w:t xml:space="preserve">840 </w:t>
            </w:r>
          </w:p>
        </w:tc>
        <w:tc>
          <w:tcPr>
            <w:tcW w:w="1134" w:type="dxa"/>
            <w:shd w:val="clear" w:color="auto" w:fill="F2DBDB" w:themeFill="accent2" w:themeFillTint="33"/>
            <w:vAlign w:val="center"/>
          </w:tcPr>
          <w:p w14:paraId="085A6AD0" w14:textId="4DC8BE90" w:rsidR="00927281" w:rsidRPr="00FA63C0" w:rsidRDefault="002C05AD" w:rsidP="00927281">
            <w:pPr>
              <w:spacing w:after="0"/>
              <w:jc w:val="right"/>
              <w:rPr>
                <w:b/>
                <w:bCs/>
                <w:noProof/>
                <w:sz w:val="20"/>
                <w:szCs w:val="20"/>
                <w:lang w:val="en-IE" w:eastAsia="en-IE"/>
              </w:rPr>
            </w:pPr>
            <w:r w:rsidRPr="002C05AD">
              <w:rPr>
                <w:noProof/>
                <w:sz w:val="20"/>
                <w:szCs w:val="20"/>
              </w:rPr>
              <w:t>16</w:t>
            </w:r>
            <w:r>
              <w:rPr>
                <w:noProof/>
                <w:sz w:val="20"/>
                <w:szCs w:val="20"/>
              </w:rPr>
              <w:t xml:space="preserve"> </w:t>
            </w:r>
            <w:r w:rsidRPr="002C05AD">
              <w:rPr>
                <w:noProof/>
                <w:sz w:val="20"/>
                <w:szCs w:val="20"/>
              </w:rPr>
              <w:t>100</w:t>
            </w:r>
            <w:r>
              <w:rPr>
                <w:noProof/>
                <w:sz w:val="20"/>
                <w:szCs w:val="20"/>
              </w:rPr>
              <w:t xml:space="preserve"> </w:t>
            </w:r>
            <w:r w:rsidRPr="002C05AD">
              <w:rPr>
                <w:noProof/>
                <w:sz w:val="20"/>
                <w:szCs w:val="20"/>
              </w:rPr>
              <w:t>690</w:t>
            </w:r>
          </w:p>
        </w:tc>
        <w:tc>
          <w:tcPr>
            <w:tcW w:w="1338" w:type="dxa"/>
            <w:shd w:val="clear" w:color="auto" w:fill="F2DBDB" w:themeFill="accent2" w:themeFillTint="33"/>
            <w:noWrap/>
            <w:vAlign w:val="center"/>
          </w:tcPr>
          <w:p w14:paraId="0FC063AA" w14:textId="1C334930" w:rsidR="00927281" w:rsidRPr="008545DB" w:rsidRDefault="00250694" w:rsidP="00927281">
            <w:pPr>
              <w:spacing w:after="0"/>
              <w:jc w:val="right"/>
              <w:rPr>
                <w:noProof/>
                <w:sz w:val="20"/>
                <w:szCs w:val="20"/>
              </w:rPr>
            </w:pPr>
            <w:r w:rsidRPr="00250694">
              <w:rPr>
                <w:noProof/>
                <w:sz w:val="20"/>
                <w:szCs w:val="20"/>
              </w:rPr>
              <w:t>115</w:t>
            </w:r>
            <w:r>
              <w:rPr>
                <w:noProof/>
                <w:sz w:val="20"/>
                <w:szCs w:val="20"/>
              </w:rPr>
              <w:t xml:space="preserve"> </w:t>
            </w:r>
            <w:r w:rsidRPr="00250694">
              <w:rPr>
                <w:noProof/>
                <w:sz w:val="20"/>
                <w:szCs w:val="20"/>
              </w:rPr>
              <w:t>290</w:t>
            </w:r>
            <w:r>
              <w:rPr>
                <w:noProof/>
                <w:sz w:val="20"/>
                <w:szCs w:val="20"/>
              </w:rPr>
              <w:t xml:space="preserve"> </w:t>
            </w:r>
            <w:r w:rsidRPr="00250694">
              <w:rPr>
                <w:noProof/>
                <w:sz w:val="20"/>
                <w:szCs w:val="20"/>
              </w:rPr>
              <w:t>541</w:t>
            </w:r>
          </w:p>
        </w:tc>
        <w:tc>
          <w:tcPr>
            <w:tcW w:w="1418" w:type="dxa"/>
            <w:shd w:val="clear" w:color="auto" w:fill="F2DBDB" w:themeFill="accent2" w:themeFillTint="33"/>
            <w:noWrap/>
            <w:vAlign w:val="center"/>
          </w:tcPr>
          <w:p w14:paraId="62BC29C7" w14:textId="5E1D3FA9" w:rsidR="00927281" w:rsidRPr="008545DB" w:rsidRDefault="00250694" w:rsidP="00927281">
            <w:pPr>
              <w:spacing w:after="0"/>
              <w:jc w:val="right"/>
              <w:rPr>
                <w:noProof/>
                <w:sz w:val="20"/>
                <w:szCs w:val="20"/>
              </w:rPr>
            </w:pPr>
            <w:r w:rsidRPr="00250694">
              <w:rPr>
                <w:noProof/>
                <w:sz w:val="20"/>
                <w:szCs w:val="20"/>
              </w:rPr>
              <w:t>105</w:t>
            </w:r>
            <w:r>
              <w:rPr>
                <w:noProof/>
                <w:sz w:val="20"/>
                <w:szCs w:val="20"/>
              </w:rPr>
              <w:t xml:space="preserve"> </w:t>
            </w:r>
            <w:r w:rsidRPr="00250694">
              <w:rPr>
                <w:noProof/>
                <w:sz w:val="20"/>
                <w:szCs w:val="20"/>
              </w:rPr>
              <w:t>460</w:t>
            </w:r>
            <w:r>
              <w:rPr>
                <w:noProof/>
                <w:sz w:val="20"/>
                <w:szCs w:val="20"/>
              </w:rPr>
              <w:t xml:space="preserve"> </w:t>
            </w:r>
            <w:r w:rsidRPr="00250694">
              <w:rPr>
                <w:noProof/>
                <w:sz w:val="20"/>
                <w:szCs w:val="20"/>
              </w:rPr>
              <w:t>892</w:t>
            </w:r>
          </w:p>
        </w:tc>
        <w:tc>
          <w:tcPr>
            <w:tcW w:w="1417" w:type="dxa"/>
            <w:shd w:val="clear" w:color="auto" w:fill="F2DBDB" w:themeFill="accent2" w:themeFillTint="33"/>
            <w:noWrap/>
            <w:vAlign w:val="center"/>
          </w:tcPr>
          <w:p w14:paraId="679B99E6" w14:textId="21FE89BE" w:rsidR="00927281" w:rsidRPr="008545DB" w:rsidRDefault="00250694" w:rsidP="00927281">
            <w:pPr>
              <w:spacing w:after="0"/>
              <w:jc w:val="right"/>
              <w:rPr>
                <w:noProof/>
                <w:sz w:val="20"/>
                <w:szCs w:val="20"/>
              </w:rPr>
            </w:pPr>
            <w:r w:rsidRPr="00250694">
              <w:rPr>
                <w:noProof/>
                <w:sz w:val="20"/>
                <w:szCs w:val="20"/>
              </w:rPr>
              <w:t>131</w:t>
            </w:r>
            <w:r>
              <w:rPr>
                <w:noProof/>
                <w:sz w:val="20"/>
                <w:szCs w:val="20"/>
              </w:rPr>
              <w:t xml:space="preserve"> </w:t>
            </w:r>
            <w:r w:rsidRPr="00250694">
              <w:rPr>
                <w:noProof/>
                <w:sz w:val="20"/>
                <w:szCs w:val="20"/>
              </w:rPr>
              <w:t>145</w:t>
            </w:r>
            <w:r>
              <w:rPr>
                <w:noProof/>
                <w:sz w:val="20"/>
                <w:szCs w:val="20"/>
              </w:rPr>
              <w:t xml:space="preserve"> </w:t>
            </w:r>
            <w:r w:rsidRPr="00250694">
              <w:rPr>
                <w:noProof/>
                <w:sz w:val="20"/>
                <w:szCs w:val="20"/>
              </w:rPr>
              <w:t>470</w:t>
            </w:r>
          </w:p>
        </w:tc>
      </w:tr>
      <w:tr w:rsidR="00927281" w:rsidRPr="007B1859" w14:paraId="2EADB5C6" w14:textId="77777777">
        <w:trPr>
          <w:trHeight w:val="283"/>
        </w:trPr>
        <w:tc>
          <w:tcPr>
            <w:tcW w:w="2127" w:type="dxa"/>
            <w:shd w:val="clear" w:color="auto" w:fill="EAF1DD" w:themeFill="accent3" w:themeFillTint="33"/>
            <w:noWrap/>
            <w:vAlign w:val="center"/>
            <w:hideMark/>
          </w:tcPr>
          <w:p w14:paraId="61ABFFC6" w14:textId="77777777" w:rsidR="00927281" w:rsidRPr="00FA63C0" w:rsidRDefault="00927281" w:rsidP="00927281">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417" w:type="dxa"/>
            <w:shd w:val="clear" w:color="auto" w:fill="EAF1DD" w:themeFill="accent3" w:themeFillTint="33"/>
            <w:vAlign w:val="center"/>
          </w:tcPr>
          <w:p w14:paraId="1E8048FE" w14:textId="2164D764" w:rsidR="00927281" w:rsidRPr="00FA63C0" w:rsidRDefault="001B3BD4" w:rsidP="00927281">
            <w:pPr>
              <w:spacing w:after="0"/>
              <w:jc w:val="right"/>
              <w:rPr>
                <w:b/>
                <w:bCs/>
                <w:noProof/>
                <w:sz w:val="20"/>
                <w:szCs w:val="20"/>
                <w:lang w:val="en-IE" w:eastAsia="en-IE"/>
              </w:rPr>
            </w:pPr>
            <w:r>
              <w:rPr>
                <w:noProof/>
                <w:sz w:val="20"/>
                <w:szCs w:val="20"/>
              </w:rPr>
              <w:t xml:space="preserve">(8 </w:t>
            </w:r>
            <w:r w:rsidR="002011BE">
              <w:rPr>
                <w:noProof/>
                <w:sz w:val="20"/>
                <w:szCs w:val="20"/>
              </w:rPr>
              <w:t>082 059 633</w:t>
            </w:r>
            <w:r>
              <w:rPr>
                <w:noProof/>
                <w:sz w:val="20"/>
                <w:szCs w:val="20"/>
              </w:rPr>
              <w:t>)</w:t>
            </w:r>
            <w:r w:rsidR="00927281" w:rsidRPr="00FA63C0">
              <w:rPr>
                <w:noProof/>
                <w:sz w:val="20"/>
                <w:szCs w:val="20"/>
              </w:rPr>
              <w:t xml:space="preserve">   </w:t>
            </w:r>
          </w:p>
        </w:tc>
        <w:tc>
          <w:tcPr>
            <w:tcW w:w="1134" w:type="dxa"/>
            <w:shd w:val="clear" w:color="auto" w:fill="EAF1DD" w:themeFill="accent3" w:themeFillTint="33"/>
            <w:vAlign w:val="bottom"/>
          </w:tcPr>
          <w:p w14:paraId="3A7CE7A1" w14:textId="408931BF" w:rsidR="00927281" w:rsidRPr="00FA63C0" w:rsidRDefault="006D59AF" w:rsidP="006D59AF">
            <w:pPr>
              <w:spacing w:after="0"/>
              <w:rPr>
                <w:b/>
                <w:bCs/>
                <w:noProof/>
                <w:sz w:val="20"/>
                <w:szCs w:val="20"/>
                <w:lang w:val="en-IE" w:eastAsia="en-IE"/>
              </w:rPr>
            </w:pPr>
            <w:r w:rsidRPr="006D59AF">
              <w:rPr>
                <w:noProof/>
                <w:color w:val="000000"/>
                <w:sz w:val="20"/>
                <w:szCs w:val="20"/>
              </w:rPr>
              <w:t xml:space="preserve"> </w:t>
            </w:r>
            <w:r w:rsidR="00E82AF9" w:rsidRPr="006D59AF">
              <w:rPr>
                <w:noProof/>
                <w:color w:val="000000"/>
                <w:sz w:val="20"/>
                <w:szCs w:val="20"/>
              </w:rPr>
              <w:t xml:space="preserve"> (12</w:t>
            </w:r>
            <w:r w:rsidR="00E82AF9">
              <w:rPr>
                <w:noProof/>
                <w:color w:val="000000"/>
                <w:sz w:val="20"/>
                <w:szCs w:val="20"/>
              </w:rPr>
              <w:t xml:space="preserve"> </w:t>
            </w:r>
            <w:r w:rsidR="00E82AF9" w:rsidRPr="006D59AF">
              <w:rPr>
                <w:noProof/>
                <w:color w:val="000000"/>
                <w:sz w:val="20"/>
                <w:szCs w:val="20"/>
              </w:rPr>
              <w:t>899</w:t>
            </w:r>
            <w:r w:rsidR="00E82AF9">
              <w:rPr>
                <w:noProof/>
                <w:color w:val="000000"/>
                <w:sz w:val="20"/>
                <w:szCs w:val="20"/>
              </w:rPr>
              <w:t xml:space="preserve"> </w:t>
            </w:r>
            <w:r w:rsidR="00E82AF9" w:rsidRPr="006D59AF">
              <w:rPr>
                <w:noProof/>
                <w:color w:val="000000"/>
                <w:sz w:val="20"/>
                <w:szCs w:val="20"/>
              </w:rPr>
              <w:t>566)</w:t>
            </w:r>
          </w:p>
        </w:tc>
        <w:tc>
          <w:tcPr>
            <w:tcW w:w="1134" w:type="dxa"/>
            <w:shd w:val="clear" w:color="auto" w:fill="EAF1DD" w:themeFill="accent3" w:themeFillTint="33"/>
            <w:vAlign w:val="center"/>
          </w:tcPr>
          <w:p w14:paraId="64CEDD88" w14:textId="16D83D9A" w:rsidR="00927281" w:rsidRPr="00FA63C0" w:rsidRDefault="00927281" w:rsidP="00927281">
            <w:pPr>
              <w:spacing w:after="0"/>
              <w:jc w:val="right"/>
              <w:rPr>
                <w:b/>
                <w:bCs/>
                <w:noProof/>
                <w:sz w:val="20"/>
                <w:szCs w:val="20"/>
                <w:lang w:val="en-IE" w:eastAsia="en-IE"/>
              </w:rPr>
            </w:pPr>
            <w:r w:rsidRPr="00FA63C0">
              <w:rPr>
                <w:noProof/>
                <w:sz w:val="20"/>
                <w:szCs w:val="20"/>
              </w:rPr>
              <w:t xml:space="preserve"> -   </w:t>
            </w:r>
          </w:p>
        </w:tc>
        <w:tc>
          <w:tcPr>
            <w:tcW w:w="1338" w:type="dxa"/>
            <w:shd w:val="clear" w:color="auto" w:fill="EAF1DD" w:themeFill="accent3" w:themeFillTint="33"/>
            <w:noWrap/>
            <w:vAlign w:val="bottom"/>
          </w:tcPr>
          <w:p w14:paraId="6F15A6A3" w14:textId="2EC3CB59" w:rsidR="00927281" w:rsidRPr="00250694" w:rsidRDefault="002D6DCA" w:rsidP="00927281">
            <w:pPr>
              <w:spacing w:after="0"/>
              <w:jc w:val="right"/>
              <w:rPr>
                <w:noProof/>
                <w:sz w:val="20"/>
                <w:szCs w:val="20"/>
              </w:rPr>
            </w:pPr>
            <w:r w:rsidRPr="002D6DCA">
              <w:rPr>
                <w:noProof/>
                <w:color w:val="000000"/>
                <w:sz w:val="20"/>
                <w:szCs w:val="20"/>
              </w:rPr>
              <w:t>(8</w:t>
            </w:r>
            <w:r>
              <w:rPr>
                <w:noProof/>
                <w:color w:val="000000"/>
                <w:sz w:val="20"/>
                <w:szCs w:val="20"/>
              </w:rPr>
              <w:t xml:space="preserve"> </w:t>
            </w:r>
            <w:r w:rsidRPr="002D6DCA">
              <w:rPr>
                <w:noProof/>
                <w:color w:val="000000"/>
                <w:sz w:val="20"/>
                <w:szCs w:val="20"/>
              </w:rPr>
              <w:t>094</w:t>
            </w:r>
            <w:r>
              <w:rPr>
                <w:noProof/>
                <w:color w:val="000000"/>
                <w:sz w:val="20"/>
                <w:szCs w:val="20"/>
              </w:rPr>
              <w:t xml:space="preserve"> </w:t>
            </w:r>
            <w:r w:rsidRPr="002D6DCA">
              <w:rPr>
                <w:noProof/>
                <w:color w:val="000000"/>
                <w:sz w:val="20"/>
                <w:szCs w:val="20"/>
              </w:rPr>
              <w:t>959</w:t>
            </w:r>
            <w:r>
              <w:rPr>
                <w:noProof/>
                <w:color w:val="000000"/>
                <w:sz w:val="20"/>
                <w:szCs w:val="20"/>
              </w:rPr>
              <w:t xml:space="preserve"> </w:t>
            </w:r>
            <w:r w:rsidRPr="002D6DCA">
              <w:rPr>
                <w:noProof/>
                <w:color w:val="000000"/>
                <w:sz w:val="20"/>
                <w:szCs w:val="20"/>
              </w:rPr>
              <w:t>199)</w:t>
            </w:r>
          </w:p>
        </w:tc>
        <w:tc>
          <w:tcPr>
            <w:tcW w:w="1418" w:type="dxa"/>
            <w:shd w:val="clear" w:color="auto" w:fill="EAF1DD" w:themeFill="accent3" w:themeFillTint="33"/>
            <w:noWrap/>
            <w:vAlign w:val="bottom"/>
          </w:tcPr>
          <w:p w14:paraId="2CA69B33" w14:textId="6DA309F4" w:rsidR="00927281" w:rsidRPr="00250694" w:rsidRDefault="002D6DCA" w:rsidP="00927281">
            <w:pPr>
              <w:spacing w:after="0"/>
              <w:jc w:val="right"/>
              <w:rPr>
                <w:noProof/>
                <w:sz w:val="20"/>
                <w:szCs w:val="20"/>
              </w:rPr>
            </w:pPr>
            <w:r w:rsidRPr="002D6DCA">
              <w:rPr>
                <w:noProof/>
                <w:color w:val="000000"/>
                <w:sz w:val="20"/>
                <w:szCs w:val="20"/>
              </w:rPr>
              <w:t xml:space="preserve"> (4</w:t>
            </w:r>
            <w:r>
              <w:rPr>
                <w:noProof/>
                <w:color w:val="000000"/>
                <w:sz w:val="20"/>
                <w:szCs w:val="20"/>
              </w:rPr>
              <w:t xml:space="preserve"> </w:t>
            </w:r>
            <w:r w:rsidRPr="002D6DCA">
              <w:rPr>
                <w:noProof/>
                <w:color w:val="000000"/>
                <w:sz w:val="20"/>
                <w:szCs w:val="20"/>
              </w:rPr>
              <w:t>769</w:t>
            </w:r>
            <w:r>
              <w:rPr>
                <w:noProof/>
                <w:color w:val="000000"/>
                <w:sz w:val="20"/>
                <w:szCs w:val="20"/>
              </w:rPr>
              <w:t xml:space="preserve"> </w:t>
            </w:r>
            <w:r w:rsidRPr="002D6DCA">
              <w:rPr>
                <w:noProof/>
                <w:color w:val="000000"/>
                <w:sz w:val="20"/>
                <w:szCs w:val="20"/>
              </w:rPr>
              <w:t>247</w:t>
            </w:r>
            <w:r>
              <w:rPr>
                <w:noProof/>
                <w:color w:val="000000"/>
                <w:sz w:val="20"/>
                <w:szCs w:val="20"/>
              </w:rPr>
              <w:t xml:space="preserve"> </w:t>
            </w:r>
            <w:r w:rsidRPr="002D6DCA">
              <w:rPr>
                <w:noProof/>
                <w:color w:val="000000"/>
                <w:sz w:val="20"/>
                <w:szCs w:val="20"/>
              </w:rPr>
              <w:t>820)</w:t>
            </w:r>
          </w:p>
        </w:tc>
        <w:tc>
          <w:tcPr>
            <w:tcW w:w="1417" w:type="dxa"/>
            <w:shd w:val="clear" w:color="auto" w:fill="EAF1DD" w:themeFill="accent3" w:themeFillTint="33"/>
            <w:noWrap/>
            <w:vAlign w:val="bottom"/>
          </w:tcPr>
          <w:p w14:paraId="0E9CC13B" w14:textId="7A69AD95" w:rsidR="00927281" w:rsidRPr="00250694" w:rsidRDefault="002D6DCA" w:rsidP="002D6DCA">
            <w:pPr>
              <w:spacing w:after="0"/>
              <w:jc w:val="center"/>
              <w:rPr>
                <w:noProof/>
                <w:sz w:val="20"/>
                <w:szCs w:val="20"/>
              </w:rPr>
            </w:pPr>
            <w:r w:rsidRPr="002D6DCA">
              <w:rPr>
                <w:noProof/>
                <w:color w:val="000000"/>
                <w:sz w:val="20"/>
                <w:szCs w:val="20"/>
              </w:rPr>
              <w:t>(12</w:t>
            </w:r>
            <w:r>
              <w:rPr>
                <w:noProof/>
                <w:color w:val="000000"/>
                <w:sz w:val="20"/>
                <w:szCs w:val="20"/>
              </w:rPr>
              <w:t xml:space="preserve"> </w:t>
            </w:r>
            <w:r w:rsidRPr="002D6DCA">
              <w:rPr>
                <w:noProof/>
                <w:color w:val="000000"/>
                <w:sz w:val="20"/>
                <w:szCs w:val="20"/>
              </w:rPr>
              <w:t>245</w:t>
            </w:r>
            <w:r>
              <w:rPr>
                <w:noProof/>
                <w:color w:val="000000"/>
                <w:sz w:val="20"/>
                <w:szCs w:val="20"/>
              </w:rPr>
              <w:t xml:space="preserve"> </w:t>
            </w:r>
            <w:r w:rsidRPr="002D6DCA">
              <w:rPr>
                <w:noProof/>
                <w:color w:val="000000"/>
                <w:sz w:val="20"/>
                <w:szCs w:val="20"/>
              </w:rPr>
              <w:t>115</w:t>
            </w:r>
            <w:r>
              <w:rPr>
                <w:noProof/>
                <w:color w:val="000000"/>
                <w:sz w:val="20"/>
                <w:szCs w:val="20"/>
              </w:rPr>
              <w:t xml:space="preserve"> </w:t>
            </w:r>
            <w:r w:rsidRPr="002D6DCA">
              <w:rPr>
                <w:noProof/>
                <w:color w:val="000000"/>
                <w:sz w:val="20"/>
                <w:szCs w:val="20"/>
              </w:rPr>
              <w:t>194)</w:t>
            </w:r>
          </w:p>
        </w:tc>
      </w:tr>
      <w:tr w:rsidR="00927281" w:rsidRPr="007C40E5" w14:paraId="01110690" w14:textId="77777777">
        <w:trPr>
          <w:trHeight w:val="283"/>
        </w:trPr>
        <w:tc>
          <w:tcPr>
            <w:tcW w:w="2127" w:type="dxa"/>
            <w:shd w:val="clear" w:color="auto" w:fill="F2F2F2" w:themeFill="background1" w:themeFillShade="F2"/>
            <w:noWrap/>
            <w:vAlign w:val="center"/>
            <w:hideMark/>
          </w:tcPr>
          <w:p w14:paraId="59232F64" w14:textId="77777777" w:rsidR="00927281" w:rsidRPr="00FA63C0" w:rsidRDefault="00927281" w:rsidP="00927281">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417" w:type="dxa"/>
            <w:shd w:val="clear" w:color="auto" w:fill="F2F2F2" w:themeFill="background1" w:themeFillShade="F2"/>
            <w:vAlign w:val="center"/>
          </w:tcPr>
          <w:p w14:paraId="35DDED97" w14:textId="367DB43D" w:rsidR="00927281" w:rsidRPr="00927281" w:rsidRDefault="00DF6BAF" w:rsidP="00927281">
            <w:pPr>
              <w:spacing w:after="0"/>
              <w:jc w:val="right"/>
              <w:rPr>
                <w:b/>
                <w:bCs/>
                <w:noProof/>
                <w:sz w:val="20"/>
                <w:szCs w:val="20"/>
                <w:lang w:val="en-IE" w:eastAsia="en-IE"/>
              </w:rPr>
            </w:pPr>
            <w:r>
              <w:rPr>
                <w:b/>
                <w:bCs/>
                <w:noProof/>
                <w:sz w:val="20"/>
                <w:szCs w:val="20"/>
              </w:rPr>
              <w:t xml:space="preserve">(8 </w:t>
            </w:r>
            <w:r w:rsidR="002011BE">
              <w:rPr>
                <w:b/>
                <w:bCs/>
                <w:noProof/>
                <w:sz w:val="20"/>
                <w:szCs w:val="20"/>
              </w:rPr>
              <w:t>070 207 622</w:t>
            </w:r>
            <w:r>
              <w:rPr>
                <w:b/>
                <w:bCs/>
                <w:noProof/>
                <w:sz w:val="20"/>
                <w:szCs w:val="20"/>
              </w:rPr>
              <w:t>)</w:t>
            </w:r>
            <w:r w:rsidR="00927281" w:rsidRPr="00082E1B">
              <w:rPr>
                <w:b/>
                <w:noProof/>
                <w:sz w:val="20"/>
                <w:szCs w:val="20"/>
              </w:rPr>
              <w:t xml:space="preserve">   </w:t>
            </w:r>
          </w:p>
        </w:tc>
        <w:tc>
          <w:tcPr>
            <w:tcW w:w="1134" w:type="dxa"/>
            <w:shd w:val="clear" w:color="auto" w:fill="F2F2F2" w:themeFill="background1" w:themeFillShade="F2"/>
            <w:vAlign w:val="center"/>
          </w:tcPr>
          <w:p w14:paraId="1DF080AA" w14:textId="267CB50F" w:rsidR="00927281" w:rsidRPr="00927281" w:rsidRDefault="00025855" w:rsidP="00927281">
            <w:pPr>
              <w:spacing w:after="0"/>
              <w:jc w:val="right"/>
              <w:rPr>
                <w:b/>
                <w:bCs/>
                <w:noProof/>
                <w:sz w:val="20"/>
                <w:szCs w:val="20"/>
                <w:lang w:val="en-IE" w:eastAsia="en-IE"/>
              </w:rPr>
            </w:pPr>
            <w:r>
              <w:rPr>
                <w:b/>
                <w:bCs/>
                <w:noProof/>
                <w:sz w:val="20"/>
                <w:szCs w:val="20"/>
              </w:rPr>
              <w:t xml:space="preserve"> </w:t>
            </w:r>
            <w:r w:rsidR="00173167" w:rsidRPr="00173167">
              <w:rPr>
                <w:b/>
                <w:bCs/>
                <w:noProof/>
                <w:sz w:val="20"/>
                <w:szCs w:val="20"/>
              </w:rPr>
              <w:t xml:space="preserve"> </w:t>
            </w:r>
            <w:r w:rsidR="00173167">
              <w:rPr>
                <w:b/>
                <w:bCs/>
                <w:noProof/>
                <w:sz w:val="20"/>
                <w:szCs w:val="20"/>
              </w:rPr>
              <w:t xml:space="preserve"> </w:t>
            </w:r>
            <w:r w:rsidR="00173167" w:rsidRPr="00173167">
              <w:rPr>
                <w:b/>
                <w:bCs/>
                <w:noProof/>
                <w:sz w:val="20"/>
                <w:szCs w:val="20"/>
              </w:rPr>
              <w:t>74</w:t>
            </w:r>
            <w:r w:rsidR="00173167">
              <w:rPr>
                <w:b/>
                <w:bCs/>
                <w:noProof/>
                <w:sz w:val="20"/>
                <w:szCs w:val="20"/>
              </w:rPr>
              <w:t xml:space="preserve"> </w:t>
            </w:r>
            <w:r w:rsidR="00173167" w:rsidRPr="00173167">
              <w:rPr>
                <w:b/>
                <w:bCs/>
                <w:noProof/>
                <w:sz w:val="20"/>
                <w:szCs w:val="20"/>
              </w:rPr>
              <w:t>438</w:t>
            </w:r>
            <w:r w:rsidR="00173167">
              <w:rPr>
                <w:b/>
                <w:bCs/>
                <w:noProof/>
                <w:sz w:val="20"/>
                <w:szCs w:val="20"/>
              </w:rPr>
              <w:t xml:space="preserve"> </w:t>
            </w:r>
            <w:r w:rsidR="00173167" w:rsidRPr="00173167">
              <w:rPr>
                <w:b/>
                <w:bCs/>
                <w:noProof/>
                <w:sz w:val="20"/>
                <w:szCs w:val="20"/>
              </w:rPr>
              <w:t>274</w:t>
            </w:r>
          </w:p>
        </w:tc>
        <w:tc>
          <w:tcPr>
            <w:tcW w:w="1134" w:type="dxa"/>
            <w:shd w:val="clear" w:color="auto" w:fill="F2F2F2" w:themeFill="background1" w:themeFillShade="F2"/>
            <w:vAlign w:val="center"/>
          </w:tcPr>
          <w:p w14:paraId="2E84C630" w14:textId="5EB26744" w:rsidR="00927281" w:rsidRPr="003E5958" w:rsidRDefault="003E5958" w:rsidP="00927281">
            <w:pPr>
              <w:spacing w:after="0"/>
              <w:jc w:val="right"/>
              <w:rPr>
                <w:b/>
                <w:bCs/>
                <w:noProof/>
                <w:sz w:val="20"/>
                <w:szCs w:val="20"/>
                <w:lang w:val="en-IE" w:eastAsia="en-IE"/>
              </w:rPr>
            </w:pPr>
            <w:r w:rsidRPr="00082E1B">
              <w:rPr>
                <w:b/>
                <w:noProof/>
                <w:sz w:val="20"/>
                <w:szCs w:val="20"/>
              </w:rPr>
              <w:t xml:space="preserve">16 100 690    </w:t>
            </w:r>
            <w:r w:rsidR="00927281" w:rsidRPr="00082E1B">
              <w:rPr>
                <w:b/>
                <w:noProof/>
                <w:sz w:val="20"/>
                <w:szCs w:val="20"/>
              </w:rPr>
              <w:t xml:space="preserve">    </w:t>
            </w:r>
          </w:p>
        </w:tc>
        <w:tc>
          <w:tcPr>
            <w:tcW w:w="1338" w:type="dxa"/>
            <w:shd w:val="clear" w:color="auto" w:fill="F2F2F2" w:themeFill="background1" w:themeFillShade="F2"/>
            <w:noWrap/>
          </w:tcPr>
          <w:p w14:paraId="36B3DD67" w14:textId="57CDF266" w:rsidR="00927281" w:rsidRPr="008545DB" w:rsidRDefault="00025855" w:rsidP="00927281">
            <w:pPr>
              <w:spacing w:after="0"/>
              <w:jc w:val="right"/>
              <w:rPr>
                <w:b/>
                <w:bCs/>
                <w:noProof/>
                <w:sz w:val="20"/>
                <w:szCs w:val="20"/>
                <w:lang w:val="en-IE" w:eastAsia="en-IE"/>
              </w:rPr>
            </w:pPr>
            <w:r w:rsidRPr="00025855">
              <w:rPr>
                <w:b/>
                <w:bCs/>
                <w:noProof/>
                <w:sz w:val="20"/>
                <w:szCs w:val="20"/>
              </w:rPr>
              <w:t xml:space="preserve"> (7 979 668 658)</w:t>
            </w:r>
          </w:p>
        </w:tc>
        <w:tc>
          <w:tcPr>
            <w:tcW w:w="1418" w:type="dxa"/>
            <w:shd w:val="clear" w:color="auto" w:fill="F2F2F2" w:themeFill="background1" w:themeFillShade="F2"/>
            <w:noWrap/>
          </w:tcPr>
          <w:p w14:paraId="2D419A93" w14:textId="757CD79E" w:rsidR="00927281" w:rsidRPr="008545DB" w:rsidRDefault="00025855" w:rsidP="00927281">
            <w:pPr>
              <w:spacing w:after="0"/>
              <w:jc w:val="right"/>
              <w:rPr>
                <w:b/>
                <w:bCs/>
                <w:noProof/>
                <w:sz w:val="20"/>
                <w:szCs w:val="20"/>
                <w:lang w:val="en-IE" w:eastAsia="en-IE"/>
              </w:rPr>
            </w:pPr>
            <w:r w:rsidRPr="00025855">
              <w:rPr>
                <w:b/>
                <w:bCs/>
                <w:noProof/>
                <w:sz w:val="20"/>
                <w:szCs w:val="20"/>
              </w:rPr>
              <w:t xml:space="preserve"> (4 663 786 928)</w:t>
            </w:r>
          </w:p>
        </w:tc>
        <w:tc>
          <w:tcPr>
            <w:tcW w:w="1417" w:type="dxa"/>
            <w:shd w:val="clear" w:color="auto" w:fill="F2F2F2" w:themeFill="background1" w:themeFillShade="F2"/>
            <w:noWrap/>
          </w:tcPr>
          <w:p w14:paraId="48D3D14B" w14:textId="21CD996C" w:rsidR="00927281" w:rsidRPr="008545DB" w:rsidRDefault="00025855" w:rsidP="00927281">
            <w:pPr>
              <w:spacing w:after="0"/>
              <w:jc w:val="right"/>
              <w:rPr>
                <w:b/>
                <w:bCs/>
                <w:noProof/>
                <w:sz w:val="20"/>
                <w:szCs w:val="20"/>
                <w:lang w:val="en-IE" w:eastAsia="en-IE"/>
              </w:rPr>
            </w:pPr>
            <w:r w:rsidRPr="00025855">
              <w:rPr>
                <w:b/>
                <w:bCs/>
                <w:noProof/>
                <w:sz w:val="20"/>
                <w:szCs w:val="20"/>
              </w:rPr>
              <w:t>(12 113 969 724)</w:t>
            </w:r>
          </w:p>
        </w:tc>
      </w:tr>
    </w:tbl>
    <w:p w14:paraId="52D3580C" w14:textId="1290F54B" w:rsidR="00182AA9" w:rsidRPr="00823397" w:rsidRDefault="00182AA9" w:rsidP="00357BE3">
      <w:pPr>
        <w:pStyle w:val="Heading2"/>
        <w:numPr>
          <w:ilvl w:val="1"/>
          <w:numId w:val="10"/>
        </w:numPr>
        <w:tabs>
          <w:tab w:val="num" w:pos="283"/>
        </w:tabs>
        <w:spacing w:before="240"/>
        <w:ind w:left="1202"/>
        <w:rPr>
          <w:bCs/>
          <w:noProof/>
        </w:rPr>
      </w:pPr>
      <w:bookmarkStart w:id="209" w:name="_Toc208836936"/>
      <w:bookmarkStart w:id="210" w:name="_Toc208595311"/>
      <w:bookmarkStart w:id="211" w:name="_Toc228346921"/>
      <w:bookmarkStart w:id="212" w:name="_Toc214519715"/>
      <w:bookmarkStart w:id="213" w:name="_Toc216283366"/>
      <w:r w:rsidRPr="00823397">
        <w:rPr>
          <w:bCs/>
          <w:noProof/>
        </w:rPr>
        <w:t>PM11: Creating</w:t>
      </w:r>
      <w:r>
        <w:rPr>
          <w:bCs/>
          <w:noProof/>
        </w:rPr>
        <w:t xml:space="preserve"> </w:t>
      </w:r>
      <w:r w:rsidR="006F2F4C">
        <w:rPr>
          <w:bCs/>
          <w:noProof/>
        </w:rPr>
        <w:t>EU-level harmonized criteria for</w:t>
      </w:r>
      <w:r w:rsidRPr="00823397">
        <w:rPr>
          <w:bCs/>
          <w:noProof/>
        </w:rPr>
        <w:t xml:space="preserve"> </w:t>
      </w:r>
      <w:bookmarkEnd w:id="209"/>
      <w:bookmarkEnd w:id="210"/>
      <w:r w:rsidR="00AC229F" w:rsidRPr="00AC229F">
        <w:rPr>
          <w:bCs/>
          <w:noProof/>
        </w:rPr>
        <w:t>sovereign cloud</w:t>
      </w:r>
      <w:r w:rsidRPr="008445EB">
        <w:rPr>
          <w:bCs/>
          <w:noProof/>
        </w:rPr>
        <w:t xml:space="preserve"> and AI </w:t>
      </w:r>
      <w:r w:rsidR="00AC229F" w:rsidRPr="00AC229F">
        <w:rPr>
          <w:bCs/>
          <w:noProof/>
        </w:rPr>
        <w:t>computing services</w:t>
      </w:r>
      <w:bookmarkEnd w:id="211"/>
      <w:r w:rsidRPr="008445EB">
        <w:rPr>
          <w:bCs/>
          <w:noProof/>
        </w:rPr>
        <w:t xml:space="preserve"> </w:t>
      </w:r>
      <w:bookmarkEnd w:id="212"/>
      <w:bookmarkEnd w:id="213"/>
    </w:p>
    <w:p w14:paraId="3F721DA0" w14:textId="77777777" w:rsidR="008F72BB" w:rsidRDefault="008F72BB" w:rsidP="004E52C2">
      <w:pPr>
        <w:pStyle w:val="ListBullet"/>
        <w:numPr>
          <w:ilvl w:val="0"/>
          <w:numId w:val="0"/>
        </w:numPr>
        <w:spacing w:after="0"/>
        <w:rPr>
          <w:noProof/>
        </w:rPr>
      </w:pPr>
      <w:r w:rsidRPr="7C222729">
        <w:rPr>
          <w:b/>
          <w:bCs/>
          <w:noProof/>
        </w:rPr>
        <w:t xml:space="preserve">Policy Measure 11 </w:t>
      </w:r>
      <w:r w:rsidRPr="7C222729">
        <w:rPr>
          <w:b/>
          <w:bCs/>
          <w:noProof/>
          <w:u w:val="single"/>
        </w:rPr>
        <w:t>(PM11</w:t>
      </w:r>
      <w:r w:rsidRPr="7C222729">
        <w:rPr>
          <w:b/>
          <w:bCs/>
          <w:noProof/>
        </w:rPr>
        <w:t>)</w:t>
      </w:r>
      <w:r>
        <w:rPr>
          <w:noProof/>
        </w:rPr>
        <w:t xml:space="preserve"> establishes a harmonised Union-level framework for ‘sovereign’ cloud and AI computing services. AI systems are not concerned by the measure, as they are already subject to the AI Act. Acknowledging that different use cases require varying degrees of ‘sovereignty’, the framework provides for four levels of sovereignty assurance.</w:t>
      </w:r>
    </w:p>
    <w:p w14:paraId="17E74A3C" w14:textId="77777777" w:rsidR="004E52C2" w:rsidRDefault="004E52C2" w:rsidP="004E52C2">
      <w:pPr>
        <w:pStyle w:val="ListBullet"/>
        <w:numPr>
          <w:ilvl w:val="0"/>
          <w:numId w:val="0"/>
        </w:numPr>
        <w:spacing w:after="0"/>
        <w:ind w:left="283" w:hanging="283"/>
        <w:rPr>
          <w:bCs/>
          <w:noProof/>
        </w:rPr>
      </w:pPr>
    </w:p>
    <w:p w14:paraId="20ECC0C9" w14:textId="77777777" w:rsidR="000A5039" w:rsidRDefault="000A5039" w:rsidP="000A5039">
      <w:pPr>
        <w:pStyle w:val="ListBullet"/>
        <w:numPr>
          <w:ilvl w:val="0"/>
          <w:numId w:val="0"/>
        </w:numPr>
        <w:spacing w:after="0"/>
        <w:ind w:left="283"/>
        <w:rPr>
          <w:noProof/>
        </w:rPr>
      </w:pPr>
      <w:r w:rsidRPr="007720CB">
        <w:rPr>
          <w:bCs/>
          <w:noProof/>
        </w:rPr>
        <w:t>To</w:t>
      </w:r>
      <w:r>
        <w:rPr>
          <w:noProof/>
        </w:rPr>
        <w:t xml:space="preserve"> be considered ‘</w:t>
      </w:r>
      <w:r w:rsidRPr="005A5620">
        <w:rPr>
          <w:b/>
          <w:i/>
          <w:noProof/>
          <w:u w:val="single"/>
        </w:rPr>
        <w:t>sovereign level 1’</w:t>
      </w:r>
      <w:r>
        <w:rPr>
          <w:noProof/>
        </w:rPr>
        <w:t>, a service must meet the following cumulative criteria:</w:t>
      </w:r>
    </w:p>
    <w:p w14:paraId="35ACA288" w14:textId="3A080B1F" w:rsidR="000A5039" w:rsidRDefault="000A5039" w:rsidP="000A5039">
      <w:pPr>
        <w:pStyle w:val="ListBullet"/>
        <w:numPr>
          <w:ilvl w:val="0"/>
          <w:numId w:val="144"/>
        </w:numPr>
        <w:tabs>
          <w:tab w:val="left" w:pos="567"/>
        </w:tabs>
        <w:spacing w:after="0"/>
        <w:ind w:left="1211" w:hanging="491"/>
        <w:rPr>
          <w:noProof/>
        </w:rPr>
      </w:pPr>
      <w:r>
        <w:rPr>
          <w:noProof/>
        </w:rPr>
        <w:t xml:space="preserve">the service provider must be </w:t>
      </w:r>
      <w:r w:rsidRPr="00FA0787">
        <w:rPr>
          <w:b/>
          <w:noProof/>
        </w:rPr>
        <w:t>established</w:t>
      </w:r>
      <w:r>
        <w:rPr>
          <w:noProof/>
        </w:rPr>
        <w:t xml:space="preserve"> in the Union (meaning the EEA); and</w:t>
      </w:r>
    </w:p>
    <w:p w14:paraId="7129AE9C" w14:textId="0FFD0EBC" w:rsidR="000351C8" w:rsidRDefault="000A5039" w:rsidP="000351C8">
      <w:pPr>
        <w:pStyle w:val="ListBullet"/>
        <w:numPr>
          <w:ilvl w:val="0"/>
          <w:numId w:val="144"/>
        </w:numPr>
        <w:tabs>
          <w:tab w:val="left" w:pos="567"/>
        </w:tabs>
        <w:spacing w:after="0"/>
        <w:ind w:left="1211" w:hanging="491"/>
        <w:rPr>
          <w:noProof/>
        </w:rPr>
      </w:pPr>
      <w:r>
        <w:rPr>
          <w:noProof/>
        </w:rPr>
        <w:t xml:space="preserve">the service must be fully operated from computing infrastructure, personnel and assets </w:t>
      </w:r>
      <w:r w:rsidRPr="00DD564F">
        <w:rPr>
          <w:b/>
          <w:bCs/>
          <w:noProof/>
        </w:rPr>
        <w:t>located</w:t>
      </w:r>
      <w:r>
        <w:rPr>
          <w:noProof/>
        </w:rPr>
        <w:t xml:space="preserve"> in the Union; and</w:t>
      </w:r>
    </w:p>
    <w:p w14:paraId="671C8CD5" w14:textId="77777777" w:rsidR="000351C8" w:rsidRDefault="000351C8" w:rsidP="000351C8">
      <w:pPr>
        <w:pStyle w:val="ListBullet"/>
        <w:numPr>
          <w:ilvl w:val="0"/>
          <w:numId w:val="144"/>
        </w:numPr>
        <w:tabs>
          <w:tab w:val="left" w:pos="567"/>
        </w:tabs>
        <w:spacing w:after="0"/>
        <w:ind w:left="1211" w:hanging="491"/>
        <w:rPr>
          <w:noProof/>
        </w:rPr>
      </w:pPr>
      <w:r>
        <w:rPr>
          <w:noProof/>
        </w:rPr>
        <w:t>customer data, including metadata and telemetry data, is in the EU unless the customer explicitly requires otherwise; and</w:t>
      </w:r>
    </w:p>
    <w:p w14:paraId="4D53B273" w14:textId="77777777" w:rsidR="000351C8" w:rsidRDefault="000351C8" w:rsidP="000351C8">
      <w:pPr>
        <w:pStyle w:val="ListBullet"/>
        <w:numPr>
          <w:ilvl w:val="0"/>
          <w:numId w:val="144"/>
        </w:numPr>
        <w:tabs>
          <w:tab w:val="left" w:pos="567"/>
        </w:tabs>
        <w:spacing w:after="0"/>
        <w:ind w:left="1211" w:hanging="491"/>
        <w:rPr>
          <w:noProof/>
        </w:rPr>
      </w:pPr>
      <w:r>
        <w:rPr>
          <w:noProof/>
        </w:rPr>
        <w:t>the service provider demonstrates that it complies with state-of-the-art cybersecurity standards; and</w:t>
      </w:r>
    </w:p>
    <w:p w14:paraId="0721DC9D" w14:textId="77777777" w:rsidR="009C6C3D" w:rsidRDefault="009C6C3D" w:rsidP="009C6C3D">
      <w:pPr>
        <w:pStyle w:val="ListBullet"/>
        <w:numPr>
          <w:ilvl w:val="0"/>
          <w:numId w:val="144"/>
        </w:numPr>
        <w:tabs>
          <w:tab w:val="left" w:pos="567"/>
        </w:tabs>
        <w:spacing w:after="0"/>
        <w:ind w:left="1211" w:hanging="491"/>
        <w:rPr>
          <w:noProof/>
        </w:rPr>
      </w:pPr>
      <w:r>
        <w:rPr>
          <w:noProof/>
        </w:rPr>
        <w:t>if technical and operational support is outsourced to third-party providers outside of the Union, necessary measure are put in place to ensure that would not compromise the provider’s operational autonomy; and</w:t>
      </w:r>
    </w:p>
    <w:p w14:paraId="61AFEFAE" w14:textId="22001853" w:rsidR="00B400C7" w:rsidRDefault="000351C8" w:rsidP="000351C8">
      <w:pPr>
        <w:pStyle w:val="ListBullet"/>
        <w:numPr>
          <w:ilvl w:val="0"/>
          <w:numId w:val="144"/>
        </w:numPr>
        <w:tabs>
          <w:tab w:val="left" w:pos="567"/>
        </w:tabs>
        <w:spacing w:after="0"/>
        <w:ind w:left="1211" w:hanging="491"/>
        <w:rPr>
          <w:noProof/>
        </w:rPr>
      </w:pPr>
      <w:r>
        <w:rPr>
          <w:noProof/>
        </w:rPr>
        <w:t>there is full transparencey around the use of subcontractors, for which the cloud service provider assesses that they meet Union legal obligations; and</w:t>
      </w:r>
    </w:p>
    <w:p w14:paraId="1EF1D546" w14:textId="59A4090A" w:rsidR="000351C8" w:rsidRDefault="00B400C7" w:rsidP="000351C8">
      <w:pPr>
        <w:pStyle w:val="ListBullet"/>
        <w:numPr>
          <w:ilvl w:val="0"/>
          <w:numId w:val="144"/>
        </w:numPr>
        <w:tabs>
          <w:tab w:val="left" w:pos="567"/>
        </w:tabs>
        <w:spacing w:after="0"/>
        <w:ind w:left="1211" w:hanging="491"/>
        <w:rPr>
          <w:noProof/>
        </w:rPr>
      </w:pPr>
      <w:r>
        <w:rPr>
          <w:noProof/>
        </w:rPr>
        <w:t>where the cloud service provider is subject to the control of a third country or a third country entity, it must be able to prove that the laws and government practices in that country do not require the provider to tell that country's authorities about software vulnerabilities before those vulnerabilities have been publicly discovered</w:t>
      </w:r>
    </w:p>
    <w:p w14:paraId="3AE40822" w14:textId="3E8F9CB2" w:rsidR="000A5039" w:rsidRDefault="000A5039">
      <w:pPr>
        <w:pStyle w:val="ListBullet"/>
        <w:numPr>
          <w:ilvl w:val="0"/>
          <w:numId w:val="0"/>
        </w:numPr>
        <w:tabs>
          <w:tab w:val="left" w:pos="567"/>
        </w:tabs>
        <w:spacing w:after="0"/>
        <w:ind w:left="1211"/>
        <w:rPr>
          <w:noProof/>
        </w:rPr>
      </w:pPr>
    </w:p>
    <w:p w14:paraId="5918DA30" w14:textId="77777777" w:rsidR="000A5039" w:rsidRDefault="000A5039" w:rsidP="000A5039">
      <w:pPr>
        <w:pStyle w:val="ListBullet"/>
        <w:numPr>
          <w:ilvl w:val="0"/>
          <w:numId w:val="0"/>
        </w:numPr>
        <w:tabs>
          <w:tab w:val="left" w:pos="567"/>
        </w:tabs>
        <w:spacing w:after="0"/>
        <w:ind w:left="360"/>
        <w:rPr>
          <w:noProof/>
        </w:rPr>
      </w:pPr>
      <w:r>
        <w:rPr>
          <w:noProof/>
        </w:rPr>
        <w:t xml:space="preserve">These requirements </w:t>
      </w:r>
      <w:r w:rsidRPr="00FA0787">
        <w:rPr>
          <w:b/>
          <w:noProof/>
        </w:rPr>
        <w:t>would allow</w:t>
      </w:r>
      <w:r>
        <w:rPr>
          <w:noProof/>
        </w:rPr>
        <w:t xml:space="preserve"> service providers with a parent company headquartered outside of the Union to be considered as ‘sovereign level 1’.</w:t>
      </w:r>
    </w:p>
    <w:p w14:paraId="29775B79" w14:textId="77777777" w:rsidR="000A5039" w:rsidRDefault="000A5039" w:rsidP="000A5039">
      <w:pPr>
        <w:pStyle w:val="ListBullet"/>
        <w:numPr>
          <w:ilvl w:val="0"/>
          <w:numId w:val="0"/>
        </w:numPr>
        <w:spacing w:after="0"/>
        <w:ind w:left="360"/>
        <w:rPr>
          <w:noProof/>
        </w:rPr>
      </w:pPr>
    </w:p>
    <w:p w14:paraId="62FD0A58" w14:textId="77777777" w:rsidR="000A5039" w:rsidRDefault="000A5039" w:rsidP="000A5039">
      <w:pPr>
        <w:pStyle w:val="ListBullet"/>
        <w:numPr>
          <w:ilvl w:val="0"/>
          <w:numId w:val="0"/>
        </w:numPr>
        <w:spacing w:after="0"/>
        <w:ind w:left="360"/>
        <w:rPr>
          <w:noProof/>
        </w:rPr>
      </w:pPr>
      <w:r>
        <w:rPr>
          <w:noProof/>
        </w:rPr>
        <w:t>To be considered ‘</w:t>
      </w:r>
      <w:r w:rsidRPr="005A5620">
        <w:rPr>
          <w:b/>
          <w:i/>
          <w:noProof/>
          <w:u w:val="single"/>
        </w:rPr>
        <w:t>sovereign level 2</w:t>
      </w:r>
      <w:r w:rsidRPr="005A5620">
        <w:rPr>
          <w:noProof/>
          <w:u w:val="single"/>
        </w:rPr>
        <w:t>’</w:t>
      </w:r>
      <w:r>
        <w:rPr>
          <w:noProof/>
        </w:rPr>
        <w:t>, a service must meet the following cumulative criteria:</w:t>
      </w:r>
    </w:p>
    <w:p w14:paraId="2082C68F" w14:textId="68A525AE" w:rsidR="000A5039" w:rsidRDefault="000A5039" w:rsidP="000A5039">
      <w:pPr>
        <w:pStyle w:val="ListBullet"/>
        <w:numPr>
          <w:ilvl w:val="0"/>
          <w:numId w:val="145"/>
        </w:numPr>
        <w:tabs>
          <w:tab w:val="left" w:pos="567"/>
        </w:tabs>
        <w:spacing w:after="0"/>
        <w:ind w:left="1211" w:hanging="491"/>
        <w:rPr>
          <w:noProof/>
        </w:rPr>
      </w:pPr>
      <w:r>
        <w:rPr>
          <w:noProof/>
        </w:rPr>
        <w:t xml:space="preserve">the service provider and subcontractors must be </w:t>
      </w:r>
      <w:r w:rsidRPr="00DD564F">
        <w:rPr>
          <w:b/>
          <w:bCs/>
          <w:noProof/>
        </w:rPr>
        <w:t>established</w:t>
      </w:r>
      <w:r>
        <w:rPr>
          <w:noProof/>
        </w:rPr>
        <w:t xml:space="preserve"> in the Union; and</w:t>
      </w:r>
    </w:p>
    <w:p w14:paraId="540827B3" w14:textId="51488646" w:rsidR="000A5039" w:rsidRDefault="000A5039" w:rsidP="000A5039">
      <w:pPr>
        <w:pStyle w:val="ListBullet"/>
        <w:numPr>
          <w:ilvl w:val="0"/>
          <w:numId w:val="145"/>
        </w:numPr>
        <w:tabs>
          <w:tab w:val="left" w:pos="567"/>
        </w:tabs>
        <w:spacing w:after="0"/>
        <w:ind w:left="1211" w:hanging="491"/>
        <w:rPr>
          <w:noProof/>
        </w:rPr>
      </w:pPr>
      <w:r>
        <w:rPr>
          <w:noProof/>
        </w:rPr>
        <w:t xml:space="preserve">the service must be fully operated from computing infrastructure, personnel and assets </w:t>
      </w:r>
      <w:r w:rsidRPr="00DD564F">
        <w:rPr>
          <w:b/>
          <w:bCs/>
          <w:noProof/>
        </w:rPr>
        <w:t>located</w:t>
      </w:r>
      <w:r>
        <w:rPr>
          <w:noProof/>
        </w:rPr>
        <w:t xml:space="preserve"> in the Union; and</w:t>
      </w:r>
    </w:p>
    <w:p w14:paraId="57E7F05E" w14:textId="23E454C9" w:rsidR="000A5039" w:rsidRPr="0074347A" w:rsidRDefault="00B12888" w:rsidP="000A5039">
      <w:pPr>
        <w:pStyle w:val="ListBullet"/>
        <w:numPr>
          <w:ilvl w:val="0"/>
          <w:numId w:val="145"/>
        </w:numPr>
        <w:tabs>
          <w:tab w:val="left" w:pos="567"/>
        </w:tabs>
        <w:spacing w:after="0"/>
        <w:ind w:left="1211" w:hanging="491"/>
        <w:rPr>
          <w:noProof/>
        </w:rPr>
      </w:pPr>
      <w:r>
        <w:rPr>
          <w:noProof/>
          <w:lang w:val="en-IE" w:eastAsia="ja-JP"/>
        </w:rPr>
        <w:t>provide available personnel complying with additional personnel screening and Union citizenship requirements, if the customer determines that imposing these additional requirements is necessary</w:t>
      </w:r>
      <w:r>
        <w:rPr>
          <w:noProof/>
        </w:rPr>
        <w:t>;</w:t>
      </w:r>
      <w:r w:rsidR="000A5039" w:rsidRPr="0074347A">
        <w:rPr>
          <w:noProof/>
        </w:rPr>
        <w:t xml:space="preserve"> and</w:t>
      </w:r>
    </w:p>
    <w:p w14:paraId="77FD2707" w14:textId="77777777" w:rsidR="000A5039" w:rsidRDefault="000A5039" w:rsidP="000A5039">
      <w:pPr>
        <w:pStyle w:val="ListBullet"/>
        <w:numPr>
          <w:ilvl w:val="0"/>
          <w:numId w:val="145"/>
        </w:numPr>
        <w:tabs>
          <w:tab w:val="left" w:pos="567"/>
        </w:tabs>
        <w:spacing w:after="0"/>
        <w:ind w:left="1211" w:hanging="491"/>
        <w:rPr>
          <w:noProof/>
        </w:rPr>
      </w:pPr>
      <w:r>
        <w:rPr>
          <w:noProof/>
        </w:rPr>
        <w:t xml:space="preserve">the service provider must be </w:t>
      </w:r>
      <w:r w:rsidRPr="00FA0787">
        <w:rPr>
          <w:b/>
          <w:noProof/>
        </w:rPr>
        <w:t>controlled</w:t>
      </w:r>
      <w:r>
        <w:rPr>
          <w:noProof/>
        </w:rPr>
        <w:t xml:space="preserve"> by a legal entity in the Union. Alternatively, if the service </w:t>
      </w:r>
      <w:r w:rsidRPr="00FA0787">
        <w:rPr>
          <w:b/>
          <w:noProof/>
        </w:rPr>
        <w:t>is controlled by a third</w:t>
      </w:r>
      <w:r>
        <w:rPr>
          <w:b/>
          <w:noProof/>
        </w:rPr>
        <w:t>-</w:t>
      </w:r>
      <w:r w:rsidRPr="00FA0787">
        <w:rPr>
          <w:b/>
          <w:noProof/>
        </w:rPr>
        <w:t>country</w:t>
      </w:r>
      <w:r>
        <w:rPr>
          <w:b/>
          <w:bCs/>
          <w:noProof/>
        </w:rPr>
        <w:t xml:space="preserve"> legal entity</w:t>
      </w:r>
      <w:r>
        <w:rPr>
          <w:noProof/>
        </w:rPr>
        <w:t>, it must demonstrate that it has in place the necessary technical, legal and organisational measures necessary to prevent third-country governmental access and transfer of data stored in the Union, to prevent or refuse any request from a third-country government, ensure that the control of the third-country or third-country entity is not exercised in a manner that restricts the provider’s ability to deliver the service, and to prevent the service disruption and/or degradation of the service by a third-country government</w:t>
      </w:r>
      <w:r>
        <w:rPr>
          <w:rStyle w:val="FootnoteReference"/>
          <w:noProof/>
        </w:rPr>
        <w:footnoteReference w:id="55"/>
      </w:r>
      <w:r>
        <w:rPr>
          <w:noProof/>
        </w:rPr>
        <w:t>; and</w:t>
      </w:r>
    </w:p>
    <w:p w14:paraId="45CF326D" w14:textId="642E384C" w:rsidR="000A5039" w:rsidRDefault="000A5039" w:rsidP="000A5039">
      <w:pPr>
        <w:pStyle w:val="ListBullet"/>
        <w:numPr>
          <w:ilvl w:val="0"/>
          <w:numId w:val="145"/>
        </w:numPr>
        <w:tabs>
          <w:tab w:val="left" w:pos="567"/>
        </w:tabs>
        <w:spacing w:after="0"/>
        <w:ind w:left="1211" w:hanging="491"/>
        <w:rPr>
          <w:noProof/>
        </w:rPr>
      </w:pPr>
      <w:r>
        <w:rPr>
          <w:noProof/>
        </w:rPr>
        <w:t xml:space="preserve">the data generated by using the audited service shall not be re-used for the training or fine-tuning of an AI system </w:t>
      </w:r>
      <w:r w:rsidRPr="00FA0787">
        <w:rPr>
          <w:b/>
          <w:noProof/>
        </w:rPr>
        <w:t>operated by an entity outside the EEA</w:t>
      </w:r>
      <w:r>
        <w:rPr>
          <w:b/>
          <w:noProof/>
        </w:rPr>
        <w:t xml:space="preserve"> and in any case are not transferred outside the Union</w:t>
      </w:r>
      <w:r>
        <w:rPr>
          <w:noProof/>
        </w:rPr>
        <w:t>; and</w:t>
      </w:r>
    </w:p>
    <w:p w14:paraId="66E0846E" w14:textId="77777777" w:rsidR="009307B7" w:rsidRDefault="009307B7">
      <w:pPr>
        <w:pStyle w:val="ListBullet"/>
        <w:numPr>
          <w:ilvl w:val="0"/>
          <w:numId w:val="145"/>
        </w:numPr>
        <w:tabs>
          <w:tab w:val="left" w:pos="567"/>
        </w:tabs>
        <w:spacing w:after="0"/>
        <w:ind w:left="1211" w:hanging="491"/>
        <w:rPr>
          <w:noProof/>
        </w:rPr>
      </w:pPr>
      <w:r>
        <w:rPr>
          <w:noProof/>
        </w:rPr>
        <w:t>the customer data, including metadata and telemetry data, remain in the Union unless the customer explicitly requests otherwise; and</w:t>
      </w:r>
    </w:p>
    <w:p w14:paraId="50FBF80E" w14:textId="77777777" w:rsidR="00AB7307" w:rsidRDefault="009307B7" w:rsidP="000A5039">
      <w:pPr>
        <w:pStyle w:val="ListBullet"/>
        <w:numPr>
          <w:ilvl w:val="0"/>
          <w:numId w:val="145"/>
        </w:numPr>
        <w:tabs>
          <w:tab w:val="left" w:pos="567"/>
        </w:tabs>
        <w:spacing w:after="0"/>
        <w:ind w:left="1211" w:hanging="491"/>
        <w:rPr>
          <w:noProof/>
        </w:rPr>
      </w:pPr>
      <w:r>
        <w:rPr>
          <w:noProof/>
        </w:rPr>
        <w:t>the service must demonstrate a high level of cybersecurity by being certified at least at level ‘</w:t>
      </w:r>
      <w:r w:rsidRPr="00FA0787">
        <w:rPr>
          <w:b/>
          <w:noProof/>
        </w:rPr>
        <w:t>substantial</w:t>
      </w:r>
      <w:r>
        <w:rPr>
          <w:noProof/>
        </w:rPr>
        <w:t>’ under the European Cybersecurity Certification Scheme for Cloud Services (EUCS)</w:t>
      </w:r>
      <w:r w:rsidRPr="00D52C5D">
        <w:rPr>
          <w:rStyle w:val="Heading3Char"/>
          <w:noProof/>
        </w:rPr>
        <w:t xml:space="preserve"> </w:t>
      </w:r>
      <w:r>
        <w:rPr>
          <w:rStyle w:val="FootnoteReference"/>
          <w:noProof/>
        </w:rPr>
        <w:footnoteReference w:id="56"/>
      </w:r>
      <w:r>
        <w:rPr>
          <w:noProof/>
        </w:rPr>
        <w:t>; and</w:t>
      </w:r>
    </w:p>
    <w:p w14:paraId="5EA8F69A" w14:textId="77777777" w:rsidR="000A5039" w:rsidRDefault="000A5039" w:rsidP="000A5039">
      <w:pPr>
        <w:pStyle w:val="ListBullet"/>
        <w:numPr>
          <w:ilvl w:val="0"/>
          <w:numId w:val="145"/>
        </w:numPr>
        <w:tabs>
          <w:tab w:val="left" w:pos="567"/>
        </w:tabs>
        <w:spacing w:after="0"/>
        <w:ind w:left="1211" w:hanging="491"/>
        <w:rPr>
          <w:noProof/>
        </w:rPr>
      </w:pPr>
      <w:r w:rsidRPr="004840CF">
        <w:rPr>
          <w:noProof/>
        </w:rPr>
        <w:t xml:space="preserve">the service provider must demonstrate a </w:t>
      </w:r>
      <w:r w:rsidRPr="004840CF">
        <w:rPr>
          <w:b/>
          <w:noProof/>
        </w:rPr>
        <w:t>high degree of control</w:t>
      </w:r>
      <w:r w:rsidRPr="004840CF">
        <w:rPr>
          <w:noProof/>
        </w:rPr>
        <w:t xml:space="preserve"> over the software components that underpins the service. This notably implies that</w:t>
      </w:r>
      <w:r>
        <w:rPr>
          <w:noProof/>
        </w:rPr>
        <w:t xml:space="preserve"> there exists a list of identified dependencies related to the provision of the service, and where the software components are provided by a third-country entity,</w:t>
      </w:r>
      <w:r w:rsidRPr="004840CF">
        <w:rPr>
          <w:noProof/>
        </w:rPr>
        <w:t xml:space="preserve"> </w:t>
      </w:r>
      <w:r w:rsidRPr="004840CF">
        <w:rPr>
          <w:b/>
          <w:noProof/>
        </w:rPr>
        <w:t>the relevant code</w:t>
      </w:r>
      <w:r w:rsidRPr="004840CF">
        <w:rPr>
          <w:noProof/>
        </w:rPr>
        <w:t xml:space="preserve"> </w:t>
      </w:r>
      <w:r>
        <w:rPr>
          <w:noProof/>
        </w:rPr>
        <w:t xml:space="preserve">of the </w:t>
      </w:r>
      <w:r>
        <w:rPr>
          <w:b/>
          <w:noProof/>
        </w:rPr>
        <w:t>security relevant components</w:t>
      </w:r>
      <w:r w:rsidRPr="004840CF">
        <w:rPr>
          <w:b/>
          <w:noProof/>
        </w:rPr>
        <w:t xml:space="preserve"> </w:t>
      </w:r>
      <w:r w:rsidRPr="004840CF">
        <w:rPr>
          <w:noProof/>
        </w:rPr>
        <w:t>of the service stack can be audited</w:t>
      </w:r>
      <w:r>
        <w:rPr>
          <w:noProof/>
        </w:rPr>
        <w:t>, and there exists a migration plan in the event a vendor fails or a third-country imposes restrictions; and</w:t>
      </w:r>
    </w:p>
    <w:p w14:paraId="6C1CE024" w14:textId="0D5AF57F" w:rsidR="00A812FF" w:rsidRDefault="005D421F">
      <w:pPr>
        <w:pStyle w:val="ListBullet"/>
        <w:numPr>
          <w:ilvl w:val="0"/>
          <w:numId w:val="145"/>
        </w:numPr>
        <w:tabs>
          <w:tab w:val="left" w:pos="567"/>
        </w:tabs>
        <w:spacing w:after="0"/>
        <w:ind w:left="1211" w:hanging="491"/>
        <w:rPr>
          <w:noProof/>
        </w:rPr>
      </w:pPr>
      <w:r>
        <w:rPr>
          <w:noProof/>
        </w:rPr>
        <w:t>if subcontractors are from a third country or a third country entity, appropriate measures in place to demonstrate the absence of control; and</w:t>
      </w:r>
    </w:p>
    <w:p w14:paraId="75584CB3" w14:textId="6B6EC38F" w:rsidR="00AB7307" w:rsidRDefault="00A812FF" w:rsidP="000A5039">
      <w:pPr>
        <w:pStyle w:val="ListBullet"/>
        <w:numPr>
          <w:ilvl w:val="0"/>
          <w:numId w:val="145"/>
        </w:numPr>
        <w:tabs>
          <w:tab w:val="left" w:pos="567"/>
        </w:tabs>
        <w:spacing w:after="0"/>
        <w:ind w:left="1211" w:hanging="491"/>
        <w:rPr>
          <w:noProof/>
        </w:rPr>
      </w:pPr>
      <w:r>
        <w:rPr>
          <w:noProof/>
        </w:rPr>
        <w:t>operational and technical support, including outsourcing, are initiated and performed exclusively within the Union; and</w:t>
      </w:r>
    </w:p>
    <w:p w14:paraId="13094BF0" w14:textId="44D03A38" w:rsidR="000A5039" w:rsidRDefault="00B400C7" w:rsidP="000A5039">
      <w:pPr>
        <w:pStyle w:val="ListBullet"/>
        <w:numPr>
          <w:ilvl w:val="0"/>
          <w:numId w:val="145"/>
        </w:numPr>
        <w:tabs>
          <w:tab w:val="left" w:pos="567"/>
        </w:tabs>
        <w:spacing w:after="0"/>
        <w:ind w:left="1211" w:hanging="491"/>
        <w:rPr>
          <w:noProof/>
        </w:rPr>
      </w:pPr>
      <w:r>
        <w:rPr>
          <w:noProof/>
        </w:rPr>
        <w:t>where the cloud service provider is subject to the control of a third country or a third country entity, it must be able to prove that the laws and government practices in that country do not require the provider to tell that country's authorities about software vulnerabilities before those vulnerabilities have been publicly discovered</w:t>
      </w:r>
    </w:p>
    <w:p w14:paraId="66B2EF6E" w14:textId="77777777" w:rsidR="000A5039" w:rsidRDefault="000A5039" w:rsidP="000A5039">
      <w:pPr>
        <w:pStyle w:val="ListBullet"/>
        <w:numPr>
          <w:ilvl w:val="0"/>
          <w:numId w:val="0"/>
        </w:numPr>
        <w:tabs>
          <w:tab w:val="left" w:pos="567"/>
        </w:tabs>
        <w:spacing w:after="0"/>
        <w:ind w:left="360"/>
        <w:rPr>
          <w:noProof/>
        </w:rPr>
      </w:pPr>
      <w:r>
        <w:rPr>
          <w:noProof/>
        </w:rPr>
        <w:t xml:space="preserve">These requirements </w:t>
      </w:r>
      <w:r w:rsidRPr="00FA0787">
        <w:rPr>
          <w:b/>
          <w:noProof/>
        </w:rPr>
        <w:t>would allow</w:t>
      </w:r>
      <w:r>
        <w:rPr>
          <w:noProof/>
        </w:rPr>
        <w:t xml:space="preserve"> service providers controlled by a third-country or third-country entity to be considered as ‘sovereign level 2’, but </w:t>
      </w:r>
      <w:bookmarkStart w:id="214" w:name="_Int_V0xiAdLD"/>
      <w:r>
        <w:rPr>
          <w:noProof/>
        </w:rPr>
        <w:t>on the basis of</w:t>
      </w:r>
      <w:bookmarkEnd w:id="214"/>
      <w:r>
        <w:rPr>
          <w:noProof/>
        </w:rPr>
        <w:t xml:space="preserve"> some organisational efforts. Service providers owned and controlled by a legal entity in the Union would face less difficulties in complying with these criteria.</w:t>
      </w:r>
    </w:p>
    <w:p w14:paraId="79984678" w14:textId="77777777" w:rsidR="000A5039" w:rsidRDefault="000A5039" w:rsidP="000A5039">
      <w:pPr>
        <w:pStyle w:val="ListBullet"/>
        <w:numPr>
          <w:ilvl w:val="0"/>
          <w:numId w:val="0"/>
        </w:numPr>
        <w:tabs>
          <w:tab w:val="left" w:pos="567"/>
        </w:tabs>
        <w:spacing w:after="0"/>
        <w:ind w:left="360"/>
        <w:rPr>
          <w:noProof/>
        </w:rPr>
      </w:pPr>
    </w:p>
    <w:p w14:paraId="61D45EEE" w14:textId="77777777" w:rsidR="000A5039" w:rsidRDefault="000A5039" w:rsidP="000A5039">
      <w:pPr>
        <w:pStyle w:val="ListBullet"/>
        <w:numPr>
          <w:ilvl w:val="0"/>
          <w:numId w:val="0"/>
        </w:numPr>
        <w:spacing w:after="0"/>
        <w:ind w:left="360"/>
        <w:rPr>
          <w:noProof/>
        </w:rPr>
      </w:pPr>
      <w:r>
        <w:rPr>
          <w:noProof/>
        </w:rPr>
        <w:t xml:space="preserve">To be considered </w:t>
      </w:r>
      <w:r w:rsidRPr="005A5620">
        <w:rPr>
          <w:noProof/>
          <w:u w:val="single"/>
        </w:rPr>
        <w:t>‘</w:t>
      </w:r>
      <w:r w:rsidRPr="005A5620">
        <w:rPr>
          <w:b/>
          <w:i/>
          <w:noProof/>
          <w:u w:val="single"/>
        </w:rPr>
        <w:t>sovereign level 3</w:t>
      </w:r>
      <w:r w:rsidRPr="005A5620">
        <w:rPr>
          <w:noProof/>
          <w:u w:val="single"/>
        </w:rPr>
        <w:t>’</w:t>
      </w:r>
      <w:r>
        <w:rPr>
          <w:noProof/>
        </w:rPr>
        <w:t>, a service must meet the following cumulative criteria:</w:t>
      </w:r>
    </w:p>
    <w:p w14:paraId="2B4ABBAF" w14:textId="50790494" w:rsidR="000A5039" w:rsidRDefault="000A5039" w:rsidP="000A5039">
      <w:pPr>
        <w:pStyle w:val="ListBullet"/>
        <w:numPr>
          <w:ilvl w:val="0"/>
          <w:numId w:val="146"/>
        </w:numPr>
        <w:tabs>
          <w:tab w:val="left" w:pos="567"/>
        </w:tabs>
        <w:spacing w:after="0"/>
        <w:ind w:left="1211" w:hanging="491"/>
        <w:rPr>
          <w:noProof/>
        </w:rPr>
      </w:pPr>
      <w:r>
        <w:rPr>
          <w:noProof/>
        </w:rPr>
        <w:t xml:space="preserve">the service provider subcontractors must be </w:t>
      </w:r>
      <w:r w:rsidRPr="004307B1">
        <w:rPr>
          <w:b/>
          <w:bCs/>
          <w:noProof/>
        </w:rPr>
        <w:t>established</w:t>
      </w:r>
      <w:r>
        <w:rPr>
          <w:noProof/>
        </w:rPr>
        <w:t xml:space="preserve"> in the Union; and</w:t>
      </w:r>
    </w:p>
    <w:p w14:paraId="6D0EFFA3" w14:textId="6B67BD87" w:rsidR="000A5039" w:rsidRDefault="000A5039" w:rsidP="000A5039">
      <w:pPr>
        <w:pStyle w:val="ListBullet"/>
        <w:numPr>
          <w:ilvl w:val="0"/>
          <w:numId w:val="146"/>
        </w:numPr>
        <w:tabs>
          <w:tab w:val="left" w:pos="567"/>
        </w:tabs>
        <w:spacing w:after="0"/>
        <w:ind w:left="1211" w:hanging="491"/>
        <w:rPr>
          <w:noProof/>
        </w:rPr>
      </w:pPr>
      <w:r>
        <w:rPr>
          <w:noProof/>
        </w:rPr>
        <w:t xml:space="preserve">the service must be fully operated from computing infrastructure and assets </w:t>
      </w:r>
      <w:r w:rsidRPr="004307B1">
        <w:rPr>
          <w:b/>
          <w:bCs/>
          <w:noProof/>
        </w:rPr>
        <w:t>located</w:t>
      </w:r>
      <w:r>
        <w:rPr>
          <w:noProof/>
        </w:rPr>
        <w:t xml:space="preserve"> in the Union; and</w:t>
      </w:r>
    </w:p>
    <w:p w14:paraId="737212F6" w14:textId="17FD837C" w:rsidR="000A5039" w:rsidRDefault="000A5039" w:rsidP="000A5039">
      <w:pPr>
        <w:pStyle w:val="ListBullet"/>
        <w:numPr>
          <w:ilvl w:val="0"/>
          <w:numId w:val="146"/>
        </w:numPr>
        <w:tabs>
          <w:tab w:val="left" w:pos="567"/>
        </w:tabs>
        <w:spacing w:after="0"/>
        <w:ind w:left="1211" w:hanging="491"/>
        <w:rPr>
          <w:noProof/>
        </w:rPr>
      </w:pPr>
      <w:r>
        <w:rPr>
          <w:noProof/>
        </w:rPr>
        <w:t xml:space="preserve">members of the board, executive team and personnel operating the service are Union nationals, located in the Union, </w:t>
      </w:r>
      <w:r w:rsidRPr="007140C4">
        <w:rPr>
          <w:b/>
          <w:noProof/>
        </w:rPr>
        <w:t>and are security cleared</w:t>
      </w:r>
      <w:r w:rsidRPr="007140C4">
        <w:rPr>
          <w:b/>
          <w:bCs/>
          <w:noProof/>
        </w:rPr>
        <w:t xml:space="preserve"> where </w:t>
      </w:r>
      <w:r>
        <w:rPr>
          <w:b/>
          <w:bCs/>
          <w:noProof/>
        </w:rPr>
        <w:t>appropriate</w:t>
      </w:r>
      <w:r>
        <w:rPr>
          <w:noProof/>
        </w:rPr>
        <w:t>; and</w:t>
      </w:r>
    </w:p>
    <w:p w14:paraId="7A4E6638" w14:textId="2CCE0636" w:rsidR="000A5039" w:rsidRDefault="000A5039" w:rsidP="000A5039">
      <w:pPr>
        <w:pStyle w:val="ListBullet"/>
        <w:numPr>
          <w:ilvl w:val="0"/>
          <w:numId w:val="146"/>
        </w:numPr>
        <w:tabs>
          <w:tab w:val="left" w:pos="567"/>
        </w:tabs>
        <w:spacing w:after="0"/>
        <w:ind w:left="1211" w:hanging="491"/>
        <w:rPr>
          <w:noProof/>
        </w:rPr>
      </w:pPr>
      <w:r>
        <w:rPr>
          <w:noProof/>
        </w:rPr>
        <w:t xml:space="preserve">the service provider must be </w:t>
      </w:r>
      <w:r w:rsidRPr="00FA0787">
        <w:rPr>
          <w:b/>
          <w:noProof/>
        </w:rPr>
        <w:t>owned and controlled</w:t>
      </w:r>
      <w:r>
        <w:rPr>
          <w:noProof/>
        </w:rPr>
        <w:t xml:space="preserve"> by a Union legal entity</w:t>
      </w:r>
      <w:r w:rsidRPr="002D61C0">
        <w:rPr>
          <w:noProof/>
        </w:rPr>
        <w:t xml:space="preserve"> </w:t>
      </w:r>
      <w:r>
        <w:rPr>
          <w:noProof/>
        </w:rPr>
        <w:t>and the subcontractors are not subject to the control of a third country or a third-country entity. A cloud computing service subject to the control of a third country or a legal entity established in a third-country can still be audited against the audit criteria where the third country has implemented specific safeguards that ensure that there is no risk of unauthorised access to Union data or possible disruption of service quality or continuity; and</w:t>
      </w:r>
    </w:p>
    <w:p w14:paraId="2CB4601D" w14:textId="446E15A4" w:rsidR="000A5039" w:rsidRDefault="000A5039" w:rsidP="000A5039">
      <w:pPr>
        <w:pStyle w:val="ListBullet"/>
        <w:numPr>
          <w:ilvl w:val="0"/>
          <w:numId w:val="146"/>
        </w:numPr>
        <w:tabs>
          <w:tab w:val="left" w:pos="567"/>
        </w:tabs>
        <w:spacing w:after="0"/>
        <w:ind w:left="1211" w:hanging="491"/>
        <w:rPr>
          <w:noProof/>
        </w:rPr>
      </w:pPr>
      <w:r>
        <w:rPr>
          <w:noProof/>
        </w:rPr>
        <w:t xml:space="preserve">the data generated by using the audited service  shall not be re-used for the </w:t>
      </w:r>
      <w:r w:rsidRPr="00E02726">
        <w:rPr>
          <w:b/>
          <w:bCs/>
          <w:noProof/>
        </w:rPr>
        <w:t>training or fine-tuning of an AI system</w:t>
      </w:r>
      <w:r>
        <w:rPr>
          <w:noProof/>
        </w:rPr>
        <w:t xml:space="preserve"> </w:t>
      </w:r>
      <w:r w:rsidRPr="00F85FE2">
        <w:rPr>
          <w:noProof/>
        </w:rPr>
        <w:t>operated by an entity outside the</w:t>
      </w:r>
      <w:r w:rsidRPr="00F85FE2" w:rsidDel="00422FED">
        <w:rPr>
          <w:noProof/>
        </w:rPr>
        <w:t xml:space="preserve"> </w:t>
      </w:r>
      <w:r>
        <w:rPr>
          <w:noProof/>
        </w:rPr>
        <w:t xml:space="preserve">Union and </w:t>
      </w:r>
      <w:r>
        <w:rPr>
          <w:b/>
          <w:noProof/>
        </w:rPr>
        <w:t>in any case are not transferred outside of the Union</w:t>
      </w:r>
      <w:r>
        <w:rPr>
          <w:noProof/>
        </w:rPr>
        <w:t>, and</w:t>
      </w:r>
    </w:p>
    <w:p w14:paraId="680B3C78" w14:textId="77777777" w:rsidR="0039046E" w:rsidRDefault="0039046E">
      <w:pPr>
        <w:pStyle w:val="ListBullet"/>
        <w:numPr>
          <w:ilvl w:val="0"/>
          <w:numId w:val="146"/>
        </w:numPr>
        <w:tabs>
          <w:tab w:val="left" w:pos="567"/>
        </w:tabs>
        <w:spacing w:after="0"/>
        <w:ind w:left="1211" w:hanging="491"/>
        <w:rPr>
          <w:noProof/>
        </w:rPr>
      </w:pPr>
      <w:r>
        <w:rPr>
          <w:noProof/>
        </w:rPr>
        <w:t>the customer data, including metadata and telemetry data, remain in the Union unless the customer explicitly requests otherwise; and</w:t>
      </w:r>
    </w:p>
    <w:p w14:paraId="1ED8166C" w14:textId="307AF5B7" w:rsidR="000A5039" w:rsidRDefault="000A5039" w:rsidP="000A5039">
      <w:pPr>
        <w:pStyle w:val="ListBullet"/>
        <w:numPr>
          <w:ilvl w:val="0"/>
          <w:numId w:val="146"/>
        </w:numPr>
        <w:tabs>
          <w:tab w:val="left" w:pos="567"/>
        </w:tabs>
        <w:spacing w:after="0"/>
        <w:ind w:left="1211" w:hanging="491"/>
        <w:rPr>
          <w:noProof/>
        </w:rPr>
      </w:pPr>
      <w:r>
        <w:rPr>
          <w:noProof/>
        </w:rPr>
        <w:t>the service must demonstrate a high level of cybersecurity by being certified at least at level ‘</w:t>
      </w:r>
      <w:r w:rsidRPr="009A53BE">
        <w:rPr>
          <w:noProof/>
        </w:rPr>
        <w:t>substantial</w:t>
      </w:r>
      <w:r>
        <w:rPr>
          <w:noProof/>
        </w:rPr>
        <w:t>’ under the European Cybersecurity Certification Scheme for Cloud Services (EUCS); and</w:t>
      </w:r>
    </w:p>
    <w:p w14:paraId="62E0F790" w14:textId="6F0F51D8" w:rsidR="000A5039" w:rsidRDefault="000A5039" w:rsidP="000A5039">
      <w:pPr>
        <w:pStyle w:val="ListBullet"/>
        <w:numPr>
          <w:ilvl w:val="0"/>
          <w:numId w:val="146"/>
        </w:numPr>
        <w:tabs>
          <w:tab w:val="left" w:pos="567"/>
        </w:tabs>
        <w:spacing w:after="0"/>
        <w:ind w:left="1211" w:hanging="491"/>
        <w:rPr>
          <w:noProof/>
        </w:rPr>
      </w:pPr>
      <w:r w:rsidRPr="004840CF">
        <w:rPr>
          <w:noProof/>
        </w:rPr>
        <w:t xml:space="preserve">the service provider must demonstrate </w:t>
      </w:r>
      <w:r w:rsidRPr="004840CF">
        <w:rPr>
          <w:b/>
          <w:noProof/>
        </w:rPr>
        <w:t>a high degree of control</w:t>
      </w:r>
      <w:r w:rsidRPr="004840CF">
        <w:rPr>
          <w:noProof/>
        </w:rPr>
        <w:t xml:space="preserve"> over the software components that underpin the service</w:t>
      </w:r>
      <w:r>
        <w:rPr>
          <w:noProof/>
        </w:rPr>
        <w:t xml:space="preserve"> (software stack).</w:t>
      </w:r>
      <w:r w:rsidRPr="004840CF">
        <w:rPr>
          <w:noProof/>
        </w:rPr>
        <w:t xml:space="preserve"> This notably implies that </w:t>
      </w:r>
      <w:r>
        <w:rPr>
          <w:noProof/>
        </w:rPr>
        <w:t xml:space="preserve">there exists a list of identified dependencies related to the provision of the service, and where the software components are provided by a third-country entity, </w:t>
      </w:r>
      <w:r w:rsidRPr="004840CF">
        <w:rPr>
          <w:noProof/>
        </w:rPr>
        <w:t xml:space="preserve">the </w:t>
      </w:r>
      <w:r w:rsidRPr="004840CF">
        <w:rPr>
          <w:b/>
          <w:noProof/>
        </w:rPr>
        <w:t>relevant code</w:t>
      </w:r>
      <w:r w:rsidRPr="004840CF">
        <w:rPr>
          <w:noProof/>
        </w:rPr>
        <w:t xml:space="preserve"> </w:t>
      </w:r>
      <w:r>
        <w:rPr>
          <w:noProof/>
        </w:rPr>
        <w:t xml:space="preserve">of the </w:t>
      </w:r>
      <w:r>
        <w:rPr>
          <w:b/>
          <w:noProof/>
        </w:rPr>
        <w:t>security relevant components</w:t>
      </w:r>
      <w:r w:rsidRPr="004840CF">
        <w:rPr>
          <w:b/>
          <w:noProof/>
        </w:rPr>
        <w:t xml:space="preserve"> </w:t>
      </w:r>
      <w:r w:rsidRPr="004840CF">
        <w:rPr>
          <w:noProof/>
        </w:rPr>
        <w:t xml:space="preserve"> of the service stack can be audited</w:t>
      </w:r>
      <w:r>
        <w:rPr>
          <w:noProof/>
        </w:rPr>
        <w:t>, and there exists a migration plan in the event a vendor fails or a third-country imposes restrictions;</w:t>
      </w:r>
      <w:r w:rsidR="00DD7E2F">
        <w:rPr>
          <w:noProof/>
        </w:rPr>
        <w:t xml:space="preserve"> and</w:t>
      </w:r>
    </w:p>
    <w:p w14:paraId="6B863058" w14:textId="1F2647F5" w:rsidR="000A5039" w:rsidRDefault="000A5039">
      <w:pPr>
        <w:pStyle w:val="ListBullet"/>
        <w:numPr>
          <w:ilvl w:val="0"/>
          <w:numId w:val="146"/>
        </w:numPr>
        <w:tabs>
          <w:tab w:val="left" w:pos="567"/>
        </w:tabs>
        <w:spacing w:after="0"/>
        <w:ind w:left="1211" w:hanging="491"/>
        <w:rPr>
          <w:noProof/>
        </w:rPr>
      </w:pPr>
      <w:r>
        <w:rPr>
          <w:noProof/>
        </w:rPr>
        <w:t xml:space="preserve">operational and technical support, including outsourcing, are initiated and performed exclusively within the Union and by Union citizens, and by </w:t>
      </w:r>
      <w:r w:rsidRPr="008775E6">
        <w:rPr>
          <w:noProof/>
          <w:lang w:val="en-IE" w:eastAsia="ja-JP"/>
        </w:rPr>
        <w:t>third parties that are not subject to the control of a third country or third country entity</w:t>
      </w:r>
      <w:r>
        <w:rPr>
          <w:noProof/>
        </w:rPr>
        <w:t>; and</w:t>
      </w:r>
    </w:p>
    <w:p w14:paraId="048C273C" w14:textId="6B250C18" w:rsidR="00B400C7" w:rsidRDefault="00B400C7">
      <w:pPr>
        <w:pStyle w:val="ListBullet"/>
        <w:numPr>
          <w:ilvl w:val="0"/>
          <w:numId w:val="146"/>
        </w:numPr>
        <w:tabs>
          <w:tab w:val="left" w:pos="567"/>
        </w:tabs>
        <w:spacing w:after="0"/>
        <w:ind w:left="1211" w:hanging="491"/>
        <w:rPr>
          <w:noProof/>
        </w:rPr>
      </w:pPr>
      <w:r>
        <w:rPr>
          <w:noProof/>
        </w:rPr>
        <w:t>where the cloud service provider is subject to the control of a third country or a third country entity, it must be able to prove that the laws and government practices in that country do not require the provider to tell that country's authorities about software vulnerabilities before those vulnerabilities have been publicly discovered</w:t>
      </w:r>
    </w:p>
    <w:p w14:paraId="15F9826D" w14:textId="77777777" w:rsidR="000A5039" w:rsidRDefault="000A5039" w:rsidP="000A5039">
      <w:pPr>
        <w:pStyle w:val="ListBullet"/>
        <w:numPr>
          <w:ilvl w:val="0"/>
          <w:numId w:val="0"/>
        </w:numPr>
        <w:tabs>
          <w:tab w:val="left" w:pos="567"/>
        </w:tabs>
        <w:spacing w:after="0"/>
        <w:ind w:left="283" w:hanging="283"/>
        <w:rPr>
          <w:noProof/>
        </w:rPr>
      </w:pPr>
    </w:p>
    <w:p w14:paraId="200D5D27" w14:textId="77777777" w:rsidR="000A5039" w:rsidRDefault="000A5039" w:rsidP="000A5039">
      <w:pPr>
        <w:pStyle w:val="ListBullet"/>
        <w:numPr>
          <w:ilvl w:val="0"/>
          <w:numId w:val="0"/>
        </w:numPr>
        <w:tabs>
          <w:tab w:val="left" w:pos="567"/>
        </w:tabs>
        <w:spacing w:after="0"/>
        <w:ind w:left="360"/>
        <w:rPr>
          <w:noProof/>
        </w:rPr>
      </w:pPr>
      <w:r>
        <w:rPr>
          <w:noProof/>
        </w:rPr>
        <w:t xml:space="preserve">These requirements </w:t>
      </w:r>
      <w:r w:rsidRPr="00FA0787">
        <w:rPr>
          <w:b/>
          <w:noProof/>
        </w:rPr>
        <w:t xml:space="preserve">would </w:t>
      </w:r>
      <w:r w:rsidRPr="007F7910">
        <w:rPr>
          <w:b/>
          <w:noProof/>
          <w:u w:val="single"/>
        </w:rPr>
        <w:t>not</w:t>
      </w:r>
      <w:r w:rsidRPr="00FA0787">
        <w:rPr>
          <w:b/>
          <w:noProof/>
        </w:rPr>
        <w:t xml:space="preserve"> allow</w:t>
      </w:r>
      <w:r>
        <w:rPr>
          <w:noProof/>
        </w:rPr>
        <w:t xml:space="preserve"> service providers whose parent company is headquartered outside of the Union to be considered as ‘sovereign level 3’.</w:t>
      </w:r>
    </w:p>
    <w:p w14:paraId="3BBB5492" w14:textId="77777777" w:rsidR="000A5039" w:rsidRDefault="000A5039" w:rsidP="000A5039">
      <w:pPr>
        <w:pStyle w:val="ListBullet"/>
        <w:numPr>
          <w:ilvl w:val="0"/>
          <w:numId w:val="0"/>
        </w:numPr>
        <w:spacing w:after="0"/>
        <w:ind w:left="360"/>
        <w:rPr>
          <w:noProof/>
        </w:rPr>
      </w:pPr>
    </w:p>
    <w:p w14:paraId="1CA82FBF" w14:textId="77777777" w:rsidR="000A5039" w:rsidRDefault="000A5039" w:rsidP="000A5039">
      <w:pPr>
        <w:pStyle w:val="ListBullet"/>
        <w:numPr>
          <w:ilvl w:val="0"/>
          <w:numId w:val="0"/>
        </w:numPr>
        <w:spacing w:after="0"/>
        <w:ind w:left="360"/>
        <w:rPr>
          <w:noProof/>
        </w:rPr>
      </w:pPr>
      <w:r>
        <w:rPr>
          <w:noProof/>
        </w:rPr>
        <w:t xml:space="preserve">To be considered </w:t>
      </w:r>
      <w:r w:rsidRPr="005A5620">
        <w:rPr>
          <w:noProof/>
          <w:u w:val="single"/>
        </w:rPr>
        <w:t>‘</w:t>
      </w:r>
      <w:r w:rsidRPr="005A5620">
        <w:rPr>
          <w:b/>
          <w:i/>
          <w:noProof/>
          <w:u w:val="single"/>
        </w:rPr>
        <w:t>sovereign level 4’</w:t>
      </w:r>
      <w:r>
        <w:rPr>
          <w:noProof/>
        </w:rPr>
        <w:t>, a service must meet the following cumulative criteria:</w:t>
      </w:r>
    </w:p>
    <w:p w14:paraId="2981C9C8" w14:textId="707E20C9" w:rsidR="00DE1FBA" w:rsidRDefault="00DE1FBA" w:rsidP="00DE1FBA">
      <w:pPr>
        <w:pStyle w:val="ListBullet"/>
        <w:numPr>
          <w:ilvl w:val="0"/>
          <w:numId w:val="160"/>
        </w:numPr>
        <w:tabs>
          <w:tab w:val="left" w:pos="567"/>
        </w:tabs>
        <w:spacing w:after="0"/>
        <w:ind w:left="1276" w:hanging="567"/>
        <w:rPr>
          <w:noProof/>
        </w:rPr>
      </w:pPr>
      <w:r>
        <w:rPr>
          <w:noProof/>
        </w:rPr>
        <w:t xml:space="preserve">the service provider and subcontractors must be </w:t>
      </w:r>
      <w:r w:rsidRPr="004307B1">
        <w:rPr>
          <w:b/>
          <w:bCs/>
          <w:noProof/>
        </w:rPr>
        <w:t>established</w:t>
      </w:r>
      <w:r>
        <w:rPr>
          <w:noProof/>
        </w:rPr>
        <w:t xml:space="preserve"> in the Union; and</w:t>
      </w:r>
    </w:p>
    <w:p w14:paraId="7326B507" w14:textId="1275166C" w:rsidR="00DE1FBA" w:rsidRDefault="00DE1FBA" w:rsidP="00DE1FBA">
      <w:pPr>
        <w:pStyle w:val="ListBullet"/>
        <w:numPr>
          <w:ilvl w:val="0"/>
          <w:numId w:val="160"/>
        </w:numPr>
        <w:tabs>
          <w:tab w:val="left" w:pos="567"/>
        </w:tabs>
        <w:spacing w:after="0"/>
        <w:ind w:left="1211" w:hanging="491"/>
        <w:rPr>
          <w:noProof/>
        </w:rPr>
      </w:pPr>
      <w:r>
        <w:rPr>
          <w:noProof/>
        </w:rPr>
        <w:t xml:space="preserve">the service must be fully operated from computing infrastructure and assets </w:t>
      </w:r>
      <w:r w:rsidRPr="004307B1">
        <w:rPr>
          <w:b/>
          <w:bCs/>
          <w:noProof/>
        </w:rPr>
        <w:t>located</w:t>
      </w:r>
      <w:r>
        <w:rPr>
          <w:noProof/>
        </w:rPr>
        <w:t xml:space="preserve"> in the Union; and</w:t>
      </w:r>
    </w:p>
    <w:p w14:paraId="2EFBB04D" w14:textId="5918EBF2" w:rsidR="00DE1FBA" w:rsidRDefault="00DE1FBA" w:rsidP="00DE1FBA">
      <w:pPr>
        <w:pStyle w:val="ListBullet"/>
        <w:numPr>
          <w:ilvl w:val="0"/>
          <w:numId w:val="160"/>
        </w:numPr>
        <w:tabs>
          <w:tab w:val="left" w:pos="567"/>
        </w:tabs>
        <w:spacing w:after="0"/>
        <w:ind w:left="1211" w:hanging="491"/>
        <w:rPr>
          <w:noProof/>
        </w:rPr>
      </w:pPr>
      <w:r>
        <w:rPr>
          <w:noProof/>
        </w:rPr>
        <w:t xml:space="preserve">members of the board, executive team and personnel operating the service are Union nationals, located in the Union, </w:t>
      </w:r>
      <w:r w:rsidRPr="007140C4">
        <w:rPr>
          <w:b/>
          <w:noProof/>
        </w:rPr>
        <w:t>and are security cleared</w:t>
      </w:r>
      <w:r w:rsidRPr="007140C4">
        <w:rPr>
          <w:b/>
          <w:bCs/>
          <w:noProof/>
        </w:rPr>
        <w:t xml:space="preserve"> where </w:t>
      </w:r>
      <w:r>
        <w:rPr>
          <w:b/>
          <w:bCs/>
          <w:noProof/>
        </w:rPr>
        <w:t>appropriate</w:t>
      </w:r>
      <w:r>
        <w:rPr>
          <w:noProof/>
        </w:rPr>
        <w:t>; and</w:t>
      </w:r>
    </w:p>
    <w:p w14:paraId="08A73D0A" w14:textId="67A2268B" w:rsidR="00DE1FBA" w:rsidRDefault="00DE1FBA" w:rsidP="00DE1FBA">
      <w:pPr>
        <w:pStyle w:val="ListBullet"/>
        <w:numPr>
          <w:ilvl w:val="0"/>
          <w:numId w:val="160"/>
        </w:numPr>
        <w:tabs>
          <w:tab w:val="left" w:pos="567"/>
        </w:tabs>
        <w:spacing w:after="0"/>
        <w:ind w:left="1211" w:hanging="491"/>
        <w:rPr>
          <w:noProof/>
        </w:rPr>
      </w:pPr>
      <w:r>
        <w:rPr>
          <w:noProof/>
        </w:rPr>
        <w:t xml:space="preserve">the service provider must be </w:t>
      </w:r>
      <w:r w:rsidRPr="00FA0787">
        <w:rPr>
          <w:b/>
          <w:noProof/>
        </w:rPr>
        <w:t>owned and controlled</w:t>
      </w:r>
      <w:r>
        <w:rPr>
          <w:noProof/>
        </w:rPr>
        <w:t xml:space="preserve"> by a Union legal entity and the subcontractors involved in the provision of the service are located in the Union and owned and controlled by a Union legal entity; and</w:t>
      </w:r>
    </w:p>
    <w:p w14:paraId="24643420" w14:textId="77777777" w:rsidR="004151BA" w:rsidRDefault="00DE1FBA" w:rsidP="00DE1FBA">
      <w:pPr>
        <w:pStyle w:val="ListBullet"/>
        <w:numPr>
          <w:ilvl w:val="0"/>
          <w:numId w:val="160"/>
        </w:numPr>
        <w:tabs>
          <w:tab w:val="left" w:pos="567"/>
        </w:tabs>
        <w:spacing w:after="0"/>
        <w:ind w:left="1211" w:hanging="491"/>
        <w:rPr>
          <w:noProof/>
        </w:rPr>
      </w:pPr>
      <w:r>
        <w:rPr>
          <w:noProof/>
        </w:rPr>
        <w:t xml:space="preserve">the  data generated by using the audited service shall not be re-used for the training or fine-tuning of an AI system </w:t>
      </w:r>
      <w:r w:rsidRPr="00FA0787">
        <w:rPr>
          <w:b/>
          <w:noProof/>
        </w:rPr>
        <w:t xml:space="preserve">operated by </w:t>
      </w:r>
      <w:r w:rsidRPr="00FA0787">
        <w:rPr>
          <w:b/>
          <w:bCs/>
          <w:noProof/>
        </w:rPr>
        <w:t>a</w:t>
      </w:r>
      <w:r w:rsidRPr="00FA0787">
        <w:rPr>
          <w:b/>
          <w:noProof/>
        </w:rPr>
        <w:t xml:space="preserve"> </w:t>
      </w:r>
      <w:r>
        <w:rPr>
          <w:b/>
          <w:bCs/>
          <w:noProof/>
        </w:rPr>
        <w:t xml:space="preserve">third-country legal </w:t>
      </w:r>
      <w:r w:rsidRPr="00FA0787">
        <w:rPr>
          <w:b/>
          <w:noProof/>
        </w:rPr>
        <w:t>entity</w:t>
      </w:r>
      <w:r>
        <w:rPr>
          <w:b/>
          <w:noProof/>
        </w:rPr>
        <w:t xml:space="preserve"> and in any case are not transferred outside of the Union</w:t>
      </w:r>
      <w:r>
        <w:rPr>
          <w:noProof/>
        </w:rPr>
        <w:t>; and</w:t>
      </w:r>
    </w:p>
    <w:p w14:paraId="12DD4B8D" w14:textId="03BEC1B2" w:rsidR="00DE1FBA" w:rsidRDefault="004151BA" w:rsidP="00DE1FBA">
      <w:pPr>
        <w:pStyle w:val="ListBullet"/>
        <w:numPr>
          <w:ilvl w:val="0"/>
          <w:numId w:val="160"/>
        </w:numPr>
        <w:tabs>
          <w:tab w:val="left" w:pos="567"/>
        </w:tabs>
        <w:spacing w:after="0"/>
        <w:ind w:left="1211" w:hanging="491"/>
        <w:rPr>
          <w:noProof/>
        </w:rPr>
      </w:pPr>
      <w:r>
        <w:rPr>
          <w:noProof/>
        </w:rPr>
        <w:t>the cusomter data, including metadata and telemtry data, remain exclusively in the Union; and</w:t>
      </w:r>
    </w:p>
    <w:p w14:paraId="4EA82C6D" w14:textId="77777777" w:rsidR="00DE1FBA" w:rsidRDefault="00DE1FBA" w:rsidP="00DE1FBA">
      <w:pPr>
        <w:pStyle w:val="ListBullet"/>
        <w:numPr>
          <w:ilvl w:val="0"/>
          <w:numId w:val="160"/>
        </w:numPr>
        <w:tabs>
          <w:tab w:val="left" w:pos="567"/>
        </w:tabs>
        <w:spacing w:after="0"/>
        <w:ind w:left="1211" w:hanging="491"/>
        <w:rPr>
          <w:noProof/>
        </w:rPr>
      </w:pPr>
      <w:r>
        <w:rPr>
          <w:noProof/>
        </w:rPr>
        <w:t>the service must demonstrate a high level of cybersecurity by being certified at least at level ‘</w:t>
      </w:r>
      <w:r w:rsidRPr="009A53BE">
        <w:rPr>
          <w:noProof/>
        </w:rPr>
        <w:t>high’</w:t>
      </w:r>
      <w:r>
        <w:rPr>
          <w:noProof/>
        </w:rPr>
        <w:t xml:space="preserve"> under the European Cybersecurity Certification Scheme for Cloud Services (EUCS); and</w:t>
      </w:r>
    </w:p>
    <w:p w14:paraId="24BD2106" w14:textId="360B573D" w:rsidR="00DE1FBA" w:rsidRDefault="008F3A41" w:rsidP="00DE1FBA">
      <w:pPr>
        <w:pStyle w:val="ListBullet"/>
        <w:numPr>
          <w:ilvl w:val="0"/>
          <w:numId w:val="160"/>
        </w:numPr>
        <w:tabs>
          <w:tab w:val="left" w:pos="567"/>
        </w:tabs>
        <w:spacing w:after="0"/>
        <w:ind w:left="1211" w:hanging="491"/>
        <w:rPr>
          <w:noProof/>
        </w:rPr>
      </w:pPr>
      <w:r>
        <w:rPr>
          <w:noProof/>
        </w:rPr>
        <w:t xml:space="preserve"> </w:t>
      </w:r>
      <w:r w:rsidR="00DE1FBA" w:rsidRPr="004840CF">
        <w:rPr>
          <w:noProof/>
        </w:rPr>
        <w:t xml:space="preserve">the service provider must demonstrate </w:t>
      </w:r>
      <w:r w:rsidR="00DE1FBA">
        <w:rPr>
          <w:b/>
          <w:noProof/>
        </w:rPr>
        <w:t>effective</w:t>
      </w:r>
      <w:r w:rsidR="00DE1FBA" w:rsidRPr="004840CF">
        <w:rPr>
          <w:b/>
          <w:noProof/>
        </w:rPr>
        <w:t xml:space="preserve"> control</w:t>
      </w:r>
      <w:r w:rsidR="00DE1FBA" w:rsidRPr="004840CF">
        <w:rPr>
          <w:noProof/>
        </w:rPr>
        <w:t xml:space="preserve"> over the software components that underpin the service</w:t>
      </w:r>
      <w:r w:rsidR="00DE1FBA">
        <w:rPr>
          <w:noProof/>
        </w:rPr>
        <w:t xml:space="preserve"> (software stack) by demonstrating that a third country or a third country entity does not have excessive control over the software </w:t>
      </w:r>
      <w:r>
        <w:rPr>
          <w:noProof/>
        </w:rPr>
        <w:t xml:space="preserve">and the software </w:t>
      </w:r>
      <w:r w:rsidR="00DE1FBA">
        <w:rPr>
          <w:noProof/>
        </w:rPr>
        <w:t>lifecycle</w:t>
      </w:r>
      <w:r w:rsidR="00DE1FBA" w:rsidRPr="004840CF">
        <w:rPr>
          <w:noProof/>
        </w:rPr>
        <w:t xml:space="preserve">. This notably implies that the </w:t>
      </w:r>
      <w:r w:rsidR="00DE1FBA" w:rsidRPr="004840CF">
        <w:rPr>
          <w:b/>
          <w:noProof/>
        </w:rPr>
        <w:t>relevant code</w:t>
      </w:r>
      <w:r w:rsidR="00DE1FBA" w:rsidRPr="004840CF">
        <w:rPr>
          <w:noProof/>
        </w:rPr>
        <w:t xml:space="preserve"> of the service stack can be audited and that the </w:t>
      </w:r>
      <w:r>
        <w:rPr>
          <w:noProof/>
        </w:rPr>
        <w:t xml:space="preserve">effective control of the code exists </w:t>
      </w:r>
      <w:r w:rsidR="00DE1FBA" w:rsidRPr="004840CF">
        <w:rPr>
          <w:noProof/>
        </w:rPr>
        <w:t>by a Union legal entity</w:t>
      </w:r>
      <w:r w:rsidR="00DE1FBA">
        <w:rPr>
          <w:noProof/>
        </w:rPr>
        <w:t>; and</w:t>
      </w:r>
      <w:r w:rsidR="00DE1FBA" w:rsidRPr="004840CF">
        <w:rPr>
          <w:noProof/>
        </w:rPr>
        <w:t xml:space="preserve"> </w:t>
      </w:r>
    </w:p>
    <w:p w14:paraId="503BA07C" w14:textId="6836DAD8" w:rsidR="00AA1100" w:rsidRDefault="008F3A41" w:rsidP="00DE1FBA">
      <w:pPr>
        <w:pStyle w:val="ListBullet"/>
        <w:numPr>
          <w:ilvl w:val="0"/>
          <w:numId w:val="160"/>
        </w:numPr>
        <w:tabs>
          <w:tab w:val="left" w:pos="567"/>
        </w:tabs>
        <w:spacing w:after="0"/>
        <w:rPr>
          <w:noProof/>
        </w:rPr>
      </w:pPr>
      <w:r>
        <w:rPr>
          <w:noProof/>
        </w:rPr>
        <w:t xml:space="preserve"> </w:t>
      </w:r>
      <w:r w:rsidR="00DE1FBA">
        <w:rPr>
          <w:noProof/>
        </w:rPr>
        <w:t xml:space="preserve">operational and technical support, including outsourcing, are initiated and performed exclusively within the Union and by Union citizens, and by </w:t>
      </w:r>
      <w:r w:rsidR="00DE1FBA" w:rsidRPr="008775E6">
        <w:rPr>
          <w:noProof/>
          <w:lang w:val="en-IE" w:eastAsia="ja-JP"/>
        </w:rPr>
        <w:t>third parties that are not subject to the control of a third country or third country entity</w:t>
      </w:r>
      <w:r>
        <w:rPr>
          <w:noProof/>
        </w:rPr>
        <w:t>; and</w:t>
      </w:r>
    </w:p>
    <w:p w14:paraId="06A8AB57" w14:textId="5F1D36BE" w:rsidR="00DE1FBA" w:rsidRDefault="00B400C7" w:rsidP="00DE1FBA">
      <w:pPr>
        <w:pStyle w:val="ListBullet"/>
        <w:numPr>
          <w:ilvl w:val="0"/>
          <w:numId w:val="160"/>
        </w:numPr>
        <w:tabs>
          <w:tab w:val="left" w:pos="567"/>
        </w:tabs>
        <w:spacing w:after="0"/>
        <w:rPr>
          <w:noProof/>
        </w:rPr>
      </w:pPr>
      <w:r>
        <w:rPr>
          <w:noProof/>
        </w:rPr>
        <w:t>where the cloud service provider is subject to the control of a third country or a third country entity, it must be able to prove that the laws and government practices in that country do not require the provider to tell that country's authorities about software vulnerabilities before those vulnerabilities have been publicly discovered.</w:t>
      </w:r>
    </w:p>
    <w:p w14:paraId="36AB08A9" w14:textId="77777777" w:rsidR="000A5039" w:rsidRDefault="000A5039" w:rsidP="000A5039">
      <w:pPr>
        <w:pStyle w:val="ListBullet"/>
        <w:numPr>
          <w:ilvl w:val="0"/>
          <w:numId w:val="0"/>
        </w:numPr>
        <w:tabs>
          <w:tab w:val="left" w:pos="567"/>
        </w:tabs>
        <w:spacing w:after="0"/>
        <w:ind w:left="1211"/>
        <w:rPr>
          <w:noProof/>
        </w:rPr>
      </w:pPr>
    </w:p>
    <w:p w14:paraId="73874137" w14:textId="7BEA9BDD" w:rsidR="0004358C" w:rsidRDefault="000A5039" w:rsidP="00246797">
      <w:pPr>
        <w:pStyle w:val="ListBullet"/>
        <w:numPr>
          <w:ilvl w:val="0"/>
          <w:numId w:val="0"/>
        </w:numPr>
        <w:tabs>
          <w:tab w:val="left" w:pos="567"/>
        </w:tabs>
        <w:rPr>
          <w:noProof/>
        </w:rPr>
      </w:pPr>
      <w:r>
        <w:rPr>
          <w:noProof/>
        </w:rPr>
        <w:t xml:space="preserve">These requirements </w:t>
      </w:r>
      <w:r w:rsidRPr="00FA0787">
        <w:rPr>
          <w:b/>
          <w:noProof/>
        </w:rPr>
        <w:t xml:space="preserve">would </w:t>
      </w:r>
      <w:r w:rsidRPr="00F0221A">
        <w:rPr>
          <w:b/>
          <w:noProof/>
          <w:u w:val="single"/>
        </w:rPr>
        <w:t>not</w:t>
      </w:r>
      <w:r w:rsidRPr="00FA0787">
        <w:rPr>
          <w:b/>
          <w:noProof/>
        </w:rPr>
        <w:t xml:space="preserve"> allow</w:t>
      </w:r>
      <w:r>
        <w:rPr>
          <w:noProof/>
        </w:rPr>
        <w:t xml:space="preserve"> </w:t>
      </w:r>
      <w:r w:rsidRPr="00DE198E">
        <w:rPr>
          <w:noProof/>
        </w:rPr>
        <w:t xml:space="preserve">providers headquartered outside of the </w:t>
      </w:r>
      <w:r>
        <w:rPr>
          <w:noProof/>
        </w:rPr>
        <w:t>Union to be considered as ‘sovereign level 4’.</w:t>
      </w:r>
    </w:p>
    <w:p w14:paraId="5ECFB225" w14:textId="317F164C" w:rsidR="00C42C58" w:rsidRPr="009F2DE7" w:rsidRDefault="0099092C" w:rsidP="00CC3D69">
      <w:pPr>
        <w:rPr>
          <w:noProof/>
        </w:rPr>
      </w:pPr>
      <w:r w:rsidRPr="00A3444B">
        <w:rPr>
          <w:noProof/>
        </w:rPr>
        <w:t>Sovereignty is not only cybersecurity</w:t>
      </w:r>
      <w:r w:rsidR="00A3444B" w:rsidRPr="00A3444B">
        <w:rPr>
          <w:noProof/>
        </w:rPr>
        <w:t xml:space="preserve">. </w:t>
      </w:r>
      <w:r w:rsidR="00514666">
        <w:rPr>
          <w:noProof/>
        </w:rPr>
        <w:t xml:space="preserve">The criteria above </w:t>
      </w:r>
      <w:r w:rsidR="005B7237">
        <w:rPr>
          <w:noProof/>
        </w:rPr>
        <w:t xml:space="preserve">deal </w:t>
      </w:r>
      <w:r w:rsidR="00EB2740">
        <w:rPr>
          <w:noProof/>
        </w:rPr>
        <w:t xml:space="preserve">solely </w:t>
      </w:r>
      <w:r w:rsidR="005B7237">
        <w:rPr>
          <w:noProof/>
        </w:rPr>
        <w:t>with</w:t>
      </w:r>
      <w:r w:rsidR="00514666">
        <w:rPr>
          <w:noProof/>
        </w:rPr>
        <w:t xml:space="preserve"> sovereignty. </w:t>
      </w:r>
      <w:r w:rsidR="00514666" w:rsidRPr="00A3444B">
        <w:rPr>
          <w:noProof/>
        </w:rPr>
        <w:t xml:space="preserve">Cybersecurity and sovereignty are closely related and </w:t>
      </w:r>
      <w:r w:rsidR="00FC7100" w:rsidRPr="00A3444B">
        <w:rPr>
          <w:noProof/>
        </w:rPr>
        <w:t xml:space="preserve">are </w:t>
      </w:r>
      <w:r w:rsidR="00514666" w:rsidRPr="00A3444B">
        <w:rPr>
          <w:noProof/>
        </w:rPr>
        <w:t>complementary</w:t>
      </w:r>
      <w:r w:rsidR="005B7237" w:rsidRPr="00A3444B">
        <w:rPr>
          <w:noProof/>
        </w:rPr>
        <w:t xml:space="preserve">. However, </w:t>
      </w:r>
      <w:r w:rsidR="00514666" w:rsidRPr="00A3444B">
        <w:rPr>
          <w:noProof/>
        </w:rPr>
        <w:t xml:space="preserve">they do not focus on the same aspects nor pursue identical </w:t>
      </w:r>
      <w:r w:rsidR="00514666" w:rsidRPr="00CC3D69">
        <w:rPr>
          <w:noProof/>
        </w:rPr>
        <w:t xml:space="preserve">objectives. </w:t>
      </w:r>
    </w:p>
    <w:p w14:paraId="19F3025A" w14:textId="05EC2516" w:rsidR="00614A9F" w:rsidRDefault="004E30D8" w:rsidP="00A46C01">
      <w:pPr>
        <w:rPr>
          <w:noProof/>
        </w:rPr>
      </w:pPr>
      <w:r>
        <w:rPr>
          <w:noProof/>
        </w:rPr>
        <w:t>In this respect, s</w:t>
      </w:r>
      <w:r w:rsidR="00514666" w:rsidRPr="00CC3D69">
        <w:rPr>
          <w:noProof/>
        </w:rPr>
        <w:t>overeignty goes beyond the technical protection of services</w:t>
      </w:r>
      <w:r w:rsidR="009B254C">
        <w:rPr>
          <w:noProof/>
        </w:rPr>
        <w:t>.</w:t>
      </w:r>
      <w:r>
        <w:rPr>
          <w:noProof/>
        </w:rPr>
        <w:t xml:space="preserve"> It </w:t>
      </w:r>
      <w:r w:rsidR="00514666" w:rsidRPr="00CC3D69">
        <w:rPr>
          <w:noProof/>
        </w:rPr>
        <w:t xml:space="preserve">primarily addresses who exercises control over the data, and under which legal framework this control is exercised. </w:t>
      </w:r>
      <w:r w:rsidR="00614A9F">
        <w:rPr>
          <w:noProof/>
        </w:rPr>
        <w:t>A</w:t>
      </w:r>
      <w:r w:rsidR="005C766D" w:rsidRPr="009F2DE7">
        <w:rPr>
          <w:noProof/>
        </w:rPr>
        <w:t xml:space="preserve"> cloud service can be technically very secure and still be exposed to non-technical risks stemming from the exposure to third country legislation, because it is subject to foreign laws, or because key operations and decision-making are located outside of the EU. In such cases, the residual risk stems from legal obligations rather than from technical vulnerabilities.</w:t>
      </w:r>
      <w:r w:rsidR="009D324C" w:rsidRPr="009D324C">
        <w:rPr>
          <w:noProof/>
        </w:rPr>
        <w:t xml:space="preserve"> </w:t>
      </w:r>
    </w:p>
    <w:p w14:paraId="1F2F11F8" w14:textId="6B4039B7" w:rsidR="005C766D" w:rsidRPr="009F2DE7" w:rsidRDefault="009D324C" w:rsidP="00CC3D69">
      <w:pPr>
        <w:rPr>
          <w:noProof/>
        </w:rPr>
      </w:pPr>
      <w:r>
        <w:rPr>
          <w:noProof/>
        </w:rPr>
        <w:t>Hence, n</w:t>
      </w:r>
      <w:r w:rsidRPr="009F2DE7">
        <w:rPr>
          <w:noProof/>
        </w:rPr>
        <w:t>on-technical risks related to the potential access of third-country authorities to the data cannot be fully addressed through technology or cybersecurity alone. Both need to be understood and looked at as complementary measures, not mutually exclusive and partially overlapping. Technical cybersecurity and non-technical risks address different threat vectors. Properly designed security architectures, such as customer-controlled encryption, strict role segregation or data access minimisation can technically constrain the practical ability of a third-country authority to access the data, regardless of the provider’s jurisdiction. In this sense, a technical cybersecurity implementation can serve as a meaningful mitigation strategy of a non-technical risk.</w:t>
      </w:r>
    </w:p>
    <w:p w14:paraId="400CF1D8" w14:textId="77777777" w:rsidR="00DE1FA0" w:rsidRDefault="000C59FF" w:rsidP="001A49D4">
      <w:pPr>
        <w:pStyle w:val="Reply"/>
        <w:spacing w:line="240" w:lineRule="auto"/>
        <w:rPr>
          <w:noProof/>
          <w:kern w:val="0"/>
          <w14:ligatures w14:val="none"/>
        </w:rPr>
      </w:pPr>
      <w:r>
        <w:rPr>
          <w:noProof/>
          <w:kern w:val="0"/>
          <w14:ligatures w14:val="none"/>
        </w:rPr>
        <w:t>M</w:t>
      </w:r>
      <w:r w:rsidR="005C766D" w:rsidRPr="00CC3D69">
        <w:rPr>
          <w:noProof/>
          <w:kern w:val="0"/>
          <w14:ligatures w14:val="none"/>
        </w:rPr>
        <w:t>easures that significantly improve sovereignty (e.g. increasing strategic autonomy and resilience, decreasing dependence) may have a limited incremental effect on classical cybersecurity, while they are still justified for regulatory and trust-building reasons. Conversely, some cybersecurity measures such as stronger encryption mechanisms can be implemented without drastic changes to who controls the infrastructure and data or which legal construct governs access, thus resulting in marginal improvements of sovereignty and operational autonomy.</w:t>
      </w:r>
      <w:r w:rsidR="00D051B1">
        <w:rPr>
          <w:noProof/>
          <w:kern w:val="0"/>
          <w14:ligatures w14:val="none"/>
        </w:rPr>
        <w:t xml:space="preserve"> </w:t>
      </w:r>
    </w:p>
    <w:p w14:paraId="17F32E02" w14:textId="77777777" w:rsidR="00E63BBA" w:rsidRDefault="00E63BBA" w:rsidP="001A49D4">
      <w:pPr>
        <w:pStyle w:val="Reply"/>
        <w:spacing w:line="240" w:lineRule="auto"/>
        <w:rPr>
          <w:noProof/>
          <w:kern w:val="0"/>
          <w14:ligatures w14:val="none"/>
        </w:rPr>
      </w:pPr>
    </w:p>
    <w:p w14:paraId="61B349F6" w14:textId="42011EF2" w:rsidR="004F4FED" w:rsidRDefault="004F4FED" w:rsidP="001A49D4">
      <w:pPr>
        <w:pStyle w:val="Reply"/>
        <w:spacing w:line="240" w:lineRule="auto"/>
        <w:rPr>
          <w:bCs w:val="0"/>
          <w:iCs w:val="0"/>
          <w:noProof/>
          <w:kern w:val="0"/>
          <w14:ligatures w14:val="none"/>
        </w:rPr>
      </w:pPr>
      <w:r w:rsidRPr="00CB164B">
        <w:rPr>
          <w:noProof/>
          <w:kern w:val="0"/>
          <w14:ligatures w14:val="none"/>
        </w:rPr>
        <w:t>Even when a service is exceptionally well protected from a cybersecurity standpoint, a legally binding request from third country authorities may still compel the provider to grant access to the data, which constitutes a residual risk if robust internal processes are not in place. This risk exists independently of the technical robustness of the service and the service provider and stems from the provider’s legal obligations rather than from technical vulnerabilities. For this reason, the way a service provider constructs its whole architecture becomes crucial and typically follows a “cannot comply” paradigm. Under this approach, compliance with external access requests in rendered technically, operationally or legally impossible (see the OVH case in Canada</w:t>
      </w:r>
      <w:r w:rsidRPr="00B05194">
        <w:rPr>
          <w:noProof/>
          <w:kern w:val="0"/>
          <w:vertAlign w:val="superscript"/>
          <w14:ligatures w14:val="none"/>
        </w:rPr>
        <w:footnoteReference w:id="57"/>
      </w:r>
      <w:r w:rsidRPr="00CB164B">
        <w:rPr>
          <w:noProof/>
          <w:kern w:val="0"/>
          <w14:ligatures w14:val="none"/>
        </w:rPr>
        <w:t>). This is achieved through well-defined governance and control mechanisms, including strict internal processes governing how employees handle access requests, clear delineated roles and responsibilities regarding data access, as well as more organisational measures such as segregation of duties or control over the cryptographic keys (e.g. ensuring that the encryption keys are not accessible to the provider or are held exclusively by the customer). Although these architectures involve additional upfront and operational costs</w:t>
      </w:r>
      <w:r w:rsidR="00107CB3">
        <w:rPr>
          <w:bCs w:val="0"/>
          <w:iCs w:val="0"/>
          <w:noProof/>
          <w:kern w:val="0"/>
          <w14:ligatures w14:val="none"/>
        </w:rPr>
        <w:t xml:space="preserve">, </w:t>
      </w:r>
      <w:r w:rsidR="00C373E8">
        <w:rPr>
          <w:bCs w:val="0"/>
          <w:iCs w:val="0"/>
          <w:noProof/>
          <w:kern w:val="0"/>
          <w14:ligatures w14:val="none"/>
        </w:rPr>
        <w:t>the majority in personnel</w:t>
      </w:r>
      <w:r w:rsidRPr="00CB164B">
        <w:rPr>
          <w:noProof/>
          <w:kern w:val="0"/>
          <w14:ligatures w14:val="none"/>
        </w:rPr>
        <w:t>, they demonstrably increase assurance and trust for customers, as they reduce the scope for a compelled access to data through the provider and strengthen compliance with sovereignty requirements.</w:t>
      </w:r>
      <w:r w:rsidR="007D2DEE">
        <w:rPr>
          <w:bCs w:val="0"/>
          <w:iCs w:val="0"/>
          <w:noProof/>
          <w:kern w:val="0"/>
          <w14:ligatures w14:val="none"/>
        </w:rPr>
        <w:t xml:space="preserve"> </w:t>
      </w:r>
      <w:r w:rsidR="00C373E8">
        <w:rPr>
          <w:bCs w:val="0"/>
          <w:iCs w:val="0"/>
          <w:noProof/>
          <w:kern w:val="0"/>
          <w14:ligatures w14:val="none"/>
        </w:rPr>
        <w:t xml:space="preserve">Organizations already have clear roles and responsibilities and segregation of duties defined as part of their policies and procedures addressing technical </w:t>
      </w:r>
      <w:r w:rsidR="003A0D93">
        <w:rPr>
          <w:bCs w:val="0"/>
          <w:iCs w:val="0"/>
          <w:noProof/>
          <w:kern w:val="0"/>
          <w14:ligatures w14:val="none"/>
        </w:rPr>
        <w:t>requirements and</w:t>
      </w:r>
      <w:r w:rsidR="0045509A">
        <w:rPr>
          <w:bCs w:val="0"/>
          <w:iCs w:val="0"/>
          <w:noProof/>
          <w:kern w:val="0"/>
          <w14:ligatures w14:val="none"/>
        </w:rPr>
        <w:t xml:space="preserve"> hence are not considered</w:t>
      </w:r>
      <w:r w:rsidR="003A0D93">
        <w:rPr>
          <w:bCs w:val="0"/>
          <w:iCs w:val="0"/>
          <w:noProof/>
          <w:kern w:val="0"/>
          <w14:ligatures w14:val="none"/>
        </w:rPr>
        <w:t xml:space="preserve"> in the calculations. Only the additional costs such as the definition of the policies and procedures</w:t>
      </w:r>
      <w:r w:rsidR="007A7819">
        <w:rPr>
          <w:bCs w:val="0"/>
          <w:iCs w:val="0"/>
          <w:noProof/>
          <w:kern w:val="0"/>
          <w14:ligatures w14:val="none"/>
        </w:rPr>
        <w:t xml:space="preserve"> to </w:t>
      </w:r>
      <w:r w:rsidR="002255BC">
        <w:rPr>
          <w:bCs w:val="0"/>
          <w:iCs w:val="0"/>
          <w:noProof/>
          <w:kern w:val="0"/>
          <w14:ligatures w14:val="none"/>
        </w:rPr>
        <w:t>protect from</w:t>
      </w:r>
      <w:r w:rsidR="007A7819">
        <w:rPr>
          <w:bCs w:val="0"/>
          <w:iCs w:val="0"/>
          <w:noProof/>
          <w:kern w:val="0"/>
          <w14:ligatures w14:val="none"/>
        </w:rPr>
        <w:t xml:space="preserve"> the requests</w:t>
      </w:r>
      <w:r w:rsidR="002255BC">
        <w:rPr>
          <w:bCs w:val="0"/>
          <w:iCs w:val="0"/>
          <w:noProof/>
          <w:kern w:val="0"/>
          <w14:ligatures w14:val="none"/>
        </w:rPr>
        <w:t xml:space="preserve"> of third country legislations with extraterritorial reach</w:t>
      </w:r>
      <w:r w:rsidR="003A0D93">
        <w:rPr>
          <w:bCs w:val="0"/>
          <w:iCs w:val="0"/>
          <w:noProof/>
          <w:kern w:val="0"/>
          <w14:ligatures w14:val="none"/>
        </w:rPr>
        <w:t xml:space="preserve"> </w:t>
      </w:r>
      <w:r w:rsidR="00CE164C">
        <w:rPr>
          <w:bCs w:val="0"/>
          <w:iCs w:val="0"/>
          <w:noProof/>
          <w:kern w:val="0"/>
          <w14:ligatures w14:val="none"/>
        </w:rPr>
        <w:t xml:space="preserve">and the modification of </w:t>
      </w:r>
      <w:r w:rsidR="00D22921">
        <w:rPr>
          <w:bCs w:val="0"/>
          <w:iCs w:val="0"/>
          <w:noProof/>
          <w:kern w:val="0"/>
          <w14:ligatures w14:val="none"/>
        </w:rPr>
        <w:t xml:space="preserve">controls are </w:t>
      </w:r>
      <w:r w:rsidR="00305360">
        <w:rPr>
          <w:bCs w:val="0"/>
          <w:iCs w:val="0"/>
          <w:noProof/>
          <w:kern w:val="0"/>
          <w14:ligatures w14:val="none"/>
        </w:rPr>
        <w:t>to be considered</w:t>
      </w:r>
      <w:r w:rsidR="00D22921">
        <w:rPr>
          <w:bCs w:val="0"/>
          <w:iCs w:val="0"/>
          <w:noProof/>
          <w:kern w:val="0"/>
          <w14:ligatures w14:val="none"/>
        </w:rPr>
        <w:t xml:space="preserve"> in the adjustment costs</w:t>
      </w:r>
      <w:r w:rsidR="00305360">
        <w:rPr>
          <w:bCs w:val="0"/>
          <w:iCs w:val="0"/>
          <w:noProof/>
          <w:kern w:val="0"/>
          <w14:ligatures w14:val="none"/>
        </w:rPr>
        <w:t>.</w:t>
      </w:r>
    </w:p>
    <w:p w14:paraId="36D03A4E" w14:textId="77777777" w:rsidR="006D390F" w:rsidRPr="00CB164B" w:rsidRDefault="006D390F" w:rsidP="001A49D4">
      <w:pPr>
        <w:pStyle w:val="Reply"/>
        <w:spacing w:line="240" w:lineRule="auto"/>
        <w:rPr>
          <w:noProof/>
          <w:kern w:val="0"/>
          <w14:ligatures w14:val="none"/>
        </w:rPr>
      </w:pPr>
    </w:p>
    <w:p w14:paraId="5D984A27" w14:textId="52325133" w:rsidR="004F4FED" w:rsidRDefault="00125D47" w:rsidP="004F4FED">
      <w:pPr>
        <w:pStyle w:val="Reply"/>
        <w:spacing w:line="240" w:lineRule="auto"/>
        <w:rPr>
          <w:noProof/>
          <w:kern w:val="0"/>
          <w14:ligatures w14:val="none"/>
        </w:rPr>
      </w:pPr>
      <w:r>
        <w:rPr>
          <w:noProof/>
          <w:kern w:val="0"/>
          <w14:ligatures w14:val="none"/>
        </w:rPr>
        <w:t>S</w:t>
      </w:r>
      <w:r w:rsidR="004F4FED" w:rsidRPr="00CB164B">
        <w:rPr>
          <w:noProof/>
          <w:kern w:val="0"/>
          <w14:ligatures w14:val="none"/>
        </w:rPr>
        <w:t xml:space="preserve">overeign architectures incorporating measures to address non-technical risks often require separate environments for jurisdiction, stricter network segmentation and redundant infrastructure, thereby increasing the design, integration and maintenance effort compared to a ‘single’ cloud deployment, and introducing new misconfiguration risks. Complying with non-technical requirements on top of cybersecurity obligations adds significant legal and administrative efforts as providers must demonstrate extensive evidence of compliance and rely on specialised expertise to do so. </w:t>
      </w:r>
    </w:p>
    <w:p w14:paraId="05BBB27D" w14:textId="77777777" w:rsidR="006D390F" w:rsidRDefault="006D390F" w:rsidP="004F4FED">
      <w:pPr>
        <w:pStyle w:val="Reply"/>
        <w:spacing w:line="240" w:lineRule="auto"/>
        <w:rPr>
          <w:bCs w:val="0"/>
          <w:iCs w:val="0"/>
          <w:noProof/>
          <w:kern w:val="0"/>
          <w14:ligatures w14:val="none"/>
        </w:rPr>
      </w:pPr>
    </w:p>
    <w:p w14:paraId="4B62FAAC" w14:textId="2964DA8B" w:rsidR="00182AA9" w:rsidRPr="001938AE" w:rsidRDefault="00182AA9" w:rsidP="00182AA9">
      <w:pPr>
        <w:rPr>
          <w:b/>
          <w:i/>
          <w:noProof/>
        </w:rPr>
      </w:pPr>
      <w:r w:rsidRPr="00F36932">
        <w:rPr>
          <w:b/>
          <w:i/>
          <w:noProof/>
        </w:rPr>
        <w:t xml:space="preserve">One-off adjustment costs for the EC. </w:t>
      </w:r>
      <w:r w:rsidRPr="00F36932">
        <w:rPr>
          <w:noProof/>
        </w:rPr>
        <w:t xml:space="preserve">In the case of the EC the costs for the definition </w:t>
      </w:r>
      <w:r w:rsidR="003C54D4" w:rsidRPr="00F36932">
        <w:rPr>
          <w:noProof/>
        </w:rPr>
        <w:t>of the harmonized</w:t>
      </w:r>
      <w:r w:rsidRPr="00F36932">
        <w:rPr>
          <w:noProof/>
        </w:rPr>
        <w:t xml:space="preserve"> </w:t>
      </w:r>
      <w:r w:rsidR="003C54D4" w:rsidRPr="00F36932">
        <w:rPr>
          <w:noProof/>
        </w:rPr>
        <w:t xml:space="preserve">criteria </w:t>
      </w:r>
      <w:r w:rsidRPr="00F36932">
        <w:rPr>
          <w:noProof/>
        </w:rPr>
        <w:t xml:space="preserve">are not </w:t>
      </w:r>
      <w:r w:rsidR="00A87D8C" w:rsidRPr="00F36932">
        <w:rPr>
          <w:noProof/>
        </w:rPr>
        <w:t xml:space="preserve">to be </w:t>
      </w:r>
      <w:r w:rsidRPr="00F36932">
        <w:rPr>
          <w:noProof/>
        </w:rPr>
        <w:t xml:space="preserve">accounted for as the definition </w:t>
      </w:r>
      <w:r w:rsidR="00F36932" w:rsidRPr="00F36932">
        <w:rPr>
          <w:noProof/>
        </w:rPr>
        <w:t>is</w:t>
      </w:r>
      <w:r w:rsidR="00A87D8C" w:rsidRPr="00F36932">
        <w:rPr>
          <w:noProof/>
        </w:rPr>
        <w:t xml:space="preserve"> set in </w:t>
      </w:r>
      <w:r w:rsidRPr="00F36932">
        <w:rPr>
          <w:noProof/>
        </w:rPr>
        <w:t xml:space="preserve">the Act. However, one off adjustment costs to update the definition are accounted for with 0.5 FTE </w:t>
      </w:r>
      <w:r w:rsidRPr="001938AE">
        <w:rPr>
          <w:noProof/>
        </w:rPr>
        <w:t>in 2032</w:t>
      </w:r>
      <w:r w:rsidR="001D32B0" w:rsidRPr="001938AE">
        <w:rPr>
          <w:noProof/>
        </w:rPr>
        <w:t>.</w:t>
      </w:r>
    </w:p>
    <w:p w14:paraId="2F3770E7" w14:textId="1D2AC460" w:rsidR="00182AA9" w:rsidRPr="001938AE" w:rsidRDefault="00182AA9" w:rsidP="00182AA9">
      <w:pPr>
        <w:rPr>
          <w:noProof/>
        </w:rPr>
      </w:pPr>
      <w:r w:rsidRPr="001938AE">
        <w:rPr>
          <w:b/>
          <w:i/>
          <w:noProof/>
        </w:rPr>
        <w:t xml:space="preserve">One-off adjustment costs for </w:t>
      </w:r>
      <w:r w:rsidR="00CA67E8" w:rsidRPr="001938AE">
        <w:rPr>
          <w:b/>
          <w:i/>
          <w:noProof/>
        </w:rPr>
        <w:t>national public authorities</w:t>
      </w:r>
      <w:r w:rsidRPr="001938AE">
        <w:rPr>
          <w:b/>
          <w:i/>
          <w:noProof/>
        </w:rPr>
        <w:t>.</w:t>
      </w:r>
      <w:r w:rsidRPr="001938AE">
        <w:rPr>
          <w:b/>
          <w:noProof/>
        </w:rPr>
        <w:t xml:space="preserve"> </w:t>
      </w:r>
      <w:r w:rsidRPr="00F36932">
        <w:rPr>
          <w:noProof/>
        </w:rPr>
        <w:t>In the case of National Public Authorities, one-off adjustment costs relate to the adaptation of the</w:t>
      </w:r>
      <w:r w:rsidR="00A87D8C" w:rsidRPr="00F36932">
        <w:rPr>
          <w:noProof/>
        </w:rPr>
        <w:t>ir</w:t>
      </w:r>
      <w:r w:rsidRPr="00F36932">
        <w:rPr>
          <w:noProof/>
        </w:rPr>
        <w:t xml:space="preserve"> procurement templates based on the </w:t>
      </w:r>
      <w:r w:rsidR="003C54D4" w:rsidRPr="00F36932">
        <w:rPr>
          <w:noProof/>
        </w:rPr>
        <w:t xml:space="preserve">harmonized criteria </w:t>
      </w:r>
      <w:r w:rsidRPr="00F36932">
        <w:rPr>
          <w:noProof/>
        </w:rPr>
        <w:t xml:space="preserve">provided by the act. As in the case of </w:t>
      </w:r>
      <w:r w:rsidRPr="001938AE">
        <w:rPr>
          <w:noProof/>
        </w:rPr>
        <w:t xml:space="preserve">the Commission, effort has been estimated for both the initial changes and for the ones needed to be done after the revision of the </w:t>
      </w:r>
      <w:r w:rsidR="003C54D4" w:rsidRPr="001938AE">
        <w:rPr>
          <w:noProof/>
        </w:rPr>
        <w:t>harmonized criteria</w:t>
      </w:r>
      <w:r w:rsidRPr="001938AE">
        <w:rPr>
          <w:noProof/>
        </w:rPr>
        <w:t xml:space="preserve">. In the first case, 3 days have been estimated whereas 1.5 days have been considered for the second activity. These values are per Public Administration publishing public procurement of cloud and AI </w:t>
      </w:r>
      <w:r w:rsidR="00BB72EA" w:rsidRPr="001938AE">
        <w:rPr>
          <w:noProof/>
        </w:rPr>
        <w:t xml:space="preserve">computing </w:t>
      </w:r>
      <w:r w:rsidRPr="001938AE">
        <w:rPr>
          <w:noProof/>
        </w:rPr>
        <w:t xml:space="preserve">services and deciding to voluntarily use the </w:t>
      </w:r>
      <w:r w:rsidR="003C54D4" w:rsidRPr="001938AE">
        <w:rPr>
          <w:noProof/>
        </w:rPr>
        <w:t xml:space="preserve">harmonized criteria for </w:t>
      </w:r>
      <w:r w:rsidRPr="001938AE">
        <w:rPr>
          <w:noProof/>
        </w:rPr>
        <w:t>sovereignty. Therefore, the formula for the total one-off adjustment costs must be computed as:</w:t>
      </w:r>
    </w:p>
    <w:p w14:paraId="7CF30E47" w14:textId="64028D55" w:rsidR="00182AA9" w:rsidRPr="001938AE" w:rsidRDefault="00182AA9" w:rsidP="00343EC5">
      <w:pPr>
        <w:jc w:val="center"/>
        <w:rPr>
          <w:i/>
          <w:noProof/>
        </w:rPr>
      </w:pPr>
      <w:r w:rsidRPr="001938AE">
        <w:rPr>
          <w:i/>
          <w:noProof/>
        </w:rPr>
        <w:t xml:space="preserve">One-off adjustment costs </w:t>
      </w:r>
      <w:r w:rsidR="00AA4E78" w:rsidRPr="001938AE">
        <w:rPr>
          <w:i/>
          <w:noProof/>
        </w:rPr>
        <w:t>(</w:t>
      </w:r>
      <w:r w:rsidRPr="001938AE">
        <w:rPr>
          <w:i/>
          <w:noProof/>
        </w:rPr>
        <w:t>National Public Authorities</w:t>
      </w:r>
      <w:r w:rsidR="00AA4E78" w:rsidRPr="001938AE">
        <w:rPr>
          <w:i/>
          <w:noProof/>
        </w:rPr>
        <w:t>)</w:t>
      </w:r>
      <w:r w:rsidRPr="001938AE">
        <w:rPr>
          <w:i/>
          <w:noProof/>
        </w:rPr>
        <w:t xml:space="preserve"> = time needed to adapt the procurement templates * labour costs * number of procuring authorities using the </w:t>
      </w:r>
      <w:r w:rsidR="0059321F" w:rsidRPr="001938AE">
        <w:rPr>
          <w:i/>
          <w:noProof/>
        </w:rPr>
        <w:t>criteria</w:t>
      </w:r>
    </w:p>
    <w:p w14:paraId="1377BB1F" w14:textId="5E948C31" w:rsidR="00182AA9" w:rsidRPr="001938AE" w:rsidRDefault="00182AA9" w:rsidP="00182AA9">
      <w:pPr>
        <w:rPr>
          <w:i/>
          <w:noProof/>
        </w:rPr>
      </w:pPr>
      <w:r w:rsidRPr="001938AE">
        <w:rPr>
          <w:b/>
          <w:i/>
          <w:noProof/>
        </w:rPr>
        <w:t xml:space="preserve">Recurrent savings for </w:t>
      </w:r>
      <w:r w:rsidR="009734DD" w:rsidRPr="001938AE">
        <w:rPr>
          <w:b/>
          <w:i/>
          <w:noProof/>
        </w:rPr>
        <w:t>n</w:t>
      </w:r>
      <w:r w:rsidRPr="001938AE">
        <w:rPr>
          <w:b/>
          <w:i/>
          <w:noProof/>
        </w:rPr>
        <w:t xml:space="preserve">ational </w:t>
      </w:r>
      <w:r w:rsidR="009734DD" w:rsidRPr="001938AE">
        <w:rPr>
          <w:b/>
          <w:i/>
          <w:noProof/>
        </w:rPr>
        <w:t>p</w:t>
      </w:r>
      <w:r w:rsidRPr="001938AE">
        <w:rPr>
          <w:b/>
          <w:i/>
          <w:noProof/>
        </w:rPr>
        <w:t xml:space="preserve">ublic </w:t>
      </w:r>
      <w:r w:rsidR="009734DD" w:rsidRPr="001938AE">
        <w:rPr>
          <w:b/>
          <w:i/>
          <w:noProof/>
        </w:rPr>
        <w:t>a</w:t>
      </w:r>
      <w:r w:rsidRPr="001938AE">
        <w:rPr>
          <w:b/>
          <w:i/>
          <w:noProof/>
        </w:rPr>
        <w:t>uthorities</w:t>
      </w:r>
      <w:r w:rsidRPr="001938AE">
        <w:rPr>
          <w:b/>
          <w:noProof/>
        </w:rPr>
        <w:t xml:space="preserve"> </w:t>
      </w:r>
      <w:r w:rsidRPr="001938AE">
        <w:rPr>
          <w:noProof/>
        </w:rPr>
        <w:t xml:space="preserve">could result from having a clear </w:t>
      </w:r>
      <w:r w:rsidR="0059321F" w:rsidRPr="001938AE">
        <w:rPr>
          <w:noProof/>
        </w:rPr>
        <w:t xml:space="preserve">harmonized </w:t>
      </w:r>
      <w:r w:rsidR="00BE57F6" w:rsidRPr="001938AE">
        <w:rPr>
          <w:noProof/>
        </w:rPr>
        <w:t>criteria</w:t>
      </w:r>
      <w:r w:rsidR="0059321F" w:rsidRPr="001938AE">
        <w:rPr>
          <w:noProof/>
        </w:rPr>
        <w:t xml:space="preserve"> </w:t>
      </w:r>
      <w:r w:rsidR="00BE57F6" w:rsidRPr="001938AE">
        <w:rPr>
          <w:noProof/>
        </w:rPr>
        <w:t>for</w:t>
      </w:r>
      <w:r w:rsidRPr="001938AE">
        <w:rPr>
          <w:noProof/>
        </w:rPr>
        <w:t xml:space="preserve"> sovereignty. These are considered negligeable.</w:t>
      </w:r>
    </w:p>
    <w:p w14:paraId="6D6D276D" w14:textId="17A5289D" w:rsidR="00320417" w:rsidRPr="001938AE" w:rsidRDefault="00182AA9" w:rsidP="00320417">
      <w:pPr>
        <w:rPr>
          <w:noProof/>
        </w:rPr>
      </w:pPr>
      <w:r w:rsidRPr="001938AE">
        <w:rPr>
          <w:b/>
          <w:i/>
          <w:noProof/>
        </w:rPr>
        <w:t xml:space="preserve">One-off adjustment costs in </w:t>
      </w:r>
      <w:r w:rsidR="0001203E" w:rsidRPr="001938AE">
        <w:rPr>
          <w:b/>
          <w:i/>
          <w:noProof/>
        </w:rPr>
        <w:t>cloud</w:t>
      </w:r>
      <w:r w:rsidRPr="001938AE">
        <w:rPr>
          <w:b/>
          <w:i/>
          <w:noProof/>
        </w:rPr>
        <w:t xml:space="preserve"> and AI </w:t>
      </w:r>
      <w:r w:rsidR="00F277BE" w:rsidRPr="001938AE">
        <w:rPr>
          <w:b/>
          <w:i/>
          <w:noProof/>
        </w:rPr>
        <w:t>computing service provider</w:t>
      </w:r>
      <w:r w:rsidRPr="001938AE">
        <w:rPr>
          <w:b/>
          <w:i/>
          <w:noProof/>
        </w:rPr>
        <w:t>s</w:t>
      </w:r>
      <w:r w:rsidRPr="001938AE">
        <w:rPr>
          <w:b/>
          <w:noProof/>
        </w:rPr>
        <w:t xml:space="preserve">. </w:t>
      </w:r>
      <w:r w:rsidRPr="001938AE">
        <w:rPr>
          <w:noProof/>
        </w:rPr>
        <w:t xml:space="preserve">The effort to adhere and align with the </w:t>
      </w:r>
      <w:r w:rsidR="008C6C20" w:rsidRPr="001938AE">
        <w:rPr>
          <w:noProof/>
        </w:rPr>
        <w:t xml:space="preserve">criteria </w:t>
      </w:r>
      <w:r w:rsidR="00D26918" w:rsidRPr="001938AE">
        <w:rPr>
          <w:noProof/>
        </w:rPr>
        <w:t xml:space="preserve">for </w:t>
      </w:r>
      <w:r w:rsidRPr="001938AE">
        <w:rPr>
          <w:noProof/>
        </w:rPr>
        <w:t>sovereignty only applies when the</w:t>
      </w:r>
      <w:r w:rsidR="00A65CDF" w:rsidRPr="001938AE">
        <w:rPr>
          <w:noProof/>
        </w:rPr>
        <w:t>se</w:t>
      </w:r>
      <w:r w:rsidRPr="001938AE">
        <w:rPr>
          <w:noProof/>
        </w:rPr>
        <w:t xml:space="preserve"> </w:t>
      </w:r>
      <w:r w:rsidR="00A65CDF" w:rsidRPr="001938AE">
        <w:rPr>
          <w:noProof/>
        </w:rPr>
        <w:t xml:space="preserve">are </w:t>
      </w:r>
      <w:r w:rsidRPr="001938AE">
        <w:rPr>
          <w:noProof/>
        </w:rPr>
        <w:t xml:space="preserve">linked to an official document specifying the request to comply with the </w:t>
      </w:r>
      <w:r w:rsidR="008C6C20" w:rsidRPr="001938AE">
        <w:rPr>
          <w:noProof/>
        </w:rPr>
        <w:t xml:space="preserve">criteria </w:t>
      </w:r>
      <w:r w:rsidR="00923C34" w:rsidRPr="001938AE">
        <w:rPr>
          <w:noProof/>
        </w:rPr>
        <w:t xml:space="preserve">for sovereign services </w:t>
      </w:r>
      <w:r w:rsidR="00B571E5" w:rsidRPr="001938AE">
        <w:rPr>
          <w:noProof/>
        </w:rPr>
        <w:t>for a specific procedure</w:t>
      </w:r>
      <w:r w:rsidRPr="001938AE">
        <w:rPr>
          <w:noProof/>
        </w:rPr>
        <w:t>.</w:t>
      </w:r>
      <w:r w:rsidR="00701C53" w:rsidRPr="001938AE">
        <w:rPr>
          <w:noProof/>
        </w:rPr>
        <w:t xml:space="preserve"> </w:t>
      </w:r>
      <w:r w:rsidR="00320417" w:rsidRPr="001938AE">
        <w:rPr>
          <w:noProof/>
        </w:rPr>
        <w:t>Negligeable administrative costs for cloud and AI operators is assumed since voluntary in nature. This has been contrasted with stakeholders as part of the study led by Technopolis group.</w:t>
      </w:r>
    </w:p>
    <w:p w14:paraId="398DCD31" w14:textId="339593E4" w:rsidR="00182AA9" w:rsidRPr="001938AE" w:rsidRDefault="00182AA9" w:rsidP="00182AA9">
      <w:pPr>
        <w:rPr>
          <w:noProof/>
        </w:rPr>
      </w:pPr>
      <w:r w:rsidRPr="001938AE">
        <w:rPr>
          <w:b/>
          <w:i/>
          <w:noProof/>
        </w:rPr>
        <w:t xml:space="preserve">Recurrent savings in </w:t>
      </w:r>
      <w:r w:rsidR="0001203E" w:rsidRPr="001938AE">
        <w:rPr>
          <w:b/>
          <w:i/>
          <w:noProof/>
        </w:rPr>
        <w:t>cloud</w:t>
      </w:r>
      <w:r w:rsidRPr="001938AE">
        <w:rPr>
          <w:b/>
          <w:i/>
          <w:noProof/>
        </w:rPr>
        <w:t xml:space="preserve"> and AI </w:t>
      </w:r>
      <w:r w:rsidR="00F277BE" w:rsidRPr="001938AE">
        <w:rPr>
          <w:b/>
          <w:i/>
          <w:noProof/>
        </w:rPr>
        <w:t xml:space="preserve">computing service </w:t>
      </w:r>
      <w:r w:rsidRPr="001938AE">
        <w:rPr>
          <w:b/>
          <w:i/>
          <w:noProof/>
        </w:rPr>
        <w:t>providers</w:t>
      </w:r>
      <w:r w:rsidRPr="001938AE">
        <w:rPr>
          <w:b/>
          <w:noProof/>
        </w:rPr>
        <w:t xml:space="preserve">. </w:t>
      </w:r>
      <w:r w:rsidRPr="001938AE">
        <w:rPr>
          <w:noProof/>
        </w:rPr>
        <w:t>No recurrent savings are assumed.</w:t>
      </w:r>
    </w:p>
    <w:p w14:paraId="10059C8E" w14:textId="0C77E0DD" w:rsidR="00182AA9" w:rsidRPr="001938AE" w:rsidRDefault="00182AA9" w:rsidP="00182AA9">
      <w:pPr>
        <w:rPr>
          <w:noProof/>
        </w:rPr>
      </w:pPr>
      <w:r w:rsidRPr="001938AE">
        <w:rPr>
          <w:b/>
          <w:noProof/>
        </w:rPr>
        <w:t xml:space="preserve">Indirect </w:t>
      </w:r>
      <w:r w:rsidR="001D1524" w:rsidRPr="001938AE">
        <w:rPr>
          <w:b/>
          <w:noProof/>
        </w:rPr>
        <w:t>savings</w:t>
      </w:r>
      <w:r w:rsidRPr="001938AE">
        <w:rPr>
          <w:b/>
          <w:noProof/>
        </w:rPr>
        <w:t xml:space="preserve">: </w:t>
      </w:r>
      <w:r w:rsidRPr="001938AE">
        <w:rPr>
          <w:noProof/>
        </w:rPr>
        <w:t xml:space="preserve">The availability of </w:t>
      </w:r>
      <w:r w:rsidR="00923C34" w:rsidRPr="001938AE">
        <w:rPr>
          <w:noProof/>
        </w:rPr>
        <w:t xml:space="preserve">harmonized criteria </w:t>
      </w:r>
      <w:r w:rsidRPr="001938AE">
        <w:rPr>
          <w:noProof/>
        </w:rPr>
        <w:t xml:space="preserve">would create </w:t>
      </w:r>
      <w:r w:rsidR="00E907E5" w:rsidRPr="001938AE">
        <w:rPr>
          <w:noProof/>
        </w:rPr>
        <w:t>some</w:t>
      </w:r>
      <w:r w:rsidRPr="001938AE">
        <w:rPr>
          <w:noProof/>
        </w:rPr>
        <w:t xml:space="preserve"> certainty on what is considered sovereign, avoiding different interpretations. Through this measure, organisations able to </w:t>
      </w:r>
      <w:r w:rsidR="00E907E5" w:rsidRPr="001938AE">
        <w:rPr>
          <w:noProof/>
        </w:rPr>
        <w:t>adjust</w:t>
      </w:r>
      <w:r w:rsidRPr="001938AE">
        <w:rPr>
          <w:noProof/>
        </w:rPr>
        <w:t xml:space="preserve"> their processes to adhere to the </w:t>
      </w:r>
      <w:r w:rsidR="00B067A5" w:rsidRPr="001938AE">
        <w:rPr>
          <w:noProof/>
        </w:rPr>
        <w:t xml:space="preserve">criteria </w:t>
      </w:r>
      <w:r w:rsidRPr="001938AE">
        <w:rPr>
          <w:noProof/>
        </w:rPr>
        <w:t>will increase trust from cloud consumers and potentially resulting in larger market revenues for EU providers due to market credibility.</w:t>
      </w:r>
    </w:p>
    <w:p w14:paraId="4253BF90" w14:textId="1D936D23" w:rsidR="00182AA9" w:rsidRPr="001938AE" w:rsidRDefault="00182AA9" w:rsidP="00182AA9">
      <w:pPr>
        <w:rPr>
          <w:noProof/>
        </w:rPr>
      </w:pPr>
      <w:r w:rsidRPr="001938AE">
        <w:rPr>
          <w:b/>
          <w:noProof/>
        </w:rPr>
        <w:t xml:space="preserve">Sensitivity analysis: </w:t>
      </w:r>
      <w:r w:rsidRPr="001938AE">
        <w:rPr>
          <w:noProof/>
        </w:rPr>
        <w:t xml:space="preserve">The data presented above is sensitive notably to the number of procuring authorities under consideration. This has been set between a minimum of 50% and a maximum of 100%. The average value is set to 75% of public authorities. Another important aspect is the estimation of the percentage of procurement procedures that will voluntarily request the alignment with the </w:t>
      </w:r>
      <w:r w:rsidR="00E038F4" w:rsidRPr="001938AE">
        <w:rPr>
          <w:noProof/>
        </w:rPr>
        <w:t>harmonized criteria</w:t>
      </w:r>
      <w:r w:rsidR="00965726" w:rsidRPr="001938AE">
        <w:rPr>
          <w:noProof/>
        </w:rPr>
        <w:t xml:space="preserve"> </w:t>
      </w:r>
      <w:r w:rsidR="00E038F4" w:rsidRPr="001938AE">
        <w:rPr>
          <w:noProof/>
        </w:rPr>
        <w:t>for</w:t>
      </w:r>
      <w:r w:rsidRPr="001938AE">
        <w:rPr>
          <w:noProof/>
        </w:rPr>
        <w:t xml:space="preserve"> sovereignty. </w:t>
      </w:r>
    </w:p>
    <w:p w14:paraId="189CDBF9" w14:textId="33D1D92D" w:rsidR="00E34FDB" w:rsidRPr="001938AE" w:rsidRDefault="00182AA9" w:rsidP="00182AA9">
      <w:pPr>
        <w:rPr>
          <w:noProof/>
          <w:color w:val="000000" w:themeColor="text1"/>
        </w:rPr>
      </w:pPr>
      <w:r w:rsidRPr="001938AE">
        <w:rPr>
          <w:b/>
          <w:noProof/>
          <w:color w:val="000000" w:themeColor="text1"/>
        </w:rPr>
        <w:t>Results</w:t>
      </w:r>
      <w:r w:rsidRPr="001938AE">
        <w:rPr>
          <w:noProof/>
          <w:color w:val="000000" w:themeColor="text1"/>
        </w:rPr>
        <w:t xml:space="preserve"> for all stakeholders aggregated and for the years covered by this measure are summarised in the table below. The results point towards low total costs for National Public Authorities and negligeable costs for </w:t>
      </w:r>
      <w:r w:rsidR="0001203E" w:rsidRPr="001938AE">
        <w:rPr>
          <w:noProof/>
          <w:color w:val="000000" w:themeColor="text1"/>
        </w:rPr>
        <w:t>cloud</w:t>
      </w:r>
      <w:r w:rsidRPr="001938AE">
        <w:rPr>
          <w:noProof/>
          <w:color w:val="000000" w:themeColor="text1"/>
        </w:rPr>
        <w:t xml:space="preserve"> and AI </w:t>
      </w:r>
      <w:r w:rsidR="00F277BE" w:rsidRPr="001938AE">
        <w:rPr>
          <w:noProof/>
          <w:color w:val="000000" w:themeColor="text1"/>
        </w:rPr>
        <w:t>computing service provider</w:t>
      </w:r>
      <w:r w:rsidRPr="001938AE">
        <w:rPr>
          <w:noProof/>
          <w:color w:val="000000" w:themeColor="text1"/>
        </w:rPr>
        <w:t xml:space="preserve">s. The total estimated costs for the implementation of this measure </w:t>
      </w:r>
      <w:r w:rsidR="004D6CD8" w:rsidRPr="001938AE">
        <w:rPr>
          <w:noProof/>
          <w:color w:val="000000" w:themeColor="text1"/>
        </w:rPr>
        <w:t>are</w:t>
      </w:r>
      <w:r w:rsidRPr="001938AE">
        <w:rPr>
          <w:noProof/>
          <w:color w:val="000000" w:themeColor="text1"/>
        </w:rPr>
        <w:t xml:space="preserve"> EUR </w:t>
      </w:r>
      <w:r w:rsidR="00B01641" w:rsidRPr="001938AE">
        <w:rPr>
          <w:noProof/>
        </w:rPr>
        <w:t>336 077</w:t>
      </w:r>
      <w:r w:rsidRPr="001938AE">
        <w:rPr>
          <w:noProof/>
        </w:rPr>
        <w:t xml:space="preserve"> </w:t>
      </w:r>
      <w:r w:rsidRPr="001938AE">
        <w:rPr>
          <w:noProof/>
          <w:color w:val="000000" w:themeColor="text1"/>
        </w:rPr>
        <w:t>over the entire period. These costs entirely stem from one-off adjustment costs. The main driver in the min and max values is the number of countries that adopt the EU-level definition for their procurements.</w:t>
      </w:r>
    </w:p>
    <w:p w14:paraId="7CBACAAE" w14:textId="238A08C1" w:rsidR="00182AA9" w:rsidRPr="00DC6362" w:rsidRDefault="00182AA9" w:rsidP="00182AA9">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31</w:t>
      </w:r>
      <w:r>
        <w:rPr>
          <w:noProof/>
        </w:rPr>
        <w:fldChar w:fldCharType="end"/>
      </w:r>
      <w:r>
        <w:rPr>
          <w:noProof/>
        </w:rPr>
        <w:t xml:space="preserve">. </w:t>
      </w:r>
      <w:r w:rsidRPr="00DC6362">
        <w:rPr>
          <w:noProof/>
        </w:rPr>
        <w:t xml:space="preserve">Creating an EU-level </w:t>
      </w:r>
      <w:r w:rsidR="00965726">
        <w:rPr>
          <w:noProof/>
        </w:rPr>
        <w:t xml:space="preserve">harmonized criteria for </w:t>
      </w:r>
      <w:r w:rsidRPr="00DC6362">
        <w:rPr>
          <w:noProof/>
        </w:rPr>
        <w:t xml:space="preserve"> sovereign cloud and AI </w:t>
      </w:r>
      <w:r w:rsidR="00BB72EA">
        <w:rPr>
          <w:noProof/>
        </w:rPr>
        <w:t xml:space="preserve">computing </w:t>
      </w:r>
      <w:r w:rsidRPr="00DC6362">
        <w:rPr>
          <w:noProof/>
        </w:rPr>
        <w:t>services</w:t>
      </w:r>
      <w:r>
        <w:rPr>
          <w:noProof/>
        </w:rPr>
        <w:t xml:space="preserve"> (PM11)</w:t>
      </w:r>
    </w:p>
    <w:tbl>
      <w:tblPr>
        <w:tblStyle w:val="TableGrid"/>
        <w:tblW w:w="9498" w:type="dxa"/>
        <w:tblInd w:w="-284" w:type="dxa"/>
        <w:tblLayout w:type="fixed"/>
        <w:tblCellMar>
          <w:left w:w="0" w:type="dxa"/>
          <w:right w:w="0" w:type="dxa"/>
        </w:tblCellMar>
        <w:tblLook w:val="04A0" w:firstRow="1" w:lastRow="0" w:firstColumn="1" w:lastColumn="0" w:noHBand="0" w:noVBand="1"/>
      </w:tblPr>
      <w:tblGrid>
        <w:gridCol w:w="2189"/>
        <w:gridCol w:w="1276"/>
        <w:gridCol w:w="1213"/>
        <w:gridCol w:w="1418"/>
        <w:gridCol w:w="1134"/>
        <w:gridCol w:w="1169"/>
        <w:gridCol w:w="1099"/>
      </w:tblGrid>
      <w:tr w:rsidR="001B02E6" w:rsidRPr="00FA63C0" w14:paraId="6142BE47" w14:textId="77777777" w:rsidTr="00FA698A">
        <w:trPr>
          <w:trHeight w:val="506"/>
        </w:trPr>
        <w:tc>
          <w:tcPr>
            <w:tcW w:w="2189" w:type="dxa"/>
            <w:tcBorders>
              <w:bottom w:val="single" w:sz="12" w:space="0" w:color="00B0F0"/>
            </w:tcBorders>
            <w:noWrap/>
            <w:vAlign w:val="center"/>
            <w:hideMark/>
          </w:tcPr>
          <w:p w14:paraId="54D6C28C" w14:textId="77777777" w:rsidR="001B02E6" w:rsidRPr="00FA63C0" w:rsidRDefault="001B02E6">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76" w:type="dxa"/>
            <w:tcBorders>
              <w:bottom w:val="single" w:sz="12" w:space="0" w:color="00B0F0"/>
            </w:tcBorders>
            <w:vAlign w:val="center"/>
          </w:tcPr>
          <w:p w14:paraId="4DF259A3" w14:textId="7B3B8407" w:rsidR="001B02E6"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213" w:type="dxa"/>
            <w:tcBorders>
              <w:bottom w:val="single" w:sz="12" w:space="0" w:color="00B0F0"/>
            </w:tcBorders>
            <w:vAlign w:val="center"/>
          </w:tcPr>
          <w:p w14:paraId="6565A7D1" w14:textId="77777777" w:rsidR="001B02E6" w:rsidRPr="00FA63C0" w:rsidRDefault="001B02E6">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vAlign w:val="center"/>
          </w:tcPr>
          <w:p w14:paraId="07E3E275" w14:textId="77777777" w:rsidR="001B02E6" w:rsidRPr="00FA63C0" w:rsidRDefault="001B02E6">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noWrap/>
            <w:vAlign w:val="center"/>
            <w:hideMark/>
          </w:tcPr>
          <w:p w14:paraId="4C735AB3" w14:textId="77777777" w:rsidR="001B02E6" w:rsidRPr="00FA63C0" w:rsidRDefault="001B02E6">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69" w:type="dxa"/>
            <w:tcBorders>
              <w:bottom w:val="single" w:sz="12" w:space="0" w:color="00B0F0"/>
            </w:tcBorders>
            <w:noWrap/>
            <w:vAlign w:val="center"/>
            <w:hideMark/>
          </w:tcPr>
          <w:p w14:paraId="006B67B6" w14:textId="77777777" w:rsidR="001B02E6" w:rsidRPr="00EC6BC1" w:rsidRDefault="001B02E6">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099" w:type="dxa"/>
            <w:tcBorders>
              <w:bottom w:val="single" w:sz="12" w:space="0" w:color="00B0F0"/>
            </w:tcBorders>
            <w:noWrap/>
            <w:vAlign w:val="center"/>
            <w:hideMark/>
          </w:tcPr>
          <w:p w14:paraId="33766D10" w14:textId="77777777" w:rsidR="001B02E6" w:rsidRPr="00FA63C0" w:rsidRDefault="001B02E6">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1B02E6" w:rsidRPr="00397C78" w14:paraId="162964A5" w14:textId="77777777" w:rsidTr="00FA698A">
        <w:trPr>
          <w:trHeight w:val="283"/>
        </w:trPr>
        <w:tc>
          <w:tcPr>
            <w:tcW w:w="2189" w:type="dxa"/>
            <w:tcBorders>
              <w:top w:val="single" w:sz="12" w:space="0" w:color="00B0F0"/>
            </w:tcBorders>
            <w:noWrap/>
            <w:vAlign w:val="center"/>
            <w:hideMark/>
          </w:tcPr>
          <w:p w14:paraId="588A895D" w14:textId="77777777" w:rsidR="001B02E6" w:rsidRPr="00FA63C0" w:rsidRDefault="001B02E6" w:rsidP="001B02E6">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76" w:type="dxa"/>
            <w:tcBorders>
              <w:top w:val="single" w:sz="12" w:space="0" w:color="00B0F0"/>
            </w:tcBorders>
          </w:tcPr>
          <w:p w14:paraId="55C49597" w14:textId="6A9B9D26" w:rsidR="001B02E6" w:rsidRPr="00FA63C0" w:rsidRDefault="00BC4638" w:rsidP="001B02E6">
            <w:pPr>
              <w:spacing w:after="0"/>
              <w:jc w:val="right"/>
              <w:rPr>
                <w:noProof/>
                <w:sz w:val="20"/>
                <w:szCs w:val="20"/>
                <w:lang w:val="en-IE" w:eastAsia="en-IE"/>
              </w:rPr>
            </w:pPr>
            <w:r w:rsidRPr="00213E1A">
              <w:rPr>
                <w:noProof/>
              </w:rPr>
              <w:t xml:space="preserve"> -   </w:t>
            </w:r>
          </w:p>
        </w:tc>
        <w:tc>
          <w:tcPr>
            <w:tcW w:w="1213" w:type="dxa"/>
            <w:tcBorders>
              <w:top w:val="single" w:sz="12" w:space="0" w:color="00B0F0"/>
            </w:tcBorders>
            <w:vAlign w:val="center"/>
          </w:tcPr>
          <w:p w14:paraId="71ABB5C4" w14:textId="76A1DF97" w:rsidR="001B02E6" w:rsidRPr="00FA63C0" w:rsidRDefault="0013586D" w:rsidP="001B02E6">
            <w:pPr>
              <w:spacing w:after="0"/>
              <w:jc w:val="right"/>
              <w:rPr>
                <w:noProof/>
                <w:sz w:val="20"/>
                <w:szCs w:val="20"/>
                <w:lang w:val="en-IE" w:eastAsia="en-IE"/>
              </w:rPr>
            </w:pPr>
            <w:r w:rsidRPr="00FA63C0">
              <w:rPr>
                <w:noProof/>
                <w:sz w:val="20"/>
                <w:szCs w:val="20"/>
              </w:rPr>
              <w:t xml:space="preserve"> -   </w:t>
            </w:r>
          </w:p>
        </w:tc>
        <w:tc>
          <w:tcPr>
            <w:tcW w:w="1418" w:type="dxa"/>
            <w:tcBorders>
              <w:top w:val="single" w:sz="12" w:space="0" w:color="00B0F0"/>
            </w:tcBorders>
          </w:tcPr>
          <w:p w14:paraId="63692054" w14:textId="125F90B8" w:rsidR="001B02E6" w:rsidRPr="00FA63C0" w:rsidRDefault="0013586D" w:rsidP="001B02E6">
            <w:pPr>
              <w:spacing w:after="0"/>
              <w:jc w:val="right"/>
              <w:rPr>
                <w:noProof/>
                <w:sz w:val="20"/>
                <w:szCs w:val="20"/>
                <w:lang w:val="en-IE" w:eastAsia="en-IE"/>
              </w:rPr>
            </w:pPr>
            <w:r w:rsidRPr="00213E1A">
              <w:rPr>
                <w:noProof/>
              </w:rPr>
              <w:t xml:space="preserve"> -   </w:t>
            </w:r>
          </w:p>
        </w:tc>
        <w:tc>
          <w:tcPr>
            <w:tcW w:w="1134" w:type="dxa"/>
            <w:tcBorders>
              <w:top w:val="single" w:sz="12" w:space="0" w:color="00B0F0"/>
            </w:tcBorders>
            <w:noWrap/>
            <w:vAlign w:val="center"/>
          </w:tcPr>
          <w:p w14:paraId="530A27BB" w14:textId="38A0E26B" w:rsidR="001B02E6" w:rsidRPr="007C40E5"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tcBorders>
              <w:top w:val="single" w:sz="12" w:space="0" w:color="00B0F0"/>
            </w:tcBorders>
            <w:noWrap/>
            <w:vAlign w:val="center"/>
          </w:tcPr>
          <w:p w14:paraId="47A31C61" w14:textId="4E460B54" w:rsidR="001B02E6" w:rsidRPr="007C40E5" w:rsidRDefault="001B02E6" w:rsidP="002A15F7">
            <w:pPr>
              <w:spacing w:after="0"/>
              <w:jc w:val="right"/>
              <w:rPr>
                <w:noProof/>
                <w:sz w:val="20"/>
                <w:szCs w:val="20"/>
                <w:lang w:val="en-IE" w:eastAsia="en-IE"/>
              </w:rPr>
            </w:pPr>
            <w:r w:rsidRPr="00FA63C0">
              <w:rPr>
                <w:noProof/>
                <w:sz w:val="20"/>
                <w:szCs w:val="20"/>
              </w:rPr>
              <w:t xml:space="preserve">-   </w:t>
            </w:r>
          </w:p>
        </w:tc>
        <w:tc>
          <w:tcPr>
            <w:tcW w:w="1099" w:type="dxa"/>
            <w:tcBorders>
              <w:top w:val="single" w:sz="12" w:space="0" w:color="00B0F0"/>
            </w:tcBorders>
            <w:noWrap/>
            <w:vAlign w:val="center"/>
          </w:tcPr>
          <w:p w14:paraId="5784A135" w14:textId="1319292D" w:rsidR="001B02E6" w:rsidRPr="007C40E5"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061A60" w14:paraId="6F2898A3" w14:textId="77777777" w:rsidTr="00FA698A">
        <w:trPr>
          <w:trHeight w:val="283"/>
        </w:trPr>
        <w:tc>
          <w:tcPr>
            <w:tcW w:w="2189" w:type="dxa"/>
            <w:noWrap/>
            <w:vAlign w:val="center"/>
            <w:hideMark/>
          </w:tcPr>
          <w:p w14:paraId="4D06C11E" w14:textId="77777777" w:rsidR="001B02E6" w:rsidRPr="00FA63C0" w:rsidRDefault="001B02E6">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76" w:type="dxa"/>
          </w:tcPr>
          <w:p w14:paraId="172B7810" w14:textId="6A62E522" w:rsidR="001B02E6" w:rsidRPr="00FA63C0" w:rsidRDefault="00BC4638">
            <w:pPr>
              <w:spacing w:after="0"/>
              <w:jc w:val="right"/>
              <w:rPr>
                <w:noProof/>
                <w:sz w:val="20"/>
                <w:szCs w:val="20"/>
                <w:lang w:val="en-IE" w:eastAsia="en-IE"/>
              </w:rPr>
            </w:pPr>
            <w:r w:rsidRPr="00213E1A">
              <w:rPr>
                <w:noProof/>
              </w:rPr>
              <w:t xml:space="preserve">-   </w:t>
            </w:r>
          </w:p>
        </w:tc>
        <w:tc>
          <w:tcPr>
            <w:tcW w:w="1213" w:type="dxa"/>
            <w:vAlign w:val="center"/>
          </w:tcPr>
          <w:p w14:paraId="79A9C152" w14:textId="3B0BA243" w:rsidR="001B02E6" w:rsidRPr="00FA63C0" w:rsidRDefault="0013586D">
            <w:pPr>
              <w:spacing w:after="0"/>
              <w:jc w:val="right"/>
              <w:rPr>
                <w:noProof/>
                <w:sz w:val="20"/>
                <w:szCs w:val="20"/>
                <w:lang w:val="en-IE" w:eastAsia="en-IE"/>
              </w:rPr>
            </w:pPr>
            <w:r w:rsidRPr="00FA63C0">
              <w:rPr>
                <w:noProof/>
                <w:sz w:val="20"/>
                <w:szCs w:val="20"/>
              </w:rPr>
              <w:t xml:space="preserve"> -   </w:t>
            </w:r>
          </w:p>
        </w:tc>
        <w:tc>
          <w:tcPr>
            <w:tcW w:w="1418" w:type="dxa"/>
          </w:tcPr>
          <w:p w14:paraId="006A59E2" w14:textId="773FA5C0" w:rsidR="001B02E6" w:rsidRPr="00FA63C0" w:rsidRDefault="0013586D">
            <w:pPr>
              <w:spacing w:after="0"/>
              <w:jc w:val="right"/>
              <w:rPr>
                <w:noProof/>
                <w:sz w:val="20"/>
                <w:szCs w:val="20"/>
                <w:lang w:val="en-IE" w:eastAsia="en-IE"/>
              </w:rPr>
            </w:pPr>
            <w:r w:rsidRPr="00213E1A">
              <w:rPr>
                <w:noProof/>
              </w:rPr>
              <w:t xml:space="preserve">-   </w:t>
            </w:r>
          </w:p>
        </w:tc>
        <w:tc>
          <w:tcPr>
            <w:tcW w:w="1134" w:type="dxa"/>
            <w:noWrap/>
            <w:vAlign w:val="center"/>
          </w:tcPr>
          <w:p w14:paraId="0B06E695" w14:textId="77777777" w:rsidR="001B02E6" w:rsidRPr="00061A60"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22C88D71" w14:textId="77777777" w:rsidR="001B02E6" w:rsidRPr="00061A60"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02E6E695" w14:textId="77777777" w:rsidR="001B02E6" w:rsidRPr="00061A60"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397C78" w14:paraId="0ECDCD37" w14:textId="77777777" w:rsidTr="00FA698A">
        <w:trPr>
          <w:trHeight w:val="283"/>
        </w:trPr>
        <w:tc>
          <w:tcPr>
            <w:tcW w:w="2189" w:type="dxa"/>
            <w:noWrap/>
            <w:vAlign w:val="center"/>
            <w:hideMark/>
          </w:tcPr>
          <w:p w14:paraId="037497C0" w14:textId="77777777" w:rsidR="001B02E6" w:rsidRPr="00FA63C0" w:rsidRDefault="001B02E6" w:rsidP="001B02E6">
            <w:pPr>
              <w:spacing w:after="0"/>
              <w:jc w:val="left"/>
              <w:rPr>
                <w:i/>
                <w:iCs/>
                <w:noProof/>
                <w:sz w:val="20"/>
                <w:szCs w:val="20"/>
                <w:lang w:val="en-IE" w:eastAsia="en-IE"/>
              </w:rPr>
            </w:pPr>
            <w:r w:rsidRPr="00FA63C0">
              <w:rPr>
                <w:i/>
                <w:iCs/>
                <w:noProof/>
                <w:sz w:val="20"/>
                <w:szCs w:val="20"/>
                <w:lang w:val="en-IE" w:eastAsia="en-IE"/>
              </w:rPr>
              <w:t>one-off adjustment</w:t>
            </w:r>
          </w:p>
        </w:tc>
        <w:tc>
          <w:tcPr>
            <w:tcW w:w="1276" w:type="dxa"/>
          </w:tcPr>
          <w:p w14:paraId="2AEE4A30" w14:textId="6BF0CF82" w:rsidR="001B02E6" w:rsidRPr="00FA63C0" w:rsidRDefault="00BC4638" w:rsidP="001B02E6">
            <w:pPr>
              <w:spacing w:after="0"/>
              <w:jc w:val="right"/>
              <w:rPr>
                <w:noProof/>
                <w:sz w:val="20"/>
                <w:szCs w:val="20"/>
                <w:lang w:val="en-IE" w:eastAsia="en-IE"/>
              </w:rPr>
            </w:pPr>
            <w:r w:rsidRPr="00213E1A">
              <w:rPr>
                <w:noProof/>
              </w:rPr>
              <w:t xml:space="preserve">-   </w:t>
            </w:r>
          </w:p>
        </w:tc>
        <w:tc>
          <w:tcPr>
            <w:tcW w:w="1213" w:type="dxa"/>
            <w:vAlign w:val="center"/>
          </w:tcPr>
          <w:p w14:paraId="12A0D813" w14:textId="485CA84D" w:rsidR="001B02E6" w:rsidRPr="00FA63C0" w:rsidRDefault="0013586D" w:rsidP="001B02E6">
            <w:pPr>
              <w:spacing w:after="0"/>
              <w:jc w:val="right"/>
              <w:rPr>
                <w:noProof/>
                <w:sz w:val="20"/>
                <w:szCs w:val="20"/>
                <w:lang w:val="en-IE" w:eastAsia="en-IE"/>
              </w:rPr>
            </w:pPr>
            <w:r w:rsidRPr="00317F25">
              <w:rPr>
                <w:noProof/>
                <w:sz w:val="20"/>
                <w:szCs w:val="20"/>
              </w:rPr>
              <w:t xml:space="preserve"> 336 077 </w:t>
            </w:r>
          </w:p>
        </w:tc>
        <w:tc>
          <w:tcPr>
            <w:tcW w:w="1418" w:type="dxa"/>
          </w:tcPr>
          <w:p w14:paraId="3F8E1310" w14:textId="5FC6BED1" w:rsidR="001B02E6" w:rsidRPr="00FA63C0" w:rsidRDefault="0013586D" w:rsidP="001B02E6">
            <w:pPr>
              <w:spacing w:after="0"/>
              <w:jc w:val="right"/>
              <w:rPr>
                <w:noProof/>
                <w:sz w:val="20"/>
                <w:szCs w:val="20"/>
                <w:lang w:val="en-IE" w:eastAsia="en-IE"/>
              </w:rPr>
            </w:pPr>
            <w:r w:rsidRPr="00213E1A">
              <w:rPr>
                <w:noProof/>
              </w:rPr>
              <w:t xml:space="preserve">-   </w:t>
            </w:r>
          </w:p>
        </w:tc>
        <w:tc>
          <w:tcPr>
            <w:tcW w:w="1134" w:type="dxa"/>
            <w:noWrap/>
            <w:vAlign w:val="center"/>
          </w:tcPr>
          <w:p w14:paraId="487E3590" w14:textId="04CBB10B" w:rsidR="001B02E6" w:rsidRPr="001B02E6" w:rsidRDefault="001B02E6" w:rsidP="002A15F7">
            <w:pPr>
              <w:spacing w:after="0"/>
              <w:jc w:val="right"/>
              <w:rPr>
                <w:noProof/>
                <w:sz w:val="20"/>
                <w:szCs w:val="20"/>
                <w:lang w:val="en-IE" w:eastAsia="en-IE"/>
              </w:rPr>
            </w:pPr>
            <w:r w:rsidRPr="00FA698A">
              <w:rPr>
                <w:noProof/>
                <w:sz w:val="20"/>
                <w:szCs w:val="20"/>
              </w:rPr>
              <w:t xml:space="preserve"> 336 077 </w:t>
            </w:r>
          </w:p>
        </w:tc>
        <w:tc>
          <w:tcPr>
            <w:tcW w:w="1169" w:type="dxa"/>
            <w:noWrap/>
            <w:vAlign w:val="center"/>
          </w:tcPr>
          <w:p w14:paraId="2CD9AC9B" w14:textId="06DFC26B" w:rsidR="001B02E6" w:rsidRPr="001B02E6" w:rsidRDefault="001B02E6" w:rsidP="002A15F7">
            <w:pPr>
              <w:spacing w:after="0"/>
              <w:jc w:val="right"/>
              <w:rPr>
                <w:noProof/>
                <w:sz w:val="20"/>
                <w:szCs w:val="20"/>
                <w:lang w:val="en-IE" w:eastAsia="en-IE"/>
              </w:rPr>
            </w:pPr>
            <w:r w:rsidRPr="00FA698A">
              <w:rPr>
                <w:noProof/>
                <w:sz w:val="20"/>
                <w:szCs w:val="20"/>
              </w:rPr>
              <w:t xml:space="preserve"> 224 051 </w:t>
            </w:r>
          </w:p>
        </w:tc>
        <w:tc>
          <w:tcPr>
            <w:tcW w:w="1099" w:type="dxa"/>
            <w:noWrap/>
            <w:vAlign w:val="center"/>
          </w:tcPr>
          <w:p w14:paraId="35BF813D" w14:textId="73E5CFD2" w:rsidR="001B02E6" w:rsidRPr="001B02E6" w:rsidRDefault="001B02E6" w:rsidP="002A15F7">
            <w:pPr>
              <w:spacing w:after="0"/>
              <w:jc w:val="right"/>
              <w:rPr>
                <w:noProof/>
                <w:sz w:val="20"/>
                <w:szCs w:val="20"/>
                <w:lang w:val="en-IE" w:eastAsia="en-IE"/>
              </w:rPr>
            </w:pPr>
            <w:r w:rsidRPr="00FA698A">
              <w:rPr>
                <w:noProof/>
                <w:sz w:val="20"/>
                <w:szCs w:val="20"/>
              </w:rPr>
              <w:t xml:space="preserve"> 448 289 </w:t>
            </w:r>
          </w:p>
        </w:tc>
      </w:tr>
      <w:tr w:rsidR="001B02E6" w:rsidRPr="00397C78" w14:paraId="0E8454A1" w14:textId="77777777" w:rsidTr="00FA698A">
        <w:trPr>
          <w:trHeight w:val="283"/>
        </w:trPr>
        <w:tc>
          <w:tcPr>
            <w:tcW w:w="2189" w:type="dxa"/>
            <w:noWrap/>
            <w:vAlign w:val="center"/>
            <w:hideMark/>
          </w:tcPr>
          <w:p w14:paraId="08467879" w14:textId="77777777" w:rsidR="001B02E6" w:rsidRPr="00FA63C0" w:rsidRDefault="001B02E6" w:rsidP="001B02E6">
            <w:pPr>
              <w:spacing w:after="0"/>
              <w:jc w:val="left"/>
              <w:rPr>
                <w:i/>
                <w:iCs/>
                <w:noProof/>
                <w:sz w:val="20"/>
                <w:szCs w:val="20"/>
                <w:lang w:val="en-IE" w:eastAsia="en-IE"/>
              </w:rPr>
            </w:pPr>
            <w:r w:rsidRPr="00FA63C0">
              <w:rPr>
                <w:i/>
                <w:iCs/>
                <w:noProof/>
                <w:sz w:val="20"/>
                <w:szCs w:val="20"/>
                <w:lang w:val="en-IE" w:eastAsia="en-IE"/>
              </w:rPr>
              <w:t>recurrent adjustment</w:t>
            </w:r>
          </w:p>
        </w:tc>
        <w:tc>
          <w:tcPr>
            <w:tcW w:w="1276" w:type="dxa"/>
          </w:tcPr>
          <w:p w14:paraId="128863FF" w14:textId="32432885" w:rsidR="001B02E6" w:rsidRPr="00FA63C0" w:rsidRDefault="00BC4638" w:rsidP="001B02E6">
            <w:pPr>
              <w:spacing w:after="0"/>
              <w:jc w:val="right"/>
              <w:rPr>
                <w:noProof/>
                <w:sz w:val="20"/>
                <w:szCs w:val="20"/>
                <w:lang w:val="en-IE" w:eastAsia="en-IE"/>
              </w:rPr>
            </w:pPr>
            <w:r w:rsidRPr="00213E1A">
              <w:rPr>
                <w:noProof/>
              </w:rPr>
              <w:t xml:space="preserve">-   </w:t>
            </w:r>
          </w:p>
        </w:tc>
        <w:tc>
          <w:tcPr>
            <w:tcW w:w="1213" w:type="dxa"/>
            <w:vAlign w:val="center"/>
          </w:tcPr>
          <w:p w14:paraId="1570DD4B" w14:textId="25B16226" w:rsidR="001B02E6" w:rsidRPr="00FA63C0" w:rsidRDefault="0013586D" w:rsidP="001B02E6">
            <w:pPr>
              <w:spacing w:after="0"/>
              <w:jc w:val="right"/>
              <w:rPr>
                <w:noProof/>
                <w:sz w:val="20"/>
                <w:szCs w:val="20"/>
                <w:lang w:val="en-IE" w:eastAsia="en-IE"/>
              </w:rPr>
            </w:pPr>
            <w:r w:rsidRPr="00FA63C0">
              <w:rPr>
                <w:noProof/>
                <w:sz w:val="20"/>
                <w:szCs w:val="20"/>
              </w:rPr>
              <w:t xml:space="preserve"> -   </w:t>
            </w:r>
          </w:p>
        </w:tc>
        <w:tc>
          <w:tcPr>
            <w:tcW w:w="1418" w:type="dxa"/>
          </w:tcPr>
          <w:p w14:paraId="25E64DCE" w14:textId="669352BB" w:rsidR="001B02E6" w:rsidRPr="00FA63C0" w:rsidRDefault="0013586D" w:rsidP="001B02E6">
            <w:pPr>
              <w:spacing w:after="0"/>
              <w:jc w:val="right"/>
              <w:rPr>
                <w:noProof/>
                <w:sz w:val="20"/>
                <w:szCs w:val="20"/>
                <w:lang w:val="en-IE" w:eastAsia="en-IE"/>
              </w:rPr>
            </w:pPr>
            <w:r w:rsidRPr="00213E1A">
              <w:rPr>
                <w:noProof/>
              </w:rPr>
              <w:t xml:space="preserve">-   </w:t>
            </w:r>
          </w:p>
        </w:tc>
        <w:tc>
          <w:tcPr>
            <w:tcW w:w="1134" w:type="dxa"/>
            <w:noWrap/>
            <w:vAlign w:val="center"/>
          </w:tcPr>
          <w:p w14:paraId="0F439D39" w14:textId="5301DAA1" w:rsidR="001B02E6" w:rsidRPr="007C40E5"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2FF34ED4" w14:textId="6D3DC56A" w:rsidR="001B02E6" w:rsidRPr="007C40E5"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2423DA8F" w14:textId="327DD083" w:rsidR="001B02E6" w:rsidRPr="007C40E5"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0A7265" w14:paraId="4BE764AC" w14:textId="77777777" w:rsidTr="00FA698A">
        <w:trPr>
          <w:trHeight w:val="283"/>
        </w:trPr>
        <w:tc>
          <w:tcPr>
            <w:tcW w:w="2189" w:type="dxa"/>
            <w:noWrap/>
            <w:vAlign w:val="center"/>
            <w:hideMark/>
          </w:tcPr>
          <w:p w14:paraId="05AF4C34" w14:textId="77777777" w:rsidR="001B02E6" w:rsidRPr="00FA63C0" w:rsidRDefault="001B02E6">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76" w:type="dxa"/>
          </w:tcPr>
          <w:p w14:paraId="310B24B5" w14:textId="15723108" w:rsidR="001B02E6" w:rsidRPr="00FA63C0" w:rsidRDefault="00BC4638">
            <w:pPr>
              <w:spacing w:after="0"/>
              <w:jc w:val="right"/>
              <w:rPr>
                <w:noProof/>
                <w:sz w:val="20"/>
                <w:szCs w:val="20"/>
                <w:lang w:val="en-IE" w:eastAsia="en-IE"/>
              </w:rPr>
            </w:pPr>
            <w:r w:rsidRPr="00213E1A">
              <w:rPr>
                <w:noProof/>
              </w:rPr>
              <w:t xml:space="preserve">-   </w:t>
            </w:r>
          </w:p>
        </w:tc>
        <w:tc>
          <w:tcPr>
            <w:tcW w:w="1213" w:type="dxa"/>
            <w:vAlign w:val="center"/>
          </w:tcPr>
          <w:p w14:paraId="138C07FA" w14:textId="210F0CEB" w:rsidR="001B02E6" w:rsidRPr="00FA63C0" w:rsidRDefault="0013586D">
            <w:pPr>
              <w:spacing w:after="0"/>
              <w:jc w:val="right"/>
              <w:rPr>
                <w:noProof/>
                <w:sz w:val="20"/>
                <w:szCs w:val="20"/>
                <w:lang w:val="en-IE" w:eastAsia="en-IE"/>
              </w:rPr>
            </w:pPr>
            <w:r w:rsidRPr="00FA63C0">
              <w:rPr>
                <w:noProof/>
                <w:sz w:val="20"/>
                <w:szCs w:val="20"/>
              </w:rPr>
              <w:t xml:space="preserve"> -   </w:t>
            </w:r>
          </w:p>
        </w:tc>
        <w:tc>
          <w:tcPr>
            <w:tcW w:w="1418" w:type="dxa"/>
          </w:tcPr>
          <w:p w14:paraId="7E1ABB96" w14:textId="3CD9C4F9" w:rsidR="001B02E6" w:rsidRPr="00FA63C0" w:rsidRDefault="0013586D">
            <w:pPr>
              <w:spacing w:after="0"/>
              <w:jc w:val="right"/>
              <w:rPr>
                <w:noProof/>
                <w:sz w:val="20"/>
                <w:szCs w:val="20"/>
                <w:lang w:val="en-IE" w:eastAsia="en-IE"/>
              </w:rPr>
            </w:pPr>
            <w:r w:rsidRPr="00213E1A">
              <w:rPr>
                <w:noProof/>
              </w:rPr>
              <w:t xml:space="preserve">-   </w:t>
            </w:r>
          </w:p>
        </w:tc>
        <w:tc>
          <w:tcPr>
            <w:tcW w:w="1134" w:type="dxa"/>
            <w:noWrap/>
            <w:vAlign w:val="center"/>
          </w:tcPr>
          <w:p w14:paraId="629B6B6B"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7F74C082"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3D0A36DC"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0A7265" w14:paraId="59B9847B" w14:textId="77777777" w:rsidTr="00FA698A">
        <w:trPr>
          <w:trHeight w:val="283"/>
        </w:trPr>
        <w:tc>
          <w:tcPr>
            <w:tcW w:w="2189" w:type="dxa"/>
            <w:noWrap/>
            <w:vAlign w:val="center"/>
            <w:hideMark/>
          </w:tcPr>
          <w:p w14:paraId="070DF0A8" w14:textId="77777777" w:rsidR="001B02E6" w:rsidRPr="00FA63C0" w:rsidRDefault="001B02E6">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76" w:type="dxa"/>
          </w:tcPr>
          <w:p w14:paraId="3CD60C29" w14:textId="1F8A63EC" w:rsidR="001B02E6" w:rsidRPr="00FA63C0" w:rsidRDefault="00BC4638">
            <w:pPr>
              <w:spacing w:after="0"/>
              <w:jc w:val="right"/>
              <w:rPr>
                <w:noProof/>
                <w:sz w:val="20"/>
                <w:szCs w:val="20"/>
                <w:lang w:val="en-IE" w:eastAsia="en-IE"/>
              </w:rPr>
            </w:pPr>
            <w:r w:rsidRPr="00213E1A">
              <w:rPr>
                <w:noProof/>
              </w:rPr>
              <w:t xml:space="preserve">-   </w:t>
            </w:r>
          </w:p>
        </w:tc>
        <w:tc>
          <w:tcPr>
            <w:tcW w:w="1213" w:type="dxa"/>
            <w:vAlign w:val="center"/>
          </w:tcPr>
          <w:p w14:paraId="7A9D6465" w14:textId="596F674A" w:rsidR="001B02E6" w:rsidRPr="00FA63C0" w:rsidRDefault="0013586D">
            <w:pPr>
              <w:spacing w:after="0"/>
              <w:jc w:val="right"/>
              <w:rPr>
                <w:noProof/>
                <w:sz w:val="20"/>
                <w:szCs w:val="20"/>
                <w:lang w:val="en-IE" w:eastAsia="en-IE"/>
              </w:rPr>
            </w:pPr>
            <w:r w:rsidRPr="00FA63C0">
              <w:rPr>
                <w:noProof/>
                <w:sz w:val="20"/>
                <w:szCs w:val="20"/>
              </w:rPr>
              <w:t xml:space="preserve"> -   </w:t>
            </w:r>
          </w:p>
        </w:tc>
        <w:tc>
          <w:tcPr>
            <w:tcW w:w="1418" w:type="dxa"/>
          </w:tcPr>
          <w:p w14:paraId="03217F4A" w14:textId="096653A9" w:rsidR="001B02E6" w:rsidRPr="00FA63C0" w:rsidRDefault="0013586D">
            <w:pPr>
              <w:spacing w:after="0"/>
              <w:jc w:val="right"/>
              <w:rPr>
                <w:noProof/>
                <w:sz w:val="20"/>
                <w:szCs w:val="20"/>
                <w:lang w:val="en-IE" w:eastAsia="en-IE"/>
              </w:rPr>
            </w:pPr>
            <w:r w:rsidRPr="00213E1A">
              <w:rPr>
                <w:noProof/>
              </w:rPr>
              <w:t xml:space="preserve">-   </w:t>
            </w:r>
          </w:p>
        </w:tc>
        <w:tc>
          <w:tcPr>
            <w:tcW w:w="1134" w:type="dxa"/>
            <w:noWrap/>
            <w:vAlign w:val="center"/>
          </w:tcPr>
          <w:p w14:paraId="371CF274"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6C8E2B4D"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25200DAE"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0A7265" w14:paraId="11BC5E17" w14:textId="77777777" w:rsidTr="00FA698A">
        <w:trPr>
          <w:trHeight w:val="283"/>
        </w:trPr>
        <w:tc>
          <w:tcPr>
            <w:tcW w:w="2189" w:type="dxa"/>
            <w:noWrap/>
            <w:vAlign w:val="center"/>
            <w:hideMark/>
          </w:tcPr>
          <w:p w14:paraId="3D1C4C55" w14:textId="77777777" w:rsidR="001B02E6" w:rsidRPr="00FA63C0" w:rsidRDefault="001B02E6">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76" w:type="dxa"/>
          </w:tcPr>
          <w:p w14:paraId="01A93711" w14:textId="2682FF6F" w:rsidR="001B02E6" w:rsidRPr="00FA63C0" w:rsidRDefault="00BC4638">
            <w:pPr>
              <w:spacing w:after="0"/>
              <w:jc w:val="right"/>
              <w:rPr>
                <w:noProof/>
                <w:sz w:val="20"/>
                <w:szCs w:val="20"/>
                <w:lang w:val="en-IE" w:eastAsia="en-IE"/>
              </w:rPr>
            </w:pPr>
            <w:r w:rsidRPr="00213E1A">
              <w:rPr>
                <w:noProof/>
              </w:rPr>
              <w:t xml:space="preserve"> -   </w:t>
            </w:r>
          </w:p>
        </w:tc>
        <w:tc>
          <w:tcPr>
            <w:tcW w:w="1213" w:type="dxa"/>
            <w:vAlign w:val="center"/>
          </w:tcPr>
          <w:p w14:paraId="53B24704" w14:textId="21DA6C82" w:rsidR="001B02E6" w:rsidRPr="00FA63C0" w:rsidRDefault="0013586D">
            <w:pPr>
              <w:spacing w:after="0"/>
              <w:jc w:val="right"/>
              <w:rPr>
                <w:noProof/>
                <w:sz w:val="20"/>
                <w:szCs w:val="20"/>
                <w:lang w:val="en-IE" w:eastAsia="en-IE"/>
              </w:rPr>
            </w:pPr>
            <w:r w:rsidRPr="00FA63C0">
              <w:rPr>
                <w:noProof/>
                <w:sz w:val="20"/>
                <w:szCs w:val="20"/>
              </w:rPr>
              <w:t xml:space="preserve"> -   </w:t>
            </w:r>
          </w:p>
        </w:tc>
        <w:tc>
          <w:tcPr>
            <w:tcW w:w="1418" w:type="dxa"/>
          </w:tcPr>
          <w:p w14:paraId="795B3500" w14:textId="35A42DA5" w:rsidR="001B02E6" w:rsidRPr="00FA63C0" w:rsidRDefault="0013586D">
            <w:pPr>
              <w:spacing w:after="0"/>
              <w:jc w:val="right"/>
              <w:rPr>
                <w:noProof/>
                <w:sz w:val="20"/>
                <w:szCs w:val="20"/>
                <w:lang w:val="en-IE" w:eastAsia="en-IE"/>
              </w:rPr>
            </w:pPr>
            <w:r w:rsidRPr="00213E1A">
              <w:rPr>
                <w:noProof/>
              </w:rPr>
              <w:t xml:space="preserve"> -   </w:t>
            </w:r>
          </w:p>
        </w:tc>
        <w:tc>
          <w:tcPr>
            <w:tcW w:w="1134" w:type="dxa"/>
            <w:noWrap/>
            <w:vAlign w:val="center"/>
          </w:tcPr>
          <w:p w14:paraId="3B0D306B"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0407569C"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28925B11" w14:textId="77777777" w:rsidR="001B02E6" w:rsidRPr="000A7265"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A53ED9" w14:paraId="1D282B75" w14:textId="77777777" w:rsidTr="00FA698A">
        <w:trPr>
          <w:trHeight w:val="283"/>
        </w:trPr>
        <w:tc>
          <w:tcPr>
            <w:tcW w:w="2189" w:type="dxa"/>
            <w:noWrap/>
            <w:vAlign w:val="center"/>
            <w:hideMark/>
          </w:tcPr>
          <w:p w14:paraId="027253B4" w14:textId="77777777" w:rsidR="001B02E6" w:rsidRPr="00FA63C0" w:rsidRDefault="001B02E6">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76" w:type="dxa"/>
          </w:tcPr>
          <w:p w14:paraId="7701CE78" w14:textId="3885CB4C" w:rsidR="001B02E6" w:rsidRPr="00FA63C0" w:rsidRDefault="00BC4638" w:rsidP="00FA698A">
            <w:pPr>
              <w:tabs>
                <w:tab w:val="center" w:pos="638"/>
                <w:tab w:val="right" w:pos="1276"/>
              </w:tabs>
              <w:spacing w:after="0"/>
              <w:jc w:val="right"/>
              <w:rPr>
                <w:noProof/>
                <w:sz w:val="20"/>
                <w:szCs w:val="20"/>
                <w:lang w:val="en-IE" w:eastAsia="en-IE"/>
              </w:rPr>
            </w:pPr>
            <w:r w:rsidRPr="00213E1A">
              <w:rPr>
                <w:noProof/>
              </w:rPr>
              <w:t xml:space="preserve">-   </w:t>
            </w:r>
          </w:p>
        </w:tc>
        <w:tc>
          <w:tcPr>
            <w:tcW w:w="1213" w:type="dxa"/>
            <w:vAlign w:val="center"/>
          </w:tcPr>
          <w:p w14:paraId="1B5AC6A3" w14:textId="53817CE9" w:rsidR="001B02E6" w:rsidRPr="00FA63C0" w:rsidRDefault="0013586D">
            <w:pPr>
              <w:spacing w:after="0"/>
              <w:jc w:val="right"/>
              <w:rPr>
                <w:noProof/>
                <w:sz w:val="20"/>
                <w:szCs w:val="20"/>
                <w:lang w:val="en-IE" w:eastAsia="en-IE"/>
              </w:rPr>
            </w:pPr>
            <w:r w:rsidRPr="00FA63C0">
              <w:rPr>
                <w:noProof/>
                <w:sz w:val="20"/>
                <w:szCs w:val="20"/>
              </w:rPr>
              <w:t xml:space="preserve"> -   </w:t>
            </w:r>
          </w:p>
        </w:tc>
        <w:tc>
          <w:tcPr>
            <w:tcW w:w="1418" w:type="dxa"/>
          </w:tcPr>
          <w:p w14:paraId="04831B22" w14:textId="3EDE819A" w:rsidR="001B02E6" w:rsidRPr="00FA63C0" w:rsidRDefault="0013586D">
            <w:pPr>
              <w:spacing w:after="0"/>
              <w:jc w:val="right"/>
              <w:rPr>
                <w:noProof/>
                <w:sz w:val="20"/>
                <w:szCs w:val="20"/>
                <w:lang w:val="en-IE" w:eastAsia="en-IE"/>
              </w:rPr>
            </w:pPr>
            <w:r w:rsidRPr="00213E1A">
              <w:rPr>
                <w:noProof/>
              </w:rPr>
              <w:t xml:space="preserve">-   </w:t>
            </w:r>
          </w:p>
        </w:tc>
        <w:tc>
          <w:tcPr>
            <w:tcW w:w="1134" w:type="dxa"/>
            <w:noWrap/>
            <w:vAlign w:val="center"/>
          </w:tcPr>
          <w:p w14:paraId="34B49881" w14:textId="77777777" w:rsidR="001B02E6" w:rsidRPr="00A53ED9"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noWrap/>
            <w:vAlign w:val="center"/>
          </w:tcPr>
          <w:p w14:paraId="0F4B6CB3" w14:textId="77777777" w:rsidR="001B02E6" w:rsidRPr="00A53ED9" w:rsidRDefault="001B02E6" w:rsidP="002A15F7">
            <w:pPr>
              <w:spacing w:after="0"/>
              <w:jc w:val="right"/>
              <w:rPr>
                <w:noProof/>
                <w:sz w:val="20"/>
                <w:szCs w:val="20"/>
                <w:lang w:val="en-IE" w:eastAsia="en-IE"/>
              </w:rPr>
            </w:pPr>
            <w:r w:rsidRPr="00FA63C0">
              <w:rPr>
                <w:noProof/>
                <w:sz w:val="20"/>
                <w:szCs w:val="20"/>
              </w:rPr>
              <w:t xml:space="preserve">-   </w:t>
            </w:r>
          </w:p>
        </w:tc>
        <w:tc>
          <w:tcPr>
            <w:tcW w:w="1099" w:type="dxa"/>
            <w:noWrap/>
            <w:vAlign w:val="center"/>
          </w:tcPr>
          <w:p w14:paraId="5B95CEB7" w14:textId="77777777" w:rsidR="001B02E6" w:rsidRPr="00A53ED9" w:rsidRDefault="001B02E6" w:rsidP="002A15F7">
            <w:pPr>
              <w:spacing w:after="0"/>
              <w:jc w:val="right"/>
              <w:rPr>
                <w:noProof/>
                <w:sz w:val="20"/>
                <w:szCs w:val="20"/>
                <w:lang w:val="en-IE" w:eastAsia="en-IE"/>
              </w:rPr>
            </w:pPr>
            <w:r w:rsidRPr="00FA63C0">
              <w:rPr>
                <w:noProof/>
                <w:sz w:val="20"/>
                <w:szCs w:val="20"/>
              </w:rPr>
              <w:t xml:space="preserve"> -   </w:t>
            </w:r>
          </w:p>
        </w:tc>
      </w:tr>
      <w:tr w:rsidR="001B02E6" w:rsidRPr="00397C78" w14:paraId="1BF92E29" w14:textId="77777777" w:rsidTr="00FA698A">
        <w:trPr>
          <w:trHeight w:val="283"/>
        </w:trPr>
        <w:tc>
          <w:tcPr>
            <w:tcW w:w="2189" w:type="dxa"/>
            <w:shd w:val="clear" w:color="auto" w:fill="F2DBDB" w:themeFill="accent2" w:themeFillTint="33"/>
            <w:noWrap/>
            <w:vAlign w:val="center"/>
            <w:hideMark/>
          </w:tcPr>
          <w:p w14:paraId="2917ED57" w14:textId="77777777" w:rsidR="001B02E6" w:rsidRPr="00FA63C0" w:rsidRDefault="001B02E6" w:rsidP="001B02E6">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76" w:type="dxa"/>
            <w:shd w:val="clear" w:color="auto" w:fill="F2DBDB" w:themeFill="accent2" w:themeFillTint="33"/>
          </w:tcPr>
          <w:p w14:paraId="15F8E12C" w14:textId="2CC97250" w:rsidR="001B02E6" w:rsidRPr="00FA63C0" w:rsidRDefault="00BC4638" w:rsidP="001B02E6">
            <w:pPr>
              <w:spacing w:after="0"/>
              <w:jc w:val="right"/>
              <w:rPr>
                <w:b/>
                <w:bCs/>
                <w:noProof/>
                <w:sz w:val="20"/>
                <w:szCs w:val="20"/>
                <w:lang w:val="en-IE" w:eastAsia="en-IE"/>
              </w:rPr>
            </w:pPr>
            <w:r w:rsidRPr="005034F7">
              <w:rPr>
                <w:noProof/>
              </w:rPr>
              <w:t xml:space="preserve"> -</w:t>
            </w:r>
          </w:p>
        </w:tc>
        <w:tc>
          <w:tcPr>
            <w:tcW w:w="1213" w:type="dxa"/>
            <w:shd w:val="clear" w:color="auto" w:fill="F2DBDB" w:themeFill="accent2" w:themeFillTint="33"/>
            <w:vAlign w:val="center"/>
          </w:tcPr>
          <w:p w14:paraId="07E3222A" w14:textId="29A1CDA3" w:rsidR="001B02E6" w:rsidRPr="00FA63C0" w:rsidRDefault="0013586D" w:rsidP="001B02E6">
            <w:pPr>
              <w:spacing w:after="0"/>
              <w:jc w:val="right"/>
              <w:rPr>
                <w:b/>
                <w:bCs/>
                <w:noProof/>
                <w:sz w:val="20"/>
                <w:szCs w:val="20"/>
                <w:lang w:val="en-IE" w:eastAsia="en-IE"/>
              </w:rPr>
            </w:pPr>
            <w:r w:rsidRPr="00317F25">
              <w:rPr>
                <w:noProof/>
                <w:sz w:val="20"/>
                <w:szCs w:val="20"/>
              </w:rPr>
              <w:t xml:space="preserve"> 336 077 </w:t>
            </w:r>
          </w:p>
        </w:tc>
        <w:tc>
          <w:tcPr>
            <w:tcW w:w="1418" w:type="dxa"/>
            <w:shd w:val="clear" w:color="auto" w:fill="F2DBDB" w:themeFill="accent2" w:themeFillTint="33"/>
          </w:tcPr>
          <w:p w14:paraId="2FA25C2E" w14:textId="7327F64A" w:rsidR="001B02E6" w:rsidRPr="00FA63C0" w:rsidRDefault="0013586D" w:rsidP="001B02E6">
            <w:pPr>
              <w:spacing w:after="0"/>
              <w:jc w:val="right"/>
              <w:rPr>
                <w:b/>
                <w:bCs/>
                <w:noProof/>
                <w:sz w:val="20"/>
                <w:szCs w:val="20"/>
                <w:lang w:val="en-IE" w:eastAsia="en-IE"/>
              </w:rPr>
            </w:pPr>
            <w:r w:rsidRPr="005034F7">
              <w:rPr>
                <w:noProof/>
              </w:rPr>
              <w:t xml:space="preserve"> -</w:t>
            </w:r>
          </w:p>
        </w:tc>
        <w:tc>
          <w:tcPr>
            <w:tcW w:w="1134" w:type="dxa"/>
            <w:shd w:val="clear" w:color="auto" w:fill="F2DBDB" w:themeFill="accent2" w:themeFillTint="33"/>
            <w:noWrap/>
            <w:vAlign w:val="center"/>
          </w:tcPr>
          <w:p w14:paraId="02B73006" w14:textId="4A894E68" w:rsidR="001B02E6" w:rsidRPr="001B02E6" w:rsidRDefault="001B02E6" w:rsidP="002A15F7">
            <w:pPr>
              <w:spacing w:after="0"/>
              <w:jc w:val="right"/>
              <w:rPr>
                <w:noProof/>
                <w:sz w:val="20"/>
                <w:szCs w:val="20"/>
              </w:rPr>
            </w:pPr>
            <w:r w:rsidRPr="00FA698A">
              <w:rPr>
                <w:noProof/>
                <w:sz w:val="20"/>
                <w:szCs w:val="20"/>
              </w:rPr>
              <w:t xml:space="preserve"> 336 077 </w:t>
            </w:r>
          </w:p>
        </w:tc>
        <w:tc>
          <w:tcPr>
            <w:tcW w:w="1169" w:type="dxa"/>
            <w:shd w:val="clear" w:color="auto" w:fill="F2DBDB" w:themeFill="accent2" w:themeFillTint="33"/>
            <w:noWrap/>
            <w:vAlign w:val="center"/>
          </w:tcPr>
          <w:p w14:paraId="48BA0B74" w14:textId="155AC0DC" w:rsidR="001B02E6" w:rsidRPr="001B02E6" w:rsidRDefault="001B02E6" w:rsidP="002A15F7">
            <w:pPr>
              <w:spacing w:after="0"/>
              <w:jc w:val="right"/>
              <w:rPr>
                <w:noProof/>
                <w:sz w:val="20"/>
                <w:szCs w:val="20"/>
              </w:rPr>
            </w:pPr>
            <w:r w:rsidRPr="00FA698A">
              <w:rPr>
                <w:noProof/>
                <w:sz w:val="20"/>
                <w:szCs w:val="20"/>
              </w:rPr>
              <w:t xml:space="preserve"> 224 051 </w:t>
            </w:r>
          </w:p>
        </w:tc>
        <w:tc>
          <w:tcPr>
            <w:tcW w:w="1099" w:type="dxa"/>
            <w:shd w:val="clear" w:color="auto" w:fill="F2DBDB" w:themeFill="accent2" w:themeFillTint="33"/>
            <w:noWrap/>
            <w:vAlign w:val="center"/>
          </w:tcPr>
          <w:p w14:paraId="2456409B" w14:textId="27229820" w:rsidR="001B02E6" w:rsidRPr="001B02E6" w:rsidRDefault="001B02E6" w:rsidP="002A15F7">
            <w:pPr>
              <w:spacing w:after="0"/>
              <w:jc w:val="right"/>
              <w:rPr>
                <w:noProof/>
                <w:sz w:val="20"/>
                <w:szCs w:val="20"/>
              </w:rPr>
            </w:pPr>
            <w:r w:rsidRPr="00FA698A">
              <w:rPr>
                <w:noProof/>
                <w:sz w:val="20"/>
                <w:szCs w:val="20"/>
              </w:rPr>
              <w:t xml:space="preserve"> 448 289 </w:t>
            </w:r>
          </w:p>
        </w:tc>
      </w:tr>
      <w:tr w:rsidR="001B02E6" w:rsidRPr="007B1859" w14:paraId="78AF93D8" w14:textId="77777777" w:rsidTr="00FA698A">
        <w:trPr>
          <w:trHeight w:val="283"/>
        </w:trPr>
        <w:tc>
          <w:tcPr>
            <w:tcW w:w="2189" w:type="dxa"/>
            <w:shd w:val="clear" w:color="auto" w:fill="EAF1DD" w:themeFill="accent3" w:themeFillTint="33"/>
            <w:noWrap/>
            <w:vAlign w:val="center"/>
            <w:hideMark/>
          </w:tcPr>
          <w:p w14:paraId="416CA90C" w14:textId="77777777" w:rsidR="001B02E6" w:rsidRPr="00FA63C0" w:rsidRDefault="001B02E6">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76" w:type="dxa"/>
            <w:shd w:val="clear" w:color="auto" w:fill="EAF1DD" w:themeFill="accent3" w:themeFillTint="33"/>
          </w:tcPr>
          <w:p w14:paraId="009DF626" w14:textId="47333D9B" w:rsidR="001B02E6" w:rsidRPr="00FA63C0" w:rsidRDefault="00BC4638">
            <w:pPr>
              <w:spacing w:after="0"/>
              <w:jc w:val="right"/>
              <w:rPr>
                <w:b/>
                <w:bCs/>
                <w:noProof/>
                <w:sz w:val="20"/>
                <w:szCs w:val="20"/>
                <w:lang w:val="en-IE" w:eastAsia="en-IE"/>
              </w:rPr>
            </w:pPr>
            <w:r w:rsidRPr="005034F7">
              <w:rPr>
                <w:noProof/>
              </w:rPr>
              <w:t xml:space="preserve"> -</w:t>
            </w:r>
          </w:p>
        </w:tc>
        <w:tc>
          <w:tcPr>
            <w:tcW w:w="1213" w:type="dxa"/>
            <w:shd w:val="clear" w:color="auto" w:fill="EAF1DD" w:themeFill="accent3" w:themeFillTint="33"/>
            <w:vAlign w:val="center"/>
          </w:tcPr>
          <w:p w14:paraId="46F8B98A" w14:textId="3F5ABBA2" w:rsidR="001B02E6" w:rsidRPr="00FA63C0" w:rsidRDefault="0013586D">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EAF1DD" w:themeFill="accent3" w:themeFillTint="33"/>
          </w:tcPr>
          <w:p w14:paraId="4EF2C3A4" w14:textId="5F20687F" w:rsidR="001B02E6" w:rsidRPr="00FA63C0" w:rsidRDefault="0013586D">
            <w:pPr>
              <w:spacing w:after="0"/>
              <w:jc w:val="right"/>
              <w:rPr>
                <w:b/>
                <w:bCs/>
                <w:noProof/>
                <w:sz w:val="20"/>
                <w:szCs w:val="20"/>
                <w:lang w:val="en-IE" w:eastAsia="en-IE"/>
              </w:rPr>
            </w:pPr>
            <w:r w:rsidRPr="005034F7">
              <w:rPr>
                <w:noProof/>
              </w:rPr>
              <w:t xml:space="preserve"> -</w:t>
            </w:r>
          </w:p>
        </w:tc>
        <w:tc>
          <w:tcPr>
            <w:tcW w:w="1134" w:type="dxa"/>
            <w:shd w:val="clear" w:color="auto" w:fill="EAF1DD" w:themeFill="accent3" w:themeFillTint="33"/>
            <w:noWrap/>
            <w:vAlign w:val="center"/>
          </w:tcPr>
          <w:p w14:paraId="52484E15" w14:textId="77777777" w:rsidR="001B02E6" w:rsidRPr="007B1859" w:rsidRDefault="001B02E6" w:rsidP="002A15F7">
            <w:pPr>
              <w:spacing w:after="0"/>
              <w:jc w:val="right"/>
              <w:rPr>
                <w:noProof/>
                <w:sz w:val="20"/>
                <w:szCs w:val="20"/>
                <w:lang w:val="en-IE" w:eastAsia="en-IE"/>
              </w:rPr>
            </w:pPr>
            <w:r w:rsidRPr="00FA63C0">
              <w:rPr>
                <w:noProof/>
                <w:sz w:val="20"/>
                <w:szCs w:val="20"/>
              </w:rPr>
              <w:t xml:space="preserve"> -   </w:t>
            </w:r>
          </w:p>
        </w:tc>
        <w:tc>
          <w:tcPr>
            <w:tcW w:w="1169" w:type="dxa"/>
            <w:shd w:val="clear" w:color="auto" w:fill="EAF1DD" w:themeFill="accent3" w:themeFillTint="33"/>
            <w:noWrap/>
            <w:vAlign w:val="center"/>
          </w:tcPr>
          <w:p w14:paraId="3AE85DDC" w14:textId="77777777" w:rsidR="001B02E6" w:rsidRPr="007B1859" w:rsidRDefault="001B02E6" w:rsidP="002A15F7">
            <w:pPr>
              <w:spacing w:after="0"/>
              <w:jc w:val="right"/>
              <w:rPr>
                <w:noProof/>
                <w:sz w:val="20"/>
                <w:szCs w:val="20"/>
                <w:lang w:val="en-IE" w:eastAsia="en-IE"/>
              </w:rPr>
            </w:pPr>
            <w:r w:rsidRPr="00FA63C0">
              <w:rPr>
                <w:noProof/>
                <w:sz w:val="20"/>
                <w:szCs w:val="20"/>
              </w:rPr>
              <w:t xml:space="preserve">-   </w:t>
            </w:r>
          </w:p>
        </w:tc>
        <w:tc>
          <w:tcPr>
            <w:tcW w:w="1099" w:type="dxa"/>
            <w:shd w:val="clear" w:color="auto" w:fill="EAF1DD" w:themeFill="accent3" w:themeFillTint="33"/>
            <w:noWrap/>
            <w:vAlign w:val="center"/>
          </w:tcPr>
          <w:p w14:paraId="7F659FC7" w14:textId="77777777" w:rsidR="001B02E6" w:rsidRPr="007B1859" w:rsidRDefault="001B02E6" w:rsidP="002A15F7">
            <w:pPr>
              <w:spacing w:after="0"/>
              <w:jc w:val="right"/>
              <w:rPr>
                <w:noProof/>
                <w:sz w:val="20"/>
                <w:szCs w:val="20"/>
                <w:lang w:val="en-IE" w:eastAsia="en-IE"/>
              </w:rPr>
            </w:pPr>
            <w:r w:rsidRPr="00FA63C0">
              <w:rPr>
                <w:noProof/>
                <w:sz w:val="20"/>
                <w:szCs w:val="20"/>
              </w:rPr>
              <w:t xml:space="preserve"> -   </w:t>
            </w:r>
          </w:p>
        </w:tc>
      </w:tr>
      <w:tr w:rsidR="00C44537" w:rsidRPr="007C40E5" w14:paraId="75CCE52D" w14:textId="77777777" w:rsidTr="00FA698A">
        <w:trPr>
          <w:trHeight w:val="283"/>
        </w:trPr>
        <w:tc>
          <w:tcPr>
            <w:tcW w:w="2189" w:type="dxa"/>
            <w:shd w:val="clear" w:color="auto" w:fill="F2F2F2" w:themeFill="background1" w:themeFillShade="F2"/>
            <w:noWrap/>
            <w:vAlign w:val="center"/>
            <w:hideMark/>
          </w:tcPr>
          <w:p w14:paraId="02C7BDBC" w14:textId="77777777" w:rsidR="002A15F7" w:rsidRPr="00FA63C0" w:rsidRDefault="002A15F7" w:rsidP="002A15F7">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76" w:type="dxa"/>
            <w:shd w:val="clear" w:color="auto" w:fill="F2F2F2" w:themeFill="background1" w:themeFillShade="F2"/>
          </w:tcPr>
          <w:p w14:paraId="43C676F1" w14:textId="13CF3548" w:rsidR="002A15F7" w:rsidRPr="00FA63C0" w:rsidRDefault="00BC4638" w:rsidP="002A15F7">
            <w:pPr>
              <w:spacing w:after="0"/>
              <w:jc w:val="right"/>
              <w:rPr>
                <w:b/>
                <w:bCs/>
                <w:noProof/>
                <w:sz w:val="20"/>
                <w:szCs w:val="20"/>
                <w:lang w:val="en-IE" w:eastAsia="en-IE"/>
              </w:rPr>
            </w:pPr>
            <w:r w:rsidRPr="005034F7">
              <w:rPr>
                <w:noProof/>
              </w:rPr>
              <w:t xml:space="preserve"> -</w:t>
            </w:r>
          </w:p>
        </w:tc>
        <w:tc>
          <w:tcPr>
            <w:tcW w:w="1213" w:type="dxa"/>
            <w:shd w:val="clear" w:color="auto" w:fill="F2F2F2" w:themeFill="background1" w:themeFillShade="F2"/>
            <w:vAlign w:val="center"/>
          </w:tcPr>
          <w:p w14:paraId="2FCDC462" w14:textId="16DD1264" w:rsidR="002A15F7" w:rsidRPr="00FA63C0" w:rsidRDefault="0013586D" w:rsidP="002A15F7">
            <w:pPr>
              <w:spacing w:after="0"/>
              <w:jc w:val="right"/>
              <w:rPr>
                <w:b/>
                <w:bCs/>
                <w:noProof/>
                <w:sz w:val="20"/>
                <w:szCs w:val="20"/>
                <w:lang w:val="en-IE" w:eastAsia="en-IE"/>
              </w:rPr>
            </w:pPr>
            <w:r w:rsidRPr="00317F25">
              <w:rPr>
                <w:b/>
                <w:bCs/>
                <w:noProof/>
                <w:sz w:val="20"/>
                <w:szCs w:val="20"/>
              </w:rPr>
              <w:t xml:space="preserve"> 336 077 </w:t>
            </w:r>
          </w:p>
        </w:tc>
        <w:tc>
          <w:tcPr>
            <w:tcW w:w="1418" w:type="dxa"/>
            <w:shd w:val="clear" w:color="auto" w:fill="F2F2F2" w:themeFill="background1" w:themeFillShade="F2"/>
          </w:tcPr>
          <w:p w14:paraId="03F3C35D" w14:textId="7955B476" w:rsidR="002A15F7" w:rsidRPr="00FA63C0" w:rsidRDefault="0013586D" w:rsidP="002A15F7">
            <w:pPr>
              <w:spacing w:after="0"/>
              <w:jc w:val="right"/>
              <w:rPr>
                <w:b/>
                <w:bCs/>
                <w:noProof/>
                <w:sz w:val="20"/>
                <w:szCs w:val="20"/>
                <w:lang w:val="en-IE" w:eastAsia="en-IE"/>
              </w:rPr>
            </w:pPr>
            <w:r w:rsidRPr="005034F7">
              <w:rPr>
                <w:noProof/>
              </w:rPr>
              <w:t xml:space="preserve"> -</w:t>
            </w:r>
          </w:p>
        </w:tc>
        <w:tc>
          <w:tcPr>
            <w:tcW w:w="1134" w:type="dxa"/>
            <w:shd w:val="clear" w:color="auto" w:fill="F2F2F2" w:themeFill="background1" w:themeFillShade="F2"/>
            <w:noWrap/>
            <w:vAlign w:val="center"/>
          </w:tcPr>
          <w:p w14:paraId="399A7F82" w14:textId="2ED89730" w:rsidR="002A15F7" w:rsidRPr="002A15F7" w:rsidRDefault="002A15F7" w:rsidP="002A15F7">
            <w:pPr>
              <w:spacing w:after="0"/>
              <w:jc w:val="right"/>
              <w:rPr>
                <w:b/>
                <w:bCs/>
                <w:noProof/>
                <w:sz w:val="20"/>
                <w:szCs w:val="20"/>
                <w:lang w:val="en-IE" w:eastAsia="en-IE"/>
              </w:rPr>
            </w:pPr>
            <w:r w:rsidRPr="00FA698A">
              <w:rPr>
                <w:b/>
                <w:noProof/>
                <w:sz w:val="20"/>
                <w:szCs w:val="20"/>
              </w:rPr>
              <w:t xml:space="preserve"> 336 077 </w:t>
            </w:r>
          </w:p>
        </w:tc>
        <w:tc>
          <w:tcPr>
            <w:tcW w:w="1169" w:type="dxa"/>
            <w:shd w:val="clear" w:color="auto" w:fill="F2F2F2" w:themeFill="background1" w:themeFillShade="F2"/>
            <w:noWrap/>
            <w:vAlign w:val="center"/>
          </w:tcPr>
          <w:p w14:paraId="771A64F5" w14:textId="03AB7E88" w:rsidR="002A15F7" w:rsidRPr="002A15F7" w:rsidRDefault="002A15F7" w:rsidP="002A15F7">
            <w:pPr>
              <w:spacing w:after="0"/>
              <w:jc w:val="right"/>
              <w:rPr>
                <w:b/>
                <w:bCs/>
                <w:noProof/>
                <w:sz w:val="20"/>
                <w:szCs w:val="20"/>
                <w:lang w:val="en-IE" w:eastAsia="en-IE"/>
              </w:rPr>
            </w:pPr>
            <w:r w:rsidRPr="00FA698A">
              <w:rPr>
                <w:b/>
                <w:noProof/>
                <w:sz w:val="20"/>
                <w:szCs w:val="20"/>
              </w:rPr>
              <w:t xml:space="preserve"> 224 051 </w:t>
            </w:r>
          </w:p>
        </w:tc>
        <w:tc>
          <w:tcPr>
            <w:tcW w:w="1099" w:type="dxa"/>
            <w:shd w:val="clear" w:color="auto" w:fill="F2F2F2" w:themeFill="background1" w:themeFillShade="F2"/>
            <w:noWrap/>
            <w:vAlign w:val="center"/>
          </w:tcPr>
          <w:p w14:paraId="4A9FF6D3" w14:textId="6D917CEA" w:rsidR="002A15F7" w:rsidRPr="002A15F7" w:rsidRDefault="002A15F7" w:rsidP="002A15F7">
            <w:pPr>
              <w:spacing w:after="0"/>
              <w:jc w:val="right"/>
              <w:rPr>
                <w:b/>
                <w:bCs/>
                <w:noProof/>
                <w:sz w:val="20"/>
                <w:szCs w:val="20"/>
                <w:lang w:val="en-IE" w:eastAsia="en-IE"/>
              </w:rPr>
            </w:pPr>
            <w:r w:rsidRPr="00FA698A">
              <w:rPr>
                <w:b/>
                <w:noProof/>
                <w:sz w:val="20"/>
                <w:szCs w:val="20"/>
              </w:rPr>
              <w:t xml:space="preserve"> 448 289 </w:t>
            </w:r>
          </w:p>
        </w:tc>
      </w:tr>
    </w:tbl>
    <w:p w14:paraId="75A114FB" w14:textId="0FC7D7EA" w:rsidR="00182AA9" w:rsidRDefault="00182AA9" w:rsidP="006A2239">
      <w:pPr>
        <w:pStyle w:val="Heading2"/>
        <w:numPr>
          <w:ilvl w:val="1"/>
          <w:numId w:val="10"/>
        </w:numPr>
        <w:tabs>
          <w:tab w:val="num" w:pos="283"/>
        </w:tabs>
        <w:spacing w:before="240"/>
        <w:ind w:left="1202"/>
        <w:rPr>
          <w:bCs/>
          <w:noProof/>
        </w:rPr>
      </w:pPr>
      <w:bookmarkStart w:id="215" w:name="_Toc208595312"/>
      <w:bookmarkStart w:id="216" w:name="_Toc208836937"/>
      <w:bookmarkStart w:id="217" w:name="_Toc214519716"/>
      <w:bookmarkStart w:id="218" w:name="_Toc216283367"/>
      <w:bookmarkStart w:id="219" w:name="_Toc228346922"/>
      <w:r w:rsidRPr="00E32387">
        <w:rPr>
          <w:noProof/>
        </w:rPr>
        <w:t>PM12</w:t>
      </w:r>
      <w:r w:rsidRPr="00E32387">
        <w:rPr>
          <w:bCs/>
          <w:noProof/>
        </w:rPr>
        <w:t>: Creating EU guidelines for sovereign Cloud</w:t>
      </w:r>
      <w:r>
        <w:rPr>
          <w:bCs/>
          <w:noProof/>
        </w:rPr>
        <w:t xml:space="preserve"> </w:t>
      </w:r>
      <w:r w:rsidRPr="00E32387">
        <w:rPr>
          <w:bCs/>
          <w:noProof/>
        </w:rPr>
        <w:t xml:space="preserve">AI </w:t>
      </w:r>
      <w:r w:rsidR="006F0574">
        <w:rPr>
          <w:bCs/>
          <w:noProof/>
        </w:rPr>
        <w:t xml:space="preserve">computing </w:t>
      </w:r>
      <w:r w:rsidR="00664081">
        <w:rPr>
          <w:bCs/>
          <w:noProof/>
        </w:rPr>
        <w:t>service</w:t>
      </w:r>
      <w:r>
        <w:rPr>
          <w:bCs/>
          <w:noProof/>
        </w:rPr>
        <w:t>s</w:t>
      </w:r>
      <w:r w:rsidRPr="00E32387">
        <w:rPr>
          <w:bCs/>
          <w:noProof/>
        </w:rPr>
        <w:t xml:space="preserve"> for public procurement</w:t>
      </w:r>
      <w:bookmarkEnd w:id="215"/>
      <w:bookmarkEnd w:id="216"/>
      <w:bookmarkEnd w:id="217"/>
      <w:bookmarkEnd w:id="218"/>
      <w:bookmarkEnd w:id="219"/>
    </w:p>
    <w:p w14:paraId="77FD1624" w14:textId="7A6FA864" w:rsidR="00B60673" w:rsidRDefault="00182AA9" w:rsidP="00182AA9">
      <w:pPr>
        <w:rPr>
          <w:noProof/>
        </w:rPr>
      </w:pPr>
      <w:r w:rsidRPr="00823397">
        <w:rPr>
          <w:noProof/>
        </w:rPr>
        <w:t>The assumptions detailed for PM11 remain valid for PM12, with the following additions</w:t>
      </w:r>
      <w:r w:rsidR="00CB12A4">
        <w:rPr>
          <w:noProof/>
        </w:rPr>
        <w:t>:</w:t>
      </w:r>
      <w:r w:rsidRPr="00823397">
        <w:rPr>
          <w:noProof/>
        </w:rPr>
        <w:t xml:space="preserve"> Whereas PM11 only considers </w:t>
      </w:r>
      <w:r w:rsidR="00965726">
        <w:rPr>
          <w:noProof/>
        </w:rPr>
        <w:t>the criteria</w:t>
      </w:r>
      <w:r w:rsidRPr="00823397">
        <w:rPr>
          <w:noProof/>
        </w:rPr>
        <w:t xml:space="preserve"> of what constitutes a sovereign cloud and AI </w:t>
      </w:r>
      <w:r w:rsidR="00BB72EA">
        <w:rPr>
          <w:noProof/>
        </w:rPr>
        <w:t xml:space="preserve">computing </w:t>
      </w:r>
      <w:r w:rsidRPr="00823397">
        <w:rPr>
          <w:noProof/>
        </w:rPr>
        <w:t>service, PM12</w:t>
      </w:r>
      <w:r w:rsidRPr="00823397" w:rsidDel="00F97AEE">
        <w:rPr>
          <w:noProof/>
        </w:rPr>
        <w:t xml:space="preserve"> </w:t>
      </w:r>
      <w:r w:rsidRPr="00823397">
        <w:rPr>
          <w:noProof/>
        </w:rPr>
        <w:t xml:space="preserve">adds detailed guidelines developed by the Commission over PM11’s </w:t>
      </w:r>
      <w:r w:rsidR="00965726">
        <w:rPr>
          <w:noProof/>
        </w:rPr>
        <w:t>criteria</w:t>
      </w:r>
      <w:r w:rsidR="00965726" w:rsidRPr="00823397">
        <w:rPr>
          <w:noProof/>
        </w:rPr>
        <w:t xml:space="preserve"> </w:t>
      </w:r>
      <w:r w:rsidRPr="00823397">
        <w:rPr>
          <w:noProof/>
        </w:rPr>
        <w:t>to ensure that service providers interpret the</w:t>
      </w:r>
      <w:r w:rsidR="00965726">
        <w:rPr>
          <w:noProof/>
        </w:rPr>
        <w:t>m</w:t>
      </w:r>
      <w:r w:rsidR="00D2703B">
        <w:rPr>
          <w:noProof/>
        </w:rPr>
        <w:t xml:space="preserve"> </w:t>
      </w:r>
      <w:r w:rsidRPr="00823397">
        <w:rPr>
          <w:noProof/>
        </w:rPr>
        <w:t xml:space="preserve">in a similar manner. While the Commission is the sole responsible for the drafting of the guidelines, these </w:t>
      </w:r>
      <w:r w:rsidR="00CB12A4">
        <w:rPr>
          <w:noProof/>
        </w:rPr>
        <w:t>would</w:t>
      </w:r>
      <w:r w:rsidR="00CB12A4" w:rsidRPr="00823397">
        <w:rPr>
          <w:noProof/>
        </w:rPr>
        <w:t xml:space="preserve"> </w:t>
      </w:r>
      <w:r w:rsidRPr="00823397">
        <w:rPr>
          <w:noProof/>
        </w:rPr>
        <w:t xml:space="preserve">be consulted with </w:t>
      </w:r>
      <w:r w:rsidR="00CB12A4" w:rsidRPr="00823397">
        <w:rPr>
          <w:noProof/>
        </w:rPr>
        <w:t>representatives</w:t>
      </w:r>
      <w:r w:rsidR="00CB12A4">
        <w:rPr>
          <w:noProof/>
        </w:rPr>
        <w:t xml:space="preserve"> of</w:t>
      </w:r>
      <w:r w:rsidR="00CB12A4" w:rsidRPr="00823397">
        <w:rPr>
          <w:noProof/>
        </w:rPr>
        <w:t xml:space="preserve"> </w:t>
      </w:r>
      <w:r w:rsidR="00CB12A4">
        <w:rPr>
          <w:noProof/>
        </w:rPr>
        <w:t>n</w:t>
      </w:r>
      <w:r w:rsidRPr="00823397">
        <w:rPr>
          <w:noProof/>
        </w:rPr>
        <w:t xml:space="preserve">ational </w:t>
      </w:r>
      <w:r w:rsidR="00CB12A4">
        <w:rPr>
          <w:noProof/>
        </w:rPr>
        <w:t>p</w:t>
      </w:r>
      <w:r w:rsidRPr="00823397">
        <w:rPr>
          <w:noProof/>
        </w:rPr>
        <w:t xml:space="preserve">ublic </w:t>
      </w:r>
      <w:r w:rsidR="00CB12A4">
        <w:rPr>
          <w:noProof/>
        </w:rPr>
        <w:t>a</w:t>
      </w:r>
      <w:r w:rsidRPr="00823397">
        <w:rPr>
          <w:noProof/>
        </w:rPr>
        <w:t>uthorities and service providers</w:t>
      </w:r>
      <w:r w:rsidR="00902BBC">
        <w:rPr>
          <w:noProof/>
        </w:rPr>
        <w:t>.</w:t>
      </w:r>
    </w:p>
    <w:p w14:paraId="33BB9CB2" w14:textId="03193629" w:rsidR="00182AA9" w:rsidRPr="00122963" w:rsidRDefault="00182AA9" w:rsidP="00182AA9">
      <w:pPr>
        <w:rPr>
          <w:b/>
          <w:noProof/>
        </w:rPr>
      </w:pPr>
      <w:r w:rsidRPr="00122963">
        <w:rPr>
          <w:b/>
          <w:i/>
          <w:noProof/>
        </w:rPr>
        <w:t xml:space="preserve">One-off adjustment costs </w:t>
      </w:r>
      <w:r w:rsidR="00946C81">
        <w:rPr>
          <w:b/>
          <w:i/>
          <w:noProof/>
        </w:rPr>
        <w:t>for</w:t>
      </w:r>
      <w:r w:rsidR="00946C81" w:rsidRPr="00122963">
        <w:rPr>
          <w:b/>
          <w:i/>
          <w:noProof/>
        </w:rPr>
        <w:t xml:space="preserve"> </w:t>
      </w:r>
      <w:r w:rsidRPr="00122963">
        <w:rPr>
          <w:b/>
          <w:i/>
          <w:noProof/>
        </w:rPr>
        <w:t xml:space="preserve">the European Commission </w:t>
      </w:r>
      <w:r w:rsidRPr="00122963">
        <w:rPr>
          <w:noProof/>
        </w:rPr>
        <w:t xml:space="preserve">stems from the development and adoption of the EU guidelines for sovereign </w:t>
      </w:r>
      <w:r w:rsidR="0001203E">
        <w:rPr>
          <w:noProof/>
        </w:rPr>
        <w:t>cloud</w:t>
      </w:r>
      <w:r w:rsidRPr="00122963">
        <w:rPr>
          <w:noProof/>
        </w:rPr>
        <w:t xml:space="preserve"> and AI </w:t>
      </w:r>
      <w:r w:rsidR="00BB72EA">
        <w:rPr>
          <w:noProof/>
        </w:rPr>
        <w:t xml:space="preserve">computing </w:t>
      </w:r>
      <w:r w:rsidRPr="00122963">
        <w:rPr>
          <w:noProof/>
        </w:rPr>
        <w:t xml:space="preserve">services. Guidelines entail detailed explanations and interpretations and therefore the effort estimated to draft and adopt them is 2 FTEs over </w:t>
      </w:r>
      <w:r w:rsidR="00025397">
        <w:rPr>
          <w:noProof/>
        </w:rPr>
        <w:t xml:space="preserve">1 </w:t>
      </w:r>
      <w:r w:rsidRPr="00122963">
        <w:rPr>
          <w:noProof/>
        </w:rPr>
        <w:t xml:space="preserve">year. </w:t>
      </w:r>
    </w:p>
    <w:p w14:paraId="3F771FB2" w14:textId="6D5E4483" w:rsidR="00182AA9" w:rsidRPr="00122963" w:rsidRDefault="00182AA9" w:rsidP="00182AA9">
      <w:pPr>
        <w:rPr>
          <w:noProof/>
        </w:rPr>
      </w:pPr>
      <w:r w:rsidRPr="00122963">
        <w:rPr>
          <w:b/>
          <w:i/>
          <w:noProof/>
        </w:rPr>
        <w:t xml:space="preserve">One-off adjustment costs </w:t>
      </w:r>
      <w:r w:rsidR="00946C81">
        <w:rPr>
          <w:b/>
          <w:i/>
          <w:noProof/>
        </w:rPr>
        <w:t>for</w:t>
      </w:r>
      <w:r w:rsidRPr="00122963">
        <w:rPr>
          <w:b/>
          <w:i/>
          <w:noProof/>
        </w:rPr>
        <w:t xml:space="preserve"> </w:t>
      </w:r>
      <w:r w:rsidR="00C41AF2">
        <w:rPr>
          <w:b/>
          <w:i/>
          <w:noProof/>
        </w:rPr>
        <w:t>national public authorities</w:t>
      </w:r>
      <w:r w:rsidRPr="00122963">
        <w:rPr>
          <w:b/>
          <w:noProof/>
        </w:rPr>
        <w:t xml:space="preserve"> </w:t>
      </w:r>
      <w:r w:rsidRPr="00122963">
        <w:rPr>
          <w:noProof/>
        </w:rPr>
        <w:t xml:space="preserve">include the following items: firstly the participation of Member States’ authorities in the discussions to draft the guidelines in collaboration with the European Commission and the cloud and AI </w:t>
      </w:r>
      <w:r w:rsidR="00F277BE">
        <w:rPr>
          <w:noProof/>
        </w:rPr>
        <w:t xml:space="preserve">computing service </w:t>
      </w:r>
      <w:r w:rsidRPr="00122963">
        <w:rPr>
          <w:noProof/>
        </w:rPr>
        <w:t>providers and secondly, the adaptation and updates of the bid templates as well as the institutionalisation of certain elements so that the guidelines can be applied uniformly across the public sector.</w:t>
      </w:r>
    </w:p>
    <w:p w14:paraId="5807D0FF" w14:textId="604B20F3" w:rsidR="00182AA9" w:rsidRPr="00122963" w:rsidRDefault="00182AA9" w:rsidP="00182AA9">
      <w:pPr>
        <w:rPr>
          <w:noProof/>
        </w:rPr>
      </w:pPr>
      <w:r w:rsidRPr="00122963">
        <w:rPr>
          <w:noProof/>
        </w:rPr>
        <w:t xml:space="preserve">The participation in the discussions for the guidelines has been estimated to 27.5 days per public authority considering one participant per MS, while for the adaptation of the templates the estimation is 3 days per public authority applying the guidelines, assuming that </w:t>
      </w:r>
      <w:r w:rsidR="002D57EA">
        <w:rPr>
          <w:noProof/>
        </w:rPr>
        <w:t xml:space="preserve">904, </w:t>
      </w:r>
      <w:r w:rsidRPr="00122963">
        <w:rPr>
          <w:noProof/>
        </w:rPr>
        <w:t>the majority of public administrations of the procuring authorities adopt them. A sensitivity is introduced as a minimum of 3 days and a maximum of 10 days.</w:t>
      </w:r>
    </w:p>
    <w:p w14:paraId="3EE99E9A" w14:textId="77777777" w:rsidR="00182AA9" w:rsidRPr="00122963" w:rsidRDefault="00182AA9" w:rsidP="00343EC5">
      <w:pPr>
        <w:jc w:val="center"/>
        <w:rPr>
          <w:i/>
          <w:noProof/>
        </w:rPr>
      </w:pPr>
      <w:r w:rsidRPr="00122963">
        <w:rPr>
          <w:i/>
          <w:noProof/>
        </w:rPr>
        <w:t>One-off adjustment costs (NPA) = labour costs * ((effort in discussions * number of authorities involved in the discussion) + (effort to adapt the guidelines * number of authorities adopting the guidelines)</w:t>
      </w:r>
    </w:p>
    <w:p w14:paraId="23765D3A" w14:textId="41488E89" w:rsidR="00182AA9" w:rsidRPr="008143C9" w:rsidRDefault="00182AA9" w:rsidP="00182AA9">
      <w:pPr>
        <w:rPr>
          <w:noProof/>
        </w:rPr>
      </w:pPr>
      <w:r w:rsidRPr="00122963">
        <w:rPr>
          <w:b/>
          <w:i/>
          <w:noProof/>
        </w:rPr>
        <w:t xml:space="preserve">Recurrent savings in </w:t>
      </w:r>
      <w:r w:rsidR="00C41AF2">
        <w:rPr>
          <w:b/>
          <w:i/>
          <w:noProof/>
        </w:rPr>
        <w:t>n</w:t>
      </w:r>
      <w:r w:rsidRPr="00122963">
        <w:rPr>
          <w:b/>
          <w:i/>
          <w:noProof/>
        </w:rPr>
        <w:t xml:space="preserve">ational </w:t>
      </w:r>
      <w:r w:rsidR="00C41AF2">
        <w:rPr>
          <w:b/>
          <w:i/>
          <w:noProof/>
        </w:rPr>
        <w:t>p</w:t>
      </w:r>
      <w:r w:rsidRPr="00122963">
        <w:rPr>
          <w:b/>
          <w:i/>
          <w:noProof/>
        </w:rPr>
        <w:t>ublic</w:t>
      </w:r>
      <w:r w:rsidRPr="00122963" w:rsidDel="00C41AF2">
        <w:rPr>
          <w:b/>
          <w:i/>
          <w:noProof/>
        </w:rPr>
        <w:t xml:space="preserve"> </w:t>
      </w:r>
      <w:r w:rsidR="00C41AF2">
        <w:rPr>
          <w:b/>
          <w:noProof/>
        </w:rPr>
        <w:t>a</w:t>
      </w:r>
      <w:r w:rsidR="00C41AF2">
        <w:rPr>
          <w:b/>
          <w:i/>
          <w:noProof/>
        </w:rPr>
        <w:t>uthorities</w:t>
      </w:r>
      <w:r w:rsidRPr="00122963">
        <w:rPr>
          <w:b/>
          <w:noProof/>
        </w:rPr>
        <w:t xml:space="preserve"> </w:t>
      </w:r>
      <w:r w:rsidRPr="00122963">
        <w:rPr>
          <w:noProof/>
        </w:rPr>
        <w:t>may</w:t>
      </w:r>
      <w:r w:rsidRPr="00122963">
        <w:rPr>
          <w:b/>
          <w:noProof/>
        </w:rPr>
        <w:t xml:space="preserve"> </w:t>
      </w:r>
      <w:r w:rsidRPr="00122963">
        <w:rPr>
          <w:noProof/>
        </w:rPr>
        <w:t xml:space="preserve">stem from a voluntary but systematic application of the adapted templates in the different procurement procedures. The clarity of the criteria could result in a lower number of disputes between procuring public authorities and </w:t>
      </w:r>
      <w:r w:rsidR="0001203E">
        <w:rPr>
          <w:noProof/>
        </w:rPr>
        <w:t>cloud</w:t>
      </w:r>
      <w:r w:rsidRPr="00122963">
        <w:rPr>
          <w:noProof/>
        </w:rPr>
        <w:t xml:space="preserve"> and AI </w:t>
      </w:r>
      <w:r w:rsidR="00F277BE">
        <w:rPr>
          <w:noProof/>
        </w:rPr>
        <w:t>computing service provider</w:t>
      </w:r>
      <w:r w:rsidRPr="00122963">
        <w:rPr>
          <w:noProof/>
        </w:rPr>
        <w:t xml:space="preserve">s. However, interviews with Public Administrations do not point to savings as a result of guidelines alone. </w:t>
      </w:r>
      <w:r>
        <w:rPr>
          <w:noProof/>
        </w:rPr>
        <w:t>As</w:t>
      </w:r>
      <w:r w:rsidRPr="00122963">
        <w:rPr>
          <w:noProof/>
        </w:rPr>
        <w:t xml:space="preserve"> part of </w:t>
      </w:r>
      <w:r w:rsidRPr="008143C9">
        <w:rPr>
          <w:noProof/>
        </w:rPr>
        <w:t>the sensitivity a min of zero and a max of 5 days per procured tender is arbitrarily set.</w:t>
      </w:r>
    </w:p>
    <w:p w14:paraId="0EE34766" w14:textId="793F6835" w:rsidR="00182AA9" w:rsidRPr="008143C9" w:rsidRDefault="00182AA9" w:rsidP="00343EC5">
      <w:pPr>
        <w:jc w:val="center"/>
        <w:rPr>
          <w:i/>
          <w:noProof/>
        </w:rPr>
      </w:pPr>
      <w:r w:rsidRPr="008143C9">
        <w:rPr>
          <w:i/>
          <w:noProof/>
        </w:rPr>
        <w:t xml:space="preserve">Recurrent savings for reusing the </w:t>
      </w:r>
      <w:r w:rsidR="009E15CE">
        <w:rPr>
          <w:i/>
          <w:noProof/>
        </w:rPr>
        <w:t>harmonized criteria</w:t>
      </w:r>
      <w:r w:rsidR="009E15CE" w:rsidRPr="008143C9">
        <w:rPr>
          <w:i/>
          <w:noProof/>
        </w:rPr>
        <w:t xml:space="preserve"> </w:t>
      </w:r>
      <w:r w:rsidRPr="008143C9">
        <w:rPr>
          <w:i/>
          <w:noProof/>
        </w:rPr>
        <w:t>(</w:t>
      </w:r>
      <w:r w:rsidR="00C41AF2">
        <w:rPr>
          <w:i/>
          <w:noProof/>
        </w:rPr>
        <w:t>national public authorities</w:t>
      </w:r>
      <w:r w:rsidRPr="008143C9">
        <w:rPr>
          <w:i/>
          <w:noProof/>
        </w:rPr>
        <w:t>) = estimated effort saved per tender * labour cost * number of yearly public tenders integrating the guidelines</w:t>
      </w:r>
    </w:p>
    <w:p w14:paraId="4036D8EA" w14:textId="214A2003" w:rsidR="00182AA9" w:rsidRPr="008143C9" w:rsidRDefault="00182AA9" w:rsidP="00182AA9">
      <w:pPr>
        <w:rPr>
          <w:b/>
          <w:i/>
          <w:noProof/>
        </w:rPr>
      </w:pPr>
      <w:r w:rsidRPr="008143C9">
        <w:rPr>
          <w:b/>
          <w:i/>
          <w:noProof/>
        </w:rPr>
        <w:t xml:space="preserve">One-off </w:t>
      </w:r>
      <w:r w:rsidR="00501C7E">
        <w:rPr>
          <w:b/>
          <w:i/>
          <w:noProof/>
        </w:rPr>
        <w:t>adjustment</w:t>
      </w:r>
      <w:r w:rsidRPr="008143C9">
        <w:rPr>
          <w:b/>
          <w:i/>
          <w:noProof/>
        </w:rPr>
        <w:t xml:space="preserve"> costs </w:t>
      </w:r>
      <w:r w:rsidR="00946C81">
        <w:rPr>
          <w:b/>
          <w:i/>
          <w:noProof/>
        </w:rPr>
        <w:t>for</w:t>
      </w:r>
      <w:r w:rsidR="00946C81" w:rsidRPr="00122963">
        <w:rPr>
          <w:b/>
          <w:i/>
          <w:noProof/>
        </w:rPr>
        <w:t xml:space="preserve"> </w:t>
      </w:r>
      <w:r w:rsidR="0001203E">
        <w:rPr>
          <w:b/>
          <w:i/>
          <w:noProof/>
        </w:rPr>
        <w:t>cloud</w:t>
      </w:r>
      <w:r w:rsidRPr="008143C9">
        <w:rPr>
          <w:b/>
          <w:i/>
          <w:noProof/>
        </w:rPr>
        <w:t xml:space="preserve"> and AI </w:t>
      </w:r>
      <w:r w:rsidR="008810F1">
        <w:rPr>
          <w:b/>
          <w:i/>
          <w:noProof/>
        </w:rPr>
        <w:t xml:space="preserve">computing </w:t>
      </w:r>
      <w:r w:rsidRPr="008143C9">
        <w:rPr>
          <w:b/>
          <w:i/>
          <w:noProof/>
        </w:rPr>
        <w:t>service providers.</w:t>
      </w:r>
      <w:r w:rsidRPr="008143C9">
        <w:rPr>
          <w:b/>
          <w:noProof/>
        </w:rPr>
        <w:t xml:space="preserve"> </w:t>
      </w:r>
      <w:r w:rsidRPr="008143C9">
        <w:rPr>
          <w:noProof/>
        </w:rPr>
        <w:t xml:space="preserve">Under this PM, </w:t>
      </w:r>
      <w:r w:rsidR="0001203E">
        <w:rPr>
          <w:noProof/>
        </w:rPr>
        <w:t>cloud</w:t>
      </w:r>
      <w:r w:rsidRPr="008143C9">
        <w:rPr>
          <w:noProof/>
        </w:rPr>
        <w:t xml:space="preserve"> and AI </w:t>
      </w:r>
      <w:r w:rsidR="00F277BE">
        <w:rPr>
          <w:noProof/>
        </w:rPr>
        <w:t xml:space="preserve">computing service </w:t>
      </w:r>
      <w:r w:rsidRPr="008143C9">
        <w:rPr>
          <w:noProof/>
        </w:rPr>
        <w:t xml:space="preserve">providers will participate in the discussions for the guidelines and the effort estimated for this activity is 20 staff days for 30 </w:t>
      </w:r>
      <w:r w:rsidR="0001203E">
        <w:rPr>
          <w:noProof/>
        </w:rPr>
        <w:t>cloud</w:t>
      </w:r>
      <w:r w:rsidRPr="008143C9">
        <w:rPr>
          <w:noProof/>
        </w:rPr>
        <w:t xml:space="preserve"> and AI </w:t>
      </w:r>
      <w:r w:rsidR="00F277BE">
        <w:rPr>
          <w:noProof/>
        </w:rPr>
        <w:t xml:space="preserve">computing service </w:t>
      </w:r>
      <w:r w:rsidRPr="008143C9">
        <w:rPr>
          <w:noProof/>
        </w:rPr>
        <w:t>providers.</w:t>
      </w:r>
    </w:p>
    <w:p w14:paraId="132C6014" w14:textId="21B99306" w:rsidR="00182AA9" w:rsidRPr="008143C9" w:rsidRDefault="00182AA9" w:rsidP="00182AA9">
      <w:pPr>
        <w:rPr>
          <w:noProof/>
        </w:rPr>
      </w:pPr>
      <w:r w:rsidRPr="008143C9">
        <w:rPr>
          <w:noProof/>
        </w:rPr>
        <w:t>The second type of one-off administrative costs is related to the alignment to the sovereignty guidelines. This requires checking the undertakings’ internal organisational and legal procedures. This effort has been estimated in 20 days</w:t>
      </w:r>
      <w:r>
        <w:rPr>
          <w:noProof/>
        </w:rPr>
        <w:t>,</w:t>
      </w:r>
      <w:r w:rsidRPr="008143C9">
        <w:rPr>
          <w:noProof/>
        </w:rPr>
        <w:t xml:space="preserve"> and it would apply to all economic operators. </w:t>
      </w:r>
    </w:p>
    <w:p w14:paraId="286E954A" w14:textId="69BD118F" w:rsidR="00182AA9" w:rsidRPr="008143C9" w:rsidRDefault="00854DE7" w:rsidP="00182AA9">
      <w:pPr>
        <w:rPr>
          <w:noProof/>
        </w:rPr>
      </w:pPr>
      <w:r>
        <w:rPr>
          <w:b/>
          <w:i/>
          <w:noProof/>
        </w:rPr>
        <w:t>Recurrent a</w:t>
      </w:r>
      <w:r w:rsidR="00182AA9" w:rsidRPr="00343EC5">
        <w:rPr>
          <w:b/>
          <w:i/>
          <w:noProof/>
        </w:rPr>
        <w:t>djustments costs in</w:t>
      </w:r>
      <w:r w:rsidR="00182AA9" w:rsidRPr="008143C9">
        <w:rPr>
          <w:noProof/>
        </w:rPr>
        <w:t xml:space="preserve"> </w:t>
      </w:r>
      <w:r w:rsidR="0001203E">
        <w:rPr>
          <w:b/>
          <w:i/>
          <w:noProof/>
        </w:rPr>
        <w:t>cloud</w:t>
      </w:r>
      <w:r w:rsidR="00182AA9" w:rsidRPr="008143C9">
        <w:rPr>
          <w:b/>
          <w:i/>
          <w:noProof/>
        </w:rPr>
        <w:t xml:space="preserve"> and AI </w:t>
      </w:r>
      <w:r w:rsidR="008810F1">
        <w:rPr>
          <w:b/>
          <w:i/>
          <w:noProof/>
        </w:rPr>
        <w:t xml:space="preserve">computing </w:t>
      </w:r>
      <w:r w:rsidR="00182AA9" w:rsidRPr="008143C9">
        <w:rPr>
          <w:b/>
          <w:i/>
          <w:noProof/>
        </w:rPr>
        <w:t xml:space="preserve">service providers. </w:t>
      </w:r>
      <w:r w:rsidR="00182AA9" w:rsidRPr="008143C9">
        <w:rPr>
          <w:noProof/>
        </w:rPr>
        <w:t>Under this measure no adjustments costs for companies to comply with the requirements and modify organisational or legal procedures</w:t>
      </w:r>
      <w:r w:rsidR="00F6175D">
        <w:rPr>
          <w:noProof/>
        </w:rPr>
        <w:t>,</w:t>
      </w:r>
      <w:r w:rsidR="00182AA9" w:rsidRPr="008143C9">
        <w:rPr>
          <w:noProof/>
        </w:rPr>
        <w:t xml:space="preserve"> set by the guidelines.</w:t>
      </w:r>
    </w:p>
    <w:p w14:paraId="3562104D" w14:textId="2C68CFF4" w:rsidR="00182AA9" w:rsidRPr="008143C9" w:rsidRDefault="00182AA9" w:rsidP="00182AA9">
      <w:pPr>
        <w:rPr>
          <w:noProof/>
        </w:rPr>
      </w:pPr>
      <w:r w:rsidRPr="008143C9">
        <w:rPr>
          <w:b/>
          <w:i/>
          <w:noProof/>
        </w:rPr>
        <w:t xml:space="preserve">Recurrent savings in </w:t>
      </w:r>
      <w:r w:rsidR="0001203E">
        <w:rPr>
          <w:b/>
          <w:i/>
          <w:noProof/>
        </w:rPr>
        <w:t>cloud</w:t>
      </w:r>
      <w:r w:rsidRPr="008143C9">
        <w:rPr>
          <w:b/>
          <w:i/>
          <w:noProof/>
        </w:rPr>
        <w:t xml:space="preserve"> and AI </w:t>
      </w:r>
      <w:r w:rsidR="008810F1">
        <w:rPr>
          <w:b/>
          <w:i/>
          <w:noProof/>
        </w:rPr>
        <w:t>computing</w:t>
      </w:r>
      <w:r w:rsidRPr="008143C9">
        <w:rPr>
          <w:b/>
          <w:i/>
          <w:noProof/>
        </w:rPr>
        <w:t xml:space="preserve"> services providers</w:t>
      </w:r>
      <w:r w:rsidRPr="008143C9">
        <w:rPr>
          <w:noProof/>
        </w:rPr>
        <w:t xml:space="preserve"> result from the systematic application and reuse of the documentation that needs to be handed in for each procurement procedure. </w:t>
      </w:r>
      <w:r w:rsidR="00F277BE">
        <w:rPr>
          <w:noProof/>
        </w:rPr>
        <w:t xml:space="preserve">cloud and AI computing service </w:t>
      </w:r>
      <w:r w:rsidRPr="008143C9">
        <w:rPr>
          <w:noProof/>
        </w:rPr>
        <w:t xml:space="preserve">providers will </w:t>
      </w:r>
      <w:r w:rsidRPr="008143C9" w:rsidDel="0014029C">
        <w:rPr>
          <w:noProof/>
        </w:rPr>
        <w:t xml:space="preserve">be </w:t>
      </w:r>
      <w:r w:rsidRPr="008143C9">
        <w:rPr>
          <w:noProof/>
        </w:rPr>
        <w:t>able to re-use a set of documents throughout procurements since these will be aligned with the guidelines. These savings are estimated at 1 day per tender and 10 tenders a year.</w:t>
      </w:r>
    </w:p>
    <w:p w14:paraId="0E181A57" w14:textId="7FA1E3BC" w:rsidR="00182AA9" w:rsidRPr="008143C9" w:rsidRDefault="00182AA9" w:rsidP="00182AA9">
      <w:pPr>
        <w:rPr>
          <w:i/>
          <w:noProof/>
        </w:rPr>
      </w:pPr>
      <w:r w:rsidRPr="008143C9">
        <w:rPr>
          <w:i/>
          <w:noProof/>
        </w:rPr>
        <w:t>Recurrent savings (</w:t>
      </w:r>
      <w:r w:rsidR="0001203E">
        <w:rPr>
          <w:i/>
          <w:noProof/>
        </w:rPr>
        <w:t>cloud</w:t>
      </w:r>
      <w:r w:rsidRPr="008143C9">
        <w:rPr>
          <w:i/>
          <w:noProof/>
        </w:rPr>
        <w:t xml:space="preserve"> and AI </w:t>
      </w:r>
      <w:r w:rsidR="008810F1">
        <w:rPr>
          <w:i/>
          <w:noProof/>
        </w:rPr>
        <w:t xml:space="preserve">computing </w:t>
      </w:r>
      <w:r w:rsidRPr="008143C9">
        <w:rPr>
          <w:i/>
          <w:noProof/>
        </w:rPr>
        <w:t xml:space="preserve">service providers) = effort saved per bid * labour costs * number of yearly bids per provider * number of cloud and AI </w:t>
      </w:r>
      <w:r w:rsidR="00F277BE">
        <w:rPr>
          <w:i/>
          <w:noProof/>
        </w:rPr>
        <w:t xml:space="preserve">computing service </w:t>
      </w:r>
      <w:r w:rsidRPr="008143C9">
        <w:rPr>
          <w:i/>
          <w:noProof/>
        </w:rPr>
        <w:t>providers aligned to guidelines</w:t>
      </w:r>
    </w:p>
    <w:p w14:paraId="4DB73034" w14:textId="108DA4A2" w:rsidR="00182AA9" w:rsidRPr="00646208" w:rsidRDefault="00182AA9" w:rsidP="00182AA9">
      <w:pPr>
        <w:rPr>
          <w:noProof/>
        </w:rPr>
      </w:pPr>
      <w:r w:rsidRPr="00646208">
        <w:rPr>
          <w:b/>
          <w:bCs/>
          <w:noProof/>
        </w:rPr>
        <w:t xml:space="preserve">Indirect savings: </w:t>
      </w:r>
      <w:r w:rsidRPr="00646208">
        <w:rPr>
          <w:noProof/>
        </w:rPr>
        <w:t xml:space="preserve">Through this measure, organisations able to adequate their processes to adhere to the </w:t>
      </w:r>
      <w:r w:rsidR="009E15CE">
        <w:rPr>
          <w:noProof/>
        </w:rPr>
        <w:t>harmonized criteria</w:t>
      </w:r>
      <w:r w:rsidR="009E15CE" w:rsidRPr="00646208">
        <w:rPr>
          <w:noProof/>
        </w:rPr>
        <w:t xml:space="preserve"> </w:t>
      </w:r>
      <w:r w:rsidR="009E15CE">
        <w:rPr>
          <w:noProof/>
        </w:rPr>
        <w:t xml:space="preserve">for sovereign services </w:t>
      </w:r>
      <w:r w:rsidRPr="00646208">
        <w:rPr>
          <w:noProof/>
        </w:rPr>
        <w:t>will increase trust from cloud consumers and potentially resulting in larger market revenues for EU providers due to market credibility.</w:t>
      </w:r>
    </w:p>
    <w:p w14:paraId="07C1285D" w14:textId="2418B4E1" w:rsidR="00182AA9" w:rsidRPr="004465BE" w:rsidRDefault="00182AA9" w:rsidP="00182AA9">
      <w:pPr>
        <w:rPr>
          <w:noProof/>
        </w:rPr>
      </w:pPr>
      <w:r w:rsidRPr="008143C9">
        <w:rPr>
          <w:b/>
          <w:noProof/>
        </w:rPr>
        <w:t xml:space="preserve">Sensitivity analysis: </w:t>
      </w:r>
      <w:r w:rsidR="008E4B1B">
        <w:rPr>
          <w:noProof/>
        </w:rPr>
        <w:t xml:space="preserve">The items used for the sensitivity analysis are 1) the </w:t>
      </w:r>
      <w:r w:rsidR="00247D1E">
        <w:rPr>
          <w:noProof/>
        </w:rPr>
        <w:t xml:space="preserve">percentage of public administrations using the </w:t>
      </w:r>
      <w:r w:rsidR="009E15CE">
        <w:rPr>
          <w:noProof/>
        </w:rPr>
        <w:t xml:space="preserve">harmonized criteria for sovereign services </w:t>
      </w:r>
      <w:r w:rsidR="00247D1E">
        <w:rPr>
          <w:noProof/>
        </w:rPr>
        <w:t>in their procurement activities, ranging from 50% to 100%</w:t>
      </w:r>
      <w:r w:rsidR="00AB0BEA">
        <w:rPr>
          <w:noProof/>
        </w:rPr>
        <w:t>; 2) the number of public administrations procuring cloud services</w:t>
      </w:r>
      <w:r w:rsidR="002D57EA">
        <w:rPr>
          <w:noProof/>
        </w:rPr>
        <w:t xml:space="preserve">; 3) </w:t>
      </w:r>
      <w:r w:rsidR="000B7812">
        <w:rPr>
          <w:noProof/>
        </w:rPr>
        <w:t>time needed by public administrations to adopt the procedures as well as to evaluate the bids</w:t>
      </w:r>
      <w:r w:rsidR="0012011A">
        <w:rPr>
          <w:noProof/>
        </w:rPr>
        <w:t xml:space="preserve">; 4) the number of cloud and AI </w:t>
      </w:r>
      <w:r w:rsidR="00F277BE">
        <w:rPr>
          <w:noProof/>
        </w:rPr>
        <w:t xml:space="preserve">computing service </w:t>
      </w:r>
      <w:r w:rsidR="0012011A">
        <w:rPr>
          <w:noProof/>
        </w:rPr>
        <w:t xml:space="preserve">providers that can participate in procurement processes, ranging from </w:t>
      </w:r>
      <w:r w:rsidR="008C495C">
        <w:rPr>
          <w:noProof/>
        </w:rPr>
        <w:t>244 (min) to 350 (</w:t>
      </w:r>
      <w:r w:rsidR="00681183">
        <w:rPr>
          <w:noProof/>
        </w:rPr>
        <w:t xml:space="preserve">central and </w:t>
      </w:r>
      <w:r w:rsidR="008C495C">
        <w:rPr>
          <w:noProof/>
        </w:rPr>
        <w:t>max).</w:t>
      </w:r>
    </w:p>
    <w:p w14:paraId="183639BA" w14:textId="60AFEF83" w:rsidR="00182AA9" w:rsidRDefault="00182AA9" w:rsidP="00182AA9">
      <w:pPr>
        <w:rPr>
          <w:noProof/>
          <w:color w:val="000000" w:themeColor="text1"/>
        </w:rPr>
      </w:pPr>
      <w:r w:rsidRPr="00DA029C">
        <w:rPr>
          <w:b/>
          <w:bCs/>
          <w:noProof/>
          <w:color w:val="000000" w:themeColor="text1"/>
        </w:rPr>
        <w:t>Results</w:t>
      </w:r>
      <w:r w:rsidRPr="00DA029C">
        <w:rPr>
          <w:noProof/>
          <w:color w:val="000000" w:themeColor="text1"/>
        </w:rPr>
        <w:t xml:space="preserve"> for all stakeholders aggregated and for the years covered by this measure are summarised in the table below. The average scenario is </w:t>
      </w:r>
      <w:r w:rsidR="00E85293">
        <w:rPr>
          <w:noProof/>
          <w:color w:val="000000" w:themeColor="text1"/>
        </w:rPr>
        <w:t xml:space="preserve">slightly above </w:t>
      </w:r>
      <w:r w:rsidRPr="00DA029C">
        <w:rPr>
          <w:noProof/>
          <w:color w:val="000000" w:themeColor="text1"/>
        </w:rPr>
        <w:t>cost</w:t>
      </w:r>
      <w:r w:rsidR="008078A7" w:rsidRPr="00DA029C">
        <w:rPr>
          <w:noProof/>
          <w:color w:val="000000" w:themeColor="text1"/>
        </w:rPr>
        <w:t xml:space="preserve"> </w:t>
      </w:r>
      <w:r w:rsidRPr="00DA029C">
        <w:rPr>
          <w:noProof/>
          <w:color w:val="000000" w:themeColor="text1"/>
        </w:rPr>
        <w:t xml:space="preserve">neutral. While the min scenario measure points towards benefits not fully offsetting costs the max scenario points towards net benefits. </w:t>
      </w:r>
      <w:r w:rsidRPr="004465BE">
        <w:rPr>
          <w:noProof/>
          <w:color w:val="000000" w:themeColor="text1"/>
        </w:rPr>
        <w:t>The main source of difference between the min and max is caused in the cost saving</w:t>
      </w:r>
      <w:r w:rsidR="00FA1E31">
        <w:rPr>
          <w:noProof/>
          <w:color w:val="000000" w:themeColor="text1"/>
        </w:rPr>
        <w:t>s</w:t>
      </w:r>
      <w:r w:rsidRPr="004465BE">
        <w:rPr>
          <w:noProof/>
          <w:color w:val="000000" w:themeColor="text1"/>
        </w:rPr>
        <w:t xml:space="preserve"> category and how many national public authorities integrate the guidelines to their tenders and </w:t>
      </w:r>
      <w:r w:rsidR="008078A7">
        <w:rPr>
          <w:noProof/>
          <w:color w:val="000000" w:themeColor="text1"/>
        </w:rPr>
        <w:t>cloud</w:t>
      </w:r>
      <w:r w:rsidRPr="004465BE">
        <w:rPr>
          <w:noProof/>
          <w:color w:val="000000" w:themeColor="text1"/>
        </w:rPr>
        <w:t xml:space="preserve"> and AI </w:t>
      </w:r>
      <w:r w:rsidR="00BB72EA">
        <w:rPr>
          <w:noProof/>
          <w:color w:val="000000" w:themeColor="text1"/>
        </w:rPr>
        <w:t>computing</w:t>
      </w:r>
      <w:r w:rsidRPr="004465BE">
        <w:rPr>
          <w:noProof/>
          <w:color w:val="000000" w:themeColor="text1"/>
        </w:rPr>
        <w:t xml:space="preserve"> service providers</w:t>
      </w:r>
      <w:r>
        <w:rPr>
          <w:noProof/>
          <w:color w:val="000000" w:themeColor="text1"/>
        </w:rPr>
        <w:t xml:space="preserve"> </w:t>
      </w:r>
      <w:r w:rsidRPr="004465BE">
        <w:rPr>
          <w:noProof/>
          <w:color w:val="000000" w:themeColor="text1"/>
        </w:rPr>
        <w:t>adopt the guidelines.</w:t>
      </w:r>
    </w:p>
    <w:p w14:paraId="7351420D" w14:textId="46CFA7AC" w:rsidR="00182AA9" w:rsidRDefault="00182AA9" w:rsidP="00182AA9">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32</w:t>
      </w:r>
      <w:r>
        <w:rPr>
          <w:noProof/>
        </w:rPr>
        <w:fldChar w:fldCharType="end"/>
      </w:r>
      <w:r>
        <w:rPr>
          <w:noProof/>
        </w:rPr>
        <w:t xml:space="preserve">. </w:t>
      </w:r>
      <w:r w:rsidRPr="00E250B8">
        <w:rPr>
          <w:noProof/>
        </w:rPr>
        <w:t xml:space="preserve">Creating EU guidelines for sovereign </w:t>
      </w:r>
      <w:r w:rsidR="0001203E">
        <w:rPr>
          <w:noProof/>
        </w:rPr>
        <w:t>cloud</w:t>
      </w:r>
      <w:r w:rsidRPr="00E250B8">
        <w:rPr>
          <w:noProof/>
        </w:rPr>
        <w:t xml:space="preserve"> and AI </w:t>
      </w:r>
      <w:r w:rsidR="008810F1">
        <w:rPr>
          <w:noProof/>
        </w:rPr>
        <w:t>computing</w:t>
      </w:r>
      <w:r w:rsidRPr="00E250B8">
        <w:rPr>
          <w:noProof/>
        </w:rPr>
        <w:t xml:space="preserve"> services for public procurement</w:t>
      </w:r>
      <w:r>
        <w:rPr>
          <w:noProof/>
        </w:rPr>
        <w:t xml:space="preserve"> (PM12)</w:t>
      </w:r>
    </w:p>
    <w:tbl>
      <w:tblPr>
        <w:tblStyle w:val="TableGrid"/>
        <w:tblW w:w="9498" w:type="dxa"/>
        <w:tblInd w:w="-284" w:type="dxa"/>
        <w:tblLayout w:type="fixed"/>
        <w:tblCellMar>
          <w:left w:w="0" w:type="dxa"/>
          <w:right w:w="0" w:type="dxa"/>
        </w:tblCellMar>
        <w:tblLook w:val="04A0" w:firstRow="1" w:lastRow="0" w:firstColumn="1" w:lastColumn="0" w:noHBand="0" w:noVBand="1"/>
      </w:tblPr>
      <w:tblGrid>
        <w:gridCol w:w="2125"/>
        <w:gridCol w:w="1239"/>
        <w:gridCol w:w="1178"/>
        <w:gridCol w:w="1377"/>
        <w:gridCol w:w="1101"/>
        <w:gridCol w:w="1135"/>
        <w:gridCol w:w="1343"/>
      </w:tblGrid>
      <w:tr w:rsidR="00C44537" w:rsidRPr="00FA63C0" w14:paraId="7624CC7E" w14:textId="77777777" w:rsidTr="00B05194">
        <w:trPr>
          <w:trHeight w:val="506"/>
        </w:trPr>
        <w:tc>
          <w:tcPr>
            <w:tcW w:w="2125" w:type="dxa"/>
            <w:tcBorders>
              <w:bottom w:val="single" w:sz="12" w:space="0" w:color="00B0F0"/>
            </w:tcBorders>
            <w:noWrap/>
            <w:vAlign w:val="center"/>
            <w:hideMark/>
          </w:tcPr>
          <w:p w14:paraId="3285BEDC" w14:textId="77777777" w:rsidR="00C44537" w:rsidRPr="00FA63C0" w:rsidRDefault="00C44537">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39" w:type="dxa"/>
            <w:tcBorders>
              <w:bottom w:val="single" w:sz="12" w:space="0" w:color="00B0F0"/>
            </w:tcBorders>
            <w:vAlign w:val="center"/>
          </w:tcPr>
          <w:p w14:paraId="4FF7D2BE" w14:textId="083151B6" w:rsidR="00C44537"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178" w:type="dxa"/>
            <w:tcBorders>
              <w:bottom w:val="single" w:sz="12" w:space="0" w:color="00B0F0"/>
            </w:tcBorders>
            <w:vAlign w:val="center"/>
          </w:tcPr>
          <w:p w14:paraId="715CA52D" w14:textId="77777777" w:rsidR="00C44537" w:rsidRPr="00FA63C0" w:rsidRDefault="00C44537">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377" w:type="dxa"/>
            <w:tcBorders>
              <w:bottom w:val="single" w:sz="12" w:space="0" w:color="00B0F0"/>
            </w:tcBorders>
            <w:vAlign w:val="center"/>
          </w:tcPr>
          <w:p w14:paraId="0A39AD9B" w14:textId="77777777" w:rsidR="00C44537" w:rsidRPr="00FA63C0" w:rsidRDefault="00C44537">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01" w:type="dxa"/>
            <w:tcBorders>
              <w:bottom w:val="single" w:sz="12" w:space="0" w:color="00B0F0"/>
            </w:tcBorders>
            <w:noWrap/>
            <w:vAlign w:val="center"/>
            <w:hideMark/>
          </w:tcPr>
          <w:p w14:paraId="61C5C955" w14:textId="77777777" w:rsidR="00C44537" w:rsidRPr="00FA63C0" w:rsidRDefault="00C44537">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35" w:type="dxa"/>
            <w:tcBorders>
              <w:bottom w:val="single" w:sz="12" w:space="0" w:color="00B0F0"/>
            </w:tcBorders>
            <w:noWrap/>
            <w:vAlign w:val="center"/>
            <w:hideMark/>
          </w:tcPr>
          <w:p w14:paraId="7BC99A4A" w14:textId="77777777" w:rsidR="00C44537" w:rsidRPr="00EC6BC1" w:rsidRDefault="00C44537">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343" w:type="dxa"/>
            <w:tcBorders>
              <w:bottom w:val="single" w:sz="12" w:space="0" w:color="00B0F0"/>
            </w:tcBorders>
            <w:noWrap/>
            <w:vAlign w:val="center"/>
            <w:hideMark/>
          </w:tcPr>
          <w:p w14:paraId="003115FA" w14:textId="77777777" w:rsidR="00C44537" w:rsidRPr="00FA63C0" w:rsidRDefault="00C44537" w:rsidP="00FA698A">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C44537" w:rsidRPr="00397C78" w14:paraId="45E77CA0" w14:textId="77777777" w:rsidTr="00B05194">
        <w:trPr>
          <w:trHeight w:val="283"/>
        </w:trPr>
        <w:tc>
          <w:tcPr>
            <w:tcW w:w="2125" w:type="dxa"/>
            <w:tcBorders>
              <w:top w:val="single" w:sz="12" w:space="0" w:color="00B0F0"/>
            </w:tcBorders>
            <w:noWrap/>
            <w:vAlign w:val="center"/>
            <w:hideMark/>
          </w:tcPr>
          <w:p w14:paraId="7CC5F236"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39" w:type="dxa"/>
            <w:tcBorders>
              <w:top w:val="single" w:sz="12" w:space="0" w:color="00B0F0"/>
            </w:tcBorders>
          </w:tcPr>
          <w:p w14:paraId="50E9F42F" w14:textId="1BDB6A95" w:rsidR="00C44537" w:rsidRPr="00FA63C0" w:rsidRDefault="001D3AA5">
            <w:pPr>
              <w:spacing w:after="0"/>
              <w:jc w:val="right"/>
              <w:rPr>
                <w:noProof/>
                <w:sz w:val="20"/>
                <w:szCs w:val="20"/>
                <w:lang w:val="en-IE" w:eastAsia="en-IE"/>
              </w:rPr>
            </w:pPr>
            <w:r w:rsidRPr="00213E1A">
              <w:rPr>
                <w:noProof/>
              </w:rPr>
              <w:t xml:space="preserve">-   </w:t>
            </w:r>
          </w:p>
        </w:tc>
        <w:tc>
          <w:tcPr>
            <w:tcW w:w="1178" w:type="dxa"/>
            <w:tcBorders>
              <w:top w:val="single" w:sz="12" w:space="0" w:color="00B0F0"/>
            </w:tcBorders>
          </w:tcPr>
          <w:p w14:paraId="3A497E93" w14:textId="6702092F" w:rsidR="00C44537" w:rsidRPr="00FA63C0" w:rsidRDefault="002E53B2">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Borders>
              <w:top w:val="single" w:sz="12" w:space="0" w:color="00B0F0"/>
            </w:tcBorders>
          </w:tcPr>
          <w:p w14:paraId="30899C87" w14:textId="71847310" w:rsidR="00C44537" w:rsidRPr="00FA63C0" w:rsidRDefault="001D3AA5">
            <w:pPr>
              <w:spacing w:after="0"/>
              <w:jc w:val="right"/>
              <w:rPr>
                <w:noProof/>
                <w:sz w:val="20"/>
                <w:szCs w:val="20"/>
                <w:lang w:val="en-IE" w:eastAsia="en-IE"/>
              </w:rPr>
            </w:pPr>
            <w:r w:rsidRPr="00213E1A">
              <w:rPr>
                <w:noProof/>
              </w:rPr>
              <w:t xml:space="preserve">-   </w:t>
            </w:r>
          </w:p>
        </w:tc>
        <w:tc>
          <w:tcPr>
            <w:tcW w:w="1101" w:type="dxa"/>
            <w:tcBorders>
              <w:top w:val="single" w:sz="12" w:space="0" w:color="00B0F0"/>
            </w:tcBorders>
            <w:noWrap/>
            <w:vAlign w:val="center"/>
          </w:tcPr>
          <w:p w14:paraId="2A46B9B1"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tcBorders>
              <w:top w:val="single" w:sz="12" w:space="0" w:color="00B0F0"/>
            </w:tcBorders>
            <w:noWrap/>
            <w:vAlign w:val="center"/>
          </w:tcPr>
          <w:p w14:paraId="764E7C30"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w:t>
            </w:r>
          </w:p>
        </w:tc>
        <w:tc>
          <w:tcPr>
            <w:tcW w:w="1343" w:type="dxa"/>
            <w:tcBorders>
              <w:top w:val="single" w:sz="12" w:space="0" w:color="00B0F0"/>
            </w:tcBorders>
            <w:noWrap/>
            <w:vAlign w:val="center"/>
          </w:tcPr>
          <w:p w14:paraId="3BFF22D1"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   </w:t>
            </w:r>
          </w:p>
        </w:tc>
      </w:tr>
      <w:tr w:rsidR="001B745D" w:rsidRPr="00061A60" w14:paraId="61AE118E" w14:textId="77777777" w:rsidTr="00B05194">
        <w:trPr>
          <w:trHeight w:val="283"/>
        </w:trPr>
        <w:tc>
          <w:tcPr>
            <w:tcW w:w="2125" w:type="dxa"/>
            <w:noWrap/>
            <w:vAlign w:val="center"/>
            <w:hideMark/>
          </w:tcPr>
          <w:p w14:paraId="5CA4D1A7"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39" w:type="dxa"/>
          </w:tcPr>
          <w:p w14:paraId="3A0BD11B" w14:textId="4B9487CE" w:rsidR="00C44537" w:rsidRPr="00FA63C0" w:rsidRDefault="001D3AA5">
            <w:pPr>
              <w:spacing w:after="0"/>
              <w:jc w:val="right"/>
              <w:rPr>
                <w:noProof/>
                <w:sz w:val="20"/>
                <w:szCs w:val="20"/>
                <w:lang w:val="en-IE" w:eastAsia="en-IE"/>
              </w:rPr>
            </w:pPr>
            <w:r w:rsidRPr="00213E1A">
              <w:rPr>
                <w:noProof/>
              </w:rPr>
              <w:t xml:space="preserve">-   </w:t>
            </w:r>
          </w:p>
        </w:tc>
        <w:tc>
          <w:tcPr>
            <w:tcW w:w="1178" w:type="dxa"/>
          </w:tcPr>
          <w:p w14:paraId="7261BFB0" w14:textId="7E4BDE7E" w:rsidR="00C44537" w:rsidRPr="00FA63C0" w:rsidRDefault="002E53B2">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Pr>
          <w:p w14:paraId="2B03BCB3" w14:textId="013F1BA3" w:rsidR="00C44537" w:rsidRPr="00FA63C0" w:rsidRDefault="001D3AA5">
            <w:pPr>
              <w:spacing w:after="0"/>
              <w:jc w:val="right"/>
              <w:rPr>
                <w:noProof/>
                <w:sz w:val="20"/>
                <w:szCs w:val="20"/>
                <w:lang w:val="en-IE" w:eastAsia="en-IE"/>
              </w:rPr>
            </w:pPr>
            <w:r w:rsidRPr="00213E1A">
              <w:rPr>
                <w:noProof/>
              </w:rPr>
              <w:t xml:space="preserve">-   </w:t>
            </w:r>
          </w:p>
        </w:tc>
        <w:tc>
          <w:tcPr>
            <w:tcW w:w="1101" w:type="dxa"/>
            <w:noWrap/>
            <w:vAlign w:val="center"/>
          </w:tcPr>
          <w:p w14:paraId="496AD8F2" w14:textId="77777777" w:rsidR="00C44537" w:rsidRPr="00061A60"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2311A56A" w14:textId="77777777" w:rsidR="00C44537" w:rsidRPr="00061A60" w:rsidRDefault="00C44537"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7703A3C1" w14:textId="77777777" w:rsidR="00C44537" w:rsidRPr="00061A60" w:rsidRDefault="00C44537" w:rsidP="001B745D">
            <w:pPr>
              <w:spacing w:after="0"/>
              <w:jc w:val="right"/>
              <w:rPr>
                <w:noProof/>
                <w:sz w:val="20"/>
                <w:szCs w:val="20"/>
                <w:lang w:val="en-IE" w:eastAsia="en-IE"/>
              </w:rPr>
            </w:pPr>
            <w:r w:rsidRPr="00FA63C0">
              <w:rPr>
                <w:noProof/>
                <w:sz w:val="20"/>
                <w:szCs w:val="20"/>
              </w:rPr>
              <w:t xml:space="preserve"> -   </w:t>
            </w:r>
          </w:p>
        </w:tc>
      </w:tr>
      <w:tr w:rsidR="00C44537" w:rsidRPr="00397C78" w14:paraId="566BFE78" w14:textId="77777777" w:rsidTr="00B05194">
        <w:trPr>
          <w:trHeight w:val="283"/>
        </w:trPr>
        <w:tc>
          <w:tcPr>
            <w:tcW w:w="2125" w:type="dxa"/>
            <w:noWrap/>
            <w:vAlign w:val="center"/>
            <w:hideMark/>
          </w:tcPr>
          <w:p w14:paraId="6DE46AE5" w14:textId="77777777" w:rsidR="00C44537" w:rsidRPr="00FA63C0" w:rsidRDefault="00C44537" w:rsidP="00C44537">
            <w:pPr>
              <w:spacing w:after="0"/>
              <w:jc w:val="left"/>
              <w:rPr>
                <w:i/>
                <w:iCs/>
                <w:noProof/>
                <w:sz w:val="20"/>
                <w:szCs w:val="20"/>
                <w:lang w:val="en-IE" w:eastAsia="en-IE"/>
              </w:rPr>
            </w:pPr>
            <w:r w:rsidRPr="00FA63C0">
              <w:rPr>
                <w:i/>
                <w:iCs/>
                <w:noProof/>
                <w:sz w:val="20"/>
                <w:szCs w:val="20"/>
                <w:lang w:val="en-IE" w:eastAsia="en-IE"/>
              </w:rPr>
              <w:t>one-off adjustment</w:t>
            </w:r>
          </w:p>
        </w:tc>
        <w:tc>
          <w:tcPr>
            <w:tcW w:w="1239" w:type="dxa"/>
            <w:vAlign w:val="center"/>
          </w:tcPr>
          <w:p w14:paraId="6EE5CC20" w14:textId="1CB337FC" w:rsidR="00C44537" w:rsidRPr="00FA698A" w:rsidRDefault="003F07B1" w:rsidP="00C44537">
            <w:pPr>
              <w:spacing w:after="0"/>
              <w:jc w:val="right"/>
              <w:rPr>
                <w:noProof/>
                <w:sz w:val="20"/>
                <w:szCs w:val="20"/>
              </w:rPr>
            </w:pPr>
            <w:r>
              <w:rPr>
                <w:noProof/>
                <w:sz w:val="20"/>
                <w:szCs w:val="20"/>
                <w:lang w:eastAsia="en-US"/>
              </w:rPr>
              <w:t>2 975 585</w:t>
            </w:r>
          </w:p>
        </w:tc>
        <w:tc>
          <w:tcPr>
            <w:tcW w:w="1178" w:type="dxa"/>
          </w:tcPr>
          <w:p w14:paraId="00D4C810" w14:textId="76CBEDF8" w:rsidR="00C44537" w:rsidRPr="00FA698A" w:rsidRDefault="006B3071" w:rsidP="00C44537">
            <w:pPr>
              <w:spacing w:after="0"/>
              <w:jc w:val="right"/>
              <w:rPr>
                <w:noProof/>
                <w:sz w:val="20"/>
                <w:szCs w:val="20"/>
              </w:rPr>
            </w:pPr>
            <w:r w:rsidRPr="00FA698A">
              <w:rPr>
                <w:noProof/>
                <w:sz w:val="20"/>
                <w:szCs w:val="20"/>
              </w:rPr>
              <w:t>1</w:t>
            </w:r>
            <w:r w:rsidR="000B6C20">
              <w:rPr>
                <w:noProof/>
                <w:sz w:val="20"/>
                <w:szCs w:val="20"/>
              </w:rPr>
              <w:t xml:space="preserve"> </w:t>
            </w:r>
            <w:r w:rsidRPr="00FA698A">
              <w:rPr>
                <w:noProof/>
                <w:sz w:val="20"/>
                <w:szCs w:val="20"/>
              </w:rPr>
              <w:t>252</w:t>
            </w:r>
            <w:r w:rsidR="000B6C20">
              <w:rPr>
                <w:noProof/>
                <w:sz w:val="20"/>
                <w:szCs w:val="20"/>
              </w:rPr>
              <w:t xml:space="preserve"> </w:t>
            </w:r>
            <w:r w:rsidRPr="00FA698A">
              <w:rPr>
                <w:noProof/>
                <w:sz w:val="20"/>
                <w:szCs w:val="20"/>
              </w:rPr>
              <w:t xml:space="preserve">254 </w:t>
            </w:r>
          </w:p>
        </w:tc>
        <w:tc>
          <w:tcPr>
            <w:tcW w:w="1377" w:type="dxa"/>
            <w:vAlign w:val="center"/>
          </w:tcPr>
          <w:p w14:paraId="7E0BB898" w14:textId="5C460073" w:rsidR="00C44537" w:rsidRPr="00FA63C0" w:rsidRDefault="0011050E" w:rsidP="00C44537">
            <w:pPr>
              <w:spacing w:after="0"/>
              <w:jc w:val="right"/>
              <w:rPr>
                <w:noProof/>
                <w:sz w:val="20"/>
                <w:szCs w:val="20"/>
                <w:lang w:val="en-IE" w:eastAsia="en-IE"/>
              </w:rPr>
            </w:pPr>
            <w:r w:rsidRPr="0011050E">
              <w:rPr>
                <w:noProof/>
                <w:sz w:val="20"/>
                <w:szCs w:val="20"/>
                <w:lang w:val="en-IE" w:eastAsia="en-IE"/>
              </w:rPr>
              <w:t>168</w:t>
            </w:r>
            <w:r w:rsidR="000B6C20">
              <w:rPr>
                <w:noProof/>
                <w:sz w:val="20"/>
                <w:szCs w:val="20"/>
                <w:lang w:val="en-IE" w:eastAsia="en-IE"/>
              </w:rPr>
              <w:t xml:space="preserve"> </w:t>
            </w:r>
            <w:r w:rsidRPr="0011050E">
              <w:rPr>
                <w:noProof/>
                <w:sz w:val="20"/>
                <w:szCs w:val="20"/>
                <w:lang w:val="en-IE" w:eastAsia="en-IE"/>
              </w:rPr>
              <w:t>538</w:t>
            </w:r>
          </w:p>
        </w:tc>
        <w:tc>
          <w:tcPr>
            <w:tcW w:w="1101" w:type="dxa"/>
            <w:noWrap/>
            <w:vAlign w:val="center"/>
          </w:tcPr>
          <w:p w14:paraId="22B5948F" w14:textId="4BE10170" w:rsidR="00C44537" w:rsidRPr="00C44537" w:rsidRDefault="00C44537" w:rsidP="001B745D">
            <w:pPr>
              <w:spacing w:after="0"/>
              <w:jc w:val="right"/>
              <w:rPr>
                <w:noProof/>
                <w:sz w:val="20"/>
                <w:szCs w:val="20"/>
                <w:lang w:val="en-IE" w:eastAsia="en-IE"/>
              </w:rPr>
            </w:pPr>
            <w:r w:rsidRPr="00FA698A">
              <w:rPr>
                <w:noProof/>
                <w:sz w:val="20"/>
                <w:szCs w:val="20"/>
              </w:rPr>
              <w:t xml:space="preserve"> </w:t>
            </w:r>
            <w:r w:rsidR="007C5A9F">
              <w:rPr>
                <w:noProof/>
                <w:sz w:val="20"/>
                <w:szCs w:val="20"/>
              </w:rPr>
              <w:t>4 396 376</w:t>
            </w:r>
            <w:r w:rsidRPr="00FA698A">
              <w:rPr>
                <w:noProof/>
                <w:sz w:val="20"/>
                <w:szCs w:val="20"/>
              </w:rPr>
              <w:t xml:space="preserve"> </w:t>
            </w:r>
          </w:p>
        </w:tc>
        <w:tc>
          <w:tcPr>
            <w:tcW w:w="1135" w:type="dxa"/>
            <w:noWrap/>
            <w:vAlign w:val="center"/>
          </w:tcPr>
          <w:p w14:paraId="2B110233" w14:textId="12010EBD" w:rsidR="00C44537" w:rsidRPr="00C44537" w:rsidRDefault="00C44537" w:rsidP="001B745D">
            <w:pPr>
              <w:spacing w:after="0"/>
              <w:jc w:val="right"/>
              <w:rPr>
                <w:noProof/>
                <w:sz w:val="20"/>
                <w:szCs w:val="20"/>
                <w:lang w:val="en-IE" w:eastAsia="en-IE"/>
              </w:rPr>
            </w:pPr>
            <w:r w:rsidRPr="00FA698A">
              <w:rPr>
                <w:noProof/>
                <w:sz w:val="20"/>
                <w:szCs w:val="20"/>
              </w:rPr>
              <w:t xml:space="preserve"> </w:t>
            </w:r>
            <w:r w:rsidR="007C5A9F">
              <w:rPr>
                <w:noProof/>
                <w:sz w:val="20"/>
                <w:szCs w:val="20"/>
              </w:rPr>
              <w:t>2 562 268</w:t>
            </w:r>
            <w:r w:rsidRPr="00FA698A">
              <w:rPr>
                <w:noProof/>
                <w:sz w:val="20"/>
                <w:szCs w:val="20"/>
              </w:rPr>
              <w:t xml:space="preserve"> </w:t>
            </w:r>
          </w:p>
        </w:tc>
        <w:tc>
          <w:tcPr>
            <w:tcW w:w="1343" w:type="dxa"/>
            <w:noWrap/>
            <w:vAlign w:val="center"/>
          </w:tcPr>
          <w:p w14:paraId="468E269C" w14:textId="4D9F3576" w:rsidR="00C44537" w:rsidRPr="00C44537" w:rsidRDefault="007C5A9F" w:rsidP="001B745D">
            <w:pPr>
              <w:spacing w:after="0"/>
              <w:jc w:val="right"/>
              <w:rPr>
                <w:noProof/>
                <w:sz w:val="20"/>
                <w:szCs w:val="20"/>
                <w:lang w:val="en-IE" w:eastAsia="en-IE"/>
              </w:rPr>
            </w:pPr>
            <w:r>
              <w:rPr>
                <w:noProof/>
                <w:sz w:val="20"/>
                <w:szCs w:val="20"/>
              </w:rPr>
              <w:t>7 021 802</w:t>
            </w:r>
          </w:p>
        </w:tc>
      </w:tr>
      <w:tr w:rsidR="00C44537" w:rsidRPr="00397C78" w14:paraId="01155DE8" w14:textId="77777777" w:rsidTr="00B05194">
        <w:trPr>
          <w:trHeight w:val="283"/>
        </w:trPr>
        <w:tc>
          <w:tcPr>
            <w:tcW w:w="2125" w:type="dxa"/>
            <w:noWrap/>
            <w:vAlign w:val="center"/>
            <w:hideMark/>
          </w:tcPr>
          <w:p w14:paraId="080E2C98"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recurrent adjustment</w:t>
            </w:r>
          </w:p>
        </w:tc>
        <w:tc>
          <w:tcPr>
            <w:tcW w:w="1239" w:type="dxa"/>
          </w:tcPr>
          <w:p w14:paraId="22D18562" w14:textId="43CA48DB" w:rsidR="00C44537" w:rsidRPr="00FA63C0" w:rsidRDefault="001D3AA5">
            <w:pPr>
              <w:spacing w:after="0"/>
              <w:jc w:val="right"/>
              <w:rPr>
                <w:noProof/>
                <w:sz w:val="20"/>
                <w:szCs w:val="20"/>
                <w:lang w:val="en-IE" w:eastAsia="en-IE"/>
              </w:rPr>
            </w:pPr>
            <w:r w:rsidRPr="00213E1A">
              <w:rPr>
                <w:noProof/>
              </w:rPr>
              <w:t xml:space="preserve">-   </w:t>
            </w:r>
          </w:p>
        </w:tc>
        <w:tc>
          <w:tcPr>
            <w:tcW w:w="1178" w:type="dxa"/>
          </w:tcPr>
          <w:p w14:paraId="5AF6C2FD" w14:textId="18A44E4E" w:rsidR="00C44537" w:rsidRPr="00FA63C0" w:rsidRDefault="006B3071">
            <w:pPr>
              <w:spacing w:after="0"/>
              <w:jc w:val="right"/>
              <w:rPr>
                <w:noProof/>
                <w:sz w:val="20"/>
                <w:szCs w:val="20"/>
                <w:lang w:val="en-IE" w:eastAsia="en-IE"/>
              </w:rPr>
            </w:pPr>
            <w:r w:rsidRPr="004A3B22">
              <w:rPr>
                <w:noProof/>
              </w:rPr>
              <w:t xml:space="preserve"> </w:t>
            </w:r>
            <w:r w:rsidR="002E53B2" w:rsidRPr="00213E1A">
              <w:rPr>
                <w:noProof/>
              </w:rPr>
              <w:t>-</w:t>
            </w:r>
            <w:r w:rsidRPr="004A3B22">
              <w:rPr>
                <w:noProof/>
              </w:rPr>
              <w:t xml:space="preserve">   </w:t>
            </w:r>
          </w:p>
        </w:tc>
        <w:tc>
          <w:tcPr>
            <w:tcW w:w="1377" w:type="dxa"/>
          </w:tcPr>
          <w:p w14:paraId="47A33B34" w14:textId="28B52F20" w:rsidR="00C44537" w:rsidRPr="00FA63C0" w:rsidRDefault="001D3AA5">
            <w:pPr>
              <w:spacing w:after="0"/>
              <w:jc w:val="right"/>
              <w:rPr>
                <w:noProof/>
                <w:sz w:val="20"/>
                <w:szCs w:val="20"/>
                <w:lang w:val="en-IE" w:eastAsia="en-IE"/>
              </w:rPr>
            </w:pPr>
            <w:r w:rsidRPr="00213E1A">
              <w:rPr>
                <w:noProof/>
              </w:rPr>
              <w:t xml:space="preserve">-   </w:t>
            </w:r>
          </w:p>
        </w:tc>
        <w:tc>
          <w:tcPr>
            <w:tcW w:w="1101" w:type="dxa"/>
            <w:noWrap/>
            <w:vAlign w:val="center"/>
          </w:tcPr>
          <w:p w14:paraId="5C2304D1"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467CB857"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39B8C975" w14:textId="77777777" w:rsidR="00C44537" w:rsidRPr="007C40E5" w:rsidRDefault="00C44537" w:rsidP="001B745D">
            <w:pPr>
              <w:spacing w:after="0"/>
              <w:jc w:val="right"/>
              <w:rPr>
                <w:noProof/>
                <w:sz w:val="20"/>
                <w:szCs w:val="20"/>
                <w:lang w:val="en-IE" w:eastAsia="en-IE"/>
              </w:rPr>
            </w:pPr>
            <w:r w:rsidRPr="00FA63C0">
              <w:rPr>
                <w:noProof/>
                <w:sz w:val="20"/>
                <w:szCs w:val="20"/>
              </w:rPr>
              <w:t xml:space="preserve"> -   </w:t>
            </w:r>
          </w:p>
        </w:tc>
      </w:tr>
      <w:tr w:rsidR="001B745D" w:rsidRPr="000A7265" w14:paraId="6E892E7B" w14:textId="77777777" w:rsidTr="00B05194">
        <w:trPr>
          <w:trHeight w:val="283"/>
        </w:trPr>
        <w:tc>
          <w:tcPr>
            <w:tcW w:w="2125" w:type="dxa"/>
            <w:noWrap/>
            <w:vAlign w:val="center"/>
            <w:hideMark/>
          </w:tcPr>
          <w:p w14:paraId="2BC03CF0"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39" w:type="dxa"/>
          </w:tcPr>
          <w:p w14:paraId="08EE8AC0" w14:textId="4259D1F9" w:rsidR="00C44537" w:rsidRPr="00FA63C0" w:rsidRDefault="001D3AA5">
            <w:pPr>
              <w:spacing w:after="0"/>
              <w:jc w:val="right"/>
              <w:rPr>
                <w:noProof/>
                <w:sz w:val="20"/>
                <w:szCs w:val="20"/>
                <w:lang w:val="en-IE" w:eastAsia="en-IE"/>
              </w:rPr>
            </w:pPr>
            <w:r w:rsidRPr="00213E1A">
              <w:rPr>
                <w:noProof/>
              </w:rPr>
              <w:t xml:space="preserve">-   </w:t>
            </w:r>
          </w:p>
        </w:tc>
        <w:tc>
          <w:tcPr>
            <w:tcW w:w="1178" w:type="dxa"/>
          </w:tcPr>
          <w:p w14:paraId="424D9246" w14:textId="69685CB5" w:rsidR="00C44537" w:rsidRPr="00FA63C0" w:rsidRDefault="002E53B2">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Pr>
          <w:p w14:paraId="34F15133" w14:textId="49DD98D8" w:rsidR="00C44537" w:rsidRPr="00FA63C0" w:rsidRDefault="001D3AA5">
            <w:pPr>
              <w:spacing w:after="0"/>
              <w:jc w:val="right"/>
              <w:rPr>
                <w:noProof/>
                <w:sz w:val="20"/>
                <w:szCs w:val="20"/>
                <w:lang w:val="en-IE" w:eastAsia="en-IE"/>
              </w:rPr>
            </w:pPr>
            <w:r w:rsidRPr="00213E1A">
              <w:rPr>
                <w:noProof/>
              </w:rPr>
              <w:t xml:space="preserve">-   </w:t>
            </w:r>
          </w:p>
        </w:tc>
        <w:tc>
          <w:tcPr>
            <w:tcW w:w="1101" w:type="dxa"/>
            <w:noWrap/>
            <w:vAlign w:val="center"/>
          </w:tcPr>
          <w:p w14:paraId="28C4D185"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21A69371"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0E730B67"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r>
      <w:tr w:rsidR="001B745D" w:rsidRPr="000A7265" w14:paraId="2E2D9ABB" w14:textId="77777777" w:rsidTr="00B05194">
        <w:trPr>
          <w:trHeight w:val="283"/>
        </w:trPr>
        <w:tc>
          <w:tcPr>
            <w:tcW w:w="2125" w:type="dxa"/>
            <w:noWrap/>
            <w:vAlign w:val="center"/>
            <w:hideMark/>
          </w:tcPr>
          <w:p w14:paraId="1FC90A24"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39" w:type="dxa"/>
          </w:tcPr>
          <w:p w14:paraId="7E96B874" w14:textId="0AD92430" w:rsidR="00C44537" w:rsidRPr="00FA63C0" w:rsidRDefault="001D3AA5">
            <w:pPr>
              <w:spacing w:after="0"/>
              <w:jc w:val="right"/>
              <w:rPr>
                <w:noProof/>
                <w:sz w:val="20"/>
                <w:szCs w:val="20"/>
                <w:lang w:val="en-IE" w:eastAsia="en-IE"/>
              </w:rPr>
            </w:pPr>
            <w:r w:rsidRPr="00213E1A">
              <w:rPr>
                <w:noProof/>
              </w:rPr>
              <w:t xml:space="preserve">-   </w:t>
            </w:r>
          </w:p>
        </w:tc>
        <w:tc>
          <w:tcPr>
            <w:tcW w:w="1178" w:type="dxa"/>
          </w:tcPr>
          <w:p w14:paraId="772F2EE0" w14:textId="5E74DC1C" w:rsidR="00C44537" w:rsidRPr="00FA63C0" w:rsidRDefault="002E53B2">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Pr>
          <w:p w14:paraId="68264793" w14:textId="553D757A" w:rsidR="00C44537" w:rsidRPr="00FA63C0" w:rsidRDefault="001D3AA5">
            <w:pPr>
              <w:spacing w:after="0"/>
              <w:jc w:val="right"/>
              <w:rPr>
                <w:noProof/>
                <w:sz w:val="20"/>
                <w:szCs w:val="20"/>
                <w:lang w:val="en-IE" w:eastAsia="en-IE"/>
              </w:rPr>
            </w:pPr>
            <w:r w:rsidRPr="00213E1A">
              <w:rPr>
                <w:noProof/>
              </w:rPr>
              <w:t xml:space="preserve">-   </w:t>
            </w:r>
          </w:p>
        </w:tc>
        <w:tc>
          <w:tcPr>
            <w:tcW w:w="1101" w:type="dxa"/>
            <w:noWrap/>
            <w:vAlign w:val="center"/>
          </w:tcPr>
          <w:p w14:paraId="1F94CA84"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2A29E3F3"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241AAB62"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r>
      <w:tr w:rsidR="001B745D" w:rsidRPr="000A7265" w14:paraId="52C1C67D" w14:textId="77777777" w:rsidTr="00B05194">
        <w:trPr>
          <w:trHeight w:val="283"/>
        </w:trPr>
        <w:tc>
          <w:tcPr>
            <w:tcW w:w="2125" w:type="dxa"/>
            <w:noWrap/>
            <w:vAlign w:val="center"/>
            <w:hideMark/>
          </w:tcPr>
          <w:p w14:paraId="2695C064" w14:textId="77777777" w:rsidR="00C44537" w:rsidRPr="00FA63C0" w:rsidRDefault="00C44537">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39" w:type="dxa"/>
          </w:tcPr>
          <w:p w14:paraId="5A02889B" w14:textId="474DFA09" w:rsidR="00C44537" w:rsidRPr="00FA63C0" w:rsidRDefault="001D3AA5">
            <w:pPr>
              <w:spacing w:after="0"/>
              <w:jc w:val="right"/>
              <w:rPr>
                <w:noProof/>
                <w:sz w:val="20"/>
                <w:szCs w:val="20"/>
                <w:lang w:val="en-IE" w:eastAsia="en-IE"/>
              </w:rPr>
            </w:pPr>
            <w:r w:rsidRPr="00213E1A">
              <w:rPr>
                <w:noProof/>
              </w:rPr>
              <w:t xml:space="preserve">-   </w:t>
            </w:r>
          </w:p>
        </w:tc>
        <w:tc>
          <w:tcPr>
            <w:tcW w:w="1178" w:type="dxa"/>
          </w:tcPr>
          <w:p w14:paraId="2E3F78B4" w14:textId="0BF9DF5A" w:rsidR="00C44537" w:rsidRPr="00FA63C0" w:rsidRDefault="002E53B2">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Pr>
          <w:p w14:paraId="5406556D" w14:textId="31D0AF73" w:rsidR="00C44537" w:rsidRPr="00FA63C0" w:rsidRDefault="001D3AA5">
            <w:pPr>
              <w:spacing w:after="0"/>
              <w:jc w:val="right"/>
              <w:rPr>
                <w:noProof/>
                <w:sz w:val="20"/>
                <w:szCs w:val="20"/>
                <w:lang w:val="en-IE" w:eastAsia="en-IE"/>
              </w:rPr>
            </w:pPr>
            <w:r w:rsidRPr="00213E1A">
              <w:rPr>
                <w:noProof/>
              </w:rPr>
              <w:t xml:space="preserve">-   </w:t>
            </w:r>
          </w:p>
        </w:tc>
        <w:tc>
          <w:tcPr>
            <w:tcW w:w="1101" w:type="dxa"/>
            <w:noWrap/>
            <w:vAlign w:val="center"/>
          </w:tcPr>
          <w:p w14:paraId="12080DBE"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5A03EF04"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63F540BF" w14:textId="77777777" w:rsidR="00C44537" w:rsidRPr="000A7265" w:rsidRDefault="00C44537" w:rsidP="001B745D">
            <w:pPr>
              <w:spacing w:after="0"/>
              <w:jc w:val="right"/>
              <w:rPr>
                <w:noProof/>
                <w:sz w:val="20"/>
                <w:szCs w:val="20"/>
                <w:lang w:val="en-IE" w:eastAsia="en-IE"/>
              </w:rPr>
            </w:pPr>
            <w:r w:rsidRPr="00FA63C0">
              <w:rPr>
                <w:noProof/>
                <w:sz w:val="20"/>
                <w:szCs w:val="20"/>
              </w:rPr>
              <w:t xml:space="preserve"> -   </w:t>
            </w:r>
          </w:p>
        </w:tc>
      </w:tr>
      <w:tr w:rsidR="001B745D" w:rsidRPr="00A53ED9" w14:paraId="3739A43A" w14:textId="77777777" w:rsidTr="00B05194">
        <w:trPr>
          <w:trHeight w:val="283"/>
        </w:trPr>
        <w:tc>
          <w:tcPr>
            <w:tcW w:w="2125" w:type="dxa"/>
            <w:noWrap/>
            <w:vAlign w:val="center"/>
            <w:hideMark/>
          </w:tcPr>
          <w:p w14:paraId="6EE880D9" w14:textId="77777777" w:rsidR="001B745D" w:rsidRPr="00FA63C0" w:rsidRDefault="001B745D" w:rsidP="001B745D">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39" w:type="dxa"/>
          </w:tcPr>
          <w:p w14:paraId="68A4040F" w14:textId="157E18BE" w:rsidR="001B745D" w:rsidRPr="00FA63C0" w:rsidRDefault="001D3AA5" w:rsidP="001B745D">
            <w:pPr>
              <w:spacing w:after="0"/>
              <w:jc w:val="right"/>
              <w:rPr>
                <w:noProof/>
                <w:sz w:val="20"/>
                <w:szCs w:val="20"/>
                <w:lang w:val="en-IE" w:eastAsia="en-IE"/>
              </w:rPr>
            </w:pPr>
            <w:r w:rsidRPr="00213E1A">
              <w:rPr>
                <w:noProof/>
              </w:rPr>
              <w:t xml:space="preserve">-   </w:t>
            </w:r>
          </w:p>
        </w:tc>
        <w:tc>
          <w:tcPr>
            <w:tcW w:w="1178" w:type="dxa"/>
          </w:tcPr>
          <w:p w14:paraId="773C9DC5" w14:textId="59212A24" w:rsidR="001B745D" w:rsidRPr="00FA63C0" w:rsidRDefault="002E53B2" w:rsidP="001B745D">
            <w:pPr>
              <w:spacing w:after="0"/>
              <w:jc w:val="right"/>
              <w:rPr>
                <w:noProof/>
                <w:sz w:val="20"/>
                <w:szCs w:val="20"/>
                <w:lang w:val="en-IE" w:eastAsia="en-IE"/>
              </w:rPr>
            </w:pPr>
            <w:r w:rsidRPr="00213E1A">
              <w:rPr>
                <w:noProof/>
              </w:rPr>
              <w:t>-</w:t>
            </w:r>
            <w:r w:rsidR="006B3071" w:rsidRPr="004A3B22">
              <w:rPr>
                <w:noProof/>
              </w:rPr>
              <w:t xml:space="preserve">   </w:t>
            </w:r>
          </w:p>
        </w:tc>
        <w:tc>
          <w:tcPr>
            <w:tcW w:w="1377" w:type="dxa"/>
          </w:tcPr>
          <w:p w14:paraId="6B7D851A" w14:textId="2DE7985C" w:rsidR="001B745D" w:rsidRPr="00FA63C0" w:rsidRDefault="001D3AA5" w:rsidP="001B745D">
            <w:pPr>
              <w:spacing w:after="0"/>
              <w:jc w:val="right"/>
              <w:rPr>
                <w:noProof/>
                <w:sz w:val="20"/>
                <w:szCs w:val="20"/>
                <w:lang w:val="en-IE" w:eastAsia="en-IE"/>
              </w:rPr>
            </w:pPr>
            <w:r w:rsidRPr="00213E1A">
              <w:rPr>
                <w:noProof/>
              </w:rPr>
              <w:t xml:space="preserve">-   </w:t>
            </w:r>
          </w:p>
        </w:tc>
        <w:tc>
          <w:tcPr>
            <w:tcW w:w="1101" w:type="dxa"/>
            <w:noWrap/>
            <w:vAlign w:val="center"/>
          </w:tcPr>
          <w:p w14:paraId="49681E12" w14:textId="1DA90C61" w:rsidR="001B745D" w:rsidRPr="00C44537" w:rsidRDefault="001B745D" w:rsidP="001B745D">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3A567A79" w14:textId="794CAFA4" w:rsidR="001B745D" w:rsidRPr="00C44537" w:rsidRDefault="001B745D" w:rsidP="001B745D">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22A536F2" w14:textId="0DFB0E95" w:rsidR="001B745D" w:rsidRPr="00C44537" w:rsidRDefault="001B745D" w:rsidP="001B745D">
            <w:pPr>
              <w:spacing w:after="0"/>
              <w:jc w:val="right"/>
              <w:rPr>
                <w:noProof/>
                <w:sz w:val="20"/>
                <w:szCs w:val="20"/>
                <w:lang w:val="en-IE" w:eastAsia="en-IE"/>
              </w:rPr>
            </w:pPr>
            <w:r w:rsidRPr="00FA63C0">
              <w:rPr>
                <w:noProof/>
                <w:sz w:val="20"/>
                <w:szCs w:val="20"/>
              </w:rPr>
              <w:t xml:space="preserve"> -   </w:t>
            </w:r>
          </w:p>
        </w:tc>
      </w:tr>
      <w:tr w:rsidR="001B745D" w:rsidRPr="00397C78" w14:paraId="22EBD449" w14:textId="77777777" w:rsidTr="00B05194">
        <w:trPr>
          <w:trHeight w:val="283"/>
        </w:trPr>
        <w:tc>
          <w:tcPr>
            <w:tcW w:w="2125" w:type="dxa"/>
            <w:shd w:val="clear" w:color="auto" w:fill="F2DBDB" w:themeFill="accent2" w:themeFillTint="33"/>
            <w:noWrap/>
            <w:vAlign w:val="center"/>
            <w:hideMark/>
          </w:tcPr>
          <w:p w14:paraId="395E1565" w14:textId="77777777" w:rsidR="001B745D" w:rsidRPr="00FA63C0" w:rsidRDefault="001B745D" w:rsidP="001B745D">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39" w:type="dxa"/>
            <w:shd w:val="clear" w:color="auto" w:fill="F2DBDB" w:themeFill="accent2" w:themeFillTint="33"/>
          </w:tcPr>
          <w:p w14:paraId="696792BD" w14:textId="1A6775AD" w:rsidR="001B745D" w:rsidRPr="00FA698A" w:rsidRDefault="00634367" w:rsidP="001B745D">
            <w:pPr>
              <w:spacing w:after="0"/>
              <w:jc w:val="right"/>
              <w:rPr>
                <w:noProof/>
                <w:sz w:val="20"/>
                <w:szCs w:val="20"/>
              </w:rPr>
            </w:pPr>
            <w:r w:rsidRPr="00FA698A">
              <w:rPr>
                <w:noProof/>
                <w:sz w:val="20"/>
                <w:szCs w:val="20"/>
              </w:rPr>
              <w:t xml:space="preserve"> </w:t>
            </w:r>
            <w:r w:rsidR="003F07B1">
              <w:rPr>
                <w:noProof/>
                <w:sz w:val="20"/>
                <w:szCs w:val="20"/>
                <w:lang w:eastAsia="en-US"/>
              </w:rPr>
              <w:t>2 975 585</w:t>
            </w:r>
          </w:p>
        </w:tc>
        <w:tc>
          <w:tcPr>
            <w:tcW w:w="1178" w:type="dxa"/>
            <w:shd w:val="clear" w:color="auto" w:fill="F2DBDB" w:themeFill="accent2" w:themeFillTint="33"/>
            <w:vAlign w:val="center"/>
          </w:tcPr>
          <w:p w14:paraId="45754EB3" w14:textId="5F2338E8" w:rsidR="001B745D" w:rsidRPr="00FA63C0" w:rsidRDefault="005773EC" w:rsidP="001B745D">
            <w:pPr>
              <w:spacing w:after="0"/>
              <w:jc w:val="right"/>
              <w:rPr>
                <w:b/>
                <w:bCs/>
                <w:noProof/>
                <w:sz w:val="20"/>
                <w:szCs w:val="20"/>
                <w:lang w:val="en-IE" w:eastAsia="en-IE"/>
              </w:rPr>
            </w:pPr>
            <w:r w:rsidRPr="00317F25">
              <w:rPr>
                <w:noProof/>
                <w:sz w:val="20"/>
                <w:szCs w:val="20"/>
                <w:lang w:val="en-IE" w:eastAsia="en-IE"/>
              </w:rPr>
              <w:t>1</w:t>
            </w:r>
            <w:r w:rsidR="000B6C20">
              <w:rPr>
                <w:noProof/>
                <w:sz w:val="20"/>
                <w:szCs w:val="20"/>
                <w:lang w:val="en-IE" w:eastAsia="en-IE"/>
              </w:rPr>
              <w:t xml:space="preserve"> </w:t>
            </w:r>
            <w:r w:rsidRPr="00317F25">
              <w:rPr>
                <w:noProof/>
                <w:sz w:val="20"/>
                <w:szCs w:val="20"/>
                <w:lang w:val="en-IE" w:eastAsia="en-IE"/>
              </w:rPr>
              <w:t>252</w:t>
            </w:r>
            <w:r w:rsidR="000B6C20">
              <w:rPr>
                <w:noProof/>
                <w:sz w:val="20"/>
                <w:szCs w:val="20"/>
                <w:lang w:val="en-IE" w:eastAsia="en-IE"/>
              </w:rPr>
              <w:t xml:space="preserve"> </w:t>
            </w:r>
            <w:r w:rsidRPr="00317F25">
              <w:rPr>
                <w:noProof/>
                <w:sz w:val="20"/>
                <w:szCs w:val="20"/>
                <w:lang w:val="en-IE" w:eastAsia="en-IE"/>
              </w:rPr>
              <w:t>254</w:t>
            </w:r>
          </w:p>
        </w:tc>
        <w:tc>
          <w:tcPr>
            <w:tcW w:w="1377" w:type="dxa"/>
            <w:shd w:val="clear" w:color="auto" w:fill="F2DBDB" w:themeFill="accent2" w:themeFillTint="33"/>
            <w:vAlign w:val="center"/>
          </w:tcPr>
          <w:p w14:paraId="40591466" w14:textId="5FCBF357" w:rsidR="001B745D" w:rsidRPr="00FA63C0" w:rsidRDefault="005773EC" w:rsidP="001B745D">
            <w:pPr>
              <w:spacing w:after="0"/>
              <w:jc w:val="right"/>
              <w:rPr>
                <w:b/>
                <w:bCs/>
                <w:noProof/>
                <w:sz w:val="20"/>
                <w:szCs w:val="20"/>
                <w:lang w:val="en-IE" w:eastAsia="en-IE"/>
              </w:rPr>
            </w:pPr>
            <w:r w:rsidRPr="0011050E">
              <w:rPr>
                <w:noProof/>
                <w:sz w:val="20"/>
                <w:szCs w:val="20"/>
                <w:lang w:val="en-IE" w:eastAsia="en-IE"/>
              </w:rPr>
              <w:t>168</w:t>
            </w:r>
            <w:r w:rsidR="000B6C20">
              <w:rPr>
                <w:noProof/>
                <w:sz w:val="20"/>
                <w:szCs w:val="20"/>
                <w:lang w:val="en-IE" w:eastAsia="en-IE"/>
              </w:rPr>
              <w:t xml:space="preserve"> </w:t>
            </w:r>
            <w:r w:rsidRPr="0011050E">
              <w:rPr>
                <w:noProof/>
                <w:sz w:val="20"/>
                <w:szCs w:val="20"/>
                <w:lang w:val="en-IE" w:eastAsia="en-IE"/>
              </w:rPr>
              <w:t>538</w:t>
            </w:r>
          </w:p>
        </w:tc>
        <w:tc>
          <w:tcPr>
            <w:tcW w:w="1101" w:type="dxa"/>
            <w:shd w:val="clear" w:color="auto" w:fill="F2DBDB" w:themeFill="accent2" w:themeFillTint="33"/>
            <w:noWrap/>
            <w:vAlign w:val="center"/>
          </w:tcPr>
          <w:p w14:paraId="3470720F" w14:textId="0E1A3C13" w:rsidR="001B745D" w:rsidRPr="00C44537" w:rsidRDefault="007C5A9F" w:rsidP="001B745D">
            <w:pPr>
              <w:spacing w:after="0"/>
              <w:jc w:val="right"/>
              <w:rPr>
                <w:noProof/>
                <w:sz w:val="20"/>
                <w:szCs w:val="20"/>
              </w:rPr>
            </w:pPr>
            <w:r>
              <w:rPr>
                <w:noProof/>
                <w:sz w:val="20"/>
                <w:szCs w:val="20"/>
              </w:rPr>
              <w:t>4 396 376</w:t>
            </w:r>
          </w:p>
        </w:tc>
        <w:tc>
          <w:tcPr>
            <w:tcW w:w="1135" w:type="dxa"/>
            <w:shd w:val="clear" w:color="auto" w:fill="F2DBDB" w:themeFill="accent2" w:themeFillTint="33"/>
            <w:noWrap/>
            <w:vAlign w:val="center"/>
          </w:tcPr>
          <w:p w14:paraId="58D47D98" w14:textId="1F7F70A8" w:rsidR="001B745D" w:rsidRPr="00C44537" w:rsidRDefault="001B745D" w:rsidP="001B745D">
            <w:pPr>
              <w:spacing w:after="0"/>
              <w:jc w:val="right"/>
              <w:rPr>
                <w:noProof/>
                <w:sz w:val="20"/>
                <w:szCs w:val="20"/>
              </w:rPr>
            </w:pPr>
            <w:r w:rsidRPr="00FA63C0">
              <w:rPr>
                <w:noProof/>
                <w:sz w:val="20"/>
                <w:szCs w:val="20"/>
              </w:rPr>
              <w:t xml:space="preserve"> </w:t>
            </w:r>
            <w:r w:rsidR="007C5A9F">
              <w:rPr>
                <w:noProof/>
                <w:sz w:val="20"/>
                <w:szCs w:val="20"/>
              </w:rPr>
              <w:t>2 562 268</w:t>
            </w:r>
          </w:p>
        </w:tc>
        <w:tc>
          <w:tcPr>
            <w:tcW w:w="1343" w:type="dxa"/>
            <w:shd w:val="clear" w:color="auto" w:fill="F2DBDB" w:themeFill="accent2" w:themeFillTint="33"/>
            <w:noWrap/>
            <w:vAlign w:val="center"/>
          </w:tcPr>
          <w:p w14:paraId="6AE30962" w14:textId="7711A901" w:rsidR="001B745D" w:rsidRPr="00C44537" w:rsidRDefault="001B745D" w:rsidP="001B745D">
            <w:pPr>
              <w:spacing w:after="0"/>
              <w:jc w:val="right"/>
              <w:rPr>
                <w:noProof/>
                <w:sz w:val="20"/>
                <w:szCs w:val="20"/>
              </w:rPr>
            </w:pPr>
            <w:r w:rsidRPr="00FA63C0">
              <w:rPr>
                <w:noProof/>
                <w:sz w:val="20"/>
                <w:szCs w:val="20"/>
              </w:rPr>
              <w:t xml:space="preserve"> </w:t>
            </w:r>
            <w:r w:rsidR="007C5A9F">
              <w:rPr>
                <w:noProof/>
                <w:sz w:val="20"/>
                <w:szCs w:val="20"/>
              </w:rPr>
              <w:t>7 021 802</w:t>
            </w:r>
          </w:p>
        </w:tc>
      </w:tr>
      <w:tr w:rsidR="001B745D" w:rsidRPr="007B1859" w14:paraId="062DA2A6" w14:textId="77777777" w:rsidTr="00B05194">
        <w:trPr>
          <w:trHeight w:val="283"/>
        </w:trPr>
        <w:tc>
          <w:tcPr>
            <w:tcW w:w="2125" w:type="dxa"/>
            <w:shd w:val="clear" w:color="auto" w:fill="EAF1DD" w:themeFill="accent3" w:themeFillTint="33"/>
            <w:noWrap/>
            <w:vAlign w:val="center"/>
            <w:hideMark/>
          </w:tcPr>
          <w:p w14:paraId="4C3BCCB6" w14:textId="77777777" w:rsidR="001B745D" w:rsidRPr="00FA63C0" w:rsidRDefault="001B745D" w:rsidP="001B745D">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39" w:type="dxa"/>
            <w:shd w:val="clear" w:color="auto" w:fill="EAF1DD" w:themeFill="accent3" w:themeFillTint="33"/>
          </w:tcPr>
          <w:p w14:paraId="2D2933F1" w14:textId="254C7152" w:rsidR="001B745D" w:rsidRPr="00FA698A" w:rsidRDefault="00B96710" w:rsidP="001B745D">
            <w:pPr>
              <w:spacing w:after="0"/>
              <w:jc w:val="right"/>
              <w:rPr>
                <w:noProof/>
                <w:sz w:val="20"/>
                <w:szCs w:val="20"/>
              </w:rPr>
            </w:pPr>
            <w:r>
              <w:rPr>
                <w:noProof/>
                <w:sz w:val="20"/>
                <w:szCs w:val="20"/>
              </w:rPr>
              <w:t>(</w:t>
            </w:r>
            <w:r w:rsidR="003F07B1">
              <w:rPr>
                <w:noProof/>
                <w:sz w:val="20"/>
                <w:szCs w:val="20"/>
              </w:rPr>
              <w:t>6 693 922</w:t>
            </w:r>
            <w:r w:rsidR="00634367" w:rsidRPr="00FA698A">
              <w:rPr>
                <w:noProof/>
                <w:sz w:val="20"/>
                <w:szCs w:val="20"/>
              </w:rPr>
              <w:t>)</w:t>
            </w:r>
          </w:p>
        </w:tc>
        <w:tc>
          <w:tcPr>
            <w:tcW w:w="1178" w:type="dxa"/>
            <w:shd w:val="clear" w:color="auto" w:fill="EAF1DD" w:themeFill="accent3" w:themeFillTint="33"/>
            <w:vAlign w:val="center"/>
          </w:tcPr>
          <w:p w14:paraId="20BA6584" w14:textId="77777777" w:rsidR="001B745D" w:rsidRPr="00FA63C0" w:rsidRDefault="001B745D" w:rsidP="001B745D">
            <w:pPr>
              <w:spacing w:after="0"/>
              <w:jc w:val="right"/>
              <w:rPr>
                <w:b/>
                <w:bCs/>
                <w:noProof/>
                <w:sz w:val="20"/>
                <w:szCs w:val="20"/>
                <w:lang w:val="en-IE" w:eastAsia="en-IE"/>
              </w:rPr>
            </w:pPr>
          </w:p>
        </w:tc>
        <w:tc>
          <w:tcPr>
            <w:tcW w:w="1377" w:type="dxa"/>
            <w:shd w:val="clear" w:color="auto" w:fill="EAF1DD" w:themeFill="accent3" w:themeFillTint="33"/>
            <w:vAlign w:val="center"/>
          </w:tcPr>
          <w:p w14:paraId="29D53EF0" w14:textId="77777777" w:rsidR="001B745D" w:rsidRPr="00FA63C0" w:rsidRDefault="001B745D" w:rsidP="001B745D">
            <w:pPr>
              <w:spacing w:after="0"/>
              <w:jc w:val="right"/>
              <w:rPr>
                <w:b/>
                <w:bCs/>
                <w:noProof/>
                <w:sz w:val="20"/>
                <w:szCs w:val="20"/>
                <w:lang w:val="en-IE" w:eastAsia="en-IE"/>
              </w:rPr>
            </w:pPr>
          </w:p>
        </w:tc>
        <w:tc>
          <w:tcPr>
            <w:tcW w:w="1101" w:type="dxa"/>
            <w:shd w:val="clear" w:color="auto" w:fill="EAF1DD" w:themeFill="accent3" w:themeFillTint="33"/>
            <w:noWrap/>
            <w:vAlign w:val="center"/>
          </w:tcPr>
          <w:p w14:paraId="74DC49B0" w14:textId="00A42B3D" w:rsidR="001B745D" w:rsidRPr="007B1859" w:rsidRDefault="001B745D" w:rsidP="001B745D">
            <w:pPr>
              <w:spacing w:after="0"/>
              <w:jc w:val="right"/>
              <w:rPr>
                <w:noProof/>
                <w:sz w:val="20"/>
                <w:szCs w:val="20"/>
                <w:lang w:val="en-IE" w:eastAsia="en-IE"/>
              </w:rPr>
            </w:pPr>
            <w:r w:rsidRPr="00FA63C0">
              <w:rPr>
                <w:noProof/>
                <w:sz w:val="20"/>
                <w:szCs w:val="20"/>
              </w:rPr>
              <w:t xml:space="preserve"> (</w:t>
            </w:r>
            <w:r w:rsidR="007C5A9F">
              <w:rPr>
                <w:noProof/>
                <w:sz w:val="20"/>
                <w:szCs w:val="20"/>
              </w:rPr>
              <w:t>5 693 922</w:t>
            </w:r>
            <w:r w:rsidRPr="00FA63C0">
              <w:rPr>
                <w:noProof/>
                <w:sz w:val="20"/>
                <w:szCs w:val="20"/>
              </w:rPr>
              <w:t>)</w:t>
            </w:r>
          </w:p>
        </w:tc>
        <w:tc>
          <w:tcPr>
            <w:tcW w:w="1135" w:type="dxa"/>
            <w:shd w:val="clear" w:color="auto" w:fill="EAF1DD" w:themeFill="accent3" w:themeFillTint="33"/>
            <w:noWrap/>
            <w:vAlign w:val="center"/>
          </w:tcPr>
          <w:p w14:paraId="4203D03C" w14:textId="351B6B79" w:rsidR="001B745D" w:rsidRPr="007B1859" w:rsidRDefault="001B745D" w:rsidP="001B745D">
            <w:pPr>
              <w:spacing w:after="0"/>
              <w:jc w:val="right"/>
              <w:rPr>
                <w:noProof/>
                <w:sz w:val="20"/>
                <w:szCs w:val="20"/>
                <w:lang w:val="en-IE" w:eastAsia="en-IE"/>
              </w:rPr>
            </w:pPr>
            <w:r w:rsidRPr="00FA63C0">
              <w:rPr>
                <w:noProof/>
                <w:sz w:val="20"/>
                <w:szCs w:val="20"/>
              </w:rPr>
              <w:t xml:space="preserve"> (</w:t>
            </w:r>
            <w:r w:rsidR="007C5A9F">
              <w:rPr>
                <w:noProof/>
                <w:sz w:val="20"/>
                <w:szCs w:val="20"/>
              </w:rPr>
              <w:t>1 897 974</w:t>
            </w:r>
            <w:r w:rsidRPr="00FA63C0">
              <w:rPr>
                <w:noProof/>
                <w:sz w:val="20"/>
                <w:szCs w:val="20"/>
              </w:rPr>
              <w:t>)</w:t>
            </w:r>
          </w:p>
        </w:tc>
        <w:tc>
          <w:tcPr>
            <w:tcW w:w="1343" w:type="dxa"/>
            <w:shd w:val="clear" w:color="auto" w:fill="EAF1DD" w:themeFill="accent3" w:themeFillTint="33"/>
            <w:noWrap/>
            <w:vAlign w:val="center"/>
          </w:tcPr>
          <w:p w14:paraId="27586BD5" w14:textId="77F6D028" w:rsidR="001B745D" w:rsidRPr="007B1859" w:rsidRDefault="001B745D" w:rsidP="001B745D">
            <w:pPr>
              <w:spacing w:after="0"/>
              <w:jc w:val="right"/>
              <w:rPr>
                <w:noProof/>
                <w:sz w:val="20"/>
                <w:szCs w:val="20"/>
                <w:lang w:val="en-IE" w:eastAsia="en-IE"/>
              </w:rPr>
            </w:pPr>
            <w:r w:rsidRPr="00FA63C0">
              <w:rPr>
                <w:noProof/>
                <w:sz w:val="20"/>
                <w:szCs w:val="20"/>
              </w:rPr>
              <w:t xml:space="preserve"> (</w:t>
            </w:r>
            <w:r w:rsidR="007C5A9F">
              <w:rPr>
                <w:noProof/>
                <w:sz w:val="20"/>
                <w:szCs w:val="20"/>
              </w:rPr>
              <w:t>16 358 845</w:t>
            </w:r>
            <w:r w:rsidRPr="00FA63C0">
              <w:rPr>
                <w:noProof/>
                <w:sz w:val="20"/>
                <w:szCs w:val="20"/>
              </w:rPr>
              <w:t>)</w:t>
            </w:r>
          </w:p>
        </w:tc>
      </w:tr>
      <w:tr w:rsidR="00464CEA" w:rsidRPr="007C40E5" w14:paraId="39CB2921" w14:textId="77777777" w:rsidTr="00B05194">
        <w:trPr>
          <w:trHeight w:val="283"/>
        </w:trPr>
        <w:tc>
          <w:tcPr>
            <w:tcW w:w="2125" w:type="dxa"/>
            <w:shd w:val="clear" w:color="auto" w:fill="F2F2F2" w:themeFill="background1" w:themeFillShade="F2"/>
            <w:noWrap/>
            <w:vAlign w:val="center"/>
            <w:hideMark/>
          </w:tcPr>
          <w:p w14:paraId="1FC56CBC" w14:textId="77777777" w:rsidR="001B745D" w:rsidRPr="00FA63C0" w:rsidRDefault="001B745D" w:rsidP="001B745D">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39" w:type="dxa"/>
            <w:shd w:val="clear" w:color="auto" w:fill="F2F2F2" w:themeFill="background1" w:themeFillShade="F2"/>
            <w:vAlign w:val="center"/>
          </w:tcPr>
          <w:p w14:paraId="73E92523" w14:textId="4A988264" w:rsidR="001B745D" w:rsidRPr="00FA698A" w:rsidRDefault="00B96710" w:rsidP="001B745D">
            <w:pPr>
              <w:spacing w:after="0"/>
              <w:jc w:val="right"/>
              <w:rPr>
                <w:b/>
                <w:noProof/>
                <w:sz w:val="20"/>
                <w:szCs w:val="20"/>
              </w:rPr>
            </w:pPr>
            <w:r w:rsidRPr="00FA698A">
              <w:rPr>
                <w:b/>
                <w:noProof/>
                <w:sz w:val="20"/>
                <w:szCs w:val="20"/>
              </w:rPr>
              <w:t xml:space="preserve"> </w:t>
            </w:r>
            <w:r w:rsidRPr="00FA698A">
              <w:rPr>
                <w:b/>
                <w:noProof/>
                <w:sz w:val="20"/>
                <w:szCs w:val="20"/>
                <w:lang w:eastAsia="en-US"/>
              </w:rPr>
              <w:t>(</w:t>
            </w:r>
            <w:r w:rsidR="003F07B1">
              <w:rPr>
                <w:b/>
                <w:noProof/>
                <w:sz w:val="20"/>
                <w:szCs w:val="20"/>
                <w:lang w:eastAsia="en-US"/>
              </w:rPr>
              <w:t>2 718 336</w:t>
            </w:r>
            <w:r w:rsidRPr="00FA698A">
              <w:rPr>
                <w:b/>
                <w:noProof/>
                <w:sz w:val="20"/>
                <w:szCs w:val="20"/>
                <w:lang w:eastAsia="en-US"/>
              </w:rPr>
              <w:t>)</w:t>
            </w:r>
          </w:p>
        </w:tc>
        <w:tc>
          <w:tcPr>
            <w:tcW w:w="1178" w:type="dxa"/>
            <w:shd w:val="clear" w:color="auto" w:fill="F2F2F2" w:themeFill="background1" w:themeFillShade="F2"/>
            <w:vAlign w:val="center"/>
          </w:tcPr>
          <w:p w14:paraId="52429C6F" w14:textId="5525E25F" w:rsidR="001B745D" w:rsidRPr="00FA63C0" w:rsidRDefault="005773EC" w:rsidP="001B745D">
            <w:pPr>
              <w:spacing w:after="0"/>
              <w:jc w:val="right"/>
              <w:rPr>
                <w:b/>
                <w:bCs/>
                <w:noProof/>
                <w:sz w:val="20"/>
                <w:szCs w:val="20"/>
                <w:lang w:val="en-IE" w:eastAsia="en-IE"/>
              </w:rPr>
            </w:pPr>
            <w:r w:rsidRPr="00FA698A">
              <w:rPr>
                <w:b/>
                <w:noProof/>
                <w:sz w:val="20"/>
                <w:szCs w:val="20"/>
                <w:lang w:val="en-IE" w:eastAsia="en-IE"/>
              </w:rPr>
              <w:t>1</w:t>
            </w:r>
            <w:r w:rsidR="000B6C20">
              <w:rPr>
                <w:b/>
                <w:bCs/>
                <w:noProof/>
                <w:sz w:val="20"/>
                <w:szCs w:val="20"/>
                <w:lang w:val="en-IE" w:eastAsia="en-IE"/>
              </w:rPr>
              <w:t xml:space="preserve"> </w:t>
            </w:r>
            <w:r w:rsidRPr="00FA698A">
              <w:rPr>
                <w:b/>
                <w:noProof/>
                <w:sz w:val="20"/>
                <w:szCs w:val="20"/>
                <w:lang w:val="en-IE" w:eastAsia="en-IE"/>
              </w:rPr>
              <w:t>252</w:t>
            </w:r>
            <w:r w:rsidR="000B6C20">
              <w:rPr>
                <w:b/>
                <w:bCs/>
                <w:noProof/>
                <w:sz w:val="20"/>
                <w:szCs w:val="20"/>
                <w:lang w:val="en-IE" w:eastAsia="en-IE"/>
              </w:rPr>
              <w:t xml:space="preserve"> </w:t>
            </w:r>
            <w:r w:rsidRPr="00FA698A">
              <w:rPr>
                <w:b/>
                <w:noProof/>
                <w:sz w:val="20"/>
                <w:szCs w:val="20"/>
                <w:lang w:val="en-IE" w:eastAsia="en-IE"/>
              </w:rPr>
              <w:t>254</w:t>
            </w:r>
          </w:p>
        </w:tc>
        <w:tc>
          <w:tcPr>
            <w:tcW w:w="1377" w:type="dxa"/>
            <w:shd w:val="clear" w:color="auto" w:fill="F2F2F2" w:themeFill="background1" w:themeFillShade="F2"/>
            <w:vAlign w:val="center"/>
          </w:tcPr>
          <w:p w14:paraId="60783DBE" w14:textId="3EFBE338" w:rsidR="001B745D" w:rsidRPr="00FA63C0" w:rsidRDefault="005773EC" w:rsidP="001B745D">
            <w:pPr>
              <w:spacing w:after="0"/>
              <w:jc w:val="right"/>
              <w:rPr>
                <w:b/>
                <w:bCs/>
                <w:noProof/>
                <w:sz w:val="20"/>
                <w:szCs w:val="20"/>
                <w:lang w:val="en-IE" w:eastAsia="en-IE"/>
              </w:rPr>
            </w:pPr>
            <w:r w:rsidRPr="00FA698A">
              <w:rPr>
                <w:b/>
                <w:noProof/>
                <w:sz w:val="20"/>
                <w:szCs w:val="20"/>
                <w:lang w:val="en-IE" w:eastAsia="en-IE"/>
              </w:rPr>
              <w:t>168</w:t>
            </w:r>
            <w:r w:rsidR="000B6C20">
              <w:rPr>
                <w:b/>
                <w:bCs/>
                <w:noProof/>
                <w:sz w:val="20"/>
                <w:szCs w:val="20"/>
                <w:lang w:val="en-IE" w:eastAsia="en-IE"/>
              </w:rPr>
              <w:t xml:space="preserve"> </w:t>
            </w:r>
            <w:r w:rsidRPr="00FA698A">
              <w:rPr>
                <w:b/>
                <w:noProof/>
                <w:sz w:val="20"/>
                <w:szCs w:val="20"/>
                <w:lang w:val="en-IE" w:eastAsia="en-IE"/>
              </w:rPr>
              <w:t>538</w:t>
            </w:r>
          </w:p>
        </w:tc>
        <w:tc>
          <w:tcPr>
            <w:tcW w:w="1101" w:type="dxa"/>
            <w:shd w:val="clear" w:color="auto" w:fill="F2F2F2" w:themeFill="background1" w:themeFillShade="F2"/>
            <w:noWrap/>
            <w:vAlign w:val="center"/>
          </w:tcPr>
          <w:p w14:paraId="7FE57FAE" w14:textId="57CF1A0E" w:rsidR="001B745D" w:rsidRPr="001B745D" w:rsidRDefault="001B745D" w:rsidP="001B745D">
            <w:pPr>
              <w:spacing w:after="0"/>
              <w:jc w:val="right"/>
              <w:rPr>
                <w:b/>
                <w:bCs/>
                <w:noProof/>
                <w:sz w:val="20"/>
                <w:szCs w:val="20"/>
                <w:lang w:val="en-IE" w:eastAsia="en-IE"/>
              </w:rPr>
            </w:pPr>
            <w:r w:rsidRPr="00FA698A">
              <w:rPr>
                <w:b/>
                <w:noProof/>
                <w:sz w:val="20"/>
                <w:szCs w:val="20"/>
              </w:rPr>
              <w:t xml:space="preserve"> (</w:t>
            </w:r>
            <w:r w:rsidR="007C5A9F">
              <w:rPr>
                <w:b/>
                <w:noProof/>
                <w:sz w:val="20"/>
                <w:szCs w:val="20"/>
              </w:rPr>
              <w:t>1 297 545</w:t>
            </w:r>
            <w:r w:rsidRPr="00FA698A">
              <w:rPr>
                <w:b/>
                <w:noProof/>
                <w:sz w:val="20"/>
                <w:szCs w:val="20"/>
              </w:rPr>
              <w:t>)</w:t>
            </w:r>
          </w:p>
        </w:tc>
        <w:tc>
          <w:tcPr>
            <w:tcW w:w="1135" w:type="dxa"/>
            <w:shd w:val="clear" w:color="auto" w:fill="F2F2F2" w:themeFill="background1" w:themeFillShade="F2"/>
            <w:noWrap/>
            <w:vAlign w:val="center"/>
          </w:tcPr>
          <w:p w14:paraId="2260385D" w14:textId="3F278239" w:rsidR="001B745D" w:rsidRPr="001B745D" w:rsidRDefault="007C5A9F" w:rsidP="001B745D">
            <w:pPr>
              <w:spacing w:after="0"/>
              <w:jc w:val="right"/>
              <w:rPr>
                <w:b/>
                <w:bCs/>
                <w:noProof/>
                <w:sz w:val="20"/>
                <w:szCs w:val="20"/>
                <w:lang w:val="en-IE" w:eastAsia="en-IE"/>
              </w:rPr>
            </w:pPr>
            <w:r>
              <w:rPr>
                <w:b/>
                <w:noProof/>
                <w:sz w:val="20"/>
                <w:szCs w:val="20"/>
              </w:rPr>
              <w:t>664 294</w:t>
            </w:r>
            <w:r w:rsidR="001B745D" w:rsidRPr="00FA698A">
              <w:rPr>
                <w:b/>
                <w:noProof/>
                <w:sz w:val="20"/>
                <w:szCs w:val="20"/>
              </w:rPr>
              <w:t xml:space="preserve"> </w:t>
            </w:r>
          </w:p>
        </w:tc>
        <w:tc>
          <w:tcPr>
            <w:tcW w:w="1343" w:type="dxa"/>
            <w:shd w:val="clear" w:color="auto" w:fill="F2F2F2" w:themeFill="background1" w:themeFillShade="F2"/>
            <w:noWrap/>
            <w:vAlign w:val="center"/>
          </w:tcPr>
          <w:p w14:paraId="605F0EE4" w14:textId="69BB9733" w:rsidR="001B745D" w:rsidRPr="001B745D" w:rsidRDefault="001B745D" w:rsidP="001B745D">
            <w:pPr>
              <w:spacing w:after="0"/>
              <w:jc w:val="right"/>
              <w:rPr>
                <w:b/>
                <w:bCs/>
                <w:noProof/>
                <w:sz w:val="20"/>
                <w:szCs w:val="20"/>
                <w:lang w:val="en-IE" w:eastAsia="en-IE"/>
              </w:rPr>
            </w:pPr>
            <w:r w:rsidRPr="00FA698A">
              <w:rPr>
                <w:b/>
                <w:noProof/>
                <w:sz w:val="20"/>
                <w:szCs w:val="20"/>
              </w:rPr>
              <w:t xml:space="preserve"> (</w:t>
            </w:r>
            <w:r w:rsidR="007C5A9F">
              <w:rPr>
                <w:b/>
                <w:noProof/>
                <w:sz w:val="20"/>
                <w:szCs w:val="20"/>
              </w:rPr>
              <w:t>9 337 043</w:t>
            </w:r>
            <w:r w:rsidRPr="00FA698A">
              <w:rPr>
                <w:b/>
                <w:noProof/>
                <w:sz w:val="20"/>
                <w:szCs w:val="20"/>
              </w:rPr>
              <w:t>)</w:t>
            </w:r>
          </w:p>
        </w:tc>
      </w:tr>
    </w:tbl>
    <w:p w14:paraId="386D2ADD" w14:textId="0DB41081" w:rsidR="00DC7EE7" w:rsidRPr="00646208" w:rsidRDefault="00DC7EE7" w:rsidP="00FA698A">
      <w:pPr>
        <w:pStyle w:val="Heading2"/>
        <w:numPr>
          <w:ilvl w:val="1"/>
          <w:numId w:val="10"/>
        </w:numPr>
        <w:tabs>
          <w:tab w:val="num" w:pos="283"/>
        </w:tabs>
        <w:spacing w:before="240"/>
        <w:ind w:left="1202"/>
        <w:rPr>
          <w:bCs/>
          <w:noProof/>
        </w:rPr>
      </w:pPr>
      <w:bookmarkStart w:id="220" w:name="_Toc214519717"/>
      <w:bookmarkStart w:id="221" w:name="_Toc216283368"/>
      <w:bookmarkStart w:id="222" w:name="_Toc228346923"/>
      <w:r w:rsidRPr="00646208">
        <w:rPr>
          <w:bCs/>
          <w:noProof/>
        </w:rPr>
        <w:t>PM13: Annual conference on digital sovereignty</w:t>
      </w:r>
      <w:bookmarkEnd w:id="220"/>
      <w:bookmarkEnd w:id="221"/>
      <w:bookmarkEnd w:id="222"/>
    </w:p>
    <w:p w14:paraId="4F1224D8" w14:textId="5D805C25" w:rsidR="00DC7EE7" w:rsidRPr="0007547C" w:rsidRDefault="00DC7EE7" w:rsidP="00DC7EE7">
      <w:pPr>
        <w:rPr>
          <w:noProof/>
        </w:rPr>
      </w:pPr>
      <w:r w:rsidRPr="0007547C">
        <w:rPr>
          <w:noProof/>
        </w:rPr>
        <w:t xml:space="preserve">This policy measure aims at creating awareness and foster discussions on digital sovereignty, sharing latest developments, best practices and solutions among different stakeholders such as policymakers, </w:t>
      </w:r>
      <w:r w:rsidR="0001203E">
        <w:rPr>
          <w:noProof/>
        </w:rPr>
        <w:t>cloud</w:t>
      </w:r>
      <w:r w:rsidRPr="0007547C">
        <w:rPr>
          <w:noProof/>
        </w:rPr>
        <w:t xml:space="preserve"> and AI </w:t>
      </w:r>
      <w:r w:rsidR="00F277BE">
        <w:rPr>
          <w:noProof/>
        </w:rPr>
        <w:t xml:space="preserve">computing service </w:t>
      </w:r>
      <w:r w:rsidRPr="0007547C">
        <w:rPr>
          <w:noProof/>
        </w:rPr>
        <w:t xml:space="preserve">providers, researchers, or financial institutions. It answers the call made by several </w:t>
      </w:r>
      <w:r w:rsidR="0001203E">
        <w:rPr>
          <w:noProof/>
        </w:rPr>
        <w:t>cloud</w:t>
      </w:r>
      <w:r w:rsidRPr="0007547C">
        <w:rPr>
          <w:noProof/>
        </w:rPr>
        <w:t xml:space="preserve"> and AI </w:t>
      </w:r>
      <w:r w:rsidR="00F277BE">
        <w:rPr>
          <w:noProof/>
        </w:rPr>
        <w:t xml:space="preserve">computing service </w:t>
      </w:r>
      <w:r w:rsidRPr="0007547C">
        <w:rPr>
          <w:noProof/>
        </w:rPr>
        <w:t>providers to gain visibility through political exposure.</w:t>
      </w:r>
    </w:p>
    <w:p w14:paraId="061C5407" w14:textId="024A8E35" w:rsidR="00DC7EE7" w:rsidRPr="0007547C" w:rsidRDefault="00DC7EE7" w:rsidP="00DC7EE7">
      <w:pPr>
        <w:rPr>
          <w:noProof/>
        </w:rPr>
      </w:pPr>
      <w:r w:rsidRPr="0007547C">
        <w:rPr>
          <w:noProof/>
        </w:rPr>
        <w:t>The event will be organised on a yearly basis and is expected to last for a week</w:t>
      </w:r>
      <w:r w:rsidRPr="0007547C" w:rsidDel="008627A9">
        <w:rPr>
          <w:noProof/>
        </w:rPr>
        <w:t xml:space="preserve"> </w:t>
      </w:r>
      <w:r w:rsidRPr="0007547C">
        <w:rPr>
          <w:noProof/>
        </w:rPr>
        <w:t>in a venue outside of the European Commission. The target number of attendees is 300 people from the private sector, 3 representatives from each member state national public administration and 100 representatives from the EUIBAs, whose costs are for modelling purposes assigned to those of the Commission.</w:t>
      </w:r>
    </w:p>
    <w:p w14:paraId="07D0570E" w14:textId="19E08AD4" w:rsidR="00DC7EE7" w:rsidRPr="0007547C" w:rsidRDefault="00DC7EE7" w:rsidP="00DC7EE7">
      <w:pPr>
        <w:rPr>
          <w:noProof/>
        </w:rPr>
      </w:pPr>
      <w:r w:rsidRPr="0007547C">
        <w:rPr>
          <w:b/>
          <w:i/>
          <w:noProof/>
        </w:rPr>
        <w:t>Recurrent adjustment costs for the European Commission,</w:t>
      </w:r>
      <w:r w:rsidRPr="0007547C">
        <w:rPr>
          <w:b/>
          <w:noProof/>
        </w:rPr>
        <w:t xml:space="preserve"> </w:t>
      </w:r>
      <w:r w:rsidRPr="0007547C">
        <w:rPr>
          <w:noProof/>
        </w:rPr>
        <w:t xml:space="preserve">which result from the organisation and attendance to the conference. </w:t>
      </w:r>
      <w:r>
        <w:rPr>
          <w:noProof/>
        </w:rPr>
        <w:t xml:space="preserve">EUR </w:t>
      </w:r>
      <w:r w:rsidRPr="0007547C">
        <w:rPr>
          <w:noProof/>
        </w:rPr>
        <w:t>35</w:t>
      </w:r>
      <w:r w:rsidR="00F53985">
        <w:rPr>
          <w:noProof/>
        </w:rPr>
        <w:t xml:space="preserve"> </w:t>
      </w:r>
      <w:r w:rsidRPr="0007547C">
        <w:rPr>
          <w:noProof/>
        </w:rPr>
        <w:t>000 per day</w:t>
      </w:r>
      <w:r w:rsidR="003A50AF">
        <w:rPr>
          <w:noProof/>
        </w:rPr>
        <w:t>,</w:t>
      </w:r>
      <w:r w:rsidRPr="0007547C">
        <w:rPr>
          <w:noProof/>
        </w:rPr>
        <w:t xml:space="preserve"> are estimated for subcontracting costs covering organisation, logistics and operational activities. This includes venue rental, communication with panellists, registration and admission process, badges and catering. For the organisation, it is estimated that 50 staff days will be needed every year by the Commission to oversee the activities carried out by the subcontractor. It is assumed that 5 officials from the Commission will attend all 5 days and require additional 2.5 days for the preparation of their participation in panels, keynotes or discussions. Travel costs are also considered.</w:t>
      </w:r>
    </w:p>
    <w:p w14:paraId="5EA864A3" w14:textId="0AE8A59F" w:rsidR="00DC7EE7" w:rsidRPr="0007547C" w:rsidRDefault="00DC7EE7" w:rsidP="00DC7EE7">
      <w:pPr>
        <w:rPr>
          <w:noProof/>
        </w:rPr>
      </w:pPr>
      <w:r w:rsidRPr="0007547C">
        <w:rPr>
          <w:b/>
          <w:i/>
          <w:noProof/>
        </w:rPr>
        <w:t xml:space="preserve">Recurrent adjustment costs </w:t>
      </w:r>
      <w:r w:rsidR="00F619F9">
        <w:rPr>
          <w:b/>
          <w:i/>
          <w:noProof/>
        </w:rPr>
        <w:t>for</w:t>
      </w:r>
      <w:r w:rsidR="00F619F9" w:rsidRPr="0007547C">
        <w:rPr>
          <w:b/>
          <w:i/>
          <w:noProof/>
        </w:rPr>
        <w:t xml:space="preserve"> </w:t>
      </w:r>
      <w:r w:rsidR="00C41AF2">
        <w:rPr>
          <w:b/>
          <w:i/>
          <w:noProof/>
        </w:rPr>
        <w:t>national public authorities</w:t>
      </w:r>
      <w:r w:rsidRPr="0007547C">
        <w:rPr>
          <w:noProof/>
        </w:rPr>
        <w:t xml:space="preserve">. 3 representatives per Member State will attend and participate with an estimated effort of five days attending the event and 0.5 to 2.5 days for the preparation of their participation in panels, workshops or discussions. Travel costs of </w:t>
      </w:r>
      <w:r>
        <w:rPr>
          <w:noProof/>
        </w:rPr>
        <w:t xml:space="preserve">EUR </w:t>
      </w:r>
      <w:r w:rsidRPr="0007547C">
        <w:rPr>
          <w:noProof/>
        </w:rPr>
        <w:t>700 per participant are considered.</w:t>
      </w:r>
    </w:p>
    <w:p w14:paraId="33AB3486" w14:textId="3F99DEB7" w:rsidR="00C61700" w:rsidRPr="007E2AB2" w:rsidRDefault="00C61700" w:rsidP="00C61700">
      <w:pPr>
        <w:rPr>
          <w:i/>
          <w:iCs/>
          <w:noProof/>
        </w:rPr>
      </w:pPr>
      <w:r w:rsidRPr="007E2AB2">
        <w:rPr>
          <w:i/>
          <w:iCs/>
          <w:noProof/>
        </w:rPr>
        <w:t xml:space="preserve">Recurrent </w:t>
      </w:r>
      <w:r w:rsidR="00F3108F">
        <w:rPr>
          <w:i/>
          <w:iCs/>
          <w:noProof/>
        </w:rPr>
        <w:t>adjustment</w:t>
      </w:r>
      <w:r w:rsidRPr="007E2AB2">
        <w:rPr>
          <w:i/>
          <w:iCs/>
          <w:noProof/>
        </w:rPr>
        <w:t xml:space="preserve"> costs (NPA) = MS</w:t>
      </w:r>
      <w:r w:rsidR="00551977">
        <w:rPr>
          <w:rStyle w:val="FootnoteReference"/>
          <w:i/>
          <w:iCs/>
          <w:noProof/>
        </w:rPr>
        <w:footnoteReference w:id="58"/>
      </w:r>
      <w:r w:rsidRPr="007E2AB2">
        <w:rPr>
          <w:i/>
          <w:iCs/>
          <w:noProof/>
        </w:rPr>
        <w:t xml:space="preserve"> * Number of participants (PA) * (labour cost * (number of days attending the conference + number of days preparing the workshop) + travel costs per participant)</w:t>
      </w:r>
    </w:p>
    <w:p w14:paraId="7D29B606" w14:textId="0AF649A3" w:rsidR="00DC7EE7" w:rsidRPr="0007547C" w:rsidRDefault="00DC7EE7" w:rsidP="00DC7EE7">
      <w:pPr>
        <w:rPr>
          <w:b/>
          <w:noProof/>
        </w:rPr>
      </w:pPr>
      <w:r w:rsidRPr="0007547C">
        <w:rPr>
          <w:b/>
          <w:i/>
          <w:noProof/>
        </w:rPr>
        <w:t xml:space="preserve">Recurrent savings in National Public </w:t>
      </w:r>
      <w:r w:rsidR="0030181C">
        <w:rPr>
          <w:b/>
          <w:i/>
          <w:noProof/>
        </w:rPr>
        <w:t>Authorities</w:t>
      </w:r>
      <w:r w:rsidRPr="0007547C">
        <w:rPr>
          <w:noProof/>
        </w:rPr>
        <w:t>. Public authorities will potentially achieve savings staff from a reduction in the effort on bilateral exchanges with other stakeholders. However, given the limited scale of this effect this has not been monetised.</w:t>
      </w:r>
    </w:p>
    <w:p w14:paraId="44390B33" w14:textId="0197905F" w:rsidR="00DC7EE7" w:rsidRPr="0007547C" w:rsidRDefault="00DC7EE7" w:rsidP="00DC7EE7">
      <w:pPr>
        <w:rPr>
          <w:noProof/>
        </w:rPr>
      </w:pPr>
      <w:r w:rsidRPr="0007547C">
        <w:rPr>
          <w:b/>
          <w:i/>
          <w:noProof/>
        </w:rPr>
        <w:t xml:space="preserve">Recurrent adjustment costs </w:t>
      </w:r>
      <w:r w:rsidR="001D5971">
        <w:rPr>
          <w:b/>
          <w:i/>
          <w:noProof/>
        </w:rPr>
        <w:t>for</w:t>
      </w:r>
      <w:r w:rsidR="001D5971" w:rsidRPr="0007547C">
        <w:rPr>
          <w:b/>
          <w:i/>
          <w:noProof/>
        </w:rPr>
        <w:t xml:space="preserve"> </w:t>
      </w:r>
      <w:r w:rsidR="0001203E">
        <w:rPr>
          <w:b/>
          <w:i/>
          <w:noProof/>
        </w:rPr>
        <w:t>cloud</w:t>
      </w:r>
      <w:r w:rsidRPr="0007547C">
        <w:rPr>
          <w:b/>
          <w:i/>
          <w:noProof/>
        </w:rPr>
        <w:t xml:space="preserve"> and AI </w:t>
      </w:r>
      <w:r w:rsidR="00FD0D33">
        <w:rPr>
          <w:b/>
          <w:i/>
          <w:noProof/>
        </w:rPr>
        <w:t xml:space="preserve">computing </w:t>
      </w:r>
      <w:r w:rsidRPr="0007547C">
        <w:rPr>
          <w:b/>
          <w:i/>
          <w:noProof/>
        </w:rPr>
        <w:t>service providers (and other stakeholders).</w:t>
      </w:r>
      <w:r w:rsidRPr="0007547C" w:rsidDel="0083099E">
        <w:rPr>
          <w:noProof/>
        </w:rPr>
        <w:t xml:space="preserve"> </w:t>
      </w:r>
      <w:r w:rsidRPr="0007547C">
        <w:rPr>
          <w:noProof/>
        </w:rPr>
        <w:t>An effort between 5.5 and 7.5 days for the participation and preparation of the event are considered for each of the 300 participants from private sector companies and other stakeholders. Additionally, travel costs are included.</w:t>
      </w:r>
    </w:p>
    <w:p w14:paraId="7BB9160E" w14:textId="0AA888DC" w:rsidR="002D4709" w:rsidRPr="007E2AB2" w:rsidRDefault="002D4709" w:rsidP="002D4709">
      <w:pPr>
        <w:rPr>
          <w:i/>
          <w:iCs/>
          <w:noProof/>
        </w:rPr>
      </w:pPr>
      <w:r w:rsidRPr="007E2AB2">
        <w:rPr>
          <w:i/>
          <w:iCs/>
          <w:noProof/>
        </w:rPr>
        <w:t xml:space="preserve">Recurrent </w:t>
      </w:r>
      <w:r w:rsidR="00F3108F">
        <w:rPr>
          <w:i/>
          <w:iCs/>
          <w:noProof/>
        </w:rPr>
        <w:t>adjustment</w:t>
      </w:r>
      <w:r w:rsidRPr="007E2AB2">
        <w:rPr>
          <w:i/>
          <w:iCs/>
          <w:noProof/>
        </w:rPr>
        <w:t xml:space="preserve"> costs (CASP) = Number of cloud and AI </w:t>
      </w:r>
      <w:r w:rsidR="00F277BE">
        <w:rPr>
          <w:i/>
          <w:iCs/>
          <w:noProof/>
        </w:rPr>
        <w:t xml:space="preserve">computing service </w:t>
      </w:r>
      <w:r w:rsidRPr="007E2AB2">
        <w:rPr>
          <w:i/>
          <w:iCs/>
          <w:noProof/>
        </w:rPr>
        <w:t>providers participating * ((number of days for the preparation and attendance * labour cost) + travel costs)</w:t>
      </w:r>
    </w:p>
    <w:p w14:paraId="5B6F89A7" w14:textId="6DD72B7E" w:rsidR="00DC7EE7" w:rsidRPr="0007547C" w:rsidRDefault="00DC7EE7" w:rsidP="00DC7EE7">
      <w:pPr>
        <w:rPr>
          <w:noProof/>
        </w:rPr>
      </w:pPr>
      <w:r w:rsidRPr="0007547C">
        <w:rPr>
          <w:b/>
          <w:i/>
          <w:noProof/>
        </w:rPr>
        <w:t xml:space="preserve">Recurrent savings in </w:t>
      </w:r>
      <w:r w:rsidR="0001203E">
        <w:rPr>
          <w:b/>
          <w:i/>
          <w:noProof/>
        </w:rPr>
        <w:t>cloud</w:t>
      </w:r>
      <w:r w:rsidRPr="0007547C">
        <w:rPr>
          <w:b/>
          <w:i/>
          <w:noProof/>
        </w:rPr>
        <w:t xml:space="preserve"> and AI </w:t>
      </w:r>
      <w:r w:rsidR="00F277BE">
        <w:rPr>
          <w:b/>
          <w:i/>
          <w:noProof/>
        </w:rPr>
        <w:t xml:space="preserve">computing service </w:t>
      </w:r>
      <w:r w:rsidRPr="0007547C">
        <w:rPr>
          <w:b/>
          <w:i/>
          <w:noProof/>
        </w:rPr>
        <w:t>providers (and other stakeholders).</w:t>
      </w:r>
      <w:r w:rsidRPr="0007547C">
        <w:rPr>
          <w:b/>
          <w:noProof/>
        </w:rPr>
        <w:t xml:space="preserve"> </w:t>
      </w:r>
      <w:r w:rsidRPr="0007547C">
        <w:rPr>
          <w:noProof/>
        </w:rPr>
        <w:t>Event participants may save staff days from a reduction in the effort on bilateral exchanges</w:t>
      </w:r>
      <w:r w:rsidRPr="0007547C">
        <w:rPr>
          <w:b/>
          <w:noProof/>
        </w:rPr>
        <w:t xml:space="preserve">. </w:t>
      </w:r>
      <w:r w:rsidRPr="0007547C">
        <w:rPr>
          <w:noProof/>
        </w:rPr>
        <w:t>Given the limited scale of this effect this has not been monetised.</w:t>
      </w:r>
    </w:p>
    <w:p w14:paraId="6100BB9C" w14:textId="7E422193" w:rsidR="00DC7EE7" w:rsidRDefault="00DC7EE7" w:rsidP="00DC7EE7">
      <w:pPr>
        <w:rPr>
          <w:b/>
          <w:bCs/>
          <w:noProof/>
        </w:rPr>
      </w:pPr>
      <w:r w:rsidRPr="00A01FDA">
        <w:rPr>
          <w:b/>
          <w:bCs/>
          <w:noProof/>
        </w:rPr>
        <w:t>Indirect savings</w:t>
      </w:r>
      <w:r>
        <w:rPr>
          <w:b/>
          <w:bCs/>
          <w:noProof/>
        </w:rPr>
        <w:t>:</w:t>
      </w:r>
    </w:p>
    <w:p w14:paraId="742A37BF" w14:textId="5F8A00B4" w:rsidR="00DC7EE7" w:rsidRDefault="00DC7EE7" w:rsidP="00744B72">
      <w:pPr>
        <w:pStyle w:val="ListParagraph"/>
        <w:numPr>
          <w:ilvl w:val="0"/>
          <w:numId w:val="33"/>
        </w:numPr>
        <w:spacing w:after="160"/>
        <w:rPr>
          <w:noProof/>
        </w:rPr>
      </w:pPr>
      <w:r>
        <w:rPr>
          <w:noProof/>
        </w:rPr>
        <w:t xml:space="preserve">For </w:t>
      </w:r>
      <w:r w:rsidR="00F277BE">
        <w:rPr>
          <w:noProof/>
        </w:rPr>
        <w:t>cloud and AI computing</w:t>
      </w:r>
      <w:r>
        <w:rPr>
          <w:noProof/>
        </w:rPr>
        <w:t xml:space="preserve"> service providers, faster and better understanding of the technologies and techniques to be secured and sovereign, hence delivering services into the market that are perceived as more trustworthy and more up</w:t>
      </w:r>
      <w:r w:rsidR="003A50AF">
        <w:rPr>
          <w:noProof/>
        </w:rPr>
        <w:t xml:space="preserve"> </w:t>
      </w:r>
      <w:r>
        <w:rPr>
          <w:noProof/>
        </w:rPr>
        <w:t>to</w:t>
      </w:r>
      <w:r w:rsidR="003A50AF">
        <w:rPr>
          <w:noProof/>
        </w:rPr>
        <w:t xml:space="preserve"> </w:t>
      </w:r>
      <w:r>
        <w:rPr>
          <w:noProof/>
        </w:rPr>
        <w:t>date in terms of the use of for instance dependency analysis tooling, ultimately leading to an increase in market sales.</w:t>
      </w:r>
    </w:p>
    <w:p w14:paraId="12A97FB1" w14:textId="29B78DF3" w:rsidR="00DC7EE7" w:rsidRDefault="00DC7EE7" w:rsidP="00744B72">
      <w:pPr>
        <w:pStyle w:val="ListParagraph"/>
        <w:numPr>
          <w:ilvl w:val="0"/>
          <w:numId w:val="33"/>
        </w:numPr>
        <w:spacing w:after="160"/>
        <w:rPr>
          <w:noProof/>
        </w:rPr>
      </w:pPr>
      <w:r>
        <w:rPr>
          <w:noProof/>
        </w:rPr>
        <w:t>For national public administrations: a clearer perception of what are the main risks associated with the use of non-sovereign solutions, potentially reducing research on attack and threat vectors, and ultimately resulting in an improved business continuity of the digital services offered.</w:t>
      </w:r>
    </w:p>
    <w:p w14:paraId="4B874A2E" w14:textId="77777777" w:rsidR="000048BC" w:rsidRDefault="00DC7EE7" w:rsidP="00DC7EE7">
      <w:pPr>
        <w:rPr>
          <w:noProof/>
        </w:rPr>
      </w:pPr>
      <w:r w:rsidRPr="0007547C">
        <w:rPr>
          <w:b/>
          <w:noProof/>
        </w:rPr>
        <w:t xml:space="preserve">Sensitivity analysis: </w:t>
      </w:r>
      <w:r w:rsidRPr="0007547C">
        <w:rPr>
          <w:noProof/>
        </w:rPr>
        <w:t>The impact of this policy measure depends on the number of events and participants, but a sensitivity analysis is not relevant given the size of the impact.</w:t>
      </w:r>
      <w:r w:rsidRPr="00166399">
        <w:rPr>
          <w:noProof/>
        </w:rPr>
        <w:t xml:space="preserve"> </w:t>
      </w:r>
    </w:p>
    <w:p w14:paraId="0B9472F5" w14:textId="5292244C" w:rsidR="00DC7EE7" w:rsidRDefault="00DC7EE7" w:rsidP="00DC7EE7">
      <w:pPr>
        <w:rPr>
          <w:b/>
          <w:bCs/>
          <w:noProof/>
        </w:rPr>
      </w:pPr>
      <w:r w:rsidRPr="00D81943">
        <w:rPr>
          <w:b/>
          <w:noProof/>
        </w:rPr>
        <w:t>Results</w:t>
      </w:r>
      <w:r w:rsidRPr="00166399">
        <w:rPr>
          <w:noProof/>
        </w:rPr>
        <w:t xml:space="preserve"> for all stakeholders aggregated and for the years covered by this measure are summarised in the table below. Low costs are assumed for all stakeholders modelled. Savings are negligeable and hence not monetised.</w:t>
      </w:r>
    </w:p>
    <w:p w14:paraId="590AE9AF" w14:textId="2F20DAC4" w:rsidR="00DC7EE7" w:rsidRPr="00B7684E" w:rsidRDefault="00DC7EE7" w:rsidP="00DC7EE7">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33</w:t>
      </w:r>
      <w:r>
        <w:rPr>
          <w:noProof/>
        </w:rPr>
        <w:fldChar w:fldCharType="end"/>
      </w:r>
      <w:r>
        <w:rPr>
          <w:noProof/>
        </w:rPr>
        <w:t xml:space="preserve">. </w:t>
      </w:r>
      <w:r w:rsidRPr="002D53AA">
        <w:rPr>
          <w:noProof/>
        </w:rPr>
        <w:t>Annual conference on digital sovereignty</w:t>
      </w:r>
      <w:r>
        <w:rPr>
          <w:noProof/>
        </w:rPr>
        <w:t xml:space="preserve"> (PM13)</w:t>
      </w:r>
    </w:p>
    <w:tbl>
      <w:tblPr>
        <w:tblStyle w:val="TableGrid"/>
        <w:tblW w:w="9498" w:type="dxa"/>
        <w:tblInd w:w="-284" w:type="dxa"/>
        <w:tblLayout w:type="fixed"/>
        <w:tblCellMar>
          <w:left w:w="0" w:type="dxa"/>
          <w:right w:w="0" w:type="dxa"/>
        </w:tblCellMar>
        <w:tblLook w:val="04A0" w:firstRow="1" w:lastRow="0" w:firstColumn="1" w:lastColumn="0" w:noHBand="0" w:noVBand="1"/>
      </w:tblPr>
      <w:tblGrid>
        <w:gridCol w:w="2125"/>
        <w:gridCol w:w="1239"/>
        <w:gridCol w:w="1178"/>
        <w:gridCol w:w="1377"/>
        <w:gridCol w:w="1101"/>
        <w:gridCol w:w="1135"/>
        <w:gridCol w:w="1343"/>
      </w:tblGrid>
      <w:tr w:rsidR="001B745D" w:rsidRPr="00FA63C0" w14:paraId="70A291B6" w14:textId="77777777" w:rsidTr="00B05194">
        <w:trPr>
          <w:trHeight w:val="506"/>
        </w:trPr>
        <w:tc>
          <w:tcPr>
            <w:tcW w:w="2125" w:type="dxa"/>
            <w:tcBorders>
              <w:bottom w:val="single" w:sz="12" w:space="0" w:color="00B0F0"/>
            </w:tcBorders>
            <w:noWrap/>
            <w:vAlign w:val="center"/>
            <w:hideMark/>
          </w:tcPr>
          <w:p w14:paraId="1AD12C48" w14:textId="77777777" w:rsidR="001B745D" w:rsidRPr="00FA63C0" w:rsidRDefault="001B745D">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239" w:type="dxa"/>
            <w:tcBorders>
              <w:bottom w:val="single" w:sz="12" w:space="0" w:color="00B0F0"/>
            </w:tcBorders>
            <w:vAlign w:val="center"/>
          </w:tcPr>
          <w:p w14:paraId="659C7DD3" w14:textId="0D45281F" w:rsidR="001B745D"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178" w:type="dxa"/>
            <w:tcBorders>
              <w:bottom w:val="single" w:sz="12" w:space="0" w:color="00B0F0"/>
            </w:tcBorders>
            <w:vAlign w:val="center"/>
          </w:tcPr>
          <w:p w14:paraId="3F940648" w14:textId="77777777" w:rsidR="001B745D" w:rsidRPr="00FA63C0" w:rsidRDefault="001B745D">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377" w:type="dxa"/>
            <w:tcBorders>
              <w:bottom w:val="single" w:sz="12" w:space="0" w:color="00B0F0"/>
            </w:tcBorders>
            <w:vAlign w:val="center"/>
          </w:tcPr>
          <w:p w14:paraId="2CC1D0F3" w14:textId="77777777" w:rsidR="001B745D" w:rsidRPr="00FA63C0" w:rsidRDefault="001B745D">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01" w:type="dxa"/>
            <w:tcBorders>
              <w:bottom w:val="single" w:sz="12" w:space="0" w:color="00B0F0"/>
            </w:tcBorders>
            <w:noWrap/>
            <w:vAlign w:val="center"/>
            <w:hideMark/>
          </w:tcPr>
          <w:p w14:paraId="2279B71F" w14:textId="77777777" w:rsidR="001B745D" w:rsidRPr="00FA63C0" w:rsidRDefault="001B745D">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35" w:type="dxa"/>
            <w:tcBorders>
              <w:bottom w:val="single" w:sz="12" w:space="0" w:color="00B0F0"/>
            </w:tcBorders>
            <w:noWrap/>
            <w:vAlign w:val="center"/>
            <w:hideMark/>
          </w:tcPr>
          <w:p w14:paraId="3272E69F" w14:textId="77777777" w:rsidR="001B745D" w:rsidRPr="00EC6BC1" w:rsidRDefault="001B745D">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343" w:type="dxa"/>
            <w:tcBorders>
              <w:bottom w:val="single" w:sz="12" w:space="0" w:color="00B0F0"/>
            </w:tcBorders>
            <w:noWrap/>
            <w:vAlign w:val="center"/>
            <w:hideMark/>
          </w:tcPr>
          <w:p w14:paraId="7D062ABD" w14:textId="77777777" w:rsidR="001B745D" w:rsidRPr="00FA63C0" w:rsidRDefault="001B745D">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1B745D" w:rsidRPr="00397C78" w14:paraId="3FF2A4ED" w14:textId="77777777" w:rsidTr="00B05194">
        <w:trPr>
          <w:trHeight w:val="283"/>
        </w:trPr>
        <w:tc>
          <w:tcPr>
            <w:tcW w:w="2125" w:type="dxa"/>
            <w:tcBorders>
              <w:top w:val="single" w:sz="12" w:space="0" w:color="00B0F0"/>
            </w:tcBorders>
            <w:noWrap/>
            <w:vAlign w:val="center"/>
            <w:hideMark/>
          </w:tcPr>
          <w:p w14:paraId="27BCF977" w14:textId="77777777" w:rsidR="001B745D" w:rsidRPr="00FA63C0" w:rsidRDefault="001B745D">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239" w:type="dxa"/>
            <w:tcBorders>
              <w:top w:val="single" w:sz="12" w:space="0" w:color="00B0F0"/>
            </w:tcBorders>
          </w:tcPr>
          <w:p w14:paraId="17BB17EF" w14:textId="613F0979" w:rsidR="001B745D" w:rsidRPr="00FA63C0" w:rsidRDefault="004C0A9D">
            <w:pPr>
              <w:spacing w:after="0"/>
              <w:jc w:val="right"/>
              <w:rPr>
                <w:noProof/>
                <w:sz w:val="20"/>
                <w:szCs w:val="20"/>
                <w:lang w:val="en-IE" w:eastAsia="en-IE"/>
              </w:rPr>
            </w:pPr>
            <w:r w:rsidRPr="00D87EFA">
              <w:rPr>
                <w:noProof/>
                <w:sz w:val="20"/>
                <w:szCs w:val="20"/>
              </w:rPr>
              <w:t xml:space="preserve"> -</w:t>
            </w:r>
          </w:p>
        </w:tc>
        <w:tc>
          <w:tcPr>
            <w:tcW w:w="1178" w:type="dxa"/>
            <w:tcBorders>
              <w:top w:val="single" w:sz="12" w:space="0" w:color="00B0F0"/>
            </w:tcBorders>
            <w:vAlign w:val="center"/>
          </w:tcPr>
          <w:p w14:paraId="7F91ED28" w14:textId="60E356F6" w:rsidR="001B745D" w:rsidRPr="00FA63C0" w:rsidRDefault="004C0A9D">
            <w:pPr>
              <w:spacing w:after="0"/>
              <w:jc w:val="right"/>
              <w:rPr>
                <w:noProof/>
                <w:sz w:val="20"/>
                <w:szCs w:val="20"/>
                <w:lang w:val="en-IE" w:eastAsia="en-IE"/>
              </w:rPr>
            </w:pPr>
            <w:r w:rsidRPr="00FA63C0">
              <w:rPr>
                <w:noProof/>
                <w:sz w:val="20"/>
                <w:szCs w:val="20"/>
              </w:rPr>
              <w:t>-</w:t>
            </w:r>
          </w:p>
        </w:tc>
        <w:tc>
          <w:tcPr>
            <w:tcW w:w="1377" w:type="dxa"/>
            <w:tcBorders>
              <w:top w:val="single" w:sz="12" w:space="0" w:color="00B0F0"/>
            </w:tcBorders>
          </w:tcPr>
          <w:p w14:paraId="1C4426B9" w14:textId="382C2D20" w:rsidR="001B745D" w:rsidRPr="00FA63C0" w:rsidRDefault="004C0A9D">
            <w:pPr>
              <w:spacing w:after="0"/>
              <w:jc w:val="right"/>
              <w:rPr>
                <w:noProof/>
                <w:sz w:val="20"/>
                <w:szCs w:val="20"/>
                <w:lang w:val="en-IE" w:eastAsia="en-IE"/>
              </w:rPr>
            </w:pPr>
            <w:r w:rsidRPr="008C25B6">
              <w:rPr>
                <w:noProof/>
                <w:sz w:val="20"/>
                <w:szCs w:val="20"/>
              </w:rPr>
              <w:t xml:space="preserve"> -</w:t>
            </w:r>
          </w:p>
        </w:tc>
        <w:tc>
          <w:tcPr>
            <w:tcW w:w="1101" w:type="dxa"/>
            <w:tcBorders>
              <w:top w:val="single" w:sz="12" w:space="0" w:color="00B0F0"/>
            </w:tcBorders>
            <w:noWrap/>
            <w:vAlign w:val="center"/>
          </w:tcPr>
          <w:p w14:paraId="7D8E3F2D" w14:textId="77777777" w:rsidR="001B745D" w:rsidRPr="007C40E5"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tcBorders>
              <w:top w:val="single" w:sz="12" w:space="0" w:color="00B0F0"/>
            </w:tcBorders>
            <w:noWrap/>
            <w:vAlign w:val="center"/>
          </w:tcPr>
          <w:p w14:paraId="551A957C" w14:textId="77777777" w:rsidR="001B745D" w:rsidRPr="007C40E5" w:rsidRDefault="001B745D" w:rsidP="00464CEA">
            <w:pPr>
              <w:spacing w:after="0"/>
              <w:jc w:val="right"/>
              <w:rPr>
                <w:noProof/>
                <w:sz w:val="20"/>
                <w:szCs w:val="20"/>
                <w:lang w:val="en-IE" w:eastAsia="en-IE"/>
              </w:rPr>
            </w:pPr>
            <w:r w:rsidRPr="00FA63C0">
              <w:rPr>
                <w:noProof/>
                <w:sz w:val="20"/>
                <w:szCs w:val="20"/>
              </w:rPr>
              <w:t xml:space="preserve">-   </w:t>
            </w:r>
          </w:p>
        </w:tc>
        <w:tc>
          <w:tcPr>
            <w:tcW w:w="1343" w:type="dxa"/>
            <w:tcBorders>
              <w:top w:val="single" w:sz="12" w:space="0" w:color="00B0F0"/>
            </w:tcBorders>
            <w:noWrap/>
            <w:vAlign w:val="center"/>
          </w:tcPr>
          <w:p w14:paraId="77E5A4DD" w14:textId="77777777" w:rsidR="001B745D" w:rsidRPr="007C40E5" w:rsidRDefault="001B745D" w:rsidP="00464CEA">
            <w:pPr>
              <w:spacing w:after="0"/>
              <w:jc w:val="right"/>
              <w:rPr>
                <w:noProof/>
                <w:sz w:val="20"/>
                <w:szCs w:val="20"/>
                <w:lang w:val="en-IE" w:eastAsia="en-IE"/>
              </w:rPr>
            </w:pPr>
            <w:r w:rsidRPr="00FA63C0">
              <w:rPr>
                <w:noProof/>
                <w:sz w:val="20"/>
                <w:szCs w:val="20"/>
              </w:rPr>
              <w:t xml:space="preserve"> -   </w:t>
            </w:r>
          </w:p>
        </w:tc>
      </w:tr>
      <w:tr w:rsidR="001B745D" w:rsidRPr="00061A60" w14:paraId="792C5D8C" w14:textId="77777777" w:rsidTr="00B05194">
        <w:trPr>
          <w:trHeight w:val="283"/>
        </w:trPr>
        <w:tc>
          <w:tcPr>
            <w:tcW w:w="2125" w:type="dxa"/>
            <w:noWrap/>
            <w:vAlign w:val="center"/>
            <w:hideMark/>
          </w:tcPr>
          <w:p w14:paraId="5AADEEA3" w14:textId="77777777" w:rsidR="001B745D" w:rsidRPr="00FA63C0" w:rsidRDefault="001B745D" w:rsidP="001B745D">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239" w:type="dxa"/>
          </w:tcPr>
          <w:p w14:paraId="5DA8DB8C" w14:textId="4A5B4BCF" w:rsidR="001B745D" w:rsidRPr="00FA63C0" w:rsidRDefault="004C0A9D" w:rsidP="001B745D">
            <w:pPr>
              <w:spacing w:after="0"/>
              <w:jc w:val="right"/>
              <w:rPr>
                <w:noProof/>
                <w:sz w:val="20"/>
                <w:szCs w:val="20"/>
                <w:lang w:val="en-IE" w:eastAsia="en-IE"/>
              </w:rPr>
            </w:pPr>
            <w:r w:rsidRPr="00D87EFA">
              <w:rPr>
                <w:noProof/>
                <w:sz w:val="20"/>
                <w:szCs w:val="20"/>
              </w:rPr>
              <w:t xml:space="preserve"> -</w:t>
            </w:r>
          </w:p>
        </w:tc>
        <w:tc>
          <w:tcPr>
            <w:tcW w:w="1178" w:type="dxa"/>
            <w:vAlign w:val="center"/>
          </w:tcPr>
          <w:p w14:paraId="31FB7F20" w14:textId="7058D59F" w:rsidR="001B745D" w:rsidRPr="00FA63C0" w:rsidRDefault="004C0A9D" w:rsidP="001B745D">
            <w:pPr>
              <w:spacing w:after="0"/>
              <w:jc w:val="right"/>
              <w:rPr>
                <w:noProof/>
                <w:sz w:val="20"/>
                <w:szCs w:val="20"/>
                <w:lang w:val="en-IE" w:eastAsia="en-IE"/>
              </w:rPr>
            </w:pPr>
            <w:r w:rsidRPr="004C0A9D">
              <w:rPr>
                <w:noProof/>
                <w:sz w:val="20"/>
                <w:szCs w:val="20"/>
                <w:lang w:val="en-IE" w:eastAsia="en-IE"/>
              </w:rPr>
              <w:t>1</w:t>
            </w:r>
            <w:r w:rsidR="000B6C20">
              <w:rPr>
                <w:noProof/>
                <w:sz w:val="20"/>
                <w:szCs w:val="20"/>
                <w:lang w:val="en-IE" w:eastAsia="en-IE"/>
              </w:rPr>
              <w:t xml:space="preserve"> </w:t>
            </w:r>
            <w:r w:rsidRPr="004C0A9D">
              <w:rPr>
                <w:noProof/>
                <w:sz w:val="20"/>
                <w:szCs w:val="20"/>
                <w:lang w:val="en-IE" w:eastAsia="en-IE"/>
              </w:rPr>
              <w:t>972</w:t>
            </w:r>
            <w:r w:rsidR="000B6C20">
              <w:rPr>
                <w:noProof/>
                <w:sz w:val="20"/>
                <w:szCs w:val="20"/>
                <w:lang w:val="en-IE" w:eastAsia="en-IE"/>
              </w:rPr>
              <w:t xml:space="preserve"> </w:t>
            </w:r>
            <w:r w:rsidRPr="004C0A9D">
              <w:rPr>
                <w:noProof/>
                <w:sz w:val="20"/>
                <w:szCs w:val="20"/>
                <w:lang w:val="en-IE" w:eastAsia="en-IE"/>
              </w:rPr>
              <w:t>376</w:t>
            </w:r>
          </w:p>
        </w:tc>
        <w:tc>
          <w:tcPr>
            <w:tcW w:w="1377" w:type="dxa"/>
          </w:tcPr>
          <w:p w14:paraId="1848AC5E" w14:textId="11CBE54B" w:rsidR="001B745D" w:rsidRPr="00FA63C0" w:rsidRDefault="004C0A9D" w:rsidP="001B745D">
            <w:pPr>
              <w:spacing w:after="0"/>
              <w:jc w:val="right"/>
              <w:rPr>
                <w:noProof/>
                <w:sz w:val="20"/>
                <w:szCs w:val="20"/>
                <w:lang w:val="en-IE" w:eastAsia="en-IE"/>
              </w:rPr>
            </w:pPr>
            <w:r w:rsidRPr="008C25B6">
              <w:rPr>
                <w:noProof/>
                <w:sz w:val="20"/>
                <w:szCs w:val="20"/>
              </w:rPr>
              <w:t xml:space="preserve"> -</w:t>
            </w:r>
          </w:p>
        </w:tc>
        <w:tc>
          <w:tcPr>
            <w:tcW w:w="1101" w:type="dxa"/>
            <w:noWrap/>
            <w:vAlign w:val="center"/>
          </w:tcPr>
          <w:p w14:paraId="37095F66" w14:textId="18DFAC18" w:rsidR="001B745D" w:rsidRPr="001B745D" w:rsidRDefault="001B745D" w:rsidP="00464CEA">
            <w:pPr>
              <w:spacing w:after="0"/>
              <w:jc w:val="right"/>
              <w:rPr>
                <w:noProof/>
                <w:sz w:val="20"/>
                <w:szCs w:val="20"/>
                <w:lang w:val="en-IE" w:eastAsia="en-IE"/>
              </w:rPr>
            </w:pPr>
            <w:r w:rsidRPr="00FA698A">
              <w:rPr>
                <w:noProof/>
                <w:sz w:val="20"/>
                <w:szCs w:val="20"/>
              </w:rPr>
              <w:t xml:space="preserve"> 1 972 376 </w:t>
            </w:r>
          </w:p>
        </w:tc>
        <w:tc>
          <w:tcPr>
            <w:tcW w:w="1135" w:type="dxa"/>
            <w:noWrap/>
            <w:vAlign w:val="center"/>
          </w:tcPr>
          <w:p w14:paraId="7D9DB04E" w14:textId="0C868546" w:rsidR="001B745D" w:rsidRPr="001B745D" w:rsidRDefault="001B745D" w:rsidP="00464CEA">
            <w:pPr>
              <w:spacing w:after="0"/>
              <w:jc w:val="right"/>
              <w:rPr>
                <w:noProof/>
                <w:sz w:val="20"/>
                <w:szCs w:val="20"/>
                <w:lang w:val="en-IE" w:eastAsia="en-IE"/>
              </w:rPr>
            </w:pPr>
            <w:r w:rsidRPr="00FA698A">
              <w:rPr>
                <w:noProof/>
                <w:sz w:val="20"/>
                <w:szCs w:val="20"/>
              </w:rPr>
              <w:t xml:space="preserve"> 1 972 376 </w:t>
            </w:r>
          </w:p>
        </w:tc>
        <w:tc>
          <w:tcPr>
            <w:tcW w:w="1343" w:type="dxa"/>
            <w:noWrap/>
            <w:vAlign w:val="center"/>
          </w:tcPr>
          <w:p w14:paraId="2581A1E4" w14:textId="6EAD4479" w:rsidR="001B745D" w:rsidRPr="001B745D" w:rsidRDefault="001B745D" w:rsidP="00464CEA">
            <w:pPr>
              <w:spacing w:after="0"/>
              <w:jc w:val="right"/>
              <w:rPr>
                <w:noProof/>
                <w:sz w:val="20"/>
                <w:szCs w:val="20"/>
                <w:lang w:val="en-IE" w:eastAsia="en-IE"/>
              </w:rPr>
            </w:pPr>
            <w:r w:rsidRPr="00FA698A">
              <w:rPr>
                <w:noProof/>
                <w:sz w:val="20"/>
                <w:szCs w:val="20"/>
              </w:rPr>
              <w:t xml:space="preserve"> 1 972 376 </w:t>
            </w:r>
          </w:p>
        </w:tc>
      </w:tr>
      <w:tr w:rsidR="001B745D" w:rsidRPr="00397C78" w14:paraId="1AFDCE4A" w14:textId="77777777" w:rsidTr="00B05194">
        <w:trPr>
          <w:trHeight w:val="283"/>
        </w:trPr>
        <w:tc>
          <w:tcPr>
            <w:tcW w:w="2125" w:type="dxa"/>
            <w:noWrap/>
            <w:vAlign w:val="center"/>
            <w:hideMark/>
          </w:tcPr>
          <w:p w14:paraId="360DCD21" w14:textId="77777777" w:rsidR="001B745D" w:rsidRPr="00FA63C0" w:rsidRDefault="001B745D" w:rsidP="001B745D">
            <w:pPr>
              <w:spacing w:after="0"/>
              <w:jc w:val="left"/>
              <w:rPr>
                <w:i/>
                <w:iCs/>
                <w:noProof/>
                <w:sz w:val="20"/>
                <w:szCs w:val="20"/>
                <w:lang w:val="en-IE" w:eastAsia="en-IE"/>
              </w:rPr>
            </w:pPr>
            <w:r w:rsidRPr="00FA63C0">
              <w:rPr>
                <w:i/>
                <w:iCs/>
                <w:noProof/>
                <w:sz w:val="20"/>
                <w:szCs w:val="20"/>
                <w:lang w:val="en-IE" w:eastAsia="en-IE"/>
              </w:rPr>
              <w:t>one-off adjustment</w:t>
            </w:r>
          </w:p>
        </w:tc>
        <w:tc>
          <w:tcPr>
            <w:tcW w:w="1239" w:type="dxa"/>
          </w:tcPr>
          <w:p w14:paraId="4A833BD6" w14:textId="2B7830C6" w:rsidR="001B745D" w:rsidRPr="00FA63C0" w:rsidRDefault="004C0A9D" w:rsidP="001B745D">
            <w:pPr>
              <w:spacing w:after="0"/>
              <w:jc w:val="right"/>
              <w:rPr>
                <w:noProof/>
                <w:sz w:val="20"/>
                <w:szCs w:val="20"/>
                <w:lang w:val="en-IE" w:eastAsia="en-IE"/>
              </w:rPr>
            </w:pPr>
            <w:r w:rsidRPr="00D87EFA">
              <w:rPr>
                <w:noProof/>
                <w:sz w:val="20"/>
                <w:szCs w:val="20"/>
              </w:rPr>
              <w:t xml:space="preserve"> -</w:t>
            </w:r>
          </w:p>
        </w:tc>
        <w:tc>
          <w:tcPr>
            <w:tcW w:w="1178" w:type="dxa"/>
          </w:tcPr>
          <w:p w14:paraId="279B5A35" w14:textId="4ED7AC30" w:rsidR="001B745D" w:rsidRPr="00FA63C0" w:rsidRDefault="004C0A9D" w:rsidP="001B745D">
            <w:pPr>
              <w:spacing w:after="0"/>
              <w:jc w:val="right"/>
              <w:rPr>
                <w:noProof/>
                <w:sz w:val="20"/>
                <w:szCs w:val="20"/>
                <w:lang w:val="en-IE" w:eastAsia="en-IE"/>
              </w:rPr>
            </w:pPr>
            <w:r w:rsidRPr="00C87629">
              <w:rPr>
                <w:noProof/>
                <w:sz w:val="20"/>
                <w:szCs w:val="20"/>
              </w:rPr>
              <w:t xml:space="preserve"> -</w:t>
            </w:r>
          </w:p>
        </w:tc>
        <w:tc>
          <w:tcPr>
            <w:tcW w:w="1377" w:type="dxa"/>
          </w:tcPr>
          <w:p w14:paraId="0DE07873" w14:textId="5628185B" w:rsidR="001B745D" w:rsidRPr="00FA63C0" w:rsidRDefault="004C0A9D" w:rsidP="001B745D">
            <w:pPr>
              <w:spacing w:after="0"/>
              <w:jc w:val="right"/>
              <w:rPr>
                <w:noProof/>
                <w:sz w:val="20"/>
                <w:szCs w:val="20"/>
                <w:lang w:val="en-IE" w:eastAsia="en-IE"/>
              </w:rPr>
            </w:pPr>
            <w:r w:rsidRPr="008C25B6">
              <w:rPr>
                <w:noProof/>
                <w:sz w:val="20"/>
                <w:szCs w:val="20"/>
              </w:rPr>
              <w:t xml:space="preserve"> -</w:t>
            </w:r>
          </w:p>
        </w:tc>
        <w:tc>
          <w:tcPr>
            <w:tcW w:w="1101" w:type="dxa"/>
            <w:noWrap/>
            <w:vAlign w:val="center"/>
          </w:tcPr>
          <w:p w14:paraId="77799B68" w14:textId="5F52C72F" w:rsidR="001B745D" w:rsidRPr="00C44537"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0F4BD780" w14:textId="79064609" w:rsidR="001B745D" w:rsidRPr="00C44537" w:rsidRDefault="001B745D" w:rsidP="00464CEA">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6B970092" w14:textId="5E1B1D03" w:rsidR="001B745D" w:rsidRPr="00C44537" w:rsidRDefault="001B745D" w:rsidP="00464CEA">
            <w:pPr>
              <w:spacing w:after="0"/>
              <w:jc w:val="right"/>
              <w:rPr>
                <w:noProof/>
                <w:sz w:val="20"/>
                <w:szCs w:val="20"/>
                <w:lang w:val="en-IE" w:eastAsia="en-IE"/>
              </w:rPr>
            </w:pPr>
            <w:r w:rsidRPr="00FA63C0">
              <w:rPr>
                <w:noProof/>
                <w:sz w:val="20"/>
                <w:szCs w:val="20"/>
              </w:rPr>
              <w:t xml:space="preserve"> -   </w:t>
            </w:r>
          </w:p>
        </w:tc>
      </w:tr>
      <w:tr w:rsidR="001B745D" w:rsidRPr="00397C78" w14:paraId="709FFB7C" w14:textId="77777777" w:rsidTr="00B05194">
        <w:trPr>
          <w:trHeight w:val="283"/>
        </w:trPr>
        <w:tc>
          <w:tcPr>
            <w:tcW w:w="2125" w:type="dxa"/>
            <w:noWrap/>
            <w:vAlign w:val="center"/>
            <w:hideMark/>
          </w:tcPr>
          <w:p w14:paraId="15DF9A11" w14:textId="77777777" w:rsidR="001B745D" w:rsidRPr="00FA63C0" w:rsidRDefault="001B745D" w:rsidP="001B745D">
            <w:pPr>
              <w:spacing w:after="0"/>
              <w:jc w:val="left"/>
              <w:rPr>
                <w:i/>
                <w:iCs/>
                <w:noProof/>
                <w:sz w:val="20"/>
                <w:szCs w:val="20"/>
                <w:lang w:val="en-IE" w:eastAsia="en-IE"/>
              </w:rPr>
            </w:pPr>
            <w:r w:rsidRPr="00FA63C0">
              <w:rPr>
                <w:i/>
                <w:iCs/>
                <w:noProof/>
                <w:sz w:val="20"/>
                <w:szCs w:val="20"/>
                <w:lang w:val="en-IE" w:eastAsia="en-IE"/>
              </w:rPr>
              <w:t>recurrent adjustment</w:t>
            </w:r>
          </w:p>
        </w:tc>
        <w:tc>
          <w:tcPr>
            <w:tcW w:w="1239" w:type="dxa"/>
            <w:vAlign w:val="center"/>
          </w:tcPr>
          <w:p w14:paraId="3E2645F5" w14:textId="1C032B60" w:rsidR="001B745D" w:rsidRPr="00FA63C0" w:rsidRDefault="007376F8" w:rsidP="001B745D">
            <w:pPr>
              <w:spacing w:after="0"/>
              <w:jc w:val="right"/>
              <w:rPr>
                <w:noProof/>
                <w:sz w:val="20"/>
                <w:szCs w:val="20"/>
                <w:lang w:val="en-IE" w:eastAsia="en-IE"/>
              </w:rPr>
            </w:pPr>
            <w:r w:rsidRPr="007376F8">
              <w:rPr>
                <w:noProof/>
                <w:sz w:val="20"/>
                <w:szCs w:val="20"/>
                <w:lang w:val="en-IE" w:eastAsia="en-IE"/>
              </w:rPr>
              <w:t>12</w:t>
            </w:r>
            <w:r w:rsidR="000B6C20">
              <w:rPr>
                <w:noProof/>
                <w:sz w:val="20"/>
                <w:szCs w:val="20"/>
                <w:lang w:val="en-IE" w:eastAsia="en-IE"/>
              </w:rPr>
              <w:t xml:space="preserve"> </w:t>
            </w:r>
            <w:r w:rsidRPr="007376F8">
              <w:rPr>
                <w:noProof/>
                <w:sz w:val="20"/>
                <w:szCs w:val="20"/>
                <w:lang w:val="en-IE" w:eastAsia="en-IE"/>
              </w:rPr>
              <w:t>099</w:t>
            </w:r>
            <w:r w:rsidR="000B6C20">
              <w:rPr>
                <w:noProof/>
                <w:sz w:val="20"/>
                <w:szCs w:val="20"/>
                <w:lang w:val="en-IE" w:eastAsia="en-IE"/>
              </w:rPr>
              <w:t xml:space="preserve"> </w:t>
            </w:r>
            <w:r w:rsidRPr="007376F8">
              <w:rPr>
                <w:noProof/>
                <w:sz w:val="20"/>
                <w:szCs w:val="20"/>
                <w:lang w:val="en-IE" w:eastAsia="en-IE"/>
              </w:rPr>
              <w:t>496</w:t>
            </w:r>
          </w:p>
        </w:tc>
        <w:tc>
          <w:tcPr>
            <w:tcW w:w="1178" w:type="dxa"/>
          </w:tcPr>
          <w:p w14:paraId="5D56A24B" w14:textId="42F58A20" w:rsidR="001B745D" w:rsidRPr="00FA63C0" w:rsidRDefault="004C0A9D" w:rsidP="001B745D">
            <w:pPr>
              <w:spacing w:after="0"/>
              <w:jc w:val="right"/>
              <w:rPr>
                <w:noProof/>
                <w:sz w:val="20"/>
                <w:szCs w:val="20"/>
                <w:lang w:val="en-IE" w:eastAsia="en-IE"/>
              </w:rPr>
            </w:pPr>
            <w:r w:rsidRPr="00C87629">
              <w:rPr>
                <w:noProof/>
                <w:sz w:val="20"/>
                <w:szCs w:val="20"/>
              </w:rPr>
              <w:t xml:space="preserve"> -</w:t>
            </w:r>
          </w:p>
        </w:tc>
        <w:tc>
          <w:tcPr>
            <w:tcW w:w="1377" w:type="dxa"/>
            <w:vAlign w:val="center"/>
          </w:tcPr>
          <w:p w14:paraId="5F9CEC5D" w14:textId="7062DBA2" w:rsidR="001B745D" w:rsidRPr="00FA63C0" w:rsidRDefault="00AE42B0" w:rsidP="001B745D">
            <w:pPr>
              <w:spacing w:after="0"/>
              <w:jc w:val="right"/>
              <w:rPr>
                <w:noProof/>
                <w:sz w:val="20"/>
                <w:szCs w:val="20"/>
                <w:lang w:val="en-IE" w:eastAsia="en-IE"/>
              </w:rPr>
            </w:pPr>
            <w:r w:rsidRPr="00AE42B0">
              <w:rPr>
                <w:noProof/>
                <w:sz w:val="20"/>
                <w:szCs w:val="20"/>
                <w:lang w:val="en-IE" w:eastAsia="en-IE"/>
              </w:rPr>
              <w:t>4</w:t>
            </w:r>
            <w:r w:rsidR="000B6C20">
              <w:rPr>
                <w:noProof/>
                <w:sz w:val="20"/>
                <w:szCs w:val="20"/>
                <w:lang w:val="en-IE" w:eastAsia="en-IE"/>
              </w:rPr>
              <w:t xml:space="preserve"> </w:t>
            </w:r>
            <w:r w:rsidRPr="00AE42B0">
              <w:rPr>
                <w:noProof/>
                <w:sz w:val="20"/>
                <w:szCs w:val="20"/>
                <w:lang w:val="en-IE" w:eastAsia="en-IE"/>
              </w:rPr>
              <w:t>594</w:t>
            </w:r>
            <w:r w:rsidR="000B6C20">
              <w:rPr>
                <w:noProof/>
                <w:sz w:val="20"/>
                <w:szCs w:val="20"/>
                <w:lang w:val="en-IE" w:eastAsia="en-IE"/>
              </w:rPr>
              <w:t xml:space="preserve"> </w:t>
            </w:r>
            <w:r w:rsidRPr="00AE42B0">
              <w:rPr>
                <w:noProof/>
                <w:sz w:val="20"/>
                <w:szCs w:val="20"/>
                <w:lang w:val="en-IE" w:eastAsia="en-IE"/>
              </w:rPr>
              <w:t>816</w:t>
            </w:r>
          </w:p>
        </w:tc>
        <w:tc>
          <w:tcPr>
            <w:tcW w:w="1101" w:type="dxa"/>
            <w:noWrap/>
            <w:vAlign w:val="center"/>
          </w:tcPr>
          <w:p w14:paraId="222492D0" w14:textId="334AF12E" w:rsidR="001B745D" w:rsidRPr="001B745D" w:rsidRDefault="001B745D" w:rsidP="00464CEA">
            <w:pPr>
              <w:spacing w:after="0"/>
              <w:jc w:val="right"/>
              <w:rPr>
                <w:noProof/>
                <w:sz w:val="20"/>
                <w:szCs w:val="20"/>
                <w:lang w:val="en-IE" w:eastAsia="en-IE"/>
              </w:rPr>
            </w:pPr>
            <w:r w:rsidRPr="00FA698A">
              <w:rPr>
                <w:noProof/>
                <w:sz w:val="20"/>
                <w:szCs w:val="20"/>
              </w:rPr>
              <w:t xml:space="preserve"> 16 694 311 </w:t>
            </w:r>
          </w:p>
        </w:tc>
        <w:tc>
          <w:tcPr>
            <w:tcW w:w="1135" w:type="dxa"/>
            <w:noWrap/>
            <w:vAlign w:val="center"/>
          </w:tcPr>
          <w:p w14:paraId="70210608" w14:textId="67F8DC27" w:rsidR="001B745D" w:rsidRPr="001B745D" w:rsidRDefault="001B745D" w:rsidP="00464CEA">
            <w:pPr>
              <w:spacing w:after="0"/>
              <w:jc w:val="right"/>
              <w:rPr>
                <w:noProof/>
                <w:sz w:val="20"/>
                <w:szCs w:val="20"/>
                <w:lang w:val="en-IE" w:eastAsia="en-IE"/>
              </w:rPr>
            </w:pPr>
            <w:r w:rsidRPr="00FA698A">
              <w:rPr>
                <w:noProof/>
                <w:sz w:val="20"/>
                <w:szCs w:val="20"/>
              </w:rPr>
              <w:t xml:space="preserve"> 16 694 311 </w:t>
            </w:r>
          </w:p>
        </w:tc>
        <w:tc>
          <w:tcPr>
            <w:tcW w:w="1343" w:type="dxa"/>
            <w:noWrap/>
            <w:vAlign w:val="center"/>
          </w:tcPr>
          <w:p w14:paraId="3DF16442" w14:textId="196826FF" w:rsidR="001B745D" w:rsidRPr="001B745D" w:rsidRDefault="001B745D" w:rsidP="00464CEA">
            <w:pPr>
              <w:spacing w:after="0"/>
              <w:jc w:val="right"/>
              <w:rPr>
                <w:noProof/>
                <w:sz w:val="20"/>
                <w:szCs w:val="20"/>
                <w:lang w:val="en-IE" w:eastAsia="en-IE"/>
              </w:rPr>
            </w:pPr>
            <w:r w:rsidRPr="00FA698A">
              <w:rPr>
                <w:noProof/>
                <w:sz w:val="20"/>
                <w:szCs w:val="20"/>
              </w:rPr>
              <w:t xml:space="preserve"> 16 694 311 </w:t>
            </w:r>
          </w:p>
        </w:tc>
      </w:tr>
      <w:tr w:rsidR="001B745D" w:rsidRPr="000A7265" w14:paraId="601253A1" w14:textId="77777777" w:rsidTr="00B05194">
        <w:trPr>
          <w:trHeight w:val="283"/>
        </w:trPr>
        <w:tc>
          <w:tcPr>
            <w:tcW w:w="2125" w:type="dxa"/>
            <w:noWrap/>
            <w:vAlign w:val="center"/>
            <w:hideMark/>
          </w:tcPr>
          <w:p w14:paraId="447FB723" w14:textId="77777777" w:rsidR="001B745D" w:rsidRPr="00FA63C0" w:rsidRDefault="001B745D">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239" w:type="dxa"/>
          </w:tcPr>
          <w:p w14:paraId="72A1938D" w14:textId="34443405" w:rsidR="001B745D" w:rsidRPr="00FA63C0" w:rsidRDefault="004C0A9D">
            <w:pPr>
              <w:spacing w:after="0"/>
              <w:jc w:val="right"/>
              <w:rPr>
                <w:noProof/>
                <w:sz w:val="20"/>
                <w:szCs w:val="20"/>
                <w:lang w:val="en-IE" w:eastAsia="en-IE"/>
              </w:rPr>
            </w:pPr>
            <w:r w:rsidRPr="0065620B">
              <w:rPr>
                <w:noProof/>
                <w:sz w:val="20"/>
                <w:szCs w:val="20"/>
              </w:rPr>
              <w:t xml:space="preserve"> -</w:t>
            </w:r>
          </w:p>
        </w:tc>
        <w:tc>
          <w:tcPr>
            <w:tcW w:w="1178" w:type="dxa"/>
          </w:tcPr>
          <w:p w14:paraId="3BA68042" w14:textId="60C0BB8C" w:rsidR="001B745D" w:rsidRPr="00FA63C0" w:rsidRDefault="004C0A9D">
            <w:pPr>
              <w:spacing w:after="0"/>
              <w:jc w:val="right"/>
              <w:rPr>
                <w:noProof/>
                <w:sz w:val="20"/>
                <w:szCs w:val="20"/>
                <w:lang w:val="en-IE" w:eastAsia="en-IE"/>
              </w:rPr>
            </w:pPr>
            <w:r w:rsidRPr="00C87629">
              <w:rPr>
                <w:noProof/>
                <w:sz w:val="20"/>
                <w:szCs w:val="20"/>
              </w:rPr>
              <w:t xml:space="preserve"> -</w:t>
            </w:r>
          </w:p>
        </w:tc>
        <w:tc>
          <w:tcPr>
            <w:tcW w:w="1377" w:type="dxa"/>
          </w:tcPr>
          <w:p w14:paraId="7D933D83" w14:textId="7929D176" w:rsidR="001B745D" w:rsidRPr="00FA63C0" w:rsidRDefault="004C0A9D">
            <w:pPr>
              <w:spacing w:after="0"/>
              <w:jc w:val="right"/>
              <w:rPr>
                <w:noProof/>
                <w:sz w:val="20"/>
                <w:szCs w:val="20"/>
                <w:lang w:val="en-IE" w:eastAsia="en-IE"/>
              </w:rPr>
            </w:pPr>
            <w:r w:rsidRPr="0017544D">
              <w:rPr>
                <w:noProof/>
                <w:sz w:val="20"/>
                <w:szCs w:val="20"/>
              </w:rPr>
              <w:t xml:space="preserve"> -</w:t>
            </w:r>
          </w:p>
        </w:tc>
        <w:tc>
          <w:tcPr>
            <w:tcW w:w="1101" w:type="dxa"/>
            <w:noWrap/>
            <w:vAlign w:val="center"/>
          </w:tcPr>
          <w:p w14:paraId="14ABCD1E"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1DE8BB90"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0470379E"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r>
      <w:tr w:rsidR="001B745D" w:rsidRPr="000A7265" w14:paraId="7010DCEC" w14:textId="77777777" w:rsidTr="00B05194">
        <w:trPr>
          <w:trHeight w:val="283"/>
        </w:trPr>
        <w:tc>
          <w:tcPr>
            <w:tcW w:w="2125" w:type="dxa"/>
            <w:noWrap/>
            <w:vAlign w:val="center"/>
            <w:hideMark/>
          </w:tcPr>
          <w:p w14:paraId="3A1F4046" w14:textId="77777777" w:rsidR="001B745D" w:rsidRPr="00FA63C0" w:rsidRDefault="001B745D">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239" w:type="dxa"/>
          </w:tcPr>
          <w:p w14:paraId="5BF18FC6" w14:textId="378C8500" w:rsidR="001B745D" w:rsidRPr="00FA63C0" w:rsidRDefault="004C0A9D">
            <w:pPr>
              <w:spacing w:after="0"/>
              <w:jc w:val="right"/>
              <w:rPr>
                <w:noProof/>
                <w:sz w:val="20"/>
                <w:szCs w:val="20"/>
                <w:lang w:val="en-IE" w:eastAsia="en-IE"/>
              </w:rPr>
            </w:pPr>
            <w:r w:rsidRPr="0065620B">
              <w:rPr>
                <w:noProof/>
                <w:sz w:val="20"/>
                <w:szCs w:val="20"/>
              </w:rPr>
              <w:t xml:space="preserve"> -</w:t>
            </w:r>
          </w:p>
        </w:tc>
        <w:tc>
          <w:tcPr>
            <w:tcW w:w="1178" w:type="dxa"/>
          </w:tcPr>
          <w:p w14:paraId="5D2590AB" w14:textId="5CE7E677" w:rsidR="001B745D" w:rsidRPr="00FA63C0" w:rsidRDefault="004C0A9D">
            <w:pPr>
              <w:spacing w:after="0"/>
              <w:jc w:val="right"/>
              <w:rPr>
                <w:noProof/>
                <w:sz w:val="20"/>
                <w:szCs w:val="20"/>
                <w:lang w:val="en-IE" w:eastAsia="en-IE"/>
              </w:rPr>
            </w:pPr>
            <w:r w:rsidRPr="00C87629">
              <w:rPr>
                <w:noProof/>
                <w:sz w:val="20"/>
                <w:szCs w:val="20"/>
              </w:rPr>
              <w:t xml:space="preserve"> -</w:t>
            </w:r>
          </w:p>
        </w:tc>
        <w:tc>
          <w:tcPr>
            <w:tcW w:w="1377" w:type="dxa"/>
          </w:tcPr>
          <w:p w14:paraId="052BE5FD" w14:textId="54558D3C" w:rsidR="001B745D" w:rsidRPr="00FA63C0" w:rsidRDefault="004C0A9D">
            <w:pPr>
              <w:spacing w:after="0"/>
              <w:jc w:val="right"/>
              <w:rPr>
                <w:noProof/>
                <w:sz w:val="20"/>
                <w:szCs w:val="20"/>
                <w:lang w:val="en-IE" w:eastAsia="en-IE"/>
              </w:rPr>
            </w:pPr>
            <w:r w:rsidRPr="0017544D">
              <w:rPr>
                <w:noProof/>
                <w:sz w:val="20"/>
                <w:szCs w:val="20"/>
              </w:rPr>
              <w:t xml:space="preserve"> -</w:t>
            </w:r>
          </w:p>
        </w:tc>
        <w:tc>
          <w:tcPr>
            <w:tcW w:w="1101" w:type="dxa"/>
            <w:noWrap/>
            <w:vAlign w:val="center"/>
          </w:tcPr>
          <w:p w14:paraId="0022C3AD"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50B97021"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750F893D"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r>
      <w:tr w:rsidR="001B745D" w:rsidRPr="000A7265" w14:paraId="0BD06A8E" w14:textId="77777777" w:rsidTr="00B05194">
        <w:trPr>
          <w:trHeight w:val="283"/>
        </w:trPr>
        <w:tc>
          <w:tcPr>
            <w:tcW w:w="2125" w:type="dxa"/>
            <w:noWrap/>
            <w:vAlign w:val="center"/>
            <w:hideMark/>
          </w:tcPr>
          <w:p w14:paraId="51F83C00" w14:textId="77777777" w:rsidR="001B745D" w:rsidRPr="00FA63C0" w:rsidRDefault="001B745D">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239" w:type="dxa"/>
          </w:tcPr>
          <w:p w14:paraId="3B22A5FD" w14:textId="24D71B08" w:rsidR="001B745D" w:rsidRPr="00FA63C0" w:rsidRDefault="004C0A9D">
            <w:pPr>
              <w:spacing w:after="0"/>
              <w:jc w:val="right"/>
              <w:rPr>
                <w:noProof/>
                <w:sz w:val="20"/>
                <w:szCs w:val="20"/>
                <w:lang w:val="en-IE" w:eastAsia="en-IE"/>
              </w:rPr>
            </w:pPr>
            <w:r w:rsidRPr="0065620B">
              <w:rPr>
                <w:noProof/>
                <w:sz w:val="20"/>
                <w:szCs w:val="20"/>
              </w:rPr>
              <w:t xml:space="preserve"> -</w:t>
            </w:r>
          </w:p>
        </w:tc>
        <w:tc>
          <w:tcPr>
            <w:tcW w:w="1178" w:type="dxa"/>
          </w:tcPr>
          <w:p w14:paraId="3B46BA85" w14:textId="47813FB1" w:rsidR="001B745D" w:rsidRPr="00FA63C0" w:rsidRDefault="004C0A9D">
            <w:pPr>
              <w:spacing w:after="0"/>
              <w:jc w:val="right"/>
              <w:rPr>
                <w:noProof/>
                <w:sz w:val="20"/>
                <w:szCs w:val="20"/>
                <w:lang w:val="en-IE" w:eastAsia="en-IE"/>
              </w:rPr>
            </w:pPr>
            <w:r w:rsidRPr="00C87629">
              <w:rPr>
                <w:noProof/>
                <w:sz w:val="20"/>
                <w:szCs w:val="20"/>
              </w:rPr>
              <w:t xml:space="preserve"> -</w:t>
            </w:r>
          </w:p>
        </w:tc>
        <w:tc>
          <w:tcPr>
            <w:tcW w:w="1377" w:type="dxa"/>
          </w:tcPr>
          <w:p w14:paraId="236E5177" w14:textId="711809E4" w:rsidR="001B745D" w:rsidRPr="00FA63C0" w:rsidRDefault="004C0A9D">
            <w:pPr>
              <w:spacing w:after="0"/>
              <w:jc w:val="right"/>
              <w:rPr>
                <w:noProof/>
                <w:sz w:val="20"/>
                <w:szCs w:val="20"/>
                <w:lang w:val="en-IE" w:eastAsia="en-IE"/>
              </w:rPr>
            </w:pPr>
            <w:r w:rsidRPr="0017544D">
              <w:rPr>
                <w:noProof/>
                <w:sz w:val="20"/>
                <w:szCs w:val="20"/>
              </w:rPr>
              <w:t xml:space="preserve"> -</w:t>
            </w:r>
          </w:p>
        </w:tc>
        <w:tc>
          <w:tcPr>
            <w:tcW w:w="1101" w:type="dxa"/>
            <w:noWrap/>
            <w:vAlign w:val="center"/>
          </w:tcPr>
          <w:p w14:paraId="5A381134"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33F8E2F7"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6E27E6DC" w14:textId="77777777" w:rsidR="001B745D" w:rsidRPr="000A7265" w:rsidRDefault="001B745D" w:rsidP="00464CEA">
            <w:pPr>
              <w:spacing w:after="0"/>
              <w:jc w:val="right"/>
              <w:rPr>
                <w:noProof/>
                <w:sz w:val="20"/>
                <w:szCs w:val="20"/>
                <w:lang w:val="en-IE" w:eastAsia="en-IE"/>
              </w:rPr>
            </w:pPr>
            <w:r w:rsidRPr="00FA63C0">
              <w:rPr>
                <w:noProof/>
                <w:sz w:val="20"/>
                <w:szCs w:val="20"/>
              </w:rPr>
              <w:t xml:space="preserve"> -   </w:t>
            </w:r>
          </w:p>
        </w:tc>
      </w:tr>
      <w:tr w:rsidR="001B745D" w:rsidRPr="00A53ED9" w14:paraId="0245DFC4" w14:textId="77777777" w:rsidTr="00B05194">
        <w:trPr>
          <w:trHeight w:val="283"/>
        </w:trPr>
        <w:tc>
          <w:tcPr>
            <w:tcW w:w="2125" w:type="dxa"/>
            <w:noWrap/>
            <w:vAlign w:val="center"/>
            <w:hideMark/>
          </w:tcPr>
          <w:p w14:paraId="55947AF6" w14:textId="77777777" w:rsidR="001B745D" w:rsidRPr="00FA63C0" w:rsidRDefault="001B745D" w:rsidP="001B745D">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239" w:type="dxa"/>
          </w:tcPr>
          <w:p w14:paraId="3C3E241B" w14:textId="6B34C710" w:rsidR="001B745D" w:rsidRPr="00FA63C0" w:rsidRDefault="004C0A9D" w:rsidP="001B745D">
            <w:pPr>
              <w:spacing w:after="0"/>
              <w:jc w:val="right"/>
              <w:rPr>
                <w:noProof/>
                <w:sz w:val="20"/>
                <w:szCs w:val="20"/>
                <w:lang w:val="en-IE" w:eastAsia="en-IE"/>
              </w:rPr>
            </w:pPr>
            <w:r w:rsidRPr="0065620B">
              <w:rPr>
                <w:noProof/>
                <w:sz w:val="20"/>
                <w:szCs w:val="20"/>
              </w:rPr>
              <w:t xml:space="preserve"> -</w:t>
            </w:r>
          </w:p>
        </w:tc>
        <w:tc>
          <w:tcPr>
            <w:tcW w:w="1178" w:type="dxa"/>
          </w:tcPr>
          <w:p w14:paraId="36FBF980" w14:textId="447548AF" w:rsidR="001B745D" w:rsidRPr="00FA63C0" w:rsidRDefault="004C0A9D" w:rsidP="001B745D">
            <w:pPr>
              <w:spacing w:after="0"/>
              <w:jc w:val="right"/>
              <w:rPr>
                <w:noProof/>
                <w:sz w:val="20"/>
                <w:szCs w:val="20"/>
                <w:lang w:val="en-IE" w:eastAsia="en-IE"/>
              </w:rPr>
            </w:pPr>
            <w:r w:rsidRPr="00C87629">
              <w:rPr>
                <w:noProof/>
                <w:sz w:val="20"/>
                <w:szCs w:val="20"/>
              </w:rPr>
              <w:t xml:space="preserve"> -</w:t>
            </w:r>
          </w:p>
        </w:tc>
        <w:tc>
          <w:tcPr>
            <w:tcW w:w="1377" w:type="dxa"/>
          </w:tcPr>
          <w:p w14:paraId="7B9F673B" w14:textId="42405A87" w:rsidR="001B745D" w:rsidRPr="00FA63C0" w:rsidRDefault="004C0A9D" w:rsidP="001B745D">
            <w:pPr>
              <w:spacing w:after="0"/>
              <w:jc w:val="right"/>
              <w:rPr>
                <w:noProof/>
                <w:sz w:val="20"/>
                <w:szCs w:val="20"/>
                <w:lang w:val="en-IE" w:eastAsia="en-IE"/>
              </w:rPr>
            </w:pPr>
            <w:r w:rsidRPr="0017544D">
              <w:rPr>
                <w:noProof/>
                <w:sz w:val="20"/>
                <w:szCs w:val="20"/>
              </w:rPr>
              <w:t xml:space="preserve"> -</w:t>
            </w:r>
          </w:p>
        </w:tc>
        <w:tc>
          <w:tcPr>
            <w:tcW w:w="1101" w:type="dxa"/>
            <w:noWrap/>
            <w:vAlign w:val="center"/>
          </w:tcPr>
          <w:p w14:paraId="2D484A6E" w14:textId="3E22686E" w:rsidR="001B745D" w:rsidRPr="00C44537" w:rsidRDefault="001B745D" w:rsidP="00464CEA">
            <w:pPr>
              <w:spacing w:after="0"/>
              <w:jc w:val="right"/>
              <w:rPr>
                <w:noProof/>
                <w:sz w:val="20"/>
                <w:szCs w:val="20"/>
                <w:lang w:val="en-IE" w:eastAsia="en-IE"/>
              </w:rPr>
            </w:pPr>
            <w:r w:rsidRPr="00FA63C0">
              <w:rPr>
                <w:noProof/>
                <w:sz w:val="20"/>
                <w:szCs w:val="20"/>
              </w:rPr>
              <w:t xml:space="preserve"> -   </w:t>
            </w:r>
          </w:p>
        </w:tc>
        <w:tc>
          <w:tcPr>
            <w:tcW w:w="1135" w:type="dxa"/>
            <w:noWrap/>
            <w:vAlign w:val="center"/>
          </w:tcPr>
          <w:p w14:paraId="495C2B83" w14:textId="490D2AFD" w:rsidR="001B745D" w:rsidRPr="00C44537" w:rsidRDefault="001B745D" w:rsidP="00464CEA">
            <w:pPr>
              <w:spacing w:after="0"/>
              <w:jc w:val="right"/>
              <w:rPr>
                <w:noProof/>
                <w:sz w:val="20"/>
                <w:szCs w:val="20"/>
                <w:lang w:val="en-IE" w:eastAsia="en-IE"/>
              </w:rPr>
            </w:pPr>
            <w:r w:rsidRPr="00FA63C0">
              <w:rPr>
                <w:noProof/>
                <w:sz w:val="20"/>
                <w:szCs w:val="20"/>
              </w:rPr>
              <w:t xml:space="preserve">-   </w:t>
            </w:r>
          </w:p>
        </w:tc>
        <w:tc>
          <w:tcPr>
            <w:tcW w:w="1343" w:type="dxa"/>
            <w:noWrap/>
            <w:vAlign w:val="center"/>
          </w:tcPr>
          <w:p w14:paraId="6FFE1A5A" w14:textId="1936FC63" w:rsidR="001B745D" w:rsidRPr="00C44537" w:rsidRDefault="001B745D" w:rsidP="00464CEA">
            <w:pPr>
              <w:spacing w:after="0"/>
              <w:jc w:val="right"/>
              <w:rPr>
                <w:noProof/>
                <w:sz w:val="20"/>
                <w:szCs w:val="20"/>
                <w:lang w:val="en-IE" w:eastAsia="en-IE"/>
              </w:rPr>
            </w:pPr>
            <w:r w:rsidRPr="00FA63C0">
              <w:rPr>
                <w:noProof/>
                <w:sz w:val="20"/>
                <w:szCs w:val="20"/>
              </w:rPr>
              <w:t xml:space="preserve"> -   </w:t>
            </w:r>
          </w:p>
        </w:tc>
      </w:tr>
      <w:tr w:rsidR="00464CEA" w:rsidRPr="00397C78" w14:paraId="373457DA" w14:textId="77777777" w:rsidTr="00B05194">
        <w:trPr>
          <w:trHeight w:val="283"/>
        </w:trPr>
        <w:tc>
          <w:tcPr>
            <w:tcW w:w="2125" w:type="dxa"/>
            <w:shd w:val="clear" w:color="auto" w:fill="F2DBDB" w:themeFill="accent2" w:themeFillTint="33"/>
            <w:noWrap/>
            <w:vAlign w:val="center"/>
            <w:hideMark/>
          </w:tcPr>
          <w:p w14:paraId="4DA6196D" w14:textId="77777777" w:rsidR="00464CEA" w:rsidRPr="00FA63C0" w:rsidRDefault="00464CEA" w:rsidP="00464CEA">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239" w:type="dxa"/>
            <w:shd w:val="clear" w:color="auto" w:fill="F2DBDB" w:themeFill="accent2" w:themeFillTint="33"/>
            <w:vAlign w:val="center"/>
          </w:tcPr>
          <w:p w14:paraId="782A3F6A" w14:textId="3A99D0A3" w:rsidR="00464CEA" w:rsidRPr="00FA63C0" w:rsidRDefault="004C0A9D" w:rsidP="00464CEA">
            <w:pPr>
              <w:spacing w:after="0"/>
              <w:jc w:val="right"/>
              <w:rPr>
                <w:b/>
                <w:bCs/>
                <w:noProof/>
                <w:sz w:val="20"/>
                <w:szCs w:val="20"/>
                <w:lang w:val="en-IE" w:eastAsia="en-IE"/>
              </w:rPr>
            </w:pPr>
            <w:r w:rsidRPr="007376F8">
              <w:rPr>
                <w:noProof/>
                <w:sz w:val="20"/>
                <w:szCs w:val="20"/>
                <w:lang w:val="en-IE" w:eastAsia="en-IE"/>
              </w:rPr>
              <w:t>12</w:t>
            </w:r>
            <w:r w:rsidR="000B6C20">
              <w:rPr>
                <w:noProof/>
                <w:sz w:val="20"/>
                <w:szCs w:val="20"/>
                <w:lang w:val="en-IE" w:eastAsia="en-IE"/>
              </w:rPr>
              <w:t xml:space="preserve"> </w:t>
            </w:r>
            <w:r w:rsidRPr="007376F8">
              <w:rPr>
                <w:noProof/>
                <w:sz w:val="20"/>
                <w:szCs w:val="20"/>
                <w:lang w:val="en-IE" w:eastAsia="en-IE"/>
              </w:rPr>
              <w:t>099</w:t>
            </w:r>
            <w:r w:rsidR="000B6C20">
              <w:rPr>
                <w:noProof/>
                <w:sz w:val="20"/>
                <w:szCs w:val="20"/>
                <w:lang w:val="en-IE" w:eastAsia="en-IE"/>
              </w:rPr>
              <w:t xml:space="preserve"> </w:t>
            </w:r>
            <w:r w:rsidRPr="007376F8">
              <w:rPr>
                <w:noProof/>
                <w:sz w:val="20"/>
                <w:szCs w:val="20"/>
                <w:lang w:val="en-IE" w:eastAsia="en-IE"/>
              </w:rPr>
              <w:t>496</w:t>
            </w:r>
          </w:p>
        </w:tc>
        <w:tc>
          <w:tcPr>
            <w:tcW w:w="1178" w:type="dxa"/>
            <w:shd w:val="clear" w:color="auto" w:fill="F2DBDB" w:themeFill="accent2" w:themeFillTint="33"/>
            <w:vAlign w:val="center"/>
          </w:tcPr>
          <w:p w14:paraId="07CFCE08" w14:textId="6A36ECE0" w:rsidR="00464CEA" w:rsidRPr="00FA63C0" w:rsidRDefault="004C0A9D" w:rsidP="00464CEA">
            <w:pPr>
              <w:spacing w:after="0"/>
              <w:jc w:val="right"/>
              <w:rPr>
                <w:b/>
                <w:bCs/>
                <w:noProof/>
                <w:sz w:val="20"/>
                <w:szCs w:val="20"/>
                <w:lang w:val="en-IE" w:eastAsia="en-IE"/>
              </w:rPr>
            </w:pPr>
            <w:r w:rsidRPr="004C0A9D">
              <w:rPr>
                <w:noProof/>
                <w:sz w:val="20"/>
                <w:szCs w:val="20"/>
                <w:lang w:val="en-IE" w:eastAsia="en-IE"/>
              </w:rPr>
              <w:t>1</w:t>
            </w:r>
            <w:r w:rsidR="000B6C20">
              <w:rPr>
                <w:noProof/>
                <w:sz w:val="20"/>
                <w:szCs w:val="20"/>
                <w:lang w:val="en-IE" w:eastAsia="en-IE"/>
              </w:rPr>
              <w:t xml:space="preserve"> </w:t>
            </w:r>
            <w:r w:rsidRPr="004C0A9D">
              <w:rPr>
                <w:noProof/>
                <w:sz w:val="20"/>
                <w:szCs w:val="20"/>
                <w:lang w:val="en-IE" w:eastAsia="en-IE"/>
              </w:rPr>
              <w:t>972</w:t>
            </w:r>
            <w:r w:rsidR="000B6C20">
              <w:rPr>
                <w:noProof/>
                <w:sz w:val="20"/>
                <w:szCs w:val="20"/>
                <w:lang w:val="en-IE" w:eastAsia="en-IE"/>
              </w:rPr>
              <w:t xml:space="preserve"> </w:t>
            </w:r>
            <w:r w:rsidRPr="004C0A9D">
              <w:rPr>
                <w:noProof/>
                <w:sz w:val="20"/>
                <w:szCs w:val="20"/>
                <w:lang w:val="en-IE" w:eastAsia="en-IE"/>
              </w:rPr>
              <w:t>376</w:t>
            </w:r>
          </w:p>
        </w:tc>
        <w:tc>
          <w:tcPr>
            <w:tcW w:w="1377" w:type="dxa"/>
            <w:shd w:val="clear" w:color="auto" w:fill="F2DBDB" w:themeFill="accent2" w:themeFillTint="33"/>
            <w:vAlign w:val="center"/>
          </w:tcPr>
          <w:p w14:paraId="4A1FBA95" w14:textId="405BB9FA" w:rsidR="00464CEA" w:rsidRPr="00FA63C0" w:rsidRDefault="004C0A9D" w:rsidP="00464CEA">
            <w:pPr>
              <w:spacing w:after="0"/>
              <w:jc w:val="right"/>
              <w:rPr>
                <w:b/>
                <w:bCs/>
                <w:noProof/>
                <w:sz w:val="20"/>
                <w:szCs w:val="20"/>
                <w:lang w:val="en-IE" w:eastAsia="en-IE"/>
              </w:rPr>
            </w:pPr>
            <w:r w:rsidRPr="00AE42B0">
              <w:rPr>
                <w:noProof/>
                <w:sz w:val="20"/>
                <w:szCs w:val="20"/>
                <w:lang w:val="en-IE" w:eastAsia="en-IE"/>
              </w:rPr>
              <w:t>4</w:t>
            </w:r>
            <w:r w:rsidR="000B6C20">
              <w:rPr>
                <w:noProof/>
                <w:sz w:val="20"/>
                <w:szCs w:val="20"/>
                <w:lang w:val="en-IE" w:eastAsia="en-IE"/>
              </w:rPr>
              <w:t xml:space="preserve"> </w:t>
            </w:r>
            <w:r w:rsidRPr="00AE42B0">
              <w:rPr>
                <w:noProof/>
                <w:sz w:val="20"/>
                <w:szCs w:val="20"/>
                <w:lang w:val="en-IE" w:eastAsia="en-IE"/>
              </w:rPr>
              <w:t>594</w:t>
            </w:r>
            <w:r w:rsidR="000B6C20">
              <w:rPr>
                <w:noProof/>
                <w:sz w:val="20"/>
                <w:szCs w:val="20"/>
                <w:lang w:val="en-IE" w:eastAsia="en-IE"/>
              </w:rPr>
              <w:t xml:space="preserve"> </w:t>
            </w:r>
            <w:r w:rsidRPr="00AE42B0">
              <w:rPr>
                <w:noProof/>
                <w:sz w:val="20"/>
                <w:szCs w:val="20"/>
                <w:lang w:val="en-IE" w:eastAsia="en-IE"/>
              </w:rPr>
              <w:t>816</w:t>
            </w:r>
          </w:p>
        </w:tc>
        <w:tc>
          <w:tcPr>
            <w:tcW w:w="1101" w:type="dxa"/>
            <w:shd w:val="clear" w:color="auto" w:fill="F2DBDB" w:themeFill="accent2" w:themeFillTint="33"/>
            <w:noWrap/>
            <w:vAlign w:val="center"/>
          </w:tcPr>
          <w:p w14:paraId="3E45D061" w14:textId="05C9B90A" w:rsidR="00464CEA" w:rsidRPr="00464CEA" w:rsidRDefault="00464CEA" w:rsidP="00464CEA">
            <w:pPr>
              <w:spacing w:after="0"/>
              <w:jc w:val="right"/>
              <w:rPr>
                <w:noProof/>
                <w:sz w:val="20"/>
                <w:szCs w:val="20"/>
              </w:rPr>
            </w:pPr>
            <w:r w:rsidRPr="00FA698A">
              <w:rPr>
                <w:noProof/>
                <w:sz w:val="20"/>
                <w:szCs w:val="20"/>
              </w:rPr>
              <w:t xml:space="preserve"> 18 666 687 </w:t>
            </w:r>
          </w:p>
        </w:tc>
        <w:tc>
          <w:tcPr>
            <w:tcW w:w="1135" w:type="dxa"/>
            <w:shd w:val="clear" w:color="auto" w:fill="F2DBDB" w:themeFill="accent2" w:themeFillTint="33"/>
            <w:noWrap/>
            <w:vAlign w:val="center"/>
          </w:tcPr>
          <w:p w14:paraId="1757E272" w14:textId="01A404CB" w:rsidR="00464CEA" w:rsidRPr="00464CEA" w:rsidRDefault="00464CEA" w:rsidP="00464CEA">
            <w:pPr>
              <w:spacing w:after="0"/>
              <w:jc w:val="right"/>
              <w:rPr>
                <w:noProof/>
                <w:sz w:val="20"/>
                <w:szCs w:val="20"/>
              </w:rPr>
            </w:pPr>
            <w:r w:rsidRPr="00FA698A">
              <w:rPr>
                <w:noProof/>
                <w:sz w:val="20"/>
                <w:szCs w:val="20"/>
              </w:rPr>
              <w:t xml:space="preserve"> 18 666 687 </w:t>
            </w:r>
          </w:p>
        </w:tc>
        <w:tc>
          <w:tcPr>
            <w:tcW w:w="1343" w:type="dxa"/>
            <w:shd w:val="clear" w:color="auto" w:fill="F2DBDB" w:themeFill="accent2" w:themeFillTint="33"/>
            <w:noWrap/>
            <w:vAlign w:val="center"/>
          </w:tcPr>
          <w:p w14:paraId="2196F4A6" w14:textId="38DA708D" w:rsidR="00464CEA" w:rsidRPr="00464CEA" w:rsidRDefault="00464CEA" w:rsidP="00464CEA">
            <w:pPr>
              <w:spacing w:after="0"/>
              <w:jc w:val="right"/>
              <w:rPr>
                <w:noProof/>
                <w:sz w:val="20"/>
                <w:szCs w:val="20"/>
              </w:rPr>
            </w:pPr>
            <w:r w:rsidRPr="00FA698A">
              <w:rPr>
                <w:noProof/>
                <w:sz w:val="20"/>
                <w:szCs w:val="20"/>
                <w:shd w:val="clear" w:color="auto" w:fill="F2DBDB" w:themeFill="accent2" w:themeFillTint="33"/>
              </w:rPr>
              <w:t xml:space="preserve"> 18 666</w:t>
            </w:r>
            <w:r w:rsidRPr="00FA698A">
              <w:rPr>
                <w:noProof/>
                <w:sz w:val="20"/>
                <w:szCs w:val="20"/>
              </w:rPr>
              <w:t xml:space="preserve"> 687 </w:t>
            </w:r>
          </w:p>
        </w:tc>
      </w:tr>
      <w:tr w:rsidR="00464CEA" w:rsidRPr="007B1859" w14:paraId="5536CD53" w14:textId="77777777" w:rsidTr="00B05194">
        <w:trPr>
          <w:trHeight w:val="283"/>
        </w:trPr>
        <w:tc>
          <w:tcPr>
            <w:tcW w:w="2125" w:type="dxa"/>
            <w:shd w:val="clear" w:color="auto" w:fill="EAF1DD" w:themeFill="accent3" w:themeFillTint="33"/>
            <w:noWrap/>
            <w:vAlign w:val="center"/>
            <w:hideMark/>
          </w:tcPr>
          <w:p w14:paraId="6E1B0DF9" w14:textId="77777777" w:rsidR="00464CEA" w:rsidRPr="00FA63C0" w:rsidRDefault="00464CEA" w:rsidP="00464CEA">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239" w:type="dxa"/>
            <w:shd w:val="clear" w:color="auto" w:fill="EAF1DD" w:themeFill="accent3" w:themeFillTint="33"/>
            <w:vAlign w:val="center"/>
          </w:tcPr>
          <w:p w14:paraId="1EF40A1C" w14:textId="45BA572E" w:rsidR="00464CEA" w:rsidRPr="00FA63C0" w:rsidRDefault="004C0A9D" w:rsidP="00464CEA">
            <w:pPr>
              <w:spacing w:after="0"/>
              <w:jc w:val="right"/>
              <w:rPr>
                <w:b/>
                <w:bCs/>
                <w:noProof/>
                <w:sz w:val="20"/>
                <w:szCs w:val="20"/>
                <w:lang w:val="en-IE" w:eastAsia="en-IE"/>
              </w:rPr>
            </w:pPr>
            <w:r w:rsidRPr="00FA63C0">
              <w:rPr>
                <w:noProof/>
                <w:sz w:val="20"/>
                <w:szCs w:val="20"/>
              </w:rPr>
              <w:t>-</w:t>
            </w:r>
          </w:p>
        </w:tc>
        <w:tc>
          <w:tcPr>
            <w:tcW w:w="1178" w:type="dxa"/>
            <w:shd w:val="clear" w:color="auto" w:fill="EAF1DD" w:themeFill="accent3" w:themeFillTint="33"/>
            <w:vAlign w:val="center"/>
          </w:tcPr>
          <w:p w14:paraId="1334A95E" w14:textId="03249E4B" w:rsidR="00464CEA" w:rsidRPr="00FA63C0" w:rsidRDefault="004C0A9D" w:rsidP="00464CEA">
            <w:pPr>
              <w:spacing w:after="0"/>
              <w:jc w:val="right"/>
              <w:rPr>
                <w:b/>
                <w:bCs/>
                <w:noProof/>
                <w:sz w:val="20"/>
                <w:szCs w:val="20"/>
                <w:lang w:val="en-IE" w:eastAsia="en-IE"/>
              </w:rPr>
            </w:pPr>
            <w:r w:rsidRPr="00FA63C0">
              <w:rPr>
                <w:noProof/>
                <w:sz w:val="20"/>
                <w:szCs w:val="20"/>
              </w:rPr>
              <w:t>-</w:t>
            </w:r>
          </w:p>
        </w:tc>
        <w:tc>
          <w:tcPr>
            <w:tcW w:w="1377" w:type="dxa"/>
            <w:shd w:val="clear" w:color="auto" w:fill="EAF1DD" w:themeFill="accent3" w:themeFillTint="33"/>
            <w:vAlign w:val="center"/>
          </w:tcPr>
          <w:p w14:paraId="665242C7" w14:textId="0C9D5E5D" w:rsidR="00464CEA" w:rsidRPr="00FA63C0" w:rsidRDefault="004C0A9D" w:rsidP="00464CEA">
            <w:pPr>
              <w:spacing w:after="0"/>
              <w:jc w:val="right"/>
              <w:rPr>
                <w:b/>
                <w:bCs/>
                <w:noProof/>
                <w:sz w:val="20"/>
                <w:szCs w:val="20"/>
                <w:lang w:val="en-IE" w:eastAsia="en-IE"/>
              </w:rPr>
            </w:pPr>
            <w:r w:rsidRPr="00FA63C0">
              <w:rPr>
                <w:noProof/>
                <w:sz w:val="20"/>
                <w:szCs w:val="20"/>
              </w:rPr>
              <w:t>-</w:t>
            </w:r>
          </w:p>
        </w:tc>
        <w:tc>
          <w:tcPr>
            <w:tcW w:w="1101" w:type="dxa"/>
            <w:shd w:val="clear" w:color="auto" w:fill="EAF1DD" w:themeFill="accent3" w:themeFillTint="33"/>
            <w:noWrap/>
            <w:vAlign w:val="center"/>
          </w:tcPr>
          <w:p w14:paraId="7CD8BF01" w14:textId="176C8EFB" w:rsidR="00464CEA" w:rsidRPr="007B1859" w:rsidRDefault="00464CEA" w:rsidP="00464CEA">
            <w:pPr>
              <w:spacing w:after="0"/>
              <w:jc w:val="right"/>
              <w:rPr>
                <w:noProof/>
                <w:sz w:val="20"/>
                <w:szCs w:val="20"/>
                <w:lang w:val="en-IE" w:eastAsia="en-IE"/>
              </w:rPr>
            </w:pPr>
            <w:r w:rsidRPr="00FA63C0">
              <w:rPr>
                <w:noProof/>
                <w:sz w:val="20"/>
                <w:szCs w:val="20"/>
              </w:rPr>
              <w:t xml:space="preserve"> -   </w:t>
            </w:r>
          </w:p>
        </w:tc>
        <w:tc>
          <w:tcPr>
            <w:tcW w:w="1135" w:type="dxa"/>
            <w:shd w:val="clear" w:color="auto" w:fill="EAF1DD" w:themeFill="accent3" w:themeFillTint="33"/>
            <w:noWrap/>
            <w:vAlign w:val="center"/>
          </w:tcPr>
          <w:p w14:paraId="22248D17" w14:textId="3AB5E9A8" w:rsidR="00464CEA" w:rsidRPr="007B1859" w:rsidRDefault="00464CEA" w:rsidP="00464CEA">
            <w:pPr>
              <w:spacing w:after="0"/>
              <w:jc w:val="right"/>
              <w:rPr>
                <w:noProof/>
                <w:sz w:val="20"/>
                <w:szCs w:val="20"/>
                <w:lang w:val="en-IE" w:eastAsia="en-IE"/>
              </w:rPr>
            </w:pPr>
            <w:r w:rsidRPr="00FA63C0">
              <w:rPr>
                <w:noProof/>
                <w:sz w:val="20"/>
                <w:szCs w:val="20"/>
              </w:rPr>
              <w:t xml:space="preserve">-   </w:t>
            </w:r>
          </w:p>
        </w:tc>
        <w:tc>
          <w:tcPr>
            <w:tcW w:w="1343" w:type="dxa"/>
            <w:shd w:val="clear" w:color="auto" w:fill="EAF1DD" w:themeFill="accent3" w:themeFillTint="33"/>
            <w:noWrap/>
            <w:vAlign w:val="center"/>
          </w:tcPr>
          <w:p w14:paraId="6F456B6B" w14:textId="6FD1ADE4" w:rsidR="00464CEA" w:rsidRPr="007B1859" w:rsidRDefault="00464CEA" w:rsidP="00464CEA">
            <w:pPr>
              <w:spacing w:after="0"/>
              <w:jc w:val="right"/>
              <w:rPr>
                <w:noProof/>
                <w:sz w:val="20"/>
                <w:szCs w:val="20"/>
                <w:lang w:val="en-IE" w:eastAsia="en-IE"/>
              </w:rPr>
            </w:pPr>
            <w:r w:rsidRPr="00FA63C0">
              <w:rPr>
                <w:noProof/>
                <w:sz w:val="20"/>
                <w:szCs w:val="20"/>
              </w:rPr>
              <w:t xml:space="preserve"> -   </w:t>
            </w:r>
          </w:p>
        </w:tc>
      </w:tr>
      <w:tr w:rsidR="00D47BB9" w:rsidRPr="007C40E5" w14:paraId="7190A464" w14:textId="77777777" w:rsidTr="00B05194">
        <w:trPr>
          <w:trHeight w:val="283"/>
        </w:trPr>
        <w:tc>
          <w:tcPr>
            <w:tcW w:w="2125" w:type="dxa"/>
            <w:shd w:val="clear" w:color="auto" w:fill="F2F2F2" w:themeFill="background1" w:themeFillShade="F2"/>
            <w:noWrap/>
            <w:vAlign w:val="center"/>
            <w:hideMark/>
          </w:tcPr>
          <w:p w14:paraId="326FC0E5" w14:textId="77777777" w:rsidR="00464CEA" w:rsidRPr="00FA63C0" w:rsidRDefault="00464CEA" w:rsidP="00464CEA">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239" w:type="dxa"/>
            <w:shd w:val="clear" w:color="auto" w:fill="F2F2F2" w:themeFill="background1" w:themeFillShade="F2"/>
            <w:vAlign w:val="center"/>
          </w:tcPr>
          <w:p w14:paraId="0447DF92" w14:textId="79F27592" w:rsidR="00464CEA" w:rsidRPr="00FA63C0" w:rsidRDefault="004C0A9D" w:rsidP="00464CEA">
            <w:pPr>
              <w:spacing w:after="0"/>
              <w:jc w:val="right"/>
              <w:rPr>
                <w:b/>
                <w:bCs/>
                <w:noProof/>
                <w:sz w:val="20"/>
                <w:szCs w:val="20"/>
                <w:lang w:val="en-IE" w:eastAsia="en-IE"/>
              </w:rPr>
            </w:pPr>
            <w:r w:rsidRPr="00FA698A">
              <w:rPr>
                <w:b/>
                <w:noProof/>
                <w:sz w:val="20"/>
                <w:szCs w:val="20"/>
                <w:lang w:val="en-IE" w:eastAsia="en-IE"/>
              </w:rPr>
              <w:t>12</w:t>
            </w:r>
            <w:r w:rsidR="000B6C20" w:rsidRPr="00FA698A">
              <w:rPr>
                <w:b/>
                <w:noProof/>
                <w:sz w:val="20"/>
                <w:szCs w:val="20"/>
                <w:lang w:val="en-IE" w:eastAsia="en-IE"/>
              </w:rPr>
              <w:t xml:space="preserve"> </w:t>
            </w:r>
            <w:r w:rsidRPr="00FA698A">
              <w:rPr>
                <w:b/>
                <w:noProof/>
                <w:sz w:val="20"/>
                <w:szCs w:val="20"/>
                <w:lang w:val="en-IE" w:eastAsia="en-IE"/>
              </w:rPr>
              <w:t>099</w:t>
            </w:r>
            <w:r w:rsidR="000B6C20" w:rsidRPr="00FA698A">
              <w:rPr>
                <w:b/>
                <w:noProof/>
                <w:sz w:val="20"/>
                <w:szCs w:val="20"/>
                <w:lang w:val="en-IE" w:eastAsia="en-IE"/>
              </w:rPr>
              <w:t xml:space="preserve"> </w:t>
            </w:r>
            <w:r w:rsidRPr="00FA698A">
              <w:rPr>
                <w:b/>
                <w:noProof/>
                <w:sz w:val="20"/>
                <w:szCs w:val="20"/>
                <w:lang w:val="en-IE" w:eastAsia="en-IE"/>
              </w:rPr>
              <w:t>496</w:t>
            </w:r>
          </w:p>
        </w:tc>
        <w:tc>
          <w:tcPr>
            <w:tcW w:w="1178" w:type="dxa"/>
            <w:shd w:val="clear" w:color="auto" w:fill="F2F2F2" w:themeFill="background1" w:themeFillShade="F2"/>
            <w:vAlign w:val="center"/>
          </w:tcPr>
          <w:p w14:paraId="5458975D" w14:textId="236DCB26" w:rsidR="00464CEA" w:rsidRPr="00FA63C0" w:rsidRDefault="004C0A9D" w:rsidP="00464CEA">
            <w:pPr>
              <w:spacing w:after="0"/>
              <w:jc w:val="right"/>
              <w:rPr>
                <w:b/>
                <w:bCs/>
                <w:noProof/>
                <w:sz w:val="20"/>
                <w:szCs w:val="20"/>
                <w:lang w:val="en-IE" w:eastAsia="en-IE"/>
              </w:rPr>
            </w:pPr>
            <w:r w:rsidRPr="00FA698A">
              <w:rPr>
                <w:b/>
                <w:noProof/>
                <w:sz w:val="20"/>
                <w:szCs w:val="20"/>
                <w:lang w:val="en-IE" w:eastAsia="en-IE"/>
              </w:rPr>
              <w:t>1</w:t>
            </w:r>
            <w:r w:rsidR="000B6C20" w:rsidRPr="00FA698A">
              <w:rPr>
                <w:b/>
                <w:noProof/>
                <w:sz w:val="20"/>
                <w:szCs w:val="20"/>
                <w:lang w:val="en-IE" w:eastAsia="en-IE"/>
              </w:rPr>
              <w:t xml:space="preserve"> </w:t>
            </w:r>
            <w:r w:rsidRPr="00FA698A">
              <w:rPr>
                <w:b/>
                <w:noProof/>
                <w:sz w:val="20"/>
                <w:szCs w:val="20"/>
                <w:lang w:val="en-IE" w:eastAsia="en-IE"/>
              </w:rPr>
              <w:t>972</w:t>
            </w:r>
            <w:r w:rsidR="000B6C20" w:rsidRPr="00FA698A">
              <w:rPr>
                <w:b/>
                <w:noProof/>
                <w:sz w:val="20"/>
                <w:szCs w:val="20"/>
                <w:lang w:val="en-IE" w:eastAsia="en-IE"/>
              </w:rPr>
              <w:t xml:space="preserve"> </w:t>
            </w:r>
            <w:r w:rsidRPr="00FA698A">
              <w:rPr>
                <w:b/>
                <w:noProof/>
                <w:sz w:val="20"/>
                <w:szCs w:val="20"/>
                <w:lang w:val="en-IE" w:eastAsia="en-IE"/>
              </w:rPr>
              <w:t>376</w:t>
            </w:r>
          </w:p>
        </w:tc>
        <w:tc>
          <w:tcPr>
            <w:tcW w:w="1377" w:type="dxa"/>
            <w:shd w:val="clear" w:color="auto" w:fill="F2F2F2" w:themeFill="background1" w:themeFillShade="F2"/>
            <w:vAlign w:val="center"/>
          </w:tcPr>
          <w:p w14:paraId="65B3B4E2" w14:textId="2711BCDF" w:rsidR="00464CEA" w:rsidRPr="00FA63C0" w:rsidRDefault="004C0A9D" w:rsidP="00464CEA">
            <w:pPr>
              <w:spacing w:after="0"/>
              <w:jc w:val="right"/>
              <w:rPr>
                <w:b/>
                <w:bCs/>
                <w:noProof/>
                <w:sz w:val="20"/>
                <w:szCs w:val="20"/>
                <w:lang w:val="en-IE" w:eastAsia="en-IE"/>
              </w:rPr>
            </w:pPr>
            <w:r w:rsidRPr="00FA698A">
              <w:rPr>
                <w:b/>
                <w:noProof/>
                <w:sz w:val="20"/>
                <w:szCs w:val="20"/>
                <w:lang w:val="en-IE" w:eastAsia="en-IE"/>
              </w:rPr>
              <w:t>4</w:t>
            </w:r>
            <w:r w:rsidR="000B6C20" w:rsidRPr="00FA698A">
              <w:rPr>
                <w:b/>
                <w:noProof/>
                <w:sz w:val="20"/>
                <w:szCs w:val="20"/>
                <w:lang w:val="en-IE" w:eastAsia="en-IE"/>
              </w:rPr>
              <w:t xml:space="preserve"> </w:t>
            </w:r>
            <w:r w:rsidRPr="00FA698A">
              <w:rPr>
                <w:b/>
                <w:noProof/>
                <w:sz w:val="20"/>
                <w:szCs w:val="20"/>
                <w:lang w:val="en-IE" w:eastAsia="en-IE"/>
              </w:rPr>
              <w:t>594</w:t>
            </w:r>
            <w:r w:rsidR="000B6C20" w:rsidRPr="00FA698A">
              <w:rPr>
                <w:b/>
                <w:noProof/>
                <w:sz w:val="20"/>
                <w:szCs w:val="20"/>
                <w:lang w:val="en-IE" w:eastAsia="en-IE"/>
              </w:rPr>
              <w:t xml:space="preserve"> </w:t>
            </w:r>
            <w:r w:rsidRPr="00FA698A">
              <w:rPr>
                <w:b/>
                <w:noProof/>
                <w:sz w:val="20"/>
                <w:szCs w:val="20"/>
                <w:lang w:val="en-IE" w:eastAsia="en-IE"/>
              </w:rPr>
              <w:t>816</w:t>
            </w:r>
          </w:p>
        </w:tc>
        <w:tc>
          <w:tcPr>
            <w:tcW w:w="1101" w:type="dxa"/>
            <w:shd w:val="clear" w:color="auto" w:fill="F2F2F2" w:themeFill="background1" w:themeFillShade="F2"/>
            <w:noWrap/>
            <w:vAlign w:val="center"/>
          </w:tcPr>
          <w:p w14:paraId="3A2F23BC" w14:textId="7E44B48A" w:rsidR="00464CEA" w:rsidRPr="00464CEA" w:rsidRDefault="00464CEA" w:rsidP="00464CEA">
            <w:pPr>
              <w:spacing w:after="0"/>
              <w:jc w:val="right"/>
              <w:rPr>
                <w:b/>
                <w:bCs/>
                <w:noProof/>
                <w:sz w:val="20"/>
                <w:szCs w:val="20"/>
                <w:lang w:val="en-IE" w:eastAsia="en-IE"/>
              </w:rPr>
            </w:pPr>
            <w:r w:rsidRPr="00FA698A">
              <w:rPr>
                <w:b/>
                <w:noProof/>
                <w:sz w:val="20"/>
                <w:szCs w:val="20"/>
              </w:rPr>
              <w:t xml:space="preserve"> 18 666 687 </w:t>
            </w:r>
          </w:p>
        </w:tc>
        <w:tc>
          <w:tcPr>
            <w:tcW w:w="1135" w:type="dxa"/>
            <w:shd w:val="clear" w:color="auto" w:fill="F2F2F2" w:themeFill="background1" w:themeFillShade="F2"/>
            <w:noWrap/>
            <w:vAlign w:val="center"/>
          </w:tcPr>
          <w:p w14:paraId="3D7AB0C6" w14:textId="36AEEE3B" w:rsidR="00464CEA" w:rsidRPr="00464CEA" w:rsidRDefault="00464CEA" w:rsidP="00464CEA">
            <w:pPr>
              <w:spacing w:after="0"/>
              <w:jc w:val="right"/>
              <w:rPr>
                <w:b/>
                <w:bCs/>
                <w:noProof/>
                <w:sz w:val="20"/>
                <w:szCs w:val="20"/>
                <w:lang w:val="en-IE" w:eastAsia="en-IE"/>
              </w:rPr>
            </w:pPr>
            <w:r w:rsidRPr="00FA698A">
              <w:rPr>
                <w:b/>
                <w:noProof/>
                <w:sz w:val="20"/>
                <w:szCs w:val="20"/>
              </w:rPr>
              <w:t xml:space="preserve"> 18 666 687 </w:t>
            </w:r>
          </w:p>
        </w:tc>
        <w:tc>
          <w:tcPr>
            <w:tcW w:w="1343" w:type="dxa"/>
            <w:shd w:val="clear" w:color="auto" w:fill="F2F2F2" w:themeFill="background1" w:themeFillShade="F2"/>
            <w:noWrap/>
            <w:vAlign w:val="center"/>
          </w:tcPr>
          <w:p w14:paraId="26DC6EBA" w14:textId="540D5FA3" w:rsidR="00464CEA" w:rsidRPr="00464CEA" w:rsidRDefault="00464CEA" w:rsidP="00464CEA">
            <w:pPr>
              <w:spacing w:after="0"/>
              <w:jc w:val="right"/>
              <w:rPr>
                <w:b/>
                <w:bCs/>
                <w:noProof/>
                <w:sz w:val="20"/>
                <w:szCs w:val="20"/>
                <w:lang w:val="en-IE" w:eastAsia="en-IE"/>
              </w:rPr>
            </w:pPr>
            <w:r w:rsidRPr="00FA698A">
              <w:rPr>
                <w:b/>
                <w:noProof/>
                <w:sz w:val="20"/>
                <w:szCs w:val="20"/>
              </w:rPr>
              <w:t xml:space="preserve"> 18 666 687 </w:t>
            </w:r>
          </w:p>
        </w:tc>
      </w:tr>
    </w:tbl>
    <w:p w14:paraId="1D68967F" w14:textId="5FC34595" w:rsidR="00DC7EE7" w:rsidRPr="00F47498" w:rsidRDefault="00DC7EE7" w:rsidP="00FA698A">
      <w:pPr>
        <w:pStyle w:val="Heading2"/>
        <w:numPr>
          <w:ilvl w:val="1"/>
          <w:numId w:val="10"/>
        </w:numPr>
        <w:tabs>
          <w:tab w:val="num" w:pos="283"/>
        </w:tabs>
        <w:spacing w:before="240"/>
        <w:ind w:left="1202"/>
        <w:rPr>
          <w:b w:val="0"/>
          <w:noProof/>
        </w:rPr>
      </w:pPr>
      <w:bookmarkStart w:id="223" w:name="_Toc214519718"/>
      <w:bookmarkStart w:id="224" w:name="_Toc216283369"/>
      <w:bookmarkStart w:id="225" w:name="_Toc228346924"/>
      <w:r w:rsidRPr="000C524F">
        <w:rPr>
          <w:bCs/>
          <w:noProof/>
        </w:rPr>
        <w:t>PM14:</w:t>
      </w:r>
      <w:r w:rsidRPr="00F47498">
        <w:rPr>
          <w:b w:val="0"/>
          <w:noProof/>
        </w:rPr>
        <w:t xml:space="preserve"> </w:t>
      </w:r>
      <w:r w:rsidRPr="00823397">
        <w:rPr>
          <w:noProof/>
        </w:rPr>
        <w:t>Interoperability flanking measures</w:t>
      </w:r>
      <w:bookmarkEnd w:id="223"/>
      <w:bookmarkEnd w:id="224"/>
      <w:bookmarkEnd w:id="225"/>
    </w:p>
    <w:p w14:paraId="506251E3" w14:textId="5BF449FC" w:rsidR="00DC7EE7" w:rsidRPr="0007547C" w:rsidRDefault="00DC7EE7" w:rsidP="00DC7EE7">
      <w:pPr>
        <w:rPr>
          <w:noProof/>
        </w:rPr>
      </w:pPr>
      <w:r w:rsidRPr="0007547C">
        <w:rPr>
          <w:noProof/>
        </w:rPr>
        <w:t>Under this policy measure</w:t>
      </w:r>
      <w:r w:rsidR="00371D95">
        <w:rPr>
          <w:noProof/>
        </w:rPr>
        <w:t>,</w:t>
      </w:r>
      <w:r w:rsidRPr="0007547C">
        <w:rPr>
          <w:noProof/>
        </w:rPr>
        <w:t xml:space="preserve"> the goal is to prioritise the support and development of new harmonised standards under the Data Act in order to cover existing gaps </w:t>
      </w:r>
      <w:r w:rsidR="00371D95">
        <w:rPr>
          <w:noProof/>
        </w:rPr>
        <w:t>and</w:t>
      </w:r>
      <w:r w:rsidR="00371D95" w:rsidRPr="0007547C">
        <w:rPr>
          <w:noProof/>
        </w:rPr>
        <w:t xml:space="preserve"> </w:t>
      </w:r>
      <w:r w:rsidRPr="0007547C">
        <w:rPr>
          <w:noProof/>
        </w:rPr>
        <w:t>foster interoperability among cloud services.</w:t>
      </w:r>
    </w:p>
    <w:p w14:paraId="66EC63CE" w14:textId="74E84F3C" w:rsidR="00DC7EE7" w:rsidRPr="0007547C" w:rsidRDefault="00DC7EE7" w:rsidP="00DC7EE7">
      <w:pPr>
        <w:rPr>
          <w:noProof/>
        </w:rPr>
      </w:pPr>
      <w:r w:rsidRPr="0007547C">
        <w:rPr>
          <w:noProof/>
        </w:rPr>
        <w:t>This policy measures therefore focuses on three aspects. Firstly, a contract for supporting the Commission in continue analysing the gaps in standardisation, notably in PaaS and SaaS and creating awareness of this lack of harmonised standards. Secondly, on the creation and monitoring of coordination groups steered by the Commission with MS and industrial players for potential recommendations on the prioritisation of standard development. Thirdly, on the development of standards by European Standardisation Organisations (ESO). The conservative approach is that two standards will be developed and adopted yearly.</w:t>
      </w:r>
    </w:p>
    <w:p w14:paraId="15BDB6B9" w14:textId="4A00B10E" w:rsidR="00DC7EE7" w:rsidRPr="0007547C" w:rsidRDefault="00DC7EE7" w:rsidP="00DC7EE7">
      <w:pPr>
        <w:rPr>
          <w:noProof/>
        </w:rPr>
      </w:pPr>
      <w:r w:rsidRPr="0007547C">
        <w:rPr>
          <w:noProof/>
        </w:rPr>
        <w:t>The application of the standards is out of the scope of the current policy measure.</w:t>
      </w:r>
    </w:p>
    <w:p w14:paraId="2A17855D" w14:textId="3F3C279E" w:rsidR="00DC7EE7" w:rsidRPr="0007547C" w:rsidRDefault="00DC7EE7" w:rsidP="00DC7EE7">
      <w:pPr>
        <w:rPr>
          <w:noProof/>
        </w:rPr>
      </w:pPr>
      <w:r w:rsidRPr="0007547C">
        <w:rPr>
          <w:b/>
          <w:i/>
          <w:noProof/>
        </w:rPr>
        <w:t>One-off adjustment costs for the European Commission</w:t>
      </w:r>
      <w:r w:rsidRPr="0007547C">
        <w:rPr>
          <w:noProof/>
        </w:rPr>
        <w:t xml:space="preserve"> are related to the budget reserved for the contract on carrying out the studies (</w:t>
      </w:r>
      <w:r>
        <w:rPr>
          <w:noProof/>
        </w:rPr>
        <w:t>EUR 2</w:t>
      </w:r>
      <w:r w:rsidRPr="0007547C">
        <w:rPr>
          <w:noProof/>
        </w:rPr>
        <w:t>00</w:t>
      </w:r>
      <w:r w:rsidR="008A522B">
        <w:rPr>
          <w:noProof/>
        </w:rPr>
        <w:t xml:space="preserve"> </w:t>
      </w:r>
      <w:r w:rsidRPr="0007547C">
        <w:rPr>
          <w:noProof/>
        </w:rPr>
        <w:t>000) as well as for drafting the specifications (0.25 FTE).</w:t>
      </w:r>
      <w:r w:rsidR="001D2AF6">
        <w:rPr>
          <w:noProof/>
        </w:rPr>
        <w:t xml:space="preserve"> It also includes an external study on portability of AI models, valued at EUR 200000.</w:t>
      </w:r>
    </w:p>
    <w:p w14:paraId="7EBFB122" w14:textId="77777777" w:rsidR="00F530D8" w:rsidRPr="007E2AB2" w:rsidRDefault="00F530D8" w:rsidP="00D81943">
      <w:pPr>
        <w:jc w:val="center"/>
        <w:rPr>
          <w:i/>
          <w:iCs/>
          <w:noProof/>
        </w:rPr>
      </w:pPr>
      <w:r w:rsidRPr="007E2AB2">
        <w:rPr>
          <w:i/>
          <w:iCs/>
          <w:noProof/>
        </w:rPr>
        <w:t>One-off adjustment costs = external study + (effort for drafting the specifications * labour costs)</w:t>
      </w:r>
      <w:r>
        <w:rPr>
          <w:i/>
          <w:iCs/>
          <w:noProof/>
        </w:rPr>
        <w:t xml:space="preserve"> + study on portability of AI models</w:t>
      </w:r>
    </w:p>
    <w:p w14:paraId="6364166D" w14:textId="65EADBA9" w:rsidR="00DC7EE7" w:rsidRPr="0007547C" w:rsidRDefault="00DC7EE7" w:rsidP="00DC7EE7">
      <w:pPr>
        <w:rPr>
          <w:noProof/>
        </w:rPr>
      </w:pPr>
      <w:r w:rsidRPr="0007547C">
        <w:rPr>
          <w:b/>
          <w:i/>
          <w:noProof/>
        </w:rPr>
        <w:t>One-off administrative costs for the European Commission</w:t>
      </w:r>
      <w:r w:rsidRPr="0007547C">
        <w:rPr>
          <w:noProof/>
        </w:rPr>
        <w:t xml:space="preserve"> stem from the setting up of the coordination group, which would hold participants coming from the industry and MS</w:t>
      </w:r>
      <w:r w:rsidR="000E0715">
        <w:rPr>
          <w:noProof/>
        </w:rPr>
        <w:t>, estimated in 2 FTEs</w:t>
      </w:r>
      <w:r w:rsidRPr="0007547C">
        <w:rPr>
          <w:noProof/>
        </w:rPr>
        <w:t xml:space="preserve">. </w:t>
      </w:r>
    </w:p>
    <w:p w14:paraId="267AE130" w14:textId="77777777" w:rsidR="00697994" w:rsidRPr="007E2AB2" w:rsidRDefault="00697994" w:rsidP="00D81943">
      <w:pPr>
        <w:jc w:val="center"/>
        <w:rPr>
          <w:i/>
          <w:iCs/>
          <w:noProof/>
        </w:rPr>
      </w:pPr>
      <w:r w:rsidRPr="007E2AB2">
        <w:rPr>
          <w:i/>
          <w:iCs/>
          <w:noProof/>
        </w:rPr>
        <w:t>One-off administrative costs = effort to set up the coordination group * labour costs</w:t>
      </w:r>
    </w:p>
    <w:p w14:paraId="11BD450B" w14:textId="793B2F48" w:rsidR="00DC7EE7" w:rsidRPr="0007547C" w:rsidRDefault="00DC7EE7" w:rsidP="00DC7EE7">
      <w:pPr>
        <w:rPr>
          <w:noProof/>
        </w:rPr>
      </w:pPr>
      <w:r w:rsidRPr="0007547C">
        <w:rPr>
          <w:b/>
          <w:i/>
          <w:noProof/>
        </w:rPr>
        <w:t>Recurrent administrative costs for the European Commission</w:t>
      </w:r>
      <w:r w:rsidRPr="0007547C">
        <w:rPr>
          <w:b/>
          <w:noProof/>
        </w:rPr>
        <w:t xml:space="preserve"> </w:t>
      </w:r>
      <w:r w:rsidRPr="0007547C">
        <w:rPr>
          <w:noProof/>
        </w:rPr>
        <w:t xml:space="preserve">include, firstly, the administrative support for the coordination of standards, both in the coordination group and in the ESOs estimated in 2 FTEs. Secondly, it includes the administration of a support action (2% of administrative overheads), funded under an R&amp;D programme, fostering the participation of European stakeholders in ESOs and standardization activities. The budget estimated for this action is </w:t>
      </w:r>
      <w:r w:rsidR="00B230DB">
        <w:rPr>
          <w:noProof/>
        </w:rPr>
        <w:t>EUR</w:t>
      </w:r>
      <w:r w:rsidRPr="0007547C">
        <w:rPr>
          <w:noProof/>
        </w:rPr>
        <w:t xml:space="preserve"> 6 million, within a funding period of 6 years.</w:t>
      </w:r>
    </w:p>
    <w:p w14:paraId="2EBF0CFA" w14:textId="77777777" w:rsidR="00F557DA" w:rsidRPr="007E2AB2" w:rsidRDefault="00F557DA" w:rsidP="00D81943">
      <w:pPr>
        <w:jc w:val="center"/>
        <w:rPr>
          <w:i/>
          <w:iCs/>
          <w:noProof/>
        </w:rPr>
      </w:pPr>
      <w:r w:rsidRPr="007E2AB2">
        <w:rPr>
          <w:i/>
          <w:iCs/>
          <w:noProof/>
        </w:rPr>
        <w:t>Recurrent administrative costs = labour costs * (effort estimated to monitor the coordination group + effort to monitor the coordination with standardization organizations + effort for the programme administrations)</w:t>
      </w:r>
    </w:p>
    <w:p w14:paraId="250E6AA0" w14:textId="6218FC01" w:rsidR="00DC7EE7" w:rsidRPr="0007547C" w:rsidRDefault="00DC7EE7" w:rsidP="00DC7EE7">
      <w:pPr>
        <w:rPr>
          <w:noProof/>
        </w:rPr>
      </w:pPr>
      <w:r w:rsidRPr="0007547C">
        <w:rPr>
          <w:b/>
          <w:i/>
          <w:noProof/>
        </w:rPr>
        <w:t xml:space="preserve">One-off administrative costs for </w:t>
      </w:r>
      <w:r w:rsidR="00C41AF2">
        <w:rPr>
          <w:b/>
          <w:i/>
          <w:noProof/>
        </w:rPr>
        <w:t>national public authorities</w:t>
      </w:r>
      <w:r w:rsidRPr="0007547C">
        <w:rPr>
          <w:b/>
          <w:i/>
          <w:noProof/>
        </w:rPr>
        <w:t xml:space="preserve"> </w:t>
      </w:r>
      <w:r w:rsidRPr="0007547C">
        <w:rPr>
          <w:noProof/>
        </w:rPr>
        <w:t xml:space="preserve">are the result from MS selecting the members that would participate in the coordination group set up. This is estimated in 0.1 FTE. </w:t>
      </w:r>
    </w:p>
    <w:p w14:paraId="78CBAEAC" w14:textId="77777777" w:rsidR="00E27398" w:rsidRPr="007E2AB2" w:rsidRDefault="00E27398" w:rsidP="00D81943">
      <w:pPr>
        <w:jc w:val="center"/>
        <w:rPr>
          <w:i/>
          <w:iCs/>
          <w:noProof/>
        </w:rPr>
      </w:pPr>
      <w:r w:rsidRPr="007E2AB2">
        <w:rPr>
          <w:i/>
          <w:iCs/>
          <w:noProof/>
        </w:rPr>
        <w:t>One-off administrative costs (NPAs) = MS * effort to identify members * labour costs</w:t>
      </w:r>
    </w:p>
    <w:p w14:paraId="351D355F" w14:textId="163B98C1" w:rsidR="00DC7EE7" w:rsidRPr="0007547C" w:rsidRDefault="00DC7EE7" w:rsidP="00DC7EE7">
      <w:pPr>
        <w:rPr>
          <w:noProof/>
        </w:rPr>
      </w:pPr>
      <w:r w:rsidRPr="0007547C">
        <w:rPr>
          <w:b/>
          <w:i/>
          <w:noProof/>
        </w:rPr>
        <w:t xml:space="preserve">Recurrent administrative costs in </w:t>
      </w:r>
      <w:r w:rsidR="009B54F9">
        <w:rPr>
          <w:b/>
          <w:i/>
          <w:noProof/>
        </w:rPr>
        <w:t>n</w:t>
      </w:r>
      <w:r w:rsidR="009B54F9" w:rsidRPr="0007547C">
        <w:rPr>
          <w:b/>
          <w:i/>
          <w:noProof/>
        </w:rPr>
        <w:t xml:space="preserve">ational </w:t>
      </w:r>
      <w:r w:rsidR="009B54F9">
        <w:rPr>
          <w:b/>
          <w:i/>
          <w:noProof/>
        </w:rPr>
        <w:t>p</w:t>
      </w:r>
      <w:r w:rsidR="009B54F9" w:rsidRPr="0007547C">
        <w:rPr>
          <w:b/>
          <w:i/>
          <w:noProof/>
        </w:rPr>
        <w:t>ublic</w:t>
      </w:r>
      <w:r w:rsidRPr="0007547C" w:rsidDel="009B54F9">
        <w:rPr>
          <w:b/>
          <w:i/>
          <w:noProof/>
        </w:rPr>
        <w:t xml:space="preserve"> </w:t>
      </w:r>
      <w:r w:rsidR="009B54F9">
        <w:rPr>
          <w:b/>
          <w:i/>
          <w:noProof/>
        </w:rPr>
        <w:t>authorities</w:t>
      </w:r>
      <w:r w:rsidR="009B54F9" w:rsidRPr="0007547C">
        <w:rPr>
          <w:b/>
          <w:i/>
          <w:noProof/>
        </w:rPr>
        <w:t xml:space="preserve"> </w:t>
      </w:r>
      <w:r w:rsidRPr="0007547C">
        <w:rPr>
          <w:b/>
          <w:i/>
          <w:noProof/>
        </w:rPr>
        <w:t>stem</w:t>
      </w:r>
      <w:r w:rsidRPr="0007547C">
        <w:rPr>
          <w:noProof/>
        </w:rPr>
        <w:t xml:space="preserve"> from the participation in both the coordination groups and standardisation organisations (0.25 FTE for each activity) on a yearly basis. Since ESOs offer the possibility to participate online in the meetings this has been the option considered, and travel costs neglected.</w:t>
      </w:r>
    </w:p>
    <w:p w14:paraId="28500CC2" w14:textId="65A7A35D" w:rsidR="005A0D80" w:rsidRPr="007E2AB2" w:rsidRDefault="005A0D80" w:rsidP="00D81943">
      <w:pPr>
        <w:jc w:val="center"/>
        <w:rPr>
          <w:i/>
          <w:iCs/>
          <w:noProof/>
        </w:rPr>
      </w:pPr>
      <w:r w:rsidRPr="007E2AB2">
        <w:rPr>
          <w:i/>
          <w:iCs/>
          <w:noProof/>
        </w:rPr>
        <w:t xml:space="preserve">Recurrent </w:t>
      </w:r>
      <w:r w:rsidR="00356DF2">
        <w:rPr>
          <w:i/>
          <w:iCs/>
          <w:noProof/>
        </w:rPr>
        <w:t>administrative</w:t>
      </w:r>
      <w:r w:rsidRPr="007E2AB2">
        <w:rPr>
          <w:i/>
          <w:iCs/>
          <w:noProof/>
        </w:rPr>
        <w:t xml:space="preserve"> costs (NPAs) = MS * (effort to participate in ESOs + effort to </w:t>
      </w:r>
      <w:r w:rsidRPr="004613F6">
        <w:rPr>
          <w:i/>
          <w:iCs/>
          <w:noProof/>
        </w:rPr>
        <w:t>participate</w:t>
      </w:r>
      <w:r w:rsidRPr="007E2AB2">
        <w:rPr>
          <w:i/>
          <w:iCs/>
          <w:noProof/>
        </w:rPr>
        <w:t xml:space="preserve"> in coordination groups) * labour costs</w:t>
      </w:r>
    </w:p>
    <w:p w14:paraId="3C954EA9" w14:textId="1D8993E3" w:rsidR="00DC7EE7" w:rsidRPr="0007547C" w:rsidRDefault="00DC7EE7" w:rsidP="00DC7EE7">
      <w:pPr>
        <w:rPr>
          <w:noProof/>
        </w:rPr>
      </w:pPr>
      <w:r w:rsidRPr="0007547C">
        <w:rPr>
          <w:b/>
          <w:i/>
          <w:noProof/>
        </w:rPr>
        <w:t xml:space="preserve">One-off </w:t>
      </w:r>
      <w:r w:rsidR="005C2488">
        <w:rPr>
          <w:b/>
          <w:i/>
          <w:noProof/>
        </w:rPr>
        <w:t>adjustment</w:t>
      </w:r>
      <w:r w:rsidR="005C2488" w:rsidRPr="0007547C">
        <w:rPr>
          <w:b/>
          <w:i/>
          <w:noProof/>
        </w:rPr>
        <w:t xml:space="preserve"> </w:t>
      </w:r>
      <w:r w:rsidRPr="0007547C">
        <w:rPr>
          <w:b/>
          <w:i/>
          <w:noProof/>
        </w:rPr>
        <w:t xml:space="preserve">costs for </w:t>
      </w:r>
      <w:r w:rsidR="0001203E">
        <w:rPr>
          <w:b/>
          <w:i/>
          <w:noProof/>
        </w:rPr>
        <w:t>cloud</w:t>
      </w:r>
      <w:r w:rsidRPr="0007547C">
        <w:rPr>
          <w:b/>
          <w:i/>
          <w:noProof/>
        </w:rPr>
        <w:t xml:space="preserve"> and AI </w:t>
      </w:r>
      <w:r w:rsidR="00F277BE">
        <w:rPr>
          <w:b/>
          <w:i/>
          <w:noProof/>
        </w:rPr>
        <w:t xml:space="preserve">computing service </w:t>
      </w:r>
      <w:r w:rsidRPr="0007547C">
        <w:rPr>
          <w:b/>
          <w:i/>
          <w:noProof/>
        </w:rPr>
        <w:t>providers</w:t>
      </w:r>
      <w:r w:rsidRPr="0007547C">
        <w:rPr>
          <w:noProof/>
        </w:rPr>
        <w:t xml:space="preserve"> are also related to the setting up of the coordination group, estimated in 0.1 FTE.</w:t>
      </w:r>
    </w:p>
    <w:p w14:paraId="07840D4C" w14:textId="3D135E21" w:rsidR="00626315" w:rsidRPr="0007547C" w:rsidRDefault="00626315" w:rsidP="00D81943">
      <w:pPr>
        <w:jc w:val="center"/>
        <w:rPr>
          <w:noProof/>
        </w:rPr>
      </w:pPr>
      <w:r w:rsidRPr="007E2AB2">
        <w:rPr>
          <w:i/>
          <w:iCs/>
          <w:noProof/>
        </w:rPr>
        <w:t xml:space="preserve">One-off </w:t>
      </w:r>
      <w:r w:rsidR="00356DF2">
        <w:rPr>
          <w:i/>
          <w:iCs/>
          <w:noProof/>
        </w:rPr>
        <w:t>administrative</w:t>
      </w:r>
      <w:r w:rsidRPr="007E2AB2">
        <w:rPr>
          <w:i/>
          <w:iCs/>
          <w:noProof/>
        </w:rPr>
        <w:t xml:space="preserve"> (CASP) = number o</w:t>
      </w:r>
      <w:r>
        <w:rPr>
          <w:i/>
          <w:iCs/>
          <w:noProof/>
        </w:rPr>
        <w:t>f</w:t>
      </w:r>
      <w:r w:rsidRPr="007E2AB2">
        <w:rPr>
          <w:i/>
          <w:iCs/>
          <w:noProof/>
        </w:rPr>
        <w:t xml:space="preserve"> participants * (effort to set up the coordination group * labour cost)</w:t>
      </w:r>
      <w:r>
        <w:rPr>
          <w:i/>
          <w:iCs/>
          <w:noProof/>
        </w:rPr>
        <w:t>.</w:t>
      </w:r>
    </w:p>
    <w:p w14:paraId="46F7785E" w14:textId="0B5D142C" w:rsidR="00DC7EE7" w:rsidRPr="0007547C" w:rsidRDefault="00DC7EE7" w:rsidP="00DC7EE7">
      <w:pPr>
        <w:rPr>
          <w:noProof/>
        </w:rPr>
      </w:pPr>
      <w:r w:rsidRPr="294AF3FA">
        <w:rPr>
          <w:b/>
          <w:bCs/>
          <w:i/>
          <w:iCs/>
          <w:noProof/>
        </w:rPr>
        <w:t xml:space="preserve">Recurrent administrative costs for </w:t>
      </w:r>
      <w:r w:rsidR="0001203E">
        <w:rPr>
          <w:b/>
          <w:bCs/>
          <w:i/>
          <w:iCs/>
          <w:noProof/>
        </w:rPr>
        <w:t>cloud</w:t>
      </w:r>
      <w:r w:rsidRPr="294AF3FA">
        <w:rPr>
          <w:b/>
          <w:bCs/>
          <w:i/>
          <w:iCs/>
          <w:noProof/>
        </w:rPr>
        <w:t xml:space="preserve"> and AI </w:t>
      </w:r>
      <w:r w:rsidR="00F277BE">
        <w:rPr>
          <w:b/>
          <w:bCs/>
          <w:i/>
          <w:iCs/>
          <w:noProof/>
        </w:rPr>
        <w:t xml:space="preserve">computing service </w:t>
      </w:r>
      <w:r w:rsidRPr="294AF3FA">
        <w:rPr>
          <w:b/>
          <w:bCs/>
          <w:i/>
          <w:iCs/>
          <w:noProof/>
        </w:rPr>
        <w:t>providers</w:t>
      </w:r>
      <w:r w:rsidRPr="294AF3FA">
        <w:rPr>
          <w:b/>
          <w:bCs/>
          <w:noProof/>
        </w:rPr>
        <w:t xml:space="preserve"> </w:t>
      </w:r>
      <w:r w:rsidRPr="0007547C">
        <w:rPr>
          <w:noProof/>
        </w:rPr>
        <w:t>are related to the participation of the providers both in the coordination groups and ESOs estimated respectively in 0.25 FTE and 1 FTE respectively. Whereas the meetings for the coordination groups are to be more opportunistic, the meetings on ESOs occur on a regular basis</w:t>
      </w:r>
      <w:r w:rsidRPr="0007547C">
        <w:rPr>
          <w:rStyle w:val="FootnoteReference"/>
          <w:noProof/>
        </w:rPr>
        <w:footnoteReference w:id="59"/>
      </w:r>
      <w:r w:rsidRPr="0007547C">
        <w:rPr>
          <w:noProof/>
        </w:rPr>
        <w:t>.</w:t>
      </w:r>
    </w:p>
    <w:p w14:paraId="56981748" w14:textId="0D7EDF0D" w:rsidR="00B616E7" w:rsidRPr="007E2AB2" w:rsidRDefault="00B616E7" w:rsidP="00D81943">
      <w:pPr>
        <w:jc w:val="center"/>
        <w:rPr>
          <w:i/>
          <w:iCs/>
          <w:noProof/>
        </w:rPr>
      </w:pPr>
      <w:r w:rsidRPr="007E2AB2">
        <w:rPr>
          <w:i/>
          <w:iCs/>
          <w:noProof/>
        </w:rPr>
        <w:t xml:space="preserve">Recurrent </w:t>
      </w:r>
      <w:r w:rsidR="00356DF2">
        <w:rPr>
          <w:i/>
          <w:iCs/>
          <w:noProof/>
        </w:rPr>
        <w:t>administrative</w:t>
      </w:r>
      <w:r w:rsidRPr="007E2AB2">
        <w:rPr>
          <w:i/>
          <w:iCs/>
          <w:noProof/>
        </w:rPr>
        <w:t xml:space="preserve"> costs (CASP) = number of participants * ((effort to participate in the coordination groups + effort to participate in the ESOs) * labour cost)</w:t>
      </w:r>
    </w:p>
    <w:p w14:paraId="1ED19939" w14:textId="3773D1F1" w:rsidR="00DC7EE7" w:rsidRPr="0007547C" w:rsidRDefault="00DC7EE7" w:rsidP="00DC7EE7">
      <w:pPr>
        <w:rPr>
          <w:noProof/>
        </w:rPr>
      </w:pPr>
      <w:r w:rsidRPr="0007547C">
        <w:rPr>
          <w:b/>
          <w:i/>
          <w:noProof/>
        </w:rPr>
        <w:t>Recurrent administrative costs for European Standardisation organisations</w:t>
      </w:r>
      <w:r w:rsidRPr="0007547C">
        <w:rPr>
          <w:b/>
          <w:noProof/>
        </w:rPr>
        <w:t xml:space="preserve"> </w:t>
      </w:r>
      <w:r w:rsidRPr="0007547C">
        <w:rPr>
          <w:noProof/>
        </w:rPr>
        <w:t>occur by supporting the creation, development and publication of standards, as well as by the coordination with the European Commission and the key stakeholders such as the rapporteurs. This effort is estimated in 1 FTE. This stakeholder category is not accounted for the in the CBA.</w:t>
      </w:r>
    </w:p>
    <w:p w14:paraId="69EFE8D6" w14:textId="5DAB5895" w:rsidR="00DC7EE7" w:rsidRPr="0007547C" w:rsidRDefault="00DC7EE7" w:rsidP="00DC7EE7">
      <w:pPr>
        <w:rPr>
          <w:noProof/>
        </w:rPr>
      </w:pPr>
      <w:r w:rsidRPr="00823397">
        <w:rPr>
          <w:b/>
          <w:bCs/>
          <w:noProof/>
        </w:rPr>
        <w:t xml:space="preserve">Indirect </w:t>
      </w:r>
      <w:r w:rsidR="001D1524">
        <w:rPr>
          <w:b/>
          <w:noProof/>
        </w:rPr>
        <w:t>savings</w:t>
      </w:r>
      <w:r w:rsidRPr="00823397">
        <w:rPr>
          <w:b/>
          <w:bCs/>
          <w:noProof/>
        </w:rPr>
        <w:t xml:space="preserve">: </w:t>
      </w:r>
      <w:r w:rsidRPr="00823397">
        <w:rPr>
          <w:noProof/>
        </w:rPr>
        <w:t xml:space="preserve">For cloud and AI </w:t>
      </w:r>
      <w:r w:rsidR="00F277BE">
        <w:rPr>
          <w:noProof/>
        </w:rPr>
        <w:t xml:space="preserve">computing service </w:t>
      </w:r>
      <w:r w:rsidRPr="00823397">
        <w:rPr>
          <w:noProof/>
        </w:rPr>
        <w:t>providers, having clear interoperability standards facilitates EU players the entry into established markets, lowers transaction and integration costs and simplifies the management of a multi-cloud / multi-vendor ecosystem. Finally, it also provides enhanced trust, credibility, transparency and auditability.</w:t>
      </w:r>
    </w:p>
    <w:p w14:paraId="33C43E5F" w14:textId="642D00FF" w:rsidR="00DC7EE7" w:rsidRDefault="00DC7EE7" w:rsidP="00DC7EE7">
      <w:pPr>
        <w:rPr>
          <w:noProof/>
        </w:rPr>
      </w:pPr>
      <w:r w:rsidRPr="0007547C">
        <w:rPr>
          <w:b/>
          <w:noProof/>
        </w:rPr>
        <w:t xml:space="preserve">Sensitivity analysis: </w:t>
      </w:r>
      <w:r w:rsidRPr="0007547C">
        <w:rPr>
          <w:noProof/>
        </w:rPr>
        <w:t xml:space="preserve">For this policy measure no sensitivity analysis has been considered, given that only the development of standards is considered while the enforcement and compliance by cloud and AI </w:t>
      </w:r>
      <w:r w:rsidR="00F277BE">
        <w:rPr>
          <w:noProof/>
        </w:rPr>
        <w:t xml:space="preserve">computing service </w:t>
      </w:r>
      <w:r w:rsidRPr="0007547C">
        <w:rPr>
          <w:noProof/>
        </w:rPr>
        <w:t>providers are out of scope.</w:t>
      </w:r>
    </w:p>
    <w:p w14:paraId="0A999A2E" w14:textId="515C0C1F" w:rsidR="00DC7EE7" w:rsidRPr="007672F1" w:rsidRDefault="00DC7EE7" w:rsidP="009B525E">
      <w:pPr>
        <w:pStyle w:val="Caption"/>
        <w:jc w:val="both"/>
        <w:rPr>
          <w:b w:val="0"/>
          <w:bCs/>
          <w:noProof/>
          <w:sz w:val="24"/>
          <w:szCs w:val="24"/>
        </w:rPr>
      </w:pPr>
      <w:r w:rsidRPr="00DA029C">
        <w:rPr>
          <w:noProof/>
          <w:sz w:val="24"/>
          <w:szCs w:val="24"/>
        </w:rPr>
        <w:t>Results</w:t>
      </w:r>
      <w:r w:rsidRPr="00DA029C">
        <w:rPr>
          <w:b w:val="0"/>
          <w:bCs/>
          <w:noProof/>
          <w:sz w:val="24"/>
          <w:szCs w:val="24"/>
        </w:rPr>
        <w:t xml:space="preserve"> for all stakeholders aggregated and for the years covered by this measure are summarised in the table below. Low costs are assumed for all stakeholders modelled. Savings are negligeable and hence not monetised.</w:t>
      </w:r>
      <w:r w:rsidR="00636D37">
        <w:rPr>
          <w:b w:val="0"/>
          <w:bCs/>
          <w:noProof/>
          <w:sz w:val="24"/>
          <w:szCs w:val="24"/>
        </w:rPr>
        <w:t xml:space="preserve"> Sensitivity analysis does not apply.</w:t>
      </w:r>
    </w:p>
    <w:p w14:paraId="41BC9E1E" w14:textId="5F7A83E7" w:rsidR="00DC7EE7" w:rsidRPr="00280DD5" w:rsidRDefault="00DC7EE7" w:rsidP="00DC7EE7">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34</w:t>
      </w:r>
      <w:r>
        <w:rPr>
          <w:noProof/>
        </w:rPr>
        <w:fldChar w:fldCharType="end"/>
      </w:r>
      <w:r>
        <w:rPr>
          <w:noProof/>
        </w:rPr>
        <w:t xml:space="preserve">. </w:t>
      </w:r>
      <w:r w:rsidRPr="00280DD5">
        <w:rPr>
          <w:noProof/>
        </w:rPr>
        <w:t xml:space="preserve">Measures to effective interoperability of cloud and AI </w:t>
      </w:r>
      <w:r w:rsidR="00BB72EA">
        <w:rPr>
          <w:noProof/>
        </w:rPr>
        <w:t xml:space="preserve">computing </w:t>
      </w:r>
      <w:r w:rsidRPr="00280DD5">
        <w:rPr>
          <w:noProof/>
        </w:rPr>
        <w:t>services</w:t>
      </w:r>
      <w:r>
        <w:rPr>
          <w:noProof/>
        </w:rPr>
        <w:t xml:space="preserve"> (PM14)</w:t>
      </w:r>
    </w:p>
    <w:tbl>
      <w:tblPr>
        <w:tblStyle w:val="TableGrid"/>
        <w:tblW w:w="5563" w:type="pct"/>
        <w:tblInd w:w="-709" w:type="dxa"/>
        <w:tblLayout w:type="fixed"/>
        <w:tblCellMar>
          <w:left w:w="0" w:type="dxa"/>
          <w:right w:w="0" w:type="dxa"/>
        </w:tblCellMar>
        <w:tblLook w:val="04A0" w:firstRow="1" w:lastRow="0" w:firstColumn="1" w:lastColumn="0" w:noHBand="0" w:noVBand="1"/>
      </w:tblPr>
      <w:tblGrid>
        <w:gridCol w:w="1985"/>
        <w:gridCol w:w="1842"/>
        <w:gridCol w:w="992"/>
        <w:gridCol w:w="851"/>
        <w:gridCol w:w="1276"/>
        <w:gridCol w:w="1135"/>
        <w:gridCol w:w="992"/>
        <w:gridCol w:w="990"/>
      </w:tblGrid>
      <w:tr w:rsidR="005667F1" w:rsidRPr="00FA63C0" w14:paraId="515CF1D9" w14:textId="77777777" w:rsidTr="00D66215">
        <w:trPr>
          <w:trHeight w:val="506"/>
        </w:trPr>
        <w:tc>
          <w:tcPr>
            <w:tcW w:w="986" w:type="pct"/>
            <w:tcBorders>
              <w:bottom w:val="single" w:sz="12" w:space="0" w:color="00B0F0"/>
            </w:tcBorders>
            <w:noWrap/>
            <w:vAlign w:val="center"/>
            <w:hideMark/>
          </w:tcPr>
          <w:p w14:paraId="2CAC5365" w14:textId="77777777" w:rsidR="005667F1" w:rsidRPr="00FA63C0" w:rsidRDefault="005667F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915" w:type="pct"/>
            <w:tcBorders>
              <w:bottom w:val="single" w:sz="12" w:space="0" w:color="00B0F0"/>
            </w:tcBorders>
            <w:vAlign w:val="center"/>
          </w:tcPr>
          <w:p w14:paraId="6A081C56" w14:textId="1FB58502" w:rsidR="005667F1" w:rsidRPr="00FA63C0" w:rsidRDefault="005667F1">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493" w:type="pct"/>
            <w:tcBorders>
              <w:bottom w:val="single" w:sz="12" w:space="0" w:color="00B0F0"/>
            </w:tcBorders>
            <w:vAlign w:val="center"/>
          </w:tcPr>
          <w:p w14:paraId="5433F67E" w14:textId="77777777" w:rsidR="005667F1" w:rsidRPr="00FA63C0" w:rsidRDefault="005667F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423" w:type="pct"/>
            <w:tcBorders>
              <w:bottom w:val="single" w:sz="12" w:space="0" w:color="00B0F0"/>
            </w:tcBorders>
          </w:tcPr>
          <w:p w14:paraId="6EA9F1A0" w14:textId="282F9098" w:rsidR="005667F1" w:rsidRPr="00FA63C0" w:rsidRDefault="005667F1">
            <w:pPr>
              <w:spacing w:after="0"/>
              <w:jc w:val="center"/>
              <w:rPr>
                <w:b/>
                <w:bCs/>
                <w:noProof/>
                <w:sz w:val="20"/>
                <w:szCs w:val="20"/>
                <w:lang w:val="en-IE" w:eastAsia="en-IE"/>
              </w:rPr>
            </w:pPr>
            <w:r>
              <w:rPr>
                <w:b/>
                <w:bCs/>
                <w:noProof/>
                <w:sz w:val="20"/>
                <w:szCs w:val="20"/>
                <w:lang w:val="en-IE" w:eastAsia="en-IE"/>
              </w:rPr>
              <w:t xml:space="preserve">SDOs </w:t>
            </w:r>
            <w:r w:rsidRPr="00FA63C0">
              <w:rPr>
                <w:noProof/>
                <w:sz w:val="20"/>
                <w:szCs w:val="20"/>
                <w:lang w:val="en-IE" w:eastAsia="en-IE"/>
              </w:rPr>
              <w:t>(</w:t>
            </w:r>
            <w:r w:rsidRPr="00EC6BC1">
              <w:rPr>
                <w:noProof/>
                <w:sz w:val="20"/>
                <w:szCs w:val="20"/>
              </w:rPr>
              <w:t>€)</w:t>
            </w:r>
          </w:p>
        </w:tc>
        <w:tc>
          <w:tcPr>
            <w:tcW w:w="634" w:type="pct"/>
            <w:tcBorders>
              <w:bottom w:val="single" w:sz="12" w:space="0" w:color="00B0F0"/>
            </w:tcBorders>
            <w:vAlign w:val="center"/>
          </w:tcPr>
          <w:p w14:paraId="68842526" w14:textId="45CD43AC" w:rsidR="005667F1" w:rsidRPr="00FA63C0" w:rsidRDefault="005667F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564" w:type="pct"/>
            <w:tcBorders>
              <w:bottom w:val="single" w:sz="12" w:space="0" w:color="00B0F0"/>
            </w:tcBorders>
            <w:noWrap/>
            <w:vAlign w:val="center"/>
            <w:hideMark/>
          </w:tcPr>
          <w:p w14:paraId="309219CB" w14:textId="77777777" w:rsidR="005667F1" w:rsidRPr="00FA63C0" w:rsidRDefault="005667F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493" w:type="pct"/>
            <w:tcBorders>
              <w:bottom w:val="single" w:sz="12" w:space="0" w:color="00B0F0"/>
            </w:tcBorders>
            <w:noWrap/>
            <w:vAlign w:val="center"/>
            <w:hideMark/>
          </w:tcPr>
          <w:p w14:paraId="6FF4454E" w14:textId="77777777" w:rsidR="005667F1" w:rsidRPr="00EC6BC1" w:rsidRDefault="005667F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492" w:type="pct"/>
            <w:tcBorders>
              <w:bottom w:val="single" w:sz="12" w:space="0" w:color="00B0F0"/>
            </w:tcBorders>
            <w:noWrap/>
            <w:vAlign w:val="center"/>
            <w:hideMark/>
          </w:tcPr>
          <w:p w14:paraId="0913A2E5" w14:textId="77777777" w:rsidR="005667F1" w:rsidRPr="00FA63C0" w:rsidRDefault="005667F1">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5667F1" w:rsidRPr="00397C78" w14:paraId="3917E4DC" w14:textId="77777777" w:rsidTr="00D66215">
        <w:trPr>
          <w:trHeight w:val="283"/>
        </w:trPr>
        <w:tc>
          <w:tcPr>
            <w:tcW w:w="986" w:type="pct"/>
            <w:tcBorders>
              <w:top w:val="single" w:sz="12" w:space="0" w:color="00B0F0"/>
            </w:tcBorders>
            <w:noWrap/>
            <w:vAlign w:val="center"/>
            <w:hideMark/>
          </w:tcPr>
          <w:p w14:paraId="75B6F6AF" w14:textId="77777777" w:rsidR="005667F1" w:rsidRPr="00FA63C0" w:rsidRDefault="005667F1" w:rsidP="00464CEA">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915" w:type="pct"/>
            <w:tcBorders>
              <w:top w:val="single" w:sz="12" w:space="0" w:color="00B0F0"/>
            </w:tcBorders>
          </w:tcPr>
          <w:p w14:paraId="07228426" w14:textId="009BEC69" w:rsidR="005667F1" w:rsidRPr="00830841" w:rsidRDefault="005667F1" w:rsidP="00464CEA">
            <w:pPr>
              <w:spacing w:after="0"/>
              <w:jc w:val="right"/>
              <w:rPr>
                <w:noProof/>
                <w:sz w:val="20"/>
                <w:szCs w:val="20"/>
              </w:rPr>
            </w:pPr>
            <w:r w:rsidRPr="00830841">
              <w:rPr>
                <w:noProof/>
                <w:sz w:val="20"/>
                <w:szCs w:val="20"/>
              </w:rPr>
              <w:t>11</w:t>
            </w:r>
            <w:r>
              <w:rPr>
                <w:noProof/>
                <w:sz w:val="20"/>
                <w:szCs w:val="20"/>
              </w:rPr>
              <w:t xml:space="preserve"> </w:t>
            </w:r>
            <w:r w:rsidRPr="00830841">
              <w:rPr>
                <w:noProof/>
                <w:sz w:val="20"/>
                <w:szCs w:val="20"/>
              </w:rPr>
              <w:t xml:space="preserve">205 </w:t>
            </w:r>
          </w:p>
        </w:tc>
        <w:tc>
          <w:tcPr>
            <w:tcW w:w="493" w:type="pct"/>
            <w:tcBorders>
              <w:top w:val="single" w:sz="12" w:space="0" w:color="00B0F0"/>
            </w:tcBorders>
            <w:vAlign w:val="center"/>
          </w:tcPr>
          <w:p w14:paraId="523460EC" w14:textId="2DB0DB83" w:rsidR="005667F1" w:rsidRPr="00FA63C0" w:rsidRDefault="000869E2" w:rsidP="00464CEA">
            <w:pPr>
              <w:spacing w:after="0"/>
              <w:jc w:val="right"/>
              <w:rPr>
                <w:noProof/>
                <w:sz w:val="20"/>
                <w:szCs w:val="20"/>
                <w:lang w:val="en-IE" w:eastAsia="en-IE"/>
              </w:rPr>
            </w:pPr>
            <w:r>
              <w:rPr>
                <w:noProof/>
                <w:sz w:val="20"/>
                <w:szCs w:val="20"/>
              </w:rPr>
              <w:t>170 644</w:t>
            </w:r>
          </w:p>
        </w:tc>
        <w:tc>
          <w:tcPr>
            <w:tcW w:w="423" w:type="pct"/>
            <w:tcBorders>
              <w:top w:val="single" w:sz="12" w:space="0" w:color="00B0F0"/>
            </w:tcBorders>
          </w:tcPr>
          <w:p w14:paraId="1C468233" w14:textId="0A6D5149" w:rsidR="005667F1" w:rsidRPr="00FA63C0" w:rsidDel="003445FD" w:rsidRDefault="007C6157" w:rsidP="00464CEA">
            <w:pPr>
              <w:spacing w:after="0"/>
              <w:jc w:val="right"/>
              <w:rPr>
                <w:noProof/>
                <w:sz w:val="20"/>
                <w:szCs w:val="20"/>
              </w:rPr>
            </w:pPr>
            <w:r>
              <w:rPr>
                <w:noProof/>
                <w:sz w:val="20"/>
                <w:szCs w:val="20"/>
              </w:rPr>
              <w:t>-</w:t>
            </w:r>
          </w:p>
        </w:tc>
        <w:tc>
          <w:tcPr>
            <w:tcW w:w="634" w:type="pct"/>
            <w:tcBorders>
              <w:top w:val="single" w:sz="12" w:space="0" w:color="00B0F0"/>
            </w:tcBorders>
            <w:vAlign w:val="center"/>
          </w:tcPr>
          <w:p w14:paraId="3E7723A3" w14:textId="3D95FF9F" w:rsidR="005667F1" w:rsidRPr="00830841" w:rsidRDefault="005667F1" w:rsidP="00464CEA">
            <w:pPr>
              <w:spacing w:after="0"/>
              <w:jc w:val="right"/>
              <w:rPr>
                <w:noProof/>
                <w:sz w:val="20"/>
                <w:szCs w:val="20"/>
              </w:rPr>
            </w:pPr>
            <w:r>
              <w:rPr>
                <w:noProof/>
                <w:sz w:val="20"/>
                <w:szCs w:val="20"/>
              </w:rPr>
              <w:t>168 538</w:t>
            </w:r>
          </w:p>
        </w:tc>
        <w:tc>
          <w:tcPr>
            <w:tcW w:w="564" w:type="pct"/>
            <w:tcBorders>
              <w:top w:val="single" w:sz="12" w:space="0" w:color="00B0F0"/>
            </w:tcBorders>
            <w:noWrap/>
            <w:vAlign w:val="center"/>
          </w:tcPr>
          <w:p w14:paraId="7B9EFF40" w14:textId="74E20076" w:rsidR="005667F1" w:rsidRPr="00464CEA" w:rsidRDefault="005C7D89" w:rsidP="002B5B7C">
            <w:pPr>
              <w:spacing w:after="0"/>
              <w:jc w:val="right"/>
              <w:rPr>
                <w:noProof/>
                <w:sz w:val="20"/>
                <w:szCs w:val="20"/>
                <w:lang w:val="en-IE" w:eastAsia="en-IE"/>
              </w:rPr>
            </w:pPr>
            <w:r>
              <w:rPr>
                <w:noProof/>
                <w:sz w:val="20"/>
                <w:szCs w:val="20"/>
              </w:rPr>
              <w:t>350 387</w:t>
            </w:r>
            <w:r w:rsidR="005667F1" w:rsidRPr="00830841">
              <w:rPr>
                <w:noProof/>
                <w:sz w:val="20"/>
                <w:szCs w:val="20"/>
              </w:rPr>
              <w:t xml:space="preserve"> </w:t>
            </w:r>
          </w:p>
        </w:tc>
        <w:tc>
          <w:tcPr>
            <w:tcW w:w="493" w:type="pct"/>
            <w:tcBorders>
              <w:top w:val="single" w:sz="12" w:space="0" w:color="00B0F0"/>
            </w:tcBorders>
            <w:noWrap/>
            <w:vAlign w:val="center"/>
          </w:tcPr>
          <w:p w14:paraId="1DB32EB1" w14:textId="1D38A0D6" w:rsidR="005667F1" w:rsidRPr="00464CEA" w:rsidRDefault="005C7D89" w:rsidP="00464CEA">
            <w:pPr>
              <w:spacing w:after="0"/>
              <w:jc w:val="right"/>
              <w:rPr>
                <w:noProof/>
                <w:sz w:val="20"/>
                <w:szCs w:val="20"/>
                <w:lang w:val="en-IE" w:eastAsia="en-IE"/>
              </w:rPr>
            </w:pPr>
            <w:r>
              <w:rPr>
                <w:noProof/>
                <w:sz w:val="20"/>
                <w:szCs w:val="20"/>
              </w:rPr>
              <w:t>350 387</w:t>
            </w:r>
            <w:r w:rsidRPr="00830841">
              <w:rPr>
                <w:noProof/>
                <w:sz w:val="20"/>
                <w:szCs w:val="20"/>
              </w:rPr>
              <w:t xml:space="preserve"> </w:t>
            </w:r>
          </w:p>
        </w:tc>
        <w:tc>
          <w:tcPr>
            <w:tcW w:w="492" w:type="pct"/>
            <w:tcBorders>
              <w:top w:val="single" w:sz="12" w:space="0" w:color="00B0F0"/>
            </w:tcBorders>
            <w:noWrap/>
            <w:vAlign w:val="center"/>
          </w:tcPr>
          <w:p w14:paraId="7E12FA43" w14:textId="207EEFDC" w:rsidR="005667F1" w:rsidRPr="00464CEA" w:rsidRDefault="005C7D89" w:rsidP="00464CEA">
            <w:pPr>
              <w:spacing w:after="0"/>
              <w:jc w:val="right"/>
              <w:rPr>
                <w:noProof/>
                <w:sz w:val="20"/>
                <w:szCs w:val="20"/>
                <w:lang w:val="en-IE" w:eastAsia="en-IE"/>
              </w:rPr>
            </w:pPr>
            <w:r>
              <w:rPr>
                <w:noProof/>
                <w:sz w:val="20"/>
                <w:szCs w:val="20"/>
              </w:rPr>
              <w:t>350 387</w:t>
            </w:r>
            <w:r w:rsidRPr="00830841">
              <w:rPr>
                <w:noProof/>
                <w:sz w:val="20"/>
                <w:szCs w:val="20"/>
              </w:rPr>
              <w:t xml:space="preserve"> </w:t>
            </w:r>
          </w:p>
        </w:tc>
      </w:tr>
      <w:tr w:rsidR="005667F1" w:rsidRPr="00061A60" w14:paraId="1FDBBD40" w14:textId="77777777" w:rsidTr="00D66215">
        <w:trPr>
          <w:trHeight w:val="283"/>
        </w:trPr>
        <w:tc>
          <w:tcPr>
            <w:tcW w:w="986" w:type="pct"/>
            <w:noWrap/>
            <w:vAlign w:val="center"/>
            <w:hideMark/>
          </w:tcPr>
          <w:p w14:paraId="64B3A3F6" w14:textId="77777777" w:rsidR="005667F1" w:rsidRPr="00FA63C0" w:rsidRDefault="005667F1" w:rsidP="00464CEA">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915" w:type="pct"/>
          </w:tcPr>
          <w:p w14:paraId="5AA5FE9D" w14:textId="5CDFF994" w:rsidR="005667F1" w:rsidRPr="00830841" w:rsidRDefault="005667F1" w:rsidP="00464CEA">
            <w:pPr>
              <w:spacing w:after="0"/>
              <w:jc w:val="right"/>
              <w:rPr>
                <w:noProof/>
                <w:sz w:val="20"/>
                <w:szCs w:val="20"/>
              </w:rPr>
            </w:pPr>
            <w:r w:rsidRPr="00830841">
              <w:rPr>
                <w:noProof/>
                <w:sz w:val="20"/>
                <w:szCs w:val="20"/>
              </w:rPr>
              <w:t xml:space="preserve"> 2</w:t>
            </w:r>
            <w:r>
              <w:rPr>
                <w:noProof/>
                <w:sz w:val="20"/>
                <w:szCs w:val="20"/>
              </w:rPr>
              <w:t xml:space="preserve"> </w:t>
            </w:r>
            <w:r w:rsidRPr="00830841">
              <w:rPr>
                <w:noProof/>
                <w:sz w:val="20"/>
                <w:szCs w:val="20"/>
              </w:rPr>
              <w:t>134</w:t>
            </w:r>
            <w:r>
              <w:rPr>
                <w:noProof/>
                <w:sz w:val="20"/>
                <w:szCs w:val="20"/>
              </w:rPr>
              <w:t xml:space="preserve"> </w:t>
            </w:r>
            <w:r w:rsidRPr="00830841">
              <w:rPr>
                <w:noProof/>
                <w:sz w:val="20"/>
                <w:szCs w:val="20"/>
              </w:rPr>
              <w:t xml:space="preserve">177 </w:t>
            </w:r>
          </w:p>
        </w:tc>
        <w:tc>
          <w:tcPr>
            <w:tcW w:w="493" w:type="pct"/>
            <w:vAlign w:val="center"/>
          </w:tcPr>
          <w:p w14:paraId="2D25BC9B" w14:textId="40C494A7" w:rsidR="005667F1" w:rsidRPr="00FA63C0" w:rsidRDefault="00B9226D" w:rsidP="00464CEA">
            <w:pPr>
              <w:spacing w:after="0"/>
              <w:jc w:val="right"/>
              <w:rPr>
                <w:noProof/>
                <w:sz w:val="20"/>
                <w:szCs w:val="20"/>
                <w:lang w:val="en-IE" w:eastAsia="en-IE"/>
              </w:rPr>
            </w:pPr>
            <w:r>
              <w:rPr>
                <w:noProof/>
                <w:sz w:val="20"/>
                <w:szCs w:val="20"/>
                <w:lang w:val="en-IE" w:eastAsia="en-IE"/>
              </w:rPr>
              <w:t>10 917 230</w:t>
            </w:r>
          </w:p>
        </w:tc>
        <w:tc>
          <w:tcPr>
            <w:tcW w:w="423" w:type="pct"/>
          </w:tcPr>
          <w:p w14:paraId="330D9F4C" w14:textId="10E46AEE" w:rsidR="005667F1" w:rsidRPr="00830841" w:rsidRDefault="007C6157" w:rsidP="00464CEA">
            <w:pPr>
              <w:spacing w:after="0"/>
              <w:jc w:val="right"/>
              <w:rPr>
                <w:noProof/>
                <w:sz w:val="20"/>
                <w:szCs w:val="20"/>
              </w:rPr>
            </w:pPr>
            <w:r w:rsidRPr="007C6157">
              <w:rPr>
                <w:noProof/>
                <w:sz w:val="20"/>
                <w:szCs w:val="20"/>
              </w:rPr>
              <w:t>1</w:t>
            </w:r>
            <w:r>
              <w:rPr>
                <w:noProof/>
                <w:sz w:val="20"/>
                <w:szCs w:val="20"/>
              </w:rPr>
              <w:t xml:space="preserve"> </w:t>
            </w:r>
            <w:r w:rsidRPr="007C6157">
              <w:rPr>
                <w:noProof/>
                <w:sz w:val="20"/>
                <w:szCs w:val="20"/>
              </w:rPr>
              <w:t>437</w:t>
            </w:r>
            <w:r>
              <w:rPr>
                <w:noProof/>
                <w:sz w:val="20"/>
                <w:szCs w:val="20"/>
              </w:rPr>
              <w:t xml:space="preserve"> </w:t>
            </w:r>
            <w:r w:rsidRPr="007C6157">
              <w:rPr>
                <w:noProof/>
                <w:sz w:val="20"/>
                <w:szCs w:val="20"/>
              </w:rPr>
              <w:t>660</w:t>
            </w:r>
          </w:p>
        </w:tc>
        <w:tc>
          <w:tcPr>
            <w:tcW w:w="634" w:type="pct"/>
          </w:tcPr>
          <w:p w14:paraId="1BC14B8B" w14:textId="1DD943E0" w:rsidR="005667F1" w:rsidRPr="00830841" w:rsidRDefault="005667F1" w:rsidP="00464CEA">
            <w:pPr>
              <w:spacing w:after="0"/>
              <w:jc w:val="right"/>
              <w:rPr>
                <w:noProof/>
                <w:sz w:val="20"/>
                <w:szCs w:val="20"/>
              </w:rPr>
            </w:pPr>
            <w:r w:rsidRPr="00830841">
              <w:rPr>
                <w:noProof/>
                <w:sz w:val="20"/>
                <w:szCs w:val="20"/>
                <w:lang w:eastAsia="en-US"/>
              </w:rPr>
              <w:t>1</w:t>
            </w:r>
            <w:r>
              <w:rPr>
                <w:noProof/>
                <w:sz w:val="20"/>
                <w:szCs w:val="20"/>
              </w:rPr>
              <w:t xml:space="preserve"> </w:t>
            </w:r>
            <w:r w:rsidRPr="00830841">
              <w:rPr>
                <w:noProof/>
                <w:sz w:val="20"/>
                <w:szCs w:val="20"/>
                <w:lang w:eastAsia="en-US"/>
              </w:rPr>
              <w:t>546</w:t>
            </w:r>
            <w:r>
              <w:rPr>
                <w:noProof/>
                <w:sz w:val="20"/>
                <w:szCs w:val="20"/>
              </w:rPr>
              <w:t xml:space="preserve"> </w:t>
            </w:r>
            <w:r w:rsidRPr="00830841">
              <w:rPr>
                <w:noProof/>
                <w:sz w:val="20"/>
                <w:szCs w:val="20"/>
                <w:lang w:eastAsia="en-US"/>
              </w:rPr>
              <w:t>004</w:t>
            </w:r>
            <w:r w:rsidRPr="00830841">
              <w:rPr>
                <w:noProof/>
                <w:sz w:val="20"/>
                <w:szCs w:val="20"/>
              </w:rPr>
              <w:t xml:space="preserve"> </w:t>
            </w:r>
          </w:p>
        </w:tc>
        <w:tc>
          <w:tcPr>
            <w:tcW w:w="564" w:type="pct"/>
            <w:noWrap/>
            <w:vAlign w:val="center"/>
          </w:tcPr>
          <w:p w14:paraId="617BE70A" w14:textId="50879A51" w:rsidR="005667F1" w:rsidRPr="00464CEA" w:rsidRDefault="005C7D89" w:rsidP="00464CEA">
            <w:pPr>
              <w:spacing w:after="0"/>
              <w:jc w:val="right"/>
              <w:rPr>
                <w:noProof/>
                <w:sz w:val="20"/>
                <w:szCs w:val="20"/>
                <w:lang w:val="en-IE" w:eastAsia="en-IE"/>
              </w:rPr>
            </w:pPr>
            <w:r>
              <w:rPr>
                <w:noProof/>
                <w:sz w:val="20"/>
                <w:szCs w:val="20"/>
              </w:rPr>
              <w:t>16 035 070</w:t>
            </w:r>
          </w:p>
        </w:tc>
        <w:tc>
          <w:tcPr>
            <w:tcW w:w="493" w:type="pct"/>
            <w:noWrap/>
            <w:vAlign w:val="center"/>
          </w:tcPr>
          <w:p w14:paraId="695B58C6" w14:textId="7D37F27C" w:rsidR="005667F1" w:rsidRPr="00464CEA" w:rsidRDefault="005C7D89" w:rsidP="00464CEA">
            <w:pPr>
              <w:spacing w:after="0"/>
              <w:jc w:val="right"/>
              <w:rPr>
                <w:noProof/>
                <w:sz w:val="20"/>
                <w:szCs w:val="20"/>
                <w:lang w:val="en-IE" w:eastAsia="en-IE"/>
              </w:rPr>
            </w:pPr>
            <w:r>
              <w:rPr>
                <w:noProof/>
                <w:sz w:val="20"/>
                <w:szCs w:val="20"/>
              </w:rPr>
              <w:t>16 035 070</w:t>
            </w:r>
          </w:p>
        </w:tc>
        <w:tc>
          <w:tcPr>
            <w:tcW w:w="492" w:type="pct"/>
            <w:noWrap/>
            <w:vAlign w:val="center"/>
          </w:tcPr>
          <w:p w14:paraId="7069A494" w14:textId="665E6FD0" w:rsidR="005667F1" w:rsidRPr="00464CEA" w:rsidRDefault="005C7D89" w:rsidP="00464CEA">
            <w:pPr>
              <w:spacing w:after="0"/>
              <w:jc w:val="right"/>
              <w:rPr>
                <w:noProof/>
                <w:sz w:val="20"/>
                <w:szCs w:val="20"/>
                <w:lang w:val="en-IE" w:eastAsia="en-IE"/>
              </w:rPr>
            </w:pPr>
            <w:r>
              <w:rPr>
                <w:noProof/>
                <w:sz w:val="20"/>
                <w:szCs w:val="20"/>
              </w:rPr>
              <w:t>16 035 070</w:t>
            </w:r>
          </w:p>
        </w:tc>
      </w:tr>
      <w:tr w:rsidR="007C6157" w:rsidRPr="00397C78" w14:paraId="5B447434" w14:textId="77777777" w:rsidTr="00D66215">
        <w:trPr>
          <w:trHeight w:val="283"/>
        </w:trPr>
        <w:tc>
          <w:tcPr>
            <w:tcW w:w="986" w:type="pct"/>
            <w:noWrap/>
            <w:vAlign w:val="center"/>
            <w:hideMark/>
          </w:tcPr>
          <w:p w14:paraId="4BF800EA"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one-off adjustment</w:t>
            </w:r>
          </w:p>
        </w:tc>
        <w:tc>
          <w:tcPr>
            <w:tcW w:w="915" w:type="pct"/>
            <w:vAlign w:val="center"/>
          </w:tcPr>
          <w:p w14:paraId="0447E17C" w14:textId="0C956B79"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54A208AB" w14:textId="02970348"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514BF4A6" w14:textId="54C9F7B1" w:rsidR="007C6157" w:rsidRPr="00830841" w:rsidRDefault="007C6157" w:rsidP="007C6157">
            <w:pPr>
              <w:spacing w:after="0"/>
              <w:jc w:val="right"/>
              <w:rPr>
                <w:noProof/>
                <w:sz w:val="20"/>
                <w:szCs w:val="20"/>
              </w:rPr>
            </w:pPr>
            <w:r w:rsidRPr="00FA63C0">
              <w:rPr>
                <w:noProof/>
                <w:sz w:val="20"/>
                <w:szCs w:val="20"/>
              </w:rPr>
              <w:t xml:space="preserve"> -   </w:t>
            </w:r>
          </w:p>
        </w:tc>
        <w:tc>
          <w:tcPr>
            <w:tcW w:w="634" w:type="pct"/>
          </w:tcPr>
          <w:p w14:paraId="673371EB" w14:textId="3B980030" w:rsidR="007C6157" w:rsidRPr="00830841" w:rsidRDefault="007C6157" w:rsidP="007C6157">
            <w:pPr>
              <w:spacing w:after="0"/>
              <w:jc w:val="right"/>
              <w:rPr>
                <w:noProof/>
                <w:sz w:val="20"/>
                <w:szCs w:val="20"/>
              </w:rPr>
            </w:pPr>
            <w:r w:rsidRPr="00830841">
              <w:rPr>
                <w:noProof/>
                <w:sz w:val="20"/>
                <w:szCs w:val="20"/>
              </w:rPr>
              <w:t xml:space="preserve"> </w:t>
            </w:r>
            <w:r w:rsidRPr="00830841">
              <w:rPr>
                <w:noProof/>
                <w:sz w:val="20"/>
                <w:szCs w:val="20"/>
                <w:lang w:eastAsia="en-US"/>
              </w:rPr>
              <w:t>368</w:t>
            </w:r>
            <w:r>
              <w:rPr>
                <w:noProof/>
                <w:sz w:val="20"/>
                <w:szCs w:val="20"/>
              </w:rPr>
              <w:t xml:space="preserve"> </w:t>
            </w:r>
            <w:r w:rsidRPr="00830841">
              <w:rPr>
                <w:noProof/>
                <w:sz w:val="20"/>
                <w:szCs w:val="20"/>
                <w:lang w:eastAsia="en-US"/>
              </w:rPr>
              <w:t>538</w:t>
            </w:r>
            <w:r w:rsidRPr="00830841">
              <w:rPr>
                <w:noProof/>
                <w:sz w:val="20"/>
                <w:szCs w:val="20"/>
              </w:rPr>
              <w:t xml:space="preserve"> </w:t>
            </w:r>
          </w:p>
        </w:tc>
        <w:tc>
          <w:tcPr>
            <w:tcW w:w="564" w:type="pct"/>
            <w:noWrap/>
            <w:vAlign w:val="center"/>
          </w:tcPr>
          <w:p w14:paraId="3BA6307E" w14:textId="0F67CA0C" w:rsidR="007C6157" w:rsidRPr="00464CEA" w:rsidRDefault="007C6157" w:rsidP="007C6157">
            <w:pPr>
              <w:spacing w:after="0"/>
              <w:jc w:val="right"/>
              <w:rPr>
                <w:noProof/>
                <w:sz w:val="20"/>
                <w:szCs w:val="20"/>
                <w:lang w:val="en-IE" w:eastAsia="en-IE"/>
              </w:rPr>
            </w:pPr>
            <w:r w:rsidRPr="00830841">
              <w:rPr>
                <w:noProof/>
                <w:sz w:val="20"/>
                <w:szCs w:val="20"/>
              </w:rPr>
              <w:t xml:space="preserve"> 368 538 </w:t>
            </w:r>
          </w:p>
        </w:tc>
        <w:tc>
          <w:tcPr>
            <w:tcW w:w="493" w:type="pct"/>
            <w:noWrap/>
            <w:vAlign w:val="center"/>
          </w:tcPr>
          <w:p w14:paraId="719F2FBB" w14:textId="4FF466A3" w:rsidR="007C6157" w:rsidRPr="00464CEA" w:rsidRDefault="005C7D89" w:rsidP="007C6157">
            <w:pPr>
              <w:spacing w:after="0"/>
              <w:jc w:val="right"/>
              <w:rPr>
                <w:noProof/>
                <w:sz w:val="20"/>
                <w:szCs w:val="20"/>
                <w:lang w:val="en-IE" w:eastAsia="en-IE"/>
              </w:rPr>
            </w:pPr>
            <w:r w:rsidRPr="00830841">
              <w:rPr>
                <w:noProof/>
                <w:sz w:val="20"/>
                <w:szCs w:val="20"/>
              </w:rPr>
              <w:t xml:space="preserve"> 368 538 </w:t>
            </w:r>
          </w:p>
        </w:tc>
        <w:tc>
          <w:tcPr>
            <w:tcW w:w="492" w:type="pct"/>
            <w:noWrap/>
            <w:vAlign w:val="center"/>
          </w:tcPr>
          <w:p w14:paraId="02F71099" w14:textId="6E126084" w:rsidR="007C6157" w:rsidRPr="00464CEA" w:rsidRDefault="005C7D89" w:rsidP="007C6157">
            <w:pPr>
              <w:spacing w:after="0"/>
              <w:jc w:val="right"/>
              <w:rPr>
                <w:noProof/>
                <w:sz w:val="20"/>
                <w:szCs w:val="20"/>
                <w:lang w:val="en-IE" w:eastAsia="en-IE"/>
              </w:rPr>
            </w:pPr>
            <w:r w:rsidRPr="00830841">
              <w:rPr>
                <w:noProof/>
                <w:sz w:val="20"/>
                <w:szCs w:val="20"/>
              </w:rPr>
              <w:t xml:space="preserve"> 368 538 </w:t>
            </w:r>
          </w:p>
        </w:tc>
      </w:tr>
      <w:tr w:rsidR="007C6157" w:rsidRPr="00397C78" w14:paraId="5C9E2F99" w14:textId="77777777" w:rsidTr="00D66215">
        <w:trPr>
          <w:trHeight w:val="283"/>
        </w:trPr>
        <w:tc>
          <w:tcPr>
            <w:tcW w:w="986" w:type="pct"/>
            <w:noWrap/>
            <w:vAlign w:val="center"/>
            <w:hideMark/>
          </w:tcPr>
          <w:p w14:paraId="6C2AD8B0"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recurrent adjustment</w:t>
            </w:r>
          </w:p>
        </w:tc>
        <w:tc>
          <w:tcPr>
            <w:tcW w:w="915" w:type="pct"/>
            <w:vAlign w:val="center"/>
          </w:tcPr>
          <w:p w14:paraId="42C7DB10" w14:textId="5B48CBA9"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082BC9DC" w14:textId="76658784"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7A950339" w14:textId="63301BBD" w:rsidR="007C6157" w:rsidRPr="00FA63C0" w:rsidRDefault="007C6157" w:rsidP="007C6157">
            <w:pPr>
              <w:spacing w:after="0"/>
              <w:jc w:val="right"/>
              <w:rPr>
                <w:noProof/>
                <w:sz w:val="20"/>
                <w:szCs w:val="20"/>
              </w:rPr>
            </w:pPr>
            <w:r w:rsidRPr="00FA63C0">
              <w:rPr>
                <w:noProof/>
                <w:sz w:val="20"/>
                <w:szCs w:val="20"/>
              </w:rPr>
              <w:t xml:space="preserve"> -   </w:t>
            </w:r>
          </w:p>
        </w:tc>
        <w:tc>
          <w:tcPr>
            <w:tcW w:w="634" w:type="pct"/>
            <w:vAlign w:val="center"/>
          </w:tcPr>
          <w:p w14:paraId="12EBB69F" w14:textId="10F74EC1"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564" w:type="pct"/>
            <w:noWrap/>
            <w:vAlign w:val="center"/>
          </w:tcPr>
          <w:p w14:paraId="77C99FFD" w14:textId="335CA6E7" w:rsidR="007C6157" w:rsidRPr="001B745D" w:rsidRDefault="007C6157" w:rsidP="007C6157">
            <w:pPr>
              <w:spacing w:after="0"/>
              <w:jc w:val="right"/>
              <w:rPr>
                <w:noProof/>
                <w:sz w:val="20"/>
                <w:szCs w:val="20"/>
                <w:lang w:val="en-IE" w:eastAsia="en-IE"/>
              </w:rPr>
            </w:pPr>
            <w:r w:rsidRPr="00FA63C0">
              <w:rPr>
                <w:noProof/>
                <w:sz w:val="20"/>
                <w:szCs w:val="20"/>
              </w:rPr>
              <w:t xml:space="preserve"> -   </w:t>
            </w:r>
          </w:p>
        </w:tc>
        <w:tc>
          <w:tcPr>
            <w:tcW w:w="493" w:type="pct"/>
            <w:noWrap/>
            <w:vAlign w:val="center"/>
          </w:tcPr>
          <w:p w14:paraId="0D0BAFE3" w14:textId="606211FE" w:rsidR="007C6157" w:rsidRPr="001B745D" w:rsidRDefault="007C6157" w:rsidP="007C6157">
            <w:pPr>
              <w:spacing w:after="0"/>
              <w:jc w:val="right"/>
              <w:rPr>
                <w:noProof/>
                <w:sz w:val="20"/>
                <w:szCs w:val="20"/>
                <w:lang w:val="en-IE" w:eastAsia="en-IE"/>
              </w:rPr>
            </w:pPr>
            <w:r w:rsidRPr="00FA63C0">
              <w:rPr>
                <w:noProof/>
                <w:sz w:val="20"/>
                <w:szCs w:val="20"/>
              </w:rPr>
              <w:t xml:space="preserve">-   </w:t>
            </w:r>
          </w:p>
        </w:tc>
        <w:tc>
          <w:tcPr>
            <w:tcW w:w="492" w:type="pct"/>
            <w:noWrap/>
            <w:vAlign w:val="center"/>
          </w:tcPr>
          <w:p w14:paraId="14675E6D" w14:textId="4AFE1B97" w:rsidR="007C6157" w:rsidRPr="001B745D"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0A7265" w14:paraId="38D4AC65" w14:textId="77777777" w:rsidTr="00D66215">
        <w:trPr>
          <w:trHeight w:val="283"/>
        </w:trPr>
        <w:tc>
          <w:tcPr>
            <w:tcW w:w="986" w:type="pct"/>
            <w:noWrap/>
            <w:vAlign w:val="center"/>
            <w:hideMark/>
          </w:tcPr>
          <w:p w14:paraId="3B94DCAB"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915" w:type="pct"/>
            <w:vAlign w:val="center"/>
          </w:tcPr>
          <w:p w14:paraId="58E26F06" w14:textId="12B9EFE8"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01CA3065" w14:textId="300CD329"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7F79AD21" w14:textId="47A5102E" w:rsidR="007C6157" w:rsidRPr="00FA63C0" w:rsidRDefault="007C6157" w:rsidP="007C6157">
            <w:pPr>
              <w:spacing w:after="0"/>
              <w:jc w:val="right"/>
              <w:rPr>
                <w:noProof/>
                <w:sz w:val="20"/>
                <w:szCs w:val="20"/>
              </w:rPr>
            </w:pPr>
            <w:r w:rsidRPr="00FA63C0">
              <w:rPr>
                <w:noProof/>
                <w:sz w:val="20"/>
                <w:szCs w:val="20"/>
              </w:rPr>
              <w:t xml:space="preserve"> -   </w:t>
            </w:r>
          </w:p>
        </w:tc>
        <w:tc>
          <w:tcPr>
            <w:tcW w:w="634" w:type="pct"/>
            <w:vAlign w:val="center"/>
          </w:tcPr>
          <w:p w14:paraId="44AF45CB" w14:textId="72AA0473"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564" w:type="pct"/>
            <w:noWrap/>
            <w:vAlign w:val="center"/>
          </w:tcPr>
          <w:p w14:paraId="131551F2"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c>
          <w:tcPr>
            <w:tcW w:w="493" w:type="pct"/>
            <w:noWrap/>
            <w:vAlign w:val="center"/>
          </w:tcPr>
          <w:p w14:paraId="33F56930"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w:t>
            </w:r>
          </w:p>
        </w:tc>
        <w:tc>
          <w:tcPr>
            <w:tcW w:w="492" w:type="pct"/>
            <w:noWrap/>
            <w:vAlign w:val="center"/>
          </w:tcPr>
          <w:p w14:paraId="68D119B9"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0A7265" w14:paraId="7ECAA43E" w14:textId="77777777" w:rsidTr="00D66215">
        <w:trPr>
          <w:trHeight w:val="283"/>
        </w:trPr>
        <w:tc>
          <w:tcPr>
            <w:tcW w:w="986" w:type="pct"/>
            <w:noWrap/>
            <w:vAlign w:val="center"/>
            <w:hideMark/>
          </w:tcPr>
          <w:p w14:paraId="51E65E88"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915" w:type="pct"/>
            <w:vAlign w:val="center"/>
          </w:tcPr>
          <w:p w14:paraId="0DC557F5" w14:textId="02356523"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66CC0F98" w14:textId="770D8E34"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2310998F" w14:textId="226A8B7B" w:rsidR="007C6157" w:rsidRPr="00FA63C0" w:rsidRDefault="007C6157" w:rsidP="007C6157">
            <w:pPr>
              <w:spacing w:after="0"/>
              <w:jc w:val="right"/>
              <w:rPr>
                <w:noProof/>
                <w:sz w:val="20"/>
                <w:szCs w:val="20"/>
              </w:rPr>
            </w:pPr>
            <w:r w:rsidRPr="00FA63C0">
              <w:rPr>
                <w:noProof/>
                <w:sz w:val="20"/>
                <w:szCs w:val="20"/>
              </w:rPr>
              <w:t xml:space="preserve"> -   </w:t>
            </w:r>
          </w:p>
        </w:tc>
        <w:tc>
          <w:tcPr>
            <w:tcW w:w="634" w:type="pct"/>
            <w:vAlign w:val="center"/>
          </w:tcPr>
          <w:p w14:paraId="3D7F1FE6" w14:textId="25E025A3"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564" w:type="pct"/>
            <w:noWrap/>
            <w:vAlign w:val="center"/>
          </w:tcPr>
          <w:p w14:paraId="50F780B0"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c>
          <w:tcPr>
            <w:tcW w:w="493" w:type="pct"/>
            <w:noWrap/>
            <w:vAlign w:val="center"/>
          </w:tcPr>
          <w:p w14:paraId="4210BA60"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w:t>
            </w:r>
          </w:p>
        </w:tc>
        <w:tc>
          <w:tcPr>
            <w:tcW w:w="492" w:type="pct"/>
            <w:noWrap/>
            <w:vAlign w:val="center"/>
          </w:tcPr>
          <w:p w14:paraId="16CAD7EF"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0A7265" w14:paraId="1E9A2A82" w14:textId="77777777" w:rsidTr="00D66215">
        <w:trPr>
          <w:trHeight w:val="283"/>
        </w:trPr>
        <w:tc>
          <w:tcPr>
            <w:tcW w:w="986" w:type="pct"/>
            <w:noWrap/>
            <w:vAlign w:val="center"/>
            <w:hideMark/>
          </w:tcPr>
          <w:p w14:paraId="3F0BD61C"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915" w:type="pct"/>
            <w:vAlign w:val="center"/>
          </w:tcPr>
          <w:p w14:paraId="4421C61D" w14:textId="557598A0"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5EBA2D7C" w14:textId="5E155793"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4A11CD05" w14:textId="6C75AE32" w:rsidR="007C6157" w:rsidRPr="00FA63C0" w:rsidRDefault="007C6157" w:rsidP="007C6157">
            <w:pPr>
              <w:spacing w:after="0"/>
              <w:jc w:val="right"/>
              <w:rPr>
                <w:noProof/>
                <w:sz w:val="20"/>
                <w:szCs w:val="20"/>
              </w:rPr>
            </w:pPr>
            <w:r w:rsidRPr="00FA63C0">
              <w:rPr>
                <w:noProof/>
                <w:sz w:val="20"/>
                <w:szCs w:val="20"/>
              </w:rPr>
              <w:t xml:space="preserve"> -   </w:t>
            </w:r>
          </w:p>
        </w:tc>
        <w:tc>
          <w:tcPr>
            <w:tcW w:w="634" w:type="pct"/>
            <w:vAlign w:val="center"/>
          </w:tcPr>
          <w:p w14:paraId="276FDDEB" w14:textId="32824159"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564" w:type="pct"/>
            <w:noWrap/>
            <w:vAlign w:val="center"/>
          </w:tcPr>
          <w:p w14:paraId="09A13B1E"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c>
          <w:tcPr>
            <w:tcW w:w="493" w:type="pct"/>
            <w:noWrap/>
            <w:vAlign w:val="center"/>
          </w:tcPr>
          <w:p w14:paraId="0965B0F7"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w:t>
            </w:r>
          </w:p>
        </w:tc>
        <w:tc>
          <w:tcPr>
            <w:tcW w:w="492" w:type="pct"/>
            <w:noWrap/>
            <w:vAlign w:val="center"/>
          </w:tcPr>
          <w:p w14:paraId="1D4296A6" w14:textId="77777777" w:rsidR="007C6157" w:rsidRPr="000A7265"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A53ED9" w14:paraId="0933D76B" w14:textId="77777777" w:rsidTr="00D66215">
        <w:trPr>
          <w:trHeight w:val="283"/>
        </w:trPr>
        <w:tc>
          <w:tcPr>
            <w:tcW w:w="986" w:type="pct"/>
            <w:noWrap/>
            <w:vAlign w:val="center"/>
            <w:hideMark/>
          </w:tcPr>
          <w:p w14:paraId="1B5D8CA7" w14:textId="77777777" w:rsidR="007C6157" w:rsidRPr="00FA63C0" w:rsidRDefault="007C6157" w:rsidP="007C6157">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915" w:type="pct"/>
            <w:vAlign w:val="center"/>
          </w:tcPr>
          <w:p w14:paraId="6EE9AAD2" w14:textId="1B6D12B6"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vAlign w:val="center"/>
          </w:tcPr>
          <w:p w14:paraId="154B376C" w14:textId="73CD97D0"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423" w:type="pct"/>
            <w:vAlign w:val="center"/>
          </w:tcPr>
          <w:p w14:paraId="10A7D4E3" w14:textId="79A89D0F" w:rsidR="007C6157" w:rsidRPr="00FA63C0" w:rsidRDefault="007C6157" w:rsidP="007C6157">
            <w:pPr>
              <w:spacing w:after="0"/>
              <w:jc w:val="right"/>
              <w:rPr>
                <w:noProof/>
                <w:sz w:val="20"/>
                <w:szCs w:val="20"/>
              </w:rPr>
            </w:pPr>
            <w:r w:rsidRPr="00FA63C0">
              <w:rPr>
                <w:noProof/>
                <w:sz w:val="20"/>
                <w:szCs w:val="20"/>
              </w:rPr>
              <w:t xml:space="preserve"> -   </w:t>
            </w:r>
          </w:p>
        </w:tc>
        <w:tc>
          <w:tcPr>
            <w:tcW w:w="634" w:type="pct"/>
            <w:vAlign w:val="center"/>
          </w:tcPr>
          <w:p w14:paraId="0199EAE7" w14:textId="557BFD0E" w:rsidR="007C6157" w:rsidRPr="00FA63C0" w:rsidRDefault="007C6157" w:rsidP="007C6157">
            <w:pPr>
              <w:spacing w:after="0"/>
              <w:jc w:val="right"/>
              <w:rPr>
                <w:noProof/>
                <w:sz w:val="20"/>
                <w:szCs w:val="20"/>
                <w:lang w:val="en-IE" w:eastAsia="en-IE"/>
              </w:rPr>
            </w:pPr>
            <w:r w:rsidRPr="00FA63C0">
              <w:rPr>
                <w:noProof/>
                <w:sz w:val="20"/>
                <w:szCs w:val="20"/>
              </w:rPr>
              <w:t xml:space="preserve"> -   </w:t>
            </w:r>
          </w:p>
        </w:tc>
        <w:tc>
          <w:tcPr>
            <w:tcW w:w="564" w:type="pct"/>
            <w:noWrap/>
            <w:vAlign w:val="center"/>
          </w:tcPr>
          <w:p w14:paraId="08D54A08" w14:textId="77777777" w:rsidR="007C6157" w:rsidRPr="00C44537" w:rsidRDefault="007C6157" w:rsidP="007C6157">
            <w:pPr>
              <w:spacing w:after="0"/>
              <w:jc w:val="right"/>
              <w:rPr>
                <w:noProof/>
                <w:sz w:val="20"/>
                <w:szCs w:val="20"/>
                <w:lang w:val="en-IE" w:eastAsia="en-IE"/>
              </w:rPr>
            </w:pPr>
            <w:r w:rsidRPr="00FA63C0">
              <w:rPr>
                <w:noProof/>
                <w:sz w:val="20"/>
                <w:szCs w:val="20"/>
              </w:rPr>
              <w:t xml:space="preserve"> -   </w:t>
            </w:r>
          </w:p>
        </w:tc>
        <w:tc>
          <w:tcPr>
            <w:tcW w:w="493" w:type="pct"/>
            <w:noWrap/>
            <w:vAlign w:val="center"/>
          </w:tcPr>
          <w:p w14:paraId="7985CB87" w14:textId="77777777" w:rsidR="007C6157" w:rsidRPr="00C44537" w:rsidRDefault="007C6157" w:rsidP="007C6157">
            <w:pPr>
              <w:spacing w:after="0"/>
              <w:jc w:val="right"/>
              <w:rPr>
                <w:noProof/>
                <w:sz w:val="20"/>
                <w:szCs w:val="20"/>
                <w:lang w:val="en-IE" w:eastAsia="en-IE"/>
              </w:rPr>
            </w:pPr>
            <w:r w:rsidRPr="00FA63C0">
              <w:rPr>
                <w:noProof/>
                <w:sz w:val="20"/>
                <w:szCs w:val="20"/>
              </w:rPr>
              <w:t xml:space="preserve">-   </w:t>
            </w:r>
          </w:p>
        </w:tc>
        <w:tc>
          <w:tcPr>
            <w:tcW w:w="492" w:type="pct"/>
            <w:noWrap/>
            <w:vAlign w:val="center"/>
          </w:tcPr>
          <w:p w14:paraId="1CDDEF58" w14:textId="77777777" w:rsidR="007C6157" w:rsidRPr="00C44537"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397C78" w14:paraId="74CDA929" w14:textId="77777777" w:rsidTr="00D66215">
        <w:trPr>
          <w:trHeight w:val="283"/>
        </w:trPr>
        <w:tc>
          <w:tcPr>
            <w:tcW w:w="986" w:type="pct"/>
            <w:shd w:val="clear" w:color="auto" w:fill="F2DBDB" w:themeFill="accent2" w:themeFillTint="33"/>
            <w:noWrap/>
            <w:vAlign w:val="center"/>
            <w:hideMark/>
          </w:tcPr>
          <w:p w14:paraId="24DBCC2F" w14:textId="77777777" w:rsidR="007C6157" w:rsidRPr="00FA63C0" w:rsidRDefault="007C6157" w:rsidP="007C6157">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915" w:type="pct"/>
            <w:shd w:val="clear" w:color="auto" w:fill="F2DBDB" w:themeFill="accent2" w:themeFillTint="33"/>
            <w:vAlign w:val="center"/>
          </w:tcPr>
          <w:p w14:paraId="1F34F647" w14:textId="34EDA276" w:rsidR="007C6157" w:rsidRPr="00830841" w:rsidRDefault="007C6157" w:rsidP="007C6157">
            <w:pPr>
              <w:spacing w:after="0"/>
              <w:jc w:val="right"/>
              <w:rPr>
                <w:noProof/>
                <w:sz w:val="20"/>
                <w:szCs w:val="20"/>
              </w:rPr>
            </w:pPr>
            <w:r w:rsidRPr="001C0309">
              <w:rPr>
                <w:noProof/>
                <w:sz w:val="20"/>
                <w:szCs w:val="20"/>
              </w:rPr>
              <w:t>2</w:t>
            </w:r>
            <w:r>
              <w:rPr>
                <w:noProof/>
                <w:sz w:val="20"/>
                <w:szCs w:val="20"/>
              </w:rPr>
              <w:t xml:space="preserve"> </w:t>
            </w:r>
            <w:r w:rsidRPr="001C0309">
              <w:rPr>
                <w:noProof/>
                <w:sz w:val="20"/>
                <w:szCs w:val="20"/>
              </w:rPr>
              <w:t>145</w:t>
            </w:r>
            <w:r>
              <w:rPr>
                <w:noProof/>
                <w:sz w:val="20"/>
                <w:szCs w:val="20"/>
              </w:rPr>
              <w:t xml:space="preserve"> </w:t>
            </w:r>
            <w:r w:rsidRPr="001C0309">
              <w:rPr>
                <w:noProof/>
                <w:sz w:val="20"/>
                <w:szCs w:val="20"/>
              </w:rPr>
              <w:t>381</w:t>
            </w:r>
          </w:p>
        </w:tc>
        <w:tc>
          <w:tcPr>
            <w:tcW w:w="493" w:type="pct"/>
            <w:shd w:val="clear" w:color="auto" w:fill="F2DBDB" w:themeFill="accent2" w:themeFillTint="33"/>
            <w:vAlign w:val="center"/>
          </w:tcPr>
          <w:p w14:paraId="4DD8B50B" w14:textId="520D97F8" w:rsidR="007C6157" w:rsidRPr="00FA63C0" w:rsidRDefault="00B9226D" w:rsidP="007C6157">
            <w:pPr>
              <w:spacing w:after="0"/>
              <w:jc w:val="right"/>
              <w:rPr>
                <w:b/>
                <w:bCs/>
                <w:noProof/>
                <w:sz w:val="20"/>
                <w:szCs w:val="20"/>
                <w:lang w:val="en-IE" w:eastAsia="en-IE"/>
              </w:rPr>
            </w:pPr>
            <w:r>
              <w:rPr>
                <w:noProof/>
                <w:sz w:val="20"/>
                <w:szCs w:val="20"/>
                <w:lang w:val="en-IE" w:eastAsia="en-IE"/>
              </w:rPr>
              <w:t>11 087 874</w:t>
            </w:r>
          </w:p>
        </w:tc>
        <w:tc>
          <w:tcPr>
            <w:tcW w:w="423" w:type="pct"/>
            <w:shd w:val="clear" w:color="auto" w:fill="F2DBDB" w:themeFill="accent2" w:themeFillTint="33"/>
          </w:tcPr>
          <w:p w14:paraId="7FEC217F" w14:textId="7A8AC367" w:rsidR="007C6157" w:rsidRPr="00830841" w:rsidRDefault="007C6157" w:rsidP="007C6157">
            <w:pPr>
              <w:spacing w:after="0"/>
              <w:jc w:val="right"/>
              <w:rPr>
                <w:noProof/>
                <w:sz w:val="20"/>
                <w:szCs w:val="20"/>
                <w:lang w:val="en-IE" w:eastAsia="en-IE"/>
              </w:rPr>
            </w:pPr>
            <w:r w:rsidRPr="007C6157">
              <w:rPr>
                <w:noProof/>
                <w:sz w:val="20"/>
                <w:szCs w:val="20"/>
              </w:rPr>
              <w:t>1</w:t>
            </w:r>
            <w:r>
              <w:rPr>
                <w:noProof/>
                <w:sz w:val="20"/>
                <w:szCs w:val="20"/>
              </w:rPr>
              <w:t xml:space="preserve"> </w:t>
            </w:r>
            <w:r w:rsidRPr="007C6157">
              <w:rPr>
                <w:noProof/>
                <w:sz w:val="20"/>
                <w:szCs w:val="20"/>
              </w:rPr>
              <w:t>437</w:t>
            </w:r>
            <w:r>
              <w:rPr>
                <w:noProof/>
                <w:sz w:val="20"/>
                <w:szCs w:val="20"/>
              </w:rPr>
              <w:t xml:space="preserve"> </w:t>
            </w:r>
            <w:r w:rsidRPr="007C6157">
              <w:rPr>
                <w:noProof/>
                <w:sz w:val="20"/>
                <w:szCs w:val="20"/>
              </w:rPr>
              <w:t>660</w:t>
            </w:r>
          </w:p>
        </w:tc>
        <w:tc>
          <w:tcPr>
            <w:tcW w:w="634" w:type="pct"/>
            <w:shd w:val="clear" w:color="auto" w:fill="F2DBDB" w:themeFill="accent2" w:themeFillTint="33"/>
            <w:vAlign w:val="center"/>
          </w:tcPr>
          <w:p w14:paraId="0DA64A21" w14:textId="77973C2A" w:rsidR="007C6157" w:rsidRPr="00830841" w:rsidRDefault="007C6157" w:rsidP="007C6157">
            <w:pPr>
              <w:spacing w:after="0"/>
              <w:jc w:val="right"/>
              <w:rPr>
                <w:noProof/>
                <w:sz w:val="20"/>
                <w:szCs w:val="20"/>
                <w:lang w:val="en-IE" w:eastAsia="en-IE"/>
              </w:rPr>
            </w:pPr>
            <w:r w:rsidRPr="00830841">
              <w:rPr>
                <w:noProof/>
                <w:sz w:val="20"/>
                <w:szCs w:val="20"/>
                <w:lang w:val="en-IE" w:eastAsia="en-IE"/>
              </w:rPr>
              <w:t>2</w:t>
            </w:r>
            <w:r>
              <w:rPr>
                <w:noProof/>
                <w:sz w:val="20"/>
                <w:szCs w:val="20"/>
                <w:lang w:val="en-IE" w:eastAsia="en-IE"/>
              </w:rPr>
              <w:t xml:space="preserve"> </w:t>
            </w:r>
            <w:r w:rsidRPr="00830841">
              <w:rPr>
                <w:noProof/>
                <w:sz w:val="20"/>
                <w:szCs w:val="20"/>
                <w:lang w:val="en-IE" w:eastAsia="en-IE"/>
              </w:rPr>
              <w:t>083</w:t>
            </w:r>
            <w:r>
              <w:rPr>
                <w:noProof/>
                <w:sz w:val="20"/>
                <w:szCs w:val="20"/>
                <w:lang w:val="en-IE" w:eastAsia="en-IE"/>
              </w:rPr>
              <w:t xml:space="preserve"> </w:t>
            </w:r>
            <w:r w:rsidRPr="00830841">
              <w:rPr>
                <w:noProof/>
                <w:sz w:val="20"/>
                <w:szCs w:val="20"/>
                <w:lang w:val="en-IE" w:eastAsia="en-IE"/>
              </w:rPr>
              <w:t>079</w:t>
            </w:r>
          </w:p>
        </w:tc>
        <w:tc>
          <w:tcPr>
            <w:tcW w:w="564" w:type="pct"/>
            <w:shd w:val="clear" w:color="auto" w:fill="F2DBDB" w:themeFill="accent2" w:themeFillTint="33"/>
            <w:noWrap/>
            <w:vAlign w:val="center"/>
          </w:tcPr>
          <w:p w14:paraId="3F769361" w14:textId="6E8BF436" w:rsidR="007C6157" w:rsidRPr="00464CEA" w:rsidRDefault="007C6157" w:rsidP="007C6157">
            <w:pPr>
              <w:spacing w:after="0"/>
              <w:jc w:val="right"/>
              <w:rPr>
                <w:noProof/>
                <w:sz w:val="20"/>
                <w:szCs w:val="20"/>
              </w:rPr>
            </w:pPr>
            <w:r w:rsidRPr="00830841">
              <w:rPr>
                <w:noProof/>
                <w:sz w:val="20"/>
                <w:szCs w:val="20"/>
              </w:rPr>
              <w:t xml:space="preserve"> </w:t>
            </w:r>
            <w:r w:rsidR="005C7D89">
              <w:rPr>
                <w:noProof/>
                <w:sz w:val="20"/>
                <w:szCs w:val="20"/>
              </w:rPr>
              <w:t>16 753 994</w:t>
            </w:r>
            <w:r w:rsidRPr="00830841">
              <w:rPr>
                <w:noProof/>
                <w:sz w:val="20"/>
                <w:szCs w:val="20"/>
              </w:rPr>
              <w:t xml:space="preserve"> </w:t>
            </w:r>
          </w:p>
        </w:tc>
        <w:tc>
          <w:tcPr>
            <w:tcW w:w="493" w:type="pct"/>
            <w:shd w:val="clear" w:color="auto" w:fill="F2DBDB" w:themeFill="accent2" w:themeFillTint="33"/>
            <w:noWrap/>
            <w:vAlign w:val="center"/>
          </w:tcPr>
          <w:p w14:paraId="4300BD57" w14:textId="0A24A3C5" w:rsidR="007C6157" w:rsidRPr="00464CEA" w:rsidRDefault="005C7D89" w:rsidP="007C6157">
            <w:pPr>
              <w:spacing w:after="0"/>
              <w:jc w:val="right"/>
              <w:rPr>
                <w:noProof/>
                <w:sz w:val="20"/>
                <w:szCs w:val="20"/>
              </w:rPr>
            </w:pPr>
            <w:r>
              <w:rPr>
                <w:noProof/>
                <w:sz w:val="20"/>
                <w:szCs w:val="20"/>
              </w:rPr>
              <w:t>16 753 994</w:t>
            </w:r>
          </w:p>
        </w:tc>
        <w:tc>
          <w:tcPr>
            <w:tcW w:w="492" w:type="pct"/>
            <w:shd w:val="clear" w:color="auto" w:fill="F2DBDB" w:themeFill="accent2" w:themeFillTint="33"/>
            <w:noWrap/>
            <w:vAlign w:val="center"/>
          </w:tcPr>
          <w:p w14:paraId="0E6C88ED" w14:textId="3AAB82A0" w:rsidR="007C6157" w:rsidRPr="00464CEA" w:rsidRDefault="005C7D89" w:rsidP="007C6157">
            <w:pPr>
              <w:spacing w:after="0"/>
              <w:jc w:val="right"/>
              <w:rPr>
                <w:noProof/>
                <w:sz w:val="20"/>
                <w:szCs w:val="20"/>
              </w:rPr>
            </w:pPr>
            <w:r>
              <w:rPr>
                <w:noProof/>
                <w:sz w:val="20"/>
                <w:szCs w:val="20"/>
              </w:rPr>
              <w:t>16 753 994</w:t>
            </w:r>
          </w:p>
        </w:tc>
      </w:tr>
      <w:tr w:rsidR="007C6157" w:rsidRPr="007B1859" w14:paraId="5AF93D0B" w14:textId="77777777" w:rsidTr="00D66215">
        <w:trPr>
          <w:trHeight w:val="283"/>
        </w:trPr>
        <w:tc>
          <w:tcPr>
            <w:tcW w:w="986" w:type="pct"/>
            <w:shd w:val="clear" w:color="auto" w:fill="EAF1DD" w:themeFill="accent3" w:themeFillTint="33"/>
            <w:noWrap/>
            <w:vAlign w:val="center"/>
            <w:hideMark/>
          </w:tcPr>
          <w:p w14:paraId="10DF8B86" w14:textId="77777777" w:rsidR="007C6157" w:rsidRPr="00FA63C0" w:rsidRDefault="007C6157" w:rsidP="007C6157">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915" w:type="pct"/>
            <w:shd w:val="clear" w:color="auto" w:fill="EAF1DD" w:themeFill="accent3" w:themeFillTint="33"/>
            <w:vAlign w:val="center"/>
          </w:tcPr>
          <w:p w14:paraId="6AF85072" w14:textId="6BBFAB46" w:rsidR="007C6157" w:rsidRPr="00830841" w:rsidRDefault="007C6157" w:rsidP="007C6157">
            <w:pPr>
              <w:spacing w:after="0"/>
              <w:jc w:val="right"/>
              <w:rPr>
                <w:noProof/>
                <w:sz w:val="20"/>
                <w:szCs w:val="20"/>
              </w:rPr>
            </w:pPr>
            <w:r w:rsidRPr="00FA63C0">
              <w:rPr>
                <w:noProof/>
                <w:sz w:val="20"/>
                <w:szCs w:val="20"/>
              </w:rPr>
              <w:t xml:space="preserve"> -   </w:t>
            </w:r>
          </w:p>
        </w:tc>
        <w:tc>
          <w:tcPr>
            <w:tcW w:w="493" w:type="pct"/>
            <w:shd w:val="clear" w:color="auto" w:fill="EAF1DD" w:themeFill="accent3" w:themeFillTint="33"/>
            <w:vAlign w:val="center"/>
          </w:tcPr>
          <w:p w14:paraId="53330B2A" w14:textId="331A7F56" w:rsidR="007C6157" w:rsidRPr="00FA63C0" w:rsidRDefault="007C6157" w:rsidP="007C6157">
            <w:pPr>
              <w:spacing w:after="0"/>
              <w:jc w:val="right"/>
              <w:rPr>
                <w:b/>
                <w:bCs/>
                <w:noProof/>
                <w:sz w:val="20"/>
                <w:szCs w:val="20"/>
                <w:lang w:val="en-IE" w:eastAsia="en-IE"/>
              </w:rPr>
            </w:pPr>
            <w:r w:rsidRPr="00FA63C0">
              <w:rPr>
                <w:noProof/>
                <w:sz w:val="20"/>
                <w:szCs w:val="20"/>
              </w:rPr>
              <w:t xml:space="preserve">-   </w:t>
            </w:r>
          </w:p>
        </w:tc>
        <w:tc>
          <w:tcPr>
            <w:tcW w:w="423" w:type="pct"/>
            <w:shd w:val="clear" w:color="auto" w:fill="EAF1DD" w:themeFill="accent3" w:themeFillTint="33"/>
          </w:tcPr>
          <w:p w14:paraId="31076593" w14:textId="11C75ACA" w:rsidR="007C6157" w:rsidRPr="00FA63C0" w:rsidRDefault="007C6157" w:rsidP="007C6157">
            <w:pPr>
              <w:spacing w:after="0"/>
              <w:jc w:val="right"/>
              <w:rPr>
                <w:noProof/>
                <w:sz w:val="20"/>
                <w:szCs w:val="20"/>
              </w:rPr>
            </w:pPr>
            <w:r>
              <w:rPr>
                <w:noProof/>
                <w:sz w:val="20"/>
                <w:szCs w:val="20"/>
              </w:rPr>
              <w:t>-</w:t>
            </w:r>
          </w:p>
        </w:tc>
        <w:tc>
          <w:tcPr>
            <w:tcW w:w="634" w:type="pct"/>
            <w:shd w:val="clear" w:color="auto" w:fill="EAF1DD" w:themeFill="accent3" w:themeFillTint="33"/>
            <w:vAlign w:val="center"/>
          </w:tcPr>
          <w:p w14:paraId="68403DDF" w14:textId="4E9B25D6" w:rsidR="007C6157" w:rsidRPr="00FA63C0" w:rsidRDefault="007C6157" w:rsidP="007C6157">
            <w:pPr>
              <w:spacing w:after="0"/>
              <w:jc w:val="right"/>
              <w:rPr>
                <w:b/>
                <w:bCs/>
                <w:noProof/>
                <w:sz w:val="20"/>
                <w:szCs w:val="20"/>
                <w:lang w:val="en-IE" w:eastAsia="en-IE"/>
              </w:rPr>
            </w:pPr>
            <w:r w:rsidRPr="00FA63C0">
              <w:rPr>
                <w:noProof/>
                <w:sz w:val="20"/>
                <w:szCs w:val="20"/>
              </w:rPr>
              <w:t xml:space="preserve"> -   </w:t>
            </w:r>
          </w:p>
        </w:tc>
        <w:tc>
          <w:tcPr>
            <w:tcW w:w="564" w:type="pct"/>
            <w:shd w:val="clear" w:color="auto" w:fill="EAF1DD" w:themeFill="accent3" w:themeFillTint="33"/>
            <w:noWrap/>
            <w:vAlign w:val="center"/>
          </w:tcPr>
          <w:p w14:paraId="03927845" w14:textId="77777777" w:rsidR="007C6157" w:rsidRPr="007B1859" w:rsidRDefault="007C6157" w:rsidP="007C6157">
            <w:pPr>
              <w:spacing w:after="0"/>
              <w:jc w:val="right"/>
              <w:rPr>
                <w:noProof/>
                <w:sz w:val="20"/>
                <w:szCs w:val="20"/>
                <w:lang w:val="en-IE" w:eastAsia="en-IE"/>
              </w:rPr>
            </w:pPr>
            <w:r w:rsidRPr="00FA63C0">
              <w:rPr>
                <w:noProof/>
                <w:sz w:val="20"/>
                <w:szCs w:val="20"/>
              </w:rPr>
              <w:t xml:space="preserve"> -   </w:t>
            </w:r>
          </w:p>
        </w:tc>
        <w:tc>
          <w:tcPr>
            <w:tcW w:w="493" w:type="pct"/>
            <w:shd w:val="clear" w:color="auto" w:fill="EAF1DD" w:themeFill="accent3" w:themeFillTint="33"/>
            <w:noWrap/>
            <w:vAlign w:val="center"/>
          </w:tcPr>
          <w:p w14:paraId="251CA3E5" w14:textId="77777777" w:rsidR="007C6157" w:rsidRPr="007B1859" w:rsidRDefault="007C6157" w:rsidP="007C6157">
            <w:pPr>
              <w:spacing w:after="0"/>
              <w:jc w:val="right"/>
              <w:rPr>
                <w:noProof/>
                <w:sz w:val="20"/>
                <w:szCs w:val="20"/>
                <w:lang w:val="en-IE" w:eastAsia="en-IE"/>
              </w:rPr>
            </w:pPr>
            <w:r w:rsidRPr="00FA63C0">
              <w:rPr>
                <w:noProof/>
                <w:sz w:val="20"/>
                <w:szCs w:val="20"/>
              </w:rPr>
              <w:t xml:space="preserve">-   </w:t>
            </w:r>
          </w:p>
        </w:tc>
        <w:tc>
          <w:tcPr>
            <w:tcW w:w="492" w:type="pct"/>
            <w:shd w:val="clear" w:color="auto" w:fill="EAF1DD" w:themeFill="accent3" w:themeFillTint="33"/>
            <w:noWrap/>
            <w:vAlign w:val="center"/>
          </w:tcPr>
          <w:p w14:paraId="56C83DD7" w14:textId="77777777" w:rsidR="007C6157" w:rsidRPr="007B1859" w:rsidRDefault="007C6157" w:rsidP="007C6157">
            <w:pPr>
              <w:spacing w:after="0"/>
              <w:jc w:val="right"/>
              <w:rPr>
                <w:noProof/>
                <w:sz w:val="20"/>
                <w:szCs w:val="20"/>
                <w:lang w:val="en-IE" w:eastAsia="en-IE"/>
              </w:rPr>
            </w:pPr>
            <w:r w:rsidRPr="00FA63C0">
              <w:rPr>
                <w:noProof/>
                <w:sz w:val="20"/>
                <w:szCs w:val="20"/>
              </w:rPr>
              <w:t xml:space="preserve"> -   </w:t>
            </w:r>
          </w:p>
        </w:tc>
      </w:tr>
      <w:tr w:rsidR="007C6157" w:rsidRPr="007C40E5" w14:paraId="415CFCE4" w14:textId="77777777" w:rsidTr="00D66215">
        <w:trPr>
          <w:trHeight w:val="283"/>
        </w:trPr>
        <w:tc>
          <w:tcPr>
            <w:tcW w:w="986" w:type="pct"/>
            <w:shd w:val="clear" w:color="auto" w:fill="F2F2F2" w:themeFill="background1" w:themeFillShade="F2"/>
            <w:noWrap/>
            <w:vAlign w:val="center"/>
            <w:hideMark/>
          </w:tcPr>
          <w:p w14:paraId="26A7A3F7" w14:textId="77777777" w:rsidR="007C6157" w:rsidRPr="00FA63C0" w:rsidRDefault="007C6157" w:rsidP="007C6157">
            <w:pPr>
              <w:spacing w:after="0"/>
              <w:jc w:val="left"/>
              <w:rPr>
                <w:b/>
                <w:bCs/>
                <w:i/>
                <w:iCs/>
                <w:noProof/>
                <w:sz w:val="20"/>
                <w:szCs w:val="20"/>
                <w:lang w:val="en-IE" w:eastAsia="en-IE"/>
              </w:rPr>
            </w:pPr>
            <w:r w:rsidRPr="00FA63C0">
              <w:rPr>
                <w:b/>
                <w:bCs/>
                <w:i/>
                <w:iCs/>
                <w:noProof/>
                <w:sz w:val="20"/>
                <w:szCs w:val="20"/>
                <w:lang w:val="en-IE" w:eastAsia="en-IE"/>
              </w:rPr>
              <w:t>Net impact</w:t>
            </w:r>
          </w:p>
        </w:tc>
        <w:tc>
          <w:tcPr>
            <w:tcW w:w="915" w:type="pct"/>
            <w:shd w:val="clear" w:color="auto" w:fill="F2F2F2" w:themeFill="background1" w:themeFillShade="F2"/>
            <w:vAlign w:val="center"/>
          </w:tcPr>
          <w:p w14:paraId="084A13D3" w14:textId="02498C5E" w:rsidR="007C6157" w:rsidRPr="00830841" w:rsidRDefault="007C6157" w:rsidP="007C6157">
            <w:pPr>
              <w:spacing w:after="0"/>
              <w:jc w:val="right"/>
              <w:rPr>
                <w:b/>
                <w:noProof/>
                <w:sz w:val="20"/>
                <w:szCs w:val="20"/>
              </w:rPr>
            </w:pPr>
            <w:r w:rsidRPr="00830841">
              <w:rPr>
                <w:b/>
                <w:noProof/>
                <w:sz w:val="20"/>
                <w:szCs w:val="20"/>
              </w:rPr>
              <w:t>2 145 381</w:t>
            </w:r>
          </w:p>
        </w:tc>
        <w:tc>
          <w:tcPr>
            <w:tcW w:w="493" w:type="pct"/>
            <w:shd w:val="clear" w:color="auto" w:fill="F2F2F2" w:themeFill="background1" w:themeFillShade="F2"/>
            <w:vAlign w:val="center"/>
          </w:tcPr>
          <w:p w14:paraId="1CE73802" w14:textId="60BF0798" w:rsidR="007C6157" w:rsidRPr="005A278A" w:rsidRDefault="004A2D1C" w:rsidP="007C6157">
            <w:pPr>
              <w:spacing w:after="0"/>
              <w:jc w:val="right"/>
              <w:rPr>
                <w:b/>
                <w:bCs/>
                <w:noProof/>
                <w:sz w:val="20"/>
                <w:szCs w:val="20"/>
                <w:lang w:val="en-IE" w:eastAsia="en-IE"/>
              </w:rPr>
            </w:pPr>
            <w:r w:rsidRPr="00887FB2">
              <w:rPr>
                <w:b/>
                <w:bCs/>
                <w:noProof/>
                <w:sz w:val="20"/>
                <w:szCs w:val="20"/>
                <w:lang w:val="en-IE" w:eastAsia="en-IE"/>
              </w:rPr>
              <w:t>11 087 874</w:t>
            </w:r>
          </w:p>
        </w:tc>
        <w:tc>
          <w:tcPr>
            <w:tcW w:w="423" w:type="pct"/>
            <w:shd w:val="clear" w:color="auto" w:fill="F2F2F2" w:themeFill="background1" w:themeFillShade="F2"/>
          </w:tcPr>
          <w:p w14:paraId="0E1BCBA0" w14:textId="79BE5EE5" w:rsidR="007C6157" w:rsidRPr="007C6157" w:rsidRDefault="007C6157" w:rsidP="007C6157">
            <w:pPr>
              <w:spacing w:after="0"/>
              <w:jc w:val="right"/>
              <w:rPr>
                <w:b/>
                <w:bCs/>
                <w:noProof/>
                <w:sz w:val="20"/>
                <w:szCs w:val="20"/>
                <w:lang w:val="en-IE" w:eastAsia="en-IE"/>
              </w:rPr>
            </w:pPr>
            <w:r w:rsidRPr="00B05194">
              <w:rPr>
                <w:b/>
                <w:bCs/>
                <w:noProof/>
                <w:sz w:val="20"/>
                <w:szCs w:val="20"/>
              </w:rPr>
              <w:t>1 437 660</w:t>
            </w:r>
          </w:p>
        </w:tc>
        <w:tc>
          <w:tcPr>
            <w:tcW w:w="634" w:type="pct"/>
            <w:shd w:val="clear" w:color="auto" w:fill="F2F2F2" w:themeFill="background1" w:themeFillShade="F2"/>
            <w:vAlign w:val="center"/>
          </w:tcPr>
          <w:p w14:paraId="6D5C5A99" w14:textId="623B0AD7" w:rsidR="007C6157" w:rsidRPr="005A278A" w:rsidRDefault="007C6157" w:rsidP="007C6157">
            <w:pPr>
              <w:spacing w:after="0"/>
              <w:jc w:val="right"/>
              <w:rPr>
                <w:b/>
                <w:bCs/>
                <w:noProof/>
                <w:sz w:val="20"/>
                <w:szCs w:val="20"/>
                <w:lang w:val="en-IE" w:eastAsia="en-IE"/>
              </w:rPr>
            </w:pPr>
            <w:r w:rsidRPr="005A278A">
              <w:rPr>
                <w:b/>
                <w:bCs/>
                <w:noProof/>
                <w:sz w:val="20"/>
                <w:szCs w:val="20"/>
                <w:lang w:val="en-IE" w:eastAsia="en-IE"/>
              </w:rPr>
              <w:t>2 083 079</w:t>
            </w:r>
          </w:p>
        </w:tc>
        <w:tc>
          <w:tcPr>
            <w:tcW w:w="564" w:type="pct"/>
            <w:shd w:val="clear" w:color="auto" w:fill="F2F2F2" w:themeFill="background1" w:themeFillShade="F2"/>
            <w:noWrap/>
            <w:vAlign w:val="center"/>
          </w:tcPr>
          <w:p w14:paraId="0B0C906D" w14:textId="1B933966" w:rsidR="007C6157" w:rsidRPr="00464CEA" w:rsidRDefault="005C7D89" w:rsidP="007C6157">
            <w:pPr>
              <w:spacing w:after="0"/>
              <w:jc w:val="right"/>
              <w:rPr>
                <w:b/>
                <w:bCs/>
                <w:noProof/>
                <w:sz w:val="20"/>
                <w:szCs w:val="20"/>
                <w:lang w:val="en-IE" w:eastAsia="en-IE"/>
              </w:rPr>
            </w:pPr>
            <w:r w:rsidRPr="00887FB2">
              <w:rPr>
                <w:b/>
                <w:bCs/>
                <w:noProof/>
                <w:sz w:val="20"/>
                <w:szCs w:val="20"/>
              </w:rPr>
              <w:t>16 753 994</w:t>
            </w:r>
          </w:p>
        </w:tc>
        <w:tc>
          <w:tcPr>
            <w:tcW w:w="493" w:type="pct"/>
            <w:shd w:val="clear" w:color="auto" w:fill="F2F2F2" w:themeFill="background1" w:themeFillShade="F2"/>
            <w:noWrap/>
            <w:vAlign w:val="center"/>
          </w:tcPr>
          <w:p w14:paraId="7C0D6E5A" w14:textId="7A0DB619" w:rsidR="007C6157" w:rsidRPr="00464CEA" w:rsidRDefault="005C7D89" w:rsidP="007C6157">
            <w:pPr>
              <w:spacing w:after="0"/>
              <w:jc w:val="right"/>
              <w:rPr>
                <w:b/>
                <w:bCs/>
                <w:noProof/>
                <w:sz w:val="20"/>
                <w:szCs w:val="20"/>
                <w:lang w:val="en-IE" w:eastAsia="en-IE"/>
              </w:rPr>
            </w:pPr>
            <w:r w:rsidRPr="00640712">
              <w:rPr>
                <w:b/>
                <w:bCs/>
                <w:noProof/>
                <w:sz w:val="20"/>
                <w:szCs w:val="20"/>
              </w:rPr>
              <w:t>16 753 994</w:t>
            </w:r>
          </w:p>
        </w:tc>
        <w:tc>
          <w:tcPr>
            <w:tcW w:w="492" w:type="pct"/>
            <w:shd w:val="clear" w:color="auto" w:fill="F2F2F2" w:themeFill="background1" w:themeFillShade="F2"/>
            <w:noWrap/>
            <w:vAlign w:val="center"/>
          </w:tcPr>
          <w:p w14:paraId="2A4F5AD9" w14:textId="7B0FD830" w:rsidR="007C6157" w:rsidRPr="00464CEA" w:rsidRDefault="005C7D89" w:rsidP="007C6157">
            <w:pPr>
              <w:spacing w:after="0"/>
              <w:jc w:val="right"/>
              <w:rPr>
                <w:b/>
                <w:bCs/>
                <w:noProof/>
                <w:sz w:val="20"/>
                <w:szCs w:val="20"/>
                <w:lang w:val="en-IE" w:eastAsia="en-IE"/>
              </w:rPr>
            </w:pPr>
            <w:r w:rsidRPr="00640712">
              <w:rPr>
                <w:b/>
                <w:bCs/>
                <w:noProof/>
                <w:sz w:val="20"/>
                <w:szCs w:val="20"/>
              </w:rPr>
              <w:t>16 753 994</w:t>
            </w:r>
          </w:p>
        </w:tc>
      </w:tr>
    </w:tbl>
    <w:p w14:paraId="32E11E28" w14:textId="1CAAD146" w:rsidR="00454949" w:rsidRPr="001B5D0C" w:rsidRDefault="00454949" w:rsidP="00770B1A">
      <w:pPr>
        <w:pStyle w:val="Heading2"/>
        <w:numPr>
          <w:ilvl w:val="1"/>
          <w:numId w:val="10"/>
        </w:numPr>
        <w:tabs>
          <w:tab w:val="num" w:pos="283"/>
        </w:tabs>
        <w:spacing w:before="240"/>
        <w:ind w:left="1202"/>
        <w:rPr>
          <w:noProof/>
        </w:rPr>
      </w:pPr>
      <w:bookmarkStart w:id="226" w:name="_Toc208595313"/>
      <w:bookmarkStart w:id="227" w:name="_Toc208836938"/>
      <w:bookmarkStart w:id="228" w:name="_Toc214519719"/>
      <w:bookmarkStart w:id="229" w:name="_Toc216283370"/>
      <w:bookmarkStart w:id="230" w:name="_Toc228346925"/>
      <w:r w:rsidRPr="003376F3">
        <w:rPr>
          <w:noProof/>
        </w:rPr>
        <w:t xml:space="preserve">PM15: </w:t>
      </w:r>
      <w:bookmarkEnd w:id="226"/>
      <w:bookmarkEnd w:id="227"/>
      <w:r w:rsidR="00767302" w:rsidRPr="003376F3">
        <w:rPr>
          <w:noProof/>
        </w:rPr>
        <w:t xml:space="preserve">Voluntary </w:t>
      </w:r>
      <w:r w:rsidRPr="003376F3">
        <w:rPr>
          <w:noProof/>
        </w:rPr>
        <w:t xml:space="preserve">sovereign </w:t>
      </w:r>
      <w:r w:rsidR="00767302" w:rsidRPr="003376F3">
        <w:rPr>
          <w:noProof/>
        </w:rPr>
        <w:t xml:space="preserve">risk assessments for the use of </w:t>
      </w:r>
      <w:r w:rsidRPr="003376F3">
        <w:rPr>
          <w:noProof/>
        </w:rPr>
        <w:t xml:space="preserve">cloud and AI </w:t>
      </w:r>
      <w:bookmarkEnd w:id="228"/>
      <w:r w:rsidR="003859D5" w:rsidRPr="003376F3">
        <w:rPr>
          <w:noProof/>
        </w:rPr>
        <w:t>computing services</w:t>
      </w:r>
      <w:bookmarkEnd w:id="229"/>
      <w:r w:rsidR="00767302" w:rsidRPr="00767302">
        <w:rPr>
          <w:noProof/>
        </w:rPr>
        <w:t xml:space="preserve"> in the public sector</w:t>
      </w:r>
      <w:bookmarkEnd w:id="230"/>
    </w:p>
    <w:p w14:paraId="725D91F6" w14:textId="77777777" w:rsidR="00C24AEE" w:rsidRDefault="00C24AEE" w:rsidP="00352247">
      <w:pPr>
        <w:pStyle w:val="ListBullet"/>
        <w:numPr>
          <w:ilvl w:val="0"/>
          <w:numId w:val="0"/>
        </w:numPr>
        <w:spacing w:after="0"/>
        <w:rPr>
          <w:noProof/>
        </w:rPr>
      </w:pPr>
    </w:p>
    <w:p w14:paraId="558F0C01" w14:textId="676B00DB" w:rsidR="00807C96" w:rsidRDefault="00950FFA" w:rsidP="00950FFA">
      <w:pPr>
        <w:pStyle w:val="ListBullet"/>
        <w:numPr>
          <w:ilvl w:val="0"/>
          <w:numId w:val="0"/>
        </w:numPr>
        <w:spacing w:after="0"/>
        <w:rPr>
          <w:bCs/>
          <w:noProof/>
        </w:rPr>
      </w:pPr>
      <w:r w:rsidRPr="008872BC">
        <w:rPr>
          <w:b/>
          <w:bCs/>
          <w:noProof/>
        </w:rPr>
        <w:t>Policy Measure 15</w:t>
      </w:r>
      <w:r w:rsidRPr="008872BC">
        <w:rPr>
          <w:noProof/>
        </w:rPr>
        <w:t xml:space="preserve"> </w:t>
      </w:r>
      <w:r w:rsidRPr="008872BC">
        <w:rPr>
          <w:b/>
          <w:bCs/>
          <w:noProof/>
          <w:u w:val="single"/>
        </w:rPr>
        <w:t>(PM15)</w:t>
      </w:r>
      <w:r w:rsidRPr="008872BC">
        <w:rPr>
          <w:noProof/>
        </w:rPr>
        <w:t xml:space="preserve"> </w:t>
      </w:r>
      <w:r>
        <w:rPr>
          <w:noProof/>
        </w:rPr>
        <w:t xml:space="preserve">would </w:t>
      </w:r>
      <w:r w:rsidRPr="00F075D4">
        <w:rPr>
          <w:b/>
          <w:bCs/>
          <w:noProof/>
          <w:u w:val="single"/>
        </w:rPr>
        <w:t>recommend</w:t>
      </w:r>
      <w:r>
        <w:rPr>
          <w:noProof/>
        </w:rPr>
        <w:t xml:space="preserve"> Member States to carry at least one sovereignty risk assessment and repeat it at least every four years </w:t>
      </w:r>
      <w:r w:rsidR="00A17993">
        <w:rPr>
          <w:noProof/>
        </w:rPr>
        <w:t>or</w:t>
      </w:r>
      <w:r>
        <w:rPr>
          <w:noProof/>
        </w:rPr>
        <w:t xml:space="preserve"> more frequent</w:t>
      </w:r>
      <w:r w:rsidR="00906CE4">
        <w:rPr>
          <w:noProof/>
        </w:rPr>
        <w:t>ly</w:t>
      </w:r>
      <w:r>
        <w:rPr>
          <w:noProof/>
        </w:rPr>
        <w:t xml:space="preserve"> if deemed necessary. The purpose of the sovereignty risk assessment is to identify which public sector use cases within a Member State require the use of which sovereignty level as described under </w:t>
      </w:r>
      <w:r w:rsidRPr="00673AEF">
        <w:rPr>
          <w:bCs/>
          <w:noProof/>
        </w:rPr>
        <w:t xml:space="preserve">PM11. The sovereignty risk assessment would assess, </w:t>
      </w:r>
      <w:r w:rsidRPr="008F5449">
        <w:rPr>
          <w:i/>
          <w:noProof/>
        </w:rPr>
        <w:t>inter alia</w:t>
      </w:r>
      <w:r w:rsidRPr="00673AEF">
        <w:rPr>
          <w:bCs/>
          <w:noProof/>
        </w:rPr>
        <w:t>, the risks induced by the access to such data by a third-country authority or third-country legal entity; or the risk of possible service disruption due to dependence on a single or limited number of third-country services providers</w:t>
      </w:r>
      <w:r>
        <w:rPr>
          <w:bCs/>
          <w:noProof/>
        </w:rPr>
        <w:t xml:space="preserve">. On the basis of dedicated discussions conducted with 3 different public authorities representing about 200 </w:t>
      </w:r>
      <w:r w:rsidR="00572A23">
        <w:rPr>
          <w:bCs/>
          <w:noProof/>
        </w:rPr>
        <w:t xml:space="preserve">NIS 2 </w:t>
      </w:r>
      <w:r w:rsidR="00086735">
        <w:rPr>
          <w:bCs/>
          <w:noProof/>
        </w:rPr>
        <w:t>Annex 1</w:t>
      </w:r>
      <w:r w:rsidR="00572A23">
        <w:rPr>
          <w:bCs/>
          <w:noProof/>
        </w:rPr>
        <w:t xml:space="preserve"> </w:t>
      </w:r>
      <w:r>
        <w:rPr>
          <w:bCs/>
          <w:noProof/>
        </w:rPr>
        <w:t>contracting authorities</w:t>
      </w:r>
      <w:r w:rsidR="00572A23">
        <w:rPr>
          <w:bCs/>
          <w:noProof/>
        </w:rPr>
        <w:t xml:space="preserve"> operating at regional, national and European level (out of an estimate of 6 400 NIS2 entities across the EU),</w:t>
      </w:r>
      <w:r>
        <w:rPr>
          <w:bCs/>
          <w:noProof/>
        </w:rPr>
        <w:t xml:space="preserve">, this assessment assumes that the matching of sovereignty levels to public sector demand follows the following pattern: 70% of use cases would require a sovereignty level 1; 20% for level 2; 9% for level 3; and 1% for level 4. </w:t>
      </w:r>
      <w:r w:rsidR="00807C96" w:rsidRPr="002B3B29">
        <w:rPr>
          <w:bCs/>
          <w:noProof/>
        </w:rPr>
        <w:t xml:space="preserve">Even though the scheme is novel and does not correspond to existing frameworks, this assessment fits with broad orders of magnitude that can be inferred from existing analyses conducted in several Member States that have introduced risk assessments for their public sector clouds, such as France, </w:t>
      </w:r>
      <w:r w:rsidR="00807C96">
        <w:rPr>
          <w:bCs/>
          <w:noProof/>
        </w:rPr>
        <w:t>Poland</w:t>
      </w:r>
      <w:r w:rsidR="00807C96">
        <w:rPr>
          <w:rStyle w:val="FootnoteReference"/>
          <w:bCs/>
          <w:noProof/>
        </w:rPr>
        <w:footnoteReference w:id="60"/>
      </w:r>
      <w:r w:rsidR="00807C96">
        <w:rPr>
          <w:bCs/>
          <w:noProof/>
        </w:rPr>
        <w:t xml:space="preserve"> or Italy</w:t>
      </w:r>
      <w:r w:rsidR="00807C96">
        <w:rPr>
          <w:rStyle w:val="FootnoteReference"/>
          <w:bCs/>
          <w:noProof/>
        </w:rPr>
        <w:footnoteReference w:id="61"/>
      </w:r>
      <w:r w:rsidR="00807C96" w:rsidRPr="002B3B29">
        <w:rPr>
          <w:bCs/>
          <w:noProof/>
        </w:rPr>
        <w:t xml:space="preserve">. </w:t>
      </w:r>
    </w:p>
    <w:p w14:paraId="7FAE1C70" w14:textId="77777777" w:rsidR="006E3CD8" w:rsidRDefault="006E3CD8" w:rsidP="00950FFA">
      <w:pPr>
        <w:pStyle w:val="ListBullet"/>
        <w:numPr>
          <w:ilvl w:val="0"/>
          <w:numId w:val="0"/>
        </w:numPr>
        <w:spacing w:after="0"/>
        <w:rPr>
          <w:bCs/>
          <w:noProof/>
        </w:rPr>
      </w:pPr>
    </w:p>
    <w:p w14:paraId="4EFBF828" w14:textId="23D8F72C" w:rsidR="00950FFA" w:rsidRPr="002B4116" w:rsidRDefault="00950FFA" w:rsidP="00950FFA">
      <w:pPr>
        <w:pStyle w:val="ListBullet"/>
        <w:numPr>
          <w:ilvl w:val="0"/>
          <w:numId w:val="0"/>
        </w:numPr>
        <w:spacing w:after="0"/>
        <w:rPr>
          <w:noProof/>
        </w:rPr>
      </w:pPr>
      <w:r>
        <w:rPr>
          <w:bCs/>
          <w:noProof/>
        </w:rPr>
        <w:t xml:space="preserve">Critical use cases, defined as the use cases whose disruption would affect operational autonomy or public order, correspond to use cases covered by level 2, 3 and 4. </w:t>
      </w:r>
      <w:r>
        <w:rPr>
          <w:noProof/>
        </w:rPr>
        <w:t>The risk assessment would have to consider the reality of the supply market to avoid unrealistic outcomes, such as mandating the use of services that don’t exist (yet) in the market.</w:t>
      </w:r>
    </w:p>
    <w:p w14:paraId="115B0632" w14:textId="77777777" w:rsidR="006E3CD8" w:rsidRDefault="006E3CD8" w:rsidP="00950FFA">
      <w:pPr>
        <w:pStyle w:val="ListBullet"/>
        <w:numPr>
          <w:ilvl w:val="0"/>
          <w:numId w:val="0"/>
        </w:numPr>
        <w:spacing w:after="0"/>
        <w:rPr>
          <w:noProof/>
        </w:rPr>
      </w:pPr>
    </w:p>
    <w:p w14:paraId="336BF40B" w14:textId="5586042D" w:rsidR="00950FFA" w:rsidRDefault="00950FFA" w:rsidP="00950FFA">
      <w:pPr>
        <w:pStyle w:val="ListBullet"/>
        <w:numPr>
          <w:ilvl w:val="0"/>
          <w:numId w:val="0"/>
        </w:numPr>
        <w:spacing w:after="0"/>
        <w:rPr>
          <w:noProof/>
        </w:rPr>
      </w:pPr>
      <w:r>
        <w:rPr>
          <w:noProof/>
        </w:rPr>
        <w:t>To facilitate appropriate and coherent sovereignty risk assessments, the European Commission would develop guidelines for Member States to conduct such assessments and provide a sample risk assessment methodology (note that these guidelines concern the conduct of risk assessments and differ from PM12, which consist in explaining the different levels of sovereignty). For Member States to have up-to-date information about the market conditions of cloud and AI sovereign solutions, the Commission would also produce market monitoring reports that will point Member States to possible gaps in the coverage of some services</w:t>
      </w:r>
      <w:r w:rsidRPr="00000BEA">
        <w:rPr>
          <w:noProof/>
        </w:rPr>
        <w:t>.</w:t>
      </w:r>
    </w:p>
    <w:p w14:paraId="401F774F" w14:textId="77777777" w:rsidR="006E3CD8" w:rsidRDefault="006E3CD8" w:rsidP="00950FFA">
      <w:pPr>
        <w:pStyle w:val="ListBullet"/>
        <w:numPr>
          <w:ilvl w:val="0"/>
          <w:numId w:val="0"/>
        </w:numPr>
        <w:spacing w:after="0"/>
        <w:rPr>
          <w:noProof/>
        </w:rPr>
      </w:pPr>
    </w:p>
    <w:p w14:paraId="4F7E17D9" w14:textId="6C096974" w:rsidR="00950FFA" w:rsidRDefault="00950FFA" w:rsidP="00950FFA">
      <w:pPr>
        <w:pStyle w:val="ListBullet"/>
        <w:numPr>
          <w:ilvl w:val="0"/>
          <w:numId w:val="0"/>
        </w:numPr>
        <w:spacing w:after="0"/>
        <w:rPr>
          <w:noProof/>
        </w:rPr>
      </w:pPr>
      <w:r>
        <w:rPr>
          <w:noProof/>
        </w:rPr>
        <w:t xml:space="preserve">The Member State would be </w:t>
      </w:r>
      <w:r w:rsidRPr="00F075D4">
        <w:rPr>
          <w:b/>
          <w:bCs/>
          <w:noProof/>
          <w:u w:val="single"/>
        </w:rPr>
        <w:t>recommended</w:t>
      </w:r>
      <w:r>
        <w:rPr>
          <w:noProof/>
        </w:rPr>
        <w:t xml:space="preserve"> to reflect the outcome of the risk assessment in applicable public tenders. </w:t>
      </w:r>
    </w:p>
    <w:p w14:paraId="7950243C" w14:textId="77777777" w:rsidR="006E3CD8" w:rsidRDefault="006E3CD8" w:rsidP="00950FFA">
      <w:pPr>
        <w:pStyle w:val="ListBullet"/>
        <w:numPr>
          <w:ilvl w:val="0"/>
          <w:numId w:val="0"/>
        </w:numPr>
        <w:spacing w:after="0"/>
        <w:rPr>
          <w:noProof/>
        </w:rPr>
      </w:pPr>
    </w:p>
    <w:p w14:paraId="6FFBC530" w14:textId="77777777" w:rsidR="00333AB2" w:rsidRDefault="00950FFA" w:rsidP="003270D3">
      <w:pPr>
        <w:pStyle w:val="ListBullet"/>
        <w:numPr>
          <w:ilvl w:val="0"/>
          <w:numId w:val="0"/>
        </w:numPr>
        <w:rPr>
          <w:noProof/>
        </w:rPr>
      </w:pPr>
      <w:r>
        <w:rPr>
          <w:noProof/>
        </w:rPr>
        <w:t xml:space="preserve">While PM11 only puts forward the definition of sovereignty levels, PM15 goes further by putting forward </w:t>
      </w:r>
      <w:r w:rsidRPr="00F01B44">
        <w:rPr>
          <w:noProof/>
        </w:rPr>
        <w:t>a</w:t>
      </w:r>
      <w:r>
        <w:rPr>
          <w:noProof/>
        </w:rPr>
        <w:t xml:space="preserve"> framework through which the respective levels of sovereignty can be assessed</w:t>
      </w:r>
      <w:r w:rsidRPr="00F01B44">
        <w:rPr>
          <w:noProof/>
        </w:rPr>
        <w:t xml:space="preserve">. </w:t>
      </w:r>
    </w:p>
    <w:p w14:paraId="64E20BD1" w14:textId="7D05D7F5" w:rsidR="00571F3A" w:rsidRDefault="00333AB2" w:rsidP="003270D3">
      <w:pPr>
        <w:pStyle w:val="ListBullet"/>
        <w:numPr>
          <w:ilvl w:val="0"/>
          <w:numId w:val="0"/>
        </w:numPr>
        <w:rPr>
          <w:rFonts w:eastAsia="Aptos"/>
          <w:noProof/>
          <w:lang w:val="en-US"/>
        </w:rPr>
      </w:pPr>
      <w:r>
        <w:rPr>
          <w:noProof/>
        </w:rPr>
        <w:t xml:space="preserve">Cloud </w:t>
      </w:r>
      <w:r w:rsidR="00800726">
        <w:rPr>
          <w:noProof/>
        </w:rPr>
        <w:t>service providers shall submit the relevant evidence</w:t>
      </w:r>
      <w:r w:rsidR="00B30356">
        <w:rPr>
          <w:noProof/>
        </w:rPr>
        <w:t xml:space="preserve"> that demonstrate that they comply with the sovereignty assurance criteria</w:t>
      </w:r>
      <w:r w:rsidR="00800726">
        <w:rPr>
          <w:noProof/>
        </w:rPr>
        <w:t xml:space="preserve"> </w:t>
      </w:r>
      <w:r w:rsidR="005A7A53">
        <w:rPr>
          <w:noProof/>
        </w:rPr>
        <w:t>to the designated competent authority</w:t>
      </w:r>
      <w:r w:rsidR="00B30356">
        <w:rPr>
          <w:noProof/>
        </w:rPr>
        <w:t>.</w:t>
      </w:r>
      <w:r w:rsidR="005A7A53">
        <w:rPr>
          <w:noProof/>
        </w:rPr>
        <w:t xml:space="preserve"> </w:t>
      </w:r>
      <w:r w:rsidR="00491F09">
        <w:rPr>
          <w:noProof/>
        </w:rPr>
        <w:t xml:space="preserve">For assurance level </w:t>
      </w:r>
      <w:r w:rsidR="005D7B13">
        <w:rPr>
          <w:noProof/>
        </w:rPr>
        <w:t xml:space="preserve">1, the service provider </w:t>
      </w:r>
      <w:r w:rsidR="0051476D">
        <w:rPr>
          <w:noProof/>
        </w:rPr>
        <w:t>will</w:t>
      </w:r>
      <w:r w:rsidR="005D7B13">
        <w:rPr>
          <w:noProof/>
        </w:rPr>
        <w:t xml:space="preserve"> submit the competent authority the</w:t>
      </w:r>
      <w:r w:rsidR="00AB56AC">
        <w:rPr>
          <w:noProof/>
        </w:rPr>
        <w:t>ir</w:t>
      </w:r>
      <w:r w:rsidR="005D7B13">
        <w:rPr>
          <w:noProof/>
        </w:rPr>
        <w:t xml:space="preserve"> </w:t>
      </w:r>
      <w:r w:rsidR="008D7241">
        <w:rPr>
          <w:noProof/>
        </w:rPr>
        <w:t>s</w:t>
      </w:r>
      <w:r w:rsidR="00950FFA">
        <w:rPr>
          <w:noProof/>
        </w:rPr>
        <w:t xml:space="preserve">elf-assessment </w:t>
      </w:r>
      <w:r w:rsidR="005D7B13">
        <w:rPr>
          <w:noProof/>
        </w:rPr>
        <w:t>report</w:t>
      </w:r>
      <w:r w:rsidR="00AB56AC">
        <w:rPr>
          <w:noProof/>
        </w:rPr>
        <w:t xml:space="preserve"> for the service</w:t>
      </w:r>
      <w:r w:rsidR="00950FFA">
        <w:rPr>
          <w:noProof/>
        </w:rPr>
        <w:t>.</w:t>
      </w:r>
      <w:r>
        <w:rPr>
          <w:noProof/>
        </w:rPr>
        <w:t xml:space="preserve">  Cloud computing service providers qualifying as SMEs will not be required to undergo the validation by the national competent authority.</w:t>
      </w:r>
      <w:r w:rsidR="00950FFA">
        <w:rPr>
          <w:noProof/>
        </w:rPr>
        <w:t xml:space="preserve"> </w:t>
      </w:r>
      <w:r w:rsidR="00950FFA" w:rsidRPr="00D241A2">
        <w:rPr>
          <w:rFonts w:eastAsia="Aptos"/>
          <w:noProof/>
          <w:lang w:val="en-US"/>
        </w:rPr>
        <w:t xml:space="preserve">Verifying </w:t>
      </w:r>
      <w:r w:rsidR="000C6818">
        <w:rPr>
          <w:rFonts w:eastAsia="Aptos"/>
          <w:noProof/>
          <w:lang w:val="en-US"/>
        </w:rPr>
        <w:t xml:space="preserve">the </w:t>
      </w:r>
      <w:r w:rsidR="00950FFA" w:rsidRPr="00D241A2">
        <w:rPr>
          <w:rFonts w:eastAsia="Aptos"/>
          <w:noProof/>
          <w:lang w:val="en-US"/>
        </w:rPr>
        <w:t xml:space="preserve">compliance of </w:t>
      </w:r>
      <w:r w:rsidR="000C6818">
        <w:rPr>
          <w:rFonts w:eastAsia="Aptos"/>
          <w:noProof/>
          <w:lang w:val="en-US"/>
        </w:rPr>
        <w:t xml:space="preserve">the </w:t>
      </w:r>
      <w:r w:rsidR="00950FFA" w:rsidRPr="00D241A2">
        <w:rPr>
          <w:rFonts w:eastAsia="Aptos"/>
          <w:noProof/>
          <w:lang w:val="en-US"/>
        </w:rPr>
        <w:t>service against sovereignty level 2-3-4 would be done through third party’s auditors</w:t>
      </w:r>
      <w:r w:rsidR="00C701F2">
        <w:rPr>
          <w:rFonts w:eastAsia="Aptos"/>
          <w:noProof/>
          <w:lang w:val="en-US"/>
        </w:rPr>
        <w:t xml:space="preserve">. </w:t>
      </w:r>
      <w:r w:rsidR="005E5371">
        <w:rPr>
          <w:rFonts w:eastAsia="Aptos"/>
          <w:noProof/>
          <w:lang w:val="en-US"/>
        </w:rPr>
        <w:t>In this case, the service provider will submit the audit report and the ‘positive’ audit op</w:t>
      </w:r>
      <w:r w:rsidR="00B87618">
        <w:rPr>
          <w:rFonts w:eastAsia="Aptos"/>
          <w:noProof/>
          <w:lang w:val="en-US"/>
        </w:rPr>
        <w:t xml:space="preserve">inion to the competent authority </w:t>
      </w:r>
      <w:r w:rsidR="00AF6B4D">
        <w:rPr>
          <w:rFonts w:eastAsia="Aptos"/>
          <w:noProof/>
          <w:lang w:val="en-US"/>
        </w:rPr>
        <w:t xml:space="preserve">of the country of establishment </w:t>
      </w:r>
      <w:r w:rsidR="00B87618">
        <w:rPr>
          <w:rFonts w:eastAsia="Aptos"/>
          <w:noProof/>
          <w:lang w:val="en-US"/>
        </w:rPr>
        <w:t xml:space="preserve">who shall </w:t>
      </w:r>
      <w:r w:rsidR="00935643">
        <w:rPr>
          <w:rFonts w:eastAsia="Aptos"/>
          <w:noProof/>
          <w:lang w:val="en-US"/>
        </w:rPr>
        <w:t>verify</w:t>
      </w:r>
      <w:r w:rsidR="00B87618">
        <w:rPr>
          <w:rFonts w:eastAsia="Aptos"/>
          <w:noProof/>
          <w:lang w:val="en-US"/>
        </w:rPr>
        <w:t xml:space="preserve"> them, along with the submitted evidence</w:t>
      </w:r>
      <w:r w:rsidR="00935643">
        <w:rPr>
          <w:rFonts w:eastAsia="Aptos"/>
          <w:noProof/>
          <w:lang w:val="en-US"/>
        </w:rPr>
        <w:t>, without undue del</w:t>
      </w:r>
      <w:r w:rsidR="0097307E">
        <w:rPr>
          <w:rFonts w:eastAsia="Aptos"/>
          <w:noProof/>
          <w:lang w:val="en-US"/>
        </w:rPr>
        <w:t>a</w:t>
      </w:r>
      <w:r w:rsidR="00935643">
        <w:rPr>
          <w:rFonts w:eastAsia="Aptos"/>
          <w:noProof/>
          <w:lang w:val="en-US"/>
        </w:rPr>
        <w:t xml:space="preserve">y. The result of this </w:t>
      </w:r>
      <w:r w:rsidR="00533595">
        <w:rPr>
          <w:rFonts w:eastAsia="Aptos"/>
          <w:noProof/>
          <w:lang w:val="en-US"/>
        </w:rPr>
        <w:t xml:space="preserve">activity </w:t>
      </w:r>
      <w:r w:rsidR="00935643">
        <w:rPr>
          <w:rFonts w:eastAsia="Aptos"/>
          <w:noProof/>
          <w:lang w:val="en-US"/>
        </w:rPr>
        <w:t>is an accept</w:t>
      </w:r>
      <w:r w:rsidR="00533595">
        <w:rPr>
          <w:rFonts w:eastAsia="Aptos"/>
          <w:noProof/>
          <w:lang w:val="en-US"/>
        </w:rPr>
        <w:t>ance</w:t>
      </w:r>
      <w:r w:rsidR="00935643">
        <w:rPr>
          <w:rFonts w:eastAsia="Aptos"/>
          <w:noProof/>
          <w:lang w:val="en-US"/>
        </w:rPr>
        <w:t xml:space="preserve"> or rejection of the audit report and opinion</w:t>
      </w:r>
      <w:r w:rsidR="00571F3A">
        <w:rPr>
          <w:rFonts w:eastAsia="Aptos"/>
          <w:noProof/>
          <w:lang w:val="en-US"/>
        </w:rPr>
        <w:t>.</w:t>
      </w:r>
    </w:p>
    <w:p w14:paraId="517C23BB" w14:textId="13C653D7" w:rsidR="0071735A" w:rsidRDefault="00571F3A" w:rsidP="003270D3">
      <w:pPr>
        <w:pStyle w:val="ListBullet"/>
        <w:numPr>
          <w:ilvl w:val="0"/>
          <w:numId w:val="0"/>
        </w:numPr>
        <w:rPr>
          <w:rFonts w:eastAsia="Aptos"/>
          <w:noProof/>
          <w:lang w:val="en-US"/>
        </w:rPr>
      </w:pPr>
      <w:r>
        <w:rPr>
          <w:rFonts w:eastAsia="Aptos"/>
          <w:noProof/>
          <w:lang w:val="en-US"/>
        </w:rPr>
        <w:t>If a cloud service provider wants to participate in p</w:t>
      </w:r>
      <w:r w:rsidR="006526A0">
        <w:rPr>
          <w:rFonts w:eastAsia="Aptos"/>
          <w:noProof/>
          <w:lang w:val="en-US"/>
        </w:rPr>
        <w:t>ublic proc</w:t>
      </w:r>
      <w:r w:rsidR="00B038A7">
        <w:rPr>
          <w:rFonts w:eastAsia="Aptos"/>
          <w:noProof/>
          <w:lang w:val="en-US"/>
        </w:rPr>
        <w:t xml:space="preserve">urement procedures across the </w:t>
      </w:r>
      <w:r w:rsidR="00CE246F">
        <w:rPr>
          <w:rFonts w:eastAsia="Aptos"/>
          <w:noProof/>
          <w:lang w:val="en-US"/>
        </w:rPr>
        <w:t>Union,</w:t>
      </w:r>
      <w:r w:rsidR="00962BC0">
        <w:rPr>
          <w:rFonts w:eastAsia="Aptos"/>
          <w:noProof/>
          <w:lang w:val="en-US"/>
        </w:rPr>
        <w:t xml:space="preserve"> </w:t>
      </w:r>
      <w:r>
        <w:rPr>
          <w:rFonts w:eastAsia="Aptos"/>
          <w:noProof/>
          <w:lang w:val="en-US"/>
        </w:rPr>
        <w:t xml:space="preserve">the validating Member State </w:t>
      </w:r>
      <w:r w:rsidR="00962BC0">
        <w:rPr>
          <w:rFonts w:eastAsia="Aptos"/>
          <w:noProof/>
          <w:lang w:val="en-US"/>
        </w:rPr>
        <w:t xml:space="preserve">shall notify </w:t>
      </w:r>
      <w:r w:rsidR="00776987">
        <w:rPr>
          <w:rFonts w:eastAsia="Aptos"/>
          <w:noProof/>
          <w:lang w:val="en-US"/>
        </w:rPr>
        <w:t xml:space="preserve">the other Member States </w:t>
      </w:r>
      <w:r w:rsidR="00476904">
        <w:rPr>
          <w:rFonts w:eastAsia="Aptos"/>
          <w:noProof/>
          <w:lang w:val="en-US"/>
        </w:rPr>
        <w:t>for a review of 60 days.</w:t>
      </w:r>
    </w:p>
    <w:p w14:paraId="1C555098" w14:textId="2BC03A73" w:rsidR="0071735A" w:rsidRDefault="0071735A" w:rsidP="0071735A">
      <w:pPr>
        <w:pStyle w:val="ListBullet"/>
        <w:numPr>
          <w:ilvl w:val="0"/>
          <w:numId w:val="0"/>
        </w:numPr>
        <w:spacing w:after="0"/>
        <w:rPr>
          <w:rFonts w:eastAsia="Aptos"/>
          <w:noProof/>
          <w:lang w:val="en-US"/>
        </w:rPr>
      </w:pPr>
      <w:r>
        <w:rPr>
          <w:rFonts w:eastAsia="Aptos"/>
          <w:noProof/>
          <w:lang w:val="en-US"/>
        </w:rPr>
        <w:t xml:space="preserve">During the period of review there is </w:t>
      </w:r>
      <w:r w:rsidRPr="00D241A2">
        <w:rPr>
          <w:rFonts w:eastAsia="Aptos"/>
          <w:noProof/>
          <w:lang w:val="en-US"/>
        </w:rPr>
        <w:t xml:space="preserve">a recourse possibility for </w:t>
      </w:r>
      <w:r>
        <w:rPr>
          <w:rFonts w:eastAsia="Aptos"/>
          <w:noProof/>
          <w:lang w:val="en-US"/>
        </w:rPr>
        <w:t xml:space="preserve">the </w:t>
      </w:r>
      <w:r w:rsidRPr="00D241A2">
        <w:rPr>
          <w:rFonts w:eastAsia="Aptos"/>
          <w:noProof/>
          <w:lang w:val="en-US"/>
        </w:rPr>
        <w:t xml:space="preserve">Member States. </w:t>
      </w:r>
      <w:r>
        <w:rPr>
          <w:rFonts w:eastAsia="Aptos"/>
          <w:noProof/>
          <w:lang w:val="en-US"/>
        </w:rPr>
        <w:t xml:space="preserve">If no reasoned objection has been submitted in the framed period the validation of the audit report and audit opinion shall be considered accepted by all Member States and the service recognized across </w:t>
      </w:r>
      <w:r w:rsidR="0013542B">
        <w:rPr>
          <w:rFonts w:eastAsia="Aptos"/>
          <w:noProof/>
          <w:lang w:val="en-US"/>
        </w:rPr>
        <w:t>t</w:t>
      </w:r>
      <w:r>
        <w:rPr>
          <w:rFonts w:eastAsia="Aptos"/>
          <w:noProof/>
          <w:lang w:val="en-US"/>
        </w:rPr>
        <w:t>he Union. If continued objections are raised, the Commission shall adopt a binding opinion.</w:t>
      </w:r>
    </w:p>
    <w:p w14:paraId="07F93003" w14:textId="77777777" w:rsidR="006E3CD8" w:rsidRDefault="006E3CD8" w:rsidP="00950FFA">
      <w:pPr>
        <w:pStyle w:val="ListBullet"/>
        <w:numPr>
          <w:ilvl w:val="0"/>
          <w:numId w:val="0"/>
        </w:numPr>
        <w:spacing w:after="0"/>
        <w:rPr>
          <w:rFonts w:eastAsia="Aptos"/>
          <w:noProof/>
          <w:lang w:val="en-US"/>
        </w:rPr>
      </w:pPr>
    </w:p>
    <w:p w14:paraId="5EFB7F64" w14:textId="41D0A3B8" w:rsidR="00950FFA" w:rsidRPr="00D241A2" w:rsidRDefault="00950FFA" w:rsidP="00950FFA">
      <w:pPr>
        <w:pStyle w:val="ListBullet"/>
        <w:numPr>
          <w:ilvl w:val="0"/>
          <w:numId w:val="0"/>
        </w:numPr>
        <w:spacing w:after="0"/>
        <w:rPr>
          <w:rFonts w:eastAsia="Aptos"/>
          <w:noProof/>
          <w:lang w:val="en-US"/>
        </w:rPr>
      </w:pPr>
      <w:r w:rsidRPr="00D241A2">
        <w:rPr>
          <w:rFonts w:eastAsia="Aptos"/>
          <w:noProof/>
          <w:lang w:val="en-US"/>
        </w:rPr>
        <w:t xml:space="preserve">The competent authorities </w:t>
      </w:r>
      <w:r>
        <w:rPr>
          <w:rFonts w:eastAsia="Aptos"/>
          <w:noProof/>
          <w:lang w:val="en-US"/>
        </w:rPr>
        <w:t>should</w:t>
      </w:r>
      <w:r w:rsidRPr="00D241A2">
        <w:rPr>
          <w:rFonts w:eastAsia="Aptos"/>
          <w:noProof/>
          <w:lang w:val="en-US"/>
        </w:rPr>
        <w:t xml:space="preserve"> </w:t>
      </w:r>
      <w:r>
        <w:rPr>
          <w:rFonts w:eastAsia="Aptos"/>
          <w:noProof/>
          <w:lang w:val="en-US"/>
        </w:rPr>
        <w:t xml:space="preserve">register the </w:t>
      </w:r>
      <w:r w:rsidR="00430640">
        <w:rPr>
          <w:rFonts w:eastAsia="Aptos"/>
          <w:noProof/>
          <w:lang w:val="en-US"/>
        </w:rPr>
        <w:t>decision</w:t>
      </w:r>
      <w:r>
        <w:rPr>
          <w:rFonts w:eastAsia="Aptos"/>
          <w:noProof/>
          <w:lang w:val="en-US"/>
        </w:rPr>
        <w:t xml:space="preserve"> </w:t>
      </w:r>
      <w:r w:rsidRPr="00D241A2">
        <w:rPr>
          <w:rFonts w:eastAsia="Aptos"/>
          <w:noProof/>
          <w:lang w:val="en-US"/>
        </w:rPr>
        <w:t xml:space="preserve">in </w:t>
      </w:r>
      <w:r>
        <w:rPr>
          <w:rFonts w:eastAsia="Aptos"/>
          <w:noProof/>
          <w:lang w:val="en-US"/>
        </w:rPr>
        <w:t>a</w:t>
      </w:r>
      <w:r w:rsidRPr="00D241A2">
        <w:rPr>
          <w:rFonts w:eastAsia="Aptos"/>
          <w:noProof/>
          <w:lang w:val="en-US"/>
        </w:rPr>
        <w:t xml:space="preserve"> Union repository</w:t>
      </w:r>
      <w:r>
        <w:rPr>
          <w:rFonts w:eastAsia="Aptos"/>
          <w:noProof/>
          <w:lang w:val="en-US"/>
        </w:rPr>
        <w:t>, maintained by the Commission.</w:t>
      </w:r>
      <w:r w:rsidRPr="00D241A2">
        <w:rPr>
          <w:rFonts w:eastAsia="Aptos"/>
          <w:noProof/>
          <w:lang w:val="en-US"/>
        </w:rPr>
        <w:t xml:space="preserve">The repository of sovereign cloud and AI computing services will be a public list of </w:t>
      </w:r>
      <w:r>
        <w:rPr>
          <w:rFonts w:eastAsia="Aptos"/>
          <w:noProof/>
          <w:lang w:val="en-US"/>
        </w:rPr>
        <w:t>audited</w:t>
      </w:r>
      <w:r w:rsidRPr="00D241A2">
        <w:rPr>
          <w:rFonts w:eastAsia="Aptos"/>
          <w:noProof/>
          <w:lang w:val="en-US"/>
        </w:rPr>
        <w:t xml:space="preserve"> sovereign cloud and AI computing services that </w:t>
      </w:r>
      <w:r>
        <w:rPr>
          <w:rFonts w:eastAsia="Aptos"/>
          <w:noProof/>
          <w:lang w:val="en-US"/>
        </w:rPr>
        <w:t xml:space="preserve">verifiably </w:t>
      </w:r>
      <w:r w:rsidRPr="00D241A2">
        <w:rPr>
          <w:rFonts w:eastAsia="Aptos"/>
          <w:noProof/>
          <w:lang w:val="en-US"/>
        </w:rPr>
        <w:t>comply with the sovereignty requirements. The benefits are for providers and users alike</w:t>
      </w:r>
      <w:r>
        <w:rPr>
          <w:rFonts w:eastAsia="Aptos"/>
          <w:noProof/>
          <w:lang w:val="en-US"/>
        </w:rPr>
        <w:t xml:space="preserve">: </w:t>
      </w:r>
      <w:r w:rsidRPr="00D241A2">
        <w:rPr>
          <w:rFonts w:eastAsia="Aptos"/>
          <w:noProof/>
          <w:lang w:val="en-US"/>
        </w:rPr>
        <w:t xml:space="preserve">providers will enhance their visibility </w:t>
      </w:r>
      <w:r>
        <w:rPr>
          <w:rFonts w:eastAsia="Aptos"/>
          <w:noProof/>
          <w:lang w:val="en-US"/>
        </w:rPr>
        <w:t>and users their market research.</w:t>
      </w:r>
    </w:p>
    <w:p w14:paraId="0D48CB49" w14:textId="77777777" w:rsidR="006E3CD8" w:rsidRDefault="006E3CD8" w:rsidP="00950FFA">
      <w:pPr>
        <w:pStyle w:val="ListBullet"/>
        <w:numPr>
          <w:ilvl w:val="0"/>
          <w:numId w:val="0"/>
        </w:numPr>
        <w:spacing w:after="0"/>
        <w:rPr>
          <w:noProof/>
        </w:rPr>
      </w:pPr>
    </w:p>
    <w:p w14:paraId="3A9770B9" w14:textId="74E95744" w:rsidR="00774650" w:rsidRDefault="00950FFA" w:rsidP="00950FFA">
      <w:pPr>
        <w:pStyle w:val="ListBullet"/>
        <w:numPr>
          <w:ilvl w:val="0"/>
          <w:numId w:val="0"/>
        </w:numPr>
        <w:spacing w:after="0"/>
        <w:rPr>
          <w:rFonts w:eastAsia="Aptos"/>
          <w:noProof/>
          <w:lang w:val="en-US"/>
        </w:rPr>
      </w:pPr>
      <w:r w:rsidRPr="00F01B44">
        <w:rPr>
          <w:noProof/>
        </w:rPr>
        <w:t>To cater for market evolutions, the</w:t>
      </w:r>
      <w:r>
        <w:rPr>
          <w:noProof/>
        </w:rPr>
        <w:t xml:space="preserve"> sovereignty</w:t>
      </w:r>
      <w:r w:rsidRPr="00F01B44">
        <w:rPr>
          <w:noProof/>
        </w:rPr>
        <w:t xml:space="preserve"> criteria</w:t>
      </w:r>
      <w:r>
        <w:rPr>
          <w:noProof/>
        </w:rPr>
        <w:t xml:space="preserve"> of all levels</w:t>
      </w:r>
      <w:r w:rsidRPr="00F01B44">
        <w:rPr>
          <w:noProof/>
        </w:rPr>
        <w:t xml:space="preserve"> and evaluation </w:t>
      </w:r>
      <w:r w:rsidR="00E869EF">
        <w:rPr>
          <w:noProof/>
        </w:rPr>
        <w:t>evidence proposed</w:t>
      </w:r>
      <w:r w:rsidR="00AD280C">
        <w:rPr>
          <w:noProof/>
        </w:rPr>
        <w:t>, but not limited to,</w:t>
      </w:r>
      <w:r w:rsidR="00E869EF" w:rsidRPr="00F01B44">
        <w:rPr>
          <w:noProof/>
        </w:rPr>
        <w:t xml:space="preserve"> </w:t>
      </w:r>
      <w:r w:rsidRPr="00F01B44">
        <w:rPr>
          <w:noProof/>
        </w:rPr>
        <w:t xml:space="preserve">would be modifiable by comitology. This evaluation </w:t>
      </w:r>
      <w:r w:rsidR="00644DD4">
        <w:rPr>
          <w:noProof/>
        </w:rPr>
        <w:t>e</w:t>
      </w:r>
      <w:r w:rsidR="00AD280C">
        <w:rPr>
          <w:noProof/>
        </w:rPr>
        <w:t>vidence</w:t>
      </w:r>
      <w:r w:rsidR="00AD280C" w:rsidRPr="00F01B44">
        <w:rPr>
          <w:noProof/>
        </w:rPr>
        <w:t xml:space="preserve"> </w:t>
      </w:r>
      <w:r w:rsidRPr="00F01B44">
        <w:rPr>
          <w:noProof/>
        </w:rPr>
        <w:t>would help third party auditors in their assessment of the service and ensure full harmonisation in the way different auditors conduct their assessment and for Member States to ensure that the procedures have been followed</w:t>
      </w:r>
      <w:r>
        <w:rPr>
          <w:noProof/>
        </w:rPr>
        <w:t>.</w:t>
      </w:r>
    </w:p>
    <w:p w14:paraId="419048C3" w14:textId="77777777" w:rsidR="00774650" w:rsidRDefault="00774650" w:rsidP="00950FFA">
      <w:pPr>
        <w:pStyle w:val="ListBullet"/>
        <w:numPr>
          <w:ilvl w:val="0"/>
          <w:numId w:val="0"/>
        </w:numPr>
        <w:spacing w:after="0"/>
        <w:rPr>
          <w:rFonts w:eastAsia="Aptos"/>
          <w:noProof/>
          <w:lang w:val="en-US"/>
        </w:rPr>
      </w:pPr>
    </w:p>
    <w:p w14:paraId="17F40F5F" w14:textId="0EBCF468" w:rsidR="00950FFA" w:rsidRPr="009551E6" w:rsidRDefault="00950FFA" w:rsidP="00950FFA">
      <w:pPr>
        <w:pStyle w:val="ListBullet"/>
        <w:numPr>
          <w:ilvl w:val="0"/>
          <w:numId w:val="0"/>
        </w:numPr>
        <w:spacing w:after="0"/>
        <w:rPr>
          <w:rFonts w:eastAsia="Aptos"/>
          <w:noProof/>
          <w:lang w:val="en-US"/>
        </w:rPr>
      </w:pPr>
      <w:r w:rsidRPr="00D241A2">
        <w:rPr>
          <w:rFonts w:eastAsia="Aptos"/>
          <w:noProof/>
          <w:lang w:val="en-US"/>
        </w:rPr>
        <w:t xml:space="preserve">The assessment would be </w:t>
      </w:r>
      <w:r>
        <w:rPr>
          <w:rFonts w:eastAsia="Aptos"/>
          <w:noProof/>
          <w:lang w:val="en-US"/>
        </w:rPr>
        <w:t xml:space="preserve">peridoically </w:t>
      </w:r>
      <w:r w:rsidRPr="00D241A2">
        <w:rPr>
          <w:rFonts w:eastAsia="Aptos"/>
          <w:noProof/>
          <w:lang w:val="en-US"/>
        </w:rPr>
        <w:t xml:space="preserve">renewable following the same evaluation methodology. </w:t>
      </w:r>
    </w:p>
    <w:p w14:paraId="47471E99" w14:textId="77777777" w:rsidR="006E3CD8" w:rsidRDefault="006E3CD8" w:rsidP="00CB1439">
      <w:pPr>
        <w:pStyle w:val="ListBullet"/>
        <w:numPr>
          <w:ilvl w:val="0"/>
          <w:numId w:val="0"/>
        </w:numPr>
        <w:spacing w:after="0"/>
        <w:rPr>
          <w:noProof/>
        </w:rPr>
      </w:pPr>
    </w:p>
    <w:p w14:paraId="22B8BECC" w14:textId="5926F9B9" w:rsidR="00CB1439" w:rsidRDefault="00CB1439" w:rsidP="00CB1439">
      <w:pPr>
        <w:pStyle w:val="ListBullet"/>
        <w:numPr>
          <w:ilvl w:val="0"/>
          <w:numId w:val="0"/>
        </w:numPr>
        <w:spacing w:after="0"/>
        <w:rPr>
          <w:noProof/>
        </w:rPr>
      </w:pPr>
      <w:r>
        <w:rPr>
          <w:noProof/>
        </w:rPr>
        <w:t>Policy measure 15 then implies that the Commission sets up and maintains a repository of the services audited against level 2-3-4.</w:t>
      </w:r>
    </w:p>
    <w:p w14:paraId="23493B63" w14:textId="77777777" w:rsidR="006E3CD8" w:rsidRDefault="006E3CD8" w:rsidP="00CB1439">
      <w:pPr>
        <w:pStyle w:val="ListBullet"/>
        <w:numPr>
          <w:ilvl w:val="0"/>
          <w:numId w:val="0"/>
        </w:numPr>
        <w:spacing w:after="0"/>
        <w:rPr>
          <w:noProof/>
        </w:rPr>
      </w:pPr>
    </w:p>
    <w:p w14:paraId="247C64C3" w14:textId="4288EF64" w:rsidR="00CB1439" w:rsidRDefault="00CB1439" w:rsidP="00CB1439">
      <w:pPr>
        <w:pStyle w:val="ListBullet"/>
        <w:numPr>
          <w:ilvl w:val="0"/>
          <w:numId w:val="0"/>
        </w:numPr>
        <w:spacing w:after="0"/>
        <w:rPr>
          <w:noProof/>
        </w:rPr>
      </w:pPr>
      <w:r>
        <w:rPr>
          <w:noProof/>
        </w:rPr>
        <w:t xml:space="preserve">Finally, policy measure 15 implies the actual transfer cost for public authorities to change from a non-sovereign service to a sovereign service (cloud </w:t>
      </w:r>
      <w:r w:rsidR="002F3378">
        <w:rPr>
          <w:noProof/>
        </w:rPr>
        <w:t>porting</w:t>
      </w:r>
      <w:r>
        <w:rPr>
          <w:noProof/>
        </w:rPr>
        <w:t>).</w:t>
      </w:r>
    </w:p>
    <w:p w14:paraId="6C30AF0F" w14:textId="77777777" w:rsidR="00CB1439" w:rsidRDefault="00CB1439" w:rsidP="00950FFA">
      <w:pPr>
        <w:pStyle w:val="ListBullet"/>
        <w:numPr>
          <w:ilvl w:val="0"/>
          <w:numId w:val="0"/>
        </w:numPr>
        <w:spacing w:after="0"/>
        <w:rPr>
          <w:noProof/>
        </w:rPr>
      </w:pPr>
    </w:p>
    <w:p w14:paraId="0FE5BFDA" w14:textId="118A7DF2" w:rsidR="0075208E" w:rsidRDefault="00950FFA" w:rsidP="0075208E">
      <w:pPr>
        <w:pStyle w:val="ListBullet"/>
        <w:numPr>
          <w:ilvl w:val="0"/>
          <w:numId w:val="0"/>
        </w:numPr>
        <w:spacing w:after="0"/>
        <w:rPr>
          <w:noProof/>
        </w:rPr>
      </w:pPr>
      <w:r>
        <w:rPr>
          <w:noProof/>
        </w:rPr>
        <w:t>This measure is primarily designed to contribute to the protection of public order by enhancing the resilience in the public sector, which is SO4. Nevertheless, European providers would face less costs and efforts to meet sovereignty conditions. When it comes to meeting the criteria to demonstrate sovereignty level 1 and 2, EU providers can more readily substantiate that they are not affected by third-country policies affecting data access or limiting service continuity. As well, level 3 and level 4 sovereignty can only be served by service providers owned and controlled by EU entities. This implies that PM15 will also contribute to decreasing the overall reliance on non-European cloud and AI computing services, which is SO3.</w:t>
      </w:r>
    </w:p>
    <w:p w14:paraId="6792074C" w14:textId="77777777" w:rsidR="00E55ED8" w:rsidRDefault="00E55ED8" w:rsidP="0075208E">
      <w:pPr>
        <w:pStyle w:val="ListBullet"/>
        <w:numPr>
          <w:ilvl w:val="0"/>
          <w:numId w:val="0"/>
        </w:numPr>
        <w:spacing w:after="0"/>
        <w:rPr>
          <w:noProof/>
        </w:rPr>
      </w:pPr>
    </w:p>
    <w:p w14:paraId="682ED363" w14:textId="77777777" w:rsidR="00D4370B" w:rsidRPr="0044146C" w:rsidRDefault="00D4370B" w:rsidP="00D4370B">
      <w:pPr>
        <w:rPr>
          <w:b/>
          <w:i/>
          <w:noProof/>
        </w:rPr>
      </w:pPr>
      <w:r w:rsidRPr="0044146C">
        <w:rPr>
          <w:b/>
          <w:i/>
          <w:noProof/>
        </w:rPr>
        <w:t>One-off adjustment costs for the European Commission</w:t>
      </w:r>
    </w:p>
    <w:p w14:paraId="67706291" w14:textId="134FA383" w:rsidR="00D67352" w:rsidRPr="0007547C" w:rsidRDefault="00667A31" w:rsidP="00D67352">
      <w:pPr>
        <w:rPr>
          <w:noProof/>
          <w:lang w:val="en-US"/>
        </w:rPr>
      </w:pPr>
      <w:r w:rsidRPr="008F25FA">
        <w:rPr>
          <w:i/>
          <w:noProof/>
        </w:rPr>
        <w:t>Setting up and maintaining</w:t>
      </w:r>
      <w:r w:rsidRPr="0044146C">
        <w:rPr>
          <w:i/>
          <w:noProof/>
        </w:rPr>
        <w:t xml:space="preserve"> the repository of </w:t>
      </w:r>
      <w:r w:rsidR="000A461F">
        <w:rPr>
          <w:i/>
          <w:iCs/>
          <w:noProof/>
        </w:rPr>
        <w:t>sovereign</w:t>
      </w:r>
      <w:r w:rsidR="00D4370B" w:rsidRPr="0044146C">
        <w:rPr>
          <w:i/>
          <w:iCs/>
          <w:noProof/>
        </w:rPr>
        <w:t xml:space="preserve"> cloud and AI computing services</w:t>
      </w:r>
      <w:r w:rsidR="00D4370B">
        <w:rPr>
          <w:i/>
          <w:iCs/>
          <w:noProof/>
        </w:rPr>
        <w:t>.</w:t>
      </w:r>
      <w:r w:rsidR="007A0780">
        <w:rPr>
          <w:i/>
          <w:noProof/>
        </w:rPr>
        <w:t xml:space="preserve"> </w:t>
      </w:r>
      <w:r w:rsidR="00D67352" w:rsidRPr="0007547C">
        <w:rPr>
          <w:noProof/>
        </w:rPr>
        <w:t xml:space="preserve">These costs include the drafting of the tender specifications for an external provider to build, develop and maintain the repository plus additional time for the evaluation and the definition of their governance procedures. This has been estimated </w:t>
      </w:r>
      <w:r w:rsidR="00E1758B">
        <w:rPr>
          <w:noProof/>
        </w:rPr>
        <w:t>to</w:t>
      </w:r>
      <w:r w:rsidR="00D67352" w:rsidRPr="0007547C">
        <w:rPr>
          <w:noProof/>
        </w:rPr>
        <w:t xml:space="preserve"> 120 staff days. The repository will be developed by an external contractor with a contract value of </w:t>
      </w:r>
      <w:r w:rsidR="00D67352">
        <w:rPr>
          <w:noProof/>
        </w:rPr>
        <w:t xml:space="preserve">EUR </w:t>
      </w:r>
      <w:r w:rsidR="00D67352" w:rsidRPr="0007547C">
        <w:rPr>
          <w:noProof/>
        </w:rPr>
        <w:t>500</w:t>
      </w:r>
      <w:r w:rsidR="00A9685A">
        <w:rPr>
          <w:noProof/>
        </w:rPr>
        <w:t xml:space="preserve"> </w:t>
      </w:r>
      <w:r w:rsidR="00D67352" w:rsidRPr="0007547C">
        <w:rPr>
          <w:noProof/>
        </w:rPr>
        <w:t>000.</w:t>
      </w:r>
      <w:r w:rsidR="00D67352" w:rsidRPr="0007547C">
        <w:rPr>
          <w:noProof/>
          <w:lang w:val="en-US"/>
        </w:rPr>
        <w:t> </w:t>
      </w:r>
    </w:p>
    <w:p w14:paraId="5D823A34" w14:textId="0B7CCDCF" w:rsidR="00B95741" w:rsidRPr="007E2AB2" w:rsidRDefault="00B95741" w:rsidP="00617F1C">
      <w:pPr>
        <w:jc w:val="center"/>
        <w:rPr>
          <w:i/>
          <w:iCs/>
          <w:noProof/>
          <w:lang w:val="en-US"/>
        </w:rPr>
      </w:pPr>
      <w:r w:rsidRPr="007E2AB2">
        <w:rPr>
          <w:i/>
          <w:iCs/>
          <w:noProof/>
          <w:lang w:val="en-US"/>
        </w:rPr>
        <w:t xml:space="preserve">One-off adjustment costs (EC) = time to draft tender specifications for the repository * </w:t>
      </w:r>
      <w:r>
        <w:rPr>
          <w:i/>
          <w:iCs/>
          <w:noProof/>
          <w:lang w:val="en-US"/>
        </w:rPr>
        <w:t xml:space="preserve">labour costs </w:t>
      </w:r>
      <w:r w:rsidRPr="007E2AB2">
        <w:rPr>
          <w:i/>
          <w:iCs/>
          <w:noProof/>
          <w:lang w:val="en-US"/>
        </w:rPr>
        <w:t>+ external contract to develop the repository</w:t>
      </w:r>
    </w:p>
    <w:p w14:paraId="67FFBB73" w14:textId="77777777" w:rsidR="00D4370B" w:rsidRPr="0044146C" w:rsidRDefault="00D4370B" w:rsidP="00D4370B">
      <w:pPr>
        <w:rPr>
          <w:noProof/>
        </w:rPr>
      </w:pPr>
      <w:r w:rsidRPr="008F25FA">
        <w:rPr>
          <w:i/>
          <w:iCs/>
          <w:noProof/>
        </w:rPr>
        <w:t>Guidelines for MS to perform</w:t>
      </w:r>
      <w:r w:rsidRPr="00612BCD">
        <w:rPr>
          <w:i/>
          <w:iCs/>
          <w:noProof/>
        </w:rPr>
        <w:t xml:space="preserve"> the sovereignty risk assessments. </w:t>
      </w:r>
      <w:r w:rsidRPr="00612BCD">
        <w:rPr>
          <w:noProof/>
        </w:rPr>
        <w:t>In order to support Member States in the implementation of their sovereignty risk assessments, the Commission will publish guidelines. These guidelines would include the process to carry out the risk assessment, the criteria that would allow them to identify the scope, for instance by means of use cases and / or applications, the data classification process, where the market surveillance or information on sovereign services can be found. The estimated effort for the development and publication of these guidelines is 2 FTEs over 1 year.</w:t>
      </w:r>
    </w:p>
    <w:p w14:paraId="58C70D75" w14:textId="77777777" w:rsidR="00D50E64" w:rsidRDefault="0075208E" w:rsidP="00D67352">
      <w:pPr>
        <w:rPr>
          <w:b/>
          <w:noProof/>
        </w:rPr>
      </w:pPr>
      <w:r w:rsidRPr="0007547C">
        <w:rPr>
          <w:b/>
          <w:i/>
          <w:noProof/>
        </w:rPr>
        <w:t>Recurrent</w:t>
      </w:r>
      <w:r>
        <w:rPr>
          <w:b/>
          <w:i/>
          <w:noProof/>
        </w:rPr>
        <w:t xml:space="preserve"> adjustment</w:t>
      </w:r>
      <w:r w:rsidRPr="0007547C">
        <w:rPr>
          <w:b/>
          <w:i/>
          <w:noProof/>
        </w:rPr>
        <w:t xml:space="preserve"> costs for the European Commission</w:t>
      </w:r>
      <w:r w:rsidR="00D67352" w:rsidRPr="0007547C">
        <w:rPr>
          <w:b/>
          <w:noProof/>
        </w:rPr>
        <w:t xml:space="preserve"> </w:t>
      </w:r>
    </w:p>
    <w:p w14:paraId="675C23CF" w14:textId="1113A023" w:rsidR="00D67352" w:rsidRPr="0007547C" w:rsidRDefault="00D0075C" w:rsidP="00D67352">
      <w:pPr>
        <w:rPr>
          <w:noProof/>
          <w:lang w:val="en-US"/>
        </w:rPr>
      </w:pPr>
      <w:r w:rsidRPr="00ED1331">
        <w:rPr>
          <w:i/>
          <w:iCs/>
          <w:noProof/>
        </w:rPr>
        <w:t xml:space="preserve">Maintenance of the repository for </w:t>
      </w:r>
      <w:r w:rsidR="00213297">
        <w:rPr>
          <w:i/>
          <w:noProof/>
        </w:rPr>
        <w:t>audited</w:t>
      </w:r>
      <w:r w:rsidRPr="00ED1331">
        <w:rPr>
          <w:i/>
          <w:iCs/>
          <w:noProof/>
        </w:rPr>
        <w:t xml:space="preserve"> services. </w:t>
      </w:r>
      <w:r w:rsidR="00D67352" w:rsidRPr="0007547C">
        <w:rPr>
          <w:noProof/>
        </w:rPr>
        <w:t xml:space="preserve">Another important activity is related to the maintenance of the repository of </w:t>
      </w:r>
      <w:r w:rsidR="005A42AE">
        <w:rPr>
          <w:noProof/>
        </w:rPr>
        <w:t>audited services</w:t>
      </w:r>
      <w:r w:rsidR="00D67352" w:rsidRPr="0007547C">
        <w:rPr>
          <w:noProof/>
        </w:rPr>
        <w:t xml:space="preserve"> and </w:t>
      </w:r>
      <w:r w:rsidR="005A42AE">
        <w:rPr>
          <w:noProof/>
        </w:rPr>
        <w:t>related</w:t>
      </w:r>
      <w:r w:rsidR="00D67352" w:rsidRPr="0007547C">
        <w:rPr>
          <w:noProof/>
        </w:rPr>
        <w:t xml:space="preserve"> activities, including:</w:t>
      </w:r>
      <w:r w:rsidR="00D67352" w:rsidRPr="0007547C">
        <w:rPr>
          <w:noProof/>
          <w:lang w:val="en-US"/>
        </w:rPr>
        <w:t> </w:t>
      </w:r>
    </w:p>
    <w:p w14:paraId="54D6A207" w14:textId="77777777" w:rsidR="00D67352" w:rsidRPr="0007547C" w:rsidRDefault="00D67352" w:rsidP="00744B72">
      <w:pPr>
        <w:numPr>
          <w:ilvl w:val="0"/>
          <w:numId w:val="49"/>
        </w:numPr>
        <w:spacing w:after="160"/>
        <w:rPr>
          <w:noProof/>
          <w:lang w:val="en-US"/>
        </w:rPr>
      </w:pPr>
      <w:r w:rsidRPr="0007547C">
        <w:rPr>
          <w:noProof/>
        </w:rPr>
        <w:t>Yearly hosting costs of the repository, estimated to be of</w:t>
      </w:r>
      <w:r>
        <w:rPr>
          <w:noProof/>
        </w:rPr>
        <w:t xml:space="preserve"> EUR </w:t>
      </w:r>
      <w:r w:rsidRPr="0007547C">
        <w:rPr>
          <w:noProof/>
        </w:rPr>
        <w:t>200</w:t>
      </w:r>
      <w:r w:rsidR="00A9685A">
        <w:rPr>
          <w:noProof/>
        </w:rPr>
        <w:t xml:space="preserve"> </w:t>
      </w:r>
      <w:r w:rsidRPr="0007547C">
        <w:rPr>
          <w:noProof/>
        </w:rPr>
        <w:t>000. The repository will be deployed on a sovereign cloud at the Commissions’ premisses and telemetry and FinOps procedures will be put in place to control expenses.</w:t>
      </w:r>
      <w:r w:rsidRPr="0007547C">
        <w:rPr>
          <w:noProof/>
          <w:lang w:val="en-US"/>
        </w:rPr>
        <w:t> </w:t>
      </w:r>
    </w:p>
    <w:p w14:paraId="4912BA9D" w14:textId="77777777" w:rsidR="00D67352" w:rsidRPr="0007547C" w:rsidRDefault="00D67352" w:rsidP="00744B72">
      <w:pPr>
        <w:numPr>
          <w:ilvl w:val="0"/>
          <w:numId w:val="49"/>
        </w:numPr>
        <w:spacing w:after="160"/>
        <w:rPr>
          <w:noProof/>
          <w:lang w:val="en-US"/>
        </w:rPr>
      </w:pPr>
      <w:r w:rsidRPr="0007547C">
        <w:rPr>
          <w:noProof/>
        </w:rPr>
        <w:t>Yearly maintenance of the repository, performed by an external contractor, includes the upgrades of the software libraries amidst identified vulnerabilities, correction of errors and bugs and additional features. The estimated effort assumed for this is 2 staff days on a weekly basis.</w:t>
      </w:r>
      <w:r w:rsidRPr="0007547C">
        <w:rPr>
          <w:noProof/>
          <w:lang w:val="en-US"/>
        </w:rPr>
        <w:t> </w:t>
      </w:r>
    </w:p>
    <w:p w14:paraId="6E8DEB3B" w14:textId="77777777" w:rsidR="00D67352" w:rsidRPr="0007547C" w:rsidRDefault="00D67352" w:rsidP="00744B72">
      <w:pPr>
        <w:numPr>
          <w:ilvl w:val="0"/>
          <w:numId w:val="49"/>
        </w:numPr>
        <w:spacing w:after="160"/>
        <w:rPr>
          <w:noProof/>
          <w:lang w:val="en-US"/>
        </w:rPr>
      </w:pPr>
      <w:r w:rsidRPr="0007547C">
        <w:rPr>
          <w:noProof/>
        </w:rPr>
        <w:t>Oversight of the repository, including the follow-up of the contractors’ activities, estimated in 2 staff days per month.</w:t>
      </w:r>
      <w:r w:rsidRPr="0007547C">
        <w:rPr>
          <w:noProof/>
          <w:lang w:val="en-US"/>
        </w:rPr>
        <w:t> </w:t>
      </w:r>
    </w:p>
    <w:p w14:paraId="55861A3D" w14:textId="18C03D54" w:rsidR="0075208E" w:rsidRDefault="0075208E" w:rsidP="0075208E">
      <w:pPr>
        <w:spacing w:after="160"/>
        <w:jc w:val="center"/>
        <w:rPr>
          <w:i/>
          <w:iCs/>
          <w:noProof/>
          <w:lang w:val="en-US"/>
        </w:rPr>
      </w:pPr>
      <w:r w:rsidRPr="007450BC">
        <w:rPr>
          <w:i/>
          <w:noProof/>
          <w:lang w:val="en-US"/>
        </w:rPr>
        <w:t xml:space="preserve">Recurrent </w:t>
      </w:r>
      <w:r>
        <w:rPr>
          <w:i/>
          <w:noProof/>
          <w:lang w:val="en-US"/>
        </w:rPr>
        <w:t>adjustment</w:t>
      </w:r>
      <w:r w:rsidRPr="008E4212">
        <w:rPr>
          <w:i/>
          <w:noProof/>
          <w:lang w:val="en-US"/>
        </w:rPr>
        <w:t xml:space="preserve"> costs (EC) = costs of the yearly hosting + external contract for the yearly maintenance of the repository + (number of days for the oversight of the repository * labour costs)</w:t>
      </w:r>
    </w:p>
    <w:p w14:paraId="14A96DE7" w14:textId="78AE7CDC" w:rsidR="0075208E" w:rsidRPr="000D2458" w:rsidRDefault="0075208E" w:rsidP="0075208E">
      <w:pPr>
        <w:spacing w:after="160"/>
        <w:rPr>
          <w:noProof/>
        </w:rPr>
      </w:pPr>
      <w:r w:rsidRPr="000D2458">
        <w:rPr>
          <w:b/>
          <w:i/>
          <w:noProof/>
        </w:rPr>
        <w:t>One-off adjustment costs for public authorities</w:t>
      </w:r>
      <w:r w:rsidRPr="000D2458">
        <w:rPr>
          <w:i/>
          <w:noProof/>
        </w:rPr>
        <w:t>.</w:t>
      </w:r>
      <w:r w:rsidRPr="000D2458">
        <w:rPr>
          <w:noProof/>
        </w:rPr>
        <w:t xml:space="preserve"> </w:t>
      </w:r>
    </w:p>
    <w:p w14:paraId="42EA054B" w14:textId="44539058" w:rsidR="0075208E" w:rsidRPr="000D2458" w:rsidRDefault="00090FC9" w:rsidP="0075208E">
      <w:pPr>
        <w:rPr>
          <w:noProof/>
        </w:rPr>
      </w:pPr>
      <w:r>
        <w:rPr>
          <w:i/>
          <w:iCs/>
          <w:noProof/>
        </w:rPr>
        <w:t>Conduct the r</w:t>
      </w:r>
      <w:r w:rsidR="0075208E" w:rsidRPr="000D2458">
        <w:rPr>
          <w:i/>
          <w:iCs/>
          <w:noProof/>
        </w:rPr>
        <w:t xml:space="preserve">isk assessments. </w:t>
      </w:r>
      <w:r w:rsidR="0075208E" w:rsidRPr="000D2458">
        <w:rPr>
          <w:noProof/>
        </w:rPr>
        <w:t>National public authorities and regional or federal authorities in the case of decentralized Member States shall perform a</w:t>
      </w:r>
      <w:r w:rsidR="0075208E">
        <w:rPr>
          <w:noProof/>
        </w:rPr>
        <w:t>t one</w:t>
      </w:r>
      <w:r w:rsidR="0075208E" w:rsidRPr="000D2458">
        <w:rPr>
          <w:noProof/>
        </w:rPr>
        <w:t xml:space="preserve"> sovereignty risk assessment, with the aim of mapping sovereignty assurance levels to cloud and AI computing services used in the public sector, taking into consideration aspects such as sensitivity and criticality of the data processed, </w:t>
      </w:r>
      <w:r w:rsidR="0075208E">
        <w:rPr>
          <w:noProof/>
        </w:rPr>
        <w:t xml:space="preserve">the </w:t>
      </w:r>
      <w:r w:rsidR="0075208E" w:rsidRPr="000D2458">
        <w:rPr>
          <w:noProof/>
        </w:rPr>
        <w:t>risk</w:t>
      </w:r>
      <w:r w:rsidR="0075208E">
        <w:rPr>
          <w:noProof/>
        </w:rPr>
        <w:t>s associated to the potential</w:t>
      </w:r>
      <w:r w:rsidR="0075208E" w:rsidRPr="000D2458">
        <w:rPr>
          <w:noProof/>
        </w:rPr>
        <w:t xml:space="preserve"> unlawful access to data by third country legislation, potential disruption of the services, and the existence of computing </w:t>
      </w:r>
      <w:r w:rsidR="0075208E" w:rsidRPr="00946D27">
        <w:rPr>
          <w:noProof/>
        </w:rPr>
        <w:t xml:space="preserve">services </w:t>
      </w:r>
      <w:r w:rsidR="00946D27" w:rsidRPr="00946D27">
        <w:rPr>
          <w:noProof/>
        </w:rPr>
        <w:t xml:space="preserve">audited </w:t>
      </w:r>
      <w:r w:rsidR="0075208E" w:rsidRPr="00946D27">
        <w:rPr>
          <w:noProof/>
        </w:rPr>
        <w:t>under that sovereignty level, among others. The estimated number of authorities is 267, considering the</w:t>
      </w:r>
      <w:r w:rsidR="0075208E" w:rsidRPr="000D2458">
        <w:rPr>
          <w:noProof/>
        </w:rPr>
        <w:t xml:space="preserve"> NUTS-0 and NUTS-1 distribution. Given that it is a voluntary measure, it is considered that the uptake will be only by in 25% of the authorities, that is, 67.</w:t>
      </w:r>
    </w:p>
    <w:p w14:paraId="26D9E7F0" w14:textId="77777777" w:rsidR="00155089" w:rsidRPr="000D2458" w:rsidRDefault="00155089" w:rsidP="00155089">
      <w:pPr>
        <w:rPr>
          <w:noProof/>
        </w:rPr>
      </w:pPr>
      <w:r w:rsidRPr="000D2458">
        <w:rPr>
          <w:noProof/>
        </w:rPr>
        <w:t xml:space="preserve">The output of this </w:t>
      </w:r>
      <w:r w:rsidR="0075208E" w:rsidRPr="000D2458">
        <w:rPr>
          <w:noProof/>
        </w:rPr>
        <w:t>risk</w:t>
      </w:r>
      <w:r w:rsidRPr="000D2458">
        <w:rPr>
          <w:noProof/>
        </w:rPr>
        <w:t xml:space="preserve"> assessment will be a classification of applications or use cases categories mapped to the minimum sovereignty assurance level permitted for the procurement of cloud and AI services serving those cases. </w:t>
      </w:r>
    </w:p>
    <w:p w14:paraId="10A3A5ED" w14:textId="55CA6DB6" w:rsidR="00155089" w:rsidRPr="000D2458" w:rsidRDefault="00155089" w:rsidP="00155089">
      <w:pPr>
        <w:rPr>
          <w:noProof/>
        </w:rPr>
      </w:pPr>
      <w:r w:rsidRPr="000D2458">
        <w:rPr>
          <w:noProof/>
        </w:rPr>
        <w:t xml:space="preserve">The estimated effort for this sovereignty risk assessment is of 10 FTEs. This is a new activity for which there is yet few expertise in the Member States. It is considered that in the initial iteration, Member States will need to understand well the sectors, applications and type of data, among other aspects, that will drive their risk </w:t>
      </w:r>
      <w:r w:rsidR="0075208E">
        <w:rPr>
          <w:noProof/>
        </w:rPr>
        <w:t>analysis</w:t>
      </w:r>
      <w:r w:rsidR="0075208E" w:rsidRPr="000D2458">
        <w:rPr>
          <w:noProof/>
        </w:rPr>
        <w:t xml:space="preserve"> to </w:t>
      </w:r>
      <w:r w:rsidR="0075208E">
        <w:rPr>
          <w:noProof/>
        </w:rPr>
        <w:t>decide</w:t>
      </w:r>
      <w:r w:rsidR="0075208E" w:rsidRPr="000D2458">
        <w:rPr>
          <w:noProof/>
        </w:rPr>
        <w:t xml:space="preserve"> one sovereignty </w:t>
      </w:r>
      <w:r w:rsidR="00DD7782">
        <w:rPr>
          <w:noProof/>
        </w:rPr>
        <w:t xml:space="preserve">assurance </w:t>
      </w:r>
      <w:r w:rsidR="0075208E" w:rsidRPr="000D2458">
        <w:rPr>
          <w:noProof/>
        </w:rPr>
        <w:t>level or another.</w:t>
      </w:r>
      <w:r w:rsidRPr="000D2458">
        <w:rPr>
          <w:noProof/>
        </w:rPr>
        <w:t xml:space="preserve"> It is expected that initially this will be an activity encompassing various ministries and agencies and therefore an intensive collaboration is expected. The guidelines from the Commission, however, should alleviate this effort.</w:t>
      </w:r>
    </w:p>
    <w:p w14:paraId="7121305D" w14:textId="77777777" w:rsidR="0075208E" w:rsidRPr="000D2458" w:rsidRDefault="0075208E" w:rsidP="0075208E">
      <w:pPr>
        <w:rPr>
          <w:noProof/>
        </w:rPr>
      </w:pPr>
      <w:r w:rsidRPr="000D2458">
        <w:rPr>
          <w:noProof/>
        </w:rPr>
        <w:t xml:space="preserve">The risk assessments will start in 2029, once EUCS and the </w:t>
      </w:r>
      <w:r>
        <w:rPr>
          <w:noProof/>
        </w:rPr>
        <w:t>sovereignty framework</w:t>
      </w:r>
      <w:r w:rsidRPr="000D2458">
        <w:rPr>
          <w:noProof/>
        </w:rPr>
        <w:t xml:space="preserve"> is in place.</w:t>
      </w:r>
    </w:p>
    <w:p w14:paraId="214953A0" w14:textId="4619501B" w:rsidR="0054339C" w:rsidRDefault="0054339C" w:rsidP="00155089">
      <w:pPr>
        <w:rPr>
          <w:noProof/>
        </w:rPr>
      </w:pPr>
      <w:r w:rsidRPr="00B1699A">
        <w:rPr>
          <w:i/>
          <w:noProof/>
        </w:rPr>
        <w:t>Designation of the competent authority</w:t>
      </w:r>
      <w:r w:rsidRPr="000D2458">
        <w:rPr>
          <w:noProof/>
        </w:rPr>
        <w:t xml:space="preserve">, which has an estimated of 0.2 FTE per MS, which will be responsible </w:t>
      </w:r>
      <w:r w:rsidR="009E76E6">
        <w:rPr>
          <w:noProof/>
        </w:rPr>
        <w:t>to</w:t>
      </w:r>
      <w:r w:rsidRPr="000D2458">
        <w:rPr>
          <w:noProof/>
        </w:rPr>
        <w:t xml:space="preserve"> verify the audit reports received from the providers</w:t>
      </w:r>
      <w:r w:rsidRPr="0054339C">
        <w:rPr>
          <w:noProof/>
        </w:rPr>
        <w:t xml:space="preserve"> </w:t>
      </w:r>
      <w:r w:rsidR="006C07E5">
        <w:rPr>
          <w:noProof/>
        </w:rPr>
        <w:t>that had their services audited at</w:t>
      </w:r>
      <w:r w:rsidRPr="0054339C">
        <w:rPr>
          <w:noProof/>
        </w:rPr>
        <w:t xml:space="preserve"> sovereign level 2</w:t>
      </w:r>
      <w:r>
        <w:rPr>
          <w:noProof/>
        </w:rPr>
        <w:t xml:space="preserve"> at least.</w:t>
      </w:r>
      <w:r w:rsidR="009E76E6">
        <w:rPr>
          <w:noProof/>
        </w:rPr>
        <w:t xml:space="preserve"> </w:t>
      </w:r>
    </w:p>
    <w:p w14:paraId="1519F413" w14:textId="231383EB" w:rsidR="00155089" w:rsidRDefault="0075208E" w:rsidP="00155089">
      <w:pPr>
        <w:rPr>
          <w:noProof/>
        </w:rPr>
      </w:pPr>
      <w:r w:rsidRPr="00746B51">
        <w:rPr>
          <w:i/>
          <w:noProof/>
        </w:rPr>
        <w:t>Cloud</w:t>
      </w:r>
      <w:r w:rsidR="00155089" w:rsidRPr="00746B51">
        <w:rPr>
          <w:i/>
          <w:noProof/>
        </w:rPr>
        <w:t xml:space="preserve">-to-sovereign-cloud migration costs </w:t>
      </w:r>
      <w:r w:rsidR="00395DB0" w:rsidRPr="00746B51">
        <w:rPr>
          <w:i/>
          <w:noProof/>
        </w:rPr>
        <w:t>for</w:t>
      </w:r>
      <w:r w:rsidR="00155089" w:rsidRPr="00746B51">
        <w:rPr>
          <w:i/>
          <w:noProof/>
        </w:rPr>
        <w:t xml:space="preserve"> the public sector.</w:t>
      </w:r>
      <w:r w:rsidR="00155089">
        <w:rPr>
          <w:i/>
          <w:iCs/>
          <w:noProof/>
        </w:rPr>
        <w:t xml:space="preserve"> </w:t>
      </w:r>
      <w:r w:rsidR="00155089">
        <w:rPr>
          <w:noProof/>
        </w:rPr>
        <w:t>Detailed information is provided in Annex 12 on the methodology and calculation of the costs for the migration and porting of cloud applications to sovereign cloud services.</w:t>
      </w:r>
    </w:p>
    <w:p w14:paraId="12842558" w14:textId="77777777" w:rsidR="000809BD" w:rsidRDefault="0075208E" w:rsidP="00337E34">
      <w:pPr>
        <w:rPr>
          <w:noProof/>
        </w:rPr>
      </w:pPr>
      <w:r w:rsidRPr="00D334CD">
        <w:rPr>
          <w:noProof/>
        </w:rPr>
        <w:t xml:space="preserve">Due to the voluntary nature of the measure and given that transition to a sovereignty </w:t>
      </w:r>
      <w:r>
        <w:rPr>
          <w:noProof/>
        </w:rPr>
        <w:t>service</w:t>
      </w:r>
      <w:r w:rsidR="001B3596" w:rsidRPr="00D334CD">
        <w:rPr>
          <w:noProof/>
        </w:rPr>
        <w:t xml:space="preserve"> is recommended and not mandatory</w:t>
      </w:r>
      <w:r w:rsidR="009B647D" w:rsidRPr="00C0320B">
        <w:rPr>
          <w:noProof/>
        </w:rPr>
        <w:t xml:space="preserve">, only </w:t>
      </w:r>
      <w:r w:rsidR="009B647D" w:rsidRPr="000E44C9">
        <w:rPr>
          <w:noProof/>
        </w:rPr>
        <w:t>25%</w:t>
      </w:r>
      <w:r w:rsidR="00D60EA5">
        <w:rPr>
          <w:noProof/>
        </w:rPr>
        <w:t xml:space="preserve"> of the</w:t>
      </w:r>
      <w:r w:rsidR="00337E34">
        <w:rPr>
          <w:noProof/>
        </w:rPr>
        <w:t xml:space="preserve"> </w:t>
      </w:r>
      <w:r w:rsidR="00337E34" w:rsidRPr="00746B51">
        <w:rPr>
          <w:i/>
          <w:noProof/>
        </w:rPr>
        <w:t>cloudified</w:t>
      </w:r>
      <w:r w:rsidR="00337E34" w:rsidRPr="00C0320B">
        <w:rPr>
          <w:noProof/>
        </w:rPr>
        <w:t xml:space="preserve"> and the </w:t>
      </w:r>
      <w:r w:rsidR="00337E34" w:rsidRPr="00746B51">
        <w:rPr>
          <w:i/>
          <w:noProof/>
        </w:rPr>
        <w:t>cloudifiable</w:t>
      </w:r>
      <w:r w:rsidR="00D60EA5">
        <w:rPr>
          <w:noProof/>
        </w:rPr>
        <w:t xml:space="preserve"> IT systems</w:t>
      </w:r>
      <w:r w:rsidR="009B647D" w:rsidRPr="00C0320B">
        <w:rPr>
          <w:noProof/>
        </w:rPr>
        <w:t xml:space="preserve"> w</w:t>
      </w:r>
      <w:r w:rsidR="00117F12">
        <w:rPr>
          <w:noProof/>
        </w:rPr>
        <w:t>ould</w:t>
      </w:r>
      <w:r w:rsidR="009B647D" w:rsidRPr="00C0320B">
        <w:rPr>
          <w:noProof/>
        </w:rPr>
        <w:t xml:space="preserve"> be ported or migrated </w:t>
      </w:r>
      <w:r w:rsidR="00E33F49" w:rsidRPr="00C0320B">
        <w:rPr>
          <w:noProof/>
        </w:rPr>
        <w:t>to a sovereign solution</w:t>
      </w:r>
      <w:r w:rsidR="00E33F49" w:rsidRPr="000E44C9">
        <w:rPr>
          <w:noProof/>
        </w:rPr>
        <w:t>.</w:t>
      </w:r>
    </w:p>
    <w:p w14:paraId="37F96152" w14:textId="66241639" w:rsidR="007B42B2" w:rsidRDefault="007B42B2" w:rsidP="000809BD">
      <w:pPr>
        <w:rPr>
          <w:noProof/>
        </w:rPr>
      </w:pPr>
      <w:r>
        <w:rPr>
          <w:noProof/>
        </w:rPr>
        <w:t xml:space="preserve">Both the migration of </w:t>
      </w:r>
      <w:r w:rsidR="00D844AD">
        <w:rPr>
          <w:noProof/>
        </w:rPr>
        <w:t>applications from</w:t>
      </w:r>
      <w:r>
        <w:rPr>
          <w:noProof/>
        </w:rPr>
        <w:t xml:space="preserve"> legacy-to-sovereign cloud </w:t>
      </w:r>
      <w:r w:rsidR="00D844AD">
        <w:rPr>
          <w:noProof/>
        </w:rPr>
        <w:t>or from</w:t>
      </w:r>
      <w:r>
        <w:rPr>
          <w:noProof/>
        </w:rPr>
        <w:t xml:space="preserve"> cloud-to-sovereign cloud will be performed in a linear distributed manner in a time frame spanning 5 years</w:t>
      </w:r>
      <w:r w:rsidR="000809BD">
        <w:rPr>
          <w:noProof/>
        </w:rPr>
        <w:t>, s</w:t>
      </w:r>
      <w:r>
        <w:rPr>
          <w:noProof/>
        </w:rPr>
        <w:t xml:space="preserve">tarting </w:t>
      </w:r>
      <w:r w:rsidR="000809BD">
        <w:rPr>
          <w:noProof/>
        </w:rPr>
        <w:t>in</w:t>
      </w:r>
      <w:r>
        <w:rPr>
          <w:noProof/>
        </w:rPr>
        <w:t xml:space="preserve"> 2029, once there is a set of </w:t>
      </w:r>
      <w:r w:rsidR="000A461F">
        <w:rPr>
          <w:noProof/>
        </w:rPr>
        <w:t xml:space="preserve">services </w:t>
      </w:r>
      <w:r w:rsidR="00202F36">
        <w:rPr>
          <w:noProof/>
        </w:rPr>
        <w:t>audited</w:t>
      </w:r>
      <w:r w:rsidR="000A461F">
        <w:rPr>
          <w:noProof/>
        </w:rPr>
        <w:t xml:space="preserve"> as sovereign</w:t>
      </w:r>
      <w:r>
        <w:rPr>
          <w:noProof/>
        </w:rPr>
        <w:t>.</w:t>
      </w:r>
    </w:p>
    <w:p w14:paraId="1998980E" w14:textId="71CE42EA" w:rsidR="00DD609D" w:rsidRPr="007B1F34" w:rsidRDefault="00514579" w:rsidP="00F867EA">
      <w:pPr>
        <w:rPr>
          <w:noProof/>
        </w:rPr>
      </w:pPr>
      <w:r w:rsidRPr="007B1F34">
        <w:rPr>
          <w:noProof/>
        </w:rPr>
        <w:t xml:space="preserve">The average cost of porting a single application to a new cloud </w:t>
      </w:r>
      <w:r w:rsidR="00BC775D">
        <w:rPr>
          <w:noProof/>
        </w:rPr>
        <w:t>varies from</w:t>
      </w:r>
      <w:r w:rsidRPr="007B1F34">
        <w:rPr>
          <w:noProof/>
        </w:rPr>
        <w:t xml:space="preserve"> EUR 30 000 and EUR 600 000 depending on the size of the application</w:t>
      </w:r>
      <w:r w:rsidR="00DF5B36" w:rsidRPr="007B1F34">
        <w:rPr>
          <w:noProof/>
        </w:rPr>
        <w:t>, and not much on the type of cloud at origin or destination</w:t>
      </w:r>
      <w:r w:rsidR="004415B8">
        <w:rPr>
          <w:noProof/>
        </w:rPr>
        <w:t>,</w:t>
      </w:r>
      <w:r w:rsidR="00135BE8" w:rsidRPr="007B1F34">
        <w:rPr>
          <w:noProof/>
        </w:rPr>
        <w:t xml:space="preserve"> </w:t>
      </w:r>
      <w:r w:rsidR="00810A55" w:rsidRPr="007B1F34">
        <w:rPr>
          <w:noProof/>
        </w:rPr>
        <w:t xml:space="preserve">as they are </w:t>
      </w:r>
      <w:r w:rsidR="004415B8">
        <w:rPr>
          <w:noProof/>
        </w:rPr>
        <w:t>mainly</w:t>
      </w:r>
      <w:r w:rsidR="00810A55" w:rsidRPr="007B1F34">
        <w:rPr>
          <w:noProof/>
        </w:rPr>
        <w:t xml:space="preserve"> based on human effort</w:t>
      </w:r>
      <w:r w:rsidR="0036586C" w:rsidRPr="007B1F34">
        <w:rPr>
          <w:noProof/>
        </w:rPr>
        <w:t xml:space="preserve"> (400 to 8000 hours</w:t>
      </w:r>
      <w:r w:rsidR="0047453F">
        <w:rPr>
          <w:noProof/>
        </w:rPr>
        <w:t xml:space="preserve"> of work</w:t>
      </w:r>
      <w:r w:rsidR="0036586C" w:rsidRPr="007B1F34">
        <w:rPr>
          <w:noProof/>
        </w:rPr>
        <w:t>)</w:t>
      </w:r>
      <w:r w:rsidR="00810A55" w:rsidRPr="007B1F34">
        <w:rPr>
          <w:noProof/>
        </w:rPr>
        <w:t>.</w:t>
      </w:r>
      <w:r w:rsidR="00E30AB7">
        <w:rPr>
          <w:noProof/>
        </w:rPr>
        <w:t xml:space="preserve"> See Annex 12 for a explanation of these figures.</w:t>
      </w:r>
    </w:p>
    <w:p w14:paraId="4D7DFB34" w14:textId="4AB769A1" w:rsidR="00F867EA" w:rsidRPr="00627E10" w:rsidRDefault="00F867EA">
      <w:pPr>
        <w:rPr>
          <w:noProof/>
        </w:rPr>
      </w:pPr>
      <w:r w:rsidRPr="00627E10">
        <w:rPr>
          <w:noProof/>
        </w:rPr>
        <w:t xml:space="preserve">These costs have not been quantified in the cost-benefit analysis, although </w:t>
      </w:r>
      <w:r w:rsidR="00E13018" w:rsidRPr="00627E10">
        <w:rPr>
          <w:noProof/>
        </w:rPr>
        <w:t xml:space="preserve">they are </w:t>
      </w:r>
      <w:r w:rsidRPr="00627E10">
        <w:rPr>
          <w:noProof/>
        </w:rPr>
        <w:t>described in detail</w:t>
      </w:r>
      <w:r w:rsidR="00076ED5" w:rsidRPr="00627E10">
        <w:rPr>
          <w:noProof/>
        </w:rPr>
        <w:t>, and</w:t>
      </w:r>
      <w:r w:rsidRPr="00627E10">
        <w:rPr>
          <w:noProof/>
        </w:rPr>
        <w:t xml:space="preserve"> </w:t>
      </w:r>
      <w:r w:rsidR="00076ED5" w:rsidRPr="00627E10">
        <w:rPr>
          <w:noProof/>
        </w:rPr>
        <w:t>illustrated with the real use cases</w:t>
      </w:r>
      <w:r w:rsidRPr="00627E10">
        <w:rPr>
          <w:noProof/>
        </w:rPr>
        <w:t xml:space="preserve"> in </w:t>
      </w:r>
      <w:r w:rsidR="00E15AA9" w:rsidRPr="00627E10">
        <w:rPr>
          <w:noProof/>
        </w:rPr>
        <w:t>Section 6.1.2</w:t>
      </w:r>
      <w:r w:rsidR="00627E10" w:rsidRPr="00627E10">
        <w:rPr>
          <w:noProof/>
        </w:rPr>
        <w:t xml:space="preserve"> of the main text</w:t>
      </w:r>
      <w:r w:rsidRPr="00627E10">
        <w:rPr>
          <w:noProof/>
        </w:rPr>
        <w:t>.</w:t>
      </w:r>
    </w:p>
    <w:p w14:paraId="24A7E1CB" w14:textId="11A83062" w:rsidR="00A10AA9" w:rsidRDefault="00A10AA9" w:rsidP="00A10AA9">
      <w:pPr>
        <w:rPr>
          <w:b/>
          <w:bCs/>
          <w:noProof/>
        </w:rPr>
      </w:pPr>
      <w:r w:rsidRPr="00F97A97">
        <w:rPr>
          <w:b/>
          <w:bCs/>
          <w:i/>
          <w:iCs/>
          <w:noProof/>
        </w:rPr>
        <w:t>Recurrent administrative costs for national public authorities</w:t>
      </w:r>
    </w:p>
    <w:p w14:paraId="578DF2D9" w14:textId="77777777" w:rsidR="00A10AA9" w:rsidRDefault="00A10AA9" w:rsidP="00A10AA9">
      <w:pPr>
        <w:rPr>
          <w:noProof/>
        </w:rPr>
      </w:pPr>
      <w:r w:rsidRPr="008A5B02">
        <w:rPr>
          <w:i/>
          <w:iCs/>
          <w:noProof/>
        </w:rPr>
        <w:t>Sovereignty r</w:t>
      </w:r>
      <w:r w:rsidRPr="0044146C">
        <w:rPr>
          <w:i/>
          <w:iCs/>
          <w:noProof/>
        </w:rPr>
        <w:t>isk assessment</w:t>
      </w:r>
      <w:r w:rsidRPr="008A5B02">
        <w:rPr>
          <w:i/>
          <w:iCs/>
          <w:noProof/>
        </w:rPr>
        <w:t xml:space="preserve">. </w:t>
      </w:r>
      <w:r w:rsidRPr="008A5B02">
        <w:rPr>
          <w:noProof/>
        </w:rPr>
        <w:t>This risk assessment shall be renewed every 4 years. The effort estimated for this reassessment of the sovereignty risks is estimated to be 5 FTEs, a lower effort than implementing the risk assessment from scratch, given that the activity is already ramped up and the Member States would already have a good understanding of their situation.</w:t>
      </w:r>
      <w:r>
        <w:rPr>
          <w:noProof/>
        </w:rPr>
        <w:t xml:space="preserve"> </w:t>
      </w:r>
      <w:r w:rsidR="0075208E">
        <w:rPr>
          <w:noProof/>
        </w:rPr>
        <w:t>67 authorities will carry out these assessments and therefore will have to renew them.</w:t>
      </w:r>
    </w:p>
    <w:p w14:paraId="7BAA6152" w14:textId="34CCCCD3" w:rsidR="0075208E" w:rsidRDefault="0075208E" w:rsidP="0075208E">
      <w:pPr>
        <w:rPr>
          <w:noProof/>
        </w:rPr>
      </w:pPr>
      <w:r w:rsidRPr="00113D21">
        <w:rPr>
          <w:i/>
          <w:iCs/>
          <w:noProof/>
        </w:rPr>
        <w:t>Revision of the audit</w:t>
      </w:r>
      <w:r w:rsidRPr="00B31C5D">
        <w:rPr>
          <w:noProof/>
        </w:rPr>
        <w:t xml:space="preserve"> </w:t>
      </w:r>
      <w:r w:rsidRPr="00113D21">
        <w:rPr>
          <w:i/>
          <w:iCs/>
          <w:noProof/>
        </w:rPr>
        <w:t>reports</w:t>
      </w:r>
      <w:r w:rsidRPr="00B31C5D">
        <w:rPr>
          <w:noProof/>
        </w:rPr>
        <w:t xml:space="preserve"> by the competent authorities, per service </w:t>
      </w:r>
      <w:r>
        <w:rPr>
          <w:noProof/>
        </w:rPr>
        <w:t>audited</w:t>
      </w:r>
      <w:r w:rsidRPr="00B31C5D">
        <w:rPr>
          <w:noProof/>
        </w:rPr>
        <w:t xml:space="preserve"> at sovereign level 2</w:t>
      </w:r>
      <w:r>
        <w:rPr>
          <w:noProof/>
        </w:rPr>
        <w:t xml:space="preserve"> at least, estimated at 5 days per service. After verifying the audit report, opinion and evidence and consulting with the other competent authorities, the evaluating competent authority will adopt a decision that would allow a service provider to participate in public procurement activities.</w:t>
      </w:r>
    </w:p>
    <w:p w14:paraId="5264759B" w14:textId="77777777" w:rsidR="004B01F9" w:rsidRPr="006B4C65" w:rsidRDefault="00D67352" w:rsidP="002733FB">
      <w:pPr>
        <w:spacing w:after="160"/>
        <w:rPr>
          <w:noProof/>
          <w:color w:val="000000" w:themeColor="text1"/>
        </w:rPr>
      </w:pPr>
      <w:r w:rsidRPr="006B4C65">
        <w:rPr>
          <w:b/>
          <w:i/>
          <w:noProof/>
          <w:color w:val="000000" w:themeColor="text1"/>
        </w:rPr>
        <w:t xml:space="preserve">Recurrent savings in National Public </w:t>
      </w:r>
      <w:r w:rsidR="00017FC7" w:rsidRPr="006B4C65">
        <w:rPr>
          <w:b/>
          <w:i/>
          <w:noProof/>
          <w:color w:val="000000" w:themeColor="text1"/>
        </w:rPr>
        <w:t>Authorities</w:t>
      </w:r>
      <w:r w:rsidRPr="006B4C65">
        <w:rPr>
          <w:noProof/>
          <w:color w:val="000000" w:themeColor="text1"/>
        </w:rPr>
        <w:t xml:space="preserve"> </w:t>
      </w:r>
    </w:p>
    <w:p w14:paraId="18120990" w14:textId="0E0EDE7D" w:rsidR="006C1E77" w:rsidRPr="00AD4903" w:rsidRDefault="008D3DDD" w:rsidP="006C1E77">
      <w:pPr>
        <w:rPr>
          <w:bCs/>
          <w:iCs/>
          <w:noProof/>
        </w:rPr>
      </w:pPr>
      <w:r>
        <w:rPr>
          <w:i/>
          <w:noProof/>
        </w:rPr>
        <w:t>Running</w:t>
      </w:r>
      <w:r w:rsidR="007A3C86" w:rsidRPr="009F3575">
        <w:rPr>
          <w:i/>
          <w:noProof/>
        </w:rPr>
        <w:t xml:space="preserve"> applications on the cloud</w:t>
      </w:r>
      <w:r w:rsidR="007A3C86" w:rsidRPr="0044146C">
        <w:rPr>
          <w:i/>
          <w:noProof/>
        </w:rPr>
        <w:t>.</w:t>
      </w:r>
      <w:r w:rsidR="007A3C86">
        <w:rPr>
          <w:noProof/>
        </w:rPr>
        <w:t xml:space="preserve"> Operating applications on the cloud, if performed well</w:t>
      </w:r>
      <w:r w:rsidR="006C1E77">
        <w:rPr>
          <w:bCs/>
          <w:iCs/>
          <w:noProof/>
        </w:rPr>
        <w:t>, with a continuous FinOps verifying that services</w:t>
      </w:r>
      <w:r w:rsidR="007A3C86">
        <w:rPr>
          <w:noProof/>
        </w:rPr>
        <w:t xml:space="preserve"> are not overprovisioned can lead to significant savings. Literature sources estimate that the total cost of ownership </w:t>
      </w:r>
      <w:r w:rsidR="006C1E77">
        <w:rPr>
          <w:bCs/>
          <w:iCs/>
          <w:noProof/>
        </w:rPr>
        <w:t xml:space="preserve">(TCO) </w:t>
      </w:r>
      <w:r w:rsidR="007A3C86">
        <w:rPr>
          <w:noProof/>
        </w:rPr>
        <w:t>savings can amount to 20-50% in the case of legacy-to-cloud migrations</w:t>
      </w:r>
      <w:r w:rsidR="006C1E77">
        <w:rPr>
          <w:rStyle w:val="FootnoteReference"/>
          <w:bCs/>
          <w:iCs/>
          <w:noProof/>
        </w:rPr>
        <w:footnoteReference w:id="62"/>
      </w:r>
      <w:r w:rsidR="006C1E77">
        <w:rPr>
          <w:bCs/>
          <w:iCs/>
          <w:noProof/>
        </w:rPr>
        <w:t>.</w:t>
      </w:r>
      <w:r w:rsidR="007A3C86">
        <w:rPr>
          <w:noProof/>
        </w:rPr>
        <w:t xml:space="preserve"> No savings are </w:t>
      </w:r>
      <w:r>
        <w:rPr>
          <w:noProof/>
        </w:rPr>
        <w:t>here</w:t>
      </w:r>
      <w:r w:rsidR="007A3C86">
        <w:rPr>
          <w:noProof/>
        </w:rPr>
        <w:t xml:space="preserve"> </w:t>
      </w:r>
      <w:r w:rsidR="00A40699">
        <w:rPr>
          <w:noProof/>
        </w:rPr>
        <w:t>accounted for</w:t>
      </w:r>
      <w:r w:rsidR="007A3C86">
        <w:rPr>
          <w:noProof/>
        </w:rPr>
        <w:t xml:space="preserve"> in the operation of applications migrated from cloud-to-sovereign cloud, as the applications would have already been benefitting from the total cost of ownership savings.</w:t>
      </w:r>
      <w:r w:rsidR="00A40699">
        <w:rPr>
          <w:noProof/>
        </w:rPr>
        <w:t xml:space="preserve"> </w:t>
      </w:r>
      <w:r w:rsidR="005A6470">
        <w:rPr>
          <w:noProof/>
        </w:rPr>
        <w:t>See Annex 12 for a</w:t>
      </w:r>
      <w:r>
        <w:rPr>
          <w:bCs/>
          <w:iCs/>
          <w:noProof/>
        </w:rPr>
        <w:t xml:space="preserve"> further </w:t>
      </w:r>
      <w:r w:rsidR="005A6470">
        <w:rPr>
          <w:bCs/>
          <w:iCs/>
          <w:noProof/>
        </w:rPr>
        <w:t xml:space="preserve">qualitative </w:t>
      </w:r>
      <w:r>
        <w:rPr>
          <w:bCs/>
          <w:iCs/>
          <w:noProof/>
        </w:rPr>
        <w:t>discussion on</w:t>
      </w:r>
      <w:r w:rsidR="006C1E77" w:rsidRPr="00AD4903">
        <w:rPr>
          <w:bCs/>
          <w:iCs/>
          <w:noProof/>
        </w:rPr>
        <w:t xml:space="preserve"> savings.</w:t>
      </w:r>
    </w:p>
    <w:p w14:paraId="0705987B" w14:textId="5D37CF4C" w:rsidR="00356DF2" w:rsidRPr="008B3213" w:rsidRDefault="009D3233" w:rsidP="0075208E">
      <w:pPr>
        <w:rPr>
          <w:noProof/>
          <w:color w:val="000000" w:themeColor="text1"/>
        </w:rPr>
      </w:pPr>
      <w:r>
        <w:rPr>
          <w:i/>
          <w:noProof/>
          <w:color w:val="000000" w:themeColor="text1"/>
        </w:rPr>
        <w:t xml:space="preserve">Simpler </w:t>
      </w:r>
      <w:r w:rsidR="00D17420">
        <w:rPr>
          <w:i/>
          <w:noProof/>
          <w:color w:val="000000" w:themeColor="text1"/>
        </w:rPr>
        <w:t>p</w:t>
      </w:r>
      <w:r w:rsidR="004B01F9" w:rsidRPr="00CC0600">
        <w:rPr>
          <w:i/>
          <w:noProof/>
          <w:color w:val="000000" w:themeColor="text1"/>
        </w:rPr>
        <w:t>ublic procurement.</w:t>
      </w:r>
      <w:r w:rsidR="004B01F9" w:rsidRPr="008B3213">
        <w:rPr>
          <w:noProof/>
          <w:color w:val="000000" w:themeColor="text1"/>
        </w:rPr>
        <w:t xml:space="preserve"> </w:t>
      </w:r>
      <w:r w:rsidR="0075208E" w:rsidRPr="008B3213">
        <w:rPr>
          <w:noProof/>
          <w:color w:val="000000" w:themeColor="text1"/>
        </w:rPr>
        <w:t xml:space="preserve">Savings in this respect stem from </w:t>
      </w:r>
      <w:r w:rsidR="0075208E">
        <w:rPr>
          <w:noProof/>
          <w:color w:val="000000" w:themeColor="text1"/>
        </w:rPr>
        <w:t xml:space="preserve">the simplification of voluntarily using </w:t>
      </w:r>
      <w:r w:rsidR="0075208E" w:rsidRPr="008B3213">
        <w:rPr>
          <w:noProof/>
          <w:color w:val="000000" w:themeColor="text1"/>
        </w:rPr>
        <w:t>procur</w:t>
      </w:r>
      <w:r w:rsidR="0075208E">
        <w:rPr>
          <w:noProof/>
          <w:color w:val="000000" w:themeColor="text1"/>
        </w:rPr>
        <w:t xml:space="preserve">ing audited services, which are part </w:t>
      </w:r>
      <w:r w:rsidR="0075208E" w:rsidRPr="008B3213">
        <w:rPr>
          <w:noProof/>
          <w:color w:val="000000" w:themeColor="text1"/>
        </w:rPr>
        <w:t xml:space="preserve">of the repository of sovereign cloud and AI computing services. </w:t>
      </w:r>
      <w:r w:rsidR="0075208E">
        <w:rPr>
          <w:noProof/>
          <w:color w:val="000000" w:themeColor="text1"/>
        </w:rPr>
        <w:t xml:space="preserve">This </w:t>
      </w:r>
      <w:r w:rsidR="0075208E" w:rsidRPr="008B3213">
        <w:rPr>
          <w:noProof/>
          <w:color w:val="000000" w:themeColor="text1"/>
        </w:rPr>
        <w:t>shall allow public administrations to save time in the verification of the documentation for the evaluation of the offer.</w:t>
      </w:r>
      <w:r w:rsidR="00D67352" w:rsidRPr="008B3213">
        <w:rPr>
          <w:noProof/>
          <w:color w:val="000000" w:themeColor="text1"/>
        </w:rPr>
        <w:t xml:space="preserve"> This will result in 2 staff days per bid, and assuming that there are 3.5 potential contractors presenting bids in each tender procedure.</w:t>
      </w:r>
      <w:r w:rsidR="00D67352" w:rsidRPr="008B3213">
        <w:rPr>
          <w:noProof/>
          <w:color w:val="000000" w:themeColor="text1"/>
          <w:lang w:val="en-US"/>
        </w:rPr>
        <w:t> </w:t>
      </w:r>
      <w:r w:rsidR="0010311D" w:rsidRPr="008B3213">
        <w:rPr>
          <w:noProof/>
          <w:color w:val="000000" w:themeColor="text1"/>
        </w:rPr>
        <w:t xml:space="preserve"> </w:t>
      </w:r>
    </w:p>
    <w:p w14:paraId="2C144210" w14:textId="77777777" w:rsidR="00176435" w:rsidRDefault="00176435" w:rsidP="00176435">
      <w:pPr>
        <w:spacing w:after="160"/>
        <w:jc w:val="center"/>
        <w:rPr>
          <w:i/>
          <w:noProof/>
        </w:rPr>
      </w:pPr>
      <w:r w:rsidRPr="0007547C">
        <w:rPr>
          <w:i/>
          <w:noProof/>
        </w:rPr>
        <w:t xml:space="preserve">Recurrent savings = Average number of yearly service bids requiring </w:t>
      </w:r>
      <w:r>
        <w:rPr>
          <w:i/>
          <w:noProof/>
        </w:rPr>
        <w:t xml:space="preserve">sovereignty </w:t>
      </w:r>
      <w:r>
        <w:rPr>
          <w:i/>
          <w:iCs/>
          <w:noProof/>
          <w:lang w:val="en-US"/>
        </w:rPr>
        <w:t xml:space="preserve">assurance level 2 – 4 </w:t>
      </w:r>
      <w:r w:rsidRPr="0007547C">
        <w:rPr>
          <w:i/>
          <w:noProof/>
        </w:rPr>
        <w:t xml:space="preserve"> * staff costs savings per bid</w:t>
      </w:r>
    </w:p>
    <w:p w14:paraId="21BFC06C" w14:textId="6050144D" w:rsidR="001058C8" w:rsidRPr="009D7223" w:rsidRDefault="001058C8" w:rsidP="001058C8">
      <w:pPr>
        <w:spacing w:after="160"/>
        <w:rPr>
          <w:noProof/>
          <w:color w:val="000000" w:themeColor="text1"/>
        </w:rPr>
      </w:pPr>
      <w:r w:rsidRPr="009F3575">
        <w:rPr>
          <w:i/>
          <w:noProof/>
          <w:color w:val="000000" w:themeColor="text1"/>
        </w:rPr>
        <w:t>Sovereign services</w:t>
      </w:r>
      <w:r w:rsidRPr="009D7223">
        <w:rPr>
          <w:i/>
          <w:noProof/>
          <w:color w:val="000000" w:themeColor="text1"/>
        </w:rPr>
        <w:t xml:space="preserve">. </w:t>
      </w:r>
      <w:r w:rsidRPr="009D7223">
        <w:rPr>
          <w:noProof/>
          <w:color w:val="000000" w:themeColor="text1"/>
        </w:rPr>
        <w:t xml:space="preserve">The savings from using sovereign services cannot be quantified due to the intangible nature of sovereignty and resilience. </w:t>
      </w:r>
    </w:p>
    <w:p w14:paraId="25DDF520" w14:textId="77777777" w:rsidR="00CB1439" w:rsidRPr="00AD7314" w:rsidRDefault="00CB1439" w:rsidP="00CB1439">
      <w:pPr>
        <w:rPr>
          <w:b/>
          <w:i/>
          <w:noProof/>
        </w:rPr>
      </w:pPr>
      <w:r>
        <w:rPr>
          <w:b/>
          <w:i/>
          <w:noProof/>
        </w:rPr>
        <w:t>C</w:t>
      </w:r>
      <w:r w:rsidRPr="00AD7314">
        <w:rPr>
          <w:b/>
          <w:i/>
          <w:noProof/>
        </w:rPr>
        <w:t xml:space="preserve">osts for service providers to develop sovereign services </w:t>
      </w:r>
    </w:p>
    <w:p w14:paraId="4F118FD6" w14:textId="77777777" w:rsidR="00CB1439" w:rsidRDefault="00CB1439" w:rsidP="00CB1439">
      <w:pPr>
        <w:pStyle w:val="Reply"/>
        <w:spacing w:line="240" w:lineRule="auto"/>
        <w:rPr>
          <w:noProof/>
          <w:kern w:val="0"/>
          <w14:ligatures w14:val="none"/>
        </w:rPr>
      </w:pPr>
      <w:r w:rsidRPr="0025103C">
        <w:rPr>
          <w:noProof/>
          <w:kern w:val="0"/>
          <w14:ligatures w14:val="none"/>
        </w:rPr>
        <w:t>Assessing the cost and benefits for providers to provide sovereign services is a complex task that involves many parameters and differs greatly from provider to provider. As well, in the absence of an established market for sovereign services, data sources are rather anchored in providers’ business plans, not in ex post analysis of established businesses. Such data is confidential to companies, and the below considerations are based on targeted discussions with stakeholders that requested to remain anonymous. A first consideration is that the consulted companies unanimously indicated that</w:t>
      </w:r>
      <w:r>
        <w:rPr>
          <w:noProof/>
          <w:kern w:val="0"/>
          <w14:ligatures w14:val="none"/>
        </w:rPr>
        <w:t>, in developing the business plan for these new services,</w:t>
      </w:r>
      <w:r w:rsidRPr="0025103C">
        <w:rPr>
          <w:noProof/>
          <w:kern w:val="0"/>
          <w14:ligatures w14:val="none"/>
        </w:rPr>
        <w:t xml:space="preserve"> </w:t>
      </w:r>
      <w:r>
        <w:rPr>
          <w:noProof/>
          <w:kern w:val="0"/>
          <w14:ligatures w14:val="none"/>
        </w:rPr>
        <w:t xml:space="preserve">they count on new </w:t>
      </w:r>
      <w:r w:rsidRPr="0025103C">
        <w:rPr>
          <w:noProof/>
          <w:kern w:val="0"/>
          <w14:ligatures w14:val="none"/>
        </w:rPr>
        <w:t xml:space="preserve">large critical use cases </w:t>
      </w:r>
      <w:r>
        <w:rPr>
          <w:noProof/>
          <w:kern w:val="0"/>
          <w14:ligatures w14:val="none"/>
        </w:rPr>
        <w:t xml:space="preserve">that </w:t>
      </w:r>
      <w:r w:rsidRPr="0025103C">
        <w:rPr>
          <w:noProof/>
          <w:kern w:val="0"/>
          <w14:ligatures w14:val="none"/>
        </w:rPr>
        <w:t>are today not in the cloud</w:t>
      </w:r>
      <w:r>
        <w:rPr>
          <w:noProof/>
          <w:kern w:val="0"/>
          <w14:ligatures w14:val="none"/>
        </w:rPr>
        <w:t xml:space="preserve">; in other words, they see sovereign services to generate </w:t>
      </w:r>
      <w:r w:rsidRPr="0025103C">
        <w:rPr>
          <w:noProof/>
          <w:kern w:val="0"/>
          <w14:ligatures w14:val="none"/>
        </w:rPr>
        <w:t xml:space="preserve">a new source of income, </w:t>
      </w:r>
      <w:r>
        <w:rPr>
          <w:noProof/>
          <w:kern w:val="0"/>
          <w14:ligatures w14:val="none"/>
        </w:rPr>
        <w:t>but not to</w:t>
      </w:r>
      <w:r w:rsidRPr="0025103C">
        <w:rPr>
          <w:noProof/>
          <w:kern w:val="0"/>
          <w14:ligatures w14:val="none"/>
        </w:rPr>
        <w:t xml:space="preserve"> substitut</w:t>
      </w:r>
      <w:r>
        <w:rPr>
          <w:noProof/>
          <w:kern w:val="0"/>
          <w14:ligatures w14:val="none"/>
        </w:rPr>
        <w:t>e</w:t>
      </w:r>
      <w:r w:rsidRPr="0025103C">
        <w:rPr>
          <w:noProof/>
          <w:kern w:val="0"/>
          <w14:ligatures w14:val="none"/>
        </w:rPr>
        <w:t xml:space="preserve"> existing.</w:t>
      </w:r>
      <w:r>
        <w:rPr>
          <w:noProof/>
          <w:kern w:val="0"/>
          <w14:ligatures w14:val="none"/>
        </w:rPr>
        <w:t xml:space="preserve"> </w:t>
      </w:r>
    </w:p>
    <w:p w14:paraId="4D082566" w14:textId="77777777" w:rsidR="00F72A79" w:rsidRDefault="00CB1439" w:rsidP="00F72A79">
      <w:pPr>
        <w:pStyle w:val="Reply"/>
        <w:spacing w:line="240" w:lineRule="auto"/>
        <w:rPr>
          <w:noProof/>
          <w:kern w:val="0"/>
        </w:rPr>
      </w:pPr>
      <w:r w:rsidRPr="0025103C">
        <w:rPr>
          <w:noProof/>
          <w:kern w:val="0"/>
          <w14:ligatures w14:val="none"/>
        </w:rPr>
        <w:t xml:space="preserve">Cost wise, new costs notably include the amortisation of all one-off adjustment costs such as the additional cost induced by using EU-located infrastructure, the additional compliance costs induced by the </w:t>
      </w:r>
      <w:r>
        <w:rPr>
          <w:noProof/>
          <w:kern w:val="0"/>
          <w14:ligatures w14:val="none"/>
        </w:rPr>
        <w:t>audits</w:t>
      </w:r>
      <w:r w:rsidRPr="0025103C">
        <w:rPr>
          <w:noProof/>
          <w:kern w:val="0"/>
          <w14:ligatures w14:val="none"/>
        </w:rPr>
        <w:t>, the additional costs of being certified under EUCS; and proper recurrent costs such as the higher salaries of employing EU workforce. As an illustration, speaking under the condition of anonymity for business secrecy reasons, one of the largest EU service providers of sovereign services speaks of an overall investment of EUR 1.5 bn</w:t>
      </w:r>
      <w:r>
        <w:rPr>
          <w:noProof/>
          <w:kern w:val="0"/>
          <w14:ligatures w14:val="none"/>
        </w:rPr>
        <w:t>, including hardware,</w:t>
      </w:r>
      <w:r w:rsidRPr="0025103C">
        <w:rPr>
          <w:noProof/>
          <w:kern w:val="0"/>
          <w14:ligatures w14:val="none"/>
        </w:rPr>
        <w:t xml:space="preserve"> for a broad range of IaaS and PaaS services</w:t>
      </w:r>
      <w:r>
        <w:rPr>
          <w:noProof/>
          <w:kern w:val="0"/>
          <w14:ligatures w14:val="none"/>
        </w:rPr>
        <w:t xml:space="preserve"> (</w:t>
      </w:r>
      <w:r w:rsidRPr="0025103C">
        <w:rPr>
          <w:noProof/>
          <w:kern w:val="0"/>
          <w14:ligatures w14:val="none"/>
        </w:rPr>
        <w:t>for an unspecified computing capacity</w:t>
      </w:r>
      <w:r>
        <w:rPr>
          <w:noProof/>
          <w:kern w:val="0"/>
          <w14:ligatures w14:val="none"/>
        </w:rPr>
        <w:t>)</w:t>
      </w:r>
      <w:r w:rsidRPr="0025103C">
        <w:rPr>
          <w:noProof/>
          <w:kern w:val="0"/>
          <w14:ligatures w14:val="none"/>
        </w:rPr>
        <w:t>.</w:t>
      </w:r>
      <w:r>
        <w:rPr>
          <w:noProof/>
          <w:kern w:val="0"/>
          <w14:ligatures w14:val="none"/>
        </w:rPr>
        <w:t xml:space="preserve"> </w:t>
      </w:r>
      <w:r w:rsidR="00F72A79">
        <w:rPr>
          <w:noProof/>
          <w:kern w:val="0"/>
        </w:rPr>
        <w:t>Conversely, another EU service provider with an established range of non-sovereign services speaks of an overall investment in the range of EUR 20-40 m to adjust existing hardware and software to the stricter norms that a sovereign service entails, with plans to invest progressively should the market develops.</w:t>
      </w:r>
    </w:p>
    <w:p w14:paraId="6FC7F2F6" w14:textId="4C8FA9C6" w:rsidR="00CB1439" w:rsidRDefault="00F72A79" w:rsidP="00CB1439">
      <w:pPr>
        <w:pStyle w:val="Reply"/>
        <w:spacing w:line="240" w:lineRule="auto"/>
        <w:rPr>
          <w:noProof/>
          <w:kern w:val="0"/>
          <w14:ligatures w14:val="none"/>
        </w:rPr>
      </w:pPr>
      <w:r>
        <w:rPr>
          <w:noProof/>
          <w:kern w:val="0"/>
        </w:rPr>
        <w:t>The benefits for service providers to develop sovereign services are covered under section 6.1.5.</w:t>
      </w:r>
    </w:p>
    <w:p w14:paraId="2BF9AB87" w14:textId="6053B6CE" w:rsidR="00CB1439" w:rsidRDefault="00CB1439" w:rsidP="00CB1439">
      <w:pPr>
        <w:pStyle w:val="Reply"/>
        <w:spacing w:line="240" w:lineRule="auto"/>
        <w:rPr>
          <w:noProof/>
          <w:kern w:val="0"/>
          <w14:ligatures w14:val="none"/>
        </w:rPr>
      </w:pPr>
      <w:r w:rsidRPr="0025103C">
        <w:rPr>
          <w:noProof/>
          <w:kern w:val="0"/>
          <w14:ligatures w14:val="none"/>
        </w:rPr>
        <w:t xml:space="preserve">Benefit wise, </w:t>
      </w:r>
      <w:r>
        <w:rPr>
          <w:noProof/>
          <w:kern w:val="0"/>
          <w14:ligatures w14:val="none"/>
        </w:rPr>
        <w:t xml:space="preserve">cloudifying legacy on-premises services means new revenues. As to the move from traditional cloud to sovereign cloud, today’s </w:t>
      </w:r>
      <w:r w:rsidRPr="0025103C">
        <w:rPr>
          <w:noProof/>
          <w:kern w:val="0"/>
          <w14:ligatures w14:val="none"/>
        </w:rPr>
        <w:t xml:space="preserve">few available sovereign services come with a mark-up </w:t>
      </w:r>
      <w:r>
        <w:rPr>
          <w:noProof/>
          <w:kern w:val="0"/>
          <w14:ligatures w14:val="none"/>
        </w:rPr>
        <w:t>which is still too uncertain to draw conclusions (see discussion under Problem Driver 4 in 2.3.4)</w:t>
      </w:r>
      <w:r w:rsidRPr="0025103C">
        <w:rPr>
          <w:noProof/>
          <w:kern w:val="0"/>
          <w14:ligatures w14:val="none"/>
        </w:rPr>
        <w:t>. To this additional income, consulted EU service providers see also sovereign services as niche market where they have a demonstrable added value that could spill over to other market segments.</w:t>
      </w:r>
      <w:r>
        <w:rPr>
          <w:noProof/>
          <w:kern w:val="0"/>
          <w14:ligatures w14:val="none"/>
        </w:rPr>
        <w:t xml:space="preserve"> </w:t>
      </w:r>
      <w:r w:rsidRPr="0025103C">
        <w:rPr>
          <w:noProof/>
          <w:kern w:val="0"/>
          <w14:ligatures w14:val="none"/>
        </w:rPr>
        <w:t>The consulted companies unanimously indicated that it is too early to confirm whether, over the span of the next ten years, the incremental cost and benefits would reach the same balance (i.e. margins) as with equivalent non-sovereign services</w:t>
      </w:r>
      <w:r>
        <w:rPr>
          <w:noProof/>
          <w:kern w:val="0"/>
          <w14:ligatures w14:val="none"/>
        </w:rPr>
        <w:t>, which is today commonly assumed to be around</w:t>
      </w:r>
      <w:r w:rsidRPr="0025103C">
        <w:rPr>
          <w:noProof/>
          <w:kern w:val="0"/>
          <w14:ligatures w14:val="none"/>
        </w:rPr>
        <w:t xml:space="preserve"> 30%</w:t>
      </w:r>
      <w:r w:rsidRPr="0025103C">
        <w:rPr>
          <w:rStyle w:val="FootnoteReference"/>
          <w:noProof/>
          <w:kern w:val="0"/>
          <w14:ligatures w14:val="none"/>
        </w:rPr>
        <w:footnoteReference w:id="63"/>
      </w:r>
      <w:r w:rsidRPr="0025103C">
        <w:rPr>
          <w:noProof/>
          <w:kern w:val="0"/>
          <w14:ligatures w14:val="none"/>
        </w:rPr>
        <w:t>; to cater for th</w:t>
      </w:r>
      <w:r>
        <w:rPr>
          <w:noProof/>
          <w:kern w:val="0"/>
          <w14:ligatures w14:val="none"/>
        </w:rPr>
        <w:t>is</w:t>
      </w:r>
      <w:r w:rsidRPr="0025103C">
        <w:rPr>
          <w:noProof/>
          <w:kern w:val="0"/>
          <w14:ligatures w14:val="none"/>
        </w:rPr>
        <w:t xml:space="preserve"> uncertainty</w:t>
      </w:r>
      <w:r>
        <w:rPr>
          <w:noProof/>
          <w:kern w:val="0"/>
          <w14:ligatures w14:val="none"/>
        </w:rPr>
        <w:t xml:space="preserve">, this assessment assumes that </w:t>
      </w:r>
      <w:r w:rsidRPr="0025103C">
        <w:rPr>
          <w:noProof/>
          <w:kern w:val="0"/>
          <w14:ligatures w14:val="none"/>
        </w:rPr>
        <w:t>stakeholders</w:t>
      </w:r>
      <w:r>
        <w:rPr>
          <w:noProof/>
          <w:kern w:val="0"/>
          <w14:ligatures w14:val="none"/>
        </w:rPr>
        <w:t xml:space="preserve">’ </w:t>
      </w:r>
      <w:r w:rsidRPr="0025103C">
        <w:rPr>
          <w:noProof/>
          <w:kern w:val="0"/>
          <w14:ligatures w14:val="none"/>
        </w:rPr>
        <w:t>margin</w:t>
      </w:r>
      <w:r>
        <w:rPr>
          <w:noProof/>
          <w:kern w:val="0"/>
          <w14:ligatures w14:val="none"/>
        </w:rPr>
        <w:t>s</w:t>
      </w:r>
      <w:r w:rsidRPr="0025103C">
        <w:rPr>
          <w:noProof/>
          <w:kern w:val="0"/>
          <w14:ligatures w14:val="none"/>
        </w:rPr>
        <w:t xml:space="preserve"> var</w:t>
      </w:r>
      <w:r>
        <w:rPr>
          <w:noProof/>
          <w:kern w:val="0"/>
          <w14:ligatures w14:val="none"/>
        </w:rPr>
        <w:t>y</w:t>
      </w:r>
      <w:r w:rsidRPr="0025103C">
        <w:rPr>
          <w:noProof/>
          <w:kern w:val="0"/>
          <w14:ligatures w14:val="none"/>
        </w:rPr>
        <w:t xml:space="preserve"> from 25% to 35%. </w:t>
      </w:r>
    </w:p>
    <w:p w14:paraId="63FFCD33" w14:textId="77777777" w:rsidR="00416E7C" w:rsidRDefault="00416E7C" w:rsidP="00416E7C">
      <w:pPr>
        <w:pStyle w:val="Reply"/>
        <w:spacing w:line="240" w:lineRule="auto"/>
        <w:rPr>
          <w:noProof/>
          <w:kern w:val="0"/>
          <w:lang w:val="en-US"/>
          <w14:ligatures w14:val="none"/>
        </w:rPr>
      </w:pPr>
    </w:p>
    <w:p w14:paraId="5445AB40" w14:textId="77777777" w:rsidR="004233F6" w:rsidRDefault="004233F6" w:rsidP="004233F6">
      <w:pPr>
        <w:rPr>
          <w:b/>
          <w:i/>
          <w:noProof/>
        </w:rPr>
      </w:pPr>
      <w:r w:rsidRPr="00094510">
        <w:rPr>
          <w:b/>
          <w:i/>
          <w:noProof/>
        </w:rPr>
        <w:t>One-off adjustment costs for cloud an</w:t>
      </w:r>
      <w:r w:rsidR="00002C08" w:rsidRPr="00094510">
        <w:rPr>
          <w:b/>
          <w:i/>
          <w:noProof/>
        </w:rPr>
        <w:t>d</w:t>
      </w:r>
      <w:r w:rsidRPr="00094510">
        <w:rPr>
          <w:b/>
          <w:i/>
          <w:noProof/>
        </w:rPr>
        <w:t xml:space="preserve"> AI computing</w:t>
      </w:r>
      <w:r w:rsidRPr="00E85078">
        <w:rPr>
          <w:b/>
          <w:i/>
          <w:noProof/>
        </w:rPr>
        <w:t xml:space="preserve"> service providers</w:t>
      </w:r>
    </w:p>
    <w:p w14:paraId="0FC7A30D" w14:textId="77777777" w:rsidR="0075208E" w:rsidRDefault="0075208E" w:rsidP="0075208E">
      <w:pPr>
        <w:rPr>
          <w:noProof/>
        </w:rPr>
      </w:pPr>
      <w:r w:rsidRPr="00094510">
        <w:rPr>
          <w:noProof/>
        </w:rPr>
        <w:t xml:space="preserve">Ultimately, the decision of a provider to audit one or more services is their own business decision. However, in order to have a sense of magnitude of how many providers could decide to do so, extensive desk research conducted as part of the preparatory study (Technopolis et al., 2025) identified that services from 59 non-EU headquartered cloud service providers likely meet Level 1 requirements and would be able to qualify to Level 2 should they decide so. 226 EU headquartered providers could qualify their services as Level 2 and would be able to qualify their services as Level 3/4 should they decide so. If only large companies are considered and SMEs are excluded, </w:t>
      </w:r>
      <w:r>
        <w:rPr>
          <w:noProof/>
        </w:rPr>
        <w:t xml:space="preserve">the figure goes down to </w:t>
      </w:r>
      <w:r w:rsidRPr="00094510">
        <w:rPr>
          <w:noProof/>
        </w:rPr>
        <w:t>59 EU headquartered large companies.</w:t>
      </w:r>
    </w:p>
    <w:p w14:paraId="78C6D34E" w14:textId="460BC2DA" w:rsidR="0075208E" w:rsidRDefault="0075208E" w:rsidP="0075208E">
      <w:pPr>
        <w:rPr>
          <w:noProof/>
          <w:lang w:val="en-US"/>
        </w:rPr>
      </w:pPr>
      <w:r w:rsidRPr="00094510">
        <w:rPr>
          <w:noProof/>
        </w:rPr>
        <w:t>The assumptions are as follows: 150 services will be audited from 2029 until 2034, with the assumption of 30 audits the first year, and an annual growth of 38%. This builds over the number of services currently qualified in comparable national qualification and certification schemes</w:t>
      </w:r>
      <w:r w:rsidRPr="00094510">
        <w:rPr>
          <w:rStyle w:val="FootnoteReference"/>
          <w:noProof/>
        </w:rPr>
        <w:footnoteReference w:id="64"/>
      </w:r>
      <w:r w:rsidRPr="00094510">
        <w:rPr>
          <w:noProof/>
        </w:rPr>
        <w:t>, and the FedRAMP mechanism. As of September 2025. the FedRAMP repository contains 530 authori</w:t>
      </w:r>
      <w:r w:rsidR="00974B76">
        <w:rPr>
          <w:noProof/>
        </w:rPr>
        <w:t>s</w:t>
      </w:r>
      <w:r w:rsidRPr="00094510">
        <w:rPr>
          <w:noProof/>
        </w:rPr>
        <w:t>ed services under level moderate and high.</w:t>
      </w:r>
    </w:p>
    <w:p w14:paraId="7EA55044" w14:textId="201ABD5E" w:rsidR="0075208E" w:rsidRDefault="0075208E" w:rsidP="0075208E">
      <w:pPr>
        <w:rPr>
          <w:noProof/>
        </w:rPr>
      </w:pPr>
      <w:r w:rsidRPr="00531D4C">
        <w:rPr>
          <w:noProof/>
        </w:rPr>
        <w:t>Services</w:t>
      </w:r>
      <w:r>
        <w:rPr>
          <w:noProof/>
        </w:rPr>
        <w:t xml:space="preserve"> may be audited under different levels, provided that the criteria mentioned above (see PM11) are met.  For the purpose of this impact assessment, it is estimated that the proportion of </w:t>
      </w:r>
      <w:r w:rsidR="00FB4B8B">
        <w:rPr>
          <w:noProof/>
        </w:rPr>
        <w:t>audited</w:t>
      </w:r>
      <w:r>
        <w:rPr>
          <w:noProof/>
        </w:rPr>
        <w:t xml:space="preserve"> services in the different assurance levels will be mirroring the needs of the public authorities (see below). This would then make that out of the estimated 150 </w:t>
      </w:r>
      <w:r w:rsidR="00432D82">
        <w:rPr>
          <w:noProof/>
        </w:rPr>
        <w:t>audited</w:t>
      </w:r>
      <w:r>
        <w:rPr>
          <w:noProof/>
        </w:rPr>
        <w:t xml:space="preserve"> cloud services:</w:t>
      </w:r>
    </w:p>
    <w:p w14:paraId="27054780" w14:textId="77777777" w:rsidR="004233F6" w:rsidRDefault="004233F6" w:rsidP="004233F6">
      <w:pPr>
        <w:pStyle w:val="ListParagraph"/>
        <w:numPr>
          <w:ilvl w:val="0"/>
          <w:numId w:val="157"/>
        </w:numPr>
        <w:rPr>
          <w:noProof/>
        </w:rPr>
      </w:pPr>
      <w:r>
        <w:rPr>
          <w:noProof/>
        </w:rPr>
        <w:t xml:space="preserve">70% of the services will be Sovereignty Assurance Level 1, making </w:t>
      </w:r>
      <w:r w:rsidR="00532DC1">
        <w:rPr>
          <w:noProof/>
        </w:rPr>
        <w:t>105</w:t>
      </w:r>
      <w:r>
        <w:rPr>
          <w:noProof/>
        </w:rPr>
        <w:t xml:space="preserve"> services</w:t>
      </w:r>
    </w:p>
    <w:p w14:paraId="1094CAA7" w14:textId="77777777" w:rsidR="004233F6" w:rsidRDefault="00532DC1" w:rsidP="004233F6">
      <w:pPr>
        <w:pStyle w:val="ListParagraph"/>
        <w:numPr>
          <w:ilvl w:val="0"/>
          <w:numId w:val="157"/>
        </w:numPr>
        <w:rPr>
          <w:noProof/>
        </w:rPr>
      </w:pPr>
      <w:r>
        <w:rPr>
          <w:noProof/>
        </w:rPr>
        <w:t>2</w:t>
      </w:r>
      <w:r w:rsidR="004233F6">
        <w:rPr>
          <w:noProof/>
        </w:rPr>
        <w:t xml:space="preserve">0% of the services will be Sovereignty Assurance Level 2, resulting </w:t>
      </w:r>
      <w:r w:rsidRPr="00E86D61">
        <w:rPr>
          <w:noProof/>
        </w:rPr>
        <w:t>30</w:t>
      </w:r>
      <w:r w:rsidR="004233F6" w:rsidRPr="00E86D61">
        <w:rPr>
          <w:noProof/>
        </w:rPr>
        <w:t xml:space="preserve"> services</w:t>
      </w:r>
      <w:r w:rsidR="004233F6">
        <w:rPr>
          <w:noProof/>
        </w:rPr>
        <w:t xml:space="preserve"> </w:t>
      </w:r>
    </w:p>
    <w:p w14:paraId="372F1148" w14:textId="146701B9" w:rsidR="004233F6" w:rsidRDefault="004233F6" w:rsidP="004233F6">
      <w:pPr>
        <w:pStyle w:val="ListParagraph"/>
        <w:numPr>
          <w:ilvl w:val="0"/>
          <w:numId w:val="157"/>
        </w:numPr>
        <w:rPr>
          <w:noProof/>
        </w:rPr>
      </w:pPr>
      <w:r>
        <w:rPr>
          <w:noProof/>
        </w:rPr>
        <w:t xml:space="preserve">9% of the services will be Sovereignty Assurance Level 3, amounting to </w:t>
      </w:r>
      <w:r w:rsidR="00B26876" w:rsidRPr="00E86D61">
        <w:rPr>
          <w:noProof/>
        </w:rPr>
        <w:t>1</w:t>
      </w:r>
      <w:r w:rsidR="00D620A6">
        <w:rPr>
          <w:noProof/>
        </w:rPr>
        <w:t>3</w:t>
      </w:r>
      <w:r w:rsidRPr="00E86D61">
        <w:rPr>
          <w:noProof/>
        </w:rPr>
        <w:t xml:space="preserve"> services</w:t>
      </w:r>
      <w:r>
        <w:rPr>
          <w:noProof/>
        </w:rPr>
        <w:t xml:space="preserve"> </w:t>
      </w:r>
    </w:p>
    <w:p w14:paraId="23B6BBDE" w14:textId="0EE7E810" w:rsidR="004233F6" w:rsidRPr="00E86D61" w:rsidRDefault="004233F6" w:rsidP="004233F6">
      <w:pPr>
        <w:pStyle w:val="ListParagraph"/>
        <w:numPr>
          <w:ilvl w:val="0"/>
          <w:numId w:val="157"/>
        </w:numPr>
        <w:rPr>
          <w:noProof/>
        </w:rPr>
      </w:pPr>
      <w:r>
        <w:rPr>
          <w:noProof/>
        </w:rPr>
        <w:t xml:space="preserve">1% of the services will be Sovereignty Assurance Level 4, resulting in </w:t>
      </w:r>
      <w:r w:rsidR="00520D41">
        <w:rPr>
          <w:noProof/>
        </w:rPr>
        <w:t>2</w:t>
      </w:r>
      <w:r w:rsidRPr="00E86D61">
        <w:rPr>
          <w:noProof/>
        </w:rPr>
        <w:t xml:space="preserve"> service. </w:t>
      </w:r>
    </w:p>
    <w:p w14:paraId="3451FCC8" w14:textId="77777777" w:rsidR="0075208E" w:rsidRDefault="0075208E" w:rsidP="0075208E">
      <w:pPr>
        <w:rPr>
          <w:noProof/>
        </w:rPr>
      </w:pPr>
      <w:r w:rsidRPr="00E86D61">
        <w:rPr>
          <w:noProof/>
        </w:rPr>
        <w:t xml:space="preserve">The effort needed to get audited under sovereignty assurance level 2-4 </w:t>
      </w:r>
      <w:r w:rsidRPr="00204F02">
        <w:rPr>
          <w:noProof/>
        </w:rPr>
        <w:t xml:space="preserve">is estimated to be </w:t>
      </w:r>
      <w:r w:rsidRPr="00E86D61">
        <w:rPr>
          <w:noProof/>
        </w:rPr>
        <w:t>15 FTEs. This includes the definition and implementation of the necessary legal, organisational and technical</w:t>
      </w:r>
      <w:r>
        <w:rPr>
          <w:noProof/>
        </w:rPr>
        <w:t xml:space="preserve"> measures to reach sovereignty assurance level 2 – 4 and the auditing procedure carried by the third party auditor. This effort was validated in the Final Validation workshop held as part of the study led by Technopolis.</w:t>
      </w:r>
    </w:p>
    <w:p w14:paraId="485B42EC" w14:textId="1B2658AC" w:rsidR="0075208E" w:rsidRPr="0044146C" w:rsidRDefault="0075208E" w:rsidP="0075208E">
      <w:pPr>
        <w:spacing w:after="160"/>
        <w:jc w:val="center"/>
        <w:rPr>
          <w:i/>
          <w:iCs/>
          <w:noProof/>
        </w:rPr>
      </w:pPr>
      <w:r w:rsidRPr="00C83104">
        <w:rPr>
          <w:i/>
          <w:noProof/>
          <w:lang w:val="en-US"/>
        </w:rPr>
        <w:t xml:space="preserve">One-off adjustment cost of new audits </w:t>
      </w:r>
      <w:r w:rsidRPr="0044146C">
        <w:rPr>
          <w:i/>
          <w:iCs/>
          <w:noProof/>
          <w:lang w:val="en-US"/>
        </w:rPr>
        <w:t xml:space="preserve">= </w:t>
      </w:r>
      <w:r>
        <w:rPr>
          <w:i/>
          <w:iCs/>
          <w:noProof/>
          <w:lang w:val="en-US"/>
        </w:rPr>
        <w:t>(effort to get sovereignty assurance level 2 – 4</w:t>
      </w:r>
      <w:r w:rsidR="00D93F85">
        <w:rPr>
          <w:i/>
          <w:iCs/>
          <w:noProof/>
          <w:lang w:val="en-US"/>
        </w:rPr>
        <w:t xml:space="preserve"> audited</w:t>
      </w:r>
      <w:r>
        <w:rPr>
          <w:i/>
          <w:iCs/>
          <w:noProof/>
          <w:lang w:val="en-US"/>
        </w:rPr>
        <w:t xml:space="preserve"> * labour costs) * number of </w:t>
      </w:r>
      <w:r w:rsidR="00D93F85">
        <w:rPr>
          <w:i/>
          <w:iCs/>
          <w:noProof/>
          <w:lang w:val="en-US"/>
        </w:rPr>
        <w:t>audited</w:t>
      </w:r>
      <w:r>
        <w:rPr>
          <w:i/>
          <w:iCs/>
          <w:noProof/>
          <w:lang w:val="en-US"/>
        </w:rPr>
        <w:t xml:space="preserve"> services assurance level 2 – 4  </w:t>
      </w:r>
    </w:p>
    <w:p w14:paraId="70232F66" w14:textId="77777777" w:rsidR="00446D75" w:rsidRDefault="004233F6" w:rsidP="004233F6">
      <w:pPr>
        <w:spacing w:after="160"/>
        <w:rPr>
          <w:b/>
          <w:bCs/>
          <w:i/>
          <w:iCs/>
          <w:noProof/>
        </w:rPr>
      </w:pPr>
      <w:r w:rsidRPr="00C83104">
        <w:rPr>
          <w:b/>
          <w:i/>
          <w:noProof/>
        </w:rPr>
        <w:t>One-off regulatory</w:t>
      </w:r>
      <w:r w:rsidRPr="007E2AB2">
        <w:rPr>
          <w:b/>
          <w:bCs/>
          <w:i/>
          <w:iCs/>
          <w:noProof/>
        </w:rPr>
        <w:t xml:space="preserve"> fee for </w:t>
      </w:r>
      <w:r>
        <w:rPr>
          <w:b/>
          <w:bCs/>
          <w:i/>
          <w:iCs/>
          <w:noProof/>
        </w:rPr>
        <w:t>cloud</w:t>
      </w:r>
      <w:r w:rsidRPr="007E2AB2">
        <w:rPr>
          <w:b/>
          <w:bCs/>
          <w:i/>
          <w:iCs/>
          <w:noProof/>
        </w:rPr>
        <w:t xml:space="preserve"> and AI </w:t>
      </w:r>
      <w:r>
        <w:rPr>
          <w:b/>
          <w:bCs/>
          <w:i/>
          <w:iCs/>
          <w:noProof/>
        </w:rPr>
        <w:t xml:space="preserve">computing service </w:t>
      </w:r>
      <w:r w:rsidRPr="007E2AB2">
        <w:rPr>
          <w:b/>
          <w:bCs/>
          <w:i/>
          <w:iCs/>
          <w:noProof/>
        </w:rPr>
        <w:t>providers</w:t>
      </w:r>
    </w:p>
    <w:p w14:paraId="10DE49D4" w14:textId="77777777" w:rsidR="004233F6" w:rsidRDefault="0075208E" w:rsidP="004233F6">
      <w:pPr>
        <w:spacing w:after="160"/>
        <w:rPr>
          <w:noProof/>
        </w:rPr>
      </w:pPr>
      <w:r w:rsidRPr="00AD146F">
        <w:rPr>
          <w:i/>
          <w:iCs/>
          <w:noProof/>
        </w:rPr>
        <w:t xml:space="preserve">New </w:t>
      </w:r>
      <w:r>
        <w:rPr>
          <w:i/>
          <w:iCs/>
          <w:noProof/>
        </w:rPr>
        <w:t>audits</w:t>
      </w:r>
      <w:r w:rsidR="004233F6" w:rsidRPr="007E2AB2">
        <w:rPr>
          <w:b/>
          <w:bCs/>
          <w:i/>
          <w:iCs/>
          <w:noProof/>
        </w:rPr>
        <w:t>,</w:t>
      </w:r>
      <w:r w:rsidR="004233F6" w:rsidRPr="0007547C">
        <w:rPr>
          <w:noProof/>
        </w:rPr>
        <w:t xml:space="preserve"> assumed to be </w:t>
      </w:r>
      <w:r w:rsidR="004233F6" w:rsidRPr="00C83104">
        <w:rPr>
          <w:noProof/>
        </w:rPr>
        <w:t>EUR 20 000,</w:t>
      </w:r>
      <w:r w:rsidR="004233F6">
        <w:rPr>
          <w:noProof/>
        </w:rPr>
        <w:t xml:space="preserve"> for the estimated number of </w:t>
      </w:r>
      <w:r>
        <w:rPr>
          <w:noProof/>
        </w:rPr>
        <w:t>audited services at sovereignty assurance level 2– 4.</w:t>
      </w:r>
      <w:r w:rsidR="004233F6">
        <w:rPr>
          <w:noProof/>
        </w:rPr>
        <w:t xml:space="preserve"> </w:t>
      </w:r>
    </w:p>
    <w:p w14:paraId="3AC3018A" w14:textId="4DBEA8DA" w:rsidR="004233F6" w:rsidRPr="0044146C" w:rsidRDefault="004233F6" w:rsidP="004233F6">
      <w:pPr>
        <w:spacing w:after="160"/>
        <w:jc w:val="center"/>
        <w:rPr>
          <w:i/>
          <w:iCs/>
          <w:noProof/>
        </w:rPr>
      </w:pPr>
      <w:r w:rsidRPr="007E2AB2">
        <w:rPr>
          <w:i/>
          <w:iCs/>
          <w:noProof/>
        </w:rPr>
        <w:t xml:space="preserve">One off regulatory fee for new </w:t>
      </w:r>
      <w:r w:rsidR="00FD7320">
        <w:rPr>
          <w:i/>
          <w:iCs/>
          <w:noProof/>
        </w:rPr>
        <w:t>audits</w:t>
      </w:r>
      <w:r w:rsidR="00FD7320" w:rsidRPr="006B7B85">
        <w:rPr>
          <w:i/>
          <w:iCs/>
          <w:noProof/>
        </w:rPr>
        <w:t xml:space="preserve"> </w:t>
      </w:r>
      <w:r w:rsidRPr="0010716F">
        <w:rPr>
          <w:i/>
          <w:iCs/>
          <w:noProof/>
          <w:lang w:val="en-US"/>
        </w:rPr>
        <w:t xml:space="preserve">(CSAP) = </w:t>
      </w:r>
      <w:r w:rsidRPr="007E2AB2">
        <w:rPr>
          <w:i/>
          <w:iCs/>
          <w:noProof/>
          <w:lang w:val="en-US"/>
        </w:rPr>
        <w:t xml:space="preserve">regulatory fee * number of </w:t>
      </w:r>
      <w:r w:rsidR="00432D82">
        <w:rPr>
          <w:i/>
          <w:iCs/>
          <w:noProof/>
        </w:rPr>
        <w:t>audited</w:t>
      </w:r>
      <w:r>
        <w:rPr>
          <w:noProof/>
        </w:rPr>
        <w:t xml:space="preserve"> </w:t>
      </w:r>
      <w:r w:rsidRPr="007E2AB2">
        <w:rPr>
          <w:i/>
          <w:iCs/>
          <w:noProof/>
          <w:lang w:val="en-US"/>
        </w:rPr>
        <w:t>services</w:t>
      </w:r>
      <w:r>
        <w:rPr>
          <w:i/>
          <w:iCs/>
          <w:noProof/>
          <w:lang w:val="en-US"/>
        </w:rPr>
        <w:t xml:space="preserve"> assurance level 2 – 4  </w:t>
      </w:r>
    </w:p>
    <w:p w14:paraId="661ED576" w14:textId="77777777" w:rsidR="00F06477" w:rsidRDefault="004233F6" w:rsidP="004233F6">
      <w:pPr>
        <w:spacing w:after="160"/>
        <w:rPr>
          <w:b/>
          <w:bCs/>
          <w:i/>
          <w:iCs/>
          <w:noProof/>
        </w:rPr>
      </w:pPr>
      <w:r w:rsidRPr="00C83104">
        <w:rPr>
          <w:b/>
          <w:i/>
          <w:noProof/>
        </w:rPr>
        <w:t>Recurrent regulatory fee</w:t>
      </w:r>
      <w:r w:rsidRPr="000A7DAD">
        <w:rPr>
          <w:b/>
          <w:bCs/>
          <w:i/>
          <w:iCs/>
          <w:noProof/>
        </w:rPr>
        <w:t xml:space="preserve"> for </w:t>
      </w:r>
      <w:r>
        <w:rPr>
          <w:b/>
          <w:bCs/>
          <w:i/>
          <w:iCs/>
          <w:noProof/>
        </w:rPr>
        <w:t>cloud</w:t>
      </w:r>
      <w:r w:rsidRPr="000A7DAD">
        <w:rPr>
          <w:b/>
          <w:bCs/>
          <w:i/>
          <w:iCs/>
          <w:noProof/>
        </w:rPr>
        <w:t xml:space="preserve"> and AI </w:t>
      </w:r>
      <w:r>
        <w:rPr>
          <w:b/>
          <w:bCs/>
          <w:i/>
          <w:iCs/>
          <w:noProof/>
        </w:rPr>
        <w:t xml:space="preserve">computing service </w:t>
      </w:r>
      <w:r w:rsidRPr="000A7DAD">
        <w:rPr>
          <w:b/>
          <w:bCs/>
          <w:i/>
          <w:iCs/>
          <w:noProof/>
        </w:rPr>
        <w:t>provider</w:t>
      </w:r>
    </w:p>
    <w:p w14:paraId="47EFF0E6" w14:textId="2C1CFB7A" w:rsidR="004233F6" w:rsidRDefault="0075208E" w:rsidP="004233F6">
      <w:pPr>
        <w:spacing w:after="160"/>
        <w:rPr>
          <w:noProof/>
        </w:rPr>
      </w:pPr>
      <w:r w:rsidRPr="007E3DE1">
        <w:rPr>
          <w:i/>
          <w:iCs/>
          <w:noProof/>
        </w:rPr>
        <w:t xml:space="preserve">Renewal of </w:t>
      </w:r>
      <w:r>
        <w:rPr>
          <w:i/>
          <w:iCs/>
          <w:noProof/>
        </w:rPr>
        <w:t>audits</w:t>
      </w:r>
      <w:r w:rsidR="004233F6" w:rsidRPr="000A7DAD">
        <w:rPr>
          <w:b/>
          <w:bCs/>
          <w:i/>
          <w:iCs/>
          <w:noProof/>
        </w:rPr>
        <w:t>,</w:t>
      </w:r>
      <w:r w:rsidR="004233F6" w:rsidRPr="0007547C">
        <w:rPr>
          <w:noProof/>
        </w:rPr>
        <w:t xml:space="preserve"> assumed to be </w:t>
      </w:r>
      <w:r w:rsidR="004233F6" w:rsidRPr="00C83104">
        <w:rPr>
          <w:noProof/>
        </w:rPr>
        <w:t>EUR 14 000</w:t>
      </w:r>
      <w:r>
        <w:rPr>
          <w:noProof/>
        </w:rPr>
        <w:t>.</w:t>
      </w:r>
      <w:r w:rsidR="004233F6">
        <w:rPr>
          <w:noProof/>
        </w:rPr>
        <w:t xml:space="preserve"> </w:t>
      </w:r>
    </w:p>
    <w:p w14:paraId="5AF98A02" w14:textId="555DDF11" w:rsidR="004233F6" w:rsidRDefault="004233F6" w:rsidP="004233F6">
      <w:pPr>
        <w:spacing w:after="160"/>
        <w:jc w:val="center"/>
        <w:rPr>
          <w:noProof/>
        </w:rPr>
      </w:pPr>
      <w:r>
        <w:rPr>
          <w:i/>
          <w:iCs/>
          <w:noProof/>
        </w:rPr>
        <w:t xml:space="preserve">Recurrent </w:t>
      </w:r>
      <w:r w:rsidRPr="000A7DAD">
        <w:rPr>
          <w:i/>
          <w:iCs/>
          <w:noProof/>
        </w:rPr>
        <w:t xml:space="preserve">regulatory fee for new </w:t>
      </w:r>
      <w:r w:rsidR="00FD7320">
        <w:rPr>
          <w:i/>
          <w:iCs/>
          <w:noProof/>
        </w:rPr>
        <w:t>audits</w:t>
      </w:r>
      <w:r w:rsidR="00FD7320" w:rsidRPr="006B7B85">
        <w:rPr>
          <w:i/>
          <w:iCs/>
          <w:noProof/>
        </w:rPr>
        <w:t xml:space="preserve"> </w:t>
      </w:r>
      <w:r w:rsidRPr="0010716F">
        <w:rPr>
          <w:i/>
          <w:iCs/>
          <w:noProof/>
          <w:lang w:val="en-US"/>
        </w:rPr>
        <w:t>(CSAP)</w:t>
      </w:r>
      <w:r>
        <w:rPr>
          <w:i/>
          <w:iCs/>
          <w:noProof/>
          <w:lang w:val="en-US"/>
        </w:rPr>
        <w:t xml:space="preserve"> = </w:t>
      </w:r>
      <w:r w:rsidRPr="000A7DAD">
        <w:rPr>
          <w:i/>
          <w:iCs/>
          <w:noProof/>
          <w:lang w:val="en-US"/>
        </w:rPr>
        <w:t xml:space="preserve">regulatory fee * number of </w:t>
      </w:r>
      <w:r w:rsidR="00432D82">
        <w:rPr>
          <w:i/>
          <w:iCs/>
          <w:noProof/>
        </w:rPr>
        <w:t>audited</w:t>
      </w:r>
      <w:r>
        <w:rPr>
          <w:noProof/>
        </w:rPr>
        <w:t xml:space="preserve"> </w:t>
      </w:r>
      <w:r w:rsidRPr="000A7DAD">
        <w:rPr>
          <w:i/>
          <w:iCs/>
          <w:noProof/>
          <w:lang w:val="en-US"/>
        </w:rPr>
        <w:t>services</w:t>
      </w:r>
      <w:r>
        <w:rPr>
          <w:i/>
          <w:iCs/>
          <w:noProof/>
          <w:lang w:val="en-US"/>
        </w:rPr>
        <w:t xml:space="preserve"> assurance level 2 – 4  </w:t>
      </w:r>
    </w:p>
    <w:p w14:paraId="3230627E" w14:textId="77777777" w:rsidR="0075208E" w:rsidRDefault="0075208E" w:rsidP="0075208E">
      <w:pPr>
        <w:spacing w:after="160"/>
        <w:rPr>
          <w:noProof/>
        </w:rPr>
      </w:pPr>
      <w:r w:rsidRPr="00C83104">
        <w:rPr>
          <w:b/>
          <w:i/>
          <w:noProof/>
        </w:rPr>
        <w:t>Recurrent</w:t>
      </w:r>
      <w:r w:rsidRPr="00C83104" w:rsidDel="00CE0E55">
        <w:rPr>
          <w:b/>
          <w:i/>
          <w:noProof/>
        </w:rPr>
        <w:t xml:space="preserve"> </w:t>
      </w:r>
      <w:r>
        <w:rPr>
          <w:b/>
          <w:i/>
          <w:noProof/>
        </w:rPr>
        <w:t>administrative</w:t>
      </w:r>
      <w:r w:rsidRPr="00541F67">
        <w:rPr>
          <w:b/>
          <w:i/>
          <w:noProof/>
        </w:rPr>
        <w:t xml:space="preserve"> costs for cloud and AI computing service providers</w:t>
      </w:r>
      <w:r w:rsidRPr="00541F67">
        <w:rPr>
          <w:noProof/>
        </w:rPr>
        <w:t xml:space="preserve"> </w:t>
      </w:r>
    </w:p>
    <w:p w14:paraId="053F479B" w14:textId="77777777" w:rsidR="0075208E" w:rsidRPr="00541F67" w:rsidRDefault="0075208E" w:rsidP="0075208E">
      <w:pPr>
        <w:spacing w:after="160"/>
        <w:rPr>
          <w:noProof/>
        </w:rPr>
      </w:pPr>
      <w:r w:rsidRPr="00C83104">
        <w:rPr>
          <w:i/>
          <w:noProof/>
        </w:rPr>
        <w:t>Audits</w:t>
      </w:r>
      <w:r w:rsidRPr="00C83104">
        <w:rPr>
          <w:noProof/>
        </w:rPr>
        <w:t>:</w:t>
      </w:r>
      <w:r>
        <w:rPr>
          <w:noProof/>
        </w:rPr>
        <w:t xml:space="preserve"> These compliance costs </w:t>
      </w:r>
      <w:r w:rsidRPr="00541F67">
        <w:rPr>
          <w:noProof/>
        </w:rPr>
        <w:t xml:space="preserve">stem from the audits to maintain the </w:t>
      </w:r>
      <w:r>
        <w:rPr>
          <w:noProof/>
        </w:rPr>
        <w:t>audit certificate</w:t>
      </w:r>
      <w:r w:rsidRPr="00541F67">
        <w:rPr>
          <w:noProof/>
        </w:rPr>
        <w:t xml:space="preserve">, where the goal is to verify that the conditions under which </w:t>
      </w:r>
      <w:r>
        <w:rPr>
          <w:noProof/>
        </w:rPr>
        <w:t>it</w:t>
      </w:r>
      <w:r w:rsidRPr="0044146C">
        <w:rPr>
          <w:noProof/>
        </w:rPr>
        <w:t xml:space="preserve"> </w:t>
      </w:r>
      <w:r w:rsidRPr="00541F67">
        <w:rPr>
          <w:noProof/>
        </w:rPr>
        <w:t xml:space="preserve">was </w:t>
      </w:r>
      <w:r>
        <w:rPr>
          <w:noProof/>
        </w:rPr>
        <w:t xml:space="preserve">first </w:t>
      </w:r>
      <w:r w:rsidRPr="00541F67">
        <w:rPr>
          <w:noProof/>
        </w:rPr>
        <w:t xml:space="preserve">obtained remain valid (effort estimated as </w:t>
      </w:r>
      <w:r w:rsidRPr="00C83104">
        <w:rPr>
          <w:noProof/>
        </w:rPr>
        <w:t>3 FTE/year</w:t>
      </w:r>
      <w:r w:rsidRPr="00541F67">
        <w:rPr>
          <w:noProof/>
        </w:rPr>
        <w:t xml:space="preserve"> </w:t>
      </w:r>
      <w:r w:rsidRPr="00C83104">
        <w:rPr>
          <w:noProof/>
        </w:rPr>
        <w:t>per service</w:t>
      </w:r>
      <w:r w:rsidRPr="00541F67">
        <w:rPr>
          <w:noProof/>
        </w:rPr>
        <w:t xml:space="preserve">). Compared to the effort needed to achieve </w:t>
      </w:r>
      <w:r>
        <w:rPr>
          <w:noProof/>
        </w:rPr>
        <w:t>it initially</w:t>
      </w:r>
      <w:r w:rsidRPr="00541F67">
        <w:rPr>
          <w:noProof/>
        </w:rPr>
        <w:t xml:space="preserve">, the effort dedicated to the intermediate audits has been assumed to be lower than obtaining </w:t>
      </w:r>
      <w:r>
        <w:rPr>
          <w:noProof/>
        </w:rPr>
        <w:t xml:space="preserve">it </w:t>
      </w:r>
      <w:r w:rsidRPr="00541F67">
        <w:rPr>
          <w:noProof/>
        </w:rPr>
        <w:t>initial</w:t>
      </w:r>
      <w:r>
        <w:rPr>
          <w:noProof/>
        </w:rPr>
        <w:t>ly</w:t>
      </w:r>
      <w:r w:rsidRPr="00541F67">
        <w:rPr>
          <w:noProof/>
        </w:rPr>
        <w:t>, in spite of the annual reporting obligations set out above.</w:t>
      </w:r>
      <w:r w:rsidRPr="00541F67">
        <w:rPr>
          <w:noProof/>
          <w:lang w:val="en-US"/>
        </w:rPr>
        <w:t> </w:t>
      </w:r>
      <w:r w:rsidRPr="00541F67">
        <w:rPr>
          <w:noProof/>
        </w:rPr>
        <w:t xml:space="preserve"> </w:t>
      </w:r>
    </w:p>
    <w:p w14:paraId="67AAB1E4" w14:textId="74ED9541" w:rsidR="00264284" w:rsidRDefault="00E46B1D" w:rsidP="005923C5">
      <w:pPr>
        <w:spacing w:after="160"/>
        <w:jc w:val="center"/>
        <w:rPr>
          <w:i/>
          <w:noProof/>
          <w:lang w:val="en-US"/>
        </w:rPr>
      </w:pPr>
      <w:r>
        <w:rPr>
          <w:i/>
          <w:iCs/>
          <w:noProof/>
          <w:lang w:val="en-US"/>
        </w:rPr>
        <w:t>Recurrent administrative compliance c</w:t>
      </w:r>
      <w:r w:rsidRPr="00B74A05">
        <w:rPr>
          <w:i/>
          <w:iCs/>
          <w:noProof/>
          <w:lang w:val="en-US"/>
        </w:rPr>
        <w:t xml:space="preserve">ost of </w:t>
      </w:r>
      <w:r>
        <w:rPr>
          <w:i/>
          <w:iCs/>
          <w:noProof/>
          <w:lang w:val="en-US"/>
        </w:rPr>
        <w:t>renewal of</w:t>
      </w:r>
      <w:r w:rsidRPr="00B74A05">
        <w:rPr>
          <w:i/>
          <w:iCs/>
          <w:noProof/>
          <w:lang w:val="en-US"/>
        </w:rPr>
        <w:t xml:space="preserve"> </w:t>
      </w:r>
      <w:r w:rsidR="00FD7320">
        <w:rPr>
          <w:i/>
          <w:iCs/>
          <w:noProof/>
          <w:lang w:val="en-US"/>
        </w:rPr>
        <w:t>audits</w:t>
      </w:r>
      <w:r w:rsidR="00FD7320" w:rsidRPr="00B74A05">
        <w:rPr>
          <w:i/>
          <w:iCs/>
          <w:noProof/>
          <w:lang w:val="en-US"/>
        </w:rPr>
        <w:t xml:space="preserve"> </w:t>
      </w:r>
      <w:r w:rsidRPr="00B74A05">
        <w:rPr>
          <w:i/>
          <w:iCs/>
          <w:noProof/>
          <w:lang w:val="en-US"/>
        </w:rPr>
        <w:t xml:space="preserve">= </w:t>
      </w:r>
      <w:r>
        <w:rPr>
          <w:i/>
          <w:iCs/>
          <w:noProof/>
          <w:lang w:val="en-US"/>
        </w:rPr>
        <w:t xml:space="preserve">(time to </w:t>
      </w:r>
      <w:r w:rsidR="005923C5">
        <w:rPr>
          <w:i/>
          <w:iCs/>
          <w:noProof/>
          <w:lang w:val="en-US"/>
        </w:rPr>
        <w:t>be audited</w:t>
      </w:r>
      <w:r>
        <w:rPr>
          <w:i/>
          <w:iCs/>
          <w:noProof/>
          <w:lang w:val="en-US"/>
        </w:rPr>
        <w:t xml:space="preserve"> * labour costs)</w:t>
      </w:r>
      <w:r w:rsidRPr="000A7DAD">
        <w:rPr>
          <w:i/>
          <w:iCs/>
          <w:noProof/>
          <w:lang w:val="en-US"/>
        </w:rPr>
        <w:t xml:space="preserve"> </w:t>
      </w:r>
      <w:r w:rsidRPr="00B74A05">
        <w:rPr>
          <w:i/>
          <w:iCs/>
          <w:noProof/>
          <w:lang w:val="en-US"/>
        </w:rPr>
        <w:t xml:space="preserve">* number of </w:t>
      </w:r>
      <w:r w:rsidR="00432D82">
        <w:rPr>
          <w:i/>
          <w:iCs/>
          <w:noProof/>
          <w:lang w:val="en-US"/>
        </w:rPr>
        <w:t>audited</w:t>
      </w:r>
      <w:r w:rsidRPr="00B74A05">
        <w:rPr>
          <w:i/>
          <w:iCs/>
          <w:noProof/>
          <w:lang w:val="en-US"/>
        </w:rPr>
        <w:t xml:space="preserve"> services</w:t>
      </w:r>
    </w:p>
    <w:p w14:paraId="1A775498" w14:textId="77777777" w:rsidR="004233F6" w:rsidRDefault="00D67352" w:rsidP="004233F6">
      <w:pPr>
        <w:rPr>
          <w:b/>
          <w:i/>
          <w:noProof/>
        </w:rPr>
      </w:pPr>
      <w:r w:rsidRPr="004465BE">
        <w:rPr>
          <w:b/>
          <w:i/>
          <w:noProof/>
        </w:rPr>
        <w:t xml:space="preserve">Recurrent savings for </w:t>
      </w:r>
      <w:r w:rsidR="0001203E">
        <w:rPr>
          <w:b/>
          <w:i/>
          <w:noProof/>
        </w:rPr>
        <w:t>cloud</w:t>
      </w:r>
      <w:r w:rsidR="0001203E" w:rsidRPr="004465BE">
        <w:rPr>
          <w:b/>
          <w:i/>
          <w:noProof/>
        </w:rPr>
        <w:t xml:space="preserve"> </w:t>
      </w:r>
      <w:r w:rsidRPr="004465BE">
        <w:rPr>
          <w:b/>
          <w:i/>
          <w:noProof/>
        </w:rPr>
        <w:t xml:space="preserve">and AI </w:t>
      </w:r>
      <w:r w:rsidR="00F277BE">
        <w:rPr>
          <w:b/>
          <w:i/>
          <w:noProof/>
        </w:rPr>
        <w:t xml:space="preserve">computing service </w:t>
      </w:r>
      <w:r w:rsidRPr="004465BE">
        <w:rPr>
          <w:b/>
          <w:i/>
          <w:noProof/>
        </w:rPr>
        <w:t>providers</w:t>
      </w:r>
      <w:r>
        <w:rPr>
          <w:b/>
          <w:i/>
          <w:noProof/>
        </w:rPr>
        <w:t>.</w:t>
      </w:r>
    </w:p>
    <w:p w14:paraId="6EF4F9BF" w14:textId="1BB6A353" w:rsidR="00264284" w:rsidRPr="00AF22C1" w:rsidRDefault="00FF1BF5" w:rsidP="002733FB">
      <w:pPr>
        <w:spacing w:after="160"/>
        <w:rPr>
          <w:noProof/>
          <w:color w:val="000000" w:themeColor="text1"/>
        </w:rPr>
      </w:pPr>
      <w:r>
        <w:rPr>
          <w:i/>
          <w:noProof/>
        </w:rPr>
        <w:t>Audits</w:t>
      </w:r>
      <w:r w:rsidR="0075208E" w:rsidRPr="00C83104">
        <w:rPr>
          <w:i/>
          <w:noProof/>
        </w:rPr>
        <w:t>.</w:t>
      </w:r>
      <w:r w:rsidR="00D67352" w:rsidRPr="004465BE">
        <w:rPr>
          <w:b/>
          <w:i/>
          <w:noProof/>
        </w:rPr>
        <w:t xml:space="preserve"> </w:t>
      </w:r>
      <w:r w:rsidR="00D67352" w:rsidRPr="00AF22C1">
        <w:rPr>
          <w:noProof/>
          <w:color w:val="000000" w:themeColor="text1"/>
        </w:rPr>
        <w:t xml:space="preserve">A crucial matter in the analysis of the recurrent savings for </w:t>
      </w:r>
      <w:r w:rsidR="0001203E" w:rsidRPr="00AF22C1">
        <w:rPr>
          <w:noProof/>
          <w:color w:val="000000" w:themeColor="text1"/>
        </w:rPr>
        <w:t>cloud</w:t>
      </w:r>
      <w:r w:rsidR="00D67352" w:rsidRPr="00AF22C1">
        <w:rPr>
          <w:noProof/>
          <w:color w:val="000000" w:themeColor="text1"/>
        </w:rPr>
        <w:t xml:space="preserve"> and AI </w:t>
      </w:r>
      <w:r w:rsidR="00F277BE" w:rsidRPr="00AF22C1">
        <w:rPr>
          <w:noProof/>
          <w:color w:val="000000" w:themeColor="text1"/>
        </w:rPr>
        <w:t xml:space="preserve">computing service </w:t>
      </w:r>
      <w:r w:rsidR="00D67352" w:rsidRPr="00AF22C1">
        <w:rPr>
          <w:noProof/>
          <w:color w:val="000000" w:themeColor="text1"/>
        </w:rPr>
        <w:t xml:space="preserve">providers is the single market effect. Providers will be able to </w:t>
      </w:r>
      <w:r w:rsidR="0075208E">
        <w:rPr>
          <w:noProof/>
          <w:color w:val="000000" w:themeColor="text1"/>
        </w:rPr>
        <w:t>be audited</w:t>
      </w:r>
      <w:r w:rsidR="00D67352" w:rsidRPr="00C83104">
        <w:rPr>
          <w:noProof/>
          <w:color w:val="000000" w:themeColor="text1"/>
        </w:rPr>
        <w:t xml:space="preserve"> in one MS and</w:t>
      </w:r>
      <w:r w:rsidR="00D67352" w:rsidRPr="00AF22C1">
        <w:rPr>
          <w:noProof/>
          <w:color w:val="000000" w:themeColor="text1"/>
        </w:rPr>
        <w:t xml:space="preserve"> operate in all EU27 at once. </w:t>
      </w:r>
      <w:r w:rsidR="00F21202" w:rsidRPr="00AF22C1">
        <w:rPr>
          <w:noProof/>
          <w:color w:val="000000" w:themeColor="text1"/>
        </w:rPr>
        <w:t>Additionally</w:t>
      </w:r>
      <w:r w:rsidR="00D67352" w:rsidRPr="00AF22C1">
        <w:rPr>
          <w:noProof/>
          <w:color w:val="000000" w:themeColor="text1"/>
        </w:rPr>
        <w:t xml:space="preserve">, the analysis </w:t>
      </w:r>
      <w:r w:rsidR="0075208E">
        <w:rPr>
          <w:noProof/>
          <w:color w:val="000000" w:themeColor="text1"/>
        </w:rPr>
        <w:t>considers</w:t>
      </w:r>
      <w:r w:rsidR="00D67352" w:rsidRPr="00AF22C1">
        <w:rPr>
          <w:noProof/>
          <w:color w:val="000000" w:themeColor="text1"/>
        </w:rPr>
        <w:t xml:space="preserve"> that in the business-as-usual scenario one cloud service provider would seek to obtain the a</w:t>
      </w:r>
      <w:r w:rsidR="005A42AE">
        <w:rPr>
          <w:noProof/>
          <w:color w:val="000000" w:themeColor="text1"/>
        </w:rPr>
        <w:t>udit</w:t>
      </w:r>
      <w:r w:rsidR="00D67352" w:rsidRPr="00AF22C1">
        <w:rPr>
          <w:noProof/>
          <w:color w:val="000000" w:themeColor="text1"/>
        </w:rPr>
        <w:t xml:space="preserve"> in 5 MS</w:t>
      </w:r>
      <w:r w:rsidR="00495D56">
        <w:rPr>
          <w:noProof/>
          <w:color w:val="000000" w:themeColor="text1"/>
        </w:rPr>
        <w:t xml:space="preserve"> in average</w:t>
      </w:r>
      <w:r w:rsidR="00D67352" w:rsidRPr="00AF22C1">
        <w:rPr>
          <w:noProof/>
          <w:color w:val="000000" w:themeColor="text1"/>
        </w:rPr>
        <w:t xml:space="preserve">. Given the costs of compliance, a cloud and AI </w:t>
      </w:r>
      <w:r w:rsidR="00F277BE" w:rsidRPr="00AF22C1">
        <w:rPr>
          <w:noProof/>
          <w:color w:val="000000" w:themeColor="text1"/>
        </w:rPr>
        <w:t>computing service provider</w:t>
      </w:r>
      <w:r w:rsidR="00D67352" w:rsidRPr="00AF22C1">
        <w:rPr>
          <w:noProof/>
          <w:color w:val="000000" w:themeColor="text1"/>
        </w:rPr>
        <w:t xml:space="preserve"> would carefully prioritize in which MS(s) it would seek to obtain the </w:t>
      </w:r>
      <w:r w:rsidR="005A42AE">
        <w:rPr>
          <w:noProof/>
          <w:color w:val="000000" w:themeColor="text1"/>
        </w:rPr>
        <w:t>audit</w:t>
      </w:r>
      <w:r w:rsidR="00D67352" w:rsidRPr="00AF22C1">
        <w:rPr>
          <w:noProof/>
          <w:color w:val="000000" w:themeColor="text1"/>
        </w:rPr>
        <w:t xml:space="preserve">, usually taking into consideration aspects such as the market share or other commercial opportunities. With this policy measure, a single </w:t>
      </w:r>
      <w:r w:rsidR="005A42AE">
        <w:rPr>
          <w:noProof/>
          <w:color w:val="000000" w:themeColor="text1"/>
        </w:rPr>
        <w:t>audit</w:t>
      </w:r>
      <w:r w:rsidR="00D67352" w:rsidRPr="00AF22C1">
        <w:rPr>
          <w:noProof/>
          <w:color w:val="000000" w:themeColor="text1"/>
        </w:rPr>
        <w:t xml:space="preserve"> provided by a MS will enable a provider to present offers including the </w:t>
      </w:r>
      <w:r w:rsidR="005A42AE">
        <w:rPr>
          <w:noProof/>
          <w:color w:val="000000" w:themeColor="text1"/>
        </w:rPr>
        <w:t>audited</w:t>
      </w:r>
      <w:r w:rsidR="00D67352" w:rsidRPr="00AF22C1">
        <w:rPr>
          <w:noProof/>
          <w:color w:val="000000" w:themeColor="text1"/>
        </w:rPr>
        <w:t xml:space="preserve"> service to public tenders in all 27 MS.</w:t>
      </w:r>
      <w:r w:rsidR="00D67352" w:rsidRPr="00AF22C1">
        <w:rPr>
          <w:noProof/>
          <w:color w:val="000000" w:themeColor="text1"/>
          <w:lang w:val="en-US"/>
        </w:rPr>
        <w:t> </w:t>
      </w:r>
      <w:r w:rsidR="00176643" w:rsidRPr="00AF22C1">
        <w:rPr>
          <w:noProof/>
          <w:color w:val="000000" w:themeColor="text1"/>
        </w:rPr>
        <w:t xml:space="preserve"> </w:t>
      </w:r>
    </w:p>
    <w:p w14:paraId="471E0CDF" w14:textId="518F5D66" w:rsidR="00264284" w:rsidRPr="00AF22C1" w:rsidRDefault="004B0EF8" w:rsidP="00217467">
      <w:pPr>
        <w:spacing w:after="160"/>
        <w:jc w:val="center"/>
        <w:rPr>
          <w:noProof/>
          <w:color w:val="000000" w:themeColor="text1"/>
        </w:rPr>
      </w:pPr>
      <w:r w:rsidRPr="00AF22C1">
        <w:rPr>
          <w:i/>
          <w:noProof/>
          <w:color w:val="000000" w:themeColor="text1"/>
          <w:lang w:val="en-US"/>
        </w:rPr>
        <w:t xml:space="preserve">Saving costs </w:t>
      </w:r>
      <w:r w:rsidR="001E414A">
        <w:rPr>
          <w:i/>
          <w:noProof/>
          <w:color w:val="000000" w:themeColor="text1"/>
          <w:lang w:val="en-US"/>
        </w:rPr>
        <w:t>audits</w:t>
      </w:r>
      <w:r w:rsidR="001E414A" w:rsidRPr="00AF22C1">
        <w:rPr>
          <w:i/>
          <w:noProof/>
          <w:color w:val="000000" w:themeColor="text1"/>
          <w:lang w:val="en-US"/>
        </w:rPr>
        <w:t xml:space="preserve"> </w:t>
      </w:r>
      <w:r w:rsidRPr="00AF22C1">
        <w:rPr>
          <w:i/>
          <w:noProof/>
          <w:color w:val="000000" w:themeColor="text1"/>
          <w:lang w:val="en-US"/>
        </w:rPr>
        <w:t xml:space="preserve">valid throughout the EU = Number of MS where the </w:t>
      </w:r>
      <w:r w:rsidR="00225F13" w:rsidRPr="00AF22C1">
        <w:rPr>
          <w:i/>
          <w:noProof/>
          <w:color w:val="000000" w:themeColor="text1"/>
          <w:lang w:val="en-US"/>
        </w:rPr>
        <w:t>c</w:t>
      </w:r>
      <w:r w:rsidRPr="00AF22C1">
        <w:rPr>
          <w:i/>
          <w:noProof/>
          <w:color w:val="000000" w:themeColor="text1"/>
          <w:lang w:val="en-US"/>
        </w:rPr>
        <w:t xml:space="preserve">loud and </w:t>
      </w:r>
      <w:r w:rsidR="00225F13" w:rsidRPr="00AF22C1">
        <w:rPr>
          <w:i/>
          <w:noProof/>
          <w:color w:val="000000" w:themeColor="text1"/>
          <w:lang w:val="en-US"/>
        </w:rPr>
        <w:t>AI computing s</w:t>
      </w:r>
      <w:r w:rsidRPr="00AF22C1">
        <w:rPr>
          <w:i/>
          <w:noProof/>
          <w:color w:val="000000" w:themeColor="text1"/>
          <w:lang w:val="en-US"/>
        </w:rPr>
        <w:t xml:space="preserve">ervice </w:t>
      </w:r>
      <w:r w:rsidR="00225F13" w:rsidRPr="00AF22C1">
        <w:rPr>
          <w:i/>
          <w:noProof/>
          <w:color w:val="000000" w:themeColor="text1"/>
          <w:lang w:val="en-US"/>
        </w:rPr>
        <w:t>p</w:t>
      </w:r>
      <w:r w:rsidRPr="00AF22C1">
        <w:rPr>
          <w:i/>
          <w:noProof/>
          <w:color w:val="000000" w:themeColor="text1"/>
          <w:lang w:val="en-US"/>
        </w:rPr>
        <w:t xml:space="preserve">roviders would get certified </w:t>
      </w:r>
      <w:r w:rsidR="00217467" w:rsidRPr="00AF22C1">
        <w:rPr>
          <w:i/>
          <w:noProof/>
          <w:color w:val="000000" w:themeColor="text1"/>
          <w:lang w:val="en-US"/>
        </w:rPr>
        <w:t>in the absence of a</w:t>
      </w:r>
      <w:r w:rsidR="00130AFE" w:rsidRPr="00AF22C1">
        <w:rPr>
          <w:i/>
          <w:noProof/>
          <w:color w:val="000000" w:themeColor="text1"/>
          <w:lang w:val="en-US"/>
        </w:rPr>
        <w:t>n</w:t>
      </w:r>
      <w:r w:rsidR="00217467" w:rsidRPr="00AF22C1">
        <w:rPr>
          <w:i/>
          <w:noProof/>
          <w:color w:val="000000" w:themeColor="text1"/>
          <w:lang w:val="en-US"/>
        </w:rPr>
        <w:t xml:space="preserve"> EU approach</w:t>
      </w:r>
      <w:r w:rsidRPr="00AF22C1">
        <w:rPr>
          <w:i/>
          <w:noProof/>
          <w:color w:val="000000" w:themeColor="text1"/>
          <w:lang w:val="en-US"/>
        </w:rPr>
        <w:t xml:space="preserve"> * cost to get </w:t>
      </w:r>
      <w:r w:rsidR="00432D82">
        <w:rPr>
          <w:i/>
          <w:noProof/>
          <w:color w:val="000000" w:themeColor="text1"/>
          <w:lang w:val="en-US"/>
        </w:rPr>
        <w:t>audited</w:t>
      </w:r>
      <w:r w:rsidRPr="00AF22C1">
        <w:rPr>
          <w:i/>
          <w:noProof/>
          <w:color w:val="000000" w:themeColor="text1"/>
          <w:lang w:val="en-US"/>
        </w:rPr>
        <w:t xml:space="preserve"> * number of </w:t>
      </w:r>
      <w:r w:rsidR="00432D82">
        <w:rPr>
          <w:i/>
          <w:noProof/>
          <w:color w:val="000000" w:themeColor="text1"/>
          <w:lang w:val="en-US"/>
        </w:rPr>
        <w:t>audited</w:t>
      </w:r>
      <w:r w:rsidRPr="00AF22C1">
        <w:rPr>
          <w:i/>
          <w:noProof/>
          <w:color w:val="000000" w:themeColor="text1"/>
          <w:lang w:val="en-US"/>
        </w:rPr>
        <w:t xml:space="preserve"> services</w:t>
      </w:r>
    </w:p>
    <w:p w14:paraId="66E0A3D9" w14:textId="77777777" w:rsidR="00440876" w:rsidRPr="00A54618" w:rsidRDefault="004233F6" w:rsidP="00440876">
      <w:pPr>
        <w:rPr>
          <w:noProof/>
        </w:rPr>
      </w:pPr>
      <w:r w:rsidRPr="0049410F">
        <w:rPr>
          <w:i/>
          <w:noProof/>
          <w:lang w:val="en-US"/>
        </w:rPr>
        <w:t>Public procurement.</w:t>
      </w:r>
      <w:r>
        <w:rPr>
          <w:noProof/>
          <w:lang w:val="en-US"/>
        </w:rPr>
        <w:t xml:space="preserve"> </w:t>
      </w:r>
      <w:r w:rsidR="00D67352" w:rsidRPr="0007547C">
        <w:rPr>
          <w:noProof/>
        </w:rPr>
        <w:t>Another relevant saving stems from the fact of not having to collect and resubmit all the evidence necessary to demonstrate that the criteria are fulfilled</w:t>
      </w:r>
      <w:r w:rsidR="00413602">
        <w:rPr>
          <w:noProof/>
        </w:rPr>
        <w:t xml:space="preserve"> for each </w:t>
      </w:r>
      <w:r w:rsidR="00AC6142">
        <w:rPr>
          <w:noProof/>
        </w:rPr>
        <w:t>bid</w:t>
      </w:r>
      <w:r w:rsidR="00D67352" w:rsidRPr="0007547C">
        <w:rPr>
          <w:noProof/>
        </w:rPr>
        <w:t xml:space="preserve">, given that the </w:t>
      </w:r>
      <w:r w:rsidR="0075208E">
        <w:rPr>
          <w:noProof/>
        </w:rPr>
        <w:t>audited</w:t>
      </w:r>
      <w:r w:rsidR="0075208E" w:rsidRPr="0007547C">
        <w:rPr>
          <w:noProof/>
        </w:rPr>
        <w:t xml:space="preserve"> service</w:t>
      </w:r>
      <w:r w:rsidR="0075208E">
        <w:rPr>
          <w:noProof/>
        </w:rPr>
        <w:t>s</w:t>
      </w:r>
      <w:r w:rsidR="0075208E" w:rsidRPr="0007547C">
        <w:rPr>
          <w:noProof/>
        </w:rPr>
        <w:t xml:space="preserve"> </w:t>
      </w:r>
      <w:r w:rsidR="00D67352" w:rsidRPr="0007547C">
        <w:rPr>
          <w:noProof/>
        </w:rPr>
        <w:t>are listed in the repository and accessible for the contracting authority. The assumption is that undertakings will save 5 staff days / year per service and bid.</w:t>
      </w:r>
      <w:r w:rsidR="00D67352" w:rsidRPr="0007547C">
        <w:rPr>
          <w:noProof/>
          <w:lang w:val="en-US"/>
        </w:rPr>
        <w:t> </w:t>
      </w:r>
      <w:r w:rsidR="00176643">
        <w:rPr>
          <w:noProof/>
        </w:rPr>
        <w:t xml:space="preserve"> </w:t>
      </w:r>
      <w:r w:rsidR="00440876">
        <w:rPr>
          <w:noProof/>
        </w:rPr>
        <w:t>The number of yearly bids amounts to 50 a year.</w:t>
      </w:r>
    </w:p>
    <w:p w14:paraId="52FA97B1" w14:textId="77777777" w:rsidR="00264284" w:rsidRDefault="00201F21" w:rsidP="00AC6142">
      <w:pPr>
        <w:spacing w:after="160"/>
        <w:jc w:val="center"/>
        <w:rPr>
          <w:noProof/>
        </w:rPr>
      </w:pPr>
      <w:r w:rsidRPr="007E2AB2">
        <w:rPr>
          <w:i/>
          <w:iCs/>
          <w:noProof/>
          <w:lang w:val="en-US"/>
        </w:rPr>
        <w:t>Business costs saved: = Businesses time saved per evidence submission in a tender procedure</w:t>
      </w:r>
      <w:r>
        <w:rPr>
          <w:i/>
          <w:iCs/>
          <w:noProof/>
          <w:lang w:val="en-US"/>
        </w:rPr>
        <w:t xml:space="preserve"> * number of submitted bids</w:t>
      </w:r>
    </w:p>
    <w:p w14:paraId="729A55A9" w14:textId="77777777" w:rsidR="004233F6" w:rsidRDefault="004233F6" w:rsidP="004233F6">
      <w:pPr>
        <w:rPr>
          <w:b/>
          <w:i/>
          <w:noProof/>
        </w:rPr>
      </w:pPr>
      <w:r>
        <w:rPr>
          <w:b/>
          <w:i/>
          <w:noProof/>
        </w:rPr>
        <w:t xml:space="preserve">Recurrent </w:t>
      </w:r>
      <w:r w:rsidRPr="00645E8F">
        <w:rPr>
          <w:b/>
          <w:i/>
          <w:noProof/>
        </w:rPr>
        <w:t>administrative</w:t>
      </w:r>
      <w:r w:rsidRPr="00AA14CE">
        <w:rPr>
          <w:b/>
          <w:i/>
          <w:noProof/>
        </w:rPr>
        <w:t xml:space="preserve"> costs for the private sector (</w:t>
      </w:r>
      <w:r>
        <w:rPr>
          <w:b/>
          <w:i/>
          <w:noProof/>
        </w:rPr>
        <w:t>Auditors</w:t>
      </w:r>
      <w:r w:rsidRPr="00AA14CE">
        <w:rPr>
          <w:b/>
          <w:i/>
          <w:noProof/>
        </w:rPr>
        <w:t>)</w:t>
      </w:r>
    </w:p>
    <w:p w14:paraId="25D537F8" w14:textId="3B631968" w:rsidR="004233F6" w:rsidRDefault="004233F6" w:rsidP="004233F6">
      <w:pPr>
        <w:rPr>
          <w:noProof/>
        </w:rPr>
      </w:pPr>
      <w:r>
        <w:rPr>
          <w:i/>
          <w:iCs/>
          <w:noProof/>
        </w:rPr>
        <w:t>Third party</w:t>
      </w:r>
      <w:r w:rsidRPr="0044146C">
        <w:rPr>
          <w:i/>
          <w:iCs/>
          <w:noProof/>
        </w:rPr>
        <w:t xml:space="preserve"> audits.</w:t>
      </w:r>
      <w:r>
        <w:rPr>
          <w:noProof/>
        </w:rPr>
        <w:t xml:space="preserve"> </w:t>
      </w:r>
      <w:r w:rsidRPr="00561BCA">
        <w:rPr>
          <w:noProof/>
        </w:rPr>
        <w:t xml:space="preserve">In this PM, </w:t>
      </w:r>
      <w:r>
        <w:rPr>
          <w:noProof/>
        </w:rPr>
        <w:t xml:space="preserve">as mentioned above, </w:t>
      </w:r>
      <w:r w:rsidRPr="00561BCA">
        <w:rPr>
          <w:noProof/>
        </w:rPr>
        <w:t xml:space="preserve">the target number of cloud and AI computing services </w:t>
      </w:r>
      <w:r>
        <w:rPr>
          <w:noProof/>
        </w:rPr>
        <w:t xml:space="preserve">that will be </w:t>
      </w:r>
      <w:r w:rsidRPr="00561BCA">
        <w:rPr>
          <w:noProof/>
        </w:rPr>
        <w:t xml:space="preserve">in possession of the </w:t>
      </w:r>
      <w:r w:rsidR="001E414A">
        <w:rPr>
          <w:noProof/>
        </w:rPr>
        <w:t>positive audit report</w:t>
      </w:r>
      <w:r w:rsidR="001E414A" w:rsidRPr="00561BCA">
        <w:rPr>
          <w:noProof/>
        </w:rPr>
        <w:t xml:space="preserve"> </w:t>
      </w:r>
      <w:r w:rsidRPr="00561BCA">
        <w:rPr>
          <w:noProof/>
        </w:rPr>
        <w:t xml:space="preserve">is estimated to reach </w:t>
      </w:r>
      <w:r w:rsidR="006D538F">
        <w:rPr>
          <w:noProof/>
        </w:rPr>
        <w:t>150</w:t>
      </w:r>
      <w:r w:rsidRPr="00561BCA">
        <w:rPr>
          <w:noProof/>
        </w:rPr>
        <w:t xml:space="preserve"> by 2032</w:t>
      </w:r>
      <w:r w:rsidRPr="00561BCA">
        <w:rPr>
          <w:rStyle w:val="FootnoteReference"/>
          <w:noProof/>
        </w:rPr>
        <w:footnoteReference w:id="65"/>
      </w:r>
      <w:r w:rsidRPr="00561BCA">
        <w:rPr>
          <w:noProof/>
        </w:rPr>
        <w:t xml:space="preserve">, whereas </w:t>
      </w:r>
      <w:r w:rsidR="00712736" w:rsidRPr="00F97F87">
        <w:rPr>
          <w:noProof/>
        </w:rPr>
        <w:t>30</w:t>
      </w:r>
      <w:r w:rsidRPr="00561BCA">
        <w:rPr>
          <w:noProof/>
        </w:rPr>
        <w:t xml:space="preserve"> of these will be </w:t>
      </w:r>
      <w:r w:rsidR="00432D82">
        <w:rPr>
          <w:noProof/>
        </w:rPr>
        <w:t>audited</w:t>
      </w:r>
      <w:r w:rsidR="00C54614">
        <w:rPr>
          <w:noProof/>
        </w:rPr>
        <w:t xml:space="preserve"> sovereign level 2-4</w:t>
      </w:r>
      <w:r w:rsidRPr="00561BCA">
        <w:rPr>
          <w:noProof/>
        </w:rPr>
        <w:t xml:space="preserve"> during the first year. The assumed CAGR is </w:t>
      </w:r>
      <w:r w:rsidR="009C4FEA">
        <w:rPr>
          <w:noProof/>
        </w:rPr>
        <w:t>38</w:t>
      </w:r>
      <w:r w:rsidRPr="00561BCA">
        <w:rPr>
          <w:noProof/>
        </w:rPr>
        <w:t xml:space="preserve">%. The assumption under this policy measures follows a </w:t>
      </w:r>
      <w:r>
        <w:rPr>
          <w:noProof/>
        </w:rPr>
        <w:t xml:space="preserve">linear </w:t>
      </w:r>
      <w:r w:rsidRPr="00561BCA">
        <w:rPr>
          <w:noProof/>
        </w:rPr>
        <w:t xml:space="preserve">progressive uptake of the </w:t>
      </w:r>
      <w:r>
        <w:rPr>
          <w:noProof/>
        </w:rPr>
        <w:t>certification</w:t>
      </w:r>
      <w:r w:rsidRPr="00561BCA">
        <w:rPr>
          <w:noProof/>
        </w:rPr>
        <w:t xml:space="preserve"> scheme. </w:t>
      </w:r>
    </w:p>
    <w:p w14:paraId="01495BDC" w14:textId="40C1D525" w:rsidR="00AA4E94" w:rsidRPr="00AA4E94" w:rsidRDefault="00AA4E94" w:rsidP="00AA4E94">
      <w:pPr>
        <w:rPr>
          <w:noProof/>
        </w:rPr>
      </w:pPr>
      <w:r w:rsidRPr="00AA4E94">
        <w:rPr>
          <w:noProof/>
        </w:rPr>
        <w:t>The estimated average effort for auditing a service under Sovereignty assurance level 2-4 is 110 days / audit. The same effort is considered for the renewal process</w:t>
      </w:r>
      <w:r>
        <w:rPr>
          <w:noProof/>
        </w:rPr>
        <w:t>..</w:t>
      </w:r>
    </w:p>
    <w:p w14:paraId="0F976B16" w14:textId="582F1AA0" w:rsidR="00264284" w:rsidRDefault="00D67352" w:rsidP="002733FB">
      <w:pPr>
        <w:spacing w:after="160"/>
        <w:rPr>
          <w:noProof/>
        </w:rPr>
      </w:pPr>
      <w:r w:rsidRPr="000453EC">
        <w:rPr>
          <w:b/>
          <w:noProof/>
        </w:rPr>
        <w:t>Indirect savings:</w:t>
      </w:r>
      <w:r>
        <w:rPr>
          <w:b/>
          <w:bCs/>
          <w:noProof/>
        </w:rPr>
        <w:t xml:space="preserve"> </w:t>
      </w:r>
      <w:r>
        <w:rPr>
          <w:noProof/>
        </w:rPr>
        <w:t xml:space="preserve">Through this measure, cloud and AI </w:t>
      </w:r>
      <w:r w:rsidR="00225F13">
        <w:rPr>
          <w:noProof/>
        </w:rPr>
        <w:t xml:space="preserve">computing </w:t>
      </w:r>
      <w:r>
        <w:rPr>
          <w:noProof/>
        </w:rPr>
        <w:t xml:space="preserve">services able to comply with the </w:t>
      </w:r>
      <w:r w:rsidR="005A42AE">
        <w:rPr>
          <w:noProof/>
        </w:rPr>
        <w:t>sovereignty audit</w:t>
      </w:r>
      <w:r>
        <w:rPr>
          <w:noProof/>
        </w:rPr>
        <w:t xml:space="preserve"> scheme will increase trust from public administrations, and notably for the most critical cases. This will result in more trustworthy, credible and very specialized as well as very advanced offers responding to challenges such as resilience and autonomy. </w:t>
      </w:r>
      <w:r w:rsidR="00176643">
        <w:rPr>
          <w:noProof/>
        </w:rPr>
        <w:t xml:space="preserve"> </w:t>
      </w:r>
    </w:p>
    <w:p w14:paraId="3EF3E3DD" w14:textId="2CB64958" w:rsidR="00264284" w:rsidRDefault="00D67352" w:rsidP="002733FB">
      <w:pPr>
        <w:spacing w:after="160"/>
        <w:rPr>
          <w:noProof/>
        </w:rPr>
      </w:pPr>
      <w:r w:rsidRPr="00317EBC">
        <w:rPr>
          <w:b/>
          <w:noProof/>
        </w:rPr>
        <w:t>Sensitivity analysis:</w:t>
      </w:r>
      <w:r w:rsidRPr="0007547C">
        <w:rPr>
          <w:b/>
          <w:noProof/>
        </w:rPr>
        <w:t xml:space="preserve"> </w:t>
      </w:r>
      <w:r w:rsidRPr="0007547C">
        <w:rPr>
          <w:noProof/>
        </w:rPr>
        <w:t xml:space="preserve">The most affected parameters for this Policy Measure are as follows: 1) number of FTEs required </w:t>
      </w:r>
      <w:r w:rsidRPr="00072DDC">
        <w:rPr>
          <w:noProof/>
        </w:rPr>
        <w:t xml:space="preserve">to get </w:t>
      </w:r>
      <w:r w:rsidR="00072DDC" w:rsidRPr="00490F5F">
        <w:rPr>
          <w:noProof/>
        </w:rPr>
        <w:t>audited</w:t>
      </w:r>
      <w:r w:rsidR="00072DDC" w:rsidRPr="00072DDC">
        <w:rPr>
          <w:noProof/>
        </w:rPr>
        <w:t xml:space="preserve"> </w:t>
      </w:r>
      <w:r w:rsidRPr="00072DDC">
        <w:rPr>
          <w:noProof/>
        </w:rPr>
        <w:t xml:space="preserve">and </w:t>
      </w:r>
      <w:r w:rsidR="00072DDC">
        <w:rPr>
          <w:noProof/>
        </w:rPr>
        <w:t>to maintain the audit</w:t>
      </w:r>
      <w:r w:rsidR="00E75F2A">
        <w:rPr>
          <w:noProof/>
        </w:rPr>
        <w:t xml:space="preserve"> (</w:t>
      </w:r>
      <w:r w:rsidR="003B4007">
        <w:rPr>
          <w:noProof/>
        </w:rPr>
        <w:t>min and max value are 10 and 20 respectively</w:t>
      </w:r>
      <w:r w:rsidR="00E75F2A">
        <w:rPr>
          <w:noProof/>
        </w:rPr>
        <w:t>)</w:t>
      </w:r>
      <w:r w:rsidR="003B4007">
        <w:rPr>
          <w:noProof/>
        </w:rPr>
        <w:t xml:space="preserve">. For the maintenance of the </w:t>
      </w:r>
      <w:r w:rsidR="00E75F2A">
        <w:rPr>
          <w:noProof/>
        </w:rPr>
        <w:t xml:space="preserve">audit </w:t>
      </w:r>
      <w:r w:rsidR="00090B0C">
        <w:rPr>
          <w:noProof/>
        </w:rPr>
        <w:t>this varies between 2 and 5; 2</w:t>
      </w:r>
      <w:r w:rsidR="00090B0C" w:rsidRPr="0056478C">
        <w:rPr>
          <w:noProof/>
        </w:rPr>
        <w:t xml:space="preserve">) the number of MS that </w:t>
      </w:r>
      <w:r w:rsidR="000C2E8F" w:rsidRPr="0056478C">
        <w:rPr>
          <w:noProof/>
        </w:rPr>
        <w:t xml:space="preserve">designate the competent authorities to carry out the </w:t>
      </w:r>
      <w:r w:rsidR="00E75F2A">
        <w:rPr>
          <w:noProof/>
        </w:rPr>
        <w:t>sovereignty risk assessments</w:t>
      </w:r>
      <w:r w:rsidR="007C4BC7" w:rsidRPr="0056478C">
        <w:rPr>
          <w:noProof/>
        </w:rPr>
        <w:t xml:space="preserve">. This varies from 5 MS (min) to 27 (MS), </w:t>
      </w:r>
      <w:r w:rsidR="00092FDE" w:rsidRPr="0056478C">
        <w:rPr>
          <w:noProof/>
        </w:rPr>
        <w:t xml:space="preserve">with </w:t>
      </w:r>
      <w:r w:rsidR="007C4BC7" w:rsidRPr="0056478C">
        <w:rPr>
          <w:noProof/>
        </w:rPr>
        <w:t>16 being the central value</w:t>
      </w:r>
      <w:r w:rsidR="00C20665">
        <w:rPr>
          <w:noProof/>
        </w:rPr>
        <w:t xml:space="preserve">: 3) </w:t>
      </w:r>
      <w:r w:rsidR="00D257FC">
        <w:rPr>
          <w:noProof/>
        </w:rPr>
        <w:t xml:space="preserve">in terms of savings, the </w:t>
      </w:r>
      <w:r w:rsidR="0068632A">
        <w:rPr>
          <w:noProof/>
        </w:rPr>
        <w:t xml:space="preserve">common audit process will </w:t>
      </w:r>
      <w:r w:rsidR="00332545">
        <w:rPr>
          <w:noProof/>
        </w:rPr>
        <w:t xml:space="preserve">allow to save audit efforts </w:t>
      </w:r>
      <w:r w:rsidR="00331BFE">
        <w:rPr>
          <w:noProof/>
        </w:rPr>
        <w:t xml:space="preserve">in </w:t>
      </w:r>
      <w:r w:rsidR="00557A53">
        <w:rPr>
          <w:noProof/>
        </w:rPr>
        <w:t xml:space="preserve">some of </w:t>
      </w:r>
      <w:r w:rsidR="00331BFE">
        <w:rPr>
          <w:noProof/>
        </w:rPr>
        <w:t xml:space="preserve">the markets where the provider operates, considered to be a minimum of 3 MS </w:t>
      </w:r>
      <w:r w:rsidR="00EA3FB9">
        <w:rPr>
          <w:noProof/>
        </w:rPr>
        <w:t>and a maximum of 10, with a central value of 5.</w:t>
      </w:r>
      <w:r w:rsidR="00713946">
        <w:rPr>
          <w:noProof/>
        </w:rPr>
        <w:t xml:space="preserve"> </w:t>
      </w:r>
    </w:p>
    <w:p w14:paraId="2D7969F5" w14:textId="41606D66" w:rsidR="00BA1766" w:rsidRDefault="00D67352" w:rsidP="002733FB">
      <w:pPr>
        <w:spacing w:after="160"/>
        <w:rPr>
          <w:noProof/>
        </w:rPr>
      </w:pPr>
      <w:r w:rsidRPr="00DA029C">
        <w:rPr>
          <w:b/>
          <w:bCs/>
          <w:noProof/>
          <w:color w:val="000000" w:themeColor="text1"/>
        </w:rPr>
        <w:t>Results</w:t>
      </w:r>
      <w:r w:rsidRPr="00DA029C">
        <w:rPr>
          <w:noProof/>
          <w:color w:val="000000" w:themeColor="text1"/>
        </w:rPr>
        <w:t xml:space="preserve"> for all stakeholders aggregated and for the years covered by this measure are summarised in the table below. For all scenarios including the average, min and max the benefits outweigh costs.</w:t>
      </w:r>
      <w:r w:rsidRPr="004465BE">
        <w:rPr>
          <w:noProof/>
          <w:color w:val="000000" w:themeColor="text1"/>
        </w:rPr>
        <w:t xml:space="preserve"> What causes the range between the min and the mix is dependent on the number of Member States which take up the scheme.</w:t>
      </w:r>
      <w:r w:rsidR="00176643">
        <w:rPr>
          <w:noProof/>
        </w:rPr>
        <w:t xml:space="preserve"> </w:t>
      </w:r>
    </w:p>
    <w:p w14:paraId="25E29939" w14:textId="5CCAA840" w:rsidR="00176643" w:rsidRDefault="00D67352" w:rsidP="008D0BAC">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35</w:t>
      </w:r>
      <w:r>
        <w:rPr>
          <w:noProof/>
        </w:rPr>
        <w:fldChar w:fldCharType="end"/>
      </w:r>
      <w:r>
        <w:rPr>
          <w:noProof/>
        </w:rPr>
        <w:t xml:space="preserve">. </w:t>
      </w:r>
      <w:r w:rsidR="005A42AE">
        <w:rPr>
          <w:noProof/>
        </w:rPr>
        <w:t xml:space="preserve">Voluntary </w:t>
      </w:r>
      <w:r w:rsidRPr="000500C1">
        <w:rPr>
          <w:noProof/>
        </w:rPr>
        <w:t xml:space="preserve">sovereign </w:t>
      </w:r>
      <w:r w:rsidR="005A42AE">
        <w:rPr>
          <w:noProof/>
        </w:rPr>
        <w:t xml:space="preserve">risk assessment for the use of </w:t>
      </w:r>
      <w:r w:rsidR="0001203E">
        <w:rPr>
          <w:noProof/>
        </w:rPr>
        <w:t>cloud</w:t>
      </w:r>
      <w:r w:rsidRPr="000500C1">
        <w:rPr>
          <w:noProof/>
        </w:rPr>
        <w:t xml:space="preserve"> and AI </w:t>
      </w:r>
      <w:r w:rsidR="00BB72EA">
        <w:rPr>
          <w:noProof/>
        </w:rPr>
        <w:t xml:space="preserve">computing </w:t>
      </w:r>
      <w:r w:rsidRPr="000500C1">
        <w:rPr>
          <w:noProof/>
        </w:rPr>
        <w:t xml:space="preserve">services </w:t>
      </w:r>
      <w:r w:rsidR="005A42AE">
        <w:rPr>
          <w:noProof/>
        </w:rPr>
        <w:t>in the</w:t>
      </w:r>
      <w:r w:rsidRPr="000500C1">
        <w:rPr>
          <w:noProof/>
        </w:rPr>
        <w:t xml:space="preserve"> public </w:t>
      </w:r>
      <w:r w:rsidR="005A42AE">
        <w:rPr>
          <w:noProof/>
        </w:rPr>
        <w:t>sector</w:t>
      </w:r>
      <w:r>
        <w:rPr>
          <w:noProof/>
        </w:rPr>
        <w:t xml:space="preserve"> (PM15)</w:t>
      </w:r>
    </w:p>
    <w:tbl>
      <w:tblPr>
        <w:tblStyle w:val="TableGrid"/>
        <w:tblW w:w="5235" w:type="pct"/>
        <w:tblInd w:w="-426" w:type="dxa"/>
        <w:tblLayout w:type="fixed"/>
        <w:tblCellMar>
          <w:left w:w="0" w:type="dxa"/>
          <w:right w:w="0" w:type="dxa"/>
        </w:tblCellMar>
        <w:tblLook w:val="04A0" w:firstRow="1" w:lastRow="0" w:firstColumn="1" w:lastColumn="0" w:noHBand="0" w:noVBand="1"/>
      </w:tblPr>
      <w:tblGrid>
        <w:gridCol w:w="1715"/>
        <w:gridCol w:w="1292"/>
        <w:gridCol w:w="1292"/>
        <w:gridCol w:w="1292"/>
        <w:gridCol w:w="1292"/>
        <w:gridCol w:w="1292"/>
        <w:gridCol w:w="1295"/>
      </w:tblGrid>
      <w:tr w:rsidR="00211FEA" w:rsidRPr="00FA63C0" w14:paraId="7BCC49D7" w14:textId="77777777" w:rsidTr="00F95300">
        <w:trPr>
          <w:trHeight w:val="506"/>
        </w:trPr>
        <w:tc>
          <w:tcPr>
            <w:tcW w:w="905" w:type="pct"/>
            <w:tcBorders>
              <w:bottom w:val="single" w:sz="12" w:space="0" w:color="00B0F0"/>
            </w:tcBorders>
            <w:noWrap/>
            <w:hideMark/>
          </w:tcPr>
          <w:p w14:paraId="4175B1FE" w14:textId="77777777" w:rsidR="00211FEA" w:rsidRPr="00FA63C0" w:rsidRDefault="00211FEA">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682" w:type="pct"/>
            <w:tcBorders>
              <w:bottom w:val="single" w:sz="12" w:space="0" w:color="00B0F0"/>
            </w:tcBorders>
          </w:tcPr>
          <w:p w14:paraId="5B3A352A" w14:textId="77777777" w:rsidR="00211FEA" w:rsidRPr="00FA63C0" w:rsidRDefault="00211FEA">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682" w:type="pct"/>
            <w:tcBorders>
              <w:bottom w:val="single" w:sz="12" w:space="0" w:color="00B0F0"/>
            </w:tcBorders>
          </w:tcPr>
          <w:p w14:paraId="63166891" w14:textId="77777777" w:rsidR="00211FEA" w:rsidRPr="00FA63C0" w:rsidRDefault="00211FEA">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682" w:type="pct"/>
            <w:tcBorders>
              <w:bottom w:val="single" w:sz="12" w:space="0" w:color="00B0F0"/>
            </w:tcBorders>
          </w:tcPr>
          <w:p w14:paraId="6DB67A7C" w14:textId="77777777" w:rsidR="00211FEA" w:rsidRPr="00FA63C0" w:rsidRDefault="00211FEA">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682" w:type="pct"/>
            <w:tcBorders>
              <w:bottom w:val="single" w:sz="12" w:space="0" w:color="00B0F0"/>
            </w:tcBorders>
            <w:noWrap/>
            <w:hideMark/>
          </w:tcPr>
          <w:p w14:paraId="0C85D1E6" w14:textId="77777777" w:rsidR="00211FEA" w:rsidRPr="00FA63C0" w:rsidRDefault="00211FEA">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682" w:type="pct"/>
            <w:tcBorders>
              <w:bottom w:val="single" w:sz="12" w:space="0" w:color="00B0F0"/>
            </w:tcBorders>
            <w:noWrap/>
            <w:hideMark/>
          </w:tcPr>
          <w:p w14:paraId="04D218EF" w14:textId="77777777" w:rsidR="00211FEA" w:rsidRPr="00EC6BC1" w:rsidRDefault="00211FEA">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684" w:type="pct"/>
            <w:tcBorders>
              <w:bottom w:val="single" w:sz="12" w:space="0" w:color="00B0F0"/>
            </w:tcBorders>
            <w:noWrap/>
            <w:hideMark/>
          </w:tcPr>
          <w:p w14:paraId="0B133B08" w14:textId="77777777" w:rsidR="00211FEA" w:rsidRPr="00FA63C0" w:rsidRDefault="00211FEA">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211FEA" w:rsidRPr="00397C78" w14:paraId="16C6EA32" w14:textId="77777777" w:rsidTr="00F95300">
        <w:trPr>
          <w:trHeight w:val="283"/>
        </w:trPr>
        <w:tc>
          <w:tcPr>
            <w:tcW w:w="905" w:type="pct"/>
            <w:tcBorders>
              <w:top w:val="single" w:sz="12" w:space="0" w:color="00B0F0"/>
            </w:tcBorders>
            <w:noWrap/>
            <w:hideMark/>
          </w:tcPr>
          <w:p w14:paraId="6739B630"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682" w:type="pct"/>
            <w:tcBorders>
              <w:top w:val="single" w:sz="12" w:space="0" w:color="00B0F0"/>
            </w:tcBorders>
          </w:tcPr>
          <w:p w14:paraId="2C0F3DA9" w14:textId="77777777" w:rsidR="00211FEA" w:rsidRPr="00FA63C0" w:rsidRDefault="00211FEA">
            <w:pPr>
              <w:spacing w:after="0"/>
              <w:jc w:val="right"/>
              <w:rPr>
                <w:noProof/>
                <w:sz w:val="20"/>
                <w:szCs w:val="20"/>
                <w:lang w:val="en-IE" w:eastAsia="en-IE"/>
              </w:rPr>
            </w:pPr>
            <w:r w:rsidRPr="00FA63C0">
              <w:rPr>
                <w:noProof/>
                <w:sz w:val="20"/>
                <w:szCs w:val="20"/>
              </w:rPr>
              <w:t>-</w:t>
            </w:r>
          </w:p>
        </w:tc>
        <w:tc>
          <w:tcPr>
            <w:tcW w:w="682" w:type="pct"/>
            <w:tcBorders>
              <w:top w:val="single" w:sz="12" w:space="0" w:color="00B0F0"/>
            </w:tcBorders>
          </w:tcPr>
          <w:p w14:paraId="5FBD3749" w14:textId="77777777" w:rsidR="00211FEA" w:rsidRPr="00640712" w:rsidRDefault="00211FEA">
            <w:pPr>
              <w:spacing w:after="0"/>
              <w:jc w:val="right"/>
              <w:rPr>
                <w:noProof/>
                <w:sz w:val="22"/>
                <w:szCs w:val="22"/>
                <w:lang w:val="en-IE" w:eastAsia="en-IE"/>
              </w:rPr>
            </w:pPr>
            <w:r w:rsidRPr="00640712">
              <w:rPr>
                <w:noProof/>
                <w:sz w:val="22"/>
                <w:szCs w:val="22"/>
              </w:rPr>
              <w:t xml:space="preserve"> </w:t>
            </w:r>
            <w:r>
              <w:rPr>
                <w:noProof/>
                <w:sz w:val="22"/>
                <w:szCs w:val="22"/>
              </w:rPr>
              <w:t xml:space="preserve"> -</w:t>
            </w:r>
            <w:r w:rsidRPr="00640712">
              <w:rPr>
                <w:noProof/>
                <w:sz w:val="22"/>
                <w:szCs w:val="22"/>
              </w:rPr>
              <w:t xml:space="preserve"> </w:t>
            </w:r>
          </w:p>
        </w:tc>
        <w:tc>
          <w:tcPr>
            <w:tcW w:w="682" w:type="pct"/>
            <w:tcBorders>
              <w:top w:val="single" w:sz="12" w:space="0" w:color="00B0F0"/>
            </w:tcBorders>
          </w:tcPr>
          <w:p w14:paraId="78FEE2E1"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tcBorders>
              <w:top w:val="single" w:sz="12" w:space="0" w:color="00B0F0"/>
            </w:tcBorders>
            <w:noWrap/>
          </w:tcPr>
          <w:p w14:paraId="6552B923" w14:textId="77777777" w:rsidR="00211FEA" w:rsidRPr="00640712" w:rsidRDefault="00211FEA">
            <w:pPr>
              <w:spacing w:after="0"/>
              <w:jc w:val="right"/>
              <w:rPr>
                <w:noProof/>
                <w:sz w:val="22"/>
                <w:szCs w:val="22"/>
                <w:lang w:val="en-IE" w:eastAsia="en-IE"/>
              </w:rPr>
            </w:pPr>
            <w:r>
              <w:rPr>
                <w:noProof/>
                <w:sz w:val="22"/>
                <w:szCs w:val="22"/>
              </w:rPr>
              <w:t>-</w:t>
            </w:r>
          </w:p>
        </w:tc>
        <w:tc>
          <w:tcPr>
            <w:tcW w:w="682" w:type="pct"/>
            <w:tcBorders>
              <w:top w:val="single" w:sz="12" w:space="0" w:color="00B0F0"/>
            </w:tcBorders>
            <w:noWrap/>
          </w:tcPr>
          <w:p w14:paraId="31956708" w14:textId="77777777" w:rsidR="00211FEA" w:rsidRPr="00640712" w:rsidRDefault="00211FEA">
            <w:pPr>
              <w:spacing w:after="0"/>
              <w:jc w:val="right"/>
              <w:rPr>
                <w:noProof/>
                <w:sz w:val="22"/>
                <w:szCs w:val="22"/>
                <w:lang w:val="en-IE" w:eastAsia="en-IE"/>
              </w:rPr>
            </w:pPr>
            <w:r w:rsidRPr="00FA63C0">
              <w:rPr>
                <w:noProof/>
                <w:sz w:val="20"/>
                <w:szCs w:val="20"/>
              </w:rPr>
              <w:t xml:space="preserve"> -   </w:t>
            </w:r>
          </w:p>
        </w:tc>
        <w:tc>
          <w:tcPr>
            <w:tcW w:w="684" w:type="pct"/>
            <w:tcBorders>
              <w:top w:val="single" w:sz="12" w:space="0" w:color="00B0F0"/>
            </w:tcBorders>
            <w:noWrap/>
          </w:tcPr>
          <w:p w14:paraId="4B9E6649" w14:textId="77777777" w:rsidR="00211FEA" w:rsidRPr="00640712" w:rsidRDefault="00211FEA">
            <w:pPr>
              <w:spacing w:after="0"/>
              <w:jc w:val="right"/>
              <w:rPr>
                <w:noProof/>
                <w:sz w:val="22"/>
                <w:szCs w:val="22"/>
                <w:lang w:val="en-IE" w:eastAsia="en-IE"/>
              </w:rPr>
            </w:pPr>
            <w:r>
              <w:rPr>
                <w:noProof/>
                <w:sz w:val="22"/>
                <w:szCs w:val="22"/>
              </w:rPr>
              <w:t>-</w:t>
            </w:r>
          </w:p>
        </w:tc>
      </w:tr>
      <w:tr w:rsidR="00211FEA" w:rsidRPr="00061A60" w14:paraId="0A001A2C" w14:textId="77777777" w:rsidTr="00F95300">
        <w:trPr>
          <w:trHeight w:val="283"/>
        </w:trPr>
        <w:tc>
          <w:tcPr>
            <w:tcW w:w="905" w:type="pct"/>
            <w:noWrap/>
            <w:hideMark/>
          </w:tcPr>
          <w:p w14:paraId="68133450"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682" w:type="pct"/>
          </w:tcPr>
          <w:p w14:paraId="43CACB16" w14:textId="1EC7E8F4" w:rsidR="00211FEA" w:rsidRPr="003C1364" w:rsidRDefault="00211FEA">
            <w:pPr>
              <w:spacing w:after="0"/>
              <w:jc w:val="right"/>
              <w:rPr>
                <w:noProof/>
                <w:sz w:val="20"/>
                <w:szCs w:val="20"/>
              </w:rPr>
            </w:pPr>
            <w:r w:rsidRPr="003C1364">
              <w:rPr>
                <w:noProof/>
                <w:sz w:val="20"/>
                <w:szCs w:val="20"/>
              </w:rPr>
              <w:t xml:space="preserve"> </w:t>
            </w:r>
            <w:r w:rsidR="00E206A9">
              <w:rPr>
                <w:noProof/>
                <w:sz w:val="20"/>
                <w:szCs w:val="20"/>
              </w:rPr>
              <w:t>25 161 510</w:t>
            </w:r>
            <w:r w:rsidRPr="003C1364">
              <w:rPr>
                <w:noProof/>
                <w:sz w:val="20"/>
                <w:szCs w:val="20"/>
              </w:rPr>
              <w:t xml:space="preserve"> </w:t>
            </w:r>
          </w:p>
        </w:tc>
        <w:tc>
          <w:tcPr>
            <w:tcW w:w="682" w:type="pct"/>
          </w:tcPr>
          <w:p w14:paraId="55DDE5A8" w14:textId="1FC40CB7" w:rsidR="00211FEA" w:rsidRPr="00640712" w:rsidRDefault="00ED2322">
            <w:pPr>
              <w:spacing w:after="0"/>
              <w:jc w:val="right"/>
              <w:rPr>
                <w:noProof/>
                <w:sz w:val="22"/>
                <w:szCs w:val="22"/>
                <w:lang w:val="en-IE" w:eastAsia="en-IE"/>
              </w:rPr>
            </w:pPr>
            <w:r>
              <w:rPr>
                <w:noProof/>
                <w:sz w:val="20"/>
                <w:szCs w:val="20"/>
              </w:rPr>
              <w:t>17 314 082</w:t>
            </w:r>
          </w:p>
        </w:tc>
        <w:tc>
          <w:tcPr>
            <w:tcW w:w="682" w:type="pct"/>
          </w:tcPr>
          <w:p w14:paraId="3CC02FA1" w14:textId="77777777" w:rsidR="00211FEA" w:rsidRPr="00FA63C0" w:rsidRDefault="00211FEA">
            <w:pPr>
              <w:spacing w:after="0"/>
              <w:jc w:val="right"/>
              <w:rPr>
                <w:noProof/>
                <w:sz w:val="20"/>
                <w:szCs w:val="20"/>
                <w:lang w:val="en-IE" w:eastAsia="en-IE"/>
              </w:rPr>
            </w:pPr>
          </w:p>
        </w:tc>
        <w:tc>
          <w:tcPr>
            <w:tcW w:w="682" w:type="pct"/>
            <w:noWrap/>
          </w:tcPr>
          <w:p w14:paraId="33F005E9" w14:textId="7E56F906" w:rsidR="00211FEA" w:rsidRPr="00640712" w:rsidRDefault="00CA7B6D">
            <w:pPr>
              <w:spacing w:after="0"/>
              <w:jc w:val="right"/>
              <w:rPr>
                <w:noProof/>
                <w:sz w:val="22"/>
                <w:szCs w:val="22"/>
              </w:rPr>
            </w:pPr>
            <w:r>
              <w:rPr>
                <w:noProof/>
                <w:sz w:val="20"/>
                <w:szCs w:val="20"/>
              </w:rPr>
              <w:t xml:space="preserve">42 475 </w:t>
            </w:r>
            <w:r w:rsidR="00F17A5A">
              <w:rPr>
                <w:noProof/>
                <w:sz w:val="20"/>
                <w:szCs w:val="20"/>
              </w:rPr>
              <w:t>592</w:t>
            </w:r>
          </w:p>
        </w:tc>
        <w:tc>
          <w:tcPr>
            <w:tcW w:w="682" w:type="pct"/>
            <w:noWrap/>
          </w:tcPr>
          <w:p w14:paraId="1A1F8DFE" w14:textId="2C9A088B" w:rsidR="00211FEA" w:rsidRPr="00640712" w:rsidRDefault="00211FEA">
            <w:pPr>
              <w:spacing w:after="0"/>
              <w:jc w:val="right"/>
              <w:rPr>
                <w:noProof/>
                <w:sz w:val="22"/>
                <w:szCs w:val="22"/>
              </w:rPr>
            </w:pPr>
            <w:r w:rsidRPr="005C37E6">
              <w:rPr>
                <w:noProof/>
                <w:sz w:val="20"/>
                <w:szCs w:val="20"/>
              </w:rPr>
              <w:t xml:space="preserve"> </w:t>
            </w:r>
            <w:r>
              <w:rPr>
                <w:noProof/>
                <w:sz w:val="20"/>
                <w:szCs w:val="20"/>
              </w:rPr>
              <w:t xml:space="preserve"> </w:t>
            </w:r>
            <w:r w:rsidR="00BB174D">
              <w:rPr>
                <w:noProof/>
                <w:sz w:val="20"/>
                <w:szCs w:val="20"/>
              </w:rPr>
              <w:t>25 383 464</w:t>
            </w:r>
            <w:r w:rsidRPr="00430121">
              <w:rPr>
                <w:noProof/>
                <w:sz w:val="20"/>
                <w:szCs w:val="20"/>
              </w:rPr>
              <w:t xml:space="preserve"> </w:t>
            </w:r>
          </w:p>
        </w:tc>
        <w:tc>
          <w:tcPr>
            <w:tcW w:w="684" w:type="pct"/>
            <w:noWrap/>
          </w:tcPr>
          <w:p w14:paraId="479714A7" w14:textId="77777777" w:rsidR="00211FEA" w:rsidRPr="00640712" w:rsidRDefault="00211FEA">
            <w:pPr>
              <w:spacing w:after="0"/>
              <w:jc w:val="right"/>
              <w:rPr>
                <w:noProof/>
                <w:sz w:val="22"/>
                <w:szCs w:val="22"/>
              </w:rPr>
            </w:pPr>
            <w:r w:rsidRPr="005C37E6">
              <w:rPr>
                <w:noProof/>
                <w:sz w:val="20"/>
                <w:szCs w:val="20"/>
              </w:rPr>
              <w:t xml:space="preserve"> 2</w:t>
            </w:r>
            <w:r>
              <w:rPr>
                <w:noProof/>
                <w:sz w:val="20"/>
                <w:szCs w:val="20"/>
              </w:rPr>
              <w:t xml:space="preserve"> </w:t>
            </w:r>
            <w:r w:rsidRPr="005C37E6">
              <w:rPr>
                <w:noProof/>
                <w:sz w:val="20"/>
                <w:szCs w:val="20"/>
              </w:rPr>
              <w:t>763</w:t>
            </w:r>
            <w:r>
              <w:rPr>
                <w:noProof/>
                <w:sz w:val="20"/>
                <w:szCs w:val="20"/>
              </w:rPr>
              <w:t xml:space="preserve"> </w:t>
            </w:r>
            <w:r w:rsidRPr="005C37E6">
              <w:rPr>
                <w:noProof/>
                <w:sz w:val="20"/>
                <w:szCs w:val="20"/>
              </w:rPr>
              <w:t>406</w:t>
            </w:r>
            <w:r>
              <w:rPr>
                <w:noProof/>
                <w:sz w:val="20"/>
                <w:szCs w:val="20"/>
              </w:rPr>
              <w:t xml:space="preserve"> </w:t>
            </w:r>
            <w:r w:rsidRPr="005C37E6">
              <w:rPr>
                <w:noProof/>
                <w:sz w:val="20"/>
                <w:szCs w:val="20"/>
              </w:rPr>
              <w:t xml:space="preserve">090 </w:t>
            </w:r>
          </w:p>
        </w:tc>
      </w:tr>
      <w:tr w:rsidR="00211FEA" w:rsidRPr="00397C78" w14:paraId="240D8A3C" w14:textId="77777777" w:rsidTr="00F95300">
        <w:trPr>
          <w:trHeight w:val="283"/>
        </w:trPr>
        <w:tc>
          <w:tcPr>
            <w:tcW w:w="905" w:type="pct"/>
            <w:noWrap/>
            <w:hideMark/>
          </w:tcPr>
          <w:p w14:paraId="40F8B2BF"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one-off adjustment</w:t>
            </w:r>
          </w:p>
        </w:tc>
        <w:tc>
          <w:tcPr>
            <w:tcW w:w="682" w:type="pct"/>
          </w:tcPr>
          <w:p w14:paraId="1FEE1C09" w14:textId="0E476936" w:rsidR="00211FEA" w:rsidRPr="00830841" w:rsidRDefault="00211FEA">
            <w:pPr>
              <w:spacing w:after="0"/>
              <w:jc w:val="right"/>
              <w:rPr>
                <w:noProof/>
                <w:sz w:val="20"/>
                <w:szCs w:val="20"/>
              </w:rPr>
            </w:pPr>
            <w:r w:rsidRPr="00832ABD">
              <w:rPr>
                <w:noProof/>
                <w:sz w:val="20"/>
                <w:szCs w:val="20"/>
              </w:rPr>
              <w:t xml:space="preserve"> </w:t>
            </w:r>
            <w:r w:rsidR="00E206A9">
              <w:rPr>
                <w:noProof/>
                <w:sz w:val="20"/>
                <w:szCs w:val="20"/>
              </w:rPr>
              <w:t>51 370 998</w:t>
            </w:r>
            <w:r w:rsidRPr="00832ABD">
              <w:rPr>
                <w:noProof/>
                <w:sz w:val="20"/>
                <w:szCs w:val="20"/>
              </w:rPr>
              <w:t xml:space="preserve"> </w:t>
            </w:r>
          </w:p>
        </w:tc>
        <w:tc>
          <w:tcPr>
            <w:tcW w:w="682" w:type="pct"/>
          </w:tcPr>
          <w:p w14:paraId="0CB64629" w14:textId="35C69FBF" w:rsidR="00211FEA" w:rsidRPr="00FA63C0" w:rsidRDefault="00ED2322">
            <w:pPr>
              <w:spacing w:after="0"/>
              <w:jc w:val="right"/>
              <w:rPr>
                <w:noProof/>
                <w:sz w:val="20"/>
                <w:szCs w:val="20"/>
                <w:lang w:val="en-IE" w:eastAsia="en-IE"/>
              </w:rPr>
            </w:pPr>
            <w:r>
              <w:rPr>
                <w:noProof/>
                <w:sz w:val="20"/>
                <w:szCs w:val="20"/>
              </w:rPr>
              <w:t>39 378 999</w:t>
            </w:r>
          </w:p>
        </w:tc>
        <w:tc>
          <w:tcPr>
            <w:tcW w:w="682" w:type="pct"/>
          </w:tcPr>
          <w:p w14:paraId="47AE51E9" w14:textId="77777777" w:rsidR="00211FEA" w:rsidRPr="00FA63C0" w:rsidRDefault="00211FEA">
            <w:pPr>
              <w:spacing w:after="0"/>
              <w:jc w:val="right"/>
              <w:rPr>
                <w:noProof/>
                <w:sz w:val="20"/>
                <w:szCs w:val="20"/>
                <w:lang w:val="en-IE" w:eastAsia="en-IE"/>
              </w:rPr>
            </w:pPr>
            <w:r w:rsidRPr="00FA63C0">
              <w:rPr>
                <w:noProof/>
                <w:sz w:val="20"/>
                <w:szCs w:val="20"/>
              </w:rPr>
              <w:t xml:space="preserve"> </w:t>
            </w:r>
            <w:r>
              <w:rPr>
                <w:noProof/>
                <w:sz w:val="20"/>
                <w:szCs w:val="20"/>
              </w:rPr>
              <w:t>693 692</w:t>
            </w:r>
            <w:r w:rsidRPr="00FA63C0">
              <w:rPr>
                <w:noProof/>
                <w:sz w:val="20"/>
                <w:szCs w:val="20"/>
              </w:rPr>
              <w:t xml:space="preserve">   </w:t>
            </w:r>
          </w:p>
        </w:tc>
        <w:tc>
          <w:tcPr>
            <w:tcW w:w="682" w:type="pct"/>
            <w:noWrap/>
          </w:tcPr>
          <w:p w14:paraId="05892845" w14:textId="36035ED4" w:rsidR="00211FEA" w:rsidRPr="00640712" w:rsidRDefault="00F17A5A">
            <w:pPr>
              <w:spacing w:after="0"/>
              <w:jc w:val="right"/>
              <w:rPr>
                <w:noProof/>
                <w:sz w:val="22"/>
                <w:szCs w:val="22"/>
              </w:rPr>
            </w:pPr>
            <w:r>
              <w:rPr>
                <w:noProof/>
                <w:sz w:val="20"/>
                <w:szCs w:val="20"/>
              </w:rPr>
              <w:t>91 443 689</w:t>
            </w:r>
            <w:r w:rsidR="00211FEA" w:rsidRPr="00FA63C0">
              <w:rPr>
                <w:noProof/>
                <w:sz w:val="20"/>
                <w:szCs w:val="20"/>
              </w:rPr>
              <w:t xml:space="preserve">   </w:t>
            </w:r>
          </w:p>
        </w:tc>
        <w:tc>
          <w:tcPr>
            <w:tcW w:w="682" w:type="pct"/>
            <w:noWrap/>
          </w:tcPr>
          <w:p w14:paraId="79DAA39F" w14:textId="383A605C" w:rsidR="00211FEA" w:rsidRPr="00640712" w:rsidRDefault="00BB174D">
            <w:pPr>
              <w:spacing w:after="0"/>
              <w:jc w:val="right"/>
              <w:rPr>
                <w:noProof/>
                <w:sz w:val="22"/>
                <w:szCs w:val="22"/>
              </w:rPr>
            </w:pPr>
            <w:r>
              <w:rPr>
                <w:noProof/>
                <w:sz w:val="20"/>
                <w:szCs w:val="20"/>
              </w:rPr>
              <w:t>59 940 678</w:t>
            </w:r>
            <w:r w:rsidR="00211FEA" w:rsidRPr="00430121">
              <w:rPr>
                <w:noProof/>
                <w:sz w:val="20"/>
                <w:szCs w:val="20"/>
              </w:rPr>
              <w:t xml:space="preserve"> </w:t>
            </w:r>
          </w:p>
        </w:tc>
        <w:tc>
          <w:tcPr>
            <w:tcW w:w="684" w:type="pct"/>
            <w:noWrap/>
          </w:tcPr>
          <w:p w14:paraId="53C412AE" w14:textId="77777777" w:rsidR="00211FEA" w:rsidRPr="00640712" w:rsidRDefault="00211FEA">
            <w:pPr>
              <w:spacing w:after="0"/>
              <w:jc w:val="right"/>
              <w:rPr>
                <w:noProof/>
                <w:sz w:val="22"/>
                <w:szCs w:val="22"/>
              </w:rPr>
            </w:pPr>
            <w:r w:rsidRPr="00430121">
              <w:rPr>
                <w:noProof/>
                <w:sz w:val="20"/>
                <w:szCs w:val="20"/>
              </w:rPr>
              <w:t xml:space="preserve"> </w:t>
            </w:r>
            <w:r>
              <w:rPr>
                <w:noProof/>
                <w:sz w:val="20"/>
                <w:szCs w:val="20"/>
              </w:rPr>
              <w:t xml:space="preserve"> </w:t>
            </w:r>
            <w:r w:rsidRPr="00430121">
              <w:rPr>
                <w:noProof/>
                <w:sz w:val="20"/>
                <w:szCs w:val="20"/>
              </w:rPr>
              <w:t>247</w:t>
            </w:r>
            <w:r>
              <w:rPr>
                <w:noProof/>
                <w:sz w:val="20"/>
                <w:szCs w:val="20"/>
              </w:rPr>
              <w:t xml:space="preserve"> </w:t>
            </w:r>
            <w:r w:rsidRPr="00430121">
              <w:rPr>
                <w:noProof/>
                <w:sz w:val="20"/>
                <w:szCs w:val="20"/>
              </w:rPr>
              <w:t>443</w:t>
            </w:r>
            <w:r>
              <w:rPr>
                <w:noProof/>
                <w:sz w:val="20"/>
                <w:szCs w:val="20"/>
              </w:rPr>
              <w:t xml:space="preserve"> </w:t>
            </w:r>
            <w:r w:rsidRPr="00430121">
              <w:rPr>
                <w:noProof/>
                <w:sz w:val="20"/>
                <w:szCs w:val="20"/>
              </w:rPr>
              <w:t xml:space="preserve">239 </w:t>
            </w:r>
          </w:p>
        </w:tc>
      </w:tr>
      <w:tr w:rsidR="00211FEA" w:rsidRPr="00397C78" w14:paraId="4A6067D8" w14:textId="77777777" w:rsidTr="00F95300">
        <w:trPr>
          <w:trHeight w:val="283"/>
        </w:trPr>
        <w:tc>
          <w:tcPr>
            <w:tcW w:w="905" w:type="pct"/>
            <w:noWrap/>
            <w:hideMark/>
          </w:tcPr>
          <w:p w14:paraId="367CDE4A"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recurrent adjustment</w:t>
            </w:r>
          </w:p>
        </w:tc>
        <w:tc>
          <w:tcPr>
            <w:tcW w:w="682" w:type="pct"/>
          </w:tcPr>
          <w:p w14:paraId="6F688317"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tcPr>
          <w:p w14:paraId="1779EAC4" w14:textId="20933917" w:rsidR="00211FEA" w:rsidRPr="00FA63C0" w:rsidRDefault="00211FEA">
            <w:pPr>
              <w:spacing w:after="0"/>
              <w:jc w:val="right"/>
              <w:rPr>
                <w:noProof/>
                <w:sz w:val="20"/>
                <w:szCs w:val="20"/>
                <w:lang w:val="en-IE" w:eastAsia="en-IE"/>
              </w:rPr>
            </w:pPr>
            <w:r w:rsidRPr="003B3F5E">
              <w:rPr>
                <w:noProof/>
                <w:sz w:val="20"/>
                <w:szCs w:val="20"/>
              </w:rPr>
              <w:t xml:space="preserve"> </w:t>
            </w:r>
            <w:r w:rsidR="00ED2322">
              <w:rPr>
                <w:noProof/>
                <w:sz w:val="20"/>
                <w:szCs w:val="20"/>
              </w:rPr>
              <w:t>-</w:t>
            </w:r>
          </w:p>
        </w:tc>
        <w:tc>
          <w:tcPr>
            <w:tcW w:w="682" w:type="pct"/>
          </w:tcPr>
          <w:p w14:paraId="3B3019C6" w14:textId="4A26EE32" w:rsidR="00211FEA" w:rsidRPr="00FA63C0" w:rsidRDefault="00211FEA">
            <w:pPr>
              <w:spacing w:after="0"/>
              <w:jc w:val="right"/>
              <w:rPr>
                <w:noProof/>
                <w:sz w:val="20"/>
                <w:szCs w:val="20"/>
                <w:lang w:val="en-IE" w:eastAsia="en-IE"/>
              </w:rPr>
            </w:pPr>
            <w:r w:rsidRPr="00FA63C0">
              <w:rPr>
                <w:noProof/>
                <w:sz w:val="20"/>
                <w:szCs w:val="20"/>
              </w:rPr>
              <w:t xml:space="preserve"> </w:t>
            </w:r>
            <w:r w:rsidR="00D06035">
              <w:rPr>
                <w:noProof/>
                <w:sz w:val="20"/>
                <w:szCs w:val="20"/>
              </w:rPr>
              <w:t>2 117 274</w:t>
            </w:r>
            <w:r w:rsidRPr="00FA63C0">
              <w:rPr>
                <w:noProof/>
                <w:sz w:val="20"/>
                <w:szCs w:val="20"/>
              </w:rPr>
              <w:t xml:space="preserve">   </w:t>
            </w:r>
          </w:p>
        </w:tc>
        <w:tc>
          <w:tcPr>
            <w:tcW w:w="682" w:type="pct"/>
            <w:noWrap/>
          </w:tcPr>
          <w:p w14:paraId="3F59A017" w14:textId="213659A2" w:rsidR="00211FEA" w:rsidRPr="00464CEA" w:rsidRDefault="00211FEA">
            <w:pPr>
              <w:spacing w:after="0"/>
              <w:jc w:val="right"/>
              <w:rPr>
                <w:noProof/>
                <w:sz w:val="20"/>
                <w:szCs w:val="20"/>
                <w:lang w:val="en-IE" w:eastAsia="en-IE"/>
              </w:rPr>
            </w:pPr>
            <w:r w:rsidRPr="00430121">
              <w:rPr>
                <w:noProof/>
                <w:sz w:val="20"/>
                <w:szCs w:val="20"/>
              </w:rPr>
              <w:t xml:space="preserve"> </w:t>
            </w:r>
            <w:r w:rsidR="00F17A5A">
              <w:rPr>
                <w:noProof/>
                <w:sz w:val="20"/>
                <w:szCs w:val="20"/>
              </w:rPr>
              <w:t>2 117 274</w:t>
            </w:r>
            <w:r w:rsidRPr="00430121">
              <w:rPr>
                <w:noProof/>
                <w:sz w:val="20"/>
                <w:szCs w:val="20"/>
              </w:rPr>
              <w:t xml:space="preserve"> </w:t>
            </w:r>
          </w:p>
        </w:tc>
        <w:tc>
          <w:tcPr>
            <w:tcW w:w="682" w:type="pct"/>
            <w:noWrap/>
          </w:tcPr>
          <w:p w14:paraId="6C5F600E" w14:textId="6D234217" w:rsidR="00211FEA" w:rsidRPr="00464CEA" w:rsidRDefault="00211FEA">
            <w:pPr>
              <w:spacing w:after="0"/>
              <w:jc w:val="right"/>
              <w:rPr>
                <w:noProof/>
                <w:sz w:val="20"/>
                <w:szCs w:val="20"/>
                <w:lang w:val="en-IE" w:eastAsia="en-IE"/>
              </w:rPr>
            </w:pPr>
            <w:r w:rsidRPr="00430121">
              <w:rPr>
                <w:noProof/>
                <w:sz w:val="20"/>
                <w:szCs w:val="20"/>
              </w:rPr>
              <w:t xml:space="preserve"> </w:t>
            </w:r>
            <w:r>
              <w:rPr>
                <w:noProof/>
                <w:sz w:val="20"/>
                <w:szCs w:val="20"/>
              </w:rPr>
              <w:t xml:space="preserve"> </w:t>
            </w:r>
            <w:r w:rsidR="00BB174D">
              <w:rPr>
                <w:noProof/>
                <w:sz w:val="20"/>
                <w:szCs w:val="20"/>
              </w:rPr>
              <w:t>2 117 274</w:t>
            </w:r>
            <w:r w:rsidRPr="00430121">
              <w:rPr>
                <w:noProof/>
                <w:sz w:val="20"/>
                <w:szCs w:val="20"/>
              </w:rPr>
              <w:t xml:space="preserve"> </w:t>
            </w:r>
          </w:p>
        </w:tc>
        <w:tc>
          <w:tcPr>
            <w:tcW w:w="684" w:type="pct"/>
            <w:noWrap/>
          </w:tcPr>
          <w:p w14:paraId="21F4E0CA" w14:textId="77777777" w:rsidR="00211FEA" w:rsidRPr="00464CEA" w:rsidRDefault="00211FEA">
            <w:pPr>
              <w:spacing w:after="0"/>
              <w:jc w:val="right"/>
              <w:rPr>
                <w:noProof/>
                <w:sz w:val="20"/>
                <w:szCs w:val="20"/>
                <w:lang w:val="en-IE" w:eastAsia="en-IE"/>
              </w:rPr>
            </w:pPr>
            <w:r w:rsidRPr="00430121">
              <w:rPr>
                <w:noProof/>
                <w:sz w:val="20"/>
                <w:szCs w:val="20"/>
              </w:rPr>
              <w:t xml:space="preserve"> 44</w:t>
            </w:r>
            <w:r>
              <w:rPr>
                <w:noProof/>
                <w:sz w:val="20"/>
                <w:szCs w:val="20"/>
              </w:rPr>
              <w:t xml:space="preserve"> </w:t>
            </w:r>
            <w:r w:rsidRPr="00430121">
              <w:rPr>
                <w:noProof/>
                <w:sz w:val="20"/>
                <w:szCs w:val="20"/>
              </w:rPr>
              <w:t>128</w:t>
            </w:r>
            <w:r>
              <w:rPr>
                <w:noProof/>
                <w:sz w:val="20"/>
                <w:szCs w:val="20"/>
              </w:rPr>
              <w:t xml:space="preserve"> </w:t>
            </w:r>
            <w:r w:rsidRPr="00430121">
              <w:rPr>
                <w:noProof/>
                <w:sz w:val="20"/>
                <w:szCs w:val="20"/>
              </w:rPr>
              <w:t xml:space="preserve">193 </w:t>
            </w:r>
          </w:p>
        </w:tc>
      </w:tr>
      <w:tr w:rsidR="00F95300" w:rsidRPr="000A7265" w14:paraId="47587B25" w14:textId="77777777" w:rsidTr="00F95300">
        <w:trPr>
          <w:trHeight w:val="283"/>
        </w:trPr>
        <w:tc>
          <w:tcPr>
            <w:tcW w:w="905" w:type="pct"/>
            <w:noWrap/>
            <w:hideMark/>
          </w:tcPr>
          <w:p w14:paraId="6F7CA7BA" w14:textId="77777777" w:rsidR="00F95300" w:rsidRPr="00FA63C0" w:rsidRDefault="00F95300" w:rsidP="00F95300">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682" w:type="pct"/>
          </w:tcPr>
          <w:p w14:paraId="1C3B77BE" w14:textId="2F1A6385" w:rsidR="00F95300" w:rsidRPr="00FA63C0" w:rsidRDefault="00E206A9" w:rsidP="00F95300">
            <w:pPr>
              <w:spacing w:after="0"/>
              <w:jc w:val="right"/>
              <w:rPr>
                <w:noProof/>
                <w:sz w:val="20"/>
                <w:szCs w:val="20"/>
                <w:lang w:val="en-IE" w:eastAsia="en-IE"/>
              </w:rPr>
            </w:pPr>
            <w:r>
              <w:rPr>
                <w:noProof/>
                <w:sz w:val="20"/>
                <w:szCs w:val="20"/>
              </w:rPr>
              <w:t>773 977</w:t>
            </w:r>
            <w:r w:rsidR="00F95300" w:rsidRPr="00FA63C0">
              <w:rPr>
                <w:noProof/>
                <w:sz w:val="20"/>
                <w:szCs w:val="20"/>
              </w:rPr>
              <w:t xml:space="preserve">   </w:t>
            </w:r>
          </w:p>
        </w:tc>
        <w:tc>
          <w:tcPr>
            <w:tcW w:w="682" w:type="pct"/>
          </w:tcPr>
          <w:p w14:paraId="306D8087" w14:textId="77777777" w:rsidR="00F95300" w:rsidRPr="00FA63C0" w:rsidRDefault="00F95300" w:rsidP="00F95300">
            <w:pPr>
              <w:spacing w:after="0"/>
              <w:jc w:val="right"/>
              <w:rPr>
                <w:noProof/>
                <w:sz w:val="20"/>
                <w:szCs w:val="20"/>
                <w:lang w:val="en-IE" w:eastAsia="en-IE"/>
              </w:rPr>
            </w:pPr>
            <w:r w:rsidRPr="00FA63C0">
              <w:rPr>
                <w:noProof/>
                <w:sz w:val="20"/>
                <w:szCs w:val="20"/>
              </w:rPr>
              <w:t xml:space="preserve">-   </w:t>
            </w:r>
          </w:p>
        </w:tc>
        <w:tc>
          <w:tcPr>
            <w:tcW w:w="682" w:type="pct"/>
          </w:tcPr>
          <w:p w14:paraId="73E87FF9" w14:textId="77777777" w:rsidR="00F95300" w:rsidRPr="00FA63C0" w:rsidRDefault="00F95300" w:rsidP="00F95300">
            <w:pPr>
              <w:spacing w:after="0"/>
              <w:jc w:val="right"/>
              <w:rPr>
                <w:noProof/>
                <w:sz w:val="20"/>
                <w:szCs w:val="20"/>
                <w:lang w:val="en-IE" w:eastAsia="en-IE"/>
              </w:rPr>
            </w:pPr>
            <w:r w:rsidRPr="00FA63C0">
              <w:rPr>
                <w:noProof/>
                <w:sz w:val="20"/>
                <w:szCs w:val="20"/>
              </w:rPr>
              <w:t xml:space="preserve"> -   </w:t>
            </w:r>
          </w:p>
        </w:tc>
        <w:tc>
          <w:tcPr>
            <w:tcW w:w="682" w:type="pct"/>
            <w:noWrap/>
          </w:tcPr>
          <w:p w14:paraId="398277DB" w14:textId="02062919"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773 977</w:t>
            </w:r>
            <w:r w:rsidRPr="00430121">
              <w:rPr>
                <w:noProof/>
                <w:sz w:val="20"/>
                <w:szCs w:val="20"/>
              </w:rPr>
              <w:t xml:space="preserve"> </w:t>
            </w:r>
          </w:p>
        </w:tc>
        <w:tc>
          <w:tcPr>
            <w:tcW w:w="682" w:type="pct"/>
            <w:noWrap/>
          </w:tcPr>
          <w:p w14:paraId="5D3CE4E6" w14:textId="01D26A33"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773 977</w:t>
            </w:r>
            <w:r w:rsidRPr="00430121">
              <w:rPr>
                <w:noProof/>
                <w:sz w:val="20"/>
                <w:szCs w:val="20"/>
              </w:rPr>
              <w:t xml:space="preserve"> </w:t>
            </w:r>
          </w:p>
        </w:tc>
        <w:tc>
          <w:tcPr>
            <w:tcW w:w="684" w:type="pct"/>
            <w:noWrap/>
          </w:tcPr>
          <w:p w14:paraId="04262B51" w14:textId="0DEE9C59"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773 977</w:t>
            </w:r>
            <w:r w:rsidRPr="00430121">
              <w:rPr>
                <w:noProof/>
                <w:sz w:val="20"/>
                <w:szCs w:val="20"/>
              </w:rPr>
              <w:t xml:space="preserve"> </w:t>
            </w:r>
          </w:p>
        </w:tc>
      </w:tr>
      <w:tr w:rsidR="00F95300" w:rsidRPr="000A7265" w14:paraId="0FE08880" w14:textId="77777777" w:rsidTr="00F95300">
        <w:trPr>
          <w:trHeight w:val="283"/>
        </w:trPr>
        <w:tc>
          <w:tcPr>
            <w:tcW w:w="905" w:type="pct"/>
            <w:noWrap/>
            <w:hideMark/>
          </w:tcPr>
          <w:p w14:paraId="2879278A" w14:textId="77777777" w:rsidR="00F95300" w:rsidRPr="00FA63C0" w:rsidRDefault="00F95300" w:rsidP="00F95300">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682" w:type="pct"/>
          </w:tcPr>
          <w:p w14:paraId="4AEE9E97" w14:textId="763E6ABF" w:rsidR="00F95300" w:rsidRPr="00FA63C0" w:rsidRDefault="00E206A9" w:rsidP="00F95300">
            <w:pPr>
              <w:spacing w:after="0"/>
              <w:jc w:val="right"/>
              <w:rPr>
                <w:noProof/>
                <w:sz w:val="20"/>
                <w:szCs w:val="20"/>
                <w:lang w:val="en-IE" w:eastAsia="en-IE"/>
              </w:rPr>
            </w:pPr>
            <w:r>
              <w:rPr>
                <w:noProof/>
                <w:sz w:val="20"/>
                <w:szCs w:val="20"/>
              </w:rPr>
              <w:t>1 047 966</w:t>
            </w:r>
          </w:p>
        </w:tc>
        <w:tc>
          <w:tcPr>
            <w:tcW w:w="682" w:type="pct"/>
          </w:tcPr>
          <w:p w14:paraId="3F46EF4E" w14:textId="77777777" w:rsidR="00F95300" w:rsidRPr="00FA63C0" w:rsidRDefault="00F95300" w:rsidP="00F95300">
            <w:pPr>
              <w:spacing w:after="0"/>
              <w:jc w:val="right"/>
              <w:rPr>
                <w:noProof/>
                <w:sz w:val="20"/>
                <w:szCs w:val="20"/>
                <w:lang w:val="en-IE" w:eastAsia="en-IE"/>
              </w:rPr>
            </w:pPr>
            <w:r w:rsidRPr="00FA63C0">
              <w:rPr>
                <w:noProof/>
                <w:sz w:val="20"/>
                <w:szCs w:val="20"/>
              </w:rPr>
              <w:t xml:space="preserve">-   </w:t>
            </w:r>
          </w:p>
        </w:tc>
        <w:tc>
          <w:tcPr>
            <w:tcW w:w="682" w:type="pct"/>
          </w:tcPr>
          <w:p w14:paraId="1F57651F" w14:textId="77777777" w:rsidR="00F95300" w:rsidRPr="00FA63C0" w:rsidRDefault="00F95300" w:rsidP="00F95300">
            <w:pPr>
              <w:spacing w:after="0"/>
              <w:jc w:val="right"/>
              <w:rPr>
                <w:noProof/>
                <w:sz w:val="20"/>
                <w:szCs w:val="20"/>
                <w:lang w:val="en-IE" w:eastAsia="en-IE"/>
              </w:rPr>
            </w:pPr>
            <w:r w:rsidRPr="00FA63C0">
              <w:rPr>
                <w:noProof/>
                <w:sz w:val="20"/>
                <w:szCs w:val="20"/>
              </w:rPr>
              <w:t xml:space="preserve"> -   </w:t>
            </w:r>
          </w:p>
        </w:tc>
        <w:tc>
          <w:tcPr>
            <w:tcW w:w="682" w:type="pct"/>
            <w:noWrap/>
          </w:tcPr>
          <w:p w14:paraId="76CF0B4F" w14:textId="008425F2"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1 047 966</w:t>
            </w:r>
            <w:r w:rsidRPr="00430121">
              <w:rPr>
                <w:noProof/>
                <w:sz w:val="20"/>
                <w:szCs w:val="20"/>
              </w:rPr>
              <w:t xml:space="preserve"> </w:t>
            </w:r>
          </w:p>
        </w:tc>
        <w:tc>
          <w:tcPr>
            <w:tcW w:w="682" w:type="pct"/>
            <w:noWrap/>
          </w:tcPr>
          <w:p w14:paraId="7FF1C69D" w14:textId="525CF105"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1 047 966</w:t>
            </w:r>
            <w:r w:rsidRPr="00430121">
              <w:rPr>
                <w:noProof/>
                <w:sz w:val="20"/>
                <w:szCs w:val="20"/>
              </w:rPr>
              <w:t xml:space="preserve"> </w:t>
            </w:r>
          </w:p>
        </w:tc>
        <w:tc>
          <w:tcPr>
            <w:tcW w:w="684" w:type="pct"/>
            <w:noWrap/>
          </w:tcPr>
          <w:p w14:paraId="795D6B0B" w14:textId="4F9B0AF0" w:rsidR="00F95300" w:rsidRPr="00464CEA" w:rsidRDefault="00F95300" w:rsidP="00F95300">
            <w:pPr>
              <w:spacing w:after="0"/>
              <w:jc w:val="right"/>
              <w:rPr>
                <w:noProof/>
                <w:sz w:val="20"/>
                <w:szCs w:val="20"/>
                <w:lang w:val="en-IE" w:eastAsia="en-IE"/>
              </w:rPr>
            </w:pPr>
            <w:r w:rsidRPr="00430121">
              <w:rPr>
                <w:noProof/>
                <w:sz w:val="20"/>
                <w:szCs w:val="20"/>
              </w:rPr>
              <w:t xml:space="preserve"> </w:t>
            </w:r>
            <w:r>
              <w:rPr>
                <w:noProof/>
                <w:sz w:val="20"/>
                <w:szCs w:val="20"/>
              </w:rPr>
              <w:t>1 047 966</w:t>
            </w:r>
            <w:r w:rsidRPr="00430121">
              <w:rPr>
                <w:noProof/>
                <w:sz w:val="20"/>
                <w:szCs w:val="20"/>
              </w:rPr>
              <w:t xml:space="preserve"> </w:t>
            </w:r>
          </w:p>
        </w:tc>
      </w:tr>
      <w:tr w:rsidR="00211FEA" w:rsidRPr="000A7265" w14:paraId="5163BD9A" w14:textId="77777777" w:rsidTr="00F95300">
        <w:trPr>
          <w:trHeight w:val="283"/>
        </w:trPr>
        <w:tc>
          <w:tcPr>
            <w:tcW w:w="905" w:type="pct"/>
            <w:noWrap/>
            <w:hideMark/>
          </w:tcPr>
          <w:p w14:paraId="33E14196"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682" w:type="pct"/>
          </w:tcPr>
          <w:p w14:paraId="639DDBFA"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tcPr>
          <w:p w14:paraId="3A0CE069" w14:textId="77777777" w:rsidR="00211FEA" w:rsidRPr="00FA63C0" w:rsidRDefault="00211FEA">
            <w:pPr>
              <w:spacing w:after="0"/>
              <w:jc w:val="right"/>
              <w:rPr>
                <w:noProof/>
                <w:sz w:val="20"/>
                <w:szCs w:val="20"/>
                <w:lang w:val="en-IE" w:eastAsia="en-IE"/>
              </w:rPr>
            </w:pPr>
            <w:r w:rsidRPr="00FA63C0">
              <w:rPr>
                <w:noProof/>
                <w:sz w:val="20"/>
                <w:szCs w:val="20"/>
              </w:rPr>
              <w:t xml:space="preserve">-   </w:t>
            </w:r>
          </w:p>
        </w:tc>
        <w:tc>
          <w:tcPr>
            <w:tcW w:w="682" w:type="pct"/>
          </w:tcPr>
          <w:p w14:paraId="1B09E6C7"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noWrap/>
          </w:tcPr>
          <w:p w14:paraId="65E71078" w14:textId="77777777" w:rsidR="00211FEA" w:rsidRPr="00464CEA" w:rsidRDefault="00211FEA">
            <w:pPr>
              <w:spacing w:after="0"/>
              <w:jc w:val="right"/>
              <w:rPr>
                <w:noProof/>
                <w:sz w:val="20"/>
                <w:szCs w:val="20"/>
                <w:lang w:val="en-IE" w:eastAsia="en-IE"/>
              </w:rPr>
            </w:pPr>
            <w:r w:rsidRPr="008D5236">
              <w:rPr>
                <w:noProof/>
                <w:sz w:val="20"/>
                <w:szCs w:val="20"/>
              </w:rPr>
              <w:t xml:space="preserve"> -   </w:t>
            </w:r>
          </w:p>
        </w:tc>
        <w:tc>
          <w:tcPr>
            <w:tcW w:w="682" w:type="pct"/>
            <w:noWrap/>
          </w:tcPr>
          <w:p w14:paraId="6C6FC3ED" w14:textId="77777777" w:rsidR="00211FEA" w:rsidRPr="00464CEA" w:rsidRDefault="00211FEA">
            <w:pPr>
              <w:spacing w:after="0"/>
              <w:jc w:val="right"/>
              <w:rPr>
                <w:noProof/>
                <w:sz w:val="20"/>
                <w:szCs w:val="20"/>
                <w:lang w:val="en-IE" w:eastAsia="en-IE"/>
              </w:rPr>
            </w:pPr>
            <w:r w:rsidRPr="008D5236">
              <w:rPr>
                <w:noProof/>
                <w:sz w:val="20"/>
                <w:szCs w:val="20"/>
              </w:rPr>
              <w:t xml:space="preserve">-   </w:t>
            </w:r>
          </w:p>
        </w:tc>
        <w:tc>
          <w:tcPr>
            <w:tcW w:w="684" w:type="pct"/>
            <w:noWrap/>
          </w:tcPr>
          <w:p w14:paraId="16BC505D" w14:textId="77777777" w:rsidR="00211FEA" w:rsidRPr="00464CEA" w:rsidRDefault="00211FEA">
            <w:pPr>
              <w:spacing w:after="0"/>
              <w:jc w:val="right"/>
              <w:rPr>
                <w:noProof/>
                <w:sz w:val="20"/>
                <w:szCs w:val="20"/>
                <w:lang w:val="en-IE" w:eastAsia="en-IE"/>
              </w:rPr>
            </w:pPr>
            <w:r w:rsidRPr="008D5236">
              <w:rPr>
                <w:noProof/>
                <w:sz w:val="20"/>
                <w:szCs w:val="20"/>
              </w:rPr>
              <w:t xml:space="preserve"> -   </w:t>
            </w:r>
          </w:p>
        </w:tc>
      </w:tr>
      <w:tr w:rsidR="00211FEA" w:rsidRPr="00A53ED9" w14:paraId="1D5CCCFA" w14:textId="77777777" w:rsidTr="00F95300">
        <w:trPr>
          <w:trHeight w:val="283"/>
        </w:trPr>
        <w:tc>
          <w:tcPr>
            <w:tcW w:w="905" w:type="pct"/>
            <w:noWrap/>
            <w:hideMark/>
          </w:tcPr>
          <w:p w14:paraId="7A6D9129" w14:textId="77777777" w:rsidR="00211FEA" w:rsidRPr="00FA63C0" w:rsidRDefault="00211FEA">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682" w:type="pct"/>
          </w:tcPr>
          <w:p w14:paraId="5866D864"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tcPr>
          <w:p w14:paraId="7C884FF6" w14:textId="77777777" w:rsidR="00211FEA" w:rsidRPr="00FA63C0" w:rsidRDefault="00211FEA">
            <w:pPr>
              <w:spacing w:after="0"/>
              <w:jc w:val="right"/>
              <w:rPr>
                <w:noProof/>
                <w:sz w:val="20"/>
                <w:szCs w:val="20"/>
                <w:lang w:val="en-IE" w:eastAsia="en-IE"/>
              </w:rPr>
            </w:pPr>
            <w:r w:rsidRPr="00FA63C0">
              <w:rPr>
                <w:noProof/>
                <w:sz w:val="20"/>
                <w:szCs w:val="20"/>
              </w:rPr>
              <w:t xml:space="preserve">-   </w:t>
            </w:r>
          </w:p>
        </w:tc>
        <w:tc>
          <w:tcPr>
            <w:tcW w:w="682" w:type="pct"/>
          </w:tcPr>
          <w:p w14:paraId="14709631" w14:textId="77777777" w:rsidR="00211FEA" w:rsidRPr="00FA63C0" w:rsidRDefault="00211FEA">
            <w:pPr>
              <w:spacing w:after="0"/>
              <w:jc w:val="right"/>
              <w:rPr>
                <w:noProof/>
                <w:sz w:val="20"/>
                <w:szCs w:val="20"/>
                <w:lang w:val="en-IE" w:eastAsia="en-IE"/>
              </w:rPr>
            </w:pPr>
            <w:r w:rsidRPr="00FA63C0">
              <w:rPr>
                <w:noProof/>
                <w:sz w:val="20"/>
                <w:szCs w:val="20"/>
              </w:rPr>
              <w:t xml:space="preserve"> -   </w:t>
            </w:r>
          </w:p>
        </w:tc>
        <w:tc>
          <w:tcPr>
            <w:tcW w:w="682" w:type="pct"/>
            <w:noWrap/>
          </w:tcPr>
          <w:p w14:paraId="3E3E9929" w14:textId="77777777" w:rsidR="00211FEA" w:rsidRPr="00A1021A" w:rsidRDefault="00211FEA">
            <w:pPr>
              <w:spacing w:after="0"/>
              <w:jc w:val="right"/>
              <w:rPr>
                <w:noProof/>
                <w:sz w:val="20"/>
                <w:szCs w:val="20"/>
                <w:lang w:val="en-IE" w:eastAsia="en-IE"/>
              </w:rPr>
            </w:pPr>
            <w:r w:rsidRPr="00FA63C0">
              <w:rPr>
                <w:noProof/>
                <w:sz w:val="20"/>
                <w:szCs w:val="20"/>
              </w:rPr>
              <w:t xml:space="preserve"> -   </w:t>
            </w:r>
          </w:p>
        </w:tc>
        <w:tc>
          <w:tcPr>
            <w:tcW w:w="682" w:type="pct"/>
            <w:noWrap/>
          </w:tcPr>
          <w:p w14:paraId="02869F0D" w14:textId="77777777" w:rsidR="00211FEA" w:rsidRPr="00A1021A" w:rsidRDefault="00211FEA">
            <w:pPr>
              <w:spacing w:after="0"/>
              <w:jc w:val="right"/>
              <w:rPr>
                <w:noProof/>
                <w:sz w:val="20"/>
                <w:szCs w:val="20"/>
                <w:lang w:val="en-IE" w:eastAsia="en-IE"/>
              </w:rPr>
            </w:pPr>
            <w:r w:rsidRPr="008D5236">
              <w:rPr>
                <w:noProof/>
                <w:sz w:val="20"/>
                <w:szCs w:val="20"/>
              </w:rPr>
              <w:t xml:space="preserve"> -   </w:t>
            </w:r>
          </w:p>
        </w:tc>
        <w:tc>
          <w:tcPr>
            <w:tcW w:w="684" w:type="pct"/>
            <w:noWrap/>
          </w:tcPr>
          <w:p w14:paraId="01907172" w14:textId="77777777" w:rsidR="00211FEA" w:rsidRPr="00A1021A" w:rsidRDefault="00211FEA">
            <w:pPr>
              <w:spacing w:after="0"/>
              <w:jc w:val="right"/>
              <w:rPr>
                <w:noProof/>
                <w:sz w:val="20"/>
                <w:szCs w:val="20"/>
                <w:lang w:val="en-IE" w:eastAsia="en-IE"/>
              </w:rPr>
            </w:pPr>
            <w:r w:rsidRPr="008D5236">
              <w:rPr>
                <w:noProof/>
                <w:sz w:val="20"/>
                <w:szCs w:val="20"/>
              </w:rPr>
              <w:t xml:space="preserve">-   </w:t>
            </w:r>
          </w:p>
        </w:tc>
      </w:tr>
      <w:tr w:rsidR="00211FEA" w:rsidRPr="00397C78" w14:paraId="65618B67" w14:textId="77777777" w:rsidTr="005B26D9">
        <w:trPr>
          <w:trHeight w:val="283"/>
        </w:trPr>
        <w:tc>
          <w:tcPr>
            <w:tcW w:w="905" w:type="pct"/>
            <w:shd w:val="clear" w:color="auto" w:fill="F2DBDB" w:themeFill="accent2" w:themeFillTint="33"/>
            <w:noWrap/>
            <w:hideMark/>
          </w:tcPr>
          <w:p w14:paraId="0C3063E4" w14:textId="77777777" w:rsidR="00211FEA" w:rsidRPr="00FA63C0" w:rsidRDefault="00211FEA">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682" w:type="pct"/>
            <w:shd w:val="clear" w:color="auto" w:fill="F2DBDB" w:themeFill="accent2" w:themeFillTint="33"/>
          </w:tcPr>
          <w:p w14:paraId="3774D6B1" w14:textId="5407CF73" w:rsidR="00211FEA" w:rsidRPr="00830841" w:rsidRDefault="00211FEA">
            <w:pPr>
              <w:spacing w:after="0"/>
              <w:jc w:val="right"/>
              <w:rPr>
                <w:noProof/>
                <w:sz w:val="20"/>
                <w:szCs w:val="20"/>
                <w:lang w:val="en-IE" w:eastAsia="en-IE"/>
              </w:rPr>
            </w:pPr>
            <w:r>
              <w:rPr>
                <w:noProof/>
                <w:sz w:val="20"/>
                <w:szCs w:val="20"/>
                <w:lang w:val="en-IE" w:eastAsia="en-IE"/>
              </w:rPr>
              <w:t xml:space="preserve"> </w:t>
            </w:r>
            <w:r w:rsidR="00C93F29">
              <w:rPr>
                <w:noProof/>
                <w:sz w:val="20"/>
                <w:szCs w:val="20"/>
                <w:lang w:val="en-IE" w:eastAsia="en-IE"/>
              </w:rPr>
              <w:t>78 354 450</w:t>
            </w:r>
          </w:p>
        </w:tc>
        <w:tc>
          <w:tcPr>
            <w:tcW w:w="682" w:type="pct"/>
            <w:shd w:val="clear" w:color="auto" w:fill="F2DBDB" w:themeFill="accent2" w:themeFillTint="33"/>
          </w:tcPr>
          <w:p w14:paraId="185D109E" w14:textId="1D49107D" w:rsidR="00211FEA" w:rsidRPr="00830841" w:rsidRDefault="00211FEA">
            <w:pPr>
              <w:spacing w:after="0"/>
              <w:jc w:val="right"/>
              <w:rPr>
                <w:noProof/>
                <w:sz w:val="20"/>
                <w:szCs w:val="20"/>
                <w:lang w:val="en-IE" w:eastAsia="en-IE"/>
              </w:rPr>
            </w:pPr>
            <w:r>
              <w:rPr>
                <w:noProof/>
                <w:sz w:val="20"/>
                <w:szCs w:val="20"/>
              </w:rPr>
              <w:t xml:space="preserve"> </w:t>
            </w:r>
            <w:r w:rsidR="00ED2322">
              <w:rPr>
                <w:noProof/>
                <w:sz w:val="20"/>
                <w:szCs w:val="20"/>
              </w:rPr>
              <w:t>56 693 081</w:t>
            </w:r>
          </w:p>
        </w:tc>
        <w:tc>
          <w:tcPr>
            <w:tcW w:w="682" w:type="pct"/>
            <w:shd w:val="clear" w:color="auto" w:fill="F2DBDB" w:themeFill="accent2" w:themeFillTint="33"/>
          </w:tcPr>
          <w:p w14:paraId="45534421" w14:textId="5F3EFC99" w:rsidR="00211FEA" w:rsidRPr="00FA63C0" w:rsidRDefault="00211FEA">
            <w:pPr>
              <w:spacing w:after="0"/>
              <w:jc w:val="right"/>
              <w:rPr>
                <w:b/>
                <w:bCs/>
                <w:noProof/>
                <w:sz w:val="20"/>
                <w:szCs w:val="20"/>
                <w:lang w:val="en-IE" w:eastAsia="en-IE"/>
              </w:rPr>
            </w:pPr>
            <w:r w:rsidRPr="00457DE7">
              <w:rPr>
                <w:noProof/>
                <w:sz w:val="20"/>
                <w:szCs w:val="20"/>
              </w:rPr>
              <w:t xml:space="preserve"> </w:t>
            </w:r>
            <w:r w:rsidR="00D06035">
              <w:rPr>
                <w:noProof/>
                <w:sz w:val="20"/>
                <w:szCs w:val="20"/>
              </w:rPr>
              <w:t>2 810 965</w:t>
            </w:r>
          </w:p>
        </w:tc>
        <w:tc>
          <w:tcPr>
            <w:tcW w:w="682" w:type="pct"/>
            <w:shd w:val="clear" w:color="auto" w:fill="F2DBDB" w:themeFill="accent2" w:themeFillTint="33"/>
            <w:noWrap/>
          </w:tcPr>
          <w:p w14:paraId="266991D0" w14:textId="4D4E32EB" w:rsidR="00211FEA" w:rsidRPr="00640712" w:rsidRDefault="00F95300">
            <w:pPr>
              <w:spacing w:after="0"/>
              <w:jc w:val="right"/>
              <w:rPr>
                <w:noProof/>
                <w:sz w:val="22"/>
                <w:szCs w:val="22"/>
                <w:lang w:val="en-IE" w:eastAsia="en-IE"/>
              </w:rPr>
            </w:pPr>
            <w:r>
              <w:rPr>
                <w:noProof/>
                <w:color w:val="000000"/>
                <w:sz w:val="20"/>
                <w:szCs w:val="20"/>
              </w:rPr>
              <w:t>137 858 497</w:t>
            </w:r>
            <w:r w:rsidR="00211FEA" w:rsidRPr="00430121">
              <w:rPr>
                <w:noProof/>
                <w:color w:val="000000"/>
                <w:sz w:val="20"/>
                <w:szCs w:val="20"/>
              </w:rPr>
              <w:t xml:space="preserve"> </w:t>
            </w:r>
          </w:p>
        </w:tc>
        <w:tc>
          <w:tcPr>
            <w:tcW w:w="682" w:type="pct"/>
            <w:shd w:val="clear" w:color="auto" w:fill="F2DBDB" w:themeFill="accent2" w:themeFillTint="33"/>
            <w:noWrap/>
          </w:tcPr>
          <w:p w14:paraId="3B0B9AA6" w14:textId="50563420" w:rsidR="00211FEA" w:rsidRPr="00640712" w:rsidRDefault="00F95300">
            <w:pPr>
              <w:spacing w:after="0"/>
              <w:jc w:val="right"/>
              <w:rPr>
                <w:noProof/>
                <w:sz w:val="22"/>
                <w:szCs w:val="22"/>
                <w:lang w:val="en-IE" w:eastAsia="en-IE"/>
              </w:rPr>
            </w:pPr>
            <w:r>
              <w:rPr>
                <w:noProof/>
                <w:color w:val="000000"/>
                <w:sz w:val="20"/>
                <w:szCs w:val="20"/>
              </w:rPr>
              <w:t>89 263 359</w:t>
            </w:r>
            <w:r w:rsidR="00211FEA" w:rsidRPr="00430121">
              <w:rPr>
                <w:noProof/>
                <w:color w:val="000000"/>
                <w:sz w:val="20"/>
                <w:szCs w:val="20"/>
              </w:rPr>
              <w:t xml:space="preserve"> </w:t>
            </w:r>
          </w:p>
        </w:tc>
        <w:tc>
          <w:tcPr>
            <w:tcW w:w="684" w:type="pct"/>
            <w:shd w:val="clear" w:color="auto" w:fill="F2DBDB" w:themeFill="accent2" w:themeFillTint="33"/>
            <w:noWrap/>
          </w:tcPr>
          <w:p w14:paraId="4738B416" w14:textId="6FDB6E91" w:rsidR="00211FEA" w:rsidRPr="00640712" w:rsidRDefault="00F95300">
            <w:pPr>
              <w:spacing w:after="0"/>
              <w:jc w:val="right"/>
              <w:rPr>
                <w:noProof/>
                <w:sz w:val="22"/>
                <w:szCs w:val="22"/>
                <w:lang w:val="en-IE" w:eastAsia="en-IE"/>
              </w:rPr>
            </w:pPr>
            <w:r>
              <w:rPr>
                <w:noProof/>
                <w:color w:val="000000"/>
                <w:sz w:val="20"/>
                <w:szCs w:val="20"/>
              </w:rPr>
              <w:t>232 817 048</w:t>
            </w:r>
            <w:r w:rsidR="00211FEA" w:rsidRPr="00430121">
              <w:rPr>
                <w:noProof/>
                <w:color w:val="000000"/>
                <w:sz w:val="20"/>
                <w:szCs w:val="20"/>
              </w:rPr>
              <w:t xml:space="preserve"> </w:t>
            </w:r>
          </w:p>
        </w:tc>
      </w:tr>
      <w:tr w:rsidR="00211FEA" w:rsidRPr="007B1859" w14:paraId="38FADC81" w14:textId="77777777" w:rsidTr="005B26D9">
        <w:trPr>
          <w:trHeight w:val="283"/>
        </w:trPr>
        <w:tc>
          <w:tcPr>
            <w:tcW w:w="905" w:type="pct"/>
            <w:shd w:val="clear" w:color="auto" w:fill="EAF1DD" w:themeFill="accent3" w:themeFillTint="33"/>
            <w:noWrap/>
            <w:hideMark/>
          </w:tcPr>
          <w:p w14:paraId="6A2DDF55" w14:textId="77777777" w:rsidR="00211FEA" w:rsidRPr="00FA63C0" w:rsidRDefault="00211FEA">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682" w:type="pct"/>
            <w:shd w:val="clear" w:color="auto" w:fill="EAF1DD" w:themeFill="accent3" w:themeFillTint="33"/>
          </w:tcPr>
          <w:p w14:paraId="7CDDB5D0" w14:textId="7D2DB0AB" w:rsidR="00211FEA" w:rsidRPr="0030255B" w:rsidRDefault="00211FEA">
            <w:pPr>
              <w:spacing w:after="0"/>
              <w:jc w:val="right"/>
              <w:rPr>
                <w:noProof/>
                <w:sz w:val="20"/>
                <w:szCs w:val="20"/>
                <w:lang w:val="en-IE" w:eastAsia="en-IE"/>
              </w:rPr>
            </w:pPr>
            <w:r w:rsidRPr="0030255B">
              <w:rPr>
                <w:noProof/>
                <w:sz w:val="20"/>
                <w:szCs w:val="20"/>
                <w:lang w:val="en-IE" w:eastAsia="en-IE"/>
              </w:rPr>
              <w:t>(</w:t>
            </w:r>
            <w:r w:rsidR="00C93F29">
              <w:rPr>
                <w:noProof/>
                <w:sz w:val="20"/>
                <w:szCs w:val="20"/>
                <w:lang w:val="en-IE" w:eastAsia="en-IE"/>
              </w:rPr>
              <w:t>451 348 550</w:t>
            </w:r>
            <w:r w:rsidRPr="0030255B">
              <w:rPr>
                <w:noProof/>
                <w:sz w:val="20"/>
                <w:szCs w:val="20"/>
                <w:lang w:val="en-IE" w:eastAsia="en-IE"/>
              </w:rPr>
              <w:t>)</w:t>
            </w:r>
          </w:p>
        </w:tc>
        <w:tc>
          <w:tcPr>
            <w:tcW w:w="682" w:type="pct"/>
            <w:shd w:val="clear" w:color="auto" w:fill="EAF1DD" w:themeFill="accent3" w:themeFillTint="33"/>
          </w:tcPr>
          <w:p w14:paraId="6094E904" w14:textId="6C416ED0" w:rsidR="00211FEA" w:rsidRPr="0030255B" w:rsidRDefault="00211FEA">
            <w:pPr>
              <w:spacing w:after="0"/>
              <w:jc w:val="right"/>
              <w:rPr>
                <w:noProof/>
                <w:sz w:val="20"/>
                <w:szCs w:val="20"/>
                <w:lang w:val="en-IE" w:eastAsia="en-IE"/>
              </w:rPr>
            </w:pPr>
            <w:r w:rsidRPr="0030255B">
              <w:rPr>
                <w:noProof/>
                <w:sz w:val="20"/>
                <w:szCs w:val="20"/>
              </w:rPr>
              <w:t xml:space="preserve"> (</w:t>
            </w:r>
            <w:r w:rsidR="00ED2322">
              <w:rPr>
                <w:noProof/>
                <w:sz w:val="20"/>
                <w:szCs w:val="20"/>
              </w:rPr>
              <w:t>3 280 022</w:t>
            </w:r>
            <w:r w:rsidRPr="0030255B">
              <w:rPr>
                <w:noProof/>
                <w:sz w:val="20"/>
                <w:szCs w:val="20"/>
              </w:rPr>
              <w:t>)</w:t>
            </w:r>
          </w:p>
        </w:tc>
        <w:tc>
          <w:tcPr>
            <w:tcW w:w="682" w:type="pct"/>
            <w:shd w:val="clear" w:color="auto" w:fill="EAF1DD" w:themeFill="accent3" w:themeFillTint="33"/>
          </w:tcPr>
          <w:p w14:paraId="4BBC336A" w14:textId="77777777" w:rsidR="00211FEA" w:rsidRPr="00FA63C0" w:rsidRDefault="00211FEA">
            <w:pPr>
              <w:spacing w:after="0"/>
              <w:jc w:val="right"/>
              <w:rPr>
                <w:b/>
                <w:bCs/>
                <w:noProof/>
                <w:sz w:val="20"/>
                <w:szCs w:val="20"/>
                <w:lang w:val="en-IE" w:eastAsia="en-IE"/>
              </w:rPr>
            </w:pPr>
            <w:r w:rsidRPr="00457DE7">
              <w:rPr>
                <w:noProof/>
                <w:sz w:val="20"/>
                <w:szCs w:val="20"/>
              </w:rPr>
              <w:t xml:space="preserve"> -</w:t>
            </w:r>
          </w:p>
        </w:tc>
        <w:tc>
          <w:tcPr>
            <w:tcW w:w="682" w:type="pct"/>
            <w:shd w:val="clear" w:color="auto" w:fill="EAF1DD" w:themeFill="accent3" w:themeFillTint="33"/>
            <w:noWrap/>
          </w:tcPr>
          <w:p w14:paraId="0E0D581B" w14:textId="52FE27FE" w:rsidR="00211FEA" w:rsidRPr="00640712" w:rsidRDefault="00211FEA">
            <w:pPr>
              <w:spacing w:after="0"/>
              <w:jc w:val="right"/>
              <w:rPr>
                <w:noProof/>
                <w:sz w:val="22"/>
                <w:szCs w:val="22"/>
                <w:lang w:val="en-IE" w:eastAsia="en-IE"/>
              </w:rPr>
            </w:pPr>
            <w:r w:rsidRPr="00430121">
              <w:rPr>
                <w:noProof/>
                <w:color w:val="000000"/>
                <w:sz w:val="20"/>
                <w:szCs w:val="20"/>
              </w:rPr>
              <w:t>(</w:t>
            </w:r>
            <w:r w:rsidR="00F95300">
              <w:rPr>
                <w:noProof/>
                <w:color w:val="000000"/>
                <w:sz w:val="20"/>
                <w:szCs w:val="20"/>
              </w:rPr>
              <w:t>454 628 572</w:t>
            </w:r>
            <w:r w:rsidRPr="00430121">
              <w:rPr>
                <w:noProof/>
                <w:color w:val="000000"/>
                <w:sz w:val="20"/>
                <w:szCs w:val="20"/>
              </w:rPr>
              <w:t>)</w:t>
            </w:r>
          </w:p>
        </w:tc>
        <w:tc>
          <w:tcPr>
            <w:tcW w:w="682" w:type="pct"/>
            <w:shd w:val="clear" w:color="auto" w:fill="EAF1DD" w:themeFill="accent3" w:themeFillTint="33"/>
            <w:noWrap/>
          </w:tcPr>
          <w:p w14:paraId="30F9BB2F" w14:textId="6D765025" w:rsidR="00211FEA" w:rsidRPr="00640712" w:rsidRDefault="00211FEA">
            <w:pPr>
              <w:spacing w:after="0"/>
              <w:jc w:val="right"/>
              <w:rPr>
                <w:noProof/>
                <w:sz w:val="22"/>
                <w:szCs w:val="22"/>
                <w:lang w:val="en-IE" w:eastAsia="en-IE"/>
              </w:rPr>
            </w:pPr>
            <w:r w:rsidRPr="00430121">
              <w:rPr>
                <w:noProof/>
                <w:color w:val="000000"/>
                <w:sz w:val="20"/>
                <w:szCs w:val="20"/>
              </w:rPr>
              <w:t>(</w:t>
            </w:r>
            <w:r w:rsidR="00F95300">
              <w:rPr>
                <w:noProof/>
                <w:color w:val="000000"/>
                <w:sz w:val="20"/>
                <w:szCs w:val="20"/>
              </w:rPr>
              <w:t>172 234 292</w:t>
            </w:r>
            <w:r w:rsidRPr="00430121">
              <w:rPr>
                <w:noProof/>
                <w:color w:val="000000"/>
                <w:sz w:val="20"/>
                <w:szCs w:val="20"/>
              </w:rPr>
              <w:t>)</w:t>
            </w:r>
          </w:p>
        </w:tc>
        <w:tc>
          <w:tcPr>
            <w:tcW w:w="684" w:type="pct"/>
            <w:shd w:val="clear" w:color="auto" w:fill="EAF1DD" w:themeFill="accent3" w:themeFillTint="33"/>
            <w:noWrap/>
          </w:tcPr>
          <w:p w14:paraId="778EB677" w14:textId="59595931" w:rsidR="00211FEA" w:rsidRPr="00640712" w:rsidRDefault="00211FEA">
            <w:pPr>
              <w:spacing w:after="0"/>
              <w:jc w:val="right"/>
              <w:rPr>
                <w:noProof/>
                <w:sz w:val="22"/>
                <w:szCs w:val="22"/>
                <w:lang w:val="en-IE" w:eastAsia="en-IE"/>
              </w:rPr>
            </w:pPr>
            <w:r w:rsidRPr="00430121">
              <w:rPr>
                <w:noProof/>
                <w:color w:val="000000"/>
                <w:sz w:val="20"/>
                <w:szCs w:val="20"/>
              </w:rPr>
              <w:t>(</w:t>
            </w:r>
            <w:r w:rsidR="00F95300">
              <w:rPr>
                <w:noProof/>
                <w:color w:val="000000"/>
                <w:sz w:val="20"/>
                <w:szCs w:val="20"/>
              </w:rPr>
              <w:t>566 620 181</w:t>
            </w:r>
            <w:r w:rsidRPr="00430121">
              <w:rPr>
                <w:noProof/>
                <w:color w:val="000000"/>
                <w:sz w:val="20"/>
                <w:szCs w:val="20"/>
              </w:rPr>
              <w:t>)</w:t>
            </w:r>
          </w:p>
        </w:tc>
      </w:tr>
      <w:tr w:rsidR="00211FEA" w:rsidRPr="007C40E5" w14:paraId="3FDF8405" w14:textId="77777777" w:rsidTr="005B26D9">
        <w:trPr>
          <w:trHeight w:val="283"/>
        </w:trPr>
        <w:tc>
          <w:tcPr>
            <w:tcW w:w="905" w:type="pct"/>
            <w:shd w:val="clear" w:color="auto" w:fill="F2F2F2" w:themeFill="background1" w:themeFillShade="F2"/>
            <w:noWrap/>
            <w:hideMark/>
          </w:tcPr>
          <w:p w14:paraId="0AEA22A6" w14:textId="77777777" w:rsidR="00211FEA" w:rsidRPr="00FA63C0" w:rsidRDefault="00211FEA">
            <w:pPr>
              <w:spacing w:after="0"/>
              <w:jc w:val="left"/>
              <w:rPr>
                <w:b/>
                <w:bCs/>
                <w:i/>
                <w:iCs/>
                <w:noProof/>
                <w:sz w:val="20"/>
                <w:szCs w:val="20"/>
                <w:lang w:val="en-IE" w:eastAsia="en-IE"/>
              </w:rPr>
            </w:pPr>
            <w:r w:rsidRPr="00FA63C0">
              <w:rPr>
                <w:b/>
                <w:bCs/>
                <w:i/>
                <w:iCs/>
                <w:noProof/>
                <w:sz w:val="20"/>
                <w:szCs w:val="20"/>
                <w:lang w:val="en-IE" w:eastAsia="en-IE"/>
              </w:rPr>
              <w:t>Net impact</w:t>
            </w:r>
          </w:p>
        </w:tc>
        <w:tc>
          <w:tcPr>
            <w:tcW w:w="682" w:type="pct"/>
            <w:shd w:val="clear" w:color="auto" w:fill="F2F2F2" w:themeFill="background1" w:themeFillShade="F2"/>
          </w:tcPr>
          <w:p w14:paraId="533FEF5A" w14:textId="00CF5468" w:rsidR="00211FEA" w:rsidRPr="0030255B" w:rsidRDefault="00211FEA">
            <w:pPr>
              <w:spacing w:after="0"/>
              <w:jc w:val="right"/>
              <w:rPr>
                <w:b/>
                <w:bCs/>
                <w:noProof/>
                <w:sz w:val="20"/>
                <w:szCs w:val="20"/>
                <w:lang w:val="en-IE" w:eastAsia="en-IE"/>
              </w:rPr>
            </w:pPr>
            <w:r>
              <w:rPr>
                <w:b/>
                <w:bCs/>
                <w:noProof/>
                <w:sz w:val="20"/>
                <w:szCs w:val="20"/>
                <w:lang w:val="en-IE" w:eastAsia="en-IE"/>
              </w:rPr>
              <w:t>(</w:t>
            </w:r>
            <w:r w:rsidR="00C93F29">
              <w:rPr>
                <w:b/>
                <w:bCs/>
                <w:noProof/>
                <w:sz w:val="20"/>
                <w:szCs w:val="20"/>
                <w:lang w:val="en-IE" w:eastAsia="en-IE"/>
              </w:rPr>
              <w:t>372 994 099</w:t>
            </w:r>
            <w:r>
              <w:rPr>
                <w:b/>
                <w:bCs/>
                <w:noProof/>
                <w:sz w:val="20"/>
                <w:szCs w:val="20"/>
                <w:lang w:val="en-IE" w:eastAsia="en-IE"/>
              </w:rPr>
              <w:t>)</w:t>
            </w:r>
          </w:p>
        </w:tc>
        <w:tc>
          <w:tcPr>
            <w:tcW w:w="682" w:type="pct"/>
            <w:shd w:val="clear" w:color="auto" w:fill="F2F2F2" w:themeFill="background1" w:themeFillShade="F2"/>
          </w:tcPr>
          <w:p w14:paraId="56CE409C" w14:textId="53370C32" w:rsidR="00211FEA" w:rsidRPr="00331247" w:rsidRDefault="00ED2322">
            <w:pPr>
              <w:spacing w:after="0"/>
              <w:jc w:val="right"/>
              <w:rPr>
                <w:b/>
                <w:bCs/>
                <w:noProof/>
                <w:sz w:val="20"/>
                <w:szCs w:val="20"/>
                <w:lang w:val="en-IE" w:eastAsia="en-IE"/>
              </w:rPr>
            </w:pPr>
            <w:r>
              <w:rPr>
                <w:b/>
                <w:bCs/>
                <w:noProof/>
                <w:sz w:val="20"/>
                <w:szCs w:val="20"/>
                <w:lang w:val="en-IE" w:eastAsia="en-IE"/>
              </w:rPr>
              <w:t>53 413 060</w:t>
            </w:r>
          </w:p>
        </w:tc>
        <w:tc>
          <w:tcPr>
            <w:tcW w:w="682" w:type="pct"/>
            <w:shd w:val="clear" w:color="auto" w:fill="F2F2F2" w:themeFill="background1" w:themeFillShade="F2"/>
          </w:tcPr>
          <w:p w14:paraId="4191969C" w14:textId="43C03838" w:rsidR="00211FEA" w:rsidRPr="00D06035" w:rsidRDefault="00D06035">
            <w:pPr>
              <w:spacing w:after="0"/>
              <w:jc w:val="right"/>
              <w:rPr>
                <w:b/>
                <w:bCs/>
                <w:noProof/>
                <w:sz w:val="20"/>
                <w:szCs w:val="20"/>
                <w:lang w:val="en-IE" w:eastAsia="en-IE"/>
              </w:rPr>
            </w:pPr>
            <w:r w:rsidRPr="00D06035">
              <w:rPr>
                <w:b/>
                <w:bCs/>
                <w:noProof/>
                <w:sz w:val="20"/>
                <w:szCs w:val="20"/>
              </w:rPr>
              <w:t>2 810 965</w:t>
            </w:r>
          </w:p>
        </w:tc>
        <w:tc>
          <w:tcPr>
            <w:tcW w:w="682" w:type="pct"/>
            <w:shd w:val="clear" w:color="auto" w:fill="F2F2F2" w:themeFill="background1" w:themeFillShade="F2"/>
            <w:noWrap/>
          </w:tcPr>
          <w:p w14:paraId="094BB4C5" w14:textId="0922AB80" w:rsidR="00211FEA" w:rsidRPr="0021570E" w:rsidRDefault="00211FEA">
            <w:pPr>
              <w:spacing w:after="0"/>
              <w:jc w:val="right"/>
              <w:rPr>
                <w:b/>
                <w:bCs/>
                <w:noProof/>
                <w:sz w:val="22"/>
                <w:szCs w:val="22"/>
                <w:lang w:val="en-IE" w:eastAsia="en-IE"/>
              </w:rPr>
            </w:pPr>
            <w:r w:rsidRPr="005B26D9">
              <w:rPr>
                <w:b/>
                <w:noProof/>
                <w:color w:val="000000"/>
                <w:sz w:val="20"/>
                <w:szCs w:val="20"/>
              </w:rPr>
              <w:t>(</w:t>
            </w:r>
            <w:r w:rsidR="005125F3" w:rsidRPr="005B26D9">
              <w:rPr>
                <w:b/>
                <w:noProof/>
                <w:color w:val="000000"/>
                <w:sz w:val="20"/>
                <w:szCs w:val="20"/>
              </w:rPr>
              <w:t>316 770 075</w:t>
            </w:r>
            <w:r w:rsidRPr="005B26D9">
              <w:rPr>
                <w:b/>
                <w:noProof/>
                <w:color w:val="000000"/>
                <w:sz w:val="20"/>
                <w:szCs w:val="20"/>
              </w:rPr>
              <w:t>)</w:t>
            </w:r>
          </w:p>
        </w:tc>
        <w:tc>
          <w:tcPr>
            <w:tcW w:w="682" w:type="pct"/>
            <w:shd w:val="clear" w:color="auto" w:fill="F2F2F2" w:themeFill="background1" w:themeFillShade="F2"/>
            <w:noWrap/>
          </w:tcPr>
          <w:p w14:paraId="386291BB" w14:textId="1D97E454" w:rsidR="00211FEA" w:rsidRPr="0021570E" w:rsidRDefault="00211FEA">
            <w:pPr>
              <w:spacing w:after="0"/>
              <w:jc w:val="right"/>
              <w:rPr>
                <w:b/>
                <w:bCs/>
                <w:noProof/>
                <w:sz w:val="22"/>
                <w:szCs w:val="22"/>
                <w:lang w:val="en-IE" w:eastAsia="en-IE"/>
              </w:rPr>
            </w:pPr>
            <w:r w:rsidRPr="005B26D9">
              <w:rPr>
                <w:b/>
                <w:noProof/>
                <w:color w:val="000000"/>
                <w:sz w:val="20"/>
                <w:szCs w:val="20"/>
              </w:rPr>
              <w:t>(</w:t>
            </w:r>
            <w:r w:rsidR="005125F3" w:rsidRPr="005B26D9">
              <w:rPr>
                <w:b/>
                <w:noProof/>
                <w:color w:val="000000"/>
                <w:sz w:val="20"/>
                <w:szCs w:val="20"/>
              </w:rPr>
              <w:t>82 970 933</w:t>
            </w:r>
            <w:r w:rsidRPr="005B26D9">
              <w:rPr>
                <w:b/>
                <w:noProof/>
                <w:color w:val="000000"/>
                <w:sz w:val="20"/>
                <w:szCs w:val="20"/>
              </w:rPr>
              <w:t>)</w:t>
            </w:r>
          </w:p>
        </w:tc>
        <w:tc>
          <w:tcPr>
            <w:tcW w:w="684" w:type="pct"/>
            <w:shd w:val="clear" w:color="auto" w:fill="F2F2F2" w:themeFill="background1" w:themeFillShade="F2"/>
            <w:noWrap/>
          </w:tcPr>
          <w:p w14:paraId="387D7432" w14:textId="211DEEE4" w:rsidR="00211FEA" w:rsidRPr="0021570E" w:rsidRDefault="00211FEA">
            <w:pPr>
              <w:spacing w:after="0"/>
              <w:jc w:val="right"/>
              <w:rPr>
                <w:b/>
                <w:bCs/>
                <w:noProof/>
                <w:sz w:val="22"/>
                <w:szCs w:val="22"/>
                <w:lang w:val="en-IE" w:eastAsia="en-IE"/>
              </w:rPr>
            </w:pPr>
            <w:r w:rsidRPr="005B26D9">
              <w:rPr>
                <w:b/>
                <w:noProof/>
                <w:color w:val="000000"/>
                <w:sz w:val="20"/>
                <w:szCs w:val="20"/>
              </w:rPr>
              <w:t>(</w:t>
            </w:r>
            <w:r w:rsidR="005125F3" w:rsidRPr="005B26D9">
              <w:rPr>
                <w:b/>
                <w:noProof/>
                <w:color w:val="000000"/>
                <w:sz w:val="20"/>
                <w:szCs w:val="20"/>
              </w:rPr>
              <w:t>333 803 133</w:t>
            </w:r>
            <w:r w:rsidRPr="005B26D9">
              <w:rPr>
                <w:b/>
                <w:noProof/>
                <w:color w:val="000000"/>
                <w:sz w:val="20"/>
                <w:szCs w:val="20"/>
              </w:rPr>
              <w:t>)</w:t>
            </w:r>
          </w:p>
        </w:tc>
      </w:tr>
    </w:tbl>
    <w:p w14:paraId="011CE28C" w14:textId="77777777" w:rsidR="0075208E" w:rsidRDefault="0075208E" w:rsidP="0075208E">
      <w:pPr>
        <w:rPr>
          <w:noProof/>
        </w:rPr>
      </w:pPr>
    </w:p>
    <w:p w14:paraId="3AC74C2F" w14:textId="33E901D3" w:rsidR="00323DE5" w:rsidRDefault="302B6521" w:rsidP="5E22DFA7">
      <w:pPr>
        <w:rPr>
          <w:rFonts w:eastAsia="Times New Roman"/>
          <w:noProof/>
        </w:rPr>
      </w:pPr>
      <w:r w:rsidRPr="00092BFD">
        <w:rPr>
          <w:rFonts w:eastAsia="Times New Roman"/>
          <w:noProof/>
        </w:rPr>
        <w:t>This policy measure would trigger an acceleration of porting of some applications to sovereign cloud services of assurance levels 2 to 4, requiring an anticipation of expenses of EUR 620</w:t>
      </w:r>
      <w:r w:rsidR="7C074783" w:rsidRPr="5E22DFA7">
        <w:rPr>
          <w:rFonts w:eastAsia="Times New Roman"/>
          <w:noProof/>
        </w:rPr>
        <w:t xml:space="preserve"> </w:t>
      </w:r>
      <w:r w:rsidRPr="00092BFD">
        <w:rPr>
          <w:rFonts w:eastAsia="Times New Roman"/>
          <w:noProof/>
        </w:rPr>
        <w:t xml:space="preserve">m to 4 bn. These costs are estimated and reported under section 12.4 of Annex 4. </w:t>
      </w:r>
      <w:r w:rsidR="00A709BB">
        <w:rPr>
          <w:rFonts w:eastAsia="Times New Roman"/>
          <w:noProof/>
        </w:rPr>
        <w:t xml:space="preserve">Since they represent </w:t>
      </w:r>
      <w:r w:rsidR="00772538">
        <w:rPr>
          <w:rFonts w:eastAsia="Times New Roman"/>
          <w:noProof/>
        </w:rPr>
        <w:t>planned expenditure that would be</w:t>
      </w:r>
      <w:r w:rsidR="002F2613">
        <w:rPr>
          <w:rFonts w:eastAsia="Times New Roman"/>
          <w:noProof/>
        </w:rPr>
        <w:t xml:space="preserve"> incurred in the future as part of the regular cloud contract renewal cycles and independent of the </w:t>
      </w:r>
      <w:r w:rsidR="00463EEC">
        <w:rPr>
          <w:rFonts w:eastAsia="Times New Roman"/>
          <w:noProof/>
        </w:rPr>
        <w:t xml:space="preserve">present policy measure, they have been scoped outside of the summary cost table </w:t>
      </w:r>
      <w:r w:rsidR="00F6592D">
        <w:rPr>
          <w:rFonts w:eastAsia="Times New Roman"/>
          <w:noProof/>
        </w:rPr>
        <w:t xml:space="preserve">so as not to conflate </w:t>
      </w:r>
      <w:r w:rsidR="00802EE4">
        <w:rPr>
          <w:rFonts w:eastAsia="Times New Roman"/>
          <w:noProof/>
        </w:rPr>
        <w:t>structural renewal costs with the incremental financial impact of the measure itself.</w:t>
      </w:r>
      <w:r w:rsidR="00312E23">
        <w:rPr>
          <w:rFonts w:eastAsia="Times New Roman"/>
          <w:noProof/>
        </w:rPr>
        <w:t xml:space="preserve"> </w:t>
      </w:r>
    </w:p>
    <w:p w14:paraId="0F04C68E" w14:textId="71609743" w:rsidR="00F728A4" w:rsidRDefault="302B6521" w:rsidP="00C17A18">
      <w:pPr>
        <w:rPr>
          <w:rFonts w:eastAsia="Times New Roman"/>
          <w:noProof/>
        </w:rPr>
      </w:pPr>
      <w:r w:rsidRPr="008C567B">
        <w:rPr>
          <w:rFonts w:eastAsia="Times New Roman"/>
          <w:noProof/>
        </w:rPr>
        <w:t xml:space="preserve">The benefits </w:t>
      </w:r>
      <w:r w:rsidR="00CC643C">
        <w:rPr>
          <w:rFonts w:eastAsia="Times New Roman"/>
          <w:noProof/>
        </w:rPr>
        <w:t>accruing</w:t>
      </w:r>
      <w:r w:rsidRPr="008C567B">
        <w:rPr>
          <w:rFonts w:eastAsia="Times New Roman"/>
          <w:noProof/>
        </w:rPr>
        <w:t xml:space="preserve"> </w:t>
      </w:r>
      <w:r w:rsidR="000376DD">
        <w:rPr>
          <w:rFonts w:eastAsia="Times New Roman"/>
          <w:noProof/>
        </w:rPr>
        <w:t>from</w:t>
      </w:r>
      <w:r w:rsidRPr="008C567B">
        <w:rPr>
          <w:rFonts w:eastAsia="Times New Roman"/>
          <w:noProof/>
        </w:rPr>
        <w:t xml:space="preserve"> the risk reduction</w:t>
      </w:r>
      <w:r w:rsidR="00527CB1">
        <w:rPr>
          <w:rFonts w:eastAsia="Times New Roman"/>
          <w:noProof/>
        </w:rPr>
        <w:t xml:space="preserve">, notably an </w:t>
      </w:r>
      <w:r w:rsidRPr="008C567B">
        <w:rPr>
          <w:rFonts w:eastAsia="Times New Roman"/>
          <w:noProof/>
        </w:rPr>
        <w:t xml:space="preserve">increased autonomy and </w:t>
      </w:r>
      <w:r w:rsidR="00527CB1">
        <w:rPr>
          <w:rFonts w:eastAsia="Times New Roman"/>
          <w:noProof/>
        </w:rPr>
        <w:t xml:space="preserve">strengthened operational </w:t>
      </w:r>
      <w:r w:rsidRPr="008C567B">
        <w:rPr>
          <w:rFonts w:eastAsia="Times New Roman"/>
          <w:noProof/>
        </w:rPr>
        <w:t>resilience</w:t>
      </w:r>
      <w:r w:rsidR="00C17A18">
        <w:rPr>
          <w:rFonts w:eastAsia="Times New Roman"/>
          <w:noProof/>
        </w:rPr>
        <w:t xml:space="preserve"> through the adoption of </w:t>
      </w:r>
      <w:r w:rsidRPr="008C567B">
        <w:rPr>
          <w:rFonts w:eastAsia="Times New Roman"/>
          <w:noProof/>
        </w:rPr>
        <w:t xml:space="preserve">sovereign cloud and AI computing solutions are intangible and </w:t>
      </w:r>
      <w:r w:rsidR="00C17A18">
        <w:rPr>
          <w:rFonts w:eastAsia="Times New Roman"/>
          <w:noProof/>
        </w:rPr>
        <w:t>cannot be expressed in quantitative terms</w:t>
      </w:r>
      <w:r w:rsidR="00A54C84">
        <w:rPr>
          <w:rFonts w:eastAsia="Times New Roman"/>
          <w:noProof/>
        </w:rPr>
        <w:t xml:space="preserve">. </w:t>
      </w:r>
      <w:r w:rsidR="00836BF7">
        <w:rPr>
          <w:rFonts w:eastAsia="Times New Roman"/>
          <w:noProof/>
        </w:rPr>
        <w:t>While these benefits cannot be quantified, they are acknowledged as a significant consideration underpinning the policy rationale.</w:t>
      </w:r>
    </w:p>
    <w:p w14:paraId="2E54AE8C" w14:textId="5BA32E62" w:rsidR="00037985" w:rsidRDefault="00037985" w:rsidP="0068312F">
      <w:pPr>
        <w:pStyle w:val="Heading2"/>
        <w:numPr>
          <w:ilvl w:val="1"/>
          <w:numId w:val="10"/>
        </w:numPr>
        <w:tabs>
          <w:tab w:val="num" w:pos="283"/>
        </w:tabs>
        <w:spacing w:before="240"/>
        <w:ind w:left="1202"/>
        <w:rPr>
          <w:bCs/>
          <w:noProof/>
        </w:rPr>
      </w:pPr>
      <w:bookmarkStart w:id="231" w:name="_Toc208595316"/>
      <w:bookmarkStart w:id="232" w:name="_Toc208836941"/>
      <w:bookmarkStart w:id="233" w:name="_Toc214519720"/>
      <w:bookmarkStart w:id="234" w:name="_Toc216283371"/>
      <w:bookmarkStart w:id="235" w:name="_Toc228346926"/>
      <w:r w:rsidRPr="002F53DC">
        <w:rPr>
          <w:bCs/>
          <w:noProof/>
        </w:rPr>
        <w:t xml:space="preserve">PM16: Non-mandatory specific award criteria for </w:t>
      </w:r>
      <w:bookmarkEnd w:id="231"/>
      <w:bookmarkEnd w:id="232"/>
      <w:bookmarkEnd w:id="233"/>
      <w:r w:rsidR="00225F13">
        <w:rPr>
          <w:bCs/>
          <w:noProof/>
        </w:rPr>
        <w:t>the procurement of cloud and AI computing services</w:t>
      </w:r>
      <w:bookmarkEnd w:id="234"/>
      <w:bookmarkEnd w:id="235"/>
    </w:p>
    <w:p w14:paraId="69DCE72C" w14:textId="69A0160D" w:rsidR="00086155" w:rsidRDefault="00037985" w:rsidP="00486743">
      <w:pPr>
        <w:rPr>
          <w:noProof/>
        </w:rPr>
      </w:pPr>
      <w:r w:rsidRPr="0007547C">
        <w:rPr>
          <w:noProof/>
        </w:rPr>
        <w:t xml:space="preserve">This policy measure defines non-mandatory </w:t>
      </w:r>
      <w:r w:rsidR="00225F13">
        <w:rPr>
          <w:noProof/>
        </w:rPr>
        <w:t xml:space="preserve">award </w:t>
      </w:r>
      <w:r w:rsidRPr="0007547C">
        <w:rPr>
          <w:noProof/>
        </w:rPr>
        <w:t xml:space="preserve">criteria for the procurement of cloud and AI </w:t>
      </w:r>
      <w:r w:rsidR="00BB72EA">
        <w:rPr>
          <w:noProof/>
        </w:rPr>
        <w:t>computing</w:t>
      </w:r>
      <w:r w:rsidRPr="0007547C">
        <w:rPr>
          <w:noProof/>
        </w:rPr>
        <w:t xml:space="preserve"> services, rewarding </w:t>
      </w:r>
      <w:r w:rsidR="0065369C">
        <w:rPr>
          <w:noProof/>
        </w:rPr>
        <w:t xml:space="preserve">their </w:t>
      </w:r>
      <w:r w:rsidRPr="0007547C">
        <w:rPr>
          <w:noProof/>
        </w:rPr>
        <w:t>specific characteristics</w:t>
      </w:r>
      <w:r w:rsidR="0065369C">
        <w:rPr>
          <w:noProof/>
        </w:rPr>
        <w:t xml:space="preserve"> in terms of EU added value</w:t>
      </w:r>
      <w:r w:rsidR="00486743">
        <w:rPr>
          <w:noProof/>
        </w:rPr>
        <w:t xml:space="preserve">. </w:t>
      </w:r>
    </w:p>
    <w:p w14:paraId="1A0D357A" w14:textId="74386BDC" w:rsidR="00086155" w:rsidRPr="004E3429" w:rsidRDefault="00297286" w:rsidP="00543E1B">
      <w:pPr>
        <w:rPr>
          <w:noProof/>
        </w:rPr>
      </w:pPr>
      <w:r>
        <w:rPr>
          <w:noProof/>
        </w:rPr>
        <w:t>W</w:t>
      </w:r>
      <w:r w:rsidR="00086155" w:rsidRPr="007971BB">
        <w:rPr>
          <w:noProof/>
        </w:rPr>
        <w:t xml:space="preserve">ith a view to enabling </w:t>
      </w:r>
      <w:r w:rsidR="000A03FB">
        <w:rPr>
          <w:noProof/>
        </w:rPr>
        <w:t xml:space="preserve">an enhanced </w:t>
      </w:r>
      <w:r w:rsidR="004D5225">
        <w:rPr>
          <w:noProof/>
        </w:rPr>
        <w:t xml:space="preserve">EU value added </w:t>
      </w:r>
      <w:r w:rsidR="000A03FB">
        <w:rPr>
          <w:noProof/>
        </w:rPr>
        <w:t>of</w:t>
      </w:r>
      <w:r w:rsidR="004D5225">
        <w:rPr>
          <w:noProof/>
        </w:rPr>
        <w:t xml:space="preserve"> public procurement</w:t>
      </w:r>
      <w:r w:rsidR="00086155" w:rsidRPr="007971BB">
        <w:rPr>
          <w:noProof/>
        </w:rPr>
        <w:t xml:space="preserve">, this measure establishes a set of </w:t>
      </w:r>
      <w:r w:rsidR="00086155" w:rsidRPr="00543E1B">
        <w:rPr>
          <w:noProof/>
        </w:rPr>
        <w:t>voluntary</w:t>
      </w:r>
      <w:r w:rsidR="00086155" w:rsidRPr="007971BB">
        <w:rPr>
          <w:noProof/>
        </w:rPr>
        <w:t xml:space="preserve"> non-price award criteria to be included, voluntarily, by contracting authorities in the procurement of cloud and AI computing services. </w:t>
      </w:r>
      <w:r w:rsidR="00086155" w:rsidRPr="004E3429">
        <w:rPr>
          <w:noProof/>
        </w:rPr>
        <w:t xml:space="preserve">These criteria will earn additional points to tenderers that demonstrate: </w:t>
      </w:r>
    </w:p>
    <w:p w14:paraId="7C861CE9" w14:textId="5EBC3406" w:rsidR="00D12BED" w:rsidRDefault="00C376A1" w:rsidP="00D12BED">
      <w:pPr>
        <w:pStyle w:val="ListBullet"/>
        <w:numPr>
          <w:ilvl w:val="0"/>
          <w:numId w:val="148"/>
        </w:numPr>
        <w:tabs>
          <w:tab w:val="left" w:pos="567"/>
        </w:tabs>
        <w:spacing w:after="0"/>
        <w:ind w:left="1077" w:hanging="357"/>
        <w:rPr>
          <w:noProof/>
        </w:rPr>
      </w:pPr>
      <w:r>
        <w:rPr>
          <w:noProof/>
          <w:lang w:val="en-IE" w:eastAsia="ja-JP"/>
        </w:rPr>
        <w:t>Their</w:t>
      </w:r>
      <w:r w:rsidR="00D12BED" w:rsidRPr="00C86B47">
        <w:rPr>
          <w:noProof/>
          <w:lang w:val="en-IE" w:eastAsia="ja-JP"/>
        </w:rPr>
        <w:t xml:space="preserve"> contribut</w:t>
      </w:r>
      <w:r>
        <w:rPr>
          <w:noProof/>
          <w:lang w:val="en-IE" w:eastAsia="ja-JP"/>
        </w:rPr>
        <w:t>ion</w:t>
      </w:r>
      <w:r w:rsidR="00D12BED" w:rsidRPr="00C86B47">
        <w:rPr>
          <w:noProof/>
          <w:lang w:val="en-IE" w:eastAsia="ja-JP"/>
        </w:rPr>
        <w:t xml:space="preserve"> to reinforcing the digital technology supply chain in the Union, including the use of software or hardware designed or manufactured in the Union</w:t>
      </w:r>
      <w:r w:rsidR="00D12BED" w:rsidRPr="00510D3E" w:rsidDel="00DE099F">
        <w:rPr>
          <w:noProof/>
        </w:rPr>
        <w:t xml:space="preserve"> </w:t>
      </w:r>
    </w:p>
    <w:p w14:paraId="40100C95" w14:textId="4A05215B" w:rsidR="00D12BED" w:rsidRDefault="00C376A1" w:rsidP="00D12BED">
      <w:pPr>
        <w:pStyle w:val="ListBullet"/>
        <w:numPr>
          <w:ilvl w:val="0"/>
          <w:numId w:val="148"/>
        </w:numPr>
        <w:tabs>
          <w:tab w:val="left" w:pos="567"/>
        </w:tabs>
        <w:spacing w:after="0"/>
        <w:ind w:left="1077" w:hanging="357"/>
        <w:rPr>
          <w:noProof/>
        </w:rPr>
      </w:pPr>
      <w:r>
        <w:rPr>
          <w:noProof/>
          <w:lang w:val="en-IE" w:eastAsia="ja-JP"/>
        </w:rPr>
        <w:t>I</w:t>
      </w:r>
      <w:r w:rsidR="00D12BED" w:rsidRPr="00C86B47">
        <w:rPr>
          <w:noProof/>
          <w:lang w:val="en-IE" w:eastAsia="ja-JP"/>
        </w:rPr>
        <w:t>ntegrated Union technologies, including the uptake of research and development results stemming from EU-funded research and development programs</w:t>
      </w:r>
      <w:r w:rsidR="00D12BED">
        <w:rPr>
          <w:noProof/>
        </w:rPr>
        <w:t>;</w:t>
      </w:r>
    </w:p>
    <w:p w14:paraId="42BF865F" w14:textId="77777777" w:rsidR="00D12BED" w:rsidRPr="00510D3E" w:rsidRDefault="00D12BED" w:rsidP="00D12BED">
      <w:pPr>
        <w:pStyle w:val="ListBullet"/>
        <w:numPr>
          <w:ilvl w:val="0"/>
          <w:numId w:val="148"/>
        </w:numPr>
        <w:tabs>
          <w:tab w:val="left" w:pos="567"/>
        </w:tabs>
        <w:spacing w:after="0"/>
        <w:ind w:left="1077" w:hanging="357"/>
        <w:rPr>
          <w:noProof/>
        </w:rPr>
      </w:pPr>
      <w:r>
        <w:rPr>
          <w:noProof/>
          <w:lang w:val="en-IE" w:eastAsia="ja-JP"/>
        </w:rPr>
        <w:t xml:space="preserve">That the </w:t>
      </w:r>
      <w:r w:rsidRPr="00C86B47">
        <w:rPr>
          <w:noProof/>
          <w:lang w:val="en-IE" w:eastAsia="ja-JP"/>
        </w:rPr>
        <w:t xml:space="preserve">innovation required to deliver the service </w:t>
      </w:r>
      <w:r>
        <w:rPr>
          <w:noProof/>
          <w:lang w:val="en-IE" w:eastAsia="ja-JP"/>
        </w:rPr>
        <w:t xml:space="preserve">being procured </w:t>
      </w:r>
      <w:r w:rsidRPr="00C86B47">
        <w:rPr>
          <w:noProof/>
          <w:lang w:val="en-IE" w:eastAsia="ja-JP"/>
        </w:rPr>
        <w:t>is conducted in the Union or in a third country that contributes to the development of a European cloud and AI ecosystem</w:t>
      </w:r>
      <w:r>
        <w:rPr>
          <w:noProof/>
          <w:lang w:val="en-IE" w:eastAsia="ja-JP"/>
        </w:rPr>
        <w:t>;</w:t>
      </w:r>
    </w:p>
    <w:p w14:paraId="4892C6F9" w14:textId="77777777" w:rsidR="00D12BED" w:rsidRPr="00911750" w:rsidRDefault="00D12BED" w:rsidP="00D12BED">
      <w:pPr>
        <w:pStyle w:val="ListBullet"/>
        <w:numPr>
          <w:ilvl w:val="0"/>
          <w:numId w:val="148"/>
        </w:numPr>
        <w:tabs>
          <w:tab w:val="left" w:pos="567"/>
        </w:tabs>
        <w:spacing w:after="0"/>
        <w:ind w:left="1077" w:hanging="357"/>
        <w:rPr>
          <w:noProof/>
        </w:rPr>
      </w:pPr>
      <w:r>
        <w:rPr>
          <w:noProof/>
          <w:lang w:val="en-IE" w:eastAsia="ja-JP"/>
        </w:rPr>
        <w:t xml:space="preserve">That </w:t>
      </w:r>
      <w:r w:rsidRPr="00C86B47">
        <w:rPr>
          <w:noProof/>
          <w:lang w:val="en-IE" w:eastAsia="ja-JP"/>
        </w:rPr>
        <w:t>the service is  delivered, to the greatest extent feasible with regard to market availability or technical requirements, through critical [computing, storage and networking] hardware components designed in the Union or manufactured in the Union, or both, or, where this is not feasible, through hardware components from a country or countries that contribute to strengthening security of supply and developing a European cloud and AI ecosystem</w:t>
      </w:r>
      <w:r w:rsidRPr="00911750">
        <w:rPr>
          <w:noProof/>
        </w:rPr>
        <w:t xml:space="preserve">; </w:t>
      </w:r>
    </w:p>
    <w:p w14:paraId="60EEA60A" w14:textId="77777777" w:rsidR="00086155" w:rsidRDefault="00086155" w:rsidP="00086155">
      <w:pPr>
        <w:pStyle w:val="ListBullet"/>
        <w:numPr>
          <w:ilvl w:val="0"/>
          <w:numId w:val="0"/>
        </w:numPr>
        <w:spacing w:after="0"/>
        <w:rPr>
          <w:noProof/>
          <w:highlight w:val="yellow"/>
        </w:rPr>
      </w:pPr>
    </w:p>
    <w:p w14:paraId="4360BE5A" w14:textId="5FE7D3A4" w:rsidR="00517B51" w:rsidRDefault="00F70E80" w:rsidP="009F3575">
      <w:pPr>
        <w:rPr>
          <w:noProof/>
        </w:rPr>
      </w:pPr>
      <w:r>
        <w:rPr>
          <w:noProof/>
        </w:rPr>
        <w:t>Next, the baseline data used for this policy measure is detailed.</w:t>
      </w:r>
    </w:p>
    <w:p w14:paraId="2EF9B373" w14:textId="1B4FC03C" w:rsidR="00037985" w:rsidRPr="0007547C" w:rsidRDefault="00037985" w:rsidP="00037985">
      <w:pPr>
        <w:rPr>
          <w:noProof/>
        </w:rPr>
      </w:pPr>
      <w:r w:rsidRPr="294AF3FA">
        <w:rPr>
          <w:i/>
          <w:iCs/>
          <w:noProof/>
        </w:rPr>
        <w:t xml:space="preserve">Number of public tenders for </w:t>
      </w:r>
      <w:r w:rsidR="0001203E">
        <w:rPr>
          <w:i/>
          <w:iCs/>
          <w:noProof/>
        </w:rPr>
        <w:t>cloud</w:t>
      </w:r>
      <w:r w:rsidRPr="294AF3FA">
        <w:rPr>
          <w:i/>
          <w:iCs/>
          <w:noProof/>
        </w:rPr>
        <w:t xml:space="preserve"> and AI </w:t>
      </w:r>
      <w:r w:rsidR="00BB72EA">
        <w:rPr>
          <w:i/>
          <w:iCs/>
          <w:noProof/>
        </w:rPr>
        <w:t>computing</w:t>
      </w:r>
      <w:r w:rsidRPr="294AF3FA">
        <w:rPr>
          <w:i/>
          <w:iCs/>
          <w:noProof/>
        </w:rPr>
        <w:t xml:space="preserve"> services</w:t>
      </w:r>
      <w:r w:rsidRPr="0007547C">
        <w:rPr>
          <w:noProof/>
        </w:rPr>
        <w:t>. The data is taken from the TED portal</w:t>
      </w:r>
      <w:r w:rsidRPr="0007547C">
        <w:rPr>
          <w:rStyle w:val="FootnoteReference"/>
          <w:noProof/>
        </w:rPr>
        <w:footnoteReference w:id="66"/>
      </w:r>
      <w:r w:rsidRPr="0007547C">
        <w:rPr>
          <w:noProof/>
        </w:rPr>
        <w:t xml:space="preserve"> where all public tenders open by MSs are recorded. The list of tenders is filtered by the CPV related to IT services, software and computing, i.e. CPV codes under the families of 72000000, 30000000, and 48000000, and by keywords “cloud” and “AI”, which results in 1.043 tenders for 2024. This is expected to grow until 2030 using the same CAGR as the one observed for these tenders in the period 2021-24 (8.6%). From 2031 until the end of the period, the CAGR is reduced to half (4.3%) as a result of the improvement in cloud and AI adoption. </w:t>
      </w:r>
      <w:r w:rsidR="00B94199">
        <w:rPr>
          <w:noProof/>
        </w:rPr>
        <w:t xml:space="preserve">It is assumed that one fourth of the </w:t>
      </w:r>
      <w:r w:rsidR="00BE5ECC">
        <w:rPr>
          <w:noProof/>
        </w:rPr>
        <w:t>tenders use the voluntary criteria.</w:t>
      </w:r>
    </w:p>
    <w:p w14:paraId="3C65FC40" w14:textId="1D4C8912" w:rsidR="00037985" w:rsidRPr="0007547C" w:rsidRDefault="00037985" w:rsidP="00037985">
      <w:pPr>
        <w:rPr>
          <w:noProof/>
        </w:rPr>
      </w:pPr>
      <w:r w:rsidRPr="0007547C">
        <w:rPr>
          <w:noProof/>
        </w:rPr>
        <w:t xml:space="preserve">The assumption is that all </w:t>
      </w:r>
      <w:r w:rsidR="00C41AF2">
        <w:rPr>
          <w:noProof/>
        </w:rPr>
        <w:t>national public authorities</w:t>
      </w:r>
      <w:r w:rsidRPr="0007547C">
        <w:rPr>
          <w:noProof/>
        </w:rPr>
        <w:t xml:space="preserve"> participate in this measure even if not mandatory and each of them receives 3 to 4 offers for each public tender they organise.</w:t>
      </w:r>
    </w:p>
    <w:p w14:paraId="2F8AF9F2" w14:textId="7B90D3AB" w:rsidR="00037985" w:rsidRDefault="00225F13" w:rsidP="00037985">
      <w:pPr>
        <w:rPr>
          <w:noProof/>
        </w:rPr>
      </w:pPr>
      <w:r>
        <w:rPr>
          <w:i/>
          <w:noProof/>
        </w:rPr>
        <w:t>C</w:t>
      </w:r>
      <w:r w:rsidR="0001203E">
        <w:rPr>
          <w:i/>
          <w:noProof/>
        </w:rPr>
        <w:t>loud</w:t>
      </w:r>
      <w:r w:rsidR="00037985" w:rsidRPr="0007547C">
        <w:rPr>
          <w:i/>
          <w:noProof/>
        </w:rPr>
        <w:t xml:space="preserve"> and AI </w:t>
      </w:r>
      <w:r>
        <w:rPr>
          <w:i/>
          <w:noProof/>
        </w:rPr>
        <w:t>computing service</w:t>
      </w:r>
      <w:r w:rsidR="00037985" w:rsidRPr="0007547C">
        <w:rPr>
          <w:i/>
          <w:noProof/>
        </w:rPr>
        <w:t xml:space="preserve"> providers that participate in public procurement every year. </w:t>
      </w:r>
      <w:r w:rsidR="00037985" w:rsidRPr="0007547C">
        <w:rPr>
          <w:noProof/>
        </w:rPr>
        <w:t>An estimate of 350 providers is used in the calculation. The estimate is based on a combination of TED and desk research.</w:t>
      </w:r>
    </w:p>
    <w:p w14:paraId="766ADF86" w14:textId="22914210" w:rsidR="00037985" w:rsidRPr="0007547C" w:rsidRDefault="00037985" w:rsidP="00037985">
      <w:pPr>
        <w:rPr>
          <w:noProof/>
        </w:rPr>
      </w:pPr>
      <w:r w:rsidRPr="0007547C">
        <w:rPr>
          <w:b/>
          <w:i/>
          <w:noProof/>
        </w:rPr>
        <w:t xml:space="preserve">One-off administrative costs in </w:t>
      </w:r>
      <w:r w:rsidR="00C41AF2">
        <w:rPr>
          <w:b/>
          <w:i/>
          <w:noProof/>
        </w:rPr>
        <w:t>national public authorities</w:t>
      </w:r>
      <w:r w:rsidRPr="0007547C">
        <w:rPr>
          <w:b/>
          <w:i/>
          <w:noProof/>
        </w:rPr>
        <w:t xml:space="preserve">. </w:t>
      </w:r>
      <w:r w:rsidRPr="0007547C">
        <w:rPr>
          <w:noProof/>
        </w:rPr>
        <w:t>Administrations that choose to adhere to these criteria will need to adapt their procurement templates by integrating the specific award criteria, with a low effort of up to 10 staff days for each public authority. This is translated into the corresponding cost by multiplying by the average salary and the number of public authorities introducing the specific award criteria.</w:t>
      </w:r>
      <w:r w:rsidR="00ED0745">
        <w:rPr>
          <w:noProof/>
        </w:rPr>
        <w:t xml:space="preserve"> It is assumed that </w:t>
      </w:r>
      <w:r w:rsidR="00BA699D">
        <w:rPr>
          <w:noProof/>
        </w:rPr>
        <w:t>25%</w:t>
      </w:r>
      <w:r w:rsidR="00ED0745">
        <w:rPr>
          <w:noProof/>
        </w:rPr>
        <w:t xml:space="preserve"> of the authorities decide to use the award criteria</w:t>
      </w:r>
      <w:r w:rsidR="00ED6EB7">
        <w:rPr>
          <w:noProof/>
        </w:rPr>
        <w:t xml:space="preserve"> in their tenders</w:t>
      </w:r>
      <w:r w:rsidR="007B6516">
        <w:rPr>
          <w:noProof/>
        </w:rPr>
        <w:t xml:space="preserve"> and hence make the corresponding changes</w:t>
      </w:r>
      <w:r w:rsidR="00ED0745">
        <w:rPr>
          <w:noProof/>
        </w:rPr>
        <w:t>.</w:t>
      </w:r>
    </w:p>
    <w:p w14:paraId="2DA835F7" w14:textId="1BEC9A6B" w:rsidR="006377A9" w:rsidRPr="007E2AB2" w:rsidRDefault="006377A9" w:rsidP="008F5741">
      <w:pPr>
        <w:jc w:val="center"/>
        <w:rPr>
          <w:i/>
          <w:iCs/>
          <w:noProof/>
        </w:rPr>
      </w:pPr>
      <w:r w:rsidRPr="007E2AB2">
        <w:rPr>
          <w:i/>
          <w:iCs/>
          <w:noProof/>
        </w:rPr>
        <w:t xml:space="preserve">One-off administrative costs (NPA) = </w:t>
      </w:r>
      <w:r w:rsidR="008A17C0">
        <w:rPr>
          <w:i/>
          <w:iCs/>
          <w:noProof/>
        </w:rPr>
        <w:t xml:space="preserve">number of </w:t>
      </w:r>
      <w:r w:rsidR="0065319A">
        <w:rPr>
          <w:i/>
          <w:iCs/>
          <w:noProof/>
        </w:rPr>
        <w:t>national public authorities</w:t>
      </w:r>
      <w:r w:rsidR="00AC1BFE">
        <w:rPr>
          <w:i/>
          <w:iCs/>
          <w:noProof/>
        </w:rPr>
        <w:t xml:space="preserve"> introducing the </w:t>
      </w:r>
      <w:r w:rsidR="00906ED2">
        <w:rPr>
          <w:i/>
          <w:iCs/>
          <w:noProof/>
        </w:rPr>
        <w:t xml:space="preserve">non-price </w:t>
      </w:r>
      <w:r w:rsidR="00AC1BFE">
        <w:rPr>
          <w:i/>
          <w:iCs/>
          <w:noProof/>
        </w:rPr>
        <w:t>award criteria</w:t>
      </w:r>
      <w:r w:rsidRPr="007E2AB2">
        <w:rPr>
          <w:i/>
          <w:iCs/>
          <w:noProof/>
        </w:rPr>
        <w:br/>
        <w:t xml:space="preserve"> (labour cost * effort to adapt templates)</w:t>
      </w:r>
    </w:p>
    <w:p w14:paraId="1C9DE585" w14:textId="1649EF9E" w:rsidR="00037985" w:rsidRPr="0007547C" w:rsidRDefault="00037985" w:rsidP="00037985">
      <w:pPr>
        <w:rPr>
          <w:noProof/>
        </w:rPr>
      </w:pPr>
      <w:r w:rsidRPr="0007547C">
        <w:rPr>
          <w:b/>
          <w:i/>
          <w:noProof/>
        </w:rPr>
        <w:t xml:space="preserve">Recurrent savings in </w:t>
      </w:r>
      <w:r w:rsidR="00C41AF2">
        <w:rPr>
          <w:b/>
          <w:i/>
          <w:noProof/>
        </w:rPr>
        <w:t>national public authorities</w:t>
      </w:r>
      <w:r w:rsidRPr="0007547C">
        <w:rPr>
          <w:b/>
          <w:i/>
          <w:noProof/>
        </w:rPr>
        <w:t>.</w:t>
      </w:r>
      <w:r w:rsidRPr="0007547C">
        <w:rPr>
          <w:b/>
          <w:noProof/>
        </w:rPr>
        <w:t xml:space="preserve"> </w:t>
      </w:r>
      <w:r w:rsidRPr="0007547C">
        <w:rPr>
          <w:noProof/>
        </w:rPr>
        <w:t>Public authorities will use the standard award criteria and guidelines instead of drafting those separately. This represents a saving and is estimated at</w:t>
      </w:r>
      <w:r w:rsidR="001A5933">
        <w:rPr>
          <w:noProof/>
        </w:rPr>
        <w:t xml:space="preserve"> an assumption of</w:t>
      </w:r>
      <w:r w:rsidRPr="0007547C">
        <w:rPr>
          <w:noProof/>
        </w:rPr>
        <w:t xml:space="preserve"> </w:t>
      </w:r>
      <w:r w:rsidR="007B3A31">
        <w:rPr>
          <w:noProof/>
        </w:rPr>
        <w:t>1.5</w:t>
      </w:r>
      <w:r w:rsidRPr="0007547C">
        <w:rPr>
          <w:noProof/>
        </w:rPr>
        <w:t xml:space="preserve"> </w:t>
      </w:r>
      <w:r w:rsidR="00365590">
        <w:rPr>
          <w:noProof/>
        </w:rPr>
        <w:t>days</w:t>
      </w:r>
      <w:r w:rsidRPr="0007547C">
        <w:rPr>
          <w:noProof/>
        </w:rPr>
        <w:t xml:space="preserve"> per public tender. </w:t>
      </w:r>
    </w:p>
    <w:p w14:paraId="48D4C078" w14:textId="6DB1CC40" w:rsidR="00755292" w:rsidRPr="0007547C" w:rsidRDefault="00755292" w:rsidP="008F5741">
      <w:pPr>
        <w:jc w:val="center"/>
        <w:rPr>
          <w:noProof/>
        </w:rPr>
      </w:pPr>
      <w:r>
        <w:rPr>
          <w:i/>
          <w:iCs/>
          <w:noProof/>
        </w:rPr>
        <w:t>Recurrent savings</w:t>
      </w:r>
      <w:r w:rsidRPr="000A7DAD">
        <w:rPr>
          <w:i/>
          <w:iCs/>
          <w:noProof/>
        </w:rPr>
        <w:t xml:space="preserve"> (NPA) = </w:t>
      </w:r>
      <w:r w:rsidR="0059177C">
        <w:rPr>
          <w:i/>
          <w:iCs/>
          <w:noProof/>
        </w:rPr>
        <w:t xml:space="preserve">number of </w:t>
      </w:r>
      <w:r w:rsidR="00BE5ECC">
        <w:rPr>
          <w:i/>
          <w:iCs/>
          <w:noProof/>
        </w:rPr>
        <w:t>tenders</w:t>
      </w:r>
      <w:r w:rsidRPr="000A7DAD">
        <w:rPr>
          <w:i/>
          <w:iCs/>
          <w:noProof/>
        </w:rPr>
        <w:t xml:space="preserve"> </w:t>
      </w:r>
      <w:r w:rsidRPr="000A7DAD">
        <w:rPr>
          <w:i/>
          <w:iCs/>
          <w:noProof/>
        </w:rPr>
        <w:br/>
        <w:t xml:space="preserve"> (labour cost * effort </w:t>
      </w:r>
      <w:r>
        <w:rPr>
          <w:i/>
          <w:iCs/>
          <w:noProof/>
        </w:rPr>
        <w:t>saved</w:t>
      </w:r>
      <w:r w:rsidRPr="000A7DAD">
        <w:rPr>
          <w:i/>
          <w:iCs/>
          <w:noProof/>
        </w:rPr>
        <w:t>)</w:t>
      </w:r>
    </w:p>
    <w:p w14:paraId="001059EC" w14:textId="3B014CFA" w:rsidR="00A93742" w:rsidRDefault="00037985" w:rsidP="00037985">
      <w:pPr>
        <w:rPr>
          <w:noProof/>
        </w:rPr>
      </w:pPr>
      <w:r w:rsidRPr="0007547C">
        <w:rPr>
          <w:b/>
          <w:i/>
          <w:noProof/>
        </w:rPr>
        <w:t xml:space="preserve">One-off </w:t>
      </w:r>
      <w:r>
        <w:rPr>
          <w:b/>
          <w:i/>
          <w:noProof/>
        </w:rPr>
        <w:t>adjustment</w:t>
      </w:r>
      <w:r w:rsidRPr="0007547C">
        <w:rPr>
          <w:b/>
          <w:i/>
          <w:noProof/>
        </w:rPr>
        <w:t xml:space="preserve"> costs for </w:t>
      </w:r>
      <w:r w:rsidR="0001203E">
        <w:rPr>
          <w:b/>
          <w:i/>
          <w:noProof/>
        </w:rPr>
        <w:t>cloud</w:t>
      </w:r>
      <w:r w:rsidRPr="0007547C">
        <w:rPr>
          <w:b/>
          <w:i/>
          <w:noProof/>
        </w:rPr>
        <w:t xml:space="preserve"> and AI </w:t>
      </w:r>
      <w:r w:rsidR="00F277BE">
        <w:rPr>
          <w:b/>
          <w:i/>
          <w:noProof/>
        </w:rPr>
        <w:t>computing service provider</w:t>
      </w:r>
      <w:r w:rsidRPr="0007547C">
        <w:rPr>
          <w:b/>
          <w:i/>
          <w:noProof/>
        </w:rPr>
        <w:t>s</w:t>
      </w:r>
      <w:r w:rsidRPr="0007547C">
        <w:rPr>
          <w:b/>
          <w:noProof/>
        </w:rPr>
        <w:t xml:space="preserve">. </w:t>
      </w:r>
      <w:r w:rsidRPr="0007547C">
        <w:rPr>
          <w:noProof/>
        </w:rPr>
        <w:t xml:space="preserve">Providers who choose to participate in procurement processes including the specific award criteria need to align with the public procurement procedures for cloud and AI </w:t>
      </w:r>
      <w:r w:rsidR="00BB72EA">
        <w:rPr>
          <w:noProof/>
        </w:rPr>
        <w:t xml:space="preserve">computing </w:t>
      </w:r>
      <w:r w:rsidRPr="0007547C">
        <w:rPr>
          <w:noProof/>
        </w:rPr>
        <w:t>service</w:t>
      </w:r>
      <w:r w:rsidR="00BB72EA">
        <w:rPr>
          <w:noProof/>
        </w:rPr>
        <w:t>s</w:t>
      </w:r>
      <w:r w:rsidRPr="0007547C">
        <w:rPr>
          <w:noProof/>
        </w:rPr>
        <w:t>. This includes adopting and aligning their processes and improving them to meet these criteria, with an estimated one-off effort of up to 20 staff days</w:t>
      </w:r>
      <w:r w:rsidR="00A93742">
        <w:rPr>
          <w:noProof/>
        </w:rPr>
        <w:t>.</w:t>
      </w:r>
    </w:p>
    <w:p w14:paraId="33F27C0A" w14:textId="4AF11961" w:rsidR="00037985" w:rsidRPr="0007547C" w:rsidRDefault="00A93742" w:rsidP="00037985">
      <w:pPr>
        <w:rPr>
          <w:noProof/>
        </w:rPr>
      </w:pPr>
      <w:r w:rsidRPr="008F5741">
        <w:rPr>
          <w:b/>
          <w:i/>
          <w:noProof/>
        </w:rPr>
        <w:t xml:space="preserve">Recurrent administrative costs for </w:t>
      </w:r>
      <w:r w:rsidR="0001203E">
        <w:rPr>
          <w:b/>
          <w:i/>
          <w:noProof/>
        </w:rPr>
        <w:t>cloud</w:t>
      </w:r>
      <w:r w:rsidR="00037985" w:rsidRPr="008F5741">
        <w:rPr>
          <w:b/>
          <w:i/>
          <w:noProof/>
        </w:rPr>
        <w:t xml:space="preserve"> and </w:t>
      </w:r>
      <w:r w:rsidRPr="008F5741">
        <w:rPr>
          <w:b/>
          <w:i/>
          <w:noProof/>
        </w:rPr>
        <w:t xml:space="preserve">AI </w:t>
      </w:r>
      <w:r w:rsidR="00F277BE">
        <w:rPr>
          <w:b/>
          <w:i/>
          <w:noProof/>
        </w:rPr>
        <w:t xml:space="preserve">computing service </w:t>
      </w:r>
      <w:r w:rsidRPr="008F5741">
        <w:rPr>
          <w:b/>
          <w:i/>
          <w:noProof/>
        </w:rPr>
        <w:t>providers</w:t>
      </w:r>
      <w:r>
        <w:rPr>
          <w:noProof/>
        </w:rPr>
        <w:t>, are the costs needed to</w:t>
      </w:r>
      <w:r w:rsidR="00037985" w:rsidRPr="0007547C">
        <w:rPr>
          <w:noProof/>
        </w:rPr>
        <w:t xml:space="preserve"> </w:t>
      </w:r>
      <w:r w:rsidR="00BA1766" w:rsidRPr="0007547C">
        <w:rPr>
          <w:noProof/>
        </w:rPr>
        <w:t>adequate</w:t>
      </w:r>
      <w:r>
        <w:rPr>
          <w:noProof/>
        </w:rPr>
        <w:t xml:space="preserve"> the</w:t>
      </w:r>
      <w:r w:rsidRPr="0007547C">
        <w:rPr>
          <w:noProof/>
        </w:rPr>
        <w:t xml:space="preserve"> </w:t>
      </w:r>
      <w:r w:rsidR="00037985" w:rsidRPr="0007547C">
        <w:rPr>
          <w:noProof/>
        </w:rPr>
        <w:t xml:space="preserve">offers, assumed to be 2 staff days per </w:t>
      </w:r>
      <w:r w:rsidR="002560D2">
        <w:rPr>
          <w:noProof/>
        </w:rPr>
        <w:t>bid</w:t>
      </w:r>
      <w:r w:rsidR="00037985" w:rsidRPr="0007547C">
        <w:rPr>
          <w:noProof/>
        </w:rPr>
        <w:t>. These days</w:t>
      </w:r>
      <w:r w:rsidR="00F46938">
        <w:rPr>
          <w:noProof/>
        </w:rPr>
        <w:t xml:space="preserve"> were </w:t>
      </w:r>
      <w:r w:rsidR="0039141A">
        <w:rPr>
          <w:noProof/>
        </w:rPr>
        <w:t xml:space="preserve">validated during the interviews </w:t>
      </w:r>
      <w:r w:rsidR="00F46938">
        <w:rPr>
          <w:noProof/>
        </w:rPr>
        <w:t>as part of the supporting study. They</w:t>
      </w:r>
      <w:r w:rsidR="00037985" w:rsidRPr="0007547C">
        <w:rPr>
          <w:noProof/>
        </w:rPr>
        <w:t xml:space="preserve"> assume only administrative work for companies who would be eligible.</w:t>
      </w:r>
      <w:r w:rsidR="00BD52EE">
        <w:rPr>
          <w:noProof/>
        </w:rPr>
        <w:t xml:space="preserve"> </w:t>
      </w:r>
      <w:r w:rsidR="00037985" w:rsidRPr="0007547C">
        <w:rPr>
          <w:noProof/>
        </w:rPr>
        <w:t xml:space="preserve">The cost is calculated multiplying this effort by the number of </w:t>
      </w:r>
      <w:r w:rsidR="002560D2">
        <w:rPr>
          <w:noProof/>
        </w:rPr>
        <w:t>bids</w:t>
      </w:r>
      <w:r w:rsidR="002560D2" w:rsidRPr="0007547C">
        <w:rPr>
          <w:noProof/>
        </w:rPr>
        <w:t xml:space="preserve"> </w:t>
      </w:r>
      <w:r w:rsidR="00037985" w:rsidRPr="0007547C">
        <w:rPr>
          <w:noProof/>
        </w:rPr>
        <w:t xml:space="preserve">presented in a year and the average salary of the cloud and AI </w:t>
      </w:r>
      <w:r w:rsidR="00F277BE">
        <w:rPr>
          <w:noProof/>
        </w:rPr>
        <w:t xml:space="preserve">computing service </w:t>
      </w:r>
      <w:r w:rsidR="00037985" w:rsidRPr="0007547C">
        <w:rPr>
          <w:noProof/>
        </w:rPr>
        <w:t>providers.</w:t>
      </w:r>
    </w:p>
    <w:p w14:paraId="6186D1AF" w14:textId="77777777" w:rsidR="00814C49" w:rsidRPr="007E2AB2" w:rsidRDefault="00814C49" w:rsidP="00814C49">
      <w:pPr>
        <w:rPr>
          <w:i/>
          <w:iCs/>
          <w:noProof/>
        </w:rPr>
      </w:pPr>
      <w:r w:rsidRPr="007E2AB2">
        <w:rPr>
          <w:i/>
          <w:iCs/>
          <w:noProof/>
        </w:rPr>
        <w:t>Recurrent administrative cost = number of bids presented * effort / bid * labour costs</w:t>
      </w:r>
    </w:p>
    <w:p w14:paraId="788D53C9" w14:textId="7D3CF5BD" w:rsidR="00037985" w:rsidRPr="0007547C" w:rsidRDefault="00037985" w:rsidP="00037985">
      <w:pPr>
        <w:rPr>
          <w:noProof/>
        </w:rPr>
      </w:pPr>
      <w:r w:rsidRPr="0007547C">
        <w:rPr>
          <w:b/>
          <w:i/>
          <w:noProof/>
        </w:rPr>
        <w:t xml:space="preserve">Recurrent savings for </w:t>
      </w:r>
      <w:r w:rsidR="0001203E">
        <w:rPr>
          <w:b/>
          <w:i/>
          <w:noProof/>
        </w:rPr>
        <w:t>cloud</w:t>
      </w:r>
      <w:r w:rsidRPr="0007547C">
        <w:rPr>
          <w:b/>
          <w:i/>
          <w:noProof/>
        </w:rPr>
        <w:t xml:space="preserve"> and AI </w:t>
      </w:r>
      <w:r w:rsidR="00F277BE">
        <w:rPr>
          <w:b/>
          <w:i/>
          <w:noProof/>
        </w:rPr>
        <w:t xml:space="preserve">computing service </w:t>
      </w:r>
      <w:r w:rsidRPr="0007547C">
        <w:rPr>
          <w:b/>
          <w:i/>
          <w:noProof/>
        </w:rPr>
        <w:t>providers.</w:t>
      </w:r>
      <w:r w:rsidRPr="0007547C">
        <w:rPr>
          <w:noProof/>
        </w:rPr>
        <w:t xml:space="preserve"> Revenue gains are possible, especially for providers who can differentiate due to the award criteria. These are however not modelled.</w:t>
      </w:r>
    </w:p>
    <w:p w14:paraId="60D44326" w14:textId="3A5F6AF3" w:rsidR="00037985" w:rsidRPr="0007547C" w:rsidRDefault="00037985" w:rsidP="00037985">
      <w:pPr>
        <w:rPr>
          <w:noProof/>
        </w:rPr>
      </w:pPr>
      <w:r w:rsidRPr="0007547C">
        <w:rPr>
          <w:b/>
          <w:noProof/>
        </w:rPr>
        <w:t xml:space="preserve">Indirect </w:t>
      </w:r>
      <w:r w:rsidR="001D1524">
        <w:rPr>
          <w:b/>
          <w:noProof/>
        </w:rPr>
        <w:t>savings</w:t>
      </w:r>
      <w:r w:rsidRPr="0007547C">
        <w:rPr>
          <w:b/>
          <w:noProof/>
        </w:rPr>
        <w:t>:</w:t>
      </w:r>
      <w:r w:rsidRPr="0007547C">
        <w:rPr>
          <w:noProof/>
        </w:rPr>
        <w:t xml:space="preserve"> There are notable indirect benefits for cloud and AI </w:t>
      </w:r>
      <w:r w:rsidR="00F277BE">
        <w:rPr>
          <w:noProof/>
        </w:rPr>
        <w:t xml:space="preserve">computing service </w:t>
      </w:r>
      <w:r w:rsidRPr="0007547C">
        <w:rPr>
          <w:noProof/>
        </w:rPr>
        <w:t xml:space="preserve">providers that are able to comply with the different non-specific award criteria. For instance, additional revenue gains, increase in reputation and the possibility to enlarge the scope of their solutions which in turn may lead to an increase of sales. </w:t>
      </w:r>
    </w:p>
    <w:p w14:paraId="4A20EFD5" w14:textId="16E3759A" w:rsidR="00037985" w:rsidRDefault="00037985" w:rsidP="00037985">
      <w:pPr>
        <w:rPr>
          <w:noProof/>
        </w:rPr>
      </w:pPr>
      <w:r w:rsidRPr="0007547C">
        <w:rPr>
          <w:b/>
          <w:noProof/>
        </w:rPr>
        <w:t xml:space="preserve">Sensitivity analysis: </w:t>
      </w:r>
      <w:r w:rsidRPr="0007547C">
        <w:rPr>
          <w:noProof/>
        </w:rPr>
        <w:t xml:space="preserve">The impact of this policy measure is sensitive to the number of public authorities procuring </w:t>
      </w:r>
      <w:r w:rsidR="0001203E">
        <w:rPr>
          <w:noProof/>
        </w:rPr>
        <w:t>cloud</w:t>
      </w:r>
      <w:r w:rsidRPr="0007547C">
        <w:rPr>
          <w:noProof/>
        </w:rPr>
        <w:t xml:space="preserve"> and AI </w:t>
      </w:r>
      <w:r w:rsidR="00BB72EA">
        <w:rPr>
          <w:noProof/>
        </w:rPr>
        <w:t xml:space="preserve">computing </w:t>
      </w:r>
      <w:r w:rsidRPr="0007547C">
        <w:rPr>
          <w:noProof/>
        </w:rPr>
        <w:t xml:space="preserve">services, the number of tenders and offers per year and the number of </w:t>
      </w:r>
      <w:r w:rsidR="0001203E">
        <w:rPr>
          <w:noProof/>
        </w:rPr>
        <w:t>cloud</w:t>
      </w:r>
      <w:r w:rsidRPr="0007547C">
        <w:rPr>
          <w:noProof/>
        </w:rPr>
        <w:t xml:space="preserve"> and AI </w:t>
      </w:r>
      <w:r w:rsidR="00F277BE">
        <w:rPr>
          <w:noProof/>
        </w:rPr>
        <w:t>computing service provider</w:t>
      </w:r>
      <w:r w:rsidRPr="0007547C">
        <w:rPr>
          <w:noProof/>
        </w:rPr>
        <w:t>s</w:t>
      </w:r>
      <w:r w:rsidR="00BB0F35">
        <w:rPr>
          <w:noProof/>
        </w:rPr>
        <w:t xml:space="preserve"> and the costs to adapt the offers</w:t>
      </w:r>
      <w:r w:rsidRPr="0007547C">
        <w:rPr>
          <w:noProof/>
        </w:rPr>
        <w:t xml:space="preserve">. </w:t>
      </w:r>
    </w:p>
    <w:p w14:paraId="6C9D8ED9" w14:textId="709858C7" w:rsidR="00037985" w:rsidRPr="004465BE" w:rsidRDefault="00037985" w:rsidP="00037985">
      <w:pPr>
        <w:rPr>
          <w:noProof/>
          <w:color w:val="000000" w:themeColor="text1"/>
        </w:rPr>
      </w:pPr>
      <w:r w:rsidRPr="00DA029C">
        <w:rPr>
          <w:b/>
          <w:bCs/>
          <w:noProof/>
          <w:color w:val="000000" w:themeColor="text1"/>
        </w:rPr>
        <w:t>Results</w:t>
      </w:r>
      <w:r w:rsidRPr="00DA029C">
        <w:rPr>
          <w:noProof/>
          <w:color w:val="000000" w:themeColor="text1"/>
        </w:rPr>
        <w:t xml:space="preserve"> for all stakeholders aggregated and for the years covered by this measure are summarised in the table below. </w:t>
      </w:r>
      <w:r w:rsidRPr="004465BE">
        <w:rPr>
          <w:noProof/>
          <w:color w:val="000000" w:themeColor="text1"/>
        </w:rPr>
        <w:t xml:space="preserve">Total costs are estimated between </w:t>
      </w:r>
      <w:r w:rsidR="00706359">
        <w:rPr>
          <w:noProof/>
          <w:color w:val="000000" w:themeColor="text1"/>
        </w:rPr>
        <w:t xml:space="preserve">EUR </w:t>
      </w:r>
      <w:r w:rsidR="00D648D4">
        <w:rPr>
          <w:noProof/>
          <w:color w:val="000000" w:themeColor="text1"/>
        </w:rPr>
        <w:t>6</w:t>
      </w:r>
      <w:r w:rsidRPr="004465BE">
        <w:rPr>
          <w:noProof/>
          <w:color w:val="000000" w:themeColor="text1"/>
        </w:rPr>
        <w:t xml:space="preserve">.0 million and </w:t>
      </w:r>
      <w:r w:rsidR="00706359">
        <w:rPr>
          <w:noProof/>
          <w:color w:val="000000" w:themeColor="text1"/>
        </w:rPr>
        <w:t>EUR</w:t>
      </w:r>
      <w:r w:rsidRPr="004465BE">
        <w:rPr>
          <w:noProof/>
          <w:color w:val="000000" w:themeColor="text1"/>
        </w:rPr>
        <w:t xml:space="preserve"> </w:t>
      </w:r>
      <w:r w:rsidR="00D648D4">
        <w:rPr>
          <w:noProof/>
          <w:color w:val="000000" w:themeColor="text1"/>
        </w:rPr>
        <w:t>31.5</w:t>
      </w:r>
      <w:r w:rsidRPr="004465BE">
        <w:rPr>
          <w:noProof/>
          <w:color w:val="000000" w:themeColor="text1"/>
        </w:rPr>
        <w:t xml:space="preserve"> million, consisting mainly of recurrent administrative costs related to coordination, reporting, and compliance activities, alongside smaller one-off administrative and adjustment costs. Total cost savings are limited, ranging from </w:t>
      </w:r>
      <w:r w:rsidRPr="00421904">
        <w:rPr>
          <w:noProof/>
          <w:color w:val="000000" w:themeColor="text1"/>
        </w:rPr>
        <w:t xml:space="preserve">EUR </w:t>
      </w:r>
      <w:r w:rsidR="00D648D4">
        <w:rPr>
          <w:noProof/>
          <w:color w:val="000000" w:themeColor="text1"/>
        </w:rPr>
        <w:t>1.1</w:t>
      </w:r>
      <w:r w:rsidRPr="004465BE">
        <w:rPr>
          <w:noProof/>
          <w:color w:val="000000" w:themeColor="text1"/>
        </w:rPr>
        <w:t xml:space="preserve"> million to </w:t>
      </w:r>
      <w:r w:rsidRPr="00421904">
        <w:rPr>
          <w:noProof/>
          <w:color w:val="000000" w:themeColor="text1"/>
        </w:rPr>
        <w:t xml:space="preserve">EUR </w:t>
      </w:r>
      <w:r w:rsidR="00D648D4">
        <w:rPr>
          <w:noProof/>
          <w:color w:val="000000" w:themeColor="text1"/>
        </w:rPr>
        <w:t>3.3</w:t>
      </w:r>
      <w:r w:rsidRPr="004465BE">
        <w:rPr>
          <w:noProof/>
          <w:color w:val="000000" w:themeColor="text1"/>
        </w:rPr>
        <w:t xml:space="preserve"> million.</w:t>
      </w:r>
      <w:r w:rsidRPr="00DA029C" w:rsidDel="00594342">
        <w:rPr>
          <w:noProof/>
          <w:color w:val="000000" w:themeColor="text1"/>
        </w:rPr>
        <w:t xml:space="preserve"> </w:t>
      </w:r>
      <w:r w:rsidR="0068698B">
        <w:rPr>
          <w:noProof/>
          <w:color w:val="000000" w:themeColor="text1"/>
        </w:rPr>
        <w:t>C</w:t>
      </w:r>
      <w:r w:rsidRPr="00DA029C">
        <w:rPr>
          <w:noProof/>
          <w:color w:val="000000" w:themeColor="text1"/>
        </w:rPr>
        <w:t>osts outweigh benefits across the average, min and max set of parameters.</w:t>
      </w:r>
      <w:r w:rsidRPr="004465BE">
        <w:rPr>
          <w:noProof/>
          <w:color w:val="000000" w:themeColor="text1"/>
        </w:rPr>
        <w:t xml:space="preserve"> The difference in the min</w:t>
      </w:r>
      <w:r w:rsidRPr="00421904">
        <w:rPr>
          <w:noProof/>
          <w:color w:val="000000" w:themeColor="text1"/>
        </w:rPr>
        <w:t xml:space="preserve"> </w:t>
      </w:r>
      <w:r w:rsidRPr="004465BE">
        <w:rPr>
          <w:noProof/>
          <w:color w:val="000000" w:themeColor="text1"/>
        </w:rPr>
        <w:t>and max is mainly caused by the number of CSP</w:t>
      </w:r>
      <w:r w:rsidRPr="00421904">
        <w:rPr>
          <w:noProof/>
          <w:color w:val="000000" w:themeColor="text1"/>
        </w:rPr>
        <w:t xml:space="preserve"> and </w:t>
      </w:r>
      <w:r w:rsidRPr="004465BE">
        <w:rPr>
          <w:noProof/>
          <w:color w:val="000000" w:themeColor="text1"/>
        </w:rPr>
        <w:t>AI providers participating in public procurement every year across EU.</w:t>
      </w:r>
    </w:p>
    <w:p w14:paraId="737E1E2E" w14:textId="4CF38AFF" w:rsidR="00037985" w:rsidRDefault="00037985" w:rsidP="00037985">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36</w:t>
      </w:r>
      <w:r>
        <w:rPr>
          <w:noProof/>
        </w:rPr>
        <w:fldChar w:fldCharType="end"/>
      </w:r>
      <w:r>
        <w:rPr>
          <w:noProof/>
        </w:rPr>
        <w:t xml:space="preserve">. </w:t>
      </w:r>
      <w:r w:rsidRPr="00D5398C">
        <w:rPr>
          <w:noProof/>
        </w:rPr>
        <w:t xml:space="preserve">Non-mandatory specific award criteria for cloud and AI </w:t>
      </w:r>
      <w:r w:rsidR="00BB72EA">
        <w:rPr>
          <w:noProof/>
        </w:rPr>
        <w:t>computing</w:t>
      </w:r>
      <w:r w:rsidRPr="00D5398C">
        <w:rPr>
          <w:noProof/>
        </w:rPr>
        <w:t xml:space="preserve"> service procurement</w:t>
      </w:r>
      <w:r>
        <w:rPr>
          <w:noProof/>
        </w:rPr>
        <w:t xml:space="preserve"> (PM16)</w:t>
      </w:r>
    </w:p>
    <w:tbl>
      <w:tblPr>
        <w:tblStyle w:val="TableGrid"/>
        <w:tblW w:w="9923" w:type="dxa"/>
        <w:tblInd w:w="-567" w:type="dxa"/>
        <w:tblLayout w:type="fixed"/>
        <w:tblCellMar>
          <w:left w:w="0" w:type="dxa"/>
          <w:right w:w="0" w:type="dxa"/>
        </w:tblCellMar>
        <w:tblLook w:val="04A0" w:firstRow="1" w:lastRow="0" w:firstColumn="1" w:lastColumn="0" w:noHBand="0" w:noVBand="1"/>
      </w:tblPr>
      <w:tblGrid>
        <w:gridCol w:w="2127"/>
        <w:gridCol w:w="1134"/>
        <w:gridCol w:w="1417"/>
        <w:gridCol w:w="993"/>
        <w:gridCol w:w="1417"/>
        <w:gridCol w:w="1418"/>
        <w:gridCol w:w="1417"/>
      </w:tblGrid>
      <w:tr w:rsidR="000422D1" w:rsidRPr="00FA63C0" w14:paraId="0E46E645" w14:textId="77777777" w:rsidTr="00331247">
        <w:trPr>
          <w:trHeight w:val="506"/>
        </w:trPr>
        <w:tc>
          <w:tcPr>
            <w:tcW w:w="2127" w:type="dxa"/>
            <w:tcBorders>
              <w:bottom w:val="single" w:sz="12" w:space="0" w:color="00B0F0"/>
            </w:tcBorders>
            <w:noWrap/>
            <w:hideMark/>
          </w:tcPr>
          <w:p w14:paraId="3662C3E8" w14:textId="77777777" w:rsidR="000422D1" w:rsidRPr="00FA63C0" w:rsidRDefault="000422D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134" w:type="dxa"/>
            <w:tcBorders>
              <w:bottom w:val="single" w:sz="12" w:space="0" w:color="00B0F0"/>
            </w:tcBorders>
          </w:tcPr>
          <w:p w14:paraId="06027426" w14:textId="10436B16" w:rsidR="000422D1"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tcPr>
          <w:p w14:paraId="272E999E" w14:textId="77777777" w:rsidR="000422D1" w:rsidRPr="00FA63C0" w:rsidRDefault="000422D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993" w:type="dxa"/>
            <w:tcBorders>
              <w:bottom w:val="single" w:sz="12" w:space="0" w:color="00B0F0"/>
            </w:tcBorders>
          </w:tcPr>
          <w:p w14:paraId="41C804A3" w14:textId="77777777" w:rsidR="000422D1" w:rsidRPr="00FA63C0" w:rsidRDefault="000422D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noWrap/>
            <w:hideMark/>
          </w:tcPr>
          <w:p w14:paraId="3166AA92" w14:textId="77777777" w:rsidR="000422D1" w:rsidRPr="00FA63C0" w:rsidRDefault="000422D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hideMark/>
          </w:tcPr>
          <w:p w14:paraId="4AAA7636" w14:textId="77777777" w:rsidR="000422D1" w:rsidRPr="00EC6BC1" w:rsidRDefault="000422D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417" w:type="dxa"/>
            <w:tcBorders>
              <w:bottom w:val="single" w:sz="12" w:space="0" w:color="00B0F0"/>
            </w:tcBorders>
            <w:noWrap/>
            <w:hideMark/>
          </w:tcPr>
          <w:p w14:paraId="0885C0ED" w14:textId="77777777" w:rsidR="000422D1" w:rsidRPr="00FA63C0" w:rsidRDefault="000422D1">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7D714B" w:rsidRPr="00397C78" w14:paraId="2CDDE465" w14:textId="77777777" w:rsidTr="00330C5F">
        <w:trPr>
          <w:trHeight w:val="283"/>
        </w:trPr>
        <w:tc>
          <w:tcPr>
            <w:tcW w:w="2127" w:type="dxa"/>
            <w:tcBorders>
              <w:top w:val="single" w:sz="12" w:space="0" w:color="00B0F0"/>
            </w:tcBorders>
            <w:noWrap/>
            <w:hideMark/>
          </w:tcPr>
          <w:p w14:paraId="50FC91F3"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134" w:type="dxa"/>
            <w:tcBorders>
              <w:top w:val="single" w:sz="12" w:space="0" w:color="00B0F0"/>
            </w:tcBorders>
          </w:tcPr>
          <w:p w14:paraId="0477E98D" w14:textId="76636AE5" w:rsidR="007D714B" w:rsidRPr="00FA63C0" w:rsidRDefault="007D714B" w:rsidP="007D714B">
            <w:pPr>
              <w:spacing w:after="0"/>
              <w:jc w:val="right"/>
              <w:rPr>
                <w:noProof/>
                <w:sz w:val="20"/>
                <w:szCs w:val="20"/>
                <w:lang w:val="en-IE" w:eastAsia="en-IE"/>
              </w:rPr>
            </w:pPr>
            <w:r w:rsidRPr="00FA63C0">
              <w:rPr>
                <w:noProof/>
                <w:sz w:val="20"/>
                <w:szCs w:val="20"/>
              </w:rPr>
              <w:t>-</w:t>
            </w:r>
          </w:p>
        </w:tc>
        <w:tc>
          <w:tcPr>
            <w:tcW w:w="1417" w:type="dxa"/>
            <w:tcBorders>
              <w:top w:val="single" w:sz="12" w:space="0" w:color="00B0F0"/>
            </w:tcBorders>
          </w:tcPr>
          <w:p w14:paraId="07478AA3" w14:textId="0064593F" w:rsidR="007D714B" w:rsidRPr="00FA63C0" w:rsidRDefault="007D714B" w:rsidP="007D714B">
            <w:pPr>
              <w:spacing w:after="0"/>
              <w:jc w:val="right"/>
              <w:rPr>
                <w:noProof/>
                <w:sz w:val="20"/>
                <w:szCs w:val="20"/>
                <w:lang w:val="en-IE" w:eastAsia="en-IE"/>
              </w:rPr>
            </w:pPr>
            <w:r w:rsidRPr="00602442">
              <w:rPr>
                <w:noProof/>
                <w:sz w:val="20"/>
                <w:szCs w:val="20"/>
              </w:rPr>
              <w:t>1</w:t>
            </w:r>
            <w:r>
              <w:rPr>
                <w:noProof/>
                <w:sz w:val="20"/>
                <w:szCs w:val="20"/>
              </w:rPr>
              <w:t xml:space="preserve"> </w:t>
            </w:r>
            <w:r w:rsidRPr="00602442">
              <w:rPr>
                <w:noProof/>
                <w:sz w:val="20"/>
                <w:szCs w:val="20"/>
              </w:rPr>
              <w:t>731</w:t>
            </w:r>
            <w:r>
              <w:rPr>
                <w:noProof/>
                <w:sz w:val="20"/>
                <w:szCs w:val="20"/>
              </w:rPr>
              <w:t xml:space="preserve"> </w:t>
            </w:r>
            <w:r w:rsidRPr="00602442">
              <w:rPr>
                <w:noProof/>
                <w:sz w:val="20"/>
                <w:szCs w:val="20"/>
              </w:rPr>
              <w:t>580</w:t>
            </w:r>
          </w:p>
        </w:tc>
        <w:tc>
          <w:tcPr>
            <w:tcW w:w="993" w:type="dxa"/>
            <w:tcBorders>
              <w:top w:val="single" w:sz="12" w:space="0" w:color="00B0F0"/>
            </w:tcBorders>
          </w:tcPr>
          <w:p w14:paraId="5E9E3C78" w14:textId="56BA0004"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Borders>
              <w:top w:val="single" w:sz="12" w:space="0" w:color="00B0F0"/>
            </w:tcBorders>
            <w:noWrap/>
          </w:tcPr>
          <w:p w14:paraId="7782BCB4" w14:textId="24C07997" w:rsidR="007D714B" w:rsidRPr="000422D1" w:rsidRDefault="007D714B" w:rsidP="007D714B">
            <w:pPr>
              <w:spacing w:after="0"/>
              <w:jc w:val="right"/>
              <w:rPr>
                <w:noProof/>
                <w:sz w:val="20"/>
                <w:szCs w:val="20"/>
                <w:lang w:val="en-IE" w:eastAsia="en-IE"/>
              </w:rPr>
            </w:pPr>
            <w:r w:rsidRPr="00602442">
              <w:rPr>
                <w:noProof/>
                <w:sz w:val="20"/>
                <w:szCs w:val="20"/>
              </w:rPr>
              <w:t>1</w:t>
            </w:r>
            <w:r>
              <w:rPr>
                <w:noProof/>
                <w:sz w:val="20"/>
                <w:szCs w:val="20"/>
              </w:rPr>
              <w:t xml:space="preserve"> </w:t>
            </w:r>
            <w:r w:rsidRPr="00602442">
              <w:rPr>
                <w:noProof/>
                <w:sz w:val="20"/>
                <w:szCs w:val="20"/>
              </w:rPr>
              <w:t>731</w:t>
            </w:r>
            <w:r>
              <w:rPr>
                <w:noProof/>
                <w:sz w:val="20"/>
                <w:szCs w:val="20"/>
              </w:rPr>
              <w:t xml:space="preserve"> </w:t>
            </w:r>
            <w:r w:rsidRPr="00602442">
              <w:rPr>
                <w:noProof/>
                <w:sz w:val="20"/>
                <w:szCs w:val="20"/>
              </w:rPr>
              <w:t>580</w:t>
            </w:r>
          </w:p>
        </w:tc>
        <w:tc>
          <w:tcPr>
            <w:tcW w:w="1418" w:type="dxa"/>
            <w:tcBorders>
              <w:top w:val="single" w:sz="12" w:space="0" w:color="00B0F0"/>
            </w:tcBorders>
            <w:noWrap/>
            <w:vAlign w:val="bottom"/>
          </w:tcPr>
          <w:p w14:paraId="6D8E41EB" w14:textId="155BA053" w:rsidR="007D714B" w:rsidRPr="00430121" w:rsidRDefault="00105504" w:rsidP="007D714B">
            <w:pPr>
              <w:spacing w:after="0"/>
              <w:jc w:val="right"/>
              <w:rPr>
                <w:noProof/>
                <w:sz w:val="20"/>
                <w:szCs w:val="20"/>
              </w:rPr>
            </w:pPr>
            <w:r w:rsidRPr="00430121">
              <w:rPr>
                <w:noProof/>
                <w:sz w:val="20"/>
                <w:szCs w:val="20"/>
              </w:rPr>
              <w:t xml:space="preserve">865 790 </w:t>
            </w:r>
          </w:p>
        </w:tc>
        <w:tc>
          <w:tcPr>
            <w:tcW w:w="1417" w:type="dxa"/>
            <w:tcBorders>
              <w:top w:val="single" w:sz="12" w:space="0" w:color="00B0F0"/>
            </w:tcBorders>
            <w:noWrap/>
            <w:vAlign w:val="bottom"/>
          </w:tcPr>
          <w:p w14:paraId="0583D062" w14:textId="772257C8" w:rsidR="007D714B" w:rsidRPr="00430121" w:rsidRDefault="00105504" w:rsidP="007D714B">
            <w:pPr>
              <w:spacing w:after="0"/>
              <w:jc w:val="right"/>
              <w:rPr>
                <w:noProof/>
                <w:sz w:val="20"/>
                <w:szCs w:val="20"/>
              </w:rPr>
            </w:pPr>
            <w:r w:rsidRPr="00430121">
              <w:rPr>
                <w:noProof/>
                <w:sz w:val="20"/>
                <w:szCs w:val="20"/>
              </w:rPr>
              <w:t xml:space="preserve">2 597 370 </w:t>
            </w:r>
          </w:p>
        </w:tc>
      </w:tr>
      <w:tr w:rsidR="007D714B" w:rsidRPr="00061A60" w14:paraId="318D93A1" w14:textId="77777777" w:rsidTr="00330C5F">
        <w:trPr>
          <w:trHeight w:val="283"/>
        </w:trPr>
        <w:tc>
          <w:tcPr>
            <w:tcW w:w="2127" w:type="dxa"/>
            <w:noWrap/>
            <w:hideMark/>
          </w:tcPr>
          <w:p w14:paraId="578FB149"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134" w:type="dxa"/>
          </w:tcPr>
          <w:p w14:paraId="3E911902" w14:textId="07E119CA" w:rsidR="007D714B" w:rsidRPr="00830841" w:rsidRDefault="007D714B" w:rsidP="007D714B">
            <w:pPr>
              <w:spacing w:after="0"/>
              <w:jc w:val="right"/>
              <w:rPr>
                <w:noProof/>
                <w:sz w:val="20"/>
                <w:szCs w:val="20"/>
              </w:rPr>
            </w:pPr>
            <w:r w:rsidRPr="00830841">
              <w:rPr>
                <w:noProof/>
                <w:sz w:val="20"/>
                <w:szCs w:val="20"/>
              </w:rPr>
              <w:t xml:space="preserve"> </w:t>
            </w:r>
            <w:r>
              <w:rPr>
                <w:noProof/>
                <w:sz w:val="20"/>
                <w:szCs w:val="20"/>
              </w:rPr>
              <w:t xml:space="preserve"> </w:t>
            </w:r>
            <w:r w:rsidR="0092229A">
              <w:rPr>
                <w:noProof/>
                <w:sz w:val="20"/>
                <w:szCs w:val="20"/>
              </w:rPr>
              <w:t>13 486 479</w:t>
            </w:r>
            <w:r w:rsidRPr="00830841">
              <w:rPr>
                <w:noProof/>
                <w:sz w:val="20"/>
                <w:szCs w:val="20"/>
              </w:rPr>
              <w:t xml:space="preserve"> </w:t>
            </w:r>
          </w:p>
        </w:tc>
        <w:tc>
          <w:tcPr>
            <w:tcW w:w="1417" w:type="dxa"/>
          </w:tcPr>
          <w:p w14:paraId="5F79333F" w14:textId="5E37A808" w:rsidR="007D714B" w:rsidRPr="00FA63C0" w:rsidRDefault="007D714B" w:rsidP="007D714B">
            <w:pPr>
              <w:spacing w:after="0"/>
              <w:jc w:val="right"/>
              <w:rPr>
                <w:noProof/>
                <w:sz w:val="20"/>
                <w:szCs w:val="20"/>
                <w:lang w:val="en-IE" w:eastAsia="en-IE"/>
              </w:rPr>
            </w:pPr>
            <w:r w:rsidRPr="003B3F5E">
              <w:rPr>
                <w:noProof/>
                <w:sz w:val="20"/>
                <w:szCs w:val="20"/>
              </w:rPr>
              <w:t xml:space="preserve"> -</w:t>
            </w:r>
          </w:p>
        </w:tc>
        <w:tc>
          <w:tcPr>
            <w:tcW w:w="993" w:type="dxa"/>
          </w:tcPr>
          <w:p w14:paraId="47AFE9B4" w14:textId="389F81AE"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42A574DC" w14:textId="61A70A1C" w:rsidR="007D714B" w:rsidRPr="000422D1" w:rsidRDefault="007D714B" w:rsidP="007D714B">
            <w:pPr>
              <w:spacing w:after="0"/>
              <w:jc w:val="right"/>
              <w:rPr>
                <w:noProof/>
                <w:sz w:val="20"/>
                <w:szCs w:val="20"/>
                <w:lang w:val="en-IE" w:eastAsia="en-IE"/>
              </w:rPr>
            </w:pPr>
            <w:r w:rsidRPr="00830841">
              <w:rPr>
                <w:noProof/>
                <w:sz w:val="20"/>
                <w:szCs w:val="20"/>
              </w:rPr>
              <w:t xml:space="preserve"> </w:t>
            </w:r>
            <w:r w:rsidR="008E1AAC" w:rsidRPr="0092229A">
              <w:rPr>
                <w:noProof/>
                <w:sz w:val="20"/>
                <w:szCs w:val="20"/>
              </w:rPr>
              <w:t xml:space="preserve"> 13 486 479</w:t>
            </w:r>
          </w:p>
        </w:tc>
        <w:tc>
          <w:tcPr>
            <w:tcW w:w="1418" w:type="dxa"/>
            <w:noWrap/>
            <w:vAlign w:val="bottom"/>
          </w:tcPr>
          <w:p w14:paraId="6080E6EC" w14:textId="7AA11712" w:rsidR="007D714B" w:rsidRPr="00430121" w:rsidRDefault="00105504" w:rsidP="007D714B">
            <w:pPr>
              <w:spacing w:after="0"/>
              <w:jc w:val="right"/>
              <w:rPr>
                <w:noProof/>
                <w:sz w:val="20"/>
                <w:szCs w:val="20"/>
              </w:rPr>
            </w:pPr>
            <w:r w:rsidRPr="00430121">
              <w:rPr>
                <w:noProof/>
                <w:sz w:val="20"/>
                <w:szCs w:val="20"/>
              </w:rPr>
              <w:t xml:space="preserve">3 371 620 </w:t>
            </w:r>
          </w:p>
        </w:tc>
        <w:tc>
          <w:tcPr>
            <w:tcW w:w="1417" w:type="dxa"/>
            <w:noWrap/>
            <w:vAlign w:val="bottom"/>
          </w:tcPr>
          <w:p w14:paraId="4C27E51E" w14:textId="1C3E10F7" w:rsidR="007D714B" w:rsidRPr="00430121" w:rsidRDefault="00105504" w:rsidP="007D714B">
            <w:pPr>
              <w:spacing w:after="0"/>
              <w:jc w:val="right"/>
              <w:rPr>
                <w:noProof/>
                <w:sz w:val="20"/>
                <w:szCs w:val="20"/>
              </w:rPr>
            </w:pPr>
            <w:r w:rsidRPr="00430121">
              <w:rPr>
                <w:noProof/>
                <w:sz w:val="20"/>
                <w:szCs w:val="20"/>
              </w:rPr>
              <w:t xml:space="preserve">23 601 338 </w:t>
            </w:r>
          </w:p>
        </w:tc>
      </w:tr>
      <w:tr w:rsidR="007D714B" w:rsidRPr="00397C78" w14:paraId="5D2DA9CD" w14:textId="77777777" w:rsidTr="00331247">
        <w:trPr>
          <w:trHeight w:val="283"/>
        </w:trPr>
        <w:tc>
          <w:tcPr>
            <w:tcW w:w="2127" w:type="dxa"/>
            <w:noWrap/>
            <w:hideMark/>
          </w:tcPr>
          <w:p w14:paraId="1F655843"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one-off adjustment</w:t>
            </w:r>
          </w:p>
        </w:tc>
        <w:tc>
          <w:tcPr>
            <w:tcW w:w="1134" w:type="dxa"/>
          </w:tcPr>
          <w:p w14:paraId="0DF7D4D7" w14:textId="15155E05" w:rsidR="007D714B" w:rsidRPr="00830841" w:rsidRDefault="007D714B" w:rsidP="007D714B">
            <w:pPr>
              <w:spacing w:after="0"/>
              <w:jc w:val="right"/>
              <w:rPr>
                <w:noProof/>
                <w:sz w:val="20"/>
                <w:szCs w:val="20"/>
              </w:rPr>
            </w:pPr>
            <w:r>
              <w:rPr>
                <w:noProof/>
                <w:sz w:val="20"/>
                <w:szCs w:val="20"/>
              </w:rPr>
              <w:t xml:space="preserve"> </w:t>
            </w:r>
            <w:r w:rsidRPr="00830841">
              <w:rPr>
                <w:noProof/>
                <w:sz w:val="20"/>
                <w:szCs w:val="20"/>
              </w:rPr>
              <w:t>3</w:t>
            </w:r>
            <w:r>
              <w:rPr>
                <w:noProof/>
                <w:sz w:val="20"/>
                <w:szCs w:val="20"/>
              </w:rPr>
              <w:t xml:space="preserve"> </w:t>
            </w:r>
            <w:r w:rsidRPr="00830841">
              <w:rPr>
                <w:noProof/>
                <w:sz w:val="20"/>
                <w:szCs w:val="20"/>
              </w:rPr>
              <w:t>560</w:t>
            </w:r>
            <w:r>
              <w:rPr>
                <w:noProof/>
                <w:sz w:val="20"/>
                <w:szCs w:val="20"/>
              </w:rPr>
              <w:t xml:space="preserve"> </w:t>
            </w:r>
            <w:r w:rsidRPr="00830841">
              <w:rPr>
                <w:noProof/>
                <w:sz w:val="20"/>
                <w:szCs w:val="20"/>
              </w:rPr>
              <w:t xml:space="preserve">007 </w:t>
            </w:r>
          </w:p>
        </w:tc>
        <w:tc>
          <w:tcPr>
            <w:tcW w:w="1417" w:type="dxa"/>
          </w:tcPr>
          <w:p w14:paraId="77ACEF0E" w14:textId="18361A25" w:rsidR="007D714B" w:rsidRPr="00FA63C0" w:rsidRDefault="007D714B" w:rsidP="007D714B">
            <w:pPr>
              <w:spacing w:after="0"/>
              <w:jc w:val="right"/>
              <w:rPr>
                <w:noProof/>
                <w:sz w:val="20"/>
                <w:szCs w:val="20"/>
                <w:lang w:val="en-IE" w:eastAsia="en-IE"/>
              </w:rPr>
            </w:pPr>
            <w:r w:rsidRPr="003B3F5E">
              <w:rPr>
                <w:noProof/>
                <w:sz w:val="20"/>
                <w:szCs w:val="20"/>
              </w:rPr>
              <w:t xml:space="preserve"> -</w:t>
            </w:r>
          </w:p>
        </w:tc>
        <w:tc>
          <w:tcPr>
            <w:tcW w:w="993" w:type="dxa"/>
          </w:tcPr>
          <w:p w14:paraId="405BD9B5" w14:textId="5A3EBD16"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1EBBC4B4" w14:textId="0AAB0078" w:rsidR="007D714B" w:rsidRPr="000422D1" w:rsidRDefault="007D714B" w:rsidP="007D714B">
            <w:pPr>
              <w:spacing w:after="0"/>
              <w:jc w:val="right"/>
              <w:rPr>
                <w:noProof/>
                <w:sz w:val="20"/>
                <w:szCs w:val="20"/>
                <w:lang w:val="en-IE" w:eastAsia="en-IE"/>
              </w:rPr>
            </w:pPr>
            <w:r w:rsidRPr="00830841">
              <w:rPr>
                <w:noProof/>
                <w:sz w:val="20"/>
                <w:szCs w:val="20"/>
              </w:rPr>
              <w:t xml:space="preserve"> 3 560 007 </w:t>
            </w:r>
          </w:p>
        </w:tc>
        <w:tc>
          <w:tcPr>
            <w:tcW w:w="1418" w:type="dxa"/>
            <w:noWrap/>
          </w:tcPr>
          <w:p w14:paraId="2475FFF7" w14:textId="141DA5A1" w:rsidR="007D714B" w:rsidRPr="00430121" w:rsidRDefault="00105504" w:rsidP="007D714B">
            <w:pPr>
              <w:spacing w:after="0"/>
              <w:jc w:val="right"/>
              <w:rPr>
                <w:noProof/>
                <w:sz w:val="20"/>
                <w:szCs w:val="20"/>
              </w:rPr>
            </w:pPr>
            <w:r>
              <w:rPr>
                <w:noProof/>
                <w:sz w:val="20"/>
                <w:szCs w:val="20"/>
              </w:rPr>
              <w:t>1</w:t>
            </w:r>
            <w:r w:rsidR="007D714B" w:rsidRPr="00830841">
              <w:rPr>
                <w:noProof/>
                <w:sz w:val="20"/>
                <w:szCs w:val="20"/>
              </w:rPr>
              <w:t xml:space="preserve"> 780 004 </w:t>
            </w:r>
          </w:p>
        </w:tc>
        <w:tc>
          <w:tcPr>
            <w:tcW w:w="1417" w:type="dxa"/>
            <w:noWrap/>
          </w:tcPr>
          <w:p w14:paraId="5DE960A6" w14:textId="5DF3D16A" w:rsidR="007D714B" w:rsidRPr="00430121" w:rsidRDefault="007D714B" w:rsidP="007D714B">
            <w:pPr>
              <w:spacing w:after="0"/>
              <w:jc w:val="right"/>
              <w:rPr>
                <w:noProof/>
                <w:sz w:val="20"/>
                <w:szCs w:val="20"/>
              </w:rPr>
            </w:pPr>
            <w:r w:rsidRPr="00830841">
              <w:rPr>
                <w:noProof/>
                <w:sz w:val="20"/>
                <w:szCs w:val="20"/>
              </w:rPr>
              <w:t xml:space="preserve"> 5 340 011 </w:t>
            </w:r>
          </w:p>
        </w:tc>
      </w:tr>
      <w:tr w:rsidR="007D714B" w:rsidRPr="00397C78" w14:paraId="7E1D60CE" w14:textId="77777777" w:rsidTr="00331247">
        <w:trPr>
          <w:trHeight w:val="283"/>
        </w:trPr>
        <w:tc>
          <w:tcPr>
            <w:tcW w:w="2127" w:type="dxa"/>
            <w:noWrap/>
            <w:hideMark/>
          </w:tcPr>
          <w:p w14:paraId="3BD81416"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recurrent adjustment</w:t>
            </w:r>
          </w:p>
        </w:tc>
        <w:tc>
          <w:tcPr>
            <w:tcW w:w="1134" w:type="dxa"/>
          </w:tcPr>
          <w:p w14:paraId="6B875812" w14:textId="29969052"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Pr>
          <w:p w14:paraId="424AA0B3" w14:textId="7EEAA1F7" w:rsidR="007D714B" w:rsidRPr="00FA63C0" w:rsidRDefault="007D714B" w:rsidP="007D714B">
            <w:pPr>
              <w:spacing w:after="0"/>
              <w:jc w:val="right"/>
              <w:rPr>
                <w:noProof/>
                <w:sz w:val="20"/>
                <w:szCs w:val="20"/>
                <w:lang w:val="en-IE" w:eastAsia="en-IE"/>
              </w:rPr>
            </w:pPr>
            <w:r w:rsidRPr="003B3F5E">
              <w:rPr>
                <w:noProof/>
                <w:sz w:val="20"/>
                <w:szCs w:val="20"/>
              </w:rPr>
              <w:t xml:space="preserve"> -</w:t>
            </w:r>
          </w:p>
        </w:tc>
        <w:tc>
          <w:tcPr>
            <w:tcW w:w="993" w:type="dxa"/>
          </w:tcPr>
          <w:p w14:paraId="4403DE1A" w14:textId="6AA1DB10"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636C5493" w14:textId="281BB4A1"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c>
          <w:tcPr>
            <w:tcW w:w="1418" w:type="dxa"/>
            <w:noWrap/>
          </w:tcPr>
          <w:p w14:paraId="4DF57008" w14:textId="4E6627E1" w:rsidR="007D714B" w:rsidRPr="00464CEA" w:rsidRDefault="007D714B" w:rsidP="007D714B">
            <w:pPr>
              <w:spacing w:after="0"/>
              <w:jc w:val="right"/>
              <w:rPr>
                <w:noProof/>
                <w:sz w:val="20"/>
                <w:szCs w:val="20"/>
                <w:lang w:val="en-IE" w:eastAsia="en-IE"/>
              </w:rPr>
            </w:pPr>
            <w:r w:rsidRPr="00FA63C0">
              <w:rPr>
                <w:noProof/>
                <w:sz w:val="20"/>
                <w:szCs w:val="20"/>
              </w:rPr>
              <w:t xml:space="preserve">-   </w:t>
            </w:r>
          </w:p>
        </w:tc>
        <w:tc>
          <w:tcPr>
            <w:tcW w:w="1417" w:type="dxa"/>
            <w:noWrap/>
          </w:tcPr>
          <w:p w14:paraId="5BD7BA92" w14:textId="3F07BF57"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r>
      <w:tr w:rsidR="007D714B" w:rsidRPr="000A7265" w14:paraId="4115BC4D" w14:textId="77777777" w:rsidTr="00331247">
        <w:trPr>
          <w:trHeight w:val="283"/>
        </w:trPr>
        <w:tc>
          <w:tcPr>
            <w:tcW w:w="2127" w:type="dxa"/>
            <w:noWrap/>
            <w:hideMark/>
          </w:tcPr>
          <w:p w14:paraId="4817C302"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134" w:type="dxa"/>
          </w:tcPr>
          <w:p w14:paraId="52A10D73" w14:textId="6C986953"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Pr>
          <w:p w14:paraId="078DD9EF" w14:textId="2E0D7EF4" w:rsidR="007D714B" w:rsidRPr="00FA63C0" w:rsidRDefault="007D714B" w:rsidP="007D714B">
            <w:pPr>
              <w:spacing w:after="0"/>
              <w:jc w:val="right"/>
              <w:rPr>
                <w:noProof/>
                <w:sz w:val="20"/>
                <w:szCs w:val="20"/>
                <w:lang w:val="en-IE" w:eastAsia="en-IE"/>
              </w:rPr>
            </w:pPr>
            <w:r w:rsidRPr="00FA63C0">
              <w:rPr>
                <w:noProof/>
                <w:sz w:val="20"/>
                <w:szCs w:val="20"/>
              </w:rPr>
              <w:t xml:space="preserve">-   </w:t>
            </w:r>
          </w:p>
        </w:tc>
        <w:tc>
          <w:tcPr>
            <w:tcW w:w="993" w:type="dxa"/>
          </w:tcPr>
          <w:p w14:paraId="67EE618A" w14:textId="5E5DEC9F"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3F20E26B" w14:textId="009BDC74"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c>
          <w:tcPr>
            <w:tcW w:w="1418" w:type="dxa"/>
            <w:noWrap/>
          </w:tcPr>
          <w:p w14:paraId="6B9B034D" w14:textId="13BE001B" w:rsidR="007D714B" w:rsidRPr="00464CEA" w:rsidRDefault="007D714B" w:rsidP="007D714B">
            <w:pPr>
              <w:spacing w:after="0"/>
              <w:jc w:val="right"/>
              <w:rPr>
                <w:noProof/>
                <w:sz w:val="20"/>
                <w:szCs w:val="20"/>
                <w:lang w:val="en-IE" w:eastAsia="en-IE"/>
              </w:rPr>
            </w:pPr>
            <w:r w:rsidRPr="00FA63C0">
              <w:rPr>
                <w:noProof/>
                <w:sz w:val="20"/>
                <w:szCs w:val="20"/>
              </w:rPr>
              <w:t xml:space="preserve">-   </w:t>
            </w:r>
          </w:p>
        </w:tc>
        <w:tc>
          <w:tcPr>
            <w:tcW w:w="1417" w:type="dxa"/>
            <w:noWrap/>
          </w:tcPr>
          <w:p w14:paraId="34DA9869" w14:textId="371AC400"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r>
      <w:tr w:rsidR="007D714B" w:rsidRPr="000A7265" w14:paraId="3C8D31E6" w14:textId="77777777" w:rsidTr="00331247">
        <w:trPr>
          <w:trHeight w:val="283"/>
        </w:trPr>
        <w:tc>
          <w:tcPr>
            <w:tcW w:w="2127" w:type="dxa"/>
            <w:noWrap/>
            <w:hideMark/>
          </w:tcPr>
          <w:p w14:paraId="79E5ACBD"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134" w:type="dxa"/>
          </w:tcPr>
          <w:p w14:paraId="7B20B589" w14:textId="56CC1C66"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Pr>
          <w:p w14:paraId="30E131BF" w14:textId="6F6A5303" w:rsidR="007D714B" w:rsidRPr="00FA63C0" w:rsidRDefault="007D714B" w:rsidP="007D714B">
            <w:pPr>
              <w:spacing w:after="0"/>
              <w:jc w:val="right"/>
              <w:rPr>
                <w:noProof/>
                <w:sz w:val="20"/>
                <w:szCs w:val="20"/>
                <w:lang w:val="en-IE" w:eastAsia="en-IE"/>
              </w:rPr>
            </w:pPr>
            <w:r w:rsidRPr="00FA63C0">
              <w:rPr>
                <w:noProof/>
                <w:sz w:val="20"/>
                <w:szCs w:val="20"/>
              </w:rPr>
              <w:t xml:space="preserve">-   </w:t>
            </w:r>
          </w:p>
        </w:tc>
        <w:tc>
          <w:tcPr>
            <w:tcW w:w="993" w:type="dxa"/>
          </w:tcPr>
          <w:p w14:paraId="4A3E324B" w14:textId="544B7A9C"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4F1C5324" w14:textId="1D632925"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c>
          <w:tcPr>
            <w:tcW w:w="1418" w:type="dxa"/>
            <w:noWrap/>
          </w:tcPr>
          <w:p w14:paraId="0CAE7B80" w14:textId="115B6B9C" w:rsidR="007D714B" w:rsidRPr="00464CEA" w:rsidRDefault="007D714B" w:rsidP="007D714B">
            <w:pPr>
              <w:spacing w:after="0"/>
              <w:jc w:val="right"/>
              <w:rPr>
                <w:noProof/>
                <w:sz w:val="20"/>
                <w:szCs w:val="20"/>
                <w:lang w:val="en-IE" w:eastAsia="en-IE"/>
              </w:rPr>
            </w:pPr>
            <w:r w:rsidRPr="00FA63C0">
              <w:rPr>
                <w:noProof/>
                <w:sz w:val="20"/>
                <w:szCs w:val="20"/>
              </w:rPr>
              <w:t xml:space="preserve">-   </w:t>
            </w:r>
          </w:p>
        </w:tc>
        <w:tc>
          <w:tcPr>
            <w:tcW w:w="1417" w:type="dxa"/>
            <w:noWrap/>
          </w:tcPr>
          <w:p w14:paraId="1CC494CD" w14:textId="0E834CF4"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r>
      <w:tr w:rsidR="007D714B" w:rsidRPr="000A7265" w14:paraId="35354AFE" w14:textId="77777777" w:rsidTr="00331247">
        <w:trPr>
          <w:trHeight w:val="283"/>
        </w:trPr>
        <w:tc>
          <w:tcPr>
            <w:tcW w:w="2127" w:type="dxa"/>
            <w:noWrap/>
            <w:hideMark/>
          </w:tcPr>
          <w:p w14:paraId="0FC00B97"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134" w:type="dxa"/>
          </w:tcPr>
          <w:p w14:paraId="55895AD3" w14:textId="5CFF91C0"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Pr>
          <w:p w14:paraId="116E289F" w14:textId="53874FBC" w:rsidR="007D714B" w:rsidRPr="00FA63C0" w:rsidRDefault="007D714B" w:rsidP="007D714B">
            <w:pPr>
              <w:spacing w:after="0"/>
              <w:jc w:val="right"/>
              <w:rPr>
                <w:noProof/>
                <w:sz w:val="20"/>
                <w:szCs w:val="20"/>
                <w:lang w:val="en-IE" w:eastAsia="en-IE"/>
              </w:rPr>
            </w:pPr>
            <w:r w:rsidRPr="00FA63C0">
              <w:rPr>
                <w:noProof/>
                <w:sz w:val="20"/>
                <w:szCs w:val="20"/>
              </w:rPr>
              <w:t xml:space="preserve">-   </w:t>
            </w:r>
          </w:p>
        </w:tc>
        <w:tc>
          <w:tcPr>
            <w:tcW w:w="993" w:type="dxa"/>
          </w:tcPr>
          <w:p w14:paraId="4A1918AE" w14:textId="6EAB8D42"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3FD4988A" w14:textId="77777777"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c>
          <w:tcPr>
            <w:tcW w:w="1418" w:type="dxa"/>
            <w:noWrap/>
          </w:tcPr>
          <w:p w14:paraId="59ECAAFE" w14:textId="77777777" w:rsidR="007D714B" w:rsidRPr="00464CEA" w:rsidRDefault="007D714B" w:rsidP="007D714B">
            <w:pPr>
              <w:spacing w:after="0"/>
              <w:jc w:val="right"/>
              <w:rPr>
                <w:noProof/>
                <w:sz w:val="20"/>
                <w:szCs w:val="20"/>
                <w:lang w:val="en-IE" w:eastAsia="en-IE"/>
              </w:rPr>
            </w:pPr>
            <w:r w:rsidRPr="00FA63C0">
              <w:rPr>
                <w:noProof/>
                <w:sz w:val="20"/>
                <w:szCs w:val="20"/>
              </w:rPr>
              <w:t xml:space="preserve">-   </w:t>
            </w:r>
          </w:p>
        </w:tc>
        <w:tc>
          <w:tcPr>
            <w:tcW w:w="1417" w:type="dxa"/>
            <w:noWrap/>
          </w:tcPr>
          <w:p w14:paraId="6768A957" w14:textId="77777777" w:rsidR="007D714B" w:rsidRPr="00464CEA" w:rsidRDefault="007D714B" w:rsidP="007D714B">
            <w:pPr>
              <w:spacing w:after="0"/>
              <w:jc w:val="right"/>
              <w:rPr>
                <w:noProof/>
                <w:sz w:val="20"/>
                <w:szCs w:val="20"/>
                <w:lang w:val="en-IE" w:eastAsia="en-IE"/>
              </w:rPr>
            </w:pPr>
            <w:r w:rsidRPr="00FA63C0">
              <w:rPr>
                <w:noProof/>
                <w:sz w:val="20"/>
                <w:szCs w:val="20"/>
              </w:rPr>
              <w:t xml:space="preserve"> -   </w:t>
            </w:r>
          </w:p>
        </w:tc>
      </w:tr>
      <w:tr w:rsidR="007D714B" w:rsidRPr="00A53ED9" w14:paraId="16F25987" w14:textId="77777777" w:rsidTr="00331247">
        <w:trPr>
          <w:trHeight w:val="283"/>
        </w:trPr>
        <w:tc>
          <w:tcPr>
            <w:tcW w:w="2127" w:type="dxa"/>
            <w:noWrap/>
            <w:hideMark/>
          </w:tcPr>
          <w:p w14:paraId="588ACAB0" w14:textId="77777777" w:rsidR="007D714B" w:rsidRPr="00FA63C0" w:rsidRDefault="007D714B" w:rsidP="007D714B">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134" w:type="dxa"/>
          </w:tcPr>
          <w:p w14:paraId="5F8EA8AA" w14:textId="090AC919"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tcPr>
          <w:p w14:paraId="7EE95CB8" w14:textId="7DD189D6" w:rsidR="007D714B" w:rsidRPr="00FA63C0" w:rsidRDefault="007D714B" w:rsidP="007D714B">
            <w:pPr>
              <w:spacing w:after="0"/>
              <w:jc w:val="right"/>
              <w:rPr>
                <w:noProof/>
                <w:sz w:val="20"/>
                <w:szCs w:val="20"/>
                <w:lang w:val="en-IE" w:eastAsia="en-IE"/>
              </w:rPr>
            </w:pPr>
            <w:r w:rsidRPr="00FA63C0">
              <w:rPr>
                <w:noProof/>
                <w:sz w:val="20"/>
                <w:szCs w:val="20"/>
              </w:rPr>
              <w:t xml:space="preserve">-   </w:t>
            </w:r>
          </w:p>
        </w:tc>
        <w:tc>
          <w:tcPr>
            <w:tcW w:w="993" w:type="dxa"/>
          </w:tcPr>
          <w:p w14:paraId="5996EC50" w14:textId="46570DF8" w:rsidR="007D714B" w:rsidRPr="00FA63C0" w:rsidRDefault="007D714B" w:rsidP="007D714B">
            <w:pPr>
              <w:spacing w:after="0"/>
              <w:jc w:val="right"/>
              <w:rPr>
                <w:noProof/>
                <w:sz w:val="20"/>
                <w:szCs w:val="20"/>
                <w:lang w:val="en-IE" w:eastAsia="en-IE"/>
              </w:rPr>
            </w:pPr>
            <w:r w:rsidRPr="00FA63C0">
              <w:rPr>
                <w:noProof/>
                <w:sz w:val="20"/>
                <w:szCs w:val="20"/>
              </w:rPr>
              <w:t xml:space="preserve"> -   </w:t>
            </w:r>
          </w:p>
        </w:tc>
        <w:tc>
          <w:tcPr>
            <w:tcW w:w="1417" w:type="dxa"/>
            <w:noWrap/>
          </w:tcPr>
          <w:p w14:paraId="0DF4A171" w14:textId="3638A83E" w:rsidR="007D714B" w:rsidRPr="00A1021A" w:rsidRDefault="007D714B" w:rsidP="007D714B">
            <w:pPr>
              <w:spacing w:after="0"/>
              <w:jc w:val="right"/>
              <w:rPr>
                <w:noProof/>
                <w:sz w:val="20"/>
                <w:szCs w:val="20"/>
                <w:lang w:val="en-IE" w:eastAsia="en-IE"/>
              </w:rPr>
            </w:pPr>
            <w:r w:rsidRPr="00FA63C0">
              <w:rPr>
                <w:noProof/>
                <w:sz w:val="20"/>
                <w:szCs w:val="20"/>
              </w:rPr>
              <w:t xml:space="preserve"> -   </w:t>
            </w:r>
          </w:p>
        </w:tc>
        <w:tc>
          <w:tcPr>
            <w:tcW w:w="1418" w:type="dxa"/>
            <w:noWrap/>
          </w:tcPr>
          <w:p w14:paraId="7CE2207F" w14:textId="396F9C52" w:rsidR="007D714B" w:rsidRPr="00A1021A" w:rsidRDefault="007D714B" w:rsidP="007D714B">
            <w:pPr>
              <w:spacing w:after="0"/>
              <w:jc w:val="right"/>
              <w:rPr>
                <w:noProof/>
                <w:sz w:val="20"/>
                <w:szCs w:val="20"/>
                <w:lang w:val="en-IE" w:eastAsia="en-IE"/>
              </w:rPr>
            </w:pPr>
            <w:r w:rsidRPr="00FA63C0">
              <w:rPr>
                <w:noProof/>
                <w:sz w:val="20"/>
                <w:szCs w:val="20"/>
              </w:rPr>
              <w:t xml:space="preserve">-   </w:t>
            </w:r>
          </w:p>
        </w:tc>
        <w:tc>
          <w:tcPr>
            <w:tcW w:w="1417" w:type="dxa"/>
            <w:noWrap/>
          </w:tcPr>
          <w:p w14:paraId="0A05AE0A" w14:textId="29BE6158" w:rsidR="007D714B" w:rsidRPr="00A1021A" w:rsidRDefault="007D714B" w:rsidP="007D714B">
            <w:pPr>
              <w:spacing w:after="0"/>
              <w:jc w:val="right"/>
              <w:rPr>
                <w:noProof/>
                <w:sz w:val="20"/>
                <w:szCs w:val="20"/>
                <w:lang w:val="en-IE" w:eastAsia="en-IE"/>
              </w:rPr>
            </w:pPr>
            <w:r w:rsidRPr="00FA63C0">
              <w:rPr>
                <w:noProof/>
                <w:sz w:val="20"/>
                <w:szCs w:val="20"/>
              </w:rPr>
              <w:t xml:space="preserve"> -   </w:t>
            </w:r>
          </w:p>
        </w:tc>
      </w:tr>
      <w:tr w:rsidR="009934E3" w:rsidRPr="00397C78" w14:paraId="0BBC194B" w14:textId="77777777" w:rsidTr="00330C5F">
        <w:trPr>
          <w:trHeight w:val="283"/>
        </w:trPr>
        <w:tc>
          <w:tcPr>
            <w:tcW w:w="2127" w:type="dxa"/>
            <w:shd w:val="clear" w:color="auto" w:fill="F2DBDB" w:themeFill="accent2" w:themeFillTint="33"/>
            <w:noWrap/>
            <w:hideMark/>
          </w:tcPr>
          <w:p w14:paraId="6A6143BE" w14:textId="77777777" w:rsidR="007D714B" w:rsidRPr="00FA63C0" w:rsidRDefault="007D714B" w:rsidP="007D714B">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134" w:type="dxa"/>
            <w:shd w:val="clear" w:color="auto" w:fill="F2DBDB" w:themeFill="accent2" w:themeFillTint="33"/>
          </w:tcPr>
          <w:p w14:paraId="3070B69A" w14:textId="58B0B6C2" w:rsidR="007D714B" w:rsidRPr="00830841" w:rsidRDefault="007D714B" w:rsidP="007D714B">
            <w:pPr>
              <w:spacing w:after="0"/>
              <w:jc w:val="right"/>
              <w:rPr>
                <w:noProof/>
                <w:sz w:val="20"/>
                <w:szCs w:val="20"/>
                <w:lang w:val="en-IE" w:eastAsia="en-IE"/>
              </w:rPr>
            </w:pPr>
            <w:r w:rsidRPr="00830841">
              <w:rPr>
                <w:noProof/>
                <w:sz w:val="20"/>
                <w:szCs w:val="20"/>
                <w:lang w:val="en-IE" w:eastAsia="en-IE"/>
              </w:rPr>
              <w:t xml:space="preserve"> </w:t>
            </w:r>
            <w:r w:rsidR="00E833F1" w:rsidRPr="00E833F1">
              <w:rPr>
                <w:noProof/>
                <w:sz w:val="20"/>
                <w:szCs w:val="20"/>
                <w:lang w:val="en-IE" w:eastAsia="en-IE"/>
              </w:rPr>
              <w:t>17</w:t>
            </w:r>
            <w:r w:rsidR="00E833F1">
              <w:rPr>
                <w:noProof/>
                <w:sz w:val="20"/>
                <w:szCs w:val="20"/>
                <w:lang w:val="en-IE" w:eastAsia="en-IE"/>
              </w:rPr>
              <w:t xml:space="preserve"> </w:t>
            </w:r>
            <w:r w:rsidR="00E833F1" w:rsidRPr="00E833F1">
              <w:rPr>
                <w:noProof/>
                <w:sz w:val="20"/>
                <w:szCs w:val="20"/>
                <w:lang w:val="en-IE" w:eastAsia="en-IE"/>
              </w:rPr>
              <w:t>046</w:t>
            </w:r>
            <w:r w:rsidR="00E833F1">
              <w:rPr>
                <w:noProof/>
                <w:sz w:val="20"/>
                <w:szCs w:val="20"/>
                <w:lang w:val="en-IE" w:eastAsia="en-IE"/>
              </w:rPr>
              <w:t xml:space="preserve"> </w:t>
            </w:r>
            <w:r w:rsidR="00E833F1" w:rsidRPr="00E833F1">
              <w:rPr>
                <w:noProof/>
                <w:sz w:val="20"/>
                <w:szCs w:val="20"/>
                <w:lang w:val="en-IE" w:eastAsia="en-IE"/>
              </w:rPr>
              <w:t>486</w:t>
            </w:r>
          </w:p>
        </w:tc>
        <w:tc>
          <w:tcPr>
            <w:tcW w:w="1417" w:type="dxa"/>
            <w:shd w:val="clear" w:color="auto" w:fill="F2DBDB" w:themeFill="accent2" w:themeFillTint="33"/>
          </w:tcPr>
          <w:p w14:paraId="6F19FEF8" w14:textId="0E601303" w:rsidR="007D714B" w:rsidRPr="00830841" w:rsidRDefault="007D714B" w:rsidP="007D714B">
            <w:pPr>
              <w:spacing w:after="0"/>
              <w:jc w:val="right"/>
              <w:rPr>
                <w:noProof/>
                <w:sz w:val="20"/>
                <w:szCs w:val="20"/>
                <w:lang w:val="en-IE" w:eastAsia="en-IE"/>
              </w:rPr>
            </w:pPr>
            <w:r w:rsidRPr="00602442">
              <w:rPr>
                <w:noProof/>
                <w:sz w:val="20"/>
                <w:szCs w:val="20"/>
              </w:rPr>
              <w:t>1</w:t>
            </w:r>
            <w:r>
              <w:rPr>
                <w:noProof/>
                <w:sz w:val="20"/>
                <w:szCs w:val="20"/>
              </w:rPr>
              <w:t xml:space="preserve"> </w:t>
            </w:r>
            <w:r w:rsidRPr="00602442">
              <w:rPr>
                <w:noProof/>
                <w:sz w:val="20"/>
                <w:szCs w:val="20"/>
              </w:rPr>
              <w:t>731</w:t>
            </w:r>
            <w:r>
              <w:rPr>
                <w:noProof/>
                <w:sz w:val="20"/>
                <w:szCs w:val="20"/>
              </w:rPr>
              <w:t xml:space="preserve"> </w:t>
            </w:r>
            <w:r w:rsidRPr="00602442">
              <w:rPr>
                <w:noProof/>
                <w:sz w:val="20"/>
                <w:szCs w:val="20"/>
              </w:rPr>
              <w:t>580</w:t>
            </w:r>
          </w:p>
        </w:tc>
        <w:tc>
          <w:tcPr>
            <w:tcW w:w="993" w:type="dxa"/>
            <w:shd w:val="clear" w:color="auto" w:fill="F2DBDB" w:themeFill="accent2" w:themeFillTint="33"/>
          </w:tcPr>
          <w:p w14:paraId="535765CE" w14:textId="2353D2CF" w:rsidR="007D714B" w:rsidRPr="00FA63C0" w:rsidRDefault="007D714B" w:rsidP="007D714B">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F2DBDB" w:themeFill="accent2" w:themeFillTint="33"/>
            <w:noWrap/>
          </w:tcPr>
          <w:p w14:paraId="5AE97776" w14:textId="71740EB3" w:rsidR="007D714B" w:rsidRPr="000422D1" w:rsidRDefault="00DF0FDF" w:rsidP="007D714B">
            <w:pPr>
              <w:spacing w:after="0"/>
              <w:jc w:val="right"/>
              <w:rPr>
                <w:noProof/>
                <w:sz w:val="20"/>
                <w:szCs w:val="20"/>
              </w:rPr>
            </w:pPr>
            <w:r w:rsidRPr="0092229A">
              <w:rPr>
                <w:noProof/>
                <w:sz w:val="20"/>
                <w:szCs w:val="20"/>
              </w:rPr>
              <w:t>18 778 066</w:t>
            </w:r>
          </w:p>
        </w:tc>
        <w:tc>
          <w:tcPr>
            <w:tcW w:w="1418" w:type="dxa"/>
            <w:shd w:val="clear" w:color="auto" w:fill="F2DBDB" w:themeFill="accent2" w:themeFillTint="33"/>
            <w:noWrap/>
            <w:vAlign w:val="bottom"/>
          </w:tcPr>
          <w:p w14:paraId="4998CBB9" w14:textId="1625DC42" w:rsidR="007D714B" w:rsidRPr="000422D1" w:rsidRDefault="00E26083" w:rsidP="007D714B">
            <w:pPr>
              <w:spacing w:after="0"/>
              <w:jc w:val="right"/>
              <w:rPr>
                <w:noProof/>
                <w:sz w:val="20"/>
                <w:szCs w:val="20"/>
              </w:rPr>
            </w:pPr>
            <w:r w:rsidRPr="00430121">
              <w:rPr>
                <w:noProof/>
                <w:sz w:val="20"/>
                <w:szCs w:val="20"/>
              </w:rPr>
              <w:t>6</w:t>
            </w:r>
            <w:r>
              <w:rPr>
                <w:noProof/>
                <w:sz w:val="20"/>
                <w:szCs w:val="20"/>
              </w:rPr>
              <w:t xml:space="preserve"> </w:t>
            </w:r>
            <w:r w:rsidRPr="00430121">
              <w:rPr>
                <w:noProof/>
                <w:sz w:val="20"/>
                <w:szCs w:val="20"/>
              </w:rPr>
              <w:t>017</w:t>
            </w:r>
            <w:r>
              <w:rPr>
                <w:noProof/>
                <w:sz w:val="20"/>
                <w:szCs w:val="20"/>
              </w:rPr>
              <w:t xml:space="preserve"> </w:t>
            </w:r>
            <w:r w:rsidRPr="00430121">
              <w:rPr>
                <w:noProof/>
                <w:sz w:val="20"/>
                <w:szCs w:val="20"/>
              </w:rPr>
              <w:t xml:space="preserve">413 </w:t>
            </w:r>
          </w:p>
        </w:tc>
        <w:tc>
          <w:tcPr>
            <w:tcW w:w="1417" w:type="dxa"/>
            <w:shd w:val="clear" w:color="auto" w:fill="F2DBDB" w:themeFill="accent2" w:themeFillTint="33"/>
            <w:noWrap/>
            <w:vAlign w:val="bottom"/>
          </w:tcPr>
          <w:p w14:paraId="05CC5A97" w14:textId="2E41105F" w:rsidR="007D714B" w:rsidRPr="000422D1" w:rsidRDefault="00E26083" w:rsidP="007D714B">
            <w:pPr>
              <w:spacing w:after="0"/>
              <w:jc w:val="right"/>
              <w:rPr>
                <w:noProof/>
                <w:sz w:val="20"/>
                <w:szCs w:val="20"/>
              </w:rPr>
            </w:pPr>
            <w:r w:rsidRPr="00430121">
              <w:rPr>
                <w:noProof/>
                <w:sz w:val="20"/>
                <w:szCs w:val="20"/>
              </w:rPr>
              <w:t>31</w:t>
            </w:r>
            <w:r>
              <w:rPr>
                <w:noProof/>
                <w:sz w:val="20"/>
                <w:szCs w:val="20"/>
              </w:rPr>
              <w:t xml:space="preserve"> </w:t>
            </w:r>
            <w:r w:rsidRPr="00430121">
              <w:rPr>
                <w:noProof/>
                <w:sz w:val="20"/>
                <w:szCs w:val="20"/>
              </w:rPr>
              <w:t>538</w:t>
            </w:r>
            <w:r>
              <w:rPr>
                <w:noProof/>
                <w:sz w:val="20"/>
                <w:szCs w:val="20"/>
              </w:rPr>
              <w:t xml:space="preserve"> </w:t>
            </w:r>
            <w:r w:rsidRPr="00430121">
              <w:rPr>
                <w:noProof/>
                <w:sz w:val="20"/>
                <w:szCs w:val="20"/>
              </w:rPr>
              <w:t xml:space="preserve">719 </w:t>
            </w:r>
          </w:p>
        </w:tc>
      </w:tr>
      <w:tr w:rsidR="009934E3" w:rsidRPr="007B1859" w14:paraId="06FE92BC" w14:textId="77777777" w:rsidTr="00330C5F">
        <w:trPr>
          <w:trHeight w:val="283"/>
        </w:trPr>
        <w:tc>
          <w:tcPr>
            <w:tcW w:w="2127" w:type="dxa"/>
            <w:shd w:val="clear" w:color="auto" w:fill="EAF1DD" w:themeFill="accent3" w:themeFillTint="33"/>
            <w:noWrap/>
            <w:hideMark/>
          </w:tcPr>
          <w:p w14:paraId="4A22FBD5" w14:textId="77777777" w:rsidR="007D714B" w:rsidRPr="00FA63C0" w:rsidRDefault="007D714B" w:rsidP="007D714B">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134" w:type="dxa"/>
            <w:shd w:val="clear" w:color="auto" w:fill="EAF1DD" w:themeFill="accent3" w:themeFillTint="33"/>
          </w:tcPr>
          <w:p w14:paraId="3B23ECF3" w14:textId="14B80185" w:rsidR="007D714B" w:rsidRPr="00FA63C0" w:rsidRDefault="007D714B" w:rsidP="007D714B">
            <w:pPr>
              <w:spacing w:after="0"/>
              <w:jc w:val="right"/>
              <w:rPr>
                <w:b/>
                <w:bCs/>
                <w:noProof/>
                <w:sz w:val="20"/>
                <w:szCs w:val="20"/>
                <w:lang w:val="en-IE" w:eastAsia="en-IE"/>
              </w:rPr>
            </w:pPr>
            <w:r w:rsidRPr="00FA63C0">
              <w:rPr>
                <w:noProof/>
                <w:sz w:val="20"/>
                <w:szCs w:val="20"/>
              </w:rPr>
              <w:t>-</w:t>
            </w:r>
          </w:p>
        </w:tc>
        <w:tc>
          <w:tcPr>
            <w:tcW w:w="1417" w:type="dxa"/>
            <w:shd w:val="clear" w:color="auto" w:fill="EAF1DD" w:themeFill="accent3" w:themeFillTint="33"/>
          </w:tcPr>
          <w:p w14:paraId="6C46068F" w14:textId="3697F4BE" w:rsidR="007D714B" w:rsidRPr="00331247" w:rsidRDefault="007D714B" w:rsidP="007D714B">
            <w:pPr>
              <w:spacing w:after="0"/>
              <w:jc w:val="right"/>
              <w:rPr>
                <w:noProof/>
                <w:sz w:val="20"/>
                <w:szCs w:val="20"/>
                <w:lang w:val="en-IE" w:eastAsia="en-IE"/>
              </w:rPr>
            </w:pPr>
            <w:r w:rsidRPr="00830841">
              <w:rPr>
                <w:noProof/>
                <w:sz w:val="20"/>
                <w:szCs w:val="20"/>
              </w:rPr>
              <w:t>(</w:t>
            </w:r>
            <w:r>
              <w:rPr>
                <w:noProof/>
                <w:sz w:val="20"/>
                <w:szCs w:val="20"/>
              </w:rPr>
              <w:t>1 630 135</w:t>
            </w:r>
            <w:r w:rsidRPr="00830841">
              <w:rPr>
                <w:noProof/>
                <w:sz w:val="20"/>
                <w:szCs w:val="20"/>
              </w:rPr>
              <w:t>)</w:t>
            </w:r>
          </w:p>
        </w:tc>
        <w:tc>
          <w:tcPr>
            <w:tcW w:w="993" w:type="dxa"/>
            <w:shd w:val="clear" w:color="auto" w:fill="EAF1DD" w:themeFill="accent3" w:themeFillTint="33"/>
          </w:tcPr>
          <w:p w14:paraId="55768573" w14:textId="61CB1BD9" w:rsidR="007D714B" w:rsidRPr="00FA63C0" w:rsidRDefault="007D714B" w:rsidP="007D714B">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EAF1DD" w:themeFill="accent3" w:themeFillTint="33"/>
            <w:noWrap/>
          </w:tcPr>
          <w:p w14:paraId="3EEA5D07" w14:textId="7E9500C0" w:rsidR="007D714B" w:rsidRPr="000422D1" w:rsidRDefault="007D714B" w:rsidP="007D714B">
            <w:pPr>
              <w:spacing w:after="0"/>
              <w:jc w:val="right"/>
              <w:rPr>
                <w:noProof/>
                <w:sz w:val="20"/>
                <w:szCs w:val="20"/>
                <w:lang w:val="en-IE" w:eastAsia="en-IE"/>
              </w:rPr>
            </w:pPr>
            <w:r w:rsidRPr="00830841">
              <w:rPr>
                <w:noProof/>
                <w:sz w:val="20"/>
                <w:szCs w:val="20"/>
              </w:rPr>
              <w:t>(</w:t>
            </w:r>
            <w:r>
              <w:rPr>
                <w:noProof/>
                <w:sz w:val="20"/>
                <w:szCs w:val="20"/>
              </w:rPr>
              <w:t>1 630 135</w:t>
            </w:r>
            <w:r w:rsidRPr="00830841">
              <w:rPr>
                <w:noProof/>
                <w:sz w:val="20"/>
                <w:szCs w:val="20"/>
              </w:rPr>
              <w:t>)</w:t>
            </w:r>
          </w:p>
        </w:tc>
        <w:tc>
          <w:tcPr>
            <w:tcW w:w="1418" w:type="dxa"/>
            <w:shd w:val="clear" w:color="auto" w:fill="EAF1DD" w:themeFill="accent3" w:themeFillTint="33"/>
            <w:noWrap/>
            <w:vAlign w:val="bottom"/>
          </w:tcPr>
          <w:p w14:paraId="3FFF9DA0" w14:textId="6F6DB6C1" w:rsidR="007D714B" w:rsidRPr="00430121" w:rsidRDefault="00E26083" w:rsidP="007D714B">
            <w:pPr>
              <w:spacing w:after="0"/>
              <w:jc w:val="right"/>
              <w:rPr>
                <w:noProof/>
                <w:sz w:val="20"/>
                <w:szCs w:val="20"/>
              </w:rPr>
            </w:pPr>
            <w:r w:rsidRPr="00430121">
              <w:rPr>
                <w:noProof/>
                <w:sz w:val="20"/>
                <w:szCs w:val="20"/>
              </w:rPr>
              <w:t>(1</w:t>
            </w:r>
            <w:r>
              <w:rPr>
                <w:noProof/>
                <w:sz w:val="20"/>
                <w:szCs w:val="20"/>
              </w:rPr>
              <w:t xml:space="preserve"> </w:t>
            </w:r>
            <w:r w:rsidRPr="00430121">
              <w:rPr>
                <w:noProof/>
                <w:sz w:val="20"/>
                <w:szCs w:val="20"/>
              </w:rPr>
              <w:t>086</w:t>
            </w:r>
            <w:r>
              <w:rPr>
                <w:noProof/>
                <w:sz w:val="20"/>
                <w:szCs w:val="20"/>
              </w:rPr>
              <w:t xml:space="preserve"> </w:t>
            </w:r>
            <w:r w:rsidRPr="00430121">
              <w:rPr>
                <w:noProof/>
                <w:sz w:val="20"/>
                <w:szCs w:val="20"/>
              </w:rPr>
              <w:t>757)</w:t>
            </w:r>
          </w:p>
        </w:tc>
        <w:tc>
          <w:tcPr>
            <w:tcW w:w="1417" w:type="dxa"/>
            <w:shd w:val="clear" w:color="auto" w:fill="EAF1DD" w:themeFill="accent3" w:themeFillTint="33"/>
            <w:noWrap/>
            <w:vAlign w:val="bottom"/>
          </w:tcPr>
          <w:p w14:paraId="4C4ED2EC" w14:textId="2603858C" w:rsidR="007D714B" w:rsidRPr="00430121" w:rsidRDefault="00E26083" w:rsidP="007D714B">
            <w:pPr>
              <w:spacing w:after="0"/>
              <w:jc w:val="right"/>
              <w:rPr>
                <w:noProof/>
                <w:sz w:val="20"/>
                <w:szCs w:val="20"/>
              </w:rPr>
            </w:pPr>
            <w:r w:rsidRPr="00430121">
              <w:rPr>
                <w:noProof/>
                <w:sz w:val="20"/>
                <w:szCs w:val="20"/>
              </w:rPr>
              <w:t>(3</w:t>
            </w:r>
            <w:r>
              <w:rPr>
                <w:noProof/>
                <w:sz w:val="20"/>
                <w:szCs w:val="20"/>
              </w:rPr>
              <w:t xml:space="preserve"> </w:t>
            </w:r>
            <w:r w:rsidRPr="00430121">
              <w:rPr>
                <w:noProof/>
                <w:sz w:val="20"/>
                <w:szCs w:val="20"/>
              </w:rPr>
              <w:t>260</w:t>
            </w:r>
            <w:r>
              <w:rPr>
                <w:noProof/>
                <w:sz w:val="20"/>
                <w:szCs w:val="20"/>
              </w:rPr>
              <w:t xml:space="preserve"> </w:t>
            </w:r>
            <w:r w:rsidRPr="00430121">
              <w:rPr>
                <w:noProof/>
                <w:sz w:val="20"/>
                <w:szCs w:val="20"/>
              </w:rPr>
              <w:t>270)</w:t>
            </w:r>
          </w:p>
        </w:tc>
      </w:tr>
      <w:tr w:rsidR="007D714B" w:rsidRPr="007C40E5" w14:paraId="3B4E69B0" w14:textId="77777777" w:rsidTr="00331247">
        <w:trPr>
          <w:trHeight w:val="283"/>
        </w:trPr>
        <w:tc>
          <w:tcPr>
            <w:tcW w:w="2127" w:type="dxa"/>
            <w:shd w:val="clear" w:color="auto" w:fill="F2F2F2" w:themeFill="background1" w:themeFillShade="F2"/>
            <w:noWrap/>
            <w:hideMark/>
          </w:tcPr>
          <w:p w14:paraId="6F4FF875" w14:textId="77777777" w:rsidR="007D714B" w:rsidRPr="00FA63C0" w:rsidRDefault="007D714B" w:rsidP="007D714B">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134" w:type="dxa"/>
            <w:shd w:val="clear" w:color="auto" w:fill="F2F2F2" w:themeFill="background1" w:themeFillShade="F2"/>
          </w:tcPr>
          <w:p w14:paraId="69FB8940" w14:textId="6E203F9A" w:rsidR="007D714B" w:rsidRPr="00FA63C0" w:rsidRDefault="00E833F1" w:rsidP="007D714B">
            <w:pPr>
              <w:spacing w:after="0"/>
              <w:jc w:val="right"/>
              <w:rPr>
                <w:b/>
                <w:bCs/>
                <w:noProof/>
                <w:sz w:val="20"/>
                <w:szCs w:val="20"/>
                <w:lang w:val="en-IE" w:eastAsia="en-IE"/>
              </w:rPr>
            </w:pPr>
            <w:r w:rsidRPr="00E833F1">
              <w:rPr>
                <w:b/>
                <w:bCs/>
                <w:noProof/>
                <w:sz w:val="20"/>
                <w:szCs w:val="20"/>
                <w:lang w:val="en-IE" w:eastAsia="en-IE"/>
              </w:rPr>
              <w:t>17 046 486</w:t>
            </w:r>
          </w:p>
        </w:tc>
        <w:tc>
          <w:tcPr>
            <w:tcW w:w="1417" w:type="dxa"/>
            <w:shd w:val="clear" w:color="auto" w:fill="F2F2F2" w:themeFill="background1" w:themeFillShade="F2"/>
          </w:tcPr>
          <w:p w14:paraId="71CD5A0D" w14:textId="6634DCD9" w:rsidR="007D714B" w:rsidRPr="00331247" w:rsidRDefault="00326244" w:rsidP="007D714B">
            <w:pPr>
              <w:spacing w:after="0"/>
              <w:jc w:val="right"/>
              <w:rPr>
                <w:b/>
                <w:bCs/>
                <w:noProof/>
                <w:sz w:val="20"/>
                <w:szCs w:val="20"/>
                <w:lang w:val="en-IE" w:eastAsia="en-IE"/>
              </w:rPr>
            </w:pPr>
            <w:r>
              <w:rPr>
                <w:b/>
                <w:bCs/>
                <w:noProof/>
                <w:sz w:val="20"/>
                <w:szCs w:val="20"/>
                <w:lang w:val="en-IE" w:eastAsia="en-IE"/>
              </w:rPr>
              <w:t>101 445</w:t>
            </w:r>
          </w:p>
        </w:tc>
        <w:tc>
          <w:tcPr>
            <w:tcW w:w="993" w:type="dxa"/>
            <w:shd w:val="clear" w:color="auto" w:fill="F2F2F2" w:themeFill="background1" w:themeFillShade="F2"/>
          </w:tcPr>
          <w:p w14:paraId="6E04A3F3" w14:textId="47F84D11" w:rsidR="007D714B" w:rsidRPr="00FA63C0" w:rsidRDefault="007D714B" w:rsidP="007D714B">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F2F2F2" w:themeFill="background1" w:themeFillShade="F2"/>
            <w:noWrap/>
          </w:tcPr>
          <w:p w14:paraId="43128B9A" w14:textId="6F97E40D" w:rsidR="007D714B" w:rsidRPr="00E35B66" w:rsidRDefault="007E7B4D" w:rsidP="007D714B">
            <w:pPr>
              <w:spacing w:after="0"/>
              <w:jc w:val="right"/>
              <w:rPr>
                <w:b/>
                <w:bCs/>
                <w:noProof/>
                <w:sz w:val="20"/>
                <w:szCs w:val="20"/>
                <w:lang w:val="en-IE" w:eastAsia="en-IE"/>
              </w:rPr>
            </w:pPr>
            <w:r w:rsidRPr="0092229A">
              <w:rPr>
                <w:b/>
                <w:noProof/>
                <w:sz w:val="20"/>
                <w:szCs w:val="20"/>
              </w:rPr>
              <w:t xml:space="preserve"> 17 147 931 </w:t>
            </w:r>
          </w:p>
        </w:tc>
        <w:tc>
          <w:tcPr>
            <w:tcW w:w="1418" w:type="dxa"/>
            <w:shd w:val="clear" w:color="auto" w:fill="F2F2F2" w:themeFill="background1" w:themeFillShade="F2"/>
            <w:noWrap/>
          </w:tcPr>
          <w:p w14:paraId="39826332" w14:textId="1E991D25" w:rsidR="007D714B" w:rsidRPr="00430121" w:rsidRDefault="00E26083" w:rsidP="007D714B">
            <w:pPr>
              <w:spacing w:after="0"/>
              <w:jc w:val="right"/>
              <w:rPr>
                <w:noProof/>
                <w:sz w:val="20"/>
                <w:szCs w:val="20"/>
              </w:rPr>
            </w:pPr>
            <w:r w:rsidRPr="00430121">
              <w:rPr>
                <w:noProof/>
                <w:sz w:val="20"/>
                <w:szCs w:val="20"/>
              </w:rPr>
              <w:t xml:space="preserve"> 4</w:t>
            </w:r>
            <w:r>
              <w:rPr>
                <w:noProof/>
                <w:sz w:val="20"/>
                <w:szCs w:val="20"/>
              </w:rPr>
              <w:t xml:space="preserve"> </w:t>
            </w:r>
            <w:r w:rsidRPr="00430121">
              <w:rPr>
                <w:noProof/>
                <w:sz w:val="20"/>
                <w:szCs w:val="20"/>
              </w:rPr>
              <w:t>930</w:t>
            </w:r>
            <w:r>
              <w:rPr>
                <w:noProof/>
                <w:sz w:val="20"/>
                <w:szCs w:val="20"/>
              </w:rPr>
              <w:t xml:space="preserve"> </w:t>
            </w:r>
            <w:r w:rsidRPr="00430121">
              <w:rPr>
                <w:noProof/>
                <w:sz w:val="20"/>
                <w:szCs w:val="20"/>
              </w:rPr>
              <w:t xml:space="preserve">657 </w:t>
            </w:r>
          </w:p>
        </w:tc>
        <w:tc>
          <w:tcPr>
            <w:tcW w:w="1417" w:type="dxa"/>
            <w:shd w:val="clear" w:color="auto" w:fill="F2F2F2" w:themeFill="background1" w:themeFillShade="F2"/>
            <w:noWrap/>
          </w:tcPr>
          <w:p w14:paraId="5A243D3E" w14:textId="75AF66A9" w:rsidR="007D714B" w:rsidRPr="00430121" w:rsidRDefault="00E26083" w:rsidP="007D714B">
            <w:pPr>
              <w:spacing w:after="0"/>
              <w:jc w:val="right"/>
              <w:rPr>
                <w:noProof/>
                <w:sz w:val="20"/>
                <w:szCs w:val="20"/>
              </w:rPr>
            </w:pPr>
            <w:r w:rsidRPr="00430121">
              <w:rPr>
                <w:noProof/>
                <w:sz w:val="20"/>
                <w:szCs w:val="20"/>
              </w:rPr>
              <w:t xml:space="preserve"> 28</w:t>
            </w:r>
            <w:r>
              <w:rPr>
                <w:noProof/>
                <w:sz w:val="20"/>
                <w:szCs w:val="20"/>
              </w:rPr>
              <w:t xml:space="preserve"> </w:t>
            </w:r>
            <w:r w:rsidRPr="00430121">
              <w:rPr>
                <w:noProof/>
                <w:sz w:val="20"/>
                <w:szCs w:val="20"/>
              </w:rPr>
              <w:t>278</w:t>
            </w:r>
            <w:r>
              <w:rPr>
                <w:noProof/>
                <w:sz w:val="20"/>
                <w:szCs w:val="20"/>
              </w:rPr>
              <w:t xml:space="preserve"> </w:t>
            </w:r>
            <w:r w:rsidRPr="00430121">
              <w:rPr>
                <w:noProof/>
                <w:sz w:val="20"/>
                <w:szCs w:val="20"/>
              </w:rPr>
              <w:t xml:space="preserve">449 </w:t>
            </w:r>
          </w:p>
        </w:tc>
      </w:tr>
    </w:tbl>
    <w:p w14:paraId="5B34D3B3" w14:textId="77777777" w:rsidR="00037985" w:rsidRPr="004F6FE1" w:rsidRDefault="00037985" w:rsidP="00B04A21">
      <w:pPr>
        <w:pStyle w:val="Heading2"/>
        <w:numPr>
          <w:ilvl w:val="1"/>
          <w:numId w:val="10"/>
        </w:numPr>
        <w:tabs>
          <w:tab w:val="num" w:pos="283"/>
        </w:tabs>
        <w:spacing w:before="240"/>
        <w:ind w:left="1202"/>
        <w:rPr>
          <w:bCs/>
          <w:noProof/>
        </w:rPr>
      </w:pPr>
      <w:bookmarkStart w:id="236" w:name="_Toc214519721"/>
      <w:bookmarkStart w:id="237" w:name="_Toc216283372"/>
      <w:bookmarkStart w:id="238" w:name="_Toc228346927"/>
      <w:r w:rsidRPr="004F6FE1">
        <w:rPr>
          <w:bCs/>
          <w:noProof/>
        </w:rPr>
        <w:t>PM17: Public Sector Cloud Federation</w:t>
      </w:r>
      <w:bookmarkEnd w:id="236"/>
      <w:bookmarkEnd w:id="237"/>
      <w:bookmarkEnd w:id="238"/>
    </w:p>
    <w:p w14:paraId="14AA6DA5" w14:textId="5E674BBC" w:rsidR="00037985" w:rsidRPr="0007547C" w:rsidRDefault="00037985" w:rsidP="00037985">
      <w:pPr>
        <w:rPr>
          <w:noProof/>
        </w:rPr>
      </w:pPr>
      <w:r w:rsidRPr="0007547C">
        <w:rPr>
          <w:noProof/>
        </w:rPr>
        <w:t xml:space="preserve">PM17 establishes a European public sector cloud federation </w:t>
      </w:r>
      <w:r w:rsidR="006D6310">
        <w:rPr>
          <w:noProof/>
        </w:rPr>
        <w:t>for voluntary participation</w:t>
      </w:r>
      <w:r w:rsidRPr="0007547C">
        <w:rPr>
          <w:noProof/>
        </w:rPr>
        <w:t xml:space="preserve"> European and </w:t>
      </w:r>
      <w:r w:rsidR="006D6310">
        <w:rPr>
          <w:noProof/>
        </w:rPr>
        <w:t>n</w:t>
      </w:r>
      <w:r w:rsidRPr="0007547C">
        <w:rPr>
          <w:noProof/>
        </w:rPr>
        <w:t xml:space="preserve">ational public authorities at all levels to allow them to share their own existing data centre, cloud and AI </w:t>
      </w:r>
      <w:r w:rsidR="006D6310">
        <w:rPr>
          <w:noProof/>
        </w:rPr>
        <w:t xml:space="preserve">computing </w:t>
      </w:r>
      <w:r w:rsidRPr="0007547C">
        <w:rPr>
          <w:noProof/>
        </w:rPr>
        <w:t>services. This policy measure requires the establishment of the technical back end that operates the necessary brokering services.</w:t>
      </w:r>
    </w:p>
    <w:p w14:paraId="693D10D4" w14:textId="6EB95B9A" w:rsidR="00037985" w:rsidRPr="0007547C" w:rsidRDefault="00037985" w:rsidP="00037985">
      <w:pPr>
        <w:rPr>
          <w:noProof/>
        </w:rPr>
      </w:pPr>
      <w:r w:rsidRPr="294AF3FA">
        <w:rPr>
          <w:i/>
          <w:iCs/>
          <w:noProof/>
        </w:rPr>
        <w:t xml:space="preserve">Cloud Capacity in the Public Sector. </w:t>
      </w:r>
      <w:r w:rsidRPr="0007547C">
        <w:rPr>
          <w:noProof/>
        </w:rPr>
        <w:t>The public sector in Europe is running a data centre capacity of 1.5 GW</w:t>
      </w:r>
      <w:r w:rsidRPr="0007547C">
        <w:rPr>
          <w:rStyle w:val="FootnoteReference"/>
          <w:noProof/>
        </w:rPr>
        <w:footnoteReference w:id="67"/>
      </w:r>
      <w:r w:rsidRPr="0007547C">
        <w:rPr>
          <w:noProof/>
        </w:rPr>
        <w:t xml:space="preserve"> in 2025 and shows an annual increase of 8.9% due to the growing adoption of PaaS and SaaS services</w:t>
      </w:r>
      <w:r w:rsidRPr="0007547C">
        <w:rPr>
          <w:rStyle w:val="FootnoteReference"/>
          <w:noProof/>
        </w:rPr>
        <w:footnoteReference w:id="68"/>
      </w:r>
      <w:r w:rsidRPr="0007547C">
        <w:rPr>
          <w:noProof/>
        </w:rPr>
        <w:t xml:space="preserve">, that might be impacted in the first years with this policy measure. </w:t>
      </w:r>
      <w:r w:rsidR="738A8A4E" w:rsidRPr="00B77457">
        <w:rPr>
          <w:rFonts w:eastAsia="Times New Roman"/>
          <w:noProof/>
        </w:rPr>
        <w:t>As the measure is voluntary, it is assumed that only a part (two thirds) of the public authorities will join the federation, reducing the capacity available in the federation to 1 GW.</w:t>
      </w:r>
    </w:p>
    <w:p w14:paraId="66BB9691" w14:textId="746FA481" w:rsidR="00037985" w:rsidRPr="0007547C" w:rsidRDefault="00037985" w:rsidP="00037985">
      <w:pPr>
        <w:rPr>
          <w:noProof/>
        </w:rPr>
      </w:pPr>
      <w:r w:rsidRPr="0007547C">
        <w:rPr>
          <w:noProof/>
        </w:rPr>
        <w:t>Assuming a power usage effectiveness (PUE) of 1.</w:t>
      </w:r>
      <w:r w:rsidR="6867F2BC">
        <w:rPr>
          <w:noProof/>
        </w:rPr>
        <w:t>29</w:t>
      </w:r>
      <w:r w:rsidRPr="0007547C">
        <w:rPr>
          <w:noProof/>
        </w:rPr>
        <w:t xml:space="preserve">, a consumption of 500 W per server and 32 virtual machines (VMs) per server, the 1 GW of datacentre capacity could deliver around </w:t>
      </w:r>
      <w:r w:rsidR="182BEEE0">
        <w:rPr>
          <w:noProof/>
        </w:rPr>
        <w:t>50</w:t>
      </w:r>
      <w:r w:rsidRPr="0007547C">
        <w:rPr>
          <w:noProof/>
        </w:rPr>
        <w:t xml:space="preserve"> million mid-sized VMs of 4 vCPU and 16 GB.</w:t>
      </w:r>
    </w:p>
    <w:p w14:paraId="458C14B0" w14:textId="1D31792B" w:rsidR="00037985" w:rsidRPr="0007547C" w:rsidRDefault="00037985" w:rsidP="00037985">
      <w:pPr>
        <w:ind w:left="720"/>
        <w:rPr>
          <w:i/>
          <w:noProof/>
        </w:rPr>
      </w:pPr>
      <w:r w:rsidRPr="0007547C">
        <w:rPr>
          <w:i/>
          <w:noProof/>
        </w:rPr>
        <w:t>Number of VMs = ((1</w:t>
      </w:r>
      <w:r w:rsidR="001B513C">
        <w:rPr>
          <w:i/>
          <w:noProof/>
        </w:rPr>
        <w:t xml:space="preserve"> </w:t>
      </w:r>
      <w:r w:rsidRPr="0007547C">
        <w:rPr>
          <w:i/>
          <w:noProof/>
        </w:rPr>
        <w:t>000</w:t>
      </w:r>
      <w:r w:rsidR="001B513C">
        <w:rPr>
          <w:i/>
          <w:noProof/>
        </w:rPr>
        <w:t xml:space="preserve"> </w:t>
      </w:r>
      <w:r w:rsidRPr="0007547C">
        <w:rPr>
          <w:i/>
          <w:noProof/>
        </w:rPr>
        <w:t>000</w:t>
      </w:r>
      <w:r w:rsidR="001B513C">
        <w:rPr>
          <w:i/>
          <w:noProof/>
        </w:rPr>
        <w:t xml:space="preserve"> </w:t>
      </w:r>
      <w:r w:rsidRPr="0007547C">
        <w:rPr>
          <w:i/>
          <w:noProof/>
        </w:rPr>
        <w:t xml:space="preserve">000 W/ PUE) / 500 W per server) x 32 VMs per server </w:t>
      </w:r>
    </w:p>
    <w:p w14:paraId="0C225FAB" w14:textId="1C3F04AA" w:rsidR="000C53E9" w:rsidRPr="0007547C" w:rsidRDefault="00037985" w:rsidP="00037985">
      <w:pPr>
        <w:rPr>
          <w:noProof/>
        </w:rPr>
      </w:pPr>
      <w:r w:rsidRPr="0007547C">
        <w:rPr>
          <w:noProof/>
        </w:rPr>
        <w:t>Market price of a VM is set at 0.23 EUR per hour based on a baseline configuration of 4 vCPUs (processors) and 16 GB (memory)</w:t>
      </w:r>
      <w:r w:rsidRPr="0007547C">
        <w:rPr>
          <w:noProof/>
          <w:vertAlign w:val="superscript"/>
        </w:rPr>
        <w:footnoteReference w:id="69"/>
      </w:r>
      <w:r w:rsidRPr="0007547C">
        <w:rPr>
          <w:noProof/>
        </w:rPr>
        <w:t>. Considering the high margins in commercial cloud services, beyond 60%, and a cost-based chargeback among participants to the federation, a conservative assumption of a 30% price advantage of the cloud federation services with respect to commercial cloud services is made, setting the cloud federation’s VM price at 0.16 EUR per hour.</w:t>
      </w:r>
      <w:r w:rsidR="00AA0B39">
        <w:rPr>
          <w:noProof/>
        </w:rPr>
        <w:t xml:space="preserve"> This assumption was confirmed in the Final Validation workshop held as part of the </w:t>
      </w:r>
      <w:r w:rsidR="000C53E9">
        <w:rPr>
          <w:noProof/>
        </w:rPr>
        <w:t xml:space="preserve">study carried out by </w:t>
      </w:r>
      <w:r w:rsidR="000C53E9">
        <w:rPr>
          <w:bCs/>
          <w:noProof/>
        </w:rPr>
        <w:t>Technopolis et al. (2025)).</w:t>
      </w:r>
    </w:p>
    <w:p w14:paraId="3CF08958" w14:textId="77777777" w:rsidR="00037985" w:rsidRPr="0007547C" w:rsidRDefault="00037985" w:rsidP="00037985">
      <w:pPr>
        <w:rPr>
          <w:noProof/>
        </w:rPr>
      </w:pPr>
      <w:r w:rsidRPr="0007547C">
        <w:rPr>
          <w:noProof/>
        </w:rPr>
        <w:t>Over time, VM configurations will evolve to higher performance and higher share of AI processing units (GPUs, TPUs, etc). Prices are considered to remain relatively constant as these more sophisticated configurations will get commoditized over time.</w:t>
      </w:r>
    </w:p>
    <w:p w14:paraId="72D1CE0E" w14:textId="77777777" w:rsidR="00037985" w:rsidRPr="0007547C" w:rsidRDefault="00037985" w:rsidP="00037985">
      <w:pPr>
        <w:rPr>
          <w:noProof/>
          <w:color w:val="0070C0"/>
        </w:rPr>
      </w:pPr>
      <w:r w:rsidRPr="0007547C">
        <w:rPr>
          <w:noProof/>
        </w:rPr>
        <w:t>A target utiliz</w:t>
      </w:r>
      <w:r w:rsidRPr="0007547C" w:rsidDel="00817C21">
        <w:rPr>
          <w:noProof/>
        </w:rPr>
        <w:t>ation</w:t>
      </w:r>
      <w:r w:rsidRPr="0007547C">
        <w:rPr>
          <w:noProof/>
        </w:rPr>
        <w:t xml:space="preserve"> of 60% is assumed for the cloud capacity based on own infrastructure. This is based on a report from Berkeley Lab on data centre energy usage</w:t>
      </w:r>
      <w:r w:rsidRPr="0007547C">
        <w:rPr>
          <w:rStyle w:val="FootnoteReference"/>
          <w:noProof/>
        </w:rPr>
        <w:footnoteReference w:id="70"/>
      </w:r>
      <w:r w:rsidRPr="0007547C">
        <w:rPr>
          <w:noProof/>
        </w:rPr>
        <w:t>, considering an evolution of public sector data centres from current low occupation in traditional compute (below 20%), towards higher occupation levels as the load of AI inferencing and AI modelling grows (datacentres with this kind of loads present an average of 40% and 80% time operational, respectively). A middle point (60%) is set as the target.</w:t>
      </w:r>
      <w:r w:rsidRPr="0007547C">
        <w:rPr>
          <w:noProof/>
          <w:color w:val="0070C0"/>
        </w:rPr>
        <w:t xml:space="preserve"> </w:t>
      </w:r>
    </w:p>
    <w:p w14:paraId="75DAEE29" w14:textId="77777777" w:rsidR="00037985" w:rsidRPr="0007547C" w:rsidRDefault="00037985" w:rsidP="00037985">
      <w:pPr>
        <w:rPr>
          <w:noProof/>
        </w:rPr>
      </w:pPr>
      <w:r w:rsidRPr="0007547C">
        <w:rPr>
          <w:noProof/>
        </w:rPr>
        <w:t>Applying a conservative approach only 25% of the idle capacity, 10% of the total capacity, is considered to be shared with other members of the cloud federation. On the other hand, cloud capacity extensions in each MS are assumed to be reduced by 10% by using idle capacity from other federation members.</w:t>
      </w:r>
    </w:p>
    <w:p w14:paraId="6AEF9D7E" w14:textId="77777777" w:rsidR="00037985" w:rsidRPr="0007547C" w:rsidRDefault="00037985" w:rsidP="00037985">
      <w:pPr>
        <w:rPr>
          <w:noProof/>
        </w:rPr>
      </w:pPr>
      <w:r w:rsidRPr="0007547C">
        <w:rPr>
          <w:noProof/>
        </w:rPr>
        <w:t>With regards to the number of public authorities that own and run a datacentre infrastructure and could be members of the public sector cloud federation, in the absence of a precise number, the assumption made is that there is one in each NUTS1 and NUTS2 area</w:t>
      </w:r>
      <w:r w:rsidRPr="0007547C">
        <w:rPr>
          <w:rStyle w:val="FootnoteReference"/>
          <w:noProof/>
        </w:rPr>
        <w:footnoteReference w:id="71"/>
      </w:r>
      <w:r w:rsidRPr="0007547C">
        <w:rPr>
          <w:noProof/>
        </w:rPr>
        <w:t>, resulting in a figure of 300 public authorities in Europe.</w:t>
      </w:r>
    </w:p>
    <w:p w14:paraId="0579DBB2" w14:textId="2EFCFF62" w:rsidR="00037985" w:rsidRPr="008D48F5" w:rsidRDefault="00037985" w:rsidP="00037985">
      <w:pPr>
        <w:rPr>
          <w:noProof/>
        </w:rPr>
      </w:pPr>
      <w:r w:rsidRPr="0007547C">
        <w:rPr>
          <w:b/>
          <w:i/>
          <w:noProof/>
        </w:rPr>
        <w:t>One-off a</w:t>
      </w:r>
      <w:r w:rsidR="4D8DEB08" w:rsidRPr="1351C060">
        <w:rPr>
          <w:b/>
          <w:bCs/>
          <w:i/>
          <w:iCs/>
          <w:noProof/>
        </w:rPr>
        <w:t>djustment</w:t>
      </w:r>
      <w:r w:rsidRPr="0007547C">
        <w:rPr>
          <w:b/>
          <w:i/>
          <w:noProof/>
        </w:rPr>
        <w:t xml:space="preserve"> costs for the European Commission.</w:t>
      </w:r>
      <w:r w:rsidRPr="0007547C">
        <w:rPr>
          <w:noProof/>
        </w:rPr>
        <w:t xml:space="preserve"> This</w:t>
      </w:r>
      <w:r w:rsidRPr="0007547C" w:rsidDel="003D180B">
        <w:rPr>
          <w:noProof/>
        </w:rPr>
        <w:t xml:space="preserve"> </w:t>
      </w:r>
      <w:r w:rsidRPr="0007547C">
        <w:rPr>
          <w:noProof/>
        </w:rPr>
        <w:t xml:space="preserve">policy measure entails one-off adjustment costs to establish the public sector cloud federation platform. These costs include 4 persons half time in 2027 (2 FTE) from the EC to run the procurement process for the federation platform (define requirements and prepare the call, assess </w:t>
      </w:r>
      <w:r w:rsidRPr="0007547C" w:rsidDel="00DF269D">
        <w:rPr>
          <w:noProof/>
        </w:rPr>
        <w:t xml:space="preserve">and </w:t>
      </w:r>
      <w:r w:rsidRPr="0007547C">
        <w:rPr>
          <w:noProof/>
        </w:rPr>
        <w:t>award the contract), that will be tasked to a subcontractor for an estimated cost of EUR 20</w:t>
      </w:r>
      <w:r w:rsidR="00F253F0">
        <w:rPr>
          <w:noProof/>
        </w:rPr>
        <w:t xml:space="preserve"> </w:t>
      </w:r>
      <w:r w:rsidRPr="0007547C">
        <w:rPr>
          <w:noProof/>
        </w:rPr>
        <w:t>000</w:t>
      </w:r>
      <w:r w:rsidR="00F253F0">
        <w:rPr>
          <w:noProof/>
        </w:rPr>
        <w:t xml:space="preserve"> </w:t>
      </w:r>
      <w:r w:rsidRPr="0007547C">
        <w:rPr>
          <w:noProof/>
        </w:rPr>
        <w:t xml:space="preserve">000. This includes the technical aspects of the platform, as well as the development of the service level agreements and of the technical common specifications. </w:t>
      </w:r>
    </w:p>
    <w:p w14:paraId="25E23DA6" w14:textId="3A09853D" w:rsidR="0BC369A1" w:rsidRPr="008D0BAC" w:rsidRDefault="0BC369A1" w:rsidP="008D48F5">
      <w:pPr>
        <w:ind w:left="720"/>
        <w:rPr>
          <w:rFonts w:eastAsia="Times New Roman"/>
          <w:i/>
          <w:iCs/>
          <w:noProof/>
        </w:rPr>
      </w:pPr>
      <w:r w:rsidRPr="008D0BAC">
        <w:rPr>
          <w:rFonts w:eastAsia="Times New Roman"/>
          <w:i/>
          <w:iCs/>
          <w:noProof/>
        </w:rPr>
        <w:t>One-off adjustment costs = external contract to develop the platform + (effort to run the procurement process * labour costs)</w:t>
      </w:r>
    </w:p>
    <w:p w14:paraId="2EEDE4F3" w14:textId="2F8E0171" w:rsidR="00037985" w:rsidRPr="0007547C" w:rsidRDefault="6D4A7C86" w:rsidP="00037985">
      <w:pPr>
        <w:rPr>
          <w:noProof/>
        </w:rPr>
      </w:pPr>
      <w:r w:rsidRPr="00F56C6D">
        <w:rPr>
          <w:rFonts w:eastAsia="Times New Roman"/>
          <w:b/>
          <w:i/>
          <w:noProof/>
        </w:rPr>
        <w:t>Recurrent administrative costs for the European Commission.</w:t>
      </w:r>
      <w:r w:rsidRPr="50CF11D4">
        <w:rPr>
          <w:rFonts w:eastAsia="Times New Roman"/>
          <w:noProof/>
        </w:rPr>
        <w:t xml:space="preserve"> O</w:t>
      </w:r>
      <w:r w:rsidR="00037985">
        <w:rPr>
          <w:noProof/>
        </w:rPr>
        <w:t>n</w:t>
      </w:r>
      <w:r w:rsidR="00037985" w:rsidRPr="0007547C">
        <w:rPr>
          <w:noProof/>
        </w:rPr>
        <w:t xml:space="preserve"> a yearly basis, the operation of the federation platform requires 6 FTEs. </w:t>
      </w:r>
    </w:p>
    <w:p w14:paraId="77751B56" w14:textId="17A2B530" w:rsidR="00037985" w:rsidRPr="0007547C" w:rsidRDefault="00037985" w:rsidP="00037985">
      <w:pPr>
        <w:rPr>
          <w:noProof/>
        </w:rPr>
      </w:pPr>
      <w:r w:rsidRPr="008D48F5">
        <w:rPr>
          <w:b/>
          <w:i/>
          <w:noProof/>
        </w:rPr>
        <w:t>Recurrent adjustment costs</w:t>
      </w:r>
      <w:r w:rsidRPr="0007547C">
        <w:rPr>
          <w:noProof/>
        </w:rPr>
        <w:t xml:space="preserve"> </w:t>
      </w:r>
      <w:r w:rsidR="096960CC" w:rsidRPr="008D48F5">
        <w:rPr>
          <w:rFonts w:eastAsia="Times New Roman"/>
          <w:b/>
          <w:i/>
          <w:noProof/>
        </w:rPr>
        <w:t>for the European Commission</w:t>
      </w:r>
      <w:r w:rsidRPr="0007547C">
        <w:rPr>
          <w:noProof/>
        </w:rPr>
        <w:t xml:space="preserve"> relate to hosting of the platform in a cloud, estimated at 1 million EUR per year, </w:t>
      </w:r>
      <w:r w:rsidR="00760042">
        <w:rPr>
          <w:noProof/>
        </w:rPr>
        <w:t xml:space="preserve">and </w:t>
      </w:r>
      <w:r w:rsidRPr="0007547C">
        <w:rPr>
          <w:noProof/>
        </w:rPr>
        <w:t>operating, maintaining and evolving the federation platform, with an effort of 60 contractor FTEs per year, including the integration of APIs and connectors to aggregate the NPA cloud resources to this platform.</w:t>
      </w:r>
    </w:p>
    <w:p w14:paraId="23B4CC28" w14:textId="5A228E77" w:rsidR="006447BB" w:rsidRPr="0007547C" w:rsidRDefault="006447BB" w:rsidP="008D48F5">
      <w:pPr>
        <w:ind w:firstLine="720"/>
        <w:rPr>
          <w:noProof/>
        </w:rPr>
      </w:pPr>
      <w:r w:rsidRPr="008D48F5">
        <w:rPr>
          <w:i/>
          <w:noProof/>
        </w:rPr>
        <w:t>Recurrent adjustment costs = hosting of the platform + maintenance of the platform</w:t>
      </w:r>
    </w:p>
    <w:p w14:paraId="62A6A302" w14:textId="6C0A1A6A" w:rsidR="00037985" w:rsidRPr="0007547C" w:rsidRDefault="00037985" w:rsidP="00037985">
      <w:pPr>
        <w:rPr>
          <w:noProof/>
        </w:rPr>
      </w:pPr>
      <w:r w:rsidRPr="0007547C">
        <w:rPr>
          <w:b/>
          <w:i/>
          <w:noProof/>
        </w:rPr>
        <w:t xml:space="preserve">One-off and recurrent </w:t>
      </w:r>
      <w:r w:rsidR="006447BB">
        <w:rPr>
          <w:b/>
          <w:i/>
          <w:noProof/>
        </w:rPr>
        <w:t xml:space="preserve">adjustment </w:t>
      </w:r>
      <w:r w:rsidRPr="0007547C">
        <w:rPr>
          <w:b/>
          <w:i/>
          <w:noProof/>
        </w:rPr>
        <w:t>costs for National Public Administrations.</w:t>
      </w:r>
      <w:r w:rsidRPr="0007547C">
        <w:rPr>
          <w:noProof/>
        </w:rPr>
        <w:t xml:space="preserve"> Member States dedicate an effort of 55 staff days (0.25 FTEs) in 2027 to participate in the setup of </w:t>
      </w:r>
      <w:r w:rsidRPr="0007547C" w:rsidDel="000B64C0">
        <w:rPr>
          <w:noProof/>
        </w:rPr>
        <w:t xml:space="preserve">the </w:t>
      </w:r>
      <w:r w:rsidRPr="0007547C">
        <w:rPr>
          <w:noProof/>
        </w:rPr>
        <w:t xml:space="preserve">public sector cloud federation. </w:t>
      </w:r>
    </w:p>
    <w:p w14:paraId="2DC86BCE" w14:textId="70DBDC88" w:rsidR="00037985" w:rsidRPr="0007547C" w:rsidRDefault="00037985" w:rsidP="00037985">
      <w:pPr>
        <w:rPr>
          <w:noProof/>
        </w:rPr>
      </w:pPr>
      <w:r w:rsidRPr="0007547C">
        <w:rPr>
          <w:noProof/>
        </w:rPr>
        <w:t>On a recurrent basis during the first years, up to 2031, each NPA will have to apply efforts to connect national infrastructures and ensure interoperability to join the federation (2 FTEs), to onboard cloud resources and services on the federation platform (30 staff days) and to update and delete them later on (20 and 50 staff days respectively)</w:t>
      </w:r>
      <w:r w:rsidR="0057262C">
        <w:rPr>
          <w:noProof/>
        </w:rPr>
        <w:t xml:space="preserve">, making a total yearly effort of </w:t>
      </w:r>
      <w:r w:rsidR="00956BFF">
        <w:rPr>
          <w:noProof/>
        </w:rPr>
        <w:t>2.45 FTEs</w:t>
      </w:r>
      <w:r w:rsidRPr="0007547C">
        <w:rPr>
          <w:noProof/>
        </w:rPr>
        <w:t>.</w:t>
      </w:r>
    </w:p>
    <w:p w14:paraId="7CDC7CC6" w14:textId="5CE91A44" w:rsidR="00037985" w:rsidRPr="0007547C" w:rsidRDefault="00873557" w:rsidP="00037985">
      <w:pPr>
        <w:rPr>
          <w:noProof/>
        </w:rPr>
      </w:pPr>
      <w:r>
        <w:rPr>
          <w:b/>
          <w:i/>
          <w:noProof/>
        </w:rPr>
        <w:t>R</w:t>
      </w:r>
      <w:r w:rsidR="00037985" w:rsidRPr="0007547C">
        <w:rPr>
          <w:b/>
          <w:i/>
          <w:noProof/>
        </w:rPr>
        <w:t>ecurrent savings for National Public Administrations</w:t>
      </w:r>
      <w:r w:rsidR="00037985" w:rsidRPr="0007547C">
        <w:rPr>
          <w:noProof/>
        </w:rPr>
        <w:t xml:space="preserve">. With the measure and thanks to the federation platform, NPAs will save 0.5 FTEs in the coordination with other Member States for the sharing of cloud capacity. </w:t>
      </w:r>
    </w:p>
    <w:p w14:paraId="31ABA7F3" w14:textId="5D9E3408" w:rsidR="00037985" w:rsidRPr="0007547C" w:rsidRDefault="00037985" w:rsidP="00037985">
      <w:pPr>
        <w:rPr>
          <w:noProof/>
        </w:rPr>
      </w:pPr>
      <w:r w:rsidRPr="0007547C">
        <w:rPr>
          <w:noProof/>
        </w:rPr>
        <w:t xml:space="preserve">In addition, the sharing of 10% of the idle VM capacity on a pay-per-use mode (with capacity assumed to be </w:t>
      </w:r>
      <w:r w:rsidR="004E3F6A">
        <w:rPr>
          <w:noProof/>
        </w:rPr>
        <w:t>consum</w:t>
      </w:r>
      <w:r w:rsidRPr="0007547C">
        <w:rPr>
          <w:noProof/>
        </w:rPr>
        <w:t xml:space="preserve">ed during 10% of the time) will represent a charge back of around </w:t>
      </w:r>
      <w:r w:rsidR="00AF2DAF">
        <w:rPr>
          <w:noProof/>
        </w:rPr>
        <w:t>EUR 690 m</w:t>
      </w:r>
      <w:r w:rsidRPr="0007547C">
        <w:rPr>
          <w:noProof/>
        </w:rPr>
        <w:t>illion EUR in</w:t>
      </w:r>
      <w:r w:rsidR="00193DA5">
        <w:rPr>
          <w:noProof/>
        </w:rPr>
        <w:t>z</w:t>
      </w:r>
      <w:r w:rsidRPr="0007547C">
        <w:rPr>
          <w:noProof/>
        </w:rPr>
        <w:t xml:space="preserve"> the first year (2027).</w:t>
      </w:r>
    </w:p>
    <w:p w14:paraId="2156DE09" w14:textId="77777777" w:rsidR="00037985" w:rsidRPr="0007547C" w:rsidRDefault="00037985" w:rsidP="00037985">
      <w:pPr>
        <w:ind w:left="720"/>
        <w:rPr>
          <w:i/>
          <w:noProof/>
        </w:rPr>
      </w:pPr>
      <w:r w:rsidRPr="0007547C">
        <w:rPr>
          <w:i/>
          <w:noProof/>
        </w:rPr>
        <w:t>Savings = VM capacity x %shared x price/hour x number of hours</w:t>
      </w:r>
    </w:p>
    <w:p w14:paraId="1C90C10F" w14:textId="0AA5DC5C" w:rsidR="00037985" w:rsidRPr="0007547C" w:rsidRDefault="00037985" w:rsidP="00037985">
      <w:pPr>
        <w:rPr>
          <w:noProof/>
        </w:rPr>
      </w:pPr>
      <w:r w:rsidRPr="0007547C">
        <w:rPr>
          <w:noProof/>
        </w:rPr>
        <w:t xml:space="preserve">The acquisition of 10% of the cloud capacity demand from the cloud federation will derive in around </w:t>
      </w:r>
      <w:r w:rsidR="00784031">
        <w:rPr>
          <w:noProof/>
        </w:rPr>
        <w:t>EUR 296</w:t>
      </w:r>
      <w:r w:rsidR="00784031" w:rsidRPr="0007547C">
        <w:rPr>
          <w:noProof/>
        </w:rPr>
        <w:t xml:space="preserve"> </w:t>
      </w:r>
      <w:r w:rsidRPr="0007547C">
        <w:rPr>
          <w:noProof/>
        </w:rPr>
        <w:t>million EUR savings in 2027, due to the 30% price difference between federation and commercial cloud services.</w:t>
      </w:r>
    </w:p>
    <w:p w14:paraId="784B225B" w14:textId="77777777" w:rsidR="00037985" w:rsidRPr="0007547C" w:rsidRDefault="00037985" w:rsidP="00037985">
      <w:pPr>
        <w:ind w:left="720"/>
        <w:rPr>
          <w:i/>
          <w:noProof/>
        </w:rPr>
      </w:pPr>
      <w:r w:rsidRPr="0007547C">
        <w:rPr>
          <w:i/>
          <w:noProof/>
        </w:rPr>
        <w:t>Savings = VM capacity x %extension avoided x price difference x usage</w:t>
      </w:r>
    </w:p>
    <w:p w14:paraId="7571E8F4" w14:textId="77777777" w:rsidR="00037985" w:rsidRPr="0007547C" w:rsidRDefault="00037985" w:rsidP="00037985">
      <w:pPr>
        <w:rPr>
          <w:noProof/>
        </w:rPr>
      </w:pPr>
      <w:r w:rsidRPr="0007547C">
        <w:rPr>
          <w:noProof/>
        </w:rPr>
        <w:t>These savings grow over the years with the expected increase in cloud capacity demand (8.9% annually).</w:t>
      </w:r>
    </w:p>
    <w:p w14:paraId="2E02C80F" w14:textId="77777777" w:rsidR="00037985" w:rsidRPr="0007547C" w:rsidRDefault="00037985" w:rsidP="00037985">
      <w:pPr>
        <w:rPr>
          <w:rFonts w:eastAsia="Times New Roman"/>
          <w:noProof/>
        </w:rPr>
      </w:pPr>
      <w:r w:rsidRPr="0007547C">
        <w:rPr>
          <w:rFonts w:eastAsia="Times New Roman"/>
          <w:b/>
          <w:noProof/>
        </w:rPr>
        <w:t xml:space="preserve">Indirect savings: </w:t>
      </w:r>
      <w:r w:rsidRPr="0007547C">
        <w:rPr>
          <w:rFonts w:eastAsia="Times New Roman"/>
          <w:noProof/>
        </w:rPr>
        <w:t>Through this measure, the public sector achieves additional data centre efficiency and improves the return on investment from their infrastructure and assets in cloud and AI. The increase in resource utilization achieved by pooling resources reduces the investment risk and may stimulate the increase in their investment in data centre, cloud and AI capacity.</w:t>
      </w:r>
    </w:p>
    <w:p w14:paraId="3BC1C52F" w14:textId="32C889A9" w:rsidR="00037985" w:rsidRDefault="00037985" w:rsidP="00037985">
      <w:pPr>
        <w:rPr>
          <w:rFonts w:eastAsia="Times New Roman"/>
          <w:noProof/>
        </w:rPr>
      </w:pPr>
      <w:r w:rsidRPr="0007547C">
        <w:rPr>
          <w:b/>
          <w:noProof/>
        </w:rPr>
        <w:t xml:space="preserve">Sensitivity analysis: </w:t>
      </w:r>
      <w:r w:rsidRPr="0007547C">
        <w:rPr>
          <w:noProof/>
        </w:rPr>
        <w:t>The values to be challenged in this policy measure include the capacity shared by each MS with the federation ranging from 5% to 15% which impacts the savings in terms of idle capacity reduction.</w:t>
      </w:r>
    </w:p>
    <w:p w14:paraId="13B67ED5" w14:textId="376FE149" w:rsidR="00037985" w:rsidRPr="004465BE" w:rsidRDefault="00037985" w:rsidP="00037985">
      <w:pPr>
        <w:rPr>
          <w:noProof/>
        </w:rPr>
      </w:pPr>
      <w:r w:rsidRPr="00DA029C">
        <w:rPr>
          <w:b/>
          <w:bCs/>
          <w:noProof/>
        </w:rPr>
        <w:t>Results</w:t>
      </w:r>
      <w:r w:rsidRPr="00DA029C">
        <w:rPr>
          <w:noProof/>
        </w:rPr>
        <w:t xml:space="preserve"> for all stakeholders aggregated and for the years covered by this measure are summarised in the table below. </w:t>
      </w:r>
      <w:r w:rsidR="00CE12BB">
        <w:rPr>
          <w:noProof/>
          <w:color w:val="000000" w:themeColor="text1"/>
        </w:rPr>
        <w:t xml:space="preserve">The main difference stem from the </w:t>
      </w:r>
      <w:r w:rsidR="00F5197F">
        <w:rPr>
          <w:noProof/>
          <w:color w:val="000000" w:themeColor="text1"/>
        </w:rPr>
        <w:t>percentage of idle resources shared and particularly by the Member States participating in the federation.</w:t>
      </w:r>
    </w:p>
    <w:p w14:paraId="5B2C744A" w14:textId="5910BBD1" w:rsidR="00037985" w:rsidRDefault="00037985" w:rsidP="00037985">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37</w:t>
      </w:r>
      <w:r>
        <w:rPr>
          <w:noProof/>
        </w:rPr>
        <w:fldChar w:fldCharType="end"/>
      </w:r>
      <w:r>
        <w:rPr>
          <w:noProof/>
        </w:rPr>
        <w:t xml:space="preserve">. </w:t>
      </w:r>
      <w:r w:rsidRPr="001C390B">
        <w:rPr>
          <w:noProof/>
        </w:rPr>
        <w:t>Public Sector Cloud Federation</w:t>
      </w:r>
      <w:r>
        <w:rPr>
          <w:noProof/>
        </w:rPr>
        <w:t xml:space="preserve"> (PM17)</w:t>
      </w:r>
    </w:p>
    <w:tbl>
      <w:tblPr>
        <w:tblStyle w:val="TableGrid"/>
        <w:tblW w:w="9923" w:type="dxa"/>
        <w:tblInd w:w="-567" w:type="dxa"/>
        <w:tblLayout w:type="fixed"/>
        <w:tblCellMar>
          <w:left w:w="0" w:type="dxa"/>
          <w:right w:w="0" w:type="dxa"/>
        </w:tblCellMar>
        <w:tblLook w:val="04A0" w:firstRow="1" w:lastRow="0" w:firstColumn="1" w:lastColumn="0" w:noHBand="0" w:noVBand="1"/>
      </w:tblPr>
      <w:tblGrid>
        <w:gridCol w:w="2127"/>
        <w:gridCol w:w="992"/>
        <w:gridCol w:w="1417"/>
        <w:gridCol w:w="1135"/>
        <w:gridCol w:w="1417"/>
        <w:gridCol w:w="1418"/>
        <w:gridCol w:w="1417"/>
      </w:tblGrid>
      <w:tr w:rsidR="000A64E7" w:rsidRPr="00FA63C0" w14:paraId="6CD98D9B" w14:textId="77777777" w:rsidTr="00715864">
        <w:trPr>
          <w:trHeight w:val="506"/>
        </w:trPr>
        <w:tc>
          <w:tcPr>
            <w:tcW w:w="2127" w:type="dxa"/>
            <w:tcBorders>
              <w:bottom w:val="single" w:sz="12" w:space="0" w:color="00B0F0"/>
            </w:tcBorders>
            <w:noWrap/>
            <w:hideMark/>
          </w:tcPr>
          <w:p w14:paraId="2193612F" w14:textId="77777777" w:rsidR="000A64E7" w:rsidRPr="00FA63C0" w:rsidRDefault="000A64E7">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992" w:type="dxa"/>
            <w:tcBorders>
              <w:bottom w:val="single" w:sz="12" w:space="0" w:color="00B0F0"/>
            </w:tcBorders>
          </w:tcPr>
          <w:p w14:paraId="2E040571" w14:textId="77777777" w:rsidR="000A64E7" w:rsidRPr="00FA63C0" w:rsidRDefault="000A64E7">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tcPr>
          <w:p w14:paraId="6B5190D2" w14:textId="77777777" w:rsidR="000A64E7" w:rsidRPr="00FA63C0" w:rsidRDefault="000A64E7">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5" w:type="dxa"/>
            <w:tcBorders>
              <w:bottom w:val="single" w:sz="12" w:space="0" w:color="00B0F0"/>
            </w:tcBorders>
          </w:tcPr>
          <w:p w14:paraId="332DC126" w14:textId="77777777" w:rsidR="000A64E7" w:rsidRPr="00FA63C0" w:rsidRDefault="000A64E7">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noWrap/>
            <w:hideMark/>
          </w:tcPr>
          <w:p w14:paraId="7D57A831" w14:textId="77777777" w:rsidR="000A64E7" w:rsidRPr="00FA63C0" w:rsidRDefault="000A64E7">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hideMark/>
          </w:tcPr>
          <w:p w14:paraId="26DC5464" w14:textId="77777777" w:rsidR="000A64E7" w:rsidRPr="00EC6BC1" w:rsidRDefault="000A64E7">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417" w:type="dxa"/>
            <w:tcBorders>
              <w:bottom w:val="single" w:sz="12" w:space="0" w:color="00B0F0"/>
            </w:tcBorders>
            <w:noWrap/>
            <w:hideMark/>
          </w:tcPr>
          <w:p w14:paraId="6D9E4C14" w14:textId="77777777" w:rsidR="000A64E7" w:rsidRPr="00FA63C0" w:rsidRDefault="000A64E7">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0A64E7" w:rsidRPr="000422D1" w14:paraId="51431733" w14:textId="77777777" w:rsidTr="00715864">
        <w:trPr>
          <w:trHeight w:val="283"/>
        </w:trPr>
        <w:tc>
          <w:tcPr>
            <w:tcW w:w="2127" w:type="dxa"/>
            <w:tcBorders>
              <w:top w:val="single" w:sz="12" w:space="0" w:color="00B0F0"/>
            </w:tcBorders>
            <w:noWrap/>
            <w:hideMark/>
          </w:tcPr>
          <w:p w14:paraId="711A5457"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992" w:type="dxa"/>
            <w:tcBorders>
              <w:top w:val="single" w:sz="12" w:space="0" w:color="00B0F0"/>
            </w:tcBorders>
          </w:tcPr>
          <w:p w14:paraId="1A227024" w14:textId="45C9CB5F"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Borders>
              <w:top w:val="single" w:sz="12" w:space="0" w:color="00B0F0"/>
            </w:tcBorders>
          </w:tcPr>
          <w:p w14:paraId="3634C329" w14:textId="0AB7970F"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135" w:type="dxa"/>
            <w:tcBorders>
              <w:top w:val="single" w:sz="12" w:space="0" w:color="00B0F0"/>
            </w:tcBorders>
          </w:tcPr>
          <w:p w14:paraId="212FCA92" w14:textId="27353979" w:rsidR="000A64E7" w:rsidRPr="00FA63C0" w:rsidRDefault="00F37D96" w:rsidP="000A64E7">
            <w:pPr>
              <w:spacing w:after="0"/>
              <w:jc w:val="right"/>
              <w:rPr>
                <w:noProof/>
                <w:sz w:val="20"/>
                <w:szCs w:val="20"/>
                <w:lang w:val="en-IE" w:eastAsia="en-IE"/>
              </w:rPr>
            </w:pPr>
            <w:r w:rsidRPr="00317F25">
              <w:rPr>
                <w:noProof/>
                <w:sz w:val="18"/>
                <w:szCs w:val="18"/>
              </w:rPr>
              <w:t xml:space="preserve">-   </w:t>
            </w:r>
          </w:p>
        </w:tc>
        <w:tc>
          <w:tcPr>
            <w:tcW w:w="1417" w:type="dxa"/>
            <w:tcBorders>
              <w:top w:val="single" w:sz="12" w:space="0" w:color="00B0F0"/>
            </w:tcBorders>
            <w:noWrap/>
          </w:tcPr>
          <w:p w14:paraId="417B123D" w14:textId="15CEC088" w:rsidR="000A64E7" w:rsidRPr="000422D1" w:rsidRDefault="000A64E7" w:rsidP="000A64E7">
            <w:pPr>
              <w:spacing w:after="0"/>
              <w:jc w:val="right"/>
              <w:rPr>
                <w:noProof/>
                <w:sz w:val="20"/>
                <w:szCs w:val="20"/>
                <w:lang w:val="en-IE" w:eastAsia="en-IE"/>
              </w:rPr>
            </w:pPr>
            <w:r w:rsidRPr="007A32E7">
              <w:rPr>
                <w:noProof/>
                <w:sz w:val="18"/>
                <w:szCs w:val="18"/>
              </w:rPr>
              <w:t xml:space="preserve"> -   </w:t>
            </w:r>
          </w:p>
        </w:tc>
        <w:tc>
          <w:tcPr>
            <w:tcW w:w="1418" w:type="dxa"/>
            <w:tcBorders>
              <w:top w:val="single" w:sz="12" w:space="0" w:color="00B0F0"/>
            </w:tcBorders>
            <w:noWrap/>
          </w:tcPr>
          <w:p w14:paraId="297787C7" w14:textId="639B8420" w:rsidR="000A64E7" w:rsidRPr="000422D1" w:rsidRDefault="000A64E7" w:rsidP="000A64E7">
            <w:pPr>
              <w:spacing w:after="0"/>
              <w:jc w:val="right"/>
              <w:rPr>
                <w:noProof/>
                <w:sz w:val="20"/>
                <w:szCs w:val="20"/>
                <w:lang w:val="en-IE" w:eastAsia="en-IE"/>
              </w:rPr>
            </w:pPr>
            <w:r w:rsidRPr="007A32E7">
              <w:rPr>
                <w:noProof/>
                <w:sz w:val="18"/>
                <w:szCs w:val="18"/>
              </w:rPr>
              <w:t xml:space="preserve">-   </w:t>
            </w:r>
          </w:p>
        </w:tc>
        <w:tc>
          <w:tcPr>
            <w:tcW w:w="1417" w:type="dxa"/>
            <w:tcBorders>
              <w:top w:val="single" w:sz="12" w:space="0" w:color="00B0F0"/>
            </w:tcBorders>
            <w:noWrap/>
          </w:tcPr>
          <w:p w14:paraId="69A09A0F" w14:textId="1085DC8D" w:rsidR="000A64E7" w:rsidRPr="000422D1" w:rsidRDefault="000A64E7" w:rsidP="000A64E7">
            <w:pPr>
              <w:spacing w:after="0"/>
              <w:jc w:val="right"/>
              <w:rPr>
                <w:noProof/>
                <w:sz w:val="20"/>
                <w:szCs w:val="20"/>
                <w:lang w:val="en-IE" w:eastAsia="en-IE"/>
              </w:rPr>
            </w:pPr>
            <w:r w:rsidRPr="007A32E7">
              <w:rPr>
                <w:noProof/>
                <w:sz w:val="18"/>
                <w:szCs w:val="18"/>
              </w:rPr>
              <w:t xml:space="preserve"> -   </w:t>
            </w:r>
          </w:p>
        </w:tc>
      </w:tr>
      <w:tr w:rsidR="000A64E7" w:rsidRPr="000422D1" w14:paraId="25C8DF30" w14:textId="77777777" w:rsidTr="00715864">
        <w:trPr>
          <w:trHeight w:val="283"/>
        </w:trPr>
        <w:tc>
          <w:tcPr>
            <w:tcW w:w="2127" w:type="dxa"/>
            <w:noWrap/>
            <w:hideMark/>
          </w:tcPr>
          <w:p w14:paraId="15DDF2FF"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992" w:type="dxa"/>
          </w:tcPr>
          <w:p w14:paraId="7EBFD096" w14:textId="092907AF" w:rsidR="000A64E7" w:rsidRPr="007A32E7" w:rsidRDefault="000A64E7" w:rsidP="000A64E7">
            <w:pPr>
              <w:spacing w:after="0"/>
              <w:jc w:val="right"/>
              <w:rPr>
                <w:noProof/>
                <w:sz w:val="20"/>
                <w:szCs w:val="20"/>
              </w:rPr>
            </w:pPr>
            <w:r w:rsidRPr="00317F25">
              <w:rPr>
                <w:noProof/>
                <w:sz w:val="18"/>
                <w:szCs w:val="18"/>
              </w:rPr>
              <w:t xml:space="preserve">-   </w:t>
            </w:r>
          </w:p>
        </w:tc>
        <w:tc>
          <w:tcPr>
            <w:tcW w:w="1417" w:type="dxa"/>
          </w:tcPr>
          <w:p w14:paraId="1FB2144A" w14:textId="73B6DCE9"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135" w:type="dxa"/>
          </w:tcPr>
          <w:p w14:paraId="0DC10FDC" w14:textId="13F77B1F" w:rsidR="000A64E7" w:rsidRPr="00FA63C0" w:rsidRDefault="000A64E7" w:rsidP="000A64E7">
            <w:pPr>
              <w:spacing w:after="0"/>
              <w:jc w:val="right"/>
              <w:rPr>
                <w:noProof/>
                <w:sz w:val="20"/>
                <w:szCs w:val="20"/>
                <w:lang w:val="en-IE" w:eastAsia="en-IE"/>
              </w:rPr>
            </w:pPr>
            <w:r w:rsidRPr="007A32E7">
              <w:rPr>
                <w:noProof/>
                <w:sz w:val="18"/>
                <w:szCs w:val="18"/>
              </w:rPr>
              <w:t xml:space="preserve"> </w:t>
            </w:r>
            <w:r>
              <w:rPr>
                <w:noProof/>
                <w:sz w:val="18"/>
                <w:szCs w:val="18"/>
              </w:rPr>
              <w:t xml:space="preserve"> </w:t>
            </w:r>
            <w:r w:rsidRPr="007A32E7">
              <w:rPr>
                <w:noProof/>
                <w:sz w:val="18"/>
                <w:szCs w:val="18"/>
              </w:rPr>
              <w:t>4</w:t>
            </w:r>
            <w:r>
              <w:rPr>
                <w:noProof/>
                <w:sz w:val="18"/>
                <w:szCs w:val="18"/>
              </w:rPr>
              <w:t xml:space="preserve"> </w:t>
            </w:r>
            <w:r w:rsidRPr="007A32E7">
              <w:rPr>
                <w:noProof/>
                <w:sz w:val="18"/>
                <w:szCs w:val="18"/>
              </w:rPr>
              <w:t>312</w:t>
            </w:r>
            <w:r>
              <w:rPr>
                <w:noProof/>
                <w:sz w:val="18"/>
                <w:szCs w:val="18"/>
              </w:rPr>
              <w:t xml:space="preserve"> </w:t>
            </w:r>
            <w:r w:rsidRPr="007A32E7">
              <w:rPr>
                <w:noProof/>
                <w:sz w:val="18"/>
                <w:szCs w:val="18"/>
              </w:rPr>
              <w:t xml:space="preserve">980 </w:t>
            </w:r>
          </w:p>
        </w:tc>
        <w:tc>
          <w:tcPr>
            <w:tcW w:w="1417" w:type="dxa"/>
            <w:noWrap/>
          </w:tcPr>
          <w:p w14:paraId="428A2E82" w14:textId="2CB0034E" w:rsidR="000A64E7" w:rsidRPr="000422D1" w:rsidRDefault="000A64E7" w:rsidP="000A64E7">
            <w:pPr>
              <w:spacing w:after="0"/>
              <w:jc w:val="right"/>
              <w:rPr>
                <w:noProof/>
                <w:sz w:val="20"/>
                <w:szCs w:val="20"/>
                <w:lang w:val="en-IE" w:eastAsia="en-IE"/>
              </w:rPr>
            </w:pPr>
            <w:r w:rsidRPr="007A32E7">
              <w:rPr>
                <w:noProof/>
                <w:sz w:val="18"/>
                <w:szCs w:val="18"/>
              </w:rPr>
              <w:t xml:space="preserve"> 4 312 980 </w:t>
            </w:r>
          </w:p>
        </w:tc>
        <w:tc>
          <w:tcPr>
            <w:tcW w:w="1418" w:type="dxa"/>
            <w:noWrap/>
          </w:tcPr>
          <w:p w14:paraId="4A2704EC" w14:textId="5CE02D26" w:rsidR="000A64E7" w:rsidRPr="000422D1" w:rsidRDefault="000A64E7" w:rsidP="000A64E7">
            <w:pPr>
              <w:spacing w:after="0"/>
              <w:jc w:val="right"/>
              <w:rPr>
                <w:noProof/>
                <w:sz w:val="20"/>
                <w:szCs w:val="20"/>
                <w:lang w:val="en-IE" w:eastAsia="en-IE"/>
              </w:rPr>
            </w:pPr>
            <w:r w:rsidRPr="007A32E7">
              <w:rPr>
                <w:noProof/>
                <w:sz w:val="18"/>
                <w:szCs w:val="18"/>
              </w:rPr>
              <w:t xml:space="preserve"> 4 312 980 </w:t>
            </w:r>
          </w:p>
        </w:tc>
        <w:tc>
          <w:tcPr>
            <w:tcW w:w="1417" w:type="dxa"/>
            <w:noWrap/>
          </w:tcPr>
          <w:p w14:paraId="55F4A774" w14:textId="32501926" w:rsidR="000A64E7" w:rsidRPr="000422D1" w:rsidRDefault="000A64E7" w:rsidP="000A64E7">
            <w:pPr>
              <w:spacing w:after="0"/>
              <w:jc w:val="right"/>
              <w:rPr>
                <w:noProof/>
                <w:sz w:val="20"/>
                <w:szCs w:val="20"/>
                <w:lang w:val="en-IE" w:eastAsia="en-IE"/>
              </w:rPr>
            </w:pPr>
            <w:r w:rsidRPr="007A32E7">
              <w:rPr>
                <w:noProof/>
                <w:sz w:val="18"/>
                <w:szCs w:val="18"/>
              </w:rPr>
              <w:t xml:space="preserve"> 4 312 980 </w:t>
            </w:r>
          </w:p>
        </w:tc>
      </w:tr>
      <w:tr w:rsidR="000A64E7" w:rsidRPr="000422D1" w14:paraId="043FED9B" w14:textId="77777777" w:rsidTr="00715864">
        <w:trPr>
          <w:trHeight w:val="283"/>
        </w:trPr>
        <w:tc>
          <w:tcPr>
            <w:tcW w:w="2127" w:type="dxa"/>
            <w:noWrap/>
            <w:hideMark/>
          </w:tcPr>
          <w:p w14:paraId="26270A4F"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one-off adjustment</w:t>
            </w:r>
          </w:p>
        </w:tc>
        <w:tc>
          <w:tcPr>
            <w:tcW w:w="992" w:type="dxa"/>
          </w:tcPr>
          <w:p w14:paraId="42C33252" w14:textId="78CA642D" w:rsidR="000A64E7" w:rsidRPr="007A32E7" w:rsidRDefault="000A64E7" w:rsidP="000A64E7">
            <w:pPr>
              <w:spacing w:after="0"/>
              <w:jc w:val="right"/>
              <w:rPr>
                <w:noProof/>
                <w:sz w:val="20"/>
                <w:szCs w:val="20"/>
              </w:rPr>
            </w:pPr>
            <w:r w:rsidRPr="00317F25">
              <w:rPr>
                <w:noProof/>
                <w:sz w:val="18"/>
                <w:szCs w:val="18"/>
              </w:rPr>
              <w:t xml:space="preserve">-   </w:t>
            </w:r>
          </w:p>
        </w:tc>
        <w:tc>
          <w:tcPr>
            <w:tcW w:w="1417" w:type="dxa"/>
          </w:tcPr>
          <w:p w14:paraId="556E416A" w14:textId="3CC02E3F" w:rsidR="000A64E7" w:rsidRPr="00FA63C0" w:rsidRDefault="000A64E7" w:rsidP="000A64E7">
            <w:pPr>
              <w:spacing w:after="0"/>
              <w:jc w:val="right"/>
              <w:rPr>
                <w:noProof/>
                <w:sz w:val="20"/>
                <w:szCs w:val="20"/>
                <w:lang w:val="en-IE" w:eastAsia="en-IE"/>
              </w:rPr>
            </w:pPr>
            <w:r w:rsidRPr="007A32E7">
              <w:rPr>
                <w:noProof/>
                <w:sz w:val="18"/>
                <w:szCs w:val="18"/>
              </w:rPr>
              <w:t xml:space="preserve">  4</w:t>
            </w:r>
            <w:r>
              <w:rPr>
                <w:noProof/>
                <w:sz w:val="18"/>
                <w:szCs w:val="18"/>
              </w:rPr>
              <w:t xml:space="preserve"> </w:t>
            </w:r>
            <w:r w:rsidRPr="007A32E7">
              <w:rPr>
                <w:noProof/>
                <w:sz w:val="18"/>
                <w:szCs w:val="18"/>
              </w:rPr>
              <w:t>613</w:t>
            </w:r>
            <w:r>
              <w:rPr>
                <w:noProof/>
                <w:sz w:val="18"/>
                <w:szCs w:val="18"/>
              </w:rPr>
              <w:t xml:space="preserve"> </w:t>
            </w:r>
            <w:r w:rsidRPr="007A32E7">
              <w:rPr>
                <w:noProof/>
                <w:sz w:val="18"/>
                <w:szCs w:val="18"/>
              </w:rPr>
              <w:t xml:space="preserve">563 </w:t>
            </w:r>
          </w:p>
        </w:tc>
        <w:tc>
          <w:tcPr>
            <w:tcW w:w="1135" w:type="dxa"/>
          </w:tcPr>
          <w:p w14:paraId="01D0603F" w14:textId="2603E92B" w:rsidR="000A64E7" w:rsidRPr="00FA63C0" w:rsidRDefault="000A64E7" w:rsidP="000A64E7">
            <w:pPr>
              <w:spacing w:after="0"/>
              <w:jc w:val="right"/>
              <w:rPr>
                <w:noProof/>
                <w:sz w:val="20"/>
                <w:szCs w:val="20"/>
                <w:lang w:val="en-IE" w:eastAsia="en-IE"/>
              </w:rPr>
            </w:pPr>
            <w:r w:rsidRPr="007A32E7">
              <w:rPr>
                <w:noProof/>
                <w:sz w:val="18"/>
                <w:szCs w:val="18"/>
              </w:rPr>
              <w:t xml:space="preserve"> </w:t>
            </w:r>
            <w:r>
              <w:rPr>
                <w:noProof/>
                <w:sz w:val="18"/>
                <w:szCs w:val="18"/>
              </w:rPr>
              <w:t xml:space="preserve"> </w:t>
            </w:r>
            <w:r w:rsidRPr="007A32E7">
              <w:rPr>
                <w:noProof/>
                <w:sz w:val="18"/>
                <w:szCs w:val="18"/>
              </w:rPr>
              <w:t>19</w:t>
            </w:r>
            <w:r>
              <w:rPr>
                <w:noProof/>
                <w:sz w:val="18"/>
                <w:szCs w:val="18"/>
              </w:rPr>
              <w:t xml:space="preserve"> </w:t>
            </w:r>
            <w:r w:rsidRPr="007A32E7">
              <w:rPr>
                <w:noProof/>
                <w:sz w:val="18"/>
                <w:szCs w:val="18"/>
              </w:rPr>
              <w:t>540</w:t>
            </w:r>
            <w:r>
              <w:rPr>
                <w:noProof/>
                <w:sz w:val="18"/>
                <w:szCs w:val="18"/>
              </w:rPr>
              <w:t xml:space="preserve"> </w:t>
            </w:r>
            <w:r w:rsidRPr="007A32E7">
              <w:rPr>
                <w:noProof/>
                <w:sz w:val="18"/>
                <w:szCs w:val="18"/>
              </w:rPr>
              <w:t xml:space="preserve">197 </w:t>
            </w:r>
          </w:p>
        </w:tc>
        <w:tc>
          <w:tcPr>
            <w:tcW w:w="1417" w:type="dxa"/>
            <w:noWrap/>
          </w:tcPr>
          <w:p w14:paraId="3208F11B" w14:textId="608D99B8" w:rsidR="000A64E7" w:rsidRPr="000422D1" w:rsidRDefault="000A64E7" w:rsidP="000A64E7">
            <w:pPr>
              <w:spacing w:after="0"/>
              <w:jc w:val="right"/>
              <w:rPr>
                <w:noProof/>
                <w:sz w:val="20"/>
                <w:szCs w:val="20"/>
                <w:lang w:val="en-IE" w:eastAsia="en-IE"/>
              </w:rPr>
            </w:pPr>
            <w:r w:rsidRPr="007A32E7">
              <w:rPr>
                <w:noProof/>
                <w:sz w:val="18"/>
                <w:szCs w:val="18"/>
              </w:rPr>
              <w:t xml:space="preserve"> 24 153 761 </w:t>
            </w:r>
          </w:p>
        </w:tc>
        <w:tc>
          <w:tcPr>
            <w:tcW w:w="1418" w:type="dxa"/>
            <w:noWrap/>
          </w:tcPr>
          <w:p w14:paraId="1C1676B3" w14:textId="19F3CCC2" w:rsidR="000A64E7" w:rsidRPr="00430121" w:rsidRDefault="00974825" w:rsidP="000A64E7">
            <w:pPr>
              <w:spacing w:after="0"/>
              <w:jc w:val="right"/>
              <w:rPr>
                <w:noProof/>
                <w:sz w:val="18"/>
                <w:szCs w:val="18"/>
              </w:rPr>
            </w:pPr>
            <w:r w:rsidRPr="00430121">
              <w:rPr>
                <w:noProof/>
                <w:sz w:val="18"/>
                <w:szCs w:val="18"/>
              </w:rPr>
              <w:t xml:space="preserve"> </w:t>
            </w:r>
            <w:r w:rsidR="00477F89">
              <w:rPr>
                <w:noProof/>
                <w:sz w:val="18"/>
                <w:szCs w:val="18"/>
              </w:rPr>
              <w:t xml:space="preserve"> </w:t>
            </w:r>
            <w:r w:rsidRPr="00430121">
              <w:rPr>
                <w:noProof/>
                <w:sz w:val="18"/>
                <w:szCs w:val="18"/>
              </w:rPr>
              <w:t>23</w:t>
            </w:r>
            <w:r w:rsidR="00477F89">
              <w:rPr>
                <w:noProof/>
                <w:sz w:val="18"/>
                <w:szCs w:val="18"/>
              </w:rPr>
              <w:t xml:space="preserve"> </w:t>
            </w:r>
            <w:r w:rsidRPr="00430121">
              <w:rPr>
                <w:noProof/>
                <w:sz w:val="18"/>
                <w:szCs w:val="18"/>
              </w:rPr>
              <w:t>231</w:t>
            </w:r>
            <w:r w:rsidR="00477F89">
              <w:rPr>
                <w:noProof/>
                <w:sz w:val="18"/>
                <w:szCs w:val="18"/>
              </w:rPr>
              <w:t xml:space="preserve"> </w:t>
            </w:r>
            <w:r w:rsidRPr="00430121">
              <w:rPr>
                <w:noProof/>
                <w:sz w:val="18"/>
                <w:szCs w:val="18"/>
              </w:rPr>
              <w:t xml:space="preserve">048 </w:t>
            </w:r>
          </w:p>
        </w:tc>
        <w:tc>
          <w:tcPr>
            <w:tcW w:w="1417" w:type="dxa"/>
            <w:noWrap/>
          </w:tcPr>
          <w:p w14:paraId="24D46BFF" w14:textId="3902EC12" w:rsidR="000A64E7" w:rsidRPr="00430121" w:rsidRDefault="00974825" w:rsidP="000A64E7">
            <w:pPr>
              <w:spacing w:after="0"/>
              <w:jc w:val="right"/>
              <w:rPr>
                <w:noProof/>
                <w:sz w:val="18"/>
                <w:szCs w:val="18"/>
              </w:rPr>
            </w:pPr>
            <w:r w:rsidRPr="00430121">
              <w:rPr>
                <w:noProof/>
                <w:sz w:val="18"/>
                <w:szCs w:val="18"/>
              </w:rPr>
              <w:t xml:space="preserve"> </w:t>
            </w:r>
            <w:r w:rsidR="00477F89">
              <w:rPr>
                <w:noProof/>
                <w:sz w:val="18"/>
                <w:szCs w:val="18"/>
              </w:rPr>
              <w:t xml:space="preserve"> </w:t>
            </w:r>
            <w:r w:rsidRPr="00430121">
              <w:rPr>
                <w:noProof/>
                <w:sz w:val="18"/>
                <w:szCs w:val="18"/>
              </w:rPr>
              <w:t>25</w:t>
            </w:r>
            <w:r w:rsidR="00477F89">
              <w:rPr>
                <w:noProof/>
                <w:sz w:val="18"/>
                <w:szCs w:val="18"/>
              </w:rPr>
              <w:t xml:space="preserve"> </w:t>
            </w:r>
            <w:r w:rsidRPr="00430121">
              <w:rPr>
                <w:noProof/>
                <w:sz w:val="18"/>
                <w:szCs w:val="18"/>
              </w:rPr>
              <w:t>076</w:t>
            </w:r>
            <w:r w:rsidR="00477F89">
              <w:rPr>
                <w:noProof/>
                <w:sz w:val="18"/>
                <w:szCs w:val="18"/>
              </w:rPr>
              <w:t xml:space="preserve"> </w:t>
            </w:r>
            <w:r w:rsidRPr="00430121">
              <w:rPr>
                <w:noProof/>
                <w:sz w:val="18"/>
                <w:szCs w:val="18"/>
              </w:rPr>
              <w:t xml:space="preserve">473 </w:t>
            </w:r>
          </w:p>
        </w:tc>
      </w:tr>
      <w:tr w:rsidR="000A64E7" w:rsidRPr="00464CEA" w14:paraId="32A6DF35" w14:textId="77777777" w:rsidTr="00715864">
        <w:trPr>
          <w:trHeight w:val="283"/>
        </w:trPr>
        <w:tc>
          <w:tcPr>
            <w:tcW w:w="2127" w:type="dxa"/>
            <w:noWrap/>
            <w:hideMark/>
          </w:tcPr>
          <w:p w14:paraId="238B103A"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recurrent adjustment</w:t>
            </w:r>
          </w:p>
        </w:tc>
        <w:tc>
          <w:tcPr>
            <w:tcW w:w="992" w:type="dxa"/>
          </w:tcPr>
          <w:p w14:paraId="28FA4E66" w14:textId="43300858"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Pr>
          <w:p w14:paraId="259E63EA" w14:textId="55B5DA75" w:rsidR="000A64E7" w:rsidRPr="00FA63C0" w:rsidRDefault="000A64E7" w:rsidP="000A64E7">
            <w:pPr>
              <w:spacing w:after="0"/>
              <w:jc w:val="right"/>
              <w:rPr>
                <w:noProof/>
                <w:sz w:val="20"/>
                <w:szCs w:val="20"/>
                <w:lang w:val="en-IE" w:eastAsia="en-IE"/>
              </w:rPr>
            </w:pPr>
            <w:r w:rsidRPr="007A32E7">
              <w:rPr>
                <w:noProof/>
                <w:sz w:val="18"/>
                <w:szCs w:val="18"/>
              </w:rPr>
              <w:t xml:space="preserve">   213</w:t>
            </w:r>
            <w:r>
              <w:rPr>
                <w:noProof/>
                <w:sz w:val="18"/>
                <w:szCs w:val="18"/>
              </w:rPr>
              <w:t xml:space="preserve"> </w:t>
            </w:r>
            <w:r w:rsidRPr="007A32E7">
              <w:rPr>
                <w:noProof/>
                <w:sz w:val="18"/>
                <w:szCs w:val="18"/>
              </w:rPr>
              <w:t>669</w:t>
            </w:r>
            <w:r>
              <w:rPr>
                <w:noProof/>
                <w:sz w:val="18"/>
                <w:szCs w:val="18"/>
              </w:rPr>
              <w:t xml:space="preserve"> </w:t>
            </w:r>
            <w:r w:rsidRPr="007A32E7">
              <w:rPr>
                <w:noProof/>
                <w:sz w:val="18"/>
                <w:szCs w:val="18"/>
              </w:rPr>
              <w:t xml:space="preserve">483 </w:t>
            </w:r>
          </w:p>
        </w:tc>
        <w:tc>
          <w:tcPr>
            <w:tcW w:w="1135" w:type="dxa"/>
          </w:tcPr>
          <w:p w14:paraId="486BDF13" w14:textId="332885CA" w:rsidR="000A64E7" w:rsidRPr="00FA63C0" w:rsidRDefault="000A64E7" w:rsidP="000A64E7">
            <w:pPr>
              <w:spacing w:after="0"/>
              <w:jc w:val="right"/>
              <w:rPr>
                <w:noProof/>
                <w:sz w:val="20"/>
                <w:szCs w:val="20"/>
                <w:lang w:val="en-IE" w:eastAsia="en-IE"/>
              </w:rPr>
            </w:pPr>
            <w:r w:rsidRPr="007A32E7">
              <w:rPr>
                <w:noProof/>
                <w:sz w:val="18"/>
                <w:szCs w:val="18"/>
              </w:rPr>
              <w:t xml:space="preserve"> </w:t>
            </w:r>
            <w:r>
              <w:rPr>
                <w:noProof/>
                <w:sz w:val="18"/>
                <w:szCs w:val="18"/>
              </w:rPr>
              <w:t xml:space="preserve"> </w:t>
            </w:r>
            <w:r w:rsidRPr="007A32E7">
              <w:rPr>
                <w:noProof/>
                <w:sz w:val="18"/>
                <w:szCs w:val="18"/>
              </w:rPr>
              <w:t>99</w:t>
            </w:r>
            <w:r>
              <w:rPr>
                <w:noProof/>
                <w:sz w:val="18"/>
                <w:szCs w:val="18"/>
              </w:rPr>
              <w:t xml:space="preserve"> </w:t>
            </w:r>
            <w:r w:rsidRPr="007A32E7">
              <w:rPr>
                <w:noProof/>
                <w:sz w:val="18"/>
                <w:szCs w:val="18"/>
              </w:rPr>
              <w:t>241</w:t>
            </w:r>
            <w:r>
              <w:rPr>
                <w:noProof/>
                <w:sz w:val="18"/>
                <w:szCs w:val="18"/>
              </w:rPr>
              <w:t xml:space="preserve"> </w:t>
            </w:r>
            <w:r w:rsidRPr="007A32E7">
              <w:rPr>
                <w:noProof/>
                <w:sz w:val="18"/>
                <w:szCs w:val="18"/>
              </w:rPr>
              <w:t xml:space="preserve">949 </w:t>
            </w:r>
          </w:p>
        </w:tc>
        <w:tc>
          <w:tcPr>
            <w:tcW w:w="1417" w:type="dxa"/>
            <w:noWrap/>
          </w:tcPr>
          <w:p w14:paraId="6D59B849" w14:textId="2D24F15E" w:rsidR="000A64E7" w:rsidRPr="00464CEA" w:rsidRDefault="000A64E7" w:rsidP="000A64E7">
            <w:pPr>
              <w:spacing w:after="0"/>
              <w:jc w:val="right"/>
              <w:rPr>
                <w:noProof/>
                <w:sz w:val="20"/>
                <w:szCs w:val="20"/>
                <w:lang w:val="en-IE" w:eastAsia="en-IE"/>
              </w:rPr>
            </w:pPr>
            <w:r w:rsidRPr="007A32E7">
              <w:rPr>
                <w:noProof/>
                <w:sz w:val="18"/>
                <w:szCs w:val="18"/>
              </w:rPr>
              <w:t xml:space="preserve"> 312 911 432 </w:t>
            </w:r>
          </w:p>
        </w:tc>
        <w:tc>
          <w:tcPr>
            <w:tcW w:w="1418" w:type="dxa"/>
            <w:noWrap/>
          </w:tcPr>
          <w:p w14:paraId="25FFC74D" w14:textId="40272DDB" w:rsidR="000A64E7" w:rsidRPr="00430121" w:rsidRDefault="00974825" w:rsidP="000A64E7">
            <w:pPr>
              <w:spacing w:after="0"/>
              <w:jc w:val="right"/>
              <w:rPr>
                <w:noProof/>
                <w:sz w:val="18"/>
                <w:szCs w:val="18"/>
              </w:rPr>
            </w:pPr>
            <w:r w:rsidRPr="00430121">
              <w:rPr>
                <w:noProof/>
                <w:sz w:val="18"/>
                <w:szCs w:val="18"/>
              </w:rPr>
              <w:t xml:space="preserve"> </w:t>
            </w:r>
            <w:r w:rsidR="00477F89">
              <w:rPr>
                <w:noProof/>
                <w:sz w:val="18"/>
                <w:szCs w:val="18"/>
              </w:rPr>
              <w:t xml:space="preserve"> </w:t>
            </w:r>
            <w:r w:rsidRPr="00430121">
              <w:rPr>
                <w:noProof/>
                <w:sz w:val="18"/>
                <w:szCs w:val="18"/>
              </w:rPr>
              <w:t>269</w:t>
            </w:r>
            <w:r w:rsidR="00477F89">
              <w:rPr>
                <w:noProof/>
                <w:sz w:val="18"/>
                <w:szCs w:val="18"/>
              </w:rPr>
              <w:t xml:space="preserve"> </w:t>
            </w:r>
            <w:r w:rsidRPr="00430121">
              <w:rPr>
                <w:noProof/>
                <w:sz w:val="18"/>
                <w:szCs w:val="18"/>
              </w:rPr>
              <w:t>386</w:t>
            </w:r>
            <w:r w:rsidR="00477F89">
              <w:rPr>
                <w:noProof/>
                <w:sz w:val="18"/>
                <w:szCs w:val="18"/>
              </w:rPr>
              <w:t xml:space="preserve"> </w:t>
            </w:r>
            <w:r w:rsidRPr="00430121">
              <w:rPr>
                <w:noProof/>
                <w:sz w:val="18"/>
                <w:szCs w:val="18"/>
              </w:rPr>
              <w:t xml:space="preserve">167 </w:t>
            </w:r>
          </w:p>
        </w:tc>
        <w:tc>
          <w:tcPr>
            <w:tcW w:w="1417" w:type="dxa"/>
            <w:noWrap/>
          </w:tcPr>
          <w:p w14:paraId="608D9556" w14:textId="3A16F0B1" w:rsidR="000A64E7" w:rsidRPr="00430121" w:rsidRDefault="00974825" w:rsidP="000A64E7">
            <w:pPr>
              <w:spacing w:after="0"/>
              <w:jc w:val="right"/>
              <w:rPr>
                <w:noProof/>
                <w:sz w:val="18"/>
                <w:szCs w:val="18"/>
              </w:rPr>
            </w:pPr>
            <w:r w:rsidRPr="00430121">
              <w:rPr>
                <w:noProof/>
                <w:sz w:val="18"/>
                <w:szCs w:val="18"/>
              </w:rPr>
              <w:t xml:space="preserve"> 356</w:t>
            </w:r>
            <w:r w:rsidR="00477F89">
              <w:rPr>
                <w:noProof/>
                <w:sz w:val="18"/>
                <w:szCs w:val="18"/>
              </w:rPr>
              <w:t xml:space="preserve"> </w:t>
            </w:r>
            <w:r w:rsidRPr="00430121">
              <w:rPr>
                <w:noProof/>
                <w:sz w:val="18"/>
                <w:szCs w:val="18"/>
              </w:rPr>
              <w:t>436</w:t>
            </w:r>
            <w:r w:rsidR="00477F89">
              <w:rPr>
                <w:noProof/>
                <w:sz w:val="18"/>
                <w:szCs w:val="18"/>
              </w:rPr>
              <w:t xml:space="preserve"> </w:t>
            </w:r>
            <w:r w:rsidRPr="00430121">
              <w:rPr>
                <w:noProof/>
                <w:sz w:val="18"/>
                <w:szCs w:val="18"/>
              </w:rPr>
              <w:t xml:space="preserve">698 </w:t>
            </w:r>
          </w:p>
        </w:tc>
      </w:tr>
      <w:tr w:rsidR="000A64E7" w:rsidRPr="00464CEA" w14:paraId="421C9E99" w14:textId="77777777" w:rsidTr="00715864">
        <w:trPr>
          <w:trHeight w:val="283"/>
        </w:trPr>
        <w:tc>
          <w:tcPr>
            <w:tcW w:w="2127" w:type="dxa"/>
            <w:noWrap/>
            <w:hideMark/>
          </w:tcPr>
          <w:p w14:paraId="46CDBB5C"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992" w:type="dxa"/>
          </w:tcPr>
          <w:p w14:paraId="5D99A0B8" w14:textId="53ABD35F"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Pr>
          <w:p w14:paraId="69B7AD0D" w14:textId="75185E04" w:rsidR="000A64E7" w:rsidRPr="00FA63C0" w:rsidRDefault="000A64E7" w:rsidP="000A64E7">
            <w:pPr>
              <w:spacing w:after="0"/>
              <w:jc w:val="right"/>
              <w:rPr>
                <w:noProof/>
                <w:sz w:val="20"/>
                <w:szCs w:val="20"/>
                <w:lang w:val="en-IE" w:eastAsia="en-IE"/>
              </w:rPr>
            </w:pPr>
            <w:r w:rsidRPr="007A32E7">
              <w:rPr>
                <w:noProof/>
                <w:sz w:val="18"/>
                <w:szCs w:val="18"/>
              </w:rPr>
              <w:t xml:space="preserve">-   </w:t>
            </w:r>
          </w:p>
        </w:tc>
        <w:tc>
          <w:tcPr>
            <w:tcW w:w="1135" w:type="dxa"/>
          </w:tcPr>
          <w:p w14:paraId="4676AF61" w14:textId="02F2BD1B"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noWrap/>
          </w:tcPr>
          <w:p w14:paraId="5232E60B" w14:textId="77F98F6C" w:rsidR="000A64E7" w:rsidRPr="00464CEA" w:rsidRDefault="000A64E7" w:rsidP="000A64E7">
            <w:pPr>
              <w:spacing w:after="0"/>
              <w:jc w:val="right"/>
              <w:rPr>
                <w:noProof/>
                <w:sz w:val="20"/>
                <w:szCs w:val="20"/>
                <w:lang w:val="en-IE" w:eastAsia="en-IE"/>
              </w:rPr>
            </w:pPr>
            <w:r w:rsidRPr="00317F25">
              <w:rPr>
                <w:noProof/>
                <w:sz w:val="18"/>
                <w:szCs w:val="18"/>
              </w:rPr>
              <w:t xml:space="preserve">-   </w:t>
            </w:r>
          </w:p>
        </w:tc>
        <w:tc>
          <w:tcPr>
            <w:tcW w:w="1418" w:type="dxa"/>
            <w:noWrap/>
          </w:tcPr>
          <w:p w14:paraId="05B00A9E" w14:textId="687B9F5E" w:rsidR="000A64E7" w:rsidRPr="00430121" w:rsidRDefault="000A64E7" w:rsidP="000A64E7">
            <w:pPr>
              <w:spacing w:after="0"/>
              <w:jc w:val="right"/>
              <w:rPr>
                <w:noProof/>
                <w:sz w:val="18"/>
                <w:szCs w:val="18"/>
              </w:rPr>
            </w:pPr>
            <w:r w:rsidRPr="00317F25">
              <w:rPr>
                <w:noProof/>
                <w:sz w:val="18"/>
                <w:szCs w:val="18"/>
              </w:rPr>
              <w:t xml:space="preserve">-   </w:t>
            </w:r>
          </w:p>
        </w:tc>
        <w:tc>
          <w:tcPr>
            <w:tcW w:w="1417" w:type="dxa"/>
            <w:noWrap/>
          </w:tcPr>
          <w:p w14:paraId="4D9401F9" w14:textId="66B3CE5C" w:rsidR="000A64E7" w:rsidRPr="00430121" w:rsidRDefault="000A64E7" w:rsidP="000A64E7">
            <w:pPr>
              <w:spacing w:after="0"/>
              <w:jc w:val="right"/>
              <w:rPr>
                <w:noProof/>
                <w:sz w:val="18"/>
                <w:szCs w:val="18"/>
              </w:rPr>
            </w:pPr>
            <w:r w:rsidRPr="007A32E7">
              <w:rPr>
                <w:noProof/>
                <w:sz w:val="18"/>
                <w:szCs w:val="18"/>
              </w:rPr>
              <w:t xml:space="preserve"> -   </w:t>
            </w:r>
          </w:p>
        </w:tc>
      </w:tr>
      <w:tr w:rsidR="000A64E7" w:rsidRPr="00464CEA" w14:paraId="7103C6C0" w14:textId="77777777" w:rsidTr="00715864">
        <w:trPr>
          <w:trHeight w:val="283"/>
        </w:trPr>
        <w:tc>
          <w:tcPr>
            <w:tcW w:w="2127" w:type="dxa"/>
            <w:noWrap/>
            <w:hideMark/>
          </w:tcPr>
          <w:p w14:paraId="5EFD380F"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992" w:type="dxa"/>
          </w:tcPr>
          <w:p w14:paraId="335C878B" w14:textId="7CE8291F"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Pr>
          <w:p w14:paraId="7FC8AF24" w14:textId="1B540E6E" w:rsidR="000A64E7" w:rsidRPr="00FA63C0" w:rsidRDefault="000A64E7" w:rsidP="000A64E7">
            <w:pPr>
              <w:spacing w:after="0"/>
              <w:jc w:val="right"/>
              <w:rPr>
                <w:noProof/>
                <w:sz w:val="20"/>
                <w:szCs w:val="20"/>
                <w:lang w:val="en-IE" w:eastAsia="en-IE"/>
              </w:rPr>
            </w:pPr>
            <w:r w:rsidRPr="007A32E7">
              <w:rPr>
                <w:noProof/>
                <w:sz w:val="18"/>
                <w:szCs w:val="18"/>
              </w:rPr>
              <w:t xml:space="preserve">-   </w:t>
            </w:r>
          </w:p>
        </w:tc>
        <w:tc>
          <w:tcPr>
            <w:tcW w:w="1135" w:type="dxa"/>
          </w:tcPr>
          <w:p w14:paraId="50F3FB80" w14:textId="415110FA"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noWrap/>
          </w:tcPr>
          <w:p w14:paraId="3B044E6B" w14:textId="06301729" w:rsidR="000A64E7" w:rsidRPr="00464CEA" w:rsidRDefault="000A64E7" w:rsidP="000A64E7">
            <w:pPr>
              <w:spacing w:after="0"/>
              <w:jc w:val="right"/>
              <w:rPr>
                <w:noProof/>
                <w:sz w:val="20"/>
                <w:szCs w:val="20"/>
                <w:lang w:val="en-IE" w:eastAsia="en-IE"/>
              </w:rPr>
            </w:pPr>
            <w:r w:rsidRPr="007A32E7">
              <w:rPr>
                <w:noProof/>
                <w:sz w:val="18"/>
                <w:szCs w:val="18"/>
              </w:rPr>
              <w:t xml:space="preserve"> -   </w:t>
            </w:r>
          </w:p>
        </w:tc>
        <w:tc>
          <w:tcPr>
            <w:tcW w:w="1418" w:type="dxa"/>
            <w:noWrap/>
          </w:tcPr>
          <w:p w14:paraId="2F412E72" w14:textId="40DACB0A" w:rsidR="000A64E7" w:rsidRPr="00430121" w:rsidRDefault="000A64E7" w:rsidP="000A64E7">
            <w:pPr>
              <w:spacing w:after="0"/>
              <w:jc w:val="right"/>
              <w:rPr>
                <w:noProof/>
                <w:sz w:val="18"/>
                <w:szCs w:val="18"/>
              </w:rPr>
            </w:pPr>
            <w:r w:rsidRPr="007A32E7">
              <w:rPr>
                <w:noProof/>
                <w:sz w:val="18"/>
                <w:szCs w:val="18"/>
              </w:rPr>
              <w:t xml:space="preserve">-   </w:t>
            </w:r>
          </w:p>
        </w:tc>
        <w:tc>
          <w:tcPr>
            <w:tcW w:w="1417" w:type="dxa"/>
            <w:noWrap/>
          </w:tcPr>
          <w:p w14:paraId="729FA181" w14:textId="7A08620E" w:rsidR="000A64E7" w:rsidRPr="00430121" w:rsidRDefault="000A64E7" w:rsidP="000A64E7">
            <w:pPr>
              <w:spacing w:after="0"/>
              <w:jc w:val="right"/>
              <w:rPr>
                <w:noProof/>
                <w:sz w:val="18"/>
                <w:szCs w:val="18"/>
              </w:rPr>
            </w:pPr>
            <w:r w:rsidRPr="007A32E7">
              <w:rPr>
                <w:noProof/>
                <w:sz w:val="18"/>
                <w:szCs w:val="18"/>
              </w:rPr>
              <w:t xml:space="preserve"> -   </w:t>
            </w:r>
          </w:p>
        </w:tc>
      </w:tr>
      <w:tr w:rsidR="000A64E7" w:rsidRPr="00464CEA" w14:paraId="6DE26DF2" w14:textId="77777777" w:rsidTr="00715864">
        <w:trPr>
          <w:trHeight w:val="283"/>
        </w:trPr>
        <w:tc>
          <w:tcPr>
            <w:tcW w:w="2127" w:type="dxa"/>
            <w:noWrap/>
            <w:hideMark/>
          </w:tcPr>
          <w:p w14:paraId="38EC9B60"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992" w:type="dxa"/>
          </w:tcPr>
          <w:p w14:paraId="681193CE" w14:textId="4C726D0B"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Pr>
          <w:p w14:paraId="05602F30" w14:textId="69BB39FD" w:rsidR="000A64E7" w:rsidRPr="00FA63C0" w:rsidRDefault="000A64E7" w:rsidP="000A64E7">
            <w:pPr>
              <w:spacing w:after="0"/>
              <w:jc w:val="right"/>
              <w:rPr>
                <w:noProof/>
                <w:sz w:val="20"/>
                <w:szCs w:val="20"/>
                <w:lang w:val="en-IE" w:eastAsia="en-IE"/>
              </w:rPr>
            </w:pPr>
            <w:r w:rsidRPr="007A32E7">
              <w:rPr>
                <w:noProof/>
                <w:sz w:val="18"/>
                <w:szCs w:val="18"/>
              </w:rPr>
              <w:t xml:space="preserve">-   </w:t>
            </w:r>
          </w:p>
        </w:tc>
        <w:tc>
          <w:tcPr>
            <w:tcW w:w="1135" w:type="dxa"/>
          </w:tcPr>
          <w:p w14:paraId="55FF06BF" w14:textId="4E445A02"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noWrap/>
          </w:tcPr>
          <w:p w14:paraId="33B2C413" w14:textId="763EFB17" w:rsidR="000A64E7" w:rsidRPr="00464CEA" w:rsidRDefault="000A64E7" w:rsidP="000A64E7">
            <w:pPr>
              <w:spacing w:after="0"/>
              <w:jc w:val="right"/>
              <w:rPr>
                <w:noProof/>
                <w:sz w:val="20"/>
                <w:szCs w:val="20"/>
                <w:lang w:val="en-IE" w:eastAsia="en-IE"/>
              </w:rPr>
            </w:pPr>
            <w:r w:rsidRPr="007A32E7">
              <w:rPr>
                <w:noProof/>
                <w:sz w:val="18"/>
                <w:szCs w:val="18"/>
              </w:rPr>
              <w:t xml:space="preserve"> -   </w:t>
            </w:r>
          </w:p>
        </w:tc>
        <w:tc>
          <w:tcPr>
            <w:tcW w:w="1418" w:type="dxa"/>
            <w:noWrap/>
          </w:tcPr>
          <w:p w14:paraId="6C18DBF3" w14:textId="7B2EAF1D" w:rsidR="000A64E7" w:rsidRPr="00430121" w:rsidRDefault="000A64E7" w:rsidP="000A64E7">
            <w:pPr>
              <w:spacing w:after="0"/>
              <w:jc w:val="right"/>
              <w:rPr>
                <w:noProof/>
                <w:sz w:val="18"/>
                <w:szCs w:val="18"/>
              </w:rPr>
            </w:pPr>
            <w:r w:rsidRPr="007A32E7">
              <w:rPr>
                <w:noProof/>
                <w:sz w:val="18"/>
                <w:szCs w:val="18"/>
              </w:rPr>
              <w:t xml:space="preserve">-   </w:t>
            </w:r>
          </w:p>
        </w:tc>
        <w:tc>
          <w:tcPr>
            <w:tcW w:w="1417" w:type="dxa"/>
            <w:noWrap/>
          </w:tcPr>
          <w:p w14:paraId="10BAEB52" w14:textId="3FA34E8C" w:rsidR="000A64E7" w:rsidRPr="00430121" w:rsidRDefault="000A64E7" w:rsidP="000A64E7">
            <w:pPr>
              <w:spacing w:after="0"/>
              <w:jc w:val="right"/>
              <w:rPr>
                <w:noProof/>
                <w:sz w:val="18"/>
                <w:szCs w:val="18"/>
              </w:rPr>
            </w:pPr>
            <w:r w:rsidRPr="007A32E7">
              <w:rPr>
                <w:noProof/>
                <w:sz w:val="18"/>
                <w:szCs w:val="18"/>
              </w:rPr>
              <w:t xml:space="preserve"> -   </w:t>
            </w:r>
          </w:p>
        </w:tc>
      </w:tr>
      <w:tr w:rsidR="000A64E7" w:rsidRPr="00A1021A" w14:paraId="42B183F0" w14:textId="77777777" w:rsidTr="00715864">
        <w:trPr>
          <w:trHeight w:val="283"/>
        </w:trPr>
        <w:tc>
          <w:tcPr>
            <w:tcW w:w="2127" w:type="dxa"/>
            <w:noWrap/>
            <w:hideMark/>
          </w:tcPr>
          <w:p w14:paraId="22A0CFDB" w14:textId="77777777" w:rsidR="000A64E7" w:rsidRPr="00FA63C0" w:rsidRDefault="000A64E7" w:rsidP="000A64E7">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992" w:type="dxa"/>
          </w:tcPr>
          <w:p w14:paraId="0E52D09D" w14:textId="366CFE8D"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tcPr>
          <w:p w14:paraId="1A19D886" w14:textId="380A85BE" w:rsidR="000A64E7" w:rsidRPr="00FA63C0" w:rsidRDefault="000A64E7" w:rsidP="000A64E7">
            <w:pPr>
              <w:spacing w:after="0"/>
              <w:jc w:val="right"/>
              <w:rPr>
                <w:noProof/>
                <w:sz w:val="20"/>
                <w:szCs w:val="20"/>
                <w:lang w:val="en-IE" w:eastAsia="en-IE"/>
              </w:rPr>
            </w:pPr>
            <w:r w:rsidRPr="007A32E7">
              <w:rPr>
                <w:noProof/>
                <w:sz w:val="18"/>
                <w:szCs w:val="18"/>
              </w:rPr>
              <w:t xml:space="preserve">-   </w:t>
            </w:r>
          </w:p>
        </w:tc>
        <w:tc>
          <w:tcPr>
            <w:tcW w:w="1135" w:type="dxa"/>
          </w:tcPr>
          <w:p w14:paraId="6C945D13" w14:textId="1954B808" w:rsidR="000A64E7" w:rsidRPr="00FA63C0" w:rsidRDefault="000A64E7" w:rsidP="000A64E7">
            <w:pPr>
              <w:spacing w:after="0"/>
              <w:jc w:val="right"/>
              <w:rPr>
                <w:noProof/>
                <w:sz w:val="20"/>
                <w:szCs w:val="20"/>
                <w:lang w:val="en-IE" w:eastAsia="en-IE"/>
              </w:rPr>
            </w:pPr>
            <w:r w:rsidRPr="00317F25">
              <w:rPr>
                <w:noProof/>
                <w:sz w:val="18"/>
                <w:szCs w:val="18"/>
              </w:rPr>
              <w:t xml:space="preserve">-   </w:t>
            </w:r>
          </w:p>
        </w:tc>
        <w:tc>
          <w:tcPr>
            <w:tcW w:w="1417" w:type="dxa"/>
            <w:noWrap/>
          </w:tcPr>
          <w:p w14:paraId="12C39E49" w14:textId="379FBC27" w:rsidR="000A64E7" w:rsidRPr="00A1021A" w:rsidRDefault="000A64E7" w:rsidP="000A64E7">
            <w:pPr>
              <w:spacing w:after="0"/>
              <w:jc w:val="right"/>
              <w:rPr>
                <w:noProof/>
                <w:sz w:val="20"/>
                <w:szCs w:val="20"/>
                <w:lang w:val="en-IE" w:eastAsia="en-IE"/>
              </w:rPr>
            </w:pPr>
            <w:r w:rsidRPr="007A32E7">
              <w:rPr>
                <w:noProof/>
                <w:sz w:val="18"/>
                <w:szCs w:val="18"/>
              </w:rPr>
              <w:t xml:space="preserve"> -   </w:t>
            </w:r>
          </w:p>
        </w:tc>
        <w:tc>
          <w:tcPr>
            <w:tcW w:w="1418" w:type="dxa"/>
            <w:noWrap/>
          </w:tcPr>
          <w:p w14:paraId="759C1E13" w14:textId="140A74F5" w:rsidR="000A64E7" w:rsidRPr="00430121" w:rsidRDefault="000A64E7" w:rsidP="000A64E7">
            <w:pPr>
              <w:spacing w:after="0"/>
              <w:jc w:val="right"/>
              <w:rPr>
                <w:noProof/>
                <w:sz w:val="18"/>
                <w:szCs w:val="18"/>
              </w:rPr>
            </w:pPr>
            <w:r w:rsidRPr="007A32E7">
              <w:rPr>
                <w:noProof/>
                <w:sz w:val="18"/>
                <w:szCs w:val="18"/>
              </w:rPr>
              <w:t xml:space="preserve">-   </w:t>
            </w:r>
          </w:p>
        </w:tc>
        <w:tc>
          <w:tcPr>
            <w:tcW w:w="1417" w:type="dxa"/>
            <w:noWrap/>
          </w:tcPr>
          <w:p w14:paraId="013AAAA7" w14:textId="5026A7AF" w:rsidR="000A64E7" w:rsidRPr="00430121" w:rsidRDefault="000A64E7" w:rsidP="000A64E7">
            <w:pPr>
              <w:spacing w:after="0"/>
              <w:jc w:val="right"/>
              <w:rPr>
                <w:noProof/>
                <w:sz w:val="18"/>
                <w:szCs w:val="18"/>
              </w:rPr>
            </w:pPr>
            <w:r w:rsidRPr="007A32E7">
              <w:rPr>
                <w:noProof/>
                <w:sz w:val="18"/>
                <w:szCs w:val="18"/>
              </w:rPr>
              <w:t xml:space="preserve"> -   </w:t>
            </w:r>
          </w:p>
        </w:tc>
      </w:tr>
      <w:tr w:rsidR="009F1F11" w:rsidRPr="000422D1" w14:paraId="396A424D" w14:textId="77777777" w:rsidTr="00715864">
        <w:trPr>
          <w:trHeight w:val="283"/>
        </w:trPr>
        <w:tc>
          <w:tcPr>
            <w:tcW w:w="2127" w:type="dxa"/>
            <w:shd w:val="clear" w:color="auto" w:fill="F2DBDB" w:themeFill="accent2" w:themeFillTint="33"/>
            <w:noWrap/>
            <w:hideMark/>
          </w:tcPr>
          <w:p w14:paraId="2F1F5BAA" w14:textId="77777777" w:rsidR="009F1F11" w:rsidRPr="00FA63C0" w:rsidRDefault="009F1F11" w:rsidP="009F1F11">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992" w:type="dxa"/>
            <w:shd w:val="clear" w:color="auto" w:fill="F2DBDB" w:themeFill="accent2" w:themeFillTint="33"/>
          </w:tcPr>
          <w:p w14:paraId="610C6704" w14:textId="10B43A18" w:rsidR="009F1F11" w:rsidRPr="007A32E7" w:rsidRDefault="009F1F11" w:rsidP="009F1F11">
            <w:pPr>
              <w:spacing w:after="0"/>
              <w:jc w:val="right"/>
              <w:rPr>
                <w:noProof/>
                <w:sz w:val="20"/>
                <w:szCs w:val="20"/>
                <w:lang w:val="en-IE" w:eastAsia="en-IE"/>
              </w:rPr>
            </w:pPr>
            <w:r w:rsidRPr="00317F25">
              <w:rPr>
                <w:noProof/>
                <w:sz w:val="18"/>
                <w:szCs w:val="18"/>
              </w:rPr>
              <w:t xml:space="preserve">-   </w:t>
            </w:r>
          </w:p>
        </w:tc>
        <w:tc>
          <w:tcPr>
            <w:tcW w:w="1417" w:type="dxa"/>
            <w:shd w:val="clear" w:color="auto" w:fill="F2DBDB" w:themeFill="accent2" w:themeFillTint="33"/>
          </w:tcPr>
          <w:p w14:paraId="33D8F1A0" w14:textId="1E692158" w:rsidR="009F1F11" w:rsidRPr="007A32E7" w:rsidRDefault="009F1F11" w:rsidP="009F1F11">
            <w:pPr>
              <w:spacing w:after="0"/>
              <w:jc w:val="right"/>
              <w:rPr>
                <w:noProof/>
                <w:sz w:val="20"/>
                <w:szCs w:val="20"/>
                <w:lang w:val="en-IE" w:eastAsia="en-IE"/>
              </w:rPr>
            </w:pPr>
            <w:r w:rsidRPr="007A32E7">
              <w:rPr>
                <w:noProof/>
                <w:sz w:val="18"/>
                <w:szCs w:val="18"/>
              </w:rPr>
              <w:t>218</w:t>
            </w:r>
            <w:r>
              <w:rPr>
                <w:noProof/>
                <w:sz w:val="18"/>
                <w:szCs w:val="18"/>
              </w:rPr>
              <w:t xml:space="preserve"> </w:t>
            </w:r>
            <w:r w:rsidRPr="007A32E7">
              <w:rPr>
                <w:noProof/>
                <w:sz w:val="18"/>
                <w:szCs w:val="18"/>
              </w:rPr>
              <w:t>283</w:t>
            </w:r>
            <w:r>
              <w:rPr>
                <w:noProof/>
                <w:sz w:val="18"/>
                <w:szCs w:val="18"/>
              </w:rPr>
              <w:t xml:space="preserve"> </w:t>
            </w:r>
            <w:r w:rsidRPr="007A32E7">
              <w:rPr>
                <w:noProof/>
                <w:sz w:val="18"/>
                <w:szCs w:val="18"/>
              </w:rPr>
              <w:t>046</w:t>
            </w:r>
          </w:p>
        </w:tc>
        <w:tc>
          <w:tcPr>
            <w:tcW w:w="1135" w:type="dxa"/>
            <w:shd w:val="clear" w:color="auto" w:fill="F2DBDB" w:themeFill="accent2" w:themeFillTint="33"/>
          </w:tcPr>
          <w:p w14:paraId="24BA538E" w14:textId="6A558D9B" w:rsidR="009F1F11" w:rsidRPr="00FA63C0" w:rsidRDefault="009F1F11" w:rsidP="009F1F11">
            <w:pPr>
              <w:spacing w:after="0"/>
              <w:jc w:val="right"/>
              <w:rPr>
                <w:b/>
                <w:bCs/>
                <w:noProof/>
                <w:sz w:val="20"/>
                <w:szCs w:val="20"/>
                <w:lang w:val="en-IE" w:eastAsia="en-IE"/>
              </w:rPr>
            </w:pPr>
            <w:r w:rsidRPr="007A32E7">
              <w:rPr>
                <w:noProof/>
                <w:sz w:val="18"/>
                <w:szCs w:val="18"/>
              </w:rPr>
              <w:t>123</w:t>
            </w:r>
            <w:r>
              <w:rPr>
                <w:noProof/>
                <w:sz w:val="18"/>
                <w:szCs w:val="18"/>
              </w:rPr>
              <w:t xml:space="preserve"> </w:t>
            </w:r>
            <w:r w:rsidRPr="007A32E7">
              <w:rPr>
                <w:noProof/>
                <w:sz w:val="18"/>
                <w:szCs w:val="18"/>
              </w:rPr>
              <w:t>095</w:t>
            </w:r>
            <w:r>
              <w:rPr>
                <w:noProof/>
                <w:sz w:val="18"/>
                <w:szCs w:val="18"/>
              </w:rPr>
              <w:t xml:space="preserve"> </w:t>
            </w:r>
            <w:r w:rsidRPr="007A32E7">
              <w:rPr>
                <w:noProof/>
                <w:sz w:val="18"/>
                <w:szCs w:val="18"/>
              </w:rPr>
              <w:t>126</w:t>
            </w:r>
          </w:p>
        </w:tc>
        <w:tc>
          <w:tcPr>
            <w:tcW w:w="1417" w:type="dxa"/>
            <w:shd w:val="clear" w:color="auto" w:fill="F2DBDB" w:themeFill="accent2" w:themeFillTint="33"/>
            <w:noWrap/>
          </w:tcPr>
          <w:p w14:paraId="1B242C8E" w14:textId="302A65C6" w:rsidR="009F1F11" w:rsidRPr="000422D1" w:rsidRDefault="009F1F11" w:rsidP="009F1F11">
            <w:pPr>
              <w:spacing w:after="0"/>
              <w:jc w:val="right"/>
              <w:rPr>
                <w:noProof/>
                <w:sz w:val="20"/>
                <w:szCs w:val="20"/>
              </w:rPr>
            </w:pPr>
            <w:r w:rsidRPr="007A32E7">
              <w:rPr>
                <w:noProof/>
                <w:sz w:val="18"/>
                <w:szCs w:val="18"/>
              </w:rPr>
              <w:t>341 378 173</w:t>
            </w:r>
          </w:p>
        </w:tc>
        <w:tc>
          <w:tcPr>
            <w:tcW w:w="1418" w:type="dxa"/>
            <w:shd w:val="clear" w:color="auto" w:fill="F2DBDB" w:themeFill="accent2" w:themeFillTint="33"/>
            <w:noWrap/>
          </w:tcPr>
          <w:p w14:paraId="55CDFF61" w14:textId="1D1C90BE" w:rsidR="009F1F11" w:rsidRPr="00430121" w:rsidRDefault="00974825" w:rsidP="009F1F11">
            <w:pPr>
              <w:spacing w:after="0"/>
              <w:jc w:val="right"/>
              <w:rPr>
                <w:noProof/>
                <w:sz w:val="18"/>
                <w:szCs w:val="18"/>
              </w:rPr>
            </w:pPr>
            <w:r w:rsidRPr="00430121">
              <w:rPr>
                <w:noProof/>
                <w:sz w:val="18"/>
                <w:szCs w:val="18"/>
              </w:rPr>
              <w:t xml:space="preserve"> 296</w:t>
            </w:r>
            <w:r w:rsidR="00477F89">
              <w:rPr>
                <w:noProof/>
                <w:sz w:val="18"/>
                <w:szCs w:val="18"/>
              </w:rPr>
              <w:t xml:space="preserve"> </w:t>
            </w:r>
            <w:r w:rsidRPr="00430121">
              <w:rPr>
                <w:noProof/>
                <w:sz w:val="18"/>
                <w:szCs w:val="18"/>
              </w:rPr>
              <w:t>930</w:t>
            </w:r>
            <w:r w:rsidR="00477F89">
              <w:rPr>
                <w:noProof/>
                <w:sz w:val="18"/>
                <w:szCs w:val="18"/>
              </w:rPr>
              <w:t xml:space="preserve"> </w:t>
            </w:r>
            <w:r w:rsidRPr="00430121">
              <w:rPr>
                <w:noProof/>
                <w:sz w:val="18"/>
                <w:szCs w:val="18"/>
              </w:rPr>
              <w:t xml:space="preserve">195 </w:t>
            </w:r>
          </w:p>
        </w:tc>
        <w:tc>
          <w:tcPr>
            <w:tcW w:w="1417" w:type="dxa"/>
            <w:shd w:val="clear" w:color="auto" w:fill="F2DBDB" w:themeFill="accent2" w:themeFillTint="33"/>
            <w:noWrap/>
          </w:tcPr>
          <w:p w14:paraId="5ACB0421" w14:textId="6BE985B7" w:rsidR="009F1F11" w:rsidRPr="00430121" w:rsidRDefault="00974825" w:rsidP="009F1F11">
            <w:pPr>
              <w:spacing w:after="0"/>
              <w:jc w:val="right"/>
              <w:rPr>
                <w:noProof/>
                <w:sz w:val="18"/>
                <w:szCs w:val="18"/>
              </w:rPr>
            </w:pPr>
            <w:r w:rsidRPr="00430121">
              <w:rPr>
                <w:noProof/>
                <w:sz w:val="18"/>
                <w:szCs w:val="18"/>
              </w:rPr>
              <w:t xml:space="preserve"> </w:t>
            </w:r>
            <w:r w:rsidR="00477F89">
              <w:rPr>
                <w:noProof/>
                <w:sz w:val="18"/>
                <w:szCs w:val="18"/>
              </w:rPr>
              <w:t xml:space="preserve"> </w:t>
            </w:r>
            <w:r w:rsidRPr="00430121">
              <w:rPr>
                <w:noProof/>
                <w:sz w:val="18"/>
                <w:szCs w:val="18"/>
              </w:rPr>
              <w:t>385</w:t>
            </w:r>
            <w:r w:rsidR="00477F89">
              <w:rPr>
                <w:noProof/>
                <w:sz w:val="18"/>
                <w:szCs w:val="18"/>
              </w:rPr>
              <w:t xml:space="preserve"> </w:t>
            </w:r>
            <w:r w:rsidRPr="00430121">
              <w:rPr>
                <w:noProof/>
                <w:sz w:val="18"/>
                <w:szCs w:val="18"/>
              </w:rPr>
              <w:t>826</w:t>
            </w:r>
            <w:r w:rsidR="00477F89">
              <w:rPr>
                <w:noProof/>
                <w:sz w:val="18"/>
                <w:szCs w:val="18"/>
              </w:rPr>
              <w:t xml:space="preserve"> </w:t>
            </w:r>
            <w:r w:rsidRPr="00430121">
              <w:rPr>
                <w:noProof/>
                <w:sz w:val="18"/>
                <w:szCs w:val="18"/>
              </w:rPr>
              <w:t xml:space="preserve">151 </w:t>
            </w:r>
          </w:p>
        </w:tc>
      </w:tr>
      <w:tr w:rsidR="009F1F11" w:rsidRPr="000422D1" w14:paraId="30656815" w14:textId="77777777" w:rsidTr="00715864">
        <w:trPr>
          <w:trHeight w:val="283"/>
        </w:trPr>
        <w:tc>
          <w:tcPr>
            <w:tcW w:w="2127" w:type="dxa"/>
            <w:shd w:val="clear" w:color="auto" w:fill="EAF1DD" w:themeFill="accent3" w:themeFillTint="33"/>
            <w:noWrap/>
            <w:hideMark/>
          </w:tcPr>
          <w:p w14:paraId="3C7E556C" w14:textId="77777777" w:rsidR="009F1F11" w:rsidRPr="00FA63C0" w:rsidRDefault="009F1F11" w:rsidP="009F1F11">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992" w:type="dxa"/>
            <w:shd w:val="clear" w:color="auto" w:fill="EAF1DD" w:themeFill="accent3" w:themeFillTint="33"/>
          </w:tcPr>
          <w:p w14:paraId="559FD4B8" w14:textId="4235F8A5" w:rsidR="009F1F11" w:rsidRPr="00FA63C0" w:rsidRDefault="009F1F11" w:rsidP="009F1F11">
            <w:pPr>
              <w:spacing w:after="0"/>
              <w:jc w:val="right"/>
              <w:rPr>
                <w:b/>
                <w:bCs/>
                <w:noProof/>
                <w:sz w:val="20"/>
                <w:szCs w:val="20"/>
                <w:lang w:val="en-IE" w:eastAsia="en-IE"/>
              </w:rPr>
            </w:pPr>
            <w:r w:rsidRPr="00317F25">
              <w:rPr>
                <w:noProof/>
                <w:sz w:val="18"/>
                <w:szCs w:val="18"/>
              </w:rPr>
              <w:t xml:space="preserve">-   </w:t>
            </w:r>
          </w:p>
        </w:tc>
        <w:tc>
          <w:tcPr>
            <w:tcW w:w="1417" w:type="dxa"/>
            <w:shd w:val="clear" w:color="auto" w:fill="EAF1DD" w:themeFill="accent3" w:themeFillTint="33"/>
          </w:tcPr>
          <w:p w14:paraId="6FB0716E" w14:textId="430F2A0F" w:rsidR="009F1F11" w:rsidRPr="007A32E7" w:rsidRDefault="009F1F11" w:rsidP="009F1F11">
            <w:pPr>
              <w:spacing w:after="0"/>
              <w:jc w:val="right"/>
              <w:rPr>
                <w:noProof/>
                <w:sz w:val="20"/>
                <w:szCs w:val="20"/>
                <w:lang w:val="en-IE" w:eastAsia="en-IE"/>
              </w:rPr>
            </w:pPr>
            <w:r w:rsidRPr="007A32E7">
              <w:rPr>
                <w:noProof/>
                <w:sz w:val="18"/>
                <w:szCs w:val="18"/>
              </w:rPr>
              <w:t xml:space="preserve">  (</w:t>
            </w:r>
            <w:r w:rsidR="00201823">
              <w:rPr>
                <w:noProof/>
                <w:sz w:val="18"/>
                <w:szCs w:val="18"/>
              </w:rPr>
              <w:t>12 533 7</w:t>
            </w:r>
            <w:r w:rsidR="00D86646">
              <w:rPr>
                <w:noProof/>
                <w:sz w:val="18"/>
                <w:szCs w:val="18"/>
              </w:rPr>
              <w:t>72 955</w:t>
            </w:r>
            <w:r w:rsidRPr="007A32E7">
              <w:rPr>
                <w:noProof/>
                <w:sz w:val="18"/>
                <w:szCs w:val="18"/>
              </w:rPr>
              <w:t>)</w:t>
            </w:r>
          </w:p>
        </w:tc>
        <w:tc>
          <w:tcPr>
            <w:tcW w:w="1135" w:type="dxa"/>
            <w:shd w:val="clear" w:color="auto" w:fill="EAF1DD" w:themeFill="accent3" w:themeFillTint="33"/>
          </w:tcPr>
          <w:p w14:paraId="5EFC79F4" w14:textId="721ADB55" w:rsidR="009F1F11" w:rsidRPr="00FA63C0" w:rsidRDefault="009F1F11" w:rsidP="009F1F11">
            <w:pPr>
              <w:spacing w:after="0"/>
              <w:jc w:val="right"/>
              <w:rPr>
                <w:b/>
                <w:bCs/>
                <w:noProof/>
                <w:sz w:val="20"/>
                <w:szCs w:val="20"/>
                <w:lang w:val="en-IE" w:eastAsia="en-IE"/>
              </w:rPr>
            </w:pPr>
            <w:r w:rsidRPr="00317F25">
              <w:rPr>
                <w:noProof/>
                <w:sz w:val="18"/>
                <w:szCs w:val="18"/>
              </w:rPr>
              <w:t xml:space="preserve">-   </w:t>
            </w:r>
          </w:p>
        </w:tc>
        <w:tc>
          <w:tcPr>
            <w:tcW w:w="1417" w:type="dxa"/>
            <w:shd w:val="clear" w:color="auto" w:fill="EAF1DD" w:themeFill="accent3" w:themeFillTint="33"/>
            <w:noWrap/>
          </w:tcPr>
          <w:p w14:paraId="16DF5C30" w14:textId="37CD5DE9" w:rsidR="009F1F11" w:rsidRPr="000422D1" w:rsidRDefault="009F1F11" w:rsidP="009F1F11">
            <w:pPr>
              <w:spacing w:after="0"/>
              <w:jc w:val="right"/>
              <w:rPr>
                <w:noProof/>
                <w:sz w:val="20"/>
                <w:szCs w:val="20"/>
                <w:lang w:val="en-IE" w:eastAsia="en-IE"/>
              </w:rPr>
            </w:pPr>
            <w:r w:rsidRPr="007A32E7">
              <w:rPr>
                <w:noProof/>
                <w:sz w:val="18"/>
                <w:szCs w:val="18"/>
              </w:rPr>
              <w:t>(</w:t>
            </w:r>
            <w:r w:rsidR="005513C1">
              <w:rPr>
                <w:noProof/>
                <w:sz w:val="18"/>
                <w:szCs w:val="18"/>
              </w:rPr>
              <w:t>12 533 722 955</w:t>
            </w:r>
            <w:r w:rsidRPr="007A32E7">
              <w:rPr>
                <w:noProof/>
                <w:sz w:val="18"/>
                <w:szCs w:val="18"/>
              </w:rPr>
              <w:t>)</w:t>
            </w:r>
          </w:p>
        </w:tc>
        <w:tc>
          <w:tcPr>
            <w:tcW w:w="1418" w:type="dxa"/>
            <w:shd w:val="clear" w:color="auto" w:fill="EAF1DD" w:themeFill="accent3" w:themeFillTint="33"/>
            <w:noWrap/>
          </w:tcPr>
          <w:p w14:paraId="11E0490D" w14:textId="21E2E302" w:rsidR="009F1F11" w:rsidRPr="00430121" w:rsidRDefault="009F1F11" w:rsidP="009F1F11">
            <w:pPr>
              <w:spacing w:after="0"/>
              <w:jc w:val="right"/>
              <w:rPr>
                <w:noProof/>
                <w:sz w:val="18"/>
                <w:szCs w:val="18"/>
              </w:rPr>
            </w:pPr>
            <w:r w:rsidRPr="007A32E7">
              <w:rPr>
                <w:noProof/>
                <w:sz w:val="18"/>
                <w:szCs w:val="18"/>
              </w:rPr>
              <w:t>(8 175 327 110)</w:t>
            </w:r>
          </w:p>
        </w:tc>
        <w:tc>
          <w:tcPr>
            <w:tcW w:w="1417" w:type="dxa"/>
            <w:shd w:val="clear" w:color="auto" w:fill="EAF1DD" w:themeFill="accent3" w:themeFillTint="33"/>
            <w:noWrap/>
          </w:tcPr>
          <w:p w14:paraId="645F2042" w14:textId="5AECC4FF" w:rsidR="009F1F11" w:rsidRPr="00430121" w:rsidRDefault="009F1F11" w:rsidP="009F1F11">
            <w:pPr>
              <w:spacing w:after="0"/>
              <w:jc w:val="right"/>
              <w:rPr>
                <w:noProof/>
                <w:sz w:val="18"/>
                <w:szCs w:val="18"/>
              </w:rPr>
            </w:pPr>
            <w:r w:rsidRPr="007A32E7">
              <w:rPr>
                <w:noProof/>
                <w:sz w:val="18"/>
                <w:szCs w:val="18"/>
              </w:rPr>
              <w:t>(16 892 218 800)</w:t>
            </w:r>
          </w:p>
        </w:tc>
      </w:tr>
      <w:tr w:rsidR="009F1F11" w:rsidRPr="00E35B66" w14:paraId="5B53172B" w14:textId="77777777" w:rsidTr="00715864">
        <w:trPr>
          <w:trHeight w:val="283"/>
        </w:trPr>
        <w:tc>
          <w:tcPr>
            <w:tcW w:w="2127" w:type="dxa"/>
            <w:shd w:val="clear" w:color="auto" w:fill="F2F2F2" w:themeFill="background1" w:themeFillShade="F2"/>
            <w:noWrap/>
            <w:hideMark/>
          </w:tcPr>
          <w:p w14:paraId="3D56BAE1" w14:textId="77777777" w:rsidR="009F1F11" w:rsidRPr="00FA63C0" w:rsidRDefault="009F1F11" w:rsidP="009F1F11">
            <w:pPr>
              <w:spacing w:after="0"/>
              <w:jc w:val="left"/>
              <w:rPr>
                <w:b/>
                <w:bCs/>
                <w:i/>
                <w:iCs/>
                <w:noProof/>
                <w:sz w:val="20"/>
                <w:szCs w:val="20"/>
                <w:lang w:val="en-IE" w:eastAsia="en-IE"/>
              </w:rPr>
            </w:pPr>
            <w:r w:rsidRPr="00FA63C0">
              <w:rPr>
                <w:b/>
                <w:bCs/>
                <w:i/>
                <w:iCs/>
                <w:noProof/>
                <w:sz w:val="20"/>
                <w:szCs w:val="20"/>
                <w:lang w:val="en-IE" w:eastAsia="en-IE"/>
              </w:rPr>
              <w:t>Net impact</w:t>
            </w:r>
          </w:p>
        </w:tc>
        <w:tc>
          <w:tcPr>
            <w:tcW w:w="992" w:type="dxa"/>
            <w:shd w:val="clear" w:color="auto" w:fill="F2F2F2" w:themeFill="background1" w:themeFillShade="F2"/>
          </w:tcPr>
          <w:p w14:paraId="434C2DFE" w14:textId="4789F73A" w:rsidR="009F1F11" w:rsidRPr="00FA63C0" w:rsidRDefault="009F1F11" w:rsidP="009F1F11">
            <w:pPr>
              <w:spacing w:after="0"/>
              <w:jc w:val="right"/>
              <w:rPr>
                <w:b/>
                <w:bCs/>
                <w:noProof/>
                <w:sz w:val="20"/>
                <w:szCs w:val="20"/>
                <w:lang w:val="en-IE" w:eastAsia="en-IE"/>
              </w:rPr>
            </w:pPr>
            <w:r w:rsidRPr="00317F25">
              <w:rPr>
                <w:noProof/>
                <w:sz w:val="18"/>
                <w:szCs w:val="18"/>
              </w:rPr>
              <w:t xml:space="preserve">-   </w:t>
            </w:r>
          </w:p>
        </w:tc>
        <w:tc>
          <w:tcPr>
            <w:tcW w:w="1417" w:type="dxa"/>
            <w:shd w:val="clear" w:color="auto" w:fill="F2F2F2" w:themeFill="background1" w:themeFillShade="F2"/>
          </w:tcPr>
          <w:p w14:paraId="5C8D4476" w14:textId="0F1924CA" w:rsidR="009F1F11" w:rsidRPr="00FA63C0" w:rsidRDefault="009F1F11" w:rsidP="009F1F11">
            <w:pPr>
              <w:spacing w:after="0"/>
              <w:jc w:val="right"/>
              <w:rPr>
                <w:b/>
                <w:bCs/>
                <w:noProof/>
                <w:sz w:val="20"/>
                <w:szCs w:val="20"/>
                <w:lang w:val="en-IE" w:eastAsia="en-IE"/>
              </w:rPr>
            </w:pPr>
            <w:r w:rsidRPr="007A32E7">
              <w:rPr>
                <w:b/>
                <w:noProof/>
                <w:sz w:val="18"/>
                <w:szCs w:val="18"/>
                <w:lang w:eastAsia="en-US"/>
              </w:rPr>
              <w:t>(</w:t>
            </w:r>
            <w:r w:rsidR="00D86646">
              <w:rPr>
                <w:b/>
                <w:noProof/>
                <w:sz w:val="18"/>
                <w:szCs w:val="18"/>
                <w:lang w:eastAsia="en-US"/>
              </w:rPr>
              <w:t>12 315 489 908</w:t>
            </w:r>
            <w:r w:rsidRPr="007A32E7">
              <w:rPr>
                <w:b/>
                <w:noProof/>
                <w:sz w:val="18"/>
                <w:szCs w:val="18"/>
                <w:lang w:eastAsia="en-US"/>
              </w:rPr>
              <w:t>)</w:t>
            </w:r>
          </w:p>
        </w:tc>
        <w:tc>
          <w:tcPr>
            <w:tcW w:w="1135" w:type="dxa"/>
            <w:shd w:val="clear" w:color="auto" w:fill="F2F2F2" w:themeFill="background1" w:themeFillShade="F2"/>
          </w:tcPr>
          <w:p w14:paraId="32883EE1" w14:textId="42B19F91" w:rsidR="009F1F11" w:rsidRPr="00FA63C0" w:rsidRDefault="009F1F11" w:rsidP="009F1F11">
            <w:pPr>
              <w:spacing w:after="0"/>
              <w:jc w:val="right"/>
              <w:rPr>
                <w:b/>
                <w:bCs/>
                <w:noProof/>
                <w:sz w:val="20"/>
                <w:szCs w:val="20"/>
                <w:lang w:val="en-IE" w:eastAsia="en-IE"/>
              </w:rPr>
            </w:pPr>
            <w:r w:rsidRPr="007A32E7">
              <w:rPr>
                <w:b/>
                <w:bCs/>
                <w:noProof/>
                <w:sz w:val="18"/>
                <w:szCs w:val="18"/>
                <w:lang w:val="en-IE" w:eastAsia="en-IE"/>
              </w:rPr>
              <w:t xml:space="preserve"> 123</w:t>
            </w:r>
            <w:r>
              <w:rPr>
                <w:b/>
                <w:bCs/>
                <w:noProof/>
                <w:sz w:val="18"/>
                <w:szCs w:val="18"/>
                <w:lang w:val="en-IE" w:eastAsia="en-IE"/>
              </w:rPr>
              <w:t xml:space="preserve"> </w:t>
            </w:r>
            <w:r w:rsidRPr="007A32E7">
              <w:rPr>
                <w:b/>
                <w:bCs/>
                <w:noProof/>
                <w:sz w:val="18"/>
                <w:szCs w:val="18"/>
                <w:lang w:val="en-IE" w:eastAsia="en-IE"/>
              </w:rPr>
              <w:t>095</w:t>
            </w:r>
            <w:r>
              <w:rPr>
                <w:b/>
                <w:bCs/>
                <w:noProof/>
                <w:sz w:val="18"/>
                <w:szCs w:val="18"/>
                <w:lang w:val="en-IE" w:eastAsia="en-IE"/>
              </w:rPr>
              <w:t xml:space="preserve"> </w:t>
            </w:r>
            <w:r w:rsidRPr="007A32E7">
              <w:rPr>
                <w:b/>
                <w:bCs/>
                <w:noProof/>
                <w:sz w:val="18"/>
                <w:szCs w:val="18"/>
                <w:lang w:val="en-IE" w:eastAsia="en-IE"/>
              </w:rPr>
              <w:t>126</w:t>
            </w:r>
          </w:p>
        </w:tc>
        <w:tc>
          <w:tcPr>
            <w:tcW w:w="1417" w:type="dxa"/>
            <w:shd w:val="clear" w:color="auto" w:fill="F2F2F2" w:themeFill="background1" w:themeFillShade="F2"/>
            <w:noWrap/>
          </w:tcPr>
          <w:p w14:paraId="2FE119AD" w14:textId="52A508E3" w:rsidR="009F1F11" w:rsidRPr="00E35B66" w:rsidRDefault="009F1F11" w:rsidP="009F1F11">
            <w:pPr>
              <w:spacing w:after="0"/>
              <w:jc w:val="right"/>
              <w:rPr>
                <w:b/>
                <w:bCs/>
                <w:noProof/>
                <w:sz w:val="20"/>
                <w:szCs w:val="20"/>
                <w:lang w:val="en-IE" w:eastAsia="en-IE"/>
              </w:rPr>
            </w:pPr>
            <w:r w:rsidRPr="007A32E7">
              <w:rPr>
                <w:b/>
                <w:bCs/>
                <w:noProof/>
                <w:sz w:val="18"/>
                <w:szCs w:val="18"/>
              </w:rPr>
              <w:t>(</w:t>
            </w:r>
            <w:r w:rsidR="0017610F">
              <w:rPr>
                <w:b/>
                <w:bCs/>
                <w:noProof/>
                <w:sz w:val="18"/>
                <w:szCs w:val="18"/>
              </w:rPr>
              <w:t>12 192 394 782</w:t>
            </w:r>
            <w:r w:rsidRPr="007A32E7">
              <w:rPr>
                <w:b/>
                <w:bCs/>
                <w:noProof/>
                <w:sz w:val="18"/>
                <w:szCs w:val="18"/>
              </w:rPr>
              <w:t>)</w:t>
            </w:r>
          </w:p>
        </w:tc>
        <w:tc>
          <w:tcPr>
            <w:tcW w:w="1418" w:type="dxa"/>
            <w:shd w:val="clear" w:color="auto" w:fill="F2F2F2" w:themeFill="background1" w:themeFillShade="F2"/>
            <w:noWrap/>
          </w:tcPr>
          <w:p w14:paraId="69A2D6D0" w14:textId="78BB9C43" w:rsidR="009F1F11" w:rsidRDefault="00477F89" w:rsidP="009F1F11">
            <w:pPr>
              <w:spacing w:after="0"/>
              <w:jc w:val="right"/>
              <w:rPr>
                <w:b/>
                <w:bCs/>
                <w:noProof/>
                <w:sz w:val="18"/>
                <w:szCs w:val="18"/>
              </w:rPr>
            </w:pPr>
            <w:r>
              <w:rPr>
                <w:b/>
                <w:bCs/>
                <w:noProof/>
                <w:sz w:val="18"/>
                <w:szCs w:val="18"/>
              </w:rPr>
              <w:t xml:space="preserve"> (7 878 396 915)</w:t>
            </w:r>
          </w:p>
        </w:tc>
        <w:tc>
          <w:tcPr>
            <w:tcW w:w="1417" w:type="dxa"/>
            <w:shd w:val="clear" w:color="auto" w:fill="F2F2F2" w:themeFill="background1" w:themeFillShade="F2"/>
            <w:noWrap/>
          </w:tcPr>
          <w:p w14:paraId="2717E904" w14:textId="5066AE00" w:rsidR="009F1F11" w:rsidRDefault="00477F89" w:rsidP="009F1F11">
            <w:pPr>
              <w:spacing w:after="0"/>
              <w:jc w:val="right"/>
              <w:rPr>
                <w:b/>
                <w:bCs/>
                <w:noProof/>
                <w:sz w:val="18"/>
                <w:szCs w:val="18"/>
              </w:rPr>
            </w:pPr>
            <w:r>
              <w:rPr>
                <w:b/>
                <w:bCs/>
                <w:noProof/>
                <w:sz w:val="18"/>
                <w:szCs w:val="18"/>
              </w:rPr>
              <w:t xml:space="preserve"> (16 506 392 649)</w:t>
            </w:r>
          </w:p>
        </w:tc>
      </w:tr>
    </w:tbl>
    <w:p w14:paraId="714F6187" w14:textId="77777777" w:rsidR="000A64E7" w:rsidRDefault="000A64E7" w:rsidP="000B556F">
      <w:pPr>
        <w:rPr>
          <w:noProof/>
        </w:rPr>
      </w:pPr>
    </w:p>
    <w:p w14:paraId="646CE480" w14:textId="632B9E74" w:rsidR="00037985" w:rsidRPr="00437F91" w:rsidRDefault="00037985" w:rsidP="0068312F">
      <w:pPr>
        <w:pStyle w:val="Heading2"/>
        <w:numPr>
          <w:ilvl w:val="1"/>
          <w:numId w:val="10"/>
        </w:numPr>
        <w:tabs>
          <w:tab w:val="num" w:pos="283"/>
        </w:tabs>
        <w:spacing w:before="240"/>
        <w:ind w:left="1202"/>
        <w:rPr>
          <w:noProof/>
        </w:rPr>
      </w:pPr>
      <w:bookmarkStart w:id="239" w:name="_Toc214519722"/>
      <w:bookmarkStart w:id="240" w:name="_Toc216283373"/>
      <w:bookmarkStart w:id="241" w:name="_Toc228346928"/>
      <w:r w:rsidRPr="00437F91">
        <w:rPr>
          <w:noProof/>
        </w:rPr>
        <w:t>PM18: Vendor</w:t>
      </w:r>
      <w:r w:rsidR="0009682D">
        <w:rPr>
          <w:noProof/>
        </w:rPr>
        <w:t>-</w:t>
      </w:r>
      <w:r w:rsidRPr="00437F91">
        <w:rPr>
          <w:noProof/>
        </w:rPr>
        <w:t>neutral EU cloud/AI skill certificates</w:t>
      </w:r>
      <w:bookmarkEnd w:id="239"/>
      <w:bookmarkEnd w:id="240"/>
      <w:bookmarkEnd w:id="241"/>
      <w:r w:rsidRPr="00437F91">
        <w:rPr>
          <w:noProof/>
        </w:rPr>
        <w:t xml:space="preserve"> </w:t>
      </w:r>
    </w:p>
    <w:p w14:paraId="4086F704" w14:textId="03F1B2E5" w:rsidR="00037985" w:rsidRPr="0007547C" w:rsidRDefault="00037985" w:rsidP="00037985">
      <w:pPr>
        <w:rPr>
          <w:noProof/>
        </w:rPr>
      </w:pPr>
      <w:r w:rsidRPr="0007547C">
        <w:rPr>
          <w:noProof/>
        </w:rPr>
        <w:t xml:space="preserve">The goal of this policy measure is to create a vendor neutral cloud and AI </w:t>
      </w:r>
      <w:r w:rsidR="004D1D52">
        <w:rPr>
          <w:noProof/>
        </w:rPr>
        <w:t xml:space="preserve">computing services </w:t>
      </w:r>
      <w:r w:rsidRPr="0007547C">
        <w:rPr>
          <w:noProof/>
        </w:rPr>
        <w:t xml:space="preserve">training programme </w:t>
      </w:r>
      <w:r w:rsidR="00B576A1">
        <w:rPr>
          <w:noProof/>
        </w:rPr>
        <w:t xml:space="preserve">and curricula </w:t>
      </w:r>
      <w:r w:rsidRPr="0007547C">
        <w:rPr>
          <w:noProof/>
        </w:rPr>
        <w:t>for the re-skilling and upskilling of workers in key digital technologies for the single market. Targets of these certification and training programmes are individual workers and students, not organisations.</w:t>
      </w:r>
    </w:p>
    <w:p w14:paraId="0A032810" w14:textId="360D1674" w:rsidR="00BD1E4D" w:rsidRDefault="00037985" w:rsidP="00037985">
      <w:pPr>
        <w:rPr>
          <w:noProof/>
        </w:rPr>
      </w:pPr>
      <w:r w:rsidRPr="0007547C">
        <w:rPr>
          <w:noProof/>
        </w:rPr>
        <w:t>Nowadays, many cloud service providers offer training and certification programmes (see for instance AWS</w:t>
      </w:r>
      <w:r w:rsidRPr="0007547C">
        <w:rPr>
          <w:rStyle w:val="FootnoteReference"/>
          <w:noProof/>
        </w:rPr>
        <w:footnoteReference w:id="72"/>
      </w:r>
      <w:r w:rsidRPr="0007547C">
        <w:rPr>
          <w:noProof/>
        </w:rPr>
        <w:t>, Microsoft Azure</w:t>
      </w:r>
      <w:r w:rsidRPr="0007547C">
        <w:rPr>
          <w:rStyle w:val="FootnoteReference"/>
          <w:noProof/>
        </w:rPr>
        <w:footnoteReference w:id="73"/>
      </w:r>
      <w:r w:rsidRPr="0007547C">
        <w:rPr>
          <w:noProof/>
        </w:rPr>
        <w:t xml:space="preserve"> or Google</w:t>
      </w:r>
      <w:r w:rsidRPr="0007547C">
        <w:rPr>
          <w:rStyle w:val="FootnoteReference"/>
          <w:noProof/>
        </w:rPr>
        <w:footnoteReference w:id="74"/>
      </w:r>
      <w:r w:rsidRPr="0007547C">
        <w:rPr>
          <w:noProof/>
        </w:rPr>
        <w:t>) but they are vendor specific and tailored to their technologies.</w:t>
      </w:r>
      <w:r w:rsidR="006B6F44">
        <w:rPr>
          <w:noProof/>
        </w:rPr>
        <w:t xml:space="preserve"> </w:t>
      </w:r>
      <w:r w:rsidR="006B6F44" w:rsidRPr="009F2DE7">
        <w:rPr>
          <w:noProof/>
        </w:rPr>
        <w:t xml:space="preserve">And this, despite the commonalities that exist across different cloud platforms: architectural patterns, cloud security controls, </w:t>
      </w:r>
      <w:r w:rsidR="00A36082">
        <w:rPr>
          <w:noProof/>
        </w:rPr>
        <w:t xml:space="preserve">and </w:t>
      </w:r>
      <w:r w:rsidR="006B6F44" w:rsidRPr="009F2DE7">
        <w:rPr>
          <w:noProof/>
        </w:rPr>
        <w:t>development lifecycle management methodologies</w:t>
      </w:r>
      <w:r w:rsidR="00A36082">
        <w:rPr>
          <w:noProof/>
        </w:rPr>
        <w:t>, among others.</w:t>
      </w:r>
      <w:r w:rsidR="00B55097">
        <w:rPr>
          <w:noProof/>
        </w:rPr>
        <w:t xml:space="preserve"> </w:t>
      </w:r>
    </w:p>
    <w:p w14:paraId="14BF193E" w14:textId="16C5775A" w:rsidR="00037985" w:rsidRPr="0007547C" w:rsidRDefault="00037985" w:rsidP="00037985">
      <w:pPr>
        <w:rPr>
          <w:noProof/>
        </w:rPr>
      </w:pPr>
      <w:r w:rsidRPr="0007547C">
        <w:rPr>
          <w:noProof/>
        </w:rPr>
        <w:t>There are few vendor-neutral cloud skills certification programmes in the market, and they are majorly focused on security</w:t>
      </w:r>
      <w:r w:rsidRPr="0007547C">
        <w:rPr>
          <w:rStyle w:val="FootnoteReference"/>
          <w:noProof/>
        </w:rPr>
        <w:footnoteReference w:id="75"/>
      </w:r>
      <w:r w:rsidRPr="0007547C">
        <w:rPr>
          <w:noProof/>
        </w:rPr>
        <w:t>, leaving aside important aspects such as the design and architecture of cloud native applications, AI services, DevOps, AIOps or FinOps</w:t>
      </w:r>
      <w:r w:rsidRPr="0007547C">
        <w:rPr>
          <w:rStyle w:val="FootnoteReference"/>
          <w:noProof/>
        </w:rPr>
        <w:footnoteReference w:id="76"/>
      </w:r>
      <w:r w:rsidRPr="0007547C">
        <w:rPr>
          <w:noProof/>
        </w:rPr>
        <w:t>.</w:t>
      </w:r>
      <w:r w:rsidR="00B55097">
        <w:rPr>
          <w:noProof/>
        </w:rPr>
        <w:t xml:space="preserve"> </w:t>
      </w:r>
      <w:r w:rsidR="00B55097" w:rsidRPr="009F2DE7">
        <w:rPr>
          <w:noProof/>
        </w:rPr>
        <w:t>University degrees include some of these subjects, but they are typically integrated in long studies, target undergraduate students and are not usually available as vocational training for professionals.</w:t>
      </w:r>
    </w:p>
    <w:p w14:paraId="02380943" w14:textId="1D70401A" w:rsidR="00037985" w:rsidRPr="0007547C" w:rsidRDefault="00037985" w:rsidP="00037985">
      <w:pPr>
        <w:rPr>
          <w:b/>
          <w:i/>
          <w:noProof/>
        </w:rPr>
      </w:pPr>
      <w:r w:rsidRPr="0007547C">
        <w:rPr>
          <w:noProof/>
        </w:rPr>
        <w:t xml:space="preserve">Under this policy measure, it will be created a </w:t>
      </w:r>
      <w:r w:rsidR="002744EC" w:rsidRPr="0007547C">
        <w:rPr>
          <w:noProof/>
        </w:rPr>
        <w:t>curriculum</w:t>
      </w:r>
      <w:r w:rsidRPr="0007547C">
        <w:rPr>
          <w:noProof/>
        </w:rPr>
        <w:t xml:space="preserve"> of vendor neutral courses, as well as their content, both for the materials and the exams</w:t>
      </w:r>
      <w:r>
        <w:rPr>
          <w:noProof/>
        </w:rPr>
        <w:t>.</w:t>
      </w:r>
      <w:r w:rsidR="00E60385">
        <w:rPr>
          <w:noProof/>
        </w:rPr>
        <w:t xml:space="preserve"> </w:t>
      </w:r>
      <w:r w:rsidRPr="0007547C">
        <w:rPr>
          <w:noProof/>
        </w:rPr>
        <w:t>In principle, obtaining these certificates will be a voluntary mechanism intended for developers whereas companies may require them in certain job offers at their discretion.</w:t>
      </w:r>
    </w:p>
    <w:p w14:paraId="070EECD0" w14:textId="77777777" w:rsidR="009D1773" w:rsidRDefault="00037985" w:rsidP="00037985">
      <w:pPr>
        <w:rPr>
          <w:noProof/>
        </w:rPr>
      </w:pPr>
      <w:r w:rsidRPr="0007547C">
        <w:rPr>
          <w:b/>
          <w:i/>
          <w:noProof/>
        </w:rPr>
        <w:t>One-off adjustment costs for the European Commission</w:t>
      </w:r>
      <w:r w:rsidRPr="0007547C">
        <w:rPr>
          <w:b/>
          <w:noProof/>
        </w:rPr>
        <w:t xml:space="preserve">. </w:t>
      </w:r>
      <w:r w:rsidRPr="0007547C">
        <w:rPr>
          <w:noProof/>
        </w:rPr>
        <w:t xml:space="preserve">The adjustment costs modelled result from the subcontracting of a study </w:t>
      </w:r>
      <w:r w:rsidR="009D1773">
        <w:rPr>
          <w:noProof/>
        </w:rPr>
        <w:t xml:space="preserve">under a public tender procedure </w:t>
      </w:r>
      <w:r w:rsidRPr="0007547C">
        <w:rPr>
          <w:noProof/>
        </w:rPr>
        <w:t xml:space="preserve">that will </w:t>
      </w:r>
    </w:p>
    <w:p w14:paraId="0457E7CB" w14:textId="77777777" w:rsidR="009D1773" w:rsidRDefault="00037985" w:rsidP="00037985">
      <w:pPr>
        <w:rPr>
          <w:noProof/>
        </w:rPr>
      </w:pPr>
      <w:r w:rsidRPr="0007547C">
        <w:rPr>
          <w:noProof/>
        </w:rPr>
        <w:t xml:space="preserve">1) define the gaps on the current skills panorama to develop and deploy cloud and AI </w:t>
      </w:r>
      <w:r w:rsidR="00BB72EA">
        <w:rPr>
          <w:noProof/>
        </w:rPr>
        <w:t xml:space="preserve">computing </w:t>
      </w:r>
      <w:r w:rsidRPr="0007547C">
        <w:rPr>
          <w:noProof/>
        </w:rPr>
        <w:t xml:space="preserve">services prioritising the most relevant areas; and </w:t>
      </w:r>
    </w:p>
    <w:p w14:paraId="4085A655" w14:textId="6360499D" w:rsidR="009D1773" w:rsidRDefault="00037985" w:rsidP="00037985">
      <w:pPr>
        <w:rPr>
          <w:noProof/>
        </w:rPr>
      </w:pPr>
      <w:r w:rsidRPr="0007547C">
        <w:rPr>
          <w:noProof/>
        </w:rPr>
        <w:t>2) develop the materials and content covering the prioritized areas, including also the exams.</w:t>
      </w:r>
      <w:r w:rsidR="005D20F5">
        <w:rPr>
          <w:noProof/>
        </w:rPr>
        <w:t xml:space="preserve"> </w:t>
      </w:r>
      <w:r w:rsidR="005D20F5" w:rsidRPr="009F2DE7">
        <w:rPr>
          <w:noProof/>
        </w:rPr>
        <w:t>Substance</w:t>
      </w:r>
      <w:r w:rsidR="00E06D7A">
        <w:rPr>
          <w:noProof/>
        </w:rPr>
        <w:t>-</w:t>
      </w:r>
      <w:r w:rsidR="005D20F5" w:rsidRPr="009F2DE7">
        <w:rPr>
          <w:noProof/>
        </w:rPr>
        <w:t xml:space="preserve">wise, as hinted </w:t>
      </w:r>
      <w:r w:rsidR="005D20F5">
        <w:rPr>
          <w:noProof/>
        </w:rPr>
        <w:t>previously</w:t>
      </w:r>
      <w:r w:rsidR="005D20F5" w:rsidRPr="009F2DE7">
        <w:rPr>
          <w:noProof/>
        </w:rPr>
        <w:t>, the main focus is to ensure that existing cloud professionals upskill themselves, from knowing how to use the products from a single vendor to a vendor-agnostic / multi-vendor skill set.</w:t>
      </w:r>
    </w:p>
    <w:p w14:paraId="3AC8097C" w14:textId="77C4712C" w:rsidR="00037985" w:rsidRPr="0007547C" w:rsidRDefault="00037985" w:rsidP="00037985">
      <w:pPr>
        <w:rPr>
          <w:noProof/>
        </w:rPr>
      </w:pPr>
      <w:r w:rsidRPr="0007547C">
        <w:rPr>
          <w:noProof/>
        </w:rPr>
        <w:t xml:space="preserve">This contract has been estimated at </w:t>
      </w:r>
      <w:r w:rsidR="00F253F0">
        <w:rPr>
          <w:noProof/>
        </w:rPr>
        <w:t xml:space="preserve">EUR </w:t>
      </w:r>
      <w:r w:rsidRPr="0007547C">
        <w:rPr>
          <w:noProof/>
        </w:rPr>
        <w:t>750</w:t>
      </w:r>
      <w:r w:rsidR="00F253F0">
        <w:rPr>
          <w:noProof/>
        </w:rPr>
        <w:t xml:space="preserve"> </w:t>
      </w:r>
      <w:r w:rsidRPr="0007547C">
        <w:rPr>
          <w:noProof/>
        </w:rPr>
        <w:t xml:space="preserve">000 and running for two years (2027-2028) with the aim of developing 15 courses. For the drafting of the specifications as well as for the follow up of the implementation of this study, it has been estimated 1 FTE of the Commission. An additional cost at </w:t>
      </w:r>
      <w:r>
        <w:rPr>
          <w:noProof/>
        </w:rPr>
        <w:t xml:space="preserve">EUR </w:t>
      </w:r>
      <w:r w:rsidRPr="0007547C">
        <w:rPr>
          <w:noProof/>
        </w:rPr>
        <w:t>252</w:t>
      </w:r>
      <w:r w:rsidR="00C84C1B">
        <w:rPr>
          <w:noProof/>
        </w:rPr>
        <w:t xml:space="preserve"> </w:t>
      </w:r>
      <w:r w:rsidRPr="0007547C">
        <w:rPr>
          <w:noProof/>
        </w:rPr>
        <w:t xml:space="preserve">806 was estimated to establish </w:t>
      </w:r>
      <w:r w:rsidR="00C84C1B">
        <w:rPr>
          <w:noProof/>
        </w:rPr>
        <w:t>a</w:t>
      </w:r>
      <w:r w:rsidRPr="0007547C">
        <w:rPr>
          <w:noProof/>
        </w:rPr>
        <w:t xml:space="preserve"> training accreditation </w:t>
      </w:r>
      <w:r w:rsidR="00F123C9">
        <w:rPr>
          <w:noProof/>
        </w:rPr>
        <w:t>mechanism</w:t>
      </w:r>
      <w:r w:rsidRPr="0007547C">
        <w:rPr>
          <w:noProof/>
        </w:rPr>
        <w:t>.</w:t>
      </w:r>
    </w:p>
    <w:p w14:paraId="5A3B6156" w14:textId="77777777" w:rsidR="00A84E58" w:rsidRPr="007E2AB2" w:rsidRDefault="00A84E58" w:rsidP="00F56C6D">
      <w:pPr>
        <w:jc w:val="center"/>
        <w:rPr>
          <w:i/>
          <w:noProof/>
        </w:rPr>
      </w:pPr>
      <w:r>
        <w:rPr>
          <w:i/>
          <w:noProof/>
        </w:rPr>
        <w:t>One-off adjustment costs = external contract + (effort to draft the specifications * labour cost)</w:t>
      </w:r>
    </w:p>
    <w:p w14:paraId="2720B218" w14:textId="16E2F12E" w:rsidR="00037985" w:rsidRPr="0007547C" w:rsidRDefault="00037985" w:rsidP="00037985">
      <w:pPr>
        <w:rPr>
          <w:noProof/>
        </w:rPr>
      </w:pPr>
      <w:r w:rsidRPr="0007547C">
        <w:rPr>
          <w:b/>
          <w:i/>
          <w:noProof/>
        </w:rPr>
        <w:t>One-off administrative costs for the European Commission.</w:t>
      </w:r>
      <w:r w:rsidRPr="0007547C">
        <w:rPr>
          <w:b/>
          <w:noProof/>
        </w:rPr>
        <w:t xml:space="preserve"> </w:t>
      </w:r>
      <w:r w:rsidRPr="0007547C">
        <w:rPr>
          <w:noProof/>
        </w:rPr>
        <w:t xml:space="preserve">Here the costs to set up the </w:t>
      </w:r>
      <w:r w:rsidR="00A84E58">
        <w:rPr>
          <w:noProof/>
        </w:rPr>
        <w:t>mech</w:t>
      </w:r>
      <w:r w:rsidR="001659D8">
        <w:rPr>
          <w:noProof/>
        </w:rPr>
        <w:t xml:space="preserve">anism </w:t>
      </w:r>
      <w:r w:rsidRPr="0007547C">
        <w:rPr>
          <w:noProof/>
        </w:rPr>
        <w:t xml:space="preserve">to ensure the quality of the training materials and the skills certifications are </w:t>
      </w:r>
      <w:r w:rsidR="001659D8">
        <w:rPr>
          <w:noProof/>
        </w:rPr>
        <w:t>ensured</w:t>
      </w:r>
      <w:r w:rsidR="001659D8" w:rsidRPr="0007547C">
        <w:rPr>
          <w:noProof/>
        </w:rPr>
        <w:t xml:space="preserve"> </w:t>
      </w:r>
      <w:r w:rsidRPr="0007547C">
        <w:rPr>
          <w:noProof/>
        </w:rPr>
        <w:t xml:space="preserve">as well as the infrastructure for </w:t>
      </w:r>
      <w:r w:rsidR="00BF6397">
        <w:rPr>
          <w:noProof/>
        </w:rPr>
        <w:t xml:space="preserve">the training. </w:t>
      </w:r>
      <w:r w:rsidRPr="0007547C">
        <w:rPr>
          <w:noProof/>
        </w:rPr>
        <w:t xml:space="preserve">This is estimated at 3 FTEs spanning for a year. </w:t>
      </w:r>
    </w:p>
    <w:p w14:paraId="2C5CF73F" w14:textId="090EDD90" w:rsidR="00037985" w:rsidRPr="0007547C" w:rsidRDefault="00037985" w:rsidP="00037985">
      <w:pPr>
        <w:rPr>
          <w:noProof/>
        </w:rPr>
      </w:pPr>
      <w:r w:rsidRPr="0007547C">
        <w:rPr>
          <w:b/>
          <w:i/>
          <w:noProof/>
        </w:rPr>
        <w:t>Recurrent administrative costs for the European Commission</w:t>
      </w:r>
      <w:r w:rsidRPr="0007547C">
        <w:rPr>
          <w:b/>
          <w:noProof/>
        </w:rPr>
        <w:t xml:space="preserve"> </w:t>
      </w:r>
      <w:r w:rsidRPr="0007547C">
        <w:rPr>
          <w:noProof/>
        </w:rPr>
        <w:t xml:space="preserve">stem from the operational </w:t>
      </w:r>
      <w:r w:rsidR="00BF6397">
        <w:rPr>
          <w:noProof/>
        </w:rPr>
        <w:t>costs</w:t>
      </w:r>
      <w:r w:rsidR="00BF6397" w:rsidRPr="0007547C">
        <w:rPr>
          <w:noProof/>
        </w:rPr>
        <w:t xml:space="preserve"> </w:t>
      </w:r>
      <w:r w:rsidRPr="0007547C">
        <w:rPr>
          <w:noProof/>
        </w:rPr>
        <w:t xml:space="preserve">of running the </w:t>
      </w:r>
      <w:r w:rsidR="00F66C59">
        <w:rPr>
          <w:noProof/>
        </w:rPr>
        <w:t>training certification programme</w:t>
      </w:r>
      <w:r w:rsidRPr="0007547C">
        <w:rPr>
          <w:noProof/>
        </w:rPr>
        <w:t>. This is estimated at 1 FTE.</w:t>
      </w:r>
    </w:p>
    <w:p w14:paraId="0585EC07" w14:textId="77777777" w:rsidR="00037985" w:rsidRPr="0007547C" w:rsidRDefault="00037985" w:rsidP="00037985">
      <w:pPr>
        <w:rPr>
          <w:noProof/>
        </w:rPr>
      </w:pPr>
      <w:r w:rsidRPr="0007547C">
        <w:rPr>
          <w:b/>
          <w:i/>
          <w:noProof/>
        </w:rPr>
        <w:t>Recurrent savings for the European Commission</w:t>
      </w:r>
      <w:r w:rsidRPr="0007547C">
        <w:rPr>
          <w:b/>
          <w:noProof/>
        </w:rPr>
        <w:t xml:space="preserve"> </w:t>
      </w:r>
      <w:r w:rsidRPr="0007547C">
        <w:rPr>
          <w:noProof/>
        </w:rPr>
        <w:t>are the result of having a coordination mechanism that may avoid duplication in the creation of a skills framework or training materials. This has been estimated at 0.25 FTEs.</w:t>
      </w:r>
    </w:p>
    <w:p w14:paraId="7DBC8E99" w14:textId="615B494C" w:rsidR="00037985" w:rsidRPr="0007547C" w:rsidRDefault="00037985" w:rsidP="00037985">
      <w:pPr>
        <w:rPr>
          <w:b/>
          <w:noProof/>
        </w:rPr>
      </w:pPr>
      <w:r w:rsidRPr="0007547C">
        <w:rPr>
          <w:b/>
          <w:i/>
          <w:noProof/>
        </w:rPr>
        <w:t xml:space="preserve">Recurrent administrative costs for </w:t>
      </w:r>
      <w:r w:rsidR="0001203E">
        <w:rPr>
          <w:b/>
          <w:i/>
          <w:noProof/>
        </w:rPr>
        <w:t>cloud</w:t>
      </w:r>
      <w:r w:rsidRPr="0007547C">
        <w:rPr>
          <w:b/>
          <w:i/>
          <w:noProof/>
        </w:rPr>
        <w:t xml:space="preserve"> and AI experts</w:t>
      </w:r>
      <w:r w:rsidRPr="0007547C">
        <w:rPr>
          <w:b/>
          <w:noProof/>
        </w:rPr>
        <w:t xml:space="preserve">: </w:t>
      </w:r>
      <w:r w:rsidRPr="0007547C">
        <w:rPr>
          <w:noProof/>
        </w:rPr>
        <w:t>Training fees are assumed at</w:t>
      </w:r>
      <w:r>
        <w:rPr>
          <w:noProof/>
        </w:rPr>
        <w:t xml:space="preserve"> EUR</w:t>
      </w:r>
      <w:r w:rsidRPr="0007547C">
        <w:rPr>
          <w:noProof/>
        </w:rPr>
        <w:t xml:space="preserve"> 100 per training.</w:t>
      </w:r>
    </w:p>
    <w:p w14:paraId="45B77D6A" w14:textId="0C7ACB5B" w:rsidR="00037985" w:rsidRPr="0007547C" w:rsidRDefault="00037985" w:rsidP="00037985">
      <w:pPr>
        <w:rPr>
          <w:noProof/>
        </w:rPr>
      </w:pPr>
      <w:r w:rsidRPr="0007547C">
        <w:rPr>
          <w:b/>
          <w:i/>
          <w:noProof/>
        </w:rPr>
        <w:t xml:space="preserve">Recurrent savings for </w:t>
      </w:r>
      <w:r w:rsidR="0001203E">
        <w:rPr>
          <w:b/>
          <w:i/>
          <w:noProof/>
        </w:rPr>
        <w:t>cloud</w:t>
      </w:r>
      <w:r w:rsidR="00F277BE">
        <w:rPr>
          <w:b/>
          <w:i/>
          <w:noProof/>
        </w:rPr>
        <w:t xml:space="preserve"> and AI computing</w:t>
      </w:r>
      <w:r w:rsidRPr="0007547C">
        <w:rPr>
          <w:b/>
          <w:i/>
          <w:noProof/>
        </w:rPr>
        <w:t xml:space="preserve"> service providers</w:t>
      </w:r>
      <w:r w:rsidRPr="0007547C">
        <w:rPr>
          <w:noProof/>
        </w:rPr>
        <w:t xml:space="preserve"> stem from the vendor-neutrality of the proposed certificates. A person aiming to become cloud developer or a cloud architect can obtain one vendor-neutral certification, containing the main principles and patterns that can be applied to every technology with little effort in customisation or learning the specificities of said technologies, instead of getting the certificates from all technologies used. The aim is to avoid the multiplication of costs that currently developers incur by needing to get certified in multiple technologies for their professional development (savings of 3 days per course). </w:t>
      </w:r>
    </w:p>
    <w:p w14:paraId="2B5332D6" w14:textId="0B1394F4" w:rsidR="00037985" w:rsidRPr="0007547C" w:rsidRDefault="00037985" w:rsidP="00037985">
      <w:pPr>
        <w:rPr>
          <w:noProof/>
        </w:rPr>
      </w:pPr>
      <w:r w:rsidRPr="0007547C">
        <w:rPr>
          <w:noProof/>
        </w:rPr>
        <w:t>The vendor – neutral certification “Certified Cloud Security Professional CCSP”</w:t>
      </w:r>
      <w:r w:rsidRPr="0007547C">
        <w:rPr>
          <w:rStyle w:val="FootnoteReference"/>
          <w:noProof/>
        </w:rPr>
        <w:footnoteReference w:id="77"/>
      </w:r>
      <w:r w:rsidRPr="0007547C">
        <w:rPr>
          <w:noProof/>
        </w:rPr>
        <w:t>, manages to certify 3,000 – 3,500 people globally per year. AWS reports to have 1.05 million unique individuals certified</w:t>
      </w:r>
      <w:r w:rsidRPr="0007547C">
        <w:rPr>
          <w:rStyle w:val="FootnoteReference"/>
          <w:noProof/>
        </w:rPr>
        <w:footnoteReference w:id="78"/>
      </w:r>
      <w:r w:rsidRPr="0007547C">
        <w:rPr>
          <w:noProof/>
        </w:rPr>
        <w:t>. There is no similar available data for Google or Azure. The number of potential beneficiaries of these certificates assumed for this analysis varies per year as follows: 1</w:t>
      </w:r>
      <w:r w:rsidR="00F253F0">
        <w:rPr>
          <w:noProof/>
        </w:rPr>
        <w:t xml:space="preserve"> </w:t>
      </w:r>
      <w:r w:rsidRPr="0007547C">
        <w:rPr>
          <w:noProof/>
        </w:rPr>
        <w:t>000 experts in the first year and increasing at 10</w:t>
      </w:r>
      <w:r w:rsidR="00F253F0">
        <w:rPr>
          <w:noProof/>
        </w:rPr>
        <w:t xml:space="preserve"> </w:t>
      </w:r>
      <w:r w:rsidRPr="0007547C">
        <w:rPr>
          <w:noProof/>
        </w:rPr>
        <w:t>000 after three years after which 300 experts per year.</w:t>
      </w:r>
    </w:p>
    <w:p w14:paraId="31D201BA" w14:textId="77777777" w:rsidR="00037985" w:rsidRPr="0007547C" w:rsidRDefault="00037985" w:rsidP="00037985">
      <w:pPr>
        <w:rPr>
          <w:noProof/>
        </w:rPr>
      </w:pPr>
      <w:r w:rsidRPr="0007547C">
        <w:rPr>
          <w:noProof/>
        </w:rPr>
        <w:t>The assumption is that each certified person typically obtains around three certifications. This reflects the average number of certificates an individual holds across different technologies or providers.</w:t>
      </w:r>
    </w:p>
    <w:p w14:paraId="5BADA525" w14:textId="77777777" w:rsidR="00322093" w:rsidRPr="007D09DA" w:rsidRDefault="00322093" w:rsidP="00F56C6D">
      <w:pPr>
        <w:jc w:val="center"/>
        <w:rPr>
          <w:i/>
          <w:noProof/>
        </w:rPr>
      </w:pPr>
      <w:r w:rsidRPr="007D09DA">
        <w:rPr>
          <w:i/>
          <w:noProof/>
        </w:rPr>
        <w:t xml:space="preserve">Recurrent savings = number of people to get certified * (days saved per course * labour costs) * number of </w:t>
      </w:r>
      <w:r w:rsidRPr="007D09DA">
        <w:rPr>
          <w:i/>
          <w:iCs/>
          <w:noProof/>
        </w:rPr>
        <w:t>certification courses followed by a person</w:t>
      </w:r>
    </w:p>
    <w:p w14:paraId="60990912" w14:textId="77777777" w:rsidR="00037985" w:rsidRPr="00A54618" w:rsidRDefault="00037985" w:rsidP="00037985">
      <w:pPr>
        <w:rPr>
          <w:noProof/>
        </w:rPr>
      </w:pPr>
      <w:r w:rsidRPr="00A01FDA">
        <w:rPr>
          <w:b/>
          <w:bCs/>
          <w:noProof/>
        </w:rPr>
        <w:t>Indirect savings</w:t>
      </w:r>
      <w:r>
        <w:rPr>
          <w:noProof/>
        </w:rPr>
        <w:t xml:space="preserve">: the effects over the economy of having a more cloud savvy and vendor-agnostic workforce are indirect and discussed in sections 6.1.4 and 6.1.5. </w:t>
      </w:r>
    </w:p>
    <w:p w14:paraId="69FDE2D6" w14:textId="4C965A2B" w:rsidR="00037985" w:rsidRPr="00AC64F5" w:rsidRDefault="00037985" w:rsidP="00037985">
      <w:pPr>
        <w:rPr>
          <w:noProof/>
        </w:rPr>
      </w:pPr>
      <w:r w:rsidRPr="0007547C">
        <w:rPr>
          <w:b/>
          <w:noProof/>
        </w:rPr>
        <w:t xml:space="preserve">Sensitivity analysis: </w:t>
      </w:r>
      <w:r w:rsidRPr="0007547C">
        <w:rPr>
          <w:noProof/>
        </w:rPr>
        <w:t xml:space="preserve">The values to be challenged in this policy measure are as follows: 1) the number of experts that can potentially be certified on a yearly basis ranging from 100 to 500 experts; 2) the certification fees ranging from </w:t>
      </w:r>
      <w:r>
        <w:rPr>
          <w:noProof/>
        </w:rPr>
        <w:t xml:space="preserve">EUR </w:t>
      </w:r>
      <w:r w:rsidRPr="0007547C">
        <w:rPr>
          <w:noProof/>
        </w:rPr>
        <w:t xml:space="preserve">50 to </w:t>
      </w:r>
      <w:r>
        <w:rPr>
          <w:noProof/>
        </w:rPr>
        <w:t xml:space="preserve">EUR </w:t>
      </w:r>
      <w:r w:rsidRPr="0007547C">
        <w:rPr>
          <w:noProof/>
        </w:rPr>
        <w:t>150; 3) the effort saved by opting for a vendor-neutral certification i,e</w:t>
      </w:r>
      <w:r w:rsidR="00F253F0">
        <w:rPr>
          <w:noProof/>
        </w:rPr>
        <w:t>.</w:t>
      </w:r>
      <w:r w:rsidRPr="0007547C">
        <w:rPr>
          <w:noProof/>
        </w:rPr>
        <w:t xml:space="preserve">, the number of certifications from other technologies and days saved; 4) the yearly coordination savings for the EC from avoiding duplication of effort ranging from zero to </w:t>
      </w:r>
      <w:r w:rsidR="0028704C">
        <w:rPr>
          <w:noProof/>
        </w:rPr>
        <w:t xml:space="preserve">EUR </w:t>
      </w:r>
      <w:r w:rsidRPr="0007547C">
        <w:rPr>
          <w:noProof/>
        </w:rPr>
        <w:t>21</w:t>
      </w:r>
      <w:r w:rsidR="0028704C">
        <w:rPr>
          <w:noProof/>
        </w:rPr>
        <w:t xml:space="preserve"> </w:t>
      </w:r>
      <w:r w:rsidRPr="0007547C">
        <w:rPr>
          <w:noProof/>
        </w:rPr>
        <w:t xml:space="preserve">067 per year and 5) the total reduced costs in the certification of similar technologies from different providers stemming from the </w:t>
      </w:r>
      <w:r w:rsidRPr="00AC64F5">
        <w:rPr>
          <w:noProof/>
        </w:rPr>
        <w:t>sensitivity introduced on the number of experts that could potentially get certified.</w:t>
      </w:r>
    </w:p>
    <w:p w14:paraId="4BF409C7" w14:textId="08017291" w:rsidR="00037985" w:rsidRPr="004465BE" w:rsidRDefault="00037985" w:rsidP="00037985">
      <w:pPr>
        <w:rPr>
          <w:noProof/>
        </w:rPr>
      </w:pPr>
      <w:r w:rsidRPr="00DA029C">
        <w:rPr>
          <w:b/>
          <w:bCs/>
          <w:noProof/>
        </w:rPr>
        <w:t>Results</w:t>
      </w:r>
      <w:r w:rsidRPr="00DA029C">
        <w:rPr>
          <w:noProof/>
        </w:rPr>
        <w:t xml:space="preserve"> for all stakeholders aggregated and for the years covered by this measure are summarised in the table below. </w:t>
      </w:r>
      <w:r w:rsidR="00A93D3F">
        <w:rPr>
          <w:noProof/>
          <w:color w:val="000000" w:themeColor="text1"/>
        </w:rPr>
        <w:t>B</w:t>
      </w:r>
      <w:r w:rsidRPr="00DA029C">
        <w:rPr>
          <w:noProof/>
          <w:color w:val="000000" w:themeColor="text1"/>
        </w:rPr>
        <w:t>enefits outweigh costs systematically across the average, min and max scenarios.</w:t>
      </w:r>
      <w:r w:rsidRPr="004465BE">
        <w:rPr>
          <w:noProof/>
          <w:color w:val="000000" w:themeColor="text1"/>
        </w:rPr>
        <w:t xml:space="preserve"> The min max ranges are characterised by the difference in the cost savings, and more specifically in the certification of similar technologies from different providers accounts for</w:t>
      </w:r>
      <w:r w:rsidR="00BA219B">
        <w:rPr>
          <w:noProof/>
          <w:color w:val="000000" w:themeColor="text1"/>
        </w:rPr>
        <w:t>, as well as the n</w:t>
      </w:r>
      <w:r w:rsidRPr="004465BE">
        <w:rPr>
          <w:noProof/>
          <w:color w:val="000000" w:themeColor="text1"/>
        </w:rPr>
        <w:t>umber of people that can potentially be certified.</w:t>
      </w:r>
    </w:p>
    <w:p w14:paraId="6C27EF8E" w14:textId="62292FC4" w:rsidR="00037985" w:rsidRDefault="00037985" w:rsidP="00037985">
      <w:pPr>
        <w:pStyle w:val="Caption"/>
        <w:keepNext/>
        <w:rPr>
          <w:noProof/>
        </w:rPr>
      </w:pPr>
      <w:r w:rsidRPr="00B72A94">
        <w:rPr>
          <w:noProof/>
        </w:rPr>
        <w:t xml:space="preserve">Table </w:t>
      </w:r>
      <w:r w:rsidRPr="00B72A94">
        <w:rPr>
          <w:noProof/>
        </w:rPr>
        <w:fldChar w:fldCharType="begin"/>
      </w:r>
      <w:r w:rsidRPr="00B72A94">
        <w:rPr>
          <w:noProof/>
        </w:rPr>
        <w:instrText xml:space="preserve"> SEQ Table \* ARABIC </w:instrText>
      </w:r>
      <w:r w:rsidRPr="00B72A94">
        <w:rPr>
          <w:noProof/>
        </w:rPr>
        <w:fldChar w:fldCharType="separate"/>
      </w:r>
      <w:r w:rsidR="000E7F11">
        <w:rPr>
          <w:noProof/>
        </w:rPr>
        <w:t>38</w:t>
      </w:r>
      <w:r w:rsidRPr="00B72A94">
        <w:rPr>
          <w:noProof/>
        </w:rPr>
        <w:fldChar w:fldCharType="end"/>
      </w:r>
      <w:r>
        <w:rPr>
          <w:noProof/>
        </w:rPr>
        <w:t>.</w:t>
      </w:r>
      <w:r w:rsidRPr="00B72A94">
        <w:rPr>
          <w:noProof/>
        </w:rPr>
        <w:t xml:space="preserve"> </w:t>
      </w:r>
      <w:r w:rsidRPr="001112FD">
        <w:rPr>
          <w:noProof/>
        </w:rPr>
        <w:t>Vendor neutral EU cloud/AI skill certificates</w:t>
      </w:r>
      <w:r w:rsidRPr="00B72A94">
        <w:rPr>
          <w:noProof/>
        </w:rPr>
        <w:t xml:space="preserve"> (PM18)</w:t>
      </w:r>
    </w:p>
    <w:tbl>
      <w:tblPr>
        <w:tblStyle w:val="TableGrid"/>
        <w:tblW w:w="9089" w:type="dxa"/>
        <w:tblInd w:w="-284" w:type="dxa"/>
        <w:tblLayout w:type="fixed"/>
        <w:tblCellMar>
          <w:left w:w="0" w:type="dxa"/>
          <w:right w:w="0" w:type="dxa"/>
        </w:tblCellMar>
        <w:tblLook w:val="04A0" w:firstRow="1" w:lastRow="0" w:firstColumn="1" w:lastColumn="0" w:noHBand="0" w:noVBand="1"/>
      </w:tblPr>
      <w:tblGrid>
        <w:gridCol w:w="1985"/>
        <w:gridCol w:w="1418"/>
        <w:gridCol w:w="992"/>
        <w:gridCol w:w="1134"/>
        <w:gridCol w:w="1134"/>
        <w:gridCol w:w="1134"/>
        <w:gridCol w:w="1276"/>
        <w:gridCol w:w="16"/>
      </w:tblGrid>
      <w:tr w:rsidR="00D069D8" w:rsidRPr="00FA63C0" w14:paraId="544B8B41" w14:textId="77777777" w:rsidTr="000934E1">
        <w:trPr>
          <w:gridAfter w:val="1"/>
          <w:wAfter w:w="16" w:type="dxa"/>
          <w:trHeight w:val="506"/>
        </w:trPr>
        <w:tc>
          <w:tcPr>
            <w:tcW w:w="1985" w:type="dxa"/>
            <w:tcBorders>
              <w:bottom w:val="single" w:sz="4" w:space="0" w:color="00B0F0"/>
            </w:tcBorders>
            <w:noWrap/>
            <w:vAlign w:val="center"/>
            <w:hideMark/>
          </w:tcPr>
          <w:p w14:paraId="33903F6C" w14:textId="77777777" w:rsidR="00D069D8" w:rsidRPr="00FA63C0" w:rsidRDefault="00D069D8">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418" w:type="dxa"/>
            <w:tcBorders>
              <w:bottom w:val="single" w:sz="4" w:space="0" w:color="00B0F0"/>
            </w:tcBorders>
            <w:vAlign w:val="center"/>
          </w:tcPr>
          <w:p w14:paraId="3FDDCF87" w14:textId="6B511F04" w:rsidR="00D069D8"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992" w:type="dxa"/>
            <w:tcBorders>
              <w:bottom w:val="single" w:sz="4" w:space="0" w:color="00B0F0"/>
            </w:tcBorders>
            <w:vAlign w:val="center"/>
          </w:tcPr>
          <w:p w14:paraId="3B6F37D9" w14:textId="77777777" w:rsidR="00D069D8" w:rsidRPr="00FA63C0" w:rsidRDefault="00D069D8">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4" w:space="0" w:color="00B0F0"/>
            </w:tcBorders>
            <w:vAlign w:val="center"/>
          </w:tcPr>
          <w:p w14:paraId="34BE5673" w14:textId="77777777" w:rsidR="00D069D8" w:rsidRPr="00FA63C0" w:rsidRDefault="00D069D8">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4" w:space="0" w:color="00B0F0"/>
            </w:tcBorders>
            <w:noWrap/>
            <w:vAlign w:val="center"/>
            <w:hideMark/>
          </w:tcPr>
          <w:p w14:paraId="050752B9" w14:textId="77777777" w:rsidR="00D069D8" w:rsidRPr="00FA63C0" w:rsidRDefault="00D069D8">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134" w:type="dxa"/>
            <w:tcBorders>
              <w:bottom w:val="single" w:sz="4" w:space="0" w:color="00B0F0"/>
            </w:tcBorders>
            <w:noWrap/>
            <w:vAlign w:val="center"/>
            <w:hideMark/>
          </w:tcPr>
          <w:p w14:paraId="04FD27A0" w14:textId="77777777" w:rsidR="00D069D8" w:rsidRPr="00EC6BC1" w:rsidRDefault="00D069D8">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276" w:type="dxa"/>
            <w:tcBorders>
              <w:bottom w:val="single" w:sz="4" w:space="0" w:color="00B0F0"/>
            </w:tcBorders>
            <w:noWrap/>
            <w:vAlign w:val="center"/>
            <w:hideMark/>
          </w:tcPr>
          <w:p w14:paraId="7EE5E33D" w14:textId="77777777" w:rsidR="00D069D8" w:rsidRPr="00FA63C0" w:rsidRDefault="00D069D8">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D069D8" w:rsidRPr="00397C78" w14:paraId="246B5090" w14:textId="77777777" w:rsidTr="002744EC">
        <w:trPr>
          <w:gridAfter w:val="1"/>
          <w:wAfter w:w="16" w:type="dxa"/>
          <w:trHeight w:val="283"/>
        </w:trPr>
        <w:tc>
          <w:tcPr>
            <w:tcW w:w="1985" w:type="dxa"/>
            <w:tcBorders>
              <w:top w:val="single" w:sz="4" w:space="0" w:color="00B0F0"/>
            </w:tcBorders>
            <w:noWrap/>
            <w:hideMark/>
          </w:tcPr>
          <w:p w14:paraId="712A0C42"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418" w:type="dxa"/>
            <w:tcBorders>
              <w:top w:val="single" w:sz="4" w:space="0" w:color="00B0F0"/>
            </w:tcBorders>
          </w:tcPr>
          <w:p w14:paraId="75254366" w14:textId="4CAC3373"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Borders>
              <w:top w:val="single" w:sz="4" w:space="0" w:color="00B0F0"/>
            </w:tcBorders>
          </w:tcPr>
          <w:p w14:paraId="319790F9" w14:textId="7C2391C8"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Borders>
              <w:top w:val="single" w:sz="4" w:space="0" w:color="00B0F0"/>
            </w:tcBorders>
          </w:tcPr>
          <w:p w14:paraId="1EA1701C" w14:textId="1479EBA9" w:rsidR="00D069D8" w:rsidRPr="00FA63C0" w:rsidRDefault="002410A3" w:rsidP="00D069D8">
            <w:pPr>
              <w:spacing w:after="0"/>
              <w:jc w:val="right"/>
              <w:rPr>
                <w:noProof/>
                <w:sz w:val="20"/>
                <w:szCs w:val="20"/>
                <w:lang w:val="en-IE" w:eastAsia="en-IE"/>
              </w:rPr>
            </w:pPr>
            <w:r w:rsidRPr="000934E1">
              <w:rPr>
                <w:noProof/>
                <w:sz w:val="20"/>
                <w:szCs w:val="20"/>
                <w:lang w:val="en-IE" w:eastAsia="en-IE"/>
              </w:rPr>
              <w:t xml:space="preserve"> 252 806 </w:t>
            </w:r>
          </w:p>
        </w:tc>
        <w:tc>
          <w:tcPr>
            <w:tcW w:w="1134" w:type="dxa"/>
            <w:tcBorders>
              <w:top w:val="single" w:sz="4" w:space="0" w:color="00B0F0"/>
            </w:tcBorders>
            <w:noWrap/>
          </w:tcPr>
          <w:p w14:paraId="325698DF" w14:textId="5FF17E4F" w:rsidR="00D069D8" w:rsidRPr="00D069D8" w:rsidRDefault="00D069D8" w:rsidP="00D069D8">
            <w:pPr>
              <w:spacing w:after="0"/>
              <w:jc w:val="right"/>
              <w:rPr>
                <w:noProof/>
                <w:sz w:val="20"/>
                <w:szCs w:val="20"/>
                <w:lang w:val="en-IE" w:eastAsia="en-IE"/>
              </w:rPr>
            </w:pPr>
            <w:r w:rsidRPr="000934E1">
              <w:rPr>
                <w:noProof/>
                <w:sz w:val="20"/>
                <w:szCs w:val="20"/>
              </w:rPr>
              <w:t xml:space="preserve">252 806 </w:t>
            </w:r>
          </w:p>
        </w:tc>
        <w:tc>
          <w:tcPr>
            <w:tcW w:w="1134" w:type="dxa"/>
            <w:tcBorders>
              <w:top w:val="single" w:sz="4" w:space="0" w:color="00B0F0"/>
            </w:tcBorders>
            <w:noWrap/>
          </w:tcPr>
          <w:p w14:paraId="3F336D6A" w14:textId="5012E825" w:rsidR="00D069D8" w:rsidRPr="00D069D8" w:rsidRDefault="00D069D8" w:rsidP="00D069D8">
            <w:pPr>
              <w:spacing w:after="0"/>
              <w:jc w:val="right"/>
              <w:rPr>
                <w:noProof/>
                <w:sz w:val="20"/>
                <w:szCs w:val="20"/>
                <w:lang w:val="en-IE" w:eastAsia="en-IE"/>
              </w:rPr>
            </w:pPr>
            <w:r w:rsidRPr="000934E1">
              <w:rPr>
                <w:noProof/>
                <w:sz w:val="20"/>
                <w:szCs w:val="20"/>
              </w:rPr>
              <w:t xml:space="preserve"> 252 806 </w:t>
            </w:r>
          </w:p>
        </w:tc>
        <w:tc>
          <w:tcPr>
            <w:tcW w:w="1276" w:type="dxa"/>
            <w:tcBorders>
              <w:top w:val="single" w:sz="4" w:space="0" w:color="00B0F0"/>
            </w:tcBorders>
            <w:noWrap/>
          </w:tcPr>
          <w:p w14:paraId="32F96382" w14:textId="373883D1" w:rsidR="00D069D8" w:rsidRPr="00D069D8" w:rsidRDefault="00D069D8" w:rsidP="00D069D8">
            <w:pPr>
              <w:spacing w:after="0"/>
              <w:jc w:val="right"/>
              <w:rPr>
                <w:noProof/>
                <w:sz w:val="20"/>
                <w:szCs w:val="20"/>
                <w:lang w:val="en-IE" w:eastAsia="en-IE"/>
              </w:rPr>
            </w:pPr>
            <w:r w:rsidRPr="000934E1">
              <w:rPr>
                <w:noProof/>
                <w:sz w:val="20"/>
                <w:szCs w:val="20"/>
              </w:rPr>
              <w:t xml:space="preserve"> 252 806 </w:t>
            </w:r>
          </w:p>
        </w:tc>
      </w:tr>
      <w:tr w:rsidR="00D069D8" w:rsidRPr="00061A60" w14:paraId="1462CEFD" w14:textId="77777777" w:rsidTr="002744EC">
        <w:trPr>
          <w:gridAfter w:val="1"/>
          <w:wAfter w:w="16" w:type="dxa"/>
          <w:trHeight w:val="283"/>
        </w:trPr>
        <w:tc>
          <w:tcPr>
            <w:tcW w:w="1985" w:type="dxa"/>
            <w:noWrap/>
            <w:hideMark/>
          </w:tcPr>
          <w:p w14:paraId="43FE7217"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418" w:type="dxa"/>
          </w:tcPr>
          <w:p w14:paraId="136BA4AA" w14:textId="4DBD8E90"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Pr>
          <w:p w14:paraId="2398CC1A" w14:textId="404C606F"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37DAB9B8" w14:textId="56323B39" w:rsidR="00D069D8" w:rsidRPr="00FA63C0" w:rsidRDefault="002410A3" w:rsidP="00D069D8">
            <w:pPr>
              <w:spacing w:after="0"/>
              <w:jc w:val="right"/>
              <w:rPr>
                <w:noProof/>
                <w:sz w:val="20"/>
                <w:szCs w:val="20"/>
                <w:lang w:val="en-IE" w:eastAsia="en-IE"/>
              </w:rPr>
            </w:pPr>
            <w:r w:rsidRPr="00FA63C0">
              <w:rPr>
                <w:noProof/>
                <w:sz w:val="20"/>
                <w:szCs w:val="20"/>
              </w:rPr>
              <w:t xml:space="preserve"> </w:t>
            </w:r>
            <w:r w:rsidR="0044315A" w:rsidRPr="00FA63C0">
              <w:rPr>
                <w:noProof/>
                <w:sz w:val="20"/>
                <w:szCs w:val="20"/>
              </w:rPr>
              <w:t>-</w:t>
            </w:r>
            <w:r w:rsidRPr="00FA63C0">
              <w:rPr>
                <w:noProof/>
                <w:sz w:val="20"/>
                <w:szCs w:val="20"/>
              </w:rPr>
              <w:t xml:space="preserve">   </w:t>
            </w:r>
          </w:p>
        </w:tc>
        <w:tc>
          <w:tcPr>
            <w:tcW w:w="1134" w:type="dxa"/>
            <w:noWrap/>
          </w:tcPr>
          <w:p w14:paraId="5D138B21" w14:textId="70E27EB6" w:rsidR="00D069D8" w:rsidRPr="00DD2E98" w:rsidRDefault="00D069D8" w:rsidP="00D069D8">
            <w:pPr>
              <w:spacing w:after="0"/>
              <w:jc w:val="right"/>
              <w:rPr>
                <w:noProof/>
                <w:sz w:val="20"/>
                <w:szCs w:val="20"/>
                <w:lang w:val="en-IE" w:eastAsia="en-IE"/>
              </w:rPr>
            </w:pPr>
            <w:r w:rsidRPr="00FA63C0">
              <w:rPr>
                <w:noProof/>
                <w:sz w:val="20"/>
                <w:szCs w:val="20"/>
              </w:rPr>
              <w:t xml:space="preserve"> -   </w:t>
            </w:r>
          </w:p>
        </w:tc>
        <w:tc>
          <w:tcPr>
            <w:tcW w:w="1134" w:type="dxa"/>
            <w:noWrap/>
          </w:tcPr>
          <w:p w14:paraId="51CD4F2C" w14:textId="0407B597" w:rsidR="00D069D8" w:rsidRPr="00DD2E98" w:rsidRDefault="00D069D8" w:rsidP="00D069D8">
            <w:pPr>
              <w:spacing w:after="0"/>
              <w:jc w:val="right"/>
              <w:rPr>
                <w:noProof/>
                <w:sz w:val="20"/>
                <w:szCs w:val="20"/>
                <w:lang w:val="en-IE" w:eastAsia="en-IE"/>
              </w:rPr>
            </w:pPr>
            <w:r w:rsidRPr="00FA63C0">
              <w:rPr>
                <w:noProof/>
                <w:sz w:val="20"/>
                <w:szCs w:val="20"/>
              </w:rPr>
              <w:t xml:space="preserve">-   </w:t>
            </w:r>
          </w:p>
        </w:tc>
        <w:tc>
          <w:tcPr>
            <w:tcW w:w="1276" w:type="dxa"/>
            <w:noWrap/>
          </w:tcPr>
          <w:p w14:paraId="4C633130" w14:textId="6AC46872" w:rsidR="00D069D8" w:rsidRPr="00DD2E98" w:rsidRDefault="00D069D8" w:rsidP="00D069D8">
            <w:pPr>
              <w:spacing w:after="0"/>
              <w:jc w:val="right"/>
              <w:rPr>
                <w:noProof/>
                <w:sz w:val="20"/>
                <w:szCs w:val="20"/>
                <w:lang w:val="en-IE" w:eastAsia="en-IE"/>
              </w:rPr>
            </w:pPr>
            <w:r w:rsidRPr="00FA63C0">
              <w:rPr>
                <w:noProof/>
                <w:sz w:val="20"/>
                <w:szCs w:val="20"/>
              </w:rPr>
              <w:t xml:space="preserve"> -   </w:t>
            </w:r>
          </w:p>
        </w:tc>
      </w:tr>
      <w:tr w:rsidR="00D069D8" w:rsidRPr="00397C78" w14:paraId="26ACB25A" w14:textId="77777777" w:rsidTr="002744EC">
        <w:trPr>
          <w:gridAfter w:val="1"/>
          <w:wAfter w:w="16" w:type="dxa"/>
          <w:trHeight w:val="283"/>
        </w:trPr>
        <w:tc>
          <w:tcPr>
            <w:tcW w:w="1985" w:type="dxa"/>
            <w:noWrap/>
            <w:hideMark/>
          </w:tcPr>
          <w:p w14:paraId="2DAB7D81"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one-off adjustment</w:t>
            </w:r>
          </w:p>
        </w:tc>
        <w:tc>
          <w:tcPr>
            <w:tcW w:w="1418" w:type="dxa"/>
          </w:tcPr>
          <w:p w14:paraId="26FA7D2E" w14:textId="7C12FFE1"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Pr>
          <w:p w14:paraId="72A113D7" w14:textId="4D1C4A7B"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28831FE9" w14:textId="0E32C250" w:rsidR="00D069D8" w:rsidRPr="00FA63C0" w:rsidRDefault="002410A3" w:rsidP="00D069D8">
            <w:pPr>
              <w:spacing w:after="0"/>
              <w:jc w:val="right"/>
              <w:rPr>
                <w:noProof/>
                <w:sz w:val="20"/>
                <w:szCs w:val="20"/>
                <w:lang w:val="en-IE" w:eastAsia="en-IE"/>
              </w:rPr>
            </w:pPr>
            <w:r w:rsidRPr="000934E1">
              <w:rPr>
                <w:noProof/>
                <w:sz w:val="20"/>
                <w:szCs w:val="20"/>
                <w:lang w:val="en-IE" w:eastAsia="en-IE"/>
              </w:rPr>
              <w:t xml:space="preserve">  834 269 </w:t>
            </w:r>
          </w:p>
        </w:tc>
        <w:tc>
          <w:tcPr>
            <w:tcW w:w="1134" w:type="dxa"/>
            <w:noWrap/>
          </w:tcPr>
          <w:p w14:paraId="496BEA69" w14:textId="1107F4AF" w:rsidR="00D069D8" w:rsidRPr="00D069D8" w:rsidRDefault="00D069D8" w:rsidP="00D069D8">
            <w:pPr>
              <w:spacing w:after="0"/>
              <w:jc w:val="right"/>
              <w:rPr>
                <w:noProof/>
                <w:sz w:val="20"/>
                <w:szCs w:val="20"/>
                <w:lang w:val="en-IE" w:eastAsia="en-IE"/>
              </w:rPr>
            </w:pPr>
            <w:r w:rsidRPr="000934E1">
              <w:rPr>
                <w:noProof/>
                <w:sz w:val="20"/>
                <w:szCs w:val="20"/>
              </w:rPr>
              <w:t xml:space="preserve"> 834 269 </w:t>
            </w:r>
          </w:p>
        </w:tc>
        <w:tc>
          <w:tcPr>
            <w:tcW w:w="1134" w:type="dxa"/>
            <w:noWrap/>
          </w:tcPr>
          <w:p w14:paraId="4C0CA3E6" w14:textId="03988EE9" w:rsidR="00D069D8" w:rsidRPr="00D069D8" w:rsidRDefault="00D069D8" w:rsidP="00D069D8">
            <w:pPr>
              <w:spacing w:after="0"/>
              <w:jc w:val="right"/>
              <w:rPr>
                <w:noProof/>
                <w:sz w:val="20"/>
                <w:szCs w:val="20"/>
                <w:lang w:val="en-IE" w:eastAsia="en-IE"/>
              </w:rPr>
            </w:pPr>
            <w:r w:rsidRPr="000934E1">
              <w:rPr>
                <w:noProof/>
                <w:sz w:val="20"/>
                <w:szCs w:val="20"/>
              </w:rPr>
              <w:t xml:space="preserve"> 834 269 </w:t>
            </w:r>
          </w:p>
        </w:tc>
        <w:tc>
          <w:tcPr>
            <w:tcW w:w="1276" w:type="dxa"/>
            <w:noWrap/>
          </w:tcPr>
          <w:p w14:paraId="1BF87BA9" w14:textId="58DB709C" w:rsidR="00D069D8" w:rsidRPr="00D069D8" w:rsidRDefault="00D069D8" w:rsidP="00D069D8">
            <w:pPr>
              <w:spacing w:after="0"/>
              <w:jc w:val="right"/>
              <w:rPr>
                <w:noProof/>
                <w:sz w:val="20"/>
                <w:szCs w:val="20"/>
                <w:lang w:val="en-IE" w:eastAsia="en-IE"/>
              </w:rPr>
            </w:pPr>
            <w:r w:rsidRPr="000934E1">
              <w:rPr>
                <w:noProof/>
                <w:sz w:val="20"/>
                <w:szCs w:val="20"/>
              </w:rPr>
              <w:t xml:space="preserve"> 834 269 </w:t>
            </w:r>
          </w:p>
        </w:tc>
      </w:tr>
      <w:tr w:rsidR="00D069D8" w:rsidRPr="00397C78" w14:paraId="311D2B4B" w14:textId="77777777" w:rsidTr="002744EC">
        <w:trPr>
          <w:gridAfter w:val="1"/>
          <w:wAfter w:w="16" w:type="dxa"/>
          <w:trHeight w:val="283"/>
        </w:trPr>
        <w:tc>
          <w:tcPr>
            <w:tcW w:w="1985" w:type="dxa"/>
            <w:noWrap/>
            <w:hideMark/>
          </w:tcPr>
          <w:p w14:paraId="4A42E3C3"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recurrent adjustment</w:t>
            </w:r>
          </w:p>
        </w:tc>
        <w:tc>
          <w:tcPr>
            <w:tcW w:w="1418" w:type="dxa"/>
          </w:tcPr>
          <w:p w14:paraId="03288B1B" w14:textId="7FEF4535"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Pr>
          <w:p w14:paraId="456D476D" w14:textId="51622773"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0C59F86B" w14:textId="74B8BE88" w:rsidR="00D069D8" w:rsidRPr="00FA63C0" w:rsidRDefault="002410A3" w:rsidP="00D069D8">
            <w:pPr>
              <w:spacing w:after="0"/>
              <w:jc w:val="right"/>
              <w:rPr>
                <w:noProof/>
                <w:sz w:val="20"/>
                <w:szCs w:val="20"/>
                <w:lang w:val="en-IE" w:eastAsia="en-IE"/>
              </w:rPr>
            </w:pPr>
            <w:r w:rsidRPr="00FA63C0">
              <w:rPr>
                <w:noProof/>
                <w:sz w:val="20"/>
                <w:szCs w:val="20"/>
              </w:rPr>
              <w:t xml:space="preserve"> </w:t>
            </w:r>
            <w:r w:rsidR="00F069E9" w:rsidRPr="00FA63C0">
              <w:rPr>
                <w:noProof/>
                <w:sz w:val="20"/>
                <w:szCs w:val="20"/>
              </w:rPr>
              <w:t>-</w:t>
            </w:r>
            <w:r w:rsidRPr="00FA63C0">
              <w:rPr>
                <w:noProof/>
                <w:sz w:val="20"/>
                <w:szCs w:val="20"/>
              </w:rPr>
              <w:t xml:space="preserve">   </w:t>
            </w:r>
          </w:p>
        </w:tc>
        <w:tc>
          <w:tcPr>
            <w:tcW w:w="1134" w:type="dxa"/>
            <w:noWrap/>
          </w:tcPr>
          <w:p w14:paraId="729BE6DA" w14:textId="568DA428" w:rsidR="00D069D8" w:rsidRPr="00DD2E98" w:rsidRDefault="00D069D8" w:rsidP="00D069D8">
            <w:pPr>
              <w:spacing w:after="0"/>
              <w:jc w:val="right"/>
              <w:rPr>
                <w:noProof/>
                <w:sz w:val="20"/>
                <w:szCs w:val="20"/>
                <w:lang w:val="en-IE" w:eastAsia="en-IE"/>
              </w:rPr>
            </w:pPr>
            <w:r w:rsidRPr="00FA63C0">
              <w:rPr>
                <w:noProof/>
                <w:sz w:val="20"/>
                <w:szCs w:val="20"/>
              </w:rPr>
              <w:t xml:space="preserve"> -   </w:t>
            </w:r>
          </w:p>
        </w:tc>
        <w:tc>
          <w:tcPr>
            <w:tcW w:w="1134" w:type="dxa"/>
            <w:noWrap/>
          </w:tcPr>
          <w:p w14:paraId="61F42C0F" w14:textId="209E48E4" w:rsidR="00D069D8" w:rsidRPr="00DD2E98" w:rsidRDefault="00D069D8" w:rsidP="00D069D8">
            <w:pPr>
              <w:spacing w:after="0"/>
              <w:jc w:val="right"/>
              <w:rPr>
                <w:noProof/>
                <w:sz w:val="20"/>
                <w:szCs w:val="20"/>
                <w:lang w:val="en-IE" w:eastAsia="en-IE"/>
              </w:rPr>
            </w:pPr>
            <w:r w:rsidRPr="00FA63C0">
              <w:rPr>
                <w:noProof/>
                <w:sz w:val="20"/>
                <w:szCs w:val="20"/>
              </w:rPr>
              <w:t xml:space="preserve">-   </w:t>
            </w:r>
          </w:p>
        </w:tc>
        <w:tc>
          <w:tcPr>
            <w:tcW w:w="1276" w:type="dxa"/>
            <w:noWrap/>
          </w:tcPr>
          <w:p w14:paraId="6F4B26D2" w14:textId="658F4F1F" w:rsidR="00D069D8" w:rsidRPr="00DD2E98" w:rsidRDefault="00D069D8" w:rsidP="00D069D8">
            <w:pPr>
              <w:spacing w:after="0"/>
              <w:jc w:val="right"/>
              <w:rPr>
                <w:noProof/>
                <w:sz w:val="20"/>
                <w:szCs w:val="20"/>
                <w:lang w:val="en-IE" w:eastAsia="en-IE"/>
              </w:rPr>
            </w:pPr>
            <w:r w:rsidRPr="00FA63C0">
              <w:rPr>
                <w:noProof/>
                <w:sz w:val="20"/>
                <w:szCs w:val="20"/>
              </w:rPr>
              <w:t xml:space="preserve"> -   </w:t>
            </w:r>
          </w:p>
        </w:tc>
      </w:tr>
      <w:tr w:rsidR="00D069D8" w:rsidRPr="000A7265" w14:paraId="2B48FAF2" w14:textId="77777777" w:rsidTr="002744EC">
        <w:trPr>
          <w:gridAfter w:val="1"/>
          <w:wAfter w:w="16" w:type="dxa"/>
          <w:trHeight w:val="283"/>
        </w:trPr>
        <w:tc>
          <w:tcPr>
            <w:tcW w:w="1985" w:type="dxa"/>
            <w:noWrap/>
            <w:hideMark/>
          </w:tcPr>
          <w:p w14:paraId="4712B064"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418" w:type="dxa"/>
          </w:tcPr>
          <w:p w14:paraId="3305C57E" w14:textId="193F06CE"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Pr>
          <w:p w14:paraId="7F765274" w14:textId="3D904DA8"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79462A9E" w14:textId="32ECE0CD" w:rsidR="00D069D8" w:rsidRPr="00FA63C0" w:rsidRDefault="002410A3" w:rsidP="00D069D8">
            <w:pPr>
              <w:spacing w:after="0"/>
              <w:jc w:val="right"/>
              <w:rPr>
                <w:noProof/>
                <w:sz w:val="20"/>
                <w:szCs w:val="20"/>
                <w:lang w:val="en-IE" w:eastAsia="en-IE"/>
              </w:rPr>
            </w:pPr>
            <w:r w:rsidRPr="00FA63C0">
              <w:rPr>
                <w:noProof/>
                <w:sz w:val="20"/>
                <w:szCs w:val="20"/>
              </w:rPr>
              <w:t xml:space="preserve"> </w:t>
            </w:r>
            <w:r w:rsidR="00F069E9" w:rsidRPr="00FA63C0">
              <w:rPr>
                <w:noProof/>
                <w:sz w:val="20"/>
                <w:szCs w:val="20"/>
              </w:rPr>
              <w:t>-</w:t>
            </w:r>
            <w:r w:rsidRPr="00FA63C0">
              <w:rPr>
                <w:noProof/>
                <w:sz w:val="20"/>
                <w:szCs w:val="20"/>
              </w:rPr>
              <w:t xml:space="preserve">   </w:t>
            </w:r>
          </w:p>
        </w:tc>
        <w:tc>
          <w:tcPr>
            <w:tcW w:w="1134" w:type="dxa"/>
            <w:noWrap/>
          </w:tcPr>
          <w:p w14:paraId="13DDE09E" w14:textId="567F633E" w:rsidR="00D069D8" w:rsidRPr="00464CEA" w:rsidRDefault="00D069D8" w:rsidP="00D069D8">
            <w:pPr>
              <w:spacing w:after="0"/>
              <w:jc w:val="right"/>
              <w:rPr>
                <w:noProof/>
                <w:sz w:val="20"/>
                <w:szCs w:val="20"/>
                <w:lang w:val="en-IE" w:eastAsia="en-IE"/>
              </w:rPr>
            </w:pPr>
            <w:r w:rsidRPr="00FA63C0">
              <w:rPr>
                <w:noProof/>
                <w:sz w:val="20"/>
                <w:szCs w:val="20"/>
              </w:rPr>
              <w:t xml:space="preserve"> -   </w:t>
            </w:r>
          </w:p>
        </w:tc>
        <w:tc>
          <w:tcPr>
            <w:tcW w:w="1134" w:type="dxa"/>
            <w:noWrap/>
          </w:tcPr>
          <w:p w14:paraId="41FED28F" w14:textId="0EEFCC95" w:rsidR="00D069D8" w:rsidRPr="00464CEA" w:rsidRDefault="00D069D8" w:rsidP="00D069D8">
            <w:pPr>
              <w:spacing w:after="0"/>
              <w:jc w:val="right"/>
              <w:rPr>
                <w:noProof/>
                <w:sz w:val="20"/>
                <w:szCs w:val="20"/>
                <w:lang w:val="en-IE" w:eastAsia="en-IE"/>
              </w:rPr>
            </w:pPr>
            <w:r w:rsidRPr="00FA63C0">
              <w:rPr>
                <w:noProof/>
                <w:sz w:val="20"/>
                <w:szCs w:val="20"/>
              </w:rPr>
              <w:t xml:space="preserve">-   </w:t>
            </w:r>
          </w:p>
        </w:tc>
        <w:tc>
          <w:tcPr>
            <w:tcW w:w="1276" w:type="dxa"/>
            <w:noWrap/>
          </w:tcPr>
          <w:p w14:paraId="67E08486" w14:textId="49A54DB1" w:rsidR="00D069D8" w:rsidRPr="00464CEA" w:rsidRDefault="00D069D8" w:rsidP="00D069D8">
            <w:pPr>
              <w:spacing w:after="0"/>
              <w:jc w:val="right"/>
              <w:rPr>
                <w:noProof/>
                <w:sz w:val="20"/>
                <w:szCs w:val="20"/>
                <w:lang w:val="en-IE" w:eastAsia="en-IE"/>
              </w:rPr>
            </w:pPr>
            <w:r w:rsidRPr="00FA63C0">
              <w:rPr>
                <w:noProof/>
                <w:sz w:val="20"/>
                <w:szCs w:val="20"/>
              </w:rPr>
              <w:t xml:space="preserve"> -   </w:t>
            </w:r>
          </w:p>
        </w:tc>
      </w:tr>
      <w:tr w:rsidR="00D069D8" w:rsidRPr="000A7265" w14:paraId="078B142A" w14:textId="77777777" w:rsidTr="002744EC">
        <w:trPr>
          <w:gridAfter w:val="1"/>
          <w:wAfter w:w="16" w:type="dxa"/>
          <w:trHeight w:val="283"/>
        </w:trPr>
        <w:tc>
          <w:tcPr>
            <w:tcW w:w="1985" w:type="dxa"/>
            <w:noWrap/>
            <w:hideMark/>
          </w:tcPr>
          <w:p w14:paraId="29CFEFD4"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418" w:type="dxa"/>
          </w:tcPr>
          <w:p w14:paraId="293070A8" w14:textId="3E09DB12" w:rsidR="00D069D8" w:rsidRPr="00FA63C0" w:rsidRDefault="00241485" w:rsidP="00D069D8">
            <w:pPr>
              <w:spacing w:after="0"/>
              <w:jc w:val="right"/>
              <w:rPr>
                <w:noProof/>
                <w:sz w:val="20"/>
                <w:szCs w:val="20"/>
                <w:lang w:val="en-IE" w:eastAsia="en-IE"/>
              </w:rPr>
            </w:pPr>
            <w:r>
              <w:rPr>
                <w:noProof/>
                <w:sz w:val="20"/>
                <w:szCs w:val="20"/>
                <w:lang w:val="en-IE" w:eastAsia="en-IE"/>
              </w:rPr>
              <w:t xml:space="preserve"> </w:t>
            </w:r>
            <w:r w:rsidRPr="00241485">
              <w:rPr>
                <w:noProof/>
                <w:sz w:val="20"/>
                <w:szCs w:val="20"/>
                <w:lang w:val="en-IE" w:eastAsia="en-IE"/>
              </w:rPr>
              <w:t>285</w:t>
            </w:r>
            <w:r>
              <w:rPr>
                <w:noProof/>
                <w:sz w:val="20"/>
                <w:szCs w:val="20"/>
                <w:lang w:val="en-IE" w:eastAsia="en-IE"/>
              </w:rPr>
              <w:t xml:space="preserve"> </w:t>
            </w:r>
            <w:r w:rsidRPr="00241485">
              <w:rPr>
                <w:noProof/>
                <w:sz w:val="20"/>
                <w:szCs w:val="20"/>
                <w:lang w:val="en-IE" w:eastAsia="en-IE"/>
              </w:rPr>
              <w:t>906</w:t>
            </w:r>
          </w:p>
        </w:tc>
        <w:tc>
          <w:tcPr>
            <w:tcW w:w="992" w:type="dxa"/>
          </w:tcPr>
          <w:p w14:paraId="425EB24D" w14:textId="63FFE891"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45EB0293" w14:textId="6D1D4DF1" w:rsidR="00D069D8" w:rsidRPr="00FA63C0" w:rsidRDefault="002410A3" w:rsidP="00D069D8">
            <w:pPr>
              <w:spacing w:after="0"/>
              <w:jc w:val="right"/>
              <w:rPr>
                <w:noProof/>
                <w:sz w:val="20"/>
                <w:szCs w:val="20"/>
                <w:lang w:val="en-IE" w:eastAsia="en-IE"/>
              </w:rPr>
            </w:pPr>
            <w:r w:rsidRPr="00FA63C0">
              <w:rPr>
                <w:noProof/>
                <w:sz w:val="20"/>
                <w:szCs w:val="20"/>
              </w:rPr>
              <w:t xml:space="preserve"> </w:t>
            </w:r>
            <w:r w:rsidR="00F069E9" w:rsidRPr="00FA63C0">
              <w:rPr>
                <w:noProof/>
                <w:sz w:val="20"/>
                <w:szCs w:val="20"/>
              </w:rPr>
              <w:t>-</w:t>
            </w:r>
            <w:r w:rsidRPr="00FA63C0">
              <w:rPr>
                <w:noProof/>
                <w:sz w:val="20"/>
                <w:szCs w:val="20"/>
              </w:rPr>
              <w:t xml:space="preserve">   </w:t>
            </w:r>
          </w:p>
        </w:tc>
        <w:tc>
          <w:tcPr>
            <w:tcW w:w="1134" w:type="dxa"/>
            <w:noWrap/>
          </w:tcPr>
          <w:p w14:paraId="63CE89A2" w14:textId="1C435BD4" w:rsidR="00D069D8" w:rsidRPr="00D069D8" w:rsidRDefault="00D069D8" w:rsidP="00D069D8">
            <w:pPr>
              <w:spacing w:after="0"/>
              <w:jc w:val="right"/>
              <w:rPr>
                <w:noProof/>
                <w:sz w:val="20"/>
                <w:szCs w:val="20"/>
                <w:lang w:val="en-IE" w:eastAsia="en-IE"/>
              </w:rPr>
            </w:pPr>
            <w:r w:rsidRPr="000934E1">
              <w:rPr>
                <w:noProof/>
                <w:sz w:val="20"/>
                <w:szCs w:val="20"/>
              </w:rPr>
              <w:t xml:space="preserve"> 285 906 </w:t>
            </w:r>
          </w:p>
        </w:tc>
        <w:tc>
          <w:tcPr>
            <w:tcW w:w="1134" w:type="dxa"/>
            <w:noWrap/>
          </w:tcPr>
          <w:p w14:paraId="0582E997" w14:textId="2CEE3A93" w:rsidR="00D069D8" w:rsidRPr="00D069D8" w:rsidRDefault="00D069D8" w:rsidP="00D069D8">
            <w:pPr>
              <w:spacing w:after="0"/>
              <w:jc w:val="right"/>
              <w:rPr>
                <w:noProof/>
                <w:sz w:val="20"/>
                <w:szCs w:val="20"/>
                <w:lang w:val="en-IE" w:eastAsia="en-IE"/>
              </w:rPr>
            </w:pPr>
            <w:r w:rsidRPr="000934E1">
              <w:rPr>
                <w:noProof/>
                <w:sz w:val="20"/>
                <w:szCs w:val="20"/>
              </w:rPr>
              <w:t xml:space="preserve"> 47 651 </w:t>
            </w:r>
          </w:p>
        </w:tc>
        <w:tc>
          <w:tcPr>
            <w:tcW w:w="1276" w:type="dxa"/>
            <w:noWrap/>
          </w:tcPr>
          <w:p w14:paraId="0A480240" w14:textId="4DFE8C3C" w:rsidR="00D069D8" w:rsidRPr="00D069D8" w:rsidRDefault="00D069D8" w:rsidP="00D069D8">
            <w:pPr>
              <w:spacing w:after="0"/>
              <w:jc w:val="right"/>
              <w:rPr>
                <w:noProof/>
                <w:sz w:val="20"/>
                <w:szCs w:val="20"/>
                <w:lang w:val="en-IE" w:eastAsia="en-IE"/>
              </w:rPr>
            </w:pPr>
            <w:r w:rsidRPr="000934E1">
              <w:rPr>
                <w:noProof/>
                <w:sz w:val="20"/>
                <w:szCs w:val="20"/>
              </w:rPr>
              <w:t xml:space="preserve"> 714 765 </w:t>
            </w:r>
          </w:p>
        </w:tc>
      </w:tr>
      <w:tr w:rsidR="00D069D8" w:rsidRPr="000A7265" w14:paraId="748D448C" w14:textId="77777777" w:rsidTr="002744EC">
        <w:trPr>
          <w:gridAfter w:val="1"/>
          <w:wAfter w:w="16" w:type="dxa"/>
          <w:trHeight w:val="283"/>
        </w:trPr>
        <w:tc>
          <w:tcPr>
            <w:tcW w:w="1985" w:type="dxa"/>
            <w:noWrap/>
            <w:hideMark/>
          </w:tcPr>
          <w:p w14:paraId="7D914A99" w14:textId="77777777" w:rsidR="00D069D8" w:rsidRPr="00FA63C0" w:rsidRDefault="00D069D8">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418" w:type="dxa"/>
          </w:tcPr>
          <w:p w14:paraId="49E7CA64" w14:textId="23D708B9" w:rsidR="00D069D8" w:rsidRPr="00FA63C0" w:rsidRDefault="0044315A">
            <w:pPr>
              <w:spacing w:after="0"/>
              <w:jc w:val="right"/>
              <w:rPr>
                <w:noProof/>
                <w:sz w:val="20"/>
                <w:szCs w:val="20"/>
                <w:lang w:val="en-IE" w:eastAsia="en-IE"/>
              </w:rPr>
            </w:pPr>
            <w:r w:rsidRPr="00FA63C0">
              <w:rPr>
                <w:noProof/>
                <w:sz w:val="20"/>
                <w:szCs w:val="20"/>
              </w:rPr>
              <w:t xml:space="preserve"> -   </w:t>
            </w:r>
          </w:p>
        </w:tc>
        <w:tc>
          <w:tcPr>
            <w:tcW w:w="992" w:type="dxa"/>
          </w:tcPr>
          <w:p w14:paraId="5C4C2D14" w14:textId="6B89E7E7" w:rsidR="00D069D8" w:rsidRPr="00FA63C0" w:rsidRDefault="0044315A">
            <w:pPr>
              <w:spacing w:after="0"/>
              <w:jc w:val="right"/>
              <w:rPr>
                <w:noProof/>
                <w:sz w:val="20"/>
                <w:szCs w:val="20"/>
                <w:lang w:val="en-IE" w:eastAsia="en-IE"/>
              </w:rPr>
            </w:pPr>
            <w:r w:rsidRPr="00FA63C0">
              <w:rPr>
                <w:noProof/>
                <w:sz w:val="20"/>
                <w:szCs w:val="20"/>
              </w:rPr>
              <w:t xml:space="preserve"> -   </w:t>
            </w:r>
          </w:p>
        </w:tc>
        <w:tc>
          <w:tcPr>
            <w:tcW w:w="1134" w:type="dxa"/>
          </w:tcPr>
          <w:p w14:paraId="716A2E6E" w14:textId="04E515FD" w:rsidR="00D069D8" w:rsidRPr="00FA63C0" w:rsidRDefault="002410A3">
            <w:pPr>
              <w:spacing w:after="0"/>
              <w:jc w:val="right"/>
              <w:rPr>
                <w:noProof/>
                <w:sz w:val="20"/>
                <w:szCs w:val="20"/>
                <w:lang w:val="en-IE" w:eastAsia="en-IE"/>
              </w:rPr>
            </w:pPr>
            <w:r w:rsidRPr="000934E1">
              <w:rPr>
                <w:noProof/>
                <w:sz w:val="20"/>
                <w:szCs w:val="20"/>
                <w:lang w:val="en-IE" w:eastAsia="en-IE"/>
              </w:rPr>
              <w:t xml:space="preserve"> </w:t>
            </w:r>
            <w:r w:rsidR="00F069E9" w:rsidRPr="000934E1">
              <w:rPr>
                <w:noProof/>
                <w:sz w:val="20"/>
                <w:szCs w:val="20"/>
                <w:lang w:val="en-IE" w:eastAsia="en-IE"/>
              </w:rPr>
              <w:t>-</w:t>
            </w:r>
            <w:r w:rsidRPr="000934E1">
              <w:rPr>
                <w:noProof/>
                <w:sz w:val="20"/>
                <w:szCs w:val="20"/>
                <w:lang w:val="en-IE" w:eastAsia="en-IE"/>
              </w:rPr>
              <w:t xml:space="preserve">   </w:t>
            </w:r>
          </w:p>
        </w:tc>
        <w:tc>
          <w:tcPr>
            <w:tcW w:w="1134" w:type="dxa"/>
            <w:noWrap/>
          </w:tcPr>
          <w:p w14:paraId="11842DD2" w14:textId="77777777" w:rsidR="00D069D8" w:rsidRPr="00464CEA" w:rsidRDefault="00D069D8">
            <w:pPr>
              <w:spacing w:after="0"/>
              <w:jc w:val="right"/>
              <w:rPr>
                <w:noProof/>
                <w:sz w:val="20"/>
                <w:szCs w:val="20"/>
                <w:lang w:val="en-IE" w:eastAsia="en-IE"/>
              </w:rPr>
            </w:pPr>
            <w:r w:rsidRPr="00FA63C0">
              <w:rPr>
                <w:noProof/>
                <w:sz w:val="20"/>
                <w:szCs w:val="20"/>
              </w:rPr>
              <w:t xml:space="preserve"> -   </w:t>
            </w:r>
          </w:p>
        </w:tc>
        <w:tc>
          <w:tcPr>
            <w:tcW w:w="1134" w:type="dxa"/>
            <w:noWrap/>
          </w:tcPr>
          <w:p w14:paraId="16DE8E82" w14:textId="77777777" w:rsidR="00D069D8" w:rsidRPr="00464CEA" w:rsidRDefault="00D069D8">
            <w:pPr>
              <w:spacing w:after="0"/>
              <w:jc w:val="right"/>
              <w:rPr>
                <w:noProof/>
                <w:sz w:val="20"/>
                <w:szCs w:val="20"/>
                <w:lang w:val="en-IE" w:eastAsia="en-IE"/>
              </w:rPr>
            </w:pPr>
            <w:r w:rsidRPr="00FA63C0">
              <w:rPr>
                <w:noProof/>
                <w:sz w:val="20"/>
                <w:szCs w:val="20"/>
              </w:rPr>
              <w:t xml:space="preserve">-   </w:t>
            </w:r>
          </w:p>
        </w:tc>
        <w:tc>
          <w:tcPr>
            <w:tcW w:w="1276" w:type="dxa"/>
            <w:noWrap/>
          </w:tcPr>
          <w:p w14:paraId="730DD40F" w14:textId="77777777" w:rsidR="00D069D8" w:rsidRPr="00464CEA" w:rsidRDefault="00D069D8">
            <w:pPr>
              <w:spacing w:after="0"/>
              <w:jc w:val="right"/>
              <w:rPr>
                <w:noProof/>
                <w:sz w:val="20"/>
                <w:szCs w:val="20"/>
                <w:lang w:val="en-IE" w:eastAsia="en-IE"/>
              </w:rPr>
            </w:pPr>
            <w:r w:rsidRPr="00FA63C0">
              <w:rPr>
                <w:noProof/>
                <w:sz w:val="20"/>
                <w:szCs w:val="20"/>
              </w:rPr>
              <w:t xml:space="preserve"> -   </w:t>
            </w:r>
          </w:p>
        </w:tc>
      </w:tr>
      <w:tr w:rsidR="00D069D8" w:rsidRPr="00A53ED9" w14:paraId="14856B1B" w14:textId="77777777" w:rsidTr="002744EC">
        <w:trPr>
          <w:gridAfter w:val="1"/>
          <w:wAfter w:w="16" w:type="dxa"/>
          <w:trHeight w:val="283"/>
        </w:trPr>
        <w:tc>
          <w:tcPr>
            <w:tcW w:w="1985" w:type="dxa"/>
            <w:noWrap/>
            <w:hideMark/>
          </w:tcPr>
          <w:p w14:paraId="6A8BADDC" w14:textId="77777777" w:rsidR="00D069D8" w:rsidRPr="00FA63C0" w:rsidRDefault="00D069D8" w:rsidP="00D069D8">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418" w:type="dxa"/>
          </w:tcPr>
          <w:p w14:paraId="0B99CCA2" w14:textId="0B766060"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992" w:type="dxa"/>
          </w:tcPr>
          <w:p w14:paraId="264C120F" w14:textId="249271F8" w:rsidR="00D069D8" w:rsidRPr="00FA63C0" w:rsidRDefault="0044315A" w:rsidP="00D069D8">
            <w:pPr>
              <w:spacing w:after="0"/>
              <w:jc w:val="right"/>
              <w:rPr>
                <w:noProof/>
                <w:sz w:val="20"/>
                <w:szCs w:val="20"/>
                <w:lang w:val="en-IE" w:eastAsia="en-IE"/>
              </w:rPr>
            </w:pPr>
            <w:r w:rsidRPr="00FA63C0">
              <w:rPr>
                <w:noProof/>
                <w:sz w:val="20"/>
                <w:szCs w:val="20"/>
              </w:rPr>
              <w:t xml:space="preserve"> -   </w:t>
            </w:r>
          </w:p>
        </w:tc>
        <w:tc>
          <w:tcPr>
            <w:tcW w:w="1134" w:type="dxa"/>
          </w:tcPr>
          <w:p w14:paraId="4F5D8D8F" w14:textId="5C89BEA8" w:rsidR="00D069D8" w:rsidRPr="00FA63C0" w:rsidRDefault="002410A3" w:rsidP="00D069D8">
            <w:pPr>
              <w:spacing w:after="0"/>
              <w:jc w:val="right"/>
              <w:rPr>
                <w:noProof/>
                <w:sz w:val="20"/>
                <w:szCs w:val="20"/>
                <w:lang w:val="en-IE" w:eastAsia="en-IE"/>
              </w:rPr>
            </w:pPr>
            <w:r w:rsidRPr="000934E1">
              <w:rPr>
                <w:noProof/>
                <w:sz w:val="20"/>
                <w:szCs w:val="20"/>
                <w:lang w:val="en-IE" w:eastAsia="en-IE"/>
              </w:rPr>
              <w:t xml:space="preserve">  2 301 224 </w:t>
            </w:r>
          </w:p>
        </w:tc>
        <w:tc>
          <w:tcPr>
            <w:tcW w:w="1134" w:type="dxa"/>
            <w:noWrap/>
          </w:tcPr>
          <w:p w14:paraId="530C850F" w14:textId="665A5311" w:rsidR="00D069D8" w:rsidRPr="00D069D8" w:rsidRDefault="00D069D8" w:rsidP="00D069D8">
            <w:pPr>
              <w:spacing w:after="0"/>
              <w:jc w:val="right"/>
              <w:rPr>
                <w:noProof/>
                <w:sz w:val="20"/>
                <w:szCs w:val="20"/>
                <w:lang w:val="en-IE" w:eastAsia="en-IE"/>
              </w:rPr>
            </w:pPr>
            <w:r w:rsidRPr="000934E1">
              <w:rPr>
                <w:noProof/>
                <w:sz w:val="20"/>
                <w:szCs w:val="20"/>
              </w:rPr>
              <w:t xml:space="preserve">2 301 224 </w:t>
            </w:r>
          </w:p>
        </w:tc>
        <w:tc>
          <w:tcPr>
            <w:tcW w:w="1134" w:type="dxa"/>
            <w:noWrap/>
          </w:tcPr>
          <w:p w14:paraId="22596FAF" w14:textId="09C12EF2" w:rsidR="00D069D8" w:rsidRPr="00D069D8" w:rsidRDefault="00D069D8" w:rsidP="00D069D8">
            <w:pPr>
              <w:spacing w:after="0"/>
              <w:jc w:val="right"/>
              <w:rPr>
                <w:noProof/>
                <w:sz w:val="20"/>
                <w:szCs w:val="20"/>
                <w:lang w:val="en-IE" w:eastAsia="en-IE"/>
              </w:rPr>
            </w:pPr>
            <w:r w:rsidRPr="000934E1">
              <w:rPr>
                <w:noProof/>
                <w:sz w:val="20"/>
                <w:szCs w:val="20"/>
              </w:rPr>
              <w:t xml:space="preserve"> 2 301 224 </w:t>
            </w:r>
          </w:p>
        </w:tc>
        <w:tc>
          <w:tcPr>
            <w:tcW w:w="1276" w:type="dxa"/>
            <w:noWrap/>
          </w:tcPr>
          <w:p w14:paraId="5C1E613E" w14:textId="5AAC7976" w:rsidR="00D069D8" w:rsidRPr="00D069D8" w:rsidRDefault="00D069D8" w:rsidP="00D069D8">
            <w:pPr>
              <w:spacing w:after="0"/>
              <w:jc w:val="right"/>
              <w:rPr>
                <w:noProof/>
                <w:sz w:val="20"/>
                <w:szCs w:val="20"/>
                <w:lang w:val="en-IE" w:eastAsia="en-IE"/>
              </w:rPr>
            </w:pPr>
            <w:r w:rsidRPr="000934E1">
              <w:rPr>
                <w:noProof/>
                <w:sz w:val="20"/>
                <w:szCs w:val="20"/>
              </w:rPr>
              <w:t xml:space="preserve"> 2 301 224 </w:t>
            </w:r>
          </w:p>
        </w:tc>
      </w:tr>
      <w:tr w:rsidR="00EF3A57" w:rsidRPr="00397C78" w14:paraId="5B9529A1" w14:textId="77777777" w:rsidTr="002744EC">
        <w:trPr>
          <w:gridAfter w:val="1"/>
          <w:wAfter w:w="16" w:type="dxa"/>
          <w:trHeight w:val="283"/>
        </w:trPr>
        <w:tc>
          <w:tcPr>
            <w:tcW w:w="1985" w:type="dxa"/>
            <w:shd w:val="clear" w:color="auto" w:fill="F2DBDB" w:themeFill="accent2" w:themeFillTint="33"/>
            <w:noWrap/>
            <w:hideMark/>
          </w:tcPr>
          <w:p w14:paraId="5D6AADA5" w14:textId="77777777" w:rsidR="00D069D8" w:rsidRPr="00FA63C0" w:rsidRDefault="00D069D8" w:rsidP="00D069D8">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418" w:type="dxa"/>
            <w:shd w:val="clear" w:color="auto" w:fill="F2DBDB" w:themeFill="accent2" w:themeFillTint="33"/>
          </w:tcPr>
          <w:p w14:paraId="60946DAE" w14:textId="088FAD36" w:rsidR="00D069D8" w:rsidRPr="00FA63C0" w:rsidRDefault="001A3598" w:rsidP="00D069D8">
            <w:pPr>
              <w:spacing w:after="0"/>
              <w:jc w:val="right"/>
              <w:rPr>
                <w:b/>
                <w:bCs/>
                <w:noProof/>
                <w:sz w:val="20"/>
                <w:szCs w:val="20"/>
                <w:lang w:val="en-IE" w:eastAsia="en-IE"/>
              </w:rPr>
            </w:pPr>
            <w:r w:rsidRPr="00241485">
              <w:rPr>
                <w:noProof/>
                <w:sz w:val="20"/>
                <w:szCs w:val="20"/>
                <w:lang w:val="en-IE" w:eastAsia="en-IE"/>
              </w:rPr>
              <w:t>285</w:t>
            </w:r>
            <w:r>
              <w:rPr>
                <w:noProof/>
                <w:sz w:val="20"/>
                <w:szCs w:val="20"/>
                <w:lang w:val="en-IE" w:eastAsia="en-IE"/>
              </w:rPr>
              <w:t xml:space="preserve"> </w:t>
            </w:r>
            <w:r w:rsidRPr="00241485">
              <w:rPr>
                <w:noProof/>
                <w:sz w:val="20"/>
                <w:szCs w:val="20"/>
                <w:lang w:val="en-IE" w:eastAsia="en-IE"/>
              </w:rPr>
              <w:t>906</w:t>
            </w:r>
          </w:p>
        </w:tc>
        <w:tc>
          <w:tcPr>
            <w:tcW w:w="992" w:type="dxa"/>
            <w:shd w:val="clear" w:color="auto" w:fill="F2DBDB" w:themeFill="accent2" w:themeFillTint="33"/>
          </w:tcPr>
          <w:p w14:paraId="394084C7" w14:textId="212B040C" w:rsidR="00D069D8" w:rsidRPr="00FA63C0" w:rsidRDefault="0044315A" w:rsidP="00D069D8">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F2DBDB" w:themeFill="accent2" w:themeFillTint="33"/>
          </w:tcPr>
          <w:p w14:paraId="7B329497" w14:textId="3C32C55D" w:rsidR="00D069D8" w:rsidRPr="000934E1" w:rsidRDefault="0044315A" w:rsidP="00D069D8">
            <w:pPr>
              <w:spacing w:after="0"/>
              <w:jc w:val="right"/>
              <w:rPr>
                <w:noProof/>
                <w:sz w:val="20"/>
                <w:szCs w:val="20"/>
                <w:lang w:val="en-IE" w:eastAsia="en-IE"/>
              </w:rPr>
            </w:pPr>
            <w:r>
              <w:rPr>
                <w:b/>
                <w:bCs/>
                <w:noProof/>
                <w:sz w:val="20"/>
                <w:szCs w:val="20"/>
                <w:lang w:val="en-IE" w:eastAsia="en-IE"/>
              </w:rPr>
              <w:t xml:space="preserve"> </w:t>
            </w:r>
            <w:r w:rsidRPr="000934E1">
              <w:rPr>
                <w:noProof/>
                <w:sz w:val="20"/>
                <w:szCs w:val="20"/>
                <w:lang w:val="en-IE" w:eastAsia="en-IE"/>
              </w:rPr>
              <w:t>3 388 299</w:t>
            </w:r>
          </w:p>
        </w:tc>
        <w:tc>
          <w:tcPr>
            <w:tcW w:w="1134" w:type="dxa"/>
            <w:shd w:val="clear" w:color="auto" w:fill="F2DBDB" w:themeFill="accent2" w:themeFillTint="33"/>
            <w:noWrap/>
          </w:tcPr>
          <w:p w14:paraId="5E7B5DF0" w14:textId="6B91C84C" w:rsidR="00D069D8" w:rsidRPr="00D069D8" w:rsidRDefault="00D069D8" w:rsidP="00D069D8">
            <w:pPr>
              <w:spacing w:after="0"/>
              <w:jc w:val="right"/>
              <w:rPr>
                <w:noProof/>
                <w:sz w:val="20"/>
                <w:szCs w:val="20"/>
              </w:rPr>
            </w:pPr>
            <w:r w:rsidRPr="000934E1">
              <w:rPr>
                <w:noProof/>
                <w:sz w:val="20"/>
                <w:szCs w:val="20"/>
              </w:rPr>
              <w:t xml:space="preserve">3 674 205 </w:t>
            </w:r>
          </w:p>
        </w:tc>
        <w:tc>
          <w:tcPr>
            <w:tcW w:w="1134" w:type="dxa"/>
            <w:shd w:val="clear" w:color="auto" w:fill="F2DBDB" w:themeFill="accent2" w:themeFillTint="33"/>
            <w:noWrap/>
          </w:tcPr>
          <w:p w14:paraId="3DCFAE68" w14:textId="6A1F05DA" w:rsidR="00D069D8" w:rsidRPr="00D069D8" w:rsidRDefault="00D069D8" w:rsidP="00D069D8">
            <w:pPr>
              <w:spacing w:after="0"/>
              <w:jc w:val="right"/>
              <w:rPr>
                <w:noProof/>
                <w:sz w:val="20"/>
                <w:szCs w:val="20"/>
              </w:rPr>
            </w:pPr>
            <w:r w:rsidRPr="000934E1">
              <w:rPr>
                <w:noProof/>
                <w:sz w:val="20"/>
                <w:szCs w:val="20"/>
              </w:rPr>
              <w:t xml:space="preserve"> 3 435 950 </w:t>
            </w:r>
          </w:p>
        </w:tc>
        <w:tc>
          <w:tcPr>
            <w:tcW w:w="1276" w:type="dxa"/>
            <w:shd w:val="clear" w:color="auto" w:fill="F2DBDB" w:themeFill="accent2" w:themeFillTint="33"/>
            <w:noWrap/>
          </w:tcPr>
          <w:p w14:paraId="6362AD09" w14:textId="45274AA0" w:rsidR="00D069D8" w:rsidRPr="00D069D8" w:rsidRDefault="00D069D8" w:rsidP="00D069D8">
            <w:pPr>
              <w:spacing w:after="0"/>
              <w:jc w:val="right"/>
              <w:rPr>
                <w:noProof/>
                <w:sz w:val="20"/>
                <w:szCs w:val="20"/>
              </w:rPr>
            </w:pPr>
            <w:r w:rsidRPr="000934E1">
              <w:rPr>
                <w:noProof/>
                <w:sz w:val="20"/>
                <w:szCs w:val="20"/>
              </w:rPr>
              <w:t xml:space="preserve"> 4 103 064 </w:t>
            </w:r>
          </w:p>
        </w:tc>
      </w:tr>
      <w:tr w:rsidR="00EF3A57" w:rsidRPr="007B1859" w14:paraId="6500FE94" w14:textId="77777777" w:rsidTr="002744EC">
        <w:trPr>
          <w:gridAfter w:val="1"/>
          <w:wAfter w:w="16" w:type="dxa"/>
          <w:trHeight w:val="283"/>
        </w:trPr>
        <w:tc>
          <w:tcPr>
            <w:tcW w:w="1985" w:type="dxa"/>
            <w:shd w:val="clear" w:color="auto" w:fill="EAF1DD" w:themeFill="accent3" w:themeFillTint="33"/>
            <w:noWrap/>
            <w:hideMark/>
          </w:tcPr>
          <w:p w14:paraId="046AECE5" w14:textId="77777777" w:rsidR="00D069D8" w:rsidRPr="00FA63C0" w:rsidRDefault="00D069D8" w:rsidP="00D069D8">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418" w:type="dxa"/>
            <w:shd w:val="clear" w:color="auto" w:fill="EAF1DD" w:themeFill="accent3" w:themeFillTint="33"/>
          </w:tcPr>
          <w:p w14:paraId="150EB3C8" w14:textId="7160D7EE" w:rsidR="00D069D8" w:rsidRPr="00FA63C0" w:rsidRDefault="001A3598" w:rsidP="00D069D8">
            <w:pPr>
              <w:spacing w:after="0"/>
              <w:jc w:val="right"/>
              <w:rPr>
                <w:b/>
                <w:bCs/>
                <w:noProof/>
                <w:sz w:val="20"/>
                <w:szCs w:val="20"/>
                <w:lang w:val="en-IE" w:eastAsia="en-IE"/>
              </w:rPr>
            </w:pPr>
            <w:r w:rsidRPr="000934E1">
              <w:rPr>
                <w:noProof/>
                <w:sz w:val="20"/>
                <w:szCs w:val="20"/>
                <w:lang w:val="en-IE" w:eastAsia="en-IE"/>
              </w:rPr>
              <w:t xml:space="preserve"> (78 001 031</w:t>
            </w:r>
            <w:r w:rsidRPr="001A3598">
              <w:rPr>
                <w:b/>
                <w:bCs/>
                <w:noProof/>
                <w:sz w:val="20"/>
                <w:szCs w:val="20"/>
                <w:lang w:val="en-IE" w:eastAsia="en-IE"/>
              </w:rPr>
              <w:t>)</w:t>
            </w:r>
          </w:p>
        </w:tc>
        <w:tc>
          <w:tcPr>
            <w:tcW w:w="992" w:type="dxa"/>
            <w:shd w:val="clear" w:color="auto" w:fill="EAF1DD" w:themeFill="accent3" w:themeFillTint="33"/>
          </w:tcPr>
          <w:p w14:paraId="7013C809" w14:textId="0A4708BE" w:rsidR="00D069D8" w:rsidRPr="00FA63C0" w:rsidRDefault="0044315A" w:rsidP="00D069D8">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EAF1DD" w:themeFill="accent3" w:themeFillTint="33"/>
          </w:tcPr>
          <w:p w14:paraId="41EDECF1" w14:textId="2360E421" w:rsidR="00D069D8" w:rsidRPr="00FA63C0" w:rsidRDefault="0044315A" w:rsidP="00D069D8">
            <w:pPr>
              <w:spacing w:after="0"/>
              <w:jc w:val="right"/>
              <w:rPr>
                <w:b/>
                <w:bCs/>
                <w:noProof/>
                <w:sz w:val="20"/>
                <w:szCs w:val="20"/>
                <w:lang w:val="en-IE" w:eastAsia="en-IE"/>
              </w:rPr>
            </w:pPr>
            <w:r w:rsidRPr="00FA63C0">
              <w:rPr>
                <w:noProof/>
                <w:sz w:val="20"/>
                <w:szCs w:val="20"/>
              </w:rPr>
              <w:t xml:space="preserve"> -   </w:t>
            </w:r>
          </w:p>
        </w:tc>
        <w:tc>
          <w:tcPr>
            <w:tcW w:w="1134" w:type="dxa"/>
            <w:shd w:val="clear" w:color="auto" w:fill="EAF1DD" w:themeFill="accent3" w:themeFillTint="33"/>
            <w:noWrap/>
          </w:tcPr>
          <w:p w14:paraId="5FA7B423" w14:textId="5B4E959C" w:rsidR="00D069D8" w:rsidRPr="00D069D8" w:rsidRDefault="00D069D8" w:rsidP="00D069D8">
            <w:pPr>
              <w:spacing w:after="0"/>
              <w:jc w:val="right"/>
              <w:rPr>
                <w:noProof/>
                <w:sz w:val="20"/>
                <w:szCs w:val="20"/>
                <w:lang w:val="en-IE" w:eastAsia="en-IE"/>
              </w:rPr>
            </w:pPr>
            <w:r w:rsidRPr="000934E1">
              <w:rPr>
                <w:noProof/>
                <w:sz w:val="20"/>
                <w:szCs w:val="20"/>
              </w:rPr>
              <w:t>(78 001 031)</w:t>
            </w:r>
          </w:p>
        </w:tc>
        <w:tc>
          <w:tcPr>
            <w:tcW w:w="1134" w:type="dxa"/>
            <w:shd w:val="clear" w:color="auto" w:fill="EAF1DD" w:themeFill="accent3" w:themeFillTint="33"/>
            <w:noWrap/>
          </w:tcPr>
          <w:p w14:paraId="3FB693B5" w14:textId="0FB6298F" w:rsidR="00D069D8" w:rsidRPr="00D069D8" w:rsidRDefault="00D069D8" w:rsidP="00D069D8">
            <w:pPr>
              <w:spacing w:after="0"/>
              <w:jc w:val="right"/>
              <w:rPr>
                <w:noProof/>
                <w:sz w:val="20"/>
                <w:szCs w:val="20"/>
                <w:lang w:val="en-IE" w:eastAsia="en-IE"/>
              </w:rPr>
            </w:pPr>
            <w:r w:rsidRPr="000934E1">
              <w:rPr>
                <w:noProof/>
                <w:sz w:val="20"/>
                <w:szCs w:val="20"/>
              </w:rPr>
              <w:t xml:space="preserve"> (18 812 153)</w:t>
            </w:r>
          </w:p>
        </w:tc>
        <w:tc>
          <w:tcPr>
            <w:tcW w:w="1276" w:type="dxa"/>
            <w:shd w:val="clear" w:color="auto" w:fill="EAF1DD" w:themeFill="accent3" w:themeFillTint="33"/>
            <w:noWrap/>
          </w:tcPr>
          <w:p w14:paraId="5A4D5D4B" w14:textId="1358C4D1" w:rsidR="00D069D8" w:rsidRPr="00D069D8" w:rsidRDefault="00D069D8" w:rsidP="00D069D8">
            <w:pPr>
              <w:spacing w:after="0"/>
              <w:jc w:val="right"/>
              <w:rPr>
                <w:noProof/>
                <w:sz w:val="20"/>
                <w:szCs w:val="20"/>
                <w:lang w:val="en-IE" w:eastAsia="en-IE"/>
              </w:rPr>
            </w:pPr>
            <w:r w:rsidRPr="000934E1">
              <w:rPr>
                <w:noProof/>
                <w:sz w:val="20"/>
                <w:szCs w:val="20"/>
              </w:rPr>
              <w:t xml:space="preserve"> (122 871 064)</w:t>
            </w:r>
          </w:p>
        </w:tc>
      </w:tr>
      <w:tr w:rsidR="00EF3A57" w:rsidRPr="007C40E5" w14:paraId="049A5164" w14:textId="77777777" w:rsidTr="000934E1">
        <w:trPr>
          <w:trHeight w:val="250"/>
        </w:trPr>
        <w:tc>
          <w:tcPr>
            <w:tcW w:w="1985" w:type="dxa"/>
            <w:shd w:val="clear" w:color="auto" w:fill="F2F2F2" w:themeFill="background1" w:themeFillShade="F2"/>
            <w:noWrap/>
            <w:hideMark/>
          </w:tcPr>
          <w:p w14:paraId="72336907" w14:textId="77777777" w:rsidR="007825B3" w:rsidRPr="00FA63C0" w:rsidRDefault="007825B3" w:rsidP="007825B3">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418" w:type="dxa"/>
            <w:shd w:val="clear" w:color="auto" w:fill="F2F2F2" w:themeFill="background1" w:themeFillShade="F2"/>
          </w:tcPr>
          <w:p w14:paraId="395115A6" w14:textId="580C2078" w:rsidR="007825B3" w:rsidRPr="00FA63C0" w:rsidRDefault="00AA1240" w:rsidP="007825B3">
            <w:pPr>
              <w:spacing w:after="0"/>
              <w:jc w:val="right"/>
              <w:rPr>
                <w:b/>
                <w:bCs/>
                <w:noProof/>
                <w:sz w:val="20"/>
                <w:szCs w:val="20"/>
                <w:lang w:val="en-IE" w:eastAsia="en-IE"/>
              </w:rPr>
            </w:pPr>
            <w:r w:rsidRPr="000934E1">
              <w:rPr>
                <w:b/>
                <w:noProof/>
                <w:sz w:val="20"/>
                <w:szCs w:val="20"/>
                <w:lang w:val="en-IE" w:eastAsia="en-IE"/>
              </w:rPr>
              <w:t>(77</w:t>
            </w:r>
            <w:r>
              <w:rPr>
                <w:b/>
                <w:bCs/>
                <w:noProof/>
                <w:sz w:val="20"/>
                <w:szCs w:val="20"/>
                <w:lang w:val="en-IE" w:eastAsia="en-IE"/>
              </w:rPr>
              <w:t xml:space="preserve"> </w:t>
            </w:r>
            <w:r w:rsidRPr="000934E1">
              <w:rPr>
                <w:b/>
                <w:noProof/>
                <w:sz w:val="20"/>
                <w:szCs w:val="20"/>
                <w:lang w:val="en-IE" w:eastAsia="en-IE"/>
              </w:rPr>
              <w:t>715</w:t>
            </w:r>
            <w:r>
              <w:rPr>
                <w:b/>
                <w:bCs/>
                <w:noProof/>
                <w:sz w:val="20"/>
                <w:szCs w:val="20"/>
                <w:lang w:val="en-IE" w:eastAsia="en-IE"/>
              </w:rPr>
              <w:t xml:space="preserve"> </w:t>
            </w:r>
            <w:r w:rsidRPr="000934E1">
              <w:rPr>
                <w:b/>
                <w:noProof/>
                <w:sz w:val="20"/>
                <w:szCs w:val="20"/>
                <w:lang w:val="en-IE" w:eastAsia="en-IE"/>
              </w:rPr>
              <w:t>125)</w:t>
            </w:r>
          </w:p>
        </w:tc>
        <w:tc>
          <w:tcPr>
            <w:tcW w:w="992" w:type="dxa"/>
            <w:shd w:val="clear" w:color="auto" w:fill="F2F2F2" w:themeFill="background1" w:themeFillShade="F2"/>
          </w:tcPr>
          <w:p w14:paraId="76B84E8E" w14:textId="45015455" w:rsidR="007825B3" w:rsidRPr="00FA63C0" w:rsidRDefault="00004D8A" w:rsidP="007825B3">
            <w:pPr>
              <w:spacing w:after="0"/>
              <w:jc w:val="right"/>
              <w:rPr>
                <w:b/>
                <w:bCs/>
                <w:noProof/>
                <w:sz w:val="20"/>
                <w:szCs w:val="20"/>
                <w:lang w:val="en-IE" w:eastAsia="en-IE"/>
              </w:rPr>
            </w:pPr>
            <w:r>
              <w:rPr>
                <w:b/>
                <w:bCs/>
                <w:noProof/>
                <w:sz w:val="20"/>
                <w:szCs w:val="20"/>
                <w:lang w:val="en-IE" w:eastAsia="en-IE"/>
              </w:rPr>
              <w:t>-</w:t>
            </w:r>
          </w:p>
        </w:tc>
        <w:tc>
          <w:tcPr>
            <w:tcW w:w="1134" w:type="dxa"/>
            <w:shd w:val="clear" w:color="auto" w:fill="F2F2F2" w:themeFill="background1" w:themeFillShade="F2"/>
          </w:tcPr>
          <w:p w14:paraId="17AA81D8" w14:textId="003AED85" w:rsidR="007825B3" w:rsidRPr="00FA63C0" w:rsidRDefault="0044315A" w:rsidP="007825B3">
            <w:pPr>
              <w:spacing w:after="0"/>
              <w:jc w:val="right"/>
              <w:rPr>
                <w:b/>
                <w:bCs/>
                <w:noProof/>
                <w:sz w:val="20"/>
                <w:szCs w:val="20"/>
                <w:lang w:val="en-IE" w:eastAsia="en-IE"/>
              </w:rPr>
            </w:pPr>
            <w:r>
              <w:rPr>
                <w:b/>
                <w:bCs/>
                <w:noProof/>
                <w:sz w:val="20"/>
                <w:szCs w:val="20"/>
                <w:lang w:val="en-IE" w:eastAsia="en-IE"/>
              </w:rPr>
              <w:t xml:space="preserve"> </w:t>
            </w:r>
            <w:r w:rsidRPr="0044315A">
              <w:rPr>
                <w:b/>
                <w:bCs/>
                <w:noProof/>
                <w:sz w:val="20"/>
                <w:szCs w:val="20"/>
                <w:lang w:val="en-IE" w:eastAsia="en-IE"/>
              </w:rPr>
              <w:t>3</w:t>
            </w:r>
            <w:r>
              <w:rPr>
                <w:b/>
                <w:bCs/>
                <w:noProof/>
                <w:sz w:val="20"/>
                <w:szCs w:val="20"/>
                <w:lang w:val="en-IE" w:eastAsia="en-IE"/>
              </w:rPr>
              <w:t xml:space="preserve"> </w:t>
            </w:r>
            <w:r w:rsidRPr="0044315A">
              <w:rPr>
                <w:b/>
                <w:bCs/>
                <w:noProof/>
                <w:sz w:val="20"/>
                <w:szCs w:val="20"/>
                <w:lang w:val="en-IE" w:eastAsia="en-IE"/>
              </w:rPr>
              <w:t>388</w:t>
            </w:r>
            <w:r>
              <w:rPr>
                <w:b/>
                <w:bCs/>
                <w:noProof/>
                <w:sz w:val="20"/>
                <w:szCs w:val="20"/>
                <w:lang w:val="en-IE" w:eastAsia="en-IE"/>
              </w:rPr>
              <w:t xml:space="preserve"> </w:t>
            </w:r>
            <w:r w:rsidRPr="0044315A">
              <w:rPr>
                <w:b/>
                <w:bCs/>
                <w:noProof/>
                <w:sz w:val="20"/>
                <w:szCs w:val="20"/>
                <w:lang w:val="en-IE" w:eastAsia="en-IE"/>
              </w:rPr>
              <w:t>299</w:t>
            </w:r>
          </w:p>
        </w:tc>
        <w:tc>
          <w:tcPr>
            <w:tcW w:w="1134" w:type="dxa"/>
            <w:shd w:val="clear" w:color="auto" w:fill="F2F2F2" w:themeFill="background1" w:themeFillShade="F2"/>
            <w:noWrap/>
          </w:tcPr>
          <w:p w14:paraId="0343F072" w14:textId="0F5FD4C7" w:rsidR="007825B3" w:rsidRPr="007825B3" w:rsidRDefault="007825B3" w:rsidP="007825B3">
            <w:pPr>
              <w:spacing w:after="0"/>
              <w:jc w:val="right"/>
              <w:rPr>
                <w:b/>
                <w:bCs/>
                <w:noProof/>
                <w:sz w:val="20"/>
                <w:szCs w:val="20"/>
                <w:lang w:val="en-IE" w:eastAsia="en-IE"/>
              </w:rPr>
            </w:pPr>
            <w:r w:rsidRPr="000934E1">
              <w:rPr>
                <w:b/>
                <w:noProof/>
                <w:sz w:val="20"/>
                <w:szCs w:val="20"/>
              </w:rPr>
              <w:t xml:space="preserve"> (74 326 825)</w:t>
            </w:r>
          </w:p>
        </w:tc>
        <w:tc>
          <w:tcPr>
            <w:tcW w:w="1134" w:type="dxa"/>
            <w:shd w:val="clear" w:color="auto" w:fill="F2F2F2" w:themeFill="background1" w:themeFillShade="F2"/>
            <w:noWrap/>
          </w:tcPr>
          <w:p w14:paraId="606C08FF" w14:textId="237A2568" w:rsidR="007825B3" w:rsidRPr="007825B3" w:rsidRDefault="007825B3" w:rsidP="007825B3">
            <w:pPr>
              <w:spacing w:after="0"/>
              <w:jc w:val="right"/>
              <w:rPr>
                <w:b/>
                <w:bCs/>
                <w:noProof/>
                <w:sz w:val="20"/>
                <w:szCs w:val="20"/>
                <w:lang w:val="en-IE" w:eastAsia="en-IE"/>
              </w:rPr>
            </w:pPr>
            <w:r w:rsidRPr="000934E1">
              <w:rPr>
                <w:b/>
                <w:noProof/>
                <w:sz w:val="20"/>
                <w:szCs w:val="20"/>
              </w:rPr>
              <w:t xml:space="preserve"> (</w:t>
            </w:r>
            <w:r w:rsidR="009C187E">
              <w:rPr>
                <w:b/>
                <w:noProof/>
                <w:sz w:val="20"/>
                <w:szCs w:val="20"/>
              </w:rPr>
              <w:t>15 376 203</w:t>
            </w:r>
            <w:r w:rsidRPr="000934E1">
              <w:rPr>
                <w:b/>
                <w:noProof/>
                <w:sz w:val="20"/>
                <w:szCs w:val="20"/>
              </w:rPr>
              <w:t>)</w:t>
            </w:r>
          </w:p>
        </w:tc>
        <w:tc>
          <w:tcPr>
            <w:tcW w:w="1292" w:type="dxa"/>
            <w:gridSpan w:val="2"/>
            <w:shd w:val="clear" w:color="auto" w:fill="F2F2F2" w:themeFill="background1" w:themeFillShade="F2"/>
            <w:noWrap/>
          </w:tcPr>
          <w:p w14:paraId="2BA218B3" w14:textId="1FF9C127" w:rsidR="007825B3" w:rsidRPr="007825B3" w:rsidRDefault="007825B3" w:rsidP="007825B3">
            <w:pPr>
              <w:spacing w:after="0"/>
              <w:jc w:val="right"/>
              <w:rPr>
                <w:b/>
                <w:bCs/>
                <w:noProof/>
                <w:sz w:val="20"/>
                <w:szCs w:val="20"/>
                <w:lang w:val="en-IE" w:eastAsia="en-IE"/>
              </w:rPr>
            </w:pPr>
            <w:r w:rsidRPr="000934E1">
              <w:rPr>
                <w:b/>
                <w:noProof/>
                <w:sz w:val="20"/>
                <w:szCs w:val="20"/>
              </w:rPr>
              <w:t xml:space="preserve"> (</w:t>
            </w:r>
            <w:r w:rsidR="009C187E">
              <w:rPr>
                <w:b/>
                <w:noProof/>
                <w:sz w:val="20"/>
                <w:szCs w:val="20"/>
              </w:rPr>
              <w:t>118 786 000</w:t>
            </w:r>
            <w:r w:rsidRPr="000934E1">
              <w:rPr>
                <w:b/>
                <w:noProof/>
                <w:sz w:val="20"/>
                <w:szCs w:val="20"/>
              </w:rPr>
              <w:t>)</w:t>
            </w:r>
          </w:p>
        </w:tc>
      </w:tr>
    </w:tbl>
    <w:p w14:paraId="01C813B6" w14:textId="77777777" w:rsidR="00037985" w:rsidRPr="007F6546" w:rsidRDefault="00037985" w:rsidP="00966DA4">
      <w:pPr>
        <w:spacing w:after="0"/>
        <w:rPr>
          <w:noProof/>
          <w:lang w:val="en-IE"/>
        </w:rPr>
      </w:pPr>
    </w:p>
    <w:p w14:paraId="789AEACF" w14:textId="21F03B15" w:rsidR="004A6FE3" w:rsidRPr="003F5894" w:rsidRDefault="00ED2163" w:rsidP="004A6FE3">
      <w:pPr>
        <w:pStyle w:val="Heading2"/>
        <w:numPr>
          <w:ilvl w:val="1"/>
          <w:numId w:val="10"/>
        </w:numPr>
        <w:tabs>
          <w:tab w:val="num" w:pos="283"/>
        </w:tabs>
        <w:spacing w:before="240"/>
        <w:ind w:left="1202"/>
        <w:rPr>
          <w:noProof/>
        </w:rPr>
      </w:pPr>
      <w:bookmarkStart w:id="242" w:name="_Toc228346929"/>
      <w:bookmarkStart w:id="243" w:name="_Toc208595317"/>
      <w:bookmarkStart w:id="244" w:name="_Toc208836942"/>
      <w:bookmarkStart w:id="245" w:name="_Toc214519724"/>
      <w:bookmarkStart w:id="246" w:name="_Toc216283375"/>
      <w:r>
        <w:rPr>
          <w:noProof/>
        </w:rPr>
        <w:t>PM19:</w:t>
      </w:r>
      <w:r w:rsidR="004A6FE3" w:rsidRPr="004A6FE3">
        <w:rPr>
          <w:noProof/>
        </w:rPr>
        <w:t xml:space="preserve"> </w:t>
      </w:r>
      <w:r w:rsidR="004A6FE3">
        <w:rPr>
          <w:noProof/>
        </w:rPr>
        <w:t xml:space="preserve">Mandatory </w:t>
      </w:r>
      <w:r w:rsidR="004A6FE3" w:rsidRPr="002F53DC">
        <w:rPr>
          <w:bCs/>
          <w:noProof/>
        </w:rPr>
        <w:t xml:space="preserve">specific award criteria for </w:t>
      </w:r>
      <w:r w:rsidR="004A6FE3">
        <w:rPr>
          <w:bCs/>
          <w:noProof/>
        </w:rPr>
        <w:t>the procurement of cloud and AI computing services</w:t>
      </w:r>
      <w:bookmarkEnd w:id="242"/>
    </w:p>
    <w:p w14:paraId="6A2EEE86" w14:textId="77777777" w:rsidR="004A6FE3" w:rsidRDefault="004A6FE3" w:rsidP="004A6FE3">
      <w:pPr>
        <w:rPr>
          <w:noProof/>
          <w:lang w:val="en-IE"/>
        </w:rPr>
      </w:pPr>
      <w:r>
        <w:rPr>
          <w:noProof/>
          <w:lang w:val="en-IE"/>
        </w:rPr>
        <w:t xml:space="preserve">This policy measure has different components. </w:t>
      </w:r>
      <w:r w:rsidRPr="00AA71FD">
        <w:rPr>
          <w:noProof/>
          <w:lang w:val="en-IE"/>
        </w:rPr>
        <w:t xml:space="preserve">First, with a view to reducing critical dependencies, this measure makes the use of the non-price award criteria under PM16 mandatory. </w:t>
      </w:r>
    </w:p>
    <w:p w14:paraId="2581771A" w14:textId="77777777" w:rsidR="004A6FE3" w:rsidRDefault="004A6FE3" w:rsidP="004A6FE3">
      <w:pPr>
        <w:rPr>
          <w:noProof/>
          <w:lang w:val="en-IE"/>
        </w:rPr>
      </w:pPr>
      <w:r w:rsidRPr="2E933127">
        <w:rPr>
          <w:noProof/>
          <w:lang w:val="en-IE"/>
        </w:rPr>
        <w:t>Public procurement represents a significant share of the EU GDP (14%) and constitutes one of the most powerful instruments available to public authorities to shape market dynamics. Traditionally, procurement decisions in the cloud sector have been governed predominantly by technical and financial criteria, such as different supported features, performance benchmarks, level agreements, and price. While these remain important, they do not present a complete picture of the sheer complexity of a cloud service.  The conditions under which a service is delivered, its supply chain, hardware and software, the innovation behind it and where it is conducted, and who ultimately controls the whole chain of entities, are equally relevant, particularly for the public sector.</w:t>
      </w:r>
    </w:p>
    <w:p w14:paraId="72C2F3EA" w14:textId="77777777" w:rsidR="004A6FE3" w:rsidRDefault="004A6FE3" w:rsidP="004A6FE3">
      <w:pPr>
        <w:rPr>
          <w:noProof/>
          <w:lang w:val="en-IE"/>
        </w:rPr>
      </w:pPr>
      <w:r w:rsidRPr="00FF291E">
        <w:rPr>
          <w:noProof/>
          <w:lang w:val="en-IE"/>
        </w:rPr>
        <w:t xml:space="preserve">The competitive effect of non-technical award criteria in cloud and AI computing services procurement operates primarily through </w:t>
      </w:r>
      <w:r>
        <w:rPr>
          <w:noProof/>
          <w:lang w:val="en-IE"/>
        </w:rPr>
        <w:t xml:space="preserve">the </w:t>
      </w:r>
      <w:r w:rsidRPr="00FF291E">
        <w:rPr>
          <w:noProof/>
          <w:lang w:val="en-IE"/>
        </w:rPr>
        <w:t>demand</w:t>
      </w:r>
      <w:r>
        <w:rPr>
          <w:noProof/>
          <w:lang w:val="en-IE"/>
        </w:rPr>
        <w:t xml:space="preserve"> </w:t>
      </w:r>
      <w:r w:rsidRPr="00FF291E">
        <w:rPr>
          <w:noProof/>
          <w:lang w:val="en-IE"/>
        </w:rPr>
        <w:t xml:space="preserve">side. When major public contracting authorities, notably national </w:t>
      </w:r>
      <w:r>
        <w:rPr>
          <w:noProof/>
          <w:lang w:val="en-IE"/>
        </w:rPr>
        <w:t>authorities</w:t>
      </w:r>
      <w:r w:rsidRPr="00FF291E">
        <w:rPr>
          <w:noProof/>
          <w:lang w:val="en-IE"/>
        </w:rPr>
        <w:t xml:space="preserve">, and large public bodies, award points for </w:t>
      </w:r>
      <w:r>
        <w:rPr>
          <w:noProof/>
          <w:lang w:val="en-IE"/>
        </w:rPr>
        <w:t>supply chain, innovation</w:t>
      </w:r>
      <w:r w:rsidRPr="00FF291E">
        <w:rPr>
          <w:noProof/>
          <w:lang w:val="en-IE"/>
        </w:rPr>
        <w:t xml:space="preserve">, security, interoperability, portability, and transparency, they send a </w:t>
      </w:r>
      <w:r>
        <w:rPr>
          <w:noProof/>
          <w:lang w:val="en-IE"/>
        </w:rPr>
        <w:t xml:space="preserve">clear </w:t>
      </w:r>
      <w:r w:rsidRPr="00FF291E">
        <w:rPr>
          <w:noProof/>
          <w:lang w:val="en-IE"/>
        </w:rPr>
        <w:t xml:space="preserve">market signal about the criteria that matter for public sector contracts. This </w:t>
      </w:r>
      <w:r>
        <w:rPr>
          <w:noProof/>
          <w:lang w:val="en-IE"/>
        </w:rPr>
        <w:t xml:space="preserve">helps to </w:t>
      </w:r>
      <w:r w:rsidRPr="00FF291E">
        <w:rPr>
          <w:noProof/>
          <w:lang w:val="en-IE"/>
        </w:rPr>
        <w:t>create strong incentives for providers to invest in the capabilities that score favourably, irrespective of any regulatory mandate.</w:t>
      </w:r>
    </w:p>
    <w:p w14:paraId="3C143F2F" w14:textId="77777777" w:rsidR="004A6FE3" w:rsidRPr="00F91EEA" w:rsidRDefault="004A6FE3" w:rsidP="004A6FE3">
      <w:pPr>
        <w:rPr>
          <w:noProof/>
          <w:lang w:val="en-IE"/>
        </w:rPr>
      </w:pPr>
      <w:r w:rsidRPr="00782909">
        <w:rPr>
          <w:noProof/>
          <w:lang w:val="en-IE"/>
        </w:rPr>
        <w:t xml:space="preserve">Non-technical award criteria in public procurement are not </w:t>
      </w:r>
      <w:r>
        <w:rPr>
          <w:noProof/>
          <w:lang w:val="en-IE"/>
        </w:rPr>
        <w:t>just a</w:t>
      </w:r>
      <w:r w:rsidRPr="00782909">
        <w:rPr>
          <w:noProof/>
          <w:lang w:val="en-IE"/>
        </w:rPr>
        <w:t xml:space="preserve"> technical adjustment to tendering practice</w:t>
      </w:r>
      <w:r>
        <w:rPr>
          <w:noProof/>
          <w:lang w:val="en-IE"/>
        </w:rPr>
        <w:t>s</w:t>
      </w:r>
      <w:r w:rsidRPr="00782909">
        <w:rPr>
          <w:noProof/>
          <w:lang w:val="en-IE"/>
        </w:rPr>
        <w:t xml:space="preserve">. Used strategically and at scale, they </w:t>
      </w:r>
      <w:r>
        <w:rPr>
          <w:noProof/>
          <w:lang w:val="en-IE"/>
        </w:rPr>
        <w:t>can be</w:t>
      </w:r>
      <w:r w:rsidRPr="00782909">
        <w:rPr>
          <w:noProof/>
          <w:lang w:val="en-IE"/>
        </w:rPr>
        <w:t xml:space="preserve"> a</w:t>
      </w:r>
      <w:r>
        <w:rPr>
          <w:noProof/>
          <w:lang w:val="en-IE"/>
        </w:rPr>
        <w:t>n</w:t>
      </w:r>
      <w:r w:rsidRPr="00782909">
        <w:rPr>
          <w:noProof/>
          <w:lang w:val="en-IE"/>
        </w:rPr>
        <w:t xml:space="preserve"> instrument of industrial and digital policy, capable of redirecting public purchasing power towards outcomes that the market, left to its own dynamics, would not spontaneously produce. In the cloud sector, where market concentration, </w:t>
      </w:r>
      <w:r>
        <w:rPr>
          <w:noProof/>
          <w:lang w:val="en-IE"/>
        </w:rPr>
        <w:t>exposure to third country laws</w:t>
      </w:r>
      <w:r w:rsidRPr="00782909">
        <w:rPr>
          <w:noProof/>
          <w:lang w:val="en-IE"/>
        </w:rPr>
        <w:t>, and strategic dependency are pressing concerns, the</w:t>
      </w:r>
      <w:r>
        <w:rPr>
          <w:noProof/>
          <w:lang w:val="en-IE"/>
        </w:rPr>
        <w:t xml:space="preserve"> proposed</w:t>
      </w:r>
      <w:r w:rsidRPr="00782909">
        <w:rPr>
          <w:noProof/>
          <w:lang w:val="en-IE"/>
        </w:rPr>
        <w:t xml:space="preserve"> criteria offer </w:t>
      </w:r>
      <w:r>
        <w:rPr>
          <w:noProof/>
          <w:lang w:val="en-IE"/>
        </w:rPr>
        <w:t>the mechanisms</w:t>
      </w:r>
      <w:r w:rsidRPr="00782909">
        <w:rPr>
          <w:noProof/>
          <w:lang w:val="en-IE"/>
        </w:rPr>
        <w:t xml:space="preserve"> to strengthen European competitiveness, build sovereign digital infrastructure, and ensure that the public sector leads</w:t>
      </w:r>
      <w:r>
        <w:rPr>
          <w:noProof/>
          <w:lang w:val="en-IE"/>
        </w:rPr>
        <w:t>,</w:t>
      </w:r>
      <w:r w:rsidRPr="00782909">
        <w:rPr>
          <w:noProof/>
          <w:lang w:val="en-IE"/>
        </w:rPr>
        <w:t xml:space="preserve"> rather than follows</w:t>
      </w:r>
      <w:r>
        <w:rPr>
          <w:noProof/>
          <w:lang w:val="en-IE"/>
        </w:rPr>
        <w:t>,</w:t>
      </w:r>
      <w:r w:rsidRPr="00782909">
        <w:rPr>
          <w:noProof/>
          <w:lang w:val="en-IE"/>
        </w:rPr>
        <w:t xml:space="preserve"> the transition to a more open, resilient, and European digital ecosystem.</w:t>
      </w:r>
    </w:p>
    <w:p w14:paraId="6FC8CC8E" w14:textId="77777777" w:rsidR="004A6FE3" w:rsidRDefault="004A6FE3" w:rsidP="004A6FE3">
      <w:pPr>
        <w:rPr>
          <w:noProof/>
          <w:lang w:val="en-IE"/>
        </w:rPr>
      </w:pPr>
      <w:r>
        <w:rPr>
          <w:noProof/>
          <w:lang w:val="en-IE"/>
        </w:rPr>
        <w:t>All the assumptions under PM16 remain valid, except in the adoption of the measure by contracting authorities that in this policy measure applies to all of them and to all tenders of cloud and AI computing services</w:t>
      </w:r>
      <w:r w:rsidDel="00680DCC">
        <w:rPr>
          <w:noProof/>
          <w:lang w:val="en-IE"/>
        </w:rPr>
        <w:t>.</w:t>
      </w:r>
    </w:p>
    <w:p w14:paraId="055C65AA" w14:textId="2B879743" w:rsidR="004A6FE3" w:rsidRDefault="004A6FE3" w:rsidP="004A6FE3">
      <w:pPr>
        <w:rPr>
          <w:noProof/>
          <w:lang w:val="en-IE"/>
        </w:rPr>
      </w:pPr>
      <w:r w:rsidRPr="00ED5F3D">
        <w:rPr>
          <w:b/>
          <w:i/>
          <w:noProof/>
          <w:lang w:val="en-IE"/>
        </w:rPr>
        <w:t>A</w:t>
      </w:r>
      <w:r w:rsidRPr="0086144B">
        <w:rPr>
          <w:b/>
          <w:i/>
          <w:noProof/>
          <w:lang w:val="en-IE"/>
        </w:rPr>
        <w:t>dministrative costs for national public authorities</w:t>
      </w:r>
      <w:r w:rsidRPr="0086144B">
        <w:rPr>
          <w:noProof/>
          <w:lang w:val="en-IE"/>
        </w:rPr>
        <w:t xml:space="preserve">. </w:t>
      </w:r>
    </w:p>
    <w:p w14:paraId="6BA15FBD" w14:textId="30B796E9" w:rsidR="004A6FE3" w:rsidRDefault="004A6FE3" w:rsidP="009B7A7A">
      <w:pPr>
        <w:rPr>
          <w:noProof/>
        </w:rPr>
      </w:pPr>
      <w:r w:rsidRPr="00FA3825">
        <w:rPr>
          <w:i/>
          <w:noProof/>
          <w:lang w:val="en-US"/>
        </w:rPr>
        <w:t xml:space="preserve">Plans. </w:t>
      </w:r>
      <w:r w:rsidRPr="00FA3825">
        <w:rPr>
          <w:noProof/>
        </w:rPr>
        <w:t>National public authorities would be required to draft and adopt a Cloud and AI development plan, covering highly critical use cases involving the purchase of sovereign services</w:t>
      </w:r>
      <w:r w:rsidR="005737C9">
        <w:rPr>
          <w:noProof/>
        </w:rPr>
        <w:t xml:space="preserve">, including on how they intend to use public procurement to increase the uptake of highly innovative cloud and AI computing services. </w:t>
      </w:r>
      <w:r w:rsidRPr="00FA3825">
        <w:rPr>
          <w:noProof/>
        </w:rPr>
        <w:t xml:space="preserve">The plans shall (i) assess the value of the procurement contracts of sovereign cloud and AI computing services for critical uses cases; (ii) identify priority areas where strategic autonomy is required; (iii) monitor the procurement of innovative services, including those provided by SMEs and small-cap European providers; (iv) ensure consistency with </w:t>
      </w:r>
      <w:r w:rsidR="00F647A0">
        <w:rPr>
          <w:noProof/>
        </w:rPr>
        <w:t xml:space="preserve">other </w:t>
      </w:r>
      <w:r w:rsidRPr="00FA3825">
        <w:rPr>
          <w:noProof/>
        </w:rPr>
        <w:t xml:space="preserve">existing or planned national strategies. </w:t>
      </w:r>
      <w:r w:rsidR="00F647A0" w:rsidRPr="00ED5F3D">
        <w:rPr>
          <w:noProof/>
          <w:lang w:val="en-IE"/>
        </w:rPr>
        <w:t xml:space="preserve">To limit administrative burden, the </w:t>
      </w:r>
      <w:r w:rsidR="00F647A0">
        <w:rPr>
          <w:noProof/>
          <w:lang w:val="en-IE"/>
        </w:rPr>
        <w:t>plan should</w:t>
      </w:r>
      <w:r w:rsidR="00F647A0" w:rsidRPr="00ED5F3D">
        <w:rPr>
          <w:noProof/>
          <w:lang w:val="en-IE"/>
        </w:rPr>
        <w:t xml:space="preserve"> remain concise and non-binding, focusing on priority areas, intended procurement approaches and objectives. </w:t>
      </w:r>
      <w:r w:rsidRPr="00FA3825">
        <w:rPr>
          <w:noProof/>
        </w:rPr>
        <w:t>This activity is expected to generate one-off administrative costs for public authorities, estimated as 3 FTEs per Member State (1-5 for sensitivity purposes).</w:t>
      </w:r>
      <w:r w:rsidRPr="00FA3825">
        <w:rPr>
          <w:noProof/>
          <w:lang w:val="en-IE"/>
        </w:rPr>
        <w:t xml:space="preserve"> Member States are also expected to face ongoing administrative costs to update the strategies, estimated as 3 FTEs every 5 years.</w:t>
      </w:r>
      <w:r w:rsidRPr="00335BA7">
        <w:rPr>
          <w:noProof/>
          <w:lang w:val="en-IE"/>
        </w:rPr>
        <w:t xml:space="preserve"> </w:t>
      </w:r>
      <w:r>
        <w:rPr>
          <w:noProof/>
        </w:rPr>
        <w:t xml:space="preserve"> </w:t>
      </w:r>
    </w:p>
    <w:p w14:paraId="79DEA84F" w14:textId="37DFE274" w:rsidR="009B1DEA" w:rsidRPr="009B7A7A" w:rsidRDefault="009B1DEA" w:rsidP="009B7A7A">
      <w:pPr>
        <w:rPr>
          <w:noProof/>
          <w:lang w:val="en-IE"/>
        </w:rPr>
      </w:pPr>
      <w:r w:rsidRPr="00ED5F3D">
        <w:rPr>
          <w:noProof/>
          <w:lang w:val="en-IE"/>
        </w:rPr>
        <w:t>As a follow-up, the uptake of such services, would be monitored through a centralised, Commission-led monitoring exercise</w:t>
      </w:r>
      <w:r w:rsidR="00C46D51">
        <w:rPr>
          <w:noProof/>
          <w:lang w:val="en-IE"/>
        </w:rPr>
        <w:t xml:space="preserve"> (see PM21)</w:t>
      </w:r>
      <w:r w:rsidRPr="00ED5F3D">
        <w:rPr>
          <w:noProof/>
          <w:lang w:val="en-IE"/>
        </w:rPr>
        <w:t>. This would</w:t>
      </w:r>
      <w:r w:rsidRPr="00ED5F3D" w:rsidDel="00B35115">
        <w:rPr>
          <w:noProof/>
          <w:lang w:val="en-IE"/>
        </w:rPr>
        <w:t xml:space="preserve"> </w:t>
      </w:r>
      <w:r w:rsidRPr="00ED5F3D">
        <w:rPr>
          <w:noProof/>
          <w:lang w:val="en-IE"/>
        </w:rPr>
        <w:t>create synergies with other measures within this Policy Option that are aimed at assessing the market presence of EU providers</w:t>
      </w:r>
      <w:r>
        <w:rPr>
          <w:noProof/>
          <w:lang w:val="en-IE"/>
        </w:rPr>
        <w:t xml:space="preserve"> and/or existing dependencies on third country providers with respect to specific services</w:t>
      </w:r>
      <w:r w:rsidRPr="00ED5F3D">
        <w:rPr>
          <w:noProof/>
          <w:lang w:val="en-IE"/>
        </w:rPr>
        <w:t xml:space="preserve"> (cfr. PM21). T</w:t>
      </w:r>
      <w:r w:rsidRPr="0086144B">
        <w:rPr>
          <w:noProof/>
        </w:rPr>
        <w:t xml:space="preserve">his activity </w:t>
      </w:r>
      <w:r w:rsidR="00D81253">
        <w:rPr>
          <w:noProof/>
        </w:rPr>
        <w:t>would produce</w:t>
      </w:r>
      <w:r w:rsidRPr="0086144B">
        <w:rPr>
          <w:noProof/>
        </w:rPr>
        <w:t xml:space="preserve"> </w:t>
      </w:r>
      <w:r w:rsidR="00B35115">
        <w:rPr>
          <w:noProof/>
        </w:rPr>
        <w:t>recurrent</w:t>
      </w:r>
      <w:r w:rsidRPr="0086144B">
        <w:rPr>
          <w:noProof/>
        </w:rPr>
        <w:t xml:space="preserve"> administrative costs for public authorities</w:t>
      </w:r>
      <w:r w:rsidRPr="00ED5F3D">
        <w:rPr>
          <w:noProof/>
          <w:lang w:val="en-IE"/>
        </w:rPr>
        <w:t xml:space="preserve"> estimated at approximately </w:t>
      </w:r>
      <w:r w:rsidR="00233CDB">
        <w:rPr>
          <w:noProof/>
          <w:lang w:val="en-IE"/>
        </w:rPr>
        <w:t>5 FTEs</w:t>
      </w:r>
      <w:r w:rsidRPr="00ED5F3D">
        <w:rPr>
          <w:noProof/>
          <w:lang w:val="en-IE"/>
        </w:rPr>
        <w:t xml:space="preserve"> (</w:t>
      </w:r>
      <w:r w:rsidR="00EB2C47">
        <w:rPr>
          <w:noProof/>
          <w:lang w:val="en-IE"/>
        </w:rPr>
        <w:t>3</w:t>
      </w:r>
      <w:r w:rsidRPr="00ED5F3D">
        <w:rPr>
          <w:noProof/>
          <w:lang w:val="en-IE"/>
        </w:rPr>
        <w:t>-</w:t>
      </w:r>
      <w:r w:rsidR="00EB2C47">
        <w:rPr>
          <w:noProof/>
          <w:lang w:val="en-IE"/>
        </w:rPr>
        <w:t>7</w:t>
      </w:r>
      <w:r w:rsidRPr="00ED5F3D" w:rsidDel="00EB2C47">
        <w:rPr>
          <w:noProof/>
          <w:lang w:val="en-IE"/>
        </w:rPr>
        <w:t xml:space="preserve"> </w:t>
      </w:r>
      <w:r w:rsidRPr="00ED5F3D">
        <w:rPr>
          <w:noProof/>
          <w:lang w:val="en-IE"/>
        </w:rPr>
        <w:t xml:space="preserve">for sensitivity) per authority. </w:t>
      </w:r>
    </w:p>
    <w:p w14:paraId="28E2D39E" w14:textId="77777777" w:rsidR="004A6FE3" w:rsidRPr="00D31FF3" w:rsidRDefault="004A6FE3" w:rsidP="004A6FE3">
      <w:pPr>
        <w:rPr>
          <w:noProof/>
        </w:rPr>
      </w:pPr>
      <w:r w:rsidRPr="00D31FF3">
        <w:rPr>
          <w:b/>
          <w:i/>
          <w:noProof/>
        </w:rPr>
        <w:t>One-off adjustment costs for cloud and AI computing service providers</w:t>
      </w:r>
      <w:r w:rsidRPr="00D31FF3">
        <w:rPr>
          <w:b/>
          <w:noProof/>
        </w:rPr>
        <w:t xml:space="preserve">. </w:t>
      </w:r>
      <w:r w:rsidRPr="00D31FF3">
        <w:rPr>
          <w:noProof/>
        </w:rPr>
        <w:t>Providers who choose to participate in procurement processes including the specific award criteria need to align with the public procurement procedures for cloud and AI computing services. This includes adopting and aligning their processes and improving them to meet these criteria, with an estimated one-off effort of up to 20 staff days.</w:t>
      </w:r>
    </w:p>
    <w:p w14:paraId="20DD14EA" w14:textId="77777777" w:rsidR="004A6FE3" w:rsidRPr="0007547C" w:rsidRDefault="004A6FE3" w:rsidP="004A6FE3">
      <w:pPr>
        <w:rPr>
          <w:noProof/>
        </w:rPr>
      </w:pPr>
      <w:r w:rsidRPr="00D31FF3">
        <w:rPr>
          <w:b/>
          <w:i/>
          <w:noProof/>
        </w:rPr>
        <w:t>Recurrent administrative costs for cloud and AI computing service providers</w:t>
      </w:r>
      <w:r w:rsidRPr="00D31FF3">
        <w:rPr>
          <w:noProof/>
        </w:rPr>
        <w:t>, are the costs needed to adequate the offers,</w:t>
      </w:r>
      <w:r w:rsidRPr="0007547C">
        <w:rPr>
          <w:noProof/>
        </w:rPr>
        <w:t xml:space="preserve"> assumed to be 2 staff days per </w:t>
      </w:r>
      <w:r>
        <w:rPr>
          <w:noProof/>
        </w:rPr>
        <w:t>bid</w:t>
      </w:r>
      <w:r w:rsidRPr="0007547C">
        <w:rPr>
          <w:noProof/>
        </w:rPr>
        <w:t>. These days are arbitrary</w:t>
      </w:r>
      <w:r>
        <w:rPr>
          <w:noProof/>
        </w:rPr>
        <w:t xml:space="preserve"> but were validated during the interviews as part of the supporting study. They</w:t>
      </w:r>
      <w:r w:rsidRPr="0007547C">
        <w:rPr>
          <w:noProof/>
        </w:rPr>
        <w:t xml:space="preserve"> assume only administrative work for companies who would be eligible.</w:t>
      </w:r>
    </w:p>
    <w:p w14:paraId="5C78178B" w14:textId="77777777" w:rsidR="004A6FE3" w:rsidRPr="0007547C" w:rsidRDefault="004A6FE3" w:rsidP="004A6FE3">
      <w:pPr>
        <w:rPr>
          <w:noProof/>
        </w:rPr>
      </w:pPr>
      <w:r w:rsidRPr="0007547C">
        <w:rPr>
          <w:noProof/>
        </w:rPr>
        <w:t xml:space="preserve">The cost is calculated multiplying this effort by the number of </w:t>
      </w:r>
      <w:r>
        <w:rPr>
          <w:noProof/>
        </w:rPr>
        <w:t>bids</w:t>
      </w:r>
      <w:r w:rsidRPr="0007547C">
        <w:rPr>
          <w:noProof/>
        </w:rPr>
        <w:t xml:space="preserve"> presented in a year and the average salary of the cloud and AI </w:t>
      </w:r>
      <w:r>
        <w:rPr>
          <w:noProof/>
        </w:rPr>
        <w:t xml:space="preserve">computing service </w:t>
      </w:r>
      <w:r w:rsidRPr="0007547C">
        <w:rPr>
          <w:noProof/>
        </w:rPr>
        <w:t>providers.</w:t>
      </w:r>
    </w:p>
    <w:p w14:paraId="062C14BA" w14:textId="77777777" w:rsidR="004A6FE3" w:rsidRPr="007E2AB2" w:rsidRDefault="004A6FE3" w:rsidP="004A6FE3">
      <w:pPr>
        <w:rPr>
          <w:i/>
          <w:iCs/>
          <w:noProof/>
        </w:rPr>
      </w:pPr>
      <w:r w:rsidRPr="007E2AB2">
        <w:rPr>
          <w:i/>
          <w:iCs/>
          <w:noProof/>
        </w:rPr>
        <w:t>Recurrent administrative cost = number of bids presented * effort / bid * labour costs</w:t>
      </w:r>
    </w:p>
    <w:p w14:paraId="6423E641" w14:textId="77777777" w:rsidR="004A6FE3" w:rsidRPr="0007547C" w:rsidRDefault="004A6FE3" w:rsidP="004A6FE3">
      <w:pPr>
        <w:rPr>
          <w:noProof/>
        </w:rPr>
      </w:pPr>
      <w:r w:rsidRPr="0007547C">
        <w:rPr>
          <w:b/>
          <w:i/>
          <w:noProof/>
        </w:rPr>
        <w:t xml:space="preserve">Recurrent savings for </w:t>
      </w:r>
      <w:r>
        <w:rPr>
          <w:b/>
          <w:i/>
          <w:noProof/>
        </w:rPr>
        <w:t>cloud</w:t>
      </w:r>
      <w:r w:rsidRPr="0007547C">
        <w:rPr>
          <w:b/>
          <w:i/>
          <w:noProof/>
        </w:rPr>
        <w:t xml:space="preserve"> and AI </w:t>
      </w:r>
      <w:r>
        <w:rPr>
          <w:b/>
          <w:i/>
          <w:noProof/>
        </w:rPr>
        <w:t xml:space="preserve">computing service </w:t>
      </w:r>
      <w:r w:rsidRPr="0007547C">
        <w:rPr>
          <w:b/>
          <w:i/>
          <w:noProof/>
        </w:rPr>
        <w:t>providers.</w:t>
      </w:r>
      <w:r w:rsidRPr="0007547C">
        <w:rPr>
          <w:noProof/>
        </w:rPr>
        <w:t xml:space="preserve"> Revenue gains are possible, especially for providers who can differentiate due to the award criteria. These are however not modelled.</w:t>
      </w:r>
    </w:p>
    <w:p w14:paraId="50453EC7" w14:textId="77777777" w:rsidR="004A6FE3" w:rsidRPr="0007547C" w:rsidRDefault="004A6FE3" w:rsidP="004A6FE3">
      <w:pPr>
        <w:rPr>
          <w:noProof/>
        </w:rPr>
      </w:pPr>
      <w:r w:rsidRPr="0007547C">
        <w:rPr>
          <w:b/>
          <w:noProof/>
        </w:rPr>
        <w:t xml:space="preserve">Indirect </w:t>
      </w:r>
      <w:r>
        <w:rPr>
          <w:b/>
          <w:noProof/>
        </w:rPr>
        <w:t>savings</w:t>
      </w:r>
      <w:r w:rsidRPr="0007547C">
        <w:rPr>
          <w:b/>
          <w:noProof/>
        </w:rPr>
        <w:t>:</w:t>
      </w:r>
      <w:r w:rsidRPr="0007547C">
        <w:rPr>
          <w:noProof/>
        </w:rPr>
        <w:t xml:space="preserve"> There are notable indirect benefits for cloud and AI </w:t>
      </w:r>
      <w:r>
        <w:rPr>
          <w:noProof/>
        </w:rPr>
        <w:t xml:space="preserve">computing service </w:t>
      </w:r>
      <w:r w:rsidRPr="0007547C">
        <w:rPr>
          <w:noProof/>
        </w:rPr>
        <w:t xml:space="preserve">providers that are able to comply with the different non-specific award criteria. For instance, additional revenue gains, increase in reputation and the possibility to enlarge the scope of their solutions which in turn may lead to an increase of sales. </w:t>
      </w:r>
    </w:p>
    <w:p w14:paraId="0B86391B" w14:textId="77777777" w:rsidR="004A6FE3" w:rsidRDefault="004A6FE3" w:rsidP="004A6FE3">
      <w:pPr>
        <w:rPr>
          <w:noProof/>
        </w:rPr>
      </w:pPr>
      <w:r w:rsidRPr="0007547C">
        <w:rPr>
          <w:b/>
          <w:noProof/>
        </w:rPr>
        <w:t xml:space="preserve">Sensitivity analysis: </w:t>
      </w:r>
      <w:r w:rsidRPr="0007547C">
        <w:rPr>
          <w:noProof/>
        </w:rPr>
        <w:t xml:space="preserve">The impact of this policy measure is sensitive to the number of public authorities procuring </w:t>
      </w:r>
      <w:r>
        <w:rPr>
          <w:noProof/>
        </w:rPr>
        <w:t>cloud</w:t>
      </w:r>
      <w:r w:rsidRPr="0007547C">
        <w:rPr>
          <w:noProof/>
        </w:rPr>
        <w:t xml:space="preserve"> and AI </w:t>
      </w:r>
      <w:r>
        <w:rPr>
          <w:noProof/>
        </w:rPr>
        <w:t xml:space="preserve">computing </w:t>
      </w:r>
      <w:r w:rsidRPr="0007547C">
        <w:rPr>
          <w:noProof/>
        </w:rPr>
        <w:t xml:space="preserve">services, the number of tenders and offers per year and the number of </w:t>
      </w:r>
      <w:r>
        <w:rPr>
          <w:noProof/>
        </w:rPr>
        <w:t>cloud</w:t>
      </w:r>
      <w:r w:rsidRPr="0007547C">
        <w:rPr>
          <w:noProof/>
        </w:rPr>
        <w:t xml:space="preserve"> and AI </w:t>
      </w:r>
      <w:r>
        <w:rPr>
          <w:noProof/>
        </w:rPr>
        <w:t>computing service provider</w:t>
      </w:r>
      <w:r w:rsidRPr="0007547C">
        <w:rPr>
          <w:noProof/>
        </w:rPr>
        <w:t>s</w:t>
      </w:r>
      <w:r>
        <w:rPr>
          <w:noProof/>
        </w:rPr>
        <w:t xml:space="preserve"> and the costs to adapt the offers</w:t>
      </w:r>
      <w:r w:rsidRPr="0007547C">
        <w:rPr>
          <w:noProof/>
        </w:rPr>
        <w:t xml:space="preserve">. </w:t>
      </w:r>
    </w:p>
    <w:p w14:paraId="16277B67" w14:textId="3B4BCABB" w:rsidR="004A6FE3" w:rsidRPr="00803AF7" w:rsidRDefault="004A6FE3" w:rsidP="004A6FE3">
      <w:pPr>
        <w:rPr>
          <w:noProof/>
        </w:rPr>
      </w:pPr>
      <w:r w:rsidRPr="00430121">
        <w:rPr>
          <w:b/>
          <w:noProof/>
        </w:rPr>
        <w:t>Results</w:t>
      </w:r>
      <w:r w:rsidRPr="00430121">
        <w:rPr>
          <w:noProof/>
        </w:rPr>
        <w:t xml:space="preserve"> for all stakeholders aggregated and for the years covered by this measure are summarised in the table below. Total costs are estimated between EUR </w:t>
      </w:r>
      <w:r w:rsidR="006E0D4D" w:rsidRPr="006E0D4D">
        <w:rPr>
          <w:noProof/>
        </w:rPr>
        <w:t>104</w:t>
      </w:r>
      <w:r w:rsidRPr="00430121">
        <w:rPr>
          <w:noProof/>
        </w:rPr>
        <w:t xml:space="preserve"> million and EUR </w:t>
      </w:r>
      <w:r w:rsidR="006E0D4D" w:rsidRPr="006E0D4D">
        <w:rPr>
          <w:noProof/>
        </w:rPr>
        <w:t>226</w:t>
      </w:r>
      <w:r w:rsidRPr="00430121">
        <w:rPr>
          <w:noProof/>
        </w:rPr>
        <w:t xml:space="preserve"> million, consisting mainly of recurrent administrative costs related to coordination, reporting, and compliance activities, alongside smaller one-off administrative and adjustment costs. Total cost savings are limited, ranging from EUR </w:t>
      </w:r>
      <w:r w:rsidR="006E0D4D" w:rsidRPr="006E0D4D">
        <w:rPr>
          <w:noProof/>
        </w:rPr>
        <w:t>4</w:t>
      </w:r>
      <w:r w:rsidRPr="00430121">
        <w:rPr>
          <w:noProof/>
        </w:rPr>
        <w:t xml:space="preserve"> million to EUR 13</w:t>
      </w:r>
      <w:r w:rsidRPr="006E0D4D">
        <w:rPr>
          <w:noProof/>
        </w:rPr>
        <w:t xml:space="preserve"> </w:t>
      </w:r>
      <w:r w:rsidRPr="00430121">
        <w:rPr>
          <w:noProof/>
        </w:rPr>
        <w:t>million.</w:t>
      </w:r>
      <w:r w:rsidRPr="00430121" w:rsidDel="00594342">
        <w:rPr>
          <w:noProof/>
        </w:rPr>
        <w:t xml:space="preserve"> </w:t>
      </w:r>
      <w:r w:rsidRPr="00430121">
        <w:rPr>
          <w:noProof/>
        </w:rPr>
        <w:t>Costs outweigh benefits across the average, min and max set of parameters. The difference in the min and max is mainly caused by the number of CSP and AI providers participating in public procurement every year across EU.</w:t>
      </w:r>
    </w:p>
    <w:p w14:paraId="03B5E920" w14:textId="2ACB86A9" w:rsidR="004A6FE3" w:rsidRDefault="004A6FE3" w:rsidP="004A6FE3">
      <w:pPr>
        <w:pStyle w:val="Caption"/>
        <w:rPr>
          <w:noProof/>
        </w:rPr>
      </w:pPr>
      <w:r>
        <w:rPr>
          <w:noProof/>
        </w:rPr>
        <w:t>Table 45. M</w:t>
      </w:r>
      <w:r w:rsidRPr="00D5398C">
        <w:rPr>
          <w:noProof/>
        </w:rPr>
        <w:t xml:space="preserve">andatory specific award criteria for cloud and AI </w:t>
      </w:r>
      <w:r>
        <w:rPr>
          <w:noProof/>
        </w:rPr>
        <w:t>computing</w:t>
      </w:r>
      <w:r w:rsidRPr="00D5398C">
        <w:rPr>
          <w:noProof/>
        </w:rPr>
        <w:t xml:space="preserve"> service procurement</w:t>
      </w:r>
      <w:r>
        <w:rPr>
          <w:noProof/>
        </w:rPr>
        <w:t xml:space="preserve"> (PM</w:t>
      </w:r>
      <w:r w:rsidR="00101E3E">
        <w:rPr>
          <w:noProof/>
        </w:rPr>
        <w:t>19</w:t>
      </w:r>
      <w:r>
        <w:rPr>
          <w:noProof/>
        </w:rPr>
        <w:t>)</w:t>
      </w:r>
    </w:p>
    <w:tbl>
      <w:tblPr>
        <w:tblStyle w:val="TableGrid"/>
        <w:tblW w:w="9923" w:type="dxa"/>
        <w:tblInd w:w="-567" w:type="dxa"/>
        <w:tblLayout w:type="fixed"/>
        <w:tblCellMar>
          <w:left w:w="0" w:type="dxa"/>
          <w:right w:w="0" w:type="dxa"/>
        </w:tblCellMar>
        <w:tblLook w:val="04A0" w:firstRow="1" w:lastRow="0" w:firstColumn="1" w:lastColumn="0" w:noHBand="0" w:noVBand="1"/>
      </w:tblPr>
      <w:tblGrid>
        <w:gridCol w:w="2127"/>
        <w:gridCol w:w="1134"/>
        <w:gridCol w:w="1417"/>
        <w:gridCol w:w="993"/>
        <w:gridCol w:w="1417"/>
        <w:gridCol w:w="1418"/>
        <w:gridCol w:w="1417"/>
      </w:tblGrid>
      <w:tr w:rsidR="004A6FE3" w:rsidRPr="00FA63C0" w14:paraId="1744EF92" w14:textId="77777777">
        <w:trPr>
          <w:trHeight w:val="506"/>
        </w:trPr>
        <w:tc>
          <w:tcPr>
            <w:tcW w:w="2127" w:type="dxa"/>
            <w:tcBorders>
              <w:bottom w:val="single" w:sz="12" w:space="0" w:color="00B0F0"/>
            </w:tcBorders>
            <w:noWrap/>
            <w:hideMark/>
          </w:tcPr>
          <w:p w14:paraId="74BD27C5" w14:textId="77777777" w:rsidR="004A6FE3" w:rsidRPr="00FA63C0" w:rsidRDefault="004A6FE3">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134" w:type="dxa"/>
            <w:tcBorders>
              <w:bottom w:val="single" w:sz="12" w:space="0" w:color="00B0F0"/>
            </w:tcBorders>
          </w:tcPr>
          <w:p w14:paraId="17ABA4C8" w14:textId="77777777" w:rsidR="004A6FE3" w:rsidRPr="00FA63C0" w:rsidRDefault="004A6FE3">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tcPr>
          <w:p w14:paraId="2EDD5C02" w14:textId="77777777" w:rsidR="004A6FE3" w:rsidRPr="00FA63C0" w:rsidRDefault="004A6FE3">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993" w:type="dxa"/>
            <w:tcBorders>
              <w:bottom w:val="single" w:sz="12" w:space="0" w:color="00B0F0"/>
            </w:tcBorders>
          </w:tcPr>
          <w:p w14:paraId="7D1F79E9" w14:textId="77777777" w:rsidR="004A6FE3" w:rsidRPr="00FA63C0" w:rsidRDefault="004A6FE3">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noWrap/>
            <w:hideMark/>
          </w:tcPr>
          <w:p w14:paraId="3B94E0E5" w14:textId="77777777" w:rsidR="004A6FE3" w:rsidRPr="00FA63C0" w:rsidRDefault="004A6FE3">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hideMark/>
          </w:tcPr>
          <w:p w14:paraId="598497C4" w14:textId="77777777" w:rsidR="004A6FE3" w:rsidRPr="00EC6BC1" w:rsidRDefault="004A6FE3">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417" w:type="dxa"/>
            <w:tcBorders>
              <w:bottom w:val="single" w:sz="12" w:space="0" w:color="00B0F0"/>
            </w:tcBorders>
            <w:noWrap/>
            <w:hideMark/>
          </w:tcPr>
          <w:p w14:paraId="4EBF2D98" w14:textId="77777777" w:rsidR="004A6FE3" w:rsidRPr="00FA63C0" w:rsidRDefault="004A6FE3">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4A6FE3" w:rsidRPr="00397C78" w14:paraId="0D5ED7F2" w14:textId="77777777">
        <w:trPr>
          <w:trHeight w:val="283"/>
        </w:trPr>
        <w:tc>
          <w:tcPr>
            <w:tcW w:w="2127" w:type="dxa"/>
            <w:tcBorders>
              <w:top w:val="single" w:sz="12" w:space="0" w:color="00B0F0"/>
            </w:tcBorders>
            <w:noWrap/>
            <w:hideMark/>
          </w:tcPr>
          <w:p w14:paraId="4AA7753A"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134" w:type="dxa"/>
            <w:tcBorders>
              <w:top w:val="single" w:sz="12" w:space="0" w:color="00B0F0"/>
            </w:tcBorders>
          </w:tcPr>
          <w:p w14:paraId="15490CF6" w14:textId="77777777" w:rsidR="004A6FE3" w:rsidRPr="00FA63C0" w:rsidRDefault="004A6FE3">
            <w:pPr>
              <w:spacing w:after="0"/>
              <w:jc w:val="right"/>
              <w:rPr>
                <w:noProof/>
                <w:sz w:val="20"/>
                <w:szCs w:val="20"/>
                <w:lang w:val="en-IE" w:eastAsia="en-IE"/>
              </w:rPr>
            </w:pPr>
            <w:r w:rsidRPr="00FA63C0">
              <w:rPr>
                <w:noProof/>
                <w:sz w:val="20"/>
                <w:szCs w:val="20"/>
              </w:rPr>
              <w:t>-</w:t>
            </w:r>
          </w:p>
        </w:tc>
        <w:tc>
          <w:tcPr>
            <w:tcW w:w="1417" w:type="dxa"/>
            <w:tcBorders>
              <w:top w:val="single" w:sz="12" w:space="0" w:color="00B0F0"/>
            </w:tcBorders>
          </w:tcPr>
          <w:p w14:paraId="2E82F982" w14:textId="42358A46" w:rsidR="004A6FE3" w:rsidRPr="00430121" w:rsidRDefault="00D819FC">
            <w:pPr>
              <w:spacing w:after="0"/>
              <w:jc w:val="right"/>
              <w:rPr>
                <w:noProof/>
                <w:sz w:val="22"/>
                <w:szCs w:val="22"/>
                <w:lang w:val="en-IE" w:eastAsia="en-IE"/>
              </w:rPr>
            </w:pPr>
            <w:r w:rsidRPr="00D819FC">
              <w:rPr>
                <w:noProof/>
                <w:sz w:val="22"/>
                <w:szCs w:val="22"/>
              </w:rPr>
              <w:t>8</w:t>
            </w:r>
            <w:r>
              <w:rPr>
                <w:noProof/>
                <w:sz w:val="22"/>
                <w:szCs w:val="22"/>
              </w:rPr>
              <w:t xml:space="preserve"> </w:t>
            </w:r>
            <w:r w:rsidRPr="00D819FC">
              <w:rPr>
                <w:noProof/>
                <w:sz w:val="22"/>
                <w:szCs w:val="22"/>
              </w:rPr>
              <w:t>333</w:t>
            </w:r>
            <w:r>
              <w:rPr>
                <w:noProof/>
                <w:sz w:val="22"/>
                <w:szCs w:val="22"/>
              </w:rPr>
              <w:t xml:space="preserve"> </w:t>
            </w:r>
            <w:r w:rsidRPr="00D819FC">
              <w:rPr>
                <w:noProof/>
                <w:sz w:val="22"/>
                <w:szCs w:val="22"/>
              </w:rPr>
              <w:t>909</w:t>
            </w:r>
          </w:p>
        </w:tc>
        <w:tc>
          <w:tcPr>
            <w:tcW w:w="993" w:type="dxa"/>
            <w:tcBorders>
              <w:top w:val="single" w:sz="12" w:space="0" w:color="00B0F0"/>
            </w:tcBorders>
          </w:tcPr>
          <w:p w14:paraId="71AAB648"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Borders>
              <w:top w:val="single" w:sz="12" w:space="0" w:color="00B0F0"/>
            </w:tcBorders>
            <w:noWrap/>
          </w:tcPr>
          <w:p w14:paraId="3D1FE1FD" w14:textId="1B067992" w:rsidR="004A6FE3" w:rsidRPr="00430121" w:rsidRDefault="00AD5DEB">
            <w:pPr>
              <w:spacing w:after="0"/>
              <w:jc w:val="right"/>
              <w:rPr>
                <w:noProof/>
                <w:sz w:val="22"/>
                <w:szCs w:val="22"/>
                <w:lang w:val="en-IE" w:eastAsia="en-IE"/>
              </w:rPr>
            </w:pPr>
            <w:r w:rsidRPr="00430121">
              <w:rPr>
                <w:noProof/>
                <w:sz w:val="22"/>
                <w:szCs w:val="22"/>
              </w:rPr>
              <w:t xml:space="preserve"> </w:t>
            </w:r>
            <w:r w:rsidR="00D819FC" w:rsidRPr="00D819FC">
              <w:rPr>
                <w:noProof/>
                <w:sz w:val="22"/>
                <w:szCs w:val="22"/>
              </w:rPr>
              <w:t>8</w:t>
            </w:r>
            <w:r w:rsidR="00D819FC">
              <w:rPr>
                <w:noProof/>
                <w:sz w:val="22"/>
                <w:szCs w:val="22"/>
              </w:rPr>
              <w:t xml:space="preserve"> </w:t>
            </w:r>
            <w:r w:rsidR="00D819FC" w:rsidRPr="00D819FC">
              <w:rPr>
                <w:noProof/>
                <w:sz w:val="22"/>
                <w:szCs w:val="22"/>
              </w:rPr>
              <w:t>333</w:t>
            </w:r>
            <w:r w:rsidR="00D819FC">
              <w:rPr>
                <w:noProof/>
                <w:sz w:val="22"/>
                <w:szCs w:val="22"/>
              </w:rPr>
              <w:t xml:space="preserve"> </w:t>
            </w:r>
            <w:r w:rsidR="00D819FC" w:rsidRPr="00D819FC">
              <w:rPr>
                <w:noProof/>
                <w:sz w:val="22"/>
                <w:szCs w:val="22"/>
              </w:rPr>
              <w:t>909</w:t>
            </w:r>
          </w:p>
        </w:tc>
        <w:tc>
          <w:tcPr>
            <w:tcW w:w="1418" w:type="dxa"/>
            <w:tcBorders>
              <w:top w:val="single" w:sz="12" w:space="0" w:color="00B0F0"/>
            </w:tcBorders>
            <w:noWrap/>
          </w:tcPr>
          <w:p w14:paraId="0B2D8E3D" w14:textId="06B415C1" w:rsidR="004A6FE3" w:rsidRPr="00430121" w:rsidRDefault="00AD5DEB">
            <w:pPr>
              <w:spacing w:after="0"/>
              <w:jc w:val="right"/>
              <w:rPr>
                <w:noProof/>
                <w:sz w:val="22"/>
                <w:szCs w:val="22"/>
                <w:lang w:val="en-IE" w:eastAsia="en-IE"/>
              </w:rPr>
            </w:pPr>
            <w:r w:rsidRPr="00430121">
              <w:rPr>
                <w:noProof/>
                <w:sz w:val="22"/>
                <w:szCs w:val="22"/>
              </w:rPr>
              <w:t xml:space="preserve"> 3 389 039 </w:t>
            </w:r>
          </w:p>
        </w:tc>
        <w:tc>
          <w:tcPr>
            <w:tcW w:w="1417" w:type="dxa"/>
            <w:tcBorders>
              <w:top w:val="single" w:sz="12" w:space="0" w:color="00B0F0"/>
            </w:tcBorders>
            <w:noWrap/>
          </w:tcPr>
          <w:p w14:paraId="6DB68024" w14:textId="45B33281" w:rsidR="004A6FE3" w:rsidRPr="00430121" w:rsidRDefault="00AD5DEB">
            <w:pPr>
              <w:spacing w:after="0"/>
              <w:jc w:val="right"/>
              <w:rPr>
                <w:noProof/>
                <w:sz w:val="22"/>
                <w:szCs w:val="22"/>
                <w:lang w:val="en-IE" w:eastAsia="en-IE"/>
              </w:rPr>
            </w:pPr>
            <w:r w:rsidRPr="00430121">
              <w:rPr>
                <w:noProof/>
                <w:sz w:val="22"/>
                <w:szCs w:val="22"/>
              </w:rPr>
              <w:t xml:space="preserve">  13 480 600 </w:t>
            </w:r>
          </w:p>
        </w:tc>
      </w:tr>
      <w:tr w:rsidR="00090F6A" w:rsidRPr="00061A60" w14:paraId="30AD9B9E" w14:textId="77777777">
        <w:trPr>
          <w:trHeight w:val="283"/>
        </w:trPr>
        <w:tc>
          <w:tcPr>
            <w:tcW w:w="2127" w:type="dxa"/>
            <w:noWrap/>
            <w:hideMark/>
          </w:tcPr>
          <w:p w14:paraId="0A8F23ED" w14:textId="77777777" w:rsidR="00090F6A" w:rsidRPr="00FA63C0" w:rsidRDefault="00090F6A" w:rsidP="00090F6A">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134" w:type="dxa"/>
          </w:tcPr>
          <w:p w14:paraId="3061F9BD" w14:textId="36E7F183" w:rsidR="00090F6A" w:rsidRPr="00830841" w:rsidRDefault="00090F6A" w:rsidP="00090F6A">
            <w:pPr>
              <w:spacing w:after="0"/>
              <w:jc w:val="right"/>
              <w:rPr>
                <w:noProof/>
                <w:sz w:val="20"/>
                <w:szCs w:val="20"/>
              </w:rPr>
            </w:pPr>
            <w:r w:rsidRPr="00832ABD">
              <w:rPr>
                <w:noProof/>
                <w:sz w:val="20"/>
                <w:szCs w:val="20"/>
              </w:rPr>
              <w:t xml:space="preserve"> </w:t>
            </w:r>
            <w:r>
              <w:rPr>
                <w:noProof/>
                <w:sz w:val="20"/>
                <w:szCs w:val="20"/>
              </w:rPr>
              <w:t xml:space="preserve"> </w:t>
            </w:r>
            <w:r w:rsidR="00D14C3A" w:rsidRPr="00D14C3A">
              <w:rPr>
                <w:noProof/>
                <w:sz w:val="20"/>
                <w:szCs w:val="20"/>
              </w:rPr>
              <w:t xml:space="preserve"> 53</w:t>
            </w:r>
            <w:r w:rsidR="00D14C3A">
              <w:rPr>
                <w:noProof/>
                <w:sz w:val="20"/>
                <w:szCs w:val="20"/>
              </w:rPr>
              <w:t xml:space="preserve"> </w:t>
            </w:r>
            <w:r w:rsidR="00D14C3A" w:rsidRPr="00D14C3A">
              <w:rPr>
                <w:noProof/>
                <w:sz w:val="20"/>
                <w:szCs w:val="20"/>
              </w:rPr>
              <w:t>945</w:t>
            </w:r>
            <w:r w:rsidR="00D14C3A">
              <w:rPr>
                <w:noProof/>
                <w:sz w:val="20"/>
                <w:szCs w:val="20"/>
              </w:rPr>
              <w:t xml:space="preserve"> </w:t>
            </w:r>
            <w:r w:rsidR="00D14C3A" w:rsidRPr="00D14C3A">
              <w:rPr>
                <w:noProof/>
                <w:sz w:val="20"/>
                <w:szCs w:val="20"/>
              </w:rPr>
              <w:t>915</w:t>
            </w:r>
          </w:p>
        </w:tc>
        <w:tc>
          <w:tcPr>
            <w:tcW w:w="1417" w:type="dxa"/>
          </w:tcPr>
          <w:p w14:paraId="39B69BCE" w14:textId="4EEAA19A" w:rsidR="00090F6A" w:rsidRPr="00430121" w:rsidRDefault="00090F6A" w:rsidP="00090F6A">
            <w:pPr>
              <w:spacing w:after="0"/>
              <w:jc w:val="right"/>
              <w:rPr>
                <w:noProof/>
                <w:sz w:val="22"/>
                <w:szCs w:val="22"/>
                <w:lang w:val="en-IE" w:eastAsia="en-IE"/>
              </w:rPr>
            </w:pPr>
            <w:r w:rsidRPr="00430121">
              <w:rPr>
                <w:noProof/>
                <w:sz w:val="22"/>
                <w:szCs w:val="22"/>
              </w:rPr>
              <w:t xml:space="preserve"> 80</w:t>
            </w:r>
            <w:r>
              <w:rPr>
                <w:noProof/>
                <w:sz w:val="22"/>
                <w:szCs w:val="22"/>
              </w:rPr>
              <w:t xml:space="preserve"> </w:t>
            </w:r>
            <w:r w:rsidRPr="00430121">
              <w:rPr>
                <w:noProof/>
                <w:sz w:val="22"/>
                <w:szCs w:val="22"/>
              </w:rPr>
              <w:t>878</w:t>
            </w:r>
            <w:r>
              <w:rPr>
                <w:noProof/>
                <w:sz w:val="22"/>
                <w:szCs w:val="22"/>
              </w:rPr>
              <w:t xml:space="preserve"> </w:t>
            </w:r>
            <w:r w:rsidRPr="00430121">
              <w:rPr>
                <w:noProof/>
                <w:sz w:val="22"/>
                <w:szCs w:val="22"/>
              </w:rPr>
              <w:t xml:space="preserve">153 </w:t>
            </w:r>
          </w:p>
        </w:tc>
        <w:tc>
          <w:tcPr>
            <w:tcW w:w="993" w:type="dxa"/>
          </w:tcPr>
          <w:p w14:paraId="2D840701" w14:textId="77777777" w:rsidR="00090F6A" w:rsidRPr="00FA63C0" w:rsidRDefault="00090F6A" w:rsidP="00090F6A">
            <w:pPr>
              <w:spacing w:after="0"/>
              <w:jc w:val="right"/>
              <w:rPr>
                <w:noProof/>
                <w:sz w:val="20"/>
                <w:szCs w:val="20"/>
                <w:lang w:val="en-IE" w:eastAsia="en-IE"/>
              </w:rPr>
            </w:pPr>
            <w:r w:rsidRPr="00FA63C0">
              <w:rPr>
                <w:noProof/>
                <w:sz w:val="20"/>
                <w:szCs w:val="20"/>
              </w:rPr>
              <w:t xml:space="preserve"> -   </w:t>
            </w:r>
          </w:p>
        </w:tc>
        <w:tc>
          <w:tcPr>
            <w:tcW w:w="1417" w:type="dxa"/>
            <w:noWrap/>
          </w:tcPr>
          <w:p w14:paraId="3D0D6AAF" w14:textId="7B28F099" w:rsidR="00090F6A" w:rsidRPr="00092BFD" w:rsidRDefault="00090F6A" w:rsidP="00090F6A">
            <w:pPr>
              <w:spacing w:after="0"/>
              <w:jc w:val="right"/>
              <w:rPr>
                <w:noProof/>
                <w:sz w:val="20"/>
                <w:szCs w:val="20"/>
              </w:rPr>
            </w:pPr>
            <w:r w:rsidRPr="00092BFD">
              <w:rPr>
                <w:noProof/>
                <w:sz w:val="20"/>
                <w:szCs w:val="20"/>
              </w:rPr>
              <w:t>134 824 068</w:t>
            </w:r>
          </w:p>
        </w:tc>
        <w:tc>
          <w:tcPr>
            <w:tcW w:w="1418" w:type="dxa"/>
            <w:noWrap/>
          </w:tcPr>
          <w:p w14:paraId="46C293B1" w14:textId="6CA31EC2" w:rsidR="00090F6A" w:rsidRPr="00092BFD" w:rsidRDefault="00090F6A" w:rsidP="00090F6A">
            <w:pPr>
              <w:spacing w:after="0"/>
              <w:jc w:val="right"/>
              <w:rPr>
                <w:noProof/>
                <w:sz w:val="20"/>
                <w:szCs w:val="20"/>
              </w:rPr>
            </w:pPr>
            <w:r w:rsidRPr="00092BFD">
              <w:rPr>
                <w:noProof/>
                <w:sz w:val="20"/>
                <w:szCs w:val="20"/>
              </w:rPr>
              <w:t xml:space="preserve"> 94 364 632 </w:t>
            </w:r>
          </w:p>
        </w:tc>
        <w:tc>
          <w:tcPr>
            <w:tcW w:w="1417" w:type="dxa"/>
            <w:noWrap/>
          </w:tcPr>
          <w:p w14:paraId="31A8B828" w14:textId="48DFD803" w:rsidR="00090F6A" w:rsidRPr="00092BFD" w:rsidRDefault="00090F6A" w:rsidP="00090F6A">
            <w:pPr>
              <w:spacing w:after="0"/>
              <w:jc w:val="right"/>
              <w:rPr>
                <w:noProof/>
                <w:sz w:val="20"/>
                <w:szCs w:val="20"/>
              </w:rPr>
            </w:pPr>
            <w:r w:rsidRPr="00092BFD">
              <w:rPr>
                <w:noProof/>
                <w:sz w:val="20"/>
                <w:szCs w:val="20"/>
              </w:rPr>
              <w:t xml:space="preserve">  177 304 770 </w:t>
            </w:r>
          </w:p>
        </w:tc>
      </w:tr>
      <w:tr w:rsidR="004A6FE3" w:rsidRPr="00397C78" w14:paraId="0D99322D" w14:textId="77777777">
        <w:trPr>
          <w:trHeight w:val="283"/>
        </w:trPr>
        <w:tc>
          <w:tcPr>
            <w:tcW w:w="2127" w:type="dxa"/>
            <w:noWrap/>
            <w:hideMark/>
          </w:tcPr>
          <w:p w14:paraId="0F37C203"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one-off adjustment</w:t>
            </w:r>
          </w:p>
        </w:tc>
        <w:tc>
          <w:tcPr>
            <w:tcW w:w="1134" w:type="dxa"/>
          </w:tcPr>
          <w:p w14:paraId="691A96BF" w14:textId="77777777" w:rsidR="004A6FE3" w:rsidRPr="00830841" w:rsidRDefault="004A6FE3">
            <w:pPr>
              <w:spacing w:after="0"/>
              <w:jc w:val="right"/>
              <w:rPr>
                <w:noProof/>
                <w:sz w:val="20"/>
                <w:szCs w:val="20"/>
              </w:rPr>
            </w:pPr>
            <w:r w:rsidRPr="00832ABD">
              <w:rPr>
                <w:noProof/>
                <w:sz w:val="20"/>
                <w:szCs w:val="20"/>
              </w:rPr>
              <w:t xml:space="preserve"> 3</w:t>
            </w:r>
            <w:r>
              <w:rPr>
                <w:noProof/>
                <w:sz w:val="20"/>
                <w:szCs w:val="20"/>
              </w:rPr>
              <w:t xml:space="preserve"> </w:t>
            </w:r>
            <w:r w:rsidRPr="00832ABD">
              <w:rPr>
                <w:noProof/>
                <w:sz w:val="20"/>
                <w:szCs w:val="20"/>
              </w:rPr>
              <w:t>560</w:t>
            </w:r>
            <w:r>
              <w:rPr>
                <w:noProof/>
                <w:sz w:val="20"/>
                <w:szCs w:val="20"/>
              </w:rPr>
              <w:t xml:space="preserve"> </w:t>
            </w:r>
            <w:r w:rsidRPr="00832ABD">
              <w:rPr>
                <w:noProof/>
                <w:sz w:val="20"/>
                <w:szCs w:val="20"/>
              </w:rPr>
              <w:t xml:space="preserve">007 </w:t>
            </w:r>
          </w:p>
        </w:tc>
        <w:tc>
          <w:tcPr>
            <w:tcW w:w="1417" w:type="dxa"/>
          </w:tcPr>
          <w:p w14:paraId="3C161D4A" w14:textId="77777777" w:rsidR="004A6FE3" w:rsidRPr="00FA63C0" w:rsidRDefault="004A6FE3">
            <w:pPr>
              <w:spacing w:after="0"/>
              <w:jc w:val="right"/>
              <w:rPr>
                <w:noProof/>
                <w:sz w:val="20"/>
                <w:szCs w:val="20"/>
                <w:lang w:val="en-IE" w:eastAsia="en-IE"/>
              </w:rPr>
            </w:pPr>
            <w:r w:rsidRPr="003B3F5E">
              <w:rPr>
                <w:noProof/>
                <w:sz w:val="20"/>
                <w:szCs w:val="20"/>
              </w:rPr>
              <w:t xml:space="preserve"> -</w:t>
            </w:r>
          </w:p>
        </w:tc>
        <w:tc>
          <w:tcPr>
            <w:tcW w:w="993" w:type="dxa"/>
          </w:tcPr>
          <w:p w14:paraId="376E7C0C"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24999BDF" w14:textId="5B8C0965" w:rsidR="004A6FE3" w:rsidRPr="00092BFD" w:rsidRDefault="003437F8">
            <w:pPr>
              <w:spacing w:after="0"/>
              <w:jc w:val="right"/>
              <w:rPr>
                <w:noProof/>
                <w:sz w:val="20"/>
                <w:szCs w:val="20"/>
              </w:rPr>
            </w:pPr>
            <w:r w:rsidRPr="00092BFD">
              <w:rPr>
                <w:noProof/>
                <w:sz w:val="20"/>
                <w:szCs w:val="20"/>
              </w:rPr>
              <w:t>3</w:t>
            </w:r>
            <w:r w:rsidR="005329C8" w:rsidRPr="00092BFD">
              <w:rPr>
                <w:noProof/>
                <w:sz w:val="20"/>
                <w:szCs w:val="20"/>
              </w:rPr>
              <w:t xml:space="preserve"> </w:t>
            </w:r>
            <w:r w:rsidRPr="00092BFD">
              <w:rPr>
                <w:noProof/>
                <w:sz w:val="20"/>
                <w:szCs w:val="20"/>
              </w:rPr>
              <w:t>560</w:t>
            </w:r>
            <w:r w:rsidR="005329C8" w:rsidRPr="00092BFD">
              <w:rPr>
                <w:noProof/>
                <w:sz w:val="20"/>
                <w:szCs w:val="20"/>
              </w:rPr>
              <w:t xml:space="preserve"> </w:t>
            </w:r>
            <w:r w:rsidRPr="00092BFD">
              <w:rPr>
                <w:noProof/>
                <w:sz w:val="20"/>
                <w:szCs w:val="20"/>
              </w:rPr>
              <w:t xml:space="preserve">007 </w:t>
            </w:r>
          </w:p>
        </w:tc>
        <w:tc>
          <w:tcPr>
            <w:tcW w:w="1418" w:type="dxa"/>
            <w:noWrap/>
          </w:tcPr>
          <w:p w14:paraId="33FD86BD" w14:textId="26515D08" w:rsidR="004A6FE3" w:rsidRPr="00092BFD" w:rsidRDefault="003437F8">
            <w:pPr>
              <w:spacing w:after="0"/>
              <w:jc w:val="right"/>
              <w:rPr>
                <w:noProof/>
                <w:sz w:val="20"/>
                <w:szCs w:val="20"/>
              </w:rPr>
            </w:pPr>
            <w:r w:rsidRPr="00092BFD">
              <w:rPr>
                <w:noProof/>
                <w:sz w:val="20"/>
                <w:szCs w:val="20"/>
              </w:rPr>
              <w:t xml:space="preserve"> 3</w:t>
            </w:r>
            <w:r w:rsidR="005329C8" w:rsidRPr="00092BFD">
              <w:rPr>
                <w:noProof/>
                <w:sz w:val="20"/>
                <w:szCs w:val="20"/>
              </w:rPr>
              <w:t xml:space="preserve"> </w:t>
            </w:r>
            <w:r w:rsidRPr="00092BFD">
              <w:rPr>
                <w:noProof/>
                <w:sz w:val="20"/>
                <w:szCs w:val="20"/>
              </w:rPr>
              <w:t>560</w:t>
            </w:r>
            <w:r w:rsidR="005329C8" w:rsidRPr="00092BFD">
              <w:rPr>
                <w:noProof/>
                <w:sz w:val="20"/>
                <w:szCs w:val="20"/>
              </w:rPr>
              <w:t xml:space="preserve"> </w:t>
            </w:r>
            <w:r w:rsidRPr="00092BFD">
              <w:rPr>
                <w:noProof/>
                <w:sz w:val="20"/>
                <w:szCs w:val="20"/>
              </w:rPr>
              <w:t xml:space="preserve">007 </w:t>
            </w:r>
          </w:p>
        </w:tc>
        <w:tc>
          <w:tcPr>
            <w:tcW w:w="1417" w:type="dxa"/>
            <w:noWrap/>
          </w:tcPr>
          <w:p w14:paraId="2026DA80" w14:textId="1A6AC09E" w:rsidR="004A6FE3" w:rsidRPr="00092BFD" w:rsidRDefault="003437F8">
            <w:pPr>
              <w:spacing w:after="0"/>
              <w:jc w:val="right"/>
              <w:rPr>
                <w:noProof/>
                <w:sz w:val="20"/>
                <w:szCs w:val="20"/>
              </w:rPr>
            </w:pPr>
            <w:r w:rsidRPr="00092BFD">
              <w:rPr>
                <w:noProof/>
                <w:sz w:val="20"/>
                <w:szCs w:val="20"/>
              </w:rPr>
              <w:t xml:space="preserve"> 13</w:t>
            </w:r>
            <w:r w:rsidR="005329C8" w:rsidRPr="00092BFD">
              <w:rPr>
                <w:noProof/>
                <w:sz w:val="20"/>
                <w:szCs w:val="20"/>
              </w:rPr>
              <w:t xml:space="preserve"> </w:t>
            </w:r>
            <w:r w:rsidRPr="00092BFD">
              <w:rPr>
                <w:noProof/>
                <w:sz w:val="20"/>
                <w:szCs w:val="20"/>
              </w:rPr>
              <w:t>708</w:t>
            </w:r>
            <w:r w:rsidR="005329C8" w:rsidRPr="00092BFD">
              <w:rPr>
                <w:noProof/>
                <w:sz w:val="20"/>
                <w:szCs w:val="20"/>
              </w:rPr>
              <w:t xml:space="preserve"> </w:t>
            </w:r>
            <w:r w:rsidRPr="00092BFD">
              <w:rPr>
                <w:noProof/>
                <w:sz w:val="20"/>
                <w:szCs w:val="20"/>
              </w:rPr>
              <w:t xml:space="preserve">048 </w:t>
            </w:r>
          </w:p>
        </w:tc>
      </w:tr>
      <w:tr w:rsidR="004A6FE3" w:rsidRPr="00397C78" w14:paraId="3653052D" w14:textId="77777777">
        <w:trPr>
          <w:trHeight w:val="283"/>
        </w:trPr>
        <w:tc>
          <w:tcPr>
            <w:tcW w:w="2127" w:type="dxa"/>
            <w:noWrap/>
            <w:hideMark/>
          </w:tcPr>
          <w:p w14:paraId="49269B60"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recurrent adjustment</w:t>
            </w:r>
          </w:p>
        </w:tc>
        <w:tc>
          <w:tcPr>
            <w:tcW w:w="1134" w:type="dxa"/>
          </w:tcPr>
          <w:p w14:paraId="69238019"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Pr>
          <w:p w14:paraId="11F63133" w14:textId="77777777" w:rsidR="004A6FE3" w:rsidRPr="00FA63C0" w:rsidRDefault="004A6FE3">
            <w:pPr>
              <w:spacing w:after="0"/>
              <w:jc w:val="right"/>
              <w:rPr>
                <w:noProof/>
                <w:sz w:val="20"/>
                <w:szCs w:val="20"/>
                <w:lang w:val="en-IE" w:eastAsia="en-IE"/>
              </w:rPr>
            </w:pPr>
            <w:r w:rsidRPr="003B3F5E">
              <w:rPr>
                <w:noProof/>
                <w:sz w:val="20"/>
                <w:szCs w:val="20"/>
              </w:rPr>
              <w:t xml:space="preserve"> -</w:t>
            </w:r>
          </w:p>
        </w:tc>
        <w:tc>
          <w:tcPr>
            <w:tcW w:w="993" w:type="dxa"/>
          </w:tcPr>
          <w:p w14:paraId="2CCA3D82"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65A65EBE" w14:textId="77777777" w:rsidR="004A6FE3" w:rsidRPr="00092BFD" w:rsidRDefault="004A6FE3">
            <w:pPr>
              <w:spacing w:after="0"/>
              <w:jc w:val="right"/>
              <w:rPr>
                <w:noProof/>
                <w:sz w:val="20"/>
                <w:szCs w:val="20"/>
              </w:rPr>
            </w:pPr>
            <w:r w:rsidRPr="00FA63C0">
              <w:rPr>
                <w:noProof/>
                <w:sz w:val="20"/>
                <w:szCs w:val="20"/>
              </w:rPr>
              <w:t xml:space="preserve"> -   </w:t>
            </w:r>
          </w:p>
        </w:tc>
        <w:tc>
          <w:tcPr>
            <w:tcW w:w="1418" w:type="dxa"/>
            <w:noWrap/>
          </w:tcPr>
          <w:p w14:paraId="3A8D99E8" w14:textId="77777777" w:rsidR="004A6FE3" w:rsidRPr="00092BFD" w:rsidRDefault="004A6FE3">
            <w:pPr>
              <w:spacing w:after="0"/>
              <w:jc w:val="right"/>
              <w:rPr>
                <w:noProof/>
                <w:sz w:val="20"/>
                <w:szCs w:val="20"/>
              </w:rPr>
            </w:pPr>
            <w:r w:rsidRPr="00FA63C0">
              <w:rPr>
                <w:noProof/>
                <w:sz w:val="20"/>
                <w:szCs w:val="20"/>
              </w:rPr>
              <w:t xml:space="preserve">-   </w:t>
            </w:r>
          </w:p>
        </w:tc>
        <w:tc>
          <w:tcPr>
            <w:tcW w:w="1417" w:type="dxa"/>
            <w:noWrap/>
          </w:tcPr>
          <w:p w14:paraId="65562EEC" w14:textId="77777777" w:rsidR="004A6FE3" w:rsidRPr="00092BFD" w:rsidRDefault="004A6FE3">
            <w:pPr>
              <w:spacing w:after="0"/>
              <w:jc w:val="right"/>
              <w:rPr>
                <w:noProof/>
                <w:sz w:val="20"/>
                <w:szCs w:val="20"/>
              </w:rPr>
            </w:pPr>
            <w:r w:rsidRPr="00FA63C0">
              <w:rPr>
                <w:noProof/>
                <w:sz w:val="20"/>
                <w:szCs w:val="20"/>
              </w:rPr>
              <w:t xml:space="preserve"> -   </w:t>
            </w:r>
          </w:p>
        </w:tc>
      </w:tr>
      <w:tr w:rsidR="004A6FE3" w:rsidRPr="000A7265" w14:paraId="76AE5855" w14:textId="77777777">
        <w:trPr>
          <w:trHeight w:val="283"/>
        </w:trPr>
        <w:tc>
          <w:tcPr>
            <w:tcW w:w="2127" w:type="dxa"/>
            <w:noWrap/>
            <w:hideMark/>
          </w:tcPr>
          <w:p w14:paraId="29FA6957"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134" w:type="dxa"/>
          </w:tcPr>
          <w:p w14:paraId="06A7E7DB"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Pr>
          <w:p w14:paraId="72766757" w14:textId="77777777" w:rsidR="004A6FE3" w:rsidRPr="00FA63C0" w:rsidRDefault="004A6FE3">
            <w:pPr>
              <w:spacing w:after="0"/>
              <w:jc w:val="right"/>
              <w:rPr>
                <w:noProof/>
                <w:sz w:val="20"/>
                <w:szCs w:val="20"/>
                <w:lang w:val="en-IE" w:eastAsia="en-IE"/>
              </w:rPr>
            </w:pPr>
            <w:r w:rsidRPr="00FA63C0">
              <w:rPr>
                <w:noProof/>
                <w:sz w:val="20"/>
                <w:szCs w:val="20"/>
              </w:rPr>
              <w:t xml:space="preserve">-   </w:t>
            </w:r>
          </w:p>
        </w:tc>
        <w:tc>
          <w:tcPr>
            <w:tcW w:w="993" w:type="dxa"/>
          </w:tcPr>
          <w:p w14:paraId="436769F1"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71582DC5" w14:textId="77777777" w:rsidR="004A6FE3" w:rsidRPr="00092BFD" w:rsidRDefault="004A6FE3">
            <w:pPr>
              <w:spacing w:after="0"/>
              <w:jc w:val="right"/>
              <w:rPr>
                <w:noProof/>
                <w:sz w:val="20"/>
                <w:szCs w:val="20"/>
              </w:rPr>
            </w:pPr>
            <w:r w:rsidRPr="00FA63C0">
              <w:rPr>
                <w:noProof/>
                <w:sz w:val="20"/>
                <w:szCs w:val="20"/>
              </w:rPr>
              <w:t xml:space="preserve"> -   </w:t>
            </w:r>
          </w:p>
        </w:tc>
        <w:tc>
          <w:tcPr>
            <w:tcW w:w="1418" w:type="dxa"/>
            <w:noWrap/>
          </w:tcPr>
          <w:p w14:paraId="5EE0DBFF" w14:textId="77777777" w:rsidR="004A6FE3" w:rsidRPr="00092BFD" w:rsidRDefault="004A6FE3">
            <w:pPr>
              <w:spacing w:after="0"/>
              <w:jc w:val="right"/>
              <w:rPr>
                <w:noProof/>
                <w:sz w:val="20"/>
                <w:szCs w:val="20"/>
              </w:rPr>
            </w:pPr>
            <w:r w:rsidRPr="00FA63C0">
              <w:rPr>
                <w:noProof/>
                <w:sz w:val="20"/>
                <w:szCs w:val="20"/>
              </w:rPr>
              <w:t xml:space="preserve">-   </w:t>
            </w:r>
          </w:p>
        </w:tc>
        <w:tc>
          <w:tcPr>
            <w:tcW w:w="1417" w:type="dxa"/>
            <w:noWrap/>
          </w:tcPr>
          <w:p w14:paraId="7364A22C" w14:textId="77777777" w:rsidR="004A6FE3" w:rsidRPr="00092BFD" w:rsidRDefault="004A6FE3">
            <w:pPr>
              <w:spacing w:after="0"/>
              <w:jc w:val="right"/>
              <w:rPr>
                <w:noProof/>
                <w:sz w:val="20"/>
                <w:szCs w:val="20"/>
              </w:rPr>
            </w:pPr>
            <w:r w:rsidRPr="00FA63C0">
              <w:rPr>
                <w:noProof/>
                <w:sz w:val="20"/>
                <w:szCs w:val="20"/>
              </w:rPr>
              <w:t xml:space="preserve"> -   </w:t>
            </w:r>
          </w:p>
        </w:tc>
      </w:tr>
      <w:tr w:rsidR="004A6FE3" w:rsidRPr="000A7265" w14:paraId="00CB7E5E" w14:textId="77777777">
        <w:trPr>
          <w:trHeight w:val="283"/>
        </w:trPr>
        <w:tc>
          <w:tcPr>
            <w:tcW w:w="2127" w:type="dxa"/>
            <w:noWrap/>
            <w:hideMark/>
          </w:tcPr>
          <w:p w14:paraId="197FB9E1"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134" w:type="dxa"/>
          </w:tcPr>
          <w:p w14:paraId="540AB019"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Pr>
          <w:p w14:paraId="3912943C" w14:textId="77777777" w:rsidR="004A6FE3" w:rsidRPr="00FA63C0" w:rsidRDefault="004A6FE3">
            <w:pPr>
              <w:spacing w:after="0"/>
              <w:jc w:val="right"/>
              <w:rPr>
                <w:noProof/>
                <w:sz w:val="20"/>
                <w:szCs w:val="20"/>
                <w:lang w:val="en-IE" w:eastAsia="en-IE"/>
              </w:rPr>
            </w:pPr>
            <w:r w:rsidRPr="00FA63C0">
              <w:rPr>
                <w:noProof/>
                <w:sz w:val="20"/>
                <w:szCs w:val="20"/>
              </w:rPr>
              <w:t xml:space="preserve">-   </w:t>
            </w:r>
          </w:p>
        </w:tc>
        <w:tc>
          <w:tcPr>
            <w:tcW w:w="993" w:type="dxa"/>
          </w:tcPr>
          <w:p w14:paraId="18CDA3E1"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2414BFAA" w14:textId="77777777" w:rsidR="004A6FE3" w:rsidRPr="00092BFD" w:rsidRDefault="004A6FE3">
            <w:pPr>
              <w:spacing w:after="0"/>
              <w:jc w:val="right"/>
              <w:rPr>
                <w:noProof/>
                <w:sz w:val="20"/>
                <w:szCs w:val="20"/>
              </w:rPr>
            </w:pPr>
            <w:r w:rsidRPr="00FA63C0">
              <w:rPr>
                <w:noProof/>
                <w:sz w:val="20"/>
                <w:szCs w:val="20"/>
              </w:rPr>
              <w:t xml:space="preserve"> -   </w:t>
            </w:r>
          </w:p>
        </w:tc>
        <w:tc>
          <w:tcPr>
            <w:tcW w:w="1418" w:type="dxa"/>
            <w:noWrap/>
          </w:tcPr>
          <w:p w14:paraId="4B0996D4" w14:textId="77777777" w:rsidR="004A6FE3" w:rsidRPr="00092BFD" w:rsidRDefault="004A6FE3">
            <w:pPr>
              <w:spacing w:after="0"/>
              <w:jc w:val="right"/>
              <w:rPr>
                <w:noProof/>
                <w:sz w:val="20"/>
                <w:szCs w:val="20"/>
              </w:rPr>
            </w:pPr>
            <w:r w:rsidRPr="00FA63C0">
              <w:rPr>
                <w:noProof/>
                <w:sz w:val="20"/>
                <w:szCs w:val="20"/>
              </w:rPr>
              <w:t xml:space="preserve">-   </w:t>
            </w:r>
          </w:p>
        </w:tc>
        <w:tc>
          <w:tcPr>
            <w:tcW w:w="1417" w:type="dxa"/>
            <w:noWrap/>
          </w:tcPr>
          <w:p w14:paraId="49EC1416" w14:textId="77777777" w:rsidR="004A6FE3" w:rsidRPr="00092BFD" w:rsidRDefault="004A6FE3">
            <w:pPr>
              <w:spacing w:after="0"/>
              <w:jc w:val="right"/>
              <w:rPr>
                <w:noProof/>
                <w:sz w:val="20"/>
                <w:szCs w:val="20"/>
              </w:rPr>
            </w:pPr>
            <w:r w:rsidRPr="00FA63C0">
              <w:rPr>
                <w:noProof/>
                <w:sz w:val="20"/>
                <w:szCs w:val="20"/>
              </w:rPr>
              <w:t xml:space="preserve"> -   </w:t>
            </w:r>
          </w:p>
        </w:tc>
      </w:tr>
      <w:tr w:rsidR="004A6FE3" w:rsidRPr="000A7265" w14:paraId="5D30AEDF" w14:textId="77777777">
        <w:trPr>
          <w:trHeight w:val="283"/>
        </w:trPr>
        <w:tc>
          <w:tcPr>
            <w:tcW w:w="2127" w:type="dxa"/>
            <w:noWrap/>
            <w:hideMark/>
          </w:tcPr>
          <w:p w14:paraId="19BB7E9E"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134" w:type="dxa"/>
          </w:tcPr>
          <w:p w14:paraId="48F53C28"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Pr>
          <w:p w14:paraId="031197D3" w14:textId="77777777" w:rsidR="004A6FE3" w:rsidRPr="00FA63C0" w:rsidRDefault="004A6FE3">
            <w:pPr>
              <w:spacing w:after="0"/>
              <w:jc w:val="right"/>
              <w:rPr>
                <w:noProof/>
                <w:sz w:val="20"/>
                <w:szCs w:val="20"/>
                <w:lang w:val="en-IE" w:eastAsia="en-IE"/>
              </w:rPr>
            </w:pPr>
            <w:r w:rsidRPr="00FA63C0">
              <w:rPr>
                <w:noProof/>
                <w:sz w:val="20"/>
                <w:szCs w:val="20"/>
              </w:rPr>
              <w:t xml:space="preserve">-   </w:t>
            </w:r>
          </w:p>
        </w:tc>
        <w:tc>
          <w:tcPr>
            <w:tcW w:w="993" w:type="dxa"/>
          </w:tcPr>
          <w:p w14:paraId="54FA27CF"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1BD605D9" w14:textId="77777777" w:rsidR="004A6FE3" w:rsidRPr="00092BFD" w:rsidRDefault="004A6FE3">
            <w:pPr>
              <w:spacing w:after="0"/>
              <w:jc w:val="right"/>
              <w:rPr>
                <w:noProof/>
                <w:sz w:val="20"/>
                <w:szCs w:val="20"/>
              </w:rPr>
            </w:pPr>
            <w:r w:rsidRPr="00FA63C0">
              <w:rPr>
                <w:noProof/>
                <w:sz w:val="20"/>
                <w:szCs w:val="20"/>
              </w:rPr>
              <w:t xml:space="preserve"> -   </w:t>
            </w:r>
          </w:p>
        </w:tc>
        <w:tc>
          <w:tcPr>
            <w:tcW w:w="1418" w:type="dxa"/>
            <w:noWrap/>
          </w:tcPr>
          <w:p w14:paraId="7CAB118C" w14:textId="77777777" w:rsidR="004A6FE3" w:rsidRPr="00092BFD" w:rsidRDefault="004A6FE3">
            <w:pPr>
              <w:spacing w:after="0"/>
              <w:jc w:val="right"/>
              <w:rPr>
                <w:noProof/>
                <w:sz w:val="20"/>
                <w:szCs w:val="20"/>
              </w:rPr>
            </w:pPr>
            <w:r w:rsidRPr="00FA63C0">
              <w:rPr>
                <w:noProof/>
                <w:sz w:val="20"/>
                <w:szCs w:val="20"/>
              </w:rPr>
              <w:t xml:space="preserve">-   </w:t>
            </w:r>
          </w:p>
        </w:tc>
        <w:tc>
          <w:tcPr>
            <w:tcW w:w="1417" w:type="dxa"/>
            <w:noWrap/>
          </w:tcPr>
          <w:p w14:paraId="49CD1F25" w14:textId="77777777" w:rsidR="004A6FE3" w:rsidRPr="00092BFD" w:rsidRDefault="004A6FE3">
            <w:pPr>
              <w:spacing w:after="0"/>
              <w:jc w:val="right"/>
              <w:rPr>
                <w:noProof/>
                <w:sz w:val="20"/>
                <w:szCs w:val="20"/>
              </w:rPr>
            </w:pPr>
            <w:r w:rsidRPr="00FA63C0">
              <w:rPr>
                <w:noProof/>
                <w:sz w:val="20"/>
                <w:szCs w:val="20"/>
              </w:rPr>
              <w:t xml:space="preserve"> -   </w:t>
            </w:r>
          </w:p>
        </w:tc>
      </w:tr>
      <w:tr w:rsidR="004A6FE3" w:rsidRPr="00A53ED9" w14:paraId="0D280BA5" w14:textId="77777777">
        <w:trPr>
          <w:trHeight w:val="283"/>
        </w:trPr>
        <w:tc>
          <w:tcPr>
            <w:tcW w:w="2127" w:type="dxa"/>
            <w:noWrap/>
            <w:hideMark/>
          </w:tcPr>
          <w:p w14:paraId="2FB19873" w14:textId="77777777" w:rsidR="004A6FE3" w:rsidRPr="00FA63C0" w:rsidRDefault="004A6FE3">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134" w:type="dxa"/>
          </w:tcPr>
          <w:p w14:paraId="4B323BC8"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tcPr>
          <w:p w14:paraId="612C56D9" w14:textId="77777777" w:rsidR="004A6FE3" w:rsidRPr="00FA63C0" w:rsidRDefault="004A6FE3">
            <w:pPr>
              <w:spacing w:after="0"/>
              <w:jc w:val="right"/>
              <w:rPr>
                <w:noProof/>
                <w:sz w:val="20"/>
                <w:szCs w:val="20"/>
                <w:lang w:val="en-IE" w:eastAsia="en-IE"/>
              </w:rPr>
            </w:pPr>
            <w:r w:rsidRPr="00FA63C0">
              <w:rPr>
                <w:noProof/>
                <w:sz w:val="20"/>
                <w:szCs w:val="20"/>
              </w:rPr>
              <w:t xml:space="preserve">-   </w:t>
            </w:r>
          </w:p>
        </w:tc>
        <w:tc>
          <w:tcPr>
            <w:tcW w:w="993" w:type="dxa"/>
          </w:tcPr>
          <w:p w14:paraId="7D0CB1F3" w14:textId="77777777" w:rsidR="004A6FE3" w:rsidRPr="00FA63C0" w:rsidRDefault="004A6FE3">
            <w:pPr>
              <w:spacing w:after="0"/>
              <w:jc w:val="right"/>
              <w:rPr>
                <w:noProof/>
                <w:sz w:val="20"/>
                <w:szCs w:val="20"/>
                <w:lang w:val="en-IE" w:eastAsia="en-IE"/>
              </w:rPr>
            </w:pPr>
            <w:r w:rsidRPr="00FA63C0">
              <w:rPr>
                <w:noProof/>
                <w:sz w:val="20"/>
                <w:szCs w:val="20"/>
              </w:rPr>
              <w:t xml:space="preserve"> -   </w:t>
            </w:r>
          </w:p>
        </w:tc>
        <w:tc>
          <w:tcPr>
            <w:tcW w:w="1417" w:type="dxa"/>
            <w:noWrap/>
          </w:tcPr>
          <w:p w14:paraId="6B139F6D" w14:textId="77777777" w:rsidR="004A6FE3" w:rsidRPr="00092BFD" w:rsidRDefault="004A6FE3">
            <w:pPr>
              <w:spacing w:after="0"/>
              <w:jc w:val="right"/>
              <w:rPr>
                <w:noProof/>
                <w:sz w:val="20"/>
                <w:szCs w:val="20"/>
              </w:rPr>
            </w:pPr>
            <w:r w:rsidRPr="00FA63C0">
              <w:rPr>
                <w:noProof/>
                <w:sz w:val="20"/>
                <w:szCs w:val="20"/>
              </w:rPr>
              <w:t xml:space="preserve"> -   </w:t>
            </w:r>
          </w:p>
        </w:tc>
        <w:tc>
          <w:tcPr>
            <w:tcW w:w="1418" w:type="dxa"/>
            <w:noWrap/>
          </w:tcPr>
          <w:p w14:paraId="6AD80504" w14:textId="77777777" w:rsidR="004A6FE3" w:rsidRPr="00092BFD" w:rsidRDefault="004A6FE3">
            <w:pPr>
              <w:spacing w:after="0"/>
              <w:jc w:val="right"/>
              <w:rPr>
                <w:noProof/>
                <w:sz w:val="20"/>
                <w:szCs w:val="20"/>
              </w:rPr>
            </w:pPr>
            <w:r w:rsidRPr="00FA63C0">
              <w:rPr>
                <w:noProof/>
                <w:sz w:val="20"/>
                <w:szCs w:val="20"/>
              </w:rPr>
              <w:t xml:space="preserve">-   </w:t>
            </w:r>
          </w:p>
        </w:tc>
        <w:tc>
          <w:tcPr>
            <w:tcW w:w="1417" w:type="dxa"/>
            <w:noWrap/>
          </w:tcPr>
          <w:p w14:paraId="7C45645C" w14:textId="77777777" w:rsidR="004A6FE3" w:rsidRPr="00092BFD" w:rsidRDefault="004A6FE3">
            <w:pPr>
              <w:spacing w:after="0"/>
              <w:jc w:val="right"/>
              <w:rPr>
                <w:noProof/>
                <w:sz w:val="20"/>
                <w:szCs w:val="20"/>
              </w:rPr>
            </w:pPr>
            <w:r w:rsidRPr="00FA63C0">
              <w:rPr>
                <w:noProof/>
                <w:sz w:val="20"/>
                <w:szCs w:val="20"/>
              </w:rPr>
              <w:t xml:space="preserve"> -   </w:t>
            </w:r>
          </w:p>
        </w:tc>
      </w:tr>
      <w:tr w:rsidR="00D14C3A" w:rsidRPr="00397C78" w14:paraId="2DDCA37F" w14:textId="77777777">
        <w:trPr>
          <w:trHeight w:val="283"/>
        </w:trPr>
        <w:tc>
          <w:tcPr>
            <w:tcW w:w="2127" w:type="dxa"/>
            <w:shd w:val="clear" w:color="auto" w:fill="F2DBDB" w:themeFill="accent2" w:themeFillTint="33"/>
            <w:noWrap/>
            <w:hideMark/>
          </w:tcPr>
          <w:p w14:paraId="545373E9" w14:textId="77777777" w:rsidR="00D14C3A" w:rsidRPr="00FA63C0" w:rsidRDefault="00D14C3A" w:rsidP="00D14C3A">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134" w:type="dxa"/>
            <w:shd w:val="clear" w:color="auto" w:fill="F2DBDB" w:themeFill="accent2" w:themeFillTint="33"/>
          </w:tcPr>
          <w:p w14:paraId="2092899D" w14:textId="4E6EB558" w:rsidR="00D14C3A" w:rsidRPr="00830841" w:rsidRDefault="00D6054C" w:rsidP="004410C3">
            <w:pPr>
              <w:spacing w:after="0"/>
              <w:jc w:val="right"/>
              <w:rPr>
                <w:noProof/>
                <w:sz w:val="20"/>
                <w:szCs w:val="20"/>
                <w:lang w:val="en-IE" w:eastAsia="en-IE"/>
              </w:rPr>
            </w:pPr>
            <w:r w:rsidRPr="00092BFD">
              <w:rPr>
                <w:noProof/>
                <w:sz w:val="20"/>
                <w:szCs w:val="20"/>
              </w:rPr>
              <w:t>57 505 922</w:t>
            </w:r>
          </w:p>
        </w:tc>
        <w:tc>
          <w:tcPr>
            <w:tcW w:w="1417" w:type="dxa"/>
            <w:shd w:val="clear" w:color="auto" w:fill="F2DBDB" w:themeFill="accent2" w:themeFillTint="33"/>
          </w:tcPr>
          <w:p w14:paraId="30B608F4" w14:textId="2C8CD87C" w:rsidR="00D14C3A" w:rsidRPr="00830841" w:rsidRDefault="00D14C3A" w:rsidP="00D14C3A">
            <w:pPr>
              <w:spacing w:after="0"/>
              <w:jc w:val="right"/>
              <w:rPr>
                <w:noProof/>
                <w:sz w:val="20"/>
                <w:szCs w:val="20"/>
                <w:lang w:val="en-IE" w:eastAsia="en-IE"/>
              </w:rPr>
            </w:pPr>
            <w:r>
              <w:rPr>
                <w:noProof/>
                <w:sz w:val="20"/>
                <w:szCs w:val="20"/>
              </w:rPr>
              <w:t xml:space="preserve"> 89 </w:t>
            </w:r>
            <w:r w:rsidR="00171EA7">
              <w:rPr>
                <w:noProof/>
                <w:sz w:val="20"/>
                <w:szCs w:val="20"/>
              </w:rPr>
              <w:t>2</w:t>
            </w:r>
            <w:r>
              <w:rPr>
                <w:noProof/>
                <w:sz w:val="20"/>
                <w:szCs w:val="20"/>
              </w:rPr>
              <w:t>12</w:t>
            </w:r>
            <w:r w:rsidR="00171EA7">
              <w:rPr>
                <w:noProof/>
                <w:sz w:val="20"/>
                <w:szCs w:val="20"/>
              </w:rPr>
              <w:t>092</w:t>
            </w:r>
          </w:p>
        </w:tc>
        <w:tc>
          <w:tcPr>
            <w:tcW w:w="993" w:type="dxa"/>
            <w:shd w:val="clear" w:color="auto" w:fill="F2DBDB" w:themeFill="accent2" w:themeFillTint="33"/>
          </w:tcPr>
          <w:p w14:paraId="528245F7" w14:textId="77777777" w:rsidR="00D14C3A" w:rsidRPr="00FA63C0" w:rsidRDefault="00D14C3A" w:rsidP="00D14C3A">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F2DBDB" w:themeFill="accent2" w:themeFillTint="33"/>
            <w:noWrap/>
          </w:tcPr>
          <w:p w14:paraId="6AC2FFF3" w14:textId="3259DA13" w:rsidR="00D14C3A" w:rsidRPr="00092BFD" w:rsidRDefault="00D14C3A" w:rsidP="00D14C3A">
            <w:pPr>
              <w:spacing w:after="0"/>
              <w:jc w:val="right"/>
              <w:rPr>
                <w:noProof/>
                <w:sz w:val="20"/>
                <w:szCs w:val="20"/>
              </w:rPr>
            </w:pPr>
            <w:r w:rsidRPr="00092BFD">
              <w:rPr>
                <w:noProof/>
                <w:sz w:val="20"/>
                <w:szCs w:val="20"/>
              </w:rPr>
              <w:t xml:space="preserve">  146 </w:t>
            </w:r>
            <w:r w:rsidR="00DB3727">
              <w:rPr>
                <w:noProof/>
                <w:sz w:val="20"/>
                <w:szCs w:val="20"/>
              </w:rPr>
              <w:t>7170984</w:t>
            </w:r>
            <w:r w:rsidRPr="00092BFD">
              <w:rPr>
                <w:noProof/>
                <w:sz w:val="20"/>
                <w:szCs w:val="20"/>
              </w:rPr>
              <w:t xml:space="preserve"> </w:t>
            </w:r>
          </w:p>
        </w:tc>
        <w:tc>
          <w:tcPr>
            <w:tcW w:w="1418" w:type="dxa"/>
            <w:shd w:val="clear" w:color="auto" w:fill="F2DBDB" w:themeFill="accent2" w:themeFillTint="33"/>
            <w:noWrap/>
          </w:tcPr>
          <w:p w14:paraId="55E20AB5" w14:textId="3C0FDA41" w:rsidR="00D14C3A" w:rsidRPr="00092BFD" w:rsidRDefault="00D14C3A" w:rsidP="00D14C3A">
            <w:pPr>
              <w:spacing w:after="0"/>
              <w:jc w:val="right"/>
              <w:rPr>
                <w:noProof/>
                <w:sz w:val="20"/>
                <w:szCs w:val="20"/>
              </w:rPr>
            </w:pPr>
            <w:r w:rsidRPr="00092BFD">
              <w:rPr>
                <w:noProof/>
                <w:sz w:val="20"/>
                <w:szCs w:val="20"/>
              </w:rPr>
              <w:t xml:space="preserve">  101 313 678 </w:t>
            </w:r>
          </w:p>
        </w:tc>
        <w:tc>
          <w:tcPr>
            <w:tcW w:w="1417" w:type="dxa"/>
            <w:shd w:val="clear" w:color="auto" w:fill="F2DBDB" w:themeFill="accent2" w:themeFillTint="33"/>
            <w:noWrap/>
          </w:tcPr>
          <w:p w14:paraId="5BC19E24" w14:textId="4734B0CD" w:rsidR="00D14C3A" w:rsidRPr="00092BFD" w:rsidRDefault="00D14C3A" w:rsidP="00D14C3A">
            <w:pPr>
              <w:spacing w:after="0"/>
              <w:jc w:val="right"/>
              <w:rPr>
                <w:noProof/>
                <w:sz w:val="20"/>
                <w:szCs w:val="20"/>
              </w:rPr>
            </w:pPr>
            <w:r w:rsidRPr="00092BFD">
              <w:rPr>
                <w:noProof/>
                <w:sz w:val="20"/>
                <w:szCs w:val="20"/>
              </w:rPr>
              <w:t xml:space="preserve"> 204 493 419 </w:t>
            </w:r>
          </w:p>
        </w:tc>
      </w:tr>
      <w:tr w:rsidR="004A6FE3" w:rsidRPr="007B1859" w14:paraId="5B091FF3" w14:textId="77777777">
        <w:trPr>
          <w:trHeight w:val="283"/>
        </w:trPr>
        <w:tc>
          <w:tcPr>
            <w:tcW w:w="2127" w:type="dxa"/>
            <w:shd w:val="clear" w:color="auto" w:fill="EAF1DD" w:themeFill="accent3" w:themeFillTint="33"/>
            <w:noWrap/>
            <w:hideMark/>
          </w:tcPr>
          <w:p w14:paraId="0478FF81" w14:textId="77777777" w:rsidR="004A6FE3" w:rsidRPr="00FA63C0" w:rsidRDefault="004A6FE3">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134" w:type="dxa"/>
            <w:shd w:val="clear" w:color="auto" w:fill="EAF1DD" w:themeFill="accent3" w:themeFillTint="33"/>
          </w:tcPr>
          <w:p w14:paraId="30EEAC77" w14:textId="77777777" w:rsidR="004A6FE3" w:rsidRPr="00FA63C0" w:rsidRDefault="004A6FE3">
            <w:pPr>
              <w:spacing w:after="0"/>
              <w:jc w:val="right"/>
              <w:rPr>
                <w:b/>
                <w:bCs/>
                <w:noProof/>
                <w:sz w:val="20"/>
                <w:szCs w:val="20"/>
                <w:lang w:val="en-IE" w:eastAsia="en-IE"/>
              </w:rPr>
            </w:pPr>
            <w:r w:rsidRPr="00FA63C0">
              <w:rPr>
                <w:noProof/>
                <w:sz w:val="20"/>
                <w:szCs w:val="20"/>
              </w:rPr>
              <w:t>-</w:t>
            </w:r>
          </w:p>
        </w:tc>
        <w:tc>
          <w:tcPr>
            <w:tcW w:w="1417" w:type="dxa"/>
            <w:shd w:val="clear" w:color="auto" w:fill="EAF1DD" w:themeFill="accent3" w:themeFillTint="33"/>
          </w:tcPr>
          <w:p w14:paraId="4F5B1856" w14:textId="77777777" w:rsidR="004A6FE3" w:rsidRPr="00331247" w:rsidRDefault="004A6FE3">
            <w:pPr>
              <w:spacing w:after="0"/>
              <w:jc w:val="right"/>
              <w:rPr>
                <w:noProof/>
                <w:sz w:val="20"/>
                <w:szCs w:val="20"/>
                <w:lang w:val="en-IE" w:eastAsia="en-IE"/>
              </w:rPr>
            </w:pPr>
            <w:r>
              <w:rPr>
                <w:noProof/>
                <w:sz w:val="20"/>
                <w:szCs w:val="20"/>
              </w:rPr>
              <w:t xml:space="preserve"> </w:t>
            </w:r>
            <w:r w:rsidRPr="00E54080">
              <w:rPr>
                <w:noProof/>
                <w:sz w:val="20"/>
                <w:szCs w:val="20"/>
              </w:rPr>
              <w:t>(6</w:t>
            </w:r>
            <w:r>
              <w:rPr>
                <w:noProof/>
                <w:sz w:val="20"/>
                <w:szCs w:val="20"/>
              </w:rPr>
              <w:t xml:space="preserve"> </w:t>
            </w:r>
            <w:r w:rsidRPr="00E54080">
              <w:rPr>
                <w:noProof/>
                <w:sz w:val="20"/>
                <w:szCs w:val="20"/>
              </w:rPr>
              <w:t>520</w:t>
            </w:r>
            <w:r>
              <w:rPr>
                <w:noProof/>
                <w:sz w:val="20"/>
                <w:szCs w:val="20"/>
              </w:rPr>
              <w:t xml:space="preserve"> </w:t>
            </w:r>
            <w:r w:rsidRPr="00E54080">
              <w:rPr>
                <w:noProof/>
                <w:sz w:val="20"/>
                <w:szCs w:val="20"/>
              </w:rPr>
              <w:t>539)</w:t>
            </w:r>
          </w:p>
        </w:tc>
        <w:tc>
          <w:tcPr>
            <w:tcW w:w="993" w:type="dxa"/>
            <w:shd w:val="clear" w:color="auto" w:fill="EAF1DD" w:themeFill="accent3" w:themeFillTint="33"/>
          </w:tcPr>
          <w:p w14:paraId="74C1838A" w14:textId="77777777" w:rsidR="004A6FE3" w:rsidRPr="00FA63C0" w:rsidRDefault="004A6FE3">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EAF1DD" w:themeFill="accent3" w:themeFillTint="33"/>
            <w:noWrap/>
          </w:tcPr>
          <w:p w14:paraId="3EE03F57" w14:textId="7E28E17C" w:rsidR="004A6FE3" w:rsidRPr="00092BFD" w:rsidRDefault="009E7C6B">
            <w:pPr>
              <w:spacing w:after="0"/>
              <w:jc w:val="right"/>
              <w:rPr>
                <w:noProof/>
                <w:sz w:val="20"/>
                <w:szCs w:val="20"/>
              </w:rPr>
            </w:pPr>
            <w:r w:rsidRPr="00092BFD">
              <w:rPr>
                <w:noProof/>
                <w:sz w:val="20"/>
                <w:szCs w:val="20"/>
              </w:rPr>
              <w:t xml:space="preserve"> </w:t>
            </w:r>
            <w:r w:rsidR="005329C8" w:rsidRPr="00092BFD">
              <w:rPr>
                <w:noProof/>
                <w:sz w:val="20"/>
                <w:szCs w:val="20"/>
              </w:rPr>
              <w:t xml:space="preserve"> </w:t>
            </w:r>
            <w:r w:rsidRPr="00092BFD">
              <w:rPr>
                <w:noProof/>
                <w:sz w:val="20"/>
                <w:szCs w:val="20"/>
              </w:rPr>
              <w:t>(6</w:t>
            </w:r>
            <w:r w:rsidR="005329C8" w:rsidRPr="00092BFD">
              <w:rPr>
                <w:noProof/>
                <w:sz w:val="20"/>
                <w:szCs w:val="20"/>
              </w:rPr>
              <w:t xml:space="preserve"> </w:t>
            </w:r>
            <w:r w:rsidRPr="00092BFD">
              <w:rPr>
                <w:noProof/>
                <w:sz w:val="20"/>
                <w:szCs w:val="20"/>
              </w:rPr>
              <w:t>520</w:t>
            </w:r>
            <w:r w:rsidR="005329C8" w:rsidRPr="00092BFD">
              <w:rPr>
                <w:noProof/>
                <w:sz w:val="20"/>
                <w:szCs w:val="20"/>
              </w:rPr>
              <w:t xml:space="preserve"> </w:t>
            </w:r>
            <w:r w:rsidRPr="00092BFD">
              <w:rPr>
                <w:noProof/>
                <w:sz w:val="20"/>
                <w:szCs w:val="20"/>
              </w:rPr>
              <w:t>539)</w:t>
            </w:r>
          </w:p>
        </w:tc>
        <w:tc>
          <w:tcPr>
            <w:tcW w:w="1418" w:type="dxa"/>
            <w:shd w:val="clear" w:color="auto" w:fill="EAF1DD" w:themeFill="accent3" w:themeFillTint="33"/>
            <w:noWrap/>
          </w:tcPr>
          <w:p w14:paraId="3BEAD056" w14:textId="015F406C" w:rsidR="004A6FE3" w:rsidRPr="00092BFD" w:rsidRDefault="009E7C6B">
            <w:pPr>
              <w:spacing w:after="0"/>
              <w:jc w:val="right"/>
              <w:rPr>
                <w:noProof/>
                <w:sz w:val="20"/>
                <w:szCs w:val="20"/>
              </w:rPr>
            </w:pPr>
            <w:r w:rsidRPr="00092BFD">
              <w:rPr>
                <w:noProof/>
                <w:sz w:val="20"/>
                <w:szCs w:val="20"/>
              </w:rPr>
              <w:t xml:space="preserve"> (4</w:t>
            </w:r>
            <w:r w:rsidR="005329C8" w:rsidRPr="00092BFD">
              <w:rPr>
                <w:noProof/>
                <w:sz w:val="20"/>
                <w:szCs w:val="20"/>
              </w:rPr>
              <w:t xml:space="preserve"> </w:t>
            </w:r>
            <w:r w:rsidRPr="00092BFD">
              <w:rPr>
                <w:noProof/>
                <w:sz w:val="20"/>
                <w:szCs w:val="20"/>
              </w:rPr>
              <w:t>347</w:t>
            </w:r>
            <w:r w:rsidR="005329C8" w:rsidRPr="00092BFD">
              <w:rPr>
                <w:noProof/>
                <w:sz w:val="20"/>
                <w:szCs w:val="20"/>
              </w:rPr>
              <w:t xml:space="preserve"> </w:t>
            </w:r>
            <w:r w:rsidRPr="00092BFD">
              <w:rPr>
                <w:noProof/>
                <w:sz w:val="20"/>
                <w:szCs w:val="20"/>
              </w:rPr>
              <w:t>026)</w:t>
            </w:r>
          </w:p>
        </w:tc>
        <w:tc>
          <w:tcPr>
            <w:tcW w:w="1417" w:type="dxa"/>
            <w:shd w:val="clear" w:color="auto" w:fill="EAF1DD" w:themeFill="accent3" w:themeFillTint="33"/>
            <w:noWrap/>
          </w:tcPr>
          <w:p w14:paraId="3A474404" w14:textId="3E3711C7" w:rsidR="004A6FE3" w:rsidRPr="00092BFD" w:rsidRDefault="009E7C6B">
            <w:pPr>
              <w:spacing w:after="0"/>
              <w:jc w:val="right"/>
              <w:rPr>
                <w:noProof/>
                <w:sz w:val="20"/>
                <w:szCs w:val="20"/>
              </w:rPr>
            </w:pPr>
            <w:r w:rsidRPr="00092BFD">
              <w:rPr>
                <w:noProof/>
                <w:sz w:val="20"/>
                <w:szCs w:val="20"/>
              </w:rPr>
              <w:t xml:space="preserve"> (13</w:t>
            </w:r>
            <w:r w:rsidR="005329C8" w:rsidRPr="00092BFD">
              <w:rPr>
                <w:noProof/>
                <w:sz w:val="20"/>
                <w:szCs w:val="20"/>
              </w:rPr>
              <w:t xml:space="preserve"> </w:t>
            </w:r>
            <w:r w:rsidRPr="00092BFD">
              <w:rPr>
                <w:noProof/>
                <w:sz w:val="20"/>
                <w:szCs w:val="20"/>
              </w:rPr>
              <w:t>041</w:t>
            </w:r>
            <w:r w:rsidR="005329C8" w:rsidRPr="00092BFD">
              <w:rPr>
                <w:noProof/>
                <w:sz w:val="20"/>
                <w:szCs w:val="20"/>
              </w:rPr>
              <w:t xml:space="preserve"> </w:t>
            </w:r>
            <w:r w:rsidRPr="00092BFD">
              <w:rPr>
                <w:noProof/>
                <w:sz w:val="20"/>
                <w:szCs w:val="20"/>
              </w:rPr>
              <w:t>078)</w:t>
            </w:r>
          </w:p>
        </w:tc>
      </w:tr>
      <w:tr w:rsidR="004A6FE3" w:rsidRPr="007C40E5" w14:paraId="5276CA67" w14:textId="77777777">
        <w:trPr>
          <w:trHeight w:val="283"/>
        </w:trPr>
        <w:tc>
          <w:tcPr>
            <w:tcW w:w="2127" w:type="dxa"/>
            <w:shd w:val="clear" w:color="auto" w:fill="F2F2F2" w:themeFill="background1" w:themeFillShade="F2"/>
            <w:noWrap/>
            <w:hideMark/>
          </w:tcPr>
          <w:p w14:paraId="081B8698" w14:textId="77777777" w:rsidR="004A6FE3" w:rsidRPr="00FA63C0" w:rsidRDefault="004A6FE3">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134" w:type="dxa"/>
            <w:shd w:val="clear" w:color="auto" w:fill="F2F2F2" w:themeFill="background1" w:themeFillShade="F2"/>
          </w:tcPr>
          <w:p w14:paraId="23073C7A" w14:textId="4B6F835C" w:rsidR="004A6FE3" w:rsidRPr="00FA63C0" w:rsidRDefault="00D6054C">
            <w:pPr>
              <w:spacing w:after="0"/>
              <w:jc w:val="right"/>
              <w:rPr>
                <w:b/>
                <w:bCs/>
                <w:noProof/>
                <w:sz w:val="20"/>
                <w:szCs w:val="20"/>
                <w:lang w:val="en-IE" w:eastAsia="en-IE"/>
              </w:rPr>
            </w:pPr>
            <w:r w:rsidRPr="00D6054C">
              <w:rPr>
                <w:b/>
                <w:bCs/>
                <w:noProof/>
                <w:sz w:val="20"/>
                <w:szCs w:val="20"/>
                <w:lang w:val="en-IE" w:eastAsia="en-IE"/>
              </w:rPr>
              <w:t>57 505 922</w:t>
            </w:r>
          </w:p>
        </w:tc>
        <w:tc>
          <w:tcPr>
            <w:tcW w:w="1417" w:type="dxa"/>
            <w:shd w:val="clear" w:color="auto" w:fill="F2F2F2" w:themeFill="background1" w:themeFillShade="F2"/>
          </w:tcPr>
          <w:p w14:paraId="67A7E431" w14:textId="4345AA00" w:rsidR="004A6FE3" w:rsidRPr="00331247" w:rsidRDefault="000B3CE0">
            <w:pPr>
              <w:spacing w:after="0"/>
              <w:jc w:val="right"/>
              <w:rPr>
                <w:b/>
                <w:bCs/>
                <w:noProof/>
                <w:sz w:val="20"/>
                <w:szCs w:val="20"/>
                <w:lang w:val="en-IE" w:eastAsia="en-IE"/>
              </w:rPr>
            </w:pPr>
            <w:r>
              <w:rPr>
                <w:b/>
                <w:bCs/>
                <w:noProof/>
                <w:sz w:val="20"/>
                <w:szCs w:val="20"/>
                <w:lang w:val="en-IE" w:eastAsia="en-IE"/>
              </w:rPr>
              <w:t xml:space="preserve">82 </w:t>
            </w:r>
            <w:r w:rsidR="004354E4">
              <w:rPr>
                <w:b/>
                <w:bCs/>
                <w:noProof/>
                <w:sz w:val="20"/>
                <w:szCs w:val="20"/>
                <w:lang w:val="en-IE" w:eastAsia="en-IE"/>
              </w:rPr>
              <w:t>6</w:t>
            </w:r>
            <w:r>
              <w:rPr>
                <w:b/>
                <w:bCs/>
                <w:noProof/>
                <w:sz w:val="20"/>
                <w:szCs w:val="20"/>
                <w:lang w:val="en-IE" w:eastAsia="en-IE"/>
              </w:rPr>
              <w:t>9</w:t>
            </w:r>
            <w:r w:rsidR="00B73017">
              <w:rPr>
                <w:b/>
                <w:bCs/>
                <w:noProof/>
                <w:sz w:val="20"/>
                <w:szCs w:val="20"/>
                <w:lang w:val="en-IE" w:eastAsia="en-IE"/>
              </w:rPr>
              <w:t>1</w:t>
            </w:r>
            <w:r w:rsidR="004354E4">
              <w:rPr>
                <w:b/>
                <w:bCs/>
                <w:noProof/>
                <w:sz w:val="20"/>
                <w:szCs w:val="20"/>
                <w:lang w:val="en-IE" w:eastAsia="en-IE"/>
              </w:rPr>
              <w:t>2</w:t>
            </w:r>
            <w:r>
              <w:rPr>
                <w:b/>
                <w:bCs/>
                <w:noProof/>
                <w:sz w:val="20"/>
                <w:szCs w:val="20"/>
                <w:lang w:val="en-IE" w:eastAsia="en-IE"/>
              </w:rPr>
              <w:t xml:space="preserve"> </w:t>
            </w:r>
            <w:r w:rsidR="00B73017">
              <w:rPr>
                <w:b/>
                <w:bCs/>
                <w:noProof/>
                <w:sz w:val="20"/>
                <w:szCs w:val="20"/>
                <w:lang w:val="en-IE" w:eastAsia="en-IE"/>
              </w:rPr>
              <w:t>523</w:t>
            </w:r>
          </w:p>
        </w:tc>
        <w:tc>
          <w:tcPr>
            <w:tcW w:w="993" w:type="dxa"/>
            <w:shd w:val="clear" w:color="auto" w:fill="F2F2F2" w:themeFill="background1" w:themeFillShade="F2"/>
          </w:tcPr>
          <w:p w14:paraId="2EEA1DC5" w14:textId="77777777" w:rsidR="004A6FE3" w:rsidRPr="00FA63C0" w:rsidRDefault="004A6FE3">
            <w:pPr>
              <w:spacing w:after="0"/>
              <w:jc w:val="right"/>
              <w:rPr>
                <w:b/>
                <w:bCs/>
                <w:noProof/>
                <w:sz w:val="20"/>
                <w:szCs w:val="20"/>
                <w:lang w:val="en-IE" w:eastAsia="en-IE"/>
              </w:rPr>
            </w:pPr>
            <w:r w:rsidRPr="00457DE7">
              <w:rPr>
                <w:noProof/>
                <w:sz w:val="20"/>
                <w:szCs w:val="20"/>
              </w:rPr>
              <w:t xml:space="preserve"> -</w:t>
            </w:r>
          </w:p>
        </w:tc>
        <w:tc>
          <w:tcPr>
            <w:tcW w:w="1417" w:type="dxa"/>
            <w:shd w:val="clear" w:color="auto" w:fill="F2F2F2" w:themeFill="background1" w:themeFillShade="F2"/>
            <w:noWrap/>
          </w:tcPr>
          <w:p w14:paraId="6684CC9B" w14:textId="6297A92D" w:rsidR="004A6FE3" w:rsidRPr="00092BFD" w:rsidRDefault="00C22EB2">
            <w:pPr>
              <w:spacing w:after="0"/>
              <w:jc w:val="right"/>
              <w:rPr>
                <w:noProof/>
                <w:sz w:val="20"/>
                <w:szCs w:val="20"/>
              </w:rPr>
            </w:pPr>
            <w:r w:rsidRPr="00092BFD">
              <w:rPr>
                <w:noProof/>
                <w:sz w:val="20"/>
                <w:szCs w:val="20"/>
              </w:rPr>
              <w:t xml:space="preserve">140 </w:t>
            </w:r>
            <w:r w:rsidR="00DB3727">
              <w:rPr>
                <w:noProof/>
                <w:sz w:val="20"/>
                <w:szCs w:val="20"/>
              </w:rPr>
              <w:t>1</w:t>
            </w:r>
            <w:r w:rsidRPr="00092BFD">
              <w:rPr>
                <w:noProof/>
                <w:sz w:val="20"/>
                <w:szCs w:val="20"/>
              </w:rPr>
              <w:t>9</w:t>
            </w:r>
            <w:r w:rsidR="00DB3727">
              <w:rPr>
                <w:noProof/>
                <w:sz w:val="20"/>
                <w:szCs w:val="20"/>
              </w:rPr>
              <w:t>7</w:t>
            </w:r>
            <w:r w:rsidRPr="00092BFD">
              <w:rPr>
                <w:noProof/>
                <w:sz w:val="20"/>
                <w:szCs w:val="20"/>
              </w:rPr>
              <w:t xml:space="preserve"> </w:t>
            </w:r>
            <w:r w:rsidR="00DB3727">
              <w:rPr>
                <w:noProof/>
                <w:sz w:val="20"/>
                <w:szCs w:val="20"/>
              </w:rPr>
              <w:t>445</w:t>
            </w:r>
            <w:r w:rsidR="005329C8" w:rsidRPr="00092BFD">
              <w:rPr>
                <w:noProof/>
                <w:sz w:val="20"/>
                <w:szCs w:val="20"/>
              </w:rPr>
              <w:t xml:space="preserve"> </w:t>
            </w:r>
          </w:p>
        </w:tc>
        <w:tc>
          <w:tcPr>
            <w:tcW w:w="1418" w:type="dxa"/>
            <w:shd w:val="clear" w:color="auto" w:fill="F2F2F2" w:themeFill="background1" w:themeFillShade="F2"/>
            <w:noWrap/>
          </w:tcPr>
          <w:p w14:paraId="0FAA3F70" w14:textId="49E06160" w:rsidR="004A6FE3" w:rsidRPr="00092BFD" w:rsidRDefault="005329C8">
            <w:pPr>
              <w:spacing w:after="0"/>
              <w:jc w:val="right"/>
              <w:rPr>
                <w:noProof/>
                <w:sz w:val="20"/>
                <w:szCs w:val="20"/>
              </w:rPr>
            </w:pPr>
            <w:r w:rsidRPr="00092BFD">
              <w:rPr>
                <w:noProof/>
                <w:sz w:val="20"/>
                <w:szCs w:val="20"/>
              </w:rPr>
              <w:t xml:space="preserve"> 100 049 519 </w:t>
            </w:r>
          </w:p>
        </w:tc>
        <w:tc>
          <w:tcPr>
            <w:tcW w:w="1417" w:type="dxa"/>
            <w:shd w:val="clear" w:color="auto" w:fill="F2F2F2" w:themeFill="background1" w:themeFillShade="F2"/>
            <w:noWrap/>
          </w:tcPr>
          <w:p w14:paraId="11505919" w14:textId="40046DBA" w:rsidR="004A6FE3" w:rsidRPr="00092BFD" w:rsidRDefault="005329C8">
            <w:pPr>
              <w:spacing w:after="0"/>
              <w:jc w:val="right"/>
              <w:rPr>
                <w:noProof/>
                <w:sz w:val="20"/>
                <w:szCs w:val="20"/>
              </w:rPr>
            </w:pPr>
            <w:r w:rsidRPr="00092BFD">
              <w:rPr>
                <w:noProof/>
                <w:sz w:val="20"/>
                <w:szCs w:val="20"/>
              </w:rPr>
              <w:t xml:space="preserve">  213 032 412 </w:t>
            </w:r>
          </w:p>
        </w:tc>
      </w:tr>
    </w:tbl>
    <w:p w14:paraId="321DB843" w14:textId="3F6248B5" w:rsidR="00ED2163" w:rsidRPr="00ED2163" w:rsidRDefault="00015693" w:rsidP="00ED2163">
      <w:pPr>
        <w:pStyle w:val="Heading2"/>
        <w:numPr>
          <w:ilvl w:val="1"/>
          <w:numId w:val="10"/>
        </w:numPr>
        <w:tabs>
          <w:tab w:val="num" w:pos="283"/>
        </w:tabs>
        <w:spacing w:before="240"/>
        <w:ind w:left="1202"/>
        <w:rPr>
          <w:noProof/>
        </w:rPr>
      </w:pPr>
      <w:bookmarkStart w:id="247" w:name="_Toc228346930"/>
      <w:r w:rsidRPr="000B3BE1">
        <w:rPr>
          <w:bCs/>
          <w:noProof/>
        </w:rPr>
        <w:t>PM20</w:t>
      </w:r>
      <w:r w:rsidRPr="19064832">
        <w:rPr>
          <w:b w:val="0"/>
          <w:noProof/>
        </w:rPr>
        <w:t xml:space="preserve">:  </w:t>
      </w:r>
      <w:r w:rsidRPr="00874423">
        <w:rPr>
          <w:noProof/>
        </w:rPr>
        <w:t>Boosting open</w:t>
      </w:r>
      <w:r w:rsidR="00847468">
        <w:rPr>
          <w:noProof/>
        </w:rPr>
        <w:t xml:space="preserve"> </w:t>
      </w:r>
      <w:r w:rsidRPr="00874423">
        <w:rPr>
          <w:noProof/>
        </w:rPr>
        <w:t>source in public administrations</w:t>
      </w:r>
      <w:bookmarkEnd w:id="243"/>
      <w:bookmarkEnd w:id="244"/>
      <w:bookmarkEnd w:id="245"/>
      <w:bookmarkEnd w:id="246"/>
      <w:bookmarkEnd w:id="247"/>
    </w:p>
    <w:p w14:paraId="76040FF6" w14:textId="14BB3B18" w:rsidR="00141EDD" w:rsidRDefault="00141EDD" w:rsidP="00E602BF">
      <w:pPr>
        <w:rPr>
          <w:noProof/>
        </w:rPr>
      </w:pPr>
      <w:r>
        <w:rPr>
          <w:noProof/>
        </w:rPr>
        <w:t>Open source</w:t>
      </w:r>
      <w:r w:rsidRPr="00525B76">
        <w:rPr>
          <w:noProof/>
        </w:rPr>
        <w:t xml:space="preserve"> </w:t>
      </w:r>
      <w:r w:rsidR="00AB2ABA" w:rsidRPr="00AB2ABA">
        <w:rPr>
          <w:noProof/>
        </w:rPr>
        <w:t>software represents a strategic</w:t>
      </w:r>
      <w:r w:rsidRPr="00525B76">
        <w:rPr>
          <w:noProof/>
        </w:rPr>
        <w:t xml:space="preserve"> policy response to vendor lock-in and </w:t>
      </w:r>
      <w:r w:rsidR="00C467DC">
        <w:rPr>
          <w:noProof/>
        </w:rPr>
        <w:t xml:space="preserve">the excessive </w:t>
      </w:r>
      <w:r w:rsidRPr="00525B76">
        <w:rPr>
          <w:noProof/>
        </w:rPr>
        <w:t xml:space="preserve">dependence on vertically integrated non-EU providers. </w:t>
      </w:r>
      <w:r w:rsidR="00D34C11" w:rsidRPr="00D34C11">
        <w:rPr>
          <w:noProof/>
        </w:rPr>
        <w:t>By broadening the available offer of digital solutions, open source can bridge some of the gaps left by European solution providers and reduce the public sector's reliance on large foreign technology companies for the delivery of critical services. A wider adoption of open source would also create tangible competitive advantages for EU companies, enabling them to leverage existing software building blocks and recombine them efficiently to develop and bring new solutions to market at scale.</w:t>
      </w:r>
    </w:p>
    <w:p w14:paraId="14E5481B" w14:textId="50398BE2" w:rsidR="00141EDD" w:rsidRPr="00525B76" w:rsidRDefault="00E20ABE" w:rsidP="00E602BF">
      <w:pPr>
        <w:rPr>
          <w:noProof/>
        </w:rPr>
      </w:pPr>
      <w:r w:rsidRPr="00E20ABE">
        <w:rPr>
          <w:noProof/>
        </w:rPr>
        <w:t>Open source solutions can equally reduce the costs associated with digital service delivery in the public sector through use, reuse, and interoperability. When a solution is developed once and reused across multiple public administrations throughout the EU, its fixed development costs are amortised over a significantly larger user base. The creation of the EU Digital COVID Certificates illustrated this principle clearly: it demonstrated both the critical importance of interoperability for cross-border public services and the capacity of open source to accelerate deployment at EU scale. That same case also showed that</w:t>
      </w:r>
      <w:r w:rsidR="00141EDD" w:rsidRPr="00525B76">
        <w:rPr>
          <w:noProof/>
        </w:rPr>
        <w:t xml:space="preserve"> open source can be </w:t>
      </w:r>
      <w:r w:rsidR="00141EDD">
        <w:rPr>
          <w:noProof/>
        </w:rPr>
        <w:t xml:space="preserve">a powerful vector of trust for public authorities and citizens alike. </w:t>
      </w:r>
    </w:p>
    <w:p w14:paraId="7BE7D025" w14:textId="3C61D8E2" w:rsidR="00E3029C" w:rsidRDefault="007B77B0" w:rsidP="00E3029C">
      <w:pPr>
        <w:rPr>
          <w:noProof/>
        </w:rPr>
      </w:pPr>
      <w:r>
        <w:rPr>
          <w:rFonts w:eastAsia="Times New Roman"/>
          <w:noProof/>
        </w:rPr>
        <w:t xml:space="preserve">Under this measure, </w:t>
      </w:r>
      <w:r>
        <w:rPr>
          <w:noProof/>
        </w:rPr>
        <w:t>p</w:t>
      </w:r>
      <w:r w:rsidR="00E3029C" w:rsidRPr="00434F21">
        <w:rPr>
          <w:noProof/>
        </w:rPr>
        <w:t xml:space="preserve">ublic </w:t>
      </w:r>
      <w:r w:rsidR="00281DAE" w:rsidRPr="00434F21">
        <w:rPr>
          <w:bCs/>
          <w:noProof/>
        </w:rPr>
        <w:t>sector organisations</w:t>
      </w:r>
      <w:r w:rsidR="00E3029C" w:rsidRPr="00434F21">
        <w:rPr>
          <w:noProof/>
        </w:rPr>
        <w:t xml:space="preserve"> </w:t>
      </w:r>
      <w:r w:rsidR="00E3029C">
        <w:rPr>
          <w:noProof/>
        </w:rPr>
        <w:t>shall</w:t>
      </w:r>
      <w:r>
        <w:rPr>
          <w:noProof/>
        </w:rPr>
        <w:t xml:space="preserve"> take the appropriate measures to</w:t>
      </w:r>
      <w:r w:rsidR="00E3029C" w:rsidRPr="00434F21">
        <w:rPr>
          <w:noProof/>
        </w:rPr>
        <w:t xml:space="preserve"> </w:t>
      </w:r>
      <w:r w:rsidR="00960D38">
        <w:rPr>
          <w:bCs/>
          <w:noProof/>
        </w:rPr>
        <w:t>promote the use of</w:t>
      </w:r>
      <w:r>
        <w:rPr>
          <w:bCs/>
          <w:noProof/>
        </w:rPr>
        <w:t xml:space="preserve"> open standards and</w:t>
      </w:r>
      <w:r w:rsidR="00960D38" w:rsidRPr="00434F21">
        <w:rPr>
          <w:bCs/>
          <w:noProof/>
        </w:rPr>
        <w:t xml:space="preserve"> </w:t>
      </w:r>
      <w:r w:rsidR="00E3029C" w:rsidRPr="00434F21">
        <w:rPr>
          <w:noProof/>
        </w:rPr>
        <w:t xml:space="preserve">open source software </w:t>
      </w:r>
      <w:r w:rsidR="00281DAE" w:rsidRPr="00434F21">
        <w:rPr>
          <w:bCs/>
          <w:noProof/>
        </w:rPr>
        <w:t xml:space="preserve">when it is </w:t>
      </w:r>
      <w:r w:rsidR="00E3029C" w:rsidRPr="00434F21">
        <w:rPr>
          <w:noProof/>
        </w:rPr>
        <w:t xml:space="preserve">equivalent or superior </w:t>
      </w:r>
      <w:r w:rsidR="00281DAE" w:rsidRPr="00434F21">
        <w:rPr>
          <w:bCs/>
          <w:noProof/>
        </w:rPr>
        <w:t xml:space="preserve">to proprietary one, in terms of functionalities, </w:t>
      </w:r>
      <w:r w:rsidR="00E3029C" w:rsidRPr="00434F21">
        <w:rPr>
          <w:noProof/>
        </w:rPr>
        <w:t>total cost</w:t>
      </w:r>
      <w:r w:rsidR="00281DAE" w:rsidRPr="00434F21">
        <w:rPr>
          <w:bCs/>
          <w:noProof/>
        </w:rPr>
        <w:t>, user-centricity, </w:t>
      </w:r>
      <w:r w:rsidR="00E3029C" w:rsidRPr="00434F21">
        <w:rPr>
          <w:noProof/>
        </w:rPr>
        <w:t>cybersecurity</w:t>
      </w:r>
      <w:r w:rsidR="00281DAE" w:rsidRPr="00434F21">
        <w:rPr>
          <w:bCs/>
          <w:noProof/>
        </w:rPr>
        <w:t> or other relevant</w:t>
      </w:r>
      <w:r w:rsidR="00F10F80">
        <w:rPr>
          <w:bCs/>
          <w:noProof/>
        </w:rPr>
        <w:t xml:space="preserve"> duly justified</w:t>
      </w:r>
      <w:r w:rsidR="00281DAE" w:rsidRPr="00434F21">
        <w:rPr>
          <w:bCs/>
          <w:noProof/>
        </w:rPr>
        <w:t xml:space="preserve"> objective criteria.</w:t>
      </w:r>
      <w:r w:rsidR="00E3029C" w:rsidRPr="00434F21">
        <w:rPr>
          <w:noProof/>
        </w:rPr>
        <w:t xml:space="preserve"> </w:t>
      </w:r>
    </w:p>
    <w:p w14:paraId="5CC11373" w14:textId="46F3CB0F" w:rsidR="00AB0CAF" w:rsidRDefault="00FC6D7C" w:rsidP="00AB0CAF">
      <w:pPr>
        <w:rPr>
          <w:rFonts w:eastAsia="Times New Roman"/>
          <w:noProof/>
        </w:rPr>
      </w:pPr>
      <w:r>
        <w:rPr>
          <w:rFonts w:eastAsia="Times New Roman"/>
          <w:noProof/>
        </w:rPr>
        <w:t xml:space="preserve">Under the share and reuse of </w:t>
      </w:r>
      <w:r w:rsidR="00C72FD0">
        <w:rPr>
          <w:rFonts w:eastAsia="Times New Roman"/>
          <w:noProof/>
        </w:rPr>
        <w:t xml:space="preserve">open source software principle, public sector organisations </w:t>
      </w:r>
      <w:r w:rsidR="00EB1BFA">
        <w:rPr>
          <w:rFonts w:eastAsia="Times New Roman"/>
          <w:noProof/>
        </w:rPr>
        <w:t xml:space="preserve">shall </w:t>
      </w:r>
      <w:r w:rsidR="00C72FD0">
        <w:rPr>
          <w:rFonts w:eastAsia="Times New Roman"/>
          <w:noProof/>
        </w:rPr>
        <w:t>consider the release of their software asse</w:t>
      </w:r>
      <w:r w:rsidR="00D11738">
        <w:rPr>
          <w:rFonts w:eastAsia="Times New Roman"/>
          <w:noProof/>
        </w:rPr>
        <w:t xml:space="preserve">ts available for </w:t>
      </w:r>
      <w:r w:rsidR="00F3685B">
        <w:rPr>
          <w:rFonts w:eastAsia="Times New Roman"/>
          <w:noProof/>
        </w:rPr>
        <w:t>public use in an open source repository</w:t>
      </w:r>
      <w:r w:rsidR="0000430A">
        <w:rPr>
          <w:rFonts w:eastAsia="Times New Roman"/>
          <w:noProof/>
        </w:rPr>
        <w:t xml:space="preserve"> connected to the EU Open Source (OSS) catalogue</w:t>
      </w:r>
      <w:r w:rsidR="00D11738">
        <w:rPr>
          <w:rFonts w:eastAsia="Times New Roman"/>
          <w:noProof/>
        </w:rPr>
        <w:t>.</w:t>
      </w:r>
      <w:r w:rsidR="00A44721">
        <w:rPr>
          <w:rFonts w:eastAsia="Times New Roman"/>
          <w:noProof/>
        </w:rPr>
        <w:t xml:space="preserve"> To be able to do so, the public sector organisation will </w:t>
      </w:r>
      <w:r w:rsidR="00F3685B">
        <w:rPr>
          <w:rFonts w:eastAsia="Times New Roman"/>
          <w:noProof/>
        </w:rPr>
        <w:t>have to hold the intellectual pro</w:t>
      </w:r>
      <w:r w:rsidR="00F87453">
        <w:rPr>
          <w:rFonts w:eastAsia="Times New Roman"/>
          <w:noProof/>
        </w:rPr>
        <w:t>perty</w:t>
      </w:r>
      <w:r w:rsidR="00AB0CAF">
        <w:rPr>
          <w:rFonts w:eastAsia="Times New Roman"/>
          <w:noProof/>
        </w:rPr>
        <w:t xml:space="preserve"> rights. </w:t>
      </w:r>
      <w:r w:rsidR="00AB0CAF" w:rsidRPr="00E3029C">
        <w:rPr>
          <w:rFonts w:eastAsia="Times New Roman"/>
          <w:noProof/>
        </w:rPr>
        <w:t>As part of the due diligence required when</w:t>
      </w:r>
      <w:r w:rsidR="00AB0CAF">
        <w:rPr>
          <w:rFonts w:eastAsia="Times New Roman"/>
          <w:noProof/>
        </w:rPr>
        <w:t xml:space="preserve"> releasing and </w:t>
      </w:r>
      <w:r w:rsidR="00AB0CAF" w:rsidRPr="00E3029C">
        <w:rPr>
          <w:rFonts w:eastAsia="Times New Roman"/>
          <w:noProof/>
        </w:rPr>
        <w:t xml:space="preserve">deploying open source software, the terms of reference should be expected to </w:t>
      </w:r>
      <w:r w:rsidR="00AA2A5C">
        <w:rPr>
          <w:rFonts w:eastAsia="Times New Roman"/>
          <w:noProof/>
        </w:rPr>
        <w:t>request</w:t>
      </w:r>
      <w:r w:rsidR="00AB0CAF" w:rsidRPr="00E3029C">
        <w:rPr>
          <w:rFonts w:eastAsia="Times New Roman"/>
          <w:noProof/>
        </w:rPr>
        <w:t xml:space="preserve"> both static and dynamic security analysis of the code, in order to mitigate risks of interference by malicious actors exploiting the publicly accessible nature of the codebase. This analysis shall be carried out by the service provider.</w:t>
      </w:r>
      <w:r w:rsidR="00AB0CAF">
        <w:rPr>
          <w:rFonts w:eastAsia="Times New Roman"/>
          <w:noProof/>
        </w:rPr>
        <w:t xml:space="preserve"> </w:t>
      </w:r>
    </w:p>
    <w:p w14:paraId="19CA8B0F" w14:textId="0A163217" w:rsidR="00266B7B" w:rsidRDefault="00DD4D8D" w:rsidP="00CD3D19">
      <w:pPr>
        <w:rPr>
          <w:rFonts w:eastAsia="Times New Roman"/>
          <w:noProof/>
        </w:rPr>
      </w:pPr>
      <w:r>
        <w:rPr>
          <w:rFonts w:eastAsia="Times New Roman"/>
          <w:noProof/>
        </w:rPr>
        <w:t xml:space="preserve">Public sector organisations shall not </w:t>
      </w:r>
      <w:r w:rsidR="00690081">
        <w:rPr>
          <w:rFonts w:eastAsia="Times New Roman"/>
          <w:noProof/>
        </w:rPr>
        <w:t>have</w:t>
      </w:r>
      <w:r w:rsidR="00CD3D19">
        <w:rPr>
          <w:rFonts w:eastAsia="Times New Roman"/>
          <w:noProof/>
        </w:rPr>
        <w:t xml:space="preserve"> </w:t>
      </w:r>
      <w:r w:rsidR="00690081">
        <w:rPr>
          <w:rFonts w:eastAsia="Times New Roman"/>
          <w:noProof/>
        </w:rPr>
        <w:t>to make their code publicly available in case</w:t>
      </w:r>
      <w:r w:rsidR="00266B7B" w:rsidRPr="00C82715">
        <w:rPr>
          <w:rFonts w:eastAsia="Times New Roman"/>
          <w:noProof/>
        </w:rPr>
        <w:t xml:space="preserve">s </w:t>
      </w:r>
      <w:r w:rsidR="00CD3D19">
        <w:rPr>
          <w:rFonts w:eastAsia="Times New Roman"/>
          <w:noProof/>
        </w:rPr>
        <w:t xml:space="preserve">where it is </w:t>
      </w:r>
      <w:r w:rsidR="00266B7B" w:rsidRPr="00C82715">
        <w:rPr>
          <w:rFonts w:eastAsia="Times New Roman"/>
          <w:noProof/>
        </w:rPr>
        <w:t xml:space="preserve">restricted for reasons of national security or defence, intellectual property rights held by third parties, or </w:t>
      </w:r>
      <w:r w:rsidR="00CD3D19">
        <w:rPr>
          <w:rFonts w:eastAsia="Times New Roman"/>
          <w:noProof/>
        </w:rPr>
        <w:t xml:space="preserve">due to </w:t>
      </w:r>
      <w:r w:rsidR="00266B7B" w:rsidRPr="00C82715">
        <w:rPr>
          <w:rFonts w:eastAsia="Times New Roman"/>
          <w:noProof/>
        </w:rPr>
        <w:t>technical or economic infeasibility.</w:t>
      </w:r>
    </w:p>
    <w:p w14:paraId="340C687A" w14:textId="66D122DF" w:rsidR="00892088" w:rsidRDefault="00892088" w:rsidP="008B0753">
      <w:pPr>
        <w:rPr>
          <w:rFonts w:eastAsia="Times New Roman"/>
          <w:noProof/>
        </w:rPr>
      </w:pPr>
      <w:r w:rsidRPr="0007547C">
        <w:rPr>
          <w:rFonts w:eastAsia="Times New Roman"/>
          <w:noProof/>
        </w:rPr>
        <w:t>Th</w:t>
      </w:r>
      <w:r>
        <w:rPr>
          <w:rFonts w:eastAsia="Times New Roman"/>
          <w:noProof/>
        </w:rPr>
        <w:t>ese two principles</w:t>
      </w:r>
      <w:r w:rsidRPr="0007547C">
        <w:rPr>
          <w:rFonts w:eastAsia="Times New Roman"/>
          <w:noProof/>
        </w:rPr>
        <w:t xml:space="preserve"> </w:t>
      </w:r>
      <w:r w:rsidR="009C7893" w:rsidRPr="009C7893">
        <w:rPr>
          <w:rFonts w:eastAsia="Times New Roman"/>
          <w:noProof/>
        </w:rPr>
        <w:t xml:space="preserve">are mutually reinforcing and should be read </w:t>
      </w:r>
      <w:r w:rsidR="005030AC">
        <w:rPr>
          <w:rFonts w:eastAsia="Times New Roman"/>
          <w:noProof/>
        </w:rPr>
        <w:t xml:space="preserve">as </w:t>
      </w:r>
      <w:r>
        <w:rPr>
          <w:rFonts w:eastAsia="Times New Roman"/>
          <w:noProof/>
        </w:rPr>
        <w:t xml:space="preserve">complementary. </w:t>
      </w:r>
      <w:r w:rsidR="008E00B4">
        <w:rPr>
          <w:rFonts w:eastAsia="Times New Roman"/>
          <w:noProof/>
        </w:rPr>
        <w:t>Encouraging the use of open source</w:t>
      </w:r>
      <w:r w:rsidR="001045DF">
        <w:rPr>
          <w:rFonts w:eastAsia="Times New Roman"/>
          <w:noProof/>
        </w:rPr>
        <w:t xml:space="preserve"> software</w:t>
      </w:r>
      <w:r w:rsidR="00560E22" w:rsidRPr="00560E22">
        <w:rPr>
          <w:rFonts w:eastAsia="Times New Roman"/>
          <w:noProof/>
        </w:rPr>
        <w:t xml:space="preserve"> reshapes how digital services are planned and delivered, promoting the secure reuse of existing solutions and fostering</w:t>
      </w:r>
      <w:r w:rsidR="00EA045C">
        <w:rPr>
          <w:rFonts w:eastAsia="Times New Roman"/>
          <w:noProof/>
        </w:rPr>
        <w:t xml:space="preserve"> </w:t>
      </w:r>
      <w:r w:rsidRPr="0007547C">
        <w:rPr>
          <w:rFonts w:eastAsia="Times New Roman"/>
          <w:noProof/>
        </w:rPr>
        <w:t>collaboration across institutional boundaries</w:t>
      </w:r>
      <w:r w:rsidR="00560E22">
        <w:rPr>
          <w:rFonts w:eastAsia="Times New Roman"/>
          <w:noProof/>
        </w:rPr>
        <w:t>.</w:t>
      </w:r>
      <w:r>
        <w:rPr>
          <w:rFonts w:eastAsia="Times New Roman"/>
          <w:noProof/>
        </w:rPr>
        <w:t xml:space="preserve"> “</w:t>
      </w:r>
      <w:r w:rsidR="00D028FB">
        <w:rPr>
          <w:rFonts w:eastAsia="Times New Roman"/>
          <w:noProof/>
        </w:rPr>
        <w:t>Share and Reuse</w:t>
      </w:r>
      <w:r>
        <w:rPr>
          <w:rFonts w:eastAsia="Times New Roman"/>
          <w:noProof/>
        </w:rPr>
        <w:t xml:space="preserve">” </w:t>
      </w:r>
      <w:r w:rsidRPr="0007547C">
        <w:rPr>
          <w:rFonts w:eastAsia="Times New Roman"/>
          <w:noProof/>
        </w:rPr>
        <w:t>is expected to expand the pool of reusable</w:t>
      </w:r>
      <w:r w:rsidR="00441B9D">
        <w:rPr>
          <w:rFonts w:eastAsia="Times New Roman"/>
          <w:noProof/>
        </w:rPr>
        <w:t xml:space="preserve">, </w:t>
      </w:r>
      <w:r w:rsidR="00D028FB">
        <w:rPr>
          <w:rFonts w:eastAsia="Times New Roman"/>
          <w:noProof/>
        </w:rPr>
        <w:t>shareable</w:t>
      </w:r>
      <w:r w:rsidRPr="0007547C">
        <w:rPr>
          <w:rFonts w:eastAsia="Times New Roman"/>
          <w:noProof/>
        </w:rPr>
        <w:t xml:space="preserve"> </w:t>
      </w:r>
      <w:r w:rsidR="00D8443A">
        <w:rPr>
          <w:rFonts w:eastAsia="Times New Roman"/>
          <w:noProof/>
        </w:rPr>
        <w:t xml:space="preserve">and secure </w:t>
      </w:r>
      <w:r w:rsidRPr="0007547C">
        <w:rPr>
          <w:rFonts w:eastAsia="Times New Roman"/>
          <w:noProof/>
        </w:rPr>
        <w:t xml:space="preserve">software components. </w:t>
      </w:r>
      <w:r w:rsidR="00441B9D">
        <w:rPr>
          <w:rFonts w:eastAsia="Times New Roman"/>
          <w:noProof/>
        </w:rPr>
        <w:t>Together</w:t>
      </w:r>
      <w:r w:rsidRPr="0007547C">
        <w:rPr>
          <w:rFonts w:eastAsia="Times New Roman"/>
          <w:noProof/>
        </w:rPr>
        <w:t xml:space="preserve">, these principles are expected to </w:t>
      </w:r>
      <w:r w:rsidR="00911E26" w:rsidRPr="00911E26">
        <w:rPr>
          <w:rFonts w:eastAsia="Times New Roman"/>
          <w:noProof/>
        </w:rPr>
        <w:t xml:space="preserve">bring about a gradual, structural transformation in the way </w:t>
      </w:r>
      <w:r w:rsidRPr="0007547C">
        <w:rPr>
          <w:rFonts w:eastAsia="Times New Roman"/>
          <w:noProof/>
        </w:rPr>
        <w:t>software is commissioned, produced, and maintained in the public sector.</w:t>
      </w:r>
    </w:p>
    <w:p w14:paraId="6B1C3A5D" w14:textId="21CD9DC5" w:rsidR="00015693" w:rsidRPr="003309DE" w:rsidRDefault="00015693" w:rsidP="003309DE">
      <w:pPr>
        <w:rPr>
          <w:rFonts w:eastAsia="Times New Roman"/>
          <w:noProof/>
          <w:lang w:val="en-IE"/>
        </w:rPr>
      </w:pPr>
      <w:r w:rsidRPr="0007547C">
        <w:rPr>
          <w:rFonts w:eastAsia="Times New Roman"/>
          <w:noProof/>
        </w:rPr>
        <w:t>The measure also includes the organisational and technical arrangements required to implement these principles, such as the establishment of Open Source Programme Offices (OSPOs), repositories for public-sector code, and shared infrastructure for collaboration, compliance, and training.</w:t>
      </w:r>
      <w:r w:rsidR="008F2FD8">
        <w:rPr>
          <w:rFonts w:eastAsia="Times New Roman"/>
          <w:noProof/>
        </w:rPr>
        <w:t xml:space="preserve"> </w:t>
      </w:r>
      <w:r w:rsidR="00C367DF">
        <w:rPr>
          <w:noProof/>
          <w:lang w:val="en-IE"/>
        </w:rPr>
        <w:t xml:space="preserve">OSPOs, as part of their role in their </w:t>
      </w:r>
      <w:r w:rsidR="00C367DF" w:rsidRPr="00AA3EFF">
        <w:rPr>
          <w:noProof/>
          <w:lang w:val="en-US"/>
        </w:rPr>
        <w:t xml:space="preserve">technical, legal, procedural and strategic </w:t>
      </w:r>
      <w:r w:rsidR="00C367DF">
        <w:rPr>
          <w:noProof/>
        </w:rPr>
        <w:t xml:space="preserve">– related tasks, </w:t>
      </w:r>
      <w:r w:rsidR="00C367DF">
        <w:rPr>
          <w:noProof/>
          <w:lang w:val="en-IE"/>
        </w:rPr>
        <w:t>may provide contracting authorities with</w:t>
      </w:r>
      <w:r w:rsidR="002640E4">
        <w:rPr>
          <w:noProof/>
          <w:lang w:val="en-IE"/>
        </w:rPr>
        <w:t xml:space="preserve"> </w:t>
      </w:r>
      <w:r w:rsidR="004B03E1">
        <w:rPr>
          <w:noProof/>
          <w:lang w:val="en-IE"/>
        </w:rPr>
        <w:t>advice</w:t>
      </w:r>
      <w:r w:rsidR="002640E4">
        <w:rPr>
          <w:noProof/>
          <w:lang w:val="en-IE"/>
        </w:rPr>
        <w:t xml:space="preserve"> on licenses, security, </w:t>
      </w:r>
      <w:r w:rsidR="001C5FE1">
        <w:rPr>
          <w:noProof/>
          <w:lang w:val="en-IE"/>
        </w:rPr>
        <w:t xml:space="preserve">or </w:t>
      </w:r>
      <w:r w:rsidR="002640E4">
        <w:rPr>
          <w:noProof/>
          <w:lang w:val="en-IE"/>
        </w:rPr>
        <w:t>maintenance</w:t>
      </w:r>
      <w:r w:rsidR="00C367DF">
        <w:rPr>
          <w:noProof/>
          <w:lang w:val="en-IE"/>
        </w:rPr>
        <w:t xml:space="preserve"> </w:t>
      </w:r>
      <w:r w:rsidR="001C5FE1">
        <w:rPr>
          <w:noProof/>
          <w:lang w:val="en-IE"/>
        </w:rPr>
        <w:t xml:space="preserve">aspects. </w:t>
      </w:r>
      <w:r w:rsidR="008F2FD8">
        <w:rPr>
          <w:rFonts w:eastAsia="Times New Roman"/>
          <w:noProof/>
        </w:rPr>
        <w:t xml:space="preserve">The creation and nurturing of a Network of OSPOs would </w:t>
      </w:r>
      <w:r w:rsidR="000B658E">
        <w:rPr>
          <w:rFonts w:eastAsia="Times New Roman"/>
          <w:noProof/>
        </w:rPr>
        <w:t>also</w:t>
      </w:r>
      <w:r w:rsidR="002B785D">
        <w:rPr>
          <w:rFonts w:eastAsia="Times New Roman"/>
          <w:noProof/>
        </w:rPr>
        <w:t xml:space="preserve"> help in further </w:t>
      </w:r>
      <w:r w:rsidR="00A8312A">
        <w:rPr>
          <w:rFonts w:eastAsia="Times New Roman"/>
          <w:noProof/>
        </w:rPr>
        <w:t>promoting, collaborating, and exchanging practices related to the use, reuse and sharing of open source</w:t>
      </w:r>
      <w:r w:rsidR="001C5FE1">
        <w:rPr>
          <w:rFonts w:eastAsia="Times New Roman"/>
          <w:noProof/>
        </w:rPr>
        <w:t>,</w:t>
      </w:r>
      <w:r w:rsidR="004B03E1">
        <w:rPr>
          <w:rFonts w:eastAsia="Times New Roman"/>
          <w:noProof/>
        </w:rPr>
        <w:t xml:space="preserve"> through guidance, templates or recommendations</w:t>
      </w:r>
      <w:r w:rsidR="001C5FE1">
        <w:rPr>
          <w:rFonts w:eastAsia="Times New Roman"/>
          <w:noProof/>
        </w:rPr>
        <w:t xml:space="preserve"> </w:t>
      </w:r>
      <w:r w:rsidR="001C5FE1">
        <w:rPr>
          <w:noProof/>
          <w:lang w:val="en-IE"/>
        </w:rPr>
        <w:t xml:space="preserve">thereby sharing expertise costs across the public sector rather than requiring each </w:t>
      </w:r>
      <w:r w:rsidR="004B03E1">
        <w:rPr>
          <w:noProof/>
          <w:lang w:val="en-IE"/>
        </w:rPr>
        <w:t>OSPO</w:t>
      </w:r>
      <w:r w:rsidR="001C5FE1">
        <w:rPr>
          <w:noProof/>
          <w:lang w:val="en-IE"/>
        </w:rPr>
        <w:t xml:space="preserve"> to develop this capacity independently. </w:t>
      </w:r>
    </w:p>
    <w:p w14:paraId="1EA0FC2C" w14:textId="1E6B97ED" w:rsidR="00246522" w:rsidRDefault="00706F7D" w:rsidP="00564BC9">
      <w:pPr>
        <w:shd w:val="clear" w:color="auto" w:fill="FFFFFF"/>
        <w:rPr>
          <w:rFonts w:eastAsia="Times New Roman"/>
          <w:noProof/>
        </w:rPr>
      </w:pPr>
      <w:r>
        <w:rPr>
          <w:rFonts w:eastAsia="Times New Roman"/>
          <w:noProof/>
        </w:rPr>
        <w:t>Overall, this</w:t>
      </w:r>
      <w:r w:rsidR="00015693" w:rsidRPr="0007547C">
        <w:rPr>
          <w:rFonts w:eastAsia="Times New Roman"/>
          <w:noProof/>
        </w:rPr>
        <w:t xml:space="preserve"> measure </w:t>
      </w:r>
      <w:r w:rsidR="00EB35D0">
        <w:rPr>
          <w:rFonts w:eastAsia="Times New Roman"/>
          <w:noProof/>
        </w:rPr>
        <w:t>could contribute</w:t>
      </w:r>
      <w:r w:rsidR="00015693" w:rsidRPr="0007547C">
        <w:rPr>
          <w:rFonts w:eastAsia="Times New Roman"/>
          <w:noProof/>
        </w:rPr>
        <w:t xml:space="preserve"> to reduce </w:t>
      </w:r>
      <w:r w:rsidRPr="0007547C">
        <w:rPr>
          <w:rFonts w:eastAsia="Times New Roman"/>
          <w:noProof/>
        </w:rPr>
        <w:t>dependenc</w:t>
      </w:r>
      <w:r>
        <w:rPr>
          <w:rFonts w:eastAsia="Times New Roman"/>
          <w:noProof/>
        </w:rPr>
        <w:t>ies</w:t>
      </w:r>
      <w:r w:rsidRPr="0007547C">
        <w:rPr>
          <w:rFonts w:eastAsia="Times New Roman"/>
          <w:noProof/>
        </w:rPr>
        <w:t xml:space="preserve"> </w:t>
      </w:r>
      <w:r w:rsidR="00015693" w:rsidRPr="0007547C">
        <w:rPr>
          <w:rFonts w:eastAsia="Times New Roman"/>
          <w:noProof/>
        </w:rPr>
        <w:t>on proprietary software products and vendors, increase public-sector use</w:t>
      </w:r>
      <w:r>
        <w:rPr>
          <w:rFonts w:eastAsia="Times New Roman"/>
          <w:noProof/>
        </w:rPr>
        <w:t>, reuse</w:t>
      </w:r>
      <w:r w:rsidR="00015693" w:rsidRPr="0007547C">
        <w:rPr>
          <w:rFonts w:eastAsia="Times New Roman"/>
          <w:noProof/>
        </w:rPr>
        <w:t xml:space="preserve"> and contribution to open source, and enable efficiency and innovation gains across the European digital ecosystem. </w:t>
      </w:r>
      <w:r w:rsidR="0070477A">
        <w:rPr>
          <w:rFonts w:eastAsia="Times New Roman"/>
          <w:noProof/>
        </w:rPr>
        <w:t>Furthermore</w:t>
      </w:r>
      <w:r w:rsidR="00246522">
        <w:rPr>
          <w:noProof/>
          <w:lang w:val="en-IE"/>
        </w:rPr>
        <w:t xml:space="preserve">, this measure would stimulate broader market participation, encourage new entrants, reduce vendor lock-in and improve the overall competitiveness of offers received by public authorities. </w:t>
      </w:r>
      <w:r w:rsidR="0070477A">
        <w:rPr>
          <w:noProof/>
          <w:lang w:val="en-IE"/>
        </w:rPr>
        <w:t>Finally</w:t>
      </w:r>
      <w:r w:rsidR="00246522">
        <w:rPr>
          <w:noProof/>
          <w:lang w:val="en-IE"/>
        </w:rPr>
        <w:t>, it would contribute to the growth of the open source services sector in Europe, which is well positioned from increasing public sector demand for interoperable, auditable and sovereignty solutions</w:t>
      </w:r>
    </w:p>
    <w:p w14:paraId="2A24544B" w14:textId="4C4C2BB8" w:rsidR="00E627A3" w:rsidRPr="00E627A3" w:rsidRDefault="00E627A3" w:rsidP="00FA00C7">
      <w:pPr>
        <w:pStyle w:val="Reply"/>
        <w:spacing w:line="240" w:lineRule="auto"/>
        <w:rPr>
          <w:noProof/>
        </w:rPr>
      </w:pPr>
      <w:r w:rsidRPr="00E627A3">
        <w:rPr>
          <w:noProof/>
        </w:rPr>
        <w:t xml:space="preserve">Open source is </w:t>
      </w:r>
      <w:r>
        <w:rPr>
          <w:noProof/>
        </w:rPr>
        <w:t xml:space="preserve">already </w:t>
      </w:r>
      <w:r w:rsidRPr="00E627A3">
        <w:rPr>
          <w:noProof/>
        </w:rPr>
        <w:t>the backbone of cloud services and is used in all the different layers. Without them, cloud services would not have reached the current level of technical maturity. Some examples of open source used in cloud services include:</w:t>
      </w:r>
    </w:p>
    <w:p w14:paraId="4EC27D30" w14:textId="63BFA00A" w:rsidR="00E627A3" w:rsidRPr="00E627A3" w:rsidRDefault="00E627A3" w:rsidP="00FA00C7">
      <w:pPr>
        <w:pStyle w:val="Reply"/>
        <w:numPr>
          <w:ilvl w:val="0"/>
          <w:numId w:val="101"/>
        </w:numPr>
        <w:spacing w:line="240" w:lineRule="auto"/>
        <w:rPr>
          <w:noProof/>
        </w:rPr>
      </w:pPr>
      <w:r w:rsidRPr="00E627A3">
        <w:rPr>
          <w:noProof/>
          <w:u w:val="single"/>
        </w:rPr>
        <w:t>Infrastructure as a Service</w:t>
      </w:r>
      <w:r w:rsidRPr="00E627A3">
        <w:rPr>
          <w:noProof/>
        </w:rPr>
        <w:t xml:space="preserve">: RedHat’s Open Stack is the base technology used by many European providers for the provision of Infrastructure as a Service, which is later on adjusted to accommodate to the needs of the CSPs. Open Stack allows to manage a pool compute, storage, and networking resources to build and control private and public clouds, acting as a cloud operating system. </w:t>
      </w:r>
    </w:p>
    <w:p w14:paraId="16498045" w14:textId="55C9450C" w:rsidR="00E627A3" w:rsidRPr="00E627A3" w:rsidRDefault="00E627A3" w:rsidP="00FA00C7">
      <w:pPr>
        <w:pStyle w:val="Reply"/>
        <w:numPr>
          <w:ilvl w:val="0"/>
          <w:numId w:val="101"/>
        </w:numPr>
        <w:spacing w:line="240" w:lineRule="auto"/>
        <w:rPr>
          <w:noProof/>
        </w:rPr>
      </w:pPr>
      <w:r w:rsidRPr="00E627A3">
        <w:rPr>
          <w:noProof/>
          <w:u w:val="single"/>
        </w:rPr>
        <w:t>Data storage</w:t>
      </w:r>
      <w:r w:rsidRPr="00E627A3">
        <w:rPr>
          <w:noProof/>
        </w:rPr>
        <w:t xml:space="preserve">: Open source data bases such as MySQL, PostgreSQL or MongoDB are heavily used by cloud service providers both for relational and </w:t>
      </w:r>
      <w:r w:rsidR="00DF417C">
        <w:rPr>
          <w:noProof/>
        </w:rPr>
        <w:t>N</w:t>
      </w:r>
      <w:r w:rsidRPr="00E627A3">
        <w:rPr>
          <w:noProof/>
        </w:rPr>
        <w:t>oSQL databases.</w:t>
      </w:r>
    </w:p>
    <w:p w14:paraId="1CCA84C6" w14:textId="77777777" w:rsidR="00E627A3" w:rsidRPr="00E627A3" w:rsidRDefault="00E627A3" w:rsidP="00FA00C7">
      <w:pPr>
        <w:pStyle w:val="Reply"/>
        <w:numPr>
          <w:ilvl w:val="0"/>
          <w:numId w:val="101"/>
        </w:numPr>
        <w:spacing w:line="240" w:lineRule="auto"/>
        <w:rPr>
          <w:noProof/>
        </w:rPr>
      </w:pPr>
      <w:r w:rsidRPr="00E627A3">
        <w:rPr>
          <w:noProof/>
          <w:u w:val="single"/>
        </w:rPr>
        <w:t>Orchestration</w:t>
      </w:r>
      <w:r w:rsidRPr="00E627A3">
        <w:rPr>
          <w:noProof/>
        </w:rPr>
        <w:t xml:space="preserve">: An orchestrator allows to automate and coordinate complex tasks across cloud environments, such as provisioning servers and storage, handling application deployments in an automated way ensuring consistency, efficiency and security. The golden standard solution used nowadays by most cloud service providers is Kubernetes, originally developed by Google, but released as open source. </w:t>
      </w:r>
    </w:p>
    <w:p w14:paraId="20547221" w14:textId="77777777" w:rsidR="00E627A3" w:rsidRPr="00E627A3" w:rsidRDefault="00E627A3" w:rsidP="00FA00C7">
      <w:pPr>
        <w:pStyle w:val="Reply"/>
        <w:numPr>
          <w:ilvl w:val="0"/>
          <w:numId w:val="101"/>
        </w:numPr>
        <w:spacing w:line="240" w:lineRule="auto"/>
        <w:rPr>
          <w:noProof/>
        </w:rPr>
      </w:pPr>
      <w:r w:rsidRPr="00E627A3">
        <w:rPr>
          <w:noProof/>
          <w:u w:val="single"/>
        </w:rPr>
        <w:t>Horizontal functionalities</w:t>
      </w:r>
      <w:r w:rsidRPr="00E627A3">
        <w:rPr>
          <w:noProof/>
        </w:rPr>
        <w:t xml:space="preserve"> such as Identity and Access management as well as telemetry are also heavily implemented through the use of open source solutions. For the first, Keycloak is a relevant solution used, whereas for telemetry several solutions exist such as Grafana (for visualization), Prometheus and the Elastic Stack (ELK) and are of common practice in the industry.</w:t>
      </w:r>
    </w:p>
    <w:p w14:paraId="62AB196D" w14:textId="77777777" w:rsidR="00E627A3" w:rsidRPr="00E627A3" w:rsidRDefault="00E627A3" w:rsidP="00FA00C7">
      <w:pPr>
        <w:pStyle w:val="Reply"/>
        <w:numPr>
          <w:ilvl w:val="0"/>
          <w:numId w:val="101"/>
        </w:numPr>
        <w:spacing w:line="240" w:lineRule="auto"/>
        <w:rPr>
          <w:noProof/>
        </w:rPr>
      </w:pPr>
      <w:r w:rsidRPr="00E627A3">
        <w:rPr>
          <w:noProof/>
          <w:u w:val="single"/>
        </w:rPr>
        <w:t>Development management lifecycle</w:t>
      </w:r>
      <w:r w:rsidRPr="00E627A3">
        <w:rPr>
          <w:noProof/>
        </w:rPr>
        <w:t xml:space="preserve">: A cloud service is mainly composed of software components that need to be architected, developed, tested and deployed. The use of open source solutions to manage the lifecycle of the service is heavily spread. For instance, for the code management and versioning, the open source GitLab is steadily growing against GitHub, owned by Microsoft, which dominates the market. Continuous integration (CI) allows companies to automate the integration of the changes and new developments made resulting in several release cycles a day. Several open source solutions for this activity exist with Jenkins CI, Travis CI and Gitlab CI being the most used. OpenAPI Swagger is also a good example of an open source solution that allows to create Application Programming Interfaces (API) to foster interoperability within the components of the application and with other applications. </w:t>
      </w:r>
    </w:p>
    <w:p w14:paraId="0025007C" w14:textId="77777777" w:rsidR="00DB4BE8" w:rsidRDefault="00DB4BE8" w:rsidP="00E627A3">
      <w:pPr>
        <w:pStyle w:val="Reply"/>
        <w:spacing w:line="240" w:lineRule="auto"/>
        <w:rPr>
          <w:noProof/>
        </w:rPr>
      </w:pPr>
    </w:p>
    <w:p w14:paraId="3FEC8FC4" w14:textId="2F2EE694" w:rsidR="00E627A3" w:rsidRDefault="00E627A3" w:rsidP="00E627A3">
      <w:pPr>
        <w:pStyle w:val="Reply"/>
        <w:spacing w:line="240" w:lineRule="auto"/>
        <w:rPr>
          <w:noProof/>
        </w:rPr>
      </w:pPr>
      <w:r w:rsidRPr="00E627A3">
        <w:rPr>
          <w:noProof/>
        </w:rPr>
        <w:t xml:space="preserve">The above are just some examples of how important open source is for the development and provision of cloud services. Hyperscalers also use open source software as baseline for their own solutions. </w:t>
      </w:r>
      <w:r w:rsidR="00DB4BE8">
        <w:rPr>
          <w:noProof/>
        </w:rPr>
        <w:t>As an example,</w:t>
      </w:r>
      <w:r w:rsidRPr="00E627A3">
        <w:rPr>
          <w:noProof/>
        </w:rPr>
        <w:t xml:space="preserve"> AWS uses Open Telemetry</w:t>
      </w:r>
      <w:r w:rsidRPr="00E627A3">
        <w:rPr>
          <w:rStyle w:val="FootnoteReference"/>
          <w:noProof/>
        </w:rPr>
        <w:footnoteReference w:id="79"/>
      </w:r>
      <w:r w:rsidRPr="00E627A3">
        <w:rPr>
          <w:noProof/>
        </w:rPr>
        <w:t xml:space="preserve"> as the underlying technology for their solution AWS Distro</w:t>
      </w:r>
      <w:r w:rsidRPr="00E627A3">
        <w:rPr>
          <w:rStyle w:val="FootnoteReference"/>
          <w:noProof/>
        </w:rPr>
        <w:footnoteReference w:id="80"/>
      </w:r>
      <w:r w:rsidRPr="00E627A3">
        <w:rPr>
          <w:noProof/>
        </w:rPr>
        <w:t xml:space="preserve">. </w:t>
      </w:r>
      <w:r w:rsidR="00A40F24">
        <w:rPr>
          <w:noProof/>
        </w:rPr>
        <w:t xml:space="preserve"> </w:t>
      </w:r>
      <w:r w:rsidR="00DB4BE8">
        <w:rPr>
          <w:noProof/>
        </w:rPr>
        <w:t>Furthermore, c</w:t>
      </w:r>
      <w:r w:rsidRPr="00E627A3">
        <w:rPr>
          <w:noProof/>
        </w:rPr>
        <w:t>loud service providers, both non-EU (AWS, Oracle, RedHat) and European ones (e.g. SAP, Telefónica, Aruba, Atos, Deutsche Telekom) are large contributors to existing open source communities such as the Cloud Native Computing Foundation, which encompasses relevant projects for cloud and edge.</w:t>
      </w:r>
    </w:p>
    <w:p w14:paraId="3FF286C1" w14:textId="77777777" w:rsidR="00DB4BE8" w:rsidRPr="00E627A3" w:rsidRDefault="00DB4BE8" w:rsidP="00FA00C7">
      <w:pPr>
        <w:pStyle w:val="Reply"/>
        <w:spacing w:line="240" w:lineRule="auto"/>
        <w:rPr>
          <w:noProof/>
        </w:rPr>
      </w:pPr>
    </w:p>
    <w:p w14:paraId="38B01056" w14:textId="4FD9DFE9" w:rsidR="00A246C9" w:rsidRDefault="00015693" w:rsidP="00015693">
      <w:pPr>
        <w:rPr>
          <w:noProof/>
        </w:rPr>
      </w:pPr>
      <w:r w:rsidRPr="00DA029C">
        <w:rPr>
          <w:rFonts w:eastAsia="Times New Roman"/>
          <w:b/>
          <w:i/>
          <w:iCs/>
          <w:noProof/>
        </w:rPr>
        <w:t>One-off adjustment costs</w:t>
      </w:r>
      <w:r w:rsidR="00A246C9">
        <w:rPr>
          <w:rFonts w:eastAsia="Times New Roman"/>
          <w:b/>
          <w:i/>
          <w:iCs/>
          <w:noProof/>
        </w:rPr>
        <w:t xml:space="preserve"> for </w:t>
      </w:r>
      <w:r w:rsidR="00121ADB">
        <w:rPr>
          <w:rFonts w:eastAsia="Times New Roman"/>
          <w:b/>
          <w:i/>
          <w:iCs/>
          <w:noProof/>
        </w:rPr>
        <w:t>n</w:t>
      </w:r>
      <w:r w:rsidR="00A246C9">
        <w:rPr>
          <w:rFonts w:eastAsia="Times New Roman"/>
          <w:b/>
          <w:i/>
          <w:iCs/>
          <w:noProof/>
        </w:rPr>
        <w:t xml:space="preserve">ational </w:t>
      </w:r>
      <w:r w:rsidR="00121ADB">
        <w:rPr>
          <w:rFonts w:eastAsia="Times New Roman"/>
          <w:b/>
          <w:i/>
          <w:iCs/>
          <w:noProof/>
        </w:rPr>
        <w:t>p</w:t>
      </w:r>
      <w:r w:rsidR="00A246C9">
        <w:rPr>
          <w:rFonts w:eastAsia="Times New Roman"/>
          <w:b/>
          <w:i/>
          <w:iCs/>
          <w:noProof/>
        </w:rPr>
        <w:t>ublic authorities</w:t>
      </w:r>
      <w:r w:rsidRPr="0007547C">
        <w:rPr>
          <w:rFonts w:eastAsia="Times New Roman"/>
          <w:b/>
          <w:noProof/>
        </w:rPr>
        <w:t xml:space="preserve">. </w:t>
      </w:r>
      <w:r w:rsidRPr="0007547C">
        <w:rPr>
          <w:rFonts w:eastAsia="Times New Roman"/>
          <w:noProof/>
        </w:rPr>
        <w:t xml:space="preserve">National public authorities will incur setup costs to establish open source repositories and the governance mechanisms defining contribution, review, and acceptance procedures. </w:t>
      </w:r>
      <w:r w:rsidRPr="0007547C">
        <w:rPr>
          <w:noProof/>
        </w:rPr>
        <w:t xml:space="preserve">This has been estimated at 2 FTE per MS. </w:t>
      </w:r>
      <w:r w:rsidR="0095694B" w:rsidRPr="0007547C">
        <w:rPr>
          <w:noProof/>
        </w:rPr>
        <w:t xml:space="preserve">Setting up repositories and understanding the challenges and governance mechanisms </w:t>
      </w:r>
      <w:r w:rsidR="0095694B">
        <w:rPr>
          <w:noProof/>
        </w:rPr>
        <w:t>calls</w:t>
      </w:r>
      <w:r w:rsidR="0095694B" w:rsidRPr="0007547C">
        <w:rPr>
          <w:noProof/>
        </w:rPr>
        <w:t xml:space="preserve"> for a fruitful and engaging community, the assumption is that 5 repositories per MS will be initially </w:t>
      </w:r>
      <w:r w:rsidR="0095694B">
        <w:rPr>
          <w:noProof/>
        </w:rPr>
        <w:t xml:space="preserve">created with an initial effort of </w:t>
      </w:r>
      <w:r w:rsidR="00CE2DBA">
        <w:rPr>
          <w:noProof/>
        </w:rPr>
        <w:t xml:space="preserve">10 </w:t>
      </w:r>
      <w:r w:rsidR="0095694B">
        <w:rPr>
          <w:noProof/>
        </w:rPr>
        <w:t>FTEs</w:t>
      </w:r>
      <w:r w:rsidR="0095694B" w:rsidRPr="0007547C">
        <w:rPr>
          <w:noProof/>
        </w:rPr>
        <w:t>.</w:t>
      </w:r>
    </w:p>
    <w:p w14:paraId="25944526" w14:textId="31F692A3" w:rsidR="00015693" w:rsidRPr="0007547C" w:rsidRDefault="03B7669F" w:rsidP="00015693">
      <w:pPr>
        <w:rPr>
          <w:noProof/>
        </w:rPr>
      </w:pPr>
      <w:r>
        <w:rPr>
          <w:noProof/>
        </w:rPr>
        <w:t xml:space="preserve">Nine </w:t>
      </w:r>
      <w:r w:rsidR="00015693" w:rsidRPr="0007547C">
        <w:rPr>
          <w:noProof/>
        </w:rPr>
        <w:t xml:space="preserve">Member States already maintain a national Open Source Programme Office or equivalent coordination structure. The measure therefore focuses on </w:t>
      </w:r>
      <w:r w:rsidR="00015693">
        <w:rPr>
          <w:noProof/>
        </w:rPr>
        <w:t>strengthening</w:t>
      </w:r>
      <w:r w:rsidR="00015693" w:rsidRPr="0007547C">
        <w:rPr>
          <w:noProof/>
        </w:rPr>
        <w:t xml:space="preserve"> </w:t>
      </w:r>
      <w:r w:rsidR="00682CD9">
        <w:rPr>
          <w:noProof/>
        </w:rPr>
        <w:t xml:space="preserve">governance and </w:t>
      </w:r>
      <w:r w:rsidR="00015693" w:rsidRPr="0007547C">
        <w:rPr>
          <w:noProof/>
        </w:rPr>
        <w:t>coordination, aligning existing offices</w:t>
      </w:r>
      <w:r w:rsidR="00682CD9">
        <w:rPr>
          <w:noProof/>
        </w:rPr>
        <w:t xml:space="preserve"> and governance mechanisms</w:t>
      </w:r>
      <w:r w:rsidR="00015693" w:rsidRPr="0007547C">
        <w:rPr>
          <w:noProof/>
        </w:rPr>
        <w:t xml:space="preserve">, and supporting those Member States that do not yet have one. For modelling purposes an assumption of additional 12 OSPOs created is taken, with a set-up cost of approximately EUR 2m. </w:t>
      </w:r>
      <w:r w:rsidR="00015693">
        <w:rPr>
          <w:noProof/>
        </w:rPr>
        <w:t xml:space="preserve"> </w:t>
      </w:r>
      <w:r w:rsidR="00015693" w:rsidRPr="00425720">
        <w:rPr>
          <w:noProof/>
        </w:rPr>
        <w:t>The estimates assume consistent institutional capacity across Member States, although in reality, OSPO maturity and reuse potential vary widely.</w:t>
      </w:r>
    </w:p>
    <w:p w14:paraId="5BFCA308" w14:textId="2DC41AC6" w:rsidR="00921060" w:rsidRPr="0007547C" w:rsidRDefault="00921060" w:rsidP="00293ED4">
      <w:pPr>
        <w:jc w:val="center"/>
        <w:rPr>
          <w:noProof/>
        </w:rPr>
      </w:pPr>
      <w:r w:rsidRPr="007D09DA">
        <w:rPr>
          <w:i/>
          <w:iCs/>
          <w:noProof/>
        </w:rPr>
        <w:t>One-off adjustment costs</w:t>
      </w:r>
      <w:r>
        <w:rPr>
          <w:i/>
          <w:iCs/>
          <w:noProof/>
        </w:rPr>
        <w:t xml:space="preserve"> (NPA) = (number of OSPOs * set-up cost) + ((labour cost * effort to set-up the repositories and guidance)) * MS</w:t>
      </w:r>
    </w:p>
    <w:p w14:paraId="1FD491AF" w14:textId="3D2C9596" w:rsidR="00015693" w:rsidRPr="0007547C" w:rsidRDefault="00015693" w:rsidP="00015693">
      <w:pPr>
        <w:rPr>
          <w:noProof/>
        </w:rPr>
      </w:pPr>
      <w:r w:rsidRPr="294AF3FA">
        <w:rPr>
          <w:b/>
          <w:bCs/>
          <w:i/>
          <w:iCs/>
          <w:noProof/>
        </w:rPr>
        <w:t xml:space="preserve">Recurrent adjustment costs for </w:t>
      </w:r>
      <w:r w:rsidR="00401074">
        <w:rPr>
          <w:b/>
          <w:bCs/>
          <w:i/>
          <w:iCs/>
          <w:noProof/>
        </w:rPr>
        <w:t>n</w:t>
      </w:r>
      <w:r w:rsidR="00401074" w:rsidRPr="294AF3FA">
        <w:rPr>
          <w:b/>
          <w:bCs/>
          <w:i/>
          <w:iCs/>
          <w:noProof/>
        </w:rPr>
        <w:t xml:space="preserve">ational </w:t>
      </w:r>
      <w:r w:rsidR="00401074">
        <w:rPr>
          <w:b/>
          <w:bCs/>
          <w:i/>
          <w:iCs/>
          <w:noProof/>
        </w:rPr>
        <w:t>p</w:t>
      </w:r>
      <w:r w:rsidR="00401074" w:rsidRPr="294AF3FA">
        <w:rPr>
          <w:b/>
          <w:bCs/>
          <w:i/>
          <w:iCs/>
          <w:noProof/>
        </w:rPr>
        <w:t xml:space="preserve">ublic </w:t>
      </w:r>
      <w:r w:rsidR="00401074">
        <w:rPr>
          <w:b/>
          <w:bCs/>
          <w:i/>
          <w:iCs/>
          <w:noProof/>
        </w:rPr>
        <w:t>a</w:t>
      </w:r>
      <w:r w:rsidR="002C0F90">
        <w:rPr>
          <w:b/>
          <w:bCs/>
          <w:i/>
          <w:iCs/>
          <w:noProof/>
        </w:rPr>
        <w:t>uthorities</w:t>
      </w:r>
      <w:r w:rsidRPr="294AF3FA">
        <w:rPr>
          <w:b/>
          <w:bCs/>
          <w:i/>
          <w:iCs/>
          <w:noProof/>
        </w:rPr>
        <w:t xml:space="preserve">. </w:t>
      </w:r>
      <w:r w:rsidRPr="0007547C">
        <w:rPr>
          <w:noProof/>
        </w:rPr>
        <w:t>As software solutions developed by the public authorities are released as open source, new repositories or projects in repositories will have to be created, operated and maintained. The flagship initiative in this respect is Developers Italia that has created 408 repositories in a GitHub repository since 2017</w:t>
      </w:r>
      <w:r w:rsidRPr="0007547C">
        <w:rPr>
          <w:rStyle w:val="FootnoteReference"/>
          <w:noProof/>
        </w:rPr>
        <w:footnoteReference w:id="81"/>
      </w:r>
      <w:r w:rsidRPr="0007547C">
        <w:rPr>
          <w:noProof/>
        </w:rPr>
        <w:t>, averaging 50 a year but with different brea</w:t>
      </w:r>
      <w:r>
        <w:rPr>
          <w:noProof/>
        </w:rPr>
        <w:t>d</w:t>
      </w:r>
      <w:r w:rsidRPr="0007547C">
        <w:rPr>
          <w:noProof/>
        </w:rPr>
        <w:t xml:space="preserve">th and scope. </w:t>
      </w:r>
      <w:r w:rsidR="00B2188E">
        <w:rPr>
          <w:noProof/>
        </w:rPr>
        <w:t>One new repository will be created every other year. This is a very conservative assumption.</w:t>
      </w:r>
    </w:p>
    <w:p w14:paraId="5C9887C7" w14:textId="7EB44853" w:rsidR="00015693" w:rsidRPr="0007547C" w:rsidRDefault="00015693" w:rsidP="00015693">
      <w:pPr>
        <w:rPr>
          <w:noProof/>
        </w:rPr>
      </w:pPr>
      <w:r w:rsidRPr="0007547C">
        <w:rPr>
          <w:noProof/>
        </w:rPr>
        <w:t>Re</w:t>
      </w:r>
      <w:r w:rsidR="007F3953">
        <w:rPr>
          <w:noProof/>
        </w:rPr>
        <w:t>using and re</w:t>
      </w:r>
      <w:r w:rsidRPr="0007547C">
        <w:rPr>
          <w:noProof/>
        </w:rPr>
        <w:t>leasing source code open source incurs into additional costs as extra quality assurance procedures must be put in place</w:t>
      </w:r>
      <w:r w:rsidR="00C1492C">
        <w:rPr>
          <w:noProof/>
        </w:rPr>
        <w:t xml:space="preserve"> such as </w:t>
      </w:r>
      <w:r w:rsidR="00BB5585">
        <w:rPr>
          <w:noProof/>
        </w:rPr>
        <w:t>DevOps CI/CD pipelines,</w:t>
      </w:r>
      <w:r w:rsidR="00C1492C">
        <w:rPr>
          <w:noProof/>
        </w:rPr>
        <w:t xml:space="preserve"> Static </w:t>
      </w:r>
      <w:r w:rsidR="00792011">
        <w:rPr>
          <w:noProof/>
        </w:rPr>
        <w:t>Application Security Testing (SAST), Dynamic Application Security Testing (DAST), Software composition analysis (SCA)</w:t>
      </w:r>
      <w:r w:rsidR="00A67FCD">
        <w:rPr>
          <w:noProof/>
        </w:rPr>
        <w:t>, vulnerability testing</w:t>
      </w:r>
      <w:r w:rsidRPr="0007547C">
        <w:rPr>
          <w:noProof/>
        </w:rPr>
        <w:t>,</w:t>
      </w:r>
      <w:r w:rsidR="00A67FCD">
        <w:rPr>
          <w:noProof/>
        </w:rPr>
        <w:t xml:space="preserve"> as well</w:t>
      </w:r>
      <w:r w:rsidRPr="0007547C">
        <w:rPr>
          <w:noProof/>
        </w:rPr>
        <w:t xml:space="preserve"> processes continuously automated, </w:t>
      </w:r>
      <w:r w:rsidR="00A67FCD">
        <w:rPr>
          <w:noProof/>
        </w:rPr>
        <w:t xml:space="preserve">and </w:t>
      </w:r>
      <w:r w:rsidRPr="0007547C">
        <w:rPr>
          <w:noProof/>
        </w:rPr>
        <w:t>generation of the software bill of materials (SBOM) for each piece of software released</w:t>
      </w:r>
      <w:r w:rsidR="00856219">
        <w:rPr>
          <w:noProof/>
        </w:rPr>
        <w:t xml:space="preserve"> and reused</w:t>
      </w:r>
      <w:r w:rsidR="00A67FCD">
        <w:rPr>
          <w:noProof/>
        </w:rPr>
        <w:t>.</w:t>
      </w:r>
      <w:r w:rsidRPr="0007547C">
        <w:rPr>
          <w:noProof/>
        </w:rPr>
        <w:t xml:space="preserve"> This is estimated in</w:t>
      </w:r>
      <w:r w:rsidR="00C35A50" w:rsidRPr="0007547C">
        <w:rPr>
          <w:noProof/>
        </w:rPr>
        <w:t xml:space="preserve"> </w:t>
      </w:r>
      <w:r w:rsidR="00856219">
        <w:rPr>
          <w:noProof/>
        </w:rPr>
        <w:t>10</w:t>
      </w:r>
      <w:r w:rsidR="00856219" w:rsidRPr="0007547C">
        <w:rPr>
          <w:noProof/>
        </w:rPr>
        <w:t xml:space="preserve"> </w:t>
      </w:r>
      <w:r w:rsidRPr="0007547C">
        <w:rPr>
          <w:noProof/>
        </w:rPr>
        <w:t xml:space="preserve">FTEs yearly per MS. The repositories shall have to be continuously maintained and governed. The assumption is that the effort dedicated to </w:t>
      </w:r>
      <w:r w:rsidR="005D76AD">
        <w:rPr>
          <w:noProof/>
        </w:rPr>
        <w:t>these</w:t>
      </w:r>
      <w:r w:rsidR="00A67FCD">
        <w:rPr>
          <w:noProof/>
        </w:rPr>
        <w:t xml:space="preserve"> activities</w:t>
      </w:r>
      <w:r w:rsidR="005D76AD">
        <w:rPr>
          <w:noProof/>
        </w:rPr>
        <w:t xml:space="preserve"> increase in 1 FTE every other year, in a similar manner to the number of repositories</w:t>
      </w:r>
      <w:r w:rsidRPr="0007547C">
        <w:rPr>
          <w:noProof/>
        </w:rPr>
        <w:t>. For this impact assessment it is assumed that all repositories created along the timespan under study will remain active. However, this is often not the situation, where repositories become deprecated due to various circumstances such as low uptake and engagement.</w:t>
      </w:r>
    </w:p>
    <w:p w14:paraId="14AC24F4" w14:textId="61B679A4" w:rsidR="00162D92" w:rsidRPr="0007547C" w:rsidRDefault="00162D92" w:rsidP="00293ED4">
      <w:pPr>
        <w:jc w:val="center"/>
        <w:rPr>
          <w:noProof/>
        </w:rPr>
      </w:pPr>
      <w:r w:rsidRPr="007D09DA">
        <w:rPr>
          <w:i/>
          <w:iCs/>
          <w:noProof/>
        </w:rPr>
        <w:t>Recurrent adjustment costs</w:t>
      </w:r>
      <w:r>
        <w:rPr>
          <w:i/>
          <w:iCs/>
          <w:noProof/>
        </w:rPr>
        <w:t xml:space="preserve"> (NPA) = </w:t>
      </w:r>
      <w:r w:rsidR="00C35A50">
        <w:rPr>
          <w:i/>
          <w:iCs/>
          <w:noProof/>
        </w:rPr>
        <w:t>(</w:t>
      </w:r>
      <w:r>
        <w:rPr>
          <w:i/>
          <w:iCs/>
          <w:noProof/>
        </w:rPr>
        <w:t>(number of new repositories every other year * effort * labour cost) * MS</w:t>
      </w:r>
      <w:r w:rsidR="00C35A50">
        <w:rPr>
          <w:i/>
          <w:iCs/>
          <w:noProof/>
        </w:rPr>
        <w:t>) + (cost of releasing open source code * MS)</w:t>
      </w:r>
    </w:p>
    <w:p w14:paraId="737E03FB" w14:textId="56642D45" w:rsidR="00D15F36" w:rsidRDefault="00D15F36" w:rsidP="00D15F36">
      <w:pPr>
        <w:rPr>
          <w:noProof/>
        </w:rPr>
      </w:pPr>
      <w:r w:rsidRPr="0007547C">
        <w:rPr>
          <w:b/>
          <w:i/>
          <w:noProof/>
        </w:rPr>
        <w:t xml:space="preserve">One-off administrative costs for </w:t>
      </w:r>
      <w:r w:rsidR="00C41AF2">
        <w:rPr>
          <w:b/>
          <w:i/>
          <w:noProof/>
        </w:rPr>
        <w:t>national public authorities</w:t>
      </w:r>
      <w:r w:rsidRPr="0007547C">
        <w:rPr>
          <w:b/>
          <w:noProof/>
        </w:rPr>
        <w:t xml:space="preserve"> </w:t>
      </w:r>
      <w:r w:rsidRPr="0007547C">
        <w:rPr>
          <w:noProof/>
        </w:rPr>
        <w:t xml:space="preserve">stem from the adaptation of the procurement templates to the notion of </w:t>
      </w:r>
      <w:r w:rsidR="00470B9A">
        <w:rPr>
          <w:noProof/>
        </w:rPr>
        <w:t xml:space="preserve">promoting the use of open source software, </w:t>
      </w:r>
      <w:r w:rsidRPr="0007547C">
        <w:rPr>
          <w:noProof/>
        </w:rPr>
        <w:t>reusable across the board for all bids. This is estimated in 30 days.</w:t>
      </w:r>
    </w:p>
    <w:p w14:paraId="446BA39A" w14:textId="77777777" w:rsidR="00D15F36" w:rsidRPr="007D09DA" w:rsidRDefault="00D15F36" w:rsidP="00293ED4">
      <w:pPr>
        <w:jc w:val="center"/>
        <w:rPr>
          <w:b/>
          <w:i/>
          <w:iCs/>
          <w:noProof/>
        </w:rPr>
      </w:pPr>
      <w:r w:rsidRPr="007D09DA">
        <w:rPr>
          <w:i/>
          <w:iCs/>
          <w:noProof/>
        </w:rPr>
        <w:t>One-off administrative costs (NPA)</w:t>
      </w:r>
      <w:r>
        <w:rPr>
          <w:i/>
          <w:iCs/>
          <w:noProof/>
        </w:rPr>
        <w:t xml:space="preserve"> = (effort to adapt templates * labour costs)</w:t>
      </w:r>
      <w:r w:rsidRPr="008E505E">
        <w:rPr>
          <w:i/>
          <w:iCs/>
          <w:noProof/>
        </w:rPr>
        <w:t xml:space="preserve"> </w:t>
      </w:r>
      <w:r>
        <w:rPr>
          <w:i/>
          <w:iCs/>
          <w:noProof/>
        </w:rPr>
        <w:t>* MS</w:t>
      </w:r>
    </w:p>
    <w:p w14:paraId="629DD7B9" w14:textId="018340E9" w:rsidR="00015693" w:rsidRPr="0007547C" w:rsidRDefault="00015693" w:rsidP="00015693">
      <w:pPr>
        <w:rPr>
          <w:noProof/>
        </w:rPr>
      </w:pPr>
      <w:r w:rsidRPr="00293ED4">
        <w:rPr>
          <w:b/>
          <w:i/>
          <w:noProof/>
        </w:rPr>
        <w:t>Recurrent</w:t>
      </w:r>
      <w:r w:rsidR="00D15F36" w:rsidRPr="00293ED4">
        <w:rPr>
          <w:b/>
          <w:i/>
          <w:noProof/>
        </w:rPr>
        <w:t xml:space="preserve"> administrative for </w:t>
      </w:r>
      <w:r w:rsidR="00C41AF2">
        <w:rPr>
          <w:b/>
          <w:bCs/>
          <w:i/>
          <w:iCs/>
          <w:noProof/>
        </w:rPr>
        <w:t>n</w:t>
      </w:r>
      <w:r w:rsidR="00D15F36" w:rsidRPr="00293ED4">
        <w:rPr>
          <w:b/>
          <w:bCs/>
          <w:i/>
          <w:iCs/>
          <w:noProof/>
        </w:rPr>
        <w:t xml:space="preserve">ational </w:t>
      </w:r>
      <w:r w:rsidR="00C41AF2">
        <w:rPr>
          <w:b/>
          <w:bCs/>
          <w:i/>
          <w:iCs/>
          <w:noProof/>
        </w:rPr>
        <w:t>p</w:t>
      </w:r>
      <w:r w:rsidR="00D15F36" w:rsidRPr="00293ED4">
        <w:rPr>
          <w:b/>
          <w:bCs/>
          <w:i/>
          <w:iCs/>
          <w:noProof/>
        </w:rPr>
        <w:t xml:space="preserve">ublic </w:t>
      </w:r>
      <w:r w:rsidR="00C41AF2">
        <w:rPr>
          <w:b/>
          <w:bCs/>
          <w:i/>
          <w:iCs/>
          <w:noProof/>
        </w:rPr>
        <w:t>a</w:t>
      </w:r>
      <w:r w:rsidR="002C0F90">
        <w:rPr>
          <w:b/>
          <w:bCs/>
          <w:i/>
          <w:iCs/>
          <w:noProof/>
        </w:rPr>
        <w:t>uthorities</w:t>
      </w:r>
      <w:r w:rsidRPr="0007547C">
        <w:rPr>
          <w:noProof/>
        </w:rPr>
        <w:t xml:space="preserve"> will involve the operation of the additional OSPOs accounted for (12, as a reference number), for a recurrent cost of approximately EUR 1m per OSPO.</w:t>
      </w:r>
      <w:r>
        <w:rPr>
          <w:noProof/>
        </w:rPr>
        <w:t xml:space="preserve"> However, c</w:t>
      </w:r>
      <w:r w:rsidRPr="00AB530E">
        <w:rPr>
          <w:noProof/>
        </w:rPr>
        <w:t>ertain institutional costs (e.g., existing OSPOs) are considered as marginal coordination expenses rather than recalculated in full to avoid double counting.</w:t>
      </w:r>
    </w:p>
    <w:p w14:paraId="4E61737C" w14:textId="0877E8A8" w:rsidR="00836A5E" w:rsidRPr="0007547C" w:rsidRDefault="00836A5E" w:rsidP="00293ED4">
      <w:pPr>
        <w:jc w:val="center"/>
        <w:rPr>
          <w:noProof/>
        </w:rPr>
      </w:pPr>
      <w:r w:rsidRPr="007D09DA">
        <w:rPr>
          <w:i/>
          <w:iCs/>
          <w:noProof/>
        </w:rPr>
        <w:t>Recurrent administrative costs (NPA) = number of OSPOs * cost to maintain an OSPO</w:t>
      </w:r>
    </w:p>
    <w:p w14:paraId="5C69CCC4" w14:textId="3B0604D9" w:rsidR="00015693" w:rsidRPr="0007547C" w:rsidRDefault="00015693" w:rsidP="00015693">
      <w:pPr>
        <w:rPr>
          <w:noProof/>
        </w:rPr>
      </w:pPr>
      <w:r w:rsidRPr="294AF3FA">
        <w:rPr>
          <w:b/>
          <w:bCs/>
          <w:i/>
          <w:iCs/>
          <w:noProof/>
        </w:rPr>
        <w:t xml:space="preserve">Recurrent savings for </w:t>
      </w:r>
      <w:r w:rsidR="00401074">
        <w:rPr>
          <w:b/>
          <w:bCs/>
          <w:i/>
          <w:iCs/>
          <w:noProof/>
        </w:rPr>
        <w:t>n</w:t>
      </w:r>
      <w:r w:rsidR="00401074" w:rsidRPr="294AF3FA">
        <w:rPr>
          <w:b/>
          <w:bCs/>
          <w:i/>
          <w:iCs/>
          <w:noProof/>
        </w:rPr>
        <w:t xml:space="preserve">ational </w:t>
      </w:r>
      <w:r w:rsidR="00401074">
        <w:rPr>
          <w:b/>
          <w:bCs/>
          <w:i/>
          <w:iCs/>
          <w:noProof/>
        </w:rPr>
        <w:t>p</w:t>
      </w:r>
      <w:r w:rsidR="00401074" w:rsidRPr="294AF3FA">
        <w:rPr>
          <w:b/>
          <w:bCs/>
          <w:i/>
          <w:iCs/>
          <w:noProof/>
        </w:rPr>
        <w:t xml:space="preserve">ublic </w:t>
      </w:r>
      <w:r w:rsidR="00401074">
        <w:rPr>
          <w:b/>
          <w:bCs/>
          <w:i/>
          <w:iCs/>
          <w:noProof/>
        </w:rPr>
        <w:t>a</w:t>
      </w:r>
      <w:r w:rsidR="002C0F90">
        <w:rPr>
          <w:b/>
          <w:bCs/>
          <w:i/>
          <w:iCs/>
          <w:noProof/>
        </w:rPr>
        <w:t>uthorities</w:t>
      </w:r>
      <w:r w:rsidR="00EC7975" w:rsidRPr="0007547C">
        <w:rPr>
          <w:noProof/>
        </w:rPr>
        <w:t>.</w:t>
      </w:r>
      <w:r w:rsidRPr="294AF3FA">
        <w:rPr>
          <w:b/>
          <w:bCs/>
          <w:noProof/>
        </w:rPr>
        <w:t xml:space="preserve"> </w:t>
      </w:r>
      <w:r w:rsidRPr="0007547C">
        <w:rPr>
          <w:noProof/>
        </w:rPr>
        <w:t>By reusing and adapting existing software rather than commissioning bespoke solutions, administrations can reduce duplication of effort and lower the total cost of ownership (TCO) of ICT projects. Empirical evidence</w:t>
      </w:r>
      <w:r>
        <w:rPr>
          <w:rStyle w:val="FootnoteReference"/>
          <w:noProof/>
        </w:rPr>
        <w:footnoteReference w:id="82"/>
      </w:r>
      <w:r w:rsidRPr="0007547C">
        <w:rPr>
          <w:noProof/>
        </w:rPr>
        <w:t xml:space="preserve"> </w:t>
      </w:r>
      <w:r>
        <w:rPr>
          <w:rStyle w:val="FootnoteReference"/>
          <w:noProof/>
        </w:rPr>
        <w:footnoteReference w:id="83"/>
      </w:r>
      <w:r w:rsidRPr="0007547C">
        <w:rPr>
          <w:noProof/>
        </w:rPr>
        <w:t xml:space="preserve"> and national case studies suggest that reuse can reduce costs by 10–40 %, depending on maturity and governance capacity.</w:t>
      </w:r>
    </w:p>
    <w:p w14:paraId="61E15F02" w14:textId="6C2DE163" w:rsidR="00015693" w:rsidRPr="0007547C" w:rsidRDefault="00015693" w:rsidP="00015693">
      <w:pPr>
        <w:rPr>
          <w:noProof/>
        </w:rPr>
      </w:pPr>
      <w:r w:rsidRPr="0007547C">
        <w:rPr>
          <w:noProof/>
        </w:rPr>
        <w:t xml:space="preserve">Savings stem from the avoidance of duplication, the possibility to reuse existing solutions increasing project efficiency and the decrease of the total cost of ownership. Reusing open-source software solutions, both from other public authorities and available in open source communities results in savings mainly through the avoidance of duplication of efforts but also because the time-to-delivery of a software solution is also shortened. These have been estimated as a percentage of an average contract value of custom-built mid-software development projects, estimated at </w:t>
      </w:r>
      <w:r>
        <w:rPr>
          <w:noProof/>
        </w:rPr>
        <w:t xml:space="preserve">EUR </w:t>
      </w:r>
      <w:r w:rsidRPr="0007547C">
        <w:rPr>
          <w:noProof/>
        </w:rPr>
        <w:t>500</w:t>
      </w:r>
      <w:r w:rsidR="00031694">
        <w:rPr>
          <w:noProof/>
        </w:rPr>
        <w:t xml:space="preserve"> </w:t>
      </w:r>
      <w:r w:rsidRPr="0007547C">
        <w:rPr>
          <w:noProof/>
        </w:rPr>
        <w:t xml:space="preserve">000. For public administrations it is assumed a cost decrease of 25% due to avoidance of duplication. The rate of adoption is set to 5% for 2027 and then increasing at 2% yearly until 2036. </w:t>
      </w:r>
    </w:p>
    <w:p w14:paraId="79CAE8CB" w14:textId="77777777" w:rsidR="00D30323" w:rsidRDefault="00D30323" w:rsidP="00D30323">
      <w:pPr>
        <w:rPr>
          <w:i/>
          <w:iCs/>
          <w:noProof/>
        </w:rPr>
      </w:pPr>
      <w:r w:rsidRPr="007D09DA">
        <w:rPr>
          <w:i/>
          <w:iCs/>
          <w:noProof/>
        </w:rPr>
        <w:t>Recurrent savings (NPA)</w:t>
      </w:r>
      <w:r>
        <w:rPr>
          <w:i/>
          <w:iCs/>
          <w:noProof/>
        </w:rPr>
        <w:t xml:space="preserve"> = (Total cost of ownership * MS) + (savings for not duplicating the software *</w:t>
      </w:r>
      <w:r w:rsidRPr="00626AF6">
        <w:rPr>
          <w:i/>
          <w:iCs/>
          <w:noProof/>
        </w:rPr>
        <w:t xml:space="preserve"> </w:t>
      </w:r>
      <w:r>
        <w:rPr>
          <w:i/>
          <w:iCs/>
          <w:noProof/>
        </w:rPr>
        <w:t>(Percentage of public procurement development projects addressed with OS solutions + Δ%) * number of tenders)</w:t>
      </w:r>
    </w:p>
    <w:p w14:paraId="34FC6A7D" w14:textId="31010A41" w:rsidR="00BB6B8F" w:rsidRDefault="00BB6B8F" w:rsidP="00BB6B8F">
      <w:pPr>
        <w:shd w:val="clear" w:color="auto" w:fill="FFFFFF" w:themeFill="background1"/>
        <w:rPr>
          <w:rFonts w:eastAsia="Times New Roman"/>
          <w:b/>
          <w:bCs/>
          <w:noProof/>
        </w:rPr>
      </w:pPr>
      <w:r>
        <w:rPr>
          <w:rFonts w:eastAsia="Times New Roman"/>
          <w:b/>
          <w:bCs/>
          <w:noProof/>
        </w:rPr>
        <w:t xml:space="preserve">Strengths and limitations of the assumptions </w:t>
      </w:r>
      <w:r w:rsidR="00BD339C">
        <w:rPr>
          <w:rFonts w:eastAsia="Times New Roman"/>
          <w:b/>
          <w:bCs/>
          <w:noProof/>
        </w:rPr>
        <w:t>in</w:t>
      </w:r>
      <w:r>
        <w:rPr>
          <w:rFonts w:eastAsia="Times New Roman"/>
          <w:b/>
          <w:bCs/>
          <w:noProof/>
        </w:rPr>
        <w:t xml:space="preserve"> this policy measure</w:t>
      </w:r>
    </w:p>
    <w:p w14:paraId="528E074A" w14:textId="2E639B97" w:rsidR="00BB6B8F" w:rsidRPr="00F206DD" w:rsidRDefault="00780D6F" w:rsidP="00BB6B8F">
      <w:pPr>
        <w:shd w:val="clear" w:color="auto" w:fill="FFFFFF" w:themeFill="background1"/>
        <w:rPr>
          <w:rFonts w:eastAsia="Times New Roman"/>
          <w:noProof/>
        </w:rPr>
      </w:pPr>
      <w:r>
        <w:rPr>
          <w:rFonts w:eastAsia="Times New Roman"/>
          <w:noProof/>
        </w:rPr>
        <w:t>There is o</w:t>
      </w:r>
      <w:r w:rsidR="00BB6B8F" w:rsidRPr="00F206DD">
        <w:rPr>
          <w:rFonts w:eastAsia="Times New Roman"/>
          <w:noProof/>
        </w:rPr>
        <w:t xml:space="preserve">nly a small number of reputable studies and case examples </w:t>
      </w:r>
      <w:r w:rsidR="00DF7BCD">
        <w:rPr>
          <w:rFonts w:eastAsia="Times New Roman"/>
          <w:noProof/>
        </w:rPr>
        <w:t>that</w:t>
      </w:r>
      <w:r>
        <w:rPr>
          <w:rFonts w:eastAsia="Times New Roman"/>
          <w:noProof/>
        </w:rPr>
        <w:t xml:space="preserve"> </w:t>
      </w:r>
      <w:r w:rsidR="00BB6B8F" w:rsidRPr="00F206DD">
        <w:rPr>
          <w:rFonts w:eastAsia="Times New Roman"/>
          <w:noProof/>
        </w:rPr>
        <w:t>provide inputs for the detailed parameters underpinning the assumptions, and where such evidence exists, it is often too coarse or anecdotal to support a full analysis. Consequently, the main quantitative assumptions draw on stakeholder consultations with industrial practitioners, open source communities and public administrations, conducted through interviews in the supporting study.</w:t>
      </w:r>
    </w:p>
    <w:p w14:paraId="2DBA7F78" w14:textId="73FD1DD8" w:rsidR="00BB6B8F" w:rsidRPr="00F206DD" w:rsidRDefault="00BB6B8F" w:rsidP="00BB6B8F">
      <w:pPr>
        <w:shd w:val="clear" w:color="auto" w:fill="FFFFFF" w:themeFill="background1"/>
        <w:rPr>
          <w:rFonts w:eastAsia="Times New Roman"/>
          <w:noProof/>
        </w:rPr>
      </w:pPr>
      <w:r w:rsidRPr="00F206DD">
        <w:rPr>
          <w:rFonts w:eastAsia="Times New Roman"/>
          <w:noProof/>
        </w:rPr>
        <w:t xml:space="preserve">Despite these constraints, open source has a clearly documented economic impact. At macro level, a 2021 study for the European Commission estimated that in 2018 open source software and hardware contributed between EUR 65 </w:t>
      </w:r>
      <w:r w:rsidR="007F4FAE">
        <w:rPr>
          <w:rFonts w:eastAsia="Times New Roman"/>
          <w:noProof/>
        </w:rPr>
        <w:t>bn</w:t>
      </w:r>
      <w:r w:rsidRPr="00F206DD">
        <w:rPr>
          <w:rFonts w:eastAsia="Times New Roman"/>
          <w:noProof/>
        </w:rPr>
        <w:t xml:space="preserve"> and EUR 95 </w:t>
      </w:r>
      <w:r w:rsidR="007F4FAE">
        <w:rPr>
          <w:rFonts w:eastAsia="Times New Roman"/>
          <w:noProof/>
        </w:rPr>
        <w:t>bn</w:t>
      </w:r>
      <w:r w:rsidRPr="00F206DD">
        <w:rPr>
          <w:rFonts w:eastAsia="Times New Roman"/>
          <w:noProof/>
        </w:rPr>
        <w:t xml:space="preserve"> to EU GDP</w:t>
      </w:r>
      <w:r w:rsidR="009A3990">
        <w:rPr>
          <w:rFonts w:eastAsia="Times New Roman"/>
          <w:noProof/>
        </w:rPr>
        <w:t xml:space="preserve">. </w:t>
      </w:r>
      <w:r w:rsidRPr="00F206DD">
        <w:rPr>
          <w:rFonts w:eastAsia="Times New Roman"/>
          <w:noProof/>
        </w:rPr>
        <w:t>Stakeholder consultations in the course of the study highlighted vendor lock</w:t>
      </w:r>
      <w:r w:rsidR="00E53862">
        <w:rPr>
          <w:rFonts w:eastAsia="Times New Roman"/>
          <w:noProof/>
        </w:rPr>
        <w:t>-</w:t>
      </w:r>
      <w:r w:rsidRPr="00F206DD">
        <w:rPr>
          <w:rFonts w:eastAsia="Times New Roman"/>
          <w:noProof/>
        </w:rPr>
        <w:t xml:space="preserve">in as a major cost driver, with public bodies becoming dependent on single, typically US based suppliers using de facto </w:t>
      </w:r>
      <w:r w:rsidRPr="00054EFE">
        <w:rPr>
          <w:rFonts w:eastAsia="Times New Roman"/>
          <w:noProof/>
        </w:rPr>
        <w:t>anti-competitive</w:t>
      </w:r>
      <w:r w:rsidRPr="00F206DD">
        <w:rPr>
          <w:rFonts w:eastAsia="Times New Roman"/>
          <w:noProof/>
        </w:rPr>
        <w:t xml:space="preserve"> practices, and one source estimating the resulting cost for European public administrations at around EUR 1.1 </w:t>
      </w:r>
      <w:r w:rsidR="007F4FAE">
        <w:rPr>
          <w:rFonts w:eastAsia="Times New Roman"/>
          <w:noProof/>
        </w:rPr>
        <w:t>bn</w:t>
      </w:r>
      <w:r w:rsidRPr="00F206DD">
        <w:rPr>
          <w:rFonts w:eastAsia="Times New Roman"/>
          <w:noProof/>
        </w:rPr>
        <w:t xml:space="preserve"> per year.</w:t>
      </w:r>
    </w:p>
    <w:p w14:paraId="66B8F369" w14:textId="5AD2E751" w:rsidR="00BB6B8F" w:rsidRPr="00F206DD" w:rsidRDefault="00BB6B8F" w:rsidP="00BB6B8F">
      <w:pPr>
        <w:shd w:val="clear" w:color="auto" w:fill="FFFFFF" w:themeFill="background1"/>
        <w:rPr>
          <w:rFonts w:eastAsia="Times New Roman"/>
          <w:noProof/>
        </w:rPr>
      </w:pPr>
      <w:r w:rsidRPr="00F206DD">
        <w:rPr>
          <w:rFonts w:eastAsia="Times New Roman"/>
          <w:noProof/>
        </w:rPr>
        <w:t xml:space="preserve">Where cost savings are concerned, the literature and case material mainly qualify effects in terms of total cost of ownership, reuse and productivity, which are reflected in the modelling of this policy option, </w:t>
      </w:r>
      <w:r w:rsidR="00D26B23">
        <w:rPr>
          <w:rFonts w:eastAsia="Times New Roman"/>
          <w:noProof/>
        </w:rPr>
        <w:t>albeit</w:t>
      </w:r>
      <w:r w:rsidRPr="00F206DD">
        <w:rPr>
          <w:rFonts w:eastAsia="Times New Roman"/>
          <w:noProof/>
        </w:rPr>
        <w:t xml:space="preserve"> public, detailed quantifications remain scarce. </w:t>
      </w:r>
    </w:p>
    <w:p w14:paraId="605EF4A9" w14:textId="77777777" w:rsidR="00BB6B8F" w:rsidRPr="00F206DD" w:rsidRDefault="00BB6B8F" w:rsidP="00BB6B8F">
      <w:pPr>
        <w:shd w:val="clear" w:color="auto" w:fill="FFFFFF" w:themeFill="background1"/>
        <w:rPr>
          <w:rFonts w:eastAsia="Times New Roman"/>
          <w:noProof/>
        </w:rPr>
      </w:pPr>
      <w:r w:rsidRPr="00F206DD">
        <w:rPr>
          <w:rFonts w:eastAsia="Times New Roman"/>
          <w:noProof/>
        </w:rPr>
        <w:t>As part of the supporting study, these assumptions were cross checked with established open source organisations familiar with the costs of setting up OSPOs and the effort required to release code under an open source licence, and with public administrations that are already actively publishing open source software. In addition, the final validation workshop with software integrators, public authorities and cloud service providers was used to test and confirm several of the key assumptions.</w:t>
      </w:r>
    </w:p>
    <w:p w14:paraId="35DCD85A" w14:textId="2F86B2F3" w:rsidR="00BB6B8F" w:rsidRPr="00054EFE" w:rsidRDefault="00BB6B8F" w:rsidP="00BB6B8F">
      <w:pPr>
        <w:shd w:val="clear" w:color="auto" w:fill="FFFFFF" w:themeFill="background1"/>
        <w:rPr>
          <w:rFonts w:eastAsia="Times New Roman"/>
          <w:noProof/>
        </w:rPr>
      </w:pPr>
      <w:r w:rsidRPr="00F206DD">
        <w:rPr>
          <w:rFonts w:eastAsia="Times New Roman"/>
          <w:noProof/>
        </w:rPr>
        <w:t xml:space="preserve">Given the aforementioned uncertainties, this option is accompanied by a more attentive sensitivity analysis than other measures, explicitly illustrating the range of possible outcomes resulting from </w:t>
      </w:r>
      <w:r w:rsidR="001A7216">
        <w:rPr>
          <w:rFonts w:eastAsia="Times New Roman"/>
          <w:noProof/>
        </w:rPr>
        <w:t xml:space="preserve">the </w:t>
      </w:r>
      <w:r w:rsidRPr="00F206DD">
        <w:rPr>
          <w:rFonts w:eastAsia="Times New Roman"/>
          <w:noProof/>
        </w:rPr>
        <w:t>variability in the main assumptions.</w:t>
      </w:r>
    </w:p>
    <w:p w14:paraId="1E06A778" w14:textId="21E388D1" w:rsidR="00015693" w:rsidRPr="0007547C" w:rsidRDefault="00015693" w:rsidP="00015693">
      <w:pPr>
        <w:rPr>
          <w:noProof/>
        </w:rPr>
      </w:pPr>
      <w:r w:rsidRPr="0007547C">
        <w:rPr>
          <w:b/>
          <w:noProof/>
        </w:rPr>
        <w:t>Sensitivity analysis:</w:t>
      </w:r>
      <w:r w:rsidR="00F575C1">
        <w:rPr>
          <w:b/>
          <w:noProof/>
        </w:rPr>
        <w:t xml:space="preserve"> </w:t>
      </w:r>
      <w:r w:rsidR="00F575C1">
        <w:rPr>
          <w:bCs/>
          <w:noProof/>
        </w:rPr>
        <w:t xml:space="preserve">The parameters used for the sensitivity analysis </w:t>
      </w:r>
      <w:r w:rsidR="001A70F1">
        <w:rPr>
          <w:bCs/>
          <w:noProof/>
        </w:rPr>
        <w:t>include: 1) the number of the initial repositories that MS put in place at an initial stage, ranging from 5 (min and central value) to 25</w:t>
      </w:r>
      <w:r w:rsidR="00522101">
        <w:rPr>
          <w:bCs/>
          <w:noProof/>
        </w:rPr>
        <w:t>; 2) the effort to maintain and govern those repositories, with values moving between 0.6 FTE to 1.2 FTE, with the central value being 1 FTE</w:t>
      </w:r>
      <w:r w:rsidR="00127816">
        <w:rPr>
          <w:bCs/>
          <w:noProof/>
        </w:rPr>
        <w:t>; 3) the costs to set up and</w:t>
      </w:r>
      <w:r w:rsidRPr="0007547C">
        <w:rPr>
          <w:noProof/>
        </w:rPr>
        <w:t xml:space="preserve"> </w:t>
      </w:r>
      <w:r w:rsidR="00127816">
        <w:rPr>
          <w:noProof/>
        </w:rPr>
        <w:t xml:space="preserve">maintain the OSPOs, ranging respectively from EUR 2m to EUR 3m </w:t>
      </w:r>
      <w:r w:rsidR="00522447">
        <w:rPr>
          <w:noProof/>
        </w:rPr>
        <w:t xml:space="preserve">(central value is EUR 2m) </w:t>
      </w:r>
      <w:r w:rsidR="00127816">
        <w:rPr>
          <w:noProof/>
        </w:rPr>
        <w:t xml:space="preserve">and </w:t>
      </w:r>
      <w:r w:rsidR="00F07096">
        <w:rPr>
          <w:noProof/>
        </w:rPr>
        <w:t xml:space="preserve">EUR 8m to EUR 28m (central value is EUR 12m); 4) </w:t>
      </w:r>
      <w:r w:rsidR="00731FE1">
        <w:rPr>
          <w:noProof/>
        </w:rPr>
        <w:t>the effort and</w:t>
      </w:r>
      <w:r w:rsidR="00F07096">
        <w:rPr>
          <w:noProof/>
        </w:rPr>
        <w:t xml:space="preserve"> contract </w:t>
      </w:r>
      <w:r w:rsidR="00731FE1">
        <w:rPr>
          <w:noProof/>
        </w:rPr>
        <w:t xml:space="preserve">values of the OS projects developed in and for the public administrations. Whereas the effort varies from 2 </w:t>
      </w:r>
      <w:r w:rsidR="00E90FEB">
        <w:rPr>
          <w:noProof/>
        </w:rPr>
        <w:t>FTEs to 5 FTEs, the average contract value ranges from EUR 400</w:t>
      </w:r>
      <w:r w:rsidR="00031694">
        <w:rPr>
          <w:noProof/>
        </w:rPr>
        <w:t xml:space="preserve"> </w:t>
      </w:r>
      <w:r w:rsidR="00E90FEB">
        <w:rPr>
          <w:noProof/>
        </w:rPr>
        <w:t>000 to EUR 600</w:t>
      </w:r>
      <w:r w:rsidR="00031694">
        <w:rPr>
          <w:noProof/>
        </w:rPr>
        <w:t xml:space="preserve"> </w:t>
      </w:r>
      <w:r w:rsidR="00E90FEB">
        <w:rPr>
          <w:noProof/>
        </w:rPr>
        <w:t>000</w:t>
      </w:r>
      <w:r w:rsidR="000C2091">
        <w:rPr>
          <w:noProof/>
        </w:rPr>
        <w:t>; 5)</w:t>
      </w:r>
      <w:r w:rsidR="009554EC">
        <w:rPr>
          <w:noProof/>
        </w:rPr>
        <w:t xml:space="preserve"> the total cost of ownership (TCO)</w:t>
      </w:r>
      <w:r w:rsidR="007D73BC">
        <w:rPr>
          <w:noProof/>
        </w:rPr>
        <w:t xml:space="preserve"> and 6) the savings for not duplicating software, ranging from EUR 80</w:t>
      </w:r>
      <w:r w:rsidR="00031694">
        <w:rPr>
          <w:noProof/>
        </w:rPr>
        <w:t xml:space="preserve"> </w:t>
      </w:r>
      <w:r w:rsidR="007D73BC">
        <w:rPr>
          <w:noProof/>
        </w:rPr>
        <w:t>000 to 4500</w:t>
      </w:r>
      <w:r w:rsidR="00031694">
        <w:rPr>
          <w:noProof/>
        </w:rPr>
        <w:t xml:space="preserve"> </w:t>
      </w:r>
      <w:r w:rsidR="007D73BC">
        <w:rPr>
          <w:noProof/>
        </w:rPr>
        <w:t>00</w:t>
      </w:r>
      <w:r w:rsidR="00843314">
        <w:rPr>
          <w:noProof/>
        </w:rPr>
        <w:t>, depending on the size of the project</w:t>
      </w:r>
    </w:p>
    <w:p w14:paraId="005374F9" w14:textId="2FA1E96F" w:rsidR="00015693" w:rsidRPr="0007547C" w:rsidRDefault="00015693" w:rsidP="00015693">
      <w:pPr>
        <w:shd w:val="clear" w:color="auto" w:fill="FFFFFF"/>
        <w:rPr>
          <w:rFonts w:eastAsia="Times New Roman"/>
          <w:b/>
          <w:noProof/>
        </w:rPr>
      </w:pPr>
      <w:r w:rsidRPr="0007547C">
        <w:rPr>
          <w:rFonts w:eastAsia="Times New Roman"/>
          <w:b/>
          <w:noProof/>
        </w:rPr>
        <w:t xml:space="preserve">Indirect </w:t>
      </w:r>
      <w:r w:rsidR="00966DA4">
        <w:rPr>
          <w:rFonts w:eastAsia="Times New Roman"/>
          <w:b/>
          <w:noProof/>
        </w:rPr>
        <w:t>savings</w:t>
      </w:r>
      <w:r w:rsidR="001731B9">
        <w:rPr>
          <w:rFonts w:eastAsia="Times New Roman"/>
          <w:b/>
          <w:noProof/>
        </w:rPr>
        <w:t>:</w:t>
      </w:r>
    </w:p>
    <w:p w14:paraId="1CBB27C9" w14:textId="4649CA79" w:rsidR="00015693" w:rsidRPr="0007547C" w:rsidRDefault="00015693" w:rsidP="00015693">
      <w:pPr>
        <w:rPr>
          <w:rFonts w:eastAsia="Times New Roman"/>
          <w:noProof/>
        </w:rPr>
      </w:pPr>
      <w:r w:rsidRPr="294AF3FA">
        <w:rPr>
          <w:rFonts w:eastAsia="Times New Roman"/>
          <w:i/>
          <w:iCs/>
          <w:noProof/>
        </w:rPr>
        <w:t>Open Source can have broader economic effects.</w:t>
      </w:r>
      <w:r w:rsidRPr="0007547C">
        <w:rPr>
          <w:rFonts w:eastAsia="Times New Roman"/>
          <w:noProof/>
        </w:rPr>
        <w:t xml:space="preserve"> When public administrations increase their procurement and use of open source software, they create additional demand for open and interoperable solutions across the wider economy. Evidence from France</w:t>
      </w:r>
      <w:r>
        <w:rPr>
          <w:rStyle w:val="FootnoteReference"/>
          <w:rFonts w:eastAsia="Times New Roman"/>
          <w:noProof/>
        </w:rPr>
        <w:footnoteReference w:id="84"/>
      </w:r>
      <w:r w:rsidRPr="0007547C">
        <w:rPr>
          <w:rFonts w:eastAsia="Times New Roman"/>
          <w:noProof/>
        </w:rPr>
        <w:t xml:space="preserve"> shows that a change in public procurement rules led to measurable increases in open source activity, firm-level adoption, and software-related employment. The same mechanism, applied at EU scale, would be expected to stimulate market growth and innovation in related sectors. These spillover effects are particularly relevant at regional level, where increased public sector use of open source can strengthen local digital ecosystems and create opportunities for SMEs to participate in public procurement through open interfaces and shared repositories.</w:t>
      </w:r>
    </w:p>
    <w:p w14:paraId="52F20DC1" w14:textId="77777777" w:rsidR="00015693" w:rsidRPr="0007547C" w:rsidRDefault="00015693" w:rsidP="00015693">
      <w:pPr>
        <w:rPr>
          <w:rFonts w:eastAsia="Times New Roman"/>
          <w:noProof/>
        </w:rPr>
      </w:pPr>
      <w:r w:rsidRPr="294AF3FA">
        <w:rPr>
          <w:rFonts w:eastAsia="Times New Roman"/>
          <w:i/>
          <w:iCs/>
          <w:noProof/>
        </w:rPr>
        <w:t>Innovation and productivity.</w:t>
      </w:r>
      <w:r>
        <w:rPr>
          <w:rFonts w:eastAsia="Times New Roman"/>
          <w:noProof/>
        </w:rPr>
        <w:t xml:space="preserve"> </w:t>
      </w:r>
      <w:r w:rsidRPr="0007547C">
        <w:rPr>
          <w:rFonts w:eastAsia="Times New Roman"/>
          <w:noProof/>
        </w:rPr>
        <w:t>Increased public-sector participation in open source development contributes directly to the European open source knowledge base. Studies</w:t>
      </w:r>
      <w:r>
        <w:rPr>
          <w:rFonts w:eastAsia="Times New Roman"/>
          <w:noProof/>
        </w:rPr>
        <w:t xml:space="preserve"> </w:t>
      </w:r>
      <w:r>
        <w:rPr>
          <w:rStyle w:val="FootnoteReference"/>
          <w:rFonts w:eastAsia="Times New Roman"/>
          <w:noProof/>
        </w:rPr>
        <w:footnoteReference w:id="85"/>
      </w:r>
      <w:r w:rsidRPr="00DA029C">
        <w:rPr>
          <w:rFonts w:eastAsia="Times New Roman"/>
          <w:noProof/>
          <w:vertAlign w:val="superscript"/>
        </w:rPr>
        <w:t>,</w:t>
      </w:r>
      <w:r>
        <w:rPr>
          <w:rStyle w:val="FootnoteReference"/>
          <w:rFonts w:eastAsia="Times New Roman"/>
          <w:noProof/>
        </w:rPr>
        <w:footnoteReference w:id="86"/>
      </w:r>
      <w:r>
        <w:rPr>
          <w:rFonts w:eastAsia="Times New Roman"/>
          <w:noProof/>
        </w:rPr>
        <w:t xml:space="preserve"> </w:t>
      </w:r>
      <w:r w:rsidRPr="0007547C">
        <w:rPr>
          <w:rFonts w:eastAsia="Times New Roman"/>
          <w:noProof/>
        </w:rPr>
        <w:t>associate higher open source contribution rates with stronger productivity growth, faster diffusion of digital innovation, and broader SME participation in the digital economy.</w:t>
      </w:r>
    </w:p>
    <w:p w14:paraId="2B069522" w14:textId="77777777" w:rsidR="00015693" w:rsidRDefault="00015693" w:rsidP="58924A83">
      <w:pPr>
        <w:shd w:val="clear" w:color="auto" w:fill="FFFFFF" w:themeFill="background1"/>
        <w:rPr>
          <w:rFonts w:eastAsia="Times New Roman"/>
          <w:noProof/>
        </w:rPr>
      </w:pPr>
      <w:r w:rsidRPr="00DA029C">
        <w:rPr>
          <w:rFonts w:eastAsia="Times New Roman"/>
          <w:bCs/>
          <w:i/>
          <w:noProof/>
        </w:rPr>
        <w:t>Interaction model and mechanisms of impact.</w:t>
      </w:r>
      <w:r w:rsidRPr="0007547C">
        <w:rPr>
          <w:rFonts w:eastAsia="Times New Roman"/>
          <w:b/>
          <w:noProof/>
        </w:rPr>
        <w:t xml:space="preserve"> </w:t>
      </w:r>
      <w:r w:rsidRPr="0007547C">
        <w:rPr>
          <w:rFonts w:eastAsia="Times New Roman"/>
          <w:noProof/>
        </w:rPr>
        <w:t>The policy measure operates through both endogenous and exogenous mechanisms. Endogenously, the adoption of open source first practices enhances the technological capability of public administrations. Reuse of existing code reduces project complexity and risk, while exposure to open development practices increases staff proficiency and institutional knowledge. This leads to lower operational costs and greater autonomy in managing digital systems, strengthening technological sovereignty and reducing dependency on specific vendors.</w:t>
      </w:r>
      <w:r>
        <w:rPr>
          <w:rFonts w:eastAsia="Times New Roman"/>
          <w:noProof/>
        </w:rPr>
        <w:t xml:space="preserve"> </w:t>
      </w:r>
      <w:r w:rsidRPr="0007547C">
        <w:rPr>
          <w:rFonts w:eastAsia="Times New Roman"/>
          <w:noProof/>
        </w:rPr>
        <w:t>Exogenously, wider public-sector use and release of open source software generates spillover effects across the domestic IT ecosystem. Local suppliers are better able to engage with open codebases and participate in collaborative development, which can lower market entry barriers, increase competition, and improve the quality of public-sector digital solutions. These dynamics reinforce each other: a more capable public administration interacts with a more dynamic local IT environment, creating a self-sustaining cycle of capability and innovation.</w:t>
      </w:r>
    </w:p>
    <w:p w14:paraId="23D51263" w14:textId="6EF73B87" w:rsidR="00015693" w:rsidRPr="00841866" w:rsidRDefault="00015693" w:rsidP="008D0BAC">
      <w:pPr>
        <w:pStyle w:val="Text2"/>
        <w:ind w:left="0"/>
        <w:rPr>
          <w:noProof/>
          <w:lang w:val="en-US"/>
        </w:rPr>
      </w:pPr>
      <w:bookmarkStart w:id="248" w:name="_Toc208595322"/>
      <w:bookmarkStart w:id="249" w:name="_Toc208836947"/>
      <w:bookmarkStart w:id="250" w:name="_Toc210906898"/>
      <w:r w:rsidRPr="00DA029C">
        <w:rPr>
          <w:b/>
          <w:bCs/>
          <w:noProof/>
          <w:lang w:val="en-US"/>
        </w:rPr>
        <w:t>Results</w:t>
      </w:r>
      <w:r w:rsidRPr="00841866">
        <w:rPr>
          <w:noProof/>
          <w:lang w:val="en-US"/>
        </w:rPr>
        <w:t xml:space="preserve"> for all stakeholders aggregated and for the years covered by this measure are </w:t>
      </w:r>
      <w:r w:rsidRPr="00DA029C">
        <w:rPr>
          <w:noProof/>
          <w:szCs w:val="24"/>
          <w:lang w:val="en-US"/>
        </w:rPr>
        <w:t>summarized</w:t>
      </w:r>
      <w:r w:rsidRPr="00841866">
        <w:rPr>
          <w:noProof/>
          <w:lang w:val="en-US"/>
        </w:rPr>
        <w:t xml:space="preserve"> in the table below. Total implementation costs are driven largely by recurrent adjustment costs related to </w:t>
      </w:r>
      <w:r w:rsidR="008D0788">
        <w:rPr>
          <w:noProof/>
          <w:lang w:val="en-US"/>
        </w:rPr>
        <w:t>setup of the OSPOs and the repositories as well as</w:t>
      </w:r>
      <w:r w:rsidRPr="00841866">
        <w:rPr>
          <w:noProof/>
          <w:lang w:val="en-US"/>
        </w:rPr>
        <w:t xml:space="preserve"> adaptation efforts. Estimated cost savings range widely, from </w:t>
      </w:r>
      <w:r w:rsidR="008D0788">
        <w:rPr>
          <w:noProof/>
          <w:lang w:val="en-US"/>
        </w:rPr>
        <w:t xml:space="preserve">EUR </w:t>
      </w:r>
      <w:r w:rsidR="00DF750D">
        <w:rPr>
          <w:noProof/>
          <w:lang w:val="en-US"/>
        </w:rPr>
        <w:t>1.6</w:t>
      </w:r>
      <w:r w:rsidRPr="00841866">
        <w:rPr>
          <w:noProof/>
          <w:lang w:val="en-US"/>
        </w:rPr>
        <w:t xml:space="preserve"> </w:t>
      </w:r>
      <w:r w:rsidR="007F4FAE">
        <w:rPr>
          <w:noProof/>
          <w:lang w:val="en-US"/>
        </w:rPr>
        <w:t>bn</w:t>
      </w:r>
      <w:r w:rsidRPr="00841866">
        <w:rPr>
          <w:noProof/>
          <w:lang w:val="en-US"/>
        </w:rPr>
        <w:t xml:space="preserve"> to </w:t>
      </w:r>
      <w:r w:rsidR="008D0788">
        <w:rPr>
          <w:noProof/>
          <w:lang w:val="en-US"/>
        </w:rPr>
        <w:t>EUR</w:t>
      </w:r>
      <w:r w:rsidR="00DF750D">
        <w:rPr>
          <w:noProof/>
          <w:lang w:val="en-US"/>
        </w:rPr>
        <w:t xml:space="preserve"> 12.0</w:t>
      </w:r>
      <w:r w:rsidRPr="00841866">
        <w:rPr>
          <w:noProof/>
          <w:lang w:val="en-US"/>
        </w:rPr>
        <w:t xml:space="preserve"> </w:t>
      </w:r>
      <w:r w:rsidR="007F4FAE">
        <w:rPr>
          <w:noProof/>
          <w:lang w:val="en-US"/>
        </w:rPr>
        <w:t>bn</w:t>
      </w:r>
      <w:r w:rsidRPr="00841866">
        <w:rPr>
          <w:noProof/>
          <w:lang w:val="en-US"/>
        </w:rPr>
        <w:t>, depending on the realization of efficiency gains. The variation in the min and max costs from the perceived costs of the proprietary software development tools along with the savings for not duplicating the software needed.</w:t>
      </w:r>
    </w:p>
    <w:p w14:paraId="402F2520" w14:textId="1A69757A" w:rsidR="00015693" w:rsidRDefault="00015693" w:rsidP="00015693">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40</w:t>
      </w:r>
      <w:r>
        <w:rPr>
          <w:noProof/>
        </w:rPr>
        <w:fldChar w:fldCharType="end"/>
      </w:r>
      <w:r>
        <w:rPr>
          <w:noProof/>
        </w:rPr>
        <w:t xml:space="preserve">. </w:t>
      </w:r>
      <w:r w:rsidRPr="006870C2">
        <w:rPr>
          <w:noProof/>
        </w:rPr>
        <w:t>Boosting open</w:t>
      </w:r>
      <w:r w:rsidR="00FD2965">
        <w:rPr>
          <w:noProof/>
        </w:rPr>
        <w:t xml:space="preserve"> </w:t>
      </w:r>
      <w:r w:rsidRPr="006870C2">
        <w:rPr>
          <w:noProof/>
        </w:rPr>
        <w:t>source in public administrations</w:t>
      </w:r>
      <w:r>
        <w:rPr>
          <w:noProof/>
        </w:rPr>
        <w:t xml:space="preserve"> (PM 20)</w:t>
      </w:r>
    </w:p>
    <w:tbl>
      <w:tblPr>
        <w:tblStyle w:val="TableGrid"/>
        <w:tblW w:w="9781" w:type="dxa"/>
        <w:tblInd w:w="-709" w:type="dxa"/>
        <w:tblLayout w:type="fixed"/>
        <w:tblCellMar>
          <w:left w:w="0" w:type="dxa"/>
          <w:right w:w="0" w:type="dxa"/>
        </w:tblCellMar>
        <w:tblLook w:val="04A0" w:firstRow="1" w:lastRow="0" w:firstColumn="1" w:lastColumn="0" w:noHBand="0" w:noVBand="1"/>
      </w:tblPr>
      <w:tblGrid>
        <w:gridCol w:w="2009"/>
        <w:gridCol w:w="968"/>
        <w:gridCol w:w="1418"/>
        <w:gridCol w:w="1134"/>
        <w:gridCol w:w="1417"/>
        <w:gridCol w:w="1418"/>
        <w:gridCol w:w="1417"/>
      </w:tblGrid>
      <w:tr w:rsidR="00521750" w:rsidRPr="00FA63C0" w14:paraId="360A044F" w14:textId="77777777" w:rsidTr="0065746E">
        <w:trPr>
          <w:trHeight w:val="506"/>
        </w:trPr>
        <w:tc>
          <w:tcPr>
            <w:tcW w:w="2009" w:type="dxa"/>
            <w:tcBorders>
              <w:bottom w:val="single" w:sz="12" w:space="0" w:color="00B0F0"/>
            </w:tcBorders>
            <w:noWrap/>
            <w:hideMark/>
          </w:tcPr>
          <w:p w14:paraId="7D013DBB" w14:textId="77777777" w:rsidR="00046821" w:rsidRPr="00FA63C0" w:rsidRDefault="00046821">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968" w:type="dxa"/>
            <w:tcBorders>
              <w:bottom w:val="single" w:sz="12" w:space="0" w:color="00B0F0"/>
            </w:tcBorders>
          </w:tcPr>
          <w:p w14:paraId="33AA1D4E" w14:textId="03BF519B" w:rsidR="00046821" w:rsidRPr="00FA63C0" w:rsidRDefault="004A2D56">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1418" w:type="dxa"/>
            <w:tcBorders>
              <w:bottom w:val="single" w:sz="12" w:space="0" w:color="00B0F0"/>
            </w:tcBorders>
          </w:tcPr>
          <w:p w14:paraId="2033023E" w14:textId="77777777" w:rsidR="00046821" w:rsidRPr="00FA63C0" w:rsidRDefault="00046821">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134" w:type="dxa"/>
            <w:tcBorders>
              <w:bottom w:val="single" w:sz="12" w:space="0" w:color="00B0F0"/>
            </w:tcBorders>
          </w:tcPr>
          <w:p w14:paraId="5FE9D43F" w14:textId="45021AD3" w:rsidR="00046821" w:rsidRPr="00FA63C0" w:rsidRDefault="00046821">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417" w:type="dxa"/>
            <w:tcBorders>
              <w:bottom w:val="single" w:sz="12" w:space="0" w:color="00B0F0"/>
            </w:tcBorders>
            <w:noWrap/>
            <w:hideMark/>
          </w:tcPr>
          <w:p w14:paraId="288058EB" w14:textId="77777777" w:rsidR="00046821" w:rsidRPr="00FA63C0" w:rsidRDefault="0004682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418" w:type="dxa"/>
            <w:tcBorders>
              <w:bottom w:val="single" w:sz="12" w:space="0" w:color="00B0F0"/>
            </w:tcBorders>
            <w:noWrap/>
            <w:hideMark/>
          </w:tcPr>
          <w:p w14:paraId="5EDFF5A7" w14:textId="77777777" w:rsidR="00046821" w:rsidRPr="00EC6BC1" w:rsidRDefault="00046821">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417" w:type="dxa"/>
            <w:tcBorders>
              <w:bottom w:val="single" w:sz="12" w:space="0" w:color="00B0F0"/>
            </w:tcBorders>
            <w:noWrap/>
            <w:hideMark/>
          </w:tcPr>
          <w:p w14:paraId="50DFF00B" w14:textId="77777777" w:rsidR="00046821" w:rsidRPr="00FA63C0" w:rsidRDefault="00046821">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EB3FA4" w:rsidRPr="00397C78" w14:paraId="4C42CC79" w14:textId="77777777" w:rsidTr="0065746E">
        <w:trPr>
          <w:trHeight w:val="283"/>
        </w:trPr>
        <w:tc>
          <w:tcPr>
            <w:tcW w:w="2009" w:type="dxa"/>
            <w:tcBorders>
              <w:top w:val="single" w:sz="12" w:space="0" w:color="00B0F0"/>
            </w:tcBorders>
            <w:noWrap/>
            <w:hideMark/>
          </w:tcPr>
          <w:p w14:paraId="7A73D4BB" w14:textId="77777777" w:rsidR="00046821" w:rsidRPr="00FA63C0" w:rsidRDefault="00046821" w:rsidP="00046821">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968" w:type="dxa"/>
            <w:tcBorders>
              <w:top w:val="single" w:sz="12" w:space="0" w:color="00B0F0"/>
            </w:tcBorders>
          </w:tcPr>
          <w:p w14:paraId="48B4FA7A" w14:textId="4DD6185B"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8" w:type="dxa"/>
            <w:tcBorders>
              <w:top w:val="single" w:sz="12" w:space="0" w:color="00B0F0"/>
            </w:tcBorders>
          </w:tcPr>
          <w:p w14:paraId="61F9ED90" w14:textId="13C4900C" w:rsidR="00046821" w:rsidRPr="00FA63C0" w:rsidRDefault="00C36039" w:rsidP="00046821">
            <w:pPr>
              <w:spacing w:after="0"/>
              <w:jc w:val="right"/>
              <w:rPr>
                <w:noProof/>
                <w:sz w:val="20"/>
                <w:szCs w:val="20"/>
                <w:lang w:val="en-IE" w:eastAsia="en-IE"/>
              </w:rPr>
            </w:pPr>
            <w:r w:rsidRPr="00317F25">
              <w:rPr>
                <w:noProof/>
                <w:sz w:val="20"/>
                <w:szCs w:val="20"/>
              </w:rPr>
              <w:t xml:space="preserve"> 10 389 481 </w:t>
            </w:r>
          </w:p>
        </w:tc>
        <w:tc>
          <w:tcPr>
            <w:tcW w:w="1134" w:type="dxa"/>
            <w:tcBorders>
              <w:top w:val="single" w:sz="12" w:space="0" w:color="00B0F0"/>
            </w:tcBorders>
          </w:tcPr>
          <w:p w14:paraId="4C1BA5F2" w14:textId="63D46602"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7" w:type="dxa"/>
            <w:tcBorders>
              <w:top w:val="single" w:sz="12" w:space="0" w:color="00B0F0"/>
            </w:tcBorders>
            <w:noWrap/>
          </w:tcPr>
          <w:p w14:paraId="5BBA1FAF" w14:textId="5D958826" w:rsidR="00046821" w:rsidRPr="00046821" w:rsidRDefault="00046821" w:rsidP="00046821">
            <w:pPr>
              <w:spacing w:after="0"/>
              <w:jc w:val="right"/>
              <w:rPr>
                <w:noProof/>
                <w:sz w:val="20"/>
                <w:szCs w:val="20"/>
                <w:lang w:val="en-IE" w:eastAsia="en-IE"/>
              </w:rPr>
            </w:pPr>
            <w:r w:rsidRPr="0065746E">
              <w:rPr>
                <w:noProof/>
                <w:sz w:val="20"/>
                <w:szCs w:val="20"/>
              </w:rPr>
              <w:t xml:space="preserve"> 10 389 481 </w:t>
            </w:r>
          </w:p>
        </w:tc>
        <w:tc>
          <w:tcPr>
            <w:tcW w:w="1418" w:type="dxa"/>
            <w:tcBorders>
              <w:top w:val="single" w:sz="12" w:space="0" w:color="00B0F0"/>
            </w:tcBorders>
            <w:noWrap/>
          </w:tcPr>
          <w:p w14:paraId="0E5E7690" w14:textId="3A696911" w:rsidR="00046821" w:rsidRPr="00430121" w:rsidRDefault="003D1052" w:rsidP="00046821">
            <w:pPr>
              <w:spacing w:after="0"/>
              <w:jc w:val="right"/>
              <w:rPr>
                <w:noProof/>
                <w:sz w:val="22"/>
                <w:szCs w:val="22"/>
                <w:lang w:val="en-IE" w:eastAsia="en-IE"/>
              </w:rPr>
            </w:pPr>
            <w:r w:rsidRPr="00430121">
              <w:rPr>
                <w:noProof/>
                <w:sz w:val="22"/>
                <w:szCs w:val="22"/>
              </w:rPr>
              <w:t>6</w:t>
            </w:r>
            <w:r w:rsidR="00C20BAB">
              <w:rPr>
                <w:noProof/>
                <w:sz w:val="22"/>
                <w:szCs w:val="22"/>
              </w:rPr>
              <w:t xml:space="preserve"> </w:t>
            </w:r>
            <w:r w:rsidRPr="00430121">
              <w:rPr>
                <w:noProof/>
                <w:sz w:val="22"/>
                <w:szCs w:val="22"/>
              </w:rPr>
              <w:t>926</w:t>
            </w:r>
            <w:r w:rsidR="00C20BAB">
              <w:rPr>
                <w:noProof/>
                <w:sz w:val="22"/>
                <w:szCs w:val="22"/>
              </w:rPr>
              <w:t xml:space="preserve"> </w:t>
            </w:r>
            <w:r w:rsidRPr="00430121">
              <w:rPr>
                <w:noProof/>
                <w:sz w:val="22"/>
                <w:szCs w:val="22"/>
              </w:rPr>
              <w:t xml:space="preserve">321 </w:t>
            </w:r>
          </w:p>
        </w:tc>
        <w:tc>
          <w:tcPr>
            <w:tcW w:w="1417" w:type="dxa"/>
            <w:tcBorders>
              <w:top w:val="single" w:sz="12" w:space="0" w:color="00B0F0"/>
            </w:tcBorders>
            <w:noWrap/>
          </w:tcPr>
          <w:p w14:paraId="58F71AB3" w14:textId="750631EA" w:rsidR="00046821" w:rsidRPr="00430121" w:rsidRDefault="003D1052" w:rsidP="00046821">
            <w:pPr>
              <w:spacing w:after="0"/>
              <w:jc w:val="right"/>
              <w:rPr>
                <w:noProof/>
                <w:sz w:val="22"/>
                <w:szCs w:val="22"/>
                <w:lang w:val="en-IE" w:eastAsia="en-IE"/>
              </w:rPr>
            </w:pPr>
            <w:r w:rsidRPr="00430121">
              <w:rPr>
                <w:noProof/>
                <w:sz w:val="22"/>
                <w:szCs w:val="22"/>
              </w:rPr>
              <w:t xml:space="preserve"> 13</w:t>
            </w:r>
            <w:r w:rsidR="00C20BAB">
              <w:rPr>
                <w:noProof/>
                <w:sz w:val="22"/>
                <w:szCs w:val="22"/>
              </w:rPr>
              <w:t xml:space="preserve"> </w:t>
            </w:r>
            <w:r w:rsidRPr="00430121">
              <w:rPr>
                <w:noProof/>
                <w:sz w:val="22"/>
                <w:szCs w:val="22"/>
              </w:rPr>
              <w:t>852</w:t>
            </w:r>
            <w:r w:rsidR="00C20BAB">
              <w:rPr>
                <w:noProof/>
                <w:sz w:val="22"/>
                <w:szCs w:val="22"/>
              </w:rPr>
              <w:t xml:space="preserve"> </w:t>
            </w:r>
            <w:r w:rsidRPr="00430121">
              <w:rPr>
                <w:noProof/>
                <w:sz w:val="22"/>
                <w:szCs w:val="22"/>
              </w:rPr>
              <w:t xml:space="preserve">642 </w:t>
            </w:r>
          </w:p>
        </w:tc>
      </w:tr>
      <w:tr w:rsidR="00EB3FA4" w:rsidRPr="00061A60" w14:paraId="19F0225B" w14:textId="77777777" w:rsidTr="00B05194">
        <w:trPr>
          <w:trHeight w:val="68"/>
        </w:trPr>
        <w:tc>
          <w:tcPr>
            <w:tcW w:w="2009" w:type="dxa"/>
            <w:noWrap/>
            <w:hideMark/>
          </w:tcPr>
          <w:p w14:paraId="09C822A9" w14:textId="77777777" w:rsidR="00046821" w:rsidRPr="00FA63C0" w:rsidRDefault="00046821" w:rsidP="00046821">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968" w:type="dxa"/>
          </w:tcPr>
          <w:p w14:paraId="5DE66A89" w14:textId="29714CCD"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8" w:type="dxa"/>
          </w:tcPr>
          <w:p w14:paraId="6B91EC00" w14:textId="76D6CBF0" w:rsidR="00046821" w:rsidRPr="00FA63C0" w:rsidRDefault="00C36039" w:rsidP="00046821">
            <w:pPr>
              <w:spacing w:after="0"/>
              <w:jc w:val="right"/>
              <w:rPr>
                <w:noProof/>
                <w:sz w:val="20"/>
                <w:szCs w:val="20"/>
                <w:lang w:val="en-IE" w:eastAsia="en-IE"/>
              </w:rPr>
            </w:pPr>
            <w:r w:rsidRPr="00317F25">
              <w:rPr>
                <w:noProof/>
                <w:sz w:val="20"/>
                <w:szCs w:val="20"/>
              </w:rPr>
              <w:t xml:space="preserve"> 90 711 949 </w:t>
            </w:r>
          </w:p>
        </w:tc>
        <w:tc>
          <w:tcPr>
            <w:tcW w:w="1134" w:type="dxa"/>
          </w:tcPr>
          <w:p w14:paraId="58179ADC" w14:textId="665A566E"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7" w:type="dxa"/>
            <w:noWrap/>
          </w:tcPr>
          <w:p w14:paraId="1C9CC244" w14:textId="119D6A26" w:rsidR="00046821" w:rsidRPr="00046821" w:rsidRDefault="00046821" w:rsidP="00046821">
            <w:pPr>
              <w:spacing w:after="0"/>
              <w:jc w:val="right"/>
              <w:rPr>
                <w:noProof/>
                <w:sz w:val="20"/>
                <w:szCs w:val="20"/>
                <w:lang w:val="en-IE" w:eastAsia="en-IE"/>
              </w:rPr>
            </w:pPr>
            <w:r w:rsidRPr="0065746E">
              <w:rPr>
                <w:noProof/>
                <w:sz w:val="20"/>
                <w:szCs w:val="20"/>
              </w:rPr>
              <w:t xml:space="preserve"> 90 711 949 </w:t>
            </w:r>
          </w:p>
        </w:tc>
        <w:tc>
          <w:tcPr>
            <w:tcW w:w="1418" w:type="dxa"/>
            <w:noWrap/>
          </w:tcPr>
          <w:p w14:paraId="44D56419" w14:textId="09B5E628" w:rsidR="00046821" w:rsidRPr="00430121" w:rsidRDefault="003D1052" w:rsidP="00046821">
            <w:pPr>
              <w:spacing w:after="0"/>
              <w:jc w:val="right"/>
              <w:rPr>
                <w:noProof/>
                <w:sz w:val="22"/>
                <w:szCs w:val="22"/>
                <w:lang w:val="en-IE" w:eastAsia="en-IE"/>
              </w:rPr>
            </w:pPr>
            <w:r w:rsidRPr="00430121">
              <w:rPr>
                <w:noProof/>
                <w:sz w:val="22"/>
                <w:szCs w:val="22"/>
              </w:rPr>
              <w:t xml:space="preserve"> 60</w:t>
            </w:r>
            <w:r w:rsidR="00C20BAB">
              <w:rPr>
                <w:noProof/>
                <w:sz w:val="22"/>
                <w:szCs w:val="22"/>
              </w:rPr>
              <w:t xml:space="preserve"> </w:t>
            </w:r>
            <w:r w:rsidRPr="00430121">
              <w:rPr>
                <w:noProof/>
                <w:sz w:val="22"/>
                <w:szCs w:val="22"/>
              </w:rPr>
              <w:t>474</w:t>
            </w:r>
            <w:r w:rsidR="00C20BAB">
              <w:rPr>
                <w:noProof/>
                <w:sz w:val="22"/>
                <w:szCs w:val="22"/>
              </w:rPr>
              <w:t xml:space="preserve"> </w:t>
            </w:r>
            <w:r w:rsidRPr="00430121">
              <w:rPr>
                <w:noProof/>
                <w:sz w:val="22"/>
                <w:szCs w:val="22"/>
              </w:rPr>
              <w:t xml:space="preserve">632 </w:t>
            </w:r>
          </w:p>
        </w:tc>
        <w:tc>
          <w:tcPr>
            <w:tcW w:w="1417" w:type="dxa"/>
            <w:noWrap/>
          </w:tcPr>
          <w:p w14:paraId="496DF22A" w14:textId="224B41A8" w:rsidR="00046821" w:rsidRPr="00430121" w:rsidRDefault="003D1052" w:rsidP="00046821">
            <w:pPr>
              <w:spacing w:after="0"/>
              <w:jc w:val="right"/>
              <w:rPr>
                <w:noProof/>
                <w:sz w:val="22"/>
                <w:szCs w:val="22"/>
                <w:lang w:val="en-IE" w:eastAsia="en-IE"/>
              </w:rPr>
            </w:pPr>
            <w:r w:rsidRPr="00430121">
              <w:rPr>
                <w:noProof/>
                <w:sz w:val="22"/>
                <w:szCs w:val="22"/>
              </w:rPr>
              <w:t xml:space="preserve"> 211</w:t>
            </w:r>
            <w:r w:rsidR="00C20BAB">
              <w:rPr>
                <w:noProof/>
                <w:sz w:val="22"/>
                <w:szCs w:val="22"/>
              </w:rPr>
              <w:t xml:space="preserve"> </w:t>
            </w:r>
            <w:r w:rsidRPr="00430121">
              <w:rPr>
                <w:noProof/>
                <w:sz w:val="22"/>
                <w:szCs w:val="22"/>
              </w:rPr>
              <w:t>661</w:t>
            </w:r>
            <w:r w:rsidR="00C20BAB">
              <w:rPr>
                <w:noProof/>
                <w:sz w:val="22"/>
                <w:szCs w:val="22"/>
              </w:rPr>
              <w:t xml:space="preserve"> </w:t>
            </w:r>
            <w:r w:rsidRPr="00430121">
              <w:rPr>
                <w:noProof/>
                <w:sz w:val="22"/>
                <w:szCs w:val="22"/>
              </w:rPr>
              <w:t xml:space="preserve">213 </w:t>
            </w:r>
          </w:p>
        </w:tc>
      </w:tr>
      <w:tr w:rsidR="003F0D6E" w:rsidRPr="00397C78" w14:paraId="06BACCEF" w14:textId="77777777" w:rsidTr="00887FB2">
        <w:trPr>
          <w:trHeight w:val="283"/>
        </w:trPr>
        <w:tc>
          <w:tcPr>
            <w:tcW w:w="2009" w:type="dxa"/>
            <w:noWrap/>
            <w:hideMark/>
          </w:tcPr>
          <w:p w14:paraId="2C62C285" w14:textId="77777777" w:rsidR="003F0D6E" w:rsidRPr="00FA63C0" w:rsidRDefault="003F0D6E" w:rsidP="003F0D6E">
            <w:pPr>
              <w:spacing w:after="0"/>
              <w:jc w:val="left"/>
              <w:rPr>
                <w:i/>
                <w:iCs/>
                <w:noProof/>
                <w:sz w:val="20"/>
                <w:szCs w:val="20"/>
                <w:lang w:val="en-IE" w:eastAsia="en-IE"/>
              </w:rPr>
            </w:pPr>
            <w:r w:rsidRPr="00FA63C0">
              <w:rPr>
                <w:i/>
                <w:iCs/>
                <w:noProof/>
                <w:sz w:val="20"/>
                <w:szCs w:val="20"/>
                <w:lang w:val="en-IE" w:eastAsia="en-IE"/>
              </w:rPr>
              <w:t>one-off adjustment</w:t>
            </w:r>
          </w:p>
        </w:tc>
        <w:tc>
          <w:tcPr>
            <w:tcW w:w="968" w:type="dxa"/>
          </w:tcPr>
          <w:p w14:paraId="63CD2A67" w14:textId="7A9C23F8" w:rsidR="003F0D6E" w:rsidRPr="00FA63C0" w:rsidRDefault="003F0D6E" w:rsidP="003F0D6E">
            <w:pPr>
              <w:spacing w:after="0"/>
              <w:jc w:val="right"/>
              <w:rPr>
                <w:noProof/>
                <w:sz w:val="20"/>
                <w:szCs w:val="20"/>
                <w:lang w:val="en-IE" w:eastAsia="en-IE"/>
              </w:rPr>
            </w:pPr>
            <w:r w:rsidRPr="00FA63C0">
              <w:rPr>
                <w:noProof/>
                <w:sz w:val="20"/>
                <w:szCs w:val="20"/>
              </w:rPr>
              <w:t xml:space="preserve"> -   </w:t>
            </w:r>
          </w:p>
        </w:tc>
        <w:tc>
          <w:tcPr>
            <w:tcW w:w="1418" w:type="dxa"/>
          </w:tcPr>
          <w:p w14:paraId="50E09333" w14:textId="16034BB6" w:rsidR="003F0D6E" w:rsidRPr="00FA63C0" w:rsidRDefault="00235B1C" w:rsidP="003F0D6E">
            <w:pPr>
              <w:spacing w:after="0"/>
              <w:jc w:val="right"/>
              <w:rPr>
                <w:noProof/>
                <w:sz w:val="20"/>
                <w:szCs w:val="20"/>
                <w:lang w:val="en-IE" w:eastAsia="en-IE"/>
              </w:rPr>
            </w:pPr>
            <w:r w:rsidRPr="00640712">
              <w:rPr>
                <w:noProof/>
                <w:sz w:val="20"/>
                <w:szCs w:val="20"/>
              </w:rPr>
              <w:t xml:space="preserve"> 108</w:t>
            </w:r>
            <w:r>
              <w:rPr>
                <w:noProof/>
                <w:sz w:val="20"/>
                <w:szCs w:val="20"/>
              </w:rPr>
              <w:t xml:space="preserve"> </w:t>
            </w:r>
            <w:r w:rsidRPr="00640712">
              <w:rPr>
                <w:noProof/>
                <w:sz w:val="20"/>
                <w:szCs w:val="20"/>
              </w:rPr>
              <w:t>623</w:t>
            </w:r>
            <w:r>
              <w:rPr>
                <w:noProof/>
                <w:sz w:val="20"/>
                <w:szCs w:val="20"/>
              </w:rPr>
              <w:t xml:space="preserve"> </w:t>
            </w:r>
            <w:r w:rsidRPr="00640712">
              <w:rPr>
                <w:noProof/>
                <w:sz w:val="20"/>
                <w:szCs w:val="20"/>
              </w:rPr>
              <w:t xml:space="preserve">131 </w:t>
            </w:r>
          </w:p>
        </w:tc>
        <w:tc>
          <w:tcPr>
            <w:tcW w:w="1134" w:type="dxa"/>
          </w:tcPr>
          <w:p w14:paraId="527BE6F0" w14:textId="32B2B5E5" w:rsidR="003F0D6E" w:rsidRPr="00FA63C0" w:rsidRDefault="003F0D6E" w:rsidP="003F0D6E">
            <w:pPr>
              <w:spacing w:after="0"/>
              <w:jc w:val="right"/>
              <w:rPr>
                <w:noProof/>
                <w:sz w:val="20"/>
                <w:szCs w:val="20"/>
                <w:lang w:val="en-IE" w:eastAsia="en-IE"/>
              </w:rPr>
            </w:pPr>
            <w:r w:rsidRPr="00FA63C0">
              <w:rPr>
                <w:noProof/>
                <w:sz w:val="20"/>
                <w:szCs w:val="20"/>
              </w:rPr>
              <w:t xml:space="preserve"> -   </w:t>
            </w:r>
          </w:p>
        </w:tc>
        <w:tc>
          <w:tcPr>
            <w:tcW w:w="1417" w:type="dxa"/>
            <w:noWrap/>
          </w:tcPr>
          <w:p w14:paraId="7657761A" w14:textId="199E56C7" w:rsidR="003F0D6E" w:rsidRPr="00504D0D" w:rsidRDefault="00235B1C" w:rsidP="0020718A">
            <w:pPr>
              <w:spacing w:after="0"/>
              <w:jc w:val="right"/>
              <w:rPr>
                <w:noProof/>
                <w:sz w:val="20"/>
                <w:szCs w:val="20"/>
              </w:rPr>
            </w:pPr>
            <w:r w:rsidRPr="00430121">
              <w:rPr>
                <w:noProof/>
                <w:sz w:val="20"/>
                <w:szCs w:val="20"/>
              </w:rPr>
              <w:t xml:space="preserve"> 108</w:t>
            </w:r>
            <w:r>
              <w:rPr>
                <w:noProof/>
                <w:sz w:val="20"/>
                <w:szCs w:val="20"/>
              </w:rPr>
              <w:t xml:space="preserve"> </w:t>
            </w:r>
            <w:r w:rsidRPr="00430121">
              <w:rPr>
                <w:noProof/>
                <w:sz w:val="20"/>
                <w:szCs w:val="20"/>
              </w:rPr>
              <w:t>623</w:t>
            </w:r>
            <w:r>
              <w:rPr>
                <w:noProof/>
                <w:sz w:val="20"/>
                <w:szCs w:val="20"/>
              </w:rPr>
              <w:t xml:space="preserve"> </w:t>
            </w:r>
            <w:r w:rsidRPr="00430121">
              <w:rPr>
                <w:noProof/>
                <w:sz w:val="20"/>
                <w:szCs w:val="20"/>
              </w:rPr>
              <w:t xml:space="preserve">131 </w:t>
            </w:r>
          </w:p>
        </w:tc>
        <w:tc>
          <w:tcPr>
            <w:tcW w:w="1418" w:type="dxa"/>
            <w:noWrap/>
          </w:tcPr>
          <w:p w14:paraId="145AB963" w14:textId="6A73CA5C" w:rsidR="003F0D6E" w:rsidRPr="00504D0D" w:rsidRDefault="00235B1C" w:rsidP="0020718A">
            <w:pPr>
              <w:spacing w:after="0"/>
              <w:jc w:val="right"/>
              <w:rPr>
                <w:noProof/>
                <w:sz w:val="20"/>
                <w:szCs w:val="20"/>
              </w:rPr>
            </w:pPr>
            <w:r w:rsidRPr="00430121">
              <w:rPr>
                <w:noProof/>
                <w:sz w:val="20"/>
                <w:szCs w:val="20"/>
              </w:rPr>
              <w:t xml:space="preserve"> 56</w:t>
            </w:r>
            <w:r>
              <w:rPr>
                <w:noProof/>
                <w:sz w:val="20"/>
                <w:szCs w:val="20"/>
              </w:rPr>
              <w:t xml:space="preserve"> </w:t>
            </w:r>
            <w:r w:rsidRPr="00430121">
              <w:rPr>
                <w:noProof/>
                <w:sz w:val="20"/>
                <w:szCs w:val="20"/>
              </w:rPr>
              <w:t>488</w:t>
            </w:r>
            <w:r>
              <w:rPr>
                <w:noProof/>
                <w:sz w:val="20"/>
                <w:szCs w:val="20"/>
              </w:rPr>
              <w:t xml:space="preserve"> </w:t>
            </w:r>
            <w:r w:rsidRPr="00430121">
              <w:rPr>
                <w:noProof/>
                <w:sz w:val="20"/>
                <w:szCs w:val="20"/>
              </w:rPr>
              <w:t xml:space="preserve">617 </w:t>
            </w:r>
          </w:p>
        </w:tc>
        <w:tc>
          <w:tcPr>
            <w:tcW w:w="1417" w:type="dxa"/>
            <w:noWrap/>
          </w:tcPr>
          <w:p w14:paraId="7786BAD7" w14:textId="772722DB" w:rsidR="003F0D6E" w:rsidRPr="00504D0D" w:rsidRDefault="00235B1C" w:rsidP="0020718A">
            <w:pPr>
              <w:spacing w:after="0"/>
              <w:jc w:val="right"/>
              <w:rPr>
                <w:noProof/>
                <w:sz w:val="20"/>
                <w:szCs w:val="20"/>
              </w:rPr>
            </w:pPr>
            <w:r w:rsidRPr="00430121">
              <w:rPr>
                <w:noProof/>
                <w:sz w:val="20"/>
                <w:szCs w:val="20"/>
              </w:rPr>
              <w:t>184</w:t>
            </w:r>
            <w:r>
              <w:rPr>
                <w:noProof/>
                <w:sz w:val="20"/>
                <w:szCs w:val="20"/>
              </w:rPr>
              <w:t xml:space="preserve"> </w:t>
            </w:r>
            <w:r w:rsidRPr="00430121">
              <w:rPr>
                <w:noProof/>
                <w:sz w:val="20"/>
                <w:szCs w:val="20"/>
              </w:rPr>
              <w:t>117</w:t>
            </w:r>
            <w:r>
              <w:rPr>
                <w:noProof/>
                <w:sz w:val="20"/>
                <w:szCs w:val="20"/>
              </w:rPr>
              <w:t xml:space="preserve"> </w:t>
            </w:r>
            <w:r w:rsidRPr="00430121">
              <w:rPr>
                <w:noProof/>
                <w:sz w:val="20"/>
                <w:szCs w:val="20"/>
              </w:rPr>
              <w:t xml:space="preserve">928 </w:t>
            </w:r>
          </w:p>
        </w:tc>
      </w:tr>
      <w:tr w:rsidR="00EB3FA4" w:rsidRPr="00397C78" w14:paraId="15806CE2" w14:textId="77777777" w:rsidTr="0065746E">
        <w:trPr>
          <w:trHeight w:val="283"/>
        </w:trPr>
        <w:tc>
          <w:tcPr>
            <w:tcW w:w="2009" w:type="dxa"/>
            <w:noWrap/>
            <w:hideMark/>
          </w:tcPr>
          <w:p w14:paraId="4754A5FF" w14:textId="77777777" w:rsidR="00046821" w:rsidRPr="00FA63C0" w:rsidRDefault="00046821" w:rsidP="00046821">
            <w:pPr>
              <w:spacing w:after="0"/>
              <w:jc w:val="left"/>
              <w:rPr>
                <w:i/>
                <w:iCs/>
                <w:noProof/>
                <w:sz w:val="20"/>
                <w:szCs w:val="20"/>
                <w:lang w:val="en-IE" w:eastAsia="en-IE"/>
              </w:rPr>
            </w:pPr>
            <w:r w:rsidRPr="00FA63C0">
              <w:rPr>
                <w:i/>
                <w:iCs/>
                <w:noProof/>
                <w:sz w:val="20"/>
                <w:szCs w:val="20"/>
                <w:lang w:val="en-IE" w:eastAsia="en-IE"/>
              </w:rPr>
              <w:t>recurrent adjustment</w:t>
            </w:r>
          </w:p>
        </w:tc>
        <w:tc>
          <w:tcPr>
            <w:tcW w:w="968" w:type="dxa"/>
          </w:tcPr>
          <w:p w14:paraId="1570F1D2" w14:textId="531CD695"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8" w:type="dxa"/>
          </w:tcPr>
          <w:p w14:paraId="28F9B206" w14:textId="23F89448" w:rsidR="00046821" w:rsidRPr="00FA63C0" w:rsidRDefault="00235B1C" w:rsidP="00046821">
            <w:pPr>
              <w:spacing w:after="0"/>
              <w:jc w:val="right"/>
              <w:rPr>
                <w:noProof/>
                <w:sz w:val="20"/>
                <w:szCs w:val="20"/>
                <w:lang w:val="en-IE" w:eastAsia="en-IE"/>
              </w:rPr>
            </w:pPr>
            <w:r w:rsidRPr="00640712">
              <w:rPr>
                <w:noProof/>
                <w:sz w:val="20"/>
                <w:szCs w:val="20"/>
              </w:rPr>
              <w:t xml:space="preserve"> 1</w:t>
            </w:r>
            <w:r>
              <w:rPr>
                <w:noProof/>
                <w:sz w:val="20"/>
                <w:szCs w:val="20"/>
              </w:rPr>
              <w:t xml:space="preserve"> </w:t>
            </w:r>
            <w:r w:rsidRPr="00640712">
              <w:rPr>
                <w:noProof/>
                <w:sz w:val="20"/>
                <w:szCs w:val="20"/>
              </w:rPr>
              <w:t>654</w:t>
            </w:r>
            <w:r>
              <w:rPr>
                <w:noProof/>
                <w:sz w:val="20"/>
                <w:szCs w:val="20"/>
              </w:rPr>
              <w:t xml:space="preserve"> </w:t>
            </w:r>
            <w:r w:rsidRPr="00640712">
              <w:rPr>
                <w:noProof/>
                <w:sz w:val="20"/>
                <w:szCs w:val="20"/>
              </w:rPr>
              <w:t>037</w:t>
            </w:r>
            <w:r>
              <w:rPr>
                <w:noProof/>
                <w:sz w:val="20"/>
                <w:szCs w:val="20"/>
              </w:rPr>
              <w:t xml:space="preserve"> </w:t>
            </w:r>
            <w:r w:rsidRPr="00640712">
              <w:rPr>
                <w:noProof/>
                <w:sz w:val="20"/>
                <w:szCs w:val="20"/>
              </w:rPr>
              <w:t xml:space="preserve">343 </w:t>
            </w:r>
          </w:p>
        </w:tc>
        <w:tc>
          <w:tcPr>
            <w:tcW w:w="1134" w:type="dxa"/>
          </w:tcPr>
          <w:p w14:paraId="0E2F5485" w14:textId="0CF8D64E" w:rsidR="00046821" w:rsidRPr="00FA63C0" w:rsidRDefault="00C36039" w:rsidP="00046821">
            <w:pPr>
              <w:spacing w:after="0"/>
              <w:jc w:val="right"/>
              <w:rPr>
                <w:noProof/>
                <w:sz w:val="20"/>
                <w:szCs w:val="20"/>
                <w:lang w:val="en-IE" w:eastAsia="en-IE"/>
              </w:rPr>
            </w:pPr>
            <w:r w:rsidRPr="00FA63C0">
              <w:rPr>
                <w:noProof/>
                <w:sz w:val="20"/>
                <w:szCs w:val="20"/>
              </w:rPr>
              <w:t xml:space="preserve"> -   </w:t>
            </w:r>
          </w:p>
        </w:tc>
        <w:tc>
          <w:tcPr>
            <w:tcW w:w="1417" w:type="dxa"/>
            <w:noWrap/>
          </w:tcPr>
          <w:p w14:paraId="48CA189B" w14:textId="5F02478A" w:rsidR="00046821" w:rsidRPr="00046821" w:rsidRDefault="00235B1C" w:rsidP="00046821">
            <w:pPr>
              <w:spacing w:after="0"/>
              <w:jc w:val="right"/>
              <w:rPr>
                <w:noProof/>
                <w:sz w:val="20"/>
                <w:szCs w:val="20"/>
                <w:lang w:val="en-IE" w:eastAsia="en-IE"/>
              </w:rPr>
            </w:pPr>
            <w:r w:rsidRPr="00430121">
              <w:rPr>
                <w:noProof/>
                <w:sz w:val="20"/>
                <w:szCs w:val="20"/>
              </w:rPr>
              <w:t xml:space="preserve"> 1</w:t>
            </w:r>
            <w:r>
              <w:rPr>
                <w:noProof/>
                <w:sz w:val="20"/>
                <w:szCs w:val="20"/>
              </w:rPr>
              <w:t xml:space="preserve"> </w:t>
            </w:r>
            <w:r w:rsidRPr="00430121">
              <w:rPr>
                <w:noProof/>
                <w:sz w:val="20"/>
                <w:szCs w:val="20"/>
              </w:rPr>
              <w:t>654</w:t>
            </w:r>
            <w:r>
              <w:rPr>
                <w:noProof/>
                <w:sz w:val="20"/>
                <w:szCs w:val="20"/>
              </w:rPr>
              <w:t xml:space="preserve"> </w:t>
            </w:r>
            <w:r w:rsidRPr="00430121">
              <w:rPr>
                <w:noProof/>
                <w:sz w:val="20"/>
                <w:szCs w:val="20"/>
              </w:rPr>
              <w:t>037</w:t>
            </w:r>
            <w:r>
              <w:rPr>
                <w:noProof/>
                <w:sz w:val="20"/>
                <w:szCs w:val="20"/>
              </w:rPr>
              <w:t xml:space="preserve"> </w:t>
            </w:r>
            <w:r w:rsidRPr="00430121">
              <w:rPr>
                <w:noProof/>
                <w:sz w:val="20"/>
                <w:szCs w:val="20"/>
              </w:rPr>
              <w:t xml:space="preserve">343 </w:t>
            </w:r>
          </w:p>
        </w:tc>
        <w:tc>
          <w:tcPr>
            <w:tcW w:w="1418" w:type="dxa"/>
            <w:noWrap/>
          </w:tcPr>
          <w:p w14:paraId="0C1EC52F" w14:textId="757F63D4" w:rsidR="00046821" w:rsidRPr="00046821" w:rsidRDefault="00235B1C" w:rsidP="00046821">
            <w:pPr>
              <w:spacing w:after="0"/>
              <w:jc w:val="right"/>
              <w:rPr>
                <w:noProof/>
                <w:sz w:val="20"/>
                <w:szCs w:val="20"/>
                <w:lang w:val="en-IE" w:eastAsia="en-IE"/>
              </w:rPr>
            </w:pPr>
            <w:r w:rsidRPr="00430121">
              <w:rPr>
                <w:noProof/>
                <w:sz w:val="20"/>
                <w:szCs w:val="20"/>
              </w:rPr>
              <w:t xml:space="preserve"> 1</w:t>
            </w:r>
            <w:r>
              <w:rPr>
                <w:noProof/>
                <w:sz w:val="20"/>
                <w:szCs w:val="20"/>
              </w:rPr>
              <w:t xml:space="preserve"> </w:t>
            </w:r>
            <w:r w:rsidRPr="00430121">
              <w:rPr>
                <w:noProof/>
                <w:sz w:val="20"/>
                <w:szCs w:val="20"/>
              </w:rPr>
              <w:t>050</w:t>
            </w:r>
            <w:r>
              <w:rPr>
                <w:noProof/>
                <w:sz w:val="20"/>
                <w:szCs w:val="20"/>
              </w:rPr>
              <w:t xml:space="preserve"> </w:t>
            </w:r>
            <w:r w:rsidRPr="00430121">
              <w:rPr>
                <w:noProof/>
                <w:sz w:val="20"/>
                <w:szCs w:val="20"/>
              </w:rPr>
              <w:t>849</w:t>
            </w:r>
            <w:r>
              <w:rPr>
                <w:noProof/>
                <w:sz w:val="20"/>
                <w:szCs w:val="20"/>
              </w:rPr>
              <w:t xml:space="preserve"> </w:t>
            </w:r>
            <w:r w:rsidRPr="00430121">
              <w:rPr>
                <w:noProof/>
                <w:sz w:val="20"/>
                <w:szCs w:val="20"/>
              </w:rPr>
              <w:t xml:space="preserve">399 </w:t>
            </w:r>
          </w:p>
        </w:tc>
        <w:tc>
          <w:tcPr>
            <w:tcW w:w="1417" w:type="dxa"/>
            <w:noWrap/>
          </w:tcPr>
          <w:p w14:paraId="137F4B82" w14:textId="3325AF08" w:rsidR="00046821" w:rsidRPr="00046821" w:rsidRDefault="00235B1C" w:rsidP="00046821">
            <w:pPr>
              <w:spacing w:after="0"/>
              <w:jc w:val="right"/>
              <w:rPr>
                <w:noProof/>
                <w:sz w:val="20"/>
                <w:szCs w:val="20"/>
                <w:lang w:val="en-IE" w:eastAsia="en-IE"/>
              </w:rPr>
            </w:pPr>
            <w:r w:rsidRPr="00430121">
              <w:rPr>
                <w:noProof/>
                <w:sz w:val="20"/>
                <w:szCs w:val="20"/>
              </w:rPr>
              <w:t xml:space="preserve"> 2</w:t>
            </w:r>
            <w:r>
              <w:rPr>
                <w:noProof/>
                <w:sz w:val="20"/>
                <w:szCs w:val="20"/>
              </w:rPr>
              <w:t xml:space="preserve"> </w:t>
            </w:r>
            <w:r w:rsidRPr="00430121">
              <w:rPr>
                <w:noProof/>
                <w:sz w:val="20"/>
                <w:szCs w:val="20"/>
              </w:rPr>
              <w:t>373</w:t>
            </w:r>
            <w:r>
              <w:rPr>
                <w:noProof/>
                <w:sz w:val="20"/>
                <w:szCs w:val="20"/>
              </w:rPr>
              <w:t xml:space="preserve"> </w:t>
            </w:r>
            <w:r w:rsidRPr="00430121">
              <w:rPr>
                <w:noProof/>
                <w:sz w:val="20"/>
                <w:szCs w:val="20"/>
              </w:rPr>
              <w:t>048</w:t>
            </w:r>
            <w:r>
              <w:rPr>
                <w:noProof/>
                <w:sz w:val="20"/>
                <w:szCs w:val="20"/>
              </w:rPr>
              <w:t xml:space="preserve"> </w:t>
            </w:r>
            <w:r w:rsidRPr="00430121">
              <w:rPr>
                <w:noProof/>
                <w:sz w:val="20"/>
                <w:szCs w:val="20"/>
              </w:rPr>
              <w:t xml:space="preserve">085 </w:t>
            </w:r>
          </w:p>
        </w:tc>
      </w:tr>
      <w:tr w:rsidR="00EB3FA4" w:rsidRPr="000A7265" w14:paraId="4834C0F6" w14:textId="77777777" w:rsidTr="0065746E">
        <w:trPr>
          <w:trHeight w:val="283"/>
        </w:trPr>
        <w:tc>
          <w:tcPr>
            <w:tcW w:w="2009" w:type="dxa"/>
            <w:noWrap/>
            <w:hideMark/>
          </w:tcPr>
          <w:p w14:paraId="7ADDC57B" w14:textId="77777777" w:rsidR="00046821" w:rsidRPr="00FA63C0" w:rsidRDefault="00046821">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968" w:type="dxa"/>
          </w:tcPr>
          <w:p w14:paraId="28EE0668" w14:textId="1460E4C7"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8" w:type="dxa"/>
          </w:tcPr>
          <w:p w14:paraId="4E788E09" w14:textId="24A5EFFB"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134" w:type="dxa"/>
          </w:tcPr>
          <w:p w14:paraId="01EDC956" w14:textId="41422615"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7" w:type="dxa"/>
            <w:noWrap/>
          </w:tcPr>
          <w:p w14:paraId="1A51A875" w14:textId="77777777" w:rsidR="00046821" w:rsidRPr="00464CEA" w:rsidRDefault="00046821">
            <w:pPr>
              <w:spacing w:after="0"/>
              <w:jc w:val="right"/>
              <w:rPr>
                <w:noProof/>
                <w:sz w:val="20"/>
                <w:szCs w:val="20"/>
                <w:lang w:val="en-IE" w:eastAsia="en-IE"/>
              </w:rPr>
            </w:pPr>
            <w:r w:rsidRPr="00FA63C0">
              <w:rPr>
                <w:noProof/>
                <w:sz w:val="20"/>
                <w:szCs w:val="20"/>
              </w:rPr>
              <w:t xml:space="preserve"> -   </w:t>
            </w:r>
          </w:p>
        </w:tc>
        <w:tc>
          <w:tcPr>
            <w:tcW w:w="1418" w:type="dxa"/>
            <w:noWrap/>
          </w:tcPr>
          <w:p w14:paraId="49B85D88" w14:textId="77777777" w:rsidR="00046821" w:rsidRPr="00464CEA" w:rsidRDefault="00046821">
            <w:pPr>
              <w:spacing w:after="0"/>
              <w:jc w:val="right"/>
              <w:rPr>
                <w:noProof/>
                <w:sz w:val="20"/>
                <w:szCs w:val="20"/>
                <w:lang w:val="en-IE" w:eastAsia="en-IE"/>
              </w:rPr>
            </w:pPr>
            <w:r w:rsidRPr="00FA63C0">
              <w:rPr>
                <w:noProof/>
                <w:sz w:val="20"/>
                <w:szCs w:val="20"/>
              </w:rPr>
              <w:t xml:space="preserve">-   </w:t>
            </w:r>
          </w:p>
        </w:tc>
        <w:tc>
          <w:tcPr>
            <w:tcW w:w="1417" w:type="dxa"/>
            <w:noWrap/>
          </w:tcPr>
          <w:p w14:paraId="40E910C2" w14:textId="77777777" w:rsidR="00046821" w:rsidRPr="00464CEA" w:rsidRDefault="00046821">
            <w:pPr>
              <w:spacing w:after="0"/>
              <w:jc w:val="right"/>
              <w:rPr>
                <w:noProof/>
                <w:sz w:val="20"/>
                <w:szCs w:val="20"/>
                <w:lang w:val="en-IE" w:eastAsia="en-IE"/>
              </w:rPr>
            </w:pPr>
            <w:r w:rsidRPr="00FA63C0">
              <w:rPr>
                <w:noProof/>
                <w:sz w:val="20"/>
                <w:szCs w:val="20"/>
              </w:rPr>
              <w:t xml:space="preserve"> -   </w:t>
            </w:r>
          </w:p>
        </w:tc>
      </w:tr>
      <w:tr w:rsidR="00EB3FA4" w:rsidRPr="000A7265" w14:paraId="03C232D6" w14:textId="77777777" w:rsidTr="0065746E">
        <w:trPr>
          <w:trHeight w:val="283"/>
        </w:trPr>
        <w:tc>
          <w:tcPr>
            <w:tcW w:w="2009" w:type="dxa"/>
            <w:noWrap/>
            <w:hideMark/>
          </w:tcPr>
          <w:p w14:paraId="2ADB7915" w14:textId="77777777" w:rsidR="00046821" w:rsidRPr="00FA63C0" w:rsidRDefault="00046821">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968" w:type="dxa"/>
          </w:tcPr>
          <w:p w14:paraId="40C0DAB1" w14:textId="6435672E"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8" w:type="dxa"/>
          </w:tcPr>
          <w:p w14:paraId="41929DC1" w14:textId="0CF42B01"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134" w:type="dxa"/>
          </w:tcPr>
          <w:p w14:paraId="30BACCB5" w14:textId="21BBD2DD"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7" w:type="dxa"/>
            <w:noWrap/>
          </w:tcPr>
          <w:p w14:paraId="094BFC32" w14:textId="77777777" w:rsidR="00046821" w:rsidRPr="00D069D8" w:rsidRDefault="00046821">
            <w:pPr>
              <w:spacing w:after="0"/>
              <w:jc w:val="right"/>
              <w:rPr>
                <w:noProof/>
                <w:sz w:val="20"/>
                <w:szCs w:val="20"/>
                <w:lang w:val="en-IE" w:eastAsia="en-IE"/>
              </w:rPr>
            </w:pPr>
            <w:r w:rsidRPr="00FA63C0">
              <w:rPr>
                <w:noProof/>
                <w:sz w:val="20"/>
                <w:szCs w:val="20"/>
              </w:rPr>
              <w:t xml:space="preserve"> -   </w:t>
            </w:r>
          </w:p>
        </w:tc>
        <w:tc>
          <w:tcPr>
            <w:tcW w:w="1418" w:type="dxa"/>
            <w:noWrap/>
          </w:tcPr>
          <w:p w14:paraId="4316C5BB" w14:textId="77777777" w:rsidR="00046821" w:rsidRPr="00D069D8" w:rsidRDefault="00046821">
            <w:pPr>
              <w:spacing w:after="0"/>
              <w:jc w:val="right"/>
              <w:rPr>
                <w:noProof/>
                <w:sz w:val="20"/>
                <w:szCs w:val="20"/>
                <w:lang w:val="en-IE" w:eastAsia="en-IE"/>
              </w:rPr>
            </w:pPr>
            <w:r w:rsidRPr="00FA63C0">
              <w:rPr>
                <w:noProof/>
                <w:sz w:val="20"/>
                <w:szCs w:val="20"/>
              </w:rPr>
              <w:t xml:space="preserve">-   </w:t>
            </w:r>
          </w:p>
        </w:tc>
        <w:tc>
          <w:tcPr>
            <w:tcW w:w="1417" w:type="dxa"/>
            <w:noWrap/>
          </w:tcPr>
          <w:p w14:paraId="5BAC8048" w14:textId="77777777" w:rsidR="00046821" w:rsidRPr="00D069D8" w:rsidRDefault="00046821">
            <w:pPr>
              <w:spacing w:after="0"/>
              <w:jc w:val="right"/>
              <w:rPr>
                <w:noProof/>
                <w:sz w:val="20"/>
                <w:szCs w:val="20"/>
                <w:lang w:val="en-IE" w:eastAsia="en-IE"/>
              </w:rPr>
            </w:pPr>
            <w:r w:rsidRPr="00FA63C0">
              <w:rPr>
                <w:noProof/>
                <w:sz w:val="20"/>
                <w:szCs w:val="20"/>
              </w:rPr>
              <w:t xml:space="preserve"> -   </w:t>
            </w:r>
          </w:p>
        </w:tc>
      </w:tr>
      <w:tr w:rsidR="00EB3FA4" w:rsidRPr="000A7265" w14:paraId="56034BC4" w14:textId="77777777" w:rsidTr="0065746E">
        <w:trPr>
          <w:trHeight w:val="283"/>
        </w:trPr>
        <w:tc>
          <w:tcPr>
            <w:tcW w:w="2009" w:type="dxa"/>
            <w:noWrap/>
            <w:hideMark/>
          </w:tcPr>
          <w:p w14:paraId="4C24E5B4" w14:textId="77777777" w:rsidR="00046821" w:rsidRPr="00FA63C0" w:rsidRDefault="00046821">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968" w:type="dxa"/>
          </w:tcPr>
          <w:p w14:paraId="3E8CF971" w14:textId="6FC43516"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8" w:type="dxa"/>
          </w:tcPr>
          <w:p w14:paraId="414A2FBB" w14:textId="0E228F65"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134" w:type="dxa"/>
          </w:tcPr>
          <w:p w14:paraId="5615DDF1" w14:textId="3D953CF4"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7" w:type="dxa"/>
            <w:noWrap/>
          </w:tcPr>
          <w:p w14:paraId="1FF04B8E" w14:textId="77777777" w:rsidR="00046821" w:rsidRPr="00464CEA" w:rsidRDefault="00046821">
            <w:pPr>
              <w:spacing w:after="0"/>
              <w:jc w:val="right"/>
              <w:rPr>
                <w:noProof/>
                <w:sz w:val="20"/>
                <w:szCs w:val="20"/>
                <w:lang w:val="en-IE" w:eastAsia="en-IE"/>
              </w:rPr>
            </w:pPr>
            <w:r w:rsidRPr="00FA63C0">
              <w:rPr>
                <w:noProof/>
                <w:sz w:val="20"/>
                <w:szCs w:val="20"/>
              </w:rPr>
              <w:t xml:space="preserve"> -   </w:t>
            </w:r>
          </w:p>
        </w:tc>
        <w:tc>
          <w:tcPr>
            <w:tcW w:w="1418" w:type="dxa"/>
            <w:noWrap/>
          </w:tcPr>
          <w:p w14:paraId="608F5ABB" w14:textId="77777777" w:rsidR="00046821" w:rsidRPr="00464CEA" w:rsidRDefault="00046821">
            <w:pPr>
              <w:spacing w:after="0"/>
              <w:jc w:val="right"/>
              <w:rPr>
                <w:noProof/>
                <w:sz w:val="20"/>
                <w:szCs w:val="20"/>
                <w:lang w:val="en-IE" w:eastAsia="en-IE"/>
              </w:rPr>
            </w:pPr>
            <w:r w:rsidRPr="00FA63C0">
              <w:rPr>
                <w:noProof/>
                <w:sz w:val="20"/>
                <w:szCs w:val="20"/>
              </w:rPr>
              <w:t xml:space="preserve">-   </w:t>
            </w:r>
          </w:p>
        </w:tc>
        <w:tc>
          <w:tcPr>
            <w:tcW w:w="1417" w:type="dxa"/>
            <w:noWrap/>
          </w:tcPr>
          <w:p w14:paraId="76989118" w14:textId="77777777" w:rsidR="00046821" w:rsidRPr="00464CEA" w:rsidRDefault="00046821">
            <w:pPr>
              <w:spacing w:after="0"/>
              <w:jc w:val="right"/>
              <w:rPr>
                <w:noProof/>
                <w:sz w:val="20"/>
                <w:szCs w:val="20"/>
                <w:lang w:val="en-IE" w:eastAsia="en-IE"/>
              </w:rPr>
            </w:pPr>
            <w:r w:rsidRPr="00FA63C0">
              <w:rPr>
                <w:noProof/>
                <w:sz w:val="20"/>
                <w:szCs w:val="20"/>
              </w:rPr>
              <w:t xml:space="preserve"> -   </w:t>
            </w:r>
          </w:p>
        </w:tc>
      </w:tr>
      <w:tr w:rsidR="00EB3FA4" w:rsidRPr="00A53ED9" w14:paraId="63828F00" w14:textId="77777777" w:rsidTr="00887FB2">
        <w:trPr>
          <w:trHeight w:val="146"/>
        </w:trPr>
        <w:tc>
          <w:tcPr>
            <w:tcW w:w="2009" w:type="dxa"/>
            <w:noWrap/>
            <w:hideMark/>
          </w:tcPr>
          <w:p w14:paraId="577E7665" w14:textId="77777777" w:rsidR="00046821" w:rsidRPr="00FA63C0" w:rsidRDefault="00046821">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968" w:type="dxa"/>
          </w:tcPr>
          <w:p w14:paraId="2990D284" w14:textId="553583FA"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8" w:type="dxa"/>
          </w:tcPr>
          <w:p w14:paraId="33E8D2EB" w14:textId="5EE3DAD9"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134" w:type="dxa"/>
          </w:tcPr>
          <w:p w14:paraId="05F0475C" w14:textId="21504039" w:rsidR="00046821" w:rsidRPr="00FA63C0" w:rsidRDefault="00C36039">
            <w:pPr>
              <w:spacing w:after="0"/>
              <w:jc w:val="right"/>
              <w:rPr>
                <w:noProof/>
                <w:sz w:val="20"/>
                <w:szCs w:val="20"/>
                <w:lang w:val="en-IE" w:eastAsia="en-IE"/>
              </w:rPr>
            </w:pPr>
            <w:r w:rsidRPr="00FA63C0">
              <w:rPr>
                <w:noProof/>
                <w:sz w:val="20"/>
                <w:szCs w:val="20"/>
              </w:rPr>
              <w:t xml:space="preserve"> -   </w:t>
            </w:r>
          </w:p>
        </w:tc>
        <w:tc>
          <w:tcPr>
            <w:tcW w:w="1417" w:type="dxa"/>
            <w:noWrap/>
          </w:tcPr>
          <w:p w14:paraId="6DEE3A8F" w14:textId="77777777" w:rsidR="00046821" w:rsidRPr="00D069D8" w:rsidRDefault="00046821">
            <w:pPr>
              <w:spacing w:after="0"/>
              <w:jc w:val="right"/>
              <w:rPr>
                <w:noProof/>
                <w:sz w:val="20"/>
                <w:szCs w:val="20"/>
                <w:lang w:val="en-IE" w:eastAsia="en-IE"/>
              </w:rPr>
            </w:pPr>
            <w:r w:rsidRPr="00FA63C0">
              <w:rPr>
                <w:noProof/>
                <w:sz w:val="20"/>
                <w:szCs w:val="20"/>
              </w:rPr>
              <w:t xml:space="preserve"> -   </w:t>
            </w:r>
          </w:p>
        </w:tc>
        <w:tc>
          <w:tcPr>
            <w:tcW w:w="1418" w:type="dxa"/>
            <w:noWrap/>
          </w:tcPr>
          <w:p w14:paraId="67496B3F" w14:textId="77777777" w:rsidR="00046821" w:rsidRPr="00D069D8" w:rsidRDefault="00046821">
            <w:pPr>
              <w:spacing w:after="0"/>
              <w:jc w:val="right"/>
              <w:rPr>
                <w:noProof/>
                <w:sz w:val="20"/>
                <w:szCs w:val="20"/>
                <w:lang w:val="en-IE" w:eastAsia="en-IE"/>
              </w:rPr>
            </w:pPr>
            <w:r w:rsidRPr="00FA63C0">
              <w:rPr>
                <w:noProof/>
                <w:sz w:val="20"/>
                <w:szCs w:val="20"/>
              </w:rPr>
              <w:t xml:space="preserve">-   </w:t>
            </w:r>
          </w:p>
        </w:tc>
        <w:tc>
          <w:tcPr>
            <w:tcW w:w="1417" w:type="dxa"/>
            <w:noWrap/>
          </w:tcPr>
          <w:p w14:paraId="06A42DED" w14:textId="77777777" w:rsidR="00046821" w:rsidRPr="00D069D8" w:rsidRDefault="00046821">
            <w:pPr>
              <w:spacing w:after="0"/>
              <w:jc w:val="right"/>
              <w:rPr>
                <w:noProof/>
                <w:sz w:val="20"/>
                <w:szCs w:val="20"/>
                <w:lang w:val="en-IE" w:eastAsia="en-IE"/>
              </w:rPr>
            </w:pPr>
            <w:r w:rsidRPr="00FA63C0">
              <w:rPr>
                <w:noProof/>
                <w:sz w:val="20"/>
                <w:szCs w:val="20"/>
              </w:rPr>
              <w:t xml:space="preserve"> -   </w:t>
            </w:r>
          </w:p>
        </w:tc>
      </w:tr>
      <w:tr w:rsidR="005A2238" w:rsidRPr="00397C78" w14:paraId="2BE64903" w14:textId="77777777" w:rsidTr="0065746E">
        <w:trPr>
          <w:trHeight w:val="283"/>
        </w:trPr>
        <w:tc>
          <w:tcPr>
            <w:tcW w:w="2009" w:type="dxa"/>
            <w:shd w:val="clear" w:color="auto" w:fill="F2DBDB" w:themeFill="accent2" w:themeFillTint="33"/>
            <w:noWrap/>
            <w:hideMark/>
          </w:tcPr>
          <w:p w14:paraId="22B4CBCB" w14:textId="77777777" w:rsidR="005A2238" w:rsidRPr="00FA63C0" w:rsidRDefault="005A2238" w:rsidP="005A2238">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968" w:type="dxa"/>
            <w:shd w:val="clear" w:color="auto" w:fill="F2DBDB" w:themeFill="accent2" w:themeFillTint="33"/>
          </w:tcPr>
          <w:p w14:paraId="0CFAE797" w14:textId="0114F8BF" w:rsidR="005A2238" w:rsidRPr="00FA63C0" w:rsidRDefault="005A2238" w:rsidP="005A2238">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F2DBDB" w:themeFill="accent2" w:themeFillTint="33"/>
          </w:tcPr>
          <w:p w14:paraId="10935237" w14:textId="256BC3B1" w:rsidR="005A2238" w:rsidRPr="00FA63C0" w:rsidRDefault="00235B1C" w:rsidP="005A2238">
            <w:pPr>
              <w:spacing w:after="0"/>
              <w:jc w:val="right"/>
              <w:rPr>
                <w:b/>
                <w:bCs/>
                <w:noProof/>
                <w:sz w:val="20"/>
                <w:szCs w:val="20"/>
                <w:lang w:val="en-IE" w:eastAsia="en-IE"/>
              </w:rPr>
            </w:pPr>
            <w:r>
              <w:rPr>
                <w:noProof/>
                <w:sz w:val="20"/>
                <w:szCs w:val="20"/>
              </w:rPr>
              <w:t xml:space="preserve"> </w:t>
            </w:r>
            <w:r w:rsidRPr="00C20BAB">
              <w:rPr>
                <w:noProof/>
                <w:sz w:val="20"/>
                <w:szCs w:val="20"/>
              </w:rPr>
              <w:t>1</w:t>
            </w:r>
            <w:r>
              <w:rPr>
                <w:noProof/>
                <w:sz w:val="20"/>
                <w:szCs w:val="20"/>
              </w:rPr>
              <w:t xml:space="preserve"> </w:t>
            </w:r>
            <w:r w:rsidRPr="00C20BAB">
              <w:rPr>
                <w:noProof/>
                <w:sz w:val="20"/>
                <w:szCs w:val="20"/>
              </w:rPr>
              <w:t>863</w:t>
            </w:r>
            <w:r>
              <w:rPr>
                <w:noProof/>
                <w:sz w:val="20"/>
                <w:szCs w:val="20"/>
              </w:rPr>
              <w:t xml:space="preserve"> </w:t>
            </w:r>
            <w:r w:rsidRPr="00C20BAB">
              <w:rPr>
                <w:noProof/>
                <w:sz w:val="20"/>
                <w:szCs w:val="20"/>
              </w:rPr>
              <w:t>761</w:t>
            </w:r>
            <w:r>
              <w:rPr>
                <w:noProof/>
                <w:sz w:val="20"/>
                <w:szCs w:val="20"/>
              </w:rPr>
              <w:t xml:space="preserve"> </w:t>
            </w:r>
            <w:r w:rsidRPr="00C20BAB">
              <w:rPr>
                <w:noProof/>
                <w:sz w:val="20"/>
                <w:szCs w:val="20"/>
              </w:rPr>
              <w:t>904</w:t>
            </w:r>
          </w:p>
        </w:tc>
        <w:tc>
          <w:tcPr>
            <w:tcW w:w="1134" w:type="dxa"/>
            <w:shd w:val="clear" w:color="auto" w:fill="F2DBDB" w:themeFill="accent2" w:themeFillTint="33"/>
          </w:tcPr>
          <w:p w14:paraId="7EC5D0F5" w14:textId="1D03C257" w:rsidR="005A2238" w:rsidRPr="00FA63C0" w:rsidRDefault="005A2238" w:rsidP="005A2238">
            <w:pPr>
              <w:spacing w:after="0"/>
              <w:jc w:val="right"/>
              <w:rPr>
                <w:b/>
                <w:bCs/>
                <w:noProof/>
                <w:sz w:val="20"/>
                <w:szCs w:val="20"/>
                <w:lang w:val="en-IE" w:eastAsia="en-IE"/>
              </w:rPr>
            </w:pPr>
            <w:r w:rsidRPr="00FA63C0">
              <w:rPr>
                <w:noProof/>
                <w:sz w:val="20"/>
                <w:szCs w:val="20"/>
              </w:rPr>
              <w:t xml:space="preserve"> -</w:t>
            </w:r>
          </w:p>
        </w:tc>
        <w:tc>
          <w:tcPr>
            <w:tcW w:w="1417" w:type="dxa"/>
            <w:shd w:val="clear" w:color="auto" w:fill="F2DBDB" w:themeFill="accent2" w:themeFillTint="33"/>
            <w:noWrap/>
          </w:tcPr>
          <w:p w14:paraId="05EE4410" w14:textId="3FA622A1" w:rsidR="005A2238" w:rsidRPr="005A2238" w:rsidRDefault="00235B1C" w:rsidP="005A2238">
            <w:pPr>
              <w:spacing w:after="0"/>
              <w:jc w:val="right"/>
              <w:rPr>
                <w:noProof/>
                <w:sz w:val="20"/>
                <w:szCs w:val="20"/>
              </w:rPr>
            </w:pPr>
            <w:r>
              <w:rPr>
                <w:noProof/>
                <w:sz w:val="20"/>
                <w:szCs w:val="20"/>
              </w:rPr>
              <w:t xml:space="preserve"> </w:t>
            </w:r>
            <w:r w:rsidRPr="00C20BAB">
              <w:rPr>
                <w:noProof/>
                <w:sz w:val="20"/>
                <w:szCs w:val="20"/>
              </w:rPr>
              <w:t>1</w:t>
            </w:r>
            <w:r>
              <w:rPr>
                <w:noProof/>
                <w:sz w:val="20"/>
                <w:szCs w:val="20"/>
              </w:rPr>
              <w:t xml:space="preserve"> </w:t>
            </w:r>
            <w:r w:rsidRPr="00C20BAB">
              <w:rPr>
                <w:noProof/>
                <w:sz w:val="20"/>
                <w:szCs w:val="20"/>
              </w:rPr>
              <w:t>863</w:t>
            </w:r>
            <w:r>
              <w:rPr>
                <w:noProof/>
                <w:sz w:val="20"/>
                <w:szCs w:val="20"/>
              </w:rPr>
              <w:t xml:space="preserve"> </w:t>
            </w:r>
            <w:r w:rsidRPr="00C20BAB">
              <w:rPr>
                <w:noProof/>
                <w:sz w:val="20"/>
                <w:szCs w:val="20"/>
              </w:rPr>
              <w:t>761</w:t>
            </w:r>
            <w:r>
              <w:rPr>
                <w:noProof/>
                <w:sz w:val="20"/>
                <w:szCs w:val="20"/>
              </w:rPr>
              <w:t xml:space="preserve"> </w:t>
            </w:r>
            <w:r w:rsidRPr="00C20BAB">
              <w:rPr>
                <w:noProof/>
                <w:sz w:val="20"/>
                <w:szCs w:val="20"/>
              </w:rPr>
              <w:t>904</w:t>
            </w:r>
          </w:p>
        </w:tc>
        <w:tc>
          <w:tcPr>
            <w:tcW w:w="1418" w:type="dxa"/>
            <w:shd w:val="clear" w:color="auto" w:fill="F2DBDB" w:themeFill="accent2" w:themeFillTint="33"/>
            <w:noWrap/>
          </w:tcPr>
          <w:p w14:paraId="20B5D36F" w14:textId="709CB6CE" w:rsidR="005A2238" w:rsidRPr="005A2238" w:rsidRDefault="00235B1C" w:rsidP="005A2238">
            <w:pPr>
              <w:spacing w:after="0"/>
              <w:jc w:val="right"/>
              <w:rPr>
                <w:noProof/>
                <w:sz w:val="20"/>
                <w:szCs w:val="20"/>
              </w:rPr>
            </w:pPr>
            <w:r w:rsidRPr="00430121">
              <w:rPr>
                <w:noProof/>
                <w:sz w:val="20"/>
                <w:szCs w:val="20"/>
              </w:rPr>
              <w:t xml:space="preserve"> </w:t>
            </w:r>
            <w:r>
              <w:rPr>
                <w:noProof/>
                <w:sz w:val="20"/>
                <w:szCs w:val="20"/>
              </w:rPr>
              <w:t xml:space="preserve"> </w:t>
            </w:r>
            <w:r w:rsidRPr="00430121">
              <w:rPr>
                <w:noProof/>
                <w:sz w:val="20"/>
                <w:szCs w:val="20"/>
              </w:rPr>
              <w:t>1</w:t>
            </w:r>
            <w:r>
              <w:rPr>
                <w:noProof/>
                <w:sz w:val="20"/>
                <w:szCs w:val="20"/>
              </w:rPr>
              <w:t xml:space="preserve"> </w:t>
            </w:r>
            <w:r w:rsidRPr="00430121">
              <w:rPr>
                <w:noProof/>
                <w:sz w:val="20"/>
                <w:szCs w:val="20"/>
              </w:rPr>
              <w:t>174</w:t>
            </w:r>
            <w:r>
              <w:rPr>
                <w:noProof/>
                <w:sz w:val="20"/>
                <w:szCs w:val="20"/>
              </w:rPr>
              <w:t xml:space="preserve"> </w:t>
            </w:r>
            <w:r w:rsidRPr="00430121">
              <w:rPr>
                <w:noProof/>
                <w:sz w:val="20"/>
                <w:szCs w:val="20"/>
              </w:rPr>
              <w:t>738</w:t>
            </w:r>
            <w:r>
              <w:rPr>
                <w:noProof/>
                <w:sz w:val="20"/>
                <w:szCs w:val="20"/>
              </w:rPr>
              <w:t xml:space="preserve"> </w:t>
            </w:r>
            <w:r w:rsidRPr="00430121">
              <w:rPr>
                <w:noProof/>
                <w:sz w:val="20"/>
                <w:szCs w:val="20"/>
              </w:rPr>
              <w:t xml:space="preserve">970 </w:t>
            </w:r>
          </w:p>
        </w:tc>
        <w:tc>
          <w:tcPr>
            <w:tcW w:w="1417" w:type="dxa"/>
            <w:shd w:val="clear" w:color="auto" w:fill="F2DBDB" w:themeFill="accent2" w:themeFillTint="33"/>
            <w:noWrap/>
          </w:tcPr>
          <w:p w14:paraId="7A7D16F2" w14:textId="528024C4" w:rsidR="005A2238" w:rsidRPr="005A2238" w:rsidRDefault="00235B1C" w:rsidP="005A2238">
            <w:pPr>
              <w:spacing w:after="0"/>
              <w:jc w:val="right"/>
              <w:rPr>
                <w:noProof/>
                <w:sz w:val="20"/>
                <w:szCs w:val="20"/>
              </w:rPr>
            </w:pPr>
            <w:r w:rsidRPr="00430121">
              <w:rPr>
                <w:noProof/>
                <w:sz w:val="20"/>
                <w:szCs w:val="20"/>
              </w:rPr>
              <w:t xml:space="preserve"> </w:t>
            </w:r>
            <w:r>
              <w:rPr>
                <w:noProof/>
                <w:sz w:val="20"/>
                <w:szCs w:val="20"/>
              </w:rPr>
              <w:t xml:space="preserve"> </w:t>
            </w:r>
            <w:r w:rsidRPr="00430121">
              <w:rPr>
                <w:noProof/>
                <w:sz w:val="20"/>
                <w:szCs w:val="20"/>
              </w:rPr>
              <w:t>2</w:t>
            </w:r>
            <w:r>
              <w:rPr>
                <w:noProof/>
                <w:sz w:val="20"/>
                <w:szCs w:val="20"/>
              </w:rPr>
              <w:t xml:space="preserve"> </w:t>
            </w:r>
            <w:r w:rsidRPr="00430121">
              <w:rPr>
                <w:noProof/>
                <w:sz w:val="20"/>
                <w:szCs w:val="20"/>
              </w:rPr>
              <w:t>782</w:t>
            </w:r>
            <w:r>
              <w:rPr>
                <w:noProof/>
                <w:sz w:val="20"/>
                <w:szCs w:val="20"/>
              </w:rPr>
              <w:t xml:space="preserve"> </w:t>
            </w:r>
            <w:r w:rsidRPr="00430121">
              <w:rPr>
                <w:noProof/>
                <w:sz w:val="20"/>
                <w:szCs w:val="20"/>
              </w:rPr>
              <w:t>679</w:t>
            </w:r>
            <w:r>
              <w:rPr>
                <w:noProof/>
                <w:sz w:val="20"/>
                <w:szCs w:val="20"/>
              </w:rPr>
              <w:t xml:space="preserve"> </w:t>
            </w:r>
            <w:r w:rsidRPr="00430121">
              <w:rPr>
                <w:noProof/>
                <w:sz w:val="20"/>
                <w:szCs w:val="20"/>
              </w:rPr>
              <w:t xml:space="preserve">868 </w:t>
            </w:r>
          </w:p>
        </w:tc>
      </w:tr>
      <w:tr w:rsidR="00EB3FA4" w:rsidRPr="007B1859" w14:paraId="7C83EB9D" w14:textId="77777777" w:rsidTr="0065746E">
        <w:trPr>
          <w:trHeight w:val="283"/>
        </w:trPr>
        <w:tc>
          <w:tcPr>
            <w:tcW w:w="2009" w:type="dxa"/>
            <w:shd w:val="clear" w:color="auto" w:fill="EAF1DD" w:themeFill="accent3" w:themeFillTint="33"/>
            <w:noWrap/>
            <w:hideMark/>
          </w:tcPr>
          <w:p w14:paraId="3C8BBEBF" w14:textId="77777777" w:rsidR="00046821" w:rsidRPr="00FA63C0" w:rsidRDefault="00046821" w:rsidP="00046821">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968" w:type="dxa"/>
            <w:shd w:val="clear" w:color="auto" w:fill="EAF1DD" w:themeFill="accent3" w:themeFillTint="33"/>
          </w:tcPr>
          <w:p w14:paraId="58218A3D" w14:textId="1C977295" w:rsidR="00046821" w:rsidRPr="00FA63C0" w:rsidRDefault="00C36039" w:rsidP="00046821">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EAF1DD" w:themeFill="accent3" w:themeFillTint="33"/>
          </w:tcPr>
          <w:p w14:paraId="19C132BC" w14:textId="214A712D" w:rsidR="00046821" w:rsidRPr="00FA63C0" w:rsidRDefault="00235B1C" w:rsidP="00046821">
            <w:pPr>
              <w:spacing w:after="0"/>
              <w:jc w:val="right"/>
              <w:rPr>
                <w:b/>
                <w:bCs/>
                <w:noProof/>
                <w:sz w:val="20"/>
                <w:szCs w:val="20"/>
                <w:lang w:val="en-IE" w:eastAsia="en-IE"/>
              </w:rPr>
            </w:pPr>
            <w:r w:rsidRPr="00C20BAB">
              <w:rPr>
                <w:noProof/>
                <w:sz w:val="20"/>
                <w:szCs w:val="20"/>
              </w:rPr>
              <w:t>(5 251 290 954)</w:t>
            </w:r>
          </w:p>
        </w:tc>
        <w:tc>
          <w:tcPr>
            <w:tcW w:w="1134" w:type="dxa"/>
            <w:shd w:val="clear" w:color="auto" w:fill="EAF1DD" w:themeFill="accent3" w:themeFillTint="33"/>
          </w:tcPr>
          <w:p w14:paraId="23C41158" w14:textId="59DA4CFE" w:rsidR="00046821" w:rsidRPr="00FA63C0" w:rsidRDefault="00C36039" w:rsidP="00046821">
            <w:pPr>
              <w:spacing w:after="0"/>
              <w:jc w:val="right"/>
              <w:rPr>
                <w:b/>
                <w:bCs/>
                <w:noProof/>
                <w:sz w:val="20"/>
                <w:szCs w:val="20"/>
                <w:lang w:val="en-IE" w:eastAsia="en-IE"/>
              </w:rPr>
            </w:pPr>
            <w:r w:rsidRPr="00FA63C0">
              <w:rPr>
                <w:noProof/>
                <w:sz w:val="20"/>
                <w:szCs w:val="20"/>
              </w:rPr>
              <w:t xml:space="preserve"> -</w:t>
            </w:r>
          </w:p>
        </w:tc>
        <w:tc>
          <w:tcPr>
            <w:tcW w:w="1417" w:type="dxa"/>
            <w:shd w:val="clear" w:color="auto" w:fill="EAF1DD" w:themeFill="accent3" w:themeFillTint="33"/>
            <w:noWrap/>
          </w:tcPr>
          <w:p w14:paraId="33DA158A" w14:textId="3F952D55" w:rsidR="00046821" w:rsidRPr="00046821" w:rsidRDefault="003841C4" w:rsidP="00046821">
            <w:pPr>
              <w:spacing w:after="0"/>
              <w:jc w:val="right"/>
              <w:rPr>
                <w:noProof/>
                <w:sz w:val="20"/>
                <w:szCs w:val="20"/>
                <w:lang w:val="en-IE" w:eastAsia="en-IE"/>
              </w:rPr>
            </w:pPr>
            <w:r w:rsidRPr="00060F42">
              <w:rPr>
                <w:noProof/>
                <w:sz w:val="20"/>
                <w:szCs w:val="20"/>
              </w:rPr>
              <w:t>(5</w:t>
            </w:r>
            <w:r>
              <w:rPr>
                <w:noProof/>
                <w:sz w:val="20"/>
                <w:szCs w:val="20"/>
              </w:rPr>
              <w:t xml:space="preserve"> </w:t>
            </w:r>
            <w:r w:rsidRPr="00060F42">
              <w:rPr>
                <w:noProof/>
                <w:sz w:val="20"/>
                <w:szCs w:val="20"/>
              </w:rPr>
              <w:t>251</w:t>
            </w:r>
            <w:r>
              <w:rPr>
                <w:noProof/>
                <w:sz w:val="20"/>
                <w:szCs w:val="20"/>
              </w:rPr>
              <w:t xml:space="preserve"> </w:t>
            </w:r>
            <w:r w:rsidRPr="00060F42">
              <w:rPr>
                <w:noProof/>
                <w:sz w:val="20"/>
                <w:szCs w:val="20"/>
              </w:rPr>
              <w:t>290</w:t>
            </w:r>
            <w:r w:rsidR="00847659">
              <w:rPr>
                <w:noProof/>
                <w:sz w:val="20"/>
                <w:szCs w:val="20"/>
              </w:rPr>
              <w:t xml:space="preserve"> </w:t>
            </w:r>
            <w:r w:rsidRPr="00060F42">
              <w:rPr>
                <w:noProof/>
                <w:sz w:val="20"/>
                <w:szCs w:val="20"/>
              </w:rPr>
              <w:t>954)</w:t>
            </w:r>
          </w:p>
        </w:tc>
        <w:tc>
          <w:tcPr>
            <w:tcW w:w="1418" w:type="dxa"/>
            <w:shd w:val="clear" w:color="auto" w:fill="EAF1DD" w:themeFill="accent3" w:themeFillTint="33"/>
            <w:noWrap/>
          </w:tcPr>
          <w:p w14:paraId="50792E4B" w14:textId="3FE494A1" w:rsidR="00046821" w:rsidRPr="00046821" w:rsidRDefault="00235B1C" w:rsidP="00046821">
            <w:pPr>
              <w:spacing w:after="0"/>
              <w:jc w:val="right"/>
              <w:rPr>
                <w:noProof/>
                <w:sz w:val="20"/>
                <w:szCs w:val="20"/>
                <w:lang w:val="en-IE" w:eastAsia="en-IE"/>
              </w:rPr>
            </w:pPr>
            <w:r w:rsidRPr="00430121">
              <w:rPr>
                <w:noProof/>
                <w:sz w:val="20"/>
                <w:szCs w:val="20"/>
              </w:rPr>
              <w:t xml:space="preserve"> (1</w:t>
            </w:r>
            <w:r>
              <w:rPr>
                <w:noProof/>
                <w:sz w:val="20"/>
                <w:szCs w:val="20"/>
              </w:rPr>
              <w:t xml:space="preserve"> </w:t>
            </w:r>
            <w:r w:rsidRPr="00430121">
              <w:rPr>
                <w:noProof/>
                <w:sz w:val="20"/>
                <w:szCs w:val="20"/>
              </w:rPr>
              <w:t>653</w:t>
            </w:r>
            <w:r>
              <w:rPr>
                <w:noProof/>
                <w:sz w:val="20"/>
                <w:szCs w:val="20"/>
              </w:rPr>
              <w:t xml:space="preserve"> </w:t>
            </w:r>
            <w:r w:rsidRPr="00430121">
              <w:rPr>
                <w:noProof/>
                <w:sz w:val="20"/>
                <w:szCs w:val="20"/>
              </w:rPr>
              <w:t>692</w:t>
            </w:r>
            <w:r>
              <w:rPr>
                <w:noProof/>
                <w:sz w:val="20"/>
                <w:szCs w:val="20"/>
              </w:rPr>
              <w:t xml:space="preserve"> </w:t>
            </w:r>
            <w:r w:rsidRPr="00430121">
              <w:rPr>
                <w:noProof/>
                <w:sz w:val="20"/>
                <w:szCs w:val="20"/>
              </w:rPr>
              <w:t>346)</w:t>
            </w:r>
          </w:p>
        </w:tc>
        <w:tc>
          <w:tcPr>
            <w:tcW w:w="1417" w:type="dxa"/>
            <w:shd w:val="clear" w:color="auto" w:fill="EAF1DD" w:themeFill="accent3" w:themeFillTint="33"/>
            <w:noWrap/>
          </w:tcPr>
          <w:p w14:paraId="53F1C0F2" w14:textId="3F26B0B1" w:rsidR="00046821" w:rsidRPr="00046821" w:rsidRDefault="00235B1C" w:rsidP="00046821">
            <w:pPr>
              <w:spacing w:after="0"/>
              <w:jc w:val="right"/>
              <w:rPr>
                <w:noProof/>
                <w:sz w:val="20"/>
                <w:szCs w:val="20"/>
                <w:lang w:val="en-IE" w:eastAsia="en-IE"/>
              </w:rPr>
            </w:pPr>
            <w:r w:rsidRPr="00430121">
              <w:rPr>
                <w:noProof/>
                <w:sz w:val="20"/>
                <w:szCs w:val="20"/>
              </w:rPr>
              <w:t>(11</w:t>
            </w:r>
            <w:r>
              <w:rPr>
                <w:noProof/>
                <w:sz w:val="20"/>
                <w:szCs w:val="20"/>
              </w:rPr>
              <w:t xml:space="preserve"> </w:t>
            </w:r>
            <w:r w:rsidRPr="00430121">
              <w:rPr>
                <w:noProof/>
                <w:sz w:val="20"/>
                <w:szCs w:val="20"/>
              </w:rPr>
              <w:t>955</w:t>
            </w:r>
            <w:r>
              <w:rPr>
                <w:noProof/>
                <w:sz w:val="20"/>
                <w:szCs w:val="20"/>
              </w:rPr>
              <w:t xml:space="preserve"> </w:t>
            </w:r>
            <w:r w:rsidRPr="00430121">
              <w:rPr>
                <w:noProof/>
                <w:sz w:val="20"/>
                <w:szCs w:val="20"/>
              </w:rPr>
              <w:t>210</w:t>
            </w:r>
            <w:r>
              <w:rPr>
                <w:noProof/>
                <w:sz w:val="20"/>
                <w:szCs w:val="20"/>
              </w:rPr>
              <w:t xml:space="preserve"> </w:t>
            </w:r>
            <w:r w:rsidRPr="00430121">
              <w:rPr>
                <w:noProof/>
                <w:sz w:val="20"/>
                <w:szCs w:val="20"/>
              </w:rPr>
              <w:t>083)</w:t>
            </w:r>
          </w:p>
        </w:tc>
      </w:tr>
      <w:tr w:rsidR="00331BBF" w:rsidRPr="007C40E5" w14:paraId="5C6886AF" w14:textId="77777777" w:rsidTr="0065746E">
        <w:trPr>
          <w:trHeight w:val="283"/>
        </w:trPr>
        <w:tc>
          <w:tcPr>
            <w:tcW w:w="2009" w:type="dxa"/>
            <w:shd w:val="clear" w:color="auto" w:fill="F2F2F2" w:themeFill="background1" w:themeFillShade="F2"/>
            <w:noWrap/>
            <w:hideMark/>
          </w:tcPr>
          <w:p w14:paraId="6BF2CEDC" w14:textId="77777777" w:rsidR="00331BBF" w:rsidRPr="00FA63C0" w:rsidRDefault="00331BBF" w:rsidP="00331BBF">
            <w:pPr>
              <w:spacing w:after="0"/>
              <w:jc w:val="left"/>
              <w:rPr>
                <w:b/>
                <w:bCs/>
                <w:i/>
                <w:iCs/>
                <w:noProof/>
                <w:sz w:val="20"/>
                <w:szCs w:val="20"/>
                <w:lang w:val="en-IE" w:eastAsia="en-IE"/>
              </w:rPr>
            </w:pPr>
            <w:r w:rsidRPr="00FA63C0">
              <w:rPr>
                <w:b/>
                <w:bCs/>
                <w:i/>
                <w:iCs/>
                <w:noProof/>
                <w:sz w:val="20"/>
                <w:szCs w:val="20"/>
                <w:lang w:val="en-IE" w:eastAsia="en-IE"/>
              </w:rPr>
              <w:t>Net impact</w:t>
            </w:r>
          </w:p>
        </w:tc>
        <w:tc>
          <w:tcPr>
            <w:tcW w:w="968" w:type="dxa"/>
            <w:shd w:val="clear" w:color="auto" w:fill="F2F2F2" w:themeFill="background1" w:themeFillShade="F2"/>
          </w:tcPr>
          <w:p w14:paraId="5CF6AC41" w14:textId="3E86CFC2" w:rsidR="00331BBF" w:rsidRPr="00FA63C0" w:rsidRDefault="00331BBF" w:rsidP="00331BBF">
            <w:pPr>
              <w:spacing w:after="0"/>
              <w:jc w:val="right"/>
              <w:rPr>
                <w:b/>
                <w:bCs/>
                <w:noProof/>
                <w:sz w:val="20"/>
                <w:szCs w:val="20"/>
                <w:lang w:val="en-IE" w:eastAsia="en-IE"/>
              </w:rPr>
            </w:pPr>
            <w:r w:rsidRPr="00FA63C0">
              <w:rPr>
                <w:noProof/>
                <w:sz w:val="20"/>
                <w:szCs w:val="20"/>
              </w:rPr>
              <w:t xml:space="preserve"> -   </w:t>
            </w:r>
          </w:p>
        </w:tc>
        <w:tc>
          <w:tcPr>
            <w:tcW w:w="1418" w:type="dxa"/>
            <w:shd w:val="clear" w:color="auto" w:fill="F2F2F2" w:themeFill="background1" w:themeFillShade="F2"/>
          </w:tcPr>
          <w:p w14:paraId="7E3B2DD3" w14:textId="4460B8BA" w:rsidR="00331BBF" w:rsidRPr="00FA63C0" w:rsidRDefault="00235B1C" w:rsidP="00331BBF">
            <w:pPr>
              <w:spacing w:after="0"/>
              <w:jc w:val="right"/>
              <w:rPr>
                <w:b/>
                <w:bCs/>
                <w:noProof/>
                <w:sz w:val="20"/>
                <w:szCs w:val="20"/>
                <w:lang w:val="en-IE" w:eastAsia="en-IE"/>
              </w:rPr>
            </w:pPr>
            <w:r w:rsidRPr="00C20BAB">
              <w:rPr>
                <w:noProof/>
                <w:sz w:val="20"/>
                <w:szCs w:val="20"/>
              </w:rPr>
              <w:t>(3</w:t>
            </w:r>
            <w:r>
              <w:rPr>
                <w:noProof/>
                <w:sz w:val="20"/>
                <w:szCs w:val="20"/>
              </w:rPr>
              <w:t xml:space="preserve"> </w:t>
            </w:r>
            <w:r w:rsidRPr="00C20BAB">
              <w:rPr>
                <w:noProof/>
                <w:sz w:val="20"/>
                <w:szCs w:val="20"/>
              </w:rPr>
              <w:t>387</w:t>
            </w:r>
            <w:r>
              <w:rPr>
                <w:noProof/>
                <w:sz w:val="20"/>
                <w:szCs w:val="20"/>
              </w:rPr>
              <w:t xml:space="preserve"> </w:t>
            </w:r>
            <w:r w:rsidRPr="00C20BAB">
              <w:rPr>
                <w:noProof/>
                <w:sz w:val="20"/>
                <w:szCs w:val="20"/>
              </w:rPr>
              <w:t>529</w:t>
            </w:r>
            <w:r>
              <w:rPr>
                <w:noProof/>
                <w:sz w:val="20"/>
                <w:szCs w:val="20"/>
              </w:rPr>
              <w:t xml:space="preserve"> </w:t>
            </w:r>
            <w:r w:rsidRPr="00C20BAB">
              <w:rPr>
                <w:noProof/>
                <w:sz w:val="20"/>
                <w:szCs w:val="20"/>
              </w:rPr>
              <w:t>050)</w:t>
            </w:r>
          </w:p>
        </w:tc>
        <w:tc>
          <w:tcPr>
            <w:tcW w:w="1134" w:type="dxa"/>
            <w:shd w:val="clear" w:color="auto" w:fill="F2F2F2" w:themeFill="background1" w:themeFillShade="F2"/>
          </w:tcPr>
          <w:p w14:paraId="3F59ED4A" w14:textId="7F701E5C" w:rsidR="00331BBF" w:rsidRPr="00FA63C0" w:rsidRDefault="00331BBF" w:rsidP="00331BBF">
            <w:pPr>
              <w:spacing w:after="0"/>
              <w:jc w:val="right"/>
              <w:rPr>
                <w:b/>
                <w:bCs/>
                <w:noProof/>
                <w:sz w:val="20"/>
                <w:szCs w:val="20"/>
                <w:lang w:val="en-IE" w:eastAsia="en-IE"/>
              </w:rPr>
            </w:pPr>
            <w:r w:rsidRPr="00FA63C0">
              <w:rPr>
                <w:noProof/>
                <w:sz w:val="20"/>
                <w:szCs w:val="20"/>
              </w:rPr>
              <w:t xml:space="preserve"> -   </w:t>
            </w:r>
          </w:p>
        </w:tc>
        <w:tc>
          <w:tcPr>
            <w:tcW w:w="1417" w:type="dxa"/>
            <w:shd w:val="clear" w:color="auto" w:fill="F2F2F2" w:themeFill="background1" w:themeFillShade="F2"/>
            <w:noWrap/>
          </w:tcPr>
          <w:p w14:paraId="77F1109D" w14:textId="4D9B8E56" w:rsidR="00331BBF" w:rsidRPr="00331BBF" w:rsidRDefault="00235B1C" w:rsidP="00331BBF">
            <w:pPr>
              <w:spacing w:after="0"/>
              <w:jc w:val="right"/>
              <w:rPr>
                <w:b/>
                <w:bCs/>
                <w:noProof/>
                <w:sz w:val="20"/>
                <w:szCs w:val="20"/>
                <w:lang w:val="en-IE" w:eastAsia="en-IE"/>
              </w:rPr>
            </w:pPr>
            <w:r w:rsidRPr="00C20BAB">
              <w:rPr>
                <w:noProof/>
                <w:sz w:val="20"/>
                <w:szCs w:val="20"/>
              </w:rPr>
              <w:t>(3</w:t>
            </w:r>
            <w:r>
              <w:rPr>
                <w:noProof/>
                <w:sz w:val="20"/>
                <w:szCs w:val="20"/>
              </w:rPr>
              <w:t xml:space="preserve"> </w:t>
            </w:r>
            <w:r w:rsidRPr="00C20BAB">
              <w:rPr>
                <w:noProof/>
                <w:sz w:val="20"/>
                <w:szCs w:val="20"/>
              </w:rPr>
              <w:t>387</w:t>
            </w:r>
            <w:r>
              <w:rPr>
                <w:noProof/>
                <w:sz w:val="20"/>
                <w:szCs w:val="20"/>
              </w:rPr>
              <w:t xml:space="preserve"> </w:t>
            </w:r>
            <w:r w:rsidRPr="00C20BAB">
              <w:rPr>
                <w:noProof/>
                <w:sz w:val="20"/>
                <w:szCs w:val="20"/>
              </w:rPr>
              <w:t>529</w:t>
            </w:r>
            <w:r>
              <w:rPr>
                <w:noProof/>
                <w:sz w:val="20"/>
                <w:szCs w:val="20"/>
              </w:rPr>
              <w:t xml:space="preserve"> </w:t>
            </w:r>
            <w:r w:rsidRPr="00C20BAB">
              <w:rPr>
                <w:noProof/>
                <w:sz w:val="20"/>
                <w:szCs w:val="20"/>
              </w:rPr>
              <w:t>050)</w:t>
            </w:r>
          </w:p>
        </w:tc>
        <w:tc>
          <w:tcPr>
            <w:tcW w:w="1418" w:type="dxa"/>
            <w:shd w:val="clear" w:color="auto" w:fill="F2F2F2" w:themeFill="background1" w:themeFillShade="F2"/>
            <w:noWrap/>
          </w:tcPr>
          <w:p w14:paraId="761743FA" w14:textId="6E5F3B2D" w:rsidR="00331BBF" w:rsidRPr="00331BBF" w:rsidRDefault="00235B1C" w:rsidP="00331BBF">
            <w:pPr>
              <w:spacing w:after="0"/>
              <w:jc w:val="right"/>
              <w:rPr>
                <w:b/>
                <w:bCs/>
                <w:noProof/>
                <w:sz w:val="20"/>
                <w:szCs w:val="20"/>
                <w:lang w:val="en-IE" w:eastAsia="en-IE"/>
              </w:rPr>
            </w:pPr>
            <w:r w:rsidRPr="00430121">
              <w:rPr>
                <w:noProof/>
                <w:sz w:val="20"/>
                <w:szCs w:val="20"/>
              </w:rPr>
              <w:t xml:space="preserve"> </w:t>
            </w:r>
            <w:r>
              <w:rPr>
                <w:noProof/>
                <w:sz w:val="20"/>
                <w:szCs w:val="20"/>
              </w:rPr>
              <w:t xml:space="preserve"> </w:t>
            </w:r>
            <w:r w:rsidRPr="00430121">
              <w:rPr>
                <w:noProof/>
                <w:sz w:val="20"/>
                <w:szCs w:val="20"/>
              </w:rPr>
              <w:t>(478</w:t>
            </w:r>
            <w:r>
              <w:rPr>
                <w:noProof/>
                <w:sz w:val="20"/>
                <w:szCs w:val="20"/>
              </w:rPr>
              <w:t xml:space="preserve"> </w:t>
            </w:r>
            <w:r w:rsidRPr="00430121">
              <w:rPr>
                <w:noProof/>
                <w:sz w:val="20"/>
                <w:szCs w:val="20"/>
              </w:rPr>
              <w:t>953</w:t>
            </w:r>
            <w:r>
              <w:rPr>
                <w:noProof/>
                <w:sz w:val="20"/>
                <w:szCs w:val="20"/>
              </w:rPr>
              <w:t xml:space="preserve"> </w:t>
            </w:r>
            <w:r w:rsidRPr="00430121">
              <w:rPr>
                <w:noProof/>
                <w:sz w:val="20"/>
                <w:szCs w:val="20"/>
              </w:rPr>
              <w:t>376)</w:t>
            </w:r>
          </w:p>
        </w:tc>
        <w:tc>
          <w:tcPr>
            <w:tcW w:w="1417" w:type="dxa"/>
            <w:shd w:val="clear" w:color="auto" w:fill="F2F2F2" w:themeFill="background1" w:themeFillShade="F2"/>
            <w:noWrap/>
          </w:tcPr>
          <w:p w14:paraId="7597D237" w14:textId="474F466E" w:rsidR="00331BBF" w:rsidRPr="00331BBF" w:rsidRDefault="00235B1C" w:rsidP="00331BBF">
            <w:pPr>
              <w:spacing w:after="0"/>
              <w:jc w:val="right"/>
              <w:rPr>
                <w:b/>
                <w:bCs/>
                <w:noProof/>
                <w:sz w:val="20"/>
                <w:szCs w:val="20"/>
                <w:lang w:val="en-IE" w:eastAsia="en-IE"/>
              </w:rPr>
            </w:pPr>
            <w:r w:rsidRPr="00430121">
              <w:rPr>
                <w:noProof/>
                <w:sz w:val="20"/>
                <w:szCs w:val="20"/>
              </w:rPr>
              <w:t xml:space="preserve"> (9</w:t>
            </w:r>
            <w:r>
              <w:rPr>
                <w:noProof/>
                <w:sz w:val="20"/>
                <w:szCs w:val="20"/>
              </w:rPr>
              <w:t xml:space="preserve"> </w:t>
            </w:r>
            <w:r w:rsidRPr="00430121">
              <w:rPr>
                <w:noProof/>
                <w:sz w:val="20"/>
                <w:szCs w:val="20"/>
              </w:rPr>
              <w:t>172</w:t>
            </w:r>
            <w:r>
              <w:rPr>
                <w:noProof/>
                <w:sz w:val="20"/>
                <w:szCs w:val="20"/>
              </w:rPr>
              <w:t xml:space="preserve"> </w:t>
            </w:r>
            <w:r w:rsidRPr="00430121">
              <w:rPr>
                <w:noProof/>
                <w:sz w:val="20"/>
                <w:szCs w:val="20"/>
              </w:rPr>
              <w:t>530</w:t>
            </w:r>
            <w:r>
              <w:rPr>
                <w:noProof/>
                <w:sz w:val="20"/>
                <w:szCs w:val="20"/>
              </w:rPr>
              <w:t xml:space="preserve"> </w:t>
            </w:r>
            <w:r w:rsidRPr="00430121">
              <w:rPr>
                <w:noProof/>
                <w:sz w:val="20"/>
                <w:szCs w:val="20"/>
              </w:rPr>
              <w:t>215)</w:t>
            </w:r>
          </w:p>
        </w:tc>
      </w:tr>
    </w:tbl>
    <w:p w14:paraId="08C73BB4" w14:textId="3C307B06" w:rsidR="00015693" w:rsidRPr="00D13557" w:rsidRDefault="00015693" w:rsidP="00B050D9">
      <w:pPr>
        <w:pStyle w:val="Heading2"/>
        <w:numPr>
          <w:ilvl w:val="1"/>
          <w:numId w:val="10"/>
        </w:numPr>
        <w:tabs>
          <w:tab w:val="num" w:pos="283"/>
        </w:tabs>
        <w:spacing w:before="240"/>
        <w:ind w:left="1202"/>
        <w:rPr>
          <w:noProof/>
        </w:rPr>
      </w:pPr>
      <w:bookmarkStart w:id="251" w:name="_Toc214519725"/>
      <w:bookmarkStart w:id="252" w:name="_Toc216283376"/>
      <w:bookmarkStart w:id="253" w:name="_Toc228346931"/>
      <w:bookmarkEnd w:id="248"/>
      <w:bookmarkEnd w:id="249"/>
      <w:bookmarkEnd w:id="250"/>
      <w:r w:rsidRPr="00430121">
        <w:rPr>
          <w:noProof/>
        </w:rPr>
        <w:t xml:space="preserve">PM21: </w:t>
      </w:r>
      <w:bookmarkEnd w:id="251"/>
      <w:bookmarkEnd w:id="252"/>
      <w:r w:rsidR="00D00847" w:rsidRPr="00D00847">
        <w:rPr>
          <w:noProof/>
        </w:rPr>
        <w:t>Mandatory sovereign risk assessments for the use of cloud and AI computing services</w:t>
      </w:r>
      <w:r w:rsidR="006F624C">
        <w:rPr>
          <w:noProof/>
        </w:rPr>
        <w:t xml:space="preserve"> </w:t>
      </w:r>
      <w:r w:rsidR="006F624C" w:rsidRPr="006F624C">
        <w:rPr>
          <w:noProof/>
        </w:rPr>
        <w:t>in the public sector</w:t>
      </w:r>
      <w:bookmarkEnd w:id="253"/>
    </w:p>
    <w:p w14:paraId="7D8C2D66" w14:textId="2DA186F8" w:rsidR="00FA1121" w:rsidRDefault="00FA1121" w:rsidP="004E2F4F">
      <w:pPr>
        <w:pStyle w:val="ListBullet"/>
        <w:numPr>
          <w:ilvl w:val="0"/>
          <w:numId w:val="0"/>
        </w:numPr>
        <w:spacing w:after="60"/>
        <w:rPr>
          <w:noProof/>
        </w:rPr>
      </w:pPr>
      <w:r w:rsidRPr="00434F21">
        <w:rPr>
          <w:b/>
          <w:bCs/>
          <w:noProof/>
        </w:rPr>
        <w:t>Policy Measure 21 (</w:t>
      </w:r>
      <w:r w:rsidRPr="00434F21">
        <w:rPr>
          <w:b/>
          <w:bCs/>
          <w:noProof/>
          <w:u w:val="single"/>
        </w:rPr>
        <w:t>PM21</w:t>
      </w:r>
      <w:r w:rsidRPr="004F15F9">
        <w:rPr>
          <w:noProof/>
        </w:rPr>
        <w:t>) consists of two elements.</w:t>
      </w:r>
      <w:r w:rsidRPr="00434F21">
        <w:rPr>
          <w:b/>
          <w:noProof/>
        </w:rPr>
        <w:t xml:space="preserve"> </w:t>
      </w:r>
      <w:r w:rsidRPr="009E161E">
        <w:rPr>
          <w:b/>
          <w:noProof/>
        </w:rPr>
        <w:t>First</w:t>
      </w:r>
      <w:r w:rsidRPr="004F15F9">
        <w:rPr>
          <w:noProof/>
        </w:rPr>
        <w:t xml:space="preserve">, </w:t>
      </w:r>
      <w:r>
        <w:rPr>
          <w:noProof/>
        </w:rPr>
        <w:t xml:space="preserve">it turns what is only a </w:t>
      </w:r>
      <w:r w:rsidR="00080F32">
        <w:rPr>
          <w:noProof/>
        </w:rPr>
        <w:t>r</w:t>
      </w:r>
      <w:r>
        <w:rPr>
          <w:noProof/>
        </w:rPr>
        <w:t xml:space="preserve">ecommendation under policy measure 15 into </w:t>
      </w:r>
      <w:r w:rsidRPr="0028607A">
        <w:rPr>
          <w:b/>
          <w:bCs/>
          <w:noProof/>
        </w:rPr>
        <w:t>a binding requirement</w:t>
      </w:r>
      <w:r>
        <w:rPr>
          <w:noProof/>
        </w:rPr>
        <w:t xml:space="preserve"> for Member States.</w:t>
      </w:r>
      <w:r w:rsidRPr="004F15F9">
        <w:rPr>
          <w:noProof/>
        </w:rPr>
        <w:t xml:space="preserve"> </w:t>
      </w:r>
    </w:p>
    <w:p w14:paraId="6DCDB713" w14:textId="4C8E3923" w:rsidR="00684067" w:rsidRDefault="00FA1121" w:rsidP="004E2F4F">
      <w:pPr>
        <w:pStyle w:val="ListBullet"/>
        <w:numPr>
          <w:ilvl w:val="0"/>
          <w:numId w:val="0"/>
        </w:numPr>
        <w:rPr>
          <w:bCs/>
          <w:noProof/>
        </w:rPr>
      </w:pPr>
      <w:r>
        <w:rPr>
          <w:noProof/>
        </w:rPr>
        <w:t xml:space="preserve">Member States </w:t>
      </w:r>
      <w:r w:rsidRPr="005F0841">
        <w:rPr>
          <w:b/>
          <w:bCs/>
          <w:noProof/>
          <w:u w:val="single"/>
        </w:rPr>
        <w:t>shall carry</w:t>
      </w:r>
      <w:r>
        <w:rPr>
          <w:noProof/>
        </w:rPr>
        <w:t xml:space="preserve"> </w:t>
      </w:r>
      <w:r w:rsidR="00E90E25">
        <w:rPr>
          <w:noProof/>
        </w:rPr>
        <w:t xml:space="preserve">out </w:t>
      </w:r>
      <w:r>
        <w:rPr>
          <w:noProof/>
        </w:rPr>
        <w:t xml:space="preserve">at least one sovereignty risk assessment and repeat it at least every four years </w:t>
      </w:r>
      <w:r w:rsidR="00BF722B">
        <w:rPr>
          <w:noProof/>
        </w:rPr>
        <w:t>or</w:t>
      </w:r>
      <w:r>
        <w:rPr>
          <w:noProof/>
        </w:rPr>
        <w:t xml:space="preserve"> more frequent</w:t>
      </w:r>
      <w:r w:rsidR="00BF722B">
        <w:rPr>
          <w:noProof/>
        </w:rPr>
        <w:t>ly</w:t>
      </w:r>
      <w:r>
        <w:rPr>
          <w:noProof/>
        </w:rPr>
        <w:t xml:space="preserve"> if deemed necessary. The purpose of the sovereignty risk assessment is to identify which public sector use cases within a Member State require the use of which sovereignty level as described under </w:t>
      </w:r>
      <w:r w:rsidRPr="00673AEF">
        <w:rPr>
          <w:bCs/>
          <w:noProof/>
        </w:rPr>
        <w:t xml:space="preserve">PM11. The sovereignty risk assessment would assess, </w:t>
      </w:r>
      <w:r w:rsidRPr="008F5449">
        <w:rPr>
          <w:i/>
          <w:noProof/>
        </w:rPr>
        <w:t>inter alia</w:t>
      </w:r>
      <w:r w:rsidRPr="00673AEF">
        <w:rPr>
          <w:bCs/>
          <w:noProof/>
        </w:rPr>
        <w:t>, the risks induced by the access to such data by a third-country authority or third-country legal entity; or the risk of possible service disruption due to dependence on a single or limited number of third-country services providers</w:t>
      </w:r>
      <w:r>
        <w:rPr>
          <w:bCs/>
          <w:noProof/>
        </w:rPr>
        <w:t xml:space="preserve">. On the basis of dedicated discussions conducted with 3 different public authorities representing about 200 contracting authorities, this assessment assumes that the matching of sovereignty levels to public sector demand follows the following pattern: 70% of use cases would require a sovereignty level 1; 20% for level 2; 9% for level 3; and 1% for level 4. </w:t>
      </w:r>
      <w:r w:rsidR="00684067" w:rsidRPr="002B3B29">
        <w:rPr>
          <w:bCs/>
          <w:noProof/>
        </w:rPr>
        <w:t xml:space="preserve">Even though the scheme is novel and does not correspond to existing frameworks, this assessment fits with broad orders of magnitude that can be inferred from existing analyses conducted in several Member States that have introduced risk assessments for their public sector clouds, such as France, </w:t>
      </w:r>
      <w:r w:rsidR="00684067">
        <w:rPr>
          <w:bCs/>
          <w:noProof/>
        </w:rPr>
        <w:t>Poland</w:t>
      </w:r>
      <w:r w:rsidR="00684067">
        <w:rPr>
          <w:rStyle w:val="FootnoteReference"/>
          <w:bCs/>
          <w:noProof/>
        </w:rPr>
        <w:footnoteReference w:id="87"/>
      </w:r>
      <w:r w:rsidR="00684067">
        <w:rPr>
          <w:bCs/>
          <w:noProof/>
        </w:rPr>
        <w:t xml:space="preserve"> or Italy</w:t>
      </w:r>
      <w:r w:rsidR="00684067">
        <w:rPr>
          <w:rStyle w:val="FootnoteReference"/>
          <w:bCs/>
          <w:noProof/>
        </w:rPr>
        <w:footnoteReference w:id="88"/>
      </w:r>
      <w:r w:rsidR="00684067" w:rsidRPr="002B3B29">
        <w:rPr>
          <w:bCs/>
          <w:noProof/>
        </w:rPr>
        <w:t xml:space="preserve">. </w:t>
      </w:r>
    </w:p>
    <w:p w14:paraId="05B6A21D" w14:textId="19766357" w:rsidR="00FA1121" w:rsidRPr="002B4116" w:rsidRDefault="00FA1121" w:rsidP="004E2F4F">
      <w:pPr>
        <w:pStyle w:val="ListBullet"/>
        <w:numPr>
          <w:ilvl w:val="0"/>
          <w:numId w:val="0"/>
        </w:numPr>
        <w:rPr>
          <w:noProof/>
        </w:rPr>
      </w:pPr>
      <w:r>
        <w:rPr>
          <w:bCs/>
          <w:noProof/>
        </w:rPr>
        <w:t xml:space="preserve">Critical use cases, defined as the use cases whose disruption would affect operational autonomy or public order, correspond to use cases covered by level 2, 3 and 4. </w:t>
      </w:r>
      <w:r>
        <w:rPr>
          <w:noProof/>
        </w:rPr>
        <w:t>The risk assessment would have to consider the reality of the supply market to avoid unrealistic outcomes, such as mandating the use of services that don’t exist (yet) in the market.</w:t>
      </w:r>
    </w:p>
    <w:p w14:paraId="4A75E6E9" w14:textId="14738666" w:rsidR="00FA1121" w:rsidRDefault="00FA1121" w:rsidP="004E2F4F">
      <w:pPr>
        <w:pStyle w:val="ListBullet"/>
        <w:numPr>
          <w:ilvl w:val="0"/>
          <w:numId w:val="0"/>
        </w:numPr>
        <w:rPr>
          <w:noProof/>
        </w:rPr>
      </w:pPr>
      <w:r>
        <w:rPr>
          <w:noProof/>
        </w:rPr>
        <w:t>To facilitate appropriate and coherent sovereignty risk assessments, the European Commission would develop guidelines for Member States to conduct such assessments and provide a sample risk assessment methodology (note that these guidelines concern the conduct of risk assessments and differ from PM12, which consist in explaining the different levels of sovereignty</w:t>
      </w:r>
      <w:r w:rsidR="00976BFE">
        <w:rPr>
          <w:noProof/>
        </w:rPr>
        <w:t xml:space="preserve"> assurance</w:t>
      </w:r>
      <w:r>
        <w:rPr>
          <w:noProof/>
        </w:rPr>
        <w:t>). For Member States to have up-to-date information about the market conditions of cloud and AI sovereign solutions, the Commission would also produce market monitoring reports that will point Member States to possible gaps in the coverage of some services</w:t>
      </w:r>
      <w:r w:rsidRPr="00000BEA">
        <w:rPr>
          <w:noProof/>
        </w:rPr>
        <w:t>.</w:t>
      </w:r>
    </w:p>
    <w:p w14:paraId="28285136" w14:textId="77777777" w:rsidR="00FA1121" w:rsidRPr="00747F71" w:rsidRDefault="00FA1121" w:rsidP="004E2F4F">
      <w:pPr>
        <w:pStyle w:val="ListBullet"/>
        <w:numPr>
          <w:ilvl w:val="0"/>
          <w:numId w:val="0"/>
        </w:numPr>
        <w:rPr>
          <w:rFonts w:eastAsia="Aptos"/>
          <w:noProof/>
          <w:lang w:val="en-US"/>
        </w:rPr>
      </w:pPr>
      <w:r w:rsidRPr="008B030B">
        <w:rPr>
          <w:noProof/>
          <w:lang w:val="en-US"/>
        </w:rPr>
        <w:t xml:space="preserve">The Member States </w:t>
      </w:r>
      <w:r w:rsidRPr="008B030B">
        <w:rPr>
          <w:b/>
          <w:noProof/>
          <w:u w:val="single"/>
          <w:lang w:val="en-US"/>
        </w:rPr>
        <w:t>would have to</w:t>
      </w:r>
      <w:r w:rsidRPr="008B030B">
        <w:rPr>
          <w:noProof/>
          <w:lang w:val="en-US"/>
        </w:rPr>
        <w:t xml:space="preserve"> determine which public authorities are required to procure specific levels of sovereignty and make this mandatory at national level, ensuring that procurement aligns with the risk assessment, unless duly justified. </w:t>
      </w:r>
    </w:p>
    <w:p w14:paraId="1DECE9FD" w14:textId="2995CFD3" w:rsidR="004350FA" w:rsidRDefault="00FA1121" w:rsidP="008D1650">
      <w:pPr>
        <w:pStyle w:val="ListBullet"/>
        <w:numPr>
          <w:ilvl w:val="0"/>
          <w:numId w:val="0"/>
        </w:numPr>
        <w:rPr>
          <w:rFonts w:eastAsia="Aptos"/>
          <w:noProof/>
          <w:lang w:val="en-US"/>
        </w:rPr>
      </w:pPr>
      <w:r>
        <w:rPr>
          <w:noProof/>
        </w:rPr>
        <w:t>While PM11 only puts forward the definition of sovereignty levels, PM</w:t>
      </w:r>
      <w:r w:rsidR="00F21E54">
        <w:rPr>
          <w:noProof/>
        </w:rPr>
        <w:t>21</w:t>
      </w:r>
      <w:r>
        <w:rPr>
          <w:noProof/>
        </w:rPr>
        <w:t xml:space="preserve"> goes further by putting forward </w:t>
      </w:r>
      <w:r w:rsidRPr="00F01B44">
        <w:rPr>
          <w:noProof/>
        </w:rPr>
        <w:t>a</w:t>
      </w:r>
      <w:r>
        <w:rPr>
          <w:noProof/>
        </w:rPr>
        <w:t xml:space="preserve"> framework through which the respective levels of sovereignty can be assessed</w:t>
      </w:r>
      <w:r w:rsidRPr="00D241A2">
        <w:rPr>
          <w:rFonts w:eastAsia="Aptos"/>
          <w:noProof/>
          <w:lang w:val="en-US"/>
        </w:rPr>
        <w:t>.</w:t>
      </w:r>
    </w:p>
    <w:p w14:paraId="12F603CC" w14:textId="6937D0CF" w:rsidR="00037FEF" w:rsidRDefault="004350FA" w:rsidP="004350FA">
      <w:pPr>
        <w:pStyle w:val="ListBullet"/>
        <w:numPr>
          <w:ilvl w:val="0"/>
          <w:numId w:val="0"/>
        </w:numPr>
        <w:rPr>
          <w:noProof/>
        </w:rPr>
      </w:pPr>
      <w:r>
        <w:rPr>
          <w:noProof/>
        </w:rPr>
        <w:t xml:space="preserve">Cloud service providers shall submit the relevant evidence that demonstrate that they comply with the sovereignty assurance criteria to the designated competent authority. For assurance level 1, the service provider </w:t>
      </w:r>
      <w:r w:rsidR="00F55078">
        <w:rPr>
          <w:noProof/>
        </w:rPr>
        <w:t xml:space="preserve">may issue a </w:t>
      </w:r>
      <w:r w:rsidR="00AE7CEA">
        <w:rPr>
          <w:noProof/>
        </w:rPr>
        <w:t>‘Statement of conformity’</w:t>
      </w:r>
      <w:r w:rsidR="00D6445D">
        <w:rPr>
          <w:noProof/>
        </w:rPr>
        <w:t xml:space="preserve"> where they show that they comply with the cumulative criteria of this level. T</w:t>
      </w:r>
      <w:r w:rsidR="003846A6">
        <w:rPr>
          <w:noProof/>
        </w:rPr>
        <w:t xml:space="preserve">he cloud provider will </w:t>
      </w:r>
      <w:r w:rsidR="00AE7CEA">
        <w:rPr>
          <w:noProof/>
        </w:rPr>
        <w:t xml:space="preserve">make </w:t>
      </w:r>
      <w:r w:rsidR="003846A6">
        <w:rPr>
          <w:noProof/>
        </w:rPr>
        <w:t>the statement of conformity</w:t>
      </w:r>
      <w:r w:rsidR="00AE7CEA">
        <w:rPr>
          <w:noProof/>
        </w:rPr>
        <w:t xml:space="preserve"> publicly available</w:t>
      </w:r>
      <w:r w:rsidR="00037FEF">
        <w:rPr>
          <w:noProof/>
        </w:rPr>
        <w:t>, and shall submit it, along with the necessary evidence, to the designated competent authority</w:t>
      </w:r>
      <w:r>
        <w:rPr>
          <w:noProof/>
        </w:rPr>
        <w:t>. Cloud computing service providers qualifying as SMEs will not be required to undergo the validation by the national competent authority.</w:t>
      </w:r>
    </w:p>
    <w:p w14:paraId="298DA216" w14:textId="69548872" w:rsidR="00F54D4B" w:rsidRDefault="00845374" w:rsidP="004350FA">
      <w:pPr>
        <w:pStyle w:val="ListBullet"/>
        <w:numPr>
          <w:ilvl w:val="0"/>
          <w:numId w:val="0"/>
        </w:numPr>
        <w:rPr>
          <w:rFonts w:eastAsia="Aptos"/>
          <w:noProof/>
          <w:lang w:val="en-US"/>
        </w:rPr>
      </w:pPr>
      <w:r>
        <w:rPr>
          <w:rFonts w:eastAsia="Aptos"/>
          <w:noProof/>
          <w:lang w:val="en-US"/>
        </w:rPr>
        <w:t>The</w:t>
      </w:r>
      <w:r w:rsidRPr="00D241A2">
        <w:rPr>
          <w:rFonts w:eastAsia="Aptos"/>
          <w:noProof/>
          <w:lang w:val="en-US"/>
        </w:rPr>
        <w:t xml:space="preserve"> </w:t>
      </w:r>
      <w:r w:rsidR="002F597F">
        <w:rPr>
          <w:rFonts w:eastAsia="Aptos"/>
          <w:noProof/>
          <w:lang w:val="en-US"/>
        </w:rPr>
        <w:t>assessment</w:t>
      </w:r>
      <w:r>
        <w:rPr>
          <w:rFonts w:eastAsia="Aptos"/>
          <w:noProof/>
          <w:lang w:val="en-US"/>
        </w:rPr>
        <w:t xml:space="preserve"> of </w:t>
      </w:r>
      <w:r w:rsidR="004350FA">
        <w:rPr>
          <w:rFonts w:eastAsia="Aptos"/>
          <w:noProof/>
          <w:lang w:val="en-US"/>
        </w:rPr>
        <w:t xml:space="preserve">the </w:t>
      </w:r>
      <w:r w:rsidR="004350FA" w:rsidRPr="00D241A2">
        <w:rPr>
          <w:rFonts w:eastAsia="Aptos"/>
          <w:noProof/>
          <w:lang w:val="en-US"/>
        </w:rPr>
        <w:t xml:space="preserve">compliance of </w:t>
      </w:r>
      <w:r w:rsidR="004350FA">
        <w:rPr>
          <w:rFonts w:eastAsia="Aptos"/>
          <w:noProof/>
          <w:lang w:val="en-US"/>
        </w:rPr>
        <w:t xml:space="preserve">the </w:t>
      </w:r>
      <w:r w:rsidR="004350FA" w:rsidRPr="00D241A2">
        <w:rPr>
          <w:rFonts w:eastAsia="Aptos"/>
          <w:noProof/>
          <w:lang w:val="en-US"/>
        </w:rPr>
        <w:t xml:space="preserve">service against </w:t>
      </w:r>
      <w:r w:rsidR="002F597F">
        <w:rPr>
          <w:rFonts w:eastAsia="Aptos"/>
          <w:noProof/>
          <w:lang w:val="en-US"/>
        </w:rPr>
        <w:t xml:space="preserve">the criteria for </w:t>
      </w:r>
      <w:r w:rsidR="004350FA" w:rsidRPr="00D241A2">
        <w:rPr>
          <w:rFonts w:eastAsia="Aptos"/>
          <w:noProof/>
          <w:lang w:val="en-US"/>
        </w:rPr>
        <w:t xml:space="preserve">sovereignty level 2-3-4 </w:t>
      </w:r>
      <w:r w:rsidR="002F597F">
        <w:rPr>
          <w:rFonts w:eastAsia="Aptos"/>
          <w:noProof/>
          <w:lang w:val="en-US"/>
        </w:rPr>
        <w:t>will</w:t>
      </w:r>
      <w:r w:rsidR="002F597F" w:rsidRPr="00D241A2">
        <w:rPr>
          <w:rFonts w:eastAsia="Aptos"/>
          <w:noProof/>
          <w:lang w:val="en-US"/>
        </w:rPr>
        <w:t xml:space="preserve"> </w:t>
      </w:r>
      <w:r w:rsidR="004350FA" w:rsidRPr="00D241A2">
        <w:rPr>
          <w:rFonts w:eastAsia="Aptos"/>
          <w:noProof/>
          <w:lang w:val="en-US"/>
        </w:rPr>
        <w:t xml:space="preserve">be </w:t>
      </w:r>
      <w:r>
        <w:rPr>
          <w:rFonts w:eastAsia="Aptos"/>
          <w:noProof/>
          <w:lang w:val="en-US"/>
        </w:rPr>
        <w:t>performed</w:t>
      </w:r>
      <w:r w:rsidRPr="00D241A2">
        <w:rPr>
          <w:rFonts w:eastAsia="Aptos"/>
          <w:noProof/>
          <w:lang w:val="en-US"/>
        </w:rPr>
        <w:t xml:space="preserve"> </w:t>
      </w:r>
      <w:r w:rsidR="004350FA" w:rsidRPr="00D241A2">
        <w:rPr>
          <w:rFonts w:eastAsia="Aptos"/>
          <w:noProof/>
          <w:lang w:val="en-US"/>
        </w:rPr>
        <w:t>through</w:t>
      </w:r>
      <w:r w:rsidR="00CB2E46">
        <w:rPr>
          <w:rFonts w:eastAsia="Aptos"/>
          <w:noProof/>
          <w:lang w:val="en-US"/>
        </w:rPr>
        <w:t xml:space="preserve"> independent</w:t>
      </w:r>
      <w:r w:rsidR="004350FA" w:rsidRPr="00D241A2">
        <w:rPr>
          <w:rFonts w:eastAsia="Aptos"/>
          <w:noProof/>
          <w:lang w:val="en-US"/>
        </w:rPr>
        <w:t xml:space="preserve"> third party’s auditors</w:t>
      </w:r>
      <w:r w:rsidR="004350FA">
        <w:rPr>
          <w:rFonts w:eastAsia="Aptos"/>
          <w:noProof/>
          <w:lang w:val="en-US"/>
        </w:rPr>
        <w:t>. In this case, the service provider will submit the audit report and the ‘positive’ audit opinion</w:t>
      </w:r>
      <w:r w:rsidR="00B17468">
        <w:rPr>
          <w:rFonts w:eastAsia="Aptos"/>
          <w:noProof/>
          <w:lang w:val="en-US"/>
        </w:rPr>
        <w:t>,</w:t>
      </w:r>
      <w:r w:rsidR="004350FA">
        <w:rPr>
          <w:rFonts w:eastAsia="Aptos"/>
          <w:noProof/>
          <w:lang w:val="en-US"/>
        </w:rPr>
        <w:t xml:space="preserve"> </w:t>
      </w:r>
      <w:r w:rsidR="00CB2E46">
        <w:rPr>
          <w:rFonts w:eastAsia="Aptos"/>
          <w:noProof/>
          <w:lang w:val="en-US"/>
        </w:rPr>
        <w:t xml:space="preserve">along with the audited evidence, </w:t>
      </w:r>
      <w:r w:rsidR="004350FA">
        <w:rPr>
          <w:rFonts w:eastAsia="Aptos"/>
          <w:noProof/>
          <w:lang w:val="en-US"/>
        </w:rPr>
        <w:t>to the competent authority of the country of establishment who shall verify them, without undue del</w:t>
      </w:r>
      <w:r w:rsidR="00093850">
        <w:rPr>
          <w:rFonts w:eastAsia="Aptos"/>
          <w:noProof/>
          <w:lang w:val="en-US"/>
        </w:rPr>
        <w:t>a</w:t>
      </w:r>
      <w:r w:rsidR="004350FA">
        <w:rPr>
          <w:rFonts w:eastAsia="Aptos"/>
          <w:noProof/>
          <w:lang w:val="en-US"/>
        </w:rPr>
        <w:t>y</w:t>
      </w:r>
      <w:r w:rsidR="00093850">
        <w:rPr>
          <w:rFonts w:eastAsia="Aptos"/>
          <w:noProof/>
          <w:lang w:val="en-US"/>
        </w:rPr>
        <w:t xml:space="preserve"> and within 60 days</w:t>
      </w:r>
      <w:r w:rsidR="004350FA">
        <w:rPr>
          <w:rFonts w:eastAsia="Aptos"/>
          <w:noProof/>
          <w:lang w:val="en-US"/>
        </w:rPr>
        <w:t xml:space="preserve">. </w:t>
      </w:r>
      <w:r w:rsidR="00093850">
        <w:rPr>
          <w:rFonts w:eastAsia="Aptos"/>
          <w:noProof/>
          <w:lang w:val="en-US"/>
        </w:rPr>
        <w:t xml:space="preserve">The </w:t>
      </w:r>
      <w:r w:rsidR="004350FA">
        <w:rPr>
          <w:rFonts w:eastAsia="Aptos"/>
          <w:noProof/>
          <w:lang w:val="en-US"/>
        </w:rPr>
        <w:t>result of this activity is a</w:t>
      </w:r>
      <w:r w:rsidR="00B04372">
        <w:rPr>
          <w:rFonts w:eastAsia="Aptos"/>
          <w:noProof/>
          <w:lang w:val="en-US"/>
        </w:rPr>
        <w:t xml:space="preserve"> draft</w:t>
      </w:r>
      <w:r w:rsidR="004350FA">
        <w:rPr>
          <w:rFonts w:eastAsia="Aptos"/>
          <w:noProof/>
          <w:lang w:val="en-US"/>
        </w:rPr>
        <w:t xml:space="preserve"> acceptance</w:t>
      </w:r>
      <w:r w:rsidR="00BE229B">
        <w:rPr>
          <w:rFonts w:eastAsia="Aptos"/>
          <w:noProof/>
          <w:lang w:val="en-US"/>
        </w:rPr>
        <w:t>, request for more information</w:t>
      </w:r>
      <w:r w:rsidR="004350FA">
        <w:rPr>
          <w:rFonts w:eastAsia="Aptos"/>
          <w:noProof/>
          <w:lang w:val="en-US"/>
        </w:rPr>
        <w:t xml:space="preserve"> or</w:t>
      </w:r>
      <w:r w:rsidR="00B04372">
        <w:rPr>
          <w:rFonts w:eastAsia="Aptos"/>
          <w:noProof/>
          <w:lang w:val="en-US"/>
        </w:rPr>
        <w:t xml:space="preserve"> rejection</w:t>
      </w:r>
      <w:r w:rsidR="004350FA">
        <w:rPr>
          <w:rFonts w:eastAsia="Aptos"/>
          <w:noProof/>
          <w:lang w:val="en-US"/>
        </w:rPr>
        <w:t xml:space="preserve"> </w:t>
      </w:r>
      <w:r w:rsidR="00B04372">
        <w:rPr>
          <w:rFonts w:eastAsia="Aptos"/>
          <w:noProof/>
          <w:lang w:val="en-US"/>
        </w:rPr>
        <w:t>decision</w:t>
      </w:r>
      <w:r w:rsidR="00BE229B">
        <w:rPr>
          <w:rFonts w:eastAsia="Aptos"/>
          <w:noProof/>
          <w:lang w:val="en-US"/>
        </w:rPr>
        <w:t xml:space="preserve">. </w:t>
      </w:r>
    </w:p>
    <w:p w14:paraId="7C7F5408" w14:textId="6B6745FC" w:rsidR="00E0190F" w:rsidRDefault="00F54D4B" w:rsidP="00B964AD">
      <w:pPr>
        <w:pStyle w:val="ListBullet"/>
        <w:numPr>
          <w:ilvl w:val="0"/>
          <w:numId w:val="169"/>
        </w:numPr>
        <w:rPr>
          <w:rFonts w:eastAsia="Aptos"/>
          <w:noProof/>
          <w:lang w:val="en-US"/>
        </w:rPr>
      </w:pPr>
      <w:r>
        <w:rPr>
          <w:rFonts w:eastAsia="Aptos"/>
          <w:noProof/>
          <w:lang w:val="en-US"/>
        </w:rPr>
        <w:t xml:space="preserve">In case the assessment is positive, the decision </w:t>
      </w:r>
      <w:r w:rsidR="00BE229B">
        <w:rPr>
          <w:rFonts w:eastAsia="Aptos"/>
          <w:noProof/>
          <w:lang w:val="en-US"/>
        </w:rPr>
        <w:t xml:space="preserve">will be notified </w:t>
      </w:r>
      <w:r w:rsidR="00A742D9">
        <w:rPr>
          <w:rFonts w:eastAsia="Aptos"/>
          <w:noProof/>
          <w:lang w:val="en-US"/>
        </w:rPr>
        <w:t xml:space="preserve">to the other Member States, who have a 60 </w:t>
      </w:r>
      <w:r w:rsidR="00BE229B">
        <w:rPr>
          <w:rFonts w:eastAsia="Aptos"/>
          <w:noProof/>
          <w:lang w:val="en-US"/>
        </w:rPr>
        <w:t>day</w:t>
      </w:r>
      <w:r w:rsidR="00A742D9">
        <w:rPr>
          <w:rFonts w:eastAsia="Aptos"/>
          <w:noProof/>
          <w:lang w:val="en-US"/>
        </w:rPr>
        <w:t xml:space="preserve"> review period to confirm the initial </w:t>
      </w:r>
      <w:r w:rsidR="00F61631">
        <w:rPr>
          <w:rFonts w:eastAsia="Aptos"/>
          <w:noProof/>
          <w:lang w:val="en-US"/>
        </w:rPr>
        <w:t xml:space="preserve">acceptance </w:t>
      </w:r>
      <w:r w:rsidR="00A742D9">
        <w:rPr>
          <w:rFonts w:eastAsia="Aptos"/>
          <w:noProof/>
          <w:lang w:val="en-US"/>
        </w:rPr>
        <w:t>conclusions</w:t>
      </w:r>
      <w:r w:rsidR="00E35EE3">
        <w:rPr>
          <w:rFonts w:eastAsia="Aptos"/>
          <w:noProof/>
          <w:lang w:val="en-US"/>
        </w:rPr>
        <w:t xml:space="preserve"> by the MS of the country of establishment</w:t>
      </w:r>
      <w:r w:rsidR="00E0190F">
        <w:rPr>
          <w:rFonts w:eastAsia="Aptos"/>
          <w:noProof/>
          <w:lang w:val="en-US"/>
        </w:rPr>
        <w:t>.</w:t>
      </w:r>
      <w:r w:rsidR="00E0190F" w:rsidRPr="00E0190F">
        <w:rPr>
          <w:rFonts w:eastAsia="Aptos"/>
          <w:noProof/>
          <w:lang w:val="en-US"/>
        </w:rPr>
        <w:t xml:space="preserve"> </w:t>
      </w:r>
      <w:r w:rsidR="00E0190F">
        <w:rPr>
          <w:rFonts w:eastAsia="Aptos"/>
          <w:noProof/>
          <w:lang w:val="en-US"/>
        </w:rPr>
        <w:t xml:space="preserve">During the period of review there is </w:t>
      </w:r>
      <w:r w:rsidR="00E0190F" w:rsidRPr="00D241A2">
        <w:rPr>
          <w:rFonts w:eastAsia="Aptos"/>
          <w:noProof/>
          <w:lang w:val="en-US"/>
        </w:rPr>
        <w:t xml:space="preserve">a recourse possibility for </w:t>
      </w:r>
      <w:r w:rsidR="00E0190F">
        <w:rPr>
          <w:rFonts w:eastAsia="Aptos"/>
          <w:noProof/>
          <w:lang w:val="en-US"/>
        </w:rPr>
        <w:t xml:space="preserve">the </w:t>
      </w:r>
      <w:r w:rsidR="00E0190F" w:rsidRPr="00D241A2">
        <w:rPr>
          <w:rFonts w:eastAsia="Aptos"/>
          <w:noProof/>
          <w:lang w:val="en-US"/>
        </w:rPr>
        <w:t xml:space="preserve">Member States. </w:t>
      </w:r>
      <w:r w:rsidR="00E0190F">
        <w:rPr>
          <w:rFonts w:eastAsia="Aptos"/>
          <w:noProof/>
          <w:lang w:val="en-US"/>
        </w:rPr>
        <w:t>If no reasoned objection has been submitted in the framed period</w:t>
      </w:r>
      <w:r w:rsidR="009F1707">
        <w:rPr>
          <w:rFonts w:eastAsia="Aptos"/>
          <w:noProof/>
          <w:lang w:val="en-US"/>
        </w:rPr>
        <w:t>,</w:t>
      </w:r>
      <w:r w:rsidR="00E0190F">
        <w:rPr>
          <w:rFonts w:eastAsia="Aptos"/>
          <w:noProof/>
          <w:lang w:val="en-US"/>
        </w:rPr>
        <w:t xml:space="preserve"> the validation of the audit report and audit opinion shall be considered accepted by all Member States and the service </w:t>
      </w:r>
      <w:r w:rsidR="009F1707">
        <w:rPr>
          <w:rFonts w:eastAsia="Aptos"/>
          <w:noProof/>
          <w:lang w:val="en-US"/>
        </w:rPr>
        <w:t xml:space="preserve"> shall be </w:t>
      </w:r>
      <w:r w:rsidR="00E0190F">
        <w:rPr>
          <w:rFonts w:eastAsia="Aptos"/>
          <w:noProof/>
          <w:lang w:val="en-US"/>
        </w:rPr>
        <w:t>recognized across the Union</w:t>
      </w:r>
      <w:r w:rsidR="009F1707" w:rsidRPr="009F1707">
        <w:rPr>
          <w:rFonts w:eastAsia="Aptos"/>
          <w:noProof/>
          <w:lang w:val="en-US"/>
        </w:rPr>
        <w:t xml:space="preserve"> </w:t>
      </w:r>
      <w:r w:rsidR="009F1707">
        <w:rPr>
          <w:rFonts w:eastAsia="Aptos"/>
          <w:noProof/>
          <w:lang w:val="en-US"/>
        </w:rPr>
        <w:t>as a service provider that can participate in public procurement procedures across the Union</w:t>
      </w:r>
      <w:r w:rsidR="00E0190F">
        <w:rPr>
          <w:rFonts w:eastAsia="Aptos"/>
          <w:noProof/>
          <w:lang w:val="en-US"/>
        </w:rPr>
        <w:t>.</w:t>
      </w:r>
      <w:r w:rsidR="005B2134">
        <w:rPr>
          <w:rFonts w:eastAsia="Aptos"/>
          <w:noProof/>
          <w:lang w:val="en-US"/>
        </w:rPr>
        <w:t xml:space="preserve"> On the other hand, if reasoned objections exist, the competent authority</w:t>
      </w:r>
      <w:r w:rsidR="00DA5727">
        <w:rPr>
          <w:rFonts w:eastAsia="Aptos"/>
          <w:noProof/>
          <w:lang w:val="en-US"/>
        </w:rPr>
        <w:t xml:space="preserve"> shall assess them and decide on the maintenance or revocation of their original decision.</w:t>
      </w:r>
      <w:r w:rsidR="0071564D">
        <w:rPr>
          <w:rFonts w:eastAsia="Aptos"/>
          <w:noProof/>
          <w:lang w:val="en-US"/>
        </w:rPr>
        <w:t xml:space="preserve"> In cases of continued objection, the Commission</w:t>
      </w:r>
      <w:r w:rsidR="00091BCE">
        <w:rPr>
          <w:rFonts w:eastAsia="Aptos"/>
          <w:noProof/>
          <w:lang w:val="en-US"/>
        </w:rPr>
        <w:t xml:space="preserve"> shall assess </w:t>
      </w:r>
      <w:r w:rsidR="008335A8">
        <w:rPr>
          <w:rFonts w:eastAsia="Aptos"/>
          <w:noProof/>
          <w:lang w:val="en-US"/>
        </w:rPr>
        <w:t>it</w:t>
      </w:r>
      <w:r w:rsidR="002F727F">
        <w:rPr>
          <w:rFonts w:eastAsia="Aptos"/>
          <w:noProof/>
          <w:lang w:val="en-US"/>
        </w:rPr>
        <w:t>.</w:t>
      </w:r>
      <w:r w:rsidR="006E2E6C">
        <w:rPr>
          <w:rFonts w:eastAsia="Aptos"/>
          <w:noProof/>
          <w:lang w:val="en-US"/>
        </w:rPr>
        <w:t xml:space="preserve"> This </w:t>
      </w:r>
      <w:r w:rsidR="00091BCE">
        <w:rPr>
          <w:rFonts w:eastAsia="Aptos"/>
          <w:noProof/>
          <w:lang w:val="en-US"/>
        </w:rPr>
        <w:t xml:space="preserve">may </w:t>
      </w:r>
      <w:r w:rsidR="006E2E6C">
        <w:rPr>
          <w:rFonts w:eastAsia="Aptos"/>
          <w:noProof/>
          <w:lang w:val="en-US"/>
        </w:rPr>
        <w:t xml:space="preserve">entail a </w:t>
      </w:r>
      <w:r w:rsidR="00091BCE">
        <w:rPr>
          <w:rFonts w:eastAsia="Aptos"/>
          <w:noProof/>
          <w:lang w:val="en-US"/>
        </w:rPr>
        <w:t xml:space="preserve">request </w:t>
      </w:r>
      <w:r w:rsidR="00034D7C">
        <w:rPr>
          <w:rFonts w:eastAsia="Aptos"/>
          <w:noProof/>
          <w:lang w:val="en-US"/>
        </w:rPr>
        <w:t xml:space="preserve">for </w:t>
      </w:r>
      <w:r w:rsidR="00091BCE">
        <w:rPr>
          <w:rFonts w:eastAsia="Aptos"/>
          <w:noProof/>
          <w:lang w:val="en-US"/>
        </w:rPr>
        <w:t xml:space="preserve">additional information </w:t>
      </w:r>
      <w:r w:rsidR="008335A8">
        <w:rPr>
          <w:rFonts w:eastAsia="Aptos"/>
          <w:noProof/>
          <w:lang w:val="en-US"/>
        </w:rPr>
        <w:t>from</w:t>
      </w:r>
      <w:r w:rsidR="00091BCE">
        <w:rPr>
          <w:rFonts w:eastAsia="Aptos"/>
          <w:noProof/>
          <w:lang w:val="en-US"/>
        </w:rPr>
        <w:t xml:space="preserve"> the competent authorities</w:t>
      </w:r>
      <w:r w:rsidR="006E2E6C">
        <w:rPr>
          <w:rFonts w:eastAsia="Aptos"/>
          <w:noProof/>
          <w:lang w:val="en-US"/>
        </w:rPr>
        <w:t xml:space="preserve">. </w:t>
      </w:r>
      <w:r w:rsidR="00034D7C">
        <w:rPr>
          <w:rFonts w:eastAsia="Aptos"/>
          <w:noProof/>
          <w:lang w:val="en-US"/>
        </w:rPr>
        <w:t>The Commis</w:t>
      </w:r>
      <w:r w:rsidR="002F727F">
        <w:rPr>
          <w:rFonts w:eastAsia="Aptos"/>
          <w:noProof/>
          <w:lang w:val="en-US"/>
        </w:rPr>
        <w:t>sion decision shall be binding.</w:t>
      </w:r>
    </w:p>
    <w:p w14:paraId="1F6D20B8" w14:textId="31F53E86" w:rsidR="00E0190F" w:rsidRDefault="009F1707" w:rsidP="00F54D4B">
      <w:pPr>
        <w:pStyle w:val="ListBullet"/>
        <w:numPr>
          <w:ilvl w:val="0"/>
          <w:numId w:val="169"/>
        </w:numPr>
        <w:rPr>
          <w:rFonts w:eastAsia="Aptos"/>
          <w:noProof/>
          <w:lang w:val="en-US"/>
        </w:rPr>
      </w:pPr>
      <w:r>
        <w:rPr>
          <w:rFonts w:eastAsia="Aptos"/>
          <w:noProof/>
          <w:lang w:val="en-US"/>
        </w:rPr>
        <w:t>In case the assessment yields a</w:t>
      </w:r>
      <w:r w:rsidR="00C75C29">
        <w:rPr>
          <w:rFonts w:eastAsia="Aptos"/>
          <w:noProof/>
          <w:lang w:val="en-US"/>
        </w:rPr>
        <w:t>n initial</w:t>
      </w:r>
      <w:r>
        <w:rPr>
          <w:rFonts w:eastAsia="Aptos"/>
          <w:noProof/>
          <w:lang w:val="en-US"/>
        </w:rPr>
        <w:t xml:space="preserve"> rejection</w:t>
      </w:r>
      <w:r w:rsidR="00C75C29">
        <w:rPr>
          <w:rFonts w:eastAsia="Aptos"/>
          <w:noProof/>
          <w:lang w:val="en-US"/>
        </w:rPr>
        <w:t xml:space="preserve">, the competent authority will contact the cloud provider </w:t>
      </w:r>
      <w:r w:rsidR="00A122C8">
        <w:rPr>
          <w:rFonts w:eastAsia="Aptos"/>
          <w:noProof/>
          <w:lang w:val="en-US"/>
        </w:rPr>
        <w:t>and give the opportunity</w:t>
      </w:r>
      <w:r w:rsidR="00A37C9C">
        <w:rPr>
          <w:rFonts w:eastAsia="Aptos"/>
          <w:noProof/>
          <w:lang w:val="en-US"/>
        </w:rPr>
        <w:t xml:space="preserve"> to</w:t>
      </w:r>
      <w:r w:rsidR="00A122C8">
        <w:rPr>
          <w:rFonts w:eastAsia="Aptos"/>
          <w:noProof/>
          <w:lang w:val="en-US"/>
        </w:rPr>
        <w:t xml:space="preserve"> the organization to</w:t>
      </w:r>
      <w:r w:rsidR="00A37C9C">
        <w:rPr>
          <w:rFonts w:eastAsia="Aptos"/>
          <w:noProof/>
          <w:lang w:val="en-US"/>
        </w:rPr>
        <w:t xml:space="preserve"> provide comments on the evaluation. The competent authority will take into consideration these comments.</w:t>
      </w:r>
    </w:p>
    <w:p w14:paraId="3FF2567B" w14:textId="040D95D1" w:rsidR="00A37C9C" w:rsidRDefault="00A37C9C" w:rsidP="00F54D4B">
      <w:pPr>
        <w:pStyle w:val="ListBullet"/>
        <w:numPr>
          <w:ilvl w:val="0"/>
          <w:numId w:val="169"/>
        </w:numPr>
        <w:rPr>
          <w:rFonts w:eastAsia="Aptos"/>
          <w:noProof/>
          <w:lang w:val="en-US"/>
        </w:rPr>
      </w:pPr>
      <w:r>
        <w:rPr>
          <w:rFonts w:eastAsia="Aptos"/>
          <w:noProof/>
          <w:lang w:val="en-US"/>
        </w:rPr>
        <w:t>In</w:t>
      </w:r>
      <w:r w:rsidR="0036514C">
        <w:rPr>
          <w:rFonts w:eastAsia="Aptos"/>
          <w:noProof/>
          <w:lang w:val="en-US"/>
        </w:rPr>
        <w:t xml:space="preserve"> the</w:t>
      </w:r>
      <w:r>
        <w:rPr>
          <w:rFonts w:eastAsia="Aptos"/>
          <w:noProof/>
          <w:lang w:val="en-US"/>
        </w:rPr>
        <w:t xml:space="preserve"> case where</w:t>
      </w:r>
      <w:r w:rsidR="0036514C">
        <w:rPr>
          <w:rFonts w:eastAsia="Aptos"/>
          <w:noProof/>
          <w:lang w:val="en-US"/>
        </w:rPr>
        <w:t xml:space="preserve"> the competent authority assesses that the submitted</w:t>
      </w:r>
      <w:r>
        <w:rPr>
          <w:rFonts w:eastAsia="Aptos"/>
          <w:noProof/>
          <w:lang w:val="en-US"/>
        </w:rPr>
        <w:t xml:space="preserve"> evidence is not sufficient, </w:t>
      </w:r>
      <w:r w:rsidR="002F727F">
        <w:rPr>
          <w:rFonts w:eastAsia="Aptos"/>
          <w:noProof/>
          <w:lang w:val="en-US"/>
        </w:rPr>
        <w:t xml:space="preserve">it </w:t>
      </w:r>
      <w:r>
        <w:rPr>
          <w:rFonts w:eastAsia="Aptos"/>
          <w:noProof/>
          <w:lang w:val="en-US"/>
        </w:rPr>
        <w:t xml:space="preserve">will request the cloud service provider additional </w:t>
      </w:r>
      <w:r w:rsidR="00034D7C">
        <w:rPr>
          <w:rFonts w:eastAsia="Aptos"/>
          <w:noProof/>
          <w:lang w:val="en-US"/>
        </w:rPr>
        <w:t>information</w:t>
      </w:r>
      <w:r w:rsidR="00404A90">
        <w:rPr>
          <w:rFonts w:eastAsia="Aptos"/>
          <w:noProof/>
          <w:lang w:val="en-US"/>
        </w:rPr>
        <w:t xml:space="preserve"> to be provided within a certain time limit</w:t>
      </w:r>
      <w:r w:rsidR="002F727F">
        <w:rPr>
          <w:rFonts w:eastAsia="Aptos"/>
          <w:noProof/>
          <w:lang w:val="en-US"/>
        </w:rPr>
        <w:t>, in order to be able to issue a decision.</w:t>
      </w:r>
    </w:p>
    <w:p w14:paraId="00ABCB96" w14:textId="77777777" w:rsidR="004350FA" w:rsidRDefault="004350FA" w:rsidP="004350FA">
      <w:pPr>
        <w:pStyle w:val="ListBullet"/>
        <w:numPr>
          <w:ilvl w:val="0"/>
          <w:numId w:val="0"/>
        </w:numPr>
        <w:spacing w:after="0"/>
        <w:rPr>
          <w:rFonts w:eastAsia="Aptos"/>
          <w:noProof/>
          <w:lang w:val="en-US"/>
        </w:rPr>
      </w:pPr>
    </w:p>
    <w:p w14:paraId="59ADF369" w14:textId="44D4E7CF" w:rsidR="004350FA" w:rsidRPr="00D241A2" w:rsidRDefault="004350FA" w:rsidP="004350FA">
      <w:pPr>
        <w:pStyle w:val="ListBullet"/>
        <w:numPr>
          <w:ilvl w:val="0"/>
          <w:numId w:val="0"/>
        </w:numPr>
        <w:spacing w:after="0"/>
        <w:rPr>
          <w:rFonts w:eastAsia="Aptos"/>
          <w:noProof/>
          <w:lang w:val="en-US"/>
        </w:rPr>
      </w:pPr>
      <w:r w:rsidRPr="00D241A2">
        <w:rPr>
          <w:rFonts w:eastAsia="Aptos"/>
          <w:noProof/>
          <w:lang w:val="en-US"/>
        </w:rPr>
        <w:t xml:space="preserve">The competent authorities </w:t>
      </w:r>
      <w:r>
        <w:rPr>
          <w:rFonts w:eastAsia="Aptos"/>
          <w:noProof/>
          <w:lang w:val="en-US"/>
        </w:rPr>
        <w:t>should</w:t>
      </w:r>
      <w:r w:rsidRPr="00D241A2">
        <w:rPr>
          <w:rFonts w:eastAsia="Aptos"/>
          <w:noProof/>
          <w:lang w:val="en-US"/>
        </w:rPr>
        <w:t xml:space="preserve"> </w:t>
      </w:r>
      <w:r>
        <w:rPr>
          <w:rFonts w:eastAsia="Aptos"/>
          <w:noProof/>
          <w:lang w:val="en-US"/>
        </w:rPr>
        <w:t xml:space="preserve">register the decision </w:t>
      </w:r>
      <w:r w:rsidRPr="00D241A2">
        <w:rPr>
          <w:rFonts w:eastAsia="Aptos"/>
          <w:noProof/>
          <w:lang w:val="en-US"/>
        </w:rPr>
        <w:t xml:space="preserve">in </w:t>
      </w:r>
      <w:r>
        <w:rPr>
          <w:rFonts w:eastAsia="Aptos"/>
          <w:noProof/>
          <w:lang w:val="en-US"/>
        </w:rPr>
        <w:t>a</w:t>
      </w:r>
      <w:r w:rsidRPr="00D241A2">
        <w:rPr>
          <w:rFonts w:eastAsia="Aptos"/>
          <w:noProof/>
          <w:lang w:val="en-US"/>
        </w:rPr>
        <w:t xml:space="preserve"> Union repository</w:t>
      </w:r>
      <w:r>
        <w:rPr>
          <w:rFonts w:eastAsia="Aptos"/>
          <w:noProof/>
          <w:lang w:val="en-US"/>
        </w:rPr>
        <w:t>, maintained by the Commission</w:t>
      </w:r>
      <w:r w:rsidRPr="00D241A2">
        <w:rPr>
          <w:rFonts w:eastAsia="Aptos"/>
          <w:noProof/>
          <w:lang w:val="en-US"/>
        </w:rPr>
        <w:t xml:space="preserve">. The repository of sovereign cloud and AI computing services will be a public list of </w:t>
      </w:r>
      <w:r>
        <w:rPr>
          <w:rFonts w:eastAsia="Aptos"/>
          <w:noProof/>
          <w:lang w:val="en-US"/>
        </w:rPr>
        <w:t>audited</w:t>
      </w:r>
      <w:r w:rsidRPr="00D241A2">
        <w:rPr>
          <w:rFonts w:eastAsia="Aptos"/>
          <w:noProof/>
          <w:lang w:val="en-US"/>
        </w:rPr>
        <w:t xml:space="preserve"> sovereign cloud and AI computing services that </w:t>
      </w:r>
      <w:r>
        <w:rPr>
          <w:rFonts w:eastAsia="Aptos"/>
          <w:noProof/>
          <w:lang w:val="en-US"/>
        </w:rPr>
        <w:t xml:space="preserve">verifiably </w:t>
      </w:r>
      <w:r w:rsidRPr="00D241A2">
        <w:rPr>
          <w:rFonts w:eastAsia="Aptos"/>
          <w:noProof/>
          <w:lang w:val="en-US"/>
        </w:rPr>
        <w:t>comply with the sovereignty requirements. The benefits are for providers and users alike</w:t>
      </w:r>
      <w:r>
        <w:rPr>
          <w:rFonts w:eastAsia="Aptos"/>
          <w:noProof/>
          <w:lang w:val="en-US"/>
        </w:rPr>
        <w:t xml:space="preserve">: </w:t>
      </w:r>
      <w:r w:rsidRPr="00D241A2">
        <w:rPr>
          <w:rFonts w:eastAsia="Aptos"/>
          <w:noProof/>
          <w:lang w:val="en-US"/>
        </w:rPr>
        <w:t xml:space="preserve">providers will enhance their visibility </w:t>
      </w:r>
      <w:r>
        <w:rPr>
          <w:rFonts w:eastAsia="Aptos"/>
          <w:noProof/>
          <w:lang w:val="en-US"/>
        </w:rPr>
        <w:t>and users their market research.</w:t>
      </w:r>
    </w:p>
    <w:p w14:paraId="015FECA6" w14:textId="77777777" w:rsidR="004350FA" w:rsidRDefault="004350FA" w:rsidP="004350FA">
      <w:pPr>
        <w:pStyle w:val="ListBullet"/>
        <w:numPr>
          <w:ilvl w:val="0"/>
          <w:numId w:val="0"/>
        </w:numPr>
        <w:spacing w:after="0"/>
        <w:rPr>
          <w:noProof/>
        </w:rPr>
      </w:pPr>
    </w:p>
    <w:p w14:paraId="580651A7" w14:textId="57BD9BED" w:rsidR="004350FA" w:rsidRDefault="004350FA" w:rsidP="004350FA">
      <w:pPr>
        <w:pStyle w:val="ListBullet"/>
        <w:numPr>
          <w:ilvl w:val="0"/>
          <w:numId w:val="0"/>
        </w:numPr>
        <w:spacing w:after="0"/>
        <w:rPr>
          <w:rFonts w:eastAsia="Aptos"/>
          <w:noProof/>
          <w:lang w:val="en-US"/>
        </w:rPr>
      </w:pPr>
      <w:r w:rsidRPr="00F01B44">
        <w:rPr>
          <w:noProof/>
        </w:rPr>
        <w:t>To cater for market evolutions, the</w:t>
      </w:r>
      <w:r>
        <w:rPr>
          <w:noProof/>
        </w:rPr>
        <w:t xml:space="preserve"> sovereignty</w:t>
      </w:r>
      <w:r w:rsidRPr="00F01B44">
        <w:rPr>
          <w:noProof/>
        </w:rPr>
        <w:t xml:space="preserve"> criteria</w:t>
      </w:r>
      <w:r>
        <w:rPr>
          <w:noProof/>
        </w:rPr>
        <w:t xml:space="preserve"> of all levels</w:t>
      </w:r>
      <w:r w:rsidRPr="00F01B44">
        <w:rPr>
          <w:noProof/>
        </w:rPr>
        <w:t xml:space="preserve"> and evaluation </w:t>
      </w:r>
      <w:r>
        <w:rPr>
          <w:noProof/>
        </w:rPr>
        <w:t>evidence proposed, but not limited to,</w:t>
      </w:r>
      <w:r w:rsidRPr="00F01B44">
        <w:rPr>
          <w:noProof/>
        </w:rPr>
        <w:t xml:space="preserve"> would be modifiable by comitology. This evaluation </w:t>
      </w:r>
      <w:r w:rsidR="00034D7C">
        <w:rPr>
          <w:noProof/>
        </w:rPr>
        <w:t>evidence</w:t>
      </w:r>
      <w:r w:rsidR="00034D7C" w:rsidRPr="00F01B44">
        <w:rPr>
          <w:noProof/>
        </w:rPr>
        <w:t xml:space="preserve"> </w:t>
      </w:r>
      <w:r w:rsidRPr="00F01B44">
        <w:rPr>
          <w:noProof/>
        </w:rPr>
        <w:t>would help</w:t>
      </w:r>
      <w:r w:rsidR="00034D7C">
        <w:rPr>
          <w:noProof/>
        </w:rPr>
        <w:t xml:space="preserve"> independent</w:t>
      </w:r>
      <w:r w:rsidRPr="00F01B44">
        <w:rPr>
          <w:noProof/>
        </w:rPr>
        <w:t xml:space="preserve"> third party auditors in their assessment of the service and ensure full harmonisation in the way different auditors conduct their assessment and for Member States to ensure that the procedures have been followed</w:t>
      </w:r>
      <w:r>
        <w:rPr>
          <w:noProof/>
        </w:rPr>
        <w:t>.</w:t>
      </w:r>
    </w:p>
    <w:p w14:paraId="41D113BA" w14:textId="77777777" w:rsidR="004350FA" w:rsidRDefault="004350FA" w:rsidP="008D1650">
      <w:pPr>
        <w:pStyle w:val="ListBullet"/>
        <w:numPr>
          <w:ilvl w:val="0"/>
          <w:numId w:val="0"/>
        </w:numPr>
        <w:rPr>
          <w:rFonts w:eastAsia="Aptos"/>
          <w:noProof/>
          <w:lang w:val="en-US"/>
        </w:rPr>
      </w:pPr>
    </w:p>
    <w:p w14:paraId="5F413CA8" w14:textId="245DA647" w:rsidR="00FA1121" w:rsidRPr="009551E6" w:rsidRDefault="00FA1121" w:rsidP="008D1650">
      <w:pPr>
        <w:pStyle w:val="ListBullet"/>
        <w:numPr>
          <w:ilvl w:val="0"/>
          <w:numId w:val="0"/>
        </w:numPr>
        <w:rPr>
          <w:rFonts w:eastAsia="Aptos"/>
          <w:noProof/>
          <w:lang w:val="en-US"/>
        </w:rPr>
      </w:pPr>
      <w:r w:rsidRPr="00D241A2">
        <w:rPr>
          <w:rFonts w:eastAsia="Aptos"/>
          <w:noProof/>
          <w:lang w:val="en-US"/>
        </w:rPr>
        <w:t xml:space="preserve">The assessment would be </w:t>
      </w:r>
      <w:r>
        <w:rPr>
          <w:rFonts w:eastAsia="Aptos"/>
          <w:noProof/>
          <w:lang w:val="en-US"/>
        </w:rPr>
        <w:t xml:space="preserve">periodically </w:t>
      </w:r>
      <w:r w:rsidRPr="00D241A2">
        <w:rPr>
          <w:rFonts w:eastAsia="Aptos"/>
          <w:noProof/>
          <w:lang w:val="en-US"/>
        </w:rPr>
        <w:t xml:space="preserve">renewable following the same evaluation methodology. </w:t>
      </w:r>
    </w:p>
    <w:p w14:paraId="3F070541" w14:textId="2817A41A" w:rsidR="00415F77" w:rsidRPr="00415F77" w:rsidRDefault="00415F77" w:rsidP="004E2F4F">
      <w:pPr>
        <w:pStyle w:val="ListBullet"/>
        <w:numPr>
          <w:ilvl w:val="0"/>
          <w:numId w:val="0"/>
        </w:numPr>
        <w:rPr>
          <w:rFonts w:eastAsia="Aptos"/>
          <w:noProof/>
          <w:lang w:val="en-US"/>
        </w:rPr>
      </w:pPr>
      <w:r w:rsidRPr="00415F77">
        <w:rPr>
          <w:rFonts w:eastAsia="Aptos"/>
          <w:noProof/>
          <w:lang w:val="en-US"/>
        </w:rPr>
        <w:t xml:space="preserve">Policy measure </w:t>
      </w:r>
      <w:r w:rsidR="00D5359D">
        <w:rPr>
          <w:rFonts w:eastAsia="Aptos"/>
          <w:noProof/>
          <w:lang w:val="en-US"/>
        </w:rPr>
        <w:t>21</w:t>
      </w:r>
      <w:r w:rsidRPr="00415F77">
        <w:rPr>
          <w:rFonts w:eastAsia="Aptos"/>
          <w:noProof/>
          <w:lang w:val="en-US"/>
        </w:rPr>
        <w:t xml:space="preserve"> implies that the Commission sets up and maintains a repository of the services audited against level 2-3-4</w:t>
      </w:r>
      <w:r w:rsidR="00720267">
        <w:rPr>
          <w:rFonts w:eastAsia="Aptos"/>
          <w:noProof/>
          <w:lang w:val="en-US"/>
        </w:rPr>
        <w:t xml:space="preserve">, and </w:t>
      </w:r>
      <w:r w:rsidR="00A35BAE">
        <w:rPr>
          <w:rFonts w:eastAsia="Aptos"/>
          <w:noProof/>
          <w:lang w:val="en-US"/>
        </w:rPr>
        <w:t xml:space="preserve">that </w:t>
      </w:r>
      <w:r w:rsidR="00A35BAE" w:rsidRPr="00415F77">
        <w:rPr>
          <w:rFonts w:eastAsia="Aptos"/>
          <w:noProof/>
          <w:lang w:val="en-US"/>
        </w:rPr>
        <w:t xml:space="preserve">public authorities </w:t>
      </w:r>
      <w:r w:rsidR="00A35BAE">
        <w:rPr>
          <w:rFonts w:eastAsia="Aptos"/>
          <w:noProof/>
          <w:lang w:val="en-US"/>
        </w:rPr>
        <w:t>assume</w:t>
      </w:r>
      <w:r w:rsidRPr="00415F77">
        <w:rPr>
          <w:rFonts w:eastAsia="Aptos"/>
          <w:noProof/>
          <w:lang w:val="en-US"/>
        </w:rPr>
        <w:t xml:space="preserve"> the actual transfer cost to change from a non-sovereign service to a sovereign service (cloud </w:t>
      </w:r>
      <w:r>
        <w:rPr>
          <w:rFonts w:eastAsia="Aptos"/>
          <w:noProof/>
          <w:lang w:val="en-US"/>
        </w:rPr>
        <w:t>porting</w:t>
      </w:r>
      <w:r w:rsidRPr="00415F77">
        <w:rPr>
          <w:rFonts w:eastAsia="Aptos"/>
          <w:noProof/>
          <w:lang w:val="en-US"/>
        </w:rPr>
        <w:t>).</w:t>
      </w:r>
    </w:p>
    <w:p w14:paraId="64C0F064" w14:textId="284375B2" w:rsidR="00FA1121" w:rsidRPr="008069E4" w:rsidRDefault="00FA1121" w:rsidP="004E2F4F">
      <w:pPr>
        <w:pStyle w:val="ListBullet"/>
        <w:numPr>
          <w:ilvl w:val="0"/>
          <w:numId w:val="0"/>
        </w:numPr>
        <w:rPr>
          <w:rFonts w:eastAsia="Aptos"/>
          <w:noProof/>
        </w:rPr>
      </w:pPr>
      <w:r>
        <w:rPr>
          <w:noProof/>
        </w:rPr>
        <w:t>This measure is primarily designed to contribute to the protection of public order by enhancing the resilience in the public sector, which is SO4. Nevertheless, European providers would face less costs and efforts to meet sovereignty conditions. When it comes to meeting the criteria to demonstrate sovereignty level 1 and 2, EU providers can more readily substantiate that they are not affected by third-country policies affecting data access or limiting service continuity. As well, level 3 and level 4 sovereignty can only be served by service providers owned and controlled by EU entities. This implies that PM15 will also contribute to decreasing the overall reliance on non-European cloud and AI computing services, which is SO3.</w:t>
      </w:r>
    </w:p>
    <w:p w14:paraId="58D313BA" w14:textId="471FACFB" w:rsidR="00FA1121" w:rsidRDefault="00FA1121" w:rsidP="004E2F4F">
      <w:pPr>
        <w:pStyle w:val="ListBullet"/>
        <w:numPr>
          <w:ilvl w:val="0"/>
          <w:numId w:val="0"/>
        </w:numPr>
        <w:spacing w:after="0"/>
        <w:rPr>
          <w:noProof/>
        </w:rPr>
      </w:pPr>
      <w:r w:rsidRPr="00434F21">
        <w:rPr>
          <w:b/>
          <w:bCs/>
          <w:noProof/>
        </w:rPr>
        <w:t>Second</w:t>
      </w:r>
      <w:r w:rsidRPr="008E66EB">
        <w:rPr>
          <w:noProof/>
        </w:rPr>
        <w:t>,</w:t>
      </w:r>
      <w:r>
        <w:rPr>
          <w:noProof/>
        </w:rPr>
        <w:t xml:space="preserve"> private sector essential entities listed under Annex I of NIS 2</w:t>
      </w:r>
      <w:r w:rsidR="000840CF">
        <w:rPr>
          <w:noProof/>
        </w:rPr>
        <w:t xml:space="preserve"> are encouraged </w:t>
      </w:r>
      <w:r>
        <w:rPr>
          <w:noProof/>
        </w:rPr>
        <w:t>to integrate into the cybersecurity risk assessment they already conduct, the assessment of the risks stemming from their use of cloud and AI computing services. This includes an analysis of the laws applicable to the computing service and the extraterritorial reach of such laws; the risks associated to the possible unauthorised third country government access to and transfer of data; the risks associated to service continuity and quality; the operational dependency and possible loss of autonomy.</w:t>
      </w:r>
    </w:p>
    <w:p w14:paraId="24CE4C30" w14:textId="77777777" w:rsidR="008A3942" w:rsidRPr="00D37004" w:rsidRDefault="008A3942" w:rsidP="004E2F4F">
      <w:pPr>
        <w:pStyle w:val="ListBullet"/>
        <w:numPr>
          <w:ilvl w:val="0"/>
          <w:numId w:val="0"/>
        </w:numPr>
        <w:spacing w:after="0"/>
        <w:ind w:left="283" w:hanging="283"/>
        <w:rPr>
          <w:noProof/>
        </w:rPr>
      </w:pPr>
    </w:p>
    <w:p w14:paraId="26540FBE" w14:textId="3717C5F8" w:rsidR="00C22C2C" w:rsidRPr="00851E37" w:rsidRDefault="00C22C2C" w:rsidP="00015693">
      <w:pPr>
        <w:rPr>
          <w:b/>
          <w:i/>
          <w:noProof/>
        </w:rPr>
      </w:pPr>
      <w:r w:rsidRPr="00851E37">
        <w:rPr>
          <w:b/>
          <w:i/>
          <w:noProof/>
        </w:rPr>
        <w:t>One-off adjustment costs for the European Commission</w:t>
      </w:r>
    </w:p>
    <w:p w14:paraId="383D9ED6" w14:textId="1516765A" w:rsidR="002031ED" w:rsidRPr="0007547C" w:rsidRDefault="00C22C2C" w:rsidP="002031ED">
      <w:pPr>
        <w:rPr>
          <w:noProof/>
          <w:lang w:val="en-US"/>
        </w:rPr>
      </w:pPr>
      <w:r w:rsidRPr="00851E37">
        <w:rPr>
          <w:i/>
          <w:noProof/>
        </w:rPr>
        <w:t xml:space="preserve">Setting up and maintaining the repository of </w:t>
      </w:r>
      <w:r w:rsidR="00202F36">
        <w:rPr>
          <w:i/>
          <w:iCs/>
          <w:noProof/>
        </w:rPr>
        <w:t>sovereign</w:t>
      </w:r>
      <w:r w:rsidRPr="00851E37">
        <w:rPr>
          <w:i/>
          <w:noProof/>
        </w:rPr>
        <w:t xml:space="preserve"> cloud and AI computing services under the sovereignty levels</w:t>
      </w:r>
      <w:r w:rsidR="00802C15">
        <w:rPr>
          <w:i/>
          <w:iCs/>
          <w:noProof/>
        </w:rPr>
        <w:t xml:space="preserve">. </w:t>
      </w:r>
      <w:r w:rsidR="002031ED" w:rsidRPr="0007547C">
        <w:rPr>
          <w:noProof/>
        </w:rPr>
        <w:t xml:space="preserve">These costs include the drafting of the tender specifications for an external provider to build, develop and maintain the repository plus additional time for the evaluation and the definition of their governance procedures. This has been estimated </w:t>
      </w:r>
      <w:r w:rsidR="002031ED">
        <w:rPr>
          <w:noProof/>
        </w:rPr>
        <w:t>to</w:t>
      </w:r>
      <w:r w:rsidR="002031ED" w:rsidRPr="0007547C">
        <w:rPr>
          <w:noProof/>
        </w:rPr>
        <w:t xml:space="preserve"> 120 staff days. The repository will be developed by an external contractor with a contract value of </w:t>
      </w:r>
      <w:r w:rsidR="002031ED">
        <w:rPr>
          <w:noProof/>
        </w:rPr>
        <w:t xml:space="preserve">EUR </w:t>
      </w:r>
      <w:r w:rsidR="002031ED" w:rsidRPr="0007547C">
        <w:rPr>
          <w:noProof/>
        </w:rPr>
        <w:t>500</w:t>
      </w:r>
      <w:r w:rsidR="002031ED">
        <w:rPr>
          <w:noProof/>
        </w:rPr>
        <w:t xml:space="preserve"> </w:t>
      </w:r>
      <w:r w:rsidR="002031ED" w:rsidRPr="0007547C">
        <w:rPr>
          <w:noProof/>
        </w:rPr>
        <w:t>000.</w:t>
      </w:r>
      <w:r w:rsidR="002031ED" w:rsidRPr="0007547C">
        <w:rPr>
          <w:noProof/>
          <w:lang w:val="en-US"/>
        </w:rPr>
        <w:t> </w:t>
      </w:r>
    </w:p>
    <w:p w14:paraId="2F034166" w14:textId="77777777" w:rsidR="002031ED" w:rsidRDefault="002031ED" w:rsidP="002031ED">
      <w:pPr>
        <w:jc w:val="center"/>
        <w:rPr>
          <w:i/>
          <w:iCs/>
          <w:noProof/>
          <w:lang w:val="en-US"/>
        </w:rPr>
      </w:pPr>
      <w:r w:rsidRPr="007E2AB2">
        <w:rPr>
          <w:i/>
          <w:iCs/>
          <w:noProof/>
          <w:lang w:val="en-US"/>
        </w:rPr>
        <w:t xml:space="preserve">One-off adjustment costs (EC) = </w:t>
      </w:r>
      <w:r>
        <w:rPr>
          <w:i/>
          <w:iCs/>
          <w:noProof/>
          <w:lang w:val="en-US"/>
        </w:rPr>
        <w:t>(</w:t>
      </w:r>
      <w:r w:rsidRPr="007E2AB2">
        <w:rPr>
          <w:i/>
          <w:iCs/>
          <w:noProof/>
          <w:lang w:val="en-US"/>
        </w:rPr>
        <w:t>time to draft tender specifications for the repository</w:t>
      </w:r>
      <w:r>
        <w:rPr>
          <w:i/>
          <w:iCs/>
          <w:noProof/>
          <w:lang w:val="en-US"/>
        </w:rPr>
        <w:t>)</w:t>
      </w:r>
      <w:r w:rsidRPr="007E2AB2">
        <w:rPr>
          <w:i/>
          <w:iCs/>
          <w:noProof/>
          <w:lang w:val="en-US"/>
        </w:rPr>
        <w:t xml:space="preserve"> * </w:t>
      </w:r>
      <w:r>
        <w:rPr>
          <w:i/>
          <w:iCs/>
          <w:noProof/>
          <w:lang w:val="en-US"/>
        </w:rPr>
        <w:t xml:space="preserve">labour costs </w:t>
      </w:r>
      <w:r w:rsidRPr="007E2AB2">
        <w:rPr>
          <w:i/>
          <w:iCs/>
          <w:noProof/>
          <w:lang w:val="en-US"/>
        </w:rPr>
        <w:t>+ external contract to develop the repository</w:t>
      </w:r>
    </w:p>
    <w:p w14:paraId="25368606" w14:textId="459A6A15" w:rsidR="00D04280" w:rsidRPr="0058383F" w:rsidRDefault="002031ED" w:rsidP="0058383F">
      <w:pPr>
        <w:rPr>
          <w:noProof/>
        </w:rPr>
      </w:pPr>
      <w:r w:rsidRPr="00561BCA">
        <w:rPr>
          <w:i/>
          <w:iCs/>
          <w:noProof/>
        </w:rPr>
        <w:t>Guidelines for MS to perform the sovereignty risk assessments</w:t>
      </w:r>
      <w:r w:rsidR="00802C15">
        <w:rPr>
          <w:i/>
          <w:iCs/>
          <w:noProof/>
        </w:rPr>
        <w:t xml:space="preserve">. </w:t>
      </w:r>
      <w:r w:rsidR="00D41C32">
        <w:rPr>
          <w:noProof/>
        </w:rPr>
        <w:t>In order to support Member States in the implementation of their sovereignty risk assessments, the Commission will publish guidelines. These guidelines would include the process to carry out the risk assessment, the criteria that would allow them to ident</w:t>
      </w:r>
      <w:r w:rsidR="002F5A54">
        <w:rPr>
          <w:noProof/>
        </w:rPr>
        <w:t xml:space="preserve">ify the scope, for instance by means of use cases and / or applications, the data </w:t>
      </w:r>
      <w:r w:rsidR="00527A00">
        <w:rPr>
          <w:noProof/>
        </w:rPr>
        <w:t xml:space="preserve">classification process, where the market surveillance </w:t>
      </w:r>
      <w:r w:rsidR="00A42851">
        <w:rPr>
          <w:noProof/>
        </w:rPr>
        <w:t>or information on sovereign services can be found</w:t>
      </w:r>
      <w:r w:rsidR="00D04280">
        <w:rPr>
          <w:noProof/>
        </w:rPr>
        <w:t>. The estimated effort for the development and publication of these guidelines is 2 FTEs over 1 year.</w:t>
      </w:r>
    </w:p>
    <w:p w14:paraId="2FD43E85" w14:textId="77777777" w:rsidR="00D94676" w:rsidRPr="000B56D9" w:rsidRDefault="00D94676" w:rsidP="00D94676">
      <w:pPr>
        <w:spacing w:after="160"/>
        <w:rPr>
          <w:b/>
          <w:bCs/>
          <w:i/>
          <w:iCs/>
          <w:noProof/>
          <w:lang w:val="en-US"/>
        </w:rPr>
      </w:pPr>
      <w:r w:rsidRPr="000B56D9">
        <w:rPr>
          <w:b/>
          <w:bCs/>
          <w:i/>
          <w:iCs/>
          <w:noProof/>
          <w:lang w:val="en-US"/>
        </w:rPr>
        <w:t>Recurrent adjustment costs for the European Commission.</w:t>
      </w:r>
    </w:p>
    <w:p w14:paraId="2AF0AEBD" w14:textId="3E858125" w:rsidR="002031ED" w:rsidRPr="0007547C" w:rsidRDefault="002031ED" w:rsidP="002031ED">
      <w:pPr>
        <w:rPr>
          <w:noProof/>
          <w:lang w:val="en-US"/>
        </w:rPr>
      </w:pPr>
      <w:r>
        <w:rPr>
          <w:i/>
          <w:iCs/>
          <w:noProof/>
        </w:rPr>
        <w:t xml:space="preserve">Maintenance of the repository for </w:t>
      </w:r>
      <w:r w:rsidR="00202F36" w:rsidRPr="00202F36">
        <w:rPr>
          <w:i/>
          <w:iCs/>
          <w:noProof/>
        </w:rPr>
        <w:t>sovereign</w:t>
      </w:r>
      <w:r w:rsidRPr="000B56D9">
        <w:rPr>
          <w:noProof/>
        </w:rPr>
        <w:t xml:space="preserve"> </w:t>
      </w:r>
      <w:r>
        <w:rPr>
          <w:i/>
          <w:iCs/>
          <w:noProof/>
        </w:rPr>
        <w:t>services</w:t>
      </w:r>
      <w:r w:rsidR="007E7874">
        <w:rPr>
          <w:i/>
          <w:iCs/>
          <w:noProof/>
        </w:rPr>
        <w:t xml:space="preserve">. </w:t>
      </w:r>
      <w:r w:rsidRPr="0007547C">
        <w:rPr>
          <w:noProof/>
        </w:rPr>
        <w:t xml:space="preserve">Another important activity is related to the maintenance of the repository of </w:t>
      </w:r>
      <w:r w:rsidR="00F0602D">
        <w:rPr>
          <w:noProof/>
        </w:rPr>
        <w:t>audited services</w:t>
      </w:r>
      <w:r w:rsidR="00F0602D" w:rsidRPr="0007547C">
        <w:rPr>
          <w:noProof/>
        </w:rPr>
        <w:t xml:space="preserve"> </w:t>
      </w:r>
      <w:r w:rsidRPr="0007547C">
        <w:rPr>
          <w:noProof/>
        </w:rPr>
        <w:t>and adjacent activities, including:</w:t>
      </w:r>
      <w:r w:rsidRPr="0007547C">
        <w:rPr>
          <w:noProof/>
          <w:lang w:val="en-US"/>
        </w:rPr>
        <w:t> </w:t>
      </w:r>
    </w:p>
    <w:p w14:paraId="6E6C437A" w14:textId="6BA8EB91" w:rsidR="002031ED" w:rsidRPr="0007547C" w:rsidRDefault="002031ED" w:rsidP="002031ED">
      <w:pPr>
        <w:numPr>
          <w:ilvl w:val="0"/>
          <w:numId w:val="49"/>
        </w:numPr>
        <w:spacing w:after="160"/>
        <w:rPr>
          <w:noProof/>
          <w:lang w:val="en-US"/>
        </w:rPr>
      </w:pPr>
      <w:r w:rsidRPr="0007547C">
        <w:rPr>
          <w:noProof/>
        </w:rPr>
        <w:t>Yearly hosting costs of the repository, estimated to be of</w:t>
      </w:r>
      <w:r>
        <w:rPr>
          <w:noProof/>
        </w:rPr>
        <w:t xml:space="preserve"> EUR </w:t>
      </w:r>
      <w:r w:rsidRPr="0007547C">
        <w:rPr>
          <w:noProof/>
        </w:rPr>
        <w:t>200</w:t>
      </w:r>
      <w:r>
        <w:rPr>
          <w:noProof/>
        </w:rPr>
        <w:t xml:space="preserve"> </w:t>
      </w:r>
      <w:r w:rsidRPr="0007547C">
        <w:rPr>
          <w:noProof/>
        </w:rPr>
        <w:t>000</w:t>
      </w:r>
      <w:r w:rsidR="00675AAD">
        <w:rPr>
          <w:rStyle w:val="FootnoteReference"/>
          <w:noProof/>
        </w:rPr>
        <w:footnoteReference w:id="89"/>
      </w:r>
      <w:r w:rsidRPr="0007547C">
        <w:rPr>
          <w:noProof/>
        </w:rPr>
        <w:t>. The repository will be deployed on a sovereign cloud at the Commissions’ premisses and telemetry and FinOps procedures will be put in place to control expenses.</w:t>
      </w:r>
      <w:r w:rsidRPr="0007547C">
        <w:rPr>
          <w:noProof/>
          <w:lang w:val="en-US"/>
        </w:rPr>
        <w:t> </w:t>
      </w:r>
    </w:p>
    <w:p w14:paraId="4A658FB6" w14:textId="77777777" w:rsidR="002031ED" w:rsidRPr="0007547C" w:rsidRDefault="002031ED" w:rsidP="002031ED">
      <w:pPr>
        <w:numPr>
          <w:ilvl w:val="0"/>
          <w:numId w:val="49"/>
        </w:numPr>
        <w:spacing w:after="160"/>
        <w:rPr>
          <w:noProof/>
          <w:lang w:val="en-US"/>
        </w:rPr>
      </w:pPr>
      <w:r w:rsidRPr="0007547C">
        <w:rPr>
          <w:noProof/>
        </w:rPr>
        <w:t>Yearly maintenance of the repository, performed by an external contractor, includes the upgrades of the software libraries amidst identified vulnerabilities, correction of errors and bugs and additional features. The estimated effort assumed for this is 2 staff days on a weekly basis.</w:t>
      </w:r>
      <w:r w:rsidRPr="0007547C">
        <w:rPr>
          <w:noProof/>
          <w:lang w:val="en-US"/>
        </w:rPr>
        <w:t> </w:t>
      </w:r>
    </w:p>
    <w:p w14:paraId="354724A4" w14:textId="00935525" w:rsidR="002031ED" w:rsidRPr="0007547C" w:rsidRDefault="002031ED" w:rsidP="002031ED">
      <w:pPr>
        <w:numPr>
          <w:ilvl w:val="0"/>
          <w:numId w:val="49"/>
        </w:numPr>
        <w:spacing w:after="160"/>
        <w:rPr>
          <w:noProof/>
          <w:lang w:val="en-US"/>
        </w:rPr>
      </w:pPr>
      <w:r w:rsidRPr="0007547C">
        <w:rPr>
          <w:noProof/>
        </w:rPr>
        <w:t>Oversight of the repository, including the follow-up of the contractors’ activities, estimated in 2 staff days per month</w:t>
      </w:r>
      <w:r w:rsidR="008608EB">
        <w:rPr>
          <w:noProof/>
        </w:rPr>
        <w:t xml:space="preserve"> by the Commission staff</w:t>
      </w:r>
      <w:r w:rsidRPr="0007547C">
        <w:rPr>
          <w:noProof/>
        </w:rPr>
        <w:t>.</w:t>
      </w:r>
      <w:r w:rsidRPr="0007547C">
        <w:rPr>
          <w:noProof/>
          <w:lang w:val="en-US"/>
        </w:rPr>
        <w:t> </w:t>
      </w:r>
    </w:p>
    <w:p w14:paraId="3A55EE6F" w14:textId="675A2FC3" w:rsidR="002031ED" w:rsidRDefault="002031ED" w:rsidP="002031ED">
      <w:pPr>
        <w:spacing w:after="160"/>
        <w:jc w:val="center"/>
        <w:rPr>
          <w:i/>
          <w:iCs/>
          <w:noProof/>
          <w:lang w:val="en-US"/>
        </w:rPr>
      </w:pPr>
      <w:r w:rsidRPr="001D485D">
        <w:rPr>
          <w:i/>
          <w:noProof/>
          <w:lang w:val="en-US"/>
        </w:rPr>
        <w:t xml:space="preserve">Recurrent </w:t>
      </w:r>
      <w:r>
        <w:rPr>
          <w:i/>
          <w:noProof/>
          <w:lang w:val="en-US"/>
        </w:rPr>
        <w:t>administrative</w:t>
      </w:r>
      <w:r w:rsidRPr="001D485D">
        <w:rPr>
          <w:i/>
          <w:noProof/>
          <w:lang w:val="en-US"/>
        </w:rPr>
        <w:t xml:space="preserve"> costs (EC) = costs of the yearly hosting + external contract for the yearly maintenance of the repository + (number of days for the oversight of the repository * labour costs) </w:t>
      </w:r>
    </w:p>
    <w:p w14:paraId="74D48DA4" w14:textId="1CC88679" w:rsidR="004D321F" w:rsidRPr="000B56D9" w:rsidRDefault="004D321F" w:rsidP="004D3ABA">
      <w:pPr>
        <w:spacing w:after="160"/>
        <w:rPr>
          <w:noProof/>
          <w:lang w:val="en-US"/>
        </w:rPr>
      </w:pPr>
      <w:r w:rsidRPr="000B56D9">
        <w:rPr>
          <w:i/>
          <w:iCs/>
          <w:noProof/>
          <w:lang w:val="en-US"/>
        </w:rPr>
        <w:t xml:space="preserve">Market monitoring. </w:t>
      </w:r>
      <w:r w:rsidRPr="000B56D9">
        <w:rPr>
          <w:noProof/>
          <w:lang w:val="en-US"/>
        </w:rPr>
        <w:t xml:space="preserve">In order to assess the status of the cloud and AI computing services market, the Commission will run a </w:t>
      </w:r>
      <w:r w:rsidR="006A4A18" w:rsidRPr="000B56D9">
        <w:rPr>
          <w:noProof/>
          <w:lang w:val="en-US"/>
        </w:rPr>
        <w:t>study</w:t>
      </w:r>
      <w:r w:rsidR="006A4A18">
        <w:rPr>
          <w:noProof/>
          <w:lang w:val="en-US"/>
        </w:rPr>
        <w:t xml:space="preserve"> for the first three years after the adoption of CADA. </w:t>
      </w:r>
      <w:r w:rsidR="008D66F9">
        <w:rPr>
          <w:noProof/>
          <w:lang w:val="en-US"/>
        </w:rPr>
        <w:t xml:space="preserve">The goal is twofold. On one hand, it will </w:t>
      </w:r>
      <w:r w:rsidR="0027194F">
        <w:rPr>
          <w:noProof/>
          <w:lang w:val="en-US"/>
        </w:rPr>
        <w:t xml:space="preserve">provide input for the dependency analysis to be carried out and on the other, it will provide </w:t>
      </w:r>
      <w:r w:rsidR="001C0DE3">
        <w:rPr>
          <w:noProof/>
          <w:lang w:val="en-US"/>
        </w:rPr>
        <w:t>a deeper knowledge of the status and evolution of the cloud and AI computing services</w:t>
      </w:r>
      <w:r w:rsidR="00FA6EAB">
        <w:rPr>
          <w:noProof/>
          <w:lang w:val="en-US"/>
        </w:rPr>
        <w:t xml:space="preserve"> </w:t>
      </w:r>
      <w:r w:rsidR="00B913A8">
        <w:rPr>
          <w:noProof/>
          <w:lang w:val="en-US"/>
        </w:rPr>
        <w:t>to serve for the</w:t>
      </w:r>
      <w:r w:rsidR="00C211C4">
        <w:rPr>
          <w:noProof/>
          <w:lang w:val="en-US"/>
        </w:rPr>
        <w:t xml:space="preserve"> procurement of </w:t>
      </w:r>
      <w:r w:rsidR="004014C5">
        <w:rPr>
          <w:noProof/>
          <w:lang w:val="en-US"/>
        </w:rPr>
        <w:t xml:space="preserve">sovereign </w:t>
      </w:r>
      <w:r w:rsidR="00C211C4">
        <w:rPr>
          <w:noProof/>
          <w:lang w:val="en-US"/>
        </w:rPr>
        <w:t xml:space="preserve">cloud and AI services </w:t>
      </w:r>
      <w:r w:rsidR="004014C5">
        <w:rPr>
          <w:noProof/>
          <w:lang w:val="en-US"/>
        </w:rPr>
        <w:t>(see</w:t>
      </w:r>
      <w:r w:rsidR="00C05DEE">
        <w:rPr>
          <w:noProof/>
          <w:lang w:val="en-US"/>
        </w:rPr>
        <w:t xml:space="preserve"> PM19)</w:t>
      </w:r>
      <w:r w:rsidR="001C0DE3">
        <w:rPr>
          <w:noProof/>
          <w:lang w:val="en-US"/>
        </w:rPr>
        <w:t xml:space="preserve">. </w:t>
      </w:r>
      <w:r w:rsidR="000E44C0">
        <w:rPr>
          <w:noProof/>
          <w:lang w:val="en-US"/>
        </w:rPr>
        <w:t xml:space="preserve">The limited timespan of the study is due to the following rationale: </w:t>
      </w:r>
      <w:r w:rsidR="004D3ABA">
        <w:rPr>
          <w:noProof/>
          <w:lang w:val="en-US"/>
        </w:rPr>
        <w:t>while</w:t>
      </w:r>
      <w:r w:rsidR="006A4A18">
        <w:rPr>
          <w:noProof/>
          <w:lang w:val="en-US"/>
        </w:rPr>
        <w:t xml:space="preserve"> initially this will be of importance due to</w:t>
      </w:r>
      <w:r w:rsidR="008D66F9">
        <w:rPr>
          <w:noProof/>
          <w:lang w:val="en-US"/>
        </w:rPr>
        <w:t xml:space="preserve">, in some cases, low knowledge of existing offers, the repository and the catalogue of </w:t>
      </w:r>
      <w:r w:rsidR="009B24B4">
        <w:rPr>
          <w:noProof/>
          <w:lang w:val="en-US"/>
        </w:rPr>
        <w:t>sovereign</w:t>
      </w:r>
      <w:r w:rsidR="008D66F9">
        <w:rPr>
          <w:noProof/>
          <w:lang w:val="en-US"/>
        </w:rPr>
        <w:t xml:space="preserve"> services would allow for a wider and deeper </w:t>
      </w:r>
      <w:r w:rsidR="008D66F9" w:rsidRPr="000B56D9">
        <w:rPr>
          <w:noProof/>
          <w:lang w:val="en-US"/>
        </w:rPr>
        <w:t>knowledge of the market by the contracting authorities.</w:t>
      </w:r>
    </w:p>
    <w:p w14:paraId="3061F1BA" w14:textId="1A89D46C" w:rsidR="008D66F9" w:rsidRPr="00367310" w:rsidRDefault="008D66F9" w:rsidP="00367310">
      <w:pPr>
        <w:spacing w:after="160"/>
        <w:rPr>
          <w:noProof/>
          <w:lang w:val="en-US"/>
        </w:rPr>
      </w:pPr>
      <w:r w:rsidRPr="000B56D9">
        <w:rPr>
          <w:noProof/>
          <w:lang w:val="en-US"/>
        </w:rPr>
        <w:t>This</w:t>
      </w:r>
      <w:r w:rsidR="000E44C0" w:rsidRPr="000B56D9">
        <w:rPr>
          <w:noProof/>
          <w:lang w:val="en-US"/>
        </w:rPr>
        <w:t xml:space="preserve"> study is estimated to cost EUR 300 000 / year for three years.</w:t>
      </w:r>
    </w:p>
    <w:p w14:paraId="5EC7D5B1" w14:textId="1DD66662" w:rsidR="00CB4D21" w:rsidRDefault="00015693" w:rsidP="00015693">
      <w:pPr>
        <w:rPr>
          <w:noProof/>
        </w:rPr>
      </w:pPr>
      <w:r w:rsidRPr="0007547C">
        <w:rPr>
          <w:b/>
          <w:i/>
          <w:noProof/>
        </w:rPr>
        <w:t xml:space="preserve">One-off </w:t>
      </w:r>
      <w:r w:rsidR="00760EDA">
        <w:rPr>
          <w:b/>
          <w:i/>
          <w:noProof/>
        </w:rPr>
        <w:t>adjustment</w:t>
      </w:r>
      <w:r w:rsidR="00760EDA" w:rsidRPr="0007547C">
        <w:rPr>
          <w:b/>
          <w:i/>
          <w:noProof/>
        </w:rPr>
        <w:t xml:space="preserve"> </w:t>
      </w:r>
      <w:r w:rsidRPr="0007547C">
        <w:rPr>
          <w:b/>
          <w:i/>
          <w:noProof/>
        </w:rPr>
        <w:t xml:space="preserve">costs for </w:t>
      </w:r>
      <w:r w:rsidR="00C41AF2">
        <w:rPr>
          <w:b/>
          <w:i/>
          <w:noProof/>
        </w:rPr>
        <w:t>national public authorities</w:t>
      </w:r>
      <w:r w:rsidRPr="0007547C">
        <w:rPr>
          <w:i/>
          <w:noProof/>
        </w:rPr>
        <w:t>.</w:t>
      </w:r>
      <w:r w:rsidRPr="0007547C">
        <w:rPr>
          <w:noProof/>
        </w:rPr>
        <w:t xml:space="preserve"> </w:t>
      </w:r>
    </w:p>
    <w:p w14:paraId="5902F0C4" w14:textId="5175CFEC" w:rsidR="00CB4D21" w:rsidRDefault="00585FCF" w:rsidP="00015693">
      <w:pPr>
        <w:rPr>
          <w:noProof/>
        </w:rPr>
      </w:pPr>
      <w:r w:rsidRPr="00367310">
        <w:rPr>
          <w:i/>
          <w:noProof/>
        </w:rPr>
        <w:t>Risk assessment</w:t>
      </w:r>
      <w:r w:rsidR="001F7CD6">
        <w:rPr>
          <w:i/>
          <w:iCs/>
          <w:noProof/>
        </w:rPr>
        <w:t>s</w:t>
      </w:r>
      <w:r w:rsidR="004D6B0C">
        <w:rPr>
          <w:i/>
          <w:iCs/>
          <w:noProof/>
        </w:rPr>
        <w:t xml:space="preserve">. </w:t>
      </w:r>
      <w:r w:rsidR="00BE3F5A">
        <w:rPr>
          <w:noProof/>
        </w:rPr>
        <w:t>National public authorities</w:t>
      </w:r>
      <w:r w:rsidR="008A5B02" w:rsidRPr="000B56D9">
        <w:rPr>
          <w:noProof/>
        </w:rPr>
        <w:t xml:space="preserve"> and regional or federal authorities in the case of decentralized Member States</w:t>
      </w:r>
      <w:r w:rsidR="00BE3F5A">
        <w:rPr>
          <w:noProof/>
        </w:rPr>
        <w:t xml:space="preserve"> </w:t>
      </w:r>
      <w:r w:rsidR="00174331">
        <w:rPr>
          <w:noProof/>
        </w:rPr>
        <w:t xml:space="preserve">are mandated to perform a sovereignty risk assessment, </w:t>
      </w:r>
      <w:r w:rsidR="007929F9">
        <w:rPr>
          <w:noProof/>
        </w:rPr>
        <w:t xml:space="preserve">with the aim of </w:t>
      </w:r>
      <w:r w:rsidR="00AF35E0">
        <w:rPr>
          <w:noProof/>
        </w:rPr>
        <w:t xml:space="preserve">mapping sovereignty assurance levels to </w:t>
      </w:r>
      <w:r w:rsidR="0096028F">
        <w:rPr>
          <w:noProof/>
        </w:rPr>
        <w:t xml:space="preserve">cloud and AI computing services used in the public sector, taking into consideration aspects such as sensitivity and criticality of the data processed, </w:t>
      </w:r>
      <w:r w:rsidR="00E22E42">
        <w:rPr>
          <w:noProof/>
        </w:rPr>
        <w:t xml:space="preserve">risk </w:t>
      </w:r>
      <w:r w:rsidR="00881206">
        <w:rPr>
          <w:noProof/>
        </w:rPr>
        <w:t>associated to the potential</w:t>
      </w:r>
      <w:r w:rsidR="00E22E42">
        <w:rPr>
          <w:noProof/>
        </w:rPr>
        <w:t xml:space="preserve"> unlawful access to data by third country legislation, </w:t>
      </w:r>
      <w:r w:rsidR="0066226B">
        <w:rPr>
          <w:noProof/>
        </w:rPr>
        <w:t>potential disruption of the services, the service type</w:t>
      </w:r>
      <w:r w:rsidR="001D2170">
        <w:rPr>
          <w:noProof/>
        </w:rPr>
        <w:t xml:space="preserve"> based on a taxonomy that the Commission will publish as part of their guidance,</w:t>
      </w:r>
      <w:r w:rsidR="008B059D">
        <w:rPr>
          <w:noProof/>
        </w:rPr>
        <w:t xml:space="preserve"> existence of cloud and AI computing services </w:t>
      </w:r>
      <w:r w:rsidR="009B24B4">
        <w:rPr>
          <w:noProof/>
        </w:rPr>
        <w:t xml:space="preserve">audited </w:t>
      </w:r>
      <w:r w:rsidR="00AF20D9">
        <w:rPr>
          <w:noProof/>
        </w:rPr>
        <w:t>under that sovereignty level, among others.</w:t>
      </w:r>
      <w:r w:rsidR="00306F75">
        <w:rPr>
          <w:noProof/>
        </w:rPr>
        <w:t xml:space="preserve"> </w:t>
      </w:r>
      <w:r w:rsidR="008A5B02" w:rsidRPr="000B56D9">
        <w:rPr>
          <w:noProof/>
        </w:rPr>
        <w:t>The estimated number of authorities is 267,</w:t>
      </w:r>
      <w:r w:rsidR="008A5B02">
        <w:rPr>
          <w:noProof/>
        </w:rPr>
        <w:t xml:space="preserve"> considering the NUTS-0 and NUTS-1 distribution.</w:t>
      </w:r>
    </w:p>
    <w:p w14:paraId="0FF33485" w14:textId="77777777" w:rsidR="004F717F" w:rsidRDefault="001D2170" w:rsidP="00015693">
      <w:pPr>
        <w:rPr>
          <w:noProof/>
        </w:rPr>
      </w:pPr>
      <w:r>
        <w:rPr>
          <w:noProof/>
        </w:rPr>
        <w:t>The output of this result assessment will be a classification of application</w:t>
      </w:r>
      <w:r w:rsidR="000D500F">
        <w:rPr>
          <w:noProof/>
        </w:rPr>
        <w:t>s</w:t>
      </w:r>
      <w:r>
        <w:rPr>
          <w:noProof/>
        </w:rPr>
        <w:t xml:space="preserve"> or use cases categories mapped to the minimum sovereignty assurance level </w:t>
      </w:r>
      <w:r w:rsidR="008B059D">
        <w:rPr>
          <w:noProof/>
        </w:rPr>
        <w:t>permitted</w:t>
      </w:r>
      <w:r>
        <w:rPr>
          <w:noProof/>
        </w:rPr>
        <w:t xml:space="preserve"> for the procurement </w:t>
      </w:r>
      <w:r w:rsidR="000D500F">
        <w:rPr>
          <w:noProof/>
        </w:rPr>
        <w:t>of cloud and AI services</w:t>
      </w:r>
      <w:r w:rsidR="00CD02B0">
        <w:rPr>
          <w:noProof/>
        </w:rPr>
        <w:t xml:space="preserve"> serving those cases. </w:t>
      </w:r>
    </w:p>
    <w:p w14:paraId="0B7DAB20" w14:textId="4A7375B8" w:rsidR="001D2170" w:rsidRDefault="00CD02B0" w:rsidP="00015693">
      <w:pPr>
        <w:rPr>
          <w:noProof/>
        </w:rPr>
      </w:pPr>
      <w:r>
        <w:rPr>
          <w:noProof/>
        </w:rPr>
        <w:t xml:space="preserve">An important element of the sovereignty </w:t>
      </w:r>
      <w:r w:rsidR="008A5B02">
        <w:rPr>
          <w:noProof/>
        </w:rPr>
        <w:t xml:space="preserve">risk </w:t>
      </w:r>
      <w:r>
        <w:rPr>
          <w:noProof/>
        </w:rPr>
        <w:t xml:space="preserve">assessment is that the existence of </w:t>
      </w:r>
      <w:r w:rsidR="009B24B4">
        <w:rPr>
          <w:noProof/>
        </w:rPr>
        <w:t>sovereign</w:t>
      </w:r>
      <w:r>
        <w:rPr>
          <w:noProof/>
        </w:rPr>
        <w:t xml:space="preserve"> commercial offers will be considered as part of the exercise</w:t>
      </w:r>
      <w:r w:rsidR="004138C1">
        <w:rPr>
          <w:noProof/>
        </w:rPr>
        <w:t xml:space="preserve">. This will allow </w:t>
      </w:r>
      <w:r w:rsidR="00B149AF">
        <w:rPr>
          <w:noProof/>
        </w:rPr>
        <w:t xml:space="preserve">to </w:t>
      </w:r>
      <w:r w:rsidR="000040C3">
        <w:rPr>
          <w:noProof/>
        </w:rPr>
        <w:t>not request offers that are not available in the market or that would cause disproportionate costs to the contracting authorities</w:t>
      </w:r>
      <w:r w:rsidR="006D2C26">
        <w:rPr>
          <w:noProof/>
        </w:rPr>
        <w:t xml:space="preserve"> as part of the procurement </w:t>
      </w:r>
      <w:r w:rsidR="00A9746D">
        <w:rPr>
          <w:noProof/>
        </w:rPr>
        <w:t>process</w:t>
      </w:r>
      <w:r w:rsidR="000040C3">
        <w:rPr>
          <w:noProof/>
        </w:rPr>
        <w:t>.</w:t>
      </w:r>
    </w:p>
    <w:p w14:paraId="542599F7" w14:textId="7FD58AB9" w:rsidR="006C7716" w:rsidRDefault="006C7716" w:rsidP="00015693">
      <w:pPr>
        <w:rPr>
          <w:noProof/>
        </w:rPr>
      </w:pPr>
      <w:r>
        <w:rPr>
          <w:noProof/>
        </w:rPr>
        <w:t xml:space="preserve">The estimated </w:t>
      </w:r>
      <w:r w:rsidR="008A5B02" w:rsidRPr="000B56D9">
        <w:rPr>
          <w:noProof/>
        </w:rPr>
        <w:t xml:space="preserve">effort </w:t>
      </w:r>
      <w:r>
        <w:rPr>
          <w:noProof/>
        </w:rPr>
        <w:t xml:space="preserve">for this </w:t>
      </w:r>
      <w:r w:rsidR="008A5B02" w:rsidRPr="000B56D9">
        <w:rPr>
          <w:noProof/>
        </w:rPr>
        <w:t xml:space="preserve">sovereignty </w:t>
      </w:r>
      <w:r>
        <w:rPr>
          <w:noProof/>
        </w:rPr>
        <w:t xml:space="preserve">risk assessment is of </w:t>
      </w:r>
      <w:r w:rsidRPr="000B56D9">
        <w:rPr>
          <w:noProof/>
        </w:rPr>
        <w:t>10</w:t>
      </w:r>
      <w:r>
        <w:rPr>
          <w:noProof/>
        </w:rPr>
        <w:t xml:space="preserve"> FTEs. </w:t>
      </w:r>
      <w:r w:rsidR="00C3140E">
        <w:rPr>
          <w:noProof/>
        </w:rPr>
        <w:t xml:space="preserve">This is a new activity for which there is </w:t>
      </w:r>
      <w:r w:rsidR="008A5B02" w:rsidRPr="000B56D9">
        <w:rPr>
          <w:noProof/>
        </w:rPr>
        <w:t xml:space="preserve">yet </w:t>
      </w:r>
      <w:r w:rsidR="00C3140E">
        <w:rPr>
          <w:noProof/>
        </w:rPr>
        <w:t xml:space="preserve">few expertise in the Member States. It is considered that in the initial </w:t>
      </w:r>
      <w:r w:rsidR="005A0ECC">
        <w:rPr>
          <w:noProof/>
        </w:rPr>
        <w:t>iteration, Member States will need to understand well the sectors, applications</w:t>
      </w:r>
      <w:r w:rsidR="0054556D">
        <w:rPr>
          <w:noProof/>
        </w:rPr>
        <w:t xml:space="preserve"> </w:t>
      </w:r>
      <w:r w:rsidR="005A0ECC">
        <w:rPr>
          <w:noProof/>
        </w:rPr>
        <w:t>and type of data</w:t>
      </w:r>
      <w:r w:rsidR="009E640C">
        <w:rPr>
          <w:noProof/>
        </w:rPr>
        <w:t>, among other aspects</w:t>
      </w:r>
      <w:r w:rsidR="008A5B02" w:rsidRPr="000B56D9">
        <w:rPr>
          <w:noProof/>
        </w:rPr>
        <w:t>,</w:t>
      </w:r>
      <w:r w:rsidR="0054556D">
        <w:rPr>
          <w:noProof/>
        </w:rPr>
        <w:t xml:space="preserve"> that will drive their risk appetite to request one sovereignty level or another. It is expected that initially this will be an activity encompassing various ministries and agencies and therefore</w:t>
      </w:r>
      <w:r w:rsidR="00F63022">
        <w:rPr>
          <w:noProof/>
        </w:rPr>
        <w:t xml:space="preserve"> an intensive collaboration is expected. The guidelines from the Commission, however, should alleviate this effort.</w:t>
      </w:r>
    </w:p>
    <w:p w14:paraId="608A4B96" w14:textId="22EEB4B5" w:rsidR="007C5D03" w:rsidRDefault="007C5D03" w:rsidP="00015693">
      <w:pPr>
        <w:rPr>
          <w:noProof/>
        </w:rPr>
      </w:pPr>
      <w:r>
        <w:rPr>
          <w:noProof/>
        </w:rPr>
        <w:t>Th</w:t>
      </w:r>
      <w:r w:rsidR="00B30E96">
        <w:rPr>
          <w:noProof/>
        </w:rPr>
        <w:t xml:space="preserve">e risk assessments will </w:t>
      </w:r>
      <w:r w:rsidR="00A20854" w:rsidRPr="000B56D9">
        <w:rPr>
          <w:noProof/>
        </w:rPr>
        <w:t>start</w:t>
      </w:r>
      <w:r w:rsidR="00B30E96">
        <w:rPr>
          <w:noProof/>
        </w:rPr>
        <w:t xml:space="preserve"> in 2029, once EUCS and the </w:t>
      </w:r>
      <w:r w:rsidR="009B24B4">
        <w:rPr>
          <w:noProof/>
        </w:rPr>
        <w:t>sovereignty</w:t>
      </w:r>
      <w:r w:rsidR="00B30E96">
        <w:rPr>
          <w:noProof/>
        </w:rPr>
        <w:t xml:space="preserve"> scheme </w:t>
      </w:r>
      <w:r w:rsidR="00E3405C">
        <w:rPr>
          <w:noProof/>
        </w:rPr>
        <w:t>are</w:t>
      </w:r>
      <w:r w:rsidR="00B30E96">
        <w:rPr>
          <w:noProof/>
        </w:rPr>
        <w:t xml:space="preserve"> in place.</w:t>
      </w:r>
    </w:p>
    <w:p w14:paraId="69A96B37" w14:textId="77777777" w:rsidR="00AC5A00" w:rsidRDefault="00AC5A00" w:rsidP="00AC5A00">
      <w:pPr>
        <w:rPr>
          <w:noProof/>
        </w:rPr>
      </w:pPr>
      <w:r w:rsidRPr="00B1699A">
        <w:rPr>
          <w:i/>
          <w:noProof/>
        </w:rPr>
        <w:t>Designation of the competent authority</w:t>
      </w:r>
      <w:r w:rsidRPr="000D2458">
        <w:rPr>
          <w:noProof/>
        </w:rPr>
        <w:t>, which has an estimated of 0.2 FTE per MS, which will be responsible</w:t>
      </w:r>
      <w:r>
        <w:rPr>
          <w:noProof/>
        </w:rPr>
        <w:t xml:space="preserve"> to</w:t>
      </w:r>
      <w:r w:rsidRPr="000D2458">
        <w:rPr>
          <w:noProof/>
        </w:rPr>
        <w:t xml:space="preserve"> verify the audit reports received from the providers</w:t>
      </w:r>
      <w:r w:rsidRPr="0054339C">
        <w:rPr>
          <w:noProof/>
        </w:rPr>
        <w:t xml:space="preserve"> </w:t>
      </w:r>
      <w:r>
        <w:rPr>
          <w:noProof/>
        </w:rPr>
        <w:t>that had their services audited at</w:t>
      </w:r>
      <w:r w:rsidRPr="0054339C">
        <w:rPr>
          <w:noProof/>
        </w:rPr>
        <w:t xml:space="preserve"> sovereign level 2</w:t>
      </w:r>
      <w:r>
        <w:rPr>
          <w:noProof/>
        </w:rPr>
        <w:t xml:space="preserve"> at least. </w:t>
      </w:r>
    </w:p>
    <w:p w14:paraId="3D570D4D" w14:textId="417C6903" w:rsidR="00C86E80" w:rsidRDefault="005E36FC" w:rsidP="000A65D9">
      <w:pPr>
        <w:rPr>
          <w:noProof/>
        </w:rPr>
      </w:pPr>
      <w:r>
        <w:rPr>
          <w:i/>
          <w:noProof/>
        </w:rPr>
        <w:t xml:space="preserve">Costs of migration </w:t>
      </w:r>
      <w:r w:rsidR="001A50B2" w:rsidRPr="00497DC5">
        <w:rPr>
          <w:i/>
          <w:noProof/>
        </w:rPr>
        <w:t>to</w:t>
      </w:r>
      <w:r>
        <w:rPr>
          <w:i/>
          <w:noProof/>
        </w:rPr>
        <w:t xml:space="preserve"> </w:t>
      </w:r>
      <w:r w:rsidR="000357F9" w:rsidRPr="00497DC5">
        <w:rPr>
          <w:i/>
          <w:noProof/>
        </w:rPr>
        <w:t>sovereign</w:t>
      </w:r>
      <w:r>
        <w:rPr>
          <w:i/>
          <w:noProof/>
        </w:rPr>
        <w:t xml:space="preserve"> </w:t>
      </w:r>
      <w:r w:rsidR="001A50B2" w:rsidRPr="00497DC5">
        <w:rPr>
          <w:i/>
          <w:noProof/>
        </w:rPr>
        <w:t xml:space="preserve">cloud </w:t>
      </w:r>
      <w:r w:rsidR="0044370B" w:rsidRPr="00497DC5">
        <w:rPr>
          <w:i/>
          <w:noProof/>
        </w:rPr>
        <w:t>by the public sector</w:t>
      </w:r>
      <w:r w:rsidR="004D6B0C" w:rsidRPr="00497DC5">
        <w:rPr>
          <w:i/>
          <w:noProof/>
        </w:rPr>
        <w:t>.</w:t>
      </w:r>
      <w:r w:rsidR="004D6B0C">
        <w:rPr>
          <w:i/>
          <w:iCs/>
          <w:noProof/>
        </w:rPr>
        <w:t xml:space="preserve"> </w:t>
      </w:r>
      <w:r w:rsidR="00105B00">
        <w:rPr>
          <w:noProof/>
        </w:rPr>
        <w:t>Detailed information is provided in Annex 12 on the methodology and calculation</w:t>
      </w:r>
      <w:r w:rsidR="003F319D">
        <w:rPr>
          <w:noProof/>
        </w:rPr>
        <w:t xml:space="preserve"> of the costs for the</w:t>
      </w:r>
      <w:r w:rsidR="00105B00">
        <w:rPr>
          <w:noProof/>
        </w:rPr>
        <w:t xml:space="preserve"> migration and porting of cloud applications to sovereign cloud services.</w:t>
      </w:r>
    </w:p>
    <w:p w14:paraId="00CCC61E" w14:textId="2FB67A7D" w:rsidR="00A2461E" w:rsidRDefault="00A2461E" w:rsidP="0073560A">
      <w:pPr>
        <w:rPr>
          <w:noProof/>
        </w:rPr>
      </w:pPr>
      <w:r>
        <w:rPr>
          <w:noProof/>
        </w:rPr>
        <w:t>Both the migration of the legacy-to-sovereign cloud and cloud-to-sovereign cloud applications will be performed in a</w:t>
      </w:r>
      <w:r w:rsidR="00384A83">
        <w:rPr>
          <w:noProof/>
        </w:rPr>
        <w:t xml:space="preserve"> linear distributed manner</w:t>
      </w:r>
      <w:r w:rsidR="00427A6E">
        <w:rPr>
          <w:noProof/>
        </w:rPr>
        <w:t xml:space="preserve"> in a time frame</w:t>
      </w:r>
      <w:r w:rsidR="00384A83">
        <w:rPr>
          <w:noProof/>
        </w:rPr>
        <w:t xml:space="preserve"> spanning 5 years</w:t>
      </w:r>
      <w:r w:rsidR="00D63A60">
        <w:rPr>
          <w:noProof/>
        </w:rPr>
        <w:t>, starting in 2029, once there is</w:t>
      </w:r>
      <w:r w:rsidR="00F447C3">
        <w:rPr>
          <w:noProof/>
        </w:rPr>
        <w:t xml:space="preserve"> a </w:t>
      </w:r>
      <w:r w:rsidR="00D63A60">
        <w:rPr>
          <w:noProof/>
        </w:rPr>
        <w:t>set</w:t>
      </w:r>
      <w:r w:rsidR="009641F0">
        <w:rPr>
          <w:noProof/>
        </w:rPr>
        <w:t xml:space="preserve"> of </w:t>
      </w:r>
      <w:r w:rsidR="009B24B4">
        <w:rPr>
          <w:noProof/>
        </w:rPr>
        <w:t xml:space="preserve">sovereign audited </w:t>
      </w:r>
      <w:r w:rsidR="00D63A60">
        <w:rPr>
          <w:noProof/>
        </w:rPr>
        <w:t>services</w:t>
      </w:r>
      <w:r w:rsidR="00F447C3">
        <w:rPr>
          <w:noProof/>
        </w:rPr>
        <w:t xml:space="preserve">. </w:t>
      </w:r>
    </w:p>
    <w:p w14:paraId="502ECBCC" w14:textId="5165201A" w:rsidR="007875EB" w:rsidRPr="007B1F34" w:rsidRDefault="007875EB" w:rsidP="007875EB">
      <w:pPr>
        <w:rPr>
          <w:noProof/>
        </w:rPr>
      </w:pPr>
      <w:r w:rsidRPr="007B1F34">
        <w:rPr>
          <w:noProof/>
        </w:rPr>
        <w:t xml:space="preserve">The average cost of porting a single application to a new cloud </w:t>
      </w:r>
      <w:r>
        <w:rPr>
          <w:noProof/>
        </w:rPr>
        <w:t>varies from</w:t>
      </w:r>
      <w:r w:rsidRPr="007B1F34">
        <w:rPr>
          <w:noProof/>
        </w:rPr>
        <w:t xml:space="preserve"> EUR 30 000 and EUR 600 000 depending on the size of the application, and not much on the type of cloud at origin or destination</w:t>
      </w:r>
      <w:r>
        <w:rPr>
          <w:noProof/>
        </w:rPr>
        <w:t>,</w:t>
      </w:r>
      <w:r w:rsidRPr="007B1F34">
        <w:rPr>
          <w:noProof/>
        </w:rPr>
        <w:t xml:space="preserve"> as they are </w:t>
      </w:r>
      <w:r>
        <w:rPr>
          <w:noProof/>
        </w:rPr>
        <w:t>mainly</w:t>
      </w:r>
      <w:r w:rsidRPr="007B1F34">
        <w:rPr>
          <w:noProof/>
        </w:rPr>
        <w:t xml:space="preserve"> based on human effort (400 to 8000 hours</w:t>
      </w:r>
      <w:r>
        <w:rPr>
          <w:noProof/>
        </w:rPr>
        <w:t xml:space="preserve"> of work</w:t>
      </w:r>
      <w:r w:rsidRPr="007B1F34">
        <w:rPr>
          <w:noProof/>
        </w:rPr>
        <w:t>).</w:t>
      </w:r>
      <w:r w:rsidR="00E30AB7">
        <w:rPr>
          <w:noProof/>
        </w:rPr>
        <w:t xml:space="preserve"> See Annex 12 for a</w:t>
      </w:r>
      <w:r w:rsidR="00C35626">
        <w:rPr>
          <w:noProof/>
        </w:rPr>
        <w:t>n</w:t>
      </w:r>
      <w:r w:rsidR="00E30AB7">
        <w:rPr>
          <w:noProof/>
        </w:rPr>
        <w:t xml:space="preserve"> explanation of these figures.</w:t>
      </w:r>
    </w:p>
    <w:p w14:paraId="5B295903" w14:textId="0D9E52BA" w:rsidR="00C35626" w:rsidRDefault="007875EB" w:rsidP="00C35626">
      <w:pPr>
        <w:rPr>
          <w:rFonts w:eastAsia="Times New Roman"/>
          <w:noProof/>
        </w:rPr>
      </w:pPr>
      <w:r w:rsidRPr="00627E10">
        <w:rPr>
          <w:noProof/>
        </w:rPr>
        <w:t xml:space="preserve">These costs </w:t>
      </w:r>
      <w:r w:rsidR="007D07DC">
        <w:rPr>
          <w:noProof/>
        </w:rPr>
        <w:t xml:space="preserve">are </w:t>
      </w:r>
      <w:r w:rsidR="007D07DC" w:rsidRPr="00627E10">
        <w:rPr>
          <w:noProof/>
        </w:rPr>
        <w:t>illustrated with the real use cases in Section 6.1.2 of the main text</w:t>
      </w:r>
      <w:r w:rsidR="007D07DC">
        <w:rPr>
          <w:noProof/>
        </w:rPr>
        <w:t xml:space="preserve"> but</w:t>
      </w:r>
      <w:r w:rsidR="007D07DC" w:rsidRPr="00627E10">
        <w:rPr>
          <w:noProof/>
        </w:rPr>
        <w:t xml:space="preserve"> </w:t>
      </w:r>
      <w:r w:rsidRPr="00627E10">
        <w:rPr>
          <w:noProof/>
        </w:rPr>
        <w:t>have not been quantified in the cost-benefit analysis, although they are described in detail</w:t>
      </w:r>
      <w:r w:rsidR="007D07DC">
        <w:rPr>
          <w:noProof/>
        </w:rPr>
        <w:t xml:space="preserve"> in Annex 12.</w:t>
      </w:r>
      <w:r w:rsidR="00C35626" w:rsidRPr="00C35626">
        <w:rPr>
          <w:noProof/>
        </w:rPr>
        <w:t xml:space="preserve"> </w:t>
      </w:r>
      <w:r w:rsidR="00C35626">
        <w:rPr>
          <w:rFonts w:eastAsia="Times New Roman"/>
          <w:noProof/>
        </w:rPr>
        <w:t xml:space="preserve">Since they represent planned expenditure that would be incurred in the future as part of the regular cloud contract renewal cycles and independent of the present policy measure, they have been </w:t>
      </w:r>
      <w:r w:rsidR="00EC02FE">
        <w:rPr>
          <w:rFonts w:eastAsia="Times New Roman"/>
          <w:noProof/>
        </w:rPr>
        <w:t>considered</w:t>
      </w:r>
      <w:r w:rsidR="00C35626">
        <w:rPr>
          <w:rFonts w:eastAsia="Times New Roman"/>
          <w:noProof/>
        </w:rPr>
        <w:t xml:space="preserve"> outside of </w:t>
      </w:r>
      <w:r w:rsidR="00943E4F">
        <w:rPr>
          <w:rFonts w:eastAsia="Times New Roman"/>
          <w:noProof/>
        </w:rPr>
        <w:t>the cost-benefit</w:t>
      </w:r>
      <w:r w:rsidR="00C35626">
        <w:rPr>
          <w:rFonts w:eastAsia="Times New Roman"/>
          <w:noProof/>
        </w:rPr>
        <w:t xml:space="preserve"> so as not to conflate structural renewal costs with the incremental financial impact of the measure itself. </w:t>
      </w:r>
    </w:p>
    <w:p w14:paraId="33B3CBC9" w14:textId="77777777" w:rsidR="008900B5" w:rsidRDefault="008900B5" w:rsidP="00A714BC">
      <w:pPr>
        <w:rPr>
          <w:b/>
          <w:bCs/>
          <w:noProof/>
        </w:rPr>
      </w:pPr>
      <w:r w:rsidRPr="00F97A97">
        <w:rPr>
          <w:b/>
          <w:bCs/>
          <w:i/>
          <w:iCs/>
          <w:noProof/>
        </w:rPr>
        <w:t>Recurrent administrative costs for national public authorities</w:t>
      </w:r>
      <w:r w:rsidRPr="00F97A97">
        <w:rPr>
          <w:b/>
          <w:bCs/>
          <w:noProof/>
        </w:rPr>
        <w:t xml:space="preserve">. </w:t>
      </w:r>
    </w:p>
    <w:p w14:paraId="51AE2C8E" w14:textId="020FD039" w:rsidR="00A714BC" w:rsidRDefault="00645A2D" w:rsidP="00A714BC">
      <w:pPr>
        <w:rPr>
          <w:noProof/>
        </w:rPr>
      </w:pPr>
      <w:r>
        <w:rPr>
          <w:i/>
          <w:iCs/>
          <w:noProof/>
        </w:rPr>
        <w:t>Sovereignty r</w:t>
      </w:r>
      <w:r w:rsidR="00A714BC" w:rsidRPr="003053D2">
        <w:rPr>
          <w:i/>
          <w:noProof/>
        </w:rPr>
        <w:t>isk assessment</w:t>
      </w:r>
      <w:r>
        <w:rPr>
          <w:i/>
          <w:iCs/>
          <w:noProof/>
        </w:rPr>
        <w:t xml:space="preserve">. </w:t>
      </w:r>
      <w:r w:rsidR="00A714BC">
        <w:rPr>
          <w:noProof/>
        </w:rPr>
        <w:t xml:space="preserve">This risk assessment shall be renewed every </w:t>
      </w:r>
      <w:r w:rsidR="00A9746D" w:rsidRPr="0068177E">
        <w:rPr>
          <w:noProof/>
        </w:rPr>
        <w:t>4</w:t>
      </w:r>
      <w:r w:rsidR="00A714BC">
        <w:rPr>
          <w:noProof/>
        </w:rPr>
        <w:t xml:space="preserve"> years. The effort estimated for this reassessment of the sovereignty risks is estimated to be </w:t>
      </w:r>
      <w:r w:rsidR="00A9746D" w:rsidRPr="0068177E">
        <w:rPr>
          <w:noProof/>
        </w:rPr>
        <w:t>5</w:t>
      </w:r>
      <w:r w:rsidR="00A714BC" w:rsidRPr="0068177E">
        <w:rPr>
          <w:noProof/>
        </w:rPr>
        <w:t xml:space="preserve"> FTEs</w:t>
      </w:r>
      <w:r w:rsidR="00A714BC">
        <w:rPr>
          <w:noProof/>
        </w:rPr>
        <w:t xml:space="preserve">, </w:t>
      </w:r>
      <w:r w:rsidR="00A9746D">
        <w:rPr>
          <w:noProof/>
        </w:rPr>
        <w:t xml:space="preserve">a lower effort than </w:t>
      </w:r>
      <w:r w:rsidR="00D41C32">
        <w:rPr>
          <w:noProof/>
        </w:rPr>
        <w:t xml:space="preserve">implementing the risk assessment from scratch, </w:t>
      </w:r>
      <w:r w:rsidR="00A714BC">
        <w:rPr>
          <w:noProof/>
        </w:rPr>
        <w:t xml:space="preserve">given that the activity is already ramped up and the Member States </w:t>
      </w:r>
      <w:r w:rsidR="00D41C32">
        <w:rPr>
          <w:noProof/>
        </w:rPr>
        <w:t>would</w:t>
      </w:r>
      <w:r w:rsidR="00A714BC">
        <w:rPr>
          <w:noProof/>
        </w:rPr>
        <w:t xml:space="preserve"> already have a good understanding of their situation.</w:t>
      </w:r>
    </w:p>
    <w:p w14:paraId="3ECB02C7" w14:textId="4F1F04B7" w:rsidR="00F80519" w:rsidRDefault="005C5E84" w:rsidP="00F80519">
      <w:pPr>
        <w:rPr>
          <w:noProof/>
        </w:rPr>
      </w:pPr>
      <w:r w:rsidRPr="006D1901">
        <w:rPr>
          <w:i/>
          <w:noProof/>
        </w:rPr>
        <w:t>Revision of the audit reports</w:t>
      </w:r>
      <w:r w:rsidRPr="0068177E">
        <w:rPr>
          <w:noProof/>
        </w:rPr>
        <w:t xml:space="preserve"> by the competent authorities, </w:t>
      </w:r>
      <w:r w:rsidR="00F80519" w:rsidRPr="0068177E">
        <w:rPr>
          <w:noProof/>
        </w:rPr>
        <w:t>estimated at 5 days per service</w:t>
      </w:r>
      <w:r w:rsidR="00825C1A" w:rsidRPr="0068177E">
        <w:rPr>
          <w:noProof/>
        </w:rPr>
        <w:t xml:space="preserve"> </w:t>
      </w:r>
      <w:r w:rsidR="007E7885">
        <w:rPr>
          <w:noProof/>
        </w:rPr>
        <w:t>audited</w:t>
      </w:r>
      <w:r w:rsidR="00825C1A" w:rsidRPr="0068177E">
        <w:rPr>
          <w:noProof/>
        </w:rPr>
        <w:t xml:space="preserve"> at sovereign level 2-4</w:t>
      </w:r>
      <w:r w:rsidR="00F80519" w:rsidRPr="0068177E">
        <w:rPr>
          <w:noProof/>
        </w:rPr>
        <w:t>.</w:t>
      </w:r>
      <w:r>
        <w:rPr>
          <w:noProof/>
        </w:rPr>
        <w:t xml:space="preserve"> After verifying the audit report, opinion and evidence and consulting with the other competent authorities, the evaluating competent authority will adopt a decision that would allow a service provider to participate in public procurement activities. </w:t>
      </w:r>
    </w:p>
    <w:p w14:paraId="78C05F08" w14:textId="2F879553" w:rsidR="000C560B" w:rsidRDefault="00015693" w:rsidP="00015693">
      <w:pPr>
        <w:rPr>
          <w:bCs/>
          <w:iCs/>
          <w:noProof/>
        </w:rPr>
      </w:pPr>
      <w:r w:rsidRPr="00BC089C">
        <w:rPr>
          <w:b/>
          <w:i/>
          <w:noProof/>
        </w:rPr>
        <w:t xml:space="preserve">Recurrent savings </w:t>
      </w:r>
      <w:r w:rsidR="007770BB">
        <w:rPr>
          <w:b/>
          <w:i/>
          <w:noProof/>
        </w:rPr>
        <w:t>for</w:t>
      </w:r>
      <w:r w:rsidR="00C64112" w:rsidRPr="00BC089C">
        <w:rPr>
          <w:b/>
          <w:i/>
          <w:noProof/>
        </w:rPr>
        <w:t xml:space="preserve"> </w:t>
      </w:r>
      <w:r w:rsidR="00EA0233" w:rsidRPr="00BC089C">
        <w:rPr>
          <w:b/>
          <w:i/>
          <w:noProof/>
        </w:rPr>
        <w:t>national public authorities</w:t>
      </w:r>
      <w:r w:rsidR="00592BF3" w:rsidRPr="00BC089C">
        <w:rPr>
          <w:b/>
          <w:i/>
          <w:noProof/>
        </w:rPr>
        <w:t xml:space="preserve"> </w:t>
      </w:r>
    </w:p>
    <w:p w14:paraId="3EE886E5" w14:textId="0F796B82" w:rsidR="00176435" w:rsidRPr="00AD4903" w:rsidRDefault="00176435" w:rsidP="00176435">
      <w:pPr>
        <w:rPr>
          <w:bCs/>
          <w:iCs/>
          <w:noProof/>
        </w:rPr>
      </w:pPr>
      <w:r>
        <w:rPr>
          <w:i/>
          <w:noProof/>
        </w:rPr>
        <w:t xml:space="preserve">Running </w:t>
      </w:r>
      <w:r w:rsidRPr="009F3575">
        <w:rPr>
          <w:i/>
          <w:noProof/>
        </w:rPr>
        <w:t>applications on the cloud</w:t>
      </w:r>
      <w:r w:rsidRPr="0044146C">
        <w:rPr>
          <w:i/>
          <w:noProof/>
        </w:rPr>
        <w:t>.</w:t>
      </w:r>
      <w:r>
        <w:rPr>
          <w:noProof/>
        </w:rPr>
        <w:t xml:space="preserve"> Operating applications on the cloud, if performed well</w:t>
      </w:r>
      <w:r>
        <w:rPr>
          <w:bCs/>
          <w:iCs/>
          <w:noProof/>
        </w:rPr>
        <w:t>, with a continuous FinOps verifying that services</w:t>
      </w:r>
      <w:r>
        <w:rPr>
          <w:noProof/>
        </w:rPr>
        <w:t xml:space="preserve"> are not overprovisioned can lead to significant savings. Literature sources estimate that the total cost of ownership </w:t>
      </w:r>
      <w:r>
        <w:rPr>
          <w:bCs/>
          <w:iCs/>
          <w:noProof/>
        </w:rPr>
        <w:t xml:space="preserve">(TCO) </w:t>
      </w:r>
      <w:r>
        <w:rPr>
          <w:noProof/>
        </w:rPr>
        <w:t>savings can amount to 20-50% in the case of legacy-to-cloud migrations</w:t>
      </w:r>
      <w:r>
        <w:rPr>
          <w:rStyle w:val="FootnoteReference"/>
          <w:bCs/>
          <w:iCs/>
          <w:noProof/>
        </w:rPr>
        <w:footnoteReference w:id="90"/>
      </w:r>
      <w:r>
        <w:rPr>
          <w:bCs/>
          <w:iCs/>
          <w:noProof/>
        </w:rPr>
        <w:t>.</w:t>
      </w:r>
      <w:r>
        <w:rPr>
          <w:noProof/>
        </w:rPr>
        <w:t xml:space="preserve">  No savings are here accounted for in the operation of applications migrated from cloud-to-sovereign cloud, as the applications would have already been benefitting from the total cost of ownership savings. </w:t>
      </w:r>
    </w:p>
    <w:p w14:paraId="54FB6F37" w14:textId="6F6BE4F9" w:rsidR="00D82649" w:rsidRPr="008B3213" w:rsidRDefault="00176435" w:rsidP="00176435">
      <w:pPr>
        <w:rPr>
          <w:noProof/>
          <w:color w:val="000000" w:themeColor="text1"/>
        </w:rPr>
      </w:pPr>
      <w:r>
        <w:rPr>
          <w:i/>
          <w:noProof/>
          <w:color w:val="000000" w:themeColor="text1"/>
        </w:rPr>
        <w:t>Simpler p</w:t>
      </w:r>
      <w:r w:rsidRPr="00CC0600">
        <w:rPr>
          <w:i/>
          <w:noProof/>
          <w:color w:val="000000" w:themeColor="text1"/>
        </w:rPr>
        <w:t xml:space="preserve">ublic </w:t>
      </w:r>
      <w:r w:rsidR="000E2798" w:rsidRPr="00CC0600">
        <w:rPr>
          <w:i/>
          <w:noProof/>
          <w:color w:val="000000" w:themeColor="text1"/>
        </w:rPr>
        <w:t>procurement.</w:t>
      </w:r>
      <w:r w:rsidR="000E2798" w:rsidRPr="008B3213">
        <w:rPr>
          <w:noProof/>
          <w:color w:val="000000" w:themeColor="text1"/>
        </w:rPr>
        <w:t xml:space="preserve"> </w:t>
      </w:r>
      <w:r w:rsidRPr="008B3213">
        <w:rPr>
          <w:noProof/>
          <w:color w:val="000000" w:themeColor="text1"/>
        </w:rPr>
        <w:t xml:space="preserve">Savings in this respect stem from </w:t>
      </w:r>
      <w:r>
        <w:rPr>
          <w:noProof/>
          <w:color w:val="000000" w:themeColor="text1"/>
        </w:rPr>
        <w:t xml:space="preserve">the simplification of systematically using </w:t>
      </w:r>
      <w:r w:rsidRPr="008B3213">
        <w:rPr>
          <w:noProof/>
          <w:color w:val="000000" w:themeColor="text1"/>
        </w:rPr>
        <w:t>procur</w:t>
      </w:r>
      <w:r>
        <w:rPr>
          <w:noProof/>
          <w:color w:val="000000" w:themeColor="text1"/>
        </w:rPr>
        <w:t xml:space="preserve">ing audited services, which are part </w:t>
      </w:r>
      <w:r w:rsidRPr="008B3213">
        <w:rPr>
          <w:noProof/>
          <w:color w:val="000000" w:themeColor="text1"/>
        </w:rPr>
        <w:t xml:space="preserve">of the repository of sovereign cloud and AI computing services. </w:t>
      </w:r>
      <w:r>
        <w:rPr>
          <w:noProof/>
          <w:color w:val="000000" w:themeColor="text1"/>
        </w:rPr>
        <w:t>This</w:t>
      </w:r>
      <w:r w:rsidR="000E2798">
        <w:rPr>
          <w:noProof/>
          <w:color w:val="000000" w:themeColor="text1"/>
        </w:rPr>
        <w:t xml:space="preserve"> </w:t>
      </w:r>
      <w:r w:rsidR="000E2798" w:rsidRPr="008B3213">
        <w:rPr>
          <w:noProof/>
          <w:color w:val="000000" w:themeColor="text1"/>
        </w:rPr>
        <w:t xml:space="preserve">shall allow public administrations to save time in the verification of the documentation </w:t>
      </w:r>
      <w:r w:rsidRPr="008B3213">
        <w:rPr>
          <w:noProof/>
          <w:color w:val="000000" w:themeColor="text1"/>
        </w:rPr>
        <w:t>for</w:t>
      </w:r>
      <w:r w:rsidR="000E2798" w:rsidRPr="008B3213">
        <w:rPr>
          <w:noProof/>
          <w:color w:val="000000" w:themeColor="text1"/>
        </w:rPr>
        <w:t xml:space="preserve"> the evaluation of the offer. </w:t>
      </w:r>
      <w:r w:rsidRPr="008B3213">
        <w:rPr>
          <w:noProof/>
          <w:color w:val="000000" w:themeColor="text1"/>
        </w:rPr>
        <w:t>This will result in 2 staff days per bid, and assuming that there are 3.5 potential contractors presenting bids in each tender procedure.</w:t>
      </w:r>
      <w:r w:rsidRPr="008B3213">
        <w:rPr>
          <w:noProof/>
          <w:color w:val="000000" w:themeColor="text1"/>
          <w:lang w:val="en-US"/>
        </w:rPr>
        <w:t> </w:t>
      </w:r>
      <w:r w:rsidRPr="008B3213">
        <w:rPr>
          <w:noProof/>
          <w:color w:val="000000" w:themeColor="text1"/>
        </w:rPr>
        <w:t xml:space="preserve"> </w:t>
      </w:r>
    </w:p>
    <w:p w14:paraId="403141F0" w14:textId="0CE93EEE" w:rsidR="000E2798" w:rsidRDefault="000E2798" w:rsidP="000E2798">
      <w:pPr>
        <w:spacing w:after="160"/>
        <w:jc w:val="center"/>
        <w:rPr>
          <w:i/>
          <w:noProof/>
        </w:rPr>
      </w:pPr>
      <w:r w:rsidRPr="0007547C">
        <w:rPr>
          <w:i/>
          <w:noProof/>
        </w:rPr>
        <w:t xml:space="preserve">Recurrent savings = Average number of yearly service bids requiring </w:t>
      </w:r>
      <w:r w:rsidR="00D0571F">
        <w:rPr>
          <w:i/>
          <w:noProof/>
        </w:rPr>
        <w:t>sovereignty</w:t>
      </w:r>
      <w:r w:rsidR="0016163E">
        <w:rPr>
          <w:i/>
          <w:noProof/>
        </w:rPr>
        <w:t xml:space="preserve"> </w:t>
      </w:r>
      <w:r w:rsidR="0016163E">
        <w:rPr>
          <w:i/>
          <w:iCs/>
          <w:noProof/>
          <w:lang w:val="en-US"/>
        </w:rPr>
        <w:t xml:space="preserve">assurance level 2 – 4 </w:t>
      </w:r>
      <w:r w:rsidR="0016163E" w:rsidRPr="0007547C">
        <w:rPr>
          <w:i/>
          <w:noProof/>
        </w:rPr>
        <w:t xml:space="preserve"> </w:t>
      </w:r>
      <w:r w:rsidRPr="0007547C">
        <w:rPr>
          <w:i/>
          <w:noProof/>
        </w:rPr>
        <w:t>* staff costs savings per bid</w:t>
      </w:r>
    </w:p>
    <w:p w14:paraId="127D0742" w14:textId="7B27B7B1" w:rsidR="006B15D5" w:rsidRPr="009D7223" w:rsidRDefault="006B15D5" w:rsidP="007E0A21">
      <w:pPr>
        <w:spacing w:after="160"/>
        <w:rPr>
          <w:noProof/>
          <w:color w:val="000000" w:themeColor="text1"/>
        </w:rPr>
      </w:pPr>
      <w:r w:rsidRPr="009F3575">
        <w:rPr>
          <w:i/>
          <w:noProof/>
          <w:color w:val="000000" w:themeColor="text1"/>
        </w:rPr>
        <w:t>Sovereign services</w:t>
      </w:r>
      <w:r w:rsidRPr="009D7223">
        <w:rPr>
          <w:i/>
          <w:noProof/>
          <w:color w:val="000000" w:themeColor="text1"/>
        </w:rPr>
        <w:t xml:space="preserve">. </w:t>
      </w:r>
      <w:r w:rsidR="00D9040F" w:rsidRPr="009D7223">
        <w:rPr>
          <w:noProof/>
          <w:color w:val="000000" w:themeColor="text1"/>
        </w:rPr>
        <w:t xml:space="preserve">The savings </w:t>
      </w:r>
      <w:r w:rsidR="00B17EE2" w:rsidRPr="009D7223">
        <w:rPr>
          <w:noProof/>
          <w:color w:val="000000" w:themeColor="text1"/>
        </w:rPr>
        <w:t xml:space="preserve">from using sovereign services cannot be quantified due to the intangible nature of sovereignty and resilience. </w:t>
      </w:r>
    </w:p>
    <w:p w14:paraId="494FC480" w14:textId="77777777" w:rsidR="00A32E71" w:rsidRPr="00AD7314" w:rsidRDefault="00A32E71" w:rsidP="00A32E71">
      <w:pPr>
        <w:rPr>
          <w:b/>
          <w:i/>
          <w:noProof/>
        </w:rPr>
      </w:pPr>
      <w:r>
        <w:rPr>
          <w:b/>
          <w:i/>
          <w:noProof/>
        </w:rPr>
        <w:t>C</w:t>
      </w:r>
      <w:r w:rsidRPr="00AD7314">
        <w:rPr>
          <w:b/>
          <w:i/>
          <w:noProof/>
        </w:rPr>
        <w:t xml:space="preserve">osts for service providers to develop sovereign services </w:t>
      </w:r>
    </w:p>
    <w:p w14:paraId="5B6322B2" w14:textId="77777777" w:rsidR="002B79CB" w:rsidRDefault="00A32E71" w:rsidP="00A32E71">
      <w:pPr>
        <w:pStyle w:val="Reply"/>
        <w:spacing w:line="240" w:lineRule="auto"/>
        <w:rPr>
          <w:noProof/>
          <w:kern w:val="0"/>
          <w14:ligatures w14:val="none"/>
        </w:rPr>
      </w:pPr>
      <w:r w:rsidRPr="0025103C">
        <w:rPr>
          <w:noProof/>
          <w:kern w:val="0"/>
          <w14:ligatures w14:val="none"/>
        </w:rPr>
        <w:t>Assessing the cost and benefits for providers to provide sovereign services is a complex task that involves many parameters and differs greatly from provider to provider. As well, in the absence of an established market for sovereign services, data sources are rather anchored in providers’ business plans, not in ex post analysis of established businesses. Such data is confidential to companies, and the below considerations are based on targeted discussions with stakeholders that requested to remain anonymous. A first consideration is that the consulted companies unanimously indicated that</w:t>
      </w:r>
      <w:r>
        <w:rPr>
          <w:noProof/>
          <w:kern w:val="0"/>
          <w14:ligatures w14:val="none"/>
        </w:rPr>
        <w:t>, in developing the business plan for these new services,</w:t>
      </w:r>
      <w:r w:rsidRPr="0025103C">
        <w:rPr>
          <w:noProof/>
          <w:kern w:val="0"/>
          <w14:ligatures w14:val="none"/>
        </w:rPr>
        <w:t xml:space="preserve"> </w:t>
      </w:r>
      <w:r>
        <w:rPr>
          <w:noProof/>
          <w:kern w:val="0"/>
          <w14:ligatures w14:val="none"/>
        </w:rPr>
        <w:t xml:space="preserve">they count on new </w:t>
      </w:r>
      <w:r w:rsidRPr="0025103C">
        <w:rPr>
          <w:noProof/>
          <w:kern w:val="0"/>
          <w14:ligatures w14:val="none"/>
        </w:rPr>
        <w:t xml:space="preserve">large critical use cases </w:t>
      </w:r>
      <w:r>
        <w:rPr>
          <w:noProof/>
          <w:kern w:val="0"/>
          <w14:ligatures w14:val="none"/>
        </w:rPr>
        <w:t xml:space="preserve">that </w:t>
      </w:r>
      <w:r w:rsidRPr="0025103C">
        <w:rPr>
          <w:noProof/>
          <w:kern w:val="0"/>
          <w14:ligatures w14:val="none"/>
        </w:rPr>
        <w:t>are today not in the cloud</w:t>
      </w:r>
      <w:r>
        <w:rPr>
          <w:noProof/>
          <w:kern w:val="0"/>
          <w14:ligatures w14:val="none"/>
        </w:rPr>
        <w:t xml:space="preserve">; in other words, they see sovereign services to generate </w:t>
      </w:r>
      <w:r w:rsidRPr="0025103C">
        <w:rPr>
          <w:noProof/>
          <w:kern w:val="0"/>
          <w14:ligatures w14:val="none"/>
        </w:rPr>
        <w:t xml:space="preserve">a new source of income, </w:t>
      </w:r>
      <w:r>
        <w:rPr>
          <w:noProof/>
          <w:kern w:val="0"/>
          <w14:ligatures w14:val="none"/>
        </w:rPr>
        <w:t>but not to</w:t>
      </w:r>
      <w:r w:rsidRPr="0025103C">
        <w:rPr>
          <w:noProof/>
          <w:kern w:val="0"/>
          <w14:ligatures w14:val="none"/>
        </w:rPr>
        <w:t xml:space="preserve"> substitut</w:t>
      </w:r>
      <w:r>
        <w:rPr>
          <w:noProof/>
          <w:kern w:val="0"/>
          <w14:ligatures w14:val="none"/>
        </w:rPr>
        <w:t>e</w:t>
      </w:r>
      <w:r w:rsidRPr="0025103C">
        <w:rPr>
          <w:noProof/>
          <w:kern w:val="0"/>
          <w14:ligatures w14:val="none"/>
        </w:rPr>
        <w:t xml:space="preserve"> existing.</w:t>
      </w:r>
    </w:p>
    <w:p w14:paraId="1432445C" w14:textId="446E6D47" w:rsidR="00A32E71" w:rsidRDefault="00A32E71" w:rsidP="00A32E71">
      <w:pPr>
        <w:pStyle w:val="Reply"/>
        <w:spacing w:line="240" w:lineRule="auto"/>
        <w:rPr>
          <w:noProof/>
          <w:kern w:val="0"/>
          <w14:ligatures w14:val="none"/>
        </w:rPr>
      </w:pPr>
      <w:r>
        <w:rPr>
          <w:noProof/>
          <w:kern w:val="0"/>
          <w14:ligatures w14:val="none"/>
        </w:rPr>
        <w:t xml:space="preserve"> </w:t>
      </w:r>
    </w:p>
    <w:p w14:paraId="67753970" w14:textId="77777777" w:rsidR="00A32E71" w:rsidRDefault="00A32E71" w:rsidP="00A32E71">
      <w:pPr>
        <w:pStyle w:val="Reply"/>
        <w:spacing w:line="240" w:lineRule="auto"/>
        <w:rPr>
          <w:noProof/>
          <w:kern w:val="0"/>
        </w:rPr>
      </w:pPr>
      <w:r w:rsidRPr="0025103C">
        <w:rPr>
          <w:noProof/>
          <w:kern w:val="0"/>
          <w14:ligatures w14:val="none"/>
        </w:rPr>
        <w:t xml:space="preserve">Cost wise, new costs notably include the amortisation of all one-off adjustment costs such as the additional cost induced by using EU-located infrastructure, the additional compliance costs induced by the </w:t>
      </w:r>
      <w:r>
        <w:rPr>
          <w:noProof/>
          <w:kern w:val="0"/>
          <w14:ligatures w14:val="none"/>
        </w:rPr>
        <w:t>audits</w:t>
      </w:r>
      <w:r w:rsidRPr="0025103C">
        <w:rPr>
          <w:noProof/>
          <w:kern w:val="0"/>
          <w14:ligatures w14:val="none"/>
        </w:rPr>
        <w:t>, the additional costs of being certified under EUCS; and proper recurrent costs such as the higher salaries of employing EU workforce. As an illustration, speaking under the condition of anonymity for business secrecy reasons, one of the largest EU service providers of sovereign services speaks of an overall investment of EUR 1.5 bn</w:t>
      </w:r>
      <w:r>
        <w:rPr>
          <w:noProof/>
          <w:kern w:val="0"/>
          <w14:ligatures w14:val="none"/>
        </w:rPr>
        <w:t>, including hardware,</w:t>
      </w:r>
      <w:r w:rsidRPr="0025103C">
        <w:rPr>
          <w:noProof/>
          <w:kern w:val="0"/>
          <w14:ligatures w14:val="none"/>
        </w:rPr>
        <w:t xml:space="preserve"> for a broad range of IaaS and PaaS services</w:t>
      </w:r>
      <w:r>
        <w:rPr>
          <w:noProof/>
          <w:kern w:val="0"/>
          <w14:ligatures w14:val="none"/>
        </w:rPr>
        <w:t xml:space="preserve"> (</w:t>
      </w:r>
      <w:r w:rsidRPr="0025103C">
        <w:rPr>
          <w:noProof/>
          <w:kern w:val="0"/>
          <w14:ligatures w14:val="none"/>
        </w:rPr>
        <w:t>for an unspecified computing capacity</w:t>
      </w:r>
      <w:r>
        <w:rPr>
          <w:noProof/>
          <w:kern w:val="0"/>
          <w14:ligatures w14:val="none"/>
        </w:rPr>
        <w:t>)</w:t>
      </w:r>
      <w:r w:rsidRPr="0025103C">
        <w:rPr>
          <w:noProof/>
          <w:kern w:val="0"/>
          <w14:ligatures w14:val="none"/>
        </w:rPr>
        <w:t>.</w:t>
      </w:r>
      <w:r>
        <w:rPr>
          <w:noProof/>
          <w:kern w:val="0"/>
          <w14:ligatures w14:val="none"/>
        </w:rPr>
        <w:t xml:space="preserve"> </w:t>
      </w:r>
      <w:r>
        <w:rPr>
          <w:noProof/>
          <w:kern w:val="0"/>
        </w:rPr>
        <w:t>Conversely, another EU service provider with an established range of non-sovereign services speaks of an overall investment in the range of EUR 20-40 m to adjust existing hardware and software to the stricter norms that a sovereign service entails, with plans to invest progressively should the market develops.</w:t>
      </w:r>
    </w:p>
    <w:p w14:paraId="16D2EDE7" w14:textId="77777777" w:rsidR="002B79CB" w:rsidRDefault="002B79CB" w:rsidP="00A32E71">
      <w:pPr>
        <w:pStyle w:val="Reply"/>
        <w:spacing w:line="240" w:lineRule="auto"/>
        <w:rPr>
          <w:noProof/>
          <w:kern w:val="0"/>
        </w:rPr>
      </w:pPr>
    </w:p>
    <w:p w14:paraId="17296A7C" w14:textId="77777777" w:rsidR="00A32E71" w:rsidRDefault="00A32E71" w:rsidP="00A32E71">
      <w:pPr>
        <w:pStyle w:val="Reply"/>
        <w:spacing w:line="240" w:lineRule="auto"/>
        <w:rPr>
          <w:noProof/>
          <w:kern w:val="0"/>
          <w14:ligatures w14:val="none"/>
        </w:rPr>
      </w:pPr>
      <w:r>
        <w:rPr>
          <w:noProof/>
          <w:kern w:val="0"/>
        </w:rPr>
        <w:t>The benefits for service providers to develop sovereign services are covered under section 6.1.5.</w:t>
      </w:r>
    </w:p>
    <w:p w14:paraId="5B69960A" w14:textId="77777777" w:rsidR="002B79CB" w:rsidRDefault="002B79CB" w:rsidP="00A32E71">
      <w:pPr>
        <w:pStyle w:val="Reply"/>
        <w:spacing w:line="240" w:lineRule="auto"/>
        <w:rPr>
          <w:noProof/>
          <w:kern w:val="0"/>
          <w14:ligatures w14:val="none"/>
        </w:rPr>
      </w:pPr>
    </w:p>
    <w:p w14:paraId="2AE6E6FF" w14:textId="77777777" w:rsidR="00A32E71" w:rsidRDefault="00A32E71" w:rsidP="00A32E71">
      <w:pPr>
        <w:pStyle w:val="Reply"/>
        <w:spacing w:line="240" w:lineRule="auto"/>
        <w:rPr>
          <w:noProof/>
          <w:kern w:val="0"/>
          <w14:ligatures w14:val="none"/>
        </w:rPr>
      </w:pPr>
      <w:r w:rsidRPr="0025103C">
        <w:rPr>
          <w:noProof/>
          <w:kern w:val="0"/>
          <w14:ligatures w14:val="none"/>
        </w:rPr>
        <w:t xml:space="preserve">Benefit wise, </w:t>
      </w:r>
      <w:r>
        <w:rPr>
          <w:noProof/>
          <w:kern w:val="0"/>
          <w14:ligatures w14:val="none"/>
        </w:rPr>
        <w:t xml:space="preserve">cloudifying legacy on-premises services means new revenues. As to the move from traditional cloud to sovereign cloud, today’s </w:t>
      </w:r>
      <w:r w:rsidRPr="0025103C">
        <w:rPr>
          <w:noProof/>
          <w:kern w:val="0"/>
          <w14:ligatures w14:val="none"/>
        </w:rPr>
        <w:t xml:space="preserve">few available sovereign services come with a mark-up </w:t>
      </w:r>
      <w:r>
        <w:rPr>
          <w:noProof/>
          <w:kern w:val="0"/>
          <w14:ligatures w14:val="none"/>
        </w:rPr>
        <w:t>which is still too uncertain to draw conclusions (see discussion under Problem Driver 4 in 2.3.4)</w:t>
      </w:r>
      <w:r w:rsidRPr="0025103C">
        <w:rPr>
          <w:noProof/>
          <w:kern w:val="0"/>
          <w14:ligatures w14:val="none"/>
        </w:rPr>
        <w:t>. To this additional income, consulted EU service providers see also sovereign services as niche market where they have a demonstrable added value that could spill over to other market segments.</w:t>
      </w:r>
      <w:r>
        <w:rPr>
          <w:noProof/>
          <w:kern w:val="0"/>
          <w14:ligatures w14:val="none"/>
        </w:rPr>
        <w:t xml:space="preserve"> </w:t>
      </w:r>
      <w:r w:rsidRPr="0025103C">
        <w:rPr>
          <w:noProof/>
          <w:kern w:val="0"/>
          <w14:ligatures w14:val="none"/>
        </w:rPr>
        <w:t>The consulted companies unanimously indicated that it is too early to confirm whether, over the span of the next ten years, the incremental cost and benefits would reach the same balance (i.e. margins) as with equivalent non-sovereign services</w:t>
      </w:r>
      <w:r>
        <w:rPr>
          <w:noProof/>
          <w:kern w:val="0"/>
          <w14:ligatures w14:val="none"/>
        </w:rPr>
        <w:t>, which is today commonly assumed to be around</w:t>
      </w:r>
      <w:r w:rsidRPr="0025103C">
        <w:rPr>
          <w:noProof/>
          <w:kern w:val="0"/>
          <w14:ligatures w14:val="none"/>
        </w:rPr>
        <w:t xml:space="preserve"> 30%</w:t>
      </w:r>
      <w:r w:rsidRPr="0025103C">
        <w:rPr>
          <w:rStyle w:val="FootnoteReference"/>
          <w:noProof/>
          <w:kern w:val="0"/>
          <w14:ligatures w14:val="none"/>
        </w:rPr>
        <w:footnoteReference w:id="91"/>
      </w:r>
      <w:r w:rsidRPr="0025103C">
        <w:rPr>
          <w:noProof/>
          <w:kern w:val="0"/>
          <w14:ligatures w14:val="none"/>
        </w:rPr>
        <w:t>; to cater for th</w:t>
      </w:r>
      <w:r>
        <w:rPr>
          <w:noProof/>
          <w:kern w:val="0"/>
          <w14:ligatures w14:val="none"/>
        </w:rPr>
        <w:t>is</w:t>
      </w:r>
      <w:r w:rsidRPr="0025103C">
        <w:rPr>
          <w:noProof/>
          <w:kern w:val="0"/>
          <w14:ligatures w14:val="none"/>
        </w:rPr>
        <w:t xml:space="preserve"> uncertainty</w:t>
      </w:r>
      <w:r>
        <w:rPr>
          <w:noProof/>
          <w:kern w:val="0"/>
          <w14:ligatures w14:val="none"/>
        </w:rPr>
        <w:t xml:space="preserve">, this assessment assumes that </w:t>
      </w:r>
      <w:r w:rsidRPr="0025103C">
        <w:rPr>
          <w:noProof/>
          <w:kern w:val="0"/>
          <w14:ligatures w14:val="none"/>
        </w:rPr>
        <w:t>stakeholders</w:t>
      </w:r>
      <w:r>
        <w:rPr>
          <w:noProof/>
          <w:kern w:val="0"/>
          <w14:ligatures w14:val="none"/>
        </w:rPr>
        <w:t xml:space="preserve">’ </w:t>
      </w:r>
      <w:r w:rsidRPr="0025103C">
        <w:rPr>
          <w:noProof/>
          <w:kern w:val="0"/>
          <w14:ligatures w14:val="none"/>
        </w:rPr>
        <w:t>margin</w:t>
      </w:r>
      <w:r>
        <w:rPr>
          <w:noProof/>
          <w:kern w:val="0"/>
          <w14:ligatures w14:val="none"/>
        </w:rPr>
        <w:t>s</w:t>
      </w:r>
      <w:r w:rsidRPr="0025103C">
        <w:rPr>
          <w:noProof/>
          <w:kern w:val="0"/>
          <w14:ligatures w14:val="none"/>
        </w:rPr>
        <w:t xml:space="preserve"> var</w:t>
      </w:r>
      <w:r>
        <w:rPr>
          <w:noProof/>
          <w:kern w:val="0"/>
          <w14:ligatures w14:val="none"/>
        </w:rPr>
        <w:t>y</w:t>
      </w:r>
      <w:r w:rsidRPr="0025103C">
        <w:rPr>
          <w:noProof/>
          <w:kern w:val="0"/>
          <w14:ligatures w14:val="none"/>
        </w:rPr>
        <w:t xml:space="preserve"> from 25% to 35%. </w:t>
      </w:r>
    </w:p>
    <w:p w14:paraId="6D5D3725" w14:textId="77777777" w:rsidR="004A3C67" w:rsidRDefault="004A3C67" w:rsidP="00A32E71">
      <w:pPr>
        <w:pStyle w:val="Reply"/>
        <w:spacing w:line="240" w:lineRule="auto"/>
        <w:rPr>
          <w:noProof/>
          <w:kern w:val="0"/>
          <w14:ligatures w14:val="none"/>
        </w:rPr>
      </w:pPr>
    </w:p>
    <w:p w14:paraId="065A926F" w14:textId="1BA606D0" w:rsidR="00425CB8" w:rsidRDefault="00015693" w:rsidP="00015693">
      <w:pPr>
        <w:rPr>
          <w:b/>
          <w:i/>
          <w:noProof/>
        </w:rPr>
      </w:pPr>
      <w:r w:rsidRPr="00E85078">
        <w:rPr>
          <w:b/>
          <w:i/>
          <w:noProof/>
        </w:rPr>
        <w:t xml:space="preserve">One-off </w:t>
      </w:r>
      <w:r w:rsidR="00B12F08" w:rsidRPr="00E85078">
        <w:rPr>
          <w:b/>
          <w:i/>
          <w:noProof/>
        </w:rPr>
        <w:t>adjustment</w:t>
      </w:r>
      <w:r w:rsidR="00425CB8" w:rsidRPr="00E85078">
        <w:rPr>
          <w:b/>
          <w:i/>
          <w:noProof/>
        </w:rPr>
        <w:t xml:space="preserve"> costs for cloud an AI computing service providers</w:t>
      </w:r>
    </w:p>
    <w:p w14:paraId="7A0811E5" w14:textId="128A9714" w:rsidR="004770BC" w:rsidRPr="00FA6908" w:rsidRDefault="004770BC" w:rsidP="004770BC">
      <w:pPr>
        <w:rPr>
          <w:noProof/>
        </w:rPr>
      </w:pPr>
      <w:r>
        <w:rPr>
          <w:noProof/>
        </w:rPr>
        <w:t xml:space="preserve">Ultimately, the decision of a provider to </w:t>
      </w:r>
      <w:r w:rsidR="00421B90">
        <w:rPr>
          <w:noProof/>
        </w:rPr>
        <w:t>subject to the sovereignty assessment</w:t>
      </w:r>
      <w:r>
        <w:rPr>
          <w:noProof/>
        </w:rPr>
        <w:t xml:space="preserve"> one or more services is their own business decision. However, in order to have a sense of magnitude of how many providers could be affected by the </w:t>
      </w:r>
      <w:r w:rsidR="00421B90">
        <w:rPr>
          <w:noProof/>
        </w:rPr>
        <w:t>sovereignty</w:t>
      </w:r>
      <w:r>
        <w:rPr>
          <w:noProof/>
        </w:rPr>
        <w:t xml:space="preserve"> scheme and based on extensive desk research conducted as part of the preparatory study (Technopolis et al., 2025), it was identified that services from 59 non-EU headquartered cloud service providers meet Level 1 requirements and would be able to </w:t>
      </w:r>
      <w:r w:rsidRPr="00FA6908">
        <w:rPr>
          <w:noProof/>
        </w:rPr>
        <w:t xml:space="preserve">qualify to Level 2 should they decide so. 226 EU headquartered providers could qualify their services as Level 2 and would be able to qualify their services as Level 3 should they decide so. If only large companies are considered and SMEs are excluded, </w:t>
      </w:r>
      <w:r w:rsidR="00AE35E5">
        <w:rPr>
          <w:noProof/>
        </w:rPr>
        <w:t xml:space="preserve">the figure goes </w:t>
      </w:r>
      <w:r w:rsidR="00CE11C7">
        <w:rPr>
          <w:noProof/>
        </w:rPr>
        <w:t xml:space="preserve">down to </w:t>
      </w:r>
      <w:r w:rsidRPr="00FA6908">
        <w:rPr>
          <w:noProof/>
        </w:rPr>
        <w:t>59 EU headquartered large companies.</w:t>
      </w:r>
    </w:p>
    <w:p w14:paraId="22A374BB" w14:textId="5E17CE97" w:rsidR="004770BC" w:rsidRPr="00F25ADC" w:rsidRDefault="00084EA0" w:rsidP="004770BC">
      <w:pPr>
        <w:rPr>
          <w:noProof/>
          <w:lang w:val="en-US"/>
        </w:rPr>
      </w:pPr>
      <w:r w:rsidRPr="00094510">
        <w:rPr>
          <w:noProof/>
        </w:rPr>
        <w:t xml:space="preserve">The assumptions are as follows: </w:t>
      </w:r>
      <w:r w:rsidR="00750809">
        <w:rPr>
          <w:noProof/>
        </w:rPr>
        <w:t>60</w:t>
      </w:r>
      <w:r w:rsidRPr="00094510">
        <w:rPr>
          <w:noProof/>
        </w:rPr>
        <w:t xml:space="preserve">0 </w:t>
      </w:r>
      <w:r w:rsidR="004770BC" w:rsidRPr="00FA6908">
        <w:rPr>
          <w:noProof/>
        </w:rPr>
        <w:t xml:space="preserve">services will be </w:t>
      </w:r>
      <w:r w:rsidR="008427BA">
        <w:rPr>
          <w:noProof/>
        </w:rPr>
        <w:t>audited</w:t>
      </w:r>
      <w:r w:rsidR="001E07E3" w:rsidRPr="00FA6908">
        <w:rPr>
          <w:noProof/>
        </w:rPr>
        <w:t xml:space="preserve"> </w:t>
      </w:r>
      <w:r w:rsidRPr="00094510">
        <w:rPr>
          <w:noProof/>
        </w:rPr>
        <w:t>from 2029 until 2034, with the assumption of 30 audits</w:t>
      </w:r>
      <w:r w:rsidR="004770BC" w:rsidRPr="00FA6908">
        <w:rPr>
          <w:noProof/>
        </w:rPr>
        <w:t xml:space="preserve"> the first year</w:t>
      </w:r>
      <w:r w:rsidRPr="00094510">
        <w:rPr>
          <w:noProof/>
        </w:rPr>
        <w:t>, and an annual growth of 8</w:t>
      </w:r>
      <w:r w:rsidR="00750809">
        <w:rPr>
          <w:noProof/>
        </w:rPr>
        <w:t>2</w:t>
      </w:r>
      <w:r w:rsidRPr="00094510">
        <w:rPr>
          <w:noProof/>
        </w:rPr>
        <w:t>%.</w:t>
      </w:r>
      <w:r w:rsidR="004770BC" w:rsidRPr="00FA6908">
        <w:rPr>
          <w:noProof/>
        </w:rPr>
        <w:t xml:space="preserve"> </w:t>
      </w:r>
      <w:bookmarkStart w:id="254" w:name="_Hlk228297121"/>
      <w:r w:rsidR="009D1B03" w:rsidRPr="00094510">
        <w:rPr>
          <w:noProof/>
        </w:rPr>
        <w:t>This builds over the number of services currently qualified in comparable national qualification and certification schemes</w:t>
      </w:r>
      <w:r w:rsidR="009D1B03" w:rsidRPr="00094510">
        <w:rPr>
          <w:rStyle w:val="FootnoteReference"/>
          <w:noProof/>
        </w:rPr>
        <w:footnoteReference w:id="92"/>
      </w:r>
      <w:r w:rsidR="009D1B03" w:rsidRPr="00094510">
        <w:rPr>
          <w:noProof/>
        </w:rPr>
        <w:t>, and the FedRAMP mechanism. As of September 2025. the FedRAMP repository contains 530 authori</w:t>
      </w:r>
      <w:r w:rsidR="00974B76">
        <w:rPr>
          <w:noProof/>
        </w:rPr>
        <w:t>s</w:t>
      </w:r>
      <w:r w:rsidR="009D1B03" w:rsidRPr="00094510">
        <w:rPr>
          <w:noProof/>
        </w:rPr>
        <w:t>ed services under level moderate and high</w:t>
      </w:r>
      <w:bookmarkEnd w:id="254"/>
      <w:r w:rsidRPr="00094510">
        <w:rPr>
          <w:noProof/>
        </w:rPr>
        <w:t>.</w:t>
      </w:r>
    </w:p>
    <w:p w14:paraId="73C1EB31" w14:textId="01F095FA" w:rsidR="004770BC" w:rsidRPr="00FA6908" w:rsidRDefault="006063E7" w:rsidP="004770BC">
      <w:pPr>
        <w:rPr>
          <w:noProof/>
        </w:rPr>
      </w:pPr>
      <w:r>
        <w:rPr>
          <w:i/>
          <w:iCs/>
          <w:noProof/>
        </w:rPr>
        <w:t>Audit</w:t>
      </w:r>
      <w:r w:rsidR="00D8100F">
        <w:rPr>
          <w:i/>
          <w:iCs/>
          <w:noProof/>
        </w:rPr>
        <w:t>:</w:t>
      </w:r>
      <w:r w:rsidR="008F2D9A" w:rsidRPr="00FA6908">
        <w:rPr>
          <w:noProof/>
        </w:rPr>
        <w:t xml:space="preserve"> </w:t>
      </w:r>
      <w:r w:rsidR="004770BC" w:rsidRPr="00FA6908">
        <w:rPr>
          <w:noProof/>
        </w:rPr>
        <w:t xml:space="preserve">Services may be </w:t>
      </w:r>
      <w:r w:rsidR="00437E17">
        <w:rPr>
          <w:noProof/>
        </w:rPr>
        <w:t>audited</w:t>
      </w:r>
      <w:r w:rsidR="004770BC" w:rsidRPr="00FA6908">
        <w:rPr>
          <w:noProof/>
        </w:rPr>
        <w:t xml:space="preserve"> under different assurance levels, provided that the criteria mentioned above</w:t>
      </w:r>
      <w:r w:rsidR="008F2D9A" w:rsidRPr="00FA6908">
        <w:rPr>
          <w:noProof/>
        </w:rPr>
        <w:t xml:space="preserve"> (see PM11)</w:t>
      </w:r>
      <w:r w:rsidR="004770BC" w:rsidRPr="00FA6908">
        <w:rPr>
          <w:noProof/>
        </w:rPr>
        <w:t xml:space="preserve"> are met.  For the purpose of this impact assessment, it is estimated that the proportion of services </w:t>
      </w:r>
      <w:r w:rsidR="00EA0006">
        <w:rPr>
          <w:noProof/>
        </w:rPr>
        <w:t>that get a positive audit report</w:t>
      </w:r>
      <w:r w:rsidR="00421B90">
        <w:rPr>
          <w:noProof/>
        </w:rPr>
        <w:t xml:space="preserve"> across</w:t>
      </w:r>
      <w:r w:rsidR="004770BC" w:rsidRPr="00FA6908">
        <w:rPr>
          <w:noProof/>
        </w:rPr>
        <w:t xml:space="preserve"> the different assurance levels will be mirroring the needs of the public authorities (see below). This would then make that out of the estimated 600 </w:t>
      </w:r>
      <w:r w:rsidR="00421B90">
        <w:rPr>
          <w:noProof/>
        </w:rPr>
        <w:t>sovereign</w:t>
      </w:r>
      <w:r w:rsidR="008F2D9A" w:rsidRPr="00FA6908">
        <w:rPr>
          <w:noProof/>
        </w:rPr>
        <w:t xml:space="preserve"> </w:t>
      </w:r>
      <w:r w:rsidR="004770BC" w:rsidRPr="00FA6908">
        <w:rPr>
          <w:noProof/>
        </w:rPr>
        <w:t xml:space="preserve">cloud services </w:t>
      </w:r>
      <w:r w:rsidR="004770BC" w:rsidRPr="00FA6908">
        <w:rPr>
          <w:rStyle w:val="FootnoteReference"/>
          <w:noProof/>
        </w:rPr>
        <w:footnoteReference w:id="93"/>
      </w:r>
      <w:r w:rsidR="004770BC" w:rsidRPr="00FA6908">
        <w:rPr>
          <w:noProof/>
        </w:rPr>
        <w:t>:</w:t>
      </w:r>
    </w:p>
    <w:p w14:paraId="7168BF05" w14:textId="699054F0" w:rsidR="004770BC" w:rsidRPr="00FA6908" w:rsidRDefault="004770BC" w:rsidP="004770BC">
      <w:pPr>
        <w:pStyle w:val="ListParagraph"/>
        <w:numPr>
          <w:ilvl w:val="0"/>
          <w:numId w:val="157"/>
        </w:numPr>
        <w:rPr>
          <w:noProof/>
        </w:rPr>
      </w:pPr>
      <w:r w:rsidRPr="00FA6908">
        <w:rPr>
          <w:noProof/>
        </w:rPr>
        <w:t>70% of the services will be Sovereignty Assurance Level 1, making 420 services</w:t>
      </w:r>
      <w:r w:rsidR="00394F20" w:rsidRPr="00FA6908">
        <w:rPr>
          <w:noProof/>
        </w:rPr>
        <w:t xml:space="preserve"> </w:t>
      </w:r>
    </w:p>
    <w:p w14:paraId="5A750559" w14:textId="1B4ACEFC" w:rsidR="004770BC" w:rsidRPr="00FA6908" w:rsidRDefault="00B26876" w:rsidP="004770BC">
      <w:pPr>
        <w:pStyle w:val="ListParagraph"/>
        <w:numPr>
          <w:ilvl w:val="0"/>
          <w:numId w:val="157"/>
        </w:numPr>
        <w:rPr>
          <w:noProof/>
        </w:rPr>
      </w:pPr>
      <w:r w:rsidRPr="00FA6908">
        <w:rPr>
          <w:noProof/>
        </w:rPr>
        <w:t>2</w:t>
      </w:r>
      <w:r w:rsidR="004770BC" w:rsidRPr="00FA6908">
        <w:rPr>
          <w:noProof/>
        </w:rPr>
        <w:t>0% of the services will be Sovereignty Assurance Level 2, resulting 1</w:t>
      </w:r>
      <w:r w:rsidR="00750F6F" w:rsidRPr="00FA6908">
        <w:rPr>
          <w:noProof/>
        </w:rPr>
        <w:t>2</w:t>
      </w:r>
      <w:r w:rsidR="004770BC" w:rsidRPr="00FA6908">
        <w:rPr>
          <w:noProof/>
        </w:rPr>
        <w:t xml:space="preserve">0 services </w:t>
      </w:r>
    </w:p>
    <w:p w14:paraId="565AFBC6" w14:textId="51D10E82" w:rsidR="004770BC" w:rsidRPr="00FA6908" w:rsidRDefault="004770BC" w:rsidP="004770BC">
      <w:pPr>
        <w:pStyle w:val="ListParagraph"/>
        <w:numPr>
          <w:ilvl w:val="0"/>
          <w:numId w:val="157"/>
        </w:numPr>
        <w:rPr>
          <w:noProof/>
        </w:rPr>
      </w:pPr>
      <w:r w:rsidRPr="00FA6908">
        <w:rPr>
          <w:noProof/>
        </w:rPr>
        <w:t xml:space="preserve">9% of the services will be Sovereignty Assurance Level 3, amounting to 54 services </w:t>
      </w:r>
    </w:p>
    <w:p w14:paraId="008C9A78" w14:textId="7BEF204B" w:rsidR="00A35437" w:rsidRPr="00FA6908" w:rsidRDefault="004770BC" w:rsidP="004D3ABA">
      <w:pPr>
        <w:pStyle w:val="ListParagraph"/>
        <w:numPr>
          <w:ilvl w:val="0"/>
          <w:numId w:val="157"/>
        </w:numPr>
        <w:rPr>
          <w:noProof/>
        </w:rPr>
      </w:pPr>
      <w:r w:rsidRPr="00FA6908">
        <w:rPr>
          <w:noProof/>
        </w:rPr>
        <w:t xml:space="preserve">1% of the services will be Sovereignty Assurance Level 4, resulting in 6 services. </w:t>
      </w:r>
    </w:p>
    <w:p w14:paraId="21C8040C" w14:textId="042A9247" w:rsidR="004C1AFC" w:rsidRDefault="004C1AFC" w:rsidP="00444666">
      <w:pPr>
        <w:rPr>
          <w:noProof/>
        </w:rPr>
      </w:pPr>
      <w:r>
        <w:rPr>
          <w:noProof/>
        </w:rPr>
        <w:t xml:space="preserve">The effort needed to get </w:t>
      </w:r>
      <w:r w:rsidR="00421B90">
        <w:rPr>
          <w:noProof/>
        </w:rPr>
        <w:t>audited as sovereign</w:t>
      </w:r>
      <w:r>
        <w:rPr>
          <w:noProof/>
        </w:rPr>
        <w:t xml:space="preserve"> </w:t>
      </w:r>
      <w:r w:rsidR="00C91BB1">
        <w:rPr>
          <w:noProof/>
        </w:rPr>
        <w:t xml:space="preserve">under </w:t>
      </w:r>
      <w:r w:rsidR="00421B90">
        <w:rPr>
          <w:noProof/>
        </w:rPr>
        <w:t xml:space="preserve">the </w:t>
      </w:r>
      <w:r w:rsidR="00C91BB1">
        <w:rPr>
          <w:noProof/>
        </w:rPr>
        <w:t>s</w:t>
      </w:r>
      <w:r>
        <w:rPr>
          <w:noProof/>
        </w:rPr>
        <w:t xml:space="preserve">overeignty assurance level 2 -4 </w:t>
      </w:r>
      <w:r w:rsidRPr="00FA6908">
        <w:rPr>
          <w:noProof/>
        </w:rPr>
        <w:t xml:space="preserve">is </w:t>
      </w:r>
      <w:r w:rsidR="00CF7268" w:rsidRPr="001F3877">
        <w:rPr>
          <w:noProof/>
        </w:rPr>
        <w:t xml:space="preserve">estimated to be </w:t>
      </w:r>
      <w:r w:rsidR="004679B9" w:rsidRPr="001F3877">
        <w:rPr>
          <w:noProof/>
        </w:rPr>
        <w:t>15</w:t>
      </w:r>
      <w:r w:rsidRPr="00FA6908">
        <w:rPr>
          <w:noProof/>
        </w:rPr>
        <w:t xml:space="preserve"> FTEs</w:t>
      </w:r>
      <w:r w:rsidR="00CF7268">
        <w:rPr>
          <w:noProof/>
        </w:rPr>
        <w:t xml:space="preserve">. This includes the definition and implementation of the necessary legal, organisational and technical measures to reach sovereignty assurance level 2 – 4 and the auditing procedure carried by the </w:t>
      </w:r>
      <w:r w:rsidR="00384333" w:rsidRPr="00FA6908">
        <w:rPr>
          <w:noProof/>
        </w:rPr>
        <w:t>third party auditor</w:t>
      </w:r>
      <w:r w:rsidR="00CF7268" w:rsidRPr="00FA6908">
        <w:rPr>
          <w:noProof/>
        </w:rPr>
        <w:t>.</w:t>
      </w:r>
      <w:r w:rsidR="00CF7268">
        <w:rPr>
          <w:noProof/>
        </w:rPr>
        <w:t xml:space="preserve"> This effort was validated</w:t>
      </w:r>
      <w:r w:rsidR="00326F86" w:rsidRPr="00FA6908">
        <w:rPr>
          <w:noProof/>
        </w:rPr>
        <w:t xml:space="preserve"> </w:t>
      </w:r>
      <w:r w:rsidR="00CF7268">
        <w:rPr>
          <w:noProof/>
        </w:rPr>
        <w:t>in the Final Validation workshop held as part of the study led by Technopolis.</w:t>
      </w:r>
    </w:p>
    <w:p w14:paraId="71B55832" w14:textId="52C00D78" w:rsidR="000207CC" w:rsidRDefault="000207CC" w:rsidP="001F3877">
      <w:pPr>
        <w:spacing w:after="160"/>
        <w:jc w:val="center"/>
        <w:rPr>
          <w:i/>
          <w:noProof/>
          <w:lang w:val="en-US"/>
        </w:rPr>
      </w:pPr>
      <w:r w:rsidRPr="001F3877">
        <w:rPr>
          <w:i/>
          <w:noProof/>
          <w:lang w:val="en-US"/>
        </w:rPr>
        <w:t xml:space="preserve">One-off </w:t>
      </w:r>
      <w:r w:rsidR="004C1AFC">
        <w:rPr>
          <w:i/>
          <w:iCs/>
          <w:noProof/>
          <w:lang w:val="en-US"/>
        </w:rPr>
        <w:t>adjustment</w:t>
      </w:r>
      <w:r w:rsidRPr="001F3877">
        <w:rPr>
          <w:i/>
          <w:noProof/>
          <w:lang w:val="en-US"/>
        </w:rPr>
        <w:t xml:space="preserve"> cost of new </w:t>
      </w:r>
      <w:r w:rsidR="00B26590">
        <w:rPr>
          <w:i/>
          <w:iCs/>
          <w:noProof/>
          <w:lang w:val="en-US"/>
        </w:rPr>
        <w:t>audits</w:t>
      </w:r>
      <w:r w:rsidR="00B26590" w:rsidRPr="001F3877">
        <w:rPr>
          <w:i/>
          <w:noProof/>
          <w:lang w:val="en-US"/>
        </w:rPr>
        <w:t xml:space="preserve"> </w:t>
      </w:r>
      <w:r w:rsidRPr="001F3877">
        <w:rPr>
          <w:i/>
          <w:noProof/>
          <w:lang w:val="en-US"/>
        </w:rPr>
        <w:t xml:space="preserve">(CSAP) = </w:t>
      </w:r>
      <w:r w:rsidR="001272A2">
        <w:rPr>
          <w:i/>
          <w:iCs/>
          <w:noProof/>
          <w:lang w:val="en-US"/>
        </w:rPr>
        <w:t xml:space="preserve">(effort to get </w:t>
      </w:r>
      <w:r w:rsidR="00B26590">
        <w:rPr>
          <w:i/>
          <w:iCs/>
          <w:noProof/>
          <w:lang w:val="en-US"/>
        </w:rPr>
        <w:t xml:space="preserve">audited </w:t>
      </w:r>
      <w:r w:rsidR="001272A2">
        <w:rPr>
          <w:i/>
          <w:iCs/>
          <w:noProof/>
          <w:lang w:val="en-US"/>
        </w:rPr>
        <w:t xml:space="preserve">sovereignty assurance level 2 – 4 * labour costs) * number of </w:t>
      </w:r>
      <w:r w:rsidR="00B26590">
        <w:rPr>
          <w:i/>
          <w:iCs/>
          <w:noProof/>
          <w:lang w:val="en-US"/>
        </w:rPr>
        <w:t xml:space="preserve">audited </w:t>
      </w:r>
      <w:r w:rsidR="001272A2">
        <w:rPr>
          <w:i/>
          <w:iCs/>
          <w:noProof/>
          <w:lang w:val="en-US"/>
        </w:rPr>
        <w:t>services</w:t>
      </w:r>
      <w:r w:rsidR="00141027">
        <w:rPr>
          <w:i/>
          <w:iCs/>
          <w:noProof/>
          <w:lang w:val="en-US"/>
        </w:rPr>
        <w:t xml:space="preserve"> assurance level 2 – 4  </w:t>
      </w:r>
    </w:p>
    <w:p w14:paraId="011F486C" w14:textId="77777777" w:rsidR="00AB7307" w:rsidRDefault="004A3C67" w:rsidP="001F3877">
      <w:pPr>
        <w:spacing w:after="160"/>
        <w:rPr>
          <w:b/>
          <w:bCs/>
          <w:i/>
          <w:iCs/>
          <w:noProof/>
        </w:rPr>
      </w:pPr>
      <w:r w:rsidRPr="007E2AB2">
        <w:rPr>
          <w:b/>
          <w:bCs/>
          <w:i/>
          <w:iCs/>
          <w:noProof/>
        </w:rPr>
        <w:t>One</w:t>
      </w:r>
      <w:r>
        <w:rPr>
          <w:b/>
          <w:bCs/>
          <w:i/>
          <w:iCs/>
          <w:noProof/>
        </w:rPr>
        <w:t>-</w:t>
      </w:r>
      <w:r w:rsidRPr="007E2AB2">
        <w:rPr>
          <w:b/>
          <w:bCs/>
          <w:i/>
          <w:iCs/>
          <w:noProof/>
        </w:rPr>
        <w:t xml:space="preserve">off regulatory fee for </w:t>
      </w:r>
      <w:r>
        <w:rPr>
          <w:b/>
          <w:bCs/>
          <w:i/>
          <w:iCs/>
          <w:noProof/>
        </w:rPr>
        <w:t>cloud</w:t>
      </w:r>
      <w:r w:rsidRPr="007E2AB2">
        <w:rPr>
          <w:b/>
          <w:bCs/>
          <w:i/>
          <w:iCs/>
          <w:noProof/>
        </w:rPr>
        <w:t xml:space="preserve"> and AI </w:t>
      </w:r>
      <w:r>
        <w:rPr>
          <w:b/>
          <w:bCs/>
          <w:i/>
          <w:iCs/>
          <w:noProof/>
        </w:rPr>
        <w:t xml:space="preserve">computing service </w:t>
      </w:r>
      <w:r w:rsidRPr="007E2AB2">
        <w:rPr>
          <w:b/>
          <w:bCs/>
          <w:i/>
          <w:iCs/>
          <w:noProof/>
        </w:rPr>
        <w:t>providers</w:t>
      </w:r>
      <w:r>
        <w:rPr>
          <w:b/>
          <w:bCs/>
          <w:i/>
          <w:iCs/>
          <w:noProof/>
        </w:rPr>
        <w:t xml:space="preserve"> </w:t>
      </w:r>
    </w:p>
    <w:p w14:paraId="7FE384F3" w14:textId="13C50731" w:rsidR="00746D14" w:rsidRDefault="00CE3A55" w:rsidP="00746D14">
      <w:pPr>
        <w:spacing w:after="160"/>
        <w:rPr>
          <w:noProof/>
        </w:rPr>
      </w:pPr>
      <w:r w:rsidRPr="00C2458E">
        <w:rPr>
          <w:i/>
          <w:iCs/>
          <w:noProof/>
        </w:rPr>
        <w:t>N</w:t>
      </w:r>
      <w:r w:rsidR="00746D14" w:rsidRPr="00C2458E">
        <w:rPr>
          <w:i/>
          <w:iCs/>
          <w:noProof/>
        </w:rPr>
        <w:t xml:space="preserve">ew </w:t>
      </w:r>
      <w:r w:rsidR="003E48E6">
        <w:rPr>
          <w:i/>
          <w:iCs/>
          <w:noProof/>
        </w:rPr>
        <w:t>audits</w:t>
      </w:r>
      <w:r w:rsidR="00746D14" w:rsidRPr="007E2AB2">
        <w:rPr>
          <w:b/>
          <w:bCs/>
          <w:i/>
          <w:iCs/>
          <w:noProof/>
        </w:rPr>
        <w:t>,</w:t>
      </w:r>
      <w:r w:rsidR="00746D14" w:rsidRPr="0007547C">
        <w:rPr>
          <w:noProof/>
        </w:rPr>
        <w:t xml:space="preserve"> </w:t>
      </w:r>
      <w:r>
        <w:rPr>
          <w:noProof/>
        </w:rPr>
        <w:t>the fee is</w:t>
      </w:r>
      <w:r w:rsidR="00746D14" w:rsidRPr="0007547C">
        <w:rPr>
          <w:noProof/>
        </w:rPr>
        <w:t xml:space="preserve"> assumed to be EUR 20</w:t>
      </w:r>
      <w:r w:rsidR="00746D14">
        <w:rPr>
          <w:noProof/>
        </w:rPr>
        <w:t xml:space="preserve"> </w:t>
      </w:r>
      <w:r w:rsidR="00746D14" w:rsidRPr="0007547C">
        <w:rPr>
          <w:noProof/>
        </w:rPr>
        <w:t>000</w:t>
      </w:r>
      <w:r w:rsidR="008834CC">
        <w:rPr>
          <w:noProof/>
        </w:rPr>
        <w:t xml:space="preserve">, for the estimated number of services </w:t>
      </w:r>
      <w:r w:rsidR="00B4552E">
        <w:rPr>
          <w:noProof/>
        </w:rPr>
        <w:t>awarded</w:t>
      </w:r>
      <w:r w:rsidR="008834CC">
        <w:rPr>
          <w:noProof/>
        </w:rPr>
        <w:t xml:space="preserve"> sovereignty assurance level </w:t>
      </w:r>
      <w:r w:rsidR="00541F67" w:rsidRPr="00FA6908">
        <w:rPr>
          <w:noProof/>
        </w:rPr>
        <w:t>2</w:t>
      </w:r>
      <w:r w:rsidR="008834CC">
        <w:rPr>
          <w:noProof/>
        </w:rPr>
        <w:t>– 4.</w:t>
      </w:r>
      <w:r w:rsidR="00746D14">
        <w:rPr>
          <w:noProof/>
        </w:rPr>
        <w:t xml:space="preserve"> </w:t>
      </w:r>
    </w:p>
    <w:p w14:paraId="567065F9" w14:textId="7A1F336B" w:rsidR="00746D14" w:rsidRPr="00CE3A55" w:rsidRDefault="00746D14" w:rsidP="00746D14">
      <w:pPr>
        <w:spacing w:after="160"/>
        <w:jc w:val="center"/>
        <w:rPr>
          <w:i/>
          <w:noProof/>
        </w:rPr>
      </w:pPr>
      <w:r w:rsidRPr="007E2AB2">
        <w:rPr>
          <w:i/>
          <w:iCs/>
          <w:noProof/>
        </w:rPr>
        <w:t xml:space="preserve">One off regulatory fee for new </w:t>
      </w:r>
      <w:r w:rsidR="00B26590">
        <w:rPr>
          <w:i/>
          <w:iCs/>
          <w:noProof/>
        </w:rPr>
        <w:t>audits</w:t>
      </w:r>
      <w:r w:rsidR="00B26590" w:rsidRPr="00FA6908">
        <w:rPr>
          <w:i/>
          <w:noProof/>
        </w:rPr>
        <w:t xml:space="preserve"> </w:t>
      </w:r>
      <w:r w:rsidRPr="0010716F">
        <w:rPr>
          <w:i/>
          <w:iCs/>
          <w:noProof/>
          <w:lang w:val="en-US"/>
        </w:rPr>
        <w:t xml:space="preserve">(CSAP) = </w:t>
      </w:r>
      <w:r w:rsidRPr="007E2AB2">
        <w:rPr>
          <w:i/>
          <w:iCs/>
          <w:noProof/>
          <w:lang w:val="en-US"/>
        </w:rPr>
        <w:t>regulatory fee * number of services</w:t>
      </w:r>
      <w:r w:rsidR="00141027">
        <w:rPr>
          <w:i/>
          <w:iCs/>
          <w:noProof/>
          <w:lang w:val="en-US"/>
        </w:rPr>
        <w:t xml:space="preserve"> </w:t>
      </w:r>
      <w:r w:rsidR="00B4552E">
        <w:rPr>
          <w:i/>
          <w:iCs/>
          <w:noProof/>
          <w:lang w:val="en-US"/>
        </w:rPr>
        <w:t>sovereignty</w:t>
      </w:r>
      <w:r w:rsidR="00141027">
        <w:rPr>
          <w:i/>
          <w:iCs/>
          <w:noProof/>
          <w:lang w:val="en-US"/>
        </w:rPr>
        <w:t xml:space="preserve"> level 2 – 4  </w:t>
      </w:r>
    </w:p>
    <w:p w14:paraId="199184A8" w14:textId="6E7ECE67" w:rsidR="00C2458E" w:rsidRDefault="003313F9" w:rsidP="003313F9">
      <w:pPr>
        <w:spacing w:after="160"/>
        <w:rPr>
          <w:b/>
          <w:bCs/>
          <w:i/>
          <w:iCs/>
          <w:noProof/>
        </w:rPr>
      </w:pPr>
      <w:r>
        <w:rPr>
          <w:b/>
          <w:bCs/>
          <w:i/>
          <w:iCs/>
          <w:noProof/>
        </w:rPr>
        <w:t>Recurrent</w:t>
      </w:r>
      <w:r w:rsidRPr="000A7DAD">
        <w:rPr>
          <w:b/>
          <w:bCs/>
          <w:i/>
          <w:iCs/>
          <w:noProof/>
        </w:rPr>
        <w:t xml:space="preserve"> regulatory fee for </w:t>
      </w:r>
      <w:r>
        <w:rPr>
          <w:b/>
          <w:bCs/>
          <w:i/>
          <w:iCs/>
          <w:noProof/>
        </w:rPr>
        <w:t>cloud</w:t>
      </w:r>
      <w:r w:rsidRPr="000A7DAD">
        <w:rPr>
          <w:b/>
          <w:bCs/>
          <w:i/>
          <w:iCs/>
          <w:noProof/>
        </w:rPr>
        <w:t xml:space="preserve"> and AI </w:t>
      </w:r>
      <w:r>
        <w:rPr>
          <w:b/>
          <w:bCs/>
          <w:i/>
          <w:iCs/>
          <w:noProof/>
        </w:rPr>
        <w:t xml:space="preserve">computing service </w:t>
      </w:r>
      <w:r w:rsidRPr="000A7DAD">
        <w:rPr>
          <w:b/>
          <w:bCs/>
          <w:i/>
          <w:iCs/>
          <w:noProof/>
        </w:rPr>
        <w:t>providers</w:t>
      </w:r>
    </w:p>
    <w:p w14:paraId="6C5A31C5" w14:textId="4DFB1A90" w:rsidR="003313F9" w:rsidRDefault="00C2458E" w:rsidP="003313F9">
      <w:pPr>
        <w:spacing w:after="160"/>
        <w:rPr>
          <w:noProof/>
        </w:rPr>
      </w:pPr>
      <w:r w:rsidRPr="00C2458E">
        <w:rPr>
          <w:i/>
          <w:iCs/>
          <w:noProof/>
        </w:rPr>
        <w:t>R</w:t>
      </w:r>
      <w:r w:rsidR="00541F67" w:rsidRPr="00C2458E">
        <w:rPr>
          <w:i/>
          <w:iCs/>
          <w:noProof/>
        </w:rPr>
        <w:t>enewal</w:t>
      </w:r>
      <w:r w:rsidR="00541F67" w:rsidRPr="00C2458E">
        <w:rPr>
          <w:i/>
          <w:noProof/>
        </w:rPr>
        <w:t xml:space="preserve"> of</w:t>
      </w:r>
      <w:r w:rsidR="003313F9" w:rsidRPr="00C2458E">
        <w:rPr>
          <w:i/>
          <w:noProof/>
        </w:rPr>
        <w:t xml:space="preserve"> </w:t>
      </w:r>
      <w:r w:rsidR="00FA7093">
        <w:rPr>
          <w:i/>
          <w:iCs/>
          <w:noProof/>
        </w:rPr>
        <w:t>audits</w:t>
      </w:r>
      <w:r w:rsidRPr="00C2458E">
        <w:rPr>
          <w:noProof/>
        </w:rPr>
        <w:t>: fee is</w:t>
      </w:r>
      <w:r w:rsidR="003313F9" w:rsidRPr="0007547C">
        <w:rPr>
          <w:noProof/>
        </w:rPr>
        <w:t xml:space="preserve"> assumed to be EUR </w:t>
      </w:r>
      <w:r w:rsidR="003313F9">
        <w:rPr>
          <w:noProof/>
        </w:rPr>
        <w:t>14 000</w:t>
      </w:r>
      <w:r>
        <w:rPr>
          <w:noProof/>
        </w:rPr>
        <w:t>.</w:t>
      </w:r>
      <w:r w:rsidR="003313F9">
        <w:rPr>
          <w:noProof/>
        </w:rPr>
        <w:t xml:space="preserve">. </w:t>
      </w:r>
    </w:p>
    <w:p w14:paraId="5B343BFD" w14:textId="41CAF643" w:rsidR="003313F9" w:rsidRDefault="003313F9" w:rsidP="003313F9">
      <w:pPr>
        <w:spacing w:after="160"/>
        <w:jc w:val="center"/>
        <w:rPr>
          <w:noProof/>
        </w:rPr>
      </w:pPr>
      <w:r>
        <w:rPr>
          <w:i/>
          <w:iCs/>
          <w:noProof/>
        </w:rPr>
        <w:t xml:space="preserve">Recurrent </w:t>
      </w:r>
      <w:r w:rsidRPr="000A7DAD">
        <w:rPr>
          <w:i/>
          <w:iCs/>
          <w:noProof/>
        </w:rPr>
        <w:t xml:space="preserve">regulatory fee for new </w:t>
      </w:r>
      <w:r w:rsidR="00FA7093">
        <w:rPr>
          <w:i/>
          <w:iCs/>
          <w:noProof/>
        </w:rPr>
        <w:t>audits</w:t>
      </w:r>
      <w:r w:rsidR="00CF7268" w:rsidRPr="00FA6908">
        <w:rPr>
          <w:i/>
          <w:noProof/>
        </w:rPr>
        <w:t xml:space="preserve"> </w:t>
      </w:r>
      <w:r w:rsidRPr="0010716F">
        <w:rPr>
          <w:i/>
          <w:iCs/>
          <w:noProof/>
          <w:lang w:val="en-US"/>
        </w:rPr>
        <w:t>(CSAP)</w:t>
      </w:r>
      <w:r>
        <w:rPr>
          <w:i/>
          <w:iCs/>
          <w:noProof/>
          <w:lang w:val="en-US"/>
        </w:rPr>
        <w:t xml:space="preserve"> = </w:t>
      </w:r>
      <w:r w:rsidRPr="000A7DAD">
        <w:rPr>
          <w:i/>
          <w:iCs/>
          <w:noProof/>
          <w:lang w:val="en-US"/>
        </w:rPr>
        <w:t xml:space="preserve">regulatory fee * number of </w:t>
      </w:r>
      <w:r w:rsidR="00FA7093">
        <w:rPr>
          <w:i/>
          <w:iCs/>
          <w:noProof/>
        </w:rPr>
        <w:t>audited</w:t>
      </w:r>
      <w:r w:rsidR="00CF7268" w:rsidRPr="00FA6908">
        <w:rPr>
          <w:noProof/>
        </w:rPr>
        <w:t xml:space="preserve"> </w:t>
      </w:r>
      <w:r w:rsidRPr="000A7DAD">
        <w:rPr>
          <w:i/>
          <w:iCs/>
          <w:noProof/>
          <w:lang w:val="en-US"/>
        </w:rPr>
        <w:t>services</w:t>
      </w:r>
      <w:r w:rsidR="00141027">
        <w:rPr>
          <w:i/>
          <w:iCs/>
          <w:noProof/>
          <w:lang w:val="en-US"/>
        </w:rPr>
        <w:t xml:space="preserve"> assurance level 2 – 4  </w:t>
      </w:r>
    </w:p>
    <w:p w14:paraId="3768993A" w14:textId="68425457" w:rsidR="00927E7A" w:rsidRDefault="003313F9" w:rsidP="003313F9">
      <w:pPr>
        <w:spacing w:after="160"/>
        <w:rPr>
          <w:noProof/>
        </w:rPr>
      </w:pPr>
      <w:r w:rsidRPr="00FA6908">
        <w:rPr>
          <w:b/>
          <w:i/>
          <w:noProof/>
        </w:rPr>
        <w:t>Recurrent</w:t>
      </w:r>
      <w:r w:rsidRPr="00FA6908" w:rsidDel="00CE0E55">
        <w:rPr>
          <w:b/>
          <w:i/>
          <w:noProof/>
        </w:rPr>
        <w:t xml:space="preserve"> </w:t>
      </w:r>
      <w:r w:rsidR="00927E7A">
        <w:rPr>
          <w:b/>
          <w:i/>
          <w:noProof/>
        </w:rPr>
        <w:t>administrative</w:t>
      </w:r>
      <w:r w:rsidRPr="00FA6908">
        <w:rPr>
          <w:b/>
          <w:i/>
          <w:noProof/>
        </w:rPr>
        <w:t xml:space="preserve"> costs for cloud and AI computing service providers</w:t>
      </w:r>
      <w:r w:rsidRPr="00FA6908">
        <w:rPr>
          <w:noProof/>
        </w:rPr>
        <w:t xml:space="preserve"> </w:t>
      </w:r>
    </w:p>
    <w:p w14:paraId="7DEE48A0" w14:textId="38FDFBBA" w:rsidR="003313F9" w:rsidRPr="00FA6908" w:rsidRDefault="00A9500E" w:rsidP="003313F9">
      <w:pPr>
        <w:spacing w:after="160"/>
        <w:rPr>
          <w:noProof/>
        </w:rPr>
      </w:pPr>
      <w:r>
        <w:rPr>
          <w:i/>
          <w:iCs/>
          <w:noProof/>
        </w:rPr>
        <w:t>Audits</w:t>
      </w:r>
      <w:r w:rsidR="007D36BE">
        <w:rPr>
          <w:noProof/>
        </w:rPr>
        <w:t xml:space="preserve">: These compliance costs </w:t>
      </w:r>
      <w:r w:rsidR="003313F9" w:rsidRPr="00FA6908">
        <w:rPr>
          <w:noProof/>
        </w:rPr>
        <w:t xml:space="preserve">stem from the audits </w:t>
      </w:r>
      <w:r>
        <w:rPr>
          <w:noProof/>
        </w:rPr>
        <w:t>.</w:t>
      </w:r>
      <w:r w:rsidR="00541F67" w:rsidRPr="00A9500E">
        <w:rPr>
          <w:noProof/>
        </w:rPr>
        <w:t xml:space="preserve"> </w:t>
      </w:r>
      <w:r w:rsidR="003313F9" w:rsidRPr="00FA6908">
        <w:rPr>
          <w:noProof/>
        </w:rPr>
        <w:t xml:space="preserve">to maintain the </w:t>
      </w:r>
      <w:r w:rsidR="00B26590">
        <w:rPr>
          <w:noProof/>
        </w:rPr>
        <w:t>positive audit report</w:t>
      </w:r>
      <w:r w:rsidR="003313F9" w:rsidRPr="00FA6908">
        <w:rPr>
          <w:noProof/>
        </w:rPr>
        <w:t xml:space="preserve">, where the goal is to verify that the conditions under which the </w:t>
      </w:r>
      <w:r w:rsidR="00CB312C">
        <w:rPr>
          <w:noProof/>
        </w:rPr>
        <w:t>sovereignty level</w:t>
      </w:r>
      <w:r w:rsidR="00B17EE2" w:rsidRPr="00A9500E">
        <w:rPr>
          <w:noProof/>
        </w:rPr>
        <w:t xml:space="preserve"> </w:t>
      </w:r>
      <w:r w:rsidR="003313F9" w:rsidRPr="00FA6908">
        <w:rPr>
          <w:noProof/>
        </w:rPr>
        <w:t xml:space="preserve">was obtained remain valid (effort estimated as 3 FTE/year per service). Compared to the effort needed to achieve the </w:t>
      </w:r>
      <w:r w:rsidR="00CB312C">
        <w:rPr>
          <w:noProof/>
        </w:rPr>
        <w:t>award of a sovereignty level</w:t>
      </w:r>
      <w:r w:rsidR="003313F9" w:rsidRPr="00FA6908">
        <w:rPr>
          <w:noProof/>
        </w:rPr>
        <w:t xml:space="preserve">, the effort dedicated to the intermediate audits has been assumed to be lower than obtaining the initial </w:t>
      </w:r>
      <w:r w:rsidR="00CB312C">
        <w:rPr>
          <w:noProof/>
        </w:rPr>
        <w:t>qualification</w:t>
      </w:r>
      <w:r w:rsidR="003313F9" w:rsidRPr="00FA6908">
        <w:rPr>
          <w:noProof/>
        </w:rPr>
        <w:t>, in spite of the annual reporting obligations set out above.</w:t>
      </w:r>
      <w:r w:rsidR="003313F9" w:rsidRPr="00FA6908">
        <w:rPr>
          <w:noProof/>
          <w:lang w:val="en-US"/>
        </w:rPr>
        <w:t> </w:t>
      </w:r>
      <w:r w:rsidR="003313F9" w:rsidRPr="00FA6908">
        <w:rPr>
          <w:noProof/>
        </w:rPr>
        <w:t xml:space="preserve"> </w:t>
      </w:r>
    </w:p>
    <w:p w14:paraId="39651BA9" w14:textId="2777BDC6" w:rsidR="003313F9" w:rsidRDefault="003313F9" w:rsidP="003313F9">
      <w:pPr>
        <w:spacing w:after="160"/>
        <w:jc w:val="center"/>
        <w:rPr>
          <w:i/>
          <w:iCs/>
          <w:noProof/>
          <w:lang w:val="en-US"/>
        </w:rPr>
      </w:pPr>
      <w:r w:rsidRPr="00FA6908">
        <w:rPr>
          <w:i/>
          <w:noProof/>
          <w:lang w:val="en-US"/>
        </w:rPr>
        <w:t xml:space="preserve">Recurrent administrative compliance cost of </w:t>
      </w:r>
      <w:r w:rsidR="00143719">
        <w:rPr>
          <w:i/>
          <w:noProof/>
          <w:lang w:val="en-US"/>
        </w:rPr>
        <w:t xml:space="preserve">sovereignty level </w:t>
      </w:r>
      <w:r w:rsidRPr="00FA6908">
        <w:rPr>
          <w:i/>
          <w:noProof/>
          <w:lang w:val="en-US"/>
        </w:rPr>
        <w:t>renewal = (time to be audited * labour costs) * number of services</w:t>
      </w:r>
      <w:r w:rsidR="000A7AC8" w:rsidRPr="00FA6908">
        <w:rPr>
          <w:i/>
          <w:iCs/>
          <w:noProof/>
          <w:lang w:val="en-US"/>
        </w:rPr>
        <w:t xml:space="preserve"> sovereign</w:t>
      </w:r>
      <w:r w:rsidR="00B4552E">
        <w:rPr>
          <w:i/>
          <w:iCs/>
          <w:noProof/>
          <w:lang w:val="en-US"/>
        </w:rPr>
        <w:t>ty</w:t>
      </w:r>
      <w:r w:rsidR="000A7AC8" w:rsidRPr="00FA6908">
        <w:rPr>
          <w:i/>
          <w:iCs/>
          <w:noProof/>
          <w:lang w:val="en-US"/>
        </w:rPr>
        <w:t xml:space="preserve"> level 2 - 4</w:t>
      </w:r>
    </w:p>
    <w:p w14:paraId="5F9EE933" w14:textId="0D042D8A" w:rsidR="0064543C" w:rsidRDefault="00015693" w:rsidP="00015693">
      <w:pPr>
        <w:rPr>
          <w:b/>
          <w:i/>
          <w:noProof/>
        </w:rPr>
      </w:pPr>
      <w:r w:rsidRPr="004465BE">
        <w:rPr>
          <w:b/>
          <w:i/>
          <w:noProof/>
        </w:rPr>
        <w:t xml:space="preserve">Recurrent savings for </w:t>
      </w:r>
      <w:r w:rsidR="0001203E">
        <w:rPr>
          <w:b/>
          <w:i/>
          <w:noProof/>
        </w:rPr>
        <w:t>cloud</w:t>
      </w:r>
      <w:r w:rsidRPr="004465BE">
        <w:rPr>
          <w:b/>
          <w:i/>
          <w:noProof/>
        </w:rPr>
        <w:t xml:space="preserve"> and AI </w:t>
      </w:r>
      <w:r w:rsidR="00F277BE">
        <w:rPr>
          <w:b/>
          <w:i/>
          <w:noProof/>
        </w:rPr>
        <w:t xml:space="preserve">computing service </w:t>
      </w:r>
      <w:r w:rsidRPr="004465BE">
        <w:rPr>
          <w:b/>
          <w:i/>
          <w:noProof/>
        </w:rPr>
        <w:t>providers</w:t>
      </w:r>
    </w:p>
    <w:p w14:paraId="23903B25" w14:textId="268BD420" w:rsidR="00A66316" w:rsidRDefault="000361EC" w:rsidP="00A66316">
      <w:pPr>
        <w:spacing w:after="160"/>
        <w:rPr>
          <w:noProof/>
        </w:rPr>
      </w:pPr>
      <w:r w:rsidRPr="000361EC">
        <w:rPr>
          <w:i/>
          <w:noProof/>
        </w:rPr>
        <w:t>Audits</w:t>
      </w:r>
      <w:r w:rsidR="0064543C" w:rsidRPr="000361EC">
        <w:rPr>
          <w:i/>
          <w:noProof/>
        </w:rPr>
        <w:t>.</w:t>
      </w:r>
      <w:r w:rsidR="00015693" w:rsidRPr="004465BE">
        <w:rPr>
          <w:b/>
          <w:i/>
          <w:noProof/>
        </w:rPr>
        <w:t xml:space="preserve"> </w:t>
      </w:r>
      <w:r w:rsidR="00015693" w:rsidRPr="004465BE">
        <w:rPr>
          <w:noProof/>
        </w:rPr>
        <w:t xml:space="preserve">A crucial matter in the analysis of the recurrent savings for </w:t>
      </w:r>
      <w:r w:rsidR="0001203E">
        <w:rPr>
          <w:noProof/>
        </w:rPr>
        <w:t>cloud</w:t>
      </w:r>
      <w:r w:rsidR="00015693" w:rsidRPr="004465BE">
        <w:rPr>
          <w:noProof/>
        </w:rPr>
        <w:t xml:space="preserve"> and AI </w:t>
      </w:r>
      <w:r w:rsidR="00F277BE">
        <w:rPr>
          <w:noProof/>
        </w:rPr>
        <w:t xml:space="preserve">computing service </w:t>
      </w:r>
      <w:r w:rsidR="00015693" w:rsidRPr="004465BE">
        <w:rPr>
          <w:noProof/>
        </w:rPr>
        <w:t xml:space="preserve">providers is the single market effect especially considering the mandatory nature of this policy measure. Providers will be able to </w:t>
      </w:r>
      <w:r>
        <w:rPr>
          <w:noProof/>
        </w:rPr>
        <w:t>audit</w:t>
      </w:r>
      <w:r w:rsidR="00EB0977">
        <w:rPr>
          <w:noProof/>
        </w:rPr>
        <w:t xml:space="preserve"> their services</w:t>
      </w:r>
      <w:r w:rsidR="003313F9" w:rsidRPr="004465BE">
        <w:rPr>
          <w:noProof/>
        </w:rPr>
        <w:t xml:space="preserve"> </w:t>
      </w:r>
      <w:r w:rsidR="00015693" w:rsidRPr="004465BE">
        <w:rPr>
          <w:noProof/>
        </w:rPr>
        <w:t xml:space="preserve">in one MS and </w:t>
      </w:r>
      <w:r w:rsidR="00EB0977">
        <w:rPr>
          <w:noProof/>
        </w:rPr>
        <w:t>be able to offer them</w:t>
      </w:r>
      <w:r w:rsidR="00EB02B4">
        <w:rPr>
          <w:noProof/>
        </w:rPr>
        <w:t xml:space="preserve"> in public procurement procedures</w:t>
      </w:r>
      <w:r w:rsidR="00EB02B4" w:rsidRPr="004465BE">
        <w:rPr>
          <w:noProof/>
        </w:rPr>
        <w:t xml:space="preserve"> </w:t>
      </w:r>
      <w:r w:rsidR="00015693" w:rsidRPr="004465BE">
        <w:rPr>
          <w:noProof/>
        </w:rPr>
        <w:t>in all EU</w:t>
      </w:r>
      <w:r w:rsidR="00F253F0">
        <w:rPr>
          <w:noProof/>
        </w:rPr>
        <w:t>-</w:t>
      </w:r>
      <w:r w:rsidR="00015693" w:rsidRPr="004465BE">
        <w:rPr>
          <w:noProof/>
        </w:rPr>
        <w:t>27</w:t>
      </w:r>
      <w:r w:rsidR="00015693" w:rsidRPr="000361EC">
        <w:rPr>
          <w:noProof/>
        </w:rPr>
        <w:t>.</w:t>
      </w:r>
      <w:r w:rsidR="00015693" w:rsidRPr="004465BE">
        <w:rPr>
          <w:noProof/>
        </w:rPr>
        <w:t xml:space="preserve"> The analysis assumes that in the business-as-usual scenario one cloud service provider would seek to </w:t>
      </w:r>
      <w:r w:rsidR="00C623D0">
        <w:rPr>
          <w:noProof/>
        </w:rPr>
        <w:t>run</w:t>
      </w:r>
      <w:r w:rsidR="00015693" w:rsidRPr="004465BE">
        <w:rPr>
          <w:noProof/>
        </w:rPr>
        <w:t xml:space="preserve"> the </w:t>
      </w:r>
      <w:r w:rsidR="00F81867">
        <w:rPr>
          <w:noProof/>
        </w:rPr>
        <w:t>audit</w:t>
      </w:r>
      <w:r w:rsidR="00EB02B4">
        <w:rPr>
          <w:noProof/>
        </w:rPr>
        <w:t xml:space="preserve"> for one service</w:t>
      </w:r>
      <w:r w:rsidR="003313F9" w:rsidRPr="004465BE">
        <w:rPr>
          <w:noProof/>
        </w:rPr>
        <w:t xml:space="preserve"> </w:t>
      </w:r>
      <w:r w:rsidR="00015693" w:rsidRPr="004465BE">
        <w:rPr>
          <w:noProof/>
        </w:rPr>
        <w:t xml:space="preserve">in </w:t>
      </w:r>
      <w:r w:rsidR="00877D2D">
        <w:rPr>
          <w:noProof/>
        </w:rPr>
        <w:t>10</w:t>
      </w:r>
      <w:r w:rsidR="000A7AC8" w:rsidRPr="00FA6908">
        <w:rPr>
          <w:noProof/>
        </w:rPr>
        <w:t xml:space="preserve"> </w:t>
      </w:r>
      <w:r w:rsidR="00015693" w:rsidRPr="004465BE">
        <w:rPr>
          <w:noProof/>
        </w:rPr>
        <w:t xml:space="preserve">MS </w:t>
      </w:r>
      <w:r w:rsidR="000A7AC8" w:rsidRPr="000361EC">
        <w:rPr>
          <w:noProof/>
        </w:rPr>
        <w:t>to</w:t>
      </w:r>
      <w:r w:rsidR="000A7AC8" w:rsidRPr="00FA6908">
        <w:rPr>
          <w:noProof/>
        </w:rPr>
        <w:t xml:space="preserve"> be on the c</w:t>
      </w:r>
      <w:r w:rsidR="00392B68" w:rsidRPr="00FA6908">
        <w:rPr>
          <w:noProof/>
        </w:rPr>
        <w:t>onservative side</w:t>
      </w:r>
      <w:r w:rsidR="00015693" w:rsidRPr="00FA6908">
        <w:rPr>
          <w:noProof/>
        </w:rPr>
        <w:t>.</w:t>
      </w:r>
      <w:r w:rsidR="00A66316">
        <w:rPr>
          <w:noProof/>
        </w:rPr>
        <w:t xml:space="preserve"> </w:t>
      </w:r>
      <w:r w:rsidR="00A66316" w:rsidRPr="0007547C">
        <w:rPr>
          <w:noProof/>
        </w:rPr>
        <w:t>Given the costs of compliance,</w:t>
      </w:r>
      <w:r w:rsidR="00EB02B4">
        <w:rPr>
          <w:noProof/>
        </w:rPr>
        <w:t xml:space="preserve"> in a business-as-usual case,</w:t>
      </w:r>
      <w:r w:rsidR="00A66316" w:rsidRPr="0007547C">
        <w:rPr>
          <w:noProof/>
        </w:rPr>
        <w:t xml:space="preserve"> a cloud and AI </w:t>
      </w:r>
      <w:r w:rsidR="00A66316">
        <w:rPr>
          <w:noProof/>
        </w:rPr>
        <w:t>computing service provider</w:t>
      </w:r>
      <w:r w:rsidR="00A66316" w:rsidRPr="0007547C">
        <w:rPr>
          <w:noProof/>
        </w:rPr>
        <w:t xml:space="preserve"> would carefully prioritize in which MS(s) it would seek to obtain </w:t>
      </w:r>
      <w:r w:rsidR="00A66316">
        <w:rPr>
          <w:noProof/>
        </w:rPr>
        <w:t xml:space="preserve">a similar </w:t>
      </w:r>
      <w:r w:rsidR="0003406F">
        <w:rPr>
          <w:noProof/>
        </w:rPr>
        <w:t xml:space="preserve">audit </w:t>
      </w:r>
      <w:r w:rsidR="00EB02B4">
        <w:rPr>
          <w:noProof/>
        </w:rPr>
        <w:t>of a service</w:t>
      </w:r>
      <w:r w:rsidR="00A66316" w:rsidRPr="0007547C">
        <w:rPr>
          <w:noProof/>
        </w:rPr>
        <w:t xml:space="preserve"> usually taking into consideration aspects such as the market share or other commercial opportunities</w:t>
      </w:r>
      <w:r w:rsidR="00EB02B4">
        <w:rPr>
          <w:noProof/>
        </w:rPr>
        <w:t>.</w:t>
      </w:r>
      <w:r w:rsidR="00A66316" w:rsidRPr="0007547C">
        <w:rPr>
          <w:noProof/>
          <w:lang w:val="en-US"/>
        </w:rPr>
        <w:t> </w:t>
      </w:r>
      <w:r w:rsidR="00A66316">
        <w:rPr>
          <w:noProof/>
        </w:rPr>
        <w:t xml:space="preserve"> </w:t>
      </w:r>
    </w:p>
    <w:p w14:paraId="61F4BBBB" w14:textId="1A5D25FA" w:rsidR="00D0615C" w:rsidRPr="000A7DAD" w:rsidRDefault="00D0615C" w:rsidP="00C25971">
      <w:pPr>
        <w:jc w:val="center"/>
        <w:rPr>
          <w:i/>
          <w:iCs/>
          <w:noProof/>
          <w:lang w:val="en-US"/>
        </w:rPr>
      </w:pPr>
      <w:r w:rsidRPr="000A7DAD">
        <w:rPr>
          <w:i/>
          <w:iCs/>
          <w:noProof/>
          <w:lang w:val="en-US"/>
        </w:rPr>
        <w:t>Saving costs</w:t>
      </w:r>
      <w:r>
        <w:rPr>
          <w:i/>
          <w:iCs/>
          <w:noProof/>
          <w:lang w:val="en-US"/>
        </w:rPr>
        <w:t xml:space="preserve"> </w:t>
      </w:r>
      <w:r w:rsidR="00990BCC">
        <w:rPr>
          <w:i/>
          <w:iCs/>
          <w:noProof/>
          <w:lang w:val="en-US"/>
        </w:rPr>
        <w:t>audit</w:t>
      </w:r>
      <w:r w:rsidDel="00672705">
        <w:rPr>
          <w:i/>
          <w:iCs/>
          <w:noProof/>
          <w:lang w:val="en-US"/>
        </w:rPr>
        <w:t xml:space="preserve"> </w:t>
      </w:r>
      <w:r>
        <w:rPr>
          <w:i/>
          <w:iCs/>
          <w:noProof/>
          <w:lang w:val="en-US"/>
        </w:rPr>
        <w:t xml:space="preserve">valid throughout the EU </w:t>
      </w:r>
      <w:r w:rsidRPr="000A7DAD">
        <w:rPr>
          <w:i/>
          <w:iCs/>
          <w:noProof/>
          <w:lang w:val="en-US"/>
        </w:rPr>
        <w:t xml:space="preserve">= Number of MS where the Cloud and Service Providers would get </w:t>
      </w:r>
      <w:r w:rsidR="0003406F">
        <w:rPr>
          <w:i/>
          <w:iCs/>
          <w:noProof/>
          <w:lang w:val="en-US"/>
        </w:rPr>
        <w:t>audited</w:t>
      </w:r>
      <w:r w:rsidR="0003406F" w:rsidRPr="000A7DAD">
        <w:rPr>
          <w:i/>
          <w:iCs/>
          <w:noProof/>
          <w:lang w:val="en-US"/>
        </w:rPr>
        <w:t xml:space="preserve"> </w:t>
      </w:r>
      <w:r w:rsidRPr="000A7DAD">
        <w:rPr>
          <w:i/>
          <w:iCs/>
          <w:noProof/>
          <w:lang w:val="en-US"/>
        </w:rPr>
        <w:t xml:space="preserve">* cost to get </w:t>
      </w:r>
      <w:r w:rsidR="00990BCC">
        <w:rPr>
          <w:i/>
          <w:iCs/>
          <w:noProof/>
          <w:lang w:val="en-US"/>
        </w:rPr>
        <w:t>audited</w:t>
      </w:r>
      <w:r w:rsidR="00672705" w:rsidRPr="000A7DAD">
        <w:rPr>
          <w:i/>
          <w:iCs/>
          <w:noProof/>
          <w:lang w:val="en-US"/>
        </w:rPr>
        <w:t xml:space="preserve"> </w:t>
      </w:r>
      <w:r w:rsidRPr="000A7DAD">
        <w:rPr>
          <w:i/>
          <w:iCs/>
          <w:noProof/>
          <w:lang w:val="en-US"/>
        </w:rPr>
        <w:t xml:space="preserve">* number of </w:t>
      </w:r>
      <w:r w:rsidR="00990BCC">
        <w:rPr>
          <w:i/>
          <w:iCs/>
          <w:noProof/>
          <w:lang w:val="en-US"/>
        </w:rPr>
        <w:t>audited</w:t>
      </w:r>
      <w:r w:rsidR="00672705" w:rsidRPr="000A7DAD">
        <w:rPr>
          <w:i/>
          <w:iCs/>
          <w:noProof/>
          <w:lang w:val="en-US"/>
        </w:rPr>
        <w:t xml:space="preserve"> </w:t>
      </w:r>
      <w:r w:rsidRPr="000A7DAD">
        <w:rPr>
          <w:i/>
          <w:iCs/>
          <w:noProof/>
          <w:lang w:val="en-US"/>
        </w:rPr>
        <w:t>services</w:t>
      </w:r>
      <w:r w:rsidR="00672705">
        <w:rPr>
          <w:i/>
          <w:iCs/>
          <w:noProof/>
          <w:lang w:val="en-US"/>
        </w:rPr>
        <w:t xml:space="preserve"> assurance level 2 - 4</w:t>
      </w:r>
    </w:p>
    <w:p w14:paraId="01D11EA8" w14:textId="7111E795" w:rsidR="00262E41" w:rsidRPr="00A54618" w:rsidRDefault="0064543C" w:rsidP="00262E41">
      <w:pPr>
        <w:rPr>
          <w:noProof/>
        </w:rPr>
      </w:pPr>
      <w:r w:rsidRPr="00DB1F0F">
        <w:rPr>
          <w:i/>
          <w:noProof/>
          <w:lang w:val="en-US"/>
        </w:rPr>
        <w:t>Public procurement.</w:t>
      </w:r>
      <w:r>
        <w:rPr>
          <w:noProof/>
          <w:lang w:val="en-US"/>
        </w:rPr>
        <w:t xml:space="preserve"> </w:t>
      </w:r>
      <w:r w:rsidR="00262E41" w:rsidRPr="0007547C">
        <w:rPr>
          <w:noProof/>
        </w:rPr>
        <w:t>Another relevant saving stems from the fact of not having to collect and resubmit all the evidence necessary to demonstrate that the criteria are fulfilled</w:t>
      </w:r>
      <w:r w:rsidR="00262E41">
        <w:rPr>
          <w:noProof/>
        </w:rPr>
        <w:t xml:space="preserve"> for each bid</w:t>
      </w:r>
      <w:r w:rsidR="00262E41" w:rsidRPr="0007547C">
        <w:rPr>
          <w:noProof/>
        </w:rPr>
        <w:t xml:space="preserve">, given that the </w:t>
      </w:r>
      <w:r w:rsidR="004910F2">
        <w:rPr>
          <w:noProof/>
        </w:rPr>
        <w:t>certified</w:t>
      </w:r>
      <w:r w:rsidR="00262E41" w:rsidRPr="0007547C">
        <w:rPr>
          <w:noProof/>
        </w:rPr>
        <w:t xml:space="preserve"> service</w:t>
      </w:r>
      <w:r w:rsidR="004910F2">
        <w:rPr>
          <w:noProof/>
        </w:rPr>
        <w:t>s</w:t>
      </w:r>
      <w:r w:rsidR="00262E41" w:rsidRPr="0007547C">
        <w:rPr>
          <w:noProof/>
        </w:rPr>
        <w:t xml:space="preserve"> are listed in the repository and accessible for the contracting authority. The assumption is that undertakings will save </w:t>
      </w:r>
      <w:r w:rsidR="00D55911" w:rsidRPr="00043B42">
        <w:rPr>
          <w:noProof/>
        </w:rPr>
        <w:t>2</w:t>
      </w:r>
      <w:r w:rsidR="00262E41" w:rsidRPr="0007547C">
        <w:rPr>
          <w:noProof/>
        </w:rPr>
        <w:t xml:space="preserve"> staff days / year per service and bid.</w:t>
      </w:r>
      <w:r w:rsidR="00262E41" w:rsidRPr="0007547C">
        <w:rPr>
          <w:noProof/>
          <w:lang w:val="en-US"/>
        </w:rPr>
        <w:t> </w:t>
      </w:r>
      <w:r w:rsidR="00262E41">
        <w:rPr>
          <w:noProof/>
        </w:rPr>
        <w:t xml:space="preserve"> The number of yearly bids amounts to 50 a year.</w:t>
      </w:r>
    </w:p>
    <w:p w14:paraId="4E91BD84" w14:textId="77777777" w:rsidR="00262E41" w:rsidRDefault="00262E41" w:rsidP="00262E41">
      <w:pPr>
        <w:spacing w:after="160"/>
        <w:jc w:val="center"/>
        <w:rPr>
          <w:noProof/>
        </w:rPr>
      </w:pPr>
      <w:r w:rsidRPr="007E2AB2">
        <w:rPr>
          <w:i/>
          <w:iCs/>
          <w:noProof/>
          <w:lang w:val="en-US"/>
        </w:rPr>
        <w:t>Business costs saved: = Businesses time saved per evidence submission in a tender procedure</w:t>
      </w:r>
      <w:r>
        <w:rPr>
          <w:i/>
          <w:iCs/>
          <w:noProof/>
          <w:lang w:val="en-US"/>
        </w:rPr>
        <w:t xml:space="preserve"> * number of submitted bids</w:t>
      </w:r>
    </w:p>
    <w:p w14:paraId="2698D2A3" w14:textId="6D6BCD31" w:rsidR="0043298B" w:rsidRDefault="00CE0C8E" w:rsidP="0043298B">
      <w:pPr>
        <w:rPr>
          <w:b/>
          <w:i/>
          <w:noProof/>
        </w:rPr>
      </w:pPr>
      <w:r w:rsidRPr="00FA6908">
        <w:rPr>
          <w:b/>
          <w:i/>
          <w:noProof/>
        </w:rPr>
        <w:t xml:space="preserve">Recurrent </w:t>
      </w:r>
      <w:r w:rsidR="007258E9" w:rsidRPr="00FA6908">
        <w:rPr>
          <w:b/>
          <w:i/>
          <w:noProof/>
        </w:rPr>
        <w:t>administrative</w:t>
      </w:r>
      <w:r w:rsidR="0043298B" w:rsidRPr="00AA14CE">
        <w:rPr>
          <w:b/>
          <w:i/>
          <w:noProof/>
        </w:rPr>
        <w:t xml:space="preserve"> costs for the private sector (</w:t>
      </w:r>
      <w:r w:rsidR="00DF6BCC" w:rsidRPr="00FA6908">
        <w:rPr>
          <w:b/>
          <w:i/>
          <w:noProof/>
        </w:rPr>
        <w:t>Auditors</w:t>
      </w:r>
      <w:r w:rsidR="0043298B" w:rsidRPr="00FA6908">
        <w:rPr>
          <w:b/>
          <w:i/>
          <w:noProof/>
        </w:rPr>
        <w:t>)</w:t>
      </w:r>
    </w:p>
    <w:p w14:paraId="75927C73" w14:textId="11733053" w:rsidR="00BE3F1C" w:rsidRDefault="00DF6BCC" w:rsidP="005B1D9F">
      <w:pPr>
        <w:rPr>
          <w:noProof/>
        </w:rPr>
      </w:pPr>
      <w:r w:rsidRPr="005B1D9F">
        <w:rPr>
          <w:i/>
          <w:noProof/>
        </w:rPr>
        <w:t>Third party</w:t>
      </w:r>
      <w:r w:rsidR="00A976E6" w:rsidRPr="005B1D9F">
        <w:rPr>
          <w:i/>
          <w:noProof/>
        </w:rPr>
        <w:t xml:space="preserve"> audits</w:t>
      </w:r>
      <w:r w:rsidR="00DE625E" w:rsidRPr="005B1D9F">
        <w:rPr>
          <w:i/>
          <w:noProof/>
        </w:rPr>
        <w:t>.</w:t>
      </w:r>
      <w:r w:rsidR="00DE625E">
        <w:rPr>
          <w:noProof/>
        </w:rPr>
        <w:t xml:space="preserve"> </w:t>
      </w:r>
      <w:r w:rsidR="00F44ED4" w:rsidRPr="00561BCA">
        <w:rPr>
          <w:noProof/>
        </w:rPr>
        <w:t xml:space="preserve">In this PM, </w:t>
      </w:r>
      <w:r w:rsidRPr="00FA6908">
        <w:rPr>
          <w:noProof/>
        </w:rPr>
        <w:t xml:space="preserve">as mentioned above, </w:t>
      </w:r>
      <w:r w:rsidR="00F44ED4" w:rsidRPr="00561BCA">
        <w:rPr>
          <w:noProof/>
        </w:rPr>
        <w:t xml:space="preserve">the target number of cloud and AI computing services </w:t>
      </w:r>
      <w:r w:rsidR="00C563EE">
        <w:rPr>
          <w:noProof/>
        </w:rPr>
        <w:t>audited as sovereign</w:t>
      </w:r>
      <w:r w:rsidR="00D50E64" w:rsidRPr="00561BCA">
        <w:rPr>
          <w:noProof/>
        </w:rPr>
        <w:t xml:space="preserve"> </w:t>
      </w:r>
      <w:r w:rsidR="00F44ED4" w:rsidRPr="00561BCA">
        <w:rPr>
          <w:noProof/>
        </w:rPr>
        <w:t>is estimated to reach 600 by 2032</w:t>
      </w:r>
      <w:r w:rsidR="00F44ED4" w:rsidRPr="00561BCA">
        <w:rPr>
          <w:rStyle w:val="FootnoteReference"/>
          <w:noProof/>
        </w:rPr>
        <w:footnoteReference w:id="94"/>
      </w:r>
      <w:r w:rsidR="00F44ED4" w:rsidRPr="00561BCA">
        <w:rPr>
          <w:noProof/>
        </w:rPr>
        <w:t xml:space="preserve">, whereas </w:t>
      </w:r>
      <w:r w:rsidR="007258E9" w:rsidRPr="00FA6908">
        <w:rPr>
          <w:noProof/>
        </w:rPr>
        <w:t>30</w:t>
      </w:r>
      <w:r w:rsidR="00F44ED4" w:rsidRPr="00561BCA">
        <w:rPr>
          <w:noProof/>
        </w:rPr>
        <w:t xml:space="preserve"> of these will </w:t>
      </w:r>
      <w:r w:rsidR="00C563EE">
        <w:rPr>
          <w:noProof/>
        </w:rPr>
        <w:t>reach</w:t>
      </w:r>
      <w:r w:rsidR="00C54614" w:rsidRPr="00FA6908">
        <w:rPr>
          <w:noProof/>
        </w:rPr>
        <w:t xml:space="preserve"> sovereign level 2-4</w:t>
      </w:r>
      <w:r w:rsidR="00F44ED4" w:rsidRPr="00561BCA">
        <w:rPr>
          <w:noProof/>
        </w:rPr>
        <w:t xml:space="preserve"> during the first year</w:t>
      </w:r>
      <w:r w:rsidR="00C563EE">
        <w:rPr>
          <w:noProof/>
        </w:rPr>
        <w:t>.</w:t>
      </w:r>
      <w:r w:rsidR="00F44ED4" w:rsidRPr="00561BCA">
        <w:rPr>
          <w:noProof/>
        </w:rPr>
        <w:t xml:space="preserve"> The assumed CAGR is </w:t>
      </w:r>
      <w:r w:rsidR="00F44ED4" w:rsidRPr="00FA6908">
        <w:rPr>
          <w:noProof/>
        </w:rPr>
        <w:t>82</w:t>
      </w:r>
      <w:r w:rsidR="00F44ED4" w:rsidRPr="00561BCA">
        <w:rPr>
          <w:noProof/>
        </w:rPr>
        <w:t xml:space="preserve">%. The assumption under this policy </w:t>
      </w:r>
      <w:r w:rsidR="00F44ED4" w:rsidRPr="005B1D9F">
        <w:rPr>
          <w:noProof/>
        </w:rPr>
        <w:t>measure</w:t>
      </w:r>
      <w:r w:rsidR="00F44ED4" w:rsidRPr="00561BCA">
        <w:rPr>
          <w:noProof/>
        </w:rPr>
        <w:t xml:space="preserve"> follows a </w:t>
      </w:r>
      <w:r w:rsidR="00F44ED4">
        <w:rPr>
          <w:noProof/>
        </w:rPr>
        <w:t xml:space="preserve">linear </w:t>
      </w:r>
      <w:r w:rsidR="00F44ED4" w:rsidRPr="00561BCA">
        <w:rPr>
          <w:noProof/>
        </w:rPr>
        <w:t xml:space="preserve">progressive uptake of the </w:t>
      </w:r>
      <w:r w:rsidR="000123C3">
        <w:rPr>
          <w:noProof/>
        </w:rPr>
        <w:t>audit</w:t>
      </w:r>
      <w:r w:rsidR="00F44ED4" w:rsidRPr="00561BCA">
        <w:rPr>
          <w:noProof/>
        </w:rPr>
        <w:t xml:space="preserve"> scheme. </w:t>
      </w:r>
    </w:p>
    <w:p w14:paraId="5A581F37" w14:textId="6E71F2EF" w:rsidR="00297071" w:rsidRDefault="00656064" w:rsidP="00656064">
      <w:pPr>
        <w:rPr>
          <w:noProof/>
        </w:rPr>
      </w:pPr>
      <w:r>
        <w:rPr>
          <w:noProof/>
        </w:rPr>
        <w:t xml:space="preserve">The </w:t>
      </w:r>
      <w:r w:rsidR="005639D6">
        <w:rPr>
          <w:noProof/>
        </w:rPr>
        <w:t xml:space="preserve">estimated </w:t>
      </w:r>
      <w:r w:rsidR="00FF05FD">
        <w:rPr>
          <w:noProof/>
        </w:rPr>
        <w:t xml:space="preserve">average </w:t>
      </w:r>
      <w:r>
        <w:rPr>
          <w:noProof/>
        </w:rPr>
        <w:t xml:space="preserve">effort </w:t>
      </w:r>
      <w:r w:rsidR="005639D6">
        <w:rPr>
          <w:noProof/>
        </w:rPr>
        <w:t xml:space="preserve">for auditing </w:t>
      </w:r>
      <w:r w:rsidR="00423B5B">
        <w:rPr>
          <w:noProof/>
        </w:rPr>
        <w:t>a</w:t>
      </w:r>
      <w:r w:rsidR="00FF05FD">
        <w:rPr>
          <w:noProof/>
        </w:rPr>
        <w:t xml:space="preserve"> service under Sovereignty assurance level 2-4 is </w:t>
      </w:r>
      <w:r w:rsidR="009E0F43" w:rsidRPr="00FA6908">
        <w:rPr>
          <w:noProof/>
        </w:rPr>
        <w:t>110</w:t>
      </w:r>
      <w:r w:rsidR="00FF05FD">
        <w:rPr>
          <w:noProof/>
        </w:rPr>
        <w:t xml:space="preserve"> days / </w:t>
      </w:r>
      <w:r w:rsidR="00392D3A">
        <w:rPr>
          <w:noProof/>
        </w:rPr>
        <w:t>audit</w:t>
      </w:r>
      <w:r w:rsidR="004F18B2" w:rsidRPr="00FA6908">
        <w:rPr>
          <w:noProof/>
        </w:rPr>
        <w:t>. The same</w:t>
      </w:r>
      <w:r w:rsidR="00423B5B">
        <w:rPr>
          <w:noProof/>
        </w:rPr>
        <w:t xml:space="preserve"> effort </w:t>
      </w:r>
      <w:r w:rsidR="004F18B2" w:rsidRPr="00FA6908">
        <w:rPr>
          <w:noProof/>
        </w:rPr>
        <w:t>is considered for</w:t>
      </w:r>
      <w:r w:rsidR="009A5426">
        <w:rPr>
          <w:noProof/>
        </w:rPr>
        <w:t xml:space="preserve"> the </w:t>
      </w:r>
      <w:r w:rsidR="004F18B2" w:rsidRPr="00FA6908">
        <w:rPr>
          <w:noProof/>
        </w:rPr>
        <w:t>renewal process</w:t>
      </w:r>
      <w:r>
        <w:rPr>
          <w:noProof/>
        </w:rPr>
        <w:t>.</w:t>
      </w:r>
      <w:r w:rsidR="004F18B2" w:rsidRPr="00FA6908">
        <w:rPr>
          <w:noProof/>
        </w:rPr>
        <w:t xml:space="preserve"> </w:t>
      </w:r>
    </w:p>
    <w:p w14:paraId="6BAD3967" w14:textId="68326E01" w:rsidR="00037059" w:rsidRDefault="00C52E15" w:rsidP="00015693">
      <w:pPr>
        <w:rPr>
          <w:b/>
          <w:i/>
          <w:iCs/>
          <w:noProof/>
        </w:rPr>
      </w:pPr>
      <w:r w:rsidRPr="00041ABD">
        <w:rPr>
          <w:b/>
          <w:i/>
          <w:iCs/>
          <w:noProof/>
        </w:rPr>
        <w:t>Recurrent administrative costs for the private sector</w:t>
      </w:r>
      <w:r w:rsidR="0043298B" w:rsidRPr="00041ABD">
        <w:rPr>
          <w:b/>
          <w:i/>
          <w:iCs/>
          <w:noProof/>
        </w:rPr>
        <w:t xml:space="preserve"> (</w:t>
      </w:r>
      <w:r w:rsidR="00557D03" w:rsidRPr="00041ABD">
        <w:rPr>
          <w:b/>
          <w:i/>
          <w:iCs/>
          <w:noProof/>
        </w:rPr>
        <w:t>Private sector essential entities operating in sector listed under NIS2 Annex I)</w:t>
      </w:r>
      <w:r w:rsidR="008960DD">
        <w:rPr>
          <w:b/>
          <w:i/>
          <w:iCs/>
          <w:noProof/>
        </w:rPr>
        <w:t xml:space="preserve"> </w:t>
      </w:r>
    </w:p>
    <w:p w14:paraId="4F5F49F9" w14:textId="443AE673" w:rsidR="00173884" w:rsidRDefault="00FA6437" w:rsidP="00015693">
      <w:pPr>
        <w:rPr>
          <w:noProof/>
        </w:rPr>
      </w:pPr>
      <w:r w:rsidRPr="00B92DBC">
        <w:rPr>
          <w:i/>
          <w:noProof/>
        </w:rPr>
        <w:t>Risk assessment</w:t>
      </w:r>
      <w:r>
        <w:rPr>
          <w:bCs/>
          <w:noProof/>
        </w:rPr>
        <w:t xml:space="preserve">. </w:t>
      </w:r>
      <w:r w:rsidR="00B92DBC">
        <w:rPr>
          <w:bCs/>
          <w:noProof/>
        </w:rPr>
        <w:t>These are</w:t>
      </w:r>
      <w:r w:rsidR="008960DD">
        <w:rPr>
          <w:bCs/>
          <w:noProof/>
        </w:rPr>
        <w:t xml:space="preserve"> the</w:t>
      </w:r>
      <w:r w:rsidR="00C52E15" w:rsidRPr="00017F81" w:rsidDel="008960DD">
        <w:rPr>
          <w:noProof/>
        </w:rPr>
        <w:t xml:space="preserve"> </w:t>
      </w:r>
      <w:r w:rsidR="00E55061" w:rsidRPr="00017F81">
        <w:rPr>
          <w:noProof/>
        </w:rPr>
        <w:t xml:space="preserve">costs </w:t>
      </w:r>
      <w:r w:rsidR="004E3763">
        <w:rPr>
          <w:noProof/>
        </w:rPr>
        <w:t xml:space="preserve">incurred by </w:t>
      </w:r>
      <w:r w:rsidR="0024620E">
        <w:rPr>
          <w:noProof/>
        </w:rPr>
        <w:t xml:space="preserve">essential </w:t>
      </w:r>
      <w:r w:rsidR="004E3763">
        <w:rPr>
          <w:noProof/>
        </w:rPr>
        <w:t xml:space="preserve">private sector entities listed as </w:t>
      </w:r>
      <w:r w:rsidR="00C84C0B">
        <w:rPr>
          <w:noProof/>
        </w:rPr>
        <w:t xml:space="preserve">under annex I of NIS2 to </w:t>
      </w:r>
      <w:r w:rsidR="00100098">
        <w:rPr>
          <w:noProof/>
        </w:rPr>
        <w:t>sovereignty related</w:t>
      </w:r>
      <w:r w:rsidR="00C84C0B">
        <w:rPr>
          <w:noProof/>
        </w:rPr>
        <w:t xml:space="preserve"> risks in their current risk assessments. </w:t>
      </w:r>
      <w:r w:rsidR="009D2693">
        <w:rPr>
          <w:noProof/>
        </w:rPr>
        <w:t xml:space="preserve">The effort estimated is </w:t>
      </w:r>
      <w:r w:rsidR="002813BD" w:rsidRPr="002813BD">
        <w:rPr>
          <w:noProof/>
        </w:rPr>
        <w:t>60 staff days</w:t>
      </w:r>
      <w:r w:rsidR="00D159A8">
        <w:rPr>
          <w:noProof/>
        </w:rPr>
        <w:t xml:space="preserve"> per </w:t>
      </w:r>
      <w:r w:rsidR="00173884">
        <w:rPr>
          <w:noProof/>
        </w:rPr>
        <w:t xml:space="preserve">essential </w:t>
      </w:r>
      <w:r w:rsidR="00D159A8">
        <w:rPr>
          <w:noProof/>
        </w:rPr>
        <w:t>entity</w:t>
      </w:r>
      <w:r w:rsidR="008A1321">
        <w:rPr>
          <w:noProof/>
        </w:rPr>
        <w:t xml:space="preserve"> for the first year </w:t>
      </w:r>
      <w:r w:rsidR="008A1321" w:rsidRPr="002813BD">
        <w:rPr>
          <w:noProof/>
        </w:rPr>
        <w:t xml:space="preserve">and </w:t>
      </w:r>
      <w:r w:rsidR="002813BD" w:rsidRPr="002813BD">
        <w:rPr>
          <w:noProof/>
        </w:rPr>
        <w:t>12 staff days</w:t>
      </w:r>
      <w:r w:rsidR="008A1321">
        <w:rPr>
          <w:noProof/>
        </w:rPr>
        <w:t xml:space="preserve"> for the following ones to account that the novelty </w:t>
      </w:r>
      <w:r w:rsidR="008E588C">
        <w:rPr>
          <w:noProof/>
        </w:rPr>
        <w:t>generates larger work</w:t>
      </w:r>
      <w:r w:rsidR="00970E04">
        <w:rPr>
          <w:noProof/>
        </w:rPr>
        <w:t xml:space="preserve"> that </w:t>
      </w:r>
      <w:r w:rsidR="00816BD8">
        <w:rPr>
          <w:noProof/>
        </w:rPr>
        <w:t>re-doing it.</w:t>
      </w:r>
    </w:p>
    <w:p w14:paraId="252EB60D" w14:textId="48BA305D" w:rsidR="002B099B" w:rsidRDefault="0028411D" w:rsidP="00A8392D">
      <w:pPr>
        <w:rPr>
          <w:noProof/>
          <w:lang w:val="en-US"/>
        </w:rPr>
      </w:pPr>
      <w:r>
        <w:rPr>
          <w:noProof/>
        </w:rPr>
        <w:t xml:space="preserve">The SWD </w:t>
      </w:r>
      <w:r w:rsidR="0050170A">
        <w:rPr>
          <w:noProof/>
        </w:rPr>
        <w:t>published as part of the proposal for</w:t>
      </w:r>
      <w:r>
        <w:rPr>
          <w:noProof/>
        </w:rPr>
        <w:t xml:space="preserve"> the Di</w:t>
      </w:r>
      <w:r w:rsidR="00D659DE">
        <w:rPr>
          <w:noProof/>
        </w:rPr>
        <w:t xml:space="preserve">gital Omnibus </w:t>
      </w:r>
      <w:r w:rsidR="00D659DE">
        <w:rPr>
          <w:rStyle w:val="FootnoteReference"/>
          <w:noProof/>
        </w:rPr>
        <w:footnoteReference w:id="95"/>
      </w:r>
      <w:r w:rsidR="00E42D0C">
        <w:rPr>
          <w:noProof/>
        </w:rPr>
        <w:t xml:space="preserve"> estimates that the number of all entities, </w:t>
      </w:r>
      <w:r w:rsidR="00DC7BF9">
        <w:rPr>
          <w:noProof/>
        </w:rPr>
        <w:t xml:space="preserve">essential and critical, </w:t>
      </w:r>
      <w:r w:rsidR="00B313CA">
        <w:rPr>
          <w:noProof/>
        </w:rPr>
        <w:t xml:space="preserve">from the </w:t>
      </w:r>
      <w:r w:rsidR="007A49F9">
        <w:rPr>
          <w:noProof/>
        </w:rPr>
        <w:t>p</w:t>
      </w:r>
      <w:r w:rsidR="00E42D0C">
        <w:rPr>
          <w:noProof/>
        </w:rPr>
        <w:t>rivate and public sector, affected by NIS2 Annex I</w:t>
      </w:r>
      <w:r w:rsidR="0050170A">
        <w:rPr>
          <w:noProof/>
        </w:rPr>
        <w:t xml:space="preserve"> amounts to 160 000. </w:t>
      </w:r>
      <w:r w:rsidR="0033671B" w:rsidRPr="0082131D">
        <w:rPr>
          <w:noProof/>
          <w:lang w:val="en-US"/>
        </w:rPr>
        <w:t xml:space="preserve">France's NIS2 </w:t>
      </w:r>
      <w:r w:rsidR="0033671B">
        <w:rPr>
          <w:noProof/>
          <w:lang w:val="en-US"/>
        </w:rPr>
        <w:t>available</w:t>
      </w:r>
      <w:r w:rsidR="0033671B" w:rsidRPr="0082131D">
        <w:rPr>
          <w:noProof/>
          <w:lang w:val="en-US"/>
        </w:rPr>
        <w:t xml:space="preserve"> data, indicates </w:t>
      </w:r>
      <w:r w:rsidR="002503E1">
        <w:rPr>
          <w:noProof/>
          <w:lang w:val="en-US"/>
        </w:rPr>
        <w:t xml:space="preserve">that </w:t>
      </w:r>
      <w:r w:rsidR="0033671B" w:rsidRPr="0082131D">
        <w:rPr>
          <w:noProof/>
          <w:lang w:val="en-US"/>
        </w:rPr>
        <w:t xml:space="preserve">20% </w:t>
      </w:r>
      <w:r w:rsidR="002503E1">
        <w:rPr>
          <w:noProof/>
          <w:lang w:val="en-US"/>
        </w:rPr>
        <w:t>of its</w:t>
      </w:r>
      <w:r w:rsidR="0033671B" w:rsidRPr="0082131D">
        <w:rPr>
          <w:noProof/>
          <w:lang w:val="en-US"/>
        </w:rPr>
        <w:t xml:space="preserve"> entities are classified as essential entities under Annex I, with the remaining 80% designated as important entities under Annex II</w:t>
      </w:r>
      <w:r w:rsidR="00E83C7E">
        <w:rPr>
          <w:rStyle w:val="FootnoteReference"/>
          <w:noProof/>
          <w:lang w:val="en-US"/>
        </w:rPr>
        <w:footnoteReference w:id="96"/>
      </w:r>
      <w:r w:rsidR="00E83C7E">
        <w:rPr>
          <w:noProof/>
          <w:lang w:val="en-US"/>
        </w:rPr>
        <w:t>.</w:t>
      </w:r>
      <w:r w:rsidR="009B451D">
        <w:rPr>
          <w:noProof/>
          <w:lang w:val="en-US"/>
        </w:rPr>
        <w:t xml:space="preserve"> Re-using the same ratio for the EU implies </w:t>
      </w:r>
      <w:r w:rsidR="00AF13F6">
        <w:rPr>
          <w:noProof/>
          <w:lang w:val="en-US"/>
        </w:rPr>
        <w:t xml:space="preserve">160 000 * </w:t>
      </w:r>
      <w:r w:rsidR="003E48B9">
        <w:rPr>
          <w:noProof/>
          <w:lang w:val="en-US"/>
        </w:rPr>
        <w:t>2</w:t>
      </w:r>
      <w:r w:rsidR="00AF13F6">
        <w:rPr>
          <w:noProof/>
          <w:lang w:val="en-US"/>
        </w:rPr>
        <w:t xml:space="preserve">0% = </w:t>
      </w:r>
      <w:r w:rsidR="003E48B9">
        <w:rPr>
          <w:noProof/>
          <w:lang w:val="en-US"/>
        </w:rPr>
        <w:t xml:space="preserve">32 000. To which the private sector </w:t>
      </w:r>
      <w:r w:rsidR="00391D55">
        <w:rPr>
          <w:noProof/>
          <w:lang w:val="en-US"/>
        </w:rPr>
        <w:t xml:space="preserve">is assumed to </w:t>
      </w:r>
      <w:r w:rsidR="003E48B9">
        <w:rPr>
          <w:noProof/>
          <w:lang w:val="en-US"/>
        </w:rPr>
        <w:t xml:space="preserve">represent 80%, or 32 000 * 80% = </w:t>
      </w:r>
      <w:r w:rsidR="00391D55">
        <w:rPr>
          <w:noProof/>
          <w:lang w:val="en-US"/>
        </w:rPr>
        <w:t>25 600</w:t>
      </w:r>
      <w:r w:rsidR="007C6823">
        <w:rPr>
          <w:noProof/>
          <w:lang w:val="en-US"/>
        </w:rPr>
        <w:t>.</w:t>
      </w:r>
    </w:p>
    <w:p w14:paraId="703BF821" w14:textId="506B67C8" w:rsidR="00015693" w:rsidRPr="00335194" w:rsidRDefault="00015693" w:rsidP="00015693">
      <w:pPr>
        <w:rPr>
          <w:noProof/>
        </w:rPr>
      </w:pPr>
      <w:r w:rsidRPr="006B45B0">
        <w:rPr>
          <w:b/>
          <w:noProof/>
        </w:rPr>
        <w:t xml:space="preserve">Indirect </w:t>
      </w:r>
      <w:r w:rsidR="00690805" w:rsidRPr="006B45B0">
        <w:rPr>
          <w:b/>
          <w:noProof/>
        </w:rPr>
        <w:t>savings</w:t>
      </w:r>
      <w:r w:rsidRPr="006B45B0">
        <w:rPr>
          <w:noProof/>
        </w:rPr>
        <w:t xml:space="preserve">: Similarly to PM15, through this measure, cloud and AI </w:t>
      </w:r>
      <w:r w:rsidR="00E943E0" w:rsidRPr="006B45B0">
        <w:rPr>
          <w:noProof/>
        </w:rPr>
        <w:t xml:space="preserve">computing </w:t>
      </w:r>
      <w:r w:rsidRPr="006B45B0">
        <w:rPr>
          <w:noProof/>
        </w:rPr>
        <w:t xml:space="preserve">services able to adequate their processes to comply with the </w:t>
      </w:r>
      <w:r w:rsidR="00D52CFD">
        <w:rPr>
          <w:noProof/>
        </w:rPr>
        <w:t>audit</w:t>
      </w:r>
      <w:r w:rsidR="00DC070D" w:rsidRPr="006B45B0">
        <w:rPr>
          <w:noProof/>
        </w:rPr>
        <w:t xml:space="preserve"> </w:t>
      </w:r>
      <w:r w:rsidRPr="006B45B0">
        <w:rPr>
          <w:noProof/>
        </w:rPr>
        <w:t xml:space="preserve">scheme will increase trust from public administrations, and notably for </w:t>
      </w:r>
      <w:r w:rsidRPr="006B45B0" w:rsidDel="00DC070D">
        <w:rPr>
          <w:noProof/>
        </w:rPr>
        <w:t xml:space="preserve">the </w:t>
      </w:r>
      <w:r w:rsidR="00DC070D" w:rsidRPr="006B45B0">
        <w:rPr>
          <w:noProof/>
        </w:rPr>
        <w:t>use cases identified as need-to-be sovereign based on the sovereign risk assessments performed</w:t>
      </w:r>
      <w:r w:rsidRPr="006B45B0">
        <w:rPr>
          <w:noProof/>
        </w:rPr>
        <w:t>. This will result in more trustworthy, credible and very specialized as well as very advanced offers responding to challenges such as resilience and autonomy. Given the mandatory nature of this PM, the indirect savings are expected to be larger in this measure than in PM15.</w:t>
      </w:r>
    </w:p>
    <w:p w14:paraId="5DF573F7" w14:textId="2E3CC3A3" w:rsidR="000E4024" w:rsidRPr="00E65A8D" w:rsidRDefault="00015693" w:rsidP="00015693">
      <w:pPr>
        <w:rPr>
          <w:noProof/>
        </w:rPr>
      </w:pPr>
      <w:r w:rsidRPr="00D13557">
        <w:rPr>
          <w:b/>
          <w:noProof/>
        </w:rPr>
        <w:t>Sensitivity analysis</w:t>
      </w:r>
      <w:r w:rsidRPr="0007547C">
        <w:rPr>
          <w:b/>
          <w:noProof/>
        </w:rPr>
        <w:t xml:space="preserve">: </w:t>
      </w:r>
      <w:r w:rsidRPr="0007547C">
        <w:rPr>
          <w:noProof/>
        </w:rPr>
        <w:t xml:space="preserve">The most affected parameters for this Policy Measure are as follows: </w:t>
      </w:r>
      <w:r w:rsidRPr="00E65A8D">
        <w:rPr>
          <w:noProof/>
        </w:rPr>
        <w:t>1)</w:t>
      </w:r>
      <w:r w:rsidRPr="0007547C">
        <w:rPr>
          <w:noProof/>
        </w:rPr>
        <w:t xml:space="preserve"> the effort needed by a cloud and AI </w:t>
      </w:r>
      <w:r w:rsidR="00F277BE">
        <w:rPr>
          <w:noProof/>
        </w:rPr>
        <w:t>computing service provider</w:t>
      </w:r>
      <w:r w:rsidRPr="0007547C">
        <w:rPr>
          <w:noProof/>
        </w:rPr>
        <w:t xml:space="preserve"> to obtain the </w:t>
      </w:r>
      <w:r w:rsidR="00D13557">
        <w:rPr>
          <w:noProof/>
        </w:rPr>
        <w:t>audit</w:t>
      </w:r>
      <w:r w:rsidRPr="0007547C">
        <w:rPr>
          <w:noProof/>
        </w:rPr>
        <w:t xml:space="preserve">; </w:t>
      </w:r>
      <w:r w:rsidRPr="00E65A8D">
        <w:rPr>
          <w:noProof/>
        </w:rPr>
        <w:t>2)</w:t>
      </w:r>
      <w:r w:rsidRPr="0007547C">
        <w:rPr>
          <w:noProof/>
        </w:rPr>
        <w:t xml:space="preserve"> the number of MS where </w:t>
      </w:r>
      <w:r w:rsidR="00592BF3">
        <w:rPr>
          <w:noProof/>
        </w:rPr>
        <w:t>cloud and AI computing services</w:t>
      </w:r>
      <w:r w:rsidR="00592BF3" w:rsidRPr="0007547C">
        <w:rPr>
          <w:noProof/>
        </w:rPr>
        <w:t xml:space="preserve"> </w:t>
      </w:r>
      <w:r w:rsidRPr="0007547C">
        <w:rPr>
          <w:noProof/>
        </w:rPr>
        <w:t xml:space="preserve">would seek the </w:t>
      </w:r>
      <w:r w:rsidR="00D13557">
        <w:rPr>
          <w:noProof/>
        </w:rPr>
        <w:t>audit</w:t>
      </w:r>
      <w:r w:rsidRPr="0007547C">
        <w:rPr>
          <w:noProof/>
        </w:rPr>
        <w:t xml:space="preserve"> in the absence of a single market</w:t>
      </w:r>
      <w:r w:rsidRPr="006D44EC">
        <w:rPr>
          <w:noProof/>
        </w:rPr>
        <w:t>;</w:t>
      </w:r>
      <w:r w:rsidRPr="006D44EC" w:rsidDel="006D44EC">
        <w:rPr>
          <w:noProof/>
        </w:rPr>
        <w:t xml:space="preserve"> </w:t>
      </w:r>
      <w:r w:rsidRPr="00E65A8D">
        <w:rPr>
          <w:noProof/>
        </w:rPr>
        <w:t>3)</w:t>
      </w:r>
      <w:r w:rsidRPr="0007547C">
        <w:rPr>
          <w:noProof/>
        </w:rPr>
        <w:t xml:space="preserve"> the initial number of cloud and AI </w:t>
      </w:r>
      <w:r w:rsidR="00F277BE">
        <w:rPr>
          <w:noProof/>
        </w:rPr>
        <w:t>computing service</w:t>
      </w:r>
      <w:r w:rsidR="00D13557">
        <w:rPr>
          <w:noProof/>
        </w:rPr>
        <w:t>s audited</w:t>
      </w:r>
      <w:r w:rsidRPr="0007547C">
        <w:rPr>
          <w:noProof/>
        </w:rPr>
        <w:t xml:space="preserve"> during the first year and the annual growth;</w:t>
      </w:r>
      <w:r w:rsidR="000B6963">
        <w:rPr>
          <w:noProof/>
        </w:rPr>
        <w:t xml:space="preserve"> </w:t>
      </w:r>
      <w:r w:rsidRPr="00E65A8D">
        <w:rPr>
          <w:noProof/>
        </w:rPr>
        <w:t>4)</w:t>
      </w:r>
      <w:r w:rsidRPr="0007547C">
        <w:rPr>
          <w:noProof/>
        </w:rPr>
        <w:t xml:space="preserve"> the number of submitted bids per year</w:t>
      </w:r>
      <w:r w:rsidR="00D30869">
        <w:rPr>
          <w:noProof/>
        </w:rPr>
        <w:t xml:space="preserve">; </w:t>
      </w:r>
      <w:r w:rsidR="00AD2BBF" w:rsidRPr="00E65A8D">
        <w:rPr>
          <w:noProof/>
        </w:rPr>
        <w:t>5</w:t>
      </w:r>
      <w:r w:rsidR="00D30869" w:rsidRPr="00E65A8D">
        <w:rPr>
          <w:noProof/>
        </w:rPr>
        <w:t>)</w:t>
      </w:r>
      <w:r w:rsidR="00D30869">
        <w:rPr>
          <w:noProof/>
        </w:rPr>
        <w:t xml:space="preserve"> </w:t>
      </w:r>
      <w:r w:rsidR="00960991">
        <w:rPr>
          <w:noProof/>
        </w:rPr>
        <w:t>effort by the private sector for the risk assessments</w:t>
      </w:r>
      <w:r w:rsidR="001043AC">
        <w:rPr>
          <w:noProof/>
        </w:rPr>
        <w:t xml:space="preserve">, </w:t>
      </w:r>
      <w:r w:rsidR="001043AC" w:rsidRPr="00E65A8D">
        <w:rPr>
          <w:noProof/>
        </w:rPr>
        <w:t>6)</w:t>
      </w:r>
      <w:r w:rsidR="001043AC">
        <w:rPr>
          <w:noProof/>
        </w:rPr>
        <w:t xml:space="preserve"> effort by</w:t>
      </w:r>
      <w:r w:rsidR="00C50FC3">
        <w:rPr>
          <w:noProof/>
        </w:rPr>
        <w:t xml:space="preserve"> public authorities</w:t>
      </w:r>
      <w:r w:rsidR="00960991">
        <w:rPr>
          <w:noProof/>
        </w:rPr>
        <w:t xml:space="preserve"> for the risk assessments</w:t>
      </w:r>
      <w:r w:rsidR="00E65A8D">
        <w:rPr>
          <w:noProof/>
        </w:rPr>
        <w:t>.</w:t>
      </w:r>
    </w:p>
    <w:p w14:paraId="32A780AE" w14:textId="7D52EDBC" w:rsidR="00015693" w:rsidRPr="004465BE" w:rsidRDefault="00015693" w:rsidP="00015693">
      <w:pPr>
        <w:rPr>
          <w:noProof/>
        </w:rPr>
      </w:pPr>
      <w:r w:rsidRPr="00D13557">
        <w:rPr>
          <w:b/>
          <w:noProof/>
        </w:rPr>
        <w:t>Results</w:t>
      </w:r>
      <w:r w:rsidRPr="004465BE">
        <w:rPr>
          <w:noProof/>
        </w:rPr>
        <w:t xml:space="preserve"> for all stakeholders aggregated and for the years covered by this measure are summarised in the table below.</w:t>
      </w:r>
      <w:r w:rsidRPr="004465BE">
        <w:rPr>
          <w:noProof/>
          <w:color w:val="000000" w:themeColor="text1"/>
        </w:rPr>
        <w:t xml:space="preserve"> The main source of variation in the min and max comes from the cost savings, and notably the savings from the </w:t>
      </w:r>
      <w:r w:rsidR="00D0615C">
        <w:rPr>
          <w:noProof/>
          <w:color w:val="000000" w:themeColor="text1"/>
        </w:rPr>
        <w:t xml:space="preserve">EU-wide </w:t>
      </w:r>
      <w:r w:rsidR="00C12ABB">
        <w:rPr>
          <w:noProof/>
          <w:color w:val="000000" w:themeColor="text1"/>
        </w:rPr>
        <w:t>val</w:t>
      </w:r>
      <w:r w:rsidR="00133E2A">
        <w:rPr>
          <w:noProof/>
          <w:color w:val="000000" w:themeColor="text1"/>
        </w:rPr>
        <w:t>idity</w:t>
      </w:r>
      <w:r w:rsidRPr="004465BE">
        <w:rPr>
          <w:noProof/>
          <w:color w:val="000000" w:themeColor="text1"/>
        </w:rPr>
        <w:t xml:space="preserve"> per service for </w:t>
      </w:r>
      <w:r w:rsidR="006317A5">
        <w:rPr>
          <w:noProof/>
          <w:color w:val="000000" w:themeColor="text1"/>
        </w:rPr>
        <w:t>cloud</w:t>
      </w:r>
      <w:r w:rsidRPr="004465BE">
        <w:rPr>
          <w:noProof/>
          <w:color w:val="000000" w:themeColor="text1"/>
        </w:rPr>
        <w:t xml:space="preserve"> and AI </w:t>
      </w:r>
      <w:r w:rsidR="00E943E0">
        <w:rPr>
          <w:noProof/>
          <w:color w:val="000000" w:themeColor="text1"/>
        </w:rPr>
        <w:t>computing</w:t>
      </w:r>
      <w:r w:rsidRPr="004465BE">
        <w:rPr>
          <w:noProof/>
          <w:color w:val="000000" w:themeColor="text1"/>
        </w:rPr>
        <w:t xml:space="preserve"> service providers</w:t>
      </w:r>
      <w:r w:rsidR="003A1968">
        <w:rPr>
          <w:noProof/>
          <w:color w:val="000000" w:themeColor="text1"/>
        </w:rPr>
        <w:t xml:space="preserve"> and the number of countries where providers would </w:t>
      </w:r>
      <w:r w:rsidR="00804C13">
        <w:rPr>
          <w:noProof/>
          <w:color w:val="000000" w:themeColor="text1"/>
        </w:rPr>
        <w:t>audited/validated</w:t>
      </w:r>
      <w:r w:rsidR="00B640A0">
        <w:rPr>
          <w:noProof/>
          <w:color w:val="000000" w:themeColor="text1"/>
        </w:rPr>
        <w:t>, in the event the scheme would not exist</w:t>
      </w:r>
      <w:r w:rsidRPr="004465BE">
        <w:rPr>
          <w:noProof/>
          <w:color w:val="000000" w:themeColor="text1"/>
        </w:rPr>
        <w:t xml:space="preserve">. </w:t>
      </w:r>
    </w:p>
    <w:p w14:paraId="5F004F60" w14:textId="265969B4" w:rsidR="00015693" w:rsidRDefault="00015693" w:rsidP="00015693">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41</w:t>
      </w:r>
      <w:r>
        <w:rPr>
          <w:noProof/>
        </w:rPr>
        <w:fldChar w:fldCharType="end"/>
      </w:r>
      <w:r w:rsidR="00B16A29">
        <w:rPr>
          <w:noProof/>
        </w:rPr>
        <w:t>.</w:t>
      </w:r>
      <w:r w:rsidR="001B513C">
        <w:rPr>
          <w:noProof/>
        </w:rPr>
        <w:t xml:space="preserve"> </w:t>
      </w:r>
      <w:r>
        <w:rPr>
          <w:noProof/>
        </w:rPr>
        <w:t xml:space="preserve">Mandatory </w:t>
      </w:r>
      <w:r w:rsidR="00A34E51">
        <w:rPr>
          <w:noProof/>
        </w:rPr>
        <w:t>sovereign risk assessment</w:t>
      </w:r>
      <w:r>
        <w:rPr>
          <w:noProof/>
        </w:rPr>
        <w:t xml:space="preserve"> for the </w:t>
      </w:r>
      <w:r w:rsidR="00A34E51">
        <w:rPr>
          <w:noProof/>
        </w:rPr>
        <w:t xml:space="preserve">use </w:t>
      </w:r>
      <w:r>
        <w:rPr>
          <w:noProof/>
        </w:rPr>
        <w:t xml:space="preserve">of </w:t>
      </w:r>
      <w:r w:rsidR="394A2FAE">
        <w:rPr>
          <w:noProof/>
        </w:rPr>
        <w:t xml:space="preserve">cloud and AI computing services </w:t>
      </w:r>
      <w:r w:rsidR="7231C879">
        <w:rPr>
          <w:noProof/>
        </w:rPr>
        <w:t>in the public sector</w:t>
      </w:r>
      <w:r w:rsidR="00E62051">
        <w:rPr>
          <w:noProof/>
        </w:rPr>
        <w:t xml:space="preserve"> </w:t>
      </w:r>
      <w:r>
        <w:rPr>
          <w:noProof/>
        </w:rPr>
        <w:t>(PM21)</w:t>
      </w:r>
    </w:p>
    <w:tbl>
      <w:tblPr>
        <w:tblStyle w:val="TableGrid"/>
        <w:tblW w:w="5799" w:type="pct"/>
        <w:tblInd w:w="-851" w:type="dxa"/>
        <w:tblLayout w:type="fixed"/>
        <w:tblCellMar>
          <w:left w:w="0" w:type="dxa"/>
          <w:right w:w="0" w:type="dxa"/>
        </w:tblCellMar>
        <w:tblLook w:val="04A0" w:firstRow="1" w:lastRow="0" w:firstColumn="1" w:lastColumn="0" w:noHBand="0" w:noVBand="1"/>
      </w:tblPr>
      <w:tblGrid>
        <w:gridCol w:w="1561"/>
        <w:gridCol w:w="1276"/>
        <w:gridCol w:w="1412"/>
        <w:gridCol w:w="1131"/>
        <w:gridCol w:w="1129"/>
        <w:gridCol w:w="1292"/>
        <w:gridCol w:w="1273"/>
        <w:gridCol w:w="1416"/>
      </w:tblGrid>
      <w:tr w:rsidR="00DA0A9A" w:rsidRPr="00FA63C0" w14:paraId="399542DF" w14:textId="77777777" w:rsidTr="008C567B">
        <w:trPr>
          <w:trHeight w:val="506"/>
        </w:trPr>
        <w:tc>
          <w:tcPr>
            <w:tcW w:w="744" w:type="pct"/>
            <w:tcBorders>
              <w:bottom w:val="single" w:sz="12" w:space="0" w:color="00B0F0"/>
            </w:tcBorders>
            <w:noWrap/>
            <w:hideMark/>
          </w:tcPr>
          <w:p w14:paraId="0A16E6BF" w14:textId="77777777" w:rsidR="005340C5" w:rsidRPr="00FA63C0" w:rsidRDefault="005340C5">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608" w:type="pct"/>
            <w:tcBorders>
              <w:bottom w:val="single" w:sz="12" w:space="0" w:color="00B0F0"/>
            </w:tcBorders>
          </w:tcPr>
          <w:p w14:paraId="5FB51AA9" w14:textId="0CFD6EFF" w:rsidR="005340C5" w:rsidRDefault="005340C5">
            <w:pPr>
              <w:spacing w:after="0"/>
              <w:jc w:val="center"/>
              <w:rPr>
                <w:b/>
                <w:bCs/>
                <w:noProof/>
                <w:sz w:val="20"/>
                <w:szCs w:val="20"/>
                <w:lang w:val="en-IE" w:eastAsia="en-IE"/>
              </w:rPr>
            </w:pPr>
            <w:r>
              <w:rPr>
                <w:b/>
                <w:bCs/>
                <w:noProof/>
                <w:sz w:val="20"/>
                <w:szCs w:val="20"/>
                <w:lang w:val="en-IE" w:eastAsia="en-IE"/>
              </w:rPr>
              <w:t>Private sector</w:t>
            </w:r>
          </w:p>
        </w:tc>
        <w:tc>
          <w:tcPr>
            <w:tcW w:w="673" w:type="pct"/>
            <w:tcBorders>
              <w:bottom w:val="single" w:sz="12" w:space="0" w:color="00B0F0"/>
            </w:tcBorders>
          </w:tcPr>
          <w:p w14:paraId="2B9EEF66" w14:textId="33019B71" w:rsidR="005340C5" w:rsidRPr="00FA63C0" w:rsidRDefault="005340C5">
            <w:pPr>
              <w:spacing w:after="0"/>
              <w:jc w:val="center"/>
              <w:rPr>
                <w:b/>
                <w:bCs/>
                <w:noProof/>
                <w:sz w:val="20"/>
                <w:szCs w:val="20"/>
                <w:lang w:val="en-IE" w:eastAsia="en-IE"/>
              </w:rPr>
            </w:pPr>
            <w:r>
              <w:rPr>
                <w:b/>
                <w:bCs/>
                <w:noProof/>
                <w:sz w:val="20"/>
                <w:szCs w:val="20"/>
                <w:lang w:val="en-IE" w:eastAsia="en-IE"/>
              </w:rPr>
              <w:t xml:space="preserve">Cloud &amp; AI providers </w:t>
            </w:r>
            <w:r w:rsidRPr="00FA63C0">
              <w:rPr>
                <w:noProof/>
                <w:sz w:val="20"/>
                <w:szCs w:val="20"/>
                <w:lang w:val="en-IE" w:eastAsia="en-IE"/>
              </w:rPr>
              <w:t>(</w:t>
            </w:r>
            <w:r w:rsidRPr="00EC6BC1">
              <w:rPr>
                <w:noProof/>
                <w:sz w:val="20"/>
                <w:szCs w:val="20"/>
              </w:rPr>
              <w:t>€)</w:t>
            </w:r>
          </w:p>
        </w:tc>
        <w:tc>
          <w:tcPr>
            <w:tcW w:w="539" w:type="pct"/>
            <w:tcBorders>
              <w:bottom w:val="single" w:sz="12" w:space="0" w:color="00B0F0"/>
            </w:tcBorders>
          </w:tcPr>
          <w:p w14:paraId="0B52F6DF" w14:textId="77777777" w:rsidR="005340C5" w:rsidRPr="00FA63C0" w:rsidRDefault="005340C5">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538" w:type="pct"/>
            <w:tcBorders>
              <w:bottom w:val="single" w:sz="12" w:space="0" w:color="00B0F0"/>
            </w:tcBorders>
          </w:tcPr>
          <w:p w14:paraId="08D58230" w14:textId="77777777" w:rsidR="005340C5" w:rsidRPr="00FA63C0" w:rsidRDefault="005340C5">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616" w:type="pct"/>
            <w:tcBorders>
              <w:bottom w:val="single" w:sz="12" w:space="0" w:color="00B0F0"/>
            </w:tcBorders>
            <w:noWrap/>
            <w:hideMark/>
          </w:tcPr>
          <w:p w14:paraId="01F00F42" w14:textId="77777777" w:rsidR="005340C5" w:rsidRPr="00FA63C0" w:rsidRDefault="005340C5">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607" w:type="pct"/>
            <w:tcBorders>
              <w:bottom w:val="single" w:sz="12" w:space="0" w:color="00B0F0"/>
            </w:tcBorders>
            <w:noWrap/>
            <w:hideMark/>
          </w:tcPr>
          <w:p w14:paraId="718603B5" w14:textId="77777777" w:rsidR="005340C5" w:rsidRPr="00EC6BC1" w:rsidRDefault="005340C5">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675" w:type="pct"/>
            <w:tcBorders>
              <w:bottom w:val="single" w:sz="12" w:space="0" w:color="00B0F0"/>
            </w:tcBorders>
            <w:noWrap/>
            <w:hideMark/>
          </w:tcPr>
          <w:p w14:paraId="3D492174" w14:textId="77777777" w:rsidR="005340C5" w:rsidRPr="00FA63C0" w:rsidRDefault="005340C5">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FA6FDF" w:rsidRPr="00397C78" w14:paraId="546D2FCC" w14:textId="77777777" w:rsidTr="008C567B">
        <w:trPr>
          <w:trHeight w:val="283"/>
        </w:trPr>
        <w:tc>
          <w:tcPr>
            <w:tcW w:w="744" w:type="pct"/>
            <w:tcBorders>
              <w:top w:val="single" w:sz="12" w:space="0" w:color="00B0F0"/>
            </w:tcBorders>
            <w:noWrap/>
            <w:hideMark/>
          </w:tcPr>
          <w:p w14:paraId="2E3335C9"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608" w:type="pct"/>
            <w:tcBorders>
              <w:top w:val="single" w:sz="12" w:space="0" w:color="00B0F0"/>
            </w:tcBorders>
          </w:tcPr>
          <w:p w14:paraId="6388AC7D" w14:textId="793A3456" w:rsidR="00FA6FDF" w:rsidRPr="00FA63C0" w:rsidRDefault="00FA6FDF" w:rsidP="00FA6FDF">
            <w:pPr>
              <w:spacing w:after="0"/>
              <w:jc w:val="right"/>
              <w:rPr>
                <w:noProof/>
                <w:sz w:val="20"/>
                <w:szCs w:val="20"/>
              </w:rPr>
            </w:pPr>
            <w:r w:rsidRPr="00FA63C0">
              <w:rPr>
                <w:noProof/>
                <w:sz w:val="20"/>
                <w:szCs w:val="20"/>
              </w:rPr>
              <w:t>-</w:t>
            </w:r>
          </w:p>
        </w:tc>
        <w:tc>
          <w:tcPr>
            <w:tcW w:w="673" w:type="pct"/>
            <w:tcBorders>
              <w:top w:val="single" w:sz="12" w:space="0" w:color="00B0F0"/>
            </w:tcBorders>
          </w:tcPr>
          <w:p w14:paraId="7DA33283" w14:textId="0A546A8F" w:rsidR="00FA6FDF" w:rsidRPr="00FA63C0" w:rsidRDefault="00FA6FDF" w:rsidP="00FA6FDF">
            <w:pPr>
              <w:spacing w:after="0"/>
              <w:jc w:val="right"/>
              <w:rPr>
                <w:noProof/>
                <w:sz w:val="20"/>
                <w:szCs w:val="20"/>
                <w:lang w:val="en-IE" w:eastAsia="en-IE"/>
              </w:rPr>
            </w:pPr>
            <w:r w:rsidRPr="00FA63C0">
              <w:rPr>
                <w:noProof/>
                <w:sz w:val="20"/>
                <w:szCs w:val="20"/>
              </w:rPr>
              <w:t>-</w:t>
            </w:r>
          </w:p>
        </w:tc>
        <w:tc>
          <w:tcPr>
            <w:tcW w:w="539" w:type="pct"/>
            <w:tcBorders>
              <w:top w:val="single" w:sz="12" w:space="0" w:color="00B0F0"/>
            </w:tcBorders>
          </w:tcPr>
          <w:p w14:paraId="78D5CB44" w14:textId="25C19BF8" w:rsidR="00FA6FDF" w:rsidRPr="00640712" w:rsidRDefault="00FA6FDF" w:rsidP="00FA6FDF">
            <w:pPr>
              <w:spacing w:after="0"/>
              <w:jc w:val="right"/>
              <w:rPr>
                <w:noProof/>
                <w:sz w:val="22"/>
                <w:szCs w:val="22"/>
                <w:lang w:val="en-IE" w:eastAsia="en-IE"/>
              </w:rPr>
            </w:pPr>
            <w:r w:rsidRPr="00640712">
              <w:rPr>
                <w:noProof/>
                <w:sz w:val="22"/>
                <w:szCs w:val="22"/>
              </w:rPr>
              <w:t xml:space="preserve"> </w:t>
            </w:r>
            <w:r>
              <w:rPr>
                <w:noProof/>
                <w:sz w:val="22"/>
                <w:szCs w:val="22"/>
              </w:rPr>
              <w:t xml:space="preserve"> -</w:t>
            </w:r>
            <w:r w:rsidRPr="00640712">
              <w:rPr>
                <w:noProof/>
                <w:sz w:val="22"/>
                <w:szCs w:val="22"/>
              </w:rPr>
              <w:t xml:space="preserve"> </w:t>
            </w:r>
          </w:p>
        </w:tc>
        <w:tc>
          <w:tcPr>
            <w:tcW w:w="538" w:type="pct"/>
            <w:tcBorders>
              <w:top w:val="single" w:sz="12" w:space="0" w:color="00B0F0"/>
            </w:tcBorders>
          </w:tcPr>
          <w:p w14:paraId="3CE3DD53" w14:textId="77777777" w:rsidR="00FA6FDF" w:rsidRPr="00FA63C0" w:rsidRDefault="00FA6FDF" w:rsidP="00FA6FDF">
            <w:pPr>
              <w:spacing w:after="0"/>
              <w:jc w:val="right"/>
              <w:rPr>
                <w:noProof/>
                <w:sz w:val="20"/>
                <w:szCs w:val="20"/>
                <w:lang w:val="en-IE" w:eastAsia="en-IE"/>
              </w:rPr>
            </w:pPr>
            <w:r w:rsidRPr="00FA63C0">
              <w:rPr>
                <w:noProof/>
                <w:sz w:val="20"/>
                <w:szCs w:val="20"/>
              </w:rPr>
              <w:t xml:space="preserve"> -   </w:t>
            </w:r>
          </w:p>
        </w:tc>
        <w:tc>
          <w:tcPr>
            <w:tcW w:w="616" w:type="pct"/>
            <w:tcBorders>
              <w:top w:val="single" w:sz="12" w:space="0" w:color="00B0F0"/>
            </w:tcBorders>
            <w:noWrap/>
          </w:tcPr>
          <w:p w14:paraId="0CAE891B" w14:textId="528D507E" w:rsidR="00FA6FDF" w:rsidRPr="00640712" w:rsidRDefault="00FA6FDF" w:rsidP="00FA6FDF">
            <w:pPr>
              <w:spacing w:after="0"/>
              <w:jc w:val="right"/>
              <w:rPr>
                <w:noProof/>
                <w:sz w:val="22"/>
                <w:szCs w:val="22"/>
                <w:lang w:val="en-IE" w:eastAsia="en-IE"/>
              </w:rPr>
            </w:pPr>
            <w:r>
              <w:rPr>
                <w:noProof/>
                <w:sz w:val="22"/>
                <w:szCs w:val="22"/>
              </w:rPr>
              <w:t>-</w:t>
            </w:r>
          </w:p>
        </w:tc>
        <w:tc>
          <w:tcPr>
            <w:tcW w:w="607" w:type="pct"/>
            <w:tcBorders>
              <w:top w:val="single" w:sz="12" w:space="0" w:color="00B0F0"/>
            </w:tcBorders>
            <w:noWrap/>
          </w:tcPr>
          <w:p w14:paraId="1ECE7D05" w14:textId="4BA647A7" w:rsidR="00FA6FDF" w:rsidRPr="00640712" w:rsidRDefault="00FA6FDF" w:rsidP="00FA6FDF">
            <w:pPr>
              <w:spacing w:after="0"/>
              <w:jc w:val="right"/>
              <w:rPr>
                <w:noProof/>
                <w:sz w:val="22"/>
                <w:szCs w:val="22"/>
                <w:lang w:val="en-IE" w:eastAsia="en-IE"/>
              </w:rPr>
            </w:pPr>
            <w:r w:rsidRPr="00FA63C0">
              <w:rPr>
                <w:noProof/>
                <w:sz w:val="20"/>
                <w:szCs w:val="20"/>
              </w:rPr>
              <w:t xml:space="preserve"> -   </w:t>
            </w:r>
          </w:p>
        </w:tc>
        <w:tc>
          <w:tcPr>
            <w:tcW w:w="675" w:type="pct"/>
            <w:tcBorders>
              <w:top w:val="single" w:sz="12" w:space="0" w:color="00B0F0"/>
            </w:tcBorders>
            <w:noWrap/>
          </w:tcPr>
          <w:p w14:paraId="729EE2BC" w14:textId="3B5466C8" w:rsidR="00FA6FDF" w:rsidRPr="00640712" w:rsidRDefault="00FA6FDF" w:rsidP="00FA6FDF">
            <w:pPr>
              <w:spacing w:after="0"/>
              <w:jc w:val="right"/>
              <w:rPr>
                <w:noProof/>
                <w:sz w:val="22"/>
                <w:szCs w:val="22"/>
                <w:lang w:val="en-IE" w:eastAsia="en-IE"/>
              </w:rPr>
            </w:pPr>
            <w:r>
              <w:rPr>
                <w:noProof/>
                <w:sz w:val="22"/>
                <w:szCs w:val="22"/>
              </w:rPr>
              <w:t>-</w:t>
            </w:r>
          </w:p>
        </w:tc>
      </w:tr>
      <w:tr w:rsidR="00FA6FDF" w:rsidRPr="00061A60" w14:paraId="7798A3FE" w14:textId="77777777" w:rsidTr="008C567B">
        <w:trPr>
          <w:trHeight w:val="283"/>
        </w:trPr>
        <w:tc>
          <w:tcPr>
            <w:tcW w:w="744" w:type="pct"/>
            <w:noWrap/>
            <w:hideMark/>
          </w:tcPr>
          <w:p w14:paraId="7BCF755B"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608" w:type="pct"/>
          </w:tcPr>
          <w:p w14:paraId="5AC86155" w14:textId="4BBC6AA7" w:rsidR="00FA6FDF" w:rsidRPr="00B964AD" w:rsidRDefault="00FA6FDF" w:rsidP="00FA6FDF">
            <w:pPr>
              <w:spacing w:after="0"/>
              <w:jc w:val="right"/>
              <w:rPr>
                <w:noProof/>
                <w:sz w:val="19"/>
                <w:szCs w:val="19"/>
              </w:rPr>
            </w:pPr>
            <w:r w:rsidRPr="00B964AD">
              <w:rPr>
                <w:noProof/>
                <w:sz w:val="19"/>
                <w:szCs w:val="19"/>
              </w:rPr>
              <w:t>1 4</w:t>
            </w:r>
            <w:r w:rsidR="002B7835">
              <w:rPr>
                <w:noProof/>
                <w:sz w:val="19"/>
                <w:szCs w:val="19"/>
              </w:rPr>
              <w:t>39</w:t>
            </w:r>
            <w:r w:rsidRPr="00B964AD">
              <w:rPr>
                <w:noProof/>
                <w:sz w:val="19"/>
                <w:szCs w:val="19"/>
              </w:rPr>
              <w:t xml:space="preserve"> </w:t>
            </w:r>
            <w:r w:rsidR="002B7835">
              <w:rPr>
                <w:noProof/>
                <w:sz w:val="19"/>
                <w:szCs w:val="19"/>
              </w:rPr>
              <w:t>144 597</w:t>
            </w:r>
          </w:p>
        </w:tc>
        <w:tc>
          <w:tcPr>
            <w:tcW w:w="673" w:type="pct"/>
          </w:tcPr>
          <w:p w14:paraId="60D61280" w14:textId="2AFF93CE" w:rsidR="00FA6FDF" w:rsidRPr="00B964AD" w:rsidRDefault="00FA6FDF" w:rsidP="00FA6FDF">
            <w:pPr>
              <w:spacing w:after="0"/>
              <w:jc w:val="right"/>
              <w:rPr>
                <w:noProof/>
                <w:sz w:val="19"/>
                <w:szCs w:val="19"/>
              </w:rPr>
            </w:pPr>
            <w:r w:rsidRPr="00522A77">
              <w:rPr>
                <w:noProof/>
                <w:sz w:val="20"/>
                <w:szCs w:val="20"/>
              </w:rPr>
              <w:t xml:space="preserve">  80 856 542</w:t>
            </w:r>
          </w:p>
        </w:tc>
        <w:tc>
          <w:tcPr>
            <w:tcW w:w="539" w:type="pct"/>
          </w:tcPr>
          <w:p w14:paraId="0F90AED1" w14:textId="162672EE" w:rsidR="00FA6FDF" w:rsidRPr="00B964AD" w:rsidRDefault="00FA6FDF" w:rsidP="00FA6FDF">
            <w:pPr>
              <w:spacing w:after="0"/>
              <w:jc w:val="right"/>
              <w:rPr>
                <w:noProof/>
                <w:sz w:val="19"/>
                <w:szCs w:val="19"/>
                <w:lang w:val="en-IE" w:eastAsia="en-IE"/>
              </w:rPr>
            </w:pPr>
            <w:r w:rsidRPr="00B964AD">
              <w:rPr>
                <w:noProof/>
                <w:sz w:val="19"/>
                <w:szCs w:val="19"/>
              </w:rPr>
              <w:t>562 624</w:t>
            </w:r>
          </w:p>
        </w:tc>
        <w:tc>
          <w:tcPr>
            <w:tcW w:w="538" w:type="pct"/>
          </w:tcPr>
          <w:p w14:paraId="3C8F3422" w14:textId="2B7F86E7" w:rsidR="00FA6FDF" w:rsidRPr="00B964AD" w:rsidRDefault="00FA6FDF" w:rsidP="00FA6FDF">
            <w:pPr>
              <w:spacing w:after="0"/>
              <w:jc w:val="right"/>
              <w:rPr>
                <w:noProof/>
                <w:sz w:val="19"/>
                <w:szCs w:val="19"/>
                <w:lang w:val="en-IE" w:eastAsia="en-IE"/>
              </w:rPr>
            </w:pPr>
          </w:p>
        </w:tc>
        <w:tc>
          <w:tcPr>
            <w:tcW w:w="616" w:type="pct"/>
            <w:noWrap/>
          </w:tcPr>
          <w:p w14:paraId="5CCFDCA2" w14:textId="3B6C5DE8" w:rsidR="00FA6FDF" w:rsidRPr="00B964AD" w:rsidRDefault="00FA6FDF" w:rsidP="00FA6FDF">
            <w:pPr>
              <w:spacing w:after="0"/>
              <w:jc w:val="right"/>
              <w:rPr>
                <w:noProof/>
                <w:sz w:val="19"/>
                <w:szCs w:val="19"/>
              </w:rPr>
            </w:pPr>
            <w:r w:rsidRPr="00B964AD">
              <w:rPr>
                <w:noProof/>
                <w:sz w:val="19"/>
                <w:szCs w:val="19"/>
              </w:rPr>
              <w:t xml:space="preserve">1 520 563 763 </w:t>
            </w:r>
          </w:p>
        </w:tc>
        <w:tc>
          <w:tcPr>
            <w:tcW w:w="607" w:type="pct"/>
            <w:noWrap/>
          </w:tcPr>
          <w:p w14:paraId="2D501C5A" w14:textId="161A5E42" w:rsidR="00FA6FDF" w:rsidRPr="00B964AD" w:rsidRDefault="00FA6FDF" w:rsidP="00FA6FDF">
            <w:pPr>
              <w:spacing w:after="0"/>
              <w:jc w:val="right"/>
              <w:rPr>
                <w:noProof/>
                <w:sz w:val="19"/>
                <w:szCs w:val="19"/>
              </w:rPr>
            </w:pPr>
            <w:r w:rsidRPr="00B964AD">
              <w:rPr>
                <w:noProof/>
                <w:sz w:val="19"/>
                <w:szCs w:val="19"/>
              </w:rPr>
              <w:t xml:space="preserve">  540 444 577 </w:t>
            </w:r>
          </w:p>
        </w:tc>
        <w:tc>
          <w:tcPr>
            <w:tcW w:w="675" w:type="pct"/>
            <w:noWrap/>
          </w:tcPr>
          <w:p w14:paraId="755C78F1" w14:textId="43CADACD" w:rsidR="00FA6FDF" w:rsidRPr="00B964AD" w:rsidRDefault="00FA6FDF" w:rsidP="00FA6FDF">
            <w:pPr>
              <w:spacing w:after="0"/>
              <w:jc w:val="right"/>
              <w:rPr>
                <w:noProof/>
                <w:sz w:val="19"/>
                <w:szCs w:val="19"/>
              </w:rPr>
            </w:pPr>
            <w:r w:rsidRPr="00B964AD">
              <w:rPr>
                <w:noProof/>
                <w:sz w:val="19"/>
                <w:szCs w:val="19"/>
              </w:rPr>
              <w:t xml:space="preserve"> 2 763 406 090 </w:t>
            </w:r>
          </w:p>
        </w:tc>
      </w:tr>
      <w:tr w:rsidR="00FA6FDF" w:rsidRPr="00397C78" w14:paraId="10BC46B9" w14:textId="77777777" w:rsidTr="008C567B">
        <w:trPr>
          <w:trHeight w:val="283"/>
        </w:trPr>
        <w:tc>
          <w:tcPr>
            <w:tcW w:w="744" w:type="pct"/>
            <w:noWrap/>
            <w:hideMark/>
          </w:tcPr>
          <w:p w14:paraId="35D83D96"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one-off adjustment</w:t>
            </w:r>
          </w:p>
        </w:tc>
        <w:tc>
          <w:tcPr>
            <w:tcW w:w="608" w:type="pct"/>
          </w:tcPr>
          <w:p w14:paraId="58AB2183" w14:textId="418321AF" w:rsidR="00FA6FDF" w:rsidRPr="00B964AD" w:rsidRDefault="00FA6FDF" w:rsidP="00FA6FDF">
            <w:pPr>
              <w:spacing w:after="0"/>
              <w:jc w:val="right"/>
              <w:rPr>
                <w:noProof/>
                <w:sz w:val="19"/>
                <w:szCs w:val="19"/>
              </w:rPr>
            </w:pPr>
            <w:r w:rsidRPr="00FA63C0">
              <w:rPr>
                <w:noProof/>
                <w:sz w:val="20"/>
                <w:szCs w:val="20"/>
              </w:rPr>
              <w:t>-</w:t>
            </w:r>
          </w:p>
        </w:tc>
        <w:tc>
          <w:tcPr>
            <w:tcW w:w="673" w:type="pct"/>
          </w:tcPr>
          <w:p w14:paraId="43BF7623" w14:textId="547CF40B" w:rsidR="00FA6FDF" w:rsidRPr="00B964AD" w:rsidRDefault="00FA6FDF" w:rsidP="00FA6FDF">
            <w:pPr>
              <w:spacing w:after="0"/>
              <w:jc w:val="right"/>
              <w:rPr>
                <w:noProof/>
                <w:sz w:val="19"/>
                <w:szCs w:val="19"/>
              </w:rPr>
            </w:pPr>
            <w:r w:rsidRPr="00B964AD">
              <w:rPr>
                <w:noProof/>
                <w:sz w:val="19"/>
                <w:szCs w:val="19"/>
              </w:rPr>
              <w:t xml:space="preserve"> 254 272 125 </w:t>
            </w:r>
          </w:p>
        </w:tc>
        <w:tc>
          <w:tcPr>
            <w:tcW w:w="539" w:type="pct"/>
          </w:tcPr>
          <w:p w14:paraId="232403F8" w14:textId="67F29EE1" w:rsidR="00FA6FDF" w:rsidRPr="00B964AD" w:rsidRDefault="00FA6FDF" w:rsidP="00FA6FDF">
            <w:pPr>
              <w:spacing w:after="0"/>
              <w:jc w:val="right"/>
              <w:rPr>
                <w:noProof/>
                <w:sz w:val="19"/>
                <w:szCs w:val="19"/>
                <w:lang w:val="en-IE" w:eastAsia="en-IE"/>
              </w:rPr>
            </w:pPr>
            <w:r w:rsidRPr="00B964AD">
              <w:rPr>
                <w:noProof/>
                <w:sz w:val="19"/>
                <w:szCs w:val="19"/>
              </w:rPr>
              <w:t xml:space="preserve"> 154 624 928</w:t>
            </w:r>
          </w:p>
        </w:tc>
        <w:tc>
          <w:tcPr>
            <w:tcW w:w="538" w:type="pct"/>
          </w:tcPr>
          <w:p w14:paraId="37B9001C" w14:textId="595BE514" w:rsidR="00FA6FDF" w:rsidRPr="00B964AD" w:rsidRDefault="00FA6FDF" w:rsidP="00FA6FDF">
            <w:pPr>
              <w:spacing w:after="0"/>
              <w:jc w:val="right"/>
              <w:rPr>
                <w:noProof/>
                <w:sz w:val="19"/>
                <w:szCs w:val="19"/>
                <w:lang w:val="en-IE" w:eastAsia="en-IE"/>
              </w:rPr>
            </w:pPr>
            <w:r w:rsidRPr="00B964AD">
              <w:rPr>
                <w:noProof/>
                <w:sz w:val="19"/>
                <w:szCs w:val="19"/>
              </w:rPr>
              <w:t xml:space="preserve"> 693 692   </w:t>
            </w:r>
          </w:p>
        </w:tc>
        <w:tc>
          <w:tcPr>
            <w:tcW w:w="616" w:type="pct"/>
            <w:noWrap/>
          </w:tcPr>
          <w:p w14:paraId="4F4602CB" w14:textId="4CB52820" w:rsidR="00FA6FDF" w:rsidRPr="00B964AD" w:rsidRDefault="00FA6FDF" w:rsidP="00FA6FDF">
            <w:pPr>
              <w:spacing w:after="0"/>
              <w:jc w:val="right"/>
              <w:rPr>
                <w:noProof/>
                <w:sz w:val="19"/>
                <w:szCs w:val="19"/>
              </w:rPr>
            </w:pPr>
            <w:r w:rsidRPr="00B964AD">
              <w:rPr>
                <w:noProof/>
                <w:sz w:val="19"/>
                <w:szCs w:val="19"/>
              </w:rPr>
              <w:t xml:space="preserve">409 590 745 </w:t>
            </w:r>
          </w:p>
        </w:tc>
        <w:tc>
          <w:tcPr>
            <w:tcW w:w="607" w:type="pct"/>
            <w:noWrap/>
          </w:tcPr>
          <w:p w14:paraId="4BE610AB" w14:textId="1C24768F" w:rsidR="00FA6FDF" w:rsidRPr="00B964AD" w:rsidRDefault="00FA6FDF" w:rsidP="00FA6FDF">
            <w:pPr>
              <w:spacing w:after="0"/>
              <w:jc w:val="right"/>
              <w:rPr>
                <w:noProof/>
                <w:sz w:val="19"/>
                <w:szCs w:val="19"/>
              </w:rPr>
            </w:pPr>
            <w:r w:rsidRPr="00B964AD">
              <w:rPr>
                <w:noProof/>
                <w:sz w:val="19"/>
                <w:szCs w:val="19"/>
              </w:rPr>
              <w:t xml:space="preserve">  247 443 239 </w:t>
            </w:r>
          </w:p>
        </w:tc>
        <w:tc>
          <w:tcPr>
            <w:tcW w:w="675" w:type="pct"/>
            <w:noWrap/>
          </w:tcPr>
          <w:p w14:paraId="541A51AD" w14:textId="5234A5E5" w:rsidR="00FA6FDF" w:rsidRPr="00B964AD" w:rsidRDefault="00FA6FDF" w:rsidP="00FA6FDF">
            <w:pPr>
              <w:spacing w:after="0"/>
              <w:jc w:val="right"/>
              <w:rPr>
                <w:noProof/>
                <w:sz w:val="19"/>
                <w:szCs w:val="19"/>
              </w:rPr>
            </w:pPr>
            <w:r w:rsidRPr="00B964AD">
              <w:rPr>
                <w:noProof/>
                <w:sz w:val="19"/>
                <w:szCs w:val="19"/>
              </w:rPr>
              <w:t xml:space="preserve"> 571 738 249 </w:t>
            </w:r>
          </w:p>
        </w:tc>
      </w:tr>
      <w:tr w:rsidR="00FA6FDF" w:rsidRPr="00397C78" w14:paraId="345FC6E9" w14:textId="77777777" w:rsidTr="008C567B">
        <w:trPr>
          <w:trHeight w:val="283"/>
        </w:trPr>
        <w:tc>
          <w:tcPr>
            <w:tcW w:w="744" w:type="pct"/>
            <w:noWrap/>
            <w:hideMark/>
          </w:tcPr>
          <w:p w14:paraId="21F1D7C3"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recurrent adjustment</w:t>
            </w:r>
          </w:p>
        </w:tc>
        <w:tc>
          <w:tcPr>
            <w:tcW w:w="608" w:type="pct"/>
          </w:tcPr>
          <w:p w14:paraId="07BD95F9" w14:textId="57048C00" w:rsidR="00FA6FDF" w:rsidRPr="00B964AD" w:rsidRDefault="00FA6FDF" w:rsidP="00FA6FDF">
            <w:pPr>
              <w:spacing w:after="0"/>
              <w:jc w:val="right"/>
              <w:rPr>
                <w:noProof/>
                <w:sz w:val="19"/>
                <w:szCs w:val="19"/>
              </w:rPr>
            </w:pPr>
            <w:r w:rsidRPr="00FA63C0">
              <w:rPr>
                <w:noProof/>
                <w:sz w:val="20"/>
                <w:szCs w:val="20"/>
              </w:rPr>
              <w:t>-</w:t>
            </w:r>
          </w:p>
        </w:tc>
        <w:tc>
          <w:tcPr>
            <w:tcW w:w="673" w:type="pct"/>
          </w:tcPr>
          <w:p w14:paraId="55EF224A" w14:textId="70A8687E"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539" w:type="pct"/>
          </w:tcPr>
          <w:p w14:paraId="5203518A" w14:textId="3EFB1077" w:rsidR="00FA6FDF" w:rsidRPr="00B964AD" w:rsidRDefault="00FA6FDF" w:rsidP="00FA6FDF">
            <w:pPr>
              <w:spacing w:after="0"/>
              <w:jc w:val="right"/>
              <w:rPr>
                <w:noProof/>
                <w:sz w:val="19"/>
                <w:szCs w:val="19"/>
                <w:lang w:val="en-IE" w:eastAsia="en-IE"/>
              </w:rPr>
            </w:pPr>
            <w:r w:rsidRPr="00B964AD">
              <w:rPr>
                <w:noProof/>
                <w:sz w:val="19"/>
                <w:szCs w:val="19"/>
              </w:rPr>
              <w:t xml:space="preserve"> 68 603 894</w:t>
            </w:r>
          </w:p>
        </w:tc>
        <w:tc>
          <w:tcPr>
            <w:tcW w:w="538" w:type="pct"/>
          </w:tcPr>
          <w:p w14:paraId="645C011C" w14:textId="53B40EC9" w:rsidR="00FA6FDF" w:rsidRPr="00B964AD" w:rsidRDefault="00FA6FDF" w:rsidP="00FA6FDF">
            <w:pPr>
              <w:spacing w:after="0"/>
              <w:jc w:val="right"/>
              <w:rPr>
                <w:noProof/>
                <w:sz w:val="19"/>
                <w:szCs w:val="19"/>
                <w:lang w:val="en-IE" w:eastAsia="en-IE"/>
              </w:rPr>
            </w:pPr>
            <w:r w:rsidRPr="00B964AD">
              <w:rPr>
                <w:noProof/>
                <w:sz w:val="19"/>
                <w:szCs w:val="19"/>
              </w:rPr>
              <w:t xml:space="preserve"> 2 965 857   </w:t>
            </w:r>
          </w:p>
        </w:tc>
        <w:tc>
          <w:tcPr>
            <w:tcW w:w="616" w:type="pct"/>
            <w:noWrap/>
          </w:tcPr>
          <w:p w14:paraId="38A3712E" w14:textId="7DE8C759" w:rsidR="00FA6FDF" w:rsidRPr="00B964AD" w:rsidRDefault="00FA6FDF" w:rsidP="00FA6FDF">
            <w:pPr>
              <w:spacing w:after="0"/>
              <w:jc w:val="right"/>
              <w:rPr>
                <w:noProof/>
                <w:sz w:val="19"/>
                <w:szCs w:val="19"/>
                <w:lang w:val="en-IE" w:eastAsia="en-IE"/>
              </w:rPr>
            </w:pPr>
            <w:r w:rsidRPr="00B964AD">
              <w:rPr>
                <w:noProof/>
                <w:sz w:val="19"/>
                <w:szCs w:val="19"/>
              </w:rPr>
              <w:t xml:space="preserve"> 71 569 751 </w:t>
            </w:r>
          </w:p>
        </w:tc>
        <w:tc>
          <w:tcPr>
            <w:tcW w:w="607" w:type="pct"/>
            <w:noWrap/>
          </w:tcPr>
          <w:p w14:paraId="7139BBAA" w14:textId="08ECDB90" w:rsidR="00FA6FDF" w:rsidRPr="00B964AD" w:rsidRDefault="00FA6FDF" w:rsidP="00FA6FDF">
            <w:pPr>
              <w:spacing w:after="0"/>
              <w:jc w:val="right"/>
              <w:rPr>
                <w:noProof/>
                <w:sz w:val="19"/>
                <w:szCs w:val="19"/>
                <w:lang w:val="en-IE" w:eastAsia="en-IE"/>
              </w:rPr>
            </w:pPr>
            <w:r w:rsidRPr="00B964AD">
              <w:rPr>
                <w:noProof/>
                <w:sz w:val="19"/>
                <w:szCs w:val="19"/>
              </w:rPr>
              <w:t xml:space="preserve">  44 128 193 </w:t>
            </w:r>
          </w:p>
        </w:tc>
        <w:tc>
          <w:tcPr>
            <w:tcW w:w="675" w:type="pct"/>
            <w:noWrap/>
          </w:tcPr>
          <w:p w14:paraId="4EE14D50" w14:textId="50C48115" w:rsidR="00FA6FDF" w:rsidRPr="00B964AD" w:rsidRDefault="00FA6FDF" w:rsidP="00FA6FDF">
            <w:pPr>
              <w:spacing w:after="0"/>
              <w:jc w:val="right"/>
              <w:rPr>
                <w:noProof/>
                <w:sz w:val="19"/>
                <w:szCs w:val="19"/>
                <w:lang w:val="en-IE" w:eastAsia="en-IE"/>
              </w:rPr>
            </w:pPr>
            <w:r w:rsidRPr="00B964AD">
              <w:rPr>
                <w:noProof/>
                <w:sz w:val="19"/>
                <w:szCs w:val="19"/>
              </w:rPr>
              <w:t xml:space="preserve"> 44 128 193 </w:t>
            </w:r>
          </w:p>
        </w:tc>
      </w:tr>
      <w:tr w:rsidR="00FA6FDF" w:rsidRPr="000A7265" w14:paraId="670788BE" w14:textId="77777777" w:rsidTr="008C567B">
        <w:trPr>
          <w:trHeight w:val="283"/>
        </w:trPr>
        <w:tc>
          <w:tcPr>
            <w:tcW w:w="744" w:type="pct"/>
            <w:noWrap/>
            <w:hideMark/>
          </w:tcPr>
          <w:p w14:paraId="595EB21C"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608" w:type="pct"/>
          </w:tcPr>
          <w:p w14:paraId="040F0A48" w14:textId="64BB9B53" w:rsidR="00FA6FDF" w:rsidRPr="00B964AD" w:rsidRDefault="00FA6FDF" w:rsidP="00FA6FDF">
            <w:pPr>
              <w:spacing w:after="0"/>
              <w:jc w:val="right"/>
              <w:rPr>
                <w:noProof/>
                <w:sz w:val="19"/>
                <w:szCs w:val="19"/>
              </w:rPr>
            </w:pPr>
            <w:r w:rsidRPr="00FA63C0">
              <w:rPr>
                <w:noProof/>
                <w:sz w:val="20"/>
                <w:szCs w:val="20"/>
              </w:rPr>
              <w:t>-</w:t>
            </w:r>
          </w:p>
        </w:tc>
        <w:tc>
          <w:tcPr>
            <w:tcW w:w="673" w:type="pct"/>
          </w:tcPr>
          <w:p w14:paraId="20E3B15E" w14:textId="0A233759" w:rsidR="00FA6FDF" w:rsidRPr="00B964AD" w:rsidRDefault="00FA6FDF" w:rsidP="00FA6FDF">
            <w:pPr>
              <w:spacing w:after="0"/>
              <w:jc w:val="right"/>
              <w:rPr>
                <w:noProof/>
                <w:sz w:val="19"/>
                <w:szCs w:val="19"/>
                <w:lang w:val="en-IE" w:eastAsia="en-IE"/>
              </w:rPr>
            </w:pPr>
            <w:r w:rsidRPr="00B964AD">
              <w:rPr>
                <w:noProof/>
                <w:sz w:val="19"/>
                <w:szCs w:val="19"/>
              </w:rPr>
              <w:t xml:space="preserve">3 022 890   </w:t>
            </w:r>
          </w:p>
        </w:tc>
        <w:tc>
          <w:tcPr>
            <w:tcW w:w="539" w:type="pct"/>
          </w:tcPr>
          <w:p w14:paraId="5A182AC7"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c>
          <w:tcPr>
            <w:tcW w:w="538" w:type="pct"/>
          </w:tcPr>
          <w:p w14:paraId="6C2E0701"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16" w:type="pct"/>
            <w:noWrap/>
          </w:tcPr>
          <w:p w14:paraId="3CCFB516" w14:textId="0C2F31B2" w:rsidR="00FA6FDF" w:rsidRPr="00B964AD" w:rsidRDefault="00FA6FDF" w:rsidP="00FA6FDF">
            <w:pPr>
              <w:spacing w:after="0"/>
              <w:jc w:val="right"/>
              <w:rPr>
                <w:noProof/>
                <w:sz w:val="19"/>
                <w:szCs w:val="19"/>
                <w:lang w:val="en-IE" w:eastAsia="en-IE"/>
              </w:rPr>
            </w:pPr>
            <w:r w:rsidRPr="00B964AD">
              <w:rPr>
                <w:noProof/>
                <w:sz w:val="19"/>
                <w:szCs w:val="19"/>
              </w:rPr>
              <w:t xml:space="preserve"> 3 022 890 </w:t>
            </w:r>
          </w:p>
        </w:tc>
        <w:tc>
          <w:tcPr>
            <w:tcW w:w="607" w:type="pct"/>
            <w:noWrap/>
          </w:tcPr>
          <w:p w14:paraId="0762F36C" w14:textId="4778D426" w:rsidR="00FA6FDF" w:rsidRPr="00B964AD" w:rsidRDefault="00FA6FDF" w:rsidP="00FA6FDF">
            <w:pPr>
              <w:spacing w:after="0"/>
              <w:jc w:val="right"/>
              <w:rPr>
                <w:noProof/>
                <w:sz w:val="19"/>
                <w:szCs w:val="19"/>
                <w:lang w:val="en-IE" w:eastAsia="en-IE"/>
              </w:rPr>
            </w:pPr>
            <w:r w:rsidRPr="00B964AD">
              <w:rPr>
                <w:noProof/>
                <w:sz w:val="19"/>
                <w:szCs w:val="19"/>
              </w:rPr>
              <w:t xml:space="preserve"> 3 022 890 </w:t>
            </w:r>
          </w:p>
        </w:tc>
        <w:tc>
          <w:tcPr>
            <w:tcW w:w="675" w:type="pct"/>
            <w:noWrap/>
          </w:tcPr>
          <w:p w14:paraId="7A213552" w14:textId="2DD59669" w:rsidR="00FA6FDF" w:rsidRPr="00B964AD" w:rsidRDefault="00FA6FDF" w:rsidP="00FA6FDF">
            <w:pPr>
              <w:spacing w:after="0"/>
              <w:jc w:val="right"/>
              <w:rPr>
                <w:noProof/>
                <w:sz w:val="19"/>
                <w:szCs w:val="19"/>
                <w:lang w:val="en-IE" w:eastAsia="en-IE"/>
              </w:rPr>
            </w:pPr>
            <w:r w:rsidRPr="00B964AD">
              <w:rPr>
                <w:noProof/>
                <w:sz w:val="19"/>
                <w:szCs w:val="19"/>
              </w:rPr>
              <w:t xml:space="preserve"> 3 022 890 </w:t>
            </w:r>
          </w:p>
        </w:tc>
      </w:tr>
      <w:tr w:rsidR="00FA6FDF" w:rsidRPr="000A7265" w14:paraId="1B8A3D28" w14:textId="77777777" w:rsidTr="008C567B">
        <w:trPr>
          <w:trHeight w:val="283"/>
        </w:trPr>
        <w:tc>
          <w:tcPr>
            <w:tcW w:w="744" w:type="pct"/>
            <w:noWrap/>
            <w:hideMark/>
          </w:tcPr>
          <w:p w14:paraId="2715C7E7"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608" w:type="pct"/>
          </w:tcPr>
          <w:p w14:paraId="48C3EEA1" w14:textId="30DF2E15" w:rsidR="00FA6FDF" w:rsidRPr="00B964AD" w:rsidRDefault="00FA6FDF" w:rsidP="00FA6FDF">
            <w:pPr>
              <w:spacing w:after="0"/>
              <w:jc w:val="right"/>
              <w:rPr>
                <w:noProof/>
                <w:sz w:val="19"/>
                <w:szCs w:val="19"/>
              </w:rPr>
            </w:pPr>
            <w:r w:rsidRPr="00FA63C0">
              <w:rPr>
                <w:noProof/>
                <w:sz w:val="20"/>
                <w:szCs w:val="20"/>
              </w:rPr>
              <w:t>-</w:t>
            </w:r>
          </w:p>
        </w:tc>
        <w:tc>
          <w:tcPr>
            <w:tcW w:w="673" w:type="pct"/>
          </w:tcPr>
          <w:p w14:paraId="09A2AB75" w14:textId="4199EA72" w:rsidR="00FA6FDF" w:rsidRPr="00B964AD" w:rsidRDefault="00FA6FDF" w:rsidP="00FA6FDF">
            <w:pPr>
              <w:spacing w:after="0"/>
              <w:jc w:val="right"/>
              <w:rPr>
                <w:noProof/>
                <w:sz w:val="19"/>
                <w:szCs w:val="19"/>
                <w:lang w:val="en-IE" w:eastAsia="en-IE"/>
              </w:rPr>
            </w:pPr>
            <w:r w:rsidRPr="00B964AD">
              <w:rPr>
                <w:noProof/>
                <w:sz w:val="19"/>
                <w:szCs w:val="19"/>
              </w:rPr>
              <w:t xml:space="preserve">3 367 639   </w:t>
            </w:r>
          </w:p>
        </w:tc>
        <w:tc>
          <w:tcPr>
            <w:tcW w:w="539" w:type="pct"/>
          </w:tcPr>
          <w:p w14:paraId="4098665E"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c>
          <w:tcPr>
            <w:tcW w:w="538" w:type="pct"/>
          </w:tcPr>
          <w:p w14:paraId="319C0D33"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16" w:type="pct"/>
            <w:noWrap/>
          </w:tcPr>
          <w:p w14:paraId="4AB32A54" w14:textId="47B95804" w:rsidR="00FA6FDF" w:rsidRPr="00B964AD" w:rsidRDefault="00FA6FDF" w:rsidP="00FA6FDF">
            <w:pPr>
              <w:spacing w:after="0"/>
              <w:jc w:val="right"/>
              <w:rPr>
                <w:noProof/>
                <w:sz w:val="19"/>
                <w:szCs w:val="19"/>
                <w:lang w:val="en-IE" w:eastAsia="en-IE"/>
              </w:rPr>
            </w:pPr>
            <w:r w:rsidRPr="00B964AD">
              <w:rPr>
                <w:noProof/>
                <w:sz w:val="19"/>
                <w:szCs w:val="19"/>
              </w:rPr>
              <w:t xml:space="preserve"> 3 367 639 </w:t>
            </w:r>
          </w:p>
        </w:tc>
        <w:tc>
          <w:tcPr>
            <w:tcW w:w="607" w:type="pct"/>
            <w:noWrap/>
          </w:tcPr>
          <w:p w14:paraId="566BB952" w14:textId="3C00F420" w:rsidR="00FA6FDF" w:rsidRPr="00B964AD" w:rsidRDefault="00FA6FDF" w:rsidP="00FA6FDF">
            <w:pPr>
              <w:spacing w:after="0"/>
              <w:jc w:val="right"/>
              <w:rPr>
                <w:noProof/>
                <w:sz w:val="19"/>
                <w:szCs w:val="19"/>
                <w:lang w:val="en-IE" w:eastAsia="en-IE"/>
              </w:rPr>
            </w:pPr>
            <w:r w:rsidRPr="00B964AD">
              <w:rPr>
                <w:noProof/>
                <w:sz w:val="19"/>
                <w:szCs w:val="19"/>
              </w:rPr>
              <w:t xml:space="preserve">  3 367 639 </w:t>
            </w:r>
          </w:p>
        </w:tc>
        <w:tc>
          <w:tcPr>
            <w:tcW w:w="675" w:type="pct"/>
            <w:noWrap/>
          </w:tcPr>
          <w:p w14:paraId="7DB172B3" w14:textId="6CBDE254" w:rsidR="00FA6FDF" w:rsidRPr="00B964AD" w:rsidRDefault="00FA6FDF" w:rsidP="00FA6FDF">
            <w:pPr>
              <w:spacing w:after="0"/>
              <w:jc w:val="right"/>
              <w:rPr>
                <w:noProof/>
                <w:sz w:val="19"/>
                <w:szCs w:val="19"/>
                <w:lang w:val="en-IE" w:eastAsia="en-IE"/>
              </w:rPr>
            </w:pPr>
            <w:r w:rsidRPr="00B964AD">
              <w:rPr>
                <w:noProof/>
                <w:sz w:val="19"/>
                <w:szCs w:val="19"/>
              </w:rPr>
              <w:t xml:space="preserve"> 3 367 639 </w:t>
            </w:r>
          </w:p>
        </w:tc>
      </w:tr>
      <w:tr w:rsidR="00FA6FDF" w:rsidRPr="000A7265" w14:paraId="59D7AA26" w14:textId="77777777" w:rsidTr="008C567B">
        <w:trPr>
          <w:trHeight w:val="283"/>
        </w:trPr>
        <w:tc>
          <w:tcPr>
            <w:tcW w:w="744" w:type="pct"/>
            <w:noWrap/>
            <w:hideMark/>
          </w:tcPr>
          <w:p w14:paraId="2158F263"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608" w:type="pct"/>
          </w:tcPr>
          <w:p w14:paraId="56FFF9D9" w14:textId="0C66792B" w:rsidR="00FA6FDF" w:rsidRPr="00B964AD" w:rsidRDefault="00FA6FDF" w:rsidP="00FA6FDF">
            <w:pPr>
              <w:spacing w:after="0"/>
              <w:jc w:val="right"/>
              <w:rPr>
                <w:noProof/>
                <w:sz w:val="19"/>
                <w:szCs w:val="19"/>
              </w:rPr>
            </w:pPr>
            <w:r w:rsidRPr="00FA63C0">
              <w:rPr>
                <w:noProof/>
                <w:sz w:val="20"/>
                <w:szCs w:val="20"/>
              </w:rPr>
              <w:t>-</w:t>
            </w:r>
          </w:p>
        </w:tc>
        <w:tc>
          <w:tcPr>
            <w:tcW w:w="673" w:type="pct"/>
          </w:tcPr>
          <w:p w14:paraId="6C57850C" w14:textId="479FC2C6"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539" w:type="pct"/>
          </w:tcPr>
          <w:p w14:paraId="74980954"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c>
          <w:tcPr>
            <w:tcW w:w="538" w:type="pct"/>
          </w:tcPr>
          <w:p w14:paraId="07AAD1FB"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16" w:type="pct"/>
            <w:noWrap/>
          </w:tcPr>
          <w:p w14:paraId="3F464467" w14:textId="6EE1D200"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07" w:type="pct"/>
            <w:noWrap/>
          </w:tcPr>
          <w:p w14:paraId="05BB026E" w14:textId="52451D4A"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c>
          <w:tcPr>
            <w:tcW w:w="675" w:type="pct"/>
            <w:noWrap/>
          </w:tcPr>
          <w:p w14:paraId="7258F5B9" w14:textId="432194A1"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r>
      <w:tr w:rsidR="00FA6FDF" w:rsidRPr="00A53ED9" w14:paraId="68E13F2D" w14:textId="77777777" w:rsidTr="008C567B">
        <w:trPr>
          <w:trHeight w:val="283"/>
        </w:trPr>
        <w:tc>
          <w:tcPr>
            <w:tcW w:w="744" w:type="pct"/>
            <w:noWrap/>
            <w:hideMark/>
          </w:tcPr>
          <w:p w14:paraId="41A75C08" w14:textId="77777777" w:rsidR="00FA6FDF" w:rsidRPr="00FA63C0" w:rsidRDefault="00FA6FDF" w:rsidP="00FA6FDF">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608" w:type="pct"/>
          </w:tcPr>
          <w:p w14:paraId="6EB9EB60" w14:textId="77777777" w:rsidR="00FA6FDF" w:rsidRPr="00B964AD" w:rsidRDefault="00FA6FDF" w:rsidP="00FA6FDF">
            <w:pPr>
              <w:spacing w:after="0"/>
              <w:jc w:val="right"/>
              <w:rPr>
                <w:noProof/>
                <w:sz w:val="19"/>
                <w:szCs w:val="19"/>
              </w:rPr>
            </w:pPr>
          </w:p>
        </w:tc>
        <w:tc>
          <w:tcPr>
            <w:tcW w:w="673" w:type="pct"/>
          </w:tcPr>
          <w:p w14:paraId="4C826BC8" w14:textId="0FD1626F"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539" w:type="pct"/>
          </w:tcPr>
          <w:p w14:paraId="426DBF6F"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c>
          <w:tcPr>
            <w:tcW w:w="538" w:type="pct"/>
          </w:tcPr>
          <w:p w14:paraId="0755CEC2" w14:textId="77777777"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16" w:type="pct"/>
            <w:noWrap/>
          </w:tcPr>
          <w:p w14:paraId="01E99C42" w14:textId="5E3765DA"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07" w:type="pct"/>
            <w:noWrap/>
          </w:tcPr>
          <w:p w14:paraId="7A1C30CB" w14:textId="7A1F1E01" w:rsidR="00FA6FDF" w:rsidRPr="00B964AD" w:rsidRDefault="00FA6FDF" w:rsidP="00FA6FDF">
            <w:pPr>
              <w:spacing w:after="0"/>
              <w:jc w:val="right"/>
              <w:rPr>
                <w:noProof/>
                <w:sz w:val="19"/>
                <w:szCs w:val="19"/>
                <w:lang w:val="en-IE" w:eastAsia="en-IE"/>
              </w:rPr>
            </w:pPr>
            <w:r w:rsidRPr="00B964AD">
              <w:rPr>
                <w:noProof/>
                <w:sz w:val="19"/>
                <w:szCs w:val="19"/>
              </w:rPr>
              <w:t xml:space="preserve"> -   </w:t>
            </w:r>
          </w:p>
        </w:tc>
        <w:tc>
          <w:tcPr>
            <w:tcW w:w="675" w:type="pct"/>
            <w:noWrap/>
          </w:tcPr>
          <w:p w14:paraId="2688CB05" w14:textId="1C3F552C" w:rsidR="00FA6FDF" w:rsidRPr="00B964AD" w:rsidRDefault="00FA6FDF" w:rsidP="00FA6FDF">
            <w:pPr>
              <w:spacing w:after="0"/>
              <w:jc w:val="right"/>
              <w:rPr>
                <w:noProof/>
                <w:sz w:val="19"/>
                <w:szCs w:val="19"/>
                <w:lang w:val="en-IE" w:eastAsia="en-IE"/>
              </w:rPr>
            </w:pPr>
            <w:r w:rsidRPr="00B964AD">
              <w:rPr>
                <w:noProof/>
                <w:sz w:val="19"/>
                <w:szCs w:val="19"/>
              </w:rPr>
              <w:t xml:space="preserve">-   </w:t>
            </w:r>
          </w:p>
        </w:tc>
      </w:tr>
      <w:tr w:rsidR="008C567B" w:rsidRPr="00397C78" w14:paraId="3DAD5C2A" w14:textId="77777777" w:rsidTr="008921E3">
        <w:trPr>
          <w:trHeight w:val="283"/>
        </w:trPr>
        <w:tc>
          <w:tcPr>
            <w:tcW w:w="744" w:type="pct"/>
            <w:shd w:val="clear" w:color="auto" w:fill="F2DBDB" w:themeFill="accent2" w:themeFillTint="33"/>
            <w:noWrap/>
            <w:hideMark/>
          </w:tcPr>
          <w:p w14:paraId="2441A2AD" w14:textId="77777777" w:rsidR="00FA6FDF" w:rsidRPr="00FA63C0" w:rsidRDefault="00FA6FDF" w:rsidP="00FA6FDF">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608" w:type="pct"/>
            <w:shd w:val="clear" w:color="auto" w:fill="F2DBDB" w:themeFill="accent2" w:themeFillTint="33"/>
          </w:tcPr>
          <w:p w14:paraId="54F4370D" w14:textId="720E654D" w:rsidR="00FA6FDF" w:rsidRPr="00B964AD" w:rsidRDefault="002B7835" w:rsidP="00FA6FDF">
            <w:pPr>
              <w:spacing w:after="0"/>
              <w:jc w:val="right"/>
              <w:rPr>
                <w:noProof/>
                <w:sz w:val="19"/>
                <w:szCs w:val="19"/>
                <w:lang w:val="en-IE" w:eastAsia="en-IE"/>
              </w:rPr>
            </w:pPr>
            <w:r w:rsidRPr="00EB6B3E">
              <w:rPr>
                <w:noProof/>
                <w:sz w:val="19"/>
                <w:szCs w:val="19"/>
              </w:rPr>
              <w:t>1 4</w:t>
            </w:r>
            <w:r>
              <w:rPr>
                <w:noProof/>
                <w:sz w:val="19"/>
                <w:szCs w:val="19"/>
              </w:rPr>
              <w:t>39</w:t>
            </w:r>
            <w:r w:rsidRPr="00EB6B3E">
              <w:rPr>
                <w:noProof/>
                <w:sz w:val="19"/>
                <w:szCs w:val="19"/>
              </w:rPr>
              <w:t xml:space="preserve"> </w:t>
            </w:r>
            <w:r>
              <w:rPr>
                <w:noProof/>
                <w:sz w:val="19"/>
                <w:szCs w:val="19"/>
              </w:rPr>
              <w:t>144 597</w:t>
            </w:r>
          </w:p>
        </w:tc>
        <w:tc>
          <w:tcPr>
            <w:tcW w:w="673" w:type="pct"/>
            <w:shd w:val="clear" w:color="auto" w:fill="F2DBDB" w:themeFill="accent2" w:themeFillTint="33"/>
          </w:tcPr>
          <w:p w14:paraId="050A8DF5" w14:textId="2A0FDB11" w:rsidR="00FA6FDF" w:rsidRPr="00B964AD" w:rsidRDefault="00FA6FDF" w:rsidP="00FA6FDF">
            <w:pPr>
              <w:spacing w:after="0"/>
              <w:jc w:val="right"/>
              <w:rPr>
                <w:noProof/>
                <w:sz w:val="19"/>
                <w:szCs w:val="19"/>
                <w:lang w:val="en-IE" w:eastAsia="en-IE"/>
              </w:rPr>
            </w:pPr>
            <w:r w:rsidRPr="00522A77">
              <w:rPr>
                <w:noProof/>
                <w:sz w:val="20"/>
                <w:szCs w:val="20"/>
                <w:lang w:val="en-IE" w:eastAsia="en-IE"/>
              </w:rPr>
              <w:t>341 519 196</w:t>
            </w:r>
          </w:p>
        </w:tc>
        <w:tc>
          <w:tcPr>
            <w:tcW w:w="539" w:type="pct"/>
            <w:shd w:val="clear" w:color="auto" w:fill="F2DBDB" w:themeFill="accent2" w:themeFillTint="33"/>
          </w:tcPr>
          <w:p w14:paraId="00F4B1F2" w14:textId="228507B1" w:rsidR="00FA6FDF" w:rsidRPr="00B964AD" w:rsidRDefault="00FA6FDF" w:rsidP="00FA6FDF">
            <w:pPr>
              <w:spacing w:after="0"/>
              <w:jc w:val="right"/>
              <w:rPr>
                <w:noProof/>
                <w:sz w:val="19"/>
                <w:szCs w:val="19"/>
                <w:lang w:val="en-IE" w:eastAsia="en-IE"/>
              </w:rPr>
            </w:pPr>
            <w:r w:rsidRPr="00B964AD">
              <w:rPr>
                <w:noProof/>
                <w:sz w:val="19"/>
                <w:szCs w:val="19"/>
              </w:rPr>
              <w:t xml:space="preserve"> 223 791 446</w:t>
            </w:r>
          </w:p>
        </w:tc>
        <w:tc>
          <w:tcPr>
            <w:tcW w:w="538" w:type="pct"/>
            <w:shd w:val="clear" w:color="auto" w:fill="F2DBDB" w:themeFill="accent2" w:themeFillTint="33"/>
          </w:tcPr>
          <w:p w14:paraId="465B3E65" w14:textId="14EDEA64" w:rsidR="00FA6FDF" w:rsidRPr="00B964AD" w:rsidRDefault="00FA6FDF" w:rsidP="00FA6FDF">
            <w:pPr>
              <w:spacing w:after="0"/>
              <w:jc w:val="right"/>
              <w:rPr>
                <w:b/>
                <w:bCs/>
                <w:noProof/>
                <w:sz w:val="19"/>
                <w:szCs w:val="19"/>
                <w:lang w:val="en-IE" w:eastAsia="en-IE"/>
              </w:rPr>
            </w:pPr>
            <w:r w:rsidRPr="00B964AD">
              <w:rPr>
                <w:noProof/>
                <w:sz w:val="19"/>
                <w:szCs w:val="19"/>
              </w:rPr>
              <w:t xml:space="preserve"> 3 659 549</w:t>
            </w:r>
          </w:p>
        </w:tc>
        <w:tc>
          <w:tcPr>
            <w:tcW w:w="616" w:type="pct"/>
            <w:shd w:val="clear" w:color="auto" w:fill="F2DBDB" w:themeFill="accent2" w:themeFillTint="33"/>
            <w:noWrap/>
          </w:tcPr>
          <w:p w14:paraId="35758C59" w14:textId="2AAEC62B" w:rsidR="00FA6FDF" w:rsidRPr="00B964AD" w:rsidRDefault="00FA6FDF" w:rsidP="00FA6FDF">
            <w:pPr>
              <w:spacing w:after="0"/>
              <w:jc w:val="right"/>
              <w:rPr>
                <w:noProof/>
                <w:sz w:val="19"/>
                <w:szCs w:val="19"/>
                <w:lang w:val="en-IE" w:eastAsia="en-IE"/>
              </w:rPr>
            </w:pPr>
            <w:r w:rsidRPr="00B964AD">
              <w:rPr>
                <w:noProof/>
                <w:color w:val="000000"/>
                <w:sz w:val="19"/>
                <w:szCs w:val="19"/>
              </w:rPr>
              <w:t xml:space="preserve">2 008 114 787 </w:t>
            </w:r>
          </w:p>
        </w:tc>
        <w:tc>
          <w:tcPr>
            <w:tcW w:w="607" w:type="pct"/>
            <w:shd w:val="clear" w:color="auto" w:fill="F2DBDB" w:themeFill="accent2" w:themeFillTint="33"/>
            <w:noWrap/>
          </w:tcPr>
          <w:p w14:paraId="79960799" w14:textId="103D7CFD" w:rsidR="00FA6FDF" w:rsidRPr="00B964AD" w:rsidRDefault="00FA6FDF" w:rsidP="00FA6FDF">
            <w:pPr>
              <w:spacing w:after="0"/>
              <w:jc w:val="right"/>
              <w:rPr>
                <w:noProof/>
                <w:sz w:val="19"/>
                <w:szCs w:val="19"/>
                <w:lang w:val="en-IE" w:eastAsia="en-IE"/>
              </w:rPr>
            </w:pPr>
            <w:r w:rsidRPr="00B964AD">
              <w:rPr>
                <w:noProof/>
                <w:color w:val="000000"/>
                <w:sz w:val="19"/>
                <w:szCs w:val="19"/>
              </w:rPr>
              <w:t xml:space="preserve">838 406 538 </w:t>
            </w:r>
          </w:p>
        </w:tc>
        <w:tc>
          <w:tcPr>
            <w:tcW w:w="675" w:type="pct"/>
            <w:shd w:val="clear" w:color="auto" w:fill="F2DBDB" w:themeFill="accent2" w:themeFillTint="33"/>
            <w:noWrap/>
          </w:tcPr>
          <w:p w14:paraId="0BAE6D8C" w14:textId="2731FD10" w:rsidR="00FA6FDF" w:rsidRPr="00B964AD" w:rsidRDefault="00FA6FDF" w:rsidP="00FA6FDF">
            <w:pPr>
              <w:spacing w:after="0"/>
              <w:jc w:val="right"/>
              <w:rPr>
                <w:noProof/>
                <w:sz w:val="19"/>
                <w:szCs w:val="19"/>
                <w:lang w:val="en-IE" w:eastAsia="en-IE"/>
              </w:rPr>
            </w:pPr>
            <w:r w:rsidRPr="00B964AD">
              <w:rPr>
                <w:noProof/>
                <w:color w:val="000000"/>
                <w:sz w:val="19"/>
                <w:szCs w:val="19"/>
              </w:rPr>
              <w:t xml:space="preserve">3 385 663 062 </w:t>
            </w:r>
          </w:p>
        </w:tc>
      </w:tr>
      <w:tr w:rsidR="008C567B" w:rsidRPr="007B1859" w14:paraId="17FCBD4F" w14:textId="77777777" w:rsidTr="008921E3">
        <w:trPr>
          <w:trHeight w:val="283"/>
        </w:trPr>
        <w:tc>
          <w:tcPr>
            <w:tcW w:w="744" w:type="pct"/>
            <w:shd w:val="clear" w:color="auto" w:fill="EAF1DD" w:themeFill="accent3" w:themeFillTint="33"/>
            <w:noWrap/>
            <w:hideMark/>
          </w:tcPr>
          <w:p w14:paraId="3EB59BF6" w14:textId="77777777" w:rsidR="00FA6FDF" w:rsidRPr="00FA63C0" w:rsidRDefault="00FA6FDF" w:rsidP="00FA6FDF">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608" w:type="pct"/>
            <w:shd w:val="clear" w:color="auto" w:fill="EAF1DD" w:themeFill="accent3" w:themeFillTint="33"/>
          </w:tcPr>
          <w:p w14:paraId="4AA69957" w14:textId="425BC368" w:rsidR="00FA6FDF" w:rsidRPr="00B964AD" w:rsidRDefault="00FA6FDF" w:rsidP="00FA6FDF">
            <w:pPr>
              <w:spacing w:after="0"/>
              <w:jc w:val="right"/>
              <w:rPr>
                <w:noProof/>
                <w:sz w:val="19"/>
                <w:szCs w:val="19"/>
                <w:lang w:val="en-IE" w:eastAsia="en-IE"/>
              </w:rPr>
            </w:pPr>
            <w:r w:rsidRPr="00FA63C0">
              <w:rPr>
                <w:noProof/>
                <w:sz w:val="20"/>
                <w:szCs w:val="20"/>
              </w:rPr>
              <w:t>-</w:t>
            </w:r>
          </w:p>
        </w:tc>
        <w:tc>
          <w:tcPr>
            <w:tcW w:w="673" w:type="pct"/>
            <w:shd w:val="clear" w:color="auto" w:fill="EAF1DD" w:themeFill="accent3" w:themeFillTint="33"/>
          </w:tcPr>
          <w:p w14:paraId="582D0B00" w14:textId="0E1B5C0A" w:rsidR="00FA6FDF" w:rsidRPr="00B964AD" w:rsidRDefault="00FA6FDF" w:rsidP="00FA6FDF">
            <w:pPr>
              <w:spacing w:after="0"/>
              <w:jc w:val="right"/>
              <w:rPr>
                <w:noProof/>
                <w:sz w:val="19"/>
                <w:szCs w:val="19"/>
                <w:lang w:val="en-IE" w:eastAsia="en-IE"/>
              </w:rPr>
            </w:pPr>
            <w:r w:rsidRPr="00B964AD">
              <w:rPr>
                <w:noProof/>
                <w:sz w:val="19"/>
                <w:szCs w:val="19"/>
                <w:lang w:val="en-IE" w:eastAsia="en-IE"/>
              </w:rPr>
              <w:t>(3 349 440 466)</w:t>
            </w:r>
          </w:p>
        </w:tc>
        <w:tc>
          <w:tcPr>
            <w:tcW w:w="539" w:type="pct"/>
            <w:shd w:val="clear" w:color="auto" w:fill="EAF1DD" w:themeFill="accent3" w:themeFillTint="33"/>
          </w:tcPr>
          <w:p w14:paraId="530BE8A6" w14:textId="057ED38D" w:rsidR="00FA6FDF" w:rsidRPr="00B964AD" w:rsidRDefault="00FA6FDF" w:rsidP="00FA6FDF">
            <w:pPr>
              <w:spacing w:after="0"/>
              <w:jc w:val="right"/>
              <w:rPr>
                <w:noProof/>
                <w:sz w:val="19"/>
                <w:szCs w:val="19"/>
                <w:lang w:val="en-IE" w:eastAsia="en-IE"/>
              </w:rPr>
            </w:pPr>
            <w:r w:rsidRPr="00B964AD">
              <w:rPr>
                <w:noProof/>
                <w:sz w:val="19"/>
                <w:szCs w:val="19"/>
              </w:rPr>
              <w:t xml:space="preserve"> (2 507 623)</w:t>
            </w:r>
          </w:p>
        </w:tc>
        <w:tc>
          <w:tcPr>
            <w:tcW w:w="538" w:type="pct"/>
            <w:shd w:val="clear" w:color="auto" w:fill="EAF1DD" w:themeFill="accent3" w:themeFillTint="33"/>
          </w:tcPr>
          <w:p w14:paraId="0AE9067E" w14:textId="0E4AEB13" w:rsidR="00FA6FDF" w:rsidRPr="00B964AD" w:rsidRDefault="00FA6FDF" w:rsidP="00B964AD">
            <w:pPr>
              <w:spacing w:after="0"/>
              <w:jc w:val="center"/>
              <w:rPr>
                <w:b/>
                <w:bCs/>
                <w:noProof/>
                <w:sz w:val="19"/>
                <w:szCs w:val="19"/>
                <w:lang w:val="en-IE" w:eastAsia="en-IE"/>
              </w:rPr>
            </w:pPr>
            <w:r w:rsidRPr="00B964AD">
              <w:rPr>
                <w:noProof/>
                <w:sz w:val="19"/>
                <w:szCs w:val="19"/>
              </w:rPr>
              <w:t>-</w:t>
            </w:r>
          </w:p>
        </w:tc>
        <w:tc>
          <w:tcPr>
            <w:tcW w:w="616" w:type="pct"/>
            <w:shd w:val="clear" w:color="auto" w:fill="EAF1DD" w:themeFill="accent3" w:themeFillTint="33"/>
            <w:noWrap/>
          </w:tcPr>
          <w:p w14:paraId="28AACF9D" w14:textId="513C2172" w:rsidR="00FA6FDF" w:rsidRPr="00B964AD" w:rsidRDefault="00FA6FDF" w:rsidP="00FA6FDF">
            <w:pPr>
              <w:spacing w:after="0"/>
              <w:jc w:val="right"/>
              <w:rPr>
                <w:noProof/>
                <w:sz w:val="19"/>
                <w:szCs w:val="19"/>
                <w:lang w:val="en-IE" w:eastAsia="en-IE"/>
              </w:rPr>
            </w:pPr>
            <w:r w:rsidRPr="00B964AD" w:rsidDel="007F169B">
              <w:rPr>
                <w:noProof/>
                <w:color w:val="000000"/>
                <w:sz w:val="19"/>
                <w:szCs w:val="19"/>
              </w:rPr>
              <w:t xml:space="preserve">(3 351 </w:t>
            </w:r>
            <w:r w:rsidRPr="00B964AD">
              <w:rPr>
                <w:noProof/>
                <w:color w:val="000000"/>
                <w:sz w:val="19"/>
                <w:szCs w:val="19"/>
              </w:rPr>
              <w:t>948 089)</w:t>
            </w:r>
          </w:p>
        </w:tc>
        <w:tc>
          <w:tcPr>
            <w:tcW w:w="607" w:type="pct"/>
            <w:shd w:val="clear" w:color="auto" w:fill="EAF1DD" w:themeFill="accent3" w:themeFillTint="33"/>
            <w:noWrap/>
          </w:tcPr>
          <w:p w14:paraId="3BEB8A95" w14:textId="5F1C488A" w:rsidR="00FA6FDF" w:rsidRPr="00B964AD" w:rsidRDefault="00FA6FDF" w:rsidP="00FA6FDF">
            <w:pPr>
              <w:spacing w:after="0"/>
              <w:jc w:val="right"/>
              <w:rPr>
                <w:noProof/>
                <w:sz w:val="19"/>
                <w:szCs w:val="19"/>
                <w:lang w:val="en-IE" w:eastAsia="en-IE"/>
              </w:rPr>
            </w:pPr>
            <w:r w:rsidRPr="00B964AD">
              <w:rPr>
                <w:noProof/>
                <w:color w:val="000000"/>
                <w:sz w:val="19"/>
                <w:szCs w:val="19"/>
              </w:rPr>
              <w:t>(1 676 992 882)</w:t>
            </w:r>
          </w:p>
        </w:tc>
        <w:tc>
          <w:tcPr>
            <w:tcW w:w="675" w:type="pct"/>
            <w:shd w:val="clear" w:color="auto" w:fill="EAF1DD" w:themeFill="accent3" w:themeFillTint="33"/>
            <w:noWrap/>
          </w:tcPr>
          <w:p w14:paraId="56305A15" w14:textId="36ACD64B" w:rsidR="00FA6FDF" w:rsidRPr="00B964AD" w:rsidRDefault="00FA6FDF" w:rsidP="00FA6FDF">
            <w:pPr>
              <w:spacing w:after="0"/>
              <w:jc w:val="right"/>
              <w:rPr>
                <w:noProof/>
                <w:sz w:val="19"/>
                <w:szCs w:val="19"/>
                <w:lang w:val="en-IE" w:eastAsia="en-IE"/>
              </w:rPr>
            </w:pPr>
            <w:r w:rsidRPr="00B964AD">
              <w:rPr>
                <w:noProof/>
                <w:color w:val="000000"/>
                <w:sz w:val="19"/>
                <w:szCs w:val="19"/>
              </w:rPr>
              <w:t>(5 085 107 859)</w:t>
            </w:r>
          </w:p>
        </w:tc>
      </w:tr>
      <w:tr w:rsidR="008C567B" w:rsidRPr="007C40E5" w14:paraId="7DC454D1" w14:textId="77777777" w:rsidTr="008921E3">
        <w:trPr>
          <w:trHeight w:val="283"/>
        </w:trPr>
        <w:tc>
          <w:tcPr>
            <w:tcW w:w="744" w:type="pct"/>
            <w:shd w:val="clear" w:color="auto" w:fill="F2F2F2" w:themeFill="background1" w:themeFillShade="F2"/>
            <w:noWrap/>
            <w:hideMark/>
          </w:tcPr>
          <w:p w14:paraId="55F745D5" w14:textId="77777777" w:rsidR="00FA6FDF" w:rsidRPr="00FA63C0" w:rsidRDefault="00FA6FDF" w:rsidP="00FA6FDF">
            <w:pPr>
              <w:spacing w:after="0"/>
              <w:jc w:val="left"/>
              <w:rPr>
                <w:b/>
                <w:bCs/>
                <w:i/>
                <w:iCs/>
                <w:noProof/>
                <w:sz w:val="20"/>
                <w:szCs w:val="20"/>
                <w:lang w:val="en-IE" w:eastAsia="en-IE"/>
              </w:rPr>
            </w:pPr>
            <w:r w:rsidRPr="00FA63C0">
              <w:rPr>
                <w:b/>
                <w:bCs/>
                <w:i/>
                <w:iCs/>
                <w:noProof/>
                <w:sz w:val="20"/>
                <w:szCs w:val="20"/>
                <w:lang w:val="en-IE" w:eastAsia="en-IE"/>
              </w:rPr>
              <w:t>Net impact</w:t>
            </w:r>
          </w:p>
        </w:tc>
        <w:tc>
          <w:tcPr>
            <w:tcW w:w="608" w:type="pct"/>
            <w:shd w:val="clear" w:color="auto" w:fill="F2F2F2" w:themeFill="background1" w:themeFillShade="F2"/>
          </w:tcPr>
          <w:p w14:paraId="2F7FB125" w14:textId="451C7D31" w:rsidR="00FA6FDF" w:rsidRPr="00B964AD" w:rsidRDefault="002B7835" w:rsidP="00FA6FDF">
            <w:pPr>
              <w:spacing w:after="0"/>
              <w:jc w:val="right"/>
              <w:rPr>
                <w:b/>
                <w:bCs/>
                <w:noProof/>
                <w:sz w:val="19"/>
                <w:szCs w:val="19"/>
                <w:lang w:val="en-IE" w:eastAsia="en-IE"/>
              </w:rPr>
            </w:pPr>
            <w:r w:rsidRPr="00EB6B3E">
              <w:rPr>
                <w:noProof/>
                <w:sz w:val="19"/>
                <w:szCs w:val="19"/>
              </w:rPr>
              <w:t>1 4</w:t>
            </w:r>
            <w:r>
              <w:rPr>
                <w:noProof/>
                <w:sz w:val="19"/>
                <w:szCs w:val="19"/>
              </w:rPr>
              <w:t>39</w:t>
            </w:r>
            <w:r w:rsidRPr="00EB6B3E">
              <w:rPr>
                <w:noProof/>
                <w:sz w:val="19"/>
                <w:szCs w:val="19"/>
              </w:rPr>
              <w:t xml:space="preserve"> </w:t>
            </w:r>
            <w:r>
              <w:rPr>
                <w:noProof/>
                <w:sz w:val="19"/>
                <w:szCs w:val="19"/>
              </w:rPr>
              <w:t>144 597</w:t>
            </w:r>
          </w:p>
        </w:tc>
        <w:tc>
          <w:tcPr>
            <w:tcW w:w="673" w:type="pct"/>
            <w:shd w:val="clear" w:color="auto" w:fill="F2F2F2" w:themeFill="background1" w:themeFillShade="F2"/>
          </w:tcPr>
          <w:p w14:paraId="0A3ED6D2" w14:textId="401E0D67" w:rsidR="00FA6FDF" w:rsidRPr="00B964AD" w:rsidRDefault="00FA6FDF" w:rsidP="00FA6FDF">
            <w:pPr>
              <w:spacing w:after="0"/>
              <w:jc w:val="right"/>
              <w:rPr>
                <w:b/>
                <w:bCs/>
                <w:noProof/>
                <w:sz w:val="19"/>
                <w:szCs w:val="19"/>
                <w:lang w:val="en-IE" w:eastAsia="en-IE"/>
              </w:rPr>
            </w:pPr>
            <w:r w:rsidRPr="00522A77">
              <w:rPr>
                <w:b/>
                <w:bCs/>
                <w:noProof/>
                <w:sz w:val="20"/>
                <w:szCs w:val="20"/>
                <w:lang w:val="en-IE" w:eastAsia="en-IE"/>
              </w:rPr>
              <w:t>(3 007 921 270</w:t>
            </w:r>
            <w:r w:rsidR="00522A77">
              <w:rPr>
                <w:b/>
                <w:bCs/>
                <w:noProof/>
                <w:sz w:val="20"/>
                <w:szCs w:val="20"/>
                <w:lang w:val="en-IE" w:eastAsia="en-IE"/>
              </w:rPr>
              <w:t>)</w:t>
            </w:r>
          </w:p>
        </w:tc>
        <w:tc>
          <w:tcPr>
            <w:tcW w:w="539" w:type="pct"/>
            <w:shd w:val="clear" w:color="auto" w:fill="F2F2F2" w:themeFill="background1" w:themeFillShade="F2"/>
          </w:tcPr>
          <w:p w14:paraId="27C3F2FC" w14:textId="21F473C6" w:rsidR="00FA6FDF" w:rsidRPr="00B964AD" w:rsidRDefault="00FA6FDF" w:rsidP="00FA6FDF">
            <w:pPr>
              <w:spacing w:after="0"/>
              <w:jc w:val="right"/>
              <w:rPr>
                <w:b/>
                <w:bCs/>
                <w:noProof/>
                <w:sz w:val="19"/>
                <w:szCs w:val="19"/>
                <w:lang w:val="en-IE" w:eastAsia="en-IE"/>
              </w:rPr>
            </w:pPr>
            <w:r w:rsidRPr="00B964AD">
              <w:rPr>
                <w:b/>
                <w:bCs/>
                <w:noProof/>
                <w:sz w:val="19"/>
                <w:szCs w:val="19"/>
                <w:lang w:val="en-IE" w:eastAsia="en-IE"/>
              </w:rPr>
              <w:t>221 283 823</w:t>
            </w:r>
          </w:p>
        </w:tc>
        <w:tc>
          <w:tcPr>
            <w:tcW w:w="538" w:type="pct"/>
            <w:shd w:val="clear" w:color="auto" w:fill="F2F2F2" w:themeFill="background1" w:themeFillShade="F2"/>
          </w:tcPr>
          <w:p w14:paraId="234D65F8" w14:textId="60C61857" w:rsidR="00FA6FDF" w:rsidRPr="00B964AD" w:rsidRDefault="00FA6FDF" w:rsidP="00FA6FDF">
            <w:pPr>
              <w:spacing w:after="0"/>
              <w:jc w:val="right"/>
              <w:rPr>
                <w:b/>
                <w:bCs/>
                <w:noProof/>
                <w:sz w:val="19"/>
                <w:szCs w:val="19"/>
                <w:lang w:val="en-IE" w:eastAsia="en-IE"/>
              </w:rPr>
            </w:pPr>
            <w:r w:rsidRPr="00B964AD">
              <w:rPr>
                <w:b/>
                <w:bCs/>
                <w:noProof/>
                <w:sz w:val="19"/>
                <w:szCs w:val="19"/>
              </w:rPr>
              <w:t>3 659 549</w:t>
            </w:r>
          </w:p>
        </w:tc>
        <w:tc>
          <w:tcPr>
            <w:tcW w:w="616" w:type="pct"/>
            <w:shd w:val="clear" w:color="auto" w:fill="F2F2F2" w:themeFill="background1" w:themeFillShade="F2"/>
            <w:noWrap/>
          </w:tcPr>
          <w:p w14:paraId="6B4DAC50" w14:textId="574B9948" w:rsidR="00FA6FDF" w:rsidRPr="00B964AD" w:rsidRDefault="00FA6FDF" w:rsidP="00FA6FDF">
            <w:pPr>
              <w:spacing w:after="0"/>
              <w:jc w:val="right"/>
              <w:rPr>
                <w:b/>
                <w:bCs/>
                <w:noProof/>
                <w:sz w:val="19"/>
                <w:szCs w:val="19"/>
                <w:lang w:val="en-IE" w:eastAsia="en-IE"/>
              </w:rPr>
            </w:pPr>
            <w:r w:rsidRPr="00B964AD">
              <w:rPr>
                <w:b/>
                <w:noProof/>
                <w:color w:val="000000"/>
                <w:sz w:val="19"/>
                <w:szCs w:val="19"/>
              </w:rPr>
              <w:t xml:space="preserve">(1 343 </w:t>
            </w:r>
            <w:r w:rsidRPr="00B964AD">
              <w:rPr>
                <w:b/>
                <w:bCs/>
                <w:noProof/>
                <w:color w:val="000000"/>
                <w:sz w:val="19"/>
                <w:szCs w:val="19"/>
              </w:rPr>
              <w:t>833</w:t>
            </w:r>
            <w:r w:rsidRPr="00B964AD">
              <w:rPr>
                <w:b/>
                <w:noProof/>
                <w:color w:val="000000"/>
                <w:sz w:val="19"/>
                <w:szCs w:val="19"/>
              </w:rPr>
              <w:t xml:space="preserve"> 301)</w:t>
            </w:r>
          </w:p>
        </w:tc>
        <w:tc>
          <w:tcPr>
            <w:tcW w:w="607" w:type="pct"/>
            <w:shd w:val="clear" w:color="auto" w:fill="F2F2F2" w:themeFill="background1" w:themeFillShade="F2"/>
            <w:noWrap/>
          </w:tcPr>
          <w:p w14:paraId="1DD8755F" w14:textId="602A605D" w:rsidR="00FA6FDF" w:rsidRPr="00B964AD" w:rsidRDefault="00FA6FDF" w:rsidP="00FA6FDF">
            <w:pPr>
              <w:spacing w:after="0"/>
              <w:jc w:val="right"/>
              <w:rPr>
                <w:b/>
                <w:bCs/>
                <w:noProof/>
                <w:sz w:val="19"/>
                <w:szCs w:val="19"/>
                <w:lang w:val="en-IE" w:eastAsia="en-IE"/>
              </w:rPr>
            </w:pPr>
            <w:r w:rsidRPr="00B964AD">
              <w:rPr>
                <w:b/>
                <w:noProof/>
                <w:color w:val="000000"/>
                <w:sz w:val="19"/>
                <w:szCs w:val="19"/>
              </w:rPr>
              <w:t>(838 586 344)</w:t>
            </w:r>
          </w:p>
        </w:tc>
        <w:tc>
          <w:tcPr>
            <w:tcW w:w="675" w:type="pct"/>
            <w:shd w:val="clear" w:color="auto" w:fill="F2F2F2" w:themeFill="background1" w:themeFillShade="F2"/>
            <w:noWrap/>
          </w:tcPr>
          <w:p w14:paraId="141B7E2E" w14:textId="5C225F86" w:rsidR="00FA6FDF" w:rsidRPr="00B964AD" w:rsidRDefault="00FA6FDF" w:rsidP="00FA6FDF">
            <w:pPr>
              <w:spacing w:after="0"/>
              <w:jc w:val="right"/>
              <w:rPr>
                <w:b/>
                <w:bCs/>
                <w:noProof/>
                <w:sz w:val="19"/>
                <w:szCs w:val="19"/>
                <w:lang w:val="en-IE" w:eastAsia="en-IE"/>
              </w:rPr>
            </w:pPr>
            <w:r w:rsidRPr="00B964AD">
              <w:rPr>
                <w:b/>
                <w:noProof/>
                <w:color w:val="000000"/>
                <w:sz w:val="19"/>
                <w:szCs w:val="19"/>
              </w:rPr>
              <w:t>(1 699 444 797)</w:t>
            </w:r>
          </w:p>
        </w:tc>
      </w:tr>
    </w:tbl>
    <w:p w14:paraId="5D58D9C5" w14:textId="77777777" w:rsidR="003470F3" w:rsidRDefault="003470F3" w:rsidP="005A45C0">
      <w:pPr>
        <w:rPr>
          <w:noProof/>
        </w:rPr>
      </w:pPr>
      <w:bookmarkStart w:id="255" w:name="_Toc208595323"/>
      <w:bookmarkStart w:id="256" w:name="_Toc208836948"/>
      <w:bookmarkStart w:id="257" w:name="_Toc209201629"/>
      <w:bookmarkStart w:id="258" w:name="_Toc214519726"/>
      <w:bookmarkStart w:id="259" w:name="_Toc216283377"/>
      <w:bookmarkStart w:id="260" w:name="_Toc228346932"/>
    </w:p>
    <w:p w14:paraId="60897EFF" w14:textId="5B05A356" w:rsidR="00182AE0" w:rsidRDefault="2411B030" w:rsidP="00182AE0">
      <w:pPr>
        <w:rPr>
          <w:rFonts w:eastAsia="Times New Roman"/>
          <w:noProof/>
        </w:rPr>
      </w:pPr>
      <w:r>
        <w:rPr>
          <w:noProof/>
        </w:rPr>
        <w:t>This policy measure would trigger an acceleration of porting of some applications to sovereign cloud services of assurance levels 2 to 4, requiring an anticipation of expenses of EUR 3 to 15 bn. These costs are estimated and reported under section 12.4 of Annex 4</w:t>
      </w:r>
      <w:r w:rsidR="00182AE0">
        <w:rPr>
          <w:noProof/>
        </w:rPr>
        <w:t xml:space="preserve">. </w:t>
      </w:r>
      <w:r w:rsidR="00182AE0">
        <w:rPr>
          <w:rFonts w:eastAsia="Times New Roman"/>
          <w:noProof/>
        </w:rPr>
        <w:t xml:space="preserve">Since they represent planned expenditure that would be incurred in the future as part of the regular cloud contract renewal cycles and independent of the present policy measure, they have been scoped outside of the summary cost table so as not to conflate structural renewal costs with the incremental financial impact of the measure itself. </w:t>
      </w:r>
    </w:p>
    <w:p w14:paraId="15D9E012" w14:textId="77777777" w:rsidR="00182AE0" w:rsidRDefault="00182AE0" w:rsidP="00182AE0">
      <w:pPr>
        <w:rPr>
          <w:rFonts w:eastAsia="Times New Roman"/>
          <w:noProof/>
        </w:rPr>
      </w:pPr>
      <w:r w:rsidRPr="007B3703">
        <w:rPr>
          <w:rFonts w:eastAsia="Times New Roman"/>
          <w:noProof/>
        </w:rPr>
        <w:t xml:space="preserve">The benefits </w:t>
      </w:r>
      <w:r>
        <w:rPr>
          <w:rFonts w:eastAsia="Times New Roman"/>
          <w:noProof/>
        </w:rPr>
        <w:t>accruing</w:t>
      </w:r>
      <w:r w:rsidRPr="007B3703">
        <w:rPr>
          <w:rFonts w:eastAsia="Times New Roman"/>
          <w:noProof/>
        </w:rPr>
        <w:t xml:space="preserve"> </w:t>
      </w:r>
      <w:r>
        <w:rPr>
          <w:rFonts w:eastAsia="Times New Roman"/>
          <w:noProof/>
        </w:rPr>
        <w:t>from</w:t>
      </w:r>
      <w:r w:rsidRPr="007B3703">
        <w:rPr>
          <w:rFonts w:eastAsia="Times New Roman"/>
          <w:noProof/>
        </w:rPr>
        <w:t xml:space="preserve"> the risk reduction</w:t>
      </w:r>
      <w:r>
        <w:rPr>
          <w:rFonts w:eastAsia="Times New Roman"/>
          <w:noProof/>
        </w:rPr>
        <w:t xml:space="preserve">, notably an </w:t>
      </w:r>
      <w:r w:rsidRPr="007B3703">
        <w:rPr>
          <w:rFonts w:eastAsia="Times New Roman"/>
          <w:noProof/>
        </w:rPr>
        <w:t xml:space="preserve">increased autonomy and </w:t>
      </w:r>
      <w:r>
        <w:rPr>
          <w:rFonts w:eastAsia="Times New Roman"/>
          <w:noProof/>
        </w:rPr>
        <w:t xml:space="preserve">strengthened operational </w:t>
      </w:r>
      <w:r w:rsidRPr="007B3703">
        <w:rPr>
          <w:rFonts w:eastAsia="Times New Roman"/>
          <w:noProof/>
        </w:rPr>
        <w:t>resilience</w:t>
      </w:r>
      <w:r>
        <w:rPr>
          <w:rFonts w:eastAsia="Times New Roman"/>
          <w:noProof/>
        </w:rPr>
        <w:t xml:space="preserve"> through the adoption of </w:t>
      </w:r>
      <w:r w:rsidRPr="007B3703">
        <w:rPr>
          <w:rFonts w:eastAsia="Times New Roman"/>
          <w:noProof/>
        </w:rPr>
        <w:t xml:space="preserve">sovereign cloud and AI computing solutions are intangible and </w:t>
      </w:r>
      <w:r>
        <w:rPr>
          <w:rFonts w:eastAsia="Times New Roman"/>
          <w:noProof/>
        </w:rPr>
        <w:t>cannot be expressed in quantitative terms. While these benefits cannot be quantified, they are acknowledged as a significant consideration underpinning the policy rationale.</w:t>
      </w:r>
    </w:p>
    <w:p w14:paraId="37D6362B" w14:textId="6275C770" w:rsidR="00AB7307" w:rsidRDefault="00F3546B" w:rsidP="00182AE0">
      <w:pPr>
        <w:pStyle w:val="Heading2"/>
        <w:numPr>
          <w:ilvl w:val="1"/>
          <w:numId w:val="10"/>
        </w:numPr>
        <w:tabs>
          <w:tab w:val="num" w:pos="283"/>
        </w:tabs>
        <w:spacing w:before="240"/>
        <w:ind w:left="1202"/>
        <w:rPr>
          <w:noProof/>
          <w:lang w:val="en-US"/>
        </w:rPr>
      </w:pPr>
      <w:r w:rsidRPr="00222FF1">
        <w:rPr>
          <w:noProof/>
        </w:rPr>
        <w:t>PM22</w:t>
      </w:r>
      <w:r w:rsidRPr="008B3D4A">
        <w:rPr>
          <w:noProof/>
          <w:lang w:val="en-US"/>
        </w:rPr>
        <w:t xml:space="preserve">: </w:t>
      </w:r>
      <w:bookmarkEnd w:id="255"/>
      <w:bookmarkEnd w:id="256"/>
      <w:bookmarkEnd w:id="257"/>
      <w:r w:rsidRPr="008B3D4A">
        <w:rPr>
          <w:noProof/>
          <w:lang w:val="en-US"/>
        </w:rPr>
        <w:t xml:space="preserve">EU-level Procurement </w:t>
      </w:r>
      <w:r w:rsidR="008B3D4A" w:rsidRPr="008B3D4A">
        <w:rPr>
          <w:noProof/>
          <w:lang w:val="en-US"/>
        </w:rPr>
        <w:t xml:space="preserve">of </w:t>
      </w:r>
      <w:r w:rsidR="0001203E">
        <w:rPr>
          <w:noProof/>
          <w:lang w:val="en-US"/>
        </w:rPr>
        <w:t>cloud</w:t>
      </w:r>
      <w:r w:rsidRPr="008B3D4A">
        <w:rPr>
          <w:noProof/>
          <w:lang w:val="en-US"/>
        </w:rPr>
        <w:t xml:space="preserve"> and AI</w:t>
      </w:r>
      <w:bookmarkEnd w:id="258"/>
      <w:r>
        <w:rPr>
          <w:noProof/>
          <w:lang w:val="en-US"/>
        </w:rPr>
        <w:t xml:space="preserve"> </w:t>
      </w:r>
      <w:r w:rsidR="008B3D4A">
        <w:rPr>
          <w:noProof/>
          <w:lang w:val="en-US"/>
        </w:rPr>
        <w:t>computing services</w:t>
      </w:r>
      <w:bookmarkEnd w:id="259"/>
      <w:bookmarkEnd w:id="260"/>
      <w:r w:rsidRPr="008B3D4A">
        <w:rPr>
          <w:noProof/>
          <w:lang w:val="en-US"/>
        </w:rPr>
        <w:t xml:space="preserve"> </w:t>
      </w:r>
    </w:p>
    <w:p w14:paraId="1C17314A" w14:textId="21682D4B" w:rsidR="00015693" w:rsidRPr="0007547C" w:rsidRDefault="724382DB" w:rsidP="00015693">
      <w:pPr>
        <w:rPr>
          <w:noProof/>
        </w:rPr>
      </w:pPr>
      <w:r>
        <w:rPr>
          <w:noProof/>
        </w:rPr>
        <w:t xml:space="preserve">PM22 builds on top of PM17, establishing in addition a framework for the public procurement at EU-level of </w:t>
      </w:r>
      <w:r w:rsidR="42019E6E">
        <w:rPr>
          <w:noProof/>
        </w:rPr>
        <w:t>data centre, cloud and AI computing services</w:t>
      </w:r>
      <w:r>
        <w:rPr>
          <w:noProof/>
        </w:rPr>
        <w:t>.</w:t>
      </w:r>
    </w:p>
    <w:p w14:paraId="40CAB136" w14:textId="614237B1" w:rsidR="00015693" w:rsidRPr="0007547C" w:rsidRDefault="00015693" w:rsidP="00015693">
      <w:pPr>
        <w:rPr>
          <w:noProof/>
        </w:rPr>
      </w:pPr>
      <w:r w:rsidRPr="0007547C">
        <w:rPr>
          <w:i/>
          <w:noProof/>
        </w:rPr>
        <w:t xml:space="preserve">Cloud Capacity in the Public Sector. </w:t>
      </w:r>
      <w:r w:rsidRPr="0007547C">
        <w:rPr>
          <w:noProof/>
        </w:rPr>
        <w:t>Same assumptions as in PM</w:t>
      </w:r>
      <w:r>
        <w:rPr>
          <w:noProof/>
        </w:rPr>
        <w:t>17</w:t>
      </w:r>
      <w:r w:rsidRPr="0007547C">
        <w:rPr>
          <w:noProof/>
        </w:rPr>
        <w:t xml:space="preserve"> are taken for all impacts related to the public sector cloud federation. </w:t>
      </w:r>
      <w:r w:rsidR="00D755A7">
        <w:rPr>
          <w:noProof/>
        </w:rPr>
        <w:t>Same number of p</w:t>
      </w:r>
      <w:r w:rsidRPr="0007547C">
        <w:rPr>
          <w:noProof/>
        </w:rPr>
        <w:t>ublic authorities at all levels participate in the public sector cloud federation.</w:t>
      </w:r>
    </w:p>
    <w:p w14:paraId="3AFD297A" w14:textId="2C9C4FA8" w:rsidR="00015693" w:rsidRPr="0007547C" w:rsidRDefault="00015693" w:rsidP="00015693">
      <w:pPr>
        <w:rPr>
          <w:noProof/>
        </w:rPr>
      </w:pPr>
      <w:r w:rsidRPr="294AF3FA">
        <w:rPr>
          <w:i/>
          <w:iCs/>
          <w:noProof/>
        </w:rPr>
        <w:t xml:space="preserve">Joint Procurement. </w:t>
      </w:r>
      <w:r w:rsidRPr="0007547C">
        <w:rPr>
          <w:noProof/>
        </w:rPr>
        <w:t>The Union procured 2,5 trillion EUR in services in 2024, from 250.000 public authorities</w:t>
      </w:r>
      <w:r w:rsidRPr="0007547C">
        <w:rPr>
          <w:rStyle w:val="FootnoteReference"/>
          <w:noProof/>
        </w:rPr>
        <w:footnoteReference w:id="97"/>
      </w:r>
      <w:r w:rsidRPr="0007547C">
        <w:rPr>
          <w:noProof/>
        </w:rPr>
        <w:t>. Section</w:t>
      </w:r>
      <w:r w:rsidR="00E466CC">
        <w:rPr>
          <w:noProof/>
        </w:rPr>
        <w:t xml:space="preserve"> 2.4.3</w:t>
      </w:r>
      <w:r>
        <w:rPr>
          <w:noProof/>
        </w:rPr>
        <w:t xml:space="preserve"> </w:t>
      </w:r>
      <w:r w:rsidRPr="0007547C">
        <w:rPr>
          <w:noProof/>
        </w:rPr>
        <w:t xml:space="preserve">(“Public procurement contract values for </w:t>
      </w:r>
      <w:r w:rsidR="0001203E">
        <w:rPr>
          <w:noProof/>
        </w:rPr>
        <w:t>cloud</w:t>
      </w:r>
      <w:r w:rsidRPr="0007547C">
        <w:rPr>
          <w:noProof/>
        </w:rPr>
        <w:t xml:space="preserve"> and AI </w:t>
      </w:r>
      <w:r w:rsidR="00A24504">
        <w:rPr>
          <w:noProof/>
        </w:rPr>
        <w:t xml:space="preserve">computing </w:t>
      </w:r>
      <w:r w:rsidRPr="0007547C">
        <w:rPr>
          <w:noProof/>
        </w:rPr>
        <w:t xml:space="preserve">services”) </w:t>
      </w:r>
      <w:r w:rsidR="00E466CC">
        <w:rPr>
          <w:noProof/>
        </w:rPr>
        <w:t xml:space="preserve">of this </w:t>
      </w:r>
      <w:r w:rsidR="00976672">
        <w:rPr>
          <w:noProof/>
        </w:rPr>
        <w:t>a</w:t>
      </w:r>
      <w:r w:rsidR="00E466CC">
        <w:rPr>
          <w:noProof/>
        </w:rPr>
        <w:t xml:space="preserve">nnex </w:t>
      </w:r>
      <w:r w:rsidRPr="0007547C">
        <w:rPr>
          <w:noProof/>
        </w:rPr>
        <w:t xml:space="preserve">shows that cloud and AI </w:t>
      </w:r>
      <w:r w:rsidR="00A24504">
        <w:rPr>
          <w:noProof/>
        </w:rPr>
        <w:t xml:space="preserve">computing </w:t>
      </w:r>
      <w:r w:rsidRPr="0007547C">
        <w:rPr>
          <w:noProof/>
        </w:rPr>
        <w:t>services represented 0,68% of the total services procured by the public sector in Europe in 2024. The value of cloud and AI contracts procured by the public sector in that year (0.68% x EUR 2,5 trillion = EUR 17 bn) is projected to the future using the CAGR observed in the period 2021-24 (</w:t>
      </w:r>
      <w:r w:rsidR="00684F03" w:rsidRPr="007F15DC">
        <w:rPr>
          <w:noProof/>
        </w:rPr>
        <w:t>20</w:t>
      </w:r>
      <w:r w:rsidRPr="0007547C">
        <w:rPr>
          <w:noProof/>
        </w:rPr>
        <w:t xml:space="preserve">%) for the first years up to 2030 and a half of that from then on. </w:t>
      </w:r>
    </w:p>
    <w:p w14:paraId="1D2D0464" w14:textId="74A34DA7" w:rsidR="00015693" w:rsidRPr="0007547C" w:rsidRDefault="00015693" w:rsidP="00015693">
      <w:pPr>
        <w:rPr>
          <w:noProof/>
        </w:rPr>
      </w:pPr>
      <w:r w:rsidRPr="0007547C">
        <w:rPr>
          <w:noProof/>
        </w:rPr>
        <w:t xml:space="preserve">A progressive </w:t>
      </w:r>
      <w:r w:rsidR="0044176A">
        <w:rPr>
          <w:noProof/>
        </w:rPr>
        <w:t>roll-out</w:t>
      </w:r>
      <w:r w:rsidRPr="0007547C">
        <w:rPr>
          <w:noProof/>
        </w:rPr>
        <w:t xml:space="preserve"> of the EU-level joint procurement is considered, starting at 2% of the procured service volume (</w:t>
      </w:r>
      <w:r>
        <w:rPr>
          <w:noProof/>
        </w:rPr>
        <w:t xml:space="preserve">EUR </w:t>
      </w:r>
      <w:r w:rsidRPr="0007547C">
        <w:rPr>
          <w:noProof/>
        </w:rPr>
        <w:t>340</w:t>
      </w:r>
      <w:r>
        <w:rPr>
          <w:noProof/>
        </w:rPr>
        <w:t xml:space="preserve"> </w:t>
      </w:r>
      <w:r w:rsidRPr="0007547C">
        <w:rPr>
          <w:noProof/>
        </w:rPr>
        <w:t xml:space="preserve">m) and increasing </w:t>
      </w:r>
      <w:r w:rsidR="0044176A">
        <w:rPr>
          <w:noProof/>
        </w:rPr>
        <w:t xml:space="preserve">by </w:t>
      </w:r>
      <w:r w:rsidRPr="0007547C">
        <w:rPr>
          <w:noProof/>
        </w:rPr>
        <w:t>2 additional percentage points every year, reaching 22% at the end of the 10-year period (EUR 21 bn). The level of savings will also increase over time as higher volumes are aggregated, and experience is gained, starting at 10% and growing annually by 4 additional percentage points till 2032, reaching 30% in that year.</w:t>
      </w:r>
    </w:p>
    <w:p w14:paraId="6E69CFE5" w14:textId="0DFE2126" w:rsidR="00015693" w:rsidRPr="0007547C" w:rsidRDefault="001244C9" w:rsidP="00015693">
      <w:pPr>
        <w:rPr>
          <w:noProof/>
          <w:color w:val="0070C0"/>
        </w:rPr>
      </w:pPr>
      <w:r w:rsidRPr="00D33B10">
        <w:rPr>
          <w:b/>
          <w:bCs/>
          <w:i/>
          <w:iCs/>
          <w:noProof/>
        </w:rPr>
        <w:t>O</w:t>
      </w:r>
      <w:r w:rsidR="00015693" w:rsidRPr="00D33B10">
        <w:rPr>
          <w:b/>
          <w:i/>
          <w:noProof/>
        </w:rPr>
        <w:t xml:space="preserve">ne-off adjustment costs </w:t>
      </w:r>
      <w:r w:rsidR="00B07A42" w:rsidRPr="00D33B10">
        <w:rPr>
          <w:b/>
          <w:i/>
          <w:noProof/>
        </w:rPr>
        <w:t>for the European Commission</w:t>
      </w:r>
      <w:r w:rsidR="00B07A42">
        <w:rPr>
          <w:noProof/>
        </w:rPr>
        <w:t xml:space="preserve"> include </w:t>
      </w:r>
      <w:r w:rsidR="00942117">
        <w:rPr>
          <w:noProof/>
        </w:rPr>
        <w:t>t</w:t>
      </w:r>
      <w:r w:rsidR="000A0196">
        <w:rPr>
          <w:noProof/>
        </w:rPr>
        <w:t>hose related</w:t>
      </w:r>
      <w:r w:rsidR="00015693" w:rsidRPr="0007547C">
        <w:rPr>
          <w:noProof/>
        </w:rPr>
        <w:t xml:space="preserve"> to set up the platform for federation, procurement, brokering and service aggregation. These costs include 4 persons half time in 2027 (2 FTE) from the Commission to run the procurement process for the platform (define requirements and prepare the call, assess and refine the proposals and award the contract), that will be tasked to a subcontractor for development and deployment at an estimated cost of </w:t>
      </w:r>
      <w:r w:rsidR="007C078A" w:rsidRPr="0007547C">
        <w:rPr>
          <w:noProof/>
        </w:rPr>
        <w:t xml:space="preserve">EUR </w:t>
      </w:r>
      <w:r w:rsidR="00015693" w:rsidRPr="0007547C">
        <w:rPr>
          <w:noProof/>
        </w:rPr>
        <w:t xml:space="preserve">40 000 000. This figure represents additional </w:t>
      </w:r>
      <w:r w:rsidR="007C078A" w:rsidRPr="0007547C">
        <w:rPr>
          <w:noProof/>
        </w:rPr>
        <w:t xml:space="preserve">EUR </w:t>
      </w:r>
      <w:r w:rsidR="00015693" w:rsidRPr="0007547C">
        <w:rPr>
          <w:noProof/>
        </w:rPr>
        <w:t xml:space="preserve">20 000 000 with respect to the federation platform considered in PM17 to cover the service repository, procured service catalogue and brokering and service aggregation functionality. </w:t>
      </w:r>
    </w:p>
    <w:p w14:paraId="6C598584" w14:textId="1D65AA75" w:rsidR="00015693" w:rsidRPr="0007547C" w:rsidRDefault="00015693" w:rsidP="00015693">
      <w:pPr>
        <w:ind w:left="720"/>
        <w:rPr>
          <w:i/>
          <w:noProof/>
        </w:rPr>
      </w:pPr>
      <w:r w:rsidRPr="0007547C">
        <w:rPr>
          <w:i/>
          <w:noProof/>
        </w:rPr>
        <w:t>One-off adjustment</w:t>
      </w:r>
      <w:r w:rsidR="009D1B96">
        <w:rPr>
          <w:i/>
          <w:noProof/>
        </w:rPr>
        <w:t xml:space="preserve"> cost</w:t>
      </w:r>
      <w:r w:rsidRPr="0007547C">
        <w:rPr>
          <w:i/>
          <w:noProof/>
        </w:rPr>
        <w:t>s = Platform costs + EC Staff costs for platform procurement</w:t>
      </w:r>
    </w:p>
    <w:p w14:paraId="41640693" w14:textId="48BC23DB" w:rsidR="00015693" w:rsidRPr="0007547C" w:rsidRDefault="00015693" w:rsidP="00015693">
      <w:pPr>
        <w:rPr>
          <w:noProof/>
        </w:rPr>
      </w:pPr>
      <w:r w:rsidRPr="00EE60FF">
        <w:rPr>
          <w:b/>
          <w:i/>
          <w:noProof/>
        </w:rPr>
        <w:t xml:space="preserve">Recurrent adjustment costs </w:t>
      </w:r>
      <w:r w:rsidR="00186BB6" w:rsidRPr="00EE60FF">
        <w:rPr>
          <w:b/>
          <w:i/>
          <w:noProof/>
        </w:rPr>
        <w:t>for the European Commission</w:t>
      </w:r>
      <w:r w:rsidRPr="0007547C">
        <w:rPr>
          <w:noProof/>
        </w:rPr>
        <w:t xml:space="preserve"> relate to hosting the platform in a cloud, estimated at 1.5 million EUR per year, operating, maintaining and evolving the federation platform, with an effort of 100 contractor FTEs per year (40 additional to those required in PM17 to cover the extended functionality). </w:t>
      </w:r>
      <w:r w:rsidR="00EE60FF">
        <w:rPr>
          <w:noProof/>
        </w:rPr>
        <w:t>The</w:t>
      </w:r>
      <w:r w:rsidRPr="0007547C">
        <w:rPr>
          <w:noProof/>
        </w:rPr>
        <w:t xml:space="preserve"> Simpl pro</w:t>
      </w:r>
      <w:r w:rsidR="00EE60FF">
        <w:rPr>
          <w:noProof/>
        </w:rPr>
        <w:t>gramme</w:t>
      </w:r>
      <w:r w:rsidRPr="0007547C">
        <w:rPr>
          <w:noProof/>
        </w:rPr>
        <w:t xml:space="preserve"> has been used as a reference</w:t>
      </w:r>
      <w:r w:rsidR="00CF2A2F">
        <w:rPr>
          <w:noProof/>
        </w:rPr>
        <w:t xml:space="preserve"> for the underlying costs assumption</w:t>
      </w:r>
      <w:r w:rsidRPr="0007547C">
        <w:rPr>
          <w:rStyle w:val="FootnoteReference"/>
          <w:noProof/>
        </w:rPr>
        <w:footnoteReference w:id="98"/>
      </w:r>
      <w:r w:rsidRPr="0007547C">
        <w:rPr>
          <w:noProof/>
        </w:rPr>
        <w:t xml:space="preserve"> .</w:t>
      </w:r>
    </w:p>
    <w:p w14:paraId="355D055A" w14:textId="77777777" w:rsidR="00015693" w:rsidRPr="0007547C" w:rsidRDefault="00015693" w:rsidP="00015693">
      <w:pPr>
        <w:ind w:left="720"/>
        <w:rPr>
          <w:i/>
          <w:noProof/>
        </w:rPr>
      </w:pPr>
      <w:r w:rsidRPr="0007547C">
        <w:rPr>
          <w:i/>
          <w:noProof/>
        </w:rPr>
        <w:t>Recurrent adjustment costs = Hosting + Maintenance &amp; Integration contractor costs</w:t>
      </w:r>
    </w:p>
    <w:p w14:paraId="5D996EF2" w14:textId="77777777" w:rsidR="004B2F87" w:rsidRDefault="004B2F87" w:rsidP="004B2F87">
      <w:pPr>
        <w:pStyle w:val="paragraph"/>
        <w:spacing w:before="0" w:beforeAutospacing="0" w:after="0" w:afterAutospacing="0"/>
        <w:jc w:val="both"/>
        <w:textAlignment w:val="baseline"/>
        <w:rPr>
          <w:rStyle w:val="eop"/>
          <w:noProof/>
        </w:rPr>
      </w:pPr>
      <w:r w:rsidRPr="008D0BAC">
        <w:rPr>
          <w:rStyle w:val="normaltextrun"/>
          <w:b/>
          <w:i/>
          <w:noProof/>
          <w:lang w:val="en-GB"/>
        </w:rPr>
        <w:t>Recurrent administrative costs for the European Commission</w:t>
      </w:r>
      <w:r w:rsidRPr="008D0BAC">
        <w:rPr>
          <w:rStyle w:val="normaltextrun"/>
          <w:i/>
          <w:noProof/>
          <w:lang w:val="en-GB"/>
        </w:rPr>
        <w:t>,</w:t>
      </w:r>
      <w:r w:rsidRPr="00EE60FF">
        <w:rPr>
          <w:rStyle w:val="normaltextrun"/>
          <w:noProof/>
          <w:u w:val="single"/>
          <w:lang w:val="en-GB"/>
        </w:rPr>
        <w:t xml:space="preserve"> </w:t>
      </w:r>
      <w:r w:rsidRPr="00EE60FF">
        <w:rPr>
          <w:rStyle w:val="normaltextrun"/>
          <w:noProof/>
          <w:lang w:val="en-GB"/>
        </w:rPr>
        <w:t>stem from the costs to manage</w:t>
      </w:r>
      <w:r w:rsidRPr="00EE60FF">
        <w:rPr>
          <w:rStyle w:val="normaltextrun"/>
          <w:noProof/>
          <w:u w:val="single"/>
          <w:lang w:val="en-GB"/>
        </w:rPr>
        <w:t xml:space="preserve"> </w:t>
      </w:r>
      <w:r w:rsidRPr="005C3C68">
        <w:rPr>
          <w:rStyle w:val="normaltextrun"/>
          <w:noProof/>
          <w:lang w:val="en-GB"/>
        </w:rPr>
        <w:t xml:space="preserve">the cloud federation and the operation of the joint procurement process. </w:t>
      </w:r>
      <w:r>
        <w:rPr>
          <w:rStyle w:val="normaltextrun"/>
          <w:noProof/>
          <w:lang w:val="en-GB"/>
        </w:rPr>
        <w:t>In addition to the resources of PM17 to set up the public sector cloud federation, a further 12 FTEs are dedicated in 2027 to design and setup the joint procurement framework.</w:t>
      </w:r>
      <w:r>
        <w:rPr>
          <w:rStyle w:val="eop"/>
          <w:noProof/>
        </w:rPr>
        <w:t> </w:t>
      </w:r>
    </w:p>
    <w:p w14:paraId="1F55D513" w14:textId="77777777" w:rsidR="008D7B6E" w:rsidRDefault="008D7B6E" w:rsidP="004B2F87">
      <w:pPr>
        <w:pStyle w:val="paragraph"/>
        <w:spacing w:before="0" w:beforeAutospacing="0" w:after="0" w:afterAutospacing="0"/>
        <w:jc w:val="both"/>
        <w:textAlignment w:val="baseline"/>
        <w:rPr>
          <w:rFonts w:ascii="Segoe UI" w:hAnsi="Segoe UI" w:cs="Segoe UI"/>
          <w:noProof/>
          <w:sz w:val="18"/>
          <w:szCs w:val="18"/>
        </w:rPr>
      </w:pPr>
    </w:p>
    <w:p w14:paraId="62422F8D" w14:textId="77777777" w:rsidR="004B2F87" w:rsidRDefault="004B2F87" w:rsidP="004B2F87">
      <w:pPr>
        <w:pStyle w:val="paragraph"/>
        <w:spacing w:before="0" w:beforeAutospacing="0" w:after="0" w:afterAutospacing="0"/>
        <w:jc w:val="both"/>
        <w:textAlignment w:val="baseline"/>
        <w:rPr>
          <w:rStyle w:val="eop"/>
          <w:noProof/>
        </w:rPr>
      </w:pPr>
      <w:r>
        <w:rPr>
          <w:rStyle w:val="normaltextrun"/>
          <w:noProof/>
          <w:lang w:val="en-GB"/>
        </w:rPr>
        <w:t>On a yearly basis, in addition to the resources estimated in PM17 to manage the cloud federation, a further 20 FTEs are dedicated to run the EU-level procurement processes.</w:t>
      </w:r>
      <w:r>
        <w:rPr>
          <w:rStyle w:val="eop"/>
          <w:noProof/>
        </w:rPr>
        <w:t> </w:t>
      </w:r>
    </w:p>
    <w:p w14:paraId="72D91396" w14:textId="77777777" w:rsidR="004B2F87" w:rsidRDefault="004B2F87" w:rsidP="004B2F87">
      <w:pPr>
        <w:pStyle w:val="paragraph"/>
        <w:spacing w:before="0" w:beforeAutospacing="0" w:after="0" w:afterAutospacing="0"/>
        <w:jc w:val="both"/>
        <w:textAlignment w:val="baseline"/>
        <w:rPr>
          <w:rFonts w:ascii="Segoe UI" w:hAnsi="Segoe UI" w:cs="Segoe UI"/>
          <w:noProof/>
          <w:sz w:val="18"/>
          <w:szCs w:val="18"/>
        </w:rPr>
      </w:pPr>
    </w:p>
    <w:p w14:paraId="13AE06DE" w14:textId="77777777" w:rsidR="000C4D7A" w:rsidRPr="005C3C68" w:rsidRDefault="004B2F87" w:rsidP="00892CA8">
      <w:pPr>
        <w:pStyle w:val="paragraph"/>
        <w:spacing w:before="0" w:beforeAutospacing="0" w:after="0" w:afterAutospacing="0"/>
        <w:ind w:firstLine="720"/>
        <w:jc w:val="both"/>
        <w:textAlignment w:val="baseline"/>
        <w:rPr>
          <w:rStyle w:val="normaltextrun"/>
          <w:i/>
          <w:noProof/>
          <w:lang w:val="en-GB"/>
        </w:rPr>
      </w:pPr>
      <w:r w:rsidRPr="005C3C68">
        <w:rPr>
          <w:rStyle w:val="normaltextrun"/>
          <w:i/>
          <w:noProof/>
          <w:lang w:val="en-GB"/>
        </w:rPr>
        <w:t xml:space="preserve">Recurrent administrative costs for the European Commission = </w:t>
      </w:r>
    </w:p>
    <w:p w14:paraId="03EE10FD" w14:textId="04F70601" w:rsidR="00892CA8" w:rsidRPr="005C3C68" w:rsidRDefault="000C4D7A" w:rsidP="004B2F87">
      <w:pPr>
        <w:pStyle w:val="paragraph"/>
        <w:spacing w:before="0" w:beforeAutospacing="0" w:after="0" w:afterAutospacing="0"/>
        <w:ind w:firstLine="720"/>
        <w:jc w:val="both"/>
        <w:textAlignment w:val="baseline"/>
        <w:rPr>
          <w:rStyle w:val="normaltextrun"/>
          <w:i/>
          <w:noProof/>
          <w:lang w:val="en-GB"/>
        </w:rPr>
      </w:pPr>
      <w:r w:rsidRPr="005C3C68">
        <w:rPr>
          <w:i/>
          <w:noProof/>
          <w:lang w:val="en-GB"/>
        </w:rPr>
        <w:t>costs to manage the federation + operation of the joint procurement process </w:t>
      </w:r>
    </w:p>
    <w:p w14:paraId="7B7F4DC0" w14:textId="77777777" w:rsidR="00892CA8" w:rsidRPr="005C3C68" w:rsidRDefault="00892CA8" w:rsidP="005C3C68">
      <w:pPr>
        <w:pStyle w:val="paragraph"/>
        <w:spacing w:before="0" w:beforeAutospacing="0" w:after="0" w:afterAutospacing="0"/>
        <w:ind w:firstLine="720"/>
        <w:jc w:val="both"/>
        <w:textAlignment w:val="baseline"/>
        <w:rPr>
          <w:i/>
          <w:noProof/>
          <w:color w:val="498205"/>
          <w:u w:val="single"/>
        </w:rPr>
      </w:pPr>
    </w:p>
    <w:p w14:paraId="4CA32044" w14:textId="17E0F5CE" w:rsidR="00015693" w:rsidRPr="0007547C" w:rsidRDefault="00015693" w:rsidP="00015693">
      <w:pPr>
        <w:rPr>
          <w:noProof/>
        </w:rPr>
      </w:pPr>
      <w:r w:rsidRPr="0007547C">
        <w:rPr>
          <w:b/>
          <w:i/>
          <w:noProof/>
        </w:rPr>
        <w:t xml:space="preserve">One-off and recurrent </w:t>
      </w:r>
      <w:r w:rsidR="008D7B6E">
        <w:rPr>
          <w:b/>
          <w:i/>
          <w:noProof/>
        </w:rPr>
        <w:t xml:space="preserve">adjustment </w:t>
      </w:r>
      <w:r w:rsidRPr="0007547C">
        <w:rPr>
          <w:b/>
          <w:i/>
          <w:noProof/>
        </w:rPr>
        <w:t xml:space="preserve">costs for </w:t>
      </w:r>
      <w:r w:rsidR="00C41AF2">
        <w:rPr>
          <w:b/>
          <w:i/>
          <w:noProof/>
        </w:rPr>
        <w:t>national public authorities</w:t>
      </w:r>
      <w:r w:rsidRPr="0007547C">
        <w:rPr>
          <w:b/>
          <w:i/>
          <w:noProof/>
        </w:rPr>
        <w:t>.</w:t>
      </w:r>
      <w:r w:rsidRPr="0007547C">
        <w:rPr>
          <w:noProof/>
        </w:rPr>
        <w:t xml:space="preserve"> The Public Authorities dedicate the same effort as in PM17 to participate in the setup of the public sector cloud federation, and to connect the infrastructures and keep updated the characteristics of the shared resources in the federation platform.</w:t>
      </w:r>
    </w:p>
    <w:p w14:paraId="2919B0FD" w14:textId="39899863" w:rsidR="00015693" w:rsidRPr="0007547C" w:rsidRDefault="008D7B6E" w:rsidP="00015693">
      <w:pPr>
        <w:rPr>
          <w:noProof/>
        </w:rPr>
      </w:pPr>
      <w:r>
        <w:rPr>
          <w:b/>
          <w:i/>
          <w:noProof/>
        </w:rPr>
        <w:t>R</w:t>
      </w:r>
      <w:r w:rsidR="00015693" w:rsidRPr="0007547C">
        <w:rPr>
          <w:b/>
          <w:i/>
          <w:noProof/>
        </w:rPr>
        <w:t xml:space="preserve">ecurrent savings for </w:t>
      </w:r>
      <w:r w:rsidR="00C41AF2">
        <w:rPr>
          <w:b/>
          <w:i/>
          <w:noProof/>
        </w:rPr>
        <w:t>national public authorities</w:t>
      </w:r>
      <w:r w:rsidR="00015693" w:rsidRPr="0007547C">
        <w:rPr>
          <w:i/>
          <w:noProof/>
        </w:rPr>
        <w:t>.</w:t>
      </w:r>
      <w:r w:rsidR="00015693" w:rsidRPr="0007547C">
        <w:rPr>
          <w:noProof/>
        </w:rPr>
        <w:t xml:space="preserve"> Recurrent savings from federation, coming from reducing idle capacity, getting cheaper computing resources and reducing the coordination effort for sharing cloud, are the same as in PM17. </w:t>
      </w:r>
    </w:p>
    <w:p w14:paraId="59A79D0B" w14:textId="24234B6B" w:rsidR="00015693" w:rsidRPr="0007547C" w:rsidRDefault="00015693" w:rsidP="00015693">
      <w:pPr>
        <w:rPr>
          <w:noProof/>
        </w:rPr>
      </w:pPr>
      <w:r w:rsidRPr="0007547C">
        <w:rPr>
          <w:noProof/>
        </w:rPr>
        <w:t xml:space="preserve">With regards to the procurement of cloud and AI </w:t>
      </w:r>
      <w:r w:rsidR="00A24504">
        <w:rPr>
          <w:noProof/>
        </w:rPr>
        <w:t xml:space="preserve">computing </w:t>
      </w:r>
      <w:r w:rsidRPr="0007547C">
        <w:rPr>
          <w:noProof/>
        </w:rPr>
        <w:t>services, it is assumed that each Public Authority dedicates an average of 3 FTEs. Thanks to joint procurement, 0.5 FTEs are assumed to be saved in the procurement process in each of the Public Authorities. The demand aggregation and service composition provided by the service platform will save additional 0.5 FTEs per Public Authority, coming from buying more efficient pre-integrated solutions.</w:t>
      </w:r>
    </w:p>
    <w:p w14:paraId="0E40A59C" w14:textId="66DFCB13" w:rsidR="00015693" w:rsidRPr="0007547C" w:rsidRDefault="00015693" w:rsidP="00015693">
      <w:pPr>
        <w:rPr>
          <w:noProof/>
        </w:rPr>
      </w:pPr>
      <w:r w:rsidRPr="0007547C">
        <w:rPr>
          <w:noProof/>
        </w:rPr>
        <w:t xml:space="preserve">The participation in the joint procurement framework and the aggregation of demand in the common EU-level procurement process will produce 2 effects: a reduction in the FTEs required for procuring </w:t>
      </w:r>
      <w:r w:rsidR="0001203E">
        <w:rPr>
          <w:noProof/>
        </w:rPr>
        <w:t>cloud</w:t>
      </w:r>
      <w:r w:rsidRPr="0007547C">
        <w:rPr>
          <w:noProof/>
        </w:rPr>
        <w:t xml:space="preserve"> and AI </w:t>
      </w:r>
      <w:r w:rsidR="00A24504">
        <w:rPr>
          <w:noProof/>
        </w:rPr>
        <w:t xml:space="preserve">computing </w:t>
      </w:r>
      <w:r w:rsidRPr="0007547C">
        <w:rPr>
          <w:noProof/>
        </w:rPr>
        <w:t xml:space="preserve">services (see above) and a reduction in service prices coming from higher scale, purchase power. </w:t>
      </w:r>
    </w:p>
    <w:p w14:paraId="611E19C0" w14:textId="1DDC8DDE" w:rsidR="00015693" w:rsidRPr="0007547C" w:rsidRDefault="00015693" w:rsidP="009B67A5">
      <w:pPr>
        <w:rPr>
          <w:i/>
          <w:noProof/>
        </w:rPr>
      </w:pPr>
      <w:r w:rsidRPr="0007547C">
        <w:rPr>
          <w:i/>
          <w:noProof/>
        </w:rPr>
        <w:t xml:space="preserve">Recurrent savings = </w:t>
      </w:r>
      <w:r w:rsidR="001D190B" w:rsidRPr="00823365">
        <w:rPr>
          <w:i/>
          <w:noProof/>
        </w:rPr>
        <w:t xml:space="preserve">saved effort in PAs x </w:t>
      </w:r>
      <w:r w:rsidRPr="0007547C">
        <w:rPr>
          <w:i/>
          <w:noProof/>
        </w:rPr>
        <w:t xml:space="preserve">NPA staff cost x number of PAs + </w:t>
      </w:r>
      <w:r w:rsidR="0001203E">
        <w:rPr>
          <w:i/>
          <w:noProof/>
        </w:rPr>
        <w:t>cloud</w:t>
      </w:r>
      <w:r w:rsidRPr="0007547C">
        <w:rPr>
          <w:i/>
          <w:noProof/>
        </w:rPr>
        <w:t xml:space="preserve"> and AI </w:t>
      </w:r>
      <w:r w:rsidR="00A24504">
        <w:rPr>
          <w:i/>
          <w:noProof/>
        </w:rPr>
        <w:t xml:space="preserve">computing </w:t>
      </w:r>
      <w:r w:rsidRPr="0007547C">
        <w:rPr>
          <w:i/>
          <w:noProof/>
        </w:rPr>
        <w:t xml:space="preserve">service procurement volume x % procured at EU-level x % discount </w:t>
      </w:r>
    </w:p>
    <w:p w14:paraId="5ACED0E9" w14:textId="2A21E2F8" w:rsidR="00015693" w:rsidRPr="0007547C" w:rsidRDefault="00015693" w:rsidP="00015693">
      <w:pPr>
        <w:rPr>
          <w:noProof/>
        </w:rPr>
      </w:pPr>
      <w:r w:rsidRPr="0007547C">
        <w:rPr>
          <w:noProof/>
        </w:rPr>
        <w:t xml:space="preserve">The share of </w:t>
      </w:r>
      <w:r w:rsidR="0001203E">
        <w:rPr>
          <w:noProof/>
        </w:rPr>
        <w:t>cloud</w:t>
      </w:r>
      <w:r w:rsidRPr="0007547C">
        <w:rPr>
          <w:noProof/>
        </w:rPr>
        <w:t xml:space="preserve"> and AI </w:t>
      </w:r>
      <w:r w:rsidR="00A24504">
        <w:rPr>
          <w:noProof/>
        </w:rPr>
        <w:t xml:space="preserve">computing </w:t>
      </w:r>
      <w:r w:rsidRPr="0007547C">
        <w:rPr>
          <w:noProof/>
        </w:rPr>
        <w:t>services procured at EU-level and the discount achieved by aggregating demand at EU-level grow over the years at the rate described above in this section.</w:t>
      </w:r>
    </w:p>
    <w:p w14:paraId="4B3165A4" w14:textId="3323B924" w:rsidR="00015693" w:rsidRPr="0007547C" w:rsidRDefault="00015693" w:rsidP="00015693">
      <w:pPr>
        <w:rPr>
          <w:rFonts w:eastAsia="Times New Roman"/>
          <w:noProof/>
          <w:color w:val="000000" w:themeColor="text1"/>
        </w:rPr>
      </w:pPr>
      <w:r w:rsidRPr="0007547C">
        <w:rPr>
          <w:rFonts w:eastAsia="Times New Roman"/>
          <w:b/>
          <w:noProof/>
          <w:color w:val="000000" w:themeColor="text1"/>
        </w:rPr>
        <w:t xml:space="preserve">Indirect </w:t>
      </w:r>
      <w:r w:rsidR="00690805">
        <w:rPr>
          <w:b/>
          <w:noProof/>
        </w:rPr>
        <w:t>savings</w:t>
      </w:r>
      <w:r w:rsidRPr="0007547C">
        <w:rPr>
          <w:rFonts w:eastAsia="Times New Roman"/>
          <w:b/>
          <w:noProof/>
          <w:color w:val="000000" w:themeColor="text1"/>
        </w:rPr>
        <w:t>:</w:t>
      </w:r>
      <w:r w:rsidRPr="0007547C">
        <w:rPr>
          <w:rFonts w:eastAsia="Times New Roman"/>
          <w:noProof/>
          <w:color w:val="000000" w:themeColor="text1"/>
        </w:rPr>
        <w:t xml:space="preserve"> The increase in public procurement of cloud and AI sales volume that is addressable by European providers may help to increase their scale and competitiveness and their share in the European and global cloud and AI markets. Joint procurement and federation can also help in accelerating cloud and AI adoption in public administrations thanks to the reduction in service costs.</w:t>
      </w:r>
    </w:p>
    <w:p w14:paraId="41152D1A" w14:textId="328763E0" w:rsidR="00015693" w:rsidRDefault="00015693" w:rsidP="00015693">
      <w:pPr>
        <w:rPr>
          <w:noProof/>
        </w:rPr>
      </w:pPr>
      <w:r w:rsidRPr="0007547C">
        <w:rPr>
          <w:b/>
          <w:noProof/>
        </w:rPr>
        <w:t>Sensitivity analysis:</w:t>
      </w:r>
      <w:r w:rsidRPr="0007547C">
        <w:rPr>
          <w:noProof/>
        </w:rPr>
        <w:t xml:space="preserve"> The results have been challenged in terms of savings for </w:t>
      </w:r>
      <w:r w:rsidR="00C41AF2">
        <w:rPr>
          <w:noProof/>
        </w:rPr>
        <w:t>national public authorities</w:t>
      </w:r>
      <w:r w:rsidRPr="0007547C">
        <w:rPr>
          <w:noProof/>
        </w:rPr>
        <w:t xml:space="preserve"> namely: 1) </w:t>
      </w:r>
      <w:r w:rsidRPr="0007547C">
        <w:rPr>
          <w:rFonts w:eastAsia="Times New Roman"/>
          <w:noProof/>
          <w:color w:val="000000" w:themeColor="text1"/>
          <w:lang w:val="en-US" w:eastAsia="en-GB"/>
        </w:rPr>
        <w:t>Yearly admin</w:t>
      </w:r>
      <w:r w:rsidR="00823365">
        <w:rPr>
          <w:rFonts w:eastAsia="Times New Roman"/>
          <w:noProof/>
          <w:color w:val="000000" w:themeColor="text1"/>
          <w:lang w:val="en-US" w:eastAsia="en-GB"/>
        </w:rPr>
        <w:t>istrative</w:t>
      </w:r>
      <w:r w:rsidRPr="0007547C">
        <w:rPr>
          <w:rFonts w:eastAsia="Times New Roman"/>
          <w:noProof/>
          <w:color w:val="000000" w:themeColor="text1"/>
          <w:lang w:val="en-US" w:eastAsia="en-GB"/>
        </w:rPr>
        <w:t xml:space="preserve"> time saved thanks to fewer coordination needs for </w:t>
      </w:r>
      <w:r w:rsidR="00C41AF2">
        <w:rPr>
          <w:rFonts w:eastAsia="Times New Roman"/>
          <w:noProof/>
          <w:color w:val="000000" w:themeColor="text1"/>
          <w:lang w:val="en-US" w:eastAsia="en-GB"/>
        </w:rPr>
        <w:t>national public authorities</w:t>
      </w:r>
      <w:r w:rsidRPr="0007547C">
        <w:rPr>
          <w:rFonts w:eastAsia="Times New Roman"/>
          <w:noProof/>
          <w:color w:val="000000" w:themeColor="text1"/>
          <w:lang w:val="en-US" w:eastAsia="en-GB"/>
        </w:rPr>
        <w:t xml:space="preserve">; 2) FTEs saved thanks to joint procurement – yearly; 3) Savings in terms of effort incurred by participating PAs due to the possibility to aggregate demand and compose services - yearly; Considering IaaS + PaaS + SaaS, deployment automation. Midsized application. All values were set to range between a min of 0.1 to a max 0.5 FTEs corresponding to a min of 22 days to a max of 110 days; 4) </w:t>
      </w:r>
      <w:r w:rsidRPr="0007547C">
        <w:rPr>
          <w:noProof/>
        </w:rPr>
        <w:t>capacity shared by each MS with the federation ranging from 5% to 15% which impacts the savings in terms of idle capacity reduction.</w:t>
      </w:r>
    </w:p>
    <w:p w14:paraId="64702731" w14:textId="0D61948E" w:rsidR="00015693" w:rsidRPr="006D22BC" w:rsidRDefault="00015693" w:rsidP="00015693">
      <w:pPr>
        <w:rPr>
          <w:noProof/>
          <w:color w:val="000000" w:themeColor="text1"/>
          <w:highlight w:val="yellow"/>
        </w:rPr>
      </w:pPr>
      <w:r w:rsidRPr="00DA029C">
        <w:rPr>
          <w:b/>
          <w:bCs/>
          <w:noProof/>
        </w:rPr>
        <w:t>Results</w:t>
      </w:r>
      <w:r w:rsidRPr="00DA029C">
        <w:rPr>
          <w:noProof/>
        </w:rPr>
        <w:t xml:space="preserve"> for all stakeholders aggregated and for the years covered by this measure are summarised in the table below. </w:t>
      </w:r>
      <w:r w:rsidRPr="00DA029C">
        <w:rPr>
          <w:noProof/>
          <w:color w:val="000000" w:themeColor="text1"/>
        </w:rPr>
        <w:t>In all scenarios including the average, min and max savings outweigh costs</w:t>
      </w:r>
      <w:r w:rsidRPr="000233D7">
        <w:rPr>
          <w:noProof/>
          <w:color w:val="000000" w:themeColor="text1"/>
        </w:rPr>
        <w:t xml:space="preserve">. </w:t>
      </w:r>
      <w:r w:rsidRPr="004465BE">
        <w:rPr>
          <w:noProof/>
          <w:color w:val="000000" w:themeColor="text1"/>
        </w:rPr>
        <w:t>The main source of variation in the min and max comes from the cost savings, and notably the savings in terms of idle capacity reduction.</w:t>
      </w:r>
    </w:p>
    <w:p w14:paraId="3D9C8075" w14:textId="3E469EF2" w:rsidR="00015693" w:rsidRDefault="00015693" w:rsidP="00015693">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42</w:t>
      </w:r>
      <w:r>
        <w:rPr>
          <w:noProof/>
        </w:rPr>
        <w:fldChar w:fldCharType="end"/>
      </w:r>
      <w:r>
        <w:rPr>
          <w:noProof/>
        </w:rPr>
        <w:t xml:space="preserve">. </w:t>
      </w:r>
      <w:r w:rsidRPr="0069717B">
        <w:rPr>
          <w:noProof/>
        </w:rPr>
        <w:t xml:space="preserve">EU-level Joint </w:t>
      </w:r>
      <w:r w:rsidR="0001203E">
        <w:rPr>
          <w:noProof/>
        </w:rPr>
        <w:t>cloud</w:t>
      </w:r>
      <w:r w:rsidRPr="0069717B">
        <w:rPr>
          <w:noProof/>
        </w:rPr>
        <w:t xml:space="preserve"> and AI Procurement</w:t>
      </w:r>
      <w:r>
        <w:rPr>
          <w:noProof/>
        </w:rPr>
        <w:t xml:space="preserve"> (PM22)</w:t>
      </w:r>
    </w:p>
    <w:tbl>
      <w:tblPr>
        <w:tblStyle w:val="TableGrid"/>
        <w:tblW w:w="10774" w:type="dxa"/>
        <w:tblInd w:w="-851" w:type="dxa"/>
        <w:tblLayout w:type="fixed"/>
        <w:tblCellMar>
          <w:left w:w="0" w:type="dxa"/>
          <w:right w:w="0" w:type="dxa"/>
        </w:tblCellMar>
        <w:tblLook w:val="04A0" w:firstRow="1" w:lastRow="0" w:firstColumn="1" w:lastColumn="0" w:noHBand="0" w:noVBand="1"/>
      </w:tblPr>
      <w:tblGrid>
        <w:gridCol w:w="2127"/>
        <w:gridCol w:w="851"/>
        <w:gridCol w:w="1701"/>
        <w:gridCol w:w="1417"/>
        <w:gridCol w:w="1559"/>
        <w:gridCol w:w="1559"/>
        <w:gridCol w:w="1560"/>
      </w:tblGrid>
      <w:tr w:rsidR="00934B53" w:rsidRPr="00B90199" w14:paraId="1F5F52E2" w14:textId="77777777" w:rsidTr="12736745">
        <w:trPr>
          <w:trHeight w:val="506"/>
          <w:tblHeader/>
        </w:trPr>
        <w:tc>
          <w:tcPr>
            <w:tcW w:w="2127" w:type="dxa"/>
            <w:tcBorders>
              <w:bottom w:val="single" w:sz="12" w:space="0" w:color="00B0F0"/>
            </w:tcBorders>
            <w:noWrap/>
            <w:hideMark/>
          </w:tcPr>
          <w:p w14:paraId="17212223" w14:textId="77777777" w:rsidR="00934B53" w:rsidRPr="00B90199" w:rsidRDefault="00934B53">
            <w:pPr>
              <w:spacing w:after="0"/>
              <w:ind w:left="-139" w:firstLine="139"/>
              <w:jc w:val="left"/>
              <w:rPr>
                <w:b/>
                <w:bCs/>
                <w:noProof/>
                <w:sz w:val="20"/>
                <w:szCs w:val="20"/>
                <w:lang w:val="en-IE" w:eastAsia="en-IE"/>
              </w:rPr>
            </w:pPr>
            <w:r w:rsidRPr="00B90199">
              <w:rPr>
                <w:b/>
                <w:bCs/>
                <w:noProof/>
                <w:sz w:val="20"/>
                <w:szCs w:val="20"/>
                <w:lang w:val="en-IE" w:eastAsia="en-IE"/>
              </w:rPr>
              <w:t>Cost types</w:t>
            </w:r>
          </w:p>
        </w:tc>
        <w:tc>
          <w:tcPr>
            <w:tcW w:w="851" w:type="dxa"/>
            <w:tcBorders>
              <w:bottom w:val="single" w:sz="12" w:space="0" w:color="00B0F0"/>
            </w:tcBorders>
          </w:tcPr>
          <w:p w14:paraId="6D276750" w14:textId="77777777" w:rsidR="00934B53" w:rsidRPr="00B90199" w:rsidRDefault="00934B53">
            <w:pPr>
              <w:spacing w:after="0"/>
              <w:jc w:val="center"/>
              <w:rPr>
                <w:b/>
                <w:bCs/>
                <w:noProof/>
                <w:sz w:val="20"/>
                <w:szCs w:val="20"/>
                <w:lang w:val="en-IE" w:eastAsia="en-IE"/>
              </w:rPr>
            </w:pPr>
            <w:r w:rsidRPr="00B90199">
              <w:rPr>
                <w:b/>
                <w:bCs/>
                <w:noProof/>
                <w:sz w:val="20"/>
                <w:szCs w:val="20"/>
                <w:lang w:val="en-IE" w:eastAsia="en-IE"/>
              </w:rPr>
              <w:t xml:space="preserve">Cloud &amp; AI providers </w:t>
            </w:r>
            <w:r w:rsidRPr="00B90199">
              <w:rPr>
                <w:noProof/>
                <w:sz w:val="20"/>
                <w:szCs w:val="20"/>
                <w:lang w:val="en-IE" w:eastAsia="en-IE"/>
              </w:rPr>
              <w:t>(</w:t>
            </w:r>
            <w:r w:rsidRPr="00B90199">
              <w:rPr>
                <w:noProof/>
                <w:sz w:val="20"/>
                <w:szCs w:val="20"/>
              </w:rPr>
              <w:t>€)</w:t>
            </w:r>
          </w:p>
        </w:tc>
        <w:tc>
          <w:tcPr>
            <w:tcW w:w="1701" w:type="dxa"/>
            <w:tcBorders>
              <w:bottom w:val="single" w:sz="12" w:space="0" w:color="00B0F0"/>
            </w:tcBorders>
          </w:tcPr>
          <w:p w14:paraId="4A1048C4" w14:textId="5445B073" w:rsidR="00934B53" w:rsidRPr="00B90199" w:rsidRDefault="00F84F01">
            <w:pPr>
              <w:spacing w:after="0"/>
              <w:jc w:val="center"/>
              <w:rPr>
                <w:b/>
                <w:bCs/>
                <w:noProof/>
                <w:sz w:val="20"/>
                <w:szCs w:val="20"/>
                <w:lang w:val="en-IE" w:eastAsia="en-IE"/>
              </w:rPr>
            </w:pPr>
            <w:r w:rsidRPr="00B90199">
              <w:rPr>
                <w:b/>
                <w:bCs/>
                <w:noProof/>
                <w:sz w:val="20"/>
                <w:szCs w:val="20"/>
                <w:lang w:val="en-IE" w:eastAsia="en-IE"/>
              </w:rPr>
              <w:t xml:space="preserve">Public authorities </w:t>
            </w:r>
            <w:r w:rsidRPr="00B90199">
              <w:rPr>
                <w:noProof/>
                <w:sz w:val="20"/>
                <w:szCs w:val="20"/>
                <w:lang w:val="en-IE" w:eastAsia="en-IE"/>
              </w:rPr>
              <w:t>(</w:t>
            </w:r>
            <w:r w:rsidRPr="00B90199">
              <w:rPr>
                <w:noProof/>
                <w:sz w:val="20"/>
                <w:szCs w:val="20"/>
              </w:rPr>
              <w:t>€)</w:t>
            </w:r>
          </w:p>
        </w:tc>
        <w:tc>
          <w:tcPr>
            <w:tcW w:w="1417" w:type="dxa"/>
            <w:tcBorders>
              <w:bottom w:val="single" w:sz="12" w:space="0" w:color="00B0F0"/>
            </w:tcBorders>
          </w:tcPr>
          <w:p w14:paraId="08783350" w14:textId="4F3BE013" w:rsidR="00F84F01" w:rsidRPr="00B90199" w:rsidRDefault="00F84F01">
            <w:pPr>
              <w:spacing w:after="0"/>
              <w:jc w:val="center"/>
              <w:rPr>
                <w:b/>
                <w:bCs/>
                <w:noProof/>
                <w:sz w:val="20"/>
                <w:szCs w:val="20"/>
                <w:lang w:val="en-IE" w:eastAsia="en-IE"/>
              </w:rPr>
            </w:pPr>
            <w:r w:rsidRPr="00B90199">
              <w:rPr>
                <w:b/>
                <w:bCs/>
                <w:noProof/>
                <w:sz w:val="20"/>
                <w:szCs w:val="20"/>
                <w:lang w:val="en-IE" w:eastAsia="en-IE"/>
              </w:rPr>
              <w:t xml:space="preserve">European Commission </w:t>
            </w:r>
            <w:r w:rsidRPr="00B90199">
              <w:rPr>
                <w:noProof/>
                <w:sz w:val="20"/>
                <w:szCs w:val="20"/>
                <w:lang w:val="en-IE" w:eastAsia="en-IE"/>
              </w:rPr>
              <w:t>(</w:t>
            </w:r>
            <w:r w:rsidRPr="00B90199">
              <w:rPr>
                <w:noProof/>
                <w:sz w:val="20"/>
                <w:szCs w:val="20"/>
              </w:rPr>
              <w:t>€)</w:t>
            </w:r>
          </w:p>
        </w:tc>
        <w:tc>
          <w:tcPr>
            <w:tcW w:w="1559" w:type="dxa"/>
            <w:tcBorders>
              <w:bottom w:val="single" w:sz="12" w:space="0" w:color="00B0F0"/>
            </w:tcBorders>
            <w:noWrap/>
            <w:hideMark/>
          </w:tcPr>
          <w:p w14:paraId="6DC469F5" w14:textId="77777777" w:rsidR="00934B53" w:rsidRPr="00B90199" w:rsidRDefault="00934B53">
            <w:pPr>
              <w:spacing w:after="0"/>
              <w:jc w:val="center"/>
              <w:rPr>
                <w:b/>
                <w:bCs/>
                <w:noProof/>
                <w:sz w:val="20"/>
                <w:szCs w:val="20"/>
                <w:lang w:val="en-IE" w:eastAsia="en-IE"/>
              </w:rPr>
            </w:pPr>
            <w:r w:rsidRPr="00B90199">
              <w:rPr>
                <w:b/>
                <w:bCs/>
                <w:noProof/>
                <w:sz w:val="20"/>
                <w:szCs w:val="20"/>
                <w:lang w:val="en-IE" w:eastAsia="en-IE"/>
              </w:rPr>
              <w:t xml:space="preserve">Total Value </w:t>
            </w:r>
            <w:r w:rsidRPr="00B90199">
              <w:rPr>
                <w:noProof/>
                <w:sz w:val="20"/>
                <w:szCs w:val="20"/>
                <w:lang w:val="en-IE" w:eastAsia="en-IE"/>
              </w:rPr>
              <w:t xml:space="preserve">(central, </w:t>
            </w:r>
            <w:r w:rsidRPr="00B90199">
              <w:rPr>
                <w:noProof/>
                <w:sz w:val="20"/>
                <w:szCs w:val="20"/>
              </w:rPr>
              <w:t>€)</w:t>
            </w:r>
          </w:p>
        </w:tc>
        <w:tc>
          <w:tcPr>
            <w:tcW w:w="1559" w:type="dxa"/>
            <w:tcBorders>
              <w:bottom w:val="single" w:sz="12" w:space="0" w:color="00B0F0"/>
            </w:tcBorders>
            <w:noWrap/>
            <w:hideMark/>
          </w:tcPr>
          <w:p w14:paraId="2321C548" w14:textId="77777777" w:rsidR="00934B53" w:rsidRPr="00B90199" w:rsidRDefault="00934B53">
            <w:pPr>
              <w:spacing w:after="0"/>
              <w:jc w:val="center"/>
              <w:rPr>
                <w:b/>
                <w:bCs/>
                <w:noProof/>
                <w:sz w:val="20"/>
                <w:szCs w:val="20"/>
                <w:lang w:val="en-IE" w:eastAsia="en-IE"/>
              </w:rPr>
            </w:pPr>
            <w:r w:rsidRPr="00B90199">
              <w:rPr>
                <w:b/>
                <w:bCs/>
                <w:noProof/>
                <w:sz w:val="20"/>
                <w:szCs w:val="20"/>
                <w:lang w:val="en-IE" w:eastAsia="en-IE"/>
              </w:rPr>
              <w:t xml:space="preserve">Total Value </w:t>
            </w:r>
            <w:r w:rsidRPr="00B90199">
              <w:rPr>
                <w:noProof/>
                <w:sz w:val="20"/>
                <w:szCs w:val="20"/>
                <w:lang w:val="en-IE" w:eastAsia="en-IE"/>
              </w:rPr>
              <w:t xml:space="preserve">(min, </w:t>
            </w:r>
            <w:r w:rsidRPr="00B90199">
              <w:rPr>
                <w:noProof/>
                <w:sz w:val="20"/>
                <w:szCs w:val="20"/>
              </w:rPr>
              <w:t>€)</w:t>
            </w:r>
          </w:p>
        </w:tc>
        <w:tc>
          <w:tcPr>
            <w:tcW w:w="1560" w:type="dxa"/>
            <w:tcBorders>
              <w:bottom w:val="single" w:sz="12" w:space="0" w:color="00B0F0"/>
            </w:tcBorders>
            <w:noWrap/>
            <w:hideMark/>
          </w:tcPr>
          <w:p w14:paraId="619A1693" w14:textId="77777777" w:rsidR="00934B53" w:rsidRPr="00B90199" w:rsidRDefault="00934B53">
            <w:pPr>
              <w:tabs>
                <w:tab w:val="left" w:pos="110"/>
              </w:tabs>
              <w:spacing w:after="0"/>
              <w:jc w:val="center"/>
              <w:rPr>
                <w:b/>
                <w:bCs/>
                <w:noProof/>
                <w:sz w:val="20"/>
                <w:szCs w:val="20"/>
                <w:lang w:val="en-IE" w:eastAsia="en-IE"/>
              </w:rPr>
            </w:pPr>
            <w:r w:rsidRPr="00B90199">
              <w:rPr>
                <w:b/>
                <w:bCs/>
                <w:noProof/>
                <w:sz w:val="20"/>
                <w:szCs w:val="20"/>
                <w:lang w:val="en-IE" w:eastAsia="en-IE"/>
              </w:rPr>
              <w:t xml:space="preserve">Total Value </w:t>
            </w:r>
            <w:r w:rsidRPr="00B90199">
              <w:rPr>
                <w:noProof/>
                <w:sz w:val="20"/>
                <w:szCs w:val="20"/>
                <w:lang w:val="en-IE" w:eastAsia="en-IE"/>
              </w:rPr>
              <w:t xml:space="preserve">(max, </w:t>
            </w:r>
            <w:r w:rsidRPr="00B90199">
              <w:rPr>
                <w:noProof/>
                <w:sz w:val="20"/>
                <w:szCs w:val="20"/>
              </w:rPr>
              <w:t>€)</w:t>
            </w:r>
          </w:p>
        </w:tc>
      </w:tr>
      <w:tr w:rsidR="00934B53" w:rsidRPr="00B90199" w14:paraId="0A0333FC" w14:textId="77777777" w:rsidTr="12736745">
        <w:trPr>
          <w:trHeight w:val="283"/>
        </w:trPr>
        <w:tc>
          <w:tcPr>
            <w:tcW w:w="2127" w:type="dxa"/>
            <w:tcBorders>
              <w:top w:val="single" w:sz="12" w:space="0" w:color="00B0F0"/>
            </w:tcBorders>
            <w:noWrap/>
            <w:hideMark/>
          </w:tcPr>
          <w:p w14:paraId="729D7C7A" w14:textId="77777777" w:rsidR="00934B53" w:rsidRPr="00B90199" w:rsidRDefault="00934B53" w:rsidP="00934B53">
            <w:pPr>
              <w:spacing w:after="0"/>
              <w:jc w:val="left"/>
              <w:rPr>
                <w:i/>
                <w:iCs/>
                <w:noProof/>
                <w:sz w:val="20"/>
                <w:szCs w:val="20"/>
                <w:lang w:val="en-IE" w:eastAsia="en-IE"/>
              </w:rPr>
            </w:pPr>
            <w:r w:rsidRPr="00B90199">
              <w:rPr>
                <w:i/>
                <w:iCs/>
                <w:noProof/>
                <w:sz w:val="20"/>
                <w:szCs w:val="20"/>
                <w:lang w:val="en-IE" w:eastAsia="en-IE"/>
              </w:rPr>
              <w:t>one-off administrative</w:t>
            </w:r>
          </w:p>
        </w:tc>
        <w:tc>
          <w:tcPr>
            <w:tcW w:w="851" w:type="dxa"/>
            <w:tcBorders>
              <w:top w:val="single" w:sz="12" w:space="0" w:color="00B0F0"/>
            </w:tcBorders>
          </w:tcPr>
          <w:p w14:paraId="1EBD4A56" w14:textId="0C3E8AE6"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Borders>
              <w:top w:val="single" w:sz="12" w:space="0" w:color="00B0F0"/>
            </w:tcBorders>
          </w:tcPr>
          <w:p w14:paraId="587776D3"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417" w:type="dxa"/>
            <w:tcBorders>
              <w:top w:val="single" w:sz="12" w:space="0" w:color="00B0F0"/>
            </w:tcBorders>
          </w:tcPr>
          <w:p w14:paraId="73A4A480" w14:textId="3C75EBD7"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tcBorders>
              <w:top w:val="single" w:sz="12" w:space="0" w:color="00B0F0"/>
            </w:tcBorders>
            <w:noWrap/>
          </w:tcPr>
          <w:p w14:paraId="7A166087"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tcBorders>
              <w:top w:val="single" w:sz="12" w:space="0" w:color="00B0F0"/>
            </w:tcBorders>
            <w:noWrap/>
          </w:tcPr>
          <w:p w14:paraId="4782201E"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60" w:type="dxa"/>
            <w:tcBorders>
              <w:top w:val="single" w:sz="12" w:space="0" w:color="00B0F0"/>
            </w:tcBorders>
            <w:noWrap/>
          </w:tcPr>
          <w:p w14:paraId="6616E926"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r>
      <w:tr w:rsidR="009E3287" w:rsidRPr="00B90199" w14:paraId="7770FAE8" w14:textId="77777777" w:rsidTr="12736745">
        <w:trPr>
          <w:trHeight w:val="283"/>
        </w:trPr>
        <w:tc>
          <w:tcPr>
            <w:tcW w:w="2127" w:type="dxa"/>
            <w:noWrap/>
            <w:hideMark/>
          </w:tcPr>
          <w:p w14:paraId="204E5903" w14:textId="77777777" w:rsidR="009E3287" w:rsidRPr="00B90199" w:rsidRDefault="009E3287" w:rsidP="009E3287">
            <w:pPr>
              <w:spacing w:after="0"/>
              <w:jc w:val="left"/>
              <w:rPr>
                <w:i/>
                <w:iCs/>
                <w:noProof/>
                <w:sz w:val="20"/>
                <w:szCs w:val="20"/>
                <w:lang w:val="en-IE" w:eastAsia="en-IE"/>
              </w:rPr>
            </w:pPr>
            <w:r w:rsidRPr="00B90199">
              <w:rPr>
                <w:i/>
                <w:iCs/>
                <w:noProof/>
                <w:sz w:val="20"/>
                <w:szCs w:val="20"/>
                <w:lang w:val="en-IE" w:eastAsia="en-IE"/>
              </w:rPr>
              <w:t>recurrent administrative</w:t>
            </w:r>
          </w:p>
        </w:tc>
        <w:tc>
          <w:tcPr>
            <w:tcW w:w="851" w:type="dxa"/>
          </w:tcPr>
          <w:p w14:paraId="78B9951D" w14:textId="56635BCA" w:rsidR="009E3287" w:rsidRPr="00B90199" w:rsidRDefault="009E3287" w:rsidP="009E3287">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79AAAB82" w14:textId="61FE64BB" w:rsidR="009E3287" w:rsidRPr="00B90199" w:rsidRDefault="009E3287" w:rsidP="009E3287">
            <w:pPr>
              <w:spacing w:after="0"/>
              <w:jc w:val="right"/>
              <w:rPr>
                <w:noProof/>
                <w:sz w:val="20"/>
                <w:szCs w:val="20"/>
                <w:lang w:val="en-IE" w:eastAsia="en-IE"/>
              </w:rPr>
            </w:pPr>
          </w:p>
        </w:tc>
        <w:tc>
          <w:tcPr>
            <w:tcW w:w="1417" w:type="dxa"/>
          </w:tcPr>
          <w:p w14:paraId="55A5D089" w14:textId="20AF7721" w:rsidR="009E3287" w:rsidRPr="00B90199" w:rsidRDefault="009E3287" w:rsidP="009E3287">
            <w:pPr>
              <w:spacing w:after="0"/>
              <w:jc w:val="right"/>
              <w:rPr>
                <w:noProof/>
                <w:sz w:val="20"/>
                <w:szCs w:val="20"/>
              </w:rPr>
            </w:pPr>
            <w:r w:rsidRPr="00B90199">
              <w:rPr>
                <w:noProof/>
                <w:sz w:val="20"/>
                <w:szCs w:val="20"/>
              </w:rPr>
              <w:t xml:space="preserve"> 18</w:t>
            </w:r>
            <w:r>
              <w:rPr>
                <w:noProof/>
                <w:sz w:val="20"/>
                <w:szCs w:val="20"/>
              </w:rPr>
              <w:t xml:space="preserve"> </w:t>
            </w:r>
            <w:r w:rsidRPr="00B90199">
              <w:rPr>
                <w:noProof/>
                <w:sz w:val="20"/>
                <w:szCs w:val="20"/>
              </w:rPr>
              <w:t>689</w:t>
            </w:r>
            <w:r>
              <w:rPr>
                <w:noProof/>
                <w:sz w:val="20"/>
                <w:szCs w:val="20"/>
              </w:rPr>
              <w:t xml:space="preserve"> </w:t>
            </w:r>
            <w:r w:rsidRPr="00B90199">
              <w:rPr>
                <w:noProof/>
                <w:sz w:val="20"/>
                <w:szCs w:val="20"/>
              </w:rPr>
              <w:t xml:space="preserve">579 </w:t>
            </w:r>
          </w:p>
        </w:tc>
        <w:tc>
          <w:tcPr>
            <w:tcW w:w="1559" w:type="dxa"/>
            <w:noWrap/>
          </w:tcPr>
          <w:p w14:paraId="2382A273"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 18 689 579 </w:t>
            </w:r>
          </w:p>
        </w:tc>
        <w:tc>
          <w:tcPr>
            <w:tcW w:w="1559" w:type="dxa"/>
            <w:noWrap/>
          </w:tcPr>
          <w:p w14:paraId="659EE8DF"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 18 689 579 </w:t>
            </w:r>
          </w:p>
        </w:tc>
        <w:tc>
          <w:tcPr>
            <w:tcW w:w="1560" w:type="dxa"/>
            <w:noWrap/>
          </w:tcPr>
          <w:p w14:paraId="1C589DB6"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 18 689 579 </w:t>
            </w:r>
          </w:p>
        </w:tc>
      </w:tr>
      <w:tr w:rsidR="009E3287" w:rsidRPr="00B90199" w14:paraId="127AB235" w14:textId="77777777" w:rsidTr="008C567B">
        <w:trPr>
          <w:trHeight w:val="345"/>
        </w:trPr>
        <w:tc>
          <w:tcPr>
            <w:tcW w:w="2127" w:type="dxa"/>
            <w:noWrap/>
            <w:hideMark/>
          </w:tcPr>
          <w:p w14:paraId="3BE12770" w14:textId="77777777" w:rsidR="009E3287" w:rsidRPr="00B90199" w:rsidRDefault="009E3287" w:rsidP="009E3287">
            <w:pPr>
              <w:spacing w:after="0"/>
              <w:jc w:val="left"/>
              <w:rPr>
                <w:i/>
                <w:iCs/>
                <w:noProof/>
                <w:sz w:val="20"/>
                <w:szCs w:val="20"/>
                <w:lang w:val="en-IE" w:eastAsia="en-IE"/>
              </w:rPr>
            </w:pPr>
            <w:r w:rsidRPr="00B90199">
              <w:rPr>
                <w:i/>
                <w:iCs/>
                <w:noProof/>
                <w:sz w:val="20"/>
                <w:szCs w:val="20"/>
                <w:lang w:val="en-IE" w:eastAsia="en-IE"/>
              </w:rPr>
              <w:t>one-off adjustment</w:t>
            </w:r>
          </w:p>
        </w:tc>
        <w:tc>
          <w:tcPr>
            <w:tcW w:w="851" w:type="dxa"/>
          </w:tcPr>
          <w:p w14:paraId="47B2C97B" w14:textId="3CC5441A" w:rsidR="009E3287" w:rsidRPr="00B90199" w:rsidRDefault="009E3287" w:rsidP="009E3287">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5AD340C6" w14:textId="72794934" w:rsidR="009E3287" w:rsidRPr="00B90199" w:rsidRDefault="008D7CC6" w:rsidP="008D7CC6">
            <w:pPr>
              <w:spacing w:after="0"/>
              <w:jc w:val="right"/>
              <w:rPr>
                <w:noProof/>
                <w:sz w:val="20"/>
                <w:szCs w:val="20"/>
                <w:lang w:val="en-IE" w:eastAsia="en-IE"/>
              </w:rPr>
            </w:pPr>
            <w:r>
              <w:rPr>
                <w:noProof/>
                <w:sz w:val="20"/>
                <w:szCs w:val="20"/>
              </w:rPr>
              <w:t xml:space="preserve"> </w:t>
            </w:r>
            <w:r w:rsidRPr="008D7CC6">
              <w:rPr>
                <w:noProof/>
                <w:sz w:val="20"/>
                <w:szCs w:val="20"/>
              </w:rPr>
              <w:t>4</w:t>
            </w:r>
            <w:r>
              <w:rPr>
                <w:noProof/>
                <w:sz w:val="20"/>
                <w:szCs w:val="20"/>
              </w:rPr>
              <w:t xml:space="preserve"> </w:t>
            </w:r>
            <w:r w:rsidRPr="008D7CC6">
              <w:rPr>
                <w:noProof/>
                <w:sz w:val="20"/>
                <w:szCs w:val="20"/>
              </w:rPr>
              <w:t>613</w:t>
            </w:r>
            <w:r>
              <w:rPr>
                <w:noProof/>
                <w:sz w:val="20"/>
                <w:szCs w:val="20"/>
              </w:rPr>
              <w:t xml:space="preserve"> </w:t>
            </w:r>
            <w:r w:rsidRPr="008D7CC6">
              <w:rPr>
                <w:noProof/>
                <w:sz w:val="20"/>
                <w:szCs w:val="20"/>
              </w:rPr>
              <w:t>563</w:t>
            </w:r>
          </w:p>
        </w:tc>
        <w:tc>
          <w:tcPr>
            <w:tcW w:w="1417" w:type="dxa"/>
          </w:tcPr>
          <w:p w14:paraId="7B949D65" w14:textId="25C9FB57" w:rsidR="009E3287" w:rsidRPr="00B90199" w:rsidRDefault="009E3287" w:rsidP="009E3287">
            <w:pPr>
              <w:spacing w:after="0"/>
              <w:jc w:val="right"/>
              <w:rPr>
                <w:noProof/>
                <w:sz w:val="20"/>
                <w:szCs w:val="20"/>
              </w:rPr>
            </w:pPr>
            <w:r w:rsidRPr="00B90199">
              <w:rPr>
                <w:noProof/>
                <w:sz w:val="20"/>
                <w:szCs w:val="20"/>
              </w:rPr>
              <w:t xml:space="preserve"> 40</w:t>
            </w:r>
            <w:r>
              <w:rPr>
                <w:noProof/>
                <w:sz w:val="20"/>
                <w:szCs w:val="20"/>
              </w:rPr>
              <w:t xml:space="preserve"> </w:t>
            </w:r>
            <w:r w:rsidRPr="00B90199">
              <w:rPr>
                <w:noProof/>
                <w:sz w:val="20"/>
                <w:szCs w:val="20"/>
              </w:rPr>
              <w:t>009</w:t>
            </w:r>
            <w:r>
              <w:rPr>
                <w:noProof/>
                <w:sz w:val="20"/>
                <w:szCs w:val="20"/>
              </w:rPr>
              <w:t xml:space="preserve"> </w:t>
            </w:r>
            <w:r w:rsidRPr="00B90199">
              <w:rPr>
                <w:noProof/>
                <w:sz w:val="20"/>
                <w:szCs w:val="20"/>
              </w:rPr>
              <w:t xml:space="preserve">806 </w:t>
            </w:r>
          </w:p>
        </w:tc>
        <w:tc>
          <w:tcPr>
            <w:tcW w:w="1559" w:type="dxa"/>
            <w:noWrap/>
          </w:tcPr>
          <w:p w14:paraId="7568CC49"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44 623 369 </w:t>
            </w:r>
          </w:p>
        </w:tc>
        <w:tc>
          <w:tcPr>
            <w:tcW w:w="1559" w:type="dxa"/>
            <w:noWrap/>
          </w:tcPr>
          <w:p w14:paraId="5071FCFC"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 44 623 369 </w:t>
            </w:r>
          </w:p>
        </w:tc>
        <w:tc>
          <w:tcPr>
            <w:tcW w:w="1560" w:type="dxa"/>
            <w:noWrap/>
          </w:tcPr>
          <w:p w14:paraId="4003421D" w14:textId="77777777" w:rsidR="009E3287" w:rsidRPr="00B90199" w:rsidRDefault="009E3287" w:rsidP="009E3287">
            <w:pPr>
              <w:spacing w:after="0"/>
              <w:jc w:val="right"/>
              <w:rPr>
                <w:noProof/>
                <w:sz w:val="20"/>
                <w:szCs w:val="20"/>
                <w:lang w:val="en-IE" w:eastAsia="en-IE"/>
              </w:rPr>
            </w:pPr>
            <w:r w:rsidRPr="00B90199">
              <w:rPr>
                <w:noProof/>
                <w:sz w:val="20"/>
                <w:szCs w:val="20"/>
              </w:rPr>
              <w:t xml:space="preserve">44 623 369 </w:t>
            </w:r>
          </w:p>
        </w:tc>
      </w:tr>
      <w:tr w:rsidR="009E3287" w:rsidRPr="00B90199" w14:paraId="1056EDFC" w14:textId="77777777" w:rsidTr="12736745">
        <w:trPr>
          <w:trHeight w:val="283"/>
        </w:trPr>
        <w:tc>
          <w:tcPr>
            <w:tcW w:w="2127" w:type="dxa"/>
            <w:noWrap/>
            <w:hideMark/>
          </w:tcPr>
          <w:p w14:paraId="647FA285" w14:textId="77777777" w:rsidR="009E3287" w:rsidRPr="00B90199" w:rsidRDefault="009E3287" w:rsidP="009E3287">
            <w:pPr>
              <w:spacing w:after="0"/>
              <w:jc w:val="left"/>
              <w:rPr>
                <w:i/>
                <w:iCs/>
                <w:noProof/>
                <w:sz w:val="20"/>
                <w:szCs w:val="20"/>
                <w:lang w:val="en-IE" w:eastAsia="en-IE"/>
              </w:rPr>
            </w:pPr>
            <w:r w:rsidRPr="00B90199">
              <w:rPr>
                <w:i/>
                <w:iCs/>
                <w:noProof/>
                <w:sz w:val="20"/>
                <w:szCs w:val="20"/>
                <w:lang w:val="en-IE" w:eastAsia="en-IE"/>
              </w:rPr>
              <w:t>recurrent adjustment</w:t>
            </w:r>
          </w:p>
        </w:tc>
        <w:tc>
          <w:tcPr>
            <w:tcW w:w="851" w:type="dxa"/>
          </w:tcPr>
          <w:p w14:paraId="0F8AC573" w14:textId="76D26C9D" w:rsidR="009E3287" w:rsidRPr="00B90199" w:rsidRDefault="009E3287" w:rsidP="009E3287">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5B30DFCC" w14:textId="76DC4BD0" w:rsidR="009E3287" w:rsidRPr="00B90199" w:rsidRDefault="38AD3C78" w:rsidP="12736745">
            <w:pPr>
              <w:spacing w:after="0"/>
              <w:jc w:val="right"/>
              <w:rPr>
                <w:noProof/>
                <w:sz w:val="20"/>
                <w:szCs w:val="20"/>
                <w:lang w:val="en-IE" w:eastAsia="en-IE"/>
              </w:rPr>
            </w:pPr>
            <w:r w:rsidRPr="12736745">
              <w:rPr>
                <w:noProof/>
                <w:sz w:val="20"/>
                <w:szCs w:val="20"/>
              </w:rPr>
              <w:t xml:space="preserve">  </w:t>
            </w:r>
            <w:r w:rsidR="4BDC8D1B" w:rsidRPr="12736745">
              <w:rPr>
                <w:noProof/>
                <w:sz w:val="20"/>
                <w:szCs w:val="20"/>
              </w:rPr>
              <w:t>213 669 483</w:t>
            </w:r>
          </w:p>
          <w:p w14:paraId="0ACA38C9" w14:textId="1701538E" w:rsidR="009E3287" w:rsidRPr="00B90199" w:rsidRDefault="38AD3C78" w:rsidP="009E3287">
            <w:pPr>
              <w:spacing w:after="0"/>
              <w:jc w:val="right"/>
              <w:rPr>
                <w:noProof/>
                <w:sz w:val="20"/>
                <w:szCs w:val="20"/>
                <w:lang w:val="en-IE" w:eastAsia="en-IE"/>
              </w:rPr>
            </w:pPr>
            <w:r w:rsidRPr="12736745">
              <w:rPr>
                <w:noProof/>
                <w:sz w:val="20"/>
                <w:szCs w:val="20"/>
              </w:rPr>
              <w:t xml:space="preserve"> </w:t>
            </w:r>
          </w:p>
        </w:tc>
        <w:tc>
          <w:tcPr>
            <w:tcW w:w="1417" w:type="dxa"/>
          </w:tcPr>
          <w:p w14:paraId="291252C3" w14:textId="64034893" w:rsidR="009E3287" w:rsidRPr="00B90199" w:rsidRDefault="11293D18" w:rsidP="009E3287">
            <w:pPr>
              <w:spacing w:after="0"/>
              <w:jc w:val="right"/>
              <w:rPr>
                <w:noProof/>
                <w:sz w:val="20"/>
                <w:szCs w:val="20"/>
              </w:rPr>
            </w:pPr>
            <w:r w:rsidRPr="12736745">
              <w:rPr>
                <w:noProof/>
                <w:sz w:val="20"/>
                <w:szCs w:val="20"/>
              </w:rPr>
              <w:t>163 981 548</w:t>
            </w:r>
          </w:p>
        </w:tc>
        <w:tc>
          <w:tcPr>
            <w:tcW w:w="1559" w:type="dxa"/>
            <w:noWrap/>
          </w:tcPr>
          <w:p w14:paraId="7E8B88A9" w14:textId="4A4F44FD" w:rsidR="009E3287" w:rsidRPr="00B90199" w:rsidRDefault="515DEFC2" w:rsidP="12736745">
            <w:pPr>
              <w:spacing w:after="0"/>
              <w:jc w:val="right"/>
              <w:rPr>
                <w:noProof/>
                <w:sz w:val="20"/>
                <w:szCs w:val="20"/>
                <w:lang w:val="en-IE" w:eastAsia="en-IE"/>
              </w:rPr>
            </w:pPr>
            <w:r w:rsidRPr="12736745">
              <w:rPr>
                <w:noProof/>
                <w:sz w:val="20"/>
                <w:szCs w:val="20"/>
              </w:rPr>
              <w:t>377</w:t>
            </w:r>
            <w:r w:rsidR="1CEE3D29" w:rsidRPr="12736745">
              <w:rPr>
                <w:noProof/>
                <w:sz w:val="20"/>
                <w:szCs w:val="20"/>
              </w:rPr>
              <w:t xml:space="preserve"> </w:t>
            </w:r>
            <w:r w:rsidRPr="12736745">
              <w:rPr>
                <w:noProof/>
                <w:sz w:val="20"/>
                <w:szCs w:val="20"/>
              </w:rPr>
              <w:t>651</w:t>
            </w:r>
            <w:r w:rsidR="23ABE5F7" w:rsidRPr="12736745">
              <w:rPr>
                <w:noProof/>
                <w:sz w:val="20"/>
                <w:szCs w:val="20"/>
              </w:rPr>
              <w:t xml:space="preserve"> </w:t>
            </w:r>
            <w:r w:rsidRPr="12736745">
              <w:rPr>
                <w:noProof/>
                <w:sz w:val="20"/>
                <w:szCs w:val="20"/>
              </w:rPr>
              <w:t>032</w:t>
            </w:r>
          </w:p>
          <w:p w14:paraId="0AF135E3" w14:textId="14AD667A" w:rsidR="009E3287" w:rsidRPr="00B90199" w:rsidRDefault="11293D18" w:rsidP="009E3287">
            <w:pPr>
              <w:spacing w:after="0"/>
              <w:jc w:val="right"/>
              <w:rPr>
                <w:noProof/>
                <w:sz w:val="20"/>
                <w:szCs w:val="20"/>
                <w:lang w:val="en-IE" w:eastAsia="en-IE"/>
              </w:rPr>
            </w:pPr>
            <w:r w:rsidRPr="12736745">
              <w:rPr>
                <w:noProof/>
                <w:sz w:val="20"/>
                <w:szCs w:val="20"/>
              </w:rPr>
              <w:t xml:space="preserve"> </w:t>
            </w:r>
          </w:p>
        </w:tc>
        <w:tc>
          <w:tcPr>
            <w:tcW w:w="1559" w:type="dxa"/>
            <w:noWrap/>
          </w:tcPr>
          <w:p w14:paraId="62AD0826" w14:textId="5E166E4F" w:rsidR="009E3287" w:rsidRPr="00B90199" w:rsidRDefault="11293D18" w:rsidP="12736745">
            <w:pPr>
              <w:spacing w:after="0"/>
              <w:jc w:val="right"/>
              <w:rPr>
                <w:noProof/>
                <w:sz w:val="20"/>
                <w:szCs w:val="20"/>
                <w:lang w:val="en-IE" w:eastAsia="en-IE"/>
              </w:rPr>
            </w:pPr>
            <w:r w:rsidRPr="12736745">
              <w:rPr>
                <w:noProof/>
                <w:sz w:val="20"/>
                <w:szCs w:val="20"/>
              </w:rPr>
              <w:t xml:space="preserve"> </w:t>
            </w:r>
            <w:r w:rsidR="4B70BC89" w:rsidRPr="12736745">
              <w:rPr>
                <w:noProof/>
                <w:sz w:val="20"/>
                <w:szCs w:val="20"/>
              </w:rPr>
              <w:t>334 125 766</w:t>
            </w:r>
          </w:p>
        </w:tc>
        <w:tc>
          <w:tcPr>
            <w:tcW w:w="1560" w:type="dxa"/>
            <w:noWrap/>
          </w:tcPr>
          <w:p w14:paraId="191761EB" w14:textId="1D92A2B8" w:rsidR="009E3287" w:rsidRPr="00B90199" w:rsidRDefault="11293D18" w:rsidP="12736745">
            <w:pPr>
              <w:spacing w:after="0"/>
              <w:jc w:val="right"/>
              <w:rPr>
                <w:noProof/>
                <w:sz w:val="20"/>
                <w:szCs w:val="20"/>
                <w:lang w:val="en-IE" w:eastAsia="en-IE"/>
              </w:rPr>
            </w:pPr>
            <w:r w:rsidRPr="12736745">
              <w:rPr>
                <w:noProof/>
                <w:sz w:val="20"/>
                <w:szCs w:val="20"/>
              </w:rPr>
              <w:t xml:space="preserve"> </w:t>
            </w:r>
            <w:r w:rsidR="42FF7CB5" w:rsidRPr="12736745">
              <w:rPr>
                <w:noProof/>
                <w:sz w:val="20"/>
                <w:szCs w:val="20"/>
              </w:rPr>
              <w:t>421</w:t>
            </w:r>
            <w:r w:rsidR="26816AEC" w:rsidRPr="12736745">
              <w:rPr>
                <w:noProof/>
                <w:sz w:val="20"/>
                <w:szCs w:val="20"/>
              </w:rPr>
              <w:t xml:space="preserve"> </w:t>
            </w:r>
            <w:r w:rsidR="42FF7CB5" w:rsidRPr="12736745">
              <w:rPr>
                <w:noProof/>
                <w:sz w:val="20"/>
                <w:szCs w:val="20"/>
              </w:rPr>
              <w:t>176</w:t>
            </w:r>
            <w:r w:rsidR="440E8E3D" w:rsidRPr="12736745">
              <w:rPr>
                <w:noProof/>
                <w:sz w:val="20"/>
                <w:szCs w:val="20"/>
              </w:rPr>
              <w:t xml:space="preserve"> </w:t>
            </w:r>
            <w:r w:rsidR="42FF7CB5" w:rsidRPr="12736745">
              <w:rPr>
                <w:noProof/>
                <w:sz w:val="20"/>
                <w:szCs w:val="20"/>
              </w:rPr>
              <w:t>297</w:t>
            </w:r>
          </w:p>
          <w:p w14:paraId="231E8CF9" w14:textId="455C7700" w:rsidR="009E3287" w:rsidRPr="00B90199" w:rsidRDefault="009E3287" w:rsidP="009E3287">
            <w:pPr>
              <w:spacing w:after="0"/>
              <w:jc w:val="right"/>
              <w:rPr>
                <w:noProof/>
                <w:sz w:val="20"/>
                <w:szCs w:val="20"/>
                <w:lang w:val="en-IE" w:eastAsia="en-IE"/>
              </w:rPr>
            </w:pPr>
          </w:p>
        </w:tc>
      </w:tr>
      <w:tr w:rsidR="00934B53" w:rsidRPr="00B90199" w14:paraId="6A7D56F1" w14:textId="77777777" w:rsidTr="12736745">
        <w:trPr>
          <w:trHeight w:val="283"/>
        </w:trPr>
        <w:tc>
          <w:tcPr>
            <w:tcW w:w="2127" w:type="dxa"/>
            <w:noWrap/>
            <w:hideMark/>
          </w:tcPr>
          <w:p w14:paraId="7E30F977" w14:textId="77777777" w:rsidR="00934B53" w:rsidRPr="00B90199" w:rsidRDefault="00934B53" w:rsidP="00934B53">
            <w:pPr>
              <w:spacing w:after="0"/>
              <w:jc w:val="left"/>
              <w:rPr>
                <w:i/>
                <w:iCs/>
                <w:noProof/>
                <w:sz w:val="20"/>
                <w:szCs w:val="20"/>
                <w:lang w:val="en-IE" w:eastAsia="en-IE"/>
              </w:rPr>
            </w:pPr>
            <w:r w:rsidRPr="00B90199">
              <w:rPr>
                <w:i/>
                <w:iCs/>
                <w:noProof/>
                <w:sz w:val="20"/>
                <w:szCs w:val="20"/>
                <w:lang w:val="en-IE" w:eastAsia="en-IE"/>
              </w:rPr>
              <w:t>one-off regulatory fees</w:t>
            </w:r>
          </w:p>
        </w:tc>
        <w:tc>
          <w:tcPr>
            <w:tcW w:w="851" w:type="dxa"/>
          </w:tcPr>
          <w:p w14:paraId="37DF4A5C" w14:textId="019DB4B5"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53AA46E0" w14:textId="246AABBC"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417" w:type="dxa"/>
          </w:tcPr>
          <w:p w14:paraId="589DD9C3" w14:textId="0416328B"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466DEB59"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01EA855C"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60" w:type="dxa"/>
            <w:noWrap/>
          </w:tcPr>
          <w:p w14:paraId="1D0ACD9A"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r>
      <w:tr w:rsidR="00934B53" w:rsidRPr="00B90199" w14:paraId="59986DA2" w14:textId="77777777" w:rsidTr="12736745">
        <w:trPr>
          <w:trHeight w:val="283"/>
        </w:trPr>
        <w:tc>
          <w:tcPr>
            <w:tcW w:w="2127" w:type="dxa"/>
            <w:noWrap/>
            <w:hideMark/>
          </w:tcPr>
          <w:p w14:paraId="00D373E7" w14:textId="77777777" w:rsidR="00934B53" w:rsidRPr="00B90199" w:rsidRDefault="00934B53" w:rsidP="00934B53">
            <w:pPr>
              <w:spacing w:after="0"/>
              <w:jc w:val="left"/>
              <w:rPr>
                <w:i/>
                <w:iCs/>
                <w:noProof/>
                <w:sz w:val="20"/>
                <w:szCs w:val="20"/>
                <w:lang w:val="en-IE" w:eastAsia="en-IE"/>
              </w:rPr>
            </w:pPr>
            <w:r w:rsidRPr="00B90199">
              <w:rPr>
                <w:i/>
                <w:iCs/>
                <w:noProof/>
                <w:sz w:val="20"/>
                <w:szCs w:val="20"/>
                <w:lang w:val="en-IE" w:eastAsia="en-IE"/>
              </w:rPr>
              <w:t>recurrent regulatory fees</w:t>
            </w:r>
          </w:p>
        </w:tc>
        <w:tc>
          <w:tcPr>
            <w:tcW w:w="851" w:type="dxa"/>
          </w:tcPr>
          <w:p w14:paraId="4B122894" w14:textId="1A2A2600"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5AD0A905" w14:textId="2B4B18A0"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417" w:type="dxa"/>
          </w:tcPr>
          <w:p w14:paraId="24A88F38" w14:textId="629DAD2D"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11F11596"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68D5DD21"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60" w:type="dxa"/>
            <w:noWrap/>
          </w:tcPr>
          <w:p w14:paraId="6F911952"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r>
      <w:tr w:rsidR="00934B53" w:rsidRPr="00B90199" w14:paraId="09FF1617" w14:textId="77777777" w:rsidTr="12736745">
        <w:trPr>
          <w:trHeight w:val="283"/>
        </w:trPr>
        <w:tc>
          <w:tcPr>
            <w:tcW w:w="2127" w:type="dxa"/>
            <w:noWrap/>
            <w:hideMark/>
          </w:tcPr>
          <w:p w14:paraId="11CB3CEB" w14:textId="77777777" w:rsidR="00934B53" w:rsidRPr="00B90199" w:rsidRDefault="00934B53" w:rsidP="00934B53">
            <w:pPr>
              <w:spacing w:after="0"/>
              <w:jc w:val="left"/>
              <w:rPr>
                <w:i/>
                <w:iCs/>
                <w:noProof/>
                <w:sz w:val="20"/>
                <w:szCs w:val="20"/>
                <w:lang w:val="en-IE" w:eastAsia="en-IE"/>
              </w:rPr>
            </w:pPr>
            <w:r w:rsidRPr="00B90199">
              <w:rPr>
                <w:i/>
                <w:iCs/>
                <w:noProof/>
                <w:sz w:val="20"/>
                <w:szCs w:val="20"/>
                <w:lang w:val="en-IE" w:eastAsia="en-IE"/>
              </w:rPr>
              <w:t>one-off enforcement</w:t>
            </w:r>
            <w:r>
              <w:rPr>
                <w:i/>
                <w:iCs/>
                <w:noProof/>
                <w:sz w:val="20"/>
                <w:szCs w:val="20"/>
                <w:lang w:val="en-IE" w:eastAsia="en-IE"/>
              </w:rPr>
              <w:t xml:space="preserve"> </w:t>
            </w:r>
          </w:p>
        </w:tc>
        <w:tc>
          <w:tcPr>
            <w:tcW w:w="851" w:type="dxa"/>
          </w:tcPr>
          <w:p w14:paraId="3CECCFA6" w14:textId="5E0081DA"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2CA03C10" w14:textId="7AFC76FB"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417" w:type="dxa"/>
          </w:tcPr>
          <w:p w14:paraId="032F627B" w14:textId="56097768"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1A2D08F5"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4CBD5BFF"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60" w:type="dxa"/>
            <w:noWrap/>
          </w:tcPr>
          <w:p w14:paraId="177F19EF"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r>
      <w:tr w:rsidR="00934B53" w:rsidRPr="00B90199" w14:paraId="5FCAFFA6" w14:textId="77777777" w:rsidTr="12736745">
        <w:trPr>
          <w:trHeight w:val="283"/>
        </w:trPr>
        <w:tc>
          <w:tcPr>
            <w:tcW w:w="2127" w:type="dxa"/>
            <w:noWrap/>
            <w:hideMark/>
          </w:tcPr>
          <w:p w14:paraId="208CB9C2" w14:textId="77777777" w:rsidR="00934B53" w:rsidRPr="00B90199" w:rsidRDefault="00934B53" w:rsidP="00934B53">
            <w:pPr>
              <w:spacing w:after="0"/>
              <w:jc w:val="left"/>
              <w:rPr>
                <w:i/>
                <w:iCs/>
                <w:noProof/>
                <w:sz w:val="20"/>
                <w:szCs w:val="20"/>
                <w:lang w:val="en-IE" w:eastAsia="en-IE"/>
              </w:rPr>
            </w:pPr>
            <w:r w:rsidRPr="00B90199">
              <w:rPr>
                <w:i/>
                <w:iCs/>
                <w:noProof/>
                <w:sz w:val="20"/>
                <w:szCs w:val="20"/>
                <w:lang w:val="en-IE" w:eastAsia="en-IE"/>
              </w:rPr>
              <w:t>recurrent enforcement</w:t>
            </w:r>
          </w:p>
        </w:tc>
        <w:tc>
          <w:tcPr>
            <w:tcW w:w="851" w:type="dxa"/>
          </w:tcPr>
          <w:p w14:paraId="51BEF9FB" w14:textId="548261D9"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tcPr>
          <w:p w14:paraId="6DF8D22B" w14:textId="426D789D"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417" w:type="dxa"/>
          </w:tcPr>
          <w:p w14:paraId="463D81D3" w14:textId="4436A560"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7DA3AC29"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noWrap/>
          </w:tcPr>
          <w:p w14:paraId="0B109A82"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560" w:type="dxa"/>
            <w:noWrap/>
          </w:tcPr>
          <w:p w14:paraId="17041936"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r>
      <w:tr w:rsidR="000E350C" w:rsidRPr="00B90199" w14:paraId="1C2A3BEB" w14:textId="77777777" w:rsidTr="12736745">
        <w:trPr>
          <w:trHeight w:val="283"/>
        </w:trPr>
        <w:tc>
          <w:tcPr>
            <w:tcW w:w="2127" w:type="dxa"/>
            <w:shd w:val="clear" w:color="auto" w:fill="F2DBDB" w:themeFill="accent2" w:themeFillTint="33"/>
            <w:noWrap/>
            <w:hideMark/>
          </w:tcPr>
          <w:p w14:paraId="4B01C123" w14:textId="77777777" w:rsidR="00934B53" w:rsidRPr="00B90199" w:rsidRDefault="00934B53" w:rsidP="00934B53">
            <w:pPr>
              <w:spacing w:after="0"/>
              <w:jc w:val="left"/>
              <w:rPr>
                <w:b/>
                <w:bCs/>
                <w:i/>
                <w:iCs/>
                <w:noProof/>
                <w:sz w:val="20"/>
                <w:szCs w:val="20"/>
                <w:lang w:val="en-IE" w:eastAsia="en-IE"/>
              </w:rPr>
            </w:pPr>
            <w:r w:rsidRPr="00B90199">
              <w:rPr>
                <w:b/>
                <w:bCs/>
                <w:i/>
                <w:iCs/>
                <w:noProof/>
                <w:sz w:val="20"/>
                <w:szCs w:val="20"/>
                <w:lang w:val="en-IE" w:eastAsia="en-IE"/>
              </w:rPr>
              <w:t>Total costs</w:t>
            </w:r>
          </w:p>
        </w:tc>
        <w:tc>
          <w:tcPr>
            <w:tcW w:w="851" w:type="dxa"/>
            <w:shd w:val="clear" w:color="auto" w:fill="F2DBDB" w:themeFill="accent2" w:themeFillTint="33"/>
          </w:tcPr>
          <w:p w14:paraId="1D5B2AD7" w14:textId="4D3C187C" w:rsidR="00934B53" w:rsidRPr="00B90199" w:rsidRDefault="00934B53" w:rsidP="00934B53">
            <w:pPr>
              <w:spacing w:after="0"/>
              <w:jc w:val="right"/>
              <w:rPr>
                <w:b/>
                <w:bCs/>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shd w:val="clear" w:color="auto" w:fill="F2DBDB" w:themeFill="accent2" w:themeFillTint="33"/>
          </w:tcPr>
          <w:p w14:paraId="4D3863E8" w14:textId="4FD962E0" w:rsidR="00934B53" w:rsidRPr="00B90199" w:rsidRDefault="0F231A45" w:rsidP="12736745">
            <w:pPr>
              <w:spacing w:after="0"/>
              <w:jc w:val="right"/>
              <w:rPr>
                <w:noProof/>
                <w:sz w:val="20"/>
                <w:szCs w:val="20"/>
                <w:lang w:val="en-IE" w:eastAsia="en-IE"/>
              </w:rPr>
            </w:pPr>
            <w:r w:rsidRPr="12736745">
              <w:rPr>
                <w:noProof/>
                <w:sz w:val="20"/>
                <w:szCs w:val="20"/>
              </w:rPr>
              <w:t>218 283 046</w:t>
            </w:r>
          </w:p>
          <w:p w14:paraId="5A984900" w14:textId="0F96BAA5" w:rsidR="00934B53" w:rsidRPr="00B90199" w:rsidRDefault="00934B53" w:rsidP="00934B53">
            <w:pPr>
              <w:spacing w:after="0"/>
              <w:jc w:val="right"/>
              <w:rPr>
                <w:noProof/>
                <w:sz w:val="20"/>
                <w:szCs w:val="20"/>
                <w:lang w:val="en-IE" w:eastAsia="en-IE"/>
              </w:rPr>
            </w:pPr>
          </w:p>
        </w:tc>
        <w:tc>
          <w:tcPr>
            <w:tcW w:w="1417" w:type="dxa"/>
            <w:shd w:val="clear" w:color="auto" w:fill="F2DBDB" w:themeFill="accent2" w:themeFillTint="33"/>
          </w:tcPr>
          <w:p w14:paraId="6668E596" w14:textId="7F73307C" w:rsidR="00F84F01" w:rsidRPr="00742F6D" w:rsidRDefault="00F84F01" w:rsidP="00F84F01">
            <w:pPr>
              <w:spacing w:after="0"/>
              <w:jc w:val="right"/>
              <w:rPr>
                <w:noProof/>
                <w:sz w:val="20"/>
                <w:szCs w:val="20"/>
              </w:rPr>
            </w:pPr>
            <w:r w:rsidRPr="00742F6D">
              <w:rPr>
                <w:noProof/>
                <w:sz w:val="20"/>
                <w:szCs w:val="20"/>
              </w:rPr>
              <w:t>222</w:t>
            </w:r>
            <w:r>
              <w:rPr>
                <w:noProof/>
                <w:sz w:val="20"/>
                <w:szCs w:val="20"/>
              </w:rPr>
              <w:t xml:space="preserve"> </w:t>
            </w:r>
            <w:r w:rsidRPr="00742F6D">
              <w:rPr>
                <w:noProof/>
                <w:sz w:val="20"/>
                <w:szCs w:val="20"/>
              </w:rPr>
              <w:t>680</w:t>
            </w:r>
            <w:r>
              <w:rPr>
                <w:noProof/>
                <w:sz w:val="20"/>
                <w:szCs w:val="20"/>
              </w:rPr>
              <w:t xml:space="preserve"> </w:t>
            </w:r>
            <w:r w:rsidRPr="00742F6D">
              <w:rPr>
                <w:noProof/>
                <w:sz w:val="20"/>
                <w:szCs w:val="20"/>
              </w:rPr>
              <w:t>933</w:t>
            </w:r>
          </w:p>
        </w:tc>
        <w:tc>
          <w:tcPr>
            <w:tcW w:w="1559" w:type="dxa"/>
            <w:shd w:val="clear" w:color="auto" w:fill="F2DBDB" w:themeFill="accent2" w:themeFillTint="33"/>
            <w:noWrap/>
          </w:tcPr>
          <w:p w14:paraId="1F356A61" w14:textId="61B3007E" w:rsidR="00934B53" w:rsidRPr="00B90199" w:rsidRDefault="09CF88DA" w:rsidP="00934B53">
            <w:pPr>
              <w:spacing w:after="0"/>
              <w:jc w:val="right"/>
              <w:rPr>
                <w:noProof/>
                <w:sz w:val="20"/>
                <w:szCs w:val="20"/>
              </w:rPr>
            </w:pPr>
            <w:r w:rsidRPr="12736745">
              <w:rPr>
                <w:noProof/>
                <w:sz w:val="20"/>
                <w:szCs w:val="20"/>
              </w:rPr>
              <w:t xml:space="preserve"> 440 963 980</w:t>
            </w:r>
            <w:r w:rsidR="76BCDC90" w:rsidRPr="12736745">
              <w:rPr>
                <w:noProof/>
                <w:sz w:val="20"/>
                <w:szCs w:val="20"/>
              </w:rPr>
              <w:t xml:space="preserve"> </w:t>
            </w:r>
          </w:p>
        </w:tc>
        <w:tc>
          <w:tcPr>
            <w:tcW w:w="1559" w:type="dxa"/>
            <w:shd w:val="clear" w:color="auto" w:fill="F2DBDB" w:themeFill="accent2" w:themeFillTint="33"/>
            <w:noWrap/>
          </w:tcPr>
          <w:p w14:paraId="5F3EDBDC" w14:textId="2B26C8CD" w:rsidR="00934B53" w:rsidRPr="00B90199" w:rsidRDefault="68C18BB5" w:rsidP="00934B53">
            <w:pPr>
              <w:spacing w:after="0"/>
              <w:jc w:val="right"/>
              <w:rPr>
                <w:noProof/>
                <w:sz w:val="20"/>
                <w:szCs w:val="20"/>
              </w:rPr>
            </w:pPr>
            <w:r w:rsidRPr="12736745">
              <w:rPr>
                <w:noProof/>
                <w:sz w:val="20"/>
                <w:szCs w:val="20"/>
              </w:rPr>
              <w:t xml:space="preserve"> 397 438 715</w:t>
            </w:r>
            <w:r w:rsidR="17BB8800" w:rsidRPr="12736745">
              <w:rPr>
                <w:noProof/>
                <w:sz w:val="20"/>
                <w:szCs w:val="20"/>
              </w:rPr>
              <w:t xml:space="preserve"> </w:t>
            </w:r>
          </w:p>
        </w:tc>
        <w:tc>
          <w:tcPr>
            <w:tcW w:w="1560" w:type="dxa"/>
            <w:shd w:val="clear" w:color="auto" w:fill="F2DBDB" w:themeFill="accent2" w:themeFillTint="33"/>
            <w:noWrap/>
          </w:tcPr>
          <w:p w14:paraId="098571D9" w14:textId="76D3907C" w:rsidR="00934B53" w:rsidRPr="00B90199" w:rsidRDefault="3BD676F3" w:rsidP="00934B53">
            <w:pPr>
              <w:spacing w:after="0"/>
              <w:jc w:val="right"/>
              <w:rPr>
                <w:noProof/>
                <w:sz w:val="20"/>
                <w:szCs w:val="20"/>
              </w:rPr>
            </w:pPr>
            <w:r w:rsidRPr="12736745">
              <w:rPr>
                <w:noProof/>
                <w:sz w:val="20"/>
                <w:szCs w:val="20"/>
              </w:rPr>
              <w:t xml:space="preserve"> 484 489 245</w:t>
            </w:r>
          </w:p>
        </w:tc>
      </w:tr>
      <w:tr w:rsidR="000E350C" w:rsidRPr="00B90199" w14:paraId="0B4A6064" w14:textId="77777777" w:rsidTr="12736745">
        <w:trPr>
          <w:trHeight w:val="283"/>
        </w:trPr>
        <w:tc>
          <w:tcPr>
            <w:tcW w:w="2127" w:type="dxa"/>
            <w:shd w:val="clear" w:color="auto" w:fill="EAF1DD" w:themeFill="accent3" w:themeFillTint="33"/>
            <w:noWrap/>
            <w:hideMark/>
          </w:tcPr>
          <w:p w14:paraId="7F30CC0C" w14:textId="77777777" w:rsidR="00934B53" w:rsidRPr="00B90199" w:rsidRDefault="00934B53" w:rsidP="00934B53">
            <w:pPr>
              <w:spacing w:after="0"/>
              <w:jc w:val="left"/>
              <w:rPr>
                <w:b/>
                <w:bCs/>
                <w:i/>
                <w:iCs/>
                <w:noProof/>
                <w:sz w:val="20"/>
                <w:szCs w:val="20"/>
                <w:lang w:val="en-IE" w:eastAsia="en-IE"/>
              </w:rPr>
            </w:pPr>
            <w:r w:rsidRPr="00B90199">
              <w:rPr>
                <w:b/>
                <w:bCs/>
                <w:i/>
                <w:iCs/>
                <w:noProof/>
                <w:sz w:val="20"/>
                <w:szCs w:val="20"/>
                <w:lang w:val="en-IE" w:eastAsia="en-IE"/>
              </w:rPr>
              <w:t>Total benefits</w:t>
            </w:r>
          </w:p>
        </w:tc>
        <w:tc>
          <w:tcPr>
            <w:tcW w:w="851" w:type="dxa"/>
            <w:shd w:val="clear" w:color="auto" w:fill="EAF1DD" w:themeFill="accent3" w:themeFillTint="33"/>
          </w:tcPr>
          <w:p w14:paraId="0E10E5A5" w14:textId="3942CF15" w:rsidR="00934B53" w:rsidRPr="00B90199" w:rsidRDefault="00934B53" w:rsidP="00934B53">
            <w:pPr>
              <w:spacing w:after="0"/>
              <w:jc w:val="right"/>
              <w:rPr>
                <w:b/>
                <w:bCs/>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shd w:val="clear" w:color="auto" w:fill="EAF1DD" w:themeFill="accent3" w:themeFillTint="33"/>
          </w:tcPr>
          <w:p w14:paraId="63835433" w14:textId="4F288D2A" w:rsidR="00934B53" w:rsidRPr="00B90199" w:rsidRDefault="00D904C6" w:rsidP="00934B53">
            <w:pPr>
              <w:spacing w:after="0"/>
              <w:jc w:val="right"/>
              <w:rPr>
                <w:b/>
                <w:bCs/>
                <w:noProof/>
                <w:sz w:val="20"/>
                <w:szCs w:val="20"/>
                <w:lang w:val="en-IE" w:eastAsia="en-IE"/>
              </w:rPr>
            </w:pPr>
            <w:r w:rsidRPr="00D904C6">
              <w:rPr>
                <w:noProof/>
                <w:sz w:val="20"/>
                <w:szCs w:val="20"/>
              </w:rPr>
              <w:t xml:space="preserve"> (34</w:t>
            </w:r>
            <w:r>
              <w:rPr>
                <w:noProof/>
                <w:sz w:val="20"/>
                <w:szCs w:val="20"/>
              </w:rPr>
              <w:t xml:space="preserve"> </w:t>
            </w:r>
            <w:r w:rsidRPr="00D904C6">
              <w:rPr>
                <w:noProof/>
                <w:sz w:val="20"/>
                <w:szCs w:val="20"/>
              </w:rPr>
              <w:t>199</w:t>
            </w:r>
            <w:r>
              <w:rPr>
                <w:noProof/>
                <w:sz w:val="20"/>
                <w:szCs w:val="20"/>
              </w:rPr>
              <w:t xml:space="preserve"> </w:t>
            </w:r>
            <w:r w:rsidRPr="00D904C6">
              <w:rPr>
                <w:noProof/>
                <w:sz w:val="20"/>
                <w:szCs w:val="20"/>
              </w:rPr>
              <w:t>254</w:t>
            </w:r>
            <w:r>
              <w:rPr>
                <w:noProof/>
                <w:sz w:val="20"/>
                <w:szCs w:val="20"/>
              </w:rPr>
              <w:t xml:space="preserve"> </w:t>
            </w:r>
            <w:r w:rsidRPr="00D904C6">
              <w:rPr>
                <w:noProof/>
                <w:sz w:val="20"/>
                <w:szCs w:val="20"/>
              </w:rPr>
              <w:t>362)</w:t>
            </w:r>
            <w:r w:rsidR="00F84F01" w:rsidRPr="00B90199">
              <w:rPr>
                <w:noProof/>
                <w:sz w:val="20"/>
                <w:szCs w:val="20"/>
              </w:rPr>
              <w:t xml:space="preserve">   </w:t>
            </w:r>
          </w:p>
        </w:tc>
        <w:tc>
          <w:tcPr>
            <w:tcW w:w="1417" w:type="dxa"/>
            <w:shd w:val="clear" w:color="auto" w:fill="EAF1DD" w:themeFill="accent3" w:themeFillTint="33"/>
          </w:tcPr>
          <w:p w14:paraId="026F8AC8" w14:textId="0117F25F" w:rsidR="00F84F01" w:rsidRPr="00B90199" w:rsidRDefault="00F84F01" w:rsidP="00F84F01">
            <w:pPr>
              <w:spacing w:after="0"/>
              <w:jc w:val="right"/>
              <w:rPr>
                <w:noProof/>
                <w:sz w:val="20"/>
                <w:szCs w:val="20"/>
              </w:rPr>
            </w:pPr>
            <w:r w:rsidRPr="00B90199">
              <w:rPr>
                <w:noProof/>
                <w:sz w:val="20"/>
                <w:szCs w:val="20"/>
              </w:rPr>
              <w:t xml:space="preserve"> </w:t>
            </w:r>
            <w:r>
              <w:rPr>
                <w:noProof/>
                <w:sz w:val="20"/>
                <w:szCs w:val="20"/>
              </w:rPr>
              <w:t>-</w:t>
            </w:r>
            <w:r w:rsidRPr="00B90199">
              <w:rPr>
                <w:noProof/>
                <w:sz w:val="20"/>
                <w:szCs w:val="20"/>
              </w:rPr>
              <w:t xml:space="preserve">   </w:t>
            </w:r>
          </w:p>
        </w:tc>
        <w:tc>
          <w:tcPr>
            <w:tcW w:w="1559" w:type="dxa"/>
            <w:shd w:val="clear" w:color="auto" w:fill="EAF1DD" w:themeFill="accent3" w:themeFillTint="33"/>
            <w:noWrap/>
          </w:tcPr>
          <w:p w14:paraId="40420E81" w14:textId="7777777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34 199 254 362)</w:t>
            </w:r>
          </w:p>
        </w:tc>
        <w:tc>
          <w:tcPr>
            <w:tcW w:w="1559" w:type="dxa"/>
            <w:shd w:val="clear" w:color="auto" w:fill="EAF1DD" w:themeFill="accent3" w:themeFillTint="33"/>
            <w:noWrap/>
          </w:tcPr>
          <w:p w14:paraId="41334CDF" w14:textId="4C8E00F8"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1</w:t>
            </w:r>
            <w:r w:rsidR="007C55CF">
              <w:rPr>
                <w:noProof/>
                <w:sz w:val="20"/>
                <w:szCs w:val="20"/>
              </w:rPr>
              <w:t>9 170</w:t>
            </w:r>
            <w:r w:rsidRPr="00B90199">
              <w:rPr>
                <w:noProof/>
                <w:sz w:val="20"/>
                <w:szCs w:val="20"/>
              </w:rPr>
              <w:t xml:space="preserve"> </w:t>
            </w:r>
            <w:r w:rsidR="007C55CF">
              <w:rPr>
                <w:noProof/>
                <w:sz w:val="20"/>
                <w:szCs w:val="20"/>
              </w:rPr>
              <w:t>613 237</w:t>
            </w:r>
            <w:r w:rsidRPr="00B90199">
              <w:rPr>
                <w:noProof/>
                <w:sz w:val="20"/>
                <w:szCs w:val="20"/>
              </w:rPr>
              <w:t>)</w:t>
            </w:r>
          </w:p>
        </w:tc>
        <w:tc>
          <w:tcPr>
            <w:tcW w:w="1560" w:type="dxa"/>
            <w:shd w:val="clear" w:color="auto" w:fill="EAF1DD" w:themeFill="accent3" w:themeFillTint="33"/>
            <w:noWrap/>
          </w:tcPr>
          <w:p w14:paraId="6818D0F7" w14:textId="5965C3D7" w:rsidR="00934B53" w:rsidRPr="00B90199" w:rsidRDefault="00934B53" w:rsidP="00934B53">
            <w:pPr>
              <w:spacing w:after="0"/>
              <w:jc w:val="right"/>
              <w:rPr>
                <w:noProof/>
                <w:sz w:val="20"/>
                <w:szCs w:val="20"/>
                <w:lang w:val="en-IE" w:eastAsia="en-IE"/>
              </w:rPr>
            </w:pPr>
            <w:r w:rsidRPr="00B90199">
              <w:rPr>
                <w:noProof/>
                <w:sz w:val="20"/>
                <w:szCs w:val="20"/>
              </w:rPr>
              <w:t xml:space="preserve"> </w:t>
            </w:r>
            <w:r>
              <w:rPr>
                <w:noProof/>
                <w:sz w:val="20"/>
                <w:szCs w:val="20"/>
              </w:rPr>
              <w:t>(</w:t>
            </w:r>
            <w:r w:rsidR="00DC51C5">
              <w:rPr>
                <w:noProof/>
                <w:sz w:val="20"/>
                <w:szCs w:val="20"/>
              </w:rPr>
              <w:t>49 227 895 486</w:t>
            </w:r>
            <w:r w:rsidRPr="00B90199">
              <w:rPr>
                <w:noProof/>
                <w:sz w:val="20"/>
                <w:szCs w:val="20"/>
              </w:rPr>
              <w:t>)</w:t>
            </w:r>
          </w:p>
        </w:tc>
      </w:tr>
      <w:tr w:rsidR="000E350C" w:rsidRPr="00934B53" w14:paraId="1690C6D7" w14:textId="77777777" w:rsidTr="12736745">
        <w:trPr>
          <w:trHeight w:val="158"/>
        </w:trPr>
        <w:tc>
          <w:tcPr>
            <w:tcW w:w="2127" w:type="dxa"/>
            <w:shd w:val="clear" w:color="auto" w:fill="F2F2F2" w:themeFill="background1" w:themeFillShade="F2"/>
            <w:noWrap/>
            <w:hideMark/>
          </w:tcPr>
          <w:p w14:paraId="21B45938" w14:textId="77777777" w:rsidR="00934B53" w:rsidRPr="00B90199" w:rsidRDefault="00934B53" w:rsidP="00934B53">
            <w:pPr>
              <w:spacing w:after="0"/>
              <w:jc w:val="left"/>
              <w:rPr>
                <w:b/>
                <w:bCs/>
                <w:i/>
                <w:iCs/>
                <w:noProof/>
                <w:sz w:val="20"/>
                <w:szCs w:val="20"/>
                <w:lang w:val="en-IE" w:eastAsia="en-IE"/>
              </w:rPr>
            </w:pPr>
            <w:r w:rsidRPr="00B90199">
              <w:rPr>
                <w:b/>
                <w:bCs/>
                <w:i/>
                <w:iCs/>
                <w:noProof/>
                <w:sz w:val="20"/>
                <w:szCs w:val="20"/>
                <w:lang w:val="en-IE" w:eastAsia="en-IE"/>
              </w:rPr>
              <w:t>Net impact</w:t>
            </w:r>
          </w:p>
        </w:tc>
        <w:tc>
          <w:tcPr>
            <w:tcW w:w="851" w:type="dxa"/>
            <w:shd w:val="clear" w:color="auto" w:fill="F2F2F2" w:themeFill="background1" w:themeFillShade="F2"/>
          </w:tcPr>
          <w:p w14:paraId="1ECF84E0" w14:textId="0A9F854B" w:rsidR="00934B53" w:rsidRPr="00B90199" w:rsidRDefault="00934B53" w:rsidP="00934B53">
            <w:pPr>
              <w:spacing w:after="0"/>
              <w:jc w:val="right"/>
              <w:rPr>
                <w:b/>
                <w:bCs/>
                <w:noProof/>
                <w:sz w:val="20"/>
                <w:szCs w:val="20"/>
                <w:lang w:val="en-IE" w:eastAsia="en-IE"/>
              </w:rPr>
            </w:pPr>
            <w:r w:rsidRPr="00B90199">
              <w:rPr>
                <w:noProof/>
                <w:sz w:val="20"/>
                <w:szCs w:val="20"/>
              </w:rPr>
              <w:t xml:space="preserve"> </w:t>
            </w:r>
            <w:r>
              <w:rPr>
                <w:noProof/>
                <w:sz w:val="20"/>
                <w:szCs w:val="20"/>
              </w:rPr>
              <w:t>-</w:t>
            </w:r>
            <w:r w:rsidRPr="00B90199">
              <w:rPr>
                <w:noProof/>
                <w:sz w:val="20"/>
                <w:szCs w:val="20"/>
              </w:rPr>
              <w:t xml:space="preserve">   </w:t>
            </w:r>
          </w:p>
        </w:tc>
        <w:tc>
          <w:tcPr>
            <w:tcW w:w="1701" w:type="dxa"/>
            <w:shd w:val="clear" w:color="auto" w:fill="F2F2F2" w:themeFill="background1" w:themeFillShade="F2"/>
          </w:tcPr>
          <w:p w14:paraId="3B00CEA9" w14:textId="0932A800" w:rsidR="00934B53" w:rsidRPr="00B90199" w:rsidRDefault="50693A62" w:rsidP="00934B53">
            <w:pPr>
              <w:spacing w:after="0"/>
              <w:jc w:val="right"/>
              <w:rPr>
                <w:b/>
                <w:bCs/>
                <w:noProof/>
                <w:sz w:val="20"/>
                <w:szCs w:val="20"/>
                <w:lang w:val="en-IE" w:eastAsia="en-IE"/>
              </w:rPr>
            </w:pPr>
            <w:r w:rsidRPr="12736745">
              <w:rPr>
                <w:b/>
                <w:bCs/>
                <w:noProof/>
                <w:sz w:val="20"/>
                <w:szCs w:val="20"/>
              </w:rPr>
              <w:t xml:space="preserve"> (</w:t>
            </w:r>
            <w:r w:rsidR="0A06903A" w:rsidRPr="12736745">
              <w:rPr>
                <w:b/>
                <w:bCs/>
                <w:noProof/>
                <w:sz w:val="20"/>
                <w:szCs w:val="20"/>
              </w:rPr>
              <w:t>3</w:t>
            </w:r>
            <w:r w:rsidR="5CB404C8" w:rsidRPr="12736745">
              <w:rPr>
                <w:b/>
                <w:bCs/>
                <w:noProof/>
                <w:sz w:val="20"/>
                <w:szCs w:val="20"/>
              </w:rPr>
              <w:t>3</w:t>
            </w:r>
            <w:r w:rsidR="0A06903A" w:rsidRPr="12736745">
              <w:rPr>
                <w:b/>
                <w:bCs/>
                <w:noProof/>
                <w:sz w:val="20"/>
                <w:szCs w:val="20"/>
              </w:rPr>
              <w:t xml:space="preserve"> </w:t>
            </w:r>
            <w:r w:rsidR="72EBD462" w:rsidRPr="12736745">
              <w:rPr>
                <w:b/>
                <w:bCs/>
                <w:noProof/>
                <w:sz w:val="20"/>
                <w:szCs w:val="20"/>
              </w:rPr>
              <w:t>980</w:t>
            </w:r>
            <w:r w:rsidR="0A06903A" w:rsidRPr="12736745">
              <w:rPr>
                <w:b/>
                <w:bCs/>
                <w:noProof/>
                <w:sz w:val="20"/>
                <w:szCs w:val="20"/>
              </w:rPr>
              <w:t xml:space="preserve"> </w:t>
            </w:r>
            <w:r w:rsidR="5936508D" w:rsidRPr="12736745">
              <w:rPr>
                <w:b/>
                <w:bCs/>
                <w:noProof/>
                <w:sz w:val="20"/>
                <w:szCs w:val="20"/>
              </w:rPr>
              <w:t>971</w:t>
            </w:r>
            <w:r w:rsidR="0A06903A" w:rsidRPr="12736745">
              <w:rPr>
                <w:b/>
                <w:bCs/>
                <w:noProof/>
                <w:sz w:val="20"/>
                <w:szCs w:val="20"/>
              </w:rPr>
              <w:t xml:space="preserve"> </w:t>
            </w:r>
            <w:r w:rsidR="2DE0A33F" w:rsidRPr="12736745">
              <w:rPr>
                <w:b/>
                <w:bCs/>
                <w:noProof/>
                <w:sz w:val="20"/>
                <w:szCs w:val="20"/>
              </w:rPr>
              <w:t>315</w:t>
            </w:r>
            <w:r w:rsidRPr="12736745">
              <w:rPr>
                <w:b/>
                <w:bCs/>
                <w:noProof/>
                <w:sz w:val="20"/>
                <w:szCs w:val="20"/>
              </w:rPr>
              <w:t>)</w:t>
            </w:r>
          </w:p>
        </w:tc>
        <w:tc>
          <w:tcPr>
            <w:tcW w:w="1417" w:type="dxa"/>
            <w:shd w:val="clear" w:color="auto" w:fill="F2F2F2" w:themeFill="background1" w:themeFillShade="F2"/>
          </w:tcPr>
          <w:p w14:paraId="0C601B19" w14:textId="0EB9DA97" w:rsidR="00F84F01" w:rsidRPr="007A32E7" w:rsidRDefault="00F84F01" w:rsidP="00F84F01">
            <w:pPr>
              <w:spacing w:after="0"/>
              <w:jc w:val="right"/>
              <w:rPr>
                <w:b/>
                <w:bCs/>
                <w:noProof/>
                <w:sz w:val="20"/>
                <w:szCs w:val="20"/>
              </w:rPr>
            </w:pPr>
            <w:r w:rsidRPr="007A32E7">
              <w:rPr>
                <w:b/>
                <w:bCs/>
                <w:noProof/>
                <w:sz w:val="20"/>
                <w:szCs w:val="20"/>
              </w:rPr>
              <w:t xml:space="preserve">222 680 933   </w:t>
            </w:r>
          </w:p>
        </w:tc>
        <w:tc>
          <w:tcPr>
            <w:tcW w:w="1559" w:type="dxa"/>
            <w:shd w:val="clear" w:color="auto" w:fill="F2F2F2" w:themeFill="background1" w:themeFillShade="F2"/>
            <w:noWrap/>
          </w:tcPr>
          <w:p w14:paraId="2904FCCB" w14:textId="279374B2" w:rsidR="00934B53" w:rsidRPr="00934B53" w:rsidRDefault="76BCDC90" w:rsidP="00934B53">
            <w:pPr>
              <w:spacing w:after="0"/>
              <w:jc w:val="right"/>
              <w:rPr>
                <w:b/>
                <w:bCs/>
                <w:noProof/>
                <w:sz w:val="20"/>
                <w:szCs w:val="20"/>
                <w:lang w:val="en-IE" w:eastAsia="en-IE"/>
              </w:rPr>
            </w:pPr>
            <w:r w:rsidRPr="12736745">
              <w:rPr>
                <w:b/>
                <w:bCs/>
                <w:noProof/>
                <w:sz w:val="20"/>
                <w:szCs w:val="20"/>
              </w:rPr>
              <w:t xml:space="preserve"> (33 </w:t>
            </w:r>
            <w:r w:rsidR="7B55AFE3" w:rsidRPr="12736745">
              <w:rPr>
                <w:b/>
                <w:bCs/>
                <w:noProof/>
                <w:sz w:val="20"/>
                <w:szCs w:val="20"/>
              </w:rPr>
              <w:t>758</w:t>
            </w:r>
            <w:r w:rsidR="28C609BD" w:rsidRPr="12736745">
              <w:rPr>
                <w:b/>
                <w:bCs/>
                <w:noProof/>
                <w:sz w:val="20"/>
                <w:szCs w:val="20"/>
              </w:rPr>
              <w:t xml:space="preserve"> </w:t>
            </w:r>
            <w:r w:rsidR="1699619E" w:rsidRPr="12736745">
              <w:rPr>
                <w:b/>
                <w:bCs/>
                <w:noProof/>
                <w:sz w:val="20"/>
                <w:szCs w:val="20"/>
              </w:rPr>
              <w:t>290</w:t>
            </w:r>
            <w:r w:rsidR="28C609BD" w:rsidRPr="12736745">
              <w:rPr>
                <w:b/>
                <w:bCs/>
                <w:noProof/>
                <w:sz w:val="20"/>
                <w:szCs w:val="20"/>
              </w:rPr>
              <w:t xml:space="preserve"> </w:t>
            </w:r>
            <w:r w:rsidR="50EAEC6E" w:rsidRPr="12736745">
              <w:rPr>
                <w:b/>
                <w:bCs/>
                <w:noProof/>
                <w:sz w:val="20"/>
                <w:szCs w:val="20"/>
              </w:rPr>
              <w:t>382</w:t>
            </w:r>
            <w:r w:rsidRPr="12736745">
              <w:rPr>
                <w:b/>
                <w:bCs/>
                <w:noProof/>
                <w:sz w:val="20"/>
                <w:szCs w:val="20"/>
              </w:rPr>
              <w:t>)</w:t>
            </w:r>
          </w:p>
        </w:tc>
        <w:tc>
          <w:tcPr>
            <w:tcW w:w="1559" w:type="dxa"/>
            <w:shd w:val="clear" w:color="auto" w:fill="F2F2F2" w:themeFill="background1" w:themeFillShade="F2"/>
            <w:noWrap/>
          </w:tcPr>
          <w:p w14:paraId="3F62B197" w14:textId="7FD21A20" w:rsidR="00934B53" w:rsidRPr="00934B53" w:rsidRDefault="76BCDC90" w:rsidP="00934B53">
            <w:pPr>
              <w:spacing w:after="0"/>
              <w:jc w:val="right"/>
              <w:rPr>
                <w:b/>
                <w:bCs/>
                <w:noProof/>
                <w:sz w:val="20"/>
                <w:szCs w:val="20"/>
                <w:lang w:val="en-IE" w:eastAsia="en-IE"/>
              </w:rPr>
            </w:pPr>
            <w:r w:rsidRPr="12736745">
              <w:rPr>
                <w:b/>
                <w:bCs/>
                <w:noProof/>
                <w:sz w:val="20"/>
                <w:szCs w:val="20"/>
              </w:rPr>
              <w:t xml:space="preserve"> (</w:t>
            </w:r>
            <w:r w:rsidR="28C609BD" w:rsidRPr="12736745">
              <w:rPr>
                <w:b/>
                <w:bCs/>
                <w:noProof/>
                <w:sz w:val="20"/>
                <w:szCs w:val="20"/>
              </w:rPr>
              <w:t xml:space="preserve">18 </w:t>
            </w:r>
            <w:r w:rsidR="04ACD930" w:rsidRPr="12736745">
              <w:rPr>
                <w:b/>
                <w:bCs/>
                <w:noProof/>
                <w:sz w:val="20"/>
                <w:szCs w:val="20"/>
              </w:rPr>
              <w:t>773</w:t>
            </w:r>
            <w:r w:rsidR="28C609BD" w:rsidRPr="12736745">
              <w:rPr>
                <w:b/>
                <w:bCs/>
                <w:noProof/>
                <w:sz w:val="20"/>
                <w:szCs w:val="20"/>
              </w:rPr>
              <w:t xml:space="preserve"> </w:t>
            </w:r>
            <w:r w:rsidR="6D3CF4D2" w:rsidRPr="12736745">
              <w:rPr>
                <w:b/>
                <w:bCs/>
                <w:noProof/>
                <w:sz w:val="20"/>
                <w:szCs w:val="20"/>
              </w:rPr>
              <w:t>174</w:t>
            </w:r>
            <w:r w:rsidR="28C609BD" w:rsidRPr="12736745">
              <w:rPr>
                <w:b/>
                <w:bCs/>
                <w:noProof/>
                <w:sz w:val="20"/>
                <w:szCs w:val="20"/>
              </w:rPr>
              <w:t xml:space="preserve"> </w:t>
            </w:r>
            <w:r w:rsidR="3B23943C" w:rsidRPr="12736745">
              <w:rPr>
                <w:b/>
                <w:bCs/>
                <w:noProof/>
                <w:sz w:val="20"/>
                <w:szCs w:val="20"/>
              </w:rPr>
              <w:t>523</w:t>
            </w:r>
            <w:r w:rsidRPr="12736745">
              <w:rPr>
                <w:b/>
                <w:bCs/>
                <w:noProof/>
                <w:sz w:val="20"/>
                <w:szCs w:val="20"/>
              </w:rPr>
              <w:t>)</w:t>
            </w:r>
          </w:p>
        </w:tc>
        <w:tc>
          <w:tcPr>
            <w:tcW w:w="1560" w:type="dxa"/>
            <w:shd w:val="clear" w:color="auto" w:fill="F2F2F2" w:themeFill="background1" w:themeFillShade="F2"/>
            <w:noWrap/>
          </w:tcPr>
          <w:p w14:paraId="4843D063" w14:textId="7F14B411" w:rsidR="00934B53" w:rsidRPr="00934B53" w:rsidRDefault="76BCDC90" w:rsidP="00934B53">
            <w:pPr>
              <w:spacing w:after="0"/>
              <w:jc w:val="right"/>
              <w:rPr>
                <w:b/>
                <w:bCs/>
                <w:noProof/>
                <w:sz w:val="20"/>
                <w:szCs w:val="20"/>
                <w:lang w:val="en-IE" w:eastAsia="en-IE"/>
              </w:rPr>
            </w:pPr>
            <w:r w:rsidRPr="12736745">
              <w:rPr>
                <w:b/>
                <w:bCs/>
                <w:noProof/>
                <w:sz w:val="20"/>
                <w:szCs w:val="20"/>
              </w:rPr>
              <w:t xml:space="preserve"> (</w:t>
            </w:r>
            <w:r w:rsidR="28C609BD" w:rsidRPr="12736745">
              <w:rPr>
                <w:b/>
                <w:bCs/>
                <w:noProof/>
                <w:sz w:val="20"/>
                <w:szCs w:val="20"/>
              </w:rPr>
              <w:t xml:space="preserve">48 </w:t>
            </w:r>
            <w:r w:rsidR="664CAC74" w:rsidRPr="12736745">
              <w:rPr>
                <w:b/>
                <w:bCs/>
                <w:noProof/>
                <w:sz w:val="20"/>
                <w:szCs w:val="20"/>
              </w:rPr>
              <w:t>743</w:t>
            </w:r>
            <w:r w:rsidR="28C609BD" w:rsidRPr="12736745">
              <w:rPr>
                <w:b/>
                <w:bCs/>
                <w:noProof/>
                <w:sz w:val="20"/>
                <w:szCs w:val="20"/>
              </w:rPr>
              <w:t xml:space="preserve"> </w:t>
            </w:r>
            <w:r w:rsidR="658E544F" w:rsidRPr="12736745">
              <w:rPr>
                <w:b/>
                <w:bCs/>
                <w:noProof/>
                <w:sz w:val="20"/>
                <w:szCs w:val="20"/>
              </w:rPr>
              <w:t>406</w:t>
            </w:r>
            <w:r w:rsidR="28C609BD" w:rsidRPr="12736745">
              <w:rPr>
                <w:b/>
                <w:bCs/>
                <w:noProof/>
                <w:sz w:val="20"/>
                <w:szCs w:val="20"/>
              </w:rPr>
              <w:t xml:space="preserve"> </w:t>
            </w:r>
            <w:r w:rsidR="2B197088" w:rsidRPr="12736745">
              <w:rPr>
                <w:b/>
                <w:bCs/>
                <w:noProof/>
                <w:sz w:val="20"/>
                <w:szCs w:val="20"/>
              </w:rPr>
              <w:t>241</w:t>
            </w:r>
            <w:r w:rsidRPr="12736745">
              <w:rPr>
                <w:b/>
                <w:bCs/>
                <w:noProof/>
                <w:sz w:val="20"/>
                <w:szCs w:val="20"/>
              </w:rPr>
              <w:t>)</w:t>
            </w:r>
          </w:p>
        </w:tc>
      </w:tr>
    </w:tbl>
    <w:p w14:paraId="2FAA6643" w14:textId="77777777" w:rsidR="00015693" w:rsidRPr="0007547C" w:rsidRDefault="00015693" w:rsidP="00015693">
      <w:pPr>
        <w:rPr>
          <w:rFonts w:eastAsia="Times New Roman"/>
          <w:noProof/>
          <w:color w:val="000000"/>
          <w:lang w:val="en-US" w:eastAsia="en-GB"/>
        </w:rPr>
      </w:pPr>
    </w:p>
    <w:p w14:paraId="3721E0B9" w14:textId="77777777" w:rsidR="00015693" w:rsidRPr="00437F91" w:rsidRDefault="00015693" w:rsidP="000B3BE1">
      <w:pPr>
        <w:pStyle w:val="Heading2"/>
        <w:numPr>
          <w:ilvl w:val="1"/>
          <w:numId w:val="10"/>
        </w:numPr>
        <w:tabs>
          <w:tab w:val="num" w:pos="283"/>
        </w:tabs>
        <w:rPr>
          <w:bCs/>
          <w:noProof/>
        </w:rPr>
      </w:pPr>
      <w:bookmarkStart w:id="261" w:name="_Toc208595324"/>
      <w:bookmarkStart w:id="262" w:name="_Toc214519727"/>
      <w:bookmarkStart w:id="263" w:name="_Toc216283378"/>
      <w:bookmarkStart w:id="264" w:name="_Toc228346933"/>
      <w:bookmarkStart w:id="265" w:name="_Toc208836949"/>
      <w:r w:rsidRPr="00222FF1">
        <w:rPr>
          <w:noProof/>
        </w:rPr>
        <w:t>PM23</w:t>
      </w:r>
      <w:r w:rsidRPr="00437F91">
        <w:rPr>
          <w:bCs/>
          <w:noProof/>
        </w:rPr>
        <w:t xml:space="preserve">: </w:t>
      </w:r>
      <w:bookmarkEnd w:id="261"/>
      <w:r w:rsidRPr="00437F91">
        <w:rPr>
          <w:bCs/>
          <w:noProof/>
        </w:rPr>
        <w:t>Financial support for SMEs to adopt cloud and AI</w:t>
      </w:r>
      <w:bookmarkEnd w:id="262"/>
      <w:bookmarkEnd w:id="263"/>
      <w:bookmarkEnd w:id="264"/>
      <w:r w:rsidRPr="00437F91">
        <w:rPr>
          <w:bCs/>
          <w:noProof/>
        </w:rPr>
        <w:t xml:space="preserve"> </w:t>
      </w:r>
      <w:bookmarkEnd w:id="265"/>
    </w:p>
    <w:p w14:paraId="29B6DE84" w14:textId="3C0DF7A8" w:rsidR="00015693" w:rsidRPr="0007547C" w:rsidRDefault="00015693" w:rsidP="00DA0A4F">
      <w:pPr>
        <w:pStyle w:val="paragraph"/>
        <w:spacing w:before="0" w:beforeAutospacing="0" w:after="0" w:afterAutospacing="0"/>
        <w:jc w:val="both"/>
        <w:textAlignment w:val="baseline"/>
        <w:rPr>
          <w:noProof/>
        </w:rPr>
      </w:pPr>
      <w:r w:rsidRPr="00DA0A4F">
        <w:rPr>
          <w:rStyle w:val="normaltextrun"/>
          <w:noProof/>
        </w:rPr>
        <w:t>This</w:t>
      </w:r>
      <w:r w:rsidRPr="0007547C">
        <w:rPr>
          <w:noProof/>
        </w:rPr>
        <w:t xml:space="preserve"> policy measure puts forward a targeted scheme to provide financial support to SMEs for adopting cloud and AI </w:t>
      </w:r>
      <w:r w:rsidR="00A24504">
        <w:rPr>
          <w:noProof/>
        </w:rPr>
        <w:t xml:space="preserve">computing </w:t>
      </w:r>
      <w:r w:rsidRPr="0007547C">
        <w:rPr>
          <w:noProof/>
        </w:rPr>
        <w:t>services to increase their productivity and competitiveness. A yearly budget of EUR 40</w:t>
      </w:r>
      <w:r w:rsidR="006A4D66">
        <w:rPr>
          <w:noProof/>
        </w:rPr>
        <w:t xml:space="preserve"> </w:t>
      </w:r>
      <w:r w:rsidRPr="0007547C">
        <w:rPr>
          <w:noProof/>
        </w:rPr>
        <w:t>050</w:t>
      </w:r>
      <w:r w:rsidR="006A4D66">
        <w:rPr>
          <w:noProof/>
        </w:rPr>
        <w:t xml:space="preserve"> </w:t>
      </w:r>
      <w:r w:rsidRPr="0007547C">
        <w:rPr>
          <w:noProof/>
        </w:rPr>
        <w:t>000 is considered over the 10-year period</w:t>
      </w:r>
      <w:r w:rsidR="009F52A5">
        <w:rPr>
          <w:noProof/>
        </w:rPr>
        <w:t>. This is done for modelling purposes</w:t>
      </w:r>
      <w:r w:rsidR="008904CF">
        <w:rPr>
          <w:noProof/>
        </w:rPr>
        <w:t xml:space="preserve"> only and does</w:t>
      </w:r>
      <w:r w:rsidR="00280981">
        <w:rPr>
          <w:noProof/>
        </w:rPr>
        <w:t xml:space="preserve"> no</w:t>
      </w:r>
      <w:r w:rsidR="008904CF">
        <w:rPr>
          <w:noProof/>
        </w:rPr>
        <w:t>t</w:t>
      </w:r>
      <w:r w:rsidR="00131383">
        <w:rPr>
          <w:noProof/>
        </w:rPr>
        <w:t xml:space="preserve"> pre-empt the next MFF</w:t>
      </w:r>
      <w:r w:rsidRPr="0007547C">
        <w:rPr>
          <w:noProof/>
        </w:rPr>
        <w:t>: </w:t>
      </w:r>
    </w:p>
    <w:p w14:paraId="67834877" w14:textId="33F818B4" w:rsidR="00015693" w:rsidRPr="006F6E56" w:rsidRDefault="00015693" w:rsidP="00744B72">
      <w:pPr>
        <w:pStyle w:val="Bullet1IA"/>
        <w:numPr>
          <w:ilvl w:val="0"/>
          <w:numId w:val="21"/>
        </w:numPr>
        <w:rPr>
          <w:noProof/>
        </w:rPr>
      </w:pPr>
      <w:r w:rsidRPr="008F5DB3">
        <w:rPr>
          <w:noProof/>
        </w:rPr>
        <w:t>Most of it, EUR 38</w:t>
      </w:r>
      <w:r w:rsidR="006A4D66">
        <w:rPr>
          <w:noProof/>
        </w:rPr>
        <w:t xml:space="preserve"> </w:t>
      </w:r>
      <w:r>
        <w:rPr>
          <w:noProof/>
        </w:rPr>
        <w:t>5</w:t>
      </w:r>
      <w:r w:rsidRPr="008F5DB3">
        <w:rPr>
          <w:noProof/>
        </w:rPr>
        <w:t>00</w:t>
      </w:r>
      <w:r w:rsidR="006A4D66">
        <w:rPr>
          <w:noProof/>
        </w:rPr>
        <w:t xml:space="preserve"> </w:t>
      </w:r>
      <w:r w:rsidRPr="008F5DB3">
        <w:rPr>
          <w:noProof/>
        </w:rPr>
        <w:t>000, is dedicated to supporting the design and planning phase of cloud and AI-based transformation projects</w:t>
      </w:r>
      <w:r w:rsidR="006B1609">
        <w:rPr>
          <w:noProof/>
        </w:rPr>
        <w:t xml:space="preserve"> for SMEs</w:t>
      </w:r>
      <w:r w:rsidRPr="008F5DB3">
        <w:rPr>
          <w:noProof/>
        </w:rPr>
        <w:t>. </w:t>
      </w:r>
      <w:r w:rsidRPr="006F6E56">
        <w:rPr>
          <w:noProof/>
        </w:rPr>
        <w:t> </w:t>
      </w:r>
    </w:p>
    <w:p w14:paraId="327FE741" w14:textId="77777777" w:rsidR="00015693" w:rsidRPr="0007547C" w:rsidRDefault="00015693" w:rsidP="00744B72">
      <w:pPr>
        <w:pStyle w:val="ListParagraph"/>
        <w:numPr>
          <w:ilvl w:val="0"/>
          <w:numId w:val="35"/>
        </w:numPr>
        <w:spacing w:after="160"/>
        <w:rPr>
          <w:noProof/>
          <w:lang w:val="en-US"/>
        </w:rPr>
      </w:pPr>
      <w:r w:rsidRPr="0007547C">
        <w:rPr>
          <w:noProof/>
        </w:rPr>
        <w:t>The grants are fixed amounts that the SMEs can spend in consultancy services to design digital transformation projects based on cloud and AI technology.</w:t>
      </w:r>
      <w:r w:rsidRPr="0007547C">
        <w:rPr>
          <w:noProof/>
          <w:lang w:val="en-US"/>
        </w:rPr>
        <w:t> </w:t>
      </w:r>
    </w:p>
    <w:p w14:paraId="6FD78346" w14:textId="700A2A11" w:rsidR="00015693" w:rsidRPr="0007547C" w:rsidRDefault="00015693" w:rsidP="00744B72">
      <w:pPr>
        <w:pStyle w:val="ListParagraph"/>
        <w:numPr>
          <w:ilvl w:val="0"/>
          <w:numId w:val="35"/>
        </w:numPr>
        <w:spacing w:after="160"/>
        <w:rPr>
          <w:noProof/>
          <w:lang w:val="en-US"/>
        </w:rPr>
      </w:pPr>
      <w:r w:rsidRPr="0007547C">
        <w:rPr>
          <w:noProof/>
        </w:rPr>
        <w:t>The amount will depend on the size of the SME: small SMEs (10 to 50 employees) will receive EUR 10</w:t>
      </w:r>
      <w:r w:rsidR="00A9685A">
        <w:rPr>
          <w:noProof/>
        </w:rPr>
        <w:t xml:space="preserve"> </w:t>
      </w:r>
      <w:r w:rsidRPr="0007547C">
        <w:rPr>
          <w:noProof/>
        </w:rPr>
        <w:t>000 and midsize SMEs (50 to 250 employees) EUR 25</w:t>
      </w:r>
      <w:r w:rsidR="005036BE">
        <w:rPr>
          <w:noProof/>
        </w:rPr>
        <w:t xml:space="preserve"> </w:t>
      </w:r>
      <w:r w:rsidRPr="0007547C">
        <w:rPr>
          <w:noProof/>
        </w:rPr>
        <w:t>000.</w:t>
      </w:r>
      <w:r w:rsidRPr="0007547C">
        <w:rPr>
          <w:noProof/>
          <w:lang w:val="en-US"/>
        </w:rPr>
        <w:t> </w:t>
      </w:r>
    </w:p>
    <w:p w14:paraId="39D40C64" w14:textId="1A999594" w:rsidR="00015693" w:rsidRPr="0007547C" w:rsidRDefault="00015693" w:rsidP="00744B72">
      <w:pPr>
        <w:pStyle w:val="ListParagraph"/>
        <w:numPr>
          <w:ilvl w:val="0"/>
          <w:numId w:val="35"/>
        </w:numPr>
        <w:spacing w:after="160"/>
        <w:rPr>
          <w:noProof/>
          <w:lang w:val="en-US"/>
        </w:rPr>
      </w:pPr>
      <w:r w:rsidRPr="0007547C">
        <w:rPr>
          <w:noProof/>
        </w:rPr>
        <w:t xml:space="preserve">The grants can be spent in services from a catalogue </w:t>
      </w:r>
      <w:r w:rsidR="0049358B">
        <w:rPr>
          <w:noProof/>
        </w:rPr>
        <w:t>of self-</w:t>
      </w:r>
      <w:r w:rsidRPr="0007547C">
        <w:rPr>
          <w:noProof/>
        </w:rPr>
        <w:t xml:space="preserve">published </w:t>
      </w:r>
      <w:r w:rsidR="0049358B">
        <w:rPr>
          <w:noProof/>
        </w:rPr>
        <w:t xml:space="preserve">organizations </w:t>
      </w:r>
      <w:r w:rsidR="00455F3E">
        <w:rPr>
          <w:noProof/>
        </w:rPr>
        <w:t>maintained</w:t>
      </w:r>
      <w:r w:rsidRPr="0007547C">
        <w:rPr>
          <w:noProof/>
        </w:rPr>
        <w:t xml:space="preserve"> by the Commission that will include consultancy service providers from the IT sector in all MS.</w:t>
      </w:r>
      <w:r w:rsidRPr="0007547C">
        <w:rPr>
          <w:noProof/>
          <w:lang w:val="en-US"/>
        </w:rPr>
        <w:t> </w:t>
      </w:r>
      <w:r w:rsidR="0024139D">
        <w:rPr>
          <w:noProof/>
          <w:lang w:val="en-US"/>
        </w:rPr>
        <w:t xml:space="preserve">The catalogue would be populated </w:t>
      </w:r>
      <w:r w:rsidR="001C7D2C">
        <w:rPr>
          <w:noProof/>
          <w:lang w:val="en-US"/>
        </w:rPr>
        <w:t>based on</w:t>
      </w:r>
      <w:r w:rsidR="0024139D">
        <w:rPr>
          <w:noProof/>
          <w:lang w:val="en-US"/>
        </w:rPr>
        <w:t xml:space="preserve"> </w:t>
      </w:r>
      <w:r w:rsidR="00990287">
        <w:rPr>
          <w:noProof/>
          <w:lang w:val="en-US"/>
        </w:rPr>
        <w:t>an objective and transparent process.</w:t>
      </w:r>
      <w:r w:rsidRPr="0007547C">
        <w:rPr>
          <w:noProof/>
          <w:lang w:val="en-US"/>
        </w:rPr>
        <w:t xml:space="preserve"> </w:t>
      </w:r>
    </w:p>
    <w:p w14:paraId="16EC2AD4" w14:textId="77777777" w:rsidR="00015693" w:rsidRPr="0007547C" w:rsidRDefault="00015693" w:rsidP="00744B72">
      <w:pPr>
        <w:pStyle w:val="ListParagraph"/>
        <w:numPr>
          <w:ilvl w:val="0"/>
          <w:numId w:val="35"/>
        </w:numPr>
        <w:spacing w:after="160"/>
        <w:rPr>
          <w:noProof/>
          <w:lang w:val="en-US"/>
        </w:rPr>
      </w:pPr>
      <w:r w:rsidRPr="0007547C">
        <w:rPr>
          <w:noProof/>
        </w:rPr>
        <w:t>The objective is reaching 2% of the small (10 to 50 employees) and midsize (50 to 250 employees) SMEs over the 10-year period. </w:t>
      </w:r>
      <w:r w:rsidRPr="0007547C">
        <w:rPr>
          <w:noProof/>
          <w:lang w:val="en-US"/>
        </w:rPr>
        <w:t> </w:t>
      </w:r>
    </w:p>
    <w:p w14:paraId="7D33B9F7" w14:textId="77777777" w:rsidR="00015693" w:rsidRPr="00D60DA3" w:rsidRDefault="00015693" w:rsidP="00744B72">
      <w:pPr>
        <w:pStyle w:val="Bullet1IA"/>
        <w:numPr>
          <w:ilvl w:val="0"/>
          <w:numId w:val="21"/>
        </w:numPr>
        <w:rPr>
          <w:rFonts w:cs="Times New Roman"/>
          <w:noProof/>
          <w:lang w:val="en-US"/>
        </w:rPr>
      </w:pPr>
      <w:r w:rsidRPr="00D60DA3">
        <w:rPr>
          <w:rFonts w:cs="Times New Roman"/>
          <w:noProof/>
        </w:rPr>
        <w:t>Every year, the SMEs that have designed the most innovative cloud and AI-based transformation project plans will receive additional support to fund their implementation:</w:t>
      </w:r>
      <w:r w:rsidRPr="00D60DA3">
        <w:rPr>
          <w:rFonts w:cs="Times New Roman"/>
          <w:noProof/>
          <w:lang w:val="en-US"/>
        </w:rPr>
        <w:t> </w:t>
      </w:r>
    </w:p>
    <w:p w14:paraId="4472265A" w14:textId="123A884D" w:rsidR="00015693" w:rsidRPr="0007547C" w:rsidRDefault="00015693" w:rsidP="00744B72">
      <w:pPr>
        <w:pStyle w:val="ListParagraph"/>
        <w:numPr>
          <w:ilvl w:val="0"/>
          <w:numId w:val="36"/>
        </w:numPr>
        <w:spacing w:after="160"/>
        <w:rPr>
          <w:noProof/>
        </w:rPr>
      </w:pPr>
      <w:r w:rsidRPr="0007547C">
        <w:rPr>
          <w:noProof/>
        </w:rPr>
        <w:t xml:space="preserve">small SMEs </w:t>
      </w:r>
      <w:r w:rsidR="001C7D2C">
        <w:rPr>
          <w:noProof/>
        </w:rPr>
        <w:t>would</w:t>
      </w:r>
      <w:r w:rsidRPr="0007547C">
        <w:rPr>
          <w:noProof/>
        </w:rPr>
        <w:t xml:space="preserve"> receive EUR 100</w:t>
      </w:r>
      <w:r w:rsidR="00B61F2F">
        <w:rPr>
          <w:noProof/>
        </w:rPr>
        <w:t xml:space="preserve"> </w:t>
      </w:r>
      <w:r w:rsidRPr="0007547C">
        <w:rPr>
          <w:noProof/>
        </w:rPr>
        <w:t>000 each. </w:t>
      </w:r>
    </w:p>
    <w:p w14:paraId="6A361AA4" w14:textId="75645BE2" w:rsidR="00015693" w:rsidRPr="0007547C" w:rsidRDefault="00015693" w:rsidP="00744B72">
      <w:pPr>
        <w:pStyle w:val="ListParagraph"/>
        <w:numPr>
          <w:ilvl w:val="0"/>
          <w:numId w:val="36"/>
        </w:numPr>
        <w:spacing w:after="160"/>
        <w:rPr>
          <w:noProof/>
        </w:rPr>
      </w:pPr>
      <w:r w:rsidRPr="0007547C">
        <w:rPr>
          <w:noProof/>
        </w:rPr>
        <w:t xml:space="preserve">midsize SMEs </w:t>
      </w:r>
      <w:r w:rsidR="001C7D2C">
        <w:rPr>
          <w:noProof/>
        </w:rPr>
        <w:t>would</w:t>
      </w:r>
      <w:r w:rsidRPr="0007547C">
        <w:rPr>
          <w:noProof/>
        </w:rPr>
        <w:t xml:space="preserve"> receive EUR 250</w:t>
      </w:r>
      <w:r w:rsidR="00B61F2F">
        <w:rPr>
          <w:noProof/>
        </w:rPr>
        <w:t xml:space="preserve"> </w:t>
      </w:r>
      <w:r w:rsidRPr="0007547C">
        <w:rPr>
          <w:noProof/>
        </w:rPr>
        <w:t>000 each. </w:t>
      </w:r>
    </w:p>
    <w:p w14:paraId="38A8FE83" w14:textId="78D93F84" w:rsidR="00015693" w:rsidRPr="0007547C" w:rsidRDefault="00015693" w:rsidP="00744B72">
      <w:pPr>
        <w:pStyle w:val="ListParagraph"/>
        <w:numPr>
          <w:ilvl w:val="0"/>
          <w:numId w:val="36"/>
        </w:numPr>
        <w:spacing w:after="160"/>
        <w:rPr>
          <w:noProof/>
        </w:rPr>
      </w:pPr>
      <w:r w:rsidRPr="0007547C">
        <w:rPr>
          <w:noProof/>
        </w:rPr>
        <w:t xml:space="preserve">Total yearly budget for awards </w:t>
      </w:r>
      <w:r w:rsidR="001C7D2C">
        <w:rPr>
          <w:noProof/>
        </w:rPr>
        <w:t>would</w:t>
      </w:r>
      <w:r w:rsidRPr="0007547C">
        <w:rPr>
          <w:noProof/>
        </w:rPr>
        <w:t xml:space="preserve"> be EUR 1</w:t>
      </w:r>
      <w:r w:rsidR="00B61F2F">
        <w:rPr>
          <w:noProof/>
        </w:rPr>
        <w:t xml:space="preserve"> </w:t>
      </w:r>
      <w:r w:rsidRPr="0007547C">
        <w:rPr>
          <w:noProof/>
        </w:rPr>
        <w:t>050</w:t>
      </w:r>
      <w:r w:rsidR="00B61F2F">
        <w:rPr>
          <w:noProof/>
        </w:rPr>
        <w:t xml:space="preserve"> </w:t>
      </w:r>
      <w:r w:rsidRPr="0007547C">
        <w:rPr>
          <w:noProof/>
        </w:rPr>
        <w:t>000. </w:t>
      </w:r>
    </w:p>
    <w:p w14:paraId="4638C7DF" w14:textId="77777777" w:rsidR="00015693" w:rsidRPr="0007547C" w:rsidRDefault="00015693" w:rsidP="00744B72">
      <w:pPr>
        <w:pStyle w:val="ListParagraph"/>
        <w:numPr>
          <w:ilvl w:val="0"/>
          <w:numId w:val="36"/>
        </w:numPr>
        <w:spacing w:after="160"/>
        <w:rPr>
          <w:noProof/>
        </w:rPr>
      </w:pPr>
      <w:r w:rsidRPr="0007547C">
        <w:rPr>
          <w:noProof/>
        </w:rPr>
        <w:t>A jury will assess the project plans designed every year and select the ones to be awarded. </w:t>
      </w:r>
    </w:p>
    <w:p w14:paraId="0B589F84" w14:textId="4B1C6B6F" w:rsidR="00015693" w:rsidRPr="00D60DA3" w:rsidRDefault="00015693" w:rsidP="00744B72">
      <w:pPr>
        <w:pStyle w:val="Bullet1IA"/>
        <w:numPr>
          <w:ilvl w:val="0"/>
          <w:numId w:val="21"/>
        </w:numPr>
        <w:rPr>
          <w:rFonts w:cs="Times New Roman"/>
          <w:noProof/>
          <w:lang w:val="en-US"/>
        </w:rPr>
      </w:pPr>
      <w:r w:rsidRPr="00D60DA3">
        <w:rPr>
          <w:rFonts w:cs="Times New Roman"/>
          <w:noProof/>
        </w:rPr>
        <w:t xml:space="preserve">The rest, </w:t>
      </w:r>
      <w:r w:rsidR="001F5B6B">
        <w:rPr>
          <w:rFonts w:cs="Times New Roman"/>
          <w:noProof/>
        </w:rPr>
        <w:t xml:space="preserve">EUR </w:t>
      </w:r>
      <w:r w:rsidRPr="00D60DA3">
        <w:rPr>
          <w:rFonts w:cs="Times New Roman"/>
          <w:noProof/>
        </w:rPr>
        <w:t>500</w:t>
      </w:r>
      <w:r w:rsidR="001F5B6B">
        <w:rPr>
          <w:rFonts w:cs="Times New Roman"/>
          <w:noProof/>
        </w:rPr>
        <w:t xml:space="preserve"> </w:t>
      </w:r>
      <w:r w:rsidRPr="00D60DA3">
        <w:rPr>
          <w:rFonts w:cs="Times New Roman"/>
          <w:noProof/>
        </w:rPr>
        <w:t>000, serves to communicate and create awareness of the programme, and disseminate the results, giving visibility to the most successful and innovative project to serve as relevant references that may inspire SMEs across the different sectors and MSs:</w:t>
      </w:r>
      <w:r w:rsidRPr="00D60DA3">
        <w:rPr>
          <w:rFonts w:cs="Times New Roman"/>
          <w:noProof/>
          <w:lang w:val="en-US"/>
        </w:rPr>
        <w:t> </w:t>
      </w:r>
    </w:p>
    <w:p w14:paraId="61EC34D6" w14:textId="77777777" w:rsidR="00015693" w:rsidRPr="0007547C" w:rsidRDefault="00015693" w:rsidP="00744B72">
      <w:pPr>
        <w:pStyle w:val="ListParagraph"/>
        <w:numPr>
          <w:ilvl w:val="0"/>
          <w:numId w:val="37"/>
        </w:numPr>
        <w:spacing w:after="160"/>
        <w:rPr>
          <w:noProof/>
        </w:rPr>
      </w:pPr>
      <w:r w:rsidRPr="0007547C">
        <w:rPr>
          <w:noProof/>
        </w:rPr>
        <w:t>The awards will be communicated and made visible through reports, social media, and events, and the project descriptions will be made available in a web site to serve as references. </w:t>
      </w:r>
    </w:p>
    <w:p w14:paraId="3DB3E430" w14:textId="77777777" w:rsidR="00015693" w:rsidRPr="0007547C" w:rsidRDefault="00015693" w:rsidP="00744B72">
      <w:pPr>
        <w:pStyle w:val="ListParagraph"/>
        <w:numPr>
          <w:ilvl w:val="0"/>
          <w:numId w:val="37"/>
        </w:numPr>
        <w:spacing w:after="160"/>
        <w:rPr>
          <w:noProof/>
        </w:rPr>
      </w:pPr>
      <w:r w:rsidRPr="0007547C">
        <w:rPr>
          <w:noProof/>
        </w:rPr>
        <w:t>The awards will reward innovation and its transformation impact in terms of efficiency, productivity and competitiveness.  </w:t>
      </w:r>
    </w:p>
    <w:p w14:paraId="3945D53D" w14:textId="77777777" w:rsidR="00015693" w:rsidRPr="0007547C" w:rsidRDefault="00015693" w:rsidP="00744B72">
      <w:pPr>
        <w:pStyle w:val="ListParagraph"/>
        <w:numPr>
          <w:ilvl w:val="0"/>
          <w:numId w:val="37"/>
        </w:numPr>
        <w:spacing w:after="160"/>
        <w:rPr>
          <w:noProof/>
        </w:rPr>
      </w:pPr>
      <w:r w:rsidRPr="0007547C">
        <w:rPr>
          <w:noProof/>
        </w:rPr>
        <w:t>There will be a balanced distribution of the awards among sectors and MSs, so that relevant references are created across all markets. </w:t>
      </w:r>
    </w:p>
    <w:p w14:paraId="471249CB" w14:textId="77777777" w:rsidR="00015693" w:rsidRPr="0007547C" w:rsidRDefault="00015693" w:rsidP="00744B72">
      <w:pPr>
        <w:pStyle w:val="ListParagraph"/>
        <w:numPr>
          <w:ilvl w:val="0"/>
          <w:numId w:val="37"/>
        </w:numPr>
        <w:spacing w:after="160"/>
        <w:rPr>
          <w:noProof/>
        </w:rPr>
      </w:pPr>
      <w:r w:rsidRPr="0007547C">
        <w:rPr>
          <w:noProof/>
        </w:rPr>
        <w:t>An SME project assessment team will define specific criteria for awarding the grants and select the awarded SMEs out of the presented proposals. The calculation of the evaluation efforts considers that there are 5 proposals presented for each awarded grant. </w:t>
      </w:r>
    </w:p>
    <w:p w14:paraId="23A5D946" w14:textId="0A993CAA" w:rsidR="00015693" w:rsidRPr="0007547C" w:rsidRDefault="00015693" w:rsidP="00015693">
      <w:pPr>
        <w:rPr>
          <w:noProof/>
          <w:lang w:val="en-US"/>
        </w:rPr>
      </w:pPr>
      <w:r w:rsidRPr="0007547C">
        <w:rPr>
          <w:noProof/>
        </w:rPr>
        <w:t>The SME Performance Review report shows that there are 26.1 million SMEs in Europe, out of which 24.5 million are micro enterprises (less than 10 employees), 1.4 million are small enterprises (10 to 50 employees) and 214</w:t>
      </w:r>
      <w:r w:rsidR="00EA0233">
        <w:rPr>
          <w:noProof/>
        </w:rPr>
        <w:t>,</w:t>
      </w:r>
      <w:r w:rsidRPr="0007547C">
        <w:rPr>
          <w:noProof/>
        </w:rPr>
        <w:t xml:space="preserve">000 are midsize companies (50 to 250 employees). The cloud adoption scheme applies to small and midsize enterprises, with the objective of reaching 2% of each category in the 10-year period. This means a total of 32 </w:t>
      </w:r>
      <w:r w:rsidR="00B61F2F" w:rsidRPr="0007547C">
        <w:rPr>
          <w:noProof/>
        </w:rPr>
        <w:t>2</w:t>
      </w:r>
      <w:r w:rsidR="00B61F2F">
        <w:rPr>
          <w:noProof/>
        </w:rPr>
        <w:t>0</w:t>
      </w:r>
      <w:r w:rsidR="00B61F2F" w:rsidRPr="0007547C">
        <w:rPr>
          <w:noProof/>
        </w:rPr>
        <w:t xml:space="preserve">0 </w:t>
      </w:r>
      <w:r w:rsidRPr="0007547C">
        <w:rPr>
          <w:noProof/>
        </w:rPr>
        <w:t>companies engaged, 28</w:t>
      </w:r>
      <w:r w:rsidR="00B61F2F">
        <w:rPr>
          <w:noProof/>
        </w:rPr>
        <w:t xml:space="preserve"> </w:t>
      </w:r>
      <w:r w:rsidRPr="0007547C">
        <w:rPr>
          <w:noProof/>
        </w:rPr>
        <w:t>000 small ones and 4</w:t>
      </w:r>
      <w:r w:rsidR="00B61F2F">
        <w:rPr>
          <w:noProof/>
        </w:rPr>
        <w:t xml:space="preserve"> </w:t>
      </w:r>
      <w:r w:rsidRPr="0007547C">
        <w:rPr>
          <w:noProof/>
        </w:rPr>
        <w:t>200 midsize ones, will be direct beneficiaries.</w:t>
      </w:r>
      <w:r w:rsidRPr="0007547C">
        <w:rPr>
          <w:noProof/>
          <w:lang w:val="en-US"/>
        </w:rPr>
        <w:t> </w:t>
      </w:r>
    </w:p>
    <w:p w14:paraId="2C8D14D1" w14:textId="77777777" w:rsidR="00015693" w:rsidRPr="0007547C" w:rsidRDefault="00015693" w:rsidP="00015693">
      <w:pPr>
        <w:rPr>
          <w:noProof/>
          <w:lang w:val="en-US"/>
        </w:rPr>
      </w:pPr>
      <w:r w:rsidRPr="0007547C">
        <w:rPr>
          <w:noProof/>
        </w:rPr>
        <w:t>The awarded SMEs will use the award to contract consultancy services from a catalogue provided by the Commission that will contain service providers from different MS and diverse profiles. These providers will be mostly local IT SMEs with skills in cloud and AI technology, that will be indirect beneficiaries from this policy measure. </w:t>
      </w:r>
      <w:r w:rsidRPr="0007547C">
        <w:rPr>
          <w:noProof/>
          <w:lang w:val="en-US"/>
        </w:rPr>
        <w:t> </w:t>
      </w:r>
    </w:p>
    <w:p w14:paraId="3B646D38" w14:textId="467D370F" w:rsidR="00015693" w:rsidRPr="0007547C" w:rsidRDefault="00015693" w:rsidP="00015693">
      <w:pPr>
        <w:rPr>
          <w:noProof/>
          <w:lang w:val="en-US"/>
        </w:rPr>
      </w:pPr>
      <w:r w:rsidRPr="0007547C">
        <w:rPr>
          <w:noProof/>
        </w:rPr>
        <w:t>Eurostat reports 1</w:t>
      </w:r>
      <w:r w:rsidR="000A6378">
        <w:rPr>
          <w:noProof/>
        </w:rPr>
        <w:t xml:space="preserve"> </w:t>
      </w:r>
      <w:r w:rsidRPr="0007547C">
        <w:rPr>
          <w:noProof/>
        </w:rPr>
        <w:t>281</w:t>
      </w:r>
      <w:r w:rsidR="000A6378">
        <w:rPr>
          <w:noProof/>
        </w:rPr>
        <w:t xml:space="preserve"> </w:t>
      </w:r>
      <w:r w:rsidRPr="0007547C">
        <w:rPr>
          <w:noProof/>
        </w:rPr>
        <w:t>000 businesses in the ICT sector</w:t>
      </w:r>
      <w:r w:rsidRPr="0007547C">
        <w:rPr>
          <w:noProof/>
          <w:vertAlign w:val="superscript"/>
        </w:rPr>
        <w:t>2</w:t>
      </w:r>
      <w:r w:rsidRPr="0007547C">
        <w:rPr>
          <w:noProof/>
        </w:rPr>
        <w:t>, out of which 820</w:t>
      </w:r>
      <w:r w:rsidR="000A6378">
        <w:rPr>
          <w:noProof/>
        </w:rPr>
        <w:t xml:space="preserve"> </w:t>
      </w:r>
      <w:r w:rsidRPr="0007547C">
        <w:rPr>
          <w:noProof/>
        </w:rPr>
        <w:t>800 are dedicated to computing, consultancy and related services. From Eurostat’s database</w:t>
      </w:r>
      <w:r w:rsidRPr="0007547C">
        <w:rPr>
          <w:noProof/>
          <w:vertAlign w:val="superscript"/>
        </w:rPr>
        <w:t>3</w:t>
      </w:r>
      <w:r w:rsidRPr="0007547C">
        <w:rPr>
          <w:noProof/>
        </w:rPr>
        <w:t>, the number of micro companies (less than 10 employees) in the ICT sector is 1</w:t>
      </w:r>
      <w:r w:rsidR="00B61F2F">
        <w:rPr>
          <w:noProof/>
        </w:rPr>
        <w:t xml:space="preserve"> </w:t>
      </w:r>
      <w:r w:rsidRPr="0007547C">
        <w:rPr>
          <w:noProof/>
        </w:rPr>
        <w:t>220</w:t>
      </w:r>
      <w:r w:rsidR="00B61F2F">
        <w:rPr>
          <w:noProof/>
        </w:rPr>
        <w:t xml:space="preserve"> </w:t>
      </w:r>
      <w:r w:rsidRPr="0007547C">
        <w:rPr>
          <w:noProof/>
        </w:rPr>
        <w:t>000 (as of 2020), 53</w:t>
      </w:r>
      <w:r w:rsidR="00B61F2F">
        <w:rPr>
          <w:noProof/>
        </w:rPr>
        <w:t xml:space="preserve"> </w:t>
      </w:r>
      <w:r w:rsidRPr="0007547C">
        <w:rPr>
          <w:noProof/>
        </w:rPr>
        <w:t>000 are small (10 to 50 employees) and 12.000 are medium size (50 to 250). The catalogue of digital consultancy service providers will contain some of the European small and midsize IT enterprises (66.8% of the ICT sector, 43</w:t>
      </w:r>
      <w:r w:rsidR="00B61F2F">
        <w:rPr>
          <w:noProof/>
        </w:rPr>
        <w:t xml:space="preserve"> </w:t>
      </w:r>
      <w:r w:rsidRPr="0007547C">
        <w:rPr>
          <w:noProof/>
        </w:rPr>
        <w:t>420 companies in EU) that have the right skills and resources. Assuming that each service provider manages 5 consultancy projects along the 10-year period, the policy measure could indirectly benefit 6</w:t>
      </w:r>
      <w:r w:rsidR="00B61F2F">
        <w:rPr>
          <w:noProof/>
        </w:rPr>
        <w:t xml:space="preserve"> </w:t>
      </w:r>
      <w:r w:rsidRPr="0007547C">
        <w:rPr>
          <w:noProof/>
        </w:rPr>
        <w:t>440 IT SMEs that would support the awarded SMEs in their project design and planning.</w:t>
      </w:r>
      <w:r w:rsidRPr="0007547C">
        <w:rPr>
          <w:noProof/>
          <w:lang w:val="en-US"/>
        </w:rPr>
        <w:t> </w:t>
      </w:r>
    </w:p>
    <w:p w14:paraId="16BEC846" w14:textId="33593CE9" w:rsidR="00015693" w:rsidRPr="0007547C" w:rsidRDefault="00015693" w:rsidP="00015693">
      <w:pPr>
        <w:rPr>
          <w:noProof/>
          <w:lang w:val="en-US"/>
        </w:rPr>
      </w:pPr>
      <w:r w:rsidRPr="0007547C">
        <w:rPr>
          <w:b/>
          <w:i/>
          <w:noProof/>
        </w:rPr>
        <w:t>One-off and recurrent administrative costs in the European Commission.</w:t>
      </w:r>
      <w:r w:rsidRPr="0007547C">
        <w:rPr>
          <w:noProof/>
        </w:rPr>
        <w:t xml:space="preserve"> The Commission will apply an effort of </w:t>
      </w:r>
      <w:r w:rsidR="001E14AC">
        <w:rPr>
          <w:noProof/>
        </w:rPr>
        <w:t>1 FTE</w:t>
      </w:r>
      <w:r w:rsidRPr="0007547C">
        <w:rPr>
          <w:noProof/>
        </w:rPr>
        <w:t xml:space="preserve"> for the design and set up of the </w:t>
      </w:r>
      <w:r w:rsidR="0001203E">
        <w:rPr>
          <w:noProof/>
        </w:rPr>
        <w:t>cloud</w:t>
      </w:r>
      <w:r w:rsidRPr="0007547C">
        <w:rPr>
          <w:noProof/>
        </w:rPr>
        <w:t xml:space="preserve"> and AI adoption programme, requiring consultation with stakeholders (Member States, associations and SME representatives) and the elaboration of the programme description. The infrastructure required to run the programme, manage the calls and monitor its execution would re-use existing infrastructure and is accounted for here. </w:t>
      </w:r>
      <w:r w:rsidRPr="0007547C">
        <w:rPr>
          <w:noProof/>
          <w:lang w:val="en-US"/>
        </w:rPr>
        <w:t>The cost of the catalogue and the onboarding of IT consultancy service providers are considered negligible.</w:t>
      </w:r>
    </w:p>
    <w:p w14:paraId="3015F17C" w14:textId="1DCA3806" w:rsidR="00015693" w:rsidRPr="0007547C" w:rsidRDefault="00015693" w:rsidP="00015693">
      <w:pPr>
        <w:rPr>
          <w:rStyle w:val="eop"/>
          <w:noProof/>
          <w:lang w:val="en-US"/>
        </w:rPr>
      </w:pPr>
      <w:r w:rsidRPr="0007547C">
        <w:rPr>
          <w:rStyle w:val="normaltextrun"/>
          <w:noProof/>
        </w:rPr>
        <w:t xml:space="preserve">On a </w:t>
      </w:r>
      <w:r w:rsidRPr="00A7385A">
        <w:rPr>
          <w:rStyle w:val="normaltextrun"/>
          <w:b/>
          <w:i/>
          <w:noProof/>
        </w:rPr>
        <w:t>recurrent basis</w:t>
      </w:r>
      <w:r w:rsidRPr="00661F14">
        <w:rPr>
          <w:rStyle w:val="normaltextrun"/>
          <w:b/>
          <w:noProof/>
        </w:rPr>
        <w:t xml:space="preserve">, </w:t>
      </w:r>
      <w:r w:rsidRPr="0007547C">
        <w:rPr>
          <w:rStyle w:val="normaltextrun"/>
          <w:noProof/>
        </w:rPr>
        <w:t xml:space="preserve">the Commission will need 100 staff days to administer the </w:t>
      </w:r>
      <w:r w:rsidR="0001203E">
        <w:rPr>
          <w:rStyle w:val="normaltextrun"/>
          <w:noProof/>
        </w:rPr>
        <w:t>cloud</w:t>
      </w:r>
      <w:r w:rsidRPr="0007547C">
        <w:rPr>
          <w:rStyle w:val="normaltextrun"/>
          <w:noProof/>
        </w:rPr>
        <w:t xml:space="preserve"> and AI adoption programme, including the preparation, launch, management and closing of the different calls, and </w:t>
      </w:r>
      <w:r w:rsidR="00A8089F">
        <w:rPr>
          <w:rStyle w:val="normaltextrun"/>
          <w:noProof/>
        </w:rPr>
        <w:t>0.</w:t>
      </w:r>
      <w:r w:rsidR="009B359A">
        <w:rPr>
          <w:rStyle w:val="normaltextrun"/>
          <w:noProof/>
        </w:rPr>
        <w:t>6</w:t>
      </w:r>
      <w:r w:rsidRPr="0007547C">
        <w:rPr>
          <w:rStyle w:val="normaltextrun"/>
          <w:noProof/>
        </w:rPr>
        <w:t xml:space="preserve"> staff day</w:t>
      </w:r>
      <w:r w:rsidR="009B359A">
        <w:rPr>
          <w:rStyle w:val="normaltextrun"/>
          <w:noProof/>
        </w:rPr>
        <w:t>s</w:t>
      </w:r>
      <w:r w:rsidRPr="0007547C">
        <w:rPr>
          <w:rStyle w:val="normaltextrun"/>
          <w:noProof/>
        </w:rPr>
        <w:t xml:space="preserve"> to assess each of the proposals presented.</w:t>
      </w:r>
      <w:r w:rsidRPr="0007547C">
        <w:rPr>
          <w:rStyle w:val="eop"/>
          <w:noProof/>
        </w:rPr>
        <w:t> </w:t>
      </w:r>
      <w:r w:rsidR="4500C2B9" w:rsidRPr="7264B183">
        <w:rPr>
          <w:rStyle w:val="eop"/>
          <w:noProof/>
        </w:rPr>
        <w:t xml:space="preserve">The grants will amount for EUR 10 000 and EUR 25 000 for small and mid-sized </w:t>
      </w:r>
      <w:r w:rsidR="273AEBB2" w:rsidRPr="7264B183">
        <w:rPr>
          <w:rStyle w:val="eop"/>
          <w:noProof/>
        </w:rPr>
        <w:t>SMEs respectively.</w:t>
      </w:r>
    </w:p>
    <w:p w14:paraId="54DDE389" w14:textId="16A6EA77" w:rsidR="00015693" w:rsidRPr="0007547C" w:rsidRDefault="00015693" w:rsidP="00015693">
      <w:pPr>
        <w:rPr>
          <w:noProof/>
          <w:lang w:val="en-US"/>
        </w:rPr>
      </w:pPr>
      <w:r w:rsidRPr="0007547C">
        <w:rPr>
          <w:b/>
          <w:i/>
          <w:noProof/>
        </w:rPr>
        <w:t xml:space="preserve">One-off </w:t>
      </w:r>
      <w:r w:rsidR="00433B6C">
        <w:rPr>
          <w:b/>
          <w:i/>
          <w:noProof/>
        </w:rPr>
        <w:t>admi</w:t>
      </w:r>
      <w:r w:rsidR="006E5338">
        <w:rPr>
          <w:b/>
          <w:i/>
          <w:noProof/>
        </w:rPr>
        <w:t>nistrative</w:t>
      </w:r>
      <w:r w:rsidR="00433B6C" w:rsidRPr="0007547C">
        <w:rPr>
          <w:b/>
          <w:i/>
          <w:noProof/>
        </w:rPr>
        <w:t xml:space="preserve"> </w:t>
      </w:r>
      <w:r w:rsidRPr="0007547C">
        <w:rPr>
          <w:b/>
          <w:i/>
          <w:noProof/>
        </w:rPr>
        <w:t>costs in SMEs</w:t>
      </w:r>
      <w:r w:rsidRPr="0007547C">
        <w:rPr>
          <w:b/>
          <w:noProof/>
        </w:rPr>
        <w:t>.</w:t>
      </w:r>
      <w:r w:rsidRPr="0007547C">
        <w:rPr>
          <w:noProof/>
        </w:rPr>
        <w:t xml:space="preserve"> The effort to prepare a project proposal is estimated to be </w:t>
      </w:r>
      <w:r w:rsidRPr="0007547C">
        <w:rPr>
          <w:noProof/>
          <w:lang w:val="en-US"/>
        </w:rPr>
        <w:t xml:space="preserve">2 </w:t>
      </w:r>
      <w:r w:rsidR="519C2E56" w:rsidRPr="658501F2">
        <w:rPr>
          <w:noProof/>
          <w:lang w:val="en-US"/>
        </w:rPr>
        <w:t xml:space="preserve">persons </w:t>
      </w:r>
      <w:r w:rsidRPr="658501F2">
        <w:rPr>
          <w:noProof/>
          <w:lang w:val="en-US"/>
        </w:rPr>
        <w:t xml:space="preserve">for </w:t>
      </w:r>
      <w:r w:rsidRPr="0007547C">
        <w:rPr>
          <w:noProof/>
          <w:lang w:val="en-US"/>
        </w:rPr>
        <w:t xml:space="preserve">10 days (20 staff days). </w:t>
      </w:r>
      <w:r w:rsidRPr="001C6C63">
        <w:rPr>
          <w:noProof/>
          <w:lang w:val="en-US"/>
        </w:rPr>
        <w:t>A sensitivity check for this parameter is accounted for.</w:t>
      </w:r>
    </w:p>
    <w:p w14:paraId="5F6ECF2A" w14:textId="5E7062A7" w:rsidR="00015693" w:rsidRPr="0007547C" w:rsidRDefault="006E5338" w:rsidP="00015693">
      <w:pPr>
        <w:rPr>
          <w:noProof/>
        </w:rPr>
      </w:pPr>
      <w:r>
        <w:rPr>
          <w:b/>
          <w:i/>
          <w:noProof/>
        </w:rPr>
        <w:t>Cost savings</w:t>
      </w:r>
      <w:r w:rsidR="00015693" w:rsidRPr="0007547C">
        <w:rPr>
          <w:b/>
          <w:i/>
          <w:noProof/>
        </w:rPr>
        <w:t xml:space="preserve"> in SMEs.</w:t>
      </w:r>
      <w:r w:rsidR="00015693" w:rsidRPr="0007547C">
        <w:rPr>
          <w:noProof/>
        </w:rPr>
        <w:t xml:space="preserve"> </w:t>
      </w:r>
      <w:r w:rsidR="00FE09C4">
        <w:rPr>
          <w:noProof/>
        </w:rPr>
        <w:t>The benefits stem</w:t>
      </w:r>
      <w:r w:rsidR="00D16EC2">
        <w:rPr>
          <w:noProof/>
        </w:rPr>
        <w:t xml:space="preserve"> from the design of </w:t>
      </w:r>
      <w:r w:rsidR="008B65C8">
        <w:rPr>
          <w:noProof/>
        </w:rPr>
        <w:t>the project</w:t>
      </w:r>
      <w:r w:rsidR="008C1E96">
        <w:rPr>
          <w:noProof/>
        </w:rPr>
        <w:t>s supporting the</w:t>
      </w:r>
      <w:r w:rsidR="008B65C8">
        <w:rPr>
          <w:noProof/>
        </w:rPr>
        <w:t xml:space="preserve"> AI</w:t>
      </w:r>
      <w:r w:rsidR="3CF428F1">
        <w:rPr>
          <w:noProof/>
        </w:rPr>
        <w:t>-based</w:t>
      </w:r>
      <w:r w:rsidR="008B65C8">
        <w:rPr>
          <w:noProof/>
        </w:rPr>
        <w:t xml:space="preserve"> transformation</w:t>
      </w:r>
      <w:r w:rsidR="003D168F">
        <w:rPr>
          <w:noProof/>
        </w:rPr>
        <w:t xml:space="preserve">. </w:t>
      </w:r>
      <w:r w:rsidR="00354D46">
        <w:rPr>
          <w:noProof/>
        </w:rPr>
        <w:t xml:space="preserve">The </w:t>
      </w:r>
      <w:r w:rsidR="7EBE7E00">
        <w:rPr>
          <w:noProof/>
        </w:rPr>
        <w:t xml:space="preserve">percentage </w:t>
      </w:r>
      <w:r w:rsidR="00CB4E2D">
        <w:rPr>
          <w:noProof/>
        </w:rPr>
        <w:t xml:space="preserve">of small </w:t>
      </w:r>
      <w:r w:rsidR="006757AC">
        <w:rPr>
          <w:noProof/>
        </w:rPr>
        <w:t xml:space="preserve">and mid-sized </w:t>
      </w:r>
      <w:r w:rsidR="00CB4E2D">
        <w:rPr>
          <w:noProof/>
        </w:rPr>
        <w:t xml:space="preserve">companies benefitting </w:t>
      </w:r>
      <w:r w:rsidR="006A4C02">
        <w:rPr>
          <w:noProof/>
        </w:rPr>
        <w:t xml:space="preserve">respectively </w:t>
      </w:r>
      <w:r w:rsidR="00CB4E2D">
        <w:rPr>
          <w:noProof/>
        </w:rPr>
        <w:t xml:space="preserve">from the EUR 10 000 </w:t>
      </w:r>
      <w:r w:rsidR="006A4C02">
        <w:rPr>
          <w:noProof/>
        </w:rPr>
        <w:t xml:space="preserve">and EUR 25 000 </w:t>
      </w:r>
      <w:r w:rsidR="00CB4E2D">
        <w:rPr>
          <w:noProof/>
        </w:rPr>
        <w:t>grant is 2</w:t>
      </w:r>
      <w:r w:rsidR="306CBAA2">
        <w:rPr>
          <w:noProof/>
        </w:rPr>
        <w:t>%</w:t>
      </w:r>
      <w:r w:rsidR="006A4C02">
        <w:rPr>
          <w:noProof/>
        </w:rPr>
        <w:t>.</w:t>
      </w:r>
      <w:r w:rsidR="00CB4E2D">
        <w:rPr>
          <w:noProof/>
        </w:rPr>
        <w:t xml:space="preserve"> </w:t>
      </w:r>
    </w:p>
    <w:p w14:paraId="390E7AA4" w14:textId="2EF48578" w:rsidR="00015693" w:rsidRDefault="00015693" w:rsidP="00015693">
      <w:pPr>
        <w:rPr>
          <w:noProof/>
        </w:rPr>
      </w:pPr>
      <w:r w:rsidRPr="0007547C">
        <w:rPr>
          <w:b/>
          <w:noProof/>
        </w:rPr>
        <w:t xml:space="preserve">Indirect </w:t>
      </w:r>
      <w:r w:rsidR="00690805">
        <w:rPr>
          <w:b/>
          <w:noProof/>
        </w:rPr>
        <w:t>savings</w:t>
      </w:r>
      <w:r w:rsidRPr="0007547C">
        <w:rPr>
          <w:b/>
          <w:noProof/>
        </w:rPr>
        <w:t xml:space="preserve">: </w:t>
      </w:r>
      <w:r w:rsidRPr="0007547C">
        <w:rPr>
          <w:noProof/>
        </w:rPr>
        <w:t xml:space="preserve">the expected increase in the adoption of </w:t>
      </w:r>
      <w:r w:rsidR="0001203E">
        <w:rPr>
          <w:noProof/>
        </w:rPr>
        <w:t>cloud</w:t>
      </w:r>
      <w:r w:rsidRPr="0007547C">
        <w:rPr>
          <w:noProof/>
        </w:rPr>
        <w:t xml:space="preserve"> and AI </w:t>
      </w:r>
      <w:r w:rsidR="00A24504">
        <w:rPr>
          <w:noProof/>
        </w:rPr>
        <w:t xml:space="preserve">computing </w:t>
      </w:r>
      <w:r w:rsidRPr="0007547C">
        <w:rPr>
          <w:noProof/>
        </w:rPr>
        <w:t>services in European SMEs from different sectors resulting from this initiative is discussed in section</w:t>
      </w:r>
      <w:r>
        <w:rPr>
          <w:noProof/>
        </w:rPr>
        <w:t xml:space="preserve"> </w:t>
      </w:r>
      <w:r>
        <w:rPr>
          <w:noProof/>
        </w:rPr>
        <w:fldChar w:fldCharType="begin"/>
      </w:r>
      <w:r>
        <w:rPr>
          <w:noProof/>
        </w:rPr>
        <w:instrText xml:space="preserve"> REF _Ref214562278 \r \h </w:instrText>
      </w:r>
      <w:r>
        <w:rPr>
          <w:noProof/>
        </w:rPr>
      </w:r>
      <w:r>
        <w:rPr>
          <w:noProof/>
        </w:rPr>
        <w:fldChar w:fldCharType="separate"/>
      </w:r>
      <w:r w:rsidR="000E7F11">
        <w:rPr>
          <w:noProof/>
        </w:rPr>
        <w:t>2.5</w:t>
      </w:r>
      <w:r>
        <w:rPr>
          <w:noProof/>
        </w:rPr>
        <w:fldChar w:fldCharType="end"/>
      </w:r>
      <w:r w:rsidR="00311333">
        <w:rPr>
          <w:noProof/>
        </w:rPr>
        <w:t>.5</w:t>
      </w:r>
      <w:r w:rsidR="00C53E4F">
        <w:rPr>
          <w:noProof/>
        </w:rPr>
        <w:t xml:space="preserve"> of this </w:t>
      </w:r>
      <w:r w:rsidR="003D168F">
        <w:rPr>
          <w:noProof/>
        </w:rPr>
        <w:t>a</w:t>
      </w:r>
      <w:r w:rsidR="00C53E4F">
        <w:rPr>
          <w:noProof/>
        </w:rPr>
        <w:t>nnex</w:t>
      </w:r>
      <w:r>
        <w:rPr>
          <w:noProof/>
        </w:rPr>
        <w:t>.</w:t>
      </w:r>
    </w:p>
    <w:p w14:paraId="7B83AD22" w14:textId="4D201776" w:rsidR="00015693" w:rsidRDefault="00015693" w:rsidP="00015693">
      <w:pPr>
        <w:rPr>
          <w:noProof/>
        </w:rPr>
      </w:pPr>
      <w:r w:rsidRPr="0007547C">
        <w:rPr>
          <w:b/>
          <w:noProof/>
        </w:rPr>
        <w:t>Sensitivity analysis:</w:t>
      </w:r>
      <w:r w:rsidRPr="0007547C">
        <w:rPr>
          <w:noProof/>
        </w:rPr>
        <w:t xml:space="preserve"> </w:t>
      </w:r>
      <w:r w:rsidRPr="00395ECE">
        <w:rPr>
          <w:noProof/>
        </w:rPr>
        <w:t xml:space="preserve">The policy measure depends mainly on the </w:t>
      </w:r>
      <w:r>
        <w:rPr>
          <w:noProof/>
        </w:rPr>
        <w:t>targeted</w:t>
      </w:r>
      <w:r w:rsidRPr="00395ECE">
        <w:rPr>
          <w:noProof/>
        </w:rPr>
        <w:t xml:space="preserve"> reach (% of benefitted SME</w:t>
      </w:r>
      <w:r>
        <w:rPr>
          <w:noProof/>
        </w:rPr>
        <w:t>).</w:t>
      </w:r>
    </w:p>
    <w:p w14:paraId="0595DD1A" w14:textId="45A85E95" w:rsidR="00015693" w:rsidRDefault="00015693" w:rsidP="00015693">
      <w:pPr>
        <w:rPr>
          <w:noProof/>
        </w:rPr>
      </w:pPr>
      <w:r w:rsidRPr="00DA029C">
        <w:rPr>
          <w:b/>
          <w:bCs/>
          <w:noProof/>
        </w:rPr>
        <w:t>Results</w:t>
      </w:r>
      <w:r w:rsidRPr="009457AC">
        <w:rPr>
          <w:noProof/>
        </w:rPr>
        <w:t xml:space="preserve"> for all stakeholders aggregated and for the years covered by this measure are summarised in the table below. </w:t>
      </w:r>
    </w:p>
    <w:p w14:paraId="614FE9B6" w14:textId="659CD39E" w:rsidR="00015693" w:rsidRDefault="00015693" w:rsidP="00015693">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43</w:t>
      </w:r>
      <w:r>
        <w:rPr>
          <w:noProof/>
        </w:rPr>
        <w:fldChar w:fldCharType="end"/>
      </w:r>
      <w:r>
        <w:rPr>
          <w:noProof/>
        </w:rPr>
        <w:t xml:space="preserve">. </w:t>
      </w:r>
      <w:r w:rsidRPr="00437F91">
        <w:rPr>
          <w:rFonts w:eastAsia="Times New Roman"/>
          <w:bCs/>
          <w:noProof/>
        </w:rPr>
        <w:t>Financial support for SMEs to adopt cloud and AI</w:t>
      </w:r>
      <w:r>
        <w:rPr>
          <w:rFonts w:eastAsia="Times New Roman"/>
          <w:bCs/>
          <w:noProof/>
        </w:rPr>
        <w:t xml:space="preserve"> (PM23)</w:t>
      </w:r>
    </w:p>
    <w:tbl>
      <w:tblPr>
        <w:tblStyle w:val="TableGrid"/>
        <w:tblW w:w="9639" w:type="dxa"/>
        <w:tblInd w:w="-567" w:type="dxa"/>
        <w:tblLayout w:type="fixed"/>
        <w:tblCellMar>
          <w:left w:w="0" w:type="dxa"/>
          <w:right w:w="0" w:type="dxa"/>
        </w:tblCellMar>
        <w:tblLook w:val="04A0" w:firstRow="1" w:lastRow="0" w:firstColumn="1" w:lastColumn="0" w:noHBand="0" w:noVBand="1"/>
      </w:tblPr>
      <w:tblGrid>
        <w:gridCol w:w="1972"/>
        <w:gridCol w:w="1565"/>
        <w:gridCol w:w="990"/>
        <w:gridCol w:w="1274"/>
        <w:gridCol w:w="1274"/>
        <w:gridCol w:w="1274"/>
        <w:gridCol w:w="1273"/>
        <w:gridCol w:w="17"/>
      </w:tblGrid>
      <w:tr w:rsidR="003A2DB2" w:rsidRPr="00FA63C0" w14:paraId="119B20D7" w14:textId="77777777" w:rsidTr="00FB7BD9">
        <w:trPr>
          <w:trHeight w:val="506"/>
          <w:tblHeader/>
        </w:trPr>
        <w:tc>
          <w:tcPr>
            <w:tcW w:w="1976" w:type="dxa"/>
            <w:tcBorders>
              <w:bottom w:val="single" w:sz="12" w:space="0" w:color="00B0F0"/>
            </w:tcBorders>
            <w:noWrap/>
            <w:hideMark/>
          </w:tcPr>
          <w:p w14:paraId="3DAAE46B" w14:textId="77777777" w:rsidR="00FA01FB" w:rsidRPr="00FA63C0" w:rsidRDefault="00FA01FB">
            <w:pPr>
              <w:spacing w:after="0"/>
              <w:ind w:left="-139" w:firstLine="139"/>
              <w:jc w:val="left"/>
              <w:rPr>
                <w:b/>
                <w:bCs/>
                <w:noProof/>
                <w:sz w:val="20"/>
                <w:szCs w:val="20"/>
                <w:lang w:val="en-IE" w:eastAsia="en-IE"/>
              </w:rPr>
            </w:pPr>
            <w:r w:rsidRPr="00FA63C0">
              <w:rPr>
                <w:b/>
                <w:bCs/>
                <w:noProof/>
                <w:sz w:val="20"/>
                <w:szCs w:val="20"/>
                <w:lang w:val="en-IE" w:eastAsia="en-IE"/>
              </w:rPr>
              <w:t>Cost types</w:t>
            </w:r>
          </w:p>
        </w:tc>
        <w:tc>
          <w:tcPr>
            <w:tcW w:w="1568" w:type="dxa"/>
            <w:tcBorders>
              <w:bottom w:val="single" w:sz="12" w:space="0" w:color="00B0F0"/>
            </w:tcBorders>
          </w:tcPr>
          <w:p w14:paraId="6009AD1E" w14:textId="0453E84A" w:rsidR="00FA01FB" w:rsidRPr="00FA63C0" w:rsidRDefault="001712A0">
            <w:pPr>
              <w:spacing w:after="0"/>
              <w:jc w:val="center"/>
              <w:rPr>
                <w:b/>
                <w:bCs/>
                <w:noProof/>
                <w:sz w:val="20"/>
                <w:szCs w:val="20"/>
                <w:lang w:val="en-IE" w:eastAsia="en-IE"/>
              </w:rPr>
            </w:pPr>
            <w:r>
              <w:rPr>
                <w:b/>
                <w:bCs/>
                <w:noProof/>
                <w:sz w:val="20"/>
                <w:szCs w:val="20"/>
                <w:lang w:val="en-IE" w:eastAsia="en-IE"/>
              </w:rPr>
              <w:t>SMEs</w:t>
            </w:r>
            <w:r w:rsidR="00FA01FB">
              <w:rPr>
                <w:b/>
                <w:bCs/>
                <w:noProof/>
                <w:sz w:val="20"/>
                <w:szCs w:val="20"/>
                <w:lang w:val="en-IE" w:eastAsia="en-IE"/>
              </w:rPr>
              <w:t xml:space="preserve"> </w:t>
            </w:r>
            <w:r w:rsidR="00FA01FB" w:rsidRPr="00FA63C0">
              <w:rPr>
                <w:noProof/>
                <w:sz w:val="20"/>
                <w:szCs w:val="20"/>
                <w:lang w:val="en-IE" w:eastAsia="en-IE"/>
              </w:rPr>
              <w:t>(</w:t>
            </w:r>
            <w:r w:rsidR="00FA01FB" w:rsidRPr="00EC6BC1">
              <w:rPr>
                <w:noProof/>
                <w:sz w:val="20"/>
                <w:szCs w:val="20"/>
              </w:rPr>
              <w:t>€)</w:t>
            </w:r>
          </w:p>
        </w:tc>
        <w:tc>
          <w:tcPr>
            <w:tcW w:w="992" w:type="dxa"/>
            <w:tcBorders>
              <w:bottom w:val="single" w:sz="12" w:space="0" w:color="00B0F0"/>
            </w:tcBorders>
          </w:tcPr>
          <w:p w14:paraId="6E434657" w14:textId="77777777" w:rsidR="00FA01FB" w:rsidRPr="00FA63C0" w:rsidRDefault="00FA01FB">
            <w:pPr>
              <w:spacing w:after="0"/>
              <w:jc w:val="center"/>
              <w:rPr>
                <w:b/>
                <w:bCs/>
                <w:noProof/>
                <w:sz w:val="20"/>
                <w:szCs w:val="20"/>
                <w:lang w:val="en-IE" w:eastAsia="en-IE"/>
              </w:rPr>
            </w:pPr>
            <w:r w:rsidRPr="00FA63C0">
              <w:rPr>
                <w:b/>
                <w:bCs/>
                <w:noProof/>
                <w:sz w:val="20"/>
                <w:szCs w:val="20"/>
                <w:lang w:val="en-IE" w:eastAsia="en-IE"/>
              </w:rPr>
              <w:t>Public authorities</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76" w:type="dxa"/>
            <w:tcBorders>
              <w:bottom w:val="single" w:sz="12" w:space="0" w:color="00B0F0"/>
            </w:tcBorders>
          </w:tcPr>
          <w:p w14:paraId="25EE6DC5" w14:textId="77777777" w:rsidR="00FA01FB" w:rsidRPr="00FA63C0" w:rsidRDefault="00FA01FB">
            <w:pPr>
              <w:spacing w:after="0"/>
              <w:jc w:val="center"/>
              <w:rPr>
                <w:b/>
                <w:bCs/>
                <w:noProof/>
                <w:sz w:val="20"/>
                <w:szCs w:val="20"/>
                <w:lang w:val="en-IE" w:eastAsia="en-IE"/>
              </w:rPr>
            </w:pPr>
            <w:r w:rsidRPr="00FA63C0">
              <w:rPr>
                <w:b/>
                <w:bCs/>
                <w:noProof/>
                <w:sz w:val="20"/>
                <w:szCs w:val="20"/>
                <w:lang w:val="en-IE" w:eastAsia="en-IE"/>
              </w:rPr>
              <w:t>European Commission</w:t>
            </w:r>
            <w:r>
              <w:rPr>
                <w:b/>
                <w:bCs/>
                <w:noProof/>
                <w:sz w:val="20"/>
                <w:szCs w:val="20"/>
                <w:lang w:val="en-IE" w:eastAsia="en-IE"/>
              </w:rPr>
              <w:t xml:space="preserve"> </w:t>
            </w:r>
            <w:r w:rsidRPr="00FA63C0">
              <w:rPr>
                <w:noProof/>
                <w:sz w:val="20"/>
                <w:szCs w:val="20"/>
                <w:lang w:val="en-IE" w:eastAsia="en-IE"/>
              </w:rPr>
              <w:t>(</w:t>
            </w:r>
            <w:r w:rsidRPr="00EC6BC1">
              <w:rPr>
                <w:noProof/>
                <w:sz w:val="20"/>
                <w:szCs w:val="20"/>
              </w:rPr>
              <w:t>€)</w:t>
            </w:r>
          </w:p>
        </w:tc>
        <w:tc>
          <w:tcPr>
            <w:tcW w:w="1276" w:type="dxa"/>
            <w:tcBorders>
              <w:bottom w:val="single" w:sz="12" w:space="0" w:color="00B0F0"/>
            </w:tcBorders>
            <w:noWrap/>
            <w:hideMark/>
          </w:tcPr>
          <w:p w14:paraId="46F5E347" w14:textId="77777777" w:rsidR="00FA01FB" w:rsidRPr="00FA63C0" w:rsidRDefault="00FA01FB">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central, </w:t>
            </w:r>
            <w:r w:rsidRPr="00EC6BC1">
              <w:rPr>
                <w:noProof/>
                <w:sz w:val="20"/>
                <w:szCs w:val="20"/>
              </w:rPr>
              <w:t>€)</w:t>
            </w:r>
          </w:p>
        </w:tc>
        <w:tc>
          <w:tcPr>
            <w:tcW w:w="1276" w:type="dxa"/>
            <w:tcBorders>
              <w:bottom w:val="single" w:sz="12" w:space="0" w:color="00B0F0"/>
            </w:tcBorders>
            <w:noWrap/>
            <w:hideMark/>
          </w:tcPr>
          <w:p w14:paraId="621CE3EC" w14:textId="77777777" w:rsidR="00FA01FB" w:rsidRPr="00EC6BC1" w:rsidRDefault="00FA01FB">
            <w:pPr>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min, </w:t>
            </w:r>
            <w:r w:rsidRPr="00EC6BC1">
              <w:rPr>
                <w:noProof/>
                <w:sz w:val="20"/>
                <w:szCs w:val="20"/>
              </w:rPr>
              <w:t>€)</w:t>
            </w:r>
          </w:p>
        </w:tc>
        <w:tc>
          <w:tcPr>
            <w:tcW w:w="1275" w:type="dxa"/>
            <w:gridSpan w:val="2"/>
            <w:tcBorders>
              <w:bottom w:val="single" w:sz="12" w:space="0" w:color="00B0F0"/>
            </w:tcBorders>
            <w:noWrap/>
            <w:hideMark/>
          </w:tcPr>
          <w:p w14:paraId="0960B95E" w14:textId="77777777" w:rsidR="00FA01FB" w:rsidRPr="00FA63C0" w:rsidRDefault="00FA01FB">
            <w:pPr>
              <w:tabs>
                <w:tab w:val="left" w:pos="110"/>
              </w:tabs>
              <w:spacing w:after="0"/>
              <w:jc w:val="center"/>
              <w:rPr>
                <w:b/>
                <w:bCs/>
                <w:noProof/>
                <w:sz w:val="20"/>
                <w:szCs w:val="20"/>
                <w:lang w:val="en-IE" w:eastAsia="en-IE"/>
              </w:rPr>
            </w:pPr>
            <w:r>
              <w:rPr>
                <w:b/>
                <w:bCs/>
                <w:noProof/>
                <w:sz w:val="20"/>
                <w:szCs w:val="20"/>
                <w:lang w:val="en-IE" w:eastAsia="en-IE"/>
              </w:rPr>
              <w:t xml:space="preserve">Total </w:t>
            </w:r>
            <w:r w:rsidRPr="00FA63C0">
              <w:rPr>
                <w:b/>
                <w:bCs/>
                <w:noProof/>
                <w:sz w:val="20"/>
                <w:szCs w:val="20"/>
                <w:lang w:val="en-IE" w:eastAsia="en-IE"/>
              </w:rPr>
              <w:t>Valu</w:t>
            </w:r>
            <w:r>
              <w:rPr>
                <w:b/>
                <w:bCs/>
                <w:noProof/>
                <w:sz w:val="20"/>
                <w:szCs w:val="20"/>
                <w:lang w:val="en-IE" w:eastAsia="en-IE"/>
              </w:rPr>
              <w:t xml:space="preserve">e </w:t>
            </w:r>
            <w:r w:rsidRPr="00FA63C0">
              <w:rPr>
                <w:noProof/>
                <w:sz w:val="20"/>
                <w:szCs w:val="20"/>
                <w:lang w:val="en-IE" w:eastAsia="en-IE"/>
              </w:rPr>
              <w:t>(</w:t>
            </w:r>
            <w:r>
              <w:rPr>
                <w:noProof/>
                <w:sz w:val="20"/>
                <w:szCs w:val="20"/>
                <w:lang w:val="en-IE" w:eastAsia="en-IE"/>
              </w:rPr>
              <w:t xml:space="preserve">max, </w:t>
            </w:r>
            <w:r w:rsidRPr="00EC6BC1">
              <w:rPr>
                <w:noProof/>
                <w:sz w:val="20"/>
                <w:szCs w:val="20"/>
              </w:rPr>
              <w:t>€)</w:t>
            </w:r>
          </w:p>
        </w:tc>
      </w:tr>
      <w:tr w:rsidR="003A2DB2" w:rsidRPr="00D74ABD" w14:paraId="55E4343E" w14:textId="77777777" w:rsidTr="00FB7BD9">
        <w:trPr>
          <w:trHeight w:val="283"/>
        </w:trPr>
        <w:tc>
          <w:tcPr>
            <w:tcW w:w="1976" w:type="dxa"/>
            <w:tcBorders>
              <w:top w:val="single" w:sz="12" w:space="0" w:color="00B0F0"/>
            </w:tcBorders>
            <w:noWrap/>
            <w:hideMark/>
          </w:tcPr>
          <w:p w14:paraId="39E8B58C" w14:textId="77777777" w:rsidR="00FA01FB" w:rsidRPr="00FA63C0" w:rsidRDefault="00FA01FB" w:rsidP="00FA01FB">
            <w:pPr>
              <w:spacing w:after="0"/>
              <w:jc w:val="left"/>
              <w:rPr>
                <w:i/>
                <w:iCs/>
                <w:noProof/>
                <w:sz w:val="20"/>
                <w:szCs w:val="20"/>
                <w:lang w:val="en-IE" w:eastAsia="en-IE"/>
              </w:rPr>
            </w:pPr>
            <w:r w:rsidRPr="00FA63C0">
              <w:rPr>
                <w:i/>
                <w:iCs/>
                <w:noProof/>
                <w:sz w:val="20"/>
                <w:szCs w:val="20"/>
                <w:lang w:val="en-IE" w:eastAsia="en-IE"/>
              </w:rPr>
              <w:t>one-off admin</w:t>
            </w:r>
            <w:r>
              <w:rPr>
                <w:i/>
                <w:iCs/>
                <w:noProof/>
                <w:sz w:val="20"/>
                <w:szCs w:val="20"/>
                <w:lang w:val="en-IE" w:eastAsia="en-IE"/>
              </w:rPr>
              <w:t>istrative</w:t>
            </w:r>
          </w:p>
        </w:tc>
        <w:tc>
          <w:tcPr>
            <w:tcW w:w="1568" w:type="dxa"/>
            <w:tcBorders>
              <w:top w:val="single" w:sz="12" w:space="0" w:color="00B0F0"/>
            </w:tcBorders>
          </w:tcPr>
          <w:p w14:paraId="2F8999AC" w14:textId="40B3B0DA" w:rsidR="00FA01FB" w:rsidRPr="00FA63C0" w:rsidRDefault="00413742" w:rsidP="00FA01FB">
            <w:pPr>
              <w:spacing w:after="0"/>
              <w:jc w:val="right"/>
              <w:rPr>
                <w:noProof/>
                <w:sz w:val="20"/>
                <w:szCs w:val="20"/>
                <w:lang w:val="en-IE" w:eastAsia="en-IE"/>
              </w:rPr>
            </w:pPr>
            <w:r w:rsidRPr="00F862D1">
              <w:rPr>
                <w:noProof/>
                <w:sz w:val="20"/>
                <w:szCs w:val="20"/>
                <w:lang w:val="en-IE" w:eastAsia="en-IE"/>
              </w:rPr>
              <w:t>55</w:t>
            </w:r>
            <w:r>
              <w:rPr>
                <w:noProof/>
                <w:sz w:val="20"/>
                <w:szCs w:val="20"/>
                <w:lang w:val="en-IE" w:eastAsia="en-IE"/>
              </w:rPr>
              <w:t xml:space="preserve"> </w:t>
            </w:r>
            <w:r w:rsidRPr="00F862D1">
              <w:rPr>
                <w:noProof/>
                <w:sz w:val="20"/>
                <w:szCs w:val="20"/>
                <w:lang w:val="en-IE" w:eastAsia="en-IE"/>
              </w:rPr>
              <w:t>373</w:t>
            </w:r>
            <w:r>
              <w:rPr>
                <w:noProof/>
                <w:sz w:val="20"/>
                <w:szCs w:val="20"/>
                <w:lang w:val="en-IE" w:eastAsia="en-IE"/>
              </w:rPr>
              <w:t xml:space="preserve"> </w:t>
            </w:r>
            <w:r w:rsidRPr="00F862D1">
              <w:rPr>
                <w:noProof/>
                <w:sz w:val="20"/>
                <w:szCs w:val="20"/>
                <w:lang w:val="en-IE" w:eastAsia="en-IE"/>
              </w:rPr>
              <w:t>982</w:t>
            </w:r>
          </w:p>
        </w:tc>
        <w:tc>
          <w:tcPr>
            <w:tcW w:w="992" w:type="dxa"/>
            <w:tcBorders>
              <w:top w:val="single" w:sz="12" w:space="0" w:color="00B0F0"/>
            </w:tcBorders>
          </w:tcPr>
          <w:p w14:paraId="4CD91ED8" w14:textId="4CD6AB92"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tcBorders>
              <w:top w:val="single" w:sz="12" w:space="0" w:color="00B0F0"/>
            </w:tcBorders>
          </w:tcPr>
          <w:p w14:paraId="4081299F" w14:textId="0774D620" w:rsidR="00FA01FB" w:rsidRPr="00FA63C0" w:rsidRDefault="00413742" w:rsidP="00FA01FB">
            <w:pPr>
              <w:spacing w:after="0"/>
              <w:jc w:val="right"/>
              <w:rPr>
                <w:noProof/>
                <w:sz w:val="20"/>
                <w:szCs w:val="20"/>
                <w:lang w:val="en-IE" w:eastAsia="en-IE"/>
              </w:rPr>
            </w:pPr>
            <w:r w:rsidRPr="005B15E8">
              <w:rPr>
                <w:noProof/>
                <w:sz w:val="20"/>
                <w:szCs w:val="20"/>
              </w:rPr>
              <w:t>84</w:t>
            </w:r>
            <w:r>
              <w:rPr>
                <w:noProof/>
                <w:sz w:val="20"/>
                <w:szCs w:val="20"/>
              </w:rPr>
              <w:t xml:space="preserve"> </w:t>
            </w:r>
            <w:r w:rsidRPr="005B15E8">
              <w:rPr>
                <w:noProof/>
                <w:sz w:val="20"/>
                <w:szCs w:val="20"/>
              </w:rPr>
              <w:t xml:space="preserve">269 </w:t>
            </w:r>
          </w:p>
        </w:tc>
        <w:tc>
          <w:tcPr>
            <w:tcW w:w="1276" w:type="dxa"/>
            <w:tcBorders>
              <w:top w:val="single" w:sz="12" w:space="0" w:color="00B0F0"/>
            </w:tcBorders>
            <w:noWrap/>
          </w:tcPr>
          <w:p w14:paraId="36269AD8" w14:textId="1DE5941D" w:rsidR="00FA01FB" w:rsidRPr="00FA01FB" w:rsidRDefault="00FA01FB" w:rsidP="00FA01FB">
            <w:pPr>
              <w:spacing w:after="0"/>
              <w:jc w:val="right"/>
              <w:rPr>
                <w:noProof/>
                <w:sz w:val="20"/>
                <w:szCs w:val="20"/>
                <w:lang w:val="en-IE" w:eastAsia="en-IE"/>
              </w:rPr>
            </w:pPr>
            <w:r w:rsidRPr="005B15E8">
              <w:rPr>
                <w:noProof/>
                <w:sz w:val="20"/>
                <w:szCs w:val="20"/>
              </w:rPr>
              <w:t xml:space="preserve"> 55 458 251 </w:t>
            </w:r>
          </w:p>
        </w:tc>
        <w:tc>
          <w:tcPr>
            <w:tcW w:w="1276" w:type="dxa"/>
            <w:tcBorders>
              <w:top w:val="single" w:sz="12" w:space="0" w:color="00B0F0"/>
            </w:tcBorders>
            <w:noWrap/>
          </w:tcPr>
          <w:p w14:paraId="020F2165" w14:textId="79A2D040" w:rsidR="00FA01FB" w:rsidRPr="00FA01FB" w:rsidRDefault="00FA01FB" w:rsidP="00FA01FB">
            <w:pPr>
              <w:spacing w:after="0"/>
              <w:jc w:val="right"/>
              <w:rPr>
                <w:noProof/>
                <w:sz w:val="20"/>
                <w:szCs w:val="20"/>
                <w:lang w:val="en-IE" w:eastAsia="en-IE"/>
              </w:rPr>
            </w:pPr>
            <w:r w:rsidRPr="005B15E8">
              <w:rPr>
                <w:noProof/>
                <w:sz w:val="20"/>
                <w:szCs w:val="20"/>
              </w:rPr>
              <w:t xml:space="preserve">27 725 295 </w:t>
            </w:r>
          </w:p>
        </w:tc>
        <w:tc>
          <w:tcPr>
            <w:tcW w:w="1275" w:type="dxa"/>
            <w:gridSpan w:val="2"/>
            <w:tcBorders>
              <w:top w:val="single" w:sz="12" w:space="0" w:color="00B0F0"/>
            </w:tcBorders>
            <w:noWrap/>
          </w:tcPr>
          <w:p w14:paraId="1980D9C3" w14:textId="4AD97D73" w:rsidR="00FA01FB" w:rsidRPr="00FA01FB" w:rsidRDefault="00FA01FB" w:rsidP="00FA01FB">
            <w:pPr>
              <w:spacing w:after="0"/>
              <w:jc w:val="right"/>
              <w:rPr>
                <w:noProof/>
                <w:sz w:val="20"/>
                <w:szCs w:val="20"/>
                <w:lang w:val="en-IE" w:eastAsia="en-IE"/>
              </w:rPr>
            </w:pPr>
            <w:r w:rsidRPr="005B15E8">
              <w:rPr>
                <w:noProof/>
                <w:sz w:val="20"/>
                <w:szCs w:val="20"/>
              </w:rPr>
              <w:t xml:space="preserve"> 83 443 215 </w:t>
            </w:r>
          </w:p>
        </w:tc>
      </w:tr>
      <w:tr w:rsidR="00FA01FB" w:rsidRPr="00D74ABD" w14:paraId="7CDAA1E6" w14:textId="77777777" w:rsidTr="00FB7BD9">
        <w:trPr>
          <w:trHeight w:val="283"/>
        </w:trPr>
        <w:tc>
          <w:tcPr>
            <w:tcW w:w="1976" w:type="dxa"/>
            <w:noWrap/>
            <w:hideMark/>
          </w:tcPr>
          <w:p w14:paraId="442A9604" w14:textId="77777777" w:rsidR="00FA01FB" w:rsidRPr="00FA63C0" w:rsidRDefault="00FA01FB" w:rsidP="00FA01FB">
            <w:pPr>
              <w:spacing w:after="0"/>
              <w:jc w:val="left"/>
              <w:rPr>
                <w:i/>
                <w:iCs/>
                <w:noProof/>
                <w:sz w:val="20"/>
                <w:szCs w:val="20"/>
                <w:lang w:val="en-IE" w:eastAsia="en-IE"/>
              </w:rPr>
            </w:pPr>
            <w:r w:rsidRPr="00FA63C0">
              <w:rPr>
                <w:i/>
                <w:iCs/>
                <w:noProof/>
                <w:sz w:val="20"/>
                <w:szCs w:val="20"/>
                <w:lang w:val="en-IE" w:eastAsia="en-IE"/>
              </w:rPr>
              <w:t>recurrent admin</w:t>
            </w:r>
            <w:r>
              <w:rPr>
                <w:i/>
                <w:iCs/>
                <w:noProof/>
                <w:sz w:val="20"/>
                <w:szCs w:val="20"/>
                <w:lang w:val="en-IE" w:eastAsia="en-IE"/>
              </w:rPr>
              <w:t>istrative</w:t>
            </w:r>
          </w:p>
        </w:tc>
        <w:tc>
          <w:tcPr>
            <w:tcW w:w="1568" w:type="dxa"/>
          </w:tcPr>
          <w:p w14:paraId="30C9FD95" w14:textId="71333490"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992" w:type="dxa"/>
          </w:tcPr>
          <w:p w14:paraId="501206B5" w14:textId="6280E4AA"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tcPr>
          <w:p w14:paraId="5E9835D4" w14:textId="30778A04"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noWrap/>
          </w:tcPr>
          <w:p w14:paraId="1055EB52" w14:textId="152029C5" w:rsidR="00FA01FB" w:rsidRPr="00D74ABD" w:rsidRDefault="00FA01FB" w:rsidP="00FA01FB">
            <w:pPr>
              <w:spacing w:after="0"/>
              <w:jc w:val="right"/>
              <w:rPr>
                <w:noProof/>
                <w:sz w:val="20"/>
                <w:szCs w:val="20"/>
                <w:lang w:val="en-IE" w:eastAsia="en-IE"/>
              </w:rPr>
            </w:pPr>
            <w:r w:rsidRPr="00FA63C0">
              <w:rPr>
                <w:noProof/>
                <w:sz w:val="20"/>
                <w:szCs w:val="20"/>
              </w:rPr>
              <w:t xml:space="preserve"> -   </w:t>
            </w:r>
          </w:p>
        </w:tc>
        <w:tc>
          <w:tcPr>
            <w:tcW w:w="1276" w:type="dxa"/>
            <w:noWrap/>
          </w:tcPr>
          <w:p w14:paraId="4B317271" w14:textId="1A5C5523" w:rsidR="00FA01FB" w:rsidRPr="00D74ABD" w:rsidRDefault="00FA01FB" w:rsidP="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43004818" w14:textId="4AAE936F" w:rsidR="00FA01FB" w:rsidRPr="00D74ABD" w:rsidRDefault="00FA01FB" w:rsidP="00FA01FB">
            <w:pPr>
              <w:spacing w:after="0"/>
              <w:jc w:val="right"/>
              <w:rPr>
                <w:noProof/>
                <w:sz w:val="20"/>
                <w:szCs w:val="20"/>
                <w:lang w:val="en-IE" w:eastAsia="en-IE"/>
              </w:rPr>
            </w:pPr>
            <w:r w:rsidRPr="00FA63C0">
              <w:rPr>
                <w:noProof/>
                <w:sz w:val="20"/>
                <w:szCs w:val="20"/>
              </w:rPr>
              <w:t xml:space="preserve"> -   </w:t>
            </w:r>
          </w:p>
        </w:tc>
      </w:tr>
      <w:tr w:rsidR="00FA01FB" w:rsidRPr="00D74ABD" w14:paraId="4635988C" w14:textId="77777777" w:rsidTr="00FB7BD9">
        <w:trPr>
          <w:trHeight w:val="283"/>
        </w:trPr>
        <w:tc>
          <w:tcPr>
            <w:tcW w:w="1976" w:type="dxa"/>
            <w:noWrap/>
            <w:hideMark/>
          </w:tcPr>
          <w:p w14:paraId="6A81E4F2" w14:textId="77777777" w:rsidR="00FA01FB" w:rsidRPr="00FA63C0" w:rsidRDefault="00FA01FB" w:rsidP="00FA01FB">
            <w:pPr>
              <w:spacing w:after="0"/>
              <w:jc w:val="left"/>
              <w:rPr>
                <w:i/>
                <w:iCs/>
                <w:noProof/>
                <w:sz w:val="20"/>
                <w:szCs w:val="20"/>
                <w:lang w:val="en-IE" w:eastAsia="en-IE"/>
              </w:rPr>
            </w:pPr>
            <w:r w:rsidRPr="00FA63C0">
              <w:rPr>
                <w:i/>
                <w:iCs/>
                <w:noProof/>
                <w:sz w:val="20"/>
                <w:szCs w:val="20"/>
                <w:lang w:val="en-IE" w:eastAsia="en-IE"/>
              </w:rPr>
              <w:t>one-off adjustment</w:t>
            </w:r>
          </w:p>
        </w:tc>
        <w:tc>
          <w:tcPr>
            <w:tcW w:w="1568" w:type="dxa"/>
          </w:tcPr>
          <w:p w14:paraId="14390370" w14:textId="547460C3"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992" w:type="dxa"/>
          </w:tcPr>
          <w:p w14:paraId="6A45AC43" w14:textId="05D14BCB"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tcPr>
          <w:p w14:paraId="0DEE789C" w14:textId="3245F5DE"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noWrap/>
          </w:tcPr>
          <w:p w14:paraId="1095AC3A" w14:textId="07DAD328" w:rsidR="00FA01FB" w:rsidRPr="00D74ABD" w:rsidRDefault="00FA01FB" w:rsidP="00FA01FB">
            <w:pPr>
              <w:spacing w:after="0"/>
              <w:jc w:val="right"/>
              <w:rPr>
                <w:noProof/>
                <w:sz w:val="20"/>
                <w:szCs w:val="20"/>
                <w:lang w:val="en-IE" w:eastAsia="en-IE"/>
              </w:rPr>
            </w:pPr>
            <w:r w:rsidRPr="00FA63C0">
              <w:rPr>
                <w:noProof/>
                <w:sz w:val="20"/>
                <w:szCs w:val="20"/>
              </w:rPr>
              <w:t xml:space="preserve"> -   </w:t>
            </w:r>
          </w:p>
        </w:tc>
        <w:tc>
          <w:tcPr>
            <w:tcW w:w="1276" w:type="dxa"/>
            <w:noWrap/>
          </w:tcPr>
          <w:p w14:paraId="58FCDF59" w14:textId="13F2B65B" w:rsidR="00FA01FB" w:rsidRPr="00D74ABD" w:rsidRDefault="00FA01FB" w:rsidP="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78112E99" w14:textId="237573CC" w:rsidR="00FA01FB" w:rsidRPr="00D74ABD" w:rsidRDefault="00FA01FB" w:rsidP="00FA01FB">
            <w:pPr>
              <w:spacing w:after="0"/>
              <w:jc w:val="right"/>
              <w:rPr>
                <w:noProof/>
                <w:sz w:val="20"/>
                <w:szCs w:val="20"/>
                <w:lang w:val="en-IE" w:eastAsia="en-IE"/>
              </w:rPr>
            </w:pPr>
            <w:r w:rsidRPr="00FA63C0">
              <w:rPr>
                <w:noProof/>
                <w:sz w:val="20"/>
                <w:szCs w:val="20"/>
              </w:rPr>
              <w:t xml:space="preserve"> -   </w:t>
            </w:r>
          </w:p>
        </w:tc>
      </w:tr>
      <w:tr w:rsidR="00FA01FB" w:rsidRPr="00D74ABD" w14:paraId="247A6516" w14:textId="77777777" w:rsidTr="00FB7BD9">
        <w:trPr>
          <w:trHeight w:val="283"/>
        </w:trPr>
        <w:tc>
          <w:tcPr>
            <w:tcW w:w="1976" w:type="dxa"/>
            <w:noWrap/>
            <w:hideMark/>
          </w:tcPr>
          <w:p w14:paraId="1129FB2B" w14:textId="77777777" w:rsidR="00FA01FB" w:rsidRPr="00FA63C0" w:rsidRDefault="00FA01FB" w:rsidP="00FA01FB">
            <w:pPr>
              <w:spacing w:after="0"/>
              <w:jc w:val="left"/>
              <w:rPr>
                <w:i/>
                <w:iCs/>
                <w:noProof/>
                <w:sz w:val="20"/>
                <w:szCs w:val="20"/>
                <w:lang w:val="en-IE" w:eastAsia="en-IE"/>
              </w:rPr>
            </w:pPr>
            <w:r w:rsidRPr="00FA63C0">
              <w:rPr>
                <w:i/>
                <w:iCs/>
                <w:noProof/>
                <w:sz w:val="20"/>
                <w:szCs w:val="20"/>
                <w:lang w:val="en-IE" w:eastAsia="en-IE"/>
              </w:rPr>
              <w:t>recurrent adjustment</w:t>
            </w:r>
          </w:p>
        </w:tc>
        <w:tc>
          <w:tcPr>
            <w:tcW w:w="1568" w:type="dxa"/>
          </w:tcPr>
          <w:p w14:paraId="12955EF7" w14:textId="0FB0FAC6"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992" w:type="dxa"/>
          </w:tcPr>
          <w:p w14:paraId="0768E201" w14:textId="644589DA" w:rsidR="00FA01FB" w:rsidRPr="00FA63C0" w:rsidRDefault="00413742" w:rsidP="00FA01FB">
            <w:pPr>
              <w:spacing w:after="0"/>
              <w:jc w:val="right"/>
              <w:rPr>
                <w:noProof/>
                <w:sz w:val="20"/>
                <w:szCs w:val="20"/>
                <w:lang w:val="en-IE" w:eastAsia="en-IE"/>
              </w:rPr>
            </w:pPr>
            <w:r w:rsidRPr="00075054">
              <w:rPr>
                <w:noProof/>
                <w:sz w:val="20"/>
                <w:szCs w:val="20"/>
              </w:rPr>
              <w:t xml:space="preserve"> -   </w:t>
            </w:r>
          </w:p>
        </w:tc>
        <w:tc>
          <w:tcPr>
            <w:tcW w:w="1276" w:type="dxa"/>
          </w:tcPr>
          <w:p w14:paraId="5DB303A6" w14:textId="2DBAE521" w:rsidR="00FA01FB" w:rsidRPr="00FA63C0" w:rsidRDefault="00A40864" w:rsidP="005B15E8">
            <w:pPr>
              <w:spacing w:after="0"/>
              <w:rPr>
                <w:noProof/>
                <w:sz w:val="20"/>
                <w:szCs w:val="20"/>
                <w:lang w:val="en-IE" w:eastAsia="en-IE"/>
              </w:rPr>
            </w:pPr>
            <w:r>
              <w:rPr>
                <w:noProof/>
                <w:sz w:val="20"/>
                <w:szCs w:val="20"/>
              </w:rPr>
              <w:t xml:space="preserve">   </w:t>
            </w:r>
            <w:r w:rsidR="00413742" w:rsidRPr="005B15E8">
              <w:rPr>
                <w:noProof/>
                <w:sz w:val="20"/>
                <w:szCs w:val="20"/>
              </w:rPr>
              <w:t>339</w:t>
            </w:r>
            <w:r w:rsidR="00413742">
              <w:rPr>
                <w:noProof/>
                <w:sz w:val="20"/>
                <w:szCs w:val="20"/>
              </w:rPr>
              <w:t xml:space="preserve"> </w:t>
            </w:r>
            <w:r w:rsidR="00413742" w:rsidRPr="005B15E8">
              <w:rPr>
                <w:noProof/>
                <w:sz w:val="20"/>
                <w:szCs w:val="20"/>
              </w:rPr>
              <w:t>317</w:t>
            </w:r>
            <w:r w:rsidR="00413742">
              <w:rPr>
                <w:noProof/>
                <w:sz w:val="20"/>
                <w:szCs w:val="20"/>
              </w:rPr>
              <w:t xml:space="preserve"> </w:t>
            </w:r>
            <w:r w:rsidR="00413742" w:rsidRPr="005B15E8">
              <w:rPr>
                <w:noProof/>
                <w:sz w:val="20"/>
                <w:szCs w:val="20"/>
              </w:rPr>
              <w:t xml:space="preserve">286 </w:t>
            </w:r>
          </w:p>
        </w:tc>
        <w:tc>
          <w:tcPr>
            <w:tcW w:w="1276" w:type="dxa"/>
            <w:noWrap/>
          </w:tcPr>
          <w:p w14:paraId="379FD57E" w14:textId="0FD684E2" w:rsidR="00FA01FB" w:rsidRPr="00FA01FB" w:rsidRDefault="00FA01FB" w:rsidP="00FA01FB">
            <w:pPr>
              <w:spacing w:after="0"/>
              <w:jc w:val="right"/>
              <w:rPr>
                <w:noProof/>
                <w:sz w:val="20"/>
                <w:szCs w:val="20"/>
                <w:lang w:val="en-IE" w:eastAsia="en-IE"/>
              </w:rPr>
            </w:pPr>
            <w:r w:rsidRPr="005B15E8">
              <w:rPr>
                <w:noProof/>
                <w:sz w:val="20"/>
                <w:szCs w:val="20"/>
              </w:rPr>
              <w:t xml:space="preserve"> 339 317 286 </w:t>
            </w:r>
          </w:p>
        </w:tc>
        <w:tc>
          <w:tcPr>
            <w:tcW w:w="1276" w:type="dxa"/>
            <w:noWrap/>
          </w:tcPr>
          <w:p w14:paraId="09CE029E" w14:textId="7A9E395A" w:rsidR="00FA01FB" w:rsidRPr="00FA01FB" w:rsidRDefault="00FA01FB" w:rsidP="00FA01FB">
            <w:pPr>
              <w:spacing w:after="0"/>
              <w:jc w:val="right"/>
              <w:rPr>
                <w:noProof/>
                <w:sz w:val="20"/>
                <w:szCs w:val="20"/>
                <w:lang w:val="en-IE" w:eastAsia="en-IE"/>
              </w:rPr>
            </w:pPr>
            <w:r w:rsidRPr="005B15E8">
              <w:rPr>
                <w:noProof/>
                <w:sz w:val="20"/>
                <w:szCs w:val="20"/>
              </w:rPr>
              <w:t xml:space="preserve"> 171 954 564 </w:t>
            </w:r>
          </w:p>
        </w:tc>
        <w:tc>
          <w:tcPr>
            <w:tcW w:w="1275" w:type="dxa"/>
            <w:gridSpan w:val="2"/>
            <w:noWrap/>
          </w:tcPr>
          <w:p w14:paraId="3F471195" w14:textId="161CD0CB" w:rsidR="00FA01FB" w:rsidRPr="00FA01FB" w:rsidRDefault="00FA01FB" w:rsidP="00FA01FB">
            <w:pPr>
              <w:spacing w:after="0"/>
              <w:jc w:val="right"/>
              <w:rPr>
                <w:noProof/>
                <w:sz w:val="20"/>
                <w:szCs w:val="20"/>
                <w:lang w:val="en-IE" w:eastAsia="en-IE"/>
              </w:rPr>
            </w:pPr>
            <w:r w:rsidRPr="005B15E8">
              <w:rPr>
                <w:noProof/>
                <w:sz w:val="20"/>
                <w:szCs w:val="20"/>
              </w:rPr>
              <w:t xml:space="preserve"> 509 704 787 </w:t>
            </w:r>
          </w:p>
        </w:tc>
      </w:tr>
      <w:tr w:rsidR="00FA01FB" w:rsidRPr="00D74ABD" w14:paraId="2392C953" w14:textId="77777777" w:rsidTr="00FB7BD9">
        <w:trPr>
          <w:trHeight w:val="283"/>
        </w:trPr>
        <w:tc>
          <w:tcPr>
            <w:tcW w:w="1976" w:type="dxa"/>
            <w:noWrap/>
            <w:hideMark/>
          </w:tcPr>
          <w:p w14:paraId="0684BC4F" w14:textId="77777777" w:rsidR="00FA01FB" w:rsidRPr="00FA63C0" w:rsidRDefault="00FA01FB">
            <w:pPr>
              <w:spacing w:after="0"/>
              <w:jc w:val="left"/>
              <w:rPr>
                <w:i/>
                <w:iCs/>
                <w:noProof/>
                <w:sz w:val="20"/>
                <w:szCs w:val="20"/>
                <w:lang w:val="en-IE" w:eastAsia="en-IE"/>
              </w:rPr>
            </w:pPr>
            <w:r w:rsidRPr="00FA63C0">
              <w:rPr>
                <w:i/>
                <w:iCs/>
                <w:noProof/>
                <w:sz w:val="20"/>
                <w:szCs w:val="20"/>
                <w:lang w:val="en-IE" w:eastAsia="en-IE"/>
              </w:rPr>
              <w:t>one-off regul</w:t>
            </w:r>
            <w:r>
              <w:rPr>
                <w:i/>
                <w:iCs/>
                <w:noProof/>
                <w:sz w:val="20"/>
                <w:szCs w:val="20"/>
                <w:lang w:val="en-IE" w:eastAsia="en-IE"/>
              </w:rPr>
              <w:t>atory</w:t>
            </w:r>
            <w:r w:rsidRPr="00FA63C0">
              <w:rPr>
                <w:i/>
                <w:iCs/>
                <w:noProof/>
                <w:sz w:val="20"/>
                <w:szCs w:val="20"/>
                <w:lang w:val="en-IE" w:eastAsia="en-IE"/>
              </w:rPr>
              <w:t xml:space="preserve"> fees</w:t>
            </w:r>
          </w:p>
        </w:tc>
        <w:tc>
          <w:tcPr>
            <w:tcW w:w="1568" w:type="dxa"/>
          </w:tcPr>
          <w:p w14:paraId="2D38E8D5" w14:textId="139140EB"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992" w:type="dxa"/>
          </w:tcPr>
          <w:p w14:paraId="7B490DD0" w14:textId="77777777" w:rsidR="00FA01FB" w:rsidRPr="00FA63C0" w:rsidRDefault="00FA01FB">
            <w:pPr>
              <w:spacing w:after="0"/>
              <w:jc w:val="right"/>
              <w:rPr>
                <w:noProof/>
                <w:sz w:val="20"/>
                <w:szCs w:val="20"/>
                <w:lang w:val="en-IE" w:eastAsia="en-IE"/>
              </w:rPr>
            </w:pPr>
          </w:p>
        </w:tc>
        <w:tc>
          <w:tcPr>
            <w:tcW w:w="1276" w:type="dxa"/>
          </w:tcPr>
          <w:p w14:paraId="3CA3EDFB" w14:textId="77777777" w:rsidR="00FA01FB" w:rsidRPr="00FA63C0" w:rsidRDefault="00FA01FB">
            <w:pPr>
              <w:spacing w:after="0"/>
              <w:jc w:val="right"/>
              <w:rPr>
                <w:noProof/>
                <w:sz w:val="20"/>
                <w:szCs w:val="20"/>
                <w:lang w:val="en-IE" w:eastAsia="en-IE"/>
              </w:rPr>
            </w:pPr>
          </w:p>
        </w:tc>
        <w:tc>
          <w:tcPr>
            <w:tcW w:w="1276" w:type="dxa"/>
            <w:noWrap/>
          </w:tcPr>
          <w:p w14:paraId="77ED951D"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c>
          <w:tcPr>
            <w:tcW w:w="1276" w:type="dxa"/>
            <w:noWrap/>
          </w:tcPr>
          <w:p w14:paraId="707E7F0E" w14:textId="77777777" w:rsidR="00FA01FB" w:rsidRPr="00D74ABD" w:rsidRDefault="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3FDD304D"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r>
      <w:tr w:rsidR="00FA01FB" w:rsidRPr="00D74ABD" w14:paraId="32539AD4" w14:textId="77777777" w:rsidTr="00FB7BD9">
        <w:trPr>
          <w:trHeight w:val="283"/>
        </w:trPr>
        <w:tc>
          <w:tcPr>
            <w:tcW w:w="1976" w:type="dxa"/>
            <w:noWrap/>
            <w:hideMark/>
          </w:tcPr>
          <w:p w14:paraId="51423657" w14:textId="77777777" w:rsidR="00FA01FB" w:rsidRPr="00FA63C0" w:rsidRDefault="00FA01FB">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 xml:space="preserve">regulatory </w:t>
            </w:r>
            <w:r w:rsidRPr="00FA63C0">
              <w:rPr>
                <w:i/>
                <w:iCs/>
                <w:noProof/>
                <w:sz w:val="20"/>
                <w:szCs w:val="20"/>
                <w:lang w:val="en-IE" w:eastAsia="en-IE"/>
              </w:rPr>
              <w:t>fees</w:t>
            </w:r>
          </w:p>
        </w:tc>
        <w:tc>
          <w:tcPr>
            <w:tcW w:w="1568" w:type="dxa"/>
          </w:tcPr>
          <w:p w14:paraId="742B827E" w14:textId="467439AF"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992" w:type="dxa"/>
          </w:tcPr>
          <w:p w14:paraId="443A0247" w14:textId="5E6634BD"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tcPr>
          <w:p w14:paraId="007623DB" w14:textId="086409EC"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noWrap/>
          </w:tcPr>
          <w:p w14:paraId="4F4A35AA"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c>
          <w:tcPr>
            <w:tcW w:w="1276" w:type="dxa"/>
            <w:noWrap/>
          </w:tcPr>
          <w:p w14:paraId="6CF9A1EF" w14:textId="77777777" w:rsidR="00FA01FB" w:rsidRPr="00D74ABD" w:rsidRDefault="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3FC637B3"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r>
      <w:tr w:rsidR="00FA01FB" w:rsidRPr="00D74ABD" w14:paraId="59547638" w14:textId="77777777" w:rsidTr="00FB7BD9">
        <w:trPr>
          <w:trHeight w:val="283"/>
        </w:trPr>
        <w:tc>
          <w:tcPr>
            <w:tcW w:w="1976" w:type="dxa"/>
            <w:noWrap/>
            <w:hideMark/>
          </w:tcPr>
          <w:p w14:paraId="4C6797D3" w14:textId="77777777" w:rsidR="00FA01FB" w:rsidRPr="00FA63C0" w:rsidRDefault="00FA01FB">
            <w:pPr>
              <w:spacing w:after="0"/>
              <w:jc w:val="left"/>
              <w:rPr>
                <w:i/>
                <w:iCs/>
                <w:noProof/>
                <w:sz w:val="20"/>
                <w:szCs w:val="20"/>
                <w:lang w:val="en-IE" w:eastAsia="en-IE"/>
              </w:rPr>
            </w:pPr>
            <w:r w:rsidRPr="00FA63C0">
              <w:rPr>
                <w:i/>
                <w:iCs/>
                <w:noProof/>
                <w:sz w:val="20"/>
                <w:szCs w:val="20"/>
                <w:lang w:val="en-IE" w:eastAsia="en-IE"/>
              </w:rPr>
              <w:t xml:space="preserve">one-off </w:t>
            </w:r>
            <w:r>
              <w:rPr>
                <w:i/>
                <w:iCs/>
                <w:noProof/>
                <w:sz w:val="20"/>
                <w:szCs w:val="20"/>
                <w:lang w:val="en-IE" w:eastAsia="en-IE"/>
              </w:rPr>
              <w:t>enforcement.</w:t>
            </w:r>
          </w:p>
        </w:tc>
        <w:tc>
          <w:tcPr>
            <w:tcW w:w="1568" w:type="dxa"/>
          </w:tcPr>
          <w:p w14:paraId="3D384734" w14:textId="73D5BEE5"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992" w:type="dxa"/>
          </w:tcPr>
          <w:p w14:paraId="33106FA8" w14:textId="120228B4"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tcPr>
          <w:p w14:paraId="18984ABD" w14:textId="00DD55E1"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noWrap/>
          </w:tcPr>
          <w:p w14:paraId="2577EBCF"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c>
          <w:tcPr>
            <w:tcW w:w="1276" w:type="dxa"/>
            <w:noWrap/>
          </w:tcPr>
          <w:p w14:paraId="049E320E" w14:textId="77777777" w:rsidR="00FA01FB" w:rsidRPr="00D74ABD" w:rsidRDefault="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43F2EBFF"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r>
      <w:tr w:rsidR="00FA01FB" w:rsidRPr="00D74ABD" w14:paraId="724699F4" w14:textId="77777777" w:rsidTr="00FB7BD9">
        <w:trPr>
          <w:trHeight w:val="283"/>
        </w:trPr>
        <w:tc>
          <w:tcPr>
            <w:tcW w:w="1976" w:type="dxa"/>
            <w:noWrap/>
            <w:hideMark/>
          </w:tcPr>
          <w:p w14:paraId="1848215B" w14:textId="77777777" w:rsidR="00FA01FB" w:rsidRPr="00FA63C0" w:rsidRDefault="00FA01FB">
            <w:pPr>
              <w:spacing w:after="0"/>
              <w:jc w:val="left"/>
              <w:rPr>
                <w:i/>
                <w:iCs/>
                <w:noProof/>
                <w:sz w:val="20"/>
                <w:szCs w:val="20"/>
                <w:lang w:val="en-IE" w:eastAsia="en-IE"/>
              </w:rPr>
            </w:pPr>
            <w:r w:rsidRPr="00FA63C0">
              <w:rPr>
                <w:i/>
                <w:iCs/>
                <w:noProof/>
                <w:sz w:val="20"/>
                <w:szCs w:val="20"/>
                <w:lang w:val="en-IE" w:eastAsia="en-IE"/>
              </w:rPr>
              <w:t xml:space="preserve">recurrent </w:t>
            </w:r>
            <w:r>
              <w:rPr>
                <w:i/>
                <w:iCs/>
                <w:noProof/>
                <w:sz w:val="20"/>
                <w:szCs w:val="20"/>
                <w:lang w:val="en-IE" w:eastAsia="en-IE"/>
              </w:rPr>
              <w:t>enforcement</w:t>
            </w:r>
          </w:p>
        </w:tc>
        <w:tc>
          <w:tcPr>
            <w:tcW w:w="1568" w:type="dxa"/>
          </w:tcPr>
          <w:p w14:paraId="22345FD3" w14:textId="6A094C9A"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992" w:type="dxa"/>
          </w:tcPr>
          <w:p w14:paraId="4E4CEB3B" w14:textId="77E04666"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tcPr>
          <w:p w14:paraId="77E91E82" w14:textId="463437DF" w:rsidR="00FA01FB" w:rsidRPr="00FA63C0" w:rsidRDefault="00413742">
            <w:pPr>
              <w:spacing w:after="0"/>
              <w:jc w:val="right"/>
              <w:rPr>
                <w:noProof/>
                <w:sz w:val="20"/>
                <w:szCs w:val="20"/>
                <w:lang w:val="en-IE" w:eastAsia="en-IE"/>
              </w:rPr>
            </w:pPr>
            <w:r w:rsidRPr="00075054">
              <w:rPr>
                <w:noProof/>
                <w:sz w:val="20"/>
                <w:szCs w:val="20"/>
              </w:rPr>
              <w:t xml:space="preserve"> -   </w:t>
            </w:r>
          </w:p>
        </w:tc>
        <w:tc>
          <w:tcPr>
            <w:tcW w:w="1276" w:type="dxa"/>
            <w:noWrap/>
          </w:tcPr>
          <w:p w14:paraId="45444688"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c>
          <w:tcPr>
            <w:tcW w:w="1276" w:type="dxa"/>
            <w:noWrap/>
          </w:tcPr>
          <w:p w14:paraId="6752990F" w14:textId="77777777" w:rsidR="00FA01FB" w:rsidRPr="00D74ABD" w:rsidRDefault="00FA01FB">
            <w:pPr>
              <w:spacing w:after="0"/>
              <w:jc w:val="right"/>
              <w:rPr>
                <w:noProof/>
                <w:sz w:val="20"/>
                <w:szCs w:val="20"/>
                <w:lang w:val="en-IE" w:eastAsia="en-IE"/>
              </w:rPr>
            </w:pPr>
            <w:r w:rsidRPr="00FA63C0">
              <w:rPr>
                <w:noProof/>
                <w:sz w:val="20"/>
                <w:szCs w:val="20"/>
              </w:rPr>
              <w:t xml:space="preserve">-   </w:t>
            </w:r>
          </w:p>
        </w:tc>
        <w:tc>
          <w:tcPr>
            <w:tcW w:w="1275" w:type="dxa"/>
            <w:gridSpan w:val="2"/>
            <w:noWrap/>
          </w:tcPr>
          <w:p w14:paraId="66C6C37E" w14:textId="77777777" w:rsidR="00FA01FB" w:rsidRPr="00D74ABD" w:rsidRDefault="00FA01FB">
            <w:pPr>
              <w:spacing w:after="0"/>
              <w:jc w:val="right"/>
              <w:rPr>
                <w:noProof/>
                <w:sz w:val="20"/>
                <w:szCs w:val="20"/>
                <w:lang w:val="en-IE" w:eastAsia="en-IE"/>
              </w:rPr>
            </w:pPr>
            <w:r w:rsidRPr="00FA63C0">
              <w:rPr>
                <w:noProof/>
                <w:sz w:val="20"/>
                <w:szCs w:val="20"/>
              </w:rPr>
              <w:t xml:space="preserve"> -   </w:t>
            </w:r>
          </w:p>
        </w:tc>
      </w:tr>
      <w:tr w:rsidR="00FA01FB" w:rsidRPr="00D74ABD" w14:paraId="2746695A" w14:textId="77777777" w:rsidTr="00FB7BD9">
        <w:trPr>
          <w:trHeight w:val="283"/>
        </w:trPr>
        <w:tc>
          <w:tcPr>
            <w:tcW w:w="1976" w:type="dxa"/>
            <w:shd w:val="clear" w:color="auto" w:fill="F2DBDB" w:themeFill="accent2" w:themeFillTint="33"/>
            <w:noWrap/>
            <w:hideMark/>
          </w:tcPr>
          <w:p w14:paraId="198D1609" w14:textId="77777777" w:rsidR="00FA01FB" w:rsidRPr="00FA63C0" w:rsidRDefault="00FA01FB" w:rsidP="00FA01FB">
            <w:pPr>
              <w:spacing w:after="0"/>
              <w:jc w:val="left"/>
              <w:rPr>
                <w:b/>
                <w:bCs/>
                <w:i/>
                <w:iCs/>
                <w:noProof/>
                <w:sz w:val="20"/>
                <w:szCs w:val="20"/>
                <w:lang w:val="en-IE" w:eastAsia="en-IE"/>
              </w:rPr>
            </w:pPr>
            <w:r w:rsidRPr="00FA63C0">
              <w:rPr>
                <w:b/>
                <w:bCs/>
                <w:i/>
                <w:iCs/>
                <w:noProof/>
                <w:sz w:val="20"/>
                <w:szCs w:val="20"/>
                <w:lang w:val="en-IE" w:eastAsia="en-IE"/>
              </w:rPr>
              <w:t>Total costs</w:t>
            </w:r>
          </w:p>
        </w:tc>
        <w:tc>
          <w:tcPr>
            <w:tcW w:w="1568" w:type="dxa"/>
            <w:shd w:val="clear" w:color="auto" w:fill="F2DBDB" w:themeFill="accent2" w:themeFillTint="33"/>
          </w:tcPr>
          <w:p w14:paraId="54931C6D" w14:textId="116F475F" w:rsidR="00FA01FB" w:rsidRPr="00FA63C0" w:rsidRDefault="00413742" w:rsidP="00FA01FB">
            <w:pPr>
              <w:spacing w:after="0"/>
              <w:jc w:val="right"/>
              <w:rPr>
                <w:b/>
                <w:bCs/>
                <w:noProof/>
                <w:sz w:val="20"/>
                <w:szCs w:val="20"/>
                <w:lang w:val="en-IE" w:eastAsia="en-IE"/>
              </w:rPr>
            </w:pPr>
            <w:r w:rsidRPr="005B15E8">
              <w:rPr>
                <w:noProof/>
                <w:sz w:val="20"/>
                <w:szCs w:val="20"/>
              </w:rPr>
              <w:t>55</w:t>
            </w:r>
            <w:r>
              <w:rPr>
                <w:noProof/>
                <w:sz w:val="20"/>
                <w:szCs w:val="20"/>
              </w:rPr>
              <w:t xml:space="preserve"> </w:t>
            </w:r>
            <w:r w:rsidRPr="005B15E8">
              <w:rPr>
                <w:noProof/>
                <w:sz w:val="20"/>
                <w:szCs w:val="20"/>
              </w:rPr>
              <w:t>373</w:t>
            </w:r>
            <w:r>
              <w:rPr>
                <w:noProof/>
                <w:sz w:val="20"/>
                <w:szCs w:val="20"/>
              </w:rPr>
              <w:t xml:space="preserve"> </w:t>
            </w:r>
            <w:r w:rsidRPr="005B15E8">
              <w:rPr>
                <w:noProof/>
                <w:sz w:val="20"/>
                <w:szCs w:val="20"/>
              </w:rPr>
              <w:t>982</w:t>
            </w:r>
          </w:p>
        </w:tc>
        <w:tc>
          <w:tcPr>
            <w:tcW w:w="992" w:type="dxa"/>
            <w:shd w:val="clear" w:color="auto" w:fill="F2DBDB" w:themeFill="accent2" w:themeFillTint="33"/>
          </w:tcPr>
          <w:p w14:paraId="2AB6748A" w14:textId="305D9970" w:rsidR="00FA01FB" w:rsidRPr="00FA63C0" w:rsidRDefault="006E326E" w:rsidP="00FA01FB">
            <w:pPr>
              <w:spacing w:after="0"/>
              <w:jc w:val="right"/>
              <w:rPr>
                <w:b/>
                <w:bCs/>
                <w:noProof/>
                <w:sz w:val="20"/>
                <w:szCs w:val="20"/>
                <w:lang w:val="en-IE" w:eastAsia="en-IE"/>
              </w:rPr>
            </w:pPr>
            <w:r w:rsidRPr="00FA63C0">
              <w:rPr>
                <w:noProof/>
                <w:sz w:val="20"/>
                <w:szCs w:val="20"/>
              </w:rPr>
              <w:t xml:space="preserve"> -   </w:t>
            </w:r>
          </w:p>
        </w:tc>
        <w:tc>
          <w:tcPr>
            <w:tcW w:w="1276" w:type="dxa"/>
            <w:shd w:val="clear" w:color="auto" w:fill="F2DBDB" w:themeFill="accent2" w:themeFillTint="33"/>
          </w:tcPr>
          <w:p w14:paraId="34A19E09" w14:textId="211864C5" w:rsidR="00FA01FB" w:rsidRPr="005B15E8" w:rsidRDefault="00413742" w:rsidP="00FA01FB">
            <w:pPr>
              <w:spacing w:after="0"/>
              <w:jc w:val="right"/>
              <w:rPr>
                <w:noProof/>
                <w:sz w:val="20"/>
                <w:szCs w:val="20"/>
                <w:lang w:val="en-IE" w:eastAsia="en-IE"/>
              </w:rPr>
            </w:pPr>
            <w:r w:rsidRPr="005B15E8">
              <w:rPr>
                <w:noProof/>
                <w:sz w:val="20"/>
                <w:szCs w:val="20"/>
                <w:lang w:val="en-IE" w:eastAsia="en-IE"/>
              </w:rPr>
              <w:t>339</w:t>
            </w:r>
            <w:r>
              <w:rPr>
                <w:noProof/>
                <w:sz w:val="20"/>
                <w:szCs w:val="20"/>
                <w:lang w:val="en-IE" w:eastAsia="en-IE"/>
              </w:rPr>
              <w:t xml:space="preserve"> </w:t>
            </w:r>
            <w:r w:rsidRPr="005B15E8">
              <w:rPr>
                <w:noProof/>
                <w:sz w:val="20"/>
                <w:szCs w:val="20"/>
                <w:lang w:val="en-IE" w:eastAsia="en-IE"/>
              </w:rPr>
              <w:t>401</w:t>
            </w:r>
            <w:r>
              <w:rPr>
                <w:noProof/>
                <w:sz w:val="20"/>
                <w:szCs w:val="20"/>
                <w:lang w:val="en-IE" w:eastAsia="en-IE"/>
              </w:rPr>
              <w:t xml:space="preserve"> </w:t>
            </w:r>
            <w:r w:rsidRPr="005B15E8">
              <w:rPr>
                <w:noProof/>
                <w:sz w:val="20"/>
                <w:szCs w:val="20"/>
                <w:lang w:val="en-IE" w:eastAsia="en-IE"/>
              </w:rPr>
              <w:t>554</w:t>
            </w:r>
          </w:p>
        </w:tc>
        <w:tc>
          <w:tcPr>
            <w:tcW w:w="1276" w:type="dxa"/>
            <w:shd w:val="clear" w:color="auto" w:fill="F2DBDB" w:themeFill="accent2" w:themeFillTint="33"/>
            <w:noWrap/>
          </w:tcPr>
          <w:p w14:paraId="3738992F" w14:textId="751EBBE5" w:rsidR="00FA01FB" w:rsidRPr="00FA01FB" w:rsidRDefault="00FA01FB" w:rsidP="00FA01FB">
            <w:pPr>
              <w:spacing w:after="0"/>
              <w:jc w:val="right"/>
              <w:rPr>
                <w:noProof/>
                <w:sz w:val="20"/>
                <w:szCs w:val="20"/>
              </w:rPr>
            </w:pPr>
            <w:r w:rsidRPr="005B15E8">
              <w:rPr>
                <w:noProof/>
                <w:sz w:val="20"/>
                <w:szCs w:val="20"/>
              </w:rPr>
              <w:t xml:space="preserve"> 394 775 537 </w:t>
            </w:r>
          </w:p>
        </w:tc>
        <w:tc>
          <w:tcPr>
            <w:tcW w:w="1276" w:type="dxa"/>
            <w:shd w:val="clear" w:color="auto" w:fill="F2DBDB" w:themeFill="accent2" w:themeFillTint="33"/>
            <w:noWrap/>
          </w:tcPr>
          <w:p w14:paraId="115978B8" w14:textId="2EE4517B" w:rsidR="00FA01FB" w:rsidRPr="00FA01FB" w:rsidRDefault="00FA01FB" w:rsidP="00FA01FB">
            <w:pPr>
              <w:spacing w:after="0"/>
              <w:jc w:val="right"/>
              <w:rPr>
                <w:noProof/>
                <w:sz w:val="20"/>
                <w:szCs w:val="20"/>
              </w:rPr>
            </w:pPr>
            <w:r w:rsidRPr="005B15E8">
              <w:rPr>
                <w:noProof/>
                <w:sz w:val="20"/>
                <w:szCs w:val="20"/>
              </w:rPr>
              <w:t xml:space="preserve"> 199 679 859 </w:t>
            </w:r>
          </w:p>
        </w:tc>
        <w:tc>
          <w:tcPr>
            <w:tcW w:w="1275" w:type="dxa"/>
            <w:gridSpan w:val="2"/>
            <w:shd w:val="clear" w:color="auto" w:fill="F2DBDB" w:themeFill="accent2" w:themeFillTint="33"/>
            <w:noWrap/>
          </w:tcPr>
          <w:p w14:paraId="3078D9C0" w14:textId="2AD2D8C7" w:rsidR="00FA01FB" w:rsidRPr="00FA01FB" w:rsidRDefault="00FA01FB" w:rsidP="00FA01FB">
            <w:pPr>
              <w:spacing w:after="0"/>
              <w:jc w:val="right"/>
              <w:rPr>
                <w:noProof/>
                <w:sz w:val="20"/>
                <w:szCs w:val="20"/>
              </w:rPr>
            </w:pPr>
            <w:r w:rsidRPr="005B15E8">
              <w:rPr>
                <w:noProof/>
                <w:sz w:val="20"/>
                <w:szCs w:val="20"/>
              </w:rPr>
              <w:t xml:space="preserve"> 593 148 002 </w:t>
            </w:r>
          </w:p>
        </w:tc>
      </w:tr>
      <w:tr w:rsidR="007B131A" w:rsidRPr="00D74ABD" w14:paraId="134E07F8" w14:textId="77777777" w:rsidTr="00FB7BD9">
        <w:trPr>
          <w:gridAfter w:val="1"/>
          <w:wAfter w:w="17" w:type="dxa"/>
          <w:trHeight w:val="283"/>
        </w:trPr>
        <w:tc>
          <w:tcPr>
            <w:tcW w:w="1976" w:type="dxa"/>
            <w:shd w:val="clear" w:color="auto" w:fill="EAF1DD" w:themeFill="accent3" w:themeFillTint="33"/>
            <w:noWrap/>
            <w:hideMark/>
          </w:tcPr>
          <w:p w14:paraId="534469ED" w14:textId="77777777" w:rsidR="00FA01FB" w:rsidRPr="00FA63C0" w:rsidRDefault="00FA01FB" w:rsidP="00FA01FB">
            <w:pPr>
              <w:spacing w:after="0"/>
              <w:jc w:val="left"/>
              <w:rPr>
                <w:b/>
                <w:bCs/>
                <w:i/>
                <w:iCs/>
                <w:noProof/>
                <w:sz w:val="20"/>
                <w:szCs w:val="20"/>
                <w:lang w:val="en-IE" w:eastAsia="en-IE"/>
              </w:rPr>
            </w:pPr>
            <w:r w:rsidRPr="00FA63C0">
              <w:rPr>
                <w:b/>
                <w:bCs/>
                <w:i/>
                <w:iCs/>
                <w:noProof/>
                <w:sz w:val="20"/>
                <w:szCs w:val="20"/>
                <w:lang w:val="en-IE" w:eastAsia="en-IE"/>
              </w:rPr>
              <w:t>Total benefits</w:t>
            </w:r>
          </w:p>
        </w:tc>
        <w:tc>
          <w:tcPr>
            <w:tcW w:w="1568" w:type="dxa"/>
            <w:shd w:val="clear" w:color="auto" w:fill="EAF1DD" w:themeFill="accent3" w:themeFillTint="33"/>
          </w:tcPr>
          <w:p w14:paraId="02A086D6" w14:textId="598151FF" w:rsidR="00FA01FB" w:rsidRPr="00FA63C0" w:rsidRDefault="00413742" w:rsidP="00FA01FB">
            <w:pPr>
              <w:spacing w:after="0"/>
              <w:jc w:val="right"/>
              <w:rPr>
                <w:b/>
                <w:bCs/>
                <w:noProof/>
                <w:sz w:val="20"/>
                <w:szCs w:val="20"/>
                <w:lang w:val="en-IE" w:eastAsia="en-IE"/>
              </w:rPr>
            </w:pPr>
            <w:r w:rsidRPr="005B15E8">
              <w:rPr>
                <w:noProof/>
                <w:sz w:val="20"/>
                <w:szCs w:val="20"/>
              </w:rPr>
              <w:t>(328</w:t>
            </w:r>
            <w:r>
              <w:rPr>
                <w:noProof/>
                <w:sz w:val="20"/>
                <w:szCs w:val="20"/>
              </w:rPr>
              <w:t xml:space="preserve"> </w:t>
            </w:r>
            <w:r w:rsidRPr="005B15E8">
              <w:rPr>
                <w:noProof/>
                <w:sz w:val="20"/>
                <w:szCs w:val="20"/>
              </w:rPr>
              <w:t>412</w:t>
            </w:r>
            <w:r>
              <w:rPr>
                <w:noProof/>
                <w:sz w:val="20"/>
                <w:szCs w:val="20"/>
              </w:rPr>
              <w:t xml:space="preserve"> </w:t>
            </w:r>
            <w:r w:rsidRPr="005B15E8">
              <w:rPr>
                <w:noProof/>
                <w:sz w:val="20"/>
                <w:szCs w:val="20"/>
              </w:rPr>
              <w:t>809)</w:t>
            </w:r>
          </w:p>
        </w:tc>
        <w:tc>
          <w:tcPr>
            <w:tcW w:w="992" w:type="dxa"/>
            <w:shd w:val="clear" w:color="auto" w:fill="EAF1DD" w:themeFill="accent3" w:themeFillTint="33"/>
          </w:tcPr>
          <w:p w14:paraId="63617C22" w14:textId="5B0DAEFC" w:rsidR="00FA01FB" w:rsidRPr="00FA63C0" w:rsidRDefault="006E326E" w:rsidP="00FA01FB">
            <w:pPr>
              <w:spacing w:after="0"/>
              <w:jc w:val="right"/>
              <w:rPr>
                <w:b/>
                <w:bCs/>
                <w:noProof/>
                <w:sz w:val="20"/>
                <w:szCs w:val="20"/>
                <w:lang w:val="en-IE" w:eastAsia="en-IE"/>
              </w:rPr>
            </w:pPr>
            <w:r w:rsidRPr="00FA63C0">
              <w:rPr>
                <w:noProof/>
                <w:sz w:val="20"/>
                <w:szCs w:val="20"/>
              </w:rPr>
              <w:t xml:space="preserve"> -   </w:t>
            </w:r>
          </w:p>
        </w:tc>
        <w:tc>
          <w:tcPr>
            <w:tcW w:w="1276" w:type="dxa"/>
            <w:shd w:val="clear" w:color="auto" w:fill="EAF1DD" w:themeFill="accent3" w:themeFillTint="33"/>
          </w:tcPr>
          <w:p w14:paraId="2DE40DA1" w14:textId="5F20F1F8" w:rsidR="00FA01FB" w:rsidRPr="00FA63C0" w:rsidRDefault="00413742" w:rsidP="00FA01FB">
            <w:pPr>
              <w:spacing w:after="0"/>
              <w:jc w:val="right"/>
              <w:rPr>
                <w:b/>
                <w:bCs/>
                <w:noProof/>
                <w:sz w:val="20"/>
                <w:szCs w:val="20"/>
                <w:lang w:val="en-IE" w:eastAsia="en-IE"/>
              </w:rPr>
            </w:pPr>
            <w:r w:rsidRPr="00075054">
              <w:rPr>
                <w:noProof/>
                <w:sz w:val="20"/>
                <w:szCs w:val="20"/>
              </w:rPr>
              <w:t xml:space="preserve"> -   </w:t>
            </w:r>
          </w:p>
        </w:tc>
        <w:tc>
          <w:tcPr>
            <w:tcW w:w="1276" w:type="dxa"/>
            <w:shd w:val="clear" w:color="auto" w:fill="EAF1DD" w:themeFill="accent3" w:themeFillTint="33"/>
            <w:noWrap/>
          </w:tcPr>
          <w:p w14:paraId="20EBABD6" w14:textId="0BB86845" w:rsidR="00FA01FB" w:rsidRPr="00FA01FB" w:rsidRDefault="00FA01FB" w:rsidP="00FA01FB">
            <w:pPr>
              <w:spacing w:after="0"/>
              <w:jc w:val="right"/>
              <w:rPr>
                <w:noProof/>
                <w:sz w:val="20"/>
                <w:szCs w:val="20"/>
                <w:lang w:val="en-IE" w:eastAsia="en-IE"/>
              </w:rPr>
            </w:pPr>
            <w:r w:rsidRPr="005B15E8">
              <w:rPr>
                <w:noProof/>
                <w:sz w:val="20"/>
                <w:szCs w:val="20"/>
              </w:rPr>
              <w:t xml:space="preserve"> (328 412 809)</w:t>
            </w:r>
          </w:p>
        </w:tc>
        <w:tc>
          <w:tcPr>
            <w:tcW w:w="1276" w:type="dxa"/>
            <w:shd w:val="clear" w:color="auto" w:fill="EAF1DD" w:themeFill="accent3" w:themeFillTint="33"/>
            <w:noWrap/>
          </w:tcPr>
          <w:p w14:paraId="0C2BFC20" w14:textId="49972DFD" w:rsidR="00FA01FB" w:rsidRPr="00FA01FB" w:rsidRDefault="00FA01FB" w:rsidP="00FA01FB">
            <w:pPr>
              <w:spacing w:after="0"/>
              <w:jc w:val="right"/>
              <w:rPr>
                <w:noProof/>
                <w:sz w:val="20"/>
                <w:szCs w:val="20"/>
                <w:lang w:val="en-IE" w:eastAsia="en-IE"/>
              </w:rPr>
            </w:pPr>
            <w:r w:rsidRPr="005B15E8">
              <w:rPr>
                <w:noProof/>
                <w:sz w:val="20"/>
                <w:szCs w:val="20"/>
              </w:rPr>
              <w:t xml:space="preserve"> (164 206 405)</w:t>
            </w:r>
          </w:p>
        </w:tc>
        <w:tc>
          <w:tcPr>
            <w:tcW w:w="1275" w:type="dxa"/>
            <w:shd w:val="clear" w:color="auto" w:fill="EAF1DD" w:themeFill="accent3" w:themeFillTint="33"/>
            <w:noWrap/>
          </w:tcPr>
          <w:p w14:paraId="0E7400C4" w14:textId="4AE54098" w:rsidR="00FA01FB" w:rsidRPr="00FA01FB" w:rsidRDefault="00FA01FB" w:rsidP="005B15E8">
            <w:pPr>
              <w:spacing w:after="0"/>
              <w:jc w:val="right"/>
              <w:rPr>
                <w:noProof/>
                <w:sz w:val="20"/>
                <w:szCs w:val="20"/>
                <w:lang w:val="en-IE" w:eastAsia="en-IE"/>
              </w:rPr>
            </w:pPr>
            <w:r w:rsidRPr="005B15E8">
              <w:rPr>
                <w:noProof/>
                <w:sz w:val="20"/>
                <w:szCs w:val="20"/>
              </w:rPr>
              <w:t xml:space="preserve"> (495</w:t>
            </w:r>
            <w:r w:rsidR="00D00876">
              <w:rPr>
                <w:noProof/>
                <w:sz w:val="20"/>
                <w:szCs w:val="20"/>
              </w:rPr>
              <w:t xml:space="preserve"> </w:t>
            </w:r>
            <w:r w:rsidRPr="005B15E8">
              <w:rPr>
                <w:noProof/>
                <w:sz w:val="20"/>
                <w:szCs w:val="20"/>
              </w:rPr>
              <w:t>604</w:t>
            </w:r>
            <w:r w:rsidR="00D00876">
              <w:rPr>
                <w:noProof/>
                <w:sz w:val="20"/>
                <w:szCs w:val="20"/>
              </w:rPr>
              <w:t xml:space="preserve"> </w:t>
            </w:r>
            <w:r w:rsidRPr="005B15E8">
              <w:rPr>
                <w:noProof/>
                <w:sz w:val="20"/>
                <w:szCs w:val="20"/>
              </w:rPr>
              <w:t>785)</w:t>
            </w:r>
          </w:p>
        </w:tc>
      </w:tr>
      <w:tr w:rsidR="009D4247" w:rsidRPr="00D74ABD" w14:paraId="66810244" w14:textId="77777777" w:rsidTr="00FB7BD9">
        <w:trPr>
          <w:trHeight w:val="158"/>
        </w:trPr>
        <w:tc>
          <w:tcPr>
            <w:tcW w:w="1976" w:type="dxa"/>
            <w:shd w:val="clear" w:color="auto" w:fill="F2F2F2" w:themeFill="background1" w:themeFillShade="F2"/>
            <w:noWrap/>
            <w:hideMark/>
          </w:tcPr>
          <w:p w14:paraId="33946161" w14:textId="77777777" w:rsidR="00FA01FB" w:rsidRPr="00FA63C0" w:rsidRDefault="00FA01FB" w:rsidP="00FA01FB">
            <w:pPr>
              <w:spacing w:after="0"/>
              <w:jc w:val="left"/>
              <w:rPr>
                <w:b/>
                <w:bCs/>
                <w:i/>
                <w:iCs/>
                <w:noProof/>
                <w:sz w:val="20"/>
                <w:szCs w:val="20"/>
                <w:lang w:val="en-IE" w:eastAsia="en-IE"/>
              </w:rPr>
            </w:pPr>
            <w:r w:rsidRPr="00FA63C0">
              <w:rPr>
                <w:b/>
                <w:bCs/>
                <w:i/>
                <w:iCs/>
                <w:noProof/>
                <w:sz w:val="20"/>
                <w:szCs w:val="20"/>
                <w:lang w:val="en-IE" w:eastAsia="en-IE"/>
              </w:rPr>
              <w:t>Net impact</w:t>
            </w:r>
          </w:p>
        </w:tc>
        <w:tc>
          <w:tcPr>
            <w:tcW w:w="1568" w:type="dxa"/>
            <w:shd w:val="clear" w:color="auto" w:fill="F2F2F2" w:themeFill="background1" w:themeFillShade="F2"/>
          </w:tcPr>
          <w:p w14:paraId="5E688720" w14:textId="73B3220E" w:rsidR="00FA01FB" w:rsidRPr="00FA63C0" w:rsidRDefault="00413742" w:rsidP="00FA01FB">
            <w:pPr>
              <w:spacing w:after="0"/>
              <w:jc w:val="right"/>
              <w:rPr>
                <w:b/>
                <w:bCs/>
                <w:noProof/>
                <w:sz w:val="20"/>
                <w:szCs w:val="20"/>
                <w:lang w:val="en-IE" w:eastAsia="en-IE"/>
              </w:rPr>
            </w:pPr>
            <w:r w:rsidRPr="00D05426">
              <w:rPr>
                <w:b/>
                <w:bCs/>
                <w:noProof/>
                <w:sz w:val="20"/>
                <w:szCs w:val="20"/>
                <w:lang w:val="en-IE" w:eastAsia="en-IE"/>
              </w:rPr>
              <w:t>(273</w:t>
            </w:r>
            <w:r>
              <w:rPr>
                <w:b/>
                <w:bCs/>
                <w:noProof/>
                <w:sz w:val="20"/>
                <w:szCs w:val="20"/>
                <w:lang w:val="en-IE" w:eastAsia="en-IE"/>
              </w:rPr>
              <w:t xml:space="preserve"> </w:t>
            </w:r>
            <w:r w:rsidRPr="00D05426">
              <w:rPr>
                <w:b/>
                <w:bCs/>
                <w:noProof/>
                <w:sz w:val="20"/>
                <w:szCs w:val="20"/>
                <w:lang w:val="en-IE" w:eastAsia="en-IE"/>
              </w:rPr>
              <w:t>038</w:t>
            </w:r>
            <w:r>
              <w:rPr>
                <w:b/>
                <w:bCs/>
                <w:noProof/>
                <w:sz w:val="20"/>
                <w:szCs w:val="20"/>
                <w:lang w:val="en-IE" w:eastAsia="en-IE"/>
              </w:rPr>
              <w:t xml:space="preserve"> </w:t>
            </w:r>
            <w:r w:rsidRPr="00D05426">
              <w:rPr>
                <w:b/>
                <w:bCs/>
                <w:noProof/>
                <w:sz w:val="20"/>
                <w:szCs w:val="20"/>
                <w:lang w:val="en-IE" w:eastAsia="en-IE"/>
              </w:rPr>
              <w:t>827)</w:t>
            </w:r>
          </w:p>
        </w:tc>
        <w:tc>
          <w:tcPr>
            <w:tcW w:w="992" w:type="dxa"/>
            <w:shd w:val="clear" w:color="auto" w:fill="F2F2F2" w:themeFill="background1" w:themeFillShade="F2"/>
          </w:tcPr>
          <w:p w14:paraId="6B14BC00" w14:textId="707D38CB" w:rsidR="00FA01FB" w:rsidRPr="00FA63C0" w:rsidRDefault="006E326E" w:rsidP="00FA01FB">
            <w:pPr>
              <w:spacing w:after="0"/>
              <w:jc w:val="right"/>
              <w:rPr>
                <w:b/>
                <w:bCs/>
                <w:noProof/>
                <w:sz w:val="20"/>
                <w:szCs w:val="20"/>
                <w:lang w:val="en-IE" w:eastAsia="en-IE"/>
              </w:rPr>
            </w:pPr>
            <w:r w:rsidRPr="00FA63C0">
              <w:rPr>
                <w:noProof/>
                <w:sz w:val="20"/>
                <w:szCs w:val="20"/>
              </w:rPr>
              <w:t xml:space="preserve"> -   </w:t>
            </w:r>
          </w:p>
        </w:tc>
        <w:tc>
          <w:tcPr>
            <w:tcW w:w="1276" w:type="dxa"/>
            <w:shd w:val="clear" w:color="auto" w:fill="F2F2F2" w:themeFill="background1" w:themeFillShade="F2"/>
          </w:tcPr>
          <w:p w14:paraId="157D42FD" w14:textId="02259340" w:rsidR="00FA01FB" w:rsidRPr="00FA63C0" w:rsidRDefault="005B15E8" w:rsidP="00FA01FB">
            <w:pPr>
              <w:spacing w:after="0"/>
              <w:jc w:val="right"/>
              <w:rPr>
                <w:b/>
                <w:bCs/>
                <w:noProof/>
                <w:sz w:val="20"/>
                <w:szCs w:val="20"/>
                <w:lang w:val="en-IE" w:eastAsia="en-IE"/>
              </w:rPr>
            </w:pPr>
            <w:r>
              <w:rPr>
                <w:b/>
                <w:bCs/>
                <w:noProof/>
                <w:sz w:val="20"/>
                <w:szCs w:val="20"/>
                <w:lang w:val="en-IE" w:eastAsia="en-IE"/>
              </w:rPr>
              <w:t xml:space="preserve"> </w:t>
            </w:r>
            <w:r w:rsidR="00413742" w:rsidRPr="005B15E8">
              <w:rPr>
                <w:b/>
                <w:noProof/>
                <w:sz w:val="20"/>
                <w:szCs w:val="20"/>
                <w:lang w:val="en-IE" w:eastAsia="en-IE"/>
              </w:rPr>
              <w:t>339 401 554</w:t>
            </w:r>
          </w:p>
        </w:tc>
        <w:tc>
          <w:tcPr>
            <w:tcW w:w="1276" w:type="dxa"/>
            <w:shd w:val="clear" w:color="auto" w:fill="F2F2F2" w:themeFill="background1" w:themeFillShade="F2"/>
            <w:noWrap/>
          </w:tcPr>
          <w:p w14:paraId="017FA879" w14:textId="382A14CC" w:rsidR="00FA01FB" w:rsidRPr="00FA01FB" w:rsidRDefault="00FA01FB" w:rsidP="00FA01FB">
            <w:pPr>
              <w:spacing w:after="0"/>
              <w:jc w:val="right"/>
              <w:rPr>
                <w:b/>
                <w:bCs/>
                <w:noProof/>
                <w:sz w:val="20"/>
                <w:szCs w:val="20"/>
                <w:lang w:val="en-IE" w:eastAsia="en-IE"/>
              </w:rPr>
            </w:pPr>
            <w:r w:rsidRPr="005B15E8">
              <w:rPr>
                <w:b/>
                <w:noProof/>
                <w:sz w:val="20"/>
                <w:szCs w:val="20"/>
              </w:rPr>
              <w:t xml:space="preserve"> 66 362 727 </w:t>
            </w:r>
          </w:p>
        </w:tc>
        <w:tc>
          <w:tcPr>
            <w:tcW w:w="1276" w:type="dxa"/>
            <w:shd w:val="clear" w:color="auto" w:fill="F2F2F2" w:themeFill="background1" w:themeFillShade="F2"/>
            <w:noWrap/>
          </w:tcPr>
          <w:p w14:paraId="196EE527" w14:textId="148AF8AD" w:rsidR="00FA01FB" w:rsidRPr="00FA01FB" w:rsidRDefault="00FA01FB" w:rsidP="00FA01FB">
            <w:pPr>
              <w:spacing w:after="0"/>
              <w:jc w:val="right"/>
              <w:rPr>
                <w:b/>
                <w:bCs/>
                <w:noProof/>
                <w:sz w:val="20"/>
                <w:szCs w:val="20"/>
                <w:lang w:val="en-IE" w:eastAsia="en-IE"/>
              </w:rPr>
            </w:pPr>
            <w:r w:rsidRPr="005B15E8">
              <w:rPr>
                <w:b/>
                <w:noProof/>
                <w:sz w:val="20"/>
                <w:szCs w:val="20"/>
              </w:rPr>
              <w:t xml:space="preserve"> 35 473 454 </w:t>
            </w:r>
          </w:p>
        </w:tc>
        <w:tc>
          <w:tcPr>
            <w:tcW w:w="1275" w:type="dxa"/>
            <w:gridSpan w:val="2"/>
            <w:shd w:val="clear" w:color="auto" w:fill="F2F2F2" w:themeFill="background1" w:themeFillShade="F2"/>
            <w:noWrap/>
          </w:tcPr>
          <w:p w14:paraId="4E59CFAD" w14:textId="778E7336" w:rsidR="00FA01FB" w:rsidRPr="00FA01FB" w:rsidRDefault="00FA01FB" w:rsidP="00FA01FB">
            <w:pPr>
              <w:spacing w:after="0"/>
              <w:jc w:val="right"/>
              <w:rPr>
                <w:b/>
                <w:bCs/>
                <w:noProof/>
                <w:sz w:val="20"/>
                <w:szCs w:val="20"/>
                <w:lang w:val="en-IE" w:eastAsia="en-IE"/>
              </w:rPr>
            </w:pPr>
            <w:r w:rsidRPr="005B15E8">
              <w:rPr>
                <w:b/>
                <w:noProof/>
                <w:sz w:val="20"/>
                <w:szCs w:val="20"/>
              </w:rPr>
              <w:t xml:space="preserve"> 97 543 217 </w:t>
            </w:r>
          </w:p>
        </w:tc>
      </w:tr>
    </w:tbl>
    <w:p w14:paraId="3CAE34D5" w14:textId="04FAFABC" w:rsidR="009A2919" w:rsidRPr="003F5894" w:rsidRDefault="009A2919" w:rsidP="00C15B25">
      <w:pPr>
        <w:pStyle w:val="Heading2"/>
        <w:numPr>
          <w:ilvl w:val="1"/>
          <w:numId w:val="10"/>
        </w:numPr>
        <w:tabs>
          <w:tab w:val="num" w:pos="283"/>
        </w:tabs>
        <w:spacing w:before="240"/>
        <w:ind w:left="1202"/>
        <w:rPr>
          <w:noProof/>
        </w:rPr>
      </w:pPr>
      <w:bookmarkStart w:id="266" w:name="_Toc214519728"/>
      <w:bookmarkStart w:id="267" w:name="_Toc216283379"/>
      <w:bookmarkStart w:id="268" w:name="_Toc228346934"/>
      <w:r w:rsidRPr="003F5894">
        <w:rPr>
          <w:noProof/>
        </w:rPr>
        <w:t xml:space="preserve">PM24: </w:t>
      </w:r>
      <w:r w:rsidR="0050313F">
        <w:rPr>
          <w:noProof/>
        </w:rPr>
        <w:t xml:space="preserve">Tools to enrich </w:t>
      </w:r>
      <w:r w:rsidRPr="003F5894">
        <w:rPr>
          <w:noProof/>
        </w:rPr>
        <w:t xml:space="preserve">EU </w:t>
      </w:r>
      <w:r w:rsidR="0001203E">
        <w:rPr>
          <w:noProof/>
        </w:rPr>
        <w:t>cloud</w:t>
      </w:r>
      <w:r w:rsidRPr="003F5894">
        <w:rPr>
          <w:noProof/>
        </w:rPr>
        <w:t xml:space="preserve"> and AI </w:t>
      </w:r>
      <w:bookmarkEnd w:id="266"/>
      <w:r w:rsidR="00B02432">
        <w:rPr>
          <w:noProof/>
        </w:rPr>
        <w:t xml:space="preserve">computing services </w:t>
      </w:r>
      <w:r w:rsidR="0050313F">
        <w:rPr>
          <w:noProof/>
        </w:rPr>
        <w:t>offering</w:t>
      </w:r>
      <w:bookmarkEnd w:id="267"/>
      <w:bookmarkEnd w:id="268"/>
    </w:p>
    <w:p w14:paraId="345B552C" w14:textId="3142FFDE" w:rsidR="00E058BA" w:rsidRDefault="009A2919" w:rsidP="009A2919">
      <w:pPr>
        <w:rPr>
          <w:noProof/>
        </w:rPr>
      </w:pPr>
      <w:r w:rsidRPr="00C1102A">
        <w:rPr>
          <w:noProof/>
        </w:rPr>
        <w:t xml:space="preserve">This policy measure </w:t>
      </w:r>
      <w:r w:rsidR="006B669D">
        <w:rPr>
          <w:noProof/>
        </w:rPr>
        <w:t>sets up</w:t>
      </w:r>
      <w:r w:rsidR="00356EFF">
        <w:rPr>
          <w:noProof/>
        </w:rPr>
        <w:t xml:space="preserve"> actions to improve the competitiveness of European</w:t>
      </w:r>
      <w:r w:rsidR="002B55BA">
        <w:rPr>
          <w:noProof/>
        </w:rPr>
        <w:t xml:space="preserve"> cloud and AI computing services </w:t>
      </w:r>
      <w:r w:rsidR="00161135">
        <w:rPr>
          <w:noProof/>
        </w:rPr>
        <w:t>by</w:t>
      </w:r>
      <w:r w:rsidRPr="00C1102A">
        <w:rPr>
          <w:noProof/>
        </w:rPr>
        <w:t xml:space="preserve"> facilitat</w:t>
      </w:r>
      <w:r w:rsidR="002B55BA">
        <w:rPr>
          <w:noProof/>
        </w:rPr>
        <w:t xml:space="preserve">ing tools </w:t>
      </w:r>
      <w:r w:rsidR="001F0E1D">
        <w:rPr>
          <w:noProof/>
        </w:rPr>
        <w:t xml:space="preserve">to improve their service offer </w:t>
      </w:r>
      <w:r w:rsidR="00B90277">
        <w:rPr>
          <w:noProof/>
        </w:rPr>
        <w:t xml:space="preserve">and </w:t>
      </w:r>
      <w:r w:rsidR="001F0E1D">
        <w:rPr>
          <w:noProof/>
        </w:rPr>
        <w:t>meet</w:t>
      </w:r>
      <w:r w:rsidRPr="00C1102A">
        <w:rPr>
          <w:noProof/>
        </w:rPr>
        <w:t xml:space="preserve"> the demand</w:t>
      </w:r>
      <w:r w:rsidR="00EF23D8">
        <w:rPr>
          <w:noProof/>
        </w:rPr>
        <w:t xml:space="preserve"> </w:t>
      </w:r>
      <w:r w:rsidRPr="00C1102A">
        <w:rPr>
          <w:noProof/>
        </w:rPr>
        <w:t xml:space="preserve">for cloud and AI </w:t>
      </w:r>
      <w:r w:rsidR="00A24504">
        <w:rPr>
          <w:noProof/>
        </w:rPr>
        <w:t xml:space="preserve">computing </w:t>
      </w:r>
      <w:r w:rsidRPr="00C1102A">
        <w:rPr>
          <w:noProof/>
        </w:rPr>
        <w:t>services</w:t>
      </w:r>
      <w:r w:rsidR="002C1820">
        <w:rPr>
          <w:noProof/>
        </w:rPr>
        <w:t xml:space="preserve"> in different sectors</w:t>
      </w:r>
      <w:r w:rsidRPr="00C1102A">
        <w:rPr>
          <w:noProof/>
        </w:rPr>
        <w:t xml:space="preserve">. </w:t>
      </w:r>
      <w:r>
        <w:rPr>
          <w:noProof/>
        </w:rPr>
        <w:t xml:space="preserve">The aim is to </w:t>
      </w:r>
      <w:r w:rsidR="006B669D">
        <w:rPr>
          <w:noProof/>
        </w:rPr>
        <w:t>a)</w:t>
      </w:r>
      <w:r>
        <w:rPr>
          <w:noProof/>
        </w:rPr>
        <w:t xml:space="preserve"> </w:t>
      </w:r>
      <w:r w:rsidR="006B669D">
        <w:rPr>
          <w:noProof/>
        </w:rPr>
        <w:t xml:space="preserve">promote </w:t>
      </w:r>
      <w:r w:rsidR="00D22F31">
        <w:rPr>
          <w:noProof/>
        </w:rPr>
        <w:t>the development</w:t>
      </w:r>
      <w:r>
        <w:rPr>
          <w:noProof/>
        </w:rPr>
        <w:t xml:space="preserve"> </w:t>
      </w:r>
      <w:r w:rsidR="00D22F31">
        <w:rPr>
          <w:noProof/>
        </w:rPr>
        <w:t xml:space="preserve">of </w:t>
      </w:r>
      <w:r w:rsidR="007E7D01">
        <w:rPr>
          <w:noProof/>
        </w:rPr>
        <w:t xml:space="preserve">open source </w:t>
      </w:r>
      <w:r w:rsidR="00D22F31">
        <w:rPr>
          <w:noProof/>
        </w:rPr>
        <w:t>tools that allow to combine, compose</w:t>
      </w:r>
      <w:r w:rsidR="009653EC">
        <w:rPr>
          <w:noProof/>
        </w:rPr>
        <w:t xml:space="preserve"> and</w:t>
      </w:r>
      <w:r w:rsidR="00D22F31">
        <w:rPr>
          <w:noProof/>
        </w:rPr>
        <w:t xml:space="preserve"> integrate </w:t>
      </w:r>
      <w:r w:rsidR="009653EC">
        <w:rPr>
          <w:noProof/>
        </w:rPr>
        <w:t xml:space="preserve">diverse functionality to deliver more complex services </w:t>
      </w:r>
      <w:r w:rsidR="00A205DA">
        <w:rPr>
          <w:noProof/>
        </w:rPr>
        <w:t xml:space="preserve">and </w:t>
      </w:r>
      <w:r w:rsidR="0060241B">
        <w:rPr>
          <w:noProof/>
        </w:rPr>
        <w:t>ease</w:t>
      </w:r>
      <w:r w:rsidR="00A205DA">
        <w:rPr>
          <w:noProof/>
        </w:rPr>
        <w:t xml:space="preserve"> their consumption, deployment and o</w:t>
      </w:r>
      <w:r w:rsidR="007E7D01">
        <w:rPr>
          <w:noProof/>
        </w:rPr>
        <w:t>peration</w:t>
      </w:r>
      <w:r w:rsidR="00562D45">
        <w:rPr>
          <w:noProof/>
        </w:rPr>
        <w:t xml:space="preserve"> (the “Toolbox”)</w:t>
      </w:r>
      <w:r w:rsidR="007E7D01">
        <w:rPr>
          <w:noProof/>
        </w:rPr>
        <w:t xml:space="preserve">, b) </w:t>
      </w:r>
      <w:r w:rsidR="001C1ED1">
        <w:rPr>
          <w:noProof/>
        </w:rPr>
        <w:t>make visible these tools and other open source software components for cloud and AI computing services in a repository at Union level</w:t>
      </w:r>
      <w:r w:rsidR="00D043F8">
        <w:rPr>
          <w:noProof/>
        </w:rPr>
        <w:t xml:space="preserve"> (the open source </w:t>
      </w:r>
      <w:r w:rsidR="00DB61DC">
        <w:rPr>
          <w:noProof/>
        </w:rPr>
        <w:t xml:space="preserve">Cloud and AI </w:t>
      </w:r>
      <w:r w:rsidR="00E058BA">
        <w:rPr>
          <w:noProof/>
        </w:rPr>
        <w:t>“</w:t>
      </w:r>
      <w:r w:rsidR="00D043F8">
        <w:rPr>
          <w:noProof/>
        </w:rPr>
        <w:t>Repository”)</w:t>
      </w:r>
      <w:r w:rsidR="001C1ED1">
        <w:rPr>
          <w:noProof/>
        </w:rPr>
        <w:t>.</w:t>
      </w:r>
      <w:r w:rsidR="007E7D01">
        <w:rPr>
          <w:noProof/>
        </w:rPr>
        <w:t xml:space="preserve"> </w:t>
      </w:r>
    </w:p>
    <w:p w14:paraId="2AF2CFD7" w14:textId="384DB9AD" w:rsidR="009A2919" w:rsidRPr="00C1102A" w:rsidRDefault="00A60AFC" w:rsidP="009A2919">
      <w:pPr>
        <w:rPr>
          <w:noProof/>
        </w:rPr>
      </w:pPr>
      <w:r>
        <w:rPr>
          <w:noProof/>
        </w:rPr>
        <w:t>Th</w:t>
      </w:r>
      <w:r w:rsidR="00E058BA">
        <w:rPr>
          <w:noProof/>
        </w:rPr>
        <w:t>e</w:t>
      </w:r>
      <w:r>
        <w:rPr>
          <w:noProof/>
        </w:rPr>
        <w:t xml:space="preserve"> </w:t>
      </w:r>
      <w:r w:rsidR="00E058BA">
        <w:rPr>
          <w:noProof/>
        </w:rPr>
        <w:t>R</w:t>
      </w:r>
      <w:r>
        <w:rPr>
          <w:noProof/>
        </w:rPr>
        <w:t xml:space="preserve">epository will </w:t>
      </w:r>
      <w:r w:rsidR="009A2919" w:rsidRPr="00C1102A">
        <w:rPr>
          <w:noProof/>
        </w:rPr>
        <w:t>improv</w:t>
      </w:r>
      <w:r>
        <w:rPr>
          <w:noProof/>
        </w:rPr>
        <w:t>e</w:t>
      </w:r>
      <w:r w:rsidR="00800378">
        <w:rPr>
          <w:noProof/>
        </w:rPr>
        <w:t xml:space="preserve"> their </w:t>
      </w:r>
      <w:r w:rsidR="009A2919" w:rsidRPr="00C1102A">
        <w:rPr>
          <w:noProof/>
        </w:rPr>
        <w:t>visibility</w:t>
      </w:r>
      <w:r>
        <w:rPr>
          <w:noProof/>
        </w:rPr>
        <w:t xml:space="preserve"> and accessibility </w:t>
      </w:r>
      <w:r w:rsidR="00800378">
        <w:rPr>
          <w:noProof/>
        </w:rPr>
        <w:t xml:space="preserve">to the cloud and AI service </w:t>
      </w:r>
      <w:r w:rsidR="0060680B">
        <w:rPr>
          <w:noProof/>
        </w:rPr>
        <w:t xml:space="preserve">provider </w:t>
      </w:r>
      <w:r w:rsidR="00800378">
        <w:rPr>
          <w:noProof/>
        </w:rPr>
        <w:t>community</w:t>
      </w:r>
      <w:r w:rsidR="00737FDE">
        <w:rPr>
          <w:noProof/>
        </w:rPr>
        <w:t>,</w:t>
      </w:r>
      <w:r w:rsidR="00800378">
        <w:rPr>
          <w:noProof/>
        </w:rPr>
        <w:t xml:space="preserve"> and </w:t>
      </w:r>
      <w:r w:rsidR="0060680B">
        <w:rPr>
          <w:noProof/>
        </w:rPr>
        <w:t xml:space="preserve">the </w:t>
      </w:r>
      <w:r w:rsidR="002C3712">
        <w:rPr>
          <w:noProof/>
        </w:rPr>
        <w:t>Toolbox</w:t>
      </w:r>
      <w:r w:rsidR="0060680B">
        <w:rPr>
          <w:noProof/>
        </w:rPr>
        <w:t xml:space="preserve"> will </w:t>
      </w:r>
      <w:r w:rsidR="00E33C8A">
        <w:rPr>
          <w:noProof/>
        </w:rPr>
        <w:t>facilitate</w:t>
      </w:r>
      <w:r w:rsidR="00572FE2">
        <w:rPr>
          <w:noProof/>
        </w:rPr>
        <w:t xml:space="preserve"> smaller providers</w:t>
      </w:r>
      <w:r w:rsidR="00800378">
        <w:rPr>
          <w:noProof/>
        </w:rPr>
        <w:t xml:space="preserve"> to enrich </w:t>
      </w:r>
      <w:r w:rsidR="002E71D5">
        <w:rPr>
          <w:noProof/>
        </w:rPr>
        <w:t>and enable a more integrated</w:t>
      </w:r>
      <w:r w:rsidR="005216EB">
        <w:rPr>
          <w:noProof/>
        </w:rPr>
        <w:t xml:space="preserve"> </w:t>
      </w:r>
      <w:r w:rsidR="00E33C8A">
        <w:rPr>
          <w:noProof/>
        </w:rPr>
        <w:t xml:space="preserve">and competitive </w:t>
      </w:r>
      <w:r w:rsidR="005216EB">
        <w:rPr>
          <w:noProof/>
        </w:rPr>
        <w:t>offer of cloud and AI services</w:t>
      </w:r>
      <w:r w:rsidR="004528C8">
        <w:rPr>
          <w:noProof/>
        </w:rPr>
        <w:t xml:space="preserve">, reducing the </w:t>
      </w:r>
      <w:r w:rsidR="00D55411">
        <w:rPr>
          <w:noProof/>
        </w:rPr>
        <w:t xml:space="preserve">functionality </w:t>
      </w:r>
      <w:r w:rsidR="004528C8">
        <w:rPr>
          <w:noProof/>
        </w:rPr>
        <w:t>gap with the rich marketplaces provided by the dominant players</w:t>
      </w:r>
      <w:r w:rsidR="009A2919" w:rsidRPr="00C1102A">
        <w:rPr>
          <w:noProof/>
        </w:rPr>
        <w:t>.</w:t>
      </w:r>
    </w:p>
    <w:p w14:paraId="3BF8B216" w14:textId="47C3841F" w:rsidR="009A020E" w:rsidRDefault="009A2919" w:rsidP="009A2919">
      <w:pPr>
        <w:rPr>
          <w:bCs/>
          <w:noProof/>
        </w:rPr>
      </w:pPr>
      <w:r w:rsidRPr="00381443">
        <w:rPr>
          <w:b/>
          <w:i/>
          <w:noProof/>
        </w:rPr>
        <w:t xml:space="preserve">One-off administrative costs </w:t>
      </w:r>
      <w:r w:rsidR="00751CD4" w:rsidRPr="00381443">
        <w:rPr>
          <w:b/>
          <w:i/>
          <w:noProof/>
        </w:rPr>
        <w:t>for</w:t>
      </w:r>
      <w:r w:rsidRPr="00381443">
        <w:rPr>
          <w:b/>
          <w:i/>
          <w:noProof/>
        </w:rPr>
        <w:t xml:space="preserve"> the European Commission</w:t>
      </w:r>
      <w:r w:rsidRPr="00C1102A">
        <w:rPr>
          <w:b/>
          <w:noProof/>
        </w:rPr>
        <w:t>.</w:t>
      </w:r>
      <w:r w:rsidRPr="00DA029C">
        <w:rPr>
          <w:noProof/>
        </w:rPr>
        <w:t xml:space="preserve"> </w:t>
      </w:r>
      <w:r w:rsidRPr="00DA029C">
        <w:rPr>
          <w:bCs/>
          <w:noProof/>
        </w:rPr>
        <w:t>Th</w:t>
      </w:r>
      <w:r w:rsidRPr="00C1102A">
        <w:rPr>
          <w:noProof/>
        </w:rPr>
        <w:t xml:space="preserve">e Commission will </w:t>
      </w:r>
      <w:r w:rsidRPr="00347843">
        <w:rPr>
          <w:noProof/>
        </w:rPr>
        <w:t xml:space="preserve">dedicate </w:t>
      </w:r>
      <w:r w:rsidR="00474C07">
        <w:rPr>
          <w:noProof/>
        </w:rPr>
        <w:t>0.5 FTEs</w:t>
      </w:r>
      <w:r w:rsidRPr="00C1102A">
        <w:rPr>
          <w:noProof/>
        </w:rPr>
        <w:t xml:space="preserve"> during the first </w:t>
      </w:r>
      <w:r>
        <w:rPr>
          <w:noProof/>
        </w:rPr>
        <w:t xml:space="preserve">year </w:t>
      </w:r>
      <w:r w:rsidRPr="00C1102A">
        <w:rPr>
          <w:noProof/>
        </w:rPr>
        <w:t xml:space="preserve">to </w:t>
      </w:r>
      <w:r w:rsidR="00DF1F9E">
        <w:rPr>
          <w:bCs/>
          <w:noProof/>
        </w:rPr>
        <w:t>design the programme</w:t>
      </w:r>
      <w:r w:rsidR="00BA3DCF">
        <w:rPr>
          <w:bCs/>
          <w:noProof/>
        </w:rPr>
        <w:t>(s)</w:t>
      </w:r>
      <w:r w:rsidR="00DF1F9E">
        <w:rPr>
          <w:bCs/>
          <w:noProof/>
        </w:rPr>
        <w:t xml:space="preserve"> for the development of </w:t>
      </w:r>
      <w:r w:rsidR="008000C1">
        <w:rPr>
          <w:bCs/>
          <w:noProof/>
        </w:rPr>
        <w:t>Toolbox components</w:t>
      </w:r>
      <w:r w:rsidR="009A020E">
        <w:rPr>
          <w:bCs/>
          <w:noProof/>
        </w:rPr>
        <w:t>.</w:t>
      </w:r>
      <w:r>
        <w:rPr>
          <w:bCs/>
          <w:noProof/>
        </w:rPr>
        <w:t xml:space="preserve"> </w:t>
      </w:r>
    </w:p>
    <w:p w14:paraId="70EDDCA9" w14:textId="51BB3B88" w:rsidR="009A2919" w:rsidRPr="00DA029C" w:rsidRDefault="009A020E" w:rsidP="009A2919">
      <w:pPr>
        <w:rPr>
          <w:noProof/>
        </w:rPr>
      </w:pPr>
      <w:r w:rsidRPr="00381443">
        <w:rPr>
          <w:b/>
          <w:i/>
          <w:noProof/>
        </w:rPr>
        <w:t>Recurrent administrative costs for the European Commission</w:t>
      </w:r>
      <w:r>
        <w:rPr>
          <w:bCs/>
          <w:noProof/>
        </w:rPr>
        <w:t xml:space="preserve">. </w:t>
      </w:r>
      <w:r w:rsidR="000C15E6">
        <w:rPr>
          <w:bCs/>
          <w:noProof/>
        </w:rPr>
        <w:t>0.5</w:t>
      </w:r>
      <w:r w:rsidR="009A2919">
        <w:rPr>
          <w:bCs/>
          <w:noProof/>
        </w:rPr>
        <w:t xml:space="preserve"> FTE </w:t>
      </w:r>
      <w:r w:rsidR="00761100">
        <w:rPr>
          <w:bCs/>
          <w:noProof/>
        </w:rPr>
        <w:t>is</w:t>
      </w:r>
      <w:r>
        <w:rPr>
          <w:bCs/>
          <w:noProof/>
        </w:rPr>
        <w:t xml:space="preserve"> estimated</w:t>
      </w:r>
      <w:r w:rsidR="009A2919">
        <w:rPr>
          <w:bCs/>
          <w:noProof/>
        </w:rPr>
        <w:t xml:space="preserve"> to manage every year </w:t>
      </w:r>
      <w:r w:rsidR="00285FC0">
        <w:rPr>
          <w:bCs/>
          <w:noProof/>
        </w:rPr>
        <w:t>the repository</w:t>
      </w:r>
      <w:r w:rsidR="00BA3DCF">
        <w:rPr>
          <w:bCs/>
          <w:noProof/>
        </w:rPr>
        <w:t>, review and monitor the programme(s)</w:t>
      </w:r>
      <w:r w:rsidR="00285FC0">
        <w:rPr>
          <w:bCs/>
          <w:noProof/>
        </w:rPr>
        <w:t xml:space="preserve"> and </w:t>
      </w:r>
      <w:r w:rsidR="00761100">
        <w:rPr>
          <w:bCs/>
          <w:noProof/>
        </w:rPr>
        <w:t xml:space="preserve">run </w:t>
      </w:r>
      <w:r w:rsidR="009A2919">
        <w:rPr>
          <w:bCs/>
          <w:noProof/>
        </w:rPr>
        <w:t>administrative, compliance, financial</w:t>
      </w:r>
      <w:r w:rsidR="00761100">
        <w:rPr>
          <w:bCs/>
          <w:noProof/>
        </w:rPr>
        <w:t>,</w:t>
      </w:r>
      <w:r w:rsidR="009A2919">
        <w:rPr>
          <w:bCs/>
          <w:noProof/>
        </w:rPr>
        <w:t xml:space="preserve"> communication </w:t>
      </w:r>
      <w:r w:rsidR="00761100">
        <w:rPr>
          <w:bCs/>
          <w:noProof/>
        </w:rPr>
        <w:t xml:space="preserve">and community engagement </w:t>
      </w:r>
      <w:r w:rsidR="009A2919">
        <w:rPr>
          <w:bCs/>
          <w:noProof/>
        </w:rPr>
        <w:t xml:space="preserve">work associated to the </w:t>
      </w:r>
      <w:r w:rsidR="004D1023">
        <w:rPr>
          <w:bCs/>
          <w:noProof/>
        </w:rPr>
        <w:t xml:space="preserve">Toolbox development and the open source </w:t>
      </w:r>
      <w:r w:rsidR="00D55411">
        <w:rPr>
          <w:bCs/>
          <w:noProof/>
        </w:rPr>
        <w:t>R</w:t>
      </w:r>
      <w:r w:rsidR="004D1023">
        <w:rPr>
          <w:bCs/>
          <w:noProof/>
        </w:rPr>
        <w:t>epository</w:t>
      </w:r>
      <w:r w:rsidR="003F5894">
        <w:rPr>
          <w:bCs/>
          <w:noProof/>
        </w:rPr>
        <w:t>.</w:t>
      </w:r>
    </w:p>
    <w:p w14:paraId="62DE8924" w14:textId="7B91FB52" w:rsidR="00F77219" w:rsidRDefault="009A2919" w:rsidP="009A2919">
      <w:pPr>
        <w:rPr>
          <w:noProof/>
        </w:rPr>
      </w:pPr>
      <w:r w:rsidRPr="00381443">
        <w:rPr>
          <w:b/>
          <w:i/>
          <w:noProof/>
        </w:rPr>
        <w:t xml:space="preserve">One-off adjustment costs </w:t>
      </w:r>
      <w:r w:rsidR="00CA16D4" w:rsidRPr="00381443">
        <w:rPr>
          <w:b/>
          <w:i/>
          <w:noProof/>
        </w:rPr>
        <w:t>for</w:t>
      </w:r>
      <w:r w:rsidRPr="00381443">
        <w:rPr>
          <w:b/>
          <w:i/>
          <w:noProof/>
        </w:rPr>
        <w:t xml:space="preserve"> the European Commission</w:t>
      </w:r>
      <w:r w:rsidRPr="00C1102A">
        <w:rPr>
          <w:noProof/>
        </w:rPr>
        <w:t>.</w:t>
      </w:r>
      <w:r>
        <w:rPr>
          <w:noProof/>
        </w:rPr>
        <w:t xml:space="preserve"> </w:t>
      </w:r>
      <w:r w:rsidRPr="00F70A31">
        <w:rPr>
          <w:noProof/>
        </w:rPr>
        <w:t xml:space="preserve">The Commission will allocate </w:t>
      </w:r>
      <w:r w:rsidRPr="00DA029C">
        <w:rPr>
          <w:noProof/>
          <w:color w:val="212121"/>
        </w:rPr>
        <w:t>500</w:t>
      </w:r>
      <w:r w:rsidR="00A9685A">
        <w:rPr>
          <w:noProof/>
          <w:color w:val="212121"/>
        </w:rPr>
        <w:t xml:space="preserve"> </w:t>
      </w:r>
      <w:r w:rsidRPr="00DA029C">
        <w:rPr>
          <w:noProof/>
          <w:color w:val="212121"/>
        </w:rPr>
        <w:t>000 EUR</w:t>
      </w:r>
      <w:r w:rsidRPr="00F70A31">
        <w:rPr>
          <w:noProof/>
        </w:rPr>
        <w:t xml:space="preserve"> as one</w:t>
      </w:r>
      <w:r w:rsidRPr="00A352E4">
        <w:rPr>
          <w:noProof/>
        </w:rPr>
        <w:t xml:space="preserve">-off cost for building the </w:t>
      </w:r>
      <w:r w:rsidR="00F0444B" w:rsidRPr="00381443">
        <w:rPr>
          <w:noProof/>
        </w:rPr>
        <w:t xml:space="preserve">cloud and AI </w:t>
      </w:r>
      <w:r w:rsidR="00CF1559">
        <w:rPr>
          <w:noProof/>
        </w:rPr>
        <w:t xml:space="preserve">service </w:t>
      </w:r>
      <w:r w:rsidR="00562D45">
        <w:rPr>
          <w:noProof/>
        </w:rPr>
        <w:t xml:space="preserve">toolbox </w:t>
      </w:r>
      <w:r w:rsidR="00CF1559">
        <w:rPr>
          <w:noProof/>
        </w:rPr>
        <w:t>repository</w:t>
      </w:r>
      <w:r w:rsidR="00F0444B" w:rsidRPr="00381443">
        <w:rPr>
          <w:noProof/>
        </w:rPr>
        <w:t xml:space="preserve"> and will dedicate </w:t>
      </w:r>
      <w:r w:rsidR="00CF1559">
        <w:rPr>
          <w:noProof/>
        </w:rPr>
        <w:t>0.5</w:t>
      </w:r>
      <w:r w:rsidR="00F0444B" w:rsidRPr="00381443">
        <w:rPr>
          <w:noProof/>
        </w:rPr>
        <w:t xml:space="preserve"> FTEs to procure it and set it up</w:t>
      </w:r>
      <w:r w:rsidR="00F0444B" w:rsidRPr="00F0444B">
        <w:rPr>
          <w:noProof/>
        </w:rPr>
        <w:t>.</w:t>
      </w:r>
      <w:r w:rsidRPr="00F70A31">
        <w:rPr>
          <w:noProof/>
        </w:rPr>
        <w:t xml:space="preserve"> </w:t>
      </w:r>
    </w:p>
    <w:p w14:paraId="70372778" w14:textId="7CB7AE85" w:rsidR="009A2919" w:rsidRPr="003B0873" w:rsidRDefault="008B1C04" w:rsidP="009A2919">
      <w:pPr>
        <w:rPr>
          <w:noProof/>
          <w:color w:val="212121"/>
        </w:rPr>
      </w:pPr>
      <w:r w:rsidRPr="003B0873">
        <w:rPr>
          <w:b/>
          <w:i/>
          <w:noProof/>
        </w:rPr>
        <w:t xml:space="preserve">Recurrent adjustment costs for the European Commission. </w:t>
      </w:r>
      <w:r w:rsidR="009A2919" w:rsidRPr="003B0873">
        <w:rPr>
          <w:noProof/>
        </w:rPr>
        <w:t>The</w:t>
      </w:r>
      <w:r w:rsidR="009A2919" w:rsidRPr="00F70A31">
        <w:rPr>
          <w:noProof/>
          <w:color w:val="212121"/>
        </w:rPr>
        <w:t xml:space="preserve"> EC will engage an </w:t>
      </w:r>
      <w:r w:rsidR="009A2919" w:rsidRPr="00F70A31">
        <w:rPr>
          <w:noProof/>
        </w:rPr>
        <w:t>external</w:t>
      </w:r>
      <w:r w:rsidR="009A2919" w:rsidRPr="0024446B">
        <w:rPr>
          <w:noProof/>
        </w:rPr>
        <w:t xml:space="preserve"> contractor </w:t>
      </w:r>
      <w:r w:rsidR="009A2919" w:rsidRPr="00F70A31">
        <w:rPr>
          <w:noProof/>
        </w:rPr>
        <w:t>to maintain</w:t>
      </w:r>
      <w:r w:rsidR="009A2919" w:rsidRPr="0024446B">
        <w:rPr>
          <w:noProof/>
        </w:rPr>
        <w:t xml:space="preserve"> the </w:t>
      </w:r>
      <w:r w:rsidR="003B6332">
        <w:rPr>
          <w:noProof/>
        </w:rPr>
        <w:t>service repository</w:t>
      </w:r>
      <w:r w:rsidR="009A2919" w:rsidRPr="0024446B">
        <w:rPr>
          <w:noProof/>
        </w:rPr>
        <w:t xml:space="preserve"> </w:t>
      </w:r>
      <w:r w:rsidR="009A2919" w:rsidRPr="00F70A31">
        <w:rPr>
          <w:noProof/>
        </w:rPr>
        <w:t xml:space="preserve">with </w:t>
      </w:r>
      <w:r w:rsidR="009A2919" w:rsidRPr="0024446B">
        <w:rPr>
          <w:noProof/>
        </w:rPr>
        <w:t>each year</w:t>
      </w:r>
      <w:r w:rsidR="009A2919">
        <w:rPr>
          <w:noProof/>
        </w:rPr>
        <w:t xml:space="preserve"> </w:t>
      </w:r>
      <w:r w:rsidR="00285FC0">
        <w:rPr>
          <w:noProof/>
          <w:color w:val="212121"/>
        </w:rPr>
        <w:t>1</w:t>
      </w:r>
      <w:r w:rsidR="008C41E0" w:rsidRPr="00DA029C">
        <w:rPr>
          <w:noProof/>
          <w:color w:val="212121"/>
        </w:rPr>
        <w:t xml:space="preserve"> </w:t>
      </w:r>
      <w:r w:rsidR="009A2919" w:rsidRPr="00DA029C">
        <w:rPr>
          <w:noProof/>
          <w:color w:val="212121"/>
        </w:rPr>
        <w:t>FTE.</w:t>
      </w:r>
      <w:r w:rsidR="009A2919" w:rsidRPr="00F70A31">
        <w:rPr>
          <w:noProof/>
          <w:color w:val="212121"/>
        </w:rPr>
        <w:t xml:space="preserve"> The </w:t>
      </w:r>
      <w:r w:rsidR="009A2919" w:rsidRPr="00F70A31">
        <w:rPr>
          <w:noProof/>
        </w:rPr>
        <w:t xml:space="preserve">EC will host </w:t>
      </w:r>
      <w:r w:rsidR="009A2919" w:rsidRPr="0024446B">
        <w:rPr>
          <w:noProof/>
        </w:rPr>
        <w:t xml:space="preserve">the platform </w:t>
      </w:r>
      <w:r w:rsidR="009A2919" w:rsidRPr="00F70A31">
        <w:rPr>
          <w:noProof/>
        </w:rPr>
        <w:t>with a year</w:t>
      </w:r>
      <w:r w:rsidR="009A2919">
        <w:rPr>
          <w:noProof/>
        </w:rPr>
        <w:t>ly</w:t>
      </w:r>
      <w:r w:rsidR="009A2919" w:rsidRPr="00F70A31">
        <w:rPr>
          <w:noProof/>
        </w:rPr>
        <w:t xml:space="preserve"> cost of </w:t>
      </w:r>
      <w:r w:rsidR="00285FC0">
        <w:rPr>
          <w:noProof/>
          <w:color w:val="212121"/>
        </w:rPr>
        <w:t>1</w:t>
      </w:r>
      <w:r w:rsidR="009A2919" w:rsidRPr="00DA029C">
        <w:rPr>
          <w:noProof/>
          <w:color w:val="212121"/>
        </w:rPr>
        <w:t>00</w:t>
      </w:r>
      <w:r w:rsidR="008A522B">
        <w:rPr>
          <w:noProof/>
          <w:color w:val="212121"/>
        </w:rPr>
        <w:t xml:space="preserve"> </w:t>
      </w:r>
      <w:r w:rsidR="009A2919" w:rsidRPr="00DA029C">
        <w:rPr>
          <w:noProof/>
          <w:color w:val="212121"/>
        </w:rPr>
        <w:t>000 EUR.</w:t>
      </w:r>
    </w:p>
    <w:p w14:paraId="0EF20BFA" w14:textId="52FD496B" w:rsidR="009A2919" w:rsidRPr="00C1102A" w:rsidRDefault="009A2919" w:rsidP="009A2919">
      <w:pPr>
        <w:rPr>
          <w:noProof/>
        </w:rPr>
      </w:pPr>
      <w:r w:rsidRPr="00C1102A">
        <w:rPr>
          <w:noProof/>
        </w:rPr>
        <w:t>A</w:t>
      </w:r>
      <w:r w:rsidRPr="00C1102A" w:rsidDel="006571D5">
        <w:rPr>
          <w:noProof/>
        </w:rPr>
        <w:t xml:space="preserve"> </w:t>
      </w:r>
      <w:r w:rsidR="006571D5">
        <w:rPr>
          <w:noProof/>
        </w:rPr>
        <w:t>community</w:t>
      </w:r>
      <w:r w:rsidRPr="00C1102A">
        <w:rPr>
          <w:noProof/>
        </w:rPr>
        <w:t xml:space="preserve"> of </w:t>
      </w:r>
      <w:r w:rsidR="00F277BE">
        <w:rPr>
          <w:noProof/>
        </w:rPr>
        <w:t xml:space="preserve">cloud and AI computing service </w:t>
      </w:r>
      <w:r w:rsidRPr="00C1102A">
        <w:rPr>
          <w:noProof/>
        </w:rPr>
        <w:t>providers</w:t>
      </w:r>
      <w:r w:rsidR="00AD169B">
        <w:rPr>
          <w:noProof/>
        </w:rPr>
        <w:t xml:space="preserve">, </w:t>
      </w:r>
      <w:r w:rsidR="006571D5">
        <w:rPr>
          <w:noProof/>
        </w:rPr>
        <w:t>software and technology providers, cloud and AI consumers from different sectors</w:t>
      </w:r>
      <w:r w:rsidR="002E2903">
        <w:rPr>
          <w:noProof/>
        </w:rPr>
        <w:t>, research organizations and public sector organizations</w:t>
      </w:r>
      <w:r w:rsidR="006571D5">
        <w:rPr>
          <w:noProof/>
        </w:rPr>
        <w:t xml:space="preserve"> </w:t>
      </w:r>
      <w:r w:rsidRPr="00C1102A">
        <w:rPr>
          <w:noProof/>
        </w:rPr>
        <w:t xml:space="preserve">will </w:t>
      </w:r>
      <w:r w:rsidR="002E2903">
        <w:rPr>
          <w:noProof/>
        </w:rPr>
        <w:t>be set up to help in</w:t>
      </w:r>
      <w:r w:rsidR="008C6F12">
        <w:rPr>
          <w:noProof/>
        </w:rPr>
        <w:t xml:space="preserve"> defining requirements and objectives for the development programmes and for the repository</w:t>
      </w:r>
      <w:r w:rsidR="001E5651">
        <w:rPr>
          <w:noProof/>
        </w:rPr>
        <w:t xml:space="preserve">, and provide feedback about the results to steer </w:t>
      </w:r>
      <w:r w:rsidR="001C276F">
        <w:rPr>
          <w:noProof/>
        </w:rPr>
        <w:t xml:space="preserve">them </w:t>
      </w:r>
      <w:r w:rsidR="001E5651">
        <w:rPr>
          <w:noProof/>
        </w:rPr>
        <w:t>properly</w:t>
      </w:r>
      <w:r w:rsidRPr="00C1102A">
        <w:rPr>
          <w:noProof/>
        </w:rPr>
        <w:t>.</w:t>
      </w:r>
    </w:p>
    <w:p w14:paraId="7A4EF6B9" w14:textId="62FE4AB5" w:rsidR="009A2919" w:rsidRDefault="009A2919" w:rsidP="009A2919">
      <w:pPr>
        <w:rPr>
          <w:rFonts w:eastAsia="Times New Roman"/>
          <w:noProof/>
          <w:color w:val="000000" w:themeColor="text1"/>
        </w:rPr>
      </w:pPr>
      <w:r w:rsidRPr="4B96D7E5">
        <w:rPr>
          <w:rFonts w:eastAsia="Times New Roman"/>
          <w:b/>
          <w:bCs/>
          <w:noProof/>
          <w:color w:val="000000" w:themeColor="text1"/>
        </w:rPr>
        <w:t xml:space="preserve">Indirect </w:t>
      </w:r>
      <w:r w:rsidR="00690805">
        <w:rPr>
          <w:b/>
          <w:noProof/>
        </w:rPr>
        <w:t>savings</w:t>
      </w:r>
      <w:r w:rsidRPr="4B96D7E5">
        <w:rPr>
          <w:rFonts w:eastAsia="Times New Roman"/>
          <w:b/>
          <w:bCs/>
          <w:noProof/>
          <w:color w:val="000000" w:themeColor="text1"/>
        </w:rPr>
        <w:t xml:space="preserve">: </w:t>
      </w:r>
      <w:r w:rsidRPr="006F6E56">
        <w:rPr>
          <w:rFonts w:eastAsia="Times New Roman"/>
          <w:noProof/>
          <w:color w:val="000000" w:themeColor="text1"/>
        </w:rPr>
        <w:t xml:space="preserve">the expected </w:t>
      </w:r>
      <w:r w:rsidR="007C7787">
        <w:rPr>
          <w:rFonts w:eastAsia="Times New Roman"/>
          <w:noProof/>
          <w:color w:val="000000" w:themeColor="text1"/>
        </w:rPr>
        <w:t>benefit</w:t>
      </w:r>
      <w:r w:rsidR="00CD60DF">
        <w:rPr>
          <w:rFonts w:eastAsia="Times New Roman"/>
          <w:noProof/>
          <w:color w:val="000000" w:themeColor="text1"/>
        </w:rPr>
        <w:t xml:space="preserve"> is an qualitative improvement of the offer of Cloud and AI computing services from European providers that will</w:t>
      </w:r>
      <w:r w:rsidRPr="00325A0A">
        <w:rPr>
          <w:rFonts w:eastAsia="Times New Roman"/>
          <w:noProof/>
          <w:color w:val="000000" w:themeColor="text1"/>
        </w:rPr>
        <w:t xml:space="preserve"> increase</w:t>
      </w:r>
      <w:r w:rsidR="00CD60DF">
        <w:rPr>
          <w:rFonts w:eastAsia="Times New Roman"/>
          <w:noProof/>
          <w:color w:val="000000" w:themeColor="text1"/>
        </w:rPr>
        <w:t xml:space="preserve"> </w:t>
      </w:r>
      <w:r w:rsidR="00E47707">
        <w:rPr>
          <w:rFonts w:eastAsia="Times New Roman"/>
          <w:noProof/>
          <w:color w:val="000000" w:themeColor="text1"/>
        </w:rPr>
        <w:t>the</w:t>
      </w:r>
      <w:r w:rsidR="00CD60DF">
        <w:rPr>
          <w:rFonts w:eastAsia="Times New Roman"/>
          <w:noProof/>
          <w:color w:val="000000" w:themeColor="text1"/>
        </w:rPr>
        <w:t xml:space="preserve"> competitiveness </w:t>
      </w:r>
      <w:r w:rsidR="00E47707">
        <w:rPr>
          <w:rFonts w:eastAsia="Times New Roman"/>
          <w:noProof/>
          <w:color w:val="000000" w:themeColor="text1"/>
        </w:rPr>
        <w:t xml:space="preserve">of their portfolios </w:t>
      </w:r>
      <w:r w:rsidR="00CD60DF">
        <w:rPr>
          <w:rFonts w:eastAsia="Times New Roman"/>
          <w:noProof/>
          <w:color w:val="000000" w:themeColor="text1"/>
        </w:rPr>
        <w:t xml:space="preserve">and </w:t>
      </w:r>
      <w:r w:rsidR="009D41AF">
        <w:rPr>
          <w:rFonts w:eastAsia="Times New Roman"/>
          <w:noProof/>
          <w:color w:val="000000" w:themeColor="text1"/>
        </w:rPr>
        <w:t>help them gain</w:t>
      </w:r>
      <w:r w:rsidRPr="006F6E56">
        <w:rPr>
          <w:rFonts w:eastAsia="Times New Roman"/>
          <w:noProof/>
          <w:color w:val="000000" w:themeColor="text1"/>
        </w:rPr>
        <w:t xml:space="preserve"> market share </w:t>
      </w:r>
      <w:r w:rsidR="009D41AF">
        <w:rPr>
          <w:rFonts w:eastAsia="Times New Roman"/>
          <w:noProof/>
          <w:color w:val="000000" w:themeColor="text1"/>
        </w:rPr>
        <w:t>and</w:t>
      </w:r>
      <w:r w:rsidRPr="006F6E56">
        <w:rPr>
          <w:rFonts w:eastAsia="Times New Roman"/>
          <w:noProof/>
          <w:color w:val="000000" w:themeColor="text1"/>
        </w:rPr>
        <w:t xml:space="preserve"> scale</w:t>
      </w:r>
      <w:r>
        <w:rPr>
          <w:rFonts w:eastAsia="Times New Roman"/>
          <w:noProof/>
          <w:color w:val="000000" w:themeColor="text1"/>
        </w:rPr>
        <w:t>.</w:t>
      </w:r>
      <w:r w:rsidR="009D41AF">
        <w:rPr>
          <w:rFonts w:eastAsia="Times New Roman"/>
          <w:noProof/>
          <w:color w:val="000000" w:themeColor="text1"/>
        </w:rPr>
        <w:t xml:space="preserve"> The open</w:t>
      </w:r>
      <w:r w:rsidR="008C0746">
        <w:rPr>
          <w:rFonts w:eastAsia="Times New Roman"/>
          <w:noProof/>
          <w:color w:val="000000" w:themeColor="text1"/>
        </w:rPr>
        <w:t xml:space="preserve"> </w:t>
      </w:r>
      <w:r w:rsidR="009D41AF">
        <w:rPr>
          <w:rFonts w:eastAsia="Times New Roman"/>
          <w:noProof/>
          <w:color w:val="000000" w:themeColor="text1"/>
        </w:rPr>
        <w:t>source nature of the developments will also contribute to the compatibility, interoperability and portability of solutions among European cloud and AI service providers</w:t>
      </w:r>
      <w:r w:rsidR="009B0C97">
        <w:rPr>
          <w:rFonts w:eastAsia="Times New Roman"/>
          <w:noProof/>
          <w:color w:val="000000" w:themeColor="text1"/>
        </w:rPr>
        <w:t xml:space="preserve">, improving the freedom of choice for customers and competition. </w:t>
      </w:r>
      <w:r w:rsidR="001A4A74">
        <w:rPr>
          <w:rFonts w:eastAsia="Times New Roman"/>
          <w:noProof/>
          <w:color w:val="000000" w:themeColor="text1"/>
        </w:rPr>
        <w:t xml:space="preserve">Due to </w:t>
      </w:r>
      <w:r w:rsidR="00D35F0C">
        <w:rPr>
          <w:rFonts w:eastAsia="Times New Roman"/>
          <w:noProof/>
          <w:color w:val="000000" w:themeColor="text1"/>
        </w:rPr>
        <w:t>the</w:t>
      </w:r>
      <w:r w:rsidR="001A4A74">
        <w:rPr>
          <w:rFonts w:eastAsia="Times New Roman"/>
          <w:noProof/>
          <w:color w:val="000000" w:themeColor="text1"/>
        </w:rPr>
        <w:t xml:space="preserve"> community nature</w:t>
      </w:r>
      <w:r w:rsidR="00003996">
        <w:rPr>
          <w:rFonts w:eastAsia="Times New Roman"/>
          <w:noProof/>
          <w:color w:val="000000" w:themeColor="text1"/>
        </w:rPr>
        <w:t xml:space="preserve"> of the development</w:t>
      </w:r>
      <w:r w:rsidR="001A4A74">
        <w:rPr>
          <w:rFonts w:eastAsia="Times New Roman"/>
          <w:noProof/>
          <w:color w:val="000000" w:themeColor="text1"/>
        </w:rPr>
        <w:t xml:space="preserve">, it will also </w:t>
      </w:r>
      <w:r w:rsidR="002471CE">
        <w:rPr>
          <w:rFonts w:eastAsia="Times New Roman"/>
          <w:noProof/>
          <w:color w:val="000000" w:themeColor="text1"/>
        </w:rPr>
        <w:t>increase</w:t>
      </w:r>
      <w:r w:rsidR="001A4A74">
        <w:rPr>
          <w:rFonts w:eastAsia="Times New Roman"/>
          <w:noProof/>
          <w:color w:val="000000" w:themeColor="text1"/>
        </w:rPr>
        <w:t xml:space="preserve"> innovation by </w:t>
      </w:r>
      <w:r w:rsidR="00003996">
        <w:rPr>
          <w:rFonts w:eastAsia="Times New Roman"/>
          <w:noProof/>
          <w:color w:val="000000" w:themeColor="text1"/>
        </w:rPr>
        <w:t xml:space="preserve">allowing contributions </w:t>
      </w:r>
      <w:r w:rsidR="008C0746">
        <w:rPr>
          <w:rFonts w:eastAsia="Times New Roman"/>
          <w:noProof/>
          <w:color w:val="000000" w:themeColor="text1"/>
        </w:rPr>
        <w:t>and reach for</w:t>
      </w:r>
      <w:r w:rsidR="00003996">
        <w:rPr>
          <w:rFonts w:eastAsia="Times New Roman"/>
          <w:noProof/>
          <w:color w:val="000000" w:themeColor="text1"/>
        </w:rPr>
        <w:t xml:space="preserve"> small companies and individuals.</w:t>
      </w:r>
    </w:p>
    <w:p w14:paraId="425C1DC7" w14:textId="0ECD36B6" w:rsidR="009A2919" w:rsidRDefault="009A2919" w:rsidP="009A2919">
      <w:pPr>
        <w:rPr>
          <w:noProof/>
        </w:rPr>
      </w:pPr>
      <w:r w:rsidRPr="00C1102A">
        <w:rPr>
          <w:b/>
          <w:noProof/>
        </w:rPr>
        <w:t>Sensitivity analysis:</w:t>
      </w:r>
      <w:r>
        <w:rPr>
          <w:noProof/>
        </w:rPr>
        <w:t xml:space="preserve"> </w:t>
      </w:r>
      <w:r w:rsidR="00DE3379">
        <w:rPr>
          <w:noProof/>
        </w:rPr>
        <w:t>The benefits are only presented from a qualitative perspective</w:t>
      </w:r>
      <w:r w:rsidRPr="00C1102A">
        <w:rPr>
          <w:noProof/>
        </w:rPr>
        <w:t xml:space="preserve">. </w:t>
      </w:r>
    </w:p>
    <w:p w14:paraId="62EF3DD2" w14:textId="1BBEA077" w:rsidR="009A2919" w:rsidRPr="00951F91" w:rsidRDefault="009A2919" w:rsidP="009A2919">
      <w:pPr>
        <w:rPr>
          <w:noProof/>
          <w:color w:val="000000" w:themeColor="text1"/>
          <w:highlight w:val="yellow"/>
        </w:rPr>
      </w:pPr>
      <w:r w:rsidRPr="00DA029C">
        <w:rPr>
          <w:b/>
          <w:bCs/>
          <w:noProof/>
        </w:rPr>
        <w:t>Results</w:t>
      </w:r>
      <w:r w:rsidRPr="00DA029C">
        <w:rPr>
          <w:noProof/>
        </w:rPr>
        <w:t xml:space="preserve"> for all stakeholders aggregated and for the years covered by this measure are summarised in the table </w:t>
      </w:r>
      <w:r w:rsidRPr="006B653B">
        <w:rPr>
          <w:noProof/>
        </w:rPr>
        <w:t>below</w:t>
      </w:r>
      <w:r w:rsidRPr="006B653B">
        <w:rPr>
          <w:noProof/>
          <w:color w:val="000000" w:themeColor="text1"/>
        </w:rPr>
        <w:t xml:space="preserve">. </w:t>
      </w:r>
    </w:p>
    <w:p w14:paraId="3D693F91" w14:textId="0B226F91" w:rsidR="009271EF" w:rsidRPr="006B653B" w:rsidRDefault="009A2919" w:rsidP="00500842">
      <w:pPr>
        <w:pStyle w:val="Caption"/>
        <w:rPr>
          <w:noProof/>
        </w:rPr>
      </w:pPr>
      <w:r w:rsidRPr="006B653B">
        <w:rPr>
          <w:noProof/>
        </w:rPr>
        <w:t xml:space="preserve">Table </w:t>
      </w:r>
      <w:r w:rsidRPr="006B653B">
        <w:rPr>
          <w:noProof/>
        </w:rPr>
        <w:fldChar w:fldCharType="begin"/>
      </w:r>
      <w:r w:rsidRPr="006B653B">
        <w:rPr>
          <w:noProof/>
        </w:rPr>
        <w:instrText xml:space="preserve"> SEQ Table \* ARABIC </w:instrText>
      </w:r>
      <w:r w:rsidRPr="006B653B">
        <w:rPr>
          <w:noProof/>
        </w:rPr>
        <w:fldChar w:fldCharType="separate"/>
      </w:r>
      <w:r w:rsidR="000E7F11" w:rsidRPr="006B653B">
        <w:rPr>
          <w:noProof/>
        </w:rPr>
        <w:t>44</w:t>
      </w:r>
      <w:r w:rsidRPr="006B653B">
        <w:rPr>
          <w:noProof/>
        </w:rPr>
        <w:fldChar w:fldCharType="end"/>
      </w:r>
      <w:r w:rsidRPr="006B653B">
        <w:rPr>
          <w:noProof/>
        </w:rPr>
        <w:t xml:space="preserve">. EU </w:t>
      </w:r>
      <w:r w:rsidR="0001203E" w:rsidRPr="006B653B">
        <w:rPr>
          <w:noProof/>
        </w:rPr>
        <w:t>cloud</w:t>
      </w:r>
      <w:r w:rsidRPr="006B653B">
        <w:rPr>
          <w:noProof/>
        </w:rPr>
        <w:t xml:space="preserve"> and AI </w:t>
      </w:r>
      <w:r w:rsidR="006B653B">
        <w:rPr>
          <w:noProof/>
        </w:rPr>
        <w:t>toolbox</w:t>
      </w:r>
      <w:r w:rsidR="00500842" w:rsidRPr="006B653B">
        <w:rPr>
          <w:noProof/>
        </w:rPr>
        <w:t xml:space="preserve"> (PM24)</w:t>
      </w:r>
    </w:p>
    <w:tbl>
      <w:tblPr>
        <w:tblStyle w:val="TableGrid"/>
        <w:tblW w:w="9654" w:type="dxa"/>
        <w:tblInd w:w="-567" w:type="dxa"/>
        <w:tblLayout w:type="fixed"/>
        <w:tblCellMar>
          <w:left w:w="0" w:type="dxa"/>
          <w:right w:w="0" w:type="dxa"/>
        </w:tblCellMar>
        <w:tblLook w:val="04A0" w:firstRow="1" w:lastRow="0" w:firstColumn="1" w:lastColumn="0" w:noHBand="0" w:noVBand="1"/>
      </w:tblPr>
      <w:tblGrid>
        <w:gridCol w:w="2069"/>
        <w:gridCol w:w="1288"/>
        <w:gridCol w:w="938"/>
        <w:gridCol w:w="1072"/>
        <w:gridCol w:w="1339"/>
        <w:gridCol w:w="1340"/>
        <w:gridCol w:w="1608"/>
      </w:tblGrid>
      <w:tr w:rsidR="00FA01FB" w:rsidRPr="00FA63C0" w14:paraId="2FCE09C9" w14:textId="77777777" w:rsidTr="006B653B">
        <w:trPr>
          <w:trHeight w:val="506"/>
          <w:tblHeader/>
        </w:trPr>
        <w:tc>
          <w:tcPr>
            <w:tcW w:w="2069" w:type="dxa"/>
            <w:tcBorders>
              <w:bottom w:val="single" w:sz="12" w:space="0" w:color="00B0F0"/>
            </w:tcBorders>
            <w:noWrap/>
            <w:hideMark/>
          </w:tcPr>
          <w:p w14:paraId="7EB5D7A5" w14:textId="77777777" w:rsidR="00FA01FB" w:rsidRPr="006B653B" w:rsidRDefault="00FA01FB">
            <w:pPr>
              <w:spacing w:after="0"/>
              <w:ind w:left="-139" w:firstLine="139"/>
              <w:jc w:val="left"/>
              <w:rPr>
                <w:b/>
                <w:noProof/>
                <w:sz w:val="20"/>
                <w:szCs w:val="20"/>
                <w:lang w:val="en-IE" w:eastAsia="en-IE"/>
              </w:rPr>
            </w:pPr>
            <w:r w:rsidRPr="006B653B">
              <w:rPr>
                <w:b/>
                <w:noProof/>
                <w:sz w:val="20"/>
                <w:szCs w:val="20"/>
                <w:lang w:val="en-IE" w:eastAsia="en-IE"/>
              </w:rPr>
              <w:t>Cost types</w:t>
            </w:r>
          </w:p>
        </w:tc>
        <w:tc>
          <w:tcPr>
            <w:tcW w:w="1288" w:type="dxa"/>
            <w:tcBorders>
              <w:bottom w:val="single" w:sz="12" w:space="0" w:color="00B0F0"/>
            </w:tcBorders>
          </w:tcPr>
          <w:p w14:paraId="211EC4A9" w14:textId="410546C2" w:rsidR="00FA01FB" w:rsidRPr="006B653B" w:rsidRDefault="004A2D56">
            <w:pPr>
              <w:spacing w:after="0"/>
              <w:jc w:val="center"/>
              <w:rPr>
                <w:b/>
                <w:noProof/>
                <w:sz w:val="20"/>
                <w:szCs w:val="20"/>
                <w:lang w:val="en-IE" w:eastAsia="en-IE"/>
              </w:rPr>
            </w:pPr>
            <w:r w:rsidRPr="006B653B">
              <w:rPr>
                <w:b/>
                <w:noProof/>
                <w:sz w:val="20"/>
                <w:szCs w:val="20"/>
                <w:lang w:val="en-IE" w:eastAsia="en-IE"/>
              </w:rPr>
              <w:t>Cloud &amp; AI providers</w:t>
            </w:r>
            <w:r w:rsidR="00FA01FB" w:rsidRPr="006B653B">
              <w:rPr>
                <w:b/>
                <w:noProof/>
                <w:sz w:val="20"/>
                <w:szCs w:val="20"/>
                <w:lang w:val="en-IE" w:eastAsia="en-IE"/>
              </w:rPr>
              <w:t xml:space="preserve"> </w:t>
            </w:r>
            <w:r w:rsidR="00FA01FB" w:rsidRPr="006B653B">
              <w:rPr>
                <w:noProof/>
                <w:sz w:val="20"/>
                <w:szCs w:val="20"/>
                <w:lang w:val="en-IE" w:eastAsia="en-IE"/>
              </w:rPr>
              <w:t>(</w:t>
            </w:r>
            <w:r w:rsidR="00FA01FB" w:rsidRPr="006B653B">
              <w:rPr>
                <w:noProof/>
                <w:sz w:val="20"/>
                <w:szCs w:val="20"/>
              </w:rPr>
              <w:t>€)</w:t>
            </w:r>
          </w:p>
        </w:tc>
        <w:tc>
          <w:tcPr>
            <w:tcW w:w="938" w:type="dxa"/>
            <w:tcBorders>
              <w:bottom w:val="single" w:sz="12" w:space="0" w:color="00B0F0"/>
            </w:tcBorders>
          </w:tcPr>
          <w:p w14:paraId="346B5AA4" w14:textId="77777777" w:rsidR="00FA01FB" w:rsidRPr="006B653B" w:rsidRDefault="00FA01FB">
            <w:pPr>
              <w:spacing w:after="0"/>
              <w:jc w:val="center"/>
              <w:rPr>
                <w:b/>
                <w:noProof/>
                <w:sz w:val="20"/>
                <w:szCs w:val="20"/>
                <w:lang w:val="en-IE" w:eastAsia="en-IE"/>
              </w:rPr>
            </w:pPr>
            <w:r w:rsidRPr="006B653B">
              <w:rPr>
                <w:b/>
                <w:noProof/>
                <w:sz w:val="20"/>
                <w:szCs w:val="20"/>
                <w:lang w:val="en-IE" w:eastAsia="en-IE"/>
              </w:rPr>
              <w:t xml:space="preserve">Public authorities </w:t>
            </w:r>
            <w:r w:rsidRPr="006B653B">
              <w:rPr>
                <w:noProof/>
                <w:sz w:val="20"/>
                <w:szCs w:val="20"/>
                <w:lang w:val="en-IE" w:eastAsia="en-IE"/>
              </w:rPr>
              <w:t>(</w:t>
            </w:r>
            <w:r w:rsidRPr="006B653B">
              <w:rPr>
                <w:noProof/>
                <w:sz w:val="20"/>
                <w:szCs w:val="20"/>
              </w:rPr>
              <w:t>€)</w:t>
            </w:r>
          </w:p>
        </w:tc>
        <w:tc>
          <w:tcPr>
            <w:tcW w:w="1072" w:type="dxa"/>
            <w:tcBorders>
              <w:bottom w:val="single" w:sz="12" w:space="0" w:color="00B0F0"/>
            </w:tcBorders>
          </w:tcPr>
          <w:p w14:paraId="158117DA" w14:textId="77777777" w:rsidR="00FA01FB" w:rsidRPr="006B653B" w:rsidRDefault="00FA01FB">
            <w:pPr>
              <w:spacing w:after="0"/>
              <w:jc w:val="center"/>
              <w:rPr>
                <w:b/>
                <w:noProof/>
                <w:sz w:val="20"/>
                <w:szCs w:val="20"/>
                <w:lang w:val="en-IE" w:eastAsia="en-IE"/>
              </w:rPr>
            </w:pPr>
            <w:r w:rsidRPr="006B653B">
              <w:rPr>
                <w:b/>
                <w:noProof/>
                <w:sz w:val="20"/>
                <w:szCs w:val="20"/>
                <w:lang w:val="en-IE" w:eastAsia="en-IE"/>
              </w:rPr>
              <w:t xml:space="preserve">European Commission </w:t>
            </w:r>
            <w:r w:rsidRPr="006B653B">
              <w:rPr>
                <w:noProof/>
                <w:sz w:val="20"/>
                <w:szCs w:val="20"/>
                <w:lang w:val="en-IE" w:eastAsia="en-IE"/>
              </w:rPr>
              <w:t>(</w:t>
            </w:r>
            <w:r w:rsidRPr="006B653B">
              <w:rPr>
                <w:noProof/>
                <w:sz w:val="20"/>
                <w:szCs w:val="20"/>
              </w:rPr>
              <w:t>€)</w:t>
            </w:r>
          </w:p>
        </w:tc>
        <w:tc>
          <w:tcPr>
            <w:tcW w:w="1339" w:type="dxa"/>
            <w:tcBorders>
              <w:bottom w:val="single" w:sz="12" w:space="0" w:color="00B0F0"/>
            </w:tcBorders>
            <w:noWrap/>
            <w:hideMark/>
          </w:tcPr>
          <w:p w14:paraId="147CCA9C" w14:textId="77777777" w:rsidR="00FA01FB" w:rsidRPr="006B653B" w:rsidRDefault="00FA01FB">
            <w:pPr>
              <w:spacing w:after="0"/>
              <w:jc w:val="center"/>
              <w:rPr>
                <w:b/>
                <w:noProof/>
                <w:sz w:val="20"/>
                <w:szCs w:val="20"/>
                <w:lang w:val="en-IE" w:eastAsia="en-IE"/>
              </w:rPr>
            </w:pPr>
            <w:r w:rsidRPr="006B653B">
              <w:rPr>
                <w:b/>
                <w:noProof/>
                <w:sz w:val="20"/>
                <w:szCs w:val="20"/>
                <w:lang w:val="en-IE" w:eastAsia="en-IE"/>
              </w:rPr>
              <w:t xml:space="preserve">Total Value </w:t>
            </w:r>
            <w:r w:rsidRPr="006B653B">
              <w:rPr>
                <w:noProof/>
                <w:sz w:val="20"/>
                <w:szCs w:val="20"/>
                <w:lang w:val="en-IE" w:eastAsia="en-IE"/>
              </w:rPr>
              <w:t xml:space="preserve">(central, </w:t>
            </w:r>
            <w:r w:rsidRPr="006B653B">
              <w:rPr>
                <w:noProof/>
                <w:sz w:val="20"/>
                <w:szCs w:val="20"/>
              </w:rPr>
              <w:t>€)</w:t>
            </w:r>
          </w:p>
        </w:tc>
        <w:tc>
          <w:tcPr>
            <w:tcW w:w="1340" w:type="dxa"/>
            <w:tcBorders>
              <w:bottom w:val="single" w:sz="12" w:space="0" w:color="00B0F0"/>
            </w:tcBorders>
            <w:noWrap/>
            <w:hideMark/>
          </w:tcPr>
          <w:p w14:paraId="12756FEF" w14:textId="77777777" w:rsidR="00FA01FB" w:rsidRPr="006B653B" w:rsidRDefault="00FA01FB">
            <w:pPr>
              <w:spacing w:after="0"/>
              <w:jc w:val="center"/>
              <w:rPr>
                <w:b/>
                <w:noProof/>
                <w:sz w:val="20"/>
                <w:szCs w:val="20"/>
                <w:lang w:val="en-IE" w:eastAsia="en-IE"/>
              </w:rPr>
            </w:pPr>
            <w:r w:rsidRPr="006B653B">
              <w:rPr>
                <w:b/>
                <w:noProof/>
                <w:sz w:val="20"/>
                <w:szCs w:val="20"/>
                <w:lang w:val="en-IE" w:eastAsia="en-IE"/>
              </w:rPr>
              <w:t xml:space="preserve">Total Value </w:t>
            </w:r>
            <w:r w:rsidRPr="006B653B">
              <w:rPr>
                <w:noProof/>
                <w:sz w:val="20"/>
                <w:szCs w:val="20"/>
                <w:lang w:val="en-IE" w:eastAsia="en-IE"/>
              </w:rPr>
              <w:t xml:space="preserve">(min, </w:t>
            </w:r>
            <w:r w:rsidRPr="006B653B">
              <w:rPr>
                <w:noProof/>
                <w:sz w:val="20"/>
                <w:szCs w:val="20"/>
              </w:rPr>
              <w:t>€)</w:t>
            </w:r>
          </w:p>
        </w:tc>
        <w:tc>
          <w:tcPr>
            <w:tcW w:w="1608" w:type="dxa"/>
            <w:tcBorders>
              <w:bottom w:val="single" w:sz="12" w:space="0" w:color="00B0F0"/>
            </w:tcBorders>
            <w:noWrap/>
            <w:hideMark/>
          </w:tcPr>
          <w:p w14:paraId="3E53CC36" w14:textId="77777777" w:rsidR="00FA01FB" w:rsidRPr="006B653B" w:rsidRDefault="00FA01FB">
            <w:pPr>
              <w:tabs>
                <w:tab w:val="left" w:pos="110"/>
              </w:tabs>
              <w:spacing w:after="0"/>
              <w:jc w:val="center"/>
              <w:rPr>
                <w:b/>
                <w:noProof/>
                <w:sz w:val="20"/>
                <w:szCs w:val="20"/>
                <w:lang w:val="en-IE" w:eastAsia="en-IE"/>
              </w:rPr>
            </w:pPr>
            <w:r w:rsidRPr="006B653B">
              <w:rPr>
                <w:b/>
                <w:noProof/>
                <w:sz w:val="20"/>
                <w:szCs w:val="20"/>
                <w:lang w:val="en-IE" w:eastAsia="en-IE"/>
              </w:rPr>
              <w:t xml:space="preserve">Total Value </w:t>
            </w:r>
            <w:r w:rsidRPr="006B653B">
              <w:rPr>
                <w:noProof/>
                <w:sz w:val="20"/>
                <w:szCs w:val="20"/>
                <w:lang w:val="en-IE" w:eastAsia="en-IE"/>
              </w:rPr>
              <w:t xml:space="preserve">(max, </w:t>
            </w:r>
            <w:r w:rsidRPr="006B653B">
              <w:rPr>
                <w:noProof/>
                <w:sz w:val="20"/>
                <w:szCs w:val="20"/>
              </w:rPr>
              <w:t>€)</w:t>
            </w:r>
          </w:p>
        </w:tc>
      </w:tr>
      <w:tr w:rsidR="00035674" w:rsidRPr="00D74ABD" w14:paraId="08E0F6FE" w14:textId="77777777" w:rsidTr="006B653B">
        <w:trPr>
          <w:trHeight w:val="283"/>
        </w:trPr>
        <w:tc>
          <w:tcPr>
            <w:tcW w:w="2069" w:type="dxa"/>
            <w:tcBorders>
              <w:top w:val="single" w:sz="12" w:space="0" w:color="00B0F0"/>
            </w:tcBorders>
            <w:noWrap/>
            <w:hideMark/>
          </w:tcPr>
          <w:p w14:paraId="0E5A3984" w14:textId="77777777" w:rsidR="00035674" w:rsidRPr="006B653B" w:rsidRDefault="00035674" w:rsidP="00035674">
            <w:pPr>
              <w:spacing w:after="0"/>
              <w:jc w:val="left"/>
              <w:rPr>
                <w:i/>
                <w:noProof/>
                <w:sz w:val="20"/>
                <w:szCs w:val="20"/>
                <w:lang w:val="en-IE" w:eastAsia="en-IE"/>
              </w:rPr>
            </w:pPr>
            <w:r w:rsidRPr="006B653B">
              <w:rPr>
                <w:i/>
                <w:noProof/>
                <w:sz w:val="20"/>
                <w:szCs w:val="20"/>
                <w:lang w:val="en-IE" w:eastAsia="en-IE"/>
              </w:rPr>
              <w:t>one-off administrative</w:t>
            </w:r>
          </w:p>
        </w:tc>
        <w:tc>
          <w:tcPr>
            <w:tcW w:w="1288" w:type="dxa"/>
            <w:tcBorders>
              <w:top w:val="single" w:sz="12" w:space="0" w:color="00B0F0"/>
            </w:tcBorders>
          </w:tcPr>
          <w:p w14:paraId="365D3A18" w14:textId="6A125943" w:rsidR="00035674" w:rsidRPr="006B653B" w:rsidRDefault="00134B0E" w:rsidP="00035674">
            <w:pPr>
              <w:spacing w:after="0"/>
              <w:jc w:val="right"/>
              <w:rPr>
                <w:noProof/>
                <w:sz w:val="20"/>
                <w:szCs w:val="20"/>
                <w:lang w:val="en-IE" w:eastAsia="en-IE"/>
              </w:rPr>
            </w:pPr>
            <w:r w:rsidRPr="006B653B">
              <w:rPr>
                <w:noProof/>
                <w:sz w:val="20"/>
                <w:szCs w:val="20"/>
              </w:rPr>
              <w:t xml:space="preserve"> -   </w:t>
            </w:r>
          </w:p>
        </w:tc>
        <w:tc>
          <w:tcPr>
            <w:tcW w:w="938" w:type="dxa"/>
            <w:tcBorders>
              <w:top w:val="single" w:sz="12" w:space="0" w:color="00B0F0"/>
            </w:tcBorders>
          </w:tcPr>
          <w:p w14:paraId="318A8CF3" w14:textId="5CF74936" w:rsidR="00035674" w:rsidRPr="006B653B" w:rsidRDefault="00134B0E" w:rsidP="00035674">
            <w:pPr>
              <w:spacing w:after="0"/>
              <w:jc w:val="right"/>
              <w:rPr>
                <w:noProof/>
                <w:sz w:val="20"/>
                <w:szCs w:val="20"/>
                <w:lang w:val="en-IE" w:eastAsia="en-IE"/>
              </w:rPr>
            </w:pPr>
            <w:r w:rsidRPr="006B653B">
              <w:rPr>
                <w:noProof/>
                <w:sz w:val="20"/>
                <w:szCs w:val="20"/>
              </w:rPr>
              <w:t xml:space="preserve"> -   </w:t>
            </w:r>
          </w:p>
        </w:tc>
        <w:tc>
          <w:tcPr>
            <w:tcW w:w="1072" w:type="dxa"/>
            <w:tcBorders>
              <w:top w:val="single" w:sz="12" w:space="0" w:color="00B0F0"/>
            </w:tcBorders>
          </w:tcPr>
          <w:p w14:paraId="2B4E2523" w14:textId="1755EC99" w:rsidR="00035674" w:rsidRPr="006B653B" w:rsidRDefault="00134B0E" w:rsidP="00035674">
            <w:pPr>
              <w:spacing w:after="0"/>
              <w:jc w:val="right"/>
              <w:rPr>
                <w:noProof/>
                <w:sz w:val="20"/>
                <w:szCs w:val="20"/>
                <w:lang w:val="en-IE" w:eastAsia="en-IE"/>
              </w:rPr>
            </w:pPr>
            <w:r w:rsidRPr="006B653B">
              <w:rPr>
                <w:noProof/>
                <w:sz w:val="20"/>
                <w:szCs w:val="20"/>
              </w:rPr>
              <w:t xml:space="preserve"> -   </w:t>
            </w:r>
          </w:p>
        </w:tc>
        <w:tc>
          <w:tcPr>
            <w:tcW w:w="1339" w:type="dxa"/>
            <w:tcBorders>
              <w:top w:val="single" w:sz="12" w:space="0" w:color="00B0F0"/>
            </w:tcBorders>
            <w:noWrap/>
          </w:tcPr>
          <w:p w14:paraId="6FF387E7" w14:textId="0221A11F" w:rsidR="00035674" w:rsidRPr="006B653B" w:rsidRDefault="00035674" w:rsidP="00035674">
            <w:pPr>
              <w:spacing w:after="0"/>
              <w:jc w:val="right"/>
              <w:rPr>
                <w:noProof/>
                <w:sz w:val="20"/>
                <w:szCs w:val="20"/>
                <w:lang w:val="en-IE" w:eastAsia="en-IE"/>
              </w:rPr>
            </w:pPr>
            <w:r w:rsidRPr="006B653B">
              <w:rPr>
                <w:noProof/>
                <w:sz w:val="20"/>
                <w:szCs w:val="20"/>
              </w:rPr>
              <w:t xml:space="preserve"> -   </w:t>
            </w:r>
          </w:p>
        </w:tc>
        <w:tc>
          <w:tcPr>
            <w:tcW w:w="1340" w:type="dxa"/>
            <w:tcBorders>
              <w:top w:val="single" w:sz="12" w:space="0" w:color="00B0F0"/>
            </w:tcBorders>
            <w:noWrap/>
          </w:tcPr>
          <w:p w14:paraId="6CB1A11A" w14:textId="25290A0C" w:rsidR="00035674" w:rsidRPr="006B653B" w:rsidRDefault="00035674" w:rsidP="00035674">
            <w:pPr>
              <w:spacing w:after="0"/>
              <w:jc w:val="right"/>
              <w:rPr>
                <w:noProof/>
                <w:sz w:val="20"/>
                <w:szCs w:val="20"/>
                <w:lang w:val="en-IE" w:eastAsia="en-IE"/>
              </w:rPr>
            </w:pPr>
            <w:r w:rsidRPr="006B653B">
              <w:rPr>
                <w:noProof/>
                <w:sz w:val="20"/>
                <w:szCs w:val="20"/>
              </w:rPr>
              <w:t xml:space="preserve">-   </w:t>
            </w:r>
          </w:p>
        </w:tc>
        <w:tc>
          <w:tcPr>
            <w:tcW w:w="1608" w:type="dxa"/>
            <w:tcBorders>
              <w:top w:val="single" w:sz="12" w:space="0" w:color="00B0F0"/>
            </w:tcBorders>
            <w:noWrap/>
          </w:tcPr>
          <w:p w14:paraId="757E49C5" w14:textId="30B2584B" w:rsidR="00035674" w:rsidRPr="006B653B" w:rsidRDefault="00035674" w:rsidP="00035674">
            <w:pPr>
              <w:spacing w:after="0"/>
              <w:jc w:val="right"/>
              <w:rPr>
                <w:noProof/>
                <w:sz w:val="20"/>
                <w:szCs w:val="20"/>
                <w:lang w:val="en-IE" w:eastAsia="en-IE"/>
              </w:rPr>
            </w:pPr>
            <w:r w:rsidRPr="006B653B">
              <w:rPr>
                <w:noProof/>
                <w:sz w:val="20"/>
                <w:szCs w:val="20"/>
              </w:rPr>
              <w:t xml:space="preserve"> -   </w:t>
            </w:r>
          </w:p>
        </w:tc>
      </w:tr>
      <w:tr w:rsidR="00035674" w:rsidRPr="00D74ABD" w14:paraId="2968749E" w14:textId="77777777" w:rsidTr="006B653B">
        <w:trPr>
          <w:trHeight w:val="283"/>
        </w:trPr>
        <w:tc>
          <w:tcPr>
            <w:tcW w:w="2069" w:type="dxa"/>
            <w:noWrap/>
            <w:hideMark/>
          </w:tcPr>
          <w:p w14:paraId="39701B75" w14:textId="77777777" w:rsidR="00035674" w:rsidRPr="006B653B" w:rsidRDefault="00035674" w:rsidP="00035674">
            <w:pPr>
              <w:spacing w:after="0"/>
              <w:jc w:val="left"/>
              <w:rPr>
                <w:i/>
                <w:noProof/>
                <w:sz w:val="20"/>
                <w:szCs w:val="20"/>
                <w:lang w:val="en-IE" w:eastAsia="en-IE"/>
              </w:rPr>
            </w:pPr>
            <w:r w:rsidRPr="006B653B">
              <w:rPr>
                <w:i/>
                <w:noProof/>
                <w:sz w:val="20"/>
                <w:szCs w:val="20"/>
                <w:lang w:val="en-IE" w:eastAsia="en-IE"/>
              </w:rPr>
              <w:t>recurrent administrative</w:t>
            </w:r>
          </w:p>
        </w:tc>
        <w:tc>
          <w:tcPr>
            <w:tcW w:w="1288" w:type="dxa"/>
          </w:tcPr>
          <w:p w14:paraId="1CDA1F4A" w14:textId="411CE1DE" w:rsidR="00035674" w:rsidRPr="006B653B" w:rsidRDefault="006E326E" w:rsidP="00035674">
            <w:pPr>
              <w:spacing w:after="0"/>
              <w:jc w:val="right"/>
              <w:rPr>
                <w:noProof/>
                <w:sz w:val="20"/>
                <w:szCs w:val="20"/>
                <w:lang w:val="en-IE" w:eastAsia="en-IE"/>
              </w:rPr>
            </w:pPr>
            <w:r w:rsidRPr="006B653B">
              <w:rPr>
                <w:noProof/>
                <w:sz w:val="20"/>
                <w:szCs w:val="20"/>
              </w:rPr>
              <w:t xml:space="preserve"> -   </w:t>
            </w:r>
          </w:p>
        </w:tc>
        <w:tc>
          <w:tcPr>
            <w:tcW w:w="938" w:type="dxa"/>
          </w:tcPr>
          <w:p w14:paraId="76EF0DCE" w14:textId="2401867E" w:rsidR="00035674" w:rsidRPr="006B653B" w:rsidRDefault="006E326E" w:rsidP="00B05194">
            <w:pPr>
              <w:spacing w:after="0"/>
              <w:jc w:val="right"/>
              <w:rPr>
                <w:noProof/>
                <w:sz w:val="20"/>
                <w:szCs w:val="20"/>
                <w:lang w:val="en-IE" w:eastAsia="en-IE"/>
              </w:rPr>
            </w:pPr>
            <w:r w:rsidRPr="006B653B">
              <w:rPr>
                <w:noProof/>
                <w:sz w:val="20"/>
                <w:szCs w:val="20"/>
              </w:rPr>
              <w:t xml:space="preserve"> -   </w:t>
            </w:r>
          </w:p>
        </w:tc>
        <w:tc>
          <w:tcPr>
            <w:tcW w:w="1072" w:type="dxa"/>
          </w:tcPr>
          <w:p w14:paraId="4BF19351" w14:textId="7FD71DA7" w:rsidR="00035674" w:rsidRPr="006B653B" w:rsidRDefault="00DE3885" w:rsidP="00035674">
            <w:pPr>
              <w:spacing w:after="0"/>
              <w:jc w:val="right"/>
              <w:rPr>
                <w:noProof/>
                <w:sz w:val="20"/>
                <w:szCs w:val="20"/>
                <w:lang w:val="en-IE" w:eastAsia="en-IE"/>
              </w:rPr>
            </w:pPr>
            <w:r>
              <w:rPr>
                <w:noProof/>
                <w:sz w:val="20"/>
                <w:szCs w:val="20"/>
              </w:rPr>
              <w:t>-</w:t>
            </w:r>
          </w:p>
        </w:tc>
        <w:tc>
          <w:tcPr>
            <w:tcW w:w="1339" w:type="dxa"/>
            <w:noWrap/>
          </w:tcPr>
          <w:p w14:paraId="0DAD7175" w14:textId="3CC58FFE" w:rsidR="00035674" w:rsidRPr="006B653B" w:rsidRDefault="00D039D2" w:rsidP="00035674">
            <w:pPr>
              <w:spacing w:after="0"/>
              <w:jc w:val="right"/>
              <w:rPr>
                <w:noProof/>
                <w:sz w:val="20"/>
                <w:szCs w:val="20"/>
                <w:lang w:val="en-IE" w:eastAsia="en-IE"/>
              </w:rPr>
            </w:pPr>
            <w:r w:rsidRPr="006B653B">
              <w:rPr>
                <w:noProof/>
                <w:sz w:val="20"/>
                <w:szCs w:val="20"/>
              </w:rPr>
              <w:t xml:space="preserve"> -   </w:t>
            </w:r>
          </w:p>
        </w:tc>
        <w:tc>
          <w:tcPr>
            <w:tcW w:w="1340" w:type="dxa"/>
            <w:noWrap/>
          </w:tcPr>
          <w:p w14:paraId="51E63F9D" w14:textId="4B339348" w:rsidR="00035674" w:rsidRPr="006B653B" w:rsidRDefault="00D039D2" w:rsidP="00035674">
            <w:pPr>
              <w:spacing w:after="0"/>
              <w:jc w:val="right"/>
              <w:rPr>
                <w:noProof/>
                <w:sz w:val="20"/>
                <w:szCs w:val="20"/>
                <w:lang w:val="en-IE" w:eastAsia="en-IE"/>
              </w:rPr>
            </w:pPr>
            <w:r w:rsidRPr="006B653B">
              <w:rPr>
                <w:noProof/>
                <w:sz w:val="20"/>
                <w:szCs w:val="20"/>
              </w:rPr>
              <w:t xml:space="preserve">-   </w:t>
            </w:r>
          </w:p>
        </w:tc>
        <w:tc>
          <w:tcPr>
            <w:tcW w:w="1608" w:type="dxa"/>
            <w:noWrap/>
          </w:tcPr>
          <w:p w14:paraId="09234706" w14:textId="3EDE99E2" w:rsidR="00035674" w:rsidRPr="006B653B" w:rsidRDefault="00D039D2" w:rsidP="00035674">
            <w:pPr>
              <w:spacing w:after="0"/>
              <w:jc w:val="right"/>
              <w:rPr>
                <w:noProof/>
                <w:sz w:val="20"/>
                <w:szCs w:val="20"/>
                <w:lang w:val="en-IE" w:eastAsia="en-IE"/>
              </w:rPr>
            </w:pPr>
            <w:r w:rsidRPr="006B653B">
              <w:rPr>
                <w:noProof/>
                <w:sz w:val="20"/>
                <w:szCs w:val="20"/>
              </w:rPr>
              <w:t xml:space="preserve"> -   </w:t>
            </w:r>
          </w:p>
        </w:tc>
      </w:tr>
      <w:tr w:rsidR="00035674" w:rsidRPr="00D74ABD" w14:paraId="29530505" w14:textId="77777777" w:rsidTr="006B653B">
        <w:trPr>
          <w:trHeight w:val="283"/>
        </w:trPr>
        <w:tc>
          <w:tcPr>
            <w:tcW w:w="2069" w:type="dxa"/>
            <w:noWrap/>
            <w:hideMark/>
          </w:tcPr>
          <w:p w14:paraId="274E9729" w14:textId="77777777" w:rsidR="00035674" w:rsidRPr="006B653B" w:rsidRDefault="00035674" w:rsidP="00035674">
            <w:pPr>
              <w:spacing w:after="0"/>
              <w:jc w:val="left"/>
              <w:rPr>
                <w:i/>
                <w:noProof/>
                <w:sz w:val="20"/>
                <w:szCs w:val="20"/>
                <w:lang w:val="en-IE" w:eastAsia="en-IE"/>
              </w:rPr>
            </w:pPr>
            <w:r w:rsidRPr="006B653B">
              <w:rPr>
                <w:i/>
                <w:noProof/>
                <w:sz w:val="20"/>
                <w:szCs w:val="20"/>
                <w:lang w:val="en-IE" w:eastAsia="en-IE"/>
              </w:rPr>
              <w:t>one-off adjustment</w:t>
            </w:r>
          </w:p>
        </w:tc>
        <w:tc>
          <w:tcPr>
            <w:tcW w:w="1288" w:type="dxa"/>
          </w:tcPr>
          <w:p w14:paraId="0D09B77F" w14:textId="705C3742" w:rsidR="00035674" w:rsidRPr="006B653B" w:rsidRDefault="00DE3885" w:rsidP="00035674">
            <w:pPr>
              <w:spacing w:after="0"/>
              <w:jc w:val="right"/>
              <w:rPr>
                <w:noProof/>
                <w:sz w:val="20"/>
                <w:szCs w:val="20"/>
                <w:lang w:val="en-IE" w:eastAsia="en-IE"/>
              </w:rPr>
            </w:pPr>
            <w:r>
              <w:rPr>
                <w:noProof/>
                <w:sz w:val="20"/>
                <w:szCs w:val="20"/>
              </w:rPr>
              <w:t>-</w:t>
            </w:r>
          </w:p>
        </w:tc>
        <w:tc>
          <w:tcPr>
            <w:tcW w:w="938" w:type="dxa"/>
          </w:tcPr>
          <w:p w14:paraId="48D12E12" w14:textId="69914CC3" w:rsidR="00035674" w:rsidRPr="006B653B" w:rsidRDefault="006E326E" w:rsidP="00035674">
            <w:pPr>
              <w:spacing w:after="0"/>
              <w:jc w:val="right"/>
              <w:rPr>
                <w:noProof/>
                <w:sz w:val="20"/>
                <w:szCs w:val="20"/>
                <w:lang w:val="en-IE" w:eastAsia="en-IE"/>
              </w:rPr>
            </w:pPr>
            <w:r w:rsidRPr="006B653B">
              <w:rPr>
                <w:noProof/>
                <w:sz w:val="20"/>
                <w:szCs w:val="20"/>
              </w:rPr>
              <w:t xml:space="preserve"> -   </w:t>
            </w:r>
          </w:p>
        </w:tc>
        <w:tc>
          <w:tcPr>
            <w:tcW w:w="1072" w:type="dxa"/>
          </w:tcPr>
          <w:p w14:paraId="1BE14574" w14:textId="07536439" w:rsidR="00035674" w:rsidRPr="006B653B" w:rsidRDefault="00DE3885" w:rsidP="00035674">
            <w:pPr>
              <w:spacing w:after="0"/>
              <w:jc w:val="right"/>
              <w:rPr>
                <w:noProof/>
                <w:sz w:val="20"/>
                <w:szCs w:val="20"/>
                <w:lang w:val="en-IE" w:eastAsia="en-IE"/>
              </w:rPr>
            </w:pPr>
            <w:r w:rsidRPr="006B653B">
              <w:rPr>
                <w:noProof/>
                <w:sz w:val="20"/>
                <w:szCs w:val="20"/>
              </w:rPr>
              <w:t xml:space="preserve"> </w:t>
            </w:r>
            <w:r>
              <w:rPr>
                <w:noProof/>
                <w:sz w:val="20"/>
                <w:szCs w:val="20"/>
              </w:rPr>
              <w:t>542 134</w:t>
            </w:r>
            <w:r w:rsidRPr="006B653B">
              <w:rPr>
                <w:noProof/>
                <w:sz w:val="20"/>
                <w:szCs w:val="20"/>
              </w:rPr>
              <w:t xml:space="preserve"> </w:t>
            </w:r>
          </w:p>
        </w:tc>
        <w:tc>
          <w:tcPr>
            <w:tcW w:w="1339" w:type="dxa"/>
            <w:noWrap/>
          </w:tcPr>
          <w:p w14:paraId="2C322F9C" w14:textId="01FED0C6" w:rsidR="00035674" w:rsidRPr="006B653B" w:rsidRDefault="00D039D2" w:rsidP="00035674">
            <w:pPr>
              <w:spacing w:after="0"/>
              <w:jc w:val="right"/>
              <w:rPr>
                <w:noProof/>
                <w:sz w:val="20"/>
                <w:szCs w:val="20"/>
                <w:lang w:val="en-IE" w:eastAsia="en-IE"/>
              </w:rPr>
            </w:pPr>
            <w:r w:rsidRPr="006B653B">
              <w:rPr>
                <w:noProof/>
                <w:sz w:val="20"/>
                <w:szCs w:val="20"/>
              </w:rPr>
              <w:t xml:space="preserve"> </w:t>
            </w:r>
            <w:r>
              <w:rPr>
                <w:noProof/>
                <w:sz w:val="20"/>
                <w:szCs w:val="20"/>
              </w:rPr>
              <w:t>542 134</w:t>
            </w:r>
            <w:r w:rsidRPr="006B653B">
              <w:rPr>
                <w:noProof/>
                <w:sz w:val="20"/>
                <w:szCs w:val="20"/>
              </w:rPr>
              <w:t xml:space="preserve"> </w:t>
            </w:r>
          </w:p>
        </w:tc>
        <w:tc>
          <w:tcPr>
            <w:tcW w:w="1340" w:type="dxa"/>
            <w:noWrap/>
          </w:tcPr>
          <w:p w14:paraId="1C593D8E" w14:textId="38A26313" w:rsidR="00035674" w:rsidRPr="006B653B" w:rsidRDefault="00D039D2" w:rsidP="00035674">
            <w:pPr>
              <w:spacing w:after="0"/>
              <w:jc w:val="right"/>
              <w:rPr>
                <w:noProof/>
                <w:sz w:val="20"/>
                <w:szCs w:val="20"/>
                <w:lang w:val="en-IE" w:eastAsia="en-IE"/>
              </w:rPr>
            </w:pPr>
            <w:r w:rsidRPr="00BD27BB">
              <w:rPr>
                <w:noProof/>
                <w:sz w:val="20"/>
                <w:szCs w:val="20"/>
              </w:rPr>
              <w:t xml:space="preserve">542 134 </w:t>
            </w:r>
          </w:p>
        </w:tc>
        <w:tc>
          <w:tcPr>
            <w:tcW w:w="1608" w:type="dxa"/>
            <w:noWrap/>
          </w:tcPr>
          <w:p w14:paraId="269B27CF" w14:textId="7B66F520" w:rsidR="00035674" w:rsidRPr="006B653B" w:rsidRDefault="00D039D2" w:rsidP="00035674">
            <w:pPr>
              <w:spacing w:after="0"/>
              <w:jc w:val="right"/>
              <w:rPr>
                <w:noProof/>
                <w:sz w:val="20"/>
                <w:szCs w:val="20"/>
                <w:lang w:val="en-IE" w:eastAsia="en-IE"/>
              </w:rPr>
            </w:pPr>
            <w:r w:rsidRPr="00BD27BB">
              <w:rPr>
                <w:noProof/>
                <w:sz w:val="20"/>
                <w:szCs w:val="20"/>
              </w:rPr>
              <w:t xml:space="preserve">542 134 </w:t>
            </w:r>
          </w:p>
        </w:tc>
      </w:tr>
      <w:tr w:rsidR="00035674" w:rsidRPr="00D74ABD" w14:paraId="5FB2E612" w14:textId="77777777" w:rsidTr="006B653B">
        <w:trPr>
          <w:trHeight w:val="283"/>
        </w:trPr>
        <w:tc>
          <w:tcPr>
            <w:tcW w:w="2069" w:type="dxa"/>
            <w:noWrap/>
            <w:hideMark/>
          </w:tcPr>
          <w:p w14:paraId="70F45BF8" w14:textId="77777777" w:rsidR="00035674" w:rsidRPr="006B653B" w:rsidRDefault="00035674" w:rsidP="00035674">
            <w:pPr>
              <w:spacing w:after="0"/>
              <w:jc w:val="left"/>
              <w:rPr>
                <w:i/>
                <w:noProof/>
                <w:sz w:val="20"/>
                <w:szCs w:val="20"/>
                <w:lang w:val="en-IE" w:eastAsia="en-IE"/>
              </w:rPr>
            </w:pPr>
            <w:r w:rsidRPr="006B653B">
              <w:rPr>
                <w:i/>
                <w:noProof/>
                <w:sz w:val="20"/>
                <w:szCs w:val="20"/>
                <w:lang w:val="en-IE" w:eastAsia="en-IE"/>
              </w:rPr>
              <w:t>recurrent adjustment</w:t>
            </w:r>
          </w:p>
        </w:tc>
        <w:tc>
          <w:tcPr>
            <w:tcW w:w="1288" w:type="dxa"/>
          </w:tcPr>
          <w:p w14:paraId="69791A0C" w14:textId="12EFEA9A" w:rsidR="00035674" w:rsidRPr="006B653B" w:rsidRDefault="00DE3885" w:rsidP="00035674">
            <w:pPr>
              <w:spacing w:after="0"/>
              <w:jc w:val="right"/>
              <w:rPr>
                <w:noProof/>
                <w:sz w:val="20"/>
                <w:szCs w:val="20"/>
                <w:lang w:val="en-IE" w:eastAsia="en-IE"/>
              </w:rPr>
            </w:pPr>
            <w:r>
              <w:rPr>
                <w:noProof/>
                <w:sz w:val="20"/>
                <w:szCs w:val="20"/>
              </w:rPr>
              <w:t>-.</w:t>
            </w:r>
          </w:p>
        </w:tc>
        <w:tc>
          <w:tcPr>
            <w:tcW w:w="938" w:type="dxa"/>
          </w:tcPr>
          <w:p w14:paraId="65E9405C" w14:textId="063ACF80" w:rsidR="00035674" w:rsidRPr="006B653B" w:rsidRDefault="006E326E" w:rsidP="00035674">
            <w:pPr>
              <w:spacing w:after="0"/>
              <w:jc w:val="right"/>
              <w:rPr>
                <w:noProof/>
                <w:sz w:val="20"/>
                <w:szCs w:val="20"/>
                <w:lang w:val="en-IE" w:eastAsia="en-IE"/>
              </w:rPr>
            </w:pPr>
            <w:r w:rsidRPr="006B653B">
              <w:rPr>
                <w:noProof/>
                <w:sz w:val="20"/>
                <w:szCs w:val="20"/>
              </w:rPr>
              <w:t xml:space="preserve"> -   </w:t>
            </w:r>
          </w:p>
        </w:tc>
        <w:tc>
          <w:tcPr>
            <w:tcW w:w="1072" w:type="dxa"/>
          </w:tcPr>
          <w:p w14:paraId="4056E8E1" w14:textId="0877ADCA" w:rsidR="00035674" w:rsidRPr="006B653B" w:rsidRDefault="00DE3885" w:rsidP="00DE3885">
            <w:pPr>
              <w:spacing w:after="0"/>
              <w:jc w:val="right"/>
              <w:rPr>
                <w:noProof/>
                <w:sz w:val="20"/>
                <w:szCs w:val="20"/>
                <w:lang w:val="en-IE" w:eastAsia="en-IE"/>
              </w:rPr>
            </w:pPr>
            <w:r w:rsidRPr="006B653B">
              <w:rPr>
                <w:noProof/>
                <w:sz w:val="20"/>
                <w:szCs w:val="20"/>
              </w:rPr>
              <w:t xml:space="preserve"> </w:t>
            </w:r>
            <w:r>
              <w:rPr>
                <w:noProof/>
                <w:sz w:val="20"/>
                <w:szCs w:val="20"/>
              </w:rPr>
              <w:t>2 364 883</w:t>
            </w:r>
            <w:r w:rsidRPr="006B653B">
              <w:rPr>
                <w:noProof/>
                <w:sz w:val="20"/>
                <w:szCs w:val="20"/>
              </w:rPr>
              <w:t xml:space="preserve"> </w:t>
            </w:r>
          </w:p>
        </w:tc>
        <w:tc>
          <w:tcPr>
            <w:tcW w:w="1339" w:type="dxa"/>
            <w:noWrap/>
          </w:tcPr>
          <w:p w14:paraId="6130E94F" w14:textId="18AFA7D3" w:rsidR="00035674" w:rsidRPr="006B653B" w:rsidRDefault="00035674" w:rsidP="00035674">
            <w:pPr>
              <w:spacing w:after="0"/>
              <w:jc w:val="right"/>
              <w:rPr>
                <w:noProof/>
                <w:sz w:val="20"/>
                <w:szCs w:val="20"/>
                <w:lang w:val="en-IE" w:eastAsia="en-IE"/>
              </w:rPr>
            </w:pPr>
            <w:r w:rsidRPr="006B653B">
              <w:rPr>
                <w:noProof/>
                <w:sz w:val="20"/>
                <w:szCs w:val="20"/>
              </w:rPr>
              <w:t xml:space="preserve"> </w:t>
            </w:r>
            <w:r w:rsidR="00D039D2">
              <w:rPr>
                <w:noProof/>
                <w:sz w:val="20"/>
                <w:szCs w:val="20"/>
              </w:rPr>
              <w:t>2 364 883</w:t>
            </w:r>
            <w:r w:rsidRPr="006B653B">
              <w:rPr>
                <w:noProof/>
                <w:sz w:val="20"/>
                <w:szCs w:val="20"/>
              </w:rPr>
              <w:t xml:space="preserve"> </w:t>
            </w:r>
          </w:p>
        </w:tc>
        <w:tc>
          <w:tcPr>
            <w:tcW w:w="1340" w:type="dxa"/>
            <w:noWrap/>
          </w:tcPr>
          <w:p w14:paraId="2C737948" w14:textId="12198E31" w:rsidR="00035674" w:rsidRPr="006B653B" w:rsidRDefault="00D039D2" w:rsidP="00035674">
            <w:pPr>
              <w:spacing w:after="0"/>
              <w:jc w:val="right"/>
              <w:rPr>
                <w:noProof/>
                <w:sz w:val="20"/>
                <w:szCs w:val="20"/>
                <w:lang w:val="en-IE" w:eastAsia="en-IE"/>
              </w:rPr>
            </w:pPr>
            <w:r>
              <w:rPr>
                <w:noProof/>
                <w:sz w:val="20"/>
                <w:szCs w:val="20"/>
                <w:lang w:val="en-IE" w:eastAsia="en-IE"/>
              </w:rPr>
              <w:t>1 938 373</w:t>
            </w:r>
          </w:p>
        </w:tc>
        <w:tc>
          <w:tcPr>
            <w:tcW w:w="1608" w:type="dxa"/>
            <w:noWrap/>
          </w:tcPr>
          <w:p w14:paraId="6500831D" w14:textId="167850EC" w:rsidR="00035674" w:rsidRPr="006B653B" w:rsidRDefault="00D039D2" w:rsidP="00035674">
            <w:pPr>
              <w:spacing w:after="0"/>
              <w:jc w:val="right"/>
              <w:rPr>
                <w:noProof/>
                <w:sz w:val="20"/>
                <w:szCs w:val="20"/>
                <w:lang w:val="en-IE" w:eastAsia="en-IE"/>
              </w:rPr>
            </w:pPr>
            <w:r>
              <w:rPr>
                <w:noProof/>
                <w:sz w:val="20"/>
                <w:szCs w:val="20"/>
                <w:lang w:val="en-IE" w:eastAsia="en-IE"/>
              </w:rPr>
              <w:t>2 791 393</w:t>
            </w:r>
          </w:p>
        </w:tc>
      </w:tr>
      <w:tr w:rsidR="00035674" w:rsidRPr="00D74ABD" w14:paraId="7B06A041" w14:textId="77777777" w:rsidTr="006B653B">
        <w:trPr>
          <w:trHeight w:val="283"/>
        </w:trPr>
        <w:tc>
          <w:tcPr>
            <w:tcW w:w="2069" w:type="dxa"/>
            <w:noWrap/>
            <w:hideMark/>
          </w:tcPr>
          <w:p w14:paraId="6D312803" w14:textId="77777777" w:rsidR="00035674" w:rsidRPr="006B653B" w:rsidRDefault="00035674" w:rsidP="00035674">
            <w:pPr>
              <w:spacing w:after="0"/>
              <w:jc w:val="left"/>
              <w:rPr>
                <w:i/>
                <w:noProof/>
                <w:sz w:val="20"/>
                <w:szCs w:val="20"/>
                <w:lang w:val="en-IE" w:eastAsia="en-IE"/>
              </w:rPr>
            </w:pPr>
            <w:r w:rsidRPr="006B653B">
              <w:rPr>
                <w:i/>
                <w:noProof/>
                <w:sz w:val="20"/>
                <w:szCs w:val="20"/>
                <w:lang w:val="en-IE" w:eastAsia="en-IE"/>
              </w:rPr>
              <w:t>one-off regulatory fees</w:t>
            </w:r>
          </w:p>
        </w:tc>
        <w:tc>
          <w:tcPr>
            <w:tcW w:w="1288" w:type="dxa"/>
          </w:tcPr>
          <w:p w14:paraId="11D8F560" w14:textId="5EBC05A5" w:rsidR="00035674" w:rsidRPr="006B653B" w:rsidRDefault="006E326E" w:rsidP="00035674">
            <w:pPr>
              <w:spacing w:after="0"/>
              <w:jc w:val="right"/>
              <w:rPr>
                <w:noProof/>
                <w:sz w:val="20"/>
                <w:szCs w:val="20"/>
                <w:lang w:val="en-IE" w:eastAsia="en-IE"/>
              </w:rPr>
            </w:pPr>
            <w:r w:rsidRPr="006B653B">
              <w:rPr>
                <w:noProof/>
                <w:sz w:val="20"/>
                <w:szCs w:val="20"/>
              </w:rPr>
              <w:t xml:space="preserve"> -   </w:t>
            </w:r>
          </w:p>
        </w:tc>
        <w:tc>
          <w:tcPr>
            <w:tcW w:w="938" w:type="dxa"/>
          </w:tcPr>
          <w:p w14:paraId="4B4A2822" w14:textId="73E7511C" w:rsidR="00035674" w:rsidRPr="006B653B" w:rsidRDefault="006E326E" w:rsidP="00035674">
            <w:pPr>
              <w:spacing w:after="0"/>
              <w:jc w:val="right"/>
              <w:rPr>
                <w:noProof/>
                <w:sz w:val="20"/>
                <w:szCs w:val="20"/>
                <w:lang w:val="en-IE" w:eastAsia="en-IE"/>
              </w:rPr>
            </w:pPr>
            <w:r w:rsidRPr="006B653B">
              <w:rPr>
                <w:noProof/>
                <w:sz w:val="20"/>
                <w:szCs w:val="20"/>
              </w:rPr>
              <w:t xml:space="preserve"> -   </w:t>
            </w:r>
          </w:p>
        </w:tc>
        <w:tc>
          <w:tcPr>
            <w:tcW w:w="1072" w:type="dxa"/>
          </w:tcPr>
          <w:p w14:paraId="76F28C65" w14:textId="6FC245A6" w:rsidR="00035674" w:rsidRPr="006B653B" w:rsidRDefault="00DE3885" w:rsidP="00035674">
            <w:pPr>
              <w:spacing w:after="0"/>
              <w:jc w:val="right"/>
              <w:rPr>
                <w:noProof/>
                <w:sz w:val="20"/>
                <w:szCs w:val="20"/>
                <w:lang w:val="en-IE" w:eastAsia="en-IE"/>
              </w:rPr>
            </w:pPr>
            <w:r w:rsidRPr="006B653B">
              <w:rPr>
                <w:noProof/>
                <w:sz w:val="20"/>
                <w:szCs w:val="20"/>
              </w:rPr>
              <w:t>-</w:t>
            </w:r>
          </w:p>
        </w:tc>
        <w:tc>
          <w:tcPr>
            <w:tcW w:w="1339" w:type="dxa"/>
            <w:noWrap/>
          </w:tcPr>
          <w:p w14:paraId="5200FC0C" w14:textId="3AE70B2E" w:rsidR="00035674" w:rsidRPr="006B653B" w:rsidRDefault="00192D53" w:rsidP="00035674">
            <w:pPr>
              <w:spacing w:after="0"/>
              <w:jc w:val="right"/>
              <w:rPr>
                <w:noProof/>
                <w:sz w:val="20"/>
                <w:szCs w:val="20"/>
                <w:lang w:val="en-IE" w:eastAsia="en-IE"/>
              </w:rPr>
            </w:pPr>
            <w:r w:rsidRPr="006B653B">
              <w:rPr>
                <w:noProof/>
                <w:sz w:val="20"/>
                <w:szCs w:val="20"/>
              </w:rPr>
              <w:t>-</w:t>
            </w:r>
          </w:p>
        </w:tc>
        <w:tc>
          <w:tcPr>
            <w:tcW w:w="1340" w:type="dxa"/>
            <w:noWrap/>
          </w:tcPr>
          <w:p w14:paraId="0AD22DDB" w14:textId="4CA4B874" w:rsidR="00035674" w:rsidRPr="006B653B" w:rsidRDefault="00192D53" w:rsidP="00035674">
            <w:pPr>
              <w:spacing w:after="0"/>
              <w:jc w:val="right"/>
              <w:rPr>
                <w:noProof/>
                <w:sz w:val="20"/>
                <w:szCs w:val="20"/>
                <w:lang w:val="en-IE" w:eastAsia="en-IE"/>
              </w:rPr>
            </w:pPr>
            <w:r w:rsidRPr="006B653B">
              <w:rPr>
                <w:noProof/>
                <w:sz w:val="20"/>
                <w:szCs w:val="20"/>
              </w:rPr>
              <w:t>-</w:t>
            </w:r>
          </w:p>
        </w:tc>
        <w:tc>
          <w:tcPr>
            <w:tcW w:w="1608" w:type="dxa"/>
            <w:noWrap/>
          </w:tcPr>
          <w:p w14:paraId="3C35E7B3" w14:textId="664524B0" w:rsidR="00035674" w:rsidRPr="006B653B" w:rsidRDefault="00192D53" w:rsidP="00035674">
            <w:pPr>
              <w:spacing w:after="0"/>
              <w:jc w:val="right"/>
              <w:rPr>
                <w:noProof/>
                <w:sz w:val="20"/>
                <w:szCs w:val="20"/>
                <w:lang w:val="en-IE" w:eastAsia="en-IE"/>
              </w:rPr>
            </w:pPr>
            <w:r w:rsidRPr="006B653B">
              <w:rPr>
                <w:noProof/>
                <w:sz w:val="20"/>
                <w:szCs w:val="20"/>
              </w:rPr>
              <w:t>-</w:t>
            </w:r>
          </w:p>
        </w:tc>
      </w:tr>
      <w:tr w:rsidR="00FA01FB" w:rsidRPr="00D74ABD" w14:paraId="2A4FA0B5" w14:textId="77777777" w:rsidTr="006B653B">
        <w:trPr>
          <w:trHeight w:val="283"/>
        </w:trPr>
        <w:tc>
          <w:tcPr>
            <w:tcW w:w="2069" w:type="dxa"/>
            <w:noWrap/>
            <w:hideMark/>
          </w:tcPr>
          <w:p w14:paraId="483EE2D6" w14:textId="77777777" w:rsidR="00FA01FB" w:rsidRPr="006B653B" w:rsidRDefault="00FA01FB">
            <w:pPr>
              <w:spacing w:after="0"/>
              <w:jc w:val="left"/>
              <w:rPr>
                <w:i/>
                <w:noProof/>
                <w:sz w:val="20"/>
                <w:szCs w:val="20"/>
                <w:lang w:val="en-IE" w:eastAsia="en-IE"/>
              </w:rPr>
            </w:pPr>
            <w:r w:rsidRPr="006B653B">
              <w:rPr>
                <w:i/>
                <w:noProof/>
                <w:sz w:val="20"/>
                <w:szCs w:val="20"/>
                <w:lang w:val="en-IE" w:eastAsia="en-IE"/>
              </w:rPr>
              <w:t>recurrent regulatory fees</w:t>
            </w:r>
          </w:p>
        </w:tc>
        <w:tc>
          <w:tcPr>
            <w:tcW w:w="1288" w:type="dxa"/>
          </w:tcPr>
          <w:p w14:paraId="2F910415" w14:textId="6E31817A"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938" w:type="dxa"/>
          </w:tcPr>
          <w:p w14:paraId="69567963" w14:textId="0C1F8E12"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072" w:type="dxa"/>
          </w:tcPr>
          <w:p w14:paraId="357BAA0D" w14:textId="725024DB"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339" w:type="dxa"/>
            <w:noWrap/>
          </w:tcPr>
          <w:p w14:paraId="64377B74"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c>
          <w:tcPr>
            <w:tcW w:w="1340" w:type="dxa"/>
            <w:noWrap/>
          </w:tcPr>
          <w:p w14:paraId="3F87FCF6" w14:textId="77777777" w:rsidR="00FA01FB" w:rsidRPr="006B653B" w:rsidRDefault="00FA01FB">
            <w:pPr>
              <w:spacing w:after="0"/>
              <w:jc w:val="right"/>
              <w:rPr>
                <w:noProof/>
                <w:sz w:val="20"/>
                <w:szCs w:val="20"/>
                <w:lang w:val="en-IE" w:eastAsia="en-IE"/>
              </w:rPr>
            </w:pPr>
            <w:r w:rsidRPr="006B653B">
              <w:rPr>
                <w:noProof/>
                <w:sz w:val="20"/>
                <w:szCs w:val="20"/>
              </w:rPr>
              <w:t xml:space="preserve">-   </w:t>
            </w:r>
          </w:p>
        </w:tc>
        <w:tc>
          <w:tcPr>
            <w:tcW w:w="1608" w:type="dxa"/>
            <w:noWrap/>
          </w:tcPr>
          <w:p w14:paraId="5F0051D1"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r>
      <w:tr w:rsidR="00FA01FB" w:rsidRPr="00D74ABD" w14:paraId="219A5E69" w14:textId="77777777" w:rsidTr="006B653B">
        <w:trPr>
          <w:trHeight w:val="283"/>
        </w:trPr>
        <w:tc>
          <w:tcPr>
            <w:tcW w:w="2069" w:type="dxa"/>
            <w:noWrap/>
            <w:hideMark/>
          </w:tcPr>
          <w:p w14:paraId="4BD51B2B" w14:textId="77777777" w:rsidR="00FA01FB" w:rsidRPr="006B653B" w:rsidRDefault="00FA01FB">
            <w:pPr>
              <w:spacing w:after="0"/>
              <w:jc w:val="left"/>
              <w:rPr>
                <w:i/>
                <w:noProof/>
                <w:sz w:val="20"/>
                <w:szCs w:val="20"/>
                <w:lang w:val="en-IE" w:eastAsia="en-IE"/>
              </w:rPr>
            </w:pPr>
            <w:r w:rsidRPr="006B653B">
              <w:rPr>
                <w:i/>
                <w:noProof/>
                <w:sz w:val="20"/>
                <w:szCs w:val="20"/>
                <w:lang w:val="en-IE" w:eastAsia="en-IE"/>
              </w:rPr>
              <w:t>one-off enforcement.</w:t>
            </w:r>
          </w:p>
        </w:tc>
        <w:tc>
          <w:tcPr>
            <w:tcW w:w="1288" w:type="dxa"/>
          </w:tcPr>
          <w:p w14:paraId="49800B2D" w14:textId="7C410CCB"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938" w:type="dxa"/>
          </w:tcPr>
          <w:p w14:paraId="50398CEC" w14:textId="3199F56C"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072" w:type="dxa"/>
          </w:tcPr>
          <w:p w14:paraId="4AE00FD4" w14:textId="07A2D4D5"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339" w:type="dxa"/>
            <w:noWrap/>
          </w:tcPr>
          <w:p w14:paraId="10CC068B"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c>
          <w:tcPr>
            <w:tcW w:w="1340" w:type="dxa"/>
            <w:noWrap/>
          </w:tcPr>
          <w:p w14:paraId="7E23C3C1" w14:textId="77777777" w:rsidR="00FA01FB" w:rsidRPr="006B653B" w:rsidRDefault="00FA01FB">
            <w:pPr>
              <w:spacing w:after="0"/>
              <w:jc w:val="right"/>
              <w:rPr>
                <w:noProof/>
                <w:sz w:val="20"/>
                <w:szCs w:val="20"/>
                <w:lang w:val="en-IE" w:eastAsia="en-IE"/>
              </w:rPr>
            </w:pPr>
            <w:r w:rsidRPr="006B653B">
              <w:rPr>
                <w:noProof/>
                <w:sz w:val="20"/>
                <w:szCs w:val="20"/>
              </w:rPr>
              <w:t xml:space="preserve">-   </w:t>
            </w:r>
          </w:p>
        </w:tc>
        <w:tc>
          <w:tcPr>
            <w:tcW w:w="1608" w:type="dxa"/>
            <w:noWrap/>
          </w:tcPr>
          <w:p w14:paraId="3D19CB55"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r>
      <w:tr w:rsidR="00FA01FB" w:rsidRPr="00D74ABD" w14:paraId="440AE179" w14:textId="77777777" w:rsidTr="006B653B">
        <w:trPr>
          <w:trHeight w:val="283"/>
        </w:trPr>
        <w:tc>
          <w:tcPr>
            <w:tcW w:w="2069" w:type="dxa"/>
            <w:noWrap/>
            <w:hideMark/>
          </w:tcPr>
          <w:p w14:paraId="3A24B684" w14:textId="77777777" w:rsidR="00FA01FB" w:rsidRPr="006B653B" w:rsidRDefault="00FA01FB">
            <w:pPr>
              <w:spacing w:after="0"/>
              <w:jc w:val="left"/>
              <w:rPr>
                <w:i/>
                <w:noProof/>
                <w:sz w:val="20"/>
                <w:szCs w:val="20"/>
                <w:lang w:val="en-IE" w:eastAsia="en-IE"/>
              </w:rPr>
            </w:pPr>
            <w:r w:rsidRPr="006B653B">
              <w:rPr>
                <w:i/>
                <w:noProof/>
                <w:sz w:val="20"/>
                <w:szCs w:val="20"/>
                <w:lang w:val="en-IE" w:eastAsia="en-IE"/>
              </w:rPr>
              <w:t>recurrent enforcement</w:t>
            </w:r>
          </w:p>
        </w:tc>
        <w:tc>
          <w:tcPr>
            <w:tcW w:w="1288" w:type="dxa"/>
          </w:tcPr>
          <w:p w14:paraId="2D7AADA9" w14:textId="6694C21A"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938" w:type="dxa"/>
          </w:tcPr>
          <w:p w14:paraId="5664FFB7" w14:textId="7A690281"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072" w:type="dxa"/>
          </w:tcPr>
          <w:p w14:paraId="7BB2E8B7" w14:textId="0CCB98D1" w:rsidR="00FA01FB" w:rsidRPr="006B653B" w:rsidRDefault="006E326E">
            <w:pPr>
              <w:spacing w:after="0"/>
              <w:jc w:val="right"/>
              <w:rPr>
                <w:noProof/>
                <w:sz w:val="20"/>
                <w:szCs w:val="20"/>
                <w:lang w:val="en-IE" w:eastAsia="en-IE"/>
              </w:rPr>
            </w:pPr>
            <w:r w:rsidRPr="006B653B">
              <w:rPr>
                <w:noProof/>
                <w:sz w:val="20"/>
                <w:szCs w:val="20"/>
              </w:rPr>
              <w:t xml:space="preserve"> -   </w:t>
            </w:r>
          </w:p>
        </w:tc>
        <w:tc>
          <w:tcPr>
            <w:tcW w:w="1339" w:type="dxa"/>
            <w:noWrap/>
          </w:tcPr>
          <w:p w14:paraId="1996C180"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c>
          <w:tcPr>
            <w:tcW w:w="1340" w:type="dxa"/>
            <w:noWrap/>
          </w:tcPr>
          <w:p w14:paraId="4789F948" w14:textId="77777777" w:rsidR="00FA01FB" w:rsidRPr="006B653B" w:rsidRDefault="00FA01FB">
            <w:pPr>
              <w:spacing w:after="0"/>
              <w:jc w:val="right"/>
              <w:rPr>
                <w:noProof/>
                <w:sz w:val="20"/>
                <w:szCs w:val="20"/>
                <w:lang w:val="en-IE" w:eastAsia="en-IE"/>
              </w:rPr>
            </w:pPr>
            <w:r w:rsidRPr="006B653B">
              <w:rPr>
                <w:noProof/>
                <w:sz w:val="20"/>
                <w:szCs w:val="20"/>
              </w:rPr>
              <w:t xml:space="preserve">-   </w:t>
            </w:r>
          </w:p>
        </w:tc>
        <w:tc>
          <w:tcPr>
            <w:tcW w:w="1608" w:type="dxa"/>
            <w:noWrap/>
          </w:tcPr>
          <w:p w14:paraId="132D1853" w14:textId="77777777" w:rsidR="00FA01FB" w:rsidRPr="006B653B" w:rsidRDefault="00FA01FB">
            <w:pPr>
              <w:spacing w:after="0"/>
              <w:jc w:val="right"/>
              <w:rPr>
                <w:noProof/>
                <w:sz w:val="20"/>
                <w:szCs w:val="20"/>
                <w:lang w:val="en-IE" w:eastAsia="en-IE"/>
              </w:rPr>
            </w:pPr>
            <w:r w:rsidRPr="006B653B">
              <w:rPr>
                <w:noProof/>
                <w:sz w:val="20"/>
                <w:szCs w:val="20"/>
              </w:rPr>
              <w:t xml:space="preserve"> -   </w:t>
            </w:r>
          </w:p>
        </w:tc>
      </w:tr>
      <w:tr w:rsidR="000415E5" w:rsidRPr="00D74ABD" w14:paraId="5F254D93" w14:textId="77777777" w:rsidTr="003B20C8">
        <w:trPr>
          <w:trHeight w:val="283"/>
        </w:trPr>
        <w:tc>
          <w:tcPr>
            <w:tcW w:w="2069" w:type="dxa"/>
            <w:shd w:val="clear" w:color="auto" w:fill="F2DBDB" w:themeFill="accent2" w:themeFillTint="33"/>
            <w:noWrap/>
            <w:hideMark/>
          </w:tcPr>
          <w:p w14:paraId="7078B712" w14:textId="77777777" w:rsidR="00035674" w:rsidRPr="006B653B" w:rsidRDefault="00035674" w:rsidP="00035674">
            <w:pPr>
              <w:spacing w:after="0"/>
              <w:jc w:val="left"/>
              <w:rPr>
                <w:b/>
                <w:i/>
                <w:noProof/>
                <w:sz w:val="20"/>
                <w:szCs w:val="20"/>
                <w:lang w:val="en-IE" w:eastAsia="en-IE"/>
              </w:rPr>
            </w:pPr>
            <w:r w:rsidRPr="006B653B">
              <w:rPr>
                <w:b/>
                <w:i/>
                <w:noProof/>
                <w:sz w:val="20"/>
                <w:szCs w:val="20"/>
                <w:lang w:val="en-IE" w:eastAsia="en-IE"/>
              </w:rPr>
              <w:t>Total costs</w:t>
            </w:r>
          </w:p>
        </w:tc>
        <w:tc>
          <w:tcPr>
            <w:tcW w:w="1288" w:type="dxa"/>
            <w:shd w:val="clear" w:color="auto" w:fill="F2DBDB" w:themeFill="accent2" w:themeFillTint="33"/>
          </w:tcPr>
          <w:p w14:paraId="62141EC1" w14:textId="636C5A6D" w:rsidR="00035674" w:rsidRPr="006B653B" w:rsidRDefault="00DE3885" w:rsidP="00035674">
            <w:pPr>
              <w:spacing w:after="0"/>
              <w:jc w:val="right"/>
              <w:rPr>
                <w:b/>
                <w:noProof/>
                <w:sz w:val="20"/>
                <w:szCs w:val="20"/>
                <w:lang w:val="en-IE" w:eastAsia="en-IE"/>
              </w:rPr>
            </w:pPr>
            <w:r>
              <w:rPr>
                <w:noProof/>
                <w:sz w:val="20"/>
                <w:szCs w:val="20"/>
              </w:rPr>
              <w:t>-</w:t>
            </w:r>
          </w:p>
        </w:tc>
        <w:tc>
          <w:tcPr>
            <w:tcW w:w="938" w:type="dxa"/>
            <w:shd w:val="clear" w:color="auto" w:fill="F2DBDB" w:themeFill="accent2" w:themeFillTint="33"/>
          </w:tcPr>
          <w:p w14:paraId="38ECBDA3" w14:textId="245F3C00" w:rsidR="00035674" w:rsidRPr="006B653B" w:rsidRDefault="004A555C" w:rsidP="00035674">
            <w:pPr>
              <w:spacing w:after="0"/>
              <w:jc w:val="right"/>
              <w:rPr>
                <w:noProof/>
                <w:sz w:val="20"/>
                <w:szCs w:val="20"/>
                <w:lang w:val="en-IE" w:eastAsia="en-IE"/>
              </w:rPr>
            </w:pPr>
            <w:r w:rsidRPr="006B653B">
              <w:rPr>
                <w:noProof/>
                <w:sz w:val="20"/>
                <w:szCs w:val="20"/>
                <w:lang w:val="en-IE" w:eastAsia="en-IE"/>
              </w:rPr>
              <w:t>-</w:t>
            </w:r>
          </w:p>
        </w:tc>
        <w:tc>
          <w:tcPr>
            <w:tcW w:w="1072" w:type="dxa"/>
            <w:shd w:val="clear" w:color="auto" w:fill="F2DBDB" w:themeFill="accent2" w:themeFillTint="33"/>
          </w:tcPr>
          <w:p w14:paraId="6D33E2CA" w14:textId="323E5C53" w:rsidR="00035674" w:rsidRPr="006B653B" w:rsidRDefault="00DE3885" w:rsidP="00035674">
            <w:pPr>
              <w:spacing w:after="0"/>
              <w:jc w:val="right"/>
              <w:rPr>
                <w:noProof/>
                <w:sz w:val="20"/>
                <w:szCs w:val="20"/>
                <w:lang w:val="en-IE" w:eastAsia="en-IE"/>
              </w:rPr>
            </w:pPr>
            <w:r w:rsidRPr="006B653B">
              <w:rPr>
                <w:noProof/>
                <w:sz w:val="20"/>
                <w:szCs w:val="20"/>
              </w:rPr>
              <w:t xml:space="preserve"> </w:t>
            </w:r>
            <w:r>
              <w:rPr>
                <w:noProof/>
                <w:sz w:val="20"/>
                <w:szCs w:val="20"/>
              </w:rPr>
              <w:t>2 907 017</w:t>
            </w:r>
            <w:r w:rsidRPr="006B653B">
              <w:rPr>
                <w:noProof/>
                <w:sz w:val="20"/>
                <w:szCs w:val="20"/>
              </w:rPr>
              <w:t xml:space="preserve"> </w:t>
            </w:r>
          </w:p>
        </w:tc>
        <w:tc>
          <w:tcPr>
            <w:tcW w:w="1339" w:type="dxa"/>
            <w:shd w:val="clear" w:color="auto" w:fill="F2DBDB" w:themeFill="accent2" w:themeFillTint="33"/>
            <w:noWrap/>
          </w:tcPr>
          <w:p w14:paraId="7A9051A5" w14:textId="57819ED0" w:rsidR="00035674" w:rsidRPr="006B653B" w:rsidRDefault="00035674" w:rsidP="00035674">
            <w:pPr>
              <w:spacing w:after="0"/>
              <w:jc w:val="right"/>
              <w:rPr>
                <w:noProof/>
                <w:sz w:val="20"/>
                <w:szCs w:val="20"/>
              </w:rPr>
            </w:pPr>
            <w:r w:rsidRPr="006B653B">
              <w:rPr>
                <w:noProof/>
                <w:sz w:val="20"/>
                <w:szCs w:val="20"/>
              </w:rPr>
              <w:t xml:space="preserve"> </w:t>
            </w:r>
            <w:r w:rsidR="00D039D2">
              <w:rPr>
                <w:noProof/>
                <w:sz w:val="20"/>
                <w:szCs w:val="20"/>
              </w:rPr>
              <w:t>2 907 017</w:t>
            </w:r>
            <w:r w:rsidRPr="006B653B">
              <w:rPr>
                <w:noProof/>
                <w:sz w:val="20"/>
                <w:szCs w:val="20"/>
              </w:rPr>
              <w:t xml:space="preserve"> </w:t>
            </w:r>
          </w:p>
        </w:tc>
        <w:tc>
          <w:tcPr>
            <w:tcW w:w="1340" w:type="dxa"/>
            <w:shd w:val="clear" w:color="auto" w:fill="F2DBDB" w:themeFill="accent2" w:themeFillTint="33"/>
            <w:noWrap/>
          </w:tcPr>
          <w:p w14:paraId="0D99274C" w14:textId="5C7D8126" w:rsidR="00035674" w:rsidRPr="006B653B" w:rsidRDefault="00D039D2" w:rsidP="00035674">
            <w:pPr>
              <w:spacing w:after="0"/>
              <w:jc w:val="right"/>
              <w:rPr>
                <w:noProof/>
                <w:sz w:val="20"/>
                <w:szCs w:val="20"/>
              </w:rPr>
            </w:pPr>
            <w:r>
              <w:rPr>
                <w:noProof/>
                <w:sz w:val="20"/>
                <w:szCs w:val="20"/>
              </w:rPr>
              <w:t>2 480 507</w:t>
            </w:r>
          </w:p>
        </w:tc>
        <w:tc>
          <w:tcPr>
            <w:tcW w:w="1608" w:type="dxa"/>
            <w:shd w:val="clear" w:color="auto" w:fill="F2DBDB" w:themeFill="accent2" w:themeFillTint="33"/>
            <w:noWrap/>
          </w:tcPr>
          <w:p w14:paraId="478547EE" w14:textId="17CCD55E" w:rsidR="00035674" w:rsidRPr="006B653B" w:rsidRDefault="00D039D2" w:rsidP="00035674">
            <w:pPr>
              <w:spacing w:after="0"/>
              <w:jc w:val="right"/>
              <w:rPr>
                <w:noProof/>
                <w:sz w:val="20"/>
                <w:szCs w:val="20"/>
              </w:rPr>
            </w:pPr>
            <w:r>
              <w:rPr>
                <w:noProof/>
                <w:sz w:val="20"/>
                <w:szCs w:val="20"/>
              </w:rPr>
              <w:t>3 333 527</w:t>
            </w:r>
          </w:p>
        </w:tc>
      </w:tr>
      <w:tr w:rsidR="000415E5" w:rsidRPr="00D74ABD" w14:paraId="75FEDDAB" w14:textId="77777777" w:rsidTr="003B20C8">
        <w:trPr>
          <w:trHeight w:val="283"/>
        </w:trPr>
        <w:tc>
          <w:tcPr>
            <w:tcW w:w="2069" w:type="dxa"/>
            <w:shd w:val="clear" w:color="auto" w:fill="EAF1DD" w:themeFill="accent3" w:themeFillTint="33"/>
            <w:noWrap/>
            <w:hideMark/>
          </w:tcPr>
          <w:p w14:paraId="351DF19F" w14:textId="77777777" w:rsidR="00035674" w:rsidRPr="006B653B" w:rsidRDefault="00035674" w:rsidP="00035674">
            <w:pPr>
              <w:spacing w:after="0"/>
              <w:jc w:val="left"/>
              <w:rPr>
                <w:b/>
                <w:i/>
                <w:noProof/>
                <w:sz w:val="20"/>
                <w:szCs w:val="20"/>
                <w:lang w:val="en-IE" w:eastAsia="en-IE"/>
              </w:rPr>
            </w:pPr>
            <w:r w:rsidRPr="006B653B">
              <w:rPr>
                <w:b/>
                <w:i/>
                <w:noProof/>
                <w:sz w:val="20"/>
                <w:szCs w:val="20"/>
                <w:lang w:val="en-IE" w:eastAsia="en-IE"/>
              </w:rPr>
              <w:t>Total benefits</w:t>
            </w:r>
          </w:p>
        </w:tc>
        <w:tc>
          <w:tcPr>
            <w:tcW w:w="1288" w:type="dxa"/>
            <w:shd w:val="clear" w:color="auto" w:fill="EAF1DD" w:themeFill="accent3" w:themeFillTint="33"/>
          </w:tcPr>
          <w:p w14:paraId="58CB25D8" w14:textId="5AEA6C39" w:rsidR="00035674" w:rsidRPr="006B653B" w:rsidRDefault="00DE3885" w:rsidP="00035674">
            <w:pPr>
              <w:spacing w:after="0"/>
              <w:jc w:val="right"/>
              <w:rPr>
                <w:b/>
                <w:noProof/>
                <w:sz w:val="20"/>
                <w:szCs w:val="20"/>
                <w:lang w:val="en-IE" w:eastAsia="en-IE"/>
              </w:rPr>
            </w:pPr>
            <w:r>
              <w:rPr>
                <w:noProof/>
                <w:sz w:val="20"/>
                <w:szCs w:val="20"/>
              </w:rPr>
              <w:t>-</w:t>
            </w:r>
          </w:p>
        </w:tc>
        <w:tc>
          <w:tcPr>
            <w:tcW w:w="938" w:type="dxa"/>
            <w:shd w:val="clear" w:color="auto" w:fill="EAF1DD" w:themeFill="accent3" w:themeFillTint="33"/>
          </w:tcPr>
          <w:p w14:paraId="0477BB72" w14:textId="329BFA26" w:rsidR="00035674" w:rsidRPr="006B653B" w:rsidRDefault="004A555C" w:rsidP="00035674">
            <w:pPr>
              <w:spacing w:after="0"/>
              <w:jc w:val="right"/>
              <w:rPr>
                <w:b/>
                <w:noProof/>
                <w:sz w:val="20"/>
                <w:szCs w:val="20"/>
                <w:lang w:val="en-IE" w:eastAsia="en-IE"/>
              </w:rPr>
            </w:pPr>
            <w:r w:rsidRPr="006B653B">
              <w:rPr>
                <w:b/>
                <w:noProof/>
                <w:sz w:val="20"/>
                <w:szCs w:val="20"/>
                <w:lang w:val="en-IE" w:eastAsia="en-IE"/>
              </w:rPr>
              <w:t>-</w:t>
            </w:r>
          </w:p>
        </w:tc>
        <w:tc>
          <w:tcPr>
            <w:tcW w:w="1072" w:type="dxa"/>
            <w:shd w:val="clear" w:color="auto" w:fill="EAF1DD" w:themeFill="accent3" w:themeFillTint="33"/>
          </w:tcPr>
          <w:p w14:paraId="005EAE14" w14:textId="57F986BA" w:rsidR="00035674" w:rsidRPr="006B653B" w:rsidRDefault="006E326E" w:rsidP="00035674">
            <w:pPr>
              <w:spacing w:after="0"/>
              <w:jc w:val="right"/>
              <w:rPr>
                <w:b/>
                <w:noProof/>
                <w:sz w:val="20"/>
                <w:szCs w:val="20"/>
                <w:lang w:val="en-IE" w:eastAsia="en-IE"/>
              </w:rPr>
            </w:pPr>
            <w:r w:rsidRPr="006B653B">
              <w:rPr>
                <w:noProof/>
                <w:sz w:val="20"/>
                <w:szCs w:val="20"/>
              </w:rPr>
              <w:t xml:space="preserve"> -   </w:t>
            </w:r>
          </w:p>
        </w:tc>
        <w:tc>
          <w:tcPr>
            <w:tcW w:w="1339" w:type="dxa"/>
            <w:shd w:val="clear" w:color="auto" w:fill="EAF1DD" w:themeFill="accent3" w:themeFillTint="33"/>
            <w:noWrap/>
          </w:tcPr>
          <w:p w14:paraId="4B48E871" w14:textId="4B52600E" w:rsidR="00035674" w:rsidRPr="006B653B" w:rsidRDefault="00D039D2" w:rsidP="00035674">
            <w:pPr>
              <w:spacing w:after="0"/>
              <w:jc w:val="right"/>
              <w:rPr>
                <w:noProof/>
                <w:sz w:val="20"/>
                <w:szCs w:val="20"/>
                <w:lang w:val="en-IE" w:eastAsia="en-IE"/>
              </w:rPr>
            </w:pPr>
            <w:r>
              <w:rPr>
                <w:noProof/>
                <w:sz w:val="20"/>
                <w:szCs w:val="20"/>
              </w:rPr>
              <w:t>-</w:t>
            </w:r>
          </w:p>
        </w:tc>
        <w:tc>
          <w:tcPr>
            <w:tcW w:w="1340" w:type="dxa"/>
            <w:shd w:val="clear" w:color="auto" w:fill="EAF1DD" w:themeFill="accent3" w:themeFillTint="33"/>
            <w:noWrap/>
          </w:tcPr>
          <w:p w14:paraId="470A1337" w14:textId="2F61BCB9" w:rsidR="00035674" w:rsidRPr="006B653B" w:rsidRDefault="00D039D2" w:rsidP="00035674">
            <w:pPr>
              <w:spacing w:after="0"/>
              <w:jc w:val="right"/>
              <w:rPr>
                <w:noProof/>
                <w:sz w:val="20"/>
                <w:szCs w:val="20"/>
                <w:lang w:val="en-IE" w:eastAsia="en-IE"/>
              </w:rPr>
            </w:pPr>
            <w:r>
              <w:rPr>
                <w:noProof/>
                <w:sz w:val="20"/>
                <w:szCs w:val="20"/>
              </w:rPr>
              <w:t>`-</w:t>
            </w:r>
          </w:p>
        </w:tc>
        <w:tc>
          <w:tcPr>
            <w:tcW w:w="1608" w:type="dxa"/>
            <w:shd w:val="clear" w:color="auto" w:fill="EAF1DD" w:themeFill="accent3" w:themeFillTint="33"/>
            <w:noWrap/>
          </w:tcPr>
          <w:p w14:paraId="688FF6E0" w14:textId="3FAA9BC5" w:rsidR="00035674" w:rsidRPr="006B653B" w:rsidRDefault="00D039D2" w:rsidP="00FB7BD9">
            <w:pPr>
              <w:spacing w:after="0"/>
              <w:jc w:val="right"/>
              <w:rPr>
                <w:noProof/>
                <w:sz w:val="20"/>
                <w:szCs w:val="20"/>
                <w:lang w:val="en-IE" w:eastAsia="en-IE"/>
              </w:rPr>
            </w:pPr>
            <w:r>
              <w:rPr>
                <w:noProof/>
                <w:sz w:val="20"/>
                <w:szCs w:val="20"/>
              </w:rPr>
              <w:t>-</w:t>
            </w:r>
          </w:p>
        </w:tc>
      </w:tr>
      <w:tr w:rsidR="00035674" w:rsidRPr="00D74ABD" w14:paraId="305286FA" w14:textId="77777777" w:rsidTr="003B20C8">
        <w:trPr>
          <w:trHeight w:val="283"/>
        </w:trPr>
        <w:tc>
          <w:tcPr>
            <w:tcW w:w="2069" w:type="dxa"/>
            <w:shd w:val="clear" w:color="auto" w:fill="F2F2F2" w:themeFill="background1" w:themeFillShade="F2"/>
            <w:noWrap/>
            <w:hideMark/>
          </w:tcPr>
          <w:p w14:paraId="4D8AD159" w14:textId="77777777" w:rsidR="00035674" w:rsidRPr="006B653B" w:rsidRDefault="00035674" w:rsidP="00035674">
            <w:pPr>
              <w:spacing w:after="0"/>
              <w:jc w:val="left"/>
              <w:rPr>
                <w:b/>
                <w:i/>
                <w:noProof/>
                <w:sz w:val="20"/>
                <w:szCs w:val="20"/>
                <w:lang w:val="en-IE" w:eastAsia="en-IE"/>
              </w:rPr>
            </w:pPr>
            <w:r w:rsidRPr="006B653B">
              <w:rPr>
                <w:b/>
                <w:i/>
                <w:noProof/>
                <w:sz w:val="20"/>
                <w:szCs w:val="20"/>
                <w:lang w:val="en-IE" w:eastAsia="en-IE"/>
              </w:rPr>
              <w:t>Net impact</w:t>
            </w:r>
          </w:p>
        </w:tc>
        <w:tc>
          <w:tcPr>
            <w:tcW w:w="1288" w:type="dxa"/>
            <w:shd w:val="clear" w:color="auto" w:fill="F2F2F2" w:themeFill="background1" w:themeFillShade="F2"/>
          </w:tcPr>
          <w:p w14:paraId="618E1048" w14:textId="7EF29334" w:rsidR="00035674" w:rsidRPr="006B653B" w:rsidRDefault="00DE3885" w:rsidP="00035674">
            <w:pPr>
              <w:spacing w:after="0"/>
              <w:jc w:val="right"/>
              <w:rPr>
                <w:b/>
                <w:noProof/>
                <w:sz w:val="20"/>
                <w:szCs w:val="20"/>
                <w:lang w:val="en-IE" w:eastAsia="en-IE"/>
              </w:rPr>
            </w:pPr>
            <w:r>
              <w:rPr>
                <w:b/>
                <w:noProof/>
                <w:sz w:val="20"/>
                <w:szCs w:val="20"/>
                <w:lang w:val="en-IE" w:eastAsia="en-IE"/>
              </w:rPr>
              <w:t>-</w:t>
            </w:r>
          </w:p>
        </w:tc>
        <w:tc>
          <w:tcPr>
            <w:tcW w:w="938" w:type="dxa"/>
            <w:shd w:val="clear" w:color="auto" w:fill="F2F2F2" w:themeFill="background1" w:themeFillShade="F2"/>
          </w:tcPr>
          <w:p w14:paraId="221388E7" w14:textId="5939D900" w:rsidR="00035674" w:rsidRPr="006B653B" w:rsidRDefault="004A555C" w:rsidP="00035674">
            <w:pPr>
              <w:spacing w:after="0"/>
              <w:jc w:val="right"/>
              <w:rPr>
                <w:b/>
                <w:noProof/>
                <w:sz w:val="20"/>
                <w:szCs w:val="20"/>
                <w:lang w:val="en-IE" w:eastAsia="en-IE"/>
              </w:rPr>
            </w:pPr>
            <w:r w:rsidRPr="006B653B">
              <w:rPr>
                <w:b/>
                <w:noProof/>
                <w:sz w:val="20"/>
                <w:szCs w:val="20"/>
                <w:lang w:val="en-IE" w:eastAsia="en-IE"/>
              </w:rPr>
              <w:t>-</w:t>
            </w:r>
          </w:p>
        </w:tc>
        <w:tc>
          <w:tcPr>
            <w:tcW w:w="1072" w:type="dxa"/>
            <w:shd w:val="clear" w:color="auto" w:fill="F2F2F2" w:themeFill="background1" w:themeFillShade="F2"/>
          </w:tcPr>
          <w:p w14:paraId="6277CB3A" w14:textId="0C278328" w:rsidR="00035674" w:rsidRPr="006B653B" w:rsidRDefault="00DE3885" w:rsidP="00035674">
            <w:pPr>
              <w:spacing w:after="0"/>
              <w:jc w:val="right"/>
              <w:rPr>
                <w:b/>
                <w:noProof/>
                <w:sz w:val="20"/>
                <w:szCs w:val="20"/>
                <w:lang w:val="en-IE" w:eastAsia="en-IE"/>
              </w:rPr>
            </w:pPr>
            <w:r w:rsidRPr="00D039D2">
              <w:rPr>
                <w:b/>
                <w:bCs/>
                <w:noProof/>
                <w:sz w:val="20"/>
                <w:szCs w:val="20"/>
              </w:rPr>
              <w:t xml:space="preserve"> 2 907 017 </w:t>
            </w:r>
          </w:p>
        </w:tc>
        <w:tc>
          <w:tcPr>
            <w:tcW w:w="1339" w:type="dxa"/>
            <w:shd w:val="clear" w:color="auto" w:fill="F2F2F2" w:themeFill="background1" w:themeFillShade="F2"/>
            <w:noWrap/>
          </w:tcPr>
          <w:p w14:paraId="28BC4A96" w14:textId="78CF8E50" w:rsidR="00035674" w:rsidRPr="006B653B" w:rsidRDefault="00D039D2" w:rsidP="00035674">
            <w:pPr>
              <w:spacing w:after="0"/>
              <w:jc w:val="right"/>
              <w:rPr>
                <w:b/>
                <w:noProof/>
                <w:sz w:val="20"/>
                <w:szCs w:val="20"/>
                <w:lang w:val="en-IE" w:eastAsia="en-IE"/>
              </w:rPr>
            </w:pPr>
            <w:r w:rsidRPr="00D039D2">
              <w:rPr>
                <w:b/>
                <w:bCs/>
                <w:noProof/>
                <w:sz w:val="20"/>
                <w:szCs w:val="20"/>
              </w:rPr>
              <w:t xml:space="preserve"> 2 907 017 </w:t>
            </w:r>
          </w:p>
        </w:tc>
        <w:tc>
          <w:tcPr>
            <w:tcW w:w="1340" w:type="dxa"/>
            <w:shd w:val="clear" w:color="auto" w:fill="F2F2F2" w:themeFill="background1" w:themeFillShade="F2"/>
            <w:noWrap/>
          </w:tcPr>
          <w:p w14:paraId="5A862027" w14:textId="30E190E6" w:rsidR="00035674" w:rsidRPr="006B653B" w:rsidRDefault="00D039D2" w:rsidP="00035674">
            <w:pPr>
              <w:spacing w:after="0"/>
              <w:jc w:val="right"/>
              <w:rPr>
                <w:b/>
                <w:noProof/>
                <w:sz w:val="20"/>
                <w:szCs w:val="20"/>
                <w:lang w:val="en-IE" w:eastAsia="en-IE"/>
              </w:rPr>
            </w:pPr>
            <w:r w:rsidRPr="00D039D2">
              <w:rPr>
                <w:b/>
                <w:bCs/>
                <w:noProof/>
                <w:sz w:val="20"/>
                <w:szCs w:val="20"/>
              </w:rPr>
              <w:t>2 480 507</w:t>
            </w:r>
          </w:p>
        </w:tc>
        <w:tc>
          <w:tcPr>
            <w:tcW w:w="1608" w:type="dxa"/>
            <w:shd w:val="clear" w:color="auto" w:fill="F2F2F2" w:themeFill="background1" w:themeFillShade="F2"/>
            <w:noWrap/>
          </w:tcPr>
          <w:p w14:paraId="668C52D4" w14:textId="56B73427" w:rsidR="00035674" w:rsidRPr="00035674" w:rsidRDefault="00D039D2" w:rsidP="00035674">
            <w:pPr>
              <w:spacing w:after="0"/>
              <w:jc w:val="right"/>
              <w:rPr>
                <w:b/>
                <w:bCs/>
                <w:noProof/>
                <w:sz w:val="20"/>
                <w:szCs w:val="20"/>
                <w:lang w:val="en-IE" w:eastAsia="en-IE"/>
              </w:rPr>
            </w:pPr>
            <w:r w:rsidRPr="00D039D2">
              <w:rPr>
                <w:b/>
                <w:bCs/>
                <w:noProof/>
                <w:sz w:val="20"/>
                <w:szCs w:val="20"/>
              </w:rPr>
              <w:t>3 333 527</w:t>
            </w:r>
          </w:p>
        </w:tc>
      </w:tr>
    </w:tbl>
    <w:p w14:paraId="04FEB26E" w14:textId="77777777" w:rsidR="009271EF" w:rsidRDefault="009271EF" w:rsidP="004E1537">
      <w:pPr>
        <w:pStyle w:val="Text1"/>
        <w:rPr>
          <w:noProof/>
          <w:lang w:val="en-IE"/>
        </w:rPr>
      </w:pPr>
    </w:p>
    <w:p w14:paraId="19D7889E" w14:textId="5FC759BB" w:rsidR="001C1F8D" w:rsidRDefault="000F40E9" w:rsidP="008F6952">
      <w:pPr>
        <w:pStyle w:val="Heading1"/>
        <w:numPr>
          <w:ilvl w:val="0"/>
          <w:numId w:val="15"/>
        </w:numPr>
        <w:tabs>
          <w:tab w:val="num" w:pos="283"/>
        </w:tabs>
        <w:rPr>
          <w:noProof/>
          <w:lang w:val="en-IE"/>
        </w:rPr>
      </w:pPr>
      <w:bookmarkStart w:id="269" w:name="_Toc216283380"/>
      <w:bookmarkStart w:id="270" w:name="_Toc228346935"/>
      <w:bookmarkStart w:id="271" w:name="_Toc214519729"/>
      <w:r>
        <w:rPr>
          <w:noProof/>
          <w:lang w:val="en-IE"/>
        </w:rPr>
        <w:t xml:space="preserve">Strengths and </w:t>
      </w:r>
      <w:r w:rsidR="00BA0017">
        <w:rPr>
          <w:noProof/>
          <w:lang w:val="en-IE"/>
        </w:rPr>
        <w:t>l</w:t>
      </w:r>
      <w:r w:rsidR="001C1F8D">
        <w:rPr>
          <w:noProof/>
          <w:lang w:val="en-IE"/>
        </w:rPr>
        <w:t>imitations of the analysis</w:t>
      </w:r>
      <w:bookmarkEnd w:id="269"/>
      <w:bookmarkEnd w:id="270"/>
    </w:p>
    <w:p w14:paraId="472EF7AC" w14:textId="37BC699C" w:rsidR="003136A9" w:rsidRPr="003136A9" w:rsidRDefault="003136A9" w:rsidP="003136A9">
      <w:pPr>
        <w:pStyle w:val="Text1"/>
        <w:ind w:left="0"/>
        <w:rPr>
          <w:noProof/>
          <w:lang w:val="en-IE"/>
        </w:rPr>
      </w:pPr>
      <w:r w:rsidRPr="003136A9">
        <w:rPr>
          <w:noProof/>
          <w:lang w:val="en-IE"/>
        </w:rPr>
        <w:t>This impact assessment uses as main basis the results and the modelling stemming from the study carried out by Technopolis Group. In spite of extensive efforts to collect relevant data through surveys, interviews and workshops certain gaps remain. There are a number of points for which projections and estimat</w:t>
      </w:r>
      <w:r w:rsidR="00F906BA">
        <w:rPr>
          <w:noProof/>
          <w:lang w:val="en-IE"/>
        </w:rPr>
        <w:t>e</w:t>
      </w:r>
      <w:r w:rsidRPr="003136A9">
        <w:rPr>
          <w:noProof/>
          <w:lang w:val="en-IE"/>
        </w:rPr>
        <w:t>s had to be considered. For instance, there is no clear objective value on the deployed data centre capacity in the EU. The s</w:t>
      </w:r>
      <w:r w:rsidR="004672D4">
        <w:rPr>
          <w:noProof/>
          <w:lang w:val="en-IE"/>
        </w:rPr>
        <w:t>tudy carried out by Technopolis et al. (2025)</w:t>
      </w:r>
      <w:r w:rsidRPr="003136A9">
        <w:rPr>
          <w:noProof/>
          <w:lang w:val="en-IE"/>
        </w:rPr>
        <w:t xml:space="preserve"> has developed a first-of-a-kind methodology to estimate current capacity in the</w:t>
      </w:r>
      <w:r w:rsidR="00DF18E3">
        <w:rPr>
          <w:noProof/>
          <w:lang w:val="en-IE"/>
        </w:rPr>
        <w:t xml:space="preserve"> EU</w:t>
      </w:r>
      <w:r w:rsidRPr="003136A9">
        <w:rPr>
          <w:noProof/>
          <w:lang w:val="en-IE"/>
        </w:rPr>
        <w:t xml:space="preserve">, which has then cross-referenced with reported literature sources. </w:t>
      </w:r>
      <w:r w:rsidR="001E74CE">
        <w:rPr>
          <w:noProof/>
          <w:lang w:val="en-IE"/>
        </w:rPr>
        <w:t>As for</w:t>
      </w:r>
      <w:r w:rsidRPr="003136A9">
        <w:rPr>
          <w:noProof/>
          <w:lang w:val="en-IE"/>
        </w:rPr>
        <w:t xml:space="preserve"> the international </w:t>
      </w:r>
      <w:r w:rsidR="001E74CE">
        <w:rPr>
          <w:noProof/>
          <w:lang w:val="en-IE"/>
        </w:rPr>
        <w:t>comparison,</w:t>
      </w:r>
      <w:r w:rsidRPr="003136A9">
        <w:rPr>
          <w:noProof/>
          <w:lang w:val="en-IE"/>
        </w:rPr>
        <w:t xml:space="preserve"> several reports on </w:t>
      </w:r>
      <w:r w:rsidR="001E74CE">
        <w:rPr>
          <w:noProof/>
          <w:lang w:val="en-IE"/>
        </w:rPr>
        <w:t>US</w:t>
      </w:r>
      <w:r w:rsidRPr="003136A9">
        <w:rPr>
          <w:noProof/>
          <w:lang w:val="en-IE"/>
        </w:rPr>
        <w:t xml:space="preserve"> data centre capacity </w:t>
      </w:r>
      <w:r w:rsidR="001E74CE">
        <w:rPr>
          <w:noProof/>
          <w:lang w:val="en-IE"/>
        </w:rPr>
        <w:t>exist, but</w:t>
      </w:r>
      <w:r w:rsidRPr="003136A9">
        <w:rPr>
          <w:noProof/>
          <w:lang w:val="en-IE"/>
        </w:rPr>
        <w:t xml:space="preserve"> the numbers </w:t>
      </w:r>
      <w:r w:rsidR="001E74CE">
        <w:rPr>
          <w:noProof/>
          <w:lang w:val="en-IE"/>
        </w:rPr>
        <w:t>for</w:t>
      </w:r>
      <w:r w:rsidRPr="003136A9">
        <w:rPr>
          <w:noProof/>
          <w:lang w:val="en-IE"/>
        </w:rPr>
        <w:t xml:space="preserve"> China are not so conclusive. </w:t>
      </w:r>
    </w:p>
    <w:p w14:paraId="6FE051E1" w14:textId="325668CE" w:rsidR="003136A9" w:rsidRPr="003136A9" w:rsidRDefault="003136A9" w:rsidP="003136A9">
      <w:pPr>
        <w:pStyle w:val="Text1"/>
        <w:ind w:left="0"/>
        <w:rPr>
          <w:noProof/>
          <w:lang w:val="en-IE"/>
        </w:rPr>
      </w:pPr>
      <w:r w:rsidRPr="003136A9">
        <w:rPr>
          <w:noProof/>
          <w:lang w:val="en-IE"/>
        </w:rPr>
        <w:t xml:space="preserve">The estimation on the use of energy and water currently </w:t>
      </w:r>
      <w:r w:rsidR="001E74CE">
        <w:rPr>
          <w:noProof/>
          <w:lang w:val="en-IE"/>
        </w:rPr>
        <w:t xml:space="preserve">used </w:t>
      </w:r>
      <w:r w:rsidRPr="003136A9">
        <w:rPr>
          <w:noProof/>
          <w:lang w:val="en-IE"/>
        </w:rPr>
        <w:t>by data centres present similar issues. The reported values stem from literature sources. Both the data centre capacity figures as of today as well as the growth scenarios have been thoroughly assessed with one-to-one interviews, CATI interviews and in the two workshops organized along the timeframe of the study.</w:t>
      </w:r>
    </w:p>
    <w:p w14:paraId="5520CF74" w14:textId="5BBB8E6B" w:rsidR="006A3F55" w:rsidRPr="003136A9" w:rsidRDefault="00E5586C" w:rsidP="00324767">
      <w:pPr>
        <w:pStyle w:val="Text1"/>
        <w:ind w:left="0"/>
        <w:rPr>
          <w:noProof/>
          <w:lang w:val="en-IE"/>
        </w:rPr>
      </w:pPr>
      <w:r>
        <w:rPr>
          <w:noProof/>
          <w:lang w:val="en-IE"/>
        </w:rPr>
        <w:t>Determining the m</w:t>
      </w:r>
      <w:r w:rsidR="0065111F">
        <w:rPr>
          <w:noProof/>
          <w:lang w:val="en-IE"/>
        </w:rPr>
        <w:t>arket siz</w:t>
      </w:r>
      <w:r>
        <w:rPr>
          <w:noProof/>
          <w:lang w:val="en-IE"/>
        </w:rPr>
        <w:t>e</w:t>
      </w:r>
      <w:r w:rsidR="0065111F">
        <w:rPr>
          <w:noProof/>
          <w:lang w:val="en-IE"/>
        </w:rPr>
        <w:t xml:space="preserve"> for cloud </w:t>
      </w:r>
      <w:r>
        <w:rPr>
          <w:noProof/>
          <w:lang w:val="en-IE"/>
        </w:rPr>
        <w:t xml:space="preserve">and AI computing </w:t>
      </w:r>
      <w:r w:rsidR="0065111F">
        <w:rPr>
          <w:noProof/>
          <w:lang w:val="en-IE"/>
        </w:rPr>
        <w:t>services remains methodologically heterogeneous. Sources differ</w:t>
      </w:r>
      <w:r w:rsidR="005860AB">
        <w:rPr>
          <w:noProof/>
          <w:lang w:val="en-IE"/>
        </w:rPr>
        <w:t xml:space="preserve"> notably because they don’t look at same layers</w:t>
      </w:r>
      <w:r w:rsidR="00BA1041">
        <w:rPr>
          <w:noProof/>
          <w:lang w:val="en-IE"/>
        </w:rPr>
        <w:t xml:space="preserve"> (IaaS, PaaS or SaaS) </w:t>
      </w:r>
      <w:r w:rsidR="005860AB">
        <w:rPr>
          <w:noProof/>
          <w:lang w:val="en-IE"/>
        </w:rPr>
        <w:t xml:space="preserve">or don’t </w:t>
      </w:r>
      <w:r w:rsidR="00B142EE">
        <w:rPr>
          <w:noProof/>
          <w:lang w:val="en-IE"/>
        </w:rPr>
        <w:t>agg</w:t>
      </w:r>
      <w:r w:rsidR="00E74A33">
        <w:rPr>
          <w:noProof/>
          <w:lang w:val="en-IE"/>
        </w:rPr>
        <w:t>regat</w:t>
      </w:r>
      <w:r w:rsidR="005860AB">
        <w:rPr>
          <w:noProof/>
          <w:lang w:val="en-IE"/>
        </w:rPr>
        <w:t>e them</w:t>
      </w:r>
      <w:r w:rsidR="00484D04">
        <w:rPr>
          <w:noProof/>
          <w:lang w:val="en-IE"/>
        </w:rPr>
        <w:t xml:space="preserve"> the same way </w:t>
      </w:r>
      <w:r w:rsidR="00E74A33">
        <w:rPr>
          <w:noProof/>
          <w:lang w:val="en-IE"/>
        </w:rPr>
        <w:t>(e.g. IaaS and PaaS, or IaaS-PaaS-SaaS)</w:t>
      </w:r>
      <w:r w:rsidR="00DF084A">
        <w:rPr>
          <w:noProof/>
          <w:lang w:val="en-IE"/>
        </w:rPr>
        <w:t xml:space="preserve">, resulting in partial overlaps and </w:t>
      </w:r>
      <w:r w:rsidR="0052447C">
        <w:rPr>
          <w:noProof/>
          <w:lang w:val="en-IE"/>
        </w:rPr>
        <w:t>limited comparability</w:t>
      </w:r>
      <w:r w:rsidR="00DF084A">
        <w:rPr>
          <w:noProof/>
          <w:lang w:val="en-IE"/>
        </w:rPr>
        <w:t xml:space="preserve"> across studies.</w:t>
      </w:r>
      <w:r w:rsidR="002E174C">
        <w:rPr>
          <w:noProof/>
          <w:lang w:val="en-IE"/>
        </w:rPr>
        <w:t xml:space="preserve"> </w:t>
      </w:r>
      <w:r w:rsidR="006F6E31">
        <w:rPr>
          <w:noProof/>
          <w:lang w:val="en-IE"/>
        </w:rPr>
        <w:t>As a consequence, t</w:t>
      </w:r>
      <w:r w:rsidR="002E174C">
        <w:rPr>
          <w:noProof/>
          <w:lang w:val="en-IE"/>
        </w:rPr>
        <w:t xml:space="preserve">he figures presented here should not be read </w:t>
      </w:r>
      <w:r w:rsidR="00324767">
        <w:rPr>
          <w:noProof/>
          <w:lang w:val="en-IE"/>
        </w:rPr>
        <w:t xml:space="preserve">as precise point estimates. </w:t>
      </w:r>
      <w:r w:rsidR="00850CD7">
        <w:rPr>
          <w:noProof/>
          <w:lang w:val="en-IE"/>
        </w:rPr>
        <w:t xml:space="preserve">To mitigate these limitations, </w:t>
      </w:r>
      <w:r w:rsidR="00E71FE1">
        <w:rPr>
          <w:noProof/>
          <w:lang w:val="en-IE"/>
        </w:rPr>
        <w:t>a triangulation of these estimates across multiple sources</w:t>
      </w:r>
      <w:r w:rsidR="009A5AEA">
        <w:rPr>
          <w:noProof/>
          <w:lang w:val="en-IE"/>
        </w:rPr>
        <w:t xml:space="preserve"> was performed</w:t>
      </w:r>
      <w:r w:rsidR="004B205D">
        <w:rPr>
          <w:noProof/>
          <w:lang w:val="en-IE"/>
        </w:rPr>
        <w:t xml:space="preserve">, validating the </w:t>
      </w:r>
      <w:r w:rsidR="00250100">
        <w:rPr>
          <w:noProof/>
          <w:lang w:val="en-IE"/>
        </w:rPr>
        <w:t>ranges to establish a robust</w:t>
      </w:r>
      <w:r w:rsidR="00F40140">
        <w:rPr>
          <w:noProof/>
          <w:lang w:val="en-IE"/>
        </w:rPr>
        <w:t>ness c</w:t>
      </w:r>
      <w:r w:rsidR="00250100">
        <w:rPr>
          <w:noProof/>
          <w:lang w:val="en-IE"/>
        </w:rPr>
        <w:t>heck.</w:t>
      </w:r>
    </w:p>
    <w:p w14:paraId="0BB2211F" w14:textId="26DEC16A" w:rsidR="003136A9" w:rsidRDefault="003136A9" w:rsidP="003136A9">
      <w:pPr>
        <w:pStyle w:val="Text1"/>
        <w:ind w:left="0"/>
        <w:rPr>
          <w:noProof/>
          <w:lang w:val="en-IE"/>
        </w:rPr>
      </w:pPr>
      <w:r w:rsidRPr="003136A9">
        <w:rPr>
          <w:noProof/>
          <w:lang w:val="en-IE"/>
        </w:rPr>
        <w:t xml:space="preserve">There is also no hard evidence with respect to the number of public authorities procuring cloud and AI </w:t>
      </w:r>
      <w:r w:rsidR="00A24504">
        <w:rPr>
          <w:noProof/>
          <w:lang w:val="en-IE"/>
        </w:rPr>
        <w:t xml:space="preserve">computing </w:t>
      </w:r>
      <w:r w:rsidRPr="003136A9">
        <w:rPr>
          <w:noProof/>
          <w:lang w:val="en-IE"/>
        </w:rPr>
        <w:t>services</w:t>
      </w:r>
      <w:r w:rsidR="001248B7">
        <w:rPr>
          <w:noProof/>
          <w:lang w:val="en-IE"/>
        </w:rPr>
        <w:t>, nor</w:t>
      </w:r>
      <w:r w:rsidRPr="003136A9">
        <w:rPr>
          <w:noProof/>
          <w:lang w:val="en-IE"/>
        </w:rPr>
        <w:t xml:space="preserve"> on the contracts awarded</w:t>
      </w:r>
      <w:r w:rsidR="00BC0D69">
        <w:rPr>
          <w:noProof/>
          <w:lang w:val="en-IE"/>
        </w:rPr>
        <w:t xml:space="preserve"> or the number of </w:t>
      </w:r>
      <w:r w:rsidR="006C09BA">
        <w:rPr>
          <w:noProof/>
          <w:lang w:val="en-IE"/>
        </w:rPr>
        <w:t>IT systems</w:t>
      </w:r>
      <w:r w:rsidR="00BC0D69">
        <w:rPr>
          <w:noProof/>
          <w:lang w:val="en-IE"/>
        </w:rPr>
        <w:t xml:space="preserve"> that are either cloud-aware or cloud-native</w:t>
      </w:r>
      <w:r w:rsidRPr="003136A9">
        <w:rPr>
          <w:noProof/>
          <w:lang w:val="en-IE"/>
        </w:rPr>
        <w:t>. The data base from Tenders Europe Daily (TED) has been taken as the baseline since it contains all the notices published in the supplement of the Official Journal of the European Union. However, not all contract services are published on TED – only those surpassing a certain value, namely EUR 143 000 for central governments and EUR 221 000 for local and regional governments</w:t>
      </w:r>
      <w:r w:rsidR="00B8796C">
        <w:rPr>
          <w:noProof/>
          <w:lang w:val="en-IE"/>
        </w:rPr>
        <w:t xml:space="preserve"> are required to be published</w:t>
      </w:r>
      <w:r w:rsidRPr="003136A9">
        <w:rPr>
          <w:noProof/>
          <w:lang w:val="en-IE"/>
        </w:rPr>
        <w:t xml:space="preserve">. Furthermore, the absence of a distinct code under the common procurement vocabulary for cloud and AI </w:t>
      </w:r>
      <w:r w:rsidR="00A24504">
        <w:rPr>
          <w:noProof/>
          <w:lang w:val="en-IE"/>
        </w:rPr>
        <w:t xml:space="preserve">computing </w:t>
      </w:r>
      <w:r w:rsidRPr="003136A9">
        <w:rPr>
          <w:noProof/>
          <w:lang w:val="en-IE"/>
        </w:rPr>
        <w:t xml:space="preserve">services required a complex query using combinations of keywords. This poses some limitations in the completeness of the data. Other aspects considered in the impact assessment such as the federation of resources or the </w:t>
      </w:r>
      <w:r w:rsidR="00970365">
        <w:rPr>
          <w:noProof/>
          <w:lang w:val="en-IE"/>
        </w:rPr>
        <w:t xml:space="preserve">sovereignty risk </w:t>
      </w:r>
      <w:r w:rsidR="005C0551">
        <w:rPr>
          <w:noProof/>
          <w:lang w:val="en-IE"/>
        </w:rPr>
        <w:t>framework</w:t>
      </w:r>
      <w:r w:rsidRPr="003136A9">
        <w:rPr>
          <w:noProof/>
          <w:lang w:val="en-IE"/>
        </w:rPr>
        <w:t xml:space="preserve">, for which </w:t>
      </w:r>
      <w:r w:rsidR="00EF010C">
        <w:rPr>
          <w:noProof/>
          <w:lang w:val="en-IE"/>
        </w:rPr>
        <w:t>little</w:t>
      </w:r>
      <w:r w:rsidRPr="003136A9">
        <w:rPr>
          <w:noProof/>
          <w:lang w:val="en-IE"/>
        </w:rPr>
        <w:t xml:space="preserve"> hard evidence</w:t>
      </w:r>
      <w:r w:rsidR="001579A8">
        <w:rPr>
          <w:noProof/>
          <w:lang w:val="en-IE"/>
        </w:rPr>
        <w:t xml:space="preserve"> </w:t>
      </w:r>
      <w:r w:rsidR="00EF010C">
        <w:rPr>
          <w:noProof/>
          <w:lang w:val="en-IE"/>
        </w:rPr>
        <w:t xml:space="preserve">exists </w:t>
      </w:r>
      <w:r w:rsidR="001579A8">
        <w:rPr>
          <w:noProof/>
          <w:lang w:val="en-IE"/>
        </w:rPr>
        <w:t xml:space="preserve">due to </w:t>
      </w:r>
      <w:r w:rsidR="00970365">
        <w:rPr>
          <w:noProof/>
          <w:lang w:val="en-IE"/>
        </w:rPr>
        <w:t xml:space="preserve">their </w:t>
      </w:r>
      <w:r w:rsidR="001579A8">
        <w:rPr>
          <w:noProof/>
          <w:lang w:val="en-IE"/>
        </w:rPr>
        <w:t>novelty</w:t>
      </w:r>
      <w:r w:rsidRPr="003136A9">
        <w:rPr>
          <w:noProof/>
          <w:lang w:val="en-IE"/>
        </w:rPr>
        <w:t xml:space="preserve">, </w:t>
      </w:r>
      <w:r w:rsidR="00C831CF">
        <w:rPr>
          <w:noProof/>
          <w:lang w:val="en-IE"/>
        </w:rPr>
        <w:t xml:space="preserve">were </w:t>
      </w:r>
      <w:r w:rsidR="00EA76C2">
        <w:rPr>
          <w:noProof/>
          <w:lang w:val="en-IE"/>
        </w:rPr>
        <w:t>based on</w:t>
      </w:r>
      <w:r w:rsidR="00F33CD0">
        <w:rPr>
          <w:noProof/>
          <w:lang w:val="en-IE"/>
        </w:rPr>
        <w:t xml:space="preserve"> existing pilots (e.g. Simpl</w:t>
      </w:r>
      <w:r w:rsidR="000A1D36">
        <w:rPr>
          <w:rStyle w:val="FootnoteReference"/>
          <w:noProof/>
          <w:lang w:val="en-IE"/>
        </w:rPr>
        <w:footnoteReference w:id="99"/>
      </w:r>
      <w:r w:rsidR="006D7CD6">
        <w:rPr>
          <w:noProof/>
          <w:lang w:val="en-IE"/>
        </w:rPr>
        <w:t xml:space="preserve">) along with </w:t>
      </w:r>
      <w:r w:rsidRPr="003136A9">
        <w:rPr>
          <w:noProof/>
          <w:lang w:val="en-IE"/>
        </w:rPr>
        <w:t>interviews</w:t>
      </w:r>
      <w:r w:rsidRPr="003136A9" w:rsidDel="006D7CD6">
        <w:rPr>
          <w:noProof/>
          <w:lang w:val="en-IE"/>
        </w:rPr>
        <w:t xml:space="preserve"> </w:t>
      </w:r>
      <w:r w:rsidR="006D7CD6">
        <w:rPr>
          <w:noProof/>
          <w:lang w:val="en-IE"/>
        </w:rPr>
        <w:t>to</w:t>
      </w:r>
      <w:r w:rsidRPr="003136A9">
        <w:rPr>
          <w:noProof/>
          <w:lang w:val="en-IE"/>
        </w:rPr>
        <w:t xml:space="preserve"> public administrations and cloud and AI </w:t>
      </w:r>
      <w:r w:rsidR="00F277BE">
        <w:rPr>
          <w:noProof/>
          <w:lang w:val="en-IE"/>
        </w:rPr>
        <w:t xml:space="preserve">computing service </w:t>
      </w:r>
      <w:r w:rsidRPr="003136A9">
        <w:rPr>
          <w:noProof/>
          <w:lang w:val="en-IE"/>
        </w:rPr>
        <w:t xml:space="preserve">providers to </w:t>
      </w:r>
      <w:r w:rsidR="00EA76C2">
        <w:rPr>
          <w:noProof/>
          <w:lang w:val="en-IE"/>
        </w:rPr>
        <w:t>verify</w:t>
      </w:r>
      <w:r w:rsidRPr="003136A9">
        <w:rPr>
          <w:noProof/>
          <w:lang w:val="en-IE"/>
        </w:rPr>
        <w:t xml:space="preserve"> the validity of the assumptions. These were further verified in the final validation workshop organized the Technopolis Group with stakeholders from different profiles.  </w:t>
      </w:r>
    </w:p>
    <w:p w14:paraId="3C855A9C" w14:textId="47587D44" w:rsidR="00A656B6" w:rsidRPr="003136A9" w:rsidRDefault="00A656B6" w:rsidP="003136A9">
      <w:pPr>
        <w:pStyle w:val="Text1"/>
        <w:ind w:left="0"/>
        <w:rPr>
          <w:noProof/>
          <w:lang w:val="en-IE"/>
        </w:rPr>
      </w:pPr>
      <w:r>
        <w:rPr>
          <w:noProof/>
          <w:lang w:val="en-IE"/>
        </w:rPr>
        <w:t>It is also important to note that the direct cost and cost savings/ benefits identified in the analysis for the Policy Measures</w:t>
      </w:r>
      <w:r w:rsidR="006B07A2">
        <w:rPr>
          <w:noProof/>
          <w:lang w:val="en-IE"/>
        </w:rPr>
        <w:t xml:space="preserve"> </w:t>
      </w:r>
      <w:r w:rsidR="00E404AA">
        <w:rPr>
          <w:noProof/>
          <w:lang w:val="en-IE"/>
        </w:rPr>
        <w:t xml:space="preserve">under Section 3 above </w:t>
      </w:r>
      <w:r w:rsidR="006B07A2">
        <w:rPr>
          <w:noProof/>
          <w:lang w:val="en-IE"/>
        </w:rPr>
        <w:t>do not incorporate wider economic impacts, which have been excluded due to limitations in available data for monetising these effects. Therefore, the results above, do not represent a comprehensive assessment of total policy value</w:t>
      </w:r>
      <w:r w:rsidR="00E404AA">
        <w:rPr>
          <w:noProof/>
          <w:lang w:val="en-IE"/>
        </w:rPr>
        <w:t xml:space="preserve">, but should rather be interpreted as partial estimates of efficiency of each policy measure for the stakeholders under consideration. </w:t>
      </w:r>
    </w:p>
    <w:p w14:paraId="2903E983" w14:textId="26CC5A42" w:rsidR="003136A9" w:rsidRPr="003136A9" w:rsidRDefault="003136A9" w:rsidP="003136A9">
      <w:pPr>
        <w:pStyle w:val="Text1"/>
        <w:ind w:left="0"/>
        <w:rPr>
          <w:noProof/>
          <w:lang w:val="en-IE"/>
        </w:rPr>
      </w:pPr>
      <w:r w:rsidRPr="003136A9">
        <w:rPr>
          <w:noProof/>
          <w:lang w:val="en-IE"/>
        </w:rPr>
        <w:t>Finally, wherever there was a gap that could not be covered through interviews, CATI surveys, or literature</w:t>
      </w:r>
      <w:r w:rsidR="006679B3">
        <w:rPr>
          <w:noProof/>
          <w:lang w:val="en-IE"/>
        </w:rPr>
        <w:t>,</w:t>
      </w:r>
      <w:r w:rsidRPr="003136A9">
        <w:rPr>
          <w:noProof/>
          <w:lang w:val="en-IE"/>
        </w:rPr>
        <w:t xml:space="preserve"> the study team drew reasonable assumptions. These assumptions have been tested in the final validation workshops, which helped provide elements to confirm or adjust these assumptions. In the event these unknown parameters played a pivotal role in the assumptions, the contracting team applied a min-max approach to demonstrate the robustness of the data.</w:t>
      </w:r>
    </w:p>
    <w:p w14:paraId="4A784E9D" w14:textId="734AEA7F" w:rsidR="00724A30" w:rsidRPr="00724A30" w:rsidRDefault="00724A30" w:rsidP="00913325">
      <w:pPr>
        <w:pStyle w:val="Heading1"/>
        <w:numPr>
          <w:ilvl w:val="0"/>
          <w:numId w:val="15"/>
        </w:numPr>
        <w:tabs>
          <w:tab w:val="num" w:pos="283"/>
        </w:tabs>
        <w:rPr>
          <w:noProof/>
          <w:lang w:val="en-IE"/>
        </w:rPr>
      </w:pPr>
      <w:bookmarkStart w:id="272" w:name="_Toc216283381"/>
      <w:bookmarkStart w:id="273" w:name="_Toc228346936"/>
      <w:r w:rsidRPr="00724A30">
        <w:rPr>
          <w:noProof/>
          <w:lang w:val="en-IE"/>
        </w:rPr>
        <w:t>Sensitivity Analysis</w:t>
      </w:r>
      <w:bookmarkEnd w:id="271"/>
      <w:bookmarkEnd w:id="272"/>
      <w:bookmarkEnd w:id="273"/>
    </w:p>
    <w:p w14:paraId="44A329CB" w14:textId="5C3CB9E9" w:rsidR="00BB14D1" w:rsidRPr="008D1ACA" w:rsidRDefault="00BB14D1" w:rsidP="00BB14D1">
      <w:pPr>
        <w:rPr>
          <w:noProof/>
        </w:rPr>
      </w:pPr>
      <w:r w:rsidRPr="008D1ACA">
        <w:rPr>
          <w:noProof/>
        </w:rPr>
        <w:t xml:space="preserve">A </w:t>
      </w:r>
      <w:r w:rsidR="00381DB3">
        <w:rPr>
          <w:noProof/>
        </w:rPr>
        <w:t xml:space="preserve">scenario-based </w:t>
      </w:r>
      <w:r w:rsidRPr="008D1ACA">
        <w:rPr>
          <w:noProof/>
        </w:rPr>
        <w:t xml:space="preserve">sensitivity analysis </w:t>
      </w:r>
      <w:r w:rsidR="005A17F7">
        <w:rPr>
          <w:noProof/>
        </w:rPr>
        <w:t>was</w:t>
      </w:r>
      <w:r w:rsidRPr="008D1ACA">
        <w:rPr>
          <w:noProof/>
        </w:rPr>
        <w:t xml:space="preserve"> run to understand the CBA model output behaviour in response of changes of its inputs</w:t>
      </w:r>
      <w:r w:rsidR="00915AB8">
        <w:rPr>
          <w:noProof/>
        </w:rPr>
        <w:t xml:space="preserve"> to</w:t>
      </w:r>
      <w:r w:rsidRPr="008D1ACA">
        <w:rPr>
          <w:noProof/>
        </w:rPr>
        <w:t xml:space="preserve"> evaluate its overall stability and reliability. </w:t>
      </w:r>
      <w:r w:rsidR="00482177">
        <w:rPr>
          <w:noProof/>
        </w:rPr>
        <w:t xml:space="preserve">It was conducted to verify the uncertainty range (confidence interval) of the values estimated in the CBA for the most impactful policy measures. </w:t>
      </w:r>
      <w:r w:rsidRPr="008D1ACA">
        <w:rPr>
          <w:noProof/>
        </w:rPr>
        <w:t xml:space="preserve">A </w:t>
      </w:r>
      <w:r w:rsidRPr="00915AB8">
        <w:rPr>
          <w:i/>
          <w:noProof/>
        </w:rPr>
        <w:t>min</w:t>
      </w:r>
      <w:r w:rsidRPr="008D1ACA">
        <w:rPr>
          <w:noProof/>
        </w:rPr>
        <w:t xml:space="preserve"> and </w:t>
      </w:r>
      <w:r w:rsidRPr="00915AB8">
        <w:rPr>
          <w:i/>
          <w:noProof/>
        </w:rPr>
        <w:t>max</w:t>
      </w:r>
      <w:r w:rsidRPr="008D1ACA">
        <w:rPr>
          <w:noProof/>
        </w:rPr>
        <w:t xml:space="preserve"> variation for the parameters </w:t>
      </w:r>
      <w:r w:rsidR="00915AB8">
        <w:rPr>
          <w:noProof/>
        </w:rPr>
        <w:t>was</w:t>
      </w:r>
      <w:r w:rsidRPr="008D1ACA">
        <w:rPr>
          <w:noProof/>
        </w:rPr>
        <w:t xml:space="preserve"> introduced </w:t>
      </w:r>
      <w:r w:rsidR="00C30A85">
        <w:rPr>
          <w:noProof/>
        </w:rPr>
        <w:t xml:space="preserve">to create word and best case scenarios for each </w:t>
      </w:r>
      <w:r w:rsidR="001B22C0">
        <w:rPr>
          <w:noProof/>
        </w:rPr>
        <w:t xml:space="preserve">measure. The parameters that were varied have been selected </w:t>
      </w:r>
      <w:r w:rsidRPr="008D1ACA">
        <w:rPr>
          <w:noProof/>
        </w:rPr>
        <w:t xml:space="preserve">according to the following logic: </w:t>
      </w:r>
    </w:p>
    <w:p w14:paraId="544BE741" w14:textId="15A6C76D" w:rsidR="00BB14D1" w:rsidRPr="008D1ACA" w:rsidRDefault="00C42418" w:rsidP="00744B72">
      <w:pPr>
        <w:pStyle w:val="ListParagraph"/>
        <w:numPr>
          <w:ilvl w:val="0"/>
          <w:numId w:val="38"/>
        </w:numPr>
        <w:spacing w:after="160"/>
        <w:rPr>
          <w:noProof/>
        </w:rPr>
      </w:pPr>
      <w:r>
        <w:rPr>
          <w:noProof/>
        </w:rPr>
        <w:t>W</w:t>
      </w:r>
      <w:r w:rsidR="00BB14D1" w:rsidRPr="008D1ACA">
        <w:rPr>
          <w:noProof/>
        </w:rPr>
        <w:t xml:space="preserve">hen the formulation of the parameter involved a high degree of arbitrary assumptions, </w:t>
      </w:r>
      <w:r w:rsidR="00002229">
        <w:rPr>
          <w:noProof/>
        </w:rPr>
        <w:t>e.g. time savings due to administrative simplification</w:t>
      </w:r>
      <w:r w:rsidR="00BB14D1" w:rsidRPr="008D1ACA">
        <w:rPr>
          <w:noProof/>
        </w:rPr>
        <w:t xml:space="preserve">. </w:t>
      </w:r>
    </w:p>
    <w:p w14:paraId="06EBEA24" w14:textId="77777777" w:rsidR="001B22C0" w:rsidRDefault="00323771" w:rsidP="001B22C0">
      <w:pPr>
        <w:pStyle w:val="ListParagraph"/>
        <w:numPr>
          <w:ilvl w:val="0"/>
          <w:numId w:val="38"/>
        </w:numPr>
        <w:spacing w:after="160"/>
        <w:rPr>
          <w:noProof/>
        </w:rPr>
      </w:pPr>
      <w:r>
        <w:rPr>
          <w:noProof/>
        </w:rPr>
        <w:t>Due to the</w:t>
      </w:r>
      <w:r w:rsidR="00BB14D1" w:rsidRPr="008D1ACA">
        <w:rPr>
          <w:noProof/>
        </w:rPr>
        <w:t xml:space="preserve"> parameters</w:t>
      </w:r>
      <w:r>
        <w:rPr>
          <w:noProof/>
        </w:rPr>
        <w:t>’</w:t>
      </w:r>
      <w:r w:rsidR="00BB14D1" w:rsidRPr="008D1ACA">
        <w:rPr>
          <w:noProof/>
        </w:rPr>
        <w:t xml:space="preserve"> highly volatile nature: for example, the number of proposals submitted per year or the cost for a software application. To be noted that this variability does not only reflect the size of the company</w:t>
      </w:r>
      <w:r w:rsidR="00377187">
        <w:rPr>
          <w:noProof/>
        </w:rPr>
        <w:t xml:space="preserve"> / public authority</w:t>
      </w:r>
      <w:r w:rsidR="00BB14D1" w:rsidRPr="008D1ACA">
        <w:rPr>
          <w:noProof/>
        </w:rPr>
        <w:t xml:space="preserve"> affected (that is modelled separately), but captures elements that are not easily separable, such as different organisational or business model choices.</w:t>
      </w:r>
      <w:r w:rsidR="001B22C0" w:rsidRPr="001B22C0">
        <w:rPr>
          <w:noProof/>
        </w:rPr>
        <w:t xml:space="preserve"> </w:t>
      </w:r>
    </w:p>
    <w:p w14:paraId="7EF37BDB" w14:textId="69181554" w:rsidR="004D40D9" w:rsidRDefault="001B22C0" w:rsidP="001B22C0">
      <w:pPr>
        <w:pStyle w:val="ListParagraph"/>
        <w:numPr>
          <w:ilvl w:val="0"/>
          <w:numId w:val="38"/>
        </w:numPr>
        <w:spacing w:after="160"/>
        <w:rPr>
          <w:noProof/>
        </w:rPr>
      </w:pPr>
      <w:r w:rsidRPr="008D1ACA">
        <w:rPr>
          <w:noProof/>
        </w:rPr>
        <w:t>When stakeholders reported during interviews minor to no costs or costs savings the min. value is set to zero, while the maximum value is the parameter identified according to other assumptions (i.e. stemming from the literature or other expert assumptions).</w:t>
      </w:r>
    </w:p>
    <w:p w14:paraId="4EBAD04B" w14:textId="0F49DCBF" w:rsidR="00010808" w:rsidRDefault="004D40D9" w:rsidP="00CC6D46">
      <w:pPr>
        <w:spacing w:after="160"/>
        <w:rPr>
          <w:noProof/>
        </w:rPr>
      </w:pPr>
      <w:r>
        <w:rPr>
          <w:noProof/>
        </w:rPr>
        <w:t>It is important to underline that the sensitivity analysis presented here</w:t>
      </w:r>
      <w:r w:rsidR="00BB02D1">
        <w:rPr>
          <w:noProof/>
        </w:rPr>
        <w:t xml:space="preserve"> provided a bounded variation assessment, through which each policy measure has been tested under a minimum and maximum scenario. As the measures differ considerably in their design, target audience, </w:t>
      </w:r>
      <w:r w:rsidR="00CA2858">
        <w:rPr>
          <w:noProof/>
        </w:rPr>
        <w:t xml:space="preserve">and the type of impacts generated, the </w:t>
      </w:r>
      <w:r w:rsidR="0080595A">
        <w:rPr>
          <w:noProof/>
        </w:rPr>
        <w:t>variables</w:t>
      </w:r>
      <w:r w:rsidR="00CA2858">
        <w:rPr>
          <w:noProof/>
        </w:rPr>
        <w:t xml:space="preserve"> are not always uniform or comparable. </w:t>
      </w:r>
      <w:r w:rsidR="00563B36">
        <w:rPr>
          <w:noProof/>
        </w:rPr>
        <w:t>Therefore, the min-max range is not to be interpreted as a consistent sensitivity interval across all measure</w:t>
      </w:r>
      <w:r w:rsidR="00CC6D46">
        <w:rPr>
          <w:noProof/>
        </w:rPr>
        <w:t>s</w:t>
      </w:r>
      <w:r w:rsidR="00563B36">
        <w:rPr>
          <w:noProof/>
        </w:rPr>
        <w:t xml:space="preserve">. The objective of the exercise </w:t>
      </w:r>
      <w:r w:rsidR="00CC6D46">
        <w:rPr>
          <w:noProof/>
        </w:rPr>
        <w:t xml:space="preserve">was to </w:t>
      </w:r>
      <w:r w:rsidR="00DF102C">
        <w:rPr>
          <w:noProof/>
        </w:rPr>
        <w:t xml:space="preserve">understand how </w:t>
      </w:r>
      <w:r w:rsidR="00CC6D46">
        <w:rPr>
          <w:noProof/>
        </w:rPr>
        <w:t>their</w:t>
      </w:r>
      <w:r w:rsidR="00DF102C">
        <w:rPr>
          <w:noProof/>
        </w:rPr>
        <w:t xml:space="preserve"> costs and benefits would have varied under minimum and maximum conditions, </w:t>
      </w:r>
      <w:r w:rsidR="00275D63">
        <w:rPr>
          <w:noProof/>
        </w:rPr>
        <w:t xml:space="preserve">when the most influential assumptions are varied within plausible ranges. </w:t>
      </w:r>
      <w:r w:rsidR="00AB640D">
        <w:rPr>
          <w:noProof/>
        </w:rPr>
        <w:t xml:space="preserve">This has </w:t>
      </w:r>
      <w:r w:rsidR="00DF102C">
        <w:rPr>
          <w:noProof/>
        </w:rPr>
        <w:t xml:space="preserve">allowed to assess the stability of each measure’s performance across a realistic range of assumptions. </w:t>
      </w:r>
      <w:r w:rsidR="00333434">
        <w:rPr>
          <w:noProof/>
        </w:rPr>
        <w:t>The variation was based on evidence coming from interviews, observed practice and feasibility considerations. The Table below presents the scenario-based ranges for each policy measure, which capture the uncertainty stemming from changes in key parameters and assumptions varied jointly under best and worst case scenarios.</w:t>
      </w:r>
    </w:p>
    <w:p w14:paraId="42741C4E" w14:textId="0B3D245A" w:rsidR="00386F4C" w:rsidRDefault="00A03AD6" w:rsidP="00CC6D46">
      <w:pPr>
        <w:spacing w:after="160"/>
        <w:rPr>
          <w:noProof/>
        </w:rPr>
      </w:pPr>
      <w:r>
        <w:rPr>
          <w:noProof/>
        </w:rPr>
        <w:t>Individual</w:t>
      </w:r>
      <w:r w:rsidR="00110531" w:rsidDel="00FA4751">
        <w:rPr>
          <w:noProof/>
        </w:rPr>
        <w:t xml:space="preserve"> net benefits</w:t>
      </w:r>
      <w:r w:rsidR="00110531">
        <w:rPr>
          <w:noProof/>
        </w:rPr>
        <w:t xml:space="preserve">/costs of the measures expressed in NPV over 10 years </w:t>
      </w:r>
      <w:r w:rsidR="00FA4751">
        <w:rPr>
          <w:noProof/>
        </w:rPr>
        <w:t xml:space="preserve">can be seen under each Policy Measure </w:t>
      </w:r>
      <w:r w:rsidR="00AE065A">
        <w:rPr>
          <w:noProof/>
        </w:rPr>
        <w:t>in Section 3</w:t>
      </w:r>
      <w:r w:rsidR="00F05BBB">
        <w:rPr>
          <w:noProof/>
        </w:rPr>
        <w:t>,</w:t>
      </w:r>
      <w:r w:rsidR="00AE065A">
        <w:rPr>
          <w:noProof/>
        </w:rPr>
        <w:t xml:space="preserve"> </w:t>
      </w:r>
      <w:r w:rsidR="00FA4751">
        <w:rPr>
          <w:noProof/>
        </w:rPr>
        <w:t>as the</w:t>
      </w:r>
      <w:r w:rsidR="00110531">
        <w:rPr>
          <w:noProof/>
        </w:rPr>
        <w:t xml:space="preserve"> main indicator</w:t>
      </w:r>
      <w:r w:rsidR="00F05BBB">
        <w:rPr>
          <w:noProof/>
        </w:rPr>
        <w:t>s</w:t>
      </w:r>
      <w:r w:rsidR="00110531">
        <w:rPr>
          <w:noProof/>
        </w:rPr>
        <w:t xml:space="preserve"> </w:t>
      </w:r>
      <w:r w:rsidR="00AE065A">
        <w:rPr>
          <w:noProof/>
        </w:rPr>
        <w:t>of the</w:t>
      </w:r>
      <w:r w:rsidR="00110531">
        <w:rPr>
          <w:noProof/>
        </w:rPr>
        <w:t xml:space="preserve"> net value of each measure</w:t>
      </w:r>
      <w:r w:rsidR="00C32CC5">
        <w:rPr>
          <w:noProof/>
        </w:rPr>
        <w:t>.</w:t>
      </w:r>
      <w:r w:rsidR="00613BCD" w:rsidRPr="00613BCD">
        <w:rPr>
          <w:noProof/>
        </w:rPr>
        <w:t xml:space="preserve"> </w:t>
      </w:r>
      <w:r w:rsidR="00613BCD">
        <w:rPr>
          <w:noProof/>
        </w:rPr>
        <w:t>The results</w:t>
      </w:r>
      <w:r w:rsidR="00086CBA">
        <w:rPr>
          <w:noProof/>
        </w:rPr>
        <w:t xml:space="preserve"> and interpretation</w:t>
      </w:r>
      <w:r w:rsidR="00613BCD">
        <w:rPr>
          <w:noProof/>
        </w:rPr>
        <w:t>, presented in the table below, show that most PMs exhibit strong robustness across all tested ranges, with net positive impacts even under pessimistic conditions.</w:t>
      </w:r>
    </w:p>
    <w:p w14:paraId="7E8724AA" w14:textId="0432A2CF" w:rsidR="0056040A" w:rsidRDefault="0056040A" w:rsidP="0056040A">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45</w:t>
      </w:r>
      <w:r>
        <w:rPr>
          <w:noProof/>
        </w:rPr>
        <w:fldChar w:fldCharType="end"/>
      </w:r>
      <w:r>
        <w:rPr>
          <w:noProof/>
        </w:rPr>
        <w:t>. Interpretation</w:t>
      </w:r>
      <w:r w:rsidR="003F124E">
        <w:rPr>
          <w:noProof/>
        </w:rPr>
        <w:t xml:space="preserve"> of the parameters used for the sensitivity analysis</w:t>
      </w:r>
    </w:p>
    <w:tbl>
      <w:tblPr>
        <w:tblStyle w:val="GridTable4"/>
        <w:tblW w:w="5256" w:type="pct"/>
        <w:tblInd w:w="-289" w:type="dxa"/>
        <w:shd w:val="clear" w:color="auto" w:fill="0070C0"/>
        <w:tblLook w:val="04A0" w:firstRow="1" w:lastRow="0" w:firstColumn="1" w:lastColumn="0" w:noHBand="0" w:noVBand="1"/>
      </w:tblPr>
      <w:tblGrid>
        <w:gridCol w:w="1749"/>
        <w:gridCol w:w="3180"/>
        <w:gridCol w:w="1362"/>
        <w:gridCol w:w="3207"/>
      </w:tblGrid>
      <w:tr w:rsidR="00960E98" w:rsidRPr="00DB2D19" w14:paraId="6381529A" w14:textId="77777777" w:rsidTr="00E4294D">
        <w:trPr>
          <w:cnfStyle w:val="100000000000" w:firstRow="1" w:lastRow="0" w:firstColumn="0" w:lastColumn="0" w:oddVBand="0" w:evenVBand="0" w:oddHBand="0" w:evenHBand="0" w:firstRowFirstColumn="0" w:firstRowLastColumn="0" w:lastRowFirstColumn="0" w:lastRowLastColumn="0"/>
          <w:trHeight w:val="521"/>
          <w:tblHeader/>
        </w:trPr>
        <w:tc>
          <w:tcPr>
            <w:cnfStyle w:val="001000000000" w:firstRow="0" w:lastRow="0" w:firstColumn="1" w:lastColumn="0" w:oddVBand="0" w:evenVBand="0" w:oddHBand="0" w:evenHBand="0" w:firstRowFirstColumn="0" w:firstRowLastColumn="0" w:lastRowFirstColumn="0" w:lastRowLastColumn="0"/>
            <w:tcW w:w="921" w:type="pct"/>
            <w:shd w:val="clear" w:color="auto" w:fill="0070C0"/>
            <w:vAlign w:val="center"/>
          </w:tcPr>
          <w:p w14:paraId="4881B968" w14:textId="0B1672EA" w:rsidR="00254B76" w:rsidRPr="00DF0191" w:rsidRDefault="00254B76" w:rsidP="00DF0191">
            <w:pPr>
              <w:spacing w:after="0"/>
              <w:jc w:val="center"/>
              <w:rPr>
                <w:noProof/>
                <w:sz w:val="20"/>
                <w:szCs w:val="20"/>
              </w:rPr>
            </w:pPr>
            <w:r w:rsidRPr="00DF0191">
              <w:rPr>
                <w:noProof/>
                <w:sz w:val="20"/>
                <w:szCs w:val="20"/>
              </w:rPr>
              <w:t>Policy Measure</w:t>
            </w:r>
          </w:p>
        </w:tc>
        <w:tc>
          <w:tcPr>
            <w:tcW w:w="1674" w:type="pct"/>
            <w:shd w:val="clear" w:color="auto" w:fill="0070C0"/>
            <w:vAlign w:val="center"/>
          </w:tcPr>
          <w:p w14:paraId="33B2939D" w14:textId="7AC1C7BF" w:rsidR="00254B76" w:rsidRPr="00DB2D19" w:rsidRDefault="00254B76" w:rsidP="00DF0191">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Key Parameters varied</w:t>
            </w:r>
          </w:p>
        </w:tc>
        <w:tc>
          <w:tcPr>
            <w:tcW w:w="717" w:type="pct"/>
            <w:shd w:val="clear" w:color="auto" w:fill="0070C0"/>
            <w:vAlign w:val="center"/>
          </w:tcPr>
          <w:p w14:paraId="142005A1" w14:textId="3C289485" w:rsidR="004E6513" w:rsidRDefault="004E6513" w:rsidP="004E651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Central NPV and scenario range </w:t>
            </w:r>
            <w:r w:rsidRPr="004E6513">
              <w:rPr>
                <w:b w:val="0"/>
                <w:bCs w:val="0"/>
                <w:noProof/>
                <w:sz w:val="20"/>
                <w:szCs w:val="20"/>
              </w:rPr>
              <w:t>(€ m)</w:t>
            </w:r>
            <w:r w:rsidRPr="004E6513">
              <w:rPr>
                <w:rStyle w:val="FootnoteReference"/>
                <w:b w:val="0"/>
                <w:bCs w:val="0"/>
                <w:noProof/>
                <w:sz w:val="20"/>
                <w:szCs w:val="20"/>
              </w:rPr>
              <w:footnoteReference w:id="100"/>
            </w:r>
          </w:p>
        </w:tc>
        <w:tc>
          <w:tcPr>
            <w:tcW w:w="1688" w:type="pct"/>
            <w:shd w:val="clear" w:color="auto" w:fill="0070C0"/>
            <w:vAlign w:val="center"/>
          </w:tcPr>
          <w:p w14:paraId="7B0AAC4F" w14:textId="5292DDE2" w:rsidR="00254B76" w:rsidRPr="00DB2D19" w:rsidRDefault="00254B76" w:rsidP="00DF0191">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 Result and i</w:t>
            </w:r>
            <w:r w:rsidRPr="00DB2D19">
              <w:rPr>
                <w:noProof/>
                <w:sz w:val="20"/>
                <w:szCs w:val="20"/>
              </w:rPr>
              <w:t>nterpretation</w:t>
            </w:r>
          </w:p>
        </w:tc>
      </w:tr>
      <w:tr w:rsidR="00960E98" w:rsidRPr="00DB2D19" w14:paraId="3E4ED8BE"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3B840E6E" w14:textId="19B2C510" w:rsidR="00DA36B6" w:rsidRPr="00DF0191" w:rsidRDefault="00DA36B6" w:rsidP="00DA36B6">
            <w:pPr>
              <w:spacing w:after="0"/>
              <w:jc w:val="left"/>
              <w:rPr>
                <w:noProof/>
                <w:sz w:val="20"/>
                <w:szCs w:val="20"/>
              </w:rPr>
            </w:pPr>
            <w:r w:rsidRPr="00DF0191">
              <w:rPr>
                <w:noProof/>
                <w:sz w:val="20"/>
                <w:szCs w:val="20"/>
              </w:rPr>
              <w:t xml:space="preserve">PM3: </w:t>
            </w:r>
            <w:r w:rsidRPr="00DF0191">
              <w:rPr>
                <w:b w:val="0"/>
                <w:bCs w:val="0"/>
                <w:noProof/>
                <w:sz w:val="20"/>
                <w:szCs w:val="20"/>
              </w:rPr>
              <w:t>Adopting guidelines on building sustainable data centres in the EU</w:t>
            </w:r>
          </w:p>
        </w:tc>
        <w:tc>
          <w:tcPr>
            <w:tcW w:w="1674" w:type="pct"/>
            <w:shd w:val="clear" w:color="auto" w:fill="FFFFFF" w:themeFill="background1"/>
          </w:tcPr>
          <w:p w14:paraId="371D7929" w14:textId="411350AE"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Adoption rate of guidelines by DC projects (30%-70%)</w:t>
            </w:r>
          </w:p>
          <w:p w14:paraId="11831DBD" w14:textId="77777777" w:rsidR="00DA36B6" w:rsidRPr="00F45D10"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F45D10">
              <w:rPr>
                <w:noProof/>
                <w:sz w:val="20"/>
                <w:szCs w:val="20"/>
              </w:rPr>
              <w:t>Time saved per project for operators (5-15 days)</w:t>
            </w:r>
          </w:p>
          <w:p w14:paraId="698DD0E5" w14:textId="77777777"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Time saved per project for authorities (5-15 days)</w:t>
            </w:r>
          </w:p>
          <w:p w14:paraId="542A6B80" w14:textId="1742F9AB"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Adoption effort by operators (10-30 days)</w:t>
            </w:r>
          </w:p>
        </w:tc>
        <w:tc>
          <w:tcPr>
            <w:tcW w:w="717" w:type="pct"/>
            <w:shd w:val="clear" w:color="auto" w:fill="FFFFFF" w:themeFill="background1"/>
            <w:vAlign w:val="center"/>
          </w:tcPr>
          <w:p w14:paraId="618D2F27" w14:textId="77777777" w:rsidR="0038549D" w:rsidRPr="00862C22" w:rsidRDefault="0038549D" w:rsidP="0038549D">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5.8</w:t>
            </w:r>
          </w:p>
          <w:p w14:paraId="3A9F127D" w14:textId="3DBB57D9" w:rsidR="00DA36B6" w:rsidRDefault="0038549D" w:rsidP="0038549D">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37191">
              <w:rPr>
                <w:noProof/>
                <w:sz w:val="16"/>
                <w:szCs w:val="16"/>
              </w:rPr>
              <w:t>[</w:t>
            </w:r>
            <w:r>
              <w:rPr>
                <w:noProof/>
                <w:sz w:val="16"/>
                <w:szCs w:val="16"/>
              </w:rPr>
              <w:t>-3.6</w:t>
            </w:r>
            <w:r w:rsidRPr="00537191">
              <w:rPr>
                <w:noProof/>
                <w:sz w:val="16"/>
                <w:szCs w:val="16"/>
              </w:rPr>
              <w:t xml:space="preserve"> – </w:t>
            </w:r>
            <w:r>
              <w:rPr>
                <w:noProof/>
                <w:sz w:val="16"/>
                <w:szCs w:val="16"/>
              </w:rPr>
              <w:t>-11.7]</w:t>
            </w:r>
          </w:p>
        </w:tc>
        <w:tc>
          <w:tcPr>
            <w:tcW w:w="1688" w:type="pct"/>
            <w:shd w:val="clear" w:color="auto" w:fill="FFFFFF" w:themeFill="background1"/>
          </w:tcPr>
          <w:p w14:paraId="0ED28BEE" w14:textId="2C9D8F5E"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 xml:space="preserve">PM3 delivers net </w:t>
            </w:r>
            <w:r>
              <w:rPr>
                <w:noProof/>
                <w:sz w:val="20"/>
                <w:szCs w:val="20"/>
              </w:rPr>
              <w:t>costs</w:t>
            </w:r>
            <w:r w:rsidRPr="00DB2D19">
              <w:rPr>
                <w:noProof/>
                <w:sz w:val="20"/>
                <w:szCs w:val="20"/>
              </w:rPr>
              <w:t xml:space="preserve"> in both min and max scenarios, </w:t>
            </w:r>
            <w:r>
              <w:rPr>
                <w:noProof/>
                <w:sz w:val="20"/>
                <w:szCs w:val="20"/>
              </w:rPr>
              <w:t>as</w:t>
            </w:r>
            <w:r w:rsidRPr="00DB2D19">
              <w:rPr>
                <w:noProof/>
                <w:sz w:val="20"/>
                <w:szCs w:val="20"/>
              </w:rPr>
              <w:t xml:space="preserve"> administrative efficiencies and reduced operator/authority workload</w:t>
            </w:r>
            <w:r>
              <w:rPr>
                <w:noProof/>
                <w:sz w:val="20"/>
                <w:szCs w:val="20"/>
              </w:rPr>
              <w:t xml:space="preserve"> are not sufficient to match the adoption effort by operators and authorities</w:t>
            </w:r>
            <w:r w:rsidRPr="00DB2D19">
              <w:rPr>
                <w:noProof/>
                <w:sz w:val="20"/>
                <w:szCs w:val="20"/>
              </w:rPr>
              <w:t xml:space="preserve">. </w:t>
            </w:r>
            <w:r>
              <w:rPr>
                <w:noProof/>
                <w:sz w:val="20"/>
                <w:szCs w:val="20"/>
              </w:rPr>
              <w:t>R</w:t>
            </w:r>
            <w:r w:rsidRPr="00383CEB">
              <w:rPr>
                <w:noProof/>
                <w:sz w:val="20"/>
                <w:szCs w:val="20"/>
              </w:rPr>
              <w:t>esults are sensitive to assumptions, with outcome ranges exceeding 100% of the central estimate, indicating uncertainty around magnitude.</w:t>
            </w:r>
          </w:p>
        </w:tc>
      </w:tr>
      <w:tr w:rsidR="00960E98" w:rsidRPr="00DB2D19" w14:paraId="7B9235A9"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71DDBC19" w14:textId="2C723289" w:rsidR="00DA36B6" w:rsidRPr="00DF0191" w:rsidRDefault="00DA36B6" w:rsidP="00DA36B6">
            <w:pPr>
              <w:spacing w:after="0"/>
              <w:jc w:val="left"/>
              <w:rPr>
                <w:noProof/>
                <w:sz w:val="20"/>
                <w:szCs w:val="20"/>
              </w:rPr>
            </w:pPr>
            <w:r w:rsidRPr="00DF0191">
              <w:rPr>
                <w:noProof/>
                <w:sz w:val="20"/>
                <w:szCs w:val="20"/>
              </w:rPr>
              <w:t xml:space="preserve">PM4: </w:t>
            </w:r>
            <w:r w:rsidRPr="00DF0191">
              <w:rPr>
                <w:b w:val="0"/>
                <w:bCs w:val="0"/>
                <w:noProof/>
                <w:sz w:val="20"/>
                <w:szCs w:val="20"/>
              </w:rPr>
              <w:t>Project facilitators for the roll-out of data centres</w:t>
            </w:r>
          </w:p>
        </w:tc>
        <w:tc>
          <w:tcPr>
            <w:tcW w:w="1674" w:type="pct"/>
            <w:shd w:val="clear" w:color="auto" w:fill="FFFFFF" w:themeFill="background1"/>
          </w:tcPr>
          <w:p w14:paraId="07C40EE1" w14:textId="77777777"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Time saved in permitting processes (4-8 months)</w:t>
            </w:r>
          </w:p>
          <w:p w14:paraId="13F9136D" w14:textId="5D554FB0"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No. of DC projects benefitting from this PM by 2036 (30%-70%) and proportionately the previous years.</w:t>
            </w:r>
          </w:p>
          <w:p w14:paraId="79B568C1" w14:textId="77777777"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Implementation costs for authorities (3-5 FTEs)</w:t>
            </w:r>
          </w:p>
          <w:p w14:paraId="62860B6F" w14:textId="595DA558"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Time savings by authorities (10-20 days)</w:t>
            </w:r>
          </w:p>
        </w:tc>
        <w:tc>
          <w:tcPr>
            <w:tcW w:w="717" w:type="pct"/>
            <w:shd w:val="clear" w:color="auto" w:fill="FFFFFF" w:themeFill="background1"/>
            <w:vAlign w:val="center"/>
          </w:tcPr>
          <w:p w14:paraId="0638FFEB" w14:textId="77777777" w:rsidR="008A1A20" w:rsidRPr="00862C22" w:rsidRDefault="008A1A20" w:rsidP="008A1A20">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62C22">
              <w:rPr>
                <w:noProof/>
                <w:sz w:val="20"/>
                <w:szCs w:val="20"/>
              </w:rPr>
              <w:t xml:space="preserve">4 </w:t>
            </w:r>
            <w:r>
              <w:rPr>
                <w:noProof/>
                <w:sz w:val="20"/>
                <w:szCs w:val="20"/>
              </w:rPr>
              <w:t>617</w:t>
            </w:r>
            <w:r w:rsidRPr="00862C22">
              <w:rPr>
                <w:noProof/>
                <w:sz w:val="20"/>
                <w:szCs w:val="20"/>
              </w:rPr>
              <w:t>.</w:t>
            </w:r>
            <w:r>
              <w:rPr>
                <w:noProof/>
                <w:sz w:val="20"/>
                <w:szCs w:val="20"/>
              </w:rPr>
              <w:t>6</w:t>
            </w:r>
            <w:r w:rsidRPr="00862C22">
              <w:rPr>
                <w:noProof/>
                <w:sz w:val="20"/>
                <w:szCs w:val="20"/>
              </w:rPr>
              <w:t xml:space="preserve"> </w:t>
            </w:r>
          </w:p>
          <w:p w14:paraId="0739D570" w14:textId="1BE56B8E" w:rsidR="00DA36B6" w:rsidRPr="00862C22" w:rsidRDefault="008A1A20" w:rsidP="008A1A20">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537191">
              <w:rPr>
                <w:noProof/>
                <w:sz w:val="16"/>
                <w:szCs w:val="16"/>
              </w:rPr>
              <w:t xml:space="preserve">[1 </w:t>
            </w:r>
            <w:r>
              <w:rPr>
                <w:noProof/>
                <w:sz w:val="16"/>
                <w:szCs w:val="16"/>
              </w:rPr>
              <w:t>859.9</w:t>
            </w:r>
            <w:r w:rsidRPr="00537191">
              <w:rPr>
                <w:noProof/>
                <w:sz w:val="16"/>
                <w:szCs w:val="16"/>
              </w:rPr>
              <w:t xml:space="preserve"> – 8 </w:t>
            </w:r>
            <w:r>
              <w:rPr>
                <w:noProof/>
                <w:sz w:val="16"/>
                <w:szCs w:val="16"/>
              </w:rPr>
              <w:t>632.9</w:t>
            </w:r>
            <w:r w:rsidRPr="00537191">
              <w:rPr>
                <w:noProof/>
                <w:sz w:val="16"/>
                <w:szCs w:val="16"/>
              </w:rPr>
              <w:t>]</w:t>
            </w:r>
          </w:p>
        </w:tc>
        <w:tc>
          <w:tcPr>
            <w:tcW w:w="1688" w:type="pct"/>
            <w:shd w:val="clear" w:color="auto" w:fill="FFFFFF" w:themeFill="background1"/>
          </w:tcPr>
          <w:p w14:paraId="4FC960C5" w14:textId="3391DD12"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 xml:space="preserve">PM4 generates net savings, which increase significantly under the max scenario, where more projects benefit, and time savings are larger. This shows that the measure becomes increasingly efficient when permitting time reductions scale. </w:t>
            </w:r>
            <w:r>
              <w:rPr>
                <w:noProof/>
                <w:sz w:val="20"/>
                <w:szCs w:val="20"/>
              </w:rPr>
              <w:t>E</w:t>
            </w:r>
            <w:r w:rsidRPr="00B73A38">
              <w:rPr>
                <w:noProof/>
                <w:sz w:val="20"/>
                <w:szCs w:val="20"/>
              </w:rPr>
              <w:t>stimates vary widely across assumptions, with a relative spread of at least 100%, implying moderate confidence in direction but limited precision.</w:t>
            </w:r>
          </w:p>
        </w:tc>
      </w:tr>
      <w:tr w:rsidR="00960E98" w:rsidRPr="00DB2D19" w14:paraId="51CC0351"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33219B44" w14:textId="5A7C6E82" w:rsidR="00DA36B6" w:rsidRPr="00DF0191" w:rsidRDefault="00DA36B6" w:rsidP="00DA36B6">
            <w:pPr>
              <w:spacing w:after="0"/>
              <w:jc w:val="left"/>
              <w:rPr>
                <w:noProof/>
                <w:sz w:val="20"/>
                <w:szCs w:val="20"/>
              </w:rPr>
            </w:pPr>
            <w:r w:rsidRPr="00DF0191">
              <w:rPr>
                <w:noProof/>
                <w:sz w:val="20"/>
                <w:szCs w:val="20"/>
              </w:rPr>
              <w:t xml:space="preserve">PM5: </w:t>
            </w:r>
            <w:r w:rsidRPr="00DF0191">
              <w:rPr>
                <w:b w:val="0"/>
                <w:noProof/>
                <w:sz w:val="20"/>
                <w:szCs w:val="20"/>
              </w:rPr>
              <w:t>Mechanism for Member States to identify areas to fast-track data centre deployment</w:t>
            </w:r>
          </w:p>
        </w:tc>
        <w:tc>
          <w:tcPr>
            <w:tcW w:w="1674" w:type="pct"/>
            <w:shd w:val="clear" w:color="auto" w:fill="FFFFFF" w:themeFill="background1"/>
          </w:tcPr>
          <w:p w14:paraId="06619857" w14:textId="77777777"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Time saved in permitting processes (6-10 months)</w:t>
            </w:r>
          </w:p>
          <w:p w14:paraId="5729561B" w14:textId="77777777"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No of DC projects using the areas by 2036 (30-70%) and proportionately the previous years.</w:t>
            </w:r>
          </w:p>
          <w:p w14:paraId="36FC91CA" w14:textId="7DDABFCC"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National authorities’ effort to set up and administer the new process (</w:t>
            </w:r>
            <w:r>
              <w:rPr>
                <w:noProof/>
                <w:sz w:val="20"/>
                <w:szCs w:val="20"/>
              </w:rPr>
              <w:t>1</w:t>
            </w:r>
            <w:r w:rsidRPr="00DB2D19">
              <w:rPr>
                <w:noProof/>
                <w:sz w:val="20"/>
                <w:szCs w:val="20"/>
              </w:rPr>
              <w:t>-8 FTEs/year)</w:t>
            </w:r>
          </w:p>
          <w:p w14:paraId="2B4E57BF" w14:textId="6AE90E2B" w:rsidR="00DA36B6" w:rsidRPr="003A56DB"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E</w:t>
            </w:r>
            <w:r w:rsidRPr="003A78EF">
              <w:rPr>
                <w:noProof/>
                <w:sz w:val="20"/>
                <w:szCs w:val="20"/>
              </w:rPr>
              <w:t>nergy efficiency (PUE, i.e. amount of data centre power dedicated to IT).</w:t>
            </w:r>
          </w:p>
        </w:tc>
        <w:tc>
          <w:tcPr>
            <w:tcW w:w="717" w:type="pct"/>
            <w:shd w:val="clear" w:color="auto" w:fill="FFFFFF" w:themeFill="background1"/>
            <w:vAlign w:val="center"/>
          </w:tcPr>
          <w:p w14:paraId="6BCC5803" w14:textId="77777777" w:rsidR="00DA36B6" w:rsidRPr="00862C22"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62C22">
              <w:rPr>
                <w:noProof/>
                <w:sz w:val="20"/>
                <w:szCs w:val="20"/>
              </w:rPr>
              <w:t xml:space="preserve">11 </w:t>
            </w:r>
            <w:r>
              <w:rPr>
                <w:noProof/>
                <w:sz w:val="20"/>
                <w:szCs w:val="20"/>
              </w:rPr>
              <w:t>861.4</w:t>
            </w:r>
            <w:r w:rsidRPr="00862C22">
              <w:rPr>
                <w:noProof/>
                <w:sz w:val="20"/>
                <w:szCs w:val="20"/>
              </w:rPr>
              <w:t xml:space="preserve"> </w:t>
            </w:r>
          </w:p>
          <w:p w14:paraId="2EEABF81" w14:textId="5F98298A" w:rsidR="00DA36B6" w:rsidRPr="00862C22"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37191">
              <w:rPr>
                <w:noProof/>
                <w:sz w:val="16"/>
                <w:szCs w:val="16"/>
              </w:rPr>
              <w:t xml:space="preserve">[6 </w:t>
            </w:r>
            <w:r>
              <w:rPr>
                <w:noProof/>
                <w:sz w:val="16"/>
                <w:szCs w:val="16"/>
              </w:rPr>
              <w:t>158.1</w:t>
            </w:r>
            <w:r w:rsidRPr="00537191">
              <w:rPr>
                <w:noProof/>
                <w:sz w:val="16"/>
                <w:szCs w:val="16"/>
              </w:rPr>
              <w:t xml:space="preserve"> – 18 </w:t>
            </w:r>
            <w:r>
              <w:rPr>
                <w:noProof/>
                <w:sz w:val="16"/>
                <w:szCs w:val="16"/>
              </w:rPr>
              <w:t>874.9</w:t>
            </w:r>
            <w:r w:rsidRPr="00537191">
              <w:rPr>
                <w:noProof/>
                <w:sz w:val="16"/>
                <w:szCs w:val="16"/>
              </w:rPr>
              <w:t>]</w:t>
            </w:r>
          </w:p>
        </w:tc>
        <w:tc>
          <w:tcPr>
            <w:tcW w:w="1688" w:type="pct"/>
            <w:shd w:val="clear" w:color="auto" w:fill="FFFFFF" w:themeFill="background1"/>
          </w:tcPr>
          <w:p w14:paraId="4AD112D3" w14:textId="3F5692AC"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 xml:space="preserve">PM5 provides large net benefits, which grow considerably when more new DC facilities use fast-track areas or when more months are saved. </w:t>
            </w:r>
            <w:r w:rsidRPr="00633220">
              <w:rPr>
                <w:noProof/>
                <w:sz w:val="20"/>
                <w:szCs w:val="20"/>
              </w:rPr>
              <w:t>All scenarios show net benefits, although large differences between best</w:t>
            </w:r>
            <w:r>
              <w:rPr>
                <w:noProof/>
                <w:sz w:val="20"/>
                <w:szCs w:val="20"/>
              </w:rPr>
              <w:t xml:space="preserve"> </w:t>
            </w:r>
            <w:r w:rsidRPr="00633220">
              <w:rPr>
                <w:noProof/>
                <w:sz w:val="20"/>
                <w:szCs w:val="20"/>
              </w:rPr>
              <w:t xml:space="preserve">and worst-case outcomes (≥100%) point to </w:t>
            </w:r>
            <w:r>
              <w:rPr>
                <w:noProof/>
                <w:sz w:val="20"/>
                <w:szCs w:val="20"/>
              </w:rPr>
              <w:t>relevant</w:t>
            </w:r>
            <w:r w:rsidRPr="00633220">
              <w:rPr>
                <w:noProof/>
                <w:sz w:val="20"/>
                <w:szCs w:val="20"/>
              </w:rPr>
              <w:t xml:space="preserve"> scenario dependence.</w:t>
            </w:r>
          </w:p>
        </w:tc>
      </w:tr>
      <w:tr w:rsidR="00960E98" w:rsidRPr="00DB2D19" w14:paraId="33D725D9"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1AA80C06" w14:textId="28B9B5BE" w:rsidR="00DA36B6" w:rsidRPr="00DF0191" w:rsidRDefault="00DA36B6" w:rsidP="00DA36B6">
            <w:pPr>
              <w:spacing w:after="0"/>
              <w:jc w:val="left"/>
              <w:rPr>
                <w:noProof/>
                <w:sz w:val="20"/>
                <w:szCs w:val="20"/>
              </w:rPr>
            </w:pPr>
            <w:r w:rsidRPr="00DF0191">
              <w:rPr>
                <w:noProof/>
                <w:sz w:val="20"/>
                <w:szCs w:val="20"/>
              </w:rPr>
              <w:t>PM6</w:t>
            </w:r>
            <w:r>
              <w:rPr>
                <w:noProof/>
                <w:sz w:val="20"/>
                <w:szCs w:val="20"/>
              </w:rPr>
              <w:t xml:space="preserve">: </w:t>
            </w:r>
            <w:r w:rsidRPr="00342565">
              <w:rPr>
                <w:b w:val="0"/>
                <w:bCs w:val="0"/>
                <w:noProof/>
                <w:sz w:val="20"/>
                <w:szCs w:val="20"/>
              </w:rPr>
              <w:t>National funding support for data centres</w:t>
            </w:r>
          </w:p>
        </w:tc>
        <w:tc>
          <w:tcPr>
            <w:tcW w:w="1674" w:type="pct"/>
            <w:shd w:val="clear" w:color="auto" w:fill="FFFFFF" w:themeFill="background1"/>
          </w:tcPr>
          <w:p w14:paraId="7257F09B" w14:textId="48613593"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National authorities’ effort for setting up and administering the funding scheme (2-4 FTEs)</w:t>
            </w:r>
          </w:p>
          <w:p w14:paraId="648F0518" w14:textId="77777777"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Number of MS administering the scheme (25%-75%)</w:t>
            </w:r>
          </w:p>
          <w:p w14:paraId="718F6CAC" w14:textId="77777777"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Business efforts to respond to the calls/prepare an application (35-55 working days)</w:t>
            </w:r>
          </w:p>
          <w:p w14:paraId="3BE2149A" w14:textId="5E4BCE8D" w:rsidR="00DA36B6" w:rsidRPr="00FE7C95"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No. of proposals submitted every two years (6-18)</w:t>
            </w:r>
          </w:p>
        </w:tc>
        <w:tc>
          <w:tcPr>
            <w:tcW w:w="717" w:type="pct"/>
            <w:shd w:val="clear" w:color="auto" w:fill="FFFFFF" w:themeFill="background1"/>
            <w:vAlign w:val="center"/>
          </w:tcPr>
          <w:p w14:paraId="70D8830E" w14:textId="77777777" w:rsidR="00DA36B6" w:rsidRPr="00862C22"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62C22">
              <w:rPr>
                <w:noProof/>
                <w:sz w:val="20"/>
                <w:szCs w:val="20"/>
              </w:rPr>
              <w:t xml:space="preserve">-10.8 </w:t>
            </w:r>
          </w:p>
          <w:p w14:paraId="4BE5FFBA" w14:textId="554375B5" w:rsidR="00DA36B6" w:rsidRPr="00862C22"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37191">
              <w:rPr>
                <w:noProof/>
                <w:sz w:val="16"/>
                <w:szCs w:val="16"/>
              </w:rPr>
              <w:t>[-3.7 – -21.2]</w:t>
            </w:r>
          </w:p>
        </w:tc>
        <w:tc>
          <w:tcPr>
            <w:tcW w:w="1688" w:type="pct"/>
            <w:shd w:val="clear" w:color="auto" w:fill="FFFFFF" w:themeFill="background1"/>
          </w:tcPr>
          <w:p w14:paraId="07AA85AE" w14:textId="7230684D"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PM6 represent</w:t>
            </w:r>
            <w:r>
              <w:rPr>
                <w:noProof/>
                <w:sz w:val="20"/>
                <w:szCs w:val="20"/>
              </w:rPr>
              <w:t>s</w:t>
            </w:r>
            <w:r w:rsidRPr="00DB2D19">
              <w:rPr>
                <w:noProof/>
                <w:sz w:val="20"/>
                <w:szCs w:val="20"/>
              </w:rPr>
              <w:t xml:space="preserve"> an adjustment and administrative cost for public authorities and operators. Given the </w:t>
            </w:r>
            <w:r>
              <w:rPr>
                <w:noProof/>
                <w:sz w:val="20"/>
                <w:szCs w:val="20"/>
              </w:rPr>
              <w:t>voluntary</w:t>
            </w:r>
            <w:r w:rsidRPr="00DB2D19">
              <w:rPr>
                <w:noProof/>
                <w:sz w:val="20"/>
                <w:szCs w:val="20"/>
              </w:rPr>
              <w:t xml:space="preserve"> nature of the scheme, no benefits are available or quantifiable. The costs are expected to increase moderately in the max scenario due to higher efforts and MS administering the scheme. Considering potential policy impacts, these cost variations could be considered not very sensitive to changes in assumptions. </w:t>
            </w:r>
            <w:r>
              <w:rPr>
                <w:noProof/>
                <w:sz w:val="20"/>
                <w:szCs w:val="20"/>
              </w:rPr>
              <w:t>B</w:t>
            </w:r>
            <w:r w:rsidRPr="00711735">
              <w:rPr>
                <w:noProof/>
                <w:sz w:val="20"/>
                <w:szCs w:val="20"/>
              </w:rPr>
              <w:t>est</w:t>
            </w:r>
            <w:r>
              <w:rPr>
                <w:noProof/>
                <w:sz w:val="20"/>
                <w:szCs w:val="20"/>
              </w:rPr>
              <w:t>-</w:t>
            </w:r>
            <w:r w:rsidRPr="00711735">
              <w:rPr>
                <w:noProof/>
                <w:sz w:val="20"/>
                <w:szCs w:val="20"/>
              </w:rPr>
              <w:t xml:space="preserve"> and worst-case results diverge (≥50%), suggesting moderate robustness with scenario-sensitive magnitude.</w:t>
            </w:r>
          </w:p>
        </w:tc>
      </w:tr>
      <w:tr w:rsidR="00960E98" w:rsidRPr="00DB2D19" w14:paraId="13CA848B"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33A59D39" w14:textId="23FF3FED" w:rsidR="00DA36B6" w:rsidRPr="00DB2D19" w:rsidRDefault="00DA36B6" w:rsidP="00DA36B6">
            <w:pPr>
              <w:spacing w:after="0"/>
              <w:jc w:val="left"/>
              <w:rPr>
                <w:b w:val="0"/>
                <w:noProof/>
                <w:sz w:val="20"/>
                <w:szCs w:val="20"/>
              </w:rPr>
            </w:pPr>
            <w:r w:rsidRPr="00DF0191">
              <w:rPr>
                <w:noProof/>
                <w:sz w:val="20"/>
                <w:szCs w:val="20"/>
              </w:rPr>
              <w:t>PM7</w:t>
            </w:r>
            <w:r>
              <w:rPr>
                <w:noProof/>
                <w:sz w:val="20"/>
                <w:szCs w:val="20"/>
              </w:rPr>
              <w:t xml:space="preserve">: </w:t>
            </w:r>
            <w:r w:rsidRPr="00342565">
              <w:rPr>
                <w:b w:val="0"/>
                <w:bCs w:val="0"/>
                <w:noProof/>
                <w:sz w:val="20"/>
                <w:szCs w:val="20"/>
              </w:rPr>
              <w:t>Set deployment targets and monitor progress</w:t>
            </w:r>
          </w:p>
        </w:tc>
        <w:tc>
          <w:tcPr>
            <w:tcW w:w="1674" w:type="pct"/>
            <w:shd w:val="clear" w:color="auto" w:fill="FFFFFF" w:themeFill="background1"/>
          </w:tcPr>
          <w:p w14:paraId="2F14503E" w14:textId="29E151B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Time needed per operator to participate in the monitoring exercise (0.5-1.5 days/year)</w:t>
            </w:r>
          </w:p>
          <w:p w14:paraId="31166D25" w14:textId="627D1D86"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Time needed by authorities to participate in the verification of data (2-4 working days)</w:t>
            </w:r>
          </w:p>
          <w:p w14:paraId="738D66E0" w14:textId="5BBDF2C1"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Time and resources needed by the Commission to set up and manage the monitoring (1-2 FTEs and 20-30 days per year)</w:t>
            </w:r>
          </w:p>
        </w:tc>
        <w:tc>
          <w:tcPr>
            <w:tcW w:w="717" w:type="pct"/>
            <w:shd w:val="clear" w:color="auto" w:fill="FFFFFF" w:themeFill="background1"/>
            <w:vAlign w:val="center"/>
          </w:tcPr>
          <w:p w14:paraId="2AC06D96" w14:textId="77777777" w:rsidR="00DA36B6" w:rsidRPr="00862C22"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62C22">
              <w:rPr>
                <w:noProof/>
                <w:sz w:val="20"/>
                <w:szCs w:val="20"/>
              </w:rPr>
              <w:t>-</w:t>
            </w:r>
            <w:r>
              <w:rPr>
                <w:noProof/>
                <w:sz w:val="20"/>
                <w:szCs w:val="20"/>
              </w:rPr>
              <w:t xml:space="preserve"> 2.3</w:t>
            </w:r>
            <w:r w:rsidRPr="00862C22">
              <w:rPr>
                <w:noProof/>
                <w:sz w:val="20"/>
                <w:szCs w:val="20"/>
              </w:rPr>
              <w:t xml:space="preserve"> </w:t>
            </w:r>
          </w:p>
          <w:p w14:paraId="49E4C0B1" w14:textId="72350043" w:rsidR="00DA36B6" w:rsidRPr="00862C22"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37191">
              <w:rPr>
                <w:noProof/>
                <w:sz w:val="16"/>
                <w:szCs w:val="16"/>
              </w:rPr>
              <w:t>[-1.</w:t>
            </w:r>
            <w:r>
              <w:rPr>
                <w:noProof/>
                <w:sz w:val="16"/>
                <w:szCs w:val="16"/>
              </w:rPr>
              <w:t>7</w:t>
            </w:r>
            <w:r w:rsidRPr="00537191">
              <w:rPr>
                <w:noProof/>
                <w:sz w:val="16"/>
                <w:szCs w:val="16"/>
              </w:rPr>
              <w:t xml:space="preserve"> – -</w:t>
            </w:r>
            <w:r>
              <w:rPr>
                <w:noProof/>
                <w:sz w:val="16"/>
                <w:szCs w:val="16"/>
              </w:rPr>
              <w:t>2.8</w:t>
            </w:r>
            <w:r w:rsidRPr="00537191">
              <w:rPr>
                <w:noProof/>
                <w:sz w:val="16"/>
                <w:szCs w:val="16"/>
              </w:rPr>
              <w:t>]</w:t>
            </w:r>
          </w:p>
        </w:tc>
        <w:tc>
          <w:tcPr>
            <w:tcW w:w="1688" w:type="pct"/>
            <w:shd w:val="clear" w:color="auto" w:fill="FFFFFF" w:themeFill="background1"/>
          </w:tcPr>
          <w:p w14:paraId="0CA43D26" w14:textId="297F69FF"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PM7 reflects only administrative and adjustment costs, with benefits being largely indirect (e.g. improved monitoring, market transparency). Costs increase slightly with higher participation or expanded monitoring roles. Sensitivity is limited and cost impacts remain modest when compared with other PMs. </w:t>
            </w:r>
            <w:r w:rsidRPr="00EF3A57">
              <w:rPr>
                <w:noProof/>
                <w:sz w:val="20"/>
                <w:szCs w:val="20"/>
              </w:rPr>
              <w:t>Net costs are consistently observed across scenarios with limited variation, indicating high robustness</w:t>
            </w:r>
            <w:r>
              <w:rPr>
                <w:noProof/>
                <w:sz w:val="20"/>
                <w:szCs w:val="20"/>
              </w:rPr>
              <w:t>.</w:t>
            </w:r>
          </w:p>
        </w:tc>
      </w:tr>
      <w:tr w:rsidR="00960E98" w:rsidRPr="00DB2D19" w14:paraId="7D3EA8E7"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28E44CEE" w14:textId="6BBB2F00" w:rsidR="00DA36B6" w:rsidRPr="00DF0191" w:rsidRDefault="00DA36B6" w:rsidP="00DA36B6">
            <w:pPr>
              <w:spacing w:after="0"/>
              <w:jc w:val="left"/>
              <w:rPr>
                <w:noProof/>
                <w:sz w:val="20"/>
                <w:szCs w:val="20"/>
              </w:rPr>
            </w:pPr>
            <w:r w:rsidRPr="00DF0191">
              <w:rPr>
                <w:noProof/>
                <w:sz w:val="20"/>
                <w:szCs w:val="20"/>
              </w:rPr>
              <w:t>PM8</w:t>
            </w:r>
            <w:r>
              <w:rPr>
                <w:noProof/>
                <w:sz w:val="20"/>
                <w:szCs w:val="20"/>
              </w:rPr>
              <w:t xml:space="preserve">: </w:t>
            </w:r>
            <w:r w:rsidRPr="00342565">
              <w:rPr>
                <w:b w:val="0"/>
                <w:bCs w:val="0"/>
                <w:noProof/>
                <w:sz w:val="20"/>
                <w:szCs w:val="20"/>
              </w:rPr>
              <w:t>EU funding for R&amp;D and innovation ecosystems for cloud and AI</w:t>
            </w:r>
          </w:p>
        </w:tc>
        <w:tc>
          <w:tcPr>
            <w:tcW w:w="1674" w:type="pct"/>
            <w:shd w:val="clear" w:color="auto" w:fill="FFFFFF" w:themeFill="background1"/>
          </w:tcPr>
          <w:p w14:paraId="7A81286B"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Total effort for the Commission to administer the scheme, i.e. set-it up (2-4 FTEs) and manage it periodically (1-2 FTE)</w:t>
            </w:r>
          </w:p>
          <w:p w14:paraId="36A27FCE"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Business efforts to respond to the calls/prepare an application (35-55 working days)</w:t>
            </w:r>
          </w:p>
          <w:p w14:paraId="59681536" w14:textId="13A7BB2B"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No. of proposals submitted every two years (</w:t>
            </w:r>
            <w:r>
              <w:rPr>
                <w:noProof/>
                <w:sz w:val="20"/>
                <w:szCs w:val="20"/>
              </w:rPr>
              <w:t>16-24</w:t>
            </w:r>
            <w:r w:rsidRPr="00DB2D19">
              <w:rPr>
                <w:noProof/>
                <w:sz w:val="20"/>
                <w:szCs w:val="20"/>
              </w:rPr>
              <w:t>)</w:t>
            </w:r>
          </w:p>
        </w:tc>
        <w:tc>
          <w:tcPr>
            <w:tcW w:w="717" w:type="pct"/>
            <w:shd w:val="clear" w:color="auto" w:fill="FFFFFF" w:themeFill="background1"/>
            <w:vAlign w:val="center"/>
          </w:tcPr>
          <w:p w14:paraId="324C1F07" w14:textId="77777777" w:rsidR="00DA36B6" w:rsidRPr="00862C22"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62C22">
              <w:rPr>
                <w:noProof/>
                <w:sz w:val="20"/>
                <w:szCs w:val="20"/>
              </w:rPr>
              <w:t>- 2.</w:t>
            </w:r>
            <w:r w:rsidRPr="00862C22" w:rsidDel="00B41540">
              <w:rPr>
                <w:noProof/>
                <w:sz w:val="20"/>
                <w:szCs w:val="20"/>
              </w:rPr>
              <w:t>2</w:t>
            </w:r>
          </w:p>
          <w:p w14:paraId="2300DF42" w14:textId="0150148A" w:rsidR="00DA36B6" w:rsidRPr="00862C22"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37191">
              <w:rPr>
                <w:noProof/>
                <w:sz w:val="16"/>
                <w:szCs w:val="16"/>
              </w:rPr>
              <w:t>[-1.</w:t>
            </w:r>
            <w:r w:rsidRPr="00537191" w:rsidDel="00B41540">
              <w:rPr>
                <w:noProof/>
                <w:sz w:val="16"/>
                <w:szCs w:val="16"/>
              </w:rPr>
              <w:t xml:space="preserve">4 </w:t>
            </w:r>
            <w:r w:rsidRPr="00537191">
              <w:rPr>
                <w:noProof/>
                <w:sz w:val="16"/>
                <w:szCs w:val="16"/>
              </w:rPr>
              <w:t>– -</w:t>
            </w:r>
            <w:r>
              <w:rPr>
                <w:noProof/>
                <w:sz w:val="16"/>
                <w:szCs w:val="16"/>
              </w:rPr>
              <w:t>3</w:t>
            </w:r>
            <w:r w:rsidRPr="00537191" w:rsidDel="00B3211C">
              <w:rPr>
                <w:noProof/>
                <w:sz w:val="16"/>
                <w:szCs w:val="16"/>
              </w:rPr>
              <w:t>.</w:t>
            </w:r>
            <w:r w:rsidRPr="00537191" w:rsidDel="00B41540">
              <w:rPr>
                <w:noProof/>
                <w:sz w:val="16"/>
                <w:szCs w:val="16"/>
              </w:rPr>
              <w:t>1</w:t>
            </w:r>
            <w:r w:rsidRPr="00537191">
              <w:rPr>
                <w:noProof/>
                <w:sz w:val="16"/>
                <w:szCs w:val="16"/>
              </w:rPr>
              <w:t>]</w:t>
            </w:r>
          </w:p>
        </w:tc>
        <w:tc>
          <w:tcPr>
            <w:tcW w:w="1688" w:type="pct"/>
            <w:shd w:val="clear" w:color="auto" w:fill="FFFFFF" w:themeFill="background1"/>
          </w:tcPr>
          <w:p w14:paraId="40B1BA23" w14:textId="00E210D9"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PM8 generates adjustment costs for the Commission to set up and manage the scheme and administrative costs for businesses applying to receive possible funding. Given the uncertain nature of the possible funding, benefits have not been monetised. Thus, this PM appears only as a cost measure. Overall costs remain relatively low with respect to other measures.</w:t>
            </w:r>
            <w:r w:rsidRPr="00322A57">
              <w:rPr>
                <w:noProof/>
              </w:rPr>
              <w:t xml:space="preserve"> </w:t>
            </w:r>
            <w:r w:rsidRPr="00322A57">
              <w:rPr>
                <w:noProof/>
                <w:sz w:val="20"/>
                <w:szCs w:val="20"/>
              </w:rPr>
              <w:t>All scenarios indicate net costs, but differences between outcomes exceed 50%, yielding high confidence in direction and moderate confidence in magnitude.</w:t>
            </w:r>
            <w:r>
              <w:rPr>
                <w:noProof/>
                <w:sz w:val="20"/>
                <w:szCs w:val="20"/>
              </w:rPr>
              <w:t xml:space="preserve"> The range reflects the variation in staff needs and effort, based on eventual proposal and funding volumes.</w:t>
            </w:r>
          </w:p>
        </w:tc>
      </w:tr>
      <w:tr w:rsidR="00960E98" w:rsidRPr="00DB2D19" w14:paraId="23E86BD4"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618C9AB2" w14:textId="2D4E15D3" w:rsidR="00DA36B6" w:rsidRPr="00DF0191" w:rsidRDefault="00DA36B6" w:rsidP="00DA36B6">
            <w:pPr>
              <w:spacing w:after="0"/>
              <w:jc w:val="left"/>
              <w:rPr>
                <w:noProof/>
                <w:sz w:val="20"/>
                <w:szCs w:val="20"/>
              </w:rPr>
            </w:pPr>
            <w:r w:rsidRPr="00DF0191">
              <w:rPr>
                <w:noProof/>
                <w:sz w:val="20"/>
                <w:szCs w:val="20"/>
              </w:rPr>
              <w:t>PM9</w:t>
            </w:r>
            <w:r>
              <w:rPr>
                <w:noProof/>
                <w:sz w:val="20"/>
                <w:szCs w:val="20"/>
              </w:rPr>
              <w:t xml:space="preserve">: </w:t>
            </w:r>
            <w:r w:rsidRPr="00342565">
              <w:rPr>
                <w:b w:val="0"/>
                <w:bCs w:val="0"/>
                <w:noProof/>
                <w:sz w:val="20"/>
                <w:szCs w:val="20"/>
              </w:rPr>
              <w:t>EU deployment funding for strategic projects</w:t>
            </w:r>
          </w:p>
        </w:tc>
        <w:tc>
          <w:tcPr>
            <w:tcW w:w="1674" w:type="pct"/>
            <w:shd w:val="clear" w:color="auto" w:fill="FFFFFF" w:themeFill="background1"/>
          </w:tcPr>
          <w:p w14:paraId="31FC6EA4" w14:textId="7777777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Total effort for the Commission to administer the scheme, i.e. set-it up (2-4 FTEs) and manage it periodically (1-2 FTE)</w:t>
            </w:r>
          </w:p>
          <w:p w14:paraId="3C2D4C6A" w14:textId="7777777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Number of proposals every two years</w:t>
            </w:r>
          </w:p>
          <w:p w14:paraId="30D9593F" w14:textId="7777777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B2D19">
              <w:rPr>
                <w:noProof/>
                <w:sz w:val="20"/>
                <w:szCs w:val="20"/>
              </w:rPr>
              <w:t>Business efforts to respond to the calls/prepare an application (35-55 working days)</w:t>
            </w:r>
          </w:p>
          <w:p w14:paraId="6A177FC5" w14:textId="4544F253" w:rsidR="00DA36B6" w:rsidRPr="00BF3852"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BF3852">
              <w:rPr>
                <w:noProof/>
                <w:sz w:val="20"/>
                <w:szCs w:val="20"/>
              </w:rPr>
              <w:t>No. of proposals submitted every two years (11-19)</w:t>
            </w:r>
          </w:p>
        </w:tc>
        <w:tc>
          <w:tcPr>
            <w:tcW w:w="717" w:type="pct"/>
            <w:shd w:val="clear" w:color="auto" w:fill="FFFFFF" w:themeFill="background1"/>
            <w:vAlign w:val="center"/>
          </w:tcPr>
          <w:p w14:paraId="4C01993B" w14:textId="77777777"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-1.9</w:t>
            </w:r>
          </w:p>
          <w:p w14:paraId="40DED25F" w14:textId="5985AD6C"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37191">
              <w:rPr>
                <w:noProof/>
                <w:sz w:val="16"/>
                <w:szCs w:val="16"/>
              </w:rPr>
              <w:t>[-1.2 – -2.7]</w:t>
            </w:r>
          </w:p>
        </w:tc>
        <w:tc>
          <w:tcPr>
            <w:tcW w:w="1688" w:type="pct"/>
            <w:shd w:val="clear" w:color="auto" w:fill="FFFFFF" w:themeFill="background1"/>
          </w:tcPr>
          <w:p w14:paraId="69029A5A" w14:textId="7BAD0336"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Similarly to PM8, PM9 includes only administrative and adjustment costs for key stakeholders. As in PM8, sensitivity is relatively low to the varied parameters. </w:t>
            </w:r>
            <w:r w:rsidRPr="002C7732">
              <w:rPr>
                <w:noProof/>
                <w:sz w:val="20"/>
                <w:szCs w:val="20"/>
              </w:rPr>
              <w:t xml:space="preserve">Net </w:t>
            </w:r>
            <w:r>
              <w:rPr>
                <w:noProof/>
                <w:sz w:val="20"/>
                <w:szCs w:val="20"/>
              </w:rPr>
              <w:t>costs</w:t>
            </w:r>
            <w:r w:rsidRPr="002C7732">
              <w:rPr>
                <w:noProof/>
                <w:sz w:val="20"/>
                <w:szCs w:val="20"/>
              </w:rPr>
              <w:t xml:space="preserve"> occur across scenarios, with moderate dispersion (≥50%) between outcomes.</w:t>
            </w:r>
            <w:r>
              <w:rPr>
                <w:noProof/>
                <w:sz w:val="20"/>
                <w:szCs w:val="20"/>
              </w:rPr>
              <w:t xml:space="preserve"> Costs increase with higher proposal volumes and staffing assumptions.</w:t>
            </w:r>
          </w:p>
        </w:tc>
      </w:tr>
      <w:tr w:rsidR="00960E98" w:rsidRPr="00DB2D19" w14:paraId="0C2942AC"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21DFC55D" w14:textId="50E59C65" w:rsidR="00DA36B6" w:rsidRPr="00DF0191" w:rsidRDefault="00DA36B6" w:rsidP="00DA36B6">
            <w:pPr>
              <w:spacing w:after="0"/>
              <w:jc w:val="left"/>
              <w:rPr>
                <w:noProof/>
                <w:sz w:val="20"/>
                <w:szCs w:val="20"/>
              </w:rPr>
            </w:pPr>
            <w:r w:rsidRPr="008F30DE">
              <w:rPr>
                <w:noProof/>
                <w:sz w:val="20"/>
                <w:szCs w:val="20"/>
              </w:rPr>
              <w:t>PM10:</w:t>
            </w:r>
            <w:r>
              <w:rPr>
                <w:noProof/>
                <w:sz w:val="20"/>
                <w:szCs w:val="20"/>
              </w:rPr>
              <w:t xml:space="preserve"> </w:t>
            </w:r>
            <w:r w:rsidRPr="00342565">
              <w:rPr>
                <w:b w:val="0"/>
                <w:bCs w:val="0"/>
                <w:noProof/>
                <w:sz w:val="20"/>
                <w:szCs w:val="20"/>
              </w:rPr>
              <w:t>EU-level identifications of areas to fast-track data centre deployment</w:t>
            </w:r>
            <w:r>
              <w:rPr>
                <w:noProof/>
                <w:sz w:val="20"/>
                <w:szCs w:val="20"/>
              </w:rPr>
              <w:t xml:space="preserve"> </w:t>
            </w:r>
          </w:p>
        </w:tc>
        <w:tc>
          <w:tcPr>
            <w:tcW w:w="1674" w:type="pct"/>
            <w:shd w:val="clear" w:color="auto" w:fill="FFFFFF" w:themeFill="background1"/>
          </w:tcPr>
          <w:p w14:paraId="0E55517E" w14:textId="3336A6A2"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Time saved in permitting processes (</w:t>
            </w:r>
            <w:r>
              <w:rPr>
                <w:noProof/>
                <w:sz w:val="20"/>
                <w:szCs w:val="20"/>
              </w:rPr>
              <w:t>2</w:t>
            </w:r>
            <w:r w:rsidRPr="00DB2D19">
              <w:rPr>
                <w:noProof/>
                <w:sz w:val="20"/>
                <w:szCs w:val="20"/>
              </w:rPr>
              <w:t>-</w:t>
            </w:r>
            <w:r>
              <w:rPr>
                <w:noProof/>
                <w:sz w:val="20"/>
                <w:szCs w:val="20"/>
              </w:rPr>
              <w:t>4</w:t>
            </w:r>
            <w:r w:rsidRPr="00DB2D19">
              <w:rPr>
                <w:noProof/>
                <w:sz w:val="20"/>
                <w:szCs w:val="20"/>
              </w:rPr>
              <w:t>months)</w:t>
            </w:r>
          </w:p>
          <w:p w14:paraId="7A23FA4E"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B2D19">
              <w:rPr>
                <w:noProof/>
                <w:sz w:val="20"/>
                <w:szCs w:val="20"/>
              </w:rPr>
              <w:t>No of DC projects using the areas by 2036 (30-70%) and proportionately the previous years.</w:t>
            </w:r>
          </w:p>
          <w:p w14:paraId="2D3DA2E5" w14:textId="11DE13E4"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7B7906">
              <w:rPr>
                <w:noProof/>
                <w:sz w:val="20"/>
                <w:szCs w:val="20"/>
              </w:rPr>
              <w:t xml:space="preserve">National authorities’ effort to </w:t>
            </w:r>
            <w:r>
              <w:rPr>
                <w:noProof/>
                <w:sz w:val="20"/>
                <w:szCs w:val="20"/>
              </w:rPr>
              <w:t xml:space="preserve">participate </w:t>
            </w:r>
            <w:r w:rsidRPr="007B7906">
              <w:rPr>
                <w:noProof/>
                <w:sz w:val="20"/>
                <w:szCs w:val="20"/>
              </w:rPr>
              <w:t>(</w:t>
            </w:r>
            <w:r>
              <w:rPr>
                <w:noProof/>
                <w:sz w:val="20"/>
                <w:szCs w:val="20"/>
              </w:rPr>
              <w:t>5-15 days</w:t>
            </w:r>
            <w:r w:rsidRPr="007B7906">
              <w:rPr>
                <w:noProof/>
                <w:sz w:val="20"/>
                <w:szCs w:val="20"/>
              </w:rPr>
              <w:t>/year)</w:t>
            </w:r>
          </w:p>
          <w:p w14:paraId="57110C6F"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Cost savings for authorities (0.5-1.5 FTEs/year)</w:t>
            </w:r>
          </w:p>
          <w:p w14:paraId="20A34B7E" w14:textId="0546030F" w:rsidR="00DA36B6" w:rsidRPr="007B790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w:t>
            </w:r>
            <w:r w:rsidRPr="003A78EF">
              <w:rPr>
                <w:noProof/>
                <w:sz w:val="20"/>
                <w:szCs w:val="20"/>
              </w:rPr>
              <w:t>nergy efficiency (PUE, i.e. amount of data centre power dedicated to IT).</w:t>
            </w:r>
          </w:p>
        </w:tc>
        <w:tc>
          <w:tcPr>
            <w:tcW w:w="717" w:type="pct"/>
            <w:shd w:val="clear" w:color="auto" w:fill="FFFFFF" w:themeFill="background1"/>
            <w:vAlign w:val="center"/>
          </w:tcPr>
          <w:p w14:paraId="3CEE68DA" w14:textId="77777777" w:rsidR="00DA36B6"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7 979.7</w:t>
            </w:r>
          </w:p>
          <w:p w14:paraId="386DAFD4" w14:textId="1BBE4483" w:rsidR="00DA36B6" w:rsidRDefault="00DA36B6"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EC5BF0">
              <w:rPr>
                <w:noProof/>
                <w:sz w:val="16"/>
                <w:szCs w:val="16"/>
              </w:rPr>
              <w:t xml:space="preserve">[4 </w:t>
            </w:r>
            <w:r>
              <w:rPr>
                <w:noProof/>
                <w:sz w:val="16"/>
                <w:szCs w:val="16"/>
              </w:rPr>
              <w:t>663.8</w:t>
            </w:r>
            <w:r w:rsidRPr="00EC5BF0">
              <w:rPr>
                <w:noProof/>
                <w:sz w:val="16"/>
                <w:szCs w:val="16"/>
              </w:rPr>
              <w:t xml:space="preserve"> – 12 </w:t>
            </w:r>
            <w:r>
              <w:rPr>
                <w:noProof/>
                <w:sz w:val="16"/>
                <w:szCs w:val="16"/>
              </w:rPr>
              <w:t>114.0</w:t>
            </w:r>
            <w:r w:rsidRPr="00EC5BF0">
              <w:rPr>
                <w:noProof/>
                <w:sz w:val="16"/>
                <w:szCs w:val="16"/>
              </w:rPr>
              <w:t>]</w:t>
            </w:r>
          </w:p>
        </w:tc>
        <w:tc>
          <w:tcPr>
            <w:tcW w:w="1688" w:type="pct"/>
            <w:shd w:val="clear" w:color="auto" w:fill="FFFFFF" w:themeFill="background1"/>
          </w:tcPr>
          <w:p w14:paraId="23339008" w14:textId="66C28C48"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Similarly to PM5, PM10 generates large net savings due to the benefits brought by earlier commissioning and operational efficiencies, multiplied by the new DC projects that would benefit from this measure, under the specific growth scenario. </w:t>
            </w:r>
            <w:r w:rsidRPr="000438E6">
              <w:rPr>
                <w:noProof/>
                <w:sz w:val="20"/>
                <w:szCs w:val="20"/>
              </w:rPr>
              <w:t xml:space="preserve">Net benefits are robust across scenarios, though assumption-driven variability above 50% reduces precision, yielding medium–high </w:t>
            </w:r>
            <w:r w:rsidRPr="0035305D">
              <w:rPr>
                <w:noProof/>
                <w:sz w:val="20"/>
                <w:szCs w:val="20"/>
              </w:rPr>
              <w:t xml:space="preserve">confidence overall. The PM is sensitive to months saved and PUE levels. The latter significantly influences overall OPEX. </w:t>
            </w:r>
            <w:r>
              <w:rPr>
                <w:noProof/>
                <w:sz w:val="20"/>
                <w:szCs w:val="20"/>
              </w:rPr>
              <w:t>NPV increases</w:t>
            </w:r>
            <w:r w:rsidRPr="002777FB">
              <w:rPr>
                <w:noProof/>
                <w:sz w:val="20"/>
                <w:szCs w:val="20"/>
              </w:rPr>
              <w:t xml:space="preserve"> </w:t>
            </w:r>
            <w:r>
              <w:rPr>
                <w:noProof/>
                <w:sz w:val="20"/>
                <w:szCs w:val="20"/>
              </w:rPr>
              <w:t xml:space="preserve">by </w:t>
            </w:r>
            <w:r w:rsidRPr="002777FB">
              <w:rPr>
                <w:noProof/>
                <w:sz w:val="20"/>
                <w:szCs w:val="20"/>
              </w:rPr>
              <w:t>around €1.1 m per month of time saved</w:t>
            </w:r>
            <w:r>
              <w:rPr>
                <w:noProof/>
                <w:sz w:val="20"/>
                <w:szCs w:val="20"/>
              </w:rPr>
              <w:t xml:space="preserve"> and by</w:t>
            </w:r>
            <w:r w:rsidRPr="002777FB">
              <w:rPr>
                <w:noProof/>
                <w:sz w:val="20"/>
                <w:szCs w:val="20"/>
              </w:rPr>
              <w:t xml:space="preserve"> €0.7 m for every 0.01 improvement in PUE</w:t>
            </w:r>
            <w:r>
              <w:rPr>
                <w:noProof/>
                <w:sz w:val="20"/>
                <w:szCs w:val="20"/>
              </w:rPr>
              <w:t xml:space="preserve">. </w:t>
            </w:r>
          </w:p>
        </w:tc>
      </w:tr>
      <w:tr w:rsidR="00960E98" w:rsidRPr="00DB2D19" w14:paraId="0D12D1FB"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5FD3D42A" w14:textId="1D6009D8" w:rsidR="00DA36B6" w:rsidRPr="00DF0191" w:rsidRDefault="00DA36B6" w:rsidP="00DA36B6">
            <w:pPr>
              <w:spacing w:after="0"/>
              <w:jc w:val="left"/>
              <w:rPr>
                <w:noProof/>
                <w:sz w:val="20"/>
                <w:szCs w:val="20"/>
              </w:rPr>
            </w:pPr>
            <w:r w:rsidRPr="00DF0191">
              <w:rPr>
                <w:noProof/>
                <w:sz w:val="20"/>
                <w:szCs w:val="20"/>
              </w:rPr>
              <w:t>PM11</w:t>
            </w:r>
            <w:r>
              <w:rPr>
                <w:noProof/>
                <w:sz w:val="20"/>
                <w:szCs w:val="20"/>
              </w:rPr>
              <w:t xml:space="preserve">: </w:t>
            </w:r>
            <w:r w:rsidRPr="00655938">
              <w:rPr>
                <w:b w:val="0"/>
                <w:bCs w:val="0"/>
                <w:noProof/>
                <w:sz w:val="20"/>
                <w:szCs w:val="20"/>
              </w:rPr>
              <w:t xml:space="preserve">Creating a </w:t>
            </w:r>
            <w:r w:rsidR="006F624C">
              <w:rPr>
                <w:b w:val="0"/>
                <w:bCs w:val="0"/>
                <w:noProof/>
                <w:sz w:val="20"/>
                <w:szCs w:val="20"/>
              </w:rPr>
              <w:t>EU-level harmonised criteria for sovereign cloud and AI computing services</w:t>
            </w:r>
            <w:r>
              <w:rPr>
                <w:noProof/>
                <w:sz w:val="20"/>
                <w:szCs w:val="20"/>
              </w:rPr>
              <w:t xml:space="preserve"> </w:t>
            </w:r>
          </w:p>
        </w:tc>
        <w:tc>
          <w:tcPr>
            <w:tcW w:w="1674" w:type="pct"/>
            <w:shd w:val="clear" w:color="auto" w:fill="FFFFFF" w:themeFill="background1"/>
          </w:tcPr>
          <w:p w14:paraId="26F08701" w14:textId="7A47A383"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w:t>
            </w:r>
            <w:r w:rsidRPr="003E7265">
              <w:rPr>
                <w:noProof/>
                <w:sz w:val="20"/>
                <w:szCs w:val="20"/>
              </w:rPr>
              <w:t>umber of procuring authorities</w:t>
            </w:r>
            <w:r>
              <w:rPr>
                <w:noProof/>
                <w:sz w:val="20"/>
                <w:szCs w:val="20"/>
              </w:rPr>
              <w:t xml:space="preserve"> (</w:t>
            </w:r>
            <w:r w:rsidRPr="003E7265">
              <w:rPr>
                <w:noProof/>
                <w:sz w:val="20"/>
                <w:szCs w:val="20"/>
              </w:rPr>
              <w:t xml:space="preserve">50% </w:t>
            </w:r>
            <w:r>
              <w:rPr>
                <w:noProof/>
                <w:sz w:val="20"/>
                <w:szCs w:val="20"/>
              </w:rPr>
              <w:t>-</w:t>
            </w:r>
            <w:r w:rsidRPr="003E7265">
              <w:rPr>
                <w:noProof/>
                <w:sz w:val="20"/>
                <w:szCs w:val="20"/>
              </w:rPr>
              <w:t xml:space="preserve"> 100%</w:t>
            </w:r>
            <w:r>
              <w:rPr>
                <w:noProof/>
                <w:sz w:val="20"/>
                <w:szCs w:val="20"/>
              </w:rPr>
              <w:t>)</w:t>
            </w:r>
            <w:r w:rsidRPr="003E7265">
              <w:rPr>
                <w:noProof/>
                <w:sz w:val="20"/>
                <w:szCs w:val="20"/>
              </w:rPr>
              <w:t xml:space="preserve"> </w:t>
            </w:r>
          </w:p>
          <w:p w14:paraId="5C7F4365" w14:textId="4E4B2831"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Share</w:t>
            </w:r>
            <w:r w:rsidRPr="003E7265">
              <w:rPr>
                <w:noProof/>
                <w:sz w:val="20"/>
                <w:szCs w:val="20"/>
              </w:rPr>
              <w:t xml:space="preserve"> of procurement procedures that will voluntarily request the alignment with the definition of sovereignty </w:t>
            </w:r>
            <w:r>
              <w:rPr>
                <w:noProof/>
                <w:sz w:val="20"/>
                <w:szCs w:val="20"/>
              </w:rPr>
              <w:t>(5% - 10%)</w:t>
            </w:r>
          </w:p>
        </w:tc>
        <w:tc>
          <w:tcPr>
            <w:tcW w:w="717" w:type="pct"/>
            <w:shd w:val="clear" w:color="auto" w:fill="FFFFFF" w:themeFill="background1"/>
            <w:vAlign w:val="center"/>
          </w:tcPr>
          <w:p w14:paraId="2B783401" w14:textId="77777777"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0.3 </w:t>
            </w:r>
          </w:p>
          <w:p w14:paraId="2DC9AFCB" w14:textId="4471B31A"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EC5BF0">
              <w:rPr>
                <w:noProof/>
                <w:sz w:val="16"/>
                <w:szCs w:val="16"/>
              </w:rPr>
              <w:t>[0.2 – 0.4]</w:t>
            </w:r>
          </w:p>
        </w:tc>
        <w:tc>
          <w:tcPr>
            <w:tcW w:w="1688" w:type="pct"/>
            <w:shd w:val="clear" w:color="auto" w:fill="FFFFFF" w:themeFill="background1"/>
          </w:tcPr>
          <w:p w14:paraId="6D77194F" w14:textId="7B8A37B1"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PM11 shows a moderate level of sensitivity with the max scenario double the min one. </w:t>
            </w:r>
            <w:r w:rsidRPr="0098648A">
              <w:rPr>
                <w:noProof/>
                <w:sz w:val="20"/>
                <w:szCs w:val="20"/>
              </w:rPr>
              <w:t>Net benefits are observed consistently across scenarios and assumptions, with limited dispersion, indicating high robustness.</w:t>
            </w:r>
            <w:r>
              <w:rPr>
                <w:noProof/>
                <w:sz w:val="20"/>
                <w:szCs w:val="20"/>
              </w:rPr>
              <w:t xml:space="preserve"> However, the absolute scale remains small, indicating that even if assumptions vary the overall impact of this PM is limited in economic terms. </w:t>
            </w:r>
          </w:p>
        </w:tc>
      </w:tr>
      <w:tr w:rsidR="00960E98" w:rsidRPr="00DB2D19" w14:paraId="0B93D12D"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02CC5825" w14:textId="3BA9E3B1" w:rsidR="00DA36B6" w:rsidRPr="00DF0191" w:rsidRDefault="00DA36B6" w:rsidP="00DA36B6">
            <w:pPr>
              <w:spacing w:after="0"/>
              <w:jc w:val="left"/>
              <w:rPr>
                <w:noProof/>
                <w:sz w:val="20"/>
                <w:szCs w:val="20"/>
              </w:rPr>
            </w:pPr>
            <w:r w:rsidRPr="00DF0191">
              <w:rPr>
                <w:noProof/>
                <w:sz w:val="20"/>
                <w:szCs w:val="20"/>
              </w:rPr>
              <w:t>PM12</w:t>
            </w:r>
            <w:r>
              <w:rPr>
                <w:noProof/>
                <w:sz w:val="20"/>
                <w:szCs w:val="20"/>
              </w:rPr>
              <w:t xml:space="preserve">: </w:t>
            </w:r>
            <w:r w:rsidRPr="00655938">
              <w:rPr>
                <w:b w:val="0"/>
                <w:bCs w:val="0"/>
                <w:noProof/>
                <w:sz w:val="20"/>
                <w:szCs w:val="20"/>
              </w:rPr>
              <w:t xml:space="preserve">Creating EU guidelines for sovereign cloud </w:t>
            </w:r>
            <w:r>
              <w:rPr>
                <w:b w:val="0"/>
                <w:bCs w:val="0"/>
                <w:noProof/>
                <w:sz w:val="20"/>
                <w:szCs w:val="20"/>
              </w:rPr>
              <w:t xml:space="preserve">and AI computing </w:t>
            </w:r>
            <w:r w:rsidRPr="00655938">
              <w:rPr>
                <w:b w:val="0"/>
                <w:bCs w:val="0"/>
                <w:noProof/>
                <w:sz w:val="20"/>
                <w:szCs w:val="20"/>
              </w:rPr>
              <w:t>services for public procurement</w:t>
            </w:r>
            <w:r>
              <w:rPr>
                <w:noProof/>
                <w:sz w:val="20"/>
                <w:szCs w:val="20"/>
              </w:rPr>
              <w:t xml:space="preserve"> </w:t>
            </w:r>
          </w:p>
        </w:tc>
        <w:tc>
          <w:tcPr>
            <w:tcW w:w="1674" w:type="pct"/>
            <w:shd w:val="clear" w:color="auto" w:fill="FFFFFF" w:themeFill="background1"/>
          </w:tcPr>
          <w:p w14:paraId="4B7D3584" w14:textId="1B6AD221"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Share</w:t>
            </w:r>
            <w:r w:rsidRPr="003E7265">
              <w:rPr>
                <w:noProof/>
                <w:sz w:val="20"/>
                <w:szCs w:val="20"/>
              </w:rPr>
              <w:t xml:space="preserve"> of public administrations using the definition in their procurement activities</w:t>
            </w:r>
            <w:r>
              <w:rPr>
                <w:noProof/>
                <w:sz w:val="20"/>
                <w:szCs w:val="20"/>
              </w:rPr>
              <w:t xml:space="preserve"> (</w:t>
            </w:r>
            <w:r w:rsidRPr="003E7265">
              <w:rPr>
                <w:noProof/>
                <w:sz w:val="20"/>
                <w:szCs w:val="20"/>
              </w:rPr>
              <w:t>50%</w:t>
            </w:r>
            <w:r>
              <w:rPr>
                <w:noProof/>
                <w:sz w:val="20"/>
                <w:szCs w:val="20"/>
              </w:rPr>
              <w:t>-</w:t>
            </w:r>
            <w:r w:rsidRPr="003E7265">
              <w:rPr>
                <w:noProof/>
                <w:sz w:val="20"/>
                <w:szCs w:val="20"/>
              </w:rPr>
              <w:t>100%</w:t>
            </w:r>
            <w:r>
              <w:rPr>
                <w:noProof/>
                <w:sz w:val="20"/>
                <w:szCs w:val="20"/>
              </w:rPr>
              <w:t>)</w:t>
            </w:r>
          </w:p>
          <w:p w14:paraId="4E7D5108" w14:textId="23A01B6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Number </w:t>
            </w:r>
            <w:r w:rsidRPr="003E7265">
              <w:rPr>
                <w:noProof/>
                <w:sz w:val="20"/>
                <w:szCs w:val="20"/>
              </w:rPr>
              <w:t xml:space="preserve">of public administrations procuring cloud services </w:t>
            </w:r>
          </w:p>
          <w:p w14:paraId="38CB2A95"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T</w:t>
            </w:r>
            <w:r w:rsidRPr="003E7265">
              <w:rPr>
                <w:noProof/>
                <w:sz w:val="20"/>
                <w:szCs w:val="20"/>
              </w:rPr>
              <w:t xml:space="preserve">ime needed by public administrations to adopt the procedures </w:t>
            </w:r>
          </w:p>
          <w:p w14:paraId="2BFEDC60" w14:textId="762A9CA0"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Time for public administrations to </w:t>
            </w:r>
            <w:r w:rsidRPr="003E7265">
              <w:rPr>
                <w:noProof/>
                <w:sz w:val="20"/>
                <w:szCs w:val="20"/>
              </w:rPr>
              <w:t>evaluate bids</w:t>
            </w:r>
          </w:p>
          <w:p w14:paraId="745E2694" w14:textId="445C13B3"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w:t>
            </w:r>
            <w:r w:rsidRPr="003E7265">
              <w:rPr>
                <w:noProof/>
                <w:sz w:val="20"/>
                <w:szCs w:val="20"/>
              </w:rPr>
              <w:t>umber of cloud and AI computing service providers that can participate in procurement processes</w:t>
            </w:r>
            <w:r>
              <w:rPr>
                <w:noProof/>
                <w:sz w:val="20"/>
                <w:szCs w:val="20"/>
              </w:rPr>
              <w:t xml:space="preserve"> aligning with the guidelines (</w:t>
            </w:r>
            <w:r w:rsidRPr="003E7265">
              <w:rPr>
                <w:noProof/>
                <w:sz w:val="20"/>
                <w:szCs w:val="20"/>
              </w:rPr>
              <w:t>244</w:t>
            </w:r>
            <w:r>
              <w:rPr>
                <w:noProof/>
                <w:sz w:val="20"/>
                <w:szCs w:val="20"/>
              </w:rPr>
              <w:t>-350</w:t>
            </w:r>
            <w:r w:rsidRPr="003E7265">
              <w:rPr>
                <w:noProof/>
                <w:sz w:val="20"/>
                <w:szCs w:val="20"/>
              </w:rPr>
              <w:t>)</w:t>
            </w:r>
          </w:p>
        </w:tc>
        <w:tc>
          <w:tcPr>
            <w:tcW w:w="717" w:type="pct"/>
            <w:shd w:val="clear" w:color="auto" w:fill="FFFFFF" w:themeFill="background1"/>
            <w:vAlign w:val="center"/>
          </w:tcPr>
          <w:p w14:paraId="32323A0E" w14:textId="77777777" w:rsidR="00B25F72" w:rsidRPr="00B258E1" w:rsidRDefault="00B25F72" w:rsidP="00B25F72">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1.3</w:t>
            </w:r>
            <w:r w:rsidRPr="00B258E1">
              <w:rPr>
                <w:noProof/>
                <w:sz w:val="20"/>
                <w:szCs w:val="20"/>
              </w:rPr>
              <w:t xml:space="preserve"> </w:t>
            </w:r>
          </w:p>
          <w:p w14:paraId="5E8A75DD" w14:textId="4BE9EC20" w:rsidR="00DA36B6" w:rsidRPr="00B258E1" w:rsidRDefault="00B25F72" w:rsidP="00B25F72">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EC5BF0">
              <w:rPr>
                <w:noProof/>
                <w:sz w:val="16"/>
                <w:szCs w:val="16"/>
              </w:rPr>
              <w:t>[-0.</w:t>
            </w:r>
            <w:r>
              <w:rPr>
                <w:noProof/>
                <w:sz w:val="16"/>
                <w:szCs w:val="16"/>
              </w:rPr>
              <w:t>6</w:t>
            </w:r>
            <w:r w:rsidRPr="00EC5BF0">
              <w:rPr>
                <w:noProof/>
                <w:sz w:val="16"/>
                <w:szCs w:val="16"/>
              </w:rPr>
              <w:t xml:space="preserve"> – </w:t>
            </w:r>
            <w:r>
              <w:rPr>
                <w:noProof/>
                <w:sz w:val="16"/>
                <w:szCs w:val="16"/>
              </w:rPr>
              <w:t>9.4</w:t>
            </w:r>
            <w:r w:rsidRPr="00EC5BF0">
              <w:rPr>
                <w:noProof/>
                <w:sz w:val="16"/>
                <w:szCs w:val="16"/>
              </w:rPr>
              <w:t>]</w:t>
            </w:r>
          </w:p>
        </w:tc>
        <w:tc>
          <w:tcPr>
            <w:tcW w:w="1688" w:type="pct"/>
            <w:shd w:val="clear" w:color="auto" w:fill="FFFFFF" w:themeFill="background1"/>
          </w:tcPr>
          <w:p w14:paraId="185EE56A" w14:textId="3B2533A4"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PM12 shows high variability, as the outcome shifts from a small net cost in the min scenario to a very large net saving in the max one, which represents a considerable shift in magnitude and direction of impact. Therefore, the results of this measure depend heavily on the underlying assumptions. </w:t>
            </w:r>
            <w:r w:rsidRPr="00236255">
              <w:rPr>
                <w:noProof/>
                <w:sz w:val="20"/>
                <w:szCs w:val="20"/>
              </w:rPr>
              <w:t>Results alternate between net costs and net benefits across scenarios, combined with large dispersion, implying low robustness and high sensitivity to modelling choices.</w:t>
            </w:r>
            <w:r>
              <w:rPr>
                <w:noProof/>
                <w:sz w:val="20"/>
                <w:szCs w:val="20"/>
              </w:rPr>
              <w:t xml:space="preserve"> </w:t>
            </w:r>
            <w:r w:rsidRPr="00DF14B5">
              <w:rPr>
                <w:noProof/>
                <w:sz w:val="20"/>
                <w:szCs w:val="20"/>
              </w:rPr>
              <w:t xml:space="preserve">The variability is driven by mainly two parameters. First, the average number of procured contracts every year for highly critical services in the EU public sector, spanning from 67 in the central and min values to 133. While the maximum value stems from the projections calculated considering the existing TED data multiplied by the estimated value of highly critical use case (5%, based on input from stakeholders), the interviews as part of the study led to the conclusion that a more conservative value for the central value was needed. Secondly, on the number of cloud providers that could participate in the bids. The study yielded the result that more than 400 cloud and AI computing service providers offer their services in the EU, while the estimates of providers that could comply with the sovereignty criteria for their services range in the values of over 300. </w:t>
            </w:r>
          </w:p>
        </w:tc>
      </w:tr>
      <w:tr w:rsidR="00960E98" w:rsidRPr="00DB2D19" w14:paraId="7FBB3A44"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5088EC72" w14:textId="74B87D1C" w:rsidR="00DA36B6" w:rsidRPr="00DF0191" w:rsidRDefault="00DA36B6" w:rsidP="00DA36B6">
            <w:pPr>
              <w:spacing w:after="0"/>
              <w:jc w:val="left"/>
              <w:rPr>
                <w:noProof/>
                <w:sz w:val="20"/>
                <w:szCs w:val="20"/>
              </w:rPr>
            </w:pPr>
            <w:r w:rsidRPr="00DF0191">
              <w:rPr>
                <w:noProof/>
                <w:sz w:val="20"/>
                <w:szCs w:val="20"/>
              </w:rPr>
              <w:t>PM15</w:t>
            </w:r>
            <w:r>
              <w:rPr>
                <w:b w:val="0"/>
                <w:bCs w:val="0"/>
                <w:noProof/>
                <w:sz w:val="20"/>
                <w:szCs w:val="20"/>
              </w:rPr>
              <w:t>:</w:t>
            </w:r>
            <w:r w:rsidRPr="00655938">
              <w:rPr>
                <w:b w:val="0"/>
                <w:bCs w:val="0"/>
                <w:noProof/>
                <w:sz w:val="20"/>
                <w:szCs w:val="20"/>
              </w:rPr>
              <w:t xml:space="preserve"> </w:t>
            </w:r>
            <w:r w:rsidR="006F624C">
              <w:rPr>
                <w:b w:val="0"/>
                <w:bCs w:val="0"/>
                <w:noProof/>
                <w:sz w:val="20"/>
                <w:szCs w:val="20"/>
              </w:rPr>
              <w:t>Voluntary</w:t>
            </w:r>
            <w:r w:rsidR="006F624C" w:rsidRPr="000B2446">
              <w:rPr>
                <w:b w:val="0"/>
                <w:bCs w:val="0"/>
                <w:noProof/>
                <w:sz w:val="20"/>
                <w:szCs w:val="20"/>
              </w:rPr>
              <w:t xml:space="preserve"> </w:t>
            </w:r>
            <w:r w:rsidR="006F624C">
              <w:rPr>
                <w:b w:val="0"/>
                <w:bCs w:val="0"/>
                <w:noProof/>
                <w:sz w:val="20"/>
                <w:szCs w:val="20"/>
              </w:rPr>
              <w:t>sovereignty risk assessments for the use of cloud and AI computing services in the public sector</w:t>
            </w:r>
          </w:p>
        </w:tc>
        <w:tc>
          <w:tcPr>
            <w:tcW w:w="1674" w:type="pct"/>
            <w:shd w:val="clear" w:color="auto" w:fill="FFFFFF" w:themeFill="background1"/>
          </w:tcPr>
          <w:p w14:paraId="618551A5" w14:textId="64A484D2"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w:t>
            </w:r>
            <w:r w:rsidRPr="002F0928">
              <w:rPr>
                <w:noProof/>
                <w:sz w:val="20"/>
                <w:szCs w:val="20"/>
              </w:rPr>
              <w:t xml:space="preserve"> of FTEs required to get </w:t>
            </w:r>
            <w:r w:rsidR="00856F52">
              <w:rPr>
                <w:noProof/>
                <w:sz w:val="20"/>
                <w:szCs w:val="20"/>
              </w:rPr>
              <w:t>audited</w:t>
            </w:r>
            <w:r w:rsidR="00856F52" w:rsidRPr="002F0928">
              <w:rPr>
                <w:noProof/>
                <w:sz w:val="20"/>
                <w:szCs w:val="20"/>
              </w:rPr>
              <w:t xml:space="preserve"> </w:t>
            </w:r>
            <w:r>
              <w:rPr>
                <w:noProof/>
                <w:sz w:val="20"/>
                <w:szCs w:val="20"/>
              </w:rPr>
              <w:t>(10-20 FTEs)</w:t>
            </w:r>
          </w:p>
          <w:p w14:paraId="5F426720" w14:textId="16884AA0"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No. of FTEs to </w:t>
            </w:r>
            <w:r w:rsidRPr="002F0928">
              <w:rPr>
                <w:noProof/>
                <w:sz w:val="20"/>
                <w:szCs w:val="20"/>
              </w:rPr>
              <w:t>maint</w:t>
            </w:r>
            <w:r>
              <w:rPr>
                <w:noProof/>
                <w:sz w:val="20"/>
                <w:szCs w:val="20"/>
              </w:rPr>
              <w:t>ain</w:t>
            </w:r>
            <w:r w:rsidRPr="002F0928">
              <w:rPr>
                <w:noProof/>
                <w:sz w:val="20"/>
                <w:szCs w:val="20"/>
              </w:rPr>
              <w:t xml:space="preserve"> the </w:t>
            </w:r>
            <w:r w:rsidR="00856F52">
              <w:rPr>
                <w:noProof/>
                <w:sz w:val="20"/>
                <w:szCs w:val="20"/>
              </w:rPr>
              <w:t>audit</w:t>
            </w:r>
            <w:r w:rsidR="00856F52" w:rsidRPr="002F0928">
              <w:rPr>
                <w:noProof/>
                <w:sz w:val="20"/>
                <w:szCs w:val="20"/>
              </w:rPr>
              <w:t xml:space="preserve"> </w:t>
            </w:r>
            <w:r>
              <w:rPr>
                <w:noProof/>
                <w:sz w:val="20"/>
                <w:szCs w:val="20"/>
              </w:rPr>
              <w:t>(</w:t>
            </w:r>
            <w:r w:rsidRPr="002F0928">
              <w:rPr>
                <w:noProof/>
                <w:sz w:val="20"/>
                <w:szCs w:val="20"/>
              </w:rPr>
              <w:t>2</w:t>
            </w:r>
            <w:r>
              <w:rPr>
                <w:noProof/>
                <w:sz w:val="20"/>
                <w:szCs w:val="20"/>
              </w:rPr>
              <w:t>-5 FTEs</w:t>
            </w:r>
            <w:r w:rsidRPr="002F0928">
              <w:rPr>
                <w:noProof/>
                <w:sz w:val="20"/>
                <w:szCs w:val="20"/>
              </w:rPr>
              <w:t xml:space="preserve">) </w:t>
            </w:r>
          </w:p>
          <w:p w14:paraId="26A40037" w14:textId="6AD77C6A"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w:t>
            </w:r>
            <w:r w:rsidRPr="002F0928">
              <w:rPr>
                <w:noProof/>
                <w:sz w:val="20"/>
                <w:szCs w:val="20"/>
              </w:rPr>
              <w:t xml:space="preserve"> of MS that designate the competent authorities to carry out </w:t>
            </w:r>
            <w:r w:rsidR="00B323DB">
              <w:rPr>
                <w:noProof/>
                <w:sz w:val="20"/>
                <w:szCs w:val="20"/>
              </w:rPr>
              <w:t xml:space="preserve">audit </w:t>
            </w:r>
            <w:r>
              <w:rPr>
                <w:noProof/>
                <w:sz w:val="20"/>
                <w:szCs w:val="20"/>
              </w:rPr>
              <w:t>(</w:t>
            </w:r>
            <w:r w:rsidRPr="002F0928">
              <w:rPr>
                <w:noProof/>
                <w:sz w:val="20"/>
                <w:szCs w:val="20"/>
              </w:rPr>
              <w:t xml:space="preserve">5 </w:t>
            </w:r>
            <w:r>
              <w:rPr>
                <w:noProof/>
                <w:sz w:val="20"/>
                <w:szCs w:val="20"/>
              </w:rPr>
              <w:t>-</w:t>
            </w:r>
            <w:r w:rsidRPr="002F0928">
              <w:rPr>
                <w:noProof/>
                <w:sz w:val="20"/>
                <w:szCs w:val="20"/>
              </w:rPr>
              <w:t xml:space="preserve"> 27)</w:t>
            </w:r>
          </w:p>
          <w:p w14:paraId="2FE39FF1" w14:textId="08FD824D"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 of</w:t>
            </w:r>
            <w:r w:rsidRPr="002F0928">
              <w:rPr>
                <w:noProof/>
                <w:sz w:val="20"/>
                <w:szCs w:val="20"/>
              </w:rPr>
              <w:t xml:space="preserve"> MS that adopt and apply the voluntary </w:t>
            </w:r>
            <w:r w:rsidR="00B323DB">
              <w:rPr>
                <w:noProof/>
                <w:sz w:val="20"/>
                <w:szCs w:val="20"/>
              </w:rPr>
              <w:t>sovereignty</w:t>
            </w:r>
            <w:r w:rsidRPr="002F0928">
              <w:rPr>
                <w:noProof/>
                <w:sz w:val="20"/>
                <w:szCs w:val="20"/>
              </w:rPr>
              <w:t xml:space="preserve"> scheme, </w:t>
            </w:r>
            <w:r>
              <w:rPr>
                <w:noProof/>
                <w:sz w:val="20"/>
                <w:szCs w:val="20"/>
              </w:rPr>
              <w:t>(</w:t>
            </w:r>
            <w:r w:rsidRPr="002F0928">
              <w:rPr>
                <w:noProof/>
                <w:sz w:val="20"/>
                <w:szCs w:val="20"/>
              </w:rPr>
              <w:t>5</w:t>
            </w:r>
            <w:r>
              <w:rPr>
                <w:noProof/>
                <w:sz w:val="20"/>
                <w:szCs w:val="20"/>
              </w:rPr>
              <w:t>-</w:t>
            </w:r>
            <w:r w:rsidRPr="002F0928">
              <w:rPr>
                <w:noProof/>
                <w:sz w:val="20"/>
                <w:szCs w:val="20"/>
              </w:rPr>
              <w:t>27 MS</w:t>
            </w:r>
            <w:r>
              <w:rPr>
                <w:noProof/>
                <w:sz w:val="20"/>
                <w:szCs w:val="20"/>
              </w:rPr>
              <w:t>)</w:t>
            </w:r>
          </w:p>
        </w:tc>
        <w:tc>
          <w:tcPr>
            <w:tcW w:w="717" w:type="pct"/>
            <w:shd w:val="clear" w:color="auto" w:fill="FFFFFF" w:themeFill="background1"/>
            <w:vAlign w:val="center"/>
          </w:tcPr>
          <w:p w14:paraId="21952FD9" w14:textId="77777777" w:rsidR="00295B69" w:rsidRPr="00132F7D" w:rsidRDefault="00295B69" w:rsidP="00295B69">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316.8</w:t>
            </w:r>
          </w:p>
          <w:p w14:paraId="2FC329AB" w14:textId="2C1EBABD" w:rsidR="00DA36B6" w:rsidRPr="00EC5BF0" w:rsidRDefault="00295B69" w:rsidP="00887FB2">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132F7D">
              <w:rPr>
                <w:noProof/>
                <w:sz w:val="16"/>
                <w:szCs w:val="16"/>
              </w:rPr>
              <w:t>[</w:t>
            </w:r>
            <w:r>
              <w:rPr>
                <w:noProof/>
                <w:sz w:val="16"/>
                <w:szCs w:val="16"/>
              </w:rPr>
              <w:t>83.0</w:t>
            </w:r>
            <w:r w:rsidRPr="00132F7D">
              <w:rPr>
                <w:noProof/>
                <w:sz w:val="16"/>
                <w:szCs w:val="16"/>
              </w:rPr>
              <w:t xml:space="preserve"> – 33</w:t>
            </w:r>
            <w:r>
              <w:rPr>
                <w:noProof/>
                <w:sz w:val="16"/>
                <w:szCs w:val="16"/>
              </w:rPr>
              <w:t>3</w:t>
            </w:r>
            <w:r w:rsidRPr="00132F7D">
              <w:rPr>
                <w:noProof/>
                <w:sz w:val="16"/>
                <w:szCs w:val="16"/>
              </w:rPr>
              <w:t>.</w:t>
            </w:r>
            <w:r>
              <w:rPr>
                <w:noProof/>
                <w:sz w:val="16"/>
                <w:szCs w:val="16"/>
              </w:rPr>
              <w:t>8</w:t>
            </w:r>
            <w:r w:rsidRPr="00132F7D">
              <w:rPr>
                <w:noProof/>
                <w:sz w:val="16"/>
                <w:szCs w:val="16"/>
              </w:rPr>
              <w:t>]</w:t>
            </w:r>
          </w:p>
        </w:tc>
        <w:tc>
          <w:tcPr>
            <w:tcW w:w="1688" w:type="pct"/>
            <w:shd w:val="clear" w:color="auto" w:fill="FFFFFF" w:themeFill="background1"/>
          </w:tcPr>
          <w:p w14:paraId="17C1C550" w14:textId="5FBA3DBD"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PM15 generates high net savings in both scenarios, with outcomes improving greatly under the max assumptions.. </w:t>
            </w:r>
          </w:p>
        </w:tc>
      </w:tr>
      <w:tr w:rsidR="00960E98" w:rsidRPr="00DB2D19" w14:paraId="2A8CA653"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00F719FC" w14:textId="26A50CE3" w:rsidR="00DA36B6" w:rsidRPr="00DF0191" w:rsidRDefault="00DA36B6" w:rsidP="00DA36B6">
            <w:pPr>
              <w:spacing w:after="0"/>
              <w:jc w:val="left"/>
              <w:rPr>
                <w:noProof/>
                <w:sz w:val="20"/>
                <w:szCs w:val="20"/>
              </w:rPr>
            </w:pPr>
            <w:r w:rsidRPr="00DF0191">
              <w:rPr>
                <w:noProof/>
                <w:sz w:val="20"/>
                <w:szCs w:val="20"/>
              </w:rPr>
              <w:t>PM16</w:t>
            </w:r>
            <w:r>
              <w:rPr>
                <w:noProof/>
                <w:sz w:val="20"/>
                <w:szCs w:val="20"/>
              </w:rPr>
              <w:t xml:space="preserve">: </w:t>
            </w:r>
            <w:r w:rsidRPr="00655938">
              <w:rPr>
                <w:b w:val="0"/>
                <w:bCs w:val="0"/>
                <w:noProof/>
                <w:sz w:val="20"/>
                <w:szCs w:val="20"/>
              </w:rPr>
              <w:t>Non-mandatory specific awar</w:t>
            </w:r>
            <w:r w:rsidRPr="004B1930">
              <w:rPr>
                <w:b w:val="0"/>
                <w:noProof/>
                <w:sz w:val="20"/>
                <w:szCs w:val="20"/>
              </w:rPr>
              <w:t>d</w:t>
            </w:r>
            <w:r w:rsidRPr="00655938">
              <w:rPr>
                <w:b w:val="0"/>
                <w:bCs w:val="0"/>
                <w:noProof/>
                <w:sz w:val="20"/>
                <w:szCs w:val="20"/>
              </w:rPr>
              <w:t xml:space="preserve"> criteria for the procurement of cloud and Ai computing services</w:t>
            </w:r>
          </w:p>
        </w:tc>
        <w:tc>
          <w:tcPr>
            <w:tcW w:w="1674" w:type="pct"/>
            <w:shd w:val="clear" w:color="auto" w:fill="FFFFFF" w:themeFill="background1"/>
          </w:tcPr>
          <w:p w14:paraId="1BCFDC96"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No. </w:t>
            </w:r>
            <w:r w:rsidRPr="00773F80">
              <w:rPr>
                <w:noProof/>
                <w:sz w:val="20"/>
                <w:szCs w:val="20"/>
              </w:rPr>
              <w:t>of public authorities procuring cloud and AI computing services</w:t>
            </w:r>
          </w:p>
          <w:p w14:paraId="68596D46" w14:textId="635708EA"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No.</w:t>
            </w:r>
            <w:r w:rsidRPr="00773F80">
              <w:rPr>
                <w:noProof/>
                <w:sz w:val="20"/>
                <w:szCs w:val="20"/>
              </w:rPr>
              <w:t xml:space="preserve"> of tenders and offers per year </w:t>
            </w:r>
          </w:p>
          <w:p w14:paraId="78C456F3"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No. </w:t>
            </w:r>
            <w:r w:rsidRPr="00773F80">
              <w:rPr>
                <w:noProof/>
                <w:sz w:val="20"/>
                <w:szCs w:val="20"/>
              </w:rPr>
              <w:t>of cloud and AI computing service providers</w:t>
            </w:r>
            <w:r>
              <w:rPr>
                <w:noProof/>
                <w:sz w:val="20"/>
                <w:szCs w:val="20"/>
              </w:rPr>
              <w:t xml:space="preserve"> </w:t>
            </w:r>
          </w:p>
          <w:p w14:paraId="22AC77DE" w14:textId="046C6BED"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4B1930">
              <w:rPr>
                <w:noProof/>
                <w:sz w:val="20"/>
                <w:szCs w:val="20"/>
              </w:rPr>
              <w:t xml:space="preserve">Providers’ effort to align to the </w:t>
            </w:r>
            <w:r>
              <w:rPr>
                <w:noProof/>
                <w:sz w:val="20"/>
                <w:szCs w:val="20"/>
              </w:rPr>
              <w:t xml:space="preserve">award </w:t>
            </w:r>
            <w:r w:rsidRPr="004B1930">
              <w:rPr>
                <w:noProof/>
                <w:sz w:val="20"/>
                <w:szCs w:val="20"/>
              </w:rPr>
              <w:t>criteria</w:t>
            </w:r>
          </w:p>
        </w:tc>
        <w:tc>
          <w:tcPr>
            <w:tcW w:w="717" w:type="pct"/>
            <w:shd w:val="clear" w:color="auto" w:fill="FFFFFF" w:themeFill="background1"/>
            <w:vAlign w:val="center"/>
          </w:tcPr>
          <w:p w14:paraId="14D561C5" w14:textId="77777777" w:rsidR="00F37E4B" w:rsidRDefault="00F37E4B" w:rsidP="00F37E4B">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-17.1</w:t>
            </w:r>
          </w:p>
          <w:p w14:paraId="51B281CC" w14:textId="6ADE085C" w:rsidR="00DA36B6" w:rsidRDefault="00F37E4B"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EC5BF0">
              <w:rPr>
                <w:noProof/>
                <w:sz w:val="16"/>
                <w:szCs w:val="16"/>
              </w:rPr>
              <w:t>[</w:t>
            </w:r>
            <w:r>
              <w:rPr>
                <w:noProof/>
                <w:sz w:val="16"/>
                <w:szCs w:val="16"/>
              </w:rPr>
              <w:t>-4.9 – -28.3</w:t>
            </w:r>
            <w:r w:rsidRPr="00EC5BF0">
              <w:rPr>
                <w:noProof/>
                <w:sz w:val="16"/>
                <w:szCs w:val="16"/>
              </w:rPr>
              <w:t>]</w:t>
            </w:r>
          </w:p>
        </w:tc>
        <w:tc>
          <w:tcPr>
            <w:tcW w:w="1688" w:type="pct"/>
            <w:shd w:val="clear" w:color="auto" w:fill="FFFFFF" w:themeFill="background1"/>
          </w:tcPr>
          <w:p w14:paraId="4FAC92E8" w14:textId="144EB12F"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PM16 results in net costs in both min and max scenarios. While the PM generates some savings, these are not sufficient to outweigh costs. As above, this could be drive by the no. of estimated authorities procuring cloud and AI computing services and to the administrative effort needed by the providers to adapt to the new criteria. </w:t>
            </w:r>
          </w:p>
        </w:tc>
      </w:tr>
      <w:tr w:rsidR="00960E98" w:rsidRPr="00DB2D19" w14:paraId="3606342A"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11D25FAF" w14:textId="6E533B93" w:rsidR="00DA36B6" w:rsidRPr="00DF0191" w:rsidRDefault="00DA36B6" w:rsidP="00DA36B6">
            <w:pPr>
              <w:spacing w:after="0"/>
              <w:jc w:val="left"/>
              <w:rPr>
                <w:noProof/>
                <w:sz w:val="20"/>
                <w:szCs w:val="20"/>
              </w:rPr>
            </w:pPr>
            <w:r w:rsidRPr="00DF0191">
              <w:rPr>
                <w:noProof/>
                <w:sz w:val="20"/>
                <w:szCs w:val="20"/>
              </w:rPr>
              <w:t>PM17</w:t>
            </w:r>
            <w:r>
              <w:rPr>
                <w:noProof/>
                <w:sz w:val="20"/>
                <w:szCs w:val="20"/>
              </w:rPr>
              <w:t xml:space="preserve">: </w:t>
            </w:r>
            <w:r w:rsidRPr="00655938">
              <w:rPr>
                <w:b w:val="0"/>
                <w:bCs w:val="0"/>
                <w:noProof/>
                <w:sz w:val="20"/>
                <w:szCs w:val="20"/>
              </w:rPr>
              <w:t>Public Sector cloud federation</w:t>
            </w:r>
          </w:p>
        </w:tc>
        <w:tc>
          <w:tcPr>
            <w:tcW w:w="1674" w:type="pct"/>
            <w:shd w:val="clear" w:color="auto" w:fill="FFFFFF" w:themeFill="background1"/>
          </w:tcPr>
          <w:p w14:paraId="173A5455" w14:textId="7777777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C</w:t>
            </w:r>
            <w:r w:rsidRPr="003A78EF">
              <w:rPr>
                <w:noProof/>
                <w:sz w:val="20"/>
                <w:szCs w:val="20"/>
              </w:rPr>
              <w:t xml:space="preserve">apacity shared by each MS with the federation </w:t>
            </w:r>
            <w:r>
              <w:rPr>
                <w:noProof/>
                <w:sz w:val="20"/>
                <w:szCs w:val="20"/>
              </w:rPr>
              <w:t>(</w:t>
            </w:r>
            <w:r w:rsidRPr="003A78EF">
              <w:rPr>
                <w:noProof/>
                <w:sz w:val="20"/>
                <w:szCs w:val="20"/>
              </w:rPr>
              <w:t>5%</w:t>
            </w:r>
            <w:r>
              <w:rPr>
                <w:noProof/>
                <w:sz w:val="20"/>
                <w:szCs w:val="20"/>
              </w:rPr>
              <w:t>-</w:t>
            </w:r>
            <w:r w:rsidRPr="003A78EF">
              <w:rPr>
                <w:noProof/>
                <w:sz w:val="20"/>
                <w:szCs w:val="20"/>
              </w:rPr>
              <w:t>15%</w:t>
            </w:r>
            <w:r>
              <w:rPr>
                <w:noProof/>
                <w:sz w:val="20"/>
                <w:szCs w:val="20"/>
              </w:rPr>
              <w:t xml:space="preserve">) </w:t>
            </w:r>
          </w:p>
          <w:p w14:paraId="4EBCAB13" w14:textId="77777777"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No. of </w:t>
            </w:r>
            <w:r w:rsidRPr="003A78EF">
              <w:rPr>
                <w:noProof/>
                <w:sz w:val="20"/>
                <w:szCs w:val="20"/>
              </w:rPr>
              <w:t>Member States participating in the federation</w:t>
            </w:r>
          </w:p>
          <w:p w14:paraId="4EAD688E" w14:textId="4BDB177C"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E</w:t>
            </w:r>
            <w:r w:rsidRPr="003A78EF">
              <w:rPr>
                <w:noProof/>
                <w:sz w:val="20"/>
                <w:szCs w:val="20"/>
              </w:rPr>
              <w:t>nergy efficiency (PUE, i.e. amount of data centre power dedicated to IT).</w:t>
            </w:r>
          </w:p>
        </w:tc>
        <w:tc>
          <w:tcPr>
            <w:tcW w:w="717" w:type="pct"/>
            <w:shd w:val="clear" w:color="auto" w:fill="FFFFFF" w:themeFill="background1"/>
            <w:vAlign w:val="center"/>
          </w:tcPr>
          <w:p w14:paraId="5D78B0EA" w14:textId="77777777" w:rsidR="00955A11" w:rsidRDefault="00955A11" w:rsidP="00955A11">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12 192.4</w:t>
            </w:r>
          </w:p>
          <w:p w14:paraId="7546EB41" w14:textId="48749102" w:rsidR="00DA36B6" w:rsidRPr="00E1517A" w:rsidRDefault="00955A11"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EC5BF0">
              <w:rPr>
                <w:noProof/>
                <w:sz w:val="16"/>
                <w:szCs w:val="16"/>
              </w:rPr>
              <w:t xml:space="preserve">[7 </w:t>
            </w:r>
            <w:r>
              <w:rPr>
                <w:noProof/>
                <w:sz w:val="16"/>
                <w:szCs w:val="16"/>
              </w:rPr>
              <w:t>878.4</w:t>
            </w:r>
            <w:r w:rsidRPr="00EC5BF0">
              <w:rPr>
                <w:noProof/>
                <w:sz w:val="16"/>
                <w:szCs w:val="16"/>
              </w:rPr>
              <w:t xml:space="preserve"> – 16 </w:t>
            </w:r>
            <w:r>
              <w:rPr>
                <w:noProof/>
                <w:sz w:val="16"/>
                <w:szCs w:val="16"/>
              </w:rPr>
              <w:t>506.4</w:t>
            </w:r>
            <w:r w:rsidRPr="00EC5BF0">
              <w:rPr>
                <w:noProof/>
                <w:sz w:val="16"/>
                <w:szCs w:val="16"/>
              </w:rPr>
              <w:t>]</w:t>
            </w:r>
          </w:p>
        </w:tc>
        <w:tc>
          <w:tcPr>
            <w:tcW w:w="1688" w:type="pct"/>
            <w:shd w:val="clear" w:color="auto" w:fill="FFFFFF" w:themeFill="background1"/>
          </w:tcPr>
          <w:p w14:paraId="2E636429" w14:textId="740E5133"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PM17 delivers high net cost savings across all scenarios. Given the difference between min-max scenarios, the PM looks sensitive to the underlying assumptions, e.g. MS participating in the federation or even capacity shared. This a</w:t>
            </w:r>
            <w:r w:rsidRPr="00E8646E">
              <w:rPr>
                <w:noProof/>
                <w:sz w:val="20"/>
                <w:szCs w:val="20"/>
              </w:rPr>
              <w:t>ssumption-driven variability above 50% reduces precision, yielding medium–high confidence overall.</w:t>
            </w:r>
            <w:r>
              <w:rPr>
                <w:noProof/>
                <w:sz w:val="20"/>
                <w:szCs w:val="20"/>
              </w:rPr>
              <w:t xml:space="preserve"> As additional capacity is shared among MS, benefits increase substantially, as one could expect.</w:t>
            </w:r>
          </w:p>
        </w:tc>
      </w:tr>
      <w:tr w:rsidR="00960E98" w:rsidRPr="00DB2D19" w14:paraId="48960D8E"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71212F24" w14:textId="199D5375" w:rsidR="00DA36B6" w:rsidRPr="00655938" w:rsidRDefault="00DA36B6" w:rsidP="00DA36B6">
            <w:pPr>
              <w:spacing w:after="0"/>
              <w:jc w:val="left"/>
              <w:rPr>
                <w:noProof/>
                <w:sz w:val="20"/>
                <w:szCs w:val="20"/>
                <w:lang w:val="en-IE"/>
              </w:rPr>
            </w:pPr>
            <w:r w:rsidRPr="00655938">
              <w:rPr>
                <w:noProof/>
                <w:sz w:val="20"/>
                <w:szCs w:val="20"/>
                <w:lang w:val="en-IE"/>
              </w:rPr>
              <w:t xml:space="preserve">PM18: </w:t>
            </w:r>
            <w:r w:rsidRPr="00655938">
              <w:rPr>
                <w:b w:val="0"/>
                <w:bCs w:val="0"/>
                <w:noProof/>
                <w:sz w:val="20"/>
                <w:szCs w:val="20"/>
                <w:lang w:val="en-IE"/>
              </w:rPr>
              <w:t>Vendor-neutral EU cloud/AI skill certificates</w:t>
            </w:r>
          </w:p>
        </w:tc>
        <w:tc>
          <w:tcPr>
            <w:tcW w:w="1674" w:type="pct"/>
            <w:shd w:val="clear" w:color="auto" w:fill="FFFFFF" w:themeFill="background1"/>
          </w:tcPr>
          <w:p w14:paraId="6EA1506E"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No. </w:t>
            </w:r>
            <w:r w:rsidRPr="00F6711C">
              <w:rPr>
                <w:noProof/>
                <w:sz w:val="20"/>
                <w:szCs w:val="20"/>
              </w:rPr>
              <w:t xml:space="preserve">of experts that can be certified on a yearly basis </w:t>
            </w:r>
            <w:r>
              <w:rPr>
                <w:noProof/>
                <w:sz w:val="20"/>
                <w:szCs w:val="20"/>
              </w:rPr>
              <w:t>(</w:t>
            </w:r>
            <w:r w:rsidRPr="00F6711C">
              <w:rPr>
                <w:noProof/>
                <w:sz w:val="20"/>
                <w:szCs w:val="20"/>
              </w:rPr>
              <w:t>100</w:t>
            </w:r>
            <w:r>
              <w:rPr>
                <w:noProof/>
                <w:sz w:val="20"/>
                <w:szCs w:val="20"/>
              </w:rPr>
              <w:t>-</w:t>
            </w:r>
            <w:r w:rsidRPr="00F6711C">
              <w:rPr>
                <w:noProof/>
                <w:sz w:val="20"/>
                <w:szCs w:val="20"/>
              </w:rPr>
              <w:t>500</w:t>
            </w:r>
            <w:r>
              <w:rPr>
                <w:noProof/>
                <w:sz w:val="20"/>
                <w:szCs w:val="20"/>
              </w:rPr>
              <w:t>)</w:t>
            </w:r>
          </w:p>
          <w:p w14:paraId="3B7D10A7" w14:textId="0CEEED84"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F6711C">
              <w:rPr>
                <w:noProof/>
                <w:sz w:val="20"/>
                <w:szCs w:val="20"/>
              </w:rPr>
              <w:t xml:space="preserve">ertification fees ranging </w:t>
            </w:r>
            <w:r>
              <w:rPr>
                <w:noProof/>
                <w:sz w:val="20"/>
                <w:szCs w:val="20"/>
              </w:rPr>
              <w:t>(</w:t>
            </w:r>
            <w:r w:rsidRPr="00F6711C">
              <w:rPr>
                <w:noProof/>
                <w:sz w:val="20"/>
                <w:szCs w:val="20"/>
              </w:rPr>
              <w:t>EUR 50</w:t>
            </w:r>
            <w:r>
              <w:rPr>
                <w:noProof/>
                <w:sz w:val="20"/>
                <w:szCs w:val="20"/>
              </w:rPr>
              <w:t>-</w:t>
            </w:r>
            <w:r w:rsidRPr="00F6711C">
              <w:rPr>
                <w:noProof/>
                <w:sz w:val="20"/>
                <w:szCs w:val="20"/>
              </w:rPr>
              <w:t>150</w:t>
            </w:r>
            <w:r>
              <w:rPr>
                <w:noProof/>
                <w:sz w:val="20"/>
                <w:szCs w:val="20"/>
              </w:rPr>
              <w:t>)</w:t>
            </w:r>
          </w:p>
          <w:p w14:paraId="3482A761"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w:t>
            </w:r>
            <w:r w:rsidRPr="00F6711C">
              <w:rPr>
                <w:noProof/>
                <w:sz w:val="20"/>
                <w:szCs w:val="20"/>
              </w:rPr>
              <w:t>ffort saved by opting for a vendor-neutral certification</w:t>
            </w:r>
            <w:r>
              <w:rPr>
                <w:noProof/>
                <w:sz w:val="20"/>
                <w:szCs w:val="20"/>
              </w:rPr>
              <w:t>, i.e.</w:t>
            </w:r>
            <w:r w:rsidRPr="00F6711C">
              <w:rPr>
                <w:noProof/>
                <w:sz w:val="20"/>
                <w:szCs w:val="20"/>
              </w:rPr>
              <w:t xml:space="preserve"> the number of certifications from other technologies and days saved</w:t>
            </w:r>
          </w:p>
          <w:p w14:paraId="372DF64D" w14:textId="481C7C7D"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F6711C">
              <w:rPr>
                <w:noProof/>
                <w:sz w:val="20"/>
                <w:szCs w:val="20"/>
              </w:rPr>
              <w:t xml:space="preserve">oordination savings for the </w:t>
            </w:r>
            <w:r>
              <w:rPr>
                <w:noProof/>
                <w:sz w:val="20"/>
                <w:szCs w:val="20"/>
              </w:rPr>
              <w:t>Commission</w:t>
            </w:r>
            <w:r w:rsidRPr="00F6711C">
              <w:rPr>
                <w:noProof/>
                <w:sz w:val="20"/>
                <w:szCs w:val="20"/>
              </w:rPr>
              <w:t xml:space="preserve"> from avoiding duplication of effort </w:t>
            </w:r>
            <w:r>
              <w:rPr>
                <w:noProof/>
                <w:sz w:val="20"/>
                <w:szCs w:val="20"/>
              </w:rPr>
              <w:t>(EUR 0-2</w:t>
            </w:r>
            <w:r w:rsidRPr="00F6711C">
              <w:rPr>
                <w:noProof/>
                <w:sz w:val="20"/>
                <w:szCs w:val="20"/>
              </w:rPr>
              <w:t>1 067</w:t>
            </w:r>
            <w:r>
              <w:rPr>
                <w:noProof/>
                <w:sz w:val="20"/>
                <w:szCs w:val="20"/>
              </w:rPr>
              <w:t>)</w:t>
            </w:r>
            <w:r w:rsidRPr="00F6711C">
              <w:rPr>
                <w:noProof/>
                <w:sz w:val="20"/>
                <w:szCs w:val="20"/>
              </w:rPr>
              <w:t xml:space="preserve"> </w:t>
            </w:r>
          </w:p>
          <w:p w14:paraId="211A7882" w14:textId="34DE4EE2"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R</w:t>
            </w:r>
            <w:r w:rsidRPr="00F6711C">
              <w:rPr>
                <w:noProof/>
                <w:sz w:val="20"/>
                <w:szCs w:val="20"/>
              </w:rPr>
              <w:t xml:space="preserve">educed costs in the certification of similar technologies from different providers </w:t>
            </w:r>
          </w:p>
        </w:tc>
        <w:tc>
          <w:tcPr>
            <w:tcW w:w="717" w:type="pct"/>
            <w:shd w:val="clear" w:color="auto" w:fill="FFFFFF" w:themeFill="background1"/>
            <w:vAlign w:val="center"/>
          </w:tcPr>
          <w:p w14:paraId="40C52FDE" w14:textId="77777777" w:rsidR="007D6FD2" w:rsidRDefault="007D6FD2" w:rsidP="007D6FD2">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AB605A">
              <w:rPr>
                <w:noProof/>
                <w:sz w:val="20"/>
                <w:szCs w:val="20"/>
              </w:rPr>
              <w:t>74</w:t>
            </w:r>
            <w:r>
              <w:rPr>
                <w:noProof/>
                <w:sz w:val="20"/>
                <w:szCs w:val="20"/>
              </w:rPr>
              <w:t xml:space="preserve">.3 </w:t>
            </w:r>
          </w:p>
          <w:p w14:paraId="2653503B" w14:textId="034D7C49" w:rsidR="00DA36B6" w:rsidRPr="00AB605A" w:rsidRDefault="007D6FD2"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EC5BF0">
              <w:rPr>
                <w:noProof/>
                <w:sz w:val="16"/>
                <w:szCs w:val="16"/>
              </w:rPr>
              <w:t>[</w:t>
            </w:r>
            <w:r>
              <w:rPr>
                <w:noProof/>
                <w:sz w:val="16"/>
                <w:szCs w:val="16"/>
              </w:rPr>
              <w:t>15.4</w:t>
            </w:r>
            <w:r w:rsidRPr="00EC5BF0">
              <w:rPr>
                <w:noProof/>
                <w:sz w:val="16"/>
                <w:szCs w:val="16"/>
              </w:rPr>
              <w:t xml:space="preserve"> – 1</w:t>
            </w:r>
            <w:r>
              <w:rPr>
                <w:noProof/>
                <w:sz w:val="16"/>
                <w:szCs w:val="16"/>
              </w:rPr>
              <w:t>18</w:t>
            </w:r>
            <w:r w:rsidRPr="00EC5BF0">
              <w:rPr>
                <w:noProof/>
                <w:sz w:val="16"/>
                <w:szCs w:val="16"/>
              </w:rPr>
              <w:t>.8]</w:t>
            </w:r>
          </w:p>
        </w:tc>
        <w:tc>
          <w:tcPr>
            <w:tcW w:w="1688" w:type="pct"/>
            <w:shd w:val="clear" w:color="auto" w:fill="FFFFFF" w:themeFill="background1"/>
          </w:tcPr>
          <w:p w14:paraId="6296A71E" w14:textId="22ABFD71"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PM18 generates net cost savings in both min and max scenarios, with benefits increasing significantly under the latter. The</w:t>
            </w:r>
            <w:r w:rsidRPr="00F662E8">
              <w:rPr>
                <w:noProof/>
                <w:sz w:val="20"/>
                <w:szCs w:val="20"/>
              </w:rPr>
              <w:t xml:space="preserve"> large dispersion (≥100%) reflects strong sensitivity to assumptions.</w:t>
            </w:r>
            <w:r w:rsidDel="00F662E8">
              <w:rPr>
                <w:noProof/>
                <w:sz w:val="20"/>
                <w:szCs w:val="20"/>
              </w:rPr>
              <w:t xml:space="preserve"> </w:t>
            </w:r>
            <w:r>
              <w:rPr>
                <w:noProof/>
                <w:sz w:val="20"/>
                <w:szCs w:val="20"/>
              </w:rPr>
              <w:t xml:space="preserve">Despite this, it consistently delivers a positive impact and becomes more efficient as cost savings scale. </w:t>
            </w:r>
          </w:p>
        </w:tc>
      </w:tr>
      <w:tr w:rsidR="00960E98" w:rsidRPr="00DB2D19" w14:paraId="72DAAD87"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556A052C" w14:textId="10F7BDC9" w:rsidR="00DA36B6" w:rsidRPr="00655938" w:rsidRDefault="00DA36B6" w:rsidP="00DA36B6">
            <w:pPr>
              <w:spacing w:after="0"/>
              <w:jc w:val="left"/>
              <w:rPr>
                <w:noProof/>
                <w:sz w:val="20"/>
                <w:szCs w:val="20"/>
                <w:lang w:val="en-IE"/>
              </w:rPr>
            </w:pPr>
            <w:r w:rsidRPr="00D51D19">
              <w:rPr>
                <w:noProof/>
                <w:sz w:val="20"/>
                <w:szCs w:val="20"/>
                <w:lang w:val="en-IE"/>
              </w:rPr>
              <w:t xml:space="preserve">PM19: </w:t>
            </w:r>
            <w:r w:rsidR="00697750" w:rsidRPr="00697750">
              <w:rPr>
                <w:noProof/>
                <w:sz w:val="20"/>
                <w:szCs w:val="20"/>
                <w:lang w:val="en-IE"/>
              </w:rPr>
              <w:t>Mandatory specific award criteria for the procurement of cloud and AI computing services</w:t>
            </w:r>
          </w:p>
        </w:tc>
        <w:tc>
          <w:tcPr>
            <w:tcW w:w="1674" w:type="pct"/>
            <w:shd w:val="clear" w:color="auto" w:fill="FFFFFF" w:themeFill="background1"/>
          </w:tcPr>
          <w:p w14:paraId="40859ED9" w14:textId="4C141726"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w:t>
            </w:r>
            <w:r w:rsidRPr="003A78EF">
              <w:rPr>
                <w:noProof/>
                <w:sz w:val="20"/>
                <w:szCs w:val="20"/>
              </w:rPr>
              <w:t xml:space="preserve"> of services audited on a yearly basis </w:t>
            </w:r>
            <w:r>
              <w:rPr>
                <w:noProof/>
                <w:sz w:val="20"/>
                <w:szCs w:val="20"/>
              </w:rPr>
              <w:t>(</w:t>
            </w:r>
            <w:r w:rsidRPr="003A78EF">
              <w:rPr>
                <w:noProof/>
                <w:sz w:val="20"/>
                <w:szCs w:val="20"/>
              </w:rPr>
              <w:t>NUTS 0</w:t>
            </w:r>
            <w:r>
              <w:rPr>
                <w:noProof/>
                <w:sz w:val="20"/>
                <w:szCs w:val="20"/>
              </w:rPr>
              <w:t>:</w:t>
            </w:r>
            <w:r w:rsidRPr="003A78EF">
              <w:rPr>
                <w:noProof/>
                <w:sz w:val="20"/>
                <w:szCs w:val="20"/>
              </w:rPr>
              <w:t>100</w:t>
            </w:r>
            <w:r>
              <w:rPr>
                <w:noProof/>
                <w:sz w:val="20"/>
                <w:szCs w:val="20"/>
              </w:rPr>
              <w:t>-</w:t>
            </w:r>
            <w:r w:rsidRPr="003A78EF">
              <w:rPr>
                <w:noProof/>
                <w:sz w:val="20"/>
                <w:szCs w:val="20"/>
              </w:rPr>
              <w:t xml:space="preserve"> 500; NUTS 1</w:t>
            </w:r>
            <w:r>
              <w:rPr>
                <w:noProof/>
                <w:sz w:val="20"/>
                <w:szCs w:val="20"/>
              </w:rPr>
              <w:t>:</w:t>
            </w:r>
            <w:r w:rsidRPr="003A78EF">
              <w:rPr>
                <w:noProof/>
                <w:sz w:val="20"/>
                <w:szCs w:val="20"/>
              </w:rPr>
              <w:t xml:space="preserve"> 50</w:t>
            </w:r>
            <w:r>
              <w:rPr>
                <w:noProof/>
                <w:sz w:val="20"/>
                <w:szCs w:val="20"/>
              </w:rPr>
              <w:t>-</w:t>
            </w:r>
            <w:r w:rsidRPr="003A78EF">
              <w:rPr>
                <w:noProof/>
                <w:sz w:val="20"/>
                <w:szCs w:val="20"/>
              </w:rPr>
              <w:t>150; NUTS 2</w:t>
            </w:r>
            <w:r>
              <w:rPr>
                <w:noProof/>
                <w:sz w:val="20"/>
                <w:szCs w:val="20"/>
              </w:rPr>
              <w:t xml:space="preserve">: </w:t>
            </w:r>
            <w:r w:rsidRPr="003A78EF">
              <w:rPr>
                <w:noProof/>
                <w:sz w:val="20"/>
                <w:szCs w:val="20"/>
              </w:rPr>
              <w:t>50</w:t>
            </w:r>
            <w:r>
              <w:rPr>
                <w:noProof/>
                <w:sz w:val="20"/>
                <w:szCs w:val="20"/>
              </w:rPr>
              <w:t>-</w:t>
            </w:r>
            <w:r w:rsidRPr="003A78EF">
              <w:rPr>
                <w:noProof/>
                <w:sz w:val="20"/>
                <w:szCs w:val="20"/>
              </w:rPr>
              <w:t>150; NUTS 3</w:t>
            </w:r>
            <w:r>
              <w:rPr>
                <w:noProof/>
                <w:sz w:val="20"/>
                <w:szCs w:val="20"/>
              </w:rPr>
              <w:t>:</w:t>
            </w:r>
            <w:r w:rsidRPr="003A78EF">
              <w:rPr>
                <w:noProof/>
                <w:sz w:val="20"/>
                <w:szCs w:val="20"/>
              </w:rPr>
              <w:t xml:space="preserve"> 20</w:t>
            </w:r>
            <w:r>
              <w:rPr>
                <w:noProof/>
                <w:sz w:val="20"/>
                <w:szCs w:val="20"/>
              </w:rPr>
              <w:t>-</w:t>
            </w:r>
            <w:r w:rsidRPr="003A78EF">
              <w:rPr>
                <w:noProof/>
                <w:sz w:val="20"/>
                <w:szCs w:val="20"/>
              </w:rPr>
              <w:t>30</w:t>
            </w:r>
            <w:r>
              <w:rPr>
                <w:noProof/>
                <w:sz w:val="20"/>
                <w:szCs w:val="20"/>
              </w:rPr>
              <w:t xml:space="preserve">; </w:t>
            </w:r>
            <w:r w:rsidRPr="003A78EF">
              <w:rPr>
                <w:noProof/>
                <w:sz w:val="20"/>
                <w:szCs w:val="20"/>
              </w:rPr>
              <w:t>min 220 services</w:t>
            </w:r>
            <w:r>
              <w:rPr>
                <w:noProof/>
                <w:sz w:val="20"/>
                <w:szCs w:val="20"/>
              </w:rPr>
              <w:t xml:space="preserve"> </w:t>
            </w:r>
            <w:r w:rsidRPr="003A78EF">
              <w:rPr>
                <w:noProof/>
                <w:sz w:val="20"/>
                <w:szCs w:val="20"/>
              </w:rPr>
              <w:t>and max 830</w:t>
            </w:r>
            <w:r>
              <w:rPr>
                <w:noProof/>
                <w:sz w:val="20"/>
                <w:szCs w:val="20"/>
              </w:rPr>
              <w:t>)</w:t>
            </w:r>
          </w:p>
          <w:p w14:paraId="5F554525" w14:textId="73BF9069"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No. </w:t>
            </w:r>
            <w:r w:rsidRPr="003A78EF">
              <w:rPr>
                <w:noProof/>
                <w:sz w:val="20"/>
                <w:szCs w:val="20"/>
              </w:rPr>
              <w:t xml:space="preserve">of hours saved due to automated dependency analysis per year </w:t>
            </w:r>
            <w:r>
              <w:rPr>
                <w:noProof/>
                <w:sz w:val="20"/>
                <w:szCs w:val="20"/>
              </w:rPr>
              <w:t>(</w:t>
            </w:r>
            <w:r w:rsidRPr="003A78EF">
              <w:rPr>
                <w:noProof/>
                <w:sz w:val="20"/>
                <w:szCs w:val="20"/>
              </w:rPr>
              <w:t xml:space="preserve">5 </w:t>
            </w:r>
            <w:r>
              <w:rPr>
                <w:noProof/>
                <w:sz w:val="20"/>
                <w:szCs w:val="20"/>
              </w:rPr>
              <w:t>-</w:t>
            </w:r>
            <w:r w:rsidRPr="003A78EF">
              <w:rPr>
                <w:noProof/>
                <w:sz w:val="20"/>
                <w:szCs w:val="20"/>
              </w:rPr>
              <w:t xml:space="preserve"> 300 hours</w:t>
            </w:r>
            <w:r>
              <w:rPr>
                <w:noProof/>
                <w:sz w:val="20"/>
                <w:szCs w:val="20"/>
              </w:rPr>
              <w:t>)</w:t>
            </w:r>
          </w:p>
        </w:tc>
        <w:tc>
          <w:tcPr>
            <w:tcW w:w="717" w:type="pct"/>
            <w:shd w:val="clear" w:color="auto" w:fill="FFFFFF" w:themeFill="background1"/>
            <w:vAlign w:val="center"/>
          </w:tcPr>
          <w:p w14:paraId="21A97694" w14:textId="77777777" w:rsidR="00243122" w:rsidRPr="00162A87" w:rsidRDefault="00243122" w:rsidP="00243122">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162A87">
              <w:rPr>
                <w:noProof/>
                <w:sz w:val="20"/>
                <w:szCs w:val="20"/>
              </w:rPr>
              <w:t>- 15</w:t>
            </w:r>
            <w:r>
              <w:rPr>
                <w:noProof/>
                <w:sz w:val="20"/>
                <w:szCs w:val="20"/>
              </w:rPr>
              <w:t>2</w:t>
            </w:r>
            <w:r w:rsidRPr="00162A87">
              <w:rPr>
                <w:noProof/>
                <w:sz w:val="20"/>
                <w:szCs w:val="20"/>
              </w:rPr>
              <w:t>.</w:t>
            </w:r>
            <w:r>
              <w:rPr>
                <w:noProof/>
                <w:sz w:val="20"/>
                <w:szCs w:val="20"/>
              </w:rPr>
              <w:t>6</w:t>
            </w:r>
          </w:p>
          <w:p w14:paraId="3879EEC8" w14:textId="6C1B56DF" w:rsidR="00DA36B6" w:rsidRDefault="00243122"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162A87">
              <w:rPr>
                <w:noProof/>
                <w:sz w:val="16"/>
                <w:szCs w:val="16"/>
              </w:rPr>
              <w:t>[-</w:t>
            </w:r>
            <w:r>
              <w:rPr>
                <w:noProof/>
                <w:sz w:val="16"/>
                <w:szCs w:val="16"/>
              </w:rPr>
              <w:t>100.0</w:t>
            </w:r>
            <w:r w:rsidRPr="00162A87">
              <w:rPr>
                <w:noProof/>
                <w:sz w:val="16"/>
                <w:szCs w:val="16"/>
              </w:rPr>
              <w:t xml:space="preserve"> – - 213.0]</w:t>
            </w:r>
          </w:p>
        </w:tc>
        <w:tc>
          <w:tcPr>
            <w:tcW w:w="1688" w:type="pct"/>
            <w:shd w:val="clear" w:color="auto" w:fill="FFFFFF" w:themeFill="background1"/>
          </w:tcPr>
          <w:p w14:paraId="7F2CC050" w14:textId="4E5D8F3E"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PM19 shows </w:t>
            </w:r>
            <w:r w:rsidR="00CA6703">
              <w:rPr>
                <w:noProof/>
                <w:sz w:val="20"/>
                <w:szCs w:val="20"/>
              </w:rPr>
              <w:t>net costs</w:t>
            </w:r>
            <w:r>
              <w:rPr>
                <w:noProof/>
                <w:sz w:val="20"/>
                <w:szCs w:val="20"/>
              </w:rPr>
              <w:t xml:space="preserve"> across </w:t>
            </w:r>
            <w:r w:rsidR="0026463A">
              <w:rPr>
                <w:noProof/>
                <w:sz w:val="20"/>
                <w:szCs w:val="20"/>
              </w:rPr>
              <w:t xml:space="preserve">scenarios with medium-low variability. </w:t>
            </w:r>
            <w:r w:rsidR="00CA6703">
              <w:rPr>
                <w:noProof/>
                <w:sz w:val="20"/>
                <w:szCs w:val="20"/>
              </w:rPr>
              <w:t xml:space="preserve"> </w:t>
            </w:r>
          </w:p>
        </w:tc>
      </w:tr>
      <w:tr w:rsidR="00960E98" w:rsidRPr="00DB2D19" w14:paraId="2F7D177B"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0BE117BA" w14:textId="50DB74B2" w:rsidR="00DA36B6" w:rsidRPr="00DF0191" w:rsidRDefault="00DA36B6" w:rsidP="00DA36B6">
            <w:pPr>
              <w:spacing w:after="0"/>
              <w:jc w:val="left"/>
              <w:rPr>
                <w:noProof/>
                <w:sz w:val="20"/>
                <w:szCs w:val="20"/>
              </w:rPr>
            </w:pPr>
            <w:r w:rsidRPr="00DF0191">
              <w:rPr>
                <w:noProof/>
                <w:sz w:val="20"/>
                <w:szCs w:val="20"/>
              </w:rPr>
              <w:t>PM20</w:t>
            </w:r>
            <w:r>
              <w:rPr>
                <w:noProof/>
                <w:sz w:val="20"/>
                <w:szCs w:val="20"/>
              </w:rPr>
              <w:t xml:space="preserve">: </w:t>
            </w:r>
            <w:r w:rsidRPr="00655938">
              <w:rPr>
                <w:b w:val="0"/>
                <w:bCs w:val="0"/>
                <w:noProof/>
                <w:sz w:val="20"/>
                <w:szCs w:val="20"/>
              </w:rPr>
              <w:t>Boosting open source in public administrations</w:t>
            </w:r>
            <w:r>
              <w:rPr>
                <w:noProof/>
                <w:sz w:val="20"/>
                <w:szCs w:val="20"/>
              </w:rPr>
              <w:t xml:space="preserve"> </w:t>
            </w:r>
          </w:p>
        </w:tc>
        <w:tc>
          <w:tcPr>
            <w:tcW w:w="1674" w:type="pct"/>
            <w:shd w:val="clear" w:color="auto" w:fill="FFFFFF" w:themeFill="background1"/>
          </w:tcPr>
          <w:p w14:paraId="7DCCCD86"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No. of </w:t>
            </w:r>
            <w:r w:rsidRPr="00700EA4">
              <w:rPr>
                <w:noProof/>
                <w:sz w:val="20"/>
                <w:szCs w:val="20"/>
              </w:rPr>
              <w:t xml:space="preserve">initial repositories that MS put in place </w:t>
            </w:r>
            <w:r>
              <w:rPr>
                <w:noProof/>
                <w:sz w:val="20"/>
                <w:szCs w:val="20"/>
              </w:rPr>
              <w:t>(</w:t>
            </w:r>
            <w:r w:rsidRPr="00700EA4">
              <w:rPr>
                <w:noProof/>
                <w:sz w:val="20"/>
                <w:szCs w:val="20"/>
              </w:rPr>
              <w:t xml:space="preserve">5 </w:t>
            </w:r>
            <w:r>
              <w:rPr>
                <w:noProof/>
                <w:sz w:val="20"/>
                <w:szCs w:val="20"/>
              </w:rPr>
              <w:t xml:space="preserve">– </w:t>
            </w:r>
            <w:r w:rsidRPr="00700EA4">
              <w:rPr>
                <w:noProof/>
                <w:sz w:val="20"/>
                <w:szCs w:val="20"/>
              </w:rPr>
              <w:t>25</w:t>
            </w:r>
            <w:r>
              <w:rPr>
                <w:noProof/>
                <w:sz w:val="20"/>
                <w:szCs w:val="20"/>
              </w:rPr>
              <w:t>)</w:t>
            </w:r>
          </w:p>
          <w:p w14:paraId="37FC403E"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w:t>
            </w:r>
            <w:r w:rsidRPr="00700EA4">
              <w:rPr>
                <w:noProof/>
                <w:sz w:val="20"/>
                <w:szCs w:val="20"/>
              </w:rPr>
              <w:t>ffort to maintain and govern repositories</w:t>
            </w:r>
            <w:r>
              <w:rPr>
                <w:noProof/>
                <w:sz w:val="20"/>
                <w:szCs w:val="20"/>
              </w:rPr>
              <w:t xml:space="preserve"> (</w:t>
            </w:r>
            <w:r w:rsidRPr="00700EA4">
              <w:rPr>
                <w:noProof/>
                <w:sz w:val="20"/>
                <w:szCs w:val="20"/>
              </w:rPr>
              <w:t xml:space="preserve">0.6 </w:t>
            </w:r>
            <w:r>
              <w:rPr>
                <w:noProof/>
                <w:sz w:val="20"/>
                <w:szCs w:val="20"/>
              </w:rPr>
              <w:t>-</w:t>
            </w:r>
            <w:r w:rsidRPr="00700EA4">
              <w:rPr>
                <w:noProof/>
                <w:sz w:val="20"/>
                <w:szCs w:val="20"/>
              </w:rPr>
              <w:t xml:space="preserve"> 1.2 FTE</w:t>
            </w:r>
            <w:r>
              <w:rPr>
                <w:noProof/>
                <w:sz w:val="20"/>
                <w:szCs w:val="20"/>
              </w:rPr>
              <w:t>)</w:t>
            </w:r>
          </w:p>
          <w:p w14:paraId="35D89D7F" w14:textId="4961ECE2"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700EA4">
              <w:rPr>
                <w:noProof/>
                <w:sz w:val="20"/>
                <w:szCs w:val="20"/>
              </w:rPr>
              <w:t>osts to set up the OSPOs</w:t>
            </w:r>
            <w:r>
              <w:rPr>
                <w:noProof/>
                <w:sz w:val="20"/>
                <w:szCs w:val="20"/>
              </w:rPr>
              <w:t xml:space="preserve"> (</w:t>
            </w:r>
            <w:r w:rsidRPr="00700EA4">
              <w:rPr>
                <w:noProof/>
                <w:sz w:val="20"/>
                <w:szCs w:val="20"/>
              </w:rPr>
              <w:t>EUR 2m</w:t>
            </w:r>
            <w:r>
              <w:rPr>
                <w:noProof/>
                <w:sz w:val="20"/>
                <w:szCs w:val="20"/>
              </w:rPr>
              <w:t>-</w:t>
            </w:r>
            <w:r w:rsidRPr="00700EA4">
              <w:rPr>
                <w:noProof/>
                <w:sz w:val="20"/>
                <w:szCs w:val="20"/>
              </w:rPr>
              <w:t>3m</w:t>
            </w:r>
            <w:r>
              <w:rPr>
                <w:noProof/>
                <w:sz w:val="20"/>
                <w:szCs w:val="20"/>
              </w:rPr>
              <w:t xml:space="preserve">) </w:t>
            </w:r>
          </w:p>
          <w:p w14:paraId="2F526713" w14:textId="77777777"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700EA4">
              <w:rPr>
                <w:noProof/>
                <w:sz w:val="20"/>
                <w:szCs w:val="20"/>
              </w:rPr>
              <w:t>osts to maintain the OSPOs</w:t>
            </w:r>
            <w:r>
              <w:rPr>
                <w:noProof/>
                <w:sz w:val="20"/>
                <w:szCs w:val="20"/>
              </w:rPr>
              <w:t xml:space="preserve"> (</w:t>
            </w:r>
            <w:r w:rsidRPr="00700EA4">
              <w:rPr>
                <w:noProof/>
                <w:sz w:val="20"/>
                <w:szCs w:val="20"/>
              </w:rPr>
              <w:t>EUR 8m</w:t>
            </w:r>
            <w:r>
              <w:rPr>
                <w:noProof/>
                <w:sz w:val="20"/>
                <w:szCs w:val="20"/>
              </w:rPr>
              <w:t>-</w:t>
            </w:r>
            <w:r w:rsidRPr="00700EA4">
              <w:rPr>
                <w:noProof/>
                <w:sz w:val="20"/>
                <w:szCs w:val="20"/>
              </w:rPr>
              <w:t>28m</w:t>
            </w:r>
            <w:r>
              <w:rPr>
                <w:noProof/>
                <w:sz w:val="20"/>
                <w:szCs w:val="20"/>
              </w:rPr>
              <w:t>)</w:t>
            </w:r>
          </w:p>
          <w:p w14:paraId="48C1A224" w14:textId="580885BD"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w:t>
            </w:r>
            <w:r w:rsidRPr="00700EA4">
              <w:rPr>
                <w:noProof/>
                <w:sz w:val="20"/>
                <w:szCs w:val="20"/>
              </w:rPr>
              <w:t>ffort of OS projects developed in the public administrations</w:t>
            </w:r>
            <w:r>
              <w:rPr>
                <w:noProof/>
                <w:sz w:val="20"/>
                <w:szCs w:val="20"/>
              </w:rPr>
              <w:t xml:space="preserve"> (</w:t>
            </w:r>
            <w:r w:rsidRPr="00700EA4">
              <w:rPr>
                <w:noProof/>
                <w:sz w:val="20"/>
                <w:szCs w:val="20"/>
              </w:rPr>
              <w:t>2</w:t>
            </w:r>
            <w:r>
              <w:rPr>
                <w:noProof/>
                <w:sz w:val="20"/>
                <w:szCs w:val="20"/>
              </w:rPr>
              <w:t>-</w:t>
            </w:r>
            <w:r w:rsidRPr="00700EA4">
              <w:rPr>
                <w:noProof/>
                <w:sz w:val="20"/>
                <w:szCs w:val="20"/>
              </w:rPr>
              <w:t>5 FTEs</w:t>
            </w:r>
            <w:r>
              <w:rPr>
                <w:noProof/>
                <w:sz w:val="20"/>
                <w:szCs w:val="20"/>
              </w:rPr>
              <w:t>)</w:t>
            </w:r>
          </w:p>
          <w:p w14:paraId="17B64E6D" w14:textId="41D81511"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700EA4">
              <w:rPr>
                <w:noProof/>
                <w:sz w:val="20"/>
                <w:szCs w:val="20"/>
              </w:rPr>
              <w:t xml:space="preserve">ontract values of OS projects developed for the public administrations </w:t>
            </w:r>
            <w:r>
              <w:rPr>
                <w:noProof/>
                <w:sz w:val="20"/>
                <w:szCs w:val="20"/>
              </w:rPr>
              <w:t>(</w:t>
            </w:r>
            <w:r w:rsidRPr="00700EA4">
              <w:rPr>
                <w:noProof/>
                <w:sz w:val="20"/>
                <w:szCs w:val="20"/>
              </w:rPr>
              <w:t>EUR 400 000</w:t>
            </w:r>
            <w:r>
              <w:rPr>
                <w:noProof/>
                <w:sz w:val="20"/>
                <w:szCs w:val="20"/>
              </w:rPr>
              <w:t>-</w:t>
            </w:r>
            <w:r w:rsidRPr="00700EA4">
              <w:rPr>
                <w:noProof/>
                <w:sz w:val="20"/>
                <w:szCs w:val="20"/>
              </w:rPr>
              <w:t>600 000</w:t>
            </w:r>
            <w:r>
              <w:rPr>
                <w:noProof/>
                <w:sz w:val="20"/>
                <w:szCs w:val="20"/>
              </w:rPr>
              <w:t>)</w:t>
            </w:r>
          </w:p>
          <w:p w14:paraId="5557F5D6" w14:textId="490D56C0"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Savings </w:t>
            </w:r>
            <w:r w:rsidRPr="00700EA4">
              <w:rPr>
                <w:noProof/>
                <w:sz w:val="20"/>
                <w:szCs w:val="20"/>
              </w:rPr>
              <w:t xml:space="preserve">for not duplicating software, </w:t>
            </w:r>
            <w:r>
              <w:rPr>
                <w:noProof/>
                <w:sz w:val="20"/>
                <w:szCs w:val="20"/>
              </w:rPr>
              <w:t>(</w:t>
            </w:r>
            <w:r w:rsidRPr="00700EA4">
              <w:rPr>
                <w:noProof/>
                <w:sz w:val="20"/>
                <w:szCs w:val="20"/>
              </w:rPr>
              <w:t xml:space="preserve">EUR 80 000 </w:t>
            </w:r>
            <w:r>
              <w:rPr>
                <w:noProof/>
                <w:sz w:val="20"/>
                <w:szCs w:val="20"/>
              </w:rPr>
              <w:t>–</w:t>
            </w:r>
            <w:r w:rsidRPr="00700EA4">
              <w:rPr>
                <w:noProof/>
                <w:sz w:val="20"/>
                <w:szCs w:val="20"/>
              </w:rPr>
              <w:t xml:space="preserve"> 450</w:t>
            </w:r>
            <w:r>
              <w:rPr>
                <w:noProof/>
                <w:sz w:val="20"/>
                <w:szCs w:val="20"/>
              </w:rPr>
              <w:t xml:space="preserve"> </w:t>
            </w:r>
            <w:r w:rsidRPr="00700EA4">
              <w:rPr>
                <w:noProof/>
                <w:sz w:val="20"/>
                <w:szCs w:val="20"/>
              </w:rPr>
              <w:t>000</w:t>
            </w:r>
            <w:r>
              <w:rPr>
                <w:noProof/>
                <w:sz w:val="20"/>
                <w:szCs w:val="20"/>
              </w:rPr>
              <w:t>)</w:t>
            </w:r>
          </w:p>
        </w:tc>
        <w:tc>
          <w:tcPr>
            <w:tcW w:w="717" w:type="pct"/>
            <w:shd w:val="clear" w:color="auto" w:fill="FFFFFF" w:themeFill="background1"/>
            <w:vAlign w:val="center"/>
          </w:tcPr>
          <w:p w14:paraId="1615A819" w14:textId="77777777" w:rsidR="000C2889" w:rsidRDefault="000C2889" w:rsidP="000C2889">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3 387.5</w:t>
            </w:r>
          </w:p>
          <w:p w14:paraId="61B501B1" w14:textId="6CC4EB9B" w:rsidR="00DA36B6" w:rsidRPr="00595C9A" w:rsidRDefault="000C2889"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EC5BF0">
              <w:rPr>
                <w:noProof/>
                <w:sz w:val="16"/>
                <w:szCs w:val="16"/>
              </w:rPr>
              <w:t>[</w:t>
            </w:r>
            <w:r>
              <w:rPr>
                <w:noProof/>
                <w:sz w:val="16"/>
                <w:szCs w:val="16"/>
              </w:rPr>
              <w:t>478.9</w:t>
            </w:r>
            <w:r w:rsidRPr="00EC5BF0">
              <w:rPr>
                <w:noProof/>
                <w:sz w:val="16"/>
                <w:szCs w:val="16"/>
              </w:rPr>
              <w:t xml:space="preserve"> –</w:t>
            </w:r>
            <w:r>
              <w:rPr>
                <w:noProof/>
                <w:sz w:val="16"/>
                <w:szCs w:val="16"/>
              </w:rPr>
              <w:t xml:space="preserve"> 9 172.5</w:t>
            </w:r>
            <w:r w:rsidRPr="00EC5BF0">
              <w:rPr>
                <w:noProof/>
                <w:sz w:val="16"/>
                <w:szCs w:val="16"/>
              </w:rPr>
              <w:t>]</w:t>
            </w:r>
          </w:p>
        </w:tc>
        <w:tc>
          <w:tcPr>
            <w:tcW w:w="1688" w:type="pct"/>
            <w:shd w:val="clear" w:color="auto" w:fill="FFFFFF" w:themeFill="background1"/>
          </w:tcPr>
          <w:p w14:paraId="34475463" w14:textId="008E723D"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PM20 produces substantial net savings across all scenarios, making it one of the highest impact measures. Given the increase in savings from the min to the max scenario, the PM can be considered highly sensitive to the underlying assumptions.</w:t>
            </w:r>
            <w:r w:rsidRPr="00AD4DC8">
              <w:rPr>
                <w:noProof/>
              </w:rPr>
              <w:t xml:space="preserve"> </w:t>
            </w:r>
            <w:r>
              <w:rPr>
                <w:noProof/>
                <w:sz w:val="20"/>
                <w:szCs w:val="20"/>
              </w:rPr>
              <w:t>Indeed,</w:t>
            </w:r>
            <w:r w:rsidRPr="00AD4DC8">
              <w:rPr>
                <w:noProof/>
                <w:sz w:val="20"/>
                <w:szCs w:val="20"/>
              </w:rPr>
              <w:t xml:space="preserve"> extreme sensitivity to assumptions significantly weakens confidence in both magnitude and stability.</w:t>
            </w:r>
            <w:r>
              <w:rPr>
                <w:noProof/>
                <w:sz w:val="20"/>
                <w:szCs w:val="20"/>
              </w:rPr>
              <w:t xml:space="preserve"> Despite this large variation, it remains a robust measure generating net savings even under conservative assumptions. </w:t>
            </w:r>
          </w:p>
        </w:tc>
      </w:tr>
      <w:tr w:rsidR="00960E98" w:rsidRPr="00DB2D19" w14:paraId="3A8A80EA"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33571C4F" w14:textId="7032BFAF" w:rsidR="00DA36B6" w:rsidRPr="00DF0191" w:rsidRDefault="00DA36B6" w:rsidP="00DA36B6">
            <w:pPr>
              <w:spacing w:after="0"/>
              <w:jc w:val="left"/>
              <w:rPr>
                <w:noProof/>
                <w:sz w:val="20"/>
                <w:szCs w:val="20"/>
              </w:rPr>
            </w:pPr>
            <w:r w:rsidRPr="00DF0191">
              <w:rPr>
                <w:noProof/>
                <w:sz w:val="20"/>
                <w:szCs w:val="20"/>
              </w:rPr>
              <w:t>PM21</w:t>
            </w:r>
            <w:r>
              <w:rPr>
                <w:noProof/>
                <w:sz w:val="20"/>
                <w:szCs w:val="20"/>
              </w:rPr>
              <w:t xml:space="preserve">: </w:t>
            </w:r>
            <w:r w:rsidRPr="000B2446">
              <w:rPr>
                <w:b w:val="0"/>
                <w:bCs w:val="0"/>
                <w:noProof/>
                <w:sz w:val="20"/>
                <w:szCs w:val="20"/>
              </w:rPr>
              <w:t xml:space="preserve">Mandatory </w:t>
            </w:r>
            <w:r w:rsidR="00AE5A96">
              <w:rPr>
                <w:b w:val="0"/>
                <w:bCs w:val="0"/>
                <w:noProof/>
                <w:sz w:val="20"/>
                <w:szCs w:val="20"/>
              </w:rPr>
              <w:t>sovereignty risk assess</w:t>
            </w:r>
            <w:r w:rsidR="00697750">
              <w:rPr>
                <w:b w:val="0"/>
                <w:bCs w:val="0"/>
                <w:noProof/>
                <w:sz w:val="20"/>
                <w:szCs w:val="20"/>
              </w:rPr>
              <w:t>ments for the use of cloud and AI computing services</w:t>
            </w:r>
            <w:r>
              <w:rPr>
                <w:noProof/>
                <w:sz w:val="20"/>
                <w:szCs w:val="20"/>
              </w:rPr>
              <w:t xml:space="preserve"> </w:t>
            </w:r>
            <w:r w:rsidR="006F624C">
              <w:rPr>
                <w:b w:val="0"/>
                <w:bCs w:val="0"/>
                <w:noProof/>
                <w:sz w:val="20"/>
                <w:szCs w:val="20"/>
              </w:rPr>
              <w:t>in the public sector</w:t>
            </w:r>
          </w:p>
        </w:tc>
        <w:tc>
          <w:tcPr>
            <w:tcW w:w="1674" w:type="pct"/>
            <w:shd w:val="clear" w:color="auto" w:fill="FFFFFF" w:themeFill="background1"/>
          </w:tcPr>
          <w:p w14:paraId="6F6D1254" w14:textId="569FF1C1"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E</w:t>
            </w:r>
            <w:r w:rsidRPr="009B67A5">
              <w:rPr>
                <w:noProof/>
                <w:sz w:val="20"/>
                <w:szCs w:val="20"/>
              </w:rPr>
              <w:t>ffort to obtain the a</w:t>
            </w:r>
            <w:r w:rsidR="00A34E51">
              <w:rPr>
                <w:noProof/>
                <w:sz w:val="20"/>
                <w:szCs w:val="20"/>
              </w:rPr>
              <w:t>udit</w:t>
            </w:r>
          </w:p>
          <w:p w14:paraId="7DEF6AEF" w14:textId="3808D78F"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w:t>
            </w:r>
            <w:r w:rsidRPr="009B67A5">
              <w:rPr>
                <w:noProof/>
                <w:sz w:val="20"/>
                <w:szCs w:val="20"/>
              </w:rPr>
              <w:t xml:space="preserve"> of MS where CSPs would seek the </w:t>
            </w:r>
            <w:r w:rsidR="00A34E51">
              <w:rPr>
                <w:noProof/>
                <w:sz w:val="20"/>
                <w:szCs w:val="20"/>
              </w:rPr>
              <w:t>audit/validation</w:t>
            </w:r>
            <w:r w:rsidRPr="009B67A5">
              <w:rPr>
                <w:noProof/>
                <w:sz w:val="20"/>
                <w:szCs w:val="20"/>
              </w:rPr>
              <w:t xml:space="preserve"> in the absence of a single market (</w:t>
            </w:r>
            <w:r>
              <w:rPr>
                <w:noProof/>
                <w:sz w:val="20"/>
                <w:szCs w:val="20"/>
              </w:rPr>
              <w:t>5-27)</w:t>
            </w:r>
          </w:p>
          <w:p w14:paraId="7A06E628" w14:textId="10C6FF19" w:rsidR="00DA36B6"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 xml:space="preserve">No. </w:t>
            </w:r>
            <w:r w:rsidRPr="009B67A5">
              <w:rPr>
                <w:noProof/>
                <w:sz w:val="20"/>
                <w:szCs w:val="20"/>
              </w:rPr>
              <w:t xml:space="preserve">of cloud and AI computing services in possession of the </w:t>
            </w:r>
            <w:r w:rsidR="00A34E51">
              <w:rPr>
                <w:noProof/>
                <w:sz w:val="20"/>
                <w:szCs w:val="20"/>
              </w:rPr>
              <w:t>audit</w:t>
            </w:r>
            <w:r w:rsidRPr="009B67A5">
              <w:rPr>
                <w:noProof/>
                <w:sz w:val="20"/>
                <w:szCs w:val="20"/>
              </w:rPr>
              <w:t xml:space="preserve"> </w:t>
            </w:r>
          </w:p>
          <w:p w14:paraId="2FE5C4DD" w14:textId="74E98A57" w:rsidR="00DA36B6" w:rsidRPr="003A1415"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No</w:t>
            </w:r>
            <w:r w:rsidRPr="009B67A5">
              <w:rPr>
                <w:noProof/>
                <w:sz w:val="20"/>
                <w:szCs w:val="20"/>
              </w:rPr>
              <w:t xml:space="preserve"> of submitted bids per year.</w:t>
            </w:r>
          </w:p>
        </w:tc>
        <w:tc>
          <w:tcPr>
            <w:tcW w:w="717" w:type="pct"/>
            <w:shd w:val="clear" w:color="auto" w:fill="FFFFFF" w:themeFill="background1"/>
            <w:vAlign w:val="center"/>
          </w:tcPr>
          <w:p w14:paraId="7108CA7E" w14:textId="77777777" w:rsidR="00E22D6D" w:rsidRPr="00FF0D9E" w:rsidRDefault="00E22D6D" w:rsidP="00E22D6D">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1 343.6</w:t>
            </w:r>
          </w:p>
          <w:p w14:paraId="78DA7F67" w14:textId="5CC615EB" w:rsidR="00DA36B6" w:rsidRPr="00270FB2" w:rsidRDefault="00E22D6D"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FF0D9E">
              <w:rPr>
                <w:noProof/>
                <w:sz w:val="16"/>
                <w:szCs w:val="16"/>
              </w:rPr>
              <w:t>[</w:t>
            </w:r>
            <w:r>
              <w:rPr>
                <w:noProof/>
                <w:sz w:val="16"/>
                <w:szCs w:val="16"/>
              </w:rPr>
              <w:t>838.6</w:t>
            </w:r>
            <w:r w:rsidRPr="00FF0D9E">
              <w:rPr>
                <w:noProof/>
                <w:sz w:val="16"/>
                <w:szCs w:val="16"/>
              </w:rPr>
              <w:t xml:space="preserve"> – </w:t>
            </w:r>
            <w:r>
              <w:rPr>
                <w:noProof/>
                <w:sz w:val="16"/>
                <w:szCs w:val="16"/>
              </w:rPr>
              <w:t>1699.4</w:t>
            </w:r>
            <w:r w:rsidRPr="00FF0D9E">
              <w:rPr>
                <w:noProof/>
                <w:sz w:val="16"/>
                <w:szCs w:val="16"/>
              </w:rPr>
              <w:t>]</w:t>
            </w:r>
          </w:p>
        </w:tc>
        <w:tc>
          <w:tcPr>
            <w:tcW w:w="1688" w:type="pct"/>
            <w:shd w:val="clear" w:color="auto" w:fill="FFFFFF" w:themeFill="background1"/>
          </w:tcPr>
          <w:p w14:paraId="14AFE255" w14:textId="73C12D41"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PM21 delivers consistent savings across all scenarios, with a modest level of sensitivity to the underlying assumptions. A</w:t>
            </w:r>
            <w:r w:rsidRPr="00BC27C8">
              <w:rPr>
                <w:noProof/>
                <w:sz w:val="20"/>
                <w:szCs w:val="20"/>
              </w:rPr>
              <w:t>ssumption-driven uncertainty above 50% implies moderate confidence in scale.</w:t>
            </w:r>
            <w:r>
              <w:rPr>
                <w:noProof/>
                <w:sz w:val="20"/>
                <w:szCs w:val="20"/>
              </w:rPr>
              <w:t xml:space="preserve"> </w:t>
            </w:r>
          </w:p>
        </w:tc>
      </w:tr>
      <w:tr w:rsidR="00960E98" w:rsidRPr="00DB2D19" w14:paraId="20372A0A" w14:textId="77777777" w:rsidTr="00E4294D">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0D38B80A" w14:textId="0A8C2C16" w:rsidR="00DA36B6" w:rsidRPr="00AD0EA5" w:rsidRDefault="00DA36B6" w:rsidP="00DA36B6">
            <w:pPr>
              <w:spacing w:after="0"/>
              <w:jc w:val="left"/>
              <w:rPr>
                <w:noProof/>
                <w:sz w:val="20"/>
                <w:szCs w:val="20"/>
                <w:highlight w:val="yellow"/>
              </w:rPr>
            </w:pPr>
            <w:r w:rsidRPr="006358BA">
              <w:rPr>
                <w:noProof/>
                <w:sz w:val="20"/>
                <w:szCs w:val="20"/>
              </w:rPr>
              <w:t xml:space="preserve">PM22: </w:t>
            </w:r>
            <w:r w:rsidRPr="006358BA">
              <w:rPr>
                <w:b w:val="0"/>
                <w:noProof/>
                <w:sz w:val="20"/>
                <w:szCs w:val="20"/>
              </w:rPr>
              <w:t>EU-level procurement of cloud and AI computing services</w:t>
            </w:r>
          </w:p>
        </w:tc>
        <w:tc>
          <w:tcPr>
            <w:tcW w:w="1674" w:type="pct"/>
            <w:shd w:val="clear" w:color="auto" w:fill="FFFFFF" w:themeFill="background1"/>
          </w:tcPr>
          <w:p w14:paraId="4DB10DE0" w14:textId="5D964BA0"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T</w:t>
            </w:r>
            <w:r w:rsidRPr="009B67A5">
              <w:rPr>
                <w:noProof/>
                <w:sz w:val="20"/>
                <w:szCs w:val="20"/>
              </w:rPr>
              <w:t>ime saved thanks to fewer coordination needs for national public authorities</w:t>
            </w:r>
            <w:r>
              <w:rPr>
                <w:noProof/>
                <w:sz w:val="20"/>
                <w:szCs w:val="20"/>
              </w:rPr>
              <w:t xml:space="preserve"> (0</w:t>
            </w:r>
            <w:r w:rsidRPr="009B67A5">
              <w:rPr>
                <w:noProof/>
                <w:sz w:val="20"/>
                <w:szCs w:val="20"/>
              </w:rPr>
              <w:t xml:space="preserve">.1 </w:t>
            </w:r>
            <w:r>
              <w:rPr>
                <w:noProof/>
                <w:sz w:val="20"/>
                <w:szCs w:val="20"/>
              </w:rPr>
              <w:t>-</w:t>
            </w:r>
            <w:r w:rsidRPr="009B67A5">
              <w:rPr>
                <w:noProof/>
                <w:sz w:val="20"/>
                <w:szCs w:val="20"/>
              </w:rPr>
              <w:t xml:space="preserve"> 0.5 FTEs</w:t>
            </w:r>
            <w:r>
              <w:rPr>
                <w:noProof/>
                <w:sz w:val="20"/>
                <w:szCs w:val="20"/>
              </w:rPr>
              <w:t>)</w:t>
            </w:r>
          </w:p>
          <w:p w14:paraId="1A9EB1E8" w14:textId="513B992E"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B67A5">
              <w:rPr>
                <w:noProof/>
                <w:sz w:val="20"/>
                <w:szCs w:val="20"/>
              </w:rPr>
              <w:t xml:space="preserve">FTEs saved thanks to joint procurement </w:t>
            </w:r>
            <w:r>
              <w:rPr>
                <w:noProof/>
                <w:sz w:val="20"/>
                <w:szCs w:val="20"/>
              </w:rPr>
              <w:t>(0</w:t>
            </w:r>
            <w:r w:rsidRPr="009B67A5">
              <w:rPr>
                <w:noProof/>
                <w:sz w:val="20"/>
                <w:szCs w:val="20"/>
              </w:rPr>
              <w:t xml:space="preserve">.1 </w:t>
            </w:r>
            <w:r>
              <w:rPr>
                <w:noProof/>
                <w:sz w:val="20"/>
                <w:szCs w:val="20"/>
              </w:rPr>
              <w:t>-</w:t>
            </w:r>
            <w:r w:rsidRPr="009B67A5">
              <w:rPr>
                <w:noProof/>
                <w:sz w:val="20"/>
                <w:szCs w:val="20"/>
              </w:rPr>
              <w:t xml:space="preserve"> 0.5 FTEs</w:t>
            </w:r>
            <w:r>
              <w:rPr>
                <w:noProof/>
                <w:sz w:val="20"/>
                <w:szCs w:val="20"/>
              </w:rPr>
              <w:t>)</w:t>
            </w:r>
          </w:p>
          <w:p w14:paraId="0DCCB4AF" w14:textId="6277037D" w:rsidR="00DA36B6"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B67A5">
              <w:rPr>
                <w:noProof/>
                <w:sz w:val="20"/>
                <w:szCs w:val="20"/>
              </w:rPr>
              <w:t xml:space="preserve">Savings in terms of effort incurred by participating PAs due to the possibility to aggregate demand and compose services </w:t>
            </w:r>
            <w:r>
              <w:rPr>
                <w:noProof/>
                <w:sz w:val="20"/>
                <w:szCs w:val="20"/>
              </w:rPr>
              <w:t>(0</w:t>
            </w:r>
            <w:r w:rsidRPr="009B67A5">
              <w:rPr>
                <w:noProof/>
                <w:sz w:val="20"/>
                <w:szCs w:val="20"/>
              </w:rPr>
              <w:t xml:space="preserve">.1 </w:t>
            </w:r>
            <w:r>
              <w:rPr>
                <w:noProof/>
                <w:sz w:val="20"/>
                <w:szCs w:val="20"/>
              </w:rPr>
              <w:t>-</w:t>
            </w:r>
            <w:r w:rsidRPr="009B67A5">
              <w:rPr>
                <w:noProof/>
                <w:sz w:val="20"/>
                <w:szCs w:val="20"/>
              </w:rPr>
              <w:t xml:space="preserve"> 0.5 FTEs</w:t>
            </w:r>
            <w:r>
              <w:rPr>
                <w:noProof/>
                <w:sz w:val="20"/>
                <w:szCs w:val="20"/>
              </w:rPr>
              <w:t>)</w:t>
            </w:r>
          </w:p>
          <w:p w14:paraId="53F9075C" w14:textId="4C1E6A1F" w:rsidR="00DA36B6" w:rsidRPr="00DB2D19" w:rsidRDefault="00DA36B6" w:rsidP="00DA36B6">
            <w:pPr>
              <w:pStyle w:val="ListParagraph"/>
              <w:numPr>
                <w:ilvl w:val="0"/>
                <w:numId w:val="76"/>
              </w:numPr>
              <w:spacing w:after="0"/>
              <w:ind w:left="185" w:hanging="185"/>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w:t>
            </w:r>
            <w:r w:rsidRPr="009B67A5">
              <w:rPr>
                <w:noProof/>
                <w:sz w:val="20"/>
                <w:szCs w:val="20"/>
              </w:rPr>
              <w:t xml:space="preserve">apacity shared by each MS with the federation </w:t>
            </w:r>
            <w:r>
              <w:rPr>
                <w:noProof/>
                <w:sz w:val="20"/>
                <w:szCs w:val="20"/>
              </w:rPr>
              <w:t>(</w:t>
            </w:r>
            <w:r w:rsidRPr="009B67A5">
              <w:rPr>
                <w:noProof/>
                <w:sz w:val="20"/>
                <w:szCs w:val="20"/>
              </w:rPr>
              <w:t xml:space="preserve">5% </w:t>
            </w:r>
            <w:r>
              <w:rPr>
                <w:noProof/>
                <w:sz w:val="20"/>
                <w:szCs w:val="20"/>
              </w:rPr>
              <w:t xml:space="preserve">- </w:t>
            </w:r>
            <w:r w:rsidRPr="009B67A5">
              <w:rPr>
                <w:noProof/>
                <w:sz w:val="20"/>
                <w:szCs w:val="20"/>
              </w:rPr>
              <w:t>15%</w:t>
            </w:r>
            <w:r>
              <w:rPr>
                <w:noProof/>
                <w:sz w:val="20"/>
                <w:szCs w:val="20"/>
              </w:rPr>
              <w:t>)</w:t>
            </w:r>
          </w:p>
        </w:tc>
        <w:tc>
          <w:tcPr>
            <w:tcW w:w="717" w:type="pct"/>
            <w:shd w:val="clear" w:color="auto" w:fill="FFFFFF" w:themeFill="background1"/>
            <w:vAlign w:val="center"/>
          </w:tcPr>
          <w:p w14:paraId="4D390679" w14:textId="77777777" w:rsidR="001318FB" w:rsidRPr="007B300F" w:rsidRDefault="001318FB" w:rsidP="001318FB">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7B300F">
              <w:rPr>
                <w:noProof/>
                <w:sz w:val="20"/>
                <w:szCs w:val="20"/>
              </w:rPr>
              <w:t xml:space="preserve">33 969.5 </w:t>
            </w:r>
          </w:p>
          <w:p w14:paraId="40B0631F" w14:textId="1C3E404E" w:rsidR="00DA36B6" w:rsidRPr="006A3E01" w:rsidRDefault="001318FB" w:rsidP="00DA36B6">
            <w:pPr>
              <w:spacing w:after="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7B300F">
              <w:rPr>
                <w:noProof/>
                <w:sz w:val="16"/>
                <w:szCs w:val="16"/>
              </w:rPr>
              <w:t>[18 940.9 – 48 998.2]</w:t>
            </w:r>
          </w:p>
        </w:tc>
        <w:tc>
          <w:tcPr>
            <w:tcW w:w="1688" w:type="pct"/>
            <w:shd w:val="clear" w:color="auto" w:fill="FFFFFF" w:themeFill="background1"/>
          </w:tcPr>
          <w:p w14:paraId="04287C5A" w14:textId="62D2F622" w:rsidR="00DA36B6" w:rsidRPr="00DB2D19" w:rsidRDefault="00DA36B6" w:rsidP="00DA36B6">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PM22 delivers large net cost savings across all scenarios. The increase from min to max indicates that the PM may be quite sensitive to the underlying assumptions. This </w:t>
            </w:r>
            <w:r w:rsidRPr="002913B8">
              <w:rPr>
                <w:noProof/>
                <w:sz w:val="20"/>
                <w:szCs w:val="20"/>
              </w:rPr>
              <w:t>large dispersion limits quantitative certainty</w:t>
            </w:r>
            <w:r>
              <w:rPr>
                <w:noProof/>
                <w:sz w:val="20"/>
                <w:szCs w:val="20"/>
              </w:rPr>
              <w:t xml:space="preserve">. Despite this, it remains robust as even in the min scenario, cost savings are significant. </w:t>
            </w:r>
          </w:p>
        </w:tc>
      </w:tr>
      <w:tr w:rsidR="00960E98" w:rsidRPr="00DB2D19" w14:paraId="5FC27307" w14:textId="77777777" w:rsidTr="00E42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pct"/>
            <w:shd w:val="clear" w:color="auto" w:fill="FFFFFF" w:themeFill="background1"/>
            <w:vAlign w:val="center"/>
          </w:tcPr>
          <w:p w14:paraId="520E9B4C" w14:textId="017E9A29" w:rsidR="00DA36B6" w:rsidRPr="00DF0191" w:rsidRDefault="00DA36B6" w:rsidP="00DA36B6">
            <w:pPr>
              <w:spacing w:after="0"/>
              <w:jc w:val="left"/>
              <w:rPr>
                <w:noProof/>
                <w:sz w:val="20"/>
                <w:szCs w:val="20"/>
              </w:rPr>
            </w:pPr>
            <w:r w:rsidRPr="00DF0191">
              <w:rPr>
                <w:noProof/>
                <w:sz w:val="20"/>
                <w:szCs w:val="20"/>
              </w:rPr>
              <w:t>PM23</w:t>
            </w:r>
            <w:r>
              <w:rPr>
                <w:noProof/>
                <w:sz w:val="20"/>
                <w:szCs w:val="20"/>
              </w:rPr>
              <w:t xml:space="preserve">: </w:t>
            </w:r>
            <w:r w:rsidRPr="000B2446">
              <w:rPr>
                <w:b w:val="0"/>
                <w:bCs w:val="0"/>
                <w:noProof/>
                <w:sz w:val="20"/>
                <w:szCs w:val="20"/>
              </w:rPr>
              <w:t>Financial support for SMEs to adopt cloud and AI</w:t>
            </w:r>
          </w:p>
        </w:tc>
        <w:tc>
          <w:tcPr>
            <w:tcW w:w="1674" w:type="pct"/>
            <w:shd w:val="clear" w:color="auto" w:fill="FFFFFF" w:themeFill="background1"/>
          </w:tcPr>
          <w:p w14:paraId="15688E2D" w14:textId="259B3841" w:rsidR="00DA36B6" w:rsidRPr="00DB2D19" w:rsidRDefault="00DA36B6" w:rsidP="00DA36B6">
            <w:pPr>
              <w:pStyle w:val="ListParagraph"/>
              <w:numPr>
                <w:ilvl w:val="0"/>
                <w:numId w:val="76"/>
              </w:numPr>
              <w:spacing w:after="0"/>
              <w:ind w:left="185" w:hanging="185"/>
              <w:jc w:val="lef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R</w:t>
            </w:r>
            <w:r w:rsidRPr="009B67A5">
              <w:rPr>
                <w:noProof/>
                <w:sz w:val="20"/>
                <w:szCs w:val="20"/>
              </w:rPr>
              <w:t xml:space="preserve">esources dedicated by SMEs </w:t>
            </w:r>
            <w:r>
              <w:rPr>
                <w:noProof/>
                <w:sz w:val="20"/>
                <w:szCs w:val="20"/>
              </w:rPr>
              <w:t>for applications (</w:t>
            </w:r>
            <w:r w:rsidRPr="009B67A5">
              <w:rPr>
                <w:noProof/>
                <w:sz w:val="20"/>
                <w:szCs w:val="20"/>
              </w:rPr>
              <w:t>10</w:t>
            </w:r>
            <w:r>
              <w:rPr>
                <w:noProof/>
                <w:sz w:val="20"/>
                <w:szCs w:val="20"/>
              </w:rPr>
              <w:t>-</w:t>
            </w:r>
            <w:r w:rsidRPr="009B67A5">
              <w:rPr>
                <w:noProof/>
                <w:sz w:val="20"/>
                <w:szCs w:val="20"/>
              </w:rPr>
              <w:t>30 working days</w:t>
            </w:r>
            <w:r>
              <w:rPr>
                <w:noProof/>
                <w:sz w:val="20"/>
                <w:szCs w:val="20"/>
              </w:rPr>
              <w:t>)</w:t>
            </w:r>
          </w:p>
        </w:tc>
        <w:tc>
          <w:tcPr>
            <w:tcW w:w="717" w:type="pct"/>
            <w:shd w:val="clear" w:color="auto" w:fill="FFFFFF" w:themeFill="background1"/>
            <w:vAlign w:val="center"/>
          </w:tcPr>
          <w:p w14:paraId="3FE9AB7F" w14:textId="77777777"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w:t>
            </w:r>
            <w:r w:rsidRPr="009275C4">
              <w:rPr>
                <w:noProof/>
                <w:sz w:val="20"/>
                <w:szCs w:val="20"/>
              </w:rPr>
              <w:t>66</w:t>
            </w:r>
            <w:r>
              <w:rPr>
                <w:noProof/>
                <w:sz w:val="20"/>
                <w:szCs w:val="20"/>
              </w:rPr>
              <w:t xml:space="preserve">.4 </w:t>
            </w:r>
          </w:p>
          <w:p w14:paraId="76249E46" w14:textId="67E8C25B" w:rsidR="00DA36B6" w:rsidRDefault="00DA36B6" w:rsidP="00DA36B6">
            <w:pPr>
              <w:spacing w:after="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130C55">
              <w:rPr>
                <w:noProof/>
                <w:sz w:val="16"/>
                <w:szCs w:val="16"/>
              </w:rPr>
              <w:t>[-35.5 – -97.5]</w:t>
            </w:r>
          </w:p>
        </w:tc>
        <w:tc>
          <w:tcPr>
            <w:tcW w:w="1688" w:type="pct"/>
            <w:shd w:val="clear" w:color="auto" w:fill="FFFFFF" w:themeFill="background1"/>
          </w:tcPr>
          <w:p w14:paraId="20A47252" w14:textId="788A5E61" w:rsidR="00DA36B6" w:rsidRPr="00DB2D19" w:rsidRDefault="00DA36B6" w:rsidP="00DA36B6">
            <w:pPr>
              <w:spacing w:after="0"/>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PM23 presents net costs across all scenarios, although the overall scale is modest with respect to the other measures. Net costs stem also from the non-quantified strategic benefits generated by this measure. A</w:t>
            </w:r>
            <w:r w:rsidRPr="009753EC">
              <w:rPr>
                <w:noProof/>
                <w:sz w:val="20"/>
                <w:szCs w:val="20"/>
              </w:rPr>
              <w:t>ssumption sensitivity introduces uncertainty (&gt;50%) around central estimates.</w:t>
            </w:r>
          </w:p>
        </w:tc>
      </w:tr>
    </w:tbl>
    <w:p w14:paraId="70312198" w14:textId="0BD0CD26" w:rsidR="00AD6E37" w:rsidRDefault="00634FB5" w:rsidP="00887FB2">
      <w:pPr>
        <w:spacing w:before="240"/>
        <w:rPr>
          <w:noProof/>
        </w:rPr>
      </w:pPr>
      <w:r>
        <w:rPr>
          <w:noProof/>
        </w:rPr>
        <w:t xml:space="preserve">Policy measures </w:t>
      </w:r>
      <w:r w:rsidR="004924E7">
        <w:rPr>
          <w:noProof/>
        </w:rPr>
        <w:t>affecting</w:t>
      </w:r>
      <w:r w:rsidR="00D51D19">
        <w:rPr>
          <w:noProof/>
        </w:rPr>
        <w:t xml:space="preserve"> </w:t>
      </w:r>
      <w:r w:rsidR="004924E7">
        <w:rPr>
          <w:noProof/>
        </w:rPr>
        <w:t xml:space="preserve">permitting timelines </w:t>
      </w:r>
      <w:r w:rsidR="00DD1469">
        <w:rPr>
          <w:noProof/>
        </w:rPr>
        <w:t>and data centre deployment (</w:t>
      </w:r>
      <w:r w:rsidR="00A137CE">
        <w:rPr>
          <w:noProof/>
        </w:rPr>
        <w:t>PM4</w:t>
      </w:r>
      <w:r w:rsidR="00DD1469">
        <w:rPr>
          <w:noProof/>
        </w:rPr>
        <w:t>-PM5 and PM10) deliver substantial net savings/benefits in both minimum and maximum scenarios</w:t>
      </w:r>
      <w:r w:rsidR="00E429B1">
        <w:rPr>
          <w:noProof/>
        </w:rPr>
        <w:t xml:space="preserve">. </w:t>
      </w:r>
      <w:r w:rsidR="00096882">
        <w:rPr>
          <w:noProof/>
        </w:rPr>
        <w:t>Although the magnitude of savings is sensitive to adoption rates, months saved, deployment trajectories and PUE reductions</w:t>
      </w:r>
      <w:r w:rsidR="00821621">
        <w:rPr>
          <w:noProof/>
        </w:rPr>
        <w:t xml:space="preserve">, the impact of the measures remains positive even when such parameters change, demonstrating the </w:t>
      </w:r>
      <w:r w:rsidR="004F7E1D">
        <w:rPr>
          <w:noProof/>
        </w:rPr>
        <w:t xml:space="preserve">efficiency of interventions that accelerate data centre project delivery. PM6-PM9 represent measures highlighting only costs for </w:t>
      </w:r>
      <w:r w:rsidR="00AE2E90">
        <w:rPr>
          <w:noProof/>
        </w:rPr>
        <w:t>operators, national public authorities or the Commission as their benefits were either non-quantifiable or indirect</w:t>
      </w:r>
      <w:r w:rsidR="00D96FB9">
        <w:rPr>
          <w:noProof/>
        </w:rPr>
        <w:t>. These measures exhibit low sensitivity overall</w:t>
      </w:r>
      <w:r w:rsidR="000D1CF3">
        <w:rPr>
          <w:noProof/>
        </w:rPr>
        <w:t>, with modest variations across min-max scenarios</w:t>
      </w:r>
      <w:r w:rsidR="00DE3231">
        <w:rPr>
          <w:noProof/>
        </w:rPr>
        <w:t xml:space="preserve"> and relatively small impacts with respect to the other measures.</w:t>
      </w:r>
      <w:r w:rsidR="00F045A5">
        <w:rPr>
          <w:noProof/>
        </w:rPr>
        <w:t xml:space="preserve"> Results for PM11-PM24 show a wide range of impacts</w:t>
      </w:r>
      <w:r w:rsidR="00F70567">
        <w:rPr>
          <w:noProof/>
        </w:rPr>
        <w:t xml:space="preserve">. Most </w:t>
      </w:r>
      <w:r w:rsidR="00C628EA">
        <w:rPr>
          <w:noProof/>
        </w:rPr>
        <w:t xml:space="preserve">measures </w:t>
      </w:r>
      <w:r w:rsidR="00F70567">
        <w:rPr>
          <w:noProof/>
        </w:rPr>
        <w:t>generate</w:t>
      </w:r>
      <w:r w:rsidR="00C628EA">
        <w:rPr>
          <w:noProof/>
        </w:rPr>
        <w:t xml:space="preserve"> net savings under the different scenarios</w:t>
      </w:r>
      <w:r w:rsidR="00BE6FB0">
        <w:rPr>
          <w:noProof/>
        </w:rPr>
        <w:t>, even under conservative assumptions</w:t>
      </w:r>
      <w:r w:rsidR="00F70567">
        <w:rPr>
          <w:noProof/>
        </w:rPr>
        <w:t>, thus demonstrating the robustness of results</w:t>
      </w:r>
      <w:r w:rsidR="00BE6FB0">
        <w:rPr>
          <w:noProof/>
        </w:rPr>
        <w:t xml:space="preserve">. </w:t>
      </w:r>
      <w:r w:rsidR="00F72FDB">
        <w:rPr>
          <w:noProof/>
        </w:rPr>
        <w:t>At the same time, several PMs show high sensitivity</w:t>
      </w:r>
      <w:r w:rsidR="00372809">
        <w:rPr>
          <w:noProof/>
        </w:rPr>
        <w:t xml:space="preserve"> to the underlying parameters</w:t>
      </w:r>
      <w:r w:rsidR="00F70567">
        <w:rPr>
          <w:noProof/>
        </w:rPr>
        <w:t>.</w:t>
      </w:r>
      <w:r w:rsidR="005D7461">
        <w:rPr>
          <w:noProof/>
        </w:rPr>
        <w:t xml:space="preserve"> </w:t>
      </w:r>
      <w:r w:rsidR="00A849DB">
        <w:rPr>
          <w:noProof/>
        </w:rPr>
        <w:t>PM1</w:t>
      </w:r>
      <w:r w:rsidR="00056548">
        <w:rPr>
          <w:noProof/>
        </w:rPr>
        <w:t>7</w:t>
      </w:r>
      <w:r w:rsidR="005D7461">
        <w:rPr>
          <w:noProof/>
        </w:rPr>
        <w:t>, PM20, PM21 and PM22 stand out for their high impact and strong robustness, with large savings</w:t>
      </w:r>
      <w:r w:rsidR="0053543D">
        <w:rPr>
          <w:noProof/>
        </w:rPr>
        <w:t>,</w:t>
      </w:r>
      <w:r w:rsidR="003A4DAA">
        <w:rPr>
          <w:noProof/>
        </w:rPr>
        <w:t xml:space="preserve"> while </w:t>
      </w:r>
      <w:r w:rsidR="0053543D">
        <w:rPr>
          <w:noProof/>
        </w:rPr>
        <w:t>PM12 show</w:t>
      </w:r>
      <w:r w:rsidR="003A4DAA">
        <w:rPr>
          <w:noProof/>
        </w:rPr>
        <w:t>s</w:t>
      </w:r>
      <w:r w:rsidR="0053543D">
        <w:rPr>
          <w:noProof/>
        </w:rPr>
        <w:t xml:space="preserve"> a mixed performance, shifting from net costs to net cost savings across the min and max scenarios. </w:t>
      </w:r>
      <w:r w:rsidR="00AD6E37" w:rsidRPr="003C21B9">
        <w:rPr>
          <w:noProof/>
        </w:rPr>
        <w:t>The variability of PM12 is driven by mainly two parameters. First, the average number of procured contracts every year for critical services in the EU public sector, spanning from 67 in the central and min values to 133. While the maximum value stems from the projections calculated considering the existing TED data multiplied by the estimated value of highly critical use case (5%, based on input from stakeholders), the interviews as part of the study led by Technopolis led to the conclusion that a more conservative value for the central value was needed. Secondly, on the number of cloud providers that could participate in the bids. The study led by Technopolis yielded the result that more than 400 cloud and AI computing service providers (see Annex 4) offer their services in the EU, while the estimates of providers that could comply with the sovereignty criteria for their services range in the values of over 300. These values were cross validated in the final validation workshop from the study led by Technopolis</w:t>
      </w:r>
      <w:r w:rsidR="00AD6E37" w:rsidRPr="00C6578D">
        <w:rPr>
          <w:noProof/>
        </w:rPr>
        <w:t>.</w:t>
      </w:r>
    </w:p>
    <w:p w14:paraId="20987F61" w14:textId="4DE29CA3" w:rsidR="00AD6E37" w:rsidRDefault="00AD6E37" w:rsidP="004E3AB6">
      <w:pPr>
        <w:rPr>
          <w:noProof/>
        </w:rPr>
      </w:pPr>
      <w:r>
        <w:rPr>
          <w:noProof/>
        </w:rPr>
        <w:t>A sensitivity assessment was also performed for</w:t>
      </w:r>
      <w:r w:rsidRPr="00FE08CD">
        <w:rPr>
          <w:noProof/>
        </w:rPr>
        <w:t xml:space="preserve"> the measures evaluated using a discounted cash flow </w:t>
      </w:r>
      <w:r>
        <w:rPr>
          <w:noProof/>
        </w:rPr>
        <w:t>approach</w:t>
      </w:r>
      <w:r w:rsidRPr="00FE08CD">
        <w:rPr>
          <w:noProof/>
        </w:rPr>
        <w:t xml:space="preserve">. </w:t>
      </w:r>
      <w:r>
        <w:rPr>
          <w:noProof/>
        </w:rPr>
        <w:t>While several variables influence project value, the analysis focused on those parameters that could be directly influenced by the policy intervention, i.e.</w:t>
      </w:r>
      <w:r w:rsidRPr="00FE08CD">
        <w:rPr>
          <w:noProof/>
        </w:rPr>
        <w:t xml:space="preserve"> 1) Power Usage Effectiveness (PUE), which affects </w:t>
      </w:r>
      <w:r>
        <w:rPr>
          <w:noProof/>
        </w:rPr>
        <w:t xml:space="preserve">operating costs </w:t>
      </w:r>
      <w:r w:rsidRPr="00FE08CD">
        <w:rPr>
          <w:noProof/>
        </w:rPr>
        <w:t xml:space="preserve">and consequently the project’s NPV and 2) Time savings, which impact the timing of revenues and discounting of future cash flows. </w:t>
      </w:r>
      <w:r>
        <w:rPr>
          <w:noProof/>
        </w:rPr>
        <w:t>In the model, reducing the project development timeline from 32 months to 26 months (6-month acceleration), increases NPV by around EUR 6.4 m, implying a sensitivity of around EUR 1.1 m of NPV per month of time saved. PUE affects operating costs by determining the electricity needed per unit of IT load. Reducing PUE levels while keeping the other assumptions unchanged, leads to around EUR 0.7 m of NPV for every 0.01 improvement in PUE.</w:t>
      </w:r>
    </w:p>
    <w:p w14:paraId="3FF67335" w14:textId="2517F7EA" w:rsidR="0044423C" w:rsidRPr="0044423C" w:rsidRDefault="0044423C" w:rsidP="0044423C">
      <w:pPr>
        <w:spacing w:before="240"/>
        <w:rPr>
          <w:noProof/>
          <w:lang w:val="en-IE"/>
        </w:rPr>
      </w:pPr>
      <w:r w:rsidRPr="0044423C">
        <w:rPr>
          <w:noProof/>
          <w:lang w:val="en-IE"/>
        </w:rPr>
        <w:t>While the model is sensitive to additional variables, these cannot be directly tackled by the class of policy measures under review. Utilisation and revenues are</w:t>
      </w:r>
      <w:r w:rsidR="00E04B1A">
        <w:rPr>
          <w:noProof/>
          <w:lang w:val="en-IE"/>
        </w:rPr>
        <w:t xml:space="preserve"> mostly</w:t>
      </w:r>
      <w:r w:rsidRPr="0044423C">
        <w:rPr>
          <w:noProof/>
          <w:lang w:val="en-IE"/>
        </w:rPr>
        <w:t xml:space="preserve"> influenced by market demand and commercial strategies. CAPEX levels are determined by construction market dynamics and technology costs, unless specific subsidies are applied. The WACC is predominantly affected by financial market conditions and sovereign risk, necessitating macro-financial instruments rather than operational regulations to influence it. Taxation and depreciation are dictated by national fiscal policies. Power prices are shaped by wholesale market rates and grid tariff structures. Therefore, the analysis concentrates on timeline and PUE, as both can be technically managed through targeted policies and hold significant economic importance.</w:t>
      </w:r>
    </w:p>
    <w:p w14:paraId="23A2DE3C" w14:textId="2F395401" w:rsidR="00DE3231" w:rsidRDefault="00814C27" w:rsidP="00BB14D1">
      <w:pPr>
        <w:rPr>
          <w:noProof/>
        </w:rPr>
      </w:pPr>
      <w:r>
        <w:rPr>
          <w:noProof/>
        </w:rPr>
        <w:t xml:space="preserve">This </w:t>
      </w:r>
      <w:r w:rsidR="003814B0">
        <w:rPr>
          <w:noProof/>
        </w:rPr>
        <w:t xml:space="preserve">analysis </w:t>
      </w:r>
      <w:r>
        <w:rPr>
          <w:noProof/>
        </w:rPr>
        <w:t xml:space="preserve">will be particularly useful to </w:t>
      </w:r>
      <w:r w:rsidR="00963412">
        <w:rPr>
          <w:noProof/>
        </w:rPr>
        <w:t xml:space="preserve">better understand how to tailor future policy design. </w:t>
      </w:r>
      <w:r w:rsidR="00803CA3">
        <w:rPr>
          <w:noProof/>
        </w:rPr>
        <w:t xml:space="preserve">Given the available evidence and heterogeneity of measures evaluated, </w:t>
      </w:r>
      <w:r w:rsidR="007E4BD5">
        <w:rPr>
          <w:noProof/>
        </w:rPr>
        <w:t xml:space="preserve">it has been instrumental to </w:t>
      </w:r>
      <w:r w:rsidR="00803CA3">
        <w:rPr>
          <w:noProof/>
        </w:rPr>
        <w:t>understand where the outcomes of each policy measure where more assumption-dependent or stable.</w:t>
      </w:r>
    </w:p>
    <w:p w14:paraId="153A2446" w14:textId="7F1D73FA" w:rsidR="0017193A" w:rsidRPr="00E96E47" w:rsidRDefault="0017193A" w:rsidP="00913325">
      <w:pPr>
        <w:pStyle w:val="Heading1"/>
        <w:numPr>
          <w:ilvl w:val="0"/>
          <w:numId w:val="15"/>
        </w:numPr>
        <w:tabs>
          <w:tab w:val="num" w:pos="283"/>
        </w:tabs>
        <w:rPr>
          <w:noProof/>
          <w:lang w:val="en-IE"/>
        </w:rPr>
      </w:pPr>
      <w:bookmarkStart w:id="274" w:name="_Toc214519730"/>
      <w:bookmarkStart w:id="275" w:name="_Toc216283382"/>
      <w:bookmarkStart w:id="276" w:name="_Toc228346937"/>
      <w:r w:rsidRPr="00E96E47">
        <w:rPr>
          <w:noProof/>
          <w:lang w:val="en-IE"/>
        </w:rPr>
        <w:t xml:space="preserve">Multi-criteria </w:t>
      </w:r>
      <w:r w:rsidR="000279C3">
        <w:rPr>
          <w:noProof/>
          <w:lang w:val="en-IE"/>
        </w:rPr>
        <w:t xml:space="preserve">decision </w:t>
      </w:r>
      <w:r w:rsidRPr="00E96E47">
        <w:rPr>
          <w:noProof/>
          <w:lang w:val="en-IE"/>
        </w:rPr>
        <w:t>analysis</w:t>
      </w:r>
      <w:bookmarkEnd w:id="274"/>
      <w:bookmarkEnd w:id="275"/>
      <w:bookmarkEnd w:id="276"/>
    </w:p>
    <w:p w14:paraId="728E4C65" w14:textId="024FF2EA" w:rsidR="0017193A" w:rsidRPr="0007547C" w:rsidRDefault="0017193A" w:rsidP="0017193A">
      <w:pPr>
        <w:rPr>
          <w:noProof/>
        </w:rPr>
      </w:pPr>
      <w:r>
        <w:rPr>
          <w:noProof/>
        </w:rPr>
        <w:t xml:space="preserve">The multi-criteria analysis has been carried out </w:t>
      </w:r>
      <w:r w:rsidR="00217F22">
        <w:rPr>
          <w:noProof/>
        </w:rPr>
        <w:t>by Technopolis</w:t>
      </w:r>
      <w:r w:rsidR="008340ED">
        <w:rPr>
          <w:noProof/>
        </w:rPr>
        <w:t xml:space="preserve"> et al (2025) under the study “Study: cloud and AI”</w:t>
      </w:r>
      <w:r>
        <w:rPr>
          <w:noProof/>
        </w:rPr>
        <w:t>. The models used, the criteria, weights of the impacts as well as the attained results are detailed next.</w:t>
      </w:r>
    </w:p>
    <w:p w14:paraId="5815BD05" w14:textId="77777777" w:rsidR="0017193A" w:rsidRDefault="0017193A" w:rsidP="006C09BA">
      <w:pPr>
        <w:pStyle w:val="Heading2"/>
        <w:numPr>
          <w:ilvl w:val="1"/>
          <w:numId w:val="15"/>
        </w:numPr>
        <w:rPr>
          <w:noProof/>
        </w:rPr>
      </w:pPr>
      <w:bookmarkStart w:id="277" w:name="_Toc214519731"/>
      <w:bookmarkStart w:id="278" w:name="_Toc216283383"/>
      <w:bookmarkStart w:id="279" w:name="_Toc228346938"/>
      <w:r>
        <w:rPr>
          <w:noProof/>
        </w:rPr>
        <w:t>Models used for the multi-</w:t>
      </w:r>
      <w:r w:rsidRPr="00E96E47">
        <w:rPr>
          <w:rFonts w:eastAsia="Calibri"/>
          <w:noProof/>
        </w:rPr>
        <w:t>criteria</w:t>
      </w:r>
      <w:r>
        <w:rPr>
          <w:noProof/>
        </w:rPr>
        <w:t xml:space="preserve"> analysis</w:t>
      </w:r>
      <w:bookmarkEnd w:id="277"/>
      <w:bookmarkEnd w:id="278"/>
      <w:bookmarkEnd w:id="279"/>
    </w:p>
    <w:p w14:paraId="55014C3F" w14:textId="513D567A" w:rsidR="0017193A" w:rsidRPr="0007547C" w:rsidRDefault="0017193A" w:rsidP="0017193A">
      <w:pPr>
        <w:rPr>
          <w:noProof/>
        </w:rPr>
      </w:pPr>
      <w:r w:rsidRPr="0007547C">
        <w:rPr>
          <w:noProof/>
        </w:rPr>
        <w:t>The multi</w:t>
      </w:r>
      <w:r>
        <w:rPr>
          <w:noProof/>
        </w:rPr>
        <w:t>-</w:t>
      </w:r>
      <w:r w:rsidRPr="0007547C">
        <w:rPr>
          <w:noProof/>
        </w:rPr>
        <w:t xml:space="preserve">criteria </w:t>
      </w:r>
      <w:r w:rsidR="000279C3">
        <w:rPr>
          <w:noProof/>
        </w:rPr>
        <w:t xml:space="preserve">decision </w:t>
      </w:r>
      <w:r w:rsidRPr="0007547C">
        <w:rPr>
          <w:noProof/>
        </w:rPr>
        <w:t>analysis (MCDA) has been implemented using three complementary models:</w:t>
      </w:r>
    </w:p>
    <w:p w14:paraId="2DD6E827" w14:textId="77777777" w:rsidR="0017193A" w:rsidRPr="0007547C" w:rsidRDefault="0017193A" w:rsidP="00744B72">
      <w:pPr>
        <w:numPr>
          <w:ilvl w:val="0"/>
          <w:numId w:val="51"/>
        </w:numPr>
        <w:spacing w:after="0"/>
        <w:rPr>
          <w:noProof/>
        </w:rPr>
      </w:pPr>
      <w:r w:rsidRPr="0007547C">
        <w:rPr>
          <w:noProof/>
        </w:rPr>
        <w:t>A simple additive model based on Multi-Attribute Utility Theory</w:t>
      </w:r>
      <w:r>
        <w:rPr>
          <w:noProof/>
        </w:rPr>
        <w:t xml:space="preserve"> (MAUT)</w:t>
      </w:r>
    </w:p>
    <w:p w14:paraId="2894DCC9" w14:textId="77777777" w:rsidR="0017193A" w:rsidRPr="0007547C" w:rsidRDefault="0017193A" w:rsidP="00744B72">
      <w:pPr>
        <w:numPr>
          <w:ilvl w:val="0"/>
          <w:numId w:val="51"/>
        </w:numPr>
        <w:spacing w:after="0"/>
        <w:rPr>
          <w:noProof/>
        </w:rPr>
      </w:pPr>
      <w:r w:rsidRPr="0007547C">
        <w:rPr>
          <w:noProof/>
        </w:rPr>
        <w:t xml:space="preserve">Preference Ranking Organisation Method for Enrichment Evaluation </w:t>
      </w:r>
      <w:r>
        <w:rPr>
          <w:noProof/>
        </w:rPr>
        <w:t>(</w:t>
      </w:r>
      <w:r w:rsidRPr="0007547C">
        <w:rPr>
          <w:noProof/>
        </w:rPr>
        <w:t>PROMETHEE II</w:t>
      </w:r>
      <w:r>
        <w:rPr>
          <w:noProof/>
        </w:rPr>
        <w:t>)</w:t>
      </w:r>
    </w:p>
    <w:p w14:paraId="71E6E2D5" w14:textId="77777777" w:rsidR="0017193A" w:rsidRPr="00DA029C" w:rsidRDefault="0017193A" w:rsidP="00744B72">
      <w:pPr>
        <w:numPr>
          <w:ilvl w:val="0"/>
          <w:numId w:val="51"/>
        </w:numPr>
        <w:spacing w:after="160"/>
        <w:rPr>
          <w:noProof/>
          <w:lang w:val="fr-BE"/>
        </w:rPr>
      </w:pPr>
      <w:r w:rsidRPr="00DA029C">
        <w:rPr>
          <w:noProof/>
          <w:lang w:val="fr-BE"/>
        </w:rPr>
        <w:t>ELimination Et Choix Traduisant la REalité (ELECTRE III</w:t>
      </w:r>
      <w:r>
        <w:rPr>
          <w:noProof/>
          <w:lang w:val="fr-BE"/>
        </w:rPr>
        <w:t>)</w:t>
      </w:r>
    </w:p>
    <w:p w14:paraId="41990116" w14:textId="77777777" w:rsidR="0017193A" w:rsidRPr="0007547C" w:rsidRDefault="0017193A" w:rsidP="0017193A">
      <w:pPr>
        <w:rPr>
          <w:noProof/>
        </w:rPr>
      </w:pPr>
      <w:r w:rsidRPr="0007547C">
        <w:rPr>
          <w:noProof/>
        </w:rPr>
        <w:t xml:space="preserve">The use of multiple models allows </w:t>
      </w:r>
      <w:r>
        <w:rPr>
          <w:noProof/>
        </w:rPr>
        <w:t>to triangulate the results</w:t>
      </w:r>
      <w:r w:rsidRPr="0007547C">
        <w:rPr>
          <w:noProof/>
        </w:rPr>
        <w:t xml:space="preserve">. Firstly, MAUT provides transparent aggregation, while PROMETHEE II and ELECRE III introduce preferences and outranking logics that test the robustness of the findings. The three methods provide three different categories of models: full compensatory (MAUT), partially compensatory (PROMETHEE II), and non-compensatory (ELECTREE III). </w:t>
      </w:r>
    </w:p>
    <w:p w14:paraId="25CB7EA3" w14:textId="77777777" w:rsidR="0017193A" w:rsidRPr="0007547C" w:rsidRDefault="0017193A" w:rsidP="0017193A">
      <w:pPr>
        <w:rPr>
          <w:noProof/>
        </w:rPr>
      </w:pPr>
      <w:r w:rsidRPr="0007547C">
        <w:rPr>
          <w:noProof/>
        </w:rPr>
        <w:t xml:space="preserve">The three models </w:t>
      </w:r>
      <w:r>
        <w:rPr>
          <w:noProof/>
        </w:rPr>
        <w:t>are</w:t>
      </w:r>
      <w:r w:rsidRPr="0007547C">
        <w:rPr>
          <w:noProof/>
        </w:rPr>
        <w:t xml:space="preserve"> designed to work in combination: </w:t>
      </w:r>
    </w:p>
    <w:p w14:paraId="0AC5FE4C" w14:textId="77777777" w:rsidR="0017193A" w:rsidRPr="0007547C" w:rsidRDefault="0017193A" w:rsidP="00744B72">
      <w:pPr>
        <w:pStyle w:val="ListParagraph"/>
        <w:numPr>
          <w:ilvl w:val="0"/>
          <w:numId w:val="52"/>
        </w:numPr>
        <w:spacing w:after="0"/>
        <w:rPr>
          <w:noProof/>
        </w:rPr>
      </w:pPr>
      <w:r w:rsidRPr="0007547C">
        <w:rPr>
          <w:noProof/>
        </w:rPr>
        <w:t>MAUT provide</w:t>
      </w:r>
      <w:r>
        <w:rPr>
          <w:noProof/>
        </w:rPr>
        <w:t>s</w:t>
      </w:r>
      <w:r w:rsidRPr="0007547C">
        <w:rPr>
          <w:noProof/>
        </w:rPr>
        <w:t xml:space="preserve"> a clear and transparent baseline</w:t>
      </w:r>
      <w:r>
        <w:rPr>
          <w:noProof/>
        </w:rPr>
        <w:t>;</w:t>
      </w:r>
    </w:p>
    <w:p w14:paraId="68B95D3C" w14:textId="77777777" w:rsidR="0017193A" w:rsidRPr="0007547C" w:rsidRDefault="0017193A" w:rsidP="00744B72">
      <w:pPr>
        <w:pStyle w:val="ListParagraph"/>
        <w:numPr>
          <w:ilvl w:val="0"/>
          <w:numId w:val="52"/>
        </w:numPr>
        <w:spacing w:after="0"/>
        <w:rPr>
          <w:noProof/>
        </w:rPr>
      </w:pPr>
      <w:r w:rsidRPr="0007547C">
        <w:rPr>
          <w:noProof/>
        </w:rPr>
        <w:t xml:space="preserve">PROMETHEE II </w:t>
      </w:r>
      <w:r>
        <w:rPr>
          <w:noProof/>
        </w:rPr>
        <w:t xml:space="preserve">is an outranking method and </w:t>
      </w:r>
      <w:r w:rsidRPr="0007547C">
        <w:rPr>
          <w:noProof/>
        </w:rPr>
        <w:t>incorporate</w:t>
      </w:r>
      <w:r>
        <w:rPr>
          <w:noProof/>
        </w:rPr>
        <w:t>s</w:t>
      </w:r>
      <w:r w:rsidRPr="0007547C">
        <w:rPr>
          <w:noProof/>
        </w:rPr>
        <w:t xml:space="preserve"> preference thresholds, capturing the strength of differences</w:t>
      </w:r>
      <w:r>
        <w:rPr>
          <w:noProof/>
        </w:rPr>
        <w:t xml:space="preserve">, </w:t>
      </w:r>
      <w:r w:rsidRPr="0007547C">
        <w:rPr>
          <w:noProof/>
        </w:rPr>
        <w:t>allowing partial compensation</w:t>
      </w:r>
      <w:r>
        <w:rPr>
          <w:noProof/>
        </w:rPr>
        <w:t>;</w:t>
      </w:r>
    </w:p>
    <w:p w14:paraId="2A3AA668" w14:textId="194B03FB" w:rsidR="0017193A" w:rsidRPr="0007547C" w:rsidRDefault="0017193A" w:rsidP="00744B72">
      <w:pPr>
        <w:pStyle w:val="ListParagraph"/>
        <w:numPr>
          <w:ilvl w:val="0"/>
          <w:numId w:val="52"/>
        </w:numPr>
        <w:spacing w:after="160"/>
        <w:rPr>
          <w:noProof/>
        </w:rPr>
      </w:pPr>
      <w:r w:rsidRPr="0007547C">
        <w:rPr>
          <w:noProof/>
        </w:rPr>
        <w:t>ELCETREE III test</w:t>
      </w:r>
      <w:r>
        <w:rPr>
          <w:noProof/>
        </w:rPr>
        <w:t>s</w:t>
      </w:r>
      <w:r w:rsidRPr="0007547C">
        <w:rPr>
          <w:noProof/>
        </w:rPr>
        <w:t xml:space="preserve"> robustness and non-compensatory consistency, identifying cases where trade-offs between criteria are not acceptable. </w:t>
      </w:r>
      <w:r>
        <w:rPr>
          <w:noProof/>
        </w:rPr>
        <w:t>It also belongs to the outranking methods</w:t>
      </w:r>
      <w:r w:rsidR="000279C3">
        <w:rPr>
          <w:noProof/>
        </w:rPr>
        <w:t>,</w:t>
      </w:r>
      <w:r>
        <w:rPr>
          <w:noProof/>
        </w:rPr>
        <w:t xml:space="preserve"> but it incorporates preferences, indifferences and veto thresholds.</w:t>
      </w:r>
    </w:p>
    <w:p w14:paraId="6D06E38D" w14:textId="0C8D5D4A" w:rsidR="00E96E47" w:rsidRPr="00E96E47" w:rsidRDefault="0017193A" w:rsidP="001345F5">
      <w:pPr>
        <w:rPr>
          <w:noProof/>
          <w:lang w:val="en-IE"/>
        </w:rPr>
      </w:pPr>
      <w:r w:rsidRPr="0007547C">
        <w:rPr>
          <w:noProof/>
        </w:rPr>
        <w:t>All models use the same normalised and weighted option-level dataset, enabling consistent interpretation across approaches</w:t>
      </w:r>
      <w:r w:rsidR="00651661">
        <w:rPr>
          <w:noProof/>
        </w:rPr>
        <w:t>.</w:t>
      </w:r>
      <w:bookmarkStart w:id="280" w:name="_Toc214519732"/>
    </w:p>
    <w:p w14:paraId="7A3FDD6F" w14:textId="65A7AF8F" w:rsidR="0017193A" w:rsidRPr="00E96E47" w:rsidRDefault="0017193A" w:rsidP="00744B72">
      <w:pPr>
        <w:pStyle w:val="Heading3"/>
        <w:numPr>
          <w:ilvl w:val="2"/>
          <w:numId w:val="48"/>
        </w:numPr>
        <w:rPr>
          <w:noProof/>
        </w:rPr>
      </w:pPr>
      <w:r w:rsidRPr="00E96E47">
        <w:rPr>
          <w:noProof/>
        </w:rPr>
        <w:t>Multi-Attribute Utility Theory (MAUT)</w:t>
      </w:r>
      <w:bookmarkEnd w:id="280"/>
    </w:p>
    <w:p w14:paraId="7F1ED665" w14:textId="77777777" w:rsidR="0017193A" w:rsidRDefault="0017193A" w:rsidP="0017193A">
      <w:pPr>
        <w:rPr>
          <w:noProof/>
        </w:rPr>
      </w:pPr>
      <w:r w:rsidRPr="0007547C">
        <w:rPr>
          <w:noProof/>
        </w:rPr>
        <w:t>The MAUT approach</w:t>
      </w:r>
      <w:r w:rsidRPr="0007547C">
        <w:rPr>
          <w:rStyle w:val="FootnoteReference"/>
          <w:noProof/>
        </w:rPr>
        <w:footnoteReference w:id="101"/>
      </w:r>
      <w:r w:rsidRPr="0007547C">
        <w:rPr>
          <w:noProof/>
        </w:rPr>
        <w:t xml:space="preserve"> </w:t>
      </w:r>
      <w:r>
        <w:rPr>
          <w:noProof/>
        </w:rPr>
        <w:t xml:space="preserve">is a classical multi-criteria decision-making method based on utility theory. It </w:t>
      </w:r>
      <w:r w:rsidRPr="00BF0508">
        <w:rPr>
          <w:noProof/>
        </w:rPr>
        <w:t>uses utility functions to evaluate and compare alternatives based on multiple criteria</w:t>
      </w:r>
      <w:r>
        <w:rPr>
          <w:noProof/>
        </w:rPr>
        <w:t xml:space="preserve">. The process in MAUT typically involves the following approach: </w:t>
      </w:r>
    </w:p>
    <w:p w14:paraId="5D13D042" w14:textId="77777777" w:rsidR="0017193A" w:rsidRDefault="0017193A" w:rsidP="00744B72">
      <w:pPr>
        <w:pStyle w:val="ListParagraph"/>
        <w:numPr>
          <w:ilvl w:val="0"/>
          <w:numId w:val="28"/>
        </w:numPr>
        <w:spacing w:after="160"/>
        <w:rPr>
          <w:noProof/>
        </w:rPr>
      </w:pPr>
      <w:r>
        <w:rPr>
          <w:noProof/>
        </w:rPr>
        <w:t>Definition of the relevant criteria;</w:t>
      </w:r>
    </w:p>
    <w:p w14:paraId="5C295FA6" w14:textId="450CECCD" w:rsidR="0017193A" w:rsidRDefault="0017193A" w:rsidP="00744B72">
      <w:pPr>
        <w:pStyle w:val="ListParagraph"/>
        <w:numPr>
          <w:ilvl w:val="0"/>
          <w:numId w:val="28"/>
        </w:numPr>
        <w:spacing w:after="160"/>
        <w:rPr>
          <w:noProof/>
        </w:rPr>
      </w:pPr>
      <w:r>
        <w:rPr>
          <w:noProof/>
        </w:rPr>
        <w:t>Assignation of weights to the criteria to reflect their relative importance</w:t>
      </w:r>
      <w:r w:rsidR="00C71D88">
        <w:rPr>
          <w:noProof/>
        </w:rPr>
        <w:t>;</w:t>
      </w:r>
    </w:p>
    <w:p w14:paraId="3A473DD2" w14:textId="4813D80F" w:rsidR="0017193A" w:rsidRDefault="0017193A" w:rsidP="00744B72">
      <w:pPr>
        <w:pStyle w:val="ListParagraph"/>
        <w:numPr>
          <w:ilvl w:val="0"/>
          <w:numId w:val="28"/>
        </w:numPr>
        <w:spacing w:after="160"/>
        <w:rPr>
          <w:noProof/>
        </w:rPr>
      </w:pPr>
      <w:r>
        <w:rPr>
          <w:noProof/>
        </w:rPr>
        <w:t>Normali</w:t>
      </w:r>
      <w:r w:rsidR="00C71D88">
        <w:rPr>
          <w:noProof/>
        </w:rPr>
        <w:t>s</w:t>
      </w:r>
      <w:r>
        <w:rPr>
          <w:noProof/>
        </w:rPr>
        <w:t>ation of the performance for each alternative; and</w:t>
      </w:r>
    </w:p>
    <w:p w14:paraId="5A1B64F3" w14:textId="77777777" w:rsidR="0017193A" w:rsidRPr="004465BE" w:rsidRDefault="0017193A" w:rsidP="00744B72">
      <w:pPr>
        <w:pStyle w:val="ListParagraph"/>
        <w:numPr>
          <w:ilvl w:val="0"/>
          <w:numId w:val="28"/>
        </w:numPr>
        <w:spacing w:after="160"/>
        <w:rPr>
          <w:noProof/>
        </w:rPr>
      </w:pPr>
      <w:r>
        <w:rPr>
          <w:noProof/>
        </w:rPr>
        <w:t>Computation of the utility function per policy option, as a weighted sum of its scores across all criteria, capturing the overall desirability of each option.</w:t>
      </w:r>
    </w:p>
    <w:p w14:paraId="67FC98F0" w14:textId="77777777" w:rsidR="0017193A" w:rsidRPr="0007547C" w:rsidRDefault="0017193A" w:rsidP="00217A08">
      <w:pPr>
        <w:spacing w:after="120"/>
        <w:rPr>
          <w:noProof/>
        </w:rPr>
      </w:pPr>
      <w:r w:rsidRPr="0007547C">
        <w:rPr>
          <w:noProof/>
        </w:rPr>
        <w:t>This</w:t>
      </w:r>
      <w:r>
        <w:rPr>
          <w:noProof/>
        </w:rPr>
        <w:t xml:space="preserve"> approach</w:t>
      </w:r>
      <w:r w:rsidRPr="0007547C">
        <w:rPr>
          <w:noProof/>
        </w:rPr>
        <w:t xml:space="preserve"> makes it a fully compensatory model, meaning that a strong performance in one impact can offset weaker performance in another. The benefits of this model are simplicity and transparency. It provides </w:t>
      </w:r>
      <w:r>
        <w:rPr>
          <w:noProof/>
        </w:rPr>
        <w:t xml:space="preserve">a </w:t>
      </w:r>
      <w:r w:rsidRPr="0007547C">
        <w:rPr>
          <w:noProof/>
        </w:rPr>
        <w:t xml:space="preserve">clear overall ranking of options while allowing the decomposition of results by impact area, making it easy to identify which dimensions drive performance differences. </w:t>
      </w:r>
    </w:p>
    <w:p w14:paraId="60842725" w14:textId="5F763800" w:rsidR="0017193A" w:rsidRPr="0007547C" w:rsidRDefault="0017193A" w:rsidP="0017193A">
      <w:pPr>
        <w:rPr>
          <w:noProof/>
        </w:rPr>
      </w:pPr>
      <w:r w:rsidRPr="0007547C">
        <w:rPr>
          <w:noProof/>
        </w:rPr>
        <w:t xml:space="preserve">In the current </w:t>
      </w:r>
      <w:r>
        <w:rPr>
          <w:noProof/>
        </w:rPr>
        <w:t>analysis,</w:t>
      </w:r>
      <w:r w:rsidRPr="0007547C">
        <w:rPr>
          <w:noProof/>
        </w:rPr>
        <w:t xml:space="preserve"> each policy option </w:t>
      </w:r>
      <w:r>
        <w:rPr>
          <w:noProof/>
        </w:rPr>
        <w:t>is</w:t>
      </w:r>
      <w:r w:rsidRPr="0007547C">
        <w:rPr>
          <w:noProof/>
        </w:rPr>
        <w:t xml:space="preserve"> assigned a normalised score for every sub-impact area based on the</w:t>
      </w:r>
      <w:r>
        <w:rPr>
          <w:noProof/>
        </w:rPr>
        <w:t xml:space="preserve"> CATI</w:t>
      </w:r>
      <w:r w:rsidRPr="0007547C">
        <w:rPr>
          <w:noProof/>
        </w:rPr>
        <w:t xml:space="preserve"> survey</w:t>
      </w:r>
      <w:r>
        <w:rPr>
          <w:noProof/>
        </w:rPr>
        <w:t>s carried out</w:t>
      </w:r>
      <w:r w:rsidRPr="0007547C">
        <w:rPr>
          <w:noProof/>
        </w:rPr>
        <w:t xml:space="preserve"> </w:t>
      </w:r>
      <w:r w:rsidR="00217A08">
        <w:rPr>
          <w:noProof/>
        </w:rPr>
        <w:t>with external stakeholders</w:t>
      </w:r>
      <w:r w:rsidR="00B30671">
        <w:rPr>
          <w:rStyle w:val="FootnoteReference"/>
          <w:noProof/>
        </w:rPr>
        <w:footnoteReference w:id="102"/>
      </w:r>
      <w:r w:rsidR="00217A08">
        <w:rPr>
          <w:noProof/>
        </w:rPr>
        <w:t xml:space="preserve">, </w:t>
      </w:r>
      <w:r w:rsidRPr="0007547C">
        <w:rPr>
          <w:noProof/>
        </w:rPr>
        <w:t xml:space="preserve">and </w:t>
      </w:r>
      <w:r>
        <w:rPr>
          <w:noProof/>
        </w:rPr>
        <w:t xml:space="preserve">on the </w:t>
      </w:r>
      <w:r w:rsidRPr="0007547C">
        <w:rPr>
          <w:noProof/>
        </w:rPr>
        <w:t>estimated data on costs and savings</w:t>
      </w:r>
      <w:r>
        <w:rPr>
          <w:noProof/>
        </w:rPr>
        <w:t xml:space="preserve"> presented in the sections above</w:t>
      </w:r>
      <w:r w:rsidRPr="0007547C">
        <w:rPr>
          <w:noProof/>
        </w:rPr>
        <w:t xml:space="preserve">. These </w:t>
      </w:r>
      <w:r>
        <w:rPr>
          <w:noProof/>
        </w:rPr>
        <w:t>are</w:t>
      </w:r>
      <w:r w:rsidRPr="0007547C">
        <w:rPr>
          <w:noProof/>
        </w:rPr>
        <w:t xml:space="preserve"> multiplied by their respective impact and sub-impact weights. The resulting composite scores provide a straightforward and replicable measure of performance across scenarios. </w:t>
      </w:r>
    </w:p>
    <w:p w14:paraId="48DEAF3A" w14:textId="77777777" w:rsidR="0017193A" w:rsidRPr="0007547C" w:rsidRDefault="0017193A" w:rsidP="0017193A">
      <w:pPr>
        <w:rPr>
          <w:noProof/>
        </w:rPr>
      </w:pPr>
      <w:r w:rsidRPr="0007547C">
        <w:rPr>
          <w:noProof/>
        </w:rPr>
        <w:t>The MAUT model employ</w:t>
      </w:r>
      <w:r>
        <w:rPr>
          <w:noProof/>
        </w:rPr>
        <w:t>s</w:t>
      </w:r>
      <w:r w:rsidRPr="0007547C">
        <w:rPr>
          <w:noProof/>
        </w:rPr>
        <w:t xml:space="preserve"> an </w:t>
      </w:r>
      <w:r w:rsidRPr="0007547C">
        <w:rPr>
          <w:b/>
          <w:noProof/>
        </w:rPr>
        <w:t>additive aggregation structure</w:t>
      </w:r>
      <w:r w:rsidRPr="0007547C">
        <w:rPr>
          <w:noProof/>
        </w:rPr>
        <w:t xml:space="preserve">, assuming preferential independence across criteria. Each policy option </w:t>
      </w:r>
      <m:oMath>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oMath>
      <w:r w:rsidRPr="0007547C">
        <w:rPr>
          <w:noProof/>
        </w:rPr>
        <w:t>receive</w:t>
      </w:r>
      <w:r>
        <w:rPr>
          <w:noProof/>
        </w:rPr>
        <w:t xml:space="preserve">s </w:t>
      </w:r>
      <w:r w:rsidRPr="0007547C">
        <w:rPr>
          <w:noProof/>
        </w:rPr>
        <w:t>a utility score calculated as:</w:t>
      </w:r>
    </w:p>
    <w:p w14:paraId="21F5166B" w14:textId="77777777" w:rsidR="0017193A" w:rsidRPr="0007547C" w:rsidRDefault="0017193A" w:rsidP="0017193A">
      <w:pPr>
        <w:rPr>
          <w:noProof/>
        </w:rPr>
      </w:pPr>
      <m:oMathPara>
        <m:oMath>
          <m:r>
            <w:rPr>
              <w:rFonts w:ascii="Cambria Math" w:hAnsi="Cambria Math"/>
              <w:noProof/>
            </w:rPr>
            <m:t>U(</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nary>
            <m:naryPr>
              <m:chr m:val="∑"/>
              <m:limLoc m:val="undOvr"/>
              <m:grow m:val="1"/>
              <m:ctrlPr>
                <w:rPr>
                  <w:rFonts w:ascii="Cambria Math" w:hAnsi="Cambria Math"/>
                  <w:noProof/>
                </w:rPr>
              </m:ctrlPr>
            </m:naryPr>
            <m:sub>
              <m:r>
                <w:rPr>
                  <w:rFonts w:ascii="Cambria Math" w:hAnsi="Cambria Math"/>
                  <w:noProof/>
                </w:rPr>
                <m:t>k=1</m:t>
              </m:r>
            </m:sub>
            <m:sup>
              <m:r>
                <w:rPr>
                  <w:rFonts w:ascii="Cambria Math" w:hAnsi="Cambria Math"/>
                  <w:noProof/>
                </w:rPr>
                <m:t>n</m:t>
              </m:r>
            </m:sup>
            <m:e>
              <m:sSub>
                <m:sSubPr>
                  <m:ctrlPr>
                    <w:rPr>
                      <w:rFonts w:ascii="Cambria Math" w:hAnsi="Cambria Math"/>
                      <w:noProof/>
                    </w:rPr>
                  </m:ctrlPr>
                </m:sSubPr>
                <m:e>
                  <m:r>
                    <w:rPr>
                      <w:rFonts w:ascii="Cambria Math" w:hAnsi="Cambria Math"/>
                      <w:noProof/>
                    </w:rPr>
                    <m:t>w</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u</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e>
          </m:nary>
        </m:oMath>
      </m:oMathPara>
    </w:p>
    <w:p w14:paraId="5269D240" w14:textId="77777777" w:rsidR="0017193A" w:rsidRPr="0007547C" w:rsidRDefault="0017193A" w:rsidP="0017193A">
      <w:pPr>
        <w:rPr>
          <w:noProof/>
        </w:rPr>
      </w:pPr>
      <w:r w:rsidRPr="0007547C">
        <w:rPr>
          <w:noProof/>
        </w:rPr>
        <w:t>where:</w:t>
      </w:r>
    </w:p>
    <w:p w14:paraId="40B3B0C0" w14:textId="77777777" w:rsidR="0017193A" w:rsidRPr="0007547C" w:rsidRDefault="00E634B8" w:rsidP="00744B72">
      <w:pPr>
        <w:numPr>
          <w:ilvl w:val="0"/>
          <w:numId w:val="50"/>
        </w:numPr>
        <w:spacing w:after="0" w:line="278" w:lineRule="auto"/>
        <w:ind w:left="480" w:hanging="480"/>
        <w:rPr>
          <w:noProof/>
        </w:rPr>
      </w:pPr>
      <m:oMath>
        <m:sSub>
          <m:sSubPr>
            <m:ctrlPr>
              <w:rPr>
                <w:rFonts w:ascii="Cambria Math" w:hAnsi="Cambria Math"/>
                <w:noProof/>
              </w:rPr>
            </m:ctrlPr>
          </m:sSubPr>
          <m:e>
            <m:r>
              <w:rPr>
                <w:rFonts w:ascii="Cambria Math" w:hAnsi="Cambria Math"/>
                <w:noProof/>
              </w:rPr>
              <m:t>u</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oMath>
      <w:r w:rsidR="0017193A" w:rsidRPr="0007547C">
        <w:rPr>
          <w:noProof/>
        </w:rPr>
        <w:t xml:space="preserve">is the normalised score for impact </w:t>
      </w:r>
      <m:oMath>
        <m:r>
          <w:rPr>
            <w:rFonts w:ascii="Cambria Math" w:hAnsi="Cambria Math"/>
            <w:noProof/>
          </w:rPr>
          <m:t>k</m:t>
        </m:r>
      </m:oMath>
      <w:r w:rsidR="0017193A" w:rsidRPr="0007547C">
        <w:rPr>
          <w:noProof/>
        </w:rPr>
        <w:t xml:space="preserve">under option </w:t>
      </w:r>
      <m:oMath>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oMath>
      <w:r w:rsidR="0017193A" w:rsidRPr="0007547C">
        <w:rPr>
          <w:noProof/>
        </w:rPr>
        <w:t>;</w:t>
      </w:r>
    </w:p>
    <w:p w14:paraId="489084E0" w14:textId="77777777" w:rsidR="0017193A" w:rsidRDefault="00E634B8" w:rsidP="00744B72">
      <w:pPr>
        <w:numPr>
          <w:ilvl w:val="0"/>
          <w:numId w:val="50"/>
        </w:numPr>
        <w:spacing w:after="0" w:line="278" w:lineRule="auto"/>
        <w:ind w:left="480" w:hanging="480"/>
        <w:rPr>
          <w:noProof/>
        </w:rPr>
      </w:pPr>
      <m:oMath>
        <m:sSub>
          <m:sSubPr>
            <m:ctrlPr>
              <w:rPr>
                <w:rFonts w:ascii="Cambria Math" w:hAnsi="Cambria Math"/>
                <w:noProof/>
              </w:rPr>
            </m:ctrlPr>
          </m:sSubPr>
          <m:e>
            <m:r>
              <w:rPr>
                <w:rFonts w:ascii="Cambria Math" w:hAnsi="Cambria Math"/>
                <w:noProof/>
              </w:rPr>
              <m:t>w</m:t>
            </m:r>
          </m:e>
          <m:sub>
            <m:r>
              <w:rPr>
                <w:rFonts w:ascii="Cambria Math" w:hAnsi="Cambria Math"/>
                <w:noProof/>
              </w:rPr>
              <m:t>k</m:t>
            </m:r>
          </m:sub>
        </m:sSub>
      </m:oMath>
      <w:r w:rsidR="0017193A" w:rsidRPr="0007547C">
        <w:rPr>
          <w:noProof/>
        </w:rPr>
        <w:t>is the composite weight derived from the impact and sub-impact levels.</w:t>
      </w:r>
    </w:p>
    <w:p w14:paraId="6B465805" w14:textId="77777777" w:rsidR="0017193A" w:rsidRDefault="0017193A" w:rsidP="0017193A">
      <w:pPr>
        <w:rPr>
          <w:noProof/>
        </w:rPr>
      </w:pPr>
    </w:p>
    <w:p w14:paraId="04AB9F12" w14:textId="77777777" w:rsidR="0017193A" w:rsidRPr="00070861" w:rsidRDefault="0017193A" w:rsidP="0017193A">
      <w:pPr>
        <w:rPr>
          <w:noProof/>
        </w:rPr>
      </w:pPr>
      <w:r w:rsidRPr="00DA029C">
        <w:rPr>
          <w:noProof/>
          <w:lang w:val="en-IE"/>
        </w:rPr>
        <w:t>The</w:t>
      </w:r>
      <w:r w:rsidRPr="00070861">
        <w:rPr>
          <w:noProof/>
        </w:rPr>
        <w:t xml:space="preserve"> MAUT additive model serves as the foundation for comparison with the more preference-based methods (PROMETHEE II and ELECTRE III)</w:t>
      </w:r>
      <w:r>
        <w:rPr>
          <w:noProof/>
        </w:rPr>
        <w:t>, as described next</w:t>
      </w:r>
      <w:r w:rsidRPr="00070861">
        <w:rPr>
          <w:noProof/>
        </w:rPr>
        <w:t xml:space="preserve">. </w:t>
      </w:r>
    </w:p>
    <w:p w14:paraId="470234B4" w14:textId="77777777" w:rsidR="0017193A" w:rsidRPr="0007547C" w:rsidRDefault="0017193A" w:rsidP="0017193A">
      <w:pPr>
        <w:spacing w:after="0" w:line="278" w:lineRule="auto"/>
        <w:ind w:left="720"/>
        <w:rPr>
          <w:noProof/>
        </w:rPr>
      </w:pPr>
    </w:p>
    <w:p w14:paraId="0FB33BF6" w14:textId="77777777" w:rsidR="0017193A" w:rsidRPr="00E96E47" w:rsidRDefault="0017193A" w:rsidP="00744B72">
      <w:pPr>
        <w:pStyle w:val="Heading3"/>
        <w:numPr>
          <w:ilvl w:val="2"/>
          <w:numId w:val="48"/>
        </w:numPr>
        <w:rPr>
          <w:noProof/>
        </w:rPr>
      </w:pPr>
      <w:bookmarkStart w:id="281" w:name="_Toc214519733"/>
      <w:r w:rsidRPr="00E96E47">
        <w:rPr>
          <w:noProof/>
        </w:rPr>
        <w:t>Preference Ranking Organisation Method for Enrichment Evaluation (Promethee II</w:t>
      </w:r>
      <w:bookmarkEnd w:id="281"/>
      <w:r w:rsidRPr="00E96E47">
        <w:rPr>
          <w:noProof/>
        </w:rPr>
        <w:t>)</w:t>
      </w:r>
    </w:p>
    <w:p w14:paraId="6A10084F" w14:textId="77777777" w:rsidR="0017193A" w:rsidRPr="0007547C" w:rsidRDefault="0017193A" w:rsidP="0017193A">
      <w:pPr>
        <w:rPr>
          <w:noProof/>
        </w:rPr>
      </w:pPr>
      <w:r w:rsidRPr="0007547C">
        <w:rPr>
          <w:noProof/>
        </w:rPr>
        <w:t>The Preference Ranking Organisation Method for Enrichment Evaluation (PROMETHEE II)</w:t>
      </w:r>
      <w:r w:rsidRPr="0007547C">
        <w:rPr>
          <w:rStyle w:val="FootnoteReference"/>
          <w:noProof/>
        </w:rPr>
        <w:footnoteReference w:id="103"/>
      </w:r>
      <w:r w:rsidRPr="0007547C">
        <w:rPr>
          <w:noProof/>
        </w:rPr>
        <w:t xml:space="preserve"> is a preference-based and partially compensatory method. It differs from the additive models by considering how strongly one policy option is preferred over another on each criterion, rather than aggregating scores directly. PROMETHEE II compares every pair of alternatives across all criteria and calculates a preference degree that expresses the extent to which one option performs better than another. These degrees are then combined into positive and negative preference flows to establish a final net ranking of the option. </w:t>
      </w:r>
      <w:r>
        <w:rPr>
          <w:noProof/>
        </w:rPr>
        <w:t xml:space="preserve">A positive flow represents how much the option outranks the other while a negative one shows how much it is outranked. The net flow (positive minus negative) provides a full ranking of the alternatives. </w:t>
      </w:r>
      <w:r w:rsidRPr="0007547C">
        <w:rPr>
          <w:noProof/>
        </w:rPr>
        <w:t xml:space="preserve">This approach is valuable because it incorporates thresholds to reflect realistic decision-making behaviour, recognising that small performance differences may be insignificant while larger one signal </w:t>
      </w:r>
      <w:r>
        <w:rPr>
          <w:noProof/>
        </w:rPr>
        <w:t xml:space="preserve">a </w:t>
      </w:r>
      <w:r w:rsidRPr="0007547C">
        <w:rPr>
          <w:noProof/>
        </w:rPr>
        <w:t xml:space="preserve">clear preference. </w:t>
      </w:r>
    </w:p>
    <w:p w14:paraId="041BA488" w14:textId="77777777" w:rsidR="0017193A" w:rsidRPr="0007547C" w:rsidRDefault="0017193A" w:rsidP="0017193A">
      <w:pPr>
        <w:rPr>
          <w:b/>
          <w:noProof/>
        </w:rPr>
      </w:pPr>
      <w:r w:rsidRPr="0007547C">
        <w:rPr>
          <w:b/>
          <w:noProof/>
        </w:rPr>
        <w:t>Thresholds</w:t>
      </w:r>
    </w:p>
    <w:p w14:paraId="3383A31D" w14:textId="77777777" w:rsidR="0017193A" w:rsidRPr="0007547C" w:rsidRDefault="0017193A" w:rsidP="0017193A">
      <w:pPr>
        <w:rPr>
          <w:noProof/>
        </w:rPr>
      </w:pPr>
      <w:r w:rsidRPr="0007547C">
        <w:rPr>
          <w:noProof/>
        </w:rPr>
        <w:t xml:space="preserve">For each criterion k, two thresholds </w:t>
      </w:r>
      <w:r>
        <w:rPr>
          <w:noProof/>
        </w:rPr>
        <w:t>are</w:t>
      </w:r>
      <w:r w:rsidRPr="0007547C">
        <w:rPr>
          <w:noProof/>
        </w:rPr>
        <w:t xml:space="preserve"> defined: </w:t>
      </w:r>
    </w:p>
    <w:p w14:paraId="5C1561BB" w14:textId="77777777" w:rsidR="0017193A" w:rsidRPr="0007547C" w:rsidRDefault="0017193A" w:rsidP="00744B72">
      <w:pPr>
        <w:numPr>
          <w:ilvl w:val="0"/>
          <w:numId w:val="53"/>
        </w:numPr>
        <w:spacing w:after="0"/>
        <w:rPr>
          <w:noProof/>
        </w:rPr>
      </w:pPr>
      <w:r w:rsidRPr="0007547C">
        <w:rPr>
          <w:noProof/>
        </w:rPr>
        <w:t xml:space="preserve">an </w:t>
      </w:r>
      <w:r w:rsidRPr="00DA029C">
        <w:rPr>
          <w:i/>
          <w:iCs/>
          <w:noProof/>
        </w:rPr>
        <w:t>indifference threshold</w:t>
      </w:r>
      <w:r w:rsidRPr="0007547C">
        <w:rPr>
          <w:noProof/>
        </w:rPr>
        <w:t xml:space="preserve"> (q), below which the difference between two options is negligible. This was set to 0.25 of the total score range.</w:t>
      </w:r>
    </w:p>
    <w:p w14:paraId="3B5326BD" w14:textId="77777777" w:rsidR="0017193A" w:rsidRPr="0007547C" w:rsidRDefault="0017193A" w:rsidP="00744B72">
      <w:pPr>
        <w:numPr>
          <w:ilvl w:val="0"/>
          <w:numId w:val="53"/>
        </w:numPr>
        <w:spacing w:after="0"/>
        <w:rPr>
          <w:noProof/>
        </w:rPr>
      </w:pPr>
      <w:r w:rsidRPr="0007547C">
        <w:rPr>
          <w:noProof/>
        </w:rPr>
        <w:t xml:space="preserve">a </w:t>
      </w:r>
      <w:r w:rsidRPr="00DA029C">
        <w:rPr>
          <w:i/>
          <w:iCs/>
          <w:noProof/>
        </w:rPr>
        <w:t>preference threshold</w:t>
      </w:r>
      <w:r w:rsidRPr="0007547C">
        <w:rPr>
          <w:noProof/>
        </w:rPr>
        <w:t xml:space="preserve"> (p), beyond which one option is clearly preferred. This was set to 0.50 of the total score range.</w:t>
      </w:r>
    </w:p>
    <w:p w14:paraId="0001F868" w14:textId="77777777" w:rsidR="0017193A" w:rsidRPr="0007547C" w:rsidRDefault="0017193A" w:rsidP="0017193A">
      <w:pPr>
        <w:spacing w:before="240"/>
        <w:rPr>
          <w:noProof/>
        </w:rPr>
      </w:pPr>
      <w:r w:rsidRPr="0007547C">
        <w:rPr>
          <w:noProof/>
        </w:rPr>
        <w:t>By using these thresholds, the model allowed limited compensation and avoided over-ranking options that performed only marginally better on criteria. PROMETHEE II is therefore effective for policy evaluations involving mixed quantitative and qualitative evidence, as it can reflect nuanced stakeholder preferences while still providing a complete ranking of options.</w:t>
      </w:r>
    </w:p>
    <w:p w14:paraId="66A355CA" w14:textId="77777777" w:rsidR="0017193A" w:rsidRPr="0007547C" w:rsidRDefault="0017193A" w:rsidP="0017193A">
      <w:pPr>
        <w:rPr>
          <w:noProof/>
        </w:rPr>
      </w:pPr>
      <w:r w:rsidRPr="0007547C">
        <w:rPr>
          <w:noProof/>
        </w:rPr>
        <w:t xml:space="preserve">PROMETHEE II is a </w:t>
      </w:r>
      <w:r w:rsidRPr="0007547C">
        <w:rPr>
          <w:b/>
          <w:noProof/>
        </w:rPr>
        <w:t>preference-based, partially compensatory</w:t>
      </w:r>
      <w:r w:rsidRPr="0007547C">
        <w:rPr>
          <w:noProof/>
        </w:rPr>
        <w:t xml:space="preserve"> method relying on pairwise comparisons between alternatives. For each pair </w:t>
      </w:r>
      <m:oMath>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r>
          <w:rPr>
            <w:rFonts w:ascii="Cambria Math" w:hAnsi="Cambria Math"/>
            <w:noProof/>
          </w:rPr>
          <m:t>)</m:t>
        </m:r>
      </m:oMath>
      <w:r w:rsidRPr="0007547C">
        <w:rPr>
          <w:noProof/>
        </w:rPr>
        <w:t xml:space="preserve">, the method computes a preference degree </w:t>
      </w:r>
      <m:oMath>
        <m:sSubSup>
          <m:sSubSupPr>
            <m:ctrlPr>
              <w:rPr>
                <w:rFonts w:ascii="Cambria Math" w:hAnsi="Cambria Math"/>
                <w:noProof/>
              </w:rPr>
            </m:ctrlPr>
          </m:sSubSupPr>
          <m:e>
            <m:r>
              <w:rPr>
                <w:rFonts w:ascii="Cambria Math" w:hAnsi="Cambria Math"/>
                <w:noProof/>
              </w:rPr>
              <m:t>π</m:t>
            </m:r>
          </m:e>
          <m:sub>
            <m:r>
              <w:rPr>
                <w:rFonts w:ascii="Cambria Math" w:hAnsi="Cambria Math"/>
                <w:noProof/>
              </w:rPr>
              <m:t>ij</m:t>
            </m:r>
          </m:sub>
          <m:sup>
            <m:r>
              <w:rPr>
                <w:rFonts w:ascii="Cambria Math" w:hAnsi="Cambria Math"/>
                <w:noProof/>
              </w:rPr>
              <m:t>k</m:t>
            </m:r>
          </m:sup>
        </m:sSubSup>
        <m:r>
          <w:rPr>
            <w:rFonts w:ascii="Cambria Math" w:hAnsi="Cambria Math"/>
            <w:noProof/>
          </w:rPr>
          <m:t>∈[0,1]</m:t>
        </m:r>
      </m:oMath>
      <w:r w:rsidRPr="0007547C">
        <w:rPr>
          <w:noProof/>
        </w:rPr>
        <w:t xml:space="preserve">for each criterion </w:t>
      </w:r>
      <m:oMath>
        <m:r>
          <w:rPr>
            <w:rFonts w:ascii="Cambria Math" w:hAnsi="Cambria Math"/>
            <w:noProof/>
          </w:rPr>
          <m:t>k</m:t>
        </m:r>
      </m:oMath>
      <w:r w:rsidRPr="0007547C">
        <w:rPr>
          <w:noProof/>
        </w:rPr>
        <w:t>, based on the difference in their performance:</w:t>
      </w:r>
    </w:p>
    <w:p w14:paraId="231F2670" w14:textId="77777777" w:rsidR="0017193A" w:rsidRPr="0007547C" w:rsidRDefault="00E634B8" w:rsidP="0017193A">
      <w:pPr>
        <w:rPr>
          <w:noProof/>
        </w:rPr>
      </w:pPr>
      <m:oMathPara>
        <m:oMath>
          <m:sSubSup>
            <m:sSubSupPr>
              <m:ctrlPr>
                <w:rPr>
                  <w:rFonts w:ascii="Cambria Math" w:hAnsi="Cambria Math"/>
                  <w:noProof/>
                </w:rPr>
              </m:ctrlPr>
            </m:sSubSupPr>
            <m:e>
              <m:r>
                <w:rPr>
                  <w:rFonts w:ascii="Cambria Math" w:hAnsi="Cambria Math"/>
                  <w:noProof/>
                </w:rPr>
                <m:t>π</m:t>
              </m:r>
            </m:e>
            <m:sub>
              <m:r>
                <w:rPr>
                  <w:rFonts w:ascii="Cambria Math" w:hAnsi="Cambria Math"/>
                  <w:noProof/>
                </w:rPr>
                <m:t>ij</m:t>
              </m:r>
            </m:sub>
            <m:sup>
              <m:r>
                <w:rPr>
                  <w:rFonts w:ascii="Cambria Math" w:hAnsi="Cambria Math"/>
                  <w:noProof/>
                </w:rPr>
                <m:t>k</m:t>
              </m:r>
            </m:sup>
          </m:sSubSup>
          <m:r>
            <w:rPr>
              <w:rFonts w:ascii="Cambria Math" w:hAnsi="Cambria Math"/>
              <w:noProof/>
            </w:rPr>
            <m:t>=</m:t>
          </m:r>
          <m:sSub>
            <m:sSubPr>
              <m:ctrlPr>
                <w:rPr>
                  <w:rFonts w:ascii="Cambria Math" w:hAnsi="Cambria Math"/>
                  <w:noProof/>
                </w:rPr>
              </m:ctrlPr>
            </m:sSubPr>
            <m:e>
              <m:r>
                <w:rPr>
                  <w:rFonts w:ascii="Cambria Math" w:hAnsi="Cambria Math"/>
                  <w:noProof/>
                </w:rPr>
                <m:t>f</m:t>
              </m:r>
            </m:e>
            <m:sub>
              <m:r>
                <w:rPr>
                  <w:rFonts w:ascii="Cambria Math" w:hAnsi="Cambria Math"/>
                  <w:noProof/>
                </w:rPr>
                <m:t>k</m:t>
              </m:r>
            </m:sub>
          </m:sSub>
          <m:r>
            <w:rPr>
              <w:rFonts w:ascii="Cambria Math" w:hAnsi="Cambria Math"/>
              <w:noProof/>
            </w:rPr>
            <m:t>(</m:t>
          </m:r>
          <m:sSubSup>
            <m:sSubSupPr>
              <m:ctrlPr>
                <w:rPr>
                  <w:rFonts w:ascii="Cambria Math" w:hAnsi="Cambria Math"/>
                  <w:noProof/>
                </w:rPr>
              </m:ctrlPr>
            </m:sSubSupPr>
            <m:e>
              <m:r>
                <w:rPr>
                  <w:rFonts w:ascii="Cambria Math" w:hAnsi="Cambria Math"/>
                  <w:noProof/>
                </w:rPr>
                <m:t>d</m:t>
              </m:r>
            </m:e>
            <m:sub>
              <m:r>
                <w:rPr>
                  <w:rFonts w:ascii="Cambria Math" w:hAnsi="Cambria Math"/>
                  <w:noProof/>
                </w:rPr>
                <m:t>ij</m:t>
              </m:r>
            </m:sub>
            <m:sup>
              <m:r>
                <w:rPr>
                  <w:rFonts w:ascii="Cambria Math" w:hAnsi="Cambria Math"/>
                  <w:noProof/>
                </w:rPr>
                <m:t>k</m:t>
              </m:r>
            </m:sup>
          </m:sSubSup>
          <m:r>
            <w:rPr>
              <w:rFonts w:ascii="Cambria Math" w:hAnsi="Cambria Math"/>
              <w:noProof/>
            </w:rPr>
            <m:t>)</m:t>
          </m:r>
          <m:r>
            <m:rPr>
              <m:sty m:val="p"/>
            </m:rPr>
            <w:rPr>
              <w:rFonts w:ascii="Cambria Math" w:hAnsi="Cambria Math"/>
              <w:noProof/>
            </w:rPr>
            <w:br/>
          </m:r>
        </m:oMath>
      </m:oMathPara>
    </w:p>
    <w:p w14:paraId="7D126848" w14:textId="77777777" w:rsidR="0017193A" w:rsidRPr="0007547C" w:rsidRDefault="0017193A" w:rsidP="0017193A">
      <w:pPr>
        <w:rPr>
          <w:noProof/>
        </w:rPr>
      </w:pPr>
      <w:r w:rsidRPr="0007547C">
        <w:rPr>
          <w:noProof/>
        </w:rPr>
        <w:t xml:space="preserve">where </w:t>
      </w:r>
      <m:oMath>
        <m:sSubSup>
          <m:sSubSupPr>
            <m:ctrlPr>
              <w:rPr>
                <w:rFonts w:ascii="Cambria Math" w:hAnsi="Cambria Math"/>
                <w:noProof/>
              </w:rPr>
            </m:ctrlPr>
          </m:sSubSupPr>
          <m:e>
            <m:r>
              <w:rPr>
                <w:rFonts w:ascii="Cambria Math" w:hAnsi="Cambria Math"/>
                <w:noProof/>
              </w:rPr>
              <m:t>d</m:t>
            </m:r>
          </m:e>
          <m:sub>
            <m:r>
              <w:rPr>
                <w:rFonts w:ascii="Cambria Math" w:hAnsi="Cambria Math"/>
                <w:noProof/>
              </w:rPr>
              <m:t>ij</m:t>
            </m:r>
          </m:sub>
          <m:sup>
            <m:r>
              <w:rPr>
                <w:rFonts w:ascii="Cambria Math" w:hAnsi="Cambria Math"/>
                <w:noProof/>
              </w:rPr>
              <m:t>k</m:t>
            </m:r>
          </m:sup>
        </m:sSubSup>
        <m:r>
          <w:rPr>
            <w:rFonts w:ascii="Cambria Math" w:hAnsi="Cambria Math"/>
            <w:noProof/>
          </w:rPr>
          <m:t>=</m:t>
        </m:r>
        <m:sSub>
          <m:sSubPr>
            <m:ctrlPr>
              <w:rPr>
                <w:rFonts w:ascii="Cambria Math" w:hAnsi="Cambria Math"/>
                <w:noProof/>
              </w:rPr>
            </m:ctrlPr>
          </m:sSubPr>
          <m:e>
            <m:r>
              <w:rPr>
                <w:rFonts w:ascii="Cambria Math" w:hAnsi="Cambria Math"/>
                <w:noProof/>
              </w:rPr>
              <m:t>u</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sSub>
          <m:sSubPr>
            <m:ctrlPr>
              <w:rPr>
                <w:rFonts w:ascii="Cambria Math" w:hAnsi="Cambria Math"/>
                <w:noProof/>
              </w:rPr>
            </m:ctrlPr>
          </m:sSubPr>
          <m:e>
            <m:r>
              <w:rPr>
                <w:rFonts w:ascii="Cambria Math" w:hAnsi="Cambria Math"/>
                <w:noProof/>
              </w:rPr>
              <m:t>u</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r>
          <w:rPr>
            <w:rFonts w:ascii="Cambria Math" w:hAnsi="Cambria Math"/>
            <w:noProof/>
          </w:rPr>
          <m:t>)</m:t>
        </m:r>
      </m:oMath>
      <w:r w:rsidRPr="0007547C">
        <w:rPr>
          <w:noProof/>
        </w:rPr>
        <w:t xml:space="preserve">and </w:t>
      </w:r>
      <m:oMath>
        <m:sSub>
          <m:sSubPr>
            <m:ctrlPr>
              <w:rPr>
                <w:rFonts w:ascii="Cambria Math" w:hAnsi="Cambria Math"/>
                <w:noProof/>
              </w:rPr>
            </m:ctrlPr>
          </m:sSubPr>
          <m:e>
            <m:r>
              <w:rPr>
                <w:rFonts w:ascii="Cambria Math" w:hAnsi="Cambria Math"/>
                <w:noProof/>
              </w:rPr>
              <m:t>f</m:t>
            </m:r>
          </m:e>
          <m:sub>
            <m:r>
              <w:rPr>
                <w:rFonts w:ascii="Cambria Math" w:hAnsi="Cambria Math"/>
                <w:noProof/>
              </w:rPr>
              <m:t>k</m:t>
            </m:r>
          </m:sub>
        </m:sSub>
      </m:oMath>
      <w:r w:rsidRPr="0007547C">
        <w:rPr>
          <w:noProof/>
        </w:rPr>
        <w:t>is a preference function defined by:</w:t>
      </w:r>
    </w:p>
    <w:p w14:paraId="46378AF1" w14:textId="77777777" w:rsidR="0017193A" w:rsidRPr="0007547C" w:rsidRDefault="0017193A" w:rsidP="00744B72">
      <w:pPr>
        <w:numPr>
          <w:ilvl w:val="0"/>
          <w:numId w:val="54"/>
        </w:numPr>
        <w:spacing w:after="0"/>
        <w:rPr>
          <w:noProof/>
        </w:rPr>
      </w:pPr>
      <w:r w:rsidRPr="00DA029C">
        <w:rPr>
          <w:bCs/>
          <w:i/>
          <w:iCs/>
          <w:noProof/>
        </w:rPr>
        <w:t>Indifference threshold</w:t>
      </w:r>
      <w:r w:rsidRPr="0007547C">
        <w:rPr>
          <w:noProof/>
        </w:rPr>
        <w:t xml:space="preserve"> </w:t>
      </w:r>
      <m:oMath>
        <m:sSub>
          <m:sSubPr>
            <m:ctrlPr>
              <w:rPr>
                <w:rFonts w:ascii="Cambria Math" w:hAnsi="Cambria Math"/>
                <w:noProof/>
              </w:rPr>
            </m:ctrlPr>
          </m:sSubPr>
          <m:e>
            <m:r>
              <w:rPr>
                <w:rFonts w:ascii="Cambria Math" w:hAnsi="Cambria Math"/>
                <w:noProof/>
              </w:rPr>
              <m:t>q</m:t>
            </m:r>
          </m:e>
          <m:sub>
            <m:r>
              <w:rPr>
                <w:rFonts w:ascii="Cambria Math" w:hAnsi="Cambria Math"/>
                <w:noProof/>
              </w:rPr>
              <m:t>k</m:t>
            </m:r>
          </m:sub>
        </m:sSub>
      </m:oMath>
      <w:r w:rsidRPr="0007547C">
        <w:rPr>
          <w:noProof/>
        </w:rPr>
        <w:t>: differences below this are considered negligible;</w:t>
      </w:r>
    </w:p>
    <w:p w14:paraId="5BDA11E5" w14:textId="77777777" w:rsidR="0017193A" w:rsidRPr="0007547C" w:rsidRDefault="0017193A" w:rsidP="00744B72">
      <w:pPr>
        <w:numPr>
          <w:ilvl w:val="0"/>
          <w:numId w:val="54"/>
        </w:numPr>
        <w:spacing w:after="0"/>
        <w:rPr>
          <w:noProof/>
        </w:rPr>
      </w:pPr>
      <w:r w:rsidRPr="00DA029C">
        <w:rPr>
          <w:bCs/>
          <w:i/>
          <w:iCs/>
          <w:noProof/>
        </w:rPr>
        <w:t>Preference threshold</w:t>
      </w:r>
      <w:r w:rsidRPr="0007547C">
        <w:rPr>
          <w:noProof/>
        </w:rPr>
        <w:t xml:space="preserve"> </w:t>
      </w:r>
      <m:oMath>
        <m:sSub>
          <m:sSubPr>
            <m:ctrlPr>
              <w:rPr>
                <w:rFonts w:ascii="Cambria Math" w:hAnsi="Cambria Math"/>
                <w:noProof/>
              </w:rPr>
            </m:ctrlPr>
          </m:sSubPr>
          <m:e>
            <m:r>
              <w:rPr>
                <w:rFonts w:ascii="Cambria Math" w:hAnsi="Cambria Math"/>
                <w:noProof/>
              </w:rPr>
              <m:t>p</m:t>
            </m:r>
          </m:e>
          <m:sub>
            <m:r>
              <w:rPr>
                <w:rFonts w:ascii="Cambria Math" w:hAnsi="Cambria Math"/>
                <w:noProof/>
              </w:rPr>
              <m:t>k</m:t>
            </m:r>
          </m:sub>
        </m:sSub>
      </m:oMath>
      <w:r w:rsidRPr="0007547C">
        <w:rPr>
          <w:noProof/>
        </w:rPr>
        <w:t>: differences above this imply strict preference.</w:t>
      </w:r>
    </w:p>
    <w:p w14:paraId="57ED6FEE" w14:textId="77777777" w:rsidR="0017193A" w:rsidRPr="0007547C" w:rsidRDefault="0017193A" w:rsidP="0017193A">
      <w:pPr>
        <w:spacing w:before="240"/>
        <w:rPr>
          <w:noProof/>
        </w:rPr>
      </w:pPr>
      <w:r w:rsidRPr="0007547C">
        <w:rPr>
          <w:noProof/>
        </w:rPr>
        <w:t xml:space="preserve">The overall preference index between </w:t>
      </w:r>
      <m:oMath>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oMath>
      <w:r w:rsidRPr="0007547C">
        <w:rPr>
          <w:noProof/>
        </w:rPr>
        <w:t xml:space="preserve">and </w:t>
      </w:r>
      <m:oMath>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oMath>
      <w:r w:rsidRPr="0007547C">
        <w:rPr>
          <w:noProof/>
        </w:rPr>
        <w:t>is:</w:t>
      </w:r>
    </w:p>
    <w:p w14:paraId="4AEBF353" w14:textId="77777777" w:rsidR="0017193A" w:rsidRPr="0007547C" w:rsidRDefault="00E634B8" w:rsidP="0017193A">
      <w:pPr>
        <w:rPr>
          <w:noProof/>
        </w:rPr>
      </w:pPr>
      <m:oMathPara>
        <m:oMath>
          <m:sSub>
            <m:sSubPr>
              <m:ctrlPr>
                <w:rPr>
                  <w:rFonts w:ascii="Cambria Math" w:hAnsi="Cambria Math"/>
                  <w:noProof/>
                </w:rPr>
              </m:ctrlPr>
            </m:sSubPr>
            <m:e>
              <m:r>
                <m:rPr>
                  <m:sty m:val="p"/>
                </m:rPr>
                <w:rPr>
                  <w:rFonts w:ascii="Cambria Math" w:hAnsi="Cambria Math"/>
                  <w:noProof/>
                </w:rPr>
                <m:t>Π</m:t>
              </m:r>
            </m:e>
            <m:sub>
              <m:r>
                <w:rPr>
                  <w:rFonts w:ascii="Cambria Math" w:hAnsi="Cambria Math"/>
                  <w:noProof/>
                </w:rPr>
                <m:t>ij</m:t>
              </m:r>
            </m:sub>
          </m:sSub>
          <m:r>
            <w:rPr>
              <w:rFonts w:ascii="Cambria Math" w:hAnsi="Cambria Math"/>
              <w:noProof/>
            </w:rPr>
            <m:t>=</m:t>
          </m:r>
          <m:nary>
            <m:naryPr>
              <m:chr m:val="∑"/>
              <m:limLoc m:val="undOvr"/>
              <m:grow m:val="1"/>
              <m:ctrlPr>
                <w:rPr>
                  <w:rFonts w:ascii="Cambria Math" w:hAnsi="Cambria Math"/>
                  <w:noProof/>
                </w:rPr>
              </m:ctrlPr>
            </m:naryPr>
            <m:sub>
              <m:r>
                <w:rPr>
                  <w:rFonts w:ascii="Cambria Math" w:hAnsi="Cambria Math"/>
                  <w:noProof/>
                </w:rPr>
                <m:t>k</m:t>
              </m:r>
              <m:r>
                <w:rPr>
                  <w:rFonts w:ascii="Cambria Math" w:hAnsi="Cambria Math"/>
                  <w:noProof/>
                </w:rPr>
                <m:t>=1</m:t>
              </m:r>
            </m:sub>
            <m:sup>
              <m:r>
                <w:rPr>
                  <w:rFonts w:ascii="Cambria Math" w:hAnsi="Cambria Math"/>
                  <w:noProof/>
                </w:rPr>
                <m:t>n</m:t>
              </m:r>
            </m:sup>
            <m:e>
              <m:sSub>
                <m:sSubPr>
                  <m:ctrlPr>
                    <w:rPr>
                      <w:rFonts w:ascii="Cambria Math" w:hAnsi="Cambria Math"/>
                      <w:noProof/>
                    </w:rPr>
                  </m:ctrlPr>
                </m:sSubPr>
                <m:e>
                  <m:r>
                    <w:rPr>
                      <w:rFonts w:ascii="Cambria Math" w:hAnsi="Cambria Math"/>
                      <w:noProof/>
                    </w:rPr>
                    <m:t>w</m:t>
                  </m:r>
                </m:e>
                <m:sub>
                  <m:r>
                    <w:rPr>
                      <w:rFonts w:ascii="Cambria Math" w:hAnsi="Cambria Math"/>
                      <w:noProof/>
                    </w:rPr>
                    <m:t>k</m:t>
                  </m:r>
                </m:sub>
              </m:sSub>
              <m:sSubSup>
                <m:sSubSupPr>
                  <m:ctrlPr>
                    <w:rPr>
                      <w:rFonts w:ascii="Cambria Math" w:hAnsi="Cambria Math"/>
                      <w:noProof/>
                    </w:rPr>
                  </m:ctrlPr>
                </m:sSubSupPr>
                <m:e>
                  <m:r>
                    <w:rPr>
                      <w:rFonts w:ascii="Cambria Math" w:hAnsi="Cambria Math"/>
                      <w:noProof/>
                    </w:rPr>
                    <m:t>π</m:t>
                  </m:r>
                </m:e>
                <m:sub>
                  <m:r>
                    <w:rPr>
                      <w:rFonts w:ascii="Cambria Math" w:hAnsi="Cambria Math"/>
                      <w:noProof/>
                    </w:rPr>
                    <m:t>ij</m:t>
                  </m:r>
                </m:sub>
                <m:sup>
                  <m:r>
                    <w:rPr>
                      <w:rFonts w:ascii="Cambria Math" w:hAnsi="Cambria Math"/>
                      <w:noProof/>
                    </w:rPr>
                    <m:t>k</m:t>
                  </m:r>
                </m:sup>
              </m:sSubSup>
            </m:e>
          </m:nary>
          <m:r>
            <m:rPr>
              <m:sty m:val="p"/>
            </m:rPr>
            <w:rPr>
              <w:rFonts w:ascii="Cambria Math" w:hAnsi="Cambria Math"/>
              <w:noProof/>
            </w:rPr>
            <w:br/>
          </m:r>
        </m:oMath>
      </m:oMathPara>
      <w:r w:rsidR="0017193A" w:rsidRPr="0007547C">
        <w:rPr>
          <w:noProof/>
        </w:rPr>
        <w:t>Positive (</w:t>
      </w:r>
      <m:oMath>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oMath>
      <w:r w:rsidR="0017193A" w:rsidRPr="0007547C">
        <w:rPr>
          <w:noProof/>
        </w:rPr>
        <w:t>) and negative (</w:t>
      </w:r>
      <m:oMath>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oMath>
      <w:r w:rsidR="0017193A" w:rsidRPr="0007547C">
        <w:rPr>
          <w:noProof/>
        </w:rPr>
        <w:t>) flows are then computed:</w:t>
      </w:r>
    </w:p>
    <w:p w14:paraId="58E28647" w14:textId="77777777" w:rsidR="0017193A" w:rsidRPr="0007547C" w:rsidRDefault="00E634B8" w:rsidP="0017193A">
      <w:pPr>
        <w:rPr>
          <w:noProof/>
        </w:rPr>
      </w:pPr>
      <m:oMathPara>
        <m:oMath>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f>
            <m:fPr>
              <m:ctrlPr>
                <w:rPr>
                  <w:rFonts w:ascii="Cambria Math" w:hAnsi="Cambria Math"/>
                  <w:noProof/>
                </w:rPr>
              </m:ctrlPr>
            </m:fPr>
            <m:num>
              <m:r>
                <w:rPr>
                  <w:rFonts w:ascii="Cambria Math" w:hAnsi="Cambria Math"/>
                  <w:noProof/>
                </w:rPr>
                <m:t>1</m:t>
              </m:r>
            </m:num>
            <m:den>
              <m:r>
                <w:rPr>
                  <w:rFonts w:ascii="Cambria Math" w:hAnsi="Cambria Math"/>
                  <w:noProof/>
                </w:rPr>
                <m:t>m</m:t>
              </m:r>
              <m:r>
                <w:rPr>
                  <w:rFonts w:ascii="Cambria Math" w:hAnsi="Cambria Math"/>
                  <w:noProof/>
                </w:rPr>
                <m:t>-</m:t>
              </m:r>
              <m:r>
                <w:rPr>
                  <w:rFonts w:ascii="Cambria Math" w:hAnsi="Cambria Math"/>
                  <w:noProof/>
                </w:rPr>
                <m:t>1</m:t>
              </m:r>
            </m:den>
          </m:f>
          <m:nary>
            <m:naryPr>
              <m:chr m:val="∑"/>
              <m:limLoc m:val="undOvr"/>
              <m:grow m:val="1"/>
              <m:supHide m:val="1"/>
              <m:ctrlPr>
                <w:rPr>
                  <w:rFonts w:ascii="Cambria Math" w:hAnsi="Cambria Math"/>
                  <w:noProof/>
                </w:rPr>
              </m:ctrlPr>
            </m:naryPr>
            <m:sub>
              <m:r>
                <w:rPr>
                  <w:rFonts w:ascii="Cambria Math" w:hAnsi="Cambria Math"/>
                  <w:noProof/>
                </w:rPr>
                <m:t>j</m:t>
              </m:r>
              <m:r>
                <m:rPr>
                  <m:sty m:val="p"/>
                </m:rPr>
                <w:rPr>
                  <w:rFonts w:ascii="Cambria Math" w:hAnsi="Cambria Math"/>
                  <w:noProof/>
                </w:rPr>
                <m:t>≠</m:t>
              </m:r>
              <m:r>
                <w:rPr>
                  <w:rFonts w:ascii="Cambria Math" w:hAnsi="Cambria Math"/>
                  <w:noProof/>
                </w:rPr>
                <m:t>i</m:t>
              </m:r>
            </m:sub>
            <m:sup/>
            <m:e>
              <m:sSub>
                <m:sSubPr>
                  <m:ctrlPr>
                    <w:rPr>
                      <w:rFonts w:ascii="Cambria Math" w:hAnsi="Cambria Math"/>
                      <w:noProof/>
                    </w:rPr>
                  </m:ctrlPr>
                </m:sSubPr>
                <m:e>
                  <m:r>
                    <m:rPr>
                      <m:sty m:val="p"/>
                    </m:rPr>
                    <w:rPr>
                      <w:rFonts w:ascii="Cambria Math" w:hAnsi="Cambria Math"/>
                      <w:noProof/>
                    </w:rPr>
                    <m:t>Π</m:t>
                  </m:r>
                </m:e>
                <m:sub>
                  <m:r>
                    <w:rPr>
                      <w:rFonts w:ascii="Cambria Math" w:hAnsi="Cambria Math"/>
                      <w:noProof/>
                    </w:rPr>
                    <m:t>ij</m:t>
                  </m:r>
                </m:sub>
              </m:sSub>
              <m:r>
                <w:rPr>
                  <w:rFonts w:ascii="Cambria Math" w:hAnsi="Cambria Math"/>
                  <w:noProof/>
                </w:rPr>
                <m:t>,</m:t>
              </m:r>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e>
          </m:nary>
          <m:r>
            <w:rPr>
              <w:rFonts w:ascii="Cambria Math" w:hAnsi="Cambria Math"/>
              <w:noProof/>
            </w:rPr>
            <m:t>=</m:t>
          </m:r>
          <m:f>
            <m:fPr>
              <m:ctrlPr>
                <w:rPr>
                  <w:rFonts w:ascii="Cambria Math" w:hAnsi="Cambria Math"/>
                  <w:noProof/>
                </w:rPr>
              </m:ctrlPr>
            </m:fPr>
            <m:num>
              <m:r>
                <w:rPr>
                  <w:rFonts w:ascii="Cambria Math" w:hAnsi="Cambria Math"/>
                  <w:noProof/>
                </w:rPr>
                <m:t>1</m:t>
              </m:r>
            </m:num>
            <m:den>
              <m:r>
                <w:rPr>
                  <w:rFonts w:ascii="Cambria Math" w:hAnsi="Cambria Math"/>
                  <w:noProof/>
                </w:rPr>
                <m:t>m</m:t>
              </m:r>
              <m:r>
                <w:rPr>
                  <w:rFonts w:ascii="Cambria Math" w:hAnsi="Cambria Math"/>
                  <w:noProof/>
                </w:rPr>
                <m:t>-</m:t>
              </m:r>
              <m:r>
                <w:rPr>
                  <w:rFonts w:ascii="Cambria Math" w:hAnsi="Cambria Math"/>
                  <w:noProof/>
                </w:rPr>
                <m:t>1</m:t>
              </m:r>
            </m:den>
          </m:f>
          <m:nary>
            <m:naryPr>
              <m:chr m:val="∑"/>
              <m:limLoc m:val="undOvr"/>
              <m:grow m:val="1"/>
              <m:supHide m:val="1"/>
              <m:ctrlPr>
                <w:rPr>
                  <w:rFonts w:ascii="Cambria Math" w:hAnsi="Cambria Math"/>
                  <w:noProof/>
                </w:rPr>
              </m:ctrlPr>
            </m:naryPr>
            <m:sub>
              <m:r>
                <w:rPr>
                  <w:rFonts w:ascii="Cambria Math" w:hAnsi="Cambria Math"/>
                  <w:noProof/>
                </w:rPr>
                <m:t>j</m:t>
              </m:r>
              <m:r>
                <m:rPr>
                  <m:sty m:val="p"/>
                </m:rPr>
                <w:rPr>
                  <w:rFonts w:ascii="Cambria Math" w:hAnsi="Cambria Math"/>
                  <w:noProof/>
                </w:rPr>
                <m:t>≠</m:t>
              </m:r>
              <m:r>
                <w:rPr>
                  <w:rFonts w:ascii="Cambria Math" w:hAnsi="Cambria Math"/>
                  <w:noProof/>
                </w:rPr>
                <m:t>i</m:t>
              </m:r>
            </m:sub>
            <m:sup/>
            <m:e>
              <m:sSub>
                <m:sSubPr>
                  <m:ctrlPr>
                    <w:rPr>
                      <w:rFonts w:ascii="Cambria Math" w:hAnsi="Cambria Math"/>
                      <w:noProof/>
                    </w:rPr>
                  </m:ctrlPr>
                </m:sSubPr>
                <m:e>
                  <m:r>
                    <m:rPr>
                      <m:sty m:val="p"/>
                    </m:rPr>
                    <w:rPr>
                      <w:rFonts w:ascii="Cambria Math" w:hAnsi="Cambria Math"/>
                      <w:noProof/>
                    </w:rPr>
                    <m:t>Π</m:t>
                  </m:r>
                </m:e>
                <m:sub>
                  <m:r>
                    <w:rPr>
                      <w:rFonts w:ascii="Cambria Math" w:hAnsi="Cambria Math"/>
                      <w:noProof/>
                    </w:rPr>
                    <m:t>ji</m:t>
                  </m:r>
                </m:sub>
              </m:sSub>
            </m:e>
          </m:nary>
          <m:r>
            <m:rPr>
              <m:sty m:val="p"/>
            </m:rPr>
            <w:rPr>
              <w:rFonts w:ascii="Cambria Math" w:hAnsi="Cambria Math"/>
              <w:noProof/>
            </w:rPr>
            <w:br/>
          </m:r>
        </m:oMath>
      </m:oMathPara>
    </w:p>
    <w:p w14:paraId="05462471" w14:textId="77777777" w:rsidR="0017193A" w:rsidRPr="0007547C" w:rsidRDefault="0017193A" w:rsidP="0017193A">
      <w:pPr>
        <w:rPr>
          <w:noProof/>
        </w:rPr>
      </w:pPr>
      <w:r w:rsidRPr="0007547C">
        <w:rPr>
          <w:noProof/>
        </w:rPr>
        <w:t xml:space="preserve">The </w:t>
      </w:r>
      <w:r w:rsidRPr="0007547C">
        <w:rPr>
          <w:b/>
          <w:noProof/>
        </w:rPr>
        <w:t>net flow</w:t>
      </w:r>
      <w:r w:rsidRPr="0007547C">
        <w:rPr>
          <w:noProof/>
        </w:rPr>
        <w:t xml:space="preserve"> (</w:t>
      </w:r>
      <m:oMath>
        <m:r>
          <w:rPr>
            <w:rFonts w:ascii="Cambria Math" w:hAnsi="Cambria Math"/>
            <w:noProof/>
          </w:rPr>
          <m:t>ϕ(</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r>
          <w:rPr>
            <w:rFonts w:ascii="Cambria Math" w:hAnsi="Cambria Math"/>
            <w:noProof/>
          </w:rPr>
          <m:t>-</m:t>
        </m:r>
        <m:sSup>
          <m:sSupPr>
            <m:ctrlPr>
              <w:rPr>
                <w:rFonts w:ascii="Cambria Math" w:hAnsi="Cambria Math"/>
                <w:noProof/>
              </w:rPr>
            </m:ctrlPr>
          </m:sSupPr>
          <m:e>
            <m:r>
              <w:rPr>
                <w:rFonts w:ascii="Cambria Math" w:hAnsi="Cambria Math"/>
                <w:noProof/>
              </w:rPr>
              <m:t>ϕ</m:t>
            </m:r>
          </m:e>
          <m:sup>
            <m:r>
              <w:rPr>
                <w:rFonts w:ascii="Cambria Math" w:hAnsi="Cambria Math"/>
                <w:noProof/>
              </w:rPr>
              <m:t>-</m:t>
            </m:r>
          </m:sup>
        </m:sSup>
      </m:oMath>
      <w:r w:rsidRPr="0007547C">
        <w:rPr>
          <w:noProof/>
        </w:rPr>
        <w:t>) provides a complete ranking of the alternatives.</w:t>
      </w:r>
    </w:p>
    <w:p w14:paraId="6EF0C3F0" w14:textId="77777777" w:rsidR="0017193A" w:rsidRPr="008F5913" w:rsidRDefault="0017193A" w:rsidP="00744B72">
      <w:pPr>
        <w:pStyle w:val="Heading3"/>
        <w:numPr>
          <w:ilvl w:val="2"/>
          <w:numId w:val="48"/>
        </w:numPr>
        <w:rPr>
          <w:noProof/>
          <w:lang w:val="fr-BE"/>
        </w:rPr>
      </w:pPr>
      <w:bookmarkStart w:id="282" w:name="_Toc214519734"/>
      <w:r w:rsidRPr="008C7413">
        <w:rPr>
          <w:noProof/>
          <w:lang w:val="fr-BE"/>
        </w:rPr>
        <w:t>ELimination Et Choix Traduisant la REalité (Electre III</w:t>
      </w:r>
      <w:bookmarkEnd w:id="282"/>
      <w:r w:rsidRPr="008C7413">
        <w:rPr>
          <w:noProof/>
          <w:lang w:val="fr-BE"/>
        </w:rPr>
        <w:t>)</w:t>
      </w:r>
    </w:p>
    <w:p w14:paraId="148A9260" w14:textId="77777777" w:rsidR="0017193A" w:rsidRPr="0007547C" w:rsidRDefault="0017193A" w:rsidP="0017193A">
      <w:pPr>
        <w:rPr>
          <w:noProof/>
        </w:rPr>
      </w:pPr>
      <w:r w:rsidRPr="0007547C">
        <w:rPr>
          <w:noProof/>
        </w:rPr>
        <w:t>The ELimination Et Choix Traduisant la REalité (ELECTRE III)</w:t>
      </w:r>
      <w:r w:rsidRPr="0007547C">
        <w:rPr>
          <w:rStyle w:val="FootnoteReference"/>
          <w:noProof/>
        </w:rPr>
        <w:footnoteReference w:id="104"/>
      </w:r>
      <w:r w:rsidRPr="0007547C">
        <w:rPr>
          <w:noProof/>
        </w:rPr>
        <w:t xml:space="preserve"> method is an outranking approach. Unlike MAUT, or PROMETHEE II, it does not assume </w:t>
      </w:r>
      <w:r>
        <w:rPr>
          <w:noProof/>
        </w:rPr>
        <w:t xml:space="preserve">that </w:t>
      </w:r>
      <w:r w:rsidRPr="0007547C">
        <w:rPr>
          <w:noProof/>
        </w:rPr>
        <w:t xml:space="preserve">trade-offs between criteria are always acceptable. Instead, it tests whether there is sufficient evidence to state that one policy option outranks another, i.e. performs at least as well overall, without being significantly worse on any major criterion. </w:t>
      </w:r>
    </w:p>
    <w:p w14:paraId="231E3868" w14:textId="77777777" w:rsidR="0017193A" w:rsidRPr="0007547C" w:rsidRDefault="0017193A" w:rsidP="0017193A">
      <w:pPr>
        <w:rPr>
          <w:noProof/>
        </w:rPr>
      </w:pPr>
      <w:r w:rsidRPr="0007547C">
        <w:rPr>
          <w:noProof/>
        </w:rPr>
        <w:t>ELECTRE III is a non-compensatory model, which makes it useful when some criteria (e.g. environmental sustainability) are considered essential and should not be fully offset by gains elsewhere. It combines two types of information:</w:t>
      </w:r>
    </w:p>
    <w:p w14:paraId="5966A4DA" w14:textId="77777777" w:rsidR="0017193A" w:rsidRPr="0007547C" w:rsidRDefault="0017193A" w:rsidP="00744B72">
      <w:pPr>
        <w:numPr>
          <w:ilvl w:val="0"/>
          <w:numId w:val="55"/>
        </w:numPr>
        <w:spacing w:after="0"/>
        <w:rPr>
          <w:noProof/>
        </w:rPr>
      </w:pPr>
      <w:r w:rsidRPr="00DA029C">
        <w:rPr>
          <w:i/>
          <w:iCs/>
          <w:noProof/>
        </w:rPr>
        <w:t>Indifference threshold</w:t>
      </w:r>
      <w:r w:rsidRPr="0007547C">
        <w:rPr>
          <w:noProof/>
        </w:rPr>
        <w:t xml:space="preserve"> (q): small differences are ignored. This was set to 0.25 of the total score range.</w:t>
      </w:r>
    </w:p>
    <w:p w14:paraId="51CF2C71" w14:textId="77777777" w:rsidR="0017193A" w:rsidRPr="0007547C" w:rsidRDefault="0017193A" w:rsidP="00744B72">
      <w:pPr>
        <w:numPr>
          <w:ilvl w:val="0"/>
          <w:numId w:val="55"/>
        </w:numPr>
        <w:spacing w:after="0"/>
        <w:rPr>
          <w:noProof/>
        </w:rPr>
      </w:pPr>
      <w:r w:rsidRPr="00DA029C">
        <w:rPr>
          <w:i/>
          <w:iCs/>
          <w:noProof/>
        </w:rPr>
        <w:t>Preference threshold</w:t>
      </w:r>
      <w:r w:rsidRPr="0007547C">
        <w:rPr>
          <w:noProof/>
        </w:rPr>
        <w:t xml:space="preserve"> (p): a preference threshold (p), larger differences indicate a clear preference. This was set to 0.50 of the total score range.</w:t>
      </w:r>
    </w:p>
    <w:p w14:paraId="13E8BE73" w14:textId="77777777" w:rsidR="0017193A" w:rsidRPr="0007547C" w:rsidRDefault="0017193A" w:rsidP="00744B72">
      <w:pPr>
        <w:numPr>
          <w:ilvl w:val="0"/>
          <w:numId w:val="55"/>
        </w:numPr>
        <w:spacing w:after="0"/>
        <w:rPr>
          <w:noProof/>
        </w:rPr>
      </w:pPr>
      <w:r w:rsidRPr="00DA029C">
        <w:rPr>
          <w:i/>
          <w:iCs/>
          <w:noProof/>
        </w:rPr>
        <w:t>Veto threshold</w:t>
      </w:r>
      <w:r w:rsidRPr="0007547C">
        <w:rPr>
          <w:noProof/>
        </w:rPr>
        <w:t xml:space="preserve"> (v): if the difference exceeds this level, one criterion can block the overall outranking regardless of others. </w:t>
      </w:r>
    </w:p>
    <w:p w14:paraId="62DEFB9F" w14:textId="77777777" w:rsidR="0017193A" w:rsidRPr="0007547C" w:rsidRDefault="0017193A" w:rsidP="0017193A">
      <w:pPr>
        <w:spacing w:before="240"/>
        <w:rPr>
          <w:noProof/>
        </w:rPr>
      </w:pPr>
      <w:r w:rsidRPr="0007547C">
        <w:rPr>
          <w:noProof/>
        </w:rPr>
        <w:t xml:space="preserve">Thresholds </w:t>
      </w:r>
      <w:r>
        <w:rPr>
          <w:noProof/>
        </w:rPr>
        <w:t>are</w:t>
      </w:r>
      <w:r w:rsidRPr="0007547C">
        <w:rPr>
          <w:noProof/>
        </w:rPr>
        <w:t xml:space="preserve"> set to match chosen the way the PROMETHEE model is configured. ELECTRE III is particularly beneficial in regulatory and policy contexts, as it can identify incomparability i.e. cases where neither option is clearly superior, which mirrors complexity of multi decision-making.</w:t>
      </w:r>
    </w:p>
    <w:p w14:paraId="1F67E54B" w14:textId="77777777" w:rsidR="0017193A" w:rsidRPr="0007547C" w:rsidRDefault="0017193A" w:rsidP="0017193A">
      <w:pPr>
        <w:rPr>
          <w:noProof/>
        </w:rPr>
      </w:pPr>
      <w:r>
        <w:rPr>
          <w:noProof/>
        </w:rPr>
        <w:t xml:space="preserve">Summarizing, </w:t>
      </w:r>
      <w:r w:rsidRPr="0007547C">
        <w:rPr>
          <w:noProof/>
        </w:rPr>
        <w:t xml:space="preserve">ELECTRE III is a </w:t>
      </w:r>
      <w:r w:rsidRPr="0007547C">
        <w:rPr>
          <w:b/>
          <w:noProof/>
        </w:rPr>
        <w:t>non-compensatory outranking</w:t>
      </w:r>
      <w:r w:rsidRPr="0007547C">
        <w:rPr>
          <w:noProof/>
        </w:rPr>
        <w:t xml:space="preserve"> method that assesses whether one alternative “outranks” another by combining </w:t>
      </w:r>
      <w:r w:rsidRPr="0007547C">
        <w:rPr>
          <w:i/>
          <w:noProof/>
        </w:rPr>
        <w:t>concordance</w:t>
      </w:r>
      <w:r w:rsidRPr="0007547C">
        <w:rPr>
          <w:noProof/>
        </w:rPr>
        <w:t xml:space="preserve"> (agreement) and </w:t>
      </w:r>
      <w:r w:rsidRPr="0007547C">
        <w:rPr>
          <w:i/>
          <w:noProof/>
        </w:rPr>
        <w:t>discordance</w:t>
      </w:r>
      <w:r w:rsidRPr="0007547C">
        <w:rPr>
          <w:noProof/>
        </w:rPr>
        <w:t xml:space="preserve"> (veto) indices.</w:t>
      </w:r>
    </w:p>
    <w:p w14:paraId="6FD4429D" w14:textId="77777777" w:rsidR="0017193A" w:rsidRPr="0007547C" w:rsidRDefault="0017193A" w:rsidP="0017193A">
      <w:pPr>
        <w:rPr>
          <w:noProof/>
        </w:rPr>
      </w:pPr>
      <w:r w:rsidRPr="0007547C">
        <w:rPr>
          <w:noProof/>
        </w:rPr>
        <w:t xml:space="preserve">For each pair of alternatives </w:t>
      </w:r>
      <m:oMath>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r>
          <w:rPr>
            <w:rFonts w:ascii="Cambria Math" w:hAnsi="Cambria Math"/>
            <w:noProof/>
          </w:rPr>
          <m:t>)</m:t>
        </m:r>
      </m:oMath>
      <w:r w:rsidRPr="0007547C">
        <w:rPr>
          <w:noProof/>
        </w:rPr>
        <w:t>:</w:t>
      </w:r>
    </w:p>
    <w:p w14:paraId="3D0C6F1B" w14:textId="77777777" w:rsidR="0017193A" w:rsidRPr="0007547C" w:rsidRDefault="0017193A" w:rsidP="00744B72">
      <w:pPr>
        <w:numPr>
          <w:ilvl w:val="0"/>
          <w:numId w:val="56"/>
        </w:numPr>
        <w:spacing w:after="0"/>
        <w:rPr>
          <w:noProof/>
        </w:rPr>
      </w:pPr>
      <w:r w:rsidRPr="0007547C">
        <w:rPr>
          <w:noProof/>
        </w:rPr>
        <w:t xml:space="preserve">A </w:t>
      </w:r>
      <w:r w:rsidRPr="00DA029C">
        <w:rPr>
          <w:bCs/>
          <w:i/>
          <w:iCs/>
          <w:noProof/>
        </w:rPr>
        <w:t>concordance index</w:t>
      </w:r>
      <w:r w:rsidRPr="0007547C">
        <w:rPr>
          <w:noProof/>
        </w:rPr>
        <w:t xml:space="preserve"> </w:t>
      </w:r>
      <m:oMath>
        <m:sSub>
          <m:sSubPr>
            <m:ctrlPr>
              <w:rPr>
                <w:rFonts w:ascii="Cambria Math" w:hAnsi="Cambria Math"/>
                <w:noProof/>
              </w:rPr>
            </m:ctrlPr>
          </m:sSubPr>
          <m:e>
            <m:r>
              <w:rPr>
                <w:rFonts w:ascii="Cambria Math" w:hAnsi="Cambria Math"/>
                <w:noProof/>
              </w:rPr>
              <m:t>C</m:t>
            </m:r>
          </m:e>
          <m:sub>
            <m:r>
              <w:rPr>
                <w:rFonts w:ascii="Cambria Math" w:hAnsi="Cambria Math"/>
                <w:noProof/>
              </w:rPr>
              <m:t>ij</m:t>
            </m:r>
          </m:sub>
        </m:sSub>
      </m:oMath>
      <w:r w:rsidRPr="0007547C">
        <w:rPr>
          <w:noProof/>
        </w:rPr>
        <w:t>expresses the degree to which criteria support the statement “</w:t>
      </w:r>
      <m:oMath>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oMath>
      <w:r w:rsidRPr="0007547C">
        <w:rPr>
          <w:noProof/>
        </w:rPr>
        <w:t xml:space="preserve"> is at least as good as </w:t>
      </w:r>
      <m:oMath>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oMath>
      <w:r w:rsidRPr="0007547C">
        <w:rPr>
          <w:noProof/>
        </w:rPr>
        <w:t>”:</w:t>
      </w:r>
    </w:p>
    <w:p w14:paraId="210F3235" w14:textId="77777777" w:rsidR="0017193A" w:rsidRPr="0007547C" w:rsidRDefault="00E634B8" w:rsidP="0017193A">
      <w:pPr>
        <w:rPr>
          <w:noProof/>
        </w:rPr>
      </w:pPr>
      <m:oMathPara>
        <m:oMath>
          <m:sSub>
            <m:sSubPr>
              <m:ctrlPr>
                <w:rPr>
                  <w:rFonts w:ascii="Cambria Math" w:hAnsi="Cambria Math"/>
                  <w:noProof/>
                </w:rPr>
              </m:ctrlPr>
            </m:sSubPr>
            <m:e>
              <m:r>
                <w:rPr>
                  <w:rFonts w:ascii="Cambria Math" w:hAnsi="Cambria Math"/>
                  <w:noProof/>
                </w:rPr>
                <m:t>C</m:t>
              </m:r>
            </m:e>
            <m:sub>
              <m:r>
                <w:rPr>
                  <w:rFonts w:ascii="Cambria Math" w:hAnsi="Cambria Math"/>
                  <w:noProof/>
                </w:rPr>
                <m:t>ij</m:t>
              </m:r>
            </m:sub>
          </m:sSub>
          <m:r>
            <w:rPr>
              <w:rFonts w:ascii="Cambria Math" w:hAnsi="Cambria Math"/>
              <w:noProof/>
            </w:rPr>
            <m:t>=</m:t>
          </m:r>
          <m:nary>
            <m:naryPr>
              <m:chr m:val="∑"/>
              <m:limLoc m:val="undOvr"/>
              <m:grow m:val="1"/>
              <m:supHide m:val="1"/>
              <m:ctrlPr>
                <w:rPr>
                  <w:rFonts w:ascii="Cambria Math" w:hAnsi="Cambria Math"/>
                  <w:noProof/>
                </w:rPr>
              </m:ctrlPr>
            </m:naryPr>
            <m:sub>
              <m:r>
                <w:rPr>
                  <w:rFonts w:ascii="Cambria Math" w:hAnsi="Cambria Math"/>
                  <w:noProof/>
                </w:rPr>
                <m:t>k</m:t>
              </m:r>
              <m:r>
                <w:rPr>
                  <w:rFonts w:ascii="Cambria Math" w:hAnsi="Cambria Math"/>
                  <w:noProof/>
                </w:rPr>
                <m:t>∈</m:t>
              </m:r>
              <m:r>
                <w:rPr>
                  <w:rFonts w:ascii="Cambria Math" w:hAnsi="Cambria Math"/>
                  <w:noProof/>
                </w:rPr>
                <m:t>K</m:t>
              </m:r>
            </m:sub>
            <m:sup/>
            <m:e>
              <m:sSub>
                <m:sSubPr>
                  <m:ctrlPr>
                    <w:rPr>
                      <w:rFonts w:ascii="Cambria Math" w:hAnsi="Cambria Math"/>
                      <w:noProof/>
                    </w:rPr>
                  </m:ctrlPr>
                </m:sSubPr>
                <m:e>
                  <m:r>
                    <w:rPr>
                      <w:rFonts w:ascii="Cambria Math" w:hAnsi="Cambria Math"/>
                      <w:noProof/>
                    </w:rPr>
                    <m:t>w</m:t>
                  </m:r>
                </m:e>
                <m:sub>
                  <m:r>
                    <w:rPr>
                      <w:rFonts w:ascii="Cambria Math" w:hAnsi="Cambria Math"/>
                      <w:noProof/>
                    </w:rPr>
                    <m:t>k</m:t>
                  </m:r>
                </m:sub>
              </m:sSub>
              <m:r>
                <m:rPr>
                  <m:nor/>
                </m:rPr>
                <w:rPr>
                  <w:noProof/>
                </w:rPr>
                <m:t> </m:t>
              </m:r>
              <m:sSub>
                <m:sSubPr>
                  <m:ctrlPr>
                    <w:rPr>
                      <w:rFonts w:ascii="Cambria Math" w:hAnsi="Cambria Math"/>
                      <w:noProof/>
                    </w:rPr>
                  </m:ctrlPr>
                </m:sSubPr>
                <m:e>
                  <m:r>
                    <w:rPr>
                      <w:rFonts w:ascii="Cambria Math" w:hAnsi="Cambria Math"/>
                      <w:noProof/>
                    </w:rPr>
                    <m:t>c</m:t>
                  </m:r>
                </m:e>
                <m:sub>
                  <m:r>
                    <w:rPr>
                      <w:rFonts w:ascii="Cambria Math" w:hAnsi="Cambria Math"/>
                      <w:noProof/>
                    </w:rPr>
                    <m:t>k</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r>
                <w:rPr>
                  <w:rFonts w:ascii="Cambria Math" w:hAnsi="Cambria Math"/>
                  <w:noProof/>
                </w:rPr>
                <m:t>,</m:t>
              </m:r>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r>
                <w:rPr>
                  <w:rFonts w:ascii="Cambria Math" w:hAnsi="Cambria Math"/>
                  <w:noProof/>
                </w:rPr>
                <m:t>)</m:t>
              </m:r>
            </m:e>
          </m:nary>
          <m:r>
            <m:rPr>
              <m:sty m:val="p"/>
            </m:rPr>
            <w:rPr>
              <w:rFonts w:ascii="Cambria Math" w:hAnsi="Cambria Math"/>
              <w:noProof/>
            </w:rPr>
            <w:br/>
          </m:r>
        </m:oMath>
      </m:oMathPara>
    </w:p>
    <w:p w14:paraId="5F05D519" w14:textId="77777777" w:rsidR="0017193A" w:rsidRPr="0007547C" w:rsidRDefault="0017193A" w:rsidP="0017193A">
      <w:pPr>
        <w:rPr>
          <w:noProof/>
        </w:rPr>
      </w:pPr>
      <w:r w:rsidRPr="0007547C">
        <w:rPr>
          <w:noProof/>
        </w:rPr>
        <w:t xml:space="preserve">where </w:t>
      </w:r>
      <m:oMath>
        <m:sSub>
          <m:sSubPr>
            <m:ctrlPr>
              <w:rPr>
                <w:rFonts w:ascii="Cambria Math" w:hAnsi="Cambria Math"/>
                <w:noProof/>
              </w:rPr>
            </m:ctrlPr>
          </m:sSubPr>
          <m:e>
            <m:r>
              <w:rPr>
                <w:rFonts w:ascii="Cambria Math" w:hAnsi="Cambria Math"/>
                <w:noProof/>
              </w:rPr>
              <m:t>c</m:t>
            </m:r>
          </m:e>
          <m:sub>
            <m:r>
              <w:rPr>
                <w:rFonts w:ascii="Cambria Math" w:hAnsi="Cambria Math"/>
                <w:noProof/>
              </w:rPr>
              <m:t>k</m:t>
            </m:r>
          </m:sub>
        </m:sSub>
      </m:oMath>
      <w:r w:rsidRPr="0007547C">
        <w:rPr>
          <w:noProof/>
        </w:rPr>
        <w:t>is the partial concordance per criterion.</w:t>
      </w:r>
    </w:p>
    <w:p w14:paraId="7DCD029C" w14:textId="77777777" w:rsidR="0017193A" w:rsidRPr="0007547C" w:rsidRDefault="0017193A" w:rsidP="00744B72">
      <w:pPr>
        <w:numPr>
          <w:ilvl w:val="0"/>
          <w:numId w:val="56"/>
        </w:numPr>
        <w:spacing w:after="0"/>
        <w:rPr>
          <w:noProof/>
        </w:rPr>
      </w:pPr>
      <w:r w:rsidRPr="0007547C">
        <w:rPr>
          <w:noProof/>
        </w:rPr>
        <w:t xml:space="preserve">A </w:t>
      </w:r>
      <w:r w:rsidRPr="00DA029C">
        <w:rPr>
          <w:bCs/>
          <w:i/>
          <w:iCs/>
          <w:noProof/>
        </w:rPr>
        <w:t>discordance index</w:t>
      </w:r>
      <w:r w:rsidRPr="0007547C">
        <w:rPr>
          <w:noProof/>
        </w:rPr>
        <w:t xml:space="preserve"> </w:t>
      </w:r>
      <m:oMath>
        <m:sSub>
          <m:sSubPr>
            <m:ctrlPr>
              <w:rPr>
                <w:rFonts w:ascii="Cambria Math" w:hAnsi="Cambria Math"/>
                <w:noProof/>
              </w:rPr>
            </m:ctrlPr>
          </m:sSubPr>
          <m:e>
            <m:r>
              <w:rPr>
                <w:rFonts w:ascii="Cambria Math" w:hAnsi="Cambria Math"/>
                <w:noProof/>
              </w:rPr>
              <m:t>D</m:t>
            </m:r>
          </m:e>
          <m:sub>
            <m:r>
              <w:rPr>
                <w:rFonts w:ascii="Cambria Math" w:hAnsi="Cambria Math"/>
                <w:noProof/>
              </w:rPr>
              <m:t>ij</m:t>
            </m:r>
          </m:sub>
        </m:sSub>
      </m:oMath>
      <w:r w:rsidRPr="0007547C">
        <w:rPr>
          <w:noProof/>
        </w:rPr>
        <w:t xml:space="preserve">measures the extent of opposition to that statement, identifying criteria where </w:t>
      </w:r>
      <m:oMath>
        <m:sSub>
          <m:sSubPr>
            <m:ctrlPr>
              <w:rPr>
                <w:rFonts w:ascii="Cambria Math" w:hAnsi="Cambria Math"/>
                <w:noProof/>
              </w:rPr>
            </m:ctrlPr>
          </m:sSubPr>
          <m:e>
            <m:r>
              <w:rPr>
                <w:rFonts w:ascii="Cambria Math" w:hAnsi="Cambria Math"/>
                <w:noProof/>
              </w:rPr>
              <m:t>A</m:t>
            </m:r>
          </m:e>
          <m:sub>
            <m:r>
              <w:rPr>
                <w:rFonts w:ascii="Cambria Math" w:hAnsi="Cambria Math"/>
                <w:noProof/>
              </w:rPr>
              <m:t>j</m:t>
            </m:r>
          </m:sub>
        </m:sSub>
      </m:oMath>
      <w:r w:rsidRPr="0007547C">
        <w:rPr>
          <w:noProof/>
        </w:rPr>
        <w:t xml:space="preserve">substantially outperforms </w:t>
      </w:r>
      <m:oMath>
        <m:sSub>
          <m:sSubPr>
            <m:ctrlPr>
              <w:rPr>
                <w:rFonts w:ascii="Cambria Math" w:hAnsi="Cambria Math"/>
                <w:noProof/>
              </w:rPr>
            </m:ctrlPr>
          </m:sSubPr>
          <m:e>
            <m:r>
              <w:rPr>
                <w:rFonts w:ascii="Cambria Math" w:hAnsi="Cambria Math"/>
                <w:noProof/>
              </w:rPr>
              <m:t>A</m:t>
            </m:r>
          </m:e>
          <m:sub>
            <m:r>
              <w:rPr>
                <w:rFonts w:ascii="Cambria Math" w:hAnsi="Cambria Math"/>
                <w:noProof/>
              </w:rPr>
              <m:t>i</m:t>
            </m:r>
          </m:sub>
        </m:sSub>
      </m:oMath>
      <w:r w:rsidRPr="0007547C">
        <w:rPr>
          <w:noProof/>
        </w:rPr>
        <w:t>.</w:t>
      </w:r>
    </w:p>
    <w:p w14:paraId="3CEA1568" w14:textId="77777777" w:rsidR="0017193A" w:rsidRPr="004465BE" w:rsidRDefault="0017193A" w:rsidP="00744B72">
      <w:pPr>
        <w:numPr>
          <w:ilvl w:val="0"/>
          <w:numId w:val="56"/>
        </w:numPr>
        <w:spacing w:after="0"/>
        <w:rPr>
          <w:noProof/>
        </w:rPr>
      </w:pPr>
      <w:r w:rsidRPr="004465BE">
        <w:rPr>
          <w:noProof/>
        </w:rPr>
        <w:t xml:space="preserve">A </w:t>
      </w:r>
      <w:r w:rsidRPr="00DA029C">
        <w:rPr>
          <w:bCs/>
          <w:i/>
          <w:iCs/>
          <w:noProof/>
        </w:rPr>
        <w:t>credibility index</w:t>
      </w:r>
      <w:r w:rsidRPr="004465BE">
        <w:rPr>
          <w:noProof/>
        </w:rPr>
        <w:t xml:space="preserve"> </w:t>
      </w:r>
      <m:oMath>
        <m:sSub>
          <m:sSubPr>
            <m:ctrlPr>
              <w:rPr>
                <w:rFonts w:ascii="Cambria Math" w:hAnsi="Cambria Math"/>
                <w:noProof/>
              </w:rPr>
            </m:ctrlPr>
          </m:sSubPr>
          <m:e>
            <m:r>
              <w:rPr>
                <w:rFonts w:ascii="Cambria Math" w:hAnsi="Cambria Math"/>
                <w:noProof/>
              </w:rPr>
              <m:t>S</m:t>
            </m:r>
          </m:e>
          <m:sub>
            <m:r>
              <w:rPr>
                <w:rFonts w:ascii="Cambria Math" w:hAnsi="Cambria Math"/>
                <w:noProof/>
              </w:rPr>
              <m:t>ij</m:t>
            </m:r>
          </m:sub>
        </m:sSub>
      </m:oMath>
      <w:r w:rsidRPr="004465BE">
        <w:rPr>
          <w:noProof/>
        </w:rPr>
        <w:t>is then computed as:</w:t>
      </w:r>
    </w:p>
    <w:p w14:paraId="7B43FEA2" w14:textId="77777777" w:rsidR="0017193A" w:rsidRPr="0007547C" w:rsidRDefault="00E634B8" w:rsidP="0017193A">
      <w:pPr>
        <w:rPr>
          <w:noProof/>
          <w:lang w:val="it-IT"/>
        </w:rPr>
      </w:pPr>
      <m:oMathPara>
        <m:oMath>
          <m:sSub>
            <m:sSubPr>
              <m:ctrlPr>
                <w:rPr>
                  <w:rFonts w:ascii="Cambria Math" w:hAnsi="Cambria Math"/>
                  <w:noProof/>
                </w:rPr>
              </m:ctrlPr>
            </m:sSubPr>
            <m:e>
              <m:r>
                <w:rPr>
                  <w:rFonts w:ascii="Cambria Math" w:hAnsi="Cambria Math"/>
                  <w:noProof/>
                </w:rPr>
                <m:t>S</m:t>
              </m:r>
            </m:e>
            <m:sub>
              <m:r>
                <w:rPr>
                  <w:rFonts w:ascii="Cambria Math" w:hAnsi="Cambria Math"/>
                  <w:noProof/>
                </w:rPr>
                <m:t>ij</m:t>
              </m:r>
            </m:sub>
          </m:sSub>
          <m:r>
            <w:rPr>
              <w:rFonts w:ascii="Cambria Math" w:hAnsi="Cambria Math"/>
              <w:noProof/>
              <w:lang w:val="it-IT"/>
            </w:rPr>
            <m:t>=</m:t>
          </m:r>
          <m:sSub>
            <m:sSubPr>
              <m:ctrlPr>
                <w:rPr>
                  <w:rFonts w:ascii="Cambria Math" w:hAnsi="Cambria Math"/>
                  <w:noProof/>
                </w:rPr>
              </m:ctrlPr>
            </m:sSubPr>
            <m:e>
              <m:r>
                <w:rPr>
                  <w:rFonts w:ascii="Cambria Math" w:hAnsi="Cambria Math"/>
                  <w:noProof/>
                </w:rPr>
                <m:t>C</m:t>
              </m:r>
            </m:e>
            <m:sub>
              <m:r>
                <w:rPr>
                  <w:rFonts w:ascii="Cambria Math" w:hAnsi="Cambria Math"/>
                  <w:noProof/>
                </w:rPr>
                <m:t>ij</m:t>
              </m:r>
            </m:sub>
          </m:sSub>
          <m:r>
            <w:rPr>
              <w:rFonts w:ascii="Cambria Math" w:hAnsi="Cambria Math"/>
              <w:noProof/>
              <w:lang w:val="it-IT"/>
            </w:rPr>
            <m:t>×</m:t>
          </m:r>
          <m:nary>
            <m:naryPr>
              <m:chr m:val="∏"/>
              <m:limLoc m:val="undOvr"/>
              <m:grow m:val="1"/>
              <m:supHide m:val="1"/>
              <m:ctrlPr>
                <w:rPr>
                  <w:rFonts w:ascii="Cambria Math" w:hAnsi="Cambria Math"/>
                  <w:noProof/>
                </w:rPr>
              </m:ctrlPr>
            </m:naryPr>
            <m:sub>
              <m:r>
                <w:rPr>
                  <w:rFonts w:ascii="Cambria Math" w:hAnsi="Cambria Math"/>
                  <w:noProof/>
                </w:rPr>
                <m:t>k</m:t>
              </m:r>
              <m:r>
                <w:rPr>
                  <w:rFonts w:ascii="Cambria Math" w:hAnsi="Cambria Math"/>
                  <w:noProof/>
                  <w:lang w:val="it-IT"/>
                </w:rPr>
                <m:t>∈</m:t>
              </m:r>
              <m:r>
                <m:rPr>
                  <m:nor/>
                </m:rPr>
                <w:rPr>
                  <w:noProof/>
                  <w:lang w:val="it-IT"/>
                </w:rPr>
                <m:t>discordant</m:t>
              </m:r>
            </m:sub>
            <m:sup/>
            <m:e>
              <m:f>
                <m:fPr>
                  <m:ctrlPr>
                    <w:rPr>
                      <w:rFonts w:ascii="Cambria Math" w:hAnsi="Cambria Math"/>
                      <w:noProof/>
                    </w:rPr>
                  </m:ctrlPr>
                </m:fPr>
                <m:num>
                  <m:r>
                    <w:rPr>
                      <w:rFonts w:ascii="Cambria Math" w:hAnsi="Cambria Math"/>
                      <w:noProof/>
                      <w:lang w:val="it-IT"/>
                    </w:rPr>
                    <m:t>1-</m:t>
                  </m:r>
                  <m:sSubSup>
                    <m:sSubSupPr>
                      <m:ctrlPr>
                        <w:rPr>
                          <w:rFonts w:ascii="Cambria Math" w:hAnsi="Cambria Math"/>
                          <w:noProof/>
                        </w:rPr>
                      </m:ctrlPr>
                    </m:sSubSupPr>
                    <m:e>
                      <m:r>
                        <w:rPr>
                          <w:rFonts w:ascii="Cambria Math" w:hAnsi="Cambria Math"/>
                          <w:noProof/>
                        </w:rPr>
                        <m:t>D</m:t>
                      </m:r>
                    </m:e>
                    <m:sub>
                      <m:r>
                        <w:rPr>
                          <w:rFonts w:ascii="Cambria Math" w:hAnsi="Cambria Math"/>
                          <w:noProof/>
                        </w:rPr>
                        <m:t>ij</m:t>
                      </m:r>
                    </m:sub>
                    <m:sup>
                      <m:r>
                        <w:rPr>
                          <w:rFonts w:ascii="Cambria Math" w:hAnsi="Cambria Math"/>
                          <w:noProof/>
                        </w:rPr>
                        <m:t>k</m:t>
                      </m:r>
                    </m:sup>
                  </m:sSubSup>
                </m:num>
                <m:den>
                  <m:r>
                    <w:rPr>
                      <w:rFonts w:ascii="Cambria Math" w:hAnsi="Cambria Math"/>
                      <w:noProof/>
                      <w:lang w:val="it-IT"/>
                    </w:rPr>
                    <m:t>1-</m:t>
                  </m:r>
                  <m:sSub>
                    <m:sSubPr>
                      <m:ctrlPr>
                        <w:rPr>
                          <w:rFonts w:ascii="Cambria Math" w:hAnsi="Cambria Math"/>
                          <w:noProof/>
                        </w:rPr>
                      </m:ctrlPr>
                    </m:sSubPr>
                    <m:e>
                      <m:r>
                        <w:rPr>
                          <w:rFonts w:ascii="Cambria Math" w:hAnsi="Cambria Math"/>
                          <w:noProof/>
                        </w:rPr>
                        <m:t>C</m:t>
                      </m:r>
                    </m:e>
                    <m:sub>
                      <m:r>
                        <w:rPr>
                          <w:rFonts w:ascii="Cambria Math" w:hAnsi="Cambria Math"/>
                          <w:noProof/>
                        </w:rPr>
                        <m:t>ij</m:t>
                      </m:r>
                    </m:sub>
                  </m:sSub>
                </m:den>
              </m:f>
            </m:e>
          </m:nary>
          <m:r>
            <m:rPr>
              <m:sty m:val="p"/>
            </m:rPr>
            <w:rPr>
              <w:rFonts w:ascii="Cambria Math" w:hAnsi="Cambria Math"/>
              <w:noProof/>
              <w:lang w:val="it-IT"/>
            </w:rPr>
            <w:br/>
          </m:r>
        </m:oMath>
      </m:oMathPara>
    </w:p>
    <w:p w14:paraId="7E06848E" w14:textId="77777777" w:rsidR="00E96E47" w:rsidRDefault="0017193A" w:rsidP="00E96E47">
      <w:pPr>
        <w:ind w:left="480"/>
        <w:rPr>
          <w:i/>
          <w:noProof/>
        </w:rPr>
      </w:pPr>
      <w:r w:rsidRPr="0007547C">
        <w:rPr>
          <w:noProof/>
        </w:rPr>
        <w:t>which quantifies the overall strength of the outranking relation.</w:t>
      </w:r>
      <w:r w:rsidRPr="0007547C">
        <w:rPr>
          <w:noProof/>
        </w:rPr>
        <w:br/>
      </w:r>
    </w:p>
    <w:p w14:paraId="7E28B71A" w14:textId="6280B0AB" w:rsidR="0017193A" w:rsidRPr="00E96E47" w:rsidRDefault="0017193A" w:rsidP="00E96E47">
      <w:pPr>
        <w:rPr>
          <w:noProof/>
        </w:rPr>
      </w:pPr>
      <w:r w:rsidRPr="00E96E47">
        <w:rPr>
          <w:noProof/>
        </w:rPr>
        <w:t>The final ranking is obtained through exploitation procedures, balancing credibility thresholds and identifying dominance, indifference, and incomparability relations</w:t>
      </w:r>
    </w:p>
    <w:p w14:paraId="7B0555DB" w14:textId="77777777" w:rsidR="0017193A" w:rsidRPr="00E96E47" w:rsidRDefault="0017193A" w:rsidP="00744B72">
      <w:pPr>
        <w:pStyle w:val="Heading3"/>
        <w:numPr>
          <w:ilvl w:val="2"/>
          <w:numId w:val="48"/>
        </w:numPr>
        <w:rPr>
          <w:noProof/>
        </w:rPr>
      </w:pPr>
      <w:r w:rsidRPr="00E96E47">
        <w:rPr>
          <w:noProof/>
        </w:rPr>
        <w:t>Summary of models used for the multi-criteria analysis</w:t>
      </w:r>
    </w:p>
    <w:p w14:paraId="16BBA4AD" w14:textId="77777777" w:rsidR="0017193A" w:rsidRDefault="0017193A" w:rsidP="0017193A">
      <w:pPr>
        <w:rPr>
          <w:noProof/>
        </w:rPr>
      </w:pPr>
      <w:r w:rsidRPr="00DA029C">
        <w:rPr>
          <w:noProof/>
          <w:lang w:val="en-IE"/>
        </w:rPr>
        <w:t>The table below depicts a summary of the models used for this MCDA with their main characteristics</w:t>
      </w:r>
      <w:r w:rsidRPr="004465BE">
        <w:rPr>
          <w:noProof/>
        </w:rPr>
        <w:t>.</w:t>
      </w:r>
    </w:p>
    <w:p w14:paraId="37A94CE7" w14:textId="3491C5D9" w:rsidR="0017193A" w:rsidRPr="00DA029C" w:rsidRDefault="0017193A" w:rsidP="0017193A">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46</w:t>
      </w:r>
      <w:r>
        <w:rPr>
          <w:noProof/>
        </w:rPr>
        <w:fldChar w:fldCharType="end"/>
      </w:r>
      <w:r>
        <w:rPr>
          <w:noProof/>
        </w:rPr>
        <w:t>. Summary of models used for the multi-criteria analysis</w:t>
      </w:r>
    </w:p>
    <w:tbl>
      <w:tblPr>
        <w:tblStyle w:val="TableGrid"/>
        <w:tblW w:w="0" w:type="auto"/>
        <w:tblLook w:val="04A0" w:firstRow="1" w:lastRow="0" w:firstColumn="1" w:lastColumn="0" w:noHBand="0" w:noVBand="1"/>
      </w:tblPr>
      <w:tblGrid>
        <w:gridCol w:w="1701"/>
        <w:gridCol w:w="2127"/>
        <w:gridCol w:w="2268"/>
        <w:gridCol w:w="2812"/>
      </w:tblGrid>
      <w:tr w:rsidR="0017193A" w:rsidRPr="00301A79" w14:paraId="7C247D0B" w14:textId="77777777" w:rsidTr="00690805">
        <w:trPr>
          <w:tblHeader/>
        </w:trPr>
        <w:tc>
          <w:tcPr>
            <w:tcW w:w="1701" w:type="dxa"/>
            <w:tcBorders>
              <w:bottom w:val="single" w:sz="12" w:space="0" w:color="00B0F0"/>
            </w:tcBorders>
          </w:tcPr>
          <w:p w14:paraId="74F7FB67" w14:textId="77777777" w:rsidR="0017193A" w:rsidRPr="00DA029C" w:rsidRDefault="0017193A" w:rsidP="00690805">
            <w:pPr>
              <w:spacing w:after="0"/>
              <w:rPr>
                <w:b/>
                <w:bCs/>
                <w:noProof/>
                <w:sz w:val="22"/>
                <w:szCs w:val="22"/>
                <w:lang w:val="en-IE"/>
              </w:rPr>
            </w:pPr>
            <w:r w:rsidRPr="00DA029C">
              <w:rPr>
                <w:b/>
                <w:bCs/>
                <w:noProof/>
                <w:sz w:val="22"/>
                <w:szCs w:val="22"/>
                <w:lang w:val="en-IE"/>
              </w:rPr>
              <w:t>Feature</w:t>
            </w:r>
          </w:p>
        </w:tc>
        <w:tc>
          <w:tcPr>
            <w:tcW w:w="2127" w:type="dxa"/>
            <w:tcBorders>
              <w:bottom w:val="single" w:sz="12" w:space="0" w:color="00B0F0"/>
            </w:tcBorders>
          </w:tcPr>
          <w:p w14:paraId="6874952D" w14:textId="77777777" w:rsidR="0017193A" w:rsidRPr="00DA029C" w:rsidRDefault="0017193A" w:rsidP="00690805">
            <w:pPr>
              <w:spacing w:after="0"/>
              <w:rPr>
                <w:b/>
                <w:bCs/>
                <w:noProof/>
                <w:sz w:val="22"/>
                <w:szCs w:val="22"/>
                <w:lang w:val="en-IE"/>
              </w:rPr>
            </w:pPr>
            <w:r w:rsidRPr="00DA029C">
              <w:rPr>
                <w:b/>
                <w:bCs/>
                <w:noProof/>
                <w:sz w:val="22"/>
                <w:szCs w:val="22"/>
                <w:lang w:val="en-IE"/>
              </w:rPr>
              <w:t>MAUT</w:t>
            </w:r>
          </w:p>
        </w:tc>
        <w:tc>
          <w:tcPr>
            <w:tcW w:w="2268" w:type="dxa"/>
            <w:tcBorders>
              <w:bottom w:val="single" w:sz="12" w:space="0" w:color="00B0F0"/>
            </w:tcBorders>
          </w:tcPr>
          <w:p w14:paraId="5B8BDBCD" w14:textId="77777777" w:rsidR="0017193A" w:rsidRPr="00DA029C" w:rsidRDefault="0017193A" w:rsidP="00690805">
            <w:pPr>
              <w:spacing w:after="0"/>
              <w:rPr>
                <w:b/>
                <w:bCs/>
                <w:noProof/>
                <w:sz w:val="22"/>
                <w:szCs w:val="22"/>
                <w:lang w:val="en-IE"/>
              </w:rPr>
            </w:pPr>
            <w:r w:rsidRPr="00DA029C">
              <w:rPr>
                <w:b/>
                <w:bCs/>
                <w:noProof/>
                <w:sz w:val="22"/>
                <w:szCs w:val="22"/>
                <w:lang w:val="en-IE"/>
              </w:rPr>
              <w:t>PROMETHEE II</w:t>
            </w:r>
          </w:p>
        </w:tc>
        <w:tc>
          <w:tcPr>
            <w:tcW w:w="2812" w:type="dxa"/>
            <w:tcBorders>
              <w:bottom w:val="single" w:sz="12" w:space="0" w:color="00B0F0"/>
            </w:tcBorders>
          </w:tcPr>
          <w:p w14:paraId="1F7C3C5D" w14:textId="77777777" w:rsidR="0017193A" w:rsidRPr="00DA029C" w:rsidRDefault="0017193A" w:rsidP="00690805">
            <w:pPr>
              <w:spacing w:after="0"/>
              <w:rPr>
                <w:b/>
                <w:bCs/>
                <w:noProof/>
                <w:sz w:val="22"/>
                <w:szCs w:val="22"/>
                <w:lang w:val="en-IE"/>
              </w:rPr>
            </w:pPr>
            <w:r w:rsidRPr="00DA029C">
              <w:rPr>
                <w:b/>
                <w:bCs/>
                <w:noProof/>
                <w:sz w:val="22"/>
                <w:szCs w:val="22"/>
                <w:lang w:val="en-IE"/>
              </w:rPr>
              <w:t>ELECTRE III</w:t>
            </w:r>
          </w:p>
        </w:tc>
      </w:tr>
      <w:tr w:rsidR="0017193A" w:rsidRPr="00301A79" w14:paraId="3F6EE14C" w14:textId="77777777" w:rsidTr="00690805">
        <w:tc>
          <w:tcPr>
            <w:tcW w:w="1701" w:type="dxa"/>
            <w:tcBorders>
              <w:top w:val="single" w:sz="12" w:space="0" w:color="00B0F0"/>
            </w:tcBorders>
          </w:tcPr>
          <w:p w14:paraId="1EDE1738" w14:textId="77777777" w:rsidR="0017193A" w:rsidRPr="00DA029C" w:rsidRDefault="0017193A" w:rsidP="00690805">
            <w:pPr>
              <w:spacing w:after="0"/>
              <w:rPr>
                <w:b/>
                <w:bCs/>
                <w:noProof/>
                <w:sz w:val="22"/>
                <w:szCs w:val="22"/>
                <w:lang w:val="en-IE"/>
              </w:rPr>
            </w:pPr>
            <w:r w:rsidRPr="00DA029C">
              <w:rPr>
                <w:b/>
                <w:bCs/>
                <w:noProof/>
                <w:sz w:val="22"/>
                <w:szCs w:val="22"/>
                <w:lang w:val="en-IE"/>
              </w:rPr>
              <w:t>Method type</w:t>
            </w:r>
          </w:p>
        </w:tc>
        <w:tc>
          <w:tcPr>
            <w:tcW w:w="2127" w:type="dxa"/>
            <w:tcBorders>
              <w:top w:val="single" w:sz="12" w:space="0" w:color="00B0F0"/>
            </w:tcBorders>
          </w:tcPr>
          <w:p w14:paraId="492D7B83" w14:textId="77777777" w:rsidR="0017193A" w:rsidRPr="00DA029C" w:rsidRDefault="0017193A" w:rsidP="00690805">
            <w:pPr>
              <w:spacing w:after="0"/>
              <w:rPr>
                <w:noProof/>
                <w:sz w:val="22"/>
                <w:szCs w:val="22"/>
                <w:lang w:val="en-IE"/>
              </w:rPr>
            </w:pPr>
            <w:r w:rsidRPr="00C04767">
              <w:rPr>
                <w:noProof/>
                <w:sz w:val="22"/>
                <w:szCs w:val="22"/>
              </w:rPr>
              <w:t>Compensatory, utility-based aggregation</w:t>
            </w:r>
          </w:p>
        </w:tc>
        <w:tc>
          <w:tcPr>
            <w:tcW w:w="2268" w:type="dxa"/>
            <w:tcBorders>
              <w:top w:val="single" w:sz="12" w:space="0" w:color="00B0F0"/>
            </w:tcBorders>
          </w:tcPr>
          <w:p w14:paraId="70E824F5" w14:textId="77777777" w:rsidR="0017193A" w:rsidRPr="00DA029C" w:rsidRDefault="0017193A" w:rsidP="00690805">
            <w:pPr>
              <w:spacing w:after="0"/>
              <w:rPr>
                <w:noProof/>
                <w:sz w:val="22"/>
                <w:szCs w:val="22"/>
                <w:lang w:val="en-IE"/>
              </w:rPr>
            </w:pPr>
            <w:r w:rsidRPr="00C04767">
              <w:rPr>
                <w:noProof/>
                <w:sz w:val="22"/>
                <w:szCs w:val="22"/>
              </w:rPr>
              <w:t>Outranking with pairwise preference flows</w:t>
            </w:r>
          </w:p>
        </w:tc>
        <w:tc>
          <w:tcPr>
            <w:tcW w:w="2812" w:type="dxa"/>
            <w:tcBorders>
              <w:top w:val="single" w:sz="12" w:space="0" w:color="00B0F0"/>
            </w:tcBorders>
          </w:tcPr>
          <w:p w14:paraId="14DEB914" w14:textId="2F08C5E4" w:rsidR="0017193A" w:rsidRPr="00DA029C" w:rsidRDefault="0017193A" w:rsidP="00690805">
            <w:pPr>
              <w:spacing w:after="0"/>
              <w:rPr>
                <w:noProof/>
                <w:sz w:val="22"/>
                <w:szCs w:val="22"/>
                <w:lang w:val="en-IE"/>
              </w:rPr>
            </w:pPr>
            <w:r w:rsidRPr="00C04767">
              <w:rPr>
                <w:noProof/>
                <w:sz w:val="22"/>
                <w:szCs w:val="22"/>
              </w:rPr>
              <w:t xml:space="preserve">Outranking with </w:t>
            </w:r>
            <w:r w:rsidR="007F3978" w:rsidRPr="00C04767">
              <w:rPr>
                <w:noProof/>
                <w:sz w:val="22"/>
                <w:szCs w:val="22"/>
              </w:rPr>
              <w:t>credibility</w:t>
            </w:r>
            <w:r w:rsidR="00D21483" w:rsidRPr="00C04767">
              <w:rPr>
                <w:noProof/>
                <w:sz w:val="22"/>
                <w:szCs w:val="22"/>
              </w:rPr>
              <w:t xml:space="preserve"> and </w:t>
            </w:r>
            <w:r w:rsidRPr="00C04767">
              <w:rPr>
                <w:noProof/>
                <w:sz w:val="22"/>
                <w:szCs w:val="22"/>
              </w:rPr>
              <w:t>discordance</w:t>
            </w:r>
            <w:r w:rsidR="00D21483" w:rsidRPr="00C04767">
              <w:rPr>
                <w:noProof/>
                <w:sz w:val="22"/>
                <w:szCs w:val="22"/>
              </w:rPr>
              <w:t xml:space="preserve"> indices</w:t>
            </w:r>
          </w:p>
        </w:tc>
      </w:tr>
      <w:tr w:rsidR="0017193A" w:rsidRPr="00301A79" w14:paraId="78018DF2" w14:textId="77777777">
        <w:tc>
          <w:tcPr>
            <w:tcW w:w="1701" w:type="dxa"/>
          </w:tcPr>
          <w:p w14:paraId="1BC600D2" w14:textId="77777777" w:rsidR="0017193A" w:rsidRPr="00DA029C" w:rsidRDefault="0017193A" w:rsidP="00690805">
            <w:pPr>
              <w:spacing w:after="0"/>
              <w:rPr>
                <w:b/>
                <w:bCs/>
                <w:noProof/>
                <w:sz w:val="22"/>
                <w:szCs w:val="22"/>
                <w:lang w:val="en-IE"/>
              </w:rPr>
            </w:pPr>
            <w:r w:rsidRPr="00DA029C">
              <w:rPr>
                <w:b/>
                <w:bCs/>
                <w:noProof/>
                <w:sz w:val="22"/>
                <w:szCs w:val="22"/>
                <w:lang w:val="en-IE"/>
              </w:rPr>
              <w:t>Compensation</w:t>
            </w:r>
          </w:p>
        </w:tc>
        <w:tc>
          <w:tcPr>
            <w:tcW w:w="2127" w:type="dxa"/>
          </w:tcPr>
          <w:p w14:paraId="161A3476" w14:textId="77777777" w:rsidR="0017193A" w:rsidRPr="00DA029C" w:rsidRDefault="0017193A" w:rsidP="00690805">
            <w:pPr>
              <w:spacing w:after="0"/>
              <w:rPr>
                <w:noProof/>
                <w:sz w:val="22"/>
                <w:szCs w:val="22"/>
                <w:lang w:val="en-IE"/>
              </w:rPr>
            </w:pPr>
            <w:r w:rsidRPr="00DA029C">
              <w:rPr>
                <w:noProof/>
                <w:sz w:val="22"/>
                <w:szCs w:val="22"/>
                <w:lang w:val="en-IE"/>
              </w:rPr>
              <w:t>Fully compensatory</w:t>
            </w:r>
          </w:p>
        </w:tc>
        <w:tc>
          <w:tcPr>
            <w:tcW w:w="2268" w:type="dxa"/>
          </w:tcPr>
          <w:p w14:paraId="065B40E1" w14:textId="77777777" w:rsidR="0017193A" w:rsidRPr="00DA029C" w:rsidRDefault="0017193A" w:rsidP="00690805">
            <w:pPr>
              <w:spacing w:after="0"/>
              <w:rPr>
                <w:noProof/>
                <w:sz w:val="22"/>
                <w:szCs w:val="22"/>
                <w:lang w:val="en-IE"/>
              </w:rPr>
            </w:pPr>
            <w:r w:rsidRPr="00DA029C">
              <w:rPr>
                <w:noProof/>
                <w:sz w:val="22"/>
                <w:szCs w:val="22"/>
                <w:lang w:val="en-IE"/>
              </w:rPr>
              <w:t>Semi-</w:t>
            </w:r>
            <w:r w:rsidRPr="00F97CFD">
              <w:rPr>
                <w:noProof/>
                <w:sz w:val="22"/>
                <w:szCs w:val="22"/>
                <w:lang w:val="en-IE"/>
              </w:rPr>
              <w:t>compensatory</w:t>
            </w:r>
          </w:p>
        </w:tc>
        <w:tc>
          <w:tcPr>
            <w:tcW w:w="2812" w:type="dxa"/>
          </w:tcPr>
          <w:p w14:paraId="75D49914" w14:textId="77777777" w:rsidR="0017193A" w:rsidRPr="00DA029C" w:rsidRDefault="0017193A" w:rsidP="00690805">
            <w:pPr>
              <w:spacing w:after="0"/>
              <w:rPr>
                <w:noProof/>
                <w:sz w:val="22"/>
                <w:szCs w:val="22"/>
                <w:lang w:val="en-IE"/>
              </w:rPr>
            </w:pPr>
            <w:r w:rsidRPr="00DA029C">
              <w:rPr>
                <w:noProof/>
                <w:sz w:val="22"/>
                <w:szCs w:val="22"/>
                <w:lang w:val="en-IE"/>
              </w:rPr>
              <w:t>Non-compensatory (veto can block dominance)</w:t>
            </w:r>
          </w:p>
        </w:tc>
      </w:tr>
      <w:tr w:rsidR="0017193A" w:rsidRPr="00301A79" w14:paraId="583C8555" w14:textId="77777777">
        <w:tc>
          <w:tcPr>
            <w:tcW w:w="1701" w:type="dxa"/>
          </w:tcPr>
          <w:p w14:paraId="6EAF7C84" w14:textId="77777777" w:rsidR="0017193A" w:rsidRPr="00DA029C" w:rsidRDefault="0017193A" w:rsidP="00690805">
            <w:pPr>
              <w:spacing w:after="0"/>
              <w:rPr>
                <w:b/>
                <w:bCs/>
                <w:noProof/>
                <w:sz w:val="22"/>
                <w:szCs w:val="22"/>
                <w:lang w:val="en-IE"/>
              </w:rPr>
            </w:pPr>
            <w:r w:rsidRPr="00DA029C">
              <w:rPr>
                <w:b/>
                <w:bCs/>
                <w:noProof/>
                <w:sz w:val="22"/>
                <w:szCs w:val="22"/>
                <w:lang w:val="en-IE"/>
              </w:rPr>
              <w:t>Output</w:t>
            </w:r>
          </w:p>
        </w:tc>
        <w:tc>
          <w:tcPr>
            <w:tcW w:w="2127" w:type="dxa"/>
          </w:tcPr>
          <w:p w14:paraId="5D48BAAE" w14:textId="77777777" w:rsidR="0017193A" w:rsidRPr="00DA029C" w:rsidRDefault="0017193A" w:rsidP="00690805">
            <w:pPr>
              <w:spacing w:after="0"/>
              <w:rPr>
                <w:noProof/>
                <w:sz w:val="22"/>
                <w:szCs w:val="22"/>
                <w:lang w:val="en-IE"/>
              </w:rPr>
            </w:pPr>
            <w:r>
              <w:rPr>
                <w:noProof/>
                <w:sz w:val="22"/>
                <w:szCs w:val="22"/>
                <w:lang w:val="en-IE"/>
              </w:rPr>
              <w:t>Full</w:t>
            </w:r>
            <w:r w:rsidRPr="00DA029C">
              <w:rPr>
                <w:noProof/>
                <w:sz w:val="22"/>
                <w:szCs w:val="22"/>
                <w:lang w:val="en-IE"/>
              </w:rPr>
              <w:t xml:space="preserve"> ranking</w:t>
            </w:r>
          </w:p>
        </w:tc>
        <w:tc>
          <w:tcPr>
            <w:tcW w:w="2268" w:type="dxa"/>
          </w:tcPr>
          <w:p w14:paraId="4A2E8040" w14:textId="77777777" w:rsidR="0017193A" w:rsidRPr="00DA029C" w:rsidRDefault="0017193A" w:rsidP="00690805">
            <w:pPr>
              <w:spacing w:after="0"/>
              <w:rPr>
                <w:noProof/>
                <w:sz w:val="22"/>
                <w:szCs w:val="22"/>
                <w:lang w:val="en-IE"/>
              </w:rPr>
            </w:pPr>
            <w:r>
              <w:rPr>
                <w:noProof/>
                <w:sz w:val="22"/>
                <w:szCs w:val="22"/>
                <w:lang w:val="en-IE"/>
              </w:rPr>
              <w:t>Full</w:t>
            </w:r>
            <w:r w:rsidRPr="00DA029C">
              <w:rPr>
                <w:noProof/>
                <w:sz w:val="22"/>
                <w:szCs w:val="22"/>
                <w:lang w:val="en-IE"/>
              </w:rPr>
              <w:t xml:space="preserve"> ranking</w:t>
            </w:r>
          </w:p>
        </w:tc>
        <w:tc>
          <w:tcPr>
            <w:tcW w:w="2812" w:type="dxa"/>
          </w:tcPr>
          <w:p w14:paraId="74FAE553" w14:textId="77777777" w:rsidR="0017193A" w:rsidRPr="00DA029C" w:rsidRDefault="0017193A" w:rsidP="00690805">
            <w:pPr>
              <w:spacing w:after="0"/>
              <w:rPr>
                <w:noProof/>
                <w:sz w:val="22"/>
                <w:szCs w:val="22"/>
                <w:lang w:val="en-IE"/>
              </w:rPr>
            </w:pPr>
            <w:r w:rsidRPr="00DA029C">
              <w:rPr>
                <w:noProof/>
                <w:sz w:val="22"/>
                <w:szCs w:val="22"/>
                <w:lang w:val="en-IE"/>
              </w:rPr>
              <w:t xml:space="preserve">Partial </w:t>
            </w:r>
            <w:r>
              <w:rPr>
                <w:noProof/>
                <w:sz w:val="22"/>
                <w:szCs w:val="22"/>
                <w:lang w:val="en-IE"/>
              </w:rPr>
              <w:t>ranking</w:t>
            </w:r>
          </w:p>
        </w:tc>
      </w:tr>
      <w:tr w:rsidR="0017193A" w:rsidRPr="00301A79" w14:paraId="1C14227C" w14:textId="77777777">
        <w:tc>
          <w:tcPr>
            <w:tcW w:w="1701" w:type="dxa"/>
          </w:tcPr>
          <w:p w14:paraId="24D3E22D" w14:textId="77777777" w:rsidR="0017193A" w:rsidRPr="00DA029C" w:rsidRDefault="0017193A" w:rsidP="00690805">
            <w:pPr>
              <w:spacing w:after="0"/>
              <w:rPr>
                <w:b/>
                <w:bCs/>
                <w:noProof/>
                <w:sz w:val="22"/>
                <w:szCs w:val="22"/>
                <w:lang w:val="en-IE"/>
              </w:rPr>
            </w:pPr>
            <w:r w:rsidRPr="00DA029C">
              <w:rPr>
                <w:b/>
                <w:bCs/>
                <w:noProof/>
                <w:sz w:val="22"/>
                <w:szCs w:val="22"/>
                <w:lang w:val="en-IE"/>
              </w:rPr>
              <w:t>Thresholds</w:t>
            </w:r>
          </w:p>
        </w:tc>
        <w:tc>
          <w:tcPr>
            <w:tcW w:w="2127" w:type="dxa"/>
          </w:tcPr>
          <w:p w14:paraId="6F989915" w14:textId="77777777" w:rsidR="0017193A" w:rsidRPr="00DA029C" w:rsidRDefault="0017193A" w:rsidP="00690805">
            <w:pPr>
              <w:spacing w:after="0"/>
              <w:rPr>
                <w:noProof/>
                <w:sz w:val="22"/>
                <w:szCs w:val="22"/>
                <w:lang w:val="en-IE"/>
              </w:rPr>
            </w:pPr>
            <w:r w:rsidRPr="00DA029C">
              <w:rPr>
                <w:noProof/>
                <w:sz w:val="22"/>
                <w:szCs w:val="22"/>
                <w:lang w:val="en-IE"/>
              </w:rPr>
              <w:t>None</w:t>
            </w:r>
          </w:p>
        </w:tc>
        <w:tc>
          <w:tcPr>
            <w:tcW w:w="2268" w:type="dxa"/>
          </w:tcPr>
          <w:p w14:paraId="4C35B86F" w14:textId="77777777" w:rsidR="0017193A" w:rsidRPr="00DA029C" w:rsidRDefault="0017193A" w:rsidP="00690805">
            <w:pPr>
              <w:spacing w:after="0"/>
              <w:rPr>
                <w:noProof/>
                <w:sz w:val="22"/>
                <w:szCs w:val="22"/>
                <w:lang w:val="en-IE"/>
              </w:rPr>
            </w:pPr>
            <w:r w:rsidRPr="00DA029C">
              <w:rPr>
                <w:noProof/>
                <w:sz w:val="22"/>
                <w:szCs w:val="22"/>
                <w:lang w:val="en-IE"/>
              </w:rPr>
              <w:t>Uses preference functions</w:t>
            </w:r>
          </w:p>
        </w:tc>
        <w:tc>
          <w:tcPr>
            <w:tcW w:w="2812" w:type="dxa"/>
          </w:tcPr>
          <w:p w14:paraId="43F15344" w14:textId="77777777" w:rsidR="0017193A" w:rsidRPr="00DA029C" w:rsidRDefault="0017193A" w:rsidP="00690805">
            <w:pPr>
              <w:spacing w:after="0"/>
              <w:rPr>
                <w:noProof/>
                <w:sz w:val="22"/>
                <w:szCs w:val="22"/>
                <w:lang w:val="en-IE"/>
              </w:rPr>
            </w:pPr>
            <w:r w:rsidRPr="00DA029C">
              <w:rPr>
                <w:noProof/>
                <w:sz w:val="22"/>
                <w:szCs w:val="22"/>
                <w:lang w:val="en-IE"/>
              </w:rPr>
              <w:t xml:space="preserve">Uses explicit </w:t>
            </w:r>
            <w:r w:rsidRPr="00F97CFD">
              <w:rPr>
                <w:noProof/>
                <w:sz w:val="22"/>
                <w:szCs w:val="22"/>
                <w:lang w:val="en-IE"/>
              </w:rPr>
              <w:t>indifference</w:t>
            </w:r>
            <w:r w:rsidRPr="00DA029C">
              <w:rPr>
                <w:noProof/>
                <w:sz w:val="22"/>
                <w:szCs w:val="22"/>
                <w:lang w:val="en-IE"/>
              </w:rPr>
              <w:t>, preference and veto thresholds</w:t>
            </w:r>
          </w:p>
        </w:tc>
      </w:tr>
      <w:tr w:rsidR="0017193A" w:rsidRPr="00301A79" w14:paraId="4F9F5EA5" w14:textId="77777777">
        <w:tc>
          <w:tcPr>
            <w:tcW w:w="1701" w:type="dxa"/>
          </w:tcPr>
          <w:p w14:paraId="4B7BAD29" w14:textId="77777777" w:rsidR="0017193A" w:rsidRPr="00DA029C" w:rsidRDefault="0017193A" w:rsidP="00690805">
            <w:pPr>
              <w:spacing w:after="0"/>
              <w:rPr>
                <w:b/>
                <w:bCs/>
                <w:noProof/>
                <w:sz w:val="22"/>
                <w:szCs w:val="22"/>
                <w:lang w:val="en-IE"/>
              </w:rPr>
            </w:pPr>
            <w:r w:rsidRPr="00DA029C">
              <w:rPr>
                <w:b/>
                <w:noProof/>
                <w:sz w:val="22"/>
                <w:szCs w:val="22"/>
              </w:rPr>
              <w:t>Strengths</w:t>
            </w:r>
          </w:p>
        </w:tc>
        <w:tc>
          <w:tcPr>
            <w:tcW w:w="2127" w:type="dxa"/>
          </w:tcPr>
          <w:p w14:paraId="62AEEDFC" w14:textId="77777777" w:rsidR="0017193A" w:rsidRPr="00DA029C" w:rsidRDefault="0017193A" w:rsidP="00690805">
            <w:pPr>
              <w:spacing w:after="0"/>
              <w:rPr>
                <w:noProof/>
                <w:sz w:val="22"/>
                <w:szCs w:val="22"/>
                <w:lang w:val="en-IE"/>
              </w:rPr>
            </w:pPr>
            <w:r>
              <w:rPr>
                <w:noProof/>
                <w:sz w:val="22"/>
                <w:szCs w:val="22"/>
                <w:lang w:val="en-IE"/>
              </w:rPr>
              <w:t>Easy and clear to communicate</w:t>
            </w:r>
          </w:p>
        </w:tc>
        <w:tc>
          <w:tcPr>
            <w:tcW w:w="2268" w:type="dxa"/>
          </w:tcPr>
          <w:p w14:paraId="6BECD28E" w14:textId="77777777" w:rsidR="0017193A" w:rsidRPr="00DA029C" w:rsidRDefault="0017193A" w:rsidP="00690805">
            <w:pPr>
              <w:spacing w:after="0"/>
              <w:rPr>
                <w:noProof/>
                <w:sz w:val="22"/>
                <w:szCs w:val="22"/>
                <w:lang w:val="en-IE"/>
              </w:rPr>
            </w:pPr>
            <w:r>
              <w:rPr>
                <w:noProof/>
                <w:sz w:val="22"/>
                <w:szCs w:val="22"/>
                <w:lang w:val="en-IE"/>
              </w:rPr>
              <w:t>Pairwise comparisons</w:t>
            </w:r>
          </w:p>
        </w:tc>
        <w:tc>
          <w:tcPr>
            <w:tcW w:w="2812" w:type="dxa"/>
          </w:tcPr>
          <w:p w14:paraId="77569502" w14:textId="77777777" w:rsidR="0017193A" w:rsidRPr="00DA029C" w:rsidRDefault="0017193A" w:rsidP="00690805">
            <w:pPr>
              <w:spacing w:after="0"/>
              <w:rPr>
                <w:noProof/>
                <w:sz w:val="22"/>
                <w:szCs w:val="22"/>
                <w:lang w:val="en-IE"/>
              </w:rPr>
            </w:pPr>
            <w:r>
              <w:rPr>
                <w:noProof/>
                <w:sz w:val="22"/>
                <w:szCs w:val="22"/>
                <w:lang w:val="en-IE"/>
              </w:rPr>
              <w:t>Handles uncertainty, and incorporates veto</w:t>
            </w:r>
          </w:p>
        </w:tc>
      </w:tr>
      <w:tr w:rsidR="0017193A" w:rsidRPr="00301A79" w14:paraId="239708CD" w14:textId="77777777">
        <w:tc>
          <w:tcPr>
            <w:tcW w:w="1701" w:type="dxa"/>
          </w:tcPr>
          <w:p w14:paraId="2FFEAF97" w14:textId="77777777" w:rsidR="0017193A" w:rsidRPr="00DA029C" w:rsidRDefault="0017193A" w:rsidP="00690805">
            <w:pPr>
              <w:spacing w:after="0"/>
              <w:rPr>
                <w:b/>
                <w:bCs/>
                <w:noProof/>
                <w:sz w:val="22"/>
                <w:szCs w:val="22"/>
                <w:lang w:val="en-IE"/>
              </w:rPr>
            </w:pPr>
            <w:r w:rsidRPr="00DA029C">
              <w:rPr>
                <w:b/>
                <w:noProof/>
                <w:sz w:val="22"/>
                <w:szCs w:val="22"/>
              </w:rPr>
              <w:t>Data used</w:t>
            </w:r>
          </w:p>
        </w:tc>
        <w:tc>
          <w:tcPr>
            <w:tcW w:w="2127" w:type="dxa"/>
          </w:tcPr>
          <w:p w14:paraId="58A310EA" w14:textId="77777777" w:rsidR="0017193A" w:rsidRPr="00DA029C" w:rsidRDefault="0017193A" w:rsidP="00690805">
            <w:pPr>
              <w:spacing w:after="0"/>
              <w:rPr>
                <w:noProof/>
                <w:sz w:val="22"/>
                <w:szCs w:val="22"/>
                <w:lang w:val="en-IE"/>
              </w:rPr>
            </w:pPr>
            <w:r>
              <w:rPr>
                <w:noProof/>
                <w:sz w:val="22"/>
                <w:szCs w:val="22"/>
                <w:lang w:val="en-IE"/>
              </w:rPr>
              <w:t>Quantitative scores and weights</w:t>
            </w:r>
          </w:p>
        </w:tc>
        <w:tc>
          <w:tcPr>
            <w:tcW w:w="2268" w:type="dxa"/>
          </w:tcPr>
          <w:p w14:paraId="02CCD1C7" w14:textId="77777777" w:rsidR="0017193A" w:rsidRPr="00DA029C" w:rsidRDefault="0017193A" w:rsidP="00690805">
            <w:pPr>
              <w:spacing w:after="0"/>
              <w:rPr>
                <w:noProof/>
                <w:sz w:val="22"/>
                <w:szCs w:val="22"/>
                <w:lang w:val="en-IE"/>
              </w:rPr>
            </w:pPr>
            <w:r>
              <w:rPr>
                <w:noProof/>
                <w:sz w:val="22"/>
                <w:szCs w:val="22"/>
                <w:lang w:val="en-IE"/>
              </w:rPr>
              <w:t>Quantitative, but requires s</w:t>
            </w:r>
            <w:r>
              <w:rPr>
                <w:noProof/>
                <w:sz w:val="22"/>
                <w:szCs w:val="22"/>
              </w:rPr>
              <w:t>electing</w:t>
            </w:r>
            <w:r>
              <w:rPr>
                <w:noProof/>
                <w:sz w:val="22"/>
                <w:szCs w:val="22"/>
                <w:lang w:val="en-IE"/>
              </w:rPr>
              <w:t xml:space="preserve"> preference functions</w:t>
            </w:r>
          </w:p>
        </w:tc>
        <w:tc>
          <w:tcPr>
            <w:tcW w:w="2812" w:type="dxa"/>
          </w:tcPr>
          <w:p w14:paraId="069880EF" w14:textId="313BCF17" w:rsidR="0017193A" w:rsidRPr="00DA029C" w:rsidRDefault="0017193A" w:rsidP="00690805">
            <w:pPr>
              <w:spacing w:after="0"/>
              <w:rPr>
                <w:noProof/>
                <w:sz w:val="22"/>
                <w:szCs w:val="22"/>
                <w:lang w:val="en-IE"/>
              </w:rPr>
            </w:pPr>
            <w:r>
              <w:rPr>
                <w:noProof/>
                <w:sz w:val="22"/>
                <w:szCs w:val="22"/>
                <w:lang w:val="en-IE"/>
              </w:rPr>
              <w:t xml:space="preserve">Mixed data, requires defining discordance </w:t>
            </w:r>
            <w:r w:rsidR="00D21483">
              <w:rPr>
                <w:noProof/>
                <w:sz w:val="22"/>
                <w:szCs w:val="22"/>
                <w:lang w:val="en-IE"/>
              </w:rPr>
              <w:t>and</w:t>
            </w:r>
            <w:r>
              <w:rPr>
                <w:noProof/>
                <w:sz w:val="22"/>
                <w:szCs w:val="22"/>
                <w:lang w:val="en-IE"/>
              </w:rPr>
              <w:t xml:space="preserve"> credibility </w:t>
            </w:r>
            <w:r w:rsidR="00D21483">
              <w:rPr>
                <w:noProof/>
                <w:sz w:val="22"/>
                <w:szCs w:val="22"/>
                <w:lang w:val="en-IE"/>
              </w:rPr>
              <w:t>indices</w:t>
            </w:r>
          </w:p>
        </w:tc>
      </w:tr>
    </w:tbl>
    <w:p w14:paraId="74395EE0" w14:textId="77777777" w:rsidR="0017193A" w:rsidRPr="004465BE" w:rsidRDefault="0017193A" w:rsidP="0017193A">
      <w:pPr>
        <w:rPr>
          <w:noProof/>
          <w:lang w:val="en-IE"/>
        </w:rPr>
      </w:pPr>
    </w:p>
    <w:p w14:paraId="57F9B418" w14:textId="77777777" w:rsidR="0017193A" w:rsidRPr="00D10152" w:rsidRDefault="0017193A" w:rsidP="006C09BA">
      <w:pPr>
        <w:pStyle w:val="Heading2"/>
        <w:numPr>
          <w:ilvl w:val="1"/>
          <w:numId w:val="15"/>
        </w:numPr>
        <w:rPr>
          <w:noProof/>
        </w:rPr>
      </w:pPr>
      <w:bookmarkStart w:id="283" w:name="_Toc214519735"/>
      <w:bookmarkStart w:id="284" w:name="_Toc216283384"/>
      <w:bookmarkStart w:id="285" w:name="_Toc228346939"/>
      <w:r w:rsidRPr="00D10152">
        <w:rPr>
          <w:noProof/>
        </w:rPr>
        <w:t xml:space="preserve">Development and comparisons of policy </w:t>
      </w:r>
      <w:r>
        <w:rPr>
          <w:noProof/>
        </w:rPr>
        <w:t>options (MCDA)</w:t>
      </w:r>
      <w:bookmarkEnd w:id="283"/>
      <w:bookmarkEnd w:id="284"/>
      <w:bookmarkEnd w:id="285"/>
    </w:p>
    <w:p w14:paraId="217ED091" w14:textId="0106F138" w:rsidR="0017193A" w:rsidRPr="0007547C" w:rsidRDefault="00FA6A42" w:rsidP="0017193A">
      <w:pPr>
        <w:rPr>
          <w:noProof/>
        </w:rPr>
      </w:pPr>
      <w:r>
        <w:rPr>
          <w:noProof/>
        </w:rPr>
        <w:t xml:space="preserve">The multi-criteria decision analysis allows to evaluate the relative performance of different policy options under study. </w:t>
      </w:r>
      <w:r w:rsidR="000B5C26">
        <w:rPr>
          <w:noProof/>
        </w:rPr>
        <w:t>It</w:t>
      </w:r>
      <w:r w:rsidR="0017193A" w:rsidRPr="0007547C">
        <w:rPr>
          <w:noProof/>
        </w:rPr>
        <w:t xml:space="preserve"> enables a systematic comparison of alternatives when multiple and often conflicting objectives must be considered.</w:t>
      </w:r>
    </w:p>
    <w:p w14:paraId="191407F8" w14:textId="77777777" w:rsidR="0017193A" w:rsidRPr="0007547C" w:rsidRDefault="0017193A" w:rsidP="0017193A">
      <w:pPr>
        <w:rPr>
          <w:noProof/>
        </w:rPr>
      </w:pPr>
      <w:r w:rsidRPr="0007547C">
        <w:rPr>
          <w:noProof/>
        </w:rPr>
        <w:t>The analysis combined quantitative data from two sources:</w:t>
      </w:r>
    </w:p>
    <w:p w14:paraId="30827EE6" w14:textId="77777777" w:rsidR="0017193A" w:rsidRPr="0007547C" w:rsidRDefault="0017193A" w:rsidP="00744B72">
      <w:pPr>
        <w:pStyle w:val="ListParagraph"/>
        <w:numPr>
          <w:ilvl w:val="0"/>
          <w:numId w:val="67"/>
        </w:numPr>
        <w:spacing w:after="160"/>
        <w:rPr>
          <w:noProof/>
        </w:rPr>
      </w:pPr>
      <w:r w:rsidRPr="000B5C26">
        <w:rPr>
          <w:i/>
          <w:noProof/>
        </w:rPr>
        <w:t>Survey data,</w:t>
      </w:r>
      <w:r w:rsidRPr="0007547C">
        <w:rPr>
          <w:noProof/>
        </w:rPr>
        <w:t xml:space="preserve"> in which 119 stakeholders (114 economic operators and 5 Public Authorities) assessed expected changes in impact areas under each policy measure using a seven-point scale (from strong decrease = -3 to strong increase = +3). The sample is described below.</w:t>
      </w:r>
    </w:p>
    <w:p w14:paraId="194B142D" w14:textId="77777777" w:rsidR="0017193A" w:rsidRPr="0007547C" w:rsidRDefault="0017193A" w:rsidP="00744B72">
      <w:pPr>
        <w:pStyle w:val="ListParagraph"/>
        <w:numPr>
          <w:ilvl w:val="0"/>
          <w:numId w:val="67"/>
        </w:numPr>
        <w:spacing w:after="160"/>
        <w:rPr>
          <w:noProof/>
        </w:rPr>
      </w:pPr>
      <w:r w:rsidRPr="000B5C26">
        <w:rPr>
          <w:i/>
          <w:noProof/>
        </w:rPr>
        <w:t>Estimated data</w:t>
      </w:r>
      <w:r w:rsidRPr="0007547C">
        <w:rPr>
          <w:noProof/>
        </w:rPr>
        <w:t xml:space="preserve"> developed through quantitative modelling, covering administrative costs, adjustment costs, and cost-saving for each policy measure. </w:t>
      </w:r>
    </w:p>
    <w:p w14:paraId="7051B4EC" w14:textId="77777777" w:rsidR="0017193A" w:rsidRPr="0007547C" w:rsidRDefault="0017193A" w:rsidP="0017193A">
      <w:pPr>
        <w:rPr>
          <w:noProof/>
        </w:rPr>
      </w:pPr>
      <w:r w:rsidRPr="0007547C">
        <w:rPr>
          <w:noProof/>
        </w:rPr>
        <w:t xml:space="preserve">All data </w:t>
      </w:r>
      <w:r>
        <w:rPr>
          <w:noProof/>
        </w:rPr>
        <w:t>is</w:t>
      </w:r>
      <w:r w:rsidRPr="0007547C">
        <w:rPr>
          <w:noProof/>
        </w:rPr>
        <w:t xml:space="preserve"> first combined and harmonised to create a single dataset covering all policy options, policy measures, impact areas, and sub-impact areas.</w:t>
      </w:r>
    </w:p>
    <w:p w14:paraId="0996B2E1" w14:textId="68B409D4" w:rsidR="0017193A" w:rsidRPr="0007547C" w:rsidRDefault="0017193A" w:rsidP="0017193A">
      <w:pPr>
        <w:rPr>
          <w:noProof/>
        </w:rPr>
      </w:pPr>
      <w:r w:rsidRPr="0007547C">
        <w:rPr>
          <w:noProof/>
        </w:rPr>
        <w:t xml:space="preserve">Weights </w:t>
      </w:r>
      <w:r>
        <w:rPr>
          <w:noProof/>
        </w:rPr>
        <w:t>are</w:t>
      </w:r>
      <w:r w:rsidRPr="0007547C">
        <w:rPr>
          <w:noProof/>
        </w:rPr>
        <w:t xml:space="preserve"> applied to reflect the relative importance of each impact and sub-impact. The reference case is equal weighting. </w:t>
      </w:r>
      <w:r>
        <w:rPr>
          <w:noProof/>
        </w:rPr>
        <w:t xml:space="preserve">Given the different nature </w:t>
      </w:r>
      <w:r w:rsidR="00FD38A2">
        <w:rPr>
          <w:noProof/>
        </w:rPr>
        <w:t>that</w:t>
      </w:r>
      <w:r>
        <w:rPr>
          <w:noProof/>
        </w:rPr>
        <w:t xml:space="preserve"> the two problems deal with, different w</w:t>
      </w:r>
      <w:r w:rsidRPr="0007547C">
        <w:rPr>
          <w:noProof/>
        </w:rPr>
        <w:t xml:space="preserve">eights for problem 1 and problem 2 </w:t>
      </w:r>
      <w:r>
        <w:rPr>
          <w:noProof/>
        </w:rPr>
        <w:t>are</w:t>
      </w:r>
      <w:r w:rsidRPr="0007547C">
        <w:rPr>
          <w:noProof/>
        </w:rPr>
        <w:t xml:space="preserve"> also considered. </w:t>
      </w:r>
    </w:p>
    <w:p w14:paraId="75592000" w14:textId="01052CF4" w:rsidR="0017193A" w:rsidRPr="0007547C" w:rsidRDefault="0017193A" w:rsidP="0017193A">
      <w:pPr>
        <w:rPr>
          <w:noProof/>
        </w:rPr>
      </w:pPr>
      <w:r w:rsidRPr="0007547C">
        <w:rPr>
          <w:noProof/>
        </w:rPr>
        <w:t>The impact-level weights define the overall direction of the assessment by indicating which broad dimensions carry the greatest influence under each scenario. In the equal weighting scenario, all four impacts</w:t>
      </w:r>
      <w:r>
        <w:rPr>
          <w:noProof/>
        </w:rPr>
        <w:t xml:space="preserve"> </w:t>
      </w:r>
      <w:r w:rsidR="00F5082A">
        <w:rPr>
          <w:noProof/>
        </w:rPr>
        <w:t>–</w:t>
      </w:r>
      <w:r>
        <w:rPr>
          <w:noProof/>
        </w:rPr>
        <w:t xml:space="preserve"> economic</w:t>
      </w:r>
      <w:r w:rsidR="00F5082A">
        <w:rPr>
          <w:noProof/>
        </w:rPr>
        <w:t>/effectiveness</w:t>
      </w:r>
      <w:r>
        <w:rPr>
          <w:noProof/>
        </w:rPr>
        <w:t>, costs</w:t>
      </w:r>
      <w:r w:rsidR="00F5082A">
        <w:rPr>
          <w:noProof/>
        </w:rPr>
        <w:t>/efficiency</w:t>
      </w:r>
      <w:r>
        <w:rPr>
          <w:noProof/>
        </w:rPr>
        <w:t xml:space="preserve">, social and environmental - </w:t>
      </w:r>
      <w:r w:rsidRPr="0007547C">
        <w:rPr>
          <w:noProof/>
        </w:rPr>
        <w:t>are weighted equally (25%). Under Problem 1</w:t>
      </w:r>
      <w:r>
        <w:rPr>
          <w:noProof/>
        </w:rPr>
        <w:t xml:space="preserve"> (P1)</w:t>
      </w:r>
      <w:r w:rsidRPr="0007547C">
        <w:rPr>
          <w:noProof/>
        </w:rPr>
        <w:t>, the weighting shifts towards the economic</w:t>
      </w:r>
      <w:r w:rsidR="00817166">
        <w:rPr>
          <w:noProof/>
        </w:rPr>
        <w:t>/effectiveness</w:t>
      </w:r>
      <w:r w:rsidRPr="0007547C">
        <w:rPr>
          <w:noProof/>
        </w:rPr>
        <w:t xml:space="preserve"> dimension (40%), highlighting the priority of accelerating deployment and enhancing efficiency, while social impacts receive reduced emphasis (</w:t>
      </w:r>
      <w:r w:rsidR="000373D9">
        <w:rPr>
          <w:noProof/>
        </w:rPr>
        <w:t>5</w:t>
      </w:r>
      <w:r w:rsidRPr="0007547C">
        <w:rPr>
          <w:noProof/>
        </w:rPr>
        <w:t>%). For Problem 2</w:t>
      </w:r>
      <w:r>
        <w:rPr>
          <w:noProof/>
        </w:rPr>
        <w:t xml:space="preserve"> (P2)</w:t>
      </w:r>
      <w:r w:rsidRPr="0007547C">
        <w:rPr>
          <w:noProof/>
        </w:rPr>
        <w:t>, the weighting moves towards costs and economic</w:t>
      </w:r>
      <w:r w:rsidR="000373D9">
        <w:rPr>
          <w:noProof/>
        </w:rPr>
        <w:t>/effectiveness</w:t>
      </w:r>
      <w:r w:rsidRPr="0007547C">
        <w:rPr>
          <w:noProof/>
        </w:rPr>
        <w:t xml:space="preserve"> (</w:t>
      </w:r>
      <w:r w:rsidR="000373D9">
        <w:rPr>
          <w:noProof/>
        </w:rPr>
        <w:t>5</w:t>
      </w:r>
      <w:r w:rsidRPr="0007547C">
        <w:rPr>
          <w:noProof/>
        </w:rPr>
        <w:t>5%) impacts, reflecting a focus on sovereignty, trust, and resilience.</w:t>
      </w:r>
    </w:p>
    <w:p w14:paraId="772D9E07" w14:textId="4A87FD00" w:rsidR="0017193A" w:rsidRDefault="0017193A" w:rsidP="0052579D">
      <w:pPr>
        <w:pStyle w:val="Caption"/>
        <w:rPr>
          <w:noProof/>
        </w:rPr>
      </w:pPr>
      <w:bookmarkStart w:id="286" w:name="_Toc213232718"/>
      <w:bookmarkStart w:id="287" w:name="_Toc213440605"/>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47</w:t>
      </w:r>
      <w:r>
        <w:rPr>
          <w:noProof/>
        </w:rPr>
        <w:fldChar w:fldCharType="end"/>
      </w:r>
      <w:r>
        <w:rPr>
          <w:noProof/>
        </w:rPr>
        <w:t xml:space="preserve">. </w:t>
      </w:r>
      <w:bookmarkEnd w:id="286"/>
      <w:bookmarkEnd w:id="287"/>
      <w:r>
        <w:rPr>
          <w:noProof/>
        </w:rPr>
        <w:t>Impacts weighting</w:t>
      </w:r>
      <w:r w:rsidR="00235089">
        <w:rPr>
          <w:noProof/>
        </w:rPr>
        <w:t xml:space="preserve"> </w:t>
      </w:r>
      <w:r w:rsidR="00235089" w:rsidRPr="008D0BAC">
        <w:rPr>
          <w:b w:val="0"/>
          <w:bCs/>
          <w:noProof/>
        </w:rPr>
        <w:t>(Source: Technopolis et al. (2025))</w:t>
      </w:r>
    </w:p>
    <w:tbl>
      <w:tblPr>
        <w:tblStyle w:val="TechnopolisTable"/>
        <w:tblW w:w="5000" w:type="pct"/>
        <w:tblInd w:w="0" w:type="dxa"/>
        <w:tblBorders>
          <w:bottom w:val="single" w:sz="12" w:space="0" w:color="00B0F0"/>
        </w:tblBorders>
        <w:tblLook w:val="04A0" w:firstRow="1" w:lastRow="0" w:firstColumn="1" w:lastColumn="0" w:noHBand="0" w:noVBand="1"/>
      </w:tblPr>
      <w:tblGrid>
        <w:gridCol w:w="3013"/>
        <w:gridCol w:w="2103"/>
        <w:gridCol w:w="1964"/>
        <w:gridCol w:w="1965"/>
      </w:tblGrid>
      <w:tr w:rsidR="0017193A" w:rsidRPr="00335127" w14:paraId="288FDFCD" w14:textId="77777777" w:rsidTr="00690805">
        <w:trPr>
          <w:cnfStyle w:val="100000000000" w:firstRow="1" w:lastRow="0" w:firstColumn="0" w:lastColumn="0" w:oddVBand="0" w:evenVBand="0" w:oddHBand="0" w:evenHBand="0" w:firstRowFirstColumn="0" w:firstRowLastColumn="0" w:lastRowFirstColumn="0" w:lastRowLastColumn="0"/>
          <w:trHeight w:val="320"/>
          <w:tblHeader/>
        </w:trPr>
        <w:tc>
          <w:tcPr>
            <w:tcW w:w="1685" w:type="pct"/>
            <w:noWrap/>
            <w:hideMark/>
          </w:tcPr>
          <w:p w14:paraId="2C146077" w14:textId="77777777" w:rsidR="0017193A" w:rsidRPr="00DA029C" w:rsidRDefault="0017193A">
            <w:pPr>
              <w:pStyle w:val="Tabletext"/>
              <w:rPr>
                <w:noProof/>
                <w:sz w:val="22"/>
                <w:szCs w:val="22"/>
                <w:lang w:val="en-IE"/>
              </w:rPr>
            </w:pPr>
            <w:r w:rsidRPr="00DA029C">
              <w:rPr>
                <w:noProof/>
                <w:sz w:val="22"/>
                <w:szCs w:val="22"/>
              </w:rPr>
              <w:t>Impact</w:t>
            </w:r>
          </w:p>
        </w:tc>
        <w:tc>
          <w:tcPr>
            <w:tcW w:w="1105" w:type="pct"/>
            <w:noWrap/>
            <w:hideMark/>
          </w:tcPr>
          <w:p w14:paraId="24C57AB1" w14:textId="77777777" w:rsidR="0017193A" w:rsidRPr="00DA029C" w:rsidRDefault="0017193A">
            <w:pPr>
              <w:pStyle w:val="Tabletext"/>
              <w:rPr>
                <w:noProof/>
                <w:sz w:val="22"/>
                <w:szCs w:val="22"/>
              </w:rPr>
            </w:pPr>
            <w:r w:rsidRPr="00DA029C">
              <w:rPr>
                <w:noProof/>
                <w:sz w:val="22"/>
                <w:szCs w:val="22"/>
              </w:rPr>
              <w:t>Equal weighting [EW]</w:t>
            </w:r>
          </w:p>
        </w:tc>
        <w:tc>
          <w:tcPr>
            <w:tcW w:w="1105" w:type="pct"/>
            <w:noWrap/>
            <w:hideMark/>
          </w:tcPr>
          <w:p w14:paraId="47009A63" w14:textId="77777777" w:rsidR="0017193A" w:rsidRPr="00DA029C" w:rsidRDefault="0017193A">
            <w:pPr>
              <w:pStyle w:val="Tabletext"/>
              <w:rPr>
                <w:noProof/>
                <w:sz w:val="22"/>
                <w:szCs w:val="22"/>
              </w:rPr>
            </w:pPr>
            <w:r w:rsidRPr="00DA029C">
              <w:rPr>
                <w:noProof/>
                <w:sz w:val="22"/>
                <w:szCs w:val="22"/>
              </w:rPr>
              <w:t>P1 weights</w:t>
            </w:r>
          </w:p>
        </w:tc>
        <w:tc>
          <w:tcPr>
            <w:tcW w:w="1105" w:type="pct"/>
            <w:noWrap/>
            <w:hideMark/>
          </w:tcPr>
          <w:p w14:paraId="7D2FA9BE" w14:textId="77777777" w:rsidR="0017193A" w:rsidRPr="00DA029C" w:rsidRDefault="0017193A">
            <w:pPr>
              <w:pStyle w:val="Tabletext"/>
              <w:rPr>
                <w:noProof/>
                <w:sz w:val="22"/>
                <w:szCs w:val="22"/>
              </w:rPr>
            </w:pPr>
            <w:r w:rsidRPr="00DA029C">
              <w:rPr>
                <w:noProof/>
                <w:sz w:val="22"/>
                <w:szCs w:val="22"/>
              </w:rPr>
              <w:t>P2 weights</w:t>
            </w:r>
          </w:p>
        </w:tc>
      </w:tr>
    </w:tbl>
    <w:tbl>
      <w:tblPr>
        <w:tblW w:w="5000" w:type="pct"/>
        <w:tblLook w:val="04A0" w:firstRow="1" w:lastRow="0" w:firstColumn="1" w:lastColumn="0" w:noHBand="0" w:noVBand="1"/>
      </w:tblPr>
      <w:tblGrid>
        <w:gridCol w:w="3048"/>
        <w:gridCol w:w="1999"/>
        <w:gridCol w:w="1999"/>
        <w:gridCol w:w="1999"/>
      </w:tblGrid>
      <w:tr w:rsidR="0017193A" w:rsidRPr="00335127" w14:paraId="478EC5BC" w14:textId="77777777" w:rsidTr="00690805">
        <w:trPr>
          <w:trHeight w:val="320"/>
        </w:trPr>
        <w:tc>
          <w:tcPr>
            <w:tcW w:w="1685" w:type="pct"/>
            <w:noWrap/>
            <w:hideMark/>
          </w:tcPr>
          <w:p w14:paraId="32898607" w14:textId="02A1CD56" w:rsidR="0017193A" w:rsidRPr="00DA029C" w:rsidRDefault="0017193A">
            <w:pPr>
              <w:pStyle w:val="Tabletext"/>
              <w:rPr>
                <w:b/>
                <w:bCs/>
                <w:noProof/>
                <w:sz w:val="22"/>
                <w:szCs w:val="22"/>
              </w:rPr>
            </w:pPr>
            <w:r w:rsidRPr="00DA029C">
              <w:rPr>
                <w:b/>
                <w:bCs/>
                <w:noProof/>
                <w:sz w:val="22"/>
                <w:szCs w:val="22"/>
              </w:rPr>
              <w:t>Economic</w:t>
            </w:r>
            <w:r w:rsidR="00F5082A">
              <w:rPr>
                <w:b/>
                <w:bCs/>
                <w:noProof/>
                <w:sz w:val="22"/>
                <w:szCs w:val="22"/>
              </w:rPr>
              <w:t>/effectiveness</w:t>
            </w:r>
          </w:p>
        </w:tc>
        <w:tc>
          <w:tcPr>
            <w:tcW w:w="1105" w:type="pct"/>
            <w:noWrap/>
            <w:hideMark/>
          </w:tcPr>
          <w:p w14:paraId="60E78A1D" w14:textId="77777777" w:rsidR="0017193A" w:rsidRPr="00DA029C" w:rsidRDefault="0017193A">
            <w:pPr>
              <w:pStyle w:val="Tabletext"/>
              <w:rPr>
                <w:noProof/>
                <w:sz w:val="22"/>
                <w:szCs w:val="22"/>
              </w:rPr>
            </w:pPr>
            <w:r w:rsidRPr="00DA029C">
              <w:rPr>
                <w:noProof/>
                <w:sz w:val="22"/>
                <w:szCs w:val="22"/>
              </w:rPr>
              <w:t>25%</w:t>
            </w:r>
          </w:p>
        </w:tc>
        <w:tc>
          <w:tcPr>
            <w:tcW w:w="1105" w:type="pct"/>
            <w:noWrap/>
            <w:hideMark/>
          </w:tcPr>
          <w:p w14:paraId="2DAA76FE" w14:textId="77777777" w:rsidR="0017193A" w:rsidRPr="00DA029C" w:rsidRDefault="0017193A">
            <w:pPr>
              <w:pStyle w:val="Tabletext"/>
              <w:rPr>
                <w:noProof/>
                <w:sz w:val="22"/>
                <w:szCs w:val="22"/>
              </w:rPr>
            </w:pPr>
            <w:r w:rsidRPr="00DA029C">
              <w:rPr>
                <w:noProof/>
                <w:sz w:val="22"/>
                <w:szCs w:val="22"/>
              </w:rPr>
              <w:t>40%</w:t>
            </w:r>
          </w:p>
        </w:tc>
        <w:tc>
          <w:tcPr>
            <w:tcW w:w="1105" w:type="pct"/>
            <w:noWrap/>
            <w:hideMark/>
          </w:tcPr>
          <w:p w14:paraId="7FA3BCCB" w14:textId="77777777" w:rsidR="0017193A" w:rsidRPr="00DA029C" w:rsidRDefault="0017193A">
            <w:pPr>
              <w:pStyle w:val="Tabletext"/>
              <w:rPr>
                <w:noProof/>
                <w:sz w:val="22"/>
                <w:szCs w:val="22"/>
              </w:rPr>
            </w:pPr>
            <w:r w:rsidRPr="00DA029C">
              <w:rPr>
                <w:noProof/>
                <w:sz w:val="22"/>
                <w:szCs w:val="22"/>
              </w:rPr>
              <w:t>55%</w:t>
            </w:r>
          </w:p>
        </w:tc>
      </w:tr>
      <w:tr w:rsidR="0017193A" w:rsidRPr="00335127" w14:paraId="35DDA320" w14:textId="77777777">
        <w:trPr>
          <w:trHeight w:val="320"/>
        </w:trPr>
        <w:tc>
          <w:tcPr>
            <w:tcW w:w="1685" w:type="pct"/>
            <w:noWrap/>
            <w:hideMark/>
          </w:tcPr>
          <w:p w14:paraId="4B449F3A" w14:textId="610410C4" w:rsidR="0017193A" w:rsidRPr="00DA029C" w:rsidRDefault="0017193A">
            <w:pPr>
              <w:pStyle w:val="Tabletext"/>
              <w:rPr>
                <w:b/>
                <w:bCs/>
                <w:noProof/>
                <w:sz w:val="22"/>
                <w:szCs w:val="22"/>
              </w:rPr>
            </w:pPr>
            <w:r w:rsidRPr="00DA029C">
              <w:rPr>
                <w:b/>
                <w:bCs/>
                <w:noProof/>
                <w:sz w:val="22"/>
                <w:szCs w:val="22"/>
              </w:rPr>
              <w:t>Costs</w:t>
            </w:r>
            <w:r w:rsidR="00F5082A">
              <w:rPr>
                <w:b/>
                <w:bCs/>
                <w:noProof/>
                <w:sz w:val="22"/>
                <w:szCs w:val="22"/>
              </w:rPr>
              <w:t>/efficiency</w:t>
            </w:r>
          </w:p>
        </w:tc>
        <w:tc>
          <w:tcPr>
            <w:tcW w:w="1105" w:type="pct"/>
            <w:noWrap/>
            <w:hideMark/>
          </w:tcPr>
          <w:p w14:paraId="229D5D6C" w14:textId="77777777" w:rsidR="0017193A" w:rsidRPr="00DA029C" w:rsidRDefault="0017193A">
            <w:pPr>
              <w:pStyle w:val="Tabletext"/>
              <w:rPr>
                <w:noProof/>
                <w:sz w:val="22"/>
                <w:szCs w:val="22"/>
              </w:rPr>
            </w:pPr>
            <w:r w:rsidRPr="00DA029C">
              <w:rPr>
                <w:noProof/>
                <w:sz w:val="22"/>
                <w:szCs w:val="22"/>
              </w:rPr>
              <w:t>25%</w:t>
            </w:r>
          </w:p>
        </w:tc>
        <w:tc>
          <w:tcPr>
            <w:tcW w:w="1105" w:type="pct"/>
            <w:noWrap/>
            <w:hideMark/>
          </w:tcPr>
          <w:p w14:paraId="0A15BA8D" w14:textId="77777777" w:rsidR="0017193A" w:rsidRPr="00DA029C" w:rsidRDefault="0017193A">
            <w:pPr>
              <w:pStyle w:val="Tabletext"/>
              <w:rPr>
                <w:noProof/>
                <w:sz w:val="22"/>
                <w:szCs w:val="22"/>
              </w:rPr>
            </w:pPr>
            <w:r w:rsidRPr="00DA029C">
              <w:rPr>
                <w:noProof/>
                <w:sz w:val="22"/>
                <w:szCs w:val="22"/>
              </w:rPr>
              <w:t>35%</w:t>
            </w:r>
          </w:p>
        </w:tc>
        <w:tc>
          <w:tcPr>
            <w:tcW w:w="1105" w:type="pct"/>
            <w:noWrap/>
            <w:hideMark/>
          </w:tcPr>
          <w:p w14:paraId="7EA25D2E" w14:textId="77777777" w:rsidR="0017193A" w:rsidRPr="00DA029C" w:rsidRDefault="0017193A">
            <w:pPr>
              <w:pStyle w:val="Tabletext"/>
              <w:rPr>
                <w:noProof/>
                <w:sz w:val="22"/>
                <w:szCs w:val="22"/>
              </w:rPr>
            </w:pPr>
            <w:r w:rsidRPr="00DA029C">
              <w:rPr>
                <w:noProof/>
                <w:sz w:val="22"/>
                <w:szCs w:val="22"/>
              </w:rPr>
              <w:t>35%</w:t>
            </w:r>
          </w:p>
        </w:tc>
      </w:tr>
      <w:tr w:rsidR="0017193A" w:rsidRPr="00335127" w14:paraId="7375037A" w14:textId="77777777">
        <w:trPr>
          <w:trHeight w:val="320"/>
        </w:trPr>
        <w:tc>
          <w:tcPr>
            <w:tcW w:w="1685" w:type="pct"/>
            <w:noWrap/>
            <w:hideMark/>
          </w:tcPr>
          <w:p w14:paraId="12C7CE61" w14:textId="77777777" w:rsidR="0017193A" w:rsidRPr="00DA029C" w:rsidRDefault="0017193A">
            <w:pPr>
              <w:pStyle w:val="Tabletext"/>
              <w:rPr>
                <w:b/>
                <w:bCs/>
                <w:noProof/>
                <w:sz w:val="22"/>
                <w:szCs w:val="22"/>
              </w:rPr>
            </w:pPr>
            <w:r w:rsidRPr="00DA029C">
              <w:rPr>
                <w:b/>
                <w:bCs/>
                <w:noProof/>
                <w:sz w:val="22"/>
                <w:szCs w:val="22"/>
              </w:rPr>
              <w:t>Social</w:t>
            </w:r>
          </w:p>
        </w:tc>
        <w:tc>
          <w:tcPr>
            <w:tcW w:w="1105" w:type="pct"/>
            <w:noWrap/>
            <w:hideMark/>
          </w:tcPr>
          <w:p w14:paraId="16452B38" w14:textId="77777777" w:rsidR="0017193A" w:rsidRPr="00DA029C" w:rsidRDefault="0017193A">
            <w:pPr>
              <w:pStyle w:val="Tabletext"/>
              <w:rPr>
                <w:noProof/>
                <w:sz w:val="22"/>
                <w:szCs w:val="22"/>
              </w:rPr>
            </w:pPr>
            <w:r w:rsidRPr="00DA029C">
              <w:rPr>
                <w:noProof/>
                <w:sz w:val="22"/>
                <w:szCs w:val="22"/>
              </w:rPr>
              <w:t>25%</w:t>
            </w:r>
          </w:p>
        </w:tc>
        <w:tc>
          <w:tcPr>
            <w:tcW w:w="1105" w:type="pct"/>
            <w:noWrap/>
            <w:hideMark/>
          </w:tcPr>
          <w:p w14:paraId="7697BDDC" w14:textId="77777777" w:rsidR="0017193A" w:rsidRPr="00DA029C" w:rsidRDefault="0017193A">
            <w:pPr>
              <w:pStyle w:val="Tabletext"/>
              <w:rPr>
                <w:noProof/>
                <w:sz w:val="22"/>
                <w:szCs w:val="22"/>
              </w:rPr>
            </w:pPr>
            <w:r w:rsidRPr="00DA029C">
              <w:rPr>
                <w:noProof/>
                <w:sz w:val="22"/>
                <w:szCs w:val="22"/>
              </w:rPr>
              <w:t>5%</w:t>
            </w:r>
          </w:p>
        </w:tc>
        <w:tc>
          <w:tcPr>
            <w:tcW w:w="1105" w:type="pct"/>
            <w:noWrap/>
            <w:hideMark/>
          </w:tcPr>
          <w:p w14:paraId="365B9BCE" w14:textId="77777777" w:rsidR="0017193A" w:rsidRPr="00DA029C" w:rsidRDefault="0017193A">
            <w:pPr>
              <w:pStyle w:val="Tabletext"/>
              <w:rPr>
                <w:noProof/>
                <w:sz w:val="22"/>
                <w:szCs w:val="22"/>
              </w:rPr>
            </w:pPr>
            <w:r w:rsidRPr="00DA029C">
              <w:rPr>
                <w:noProof/>
                <w:sz w:val="22"/>
                <w:szCs w:val="22"/>
              </w:rPr>
              <w:t>5%</w:t>
            </w:r>
          </w:p>
        </w:tc>
      </w:tr>
      <w:tr w:rsidR="0017193A" w:rsidRPr="00335127" w14:paraId="756D83B3" w14:textId="77777777">
        <w:trPr>
          <w:trHeight w:val="320"/>
        </w:trPr>
        <w:tc>
          <w:tcPr>
            <w:tcW w:w="1685" w:type="pct"/>
            <w:noWrap/>
            <w:hideMark/>
          </w:tcPr>
          <w:p w14:paraId="6B1350C2" w14:textId="77777777" w:rsidR="0017193A" w:rsidRPr="00DA029C" w:rsidRDefault="0017193A">
            <w:pPr>
              <w:pStyle w:val="Tabletext"/>
              <w:rPr>
                <w:b/>
                <w:bCs/>
                <w:noProof/>
                <w:sz w:val="22"/>
                <w:szCs w:val="22"/>
              </w:rPr>
            </w:pPr>
            <w:r w:rsidRPr="00DA029C">
              <w:rPr>
                <w:b/>
                <w:bCs/>
                <w:noProof/>
                <w:sz w:val="22"/>
                <w:szCs w:val="22"/>
              </w:rPr>
              <w:t>Environmental</w:t>
            </w:r>
          </w:p>
        </w:tc>
        <w:tc>
          <w:tcPr>
            <w:tcW w:w="1105" w:type="pct"/>
            <w:noWrap/>
            <w:hideMark/>
          </w:tcPr>
          <w:p w14:paraId="5F0E22FA" w14:textId="77777777" w:rsidR="0017193A" w:rsidRPr="00DA029C" w:rsidRDefault="0017193A">
            <w:pPr>
              <w:pStyle w:val="Tabletext"/>
              <w:rPr>
                <w:noProof/>
                <w:sz w:val="22"/>
                <w:szCs w:val="22"/>
              </w:rPr>
            </w:pPr>
            <w:r w:rsidRPr="00DA029C">
              <w:rPr>
                <w:noProof/>
                <w:sz w:val="22"/>
                <w:szCs w:val="22"/>
              </w:rPr>
              <w:t>25%</w:t>
            </w:r>
          </w:p>
        </w:tc>
        <w:tc>
          <w:tcPr>
            <w:tcW w:w="1105" w:type="pct"/>
            <w:noWrap/>
            <w:hideMark/>
          </w:tcPr>
          <w:p w14:paraId="3C60BE71" w14:textId="77777777" w:rsidR="0017193A" w:rsidRPr="00DA029C" w:rsidRDefault="0017193A">
            <w:pPr>
              <w:pStyle w:val="Tabletext"/>
              <w:rPr>
                <w:noProof/>
                <w:sz w:val="22"/>
                <w:szCs w:val="22"/>
              </w:rPr>
            </w:pPr>
            <w:r w:rsidRPr="00DA029C">
              <w:rPr>
                <w:noProof/>
                <w:sz w:val="22"/>
                <w:szCs w:val="22"/>
              </w:rPr>
              <w:t>20%</w:t>
            </w:r>
          </w:p>
        </w:tc>
        <w:tc>
          <w:tcPr>
            <w:tcW w:w="1105" w:type="pct"/>
            <w:noWrap/>
            <w:hideMark/>
          </w:tcPr>
          <w:p w14:paraId="6676C4EC" w14:textId="77777777" w:rsidR="0017193A" w:rsidRPr="00DA029C" w:rsidRDefault="0017193A">
            <w:pPr>
              <w:pStyle w:val="Tabletext"/>
              <w:rPr>
                <w:noProof/>
                <w:sz w:val="22"/>
                <w:szCs w:val="22"/>
              </w:rPr>
            </w:pPr>
            <w:r w:rsidRPr="00DA029C">
              <w:rPr>
                <w:noProof/>
                <w:sz w:val="22"/>
                <w:szCs w:val="22"/>
              </w:rPr>
              <w:t>5%</w:t>
            </w:r>
          </w:p>
        </w:tc>
      </w:tr>
    </w:tbl>
    <w:p w14:paraId="05624E6F" w14:textId="77777777" w:rsidR="0017193A" w:rsidRPr="0007547C" w:rsidRDefault="0017193A" w:rsidP="0017193A">
      <w:pPr>
        <w:pStyle w:val="BodyText"/>
        <w:rPr>
          <w:noProof/>
        </w:rPr>
      </w:pPr>
    </w:p>
    <w:p w14:paraId="2767BB16" w14:textId="18DFE0A3" w:rsidR="0017193A" w:rsidRPr="0007547C" w:rsidRDefault="0017193A" w:rsidP="0017193A">
      <w:pPr>
        <w:pStyle w:val="BodyText"/>
        <w:rPr>
          <w:noProof/>
        </w:rPr>
      </w:pPr>
      <w:r w:rsidRPr="0007547C">
        <w:rPr>
          <w:noProof/>
        </w:rPr>
        <w:t>The sub-impact weights specify how the detailed components within each impact contribute to the overall evaluation. Under the equal weighting scenario, the weights are balanced across sub-criteria. Under Problem 1, the emphasis shifts towards sub-impacts linked to rapid deployment, computing capacity, and cost efficiency, aligning with the scenario’s objective of speeding up infrastructure expansion. Conversely, Problem 2 introduces a strong emphasis on digital sovereignty, open</w:t>
      </w:r>
      <w:r w:rsidR="006A47EA">
        <w:rPr>
          <w:noProof/>
        </w:rPr>
        <w:t xml:space="preserve"> </w:t>
      </w:r>
      <w:r w:rsidRPr="0007547C">
        <w:rPr>
          <w:noProof/>
        </w:rPr>
        <w:t xml:space="preserve">source capacity, customer choice, and transparency, consistent with its social and governance orientation. Environmental sub-impacts </w:t>
      </w:r>
      <w:r w:rsidR="001C71F7">
        <w:rPr>
          <w:noProof/>
        </w:rPr>
        <w:t>source</w:t>
      </w:r>
      <w:r w:rsidR="00235089">
        <w:rPr>
          <w:noProof/>
        </w:rPr>
        <w:t xml:space="preserve"> </w:t>
      </w:r>
      <w:r w:rsidRPr="0007547C">
        <w:rPr>
          <w:noProof/>
        </w:rPr>
        <w:t>also adjust, prioritising reductions in data centre footprints under Problem 1 and digital sovereignty, and resilience under Problem 2.</w:t>
      </w:r>
    </w:p>
    <w:p w14:paraId="51810EC3" w14:textId="50833D33" w:rsidR="0017193A" w:rsidRDefault="0017193A" w:rsidP="0017193A">
      <w:pPr>
        <w:pStyle w:val="Caption"/>
        <w:rPr>
          <w:noProof/>
        </w:rPr>
      </w:pPr>
      <w:bookmarkStart w:id="288" w:name="_Toc213232719"/>
      <w:bookmarkStart w:id="289" w:name="_Toc213440606"/>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48</w:t>
      </w:r>
      <w:r>
        <w:rPr>
          <w:noProof/>
        </w:rPr>
        <w:fldChar w:fldCharType="end"/>
      </w:r>
      <w:r>
        <w:rPr>
          <w:noProof/>
        </w:rPr>
        <w:t xml:space="preserve">. </w:t>
      </w:r>
      <w:r w:rsidRPr="00E4269D">
        <w:rPr>
          <w:noProof/>
        </w:rPr>
        <w:t>Sub-impacts weighting</w:t>
      </w:r>
      <w:bookmarkEnd w:id="288"/>
      <w:bookmarkEnd w:id="289"/>
      <w:r w:rsidR="00235089">
        <w:rPr>
          <w:noProof/>
        </w:rPr>
        <w:t xml:space="preserve"> </w:t>
      </w:r>
      <w:r w:rsidR="00235089" w:rsidRPr="00785FC1">
        <w:rPr>
          <w:b w:val="0"/>
          <w:bCs/>
          <w:noProof/>
        </w:rPr>
        <w:t>(Source: Technopolis et al. (2025))</w:t>
      </w:r>
    </w:p>
    <w:tbl>
      <w:tblPr>
        <w:tblStyle w:val="TechnopolisTable1"/>
        <w:tblW w:w="0" w:type="auto"/>
        <w:tblLook w:val="04A0" w:firstRow="1" w:lastRow="0" w:firstColumn="1" w:lastColumn="0" w:noHBand="0" w:noVBand="1"/>
      </w:tblPr>
      <w:tblGrid>
        <w:gridCol w:w="3823"/>
        <w:gridCol w:w="1701"/>
        <w:gridCol w:w="1701"/>
        <w:gridCol w:w="1673"/>
      </w:tblGrid>
      <w:tr w:rsidR="0017193A" w:rsidRPr="00F60641" w14:paraId="72965EA4" w14:textId="77777777" w:rsidTr="00690805">
        <w:trPr>
          <w:cnfStyle w:val="100000000000" w:firstRow="1" w:lastRow="0" w:firstColumn="0" w:lastColumn="0" w:oddVBand="0" w:evenVBand="0" w:oddHBand="0" w:evenHBand="0" w:firstRowFirstColumn="0" w:firstRowLastColumn="0" w:lastRowFirstColumn="0" w:lastRowLastColumn="0"/>
          <w:trHeight w:val="320"/>
          <w:tblHeader/>
        </w:trPr>
        <w:tc>
          <w:tcPr>
            <w:tcW w:w="3823" w:type="dxa"/>
            <w:tcBorders>
              <w:bottom w:val="single" w:sz="12" w:space="0" w:color="00B0F0"/>
            </w:tcBorders>
            <w:noWrap/>
            <w:hideMark/>
          </w:tcPr>
          <w:p w14:paraId="5F202B86" w14:textId="77777777" w:rsidR="0017193A" w:rsidRPr="00DA029C" w:rsidRDefault="0017193A">
            <w:pPr>
              <w:pStyle w:val="Tabletext"/>
              <w:rPr>
                <w:noProof/>
                <w:sz w:val="22"/>
                <w:szCs w:val="22"/>
                <w:lang w:val="en-IE"/>
              </w:rPr>
            </w:pPr>
            <w:r w:rsidRPr="00DA029C">
              <w:rPr>
                <w:noProof/>
                <w:sz w:val="22"/>
                <w:szCs w:val="22"/>
              </w:rPr>
              <w:t>Sub-Impact</w:t>
            </w:r>
          </w:p>
        </w:tc>
        <w:tc>
          <w:tcPr>
            <w:tcW w:w="1701" w:type="dxa"/>
            <w:tcBorders>
              <w:bottom w:val="single" w:sz="12" w:space="0" w:color="00B0F0"/>
            </w:tcBorders>
            <w:noWrap/>
            <w:hideMark/>
          </w:tcPr>
          <w:p w14:paraId="7032A7F7" w14:textId="77777777" w:rsidR="0017193A" w:rsidRPr="00DA029C" w:rsidRDefault="0017193A">
            <w:pPr>
              <w:pStyle w:val="Tabletext"/>
              <w:rPr>
                <w:noProof/>
                <w:sz w:val="22"/>
                <w:szCs w:val="22"/>
              </w:rPr>
            </w:pPr>
            <w:r w:rsidRPr="00DA029C">
              <w:rPr>
                <w:noProof/>
                <w:sz w:val="22"/>
                <w:szCs w:val="22"/>
              </w:rPr>
              <w:t>Equal weighting sub - impact</w:t>
            </w:r>
          </w:p>
        </w:tc>
        <w:tc>
          <w:tcPr>
            <w:tcW w:w="1701" w:type="dxa"/>
            <w:tcBorders>
              <w:bottom w:val="single" w:sz="12" w:space="0" w:color="00B0F0"/>
            </w:tcBorders>
            <w:noWrap/>
            <w:hideMark/>
          </w:tcPr>
          <w:p w14:paraId="6262AB56" w14:textId="77777777" w:rsidR="0017193A" w:rsidRPr="00DA029C" w:rsidRDefault="0017193A">
            <w:pPr>
              <w:pStyle w:val="Tabletext"/>
              <w:rPr>
                <w:noProof/>
                <w:sz w:val="22"/>
                <w:szCs w:val="22"/>
              </w:rPr>
            </w:pPr>
            <w:r w:rsidRPr="00DA029C">
              <w:rPr>
                <w:noProof/>
                <w:sz w:val="22"/>
                <w:szCs w:val="22"/>
              </w:rPr>
              <w:t>P1 weights sub - impact</w:t>
            </w:r>
          </w:p>
        </w:tc>
        <w:tc>
          <w:tcPr>
            <w:tcW w:w="1673" w:type="dxa"/>
            <w:tcBorders>
              <w:bottom w:val="single" w:sz="12" w:space="0" w:color="00B0F0"/>
            </w:tcBorders>
            <w:noWrap/>
            <w:hideMark/>
          </w:tcPr>
          <w:p w14:paraId="7E53DEC6" w14:textId="77777777" w:rsidR="0017193A" w:rsidRPr="00DA029C" w:rsidRDefault="0017193A">
            <w:pPr>
              <w:pStyle w:val="Tabletext"/>
              <w:rPr>
                <w:noProof/>
                <w:sz w:val="22"/>
                <w:szCs w:val="22"/>
              </w:rPr>
            </w:pPr>
            <w:r w:rsidRPr="00DA029C">
              <w:rPr>
                <w:noProof/>
                <w:sz w:val="22"/>
                <w:szCs w:val="22"/>
              </w:rPr>
              <w:t>P2 weights sub - impact</w:t>
            </w:r>
          </w:p>
        </w:tc>
      </w:tr>
      <w:tr w:rsidR="0017193A" w:rsidRPr="00F60641" w14:paraId="17369ACD" w14:textId="77777777" w:rsidTr="00690805">
        <w:trPr>
          <w:trHeight w:val="320"/>
        </w:trPr>
        <w:tc>
          <w:tcPr>
            <w:tcW w:w="3823" w:type="dxa"/>
            <w:tcBorders>
              <w:top w:val="single" w:sz="12" w:space="0" w:color="00B0F0"/>
            </w:tcBorders>
            <w:noWrap/>
            <w:hideMark/>
          </w:tcPr>
          <w:p w14:paraId="0DB9BE94" w14:textId="77777777" w:rsidR="0017193A" w:rsidRPr="00DA029C" w:rsidRDefault="0017193A">
            <w:pPr>
              <w:pStyle w:val="Tabletext"/>
              <w:rPr>
                <w:noProof/>
                <w:sz w:val="22"/>
                <w:szCs w:val="22"/>
              </w:rPr>
            </w:pPr>
            <w:r w:rsidRPr="00DA029C">
              <w:rPr>
                <w:noProof/>
                <w:sz w:val="22"/>
                <w:szCs w:val="22"/>
              </w:rPr>
              <w:t>Speed of construction and deployment of data centres</w:t>
            </w:r>
          </w:p>
        </w:tc>
        <w:tc>
          <w:tcPr>
            <w:tcW w:w="1701" w:type="dxa"/>
            <w:tcBorders>
              <w:top w:val="single" w:sz="12" w:space="0" w:color="00B0F0"/>
            </w:tcBorders>
            <w:noWrap/>
            <w:hideMark/>
          </w:tcPr>
          <w:p w14:paraId="29D0F721" w14:textId="77777777" w:rsidR="0017193A" w:rsidRPr="00DA029C" w:rsidRDefault="0017193A">
            <w:pPr>
              <w:pStyle w:val="Tabletext"/>
              <w:rPr>
                <w:noProof/>
                <w:sz w:val="22"/>
                <w:szCs w:val="22"/>
              </w:rPr>
            </w:pPr>
            <w:r w:rsidRPr="00DA029C">
              <w:rPr>
                <w:noProof/>
                <w:sz w:val="22"/>
                <w:szCs w:val="22"/>
              </w:rPr>
              <w:t>14%</w:t>
            </w:r>
          </w:p>
        </w:tc>
        <w:tc>
          <w:tcPr>
            <w:tcW w:w="1701" w:type="dxa"/>
            <w:tcBorders>
              <w:top w:val="single" w:sz="12" w:space="0" w:color="00B0F0"/>
            </w:tcBorders>
            <w:noWrap/>
            <w:hideMark/>
          </w:tcPr>
          <w:p w14:paraId="50A56BC7" w14:textId="77777777" w:rsidR="0017193A" w:rsidRPr="00DA029C" w:rsidRDefault="0017193A">
            <w:pPr>
              <w:pStyle w:val="Tabletext"/>
              <w:rPr>
                <w:noProof/>
                <w:sz w:val="22"/>
                <w:szCs w:val="22"/>
              </w:rPr>
            </w:pPr>
            <w:r w:rsidRPr="00DA029C">
              <w:rPr>
                <w:noProof/>
                <w:sz w:val="22"/>
                <w:szCs w:val="22"/>
              </w:rPr>
              <w:t>30%</w:t>
            </w:r>
          </w:p>
        </w:tc>
        <w:tc>
          <w:tcPr>
            <w:tcW w:w="1673" w:type="dxa"/>
            <w:tcBorders>
              <w:top w:val="single" w:sz="12" w:space="0" w:color="00B0F0"/>
            </w:tcBorders>
            <w:noWrap/>
            <w:hideMark/>
          </w:tcPr>
          <w:p w14:paraId="7524935F" w14:textId="77777777" w:rsidR="0017193A" w:rsidRPr="00DA029C" w:rsidRDefault="0017193A">
            <w:pPr>
              <w:pStyle w:val="Tabletext"/>
              <w:rPr>
                <w:noProof/>
                <w:sz w:val="22"/>
                <w:szCs w:val="22"/>
              </w:rPr>
            </w:pPr>
            <w:r w:rsidRPr="00DA029C">
              <w:rPr>
                <w:noProof/>
                <w:sz w:val="22"/>
                <w:szCs w:val="22"/>
              </w:rPr>
              <w:t>0.5%</w:t>
            </w:r>
          </w:p>
        </w:tc>
      </w:tr>
      <w:tr w:rsidR="0017193A" w:rsidRPr="00F60641" w14:paraId="1104CF8F" w14:textId="77777777">
        <w:trPr>
          <w:trHeight w:val="320"/>
        </w:trPr>
        <w:tc>
          <w:tcPr>
            <w:tcW w:w="3823" w:type="dxa"/>
            <w:noWrap/>
            <w:hideMark/>
          </w:tcPr>
          <w:p w14:paraId="24DD648B" w14:textId="77777777" w:rsidR="0017193A" w:rsidRPr="00DA029C" w:rsidRDefault="0017193A">
            <w:pPr>
              <w:pStyle w:val="Tabletext"/>
              <w:rPr>
                <w:noProof/>
                <w:sz w:val="22"/>
                <w:szCs w:val="22"/>
              </w:rPr>
            </w:pPr>
            <w:r w:rsidRPr="00DA029C">
              <w:rPr>
                <w:noProof/>
                <w:sz w:val="22"/>
                <w:szCs w:val="22"/>
              </w:rPr>
              <w:t>Computing capacity for AI services and general purpose computing</w:t>
            </w:r>
          </w:p>
        </w:tc>
        <w:tc>
          <w:tcPr>
            <w:tcW w:w="1701" w:type="dxa"/>
            <w:noWrap/>
            <w:hideMark/>
          </w:tcPr>
          <w:p w14:paraId="5C66F991"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75811E0B" w14:textId="77777777" w:rsidR="0017193A" w:rsidRPr="00DA029C" w:rsidRDefault="0017193A">
            <w:pPr>
              <w:pStyle w:val="Tabletext"/>
              <w:rPr>
                <w:noProof/>
                <w:sz w:val="22"/>
                <w:szCs w:val="22"/>
              </w:rPr>
            </w:pPr>
            <w:r w:rsidRPr="00DA029C">
              <w:rPr>
                <w:noProof/>
                <w:sz w:val="22"/>
                <w:szCs w:val="22"/>
              </w:rPr>
              <w:t>20%</w:t>
            </w:r>
          </w:p>
        </w:tc>
        <w:tc>
          <w:tcPr>
            <w:tcW w:w="1673" w:type="dxa"/>
            <w:noWrap/>
            <w:hideMark/>
          </w:tcPr>
          <w:p w14:paraId="756A7B30" w14:textId="77777777" w:rsidR="0017193A" w:rsidRPr="00DA029C" w:rsidRDefault="0017193A">
            <w:pPr>
              <w:pStyle w:val="Tabletext"/>
              <w:rPr>
                <w:noProof/>
                <w:sz w:val="22"/>
                <w:szCs w:val="22"/>
              </w:rPr>
            </w:pPr>
            <w:r w:rsidRPr="00DA029C">
              <w:rPr>
                <w:noProof/>
                <w:sz w:val="22"/>
                <w:szCs w:val="22"/>
              </w:rPr>
              <w:t>0.5%</w:t>
            </w:r>
          </w:p>
        </w:tc>
      </w:tr>
      <w:tr w:rsidR="0017193A" w:rsidRPr="00F60641" w14:paraId="149569C0" w14:textId="77777777">
        <w:trPr>
          <w:trHeight w:val="320"/>
        </w:trPr>
        <w:tc>
          <w:tcPr>
            <w:tcW w:w="3823" w:type="dxa"/>
            <w:noWrap/>
            <w:hideMark/>
          </w:tcPr>
          <w:p w14:paraId="009B62D1" w14:textId="42A62530" w:rsidR="0017193A" w:rsidRPr="00DA029C" w:rsidRDefault="0017193A">
            <w:pPr>
              <w:pStyle w:val="Tabletext"/>
              <w:rPr>
                <w:noProof/>
                <w:sz w:val="22"/>
                <w:szCs w:val="22"/>
              </w:rPr>
            </w:pPr>
            <w:r w:rsidRPr="00DA029C">
              <w:rPr>
                <w:noProof/>
                <w:sz w:val="22"/>
                <w:szCs w:val="22"/>
              </w:rPr>
              <w:t xml:space="preserve">Adoption of high-performance, low-carbon, energy-efficient cloud and AI </w:t>
            </w:r>
            <w:r w:rsidR="00A24504">
              <w:rPr>
                <w:noProof/>
                <w:sz w:val="22"/>
                <w:szCs w:val="22"/>
              </w:rPr>
              <w:t xml:space="preserve">computing </w:t>
            </w:r>
            <w:r w:rsidRPr="00DA029C">
              <w:rPr>
                <w:noProof/>
                <w:sz w:val="22"/>
                <w:szCs w:val="22"/>
              </w:rPr>
              <w:t>services</w:t>
            </w:r>
          </w:p>
        </w:tc>
        <w:tc>
          <w:tcPr>
            <w:tcW w:w="1701" w:type="dxa"/>
            <w:noWrap/>
            <w:hideMark/>
          </w:tcPr>
          <w:p w14:paraId="642A9270"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5040BA77" w14:textId="77777777" w:rsidR="0017193A" w:rsidRPr="00DA029C" w:rsidRDefault="0017193A">
            <w:pPr>
              <w:pStyle w:val="Tabletext"/>
              <w:rPr>
                <w:noProof/>
                <w:sz w:val="22"/>
                <w:szCs w:val="22"/>
              </w:rPr>
            </w:pPr>
            <w:r w:rsidRPr="00DA029C">
              <w:rPr>
                <w:noProof/>
                <w:sz w:val="22"/>
                <w:szCs w:val="22"/>
              </w:rPr>
              <w:t>25%</w:t>
            </w:r>
          </w:p>
        </w:tc>
        <w:tc>
          <w:tcPr>
            <w:tcW w:w="1673" w:type="dxa"/>
            <w:noWrap/>
            <w:hideMark/>
          </w:tcPr>
          <w:p w14:paraId="5E3E3C1F" w14:textId="77777777" w:rsidR="0017193A" w:rsidRPr="00DA029C" w:rsidRDefault="0017193A">
            <w:pPr>
              <w:pStyle w:val="Tabletext"/>
              <w:rPr>
                <w:noProof/>
                <w:sz w:val="22"/>
                <w:szCs w:val="22"/>
              </w:rPr>
            </w:pPr>
            <w:r w:rsidRPr="00DA029C">
              <w:rPr>
                <w:noProof/>
                <w:sz w:val="22"/>
                <w:szCs w:val="22"/>
              </w:rPr>
              <w:t>0.5%</w:t>
            </w:r>
          </w:p>
        </w:tc>
      </w:tr>
      <w:tr w:rsidR="0017193A" w:rsidRPr="00F60641" w14:paraId="5FC958AE" w14:textId="77777777">
        <w:trPr>
          <w:trHeight w:val="320"/>
        </w:trPr>
        <w:tc>
          <w:tcPr>
            <w:tcW w:w="3823" w:type="dxa"/>
            <w:noWrap/>
            <w:hideMark/>
          </w:tcPr>
          <w:p w14:paraId="4306A139" w14:textId="23631405" w:rsidR="0017193A" w:rsidRPr="00DA029C" w:rsidRDefault="0017193A">
            <w:pPr>
              <w:pStyle w:val="Tabletext"/>
              <w:rPr>
                <w:noProof/>
                <w:sz w:val="22"/>
                <w:szCs w:val="22"/>
              </w:rPr>
            </w:pPr>
            <w:r w:rsidRPr="00DA029C">
              <w:rPr>
                <w:noProof/>
                <w:sz w:val="22"/>
                <w:szCs w:val="22"/>
              </w:rPr>
              <w:t xml:space="preserve">Cross-border market access for EU-based </w:t>
            </w:r>
            <w:r w:rsidR="0001203E">
              <w:rPr>
                <w:noProof/>
                <w:sz w:val="22"/>
                <w:szCs w:val="22"/>
              </w:rPr>
              <w:t>cloud</w:t>
            </w:r>
            <w:r w:rsidRPr="00DA029C">
              <w:rPr>
                <w:noProof/>
                <w:sz w:val="22"/>
                <w:szCs w:val="22"/>
              </w:rPr>
              <w:t xml:space="preserve"> and AI </w:t>
            </w:r>
            <w:r w:rsidR="00F277BE">
              <w:rPr>
                <w:noProof/>
                <w:sz w:val="22"/>
                <w:szCs w:val="22"/>
              </w:rPr>
              <w:t xml:space="preserve">computing service </w:t>
            </w:r>
            <w:r w:rsidRPr="00DA029C">
              <w:rPr>
                <w:noProof/>
                <w:sz w:val="22"/>
                <w:szCs w:val="22"/>
              </w:rPr>
              <w:t>providers</w:t>
            </w:r>
          </w:p>
        </w:tc>
        <w:tc>
          <w:tcPr>
            <w:tcW w:w="1701" w:type="dxa"/>
            <w:noWrap/>
            <w:hideMark/>
          </w:tcPr>
          <w:p w14:paraId="7063E391"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431E260A" w14:textId="77777777" w:rsidR="0017193A" w:rsidRPr="00DA029C" w:rsidRDefault="0017193A">
            <w:pPr>
              <w:pStyle w:val="Tabletext"/>
              <w:rPr>
                <w:noProof/>
                <w:sz w:val="22"/>
                <w:szCs w:val="22"/>
              </w:rPr>
            </w:pPr>
            <w:r w:rsidRPr="00DA029C">
              <w:rPr>
                <w:noProof/>
                <w:sz w:val="22"/>
                <w:szCs w:val="22"/>
              </w:rPr>
              <w:t>10%</w:t>
            </w:r>
          </w:p>
        </w:tc>
        <w:tc>
          <w:tcPr>
            <w:tcW w:w="1673" w:type="dxa"/>
            <w:noWrap/>
            <w:hideMark/>
          </w:tcPr>
          <w:p w14:paraId="76A62AEA" w14:textId="77777777" w:rsidR="0017193A" w:rsidRPr="00DA029C" w:rsidRDefault="0017193A">
            <w:pPr>
              <w:pStyle w:val="Tabletext"/>
              <w:rPr>
                <w:noProof/>
                <w:sz w:val="22"/>
                <w:szCs w:val="22"/>
              </w:rPr>
            </w:pPr>
            <w:r w:rsidRPr="00DA029C">
              <w:rPr>
                <w:noProof/>
                <w:sz w:val="22"/>
                <w:szCs w:val="22"/>
              </w:rPr>
              <w:t>14.5%</w:t>
            </w:r>
          </w:p>
        </w:tc>
      </w:tr>
      <w:tr w:rsidR="0017193A" w:rsidRPr="00F60641" w14:paraId="4DB6BA2B" w14:textId="77777777">
        <w:trPr>
          <w:trHeight w:val="320"/>
        </w:trPr>
        <w:tc>
          <w:tcPr>
            <w:tcW w:w="3823" w:type="dxa"/>
            <w:noWrap/>
            <w:hideMark/>
          </w:tcPr>
          <w:p w14:paraId="4A5BE6D9" w14:textId="77777777" w:rsidR="0017193A" w:rsidRPr="00DA029C" w:rsidRDefault="0017193A">
            <w:pPr>
              <w:pStyle w:val="Tabletext"/>
              <w:rPr>
                <w:noProof/>
                <w:sz w:val="22"/>
                <w:szCs w:val="22"/>
              </w:rPr>
            </w:pPr>
            <w:r w:rsidRPr="00DA029C">
              <w:rPr>
                <w:noProof/>
                <w:sz w:val="22"/>
                <w:szCs w:val="22"/>
              </w:rPr>
              <w:t>Digital sovereignty and resilience in the public sector including through public procurement</w:t>
            </w:r>
          </w:p>
        </w:tc>
        <w:tc>
          <w:tcPr>
            <w:tcW w:w="1701" w:type="dxa"/>
            <w:noWrap/>
            <w:hideMark/>
          </w:tcPr>
          <w:p w14:paraId="42B3F24A"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0C62EA76" w14:textId="77777777" w:rsidR="0017193A" w:rsidRPr="00DA029C" w:rsidRDefault="0017193A">
            <w:pPr>
              <w:pStyle w:val="Tabletext"/>
              <w:rPr>
                <w:noProof/>
                <w:sz w:val="22"/>
                <w:szCs w:val="22"/>
              </w:rPr>
            </w:pPr>
            <w:r w:rsidRPr="00DA029C">
              <w:rPr>
                <w:noProof/>
                <w:sz w:val="22"/>
                <w:szCs w:val="22"/>
              </w:rPr>
              <w:t>7%</w:t>
            </w:r>
          </w:p>
        </w:tc>
        <w:tc>
          <w:tcPr>
            <w:tcW w:w="1673" w:type="dxa"/>
            <w:noWrap/>
            <w:hideMark/>
          </w:tcPr>
          <w:p w14:paraId="49C961B8" w14:textId="77777777" w:rsidR="0017193A" w:rsidRPr="00DA029C" w:rsidRDefault="0017193A">
            <w:pPr>
              <w:pStyle w:val="Tabletext"/>
              <w:rPr>
                <w:noProof/>
                <w:sz w:val="22"/>
                <w:szCs w:val="22"/>
              </w:rPr>
            </w:pPr>
            <w:r w:rsidRPr="00DA029C">
              <w:rPr>
                <w:noProof/>
                <w:sz w:val="22"/>
                <w:szCs w:val="22"/>
              </w:rPr>
              <w:t>50%</w:t>
            </w:r>
          </w:p>
        </w:tc>
      </w:tr>
      <w:tr w:rsidR="0017193A" w:rsidRPr="00F60641" w14:paraId="5E305945" w14:textId="77777777">
        <w:trPr>
          <w:trHeight w:val="320"/>
        </w:trPr>
        <w:tc>
          <w:tcPr>
            <w:tcW w:w="3823" w:type="dxa"/>
            <w:noWrap/>
            <w:hideMark/>
          </w:tcPr>
          <w:p w14:paraId="7610D3CB" w14:textId="77777777" w:rsidR="0017193A" w:rsidRPr="00DA029C" w:rsidRDefault="0017193A">
            <w:pPr>
              <w:pStyle w:val="Tabletext"/>
              <w:rPr>
                <w:noProof/>
                <w:sz w:val="22"/>
                <w:szCs w:val="22"/>
              </w:rPr>
            </w:pPr>
            <w:r w:rsidRPr="00DA029C">
              <w:rPr>
                <w:noProof/>
                <w:sz w:val="22"/>
                <w:szCs w:val="22"/>
              </w:rPr>
              <w:t>Open source capacity</w:t>
            </w:r>
          </w:p>
        </w:tc>
        <w:tc>
          <w:tcPr>
            <w:tcW w:w="1701" w:type="dxa"/>
            <w:noWrap/>
            <w:hideMark/>
          </w:tcPr>
          <w:p w14:paraId="7E99FA38"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742130B3" w14:textId="77777777" w:rsidR="0017193A" w:rsidRPr="00DA029C" w:rsidRDefault="0017193A">
            <w:pPr>
              <w:pStyle w:val="Tabletext"/>
              <w:rPr>
                <w:noProof/>
                <w:sz w:val="22"/>
                <w:szCs w:val="22"/>
              </w:rPr>
            </w:pPr>
            <w:r w:rsidRPr="00DA029C">
              <w:rPr>
                <w:noProof/>
                <w:sz w:val="22"/>
                <w:szCs w:val="22"/>
              </w:rPr>
              <w:t>5%</w:t>
            </w:r>
          </w:p>
        </w:tc>
        <w:tc>
          <w:tcPr>
            <w:tcW w:w="1673" w:type="dxa"/>
            <w:noWrap/>
            <w:hideMark/>
          </w:tcPr>
          <w:p w14:paraId="385634B2" w14:textId="77777777" w:rsidR="0017193A" w:rsidRPr="00DA029C" w:rsidRDefault="0017193A">
            <w:pPr>
              <w:pStyle w:val="Tabletext"/>
              <w:rPr>
                <w:noProof/>
                <w:sz w:val="22"/>
                <w:szCs w:val="22"/>
              </w:rPr>
            </w:pPr>
            <w:r w:rsidRPr="00DA029C">
              <w:rPr>
                <w:noProof/>
                <w:sz w:val="22"/>
                <w:szCs w:val="22"/>
              </w:rPr>
              <w:t>14.5%</w:t>
            </w:r>
          </w:p>
        </w:tc>
      </w:tr>
      <w:tr w:rsidR="0017193A" w:rsidRPr="00F60641" w14:paraId="257C77B6" w14:textId="77777777">
        <w:trPr>
          <w:trHeight w:val="320"/>
        </w:trPr>
        <w:tc>
          <w:tcPr>
            <w:tcW w:w="3823" w:type="dxa"/>
            <w:noWrap/>
            <w:hideMark/>
          </w:tcPr>
          <w:p w14:paraId="7FDD8647" w14:textId="77777777" w:rsidR="0017193A" w:rsidRPr="00DA029C" w:rsidRDefault="0017193A">
            <w:pPr>
              <w:pStyle w:val="Tabletext"/>
              <w:rPr>
                <w:noProof/>
                <w:sz w:val="22"/>
                <w:szCs w:val="22"/>
              </w:rPr>
            </w:pPr>
            <w:r w:rsidRPr="00DA029C">
              <w:rPr>
                <w:noProof/>
                <w:sz w:val="22"/>
                <w:szCs w:val="22"/>
              </w:rPr>
              <w:t>Ensuring customer choice and the ability to switch providers across layers of the AI compute stack</w:t>
            </w:r>
          </w:p>
        </w:tc>
        <w:tc>
          <w:tcPr>
            <w:tcW w:w="1701" w:type="dxa"/>
            <w:noWrap/>
            <w:hideMark/>
          </w:tcPr>
          <w:p w14:paraId="7075464E" w14:textId="77777777" w:rsidR="0017193A" w:rsidRPr="00DA029C" w:rsidRDefault="0017193A">
            <w:pPr>
              <w:pStyle w:val="Tabletext"/>
              <w:rPr>
                <w:noProof/>
                <w:sz w:val="22"/>
                <w:szCs w:val="22"/>
              </w:rPr>
            </w:pPr>
            <w:r w:rsidRPr="00DA029C">
              <w:rPr>
                <w:noProof/>
                <w:sz w:val="22"/>
                <w:szCs w:val="22"/>
              </w:rPr>
              <w:t>14%</w:t>
            </w:r>
          </w:p>
        </w:tc>
        <w:tc>
          <w:tcPr>
            <w:tcW w:w="1701" w:type="dxa"/>
            <w:noWrap/>
            <w:hideMark/>
          </w:tcPr>
          <w:p w14:paraId="5E17098F" w14:textId="77777777" w:rsidR="0017193A" w:rsidRPr="00DA029C" w:rsidRDefault="0017193A">
            <w:pPr>
              <w:pStyle w:val="Tabletext"/>
              <w:rPr>
                <w:noProof/>
                <w:sz w:val="22"/>
                <w:szCs w:val="22"/>
              </w:rPr>
            </w:pPr>
            <w:r w:rsidRPr="00DA029C">
              <w:rPr>
                <w:noProof/>
                <w:sz w:val="22"/>
                <w:szCs w:val="22"/>
              </w:rPr>
              <w:t>3%</w:t>
            </w:r>
          </w:p>
        </w:tc>
        <w:tc>
          <w:tcPr>
            <w:tcW w:w="1673" w:type="dxa"/>
            <w:noWrap/>
            <w:hideMark/>
          </w:tcPr>
          <w:p w14:paraId="34D68A18" w14:textId="77777777" w:rsidR="0017193A" w:rsidRPr="00DA029C" w:rsidRDefault="0017193A">
            <w:pPr>
              <w:pStyle w:val="Tabletext"/>
              <w:rPr>
                <w:noProof/>
                <w:sz w:val="22"/>
                <w:szCs w:val="22"/>
              </w:rPr>
            </w:pPr>
            <w:r w:rsidRPr="00DA029C">
              <w:rPr>
                <w:noProof/>
                <w:sz w:val="22"/>
                <w:szCs w:val="22"/>
              </w:rPr>
              <w:t>19.5%</w:t>
            </w:r>
          </w:p>
        </w:tc>
      </w:tr>
      <w:tr w:rsidR="0017193A" w:rsidRPr="00F60641" w14:paraId="7531E269" w14:textId="77777777">
        <w:trPr>
          <w:trHeight w:val="320"/>
        </w:trPr>
        <w:tc>
          <w:tcPr>
            <w:tcW w:w="3823" w:type="dxa"/>
            <w:noWrap/>
            <w:hideMark/>
          </w:tcPr>
          <w:p w14:paraId="3309556A" w14:textId="641C0E0B" w:rsidR="0017193A" w:rsidRPr="00DA029C" w:rsidRDefault="00CD529A">
            <w:pPr>
              <w:pStyle w:val="Tabletext"/>
              <w:rPr>
                <w:noProof/>
                <w:sz w:val="22"/>
                <w:szCs w:val="22"/>
              </w:rPr>
            </w:pPr>
            <w:r w:rsidRPr="00DA029C">
              <w:rPr>
                <w:noProof/>
                <w:sz w:val="22"/>
                <w:szCs w:val="22"/>
              </w:rPr>
              <w:t>A</w:t>
            </w:r>
            <w:r w:rsidR="0017193A" w:rsidRPr="00DA029C">
              <w:rPr>
                <w:noProof/>
                <w:sz w:val="22"/>
                <w:szCs w:val="22"/>
              </w:rPr>
              <w:t>dministrative</w:t>
            </w:r>
            <w:r>
              <w:rPr>
                <w:noProof/>
                <w:sz w:val="22"/>
                <w:szCs w:val="22"/>
              </w:rPr>
              <w:t xml:space="preserve"> costs</w:t>
            </w:r>
          </w:p>
        </w:tc>
        <w:tc>
          <w:tcPr>
            <w:tcW w:w="1701" w:type="dxa"/>
            <w:noWrap/>
            <w:hideMark/>
          </w:tcPr>
          <w:p w14:paraId="081E8440" w14:textId="77777777" w:rsidR="0017193A" w:rsidRPr="00DA029C" w:rsidRDefault="0017193A">
            <w:pPr>
              <w:pStyle w:val="Tabletext"/>
              <w:rPr>
                <w:noProof/>
                <w:sz w:val="22"/>
                <w:szCs w:val="22"/>
              </w:rPr>
            </w:pPr>
            <w:r w:rsidRPr="00DA029C">
              <w:rPr>
                <w:noProof/>
                <w:sz w:val="22"/>
                <w:szCs w:val="22"/>
              </w:rPr>
              <w:t>25%</w:t>
            </w:r>
          </w:p>
        </w:tc>
        <w:tc>
          <w:tcPr>
            <w:tcW w:w="1701" w:type="dxa"/>
            <w:noWrap/>
            <w:hideMark/>
          </w:tcPr>
          <w:p w14:paraId="15C43C55" w14:textId="77777777" w:rsidR="0017193A" w:rsidRPr="00DA029C" w:rsidRDefault="0017193A">
            <w:pPr>
              <w:pStyle w:val="Tabletext"/>
              <w:rPr>
                <w:noProof/>
                <w:sz w:val="22"/>
                <w:szCs w:val="22"/>
              </w:rPr>
            </w:pPr>
            <w:r w:rsidRPr="00DA029C">
              <w:rPr>
                <w:noProof/>
                <w:sz w:val="22"/>
                <w:szCs w:val="22"/>
              </w:rPr>
              <w:t>15%</w:t>
            </w:r>
          </w:p>
        </w:tc>
        <w:tc>
          <w:tcPr>
            <w:tcW w:w="1673" w:type="dxa"/>
            <w:noWrap/>
            <w:hideMark/>
          </w:tcPr>
          <w:p w14:paraId="244B3B62" w14:textId="77777777" w:rsidR="0017193A" w:rsidRPr="00DA029C" w:rsidRDefault="0017193A">
            <w:pPr>
              <w:pStyle w:val="Tabletext"/>
              <w:rPr>
                <w:noProof/>
                <w:sz w:val="22"/>
                <w:szCs w:val="22"/>
              </w:rPr>
            </w:pPr>
            <w:r w:rsidRPr="00DA029C">
              <w:rPr>
                <w:noProof/>
                <w:sz w:val="22"/>
                <w:szCs w:val="22"/>
              </w:rPr>
              <w:t>15%</w:t>
            </w:r>
          </w:p>
        </w:tc>
      </w:tr>
      <w:tr w:rsidR="0017193A" w:rsidRPr="00F60641" w14:paraId="776F1B32" w14:textId="77777777">
        <w:trPr>
          <w:trHeight w:val="320"/>
        </w:trPr>
        <w:tc>
          <w:tcPr>
            <w:tcW w:w="3823" w:type="dxa"/>
            <w:noWrap/>
            <w:hideMark/>
          </w:tcPr>
          <w:p w14:paraId="15C7BEBF" w14:textId="24E4D9F9" w:rsidR="0017193A" w:rsidRPr="00DA029C" w:rsidRDefault="00CD529A">
            <w:pPr>
              <w:pStyle w:val="Tabletext"/>
              <w:rPr>
                <w:noProof/>
                <w:sz w:val="22"/>
                <w:szCs w:val="22"/>
              </w:rPr>
            </w:pPr>
            <w:r w:rsidRPr="00DA029C">
              <w:rPr>
                <w:noProof/>
                <w:sz w:val="22"/>
                <w:szCs w:val="22"/>
              </w:rPr>
              <w:t>A</w:t>
            </w:r>
            <w:r w:rsidR="0017193A" w:rsidRPr="00DA029C">
              <w:rPr>
                <w:noProof/>
                <w:sz w:val="22"/>
                <w:szCs w:val="22"/>
              </w:rPr>
              <w:t>djustment</w:t>
            </w:r>
            <w:r>
              <w:rPr>
                <w:noProof/>
                <w:sz w:val="22"/>
                <w:szCs w:val="22"/>
              </w:rPr>
              <w:t xml:space="preserve"> costs</w:t>
            </w:r>
          </w:p>
        </w:tc>
        <w:tc>
          <w:tcPr>
            <w:tcW w:w="1701" w:type="dxa"/>
            <w:noWrap/>
            <w:hideMark/>
          </w:tcPr>
          <w:p w14:paraId="2AED6EBE" w14:textId="77777777" w:rsidR="0017193A" w:rsidRPr="00DA029C" w:rsidRDefault="0017193A">
            <w:pPr>
              <w:pStyle w:val="Tabletext"/>
              <w:rPr>
                <w:noProof/>
                <w:sz w:val="22"/>
                <w:szCs w:val="22"/>
              </w:rPr>
            </w:pPr>
            <w:r w:rsidRPr="00DA029C">
              <w:rPr>
                <w:noProof/>
                <w:sz w:val="22"/>
                <w:szCs w:val="22"/>
              </w:rPr>
              <w:t>25%</w:t>
            </w:r>
          </w:p>
        </w:tc>
        <w:tc>
          <w:tcPr>
            <w:tcW w:w="1701" w:type="dxa"/>
            <w:noWrap/>
            <w:hideMark/>
          </w:tcPr>
          <w:p w14:paraId="71BE4231" w14:textId="77777777" w:rsidR="0017193A" w:rsidRPr="00DA029C" w:rsidRDefault="0017193A">
            <w:pPr>
              <w:pStyle w:val="Tabletext"/>
              <w:rPr>
                <w:noProof/>
                <w:sz w:val="22"/>
                <w:szCs w:val="22"/>
              </w:rPr>
            </w:pPr>
            <w:r w:rsidRPr="00DA029C">
              <w:rPr>
                <w:noProof/>
                <w:sz w:val="22"/>
                <w:szCs w:val="22"/>
              </w:rPr>
              <w:t>15%</w:t>
            </w:r>
          </w:p>
        </w:tc>
        <w:tc>
          <w:tcPr>
            <w:tcW w:w="1673" w:type="dxa"/>
            <w:noWrap/>
            <w:hideMark/>
          </w:tcPr>
          <w:p w14:paraId="2AFE4378" w14:textId="77777777" w:rsidR="0017193A" w:rsidRPr="00DA029C" w:rsidRDefault="0017193A">
            <w:pPr>
              <w:pStyle w:val="Tabletext"/>
              <w:rPr>
                <w:noProof/>
                <w:sz w:val="22"/>
                <w:szCs w:val="22"/>
              </w:rPr>
            </w:pPr>
            <w:r w:rsidRPr="00DA029C">
              <w:rPr>
                <w:noProof/>
                <w:sz w:val="22"/>
                <w:szCs w:val="22"/>
              </w:rPr>
              <w:t>15%</w:t>
            </w:r>
          </w:p>
        </w:tc>
      </w:tr>
      <w:tr w:rsidR="0017193A" w:rsidRPr="00F60641" w14:paraId="58C4C90C" w14:textId="77777777">
        <w:trPr>
          <w:trHeight w:val="320"/>
        </w:trPr>
        <w:tc>
          <w:tcPr>
            <w:tcW w:w="3823" w:type="dxa"/>
            <w:noWrap/>
            <w:hideMark/>
          </w:tcPr>
          <w:p w14:paraId="7C734DBD" w14:textId="77777777" w:rsidR="0017193A" w:rsidRPr="00DA029C" w:rsidRDefault="0017193A">
            <w:pPr>
              <w:pStyle w:val="Tabletext"/>
              <w:rPr>
                <w:noProof/>
                <w:sz w:val="22"/>
                <w:szCs w:val="22"/>
              </w:rPr>
            </w:pPr>
            <w:r w:rsidRPr="00DA029C">
              <w:rPr>
                <w:noProof/>
                <w:sz w:val="22"/>
                <w:szCs w:val="22"/>
              </w:rPr>
              <w:t>cost savings</w:t>
            </w:r>
          </w:p>
        </w:tc>
        <w:tc>
          <w:tcPr>
            <w:tcW w:w="1701" w:type="dxa"/>
            <w:noWrap/>
            <w:hideMark/>
          </w:tcPr>
          <w:p w14:paraId="6E7A402C" w14:textId="77777777" w:rsidR="0017193A" w:rsidRPr="00DA029C" w:rsidRDefault="0017193A">
            <w:pPr>
              <w:pStyle w:val="Tabletext"/>
              <w:rPr>
                <w:noProof/>
                <w:sz w:val="22"/>
                <w:szCs w:val="22"/>
              </w:rPr>
            </w:pPr>
            <w:r w:rsidRPr="00DA029C">
              <w:rPr>
                <w:noProof/>
                <w:sz w:val="22"/>
                <w:szCs w:val="22"/>
              </w:rPr>
              <w:t>25%</w:t>
            </w:r>
          </w:p>
        </w:tc>
        <w:tc>
          <w:tcPr>
            <w:tcW w:w="1701" w:type="dxa"/>
            <w:noWrap/>
            <w:hideMark/>
          </w:tcPr>
          <w:p w14:paraId="62FCC334" w14:textId="77777777" w:rsidR="0017193A" w:rsidRPr="00DA029C" w:rsidRDefault="0017193A">
            <w:pPr>
              <w:pStyle w:val="Tabletext"/>
              <w:rPr>
                <w:noProof/>
                <w:sz w:val="22"/>
                <w:szCs w:val="22"/>
              </w:rPr>
            </w:pPr>
            <w:r w:rsidRPr="00DA029C">
              <w:rPr>
                <w:noProof/>
                <w:sz w:val="22"/>
                <w:szCs w:val="22"/>
              </w:rPr>
              <w:t>30%</w:t>
            </w:r>
          </w:p>
        </w:tc>
        <w:tc>
          <w:tcPr>
            <w:tcW w:w="1673" w:type="dxa"/>
            <w:noWrap/>
            <w:hideMark/>
          </w:tcPr>
          <w:p w14:paraId="15D99F66" w14:textId="77777777" w:rsidR="0017193A" w:rsidRPr="00DA029C" w:rsidRDefault="0017193A">
            <w:pPr>
              <w:pStyle w:val="Tabletext"/>
              <w:rPr>
                <w:noProof/>
                <w:sz w:val="22"/>
                <w:szCs w:val="22"/>
              </w:rPr>
            </w:pPr>
            <w:r w:rsidRPr="00DA029C">
              <w:rPr>
                <w:noProof/>
                <w:sz w:val="22"/>
                <w:szCs w:val="22"/>
              </w:rPr>
              <w:t>30%</w:t>
            </w:r>
          </w:p>
        </w:tc>
      </w:tr>
      <w:tr w:rsidR="0017193A" w:rsidRPr="00F60641" w14:paraId="29545708" w14:textId="77777777">
        <w:trPr>
          <w:trHeight w:val="320"/>
        </w:trPr>
        <w:tc>
          <w:tcPr>
            <w:tcW w:w="3823" w:type="dxa"/>
            <w:noWrap/>
            <w:hideMark/>
          </w:tcPr>
          <w:p w14:paraId="1061A5A8" w14:textId="77777777" w:rsidR="0017193A" w:rsidRPr="00DA029C" w:rsidRDefault="0017193A">
            <w:pPr>
              <w:pStyle w:val="Tabletext"/>
              <w:rPr>
                <w:noProof/>
                <w:sz w:val="22"/>
                <w:szCs w:val="22"/>
              </w:rPr>
            </w:pPr>
            <w:r w:rsidRPr="00DA029C">
              <w:rPr>
                <w:noProof/>
                <w:sz w:val="22"/>
                <w:szCs w:val="22"/>
              </w:rPr>
              <w:t>net costs</w:t>
            </w:r>
          </w:p>
        </w:tc>
        <w:tc>
          <w:tcPr>
            <w:tcW w:w="1701" w:type="dxa"/>
            <w:noWrap/>
            <w:hideMark/>
          </w:tcPr>
          <w:p w14:paraId="0D1CDEC6" w14:textId="77777777" w:rsidR="0017193A" w:rsidRPr="00DA029C" w:rsidRDefault="0017193A">
            <w:pPr>
              <w:pStyle w:val="Tabletext"/>
              <w:rPr>
                <w:noProof/>
                <w:sz w:val="22"/>
                <w:szCs w:val="22"/>
              </w:rPr>
            </w:pPr>
            <w:r w:rsidRPr="00DA029C">
              <w:rPr>
                <w:noProof/>
                <w:sz w:val="22"/>
                <w:szCs w:val="22"/>
              </w:rPr>
              <w:t>25%</w:t>
            </w:r>
          </w:p>
        </w:tc>
        <w:tc>
          <w:tcPr>
            <w:tcW w:w="1701" w:type="dxa"/>
            <w:noWrap/>
            <w:hideMark/>
          </w:tcPr>
          <w:p w14:paraId="279B0302" w14:textId="77777777" w:rsidR="0017193A" w:rsidRPr="00DA029C" w:rsidRDefault="0017193A">
            <w:pPr>
              <w:pStyle w:val="Tabletext"/>
              <w:rPr>
                <w:noProof/>
                <w:sz w:val="22"/>
                <w:szCs w:val="22"/>
              </w:rPr>
            </w:pPr>
            <w:r w:rsidRPr="00DA029C">
              <w:rPr>
                <w:noProof/>
                <w:sz w:val="22"/>
                <w:szCs w:val="22"/>
              </w:rPr>
              <w:t>40%</w:t>
            </w:r>
          </w:p>
        </w:tc>
        <w:tc>
          <w:tcPr>
            <w:tcW w:w="1673" w:type="dxa"/>
            <w:noWrap/>
            <w:hideMark/>
          </w:tcPr>
          <w:p w14:paraId="00CF3C98" w14:textId="77777777" w:rsidR="0017193A" w:rsidRPr="00DA029C" w:rsidRDefault="0017193A">
            <w:pPr>
              <w:pStyle w:val="Tabletext"/>
              <w:rPr>
                <w:noProof/>
                <w:sz w:val="22"/>
                <w:szCs w:val="22"/>
              </w:rPr>
            </w:pPr>
            <w:r w:rsidRPr="00DA029C">
              <w:rPr>
                <w:noProof/>
                <w:sz w:val="22"/>
                <w:szCs w:val="22"/>
              </w:rPr>
              <w:t>40%</w:t>
            </w:r>
          </w:p>
        </w:tc>
      </w:tr>
      <w:tr w:rsidR="0017193A" w:rsidRPr="00F60641" w14:paraId="249F3090" w14:textId="77777777">
        <w:trPr>
          <w:trHeight w:val="320"/>
        </w:trPr>
        <w:tc>
          <w:tcPr>
            <w:tcW w:w="3823" w:type="dxa"/>
            <w:noWrap/>
            <w:hideMark/>
          </w:tcPr>
          <w:p w14:paraId="239B9025" w14:textId="77777777" w:rsidR="0017193A" w:rsidRPr="00DA029C" w:rsidRDefault="0017193A">
            <w:pPr>
              <w:pStyle w:val="Tabletext"/>
              <w:rPr>
                <w:noProof/>
                <w:sz w:val="22"/>
                <w:szCs w:val="22"/>
              </w:rPr>
            </w:pPr>
            <w:r w:rsidRPr="00DA029C">
              <w:rPr>
                <w:noProof/>
                <w:sz w:val="22"/>
                <w:szCs w:val="22"/>
              </w:rPr>
              <w:t>Transparency and citizen trust</w:t>
            </w:r>
          </w:p>
        </w:tc>
        <w:tc>
          <w:tcPr>
            <w:tcW w:w="1701" w:type="dxa"/>
            <w:noWrap/>
            <w:hideMark/>
          </w:tcPr>
          <w:p w14:paraId="21F5B04D" w14:textId="77777777" w:rsidR="0017193A" w:rsidRPr="00DA029C" w:rsidRDefault="0017193A">
            <w:pPr>
              <w:pStyle w:val="Tabletext"/>
              <w:rPr>
                <w:noProof/>
                <w:sz w:val="22"/>
                <w:szCs w:val="22"/>
              </w:rPr>
            </w:pPr>
            <w:r w:rsidRPr="00DA029C">
              <w:rPr>
                <w:noProof/>
                <w:sz w:val="22"/>
                <w:szCs w:val="22"/>
              </w:rPr>
              <w:t>50%</w:t>
            </w:r>
          </w:p>
        </w:tc>
        <w:tc>
          <w:tcPr>
            <w:tcW w:w="1701" w:type="dxa"/>
            <w:noWrap/>
            <w:hideMark/>
          </w:tcPr>
          <w:p w14:paraId="6979356D" w14:textId="77777777" w:rsidR="0017193A" w:rsidRPr="00DA029C" w:rsidRDefault="0017193A">
            <w:pPr>
              <w:pStyle w:val="Tabletext"/>
              <w:rPr>
                <w:noProof/>
                <w:sz w:val="22"/>
                <w:szCs w:val="22"/>
              </w:rPr>
            </w:pPr>
            <w:r w:rsidRPr="00DA029C">
              <w:rPr>
                <w:noProof/>
                <w:sz w:val="22"/>
                <w:szCs w:val="22"/>
              </w:rPr>
              <w:t>60%</w:t>
            </w:r>
          </w:p>
        </w:tc>
        <w:tc>
          <w:tcPr>
            <w:tcW w:w="1673" w:type="dxa"/>
            <w:noWrap/>
            <w:hideMark/>
          </w:tcPr>
          <w:p w14:paraId="6A0388AC" w14:textId="77777777" w:rsidR="0017193A" w:rsidRPr="00DA029C" w:rsidRDefault="0017193A">
            <w:pPr>
              <w:pStyle w:val="Tabletext"/>
              <w:rPr>
                <w:noProof/>
                <w:sz w:val="22"/>
                <w:szCs w:val="22"/>
              </w:rPr>
            </w:pPr>
            <w:r w:rsidRPr="00DA029C">
              <w:rPr>
                <w:noProof/>
                <w:sz w:val="22"/>
                <w:szCs w:val="22"/>
              </w:rPr>
              <w:t>65%</w:t>
            </w:r>
          </w:p>
        </w:tc>
      </w:tr>
      <w:tr w:rsidR="0017193A" w:rsidRPr="00F60641" w14:paraId="289FF69B" w14:textId="77777777">
        <w:trPr>
          <w:trHeight w:val="320"/>
        </w:trPr>
        <w:tc>
          <w:tcPr>
            <w:tcW w:w="3823" w:type="dxa"/>
            <w:noWrap/>
            <w:hideMark/>
          </w:tcPr>
          <w:p w14:paraId="0A16C461" w14:textId="77777777" w:rsidR="0017193A" w:rsidRPr="00DA029C" w:rsidRDefault="0017193A">
            <w:pPr>
              <w:pStyle w:val="Tabletext"/>
              <w:rPr>
                <w:noProof/>
                <w:sz w:val="22"/>
                <w:szCs w:val="22"/>
              </w:rPr>
            </w:pPr>
            <w:r w:rsidRPr="00DA029C">
              <w:rPr>
                <w:noProof/>
                <w:sz w:val="22"/>
                <w:szCs w:val="22"/>
              </w:rPr>
              <w:t>Citizen/community engagement</w:t>
            </w:r>
          </w:p>
        </w:tc>
        <w:tc>
          <w:tcPr>
            <w:tcW w:w="1701" w:type="dxa"/>
            <w:noWrap/>
            <w:hideMark/>
          </w:tcPr>
          <w:p w14:paraId="26787C54" w14:textId="77777777" w:rsidR="0017193A" w:rsidRPr="00DA029C" w:rsidRDefault="0017193A">
            <w:pPr>
              <w:pStyle w:val="Tabletext"/>
              <w:rPr>
                <w:noProof/>
                <w:sz w:val="22"/>
                <w:szCs w:val="22"/>
              </w:rPr>
            </w:pPr>
            <w:r w:rsidRPr="00DA029C">
              <w:rPr>
                <w:noProof/>
                <w:sz w:val="22"/>
                <w:szCs w:val="22"/>
              </w:rPr>
              <w:t>50%</w:t>
            </w:r>
          </w:p>
        </w:tc>
        <w:tc>
          <w:tcPr>
            <w:tcW w:w="1701" w:type="dxa"/>
            <w:noWrap/>
            <w:hideMark/>
          </w:tcPr>
          <w:p w14:paraId="77467A1B" w14:textId="77777777" w:rsidR="0017193A" w:rsidRPr="00DA029C" w:rsidRDefault="0017193A">
            <w:pPr>
              <w:pStyle w:val="Tabletext"/>
              <w:rPr>
                <w:noProof/>
                <w:sz w:val="22"/>
                <w:szCs w:val="22"/>
              </w:rPr>
            </w:pPr>
            <w:r w:rsidRPr="00DA029C">
              <w:rPr>
                <w:noProof/>
                <w:sz w:val="22"/>
                <w:szCs w:val="22"/>
              </w:rPr>
              <w:t>40%</w:t>
            </w:r>
          </w:p>
        </w:tc>
        <w:tc>
          <w:tcPr>
            <w:tcW w:w="1673" w:type="dxa"/>
            <w:noWrap/>
            <w:hideMark/>
          </w:tcPr>
          <w:p w14:paraId="65C7449C" w14:textId="77777777" w:rsidR="0017193A" w:rsidRPr="00DA029C" w:rsidRDefault="0017193A">
            <w:pPr>
              <w:pStyle w:val="Tabletext"/>
              <w:rPr>
                <w:noProof/>
                <w:sz w:val="22"/>
                <w:szCs w:val="22"/>
              </w:rPr>
            </w:pPr>
            <w:r w:rsidRPr="00DA029C">
              <w:rPr>
                <w:noProof/>
                <w:sz w:val="22"/>
                <w:szCs w:val="22"/>
              </w:rPr>
              <w:t>35%</w:t>
            </w:r>
          </w:p>
        </w:tc>
      </w:tr>
      <w:tr w:rsidR="0017193A" w:rsidRPr="00F60641" w14:paraId="57C2322D" w14:textId="77777777">
        <w:trPr>
          <w:trHeight w:val="320"/>
        </w:trPr>
        <w:tc>
          <w:tcPr>
            <w:tcW w:w="3823" w:type="dxa"/>
            <w:noWrap/>
            <w:hideMark/>
          </w:tcPr>
          <w:p w14:paraId="1BC45B4C" w14:textId="77777777" w:rsidR="0017193A" w:rsidRPr="00DA029C" w:rsidRDefault="0017193A">
            <w:pPr>
              <w:pStyle w:val="Tabletext"/>
              <w:rPr>
                <w:noProof/>
                <w:sz w:val="22"/>
                <w:szCs w:val="22"/>
              </w:rPr>
            </w:pPr>
            <w:r w:rsidRPr="00DA029C">
              <w:rPr>
                <w:noProof/>
                <w:sz w:val="22"/>
                <w:szCs w:val="22"/>
              </w:rPr>
              <w:t>Data centres environmental footprint (energy, water use, greenhouse gas emissions)</w:t>
            </w:r>
          </w:p>
        </w:tc>
        <w:tc>
          <w:tcPr>
            <w:tcW w:w="1701" w:type="dxa"/>
            <w:noWrap/>
            <w:hideMark/>
          </w:tcPr>
          <w:p w14:paraId="56EF34EB" w14:textId="77777777" w:rsidR="0017193A" w:rsidRPr="00DA029C" w:rsidRDefault="0017193A">
            <w:pPr>
              <w:pStyle w:val="Tabletext"/>
              <w:rPr>
                <w:noProof/>
                <w:sz w:val="22"/>
                <w:szCs w:val="22"/>
              </w:rPr>
            </w:pPr>
            <w:r w:rsidRPr="00DA029C">
              <w:rPr>
                <w:noProof/>
                <w:sz w:val="22"/>
                <w:szCs w:val="22"/>
              </w:rPr>
              <w:t>50%</w:t>
            </w:r>
          </w:p>
        </w:tc>
        <w:tc>
          <w:tcPr>
            <w:tcW w:w="1701" w:type="dxa"/>
            <w:noWrap/>
            <w:hideMark/>
          </w:tcPr>
          <w:p w14:paraId="31CE120F" w14:textId="77777777" w:rsidR="0017193A" w:rsidRPr="00DA029C" w:rsidRDefault="0017193A">
            <w:pPr>
              <w:pStyle w:val="Tabletext"/>
              <w:rPr>
                <w:noProof/>
                <w:sz w:val="22"/>
                <w:szCs w:val="22"/>
              </w:rPr>
            </w:pPr>
            <w:r w:rsidRPr="00DA029C">
              <w:rPr>
                <w:noProof/>
                <w:sz w:val="22"/>
                <w:szCs w:val="22"/>
              </w:rPr>
              <w:t>70%</w:t>
            </w:r>
          </w:p>
        </w:tc>
        <w:tc>
          <w:tcPr>
            <w:tcW w:w="1673" w:type="dxa"/>
            <w:noWrap/>
            <w:hideMark/>
          </w:tcPr>
          <w:p w14:paraId="49979880" w14:textId="77777777" w:rsidR="0017193A" w:rsidRPr="00DA029C" w:rsidRDefault="0017193A">
            <w:pPr>
              <w:pStyle w:val="Tabletext"/>
              <w:rPr>
                <w:noProof/>
                <w:sz w:val="22"/>
                <w:szCs w:val="22"/>
              </w:rPr>
            </w:pPr>
            <w:r w:rsidRPr="00DA029C">
              <w:rPr>
                <w:noProof/>
                <w:sz w:val="22"/>
                <w:szCs w:val="22"/>
              </w:rPr>
              <w:t>50%</w:t>
            </w:r>
          </w:p>
        </w:tc>
      </w:tr>
      <w:tr w:rsidR="0017193A" w:rsidRPr="00F60641" w14:paraId="2216E42E" w14:textId="77777777">
        <w:trPr>
          <w:trHeight w:val="320"/>
        </w:trPr>
        <w:tc>
          <w:tcPr>
            <w:tcW w:w="3823" w:type="dxa"/>
            <w:noWrap/>
            <w:hideMark/>
          </w:tcPr>
          <w:p w14:paraId="500BD3B8" w14:textId="77777777" w:rsidR="0017193A" w:rsidRPr="00DA029C" w:rsidRDefault="0017193A">
            <w:pPr>
              <w:pStyle w:val="Tabletext"/>
              <w:rPr>
                <w:noProof/>
                <w:sz w:val="22"/>
                <w:szCs w:val="22"/>
              </w:rPr>
            </w:pPr>
            <w:r w:rsidRPr="00DA029C">
              <w:rPr>
                <w:noProof/>
                <w:sz w:val="22"/>
                <w:szCs w:val="22"/>
              </w:rPr>
              <w:t>Leveraged investments from public and private actors for sustainable infrastructure and services</w:t>
            </w:r>
          </w:p>
        </w:tc>
        <w:tc>
          <w:tcPr>
            <w:tcW w:w="1701" w:type="dxa"/>
            <w:noWrap/>
            <w:hideMark/>
          </w:tcPr>
          <w:p w14:paraId="70C61ED8" w14:textId="77777777" w:rsidR="0017193A" w:rsidRPr="00DA029C" w:rsidRDefault="0017193A">
            <w:pPr>
              <w:pStyle w:val="Tabletext"/>
              <w:rPr>
                <w:noProof/>
                <w:sz w:val="22"/>
                <w:szCs w:val="22"/>
              </w:rPr>
            </w:pPr>
            <w:r w:rsidRPr="00DA029C">
              <w:rPr>
                <w:noProof/>
                <w:sz w:val="22"/>
                <w:szCs w:val="22"/>
              </w:rPr>
              <w:t>50%</w:t>
            </w:r>
          </w:p>
        </w:tc>
        <w:tc>
          <w:tcPr>
            <w:tcW w:w="1701" w:type="dxa"/>
            <w:noWrap/>
            <w:hideMark/>
          </w:tcPr>
          <w:p w14:paraId="7B9A3EF9" w14:textId="77777777" w:rsidR="0017193A" w:rsidRPr="00DA029C" w:rsidRDefault="0017193A">
            <w:pPr>
              <w:pStyle w:val="Tabletext"/>
              <w:rPr>
                <w:noProof/>
                <w:sz w:val="22"/>
                <w:szCs w:val="22"/>
              </w:rPr>
            </w:pPr>
            <w:r w:rsidRPr="00DA029C">
              <w:rPr>
                <w:noProof/>
                <w:sz w:val="22"/>
                <w:szCs w:val="22"/>
              </w:rPr>
              <w:t>30%</w:t>
            </w:r>
          </w:p>
        </w:tc>
        <w:tc>
          <w:tcPr>
            <w:tcW w:w="1673" w:type="dxa"/>
            <w:noWrap/>
            <w:hideMark/>
          </w:tcPr>
          <w:p w14:paraId="676ED60F" w14:textId="77777777" w:rsidR="0017193A" w:rsidRPr="00DA029C" w:rsidRDefault="0017193A">
            <w:pPr>
              <w:pStyle w:val="Tabletext"/>
              <w:rPr>
                <w:noProof/>
                <w:sz w:val="22"/>
                <w:szCs w:val="22"/>
              </w:rPr>
            </w:pPr>
            <w:r w:rsidRPr="00DA029C">
              <w:rPr>
                <w:noProof/>
                <w:sz w:val="22"/>
                <w:szCs w:val="22"/>
              </w:rPr>
              <w:t>50%</w:t>
            </w:r>
          </w:p>
        </w:tc>
      </w:tr>
    </w:tbl>
    <w:p w14:paraId="633C6D4F" w14:textId="77777777" w:rsidR="0017193A" w:rsidRPr="0007547C" w:rsidRDefault="0017193A" w:rsidP="0017193A">
      <w:pPr>
        <w:pStyle w:val="BodyText"/>
        <w:rPr>
          <w:noProof/>
        </w:rPr>
      </w:pPr>
    </w:p>
    <w:p w14:paraId="203A5D2C" w14:textId="77777777" w:rsidR="0017193A" w:rsidRPr="00F83E72" w:rsidRDefault="0017193A" w:rsidP="0017193A">
      <w:pPr>
        <w:pStyle w:val="BodyText"/>
        <w:rPr>
          <w:noProof/>
        </w:rPr>
      </w:pPr>
      <w:r w:rsidRPr="00F83E72">
        <w:rPr>
          <w:noProof/>
        </w:rPr>
        <w:t xml:space="preserve">In this framework, the </w:t>
      </w:r>
      <w:r w:rsidRPr="00DA029C">
        <w:rPr>
          <w:noProof/>
        </w:rPr>
        <w:t>sub-impact weights</w:t>
      </w:r>
      <w:r w:rsidRPr="00F83E72">
        <w:rPr>
          <w:noProof/>
        </w:rPr>
        <w:t xml:space="preserve"> shown in the table below are derived from the </w:t>
      </w:r>
      <w:r w:rsidRPr="00DA029C">
        <w:rPr>
          <w:noProof/>
        </w:rPr>
        <w:t>product of the higher-level impact weights and the relative importance of each sub-impact within that impact area.</w:t>
      </w:r>
    </w:p>
    <w:p w14:paraId="7A1522EB" w14:textId="77777777" w:rsidR="0017193A" w:rsidRPr="0007547C" w:rsidRDefault="0017193A" w:rsidP="0017193A">
      <w:pPr>
        <w:pStyle w:val="BodyText"/>
        <w:rPr>
          <w:noProof/>
        </w:rPr>
      </w:pPr>
      <w:r w:rsidRPr="0007547C">
        <w:rPr>
          <w:noProof/>
        </w:rPr>
        <w:t>The calculation works in two steps:</w:t>
      </w:r>
    </w:p>
    <w:p w14:paraId="17E98B95" w14:textId="73D8C06F" w:rsidR="0017193A" w:rsidRPr="0007547C" w:rsidRDefault="0017193A" w:rsidP="00744B72">
      <w:pPr>
        <w:pStyle w:val="ListParagraph"/>
        <w:numPr>
          <w:ilvl w:val="0"/>
          <w:numId w:val="27"/>
        </w:numPr>
        <w:spacing w:after="80"/>
        <w:contextualSpacing w:val="0"/>
        <w:rPr>
          <w:noProof/>
        </w:rPr>
      </w:pPr>
      <w:r w:rsidRPr="0007547C">
        <w:rPr>
          <w:noProof/>
        </w:rPr>
        <w:t>Each main impact area, Economic</w:t>
      </w:r>
      <w:r w:rsidR="00F70F35">
        <w:rPr>
          <w:noProof/>
        </w:rPr>
        <w:t>/effectiveness</w:t>
      </w:r>
      <w:r w:rsidRPr="0007547C">
        <w:rPr>
          <w:noProof/>
        </w:rPr>
        <w:t>, Costs</w:t>
      </w:r>
      <w:r w:rsidR="00F70F35">
        <w:rPr>
          <w:noProof/>
        </w:rPr>
        <w:t>/efficiency</w:t>
      </w:r>
      <w:r w:rsidRPr="0007547C">
        <w:rPr>
          <w:noProof/>
        </w:rPr>
        <w:t>, Social, and Environmental, is first assigned an overall weight at the impact level (for example, under Problem 2: Economic</w:t>
      </w:r>
      <w:r w:rsidR="00F70F35">
        <w:rPr>
          <w:noProof/>
        </w:rPr>
        <w:t>/effectiveness</w:t>
      </w:r>
      <w:r w:rsidRPr="0007547C">
        <w:rPr>
          <w:noProof/>
        </w:rPr>
        <w:t xml:space="preserve"> = 55%, Costs = 35%, Social = 5%, Environmental = 5%).</w:t>
      </w:r>
    </w:p>
    <w:p w14:paraId="759C907E" w14:textId="77777777" w:rsidR="0017193A" w:rsidRPr="0007547C" w:rsidRDefault="0017193A" w:rsidP="00744B72">
      <w:pPr>
        <w:pStyle w:val="ListParagraph"/>
        <w:numPr>
          <w:ilvl w:val="0"/>
          <w:numId w:val="27"/>
        </w:numPr>
        <w:spacing w:after="80"/>
        <w:contextualSpacing w:val="0"/>
        <w:rPr>
          <w:noProof/>
        </w:rPr>
      </w:pPr>
      <w:r w:rsidRPr="0007547C">
        <w:rPr>
          <w:noProof/>
        </w:rPr>
        <w:t>Within each impact area, that total weight is distributed across its constituent sub-impacts according to their relative importance in the scenario. The weight of each sub-impact is therefore the impact-level weight multiplied by its share within that impact group.</w:t>
      </w:r>
    </w:p>
    <w:p w14:paraId="126028EA" w14:textId="6C552C44" w:rsidR="0017193A" w:rsidRPr="0007547C" w:rsidRDefault="0017193A" w:rsidP="0017193A">
      <w:pPr>
        <w:pStyle w:val="BodyText"/>
        <w:rPr>
          <w:noProof/>
        </w:rPr>
      </w:pPr>
      <w:r w:rsidRPr="0007547C">
        <w:rPr>
          <w:noProof/>
        </w:rPr>
        <w:t>For instance, under Problem 2, the Economic</w:t>
      </w:r>
      <w:r w:rsidR="001A414F">
        <w:rPr>
          <w:noProof/>
        </w:rPr>
        <w:t>/effectiveness</w:t>
      </w:r>
      <w:r w:rsidRPr="0007547C">
        <w:rPr>
          <w:noProof/>
        </w:rPr>
        <w:t xml:space="preserve"> impact (55%) is subdivided across seven sub-impacts, with digital sovereignty and resilience receiving a larger internal share than speed of construction. Multiplying </w:t>
      </w:r>
      <w:r w:rsidR="00E422D5">
        <w:rPr>
          <w:noProof/>
        </w:rPr>
        <w:t>this</w:t>
      </w:r>
      <w:r w:rsidRPr="0007547C">
        <w:rPr>
          <w:noProof/>
        </w:rPr>
        <w:t xml:space="preserve"> impact weight (55%) by the internal share of digital sovereignty and resilience (around 35%) yields a sub-impact weight of roughly 12.3% in the table. The same process applies across all impact areas: the economic</w:t>
      </w:r>
      <w:r w:rsidR="00E422D5">
        <w:rPr>
          <w:noProof/>
        </w:rPr>
        <w:t>/effectiveness</w:t>
      </w:r>
      <w:r w:rsidRPr="0007547C">
        <w:rPr>
          <w:noProof/>
        </w:rPr>
        <w:t xml:space="preserve"> weight (55%) multiplied by the internal weighting for digital sovereignty and resilience in the public sector including through public procurement (50%) produces a final sub-impact weight of 27.5%.</w:t>
      </w:r>
    </w:p>
    <w:p w14:paraId="0E0E454B" w14:textId="77777777" w:rsidR="0017193A" w:rsidRPr="0007547C" w:rsidRDefault="0017193A" w:rsidP="0017193A">
      <w:pPr>
        <w:pStyle w:val="BodyText"/>
        <w:rPr>
          <w:noProof/>
        </w:rPr>
      </w:pPr>
      <w:r w:rsidRPr="0007547C">
        <w:rPr>
          <w:noProof/>
        </w:rPr>
        <w:t>This hierarchical weighting ensures that the total of all sub-impacts adds up to 100% and that each sub-impact’s influence on the final composite score reflects both:</w:t>
      </w:r>
    </w:p>
    <w:p w14:paraId="54850F22" w14:textId="1C93952A" w:rsidR="0017193A" w:rsidRPr="0007547C" w:rsidRDefault="0017193A" w:rsidP="00744B72">
      <w:pPr>
        <w:pStyle w:val="ListParagraph"/>
        <w:numPr>
          <w:ilvl w:val="0"/>
          <w:numId w:val="68"/>
        </w:numPr>
        <w:spacing w:after="80"/>
        <w:contextualSpacing w:val="0"/>
        <w:rPr>
          <w:noProof/>
        </w:rPr>
      </w:pPr>
      <w:r w:rsidRPr="0007547C">
        <w:rPr>
          <w:noProof/>
        </w:rPr>
        <w:t xml:space="preserve">The relative priority of its parent impact area (e.g. Social vs </w:t>
      </w:r>
      <w:r w:rsidR="00E422D5">
        <w:rPr>
          <w:noProof/>
        </w:rPr>
        <w:t>Effectiveness/economic</w:t>
      </w:r>
      <w:r w:rsidRPr="0007547C">
        <w:rPr>
          <w:noProof/>
        </w:rPr>
        <w:t>), and</w:t>
      </w:r>
    </w:p>
    <w:p w14:paraId="0FA270BC" w14:textId="77777777" w:rsidR="0017193A" w:rsidRDefault="0017193A" w:rsidP="00744B72">
      <w:pPr>
        <w:pStyle w:val="ListParagraph"/>
        <w:numPr>
          <w:ilvl w:val="0"/>
          <w:numId w:val="68"/>
        </w:numPr>
        <w:spacing w:after="80"/>
        <w:contextualSpacing w:val="0"/>
        <w:rPr>
          <w:noProof/>
        </w:rPr>
      </w:pPr>
      <w:r w:rsidRPr="0007547C">
        <w:rPr>
          <w:noProof/>
        </w:rPr>
        <w:t>The specific emphasis placed on that sub-impact within the impact group (e.g. within Social, transparency outweighs engagement).</w:t>
      </w:r>
    </w:p>
    <w:p w14:paraId="65CB868E" w14:textId="77777777" w:rsidR="0017193A" w:rsidRPr="0007547C" w:rsidRDefault="0017193A" w:rsidP="0017193A">
      <w:pPr>
        <w:pStyle w:val="ListParagraph"/>
        <w:spacing w:after="80"/>
        <w:rPr>
          <w:noProof/>
        </w:rPr>
      </w:pPr>
    </w:p>
    <w:p w14:paraId="4BF5E082" w14:textId="65BF4733" w:rsidR="0017193A" w:rsidRDefault="0017193A" w:rsidP="0017193A">
      <w:pPr>
        <w:pStyle w:val="Caption"/>
        <w:rPr>
          <w:noProof/>
        </w:rPr>
      </w:pPr>
      <w:bookmarkStart w:id="290" w:name="_Toc213232720"/>
      <w:bookmarkStart w:id="291" w:name="_Toc213440607"/>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49</w:t>
      </w:r>
      <w:r>
        <w:rPr>
          <w:noProof/>
        </w:rPr>
        <w:fldChar w:fldCharType="end"/>
      </w:r>
      <w:r>
        <w:rPr>
          <w:noProof/>
        </w:rPr>
        <w:t>. Sub-i</w:t>
      </w:r>
      <w:r w:rsidRPr="006A5209">
        <w:rPr>
          <w:noProof/>
        </w:rPr>
        <w:t>mpacts weighting</w:t>
      </w:r>
      <w:bookmarkEnd w:id="290"/>
      <w:bookmarkEnd w:id="291"/>
      <w:r>
        <w:rPr>
          <w:noProof/>
        </w:rPr>
        <w:t xml:space="preserve"> used</w:t>
      </w:r>
      <w:r w:rsidR="00235089">
        <w:rPr>
          <w:noProof/>
        </w:rPr>
        <w:t xml:space="preserve"> </w:t>
      </w:r>
      <w:r w:rsidR="00235089" w:rsidRPr="00785FC1">
        <w:rPr>
          <w:b w:val="0"/>
          <w:bCs/>
          <w:noProof/>
        </w:rPr>
        <w:t>(Source: Technopolis et al. (2025))</w:t>
      </w:r>
    </w:p>
    <w:tbl>
      <w:tblPr>
        <w:tblStyle w:val="TechnopolisTable1"/>
        <w:tblW w:w="0" w:type="auto"/>
        <w:tblLook w:val="04A0" w:firstRow="1" w:lastRow="0" w:firstColumn="1" w:lastColumn="0" w:noHBand="0" w:noVBand="1"/>
      </w:tblPr>
      <w:tblGrid>
        <w:gridCol w:w="3808"/>
        <w:gridCol w:w="161"/>
        <w:gridCol w:w="1823"/>
        <w:gridCol w:w="216"/>
        <w:gridCol w:w="1222"/>
        <w:gridCol w:w="1678"/>
      </w:tblGrid>
      <w:tr w:rsidR="0017193A" w:rsidRPr="00335127" w14:paraId="586A9F95" w14:textId="77777777" w:rsidTr="00690805">
        <w:trPr>
          <w:cnfStyle w:val="100000000000" w:firstRow="1" w:lastRow="0" w:firstColumn="0" w:lastColumn="0" w:oddVBand="0" w:evenVBand="0" w:oddHBand="0" w:evenHBand="0" w:firstRowFirstColumn="0" w:firstRowLastColumn="0" w:lastRowFirstColumn="0" w:lastRowLastColumn="0"/>
          <w:trHeight w:val="320"/>
          <w:tblHeader/>
        </w:trPr>
        <w:tc>
          <w:tcPr>
            <w:tcW w:w="3969" w:type="dxa"/>
            <w:gridSpan w:val="2"/>
            <w:tcBorders>
              <w:bottom w:val="single" w:sz="12" w:space="0" w:color="00B0F0"/>
            </w:tcBorders>
            <w:noWrap/>
            <w:hideMark/>
          </w:tcPr>
          <w:p w14:paraId="32B2BCC9" w14:textId="77777777" w:rsidR="0017193A" w:rsidRPr="00DA029C" w:rsidRDefault="0017193A">
            <w:pPr>
              <w:pStyle w:val="Tabletext"/>
              <w:rPr>
                <w:noProof/>
                <w:sz w:val="22"/>
                <w:szCs w:val="22"/>
                <w:lang w:val="en-IE"/>
              </w:rPr>
            </w:pPr>
            <w:r w:rsidRPr="00DA029C">
              <w:rPr>
                <w:noProof/>
                <w:sz w:val="22"/>
                <w:szCs w:val="22"/>
              </w:rPr>
              <w:t>Sub-Impact</w:t>
            </w:r>
          </w:p>
        </w:tc>
        <w:tc>
          <w:tcPr>
            <w:tcW w:w="1823" w:type="dxa"/>
            <w:tcBorders>
              <w:bottom w:val="single" w:sz="12" w:space="0" w:color="00B0F0"/>
            </w:tcBorders>
            <w:noWrap/>
            <w:hideMark/>
          </w:tcPr>
          <w:p w14:paraId="0E013188" w14:textId="77777777" w:rsidR="0017193A" w:rsidRPr="00DA029C" w:rsidRDefault="0017193A">
            <w:pPr>
              <w:pStyle w:val="Tabletext"/>
              <w:rPr>
                <w:noProof/>
                <w:sz w:val="22"/>
                <w:szCs w:val="22"/>
              </w:rPr>
            </w:pPr>
            <w:r w:rsidRPr="00DA029C">
              <w:rPr>
                <w:noProof/>
                <w:sz w:val="22"/>
                <w:szCs w:val="22"/>
              </w:rPr>
              <w:t>Equal weighting sub</w:t>
            </w:r>
            <w:r>
              <w:rPr>
                <w:noProof/>
                <w:sz w:val="22"/>
                <w:szCs w:val="22"/>
              </w:rPr>
              <w:t xml:space="preserve"> - impact</w:t>
            </w:r>
          </w:p>
        </w:tc>
        <w:tc>
          <w:tcPr>
            <w:tcW w:w="1438" w:type="dxa"/>
            <w:gridSpan w:val="2"/>
            <w:tcBorders>
              <w:bottom w:val="single" w:sz="12" w:space="0" w:color="00B0F0"/>
            </w:tcBorders>
            <w:noWrap/>
            <w:hideMark/>
          </w:tcPr>
          <w:p w14:paraId="5ED5DEF5" w14:textId="77777777" w:rsidR="0017193A" w:rsidRPr="00DA029C" w:rsidRDefault="0017193A">
            <w:pPr>
              <w:pStyle w:val="Tabletext"/>
              <w:rPr>
                <w:noProof/>
                <w:sz w:val="22"/>
                <w:szCs w:val="22"/>
              </w:rPr>
            </w:pPr>
            <w:r w:rsidRPr="00DA029C">
              <w:rPr>
                <w:noProof/>
                <w:sz w:val="22"/>
                <w:szCs w:val="22"/>
              </w:rPr>
              <w:t>P1 weights sub</w:t>
            </w:r>
            <w:r>
              <w:rPr>
                <w:noProof/>
                <w:sz w:val="22"/>
                <w:szCs w:val="22"/>
              </w:rPr>
              <w:t xml:space="preserve"> - impact</w:t>
            </w:r>
          </w:p>
        </w:tc>
        <w:tc>
          <w:tcPr>
            <w:tcW w:w="1678" w:type="dxa"/>
            <w:tcBorders>
              <w:bottom w:val="single" w:sz="12" w:space="0" w:color="00B0F0"/>
            </w:tcBorders>
            <w:noWrap/>
            <w:hideMark/>
          </w:tcPr>
          <w:p w14:paraId="4DD751D1" w14:textId="77777777" w:rsidR="0017193A" w:rsidRPr="00DA029C" w:rsidRDefault="0017193A">
            <w:pPr>
              <w:pStyle w:val="Tabletext"/>
              <w:rPr>
                <w:noProof/>
                <w:sz w:val="22"/>
                <w:szCs w:val="22"/>
              </w:rPr>
            </w:pPr>
            <w:r w:rsidRPr="00DA029C">
              <w:rPr>
                <w:noProof/>
                <w:sz w:val="22"/>
                <w:szCs w:val="22"/>
              </w:rPr>
              <w:t>P2 weights sub</w:t>
            </w:r>
            <w:r>
              <w:rPr>
                <w:noProof/>
                <w:sz w:val="22"/>
                <w:szCs w:val="22"/>
              </w:rPr>
              <w:t xml:space="preserve"> - impact</w:t>
            </w:r>
          </w:p>
        </w:tc>
      </w:tr>
      <w:tr w:rsidR="0017193A" w:rsidRPr="00335127" w14:paraId="55CFFAD0" w14:textId="77777777" w:rsidTr="00690805">
        <w:trPr>
          <w:trHeight w:val="320"/>
        </w:trPr>
        <w:tc>
          <w:tcPr>
            <w:tcW w:w="3808" w:type="dxa"/>
            <w:tcBorders>
              <w:top w:val="single" w:sz="12" w:space="0" w:color="00B0F0"/>
            </w:tcBorders>
            <w:noWrap/>
            <w:hideMark/>
          </w:tcPr>
          <w:p w14:paraId="0D78FD1C" w14:textId="77777777" w:rsidR="0017193A" w:rsidRPr="00335127" w:rsidRDefault="0017193A">
            <w:pPr>
              <w:pStyle w:val="Tabletext"/>
              <w:rPr>
                <w:noProof/>
                <w:sz w:val="22"/>
                <w:szCs w:val="22"/>
              </w:rPr>
            </w:pPr>
            <w:r w:rsidRPr="00335127">
              <w:rPr>
                <w:noProof/>
                <w:sz w:val="22"/>
                <w:szCs w:val="22"/>
              </w:rPr>
              <w:t>Speed of construction and deployment of data centres</w:t>
            </w:r>
          </w:p>
        </w:tc>
        <w:tc>
          <w:tcPr>
            <w:tcW w:w="2200" w:type="dxa"/>
            <w:gridSpan w:val="3"/>
            <w:tcBorders>
              <w:top w:val="single" w:sz="12" w:space="0" w:color="00B0F0"/>
            </w:tcBorders>
            <w:noWrap/>
            <w:hideMark/>
          </w:tcPr>
          <w:p w14:paraId="7592D6D0" w14:textId="77777777" w:rsidR="0017193A" w:rsidRPr="00335127" w:rsidRDefault="0017193A">
            <w:pPr>
              <w:pStyle w:val="Tabletext"/>
              <w:jc w:val="center"/>
              <w:rPr>
                <w:noProof/>
                <w:sz w:val="22"/>
                <w:szCs w:val="22"/>
              </w:rPr>
            </w:pPr>
            <w:r w:rsidRPr="00DA029C">
              <w:rPr>
                <w:noProof/>
                <w:sz w:val="22"/>
                <w:szCs w:val="22"/>
              </w:rPr>
              <w:t>3.57%</w:t>
            </w:r>
          </w:p>
        </w:tc>
        <w:tc>
          <w:tcPr>
            <w:tcW w:w="1222" w:type="dxa"/>
            <w:tcBorders>
              <w:top w:val="single" w:sz="12" w:space="0" w:color="00B0F0"/>
            </w:tcBorders>
            <w:noWrap/>
            <w:hideMark/>
          </w:tcPr>
          <w:p w14:paraId="1D47D9E2" w14:textId="77777777" w:rsidR="0017193A" w:rsidRPr="00335127" w:rsidRDefault="0017193A">
            <w:pPr>
              <w:pStyle w:val="Tabletext"/>
              <w:jc w:val="center"/>
              <w:rPr>
                <w:noProof/>
                <w:sz w:val="22"/>
                <w:szCs w:val="22"/>
              </w:rPr>
            </w:pPr>
            <w:r w:rsidRPr="00DA029C">
              <w:rPr>
                <w:noProof/>
                <w:sz w:val="22"/>
                <w:szCs w:val="22"/>
              </w:rPr>
              <w:t>12.0%</w:t>
            </w:r>
          </w:p>
        </w:tc>
        <w:tc>
          <w:tcPr>
            <w:tcW w:w="1678" w:type="dxa"/>
            <w:tcBorders>
              <w:top w:val="single" w:sz="12" w:space="0" w:color="00B0F0"/>
            </w:tcBorders>
            <w:noWrap/>
            <w:hideMark/>
          </w:tcPr>
          <w:p w14:paraId="687E715D" w14:textId="77777777" w:rsidR="0017193A" w:rsidRPr="00335127" w:rsidRDefault="0017193A">
            <w:pPr>
              <w:pStyle w:val="Tabletext"/>
              <w:jc w:val="center"/>
              <w:rPr>
                <w:noProof/>
                <w:sz w:val="22"/>
                <w:szCs w:val="22"/>
              </w:rPr>
            </w:pPr>
            <w:r w:rsidRPr="00DA029C">
              <w:rPr>
                <w:noProof/>
                <w:sz w:val="22"/>
                <w:szCs w:val="22"/>
              </w:rPr>
              <w:t>0.3%</w:t>
            </w:r>
          </w:p>
        </w:tc>
      </w:tr>
      <w:tr w:rsidR="0017193A" w:rsidRPr="00335127" w14:paraId="0A1642D1" w14:textId="77777777">
        <w:trPr>
          <w:trHeight w:val="320"/>
        </w:trPr>
        <w:tc>
          <w:tcPr>
            <w:tcW w:w="3808" w:type="dxa"/>
            <w:noWrap/>
            <w:hideMark/>
          </w:tcPr>
          <w:p w14:paraId="26D5EB56" w14:textId="77777777" w:rsidR="0017193A" w:rsidRPr="00335127" w:rsidRDefault="0017193A">
            <w:pPr>
              <w:pStyle w:val="Tabletext"/>
              <w:rPr>
                <w:noProof/>
                <w:sz w:val="22"/>
                <w:szCs w:val="22"/>
              </w:rPr>
            </w:pPr>
            <w:r w:rsidRPr="00335127">
              <w:rPr>
                <w:noProof/>
                <w:sz w:val="22"/>
                <w:szCs w:val="22"/>
              </w:rPr>
              <w:t>Computing capacity for AI services and general purpose computing</w:t>
            </w:r>
          </w:p>
        </w:tc>
        <w:tc>
          <w:tcPr>
            <w:tcW w:w="2200" w:type="dxa"/>
            <w:gridSpan w:val="3"/>
            <w:noWrap/>
            <w:hideMark/>
          </w:tcPr>
          <w:p w14:paraId="77B1F9B0"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01C4BEAA" w14:textId="77777777" w:rsidR="0017193A" w:rsidRPr="00335127" w:rsidRDefault="0017193A">
            <w:pPr>
              <w:pStyle w:val="Tabletext"/>
              <w:jc w:val="center"/>
              <w:rPr>
                <w:noProof/>
                <w:sz w:val="22"/>
                <w:szCs w:val="22"/>
              </w:rPr>
            </w:pPr>
            <w:r w:rsidRPr="00DA029C">
              <w:rPr>
                <w:noProof/>
                <w:sz w:val="22"/>
                <w:szCs w:val="22"/>
              </w:rPr>
              <w:t>8.0%</w:t>
            </w:r>
          </w:p>
        </w:tc>
        <w:tc>
          <w:tcPr>
            <w:tcW w:w="1678" w:type="dxa"/>
            <w:noWrap/>
            <w:hideMark/>
          </w:tcPr>
          <w:p w14:paraId="73D33E9F" w14:textId="77777777" w:rsidR="0017193A" w:rsidRPr="00335127" w:rsidRDefault="0017193A">
            <w:pPr>
              <w:pStyle w:val="Tabletext"/>
              <w:jc w:val="center"/>
              <w:rPr>
                <w:noProof/>
                <w:sz w:val="22"/>
                <w:szCs w:val="22"/>
              </w:rPr>
            </w:pPr>
            <w:r w:rsidRPr="00DA029C">
              <w:rPr>
                <w:noProof/>
                <w:sz w:val="22"/>
                <w:szCs w:val="22"/>
              </w:rPr>
              <w:t>0.3%</w:t>
            </w:r>
          </w:p>
        </w:tc>
      </w:tr>
      <w:tr w:rsidR="0017193A" w:rsidRPr="00335127" w14:paraId="1114FE63" w14:textId="77777777">
        <w:trPr>
          <w:trHeight w:val="320"/>
        </w:trPr>
        <w:tc>
          <w:tcPr>
            <w:tcW w:w="3808" w:type="dxa"/>
            <w:noWrap/>
            <w:hideMark/>
          </w:tcPr>
          <w:p w14:paraId="130E0972" w14:textId="45F413BD" w:rsidR="0017193A" w:rsidRPr="00335127" w:rsidRDefault="0017193A">
            <w:pPr>
              <w:pStyle w:val="Tabletext"/>
              <w:rPr>
                <w:noProof/>
                <w:sz w:val="22"/>
                <w:szCs w:val="22"/>
              </w:rPr>
            </w:pPr>
            <w:r w:rsidRPr="00335127">
              <w:rPr>
                <w:noProof/>
                <w:sz w:val="22"/>
                <w:szCs w:val="22"/>
              </w:rPr>
              <w:t xml:space="preserve">Adoption of high-performance, low-carbon, energy-efficient cloud and AI </w:t>
            </w:r>
            <w:r w:rsidR="00A24504">
              <w:rPr>
                <w:noProof/>
                <w:sz w:val="22"/>
                <w:szCs w:val="22"/>
              </w:rPr>
              <w:t xml:space="preserve">computing </w:t>
            </w:r>
            <w:r w:rsidRPr="00335127">
              <w:rPr>
                <w:noProof/>
                <w:sz w:val="22"/>
                <w:szCs w:val="22"/>
              </w:rPr>
              <w:t>services</w:t>
            </w:r>
          </w:p>
        </w:tc>
        <w:tc>
          <w:tcPr>
            <w:tcW w:w="2200" w:type="dxa"/>
            <w:gridSpan w:val="3"/>
            <w:noWrap/>
            <w:hideMark/>
          </w:tcPr>
          <w:p w14:paraId="1C8D12C3"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6B158D17" w14:textId="77777777" w:rsidR="0017193A" w:rsidRPr="00335127" w:rsidRDefault="0017193A">
            <w:pPr>
              <w:pStyle w:val="Tabletext"/>
              <w:jc w:val="center"/>
              <w:rPr>
                <w:noProof/>
                <w:sz w:val="22"/>
                <w:szCs w:val="22"/>
              </w:rPr>
            </w:pPr>
            <w:r w:rsidRPr="00DA029C">
              <w:rPr>
                <w:noProof/>
                <w:sz w:val="22"/>
                <w:szCs w:val="22"/>
              </w:rPr>
              <w:t>10.0%</w:t>
            </w:r>
          </w:p>
        </w:tc>
        <w:tc>
          <w:tcPr>
            <w:tcW w:w="1678" w:type="dxa"/>
            <w:noWrap/>
            <w:hideMark/>
          </w:tcPr>
          <w:p w14:paraId="34D2ABC9" w14:textId="77777777" w:rsidR="0017193A" w:rsidRPr="00335127" w:rsidRDefault="0017193A">
            <w:pPr>
              <w:pStyle w:val="Tabletext"/>
              <w:jc w:val="center"/>
              <w:rPr>
                <w:noProof/>
                <w:sz w:val="22"/>
                <w:szCs w:val="22"/>
              </w:rPr>
            </w:pPr>
            <w:r w:rsidRPr="00DA029C">
              <w:rPr>
                <w:noProof/>
                <w:sz w:val="22"/>
                <w:szCs w:val="22"/>
              </w:rPr>
              <w:t>0.3%</w:t>
            </w:r>
          </w:p>
        </w:tc>
      </w:tr>
      <w:tr w:rsidR="0017193A" w:rsidRPr="00335127" w14:paraId="05690940" w14:textId="77777777">
        <w:trPr>
          <w:trHeight w:val="320"/>
        </w:trPr>
        <w:tc>
          <w:tcPr>
            <w:tcW w:w="3808" w:type="dxa"/>
            <w:noWrap/>
            <w:hideMark/>
          </w:tcPr>
          <w:p w14:paraId="6D6FD090" w14:textId="5F562473" w:rsidR="0017193A" w:rsidRPr="00335127" w:rsidRDefault="0017193A">
            <w:pPr>
              <w:pStyle w:val="Tabletext"/>
              <w:rPr>
                <w:noProof/>
                <w:sz w:val="22"/>
                <w:szCs w:val="22"/>
              </w:rPr>
            </w:pPr>
            <w:r w:rsidRPr="00335127">
              <w:rPr>
                <w:noProof/>
                <w:sz w:val="22"/>
                <w:szCs w:val="22"/>
              </w:rPr>
              <w:t xml:space="preserve">Cross-border market access for EU-based </w:t>
            </w:r>
            <w:r w:rsidR="0001203E">
              <w:rPr>
                <w:noProof/>
                <w:sz w:val="22"/>
                <w:szCs w:val="22"/>
              </w:rPr>
              <w:t>cloud</w:t>
            </w:r>
            <w:r w:rsidRPr="00335127">
              <w:rPr>
                <w:noProof/>
                <w:sz w:val="22"/>
                <w:szCs w:val="22"/>
              </w:rPr>
              <w:t xml:space="preserve"> and AI </w:t>
            </w:r>
            <w:r w:rsidR="00F277BE">
              <w:rPr>
                <w:noProof/>
                <w:sz w:val="22"/>
                <w:szCs w:val="22"/>
              </w:rPr>
              <w:t xml:space="preserve">computing service </w:t>
            </w:r>
            <w:r w:rsidRPr="00335127">
              <w:rPr>
                <w:noProof/>
                <w:sz w:val="22"/>
                <w:szCs w:val="22"/>
              </w:rPr>
              <w:t>providers</w:t>
            </w:r>
          </w:p>
        </w:tc>
        <w:tc>
          <w:tcPr>
            <w:tcW w:w="2200" w:type="dxa"/>
            <w:gridSpan w:val="3"/>
            <w:noWrap/>
            <w:hideMark/>
          </w:tcPr>
          <w:p w14:paraId="75A111C8"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3F340E08" w14:textId="77777777" w:rsidR="0017193A" w:rsidRPr="00335127" w:rsidRDefault="0017193A">
            <w:pPr>
              <w:pStyle w:val="Tabletext"/>
              <w:jc w:val="center"/>
              <w:rPr>
                <w:noProof/>
                <w:sz w:val="22"/>
                <w:szCs w:val="22"/>
              </w:rPr>
            </w:pPr>
            <w:r w:rsidRPr="00DA029C">
              <w:rPr>
                <w:noProof/>
                <w:sz w:val="22"/>
                <w:szCs w:val="22"/>
              </w:rPr>
              <w:t>4.0%</w:t>
            </w:r>
          </w:p>
        </w:tc>
        <w:tc>
          <w:tcPr>
            <w:tcW w:w="1678" w:type="dxa"/>
            <w:noWrap/>
            <w:hideMark/>
          </w:tcPr>
          <w:p w14:paraId="4B0B23CB" w14:textId="77777777" w:rsidR="0017193A" w:rsidRPr="00335127" w:rsidRDefault="0017193A">
            <w:pPr>
              <w:pStyle w:val="Tabletext"/>
              <w:jc w:val="center"/>
              <w:rPr>
                <w:noProof/>
                <w:sz w:val="22"/>
                <w:szCs w:val="22"/>
              </w:rPr>
            </w:pPr>
            <w:r w:rsidRPr="00DA029C">
              <w:rPr>
                <w:noProof/>
                <w:sz w:val="22"/>
                <w:szCs w:val="22"/>
              </w:rPr>
              <w:t>8.0%</w:t>
            </w:r>
          </w:p>
        </w:tc>
      </w:tr>
      <w:tr w:rsidR="0017193A" w:rsidRPr="00335127" w14:paraId="08821F10" w14:textId="77777777">
        <w:trPr>
          <w:trHeight w:val="320"/>
        </w:trPr>
        <w:tc>
          <w:tcPr>
            <w:tcW w:w="3808" w:type="dxa"/>
            <w:noWrap/>
            <w:hideMark/>
          </w:tcPr>
          <w:p w14:paraId="2994A24F" w14:textId="77777777" w:rsidR="0017193A" w:rsidRPr="00335127" w:rsidRDefault="0017193A">
            <w:pPr>
              <w:pStyle w:val="Tabletext"/>
              <w:rPr>
                <w:noProof/>
                <w:sz w:val="22"/>
                <w:szCs w:val="22"/>
              </w:rPr>
            </w:pPr>
            <w:r w:rsidRPr="00335127">
              <w:rPr>
                <w:noProof/>
                <w:sz w:val="22"/>
                <w:szCs w:val="22"/>
              </w:rPr>
              <w:t>Digital sovereignty and resilience in the public sector including through public procurement</w:t>
            </w:r>
          </w:p>
        </w:tc>
        <w:tc>
          <w:tcPr>
            <w:tcW w:w="2200" w:type="dxa"/>
            <w:gridSpan w:val="3"/>
            <w:noWrap/>
            <w:hideMark/>
          </w:tcPr>
          <w:p w14:paraId="4623842B"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5B924CCC" w14:textId="77777777" w:rsidR="0017193A" w:rsidRPr="00335127" w:rsidRDefault="0017193A">
            <w:pPr>
              <w:pStyle w:val="Tabletext"/>
              <w:jc w:val="center"/>
              <w:rPr>
                <w:noProof/>
                <w:sz w:val="22"/>
                <w:szCs w:val="22"/>
              </w:rPr>
            </w:pPr>
            <w:r w:rsidRPr="00DA029C">
              <w:rPr>
                <w:noProof/>
                <w:sz w:val="22"/>
                <w:szCs w:val="22"/>
              </w:rPr>
              <w:t>2.8%</w:t>
            </w:r>
          </w:p>
        </w:tc>
        <w:tc>
          <w:tcPr>
            <w:tcW w:w="1678" w:type="dxa"/>
            <w:noWrap/>
            <w:hideMark/>
          </w:tcPr>
          <w:p w14:paraId="16990C86" w14:textId="77777777" w:rsidR="0017193A" w:rsidRPr="00335127" w:rsidRDefault="0017193A">
            <w:pPr>
              <w:pStyle w:val="Tabletext"/>
              <w:jc w:val="center"/>
              <w:rPr>
                <w:noProof/>
                <w:sz w:val="22"/>
                <w:szCs w:val="22"/>
              </w:rPr>
            </w:pPr>
            <w:r w:rsidRPr="00DA029C">
              <w:rPr>
                <w:noProof/>
                <w:sz w:val="22"/>
                <w:szCs w:val="22"/>
              </w:rPr>
              <w:t>27.5%</w:t>
            </w:r>
          </w:p>
        </w:tc>
      </w:tr>
      <w:tr w:rsidR="0017193A" w:rsidRPr="00335127" w14:paraId="53DD80D8" w14:textId="77777777">
        <w:trPr>
          <w:trHeight w:val="320"/>
        </w:trPr>
        <w:tc>
          <w:tcPr>
            <w:tcW w:w="3808" w:type="dxa"/>
            <w:noWrap/>
            <w:hideMark/>
          </w:tcPr>
          <w:p w14:paraId="02EE6D00" w14:textId="77777777" w:rsidR="0017193A" w:rsidRPr="00335127" w:rsidRDefault="0017193A">
            <w:pPr>
              <w:pStyle w:val="Tabletext"/>
              <w:rPr>
                <w:noProof/>
                <w:sz w:val="22"/>
                <w:szCs w:val="22"/>
              </w:rPr>
            </w:pPr>
            <w:r w:rsidRPr="00335127">
              <w:rPr>
                <w:noProof/>
                <w:sz w:val="22"/>
                <w:szCs w:val="22"/>
              </w:rPr>
              <w:t>Open source capacity</w:t>
            </w:r>
          </w:p>
        </w:tc>
        <w:tc>
          <w:tcPr>
            <w:tcW w:w="2200" w:type="dxa"/>
            <w:gridSpan w:val="3"/>
            <w:noWrap/>
            <w:hideMark/>
          </w:tcPr>
          <w:p w14:paraId="0FD857B8"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79A9E298" w14:textId="77777777" w:rsidR="0017193A" w:rsidRPr="00335127" w:rsidRDefault="0017193A">
            <w:pPr>
              <w:pStyle w:val="Tabletext"/>
              <w:jc w:val="center"/>
              <w:rPr>
                <w:noProof/>
                <w:sz w:val="22"/>
                <w:szCs w:val="22"/>
              </w:rPr>
            </w:pPr>
            <w:r w:rsidRPr="00DA029C">
              <w:rPr>
                <w:noProof/>
                <w:sz w:val="22"/>
                <w:szCs w:val="22"/>
              </w:rPr>
              <w:t>2.0%</w:t>
            </w:r>
          </w:p>
        </w:tc>
        <w:tc>
          <w:tcPr>
            <w:tcW w:w="1678" w:type="dxa"/>
            <w:noWrap/>
            <w:hideMark/>
          </w:tcPr>
          <w:p w14:paraId="0566CD45" w14:textId="77777777" w:rsidR="0017193A" w:rsidRPr="00335127" w:rsidRDefault="0017193A">
            <w:pPr>
              <w:pStyle w:val="Tabletext"/>
              <w:jc w:val="center"/>
              <w:rPr>
                <w:noProof/>
                <w:sz w:val="22"/>
                <w:szCs w:val="22"/>
              </w:rPr>
            </w:pPr>
            <w:r w:rsidRPr="00DA029C">
              <w:rPr>
                <w:noProof/>
                <w:sz w:val="22"/>
                <w:szCs w:val="22"/>
              </w:rPr>
              <w:t>8.0%</w:t>
            </w:r>
          </w:p>
        </w:tc>
      </w:tr>
      <w:tr w:rsidR="0017193A" w:rsidRPr="00335127" w14:paraId="2167D1F3" w14:textId="77777777">
        <w:trPr>
          <w:trHeight w:val="320"/>
        </w:trPr>
        <w:tc>
          <w:tcPr>
            <w:tcW w:w="3808" w:type="dxa"/>
            <w:noWrap/>
            <w:hideMark/>
          </w:tcPr>
          <w:p w14:paraId="73A4C1D2" w14:textId="77777777" w:rsidR="0017193A" w:rsidRPr="00335127" w:rsidRDefault="0017193A">
            <w:pPr>
              <w:pStyle w:val="Tabletext"/>
              <w:rPr>
                <w:noProof/>
                <w:sz w:val="22"/>
                <w:szCs w:val="22"/>
              </w:rPr>
            </w:pPr>
            <w:r w:rsidRPr="00335127">
              <w:rPr>
                <w:noProof/>
                <w:sz w:val="22"/>
                <w:szCs w:val="22"/>
              </w:rPr>
              <w:t>Ensuring customer choice and the ability to switch providers across layers of the AI compute stack</w:t>
            </w:r>
          </w:p>
        </w:tc>
        <w:tc>
          <w:tcPr>
            <w:tcW w:w="2200" w:type="dxa"/>
            <w:gridSpan w:val="3"/>
            <w:noWrap/>
            <w:hideMark/>
          </w:tcPr>
          <w:p w14:paraId="12AC8FF3" w14:textId="77777777" w:rsidR="0017193A" w:rsidRPr="00335127" w:rsidRDefault="0017193A">
            <w:pPr>
              <w:pStyle w:val="Tabletext"/>
              <w:jc w:val="center"/>
              <w:rPr>
                <w:noProof/>
                <w:sz w:val="22"/>
                <w:szCs w:val="22"/>
              </w:rPr>
            </w:pPr>
            <w:r w:rsidRPr="00DA029C">
              <w:rPr>
                <w:noProof/>
                <w:sz w:val="22"/>
                <w:szCs w:val="22"/>
              </w:rPr>
              <w:t>3.57%</w:t>
            </w:r>
          </w:p>
        </w:tc>
        <w:tc>
          <w:tcPr>
            <w:tcW w:w="1222" w:type="dxa"/>
            <w:noWrap/>
            <w:hideMark/>
          </w:tcPr>
          <w:p w14:paraId="011B1E18" w14:textId="77777777" w:rsidR="0017193A" w:rsidRPr="00335127" w:rsidRDefault="0017193A">
            <w:pPr>
              <w:pStyle w:val="Tabletext"/>
              <w:jc w:val="center"/>
              <w:rPr>
                <w:noProof/>
                <w:sz w:val="22"/>
                <w:szCs w:val="22"/>
              </w:rPr>
            </w:pPr>
            <w:r w:rsidRPr="00DA029C">
              <w:rPr>
                <w:noProof/>
                <w:sz w:val="22"/>
                <w:szCs w:val="22"/>
              </w:rPr>
              <w:t>1.2%</w:t>
            </w:r>
          </w:p>
        </w:tc>
        <w:tc>
          <w:tcPr>
            <w:tcW w:w="1678" w:type="dxa"/>
            <w:noWrap/>
            <w:hideMark/>
          </w:tcPr>
          <w:p w14:paraId="085E36C5" w14:textId="77777777" w:rsidR="0017193A" w:rsidRPr="00335127" w:rsidRDefault="0017193A">
            <w:pPr>
              <w:pStyle w:val="Tabletext"/>
              <w:jc w:val="center"/>
              <w:rPr>
                <w:noProof/>
                <w:sz w:val="22"/>
                <w:szCs w:val="22"/>
              </w:rPr>
            </w:pPr>
            <w:r w:rsidRPr="00DA029C">
              <w:rPr>
                <w:noProof/>
                <w:sz w:val="22"/>
                <w:szCs w:val="22"/>
              </w:rPr>
              <w:t>10.7%</w:t>
            </w:r>
          </w:p>
        </w:tc>
      </w:tr>
      <w:tr w:rsidR="0017193A" w:rsidRPr="00335127" w14:paraId="3F2B7BB1" w14:textId="77777777">
        <w:trPr>
          <w:trHeight w:val="320"/>
        </w:trPr>
        <w:tc>
          <w:tcPr>
            <w:tcW w:w="3808" w:type="dxa"/>
            <w:noWrap/>
            <w:hideMark/>
          </w:tcPr>
          <w:p w14:paraId="26EE26F7" w14:textId="29918E9F" w:rsidR="0017193A" w:rsidRPr="00335127" w:rsidRDefault="0027534B">
            <w:pPr>
              <w:pStyle w:val="Tabletext"/>
              <w:rPr>
                <w:noProof/>
                <w:sz w:val="22"/>
                <w:szCs w:val="22"/>
              </w:rPr>
            </w:pPr>
            <w:r w:rsidRPr="00335127">
              <w:rPr>
                <w:noProof/>
                <w:sz w:val="22"/>
                <w:szCs w:val="22"/>
              </w:rPr>
              <w:t>A</w:t>
            </w:r>
            <w:r w:rsidR="0017193A" w:rsidRPr="00335127">
              <w:rPr>
                <w:noProof/>
                <w:sz w:val="22"/>
                <w:szCs w:val="22"/>
              </w:rPr>
              <w:t>dministrative</w:t>
            </w:r>
            <w:r>
              <w:rPr>
                <w:noProof/>
                <w:sz w:val="22"/>
                <w:szCs w:val="22"/>
              </w:rPr>
              <w:t xml:space="preserve"> costs</w:t>
            </w:r>
          </w:p>
        </w:tc>
        <w:tc>
          <w:tcPr>
            <w:tcW w:w="2200" w:type="dxa"/>
            <w:gridSpan w:val="3"/>
            <w:noWrap/>
            <w:hideMark/>
          </w:tcPr>
          <w:p w14:paraId="19599F19" w14:textId="77777777" w:rsidR="0017193A" w:rsidRPr="00335127" w:rsidRDefault="0017193A">
            <w:pPr>
              <w:pStyle w:val="Tabletext"/>
              <w:jc w:val="center"/>
              <w:rPr>
                <w:noProof/>
                <w:sz w:val="22"/>
                <w:szCs w:val="22"/>
              </w:rPr>
            </w:pPr>
            <w:r w:rsidRPr="00DA029C">
              <w:rPr>
                <w:noProof/>
                <w:sz w:val="22"/>
                <w:szCs w:val="22"/>
              </w:rPr>
              <w:t>6.25%</w:t>
            </w:r>
          </w:p>
        </w:tc>
        <w:tc>
          <w:tcPr>
            <w:tcW w:w="1222" w:type="dxa"/>
            <w:noWrap/>
            <w:hideMark/>
          </w:tcPr>
          <w:p w14:paraId="1E39373F" w14:textId="77777777" w:rsidR="0017193A" w:rsidRPr="00335127" w:rsidRDefault="0017193A">
            <w:pPr>
              <w:pStyle w:val="Tabletext"/>
              <w:jc w:val="center"/>
              <w:rPr>
                <w:noProof/>
                <w:sz w:val="22"/>
                <w:szCs w:val="22"/>
              </w:rPr>
            </w:pPr>
            <w:r w:rsidRPr="00DA029C">
              <w:rPr>
                <w:noProof/>
                <w:sz w:val="22"/>
                <w:szCs w:val="22"/>
              </w:rPr>
              <w:t>5.3%</w:t>
            </w:r>
          </w:p>
        </w:tc>
        <w:tc>
          <w:tcPr>
            <w:tcW w:w="1678" w:type="dxa"/>
            <w:noWrap/>
            <w:hideMark/>
          </w:tcPr>
          <w:p w14:paraId="14092DB7" w14:textId="77777777" w:rsidR="0017193A" w:rsidRPr="00335127" w:rsidRDefault="0017193A">
            <w:pPr>
              <w:pStyle w:val="Tabletext"/>
              <w:jc w:val="center"/>
              <w:rPr>
                <w:noProof/>
                <w:sz w:val="22"/>
                <w:szCs w:val="22"/>
              </w:rPr>
            </w:pPr>
            <w:r w:rsidRPr="00DA029C">
              <w:rPr>
                <w:noProof/>
                <w:sz w:val="22"/>
                <w:szCs w:val="22"/>
              </w:rPr>
              <w:t>5.3%</w:t>
            </w:r>
          </w:p>
        </w:tc>
      </w:tr>
      <w:tr w:rsidR="0017193A" w:rsidRPr="00335127" w14:paraId="48A20661" w14:textId="77777777">
        <w:trPr>
          <w:trHeight w:val="320"/>
        </w:trPr>
        <w:tc>
          <w:tcPr>
            <w:tcW w:w="3808" w:type="dxa"/>
            <w:noWrap/>
            <w:hideMark/>
          </w:tcPr>
          <w:p w14:paraId="02350BF6" w14:textId="1A5A436A" w:rsidR="0017193A" w:rsidRPr="00335127" w:rsidRDefault="0027534B">
            <w:pPr>
              <w:pStyle w:val="Tabletext"/>
              <w:rPr>
                <w:noProof/>
                <w:sz w:val="22"/>
                <w:szCs w:val="22"/>
              </w:rPr>
            </w:pPr>
            <w:r w:rsidRPr="00335127">
              <w:rPr>
                <w:noProof/>
                <w:sz w:val="22"/>
                <w:szCs w:val="22"/>
              </w:rPr>
              <w:t>A</w:t>
            </w:r>
            <w:r w:rsidR="0017193A" w:rsidRPr="00335127">
              <w:rPr>
                <w:noProof/>
                <w:sz w:val="22"/>
                <w:szCs w:val="22"/>
              </w:rPr>
              <w:t>djustment</w:t>
            </w:r>
            <w:r>
              <w:rPr>
                <w:noProof/>
                <w:sz w:val="22"/>
                <w:szCs w:val="22"/>
              </w:rPr>
              <w:t xml:space="preserve"> costs</w:t>
            </w:r>
          </w:p>
        </w:tc>
        <w:tc>
          <w:tcPr>
            <w:tcW w:w="2200" w:type="dxa"/>
            <w:gridSpan w:val="3"/>
            <w:noWrap/>
            <w:hideMark/>
          </w:tcPr>
          <w:p w14:paraId="48187F49" w14:textId="77777777" w:rsidR="0017193A" w:rsidRPr="00335127" w:rsidRDefault="0017193A">
            <w:pPr>
              <w:pStyle w:val="Tabletext"/>
              <w:jc w:val="center"/>
              <w:rPr>
                <w:noProof/>
                <w:sz w:val="22"/>
                <w:szCs w:val="22"/>
              </w:rPr>
            </w:pPr>
            <w:r w:rsidRPr="00DA029C">
              <w:rPr>
                <w:noProof/>
                <w:sz w:val="22"/>
                <w:szCs w:val="22"/>
              </w:rPr>
              <w:t>6.25%</w:t>
            </w:r>
          </w:p>
        </w:tc>
        <w:tc>
          <w:tcPr>
            <w:tcW w:w="1222" w:type="dxa"/>
            <w:noWrap/>
            <w:hideMark/>
          </w:tcPr>
          <w:p w14:paraId="6ED7DFB9" w14:textId="77777777" w:rsidR="0017193A" w:rsidRPr="00335127" w:rsidRDefault="0017193A">
            <w:pPr>
              <w:pStyle w:val="Tabletext"/>
              <w:jc w:val="center"/>
              <w:rPr>
                <w:noProof/>
                <w:sz w:val="22"/>
                <w:szCs w:val="22"/>
              </w:rPr>
            </w:pPr>
            <w:r w:rsidRPr="00DA029C">
              <w:rPr>
                <w:noProof/>
                <w:sz w:val="22"/>
                <w:szCs w:val="22"/>
              </w:rPr>
              <w:t>5.3%</w:t>
            </w:r>
          </w:p>
        </w:tc>
        <w:tc>
          <w:tcPr>
            <w:tcW w:w="1678" w:type="dxa"/>
            <w:noWrap/>
            <w:hideMark/>
          </w:tcPr>
          <w:p w14:paraId="6AAEA2A2" w14:textId="77777777" w:rsidR="0017193A" w:rsidRPr="00335127" w:rsidRDefault="0017193A">
            <w:pPr>
              <w:pStyle w:val="Tabletext"/>
              <w:jc w:val="center"/>
              <w:rPr>
                <w:noProof/>
                <w:sz w:val="22"/>
                <w:szCs w:val="22"/>
              </w:rPr>
            </w:pPr>
            <w:r w:rsidRPr="00DA029C">
              <w:rPr>
                <w:noProof/>
                <w:sz w:val="22"/>
                <w:szCs w:val="22"/>
              </w:rPr>
              <w:t>5.3%</w:t>
            </w:r>
          </w:p>
        </w:tc>
      </w:tr>
      <w:tr w:rsidR="0017193A" w:rsidRPr="00335127" w14:paraId="0309CC47" w14:textId="77777777">
        <w:trPr>
          <w:trHeight w:val="320"/>
        </w:trPr>
        <w:tc>
          <w:tcPr>
            <w:tcW w:w="3808" w:type="dxa"/>
            <w:noWrap/>
            <w:hideMark/>
          </w:tcPr>
          <w:p w14:paraId="0ADB95CD" w14:textId="77777777" w:rsidR="0017193A" w:rsidRPr="00335127" w:rsidRDefault="0017193A">
            <w:pPr>
              <w:pStyle w:val="Tabletext"/>
              <w:rPr>
                <w:noProof/>
                <w:sz w:val="22"/>
                <w:szCs w:val="22"/>
              </w:rPr>
            </w:pPr>
            <w:r w:rsidRPr="00335127">
              <w:rPr>
                <w:noProof/>
                <w:sz w:val="22"/>
                <w:szCs w:val="22"/>
              </w:rPr>
              <w:t>cost savings</w:t>
            </w:r>
          </w:p>
        </w:tc>
        <w:tc>
          <w:tcPr>
            <w:tcW w:w="2200" w:type="dxa"/>
            <w:gridSpan w:val="3"/>
            <w:noWrap/>
            <w:hideMark/>
          </w:tcPr>
          <w:p w14:paraId="250E95CB" w14:textId="77777777" w:rsidR="0017193A" w:rsidRPr="00335127" w:rsidRDefault="0017193A">
            <w:pPr>
              <w:pStyle w:val="Tabletext"/>
              <w:jc w:val="center"/>
              <w:rPr>
                <w:noProof/>
                <w:sz w:val="22"/>
                <w:szCs w:val="22"/>
              </w:rPr>
            </w:pPr>
            <w:r w:rsidRPr="00DA029C">
              <w:rPr>
                <w:noProof/>
                <w:sz w:val="22"/>
                <w:szCs w:val="22"/>
              </w:rPr>
              <w:t>6.25%</w:t>
            </w:r>
          </w:p>
        </w:tc>
        <w:tc>
          <w:tcPr>
            <w:tcW w:w="1222" w:type="dxa"/>
            <w:noWrap/>
            <w:hideMark/>
          </w:tcPr>
          <w:p w14:paraId="3B9548B0" w14:textId="77777777" w:rsidR="0017193A" w:rsidRPr="00335127" w:rsidRDefault="0017193A">
            <w:pPr>
              <w:pStyle w:val="Tabletext"/>
              <w:jc w:val="center"/>
              <w:rPr>
                <w:noProof/>
                <w:sz w:val="22"/>
                <w:szCs w:val="22"/>
              </w:rPr>
            </w:pPr>
            <w:r w:rsidRPr="00DA029C">
              <w:rPr>
                <w:noProof/>
                <w:sz w:val="22"/>
                <w:szCs w:val="22"/>
              </w:rPr>
              <w:t>10.5%</w:t>
            </w:r>
          </w:p>
        </w:tc>
        <w:tc>
          <w:tcPr>
            <w:tcW w:w="1678" w:type="dxa"/>
            <w:noWrap/>
            <w:hideMark/>
          </w:tcPr>
          <w:p w14:paraId="69126DC3" w14:textId="77777777" w:rsidR="0017193A" w:rsidRPr="00335127" w:rsidRDefault="0017193A">
            <w:pPr>
              <w:pStyle w:val="Tabletext"/>
              <w:jc w:val="center"/>
              <w:rPr>
                <w:noProof/>
                <w:sz w:val="22"/>
                <w:szCs w:val="22"/>
              </w:rPr>
            </w:pPr>
            <w:r w:rsidRPr="00DA029C">
              <w:rPr>
                <w:noProof/>
                <w:sz w:val="22"/>
                <w:szCs w:val="22"/>
              </w:rPr>
              <w:t>10.5%</w:t>
            </w:r>
          </w:p>
        </w:tc>
      </w:tr>
      <w:tr w:rsidR="0017193A" w:rsidRPr="00335127" w14:paraId="69DC59D3" w14:textId="77777777">
        <w:trPr>
          <w:trHeight w:val="320"/>
        </w:trPr>
        <w:tc>
          <w:tcPr>
            <w:tcW w:w="3808" w:type="dxa"/>
            <w:noWrap/>
            <w:hideMark/>
          </w:tcPr>
          <w:p w14:paraId="29EE6BA1" w14:textId="77777777" w:rsidR="0017193A" w:rsidRPr="00335127" w:rsidRDefault="0017193A">
            <w:pPr>
              <w:pStyle w:val="Tabletext"/>
              <w:rPr>
                <w:noProof/>
                <w:sz w:val="22"/>
                <w:szCs w:val="22"/>
              </w:rPr>
            </w:pPr>
            <w:r w:rsidRPr="00335127">
              <w:rPr>
                <w:noProof/>
                <w:sz w:val="22"/>
                <w:szCs w:val="22"/>
              </w:rPr>
              <w:t>net costs</w:t>
            </w:r>
          </w:p>
        </w:tc>
        <w:tc>
          <w:tcPr>
            <w:tcW w:w="2200" w:type="dxa"/>
            <w:gridSpan w:val="3"/>
            <w:noWrap/>
            <w:hideMark/>
          </w:tcPr>
          <w:p w14:paraId="3AA3BCEF" w14:textId="77777777" w:rsidR="0017193A" w:rsidRPr="00335127" w:rsidRDefault="0017193A">
            <w:pPr>
              <w:pStyle w:val="Tabletext"/>
              <w:jc w:val="center"/>
              <w:rPr>
                <w:noProof/>
                <w:sz w:val="22"/>
                <w:szCs w:val="22"/>
              </w:rPr>
            </w:pPr>
            <w:r w:rsidRPr="00DA029C">
              <w:rPr>
                <w:noProof/>
                <w:sz w:val="22"/>
                <w:szCs w:val="22"/>
              </w:rPr>
              <w:t>6.25%</w:t>
            </w:r>
          </w:p>
        </w:tc>
        <w:tc>
          <w:tcPr>
            <w:tcW w:w="1222" w:type="dxa"/>
            <w:noWrap/>
            <w:hideMark/>
          </w:tcPr>
          <w:p w14:paraId="3693E535" w14:textId="77777777" w:rsidR="0017193A" w:rsidRPr="00335127" w:rsidRDefault="0017193A">
            <w:pPr>
              <w:pStyle w:val="Tabletext"/>
              <w:jc w:val="center"/>
              <w:rPr>
                <w:noProof/>
                <w:sz w:val="22"/>
                <w:szCs w:val="22"/>
              </w:rPr>
            </w:pPr>
            <w:r w:rsidRPr="00DA029C">
              <w:rPr>
                <w:noProof/>
                <w:sz w:val="22"/>
                <w:szCs w:val="22"/>
              </w:rPr>
              <w:t>14.0%</w:t>
            </w:r>
          </w:p>
        </w:tc>
        <w:tc>
          <w:tcPr>
            <w:tcW w:w="1678" w:type="dxa"/>
            <w:noWrap/>
            <w:hideMark/>
          </w:tcPr>
          <w:p w14:paraId="62CCE790" w14:textId="77777777" w:rsidR="0017193A" w:rsidRPr="00335127" w:rsidRDefault="0017193A">
            <w:pPr>
              <w:pStyle w:val="Tabletext"/>
              <w:jc w:val="center"/>
              <w:rPr>
                <w:noProof/>
                <w:sz w:val="22"/>
                <w:szCs w:val="22"/>
              </w:rPr>
            </w:pPr>
            <w:r w:rsidRPr="00DA029C">
              <w:rPr>
                <w:noProof/>
                <w:sz w:val="22"/>
                <w:szCs w:val="22"/>
              </w:rPr>
              <w:t>14.0%</w:t>
            </w:r>
          </w:p>
        </w:tc>
      </w:tr>
      <w:tr w:rsidR="0017193A" w:rsidRPr="00335127" w14:paraId="3AED7C45" w14:textId="77777777">
        <w:trPr>
          <w:trHeight w:val="320"/>
        </w:trPr>
        <w:tc>
          <w:tcPr>
            <w:tcW w:w="3808" w:type="dxa"/>
            <w:noWrap/>
            <w:hideMark/>
          </w:tcPr>
          <w:p w14:paraId="456EDDAD" w14:textId="77777777" w:rsidR="0017193A" w:rsidRPr="00335127" w:rsidRDefault="0017193A">
            <w:pPr>
              <w:pStyle w:val="Tabletext"/>
              <w:rPr>
                <w:noProof/>
                <w:sz w:val="22"/>
                <w:szCs w:val="22"/>
              </w:rPr>
            </w:pPr>
            <w:r w:rsidRPr="00335127">
              <w:rPr>
                <w:noProof/>
                <w:sz w:val="22"/>
                <w:szCs w:val="22"/>
              </w:rPr>
              <w:t>Transparency and citizen trust</w:t>
            </w:r>
          </w:p>
        </w:tc>
        <w:tc>
          <w:tcPr>
            <w:tcW w:w="2200" w:type="dxa"/>
            <w:gridSpan w:val="3"/>
            <w:noWrap/>
            <w:hideMark/>
          </w:tcPr>
          <w:p w14:paraId="493B1083" w14:textId="77777777" w:rsidR="0017193A" w:rsidRPr="00335127" w:rsidRDefault="0017193A">
            <w:pPr>
              <w:pStyle w:val="Tabletext"/>
              <w:jc w:val="center"/>
              <w:rPr>
                <w:noProof/>
                <w:sz w:val="22"/>
                <w:szCs w:val="22"/>
              </w:rPr>
            </w:pPr>
            <w:r w:rsidRPr="00DA029C">
              <w:rPr>
                <w:noProof/>
                <w:sz w:val="22"/>
                <w:szCs w:val="22"/>
              </w:rPr>
              <w:t>12.50%</w:t>
            </w:r>
          </w:p>
        </w:tc>
        <w:tc>
          <w:tcPr>
            <w:tcW w:w="1222" w:type="dxa"/>
            <w:noWrap/>
            <w:hideMark/>
          </w:tcPr>
          <w:p w14:paraId="79F5432F" w14:textId="77777777" w:rsidR="0017193A" w:rsidRPr="00335127" w:rsidRDefault="0017193A">
            <w:pPr>
              <w:pStyle w:val="Tabletext"/>
              <w:jc w:val="center"/>
              <w:rPr>
                <w:noProof/>
                <w:sz w:val="22"/>
                <w:szCs w:val="22"/>
              </w:rPr>
            </w:pPr>
            <w:r w:rsidRPr="00DA029C">
              <w:rPr>
                <w:noProof/>
                <w:sz w:val="22"/>
                <w:szCs w:val="22"/>
              </w:rPr>
              <w:t>3.0%</w:t>
            </w:r>
          </w:p>
        </w:tc>
        <w:tc>
          <w:tcPr>
            <w:tcW w:w="1678" w:type="dxa"/>
            <w:noWrap/>
            <w:hideMark/>
          </w:tcPr>
          <w:p w14:paraId="511F5ADC" w14:textId="77777777" w:rsidR="0017193A" w:rsidRPr="00335127" w:rsidRDefault="0017193A">
            <w:pPr>
              <w:pStyle w:val="Tabletext"/>
              <w:jc w:val="center"/>
              <w:rPr>
                <w:noProof/>
                <w:sz w:val="22"/>
                <w:szCs w:val="22"/>
              </w:rPr>
            </w:pPr>
            <w:r w:rsidRPr="00DA029C">
              <w:rPr>
                <w:noProof/>
                <w:sz w:val="22"/>
                <w:szCs w:val="22"/>
              </w:rPr>
              <w:t>3.3%</w:t>
            </w:r>
          </w:p>
        </w:tc>
      </w:tr>
      <w:tr w:rsidR="0017193A" w:rsidRPr="00335127" w14:paraId="219A01F7" w14:textId="77777777">
        <w:trPr>
          <w:trHeight w:val="320"/>
        </w:trPr>
        <w:tc>
          <w:tcPr>
            <w:tcW w:w="3808" w:type="dxa"/>
            <w:noWrap/>
            <w:hideMark/>
          </w:tcPr>
          <w:p w14:paraId="43C52E72" w14:textId="77777777" w:rsidR="0017193A" w:rsidRPr="00335127" w:rsidRDefault="0017193A">
            <w:pPr>
              <w:pStyle w:val="Tabletext"/>
              <w:rPr>
                <w:noProof/>
                <w:sz w:val="22"/>
                <w:szCs w:val="22"/>
              </w:rPr>
            </w:pPr>
            <w:r w:rsidRPr="00335127">
              <w:rPr>
                <w:noProof/>
                <w:sz w:val="22"/>
                <w:szCs w:val="22"/>
              </w:rPr>
              <w:t>Citizen/community engagement</w:t>
            </w:r>
          </w:p>
        </w:tc>
        <w:tc>
          <w:tcPr>
            <w:tcW w:w="2200" w:type="dxa"/>
            <w:gridSpan w:val="3"/>
            <w:noWrap/>
            <w:hideMark/>
          </w:tcPr>
          <w:p w14:paraId="7E939AE9" w14:textId="77777777" w:rsidR="0017193A" w:rsidRPr="00335127" w:rsidRDefault="0017193A">
            <w:pPr>
              <w:pStyle w:val="Tabletext"/>
              <w:jc w:val="center"/>
              <w:rPr>
                <w:noProof/>
                <w:sz w:val="22"/>
                <w:szCs w:val="22"/>
              </w:rPr>
            </w:pPr>
            <w:r w:rsidRPr="00DA029C">
              <w:rPr>
                <w:noProof/>
                <w:sz w:val="22"/>
                <w:szCs w:val="22"/>
              </w:rPr>
              <w:t>12.50%</w:t>
            </w:r>
          </w:p>
        </w:tc>
        <w:tc>
          <w:tcPr>
            <w:tcW w:w="1222" w:type="dxa"/>
            <w:noWrap/>
            <w:hideMark/>
          </w:tcPr>
          <w:p w14:paraId="7FAAD221" w14:textId="77777777" w:rsidR="0017193A" w:rsidRPr="00335127" w:rsidRDefault="0017193A">
            <w:pPr>
              <w:pStyle w:val="Tabletext"/>
              <w:jc w:val="center"/>
              <w:rPr>
                <w:noProof/>
                <w:sz w:val="22"/>
                <w:szCs w:val="22"/>
              </w:rPr>
            </w:pPr>
            <w:r w:rsidRPr="00DA029C">
              <w:rPr>
                <w:noProof/>
                <w:sz w:val="22"/>
                <w:szCs w:val="22"/>
              </w:rPr>
              <w:t>2.0%</w:t>
            </w:r>
          </w:p>
        </w:tc>
        <w:tc>
          <w:tcPr>
            <w:tcW w:w="1678" w:type="dxa"/>
            <w:noWrap/>
            <w:hideMark/>
          </w:tcPr>
          <w:p w14:paraId="574C34FF" w14:textId="77777777" w:rsidR="0017193A" w:rsidRPr="00335127" w:rsidRDefault="0017193A">
            <w:pPr>
              <w:pStyle w:val="Tabletext"/>
              <w:jc w:val="center"/>
              <w:rPr>
                <w:noProof/>
                <w:sz w:val="22"/>
                <w:szCs w:val="22"/>
              </w:rPr>
            </w:pPr>
            <w:r w:rsidRPr="00DA029C">
              <w:rPr>
                <w:noProof/>
                <w:sz w:val="22"/>
                <w:szCs w:val="22"/>
              </w:rPr>
              <w:t>1.8%</w:t>
            </w:r>
          </w:p>
        </w:tc>
      </w:tr>
      <w:tr w:rsidR="0017193A" w:rsidRPr="00335127" w14:paraId="153FED1D" w14:textId="77777777">
        <w:trPr>
          <w:trHeight w:val="320"/>
        </w:trPr>
        <w:tc>
          <w:tcPr>
            <w:tcW w:w="3808" w:type="dxa"/>
            <w:noWrap/>
            <w:hideMark/>
          </w:tcPr>
          <w:p w14:paraId="2C4A26B7" w14:textId="77777777" w:rsidR="0017193A" w:rsidRPr="00335127" w:rsidRDefault="0017193A">
            <w:pPr>
              <w:pStyle w:val="Tabletext"/>
              <w:rPr>
                <w:noProof/>
                <w:sz w:val="22"/>
                <w:szCs w:val="22"/>
              </w:rPr>
            </w:pPr>
            <w:r w:rsidRPr="00335127">
              <w:rPr>
                <w:noProof/>
                <w:sz w:val="22"/>
                <w:szCs w:val="22"/>
              </w:rPr>
              <w:t>Data centres environmental footprint (energy, water use, greenhouse gas emissions)</w:t>
            </w:r>
          </w:p>
        </w:tc>
        <w:tc>
          <w:tcPr>
            <w:tcW w:w="2200" w:type="dxa"/>
            <w:gridSpan w:val="3"/>
            <w:noWrap/>
            <w:hideMark/>
          </w:tcPr>
          <w:p w14:paraId="33BC06FC" w14:textId="77777777" w:rsidR="0017193A" w:rsidRPr="00335127" w:rsidRDefault="0017193A">
            <w:pPr>
              <w:pStyle w:val="Tabletext"/>
              <w:jc w:val="center"/>
              <w:rPr>
                <w:noProof/>
                <w:sz w:val="22"/>
                <w:szCs w:val="22"/>
              </w:rPr>
            </w:pPr>
            <w:r w:rsidRPr="00DA029C">
              <w:rPr>
                <w:noProof/>
                <w:sz w:val="22"/>
                <w:szCs w:val="22"/>
              </w:rPr>
              <w:t>12.50%</w:t>
            </w:r>
          </w:p>
        </w:tc>
        <w:tc>
          <w:tcPr>
            <w:tcW w:w="1222" w:type="dxa"/>
            <w:noWrap/>
            <w:hideMark/>
          </w:tcPr>
          <w:p w14:paraId="4F64B67B" w14:textId="77777777" w:rsidR="0017193A" w:rsidRPr="00335127" w:rsidRDefault="0017193A">
            <w:pPr>
              <w:pStyle w:val="Tabletext"/>
              <w:jc w:val="center"/>
              <w:rPr>
                <w:noProof/>
                <w:sz w:val="22"/>
                <w:szCs w:val="22"/>
              </w:rPr>
            </w:pPr>
            <w:r w:rsidRPr="00DA029C">
              <w:rPr>
                <w:noProof/>
                <w:sz w:val="22"/>
                <w:szCs w:val="22"/>
              </w:rPr>
              <w:t>14.0%</w:t>
            </w:r>
          </w:p>
        </w:tc>
        <w:tc>
          <w:tcPr>
            <w:tcW w:w="1678" w:type="dxa"/>
            <w:noWrap/>
            <w:hideMark/>
          </w:tcPr>
          <w:p w14:paraId="65B96AB7" w14:textId="77777777" w:rsidR="0017193A" w:rsidRPr="00335127" w:rsidRDefault="0017193A">
            <w:pPr>
              <w:pStyle w:val="Tabletext"/>
              <w:jc w:val="center"/>
              <w:rPr>
                <w:noProof/>
                <w:sz w:val="22"/>
                <w:szCs w:val="22"/>
              </w:rPr>
            </w:pPr>
            <w:r w:rsidRPr="00DA029C">
              <w:rPr>
                <w:noProof/>
                <w:sz w:val="22"/>
                <w:szCs w:val="22"/>
              </w:rPr>
              <w:t>2.5%</w:t>
            </w:r>
          </w:p>
        </w:tc>
      </w:tr>
      <w:tr w:rsidR="0017193A" w:rsidRPr="00335127" w14:paraId="3662F3FB" w14:textId="77777777">
        <w:trPr>
          <w:trHeight w:val="320"/>
        </w:trPr>
        <w:tc>
          <w:tcPr>
            <w:tcW w:w="3808" w:type="dxa"/>
            <w:noWrap/>
            <w:hideMark/>
          </w:tcPr>
          <w:p w14:paraId="507823F6" w14:textId="77777777" w:rsidR="0017193A" w:rsidRPr="00335127" w:rsidRDefault="0017193A">
            <w:pPr>
              <w:pStyle w:val="Tabletext"/>
              <w:rPr>
                <w:noProof/>
                <w:sz w:val="22"/>
                <w:szCs w:val="22"/>
              </w:rPr>
            </w:pPr>
            <w:r w:rsidRPr="00335127">
              <w:rPr>
                <w:noProof/>
                <w:sz w:val="22"/>
                <w:szCs w:val="22"/>
              </w:rPr>
              <w:t>Leveraged investments from public and private actors for sustainable infrastructure and services</w:t>
            </w:r>
          </w:p>
        </w:tc>
        <w:tc>
          <w:tcPr>
            <w:tcW w:w="2200" w:type="dxa"/>
            <w:gridSpan w:val="3"/>
            <w:noWrap/>
            <w:hideMark/>
          </w:tcPr>
          <w:p w14:paraId="2C087793" w14:textId="77777777" w:rsidR="0017193A" w:rsidRPr="00335127" w:rsidRDefault="0017193A">
            <w:pPr>
              <w:pStyle w:val="Tabletext"/>
              <w:jc w:val="center"/>
              <w:rPr>
                <w:noProof/>
                <w:sz w:val="22"/>
                <w:szCs w:val="22"/>
              </w:rPr>
            </w:pPr>
            <w:r w:rsidRPr="00DA029C">
              <w:rPr>
                <w:noProof/>
                <w:sz w:val="22"/>
                <w:szCs w:val="22"/>
              </w:rPr>
              <w:t>12.50%</w:t>
            </w:r>
          </w:p>
        </w:tc>
        <w:tc>
          <w:tcPr>
            <w:tcW w:w="1222" w:type="dxa"/>
            <w:noWrap/>
            <w:hideMark/>
          </w:tcPr>
          <w:p w14:paraId="5BE008C2" w14:textId="77777777" w:rsidR="0017193A" w:rsidRPr="00335127" w:rsidRDefault="0017193A">
            <w:pPr>
              <w:pStyle w:val="Tabletext"/>
              <w:jc w:val="center"/>
              <w:rPr>
                <w:noProof/>
                <w:sz w:val="22"/>
                <w:szCs w:val="22"/>
              </w:rPr>
            </w:pPr>
            <w:r w:rsidRPr="00DA029C">
              <w:rPr>
                <w:noProof/>
                <w:sz w:val="22"/>
                <w:szCs w:val="22"/>
              </w:rPr>
              <w:t>6.0%</w:t>
            </w:r>
          </w:p>
        </w:tc>
        <w:tc>
          <w:tcPr>
            <w:tcW w:w="1678" w:type="dxa"/>
            <w:noWrap/>
            <w:hideMark/>
          </w:tcPr>
          <w:p w14:paraId="3CBCE9D2" w14:textId="77777777" w:rsidR="0017193A" w:rsidRPr="00335127" w:rsidRDefault="0017193A">
            <w:pPr>
              <w:pStyle w:val="Tabletext"/>
              <w:jc w:val="center"/>
              <w:rPr>
                <w:noProof/>
                <w:sz w:val="22"/>
                <w:szCs w:val="22"/>
              </w:rPr>
            </w:pPr>
            <w:r w:rsidRPr="00DA029C">
              <w:rPr>
                <w:noProof/>
                <w:sz w:val="22"/>
                <w:szCs w:val="22"/>
              </w:rPr>
              <w:t>2.5%</w:t>
            </w:r>
          </w:p>
        </w:tc>
      </w:tr>
    </w:tbl>
    <w:p w14:paraId="0D36C418" w14:textId="77777777" w:rsidR="0017193A" w:rsidRPr="0007547C" w:rsidRDefault="0017193A" w:rsidP="0017193A">
      <w:pPr>
        <w:pStyle w:val="BodyText"/>
        <w:rPr>
          <w:noProof/>
        </w:rPr>
      </w:pPr>
    </w:p>
    <w:p w14:paraId="44AD07C5" w14:textId="06C126C6" w:rsidR="006C79DE" w:rsidRPr="00EB58D5" w:rsidRDefault="006C79DE" w:rsidP="00744B72">
      <w:pPr>
        <w:pStyle w:val="Heading3"/>
        <w:numPr>
          <w:ilvl w:val="2"/>
          <w:numId w:val="72"/>
        </w:numPr>
        <w:rPr>
          <w:noProof/>
        </w:rPr>
      </w:pPr>
      <w:bookmarkStart w:id="292" w:name="_Toc214519736"/>
      <w:r w:rsidRPr="00EB58D5">
        <w:rPr>
          <w:noProof/>
        </w:rPr>
        <w:t xml:space="preserve">Summary of </w:t>
      </w:r>
      <w:r w:rsidR="00DC2A45" w:rsidRPr="00EB58D5">
        <w:rPr>
          <w:noProof/>
        </w:rPr>
        <w:t xml:space="preserve">results </w:t>
      </w:r>
      <w:r w:rsidR="00D744D6" w:rsidRPr="00EB58D5">
        <w:rPr>
          <w:noProof/>
        </w:rPr>
        <w:t xml:space="preserve">multi-criteria decision analysis </w:t>
      </w:r>
    </w:p>
    <w:p w14:paraId="6A17ECCC" w14:textId="46C0A940" w:rsidR="00FB61E2" w:rsidRDefault="00FB61E2" w:rsidP="00FB61E2">
      <w:pPr>
        <w:pStyle w:val="BodyText"/>
        <w:rPr>
          <w:noProof/>
        </w:rPr>
      </w:pPr>
      <w:r>
        <w:rPr>
          <w:noProof/>
        </w:rPr>
        <w:t xml:space="preserve">In both Problem 1 and Problem 2, all policy options perform better than the baseline, consistently across the three methods tested and stakeholder groups (AI and cloud service providers, data centre operators, National Public Authorities and SMEs). The assessment therefore confirms that maintaining the status quo is the least attractive option, and that intervention is warranted from both </w:t>
      </w:r>
      <w:r w:rsidR="0096343A">
        <w:rPr>
          <w:noProof/>
        </w:rPr>
        <w:t>an</w:t>
      </w:r>
      <w:r>
        <w:rPr>
          <w:noProof/>
        </w:rPr>
        <w:t xml:space="preserve"> effectiveness and efficiency perspective. </w:t>
      </w:r>
    </w:p>
    <w:p w14:paraId="74B89318" w14:textId="0F9D4491" w:rsidR="008445B6" w:rsidRDefault="008445B6" w:rsidP="00FB61E2">
      <w:pPr>
        <w:pStyle w:val="BodyText"/>
        <w:rPr>
          <w:noProof/>
        </w:rPr>
      </w:pPr>
      <w:r>
        <w:rPr>
          <w:noProof/>
        </w:rPr>
        <w:t xml:space="preserve">The </w:t>
      </w:r>
      <w:r w:rsidR="002E77F4">
        <w:rPr>
          <w:noProof/>
        </w:rPr>
        <w:t xml:space="preserve">multi-criteria analysis is based on the original specification of policy options. While some measures were subsequently refined, the options were retained in their initial form </w:t>
      </w:r>
      <w:r w:rsidR="000F36D0">
        <w:rPr>
          <w:noProof/>
        </w:rPr>
        <w:t>to ensure</w:t>
      </w:r>
      <w:r w:rsidR="002E77F4">
        <w:rPr>
          <w:noProof/>
        </w:rPr>
        <w:t xml:space="preserve"> comparability across scenarios. The results draw on stakeholder survey data collected in August-September 2025 and cost inputs updated in </w:t>
      </w:r>
      <w:r w:rsidR="00F23CD7">
        <w:rPr>
          <w:noProof/>
        </w:rPr>
        <w:t>early</w:t>
      </w:r>
      <w:r w:rsidR="002E77F4">
        <w:rPr>
          <w:noProof/>
        </w:rPr>
        <w:t xml:space="preserve"> 2026.</w:t>
      </w:r>
      <w:r w:rsidR="00F23CD7">
        <w:rPr>
          <w:noProof/>
        </w:rPr>
        <w:t xml:space="preserve"> As such the findings should be interpreted as indicative, reflective the relative performance of the options.</w:t>
      </w:r>
    </w:p>
    <w:p w14:paraId="3C7CA8A5" w14:textId="7D859E78" w:rsidR="00021A83" w:rsidRDefault="00021A83" w:rsidP="00FB61E2">
      <w:pPr>
        <w:pStyle w:val="BodyText"/>
        <w:rPr>
          <w:noProof/>
        </w:rPr>
      </w:pPr>
      <w:r>
        <w:rPr>
          <w:noProof/>
        </w:rPr>
        <w:t>The table below presents an overview of the comparative performance of the options across methods and weighting schemes.</w:t>
      </w:r>
    </w:p>
    <w:p w14:paraId="78EB43C5" w14:textId="00A1C682" w:rsidR="00FB61E2" w:rsidRDefault="003A385D" w:rsidP="003A385D">
      <w:pPr>
        <w:pStyle w:val="Caption"/>
        <w:rPr>
          <w:noProof/>
        </w:rPr>
      </w:pPr>
      <w:bookmarkStart w:id="293" w:name="_Ref215830825"/>
      <w:bookmarkStart w:id="294" w:name="_Toc215886324"/>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50</w:t>
      </w:r>
      <w:r>
        <w:rPr>
          <w:noProof/>
        </w:rPr>
        <w:fldChar w:fldCharType="end"/>
      </w:r>
      <w:bookmarkEnd w:id="293"/>
      <w:r>
        <w:rPr>
          <w:noProof/>
        </w:rPr>
        <w:t xml:space="preserve">. </w:t>
      </w:r>
      <w:r w:rsidR="00FB61E2" w:rsidRPr="003315F2">
        <w:rPr>
          <w:noProof/>
        </w:rPr>
        <w:t>Summary of option performance across methods and problems</w:t>
      </w:r>
      <w:bookmarkEnd w:id="294"/>
      <w:r w:rsidR="00235089">
        <w:rPr>
          <w:noProof/>
        </w:rPr>
        <w:t xml:space="preserve"> </w:t>
      </w:r>
      <w:r w:rsidR="00235089" w:rsidRPr="00785FC1">
        <w:rPr>
          <w:b w:val="0"/>
          <w:bCs/>
          <w:noProof/>
        </w:rPr>
        <w:t>(Source: Technopolis et al. (2025))</w:t>
      </w:r>
    </w:p>
    <w:tbl>
      <w:tblPr>
        <w:tblStyle w:val="GridTable2-Accent1"/>
        <w:tblW w:w="5000" w:type="pct"/>
        <w:tblLook w:val="04A0" w:firstRow="1" w:lastRow="0" w:firstColumn="1" w:lastColumn="0" w:noHBand="0" w:noVBand="1"/>
      </w:tblPr>
      <w:tblGrid>
        <w:gridCol w:w="946"/>
        <w:gridCol w:w="1607"/>
        <w:gridCol w:w="6492"/>
      </w:tblGrid>
      <w:tr w:rsidR="00FB61E2" w:rsidRPr="00AB07E2" w14:paraId="3D05C548" w14:textId="77777777" w:rsidTr="004E34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Borders>
              <w:bottom w:val="single" w:sz="12" w:space="0" w:color="00B0F0"/>
            </w:tcBorders>
            <w:shd w:val="clear" w:color="auto" w:fill="auto"/>
          </w:tcPr>
          <w:p w14:paraId="7493D3ED" w14:textId="77777777" w:rsidR="00FB61E2" w:rsidRPr="00AB07E2" w:rsidRDefault="00FB61E2">
            <w:pPr>
              <w:pStyle w:val="BodyText"/>
              <w:rPr>
                <w:noProof/>
                <w:sz w:val="20"/>
                <w:szCs w:val="20"/>
              </w:rPr>
            </w:pPr>
            <w:r w:rsidRPr="00AB07E2">
              <w:rPr>
                <w:noProof/>
                <w:sz w:val="20"/>
                <w:szCs w:val="20"/>
              </w:rPr>
              <w:t>Problem</w:t>
            </w:r>
          </w:p>
        </w:tc>
        <w:tc>
          <w:tcPr>
            <w:tcW w:w="892" w:type="pct"/>
            <w:tcBorders>
              <w:bottom w:val="single" w:sz="12" w:space="0" w:color="00B0F0"/>
            </w:tcBorders>
            <w:shd w:val="clear" w:color="auto" w:fill="auto"/>
          </w:tcPr>
          <w:p w14:paraId="66361292" w14:textId="77777777" w:rsidR="00FB61E2" w:rsidRPr="00AB07E2" w:rsidRDefault="00FB61E2">
            <w:pPr>
              <w:pStyle w:val="BodyText"/>
              <w:cnfStyle w:val="100000000000" w:firstRow="1"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Method</w:t>
            </w:r>
          </w:p>
        </w:tc>
        <w:tc>
          <w:tcPr>
            <w:tcW w:w="3592" w:type="pct"/>
            <w:tcBorders>
              <w:bottom w:val="single" w:sz="12" w:space="0" w:color="00B0F0"/>
            </w:tcBorders>
            <w:shd w:val="clear" w:color="auto" w:fill="auto"/>
          </w:tcPr>
          <w:p w14:paraId="43736566" w14:textId="77777777" w:rsidR="00FB61E2" w:rsidRPr="00AB07E2" w:rsidRDefault="00FB61E2">
            <w:pPr>
              <w:pStyle w:val="BodyText"/>
              <w:cnfStyle w:val="100000000000" w:firstRow="1"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Main conclusion</w:t>
            </w:r>
          </w:p>
        </w:tc>
      </w:tr>
      <w:tr w:rsidR="00FB61E2" w:rsidRPr="00AB07E2" w14:paraId="24F362B4" w14:textId="77777777" w:rsidTr="00E211DE">
        <w:tc>
          <w:tcPr>
            <w:cnfStyle w:val="001000000000" w:firstRow="0" w:lastRow="0" w:firstColumn="1" w:lastColumn="0" w:oddVBand="0" w:evenVBand="0" w:oddHBand="0" w:evenHBand="0" w:firstRowFirstColumn="0" w:firstRowLastColumn="0" w:lastRowFirstColumn="0" w:lastRowLastColumn="0"/>
            <w:tcW w:w="516" w:type="pct"/>
            <w:tcBorders>
              <w:top w:val="single" w:sz="12" w:space="0" w:color="00B0F0"/>
            </w:tcBorders>
          </w:tcPr>
          <w:p w14:paraId="216E4315" w14:textId="77777777" w:rsidR="00FB61E2" w:rsidRPr="00AB07E2" w:rsidRDefault="00FB61E2">
            <w:pPr>
              <w:pStyle w:val="BodyText"/>
              <w:rPr>
                <w:noProof/>
                <w:sz w:val="20"/>
                <w:szCs w:val="20"/>
              </w:rPr>
            </w:pPr>
            <w:r w:rsidRPr="00AB07E2">
              <w:rPr>
                <w:noProof/>
                <w:sz w:val="20"/>
                <w:szCs w:val="20"/>
              </w:rPr>
              <w:t>P1</w:t>
            </w:r>
          </w:p>
        </w:tc>
        <w:tc>
          <w:tcPr>
            <w:tcW w:w="892" w:type="pct"/>
            <w:tcBorders>
              <w:top w:val="single" w:sz="12" w:space="0" w:color="00B0F0"/>
            </w:tcBorders>
            <w:shd w:val="clear" w:color="auto" w:fill="auto"/>
          </w:tcPr>
          <w:p w14:paraId="1E1053FF"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MAUT</w:t>
            </w:r>
          </w:p>
        </w:tc>
        <w:tc>
          <w:tcPr>
            <w:tcW w:w="3592" w:type="pct"/>
            <w:tcBorders>
              <w:top w:val="single" w:sz="12" w:space="0" w:color="00B0F0"/>
            </w:tcBorders>
            <w:shd w:val="clear" w:color="auto" w:fill="auto"/>
          </w:tcPr>
          <w:p w14:paraId="73732F88" w14:textId="01C3313B"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PO1</w:t>
            </w:r>
            <w:r w:rsidR="00275E1D">
              <w:rPr>
                <w:noProof/>
                <w:sz w:val="20"/>
                <w:szCs w:val="20"/>
              </w:rPr>
              <w:t>-</w:t>
            </w:r>
            <w:r w:rsidRPr="00AB07E2">
              <w:rPr>
                <w:noProof/>
                <w:sz w:val="20"/>
                <w:szCs w:val="20"/>
              </w:rPr>
              <w:t>B and PO1</w:t>
            </w:r>
            <w:r w:rsidR="00275E1D">
              <w:rPr>
                <w:noProof/>
                <w:sz w:val="20"/>
                <w:szCs w:val="20"/>
              </w:rPr>
              <w:t>-</w:t>
            </w:r>
            <w:r w:rsidRPr="00AB07E2">
              <w:rPr>
                <w:noProof/>
                <w:sz w:val="20"/>
                <w:szCs w:val="20"/>
              </w:rPr>
              <w:t>C are strongest, especially under P1 weights.</w:t>
            </w:r>
          </w:p>
        </w:tc>
      </w:tr>
      <w:tr w:rsidR="00FB61E2" w:rsidRPr="00AB07E2" w14:paraId="105834DF" w14:textId="77777777" w:rsidTr="004E343F">
        <w:tc>
          <w:tcPr>
            <w:cnfStyle w:val="001000000000" w:firstRow="0" w:lastRow="0" w:firstColumn="1" w:lastColumn="0" w:oddVBand="0" w:evenVBand="0" w:oddHBand="0" w:evenHBand="0" w:firstRowFirstColumn="0" w:firstRowLastColumn="0" w:lastRowFirstColumn="0" w:lastRowLastColumn="0"/>
            <w:tcW w:w="516" w:type="pct"/>
          </w:tcPr>
          <w:p w14:paraId="281E5541" w14:textId="77777777" w:rsidR="00FB61E2" w:rsidRPr="00AB07E2" w:rsidRDefault="00FB61E2">
            <w:pPr>
              <w:pStyle w:val="BodyText"/>
              <w:rPr>
                <w:noProof/>
                <w:sz w:val="20"/>
                <w:szCs w:val="20"/>
              </w:rPr>
            </w:pPr>
            <w:r w:rsidRPr="00AB07E2">
              <w:rPr>
                <w:noProof/>
                <w:sz w:val="20"/>
                <w:szCs w:val="20"/>
              </w:rPr>
              <w:t>P1</w:t>
            </w:r>
          </w:p>
        </w:tc>
        <w:tc>
          <w:tcPr>
            <w:tcW w:w="892" w:type="pct"/>
            <w:shd w:val="clear" w:color="auto" w:fill="auto"/>
          </w:tcPr>
          <w:p w14:paraId="2EB96B7E"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PROMETHEE II</w:t>
            </w:r>
          </w:p>
        </w:tc>
        <w:tc>
          <w:tcPr>
            <w:tcW w:w="3592" w:type="pct"/>
            <w:shd w:val="clear" w:color="auto" w:fill="auto"/>
          </w:tcPr>
          <w:p w14:paraId="1A5D8230" w14:textId="34783655"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PO1</w:t>
            </w:r>
            <w:r w:rsidR="00275E1D">
              <w:rPr>
                <w:noProof/>
                <w:sz w:val="20"/>
                <w:szCs w:val="20"/>
              </w:rPr>
              <w:t>-</w:t>
            </w:r>
            <w:r w:rsidRPr="00AB07E2">
              <w:rPr>
                <w:noProof/>
                <w:sz w:val="20"/>
                <w:szCs w:val="20"/>
              </w:rPr>
              <w:t>B and PO1</w:t>
            </w:r>
            <w:r w:rsidR="00275E1D">
              <w:rPr>
                <w:noProof/>
                <w:sz w:val="20"/>
                <w:szCs w:val="20"/>
              </w:rPr>
              <w:t>-</w:t>
            </w:r>
            <w:r w:rsidRPr="00AB07E2">
              <w:rPr>
                <w:noProof/>
                <w:sz w:val="20"/>
                <w:szCs w:val="20"/>
              </w:rPr>
              <w:t>C clearly ahead; PO1</w:t>
            </w:r>
            <w:r w:rsidR="00275E1D">
              <w:rPr>
                <w:noProof/>
                <w:sz w:val="20"/>
                <w:szCs w:val="20"/>
              </w:rPr>
              <w:t>-</w:t>
            </w:r>
            <w:r w:rsidRPr="00AB07E2">
              <w:rPr>
                <w:noProof/>
                <w:sz w:val="20"/>
                <w:szCs w:val="20"/>
              </w:rPr>
              <w:t>A only modest improvement.</w:t>
            </w:r>
          </w:p>
        </w:tc>
      </w:tr>
      <w:tr w:rsidR="00FB61E2" w:rsidRPr="00585359" w14:paraId="450C30DA" w14:textId="77777777" w:rsidTr="004E343F">
        <w:tc>
          <w:tcPr>
            <w:cnfStyle w:val="001000000000" w:firstRow="0" w:lastRow="0" w:firstColumn="1" w:lastColumn="0" w:oddVBand="0" w:evenVBand="0" w:oddHBand="0" w:evenHBand="0" w:firstRowFirstColumn="0" w:firstRowLastColumn="0" w:lastRowFirstColumn="0" w:lastRowLastColumn="0"/>
            <w:tcW w:w="516" w:type="pct"/>
            <w:tcBorders>
              <w:bottom w:val="single" w:sz="2" w:space="0" w:color="00B0F0"/>
            </w:tcBorders>
          </w:tcPr>
          <w:p w14:paraId="22F102CA" w14:textId="77777777" w:rsidR="00FB61E2" w:rsidRPr="00AB07E2" w:rsidRDefault="00FB61E2">
            <w:pPr>
              <w:pStyle w:val="BodyText"/>
              <w:rPr>
                <w:noProof/>
                <w:sz w:val="20"/>
                <w:szCs w:val="20"/>
              </w:rPr>
            </w:pPr>
            <w:r w:rsidRPr="00AB07E2">
              <w:rPr>
                <w:noProof/>
                <w:sz w:val="20"/>
                <w:szCs w:val="20"/>
              </w:rPr>
              <w:t>P1</w:t>
            </w:r>
          </w:p>
        </w:tc>
        <w:tc>
          <w:tcPr>
            <w:tcW w:w="892" w:type="pct"/>
            <w:tcBorders>
              <w:bottom w:val="single" w:sz="2" w:space="0" w:color="00B0F0"/>
            </w:tcBorders>
            <w:shd w:val="clear" w:color="auto" w:fill="auto"/>
          </w:tcPr>
          <w:p w14:paraId="1304C691"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ELECTRE III</w:t>
            </w:r>
          </w:p>
        </w:tc>
        <w:tc>
          <w:tcPr>
            <w:tcW w:w="3592" w:type="pct"/>
            <w:tcBorders>
              <w:bottom w:val="single" w:sz="2" w:space="0" w:color="00B0F0"/>
            </w:tcBorders>
            <w:shd w:val="clear" w:color="auto" w:fill="auto"/>
          </w:tcPr>
          <w:p w14:paraId="39427195" w14:textId="0ABC34F7" w:rsidR="00FB61E2" w:rsidRPr="008D0BAC"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lang w:val="it-IT"/>
              </w:rPr>
            </w:pPr>
            <w:r w:rsidRPr="008D0BAC">
              <w:rPr>
                <w:noProof/>
                <w:sz w:val="20"/>
                <w:szCs w:val="20"/>
                <w:lang w:val="it-IT"/>
              </w:rPr>
              <w:t xml:space="preserve">Ranking: </w:t>
            </w:r>
            <w:r w:rsidR="00671470" w:rsidRPr="00671470">
              <w:rPr>
                <w:noProof/>
                <w:sz w:val="20"/>
                <w:szCs w:val="20"/>
                <w:lang w:val="it-IT"/>
              </w:rPr>
              <w:t>PO1-B &gt; PO1-C &gt; PO1-A = baseline</w:t>
            </w:r>
          </w:p>
        </w:tc>
      </w:tr>
      <w:tr w:rsidR="00FB61E2" w:rsidRPr="00AB07E2" w14:paraId="073E6819" w14:textId="77777777" w:rsidTr="004E343F">
        <w:tc>
          <w:tcPr>
            <w:cnfStyle w:val="001000000000" w:firstRow="0" w:lastRow="0" w:firstColumn="1" w:lastColumn="0" w:oddVBand="0" w:evenVBand="0" w:oddHBand="0" w:evenHBand="0" w:firstRowFirstColumn="0" w:firstRowLastColumn="0" w:lastRowFirstColumn="0" w:lastRowLastColumn="0"/>
            <w:tcW w:w="516" w:type="pct"/>
            <w:tcBorders>
              <w:top w:val="single" w:sz="2" w:space="0" w:color="00B0F0"/>
            </w:tcBorders>
            <w:shd w:val="clear" w:color="auto" w:fill="F2F2F2" w:themeFill="background1" w:themeFillShade="F2"/>
          </w:tcPr>
          <w:p w14:paraId="7FBAFF39" w14:textId="77777777" w:rsidR="00FB61E2" w:rsidRPr="00AB07E2" w:rsidRDefault="00FB61E2">
            <w:pPr>
              <w:pStyle w:val="BodyText"/>
              <w:rPr>
                <w:noProof/>
                <w:sz w:val="20"/>
                <w:szCs w:val="20"/>
              </w:rPr>
            </w:pPr>
            <w:r w:rsidRPr="00AB07E2">
              <w:rPr>
                <w:noProof/>
                <w:sz w:val="20"/>
                <w:szCs w:val="20"/>
              </w:rPr>
              <w:t>P2</w:t>
            </w:r>
          </w:p>
        </w:tc>
        <w:tc>
          <w:tcPr>
            <w:tcW w:w="892" w:type="pct"/>
            <w:tcBorders>
              <w:top w:val="single" w:sz="2" w:space="0" w:color="00B0F0"/>
            </w:tcBorders>
            <w:shd w:val="clear" w:color="auto" w:fill="auto"/>
          </w:tcPr>
          <w:p w14:paraId="43DE1A5A"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MAUT</w:t>
            </w:r>
          </w:p>
        </w:tc>
        <w:tc>
          <w:tcPr>
            <w:tcW w:w="3592" w:type="pct"/>
            <w:tcBorders>
              <w:top w:val="single" w:sz="2" w:space="0" w:color="00B0F0"/>
            </w:tcBorders>
            <w:shd w:val="clear" w:color="auto" w:fill="auto"/>
          </w:tcPr>
          <w:p w14:paraId="3AA5D739" w14:textId="02DB177B"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Under P2 weights, PO2</w:t>
            </w:r>
            <w:r w:rsidR="00275E1D">
              <w:rPr>
                <w:noProof/>
                <w:sz w:val="20"/>
                <w:szCs w:val="20"/>
              </w:rPr>
              <w:t>-</w:t>
            </w:r>
            <w:r w:rsidRPr="00AB07E2">
              <w:rPr>
                <w:noProof/>
                <w:sz w:val="20"/>
                <w:szCs w:val="20"/>
              </w:rPr>
              <w:t>B and PO2</w:t>
            </w:r>
            <w:r w:rsidR="00275E1D">
              <w:rPr>
                <w:noProof/>
                <w:sz w:val="20"/>
                <w:szCs w:val="20"/>
              </w:rPr>
              <w:t>-</w:t>
            </w:r>
            <w:r w:rsidRPr="00AB07E2">
              <w:rPr>
                <w:noProof/>
                <w:sz w:val="20"/>
                <w:szCs w:val="20"/>
              </w:rPr>
              <w:t>C are strongest</w:t>
            </w:r>
          </w:p>
        </w:tc>
      </w:tr>
      <w:tr w:rsidR="00FB61E2" w:rsidRPr="00AB07E2" w14:paraId="6C847FE2" w14:textId="77777777" w:rsidTr="00682535">
        <w:tc>
          <w:tcPr>
            <w:cnfStyle w:val="001000000000" w:firstRow="0" w:lastRow="0" w:firstColumn="1" w:lastColumn="0" w:oddVBand="0" w:evenVBand="0" w:oddHBand="0" w:evenHBand="0" w:firstRowFirstColumn="0" w:firstRowLastColumn="0" w:lastRowFirstColumn="0" w:lastRowLastColumn="0"/>
            <w:tcW w:w="516" w:type="pct"/>
            <w:shd w:val="clear" w:color="auto" w:fill="F2F2F2" w:themeFill="background1" w:themeFillShade="F2"/>
          </w:tcPr>
          <w:p w14:paraId="002C3804" w14:textId="77777777" w:rsidR="00FB61E2" w:rsidRPr="00AB07E2" w:rsidRDefault="00FB61E2">
            <w:pPr>
              <w:pStyle w:val="BodyText"/>
              <w:rPr>
                <w:noProof/>
                <w:sz w:val="20"/>
                <w:szCs w:val="20"/>
              </w:rPr>
            </w:pPr>
            <w:r w:rsidRPr="00AB07E2">
              <w:rPr>
                <w:noProof/>
                <w:sz w:val="20"/>
                <w:szCs w:val="20"/>
              </w:rPr>
              <w:t>P2</w:t>
            </w:r>
          </w:p>
        </w:tc>
        <w:tc>
          <w:tcPr>
            <w:tcW w:w="892" w:type="pct"/>
            <w:shd w:val="clear" w:color="auto" w:fill="auto"/>
          </w:tcPr>
          <w:p w14:paraId="3B6D9605"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PROMETHEE II</w:t>
            </w:r>
          </w:p>
        </w:tc>
        <w:tc>
          <w:tcPr>
            <w:tcW w:w="3592" w:type="pct"/>
            <w:shd w:val="clear" w:color="auto" w:fill="auto"/>
          </w:tcPr>
          <w:p w14:paraId="762109DE" w14:textId="35B2BDA6"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PO2</w:t>
            </w:r>
            <w:r w:rsidR="00275E1D">
              <w:rPr>
                <w:noProof/>
                <w:sz w:val="20"/>
                <w:szCs w:val="20"/>
              </w:rPr>
              <w:t>-</w:t>
            </w:r>
            <w:r w:rsidRPr="00AB07E2">
              <w:rPr>
                <w:noProof/>
                <w:sz w:val="20"/>
                <w:szCs w:val="20"/>
              </w:rPr>
              <w:t>C best, PO2</w:t>
            </w:r>
            <w:r w:rsidR="00275E1D">
              <w:rPr>
                <w:noProof/>
                <w:sz w:val="20"/>
                <w:szCs w:val="20"/>
              </w:rPr>
              <w:t>-</w:t>
            </w:r>
            <w:r w:rsidRPr="00AB07E2">
              <w:rPr>
                <w:noProof/>
                <w:sz w:val="20"/>
                <w:szCs w:val="20"/>
              </w:rPr>
              <w:t>A second; PO2</w:t>
            </w:r>
            <w:r w:rsidR="00275E1D">
              <w:rPr>
                <w:noProof/>
                <w:sz w:val="20"/>
                <w:szCs w:val="20"/>
              </w:rPr>
              <w:t>-</w:t>
            </w:r>
            <w:r w:rsidRPr="00AB07E2">
              <w:rPr>
                <w:noProof/>
                <w:sz w:val="20"/>
                <w:szCs w:val="20"/>
              </w:rPr>
              <w:t>B weak, close to baseline under P2 weights</w:t>
            </w:r>
          </w:p>
        </w:tc>
      </w:tr>
      <w:tr w:rsidR="00FB61E2" w:rsidRPr="00AB07E2" w14:paraId="278EB5E5" w14:textId="77777777" w:rsidTr="00682535">
        <w:tc>
          <w:tcPr>
            <w:cnfStyle w:val="001000000000" w:firstRow="0" w:lastRow="0" w:firstColumn="1" w:lastColumn="0" w:oddVBand="0" w:evenVBand="0" w:oddHBand="0" w:evenHBand="0" w:firstRowFirstColumn="0" w:firstRowLastColumn="0" w:lastRowFirstColumn="0" w:lastRowLastColumn="0"/>
            <w:tcW w:w="516" w:type="pct"/>
            <w:shd w:val="clear" w:color="auto" w:fill="F2F2F2" w:themeFill="background1" w:themeFillShade="F2"/>
          </w:tcPr>
          <w:p w14:paraId="322AF338" w14:textId="77777777" w:rsidR="00FB61E2" w:rsidRPr="00AB07E2" w:rsidRDefault="00FB61E2">
            <w:pPr>
              <w:pStyle w:val="BodyText"/>
              <w:rPr>
                <w:noProof/>
                <w:sz w:val="20"/>
                <w:szCs w:val="20"/>
              </w:rPr>
            </w:pPr>
            <w:r w:rsidRPr="00AB07E2">
              <w:rPr>
                <w:noProof/>
                <w:sz w:val="20"/>
                <w:szCs w:val="20"/>
              </w:rPr>
              <w:t>P2</w:t>
            </w:r>
          </w:p>
        </w:tc>
        <w:tc>
          <w:tcPr>
            <w:tcW w:w="892" w:type="pct"/>
            <w:shd w:val="clear" w:color="auto" w:fill="auto"/>
          </w:tcPr>
          <w:p w14:paraId="34C17766" w14:textId="77777777"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ELECTRE III</w:t>
            </w:r>
          </w:p>
        </w:tc>
        <w:tc>
          <w:tcPr>
            <w:tcW w:w="3592" w:type="pct"/>
            <w:shd w:val="clear" w:color="auto" w:fill="auto"/>
          </w:tcPr>
          <w:p w14:paraId="7D0E458A" w14:textId="7148AEE9" w:rsidR="00FB61E2" w:rsidRPr="00AB07E2" w:rsidRDefault="00FB61E2">
            <w:pPr>
              <w:pStyle w:val="BodyText"/>
              <w:cnfStyle w:val="000000000000" w:firstRow="0" w:lastRow="0" w:firstColumn="0" w:lastColumn="0" w:oddVBand="0" w:evenVBand="0" w:oddHBand="0" w:evenHBand="0" w:firstRowFirstColumn="0" w:firstRowLastColumn="0" w:lastRowFirstColumn="0" w:lastRowLastColumn="0"/>
              <w:rPr>
                <w:noProof/>
                <w:sz w:val="20"/>
                <w:szCs w:val="20"/>
              </w:rPr>
            </w:pPr>
            <w:r w:rsidRPr="00AB07E2">
              <w:rPr>
                <w:noProof/>
                <w:sz w:val="20"/>
                <w:szCs w:val="20"/>
              </w:rPr>
              <w:t>PO2</w:t>
            </w:r>
            <w:r w:rsidR="00275E1D">
              <w:rPr>
                <w:noProof/>
                <w:sz w:val="20"/>
                <w:szCs w:val="20"/>
              </w:rPr>
              <w:t>-</w:t>
            </w:r>
            <w:r w:rsidRPr="00AB07E2">
              <w:rPr>
                <w:noProof/>
                <w:sz w:val="20"/>
                <w:szCs w:val="20"/>
              </w:rPr>
              <w:t>C clearly first; PO2</w:t>
            </w:r>
            <w:r w:rsidR="00275E1D">
              <w:rPr>
                <w:noProof/>
                <w:sz w:val="20"/>
                <w:szCs w:val="20"/>
              </w:rPr>
              <w:t>-</w:t>
            </w:r>
            <w:r w:rsidRPr="00AB07E2">
              <w:rPr>
                <w:noProof/>
                <w:sz w:val="20"/>
                <w:szCs w:val="20"/>
              </w:rPr>
              <w:t xml:space="preserve">A </w:t>
            </w:r>
            <w:r w:rsidR="00B37A94">
              <w:rPr>
                <w:noProof/>
                <w:sz w:val="20"/>
                <w:szCs w:val="20"/>
              </w:rPr>
              <w:t>and</w:t>
            </w:r>
            <w:r w:rsidRPr="00AB07E2">
              <w:rPr>
                <w:noProof/>
                <w:sz w:val="20"/>
                <w:szCs w:val="20"/>
              </w:rPr>
              <w:t xml:space="preserve"> PO2</w:t>
            </w:r>
            <w:r w:rsidR="00275E1D">
              <w:rPr>
                <w:noProof/>
                <w:sz w:val="20"/>
                <w:szCs w:val="20"/>
              </w:rPr>
              <w:t>-</w:t>
            </w:r>
            <w:r w:rsidRPr="00AB07E2">
              <w:rPr>
                <w:noProof/>
                <w:sz w:val="20"/>
                <w:szCs w:val="20"/>
              </w:rPr>
              <w:t>B at best marginal over baseline</w:t>
            </w:r>
          </w:p>
        </w:tc>
      </w:tr>
    </w:tbl>
    <w:p w14:paraId="28E4E849" w14:textId="77777777" w:rsidR="00FB61E2" w:rsidRDefault="00FB61E2" w:rsidP="00FB61E2">
      <w:pPr>
        <w:pStyle w:val="BodyText"/>
        <w:ind w:left="480"/>
        <w:rPr>
          <w:b/>
          <w:bCs/>
          <w:noProof/>
        </w:rPr>
      </w:pPr>
    </w:p>
    <w:p w14:paraId="024569BC" w14:textId="05C96BAA" w:rsidR="00D744D6" w:rsidRDefault="00021A83" w:rsidP="00D744D6">
      <w:pPr>
        <w:rPr>
          <w:b/>
          <w:bCs/>
          <w:i/>
          <w:iCs/>
          <w:noProof/>
        </w:rPr>
      </w:pPr>
      <w:r>
        <w:rPr>
          <w:b/>
          <w:bCs/>
          <w:i/>
          <w:iCs/>
          <w:noProof/>
        </w:rPr>
        <w:t>Problem 1</w:t>
      </w:r>
    </w:p>
    <w:p w14:paraId="5F53A698" w14:textId="185C93FC" w:rsidR="0049599F" w:rsidRDefault="0049599F" w:rsidP="0049599F">
      <w:pPr>
        <w:pStyle w:val="BodyText"/>
        <w:rPr>
          <w:noProof/>
        </w:rPr>
      </w:pPr>
      <w:r>
        <w:rPr>
          <w:noProof/>
        </w:rPr>
        <w:t>For Problem 1, all three options (PO1</w:t>
      </w:r>
      <w:r w:rsidR="0051101E">
        <w:rPr>
          <w:noProof/>
        </w:rPr>
        <w:t>-</w:t>
      </w:r>
      <w:r>
        <w:rPr>
          <w:noProof/>
        </w:rPr>
        <w:t>A</w:t>
      </w:r>
      <w:r w:rsidR="0051101E">
        <w:rPr>
          <w:noProof/>
        </w:rPr>
        <w:t>/B/</w:t>
      </w:r>
      <w:r>
        <w:rPr>
          <w:noProof/>
        </w:rPr>
        <w:t xml:space="preserve">C) deliver a clear improvement over the baseline in </w:t>
      </w:r>
      <w:r w:rsidR="0051101E">
        <w:rPr>
          <w:noProof/>
        </w:rPr>
        <w:t xml:space="preserve">all three methods, namely, </w:t>
      </w:r>
      <w:r>
        <w:rPr>
          <w:noProof/>
        </w:rPr>
        <w:t>MAUT, PROMETHEE II and ELECTRE III. Under equal weighting, MAUT shows that all options achieve positive total scores, while the baseline remains negative. When Problem 1 weights are applied the differences between options become more pronounced. In this configuration, PO1</w:t>
      </w:r>
      <w:r w:rsidR="00393051">
        <w:rPr>
          <w:noProof/>
        </w:rPr>
        <w:t>-</w:t>
      </w:r>
      <w:r>
        <w:rPr>
          <w:noProof/>
        </w:rPr>
        <w:t>B and PO1</w:t>
      </w:r>
      <w:r w:rsidR="00393051">
        <w:rPr>
          <w:noProof/>
        </w:rPr>
        <w:t>-</w:t>
      </w:r>
      <w:r>
        <w:rPr>
          <w:noProof/>
        </w:rPr>
        <w:t>C clearly outperform PO1</w:t>
      </w:r>
      <w:r w:rsidR="00393051">
        <w:rPr>
          <w:noProof/>
        </w:rPr>
        <w:t>-</w:t>
      </w:r>
      <w:r>
        <w:rPr>
          <w:noProof/>
        </w:rPr>
        <w:t>A, and the baseline remains the weakest.</w:t>
      </w:r>
    </w:p>
    <w:p w14:paraId="272AEB8A" w14:textId="77777777" w:rsidR="0049599F" w:rsidRDefault="0049599F" w:rsidP="0049599F">
      <w:pPr>
        <w:pStyle w:val="BodyText"/>
        <w:rPr>
          <w:noProof/>
        </w:rPr>
      </w:pPr>
      <w:r>
        <w:rPr>
          <w:noProof/>
        </w:rPr>
        <w:t>Across the three methods, a consistent pattern emerges:</w:t>
      </w:r>
    </w:p>
    <w:p w14:paraId="349AE134" w14:textId="369D281D" w:rsidR="0049599F" w:rsidRDefault="0049599F" w:rsidP="00744B72">
      <w:pPr>
        <w:pStyle w:val="ListParagraph"/>
        <w:numPr>
          <w:ilvl w:val="0"/>
          <w:numId w:val="73"/>
        </w:numPr>
        <w:spacing w:after="80"/>
        <w:rPr>
          <w:noProof/>
        </w:rPr>
      </w:pPr>
      <w:r>
        <w:rPr>
          <w:noProof/>
        </w:rPr>
        <w:t>PO1</w:t>
      </w:r>
      <w:r w:rsidR="00393051">
        <w:rPr>
          <w:noProof/>
        </w:rPr>
        <w:t>-</w:t>
      </w:r>
      <w:r>
        <w:rPr>
          <w:noProof/>
        </w:rPr>
        <w:t>B (</w:t>
      </w:r>
      <w:r w:rsidR="00DA2CF4">
        <w:rPr>
          <w:noProof/>
        </w:rPr>
        <w:t>l</w:t>
      </w:r>
      <w:r w:rsidR="00D87E68" w:rsidRPr="00D87E68">
        <w:rPr>
          <w:noProof/>
        </w:rPr>
        <w:t xml:space="preserve">egislative and financial intervention enforced </w:t>
      </w:r>
      <w:r w:rsidR="00BD4048" w:rsidRPr="00D87E68">
        <w:rPr>
          <w:noProof/>
        </w:rPr>
        <w:t>nationally</w:t>
      </w:r>
      <w:r w:rsidR="00BD4048" w:rsidDel="00D87E68">
        <w:rPr>
          <w:noProof/>
        </w:rPr>
        <w:t>)</w:t>
      </w:r>
      <w:r>
        <w:rPr>
          <w:noProof/>
        </w:rPr>
        <w:t xml:space="preserve"> and PO1</w:t>
      </w:r>
      <w:r w:rsidR="00393051">
        <w:rPr>
          <w:noProof/>
        </w:rPr>
        <w:t>-</w:t>
      </w:r>
      <w:r>
        <w:rPr>
          <w:noProof/>
        </w:rPr>
        <w:t>C (</w:t>
      </w:r>
      <w:r w:rsidR="00DA2CF4">
        <w:rPr>
          <w:noProof/>
        </w:rPr>
        <w:t>l</w:t>
      </w:r>
      <w:r w:rsidR="00D87E68" w:rsidRPr="00D87E68">
        <w:rPr>
          <w:noProof/>
        </w:rPr>
        <w:t>egislative and financial intervention enforced at EU-</w:t>
      </w:r>
      <w:r w:rsidDel="00D87E68">
        <w:rPr>
          <w:noProof/>
        </w:rPr>
        <w:t>level</w:t>
      </w:r>
      <w:r>
        <w:rPr>
          <w:noProof/>
        </w:rPr>
        <w:t>) are the strongest options and both strongly dominate the baseline.</w:t>
      </w:r>
    </w:p>
    <w:p w14:paraId="34BE5A17" w14:textId="24C7247A" w:rsidR="0049599F" w:rsidRDefault="0049599F" w:rsidP="00744B72">
      <w:pPr>
        <w:pStyle w:val="ListParagraph"/>
        <w:numPr>
          <w:ilvl w:val="0"/>
          <w:numId w:val="73"/>
        </w:numPr>
        <w:rPr>
          <w:noProof/>
        </w:rPr>
      </w:pPr>
      <w:r>
        <w:rPr>
          <w:noProof/>
        </w:rPr>
        <w:t>PO1</w:t>
      </w:r>
      <w:r w:rsidR="00393051">
        <w:rPr>
          <w:noProof/>
        </w:rPr>
        <w:t>-</w:t>
      </w:r>
      <w:r>
        <w:rPr>
          <w:noProof/>
        </w:rPr>
        <w:t>A (collaborative framework) provides only a moderate improvement over the baseline: positive overall, but not comparable in magnitude to the more interventionist options.</w:t>
      </w:r>
    </w:p>
    <w:p w14:paraId="0592E1CD" w14:textId="77777777" w:rsidR="0049599F" w:rsidRDefault="0049599F" w:rsidP="0049599F">
      <w:pPr>
        <w:pStyle w:val="BodyText"/>
        <w:rPr>
          <w:noProof/>
        </w:rPr>
      </w:pPr>
      <w:r>
        <w:rPr>
          <w:noProof/>
        </w:rPr>
        <w:t>The baseline never outranks any option and is always clearly dominated in the outranking analyses.</w:t>
      </w:r>
    </w:p>
    <w:p w14:paraId="6EED26D9" w14:textId="77777777" w:rsidR="0049599F" w:rsidRDefault="0049599F" w:rsidP="0049599F">
      <w:pPr>
        <w:pStyle w:val="BodyText"/>
        <w:rPr>
          <w:noProof/>
        </w:rPr>
      </w:pPr>
      <w:r>
        <w:rPr>
          <w:noProof/>
        </w:rPr>
        <w:t xml:space="preserve">At </w:t>
      </w:r>
      <w:r w:rsidRPr="002624F9">
        <w:rPr>
          <w:b/>
          <w:noProof/>
        </w:rPr>
        <w:t>measure level</w:t>
      </w:r>
      <w:r>
        <w:rPr>
          <w:noProof/>
        </w:rPr>
        <w:t>:</w:t>
      </w:r>
    </w:p>
    <w:p w14:paraId="1AF84793" w14:textId="0C6B1B6B" w:rsidR="0049599F" w:rsidRDefault="0049599F" w:rsidP="00744B72">
      <w:pPr>
        <w:pStyle w:val="ListParagraph"/>
        <w:numPr>
          <w:ilvl w:val="0"/>
          <w:numId w:val="69"/>
        </w:numPr>
        <w:spacing w:after="80"/>
        <w:contextualSpacing w:val="0"/>
        <w:rPr>
          <w:noProof/>
        </w:rPr>
      </w:pPr>
      <w:r>
        <w:rPr>
          <w:noProof/>
        </w:rPr>
        <w:t>For PO1</w:t>
      </w:r>
      <w:r w:rsidR="00E01B41">
        <w:rPr>
          <w:noProof/>
        </w:rPr>
        <w:t>-</w:t>
      </w:r>
      <w:r>
        <w:rPr>
          <w:noProof/>
        </w:rPr>
        <w:t xml:space="preserve">A, PM3 (guidelines on sustainable data centres) is the main driver of performance, as it is the only measure that clearly turns the cost score positive under Problem 1 weights and contributes solidly to the total score. PM1 (Alliance working group) and PM2 (stakeholder forum) add small but consistent gains on </w:t>
      </w:r>
      <w:r w:rsidR="00215868">
        <w:rPr>
          <w:noProof/>
        </w:rPr>
        <w:t xml:space="preserve">effectiveness </w:t>
      </w:r>
      <w:r>
        <w:rPr>
          <w:noProof/>
        </w:rPr>
        <w:t>and social criteria but remain modest.</w:t>
      </w:r>
    </w:p>
    <w:p w14:paraId="41DE85E1" w14:textId="312BDEFD" w:rsidR="0049599F" w:rsidRDefault="0049599F" w:rsidP="00744B72">
      <w:pPr>
        <w:pStyle w:val="ListParagraph"/>
        <w:numPr>
          <w:ilvl w:val="0"/>
          <w:numId w:val="69"/>
        </w:numPr>
        <w:spacing w:after="80"/>
        <w:contextualSpacing w:val="0"/>
        <w:rPr>
          <w:noProof/>
        </w:rPr>
      </w:pPr>
      <w:r>
        <w:rPr>
          <w:noProof/>
        </w:rPr>
        <w:t>Within PO1</w:t>
      </w:r>
      <w:r w:rsidR="005E724E">
        <w:rPr>
          <w:noProof/>
        </w:rPr>
        <w:t>-</w:t>
      </w:r>
      <w:r>
        <w:rPr>
          <w:noProof/>
        </w:rPr>
        <w:t>B, performance is driven by PM4 (</w:t>
      </w:r>
      <w:r w:rsidR="00B710EF">
        <w:rPr>
          <w:noProof/>
        </w:rPr>
        <w:t>project facilitator for the roll-out of data centres</w:t>
      </w:r>
      <w:r>
        <w:rPr>
          <w:noProof/>
        </w:rPr>
        <w:t xml:space="preserve">) and PM5 (fast-track area identification). These measures combine improved cost outcomes with strong </w:t>
      </w:r>
      <w:r w:rsidR="00215868">
        <w:rPr>
          <w:noProof/>
        </w:rPr>
        <w:t>effectiveness</w:t>
      </w:r>
      <w:r>
        <w:rPr>
          <w:noProof/>
        </w:rPr>
        <w:t xml:space="preserve"> and therefore explain the option’s high overall score.</w:t>
      </w:r>
    </w:p>
    <w:p w14:paraId="10C2DA6A" w14:textId="7AF54656" w:rsidR="0049599F" w:rsidRDefault="0049599F" w:rsidP="00744B72">
      <w:pPr>
        <w:pStyle w:val="ListParagraph"/>
        <w:numPr>
          <w:ilvl w:val="0"/>
          <w:numId w:val="69"/>
        </w:numPr>
        <w:spacing w:after="80"/>
        <w:contextualSpacing w:val="0"/>
        <w:rPr>
          <w:noProof/>
        </w:rPr>
      </w:pPr>
      <w:r>
        <w:rPr>
          <w:noProof/>
        </w:rPr>
        <w:t>In PO1</w:t>
      </w:r>
      <w:r w:rsidR="00DD4571">
        <w:rPr>
          <w:noProof/>
        </w:rPr>
        <w:t>-</w:t>
      </w:r>
      <w:r>
        <w:rPr>
          <w:noProof/>
        </w:rPr>
        <w:t xml:space="preserve">C, all measures contribute positively, but PM10 (EU-level identification of fast-track areas) stands out, especially under Problem 1 weights, by delivering the best cost outcome in the package alongside strong </w:t>
      </w:r>
      <w:r w:rsidR="00215868">
        <w:rPr>
          <w:noProof/>
        </w:rPr>
        <w:t>effectiveness</w:t>
      </w:r>
      <w:r>
        <w:rPr>
          <w:noProof/>
        </w:rPr>
        <w:t xml:space="preserve">. PM8 (EU R&amp;D funding) and PM9 (EU deployment funding) generate clear </w:t>
      </w:r>
      <w:r w:rsidR="00DA2C46">
        <w:rPr>
          <w:noProof/>
        </w:rPr>
        <w:t>environmental</w:t>
      </w:r>
      <w:r w:rsidR="007E0B47">
        <w:rPr>
          <w:noProof/>
        </w:rPr>
        <w:t xml:space="preserve"> </w:t>
      </w:r>
      <w:r>
        <w:rPr>
          <w:noProof/>
        </w:rPr>
        <w:t xml:space="preserve">and social benefits </w:t>
      </w:r>
      <w:r w:rsidR="00DA2C46">
        <w:rPr>
          <w:noProof/>
        </w:rPr>
        <w:t xml:space="preserve">with a high effectiveness </w:t>
      </w:r>
      <w:r>
        <w:rPr>
          <w:noProof/>
        </w:rPr>
        <w:t xml:space="preserve">but retain slightly negative cost scores, reflecting </w:t>
      </w:r>
      <w:r w:rsidR="00DA2C46">
        <w:rPr>
          <w:noProof/>
        </w:rPr>
        <w:t>the associated cost</w:t>
      </w:r>
      <w:r>
        <w:rPr>
          <w:noProof/>
        </w:rPr>
        <w:t xml:space="preserve"> burdens.</w:t>
      </w:r>
    </w:p>
    <w:p w14:paraId="1E41C789" w14:textId="77777777" w:rsidR="0049599F" w:rsidRDefault="0049599F" w:rsidP="0049599F">
      <w:pPr>
        <w:pStyle w:val="BodyText"/>
        <w:rPr>
          <w:noProof/>
        </w:rPr>
      </w:pPr>
      <w:r w:rsidRPr="002624F9">
        <w:rPr>
          <w:b/>
          <w:noProof/>
        </w:rPr>
        <w:t>Stakeholder-specific results</w:t>
      </w:r>
      <w:r>
        <w:rPr>
          <w:noProof/>
        </w:rPr>
        <w:t xml:space="preserve"> show that all groups are better off than in the baseline for all options, but they differ in their preferred bundle:</w:t>
      </w:r>
    </w:p>
    <w:p w14:paraId="5C90A0FE" w14:textId="2E985172" w:rsidR="0049599F" w:rsidRDefault="0049599F" w:rsidP="00744B72">
      <w:pPr>
        <w:pStyle w:val="ListParagraph"/>
        <w:numPr>
          <w:ilvl w:val="0"/>
          <w:numId w:val="69"/>
        </w:numPr>
        <w:spacing w:after="80"/>
        <w:contextualSpacing w:val="0"/>
        <w:rPr>
          <w:noProof/>
        </w:rPr>
      </w:pPr>
      <w:r>
        <w:rPr>
          <w:noProof/>
        </w:rPr>
        <w:t>Economic operators favour PO1</w:t>
      </w:r>
      <w:r w:rsidR="00B7283C">
        <w:rPr>
          <w:noProof/>
        </w:rPr>
        <w:t>-</w:t>
      </w:r>
      <w:r>
        <w:rPr>
          <w:noProof/>
        </w:rPr>
        <w:t>B, with PO1</w:t>
      </w:r>
      <w:r w:rsidR="00B7283C">
        <w:rPr>
          <w:noProof/>
        </w:rPr>
        <w:t>-</w:t>
      </w:r>
      <w:r>
        <w:rPr>
          <w:noProof/>
        </w:rPr>
        <w:t xml:space="preserve">C close behind, driven by better cost and </w:t>
      </w:r>
      <w:r w:rsidR="00215868">
        <w:rPr>
          <w:noProof/>
        </w:rPr>
        <w:t xml:space="preserve">effectiveness </w:t>
      </w:r>
      <w:r>
        <w:rPr>
          <w:noProof/>
        </w:rPr>
        <w:t>outcomes.</w:t>
      </w:r>
    </w:p>
    <w:p w14:paraId="337D2264" w14:textId="26044CB8" w:rsidR="0049599F" w:rsidRDefault="0049599F" w:rsidP="00744B72">
      <w:pPr>
        <w:pStyle w:val="ListParagraph"/>
        <w:numPr>
          <w:ilvl w:val="0"/>
          <w:numId w:val="69"/>
        </w:numPr>
        <w:spacing w:after="80"/>
        <w:contextualSpacing w:val="0"/>
        <w:rPr>
          <w:noProof/>
        </w:rPr>
      </w:pPr>
      <w:r>
        <w:rPr>
          <w:noProof/>
        </w:rPr>
        <w:t xml:space="preserve">National public authorities </w:t>
      </w:r>
      <w:r w:rsidR="00BB711D">
        <w:rPr>
          <w:noProof/>
        </w:rPr>
        <w:t xml:space="preserve">also </w:t>
      </w:r>
      <w:r>
        <w:rPr>
          <w:noProof/>
        </w:rPr>
        <w:t>obtain the highest scores under PO1</w:t>
      </w:r>
      <w:r w:rsidR="00DD49AD">
        <w:rPr>
          <w:noProof/>
        </w:rPr>
        <w:t>-</w:t>
      </w:r>
      <w:r w:rsidR="00BB711D">
        <w:rPr>
          <w:noProof/>
        </w:rPr>
        <w:t>B</w:t>
      </w:r>
      <w:r>
        <w:rPr>
          <w:noProof/>
        </w:rPr>
        <w:t>, followed by PO1</w:t>
      </w:r>
      <w:r w:rsidR="00DD49AD">
        <w:rPr>
          <w:noProof/>
        </w:rPr>
        <w:t>-</w:t>
      </w:r>
      <w:r w:rsidR="00BB711D">
        <w:rPr>
          <w:noProof/>
        </w:rPr>
        <w:t>C</w:t>
      </w:r>
      <w:r>
        <w:rPr>
          <w:noProof/>
        </w:rPr>
        <w:t>; PO1</w:t>
      </w:r>
      <w:r w:rsidR="00480595">
        <w:rPr>
          <w:noProof/>
        </w:rPr>
        <w:t>-</w:t>
      </w:r>
      <w:r>
        <w:rPr>
          <w:noProof/>
        </w:rPr>
        <w:t xml:space="preserve">A is positive but less attractive. Improvements for authorities arise mainly from better cost outcomes relative to the baseline and small social and environmental gains, rather than from direct </w:t>
      </w:r>
      <w:r w:rsidR="00BB711D">
        <w:rPr>
          <w:noProof/>
        </w:rPr>
        <w:t>effectiveness</w:t>
      </w:r>
      <w:r>
        <w:rPr>
          <w:noProof/>
        </w:rPr>
        <w:t>.</w:t>
      </w:r>
    </w:p>
    <w:p w14:paraId="629D224E" w14:textId="3867B312" w:rsidR="0049599F" w:rsidRDefault="00DD49AD" w:rsidP="00744B72">
      <w:pPr>
        <w:pStyle w:val="ListParagraph"/>
        <w:numPr>
          <w:ilvl w:val="0"/>
          <w:numId w:val="69"/>
        </w:numPr>
        <w:spacing w:after="80"/>
        <w:contextualSpacing w:val="0"/>
        <w:rPr>
          <w:noProof/>
        </w:rPr>
      </w:pPr>
      <w:r>
        <w:rPr>
          <w:noProof/>
        </w:rPr>
        <w:t>CSPs</w:t>
      </w:r>
      <w:r w:rsidR="0049599F">
        <w:rPr>
          <w:noProof/>
        </w:rPr>
        <w:t xml:space="preserve"> and </w:t>
      </w:r>
      <w:r w:rsidR="00506556">
        <w:rPr>
          <w:noProof/>
        </w:rPr>
        <w:t>AI service providers</w:t>
      </w:r>
      <w:r w:rsidR="0049599F">
        <w:rPr>
          <w:noProof/>
        </w:rPr>
        <w:t xml:space="preserve"> see substantial improvements under all options but show a clear preference for PO1</w:t>
      </w:r>
      <w:r w:rsidR="00003007">
        <w:rPr>
          <w:noProof/>
        </w:rPr>
        <w:t>-</w:t>
      </w:r>
      <w:r w:rsidR="0049599F">
        <w:rPr>
          <w:noProof/>
        </w:rPr>
        <w:t>B, particularly when Problem</w:t>
      </w:r>
      <w:r w:rsidR="00003007">
        <w:rPr>
          <w:noProof/>
        </w:rPr>
        <w:t xml:space="preserve"> </w:t>
      </w:r>
      <w:r w:rsidR="0049599F">
        <w:rPr>
          <w:noProof/>
        </w:rPr>
        <w:t>1 weights are applied, reflecting the importance of streamlined permitting and deployment-oriented measures.</w:t>
      </w:r>
    </w:p>
    <w:p w14:paraId="4139EB38" w14:textId="304BEAEA" w:rsidR="0049599F" w:rsidRDefault="0049599F" w:rsidP="00744B72">
      <w:pPr>
        <w:pStyle w:val="ListParagraph"/>
        <w:numPr>
          <w:ilvl w:val="0"/>
          <w:numId w:val="69"/>
        </w:numPr>
        <w:spacing w:after="80"/>
        <w:contextualSpacing w:val="0"/>
        <w:rPr>
          <w:noProof/>
        </w:rPr>
      </w:pPr>
      <w:r>
        <w:rPr>
          <w:noProof/>
        </w:rPr>
        <w:t>SMEs benefit substantially from all options relative to the baseline, but PO1</w:t>
      </w:r>
      <w:r w:rsidR="00D10D87">
        <w:rPr>
          <w:noProof/>
        </w:rPr>
        <w:t>-</w:t>
      </w:r>
      <w:r w:rsidR="00BB711D">
        <w:rPr>
          <w:noProof/>
        </w:rPr>
        <w:t xml:space="preserve">B </w:t>
      </w:r>
      <w:r>
        <w:rPr>
          <w:noProof/>
        </w:rPr>
        <w:t xml:space="preserve">is the most favourable bundle, as it combines improved costs with higher </w:t>
      </w:r>
      <w:r w:rsidR="00215868">
        <w:rPr>
          <w:noProof/>
        </w:rPr>
        <w:t xml:space="preserve">effectiveness </w:t>
      </w:r>
      <w:r>
        <w:rPr>
          <w:noProof/>
        </w:rPr>
        <w:t>and social scores for this group.</w:t>
      </w:r>
    </w:p>
    <w:p w14:paraId="75A81D2D" w14:textId="23A5C9EA" w:rsidR="002A7E13" w:rsidRDefault="0049599F" w:rsidP="0049599F">
      <w:pPr>
        <w:pStyle w:val="BodyText"/>
        <w:rPr>
          <w:noProof/>
        </w:rPr>
      </w:pPr>
      <w:r>
        <w:rPr>
          <w:noProof/>
        </w:rPr>
        <w:t>The evidence for Problem 1 suggests that PO1</w:t>
      </w:r>
      <w:r w:rsidR="005C459B">
        <w:rPr>
          <w:noProof/>
        </w:rPr>
        <w:t>-</w:t>
      </w:r>
      <w:r>
        <w:rPr>
          <w:noProof/>
        </w:rPr>
        <w:t>B is the most attractive option when priority is given to deployment and cost efficiency, while PO1</w:t>
      </w:r>
      <w:r w:rsidR="005C459B">
        <w:rPr>
          <w:noProof/>
        </w:rPr>
        <w:t>-</w:t>
      </w:r>
      <w:r>
        <w:rPr>
          <w:noProof/>
        </w:rPr>
        <w:t xml:space="preserve">C </w:t>
      </w:r>
      <w:r w:rsidR="00BB711D">
        <w:rPr>
          <w:noProof/>
        </w:rPr>
        <w:t xml:space="preserve">is favoured when it comes to social and environmental </w:t>
      </w:r>
      <w:r>
        <w:rPr>
          <w:noProof/>
        </w:rPr>
        <w:t>benefits, at the expense of somewhat higher perceived cost intensity in EU-level funding measures. PO1</w:t>
      </w:r>
      <w:r w:rsidR="00A94337">
        <w:rPr>
          <w:noProof/>
        </w:rPr>
        <w:t>-</w:t>
      </w:r>
      <w:r>
        <w:rPr>
          <w:noProof/>
        </w:rPr>
        <w:t>A offers a modest, low-intensity improvement but does not match the performance of the more ambitious packages.</w:t>
      </w:r>
    </w:p>
    <w:p w14:paraId="36087401" w14:textId="6F25D159" w:rsidR="00021A83" w:rsidRDefault="00021A83" w:rsidP="00D744D6">
      <w:pPr>
        <w:rPr>
          <w:b/>
          <w:bCs/>
          <w:i/>
          <w:iCs/>
          <w:noProof/>
        </w:rPr>
      </w:pPr>
      <w:r>
        <w:rPr>
          <w:b/>
          <w:bCs/>
          <w:i/>
          <w:iCs/>
          <w:noProof/>
        </w:rPr>
        <w:t>Problem 2</w:t>
      </w:r>
    </w:p>
    <w:p w14:paraId="43A7BA2B" w14:textId="2A3FDA1F" w:rsidR="00E31B42" w:rsidRPr="00B60A51" w:rsidRDefault="00E31B42" w:rsidP="00E31B42">
      <w:pPr>
        <w:pStyle w:val="BodyText"/>
        <w:rPr>
          <w:noProof/>
        </w:rPr>
      </w:pPr>
      <w:r w:rsidRPr="00B60A51">
        <w:rPr>
          <w:noProof/>
        </w:rPr>
        <w:t>For Problem 2, all three options (PO2</w:t>
      </w:r>
      <w:r w:rsidR="00B60A51">
        <w:rPr>
          <w:noProof/>
        </w:rPr>
        <w:t>-</w:t>
      </w:r>
      <w:r w:rsidRPr="00B60A51">
        <w:rPr>
          <w:noProof/>
        </w:rPr>
        <w:t>A</w:t>
      </w:r>
      <w:r w:rsidR="00B60A51">
        <w:rPr>
          <w:noProof/>
        </w:rPr>
        <w:t>/B</w:t>
      </w:r>
      <w:r w:rsidRPr="00B60A51">
        <w:rPr>
          <w:noProof/>
        </w:rPr>
        <w:t xml:space="preserve">C) perform clearly better than the baseline across the three MCDA methods. Under equal weighting in MAUT, total scores for all options indicate broad improvements in </w:t>
      </w:r>
      <w:r w:rsidR="00477621">
        <w:rPr>
          <w:noProof/>
        </w:rPr>
        <w:t>effectiveness</w:t>
      </w:r>
      <w:r w:rsidRPr="00B60A51">
        <w:rPr>
          <w:noProof/>
        </w:rPr>
        <w:t xml:space="preserve">, social and environmental outcomes. When Problem-2 weights are </w:t>
      </w:r>
      <w:r w:rsidR="004B4C1F" w:rsidRPr="00B60A51">
        <w:rPr>
          <w:noProof/>
        </w:rPr>
        <w:t>applied all</w:t>
      </w:r>
      <w:r w:rsidRPr="00B60A51">
        <w:rPr>
          <w:noProof/>
        </w:rPr>
        <w:t xml:space="preserve"> options improve further and remain clearly above the baseline, with PO2</w:t>
      </w:r>
      <w:r w:rsidR="004B4C1F">
        <w:rPr>
          <w:noProof/>
        </w:rPr>
        <w:t>-</w:t>
      </w:r>
      <w:r w:rsidRPr="00B60A51">
        <w:rPr>
          <w:noProof/>
        </w:rPr>
        <w:t>B and PO2</w:t>
      </w:r>
      <w:r w:rsidR="004B4C1F">
        <w:rPr>
          <w:noProof/>
        </w:rPr>
        <w:t>-</w:t>
      </w:r>
      <w:r w:rsidRPr="00B60A51">
        <w:rPr>
          <w:noProof/>
        </w:rPr>
        <w:t>C achieving the highest MAUT scores.</w:t>
      </w:r>
    </w:p>
    <w:p w14:paraId="149DE5A1" w14:textId="77777777" w:rsidR="00E31B42" w:rsidRPr="00B60A51" w:rsidRDefault="00E31B42" w:rsidP="00E31B42">
      <w:pPr>
        <w:pStyle w:val="BodyText"/>
        <w:rPr>
          <w:noProof/>
        </w:rPr>
      </w:pPr>
      <w:r w:rsidRPr="00B60A51">
        <w:rPr>
          <w:noProof/>
        </w:rPr>
        <w:t>However, once outranking approaches are considered, a stable pattern emerges:</w:t>
      </w:r>
    </w:p>
    <w:p w14:paraId="087F1B72" w14:textId="4B7C7D78" w:rsidR="00E31B42" w:rsidRPr="00B60A51" w:rsidRDefault="00E31B42" w:rsidP="00744B72">
      <w:pPr>
        <w:pStyle w:val="ListParagraph"/>
        <w:numPr>
          <w:ilvl w:val="0"/>
          <w:numId w:val="69"/>
        </w:numPr>
        <w:spacing w:after="80"/>
        <w:contextualSpacing w:val="0"/>
        <w:rPr>
          <w:noProof/>
        </w:rPr>
      </w:pPr>
      <w:r w:rsidRPr="00B60A51">
        <w:rPr>
          <w:noProof/>
        </w:rPr>
        <w:t>PO2</w:t>
      </w:r>
      <w:r w:rsidR="005878B2">
        <w:rPr>
          <w:noProof/>
        </w:rPr>
        <w:t>-</w:t>
      </w:r>
      <w:r w:rsidRPr="00B60A51">
        <w:rPr>
          <w:noProof/>
        </w:rPr>
        <w:t>C (EU-coordinated procurement and framework) is the strongest option overall. Both PROMETHEE II and ELECTRE III identify PO2</w:t>
      </w:r>
      <w:r w:rsidR="005878B2">
        <w:rPr>
          <w:noProof/>
        </w:rPr>
        <w:t>-</w:t>
      </w:r>
      <w:r w:rsidRPr="00B60A51">
        <w:rPr>
          <w:noProof/>
        </w:rPr>
        <w:t>C as the preferred option, under both equal and Problem-2 weights.</w:t>
      </w:r>
    </w:p>
    <w:p w14:paraId="0F4CA29C" w14:textId="23A0FF0A" w:rsidR="00E31B42" w:rsidRPr="00B60A51" w:rsidRDefault="00E31B42" w:rsidP="00744B72">
      <w:pPr>
        <w:pStyle w:val="ListParagraph"/>
        <w:numPr>
          <w:ilvl w:val="0"/>
          <w:numId w:val="69"/>
        </w:numPr>
        <w:spacing w:after="80"/>
        <w:contextualSpacing w:val="0"/>
        <w:rPr>
          <w:noProof/>
        </w:rPr>
      </w:pPr>
      <w:r w:rsidRPr="00B60A51">
        <w:rPr>
          <w:noProof/>
        </w:rPr>
        <w:t>PO2</w:t>
      </w:r>
      <w:r w:rsidR="005878B2">
        <w:rPr>
          <w:noProof/>
        </w:rPr>
        <w:t>-</w:t>
      </w:r>
      <w:r w:rsidRPr="00B60A51">
        <w:rPr>
          <w:noProof/>
        </w:rPr>
        <w:t>A (transparency and visibility) is consistently a secondary but clearly positive option, always better than the baseline but not reaching the performance of PO2</w:t>
      </w:r>
      <w:r w:rsidR="002C57E9">
        <w:rPr>
          <w:noProof/>
        </w:rPr>
        <w:t>-</w:t>
      </w:r>
      <w:r w:rsidRPr="00B60A51">
        <w:rPr>
          <w:noProof/>
        </w:rPr>
        <w:t>C.</w:t>
      </w:r>
    </w:p>
    <w:p w14:paraId="0A06E503" w14:textId="4BFBB27C" w:rsidR="00E31B42" w:rsidRPr="00B60A51" w:rsidRDefault="00E31B42" w:rsidP="00744B72">
      <w:pPr>
        <w:pStyle w:val="ListParagraph"/>
        <w:numPr>
          <w:ilvl w:val="0"/>
          <w:numId w:val="69"/>
        </w:numPr>
        <w:spacing w:after="80"/>
        <w:contextualSpacing w:val="0"/>
        <w:rPr>
          <w:noProof/>
        </w:rPr>
      </w:pPr>
      <w:r w:rsidRPr="00B60A51">
        <w:rPr>
          <w:noProof/>
        </w:rPr>
        <w:t>PO2</w:t>
      </w:r>
      <w:r w:rsidR="005878B2">
        <w:rPr>
          <w:noProof/>
        </w:rPr>
        <w:t>-</w:t>
      </w:r>
      <w:r w:rsidRPr="00B60A51">
        <w:rPr>
          <w:noProof/>
        </w:rPr>
        <w:t>B (</w:t>
      </w:r>
      <w:r w:rsidR="002C57E9">
        <w:rPr>
          <w:noProof/>
        </w:rPr>
        <w:t>voluntary EU framework</w:t>
      </w:r>
      <w:r w:rsidRPr="00B60A51">
        <w:rPr>
          <w:noProof/>
        </w:rPr>
        <w:t>) is, at best, marginally better than the baseline in ELECTRE III and is clearly weaker than PO2</w:t>
      </w:r>
      <w:r w:rsidR="002C57E9">
        <w:rPr>
          <w:noProof/>
        </w:rPr>
        <w:t>-</w:t>
      </w:r>
      <w:r w:rsidRPr="00B60A51">
        <w:rPr>
          <w:noProof/>
        </w:rPr>
        <w:t>C (and often PO2</w:t>
      </w:r>
      <w:r w:rsidR="002C57E9">
        <w:rPr>
          <w:noProof/>
        </w:rPr>
        <w:t>-</w:t>
      </w:r>
      <w:r w:rsidRPr="00B60A51">
        <w:rPr>
          <w:noProof/>
        </w:rPr>
        <w:t>A) in PROMETHEE II, particularly when Problem-2 weights are applied.</w:t>
      </w:r>
    </w:p>
    <w:p w14:paraId="458C4941" w14:textId="77777777" w:rsidR="00E31B42" w:rsidRPr="00B60A51" w:rsidRDefault="00E31B42" w:rsidP="00E31B42">
      <w:pPr>
        <w:pStyle w:val="BodyText"/>
        <w:rPr>
          <w:noProof/>
        </w:rPr>
      </w:pPr>
      <w:r w:rsidRPr="00B60A51">
        <w:rPr>
          <w:noProof/>
        </w:rPr>
        <w:t xml:space="preserve">At </w:t>
      </w:r>
      <w:r w:rsidRPr="008D0BAC">
        <w:rPr>
          <w:b/>
          <w:bCs/>
          <w:noProof/>
        </w:rPr>
        <w:t>measure</w:t>
      </w:r>
      <w:r w:rsidRPr="00B60A51">
        <w:rPr>
          <w:noProof/>
        </w:rPr>
        <w:t xml:space="preserve"> level:</w:t>
      </w:r>
    </w:p>
    <w:p w14:paraId="31E3200D" w14:textId="6E9F8F01" w:rsidR="00E31B42" w:rsidRPr="00B60A51" w:rsidRDefault="00E31B42" w:rsidP="00744B72">
      <w:pPr>
        <w:pStyle w:val="ListParagraph"/>
        <w:numPr>
          <w:ilvl w:val="0"/>
          <w:numId w:val="69"/>
        </w:numPr>
        <w:spacing w:after="80"/>
        <w:contextualSpacing w:val="0"/>
        <w:rPr>
          <w:noProof/>
        </w:rPr>
      </w:pPr>
      <w:r w:rsidRPr="00B60A51">
        <w:rPr>
          <w:noProof/>
        </w:rPr>
        <w:t>For PO2</w:t>
      </w:r>
      <w:r w:rsidR="002C57E9">
        <w:rPr>
          <w:noProof/>
        </w:rPr>
        <w:t>-</w:t>
      </w:r>
      <w:r w:rsidRPr="00B60A51">
        <w:rPr>
          <w:noProof/>
        </w:rPr>
        <w:t>A, the strongest contributors are PM11 (</w:t>
      </w:r>
      <w:r w:rsidR="00B710EF">
        <w:rPr>
          <w:noProof/>
        </w:rPr>
        <w:t xml:space="preserve">creating a </w:t>
      </w:r>
      <w:r w:rsidR="00AC229F">
        <w:rPr>
          <w:noProof/>
        </w:rPr>
        <w:t xml:space="preserve">sovereign </w:t>
      </w:r>
      <w:r w:rsidR="00B710EF">
        <w:rPr>
          <w:noProof/>
        </w:rPr>
        <w:t xml:space="preserve">cloud and AI </w:t>
      </w:r>
      <w:r w:rsidR="00AC229F">
        <w:rPr>
          <w:noProof/>
        </w:rPr>
        <w:t>computing services</w:t>
      </w:r>
      <w:r w:rsidRPr="00B60A51">
        <w:rPr>
          <w:noProof/>
        </w:rPr>
        <w:t xml:space="preserve"> definition), PM12 (guidelines for sovereign services) and PM14 (interoperability </w:t>
      </w:r>
      <w:r w:rsidR="000F6C9A">
        <w:rPr>
          <w:noProof/>
        </w:rPr>
        <w:t xml:space="preserve">flanking </w:t>
      </w:r>
      <w:r w:rsidRPr="00B60A51">
        <w:rPr>
          <w:noProof/>
        </w:rPr>
        <w:t>measures). These measures are seen as useful and relatively low-cost, particularly once sovereignty and resilience gain more weight. PM13 (annual sovereignty conference) provides only limited added value and mainly adds some cost, resulting in lower total scores.</w:t>
      </w:r>
    </w:p>
    <w:p w14:paraId="7151599A" w14:textId="49CA6BC7" w:rsidR="00E31B42" w:rsidRPr="00B60A51" w:rsidRDefault="00E31B42" w:rsidP="00744B72">
      <w:pPr>
        <w:pStyle w:val="ListParagraph"/>
        <w:numPr>
          <w:ilvl w:val="0"/>
          <w:numId w:val="69"/>
        </w:numPr>
        <w:spacing w:after="80"/>
        <w:contextualSpacing w:val="0"/>
        <w:rPr>
          <w:noProof/>
        </w:rPr>
      </w:pPr>
      <w:r w:rsidRPr="00B60A51">
        <w:rPr>
          <w:noProof/>
        </w:rPr>
        <w:t>In PO2</w:t>
      </w:r>
      <w:r w:rsidR="002C57E9">
        <w:rPr>
          <w:noProof/>
        </w:rPr>
        <w:t>-</w:t>
      </w:r>
      <w:r w:rsidRPr="00B60A51">
        <w:rPr>
          <w:noProof/>
        </w:rPr>
        <w:t>B, performance is driven by PM15 (</w:t>
      </w:r>
      <w:r w:rsidR="00404CAE">
        <w:rPr>
          <w:noProof/>
        </w:rPr>
        <w:t>sovereignty</w:t>
      </w:r>
      <w:r w:rsidR="00404CAE" w:rsidRPr="00B60A51">
        <w:rPr>
          <w:noProof/>
        </w:rPr>
        <w:t xml:space="preserve"> </w:t>
      </w:r>
      <w:r w:rsidRPr="00B60A51">
        <w:rPr>
          <w:noProof/>
        </w:rPr>
        <w:t xml:space="preserve">scheme) and PM17 (cloud federation), which combine neutral or positive cost impacts with solid </w:t>
      </w:r>
      <w:r w:rsidR="00353ABC">
        <w:rPr>
          <w:noProof/>
        </w:rPr>
        <w:t>effectiveness</w:t>
      </w:r>
      <w:r w:rsidR="00353ABC" w:rsidRPr="00B60A51">
        <w:rPr>
          <w:noProof/>
        </w:rPr>
        <w:t xml:space="preserve"> </w:t>
      </w:r>
      <w:r w:rsidRPr="00B60A51">
        <w:rPr>
          <w:noProof/>
        </w:rPr>
        <w:t xml:space="preserve">and social gains. PM18 (training programme) generates moderate, clearly positive contributions, while PM16 (voluntary award criteria) is weaker. </w:t>
      </w:r>
    </w:p>
    <w:p w14:paraId="58E762B4" w14:textId="41A01084" w:rsidR="00E31B42" w:rsidRPr="00B60A51" w:rsidRDefault="00E31B42" w:rsidP="00744B72">
      <w:pPr>
        <w:pStyle w:val="ListParagraph"/>
        <w:numPr>
          <w:ilvl w:val="0"/>
          <w:numId w:val="69"/>
        </w:numPr>
        <w:spacing w:after="80"/>
        <w:contextualSpacing w:val="0"/>
        <w:rPr>
          <w:noProof/>
        </w:rPr>
      </w:pPr>
      <w:r w:rsidRPr="00B60A51">
        <w:rPr>
          <w:noProof/>
        </w:rPr>
        <w:t>Within PO2</w:t>
      </w:r>
      <w:r w:rsidR="00F922AB">
        <w:rPr>
          <w:noProof/>
        </w:rPr>
        <w:t>-</w:t>
      </w:r>
      <w:r w:rsidRPr="00B60A51">
        <w:rPr>
          <w:noProof/>
        </w:rPr>
        <w:t>C, PM20 (promotion of open</w:t>
      </w:r>
      <w:r w:rsidR="00F922AB">
        <w:rPr>
          <w:noProof/>
        </w:rPr>
        <w:t xml:space="preserve"> </w:t>
      </w:r>
      <w:r w:rsidRPr="00B60A51">
        <w:rPr>
          <w:noProof/>
        </w:rPr>
        <w:t xml:space="preserve">source use) and </w:t>
      </w:r>
      <w:r w:rsidR="00BC1344" w:rsidRPr="00B60A51">
        <w:rPr>
          <w:noProof/>
        </w:rPr>
        <w:t>PM2</w:t>
      </w:r>
      <w:r w:rsidR="00BC1344">
        <w:rPr>
          <w:noProof/>
        </w:rPr>
        <w:t>2</w:t>
      </w:r>
      <w:r w:rsidR="00BC1344" w:rsidRPr="00B60A51">
        <w:rPr>
          <w:noProof/>
        </w:rPr>
        <w:t xml:space="preserve"> </w:t>
      </w:r>
      <w:r w:rsidRPr="00B60A51">
        <w:rPr>
          <w:noProof/>
        </w:rPr>
        <w:t>(</w:t>
      </w:r>
      <w:r w:rsidR="00BC1344">
        <w:rPr>
          <w:noProof/>
        </w:rPr>
        <w:t>EU-level procurement and federation</w:t>
      </w:r>
      <w:r w:rsidRPr="00B60A51">
        <w:rPr>
          <w:noProof/>
        </w:rPr>
        <w:t xml:space="preserve">) are the main drivers of performance, combining manageable or slightly positive cost effects with strong </w:t>
      </w:r>
      <w:r w:rsidR="00353ABC">
        <w:rPr>
          <w:noProof/>
        </w:rPr>
        <w:t>effectiveness</w:t>
      </w:r>
      <w:r w:rsidR="00353ABC" w:rsidRPr="00B60A51">
        <w:rPr>
          <w:noProof/>
        </w:rPr>
        <w:t xml:space="preserve"> </w:t>
      </w:r>
      <w:r w:rsidRPr="00B60A51">
        <w:rPr>
          <w:noProof/>
        </w:rPr>
        <w:t xml:space="preserve">and social benefits when sovereignty-related dimensions are prioritised. PM21 (mandatory use of </w:t>
      </w:r>
      <w:r w:rsidR="00863925">
        <w:rPr>
          <w:noProof/>
        </w:rPr>
        <w:t>audited</w:t>
      </w:r>
      <w:r w:rsidRPr="00B60A51">
        <w:rPr>
          <w:noProof/>
        </w:rPr>
        <w:t xml:space="preserve"> services and award criteria) becomes more attractive under Problem-2 weights, while PM23 (SME support) has low totals and negative cost scores, limiting its contribution to the option’s overall strength.</w:t>
      </w:r>
    </w:p>
    <w:p w14:paraId="3FC273AC" w14:textId="77777777" w:rsidR="00E31B42" w:rsidRPr="00B60A51" w:rsidRDefault="00E31B42" w:rsidP="00E31B42">
      <w:pPr>
        <w:pStyle w:val="BodyText"/>
        <w:rPr>
          <w:noProof/>
        </w:rPr>
      </w:pPr>
      <w:r w:rsidRPr="008D0BAC">
        <w:rPr>
          <w:b/>
          <w:bCs/>
          <w:noProof/>
        </w:rPr>
        <w:t>Stakeholder-specific</w:t>
      </w:r>
      <w:r w:rsidRPr="00B60A51">
        <w:rPr>
          <w:noProof/>
        </w:rPr>
        <w:t xml:space="preserve"> results for Problem 2 again indicate clear improvements relative to the baseline for all groups, but with notable differences in preferences:</w:t>
      </w:r>
    </w:p>
    <w:p w14:paraId="21DC76FC" w14:textId="3BDE1527" w:rsidR="00E31B42" w:rsidRPr="00B60A51" w:rsidRDefault="00E31B42" w:rsidP="00744B72">
      <w:pPr>
        <w:pStyle w:val="ListParagraph"/>
        <w:numPr>
          <w:ilvl w:val="0"/>
          <w:numId w:val="69"/>
        </w:numPr>
        <w:spacing w:after="80"/>
        <w:contextualSpacing w:val="0"/>
        <w:rPr>
          <w:noProof/>
        </w:rPr>
      </w:pPr>
      <w:r w:rsidRPr="00B60A51">
        <w:rPr>
          <w:noProof/>
        </w:rPr>
        <w:t>Economic operators see all options as an improvement, but clearly prefer PO2</w:t>
      </w:r>
      <w:r w:rsidR="002A7E13">
        <w:rPr>
          <w:noProof/>
        </w:rPr>
        <w:t>-</w:t>
      </w:r>
      <w:r w:rsidRPr="00B60A51">
        <w:rPr>
          <w:noProof/>
        </w:rPr>
        <w:t xml:space="preserve">C, which combines the strongest cost outcome with robust </w:t>
      </w:r>
      <w:r w:rsidR="00356F40">
        <w:rPr>
          <w:noProof/>
        </w:rPr>
        <w:t>effectiveness</w:t>
      </w:r>
      <w:r w:rsidR="00356F40" w:rsidRPr="00B60A51">
        <w:rPr>
          <w:noProof/>
        </w:rPr>
        <w:t xml:space="preserve"> </w:t>
      </w:r>
      <w:r w:rsidRPr="00B60A51">
        <w:rPr>
          <w:noProof/>
        </w:rPr>
        <w:t>and social gains. PO2</w:t>
      </w:r>
      <w:r w:rsidR="002A7E13">
        <w:rPr>
          <w:noProof/>
        </w:rPr>
        <w:t>-</w:t>
      </w:r>
      <w:r w:rsidRPr="00B60A51">
        <w:rPr>
          <w:noProof/>
        </w:rPr>
        <w:t>A is generally second, with PO2</w:t>
      </w:r>
      <w:r w:rsidR="002A7E13">
        <w:rPr>
          <w:noProof/>
        </w:rPr>
        <w:t>-</w:t>
      </w:r>
      <w:r w:rsidRPr="00B60A51">
        <w:rPr>
          <w:noProof/>
        </w:rPr>
        <w:t>B weaker overall.</w:t>
      </w:r>
    </w:p>
    <w:p w14:paraId="21CD71CC" w14:textId="5A9614B7" w:rsidR="00E31B42" w:rsidRPr="00B60A51" w:rsidRDefault="00E31B42" w:rsidP="00744B72">
      <w:pPr>
        <w:pStyle w:val="ListParagraph"/>
        <w:numPr>
          <w:ilvl w:val="0"/>
          <w:numId w:val="69"/>
        </w:numPr>
        <w:spacing w:after="80"/>
        <w:contextualSpacing w:val="0"/>
        <w:rPr>
          <w:noProof/>
        </w:rPr>
      </w:pPr>
      <w:r w:rsidRPr="00B60A51">
        <w:rPr>
          <w:noProof/>
        </w:rPr>
        <w:t>National Public Authorities favour PO2</w:t>
      </w:r>
      <w:r w:rsidR="003C4ABB">
        <w:rPr>
          <w:noProof/>
        </w:rPr>
        <w:t>-</w:t>
      </w:r>
      <w:r w:rsidRPr="00B60A51">
        <w:rPr>
          <w:noProof/>
        </w:rPr>
        <w:t>B</w:t>
      </w:r>
      <w:r w:rsidR="00C57893">
        <w:rPr>
          <w:noProof/>
        </w:rPr>
        <w:t xml:space="preserve"> under EW and PO2-C under P1 weights</w:t>
      </w:r>
      <w:r w:rsidRPr="00B60A51">
        <w:rPr>
          <w:noProof/>
        </w:rPr>
        <w:t>. PO2</w:t>
      </w:r>
      <w:r w:rsidR="00E873A4">
        <w:rPr>
          <w:noProof/>
        </w:rPr>
        <w:t>-</w:t>
      </w:r>
      <w:r w:rsidRPr="00B60A51">
        <w:rPr>
          <w:noProof/>
        </w:rPr>
        <w:t>A remains positive but leaves a more significant cost burden; PO2</w:t>
      </w:r>
      <w:r w:rsidR="00E873A4">
        <w:rPr>
          <w:noProof/>
        </w:rPr>
        <w:t>-</w:t>
      </w:r>
      <w:r w:rsidRPr="00B60A51">
        <w:rPr>
          <w:noProof/>
        </w:rPr>
        <w:t>C offers smaller gains and only marginal cost improvements from their perspective</w:t>
      </w:r>
      <w:r w:rsidR="009B5B10">
        <w:rPr>
          <w:noProof/>
        </w:rPr>
        <w:t xml:space="preserve"> versus PO2-B also under P2 weights</w:t>
      </w:r>
      <w:r w:rsidRPr="00B60A51">
        <w:rPr>
          <w:noProof/>
        </w:rPr>
        <w:t>.</w:t>
      </w:r>
    </w:p>
    <w:p w14:paraId="61936730" w14:textId="4AA58F57" w:rsidR="00E31B42" w:rsidRPr="00B60A51" w:rsidRDefault="00F277BE" w:rsidP="00744B72">
      <w:pPr>
        <w:pStyle w:val="ListParagraph"/>
        <w:numPr>
          <w:ilvl w:val="0"/>
          <w:numId w:val="69"/>
        </w:numPr>
        <w:spacing w:after="80"/>
        <w:contextualSpacing w:val="0"/>
        <w:rPr>
          <w:noProof/>
        </w:rPr>
      </w:pPr>
      <w:r>
        <w:rPr>
          <w:noProof/>
        </w:rPr>
        <w:t xml:space="preserve">Cloud and AI computing service </w:t>
      </w:r>
      <w:r w:rsidR="00E31B42" w:rsidRPr="00B60A51">
        <w:rPr>
          <w:noProof/>
        </w:rPr>
        <w:t>providers see substantial gains under all options, but PO2</w:t>
      </w:r>
      <w:r w:rsidR="003E494E">
        <w:rPr>
          <w:noProof/>
        </w:rPr>
        <w:t>-</w:t>
      </w:r>
      <w:r w:rsidR="00E31B42" w:rsidRPr="00B60A51">
        <w:rPr>
          <w:noProof/>
        </w:rPr>
        <w:t>C is the preferred grouping, particularly when Problem-2 weights are applied, with PO2</w:t>
      </w:r>
      <w:r w:rsidR="003E494E">
        <w:rPr>
          <w:noProof/>
        </w:rPr>
        <w:t>-</w:t>
      </w:r>
      <w:r w:rsidR="00E31B42" w:rsidRPr="00B60A51">
        <w:rPr>
          <w:noProof/>
        </w:rPr>
        <w:t xml:space="preserve">A second </w:t>
      </w:r>
      <w:r w:rsidR="007B1944">
        <w:rPr>
          <w:noProof/>
        </w:rPr>
        <w:t xml:space="preserve">in EW </w:t>
      </w:r>
      <w:r w:rsidR="00E31B42" w:rsidRPr="00B60A51">
        <w:rPr>
          <w:noProof/>
        </w:rPr>
        <w:t>and PO2</w:t>
      </w:r>
      <w:r w:rsidR="003E494E">
        <w:rPr>
          <w:noProof/>
        </w:rPr>
        <w:t>-</w:t>
      </w:r>
      <w:r w:rsidR="00E31B42" w:rsidRPr="00B60A51">
        <w:rPr>
          <w:noProof/>
        </w:rPr>
        <w:t xml:space="preserve">B </w:t>
      </w:r>
      <w:r w:rsidR="007B1944">
        <w:rPr>
          <w:noProof/>
        </w:rPr>
        <w:t>only marginally improving over PO2-A under P2 weights</w:t>
      </w:r>
      <w:r w:rsidR="00E31B42" w:rsidRPr="00B60A51">
        <w:rPr>
          <w:noProof/>
        </w:rPr>
        <w:t>.</w:t>
      </w:r>
    </w:p>
    <w:p w14:paraId="6EEA9299" w14:textId="528867EE" w:rsidR="00E31B42" w:rsidRPr="00B60A51" w:rsidRDefault="00E31B42" w:rsidP="00744B72">
      <w:pPr>
        <w:pStyle w:val="ListParagraph"/>
        <w:numPr>
          <w:ilvl w:val="0"/>
          <w:numId w:val="69"/>
        </w:numPr>
        <w:spacing w:after="80"/>
        <w:contextualSpacing w:val="0"/>
        <w:rPr>
          <w:noProof/>
        </w:rPr>
      </w:pPr>
      <w:r w:rsidRPr="00B60A51">
        <w:rPr>
          <w:noProof/>
        </w:rPr>
        <w:t>SMEs benefit substantially from all options compared to the baseline, but PO2</w:t>
      </w:r>
      <w:r w:rsidR="006C4C6A">
        <w:rPr>
          <w:noProof/>
        </w:rPr>
        <w:t>-</w:t>
      </w:r>
      <w:r w:rsidRPr="00B60A51">
        <w:rPr>
          <w:noProof/>
        </w:rPr>
        <w:t xml:space="preserve">A is the most favourable option under </w:t>
      </w:r>
      <w:r w:rsidR="00032AAA">
        <w:rPr>
          <w:noProof/>
        </w:rPr>
        <w:t>EW and PO1-C is the preferred one under P1 weights</w:t>
      </w:r>
      <w:r w:rsidRPr="00B60A51">
        <w:rPr>
          <w:noProof/>
        </w:rPr>
        <w:t>, as it combines the least negative cost scores with the highest economic and social benefits for this group.</w:t>
      </w:r>
    </w:p>
    <w:p w14:paraId="004F1F1B" w14:textId="0DE52483" w:rsidR="00BD3755" w:rsidRPr="00B60A51" w:rsidRDefault="00E31B42" w:rsidP="00E31B42">
      <w:pPr>
        <w:pStyle w:val="BodyText"/>
        <w:rPr>
          <w:noProof/>
        </w:rPr>
      </w:pPr>
      <w:r w:rsidRPr="00B60A51">
        <w:rPr>
          <w:noProof/>
        </w:rPr>
        <w:t>The results for Problem 2 indicate that PO2</w:t>
      </w:r>
      <w:r w:rsidR="00FD11B8">
        <w:rPr>
          <w:noProof/>
        </w:rPr>
        <w:t>-</w:t>
      </w:r>
      <w:r w:rsidRPr="00B60A51">
        <w:rPr>
          <w:noProof/>
        </w:rPr>
        <w:t>C is the most robust option at system level, especially when non-compensatory trade-offs and sovereignty-focused priorities are considered, while PO2</w:t>
      </w:r>
      <w:r w:rsidR="00FD11B8">
        <w:rPr>
          <w:noProof/>
        </w:rPr>
        <w:t>-</w:t>
      </w:r>
      <w:r w:rsidRPr="00B60A51">
        <w:rPr>
          <w:noProof/>
        </w:rPr>
        <w:t>B is most attractive for national public authorities and PO2</w:t>
      </w:r>
      <w:r w:rsidR="00FD11B8">
        <w:rPr>
          <w:noProof/>
        </w:rPr>
        <w:t>-</w:t>
      </w:r>
      <w:r w:rsidRPr="00B60A51">
        <w:rPr>
          <w:noProof/>
        </w:rPr>
        <w:t>A is particularly beneficial for SMEs. All three options remain markedly superior to the baseline, confirming that a policy response to Problem 2 is justified.</w:t>
      </w:r>
    </w:p>
    <w:p w14:paraId="090D9361" w14:textId="49A5C65C" w:rsidR="0017193A" w:rsidRPr="006E551C" w:rsidRDefault="0017193A" w:rsidP="00744B72">
      <w:pPr>
        <w:pStyle w:val="Heading3"/>
        <w:numPr>
          <w:ilvl w:val="2"/>
          <w:numId w:val="72"/>
        </w:numPr>
        <w:rPr>
          <w:iCs/>
          <w:noProof/>
        </w:rPr>
      </w:pPr>
      <w:r w:rsidRPr="006E551C">
        <w:rPr>
          <w:iCs/>
          <w:noProof/>
        </w:rPr>
        <w:t>Multi-criteria analysis for Problem 1</w:t>
      </w:r>
      <w:bookmarkEnd w:id="292"/>
      <w:r w:rsidR="00024CB5" w:rsidRPr="006E551C">
        <w:rPr>
          <w:iCs/>
          <w:noProof/>
        </w:rPr>
        <w:t xml:space="preserve"> </w:t>
      </w:r>
    </w:p>
    <w:p w14:paraId="2F37AF91" w14:textId="2A7727EA" w:rsidR="00E35254" w:rsidRPr="008D0BAC" w:rsidRDefault="00E35254" w:rsidP="008D0BAC">
      <w:pPr>
        <w:pStyle w:val="ABody"/>
        <w:spacing w:line="240" w:lineRule="auto"/>
        <w:rPr>
          <w:rFonts w:ascii="Times New Roman" w:hAnsi="Times New Roman" w:cs="Times New Roman"/>
          <w:noProof/>
          <w:szCs w:val="24"/>
        </w:rPr>
      </w:pPr>
      <w:r w:rsidRPr="008D0BAC">
        <w:rPr>
          <w:rFonts w:ascii="Times New Roman" w:hAnsi="Times New Roman" w:cs="Times New Roman"/>
          <w:noProof/>
          <w:szCs w:val="24"/>
        </w:rPr>
        <w:t>MAUT results for Problem 1 show a clear improvement of all three policy options (PO1</w:t>
      </w:r>
      <w:r w:rsidR="00BD3755">
        <w:rPr>
          <w:rFonts w:ascii="Times New Roman" w:hAnsi="Times New Roman" w:cs="Times New Roman"/>
          <w:noProof/>
          <w:szCs w:val="24"/>
        </w:rPr>
        <w:t>-</w:t>
      </w:r>
      <w:r w:rsidRPr="008D0BAC">
        <w:rPr>
          <w:rFonts w:ascii="Times New Roman" w:hAnsi="Times New Roman" w:cs="Times New Roman"/>
          <w:noProof/>
          <w:szCs w:val="24"/>
        </w:rPr>
        <w:t>A</w:t>
      </w:r>
      <w:r w:rsidR="00BD3755">
        <w:rPr>
          <w:rFonts w:ascii="Times New Roman" w:hAnsi="Times New Roman" w:cs="Times New Roman"/>
          <w:noProof/>
          <w:szCs w:val="24"/>
        </w:rPr>
        <w:t>/B/</w:t>
      </w:r>
      <w:r w:rsidRPr="008D0BAC">
        <w:rPr>
          <w:rFonts w:ascii="Times New Roman" w:hAnsi="Times New Roman" w:cs="Times New Roman"/>
          <w:noProof/>
          <w:szCs w:val="24"/>
        </w:rPr>
        <w:t>C) over the baseline across both weighting schemes. Under equal weighting, all options deliver positive total scores (0.3</w:t>
      </w:r>
      <w:r w:rsidR="00E41D7B">
        <w:rPr>
          <w:rFonts w:ascii="Times New Roman" w:hAnsi="Times New Roman" w:cs="Times New Roman"/>
          <w:noProof/>
          <w:szCs w:val="24"/>
        </w:rPr>
        <w:t>9</w:t>
      </w:r>
      <w:r w:rsidR="00102203">
        <w:rPr>
          <w:rFonts w:ascii="Times New Roman" w:hAnsi="Times New Roman" w:cs="Times New Roman"/>
          <w:noProof/>
          <w:szCs w:val="24"/>
        </w:rPr>
        <w:t>9</w:t>
      </w:r>
      <w:r w:rsidRPr="008D0BAC">
        <w:rPr>
          <w:rFonts w:ascii="Times New Roman" w:hAnsi="Times New Roman" w:cs="Times New Roman"/>
          <w:noProof/>
          <w:szCs w:val="24"/>
        </w:rPr>
        <w:t xml:space="preserve"> for PO1</w:t>
      </w:r>
      <w:r w:rsidR="00BD3755">
        <w:rPr>
          <w:rFonts w:ascii="Times New Roman" w:hAnsi="Times New Roman" w:cs="Times New Roman"/>
          <w:noProof/>
          <w:szCs w:val="24"/>
        </w:rPr>
        <w:t>-</w:t>
      </w:r>
      <w:r w:rsidRPr="008D0BAC">
        <w:rPr>
          <w:rFonts w:ascii="Times New Roman" w:hAnsi="Times New Roman" w:cs="Times New Roman"/>
          <w:noProof/>
          <w:szCs w:val="24"/>
        </w:rPr>
        <w:t>A, 0.</w:t>
      </w:r>
      <w:r w:rsidR="00E41D7B">
        <w:rPr>
          <w:rFonts w:ascii="Times New Roman" w:hAnsi="Times New Roman" w:cs="Times New Roman"/>
          <w:noProof/>
          <w:szCs w:val="24"/>
        </w:rPr>
        <w:t>575</w:t>
      </w:r>
      <w:r w:rsidR="00E41D7B" w:rsidRPr="008D0BAC">
        <w:rPr>
          <w:rFonts w:ascii="Times New Roman" w:hAnsi="Times New Roman" w:cs="Times New Roman"/>
          <w:noProof/>
          <w:szCs w:val="24"/>
        </w:rPr>
        <w:t xml:space="preserve"> </w:t>
      </w:r>
      <w:r w:rsidRPr="008D0BAC">
        <w:rPr>
          <w:rFonts w:ascii="Times New Roman" w:hAnsi="Times New Roman" w:cs="Times New Roman"/>
          <w:noProof/>
          <w:szCs w:val="24"/>
        </w:rPr>
        <w:t>for PO1</w:t>
      </w:r>
      <w:r w:rsidR="00BD3755">
        <w:rPr>
          <w:rFonts w:ascii="Times New Roman" w:hAnsi="Times New Roman" w:cs="Times New Roman"/>
          <w:noProof/>
          <w:szCs w:val="24"/>
        </w:rPr>
        <w:t>-</w:t>
      </w:r>
      <w:r w:rsidRPr="008D0BAC">
        <w:rPr>
          <w:rFonts w:ascii="Times New Roman" w:hAnsi="Times New Roman" w:cs="Times New Roman"/>
          <w:noProof/>
          <w:szCs w:val="24"/>
        </w:rPr>
        <w:t>B, 0.</w:t>
      </w:r>
      <w:r w:rsidR="00E41D7B">
        <w:rPr>
          <w:rFonts w:ascii="Times New Roman" w:hAnsi="Times New Roman" w:cs="Times New Roman"/>
          <w:noProof/>
          <w:szCs w:val="24"/>
        </w:rPr>
        <w:t>513</w:t>
      </w:r>
      <w:r w:rsidRPr="008D0BAC">
        <w:rPr>
          <w:rFonts w:ascii="Times New Roman" w:hAnsi="Times New Roman" w:cs="Times New Roman"/>
          <w:noProof/>
          <w:szCs w:val="24"/>
        </w:rPr>
        <w:t xml:space="preserve"> for PO1</w:t>
      </w:r>
      <w:r w:rsidR="00BD3755">
        <w:rPr>
          <w:rFonts w:ascii="Times New Roman" w:hAnsi="Times New Roman" w:cs="Times New Roman"/>
          <w:noProof/>
          <w:szCs w:val="24"/>
        </w:rPr>
        <w:t>-</w:t>
      </w:r>
      <w:r w:rsidRPr="008D0BAC">
        <w:rPr>
          <w:rFonts w:ascii="Times New Roman" w:hAnsi="Times New Roman" w:cs="Times New Roman"/>
          <w:noProof/>
          <w:szCs w:val="24"/>
        </w:rPr>
        <w:t xml:space="preserve">C), while the baseline is distinctly negative (-0.359). This reflects the fact that the measures jointly improve </w:t>
      </w:r>
      <w:r w:rsidR="00353ABC">
        <w:rPr>
          <w:rFonts w:ascii="Times New Roman" w:hAnsi="Times New Roman" w:cs="Times New Roman"/>
          <w:noProof/>
          <w:szCs w:val="24"/>
        </w:rPr>
        <w:t>effectiveness</w:t>
      </w:r>
      <w:r w:rsidRPr="008D0BAC">
        <w:rPr>
          <w:rFonts w:ascii="Times New Roman" w:hAnsi="Times New Roman" w:cs="Times New Roman"/>
          <w:noProof/>
          <w:szCs w:val="24"/>
        </w:rPr>
        <w:t>, environmental and social outcomes relative to the status quo, while also reducing the net cost burden. Social impacts are consistently positive for all options and negative for the baseline, and environmental impacts also improve slightly relative to the baseline under equal weighting.</w:t>
      </w:r>
    </w:p>
    <w:p w14:paraId="3090DA4F" w14:textId="403CF822" w:rsidR="00E35254" w:rsidRPr="00AD11B3" w:rsidRDefault="00E35254" w:rsidP="00651661">
      <w:pPr>
        <w:pStyle w:val="BodyText"/>
        <w:rPr>
          <w:noProof/>
        </w:rPr>
      </w:pPr>
      <w:r w:rsidRPr="00BD3755">
        <w:rPr>
          <w:noProof/>
        </w:rPr>
        <w:t xml:space="preserve">When shifting to the Problem 1 weighting (which places more emphasis on </w:t>
      </w:r>
      <w:r w:rsidR="00E41D7B">
        <w:rPr>
          <w:noProof/>
        </w:rPr>
        <w:t>effectiveness</w:t>
      </w:r>
      <w:r w:rsidR="00E41D7B" w:rsidRPr="00BD3755">
        <w:rPr>
          <w:noProof/>
        </w:rPr>
        <w:t xml:space="preserve"> </w:t>
      </w:r>
      <w:r w:rsidRPr="00BD3755">
        <w:rPr>
          <w:noProof/>
        </w:rPr>
        <w:t>and cost impacts, and sustainability), the overall ranking is broadly stable but the differences between options become more pronounced. PO1</w:t>
      </w:r>
      <w:r w:rsidR="00361B79">
        <w:rPr>
          <w:noProof/>
        </w:rPr>
        <w:t>-</w:t>
      </w:r>
      <w:r w:rsidRPr="00BD3755">
        <w:rPr>
          <w:noProof/>
        </w:rPr>
        <w:t>B and PO1</w:t>
      </w:r>
      <w:r w:rsidR="00361B79">
        <w:rPr>
          <w:noProof/>
        </w:rPr>
        <w:t>-</w:t>
      </w:r>
      <w:r w:rsidRPr="00BD3755">
        <w:rPr>
          <w:noProof/>
        </w:rPr>
        <w:t>C clearly dominate, with total scores of 0.</w:t>
      </w:r>
      <w:r w:rsidR="009A34A0" w:rsidRPr="00BD3755">
        <w:rPr>
          <w:noProof/>
        </w:rPr>
        <w:t>6</w:t>
      </w:r>
      <w:r w:rsidR="009A34A0">
        <w:rPr>
          <w:noProof/>
        </w:rPr>
        <w:t>88</w:t>
      </w:r>
      <w:r w:rsidR="009A34A0" w:rsidRPr="00BD3755">
        <w:rPr>
          <w:noProof/>
        </w:rPr>
        <w:t xml:space="preserve"> </w:t>
      </w:r>
      <w:r w:rsidRPr="00BD3755">
        <w:rPr>
          <w:noProof/>
        </w:rPr>
        <w:t>and 0.</w:t>
      </w:r>
      <w:r w:rsidR="009A34A0" w:rsidRPr="00BD3755">
        <w:rPr>
          <w:noProof/>
        </w:rPr>
        <w:t>5</w:t>
      </w:r>
      <w:r w:rsidR="009A34A0">
        <w:rPr>
          <w:noProof/>
        </w:rPr>
        <w:t>45</w:t>
      </w:r>
      <w:r w:rsidR="009A34A0" w:rsidRPr="00BD3755">
        <w:rPr>
          <w:noProof/>
        </w:rPr>
        <w:t xml:space="preserve"> </w:t>
      </w:r>
      <w:r w:rsidRPr="00BD3755">
        <w:rPr>
          <w:noProof/>
        </w:rPr>
        <w:t>respectively, compared to 0.</w:t>
      </w:r>
      <w:r w:rsidR="009A34A0" w:rsidRPr="00BD3755">
        <w:rPr>
          <w:noProof/>
        </w:rPr>
        <w:t>3</w:t>
      </w:r>
      <w:r w:rsidR="009A34A0">
        <w:rPr>
          <w:noProof/>
        </w:rPr>
        <w:t>12</w:t>
      </w:r>
      <w:r w:rsidR="009A34A0" w:rsidRPr="00BD3755">
        <w:rPr>
          <w:noProof/>
        </w:rPr>
        <w:t xml:space="preserve"> </w:t>
      </w:r>
      <w:r w:rsidRPr="00BD3755">
        <w:rPr>
          <w:noProof/>
        </w:rPr>
        <w:t>for PO1</w:t>
      </w:r>
      <w:r w:rsidR="00361B79">
        <w:rPr>
          <w:noProof/>
        </w:rPr>
        <w:t>-</w:t>
      </w:r>
      <w:r w:rsidRPr="00BD3755">
        <w:rPr>
          <w:noProof/>
        </w:rPr>
        <w:t xml:space="preserve">A and -0.387 for the baseline. The </w:t>
      </w:r>
      <w:r w:rsidRPr="0063532F">
        <w:rPr>
          <w:noProof/>
        </w:rPr>
        <w:t>reweighting particularly favours PO1</w:t>
      </w:r>
      <w:r w:rsidR="00361B79" w:rsidRPr="0063532F">
        <w:rPr>
          <w:noProof/>
        </w:rPr>
        <w:t>-</w:t>
      </w:r>
      <w:r w:rsidRPr="0063532F">
        <w:rPr>
          <w:noProof/>
        </w:rPr>
        <w:t>B,</w:t>
      </w:r>
      <w:r w:rsidRPr="00BD3755">
        <w:rPr>
          <w:noProof/>
        </w:rPr>
        <w:t xml:space="preserve"> which combines the strongest </w:t>
      </w:r>
      <w:r w:rsidR="006C71FC" w:rsidRPr="00BD3755">
        <w:rPr>
          <w:noProof/>
        </w:rPr>
        <w:t xml:space="preserve"> </w:t>
      </w:r>
      <w:r w:rsidRPr="00BD3755">
        <w:rPr>
          <w:noProof/>
        </w:rPr>
        <w:t xml:space="preserve">performance </w:t>
      </w:r>
      <w:r w:rsidR="006C71FC">
        <w:rPr>
          <w:noProof/>
        </w:rPr>
        <w:t xml:space="preserve">in terms of effectiveness </w:t>
      </w:r>
      <w:r w:rsidRPr="00BD3755">
        <w:rPr>
          <w:noProof/>
        </w:rPr>
        <w:t>with the best cost</w:t>
      </w:r>
      <w:r w:rsidR="006C71FC">
        <w:rPr>
          <w:noProof/>
        </w:rPr>
        <w:t xml:space="preserve">-benefit </w:t>
      </w:r>
      <w:r w:rsidRPr="00BD3755">
        <w:rPr>
          <w:noProof/>
        </w:rPr>
        <w:t xml:space="preserve">outcome (costs turning positive under P1), while still performing better than the baseline on environmental and social dimensions. This suggests that, </w:t>
      </w:r>
      <w:r w:rsidRPr="00AD11B3">
        <w:rPr>
          <w:noProof/>
        </w:rPr>
        <w:t>under a deployment-focused policy perspective, PO1</w:t>
      </w:r>
      <w:r w:rsidR="00EC765C" w:rsidRPr="00AD11B3">
        <w:rPr>
          <w:noProof/>
        </w:rPr>
        <w:t>-</w:t>
      </w:r>
      <w:r w:rsidRPr="00AD11B3">
        <w:rPr>
          <w:noProof/>
        </w:rPr>
        <w:t>B</w:t>
      </w:r>
      <w:r w:rsidRPr="00BD3755">
        <w:rPr>
          <w:noProof/>
        </w:rPr>
        <w:t xml:space="preserve"> (and to a slightly lesser extent PO1</w:t>
      </w:r>
      <w:r w:rsidR="00EC765C">
        <w:rPr>
          <w:noProof/>
        </w:rPr>
        <w:t>-</w:t>
      </w:r>
      <w:r w:rsidRPr="00BD3755">
        <w:rPr>
          <w:noProof/>
        </w:rPr>
        <w:t xml:space="preserve">C) </w:t>
      </w:r>
      <w:r w:rsidRPr="00AD11B3">
        <w:rPr>
          <w:noProof/>
        </w:rPr>
        <w:t>represent the most attractive bundle of measures among the options considered.</w:t>
      </w:r>
      <w:bookmarkStart w:id="295" w:name="_Toc213232721"/>
      <w:bookmarkStart w:id="296" w:name="_Toc213440608"/>
    </w:p>
    <w:p w14:paraId="5D1E007C" w14:textId="73AACAA5" w:rsidR="0017193A" w:rsidRPr="00507819" w:rsidRDefault="0017193A" w:rsidP="0017193A">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51</w:t>
      </w:r>
      <w:r>
        <w:rPr>
          <w:noProof/>
        </w:rPr>
        <w:fldChar w:fldCharType="end"/>
      </w:r>
      <w:r>
        <w:rPr>
          <w:noProof/>
        </w:rPr>
        <w:t>. MCDA Aggregate Results MAUT – Problem 1</w:t>
      </w:r>
      <w:bookmarkEnd w:id="295"/>
      <w:bookmarkEnd w:id="296"/>
      <w:r w:rsidR="00235089">
        <w:rPr>
          <w:noProof/>
        </w:rPr>
        <w:t xml:space="preserve"> </w:t>
      </w:r>
      <w:r w:rsidR="00235089" w:rsidRPr="00785FC1">
        <w:rPr>
          <w:b w:val="0"/>
          <w:bCs/>
          <w:noProof/>
        </w:rPr>
        <w:t>(Source: Technopolis et al. (2025))</w:t>
      </w:r>
    </w:p>
    <w:tbl>
      <w:tblPr>
        <w:tblpPr w:leftFromText="180" w:rightFromText="180" w:vertAnchor="text" w:tblpY="1"/>
        <w:tblW w:w="5000" w:type="pct"/>
        <w:shd w:val="clear" w:color="auto" w:fill="FFFFFF"/>
        <w:tblLayout w:type="fixed"/>
        <w:tblLook w:val="04A0" w:firstRow="1" w:lastRow="0" w:firstColumn="1" w:lastColumn="0" w:noHBand="0" w:noVBand="1"/>
      </w:tblPr>
      <w:tblGrid>
        <w:gridCol w:w="893"/>
        <w:gridCol w:w="1515"/>
        <w:gridCol w:w="1662"/>
        <w:gridCol w:w="1661"/>
        <w:gridCol w:w="1661"/>
        <w:gridCol w:w="1653"/>
      </w:tblGrid>
      <w:tr w:rsidR="00FB32BB" w:rsidRPr="002818A5" w14:paraId="72E836DC" w14:textId="77777777" w:rsidTr="00690805">
        <w:trPr>
          <w:trHeight w:val="296"/>
        </w:trPr>
        <w:tc>
          <w:tcPr>
            <w:tcW w:w="493" w:type="pct"/>
            <w:shd w:val="clear" w:color="auto" w:fill="FFFFFF"/>
            <w:noWrap/>
            <w:hideMark/>
          </w:tcPr>
          <w:p w14:paraId="630573FB" w14:textId="77777777" w:rsidR="0017193A" w:rsidRPr="00DA029C" w:rsidRDefault="0017193A">
            <w:pPr>
              <w:pStyle w:val="Tabletext"/>
              <w:rPr>
                <w:noProof/>
                <w:sz w:val="22"/>
                <w:szCs w:val="22"/>
                <w:lang w:val="en-IE"/>
              </w:rPr>
            </w:pPr>
            <w:r w:rsidRPr="00DA029C">
              <w:rPr>
                <w:noProof/>
                <w:sz w:val="22"/>
                <w:szCs w:val="22"/>
                <w:lang w:val="en-IE"/>
              </w:rPr>
              <w:t>Impact</w:t>
            </w:r>
          </w:p>
        </w:tc>
        <w:tc>
          <w:tcPr>
            <w:tcW w:w="837" w:type="pct"/>
            <w:shd w:val="clear" w:color="auto" w:fill="FFFFFF"/>
            <w:noWrap/>
            <w:hideMark/>
          </w:tcPr>
          <w:p w14:paraId="633F4357" w14:textId="77777777" w:rsidR="0017193A" w:rsidRPr="00DA029C" w:rsidRDefault="0017193A">
            <w:pPr>
              <w:pStyle w:val="Tabletext"/>
              <w:jc w:val="center"/>
              <w:rPr>
                <w:noProof/>
                <w:sz w:val="22"/>
                <w:szCs w:val="22"/>
              </w:rPr>
            </w:pPr>
            <w:r w:rsidRPr="00DA029C">
              <w:rPr>
                <w:noProof/>
                <w:sz w:val="22"/>
                <w:szCs w:val="22"/>
              </w:rPr>
              <w:t>Costs</w:t>
            </w:r>
          </w:p>
        </w:tc>
        <w:tc>
          <w:tcPr>
            <w:tcW w:w="918" w:type="pct"/>
            <w:shd w:val="clear" w:color="auto" w:fill="FFFFFF"/>
            <w:noWrap/>
            <w:hideMark/>
          </w:tcPr>
          <w:p w14:paraId="0D0754AC" w14:textId="77777777" w:rsidR="0017193A" w:rsidRPr="00DA029C" w:rsidRDefault="0017193A">
            <w:pPr>
              <w:pStyle w:val="Tabletext"/>
              <w:jc w:val="center"/>
              <w:rPr>
                <w:noProof/>
                <w:sz w:val="22"/>
                <w:szCs w:val="22"/>
              </w:rPr>
            </w:pPr>
            <w:r w:rsidRPr="00DA029C">
              <w:rPr>
                <w:noProof/>
                <w:sz w:val="22"/>
                <w:szCs w:val="22"/>
              </w:rPr>
              <w:t>Economic</w:t>
            </w:r>
          </w:p>
        </w:tc>
        <w:tc>
          <w:tcPr>
            <w:tcW w:w="918" w:type="pct"/>
            <w:shd w:val="clear" w:color="auto" w:fill="FFFFFF"/>
            <w:noWrap/>
            <w:hideMark/>
          </w:tcPr>
          <w:p w14:paraId="6D480BD2" w14:textId="77777777" w:rsidR="0017193A" w:rsidRPr="00DA029C" w:rsidRDefault="0017193A">
            <w:pPr>
              <w:pStyle w:val="Tabletext"/>
              <w:jc w:val="center"/>
              <w:rPr>
                <w:noProof/>
                <w:sz w:val="22"/>
                <w:szCs w:val="22"/>
              </w:rPr>
            </w:pPr>
            <w:r w:rsidRPr="00DA029C">
              <w:rPr>
                <w:noProof/>
                <w:sz w:val="22"/>
                <w:szCs w:val="22"/>
              </w:rPr>
              <w:t>Environmental</w:t>
            </w:r>
          </w:p>
        </w:tc>
        <w:tc>
          <w:tcPr>
            <w:tcW w:w="918" w:type="pct"/>
            <w:shd w:val="clear" w:color="auto" w:fill="FFFFFF"/>
            <w:noWrap/>
            <w:hideMark/>
          </w:tcPr>
          <w:p w14:paraId="7FFA601C" w14:textId="77777777" w:rsidR="0017193A" w:rsidRPr="00DA029C" w:rsidRDefault="0017193A">
            <w:pPr>
              <w:pStyle w:val="Tabletext"/>
              <w:jc w:val="center"/>
              <w:rPr>
                <w:noProof/>
                <w:sz w:val="22"/>
                <w:szCs w:val="22"/>
              </w:rPr>
            </w:pPr>
            <w:r w:rsidRPr="00DA029C">
              <w:rPr>
                <w:noProof/>
                <w:sz w:val="22"/>
                <w:szCs w:val="22"/>
              </w:rPr>
              <w:t>Social</w:t>
            </w:r>
          </w:p>
        </w:tc>
        <w:tc>
          <w:tcPr>
            <w:tcW w:w="914" w:type="pct"/>
            <w:shd w:val="clear" w:color="auto" w:fill="FFFFFF"/>
            <w:noWrap/>
            <w:hideMark/>
          </w:tcPr>
          <w:p w14:paraId="434616DF" w14:textId="77777777" w:rsidR="0017193A" w:rsidRPr="00DA029C" w:rsidRDefault="0017193A">
            <w:pPr>
              <w:pStyle w:val="Tabletext"/>
              <w:jc w:val="center"/>
              <w:rPr>
                <w:noProof/>
                <w:sz w:val="22"/>
                <w:szCs w:val="22"/>
              </w:rPr>
            </w:pPr>
            <w:r w:rsidRPr="00DA029C">
              <w:rPr>
                <w:noProof/>
                <w:sz w:val="22"/>
                <w:szCs w:val="22"/>
              </w:rPr>
              <w:t>Total</w:t>
            </w:r>
          </w:p>
        </w:tc>
      </w:tr>
    </w:tbl>
    <w:tbl>
      <w:tblPr>
        <w:tblStyle w:val="TechnopolisTable"/>
        <w:tblpPr w:leftFromText="180" w:rightFromText="180" w:vertAnchor="text" w:tblpY="1"/>
        <w:tblW w:w="5096" w:type="pct"/>
        <w:tblInd w:w="0" w:type="dxa"/>
        <w:shd w:val="clear" w:color="auto" w:fill="FFFFFF"/>
        <w:tblLayout w:type="fixed"/>
        <w:tblLook w:val="04A0" w:firstRow="1" w:lastRow="0" w:firstColumn="1" w:lastColumn="0" w:noHBand="0" w:noVBand="1"/>
      </w:tblPr>
      <w:tblGrid>
        <w:gridCol w:w="892"/>
        <w:gridCol w:w="832"/>
        <w:gridCol w:w="691"/>
        <w:gridCol w:w="142"/>
        <w:gridCol w:w="833"/>
        <w:gridCol w:w="833"/>
        <w:gridCol w:w="26"/>
        <w:gridCol w:w="808"/>
        <w:gridCol w:w="752"/>
        <w:gridCol w:w="79"/>
        <w:gridCol w:w="833"/>
        <w:gridCol w:w="800"/>
        <w:gridCol w:w="33"/>
        <w:gridCol w:w="833"/>
        <w:gridCol w:w="832"/>
      </w:tblGrid>
      <w:tr w:rsidR="004034E9" w:rsidRPr="002818A5" w14:paraId="3563D81B" w14:textId="77777777" w:rsidTr="00AD11B3">
        <w:trPr>
          <w:cnfStyle w:val="100000000000" w:firstRow="1" w:lastRow="0" w:firstColumn="0" w:lastColumn="0" w:oddVBand="0" w:evenVBand="0" w:oddHBand="0" w:evenHBand="0" w:firstRowFirstColumn="0" w:firstRowLastColumn="0" w:lastRowFirstColumn="0" w:lastRowLastColumn="0"/>
          <w:trHeight w:val="296"/>
        </w:trPr>
        <w:tc>
          <w:tcPr>
            <w:tcW w:w="483" w:type="pct"/>
            <w:shd w:val="clear" w:color="auto" w:fill="DBE5F1" w:themeFill="accent1" w:themeFillTint="33"/>
            <w:noWrap/>
          </w:tcPr>
          <w:p w14:paraId="283FC057" w14:textId="77777777" w:rsidR="004034E9" w:rsidRPr="00DA029C" w:rsidRDefault="004034E9">
            <w:pPr>
              <w:pStyle w:val="Tabletext"/>
              <w:rPr>
                <w:noProof/>
                <w:sz w:val="22"/>
                <w:szCs w:val="22"/>
              </w:rPr>
            </w:pPr>
          </w:p>
        </w:tc>
        <w:tc>
          <w:tcPr>
            <w:tcW w:w="826" w:type="pct"/>
            <w:gridSpan w:val="2"/>
            <w:shd w:val="clear" w:color="auto" w:fill="DBE5F1" w:themeFill="accent1" w:themeFillTint="33"/>
            <w:noWrap/>
          </w:tcPr>
          <w:p w14:paraId="348F6EE6" w14:textId="1B5FFDFF" w:rsidR="004034E9" w:rsidRPr="0034096D" w:rsidRDefault="004034E9" w:rsidP="002B213D">
            <w:pPr>
              <w:pStyle w:val="Tabletext"/>
              <w:rPr>
                <w:noProof/>
                <w:sz w:val="18"/>
                <w:szCs w:val="18"/>
              </w:rPr>
            </w:pPr>
            <w:r w:rsidRPr="0034096D">
              <w:rPr>
                <w:noProof/>
                <w:sz w:val="18"/>
                <w:szCs w:val="18"/>
              </w:rPr>
              <w:t>Costs/efficiency</w:t>
            </w:r>
          </w:p>
        </w:tc>
        <w:tc>
          <w:tcPr>
            <w:tcW w:w="995" w:type="pct"/>
            <w:gridSpan w:val="4"/>
            <w:shd w:val="clear" w:color="auto" w:fill="DBE5F1" w:themeFill="accent1" w:themeFillTint="33"/>
            <w:noWrap/>
          </w:tcPr>
          <w:p w14:paraId="3BE0C278" w14:textId="3AE9E813" w:rsidR="004034E9" w:rsidRPr="0034096D" w:rsidRDefault="00353ABC" w:rsidP="002B213D">
            <w:pPr>
              <w:pStyle w:val="Tabletext"/>
              <w:rPr>
                <w:noProof/>
                <w:sz w:val="18"/>
                <w:szCs w:val="18"/>
              </w:rPr>
            </w:pPr>
            <w:r>
              <w:rPr>
                <w:noProof/>
                <w:sz w:val="18"/>
                <w:szCs w:val="18"/>
              </w:rPr>
              <w:t>E</w:t>
            </w:r>
            <w:r w:rsidR="004034E9" w:rsidRPr="0034096D">
              <w:rPr>
                <w:noProof/>
                <w:sz w:val="18"/>
                <w:szCs w:val="18"/>
              </w:rPr>
              <w:t>ffectiveness</w:t>
            </w:r>
          </w:p>
        </w:tc>
        <w:tc>
          <w:tcPr>
            <w:tcW w:w="846" w:type="pct"/>
            <w:gridSpan w:val="2"/>
            <w:shd w:val="clear" w:color="auto" w:fill="DBE5F1" w:themeFill="accent1" w:themeFillTint="33"/>
            <w:noWrap/>
          </w:tcPr>
          <w:p w14:paraId="3728C373" w14:textId="22B6AD4F" w:rsidR="004034E9" w:rsidRPr="0034096D" w:rsidRDefault="004034E9" w:rsidP="002B213D">
            <w:pPr>
              <w:pStyle w:val="Tabletext"/>
              <w:rPr>
                <w:noProof/>
                <w:sz w:val="18"/>
                <w:szCs w:val="18"/>
              </w:rPr>
            </w:pPr>
            <w:r w:rsidRPr="0034096D">
              <w:rPr>
                <w:noProof/>
                <w:sz w:val="18"/>
                <w:szCs w:val="18"/>
              </w:rPr>
              <w:t>Environmental</w:t>
            </w:r>
          </w:p>
        </w:tc>
        <w:tc>
          <w:tcPr>
            <w:tcW w:w="929" w:type="pct"/>
            <w:gridSpan w:val="3"/>
            <w:shd w:val="clear" w:color="auto" w:fill="DBE5F1" w:themeFill="accent1" w:themeFillTint="33"/>
            <w:noWrap/>
          </w:tcPr>
          <w:p w14:paraId="4DFA9429" w14:textId="2C6438A0" w:rsidR="004034E9" w:rsidRPr="0034096D" w:rsidRDefault="004034E9" w:rsidP="002B213D">
            <w:pPr>
              <w:pStyle w:val="Tabletext"/>
              <w:rPr>
                <w:noProof/>
                <w:sz w:val="18"/>
                <w:szCs w:val="18"/>
              </w:rPr>
            </w:pPr>
            <w:r>
              <w:rPr>
                <w:noProof/>
                <w:sz w:val="18"/>
                <w:szCs w:val="18"/>
              </w:rPr>
              <w:t>Social</w:t>
            </w:r>
          </w:p>
        </w:tc>
        <w:tc>
          <w:tcPr>
            <w:tcW w:w="920" w:type="pct"/>
            <w:gridSpan w:val="3"/>
            <w:shd w:val="clear" w:color="auto" w:fill="DBE5F1" w:themeFill="accent1" w:themeFillTint="33"/>
            <w:noWrap/>
          </w:tcPr>
          <w:p w14:paraId="66C88359" w14:textId="7BD7726A" w:rsidR="004034E9" w:rsidRPr="0034096D" w:rsidRDefault="004034E9" w:rsidP="002B213D">
            <w:pPr>
              <w:pStyle w:val="Tabletext"/>
              <w:rPr>
                <w:noProof/>
                <w:sz w:val="18"/>
                <w:szCs w:val="18"/>
              </w:rPr>
            </w:pPr>
            <w:r>
              <w:rPr>
                <w:noProof/>
                <w:sz w:val="18"/>
                <w:szCs w:val="18"/>
              </w:rPr>
              <w:t>Total</w:t>
            </w:r>
          </w:p>
        </w:tc>
      </w:tr>
      <w:tr w:rsidR="006A66CF" w:rsidRPr="002818A5" w14:paraId="3F9DDE75" w14:textId="77777777" w:rsidTr="5CB5C11D">
        <w:trPr>
          <w:trHeight w:val="296"/>
        </w:trPr>
        <w:tc>
          <w:tcPr>
            <w:tcW w:w="483" w:type="pct"/>
            <w:tcBorders>
              <w:bottom w:val="single" w:sz="12" w:space="0" w:color="00B0F0"/>
            </w:tcBorders>
            <w:shd w:val="clear" w:color="auto" w:fill="FFFFFF" w:themeFill="background1"/>
            <w:noWrap/>
            <w:hideMark/>
          </w:tcPr>
          <w:p w14:paraId="518D8B8F" w14:textId="77777777" w:rsidR="0017193A" w:rsidRPr="002B213D" w:rsidRDefault="0017193A">
            <w:pPr>
              <w:pStyle w:val="Tabletext"/>
              <w:rPr>
                <w:noProof/>
                <w:sz w:val="20"/>
                <w:szCs w:val="20"/>
              </w:rPr>
            </w:pPr>
            <w:r w:rsidRPr="002B213D">
              <w:rPr>
                <w:noProof/>
                <w:sz w:val="20"/>
                <w:szCs w:val="20"/>
              </w:rPr>
              <w:t>Option</w:t>
            </w:r>
          </w:p>
        </w:tc>
        <w:tc>
          <w:tcPr>
            <w:tcW w:w="451" w:type="pct"/>
            <w:tcBorders>
              <w:bottom w:val="single" w:sz="12" w:space="0" w:color="00B0F0"/>
            </w:tcBorders>
            <w:shd w:val="clear" w:color="auto" w:fill="FFFFFF" w:themeFill="background1"/>
            <w:noWrap/>
            <w:vAlign w:val="center"/>
            <w:hideMark/>
          </w:tcPr>
          <w:p w14:paraId="3E2FCDAF" w14:textId="77777777" w:rsidR="0017193A" w:rsidRPr="002B213D" w:rsidRDefault="0017193A">
            <w:pPr>
              <w:pStyle w:val="Tabletext"/>
              <w:rPr>
                <w:noProof/>
                <w:sz w:val="18"/>
                <w:szCs w:val="18"/>
              </w:rPr>
            </w:pPr>
            <w:r w:rsidRPr="002B213D">
              <w:rPr>
                <w:noProof/>
                <w:sz w:val="18"/>
                <w:szCs w:val="18"/>
              </w:rPr>
              <w:t>EW</w:t>
            </w:r>
          </w:p>
        </w:tc>
        <w:tc>
          <w:tcPr>
            <w:tcW w:w="452" w:type="pct"/>
            <w:gridSpan w:val="2"/>
            <w:tcBorders>
              <w:bottom w:val="single" w:sz="12" w:space="0" w:color="00B0F0"/>
            </w:tcBorders>
            <w:shd w:val="clear" w:color="auto" w:fill="FFFFFF" w:themeFill="background1"/>
            <w:noWrap/>
            <w:vAlign w:val="center"/>
            <w:hideMark/>
          </w:tcPr>
          <w:p w14:paraId="4AF27928" w14:textId="77777777" w:rsidR="0017193A" w:rsidRPr="002B213D" w:rsidRDefault="0017193A">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531ED16A" w14:textId="77777777" w:rsidR="0017193A" w:rsidRPr="002B213D" w:rsidRDefault="0017193A">
            <w:pPr>
              <w:pStyle w:val="Tabletext"/>
              <w:rPr>
                <w:noProof/>
                <w:sz w:val="18"/>
                <w:szCs w:val="18"/>
              </w:rPr>
            </w:pPr>
            <w:r w:rsidRPr="002B213D">
              <w:rPr>
                <w:noProof/>
                <w:sz w:val="18"/>
                <w:szCs w:val="18"/>
              </w:rPr>
              <w:t>EW</w:t>
            </w:r>
          </w:p>
        </w:tc>
        <w:tc>
          <w:tcPr>
            <w:tcW w:w="452" w:type="pct"/>
            <w:tcBorders>
              <w:bottom w:val="single" w:sz="12" w:space="0" w:color="00B0F0"/>
            </w:tcBorders>
            <w:shd w:val="clear" w:color="auto" w:fill="FFFFFF" w:themeFill="background1"/>
            <w:noWrap/>
            <w:vAlign w:val="center"/>
            <w:hideMark/>
          </w:tcPr>
          <w:p w14:paraId="6054C033" w14:textId="77777777" w:rsidR="0017193A" w:rsidRPr="002B213D" w:rsidRDefault="0017193A">
            <w:pPr>
              <w:pStyle w:val="Tabletext"/>
              <w:rPr>
                <w:noProof/>
                <w:sz w:val="18"/>
                <w:szCs w:val="18"/>
              </w:rPr>
            </w:pPr>
            <w:r w:rsidRPr="002B213D">
              <w:rPr>
                <w:noProof/>
                <w:sz w:val="18"/>
                <w:szCs w:val="18"/>
              </w:rPr>
              <w:t>P1</w:t>
            </w:r>
          </w:p>
        </w:tc>
        <w:tc>
          <w:tcPr>
            <w:tcW w:w="452" w:type="pct"/>
            <w:gridSpan w:val="2"/>
            <w:tcBorders>
              <w:bottom w:val="single" w:sz="12" w:space="0" w:color="00B0F0"/>
            </w:tcBorders>
            <w:shd w:val="clear" w:color="auto" w:fill="FFFFFF" w:themeFill="background1"/>
            <w:noWrap/>
            <w:vAlign w:val="center"/>
            <w:hideMark/>
          </w:tcPr>
          <w:p w14:paraId="2E5E4590" w14:textId="77777777" w:rsidR="0017193A" w:rsidRPr="002B213D" w:rsidRDefault="0017193A">
            <w:pPr>
              <w:pStyle w:val="Tabletext"/>
              <w:rPr>
                <w:noProof/>
                <w:sz w:val="18"/>
                <w:szCs w:val="18"/>
              </w:rPr>
            </w:pPr>
            <w:r w:rsidRPr="002B213D">
              <w:rPr>
                <w:noProof/>
                <w:sz w:val="18"/>
                <w:szCs w:val="18"/>
              </w:rPr>
              <w:t>EW</w:t>
            </w:r>
          </w:p>
        </w:tc>
        <w:tc>
          <w:tcPr>
            <w:tcW w:w="451" w:type="pct"/>
            <w:gridSpan w:val="2"/>
            <w:tcBorders>
              <w:bottom w:val="single" w:sz="12" w:space="0" w:color="00B0F0"/>
            </w:tcBorders>
            <w:shd w:val="clear" w:color="auto" w:fill="FFFFFF" w:themeFill="background1"/>
            <w:noWrap/>
            <w:vAlign w:val="center"/>
            <w:hideMark/>
          </w:tcPr>
          <w:p w14:paraId="719F6167" w14:textId="77777777" w:rsidR="0017193A" w:rsidRPr="002B213D" w:rsidRDefault="0017193A">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0A68A030" w14:textId="77777777" w:rsidR="0017193A" w:rsidRPr="002B213D" w:rsidRDefault="0017193A">
            <w:pPr>
              <w:pStyle w:val="Tabletext"/>
              <w:rPr>
                <w:noProof/>
                <w:sz w:val="18"/>
                <w:szCs w:val="18"/>
              </w:rPr>
            </w:pPr>
            <w:r w:rsidRPr="002B213D">
              <w:rPr>
                <w:noProof/>
                <w:sz w:val="18"/>
                <w:szCs w:val="18"/>
              </w:rPr>
              <w:t>EW</w:t>
            </w:r>
          </w:p>
        </w:tc>
        <w:tc>
          <w:tcPr>
            <w:tcW w:w="452" w:type="pct"/>
            <w:gridSpan w:val="2"/>
            <w:tcBorders>
              <w:bottom w:val="single" w:sz="12" w:space="0" w:color="00B0F0"/>
            </w:tcBorders>
            <w:shd w:val="clear" w:color="auto" w:fill="FFFFFF" w:themeFill="background1"/>
            <w:noWrap/>
            <w:vAlign w:val="center"/>
            <w:hideMark/>
          </w:tcPr>
          <w:p w14:paraId="6AD5F6F9" w14:textId="77777777" w:rsidR="0017193A" w:rsidRPr="002B213D" w:rsidRDefault="0017193A">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2D70AEBC" w14:textId="77777777" w:rsidR="0017193A" w:rsidRPr="002B213D" w:rsidRDefault="0017193A">
            <w:pPr>
              <w:pStyle w:val="Tabletext"/>
              <w:rPr>
                <w:noProof/>
                <w:sz w:val="18"/>
                <w:szCs w:val="18"/>
              </w:rPr>
            </w:pPr>
            <w:r w:rsidRPr="002B213D">
              <w:rPr>
                <w:noProof/>
                <w:sz w:val="18"/>
                <w:szCs w:val="18"/>
              </w:rPr>
              <w:t>EW</w:t>
            </w:r>
          </w:p>
        </w:tc>
        <w:tc>
          <w:tcPr>
            <w:tcW w:w="452" w:type="pct"/>
            <w:tcBorders>
              <w:bottom w:val="single" w:sz="12" w:space="0" w:color="00B0F0"/>
            </w:tcBorders>
            <w:shd w:val="clear" w:color="auto" w:fill="FFFFFF" w:themeFill="background1"/>
            <w:noWrap/>
            <w:vAlign w:val="center"/>
            <w:hideMark/>
          </w:tcPr>
          <w:p w14:paraId="56EC3AF0" w14:textId="77777777" w:rsidR="0017193A" w:rsidRPr="002B213D" w:rsidRDefault="0017193A">
            <w:pPr>
              <w:pStyle w:val="Tabletext"/>
              <w:rPr>
                <w:noProof/>
                <w:sz w:val="18"/>
                <w:szCs w:val="18"/>
              </w:rPr>
            </w:pPr>
            <w:r w:rsidRPr="002B213D">
              <w:rPr>
                <w:noProof/>
                <w:sz w:val="18"/>
                <w:szCs w:val="18"/>
              </w:rPr>
              <w:t>P1</w:t>
            </w:r>
          </w:p>
        </w:tc>
      </w:tr>
      <w:tr w:rsidR="006A66CF" w:rsidRPr="002818A5" w14:paraId="448DEA7B" w14:textId="77777777" w:rsidTr="5CB5C11D">
        <w:trPr>
          <w:trHeight w:val="296"/>
        </w:trPr>
        <w:tc>
          <w:tcPr>
            <w:tcW w:w="483" w:type="pct"/>
            <w:tcBorders>
              <w:top w:val="single" w:sz="12" w:space="0" w:color="00B0F0"/>
            </w:tcBorders>
            <w:shd w:val="clear" w:color="auto" w:fill="FFFFFF" w:themeFill="background1"/>
            <w:noWrap/>
            <w:vAlign w:val="bottom"/>
          </w:tcPr>
          <w:p w14:paraId="266BFD1B" w14:textId="77777777" w:rsidR="006A66CF" w:rsidRPr="0034096D" w:rsidRDefault="006A66CF" w:rsidP="006A66CF">
            <w:pPr>
              <w:pStyle w:val="Tabletext"/>
              <w:rPr>
                <w:b/>
                <w:noProof/>
                <w:sz w:val="20"/>
                <w:szCs w:val="20"/>
              </w:rPr>
            </w:pPr>
            <w:r w:rsidRPr="0034096D">
              <w:rPr>
                <w:b/>
                <w:noProof/>
                <w:sz w:val="20"/>
                <w:szCs w:val="20"/>
              </w:rPr>
              <w:t>Baseline</w:t>
            </w:r>
          </w:p>
        </w:tc>
        <w:tc>
          <w:tcPr>
            <w:tcW w:w="451" w:type="pct"/>
            <w:tcBorders>
              <w:top w:val="single" w:sz="12" w:space="0" w:color="00B0F0"/>
            </w:tcBorders>
            <w:shd w:val="clear" w:color="auto" w:fill="FFFFFF" w:themeFill="background1"/>
            <w:noWrap/>
          </w:tcPr>
          <w:p w14:paraId="17D9BD0B" w14:textId="4AA09AC6" w:rsidR="006A66CF" w:rsidRPr="008E329D" w:rsidRDefault="006A66CF" w:rsidP="006A66CF">
            <w:pPr>
              <w:pStyle w:val="Tabletext"/>
              <w:rPr>
                <w:noProof/>
                <w:sz w:val="20"/>
                <w:szCs w:val="20"/>
              </w:rPr>
            </w:pPr>
            <w:r w:rsidRPr="008E329D">
              <w:rPr>
                <w:noProof/>
                <w:sz w:val="20"/>
                <w:szCs w:val="20"/>
              </w:rPr>
              <w:t>-0.538</w:t>
            </w:r>
          </w:p>
        </w:tc>
        <w:tc>
          <w:tcPr>
            <w:tcW w:w="452" w:type="pct"/>
            <w:gridSpan w:val="2"/>
            <w:tcBorders>
              <w:top w:val="single" w:sz="12" w:space="0" w:color="00B0F0"/>
            </w:tcBorders>
            <w:shd w:val="clear" w:color="auto" w:fill="FFFFFF" w:themeFill="background1"/>
            <w:noWrap/>
          </w:tcPr>
          <w:p w14:paraId="1736065F" w14:textId="0E5E85C9" w:rsidR="006A66CF" w:rsidRPr="008E329D" w:rsidRDefault="006A66CF" w:rsidP="006A66CF">
            <w:pPr>
              <w:pStyle w:val="Tabletext"/>
              <w:rPr>
                <w:noProof/>
                <w:sz w:val="20"/>
                <w:szCs w:val="20"/>
              </w:rPr>
            </w:pPr>
            <w:r w:rsidRPr="008E329D">
              <w:rPr>
                <w:noProof/>
                <w:sz w:val="20"/>
                <w:szCs w:val="20"/>
              </w:rPr>
              <w:t>-0.714</w:t>
            </w:r>
          </w:p>
        </w:tc>
        <w:tc>
          <w:tcPr>
            <w:tcW w:w="452" w:type="pct"/>
            <w:tcBorders>
              <w:top w:val="single" w:sz="12" w:space="0" w:color="00B0F0"/>
            </w:tcBorders>
            <w:shd w:val="clear" w:color="auto" w:fill="FFFFFF" w:themeFill="background1"/>
            <w:noWrap/>
          </w:tcPr>
          <w:p w14:paraId="0E9F26E8" w14:textId="3AEB5440" w:rsidR="006A66CF" w:rsidRPr="0034096D" w:rsidRDefault="006A66CF" w:rsidP="006A66CF">
            <w:pPr>
              <w:pStyle w:val="Tabletext"/>
              <w:rPr>
                <w:noProof/>
                <w:sz w:val="20"/>
                <w:szCs w:val="20"/>
              </w:rPr>
            </w:pPr>
            <w:r w:rsidRPr="0034096D">
              <w:rPr>
                <w:noProof/>
                <w:sz w:val="20"/>
                <w:szCs w:val="20"/>
              </w:rPr>
              <w:t>0.242</w:t>
            </w:r>
          </w:p>
        </w:tc>
        <w:tc>
          <w:tcPr>
            <w:tcW w:w="452" w:type="pct"/>
            <w:tcBorders>
              <w:top w:val="single" w:sz="12" w:space="0" w:color="00B0F0"/>
            </w:tcBorders>
            <w:shd w:val="clear" w:color="auto" w:fill="FFFFFF" w:themeFill="background1"/>
            <w:noWrap/>
          </w:tcPr>
          <w:p w14:paraId="0AA45532" w14:textId="710C002D" w:rsidR="006A66CF" w:rsidRPr="0034096D" w:rsidRDefault="006A66CF" w:rsidP="006A66CF">
            <w:pPr>
              <w:pStyle w:val="Tabletext"/>
              <w:rPr>
                <w:noProof/>
                <w:sz w:val="20"/>
                <w:szCs w:val="20"/>
              </w:rPr>
            </w:pPr>
            <w:r w:rsidRPr="0034096D">
              <w:rPr>
                <w:noProof/>
                <w:sz w:val="20"/>
                <w:szCs w:val="20"/>
              </w:rPr>
              <w:t>0.470</w:t>
            </w:r>
          </w:p>
        </w:tc>
        <w:tc>
          <w:tcPr>
            <w:tcW w:w="452" w:type="pct"/>
            <w:gridSpan w:val="2"/>
            <w:tcBorders>
              <w:top w:val="single" w:sz="12" w:space="0" w:color="00B0F0"/>
            </w:tcBorders>
            <w:shd w:val="clear" w:color="auto" w:fill="FFFFFF" w:themeFill="background1"/>
            <w:noWrap/>
          </w:tcPr>
          <w:p w14:paraId="5D651A81" w14:textId="746FB1E2" w:rsidR="006A66CF" w:rsidRPr="0034096D" w:rsidRDefault="006A66CF" w:rsidP="006A66CF">
            <w:pPr>
              <w:pStyle w:val="Tabletext"/>
              <w:rPr>
                <w:noProof/>
                <w:sz w:val="20"/>
                <w:szCs w:val="20"/>
              </w:rPr>
            </w:pPr>
            <w:r w:rsidRPr="0034096D">
              <w:rPr>
                <w:noProof/>
                <w:sz w:val="20"/>
                <w:szCs w:val="20"/>
              </w:rPr>
              <w:t>-0.037</w:t>
            </w:r>
          </w:p>
        </w:tc>
        <w:tc>
          <w:tcPr>
            <w:tcW w:w="451" w:type="pct"/>
            <w:gridSpan w:val="2"/>
            <w:tcBorders>
              <w:top w:val="single" w:sz="12" w:space="0" w:color="00B0F0"/>
            </w:tcBorders>
            <w:shd w:val="clear" w:color="auto" w:fill="FFFFFF" w:themeFill="background1"/>
            <w:noWrap/>
          </w:tcPr>
          <w:p w14:paraId="0AB6C1AD" w14:textId="7C082EE6" w:rsidR="006A66CF" w:rsidRPr="0034096D" w:rsidRDefault="006A66CF" w:rsidP="006A66CF">
            <w:pPr>
              <w:pStyle w:val="Tabletext"/>
              <w:rPr>
                <w:noProof/>
                <w:sz w:val="20"/>
                <w:szCs w:val="20"/>
              </w:rPr>
            </w:pPr>
            <w:r w:rsidRPr="0034096D">
              <w:rPr>
                <w:noProof/>
                <w:sz w:val="20"/>
                <w:szCs w:val="20"/>
              </w:rPr>
              <w:t>-0.134</w:t>
            </w:r>
          </w:p>
        </w:tc>
        <w:tc>
          <w:tcPr>
            <w:tcW w:w="452" w:type="pct"/>
            <w:tcBorders>
              <w:top w:val="single" w:sz="12" w:space="0" w:color="00B0F0"/>
            </w:tcBorders>
            <w:shd w:val="clear" w:color="auto" w:fill="FFFFFF" w:themeFill="background1"/>
            <w:noWrap/>
          </w:tcPr>
          <w:p w14:paraId="2030B229" w14:textId="60FC1AE0" w:rsidR="006A66CF" w:rsidRPr="0034096D" w:rsidRDefault="006A66CF" w:rsidP="006A66CF">
            <w:pPr>
              <w:pStyle w:val="Tabletext"/>
              <w:rPr>
                <w:noProof/>
                <w:sz w:val="20"/>
                <w:szCs w:val="20"/>
              </w:rPr>
            </w:pPr>
            <w:r w:rsidRPr="0034096D">
              <w:rPr>
                <w:noProof/>
                <w:sz w:val="20"/>
                <w:szCs w:val="20"/>
              </w:rPr>
              <w:t>-0.026</w:t>
            </w:r>
          </w:p>
        </w:tc>
        <w:tc>
          <w:tcPr>
            <w:tcW w:w="452" w:type="pct"/>
            <w:gridSpan w:val="2"/>
            <w:tcBorders>
              <w:top w:val="single" w:sz="12" w:space="0" w:color="00B0F0"/>
            </w:tcBorders>
            <w:shd w:val="clear" w:color="auto" w:fill="FFFFFF" w:themeFill="background1"/>
            <w:noWrap/>
          </w:tcPr>
          <w:p w14:paraId="072F9E19" w14:textId="429FDDD0" w:rsidR="006A66CF" w:rsidRPr="0034096D" w:rsidRDefault="006A66CF" w:rsidP="006A66CF">
            <w:pPr>
              <w:pStyle w:val="Tabletext"/>
              <w:rPr>
                <w:noProof/>
                <w:sz w:val="20"/>
                <w:szCs w:val="20"/>
              </w:rPr>
            </w:pPr>
            <w:r w:rsidRPr="0034096D">
              <w:rPr>
                <w:noProof/>
                <w:sz w:val="20"/>
                <w:szCs w:val="20"/>
              </w:rPr>
              <w:t>-0.008</w:t>
            </w:r>
          </w:p>
        </w:tc>
        <w:tc>
          <w:tcPr>
            <w:tcW w:w="452" w:type="pct"/>
            <w:tcBorders>
              <w:top w:val="single" w:sz="12" w:space="0" w:color="00B0F0"/>
            </w:tcBorders>
            <w:shd w:val="clear" w:color="auto" w:fill="FFFFFF" w:themeFill="background1"/>
            <w:noWrap/>
            <w:vAlign w:val="bottom"/>
          </w:tcPr>
          <w:p w14:paraId="48D0D855" w14:textId="5B3F1A0E" w:rsidR="006A66CF" w:rsidRPr="006A66CF" w:rsidRDefault="006A66CF" w:rsidP="006A66CF">
            <w:pPr>
              <w:pStyle w:val="Tabletext"/>
              <w:rPr>
                <w:noProof/>
                <w:sz w:val="20"/>
                <w:szCs w:val="20"/>
              </w:rPr>
            </w:pPr>
            <w:r w:rsidRPr="006A66CF">
              <w:rPr>
                <w:noProof/>
                <w:sz w:val="20"/>
                <w:szCs w:val="20"/>
              </w:rPr>
              <w:t>-0.359</w:t>
            </w:r>
          </w:p>
        </w:tc>
        <w:tc>
          <w:tcPr>
            <w:tcW w:w="452" w:type="pct"/>
            <w:tcBorders>
              <w:top w:val="single" w:sz="12" w:space="0" w:color="00B0F0"/>
            </w:tcBorders>
            <w:shd w:val="clear" w:color="auto" w:fill="FFFFFF" w:themeFill="background1"/>
            <w:noWrap/>
            <w:vAlign w:val="bottom"/>
          </w:tcPr>
          <w:p w14:paraId="0F081803" w14:textId="1ED7611B" w:rsidR="006A66CF" w:rsidRPr="006A66CF" w:rsidRDefault="006A66CF" w:rsidP="006A66CF">
            <w:pPr>
              <w:pStyle w:val="Tabletext"/>
              <w:rPr>
                <w:noProof/>
                <w:sz w:val="20"/>
                <w:szCs w:val="20"/>
              </w:rPr>
            </w:pPr>
            <w:r w:rsidRPr="006A66CF">
              <w:rPr>
                <w:noProof/>
                <w:sz w:val="20"/>
                <w:szCs w:val="20"/>
              </w:rPr>
              <w:t>-0.387</w:t>
            </w:r>
          </w:p>
        </w:tc>
      </w:tr>
      <w:tr w:rsidR="006A66CF" w:rsidRPr="002818A5" w14:paraId="0EB34AD0" w14:textId="77777777" w:rsidTr="5CB5C11D">
        <w:trPr>
          <w:trHeight w:val="296"/>
        </w:trPr>
        <w:tc>
          <w:tcPr>
            <w:tcW w:w="483" w:type="pct"/>
            <w:shd w:val="clear" w:color="auto" w:fill="FFFFFF" w:themeFill="background1"/>
            <w:noWrap/>
            <w:vAlign w:val="bottom"/>
            <w:hideMark/>
          </w:tcPr>
          <w:p w14:paraId="13693DCA" w14:textId="77777777" w:rsidR="006A66CF" w:rsidRPr="0034096D" w:rsidRDefault="006A66CF" w:rsidP="006A66CF">
            <w:pPr>
              <w:pStyle w:val="Tabletext"/>
              <w:rPr>
                <w:b/>
                <w:noProof/>
                <w:sz w:val="20"/>
                <w:szCs w:val="20"/>
              </w:rPr>
            </w:pPr>
            <w:r w:rsidRPr="0034096D">
              <w:rPr>
                <w:b/>
                <w:noProof/>
                <w:sz w:val="20"/>
                <w:szCs w:val="20"/>
              </w:rPr>
              <w:t>PO1-A</w:t>
            </w:r>
          </w:p>
        </w:tc>
        <w:tc>
          <w:tcPr>
            <w:tcW w:w="451" w:type="pct"/>
            <w:shd w:val="clear" w:color="auto" w:fill="FFFFFF" w:themeFill="background1"/>
            <w:noWrap/>
          </w:tcPr>
          <w:p w14:paraId="47741E56" w14:textId="47B5105D" w:rsidR="006A66CF" w:rsidRPr="006A66CF" w:rsidRDefault="006A66CF" w:rsidP="006A66CF">
            <w:pPr>
              <w:pStyle w:val="Tabletext"/>
              <w:rPr>
                <w:noProof/>
                <w:sz w:val="20"/>
                <w:szCs w:val="20"/>
              </w:rPr>
            </w:pPr>
            <w:r w:rsidRPr="006A66CF">
              <w:rPr>
                <w:noProof/>
                <w:sz w:val="20"/>
                <w:szCs w:val="20"/>
              </w:rPr>
              <w:t>-0.</w:t>
            </w:r>
            <w:r w:rsidRPr="006A66CF">
              <w:rPr>
                <w:noProof/>
                <w:sz w:val="20"/>
                <w:szCs w:val="32"/>
              </w:rPr>
              <w:t>119</w:t>
            </w:r>
          </w:p>
        </w:tc>
        <w:tc>
          <w:tcPr>
            <w:tcW w:w="452" w:type="pct"/>
            <w:gridSpan w:val="2"/>
            <w:shd w:val="clear" w:color="auto" w:fill="FFFFFF" w:themeFill="background1"/>
            <w:noWrap/>
          </w:tcPr>
          <w:p w14:paraId="4CBCACAC" w14:textId="0841AB89" w:rsidR="006A66CF" w:rsidRPr="006A66CF" w:rsidRDefault="006A66CF" w:rsidP="006A66CF">
            <w:pPr>
              <w:pStyle w:val="Tabletext"/>
              <w:rPr>
                <w:noProof/>
                <w:sz w:val="20"/>
                <w:szCs w:val="20"/>
              </w:rPr>
            </w:pPr>
            <w:r w:rsidRPr="006A66CF">
              <w:rPr>
                <w:noProof/>
                <w:sz w:val="20"/>
                <w:szCs w:val="20"/>
              </w:rPr>
              <w:t>-0.</w:t>
            </w:r>
            <w:r w:rsidRPr="006A66CF">
              <w:rPr>
                <w:noProof/>
                <w:sz w:val="20"/>
                <w:szCs w:val="32"/>
              </w:rPr>
              <w:t>128</w:t>
            </w:r>
          </w:p>
        </w:tc>
        <w:tc>
          <w:tcPr>
            <w:tcW w:w="452" w:type="pct"/>
            <w:shd w:val="clear" w:color="auto" w:fill="FFFFFF" w:themeFill="background1"/>
            <w:noWrap/>
          </w:tcPr>
          <w:p w14:paraId="7D391DBE" w14:textId="07643C2E" w:rsidR="006A66CF" w:rsidRPr="006A66CF" w:rsidRDefault="006A66CF" w:rsidP="006A66CF">
            <w:pPr>
              <w:pStyle w:val="Tabletext"/>
              <w:rPr>
                <w:noProof/>
                <w:sz w:val="20"/>
                <w:szCs w:val="20"/>
              </w:rPr>
            </w:pPr>
            <w:r w:rsidRPr="006A66CF">
              <w:rPr>
                <w:noProof/>
                <w:sz w:val="20"/>
                <w:szCs w:val="20"/>
              </w:rPr>
              <w:t>0.246</w:t>
            </w:r>
          </w:p>
        </w:tc>
        <w:tc>
          <w:tcPr>
            <w:tcW w:w="452" w:type="pct"/>
            <w:shd w:val="clear" w:color="auto" w:fill="FFFFFF" w:themeFill="background1"/>
            <w:noWrap/>
          </w:tcPr>
          <w:p w14:paraId="13370B5F" w14:textId="2B655401" w:rsidR="006A66CF" w:rsidRPr="006A66CF" w:rsidRDefault="006A66CF" w:rsidP="006A66CF">
            <w:pPr>
              <w:pStyle w:val="Tabletext"/>
              <w:rPr>
                <w:noProof/>
                <w:sz w:val="20"/>
                <w:szCs w:val="20"/>
              </w:rPr>
            </w:pPr>
            <w:r w:rsidRPr="006A66CF">
              <w:rPr>
                <w:noProof/>
                <w:sz w:val="20"/>
                <w:szCs w:val="20"/>
              </w:rPr>
              <w:t>0.421</w:t>
            </w:r>
          </w:p>
        </w:tc>
        <w:tc>
          <w:tcPr>
            <w:tcW w:w="452" w:type="pct"/>
            <w:gridSpan w:val="2"/>
            <w:shd w:val="clear" w:color="auto" w:fill="FFFFFF" w:themeFill="background1"/>
            <w:noWrap/>
          </w:tcPr>
          <w:p w14:paraId="41BBED0A" w14:textId="6954730B" w:rsidR="006A66CF" w:rsidRPr="006A66CF" w:rsidRDefault="006A66CF" w:rsidP="006A66CF">
            <w:pPr>
              <w:pStyle w:val="Tabletext"/>
              <w:rPr>
                <w:noProof/>
                <w:sz w:val="20"/>
                <w:szCs w:val="20"/>
              </w:rPr>
            </w:pPr>
            <w:r w:rsidRPr="006A66CF">
              <w:rPr>
                <w:noProof/>
                <w:sz w:val="20"/>
                <w:szCs w:val="20"/>
              </w:rPr>
              <w:t>0.055</w:t>
            </w:r>
          </w:p>
        </w:tc>
        <w:tc>
          <w:tcPr>
            <w:tcW w:w="451" w:type="pct"/>
            <w:gridSpan w:val="2"/>
            <w:shd w:val="clear" w:color="auto" w:fill="FFFFFF" w:themeFill="background1"/>
            <w:noWrap/>
          </w:tcPr>
          <w:p w14:paraId="618174F1" w14:textId="67CE4E2D" w:rsidR="006A66CF" w:rsidRPr="006A66CF" w:rsidRDefault="006A66CF" w:rsidP="006A66CF">
            <w:pPr>
              <w:pStyle w:val="Tabletext"/>
              <w:rPr>
                <w:noProof/>
                <w:sz w:val="20"/>
                <w:szCs w:val="20"/>
              </w:rPr>
            </w:pPr>
            <w:r w:rsidRPr="006A66CF">
              <w:rPr>
                <w:noProof/>
                <w:sz w:val="20"/>
                <w:szCs w:val="20"/>
              </w:rPr>
              <w:t>-0.024</w:t>
            </w:r>
          </w:p>
        </w:tc>
        <w:tc>
          <w:tcPr>
            <w:tcW w:w="452" w:type="pct"/>
            <w:shd w:val="clear" w:color="auto" w:fill="FFFFFF" w:themeFill="background1"/>
            <w:noWrap/>
          </w:tcPr>
          <w:p w14:paraId="3E70395D" w14:textId="709A04BD" w:rsidR="006A66CF" w:rsidRPr="006A66CF" w:rsidRDefault="006A66CF" w:rsidP="006A66CF">
            <w:pPr>
              <w:pStyle w:val="Tabletext"/>
              <w:rPr>
                <w:noProof/>
                <w:sz w:val="20"/>
                <w:szCs w:val="20"/>
              </w:rPr>
            </w:pPr>
            <w:r w:rsidRPr="006A66CF">
              <w:rPr>
                <w:noProof/>
                <w:sz w:val="20"/>
                <w:szCs w:val="20"/>
              </w:rPr>
              <w:t>0.216</w:t>
            </w:r>
          </w:p>
        </w:tc>
        <w:tc>
          <w:tcPr>
            <w:tcW w:w="452" w:type="pct"/>
            <w:gridSpan w:val="2"/>
            <w:shd w:val="clear" w:color="auto" w:fill="FFFFFF" w:themeFill="background1"/>
            <w:noWrap/>
          </w:tcPr>
          <w:p w14:paraId="72556944" w14:textId="5FB4B22E" w:rsidR="006A66CF" w:rsidRPr="006A66CF" w:rsidRDefault="006A66CF" w:rsidP="006A66CF">
            <w:pPr>
              <w:pStyle w:val="Tabletext"/>
              <w:rPr>
                <w:noProof/>
                <w:sz w:val="20"/>
                <w:szCs w:val="20"/>
              </w:rPr>
            </w:pPr>
            <w:r w:rsidRPr="006A66CF">
              <w:rPr>
                <w:noProof/>
                <w:sz w:val="20"/>
                <w:szCs w:val="20"/>
              </w:rPr>
              <w:t>0.043</w:t>
            </w:r>
          </w:p>
        </w:tc>
        <w:tc>
          <w:tcPr>
            <w:tcW w:w="452" w:type="pct"/>
            <w:shd w:val="clear" w:color="auto" w:fill="FFFFFF" w:themeFill="background1"/>
            <w:noWrap/>
            <w:vAlign w:val="bottom"/>
          </w:tcPr>
          <w:p w14:paraId="51B456A7" w14:textId="5A5E61E3" w:rsidR="006A66CF" w:rsidRPr="006A66CF" w:rsidRDefault="006A66CF" w:rsidP="006A66CF">
            <w:pPr>
              <w:pStyle w:val="Tabletext"/>
              <w:rPr>
                <w:noProof/>
                <w:sz w:val="20"/>
                <w:szCs w:val="20"/>
              </w:rPr>
            </w:pPr>
            <w:r w:rsidRPr="006A66CF">
              <w:rPr>
                <w:noProof/>
                <w:sz w:val="20"/>
                <w:szCs w:val="20"/>
              </w:rPr>
              <w:t>0.399</w:t>
            </w:r>
          </w:p>
        </w:tc>
        <w:tc>
          <w:tcPr>
            <w:tcW w:w="452" w:type="pct"/>
            <w:shd w:val="clear" w:color="auto" w:fill="FFFFFF" w:themeFill="background1"/>
            <w:noWrap/>
            <w:vAlign w:val="bottom"/>
          </w:tcPr>
          <w:p w14:paraId="0E6D35BD" w14:textId="71DE275D" w:rsidR="006A66CF" w:rsidRPr="006A66CF" w:rsidRDefault="006A66CF" w:rsidP="006A66CF">
            <w:pPr>
              <w:pStyle w:val="Tabletext"/>
              <w:rPr>
                <w:noProof/>
                <w:sz w:val="20"/>
                <w:szCs w:val="20"/>
              </w:rPr>
            </w:pPr>
            <w:r w:rsidRPr="006A66CF">
              <w:rPr>
                <w:noProof/>
                <w:sz w:val="20"/>
                <w:szCs w:val="20"/>
              </w:rPr>
              <w:t>0.312</w:t>
            </w:r>
          </w:p>
        </w:tc>
      </w:tr>
      <w:tr w:rsidR="006A66CF" w:rsidRPr="002818A5" w14:paraId="3CE00509" w14:textId="77777777" w:rsidTr="5CB5C11D">
        <w:trPr>
          <w:trHeight w:val="296"/>
        </w:trPr>
        <w:tc>
          <w:tcPr>
            <w:tcW w:w="483" w:type="pct"/>
            <w:shd w:val="clear" w:color="auto" w:fill="FFFFFF" w:themeFill="background1"/>
            <w:noWrap/>
            <w:vAlign w:val="bottom"/>
            <w:hideMark/>
          </w:tcPr>
          <w:p w14:paraId="0F49B50E" w14:textId="77777777" w:rsidR="006A66CF" w:rsidRPr="0034096D" w:rsidRDefault="006A66CF" w:rsidP="006A66CF">
            <w:pPr>
              <w:pStyle w:val="Tabletext"/>
              <w:rPr>
                <w:b/>
                <w:noProof/>
                <w:sz w:val="20"/>
                <w:szCs w:val="20"/>
              </w:rPr>
            </w:pPr>
            <w:r w:rsidRPr="0034096D">
              <w:rPr>
                <w:b/>
                <w:noProof/>
                <w:sz w:val="20"/>
                <w:szCs w:val="20"/>
              </w:rPr>
              <w:t>PO1-B</w:t>
            </w:r>
          </w:p>
        </w:tc>
        <w:tc>
          <w:tcPr>
            <w:tcW w:w="451" w:type="pct"/>
            <w:shd w:val="clear" w:color="auto" w:fill="FFFFFF" w:themeFill="background1"/>
            <w:noWrap/>
          </w:tcPr>
          <w:p w14:paraId="19B38300" w14:textId="72991C2F" w:rsidR="006A66CF" w:rsidRPr="006A66CF" w:rsidRDefault="006A66CF" w:rsidP="006A66CF">
            <w:pPr>
              <w:pStyle w:val="Tabletext"/>
              <w:rPr>
                <w:noProof/>
                <w:sz w:val="20"/>
                <w:szCs w:val="20"/>
              </w:rPr>
            </w:pPr>
            <w:r w:rsidRPr="006A66CF">
              <w:rPr>
                <w:noProof/>
                <w:sz w:val="20"/>
                <w:szCs w:val="20"/>
              </w:rPr>
              <w:t>-0.011</w:t>
            </w:r>
          </w:p>
        </w:tc>
        <w:tc>
          <w:tcPr>
            <w:tcW w:w="452" w:type="pct"/>
            <w:gridSpan w:val="2"/>
            <w:shd w:val="clear" w:color="auto" w:fill="FFFFFF" w:themeFill="background1"/>
            <w:noWrap/>
          </w:tcPr>
          <w:p w14:paraId="16B55139" w14:textId="76DB2B96" w:rsidR="006A66CF" w:rsidRPr="006A66CF" w:rsidRDefault="006A66CF" w:rsidP="006A66CF">
            <w:pPr>
              <w:pStyle w:val="Tabletext"/>
              <w:rPr>
                <w:noProof/>
                <w:sz w:val="20"/>
                <w:szCs w:val="20"/>
              </w:rPr>
            </w:pPr>
            <w:r w:rsidRPr="006A66CF">
              <w:rPr>
                <w:noProof/>
                <w:sz w:val="20"/>
                <w:szCs w:val="20"/>
              </w:rPr>
              <w:t>0.</w:t>
            </w:r>
            <w:r w:rsidRPr="006A66CF">
              <w:rPr>
                <w:noProof/>
                <w:sz w:val="20"/>
                <w:szCs w:val="32"/>
              </w:rPr>
              <w:t>143</w:t>
            </w:r>
          </w:p>
        </w:tc>
        <w:tc>
          <w:tcPr>
            <w:tcW w:w="452" w:type="pct"/>
            <w:shd w:val="clear" w:color="auto" w:fill="FFFFFF" w:themeFill="background1"/>
            <w:noWrap/>
          </w:tcPr>
          <w:p w14:paraId="44F9B05A" w14:textId="795910CA" w:rsidR="006A66CF" w:rsidRPr="006A66CF" w:rsidRDefault="006A66CF" w:rsidP="006A66CF">
            <w:pPr>
              <w:pStyle w:val="Tabletext"/>
              <w:rPr>
                <w:noProof/>
                <w:sz w:val="20"/>
                <w:szCs w:val="20"/>
              </w:rPr>
            </w:pPr>
            <w:r w:rsidRPr="006A66CF">
              <w:rPr>
                <w:noProof/>
                <w:sz w:val="20"/>
                <w:szCs w:val="20"/>
              </w:rPr>
              <w:t>0.298</w:t>
            </w:r>
          </w:p>
        </w:tc>
        <w:tc>
          <w:tcPr>
            <w:tcW w:w="452" w:type="pct"/>
            <w:shd w:val="clear" w:color="auto" w:fill="FFFFFF" w:themeFill="background1"/>
            <w:noWrap/>
          </w:tcPr>
          <w:p w14:paraId="39EF52D3" w14:textId="68E61C1A" w:rsidR="006A66CF" w:rsidRPr="006A66CF" w:rsidRDefault="006A66CF" w:rsidP="006A66CF">
            <w:pPr>
              <w:pStyle w:val="Tabletext"/>
              <w:rPr>
                <w:noProof/>
                <w:sz w:val="20"/>
                <w:szCs w:val="20"/>
              </w:rPr>
            </w:pPr>
            <w:r w:rsidRPr="006A66CF">
              <w:rPr>
                <w:noProof/>
                <w:sz w:val="20"/>
                <w:szCs w:val="20"/>
              </w:rPr>
              <w:t>0.543</w:t>
            </w:r>
          </w:p>
        </w:tc>
        <w:tc>
          <w:tcPr>
            <w:tcW w:w="452" w:type="pct"/>
            <w:gridSpan w:val="2"/>
            <w:shd w:val="clear" w:color="auto" w:fill="FFFFFF" w:themeFill="background1"/>
            <w:noWrap/>
          </w:tcPr>
          <w:p w14:paraId="2D49323C" w14:textId="5ED10210" w:rsidR="006A66CF" w:rsidRPr="006A66CF" w:rsidRDefault="006A66CF" w:rsidP="006A66CF">
            <w:pPr>
              <w:pStyle w:val="Tabletext"/>
              <w:rPr>
                <w:noProof/>
                <w:sz w:val="20"/>
                <w:szCs w:val="20"/>
              </w:rPr>
            </w:pPr>
            <w:r w:rsidRPr="006A66CF">
              <w:rPr>
                <w:noProof/>
                <w:sz w:val="20"/>
                <w:szCs w:val="20"/>
              </w:rPr>
              <w:t>0.074</w:t>
            </w:r>
          </w:p>
        </w:tc>
        <w:tc>
          <w:tcPr>
            <w:tcW w:w="451" w:type="pct"/>
            <w:gridSpan w:val="2"/>
            <w:shd w:val="clear" w:color="auto" w:fill="FFFFFF" w:themeFill="background1"/>
            <w:noWrap/>
          </w:tcPr>
          <w:p w14:paraId="6C18E982" w14:textId="1348F9E1" w:rsidR="006A66CF" w:rsidRPr="006A66CF" w:rsidRDefault="006A66CF" w:rsidP="006A66CF">
            <w:pPr>
              <w:pStyle w:val="Tabletext"/>
              <w:rPr>
                <w:noProof/>
                <w:sz w:val="20"/>
                <w:szCs w:val="20"/>
              </w:rPr>
            </w:pPr>
            <w:r w:rsidRPr="006A66CF">
              <w:rPr>
                <w:noProof/>
                <w:sz w:val="20"/>
                <w:szCs w:val="20"/>
              </w:rPr>
              <w:t>-0.041</w:t>
            </w:r>
          </w:p>
        </w:tc>
        <w:tc>
          <w:tcPr>
            <w:tcW w:w="452" w:type="pct"/>
            <w:shd w:val="clear" w:color="auto" w:fill="FFFFFF" w:themeFill="background1"/>
            <w:noWrap/>
          </w:tcPr>
          <w:p w14:paraId="12C30588" w14:textId="71A6ECF3" w:rsidR="006A66CF" w:rsidRPr="006A66CF" w:rsidRDefault="006A66CF" w:rsidP="006A66CF">
            <w:pPr>
              <w:pStyle w:val="Tabletext"/>
              <w:rPr>
                <w:noProof/>
                <w:sz w:val="20"/>
                <w:szCs w:val="20"/>
              </w:rPr>
            </w:pPr>
            <w:r w:rsidRPr="006A66CF">
              <w:rPr>
                <w:noProof/>
                <w:sz w:val="20"/>
                <w:szCs w:val="20"/>
              </w:rPr>
              <w:t>0.214</w:t>
            </w:r>
          </w:p>
        </w:tc>
        <w:tc>
          <w:tcPr>
            <w:tcW w:w="452" w:type="pct"/>
            <w:gridSpan w:val="2"/>
            <w:shd w:val="clear" w:color="auto" w:fill="FFFFFF" w:themeFill="background1"/>
            <w:noWrap/>
          </w:tcPr>
          <w:p w14:paraId="5EB7FC0F" w14:textId="2BDD19AB" w:rsidR="006A66CF" w:rsidRPr="006A66CF" w:rsidRDefault="006A66CF" w:rsidP="006A66CF">
            <w:pPr>
              <w:pStyle w:val="Tabletext"/>
              <w:rPr>
                <w:noProof/>
                <w:sz w:val="20"/>
                <w:szCs w:val="20"/>
              </w:rPr>
            </w:pPr>
            <w:r w:rsidRPr="006A66CF">
              <w:rPr>
                <w:noProof/>
                <w:sz w:val="20"/>
                <w:szCs w:val="20"/>
              </w:rPr>
              <w:t>0.043</w:t>
            </w:r>
          </w:p>
        </w:tc>
        <w:tc>
          <w:tcPr>
            <w:tcW w:w="452" w:type="pct"/>
            <w:shd w:val="clear" w:color="auto" w:fill="FFFFFF" w:themeFill="background1"/>
            <w:noWrap/>
            <w:vAlign w:val="bottom"/>
          </w:tcPr>
          <w:p w14:paraId="534DBA7E" w14:textId="512404B7" w:rsidR="006A66CF" w:rsidRPr="006A66CF" w:rsidRDefault="006A66CF" w:rsidP="006A66CF">
            <w:pPr>
              <w:pStyle w:val="Tabletext"/>
              <w:rPr>
                <w:noProof/>
                <w:sz w:val="20"/>
                <w:szCs w:val="20"/>
              </w:rPr>
            </w:pPr>
            <w:r w:rsidRPr="006A66CF">
              <w:rPr>
                <w:noProof/>
                <w:sz w:val="20"/>
                <w:szCs w:val="20"/>
              </w:rPr>
              <w:t>0.575</w:t>
            </w:r>
          </w:p>
        </w:tc>
        <w:tc>
          <w:tcPr>
            <w:tcW w:w="452" w:type="pct"/>
            <w:shd w:val="clear" w:color="auto" w:fill="FFFFFF" w:themeFill="background1"/>
            <w:noWrap/>
            <w:vAlign w:val="bottom"/>
          </w:tcPr>
          <w:p w14:paraId="67F854F4" w14:textId="6DD5B79F" w:rsidR="006A66CF" w:rsidRPr="006A66CF" w:rsidRDefault="006A66CF" w:rsidP="006A66CF">
            <w:pPr>
              <w:pStyle w:val="Tabletext"/>
              <w:rPr>
                <w:noProof/>
                <w:sz w:val="20"/>
                <w:szCs w:val="20"/>
              </w:rPr>
            </w:pPr>
            <w:r w:rsidRPr="006A66CF">
              <w:rPr>
                <w:noProof/>
                <w:sz w:val="20"/>
                <w:szCs w:val="20"/>
              </w:rPr>
              <w:t>0.688</w:t>
            </w:r>
          </w:p>
        </w:tc>
      </w:tr>
      <w:tr w:rsidR="006A66CF" w:rsidRPr="002818A5" w14:paraId="1A3FD57D" w14:textId="77777777" w:rsidTr="5CB5C11D">
        <w:trPr>
          <w:trHeight w:val="296"/>
        </w:trPr>
        <w:tc>
          <w:tcPr>
            <w:tcW w:w="483" w:type="pct"/>
            <w:shd w:val="clear" w:color="auto" w:fill="FFFFFF" w:themeFill="background1"/>
            <w:noWrap/>
            <w:vAlign w:val="bottom"/>
            <w:hideMark/>
          </w:tcPr>
          <w:p w14:paraId="792DEF6D" w14:textId="77777777" w:rsidR="006A66CF" w:rsidRPr="0034096D" w:rsidRDefault="006A66CF" w:rsidP="006A66CF">
            <w:pPr>
              <w:pStyle w:val="Tabletext"/>
              <w:rPr>
                <w:b/>
                <w:noProof/>
                <w:sz w:val="20"/>
                <w:szCs w:val="20"/>
              </w:rPr>
            </w:pPr>
            <w:r w:rsidRPr="0034096D">
              <w:rPr>
                <w:b/>
                <w:noProof/>
                <w:sz w:val="20"/>
                <w:szCs w:val="20"/>
              </w:rPr>
              <w:t>PO1-C</w:t>
            </w:r>
          </w:p>
        </w:tc>
        <w:tc>
          <w:tcPr>
            <w:tcW w:w="451" w:type="pct"/>
            <w:shd w:val="clear" w:color="auto" w:fill="FFFFFF" w:themeFill="background1"/>
            <w:noWrap/>
          </w:tcPr>
          <w:p w14:paraId="72471B89" w14:textId="78797D57" w:rsidR="006A66CF" w:rsidRPr="006A66CF" w:rsidRDefault="006A66CF" w:rsidP="006A66CF">
            <w:pPr>
              <w:pStyle w:val="Tabletext"/>
              <w:rPr>
                <w:noProof/>
                <w:sz w:val="20"/>
                <w:szCs w:val="20"/>
              </w:rPr>
            </w:pPr>
            <w:r w:rsidRPr="006A66CF">
              <w:rPr>
                <w:noProof/>
                <w:sz w:val="20"/>
                <w:szCs w:val="20"/>
              </w:rPr>
              <w:t>-0.</w:t>
            </w:r>
            <w:r w:rsidRPr="006A66CF">
              <w:rPr>
                <w:noProof/>
                <w:sz w:val="20"/>
                <w:szCs w:val="32"/>
              </w:rPr>
              <w:t>089</w:t>
            </w:r>
          </w:p>
        </w:tc>
        <w:tc>
          <w:tcPr>
            <w:tcW w:w="452" w:type="pct"/>
            <w:gridSpan w:val="2"/>
            <w:shd w:val="clear" w:color="auto" w:fill="FFFFFF" w:themeFill="background1"/>
            <w:noWrap/>
          </w:tcPr>
          <w:p w14:paraId="2CF84930" w14:textId="67CA67A4" w:rsidR="006A66CF" w:rsidRPr="006A66CF" w:rsidRDefault="006A66CF" w:rsidP="006A66CF">
            <w:pPr>
              <w:pStyle w:val="Tabletext"/>
              <w:rPr>
                <w:noProof/>
                <w:sz w:val="20"/>
                <w:szCs w:val="20"/>
              </w:rPr>
            </w:pPr>
            <w:r w:rsidRPr="006A66CF">
              <w:rPr>
                <w:noProof/>
                <w:sz w:val="20"/>
                <w:szCs w:val="32"/>
              </w:rPr>
              <w:t>0.017</w:t>
            </w:r>
          </w:p>
        </w:tc>
        <w:tc>
          <w:tcPr>
            <w:tcW w:w="452" w:type="pct"/>
            <w:shd w:val="clear" w:color="auto" w:fill="FFFFFF" w:themeFill="background1"/>
            <w:noWrap/>
          </w:tcPr>
          <w:p w14:paraId="4C1C7800" w14:textId="67A917BE" w:rsidR="006A66CF" w:rsidRPr="006A66CF" w:rsidRDefault="006A66CF" w:rsidP="006A66CF">
            <w:pPr>
              <w:pStyle w:val="Tabletext"/>
              <w:rPr>
                <w:noProof/>
                <w:sz w:val="20"/>
                <w:szCs w:val="20"/>
              </w:rPr>
            </w:pPr>
            <w:r w:rsidRPr="006A66CF">
              <w:rPr>
                <w:noProof/>
                <w:sz w:val="20"/>
                <w:szCs w:val="20"/>
              </w:rPr>
              <w:t>0.307</w:t>
            </w:r>
          </w:p>
        </w:tc>
        <w:tc>
          <w:tcPr>
            <w:tcW w:w="452" w:type="pct"/>
            <w:shd w:val="clear" w:color="auto" w:fill="FFFFFF" w:themeFill="background1"/>
            <w:noWrap/>
          </w:tcPr>
          <w:p w14:paraId="7B346F5D" w14:textId="5D00C9BC" w:rsidR="006A66CF" w:rsidRPr="006A66CF" w:rsidRDefault="006A66CF" w:rsidP="006A66CF">
            <w:pPr>
              <w:pStyle w:val="Tabletext"/>
              <w:rPr>
                <w:noProof/>
                <w:sz w:val="20"/>
                <w:szCs w:val="20"/>
              </w:rPr>
            </w:pPr>
            <w:r w:rsidRPr="006A66CF">
              <w:rPr>
                <w:noProof/>
                <w:sz w:val="20"/>
                <w:szCs w:val="20"/>
              </w:rPr>
              <w:t>0.520</w:t>
            </w:r>
          </w:p>
        </w:tc>
        <w:tc>
          <w:tcPr>
            <w:tcW w:w="452" w:type="pct"/>
            <w:gridSpan w:val="2"/>
            <w:shd w:val="clear" w:color="auto" w:fill="FFFFFF" w:themeFill="background1"/>
            <w:noWrap/>
          </w:tcPr>
          <w:p w14:paraId="25A13B0C" w14:textId="024818DA" w:rsidR="006A66CF" w:rsidRPr="006A66CF" w:rsidRDefault="006A66CF" w:rsidP="006A66CF">
            <w:pPr>
              <w:pStyle w:val="Tabletext"/>
              <w:rPr>
                <w:noProof/>
                <w:sz w:val="20"/>
                <w:szCs w:val="20"/>
              </w:rPr>
            </w:pPr>
            <w:r w:rsidRPr="006A66CF">
              <w:rPr>
                <w:noProof/>
                <w:sz w:val="20"/>
                <w:szCs w:val="20"/>
              </w:rPr>
              <w:t>0.078</w:t>
            </w:r>
          </w:p>
        </w:tc>
        <w:tc>
          <w:tcPr>
            <w:tcW w:w="451" w:type="pct"/>
            <w:gridSpan w:val="2"/>
            <w:shd w:val="clear" w:color="auto" w:fill="FFFFFF" w:themeFill="background1"/>
            <w:noWrap/>
          </w:tcPr>
          <w:p w14:paraId="3563035E" w14:textId="22EE17B9" w:rsidR="006A66CF" w:rsidRPr="006A66CF" w:rsidRDefault="006A66CF" w:rsidP="006A66CF">
            <w:pPr>
              <w:pStyle w:val="Tabletext"/>
              <w:rPr>
                <w:noProof/>
                <w:sz w:val="20"/>
                <w:szCs w:val="20"/>
              </w:rPr>
            </w:pPr>
            <w:r w:rsidRPr="006A66CF">
              <w:rPr>
                <w:noProof/>
                <w:sz w:val="20"/>
                <w:szCs w:val="20"/>
              </w:rPr>
              <w:t>-0.036</w:t>
            </w:r>
          </w:p>
        </w:tc>
        <w:tc>
          <w:tcPr>
            <w:tcW w:w="452" w:type="pct"/>
            <w:shd w:val="clear" w:color="auto" w:fill="FFFFFF" w:themeFill="background1"/>
            <w:noWrap/>
          </w:tcPr>
          <w:p w14:paraId="3284F5FB" w14:textId="2310D45A" w:rsidR="006A66CF" w:rsidRPr="006A66CF" w:rsidRDefault="006A66CF" w:rsidP="006A66CF">
            <w:pPr>
              <w:pStyle w:val="Tabletext"/>
              <w:rPr>
                <w:noProof/>
                <w:sz w:val="20"/>
                <w:szCs w:val="20"/>
              </w:rPr>
            </w:pPr>
            <w:r w:rsidRPr="006A66CF">
              <w:rPr>
                <w:noProof/>
                <w:sz w:val="20"/>
                <w:szCs w:val="20"/>
              </w:rPr>
              <w:t>0.216</w:t>
            </w:r>
          </w:p>
        </w:tc>
        <w:tc>
          <w:tcPr>
            <w:tcW w:w="452" w:type="pct"/>
            <w:gridSpan w:val="2"/>
            <w:shd w:val="clear" w:color="auto" w:fill="FFFFFF" w:themeFill="background1"/>
            <w:noWrap/>
          </w:tcPr>
          <w:p w14:paraId="31DD66F1" w14:textId="57AF3764" w:rsidR="006A66CF" w:rsidRPr="006A66CF" w:rsidRDefault="006A66CF" w:rsidP="006A66CF">
            <w:pPr>
              <w:pStyle w:val="Tabletext"/>
              <w:rPr>
                <w:noProof/>
                <w:sz w:val="20"/>
                <w:szCs w:val="20"/>
              </w:rPr>
            </w:pPr>
            <w:r w:rsidRPr="006A66CF">
              <w:rPr>
                <w:noProof/>
                <w:sz w:val="20"/>
                <w:szCs w:val="20"/>
              </w:rPr>
              <w:t>0.044</w:t>
            </w:r>
          </w:p>
        </w:tc>
        <w:tc>
          <w:tcPr>
            <w:tcW w:w="452" w:type="pct"/>
            <w:shd w:val="clear" w:color="auto" w:fill="FFFFFF" w:themeFill="background1"/>
            <w:noWrap/>
            <w:vAlign w:val="bottom"/>
          </w:tcPr>
          <w:p w14:paraId="15C2ED57" w14:textId="5AF6F44A" w:rsidR="006A66CF" w:rsidRPr="006A66CF" w:rsidRDefault="006A66CF" w:rsidP="006A66CF">
            <w:pPr>
              <w:pStyle w:val="Tabletext"/>
              <w:rPr>
                <w:noProof/>
                <w:sz w:val="20"/>
                <w:szCs w:val="20"/>
              </w:rPr>
            </w:pPr>
            <w:r w:rsidRPr="006A66CF">
              <w:rPr>
                <w:noProof/>
                <w:sz w:val="20"/>
                <w:szCs w:val="20"/>
              </w:rPr>
              <w:t>0.513</w:t>
            </w:r>
          </w:p>
        </w:tc>
        <w:tc>
          <w:tcPr>
            <w:tcW w:w="452" w:type="pct"/>
            <w:shd w:val="clear" w:color="auto" w:fill="FFFFFF" w:themeFill="background1"/>
            <w:noWrap/>
            <w:vAlign w:val="bottom"/>
          </w:tcPr>
          <w:p w14:paraId="7217E883" w14:textId="4F06A26F" w:rsidR="006A66CF" w:rsidRPr="006A66CF" w:rsidRDefault="006A66CF" w:rsidP="006A66CF">
            <w:pPr>
              <w:pStyle w:val="Tabletext"/>
              <w:rPr>
                <w:noProof/>
                <w:sz w:val="20"/>
                <w:szCs w:val="20"/>
              </w:rPr>
            </w:pPr>
            <w:r w:rsidRPr="006A66CF">
              <w:rPr>
                <w:noProof/>
                <w:sz w:val="20"/>
                <w:szCs w:val="20"/>
              </w:rPr>
              <w:t>0.545</w:t>
            </w:r>
          </w:p>
        </w:tc>
      </w:tr>
    </w:tbl>
    <w:p w14:paraId="59CE24DD" w14:textId="77777777" w:rsidR="00865D32" w:rsidRDefault="00865D32" w:rsidP="00865D32">
      <w:pPr>
        <w:pStyle w:val="BodyText"/>
        <w:rPr>
          <w:noProof/>
        </w:rPr>
      </w:pPr>
    </w:p>
    <w:p w14:paraId="2A0595F4" w14:textId="7742554B" w:rsidR="00027074" w:rsidRPr="00027074" w:rsidRDefault="00027074" w:rsidP="008D0BAC">
      <w:pPr>
        <w:rPr>
          <w:noProof/>
        </w:rPr>
      </w:pPr>
      <w:r w:rsidRPr="00AD11B3">
        <w:rPr>
          <w:noProof/>
        </w:rPr>
        <w:t>The</w:t>
      </w:r>
      <w:r w:rsidRPr="00B05194">
        <w:rPr>
          <w:noProof/>
        </w:rPr>
        <w:t xml:space="preserve"> </w:t>
      </w:r>
      <w:r w:rsidRPr="00AD11B3">
        <w:rPr>
          <w:noProof/>
        </w:rPr>
        <w:t>PROMETHEE II results for Problem 1 clearly indicate that PO1-B and PO1-C are the strongest option</w:t>
      </w:r>
      <w:r w:rsidRPr="00361CC2">
        <w:rPr>
          <w:noProof/>
        </w:rPr>
        <w:t xml:space="preserve">s, with PO1-B emerging as the preferred options once Problem 1 priorities are reflected. Under equal weighting, </w:t>
      </w:r>
      <w:r w:rsidR="00254579" w:rsidRPr="00361CC2">
        <w:rPr>
          <w:noProof/>
        </w:rPr>
        <w:t xml:space="preserve">most </w:t>
      </w:r>
      <w:r w:rsidRPr="00361CC2">
        <w:rPr>
          <w:noProof/>
        </w:rPr>
        <w:t>options improve on the baseline</w:t>
      </w:r>
      <w:r w:rsidR="00254579" w:rsidRPr="00361CC2">
        <w:rPr>
          <w:noProof/>
        </w:rPr>
        <w:t xml:space="preserve"> which shows strongly negative net flows at both impact and sub-impact level (–0.</w:t>
      </w:r>
      <w:r w:rsidR="00D93A52">
        <w:rPr>
          <w:noProof/>
        </w:rPr>
        <w:t>917</w:t>
      </w:r>
      <w:r w:rsidR="00254579" w:rsidRPr="00361CC2">
        <w:rPr>
          <w:noProof/>
        </w:rPr>
        <w:t xml:space="preserve"> and –0.</w:t>
      </w:r>
      <w:r w:rsidR="00D93A52">
        <w:rPr>
          <w:noProof/>
        </w:rPr>
        <w:t>798</w:t>
      </w:r>
      <w:r w:rsidR="00254579" w:rsidRPr="00361CC2">
        <w:rPr>
          <w:noProof/>
        </w:rPr>
        <w:t>).</w:t>
      </w:r>
      <w:r w:rsidR="00ED4E60" w:rsidRPr="00361CC2">
        <w:rPr>
          <w:noProof/>
        </w:rPr>
        <w:t xml:space="preserve"> </w:t>
      </w:r>
      <w:r w:rsidR="00850AD3" w:rsidRPr="00361CC2">
        <w:rPr>
          <w:noProof/>
        </w:rPr>
        <w:t xml:space="preserve">At impact level, </w:t>
      </w:r>
      <w:r w:rsidRPr="00361CC2">
        <w:rPr>
          <w:noProof/>
        </w:rPr>
        <w:t>PO1</w:t>
      </w:r>
      <w:r w:rsidR="005137B3" w:rsidRPr="00361CC2">
        <w:rPr>
          <w:noProof/>
        </w:rPr>
        <w:t>-</w:t>
      </w:r>
      <w:r w:rsidRPr="00361CC2">
        <w:rPr>
          <w:noProof/>
        </w:rPr>
        <w:t xml:space="preserve">B </w:t>
      </w:r>
      <w:r w:rsidR="00850AD3" w:rsidRPr="00361CC2">
        <w:rPr>
          <w:noProof/>
        </w:rPr>
        <w:t xml:space="preserve">strongly outperforms </w:t>
      </w:r>
      <w:r w:rsidRPr="00361CC2">
        <w:rPr>
          <w:noProof/>
        </w:rPr>
        <w:t>PO1</w:t>
      </w:r>
      <w:r w:rsidR="005137B3" w:rsidRPr="00361CC2">
        <w:rPr>
          <w:noProof/>
        </w:rPr>
        <w:t>-</w:t>
      </w:r>
      <w:r w:rsidRPr="00361CC2">
        <w:rPr>
          <w:noProof/>
        </w:rPr>
        <w:t xml:space="preserve">C </w:t>
      </w:r>
      <w:r w:rsidR="00850AD3" w:rsidRPr="00361CC2">
        <w:rPr>
          <w:noProof/>
        </w:rPr>
        <w:t>with</w:t>
      </w:r>
      <w:r w:rsidRPr="00361CC2">
        <w:rPr>
          <w:noProof/>
        </w:rPr>
        <w:t xml:space="preserve"> positive impact-level flows (0.</w:t>
      </w:r>
      <w:r w:rsidR="00850AD3" w:rsidRPr="00361CC2">
        <w:rPr>
          <w:noProof/>
        </w:rPr>
        <w:t>500 vs 0.189</w:t>
      </w:r>
      <w:r w:rsidRPr="00361CC2">
        <w:rPr>
          <w:noProof/>
        </w:rPr>
        <w:t>), while PO1</w:t>
      </w:r>
      <w:r w:rsidR="005137B3" w:rsidRPr="00361CC2">
        <w:rPr>
          <w:noProof/>
        </w:rPr>
        <w:t>-</w:t>
      </w:r>
      <w:r w:rsidRPr="00361CC2">
        <w:rPr>
          <w:noProof/>
        </w:rPr>
        <w:t>A delivers only a modest gain</w:t>
      </w:r>
      <w:r w:rsidR="00AA2767" w:rsidRPr="00361CC2">
        <w:rPr>
          <w:noProof/>
        </w:rPr>
        <w:t xml:space="preserve"> with respect to the baseline</w:t>
      </w:r>
      <w:r w:rsidRPr="00361CC2">
        <w:rPr>
          <w:noProof/>
        </w:rPr>
        <w:t xml:space="preserve"> (</w:t>
      </w:r>
      <w:r w:rsidR="00AA2767" w:rsidRPr="00361CC2">
        <w:rPr>
          <w:noProof/>
        </w:rPr>
        <w:t>-</w:t>
      </w:r>
      <w:r w:rsidRPr="00361CC2">
        <w:rPr>
          <w:noProof/>
        </w:rPr>
        <w:t>0.</w:t>
      </w:r>
      <w:r w:rsidR="00AA2767" w:rsidRPr="00361CC2">
        <w:rPr>
          <w:noProof/>
        </w:rPr>
        <w:t>189</w:t>
      </w:r>
      <w:r w:rsidRPr="00361CC2">
        <w:rPr>
          <w:noProof/>
        </w:rPr>
        <w:t xml:space="preserve">). At the sub-impact level, </w:t>
      </w:r>
      <w:r w:rsidR="00297ABC" w:rsidRPr="00361CC2">
        <w:rPr>
          <w:noProof/>
        </w:rPr>
        <w:t>PO1-B still outperforms PO1-C but the difference between the two options decreases</w:t>
      </w:r>
      <w:r w:rsidRPr="00361CC2">
        <w:rPr>
          <w:noProof/>
        </w:rPr>
        <w:t xml:space="preserve"> (0.</w:t>
      </w:r>
      <w:r w:rsidR="00297ABC" w:rsidRPr="00361CC2">
        <w:rPr>
          <w:noProof/>
        </w:rPr>
        <w:t>312 vs 0</w:t>
      </w:r>
      <w:r w:rsidR="00340A30">
        <w:rPr>
          <w:noProof/>
        </w:rPr>
        <w:t>.</w:t>
      </w:r>
      <w:r w:rsidR="00297ABC" w:rsidRPr="00361CC2">
        <w:rPr>
          <w:noProof/>
        </w:rPr>
        <w:t>289</w:t>
      </w:r>
      <w:r w:rsidRPr="00361CC2">
        <w:rPr>
          <w:noProof/>
        </w:rPr>
        <w:t>), suggesting a marginal advantage when all criteria are treated as equally important.</w:t>
      </w:r>
    </w:p>
    <w:p w14:paraId="0B8F8078" w14:textId="57B4DB20" w:rsidR="00865D32" w:rsidRPr="00AD11B3" w:rsidRDefault="00027074" w:rsidP="008D0BAC">
      <w:pPr>
        <w:rPr>
          <w:noProof/>
        </w:rPr>
      </w:pPr>
      <w:r w:rsidRPr="00AD11B3">
        <w:rPr>
          <w:noProof/>
        </w:rPr>
        <w:t xml:space="preserve">When the Problem 1 weighting is applied, the ordering becomes more pronounced. </w:t>
      </w:r>
      <w:r w:rsidRPr="00EC7667">
        <w:rPr>
          <w:noProof/>
        </w:rPr>
        <w:t>The baseline remains negative (–0.</w:t>
      </w:r>
      <w:r w:rsidR="00B20EAF">
        <w:rPr>
          <w:noProof/>
        </w:rPr>
        <w:t>867</w:t>
      </w:r>
      <w:r w:rsidR="000D7609" w:rsidRPr="00EC7667">
        <w:rPr>
          <w:noProof/>
        </w:rPr>
        <w:t xml:space="preserve"> </w:t>
      </w:r>
      <w:r w:rsidRPr="00EC7667">
        <w:rPr>
          <w:noProof/>
        </w:rPr>
        <w:t>at impacts; –0.</w:t>
      </w:r>
      <w:r w:rsidR="00B20EAF">
        <w:rPr>
          <w:noProof/>
        </w:rPr>
        <w:t>671</w:t>
      </w:r>
      <w:r w:rsidR="000D7609" w:rsidRPr="00EC7667">
        <w:rPr>
          <w:noProof/>
        </w:rPr>
        <w:t xml:space="preserve"> </w:t>
      </w:r>
      <w:r w:rsidRPr="00EC7667">
        <w:rPr>
          <w:noProof/>
        </w:rPr>
        <w:t xml:space="preserve">at sub-impacts), </w:t>
      </w:r>
      <w:r w:rsidR="00DF5A42">
        <w:rPr>
          <w:noProof/>
        </w:rPr>
        <w:t>and</w:t>
      </w:r>
      <w:r w:rsidR="00A45A3F" w:rsidRPr="00EC7667">
        <w:rPr>
          <w:noProof/>
        </w:rPr>
        <w:t xml:space="preserve"> </w:t>
      </w:r>
      <w:r w:rsidRPr="00EC7667">
        <w:rPr>
          <w:noProof/>
        </w:rPr>
        <w:t>PO1</w:t>
      </w:r>
      <w:r w:rsidR="005137B3" w:rsidRPr="00EC7667">
        <w:rPr>
          <w:noProof/>
        </w:rPr>
        <w:t>-</w:t>
      </w:r>
      <w:r w:rsidRPr="00EC7667">
        <w:rPr>
          <w:noProof/>
        </w:rPr>
        <w:t xml:space="preserve">A </w:t>
      </w:r>
      <w:r w:rsidR="00DF5A42">
        <w:rPr>
          <w:noProof/>
        </w:rPr>
        <w:t>remains negative</w:t>
      </w:r>
      <w:r w:rsidR="00AF3D27">
        <w:rPr>
          <w:noProof/>
        </w:rPr>
        <w:t xml:space="preserve"> </w:t>
      </w:r>
      <w:r w:rsidR="00DF5A42">
        <w:rPr>
          <w:noProof/>
        </w:rPr>
        <w:t xml:space="preserve">at both levels </w:t>
      </w:r>
      <w:r w:rsidRPr="00EC7667">
        <w:rPr>
          <w:noProof/>
        </w:rPr>
        <w:t>(–0.</w:t>
      </w:r>
      <w:r w:rsidR="00E655C8">
        <w:rPr>
          <w:noProof/>
        </w:rPr>
        <w:t>447</w:t>
      </w:r>
      <w:r w:rsidR="00DF5A42">
        <w:rPr>
          <w:noProof/>
        </w:rPr>
        <w:t xml:space="preserve"> impacts; </w:t>
      </w:r>
      <w:r w:rsidRPr="00EC7667">
        <w:rPr>
          <w:noProof/>
        </w:rPr>
        <w:t>–0.</w:t>
      </w:r>
      <w:r w:rsidR="00E655C8">
        <w:rPr>
          <w:noProof/>
        </w:rPr>
        <w:t>331</w:t>
      </w:r>
      <w:r w:rsidR="00DF5A42">
        <w:rPr>
          <w:noProof/>
        </w:rPr>
        <w:t xml:space="preserve"> sub-impacts</w:t>
      </w:r>
      <w:r w:rsidRPr="00EC7667">
        <w:rPr>
          <w:noProof/>
        </w:rPr>
        <w:t xml:space="preserve">), indicating limited alignment </w:t>
      </w:r>
      <w:r w:rsidR="00AF3D27">
        <w:rPr>
          <w:noProof/>
        </w:rPr>
        <w:t xml:space="preserve">of this option </w:t>
      </w:r>
      <w:r w:rsidRPr="00EC7667">
        <w:rPr>
          <w:noProof/>
        </w:rPr>
        <w:t>with deployment- and cost-driven priorities</w:t>
      </w:r>
      <w:r w:rsidR="00AA0069">
        <w:rPr>
          <w:noProof/>
        </w:rPr>
        <w:t xml:space="preserve">. </w:t>
      </w:r>
      <w:r w:rsidRPr="00EC7667">
        <w:rPr>
          <w:noProof/>
        </w:rPr>
        <w:t>By contrast, PO1</w:t>
      </w:r>
      <w:r w:rsidR="005137B3" w:rsidRPr="00EC7667">
        <w:rPr>
          <w:noProof/>
        </w:rPr>
        <w:t>-</w:t>
      </w:r>
      <w:r w:rsidRPr="00EC7667">
        <w:rPr>
          <w:noProof/>
        </w:rPr>
        <w:t>B and PO1</w:t>
      </w:r>
      <w:r w:rsidR="005137B3" w:rsidRPr="00EC7667">
        <w:rPr>
          <w:noProof/>
        </w:rPr>
        <w:t>-</w:t>
      </w:r>
      <w:r w:rsidRPr="00EC7667">
        <w:rPr>
          <w:noProof/>
        </w:rPr>
        <w:t>C both achieve high impact-level flows (</w:t>
      </w:r>
      <w:r w:rsidR="00361CC2">
        <w:rPr>
          <w:noProof/>
        </w:rPr>
        <w:t xml:space="preserve">0.583 and </w:t>
      </w:r>
      <w:r w:rsidRPr="00EC7667">
        <w:rPr>
          <w:noProof/>
        </w:rPr>
        <w:t>0.</w:t>
      </w:r>
      <w:r w:rsidR="00FF6084">
        <w:rPr>
          <w:noProof/>
        </w:rPr>
        <w:t>147</w:t>
      </w:r>
      <w:r w:rsidRPr="00EC7667">
        <w:rPr>
          <w:noProof/>
        </w:rPr>
        <w:t>). At the sub-impact level under P1, PO1</w:t>
      </w:r>
      <w:r w:rsidR="005137B3" w:rsidRPr="00EC7667">
        <w:rPr>
          <w:noProof/>
        </w:rPr>
        <w:t>-</w:t>
      </w:r>
      <w:r w:rsidRPr="00EC7667">
        <w:rPr>
          <w:noProof/>
        </w:rPr>
        <w:t>B (0.</w:t>
      </w:r>
      <w:r w:rsidR="00FF6084" w:rsidRPr="00EC7667">
        <w:rPr>
          <w:noProof/>
        </w:rPr>
        <w:t>4</w:t>
      </w:r>
      <w:r w:rsidR="00FF6084">
        <w:rPr>
          <w:noProof/>
        </w:rPr>
        <w:t>13</w:t>
      </w:r>
      <w:r w:rsidRPr="00EC7667">
        <w:rPr>
          <w:noProof/>
        </w:rPr>
        <w:t>) outperforms PO1</w:t>
      </w:r>
      <w:r w:rsidR="005137B3" w:rsidRPr="00EC7667">
        <w:rPr>
          <w:noProof/>
        </w:rPr>
        <w:t>-</w:t>
      </w:r>
      <w:r w:rsidRPr="00EC7667">
        <w:rPr>
          <w:noProof/>
        </w:rPr>
        <w:t>C (0.</w:t>
      </w:r>
      <w:r w:rsidR="00FF6084">
        <w:rPr>
          <w:noProof/>
        </w:rPr>
        <w:t>252</w:t>
      </w:r>
      <w:r w:rsidRPr="00EC7667">
        <w:rPr>
          <w:noProof/>
        </w:rPr>
        <w:t xml:space="preserve">), which points to </w:t>
      </w:r>
      <w:r w:rsidRPr="00AD11B3">
        <w:rPr>
          <w:noProof/>
        </w:rPr>
        <w:t>PO1</w:t>
      </w:r>
      <w:r w:rsidR="005137B3" w:rsidRPr="00AD11B3">
        <w:rPr>
          <w:noProof/>
        </w:rPr>
        <w:t>-</w:t>
      </w:r>
      <w:r w:rsidRPr="00AD11B3">
        <w:rPr>
          <w:noProof/>
        </w:rPr>
        <w:t xml:space="preserve">B as the best overall option once implementation-level effects and the stronger emphasis on </w:t>
      </w:r>
      <w:r w:rsidR="00361CC2" w:rsidRPr="00AD11B3">
        <w:rPr>
          <w:noProof/>
        </w:rPr>
        <w:t xml:space="preserve">effectiveness </w:t>
      </w:r>
      <w:r w:rsidRPr="00AD11B3">
        <w:rPr>
          <w:noProof/>
        </w:rPr>
        <w:t>and cost criteria are considered.</w:t>
      </w:r>
      <w:bookmarkStart w:id="297" w:name="_Toc213232723"/>
      <w:bookmarkStart w:id="298" w:name="_Toc213440610"/>
    </w:p>
    <w:p w14:paraId="78FA3F8A" w14:textId="0AB3BD28" w:rsidR="0017193A" w:rsidRDefault="0017193A" w:rsidP="0017193A">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53</w:t>
      </w:r>
      <w:r>
        <w:rPr>
          <w:noProof/>
        </w:rPr>
        <w:fldChar w:fldCharType="end"/>
      </w:r>
      <w:r>
        <w:rPr>
          <w:noProof/>
        </w:rPr>
        <w:t xml:space="preserve">. </w:t>
      </w:r>
      <w:r w:rsidRPr="001567D9">
        <w:rPr>
          <w:noProof/>
        </w:rPr>
        <w:t>PROMETHEE II - Problem 1</w:t>
      </w:r>
      <w:bookmarkEnd w:id="297"/>
      <w:bookmarkEnd w:id="298"/>
      <w:r w:rsidR="004E323D">
        <w:rPr>
          <w:noProof/>
        </w:rPr>
        <w:t xml:space="preserve"> </w:t>
      </w:r>
      <w:r w:rsidR="004E323D" w:rsidRPr="00785FC1">
        <w:rPr>
          <w:b w:val="0"/>
          <w:bCs/>
          <w:noProof/>
        </w:rPr>
        <w:t>(Source: Technopolis et al. (2025))</w:t>
      </w:r>
    </w:p>
    <w:tbl>
      <w:tblPr>
        <w:tblStyle w:val="TechnopolisLight"/>
        <w:tblW w:w="5000" w:type="pct"/>
        <w:tblInd w:w="0" w:type="dxa"/>
        <w:tblBorders>
          <w:bottom w:val="single" w:sz="12" w:space="0" w:color="00B0F0"/>
        </w:tblBorders>
        <w:tblLook w:val="04A0" w:firstRow="1" w:lastRow="0" w:firstColumn="1" w:lastColumn="0" w:noHBand="0" w:noVBand="1"/>
      </w:tblPr>
      <w:tblGrid>
        <w:gridCol w:w="1809"/>
        <w:gridCol w:w="1809"/>
        <w:gridCol w:w="1809"/>
        <w:gridCol w:w="1809"/>
        <w:gridCol w:w="1809"/>
      </w:tblGrid>
      <w:tr w:rsidR="0017193A" w:rsidRPr="00335127" w14:paraId="40038758" w14:textId="77777777" w:rsidTr="00690805">
        <w:trPr>
          <w:cnfStyle w:val="100000000000" w:firstRow="1" w:lastRow="0" w:firstColumn="0" w:lastColumn="0" w:oddVBand="0" w:evenVBand="0" w:oddHBand="0" w:evenHBand="0" w:firstRowFirstColumn="0" w:firstRowLastColumn="0" w:lastRowFirstColumn="0" w:lastRowLastColumn="0"/>
        </w:trPr>
        <w:tc>
          <w:tcPr>
            <w:tcW w:w="1000" w:type="pct"/>
          </w:tcPr>
          <w:p w14:paraId="33647BD5" w14:textId="77777777" w:rsidR="0017193A" w:rsidRPr="00DA029C" w:rsidRDefault="0017193A">
            <w:pPr>
              <w:pStyle w:val="Tabletext"/>
              <w:rPr>
                <w:noProof/>
                <w:sz w:val="22"/>
                <w:szCs w:val="22"/>
              </w:rPr>
            </w:pPr>
            <w:r w:rsidRPr="00DA029C">
              <w:rPr>
                <w:noProof/>
                <w:sz w:val="22"/>
                <w:szCs w:val="22"/>
              </w:rPr>
              <w:t>Option</w:t>
            </w:r>
          </w:p>
        </w:tc>
        <w:tc>
          <w:tcPr>
            <w:tcW w:w="1000" w:type="pct"/>
          </w:tcPr>
          <w:p w14:paraId="30EF6708" w14:textId="77777777" w:rsidR="0017193A" w:rsidRPr="00B05194" w:rsidRDefault="0017193A">
            <w:pPr>
              <w:pStyle w:val="Tabletext"/>
              <w:rPr>
                <w:noProof/>
                <w:sz w:val="22"/>
                <w:szCs w:val="22"/>
              </w:rPr>
            </w:pPr>
            <w:r w:rsidRPr="00B05194">
              <w:rPr>
                <w:noProof/>
                <w:sz w:val="22"/>
                <w:szCs w:val="22"/>
              </w:rPr>
              <w:t>EW - Impacts</w:t>
            </w:r>
          </w:p>
        </w:tc>
        <w:tc>
          <w:tcPr>
            <w:tcW w:w="1000" w:type="pct"/>
          </w:tcPr>
          <w:p w14:paraId="6B5070C6" w14:textId="77777777" w:rsidR="0017193A" w:rsidRPr="00B05194" w:rsidRDefault="0017193A">
            <w:pPr>
              <w:pStyle w:val="Tabletext"/>
              <w:rPr>
                <w:noProof/>
                <w:sz w:val="22"/>
                <w:szCs w:val="22"/>
              </w:rPr>
            </w:pPr>
            <w:r w:rsidRPr="00B05194">
              <w:rPr>
                <w:noProof/>
                <w:sz w:val="22"/>
                <w:szCs w:val="22"/>
              </w:rPr>
              <w:t>EW Sub-impacts</w:t>
            </w:r>
          </w:p>
        </w:tc>
        <w:tc>
          <w:tcPr>
            <w:tcW w:w="1000" w:type="pct"/>
          </w:tcPr>
          <w:p w14:paraId="08035817" w14:textId="77777777" w:rsidR="0017193A" w:rsidRPr="00DA029C" w:rsidRDefault="0017193A">
            <w:pPr>
              <w:pStyle w:val="Tabletext"/>
              <w:rPr>
                <w:noProof/>
                <w:sz w:val="22"/>
                <w:szCs w:val="22"/>
              </w:rPr>
            </w:pPr>
            <w:r w:rsidRPr="00DA029C">
              <w:rPr>
                <w:noProof/>
                <w:sz w:val="22"/>
                <w:szCs w:val="22"/>
              </w:rPr>
              <w:t>P1 - Impacts</w:t>
            </w:r>
          </w:p>
        </w:tc>
        <w:tc>
          <w:tcPr>
            <w:tcW w:w="1000" w:type="pct"/>
          </w:tcPr>
          <w:p w14:paraId="03571D16" w14:textId="77777777" w:rsidR="0017193A" w:rsidRPr="00DA029C" w:rsidRDefault="0017193A">
            <w:pPr>
              <w:pStyle w:val="Tabletext"/>
              <w:rPr>
                <w:noProof/>
                <w:sz w:val="22"/>
                <w:szCs w:val="22"/>
              </w:rPr>
            </w:pPr>
            <w:r w:rsidRPr="00DA029C">
              <w:rPr>
                <w:noProof/>
                <w:sz w:val="22"/>
                <w:szCs w:val="22"/>
              </w:rPr>
              <w:t>P1 – Sub-Impacts</w:t>
            </w:r>
          </w:p>
        </w:tc>
      </w:tr>
    </w:tbl>
    <w:tbl>
      <w:tblPr>
        <w:tblW w:w="5000" w:type="pct"/>
        <w:tblLook w:val="04A0" w:firstRow="1" w:lastRow="0" w:firstColumn="1" w:lastColumn="0" w:noHBand="0" w:noVBand="1"/>
      </w:tblPr>
      <w:tblGrid>
        <w:gridCol w:w="1809"/>
        <w:gridCol w:w="1809"/>
        <w:gridCol w:w="1809"/>
        <w:gridCol w:w="1809"/>
        <w:gridCol w:w="1809"/>
      </w:tblGrid>
      <w:tr w:rsidR="0017193A" w:rsidRPr="00335127" w14:paraId="1B2D99BA" w14:textId="77777777" w:rsidTr="006E20BD">
        <w:tc>
          <w:tcPr>
            <w:tcW w:w="1000" w:type="pct"/>
            <w:shd w:val="clear" w:color="auto" w:fill="D9D9D9" w:themeFill="background1" w:themeFillShade="D9"/>
          </w:tcPr>
          <w:p w14:paraId="626C1734" w14:textId="77777777" w:rsidR="0017193A" w:rsidRPr="00DA029C" w:rsidRDefault="0017193A">
            <w:pPr>
              <w:pStyle w:val="Tabletext"/>
              <w:rPr>
                <w:b/>
                <w:bCs/>
                <w:noProof/>
                <w:sz w:val="22"/>
                <w:szCs w:val="22"/>
              </w:rPr>
            </w:pPr>
            <w:r w:rsidRPr="00DA029C">
              <w:rPr>
                <w:b/>
                <w:bCs/>
                <w:noProof/>
                <w:sz w:val="22"/>
                <w:szCs w:val="22"/>
              </w:rPr>
              <w:t>Baseline</w:t>
            </w:r>
          </w:p>
        </w:tc>
        <w:tc>
          <w:tcPr>
            <w:tcW w:w="1000" w:type="pct"/>
            <w:shd w:val="clear" w:color="auto" w:fill="D9D9D9" w:themeFill="background1" w:themeFillShade="D9"/>
          </w:tcPr>
          <w:p w14:paraId="67C316BB" w14:textId="7E1E1CC1" w:rsidR="0017193A" w:rsidRPr="008D0BAC" w:rsidRDefault="0017193A">
            <w:pPr>
              <w:pStyle w:val="Tabletext"/>
              <w:rPr>
                <w:noProof/>
                <w:sz w:val="20"/>
                <w:szCs w:val="32"/>
              </w:rPr>
            </w:pPr>
            <w:r w:rsidRPr="008D0BAC">
              <w:rPr>
                <w:noProof/>
                <w:sz w:val="20"/>
                <w:szCs w:val="32"/>
              </w:rPr>
              <w:t>-0.917</w:t>
            </w:r>
          </w:p>
        </w:tc>
        <w:tc>
          <w:tcPr>
            <w:tcW w:w="1000" w:type="pct"/>
            <w:shd w:val="clear" w:color="auto" w:fill="D9D9D9" w:themeFill="background1" w:themeFillShade="D9"/>
          </w:tcPr>
          <w:p w14:paraId="424BF2E7" w14:textId="6442105F" w:rsidR="0017193A" w:rsidRPr="008D0BAC" w:rsidRDefault="00F058A7">
            <w:pPr>
              <w:pStyle w:val="Tabletext"/>
              <w:rPr>
                <w:noProof/>
                <w:sz w:val="20"/>
                <w:szCs w:val="32"/>
              </w:rPr>
            </w:pPr>
            <w:r w:rsidRPr="008D0BAC">
              <w:rPr>
                <w:noProof/>
                <w:sz w:val="20"/>
                <w:szCs w:val="32"/>
              </w:rPr>
              <w:t>-0.798</w:t>
            </w:r>
          </w:p>
        </w:tc>
        <w:tc>
          <w:tcPr>
            <w:tcW w:w="1000" w:type="pct"/>
            <w:shd w:val="clear" w:color="auto" w:fill="D9D9D9" w:themeFill="background1" w:themeFillShade="D9"/>
          </w:tcPr>
          <w:p w14:paraId="76B26221" w14:textId="557AFAE1" w:rsidR="0017193A" w:rsidRPr="008D0BAC" w:rsidRDefault="00F058A7">
            <w:pPr>
              <w:pStyle w:val="Tabletext"/>
              <w:rPr>
                <w:noProof/>
                <w:sz w:val="20"/>
                <w:szCs w:val="32"/>
              </w:rPr>
            </w:pPr>
            <w:r w:rsidRPr="008D0BAC">
              <w:rPr>
                <w:noProof/>
                <w:sz w:val="20"/>
                <w:szCs w:val="32"/>
              </w:rPr>
              <w:t>-0.867</w:t>
            </w:r>
          </w:p>
        </w:tc>
        <w:tc>
          <w:tcPr>
            <w:tcW w:w="1000" w:type="pct"/>
            <w:shd w:val="clear" w:color="auto" w:fill="D9D9D9" w:themeFill="background1" w:themeFillShade="D9"/>
          </w:tcPr>
          <w:p w14:paraId="346B8081" w14:textId="69F778EE" w:rsidR="0017193A" w:rsidRPr="008D0BAC" w:rsidRDefault="00F058A7">
            <w:pPr>
              <w:pStyle w:val="Tabletext"/>
              <w:rPr>
                <w:noProof/>
                <w:sz w:val="20"/>
                <w:szCs w:val="32"/>
              </w:rPr>
            </w:pPr>
            <w:r w:rsidRPr="008D0BAC">
              <w:rPr>
                <w:noProof/>
                <w:sz w:val="20"/>
                <w:szCs w:val="32"/>
              </w:rPr>
              <w:t>-0.671</w:t>
            </w:r>
          </w:p>
        </w:tc>
      </w:tr>
      <w:tr w:rsidR="0017193A" w:rsidRPr="00335127" w14:paraId="060D2C95" w14:textId="77777777">
        <w:tc>
          <w:tcPr>
            <w:tcW w:w="1000" w:type="pct"/>
          </w:tcPr>
          <w:p w14:paraId="3F6F2546" w14:textId="77777777" w:rsidR="0017193A" w:rsidRPr="00DA029C" w:rsidRDefault="0017193A">
            <w:pPr>
              <w:pStyle w:val="Tabletext"/>
              <w:rPr>
                <w:b/>
                <w:bCs/>
                <w:noProof/>
                <w:sz w:val="22"/>
                <w:szCs w:val="22"/>
              </w:rPr>
            </w:pPr>
            <w:r w:rsidRPr="00DA029C">
              <w:rPr>
                <w:b/>
                <w:bCs/>
                <w:noProof/>
                <w:sz w:val="22"/>
                <w:szCs w:val="22"/>
              </w:rPr>
              <w:t>PO1-A</w:t>
            </w:r>
          </w:p>
        </w:tc>
        <w:tc>
          <w:tcPr>
            <w:tcW w:w="1000" w:type="pct"/>
          </w:tcPr>
          <w:p w14:paraId="25F5CAD1" w14:textId="55E73194" w:rsidR="0017193A" w:rsidRPr="008D0BAC" w:rsidRDefault="00213988">
            <w:pPr>
              <w:pStyle w:val="Tabletext"/>
              <w:rPr>
                <w:noProof/>
                <w:sz w:val="20"/>
                <w:szCs w:val="32"/>
              </w:rPr>
            </w:pPr>
            <w:r>
              <w:rPr>
                <w:noProof/>
                <w:sz w:val="20"/>
                <w:szCs w:val="32"/>
              </w:rPr>
              <w:t>-0</w:t>
            </w:r>
            <w:r w:rsidR="0077159F">
              <w:rPr>
                <w:noProof/>
                <w:sz w:val="20"/>
                <w:szCs w:val="32"/>
              </w:rPr>
              <w:t>.189</w:t>
            </w:r>
          </w:p>
        </w:tc>
        <w:tc>
          <w:tcPr>
            <w:tcW w:w="1000" w:type="pct"/>
          </w:tcPr>
          <w:p w14:paraId="61728C57" w14:textId="5CBF1747" w:rsidR="0017193A" w:rsidRPr="008D0BAC" w:rsidRDefault="00BF2B38">
            <w:pPr>
              <w:pStyle w:val="Tabletext"/>
              <w:rPr>
                <w:noProof/>
                <w:sz w:val="20"/>
                <w:szCs w:val="32"/>
              </w:rPr>
            </w:pPr>
            <w:r>
              <w:rPr>
                <w:noProof/>
                <w:sz w:val="20"/>
                <w:szCs w:val="32"/>
              </w:rPr>
              <w:t>-</w:t>
            </w:r>
            <w:r w:rsidR="00F058A7" w:rsidRPr="008D0BAC">
              <w:rPr>
                <w:noProof/>
                <w:sz w:val="20"/>
                <w:szCs w:val="32"/>
              </w:rPr>
              <w:t>0.</w:t>
            </w:r>
            <w:r>
              <w:rPr>
                <w:noProof/>
                <w:sz w:val="20"/>
                <w:szCs w:val="32"/>
              </w:rPr>
              <w:t>112</w:t>
            </w:r>
          </w:p>
        </w:tc>
        <w:tc>
          <w:tcPr>
            <w:tcW w:w="1000" w:type="pct"/>
          </w:tcPr>
          <w:p w14:paraId="027ECC56" w14:textId="00F4515C" w:rsidR="0017193A" w:rsidRPr="008D0BAC" w:rsidRDefault="00C82BFF">
            <w:pPr>
              <w:pStyle w:val="Tabletext"/>
              <w:rPr>
                <w:noProof/>
                <w:sz w:val="20"/>
                <w:szCs w:val="32"/>
              </w:rPr>
            </w:pPr>
            <w:r w:rsidRPr="00C82BFF">
              <w:rPr>
                <w:noProof/>
                <w:sz w:val="20"/>
                <w:szCs w:val="32"/>
                <w:lang w:val="en-GB"/>
              </w:rPr>
              <w:t>-0.447</w:t>
            </w:r>
          </w:p>
        </w:tc>
        <w:tc>
          <w:tcPr>
            <w:tcW w:w="1000" w:type="pct"/>
          </w:tcPr>
          <w:p w14:paraId="5571B3D7" w14:textId="716987A1" w:rsidR="0017193A" w:rsidRPr="008D0BAC" w:rsidRDefault="00D84C87">
            <w:pPr>
              <w:pStyle w:val="Tabletext"/>
              <w:rPr>
                <w:noProof/>
                <w:sz w:val="20"/>
                <w:szCs w:val="32"/>
              </w:rPr>
            </w:pPr>
            <w:r w:rsidRPr="00D84C87">
              <w:rPr>
                <w:noProof/>
                <w:sz w:val="20"/>
                <w:szCs w:val="32"/>
                <w:lang w:val="en-GB"/>
              </w:rPr>
              <w:t>-0.331</w:t>
            </w:r>
          </w:p>
        </w:tc>
      </w:tr>
      <w:tr w:rsidR="0017193A" w:rsidRPr="00335127" w14:paraId="6D3E6683" w14:textId="77777777">
        <w:tc>
          <w:tcPr>
            <w:tcW w:w="1000" w:type="pct"/>
          </w:tcPr>
          <w:p w14:paraId="427402B5" w14:textId="77777777" w:rsidR="0017193A" w:rsidRPr="00DA029C" w:rsidRDefault="0017193A">
            <w:pPr>
              <w:pStyle w:val="Tabletext"/>
              <w:rPr>
                <w:b/>
                <w:bCs/>
                <w:noProof/>
                <w:sz w:val="22"/>
                <w:szCs w:val="22"/>
              </w:rPr>
            </w:pPr>
            <w:r w:rsidRPr="00DA029C">
              <w:rPr>
                <w:b/>
                <w:bCs/>
                <w:noProof/>
                <w:sz w:val="22"/>
                <w:szCs w:val="22"/>
              </w:rPr>
              <w:t>PO1-B</w:t>
            </w:r>
          </w:p>
        </w:tc>
        <w:tc>
          <w:tcPr>
            <w:tcW w:w="1000" w:type="pct"/>
          </w:tcPr>
          <w:p w14:paraId="7798A487" w14:textId="748EAF51" w:rsidR="0017193A" w:rsidRPr="008D0BAC" w:rsidRDefault="0017193A">
            <w:pPr>
              <w:pStyle w:val="Tabletext"/>
              <w:rPr>
                <w:noProof/>
                <w:sz w:val="20"/>
                <w:szCs w:val="32"/>
              </w:rPr>
            </w:pPr>
            <w:r w:rsidRPr="008D0BAC">
              <w:rPr>
                <w:noProof/>
                <w:sz w:val="20"/>
                <w:szCs w:val="32"/>
              </w:rPr>
              <w:t>0.</w:t>
            </w:r>
            <w:r w:rsidR="0077159F">
              <w:rPr>
                <w:noProof/>
                <w:sz w:val="20"/>
                <w:szCs w:val="32"/>
              </w:rPr>
              <w:t>500</w:t>
            </w:r>
          </w:p>
        </w:tc>
        <w:tc>
          <w:tcPr>
            <w:tcW w:w="1000" w:type="pct"/>
          </w:tcPr>
          <w:p w14:paraId="35ECD9E3" w14:textId="20E89F7A" w:rsidR="0017193A" w:rsidRPr="008D0BAC" w:rsidRDefault="00F058A7">
            <w:pPr>
              <w:pStyle w:val="Tabletext"/>
              <w:rPr>
                <w:noProof/>
                <w:sz w:val="20"/>
                <w:szCs w:val="32"/>
              </w:rPr>
            </w:pPr>
            <w:r w:rsidRPr="008D0BAC">
              <w:rPr>
                <w:noProof/>
                <w:sz w:val="20"/>
                <w:szCs w:val="32"/>
              </w:rPr>
              <w:t>0.</w:t>
            </w:r>
            <w:r w:rsidR="008D0952" w:rsidRPr="008D0BAC">
              <w:rPr>
                <w:noProof/>
                <w:sz w:val="20"/>
                <w:szCs w:val="32"/>
              </w:rPr>
              <w:t>3</w:t>
            </w:r>
            <w:r w:rsidR="008D0952">
              <w:rPr>
                <w:noProof/>
                <w:sz w:val="20"/>
                <w:szCs w:val="32"/>
              </w:rPr>
              <w:t>12</w:t>
            </w:r>
          </w:p>
        </w:tc>
        <w:tc>
          <w:tcPr>
            <w:tcW w:w="1000" w:type="pct"/>
          </w:tcPr>
          <w:p w14:paraId="5A6FA345" w14:textId="173AD846" w:rsidR="0017193A" w:rsidRPr="008D0BAC" w:rsidRDefault="0056729E">
            <w:pPr>
              <w:pStyle w:val="Tabletext"/>
              <w:rPr>
                <w:noProof/>
                <w:sz w:val="20"/>
                <w:szCs w:val="32"/>
              </w:rPr>
            </w:pPr>
            <w:r w:rsidRPr="0056729E">
              <w:rPr>
                <w:noProof/>
                <w:sz w:val="20"/>
                <w:szCs w:val="32"/>
                <w:lang w:val="en-GB"/>
              </w:rPr>
              <w:t>0.</w:t>
            </w:r>
            <w:r w:rsidR="002E16A9">
              <w:rPr>
                <w:noProof/>
                <w:sz w:val="20"/>
                <w:szCs w:val="32"/>
                <w:lang w:val="en-GB"/>
              </w:rPr>
              <w:t>583</w:t>
            </w:r>
          </w:p>
        </w:tc>
        <w:tc>
          <w:tcPr>
            <w:tcW w:w="1000" w:type="pct"/>
          </w:tcPr>
          <w:p w14:paraId="07D764B0" w14:textId="4AB11630" w:rsidR="0017193A" w:rsidRPr="008D0BAC" w:rsidRDefault="00D84C87">
            <w:pPr>
              <w:pStyle w:val="Tabletext"/>
              <w:rPr>
                <w:noProof/>
                <w:sz w:val="20"/>
                <w:szCs w:val="32"/>
              </w:rPr>
            </w:pPr>
            <w:r w:rsidRPr="00D84C87">
              <w:rPr>
                <w:noProof/>
                <w:sz w:val="20"/>
                <w:szCs w:val="32"/>
                <w:lang w:val="en-GB"/>
              </w:rPr>
              <w:t>0.413</w:t>
            </w:r>
          </w:p>
        </w:tc>
      </w:tr>
      <w:tr w:rsidR="0017193A" w:rsidRPr="00335127" w14:paraId="054BEE7C" w14:textId="77777777">
        <w:tc>
          <w:tcPr>
            <w:tcW w:w="1000" w:type="pct"/>
          </w:tcPr>
          <w:p w14:paraId="0DEFA0BC" w14:textId="77777777" w:rsidR="0017193A" w:rsidRPr="00DA029C" w:rsidRDefault="0017193A">
            <w:pPr>
              <w:pStyle w:val="Tabletext"/>
              <w:rPr>
                <w:b/>
                <w:bCs/>
                <w:noProof/>
                <w:sz w:val="22"/>
                <w:szCs w:val="22"/>
              </w:rPr>
            </w:pPr>
            <w:r w:rsidRPr="00DA029C">
              <w:rPr>
                <w:b/>
                <w:bCs/>
                <w:noProof/>
                <w:sz w:val="22"/>
                <w:szCs w:val="22"/>
              </w:rPr>
              <w:t>PO1-C</w:t>
            </w:r>
          </w:p>
        </w:tc>
        <w:tc>
          <w:tcPr>
            <w:tcW w:w="1000" w:type="pct"/>
          </w:tcPr>
          <w:p w14:paraId="3CF60A90" w14:textId="26D043B9" w:rsidR="0017193A" w:rsidRPr="008D0BAC" w:rsidRDefault="0017193A">
            <w:pPr>
              <w:pStyle w:val="Tabletext"/>
              <w:rPr>
                <w:noProof/>
                <w:sz w:val="20"/>
                <w:szCs w:val="32"/>
              </w:rPr>
            </w:pPr>
            <w:r w:rsidRPr="008D0BAC">
              <w:rPr>
                <w:noProof/>
                <w:sz w:val="20"/>
                <w:szCs w:val="32"/>
              </w:rPr>
              <w:t>0.</w:t>
            </w:r>
            <w:r w:rsidR="00DB24D0">
              <w:rPr>
                <w:noProof/>
                <w:sz w:val="20"/>
                <w:szCs w:val="32"/>
              </w:rPr>
              <w:t>189</w:t>
            </w:r>
          </w:p>
        </w:tc>
        <w:tc>
          <w:tcPr>
            <w:tcW w:w="1000" w:type="pct"/>
          </w:tcPr>
          <w:p w14:paraId="46000DFB" w14:textId="34DEF3F3" w:rsidR="0017193A" w:rsidRPr="008D0BAC" w:rsidRDefault="00F058A7">
            <w:pPr>
              <w:pStyle w:val="Tabletext"/>
              <w:rPr>
                <w:noProof/>
                <w:sz w:val="20"/>
                <w:szCs w:val="32"/>
              </w:rPr>
            </w:pPr>
            <w:r w:rsidRPr="008D0BAC">
              <w:rPr>
                <w:noProof/>
                <w:sz w:val="20"/>
                <w:szCs w:val="32"/>
              </w:rPr>
              <w:t>0.</w:t>
            </w:r>
            <w:r w:rsidR="008D0952">
              <w:rPr>
                <w:noProof/>
                <w:sz w:val="20"/>
                <w:szCs w:val="32"/>
              </w:rPr>
              <w:t>289</w:t>
            </w:r>
          </w:p>
        </w:tc>
        <w:tc>
          <w:tcPr>
            <w:tcW w:w="1000" w:type="pct"/>
          </w:tcPr>
          <w:p w14:paraId="0B251D98" w14:textId="32D0EE9C" w:rsidR="0017193A" w:rsidRPr="008D0BAC" w:rsidRDefault="00BE0250">
            <w:pPr>
              <w:pStyle w:val="Tabletext"/>
              <w:rPr>
                <w:noProof/>
                <w:sz w:val="20"/>
                <w:szCs w:val="32"/>
              </w:rPr>
            </w:pPr>
            <w:r w:rsidRPr="00BE0250">
              <w:rPr>
                <w:noProof/>
                <w:sz w:val="20"/>
                <w:szCs w:val="32"/>
                <w:lang w:val="en-GB"/>
              </w:rPr>
              <w:t>0.</w:t>
            </w:r>
            <w:r w:rsidR="002E16A9">
              <w:rPr>
                <w:noProof/>
                <w:sz w:val="20"/>
                <w:szCs w:val="32"/>
                <w:lang w:val="en-GB"/>
              </w:rPr>
              <w:t>147</w:t>
            </w:r>
          </w:p>
        </w:tc>
        <w:tc>
          <w:tcPr>
            <w:tcW w:w="1000" w:type="pct"/>
          </w:tcPr>
          <w:p w14:paraId="29ED07AB" w14:textId="0E533287" w:rsidR="0017193A" w:rsidRPr="008D0BAC" w:rsidRDefault="00D84C87">
            <w:pPr>
              <w:pStyle w:val="Tabletext"/>
              <w:rPr>
                <w:noProof/>
                <w:sz w:val="20"/>
                <w:szCs w:val="32"/>
              </w:rPr>
            </w:pPr>
            <w:r w:rsidRPr="00D84C87">
              <w:rPr>
                <w:noProof/>
                <w:sz w:val="20"/>
                <w:szCs w:val="32"/>
                <w:lang w:val="en-GB"/>
              </w:rPr>
              <w:t>0.252</w:t>
            </w:r>
          </w:p>
        </w:tc>
      </w:tr>
    </w:tbl>
    <w:p w14:paraId="4D08C9D6" w14:textId="77777777" w:rsidR="0017193A" w:rsidRPr="0007547C" w:rsidRDefault="0017193A" w:rsidP="0017193A">
      <w:pPr>
        <w:pStyle w:val="BodyText"/>
        <w:rPr>
          <w:noProof/>
        </w:rPr>
      </w:pPr>
    </w:p>
    <w:p w14:paraId="6C6A3875" w14:textId="1327A874" w:rsidR="003806CC" w:rsidRDefault="003806CC" w:rsidP="003806CC">
      <w:pPr>
        <w:pStyle w:val="BodyText"/>
        <w:rPr>
          <w:noProof/>
        </w:rPr>
      </w:pPr>
      <w:r w:rsidRPr="00AD11B3">
        <w:rPr>
          <w:noProof/>
        </w:rPr>
        <w:t>For Problem 1, the EL</w:t>
      </w:r>
      <w:r w:rsidR="00C42412" w:rsidRPr="00AD11B3">
        <w:rPr>
          <w:noProof/>
        </w:rPr>
        <w:t>E</w:t>
      </w:r>
      <w:r w:rsidRPr="00AD11B3">
        <w:rPr>
          <w:noProof/>
        </w:rPr>
        <w:t>CTRE III outranking</w:t>
      </w:r>
      <w:r>
        <w:rPr>
          <w:noProof/>
        </w:rPr>
        <w:t xml:space="preserve"> analysis shows a very consistent pattern: at impact level, both under equal weighting and under the P1 weights, the descending o</w:t>
      </w:r>
      <w:r w:rsidRPr="006B602B">
        <w:rPr>
          <w:noProof/>
        </w:rPr>
        <w:t>rder is PO1</w:t>
      </w:r>
      <w:r w:rsidR="00275E1D">
        <w:rPr>
          <w:noProof/>
        </w:rPr>
        <w:t>-</w:t>
      </w:r>
      <w:r w:rsidRPr="006B602B">
        <w:rPr>
          <w:noProof/>
        </w:rPr>
        <w:t xml:space="preserve">B </w:t>
      </w:r>
      <w:r w:rsidR="00276948">
        <w:rPr>
          <w:noProof/>
        </w:rPr>
        <w:t>&gt;</w:t>
      </w:r>
      <w:r w:rsidR="00276948" w:rsidRPr="006B602B">
        <w:rPr>
          <w:noProof/>
        </w:rPr>
        <w:t xml:space="preserve"> </w:t>
      </w:r>
      <w:r w:rsidRPr="006B602B">
        <w:rPr>
          <w:noProof/>
        </w:rPr>
        <w:t>PO1</w:t>
      </w:r>
      <w:r>
        <w:rPr>
          <w:noProof/>
        </w:rPr>
        <w:t>-</w:t>
      </w:r>
      <w:r w:rsidRPr="006B602B">
        <w:rPr>
          <w:noProof/>
        </w:rPr>
        <w:t>C &gt; PO1</w:t>
      </w:r>
      <w:r>
        <w:rPr>
          <w:noProof/>
        </w:rPr>
        <w:t>-</w:t>
      </w:r>
      <w:r w:rsidRPr="006B602B">
        <w:rPr>
          <w:noProof/>
        </w:rPr>
        <w:t xml:space="preserve">A </w:t>
      </w:r>
      <w:r w:rsidR="00276948">
        <w:rPr>
          <w:noProof/>
        </w:rPr>
        <w:t>=</w:t>
      </w:r>
      <w:r w:rsidR="00276948" w:rsidRPr="006B602B">
        <w:rPr>
          <w:noProof/>
        </w:rPr>
        <w:t xml:space="preserve"> </w:t>
      </w:r>
      <w:r w:rsidRPr="006B602B">
        <w:rPr>
          <w:noProof/>
        </w:rPr>
        <w:t>baseline, meaning that PO1</w:t>
      </w:r>
      <w:r>
        <w:rPr>
          <w:noProof/>
        </w:rPr>
        <w:t>-</w:t>
      </w:r>
      <w:r w:rsidRPr="006B602B">
        <w:rPr>
          <w:noProof/>
        </w:rPr>
        <w:t xml:space="preserve">B </w:t>
      </w:r>
      <w:r w:rsidR="000932AA">
        <w:rPr>
          <w:noProof/>
        </w:rPr>
        <w:t>outranks</w:t>
      </w:r>
      <w:r w:rsidR="000932AA" w:rsidRPr="006B602B">
        <w:rPr>
          <w:noProof/>
        </w:rPr>
        <w:t xml:space="preserve"> </w:t>
      </w:r>
      <w:r w:rsidRPr="006B602B">
        <w:rPr>
          <w:noProof/>
        </w:rPr>
        <w:t>PO1</w:t>
      </w:r>
      <w:r>
        <w:rPr>
          <w:noProof/>
        </w:rPr>
        <w:t>-</w:t>
      </w:r>
      <w:r w:rsidRPr="006B602B">
        <w:rPr>
          <w:noProof/>
        </w:rPr>
        <w:t>C</w:t>
      </w:r>
      <w:r w:rsidR="00AA1785">
        <w:rPr>
          <w:noProof/>
        </w:rPr>
        <w:t>, and both outrank the baseline,</w:t>
      </w:r>
      <w:r w:rsidRPr="006B602B">
        <w:rPr>
          <w:noProof/>
        </w:rPr>
        <w:t xml:space="preserve"> </w:t>
      </w:r>
      <w:r w:rsidR="000932AA">
        <w:rPr>
          <w:noProof/>
        </w:rPr>
        <w:t>while</w:t>
      </w:r>
      <w:r w:rsidRPr="006B602B">
        <w:rPr>
          <w:noProof/>
        </w:rPr>
        <w:t xml:space="preserve"> PO1</w:t>
      </w:r>
      <w:r w:rsidR="00B6482F">
        <w:rPr>
          <w:noProof/>
        </w:rPr>
        <w:t>-</w:t>
      </w:r>
      <w:r w:rsidRPr="006B602B">
        <w:rPr>
          <w:noProof/>
        </w:rPr>
        <w:t xml:space="preserve">A </w:t>
      </w:r>
      <w:r w:rsidR="000932AA">
        <w:rPr>
          <w:noProof/>
        </w:rPr>
        <w:t>does not</w:t>
      </w:r>
      <w:r w:rsidRPr="006B602B">
        <w:rPr>
          <w:noProof/>
        </w:rPr>
        <w:t xml:space="preserve">. At the sub-impact level, in both EW and P1 </w:t>
      </w:r>
      <w:r>
        <w:rPr>
          <w:noProof/>
        </w:rPr>
        <w:t>option</w:t>
      </w:r>
      <w:r w:rsidRPr="006B602B">
        <w:rPr>
          <w:noProof/>
        </w:rPr>
        <w:t>s the ranking</w:t>
      </w:r>
      <w:r w:rsidR="00676292">
        <w:rPr>
          <w:noProof/>
        </w:rPr>
        <w:t xml:space="preserve"> changes making</w:t>
      </w:r>
      <w:r w:rsidRPr="006B602B">
        <w:rPr>
          <w:noProof/>
        </w:rPr>
        <w:t xml:space="preserve"> PO1</w:t>
      </w:r>
      <w:r>
        <w:rPr>
          <w:noProof/>
        </w:rPr>
        <w:t>-</w:t>
      </w:r>
      <w:r w:rsidRPr="006B602B">
        <w:rPr>
          <w:noProof/>
        </w:rPr>
        <w:t>C &gt; PO1</w:t>
      </w:r>
      <w:r>
        <w:rPr>
          <w:noProof/>
        </w:rPr>
        <w:t>-</w:t>
      </w:r>
      <w:r w:rsidRPr="006B602B">
        <w:rPr>
          <w:noProof/>
        </w:rPr>
        <w:t>B &gt; baseline = PO1</w:t>
      </w:r>
      <w:r>
        <w:rPr>
          <w:noProof/>
        </w:rPr>
        <w:t>-</w:t>
      </w:r>
      <w:r w:rsidRPr="006B602B">
        <w:rPr>
          <w:noProof/>
        </w:rPr>
        <w:t>A, with high credibility indices for the outranking relations between PO1</w:t>
      </w:r>
      <w:r>
        <w:rPr>
          <w:noProof/>
        </w:rPr>
        <w:t>-</w:t>
      </w:r>
      <w:r w:rsidRPr="006B602B">
        <w:rPr>
          <w:noProof/>
        </w:rPr>
        <w:t>C and the other options. In other words, once non-compensatory trade-offs and detailed criteria are fully taken into account, PO1</w:t>
      </w:r>
      <w:r>
        <w:rPr>
          <w:noProof/>
        </w:rPr>
        <w:t>-</w:t>
      </w:r>
      <w:r w:rsidRPr="006B602B">
        <w:rPr>
          <w:noProof/>
        </w:rPr>
        <w:t xml:space="preserve">C is the strongest </w:t>
      </w:r>
      <w:r>
        <w:rPr>
          <w:noProof/>
        </w:rPr>
        <w:t>option</w:t>
      </w:r>
      <w:r w:rsidRPr="006B602B">
        <w:rPr>
          <w:noProof/>
        </w:rPr>
        <w:t>, closely followed by PO1</w:t>
      </w:r>
      <w:r w:rsidR="00275E1D">
        <w:rPr>
          <w:noProof/>
        </w:rPr>
        <w:t>-</w:t>
      </w:r>
      <w:r w:rsidRPr="006B602B">
        <w:rPr>
          <w:noProof/>
        </w:rPr>
        <w:t>B, while PO1</w:t>
      </w:r>
      <w:r>
        <w:rPr>
          <w:noProof/>
        </w:rPr>
        <w:t>-</w:t>
      </w:r>
      <w:r w:rsidRPr="006B602B">
        <w:rPr>
          <w:noProof/>
        </w:rPr>
        <w:t xml:space="preserve">A is barely better than </w:t>
      </w:r>
      <w:r w:rsidR="003E0684">
        <w:rPr>
          <w:noProof/>
        </w:rPr>
        <w:t xml:space="preserve">or equal to </w:t>
      </w:r>
      <w:r w:rsidRPr="006B602B">
        <w:rPr>
          <w:noProof/>
        </w:rPr>
        <w:t>the baseline and never outranks the two more ambitious options</w:t>
      </w:r>
      <w:r>
        <w:rPr>
          <w:noProof/>
        </w:rPr>
        <w:t>.</w:t>
      </w:r>
      <w:r w:rsidR="00BC4C05">
        <w:rPr>
          <w:noProof/>
        </w:rPr>
        <w:t xml:space="preserve"> The difference in these results between the impact level and the sub-impact results reflects how the structure of the analysis influences the comparison of the options. When impacts are assessed at a broader level</w:t>
      </w:r>
      <w:r w:rsidR="0094502C">
        <w:rPr>
          <w:noProof/>
        </w:rPr>
        <w:t xml:space="preserve">, strong performance in one area can offset weaker </w:t>
      </w:r>
      <w:r w:rsidR="00E31091">
        <w:rPr>
          <w:noProof/>
        </w:rPr>
        <w:t>performance in another, i.e. making PO1-B appear preferrable. However, when this analysis is performed at sub-impact level, the trade-offs are no longer absorbed within the broader categories</w:t>
      </w:r>
      <w:r w:rsidR="00F3279D">
        <w:rPr>
          <w:noProof/>
        </w:rPr>
        <w:t>, i.e. PO1-C performs more evenly and therefore emerges as the strongest option</w:t>
      </w:r>
      <w:r w:rsidR="009271D0">
        <w:rPr>
          <w:noProof/>
        </w:rPr>
        <w:t>. The different ranking thus reflects the differences in how balanced the policy options are.</w:t>
      </w:r>
      <w:r w:rsidR="00106A1F">
        <w:rPr>
          <w:noProof/>
        </w:rPr>
        <w:t xml:space="preserve"> PO1-B appears to generate higher overall impacts bu</w:t>
      </w:r>
      <w:r w:rsidR="005165AA">
        <w:rPr>
          <w:noProof/>
        </w:rPr>
        <w:t>t with greater divergence across cost-benefit, effectiveness, environmental and social dimensions, whereas PO1-C delivers more balanced, though less pronounced results across these criteria.</w:t>
      </w:r>
      <w:r w:rsidR="009271D0">
        <w:rPr>
          <w:noProof/>
        </w:rPr>
        <w:t xml:space="preserve"> </w:t>
      </w:r>
      <w:r w:rsidR="0018415C">
        <w:rPr>
          <w:noProof/>
        </w:rPr>
        <w:t xml:space="preserve">Importantly, PO1-B and PO1-C </w:t>
      </w:r>
      <w:r w:rsidR="00AD27CE">
        <w:rPr>
          <w:noProof/>
        </w:rPr>
        <w:t>both outperform PO1-A which does not improve over the baseline</w:t>
      </w:r>
      <w:r w:rsidR="00D602EA">
        <w:rPr>
          <w:noProof/>
        </w:rPr>
        <w:t xml:space="preserve"> and thus represent improvements over the status quo</w:t>
      </w:r>
      <w:r w:rsidR="00AD27CE">
        <w:rPr>
          <w:noProof/>
        </w:rPr>
        <w:t xml:space="preserve">. </w:t>
      </w:r>
    </w:p>
    <w:p w14:paraId="38B13184" w14:textId="18A0FA2F" w:rsidR="00C94CC8" w:rsidRDefault="00C94CC8" w:rsidP="00C94CC8">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54</w:t>
      </w:r>
      <w:r>
        <w:rPr>
          <w:noProof/>
        </w:rPr>
        <w:fldChar w:fldCharType="end"/>
      </w:r>
      <w:r>
        <w:rPr>
          <w:noProof/>
        </w:rPr>
        <w:t xml:space="preserve">. </w:t>
      </w:r>
      <w:r w:rsidRPr="009D521A">
        <w:rPr>
          <w:noProof/>
        </w:rPr>
        <w:t>ELECTRE III ranking of options – Problem 1</w:t>
      </w:r>
      <w:r w:rsidR="004E323D">
        <w:rPr>
          <w:noProof/>
        </w:rPr>
        <w:t xml:space="preserve"> </w:t>
      </w:r>
      <w:r w:rsidR="004E323D" w:rsidRPr="00785FC1">
        <w:rPr>
          <w:b w:val="0"/>
          <w:bCs/>
          <w:noProof/>
        </w:rPr>
        <w:t>(Source: Technopolis et al. (2025))</w:t>
      </w:r>
    </w:p>
    <w:tbl>
      <w:tblPr>
        <w:tblStyle w:val="TechnopolisTable1"/>
        <w:tblW w:w="4937" w:type="pct"/>
        <w:tblLook w:val="04A0" w:firstRow="1" w:lastRow="0" w:firstColumn="1" w:lastColumn="0" w:noHBand="0" w:noVBand="1"/>
      </w:tblPr>
      <w:tblGrid>
        <w:gridCol w:w="884"/>
        <w:gridCol w:w="1631"/>
        <w:gridCol w:w="1633"/>
        <w:gridCol w:w="1633"/>
        <w:gridCol w:w="1450"/>
        <w:gridCol w:w="1700"/>
      </w:tblGrid>
      <w:tr w:rsidR="006C3640" w:rsidRPr="001A0CC6" w14:paraId="5A93705D" w14:textId="77777777" w:rsidTr="005B639A">
        <w:trPr>
          <w:cnfStyle w:val="100000000000" w:firstRow="1" w:lastRow="0" w:firstColumn="0" w:lastColumn="0" w:oddVBand="0" w:evenVBand="0" w:oddHBand="0" w:evenHBand="0" w:firstRowFirstColumn="0" w:firstRowLastColumn="0" w:lastRowFirstColumn="0" w:lastRowLastColumn="0"/>
          <w:tblHeader/>
        </w:trPr>
        <w:tc>
          <w:tcPr>
            <w:tcW w:w="495" w:type="pct"/>
            <w:tcBorders>
              <w:bottom w:val="single" w:sz="12" w:space="0" w:color="00B0F0"/>
            </w:tcBorders>
          </w:tcPr>
          <w:p w14:paraId="13D6F827"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Option</w:t>
            </w:r>
          </w:p>
        </w:tc>
        <w:tc>
          <w:tcPr>
            <w:tcW w:w="913" w:type="pct"/>
            <w:tcBorders>
              <w:bottom w:val="single" w:sz="12" w:space="0" w:color="00B0F0"/>
            </w:tcBorders>
          </w:tcPr>
          <w:p w14:paraId="38FAA298"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Impact level (EW)</w:t>
            </w:r>
          </w:p>
        </w:tc>
        <w:tc>
          <w:tcPr>
            <w:tcW w:w="914" w:type="pct"/>
            <w:tcBorders>
              <w:bottom w:val="single" w:sz="12" w:space="0" w:color="00B0F0"/>
            </w:tcBorders>
          </w:tcPr>
          <w:p w14:paraId="023C846E"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Sub-impact level (EW)</w:t>
            </w:r>
          </w:p>
        </w:tc>
        <w:tc>
          <w:tcPr>
            <w:tcW w:w="914" w:type="pct"/>
            <w:tcBorders>
              <w:bottom w:val="single" w:sz="12" w:space="0" w:color="00B0F0"/>
            </w:tcBorders>
          </w:tcPr>
          <w:p w14:paraId="66B10FF4"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Impact level (P1)</w:t>
            </w:r>
          </w:p>
        </w:tc>
        <w:tc>
          <w:tcPr>
            <w:tcW w:w="812" w:type="pct"/>
            <w:tcBorders>
              <w:bottom w:val="single" w:sz="12" w:space="0" w:color="00B0F0"/>
            </w:tcBorders>
          </w:tcPr>
          <w:p w14:paraId="31BDF2FD"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Sub-impact level (P1)</w:t>
            </w:r>
          </w:p>
        </w:tc>
        <w:tc>
          <w:tcPr>
            <w:tcW w:w="952" w:type="pct"/>
            <w:tcBorders>
              <w:bottom w:val="single" w:sz="12" w:space="0" w:color="00B0F0"/>
            </w:tcBorders>
          </w:tcPr>
          <w:p w14:paraId="5F1F9B3E" w14:textId="393F819B"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Overall judgement</w:t>
            </w:r>
          </w:p>
        </w:tc>
      </w:tr>
      <w:tr w:rsidR="006C3640" w:rsidRPr="001A0CC6" w14:paraId="21AF521D" w14:textId="77777777" w:rsidTr="005B639A">
        <w:trPr>
          <w:trHeight w:val="567"/>
        </w:trPr>
        <w:tc>
          <w:tcPr>
            <w:tcW w:w="495" w:type="pct"/>
            <w:tcBorders>
              <w:top w:val="single" w:sz="12" w:space="0" w:color="00B0F0"/>
            </w:tcBorders>
          </w:tcPr>
          <w:p w14:paraId="654A8DA1" w14:textId="40F615E8" w:rsidR="00995262" w:rsidRPr="001F4A07" w:rsidRDefault="00995262" w:rsidP="008D0BAC">
            <w:pPr>
              <w:pStyle w:val="ABody"/>
              <w:spacing w:after="0"/>
              <w:rPr>
                <w:rFonts w:ascii="Times New Roman" w:hAnsi="Times New Roman" w:cs="Times New Roman"/>
                <w:b/>
                <w:noProof/>
                <w:sz w:val="18"/>
                <w:szCs w:val="18"/>
              </w:rPr>
            </w:pPr>
            <w:r w:rsidRPr="001F4A07">
              <w:rPr>
                <w:rFonts w:ascii="Times New Roman" w:hAnsi="Times New Roman" w:cs="Times New Roman"/>
                <w:b/>
                <w:noProof/>
                <w:sz w:val="18"/>
                <w:szCs w:val="18"/>
              </w:rPr>
              <w:t>PO1</w:t>
            </w:r>
            <w:r w:rsidR="001D4DDC" w:rsidRPr="001F4A07">
              <w:rPr>
                <w:rFonts w:ascii="Times New Roman" w:hAnsi="Times New Roman" w:cs="Times New Roman"/>
                <w:b/>
                <w:noProof/>
                <w:sz w:val="18"/>
                <w:szCs w:val="18"/>
              </w:rPr>
              <w:t>-</w:t>
            </w:r>
            <w:r w:rsidRPr="001F4A07">
              <w:rPr>
                <w:rFonts w:ascii="Times New Roman" w:hAnsi="Times New Roman" w:cs="Times New Roman"/>
                <w:b/>
                <w:noProof/>
                <w:sz w:val="18"/>
                <w:szCs w:val="18"/>
              </w:rPr>
              <w:t>B</w:t>
            </w:r>
          </w:p>
        </w:tc>
        <w:tc>
          <w:tcPr>
            <w:tcW w:w="913" w:type="pct"/>
            <w:tcBorders>
              <w:top w:val="single" w:sz="12" w:space="0" w:color="00B0F0"/>
            </w:tcBorders>
          </w:tcPr>
          <w:p w14:paraId="78283E44" w14:textId="520E133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 xml:space="preserve">1 </w:t>
            </w:r>
          </w:p>
        </w:tc>
        <w:tc>
          <w:tcPr>
            <w:tcW w:w="914" w:type="pct"/>
            <w:tcBorders>
              <w:top w:val="single" w:sz="12" w:space="0" w:color="00B0F0"/>
            </w:tcBorders>
          </w:tcPr>
          <w:p w14:paraId="3AE99C4E"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2</w:t>
            </w:r>
          </w:p>
        </w:tc>
        <w:tc>
          <w:tcPr>
            <w:tcW w:w="914" w:type="pct"/>
            <w:tcBorders>
              <w:top w:val="single" w:sz="12" w:space="0" w:color="00B0F0"/>
            </w:tcBorders>
          </w:tcPr>
          <w:p w14:paraId="2F1E41DD" w14:textId="10C01CF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 xml:space="preserve">1 </w:t>
            </w:r>
          </w:p>
        </w:tc>
        <w:tc>
          <w:tcPr>
            <w:tcW w:w="812" w:type="pct"/>
            <w:tcBorders>
              <w:top w:val="single" w:sz="12" w:space="0" w:color="00B0F0"/>
            </w:tcBorders>
          </w:tcPr>
          <w:p w14:paraId="36D199D8" w14:textId="3523DEF9" w:rsidR="00995262" w:rsidRPr="001F4A07" w:rsidRDefault="00C253D4" w:rsidP="008D0BAC">
            <w:pPr>
              <w:pStyle w:val="ABody"/>
              <w:spacing w:after="0"/>
              <w:rPr>
                <w:rFonts w:ascii="Times New Roman" w:hAnsi="Times New Roman" w:cs="Times New Roman"/>
                <w:noProof/>
                <w:sz w:val="18"/>
                <w:szCs w:val="18"/>
              </w:rPr>
            </w:pPr>
            <w:r>
              <w:rPr>
                <w:rFonts w:ascii="Times New Roman" w:hAnsi="Times New Roman" w:cs="Times New Roman"/>
                <w:noProof/>
                <w:sz w:val="18"/>
                <w:szCs w:val="18"/>
              </w:rPr>
              <w:t>2</w:t>
            </w:r>
          </w:p>
        </w:tc>
        <w:tc>
          <w:tcPr>
            <w:tcW w:w="952" w:type="pct"/>
            <w:tcBorders>
              <w:top w:val="single" w:sz="12" w:space="0" w:color="00B0F0"/>
            </w:tcBorders>
          </w:tcPr>
          <w:p w14:paraId="2207D627" w14:textId="77777777" w:rsidR="00995262" w:rsidRPr="001F4A07" w:rsidRDefault="00995262" w:rsidP="008D0BAC">
            <w:pPr>
              <w:pStyle w:val="ABody"/>
              <w:spacing w:after="0"/>
              <w:rPr>
                <w:rFonts w:ascii="Times New Roman" w:hAnsi="Times New Roman" w:cs="Times New Roman"/>
                <w:noProof/>
                <w:sz w:val="18"/>
                <w:szCs w:val="18"/>
              </w:rPr>
            </w:pPr>
            <w:r w:rsidRPr="001F4A07">
              <w:rPr>
                <w:rFonts w:ascii="Times New Roman" w:hAnsi="Times New Roman" w:cs="Times New Roman"/>
                <w:noProof/>
                <w:sz w:val="18"/>
                <w:szCs w:val="18"/>
              </w:rPr>
              <w:t>Very strong</w:t>
            </w:r>
          </w:p>
        </w:tc>
      </w:tr>
      <w:tr w:rsidR="006C3640" w:rsidRPr="001A0CC6" w14:paraId="4421BB33" w14:textId="77777777" w:rsidTr="005B639A">
        <w:trPr>
          <w:trHeight w:val="567"/>
        </w:trPr>
        <w:tc>
          <w:tcPr>
            <w:tcW w:w="495" w:type="pct"/>
          </w:tcPr>
          <w:p w14:paraId="5DEDE1FF" w14:textId="12E1F2E9" w:rsidR="00995262" w:rsidRPr="001F4A07" w:rsidRDefault="00995262" w:rsidP="008D0BAC">
            <w:pPr>
              <w:pStyle w:val="ABody"/>
              <w:spacing w:after="0"/>
              <w:rPr>
                <w:rFonts w:ascii="Times New Roman" w:hAnsi="Times New Roman" w:cs="Times New Roman"/>
                <w:b/>
                <w:noProof/>
                <w:sz w:val="18"/>
                <w:szCs w:val="18"/>
              </w:rPr>
            </w:pPr>
            <w:r w:rsidRPr="001F4A07">
              <w:rPr>
                <w:rFonts w:ascii="Times New Roman" w:hAnsi="Times New Roman" w:cs="Times New Roman"/>
                <w:b/>
                <w:noProof/>
                <w:sz w:val="18"/>
                <w:szCs w:val="18"/>
              </w:rPr>
              <w:t>PO1</w:t>
            </w:r>
            <w:r w:rsidR="001D4DDC" w:rsidRPr="001F4A07">
              <w:rPr>
                <w:rFonts w:ascii="Times New Roman" w:hAnsi="Times New Roman" w:cs="Times New Roman"/>
                <w:b/>
                <w:noProof/>
                <w:sz w:val="18"/>
                <w:szCs w:val="18"/>
              </w:rPr>
              <w:t>-</w:t>
            </w:r>
            <w:r w:rsidRPr="001F4A07">
              <w:rPr>
                <w:rFonts w:ascii="Times New Roman" w:hAnsi="Times New Roman" w:cs="Times New Roman"/>
                <w:b/>
                <w:noProof/>
                <w:sz w:val="18"/>
                <w:szCs w:val="18"/>
              </w:rPr>
              <w:t>C</w:t>
            </w:r>
          </w:p>
        </w:tc>
        <w:tc>
          <w:tcPr>
            <w:tcW w:w="913" w:type="pct"/>
          </w:tcPr>
          <w:p w14:paraId="0A03EE13" w14:textId="2FB96038" w:rsidR="00995262" w:rsidRPr="001F4A07" w:rsidRDefault="00C253D4" w:rsidP="008D0BAC">
            <w:pPr>
              <w:pStyle w:val="ABody"/>
              <w:spacing w:after="0"/>
              <w:jc w:val="left"/>
              <w:rPr>
                <w:rFonts w:ascii="Times New Roman" w:hAnsi="Times New Roman" w:cs="Times New Roman"/>
                <w:noProof/>
                <w:sz w:val="18"/>
                <w:szCs w:val="18"/>
              </w:rPr>
            </w:pPr>
            <w:r>
              <w:rPr>
                <w:rFonts w:ascii="Times New Roman" w:hAnsi="Times New Roman" w:cs="Times New Roman"/>
                <w:noProof/>
                <w:sz w:val="18"/>
                <w:szCs w:val="18"/>
              </w:rPr>
              <w:t>2</w:t>
            </w:r>
          </w:p>
        </w:tc>
        <w:tc>
          <w:tcPr>
            <w:tcW w:w="914" w:type="pct"/>
          </w:tcPr>
          <w:p w14:paraId="53D0FABC" w14:textId="77777777" w:rsidR="00995262" w:rsidRPr="001F4A07" w:rsidRDefault="00995262" w:rsidP="008D0BAC">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1</w:t>
            </w:r>
          </w:p>
        </w:tc>
        <w:tc>
          <w:tcPr>
            <w:tcW w:w="914" w:type="pct"/>
          </w:tcPr>
          <w:p w14:paraId="132FE21B" w14:textId="630A07CB" w:rsidR="00995262" w:rsidRPr="001F4A07" w:rsidRDefault="00C253D4" w:rsidP="008D0BAC">
            <w:pPr>
              <w:pStyle w:val="ABody"/>
              <w:spacing w:after="0"/>
              <w:jc w:val="left"/>
              <w:rPr>
                <w:rFonts w:ascii="Times New Roman" w:hAnsi="Times New Roman" w:cs="Times New Roman"/>
                <w:noProof/>
                <w:sz w:val="18"/>
                <w:szCs w:val="18"/>
              </w:rPr>
            </w:pPr>
            <w:r>
              <w:rPr>
                <w:rFonts w:ascii="Times New Roman" w:hAnsi="Times New Roman" w:cs="Times New Roman"/>
                <w:noProof/>
                <w:sz w:val="18"/>
                <w:szCs w:val="18"/>
              </w:rPr>
              <w:t>2</w:t>
            </w:r>
          </w:p>
        </w:tc>
        <w:tc>
          <w:tcPr>
            <w:tcW w:w="812" w:type="pct"/>
          </w:tcPr>
          <w:p w14:paraId="2F01D730" w14:textId="12D9ED49" w:rsidR="00995262" w:rsidRPr="001F4A07" w:rsidRDefault="00C253D4" w:rsidP="008D0BAC">
            <w:pPr>
              <w:pStyle w:val="ABody"/>
              <w:spacing w:after="0"/>
              <w:jc w:val="left"/>
              <w:rPr>
                <w:rFonts w:ascii="Times New Roman" w:hAnsi="Times New Roman" w:cs="Times New Roman"/>
                <w:noProof/>
                <w:sz w:val="18"/>
                <w:szCs w:val="18"/>
              </w:rPr>
            </w:pPr>
            <w:r>
              <w:rPr>
                <w:rFonts w:ascii="Times New Roman" w:hAnsi="Times New Roman" w:cs="Times New Roman"/>
                <w:noProof/>
                <w:sz w:val="18"/>
                <w:szCs w:val="18"/>
              </w:rPr>
              <w:t>1</w:t>
            </w:r>
          </w:p>
        </w:tc>
        <w:tc>
          <w:tcPr>
            <w:tcW w:w="952" w:type="pct"/>
          </w:tcPr>
          <w:p w14:paraId="74A91ACF" w14:textId="77777777" w:rsidR="00995262" w:rsidRPr="001F4A07" w:rsidRDefault="00995262" w:rsidP="008D0BAC">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Very strong</w:t>
            </w:r>
          </w:p>
        </w:tc>
      </w:tr>
      <w:tr w:rsidR="00C253D4" w:rsidRPr="001A0CC6" w14:paraId="0F55E9F1" w14:textId="77777777" w:rsidTr="005B639A">
        <w:trPr>
          <w:trHeight w:val="567"/>
        </w:trPr>
        <w:tc>
          <w:tcPr>
            <w:tcW w:w="495" w:type="pct"/>
          </w:tcPr>
          <w:p w14:paraId="59C9BC6C" w14:textId="6DE12C98" w:rsidR="00C253D4" w:rsidRPr="001F4A07" w:rsidRDefault="00C253D4" w:rsidP="00C253D4">
            <w:pPr>
              <w:pStyle w:val="ABody"/>
              <w:spacing w:after="0"/>
              <w:rPr>
                <w:rFonts w:ascii="Times New Roman" w:hAnsi="Times New Roman" w:cs="Times New Roman"/>
                <w:b/>
                <w:noProof/>
                <w:sz w:val="18"/>
                <w:szCs w:val="18"/>
              </w:rPr>
            </w:pPr>
            <w:r w:rsidRPr="001F4A07">
              <w:rPr>
                <w:rFonts w:ascii="Times New Roman" w:hAnsi="Times New Roman" w:cs="Times New Roman"/>
                <w:b/>
                <w:noProof/>
                <w:sz w:val="18"/>
                <w:szCs w:val="18"/>
              </w:rPr>
              <w:t>PO1-A</w:t>
            </w:r>
          </w:p>
        </w:tc>
        <w:tc>
          <w:tcPr>
            <w:tcW w:w="913" w:type="pct"/>
          </w:tcPr>
          <w:p w14:paraId="2B4E63D6" w14:textId="4D70CAA2"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Baseline</w:t>
            </w:r>
          </w:p>
        </w:tc>
        <w:tc>
          <w:tcPr>
            <w:tcW w:w="914" w:type="pct"/>
          </w:tcPr>
          <w:p w14:paraId="7958D218" w14:textId="77777777"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Baseline</w:t>
            </w:r>
          </w:p>
        </w:tc>
        <w:tc>
          <w:tcPr>
            <w:tcW w:w="914" w:type="pct"/>
          </w:tcPr>
          <w:p w14:paraId="5F80DC40" w14:textId="7B1A7CC5"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Baseline</w:t>
            </w:r>
          </w:p>
        </w:tc>
        <w:tc>
          <w:tcPr>
            <w:tcW w:w="812" w:type="pct"/>
          </w:tcPr>
          <w:p w14:paraId="6D8E7510" w14:textId="77777777"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Baseline</w:t>
            </w:r>
          </w:p>
        </w:tc>
        <w:tc>
          <w:tcPr>
            <w:tcW w:w="952" w:type="pct"/>
          </w:tcPr>
          <w:p w14:paraId="0D2DE3A5" w14:textId="77777777"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Weak improvement over baseline</w:t>
            </w:r>
          </w:p>
        </w:tc>
      </w:tr>
      <w:tr w:rsidR="00C253D4" w:rsidRPr="001A0CC6" w14:paraId="48A3C42E" w14:textId="77777777" w:rsidTr="005B639A">
        <w:trPr>
          <w:trHeight w:val="567"/>
        </w:trPr>
        <w:tc>
          <w:tcPr>
            <w:tcW w:w="495" w:type="pct"/>
          </w:tcPr>
          <w:p w14:paraId="200E05AE" w14:textId="77777777" w:rsidR="00C253D4" w:rsidRPr="001F4A07" w:rsidRDefault="00C253D4" w:rsidP="00C253D4">
            <w:pPr>
              <w:pStyle w:val="ABody"/>
              <w:spacing w:after="0"/>
              <w:rPr>
                <w:rFonts w:ascii="Times New Roman" w:hAnsi="Times New Roman" w:cs="Times New Roman"/>
                <w:b/>
                <w:noProof/>
                <w:sz w:val="18"/>
                <w:szCs w:val="18"/>
              </w:rPr>
            </w:pPr>
            <w:r w:rsidRPr="001F4A07">
              <w:rPr>
                <w:rFonts w:ascii="Times New Roman" w:hAnsi="Times New Roman" w:cs="Times New Roman"/>
                <w:b/>
                <w:noProof/>
                <w:sz w:val="18"/>
                <w:szCs w:val="18"/>
              </w:rPr>
              <w:t>Baseline</w:t>
            </w:r>
          </w:p>
        </w:tc>
        <w:tc>
          <w:tcPr>
            <w:tcW w:w="913" w:type="pct"/>
          </w:tcPr>
          <w:p w14:paraId="54FC9956" w14:textId="42317C31"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PO1-A</w:t>
            </w:r>
          </w:p>
        </w:tc>
        <w:tc>
          <w:tcPr>
            <w:tcW w:w="914" w:type="pct"/>
          </w:tcPr>
          <w:p w14:paraId="799349C3" w14:textId="60845884"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PO1-A</w:t>
            </w:r>
          </w:p>
        </w:tc>
        <w:tc>
          <w:tcPr>
            <w:tcW w:w="914" w:type="pct"/>
          </w:tcPr>
          <w:p w14:paraId="2281AFA8" w14:textId="7F76298E"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PO1-A</w:t>
            </w:r>
          </w:p>
        </w:tc>
        <w:tc>
          <w:tcPr>
            <w:tcW w:w="812" w:type="pct"/>
          </w:tcPr>
          <w:p w14:paraId="643C9692" w14:textId="2F78FD1A"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3 = PO1-A</w:t>
            </w:r>
          </w:p>
        </w:tc>
        <w:tc>
          <w:tcPr>
            <w:tcW w:w="952" w:type="pct"/>
          </w:tcPr>
          <w:p w14:paraId="03695761" w14:textId="77777777" w:rsidR="00C253D4" w:rsidRPr="001F4A07" w:rsidRDefault="00C253D4" w:rsidP="00C253D4">
            <w:pPr>
              <w:pStyle w:val="ABody"/>
              <w:spacing w:after="0"/>
              <w:jc w:val="left"/>
              <w:rPr>
                <w:rFonts w:ascii="Times New Roman" w:hAnsi="Times New Roman" w:cs="Times New Roman"/>
                <w:noProof/>
                <w:sz w:val="18"/>
                <w:szCs w:val="18"/>
              </w:rPr>
            </w:pPr>
            <w:r w:rsidRPr="001F4A07">
              <w:rPr>
                <w:rFonts w:ascii="Times New Roman" w:hAnsi="Times New Roman" w:cs="Times New Roman"/>
                <w:noProof/>
                <w:sz w:val="18"/>
                <w:szCs w:val="18"/>
              </w:rPr>
              <w:t>Reference</w:t>
            </w:r>
          </w:p>
        </w:tc>
      </w:tr>
    </w:tbl>
    <w:p w14:paraId="6EA6F2D5" w14:textId="2F74E75B" w:rsidR="0017193A" w:rsidRPr="0007547C" w:rsidRDefault="0017193A" w:rsidP="0017193A">
      <w:pPr>
        <w:pStyle w:val="BodyText"/>
        <w:rPr>
          <w:b/>
          <w:noProof/>
        </w:rPr>
      </w:pPr>
      <w:r w:rsidRPr="002D4BB3">
        <w:rPr>
          <w:b/>
          <w:noProof/>
        </w:rPr>
        <w:t>Stakeholder analysis</w:t>
      </w:r>
      <w:r w:rsidR="00024CB5">
        <w:rPr>
          <w:b/>
          <w:noProof/>
        </w:rPr>
        <w:t xml:space="preserve"> </w:t>
      </w:r>
    </w:p>
    <w:p w14:paraId="15385A47" w14:textId="67F97DDA" w:rsidR="00114C30" w:rsidRDefault="00114C30" w:rsidP="00114C30">
      <w:pPr>
        <w:pStyle w:val="BodyText"/>
        <w:rPr>
          <w:noProof/>
        </w:rPr>
      </w:pPr>
      <w:r>
        <w:rPr>
          <w:noProof/>
        </w:rPr>
        <w:t>For economic operators, all three options represent a marked improvement over the baseline, but with a clear hierarchy. Under both equal weighting and the Problem 1 weighting, PO1-B performs best overall (0.</w:t>
      </w:r>
      <w:r w:rsidR="00BF088C">
        <w:rPr>
          <w:noProof/>
        </w:rPr>
        <w:t>623</w:t>
      </w:r>
      <w:r w:rsidR="0021748C">
        <w:rPr>
          <w:noProof/>
        </w:rPr>
        <w:t xml:space="preserve"> </w:t>
      </w:r>
      <w:r>
        <w:rPr>
          <w:noProof/>
        </w:rPr>
        <w:t>and 0.</w:t>
      </w:r>
      <w:r w:rsidR="00BF088C">
        <w:rPr>
          <w:noProof/>
        </w:rPr>
        <w:t>742</w:t>
      </w:r>
      <w:r>
        <w:rPr>
          <w:noProof/>
        </w:rPr>
        <w:t xml:space="preserve">), closely followed by PO1-C, with PO1-A some distance behind. The main driver is the combination of improved cost outcomes and stronger </w:t>
      </w:r>
      <w:r w:rsidR="00353ABC">
        <w:rPr>
          <w:noProof/>
        </w:rPr>
        <w:t xml:space="preserve">effectiveness </w:t>
      </w:r>
      <w:r>
        <w:rPr>
          <w:noProof/>
        </w:rPr>
        <w:t xml:space="preserve">scores: PO1-B is the only option that yields clearly positive cost results for operators under </w:t>
      </w:r>
      <w:r w:rsidR="008453D7">
        <w:rPr>
          <w:noProof/>
        </w:rPr>
        <w:t>EW</w:t>
      </w:r>
      <w:r>
        <w:rPr>
          <w:noProof/>
        </w:rPr>
        <w:t xml:space="preserve"> (0.</w:t>
      </w:r>
      <w:r w:rsidR="005E08AF">
        <w:rPr>
          <w:noProof/>
        </w:rPr>
        <w:t>045</w:t>
      </w:r>
      <w:r>
        <w:rPr>
          <w:noProof/>
        </w:rPr>
        <w:t xml:space="preserve">), while also </w:t>
      </w:r>
      <w:r w:rsidR="0093698D">
        <w:rPr>
          <w:noProof/>
        </w:rPr>
        <w:t>outranking the other options under P1 weights in terms of costs.</w:t>
      </w:r>
      <w:r w:rsidR="00E8352D">
        <w:rPr>
          <w:noProof/>
        </w:rPr>
        <w:t xml:space="preserve"> PO1-B delivers </w:t>
      </w:r>
      <w:r>
        <w:rPr>
          <w:noProof/>
        </w:rPr>
        <w:t xml:space="preserve">the highest </w:t>
      </w:r>
      <w:r w:rsidR="00B77422">
        <w:rPr>
          <w:noProof/>
        </w:rPr>
        <w:t>effectiveness</w:t>
      </w:r>
      <w:r>
        <w:rPr>
          <w:noProof/>
        </w:rPr>
        <w:t xml:space="preserve"> score (0.538)</w:t>
      </w:r>
      <w:r w:rsidR="00E8352D">
        <w:rPr>
          <w:noProof/>
        </w:rPr>
        <w:t xml:space="preserve"> under P1 weighing while PO1-C outperforms it under </w:t>
      </w:r>
      <w:r w:rsidR="00A92323">
        <w:rPr>
          <w:noProof/>
        </w:rPr>
        <w:t>EW</w:t>
      </w:r>
      <w:r>
        <w:rPr>
          <w:noProof/>
        </w:rPr>
        <w:t xml:space="preserve">. Environmental scores for operators improve modestly under equal weighting but turn slightly negative under P1 (reflecting the lower weight and some trade-offs), whereas social scores are clearly higher than the baseline for all options. The data suggest that economic operators have better results </w:t>
      </w:r>
      <w:r w:rsidR="000C751C">
        <w:rPr>
          <w:noProof/>
        </w:rPr>
        <w:t xml:space="preserve">with </w:t>
      </w:r>
      <w:r>
        <w:rPr>
          <w:noProof/>
        </w:rPr>
        <w:t>national simplification and fast-track mechanisms (PO1-B) as</w:t>
      </w:r>
      <w:r w:rsidR="00DF7B04">
        <w:rPr>
          <w:noProof/>
        </w:rPr>
        <w:t xml:space="preserve"> they are</w:t>
      </w:r>
      <w:r>
        <w:rPr>
          <w:noProof/>
        </w:rPr>
        <w:t xml:space="preserve"> offering the best balance of lower burdens and stronger business opportunities, with EU-level interventions (PO1-C) </w:t>
      </w:r>
      <w:r w:rsidR="00315793">
        <w:rPr>
          <w:noProof/>
        </w:rPr>
        <w:t xml:space="preserve">being </w:t>
      </w:r>
      <w:r>
        <w:rPr>
          <w:noProof/>
        </w:rPr>
        <w:t>also attractive but slightly less beneficial in net terms.</w:t>
      </w:r>
    </w:p>
    <w:p w14:paraId="2DEC23DF" w14:textId="7E59DF63" w:rsidR="00114C30" w:rsidRDefault="00114C30" w:rsidP="00114C30">
      <w:pPr>
        <w:pStyle w:val="BodyText"/>
        <w:rPr>
          <w:noProof/>
        </w:rPr>
      </w:pPr>
      <w:r>
        <w:rPr>
          <w:noProof/>
        </w:rPr>
        <w:t>For national public authorities, all options also outperform the baseline, but preference patterns differ and the gains are more modest. Under equal weighting, PO1</w:t>
      </w:r>
      <w:r w:rsidR="00BB7AE5">
        <w:rPr>
          <w:noProof/>
        </w:rPr>
        <w:t>-</w:t>
      </w:r>
      <w:r w:rsidR="00ED6FAA">
        <w:rPr>
          <w:noProof/>
        </w:rPr>
        <w:t>B</w:t>
      </w:r>
      <w:r w:rsidDel="00E80BEA">
        <w:rPr>
          <w:noProof/>
        </w:rPr>
        <w:t xml:space="preserve"> </w:t>
      </w:r>
      <w:r w:rsidR="00E80BEA">
        <w:rPr>
          <w:noProof/>
        </w:rPr>
        <w:t xml:space="preserve">slightly </w:t>
      </w:r>
      <w:r>
        <w:rPr>
          <w:noProof/>
        </w:rPr>
        <w:t>dominates (0.</w:t>
      </w:r>
      <w:r w:rsidR="00402328">
        <w:rPr>
          <w:noProof/>
        </w:rPr>
        <w:t xml:space="preserve">281 </w:t>
      </w:r>
      <w:r>
        <w:rPr>
          <w:noProof/>
        </w:rPr>
        <w:t>vs 0.</w:t>
      </w:r>
      <w:r w:rsidR="007B3BBA">
        <w:rPr>
          <w:noProof/>
        </w:rPr>
        <w:t xml:space="preserve">259 </w:t>
      </w:r>
      <w:r>
        <w:rPr>
          <w:noProof/>
        </w:rPr>
        <w:t>for PO1</w:t>
      </w:r>
      <w:r w:rsidR="00BB7AE5">
        <w:rPr>
          <w:noProof/>
        </w:rPr>
        <w:t>-</w:t>
      </w:r>
      <w:r w:rsidR="00E80BEA">
        <w:rPr>
          <w:noProof/>
        </w:rPr>
        <w:t xml:space="preserve">C </w:t>
      </w:r>
      <w:r>
        <w:rPr>
          <w:noProof/>
        </w:rPr>
        <w:t>and 0.</w:t>
      </w:r>
      <w:r w:rsidR="00E80BEA">
        <w:rPr>
          <w:noProof/>
        </w:rPr>
        <w:t xml:space="preserve">050 </w:t>
      </w:r>
      <w:r>
        <w:rPr>
          <w:noProof/>
        </w:rPr>
        <w:t>for PO1</w:t>
      </w:r>
      <w:r w:rsidR="007F0BE8">
        <w:rPr>
          <w:noProof/>
        </w:rPr>
        <w:t>-</w:t>
      </w:r>
      <w:r>
        <w:rPr>
          <w:noProof/>
        </w:rPr>
        <w:t xml:space="preserve">A), driven by the strongest combination of </w:t>
      </w:r>
      <w:r w:rsidR="007B3BBA">
        <w:rPr>
          <w:noProof/>
        </w:rPr>
        <w:t>cost</w:t>
      </w:r>
      <w:r>
        <w:rPr>
          <w:noProof/>
        </w:rPr>
        <w:t>, social and environmental scores. Under the Problem 1 weighting, PO1</w:t>
      </w:r>
      <w:r w:rsidR="00BB7AE5">
        <w:rPr>
          <w:noProof/>
        </w:rPr>
        <w:t>-</w:t>
      </w:r>
      <w:r w:rsidR="008A7AEA">
        <w:rPr>
          <w:noProof/>
        </w:rPr>
        <w:t xml:space="preserve">B </w:t>
      </w:r>
      <w:r>
        <w:rPr>
          <w:noProof/>
        </w:rPr>
        <w:t>still has the highest total score (0.</w:t>
      </w:r>
      <w:r w:rsidR="00FA7396">
        <w:rPr>
          <w:noProof/>
        </w:rPr>
        <w:t>408</w:t>
      </w:r>
      <w:r>
        <w:rPr>
          <w:noProof/>
        </w:rPr>
        <w:t>), but PO1</w:t>
      </w:r>
      <w:r w:rsidR="00BB7AE5">
        <w:rPr>
          <w:noProof/>
        </w:rPr>
        <w:t>-</w:t>
      </w:r>
      <w:r w:rsidR="001B3F0A">
        <w:rPr>
          <w:noProof/>
        </w:rPr>
        <w:t xml:space="preserve">C </w:t>
      </w:r>
      <w:r>
        <w:rPr>
          <w:noProof/>
        </w:rPr>
        <w:t xml:space="preserve">moves </w:t>
      </w:r>
      <w:r w:rsidR="001B3F0A">
        <w:rPr>
          <w:noProof/>
        </w:rPr>
        <w:t xml:space="preserve">farther </w:t>
      </w:r>
      <w:r>
        <w:rPr>
          <w:noProof/>
        </w:rPr>
        <w:t>(0.</w:t>
      </w:r>
      <w:r w:rsidR="00FA7396">
        <w:rPr>
          <w:noProof/>
        </w:rPr>
        <w:t>185</w:t>
      </w:r>
      <w:r>
        <w:rPr>
          <w:noProof/>
        </w:rPr>
        <w:t>), while PO1</w:t>
      </w:r>
      <w:r w:rsidR="00BB7AE5">
        <w:rPr>
          <w:noProof/>
        </w:rPr>
        <w:t>-</w:t>
      </w:r>
      <w:r>
        <w:rPr>
          <w:noProof/>
        </w:rPr>
        <w:t xml:space="preserve">A remains the weakest performer, albeit still clearly above the baseline. A notable contrast with operators is that the </w:t>
      </w:r>
      <w:r w:rsidR="00DC4AEF">
        <w:rPr>
          <w:noProof/>
        </w:rPr>
        <w:t>effectiveness</w:t>
      </w:r>
      <w:r>
        <w:rPr>
          <w:noProof/>
        </w:rPr>
        <w:t xml:space="preserve"> dimension for public authorities is closer to, or slightly below, the baseline, especially under P1, suggesting that administrations anticipate less direct </w:t>
      </w:r>
      <w:r w:rsidR="00DC4AEF">
        <w:rPr>
          <w:noProof/>
        </w:rPr>
        <w:t>effectiveness</w:t>
      </w:r>
      <w:r>
        <w:rPr>
          <w:noProof/>
        </w:rPr>
        <w:t xml:space="preserve"> from the measures. Instead, their improvement comes mainly from better cost outcomes relative to the baseline (particularly under PO1</w:t>
      </w:r>
      <w:r w:rsidR="00BB7AE5">
        <w:rPr>
          <w:noProof/>
        </w:rPr>
        <w:t>-</w:t>
      </w:r>
      <w:r w:rsidR="00B50145">
        <w:rPr>
          <w:noProof/>
        </w:rPr>
        <w:t>B</w:t>
      </w:r>
      <w:r>
        <w:rPr>
          <w:noProof/>
        </w:rPr>
        <w:t xml:space="preserve">) and small but positive social and environmental effects. In sum, authorities tend to favour the </w:t>
      </w:r>
      <w:r w:rsidR="007E4529">
        <w:rPr>
          <w:noProof/>
        </w:rPr>
        <w:t>national level</w:t>
      </w:r>
      <w:r>
        <w:rPr>
          <w:noProof/>
        </w:rPr>
        <w:t xml:space="preserve"> option (PO1</w:t>
      </w:r>
      <w:r w:rsidR="00BB7AE5">
        <w:rPr>
          <w:noProof/>
        </w:rPr>
        <w:t>-</w:t>
      </w:r>
      <w:r w:rsidR="007E4529">
        <w:rPr>
          <w:noProof/>
        </w:rPr>
        <w:t>B</w:t>
      </w:r>
      <w:r>
        <w:rPr>
          <w:noProof/>
        </w:rPr>
        <w:t>), which offers a better overall balance of impacts from their perspective, even i</w:t>
      </w:r>
      <w:r w:rsidR="005417E6">
        <w:rPr>
          <w:noProof/>
        </w:rPr>
        <w:t>f PO1-C performs best in terms of</w:t>
      </w:r>
      <w:r w:rsidR="00616B9D">
        <w:rPr>
          <w:noProof/>
        </w:rPr>
        <w:t xml:space="preserve"> environmental impact (under EW) and social impacts</w:t>
      </w:r>
      <w:r w:rsidR="00F73255">
        <w:rPr>
          <w:noProof/>
        </w:rPr>
        <w:t>, mostly in relation to the measures focused on funding for strategic and energy-efficient projects</w:t>
      </w:r>
      <w:r>
        <w:rPr>
          <w:noProof/>
        </w:rPr>
        <w:t>.</w:t>
      </w:r>
    </w:p>
    <w:p w14:paraId="295B9A66" w14:textId="58AC3AAA" w:rsidR="0017193A" w:rsidRDefault="0017193A" w:rsidP="0017193A">
      <w:pPr>
        <w:pStyle w:val="Caption"/>
        <w:rPr>
          <w:noProof/>
        </w:rPr>
      </w:pPr>
      <w:bookmarkStart w:id="299" w:name="_Toc213232724"/>
      <w:bookmarkStart w:id="300" w:name="_Toc213440611"/>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55</w:t>
      </w:r>
      <w:r>
        <w:rPr>
          <w:noProof/>
        </w:rPr>
        <w:fldChar w:fldCharType="end"/>
      </w:r>
      <w:r>
        <w:rPr>
          <w:noProof/>
        </w:rPr>
        <w:t>. MCDA Economic Operators and Public Authorities MAUT – Problem 1</w:t>
      </w:r>
      <w:bookmarkEnd w:id="299"/>
      <w:bookmarkEnd w:id="300"/>
      <w:r w:rsidR="004E323D">
        <w:rPr>
          <w:noProof/>
        </w:rPr>
        <w:t xml:space="preserve"> </w:t>
      </w:r>
      <w:r w:rsidR="004E323D" w:rsidRPr="00785FC1">
        <w:rPr>
          <w:b w:val="0"/>
          <w:bCs/>
          <w:noProof/>
        </w:rPr>
        <w:t>(Source: Technopolis et al. (2025))</w:t>
      </w:r>
    </w:p>
    <w:tbl>
      <w:tblPr>
        <w:tblStyle w:val="TechnopolisTable"/>
        <w:tblpPr w:leftFromText="180" w:rightFromText="180" w:vertAnchor="text" w:tblpY="1"/>
        <w:tblW w:w="5254" w:type="pct"/>
        <w:tblInd w:w="0" w:type="dxa"/>
        <w:tblLayout w:type="fixed"/>
        <w:tblLook w:val="04A0" w:firstRow="1" w:lastRow="0" w:firstColumn="1" w:lastColumn="0" w:noHBand="0" w:noVBand="1"/>
      </w:tblPr>
      <w:tblGrid>
        <w:gridCol w:w="938"/>
        <w:gridCol w:w="723"/>
        <w:gridCol w:w="887"/>
        <w:gridCol w:w="872"/>
        <w:gridCol w:w="872"/>
        <w:gridCol w:w="872"/>
        <w:gridCol w:w="872"/>
        <w:gridCol w:w="872"/>
        <w:gridCol w:w="872"/>
        <w:gridCol w:w="876"/>
        <w:gridCol w:w="848"/>
      </w:tblGrid>
      <w:tr w:rsidR="0017193A" w:rsidRPr="000E1FC6" w14:paraId="72896E66" w14:textId="77777777" w:rsidTr="00B73A51">
        <w:trPr>
          <w:cnfStyle w:val="100000000000" w:firstRow="1" w:lastRow="0" w:firstColumn="0" w:lastColumn="0" w:oddVBand="0" w:evenVBand="0" w:oddHBand="0" w:evenHBand="0" w:firstRowFirstColumn="0" w:firstRowLastColumn="0" w:lastRowFirstColumn="0" w:lastRowLastColumn="0"/>
          <w:trHeight w:val="296"/>
          <w:tblHeader/>
        </w:trPr>
        <w:tc>
          <w:tcPr>
            <w:tcW w:w="493" w:type="pct"/>
            <w:tcBorders>
              <w:bottom w:val="single" w:sz="12" w:space="0" w:color="00B0F0"/>
            </w:tcBorders>
            <w:noWrap/>
            <w:hideMark/>
          </w:tcPr>
          <w:p w14:paraId="3A3EFB92" w14:textId="77777777" w:rsidR="0017193A" w:rsidRPr="00DA029C" w:rsidRDefault="0017193A">
            <w:pPr>
              <w:pStyle w:val="Tabletext"/>
              <w:rPr>
                <w:noProof/>
                <w:sz w:val="22"/>
                <w:szCs w:val="22"/>
                <w:lang w:val="en-IE"/>
              </w:rPr>
            </w:pPr>
            <w:r w:rsidRPr="00DA029C">
              <w:rPr>
                <w:noProof/>
                <w:sz w:val="22"/>
                <w:szCs w:val="22"/>
                <w:lang w:val="en-IE"/>
              </w:rPr>
              <w:t>Impact</w:t>
            </w:r>
          </w:p>
        </w:tc>
        <w:tc>
          <w:tcPr>
            <w:tcW w:w="846" w:type="pct"/>
            <w:gridSpan w:val="2"/>
            <w:tcBorders>
              <w:bottom w:val="single" w:sz="12" w:space="0" w:color="00B0F0"/>
            </w:tcBorders>
            <w:noWrap/>
            <w:hideMark/>
          </w:tcPr>
          <w:p w14:paraId="1D45D294" w14:textId="77777777" w:rsidR="0017193A" w:rsidRPr="00DA029C" w:rsidRDefault="0017193A">
            <w:pPr>
              <w:pStyle w:val="Tabletext"/>
              <w:rPr>
                <w:noProof/>
                <w:sz w:val="22"/>
                <w:szCs w:val="22"/>
              </w:rPr>
            </w:pPr>
            <w:r w:rsidRPr="00DA029C">
              <w:rPr>
                <w:noProof/>
                <w:sz w:val="22"/>
                <w:szCs w:val="22"/>
              </w:rPr>
              <w:t>Costs</w:t>
            </w:r>
          </w:p>
        </w:tc>
        <w:tc>
          <w:tcPr>
            <w:tcW w:w="918" w:type="pct"/>
            <w:gridSpan w:val="2"/>
            <w:tcBorders>
              <w:bottom w:val="single" w:sz="12" w:space="0" w:color="00B0F0"/>
            </w:tcBorders>
            <w:noWrap/>
            <w:hideMark/>
          </w:tcPr>
          <w:p w14:paraId="1AAC36A2" w14:textId="6144FD6F" w:rsidR="0017193A" w:rsidRPr="00DA029C" w:rsidRDefault="001044B3">
            <w:pPr>
              <w:pStyle w:val="Tabletext"/>
              <w:rPr>
                <w:noProof/>
                <w:sz w:val="22"/>
                <w:szCs w:val="22"/>
              </w:rPr>
            </w:pPr>
            <w:r>
              <w:rPr>
                <w:noProof/>
                <w:sz w:val="22"/>
                <w:szCs w:val="22"/>
              </w:rPr>
              <w:t>Effectiveness</w:t>
            </w:r>
          </w:p>
        </w:tc>
        <w:tc>
          <w:tcPr>
            <w:tcW w:w="918" w:type="pct"/>
            <w:gridSpan w:val="2"/>
            <w:tcBorders>
              <w:bottom w:val="single" w:sz="12" w:space="0" w:color="00B0F0"/>
            </w:tcBorders>
            <w:noWrap/>
            <w:hideMark/>
          </w:tcPr>
          <w:p w14:paraId="5BB8A789" w14:textId="77777777" w:rsidR="0017193A" w:rsidRPr="00DA029C" w:rsidRDefault="0017193A">
            <w:pPr>
              <w:pStyle w:val="Tabletext"/>
              <w:rPr>
                <w:noProof/>
                <w:sz w:val="22"/>
                <w:szCs w:val="22"/>
              </w:rPr>
            </w:pPr>
            <w:r w:rsidRPr="00DA029C">
              <w:rPr>
                <w:noProof/>
                <w:sz w:val="22"/>
                <w:szCs w:val="22"/>
              </w:rPr>
              <w:t>Environmental</w:t>
            </w:r>
          </w:p>
        </w:tc>
        <w:tc>
          <w:tcPr>
            <w:tcW w:w="918" w:type="pct"/>
            <w:gridSpan w:val="2"/>
            <w:tcBorders>
              <w:bottom w:val="single" w:sz="12" w:space="0" w:color="00B0F0"/>
            </w:tcBorders>
            <w:noWrap/>
            <w:hideMark/>
          </w:tcPr>
          <w:p w14:paraId="560025EF" w14:textId="77777777" w:rsidR="0017193A" w:rsidRPr="00DA029C" w:rsidRDefault="0017193A">
            <w:pPr>
              <w:pStyle w:val="Tabletext"/>
              <w:rPr>
                <w:noProof/>
                <w:sz w:val="22"/>
                <w:szCs w:val="22"/>
              </w:rPr>
            </w:pPr>
            <w:r w:rsidRPr="00DA029C">
              <w:rPr>
                <w:noProof/>
                <w:sz w:val="22"/>
                <w:szCs w:val="22"/>
              </w:rPr>
              <w:t>Social</w:t>
            </w:r>
          </w:p>
        </w:tc>
        <w:tc>
          <w:tcPr>
            <w:tcW w:w="908" w:type="pct"/>
            <w:gridSpan w:val="2"/>
            <w:tcBorders>
              <w:bottom w:val="single" w:sz="12" w:space="0" w:color="00B0F0"/>
            </w:tcBorders>
            <w:noWrap/>
            <w:hideMark/>
          </w:tcPr>
          <w:p w14:paraId="5EBC22A1" w14:textId="77777777" w:rsidR="0017193A" w:rsidRPr="00DA029C" w:rsidRDefault="0017193A">
            <w:pPr>
              <w:pStyle w:val="Tabletext"/>
              <w:rPr>
                <w:noProof/>
                <w:sz w:val="22"/>
                <w:szCs w:val="22"/>
              </w:rPr>
            </w:pPr>
            <w:r w:rsidRPr="00DA029C">
              <w:rPr>
                <w:noProof/>
                <w:sz w:val="22"/>
                <w:szCs w:val="22"/>
              </w:rPr>
              <w:t>Total</w:t>
            </w:r>
          </w:p>
        </w:tc>
      </w:tr>
      <w:tr w:rsidR="0017193A" w:rsidRPr="000E1FC6" w14:paraId="49BC478B" w14:textId="77777777" w:rsidTr="00B73A51">
        <w:trPr>
          <w:trHeight w:val="366"/>
        </w:trPr>
        <w:tc>
          <w:tcPr>
            <w:tcW w:w="4553" w:type="pct"/>
            <w:gridSpan w:val="10"/>
            <w:tcBorders>
              <w:top w:val="single" w:sz="12" w:space="0" w:color="00B0F0"/>
            </w:tcBorders>
            <w:shd w:val="clear" w:color="auto" w:fill="DBE5F1" w:themeFill="accent1" w:themeFillTint="33"/>
            <w:noWrap/>
          </w:tcPr>
          <w:p w14:paraId="1D5D3F2F" w14:textId="77777777" w:rsidR="0017193A" w:rsidRPr="00DA029C" w:rsidRDefault="0017193A">
            <w:pPr>
              <w:pStyle w:val="Tabletext"/>
              <w:jc w:val="center"/>
              <w:rPr>
                <w:bCs/>
                <w:noProof/>
                <w:sz w:val="22"/>
                <w:szCs w:val="22"/>
              </w:rPr>
            </w:pPr>
            <w:r w:rsidRPr="00DA029C">
              <w:rPr>
                <w:b/>
                <w:noProof/>
                <w:sz w:val="22"/>
                <w:szCs w:val="22"/>
              </w:rPr>
              <w:t>Economic Operators</w:t>
            </w:r>
          </w:p>
        </w:tc>
        <w:tc>
          <w:tcPr>
            <w:tcW w:w="447" w:type="pct"/>
            <w:tcBorders>
              <w:top w:val="single" w:sz="12" w:space="0" w:color="00B0F0"/>
            </w:tcBorders>
            <w:shd w:val="clear" w:color="auto" w:fill="DBE5F1" w:themeFill="accent1" w:themeFillTint="33"/>
            <w:noWrap/>
          </w:tcPr>
          <w:p w14:paraId="1D4DB8EE" w14:textId="77777777" w:rsidR="0017193A" w:rsidRPr="00DA029C" w:rsidRDefault="0017193A">
            <w:pPr>
              <w:pStyle w:val="Tabletext"/>
              <w:rPr>
                <w:bCs/>
                <w:noProof/>
                <w:sz w:val="22"/>
                <w:szCs w:val="22"/>
              </w:rPr>
            </w:pPr>
          </w:p>
        </w:tc>
      </w:tr>
      <w:tr w:rsidR="0017193A" w:rsidRPr="000E1FC6" w14:paraId="34ACBD8F" w14:textId="77777777" w:rsidTr="00B73A51">
        <w:trPr>
          <w:trHeight w:val="296"/>
        </w:trPr>
        <w:tc>
          <w:tcPr>
            <w:tcW w:w="493" w:type="pct"/>
            <w:noWrap/>
            <w:hideMark/>
          </w:tcPr>
          <w:p w14:paraId="57118B77" w14:textId="77777777" w:rsidR="0017193A" w:rsidRPr="00DA029C" w:rsidRDefault="0017193A">
            <w:pPr>
              <w:pStyle w:val="Tabletext"/>
              <w:rPr>
                <w:b/>
                <w:noProof/>
                <w:sz w:val="22"/>
                <w:szCs w:val="22"/>
              </w:rPr>
            </w:pPr>
            <w:r w:rsidRPr="00DA029C">
              <w:rPr>
                <w:b/>
                <w:noProof/>
                <w:sz w:val="22"/>
                <w:szCs w:val="22"/>
              </w:rPr>
              <w:t>Option</w:t>
            </w:r>
          </w:p>
        </w:tc>
        <w:tc>
          <w:tcPr>
            <w:tcW w:w="380" w:type="pct"/>
            <w:noWrap/>
            <w:hideMark/>
          </w:tcPr>
          <w:p w14:paraId="57204A9E" w14:textId="77777777" w:rsidR="0017193A" w:rsidRPr="00DA029C" w:rsidRDefault="0017193A">
            <w:pPr>
              <w:pStyle w:val="Tabletext"/>
              <w:rPr>
                <w:b/>
                <w:noProof/>
                <w:sz w:val="22"/>
                <w:szCs w:val="22"/>
              </w:rPr>
            </w:pPr>
            <w:r w:rsidRPr="00DA029C">
              <w:rPr>
                <w:b/>
                <w:noProof/>
                <w:sz w:val="22"/>
                <w:szCs w:val="22"/>
              </w:rPr>
              <w:t>EW</w:t>
            </w:r>
          </w:p>
        </w:tc>
        <w:tc>
          <w:tcPr>
            <w:tcW w:w="466" w:type="pct"/>
            <w:noWrap/>
            <w:hideMark/>
          </w:tcPr>
          <w:p w14:paraId="0CDB68F1" w14:textId="77777777" w:rsidR="0017193A" w:rsidRPr="00DA029C" w:rsidRDefault="0017193A">
            <w:pPr>
              <w:pStyle w:val="Tabletext"/>
              <w:rPr>
                <w:b/>
                <w:noProof/>
                <w:sz w:val="22"/>
                <w:szCs w:val="22"/>
              </w:rPr>
            </w:pPr>
            <w:r w:rsidRPr="00DA029C">
              <w:rPr>
                <w:b/>
                <w:noProof/>
                <w:sz w:val="22"/>
                <w:szCs w:val="22"/>
              </w:rPr>
              <w:t>P1</w:t>
            </w:r>
          </w:p>
        </w:tc>
        <w:tc>
          <w:tcPr>
            <w:tcW w:w="459" w:type="pct"/>
            <w:noWrap/>
            <w:hideMark/>
          </w:tcPr>
          <w:p w14:paraId="58559B59" w14:textId="77777777" w:rsidR="0017193A" w:rsidRPr="00DA029C" w:rsidRDefault="0017193A">
            <w:pPr>
              <w:pStyle w:val="Tabletext"/>
              <w:rPr>
                <w:b/>
                <w:noProof/>
                <w:sz w:val="22"/>
                <w:szCs w:val="22"/>
              </w:rPr>
            </w:pPr>
            <w:r w:rsidRPr="00DA029C">
              <w:rPr>
                <w:b/>
                <w:noProof/>
                <w:sz w:val="22"/>
                <w:szCs w:val="22"/>
              </w:rPr>
              <w:t>EW</w:t>
            </w:r>
          </w:p>
        </w:tc>
        <w:tc>
          <w:tcPr>
            <w:tcW w:w="459" w:type="pct"/>
            <w:noWrap/>
            <w:hideMark/>
          </w:tcPr>
          <w:p w14:paraId="67358F34" w14:textId="77777777" w:rsidR="0017193A" w:rsidRPr="00DA029C" w:rsidRDefault="0017193A">
            <w:pPr>
              <w:pStyle w:val="Tabletext"/>
              <w:rPr>
                <w:b/>
                <w:noProof/>
                <w:sz w:val="22"/>
                <w:szCs w:val="22"/>
              </w:rPr>
            </w:pPr>
            <w:r w:rsidRPr="00DA029C">
              <w:rPr>
                <w:b/>
                <w:noProof/>
                <w:sz w:val="22"/>
                <w:szCs w:val="22"/>
              </w:rPr>
              <w:t>P1</w:t>
            </w:r>
          </w:p>
        </w:tc>
        <w:tc>
          <w:tcPr>
            <w:tcW w:w="459" w:type="pct"/>
            <w:noWrap/>
            <w:hideMark/>
          </w:tcPr>
          <w:p w14:paraId="0CC3B0FC" w14:textId="77777777" w:rsidR="0017193A" w:rsidRPr="00DA029C" w:rsidRDefault="0017193A">
            <w:pPr>
              <w:pStyle w:val="Tabletext"/>
              <w:rPr>
                <w:b/>
                <w:noProof/>
                <w:sz w:val="22"/>
                <w:szCs w:val="22"/>
              </w:rPr>
            </w:pPr>
            <w:r w:rsidRPr="00DA029C">
              <w:rPr>
                <w:b/>
                <w:noProof/>
                <w:sz w:val="22"/>
                <w:szCs w:val="22"/>
              </w:rPr>
              <w:t>EW</w:t>
            </w:r>
          </w:p>
        </w:tc>
        <w:tc>
          <w:tcPr>
            <w:tcW w:w="459" w:type="pct"/>
            <w:noWrap/>
            <w:hideMark/>
          </w:tcPr>
          <w:p w14:paraId="4A696706" w14:textId="77777777" w:rsidR="0017193A" w:rsidRPr="00DA029C" w:rsidRDefault="0017193A">
            <w:pPr>
              <w:pStyle w:val="Tabletext"/>
              <w:rPr>
                <w:b/>
                <w:noProof/>
                <w:sz w:val="22"/>
                <w:szCs w:val="22"/>
              </w:rPr>
            </w:pPr>
            <w:r w:rsidRPr="00DA029C">
              <w:rPr>
                <w:b/>
                <w:noProof/>
                <w:sz w:val="22"/>
                <w:szCs w:val="22"/>
              </w:rPr>
              <w:t>P1</w:t>
            </w:r>
          </w:p>
        </w:tc>
        <w:tc>
          <w:tcPr>
            <w:tcW w:w="459" w:type="pct"/>
            <w:noWrap/>
            <w:hideMark/>
          </w:tcPr>
          <w:p w14:paraId="48A222DA" w14:textId="77777777" w:rsidR="0017193A" w:rsidRPr="00DA029C" w:rsidRDefault="0017193A">
            <w:pPr>
              <w:pStyle w:val="Tabletext"/>
              <w:rPr>
                <w:b/>
                <w:noProof/>
                <w:sz w:val="22"/>
                <w:szCs w:val="22"/>
              </w:rPr>
            </w:pPr>
            <w:r w:rsidRPr="00DA029C">
              <w:rPr>
                <w:b/>
                <w:noProof/>
                <w:sz w:val="22"/>
                <w:szCs w:val="22"/>
              </w:rPr>
              <w:t>EW</w:t>
            </w:r>
          </w:p>
        </w:tc>
        <w:tc>
          <w:tcPr>
            <w:tcW w:w="459" w:type="pct"/>
            <w:noWrap/>
            <w:hideMark/>
          </w:tcPr>
          <w:p w14:paraId="0F1FDE97" w14:textId="77777777" w:rsidR="0017193A" w:rsidRPr="00DA029C" w:rsidRDefault="0017193A">
            <w:pPr>
              <w:pStyle w:val="Tabletext"/>
              <w:rPr>
                <w:b/>
                <w:noProof/>
                <w:sz w:val="22"/>
                <w:szCs w:val="22"/>
              </w:rPr>
            </w:pPr>
            <w:r w:rsidRPr="00DA029C">
              <w:rPr>
                <w:b/>
                <w:noProof/>
                <w:sz w:val="22"/>
                <w:szCs w:val="22"/>
              </w:rPr>
              <w:t>P1</w:t>
            </w:r>
          </w:p>
        </w:tc>
        <w:tc>
          <w:tcPr>
            <w:tcW w:w="461" w:type="pct"/>
            <w:noWrap/>
            <w:hideMark/>
          </w:tcPr>
          <w:p w14:paraId="54AAEEB7" w14:textId="77777777" w:rsidR="0017193A" w:rsidRPr="00DA029C" w:rsidRDefault="0017193A">
            <w:pPr>
              <w:pStyle w:val="Tabletext"/>
              <w:rPr>
                <w:b/>
                <w:noProof/>
                <w:sz w:val="22"/>
                <w:szCs w:val="22"/>
              </w:rPr>
            </w:pPr>
            <w:r w:rsidRPr="00DA029C">
              <w:rPr>
                <w:b/>
                <w:noProof/>
                <w:sz w:val="22"/>
                <w:szCs w:val="22"/>
              </w:rPr>
              <w:t>EW</w:t>
            </w:r>
          </w:p>
        </w:tc>
        <w:tc>
          <w:tcPr>
            <w:tcW w:w="447" w:type="pct"/>
            <w:noWrap/>
            <w:hideMark/>
          </w:tcPr>
          <w:p w14:paraId="3C94D499" w14:textId="77777777" w:rsidR="0017193A" w:rsidRPr="00DA029C" w:rsidRDefault="0017193A">
            <w:pPr>
              <w:pStyle w:val="Tabletext"/>
              <w:rPr>
                <w:b/>
                <w:noProof/>
                <w:sz w:val="22"/>
                <w:szCs w:val="22"/>
              </w:rPr>
            </w:pPr>
            <w:r w:rsidRPr="00DA029C">
              <w:rPr>
                <w:b/>
                <w:noProof/>
                <w:sz w:val="22"/>
                <w:szCs w:val="22"/>
              </w:rPr>
              <w:t>P1</w:t>
            </w:r>
          </w:p>
        </w:tc>
      </w:tr>
      <w:tr w:rsidR="0018491A" w:rsidRPr="000E1FC6" w14:paraId="144C402C" w14:textId="77777777" w:rsidTr="00B73A51">
        <w:trPr>
          <w:trHeight w:val="296"/>
        </w:trPr>
        <w:tc>
          <w:tcPr>
            <w:tcW w:w="493" w:type="pct"/>
            <w:shd w:val="clear" w:color="auto" w:fill="F2F2F2" w:themeFill="background1" w:themeFillShade="F2"/>
            <w:noWrap/>
          </w:tcPr>
          <w:p w14:paraId="61F0F7D4" w14:textId="77777777" w:rsidR="0017193A" w:rsidRPr="00DA029C" w:rsidRDefault="0017193A">
            <w:pPr>
              <w:pStyle w:val="Tabletext"/>
              <w:rPr>
                <w:b/>
                <w:noProof/>
                <w:sz w:val="22"/>
                <w:szCs w:val="22"/>
              </w:rPr>
            </w:pPr>
            <w:r w:rsidRPr="00DA029C">
              <w:rPr>
                <w:b/>
                <w:noProof/>
                <w:sz w:val="22"/>
                <w:szCs w:val="22"/>
              </w:rPr>
              <w:t>Baseline</w:t>
            </w:r>
          </w:p>
        </w:tc>
        <w:tc>
          <w:tcPr>
            <w:tcW w:w="380" w:type="pct"/>
            <w:shd w:val="clear" w:color="auto" w:fill="F2F2F2" w:themeFill="background1" w:themeFillShade="F2"/>
            <w:noWrap/>
          </w:tcPr>
          <w:p w14:paraId="74607AE5" w14:textId="42EC575A" w:rsidR="0017193A" w:rsidRPr="00060F42" w:rsidRDefault="006552D9">
            <w:pPr>
              <w:pStyle w:val="Tabletext"/>
              <w:rPr>
                <w:noProof/>
                <w:sz w:val="20"/>
                <w:szCs w:val="20"/>
              </w:rPr>
            </w:pPr>
            <w:r w:rsidRPr="00060F42">
              <w:rPr>
                <w:noProof/>
                <w:sz w:val="20"/>
                <w:szCs w:val="20"/>
              </w:rPr>
              <w:t>-0.529</w:t>
            </w:r>
          </w:p>
        </w:tc>
        <w:tc>
          <w:tcPr>
            <w:tcW w:w="466" w:type="pct"/>
            <w:shd w:val="clear" w:color="auto" w:fill="F2F2F2" w:themeFill="background1" w:themeFillShade="F2"/>
            <w:noWrap/>
          </w:tcPr>
          <w:p w14:paraId="34579F33" w14:textId="7FE00157" w:rsidR="0017193A" w:rsidRPr="00060F42" w:rsidRDefault="006552D9">
            <w:pPr>
              <w:pStyle w:val="Tabletext"/>
              <w:rPr>
                <w:noProof/>
                <w:sz w:val="20"/>
                <w:szCs w:val="20"/>
              </w:rPr>
            </w:pPr>
            <w:r w:rsidRPr="00060F42">
              <w:rPr>
                <w:noProof/>
                <w:sz w:val="20"/>
                <w:szCs w:val="20"/>
              </w:rPr>
              <w:t>-0.703</w:t>
            </w:r>
          </w:p>
        </w:tc>
        <w:tc>
          <w:tcPr>
            <w:tcW w:w="459" w:type="pct"/>
            <w:shd w:val="clear" w:color="auto" w:fill="F2F2F2" w:themeFill="background1" w:themeFillShade="F2"/>
            <w:noWrap/>
          </w:tcPr>
          <w:p w14:paraId="208332AF" w14:textId="4FA06B27" w:rsidR="0017193A" w:rsidRPr="00060F42" w:rsidRDefault="0017193A">
            <w:pPr>
              <w:pStyle w:val="Tabletext"/>
              <w:rPr>
                <w:noProof/>
                <w:sz w:val="20"/>
                <w:szCs w:val="20"/>
              </w:rPr>
            </w:pPr>
            <w:r w:rsidRPr="00060F42">
              <w:rPr>
                <w:noProof/>
                <w:sz w:val="20"/>
                <w:szCs w:val="20"/>
              </w:rPr>
              <w:t>0.260</w:t>
            </w:r>
          </w:p>
        </w:tc>
        <w:tc>
          <w:tcPr>
            <w:tcW w:w="459" w:type="pct"/>
            <w:shd w:val="clear" w:color="auto" w:fill="F2F2F2" w:themeFill="background1" w:themeFillShade="F2"/>
            <w:noWrap/>
          </w:tcPr>
          <w:p w14:paraId="643C1E2B" w14:textId="583B9D72" w:rsidR="0017193A" w:rsidRPr="00060F42" w:rsidRDefault="0017193A">
            <w:pPr>
              <w:pStyle w:val="Tabletext"/>
              <w:rPr>
                <w:noProof/>
                <w:sz w:val="20"/>
                <w:szCs w:val="20"/>
              </w:rPr>
            </w:pPr>
            <w:r w:rsidRPr="00060F42">
              <w:rPr>
                <w:noProof/>
                <w:sz w:val="20"/>
                <w:szCs w:val="20"/>
              </w:rPr>
              <w:t>0.504</w:t>
            </w:r>
          </w:p>
        </w:tc>
        <w:tc>
          <w:tcPr>
            <w:tcW w:w="459" w:type="pct"/>
            <w:shd w:val="clear" w:color="auto" w:fill="F2F2F2" w:themeFill="background1" w:themeFillShade="F2"/>
            <w:noWrap/>
          </w:tcPr>
          <w:p w14:paraId="715E331B" w14:textId="0213F5EF" w:rsidR="0017193A" w:rsidRPr="00060F42" w:rsidRDefault="0017193A">
            <w:pPr>
              <w:pStyle w:val="Tabletext"/>
              <w:rPr>
                <w:noProof/>
                <w:sz w:val="20"/>
                <w:szCs w:val="20"/>
              </w:rPr>
            </w:pPr>
            <w:r w:rsidRPr="00060F42">
              <w:rPr>
                <w:noProof/>
                <w:sz w:val="20"/>
                <w:szCs w:val="20"/>
              </w:rPr>
              <w:t>-0.038</w:t>
            </w:r>
          </w:p>
        </w:tc>
        <w:tc>
          <w:tcPr>
            <w:tcW w:w="459" w:type="pct"/>
            <w:shd w:val="clear" w:color="auto" w:fill="F2F2F2" w:themeFill="background1" w:themeFillShade="F2"/>
            <w:noWrap/>
          </w:tcPr>
          <w:p w14:paraId="45DB8AB2" w14:textId="52CE8B4B" w:rsidR="0017193A" w:rsidRPr="00060F42" w:rsidRDefault="0017193A">
            <w:pPr>
              <w:pStyle w:val="Tabletext"/>
              <w:rPr>
                <w:noProof/>
                <w:sz w:val="20"/>
                <w:szCs w:val="20"/>
              </w:rPr>
            </w:pPr>
            <w:r w:rsidRPr="00060F42">
              <w:rPr>
                <w:noProof/>
                <w:sz w:val="20"/>
                <w:szCs w:val="20"/>
              </w:rPr>
              <w:t>-0.141</w:t>
            </w:r>
          </w:p>
        </w:tc>
        <w:tc>
          <w:tcPr>
            <w:tcW w:w="459" w:type="pct"/>
            <w:shd w:val="clear" w:color="auto" w:fill="F2F2F2" w:themeFill="background1" w:themeFillShade="F2"/>
            <w:noWrap/>
          </w:tcPr>
          <w:p w14:paraId="12649A1F" w14:textId="58C2A24D" w:rsidR="0017193A" w:rsidRPr="00060F42" w:rsidRDefault="0017193A">
            <w:pPr>
              <w:pStyle w:val="Tabletext"/>
              <w:rPr>
                <w:noProof/>
                <w:sz w:val="20"/>
                <w:szCs w:val="20"/>
              </w:rPr>
            </w:pPr>
            <w:r w:rsidRPr="00060F42">
              <w:rPr>
                <w:noProof/>
                <w:sz w:val="20"/>
                <w:szCs w:val="20"/>
              </w:rPr>
              <w:t>-0.003</w:t>
            </w:r>
          </w:p>
        </w:tc>
        <w:tc>
          <w:tcPr>
            <w:tcW w:w="459" w:type="pct"/>
            <w:shd w:val="clear" w:color="auto" w:fill="F2F2F2" w:themeFill="background1" w:themeFillShade="F2"/>
            <w:noWrap/>
          </w:tcPr>
          <w:p w14:paraId="3879475E" w14:textId="3DD93D96" w:rsidR="0017193A" w:rsidRPr="00060F42" w:rsidRDefault="0017193A">
            <w:pPr>
              <w:pStyle w:val="Tabletext"/>
              <w:rPr>
                <w:noProof/>
                <w:sz w:val="20"/>
                <w:szCs w:val="20"/>
              </w:rPr>
            </w:pPr>
            <w:r w:rsidRPr="00060F42">
              <w:rPr>
                <w:noProof/>
                <w:sz w:val="20"/>
                <w:szCs w:val="20"/>
              </w:rPr>
              <w:t>-0.004</w:t>
            </w:r>
          </w:p>
        </w:tc>
        <w:tc>
          <w:tcPr>
            <w:tcW w:w="461" w:type="pct"/>
            <w:shd w:val="clear" w:color="auto" w:fill="F2F2F2" w:themeFill="background1" w:themeFillShade="F2"/>
            <w:noWrap/>
          </w:tcPr>
          <w:p w14:paraId="1FB3AC27" w14:textId="521C869F" w:rsidR="0017193A" w:rsidRPr="00060F42" w:rsidRDefault="006552D9">
            <w:pPr>
              <w:pStyle w:val="Tabletext"/>
              <w:rPr>
                <w:noProof/>
                <w:sz w:val="20"/>
                <w:szCs w:val="20"/>
              </w:rPr>
            </w:pPr>
            <w:r w:rsidRPr="00060F42">
              <w:rPr>
                <w:noProof/>
                <w:sz w:val="20"/>
                <w:szCs w:val="20"/>
              </w:rPr>
              <w:t>-0.309</w:t>
            </w:r>
          </w:p>
        </w:tc>
        <w:tc>
          <w:tcPr>
            <w:tcW w:w="447" w:type="pct"/>
            <w:shd w:val="clear" w:color="auto" w:fill="F2F2F2" w:themeFill="background1" w:themeFillShade="F2"/>
            <w:noWrap/>
          </w:tcPr>
          <w:p w14:paraId="4AE02730" w14:textId="2B656784" w:rsidR="0017193A" w:rsidRPr="00060F42" w:rsidRDefault="006552D9">
            <w:pPr>
              <w:pStyle w:val="Tabletext"/>
              <w:rPr>
                <w:noProof/>
                <w:sz w:val="20"/>
                <w:szCs w:val="20"/>
              </w:rPr>
            </w:pPr>
            <w:r w:rsidRPr="00060F42">
              <w:rPr>
                <w:noProof/>
                <w:sz w:val="20"/>
                <w:szCs w:val="20"/>
              </w:rPr>
              <w:t>-0.344</w:t>
            </w:r>
          </w:p>
        </w:tc>
      </w:tr>
      <w:tr w:rsidR="002A37BE" w:rsidRPr="000E1FC6" w14:paraId="70A1AE03" w14:textId="77777777" w:rsidTr="00B73A51">
        <w:trPr>
          <w:trHeight w:val="296"/>
        </w:trPr>
        <w:tc>
          <w:tcPr>
            <w:tcW w:w="493" w:type="pct"/>
            <w:noWrap/>
            <w:hideMark/>
          </w:tcPr>
          <w:p w14:paraId="4C468265" w14:textId="77777777" w:rsidR="002A37BE" w:rsidRPr="00DA029C" w:rsidRDefault="002A37BE" w:rsidP="002A37BE">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A</w:t>
            </w:r>
          </w:p>
        </w:tc>
        <w:tc>
          <w:tcPr>
            <w:tcW w:w="380" w:type="pct"/>
            <w:noWrap/>
            <w:hideMark/>
          </w:tcPr>
          <w:p w14:paraId="48052F30" w14:textId="2AB116D4" w:rsidR="002A37BE" w:rsidRPr="002A37BE" w:rsidRDefault="002A37BE" w:rsidP="002A37BE">
            <w:pPr>
              <w:pStyle w:val="Tabletext"/>
              <w:rPr>
                <w:noProof/>
                <w:sz w:val="20"/>
                <w:szCs w:val="20"/>
              </w:rPr>
            </w:pPr>
            <w:r w:rsidRPr="00555391">
              <w:rPr>
                <w:noProof/>
                <w:sz w:val="20"/>
                <w:szCs w:val="20"/>
              </w:rPr>
              <w:t>-0.137</w:t>
            </w:r>
          </w:p>
        </w:tc>
        <w:tc>
          <w:tcPr>
            <w:tcW w:w="466" w:type="pct"/>
            <w:noWrap/>
            <w:hideMark/>
          </w:tcPr>
          <w:p w14:paraId="09F01DC1" w14:textId="0FE71EC3" w:rsidR="002A37BE" w:rsidRPr="002A37BE" w:rsidRDefault="002A37BE" w:rsidP="002A37BE">
            <w:pPr>
              <w:pStyle w:val="Tabletext"/>
              <w:rPr>
                <w:noProof/>
                <w:sz w:val="20"/>
                <w:szCs w:val="20"/>
              </w:rPr>
            </w:pPr>
            <w:r w:rsidRPr="00555391">
              <w:rPr>
                <w:noProof/>
                <w:sz w:val="20"/>
                <w:szCs w:val="20"/>
              </w:rPr>
              <w:t>-0.156</w:t>
            </w:r>
          </w:p>
        </w:tc>
        <w:tc>
          <w:tcPr>
            <w:tcW w:w="459" w:type="pct"/>
            <w:noWrap/>
            <w:hideMark/>
          </w:tcPr>
          <w:p w14:paraId="5BB23C5E" w14:textId="3093DDA2" w:rsidR="002A37BE" w:rsidRPr="002A37BE" w:rsidRDefault="002A37BE" w:rsidP="002A37BE">
            <w:pPr>
              <w:pStyle w:val="Tabletext"/>
              <w:rPr>
                <w:noProof/>
                <w:sz w:val="20"/>
                <w:szCs w:val="20"/>
              </w:rPr>
            </w:pPr>
            <w:r w:rsidRPr="002A37BE" w:rsidDel="00F42A53">
              <w:rPr>
                <w:noProof/>
                <w:sz w:val="20"/>
                <w:szCs w:val="20"/>
              </w:rPr>
              <w:t>0.238</w:t>
            </w:r>
          </w:p>
        </w:tc>
        <w:tc>
          <w:tcPr>
            <w:tcW w:w="459" w:type="pct"/>
            <w:noWrap/>
            <w:hideMark/>
          </w:tcPr>
          <w:p w14:paraId="5FC2D862" w14:textId="33AA4B92" w:rsidR="002A37BE" w:rsidRPr="002A37BE" w:rsidRDefault="002A37BE" w:rsidP="002A37BE">
            <w:pPr>
              <w:pStyle w:val="Tabletext"/>
              <w:rPr>
                <w:noProof/>
                <w:sz w:val="20"/>
                <w:szCs w:val="20"/>
              </w:rPr>
            </w:pPr>
            <w:r w:rsidRPr="002A37BE" w:rsidDel="00F42A53">
              <w:rPr>
                <w:noProof/>
                <w:sz w:val="20"/>
                <w:szCs w:val="20"/>
              </w:rPr>
              <w:t>0.410</w:t>
            </w:r>
          </w:p>
        </w:tc>
        <w:tc>
          <w:tcPr>
            <w:tcW w:w="459" w:type="pct"/>
            <w:noWrap/>
            <w:hideMark/>
          </w:tcPr>
          <w:p w14:paraId="50F41991" w14:textId="2721F0F7" w:rsidR="002A37BE" w:rsidRPr="002A37BE" w:rsidRDefault="002A37BE" w:rsidP="002A37BE">
            <w:pPr>
              <w:pStyle w:val="Tabletext"/>
              <w:rPr>
                <w:noProof/>
                <w:sz w:val="20"/>
                <w:szCs w:val="20"/>
              </w:rPr>
            </w:pPr>
            <w:r w:rsidRPr="002A37BE" w:rsidDel="00F42A53">
              <w:rPr>
                <w:noProof/>
                <w:sz w:val="20"/>
                <w:szCs w:val="20"/>
              </w:rPr>
              <w:t>0.040</w:t>
            </w:r>
          </w:p>
        </w:tc>
        <w:tc>
          <w:tcPr>
            <w:tcW w:w="459" w:type="pct"/>
            <w:noWrap/>
            <w:hideMark/>
          </w:tcPr>
          <w:p w14:paraId="3F85B414" w14:textId="5C25EDCC" w:rsidR="002A37BE" w:rsidRPr="002A37BE" w:rsidRDefault="002A37BE" w:rsidP="002A37BE">
            <w:pPr>
              <w:pStyle w:val="Tabletext"/>
              <w:rPr>
                <w:noProof/>
                <w:sz w:val="20"/>
                <w:szCs w:val="20"/>
              </w:rPr>
            </w:pPr>
            <w:r w:rsidRPr="002A37BE" w:rsidDel="00F42A53">
              <w:rPr>
                <w:noProof/>
                <w:sz w:val="20"/>
                <w:szCs w:val="20"/>
              </w:rPr>
              <w:t>-0.036</w:t>
            </w:r>
          </w:p>
        </w:tc>
        <w:tc>
          <w:tcPr>
            <w:tcW w:w="459" w:type="pct"/>
            <w:noWrap/>
            <w:hideMark/>
          </w:tcPr>
          <w:p w14:paraId="075A4C65" w14:textId="3620A28C" w:rsidR="002A37BE" w:rsidRPr="002A37BE" w:rsidRDefault="002A37BE" w:rsidP="002A37BE">
            <w:pPr>
              <w:pStyle w:val="Tabletext"/>
              <w:rPr>
                <w:noProof/>
                <w:sz w:val="20"/>
                <w:szCs w:val="20"/>
              </w:rPr>
            </w:pPr>
            <w:r w:rsidRPr="002A37BE" w:rsidDel="00F42A53">
              <w:rPr>
                <w:noProof/>
                <w:sz w:val="20"/>
                <w:szCs w:val="20"/>
              </w:rPr>
              <w:t>0.203</w:t>
            </w:r>
          </w:p>
        </w:tc>
        <w:tc>
          <w:tcPr>
            <w:tcW w:w="459" w:type="pct"/>
            <w:noWrap/>
            <w:hideMark/>
          </w:tcPr>
          <w:p w14:paraId="2E316C19" w14:textId="1D089CDE" w:rsidR="002A37BE" w:rsidRPr="002A37BE" w:rsidRDefault="002A37BE" w:rsidP="002A37BE">
            <w:pPr>
              <w:pStyle w:val="Tabletext"/>
              <w:rPr>
                <w:noProof/>
                <w:sz w:val="20"/>
                <w:szCs w:val="20"/>
              </w:rPr>
            </w:pPr>
            <w:r w:rsidRPr="002A37BE" w:rsidDel="00F42A53">
              <w:rPr>
                <w:noProof/>
                <w:sz w:val="20"/>
                <w:szCs w:val="20"/>
              </w:rPr>
              <w:t>0.041</w:t>
            </w:r>
          </w:p>
        </w:tc>
        <w:tc>
          <w:tcPr>
            <w:tcW w:w="461" w:type="pct"/>
            <w:noWrap/>
            <w:hideMark/>
          </w:tcPr>
          <w:p w14:paraId="390CD7C5" w14:textId="6E76B97A" w:rsidR="002A37BE" w:rsidRPr="002A37BE" w:rsidRDefault="002A37BE" w:rsidP="002A37BE">
            <w:pPr>
              <w:pStyle w:val="Tabletext"/>
              <w:rPr>
                <w:noProof/>
                <w:sz w:val="20"/>
                <w:szCs w:val="20"/>
              </w:rPr>
            </w:pPr>
            <w:r w:rsidRPr="00555391">
              <w:rPr>
                <w:noProof/>
                <w:sz w:val="20"/>
                <w:szCs w:val="20"/>
              </w:rPr>
              <w:t>0.344</w:t>
            </w:r>
          </w:p>
        </w:tc>
        <w:tc>
          <w:tcPr>
            <w:tcW w:w="447" w:type="pct"/>
            <w:noWrap/>
            <w:hideMark/>
          </w:tcPr>
          <w:p w14:paraId="3CBE6E7E" w14:textId="5BB66C70" w:rsidR="002A37BE" w:rsidRPr="002A37BE" w:rsidRDefault="002A37BE" w:rsidP="002A37BE">
            <w:pPr>
              <w:pStyle w:val="Tabletext"/>
              <w:rPr>
                <w:noProof/>
                <w:sz w:val="20"/>
                <w:szCs w:val="20"/>
              </w:rPr>
            </w:pPr>
            <w:r w:rsidRPr="00555391">
              <w:rPr>
                <w:noProof/>
                <w:sz w:val="20"/>
                <w:szCs w:val="20"/>
              </w:rPr>
              <w:t>0.259</w:t>
            </w:r>
          </w:p>
        </w:tc>
      </w:tr>
      <w:tr w:rsidR="002A37BE" w:rsidRPr="000E1FC6" w14:paraId="073C2963" w14:textId="77777777" w:rsidTr="00B73A51">
        <w:trPr>
          <w:trHeight w:val="296"/>
        </w:trPr>
        <w:tc>
          <w:tcPr>
            <w:tcW w:w="493" w:type="pct"/>
            <w:noWrap/>
            <w:hideMark/>
          </w:tcPr>
          <w:p w14:paraId="059DABEB" w14:textId="77777777" w:rsidR="002A37BE" w:rsidRPr="00DA029C" w:rsidRDefault="002A37BE" w:rsidP="002A37BE">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B</w:t>
            </w:r>
          </w:p>
        </w:tc>
        <w:tc>
          <w:tcPr>
            <w:tcW w:w="380" w:type="pct"/>
            <w:noWrap/>
            <w:hideMark/>
          </w:tcPr>
          <w:p w14:paraId="0CD90F8B" w14:textId="2EBB6936" w:rsidR="002A37BE" w:rsidRPr="002A37BE" w:rsidRDefault="002A37BE" w:rsidP="002A37BE">
            <w:pPr>
              <w:pStyle w:val="Tabletext"/>
              <w:rPr>
                <w:noProof/>
                <w:sz w:val="20"/>
                <w:szCs w:val="20"/>
              </w:rPr>
            </w:pPr>
            <w:r w:rsidRPr="00555391">
              <w:rPr>
                <w:noProof/>
                <w:sz w:val="20"/>
                <w:szCs w:val="20"/>
              </w:rPr>
              <w:t>0.</w:t>
            </w:r>
            <w:r w:rsidR="00126B68" w:rsidRPr="00555391">
              <w:rPr>
                <w:noProof/>
                <w:sz w:val="20"/>
                <w:szCs w:val="20"/>
              </w:rPr>
              <w:t>04</w:t>
            </w:r>
            <w:r w:rsidR="00126B68">
              <w:rPr>
                <w:noProof/>
                <w:sz w:val="20"/>
                <w:szCs w:val="20"/>
              </w:rPr>
              <w:t>5</w:t>
            </w:r>
          </w:p>
        </w:tc>
        <w:tc>
          <w:tcPr>
            <w:tcW w:w="466" w:type="pct"/>
            <w:noWrap/>
            <w:hideMark/>
          </w:tcPr>
          <w:p w14:paraId="7E3611AC" w14:textId="66C006F2" w:rsidR="002A37BE" w:rsidRPr="002A37BE" w:rsidRDefault="002A37BE" w:rsidP="002A37BE">
            <w:pPr>
              <w:pStyle w:val="Tabletext"/>
              <w:rPr>
                <w:noProof/>
                <w:sz w:val="20"/>
                <w:szCs w:val="20"/>
              </w:rPr>
            </w:pPr>
            <w:r w:rsidRPr="00555391">
              <w:rPr>
                <w:noProof/>
                <w:sz w:val="20"/>
                <w:szCs w:val="20"/>
              </w:rPr>
              <w:t>0.</w:t>
            </w:r>
            <w:r w:rsidR="009A032E" w:rsidRPr="00555391">
              <w:rPr>
                <w:noProof/>
                <w:sz w:val="20"/>
                <w:szCs w:val="20"/>
              </w:rPr>
              <w:t>21</w:t>
            </w:r>
            <w:r w:rsidR="009A032E">
              <w:rPr>
                <w:noProof/>
                <w:sz w:val="20"/>
                <w:szCs w:val="20"/>
              </w:rPr>
              <w:t>6</w:t>
            </w:r>
          </w:p>
        </w:tc>
        <w:tc>
          <w:tcPr>
            <w:tcW w:w="459" w:type="pct"/>
            <w:noWrap/>
            <w:hideMark/>
          </w:tcPr>
          <w:p w14:paraId="7B50ECF1" w14:textId="6E8F5AE0" w:rsidR="002A37BE" w:rsidRPr="002A37BE" w:rsidRDefault="002A37BE" w:rsidP="002A37BE">
            <w:pPr>
              <w:pStyle w:val="Tabletext"/>
              <w:rPr>
                <w:noProof/>
                <w:sz w:val="20"/>
                <w:szCs w:val="20"/>
              </w:rPr>
            </w:pPr>
            <w:r w:rsidRPr="002A37BE" w:rsidDel="00F42A53">
              <w:rPr>
                <w:noProof/>
                <w:sz w:val="20"/>
                <w:szCs w:val="20"/>
              </w:rPr>
              <w:t>0.298</w:t>
            </w:r>
          </w:p>
        </w:tc>
        <w:tc>
          <w:tcPr>
            <w:tcW w:w="459" w:type="pct"/>
            <w:noWrap/>
            <w:hideMark/>
          </w:tcPr>
          <w:p w14:paraId="6A9EC452" w14:textId="0C9E3EAC" w:rsidR="002A37BE" w:rsidRPr="002A37BE" w:rsidRDefault="002A37BE" w:rsidP="002A37BE">
            <w:pPr>
              <w:pStyle w:val="Tabletext"/>
              <w:rPr>
                <w:noProof/>
                <w:sz w:val="20"/>
                <w:szCs w:val="20"/>
              </w:rPr>
            </w:pPr>
            <w:r w:rsidRPr="002A37BE" w:rsidDel="00F42A53">
              <w:rPr>
                <w:noProof/>
                <w:sz w:val="20"/>
                <w:szCs w:val="20"/>
              </w:rPr>
              <w:t>0.538</w:t>
            </w:r>
          </w:p>
        </w:tc>
        <w:tc>
          <w:tcPr>
            <w:tcW w:w="459" w:type="pct"/>
            <w:noWrap/>
            <w:hideMark/>
          </w:tcPr>
          <w:p w14:paraId="67DE77D8" w14:textId="2DD70EF2" w:rsidR="002A37BE" w:rsidRPr="002A37BE" w:rsidRDefault="002A37BE" w:rsidP="002A37BE">
            <w:pPr>
              <w:pStyle w:val="Tabletext"/>
              <w:rPr>
                <w:noProof/>
                <w:sz w:val="20"/>
                <w:szCs w:val="20"/>
              </w:rPr>
            </w:pPr>
            <w:r w:rsidRPr="002A37BE" w:rsidDel="00F42A53">
              <w:rPr>
                <w:noProof/>
                <w:sz w:val="20"/>
                <w:szCs w:val="20"/>
              </w:rPr>
              <w:t>0.058</w:t>
            </w:r>
          </w:p>
        </w:tc>
        <w:tc>
          <w:tcPr>
            <w:tcW w:w="459" w:type="pct"/>
            <w:noWrap/>
            <w:hideMark/>
          </w:tcPr>
          <w:p w14:paraId="5CA8958C" w14:textId="2E65382D" w:rsidR="002A37BE" w:rsidRPr="002A37BE" w:rsidRDefault="002A37BE" w:rsidP="002A37BE">
            <w:pPr>
              <w:pStyle w:val="Tabletext"/>
              <w:rPr>
                <w:noProof/>
                <w:sz w:val="20"/>
                <w:szCs w:val="20"/>
              </w:rPr>
            </w:pPr>
            <w:r w:rsidRPr="002A37BE" w:rsidDel="00F42A53">
              <w:rPr>
                <w:noProof/>
                <w:sz w:val="20"/>
                <w:szCs w:val="20"/>
              </w:rPr>
              <w:t>-0.058</w:t>
            </w:r>
          </w:p>
        </w:tc>
        <w:tc>
          <w:tcPr>
            <w:tcW w:w="459" w:type="pct"/>
            <w:noWrap/>
            <w:hideMark/>
          </w:tcPr>
          <w:p w14:paraId="4A7E1445" w14:textId="7C28DD27" w:rsidR="002A37BE" w:rsidRPr="002A37BE" w:rsidRDefault="002A37BE" w:rsidP="002A37BE">
            <w:pPr>
              <w:pStyle w:val="Tabletext"/>
              <w:rPr>
                <w:noProof/>
                <w:sz w:val="20"/>
                <w:szCs w:val="20"/>
              </w:rPr>
            </w:pPr>
            <w:r w:rsidRPr="002A37BE" w:rsidDel="00F42A53">
              <w:rPr>
                <w:noProof/>
                <w:sz w:val="20"/>
                <w:szCs w:val="20"/>
              </w:rPr>
              <w:t>0.223</w:t>
            </w:r>
          </w:p>
        </w:tc>
        <w:tc>
          <w:tcPr>
            <w:tcW w:w="459" w:type="pct"/>
            <w:noWrap/>
            <w:hideMark/>
          </w:tcPr>
          <w:p w14:paraId="61DC70EF" w14:textId="46B913F5" w:rsidR="002A37BE" w:rsidRPr="002A37BE" w:rsidRDefault="002A37BE" w:rsidP="002A37BE">
            <w:pPr>
              <w:pStyle w:val="Tabletext"/>
              <w:rPr>
                <w:noProof/>
                <w:sz w:val="20"/>
                <w:szCs w:val="20"/>
              </w:rPr>
            </w:pPr>
            <w:r w:rsidRPr="002A37BE" w:rsidDel="00F42A53">
              <w:rPr>
                <w:noProof/>
                <w:sz w:val="20"/>
                <w:szCs w:val="20"/>
              </w:rPr>
              <w:t>0.045</w:t>
            </w:r>
          </w:p>
        </w:tc>
        <w:tc>
          <w:tcPr>
            <w:tcW w:w="461" w:type="pct"/>
            <w:noWrap/>
            <w:hideMark/>
          </w:tcPr>
          <w:p w14:paraId="60E560CE" w14:textId="453F8255" w:rsidR="002A37BE" w:rsidRPr="002A37BE" w:rsidRDefault="002A37BE" w:rsidP="002A37BE">
            <w:pPr>
              <w:pStyle w:val="Tabletext"/>
              <w:rPr>
                <w:noProof/>
                <w:sz w:val="20"/>
                <w:szCs w:val="20"/>
              </w:rPr>
            </w:pPr>
            <w:r w:rsidRPr="00555391">
              <w:rPr>
                <w:noProof/>
                <w:sz w:val="20"/>
                <w:szCs w:val="20"/>
              </w:rPr>
              <w:t>0.623</w:t>
            </w:r>
          </w:p>
        </w:tc>
        <w:tc>
          <w:tcPr>
            <w:tcW w:w="447" w:type="pct"/>
            <w:noWrap/>
            <w:hideMark/>
          </w:tcPr>
          <w:p w14:paraId="5ABFB2D3" w14:textId="3077D909" w:rsidR="002A37BE" w:rsidRPr="002A37BE" w:rsidRDefault="002A37BE" w:rsidP="002A37BE">
            <w:pPr>
              <w:pStyle w:val="Tabletext"/>
              <w:rPr>
                <w:noProof/>
                <w:sz w:val="20"/>
                <w:szCs w:val="20"/>
              </w:rPr>
            </w:pPr>
            <w:r w:rsidRPr="00555391">
              <w:rPr>
                <w:noProof/>
                <w:sz w:val="20"/>
                <w:szCs w:val="20"/>
              </w:rPr>
              <w:t>0.742</w:t>
            </w:r>
          </w:p>
        </w:tc>
      </w:tr>
      <w:tr w:rsidR="002A37BE" w:rsidRPr="000E1FC6" w14:paraId="4FFC49AA" w14:textId="77777777" w:rsidTr="00B73A51">
        <w:trPr>
          <w:trHeight w:val="296"/>
        </w:trPr>
        <w:tc>
          <w:tcPr>
            <w:tcW w:w="493" w:type="pct"/>
            <w:noWrap/>
            <w:hideMark/>
          </w:tcPr>
          <w:p w14:paraId="2A0C818D" w14:textId="77777777" w:rsidR="002A37BE" w:rsidRPr="00DA029C" w:rsidRDefault="002A37BE" w:rsidP="002A37BE">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C</w:t>
            </w:r>
          </w:p>
        </w:tc>
        <w:tc>
          <w:tcPr>
            <w:tcW w:w="380" w:type="pct"/>
            <w:noWrap/>
            <w:hideMark/>
          </w:tcPr>
          <w:p w14:paraId="3CD2B5BF" w14:textId="6FD752F2" w:rsidR="002A37BE" w:rsidRPr="002A37BE" w:rsidRDefault="002A37BE" w:rsidP="002A37BE">
            <w:pPr>
              <w:pStyle w:val="Tabletext"/>
              <w:rPr>
                <w:noProof/>
                <w:sz w:val="20"/>
                <w:szCs w:val="20"/>
              </w:rPr>
            </w:pPr>
            <w:r w:rsidRPr="00555391">
              <w:rPr>
                <w:noProof/>
                <w:sz w:val="20"/>
                <w:szCs w:val="20"/>
              </w:rPr>
              <w:t>-0.</w:t>
            </w:r>
            <w:r w:rsidR="001044B3" w:rsidRPr="00555391">
              <w:rPr>
                <w:noProof/>
                <w:sz w:val="20"/>
                <w:szCs w:val="20"/>
              </w:rPr>
              <w:t>0</w:t>
            </w:r>
            <w:r w:rsidR="001044B3">
              <w:rPr>
                <w:noProof/>
                <w:sz w:val="20"/>
                <w:szCs w:val="20"/>
              </w:rPr>
              <w:t>63</w:t>
            </w:r>
          </w:p>
        </w:tc>
        <w:tc>
          <w:tcPr>
            <w:tcW w:w="466" w:type="pct"/>
            <w:noWrap/>
            <w:hideMark/>
          </w:tcPr>
          <w:p w14:paraId="7A932AB6" w14:textId="3295F05F" w:rsidR="002A37BE" w:rsidRPr="002A37BE" w:rsidRDefault="002A37BE" w:rsidP="002A37BE">
            <w:pPr>
              <w:pStyle w:val="Tabletext"/>
              <w:rPr>
                <w:noProof/>
                <w:sz w:val="20"/>
                <w:szCs w:val="20"/>
              </w:rPr>
            </w:pPr>
            <w:r w:rsidRPr="00555391">
              <w:rPr>
                <w:noProof/>
                <w:sz w:val="20"/>
                <w:szCs w:val="20"/>
              </w:rPr>
              <w:t>0.</w:t>
            </w:r>
            <w:r w:rsidR="009A032E" w:rsidRPr="00555391">
              <w:rPr>
                <w:noProof/>
                <w:sz w:val="20"/>
                <w:szCs w:val="20"/>
              </w:rPr>
              <w:t>0</w:t>
            </w:r>
            <w:r w:rsidR="009A032E">
              <w:rPr>
                <w:noProof/>
                <w:sz w:val="20"/>
                <w:szCs w:val="20"/>
              </w:rPr>
              <w:t>49</w:t>
            </w:r>
          </w:p>
        </w:tc>
        <w:tc>
          <w:tcPr>
            <w:tcW w:w="459" w:type="pct"/>
            <w:noWrap/>
            <w:hideMark/>
          </w:tcPr>
          <w:p w14:paraId="7ADA8F82" w14:textId="7952D5B3" w:rsidR="002A37BE" w:rsidRPr="002A37BE" w:rsidRDefault="002A37BE" w:rsidP="002A37BE">
            <w:pPr>
              <w:pStyle w:val="Tabletext"/>
              <w:rPr>
                <w:noProof/>
                <w:sz w:val="20"/>
                <w:szCs w:val="20"/>
              </w:rPr>
            </w:pPr>
            <w:r w:rsidRPr="002A37BE" w:rsidDel="00F42A53">
              <w:rPr>
                <w:noProof/>
                <w:sz w:val="20"/>
                <w:szCs w:val="20"/>
              </w:rPr>
              <w:t>0.313</w:t>
            </w:r>
          </w:p>
        </w:tc>
        <w:tc>
          <w:tcPr>
            <w:tcW w:w="459" w:type="pct"/>
            <w:noWrap/>
            <w:hideMark/>
          </w:tcPr>
          <w:p w14:paraId="2DC0771F" w14:textId="79DD2A7C" w:rsidR="002A37BE" w:rsidRPr="002A37BE" w:rsidRDefault="002A37BE" w:rsidP="002A37BE">
            <w:pPr>
              <w:pStyle w:val="Tabletext"/>
              <w:rPr>
                <w:noProof/>
                <w:sz w:val="20"/>
                <w:szCs w:val="20"/>
              </w:rPr>
            </w:pPr>
            <w:r w:rsidRPr="002A37BE" w:rsidDel="00F42A53">
              <w:rPr>
                <w:noProof/>
                <w:sz w:val="20"/>
                <w:szCs w:val="20"/>
              </w:rPr>
              <w:t>0.527</w:t>
            </w:r>
          </w:p>
        </w:tc>
        <w:tc>
          <w:tcPr>
            <w:tcW w:w="459" w:type="pct"/>
            <w:noWrap/>
            <w:hideMark/>
          </w:tcPr>
          <w:p w14:paraId="4BA6B4B5" w14:textId="34B3DDFE" w:rsidR="002A37BE" w:rsidRPr="002A37BE" w:rsidRDefault="002A37BE" w:rsidP="002A37BE">
            <w:pPr>
              <w:pStyle w:val="Tabletext"/>
              <w:rPr>
                <w:noProof/>
                <w:sz w:val="20"/>
                <w:szCs w:val="20"/>
              </w:rPr>
            </w:pPr>
            <w:r w:rsidRPr="002A37BE" w:rsidDel="00F42A53">
              <w:rPr>
                <w:noProof/>
                <w:sz w:val="20"/>
                <w:szCs w:val="20"/>
              </w:rPr>
              <w:t>0.059</w:t>
            </w:r>
          </w:p>
        </w:tc>
        <w:tc>
          <w:tcPr>
            <w:tcW w:w="459" w:type="pct"/>
            <w:noWrap/>
            <w:hideMark/>
          </w:tcPr>
          <w:p w14:paraId="556F526D" w14:textId="7358385B" w:rsidR="002A37BE" w:rsidRPr="002A37BE" w:rsidRDefault="002A37BE" w:rsidP="002A37BE">
            <w:pPr>
              <w:pStyle w:val="Tabletext"/>
              <w:rPr>
                <w:noProof/>
                <w:sz w:val="20"/>
                <w:szCs w:val="20"/>
              </w:rPr>
            </w:pPr>
            <w:r w:rsidRPr="002A37BE" w:rsidDel="00F42A53">
              <w:rPr>
                <w:noProof/>
                <w:sz w:val="20"/>
                <w:szCs w:val="20"/>
              </w:rPr>
              <w:t>-0.057</w:t>
            </w:r>
          </w:p>
        </w:tc>
        <w:tc>
          <w:tcPr>
            <w:tcW w:w="459" w:type="pct"/>
            <w:noWrap/>
            <w:hideMark/>
          </w:tcPr>
          <w:p w14:paraId="2ABA1529" w14:textId="1A76E828" w:rsidR="002A37BE" w:rsidRPr="002A37BE" w:rsidRDefault="002A37BE" w:rsidP="002A37BE">
            <w:pPr>
              <w:pStyle w:val="Tabletext"/>
              <w:rPr>
                <w:noProof/>
                <w:sz w:val="20"/>
                <w:szCs w:val="20"/>
              </w:rPr>
            </w:pPr>
            <w:r w:rsidRPr="002A37BE" w:rsidDel="00F42A53">
              <w:rPr>
                <w:noProof/>
                <w:sz w:val="20"/>
                <w:szCs w:val="20"/>
              </w:rPr>
              <w:t>0.229</w:t>
            </w:r>
          </w:p>
        </w:tc>
        <w:tc>
          <w:tcPr>
            <w:tcW w:w="459" w:type="pct"/>
            <w:noWrap/>
            <w:hideMark/>
          </w:tcPr>
          <w:p w14:paraId="3FCA9F82" w14:textId="5EB50BFD" w:rsidR="002A37BE" w:rsidRPr="002A37BE" w:rsidRDefault="002A37BE" w:rsidP="002A37BE">
            <w:pPr>
              <w:pStyle w:val="Tabletext"/>
              <w:rPr>
                <w:noProof/>
                <w:sz w:val="20"/>
                <w:szCs w:val="20"/>
              </w:rPr>
            </w:pPr>
            <w:r w:rsidRPr="002A37BE" w:rsidDel="00F42A53">
              <w:rPr>
                <w:noProof/>
                <w:sz w:val="20"/>
                <w:szCs w:val="20"/>
              </w:rPr>
              <w:t>0.046</w:t>
            </w:r>
          </w:p>
        </w:tc>
        <w:tc>
          <w:tcPr>
            <w:tcW w:w="461" w:type="pct"/>
            <w:noWrap/>
            <w:hideMark/>
          </w:tcPr>
          <w:p w14:paraId="5B56215B" w14:textId="3D333A10" w:rsidR="002A37BE" w:rsidRPr="002A37BE" w:rsidRDefault="002A37BE" w:rsidP="002A37BE">
            <w:pPr>
              <w:pStyle w:val="Tabletext"/>
              <w:rPr>
                <w:noProof/>
                <w:sz w:val="20"/>
                <w:szCs w:val="20"/>
              </w:rPr>
            </w:pPr>
            <w:r w:rsidRPr="00555391">
              <w:rPr>
                <w:noProof/>
                <w:sz w:val="20"/>
                <w:szCs w:val="20"/>
              </w:rPr>
              <w:t>0.</w:t>
            </w:r>
            <w:r w:rsidR="00AF27BA" w:rsidRPr="00555391">
              <w:rPr>
                <w:noProof/>
                <w:sz w:val="20"/>
                <w:szCs w:val="20"/>
              </w:rPr>
              <w:t>5</w:t>
            </w:r>
            <w:r w:rsidR="00AF27BA">
              <w:rPr>
                <w:noProof/>
                <w:sz w:val="20"/>
                <w:szCs w:val="20"/>
              </w:rPr>
              <w:t>38</w:t>
            </w:r>
          </w:p>
        </w:tc>
        <w:tc>
          <w:tcPr>
            <w:tcW w:w="447" w:type="pct"/>
            <w:noWrap/>
            <w:hideMark/>
          </w:tcPr>
          <w:p w14:paraId="124A85D0" w14:textId="71475193" w:rsidR="002A37BE" w:rsidRPr="002A37BE" w:rsidRDefault="002A37BE" w:rsidP="002A37BE">
            <w:pPr>
              <w:pStyle w:val="Tabletext"/>
              <w:rPr>
                <w:noProof/>
                <w:sz w:val="20"/>
                <w:szCs w:val="20"/>
              </w:rPr>
            </w:pPr>
            <w:r w:rsidRPr="00555391">
              <w:rPr>
                <w:noProof/>
                <w:sz w:val="20"/>
                <w:szCs w:val="20"/>
              </w:rPr>
              <w:t>0.</w:t>
            </w:r>
            <w:r w:rsidR="00AF27BA" w:rsidRPr="00555391">
              <w:rPr>
                <w:noProof/>
                <w:sz w:val="20"/>
                <w:szCs w:val="20"/>
              </w:rPr>
              <w:t>5</w:t>
            </w:r>
            <w:r w:rsidR="00AF27BA">
              <w:rPr>
                <w:noProof/>
                <w:sz w:val="20"/>
                <w:szCs w:val="20"/>
              </w:rPr>
              <w:t>64</w:t>
            </w:r>
          </w:p>
        </w:tc>
      </w:tr>
      <w:tr w:rsidR="0017193A" w:rsidRPr="000E1FC6" w14:paraId="2DD51D55" w14:textId="77777777" w:rsidTr="003117B2">
        <w:trPr>
          <w:trHeight w:val="425"/>
        </w:trPr>
        <w:tc>
          <w:tcPr>
            <w:tcW w:w="5000" w:type="pct"/>
            <w:gridSpan w:val="11"/>
            <w:shd w:val="clear" w:color="auto" w:fill="DBE5F1" w:themeFill="accent1" w:themeFillTint="33"/>
            <w:noWrap/>
          </w:tcPr>
          <w:p w14:paraId="1CA2D514" w14:textId="77777777" w:rsidR="0017193A" w:rsidRPr="00DA029C" w:rsidRDefault="0017193A">
            <w:pPr>
              <w:pStyle w:val="Tabletext"/>
              <w:jc w:val="center"/>
              <w:rPr>
                <w:noProof/>
                <w:sz w:val="22"/>
                <w:szCs w:val="22"/>
              </w:rPr>
            </w:pPr>
            <w:r w:rsidRPr="00DA029C">
              <w:rPr>
                <w:b/>
                <w:noProof/>
                <w:sz w:val="22"/>
                <w:szCs w:val="22"/>
              </w:rPr>
              <w:t>National Public Authorities</w:t>
            </w:r>
          </w:p>
        </w:tc>
      </w:tr>
      <w:tr w:rsidR="0017193A" w:rsidRPr="000E1FC6" w14:paraId="28C239D8" w14:textId="77777777" w:rsidTr="00B73A51">
        <w:trPr>
          <w:trHeight w:val="296"/>
        </w:trPr>
        <w:tc>
          <w:tcPr>
            <w:tcW w:w="493" w:type="pct"/>
            <w:noWrap/>
          </w:tcPr>
          <w:p w14:paraId="63D32124" w14:textId="77777777" w:rsidR="0017193A" w:rsidRPr="00DA029C" w:rsidRDefault="0017193A">
            <w:pPr>
              <w:pStyle w:val="Tabletext"/>
              <w:rPr>
                <w:b/>
                <w:bCs/>
                <w:noProof/>
                <w:sz w:val="22"/>
                <w:szCs w:val="22"/>
              </w:rPr>
            </w:pPr>
            <w:r w:rsidRPr="00DA029C">
              <w:rPr>
                <w:b/>
                <w:noProof/>
                <w:sz w:val="22"/>
                <w:szCs w:val="22"/>
              </w:rPr>
              <w:t>Option</w:t>
            </w:r>
          </w:p>
        </w:tc>
        <w:tc>
          <w:tcPr>
            <w:tcW w:w="380" w:type="pct"/>
            <w:noWrap/>
          </w:tcPr>
          <w:p w14:paraId="35AB450F" w14:textId="77777777" w:rsidR="0017193A" w:rsidRPr="00DA029C" w:rsidRDefault="0017193A">
            <w:pPr>
              <w:pStyle w:val="Tabletext"/>
              <w:rPr>
                <w:bCs/>
                <w:noProof/>
                <w:sz w:val="22"/>
                <w:szCs w:val="22"/>
              </w:rPr>
            </w:pPr>
            <w:r w:rsidRPr="00DA029C">
              <w:rPr>
                <w:b/>
                <w:noProof/>
                <w:sz w:val="22"/>
                <w:szCs w:val="22"/>
              </w:rPr>
              <w:t>EW</w:t>
            </w:r>
          </w:p>
        </w:tc>
        <w:tc>
          <w:tcPr>
            <w:tcW w:w="466" w:type="pct"/>
            <w:noWrap/>
          </w:tcPr>
          <w:p w14:paraId="06852845" w14:textId="77777777" w:rsidR="0017193A" w:rsidRPr="00DA029C" w:rsidRDefault="0017193A">
            <w:pPr>
              <w:pStyle w:val="Tabletext"/>
              <w:rPr>
                <w:bCs/>
                <w:noProof/>
                <w:sz w:val="22"/>
                <w:szCs w:val="22"/>
              </w:rPr>
            </w:pPr>
            <w:r w:rsidRPr="00DA029C">
              <w:rPr>
                <w:b/>
                <w:noProof/>
                <w:sz w:val="22"/>
                <w:szCs w:val="22"/>
              </w:rPr>
              <w:t>P1</w:t>
            </w:r>
          </w:p>
        </w:tc>
        <w:tc>
          <w:tcPr>
            <w:tcW w:w="459" w:type="pct"/>
            <w:noWrap/>
          </w:tcPr>
          <w:p w14:paraId="3D668E0C" w14:textId="77777777" w:rsidR="0017193A" w:rsidRPr="00DA029C" w:rsidRDefault="0017193A">
            <w:pPr>
              <w:pStyle w:val="Tabletext"/>
              <w:rPr>
                <w:bCs/>
                <w:noProof/>
                <w:sz w:val="22"/>
                <w:szCs w:val="22"/>
              </w:rPr>
            </w:pPr>
            <w:r w:rsidRPr="00DA029C">
              <w:rPr>
                <w:b/>
                <w:noProof/>
                <w:sz w:val="22"/>
                <w:szCs w:val="22"/>
              </w:rPr>
              <w:t>EW</w:t>
            </w:r>
          </w:p>
        </w:tc>
        <w:tc>
          <w:tcPr>
            <w:tcW w:w="459" w:type="pct"/>
            <w:noWrap/>
          </w:tcPr>
          <w:p w14:paraId="226437EE" w14:textId="77777777" w:rsidR="0017193A" w:rsidRPr="00DA029C" w:rsidRDefault="0017193A">
            <w:pPr>
              <w:pStyle w:val="Tabletext"/>
              <w:rPr>
                <w:bCs/>
                <w:noProof/>
                <w:sz w:val="22"/>
                <w:szCs w:val="22"/>
              </w:rPr>
            </w:pPr>
            <w:r w:rsidRPr="00DA029C">
              <w:rPr>
                <w:b/>
                <w:noProof/>
                <w:sz w:val="22"/>
                <w:szCs w:val="22"/>
              </w:rPr>
              <w:t>P1</w:t>
            </w:r>
          </w:p>
        </w:tc>
        <w:tc>
          <w:tcPr>
            <w:tcW w:w="459" w:type="pct"/>
            <w:noWrap/>
          </w:tcPr>
          <w:p w14:paraId="79C26991" w14:textId="77777777" w:rsidR="0017193A" w:rsidRPr="00DA029C" w:rsidRDefault="0017193A">
            <w:pPr>
              <w:pStyle w:val="Tabletext"/>
              <w:rPr>
                <w:bCs/>
                <w:noProof/>
                <w:sz w:val="22"/>
                <w:szCs w:val="22"/>
              </w:rPr>
            </w:pPr>
            <w:r w:rsidRPr="00DA029C">
              <w:rPr>
                <w:b/>
                <w:noProof/>
                <w:sz w:val="22"/>
                <w:szCs w:val="22"/>
              </w:rPr>
              <w:t>EW</w:t>
            </w:r>
          </w:p>
        </w:tc>
        <w:tc>
          <w:tcPr>
            <w:tcW w:w="459" w:type="pct"/>
            <w:noWrap/>
          </w:tcPr>
          <w:p w14:paraId="3258E426" w14:textId="77777777" w:rsidR="0017193A" w:rsidRPr="00DA029C" w:rsidRDefault="0017193A">
            <w:pPr>
              <w:pStyle w:val="Tabletext"/>
              <w:rPr>
                <w:bCs/>
                <w:noProof/>
                <w:sz w:val="22"/>
                <w:szCs w:val="22"/>
              </w:rPr>
            </w:pPr>
            <w:r w:rsidRPr="00DA029C">
              <w:rPr>
                <w:b/>
                <w:noProof/>
                <w:sz w:val="22"/>
                <w:szCs w:val="22"/>
              </w:rPr>
              <w:t>P1</w:t>
            </w:r>
          </w:p>
        </w:tc>
        <w:tc>
          <w:tcPr>
            <w:tcW w:w="459" w:type="pct"/>
            <w:noWrap/>
          </w:tcPr>
          <w:p w14:paraId="1735650B" w14:textId="77777777" w:rsidR="0017193A" w:rsidRPr="00DA029C" w:rsidRDefault="0017193A">
            <w:pPr>
              <w:pStyle w:val="Tabletext"/>
              <w:rPr>
                <w:bCs/>
                <w:noProof/>
                <w:sz w:val="22"/>
                <w:szCs w:val="22"/>
              </w:rPr>
            </w:pPr>
            <w:r w:rsidRPr="00DA029C">
              <w:rPr>
                <w:b/>
                <w:noProof/>
                <w:sz w:val="22"/>
                <w:szCs w:val="22"/>
              </w:rPr>
              <w:t>EW</w:t>
            </w:r>
          </w:p>
        </w:tc>
        <w:tc>
          <w:tcPr>
            <w:tcW w:w="459" w:type="pct"/>
            <w:noWrap/>
          </w:tcPr>
          <w:p w14:paraId="7672054C" w14:textId="77777777" w:rsidR="0017193A" w:rsidRPr="00DA029C" w:rsidRDefault="0017193A">
            <w:pPr>
              <w:pStyle w:val="Tabletext"/>
              <w:rPr>
                <w:bCs/>
                <w:noProof/>
                <w:sz w:val="22"/>
                <w:szCs w:val="22"/>
              </w:rPr>
            </w:pPr>
            <w:r w:rsidRPr="00DA029C">
              <w:rPr>
                <w:b/>
                <w:noProof/>
                <w:sz w:val="22"/>
                <w:szCs w:val="22"/>
              </w:rPr>
              <w:t>P1</w:t>
            </w:r>
          </w:p>
        </w:tc>
        <w:tc>
          <w:tcPr>
            <w:tcW w:w="461" w:type="pct"/>
            <w:noWrap/>
          </w:tcPr>
          <w:p w14:paraId="0F423E8E" w14:textId="77777777" w:rsidR="0017193A" w:rsidRPr="00DA029C" w:rsidRDefault="0017193A">
            <w:pPr>
              <w:pStyle w:val="Tabletext"/>
              <w:rPr>
                <w:bCs/>
                <w:noProof/>
                <w:sz w:val="22"/>
                <w:szCs w:val="22"/>
              </w:rPr>
            </w:pPr>
            <w:r w:rsidRPr="00DA029C">
              <w:rPr>
                <w:b/>
                <w:noProof/>
                <w:sz w:val="22"/>
                <w:szCs w:val="22"/>
              </w:rPr>
              <w:t>EW</w:t>
            </w:r>
          </w:p>
        </w:tc>
        <w:tc>
          <w:tcPr>
            <w:tcW w:w="447" w:type="pct"/>
            <w:noWrap/>
          </w:tcPr>
          <w:p w14:paraId="7B66907E" w14:textId="77777777" w:rsidR="0017193A" w:rsidRPr="00DA029C" w:rsidRDefault="0017193A">
            <w:pPr>
              <w:pStyle w:val="Tabletext"/>
              <w:rPr>
                <w:bCs/>
                <w:noProof/>
                <w:sz w:val="22"/>
                <w:szCs w:val="22"/>
              </w:rPr>
            </w:pPr>
            <w:r w:rsidRPr="00DA029C">
              <w:rPr>
                <w:b/>
                <w:noProof/>
                <w:sz w:val="22"/>
                <w:szCs w:val="22"/>
              </w:rPr>
              <w:t>P1</w:t>
            </w:r>
          </w:p>
        </w:tc>
      </w:tr>
      <w:tr w:rsidR="0018491A" w:rsidRPr="000E1FC6" w14:paraId="5BBEA82C" w14:textId="77777777" w:rsidTr="00B73A51">
        <w:trPr>
          <w:trHeight w:val="296"/>
        </w:trPr>
        <w:tc>
          <w:tcPr>
            <w:tcW w:w="493" w:type="pct"/>
            <w:shd w:val="clear" w:color="auto" w:fill="F2F2F2" w:themeFill="background1" w:themeFillShade="F2"/>
            <w:noWrap/>
          </w:tcPr>
          <w:p w14:paraId="3E31E7EA" w14:textId="77777777" w:rsidR="0017193A" w:rsidRPr="00DA029C" w:rsidRDefault="0017193A">
            <w:pPr>
              <w:pStyle w:val="Tabletext"/>
              <w:rPr>
                <w:b/>
                <w:noProof/>
                <w:sz w:val="22"/>
                <w:szCs w:val="22"/>
              </w:rPr>
            </w:pPr>
            <w:r w:rsidRPr="00DA029C">
              <w:rPr>
                <w:b/>
                <w:noProof/>
                <w:sz w:val="22"/>
                <w:szCs w:val="22"/>
              </w:rPr>
              <w:t>Baseline</w:t>
            </w:r>
          </w:p>
        </w:tc>
        <w:tc>
          <w:tcPr>
            <w:tcW w:w="380" w:type="pct"/>
            <w:shd w:val="clear" w:color="auto" w:fill="F2F2F2" w:themeFill="background1" w:themeFillShade="F2"/>
            <w:noWrap/>
          </w:tcPr>
          <w:p w14:paraId="1B9ACAAF" w14:textId="61EFF2A6" w:rsidR="0017193A" w:rsidRPr="00555391" w:rsidRDefault="00AD3127">
            <w:pPr>
              <w:pStyle w:val="Tabletext"/>
              <w:rPr>
                <w:noProof/>
                <w:sz w:val="20"/>
                <w:szCs w:val="20"/>
              </w:rPr>
            </w:pPr>
            <w:r w:rsidRPr="00555391">
              <w:rPr>
                <w:noProof/>
                <w:sz w:val="20"/>
                <w:szCs w:val="20"/>
              </w:rPr>
              <w:t>-0.390</w:t>
            </w:r>
          </w:p>
        </w:tc>
        <w:tc>
          <w:tcPr>
            <w:tcW w:w="466" w:type="pct"/>
            <w:shd w:val="clear" w:color="auto" w:fill="F2F2F2" w:themeFill="background1" w:themeFillShade="F2"/>
            <w:noWrap/>
          </w:tcPr>
          <w:p w14:paraId="1C5E6AC7" w14:textId="4D3CBA79" w:rsidR="0017193A" w:rsidRPr="00555391" w:rsidRDefault="00AD3127">
            <w:pPr>
              <w:pStyle w:val="Tabletext"/>
              <w:rPr>
                <w:noProof/>
                <w:sz w:val="20"/>
                <w:szCs w:val="20"/>
              </w:rPr>
            </w:pPr>
            <w:r w:rsidRPr="00555391">
              <w:rPr>
                <w:noProof/>
                <w:sz w:val="20"/>
                <w:szCs w:val="20"/>
              </w:rPr>
              <w:t>-0.478</w:t>
            </w:r>
          </w:p>
        </w:tc>
        <w:tc>
          <w:tcPr>
            <w:tcW w:w="459" w:type="pct"/>
            <w:shd w:val="clear" w:color="auto" w:fill="F2F2F2" w:themeFill="background1" w:themeFillShade="F2"/>
            <w:noWrap/>
          </w:tcPr>
          <w:p w14:paraId="6D33078B" w14:textId="2DCA8A93" w:rsidR="0017193A" w:rsidRPr="00555391" w:rsidRDefault="0017193A">
            <w:pPr>
              <w:pStyle w:val="Tabletext"/>
              <w:rPr>
                <w:noProof/>
                <w:sz w:val="20"/>
                <w:szCs w:val="20"/>
              </w:rPr>
            </w:pPr>
            <w:r w:rsidRPr="00555391">
              <w:rPr>
                <w:noProof/>
                <w:sz w:val="20"/>
                <w:szCs w:val="20"/>
              </w:rPr>
              <w:t>0.143</w:t>
            </w:r>
          </w:p>
        </w:tc>
        <w:tc>
          <w:tcPr>
            <w:tcW w:w="459" w:type="pct"/>
            <w:shd w:val="clear" w:color="auto" w:fill="F2F2F2" w:themeFill="background1" w:themeFillShade="F2"/>
            <w:noWrap/>
          </w:tcPr>
          <w:p w14:paraId="59B542A0" w14:textId="4E330257" w:rsidR="0017193A" w:rsidRPr="00555391" w:rsidRDefault="0017193A">
            <w:pPr>
              <w:pStyle w:val="Tabletext"/>
              <w:rPr>
                <w:noProof/>
                <w:sz w:val="20"/>
                <w:szCs w:val="20"/>
              </w:rPr>
            </w:pPr>
            <w:r w:rsidRPr="00555391">
              <w:rPr>
                <w:noProof/>
                <w:sz w:val="20"/>
                <w:szCs w:val="20"/>
              </w:rPr>
              <w:t>0.374</w:t>
            </w:r>
          </w:p>
        </w:tc>
        <w:tc>
          <w:tcPr>
            <w:tcW w:w="459" w:type="pct"/>
            <w:shd w:val="clear" w:color="auto" w:fill="F2F2F2" w:themeFill="background1" w:themeFillShade="F2"/>
            <w:noWrap/>
          </w:tcPr>
          <w:p w14:paraId="19C9D9F5" w14:textId="15EDB4C0" w:rsidR="0017193A" w:rsidRPr="00555391" w:rsidRDefault="0017193A">
            <w:pPr>
              <w:pStyle w:val="Tabletext"/>
              <w:rPr>
                <w:noProof/>
                <w:sz w:val="20"/>
                <w:szCs w:val="20"/>
              </w:rPr>
            </w:pPr>
            <w:r w:rsidRPr="00555391">
              <w:rPr>
                <w:noProof/>
                <w:sz w:val="20"/>
                <w:szCs w:val="20"/>
              </w:rPr>
              <w:t>-0.125</w:t>
            </w:r>
          </w:p>
        </w:tc>
        <w:tc>
          <w:tcPr>
            <w:tcW w:w="459" w:type="pct"/>
            <w:shd w:val="clear" w:color="auto" w:fill="F2F2F2" w:themeFill="background1" w:themeFillShade="F2"/>
            <w:noWrap/>
          </w:tcPr>
          <w:p w14:paraId="6FBB39B5" w14:textId="5B3BE7DD" w:rsidR="0017193A" w:rsidRPr="00555391" w:rsidRDefault="0017193A">
            <w:pPr>
              <w:pStyle w:val="Tabletext"/>
              <w:rPr>
                <w:noProof/>
                <w:sz w:val="20"/>
                <w:szCs w:val="20"/>
              </w:rPr>
            </w:pPr>
            <w:r w:rsidRPr="00555391">
              <w:rPr>
                <w:noProof/>
                <w:sz w:val="20"/>
                <w:szCs w:val="20"/>
              </w:rPr>
              <w:t>-0.160</w:t>
            </w:r>
          </w:p>
        </w:tc>
        <w:tc>
          <w:tcPr>
            <w:tcW w:w="459" w:type="pct"/>
            <w:shd w:val="clear" w:color="auto" w:fill="F2F2F2" w:themeFill="background1" w:themeFillShade="F2"/>
            <w:noWrap/>
          </w:tcPr>
          <w:p w14:paraId="7CA1CD4F" w14:textId="243AF961" w:rsidR="0017193A" w:rsidRPr="00555391" w:rsidRDefault="0017193A">
            <w:pPr>
              <w:pStyle w:val="Tabletext"/>
              <w:rPr>
                <w:noProof/>
                <w:sz w:val="20"/>
                <w:szCs w:val="20"/>
              </w:rPr>
            </w:pPr>
            <w:r w:rsidRPr="00555391">
              <w:rPr>
                <w:noProof/>
                <w:sz w:val="20"/>
                <w:szCs w:val="20"/>
              </w:rPr>
              <w:t>0.000</w:t>
            </w:r>
          </w:p>
        </w:tc>
        <w:tc>
          <w:tcPr>
            <w:tcW w:w="459" w:type="pct"/>
            <w:shd w:val="clear" w:color="auto" w:fill="F2F2F2" w:themeFill="background1" w:themeFillShade="F2"/>
            <w:noWrap/>
          </w:tcPr>
          <w:p w14:paraId="664E59F1" w14:textId="057DCDE4" w:rsidR="0017193A" w:rsidRPr="00555391" w:rsidRDefault="0017193A">
            <w:pPr>
              <w:pStyle w:val="Tabletext"/>
              <w:rPr>
                <w:noProof/>
                <w:sz w:val="20"/>
                <w:szCs w:val="20"/>
              </w:rPr>
            </w:pPr>
            <w:r w:rsidRPr="00555391">
              <w:rPr>
                <w:noProof/>
                <w:sz w:val="20"/>
                <w:szCs w:val="20"/>
              </w:rPr>
              <w:t>0.003</w:t>
            </w:r>
          </w:p>
        </w:tc>
        <w:tc>
          <w:tcPr>
            <w:tcW w:w="461" w:type="pct"/>
            <w:shd w:val="clear" w:color="auto" w:fill="F2F2F2" w:themeFill="background1" w:themeFillShade="F2"/>
            <w:noWrap/>
          </w:tcPr>
          <w:p w14:paraId="66DD5155" w14:textId="46505A87" w:rsidR="0017193A" w:rsidRPr="00555391" w:rsidRDefault="00AD3127">
            <w:pPr>
              <w:pStyle w:val="Tabletext"/>
              <w:rPr>
                <w:noProof/>
                <w:sz w:val="20"/>
                <w:szCs w:val="20"/>
              </w:rPr>
            </w:pPr>
            <w:r w:rsidRPr="00555391">
              <w:rPr>
                <w:noProof/>
                <w:sz w:val="20"/>
                <w:szCs w:val="20"/>
              </w:rPr>
              <w:t>-0.373</w:t>
            </w:r>
          </w:p>
        </w:tc>
        <w:tc>
          <w:tcPr>
            <w:tcW w:w="447" w:type="pct"/>
            <w:shd w:val="clear" w:color="auto" w:fill="F2F2F2" w:themeFill="background1" w:themeFillShade="F2"/>
            <w:noWrap/>
          </w:tcPr>
          <w:p w14:paraId="53862177" w14:textId="13ADB773" w:rsidR="0017193A" w:rsidRPr="00555391" w:rsidRDefault="00AD3127">
            <w:pPr>
              <w:pStyle w:val="Tabletext"/>
              <w:rPr>
                <w:noProof/>
                <w:sz w:val="20"/>
                <w:szCs w:val="20"/>
              </w:rPr>
            </w:pPr>
            <w:r w:rsidRPr="00555391">
              <w:rPr>
                <w:noProof/>
                <w:sz w:val="20"/>
                <w:szCs w:val="20"/>
              </w:rPr>
              <w:t>-0.262</w:t>
            </w:r>
          </w:p>
        </w:tc>
      </w:tr>
      <w:tr w:rsidR="00B73A51" w:rsidRPr="000E1FC6" w14:paraId="4B443E5E" w14:textId="77777777" w:rsidTr="00B73A51">
        <w:trPr>
          <w:trHeight w:val="296"/>
        </w:trPr>
        <w:tc>
          <w:tcPr>
            <w:tcW w:w="493" w:type="pct"/>
            <w:noWrap/>
          </w:tcPr>
          <w:p w14:paraId="3C4686F0" w14:textId="77777777" w:rsidR="00B73A51" w:rsidRPr="00DA029C" w:rsidRDefault="00B73A51" w:rsidP="00B73A51">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A</w:t>
            </w:r>
          </w:p>
        </w:tc>
        <w:tc>
          <w:tcPr>
            <w:tcW w:w="380" w:type="pct"/>
            <w:noWrap/>
          </w:tcPr>
          <w:p w14:paraId="78B36EB0" w14:textId="5238DE4D" w:rsidR="00B73A51" w:rsidRPr="00B73A51" w:rsidRDefault="00B73A51" w:rsidP="00B73A51">
            <w:pPr>
              <w:pStyle w:val="Tabletext"/>
              <w:rPr>
                <w:noProof/>
                <w:sz w:val="20"/>
                <w:szCs w:val="20"/>
              </w:rPr>
            </w:pPr>
            <w:r w:rsidRPr="00555391">
              <w:rPr>
                <w:noProof/>
                <w:sz w:val="20"/>
                <w:szCs w:val="20"/>
              </w:rPr>
              <w:t>-0.064</w:t>
            </w:r>
          </w:p>
        </w:tc>
        <w:tc>
          <w:tcPr>
            <w:tcW w:w="466" w:type="pct"/>
            <w:noWrap/>
          </w:tcPr>
          <w:p w14:paraId="16AA5D69" w14:textId="6AB520E3" w:rsidR="00B73A51" w:rsidRPr="00B73A51" w:rsidRDefault="00B73A51" w:rsidP="00B73A51">
            <w:pPr>
              <w:pStyle w:val="Tabletext"/>
              <w:rPr>
                <w:noProof/>
                <w:sz w:val="20"/>
                <w:szCs w:val="20"/>
              </w:rPr>
            </w:pPr>
            <w:r w:rsidRPr="00555391">
              <w:rPr>
                <w:noProof/>
                <w:sz w:val="20"/>
                <w:szCs w:val="20"/>
              </w:rPr>
              <w:t>-0.055</w:t>
            </w:r>
          </w:p>
        </w:tc>
        <w:tc>
          <w:tcPr>
            <w:tcW w:w="459" w:type="pct"/>
            <w:noWrap/>
          </w:tcPr>
          <w:p w14:paraId="20CE4835" w14:textId="41BB9A67" w:rsidR="00B73A51" w:rsidRPr="00B73A51" w:rsidRDefault="00B73A51" w:rsidP="00B73A51">
            <w:pPr>
              <w:pStyle w:val="Tabletext"/>
              <w:rPr>
                <w:noProof/>
                <w:sz w:val="20"/>
                <w:szCs w:val="20"/>
              </w:rPr>
            </w:pPr>
            <w:r w:rsidRPr="00B73A51" w:rsidDel="004A6780">
              <w:rPr>
                <w:noProof/>
                <w:sz w:val="20"/>
                <w:szCs w:val="20"/>
              </w:rPr>
              <w:t>0.063</w:t>
            </w:r>
          </w:p>
        </w:tc>
        <w:tc>
          <w:tcPr>
            <w:tcW w:w="459" w:type="pct"/>
            <w:noWrap/>
          </w:tcPr>
          <w:p w14:paraId="24B4E289" w14:textId="551F3782" w:rsidR="00B73A51" w:rsidRPr="00B73A51" w:rsidRDefault="00B73A51" w:rsidP="00B73A51">
            <w:pPr>
              <w:pStyle w:val="Tabletext"/>
              <w:rPr>
                <w:noProof/>
                <w:sz w:val="20"/>
                <w:szCs w:val="20"/>
              </w:rPr>
            </w:pPr>
            <w:r w:rsidRPr="00B73A51" w:rsidDel="004A6780">
              <w:rPr>
                <w:noProof/>
                <w:sz w:val="20"/>
                <w:szCs w:val="20"/>
              </w:rPr>
              <w:t>0.096</w:t>
            </w:r>
          </w:p>
        </w:tc>
        <w:tc>
          <w:tcPr>
            <w:tcW w:w="459" w:type="pct"/>
            <w:noWrap/>
          </w:tcPr>
          <w:p w14:paraId="4A636DF9" w14:textId="29A16B1E" w:rsidR="00B73A51" w:rsidRPr="00B73A51" w:rsidRDefault="00B73A51" w:rsidP="00B73A51">
            <w:pPr>
              <w:pStyle w:val="Tabletext"/>
              <w:rPr>
                <w:noProof/>
                <w:sz w:val="20"/>
                <w:szCs w:val="20"/>
              </w:rPr>
            </w:pPr>
            <w:r w:rsidRPr="00B73A51" w:rsidDel="004A6780">
              <w:rPr>
                <w:noProof/>
                <w:sz w:val="20"/>
                <w:szCs w:val="20"/>
              </w:rPr>
              <w:t>-0.010</w:t>
            </w:r>
          </w:p>
        </w:tc>
        <w:tc>
          <w:tcPr>
            <w:tcW w:w="459" w:type="pct"/>
            <w:noWrap/>
          </w:tcPr>
          <w:p w14:paraId="637EB8E1" w14:textId="30971F2A" w:rsidR="00B73A51" w:rsidRPr="00B73A51" w:rsidRDefault="00B73A51" w:rsidP="00B73A51">
            <w:pPr>
              <w:pStyle w:val="Tabletext"/>
              <w:rPr>
                <w:noProof/>
                <w:sz w:val="20"/>
                <w:szCs w:val="20"/>
              </w:rPr>
            </w:pPr>
            <w:r w:rsidRPr="00B73A51" w:rsidDel="004A6780">
              <w:rPr>
                <w:noProof/>
                <w:sz w:val="20"/>
                <w:szCs w:val="20"/>
              </w:rPr>
              <w:t>-0.038</w:t>
            </w:r>
          </w:p>
        </w:tc>
        <w:tc>
          <w:tcPr>
            <w:tcW w:w="459" w:type="pct"/>
            <w:noWrap/>
          </w:tcPr>
          <w:p w14:paraId="0F877E43" w14:textId="309349C1" w:rsidR="00B73A51" w:rsidRPr="00B73A51" w:rsidRDefault="00B73A51" w:rsidP="00B73A51">
            <w:pPr>
              <w:pStyle w:val="Tabletext"/>
              <w:rPr>
                <w:noProof/>
                <w:sz w:val="20"/>
                <w:szCs w:val="20"/>
              </w:rPr>
            </w:pPr>
            <w:r w:rsidRPr="00B73A51" w:rsidDel="004A6780">
              <w:rPr>
                <w:noProof/>
                <w:sz w:val="20"/>
                <w:szCs w:val="20"/>
              </w:rPr>
              <w:t>0.063</w:t>
            </w:r>
          </w:p>
        </w:tc>
        <w:tc>
          <w:tcPr>
            <w:tcW w:w="459" w:type="pct"/>
            <w:noWrap/>
          </w:tcPr>
          <w:p w14:paraId="5C0380BE" w14:textId="1D812D22" w:rsidR="00B73A51" w:rsidRPr="00B73A51" w:rsidRDefault="00B73A51" w:rsidP="00B73A51">
            <w:pPr>
              <w:pStyle w:val="Tabletext"/>
              <w:rPr>
                <w:noProof/>
                <w:sz w:val="20"/>
                <w:szCs w:val="20"/>
              </w:rPr>
            </w:pPr>
            <w:r w:rsidRPr="00B73A51" w:rsidDel="004A6780">
              <w:rPr>
                <w:noProof/>
                <w:sz w:val="20"/>
                <w:szCs w:val="20"/>
              </w:rPr>
              <w:t>0.013</w:t>
            </w:r>
          </w:p>
        </w:tc>
        <w:tc>
          <w:tcPr>
            <w:tcW w:w="461" w:type="pct"/>
            <w:noWrap/>
          </w:tcPr>
          <w:p w14:paraId="0D6EDFE7" w14:textId="7FAD37C8" w:rsidR="00B73A51" w:rsidRPr="00B73A51" w:rsidRDefault="00B73A51" w:rsidP="00B73A51">
            <w:pPr>
              <w:pStyle w:val="Tabletext"/>
              <w:rPr>
                <w:noProof/>
                <w:sz w:val="20"/>
                <w:szCs w:val="20"/>
              </w:rPr>
            </w:pPr>
            <w:r w:rsidRPr="00555391">
              <w:rPr>
                <w:noProof/>
                <w:sz w:val="20"/>
                <w:szCs w:val="20"/>
              </w:rPr>
              <w:t>0.050</w:t>
            </w:r>
          </w:p>
        </w:tc>
        <w:tc>
          <w:tcPr>
            <w:tcW w:w="447" w:type="pct"/>
            <w:noWrap/>
          </w:tcPr>
          <w:p w14:paraId="71906374" w14:textId="3341E9F8" w:rsidR="00B73A51" w:rsidRPr="00B73A51" w:rsidRDefault="00B73A51" w:rsidP="00B73A51">
            <w:pPr>
              <w:pStyle w:val="Tabletext"/>
              <w:rPr>
                <w:noProof/>
                <w:sz w:val="20"/>
                <w:szCs w:val="20"/>
              </w:rPr>
            </w:pPr>
            <w:r w:rsidRPr="00555391">
              <w:rPr>
                <w:noProof/>
                <w:sz w:val="20"/>
                <w:szCs w:val="20"/>
              </w:rPr>
              <w:t>0.015</w:t>
            </w:r>
          </w:p>
        </w:tc>
      </w:tr>
      <w:tr w:rsidR="00B73A51" w:rsidRPr="000E1FC6" w14:paraId="0C04A4A5" w14:textId="77777777" w:rsidTr="00B73A51">
        <w:trPr>
          <w:trHeight w:val="296"/>
        </w:trPr>
        <w:tc>
          <w:tcPr>
            <w:tcW w:w="493" w:type="pct"/>
            <w:noWrap/>
          </w:tcPr>
          <w:p w14:paraId="14198547" w14:textId="77777777" w:rsidR="00B73A51" w:rsidRPr="00DA029C" w:rsidRDefault="00B73A51" w:rsidP="00B73A51">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B</w:t>
            </w:r>
          </w:p>
        </w:tc>
        <w:tc>
          <w:tcPr>
            <w:tcW w:w="380" w:type="pct"/>
            <w:noWrap/>
          </w:tcPr>
          <w:p w14:paraId="321AA233" w14:textId="58116578" w:rsidR="00B73A51" w:rsidRPr="00B73A51" w:rsidRDefault="00B73A51" w:rsidP="00B73A51">
            <w:pPr>
              <w:pStyle w:val="Tabletext"/>
              <w:rPr>
                <w:noProof/>
                <w:sz w:val="20"/>
                <w:szCs w:val="20"/>
              </w:rPr>
            </w:pPr>
            <w:r w:rsidRPr="00555391">
              <w:rPr>
                <w:noProof/>
                <w:sz w:val="20"/>
                <w:szCs w:val="20"/>
              </w:rPr>
              <w:t>-0.</w:t>
            </w:r>
            <w:r w:rsidR="00590BF4" w:rsidRPr="00555391">
              <w:rPr>
                <w:noProof/>
                <w:sz w:val="20"/>
                <w:szCs w:val="20"/>
              </w:rPr>
              <w:t>02</w:t>
            </w:r>
            <w:r w:rsidR="00590BF4">
              <w:rPr>
                <w:noProof/>
                <w:sz w:val="20"/>
                <w:szCs w:val="20"/>
              </w:rPr>
              <w:t>3</w:t>
            </w:r>
          </w:p>
        </w:tc>
        <w:tc>
          <w:tcPr>
            <w:tcW w:w="466" w:type="pct"/>
            <w:noWrap/>
          </w:tcPr>
          <w:p w14:paraId="42CD5B37" w14:textId="2E6E8A2E" w:rsidR="00B73A51" w:rsidRPr="00B73A51" w:rsidRDefault="00B73A51" w:rsidP="00B73A51">
            <w:pPr>
              <w:pStyle w:val="Tabletext"/>
              <w:rPr>
                <w:noProof/>
                <w:sz w:val="20"/>
                <w:szCs w:val="20"/>
              </w:rPr>
            </w:pPr>
            <w:r w:rsidRPr="00555391">
              <w:rPr>
                <w:noProof/>
                <w:sz w:val="20"/>
                <w:szCs w:val="20"/>
              </w:rPr>
              <w:t>0.</w:t>
            </w:r>
            <w:r w:rsidR="00590BF4" w:rsidRPr="00555391">
              <w:rPr>
                <w:noProof/>
                <w:sz w:val="20"/>
                <w:szCs w:val="20"/>
              </w:rPr>
              <w:t>10</w:t>
            </w:r>
            <w:r w:rsidR="00590BF4">
              <w:rPr>
                <w:noProof/>
                <w:sz w:val="20"/>
                <w:szCs w:val="20"/>
              </w:rPr>
              <w:t>8</w:t>
            </w:r>
          </w:p>
        </w:tc>
        <w:tc>
          <w:tcPr>
            <w:tcW w:w="459" w:type="pct"/>
            <w:noWrap/>
          </w:tcPr>
          <w:p w14:paraId="5B311AE8" w14:textId="663BEE06" w:rsidR="00B73A51" w:rsidRPr="00B73A51" w:rsidRDefault="00B73A51" w:rsidP="00B73A51">
            <w:pPr>
              <w:pStyle w:val="Tabletext"/>
              <w:rPr>
                <w:noProof/>
                <w:sz w:val="20"/>
                <w:szCs w:val="20"/>
              </w:rPr>
            </w:pPr>
            <w:r w:rsidRPr="00B73A51" w:rsidDel="004A6780">
              <w:rPr>
                <w:noProof/>
                <w:sz w:val="20"/>
                <w:szCs w:val="20"/>
              </w:rPr>
              <w:t>0.188</w:t>
            </w:r>
          </w:p>
        </w:tc>
        <w:tc>
          <w:tcPr>
            <w:tcW w:w="459" w:type="pct"/>
            <w:noWrap/>
          </w:tcPr>
          <w:p w14:paraId="05E20C87" w14:textId="242743CF" w:rsidR="00B73A51" w:rsidRPr="00B73A51" w:rsidRDefault="00B73A51" w:rsidP="00B73A51">
            <w:pPr>
              <w:pStyle w:val="Tabletext"/>
              <w:rPr>
                <w:noProof/>
                <w:sz w:val="20"/>
                <w:szCs w:val="20"/>
              </w:rPr>
            </w:pPr>
            <w:r w:rsidRPr="00B73A51" w:rsidDel="004A6780">
              <w:rPr>
                <w:noProof/>
                <w:sz w:val="20"/>
                <w:szCs w:val="20"/>
              </w:rPr>
              <w:t>0.333</w:t>
            </w:r>
          </w:p>
        </w:tc>
        <w:tc>
          <w:tcPr>
            <w:tcW w:w="459" w:type="pct"/>
            <w:noWrap/>
          </w:tcPr>
          <w:p w14:paraId="4C074D24" w14:textId="116117B2" w:rsidR="00B73A51" w:rsidRPr="00B73A51" w:rsidRDefault="00B73A51" w:rsidP="00B73A51">
            <w:pPr>
              <w:pStyle w:val="Tabletext"/>
              <w:rPr>
                <w:noProof/>
                <w:sz w:val="20"/>
                <w:szCs w:val="20"/>
              </w:rPr>
            </w:pPr>
            <w:r w:rsidRPr="00B73A51" w:rsidDel="004A6780">
              <w:rPr>
                <w:noProof/>
                <w:sz w:val="20"/>
                <w:szCs w:val="20"/>
              </w:rPr>
              <w:t>0.004</w:t>
            </w:r>
          </w:p>
        </w:tc>
        <w:tc>
          <w:tcPr>
            <w:tcW w:w="459" w:type="pct"/>
            <w:noWrap/>
          </w:tcPr>
          <w:p w14:paraId="4F273D76" w14:textId="54D6C3AE" w:rsidR="00B73A51" w:rsidRPr="00B73A51" w:rsidRDefault="00B73A51" w:rsidP="00B73A51">
            <w:pPr>
              <w:pStyle w:val="Tabletext"/>
              <w:rPr>
                <w:noProof/>
                <w:sz w:val="20"/>
                <w:szCs w:val="20"/>
              </w:rPr>
            </w:pPr>
            <w:r w:rsidRPr="00B73A51" w:rsidDel="004A6780">
              <w:rPr>
                <w:noProof/>
                <w:sz w:val="20"/>
                <w:szCs w:val="20"/>
              </w:rPr>
              <w:t>-0.056</w:t>
            </w:r>
          </w:p>
        </w:tc>
        <w:tc>
          <w:tcPr>
            <w:tcW w:w="459" w:type="pct"/>
            <w:noWrap/>
          </w:tcPr>
          <w:p w14:paraId="2F6DBA79" w14:textId="4E1DD702" w:rsidR="00B73A51" w:rsidRPr="00B73A51" w:rsidRDefault="00B73A51" w:rsidP="00B73A51">
            <w:pPr>
              <w:pStyle w:val="Tabletext"/>
              <w:rPr>
                <w:noProof/>
                <w:sz w:val="20"/>
                <w:szCs w:val="20"/>
              </w:rPr>
            </w:pPr>
            <w:r w:rsidRPr="00B73A51" w:rsidDel="004A6780">
              <w:rPr>
                <w:noProof/>
                <w:sz w:val="20"/>
                <w:szCs w:val="20"/>
              </w:rPr>
              <w:t>0.113</w:t>
            </w:r>
          </w:p>
        </w:tc>
        <w:tc>
          <w:tcPr>
            <w:tcW w:w="459" w:type="pct"/>
            <w:noWrap/>
          </w:tcPr>
          <w:p w14:paraId="1F978F4C" w14:textId="69CE37AC" w:rsidR="00B73A51" w:rsidRPr="00B73A51" w:rsidRDefault="00B73A51" w:rsidP="00B73A51">
            <w:pPr>
              <w:pStyle w:val="Tabletext"/>
              <w:rPr>
                <w:noProof/>
                <w:sz w:val="20"/>
                <w:szCs w:val="20"/>
              </w:rPr>
            </w:pPr>
            <w:r w:rsidRPr="00B73A51" w:rsidDel="004A6780">
              <w:rPr>
                <w:noProof/>
                <w:sz w:val="20"/>
                <w:szCs w:val="20"/>
              </w:rPr>
              <w:t>0.023</w:t>
            </w:r>
          </w:p>
        </w:tc>
        <w:tc>
          <w:tcPr>
            <w:tcW w:w="461" w:type="pct"/>
            <w:noWrap/>
          </w:tcPr>
          <w:p w14:paraId="14611A33" w14:textId="61B7DB87" w:rsidR="00B73A51" w:rsidRPr="00B73A51" w:rsidRDefault="00B73A51" w:rsidP="00B73A51">
            <w:pPr>
              <w:pStyle w:val="Tabletext"/>
              <w:rPr>
                <w:noProof/>
                <w:sz w:val="20"/>
                <w:szCs w:val="20"/>
              </w:rPr>
            </w:pPr>
            <w:r w:rsidRPr="00555391">
              <w:rPr>
                <w:noProof/>
                <w:sz w:val="20"/>
                <w:szCs w:val="20"/>
              </w:rPr>
              <w:t>0.</w:t>
            </w:r>
            <w:r w:rsidR="00A87B45" w:rsidRPr="00555391">
              <w:rPr>
                <w:noProof/>
                <w:sz w:val="20"/>
                <w:szCs w:val="20"/>
              </w:rPr>
              <w:t>28</w:t>
            </w:r>
            <w:r w:rsidR="00A87B45">
              <w:rPr>
                <w:noProof/>
                <w:sz w:val="20"/>
                <w:szCs w:val="20"/>
              </w:rPr>
              <w:t>1</w:t>
            </w:r>
          </w:p>
        </w:tc>
        <w:tc>
          <w:tcPr>
            <w:tcW w:w="447" w:type="pct"/>
            <w:noWrap/>
          </w:tcPr>
          <w:p w14:paraId="6C36C3DB" w14:textId="656DBB8F" w:rsidR="00B73A51" w:rsidRPr="00B73A51" w:rsidRDefault="00B73A51" w:rsidP="00B73A51">
            <w:pPr>
              <w:pStyle w:val="Tabletext"/>
              <w:rPr>
                <w:noProof/>
                <w:sz w:val="20"/>
                <w:szCs w:val="20"/>
              </w:rPr>
            </w:pPr>
            <w:r w:rsidRPr="00555391">
              <w:rPr>
                <w:noProof/>
                <w:sz w:val="20"/>
                <w:szCs w:val="20"/>
              </w:rPr>
              <w:t>0.</w:t>
            </w:r>
            <w:r w:rsidR="00A87B45" w:rsidRPr="00555391">
              <w:rPr>
                <w:noProof/>
                <w:sz w:val="20"/>
                <w:szCs w:val="20"/>
              </w:rPr>
              <w:t>40</w:t>
            </w:r>
            <w:r w:rsidR="00A87B45">
              <w:rPr>
                <w:noProof/>
                <w:sz w:val="20"/>
                <w:szCs w:val="20"/>
              </w:rPr>
              <w:t>8</w:t>
            </w:r>
          </w:p>
        </w:tc>
      </w:tr>
      <w:tr w:rsidR="00B73A51" w:rsidRPr="000E1FC6" w14:paraId="4CA9A9B6" w14:textId="77777777" w:rsidTr="00B73A51">
        <w:trPr>
          <w:trHeight w:val="296"/>
        </w:trPr>
        <w:tc>
          <w:tcPr>
            <w:tcW w:w="493" w:type="pct"/>
            <w:noWrap/>
          </w:tcPr>
          <w:p w14:paraId="292CF9A0" w14:textId="77777777" w:rsidR="00B73A51" w:rsidRPr="00DA029C" w:rsidRDefault="00B73A51" w:rsidP="00B73A51">
            <w:pPr>
              <w:pStyle w:val="Tabletext"/>
              <w:rPr>
                <w:b/>
                <w:noProof/>
                <w:sz w:val="22"/>
                <w:szCs w:val="22"/>
              </w:rPr>
            </w:pPr>
            <w:r w:rsidRPr="00DA029C">
              <w:rPr>
                <w:b/>
                <w:noProof/>
                <w:sz w:val="22"/>
                <w:szCs w:val="22"/>
              </w:rPr>
              <w:t>PO1</w:t>
            </w:r>
            <w:r>
              <w:rPr>
                <w:b/>
                <w:noProof/>
                <w:sz w:val="22"/>
                <w:szCs w:val="22"/>
              </w:rPr>
              <w:t>-</w:t>
            </w:r>
            <w:r w:rsidRPr="00DA029C">
              <w:rPr>
                <w:b/>
                <w:noProof/>
                <w:sz w:val="22"/>
                <w:szCs w:val="22"/>
              </w:rPr>
              <w:t>C</w:t>
            </w:r>
          </w:p>
        </w:tc>
        <w:tc>
          <w:tcPr>
            <w:tcW w:w="380" w:type="pct"/>
            <w:noWrap/>
          </w:tcPr>
          <w:p w14:paraId="3D7144FE" w14:textId="3DC13DE8" w:rsidR="00B73A51" w:rsidRPr="00B73A51" w:rsidRDefault="00B73A51" w:rsidP="00B73A51">
            <w:pPr>
              <w:pStyle w:val="Tabletext"/>
              <w:rPr>
                <w:noProof/>
                <w:sz w:val="20"/>
                <w:szCs w:val="20"/>
              </w:rPr>
            </w:pPr>
            <w:r w:rsidRPr="00555391">
              <w:rPr>
                <w:noProof/>
                <w:sz w:val="20"/>
                <w:szCs w:val="20"/>
              </w:rPr>
              <w:t>-0.</w:t>
            </w:r>
            <w:r w:rsidR="00590BF4" w:rsidRPr="00555391">
              <w:rPr>
                <w:noProof/>
                <w:sz w:val="20"/>
                <w:szCs w:val="20"/>
              </w:rPr>
              <w:t>0</w:t>
            </w:r>
            <w:r w:rsidR="00590BF4">
              <w:rPr>
                <w:noProof/>
                <w:sz w:val="20"/>
                <w:szCs w:val="20"/>
              </w:rPr>
              <w:t>97</w:t>
            </w:r>
          </w:p>
        </w:tc>
        <w:tc>
          <w:tcPr>
            <w:tcW w:w="466" w:type="pct"/>
            <w:noWrap/>
          </w:tcPr>
          <w:p w14:paraId="3D70A442" w14:textId="3970C8C5" w:rsidR="00B73A51" w:rsidRPr="00B73A51" w:rsidRDefault="00B73A51" w:rsidP="00B73A51">
            <w:pPr>
              <w:pStyle w:val="Tabletext"/>
              <w:rPr>
                <w:noProof/>
                <w:sz w:val="20"/>
                <w:szCs w:val="20"/>
              </w:rPr>
            </w:pPr>
            <w:r w:rsidRPr="00555391">
              <w:rPr>
                <w:noProof/>
                <w:sz w:val="20"/>
                <w:szCs w:val="20"/>
              </w:rPr>
              <w:t>-0.</w:t>
            </w:r>
            <w:r w:rsidR="00590BF4">
              <w:rPr>
                <w:noProof/>
                <w:sz w:val="20"/>
                <w:szCs w:val="20"/>
              </w:rPr>
              <w:t>101</w:t>
            </w:r>
          </w:p>
        </w:tc>
        <w:tc>
          <w:tcPr>
            <w:tcW w:w="459" w:type="pct"/>
            <w:noWrap/>
          </w:tcPr>
          <w:p w14:paraId="255A459B" w14:textId="5648A497" w:rsidR="00B73A51" w:rsidRPr="00B73A51" w:rsidRDefault="00B73A51" w:rsidP="00B73A51">
            <w:pPr>
              <w:pStyle w:val="Tabletext"/>
              <w:rPr>
                <w:noProof/>
                <w:sz w:val="20"/>
                <w:szCs w:val="20"/>
              </w:rPr>
            </w:pPr>
            <w:r w:rsidRPr="00B73A51" w:rsidDel="004A6780">
              <w:rPr>
                <w:noProof/>
                <w:sz w:val="20"/>
                <w:szCs w:val="20"/>
              </w:rPr>
              <w:t>0.195</w:t>
            </w:r>
          </w:p>
        </w:tc>
        <w:tc>
          <w:tcPr>
            <w:tcW w:w="459" w:type="pct"/>
            <w:noWrap/>
          </w:tcPr>
          <w:p w14:paraId="132D05AE" w14:textId="3BDF2B05" w:rsidR="00B73A51" w:rsidRPr="00B73A51" w:rsidRDefault="00B73A51" w:rsidP="00B73A51">
            <w:pPr>
              <w:pStyle w:val="Tabletext"/>
              <w:rPr>
                <w:noProof/>
                <w:sz w:val="20"/>
                <w:szCs w:val="20"/>
              </w:rPr>
            </w:pPr>
            <w:r w:rsidRPr="00B73A51" w:rsidDel="004A6780">
              <w:rPr>
                <w:noProof/>
                <w:sz w:val="20"/>
                <w:szCs w:val="20"/>
              </w:rPr>
              <w:t>0.304</w:t>
            </w:r>
          </w:p>
        </w:tc>
        <w:tc>
          <w:tcPr>
            <w:tcW w:w="459" w:type="pct"/>
            <w:noWrap/>
          </w:tcPr>
          <w:p w14:paraId="413FAACB" w14:textId="7B822373" w:rsidR="00B73A51" w:rsidRPr="00B73A51" w:rsidRDefault="00B73A51" w:rsidP="00B73A51">
            <w:pPr>
              <w:pStyle w:val="Tabletext"/>
              <w:rPr>
                <w:noProof/>
                <w:sz w:val="20"/>
                <w:szCs w:val="20"/>
              </w:rPr>
            </w:pPr>
            <w:r w:rsidRPr="00B73A51" w:rsidDel="004A6780">
              <w:rPr>
                <w:noProof/>
                <w:sz w:val="20"/>
                <w:szCs w:val="20"/>
              </w:rPr>
              <w:t>0.021</w:t>
            </w:r>
          </w:p>
        </w:tc>
        <w:tc>
          <w:tcPr>
            <w:tcW w:w="459" w:type="pct"/>
            <w:noWrap/>
          </w:tcPr>
          <w:p w14:paraId="42880BA2" w14:textId="4A96DB4D" w:rsidR="00B73A51" w:rsidRPr="00B73A51" w:rsidRDefault="00B73A51" w:rsidP="00B73A51">
            <w:pPr>
              <w:pStyle w:val="Tabletext"/>
              <w:rPr>
                <w:noProof/>
                <w:sz w:val="20"/>
                <w:szCs w:val="20"/>
              </w:rPr>
            </w:pPr>
            <w:r w:rsidRPr="00B73A51" w:rsidDel="004A6780">
              <w:rPr>
                <w:noProof/>
                <w:sz w:val="20"/>
                <w:szCs w:val="20"/>
              </w:rPr>
              <w:t>-0.047</w:t>
            </w:r>
          </w:p>
        </w:tc>
        <w:tc>
          <w:tcPr>
            <w:tcW w:w="459" w:type="pct"/>
            <w:noWrap/>
          </w:tcPr>
          <w:p w14:paraId="7833102D" w14:textId="186801CD" w:rsidR="00B73A51" w:rsidRPr="00B73A51" w:rsidRDefault="00B73A51" w:rsidP="00B73A51">
            <w:pPr>
              <w:pStyle w:val="Tabletext"/>
              <w:rPr>
                <w:noProof/>
                <w:sz w:val="20"/>
                <w:szCs w:val="20"/>
              </w:rPr>
            </w:pPr>
            <w:r w:rsidRPr="00B73A51" w:rsidDel="004A6780">
              <w:rPr>
                <w:noProof/>
                <w:sz w:val="20"/>
                <w:szCs w:val="20"/>
              </w:rPr>
              <w:t>0.141</w:t>
            </w:r>
          </w:p>
        </w:tc>
        <w:tc>
          <w:tcPr>
            <w:tcW w:w="459" w:type="pct"/>
            <w:noWrap/>
          </w:tcPr>
          <w:p w14:paraId="5A0095BE" w14:textId="6919CD5E" w:rsidR="00B73A51" w:rsidRPr="00B73A51" w:rsidRDefault="00B73A51" w:rsidP="00B73A51">
            <w:pPr>
              <w:pStyle w:val="Tabletext"/>
              <w:rPr>
                <w:noProof/>
                <w:sz w:val="20"/>
                <w:szCs w:val="20"/>
              </w:rPr>
            </w:pPr>
            <w:r w:rsidRPr="00B73A51" w:rsidDel="004A6780">
              <w:rPr>
                <w:noProof/>
                <w:sz w:val="20"/>
                <w:szCs w:val="20"/>
              </w:rPr>
              <w:t>0.028</w:t>
            </w:r>
          </w:p>
        </w:tc>
        <w:tc>
          <w:tcPr>
            <w:tcW w:w="461" w:type="pct"/>
            <w:noWrap/>
          </w:tcPr>
          <w:p w14:paraId="637D7C8D" w14:textId="36D2FF17" w:rsidR="00B73A51" w:rsidRPr="00B73A51" w:rsidRDefault="00B73A51" w:rsidP="00B73A51">
            <w:pPr>
              <w:pStyle w:val="Tabletext"/>
              <w:rPr>
                <w:noProof/>
                <w:sz w:val="20"/>
                <w:szCs w:val="20"/>
              </w:rPr>
            </w:pPr>
            <w:r w:rsidRPr="00555391">
              <w:rPr>
                <w:noProof/>
                <w:sz w:val="20"/>
                <w:szCs w:val="20"/>
              </w:rPr>
              <w:t>0.</w:t>
            </w:r>
            <w:r w:rsidR="00A87B45" w:rsidRPr="00555391">
              <w:rPr>
                <w:noProof/>
                <w:sz w:val="20"/>
                <w:szCs w:val="20"/>
              </w:rPr>
              <w:t>2</w:t>
            </w:r>
            <w:r w:rsidR="00A87B45">
              <w:rPr>
                <w:noProof/>
                <w:sz w:val="20"/>
                <w:szCs w:val="20"/>
              </w:rPr>
              <w:t>59</w:t>
            </w:r>
          </w:p>
        </w:tc>
        <w:tc>
          <w:tcPr>
            <w:tcW w:w="447" w:type="pct"/>
            <w:noWrap/>
          </w:tcPr>
          <w:p w14:paraId="602027F4" w14:textId="5790E0CF" w:rsidR="00B73A51" w:rsidRPr="00B73A51" w:rsidRDefault="00B73A51" w:rsidP="00B73A51">
            <w:pPr>
              <w:pStyle w:val="Tabletext"/>
              <w:rPr>
                <w:noProof/>
                <w:sz w:val="20"/>
                <w:szCs w:val="20"/>
              </w:rPr>
            </w:pPr>
            <w:r w:rsidRPr="00555391">
              <w:rPr>
                <w:noProof/>
                <w:sz w:val="20"/>
                <w:szCs w:val="20"/>
              </w:rPr>
              <w:t>0.</w:t>
            </w:r>
            <w:r w:rsidR="00A87B45">
              <w:rPr>
                <w:noProof/>
                <w:sz w:val="20"/>
                <w:szCs w:val="20"/>
              </w:rPr>
              <w:t>185</w:t>
            </w:r>
          </w:p>
        </w:tc>
      </w:tr>
    </w:tbl>
    <w:p w14:paraId="524E0241" w14:textId="77777777" w:rsidR="00D861AB" w:rsidRDefault="00D861AB" w:rsidP="0017193A">
      <w:pPr>
        <w:pStyle w:val="Caption"/>
        <w:rPr>
          <w:noProof/>
        </w:rPr>
      </w:pPr>
      <w:bookmarkStart w:id="301" w:name="_Toc213232725"/>
      <w:bookmarkStart w:id="302" w:name="_Toc213440612"/>
    </w:p>
    <w:p w14:paraId="375F288C" w14:textId="6C0D3BAA" w:rsidR="00D861AB" w:rsidRDefault="00D861AB" w:rsidP="00D861AB">
      <w:pPr>
        <w:pStyle w:val="BodyText"/>
        <w:rPr>
          <w:noProof/>
        </w:rPr>
      </w:pPr>
      <w:r>
        <w:rPr>
          <w:noProof/>
        </w:rPr>
        <w:t xml:space="preserve">For </w:t>
      </w:r>
      <w:r w:rsidR="00A45C38">
        <w:rPr>
          <w:noProof/>
        </w:rPr>
        <w:t>cloud</w:t>
      </w:r>
      <w:r>
        <w:rPr>
          <w:noProof/>
        </w:rPr>
        <w:t xml:space="preserve"> and AI </w:t>
      </w:r>
      <w:r w:rsidR="00A24504">
        <w:rPr>
          <w:noProof/>
        </w:rPr>
        <w:t>computing</w:t>
      </w:r>
      <w:r>
        <w:rPr>
          <w:noProof/>
        </w:rPr>
        <w:t xml:space="preserve"> service providers, all three options improve on the baseline when impacts are equally weighted, with total scores rising from 0.267 (baseline) to 0.440 (PO1</w:t>
      </w:r>
      <w:r w:rsidR="00A45C38">
        <w:rPr>
          <w:noProof/>
        </w:rPr>
        <w:t>-</w:t>
      </w:r>
      <w:r>
        <w:rPr>
          <w:noProof/>
        </w:rPr>
        <w:t>A), 0.542 (PO1</w:t>
      </w:r>
      <w:r w:rsidR="00A45C38">
        <w:rPr>
          <w:noProof/>
        </w:rPr>
        <w:t>-</w:t>
      </w:r>
      <w:r>
        <w:rPr>
          <w:noProof/>
        </w:rPr>
        <w:t>B) and 0.572 (PO1</w:t>
      </w:r>
      <w:r w:rsidR="00A45C38">
        <w:rPr>
          <w:noProof/>
        </w:rPr>
        <w:t>-</w:t>
      </w:r>
      <w:r>
        <w:rPr>
          <w:noProof/>
        </w:rPr>
        <w:t>C). Since cost impacts are neutral</w:t>
      </w:r>
      <w:r w:rsidR="000338C7">
        <w:rPr>
          <w:noProof/>
        </w:rPr>
        <w:t xml:space="preserve"> under this Problem</w:t>
      </w:r>
      <w:r>
        <w:rPr>
          <w:noProof/>
        </w:rPr>
        <w:t xml:space="preserve"> (all zero), the gains come from stronger </w:t>
      </w:r>
      <w:r w:rsidR="000338C7">
        <w:rPr>
          <w:noProof/>
        </w:rPr>
        <w:t xml:space="preserve">effectiveness </w:t>
      </w:r>
      <w:r>
        <w:rPr>
          <w:noProof/>
        </w:rPr>
        <w:t xml:space="preserve">and social performance, with modest environmental improvements under equal weighting. Under the Problem 1 weighting, which amplifies </w:t>
      </w:r>
      <w:r w:rsidR="000338C7">
        <w:rPr>
          <w:noProof/>
        </w:rPr>
        <w:t>effectiveness</w:t>
      </w:r>
      <w:r w:rsidDel="000338C7">
        <w:rPr>
          <w:noProof/>
        </w:rPr>
        <w:t xml:space="preserve"> </w:t>
      </w:r>
      <w:r>
        <w:rPr>
          <w:noProof/>
        </w:rPr>
        <w:t>dimensions, the picture is more nuanced: PO1</w:t>
      </w:r>
      <w:r w:rsidR="00A45C38">
        <w:rPr>
          <w:noProof/>
        </w:rPr>
        <w:t>-</w:t>
      </w:r>
      <w:r>
        <w:rPr>
          <w:noProof/>
        </w:rPr>
        <w:t>A is essentially indistinguishable from the baseline (0.378 vs 0.381), while PO1</w:t>
      </w:r>
      <w:r w:rsidR="00A45C38">
        <w:rPr>
          <w:noProof/>
        </w:rPr>
        <w:t>-</w:t>
      </w:r>
      <w:r>
        <w:rPr>
          <w:noProof/>
        </w:rPr>
        <w:t>B and PO1</w:t>
      </w:r>
      <w:r w:rsidR="00A45C38">
        <w:rPr>
          <w:noProof/>
        </w:rPr>
        <w:t>-</w:t>
      </w:r>
      <w:r>
        <w:rPr>
          <w:noProof/>
        </w:rPr>
        <w:t xml:space="preserve">C provide clear net benefits (0.499 and 0.488 respectively), driven by higher </w:t>
      </w:r>
      <w:r w:rsidR="000338C7">
        <w:rPr>
          <w:noProof/>
        </w:rPr>
        <w:t xml:space="preserve">effectiveness </w:t>
      </w:r>
      <w:r>
        <w:rPr>
          <w:noProof/>
        </w:rPr>
        <w:t xml:space="preserve">scores. Environmental scores for providers become slightly more negative under P1, indicating perceived trade-offs as deployment objectives are prioritised, but these are more than offset by the </w:t>
      </w:r>
      <w:r w:rsidR="00C20CBA">
        <w:rPr>
          <w:noProof/>
        </w:rPr>
        <w:t xml:space="preserve">effectiveness </w:t>
      </w:r>
      <w:r>
        <w:rPr>
          <w:noProof/>
        </w:rPr>
        <w:t>and social gains in PO1</w:t>
      </w:r>
      <w:r w:rsidR="00A45C38">
        <w:rPr>
          <w:noProof/>
        </w:rPr>
        <w:t>-</w:t>
      </w:r>
      <w:r>
        <w:rPr>
          <w:noProof/>
        </w:rPr>
        <w:t>B and PO1</w:t>
      </w:r>
      <w:r w:rsidR="00A45C38">
        <w:rPr>
          <w:noProof/>
        </w:rPr>
        <w:t>-</w:t>
      </w:r>
      <w:r>
        <w:rPr>
          <w:noProof/>
        </w:rPr>
        <w:t>C.</w:t>
      </w:r>
    </w:p>
    <w:p w14:paraId="58A36098" w14:textId="62CA34F7" w:rsidR="00D861AB" w:rsidRDefault="00D861AB" w:rsidP="00D861AB">
      <w:pPr>
        <w:pStyle w:val="BodyText"/>
        <w:rPr>
          <w:noProof/>
        </w:rPr>
      </w:pPr>
      <w:r>
        <w:rPr>
          <w:noProof/>
        </w:rPr>
        <w:t>For data centre operators, the options deliver very substantial improvements over the baseline across both weighting schemes. Under equal weighting, the total score rises from –0.501 (baseline) to 0.</w:t>
      </w:r>
      <w:r w:rsidR="00F528E1">
        <w:rPr>
          <w:noProof/>
        </w:rPr>
        <w:t xml:space="preserve">505 </w:t>
      </w:r>
      <w:r>
        <w:rPr>
          <w:noProof/>
        </w:rPr>
        <w:t>(PO1</w:t>
      </w:r>
      <w:r w:rsidR="005C193D">
        <w:rPr>
          <w:noProof/>
        </w:rPr>
        <w:t>-</w:t>
      </w:r>
      <w:r>
        <w:rPr>
          <w:noProof/>
        </w:rPr>
        <w:t>A), 0.</w:t>
      </w:r>
      <w:r w:rsidR="00BD07A3">
        <w:rPr>
          <w:noProof/>
        </w:rPr>
        <w:t xml:space="preserve">767 </w:t>
      </w:r>
      <w:r>
        <w:rPr>
          <w:noProof/>
        </w:rPr>
        <w:t>(PO1</w:t>
      </w:r>
      <w:r w:rsidR="005C193D">
        <w:rPr>
          <w:noProof/>
        </w:rPr>
        <w:t>-</w:t>
      </w:r>
      <w:r>
        <w:rPr>
          <w:noProof/>
        </w:rPr>
        <w:t>B) and 0.</w:t>
      </w:r>
      <w:r w:rsidR="00BD07A3">
        <w:rPr>
          <w:noProof/>
        </w:rPr>
        <w:t xml:space="preserve">654 </w:t>
      </w:r>
      <w:r>
        <w:rPr>
          <w:noProof/>
        </w:rPr>
        <w:t>(PO1</w:t>
      </w:r>
      <w:r w:rsidR="005C193D">
        <w:rPr>
          <w:noProof/>
        </w:rPr>
        <w:t>-</w:t>
      </w:r>
      <w:r>
        <w:rPr>
          <w:noProof/>
        </w:rPr>
        <w:t>C), with a similar pattern under P1 (–0.438 to 0.</w:t>
      </w:r>
      <w:r w:rsidR="00F528E1">
        <w:rPr>
          <w:noProof/>
        </w:rPr>
        <w:t>399</w:t>
      </w:r>
      <w:r>
        <w:rPr>
          <w:noProof/>
        </w:rPr>
        <w:t>, 0.</w:t>
      </w:r>
      <w:r w:rsidR="00BD07A3">
        <w:rPr>
          <w:noProof/>
        </w:rPr>
        <w:t xml:space="preserve">848 </w:t>
      </w:r>
      <w:r>
        <w:rPr>
          <w:noProof/>
        </w:rPr>
        <w:t>and 0.</w:t>
      </w:r>
      <w:r w:rsidR="00BD07A3">
        <w:rPr>
          <w:noProof/>
        </w:rPr>
        <w:t xml:space="preserve">670 </w:t>
      </w:r>
      <w:r>
        <w:rPr>
          <w:noProof/>
        </w:rPr>
        <w:t xml:space="preserve">respectively). The baseline is characterised by strongly negative cost scores and only modest </w:t>
      </w:r>
      <w:r w:rsidR="00353ABC">
        <w:rPr>
          <w:noProof/>
        </w:rPr>
        <w:t>effectiveness</w:t>
      </w:r>
      <w:r>
        <w:rPr>
          <w:noProof/>
        </w:rPr>
        <w:t>, whereas PO1</w:t>
      </w:r>
      <w:r w:rsidR="005C193D">
        <w:rPr>
          <w:noProof/>
        </w:rPr>
        <w:t>-</w:t>
      </w:r>
      <w:r>
        <w:rPr>
          <w:noProof/>
        </w:rPr>
        <w:t xml:space="preserve">B in particular </w:t>
      </w:r>
      <w:r w:rsidR="006979D2">
        <w:rPr>
          <w:noProof/>
        </w:rPr>
        <w:t>moves higher</w:t>
      </w:r>
      <w:r>
        <w:rPr>
          <w:noProof/>
        </w:rPr>
        <w:t xml:space="preserve"> (0.</w:t>
      </w:r>
      <w:r w:rsidR="00852465">
        <w:rPr>
          <w:noProof/>
        </w:rPr>
        <w:t xml:space="preserve">767 </w:t>
      </w:r>
      <w:r>
        <w:rPr>
          <w:noProof/>
        </w:rPr>
        <w:t>EW, 0.</w:t>
      </w:r>
      <w:r w:rsidR="00852465">
        <w:rPr>
          <w:noProof/>
        </w:rPr>
        <w:t xml:space="preserve">848 </w:t>
      </w:r>
      <w:r>
        <w:rPr>
          <w:noProof/>
        </w:rPr>
        <w:t xml:space="preserve">P1) while also delivering the highest </w:t>
      </w:r>
      <w:r w:rsidR="00F528E1">
        <w:rPr>
          <w:noProof/>
        </w:rPr>
        <w:t xml:space="preserve">effectiveness </w:t>
      </w:r>
      <w:r>
        <w:rPr>
          <w:noProof/>
        </w:rPr>
        <w:t>and social scores. PO1</w:t>
      </w:r>
      <w:r w:rsidR="005C193D">
        <w:rPr>
          <w:noProof/>
        </w:rPr>
        <w:t>-</w:t>
      </w:r>
      <w:r>
        <w:rPr>
          <w:noProof/>
        </w:rPr>
        <w:t>A and PO1</w:t>
      </w:r>
      <w:r w:rsidR="005C193D">
        <w:rPr>
          <w:noProof/>
        </w:rPr>
        <w:t>-</w:t>
      </w:r>
      <w:r>
        <w:rPr>
          <w:noProof/>
        </w:rPr>
        <w:t>C also perform very well, but their cost outcomes are weaker than PO1</w:t>
      </w:r>
      <w:r w:rsidR="005C193D">
        <w:rPr>
          <w:noProof/>
        </w:rPr>
        <w:t>-</w:t>
      </w:r>
      <w:r>
        <w:rPr>
          <w:noProof/>
        </w:rPr>
        <w:t>B’s. Environmental performance improves markedly relative to the baseline under equal weighting (especially in PO1</w:t>
      </w:r>
      <w:r w:rsidR="00466CA6">
        <w:rPr>
          <w:noProof/>
        </w:rPr>
        <w:t>-</w:t>
      </w:r>
      <w:r>
        <w:rPr>
          <w:noProof/>
        </w:rPr>
        <w:t>C), though again becomes slightly negative under P1 as the model places more emphasis on economic deployment. Overall, operators clearly favour the more interventionist national package in PO1</w:t>
      </w:r>
      <w:r w:rsidR="00466CA6">
        <w:rPr>
          <w:noProof/>
        </w:rPr>
        <w:t>-</w:t>
      </w:r>
      <w:r>
        <w:rPr>
          <w:noProof/>
        </w:rPr>
        <w:t>B, with PO1</w:t>
      </w:r>
      <w:r w:rsidR="00466CA6">
        <w:rPr>
          <w:noProof/>
        </w:rPr>
        <w:t>-</w:t>
      </w:r>
      <w:r>
        <w:rPr>
          <w:noProof/>
        </w:rPr>
        <w:t>C and PO1</w:t>
      </w:r>
      <w:r w:rsidR="00466CA6">
        <w:rPr>
          <w:noProof/>
        </w:rPr>
        <w:t>-</w:t>
      </w:r>
      <w:r>
        <w:rPr>
          <w:noProof/>
        </w:rPr>
        <w:t>A still representing substantial improvements over the status quo.</w:t>
      </w:r>
    </w:p>
    <w:p w14:paraId="0EBD89FA" w14:textId="46CC25FE" w:rsidR="00D861AB" w:rsidRPr="007C7201" w:rsidRDefault="00D861AB" w:rsidP="00D861AB">
      <w:pPr>
        <w:pStyle w:val="BodyText"/>
        <w:rPr>
          <w:noProof/>
        </w:rPr>
      </w:pPr>
      <w:r w:rsidRPr="0093787E">
        <w:rPr>
          <w:noProof/>
        </w:rPr>
        <w:t>For SMEs</w:t>
      </w:r>
      <w:r>
        <w:rPr>
          <w:rStyle w:val="FootnoteReference"/>
          <w:noProof/>
        </w:rPr>
        <w:footnoteReference w:id="105"/>
      </w:r>
      <w:r w:rsidR="00927B3A">
        <w:rPr>
          <w:noProof/>
        </w:rPr>
        <w:t>,</w:t>
      </w:r>
      <w:r w:rsidRPr="0093787E">
        <w:rPr>
          <w:noProof/>
        </w:rPr>
        <w:t xml:space="preserve"> results show that all three options perform substantially better than the baseline, with PO1</w:t>
      </w:r>
      <w:r w:rsidR="00771A39">
        <w:rPr>
          <w:noProof/>
        </w:rPr>
        <w:t>-</w:t>
      </w:r>
      <w:r w:rsidRPr="0093787E">
        <w:rPr>
          <w:noProof/>
        </w:rPr>
        <w:t xml:space="preserve">C </w:t>
      </w:r>
      <w:r w:rsidR="00712073">
        <w:rPr>
          <w:noProof/>
        </w:rPr>
        <w:t>as</w:t>
      </w:r>
      <w:r w:rsidR="00712073" w:rsidRPr="0093787E">
        <w:rPr>
          <w:noProof/>
        </w:rPr>
        <w:t xml:space="preserve"> </w:t>
      </w:r>
      <w:r w:rsidRPr="0093787E">
        <w:rPr>
          <w:noProof/>
        </w:rPr>
        <w:t xml:space="preserve">the most favourable </w:t>
      </w:r>
      <w:r>
        <w:rPr>
          <w:noProof/>
        </w:rPr>
        <w:t>option</w:t>
      </w:r>
      <w:r w:rsidR="00712073">
        <w:rPr>
          <w:noProof/>
        </w:rPr>
        <w:t xml:space="preserve"> under EW and PO1-B under P1 weights</w:t>
      </w:r>
      <w:r w:rsidRPr="0093787E">
        <w:rPr>
          <w:noProof/>
        </w:rPr>
        <w:t xml:space="preserve">. All options </w:t>
      </w:r>
      <w:r w:rsidR="00044AAA">
        <w:rPr>
          <w:noProof/>
        </w:rPr>
        <w:t>improve over</w:t>
      </w:r>
      <w:r w:rsidR="00044AAA" w:rsidRPr="0093787E">
        <w:rPr>
          <w:noProof/>
        </w:rPr>
        <w:t xml:space="preserve"> </w:t>
      </w:r>
      <w:r w:rsidR="00044AAA">
        <w:rPr>
          <w:noProof/>
        </w:rPr>
        <w:t>the baseline levels</w:t>
      </w:r>
      <w:r w:rsidRPr="0093787E">
        <w:rPr>
          <w:noProof/>
        </w:rPr>
        <w:t>, yielding positive totals of 0.</w:t>
      </w:r>
      <w:r w:rsidR="00F63468">
        <w:rPr>
          <w:noProof/>
        </w:rPr>
        <w:t>444</w:t>
      </w:r>
      <w:r w:rsidR="00044AAA" w:rsidRPr="0093787E">
        <w:rPr>
          <w:noProof/>
        </w:rPr>
        <w:t xml:space="preserve"> </w:t>
      </w:r>
      <w:r w:rsidRPr="0093787E">
        <w:rPr>
          <w:noProof/>
        </w:rPr>
        <w:t>(PO1</w:t>
      </w:r>
      <w:r w:rsidR="00771A39">
        <w:rPr>
          <w:noProof/>
        </w:rPr>
        <w:t>-</w:t>
      </w:r>
      <w:r w:rsidRPr="0093787E">
        <w:rPr>
          <w:noProof/>
        </w:rPr>
        <w:t>A), 0.</w:t>
      </w:r>
      <w:r w:rsidR="00F63468">
        <w:rPr>
          <w:noProof/>
        </w:rPr>
        <w:t>612</w:t>
      </w:r>
      <w:r w:rsidR="00044AAA" w:rsidRPr="0093787E">
        <w:rPr>
          <w:noProof/>
        </w:rPr>
        <w:t xml:space="preserve"> </w:t>
      </w:r>
      <w:r w:rsidRPr="0093787E">
        <w:rPr>
          <w:noProof/>
        </w:rPr>
        <w:t>(PO1</w:t>
      </w:r>
      <w:r w:rsidR="00771A39">
        <w:rPr>
          <w:noProof/>
        </w:rPr>
        <w:t>-</w:t>
      </w:r>
      <w:r w:rsidRPr="0093787E">
        <w:rPr>
          <w:noProof/>
        </w:rPr>
        <w:t>B) and 0.</w:t>
      </w:r>
      <w:r w:rsidR="00F63468">
        <w:rPr>
          <w:noProof/>
        </w:rPr>
        <w:t>629</w:t>
      </w:r>
      <w:r w:rsidR="00044AAA" w:rsidRPr="0093787E">
        <w:rPr>
          <w:noProof/>
        </w:rPr>
        <w:t xml:space="preserve"> </w:t>
      </w:r>
      <w:r w:rsidRPr="0093787E">
        <w:rPr>
          <w:noProof/>
        </w:rPr>
        <w:t>(PO1</w:t>
      </w:r>
      <w:r w:rsidR="00771A39">
        <w:rPr>
          <w:noProof/>
        </w:rPr>
        <w:t>-</w:t>
      </w:r>
      <w:r w:rsidRPr="0093787E">
        <w:rPr>
          <w:noProof/>
        </w:rPr>
        <w:t>C)</w:t>
      </w:r>
      <w:r w:rsidR="00864919">
        <w:rPr>
          <w:noProof/>
        </w:rPr>
        <w:t xml:space="preserve"> under EW</w:t>
      </w:r>
      <w:r w:rsidRPr="0093787E">
        <w:rPr>
          <w:noProof/>
        </w:rPr>
        <w:t xml:space="preserve">. The improvement is driven by higher </w:t>
      </w:r>
      <w:r w:rsidR="00864919">
        <w:rPr>
          <w:noProof/>
        </w:rPr>
        <w:t>effectiveness</w:t>
      </w:r>
      <w:r w:rsidR="00864919" w:rsidRPr="0093787E">
        <w:rPr>
          <w:noProof/>
        </w:rPr>
        <w:t xml:space="preserve"> </w:t>
      </w:r>
      <w:r w:rsidRPr="0093787E">
        <w:rPr>
          <w:noProof/>
        </w:rPr>
        <w:t>scores (up to 0.320 for PO1</w:t>
      </w:r>
      <w:r w:rsidR="00771A39">
        <w:rPr>
          <w:noProof/>
        </w:rPr>
        <w:t>-</w:t>
      </w:r>
      <w:r w:rsidRPr="0093787E">
        <w:rPr>
          <w:noProof/>
        </w:rPr>
        <w:t xml:space="preserve">C) and clearly positive social and environmental contributions. When the Problem 1 weighting is applied, the ordering </w:t>
      </w:r>
      <w:r w:rsidR="00B54E1B">
        <w:rPr>
          <w:noProof/>
        </w:rPr>
        <w:t>changes:</w:t>
      </w:r>
      <w:r w:rsidRPr="0093787E">
        <w:rPr>
          <w:noProof/>
        </w:rPr>
        <w:t xml:space="preserve"> PO1</w:t>
      </w:r>
      <w:r w:rsidR="00C1576F">
        <w:rPr>
          <w:noProof/>
        </w:rPr>
        <w:t>-</w:t>
      </w:r>
      <w:r w:rsidR="004A2105">
        <w:rPr>
          <w:noProof/>
        </w:rPr>
        <w:t>B</w:t>
      </w:r>
      <w:r w:rsidR="004A2105" w:rsidRPr="0093787E">
        <w:rPr>
          <w:noProof/>
        </w:rPr>
        <w:t xml:space="preserve"> </w:t>
      </w:r>
      <w:r w:rsidRPr="0093787E">
        <w:rPr>
          <w:noProof/>
        </w:rPr>
        <w:t>performs best (total 0.</w:t>
      </w:r>
      <w:r w:rsidR="004A2105" w:rsidRPr="0093787E">
        <w:rPr>
          <w:noProof/>
        </w:rPr>
        <w:t>5</w:t>
      </w:r>
      <w:r w:rsidR="004A2105">
        <w:rPr>
          <w:noProof/>
        </w:rPr>
        <w:t>61</w:t>
      </w:r>
      <w:r w:rsidRPr="0093787E">
        <w:rPr>
          <w:noProof/>
        </w:rPr>
        <w:t>), followed by PO1</w:t>
      </w:r>
      <w:r w:rsidR="00C1576F">
        <w:rPr>
          <w:noProof/>
        </w:rPr>
        <w:t>-</w:t>
      </w:r>
      <w:r w:rsidR="004A2105">
        <w:rPr>
          <w:noProof/>
        </w:rPr>
        <w:t xml:space="preserve">C </w:t>
      </w:r>
      <w:r w:rsidRPr="0093787E">
        <w:rPr>
          <w:noProof/>
        </w:rPr>
        <w:t>(0.</w:t>
      </w:r>
      <w:r w:rsidR="004A2105">
        <w:rPr>
          <w:noProof/>
        </w:rPr>
        <w:t>526</w:t>
      </w:r>
      <w:r w:rsidRPr="0093787E">
        <w:rPr>
          <w:noProof/>
        </w:rPr>
        <w:t>) and PO1</w:t>
      </w:r>
      <w:r w:rsidR="00B6482F">
        <w:rPr>
          <w:noProof/>
        </w:rPr>
        <w:t>-</w:t>
      </w:r>
      <w:r w:rsidRPr="0093787E">
        <w:rPr>
          <w:noProof/>
        </w:rPr>
        <w:t>A (0.</w:t>
      </w:r>
      <w:r w:rsidR="004A2105">
        <w:rPr>
          <w:noProof/>
        </w:rPr>
        <w:t>391</w:t>
      </w:r>
      <w:r w:rsidRPr="0093787E">
        <w:rPr>
          <w:noProof/>
        </w:rPr>
        <w:t>),</w:t>
      </w:r>
      <w:r w:rsidR="00AE4D91">
        <w:rPr>
          <w:noProof/>
        </w:rPr>
        <w:t xml:space="preserve"> showing that as economic deployment is emphasized over other criteria, SMEs tend to favour PO1-B rather than an EU-level approach</w:t>
      </w:r>
      <w:r w:rsidRPr="0093787E">
        <w:rPr>
          <w:noProof/>
        </w:rPr>
        <w:t xml:space="preserve">. </w:t>
      </w:r>
      <w:r w:rsidR="00B4044C">
        <w:rPr>
          <w:noProof/>
        </w:rPr>
        <w:t>Indeed, u</w:t>
      </w:r>
      <w:r w:rsidR="00B4044C" w:rsidRPr="0093787E">
        <w:rPr>
          <w:noProof/>
        </w:rPr>
        <w:t xml:space="preserve">nder </w:t>
      </w:r>
      <w:r w:rsidRPr="0093787E">
        <w:rPr>
          <w:noProof/>
        </w:rPr>
        <w:t xml:space="preserve">P1, </w:t>
      </w:r>
      <w:r w:rsidR="00220AF4">
        <w:rPr>
          <w:noProof/>
        </w:rPr>
        <w:t>PO1-B</w:t>
      </w:r>
      <w:r w:rsidRPr="0093787E">
        <w:rPr>
          <w:noProof/>
        </w:rPr>
        <w:t xml:space="preserve"> </w:t>
      </w:r>
      <w:r w:rsidR="00B4044C">
        <w:rPr>
          <w:noProof/>
        </w:rPr>
        <w:t>improves mainly driver by higher</w:t>
      </w:r>
      <w:r w:rsidRPr="0093787E">
        <w:rPr>
          <w:noProof/>
        </w:rPr>
        <w:t xml:space="preserve"> </w:t>
      </w:r>
      <w:r w:rsidR="00220AF4">
        <w:rPr>
          <w:noProof/>
        </w:rPr>
        <w:t>effectiveness</w:t>
      </w:r>
      <w:r w:rsidRPr="0093787E">
        <w:rPr>
          <w:noProof/>
        </w:rPr>
        <w:t xml:space="preserve"> (0.</w:t>
      </w:r>
      <w:r w:rsidR="00B4044C" w:rsidRPr="0093787E">
        <w:rPr>
          <w:noProof/>
        </w:rPr>
        <w:t>5</w:t>
      </w:r>
      <w:r w:rsidR="00B4044C">
        <w:rPr>
          <w:noProof/>
        </w:rPr>
        <w:t>69</w:t>
      </w:r>
      <w:r w:rsidRPr="0093787E">
        <w:rPr>
          <w:noProof/>
        </w:rPr>
        <w:t xml:space="preserve">) </w:t>
      </w:r>
      <w:r w:rsidR="00B4044C">
        <w:rPr>
          <w:noProof/>
        </w:rPr>
        <w:t xml:space="preserve">compared to the other options and the baseline. </w:t>
      </w:r>
    </w:p>
    <w:p w14:paraId="646EFAE4" w14:textId="59883301" w:rsidR="0017193A" w:rsidRDefault="0017193A" w:rsidP="0017193A">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56</w:t>
      </w:r>
      <w:r>
        <w:rPr>
          <w:noProof/>
        </w:rPr>
        <w:fldChar w:fldCharType="end"/>
      </w:r>
      <w:r>
        <w:rPr>
          <w:noProof/>
        </w:rPr>
        <w:t xml:space="preserve">. MCDA </w:t>
      </w:r>
      <w:r w:rsidR="00A24504">
        <w:rPr>
          <w:noProof/>
        </w:rPr>
        <w:t>C</w:t>
      </w:r>
      <w:r w:rsidR="00C1576F">
        <w:rPr>
          <w:noProof/>
        </w:rPr>
        <w:t>loud</w:t>
      </w:r>
      <w:r>
        <w:rPr>
          <w:noProof/>
        </w:rPr>
        <w:t xml:space="preserve"> </w:t>
      </w:r>
      <w:r w:rsidR="00A24504">
        <w:rPr>
          <w:noProof/>
        </w:rPr>
        <w:t>and AI Computing</w:t>
      </w:r>
      <w:r w:rsidR="009214EF">
        <w:rPr>
          <w:noProof/>
        </w:rPr>
        <w:t xml:space="preserve"> </w:t>
      </w:r>
      <w:r>
        <w:rPr>
          <w:noProof/>
        </w:rPr>
        <w:t>Service Providers and Data Centre Operators MAUT – Problem 1</w:t>
      </w:r>
      <w:bookmarkEnd w:id="301"/>
      <w:bookmarkEnd w:id="302"/>
      <w:r w:rsidR="004E323D">
        <w:rPr>
          <w:noProof/>
        </w:rPr>
        <w:t xml:space="preserve"> </w:t>
      </w:r>
      <w:r w:rsidR="004E323D" w:rsidRPr="00785FC1">
        <w:rPr>
          <w:b w:val="0"/>
          <w:bCs/>
          <w:noProof/>
        </w:rPr>
        <w:t>(Source: Technopolis et al. (2025))</w:t>
      </w:r>
    </w:p>
    <w:tbl>
      <w:tblPr>
        <w:tblStyle w:val="TechnopolisTable"/>
        <w:tblpPr w:leftFromText="180" w:rightFromText="180" w:vertAnchor="text" w:tblpY="1"/>
        <w:tblW w:w="5254" w:type="pct"/>
        <w:tblInd w:w="0" w:type="dxa"/>
        <w:shd w:val="clear" w:color="auto" w:fill="FFFFFF" w:themeFill="background1"/>
        <w:tblLayout w:type="fixed"/>
        <w:tblLook w:val="04A0" w:firstRow="1" w:lastRow="0" w:firstColumn="1" w:lastColumn="0" w:noHBand="0" w:noVBand="1"/>
      </w:tblPr>
      <w:tblGrid>
        <w:gridCol w:w="938"/>
        <w:gridCol w:w="723"/>
        <w:gridCol w:w="891"/>
        <w:gridCol w:w="872"/>
        <w:gridCol w:w="872"/>
        <w:gridCol w:w="872"/>
        <w:gridCol w:w="872"/>
        <w:gridCol w:w="872"/>
        <w:gridCol w:w="872"/>
        <w:gridCol w:w="876"/>
        <w:gridCol w:w="844"/>
      </w:tblGrid>
      <w:tr w:rsidR="00AB7080" w:rsidRPr="004B1A2F" w14:paraId="0A127CA4" w14:textId="77777777" w:rsidTr="00B05194">
        <w:trPr>
          <w:cnfStyle w:val="100000000000" w:firstRow="1" w:lastRow="0" w:firstColumn="0" w:lastColumn="0" w:oddVBand="0" w:evenVBand="0" w:oddHBand="0" w:evenHBand="0" w:firstRowFirstColumn="0" w:firstRowLastColumn="0" w:lastRowFirstColumn="0" w:lastRowLastColumn="0"/>
          <w:trHeight w:val="296"/>
          <w:tblHeader/>
        </w:trPr>
        <w:tc>
          <w:tcPr>
            <w:tcW w:w="493" w:type="pct"/>
            <w:tcBorders>
              <w:bottom w:val="single" w:sz="12" w:space="0" w:color="00B0F0"/>
            </w:tcBorders>
            <w:shd w:val="clear" w:color="auto" w:fill="FFFFFF" w:themeFill="background1"/>
            <w:noWrap/>
            <w:hideMark/>
          </w:tcPr>
          <w:p w14:paraId="109BFC5C" w14:textId="77777777" w:rsidR="0017193A" w:rsidRPr="00E34FDB" w:rsidRDefault="0017193A">
            <w:pPr>
              <w:pStyle w:val="Tabletext"/>
              <w:rPr>
                <w:noProof/>
                <w:sz w:val="22"/>
                <w:szCs w:val="22"/>
                <w:lang w:val="en-IE"/>
              </w:rPr>
            </w:pPr>
            <w:r w:rsidRPr="00E34FDB">
              <w:rPr>
                <w:noProof/>
                <w:sz w:val="22"/>
                <w:szCs w:val="22"/>
                <w:lang w:val="en-IE"/>
              </w:rPr>
              <w:t>Impact</w:t>
            </w:r>
          </w:p>
        </w:tc>
        <w:tc>
          <w:tcPr>
            <w:tcW w:w="848" w:type="pct"/>
            <w:gridSpan w:val="2"/>
            <w:tcBorders>
              <w:bottom w:val="single" w:sz="12" w:space="0" w:color="00B0F0"/>
            </w:tcBorders>
            <w:shd w:val="clear" w:color="auto" w:fill="FFFFFF" w:themeFill="background1"/>
            <w:noWrap/>
            <w:hideMark/>
          </w:tcPr>
          <w:p w14:paraId="4B2D0EBE" w14:textId="77777777" w:rsidR="0017193A" w:rsidRPr="00E34FDB" w:rsidRDefault="0017193A">
            <w:pPr>
              <w:pStyle w:val="Tabletext"/>
              <w:rPr>
                <w:noProof/>
                <w:sz w:val="22"/>
                <w:szCs w:val="22"/>
              </w:rPr>
            </w:pPr>
            <w:r w:rsidRPr="00E34FDB">
              <w:rPr>
                <w:noProof/>
                <w:sz w:val="22"/>
                <w:szCs w:val="22"/>
              </w:rPr>
              <w:t>Costs</w:t>
            </w:r>
          </w:p>
        </w:tc>
        <w:tc>
          <w:tcPr>
            <w:tcW w:w="918" w:type="pct"/>
            <w:gridSpan w:val="2"/>
            <w:tcBorders>
              <w:bottom w:val="single" w:sz="12" w:space="0" w:color="00B0F0"/>
            </w:tcBorders>
            <w:shd w:val="clear" w:color="auto" w:fill="FFFFFF" w:themeFill="background1"/>
            <w:noWrap/>
            <w:hideMark/>
          </w:tcPr>
          <w:p w14:paraId="1A9B6724" w14:textId="7B33B283" w:rsidR="0017193A" w:rsidRPr="00E34FDB" w:rsidRDefault="00353ABC">
            <w:pPr>
              <w:pStyle w:val="Tabletext"/>
              <w:rPr>
                <w:noProof/>
                <w:sz w:val="22"/>
                <w:szCs w:val="22"/>
              </w:rPr>
            </w:pPr>
            <w:r>
              <w:rPr>
                <w:noProof/>
                <w:sz w:val="22"/>
                <w:szCs w:val="22"/>
              </w:rPr>
              <w:t>Effectiveness</w:t>
            </w:r>
          </w:p>
        </w:tc>
        <w:tc>
          <w:tcPr>
            <w:tcW w:w="918" w:type="pct"/>
            <w:gridSpan w:val="2"/>
            <w:tcBorders>
              <w:bottom w:val="single" w:sz="12" w:space="0" w:color="00B0F0"/>
            </w:tcBorders>
            <w:shd w:val="clear" w:color="auto" w:fill="FFFFFF" w:themeFill="background1"/>
            <w:noWrap/>
            <w:hideMark/>
          </w:tcPr>
          <w:p w14:paraId="56D09AEE" w14:textId="77777777" w:rsidR="0017193A" w:rsidRPr="00E34FDB" w:rsidRDefault="0017193A">
            <w:pPr>
              <w:pStyle w:val="Tabletext"/>
              <w:rPr>
                <w:noProof/>
                <w:sz w:val="22"/>
                <w:szCs w:val="22"/>
              </w:rPr>
            </w:pPr>
            <w:r w:rsidRPr="00E34FDB">
              <w:rPr>
                <w:noProof/>
                <w:sz w:val="22"/>
                <w:szCs w:val="22"/>
              </w:rPr>
              <w:t>Environmental</w:t>
            </w:r>
          </w:p>
        </w:tc>
        <w:tc>
          <w:tcPr>
            <w:tcW w:w="918" w:type="pct"/>
            <w:gridSpan w:val="2"/>
            <w:tcBorders>
              <w:bottom w:val="single" w:sz="12" w:space="0" w:color="00B0F0"/>
            </w:tcBorders>
            <w:shd w:val="clear" w:color="auto" w:fill="FFFFFF" w:themeFill="background1"/>
            <w:noWrap/>
            <w:hideMark/>
          </w:tcPr>
          <w:p w14:paraId="1BD487E9" w14:textId="77777777" w:rsidR="0017193A" w:rsidRPr="00E34FDB" w:rsidRDefault="0017193A">
            <w:pPr>
              <w:pStyle w:val="Tabletext"/>
              <w:rPr>
                <w:noProof/>
                <w:sz w:val="22"/>
                <w:szCs w:val="22"/>
              </w:rPr>
            </w:pPr>
            <w:r w:rsidRPr="00E34FDB">
              <w:rPr>
                <w:noProof/>
                <w:sz w:val="22"/>
                <w:szCs w:val="22"/>
              </w:rPr>
              <w:t>Social</w:t>
            </w:r>
          </w:p>
        </w:tc>
        <w:tc>
          <w:tcPr>
            <w:tcW w:w="906" w:type="pct"/>
            <w:gridSpan w:val="2"/>
            <w:tcBorders>
              <w:bottom w:val="single" w:sz="12" w:space="0" w:color="00B0F0"/>
            </w:tcBorders>
            <w:shd w:val="clear" w:color="auto" w:fill="FFFFFF" w:themeFill="background1"/>
            <w:noWrap/>
            <w:hideMark/>
          </w:tcPr>
          <w:p w14:paraId="436EBB41" w14:textId="77777777" w:rsidR="0017193A" w:rsidRPr="00E34FDB" w:rsidRDefault="0017193A">
            <w:pPr>
              <w:pStyle w:val="Tabletext"/>
              <w:rPr>
                <w:noProof/>
                <w:sz w:val="22"/>
                <w:szCs w:val="22"/>
              </w:rPr>
            </w:pPr>
            <w:r w:rsidRPr="00E34FDB">
              <w:rPr>
                <w:noProof/>
                <w:sz w:val="22"/>
                <w:szCs w:val="22"/>
              </w:rPr>
              <w:t>Total</w:t>
            </w:r>
          </w:p>
        </w:tc>
      </w:tr>
      <w:tr w:rsidR="003F3C4A" w:rsidRPr="00B32ED5" w14:paraId="1323714F" w14:textId="77777777" w:rsidTr="00B05194">
        <w:trPr>
          <w:trHeight w:val="367"/>
        </w:trPr>
        <w:tc>
          <w:tcPr>
            <w:tcW w:w="4555" w:type="pct"/>
            <w:gridSpan w:val="10"/>
            <w:tcBorders>
              <w:top w:val="single" w:sz="12" w:space="0" w:color="00B0F0"/>
            </w:tcBorders>
            <w:shd w:val="clear" w:color="auto" w:fill="DBE5F1" w:themeFill="accent1" w:themeFillTint="33"/>
            <w:noWrap/>
          </w:tcPr>
          <w:p w14:paraId="024452C2" w14:textId="63941DBC" w:rsidR="0017193A" w:rsidRPr="00E34FDB" w:rsidRDefault="00600360">
            <w:pPr>
              <w:pStyle w:val="Tabletext"/>
              <w:jc w:val="center"/>
              <w:rPr>
                <w:b/>
                <w:noProof/>
                <w:sz w:val="22"/>
                <w:szCs w:val="22"/>
              </w:rPr>
            </w:pPr>
            <w:r>
              <w:rPr>
                <w:b/>
                <w:noProof/>
                <w:sz w:val="22"/>
                <w:szCs w:val="22"/>
              </w:rPr>
              <w:t>Cloud</w:t>
            </w:r>
            <w:r w:rsidRPr="00E34FDB">
              <w:rPr>
                <w:b/>
                <w:noProof/>
                <w:sz w:val="22"/>
                <w:szCs w:val="22"/>
              </w:rPr>
              <w:t xml:space="preserve"> </w:t>
            </w:r>
            <w:r w:rsidR="0017193A" w:rsidRPr="00E34FDB">
              <w:rPr>
                <w:b/>
                <w:noProof/>
                <w:sz w:val="22"/>
                <w:szCs w:val="22"/>
              </w:rPr>
              <w:t xml:space="preserve">and AI </w:t>
            </w:r>
            <w:r w:rsidR="00A24504">
              <w:rPr>
                <w:b/>
                <w:noProof/>
                <w:sz w:val="22"/>
                <w:szCs w:val="22"/>
              </w:rPr>
              <w:t xml:space="preserve">Computing </w:t>
            </w:r>
            <w:r w:rsidR="0017193A" w:rsidRPr="00E34FDB">
              <w:rPr>
                <w:b/>
                <w:noProof/>
                <w:sz w:val="22"/>
                <w:szCs w:val="22"/>
              </w:rPr>
              <w:t>Service Providers</w:t>
            </w:r>
          </w:p>
        </w:tc>
        <w:tc>
          <w:tcPr>
            <w:tcW w:w="445" w:type="pct"/>
            <w:tcBorders>
              <w:top w:val="single" w:sz="12" w:space="0" w:color="00B0F0"/>
            </w:tcBorders>
            <w:shd w:val="clear" w:color="auto" w:fill="DBE5F1" w:themeFill="accent1" w:themeFillTint="33"/>
            <w:noWrap/>
          </w:tcPr>
          <w:p w14:paraId="12279247" w14:textId="77777777" w:rsidR="0017193A" w:rsidRPr="00E34FDB" w:rsidRDefault="0017193A">
            <w:pPr>
              <w:pStyle w:val="Tabletext"/>
              <w:rPr>
                <w:noProof/>
                <w:sz w:val="22"/>
                <w:szCs w:val="22"/>
              </w:rPr>
            </w:pPr>
          </w:p>
        </w:tc>
      </w:tr>
      <w:tr w:rsidR="007E1E81" w:rsidRPr="00B32ED5" w14:paraId="795521BB" w14:textId="77777777" w:rsidTr="00B05194">
        <w:trPr>
          <w:trHeight w:val="296"/>
        </w:trPr>
        <w:tc>
          <w:tcPr>
            <w:tcW w:w="493" w:type="pct"/>
            <w:shd w:val="clear" w:color="auto" w:fill="FFFFFF" w:themeFill="background1"/>
            <w:noWrap/>
            <w:hideMark/>
          </w:tcPr>
          <w:p w14:paraId="51BEA111" w14:textId="77777777" w:rsidR="0017193A" w:rsidRPr="00E34FDB" w:rsidRDefault="0017193A">
            <w:pPr>
              <w:pStyle w:val="Tabletext"/>
              <w:rPr>
                <w:b/>
                <w:noProof/>
                <w:sz w:val="22"/>
                <w:szCs w:val="22"/>
              </w:rPr>
            </w:pPr>
            <w:r w:rsidRPr="00E34FDB">
              <w:rPr>
                <w:b/>
                <w:noProof/>
                <w:sz w:val="22"/>
                <w:szCs w:val="22"/>
              </w:rPr>
              <w:t>Option</w:t>
            </w:r>
          </w:p>
        </w:tc>
        <w:tc>
          <w:tcPr>
            <w:tcW w:w="380" w:type="pct"/>
            <w:shd w:val="clear" w:color="auto" w:fill="FFFFFF" w:themeFill="background1"/>
            <w:noWrap/>
            <w:hideMark/>
          </w:tcPr>
          <w:p w14:paraId="1935D9F4" w14:textId="77777777" w:rsidR="0017193A" w:rsidRPr="00E34FDB" w:rsidRDefault="0017193A">
            <w:pPr>
              <w:pStyle w:val="Tabletext"/>
              <w:rPr>
                <w:b/>
                <w:noProof/>
                <w:sz w:val="22"/>
                <w:szCs w:val="22"/>
              </w:rPr>
            </w:pPr>
            <w:r w:rsidRPr="00E34FDB">
              <w:rPr>
                <w:b/>
                <w:noProof/>
                <w:sz w:val="22"/>
                <w:szCs w:val="22"/>
              </w:rPr>
              <w:t>EW</w:t>
            </w:r>
          </w:p>
        </w:tc>
        <w:tc>
          <w:tcPr>
            <w:tcW w:w="468" w:type="pct"/>
            <w:shd w:val="clear" w:color="auto" w:fill="FFFFFF" w:themeFill="background1"/>
            <w:noWrap/>
            <w:hideMark/>
          </w:tcPr>
          <w:p w14:paraId="41F711C6" w14:textId="77777777" w:rsidR="0017193A" w:rsidRPr="00E34FDB" w:rsidRDefault="0017193A">
            <w:pPr>
              <w:pStyle w:val="Tabletext"/>
              <w:rPr>
                <w:b/>
                <w:noProof/>
                <w:sz w:val="22"/>
                <w:szCs w:val="22"/>
              </w:rPr>
            </w:pPr>
            <w:r w:rsidRPr="00E34FDB">
              <w:rPr>
                <w:b/>
                <w:noProof/>
                <w:sz w:val="22"/>
                <w:szCs w:val="22"/>
              </w:rPr>
              <w:t>P1</w:t>
            </w:r>
          </w:p>
        </w:tc>
        <w:tc>
          <w:tcPr>
            <w:tcW w:w="459" w:type="pct"/>
            <w:shd w:val="clear" w:color="auto" w:fill="FFFFFF" w:themeFill="background1"/>
            <w:noWrap/>
            <w:hideMark/>
          </w:tcPr>
          <w:p w14:paraId="3E71B23F" w14:textId="77777777" w:rsidR="0017193A" w:rsidRPr="00E34FDB" w:rsidRDefault="0017193A">
            <w:pPr>
              <w:pStyle w:val="Tabletext"/>
              <w:rPr>
                <w:b/>
                <w:noProof/>
                <w:sz w:val="22"/>
                <w:szCs w:val="22"/>
              </w:rPr>
            </w:pPr>
            <w:r w:rsidRPr="00E34FDB">
              <w:rPr>
                <w:b/>
                <w:noProof/>
                <w:sz w:val="22"/>
                <w:szCs w:val="22"/>
              </w:rPr>
              <w:t>EW</w:t>
            </w:r>
          </w:p>
        </w:tc>
        <w:tc>
          <w:tcPr>
            <w:tcW w:w="459" w:type="pct"/>
            <w:shd w:val="clear" w:color="auto" w:fill="FFFFFF" w:themeFill="background1"/>
            <w:noWrap/>
            <w:hideMark/>
          </w:tcPr>
          <w:p w14:paraId="2ACFE225" w14:textId="77777777" w:rsidR="0017193A" w:rsidRPr="00E34FDB" w:rsidRDefault="0017193A">
            <w:pPr>
              <w:pStyle w:val="Tabletext"/>
              <w:rPr>
                <w:b/>
                <w:noProof/>
                <w:sz w:val="22"/>
                <w:szCs w:val="22"/>
              </w:rPr>
            </w:pPr>
            <w:r w:rsidRPr="00E34FDB">
              <w:rPr>
                <w:b/>
                <w:noProof/>
                <w:sz w:val="22"/>
                <w:szCs w:val="22"/>
              </w:rPr>
              <w:t>P1</w:t>
            </w:r>
          </w:p>
        </w:tc>
        <w:tc>
          <w:tcPr>
            <w:tcW w:w="459" w:type="pct"/>
            <w:shd w:val="clear" w:color="auto" w:fill="FFFFFF" w:themeFill="background1"/>
            <w:noWrap/>
            <w:hideMark/>
          </w:tcPr>
          <w:p w14:paraId="04237552" w14:textId="77777777" w:rsidR="0017193A" w:rsidRPr="00E34FDB" w:rsidRDefault="0017193A">
            <w:pPr>
              <w:pStyle w:val="Tabletext"/>
              <w:rPr>
                <w:b/>
                <w:noProof/>
                <w:sz w:val="22"/>
                <w:szCs w:val="22"/>
              </w:rPr>
            </w:pPr>
            <w:r w:rsidRPr="00E34FDB">
              <w:rPr>
                <w:b/>
                <w:noProof/>
                <w:sz w:val="22"/>
                <w:szCs w:val="22"/>
              </w:rPr>
              <w:t>EW</w:t>
            </w:r>
          </w:p>
        </w:tc>
        <w:tc>
          <w:tcPr>
            <w:tcW w:w="459" w:type="pct"/>
            <w:shd w:val="clear" w:color="auto" w:fill="FFFFFF" w:themeFill="background1"/>
            <w:noWrap/>
            <w:hideMark/>
          </w:tcPr>
          <w:p w14:paraId="5F587007" w14:textId="77777777" w:rsidR="0017193A" w:rsidRPr="00E34FDB" w:rsidRDefault="0017193A">
            <w:pPr>
              <w:pStyle w:val="Tabletext"/>
              <w:rPr>
                <w:b/>
                <w:noProof/>
                <w:sz w:val="22"/>
                <w:szCs w:val="22"/>
              </w:rPr>
            </w:pPr>
            <w:r w:rsidRPr="00E34FDB">
              <w:rPr>
                <w:b/>
                <w:noProof/>
                <w:sz w:val="22"/>
                <w:szCs w:val="22"/>
              </w:rPr>
              <w:t>P1</w:t>
            </w:r>
          </w:p>
        </w:tc>
        <w:tc>
          <w:tcPr>
            <w:tcW w:w="459" w:type="pct"/>
            <w:shd w:val="clear" w:color="auto" w:fill="FFFFFF" w:themeFill="background1"/>
            <w:noWrap/>
            <w:hideMark/>
          </w:tcPr>
          <w:p w14:paraId="5ECEA0F2" w14:textId="77777777" w:rsidR="0017193A" w:rsidRPr="00E34FDB" w:rsidRDefault="0017193A">
            <w:pPr>
              <w:pStyle w:val="Tabletext"/>
              <w:rPr>
                <w:b/>
                <w:noProof/>
                <w:sz w:val="22"/>
                <w:szCs w:val="22"/>
              </w:rPr>
            </w:pPr>
            <w:r w:rsidRPr="00E34FDB">
              <w:rPr>
                <w:b/>
                <w:noProof/>
                <w:sz w:val="22"/>
                <w:szCs w:val="22"/>
              </w:rPr>
              <w:t>EW</w:t>
            </w:r>
          </w:p>
        </w:tc>
        <w:tc>
          <w:tcPr>
            <w:tcW w:w="459" w:type="pct"/>
            <w:shd w:val="clear" w:color="auto" w:fill="FFFFFF" w:themeFill="background1"/>
            <w:noWrap/>
            <w:hideMark/>
          </w:tcPr>
          <w:p w14:paraId="38014D0A" w14:textId="77777777" w:rsidR="0017193A" w:rsidRPr="00E34FDB" w:rsidRDefault="0017193A">
            <w:pPr>
              <w:pStyle w:val="Tabletext"/>
              <w:rPr>
                <w:b/>
                <w:noProof/>
                <w:sz w:val="22"/>
                <w:szCs w:val="22"/>
              </w:rPr>
            </w:pPr>
            <w:r w:rsidRPr="00E34FDB">
              <w:rPr>
                <w:b/>
                <w:noProof/>
                <w:sz w:val="22"/>
                <w:szCs w:val="22"/>
              </w:rPr>
              <w:t>P1</w:t>
            </w:r>
          </w:p>
        </w:tc>
        <w:tc>
          <w:tcPr>
            <w:tcW w:w="461" w:type="pct"/>
            <w:shd w:val="clear" w:color="auto" w:fill="FFFFFF" w:themeFill="background1"/>
            <w:noWrap/>
            <w:hideMark/>
          </w:tcPr>
          <w:p w14:paraId="24F54C68" w14:textId="77777777" w:rsidR="0017193A" w:rsidRPr="00E34FDB" w:rsidRDefault="0017193A">
            <w:pPr>
              <w:pStyle w:val="Tabletext"/>
              <w:rPr>
                <w:b/>
                <w:noProof/>
                <w:sz w:val="22"/>
                <w:szCs w:val="22"/>
              </w:rPr>
            </w:pPr>
            <w:r w:rsidRPr="00E34FDB">
              <w:rPr>
                <w:b/>
                <w:noProof/>
                <w:sz w:val="22"/>
                <w:szCs w:val="22"/>
              </w:rPr>
              <w:t>EW</w:t>
            </w:r>
          </w:p>
        </w:tc>
        <w:tc>
          <w:tcPr>
            <w:tcW w:w="445" w:type="pct"/>
            <w:shd w:val="clear" w:color="auto" w:fill="FFFFFF" w:themeFill="background1"/>
            <w:noWrap/>
            <w:hideMark/>
          </w:tcPr>
          <w:p w14:paraId="7180E81A" w14:textId="77777777" w:rsidR="0017193A" w:rsidRPr="00E34FDB" w:rsidRDefault="0017193A">
            <w:pPr>
              <w:pStyle w:val="Tabletext"/>
              <w:rPr>
                <w:b/>
                <w:noProof/>
                <w:sz w:val="22"/>
                <w:szCs w:val="22"/>
              </w:rPr>
            </w:pPr>
            <w:r w:rsidRPr="00E34FDB">
              <w:rPr>
                <w:b/>
                <w:noProof/>
                <w:sz w:val="22"/>
                <w:szCs w:val="22"/>
              </w:rPr>
              <w:t>P1</w:t>
            </w:r>
          </w:p>
        </w:tc>
      </w:tr>
      <w:tr w:rsidR="00970E25" w:rsidRPr="00B32ED5" w14:paraId="619B76FC" w14:textId="77777777" w:rsidTr="00B05194">
        <w:trPr>
          <w:trHeight w:val="296"/>
        </w:trPr>
        <w:tc>
          <w:tcPr>
            <w:tcW w:w="493" w:type="pct"/>
            <w:shd w:val="clear" w:color="auto" w:fill="F2F2F2" w:themeFill="background1" w:themeFillShade="F2"/>
            <w:noWrap/>
          </w:tcPr>
          <w:p w14:paraId="51FBFF8A" w14:textId="77777777" w:rsidR="0017193A" w:rsidRPr="00E34FDB" w:rsidRDefault="0017193A">
            <w:pPr>
              <w:pStyle w:val="Tabletext"/>
              <w:rPr>
                <w:b/>
                <w:noProof/>
                <w:sz w:val="22"/>
                <w:szCs w:val="22"/>
              </w:rPr>
            </w:pPr>
            <w:r w:rsidRPr="00E34FDB">
              <w:rPr>
                <w:b/>
                <w:noProof/>
                <w:sz w:val="22"/>
                <w:szCs w:val="22"/>
              </w:rPr>
              <w:t>Baseline</w:t>
            </w:r>
          </w:p>
        </w:tc>
        <w:tc>
          <w:tcPr>
            <w:tcW w:w="380" w:type="pct"/>
            <w:shd w:val="clear" w:color="auto" w:fill="F2F2F2" w:themeFill="background1" w:themeFillShade="F2"/>
            <w:noWrap/>
          </w:tcPr>
          <w:p w14:paraId="4B872DAB" w14:textId="3B063D9F" w:rsidR="0017193A" w:rsidRPr="00E34FDB" w:rsidRDefault="00EF1A07">
            <w:pPr>
              <w:pStyle w:val="Tabletext"/>
              <w:rPr>
                <w:noProof/>
                <w:sz w:val="22"/>
                <w:szCs w:val="22"/>
              </w:rPr>
            </w:pPr>
            <w:r w:rsidRPr="008D0BAC">
              <w:rPr>
                <w:noProof/>
                <w:sz w:val="22"/>
                <w:szCs w:val="22"/>
              </w:rPr>
              <w:t>0.000</w:t>
            </w:r>
          </w:p>
        </w:tc>
        <w:tc>
          <w:tcPr>
            <w:tcW w:w="468" w:type="pct"/>
            <w:shd w:val="clear" w:color="auto" w:fill="F2F2F2" w:themeFill="background1" w:themeFillShade="F2"/>
            <w:noWrap/>
          </w:tcPr>
          <w:p w14:paraId="1BEFDF7A" w14:textId="7976E309" w:rsidR="0017193A" w:rsidRPr="00E34FDB" w:rsidRDefault="00EF1A07">
            <w:pPr>
              <w:pStyle w:val="Tabletext"/>
              <w:rPr>
                <w:noProof/>
                <w:sz w:val="22"/>
                <w:szCs w:val="22"/>
              </w:rPr>
            </w:pPr>
            <w:r w:rsidRPr="008D0BAC">
              <w:rPr>
                <w:noProof/>
                <w:sz w:val="22"/>
                <w:szCs w:val="22"/>
              </w:rPr>
              <w:t>0.000</w:t>
            </w:r>
          </w:p>
        </w:tc>
        <w:tc>
          <w:tcPr>
            <w:tcW w:w="459" w:type="pct"/>
            <w:shd w:val="clear" w:color="auto" w:fill="F2F2F2" w:themeFill="background1" w:themeFillShade="F2"/>
            <w:noWrap/>
          </w:tcPr>
          <w:p w14:paraId="5C5D0371" w14:textId="60F0CE26" w:rsidR="0017193A" w:rsidRPr="00E34FDB" w:rsidRDefault="0017193A">
            <w:pPr>
              <w:pStyle w:val="Tabletext"/>
              <w:rPr>
                <w:noProof/>
                <w:sz w:val="22"/>
                <w:szCs w:val="22"/>
              </w:rPr>
            </w:pPr>
            <w:r w:rsidRPr="00E34FDB">
              <w:rPr>
                <w:noProof/>
                <w:sz w:val="22"/>
                <w:szCs w:val="22"/>
              </w:rPr>
              <w:t>0.262</w:t>
            </w:r>
          </w:p>
        </w:tc>
        <w:tc>
          <w:tcPr>
            <w:tcW w:w="459" w:type="pct"/>
            <w:shd w:val="clear" w:color="auto" w:fill="F2F2F2" w:themeFill="background1" w:themeFillShade="F2"/>
            <w:noWrap/>
          </w:tcPr>
          <w:p w14:paraId="7759E1C3" w14:textId="112167A4" w:rsidR="0017193A" w:rsidRPr="00E34FDB" w:rsidRDefault="0017193A">
            <w:pPr>
              <w:pStyle w:val="Tabletext"/>
              <w:rPr>
                <w:noProof/>
                <w:sz w:val="22"/>
                <w:szCs w:val="22"/>
              </w:rPr>
            </w:pPr>
            <w:r w:rsidRPr="00E34FDB">
              <w:rPr>
                <w:noProof/>
                <w:sz w:val="22"/>
                <w:szCs w:val="22"/>
              </w:rPr>
              <w:t>0.508</w:t>
            </w:r>
          </w:p>
        </w:tc>
        <w:tc>
          <w:tcPr>
            <w:tcW w:w="459" w:type="pct"/>
            <w:shd w:val="clear" w:color="auto" w:fill="F2F2F2" w:themeFill="background1" w:themeFillShade="F2"/>
            <w:noWrap/>
          </w:tcPr>
          <w:p w14:paraId="4E36DC44" w14:textId="4991BE44" w:rsidR="0017193A" w:rsidRPr="00E34FDB" w:rsidRDefault="0017193A">
            <w:pPr>
              <w:pStyle w:val="Tabletext"/>
              <w:rPr>
                <w:noProof/>
                <w:sz w:val="22"/>
                <w:szCs w:val="22"/>
              </w:rPr>
            </w:pPr>
            <w:r w:rsidRPr="00E34FDB">
              <w:rPr>
                <w:noProof/>
                <w:sz w:val="22"/>
                <w:szCs w:val="22"/>
              </w:rPr>
              <w:t>-0.026</w:t>
            </w:r>
          </w:p>
        </w:tc>
        <w:tc>
          <w:tcPr>
            <w:tcW w:w="459" w:type="pct"/>
            <w:shd w:val="clear" w:color="auto" w:fill="F2F2F2" w:themeFill="background1" w:themeFillShade="F2"/>
            <w:noWrap/>
          </w:tcPr>
          <w:p w14:paraId="29AD023C" w14:textId="773D1FAD" w:rsidR="0017193A" w:rsidRPr="00E34FDB" w:rsidRDefault="0017193A">
            <w:pPr>
              <w:pStyle w:val="Tabletext"/>
              <w:rPr>
                <w:noProof/>
                <w:sz w:val="22"/>
                <w:szCs w:val="22"/>
              </w:rPr>
            </w:pPr>
            <w:r w:rsidRPr="00E34FDB">
              <w:rPr>
                <w:noProof/>
                <w:sz w:val="22"/>
                <w:szCs w:val="22"/>
              </w:rPr>
              <w:t>-0.129</w:t>
            </w:r>
          </w:p>
        </w:tc>
        <w:tc>
          <w:tcPr>
            <w:tcW w:w="459" w:type="pct"/>
            <w:shd w:val="clear" w:color="auto" w:fill="F2F2F2" w:themeFill="background1" w:themeFillShade="F2"/>
            <w:noWrap/>
          </w:tcPr>
          <w:p w14:paraId="6D3B6FFE" w14:textId="7EF51C0A" w:rsidR="0017193A" w:rsidRPr="00E34FDB" w:rsidRDefault="0017193A">
            <w:pPr>
              <w:pStyle w:val="Tabletext"/>
              <w:rPr>
                <w:noProof/>
                <w:sz w:val="22"/>
                <w:szCs w:val="22"/>
              </w:rPr>
            </w:pPr>
            <w:r w:rsidRPr="00E34FDB">
              <w:rPr>
                <w:noProof/>
                <w:sz w:val="22"/>
                <w:szCs w:val="22"/>
              </w:rPr>
              <w:t>0.031</w:t>
            </w:r>
          </w:p>
        </w:tc>
        <w:tc>
          <w:tcPr>
            <w:tcW w:w="459" w:type="pct"/>
            <w:shd w:val="clear" w:color="auto" w:fill="F2F2F2" w:themeFill="background1" w:themeFillShade="F2"/>
            <w:noWrap/>
          </w:tcPr>
          <w:p w14:paraId="1C4445F5" w14:textId="1C41B6ED" w:rsidR="0017193A" w:rsidRPr="00E34FDB" w:rsidRDefault="0017193A">
            <w:pPr>
              <w:pStyle w:val="Tabletext"/>
              <w:rPr>
                <w:noProof/>
                <w:sz w:val="22"/>
                <w:szCs w:val="22"/>
              </w:rPr>
            </w:pPr>
            <w:r w:rsidRPr="00E34FDB">
              <w:rPr>
                <w:noProof/>
                <w:sz w:val="22"/>
                <w:szCs w:val="22"/>
              </w:rPr>
              <w:t>0.002</w:t>
            </w:r>
          </w:p>
        </w:tc>
        <w:tc>
          <w:tcPr>
            <w:tcW w:w="461" w:type="pct"/>
            <w:shd w:val="clear" w:color="auto" w:fill="F2F2F2" w:themeFill="background1" w:themeFillShade="F2"/>
            <w:noWrap/>
          </w:tcPr>
          <w:p w14:paraId="023C8407" w14:textId="20136F5A" w:rsidR="0017193A" w:rsidRPr="00E34FDB" w:rsidRDefault="00EF1A07">
            <w:pPr>
              <w:pStyle w:val="Tabletext"/>
              <w:rPr>
                <w:noProof/>
                <w:sz w:val="22"/>
                <w:szCs w:val="22"/>
              </w:rPr>
            </w:pPr>
            <w:r w:rsidRPr="008D0BAC">
              <w:rPr>
                <w:noProof/>
                <w:sz w:val="22"/>
                <w:szCs w:val="22"/>
              </w:rPr>
              <w:t>0.267</w:t>
            </w:r>
          </w:p>
        </w:tc>
        <w:tc>
          <w:tcPr>
            <w:tcW w:w="445" w:type="pct"/>
            <w:shd w:val="clear" w:color="auto" w:fill="F2F2F2" w:themeFill="background1" w:themeFillShade="F2"/>
            <w:noWrap/>
          </w:tcPr>
          <w:p w14:paraId="66A1A09C" w14:textId="24A38D97" w:rsidR="0017193A" w:rsidRPr="00E34FDB" w:rsidRDefault="00EF1A07">
            <w:pPr>
              <w:pStyle w:val="Tabletext"/>
              <w:rPr>
                <w:noProof/>
                <w:sz w:val="22"/>
                <w:szCs w:val="22"/>
              </w:rPr>
            </w:pPr>
            <w:r w:rsidRPr="008D0BAC">
              <w:rPr>
                <w:noProof/>
                <w:sz w:val="22"/>
                <w:szCs w:val="22"/>
              </w:rPr>
              <w:t>0.381</w:t>
            </w:r>
          </w:p>
        </w:tc>
      </w:tr>
      <w:tr w:rsidR="007E1E81" w:rsidRPr="00B32ED5" w14:paraId="1853A95E" w14:textId="77777777" w:rsidTr="00B05194">
        <w:trPr>
          <w:trHeight w:val="296"/>
        </w:trPr>
        <w:tc>
          <w:tcPr>
            <w:tcW w:w="493" w:type="pct"/>
            <w:shd w:val="clear" w:color="auto" w:fill="FFFFFF" w:themeFill="background1"/>
            <w:noWrap/>
            <w:hideMark/>
          </w:tcPr>
          <w:p w14:paraId="24308B1F" w14:textId="77777777" w:rsidR="0017193A" w:rsidRPr="00E34FDB" w:rsidRDefault="0017193A">
            <w:pPr>
              <w:pStyle w:val="Tabletext"/>
              <w:rPr>
                <w:b/>
                <w:noProof/>
                <w:sz w:val="22"/>
                <w:szCs w:val="22"/>
              </w:rPr>
            </w:pPr>
            <w:r w:rsidRPr="00E34FDB">
              <w:rPr>
                <w:b/>
                <w:noProof/>
                <w:sz w:val="22"/>
                <w:szCs w:val="22"/>
              </w:rPr>
              <w:t>PO1-A</w:t>
            </w:r>
          </w:p>
        </w:tc>
        <w:tc>
          <w:tcPr>
            <w:tcW w:w="380" w:type="pct"/>
            <w:shd w:val="clear" w:color="auto" w:fill="FFFFFF" w:themeFill="background1"/>
            <w:noWrap/>
            <w:hideMark/>
          </w:tcPr>
          <w:p w14:paraId="7555FB7A" w14:textId="317B8EAE" w:rsidR="0017193A" w:rsidRPr="00E34FDB" w:rsidRDefault="0017193A">
            <w:pPr>
              <w:pStyle w:val="Tabletext"/>
              <w:rPr>
                <w:noProof/>
                <w:sz w:val="22"/>
                <w:szCs w:val="22"/>
              </w:rPr>
            </w:pPr>
            <w:r w:rsidRPr="00E34FDB">
              <w:rPr>
                <w:noProof/>
                <w:sz w:val="22"/>
                <w:szCs w:val="22"/>
              </w:rPr>
              <w:t>0.000</w:t>
            </w:r>
          </w:p>
        </w:tc>
        <w:tc>
          <w:tcPr>
            <w:tcW w:w="468" w:type="pct"/>
            <w:shd w:val="clear" w:color="auto" w:fill="FFFFFF" w:themeFill="background1"/>
            <w:noWrap/>
            <w:hideMark/>
          </w:tcPr>
          <w:p w14:paraId="7E9D61A4" w14:textId="6C1D8538" w:rsidR="0017193A" w:rsidRPr="00E34FDB" w:rsidRDefault="0017193A">
            <w:pPr>
              <w:pStyle w:val="Tabletext"/>
              <w:rPr>
                <w:noProof/>
                <w:sz w:val="22"/>
                <w:szCs w:val="22"/>
              </w:rPr>
            </w:pPr>
            <w:r w:rsidRPr="00E34FDB">
              <w:rPr>
                <w:noProof/>
                <w:sz w:val="22"/>
                <w:szCs w:val="22"/>
              </w:rPr>
              <w:t>0.000</w:t>
            </w:r>
          </w:p>
        </w:tc>
        <w:tc>
          <w:tcPr>
            <w:tcW w:w="459" w:type="pct"/>
            <w:shd w:val="clear" w:color="auto" w:fill="FFFFFF" w:themeFill="background1"/>
            <w:noWrap/>
            <w:hideMark/>
          </w:tcPr>
          <w:p w14:paraId="76B7C730" w14:textId="438CB7A5" w:rsidR="0017193A" w:rsidRPr="00E34FDB" w:rsidRDefault="0017193A">
            <w:pPr>
              <w:pStyle w:val="Tabletext"/>
              <w:rPr>
                <w:noProof/>
                <w:sz w:val="22"/>
                <w:szCs w:val="22"/>
              </w:rPr>
            </w:pPr>
            <w:r w:rsidRPr="00E34FDB">
              <w:rPr>
                <w:noProof/>
                <w:sz w:val="22"/>
                <w:szCs w:val="22"/>
              </w:rPr>
              <w:t>0.223</w:t>
            </w:r>
          </w:p>
        </w:tc>
        <w:tc>
          <w:tcPr>
            <w:tcW w:w="459" w:type="pct"/>
            <w:shd w:val="clear" w:color="auto" w:fill="FFFFFF" w:themeFill="background1"/>
            <w:noWrap/>
            <w:hideMark/>
          </w:tcPr>
          <w:p w14:paraId="03616AF6" w14:textId="086E09FD" w:rsidR="0017193A" w:rsidRPr="00E34FDB" w:rsidRDefault="0017193A">
            <w:pPr>
              <w:pStyle w:val="Tabletext"/>
              <w:rPr>
                <w:noProof/>
                <w:sz w:val="22"/>
                <w:szCs w:val="22"/>
              </w:rPr>
            </w:pPr>
            <w:r w:rsidRPr="00E34FDB">
              <w:rPr>
                <w:noProof/>
                <w:sz w:val="22"/>
                <w:szCs w:val="22"/>
              </w:rPr>
              <w:t>0.386</w:t>
            </w:r>
          </w:p>
        </w:tc>
        <w:tc>
          <w:tcPr>
            <w:tcW w:w="459" w:type="pct"/>
            <w:shd w:val="clear" w:color="auto" w:fill="FFFFFF" w:themeFill="background1"/>
            <w:noWrap/>
            <w:hideMark/>
          </w:tcPr>
          <w:p w14:paraId="4B510FD8" w14:textId="0081E89C" w:rsidR="0017193A" w:rsidRPr="00E34FDB" w:rsidRDefault="0017193A">
            <w:pPr>
              <w:pStyle w:val="Tabletext"/>
              <w:rPr>
                <w:noProof/>
                <w:sz w:val="22"/>
                <w:szCs w:val="22"/>
              </w:rPr>
            </w:pPr>
            <w:r w:rsidRPr="00E34FDB">
              <w:rPr>
                <w:noProof/>
                <w:sz w:val="22"/>
                <w:szCs w:val="22"/>
              </w:rPr>
              <w:t>0.028</w:t>
            </w:r>
          </w:p>
        </w:tc>
        <w:tc>
          <w:tcPr>
            <w:tcW w:w="459" w:type="pct"/>
            <w:shd w:val="clear" w:color="auto" w:fill="FFFFFF" w:themeFill="background1"/>
            <w:noWrap/>
            <w:hideMark/>
          </w:tcPr>
          <w:p w14:paraId="7FD9BF4F" w14:textId="12C556E8" w:rsidR="0017193A" w:rsidRPr="00E34FDB" w:rsidRDefault="0017193A">
            <w:pPr>
              <w:pStyle w:val="Tabletext"/>
              <w:rPr>
                <w:noProof/>
                <w:sz w:val="22"/>
                <w:szCs w:val="22"/>
              </w:rPr>
            </w:pPr>
            <w:r w:rsidRPr="00E34FDB">
              <w:rPr>
                <w:noProof/>
                <w:sz w:val="22"/>
                <w:szCs w:val="22"/>
              </w:rPr>
              <w:t>-0.046</w:t>
            </w:r>
          </w:p>
        </w:tc>
        <w:tc>
          <w:tcPr>
            <w:tcW w:w="459" w:type="pct"/>
            <w:shd w:val="clear" w:color="auto" w:fill="FFFFFF" w:themeFill="background1"/>
            <w:noWrap/>
            <w:hideMark/>
          </w:tcPr>
          <w:p w14:paraId="5F8D44D7" w14:textId="37A3B888" w:rsidR="0017193A" w:rsidRPr="00E34FDB" w:rsidRDefault="0017193A">
            <w:pPr>
              <w:pStyle w:val="Tabletext"/>
              <w:rPr>
                <w:noProof/>
                <w:sz w:val="22"/>
                <w:szCs w:val="22"/>
              </w:rPr>
            </w:pPr>
            <w:r w:rsidRPr="00E34FDB">
              <w:rPr>
                <w:noProof/>
                <w:sz w:val="22"/>
                <w:szCs w:val="22"/>
              </w:rPr>
              <w:t>0.189</w:t>
            </w:r>
          </w:p>
        </w:tc>
        <w:tc>
          <w:tcPr>
            <w:tcW w:w="459" w:type="pct"/>
            <w:shd w:val="clear" w:color="auto" w:fill="FFFFFF" w:themeFill="background1"/>
            <w:noWrap/>
            <w:hideMark/>
          </w:tcPr>
          <w:p w14:paraId="4996D1C8" w14:textId="1EEB0BDE" w:rsidR="0017193A" w:rsidRPr="00E34FDB" w:rsidRDefault="0017193A">
            <w:pPr>
              <w:pStyle w:val="Tabletext"/>
              <w:rPr>
                <w:noProof/>
                <w:sz w:val="22"/>
                <w:szCs w:val="22"/>
              </w:rPr>
            </w:pPr>
            <w:r w:rsidRPr="00E34FDB">
              <w:rPr>
                <w:noProof/>
                <w:sz w:val="22"/>
                <w:szCs w:val="22"/>
              </w:rPr>
              <w:t>0.038</w:t>
            </w:r>
          </w:p>
        </w:tc>
        <w:tc>
          <w:tcPr>
            <w:tcW w:w="461" w:type="pct"/>
            <w:shd w:val="clear" w:color="auto" w:fill="FFFFFF" w:themeFill="background1"/>
            <w:noWrap/>
            <w:hideMark/>
          </w:tcPr>
          <w:p w14:paraId="39FAD227" w14:textId="3A330656" w:rsidR="0017193A" w:rsidRPr="00E34FDB" w:rsidRDefault="0017193A">
            <w:pPr>
              <w:pStyle w:val="Tabletext"/>
              <w:rPr>
                <w:noProof/>
                <w:sz w:val="22"/>
                <w:szCs w:val="22"/>
              </w:rPr>
            </w:pPr>
            <w:r w:rsidRPr="00E34FDB">
              <w:rPr>
                <w:noProof/>
                <w:sz w:val="22"/>
                <w:szCs w:val="22"/>
              </w:rPr>
              <w:t>0.440</w:t>
            </w:r>
          </w:p>
        </w:tc>
        <w:tc>
          <w:tcPr>
            <w:tcW w:w="445" w:type="pct"/>
            <w:shd w:val="clear" w:color="auto" w:fill="FFFFFF" w:themeFill="background1"/>
            <w:noWrap/>
            <w:hideMark/>
          </w:tcPr>
          <w:p w14:paraId="665CFC9B" w14:textId="5286DE0B" w:rsidR="0017193A" w:rsidRPr="00E34FDB" w:rsidRDefault="0017193A">
            <w:pPr>
              <w:pStyle w:val="Tabletext"/>
              <w:rPr>
                <w:noProof/>
                <w:sz w:val="22"/>
                <w:szCs w:val="22"/>
              </w:rPr>
            </w:pPr>
            <w:r w:rsidRPr="00E34FDB">
              <w:rPr>
                <w:noProof/>
                <w:sz w:val="22"/>
                <w:szCs w:val="22"/>
              </w:rPr>
              <w:t>0.378</w:t>
            </w:r>
          </w:p>
        </w:tc>
      </w:tr>
      <w:tr w:rsidR="007E1E81" w:rsidRPr="00B32ED5" w14:paraId="56D856D5" w14:textId="77777777" w:rsidTr="00B05194">
        <w:trPr>
          <w:trHeight w:val="296"/>
        </w:trPr>
        <w:tc>
          <w:tcPr>
            <w:tcW w:w="493" w:type="pct"/>
            <w:shd w:val="clear" w:color="auto" w:fill="FFFFFF" w:themeFill="background1"/>
            <w:noWrap/>
            <w:hideMark/>
          </w:tcPr>
          <w:p w14:paraId="5C953391" w14:textId="77777777" w:rsidR="0017193A" w:rsidRPr="00E34FDB" w:rsidRDefault="0017193A">
            <w:pPr>
              <w:pStyle w:val="Tabletext"/>
              <w:rPr>
                <w:b/>
                <w:noProof/>
                <w:sz w:val="22"/>
                <w:szCs w:val="22"/>
              </w:rPr>
            </w:pPr>
            <w:r w:rsidRPr="00E34FDB">
              <w:rPr>
                <w:b/>
                <w:noProof/>
                <w:sz w:val="22"/>
                <w:szCs w:val="22"/>
              </w:rPr>
              <w:t>PO1-B</w:t>
            </w:r>
          </w:p>
        </w:tc>
        <w:tc>
          <w:tcPr>
            <w:tcW w:w="380" w:type="pct"/>
            <w:shd w:val="clear" w:color="auto" w:fill="FFFFFF" w:themeFill="background1"/>
            <w:noWrap/>
            <w:hideMark/>
          </w:tcPr>
          <w:p w14:paraId="62E83942" w14:textId="1B012CCE" w:rsidR="0017193A" w:rsidRPr="00E34FDB" w:rsidRDefault="0017193A">
            <w:pPr>
              <w:pStyle w:val="Tabletext"/>
              <w:rPr>
                <w:noProof/>
                <w:sz w:val="22"/>
                <w:szCs w:val="22"/>
              </w:rPr>
            </w:pPr>
            <w:r w:rsidRPr="00E34FDB">
              <w:rPr>
                <w:noProof/>
                <w:sz w:val="22"/>
                <w:szCs w:val="22"/>
              </w:rPr>
              <w:t>0.000</w:t>
            </w:r>
          </w:p>
        </w:tc>
        <w:tc>
          <w:tcPr>
            <w:tcW w:w="468" w:type="pct"/>
            <w:shd w:val="clear" w:color="auto" w:fill="FFFFFF" w:themeFill="background1"/>
            <w:noWrap/>
            <w:hideMark/>
          </w:tcPr>
          <w:p w14:paraId="01E99549" w14:textId="1720A864" w:rsidR="0017193A" w:rsidRPr="00E34FDB" w:rsidRDefault="0017193A">
            <w:pPr>
              <w:pStyle w:val="Tabletext"/>
              <w:rPr>
                <w:noProof/>
                <w:sz w:val="22"/>
                <w:szCs w:val="22"/>
              </w:rPr>
            </w:pPr>
            <w:r w:rsidRPr="00E34FDB">
              <w:rPr>
                <w:noProof/>
                <w:sz w:val="22"/>
                <w:szCs w:val="22"/>
              </w:rPr>
              <w:t>0.000</w:t>
            </w:r>
          </w:p>
        </w:tc>
        <w:tc>
          <w:tcPr>
            <w:tcW w:w="459" w:type="pct"/>
            <w:shd w:val="clear" w:color="auto" w:fill="FFFFFF" w:themeFill="background1"/>
            <w:noWrap/>
            <w:hideMark/>
          </w:tcPr>
          <w:p w14:paraId="7910D21B" w14:textId="5AE8B7BA" w:rsidR="0017193A" w:rsidRPr="00E34FDB" w:rsidRDefault="0017193A">
            <w:pPr>
              <w:pStyle w:val="Tabletext"/>
              <w:rPr>
                <w:noProof/>
                <w:sz w:val="22"/>
                <w:szCs w:val="22"/>
              </w:rPr>
            </w:pPr>
            <w:r w:rsidRPr="00E34FDB">
              <w:rPr>
                <w:noProof/>
                <w:sz w:val="22"/>
                <w:szCs w:val="22"/>
              </w:rPr>
              <w:t>0.286</w:t>
            </w:r>
          </w:p>
        </w:tc>
        <w:tc>
          <w:tcPr>
            <w:tcW w:w="459" w:type="pct"/>
            <w:shd w:val="clear" w:color="auto" w:fill="FFFFFF" w:themeFill="background1"/>
            <w:noWrap/>
            <w:hideMark/>
          </w:tcPr>
          <w:p w14:paraId="155945AF" w14:textId="2CDD4BA3" w:rsidR="0017193A" w:rsidRPr="00E34FDB" w:rsidRDefault="0017193A">
            <w:pPr>
              <w:pStyle w:val="Tabletext"/>
              <w:rPr>
                <w:noProof/>
                <w:sz w:val="22"/>
                <w:szCs w:val="22"/>
              </w:rPr>
            </w:pPr>
            <w:r w:rsidRPr="00E34FDB">
              <w:rPr>
                <w:noProof/>
                <w:sz w:val="22"/>
                <w:szCs w:val="22"/>
              </w:rPr>
              <w:t>0.520</w:t>
            </w:r>
          </w:p>
        </w:tc>
        <w:tc>
          <w:tcPr>
            <w:tcW w:w="459" w:type="pct"/>
            <w:shd w:val="clear" w:color="auto" w:fill="FFFFFF" w:themeFill="background1"/>
            <w:noWrap/>
            <w:hideMark/>
          </w:tcPr>
          <w:p w14:paraId="1CD2F5F6" w14:textId="40AB89BA" w:rsidR="0017193A" w:rsidRPr="00E34FDB" w:rsidRDefault="0017193A">
            <w:pPr>
              <w:pStyle w:val="Tabletext"/>
              <w:rPr>
                <w:noProof/>
                <w:sz w:val="22"/>
                <w:szCs w:val="22"/>
              </w:rPr>
            </w:pPr>
            <w:r w:rsidRPr="00E34FDB">
              <w:rPr>
                <w:noProof/>
                <w:sz w:val="22"/>
                <w:szCs w:val="22"/>
              </w:rPr>
              <w:t>0.050</w:t>
            </w:r>
          </w:p>
        </w:tc>
        <w:tc>
          <w:tcPr>
            <w:tcW w:w="459" w:type="pct"/>
            <w:shd w:val="clear" w:color="auto" w:fill="FFFFFF" w:themeFill="background1"/>
            <w:noWrap/>
            <w:hideMark/>
          </w:tcPr>
          <w:p w14:paraId="6432985C" w14:textId="0FCF726D" w:rsidR="0017193A" w:rsidRPr="00E34FDB" w:rsidRDefault="0017193A">
            <w:pPr>
              <w:pStyle w:val="Tabletext"/>
              <w:rPr>
                <w:noProof/>
                <w:sz w:val="22"/>
                <w:szCs w:val="22"/>
              </w:rPr>
            </w:pPr>
            <w:r w:rsidRPr="00E34FDB">
              <w:rPr>
                <w:noProof/>
                <w:sz w:val="22"/>
                <w:szCs w:val="22"/>
              </w:rPr>
              <w:t>-0.062</w:t>
            </w:r>
          </w:p>
        </w:tc>
        <w:tc>
          <w:tcPr>
            <w:tcW w:w="459" w:type="pct"/>
            <w:shd w:val="clear" w:color="auto" w:fill="FFFFFF" w:themeFill="background1"/>
            <w:noWrap/>
            <w:hideMark/>
          </w:tcPr>
          <w:p w14:paraId="040BF1E5" w14:textId="24656883" w:rsidR="0017193A" w:rsidRPr="00E34FDB" w:rsidRDefault="0017193A">
            <w:pPr>
              <w:pStyle w:val="Tabletext"/>
              <w:rPr>
                <w:noProof/>
                <w:sz w:val="22"/>
                <w:szCs w:val="22"/>
              </w:rPr>
            </w:pPr>
            <w:r w:rsidRPr="00E34FDB">
              <w:rPr>
                <w:noProof/>
                <w:sz w:val="22"/>
                <w:szCs w:val="22"/>
              </w:rPr>
              <w:t>0.205</w:t>
            </w:r>
          </w:p>
        </w:tc>
        <w:tc>
          <w:tcPr>
            <w:tcW w:w="459" w:type="pct"/>
            <w:shd w:val="clear" w:color="auto" w:fill="FFFFFF" w:themeFill="background1"/>
            <w:noWrap/>
            <w:hideMark/>
          </w:tcPr>
          <w:p w14:paraId="594B83F4" w14:textId="616723CF" w:rsidR="0017193A" w:rsidRPr="00E34FDB" w:rsidRDefault="0017193A">
            <w:pPr>
              <w:pStyle w:val="Tabletext"/>
              <w:rPr>
                <w:noProof/>
                <w:sz w:val="22"/>
                <w:szCs w:val="22"/>
              </w:rPr>
            </w:pPr>
            <w:r w:rsidRPr="00E34FDB">
              <w:rPr>
                <w:noProof/>
                <w:sz w:val="22"/>
                <w:szCs w:val="22"/>
              </w:rPr>
              <w:t>0.041</w:t>
            </w:r>
          </w:p>
        </w:tc>
        <w:tc>
          <w:tcPr>
            <w:tcW w:w="461" w:type="pct"/>
            <w:shd w:val="clear" w:color="auto" w:fill="FFFFFF" w:themeFill="background1"/>
            <w:noWrap/>
            <w:hideMark/>
          </w:tcPr>
          <w:p w14:paraId="41121676" w14:textId="4CD59B35" w:rsidR="0017193A" w:rsidRPr="00E34FDB" w:rsidRDefault="0017193A">
            <w:pPr>
              <w:pStyle w:val="Tabletext"/>
              <w:rPr>
                <w:noProof/>
                <w:sz w:val="22"/>
                <w:szCs w:val="22"/>
              </w:rPr>
            </w:pPr>
            <w:r w:rsidRPr="00E34FDB">
              <w:rPr>
                <w:noProof/>
                <w:sz w:val="22"/>
                <w:szCs w:val="22"/>
              </w:rPr>
              <w:t>0.542</w:t>
            </w:r>
          </w:p>
        </w:tc>
        <w:tc>
          <w:tcPr>
            <w:tcW w:w="445" w:type="pct"/>
            <w:shd w:val="clear" w:color="auto" w:fill="FFFFFF" w:themeFill="background1"/>
            <w:noWrap/>
            <w:hideMark/>
          </w:tcPr>
          <w:p w14:paraId="6DF47924" w14:textId="39B02662" w:rsidR="0017193A" w:rsidRPr="00E34FDB" w:rsidRDefault="0017193A">
            <w:pPr>
              <w:pStyle w:val="Tabletext"/>
              <w:rPr>
                <w:noProof/>
                <w:sz w:val="22"/>
                <w:szCs w:val="22"/>
              </w:rPr>
            </w:pPr>
            <w:r w:rsidRPr="00E34FDB">
              <w:rPr>
                <w:noProof/>
                <w:sz w:val="22"/>
                <w:szCs w:val="22"/>
              </w:rPr>
              <w:t>0.499</w:t>
            </w:r>
          </w:p>
        </w:tc>
      </w:tr>
      <w:tr w:rsidR="007E1E81" w:rsidRPr="00B32ED5" w14:paraId="1440F6E2" w14:textId="77777777" w:rsidTr="00B05194">
        <w:trPr>
          <w:trHeight w:val="296"/>
        </w:trPr>
        <w:tc>
          <w:tcPr>
            <w:tcW w:w="493" w:type="pct"/>
            <w:shd w:val="clear" w:color="auto" w:fill="FFFFFF" w:themeFill="background1"/>
            <w:noWrap/>
            <w:hideMark/>
          </w:tcPr>
          <w:p w14:paraId="448813DA" w14:textId="77777777" w:rsidR="0017193A" w:rsidRPr="00E34FDB" w:rsidRDefault="0017193A">
            <w:pPr>
              <w:pStyle w:val="Tabletext"/>
              <w:rPr>
                <w:b/>
                <w:noProof/>
                <w:sz w:val="22"/>
                <w:szCs w:val="22"/>
              </w:rPr>
            </w:pPr>
            <w:r w:rsidRPr="00E34FDB">
              <w:rPr>
                <w:b/>
                <w:noProof/>
                <w:sz w:val="22"/>
                <w:szCs w:val="22"/>
              </w:rPr>
              <w:t>PO1-C</w:t>
            </w:r>
          </w:p>
        </w:tc>
        <w:tc>
          <w:tcPr>
            <w:tcW w:w="380" w:type="pct"/>
            <w:shd w:val="clear" w:color="auto" w:fill="FFFFFF" w:themeFill="background1"/>
            <w:noWrap/>
            <w:hideMark/>
          </w:tcPr>
          <w:p w14:paraId="336E704E" w14:textId="35BD472F" w:rsidR="0017193A" w:rsidRPr="00E34FDB" w:rsidRDefault="0017193A">
            <w:pPr>
              <w:pStyle w:val="Tabletext"/>
              <w:rPr>
                <w:noProof/>
                <w:sz w:val="22"/>
                <w:szCs w:val="22"/>
              </w:rPr>
            </w:pPr>
            <w:r w:rsidRPr="00E34FDB">
              <w:rPr>
                <w:noProof/>
                <w:sz w:val="22"/>
                <w:szCs w:val="22"/>
              </w:rPr>
              <w:t>0.000</w:t>
            </w:r>
          </w:p>
        </w:tc>
        <w:tc>
          <w:tcPr>
            <w:tcW w:w="468" w:type="pct"/>
            <w:shd w:val="clear" w:color="auto" w:fill="FFFFFF" w:themeFill="background1"/>
            <w:noWrap/>
            <w:hideMark/>
          </w:tcPr>
          <w:p w14:paraId="2ED73F92" w14:textId="396097C9" w:rsidR="0017193A" w:rsidRPr="00E34FDB" w:rsidRDefault="0017193A">
            <w:pPr>
              <w:pStyle w:val="Tabletext"/>
              <w:rPr>
                <w:noProof/>
                <w:sz w:val="22"/>
                <w:szCs w:val="22"/>
              </w:rPr>
            </w:pPr>
            <w:r w:rsidRPr="00E34FDB">
              <w:rPr>
                <w:noProof/>
                <w:sz w:val="22"/>
                <w:szCs w:val="22"/>
              </w:rPr>
              <w:t>0.000</w:t>
            </w:r>
          </w:p>
        </w:tc>
        <w:tc>
          <w:tcPr>
            <w:tcW w:w="459" w:type="pct"/>
            <w:shd w:val="clear" w:color="auto" w:fill="FFFFFF" w:themeFill="background1"/>
            <w:noWrap/>
            <w:hideMark/>
          </w:tcPr>
          <w:p w14:paraId="12AE98B6" w14:textId="49ABDF53" w:rsidR="0017193A" w:rsidRPr="00E34FDB" w:rsidRDefault="0017193A">
            <w:pPr>
              <w:pStyle w:val="Tabletext"/>
              <w:rPr>
                <w:noProof/>
                <w:sz w:val="22"/>
                <w:szCs w:val="22"/>
              </w:rPr>
            </w:pPr>
            <w:r w:rsidRPr="00E34FDB">
              <w:rPr>
                <w:noProof/>
                <w:sz w:val="22"/>
                <w:szCs w:val="22"/>
              </w:rPr>
              <w:t>0.306</w:t>
            </w:r>
          </w:p>
        </w:tc>
        <w:tc>
          <w:tcPr>
            <w:tcW w:w="459" w:type="pct"/>
            <w:shd w:val="clear" w:color="auto" w:fill="FFFFFF" w:themeFill="background1"/>
            <w:noWrap/>
            <w:hideMark/>
          </w:tcPr>
          <w:p w14:paraId="4F253B55" w14:textId="61A33CCE" w:rsidR="0017193A" w:rsidRPr="00E34FDB" w:rsidRDefault="0017193A">
            <w:pPr>
              <w:pStyle w:val="Tabletext"/>
              <w:rPr>
                <w:noProof/>
                <w:sz w:val="22"/>
                <w:szCs w:val="22"/>
              </w:rPr>
            </w:pPr>
            <w:r w:rsidRPr="00E34FDB">
              <w:rPr>
                <w:noProof/>
                <w:sz w:val="22"/>
                <w:szCs w:val="22"/>
              </w:rPr>
              <w:t>0.514</w:t>
            </w:r>
          </w:p>
        </w:tc>
        <w:tc>
          <w:tcPr>
            <w:tcW w:w="459" w:type="pct"/>
            <w:shd w:val="clear" w:color="auto" w:fill="FFFFFF" w:themeFill="background1"/>
            <w:noWrap/>
            <w:hideMark/>
          </w:tcPr>
          <w:p w14:paraId="62621514" w14:textId="4E6099E1" w:rsidR="0017193A" w:rsidRPr="00E34FDB" w:rsidRDefault="0017193A">
            <w:pPr>
              <w:pStyle w:val="Tabletext"/>
              <w:rPr>
                <w:noProof/>
                <w:sz w:val="22"/>
                <w:szCs w:val="22"/>
              </w:rPr>
            </w:pPr>
            <w:r w:rsidRPr="00E34FDB">
              <w:rPr>
                <w:noProof/>
                <w:sz w:val="22"/>
                <w:szCs w:val="22"/>
              </w:rPr>
              <w:t>0.046</w:t>
            </w:r>
          </w:p>
        </w:tc>
        <w:tc>
          <w:tcPr>
            <w:tcW w:w="459" w:type="pct"/>
            <w:shd w:val="clear" w:color="auto" w:fill="FFFFFF" w:themeFill="background1"/>
            <w:noWrap/>
            <w:hideMark/>
          </w:tcPr>
          <w:p w14:paraId="67CF7B00" w14:textId="6AFC2DEB" w:rsidR="0017193A" w:rsidRPr="00E34FDB" w:rsidRDefault="0017193A">
            <w:pPr>
              <w:pStyle w:val="Tabletext"/>
              <w:rPr>
                <w:noProof/>
                <w:sz w:val="22"/>
                <w:szCs w:val="22"/>
              </w:rPr>
            </w:pPr>
            <w:r w:rsidRPr="00E34FDB">
              <w:rPr>
                <w:noProof/>
                <w:sz w:val="22"/>
                <w:szCs w:val="22"/>
              </w:rPr>
              <w:t>-0.070</w:t>
            </w:r>
          </w:p>
        </w:tc>
        <w:tc>
          <w:tcPr>
            <w:tcW w:w="459" w:type="pct"/>
            <w:shd w:val="clear" w:color="auto" w:fill="FFFFFF" w:themeFill="background1"/>
            <w:noWrap/>
            <w:hideMark/>
          </w:tcPr>
          <w:p w14:paraId="1DAEADEE" w14:textId="677A80C3" w:rsidR="0017193A" w:rsidRPr="00E34FDB" w:rsidRDefault="0017193A">
            <w:pPr>
              <w:pStyle w:val="Tabletext"/>
              <w:rPr>
                <w:noProof/>
                <w:sz w:val="22"/>
                <w:szCs w:val="22"/>
              </w:rPr>
            </w:pPr>
            <w:r w:rsidRPr="00E34FDB">
              <w:rPr>
                <w:noProof/>
                <w:sz w:val="22"/>
                <w:szCs w:val="22"/>
              </w:rPr>
              <w:t>0.220</w:t>
            </w:r>
          </w:p>
        </w:tc>
        <w:tc>
          <w:tcPr>
            <w:tcW w:w="459" w:type="pct"/>
            <w:shd w:val="clear" w:color="auto" w:fill="FFFFFF" w:themeFill="background1"/>
            <w:noWrap/>
            <w:hideMark/>
          </w:tcPr>
          <w:p w14:paraId="515351C3" w14:textId="61AAA45C" w:rsidR="0017193A" w:rsidRPr="00E34FDB" w:rsidRDefault="0017193A">
            <w:pPr>
              <w:pStyle w:val="Tabletext"/>
              <w:rPr>
                <w:noProof/>
                <w:sz w:val="22"/>
                <w:szCs w:val="22"/>
              </w:rPr>
            </w:pPr>
            <w:r w:rsidRPr="00E34FDB">
              <w:rPr>
                <w:noProof/>
                <w:sz w:val="22"/>
                <w:szCs w:val="22"/>
              </w:rPr>
              <w:t>0.044</w:t>
            </w:r>
          </w:p>
        </w:tc>
        <w:tc>
          <w:tcPr>
            <w:tcW w:w="461" w:type="pct"/>
            <w:shd w:val="clear" w:color="auto" w:fill="FFFFFF" w:themeFill="background1"/>
            <w:noWrap/>
            <w:hideMark/>
          </w:tcPr>
          <w:p w14:paraId="04747891" w14:textId="6A70505C" w:rsidR="0017193A" w:rsidRPr="00E34FDB" w:rsidRDefault="0017193A">
            <w:pPr>
              <w:pStyle w:val="Tabletext"/>
              <w:rPr>
                <w:noProof/>
                <w:sz w:val="22"/>
                <w:szCs w:val="22"/>
              </w:rPr>
            </w:pPr>
            <w:r w:rsidRPr="00E34FDB">
              <w:rPr>
                <w:noProof/>
                <w:sz w:val="22"/>
                <w:szCs w:val="22"/>
              </w:rPr>
              <w:t>0.572</w:t>
            </w:r>
          </w:p>
        </w:tc>
        <w:tc>
          <w:tcPr>
            <w:tcW w:w="445" w:type="pct"/>
            <w:shd w:val="clear" w:color="auto" w:fill="FFFFFF" w:themeFill="background1"/>
            <w:noWrap/>
            <w:hideMark/>
          </w:tcPr>
          <w:p w14:paraId="0341F42C" w14:textId="71C7CBAF" w:rsidR="0017193A" w:rsidRPr="00E34FDB" w:rsidRDefault="0017193A">
            <w:pPr>
              <w:pStyle w:val="Tabletext"/>
              <w:rPr>
                <w:noProof/>
                <w:sz w:val="22"/>
                <w:szCs w:val="22"/>
              </w:rPr>
            </w:pPr>
            <w:r w:rsidRPr="00E34FDB">
              <w:rPr>
                <w:noProof/>
                <w:sz w:val="22"/>
                <w:szCs w:val="22"/>
              </w:rPr>
              <w:t>0.488</w:t>
            </w:r>
          </w:p>
        </w:tc>
      </w:tr>
      <w:tr w:rsidR="0017193A" w:rsidRPr="00B32ED5" w14:paraId="49DFB8B3" w14:textId="77777777" w:rsidTr="00B05194">
        <w:trPr>
          <w:trHeight w:val="283"/>
        </w:trPr>
        <w:tc>
          <w:tcPr>
            <w:tcW w:w="5000" w:type="pct"/>
            <w:gridSpan w:val="11"/>
            <w:shd w:val="clear" w:color="auto" w:fill="DBE5F1" w:themeFill="accent1" w:themeFillTint="33"/>
            <w:noWrap/>
          </w:tcPr>
          <w:p w14:paraId="1B4BE6BE" w14:textId="2AB2CF9C" w:rsidR="0017193A" w:rsidRPr="00E34FDB" w:rsidRDefault="0017193A">
            <w:pPr>
              <w:pStyle w:val="Tabletext"/>
              <w:jc w:val="center"/>
              <w:rPr>
                <w:noProof/>
                <w:sz w:val="22"/>
                <w:szCs w:val="22"/>
              </w:rPr>
            </w:pPr>
            <w:r w:rsidRPr="00E34FDB">
              <w:rPr>
                <w:b/>
                <w:noProof/>
                <w:sz w:val="22"/>
                <w:szCs w:val="22"/>
              </w:rPr>
              <w:t>Data</w:t>
            </w:r>
            <w:r w:rsidR="00164738">
              <w:rPr>
                <w:b/>
                <w:noProof/>
                <w:sz w:val="22"/>
                <w:szCs w:val="22"/>
              </w:rPr>
              <w:t xml:space="preserve"> </w:t>
            </w:r>
            <w:r w:rsidR="00A24504">
              <w:rPr>
                <w:b/>
                <w:noProof/>
                <w:sz w:val="22"/>
                <w:szCs w:val="22"/>
              </w:rPr>
              <w:t>C</w:t>
            </w:r>
            <w:r w:rsidRPr="00E34FDB">
              <w:rPr>
                <w:b/>
                <w:noProof/>
                <w:sz w:val="22"/>
                <w:szCs w:val="22"/>
              </w:rPr>
              <w:t>entre Operators</w:t>
            </w:r>
          </w:p>
        </w:tc>
      </w:tr>
      <w:tr w:rsidR="007E1E81" w:rsidRPr="00B32ED5" w14:paraId="64649ED7" w14:textId="77777777" w:rsidTr="00B05194">
        <w:trPr>
          <w:trHeight w:val="296"/>
        </w:trPr>
        <w:tc>
          <w:tcPr>
            <w:tcW w:w="493" w:type="pct"/>
            <w:shd w:val="clear" w:color="auto" w:fill="FFFFFF" w:themeFill="background1"/>
            <w:noWrap/>
          </w:tcPr>
          <w:p w14:paraId="26BD9547" w14:textId="77777777" w:rsidR="0017193A" w:rsidRPr="00E34FDB" w:rsidRDefault="0017193A">
            <w:pPr>
              <w:pStyle w:val="Tabletext"/>
              <w:rPr>
                <w:b/>
                <w:noProof/>
                <w:sz w:val="22"/>
                <w:szCs w:val="22"/>
              </w:rPr>
            </w:pPr>
            <w:r w:rsidRPr="00E34FDB">
              <w:rPr>
                <w:b/>
                <w:noProof/>
                <w:sz w:val="22"/>
                <w:szCs w:val="22"/>
              </w:rPr>
              <w:t>Option</w:t>
            </w:r>
          </w:p>
        </w:tc>
        <w:tc>
          <w:tcPr>
            <w:tcW w:w="380" w:type="pct"/>
            <w:shd w:val="clear" w:color="auto" w:fill="FFFFFF" w:themeFill="background1"/>
            <w:noWrap/>
          </w:tcPr>
          <w:p w14:paraId="52148DFF" w14:textId="77777777" w:rsidR="0017193A" w:rsidRPr="00E34FDB" w:rsidRDefault="0017193A">
            <w:pPr>
              <w:pStyle w:val="Tabletext"/>
              <w:rPr>
                <w:noProof/>
                <w:sz w:val="22"/>
                <w:szCs w:val="22"/>
              </w:rPr>
            </w:pPr>
            <w:r w:rsidRPr="00E34FDB">
              <w:rPr>
                <w:b/>
                <w:noProof/>
                <w:sz w:val="22"/>
                <w:szCs w:val="22"/>
              </w:rPr>
              <w:t>EW</w:t>
            </w:r>
          </w:p>
        </w:tc>
        <w:tc>
          <w:tcPr>
            <w:tcW w:w="468" w:type="pct"/>
            <w:shd w:val="clear" w:color="auto" w:fill="FFFFFF" w:themeFill="background1"/>
            <w:noWrap/>
          </w:tcPr>
          <w:p w14:paraId="79985B3B" w14:textId="77777777" w:rsidR="0017193A" w:rsidRPr="00E34FDB" w:rsidRDefault="0017193A">
            <w:pPr>
              <w:pStyle w:val="Tabletext"/>
              <w:rPr>
                <w:noProof/>
                <w:sz w:val="22"/>
                <w:szCs w:val="22"/>
              </w:rPr>
            </w:pPr>
            <w:r w:rsidRPr="00E34FDB">
              <w:rPr>
                <w:b/>
                <w:noProof/>
                <w:sz w:val="22"/>
                <w:szCs w:val="22"/>
              </w:rPr>
              <w:t>P1</w:t>
            </w:r>
          </w:p>
        </w:tc>
        <w:tc>
          <w:tcPr>
            <w:tcW w:w="459" w:type="pct"/>
            <w:shd w:val="clear" w:color="auto" w:fill="FFFFFF" w:themeFill="background1"/>
            <w:noWrap/>
          </w:tcPr>
          <w:p w14:paraId="64F0E057" w14:textId="77777777" w:rsidR="0017193A" w:rsidRPr="00E34FDB" w:rsidRDefault="0017193A">
            <w:pPr>
              <w:pStyle w:val="Tabletext"/>
              <w:rPr>
                <w:noProof/>
                <w:sz w:val="22"/>
                <w:szCs w:val="22"/>
              </w:rPr>
            </w:pPr>
            <w:r w:rsidRPr="00E34FDB">
              <w:rPr>
                <w:b/>
                <w:noProof/>
                <w:sz w:val="22"/>
                <w:szCs w:val="22"/>
              </w:rPr>
              <w:t>EW</w:t>
            </w:r>
          </w:p>
        </w:tc>
        <w:tc>
          <w:tcPr>
            <w:tcW w:w="459" w:type="pct"/>
            <w:shd w:val="clear" w:color="auto" w:fill="FFFFFF" w:themeFill="background1"/>
            <w:noWrap/>
          </w:tcPr>
          <w:p w14:paraId="07DB57D4" w14:textId="77777777" w:rsidR="0017193A" w:rsidRPr="00E34FDB" w:rsidRDefault="0017193A">
            <w:pPr>
              <w:pStyle w:val="Tabletext"/>
              <w:rPr>
                <w:noProof/>
                <w:sz w:val="22"/>
                <w:szCs w:val="22"/>
              </w:rPr>
            </w:pPr>
            <w:r w:rsidRPr="00E34FDB">
              <w:rPr>
                <w:b/>
                <w:noProof/>
                <w:sz w:val="22"/>
                <w:szCs w:val="22"/>
              </w:rPr>
              <w:t>P1</w:t>
            </w:r>
          </w:p>
        </w:tc>
        <w:tc>
          <w:tcPr>
            <w:tcW w:w="459" w:type="pct"/>
            <w:shd w:val="clear" w:color="auto" w:fill="FFFFFF" w:themeFill="background1"/>
            <w:noWrap/>
          </w:tcPr>
          <w:p w14:paraId="04C51AEA" w14:textId="77777777" w:rsidR="0017193A" w:rsidRPr="00E34FDB" w:rsidRDefault="0017193A">
            <w:pPr>
              <w:pStyle w:val="Tabletext"/>
              <w:rPr>
                <w:noProof/>
                <w:sz w:val="22"/>
                <w:szCs w:val="22"/>
              </w:rPr>
            </w:pPr>
            <w:r w:rsidRPr="00E34FDB">
              <w:rPr>
                <w:b/>
                <w:noProof/>
                <w:sz w:val="22"/>
                <w:szCs w:val="22"/>
              </w:rPr>
              <w:t>EW</w:t>
            </w:r>
          </w:p>
        </w:tc>
        <w:tc>
          <w:tcPr>
            <w:tcW w:w="459" w:type="pct"/>
            <w:shd w:val="clear" w:color="auto" w:fill="FFFFFF" w:themeFill="background1"/>
            <w:noWrap/>
          </w:tcPr>
          <w:p w14:paraId="18A62DA5" w14:textId="77777777" w:rsidR="0017193A" w:rsidRPr="00E34FDB" w:rsidRDefault="0017193A">
            <w:pPr>
              <w:pStyle w:val="Tabletext"/>
              <w:rPr>
                <w:noProof/>
                <w:sz w:val="22"/>
                <w:szCs w:val="22"/>
              </w:rPr>
            </w:pPr>
            <w:r w:rsidRPr="00E34FDB">
              <w:rPr>
                <w:b/>
                <w:noProof/>
                <w:sz w:val="22"/>
                <w:szCs w:val="22"/>
              </w:rPr>
              <w:t>P1</w:t>
            </w:r>
          </w:p>
        </w:tc>
        <w:tc>
          <w:tcPr>
            <w:tcW w:w="459" w:type="pct"/>
            <w:shd w:val="clear" w:color="auto" w:fill="FFFFFF" w:themeFill="background1"/>
            <w:noWrap/>
          </w:tcPr>
          <w:p w14:paraId="3A31D3FB" w14:textId="77777777" w:rsidR="0017193A" w:rsidRPr="00E34FDB" w:rsidRDefault="0017193A">
            <w:pPr>
              <w:pStyle w:val="Tabletext"/>
              <w:rPr>
                <w:noProof/>
                <w:sz w:val="22"/>
                <w:szCs w:val="22"/>
              </w:rPr>
            </w:pPr>
            <w:r w:rsidRPr="00E34FDB">
              <w:rPr>
                <w:b/>
                <w:noProof/>
                <w:sz w:val="22"/>
                <w:szCs w:val="22"/>
              </w:rPr>
              <w:t>EW</w:t>
            </w:r>
          </w:p>
        </w:tc>
        <w:tc>
          <w:tcPr>
            <w:tcW w:w="459" w:type="pct"/>
            <w:shd w:val="clear" w:color="auto" w:fill="FFFFFF" w:themeFill="background1"/>
            <w:noWrap/>
          </w:tcPr>
          <w:p w14:paraId="249E1123" w14:textId="77777777" w:rsidR="0017193A" w:rsidRPr="00E34FDB" w:rsidRDefault="0017193A">
            <w:pPr>
              <w:pStyle w:val="Tabletext"/>
              <w:rPr>
                <w:noProof/>
                <w:sz w:val="22"/>
                <w:szCs w:val="22"/>
              </w:rPr>
            </w:pPr>
            <w:r w:rsidRPr="00E34FDB">
              <w:rPr>
                <w:b/>
                <w:noProof/>
                <w:sz w:val="22"/>
                <w:szCs w:val="22"/>
              </w:rPr>
              <w:t>P1</w:t>
            </w:r>
          </w:p>
        </w:tc>
        <w:tc>
          <w:tcPr>
            <w:tcW w:w="461" w:type="pct"/>
            <w:shd w:val="clear" w:color="auto" w:fill="FFFFFF" w:themeFill="background1"/>
            <w:noWrap/>
          </w:tcPr>
          <w:p w14:paraId="5F043418" w14:textId="77777777" w:rsidR="0017193A" w:rsidRPr="00E34FDB" w:rsidRDefault="0017193A">
            <w:pPr>
              <w:pStyle w:val="Tabletext"/>
              <w:rPr>
                <w:noProof/>
                <w:sz w:val="22"/>
                <w:szCs w:val="22"/>
              </w:rPr>
            </w:pPr>
            <w:r w:rsidRPr="00E34FDB">
              <w:rPr>
                <w:b/>
                <w:noProof/>
                <w:sz w:val="22"/>
                <w:szCs w:val="22"/>
              </w:rPr>
              <w:t>EW</w:t>
            </w:r>
          </w:p>
        </w:tc>
        <w:tc>
          <w:tcPr>
            <w:tcW w:w="445" w:type="pct"/>
            <w:shd w:val="clear" w:color="auto" w:fill="FFFFFF" w:themeFill="background1"/>
            <w:noWrap/>
          </w:tcPr>
          <w:p w14:paraId="3F4F6864" w14:textId="77777777" w:rsidR="0017193A" w:rsidRPr="00E34FDB" w:rsidRDefault="0017193A">
            <w:pPr>
              <w:pStyle w:val="Tabletext"/>
              <w:rPr>
                <w:noProof/>
                <w:sz w:val="22"/>
                <w:szCs w:val="22"/>
              </w:rPr>
            </w:pPr>
            <w:r w:rsidRPr="00E34FDB">
              <w:rPr>
                <w:b/>
                <w:noProof/>
                <w:sz w:val="22"/>
                <w:szCs w:val="22"/>
              </w:rPr>
              <w:t>P1</w:t>
            </w:r>
          </w:p>
        </w:tc>
      </w:tr>
      <w:tr w:rsidR="00970E25" w:rsidRPr="00B32ED5" w14:paraId="41C50392" w14:textId="77777777" w:rsidTr="00B05194">
        <w:trPr>
          <w:trHeight w:val="296"/>
        </w:trPr>
        <w:tc>
          <w:tcPr>
            <w:tcW w:w="493" w:type="pct"/>
            <w:shd w:val="clear" w:color="auto" w:fill="F2F2F2" w:themeFill="background1" w:themeFillShade="F2"/>
            <w:noWrap/>
          </w:tcPr>
          <w:p w14:paraId="032E8822" w14:textId="77777777" w:rsidR="0017193A" w:rsidRPr="00E34FDB" w:rsidRDefault="0017193A">
            <w:pPr>
              <w:pStyle w:val="Tabletext"/>
              <w:rPr>
                <w:b/>
                <w:noProof/>
                <w:sz w:val="22"/>
                <w:szCs w:val="22"/>
              </w:rPr>
            </w:pPr>
            <w:r w:rsidRPr="00E34FDB">
              <w:rPr>
                <w:b/>
                <w:noProof/>
                <w:sz w:val="22"/>
                <w:szCs w:val="22"/>
              </w:rPr>
              <w:t>Baseline</w:t>
            </w:r>
          </w:p>
        </w:tc>
        <w:tc>
          <w:tcPr>
            <w:tcW w:w="380" w:type="pct"/>
            <w:shd w:val="clear" w:color="auto" w:fill="F2F2F2" w:themeFill="background1" w:themeFillShade="F2"/>
            <w:noWrap/>
          </w:tcPr>
          <w:p w14:paraId="2B2934A7" w14:textId="18DDF8DB" w:rsidR="0017193A" w:rsidRPr="00E857DE" w:rsidRDefault="00192275">
            <w:pPr>
              <w:pStyle w:val="Tabletext"/>
              <w:rPr>
                <w:noProof/>
                <w:sz w:val="22"/>
                <w:szCs w:val="22"/>
              </w:rPr>
            </w:pPr>
            <w:r w:rsidRPr="00E857DE">
              <w:rPr>
                <w:noProof/>
                <w:sz w:val="22"/>
                <w:szCs w:val="22"/>
              </w:rPr>
              <w:t>-0.534</w:t>
            </w:r>
          </w:p>
        </w:tc>
        <w:tc>
          <w:tcPr>
            <w:tcW w:w="468" w:type="pct"/>
            <w:shd w:val="clear" w:color="auto" w:fill="F2F2F2" w:themeFill="background1" w:themeFillShade="F2"/>
            <w:noWrap/>
          </w:tcPr>
          <w:p w14:paraId="66D5BC44" w14:textId="16A09BD7" w:rsidR="0017193A" w:rsidRPr="00E857DE" w:rsidRDefault="00192275">
            <w:pPr>
              <w:pStyle w:val="Tabletext"/>
              <w:rPr>
                <w:noProof/>
                <w:sz w:val="22"/>
                <w:szCs w:val="22"/>
              </w:rPr>
            </w:pPr>
            <w:r w:rsidRPr="00E857DE">
              <w:rPr>
                <w:noProof/>
                <w:sz w:val="22"/>
                <w:szCs w:val="22"/>
              </w:rPr>
              <w:t>-0.711</w:t>
            </w:r>
          </w:p>
        </w:tc>
        <w:tc>
          <w:tcPr>
            <w:tcW w:w="459" w:type="pct"/>
            <w:shd w:val="clear" w:color="auto" w:fill="F2F2F2" w:themeFill="background1" w:themeFillShade="F2"/>
            <w:noWrap/>
          </w:tcPr>
          <w:p w14:paraId="30A46621" w14:textId="2A873603" w:rsidR="0017193A" w:rsidRPr="00E857DE" w:rsidRDefault="0017193A">
            <w:pPr>
              <w:pStyle w:val="Tabletext"/>
              <w:rPr>
                <w:noProof/>
                <w:sz w:val="22"/>
                <w:szCs w:val="22"/>
              </w:rPr>
            </w:pPr>
            <w:r w:rsidRPr="00E857DE">
              <w:rPr>
                <w:noProof/>
                <w:sz w:val="22"/>
                <w:szCs w:val="22"/>
              </w:rPr>
              <w:t>0.253</w:t>
            </w:r>
          </w:p>
        </w:tc>
        <w:tc>
          <w:tcPr>
            <w:tcW w:w="459" w:type="pct"/>
            <w:shd w:val="clear" w:color="auto" w:fill="F2F2F2" w:themeFill="background1" w:themeFillShade="F2"/>
            <w:noWrap/>
          </w:tcPr>
          <w:p w14:paraId="2DEEC945" w14:textId="202FDFB1" w:rsidR="0017193A" w:rsidRPr="00E857DE" w:rsidRDefault="0017193A">
            <w:pPr>
              <w:pStyle w:val="Tabletext"/>
              <w:rPr>
                <w:noProof/>
                <w:sz w:val="22"/>
                <w:szCs w:val="22"/>
              </w:rPr>
            </w:pPr>
            <w:r w:rsidRPr="00E857DE">
              <w:rPr>
                <w:noProof/>
                <w:sz w:val="22"/>
                <w:szCs w:val="22"/>
              </w:rPr>
              <w:t>0.492</w:t>
            </w:r>
          </w:p>
        </w:tc>
        <w:tc>
          <w:tcPr>
            <w:tcW w:w="459" w:type="pct"/>
            <w:shd w:val="clear" w:color="auto" w:fill="F2F2F2" w:themeFill="background1" w:themeFillShade="F2"/>
            <w:noWrap/>
          </w:tcPr>
          <w:p w14:paraId="3CAC2845" w14:textId="67A55188" w:rsidR="0017193A" w:rsidRPr="00E857DE" w:rsidRDefault="0017193A">
            <w:pPr>
              <w:pStyle w:val="Tabletext"/>
              <w:rPr>
                <w:noProof/>
                <w:sz w:val="22"/>
                <w:szCs w:val="22"/>
              </w:rPr>
            </w:pPr>
            <w:r w:rsidRPr="00E857DE">
              <w:rPr>
                <w:noProof/>
                <w:sz w:val="22"/>
                <w:szCs w:val="22"/>
              </w:rPr>
              <w:t>-0.083</w:t>
            </w:r>
          </w:p>
        </w:tc>
        <w:tc>
          <w:tcPr>
            <w:tcW w:w="459" w:type="pct"/>
            <w:shd w:val="clear" w:color="auto" w:fill="F2F2F2" w:themeFill="background1" w:themeFillShade="F2"/>
            <w:noWrap/>
          </w:tcPr>
          <w:p w14:paraId="3391AE7E" w14:textId="4C35AC24" w:rsidR="0017193A" w:rsidRPr="00E857DE" w:rsidRDefault="0017193A">
            <w:pPr>
              <w:pStyle w:val="Tabletext"/>
              <w:rPr>
                <w:noProof/>
                <w:sz w:val="22"/>
                <w:szCs w:val="22"/>
              </w:rPr>
            </w:pPr>
            <w:r w:rsidRPr="00E857DE">
              <w:rPr>
                <w:noProof/>
                <w:sz w:val="22"/>
                <w:szCs w:val="22"/>
              </w:rPr>
              <w:t>-0.191</w:t>
            </w:r>
          </w:p>
        </w:tc>
        <w:tc>
          <w:tcPr>
            <w:tcW w:w="459" w:type="pct"/>
            <w:shd w:val="clear" w:color="auto" w:fill="F2F2F2" w:themeFill="background1" w:themeFillShade="F2"/>
            <w:noWrap/>
          </w:tcPr>
          <w:p w14:paraId="76DFDFED" w14:textId="4219C3D5" w:rsidR="0017193A" w:rsidRPr="00E857DE" w:rsidRDefault="0017193A">
            <w:pPr>
              <w:pStyle w:val="Tabletext"/>
              <w:rPr>
                <w:noProof/>
                <w:sz w:val="22"/>
                <w:szCs w:val="22"/>
              </w:rPr>
            </w:pPr>
            <w:r w:rsidRPr="00E857DE">
              <w:rPr>
                <w:noProof/>
                <w:sz w:val="22"/>
                <w:szCs w:val="22"/>
              </w:rPr>
              <w:t>-0.137</w:t>
            </w:r>
          </w:p>
        </w:tc>
        <w:tc>
          <w:tcPr>
            <w:tcW w:w="459" w:type="pct"/>
            <w:shd w:val="clear" w:color="auto" w:fill="F2F2F2" w:themeFill="background1" w:themeFillShade="F2"/>
            <w:noWrap/>
          </w:tcPr>
          <w:p w14:paraId="059E843B" w14:textId="717AABA7" w:rsidR="0017193A" w:rsidRPr="00E857DE" w:rsidRDefault="0017193A">
            <w:pPr>
              <w:pStyle w:val="Tabletext"/>
              <w:rPr>
                <w:noProof/>
                <w:sz w:val="22"/>
                <w:szCs w:val="22"/>
              </w:rPr>
            </w:pPr>
            <w:r w:rsidRPr="00E857DE">
              <w:rPr>
                <w:noProof/>
                <w:sz w:val="22"/>
                <w:szCs w:val="22"/>
              </w:rPr>
              <w:t>-0.029</w:t>
            </w:r>
          </w:p>
        </w:tc>
        <w:tc>
          <w:tcPr>
            <w:tcW w:w="461" w:type="pct"/>
            <w:shd w:val="clear" w:color="auto" w:fill="F2F2F2" w:themeFill="background1" w:themeFillShade="F2"/>
            <w:noWrap/>
          </w:tcPr>
          <w:p w14:paraId="2D438C19" w14:textId="0A180761" w:rsidR="0017193A" w:rsidRPr="00E857DE" w:rsidRDefault="00192275">
            <w:pPr>
              <w:pStyle w:val="Tabletext"/>
              <w:rPr>
                <w:noProof/>
                <w:sz w:val="22"/>
                <w:szCs w:val="22"/>
              </w:rPr>
            </w:pPr>
            <w:r w:rsidRPr="00E857DE">
              <w:rPr>
                <w:noProof/>
                <w:sz w:val="22"/>
                <w:szCs w:val="22"/>
              </w:rPr>
              <w:t>-0.501</w:t>
            </w:r>
          </w:p>
        </w:tc>
        <w:tc>
          <w:tcPr>
            <w:tcW w:w="445" w:type="pct"/>
            <w:shd w:val="clear" w:color="auto" w:fill="F2F2F2" w:themeFill="background1" w:themeFillShade="F2"/>
            <w:noWrap/>
          </w:tcPr>
          <w:p w14:paraId="13626B8F" w14:textId="56DFC251" w:rsidR="0017193A" w:rsidRPr="00E857DE" w:rsidRDefault="00192275">
            <w:pPr>
              <w:pStyle w:val="Tabletext"/>
              <w:rPr>
                <w:noProof/>
                <w:sz w:val="22"/>
                <w:szCs w:val="22"/>
              </w:rPr>
            </w:pPr>
            <w:r w:rsidRPr="00E857DE">
              <w:rPr>
                <w:noProof/>
                <w:sz w:val="22"/>
                <w:szCs w:val="22"/>
              </w:rPr>
              <w:t>-0.438</w:t>
            </w:r>
          </w:p>
        </w:tc>
      </w:tr>
      <w:tr w:rsidR="00E857DE" w:rsidRPr="00B32ED5" w14:paraId="7912800A" w14:textId="77777777" w:rsidTr="00B05194">
        <w:trPr>
          <w:trHeight w:val="296"/>
        </w:trPr>
        <w:tc>
          <w:tcPr>
            <w:tcW w:w="493" w:type="pct"/>
            <w:shd w:val="clear" w:color="auto" w:fill="FFFFFF" w:themeFill="background1"/>
            <w:noWrap/>
          </w:tcPr>
          <w:p w14:paraId="3E26E1D7" w14:textId="77777777" w:rsidR="00E857DE" w:rsidRPr="00E34FDB" w:rsidRDefault="00E857DE" w:rsidP="00E857DE">
            <w:pPr>
              <w:pStyle w:val="Tabletext"/>
              <w:rPr>
                <w:b/>
                <w:noProof/>
                <w:sz w:val="22"/>
                <w:szCs w:val="22"/>
              </w:rPr>
            </w:pPr>
            <w:r w:rsidRPr="00E34FDB">
              <w:rPr>
                <w:b/>
                <w:noProof/>
                <w:sz w:val="22"/>
                <w:szCs w:val="22"/>
              </w:rPr>
              <w:t>PO1-A</w:t>
            </w:r>
          </w:p>
        </w:tc>
        <w:tc>
          <w:tcPr>
            <w:tcW w:w="380" w:type="pct"/>
            <w:shd w:val="clear" w:color="auto" w:fill="FFFFFF" w:themeFill="background1"/>
            <w:noWrap/>
          </w:tcPr>
          <w:p w14:paraId="74B2BADC" w14:textId="3E0CE91D" w:rsidR="00E857DE" w:rsidRPr="005D5936" w:rsidRDefault="00E857DE" w:rsidP="00E857DE">
            <w:pPr>
              <w:pStyle w:val="Tabletext"/>
              <w:rPr>
                <w:noProof/>
                <w:sz w:val="22"/>
                <w:szCs w:val="22"/>
              </w:rPr>
            </w:pPr>
            <w:r w:rsidRPr="005D5936">
              <w:rPr>
                <w:noProof/>
                <w:sz w:val="22"/>
                <w:szCs w:val="22"/>
              </w:rPr>
              <w:t>-0.142</w:t>
            </w:r>
          </w:p>
        </w:tc>
        <w:tc>
          <w:tcPr>
            <w:tcW w:w="468" w:type="pct"/>
            <w:shd w:val="clear" w:color="auto" w:fill="FFFFFF" w:themeFill="background1"/>
            <w:noWrap/>
          </w:tcPr>
          <w:p w14:paraId="07B78E40" w14:textId="1057C266" w:rsidR="00E857DE" w:rsidRPr="005D5936" w:rsidRDefault="00E857DE" w:rsidP="00E857DE">
            <w:pPr>
              <w:pStyle w:val="Tabletext"/>
              <w:rPr>
                <w:noProof/>
                <w:sz w:val="22"/>
                <w:szCs w:val="22"/>
              </w:rPr>
            </w:pPr>
            <w:r w:rsidRPr="005D5936">
              <w:rPr>
                <w:noProof/>
                <w:sz w:val="22"/>
                <w:szCs w:val="22"/>
              </w:rPr>
              <w:t>-0.164</w:t>
            </w:r>
          </w:p>
        </w:tc>
        <w:tc>
          <w:tcPr>
            <w:tcW w:w="459" w:type="pct"/>
            <w:shd w:val="clear" w:color="auto" w:fill="FFFFFF" w:themeFill="background1"/>
            <w:noWrap/>
          </w:tcPr>
          <w:p w14:paraId="27D8D856" w14:textId="11C973C3" w:rsidR="00E857DE" w:rsidRPr="005D5936" w:rsidRDefault="00E857DE" w:rsidP="00E857DE">
            <w:pPr>
              <w:pStyle w:val="Tabletext"/>
              <w:rPr>
                <w:noProof/>
                <w:sz w:val="22"/>
                <w:szCs w:val="22"/>
              </w:rPr>
            </w:pPr>
            <w:r w:rsidRPr="005D5936" w:rsidDel="001B6FB8">
              <w:rPr>
                <w:noProof/>
                <w:sz w:val="22"/>
                <w:szCs w:val="22"/>
              </w:rPr>
              <w:t>0.298</w:t>
            </w:r>
          </w:p>
        </w:tc>
        <w:tc>
          <w:tcPr>
            <w:tcW w:w="459" w:type="pct"/>
            <w:shd w:val="clear" w:color="auto" w:fill="FFFFFF" w:themeFill="background1"/>
            <w:noWrap/>
          </w:tcPr>
          <w:p w14:paraId="44F01FBA" w14:textId="786AB5DC" w:rsidR="00E857DE" w:rsidRPr="005D5936" w:rsidRDefault="00E857DE" w:rsidP="00E857DE">
            <w:pPr>
              <w:pStyle w:val="Tabletext"/>
              <w:rPr>
                <w:noProof/>
                <w:sz w:val="22"/>
                <w:szCs w:val="22"/>
              </w:rPr>
            </w:pPr>
            <w:r w:rsidRPr="005D5936" w:rsidDel="001B6FB8">
              <w:rPr>
                <w:noProof/>
                <w:sz w:val="22"/>
                <w:szCs w:val="22"/>
              </w:rPr>
              <w:t>0.509</w:t>
            </w:r>
          </w:p>
        </w:tc>
        <w:tc>
          <w:tcPr>
            <w:tcW w:w="459" w:type="pct"/>
            <w:shd w:val="clear" w:color="auto" w:fill="FFFFFF" w:themeFill="background1"/>
            <w:noWrap/>
          </w:tcPr>
          <w:p w14:paraId="4AFDFD29" w14:textId="30CFB7B4" w:rsidR="00E857DE" w:rsidRPr="005D5936" w:rsidRDefault="00E857DE" w:rsidP="00E857DE">
            <w:pPr>
              <w:pStyle w:val="Tabletext"/>
              <w:rPr>
                <w:noProof/>
                <w:sz w:val="22"/>
                <w:szCs w:val="22"/>
              </w:rPr>
            </w:pPr>
            <w:r w:rsidRPr="005D5936" w:rsidDel="001B6FB8">
              <w:rPr>
                <w:noProof/>
                <w:sz w:val="22"/>
                <w:szCs w:val="22"/>
              </w:rPr>
              <w:t>0.089</w:t>
            </w:r>
          </w:p>
        </w:tc>
        <w:tc>
          <w:tcPr>
            <w:tcW w:w="459" w:type="pct"/>
            <w:shd w:val="clear" w:color="auto" w:fill="FFFFFF" w:themeFill="background1"/>
            <w:noWrap/>
          </w:tcPr>
          <w:p w14:paraId="0CE5D887" w14:textId="2BC734C1" w:rsidR="00E857DE" w:rsidRPr="005D5936" w:rsidRDefault="00E857DE" w:rsidP="00E857DE">
            <w:pPr>
              <w:pStyle w:val="Tabletext"/>
              <w:rPr>
                <w:noProof/>
                <w:sz w:val="22"/>
                <w:szCs w:val="22"/>
              </w:rPr>
            </w:pPr>
            <w:r w:rsidRPr="005D5936" w:rsidDel="001B6FB8">
              <w:rPr>
                <w:noProof/>
                <w:sz w:val="22"/>
                <w:szCs w:val="22"/>
              </w:rPr>
              <w:t>0.002</w:t>
            </w:r>
          </w:p>
        </w:tc>
        <w:tc>
          <w:tcPr>
            <w:tcW w:w="459" w:type="pct"/>
            <w:shd w:val="clear" w:color="auto" w:fill="FFFFFF" w:themeFill="background1"/>
            <w:noWrap/>
          </w:tcPr>
          <w:p w14:paraId="68B06338" w14:textId="143FAB14" w:rsidR="00E857DE" w:rsidRPr="005D5936" w:rsidRDefault="00E857DE" w:rsidP="00E857DE">
            <w:pPr>
              <w:pStyle w:val="Tabletext"/>
              <w:rPr>
                <w:noProof/>
                <w:sz w:val="22"/>
                <w:szCs w:val="22"/>
              </w:rPr>
            </w:pPr>
            <w:r w:rsidRPr="005D5936" w:rsidDel="001B6FB8">
              <w:rPr>
                <w:noProof/>
                <w:sz w:val="22"/>
                <w:szCs w:val="22"/>
              </w:rPr>
              <w:t>0.260</w:t>
            </w:r>
          </w:p>
        </w:tc>
        <w:tc>
          <w:tcPr>
            <w:tcW w:w="459" w:type="pct"/>
            <w:shd w:val="clear" w:color="auto" w:fill="FFFFFF" w:themeFill="background1"/>
            <w:noWrap/>
          </w:tcPr>
          <w:p w14:paraId="51DB53AE" w14:textId="6992E55F" w:rsidR="00E857DE" w:rsidRPr="005D5936" w:rsidRDefault="00E857DE" w:rsidP="00E857DE">
            <w:pPr>
              <w:pStyle w:val="Tabletext"/>
              <w:rPr>
                <w:noProof/>
                <w:sz w:val="22"/>
                <w:szCs w:val="22"/>
              </w:rPr>
            </w:pPr>
            <w:r w:rsidRPr="005D5936" w:rsidDel="001B6FB8">
              <w:rPr>
                <w:noProof/>
                <w:sz w:val="22"/>
                <w:szCs w:val="22"/>
              </w:rPr>
              <w:t>0.052</w:t>
            </w:r>
          </w:p>
        </w:tc>
        <w:tc>
          <w:tcPr>
            <w:tcW w:w="461" w:type="pct"/>
            <w:shd w:val="clear" w:color="auto" w:fill="FFFFFF" w:themeFill="background1"/>
            <w:noWrap/>
          </w:tcPr>
          <w:p w14:paraId="6626091C" w14:textId="437655D0" w:rsidR="00E857DE" w:rsidRPr="005D5936" w:rsidRDefault="00E857DE" w:rsidP="00E857DE">
            <w:pPr>
              <w:pStyle w:val="Tabletext"/>
              <w:rPr>
                <w:noProof/>
                <w:sz w:val="22"/>
                <w:szCs w:val="22"/>
              </w:rPr>
            </w:pPr>
            <w:r w:rsidRPr="005D5936">
              <w:rPr>
                <w:noProof/>
                <w:sz w:val="22"/>
                <w:szCs w:val="22"/>
              </w:rPr>
              <w:t>0.505</w:t>
            </w:r>
          </w:p>
        </w:tc>
        <w:tc>
          <w:tcPr>
            <w:tcW w:w="445" w:type="pct"/>
            <w:shd w:val="clear" w:color="auto" w:fill="FFFFFF" w:themeFill="background1"/>
            <w:noWrap/>
          </w:tcPr>
          <w:p w14:paraId="5C385B46" w14:textId="2DC6E069" w:rsidR="00E857DE" w:rsidRPr="005D5936" w:rsidRDefault="00E857DE" w:rsidP="00E857DE">
            <w:pPr>
              <w:pStyle w:val="Tabletext"/>
              <w:rPr>
                <w:noProof/>
                <w:sz w:val="22"/>
                <w:szCs w:val="22"/>
              </w:rPr>
            </w:pPr>
            <w:r w:rsidRPr="005D5936">
              <w:rPr>
                <w:noProof/>
                <w:sz w:val="22"/>
                <w:szCs w:val="22"/>
              </w:rPr>
              <w:t>0.399</w:t>
            </w:r>
          </w:p>
        </w:tc>
      </w:tr>
      <w:tr w:rsidR="00E857DE" w:rsidRPr="00B32ED5" w14:paraId="56044F53" w14:textId="77777777" w:rsidTr="00B05194">
        <w:trPr>
          <w:trHeight w:val="296"/>
        </w:trPr>
        <w:tc>
          <w:tcPr>
            <w:tcW w:w="493" w:type="pct"/>
            <w:shd w:val="clear" w:color="auto" w:fill="FFFFFF" w:themeFill="background1"/>
            <w:noWrap/>
          </w:tcPr>
          <w:p w14:paraId="55C70A40" w14:textId="77777777" w:rsidR="00E857DE" w:rsidRPr="00E34FDB" w:rsidRDefault="00E857DE" w:rsidP="00E857DE">
            <w:pPr>
              <w:pStyle w:val="Tabletext"/>
              <w:rPr>
                <w:b/>
                <w:noProof/>
                <w:sz w:val="22"/>
                <w:szCs w:val="22"/>
              </w:rPr>
            </w:pPr>
            <w:r w:rsidRPr="00E34FDB">
              <w:rPr>
                <w:b/>
                <w:noProof/>
                <w:sz w:val="22"/>
                <w:szCs w:val="22"/>
              </w:rPr>
              <w:t>PO1-B</w:t>
            </w:r>
          </w:p>
        </w:tc>
        <w:tc>
          <w:tcPr>
            <w:tcW w:w="380" w:type="pct"/>
            <w:shd w:val="clear" w:color="auto" w:fill="FFFFFF" w:themeFill="background1"/>
            <w:noWrap/>
          </w:tcPr>
          <w:p w14:paraId="4FE11496" w14:textId="419BD970" w:rsidR="00E857DE" w:rsidRPr="005D5936" w:rsidRDefault="00E857DE" w:rsidP="00E857DE">
            <w:pPr>
              <w:pStyle w:val="Tabletext"/>
              <w:rPr>
                <w:noProof/>
                <w:sz w:val="22"/>
                <w:szCs w:val="22"/>
              </w:rPr>
            </w:pPr>
            <w:r w:rsidRPr="005D5936">
              <w:rPr>
                <w:noProof/>
                <w:sz w:val="22"/>
                <w:szCs w:val="22"/>
              </w:rPr>
              <w:t>0.046</w:t>
            </w:r>
          </w:p>
        </w:tc>
        <w:tc>
          <w:tcPr>
            <w:tcW w:w="468" w:type="pct"/>
            <w:shd w:val="clear" w:color="auto" w:fill="FFFFFF" w:themeFill="background1"/>
            <w:noWrap/>
          </w:tcPr>
          <w:p w14:paraId="08DFA872" w14:textId="12F1677F" w:rsidR="00E857DE" w:rsidRPr="005D5936" w:rsidRDefault="00E857DE" w:rsidP="00E857DE">
            <w:pPr>
              <w:pStyle w:val="Tabletext"/>
              <w:rPr>
                <w:noProof/>
                <w:sz w:val="22"/>
                <w:szCs w:val="22"/>
              </w:rPr>
            </w:pPr>
            <w:r w:rsidRPr="005D5936">
              <w:rPr>
                <w:noProof/>
                <w:sz w:val="22"/>
                <w:szCs w:val="22"/>
              </w:rPr>
              <w:t>0.219</w:t>
            </w:r>
          </w:p>
        </w:tc>
        <w:tc>
          <w:tcPr>
            <w:tcW w:w="459" w:type="pct"/>
            <w:shd w:val="clear" w:color="auto" w:fill="FFFFFF" w:themeFill="background1"/>
            <w:noWrap/>
          </w:tcPr>
          <w:p w14:paraId="074DCAC0" w14:textId="521C2364" w:rsidR="00E857DE" w:rsidRPr="005D5936" w:rsidRDefault="00E857DE" w:rsidP="00E857DE">
            <w:pPr>
              <w:pStyle w:val="Tabletext"/>
              <w:rPr>
                <w:noProof/>
                <w:sz w:val="22"/>
                <w:szCs w:val="22"/>
              </w:rPr>
            </w:pPr>
            <w:r w:rsidRPr="005D5936" w:rsidDel="001B6FB8">
              <w:rPr>
                <w:noProof/>
                <w:sz w:val="22"/>
                <w:szCs w:val="22"/>
              </w:rPr>
              <w:t>0.342</w:t>
            </w:r>
          </w:p>
        </w:tc>
        <w:tc>
          <w:tcPr>
            <w:tcW w:w="459" w:type="pct"/>
            <w:shd w:val="clear" w:color="auto" w:fill="FFFFFF" w:themeFill="background1"/>
            <w:noWrap/>
          </w:tcPr>
          <w:p w14:paraId="4E67D71B" w14:textId="1C868C45" w:rsidR="00E857DE" w:rsidRPr="005D5936" w:rsidRDefault="00E857DE" w:rsidP="00E857DE">
            <w:pPr>
              <w:pStyle w:val="Tabletext"/>
              <w:rPr>
                <w:noProof/>
                <w:sz w:val="22"/>
                <w:szCs w:val="22"/>
              </w:rPr>
            </w:pPr>
            <w:r w:rsidRPr="005D5936" w:rsidDel="001B6FB8">
              <w:rPr>
                <w:noProof/>
                <w:sz w:val="22"/>
                <w:szCs w:val="22"/>
              </w:rPr>
              <w:t>0.609</w:t>
            </w:r>
          </w:p>
        </w:tc>
        <w:tc>
          <w:tcPr>
            <w:tcW w:w="459" w:type="pct"/>
            <w:shd w:val="clear" w:color="auto" w:fill="FFFFFF" w:themeFill="background1"/>
            <w:noWrap/>
          </w:tcPr>
          <w:p w14:paraId="00B3F8DC" w14:textId="70BFFDD8" w:rsidR="00E857DE" w:rsidRPr="005D5936" w:rsidRDefault="00E857DE" w:rsidP="00E857DE">
            <w:pPr>
              <w:pStyle w:val="Tabletext"/>
              <w:rPr>
                <w:noProof/>
                <w:sz w:val="22"/>
                <w:szCs w:val="22"/>
              </w:rPr>
            </w:pPr>
            <w:r w:rsidRPr="005D5936" w:rsidDel="001B6FB8">
              <w:rPr>
                <w:noProof/>
                <w:sz w:val="22"/>
                <w:szCs w:val="22"/>
              </w:rPr>
              <w:t>0.087</w:t>
            </w:r>
          </w:p>
        </w:tc>
        <w:tc>
          <w:tcPr>
            <w:tcW w:w="459" w:type="pct"/>
            <w:shd w:val="clear" w:color="auto" w:fill="FFFFFF" w:themeFill="background1"/>
            <w:noWrap/>
          </w:tcPr>
          <w:p w14:paraId="135EBF6E" w14:textId="107A2BF3" w:rsidR="00E857DE" w:rsidRPr="005D5936" w:rsidRDefault="00E857DE" w:rsidP="00E857DE">
            <w:pPr>
              <w:pStyle w:val="Tabletext"/>
              <w:rPr>
                <w:noProof/>
                <w:sz w:val="22"/>
                <w:szCs w:val="22"/>
              </w:rPr>
            </w:pPr>
            <w:r w:rsidRPr="005D5936" w:rsidDel="001B6FB8">
              <w:rPr>
                <w:noProof/>
                <w:sz w:val="22"/>
                <w:szCs w:val="22"/>
              </w:rPr>
              <w:t>-0.039</w:t>
            </w:r>
          </w:p>
        </w:tc>
        <w:tc>
          <w:tcPr>
            <w:tcW w:w="459" w:type="pct"/>
            <w:shd w:val="clear" w:color="auto" w:fill="FFFFFF" w:themeFill="background1"/>
            <w:noWrap/>
          </w:tcPr>
          <w:p w14:paraId="34E29895" w14:textId="39F4D315" w:rsidR="00E857DE" w:rsidRPr="005D5936" w:rsidRDefault="00E857DE" w:rsidP="00E857DE">
            <w:pPr>
              <w:pStyle w:val="Tabletext"/>
              <w:rPr>
                <w:noProof/>
                <w:sz w:val="22"/>
                <w:szCs w:val="22"/>
              </w:rPr>
            </w:pPr>
            <w:r w:rsidRPr="005D5936" w:rsidDel="001B6FB8">
              <w:rPr>
                <w:noProof/>
                <w:sz w:val="22"/>
                <w:szCs w:val="22"/>
              </w:rPr>
              <w:t>0.292</w:t>
            </w:r>
          </w:p>
        </w:tc>
        <w:tc>
          <w:tcPr>
            <w:tcW w:w="459" w:type="pct"/>
            <w:shd w:val="clear" w:color="auto" w:fill="FFFFFF" w:themeFill="background1"/>
            <w:noWrap/>
          </w:tcPr>
          <w:p w14:paraId="74046541" w14:textId="0052A340" w:rsidR="00E857DE" w:rsidRPr="005D5936" w:rsidRDefault="00E857DE" w:rsidP="00E857DE">
            <w:pPr>
              <w:pStyle w:val="Tabletext"/>
              <w:rPr>
                <w:noProof/>
                <w:sz w:val="22"/>
                <w:szCs w:val="22"/>
              </w:rPr>
            </w:pPr>
            <w:r w:rsidRPr="005D5936" w:rsidDel="001B6FB8">
              <w:rPr>
                <w:noProof/>
                <w:sz w:val="22"/>
                <w:szCs w:val="22"/>
              </w:rPr>
              <w:t>0.059</w:t>
            </w:r>
          </w:p>
        </w:tc>
        <w:tc>
          <w:tcPr>
            <w:tcW w:w="461" w:type="pct"/>
            <w:shd w:val="clear" w:color="auto" w:fill="FFFFFF" w:themeFill="background1"/>
            <w:noWrap/>
          </w:tcPr>
          <w:p w14:paraId="67AD5DFE" w14:textId="09545217" w:rsidR="00E857DE" w:rsidRPr="005D5936" w:rsidRDefault="00E857DE" w:rsidP="00E857DE">
            <w:pPr>
              <w:pStyle w:val="Tabletext"/>
              <w:rPr>
                <w:noProof/>
                <w:sz w:val="22"/>
                <w:szCs w:val="22"/>
              </w:rPr>
            </w:pPr>
            <w:r w:rsidRPr="005D5936">
              <w:rPr>
                <w:noProof/>
                <w:sz w:val="22"/>
                <w:szCs w:val="22"/>
              </w:rPr>
              <w:t>0.</w:t>
            </w:r>
            <w:r w:rsidR="003A3016" w:rsidRPr="005D5936">
              <w:rPr>
                <w:noProof/>
                <w:sz w:val="22"/>
                <w:szCs w:val="22"/>
              </w:rPr>
              <w:t>76</w:t>
            </w:r>
            <w:r w:rsidR="003A3016">
              <w:rPr>
                <w:noProof/>
                <w:sz w:val="22"/>
                <w:szCs w:val="22"/>
              </w:rPr>
              <w:t>7</w:t>
            </w:r>
          </w:p>
        </w:tc>
        <w:tc>
          <w:tcPr>
            <w:tcW w:w="445" w:type="pct"/>
            <w:shd w:val="clear" w:color="auto" w:fill="FFFFFF" w:themeFill="background1"/>
            <w:noWrap/>
          </w:tcPr>
          <w:p w14:paraId="00FBC6BF" w14:textId="02DDF1A2" w:rsidR="00E857DE" w:rsidRPr="005D5936" w:rsidRDefault="00E857DE" w:rsidP="00E857DE">
            <w:pPr>
              <w:pStyle w:val="Tabletext"/>
              <w:rPr>
                <w:noProof/>
                <w:sz w:val="22"/>
                <w:szCs w:val="22"/>
              </w:rPr>
            </w:pPr>
            <w:r w:rsidRPr="005D5936">
              <w:rPr>
                <w:noProof/>
                <w:sz w:val="22"/>
                <w:szCs w:val="22"/>
              </w:rPr>
              <w:t>0.</w:t>
            </w:r>
            <w:r w:rsidR="003A3016" w:rsidRPr="005D5936">
              <w:rPr>
                <w:noProof/>
                <w:sz w:val="22"/>
                <w:szCs w:val="22"/>
              </w:rPr>
              <w:t>84</w:t>
            </w:r>
            <w:r w:rsidR="003A3016">
              <w:rPr>
                <w:noProof/>
                <w:sz w:val="22"/>
                <w:szCs w:val="22"/>
              </w:rPr>
              <w:t>8</w:t>
            </w:r>
          </w:p>
        </w:tc>
      </w:tr>
      <w:tr w:rsidR="00E857DE" w:rsidRPr="00B32ED5" w14:paraId="1F689381" w14:textId="77777777" w:rsidTr="00B05194">
        <w:trPr>
          <w:trHeight w:val="296"/>
        </w:trPr>
        <w:tc>
          <w:tcPr>
            <w:tcW w:w="493" w:type="pct"/>
            <w:shd w:val="clear" w:color="auto" w:fill="FFFFFF" w:themeFill="background1"/>
            <w:noWrap/>
          </w:tcPr>
          <w:p w14:paraId="7E63F6FF" w14:textId="77777777" w:rsidR="00E857DE" w:rsidRPr="00E34FDB" w:rsidRDefault="00E857DE" w:rsidP="00E857DE">
            <w:pPr>
              <w:pStyle w:val="Tabletext"/>
              <w:rPr>
                <w:b/>
                <w:noProof/>
                <w:sz w:val="22"/>
                <w:szCs w:val="22"/>
              </w:rPr>
            </w:pPr>
            <w:r w:rsidRPr="00E34FDB">
              <w:rPr>
                <w:b/>
                <w:noProof/>
                <w:sz w:val="22"/>
                <w:szCs w:val="22"/>
              </w:rPr>
              <w:t>PO1-C</w:t>
            </w:r>
          </w:p>
        </w:tc>
        <w:tc>
          <w:tcPr>
            <w:tcW w:w="380" w:type="pct"/>
            <w:shd w:val="clear" w:color="auto" w:fill="FFFFFF" w:themeFill="background1"/>
            <w:noWrap/>
          </w:tcPr>
          <w:p w14:paraId="5C0783C1" w14:textId="178B8CF3" w:rsidR="00E857DE" w:rsidRPr="005D5936" w:rsidRDefault="00E857DE" w:rsidP="00E857DE">
            <w:pPr>
              <w:pStyle w:val="Tabletext"/>
              <w:rPr>
                <w:noProof/>
                <w:sz w:val="22"/>
                <w:szCs w:val="22"/>
              </w:rPr>
            </w:pPr>
            <w:r w:rsidRPr="005D5936">
              <w:rPr>
                <w:noProof/>
                <w:sz w:val="22"/>
                <w:szCs w:val="22"/>
              </w:rPr>
              <w:t>-0.</w:t>
            </w:r>
            <w:r w:rsidR="00832D5B" w:rsidRPr="005D5936">
              <w:rPr>
                <w:noProof/>
                <w:sz w:val="22"/>
                <w:szCs w:val="22"/>
              </w:rPr>
              <w:t>0</w:t>
            </w:r>
            <w:r w:rsidR="00832D5B">
              <w:rPr>
                <w:noProof/>
                <w:sz w:val="22"/>
                <w:szCs w:val="22"/>
              </w:rPr>
              <w:t>63</w:t>
            </w:r>
          </w:p>
        </w:tc>
        <w:tc>
          <w:tcPr>
            <w:tcW w:w="468" w:type="pct"/>
            <w:shd w:val="clear" w:color="auto" w:fill="FFFFFF" w:themeFill="background1"/>
            <w:noWrap/>
          </w:tcPr>
          <w:p w14:paraId="27566B57" w14:textId="5FAB097D" w:rsidR="00E857DE" w:rsidRPr="005D5936" w:rsidRDefault="00E857DE" w:rsidP="00E857DE">
            <w:pPr>
              <w:pStyle w:val="Tabletext"/>
              <w:rPr>
                <w:noProof/>
                <w:sz w:val="22"/>
                <w:szCs w:val="22"/>
              </w:rPr>
            </w:pPr>
            <w:r w:rsidRPr="005D5936">
              <w:rPr>
                <w:noProof/>
                <w:sz w:val="22"/>
                <w:szCs w:val="22"/>
              </w:rPr>
              <w:t>0.</w:t>
            </w:r>
            <w:r w:rsidR="00A316C4" w:rsidRPr="005D5936">
              <w:rPr>
                <w:noProof/>
                <w:sz w:val="22"/>
                <w:szCs w:val="22"/>
              </w:rPr>
              <w:t>0</w:t>
            </w:r>
            <w:r w:rsidR="00A316C4">
              <w:rPr>
                <w:noProof/>
                <w:sz w:val="22"/>
                <w:szCs w:val="22"/>
              </w:rPr>
              <w:t>48</w:t>
            </w:r>
          </w:p>
        </w:tc>
        <w:tc>
          <w:tcPr>
            <w:tcW w:w="459" w:type="pct"/>
            <w:shd w:val="clear" w:color="auto" w:fill="FFFFFF" w:themeFill="background1"/>
            <w:noWrap/>
          </w:tcPr>
          <w:p w14:paraId="3960B57C" w14:textId="05526022" w:rsidR="00E857DE" w:rsidRPr="005D5936" w:rsidRDefault="00E857DE" w:rsidP="00E857DE">
            <w:pPr>
              <w:pStyle w:val="Tabletext"/>
              <w:rPr>
                <w:noProof/>
                <w:sz w:val="22"/>
                <w:szCs w:val="22"/>
              </w:rPr>
            </w:pPr>
            <w:r w:rsidRPr="005D5936" w:rsidDel="001B6FB8">
              <w:rPr>
                <w:noProof/>
                <w:sz w:val="22"/>
                <w:szCs w:val="22"/>
              </w:rPr>
              <w:t>0.340</w:t>
            </w:r>
          </w:p>
        </w:tc>
        <w:tc>
          <w:tcPr>
            <w:tcW w:w="459" w:type="pct"/>
            <w:shd w:val="clear" w:color="auto" w:fill="FFFFFF" w:themeFill="background1"/>
            <w:noWrap/>
          </w:tcPr>
          <w:p w14:paraId="4E1F1775" w14:textId="443EAA41" w:rsidR="00E857DE" w:rsidRPr="005D5936" w:rsidRDefault="00E857DE" w:rsidP="00E857DE">
            <w:pPr>
              <w:pStyle w:val="Tabletext"/>
              <w:rPr>
                <w:noProof/>
                <w:sz w:val="22"/>
                <w:szCs w:val="22"/>
              </w:rPr>
            </w:pPr>
            <w:r w:rsidRPr="005D5936" w:rsidDel="001B6FB8">
              <w:rPr>
                <w:noProof/>
                <w:sz w:val="22"/>
                <w:szCs w:val="22"/>
              </w:rPr>
              <w:t>0.576</w:t>
            </w:r>
          </w:p>
        </w:tc>
        <w:tc>
          <w:tcPr>
            <w:tcW w:w="459" w:type="pct"/>
            <w:shd w:val="clear" w:color="auto" w:fill="FFFFFF" w:themeFill="background1"/>
            <w:noWrap/>
          </w:tcPr>
          <w:p w14:paraId="19D3D34D" w14:textId="33165868" w:rsidR="00E857DE" w:rsidRPr="005D5936" w:rsidRDefault="00E857DE" w:rsidP="00E857DE">
            <w:pPr>
              <w:pStyle w:val="Tabletext"/>
              <w:rPr>
                <w:noProof/>
                <w:sz w:val="22"/>
                <w:szCs w:val="22"/>
              </w:rPr>
            </w:pPr>
            <w:r w:rsidRPr="005D5936" w:rsidDel="001B6FB8">
              <w:rPr>
                <w:noProof/>
                <w:sz w:val="22"/>
                <w:szCs w:val="22"/>
              </w:rPr>
              <w:t>0.109</w:t>
            </w:r>
          </w:p>
        </w:tc>
        <w:tc>
          <w:tcPr>
            <w:tcW w:w="459" w:type="pct"/>
            <w:shd w:val="clear" w:color="auto" w:fill="FFFFFF" w:themeFill="background1"/>
            <w:noWrap/>
          </w:tcPr>
          <w:p w14:paraId="6E5DE4BF" w14:textId="7B4A4A9F" w:rsidR="00E857DE" w:rsidRPr="005D5936" w:rsidRDefault="00E857DE" w:rsidP="00E857DE">
            <w:pPr>
              <w:pStyle w:val="Tabletext"/>
              <w:rPr>
                <w:noProof/>
                <w:sz w:val="22"/>
                <w:szCs w:val="22"/>
              </w:rPr>
            </w:pPr>
            <w:r w:rsidRPr="005D5936" w:rsidDel="001B6FB8">
              <w:rPr>
                <w:noProof/>
                <w:sz w:val="22"/>
                <w:szCs w:val="22"/>
              </w:rPr>
              <w:t>-0.008</w:t>
            </w:r>
          </w:p>
        </w:tc>
        <w:tc>
          <w:tcPr>
            <w:tcW w:w="459" w:type="pct"/>
            <w:shd w:val="clear" w:color="auto" w:fill="FFFFFF" w:themeFill="background1"/>
            <w:noWrap/>
          </w:tcPr>
          <w:p w14:paraId="231D60EF" w14:textId="6C1DA27B" w:rsidR="00E857DE" w:rsidRPr="005D5936" w:rsidRDefault="00E857DE" w:rsidP="00E857DE">
            <w:pPr>
              <w:pStyle w:val="Tabletext"/>
              <w:rPr>
                <w:noProof/>
                <w:sz w:val="22"/>
                <w:szCs w:val="22"/>
              </w:rPr>
            </w:pPr>
            <w:r w:rsidRPr="005D5936" w:rsidDel="001B6FB8">
              <w:rPr>
                <w:noProof/>
                <w:sz w:val="22"/>
                <w:szCs w:val="22"/>
              </w:rPr>
              <w:t>0.269</w:t>
            </w:r>
          </w:p>
        </w:tc>
        <w:tc>
          <w:tcPr>
            <w:tcW w:w="459" w:type="pct"/>
            <w:shd w:val="clear" w:color="auto" w:fill="FFFFFF" w:themeFill="background1"/>
            <w:noWrap/>
          </w:tcPr>
          <w:p w14:paraId="391C79E1" w14:textId="47EF381A" w:rsidR="00E857DE" w:rsidRPr="005D5936" w:rsidRDefault="00E857DE" w:rsidP="00E857DE">
            <w:pPr>
              <w:pStyle w:val="Tabletext"/>
              <w:rPr>
                <w:noProof/>
                <w:sz w:val="22"/>
                <w:szCs w:val="22"/>
              </w:rPr>
            </w:pPr>
            <w:r w:rsidRPr="005D5936" w:rsidDel="001B6FB8">
              <w:rPr>
                <w:noProof/>
                <w:sz w:val="22"/>
                <w:szCs w:val="22"/>
              </w:rPr>
              <w:t>0.054</w:t>
            </w:r>
          </w:p>
        </w:tc>
        <w:tc>
          <w:tcPr>
            <w:tcW w:w="461" w:type="pct"/>
            <w:shd w:val="clear" w:color="auto" w:fill="FFFFFF" w:themeFill="background1"/>
            <w:noWrap/>
          </w:tcPr>
          <w:p w14:paraId="147C8A67" w14:textId="3F97EEA1" w:rsidR="00E857DE" w:rsidRPr="005D5936" w:rsidRDefault="00E857DE" w:rsidP="00E857DE">
            <w:pPr>
              <w:pStyle w:val="Tabletext"/>
              <w:rPr>
                <w:noProof/>
                <w:sz w:val="22"/>
                <w:szCs w:val="22"/>
              </w:rPr>
            </w:pPr>
            <w:r w:rsidRPr="005D5936">
              <w:rPr>
                <w:noProof/>
                <w:sz w:val="22"/>
                <w:szCs w:val="22"/>
              </w:rPr>
              <w:t>0.</w:t>
            </w:r>
            <w:r w:rsidR="003A3016" w:rsidRPr="005D5936">
              <w:rPr>
                <w:noProof/>
                <w:sz w:val="22"/>
                <w:szCs w:val="22"/>
              </w:rPr>
              <w:t>6</w:t>
            </w:r>
            <w:r w:rsidR="003A3016">
              <w:rPr>
                <w:noProof/>
                <w:sz w:val="22"/>
                <w:szCs w:val="22"/>
              </w:rPr>
              <w:t>54</w:t>
            </w:r>
          </w:p>
        </w:tc>
        <w:tc>
          <w:tcPr>
            <w:tcW w:w="445" w:type="pct"/>
            <w:shd w:val="clear" w:color="auto" w:fill="FFFFFF" w:themeFill="background1"/>
            <w:noWrap/>
          </w:tcPr>
          <w:p w14:paraId="08D646D8" w14:textId="42AA77BF" w:rsidR="00E857DE" w:rsidRPr="005D5936" w:rsidRDefault="00E857DE" w:rsidP="00E857DE">
            <w:pPr>
              <w:pStyle w:val="Tabletext"/>
              <w:rPr>
                <w:noProof/>
                <w:sz w:val="22"/>
                <w:szCs w:val="22"/>
              </w:rPr>
            </w:pPr>
            <w:r w:rsidRPr="005D5936">
              <w:rPr>
                <w:noProof/>
                <w:sz w:val="22"/>
                <w:szCs w:val="22"/>
              </w:rPr>
              <w:t>0.</w:t>
            </w:r>
            <w:r w:rsidR="003A3016">
              <w:rPr>
                <w:noProof/>
                <w:sz w:val="22"/>
                <w:szCs w:val="22"/>
              </w:rPr>
              <w:t>670</w:t>
            </w:r>
          </w:p>
        </w:tc>
      </w:tr>
      <w:tr w:rsidR="00192275" w:rsidRPr="00B32ED5" w14:paraId="352FBE43" w14:textId="77777777" w:rsidTr="00B05194">
        <w:trPr>
          <w:trHeight w:val="296"/>
        </w:trPr>
        <w:tc>
          <w:tcPr>
            <w:tcW w:w="5000" w:type="pct"/>
            <w:gridSpan w:val="11"/>
            <w:shd w:val="clear" w:color="auto" w:fill="DBE5F1" w:themeFill="accent1" w:themeFillTint="33"/>
            <w:noWrap/>
          </w:tcPr>
          <w:p w14:paraId="6542226E" w14:textId="7C8EABE2" w:rsidR="00192275" w:rsidRPr="008D0BAC" w:rsidRDefault="00192275" w:rsidP="008D0BAC">
            <w:pPr>
              <w:pStyle w:val="Tabletext"/>
              <w:jc w:val="center"/>
              <w:rPr>
                <w:b/>
                <w:noProof/>
                <w:sz w:val="22"/>
                <w:szCs w:val="22"/>
              </w:rPr>
            </w:pPr>
            <w:r w:rsidRPr="008D0BAC">
              <w:rPr>
                <w:b/>
                <w:noProof/>
                <w:sz w:val="22"/>
                <w:szCs w:val="22"/>
              </w:rPr>
              <w:t>SMEs</w:t>
            </w:r>
          </w:p>
        </w:tc>
      </w:tr>
      <w:tr w:rsidR="00192275" w:rsidRPr="00B32ED5" w14:paraId="7FCA36A8" w14:textId="77777777" w:rsidTr="00B05194">
        <w:trPr>
          <w:trHeight w:val="296"/>
        </w:trPr>
        <w:tc>
          <w:tcPr>
            <w:tcW w:w="493" w:type="pct"/>
            <w:shd w:val="clear" w:color="auto" w:fill="FFFFFF" w:themeFill="background1"/>
            <w:noWrap/>
          </w:tcPr>
          <w:p w14:paraId="03A2E430" w14:textId="266B4D5B" w:rsidR="00192275" w:rsidRPr="00E34FDB" w:rsidRDefault="00192275" w:rsidP="00192275">
            <w:pPr>
              <w:pStyle w:val="Tabletext"/>
              <w:rPr>
                <w:b/>
                <w:noProof/>
                <w:sz w:val="22"/>
                <w:szCs w:val="22"/>
              </w:rPr>
            </w:pPr>
            <w:r w:rsidRPr="00E34FDB">
              <w:rPr>
                <w:b/>
                <w:noProof/>
                <w:sz w:val="22"/>
                <w:szCs w:val="22"/>
              </w:rPr>
              <w:t>Option</w:t>
            </w:r>
          </w:p>
        </w:tc>
        <w:tc>
          <w:tcPr>
            <w:tcW w:w="380" w:type="pct"/>
            <w:shd w:val="clear" w:color="auto" w:fill="FFFFFF" w:themeFill="background1"/>
            <w:noWrap/>
          </w:tcPr>
          <w:p w14:paraId="1B18C2BB" w14:textId="7D836CFA" w:rsidR="00192275" w:rsidRPr="008D0BAC" w:rsidRDefault="00192275" w:rsidP="00192275">
            <w:pPr>
              <w:pStyle w:val="Tabletext"/>
              <w:rPr>
                <w:noProof/>
                <w:sz w:val="22"/>
                <w:szCs w:val="22"/>
              </w:rPr>
            </w:pPr>
            <w:r w:rsidRPr="00E34FDB">
              <w:rPr>
                <w:b/>
                <w:noProof/>
                <w:sz w:val="22"/>
                <w:szCs w:val="22"/>
              </w:rPr>
              <w:t>EW</w:t>
            </w:r>
          </w:p>
        </w:tc>
        <w:tc>
          <w:tcPr>
            <w:tcW w:w="468" w:type="pct"/>
            <w:shd w:val="clear" w:color="auto" w:fill="FFFFFF" w:themeFill="background1"/>
            <w:noWrap/>
          </w:tcPr>
          <w:p w14:paraId="1FF349BE" w14:textId="35F8B99E" w:rsidR="00192275" w:rsidRPr="008D0BAC" w:rsidRDefault="00192275" w:rsidP="00192275">
            <w:pPr>
              <w:pStyle w:val="Tabletext"/>
              <w:rPr>
                <w:noProof/>
                <w:sz w:val="22"/>
                <w:szCs w:val="22"/>
              </w:rPr>
            </w:pPr>
            <w:r w:rsidRPr="00E34FDB">
              <w:rPr>
                <w:b/>
                <w:noProof/>
                <w:sz w:val="22"/>
                <w:szCs w:val="22"/>
              </w:rPr>
              <w:t>P1</w:t>
            </w:r>
          </w:p>
        </w:tc>
        <w:tc>
          <w:tcPr>
            <w:tcW w:w="459" w:type="pct"/>
            <w:shd w:val="clear" w:color="auto" w:fill="FFFFFF" w:themeFill="background1"/>
            <w:noWrap/>
          </w:tcPr>
          <w:p w14:paraId="5360AE47" w14:textId="21F5B38C" w:rsidR="00192275" w:rsidRPr="008D0BAC" w:rsidRDefault="00192275" w:rsidP="00192275">
            <w:pPr>
              <w:pStyle w:val="Tabletext"/>
              <w:rPr>
                <w:noProof/>
                <w:sz w:val="22"/>
                <w:szCs w:val="22"/>
              </w:rPr>
            </w:pPr>
            <w:r w:rsidRPr="00E34FDB">
              <w:rPr>
                <w:b/>
                <w:noProof/>
                <w:sz w:val="22"/>
                <w:szCs w:val="22"/>
              </w:rPr>
              <w:t>EW</w:t>
            </w:r>
          </w:p>
        </w:tc>
        <w:tc>
          <w:tcPr>
            <w:tcW w:w="459" w:type="pct"/>
            <w:shd w:val="clear" w:color="auto" w:fill="FFFFFF" w:themeFill="background1"/>
            <w:noWrap/>
          </w:tcPr>
          <w:p w14:paraId="3F0AB2BC" w14:textId="69F5D0D5" w:rsidR="00192275" w:rsidRPr="008D0BAC" w:rsidRDefault="00192275" w:rsidP="00192275">
            <w:pPr>
              <w:pStyle w:val="Tabletext"/>
              <w:rPr>
                <w:noProof/>
                <w:sz w:val="22"/>
                <w:szCs w:val="22"/>
              </w:rPr>
            </w:pPr>
            <w:r w:rsidRPr="00E34FDB">
              <w:rPr>
                <w:b/>
                <w:noProof/>
                <w:sz w:val="22"/>
                <w:szCs w:val="22"/>
              </w:rPr>
              <w:t>P1</w:t>
            </w:r>
          </w:p>
        </w:tc>
        <w:tc>
          <w:tcPr>
            <w:tcW w:w="459" w:type="pct"/>
            <w:shd w:val="clear" w:color="auto" w:fill="FFFFFF" w:themeFill="background1"/>
            <w:noWrap/>
          </w:tcPr>
          <w:p w14:paraId="1877A114" w14:textId="16596674" w:rsidR="00192275" w:rsidRPr="008D0BAC" w:rsidRDefault="00192275" w:rsidP="00192275">
            <w:pPr>
              <w:pStyle w:val="Tabletext"/>
              <w:rPr>
                <w:noProof/>
                <w:sz w:val="22"/>
                <w:szCs w:val="22"/>
              </w:rPr>
            </w:pPr>
            <w:r w:rsidRPr="00E34FDB">
              <w:rPr>
                <w:b/>
                <w:noProof/>
                <w:sz w:val="22"/>
                <w:szCs w:val="22"/>
              </w:rPr>
              <w:t>EW</w:t>
            </w:r>
          </w:p>
        </w:tc>
        <w:tc>
          <w:tcPr>
            <w:tcW w:w="459" w:type="pct"/>
            <w:shd w:val="clear" w:color="auto" w:fill="FFFFFF" w:themeFill="background1"/>
            <w:noWrap/>
          </w:tcPr>
          <w:p w14:paraId="406B3A62" w14:textId="7EBC3944" w:rsidR="00192275" w:rsidRPr="008D0BAC" w:rsidRDefault="00192275" w:rsidP="00192275">
            <w:pPr>
              <w:pStyle w:val="Tabletext"/>
              <w:rPr>
                <w:noProof/>
                <w:sz w:val="22"/>
                <w:szCs w:val="22"/>
              </w:rPr>
            </w:pPr>
            <w:r w:rsidRPr="00E34FDB">
              <w:rPr>
                <w:b/>
                <w:noProof/>
                <w:sz w:val="22"/>
                <w:szCs w:val="22"/>
              </w:rPr>
              <w:t>P1</w:t>
            </w:r>
          </w:p>
        </w:tc>
        <w:tc>
          <w:tcPr>
            <w:tcW w:w="459" w:type="pct"/>
            <w:shd w:val="clear" w:color="auto" w:fill="FFFFFF" w:themeFill="background1"/>
            <w:noWrap/>
          </w:tcPr>
          <w:p w14:paraId="6CAB8B54" w14:textId="15EDF0B3" w:rsidR="00192275" w:rsidRPr="008D0BAC" w:rsidRDefault="00192275" w:rsidP="00192275">
            <w:pPr>
              <w:pStyle w:val="Tabletext"/>
              <w:rPr>
                <w:noProof/>
                <w:sz w:val="22"/>
                <w:szCs w:val="22"/>
              </w:rPr>
            </w:pPr>
            <w:r w:rsidRPr="00E34FDB">
              <w:rPr>
                <w:b/>
                <w:noProof/>
                <w:sz w:val="22"/>
                <w:szCs w:val="22"/>
              </w:rPr>
              <w:t>EW</w:t>
            </w:r>
          </w:p>
        </w:tc>
        <w:tc>
          <w:tcPr>
            <w:tcW w:w="459" w:type="pct"/>
            <w:shd w:val="clear" w:color="auto" w:fill="FFFFFF" w:themeFill="background1"/>
            <w:noWrap/>
          </w:tcPr>
          <w:p w14:paraId="0C0D0B88" w14:textId="6437B467" w:rsidR="00192275" w:rsidRPr="008D0BAC" w:rsidRDefault="00192275" w:rsidP="00192275">
            <w:pPr>
              <w:pStyle w:val="Tabletext"/>
              <w:rPr>
                <w:noProof/>
                <w:sz w:val="22"/>
                <w:szCs w:val="22"/>
              </w:rPr>
            </w:pPr>
            <w:r w:rsidRPr="00E34FDB">
              <w:rPr>
                <w:b/>
                <w:noProof/>
                <w:sz w:val="22"/>
                <w:szCs w:val="22"/>
              </w:rPr>
              <w:t>P1</w:t>
            </w:r>
          </w:p>
        </w:tc>
        <w:tc>
          <w:tcPr>
            <w:tcW w:w="461" w:type="pct"/>
            <w:shd w:val="clear" w:color="auto" w:fill="FFFFFF" w:themeFill="background1"/>
            <w:noWrap/>
          </w:tcPr>
          <w:p w14:paraId="6B80172D" w14:textId="4810C828" w:rsidR="00192275" w:rsidRPr="008D0BAC" w:rsidRDefault="00192275" w:rsidP="00192275">
            <w:pPr>
              <w:pStyle w:val="Tabletext"/>
              <w:rPr>
                <w:noProof/>
                <w:sz w:val="22"/>
                <w:szCs w:val="22"/>
              </w:rPr>
            </w:pPr>
            <w:r w:rsidRPr="00E34FDB">
              <w:rPr>
                <w:b/>
                <w:noProof/>
                <w:sz w:val="22"/>
                <w:szCs w:val="22"/>
              </w:rPr>
              <w:t>EW</w:t>
            </w:r>
          </w:p>
        </w:tc>
        <w:tc>
          <w:tcPr>
            <w:tcW w:w="445" w:type="pct"/>
            <w:shd w:val="clear" w:color="auto" w:fill="FFFFFF" w:themeFill="background1"/>
            <w:noWrap/>
          </w:tcPr>
          <w:p w14:paraId="2C061116" w14:textId="46DB8038" w:rsidR="00192275" w:rsidRPr="008D0BAC" w:rsidRDefault="00192275" w:rsidP="00192275">
            <w:pPr>
              <w:pStyle w:val="Tabletext"/>
              <w:rPr>
                <w:noProof/>
                <w:sz w:val="22"/>
                <w:szCs w:val="22"/>
              </w:rPr>
            </w:pPr>
            <w:r w:rsidRPr="00E34FDB">
              <w:rPr>
                <w:b/>
                <w:noProof/>
                <w:sz w:val="22"/>
                <w:szCs w:val="22"/>
              </w:rPr>
              <w:t>P1</w:t>
            </w:r>
          </w:p>
        </w:tc>
      </w:tr>
      <w:tr w:rsidR="006C6FA9" w:rsidRPr="00B32ED5" w14:paraId="2C8FACA0" w14:textId="77777777" w:rsidTr="00B05194">
        <w:trPr>
          <w:trHeight w:val="296"/>
        </w:trPr>
        <w:tc>
          <w:tcPr>
            <w:tcW w:w="493" w:type="pct"/>
            <w:shd w:val="clear" w:color="auto" w:fill="F2F2F2" w:themeFill="background1" w:themeFillShade="F2"/>
            <w:noWrap/>
          </w:tcPr>
          <w:p w14:paraId="0B9FB7AE" w14:textId="2CE7371B" w:rsidR="006C6FA9" w:rsidRPr="00B32ED5" w:rsidRDefault="006C6FA9" w:rsidP="006C6FA9">
            <w:pPr>
              <w:pStyle w:val="Tabletext"/>
              <w:rPr>
                <w:b/>
                <w:noProof/>
                <w:sz w:val="22"/>
                <w:szCs w:val="22"/>
              </w:rPr>
            </w:pPr>
            <w:r w:rsidRPr="00B32ED5">
              <w:rPr>
                <w:b/>
                <w:noProof/>
                <w:sz w:val="22"/>
                <w:szCs w:val="22"/>
              </w:rPr>
              <w:t>Baseline</w:t>
            </w:r>
          </w:p>
        </w:tc>
        <w:tc>
          <w:tcPr>
            <w:tcW w:w="380" w:type="pct"/>
            <w:shd w:val="clear" w:color="auto" w:fill="F2F2F2" w:themeFill="background1" w:themeFillShade="F2"/>
            <w:noWrap/>
          </w:tcPr>
          <w:p w14:paraId="09565060" w14:textId="20C0AB63" w:rsidR="006C6FA9" w:rsidRPr="008D0BAC" w:rsidRDefault="006C6FA9" w:rsidP="006C6FA9">
            <w:pPr>
              <w:pStyle w:val="Tabletext"/>
              <w:rPr>
                <w:noProof/>
                <w:sz w:val="22"/>
                <w:szCs w:val="22"/>
              </w:rPr>
            </w:pPr>
            <w:r w:rsidRPr="008D0BAC">
              <w:rPr>
                <w:noProof/>
                <w:sz w:val="22"/>
                <w:szCs w:val="22"/>
              </w:rPr>
              <w:t>0.000</w:t>
            </w:r>
          </w:p>
        </w:tc>
        <w:tc>
          <w:tcPr>
            <w:tcW w:w="468" w:type="pct"/>
            <w:shd w:val="clear" w:color="auto" w:fill="F2F2F2" w:themeFill="background1" w:themeFillShade="F2"/>
            <w:noWrap/>
          </w:tcPr>
          <w:p w14:paraId="4F563543" w14:textId="1A7BB601" w:rsidR="006C6FA9" w:rsidRPr="008D0BAC" w:rsidRDefault="006C6FA9" w:rsidP="006C6FA9">
            <w:pPr>
              <w:pStyle w:val="Tabletext"/>
              <w:rPr>
                <w:noProof/>
                <w:sz w:val="22"/>
                <w:szCs w:val="22"/>
              </w:rPr>
            </w:pPr>
            <w:r w:rsidRPr="008D0BAC">
              <w:rPr>
                <w:noProof/>
                <w:sz w:val="22"/>
                <w:szCs w:val="22"/>
              </w:rPr>
              <w:t>0.000</w:t>
            </w:r>
          </w:p>
        </w:tc>
        <w:tc>
          <w:tcPr>
            <w:tcW w:w="459" w:type="pct"/>
            <w:shd w:val="clear" w:color="auto" w:fill="F2F2F2" w:themeFill="background1" w:themeFillShade="F2"/>
            <w:noWrap/>
          </w:tcPr>
          <w:p w14:paraId="394622A2" w14:textId="13EE73BD" w:rsidR="006C6FA9" w:rsidRPr="008D0BAC" w:rsidRDefault="006C6FA9" w:rsidP="006C6FA9">
            <w:pPr>
              <w:pStyle w:val="Tabletext"/>
              <w:rPr>
                <w:noProof/>
                <w:sz w:val="22"/>
                <w:szCs w:val="22"/>
              </w:rPr>
            </w:pPr>
            <w:r w:rsidRPr="008D0BAC">
              <w:rPr>
                <w:noProof/>
                <w:sz w:val="22"/>
                <w:szCs w:val="22"/>
              </w:rPr>
              <w:t>0.233</w:t>
            </w:r>
          </w:p>
        </w:tc>
        <w:tc>
          <w:tcPr>
            <w:tcW w:w="459" w:type="pct"/>
            <w:shd w:val="clear" w:color="auto" w:fill="F2F2F2" w:themeFill="background1" w:themeFillShade="F2"/>
            <w:noWrap/>
          </w:tcPr>
          <w:p w14:paraId="52AB6BC7" w14:textId="3DDAC33F" w:rsidR="006C6FA9" w:rsidRPr="008D0BAC" w:rsidRDefault="006C6FA9" w:rsidP="006C6FA9">
            <w:pPr>
              <w:pStyle w:val="Tabletext"/>
              <w:rPr>
                <w:noProof/>
                <w:sz w:val="22"/>
                <w:szCs w:val="22"/>
              </w:rPr>
            </w:pPr>
            <w:r w:rsidRPr="008D0BAC">
              <w:rPr>
                <w:noProof/>
                <w:sz w:val="22"/>
                <w:szCs w:val="22"/>
              </w:rPr>
              <w:t>0.453</w:t>
            </w:r>
          </w:p>
        </w:tc>
        <w:tc>
          <w:tcPr>
            <w:tcW w:w="459" w:type="pct"/>
            <w:shd w:val="clear" w:color="auto" w:fill="F2F2F2" w:themeFill="background1" w:themeFillShade="F2"/>
            <w:noWrap/>
          </w:tcPr>
          <w:p w14:paraId="1552A3B6" w14:textId="0C811A76" w:rsidR="006C6FA9" w:rsidRPr="008D0BAC" w:rsidRDefault="006C6FA9" w:rsidP="006C6FA9">
            <w:pPr>
              <w:pStyle w:val="Tabletext"/>
              <w:rPr>
                <w:noProof/>
                <w:sz w:val="22"/>
                <w:szCs w:val="22"/>
              </w:rPr>
            </w:pPr>
            <w:r w:rsidRPr="008D0BAC">
              <w:rPr>
                <w:noProof/>
                <w:sz w:val="22"/>
                <w:szCs w:val="22"/>
              </w:rPr>
              <w:t>-0.039</w:t>
            </w:r>
          </w:p>
        </w:tc>
        <w:tc>
          <w:tcPr>
            <w:tcW w:w="459" w:type="pct"/>
            <w:shd w:val="clear" w:color="auto" w:fill="F2F2F2" w:themeFill="background1" w:themeFillShade="F2"/>
            <w:noWrap/>
          </w:tcPr>
          <w:p w14:paraId="1E5F3E9B" w14:textId="4FE0DAC9" w:rsidR="006C6FA9" w:rsidRPr="008D0BAC" w:rsidRDefault="006C6FA9" w:rsidP="006C6FA9">
            <w:pPr>
              <w:pStyle w:val="Tabletext"/>
              <w:rPr>
                <w:noProof/>
                <w:sz w:val="22"/>
                <w:szCs w:val="22"/>
              </w:rPr>
            </w:pPr>
            <w:r w:rsidRPr="008D0BAC">
              <w:rPr>
                <w:noProof/>
                <w:sz w:val="22"/>
                <w:szCs w:val="22"/>
              </w:rPr>
              <w:t>-0.132</w:t>
            </w:r>
          </w:p>
        </w:tc>
        <w:tc>
          <w:tcPr>
            <w:tcW w:w="459" w:type="pct"/>
            <w:shd w:val="clear" w:color="auto" w:fill="F2F2F2" w:themeFill="background1" w:themeFillShade="F2"/>
            <w:noWrap/>
          </w:tcPr>
          <w:p w14:paraId="46F190B5" w14:textId="00363A86" w:rsidR="006C6FA9" w:rsidRPr="008D0BAC" w:rsidRDefault="006C6FA9" w:rsidP="006C6FA9">
            <w:pPr>
              <w:pStyle w:val="Tabletext"/>
              <w:rPr>
                <w:noProof/>
                <w:sz w:val="22"/>
                <w:szCs w:val="22"/>
              </w:rPr>
            </w:pPr>
            <w:r w:rsidRPr="008D0BAC">
              <w:rPr>
                <w:noProof/>
                <w:sz w:val="22"/>
                <w:szCs w:val="22"/>
              </w:rPr>
              <w:t>-0.028</w:t>
            </w:r>
          </w:p>
        </w:tc>
        <w:tc>
          <w:tcPr>
            <w:tcW w:w="459" w:type="pct"/>
            <w:shd w:val="clear" w:color="auto" w:fill="F2F2F2" w:themeFill="background1" w:themeFillShade="F2"/>
            <w:noWrap/>
          </w:tcPr>
          <w:p w14:paraId="3C4945C6" w14:textId="3B6FD091" w:rsidR="006C6FA9" w:rsidRPr="008D0BAC" w:rsidRDefault="006C6FA9" w:rsidP="006C6FA9">
            <w:pPr>
              <w:pStyle w:val="Tabletext"/>
              <w:rPr>
                <w:noProof/>
                <w:sz w:val="22"/>
                <w:szCs w:val="22"/>
              </w:rPr>
            </w:pPr>
            <w:r w:rsidRPr="008D0BAC">
              <w:rPr>
                <w:noProof/>
                <w:sz w:val="22"/>
                <w:szCs w:val="22"/>
              </w:rPr>
              <w:t>-0.011</w:t>
            </w:r>
          </w:p>
        </w:tc>
        <w:tc>
          <w:tcPr>
            <w:tcW w:w="461" w:type="pct"/>
            <w:shd w:val="clear" w:color="auto" w:fill="F2F2F2" w:themeFill="background1" w:themeFillShade="F2"/>
            <w:noWrap/>
          </w:tcPr>
          <w:p w14:paraId="6206847C" w14:textId="17021151" w:rsidR="006C6FA9" w:rsidRPr="008D0BAC" w:rsidRDefault="009B1F9A" w:rsidP="006C6FA9">
            <w:pPr>
              <w:pStyle w:val="Tabletext"/>
              <w:rPr>
                <w:noProof/>
                <w:sz w:val="22"/>
                <w:szCs w:val="22"/>
              </w:rPr>
            </w:pPr>
            <w:r>
              <w:rPr>
                <w:noProof/>
                <w:sz w:val="22"/>
                <w:szCs w:val="22"/>
              </w:rPr>
              <w:t>0.166</w:t>
            </w:r>
          </w:p>
        </w:tc>
        <w:tc>
          <w:tcPr>
            <w:tcW w:w="445" w:type="pct"/>
            <w:shd w:val="clear" w:color="auto" w:fill="F2F2F2" w:themeFill="background1" w:themeFillShade="F2"/>
            <w:noWrap/>
          </w:tcPr>
          <w:p w14:paraId="2F1574CC" w14:textId="455F18CE" w:rsidR="006C6FA9" w:rsidRPr="008D0BAC" w:rsidRDefault="009B1F9A" w:rsidP="006C6FA9">
            <w:pPr>
              <w:pStyle w:val="Tabletext"/>
              <w:rPr>
                <w:noProof/>
                <w:sz w:val="22"/>
                <w:szCs w:val="22"/>
              </w:rPr>
            </w:pPr>
            <w:r>
              <w:rPr>
                <w:noProof/>
                <w:sz w:val="22"/>
                <w:szCs w:val="22"/>
              </w:rPr>
              <w:t>0.311</w:t>
            </w:r>
          </w:p>
        </w:tc>
      </w:tr>
      <w:tr w:rsidR="006C6FA9" w:rsidRPr="00B32ED5" w14:paraId="57A49407" w14:textId="77777777" w:rsidTr="00B05194">
        <w:trPr>
          <w:trHeight w:val="296"/>
        </w:trPr>
        <w:tc>
          <w:tcPr>
            <w:tcW w:w="493" w:type="pct"/>
            <w:shd w:val="clear" w:color="auto" w:fill="FFFFFF" w:themeFill="background1"/>
            <w:noWrap/>
          </w:tcPr>
          <w:p w14:paraId="41BAA3F9" w14:textId="3D39CB5E" w:rsidR="006C6FA9" w:rsidRPr="00E34FDB" w:rsidRDefault="006C6FA9" w:rsidP="006C6FA9">
            <w:pPr>
              <w:pStyle w:val="Tabletext"/>
              <w:rPr>
                <w:b/>
                <w:noProof/>
                <w:sz w:val="22"/>
                <w:szCs w:val="22"/>
              </w:rPr>
            </w:pPr>
            <w:r w:rsidRPr="00E34FDB">
              <w:rPr>
                <w:b/>
                <w:noProof/>
                <w:sz w:val="22"/>
                <w:szCs w:val="22"/>
              </w:rPr>
              <w:t>PO1-A</w:t>
            </w:r>
          </w:p>
        </w:tc>
        <w:tc>
          <w:tcPr>
            <w:tcW w:w="380" w:type="pct"/>
            <w:shd w:val="clear" w:color="auto" w:fill="FFFFFF" w:themeFill="background1"/>
            <w:noWrap/>
          </w:tcPr>
          <w:p w14:paraId="3031627F" w14:textId="6C478281" w:rsidR="006C6FA9" w:rsidRPr="00B05194" w:rsidRDefault="006C6FA9" w:rsidP="006C6FA9">
            <w:pPr>
              <w:pStyle w:val="Tabletext"/>
              <w:rPr>
                <w:noProof/>
                <w:sz w:val="22"/>
                <w:szCs w:val="22"/>
              </w:rPr>
            </w:pPr>
            <w:r w:rsidRPr="00E34FDB">
              <w:rPr>
                <w:noProof/>
                <w:sz w:val="22"/>
                <w:szCs w:val="22"/>
              </w:rPr>
              <w:t>0.000</w:t>
            </w:r>
          </w:p>
        </w:tc>
        <w:tc>
          <w:tcPr>
            <w:tcW w:w="468" w:type="pct"/>
            <w:shd w:val="clear" w:color="auto" w:fill="FFFFFF" w:themeFill="background1"/>
            <w:noWrap/>
          </w:tcPr>
          <w:p w14:paraId="719C7036" w14:textId="0E668FBE" w:rsidR="006C6FA9" w:rsidRPr="00B05194" w:rsidRDefault="006C6FA9" w:rsidP="006C6FA9">
            <w:pPr>
              <w:pStyle w:val="Tabletext"/>
              <w:rPr>
                <w:noProof/>
                <w:sz w:val="22"/>
                <w:szCs w:val="22"/>
              </w:rPr>
            </w:pPr>
            <w:r w:rsidRPr="00E34FDB">
              <w:rPr>
                <w:noProof/>
                <w:sz w:val="22"/>
                <w:szCs w:val="22"/>
              </w:rPr>
              <w:t>0.000</w:t>
            </w:r>
          </w:p>
        </w:tc>
        <w:tc>
          <w:tcPr>
            <w:tcW w:w="459" w:type="pct"/>
            <w:shd w:val="clear" w:color="auto" w:fill="FFFFFF" w:themeFill="background1"/>
            <w:noWrap/>
          </w:tcPr>
          <w:p w14:paraId="1989ABCD" w14:textId="3D68FF05" w:rsidR="006C6FA9" w:rsidRPr="008D0BAC" w:rsidRDefault="006C6FA9" w:rsidP="006C6FA9">
            <w:pPr>
              <w:pStyle w:val="Tabletext"/>
              <w:rPr>
                <w:noProof/>
                <w:sz w:val="22"/>
                <w:szCs w:val="22"/>
              </w:rPr>
            </w:pPr>
            <w:r w:rsidRPr="008D0BAC">
              <w:rPr>
                <w:noProof/>
                <w:sz w:val="22"/>
                <w:szCs w:val="22"/>
              </w:rPr>
              <w:t>0.222</w:t>
            </w:r>
          </w:p>
        </w:tc>
        <w:tc>
          <w:tcPr>
            <w:tcW w:w="459" w:type="pct"/>
            <w:shd w:val="clear" w:color="auto" w:fill="FFFFFF" w:themeFill="background1"/>
            <w:noWrap/>
          </w:tcPr>
          <w:p w14:paraId="51908567" w14:textId="000C291A" w:rsidR="006C6FA9" w:rsidRPr="008D0BAC" w:rsidRDefault="006C6FA9" w:rsidP="006C6FA9">
            <w:pPr>
              <w:pStyle w:val="Tabletext"/>
              <w:rPr>
                <w:noProof/>
                <w:sz w:val="22"/>
                <w:szCs w:val="22"/>
              </w:rPr>
            </w:pPr>
            <w:r w:rsidRPr="008D0BAC">
              <w:rPr>
                <w:noProof/>
                <w:sz w:val="22"/>
                <w:szCs w:val="22"/>
              </w:rPr>
              <w:t>0.386</w:t>
            </w:r>
          </w:p>
        </w:tc>
        <w:tc>
          <w:tcPr>
            <w:tcW w:w="459" w:type="pct"/>
            <w:shd w:val="clear" w:color="auto" w:fill="FFFFFF" w:themeFill="background1"/>
            <w:noWrap/>
          </w:tcPr>
          <w:p w14:paraId="305AA785" w14:textId="6D918C74" w:rsidR="006C6FA9" w:rsidRPr="008D0BAC" w:rsidRDefault="006C6FA9" w:rsidP="006C6FA9">
            <w:pPr>
              <w:pStyle w:val="Tabletext"/>
              <w:rPr>
                <w:noProof/>
                <w:sz w:val="22"/>
                <w:szCs w:val="22"/>
              </w:rPr>
            </w:pPr>
            <w:r w:rsidRPr="008D0BAC">
              <w:rPr>
                <w:noProof/>
                <w:sz w:val="22"/>
                <w:szCs w:val="22"/>
              </w:rPr>
              <w:t>0.039</w:t>
            </w:r>
          </w:p>
        </w:tc>
        <w:tc>
          <w:tcPr>
            <w:tcW w:w="459" w:type="pct"/>
            <w:shd w:val="clear" w:color="auto" w:fill="FFFFFF" w:themeFill="background1"/>
            <w:noWrap/>
          </w:tcPr>
          <w:p w14:paraId="20D970C3" w14:textId="03C63F53" w:rsidR="006C6FA9" w:rsidRPr="008D0BAC" w:rsidRDefault="006C6FA9" w:rsidP="006C6FA9">
            <w:pPr>
              <w:pStyle w:val="Tabletext"/>
              <w:rPr>
                <w:noProof/>
                <w:sz w:val="22"/>
                <w:szCs w:val="22"/>
              </w:rPr>
            </w:pPr>
            <w:r w:rsidRPr="008D0BAC">
              <w:rPr>
                <w:noProof/>
                <w:sz w:val="22"/>
                <w:szCs w:val="22"/>
              </w:rPr>
              <w:t>-0.032</w:t>
            </w:r>
          </w:p>
        </w:tc>
        <w:tc>
          <w:tcPr>
            <w:tcW w:w="459" w:type="pct"/>
            <w:shd w:val="clear" w:color="auto" w:fill="FFFFFF" w:themeFill="background1"/>
            <w:noWrap/>
          </w:tcPr>
          <w:p w14:paraId="50C79B57" w14:textId="6777F3BE" w:rsidR="006C6FA9" w:rsidRPr="008D0BAC" w:rsidRDefault="006C6FA9" w:rsidP="006C6FA9">
            <w:pPr>
              <w:pStyle w:val="Tabletext"/>
              <w:rPr>
                <w:noProof/>
                <w:sz w:val="22"/>
                <w:szCs w:val="22"/>
              </w:rPr>
            </w:pPr>
            <w:r w:rsidRPr="008D0BAC">
              <w:rPr>
                <w:noProof/>
                <w:sz w:val="22"/>
                <w:szCs w:val="22"/>
              </w:rPr>
              <w:t>0.182</w:t>
            </w:r>
          </w:p>
        </w:tc>
        <w:tc>
          <w:tcPr>
            <w:tcW w:w="459" w:type="pct"/>
            <w:shd w:val="clear" w:color="auto" w:fill="FFFFFF" w:themeFill="background1"/>
            <w:noWrap/>
          </w:tcPr>
          <w:p w14:paraId="149F42C8" w14:textId="7FCEC0BF" w:rsidR="006C6FA9" w:rsidRPr="008D0BAC" w:rsidRDefault="006C6FA9" w:rsidP="006C6FA9">
            <w:pPr>
              <w:pStyle w:val="Tabletext"/>
              <w:rPr>
                <w:noProof/>
                <w:sz w:val="22"/>
                <w:szCs w:val="22"/>
              </w:rPr>
            </w:pPr>
            <w:r w:rsidRPr="008D0BAC">
              <w:rPr>
                <w:noProof/>
                <w:sz w:val="22"/>
                <w:szCs w:val="22"/>
              </w:rPr>
              <w:t>0.036</w:t>
            </w:r>
          </w:p>
        </w:tc>
        <w:tc>
          <w:tcPr>
            <w:tcW w:w="461" w:type="pct"/>
            <w:shd w:val="clear" w:color="auto" w:fill="FFFFFF" w:themeFill="background1"/>
            <w:noWrap/>
          </w:tcPr>
          <w:p w14:paraId="3CD1B4E5" w14:textId="0FA52FB0" w:rsidR="006C6FA9" w:rsidRPr="008D0BAC" w:rsidRDefault="006C6FA9" w:rsidP="006C6FA9">
            <w:pPr>
              <w:pStyle w:val="Tabletext"/>
              <w:rPr>
                <w:noProof/>
                <w:sz w:val="22"/>
                <w:szCs w:val="22"/>
              </w:rPr>
            </w:pPr>
            <w:r w:rsidRPr="008D0BAC">
              <w:rPr>
                <w:noProof/>
                <w:sz w:val="22"/>
                <w:szCs w:val="22"/>
              </w:rPr>
              <w:t>0.</w:t>
            </w:r>
            <w:r w:rsidR="009B1F9A">
              <w:rPr>
                <w:noProof/>
                <w:sz w:val="22"/>
                <w:szCs w:val="22"/>
              </w:rPr>
              <w:t>444</w:t>
            </w:r>
          </w:p>
        </w:tc>
        <w:tc>
          <w:tcPr>
            <w:tcW w:w="445" w:type="pct"/>
            <w:shd w:val="clear" w:color="auto" w:fill="FFFFFF" w:themeFill="background1"/>
            <w:noWrap/>
          </w:tcPr>
          <w:p w14:paraId="54157E8C" w14:textId="4F23273D" w:rsidR="006C6FA9" w:rsidRPr="008D0BAC" w:rsidRDefault="009B1F9A" w:rsidP="006C6FA9">
            <w:pPr>
              <w:pStyle w:val="Tabletext"/>
              <w:rPr>
                <w:noProof/>
                <w:sz w:val="22"/>
                <w:szCs w:val="22"/>
              </w:rPr>
            </w:pPr>
            <w:r>
              <w:rPr>
                <w:noProof/>
                <w:sz w:val="22"/>
                <w:szCs w:val="22"/>
              </w:rPr>
              <w:t>0.391</w:t>
            </w:r>
          </w:p>
        </w:tc>
      </w:tr>
      <w:tr w:rsidR="006C6FA9" w:rsidRPr="00B32ED5" w14:paraId="1522864D" w14:textId="77777777" w:rsidTr="00B05194">
        <w:trPr>
          <w:trHeight w:val="296"/>
        </w:trPr>
        <w:tc>
          <w:tcPr>
            <w:tcW w:w="493" w:type="pct"/>
            <w:shd w:val="clear" w:color="auto" w:fill="FFFFFF" w:themeFill="background1"/>
            <w:noWrap/>
          </w:tcPr>
          <w:p w14:paraId="5FCFC235" w14:textId="6D3BB6B4" w:rsidR="006C6FA9" w:rsidRPr="00E34FDB" w:rsidRDefault="006C6FA9" w:rsidP="006C6FA9">
            <w:pPr>
              <w:pStyle w:val="Tabletext"/>
              <w:rPr>
                <w:b/>
                <w:noProof/>
                <w:sz w:val="22"/>
                <w:szCs w:val="22"/>
              </w:rPr>
            </w:pPr>
            <w:r w:rsidRPr="00E34FDB">
              <w:rPr>
                <w:b/>
                <w:noProof/>
                <w:sz w:val="22"/>
                <w:szCs w:val="22"/>
              </w:rPr>
              <w:t>PO1-B</w:t>
            </w:r>
          </w:p>
        </w:tc>
        <w:tc>
          <w:tcPr>
            <w:tcW w:w="380" w:type="pct"/>
            <w:shd w:val="clear" w:color="auto" w:fill="FFFFFF" w:themeFill="background1"/>
            <w:noWrap/>
          </w:tcPr>
          <w:p w14:paraId="405A5A26" w14:textId="12A520C3" w:rsidR="006C6FA9" w:rsidRPr="00B05194" w:rsidRDefault="006C6FA9" w:rsidP="006C6FA9">
            <w:pPr>
              <w:pStyle w:val="Tabletext"/>
              <w:rPr>
                <w:noProof/>
                <w:sz w:val="22"/>
                <w:szCs w:val="22"/>
              </w:rPr>
            </w:pPr>
            <w:r w:rsidRPr="00E34FDB">
              <w:rPr>
                <w:noProof/>
                <w:sz w:val="22"/>
                <w:szCs w:val="22"/>
              </w:rPr>
              <w:t>0.000</w:t>
            </w:r>
          </w:p>
        </w:tc>
        <w:tc>
          <w:tcPr>
            <w:tcW w:w="468" w:type="pct"/>
            <w:shd w:val="clear" w:color="auto" w:fill="FFFFFF" w:themeFill="background1"/>
            <w:noWrap/>
          </w:tcPr>
          <w:p w14:paraId="6541370C" w14:textId="63E684E5" w:rsidR="006C6FA9" w:rsidRPr="00B05194" w:rsidRDefault="006C6FA9" w:rsidP="006C6FA9">
            <w:pPr>
              <w:pStyle w:val="Tabletext"/>
              <w:rPr>
                <w:noProof/>
                <w:sz w:val="22"/>
                <w:szCs w:val="22"/>
              </w:rPr>
            </w:pPr>
            <w:r w:rsidRPr="00E34FDB">
              <w:rPr>
                <w:noProof/>
                <w:sz w:val="22"/>
                <w:szCs w:val="22"/>
              </w:rPr>
              <w:t>0.000</w:t>
            </w:r>
          </w:p>
        </w:tc>
        <w:tc>
          <w:tcPr>
            <w:tcW w:w="459" w:type="pct"/>
            <w:shd w:val="clear" w:color="auto" w:fill="FFFFFF" w:themeFill="background1"/>
            <w:noWrap/>
          </w:tcPr>
          <w:p w14:paraId="11E9BFFF" w14:textId="6472A73F" w:rsidR="006C6FA9" w:rsidRPr="008D0BAC" w:rsidRDefault="006C6FA9" w:rsidP="006C6FA9">
            <w:pPr>
              <w:pStyle w:val="Tabletext"/>
              <w:rPr>
                <w:noProof/>
                <w:sz w:val="22"/>
                <w:szCs w:val="22"/>
              </w:rPr>
            </w:pPr>
            <w:r w:rsidRPr="008D0BAC">
              <w:rPr>
                <w:noProof/>
                <w:sz w:val="22"/>
                <w:szCs w:val="22"/>
              </w:rPr>
              <w:t>0.314</w:t>
            </w:r>
          </w:p>
        </w:tc>
        <w:tc>
          <w:tcPr>
            <w:tcW w:w="459" w:type="pct"/>
            <w:shd w:val="clear" w:color="auto" w:fill="FFFFFF" w:themeFill="background1"/>
            <w:noWrap/>
          </w:tcPr>
          <w:p w14:paraId="4F775E0C" w14:textId="1D87065D" w:rsidR="006C6FA9" w:rsidRPr="008D0BAC" w:rsidRDefault="006C6FA9" w:rsidP="006C6FA9">
            <w:pPr>
              <w:pStyle w:val="Tabletext"/>
              <w:rPr>
                <w:noProof/>
                <w:sz w:val="22"/>
                <w:szCs w:val="22"/>
              </w:rPr>
            </w:pPr>
            <w:r w:rsidRPr="008D0BAC">
              <w:rPr>
                <w:noProof/>
                <w:sz w:val="22"/>
                <w:szCs w:val="22"/>
              </w:rPr>
              <w:t>0.569</w:t>
            </w:r>
          </w:p>
        </w:tc>
        <w:tc>
          <w:tcPr>
            <w:tcW w:w="459" w:type="pct"/>
            <w:shd w:val="clear" w:color="auto" w:fill="FFFFFF" w:themeFill="background1"/>
            <w:noWrap/>
          </w:tcPr>
          <w:p w14:paraId="315FC5FB" w14:textId="600BD588" w:rsidR="006C6FA9" w:rsidRPr="008D0BAC" w:rsidRDefault="006C6FA9" w:rsidP="006C6FA9">
            <w:pPr>
              <w:pStyle w:val="Tabletext"/>
              <w:rPr>
                <w:noProof/>
                <w:sz w:val="22"/>
                <w:szCs w:val="22"/>
              </w:rPr>
            </w:pPr>
            <w:r w:rsidRPr="008D0BAC">
              <w:rPr>
                <w:noProof/>
                <w:sz w:val="22"/>
                <w:szCs w:val="22"/>
              </w:rPr>
              <w:t>0.062</w:t>
            </w:r>
          </w:p>
        </w:tc>
        <w:tc>
          <w:tcPr>
            <w:tcW w:w="459" w:type="pct"/>
            <w:shd w:val="clear" w:color="auto" w:fill="FFFFFF" w:themeFill="background1"/>
            <w:noWrap/>
          </w:tcPr>
          <w:p w14:paraId="423AFCEF" w14:textId="410BA1A4" w:rsidR="006C6FA9" w:rsidRPr="008D0BAC" w:rsidRDefault="006C6FA9" w:rsidP="006C6FA9">
            <w:pPr>
              <w:pStyle w:val="Tabletext"/>
              <w:rPr>
                <w:noProof/>
                <w:sz w:val="22"/>
                <w:szCs w:val="22"/>
              </w:rPr>
            </w:pPr>
            <w:r w:rsidRPr="008D0BAC">
              <w:rPr>
                <w:noProof/>
                <w:sz w:val="22"/>
                <w:szCs w:val="22"/>
              </w:rPr>
              <w:t>-0.056</w:t>
            </w:r>
          </w:p>
        </w:tc>
        <w:tc>
          <w:tcPr>
            <w:tcW w:w="459" w:type="pct"/>
            <w:shd w:val="clear" w:color="auto" w:fill="FFFFFF" w:themeFill="background1"/>
            <w:noWrap/>
          </w:tcPr>
          <w:p w14:paraId="6C0632FD" w14:textId="7644E53E" w:rsidR="006C6FA9" w:rsidRPr="008D0BAC" w:rsidRDefault="006C6FA9" w:rsidP="006C6FA9">
            <w:pPr>
              <w:pStyle w:val="Tabletext"/>
              <w:rPr>
                <w:noProof/>
                <w:sz w:val="22"/>
                <w:szCs w:val="22"/>
              </w:rPr>
            </w:pPr>
            <w:r w:rsidRPr="008D0BAC">
              <w:rPr>
                <w:noProof/>
                <w:sz w:val="22"/>
                <w:szCs w:val="22"/>
              </w:rPr>
              <w:t>0.237</w:t>
            </w:r>
          </w:p>
        </w:tc>
        <w:tc>
          <w:tcPr>
            <w:tcW w:w="459" w:type="pct"/>
            <w:shd w:val="clear" w:color="auto" w:fill="FFFFFF" w:themeFill="background1"/>
            <w:noWrap/>
          </w:tcPr>
          <w:p w14:paraId="44DF0FC4" w14:textId="4C1B8577" w:rsidR="006C6FA9" w:rsidRPr="008D0BAC" w:rsidRDefault="006C6FA9" w:rsidP="006C6FA9">
            <w:pPr>
              <w:pStyle w:val="Tabletext"/>
              <w:rPr>
                <w:noProof/>
                <w:sz w:val="22"/>
                <w:szCs w:val="22"/>
              </w:rPr>
            </w:pPr>
            <w:r w:rsidRPr="008D0BAC">
              <w:rPr>
                <w:noProof/>
                <w:sz w:val="22"/>
                <w:szCs w:val="22"/>
              </w:rPr>
              <w:t>0.047</w:t>
            </w:r>
          </w:p>
        </w:tc>
        <w:tc>
          <w:tcPr>
            <w:tcW w:w="461" w:type="pct"/>
            <w:shd w:val="clear" w:color="auto" w:fill="FFFFFF" w:themeFill="background1"/>
            <w:noWrap/>
          </w:tcPr>
          <w:p w14:paraId="3C6CB5C9" w14:textId="1D853DE7" w:rsidR="006C6FA9" w:rsidRPr="008D0BAC" w:rsidRDefault="009B1F9A" w:rsidP="006C6FA9">
            <w:pPr>
              <w:pStyle w:val="Tabletext"/>
              <w:rPr>
                <w:noProof/>
                <w:sz w:val="22"/>
                <w:szCs w:val="22"/>
              </w:rPr>
            </w:pPr>
            <w:r>
              <w:rPr>
                <w:noProof/>
                <w:sz w:val="22"/>
                <w:szCs w:val="22"/>
              </w:rPr>
              <w:t>0.612</w:t>
            </w:r>
          </w:p>
        </w:tc>
        <w:tc>
          <w:tcPr>
            <w:tcW w:w="445" w:type="pct"/>
            <w:shd w:val="clear" w:color="auto" w:fill="FFFFFF" w:themeFill="background1"/>
            <w:noWrap/>
          </w:tcPr>
          <w:p w14:paraId="3186A2DB" w14:textId="1BA4924C" w:rsidR="006C6FA9" w:rsidRPr="008D0BAC" w:rsidRDefault="00105DF2" w:rsidP="006C6FA9">
            <w:pPr>
              <w:pStyle w:val="Tabletext"/>
              <w:rPr>
                <w:noProof/>
                <w:sz w:val="22"/>
                <w:szCs w:val="22"/>
              </w:rPr>
            </w:pPr>
            <w:r>
              <w:rPr>
                <w:noProof/>
                <w:sz w:val="22"/>
                <w:szCs w:val="22"/>
              </w:rPr>
              <w:t>0.561</w:t>
            </w:r>
          </w:p>
        </w:tc>
      </w:tr>
      <w:tr w:rsidR="006C6FA9" w:rsidRPr="00B32ED5" w14:paraId="0CFC8D95" w14:textId="77777777" w:rsidTr="00B05194">
        <w:trPr>
          <w:trHeight w:val="296"/>
        </w:trPr>
        <w:tc>
          <w:tcPr>
            <w:tcW w:w="493" w:type="pct"/>
            <w:shd w:val="clear" w:color="auto" w:fill="FFFFFF" w:themeFill="background1"/>
            <w:noWrap/>
          </w:tcPr>
          <w:p w14:paraId="6886EA2C" w14:textId="26DD0443" w:rsidR="006C6FA9" w:rsidRPr="00E34FDB" w:rsidRDefault="006C6FA9" w:rsidP="006C6FA9">
            <w:pPr>
              <w:pStyle w:val="Tabletext"/>
              <w:rPr>
                <w:b/>
                <w:noProof/>
                <w:sz w:val="22"/>
                <w:szCs w:val="22"/>
              </w:rPr>
            </w:pPr>
            <w:r w:rsidRPr="00E34FDB">
              <w:rPr>
                <w:b/>
                <w:noProof/>
                <w:sz w:val="22"/>
                <w:szCs w:val="22"/>
              </w:rPr>
              <w:t>PO1-C</w:t>
            </w:r>
          </w:p>
        </w:tc>
        <w:tc>
          <w:tcPr>
            <w:tcW w:w="380" w:type="pct"/>
            <w:shd w:val="clear" w:color="auto" w:fill="FFFFFF" w:themeFill="background1"/>
            <w:noWrap/>
          </w:tcPr>
          <w:p w14:paraId="1AD28EA6" w14:textId="138D3D1D" w:rsidR="006C6FA9" w:rsidRPr="00B05194" w:rsidRDefault="006C6FA9" w:rsidP="006C6FA9">
            <w:pPr>
              <w:pStyle w:val="Tabletext"/>
              <w:rPr>
                <w:noProof/>
                <w:sz w:val="22"/>
                <w:szCs w:val="22"/>
              </w:rPr>
            </w:pPr>
            <w:r w:rsidRPr="00E34FDB">
              <w:rPr>
                <w:noProof/>
                <w:sz w:val="22"/>
                <w:szCs w:val="22"/>
              </w:rPr>
              <w:t>0.000</w:t>
            </w:r>
          </w:p>
        </w:tc>
        <w:tc>
          <w:tcPr>
            <w:tcW w:w="468" w:type="pct"/>
            <w:shd w:val="clear" w:color="auto" w:fill="FFFFFF" w:themeFill="background1"/>
            <w:noWrap/>
          </w:tcPr>
          <w:p w14:paraId="1AB74907" w14:textId="2C6E2A4C" w:rsidR="006C6FA9" w:rsidRPr="00B05194" w:rsidRDefault="006C6FA9" w:rsidP="006C6FA9">
            <w:pPr>
              <w:pStyle w:val="Tabletext"/>
              <w:rPr>
                <w:noProof/>
                <w:sz w:val="22"/>
                <w:szCs w:val="22"/>
              </w:rPr>
            </w:pPr>
            <w:r w:rsidRPr="00E34FDB">
              <w:rPr>
                <w:noProof/>
                <w:sz w:val="22"/>
                <w:szCs w:val="22"/>
              </w:rPr>
              <w:t>0.000</w:t>
            </w:r>
          </w:p>
        </w:tc>
        <w:tc>
          <w:tcPr>
            <w:tcW w:w="459" w:type="pct"/>
            <w:shd w:val="clear" w:color="auto" w:fill="FFFFFF" w:themeFill="background1"/>
            <w:noWrap/>
          </w:tcPr>
          <w:p w14:paraId="04795967" w14:textId="1EA4E969" w:rsidR="006C6FA9" w:rsidRPr="008D0BAC" w:rsidRDefault="006C6FA9" w:rsidP="006C6FA9">
            <w:pPr>
              <w:pStyle w:val="Tabletext"/>
              <w:rPr>
                <w:noProof/>
                <w:sz w:val="22"/>
                <w:szCs w:val="22"/>
              </w:rPr>
            </w:pPr>
            <w:r w:rsidRPr="008D0BAC">
              <w:rPr>
                <w:noProof/>
                <w:sz w:val="22"/>
                <w:szCs w:val="22"/>
              </w:rPr>
              <w:t>0.320</w:t>
            </w:r>
          </w:p>
        </w:tc>
        <w:tc>
          <w:tcPr>
            <w:tcW w:w="459" w:type="pct"/>
            <w:shd w:val="clear" w:color="auto" w:fill="FFFFFF" w:themeFill="background1"/>
            <w:noWrap/>
          </w:tcPr>
          <w:p w14:paraId="3E677F50" w14:textId="379B1479" w:rsidR="006C6FA9" w:rsidRPr="008D0BAC" w:rsidRDefault="006C6FA9" w:rsidP="006C6FA9">
            <w:pPr>
              <w:pStyle w:val="Tabletext"/>
              <w:rPr>
                <w:noProof/>
                <w:sz w:val="22"/>
                <w:szCs w:val="22"/>
              </w:rPr>
            </w:pPr>
            <w:r w:rsidRPr="008D0BAC">
              <w:rPr>
                <w:noProof/>
                <w:sz w:val="22"/>
                <w:szCs w:val="22"/>
              </w:rPr>
              <w:t>0.529</w:t>
            </w:r>
          </w:p>
        </w:tc>
        <w:tc>
          <w:tcPr>
            <w:tcW w:w="459" w:type="pct"/>
            <w:shd w:val="clear" w:color="auto" w:fill="FFFFFF" w:themeFill="background1"/>
            <w:noWrap/>
          </w:tcPr>
          <w:p w14:paraId="238BF110" w14:textId="536D29B1" w:rsidR="006C6FA9" w:rsidRPr="008D0BAC" w:rsidRDefault="006C6FA9" w:rsidP="006C6FA9">
            <w:pPr>
              <w:pStyle w:val="Tabletext"/>
              <w:rPr>
                <w:noProof/>
                <w:sz w:val="22"/>
                <w:szCs w:val="22"/>
              </w:rPr>
            </w:pPr>
            <w:r w:rsidRPr="008D0BAC">
              <w:rPr>
                <w:noProof/>
                <w:sz w:val="22"/>
                <w:szCs w:val="22"/>
              </w:rPr>
              <w:t>0.061</w:t>
            </w:r>
          </w:p>
        </w:tc>
        <w:tc>
          <w:tcPr>
            <w:tcW w:w="459" w:type="pct"/>
            <w:shd w:val="clear" w:color="auto" w:fill="FFFFFF" w:themeFill="background1"/>
            <w:noWrap/>
          </w:tcPr>
          <w:p w14:paraId="4AABB3DA" w14:textId="1DE54CEF" w:rsidR="006C6FA9" w:rsidRPr="008D0BAC" w:rsidRDefault="006C6FA9" w:rsidP="006C6FA9">
            <w:pPr>
              <w:pStyle w:val="Tabletext"/>
              <w:rPr>
                <w:noProof/>
                <w:sz w:val="22"/>
                <w:szCs w:val="22"/>
              </w:rPr>
            </w:pPr>
            <w:r w:rsidRPr="008D0BAC">
              <w:rPr>
                <w:noProof/>
                <w:sz w:val="22"/>
                <w:szCs w:val="22"/>
              </w:rPr>
              <w:t>-0.053</w:t>
            </w:r>
          </w:p>
        </w:tc>
        <w:tc>
          <w:tcPr>
            <w:tcW w:w="459" w:type="pct"/>
            <w:shd w:val="clear" w:color="auto" w:fill="FFFFFF" w:themeFill="background1"/>
            <w:noWrap/>
          </w:tcPr>
          <w:p w14:paraId="381F7F26" w14:textId="00C53A4E" w:rsidR="006C6FA9" w:rsidRPr="008D0BAC" w:rsidRDefault="006C6FA9" w:rsidP="006C6FA9">
            <w:pPr>
              <w:pStyle w:val="Tabletext"/>
              <w:rPr>
                <w:noProof/>
                <w:sz w:val="22"/>
                <w:szCs w:val="22"/>
              </w:rPr>
            </w:pPr>
            <w:r w:rsidRPr="008D0BAC">
              <w:rPr>
                <w:noProof/>
                <w:sz w:val="22"/>
                <w:szCs w:val="22"/>
              </w:rPr>
              <w:t>0.248</w:t>
            </w:r>
          </w:p>
        </w:tc>
        <w:tc>
          <w:tcPr>
            <w:tcW w:w="459" w:type="pct"/>
            <w:shd w:val="clear" w:color="auto" w:fill="FFFFFF" w:themeFill="background1"/>
            <w:noWrap/>
          </w:tcPr>
          <w:p w14:paraId="2B5D9D30" w14:textId="295A6EC5" w:rsidR="006C6FA9" w:rsidRPr="008D0BAC" w:rsidRDefault="006C6FA9" w:rsidP="006C6FA9">
            <w:pPr>
              <w:pStyle w:val="Tabletext"/>
              <w:rPr>
                <w:noProof/>
                <w:sz w:val="22"/>
                <w:szCs w:val="22"/>
              </w:rPr>
            </w:pPr>
            <w:r w:rsidRPr="008D0BAC">
              <w:rPr>
                <w:noProof/>
                <w:sz w:val="22"/>
                <w:szCs w:val="22"/>
              </w:rPr>
              <w:t>0.050</w:t>
            </w:r>
          </w:p>
        </w:tc>
        <w:tc>
          <w:tcPr>
            <w:tcW w:w="461" w:type="pct"/>
            <w:shd w:val="clear" w:color="auto" w:fill="FFFFFF" w:themeFill="background1"/>
            <w:noWrap/>
          </w:tcPr>
          <w:p w14:paraId="4163FFBF" w14:textId="19597842" w:rsidR="006C6FA9" w:rsidRPr="008D0BAC" w:rsidRDefault="00105DF2" w:rsidP="006C6FA9">
            <w:pPr>
              <w:pStyle w:val="Tabletext"/>
              <w:rPr>
                <w:noProof/>
                <w:sz w:val="22"/>
                <w:szCs w:val="22"/>
              </w:rPr>
            </w:pPr>
            <w:r>
              <w:rPr>
                <w:noProof/>
                <w:sz w:val="22"/>
                <w:szCs w:val="22"/>
              </w:rPr>
              <w:t>0.629</w:t>
            </w:r>
          </w:p>
        </w:tc>
        <w:tc>
          <w:tcPr>
            <w:tcW w:w="445" w:type="pct"/>
            <w:shd w:val="clear" w:color="auto" w:fill="FFFFFF" w:themeFill="background1"/>
            <w:noWrap/>
          </w:tcPr>
          <w:p w14:paraId="34571CE7" w14:textId="18673CDE" w:rsidR="006C6FA9" w:rsidRPr="008D0BAC" w:rsidRDefault="00105DF2" w:rsidP="006C6FA9">
            <w:pPr>
              <w:pStyle w:val="Tabletext"/>
              <w:rPr>
                <w:noProof/>
                <w:sz w:val="22"/>
                <w:szCs w:val="22"/>
              </w:rPr>
            </w:pPr>
            <w:r>
              <w:rPr>
                <w:noProof/>
                <w:sz w:val="22"/>
                <w:szCs w:val="22"/>
              </w:rPr>
              <w:t>0.526</w:t>
            </w:r>
          </w:p>
        </w:tc>
      </w:tr>
    </w:tbl>
    <w:p w14:paraId="42AEA158" w14:textId="51932DFF" w:rsidR="0017193A" w:rsidRPr="00E96E47" w:rsidRDefault="0017193A" w:rsidP="005D5936">
      <w:pPr>
        <w:pStyle w:val="Heading3"/>
        <w:numPr>
          <w:ilvl w:val="2"/>
          <w:numId w:val="72"/>
        </w:numPr>
        <w:spacing w:before="240"/>
        <w:ind w:left="1678"/>
        <w:rPr>
          <w:noProof/>
        </w:rPr>
      </w:pPr>
      <w:bookmarkStart w:id="303" w:name="_Toc214519737"/>
      <w:r w:rsidRPr="00E96E47">
        <w:rPr>
          <w:noProof/>
        </w:rPr>
        <w:t>Multi-criteria analysis for Problem 2</w:t>
      </w:r>
      <w:bookmarkEnd w:id="303"/>
      <w:r w:rsidR="00D5294C">
        <w:rPr>
          <w:noProof/>
        </w:rPr>
        <w:t xml:space="preserve"> </w:t>
      </w:r>
    </w:p>
    <w:p w14:paraId="7CCE1586" w14:textId="2F07B9DE" w:rsidR="004668E3" w:rsidRPr="004668E3" w:rsidRDefault="004668E3" w:rsidP="004668E3">
      <w:pPr>
        <w:pStyle w:val="Caption"/>
        <w:jc w:val="both"/>
        <w:rPr>
          <w:b w:val="0"/>
          <w:iCs w:val="0"/>
          <w:noProof/>
          <w:color w:val="auto"/>
          <w:sz w:val="24"/>
          <w:szCs w:val="24"/>
          <w:lang w:val="en-GB"/>
        </w:rPr>
      </w:pPr>
      <w:r w:rsidRPr="004668E3">
        <w:rPr>
          <w:b w:val="0"/>
          <w:iCs w:val="0"/>
          <w:noProof/>
          <w:color w:val="auto"/>
          <w:sz w:val="24"/>
          <w:szCs w:val="24"/>
          <w:lang w:val="en-GB"/>
        </w:rPr>
        <w:t>For Problem 2, all three options outperform the baseline clearly under both equal weighting and the Problem 2 weighting, but with a distinct ordering. Under equal weighting, total scores move from a negative baseline (-0.183) to moderately positive values for all options (0.</w:t>
      </w:r>
      <w:r w:rsidR="00F866F0">
        <w:rPr>
          <w:b w:val="0"/>
          <w:iCs w:val="0"/>
          <w:noProof/>
          <w:color w:val="auto"/>
          <w:sz w:val="24"/>
          <w:szCs w:val="24"/>
          <w:lang w:val="en-GB"/>
        </w:rPr>
        <w:t>439</w:t>
      </w:r>
      <w:r w:rsidRPr="004668E3">
        <w:rPr>
          <w:b w:val="0"/>
          <w:iCs w:val="0"/>
          <w:noProof/>
          <w:color w:val="auto"/>
          <w:sz w:val="24"/>
          <w:szCs w:val="24"/>
          <w:lang w:val="en-GB"/>
        </w:rPr>
        <w:t xml:space="preserve"> for PO2</w:t>
      </w:r>
      <w:r w:rsidR="00F866F0">
        <w:rPr>
          <w:b w:val="0"/>
          <w:iCs w:val="0"/>
          <w:noProof/>
          <w:color w:val="auto"/>
          <w:sz w:val="24"/>
          <w:szCs w:val="24"/>
          <w:lang w:val="en-GB"/>
        </w:rPr>
        <w:t>-</w:t>
      </w:r>
      <w:r w:rsidRPr="004668E3">
        <w:rPr>
          <w:b w:val="0"/>
          <w:iCs w:val="0"/>
          <w:noProof/>
          <w:color w:val="auto"/>
          <w:sz w:val="24"/>
          <w:szCs w:val="24"/>
          <w:lang w:val="en-GB"/>
        </w:rPr>
        <w:t>A, 0.</w:t>
      </w:r>
      <w:r w:rsidR="00F866F0">
        <w:rPr>
          <w:b w:val="0"/>
          <w:iCs w:val="0"/>
          <w:noProof/>
          <w:color w:val="auto"/>
          <w:sz w:val="24"/>
          <w:szCs w:val="24"/>
          <w:lang w:val="en-GB"/>
        </w:rPr>
        <w:t>418</w:t>
      </w:r>
      <w:r w:rsidRPr="004668E3">
        <w:rPr>
          <w:b w:val="0"/>
          <w:iCs w:val="0"/>
          <w:noProof/>
          <w:color w:val="auto"/>
          <w:sz w:val="24"/>
          <w:szCs w:val="24"/>
          <w:lang w:val="en-GB"/>
        </w:rPr>
        <w:t xml:space="preserve"> for PO2</w:t>
      </w:r>
      <w:r w:rsidR="00F866F0">
        <w:rPr>
          <w:b w:val="0"/>
          <w:iCs w:val="0"/>
          <w:noProof/>
          <w:color w:val="auto"/>
          <w:sz w:val="24"/>
          <w:szCs w:val="24"/>
          <w:lang w:val="en-GB"/>
        </w:rPr>
        <w:t>-</w:t>
      </w:r>
      <w:r w:rsidRPr="004668E3">
        <w:rPr>
          <w:b w:val="0"/>
          <w:iCs w:val="0"/>
          <w:noProof/>
          <w:color w:val="auto"/>
          <w:sz w:val="24"/>
          <w:szCs w:val="24"/>
          <w:lang w:val="en-GB"/>
        </w:rPr>
        <w:t>B, 0.48</w:t>
      </w:r>
      <w:r w:rsidR="00F866F0">
        <w:rPr>
          <w:b w:val="0"/>
          <w:iCs w:val="0"/>
          <w:noProof/>
          <w:color w:val="auto"/>
          <w:sz w:val="24"/>
          <w:szCs w:val="24"/>
          <w:lang w:val="en-GB"/>
        </w:rPr>
        <w:t xml:space="preserve">8 </w:t>
      </w:r>
      <w:r w:rsidRPr="004668E3">
        <w:rPr>
          <w:b w:val="0"/>
          <w:iCs w:val="0"/>
          <w:noProof/>
          <w:color w:val="auto"/>
          <w:sz w:val="24"/>
          <w:szCs w:val="24"/>
          <w:lang w:val="en-GB"/>
        </w:rPr>
        <w:t>for PO2</w:t>
      </w:r>
      <w:r w:rsidR="00F866F0">
        <w:rPr>
          <w:b w:val="0"/>
          <w:iCs w:val="0"/>
          <w:noProof/>
          <w:color w:val="auto"/>
          <w:sz w:val="24"/>
          <w:szCs w:val="24"/>
          <w:lang w:val="en-GB"/>
        </w:rPr>
        <w:t>-</w:t>
      </w:r>
      <w:r w:rsidRPr="004668E3">
        <w:rPr>
          <w:b w:val="0"/>
          <w:iCs w:val="0"/>
          <w:noProof/>
          <w:color w:val="auto"/>
          <w:sz w:val="24"/>
          <w:szCs w:val="24"/>
          <w:lang w:val="en-GB"/>
        </w:rPr>
        <w:t xml:space="preserve">C), reflecting broad improvements across </w:t>
      </w:r>
      <w:r w:rsidR="00F866F0">
        <w:rPr>
          <w:b w:val="0"/>
          <w:iCs w:val="0"/>
          <w:noProof/>
          <w:color w:val="auto"/>
          <w:sz w:val="24"/>
          <w:szCs w:val="24"/>
          <w:lang w:val="en-GB"/>
        </w:rPr>
        <w:t>effectiveness</w:t>
      </w:r>
      <w:r w:rsidRPr="004668E3">
        <w:rPr>
          <w:b w:val="0"/>
          <w:iCs w:val="0"/>
          <w:noProof/>
          <w:color w:val="auto"/>
          <w:sz w:val="24"/>
          <w:szCs w:val="24"/>
          <w:lang w:val="en-GB"/>
        </w:rPr>
        <w:t>, social and environmental dimensions despite remaining negative on costs. When the Problem 2 weighting is applied, placing greater emphasis on economic and sovereignty-related aspects, overall performance improves substantially and differences between options become more marked. The baseline remains negative (-0.220), while PO2</w:t>
      </w:r>
      <w:r w:rsidR="00F866F0">
        <w:rPr>
          <w:b w:val="0"/>
          <w:iCs w:val="0"/>
          <w:noProof/>
          <w:color w:val="auto"/>
          <w:sz w:val="24"/>
          <w:szCs w:val="24"/>
          <w:lang w:val="en-GB"/>
        </w:rPr>
        <w:t>-</w:t>
      </w:r>
      <w:r w:rsidRPr="004668E3">
        <w:rPr>
          <w:b w:val="0"/>
          <w:iCs w:val="0"/>
          <w:noProof/>
          <w:color w:val="auto"/>
          <w:sz w:val="24"/>
          <w:szCs w:val="24"/>
          <w:lang w:val="en-GB"/>
        </w:rPr>
        <w:t>A rises to 0.5</w:t>
      </w:r>
      <w:r w:rsidR="00F866F0">
        <w:rPr>
          <w:b w:val="0"/>
          <w:iCs w:val="0"/>
          <w:noProof/>
          <w:color w:val="auto"/>
          <w:sz w:val="24"/>
          <w:szCs w:val="24"/>
          <w:lang w:val="en-GB"/>
        </w:rPr>
        <w:t>72</w:t>
      </w:r>
      <w:r w:rsidRPr="004668E3">
        <w:rPr>
          <w:b w:val="0"/>
          <w:iCs w:val="0"/>
          <w:noProof/>
          <w:color w:val="auto"/>
          <w:sz w:val="24"/>
          <w:szCs w:val="24"/>
          <w:lang w:val="en-GB"/>
        </w:rPr>
        <w:t xml:space="preserve"> and PO2</w:t>
      </w:r>
      <w:r w:rsidR="00F866F0">
        <w:rPr>
          <w:b w:val="0"/>
          <w:iCs w:val="0"/>
          <w:noProof/>
          <w:color w:val="auto"/>
          <w:sz w:val="24"/>
          <w:szCs w:val="24"/>
          <w:lang w:val="en-GB"/>
        </w:rPr>
        <w:t>-</w:t>
      </w:r>
      <w:r w:rsidRPr="004668E3">
        <w:rPr>
          <w:b w:val="0"/>
          <w:iCs w:val="0"/>
          <w:noProof/>
          <w:color w:val="auto"/>
          <w:sz w:val="24"/>
          <w:szCs w:val="24"/>
          <w:lang w:val="en-GB"/>
        </w:rPr>
        <w:t>B and PO2</w:t>
      </w:r>
      <w:r w:rsidR="00F866F0">
        <w:rPr>
          <w:b w:val="0"/>
          <w:iCs w:val="0"/>
          <w:noProof/>
          <w:color w:val="auto"/>
          <w:sz w:val="24"/>
          <w:szCs w:val="24"/>
          <w:lang w:val="en-GB"/>
        </w:rPr>
        <w:t>-</w:t>
      </w:r>
      <w:r w:rsidRPr="004668E3">
        <w:rPr>
          <w:b w:val="0"/>
          <w:iCs w:val="0"/>
          <w:noProof/>
          <w:color w:val="auto"/>
          <w:sz w:val="24"/>
          <w:szCs w:val="24"/>
          <w:lang w:val="en-GB"/>
        </w:rPr>
        <w:t>C reach 0.</w:t>
      </w:r>
      <w:r w:rsidR="00F866F0">
        <w:rPr>
          <w:b w:val="0"/>
          <w:iCs w:val="0"/>
          <w:noProof/>
          <w:color w:val="auto"/>
          <w:sz w:val="24"/>
          <w:szCs w:val="24"/>
          <w:lang w:val="en-GB"/>
        </w:rPr>
        <w:t>709</w:t>
      </w:r>
      <w:r w:rsidR="00F866F0" w:rsidRPr="004668E3">
        <w:rPr>
          <w:b w:val="0"/>
          <w:iCs w:val="0"/>
          <w:noProof/>
          <w:color w:val="auto"/>
          <w:sz w:val="24"/>
          <w:szCs w:val="24"/>
          <w:lang w:val="en-GB"/>
        </w:rPr>
        <w:t xml:space="preserve"> </w:t>
      </w:r>
      <w:r w:rsidRPr="004668E3">
        <w:rPr>
          <w:b w:val="0"/>
          <w:iCs w:val="0"/>
          <w:noProof/>
          <w:color w:val="auto"/>
          <w:sz w:val="24"/>
          <w:szCs w:val="24"/>
          <w:lang w:val="en-GB"/>
        </w:rPr>
        <w:t>and 0.</w:t>
      </w:r>
      <w:r w:rsidR="00F866F0" w:rsidRPr="004668E3">
        <w:rPr>
          <w:b w:val="0"/>
          <w:iCs w:val="0"/>
          <w:noProof/>
          <w:color w:val="auto"/>
          <w:sz w:val="24"/>
          <w:szCs w:val="24"/>
          <w:lang w:val="en-GB"/>
        </w:rPr>
        <w:t>9</w:t>
      </w:r>
      <w:r w:rsidR="00F866F0">
        <w:rPr>
          <w:b w:val="0"/>
          <w:iCs w:val="0"/>
          <w:noProof/>
          <w:color w:val="auto"/>
          <w:sz w:val="24"/>
          <w:szCs w:val="24"/>
          <w:lang w:val="en-GB"/>
        </w:rPr>
        <w:t>28</w:t>
      </w:r>
      <w:r w:rsidR="00F866F0" w:rsidRPr="004668E3">
        <w:rPr>
          <w:b w:val="0"/>
          <w:iCs w:val="0"/>
          <w:noProof/>
          <w:color w:val="auto"/>
          <w:sz w:val="24"/>
          <w:szCs w:val="24"/>
          <w:lang w:val="en-GB"/>
        </w:rPr>
        <w:t xml:space="preserve"> </w:t>
      </w:r>
      <w:r w:rsidRPr="004668E3">
        <w:rPr>
          <w:b w:val="0"/>
          <w:iCs w:val="0"/>
          <w:noProof/>
          <w:color w:val="auto"/>
          <w:sz w:val="24"/>
          <w:szCs w:val="24"/>
          <w:lang w:val="en-GB"/>
        </w:rPr>
        <w:t>respectively.</w:t>
      </w:r>
    </w:p>
    <w:p w14:paraId="6F12D6E4" w14:textId="609667B3" w:rsidR="00EB1721" w:rsidRDefault="00EB1721" w:rsidP="004668E3">
      <w:pPr>
        <w:pStyle w:val="Caption"/>
        <w:jc w:val="both"/>
        <w:rPr>
          <w:b w:val="0"/>
          <w:noProof/>
          <w:color w:val="auto"/>
          <w:sz w:val="24"/>
          <w:szCs w:val="24"/>
          <w:lang w:val="en-GB"/>
        </w:rPr>
      </w:pPr>
      <w:r w:rsidRPr="004668E3">
        <w:rPr>
          <w:b w:val="0"/>
          <w:noProof/>
          <w:color w:val="auto"/>
          <w:sz w:val="24"/>
          <w:szCs w:val="24"/>
          <w:lang w:val="en-GB"/>
        </w:rPr>
        <w:t xml:space="preserve">The shift to the P2 weighting particularly benefits </w:t>
      </w:r>
      <w:r w:rsidR="004668E3" w:rsidRPr="004668E3">
        <w:rPr>
          <w:b w:val="0"/>
          <w:iCs w:val="0"/>
          <w:noProof/>
          <w:color w:val="auto"/>
          <w:sz w:val="24"/>
          <w:szCs w:val="24"/>
          <w:lang w:val="en-GB"/>
        </w:rPr>
        <w:t>PO2</w:t>
      </w:r>
      <w:r w:rsidR="00F866F0">
        <w:rPr>
          <w:b w:val="0"/>
          <w:iCs w:val="0"/>
          <w:noProof/>
          <w:color w:val="auto"/>
          <w:sz w:val="24"/>
          <w:szCs w:val="24"/>
          <w:lang w:val="en-GB"/>
        </w:rPr>
        <w:t>-</w:t>
      </w:r>
      <w:r w:rsidR="004668E3" w:rsidRPr="004668E3">
        <w:rPr>
          <w:b w:val="0"/>
          <w:iCs w:val="0"/>
          <w:noProof/>
          <w:color w:val="auto"/>
          <w:sz w:val="24"/>
          <w:szCs w:val="24"/>
          <w:lang w:val="en-GB"/>
        </w:rPr>
        <w:t>B</w:t>
      </w:r>
      <w:r w:rsidRPr="004668E3">
        <w:rPr>
          <w:b w:val="0"/>
          <w:noProof/>
          <w:color w:val="auto"/>
          <w:sz w:val="24"/>
          <w:szCs w:val="24"/>
          <w:lang w:val="en-GB"/>
        </w:rPr>
        <w:t xml:space="preserve"> and </w:t>
      </w:r>
      <w:r w:rsidR="004668E3" w:rsidRPr="004668E3">
        <w:rPr>
          <w:b w:val="0"/>
          <w:iCs w:val="0"/>
          <w:noProof/>
          <w:color w:val="auto"/>
          <w:sz w:val="24"/>
          <w:szCs w:val="24"/>
          <w:lang w:val="en-GB"/>
        </w:rPr>
        <w:t>PO2</w:t>
      </w:r>
      <w:r w:rsidR="00F866F0">
        <w:rPr>
          <w:b w:val="0"/>
          <w:iCs w:val="0"/>
          <w:noProof/>
          <w:color w:val="auto"/>
          <w:sz w:val="24"/>
          <w:szCs w:val="24"/>
          <w:lang w:val="en-GB"/>
        </w:rPr>
        <w:t>-</w:t>
      </w:r>
      <w:r w:rsidR="004668E3" w:rsidRPr="004668E3">
        <w:rPr>
          <w:b w:val="0"/>
          <w:iCs w:val="0"/>
          <w:noProof/>
          <w:color w:val="auto"/>
          <w:sz w:val="24"/>
          <w:szCs w:val="24"/>
          <w:lang w:val="en-GB"/>
        </w:rPr>
        <w:t>C</w:t>
      </w:r>
      <w:r w:rsidRPr="004668E3">
        <w:rPr>
          <w:b w:val="0"/>
          <w:noProof/>
          <w:color w:val="auto"/>
          <w:sz w:val="24"/>
          <w:szCs w:val="24"/>
          <w:lang w:val="en-GB"/>
        </w:rPr>
        <w:t xml:space="preserve"> because they combine improved cost outcomes (costs turn positive under P2 for both) with strong gains on the </w:t>
      </w:r>
      <w:r w:rsidR="006F4875">
        <w:rPr>
          <w:b w:val="0"/>
          <w:noProof/>
          <w:color w:val="auto"/>
          <w:sz w:val="24"/>
          <w:szCs w:val="24"/>
          <w:lang w:val="en-GB"/>
        </w:rPr>
        <w:t>effectiveness</w:t>
      </w:r>
      <w:r w:rsidR="006F4875" w:rsidRPr="004668E3">
        <w:rPr>
          <w:b w:val="0"/>
          <w:noProof/>
          <w:color w:val="auto"/>
          <w:sz w:val="24"/>
          <w:szCs w:val="24"/>
          <w:lang w:val="en-GB"/>
        </w:rPr>
        <w:t xml:space="preserve"> </w:t>
      </w:r>
      <w:r w:rsidRPr="004668E3">
        <w:rPr>
          <w:b w:val="0"/>
          <w:noProof/>
          <w:color w:val="auto"/>
          <w:sz w:val="24"/>
          <w:szCs w:val="24"/>
          <w:lang w:val="en-GB"/>
        </w:rPr>
        <w:t xml:space="preserve">dimension, which carries the highest weight in this scenario. Social scores are consistently positive and higher than the baseline for all three options in both weighting schemes, and environmental scores, while modest, also improve relative to the status quo. </w:t>
      </w:r>
      <w:r w:rsidR="004668E3" w:rsidRPr="004668E3">
        <w:rPr>
          <w:b w:val="0"/>
          <w:iCs w:val="0"/>
          <w:noProof/>
          <w:color w:val="auto"/>
          <w:sz w:val="24"/>
          <w:szCs w:val="24"/>
          <w:lang w:val="en-GB"/>
        </w:rPr>
        <w:t>PO2</w:t>
      </w:r>
      <w:r w:rsidR="0004709E">
        <w:rPr>
          <w:b w:val="0"/>
          <w:iCs w:val="0"/>
          <w:noProof/>
          <w:color w:val="auto"/>
          <w:sz w:val="24"/>
          <w:szCs w:val="24"/>
          <w:lang w:val="en-GB"/>
        </w:rPr>
        <w:t>-</w:t>
      </w:r>
      <w:r w:rsidR="004668E3" w:rsidRPr="004668E3">
        <w:rPr>
          <w:b w:val="0"/>
          <w:iCs w:val="0"/>
          <w:noProof/>
          <w:color w:val="auto"/>
          <w:sz w:val="24"/>
          <w:szCs w:val="24"/>
          <w:lang w:val="en-GB"/>
        </w:rPr>
        <w:t>A and PO2</w:t>
      </w:r>
      <w:r w:rsidR="0004709E">
        <w:rPr>
          <w:b w:val="0"/>
          <w:iCs w:val="0"/>
          <w:noProof/>
          <w:color w:val="auto"/>
          <w:sz w:val="24"/>
          <w:szCs w:val="24"/>
          <w:lang w:val="en-GB"/>
        </w:rPr>
        <w:t>-</w:t>
      </w:r>
      <w:r w:rsidR="004668E3" w:rsidRPr="004668E3">
        <w:rPr>
          <w:b w:val="0"/>
          <w:iCs w:val="0"/>
          <w:noProof/>
          <w:color w:val="auto"/>
          <w:sz w:val="24"/>
          <w:szCs w:val="24"/>
          <w:lang w:val="en-GB"/>
        </w:rPr>
        <w:t>B</w:t>
      </w:r>
      <w:r w:rsidRPr="004668E3">
        <w:rPr>
          <w:b w:val="0"/>
          <w:noProof/>
          <w:color w:val="auto"/>
          <w:sz w:val="24"/>
          <w:szCs w:val="24"/>
          <w:lang w:val="en-GB"/>
        </w:rPr>
        <w:t xml:space="preserve"> perform well but </w:t>
      </w:r>
      <w:r w:rsidR="0004709E">
        <w:rPr>
          <w:b w:val="0"/>
          <w:noProof/>
          <w:color w:val="auto"/>
          <w:sz w:val="24"/>
          <w:szCs w:val="24"/>
          <w:lang w:val="en-GB"/>
        </w:rPr>
        <w:t>are</w:t>
      </w:r>
      <w:r w:rsidR="0004709E" w:rsidRPr="004668E3">
        <w:rPr>
          <w:b w:val="0"/>
          <w:noProof/>
          <w:color w:val="auto"/>
          <w:sz w:val="24"/>
          <w:szCs w:val="24"/>
          <w:lang w:val="en-GB"/>
        </w:rPr>
        <w:t xml:space="preserve"> </w:t>
      </w:r>
      <w:r w:rsidRPr="004668E3">
        <w:rPr>
          <w:b w:val="0"/>
          <w:noProof/>
          <w:color w:val="auto"/>
          <w:sz w:val="24"/>
          <w:szCs w:val="24"/>
          <w:lang w:val="en-GB"/>
        </w:rPr>
        <w:t xml:space="preserve">clearly dominated </w:t>
      </w:r>
      <w:r w:rsidR="004668E3" w:rsidRPr="004668E3">
        <w:rPr>
          <w:b w:val="0"/>
          <w:iCs w:val="0"/>
          <w:noProof/>
          <w:color w:val="auto"/>
          <w:sz w:val="24"/>
          <w:szCs w:val="24"/>
          <w:lang w:val="en-GB"/>
        </w:rPr>
        <w:t>PO2</w:t>
      </w:r>
      <w:r w:rsidR="0004709E">
        <w:rPr>
          <w:b w:val="0"/>
          <w:iCs w:val="0"/>
          <w:noProof/>
          <w:color w:val="auto"/>
          <w:sz w:val="24"/>
          <w:szCs w:val="24"/>
          <w:lang w:val="en-GB"/>
        </w:rPr>
        <w:t>-</w:t>
      </w:r>
      <w:r w:rsidR="004668E3" w:rsidRPr="004668E3">
        <w:rPr>
          <w:b w:val="0"/>
          <w:iCs w:val="0"/>
          <w:noProof/>
          <w:color w:val="auto"/>
          <w:sz w:val="24"/>
          <w:szCs w:val="24"/>
          <w:lang w:val="en-GB"/>
        </w:rPr>
        <w:t>C</w:t>
      </w:r>
      <w:r w:rsidRPr="004668E3">
        <w:rPr>
          <w:b w:val="0"/>
          <w:noProof/>
          <w:color w:val="auto"/>
          <w:sz w:val="24"/>
          <w:szCs w:val="24"/>
          <w:lang w:val="en-GB"/>
        </w:rPr>
        <w:t xml:space="preserve"> under P2, indicating that more ambitious and coordinated intervention on sovereignty and uptake delivers a better balance of costs and benefits when judged against the Problem 2 policy priorities.</w:t>
      </w:r>
    </w:p>
    <w:p w14:paraId="40CAD9BF" w14:textId="40F1F791" w:rsidR="00EB1721" w:rsidRDefault="00EB1721" w:rsidP="00EB1721">
      <w:pPr>
        <w:pStyle w:val="Caption"/>
        <w:rPr>
          <w:b w:val="0"/>
          <w:bCs/>
          <w:noProof/>
        </w:rPr>
      </w:pPr>
      <w:bookmarkStart w:id="304" w:name="_Toc215886331"/>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57</w:t>
      </w:r>
      <w:r>
        <w:rPr>
          <w:noProof/>
        </w:rPr>
        <w:fldChar w:fldCharType="end"/>
      </w:r>
      <w:r w:rsidR="0000715D">
        <w:rPr>
          <w:noProof/>
        </w:rPr>
        <w:t>.</w:t>
      </w:r>
      <w:r>
        <w:rPr>
          <w:noProof/>
        </w:rPr>
        <w:t xml:space="preserve"> MCDA Results MAUT – Problem 2</w:t>
      </w:r>
      <w:bookmarkEnd w:id="304"/>
      <w:r w:rsidR="004E323D">
        <w:rPr>
          <w:noProof/>
        </w:rPr>
        <w:t xml:space="preserve"> </w:t>
      </w:r>
      <w:r w:rsidR="004E323D" w:rsidRPr="00785FC1">
        <w:rPr>
          <w:b w:val="0"/>
          <w:bCs/>
          <w:noProof/>
        </w:rPr>
        <w:t>(Source: Technopolis et al. (2025))</w:t>
      </w:r>
    </w:p>
    <w:tbl>
      <w:tblPr>
        <w:tblStyle w:val="TechnopolisTable"/>
        <w:tblpPr w:leftFromText="180" w:rightFromText="180" w:vertAnchor="text" w:tblpY="1"/>
        <w:tblW w:w="5096" w:type="pct"/>
        <w:tblInd w:w="0" w:type="dxa"/>
        <w:shd w:val="clear" w:color="auto" w:fill="FFFFFF"/>
        <w:tblLayout w:type="fixed"/>
        <w:tblLook w:val="04A0" w:firstRow="1" w:lastRow="0" w:firstColumn="1" w:lastColumn="0" w:noHBand="0" w:noVBand="1"/>
      </w:tblPr>
      <w:tblGrid>
        <w:gridCol w:w="893"/>
        <w:gridCol w:w="833"/>
        <w:gridCol w:w="833"/>
        <w:gridCol w:w="833"/>
        <w:gridCol w:w="833"/>
        <w:gridCol w:w="833"/>
        <w:gridCol w:w="832"/>
        <w:gridCol w:w="833"/>
        <w:gridCol w:w="833"/>
        <w:gridCol w:w="833"/>
        <w:gridCol w:w="830"/>
      </w:tblGrid>
      <w:tr w:rsidR="00661A8C" w:rsidRPr="002818A5" w14:paraId="36327AD8" w14:textId="77777777" w:rsidTr="003B7225">
        <w:trPr>
          <w:cnfStyle w:val="100000000000" w:firstRow="1" w:lastRow="0" w:firstColumn="0" w:lastColumn="0" w:oddVBand="0" w:evenVBand="0" w:oddHBand="0" w:evenHBand="0" w:firstRowFirstColumn="0" w:firstRowLastColumn="0" w:lastRowFirstColumn="0" w:lastRowLastColumn="0"/>
          <w:trHeight w:val="296"/>
        </w:trPr>
        <w:tc>
          <w:tcPr>
            <w:tcW w:w="484" w:type="pct"/>
            <w:shd w:val="clear" w:color="auto" w:fill="DBE5F1" w:themeFill="accent1" w:themeFillTint="33"/>
            <w:noWrap/>
          </w:tcPr>
          <w:p w14:paraId="61E6CEB0" w14:textId="77777777" w:rsidR="00661A8C" w:rsidRPr="00DA029C" w:rsidRDefault="00661A8C">
            <w:pPr>
              <w:pStyle w:val="Tabletext"/>
              <w:rPr>
                <w:noProof/>
                <w:sz w:val="22"/>
                <w:szCs w:val="22"/>
              </w:rPr>
            </w:pPr>
          </w:p>
        </w:tc>
        <w:tc>
          <w:tcPr>
            <w:tcW w:w="903" w:type="pct"/>
            <w:gridSpan w:val="2"/>
            <w:shd w:val="clear" w:color="auto" w:fill="DBE5F1" w:themeFill="accent1" w:themeFillTint="33"/>
            <w:noWrap/>
          </w:tcPr>
          <w:p w14:paraId="6E942847" w14:textId="77777777" w:rsidR="00661A8C" w:rsidRPr="0034096D" w:rsidRDefault="00661A8C">
            <w:pPr>
              <w:pStyle w:val="Tabletext"/>
              <w:rPr>
                <w:noProof/>
                <w:sz w:val="18"/>
                <w:szCs w:val="18"/>
              </w:rPr>
            </w:pPr>
            <w:r w:rsidRPr="0034096D">
              <w:rPr>
                <w:noProof/>
                <w:sz w:val="18"/>
                <w:szCs w:val="18"/>
              </w:rPr>
              <w:t>Costs/efficiency</w:t>
            </w:r>
          </w:p>
        </w:tc>
        <w:tc>
          <w:tcPr>
            <w:tcW w:w="904" w:type="pct"/>
            <w:gridSpan w:val="2"/>
            <w:shd w:val="clear" w:color="auto" w:fill="DBE5F1" w:themeFill="accent1" w:themeFillTint="33"/>
            <w:noWrap/>
          </w:tcPr>
          <w:p w14:paraId="44DA0CAD" w14:textId="77777777" w:rsidR="00661A8C" w:rsidRPr="0034096D" w:rsidRDefault="00661A8C">
            <w:pPr>
              <w:pStyle w:val="Tabletext"/>
              <w:rPr>
                <w:noProof/>
                <w:sz w:val="18"/>
                <w:szCs w:val="18"/>
              </w:rPr>
            </w:pPr>
            <w:r>
              <w:rPr>
                <w:noProof/>
                <w:sz w:val="18"/>
                <w:szCs w:val="18"/>
              </w:rPr>
              <w:t>E</w:t>
            </w:r>
            <w:r w:rsidRPr="0034096D">
              <w:rPr>
                <w:noProof/>
                <w:sz w:val="18"/>
                <w:szCs w:val="18"/>
              </w:rPr>
              <w:t>ffectiveness</w:t>
            </w:r>
          </w:p>
        </w:tc>
        <w:tc>
          <w:tcPr>
            <w:tcW w:w="903" w:type="pct"/>
            <w:gridSpan w:val="2"/>
            <w:shd w:val="clear" w:color="auto" w:fill="DBE5F1" w:themeFill="accent1" w:themeFillTint="33"/>
            <w:noWrap/>
          </w:tcPr>
          <w:p w14:paraId="7C251D70" w14:textId="77777777" w:rsidR="00661A8C" w:rsidRPr="0034096D" w:rsidRDefault="00661A8C">
            <w:pPr>
              <w:pStyle w:val="Tabletext"/>
              <w:rPr>
                <w:noProof/>
                <w:sz w:val="18"/>
                <w:szCs w:val="18"/>
              </w:rPr>
            </w:pPr>
            <w:r w:rsidRPr="0034096D">
              <w:rPr>
                <w:noProof/>
                <w:sz w:val="18"/>
                <w:szCs w:val="18"/>
              </w:rPr>
              <w:t>Environmental</w:t>
            </w:r>
          </w:p>
        </w:tc>
        <w:tc>
          <w:tcPr>
            <w:tcW w:w="904" w:type="pct"/>
            <w:gridSpan w:val="2"/>
            <w:shd w:val="clear" w:color="auto" w:fill="DBE5F1" w:themeFill="accent1" w:themeFillTint="33"/>
            <w:noWrap/>
          </w:tcPr>
          <w:p w14:paraId="36E754AA" w14:textId="77777777" w:rsidR="00661A8C" w:rsidRPr="0034096D" w:rsidRDefault="00661A8C">
            <w:pPr>
              <w:pStyle w:val="Tabletext"/>
              <w:rPr>
                <w:noProof/>
                <w:sz w:val="18"/>
                <w:szCs w:val="18"/>
              </w:rPr>
            </w:pPr>
            <w:r>
              <w:rPr>
                <w:noProof/>
                <w:sz w:val="18"/>
                <w:szCs w:val="18"/>
              </w:rPr>
              <w:t>Social</w:t>
            </w:r>
          </w:p>
        </w:tc>
        <w:tc>
          <w:tcPr>
            <w:tcW w:w="903" w:type="pct"/>
            <w:gridSpan w:val="2"/>
            <w:shd w:val="clear" w:color="auto" w:fill="DBE5F1" w:themeFill="accent1" w:themeFillTint="33"/>
            <w:noWrap/>
          </w:tcPr>
          <w:p w14:paraId="63A7C4B7" w14:textId="77777777" w:rsidR="00661A8C" w:rsidRPr="0034096D" w:rsidRDefault="00661A8C">
            <w:pPr>
              <w:pStyle w:val="Tabletext"/>
              <w:rPr>
                <w:noProof/>
                <w:sz w:val="18"/>
                <w:szCs w:val="18"/>
              </w:rPr>
            </w:pPr>
            <w:r>
              <w:rPr>
                <w:noProof/>
                <w:sz w:val="18"/>
                <w:szCs w:val="18"/>
              </w:rPr>
              <w:t>Total</w:t>
            </w:r>
          </w:p>
        </w:tc>
      </w:tr>
      <w:tr w:rsidR="00661A8C" w:rsidRPr="002818A5" w14:paraId="0A36E5AA" w14:textId="77777777" w:rsidTr="003B7225">
        <w:trPr>
          <w:trHeight w:val="296"/>
        </w:trPr>
        <w:tc>
          <w:tcPr>
            <w:tcW w:w="484" w:type="pct"/>
            <w:tcBorders>
              <w:bottom w:val="single" w:sz="12" w:space="0" w:color="00B0F0"/>
            </w:tcBorders>
            <w:shd w:val="clear" w:color="auto" w:fill="FFFFFF" w:themeFill="background1"/>
            <w:noWrap/>
            <w:hideMark/>
          </w:tcPr>
          <w:p w14:paraId="499F8C8E" w14:textId="77777777" w:rsidR="00661A8C" w:rsidRPr="002B213D" w:rsidRDefault="00661A8C">
            <w:pPr>
              <w:pStyle w:val="Tabletext"/>
              <w:rPr>
                <w:noProof/>
                <w:sz w:val="20"/>
                <w:szCs w:val="20"/>
              </w:rPr>
            </w:pPr>
            <w:r w:rsidRPr="002B213D">
              <w:rPr>
                <w:noProof/>
                <w:sz w:val="20"/>
                <w:szCs w:val="20"/>
              </w:rPr>
              <w:t>Option</w:t>
            </w:r>
          </w:p>
        </w:tc>
        <w:tc>
          <w:tcPr>
            <w:tcW w:w="451" w:type="pct"/>
            <w:tcBorders>
              <w:bottom w:val="single" w:sz="12" w:space="0" w:color="00B0F0"/>
            </w:tcBorders>
            <w:shd w:val="clear" w:color="auto" w:fill="FFFFFF" w:themeFill="background1"/>
            <w:noWrap/>
            <w:vAlign w:val="center"/>
            <w:hideMark/>
          </w:tcPr>
          <w:p w14:paraId="08E0067F" w14:textId="77777777" w:rsidR="00661A8C" w:rsidRPr="002B213D" w:rsidRDefault="00661A8C">
            <w:pPr>
              <w:pStyle w:val="Tabletext"/>
              <w:rPr>
                <w:noProof/>
                <w:sz w:val="18"/>
                <w:szCs w:val="18"/>
              </w:rPr>
            </w:pPr>
            <w:r w:rsidRPr="002B213D">
              <w:rPr>
                <w:noProof/>
                <w:sz w:val="18"/>
                <w:szCs w:val="18"/>
              </w:rPr>
              <w:t>EW</w:t>
            </w:r>
          </w:p>
        </w:tc>
        <w:tc>
          <w:tcPr>
            <w:tcW w:w="452" w:type="pct"/>
            <w:tcBorders>
              <w:bottom w:val="single" w:sz="12" w:space="0" w:color="00B0F0"/>
            </w:tcBorders>
            <w:shd w:val="clear" w:color="auto" w:fill="FFFFFF" w:themeFill="background1"/>
            <w:noWrap/>
            <w:vAlign w:val="center"/>
            <w:hideMark/>
          </w:tcPr>
          <w:p w14:paraId="1565E0A0" w14:textId="77777777" w:rsidR="00661A8C" w:rsidRPr="002B213D" w:rsidRDefault="00661A8C">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00670D3B" w14:textId="77777777" w:rsidR="00661A8C" w:rsidRPr="002B213D" w:rsidRDefault="00661A8C">
            <w:pPr>
              <w:pStyle w:val="Tabletext"/>
              <w:rPr>
                <w:noProof/>
                <w:sz w:val="18"/>
                <w:szCs w:val="18"/>
              </w:rPr>
            </w:pPr>
            <w:r w:rsidRPr="002B213D">
              <w:rPr>
                <w:noProof/>
                <w:sz w:val="18"/>
                <w:szCs w:val="18"/>
              </w:rPr>
              <w:t>EW</w:t>
            </w:r>
          </w:p>
        </w:tc>
        <w:tc>
          <w:tcPr>
            <w:tcW w:w="452" w:type="pct"/>
            <w:tcBorders>
              <w:bottom w:val="single" w:sz="12" w:space="0" w:color="00B0F0"/>
            </w:tcBorders>
            <w:shd w:val="clear" w:color="auto" w:fill="FFFFFF" w:themeFill="background1"/>
            <w:noWrap/>
            <w:vAlign w:val="center"/>
            <w:hideMark/>
          </w:tcPr>
          <w:p w14:paraId="0C733F44" w14:textId="77777777" w:rsidR="00661A8C" w:rsidRPr="002B213D" w:rsidRDefault="00661A8C">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3C4EDB56" w14:textId="77777777" w:rsidR="00661A8C" w:rsidRPr="002B213D" w:rsidRDefault="00661A8C">
            <w:pPr>
              <w:pStyle w:val="Tabletext"/>
              <w:rPr>
                <w:noProof/>
                <w:sz w:val="18"/>
                <w:szCs w:val="18"/>
              </w:rPr>
            </w:pPr>
            <w:r w:rsidRPr="002B213D">
              <w:rPr>
                <w:noProof/>
                <w:sz w:val="18"/>
                <w:szCs w:val="18"/>
              </w:rPr>
              <w:t>EW</w:t>
            </w:r>
          </w:p>
        </w:tc>
        <w:tc>
          <w:tcPr>
            <w:tcW w:w="451" w:type="pct"/>
            <w:tcBorders>
              <w:bottom w:val="single" w:sz="12" w:space="0" w:color="00B0F0"/>
            </w:tcBorders>
            <w:shd w:val="clear" w:color="auto" w:fill="FFFFFF" w:themeFill="background1"/>
            <w:noWrap/>
            <w:vAlign w:val="center"/>
            <w:hideMark/>
          </w:tcPr>
          <w:p w14:paraId="38414CF9" w14:textId="77777777" w:rsidR="00661A8C" w:rsidRPr="002B213D" w:rsidRDefault="00661A8C">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3C32B5BD" w14:textId="77777777" w:rsidR="00661A8C" w:rsidRPr="002B213D" w:rsidRDefault="00661A8C">
            <w:pPr>
              <w:pStyle w:val="Tabletext"/>
              <w:rPr>
                <w:noProof/>
                <w:sz w:val="18"/>
                <w:szCs w:val="18"/>
              </w:rPr>
            </w:pPr>
            <w:r w:rsidRPr="002B213D">
              <w:rPr>
                <w:noProof/>
                <w:sz w:val="18"/>
                <w:szCs w:val="18"/>
              </w:rPr>
              <w:t>EW</w:t>
            </w:r>
          </w:p>
        </w:tc>
        <w:tc>
          <w:tcPr>
            <w:tcW w:w="452" w:type="pct"/>
            <w:tcBorders>
              <w:bottom w:val="single" w:sz="12" w:space="0" w:color="00B0F0"/>
            </w:tcBorders>
            <w:shd w:val="clear" w:color="auto" w:fill="FFFFFF" w:themeFill="background1"/>
            <w:noWrap/>
            <w:vAlign w:val="center"/>
            <w:hideMark/>
          </w:tcPr>
          <w:p w14:paraId="0072DFDE" w14:textId="77777777" w:rsidR="00661A8C" w:rsidRPr="002B213D" w:rsidRDefault="00661A8C">
            <w:pPr>
              <w:pStyle w:val="Tabletext"/>
              <w:rPr>
                <w:noProof/>
                <w:sz w:val="18"/>
                <w:szCs w:val="18"/>
              </w:rPr>
            </w:pPr>
            <w:r w:rsidRPr="002B213D">
              <w:rPr>
                <w:noProof/>
                <w:sz w:val="18"/>
                <w:szCs w:val="18"/>
              </w:rPr>
              <w:t>P1</w:t>
            </w:r>
          </w:p>
        </w:tc>
        <w:tc>
          <w:tcPr>
            <w:tcW w:w="452" w:type="pct"/>
            <w:tcBorders>
              <w:bottom w:val="single" w:sz="12" w:space="0" w:color="00B0F0"/>
            </w:tcBorders>
            <w:shd w:val="clear" w:color="auto" w:fill="FFFFFF" w:themeFill="background1"/>
            <w:noWrap/>
            <w:vAlign w:val="center"/>
            <w:hideMark/>
          </w:tcPr>
          <w:p w14:paraId="5202F0B5" w14:textId="77777777" w:rsidR="00661A8C" w:rsidRPr="002B213D" w:rsidRDefault="00661A8C">
            <w:pPr>
              <w:pStyle w:val="Tabletext"/>
              <w:rPr>
                <w:noProof/>
                <w:sz w:val="18"/>
                <w:szCs w:val="18"/>
              </w:rPr>
            </w:pPr>
            <w:r w:rsidRPr="002B213D">
              <w:rPr>
                <w:noProof/>
                <w:sz w:val="18"/>
                <w:szCs w:val="18"/>
              </w:rPr>
              <w:t>EW</w:t>
            </w:r>
          </w:p>
        </w:tc>
        <w:tc>
          <w:tcPr>
            <w:tcW w:w="451" w:type="pct"/>
            <w:tcBorders>
              <w:bottom w:val="single" w:sz="12" w:space="0" w:color="00B0F0"/>
            </w:tcBorders>
            <w:shd w:val="clear" w:color="auto" w:fill="FFFFFF" w:themeFill="background1"/>
            <w:noWrap/>
            <w:vAlign w:val="center"/>
            <w:hideMark/>
          </w:tcPr>
          <w:p w14:paraId="55D93E46" w14:textId="77777777" w:rsidR="00661A8C" w:rsidRPr="002B213D" w:rsidRDefault="00661A8C">
            <w:pPr>
              <w:pStyle w:val="Tabletext"/>
              <w:rPr>
                <w:noProof/>
                <w:sz w:val="18"/>
                <w:szCs w:val="18"/>
              </w:rPr>
            </w:pPr>
            <w:r w:rsidRPr="002B213D">
              <w:rPr>
                <w:noProof/>
                <w:sz w:val="18"/>
                <w:szCs w:val="18"/>
              </w:rPr>
              <w:t>P1</w:t>
            </w:r>
          </w:p>
        </w:tc>
      </w:tr>
      <w:tr w:rsidR="003B7225" w:rsidRPr="002818A5" w14:paraId="553CFAC1" w14:textId="77777777" w:rsidTr="00525ED2">
        <w:trPr>
          <w:trHeight w:val="296"/>
        </w:trPr>
        <w:tc>
          <w:tcPr>
            <w:tcW w:w="484" w:type="pct"/>
            <w:tcBorders>
              <w:top w:val="single" w:sz="12" w:space="0" w:color="00B0F0"/>
            </w:tcBorders>
            <w:shd w:val="clear" w:color="auto" w:fill="FFFFFF" w:themeFill="background1"/>
            <w:noWrap/>
          </w:tcPr>
          <w:p w14:paraId="77156340" w14:textId="131589F1" w:rsidR="003B7225" w:rsidRPr="0034096D" w:rsidRDefault="003B7225" w:rsidP="003B7225">
            <w:pPr>
              <w:pStyle w:val="Tabletext"/>
              <w:rPr>
                <w:b/>
                <w:noProof/>
                <w:sz w:val="20"/>
                <w:szCs w:val="20"/>
              </w:rPr>
            </w:pPr>
            <w:r w:rsidRPr="0010342C">
              <w:rPr>
                <w:noProof/>
                <w:sz w:val="20"/>
                <w:szCs w:val="20"/>
              </w:rPr>
              <w:t xml:space="preserve">Baseline </w:t>
            </w:r>
          </w:p>
        </w:tc>
        <w:tc>
          <w:tcPr>
            <w:tcW w:w="451" w:type="pct"/>
            <w:tcBorders>
              <w:top w:val="single" w:sz="12" w:space="0" w:color="00B0F0"/>
            </w:tcBorders>
            <w:shd w:val="clear" w:color="auto" w:fill="FFFFFF" w:themeFill="background1"/>
            <w:noWrap/>
          </w:tcPr>
          <w:p w14:paraId="0A8D8CCF" w14:textId="4BBE4A1C" w:rsidR="003B7225" w:rsidRPr="008E329D" w:rsidRDefault="003B7225" w:rsidP="003B7225">
            <w:pPr>
              <w:pStyle w:val="Tabletext"/>
              <w:rPr>
                <w:noProof/>
                <w:sz w:val="20"/>
                <w:szCs w:val="20"/>
              </w:rPr>
            </w:pPr>
            <w:r w:rsidRPr="0010342C">
              <w:rPr>
                <w:noProof/>
                <w:sz w:val="20"/>
                <w:szCs w:val="20"/>
              </w:rPr>
              <w:t>-0.</w:t>
            </w:r>
            <w:r w:rsidRPr="00105FE3">
              <w:rPr>
                <w:bCs/>
                <w:noProof/>
                <w:sz w:val="20"/>
                <w:szCs w:val="32"/>
              </w:rPr>
              <w:t>361</w:t>
            </w:r>
          </w:p>
        </w:tc>
        <w:tc>
          <w:tcPr>
            <w:tcW w:w="452" w:type="pct"/>
            <w:tcBorders>
              <w:top w:val="single" w:sz="12" w:space="0" w:color="00B0F0"/>
            </w:tcBorders>
            <w:shd w:val="clear" w:color="auto" w:fill="FFFFFF" w:themeFill="background1"/>
            <w:noWrap/>
          </w:tcPr>
          <w:p w14:paraId="735F8CBB" w14:textId="24752ABA" w:rsidR="003B7225" w:rsidRPr="008E329D" w:rsidRDefault="003B7225" w:rsidP="003B7225">
            <w:pPr>
              <w:pStyle w:val="Tabletext"/>
              <w:rPr>
                <w:noProof/>
                <w:sz w:val="20"/>
                <w:szCs w:val="20"/>
              </w:rPr>
            </w:pPr>
            <w:r w:rsidRPr="0010342C">
              <w:rPr>
                <w:noProof/>
                <w:sz w:val="20"/>
                <w:szCs w:val="20"/>
              </w:rPr>
              <w:t>-0.</w:t>
            </w:r>
            <w:r w:rsidRPr="00105FE3">
              <w:rPr>
                <w:bCs/>
                <w:noProof/>
                <w:sz w:val="20"/>
                <w:szCs w:val="32"/>
              </w:rPr>
              <w:t>547</w:t>
            </w:r>
          </w:p>
        </w:tc>
        <w:tc>
          <w:tcPr>
            <w:tcW w:w="452" w:type="pct"/>
            <w:tcBorders>
              <w:top w:val="single" w:sz="12" w:space="0" w:color="00B0F0"/>
            </w:tcBorders>
            <w:shd w:val="clear" w:color="auto" w:fill="FFFFFF" w:themeFill="background1"/>
            <w:noWrap/>
          </w:tcPr>
          <w:p w14:paraId="33A6D03B" w14:textId="77777777" w:rsidR="003B7225" w:rsidRPr="00147B6E" w:rsidRDefault="003B7225" w:rsidP="003B7225">
            <w:pPr>
              <w:pStyle w:val="Tabletext"/>
              <w:rPr>
                <w:noProof/>
                <w:sz w:val="20"/>
                <w:szCs w:val="20"/>
              </w:rPr>
            </w:pPr>
            <w:r w:rsidRPr="00147B6E">
              <w:rPr>
                <w:noProof/>
                <w:sz w:val="20"/>
                <w:szCs w:val="20"/>
              </w:rPr>
              <w:t>0.242</w:t>
            </w:r>
          </w:p>
        </w:tc>
        <w:tc>
          <w:tcPr>
            <w:tcW w:w="452" w:type="pct"/>
            <w:tcBorders>
              <w:top w:val="single" w:sz="12" w:space="0" w:color="00B0F0"/>
            </w:tcBorders>
            <w:shd w:val="clear" w:color="auto" w:fill="FFFFFF" w:themeFill="background1"/>
            <w:noWrap/>
          </w:tcPr>
          <w:p w14:paraId="218F294C" w14:textId="633DEA41" w:rsidR="003B7225" w:rsidRPr="00147B6E" w:rsidRDefault="003B7225" w:rsidP="003B7225">
            <w:pPr>
              <w:pStyle w:val="Tabletext"/>
              <w:rPr>
                <w:noProof/>
                <w:sz w:val="20"/>
                <w:szCs w:val="20"/>
              </w:rPr>
            </w:pPr>
            <w:r w:rsidRPr="00147B6E">
              <w:rPr>
                <w:noProof/>
                <w:sz w:val="20"/>
                <w:szCs w:val="20"/>
              </w:rPr>
              <w:t>0.345</w:t>
            </w:r>
          </w:p>
        </w:tc>
        <w:tc>
          <w:tcPr>
            <w:tcW w:w="452" w:type="pct"/>
            <w:tcBorders>
              <w:top w:val="single" w:sz="12" w:space="0" w:color="00B0F0"/>
            </w:tcBorders>
            <w:shd w:val="clear" w:color="auto" w:fill="FFFFFF" w:themeFill="background1"/>
            <w:noWrap/>
          </w:tcPr>
          <w:p w14:paraId="0C30157D" w14:textId="77777777" w:rsidR="003B7225" w:rsidRPr="00147B6E" w:rsidRDefault="003B7225" w:rsidP="003B7225">
            <w:pPr>
              <w:pStyle w:val="Tabletext"/>
              <w:rPr>
                <w:noProof/>
                <w:sz w:val="20"/>
                <w:szCs w:val="20"/>
              </w:rPr>
            </w:pPr>
            <w:r w:rsidRPr="00147B6E">
              <w:rPr>
                <w:noProof/>
                <w:sz w:val="20"/>
                <w:szCs w:val="20"/>
              </w:rPr>
              <w:t>-0.037</w:t>
            </w:r>
          </w:p>
        </w:tc>
        <w:tc>
          <w:tcPr>
            <w:tcW w:w="451" w:type="pct"/>
            <w:tcBorders>
              <w:top w:val="single" w:sz="12" w:space="0" w:color="00B0F0"/>
            </w:tcBorders>
            <w:shd w:val="clear" w:color="auto" w:fill="FFFFFF" w:themeFill="background1"/>
            <w:noWrap/>
          </w:tcPr>
          <w:p w14:paraId="2BB51DD3" w14:textId="3C563676" w:rsidR="003B7225" w:rsidRPr="00147B6E" w:rsidRDefault="003B7225" w:rsidP="003B7225">
            <w:pPr>
              <w:pStyle w:val="Tabletext"/>
              <w:rPr>
                <w:noProof/>
                <w:sz w:val="20"/>
                <w:szCs w:val="20"/>
              </w:rPr>
            </w:pPr>
            <w:r w:rsidRPr="00147B6E">
              <w:rPr>
                <w:noProof/>
                <w:sz w:val="20"/>
                <w:szCs w:val="20"/>
              </w:rPr>
              <w:t>-0.007</w:t>
            </w:r>
          </w:p>
        </w:tc>
        <w:tc>
          <w:tcPr>
            <w:tcW w:w="452" w:type="pct"/>
            <w:tcBorders>
              <w:top w:val="single" w:sz="12" w:space="0" w:color="00B0F0"/>
            </w:tcBorders>
            <w:shd w:val="clear" w:color="auto" w:fill="FFFFFF" w:themeFill="background1"/>
            <w:noWrap/>
          </w:tcPr>
          <w:p w14:paraId="5E45F115" w14:textId="77777777" w:rsidR="003B7225" w:rsidRPr="00147B6E" w:rsidRDefault="003B7225" w:rsidP="003B7225">
            <w:pPr>
              <w:pStyle w:val="Tabletext"/>
              <w:rPr>
                <w:noProof/>
                <w:sz w:val="20"/>
                <w:szCs w:val="20"/>
              </w:rPr>
            </w:pPr>
            <w:r w:rsidRPr="00147B6E">
              <w:rPr>
                <w:noProof/>
                <w:sz w:val="20"/>
                <w:szCs w:val="20"/>
              </w:rPr>
              <w:t>-0.026</w:t>
            </w:r>
          </w:p>
        </w:tc>
        <w:tc>
          <w:tcPr>
            <w:tcW w:w="452" w:type="pct"/>
            <w:tcBorders>
              <w:top w:val="single" w:sz="12" w:space="0" w:color="00B0F0"/>
            </w:tcBorders>
            <w:shd w:val="clear" w:color="auto" w:fill="FFFFFF" w:themeFill="background1"/>
            <w:noWrap/>
          </w:tcPr>
          <w:p w14:paraId="3C3E8CC5" w14:textId="6511CA63" w:rsidR="003B7225" w:rsidRPr="00147B6E" w:rsidRDefault="003B7225" w:rsidP="003B7225">
            <w:pPr>
              <w:pStyle w:val="Tabletext"/>
              <w:rPr>
                <w:noProof/>
                <w:sz w:val="20"/>
                <w:szCs w:val="20"/>
              </w:rPr>
            </w:pPr>
            <w:r w:rsidRPr="00147B6E">
              <w:rPr>
                <w:noProof/>
                <w:sz w:val="20"/>
                <w:szCs w:val="20"/>
              </w:rPr>
              <w:t>-0.010</w:t>
            </w:r>
          </w:p>
        </w:tc>
        <w:tc>
          <w:tcPr>
            <w:tcW w:w="452" w:type="pct"/>
            <w:tcBorders>
              <w:top w:val="single" w:sz="12" w:space="0" w:color="00B0F0"/>
            </w:tcBorders>
            <w:shd w:val="clear" w:color="auto" w:fill="FFFFFF" w:themeFill="background1"/>
            <w:noWrap/>
          </w:tcPr>
          <w:p w14:paraId="46AB28C0" w14:textId="462ADC88"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183</w:t>
            </w:r>
          </w:p>
        </w:tc>
        <w:tc>
          <w:tcPr>
            <w:tcW w:w="451" w:type="pct"/>
            <w:tcBorders>
              <w:top w:val="single" w:sz="12" w:space="0" w:color="00B0F0"/>
            </w:tcBorders>
            <w:shd w:val="clear" w:color="auto" w:fill="FFFFFF" w:themeFill="background1"/>
            <w:noWrap/>
          </w:tcPr>
          <w:p w14:paraId="2F4716A8" w14:textId="42AD4833"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220</w:t>
            </w:r>
          </w:p>
        </w:tc>
      </w:tr>
      <w:tr w:rsidR="003B7225" w:rsidRPr="002818A5" w14:paraId="0551D8C5" w14:textId="77777777" w:rsidTr="00525ED2">
        <w:trPr>
          <w:trHeight w:val="296"/>
        </w:trPr>
        <w:tc>
          <w:tcPr>
            <w:tcW w:w="484" w:type="pct"/>
            <w:shd w:val="clear" w:color="auto" w:fill="FFFFFF" w:themeFill="background1"/>
            <w:noWrap/>
            <w:hideMark/>
          </w:tcPr>
          <w:p w14:paraId="1F6CA225" w14:textId="7D22AE0F" w:rsidR="003B7225" w:rsidRPr="0034096D" w:rsidRDefault="003B7225" w:rsidP="003B7225">
            <w:pPr>
              <w:pStyle w:val="Tabletext"/>
              <w:rPr>
                <w:b/>
                <w:noProof/>
                <w:sz w:val="20"/>
                <w:szCs w:val="20"/>
              </w:rPr>
            </w:pPr>
            <w:r w:rsidRPr="0010342C">
              <w:rPr>
                <w:noProof/>
                <w:sz w:val="20"/>
                <w:szCs w:val="20"/>
              </w:rPr>
              <w:t>PO2-A</w:t>
            </w:r>
          </w:p>
        </w:tc>
        <w:tc>
          <w:tcPr>
            <w:tcW w:w="451" w:type="pct"/>
            <w:shd w:val="clear" w:color="auto" w:fill="FFFFFF" w:themeFill="background1"/>
            <w:noWrap/>
          </w:tcPr>
          <w:p w14:paraId="25952BBA" w14:textId="5D19B7AD" w:rsidR="003B7225" w:rsidRPr="006A66CF" w:rsidRDefault="003B7225" w:rsidP="003B7225">
            <w:pPr>
              <w:pStyle w:val="Tabletext"/>
              <w:rPr>
                <w:noProof/>
                <w:sz w:val="20"/>
                <w:szCs w:val="20"/>
              </w:rPr>
            </w:pPr>
            <w:r w:rsidRPr="00640712">
              <w:rPr>
                <w:noProof/>
                <w:sz w:val="20"/>
                <w:szCs w:val="32"/>
              </w:rPr>
              <w:t>-0.</w:t>
            </w:r>
            <w:r>
              <w:rPr>
                <w:bCs/>
                <w:noProof/>
                <w:sz w:val="20"/>
                <w:szCs w:val="32"/>
              </w:rPr>
              <w:t>098</w:t>
            </w:r>
          </w:p>
        </w:tc>
        <w:tc>
          <w:tcPr>
            <w:tcW w:w="452" w:type="pct"/>
            <w:shd w:val="clear" w:color="auto" w:fill="FFFFFF" w:themeFill="background1"/>
            <w:noWrap/>
          </w:tcPr>
          <w:p w14:paraId="66BB4095" w14:textId="59B01A4E" w:rsidR="003B7225" w:rsidRPr="006A66CF" w:rsidRDefault="003B7225" w:rsidP="003B7225">
            <w:pPr>
              <w:pStyle w:val="Tabletext"/>
              <w:rPr>
                <w:noProof/>
                <w:sz w:val="20"/>
                <w:szCs w:val="20"/>
              </w:rPr>
            </w:pPr>
            <w:r w:rsidRPr="00640712">
              <w:rPr>
                <w:noProof/>
                <w:sz w:val="20"/>
                <w:szCs w:val="32"/>
              </w:rPr>
              <w:t>-0.</w:t>
            </w:r>
            <w:r w:rsidRPr="00105FE3">
              <w:rPr>
                <w:bCs/>
                <w:noProof/>
                <w:sz w:val="20"/>
                <w:szCs w:val="32"/>
              </w:rPr>
              <w:t>1</w:t>
            </w:r>
            <w:r>
              <w:rPr>
                <w:bCs/>
                <w:noProof/>
                <w:sz w:val="20"/>
                <w:szCs w:val="32"/>
              </w:rPr>
              <w:t>03</w:t>
            </w:r>
          </w:p>
        </w:tc>
        <w:tc>
          <w:tcPr>
            <w:tcW w:w="452" w:type="pct"/>
            <w:shd w:val="clear" w:color="auto" w:fill="FFFFFF" w:themeFill="background1"/>
            <w:noWrap/>
          </w:tcPr>
          <w:p w14:paraId="38A96EF1" w14:textId="6CA533DF" w:rsidR="003B7225" w:rsidRPr="00147B6E" w:rsidRDefault="003B7225" w:rsidP="003B7225">
            <w:pPr>
              <w:pStyle w:val="Tabletext"/>
              <w:rPr>
                <w:noProof/>
                <w:sz w:val="20"/>
                <w:szCs w:val="20"/>
              </w:rPr>
            </w:pPr>
            <w:r w:rsidRPr="00147B6E">
              <w:rPr>
                <w:noProof/>
                <w:sz w:val="20"/>
                <w:szCs w:val="20"/>
              </w:rPr>
              <w:t>0.241</w:t>
            </w:r>
          </w:p>
        </w:tc>
        <w:tc>
          <w:tcPr>
            <w:tcW w:w="452" w:type="pct"/>
            <w:shd w:val="clear" w:color="auto" w:fill="FFFFFF" w:themeFill="background1"/>
            <w:noWrap/>
          </w:tcPr>
          <w:p w14:paraId="5711F315" w14:textId="2BB50D41" w:rsidR="003B7225" w:rsidRPr="00147B6E" w:rsidRDefault="003B7225" w:rsidP="003B7225">
            <w:pPr>
              <w:pStyle w:val="Tabletext"/>
              <w:rPr>
                <w:noProof/>
                <w:sz w:val="20"/>
                <w:szCs w:val="20"/>
              </w:rPr>
            </w:pPr>
            <w:r w:rsidRPr="00147B6E">
              <w:rPr>
                <w:noProof/>
                <w:sz w:val="20"/>
                <w:szCs w:val="20"/>
              </w:rPr>
              <w:t>0.614</w:t>
            </w:r>
          </w:p>
        </w:tc>
        <w:tc>
          <w:tcPr>
            <w:tcW w:w="452" w:type="pct"/>
            <w:shd w:val="clear" w:color="auto" w:fill="FFFFFF" w:themeFill="background1"/>
            <w:noWrap/>
          </w:tcPr>
          <w:p w14:paraId="66A75D2B" w14:textId="7A9FEDC4" w:rsidR="003B7225" w:rsidRPr="00147B6E" w:rsidRDefault="003B7225" w:rsidP="003B7225">
            <w:pPr>
              <w:pStyle w:val="Tabletext"/>
              <w:rPr>
                <w:noProof/>
                <w:sz w:val="20"/>
                <w:szCs w:val="20"/>
              </w:rPr>
            </w:pPr>
            <w:r w:rsidRPr="00147B6E">
              <w:rPr>
                <w:noProof/>
                <w:sz w:val="20"/>
                <w:szCs w:val="20"/>
              </w:rPr>
              <w:t>0.048</w:t>
            </w:r>
          </w:p>
        </w:tc>
        <w:tc>
          <w:tcPr>
            <w:tcW w:w="451" w:type="pct"/>
            <w:shd w:val="clear" w:color="auto" w:fill="FFFFFF" w:themeFill="background1"/>
            <w:noWrap/>
          </w:tcPr>
          <w:p w14:paraId="3DAE3415" w14:textId="71A34E40" w:rsidR="003B7225" w:rsidRPr="00147B6E" w:rsidRDefault="003B7225" w:rsidP="003B7225">
            <w:pPr>
              <w:pStyle w:val="Tabletext"/>
              <w:rPr>
                <w:noProof/>
                <w:sz w:val="20"/>
                <w:szCs w:val="20"/>
              </w:rPr>
            </w:pPr>
            <w:r w:rsidRPr="00147B6E">
              <w:rPr>
                <w:noProof/>
                <w:sz w:val="20"/>
                <w:szCs w:val="20"/>
              </w:rPr>
              <w:t>0.010</w:t>
            </w:r>
          </w:p>
        </w:tc>
        <w:tc>
          <w:tcPr>
            <w:tcW w:w="452" w:type="pct"/>
            <w:shd w:val="clear" w:color="auto" w:fill="FFFFFF" w:themeFill="background1"/>
            <w:noWrap/>
          </w:tcPr>
          <w:p w14:paraId="5F10CDF6" w14:textId="46D380C0" w:rsidR="003B7225" w:rsidRPr="00147B6E" w:rsidRDefault="003B7225" w:rsidP="003B7225">
            <w:pPr>
              <w:pStyle w:val="Tabletext"/>
              <w:rPr>
                <w:noProof/>
                <w:sz w:val="20"/>
                <w:szCs w:val="20"/>
              </w:rPr>
            </w:pPr>
            <w:r w:rsidRPr="00147B6E">
              <w:rPr>
                <w:noProof/>
                <w:sz w:val="20"/>
                <w:szCs w:val="20"/>
              </w:rPr>
              <w:t>0.249</w:t>
            </w:r>
          </w:p>
        </w:tc>
        <w:tc>
          <w:tcPr>
            <w:tcW w:w="452" w:type="pct"/>
            <w:shd w:val="clear" w:color="auto" w:fill="FFFFFF" w:themeFill="background1"/>
            <w:noWrap/>
          </w:tcPr>
          <w:p w14:paraId="22BA4962" w14:textId="6732639F" w:rsidR="003B7225" w:rsidRPr="00147B6E" w:rsidRDefault="003B7225" w:rsidP="003B7225">
            <w:pPr>
              <w:pStyle w:val="Tabletext"/>
              <w:rPr>
                <w:noProof/>
                <w:sz w:val="20"/>
                <w:szCs w:val="20"/>
              </w:rPr>
            </w:pPr>
            <w:r w:rsidRPr="00147B6E">
              <w:rPr>
                <w:noProof/>
                <w:sz w:val="20"/>
                <w:szCs w:val="20"/>
              </w:rPr>
              <w:t>0.051</w:t>
            </w:r>
          </w:p>
        </w:tc>
        <w:tc>
          <w:tcPr>
            <w:tcW w:w="452" w:type="pct"/>
            <w:shd w:val="clear" w:color="auto" w:fill="FFFFFF" w:themeFill="background1"/>
            <w:noWrap/>
          </w:tcPr>
          <w:p w14:paraId="5F9E0778" w14:textId="03CDAB74" w:rsidR="003B7225" w:rsidRPr="006A66CF" w:rsidRDefault="003B7225" w:rsidP="003B7225">
            <w:pPr>
              <w:pStyle w:val="Tabletext"/>
              <w:rPr>
                <w:noProof/>
                <w:sz w:val="20"/>
                <w:szCs w:val="20"/>
              </w:rPr>
            </w:pPr>
            <w:r w:rsidRPr="0010342C">
              <w:rPr>
                <w:noProof/>
                <w:sz w:val="20"/>
                <w:szCs w:val="20"/>
              </w:rPr>
              <w:t>0.</w:t>
            </w:r>
            <w:r>
              <w:rPr>
                <w:bCs/>
                <w:noProof/>
                <w:sz w:val="20"/>
                <w:szCs w:val="32"/>
              </w:rPr>
              <w:t>439</w:t>
            </w:r>
          </w:p>
        </w:tc>
        <w:tc>
          <w:tcPr>
            <w:tcW w:w="451" w:type="pct"/>
            <w:shd w:val="clear" w:color="auto" w:fill="FFFFFF" w:themeFill="background1"/>
            <w:noWrap/>
          </w:tcPr>
          <w:p w14:paraId="4C9182C0" w14:textId="52D69AFF"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5</w:t>
            </w:r>
            <w:r>
              <w:rPr>
                <w:bCs/>
                <w:noProof/>
                <w:sz w:val="20"/>
                <w:szCs w:val="32"/>
              </w:rPr>
              <w:t>72</w:t>
            </w:r>
          </w:p>
        </w:tc>
      </w:tr>
      <w:tr w:rsidR="003B7225" w:rsidRPr="002818A5" w14:paraId="359A2279" w14:textId="77777777" w:rsidTr="00525ED2">
        <w:trPr>
          <w:trHeight w:val="296"/>
        </w:trPr>
        <w:tc>
          <w:tcPr>
            <w:tcW w:w="484" w:type="pct"/>
            <w:shd w:val="clear" w:color="auto" w:fill="FFFFFF" w:themeFill="background1"/>
            <w:noWrap/>
            <w:hideMark/>
          </w:tcPr>
          <w:p w14:paraId="2FF5A8F4" w14:textId="7070BD2C" w:rsidR="003B7225" w:rsidRPr="0034096D" w:rsidRDefault="003B7225" w:rsidP="003B7225">
            <w:pPr>
              <w:pStyle w:val="Tabletext"/>
              <w:rPr>
                <w:b/>
                <w:noProof/>
                <w:sz w:val="20"/>
                <w:szCs w:val="20"/>
              </w:rPr>
            </w:pPr>
            <w:r w:rsidRPr="0010342C">
              <w:rPr>
                <w:noProof/>
                <w:sz w:val="20"/>
                <w:szCs w:val="20"/>
              </w:rPr>
              <w:t>PO2-B</w:t>
            </w:r>
          </w:p>
        </w:tc>
        <w:tc>
          <w:tcPr>
            <w:tcW w:w="451" w:type="pct"/>
            <w:shd w:val="clear" w:color="auto" w:fill="FFFFFF" w:themeFill="background1"/>
            <w:noWrap/>
          </w:tcPr>
          <w:p w14:paraId="7E5F52A2" w14:textId="5E9959BC" w:rsidR="003B7225" w:rsidRPr="006A66CF" w:rsidRDefault="003B7225" w:rsidP="003B7225">
            <w:pPr>
              <w:pStyle w:val="Tabletext"/>
              <w:rPr>
                <w:noProof/>
                <w:sz w:val="20"/>
                <w:szCs w:val="20"/>
              </w:rPr>
            </w:pPr>
            <w:r w:rsidRPr="00640712">
              <w:rPr>
                <w:noProof/>
                <w:sz w:val="20"/>
                <w:szCs w:val="32"/>
              </w:rPr>
              <w:t>-0.</w:t>
            </w:r>
            <w:r w:rsidRPr="00105FE3">
              <w:rPr>
                <w:bCs/>
                <w:noProof/>
                <w:sz w:val="20"/>
                <w:szCs w:val="32"/>
              </w:rPr>
              <w:t>0</w:t>
            </w:r>
            <w:r>
              <w:rPr>
                <w:bCs/>
                <w:noProof/>
                <w:sz w:val="20"/>
                <w:szCs w:val="32"/>
              </w:rPr>
              <w:t>09</w:t>
            </w:r>
          </w:p>
        </w:tc>
        <w:tc>
          <w:tcPr>
            <w:tcW w:w="452" w:type="pct"/>
            <w:shd w:val="clear" w:color="auto" w:fill="FFFFFF" w:themeFill="background1"/>
            <w:noWrap/>
          </w:tcPr>
          <w:p w14:paraId="29F20152" w14:textId="76ED1D5F" w:rsidR="003B7225" w:rsidRPr="006A66CF" w:rsidRDefault="003B7225" w:rsidP="003B7225">
            <w:pPr>
              <w:pStyle w:val="Tabletext"/>
              <w:rPr>
                <w:noProof/>
                <w:sz w:val="20"/>
                <w:szCs w:val="20"/>
              </w:rPr>
            </w:pPr>
            <w:r w:rsidRPr="00640712">
              <w:rPr>
                <w:noProof/>
                <w:sz w:val="20"/>
                <w:szCs w:val="32"/>
              </w:rPr>
              <w:t>0.</w:t>
            </w:r>
            <w:r w:rsidRPr="00105FE3">
              <w:rPr>
                <w:bCs/>
                <w:noProof/>
                <w:sz w:val="20"/>
                <w:szCs w:val="32"/>
              </w:rPr>
              <w:t>1</w:t>
            </w:r>
            <w:r>
              <w:rPr>
                <w:bCs/>
                <w:noProof/>
                <w:sz w:val="20"/>
                <w:szCs w:val="32"/>
              </w:rPr>
              <w:t>68</w:t>
            </w:r>
          </w:p>
        </w:tc>
        <w:tc>
          <w:tcPr>
            <w:tcW w:w="452" w:type="pct"/>
            <w:shd w:val="clear" w:color="auto" w:fill="FFFFFF" w:themeFill="background1"/>
            <w:noWrap/>
          </w:tcPr>
          <w:p w14:paraId="442972FE" w14:textId="37BA6992" w:rsidR="003B7225" w:rsidRPr="006A66CF" w:rsidRDefault="003B7225" w:rsidP="003B7225">
            <w:pPr>
              <w:pStyle w:val="Tabletext"/>
              <w:rPr>
                <w:noProof/>
                <w:sz w:val="20"/>
                <w:szCs w:val="20"/>
              </w:rPr>
            </w:pPr>
            <w:r w:rsidRPr="0010342C">
              <w:rPr>
                <w:noProof/>
                <w:sz w:val="20"/>
                <w:szCs w:val="20"/>
              </w:rPr>
              <w:t>0.</w:t>
            </w:r>
            <w:r w:rsidR="00147B6E">
              <w:rPr>
                <w:noProof/>
                <w:sz w:val="20"/>
                <w:szCs w:val="20"/>
              </w:rPr>
              <w:t>228</w:t>
            </w:r>
          </w:p>
        </w:tc>
        <w:tc>
          <w:tcPr>
            <w:tcW w:w="452" w:type="pct"/>
            <w:shd w:val="clear" w:color="auto" w:fill="FFFFFF" w:themeFill="background1"/>
            <w:noWrap/>
          </w:tcPr>
          <w:p w14:paraId="052D49B4" w14:textId="24FAD04E" w:rsidR="003B7225" w:rsidRPr="006A66CF" w:rsidRDefault="003B7225" w:rsidP="003B7225">
            <w:pPr>
              <w:pStyle w:val="Tabletext"/>
              <w:rPr>
                <w:noProof/>
                <w:sz w:val="20"/>
                <w:szCs w:val="20"/>
              </w:rPr>
            </w:pPr>
            <w:r w:rsidRPr="0010342C">
              <w:rPr>
                <w:noProof/>
                <w:sz w:val="20"/>
                <w:szCs w:val="20"/>
              </w:rPr>
              <w:t>0.490</w:t>
            </w:r>
          </w:p>
        </w:tc>
        <w:tc>
          <w:tcPr>
            <w:tcW w:w="452" w:type="pct"/>
            <w:shd w:val="clear" w:color="auto" w:fill="FFFFFF" w:themeFill="background1"/>
            <w:noWrap/>
          </w:tcPr>
          <w:p w14:paraId="3571202F" w14:textId="78900934" w:rsidR="003B7225" w:rsidRPr="006A66CF" w:rsidRDefault="003B7225" w:rsidP="003B7225">
            <w:pPr>
              <w:pStyle w:val="Tabletext"/>
              <w:rPr>
                <w:noProof/>
                <w:sz w:val="20"/>
                <w:szCs w:val="20"/>
              </w:rPr>
            </w:pPr>
            <w:r w:rsidRPr="0010342C">
              <w:rPr>
                <w:noProof/>
                <w:sz w:val="20"/>
                <w:szCs w:val="20"/>
              </w:rPr>
              <w:t>0.046</w:t>
            </w:r>
          </w:p>
        </w:tc>
        <w:tc>
          <w:tcPr>
            <w:tcW w:w="451" w:type="pct"/>
            <w:shd w:val="clear" w:color="auto" w:fill="FFFFFF" w:themeFill="background1"/>
            <w:noWrap/>
          </w:tcPr>
          <w:p w14:paraId="4FEC81D7" w14:textId="3BD2F931" w:rsidR="003B7225" w:rsidRPr="006A66CF" w:rsidRDefault="003B7225" w:rsidP="003B7225">
            <w:pPr>
              <w:pStyle w:val="Tabletext"/>
              <w:rPr>
                <w:noProof/>
                <w:sz w:val="20"/>
                <w:szCs w:val="20"/>
              </w:rPr>
            </w:pPr>
            <w:r w:rsidRPr="0010342C">
              <w:rPr>
                <w:noProof/>
                <w:sz w:val="20"/>
                <w:szCs w:val="20"/>
              </w:rPr>
              <w:t>0.009</w:t>
            </w:r>
          </w:p>
        </w:tc>
        <w:tc>
          <w:tcPr>
            <w:tcW w:w="452" w:type="pct"/>
            <w:shd w:val="clear" w:color="auto" w:fill="FFFFFF" w:themeFill="background1"/>
            <w:noWrap/>
          </w:tcPr>
          <w:p w14:paraId="3F3DFBFB" w14:textId="7124DFCB" w:rsidR="003B7225" w:rsidRPr="006A66CF" w:rsidRDefault="003B7225" w:rsidP="003B7225">
            <w:pPr>
              <w:pStyle w:val="Tabletext"/>
              <w:rPr>
                <w:noProof/>
                <w:sz w:val="20"/>
                <w:szCs w:val="20"/>
              </w:rPr>
            </w:pPr>
            <w:r w:rsidRPr="0010342C">
              <w:rPr>
                <w:noProof/>
                <w:sz w:val="20"/>
                <w:szCs w:val="20"/>
              </w:rPr>
              <w:t>0.199</w:t>
            </w:r>
          </w:p>
        </w:tc>
        <w:tc>
          <w:tcPr>
            <w:tcW w:w="452" w:type="pct"/>
            <w:shd w:val="clear" w:color="auto" w:fill="FFFFFF" w:themeFill="background1"/>
            <w:noWrap/>
          </w:tcPr>
          <w:p w14:paraId="47F8B515" w14:textId="58083922" w:rsidR="003B7225" w:rsidRPr="006A66CF" w:rsidRDefault="003B7225" w:rsidP="003B7225">
            <w:pPr>
              <w:pStyle w:val="Tabletext"/>
              <w:rPr>
                <w:noProof/>
                <w:sz w:val="20"/>
                <w:szCs w:val="20"/>
              </w:rPr>
            </w:pPr>
            <w:r w:rsidRPr="0010342C">
              <w:rPr>
                <w:noProof/>
                <w:sz w:val="20"/>
                <w:szCs w:val="20"/>
              </w:rPr>
              <w:t>0.041</w:t>
            </w:r>
          </w:p>
        </w:tc>
        <w:tc>
          <w:tcPr>
            <w:tcW w:w="452" w:type="pct"/>
            <w:shd w:val="clear" w:color="auto" w:fill="FFFFFF" w:themeFill="background1"/>
            <w:noWrap/>
          </w:tcPr>
          <w:p w14:paraId="2B47CBDC" w14:textId="552550E8" w:rsidR="003B7225" w:rsidRPr="006A66CF" w:rsidRDefault="003B7225" w:rsidP="003B7225">
            <w:pPr>
              <w:pStyle w:val="Tabletext"/>
              <w:rPr>
                <w:noProof/>
                <w:sz w:val="20"/>
                <w:szCs w:val="20"/>
              </w:rPr>
            </w:pPr>
            <w:r w:rsidRPr="0010342C">
              <w:rPr>
                <w:noProof/>
                <w:sz w:val="20"/>
                <w:szCs w:val="20"/>
              </w:rPr>
              <w:t>0.</w:t>
            </w:r>
            <w:r>
              <w:rPr>
                <w:bCs/>
                <w:noProof/>
                <w:sz w:val="20"/>
                <w:szCs w:val="32"/>
              </w:rPr>
              <w:t>418</w:t>
            </w:r>
          </w:p>
        </w:tc>
        <w:tc>
          <w:tcPr>
            <w:tcW w:w="451" w:type="pct"/>
            <w:shd w:val="clear" w:color="auto" w:fill="FFFFFF" w:themeFill="background1"/>
            <w:noWrap/>
          </w:tcPr>
          <w:p w14:paraId="7C64799B" w14:textId="25BFEF52" w:rsidR="003B7225" w:rsidRPr="006A66CF" w:rsidRDefault="003B7225" w:rsidP="003B7225">
            <w:pPr>
              <w:pStyle w:val="Tabletext"/>
              <w:rPr>
                <w:noProof/>
                <w:sz w:val="20"/>
                <w:szCs w:val="20"/>
              </w:rPr>
            </w:pPr>
            <w:r w:rsidRPr="0010342C">
              <w:rPr>
                <w:noProof/>
                <w:sz w:val="20"/>
                <w:szCs w:val="20"/>
              </w:rPr>
              <w:t>0.</w:t>
            </w:r>
            <w:r>
              <w:rPr>
                <w:bCs/>
                <w:noProof/>
                <w:sz w:val="20"/>
                <w:szCs w:val="32"/>
              </w:rPr>
              <w:t>709</w:t>
            </w:r>
          </w:p>
        </w:tc>
      </w:tr>
      <w:tr w:rsidR="003B7225" w:rsidRPr="002818A5" w14:paraId="73A8F9A8" w14:textId="77777777" w:rsidTr="00525ED2">
        <w:trPr>
          <w:trHeight w:val="296"/>
        </w:trPr>
        <w:tc>
          <w:tcPr>
            <w:tcW w:w="484" w:type="pct"/>
            <w:shd w:val="clear" w:color="auto" w:fill="FFFFFF" w:themeFill="background1"/>
            <w:noWrap/>
            <w:hideMark/>
          </w:tcPr>
          <w:p w14:paraId="75295CD6" w14:textId="531A98A3" w:rsidR="003B7225" w:rsidRPr="0034096D" w:rsidRDefault="003B7225" w:rsidP="003B7225">
            <w:pPr>
              <w:pStyle w:val="Tabletext"/>
              <w:rPr>
                <w:b/>
                <w:noProof/>
                <w:sz w:val="20"/>
                <w:szCs w:val="20"/>
              </w:rPr>
            </w:pPr>
            <w:r w:rsidRPr="0010342C">
              <w:rPr>
                <w:noProof/>
                <w:sz w:val="20"/>
                <w:szCs w:val="20"/>
              </w:rPr>
              <w:t>PO2-C</w:t>
            </w:r>
          </w:p>
        </w:tc>
        <w:tc>
          <w:tcPr>
            <w:tcW w:w="451" w:type="pct"/>
            <w:shd w:val="clear" w:color="auto" w:fill="FFFFFF" w:themeFill="background1"/>
            <w:noWrap/>
          </w:tcPr>
          <w:p w14:paraId="4EDB78A0" w14:textId="775D1CA4" w:rsidR="003B7225" w:rsidRPr="006A66CF" w:rsidRDefault="003B7225" w:rsidP="003B7225">
            <w:pPr>
              <w:pStyle w:val="Tabletext"/>
              <w:rPr>
                <w:noProof/>
                <w:sz w:val="20"/>
                <w:szCs w:val="20"/>
              </w:rPr>
            </w:pPr>
            <w:r w:rsidRPr="00640712">
              <w:rPr>
                <w:noProof/>
                <w:sz w:val="20"/>
                <w:szCs w:val="32"/>
              </w:rPr>
              <w:t>-0.</w:t>
            </w:r>
            <w:r w:rsidRPr="00105FE3">
              <w:rPr>
                <w:bCs/>
                <w:noProof/>
                <w:sz w:val="20"/>
                <w:szCs w:val="32"/>
              </w:rPr>
              <w:t>027</w:t>
            </w:r>
          </w:p>
        </w:tc>
        <w:tc>
          <w:tcPr>
            <w:tcW w:w="452" w:type="pct"/>
            <w:shd w:val="clear" w:color="auto" w:fill="FFFFFF" w:themeFill="background1"/>
            <w:noWrap/>
          </w:tcPr>
          <w:p w14:paraId="54AF67C4" w14:textId="63FFFDB2" w:rsidR="003B7225" w:rsidRPr="006A66CF" w:rsidRDefault="003B7225" w:rsidP="003B7225">
            <w:pPr>
              <w:pStyle w:val="Tabletext"/>
              <w:rPr>
                <w:noProof/>
                <w:sz w:val="20"/>
                <w:szCs w:val="20"/>
              </w:rPr>
            </w:pPr>
            <w:r w:rsidRPr="00640712">
              <w:rPr>
                <w:noProof/>
                <w:sz w:val="20"/>
                <w:szCs w:val="32"/>
              </w:rPr>
              <w:t>0.</w:t>
            </w:r>
            <w:r w:rsidRPr="00105FE3">
              <w:rPr>
                <w:bCs/>
                <w:noProof/>
                <w:sz w:val="20"/>
                <w:szCs w:val="32"/>
              </w:rPr>
              <w:t>2</w:t>
            </w:r>
            <w:r>
              <w:rPr>
                <w:bCs/>
                <w:noProof/>
                <w:sz w:val="20"/>
                <w:szCs w:val="32"/>
              </w:rPr>
              <w:t>57</w:t>
            </w:r>
          </w:p>
        </w:tc>
        <w:tc>
          <w:tcPr>
            <w:tcW w:w="452" w:type="pct"/>
            <w:shd w:val="clear" w:color="auto" w:fill="FFFFFF" w:themeFill="background1"/>
            <w:noWrap/>
          </w:tcPr>
          <w:p w14:paraId="682CBBA4" w14:textId="4EEA7115" w:rsidR="003B7225" w:rsidRPr="006A66CF" w:rsidRDefault="003B7225" w:rsidP="003B7225">
            <w:pPr>
              <w:pStyle w:val="Tabletext"/>
              <w:rPr>
                <w:noProof/>
                <w:sz w:val="20"/>
                <w:szCs w:val="20"/>
              </w:rPr>
            </w:pPr>
            <w:r w:rsidRPr="0010342C">
              <w:rPr>
                <w:noProof/>
                <w:sz w:val="20"/>
                <w:szCs w:val="20"/>
              </w:rPr>
              <w:t>0.</w:t>
            </w:r>
            <w:r w:rsidR="006F7D73">
              <w:rPr>
                <w:bCs/>
                <w:noProof/>
                <w:sz w:val="20"/>
                <w:szCs w:val="32"/>
              </w:rPr>
              <w:t>192</w:t>
            </w:r>
          </w:p>
        </w:tc>
        <w:tc>
          <w:tcPr>
            <w:tcW w:w="452" w:type="pct"/>
            <w:shd w:val="clear" w:color="auto" w:fill="FFFFFF" w:themeFill="background1"/>
            <w:noWrap/>
          </w:tcPr>
          <w:p w14:paraId="172782EF" w14:textId="10C32A31"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612</w:t>
            </w:r>
          </w:p>
        </w:tc>
        <w:tc>
          <w:tcPr>
            <w:tcW w:w="452" w:type="pct"/>
            <w:shd w:val="clear" w:color="auto" w:fill="FFFFFF" w:themeFill="background1"/>
            <w:noWrap/>
          </w:tcPr>
          <w:p w14:paraId="61D6C411" w14:textId="027894DD"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056</w:t>
            </w:r>
          </w:p>
        </w:tc>
        <w:tc>
          <w:tcPr>
            <w:tcW w:w="451" w:type="pct"/>
            <w:shd w:val="clear" w:color="auto" w:fill="FFFFFF" w:themeFill="background1"/>
            <w:noWrap/>
          </w:tcPr>
          <w:p w14:paraId="072CB7B1" w14:textId="28273E24"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011</w:t>
            </w:r>
          </w:p>
        </w:tc>
        <w:tc>
          <w:tcPr>
            <w:tcW w:w="452" w:type="pct"/>
            <w:shd w:val="clear" w:color="auto" w:fill="FFFFFF" w:themeFill="background1"/>
            <w:noWrap/>
          </w:tcPr>
          <w:p w14:paraId="598FA9E9" w14:textId="622DDB81"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229</w:t>
            </w:r>
          </w:p>
        </w:tc>
        <w:tc>
          <w:tcPr>
            <w:tcW w:w="452" w:type="pct"/>
            <w:shd w:val="clear" w:color="auto" w:fill="FFFFFF" w:themeFill="background1"/>
            <w:noWrap/>
          </w:tcPr>
          <w:p w14:paraId="77763AB7" w14:textId="17615A42"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047</w:t>
            </w:r>
          </w:p>
        </w:tc>
        <w:tc>
          <w:tcPr>
            <w:tcW w:w="452" w:type="pct"/>
            <w:shd w:val="clear" w:color="auto" w:fill="FFFFFF" w:themeFill="background1"/>
            <w:noWrap/>
          </w:tcPr>
          <w:p w14:paraId="0DB76DFA" w14:textId="2D739AC1"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48</w:t>
            </w:r>
            <w:r>
              <w:rPr>
                <w:bCs/>
                <w:noProof/>
                <w:sz w:val="20"/>
                <w:szCs w:val="32"/>
              </w:rPr>
              <w:t>8</w:t>
            </w:r>
          </w:p>
        </w:tc>
        <w:tc>
          <w:tcPr>
            <w:tcW w:w="451" w:type="pct"/>
            <w:shd w:val="clear" w:color="auto" w:fill="FFFFFF" w:themeFill="background1"/>
            <w:noWrap/>
          </w:tcPr>
          <w:p w14:paraId="5102CE16" w14:textId="18C497D4" w:rsidR="003B7225" w:rsidRPr="006A66CF" w:rsidRDefault="003B7225" w:rsidP="003B7225">
            <w:pPr>
              <w:pStyle w:val="Tabletext"/>
              <w:rPr>
                <w:noProof/>
                <w:sz w:val="20"/>
                <w:szCs w:val="20"/>
              </w:rPr>
            </w:pPr>
            <w:r w:rsidRPr="0010342C">
              <w:rPr>
                <w:noProof/>
                <w:sz w:val="20"/>
                <w:szCs w:val="20"/>
              </w:rPr>
              <w:t>0.</w:t>
            </w:r>
            <w:r w:rsidRPr="00105FE3">
              <w:rPr>
                <w:bCs/>
                <w:noProof/>
                <w:sz w:val="20"/>
                <w:szCs w:val="32"/>
              </w:rPr>
              <w:t>9</w:t>
            </w:r>
            <w:r>
              <w:rPr>
                <w:bCs/>
                <w:noProof/>
                <w:sz w:val="20"/>
                <w:szCs w:val="32"/>
              </w:rPr>
              <w:t>28</w:t>
            </w:r>
          </w:p>
        </w:tc>
      </w:tr>
    </w:tbl>
    <w:p w14:paraId="2A1398EE" w14:textId="05567232" w:rsidR="00D4635A" w:rsidRDefault="00D4635A" w:rsidP="00EB1721">
      <w:pPr>
        <w:pStyle w:val="ABody"/>
        <w:rPr>
          <w:rFonts w:ascii="Times New Roman" w:hAnsi="Times New Roman" w:cs="Times New Roman"/>
          <w:noProof/>
          <w:szCs w:val="24"/>
        </w:rPr>
      </w:pPr>
      <w:r w:rsidRPr="00362955">
        <w:rPr>
          <w:rFonts w:ascii="Times New Roman" w:hAnsi="Times New Roman" w:cs="Times New Roman"/>
          <w:noProof/>
          <w:szCs w:val="24"/>
        </w:rPr>
        <w:t>The PROMETHEE II</w:t>
      </w:r>
      <w:r w:rsidRPr="00D4635A">
        <w:rPr>
          <w:rFonts w:ascii="Times New Roman" w:hAnsi="Times New Roman" w:cs="Times New Roman"/>
          <w:noProof/>
          <w:szCs w:val="24"/>
        </w:rPr>
        <w:t xml:space="preserve"> results for Problem 2 clearly point to PO2</w:t>
      </w:r>
      <w:r w:rsidR="000B723E">
        <w:rPr>
          <w:rFonts w:ascii="Times New Roman" w:hAnsi="Times New Roman" w:cs="Times New Roman"/>
          <w:noProof/>
          <w:szCs w:val="24"/>
        </w:rPr>
        <w:t>-</w:t>
      </w:r>
      <w:r w:rsidRPr="00D4635A">
        <w:rPr>
          <w:rFonts w:ascii="Times New Roman" w:hAnsi="Times New Roman" w:cs="Times New Roman"/>
          <w:noProof/>
          <w:szCs w:val="24"/>
        </w:rPr>
        <w:t>C as the best-performing option, with PO2</w:t>
      </w:r>
      <w:r w:rsidR="000B723E">
        <w:rPr>
          <w:rFonts w:ascii="Times New Roman" w:hAnsi="Times New Roman" w:cs="Times New Roman"/>
          <w:noProof/>
          <w:szCs w:val="24"/>
        </w:rPr>
        <w:t>-</w:t>
      </w:r>
      <w:r w:rsidRPr="00D4635A">
        <w:rPr>
          <w:rFonts w:ascii="Times New Roman" w:hAnsi="Times New Roman" w:cs="Times New Roman"/>
          <w:noProof/>
          <w:szCs w:val="24"/>
        </w:rPr>
        <w:t>A a solid second and PO2</w:t>
      </w:r>
      <w:r w:rsidR="00872BB4">
        <w:rPr>
          <w:rFonts w:ascii="Times New Roman" w:hAnsi="Times New Roman" w:cs="Times New Roman"/>
          <w:noProof/>
          <w:szCs w:val="24"/>
        </w:rPr>
        <w:t>-</w:t>
      </w:r>
      <w:r w:rsidRPr="00D4635A">
        <w:rPr>
          <w:rFonts w:ascii="Times New Roman" w:hAnsi="Times New Roman" w:cs="Times New Roman"/>
          <w:noProof/>
          <w:szCs w:val="24"/>
        </w:rPr>
        <w:t>B consistently weakest. Under equal weighting, all options improve on the baseline (–0.</w:t>
      </w:r>
      <w:r w:rsidR="00872BB4">
        <w:rPr>
          <w:rFonts w:ascii="Times New Roman" w:hAnsi="Times New Roman" w:cs="Times New Roman"/>
          <w:noProof/>
          <w:szCs w:val="24"/>
        </w:rPr>
        <w:t>333</w:t>
      </w:r>
      <w:r w:rsidR="00872BB4" w:rsidRPr="00D4635A">
        <w:rPr>
          <w:rFonts w:ascii="Times New Roman" w:hAnsi="Times New Roman" w:cs="Times New Roman"/>
          <w:noProof/>
          <w:szCs w:val="24"/>
        </w:rPr>
        <w:t xml:space="preserve"> </w:t>
      </w:r>
      <w:r w:rsidRPr="00D4635A">
        <w:rPr>
          <w:rFonts w:ascii="Times New Roman" w:hAnsi="Times New Roman" w:cs="Times New Roman"/>
          <w:noProof/>
          <w:szCs w:val="24"/>
        </w:rPr>
        <w:t>at impact level; –0.</w:t>
      </w:r>
      <w:r w:rsidR="00872BB4">
        <w:rPr>
          <w:rFonts w:ascii="Times New Roman" w:hAnsi="Times New Roman" w:cs="Times New Roman"/>
          <w:noProof/>
          <w:szCs w:val="24"/>
        </w:rPr>
        <w:t>213</w:t>
      </w:r>
      <w:r w:rsidR="00872BB4" w:rsidRPr="00D4635A">
        <w:rPr>
          <w:rFonts w:ascii="Times New Roman" w:hAnsi="Times New Roman" w:cs="Times New Roman"/>
          <w:noProof/>
          <w:szCs w:val="24"/>
        </w:rPr>
        <w:t xml:space="preserve"> </w:t>
      </w:r>
      <w:r w:rsidRPr="00D4635A">
        <w:rPr>
          <w:rFonts w:ascii="Times New Roman" w:hAnsi="Times New Roman" w:cs="Times New Roman"/>
          <w:noProof/>
          <w:szCs w:val="24"/>
        </w:rPr>
        <w:t>at sub-impacts), but PO2</w:t>
      </w:r>
      <w:r w:rsidR="00872BB4">
        <w:rPr>
          <w:rFonts w:ascii="Times New Roman" w:hAnsi="Times New Roman" w:cs="Times New Roman"/>
          <w:noProof/>
          <w:szCs w:val="24"/>
        </w:rPr>
        <w:t>-</w:t>
      </w:r>
      <w:r w:rsidRPr="00D4635A">
        <w:rPr>
          <w:rFonts w:ascii="Times New Roman" w:hAnsi="Times New Roman" w:cs="Times New Roman"/>
          <w:noProof/>
          <w:szCs w:val="24"/>
        </w:rPr>
        <w:t>C achieves the highest net flows both at the impact level and sub-impact (0.</w:t>
      </w:r>
      <w:r w:rsidR="00872BB4" w:rsidRPr="00D4635A">
        <w:rPr>
          <w:rFonts w:ascii="Times New Roman" w:hAnsi="Times New Roman" w:cs="Times New Roman"/>
          <w:noProof/>
          <w:szCs w:val="24"/>
        </w:rPr>
        <w:t>3</w:t>
      </w:r>
      <w:r w:rsidR="00872BB4">
        <w:rPr>
          <w:rFonts w:ascii="Times New Roman" w:hAnsi="Times New Roman" w:cs="Times New Roman"/>
          <w:noProof/>
          <w:szCs w:val="24"/>
        </w:rPr>
        <w:t>33</w:t>
      </w:r>
      <w:r w:rsidR="00872BB4" w:rsidRPr="00D4635A">
        <w:rPr>
          <w:rFonts w:ascii="Times New Roman" w:hAnsi="Times New Roman" w:cs="Times New Roman"/>
          <w:noProof/>
          <w:szCs w:val="24"/>
        </w:rPr>
        <w:t xml:space="preserve"> </w:t>
      </w:r>
      <w:r w:rsidRPr="00D4635A">
        <w:rPr>
          <w:rFonts w:ascii="Times New Roman" w:hAnsi="Times New Roman" w:cs="Times New Roman"/>
          <w:noProof/>
          <w:szCs w:val="24"/>
        </w:rPr>
        <w:t>and 0.</w:t>
      </w:r>
      <w:r w:rsidR="00872BB4">
        <w:rPr>
          <w:rFonts w:ascii="Times New Roman" w:hAnsi="Times New Roman" w:cs="Times New Roman"/>
          <w:noProof/>
          <w:szCs w:val="24"/>
        </w:rPr>
        <w:t>162</w:t>
      </w:r>
      <w:r w:rsidRPr="00D4635A">
        <w:rPr>
          <w:rFonts w:ascii="Times New Roman" w:hAnsi="Times New Roman" w:cs="Times New Roman"/>
          <w:noProof/>
          <w:szCs w:val="24"/>
        </w:rPr>
        <w:t>), ahead of PO2</w:t>
      </w:r>
      <w:r w:rsidR="00872BB4">
        <w:rPr>
          <w:rFonts w:ascii="Times New Roman" w:hAnsi="Times New Roman" w:cs="Times New Roman"/>
          <w:noProof/>
          <w:szCs w:val="24"/>
        </w:rPr>
        <w:t>-</w:t>
      </w:r>
      <w:r w:rsidRPr="00D4635A">
        <w:rPr>
          <w:rFonts w:ascii="Times New Roman" w:hAnsi="Times New Roman" w:cs="Times New Roman"/>
          <w:noProof/>
          <w:szCs w:val="24"/>
        </w:rPr>
        <w:t>A (0.</w:t>
      </w:r>
      <w:r w:rsidR="00872BB4">
        <w:rPr>
          <w:rFonts w:ascii="Times New Roman" w:hAnsi="Times New Roman" w:cs="Times New Roman"/>
          <w:noProof/>
          <w:szCs w:val="24"/>
        </w:rPr>
        <w:t>000</w:t>
      </w:r>
      <w:r w:rsidR="00872BB4" w:rsidRPr="00D4635A">
        <w:rPr>
          <w:rFonts w:ascii="Times New Roman" w:hAnsi="Times New Roman" w:cs="Times New Roman"/>
          <w:noProof/>
          <w:szCs w:val="24"/>
        </w:rPr>
        <w:t xml:space="preserve"> </w:t>
      </w:r>
      <w:r w:rsidRPr="00D4635A">
        <w:rPr>
          <w:rFonts w:ascii="Times New Roman" w:hAnsi="Times New Roman" w:cs="Times New Roman"/>
          <w:noProof/>
          <w:szCs w:val="24"/>
        </w:rPr>
        <w:t>and 0.</w:t>
      </w:r>
      <w:r w:rsidR="00872BB4" w:rsidRPr="00D4635A">
        <w:rPr>
          <w:rFonts w:ascii="Times New Roman" w:hAnsi="Times New Roman" w:cs="Times New Roman"/>
          <w:noProof/>
          <w:szCs w:val="24"/>
        </w:rPr>
        <w:t>1</w:t>
      </w:r>
      <w:r w:rsidR="00872BB4">
        <w:rPr>
          <w:rFonts w:ascii="Times New Roman" w:hAnsi="Times New Roman" w:cs="Times New Roman"/>
          <w:noProof/>
          <w:szCs w:val="24"/>
        </w:rPr>
        <w:t>30</w:t>
      </w:r>
      <w:r w:rsidRPr="00D4635A">
        <w:rPr>
          <w:rFonts w:ascii="Times New Roman" w:hAnsi="Times New Roman" w:cs="Times New Roman"/>
          <w:noProof/>
          <w:szCs w:val="24"/>
        </w:rPr>
        <w:t>) and PO2</w:t>
      </w:r>
      <w:r w:rsidR="00872BB4">
        <w:rPr>
          <w:rFonts w:ascii="Times New Roman" w:hAnsi="Times New Roman" w:cs="Times New Roman"/>
          <w:noProof/>
          <w:szCs w:val="24"/>
        </w:rPr>
        <w:t>-</w:t>
      </w:r>
      <w:r w:rsidRPr="00D4635A">
        <w:rPr>
          <w:rFonts w:ascii="Times New Roman" w:hAnsi="Times New Roman" w:cs="Times New Roman"/>
          <w:noProof/>
          <w:szCs w:val="24"/>
        </w:rPr>
        <w:t>B (0.</w:t>
      </w:r>
      <w:r w:rsidR="00872BB4" w:rsidRPr="00D4635A">
        <w:rPr>
          <w:rFonts w:ascii="Times New Roman" w:hAnsi="Times New Roman" w:cs="Times New Roman"/>
          <w:noProof/>
          <w:szCs w:val="24"/>
        </w:rPr>
        <w:t>0</w:t>
      </w:r>
      <w:r w:rsidR="00872BB4">
        <w:rPr>
          <w:rFonts w:ascii="Times New Roman" w:hAnsi="Times New Roman" w:cs="Times New Roman"/>
          <w:noProof/>
          <w:szCs w:val="24"/>
        </w:rPr>
        <w:t>00</w:t>
      </w:r>
      <w:r w:rsidR="00872BB4" w:rsidRPr="00D4635A">
        <w:rPr>
          <w:rFonts w:ascii="Times New Roman" w:hAnsi="Times New Roman" w:cs="Times New Roman"/>
          <w:noProof/>
          <w:szCs w:val="24"/>
        </w:rPr>
        <w:t xml:space="preserve"> </w:t>
      </w:r>
      <w:r w:rsidRPr="00D4635A">
        <w:rPr>
          <w:rFonts w:ascii="Times New Roman" w:hAnsi="Times New Roman" w:cs="Times New Roman"/>
          <w:noProof/>
          <w:szCs w:val="24"/>
        </w:rPr>
        <w:t>and –0.</w:t>
      </w:r>
      <w:r w:rsidR="009D6A08" w:rsidRPr="00D4635A">
        <w:rPr>
          <w:rFonts w:ascii="Times New Roman" w:hAnsi="Times New Roman" w:cs="Times New Roman"/>
          <w:noProof/>
          <w:szCs w:val="24"/>
        </w:rPr>
        <w:t>0</w:t>
      </w:r>
      <w:r w:rsidR="009D6A08">
        <w:rPr>
          <w:rFonts w:ascii="Times New Roman" w:hAnsi="Times New Roman" w:cs="Times New Roman"/>
          <w:noProof/>
          <w:szCs w:val="24"/>
        </w:rPr>
        <w:t>79</w:t>
      </w:r>
      <w:r w:rsidRPr="00D4635A">
        <w:rPr>
          <w:rFonts w:ascii="Times New Roman" w:hAnsi="Times New Roman" w:cs="Times New Roman"/>
          <w:noProof/>
          <w:szCs w:val="24"/>
        </w:rPr>
        <w:t>). When the Problem 2 weighting is applied, this ordering becomes even clearer: PO2</w:t>
      </w:r>
      <w:r w:rsidR="009D6A08">
        <w:rPr>
          <w:rFonts w:ascii="Times New Roman" w:hAnsi="Times New Roman" w:cs="Times New Roman"/>
          <w:noProof/>
          <w:szCs w:val="24"/>
        </w:rPr>
        <w:t>-</w:t>
      </w:r>
      <w:r w:rsidRPr="00D4635A">
        <w:rPr>
          <w:rFonts w:ascii="Times New Roman" w:hAnsi="Times New Roman" w:cs="Times New Roman"/>
          <w:noProof/>
          <w:szCs w:val="24"/>
        </w:rPr>
        <w:t>C again records the highest net flows (0.</w:t>
      </w:r>
      <w:r w:rsidR="009D6A08">
        <w:rPr>
          <w:rFonts w:ascii="Times New Roman" w:hAnsi="Times New Roman" w:cs="Times New Roman"/>
          <w:noProof/>
          <w:szCs w:val="24"/>
        </w:rPr>
        <w:t>333</w:t>
      </w:r>
      <w:r w:rsidR="009D6A08" w:rsidRPr="00D4635A">
        <w:rPr>
          <w:rFonts w:ascii="Times New Roman" w:hAnsi="Times New Roman" w:cs="Times New Roman"/>
          <w:noProof/>
          <w:szCs w:val="24"/>
        </w:rPr>
        <w:t xml:space="preserve"> </w:t>
      </w:r>
      <w:r w:rsidRPr="00D4635A">
        <w:rPr>
          <w:rFonts w:ascii="Times New Roman" w:hAnsi="Times New Roman" w:cs="Times New Roman"/>
          <w:noProof/>
          <w:szCs w:val="24"/>
        </w:rPr>
        <w:t>at impact level and 0.</w:t>
      </w:r>
      <w:r w:rsidR="009D6A08" w:rsidRPr="00D4635A">
        <w:rPr>
          <w:rFonts w:ascii="Times New Roman" w:hAnsi="Times New Roman" w:cs="Times New Roman"/>
          <w:noProof/>
          <w:szCs w:val="24"/>
        </w:rPr>
        <w:t>4</w:t>
      </w:r>
      <w:r w:rsidR="009D6A08">
        <w:rPr>
          <w:rFonts w:ascii="Times New Roman" w:hAnsi="Times New Roman" w:cs="Times New Roman"/>
          <w:noProof/>
          <w:szCs w:val="24"/>
        </w:rPr>
        <w:t>43</w:t>
      </w:r>
      <w:r w:rsidR="009D6A08" w:rsidRPr="00D4635A">
        <w:rPr>
          <w:rFonts w:ascii="Times New Roman" w:hAnsi="Times New Roman" w:cs="Times New Roman"/>
          <w:noProof/>
          <w:szCs w:val="24"/>
        </w:rPr>
        <w:t xml:space="preserve"> </w:t>
      </w:r>
      <w:r w:rsidRPr="00D4635A">
        <w:rPr>
          <w:rFonts w:ascii="Times New Roman" w:hAnsi="Times New Roman" w:cs="Times New Roman"/>
          <w:noProof/>
          <w:szCs w:val="24"/>
        </w:rPr>
        <w:t>at sub-impacts), PO2</w:t>
      </w:r>
      <w:r w:rsidR="009D6A08">
        <w:rPr>
          <w:rFonts w:ascii="Times New Roman" w:hAnsi="Times New Roman" w:cs="Times New Roman"/>
          <w:noProof/>
          <w:szCs w:val="24"/>
        </w:rPr>
        <w:t>-</w:t>
      </w:r>
      <w:r w:rsidRPr="00D4635A">
        <w:rPr>
          <w:rFonts w:ascii="Times New Roman" w:hAnsi="Times New Roman" w:cs="Times New Roman"/>
          <w:noProof/>
          <w:szCs w:val="24"/>
        </w:rPr>
        <w:t>A remains positive</w:t>
      </w:r>
      <w:r w:rsidR="009D6A08">
        <w:rPr>
          <w:rFonts w:ascii="Times New Roman" w:hAnsi="Times New Roman" w:cs="Times New Roman"/>
          <w:noProof/>
          <w:szCs w:val="24"/>
        </w:rPr>
        <w:t xml:space="preserve"> at sub-impact level</w:t>
      </w:r>
      <w:r w:rsidRPr="00D4635A">
        <w:rPr>
          <w:rFonts w:ascii="Times New Roman" w:hAnsi="Times New Roman" w:cs="Times New Roman"/>
          <w:noProof/>
          <w:szCs w:val="24"/>
        </w:rPr>
        <w:t xml:space="preserve"> but more moderate (0.</w:t>
      </w:r>
      <w:r w:rsidR="007B0B27">
        <w:rPr>
          <w:rFonts w:ascii="Times New Roman" w:hAnsi="Times New Roman" w:cs="Times New Roman"/>
          <w:noProof/>
          <w:szCs w:val="24"/>
        </w:rPr>
        <w:t>150</w:t>
      </w:r>
      <w:r w:rsidR="009D6A08">
        <w:rPr>
          <w:rFonts w:ascii="Times New Roman" w:hAnsi="Times New Roman" w:cs="Times New Roman"/>
          <w:noProof/>
          <w:szCs w:val="24"/>
        </w:rPr>
        <w:t>)</w:t>
      </w:r>
      <w:r w:rsidRPr="00D4635A">
        <w:rPr>
          <w:rFonts w:ascii="Times New Roman" w:hAnsi="Times New Roman" w:cs="Times New Roman"/>
          <w:noProof/>
          <w:szCs w:val="24"/>
        </w:rPr>
        <w:t xml:space="preserve"> and </w:t>
      </w:r>
      <w:r w:rsidR="007B0B27">
        <w:rPr>
          <w:rFonts w:ascii="Times New Roman" w:hAnsi="Times New Roman" w:cs="Times New Roman"/>
          <w:noProof/>
          <w:szCs w:val="24"/>
        </w:rPr>
        <w:t>becomes negative at impact level (-</w:t>
      </w:r>
      <w:r w:rsidRPr="00D4635A">
        <w:rPr>
          <w:rFonts w:ascii="Times New Roman" w:hAnsi="Times New Roman" w:cs="Times New Roman"/>
          <w:noProof/>
          <w:szCs w:val="24"/>
        </w:rPr>
        <w:t>0.</w:t>
      </w:r>
      <w:r w:rsidR="007B0B27">
        <w:rPr>
          <w:rFonts w:ascii="Times New Roman" w:hAnsi="Times New Roman" w:cs="Times New Roman"/>
          <w:noProof/>
          <w:szCs w:val="24"/>
        </w:rPr>
        <w:t>133</w:t>
      </w:r>
      <w:r w:rsidRPr="00D4635A">
        <w:rPr>
          <w:rFonts w:ascii="Times New Roman" w:hAnsi="Times New Roman" w:cs="Times New Roman"/>
          <w:noProof/>
          <w:szCs w:val="24"/>
        </w:rPr>
        <w:t xml:space="preserve">), </w:t>
      </w:r>
      <w:r w:rsidR="007B0B27">
        <w:rPr>
          <w:rFonts w:ascii="Times New Roman" w:hAnsi="Times New Roman" w:cs="Times New Roman"/>
          <w:noProof/>
          <w:szCs w:val="24"/>
        </w:rPr>
        <w:t xml:space="preserve">performing worse than the baseline. </w:t>
      </w:r>
      <w:r w:rsidR="00667AD5">
        <w:rPr>
          <w:rFonts w:ascii="Times New Roman" w:hAnsi="Times New Roman" w:cs="Times New Roman"/>
          <w:noProof/>
          <w:szCs w:val="24"/>
        </w:rPr>
        <w:t>Similarly,</w:t>
      </w:r>
      <w:r w:rsidR="00667AD5" w:rsidRPr="00D4635A">
        <w:rPr>
          <w:rFonts w:ascii="Times New Roman" w:hAnsi="Times New Roman" w:cs="Times New Roman"/>
          <w:noProof/>
          <w:szCs w:val="24"/>
        </w:rPr>
        <w:t xml:space="preserve"> </w:t>
      </w:r>
      <w:r w:rsidRPr="00D4635A">
        <w:rPr>
          <w:rFonts w:ascii="Times New Roman" w:hAnsi="Times New Roman" w:cs="Times New Roman"/>
          <w:noProof/>
          <w:szCs w:val="24"/>
        </w:rPr>
        <w:t>PO2</w:t>
      </w:r>
      <w:r w:rsidR="00667AD5">
        <w:rPr>
          <w:rFonts w:ascii="Times New Roman" w:hAnsi="Times New Roman" w:cs="Times New Roman"/>
          <w:noProof/>
          <w:szCs w:val="24"/>
        </w:rPr>
        <w:t>-</w:t>
      </w:r>
      <w:r w:rsidRPr="00D4635A">
        <w:rPr>
          <w:rFonts w:ascii="Times New Roman" w:hAnsi="Times New Roman" w:cs="Times New Roman"/>
          <w:noProof/>
          <w:szCs w:val="24"/>
        </w:rPr>
        <w:t>B is negative at the impact level and sub-impact (–0.</w:t>
      </w:r>
      <w:r w:rsidR="00667AD5">
        <w:rPr>
          <w:rFonts w:ascii="Times New Roman" w:hAnsi="Times New Roman" w:cs="Times New Roman"/>
          <w:noProof/>
          <w:szCs w:val="24"/>
        </w:rPr>
        <w:t>400</w:t>
      </w:r>
      <w:r w:rsidRPr="00D4635A">
        <w:rPr>
          <w:rFonts w:ascii="Times New Roman" w:hAnsi="Times New Roman" w:cs="Times New Roman"/>
          <w:noProof/>
          <w:szCs w:val="24"/>
        </w:rPr>
        <w:t>, - 0.</w:t>
      </w:r>
      <w:r w:rsidR="00667AD5" w:rsidRPr="00D4635A">
        <w:rPr>
          <w:rFonts w:ascii="Times New Roman" w:hAnsi="Times New Roman" w:cs="Times New Roman"/>
          <w:noProof/>
          <w:szCs w:val="24"/>
        </w:rPr>
        <w:t>0</w:t>
      </w:r>
      <w:r w:rsidR="00667AD5">
        <w:rPr>
          <w:rFonts w:ascii="Times New Roman" w:hAnsi="Times New Roman" w:cs="Times New Roman"/>
          <w:noProof/>
          <w:szCs w:val="24"/>
        </w:rPr>
        <w:t>72</w:t>
      </w:r>
      <w:r w:rsidR="00667AD5" w:rsidRPr="00D4635A">
        <w:rPr>
          <w:rFonts w:ascii="Times New Roman" w:hAnsi="Times New Roman" w:cs="Times New Roman"/>
          <w:noProof/>
          <w:szCs w:val="24"/>
        </w:rPr>
        <w:t xml:space="preserve"> </w:t>
      </w:r>
      <w:r w:rsidRPr="00D4635A">
        <w:rPr>
          <w:rFonts w:ascii="Times New Roman" w:hAnsi="Times New Roman" w:cs="Times New Roman"/>
          <w:noProof/>
          <w:szCs w:val="24"/>
        </w:rPr>
        <w:t xml:space="preserve">at sub-impacts) and therefore appears poorly aligned with the sovereignty- and resilience-focused P2 priorities. </w:t>
      </w:r>
    </w:p>
    <w:p w14:paraId="4885D8B8" w14:textId="5E957945" w:rsidR="00EB1721" w:rsidRPr="008D0BAC" w:rsidRDefault="00EB1721" w:rsidP="00EB1721">
      <w:pPr>
        <w:pStyle w:val="ABody"/>
        <w:rPr>
          <w:rFonts w:ascii="Times New Roman" w:hAnsi="Times New Roman" w:cs="Times New Roman"/>
          <w:noProof/>
          <w:szCs w:val="24"/>
        </w:rPr>
      </w:pPr>
      <w:r w:rsidRPr="008D0BAC">
        <w:rPr>
          <w:rFonts w:ascii="Times New Roman" w:hAnsi="Times New Roman" w:cs="Times New Roman"/>
          <w:noProof/>
          <w:szCs w:val="24"/>
        </w:rPr>
        <w:t>Thus, PROMETHEE II indicates that PO2</w:t>
      </w:r>
      <w:r w:rsidR="008B5EB3">
        <w:rPr>
          <w:rFonts w:ascii="Times New Roman" w:hAnsi="Times New Roman" w:cs="Times New Roman"/>
          <w:noProof/>
          <w:szCs w:val="24"/>
        </w:rPr>
        <w:t>-</w:t>
      </w:r>
      <w:r w:rsidRPr="008D0BAC">
        <w:rPr>
          <w:rFonts w:ascii="Times New Roman" w:hAnsi="Times New Roman" w:cs="Times New Roman"/>
          <w:noProof/>
          <w:szCs w:val="24"/>
        </w:rPr>
        <w:t>C offers the strongest and most robust performance across both impact and sub-impact structures, with PO2</w:t>
      </w:r>
      <w:r w:rsidR="008B5EB3">
        <w:rPr>
          <w:rFonts w:ascii="Times New Roman" w:hAnsi="Times New Roman" w:cs="Times New Roman"/>
          <w:noProof/>
          <w:szCs w:val="24"/>
        </w:rPr>
        <w:t>-</w:t>
      </w:r>
      <w:r w:rsidRPr="008D0BAC">
        <w:rPr>
          <w:rFonts w:ascii="Times New Roman" w:hAnsi="Times New Roman" w:cs="Times New Roman"/>
          <w:noProof/>
          <w:szCs w:val="24"/>
        </w:rPr>
        <w:t>A preferable to the baseline</w:t>
      </w:r>
      <w:r w:rsidR="00165B92">
        <w:rPr>
          <w:rFonts w:ascii="Times New Roman" w:hAnsi="Times New Roman" w:cs="Times New Roman"/>
          <w:noProof/>
          <w:szCs w:val="24"/>
        </w:rPr>
        <w:t xml:space="preserve"> in most cases</w:t>
      </w:r>
      <w:r w:rsidRPr="008D0BAC">
        <w:rPr>
          <w:rFonts w:ascii="Times New Roman" w:hAnsi="Times New Roman" w:cs="Times New Roman"/>
          <w:noProof/>
          <w:szCs w:val="24"/>
        </w:rPr>
        <w:t>, and PO2</w:t>
      </w:r>
      <w:r w:rsidR="008B5EB3">
        <w:rPr>
          <w:rFonts w:ascii="Times New Roman" w:hAnsi="Times New Roman" w:cs="Times New Roman"/>
          <w:noProof/>
          <w:szCs w:val="24"/>
        </w:rPr>
        <w:t>-</w:t>
      </w:r>
      <w:r w:rsidRPr="008D0BAC">
        <w:rPr>
          <w:rFonts w:ascii="Times New Roman" w:hAnsi="Times New Roman" w:cs="Times New Roman"/>
          <w:noProof/>
          <w:szCs w:val="24"/>
        </w:rPr>
        <w:t>B clearly the least attractive option.</w:t>
      </w:r>
    </w:p>
    <w:p w14:paraId="51D7DDCA" w14:textId="31E09E37" w:rsidR="00EB1721" w:rsidRDefault="00EB1721" w:rsidP="00EB1721">
      <w:pPr>
        <w:pStyle w:val="Caption"/>
        <w:rPr>
          <w:noProof/>
        </w:rPr>
      </w:pPr>
      <w:bookmarkStart w:id="305" w:name="_Toc215886333"/>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59</w:t>
      </w:r>
      <w:r>
        <w:rPr>
          <w:noProof/>
        </w:rPr>
        <w:fldChar w:fldCharType="end"/>
      </w:r>
      <w:r w:rsidR="008B5EB3">
        <w:rPr>
          <w:noProof/>
        </w:rPr>
        <w:t>.</w:t>
      </w:r>
      <w:r>
        <w:rPr>
          <w:noProof/>
        </w:rPr>
        <w:t xml:space="preserve"> </w:t>
      </w:r>
      <w:r w:rsidRPr="008C5AF3">
        <w:rPr>
          <w:noProof/>
        </w:rPr>
        <w:t xml:space="preserve">PROMETHEE II - Problem </w:t>
      </w:r>
      <w:r>
        <w:rPr>
          <w:noProof/>
        </w:rPr>
        <w:t>2</w:t>
      </w:r>
      <w:bookmarkEnd w:id="305"/>
      <w:r w:rsidR="004E323D">
        <w:rPr>
          <w:noProof/>
        </w:rPr>
        <w:t xml:space="preserve"> </w:t>
      </w:r>
      <w:r w:rsidR="004E323D" w:rsidRPr="00785FC1">
        <w:rPr>
          <w:b w:val="0"/>
          <w:bCs/>
          <w:noProof/>
        </w:rPr>
        <w:t>(Source: Technopolis et al. (2025))</w:t>
      </w:r>
    </w:p>
    <w:tbl>
      <w:tblPr>
        <w:tblStyle w:val="TechnopolisLight"/>
        <w:tblW w:w="5000" w:type="pct"/>
        <w:tblInd w:w="0" w:type="dxa"/>
        <w:tblLook w:val="04A0" w:firstRow="1" w:lastRow="0" w:firstColumn="1" w:lastColumn="0" w:noHBand="0" w:noVBand="1"/>
      </w:tblPr>
      <w:tblGrid>
        <w:gridCol w:w="1809"/>
        <w:gridCol w:w="1809"/>
        <w:gridCol w:w="1809"/>
        <w:gridCol w:w="1809"/>
        <w:gridCol w:w="1809"/>
      </w:tblGrid>
      <w:tr w:rsidR="00EB1721" w14:paraId="1B2C7F21" w14:textId="77777777" w:rsidTr="00651661">
        <w:trPr>
          <w:cnfStyle w:val="100000000000" w:firstRow="1" w:lastRow="0" w:firstColumn="0" w:lastColumn="0" w:oddVBand="0" w:evenVBand="0" w:oddHBand="0" w:evenHBand="0" w:firstRowFirstColumn="0" w:firstRowLastColumn="0" w:lastRowFirstColumn="0" w:lastRowLastColumn="0"/>
          <w:tblHeader/>
        </w:trPr>
        <w:tc>
          <w:tcPr>
            <w:tcW w:w="1000" w:type="pct"/>
            <w:tcBorders>
              <w:bottom w:val="single" w:sz="12" w:space="0" w:color="00B0F0"/>
            </w:tcBorders>
          </w:tcPr>
          <w:p w14:paraId="61646B24" w14:textId="77777777" w:rsidR="00EB1721" w:rsidRPr="008D0BAC" w:rsidRDefault="00EB1721">
            <w:pPr>
              <w:pStyle w:val="Tabletext"/>
              <w:rPr>
                <w:noProof/>
                <w:color w:val="000000" w:themeColor="text1"/>
                <w:sz w:val="22"/>
                <w:szCs w:val="22"/>
              </w:rPr>
            </w:pPr>
            <w:r w:rsidRPr="008D0BAC">
              <w:rPr>
                <w:noProof/>
                <w:color w:val="000000" w:themeColor="text1"/>
                <w:sz w:val="22"/>
                <w:szCs w:val="22"/>
              </w:rPr>
              <w:t>Option</w:t>
            </w:r>
          </w:p>
        </w:tc>
        <w:tc>
          <w:tcPr>
            <w:tcW w:w="1000" w:type="pct"/>
            <w:tcBorders>
              <w:bottom w:val="single" w:sz="12" w:space="0" w:color="00B0F0"/>
            </w:tcBorders>
          </w:tcPr>
          <w:p w14:paraId="646F3F55" w14:textId="77777777" w:rsidR="00EB1721" w:rsidRPr="008D0BAC" w:rsidRDefault="00EB1721">
            <w:pPr>
              <w:pStyle w:val="Tabletext"/>
              <w:rPr>
                <w:noProof/>
                <w:color w:val="000000" w:themeColor="text1"/>
                <w:sz w:val="22"/>
                <w:szCs w:val="22"/>
              </w:rPr>
            </w:pPr>
            <w:r w:rsidRPr="008D0BAC">
              <w:rPr>
                <w:noProof/>
                <w:color w:val="000000" w:themeColor="text1"/>
                <w:sz w:val="22"/>
                <w:szCs w:val="22"/>
              </w:rPr>
              <w:t>EW - Impacts</w:t>
            </w:r>
          </w:p>
        </w:tc>
        <w:tc>
          <w:tcPr>
            <w:tcW w:w="1000" w:type="pct"/>
            <w:tcBorders>
              <w:bottom w:val="single" w:sz="12" w:space="0" w:color="00B0F0"/>
            </w:tcBorders>
          </w:tcPr>
          <w:p w14:paraId="1ADD985E" w14:textId="77777777" w:rsidR="00EB1721" w:rsidRPr="008D0BAC" w:rsidRDefault="00EB1721">
            <w:pPr>
              <w:pStyle w:val="Tabletext"/>
              <w:rPr>
                <w:noProof/>
                <w:color w:val="000000" w:themeColor="text1"/>
                <w:sz w:val="22"/>
                <w:szCs w:val="22"/>
              </w:rPr>
            </w:pPr>
            <w:r w:rsidRPr="008D0BAC">
              <w:rPr>
                <w:noProof/>
                <w:color w:val="000000" w:themeColor="text1"/>
                <w:sz w:val="22"/>
                <w:szCs w:val="22"/>
              </w:rPr>
              <w:t>EW Sub-impacts</w:t>
            </w:r>
          </w:p>
        </w:tc>
        <w:tc>
          <w:tcPr>
            <w:tcW w:w="1000" w:type="pct"/>
            <w:tcBorders>
              <w:bottom w:val="single" w:sz="12" w:space="0" w:color="00B0F0"/>
            </w:tcBorders>
          </w:tcPr>
          <w:p w14:paraId="422B049F" w14:textId="77777777" w:rsidR="00EB1721" w:rsidRPr="008D0BAC" w:rsidRDefault="00EB1721">
            <w:pPr>
              <w:pStyle w:val="Tabletext"/>
              <w:rPr>
                <w:noProof/>
                <w:color w:val="000000" w:themeColor="text1"/>
                <w:sz w:val="22"/>
                <w:szCs w:val="22"/>
              </w:rPr>
            </w:pPr>
            <w:r w:rsidRPr="008D0BAC">
              <w:rPr>
                <w:noProof/>
                <w:color w:val="000000" w:themeColor="text1"/>
                <w:sz w:val="22"/>
                <w:szCs w:val="22"/>
              </w:rPr>
              <w:t>P2 - Impacts</w:t>
            </w:r>
          </w:p>
        </w:tc>
        <w:tc>
          <w:tcPr>
            <w:tcW w:w="1000" w:type="pct"/>
            <w:tcBorders>
              <w:bottom w:val="single" w:sz="12" w:space="0" w:color="00B0F0"/>
            </w:tcBorders>
          </w:tcPr>
          <w:p w14:paraId="075D23A1" w14:textId="77777777" w:rsidR="00EB1721" w:rsidRPr="008D0BAC" w:rsidRDefault="00EB1721">
            <w:pPr>
              <w:pStyle w:val="Tabletext"/>
              <w:rPr>
                <w:noProof/>
                <w:color w:val="000000" w:themeColor="text1"/>
                <w:sz w:val="22"/>
                <w:szCs w:val="22"/>
              </w:rPr>
            </w:pPr>
            <w:r w:rsidRPr="008D0BAC">
              <w:rPr>
                <w:noProof/>
                <w:color w:val="000000" w:themeColor="text1"/>
                <w:sz w:val="22"/>
                <w:szCs w:val="22"/>
              </w:rPr>
              <w:t>P2 – Sub-Impacts</w:t>
            </w:r>
          </w:p>
        </w:tc>
      </w:tr>
      <w:tr w:rsidR="00EB1721" w14:paraId="15C19923" w14:textId="77777777" w:rsidTr="00B266FA">
        <w:tblPrEx>
          <w:tblCellMar>
            <w:left w:w="108" w:type="dxa"/>
            <w:right w:w="108" w:type="dxa"/>
          </w:tblCellMar>
        </w:tblPrEx>
        <w:tc>
          <w:tcPr>
            <w:tcW w:w="1000" w:type="pct"/>
            <w:tcBorders>
              <w:top w:val="single" w:sz="12" w:space="0" w:color="00B0F0"/>
            </w:tcBorders>
            <w:shd w:val="clear" w:color="auto" w:fill="F2F2F2" w:themeFill="background1" w:themeFillShade="F2"/>
          </w:tcPr>
          <w:p w14:paraId="1515CBD7" w14:textId="77777777" w:rsidR="00EB1721" w:rsidRPr="008D0BAC" w:rsidRDefault="00EB1721">
            <w:pPr>
              <w:pStyle w:val="Tabletext"/>
              <w:rPr>
                <w:b/>
                <w:noProof/>
                <w:sz w:val="22"/>
                <w:szCs w:val="22"/>
              </w:rPr>
            </w:pPr>
            <w:r w:rsidRPr="008D0BAC">
              <w:rPr>
                <w:b/>
                <w:noProof/>
                <w:sz w:val="22"/>
                <w:szCs w:val="22"/>
              </w:rPr>
              <w:t>Baseline</w:t>
            </w:r>
          </w:p>
        </w:tc>
        <w:tc>
          <w:tcPr>
            <w:tcW w:w="1000" w:type="pct"/>
            <w:tcBorders>
              <w:top w:val="single" w:sz="12" w:space="0" w:color="00B0F0"/>
            </w:tcBorders>
            <w:shd w:val="clear" w:color="auto" w:fill="F2F2F2" w:themeFill="background1" w:themeFillShade="F2"/>
          </w:tcPr>
          <w:p w14:paraId="0039A916" w14:textId="7B94C4AA" w:rsidR="00EB1721" w:rsidRPr="00137AFE" w:rsidRDefault="00EB1721">
            <w:pPr>
              <w:pStyle w:val="Tabletext"/>
              <w:rPr>
                <w:noProof/>
                <w:sz w:val="20"/>
                <w:szCs w:val="32"/>
              </w:rPr>
            </w:pPr>
            <w:r w:rsidRPr="00137AFE">
              <w:rPr>
                <w:noProof/>
                <w:sz w:val="20"/>
                <w:szCs w:val="32"/>
              </w:rPr>
              <w:t>-0.</w:t>
            </w:r>
            <w:r w:rsidR="00BC6570">
              <w:rPr>
                <w:noProof/>
                <w:sz w:val="20"/>
                <w:szCs w:val="32"/>
              </w:rPr>
              <w:t>333</w:t>
            </w:r>
          </w:p>
        </w:tc>
        <w:tc>
          <w:tcPr>
            <w:tcW w:w="1000" w:type="pct"/>
            <w:tcBorders>
              <w:top w:val="single" w:sz="12" w:space="0" w:color="00B0F0"/>
            </w:tcBorders>
            <w:shd w:val="clear" w:color="auto" w:fill="F2F2F2" w:themeFill="background1" w:themeFillShade="F2"/>
          </w:tcPr>
          <w:p w14:paraId="3F186A63" w14:textId="15499FA7" w:rsidR="00EB1721" w:rsidRPr="00137AFE" w:rsidRDefault="00EB1721">
            <w:pPr>
              <w:pStyle w:val="Tabletext"/>
              <w:rPr>
                <w:noProof/>
                <w:sz w:val="20"/>
                <w:szCs w:val="32"/>
              </w:rPr>
            </w:pPr>
            <w:r w:rsidRPr="00137AFE">
              <w:rPr>
                <w:noProof/>
                <w:sz w:val="20"/>
                <w:szCs w:val="32"/>
              </w:rPr>
              <w:t>-0.</w:t>
            </w:r>
            <w:r w:rsidR="00BC6570">
              <w:rPr>
                <w:noProof/>
                <w:sz w:val="20"/>
                <w:szCs w:val="32"/>
              </w:rPr>
              <w:t>213</w:t>
            </w:r>
          </w:p>
        </w:tc>
        <w:tc>
          <w:tcPr>
            <w:tcW w:w="1000" w:type="pct"/>
            <w:tcBorders>
              <w:top w:val="single" w:sz="12" w:space="0" w:color="00B0F0"/>
            </w:tcBorders>
            <w:shd w:val="clear" w:color="auto" w:fill="F2F2F2" w:themeFill="background1" w:themeFillShade="F2"/>
          </w:tcPr>
          <w:p w14:paraId="26B6370D" w14:textId="441DBFE8" w:rsidR="00EB1721" w:rsidRPr="00137AFE" w:rsidRDefault="00BC6570">
            <w:pPr>
              <w:pStyle w:val="Tabletext"/>
              <w:rPr>
                <w:noProof/>
                <w:sz w:val="20"/>
                <w:szCs w:val="32"/>
              </w:rPr>
            </w:pPr>
            <w:r>
              <w:rPr>
                <w:noProof/>
                <w:sz w:val="20"/>
                <w:szCs w:val="32"/>
              </w:rPr>
              <w:t>0.200</w:t>
            </w:r>
          </w:p>
        </w:tc>
        <w:tc>
          <w:tcPr>
            <w:tcW w:w="1000" w:type="pct"/>
            <w:tcBorders>
              <w:top w:val="single" w:sz="12" w:space="0" w:color="00B0F0"/>
            </w:tcBorders>
            <w:shd w:val="clear" w:color="auto" w:fill="F2F2F2" w:themeFill="background1" w:themeFillShade="F2"/>
          </w:tcPr>
          <w:p w14:paraId="376AC2D8" w14:textId="7E389F0D" w:rsidR="00EB1721" w:rsidRPr="00137AFE" w:rsidRDefault="00EB1721">
            <w:pPr>
              <w:pStyle w:val="Tabletext"/>
              <w:rPr>
                <w:noProof/>
                <w:sz w:val="20"/>
                <w:szCs w:val="32"/>
              </w:rPr>
            </w:pPr>
            <w:r w:rsidRPr="00137AFE">
              <w:rPr>
                <w:noProof/>
                <w:sz w:val="20"/>
                <w:szCs w:val="32"/>
              </w:rPr>
              <w:t>-0.</w:t>
            </w:r>
            <w:r w:rsidR="009337B1">
              <w:rPr>
                <w:noProof/>
                <w:sz w:val="20"/>
                <w:szCs w:val="32"/>
              </w:rPr>
              <w:t>521</w:t>
            </w:r>
          </w:p>
        </w:tc>
      </w:tr>
      <w:tr w:rsidR="00EB1721" w14:paraId="386F4E02" w14:textId="77777777">
        <w:tblPrEx>
          <w:tblCellMar>
            <w:left w:w="108" w:type="dxa"/>
            <w:right w:w="108" w:type="dxa"/>
          </w:tblCellMar>
        </w:tblPrEx>
        <w:tc>
          <w:tcPr>
            <w:tcW w:w="1000" w:type="pct"/>
          </w:tcPr>
          <w:p w14:paraId="3F1C7DD3" w14:textId="6D11194A" w:rsidR="00EB1721" w:rsidRPr="008D0BAC" w:rsidRDefault="00EB1721">
            <w:pPr>
              <w:pStyle w:val="Tabletext"/>
              <w:rPr>
                <w:b/>
                <w:noProof/>
                <w:sz w:val="22"/>
                <w:szCs w:val="22"/>
              </w:rPr>
            </w:pPr>
            <w:r w:rsidRPr="008D0BAC">
              <w:rPr>
                <w:b/>
                <w:bCs/>
                <w:noProof/>
                <w:sz w:val="22"/>
                <w:szCs w:val="22"/>
              </w:rPr>
              <w:t>PO2</w:t>
            </w:r>
            <w:r w:rsidR="002258F0">
              <w:rPr>
                <w:b/>
                <w:bCs/>
                <w:noProof/>
                <w:sz w:val="22"/>
                <w:szCs w:val="22"/>
              </w:rPr>
              <w:t>-</w:t>
            </w:r>
            <w:r w:rsidRPr="008D0BAC">
              <w:rPr>
                <w:b/>
                <w:bCs/>
                <w:noProof/>
                <w:sz w:val="22"/>
                <w:szCs w:val="22"/>
              </w:rPr>
              <w:t>A</w:t>
            </w:r>
          </w:p>
        </w:tc>
        <w:tc>
          <w:tcPr>
            <w:tcW w:w="1000" w:type="pct"/>
          </w:tcPr>
          <w:p w14:paraId="4313E4A3" w14:textId="31AF87D8" w:rsidR="00EB1721" w:rsidRPr="00137AFE" w:rsidRDefault="00EB1721">
            <w:pPr>
              <w:pStyle w:val="Tabletext"/>
              <w:rPr>
                <w:noProof/>
                <w:sz w:val="20"/>
                <w:szCs w:val="32"/>
              </w:rPr>
            </w:pPr>
            <w:r w:rsidRPr="00137AFE">
              <w:rPr>
                <w:noProof/>
                <w:sz w:val="20"/>
                <w:szCs w:val="32"/>
              </w:rPr>
              <w:t>0.</w:t>
            </w:r>
            <w:r w:rsidR="00BC6570">
              <w:rPr>
                <w:noProof/>
                <w:sz w:val="20"/>
                <w:szCs w:val="32"/>
              </w:rPr>
              <w:t>000</w:t>
            </w:r>
          </w:p>
        </w:tc>
        <w:tc>
          <w:tcPr>
            <w:tcW w:w="1000" w:type="pct"/>
          </w:tcPr>
          <w:p w14:paraId="6D372B03" w14:textId="01A5B2A5" w:rsidR="00EB1721" w:rsidRPr="00137AFE" w:rsidRDefault="00EB1721">
            <w:pPr>
              <w:pStyle w:val="Tabletext"/>
              <w:rPr>
                <w:noProof/>
                <w:sz w:val="20"/>
                <w:szCs w:val="32"/>
              </w:rPr>
            </w:pPr>
            <w:r w:rsidRPr="00137AFE">
              <w:rPr>
                <w:noProof/>
                <w:sz w:val="20"/>
                <w:szCs w:val="32"/>
              </w:rPr>
              <w:t>0.</w:t>
            </w:r>
            <w:r w:rsidR="00BC6570" w:rsidRPr="00137AFE">
              <w:rPr>
                <w:noProof/>
                <w:sz w:val="20"/>
                <w:szCs w:val="32"/>
              </w:rPr>
              <w:t>1</w:t>
            </w:r>
            <w:r w:rsidR="00BC6570">
              <w:rPr>
                <w:noProof/>
                <w:sz w:val="20"/>
                <w:szCs w:val="32"/>
              </w:rPr>
              <w:t>30</w:t>
            </w:r>
          </w:p>
        </w:tc>
        <w:tc>
          <w:tcPr>
            <w:tcW w:w="1000" w:type="pct"/>
          </w:tcPr>
          <w:p w14:paraId="7879FE35" w14:textId="4CC31731" w:rsidR="00EB1721" w:rsidRPr="00137AFE" w:rsidRDefault="009337B1">
            <w:pPr>
              <w:pStyle w:val="Tabletext"/>
              <w:rPr>
                <w:noProof/>
                <w:sz w:val="20"/>
                <w:szCs w:val="32"/>
              </w:rPr>
            </w:pPr>
            <w:r>
              <w:rPr>
                <w:noProof/>
                <w:sz w:val="20"/>
                <w:szCs w:val="32"/>
              </w:rPr>
              <w:t>-</w:t>
            </w:r>
            <w:r w:rsidR="00EB1721" w:rsidRPr="00137AFE">
              <w:rPr>
                <w:noProof/>
                <w:sz w:val="20"/>
                <w:szCs w:val="32"/>
              </w:rPr>
              <w:t>0.</w:t>
            </w:r>
            <w:r>
              <w:rPr>
                <w:noProof/>
                <w:sz w:val="20"/>
                <w:szCs w:val="32"/>
              </w:rPr>
              <w:t>133</w:t>
            </w:r>
          </w:p>
        </w:tc>
        <w:tc>
          <w:tcPr>
            <w:tcW w:w="1000" w:type="pct"/>
          </w:tcPr>
          <w:p w14:paraId="7B1A3BA6" w14:textId="684DBCAD" w:rsidR="00EB1721" w:rsidRPr="00137AFE" w:rsidRDefault="00EB1721">
            <w:pPr>
              <w:pStyle w:val="Tabletext"/>
              <w:rPr>
                <w:noProof/>
                <w:sz w:val="20"/>
                <w:szCs w:val="32"/>
              </w:rPr>
            </w:pPr>
            <w:r w:rsidRPr="00137AFE">
              <w:rPr>
                <w:noProof/>
                <w:sz w:val="20"/>
                <w:szCs w:val="32"/>
              </w:rPr>
              <w:t>0.</w:t>
            </w:r>
            <w:r w:rsidR="009337B1">
              <w:rPr>
                <w:noProof/>
                <w:sz w:val="20"/>
                <w:szCs w:val="32"/>
              </w:rPr>
              <w:t>150</w:t>
            </w:r>
          </w:p>
        </w:tc>
      </w:tr>
      <w:tr w:rsidR="00EB1721" w14:paraId="309CABC2" w14:textId="77777777">
        <w:tblPrEx>
          <w:tblCellMar>
            <w:left w:w="108" w:type="dxa"/>
            <w:right w:w="108" w:type="dxa"/>
          </w:tblCellMar>
        </w:tblPrEx>
        <w:tc>
          <w:tcPr>
            <w:tcW w:w="1000" w:type="pct"/>
          </w:tcPr>
          <w:p w14:paraId="21108290" w14:textId="6A115CB0" w:rsidR="00EB1721" w:rsidRPr="008D0BAC" w:rsidRDefault="00EB1721">
            <w:pPr>
              <w:pStyle w:val="Tabletext"/>
              <w:rPr>
                <w:b/>
                <w:noProof/>
                <w:sz w:val="22"/>
                <w:szCs w:val="22"/>
              </w:rPr>
            </w:pPr>
            <w:r w:rsidRPr="008D0BAC">
              <w:rPr>
                <w:b/>
                <w:bCs/>
                <w:noProof/>
                <w:sz w:val="22"/>
                <w:szCs w:val="22"/>
              </w:rPr>
              <w:t>PO2</w:t>
            </w:r>
            <w:r w:rsidR="002258F0">
              <w:rPr>
                <w:b/>
                <w:bCs/>
                <w:noProof/>
                <w:sz w:val="22"/>
                <w:szCs w:val="22"/>
              </w:rPr>
              <w:t>-</w:t>
            </w:r>
            <w:r w:rsidRPr="008D0BAC">
              <w:rPr>
                <w:b/>
                <w:bCs/>
                <w:noProof/>
                <w:sz w:val="22"/>
                <w:szCs w:val="22"/>
              </w:rPr>
              <w:t>B</w:t>
            </w:r>
          </w:p>
        </w:tc>
        <w:tc>
          <w:tcPr>
            <w:tcW w:w="1000" w:type="pct"/>
          </w:tcPr>
          <w:p w14:paraId="116D8E01" w14:textId="094C2460" w:rsidR="00EB1721" w:rsidRPr="008F6215" w:rsidRDefault="00EB1721">
            <w:pPr>
              <w:pStyle w:val="Tabletext"/>
              <w:rPr>
                <w:noProof/>
                <w:sz w:val="20"/>
                <w:szCs w:val="32"/>
              </w:rPr>
            </w:pPr>
            <w:r w:rsidRPr="008F6215">
              <w:rPr>
                <w:noProof/>
                <w:sz w:val="20"/>
                <w:szCs w:val="32"/>
              </w:rPr>
              <w:t>0.</w:t>
            </w:r>
            <w:r w:rsidR="00BC6570" w:rsidRPr="008F6215">
              <w:rPr>
                <w:noProof/>
                <w:sz w:val="20"/>
                <w:szCs w:val="32"/>
              </w:rPr>
              <w:t>000</w:t>
            </w:r>
          </w:p>
        </w:tc>
        <w:tc>
          <w:tcPr>
            <w:tcW w:w="1000" w:type="pct"/>
          </w:tcPr>
          <w:p w14:paraId="32ED7EFA" w14:textId="491C1D17" w:rsidR="00EB1721" w:rsidRPr="008F6215" w:rsidRDefault="00EB1721">
            <w:pPr>
              <w:pStyle w:val="Tabletext"/>
              <w:rPr>
                <w:noProof/>
                <w:sz w:val="20"/>
                <w:szCs w:val="32"/>
              </w:rPr>
            </w:pPr>
            <w:r w:rsidRPr="008F6215">
              <w:rPr>
                <w:noProof/>
                <w:sz w:val="20"/>
                <w:szCs w:val="32"/>
              </w:rPr>
              <w:t>-0.</w:t>
            </w:r>
            <w:r w:rsidR="00BC6570" w:rsidRPr="008F6215">
              <w:rPr>
                <w:noProof/>
                <w:sz w:val="20"/>
                <w:szCs w:val="32"/>
              </w:rPr>
              <w:t>079</w:t>
            </w:r>
          </w:p>
        </w:tc>
        <w:tc>
          <w:tcPr>
            <w:tcW w:w="1000" w:type="pct"/>
          </w:tcPr>
          <w:p w14:paraId="5C2D02A7" w14:textId="24AD08E4" w:rsidR="00EB1721" w:rsidRPr="008F6215" w:rsidRDefault="00EB1721">
            <w:pPr>
              <w:pStyle w:val="Tabletext"/>
              <w:rPr>
                <w:noProof/>
                <w:sz w:val="20"/>
                <w:szCs w:val="32"/>
              </w:rPr>
            </w:pPr>
            <w:r w:rsidRPr="008F6215">
              <w:rPr>
                <w:noProof/>
                <w:sz w:val="20"/>
                <w:szCs w:val="32"/>
              </w:rPr>
              <w:t>-0.</w:t>
            </w:r>
            <w:r w:rsidR="009337B1" w:rsidRPr="008F6215">
              <w:rPr>
                <w:noProof/>
                <w:sz w:val="20"/>
                <w:szCs w:val="32"/>
              </w:rPr>
              <w:t>400</w:t>
            </w:r>
          </w:p>
        </w:tc>
        <w:tc>
          <w:tcPr>
            <w:tcW w:w="1000" w:type="pct"/>
          </w:tcPr>
          <w:p w14:paraId="45CBA599" w14:textId="1D3AEB79" w:rsidR="00EB1721" w:rsidRPr="008F6215" w:rsidRDefault="00EB1721">
            <w:pPr>
              <w:pStyle w:val="Tabletext"/>
              <w:rPr>
                <w:noProof/>
                <w:sz w:val="20"/>
                <w:szCs w:val="32"/>
              </w:rPr>
            </w:pPr>
            <w:r w:rsidRPr="008F6215">
              <w:rPr>
                <w:noProof/>
                <w:sz w:val="20"/>
                <w:szCs w:val="32"/>
              </w:rPr>
              <w:t>-0.</w:t>
            </w:r>
            <w:r w:rsidR="009337B1" w:rsidRPr="008F6215">
              <w:rPr>
                <w:noProof/>
                <w:sz w:val="20"/>
                <w:szCs w:val="32"/>
              </w:rPr>
              <w:t>072</w:t>
            </w:r>
          </w:p>
        </w:tc>
      </w:tr>
      <w:tr w:rsidR="00EB1721" w14:paraId="6061F0B0" w14:textId="77777777">
        <w:tblPrEx>
          <w:tblCellMar>
            <w:left w:w="108" w:type="dxa"/>
            <w:right w:w="108" w:type="dxa"/>
          </w:tblCellMar>
        </w:tblPrEx>
        <w:tc>
          <w:tcPr>
            <w:tcW w:w="1000" w:type="pct"/>
          </w:tcPr>
          <w:p w14:paraId="05760EC4" w14:textId="1DA539A6" w:rsidR="00EB1721" w:rsidRPr="008D0BAC" w:rsidRDefault="00EB1721">
            <w:pPr>
              <w:pStyle w:val="Tabletext"/>
              <w:rPr>
                <w:b/>
                <w:noProof/>
                <w:sz w:val="22"/>
                <w:szCs w:val="22"/>
              </w:rPr>
            </w:pPr>
            <w:r w:rsidRPr="008D0BAC">
              <w:rPr>
                <w:b/>
                <w:bCs/>
                <w:noProof/>
                <w:sz w:val="22"/>
                <w:szCs w:val="22"/>
              </w:rPr>
              <w:t>PO2</w:t>
            </w:r>
            <w:r w:rsidR="002258F0">
              <w:rPr>
                <w:b/>
                <w:bCs/>
                <w:noProof/>
                <w:sz w:val="22"/>
                <w:szCs w:val="22"/>
              </w:rPr>
              <w:t>-</w:t>
            </w:r>
            <w:r w:rsidRPr="008D0BAC">
              <w:rPr>
                <w:b/>
                <w:bCs/>
                <w:noProof/>
                <w:sz w:val="22"/>
                <w:szCs w:val="22"/>
              </w:rPr>
              <w:t>C</w:t>
            </w:r>
          </w:p>
        </w:tc>
        <w:tc>
          <w:tcPr>
            <w:tcW w:w="1000" w:type="pct"/>
          </w:tcPr>
          <w:p w14:paraId="1D212E27" w14:textId="78682FDC" w:rsidR="00EB1721" w:rsidRPr="00137AFE" w:rsidRDefault="00EB1721">
            <w:pPr>
              <w:pStyle w:val="Tabletext"/>
              <w:rPr>
                <w:noProof/>
                <w:sz w:val="20"/>
                <w:szCs w:val="32"/>
              </w:rPr>
            </w:pPr>
            <w:r w:rsidRPr="00137AFE">
              <w:rPr>
                <w:noProof/>
                <w:sz w:val="20"/>
                <w:szCs w:val="32"/>
              </w:rPr>
              <w:t>0.</w:t>
            </w:r>
            <w:r w:rsidR="00BC6570" w:rsidRPr="00137AFE">
              <w:rPr>
                <w:noProof/>
                <w:sz w:val="20"/>
                <w:szCs w:val="32"/>
              </w:rPr>
              <w:t>3</w:t>
            </w:r>
            <w:r w:rsidR="00BC6570">
              <w:rPr>
                <w:noProof/>
                <w:sz w:val="20"/>
                <w:szCs w:val="32"/>
              </w:rPr>
              <w:t>33</w:t>
            </w:r>
          </w:p>
        </w:tc>
        <w:tc>
          <w:tcPr>
            <w:tcW w:w="1000" w:type="pct"/>
          </w:tcPr>
          <w:p w14:paraId="1CF44372" w14:textId="5000FFE2" w:rsidR="00EB1721" w:rsidRPr="00137AFE" w:rsidRDefault="00EB1721">
            <w:pPr>
              <w:pStyle w:val="Tabletext"/>
              <w:rPr>
                <w:noProof/>
                <w:sz w:val="20"/>
                <w:szCs w:val="32"/>
              </w:rPr>
            </w:pPr>
            <w:r w:rsidRPr="00137AFE">
              <w:rPr>
                <w:noProof/>
                <w:sz w:val="20"/>
                <w:szCs w:val="32"/>
              </w:rPr>
              <w:t>0.</w:t>
            </w:r>
            <w:r w:rsidR="00BC6570">
              <w:rPr>
                <w:noProof/>
                <w:sz w:val="20"/>
                <w:szCs w:val="32"/>
              </w:rPr>
              <w:t>162</w:t>
            </w:r>
          </w:p>
        </w:tc>
        <w:tc>
          <w:tcPr>
            <w:tcW w:w="1000" w:type="pct"/>
          </w:tcPr>
          <w:p w14:paraId="61CC2582" w14:textId="51656FC5" w:rsidR="00EB1721" w:rsidRPr="00137AFE" w:rsidRDefault="00EB1721">
            <w:pPr>
              <w:pStyle w:val="Tabletext"/>
              <w:rPr>
                <w:noProof/>
                <w:sz w:val="20"/>
                <w:szCs w:val="32"/>
              </w:rPr>
            </w:pPr>
            <w:r w:rsidRPr="00137AFE">
              <w:rPr>
                <w:noProof/>
                <w:sz w:val="20"/>
                <w:szCs w:val="32"/>
              </w:rPr>
              <w:t>0.</w:t>
            </w:r>
            <w:r w:rsidR="009337B1">
              <w:rPr>
                <w:noProof/>
                <w:sz w:val="20"/>
                <w:szCs w:val="32"/>
              </w:rPr>
              <w:t>333</w:t>
            </w:r>
          </w:p>
        </w:tc>
        <w:tc>
          <w:tcPr>
            <w:tcW w:w="1000" w:type="pct"/>
          </w:tcPr>
          <w:p w14:paraId="6FC7D5CC" w14:textId="61D2DEB3" w:rsidR="00EB1721" w:rsidRPr="00137AFE" w:rsidRDefault="00EB1721">
            <w:pPr>
              <w:pStyle w:val="Tabletext"/>
              <w:rPr>
                <w:noProof/>
                <w:sz w:val="20"/>
                <w:szCs w:val="32"/>
              </w:rPr>
            </w:pPr>
            <w:r w:rsidRPr="00137AFE">
              <w:rPr>
                <w:noProof/>
                <w:sz w:val="20"/>
                <w:szCs w:val="32"/>
              </w:rPr>
              <w:t>0.</w:t>
            </w:r>
            <w:r w:rsidR="009337B1" w:rsidRPr="00137AFE">
              <w:rPr>
                <w:noProof/>
                <w:sz w:val="20"/>
                <w:szCs w:val="32"/>
              </w:rPr>
              <w:t>4</w:t>
            </w:r>
            <w:r w:rsidR="009337B1">
              <w:rPr>
                <w:noProof/>
                <w:sz w:val="20"/>
                <w:szCs w:val="32"/>
              </w:rPr>
              <w:t>43</w:t>
            </w:r>
          </w:p>
        </w:tc>
      </w:tr>
    </w:tbl>
    <w:p w14:paraId="586E2C83" w14:textId="162B0D10" w:rsidR="00EB1721" w:rsidRDefault="00EB1721" w:rsidP="00651661">
      <w:pPr>
        <w:spacing w:before="120"/>
        <w:rPr>
          <w:noProof/>
        </w:rPr>
      </w:pPr>
      <w:r w:rsidRPr="006B7598">
        <w:rPr>
          <w:noProof/>
        </w:rPr>
        <w:t xml:space="preserve">For Problem 2, ELECTRE III </w:t>
      </w:r>
      <w:r>
        <w:rPr>
          <w:noProof/>
        </w:rPr>
        <w:t>a</w:t>
      </w:r>
      <w:r w:rsidRPr="006B7598">
        <w:rPr>
          <w:noProof/>
        </w:rPr>
        <w:t>t the impact level, under both equal weighting and the P2 weights, the descending ranking is PO2</w:t>
      </w:r>
      <w:r w:rsidR="002258F0">
        <w:rPr>
          <w:noProof/>
        </w:rPr>
        <w:t>-</w:t>
      </w:r>
      <w:r w:rsidRPr="006B7598">
        <w:rPr>
          <w:noProof/>
        </w:rPr>
        <w:t>C &gt; PO2</w:t>
      </w:r>
      <w:r w:rsidR="002258F0">
        <w:rPr>
          <w:noProof/>
        </w:rPr>
        <w:t>-</w:t>
      </w:r>
      <w:r w:rsidRPr="006B7598">
        <w:rPr>
          <w:noProof/>
        </w:rPr>
        <w:t xml:space="preserve">A </w:t>
      </w:r>
      <w:r w:rsidR="009A427E">
        <w:rPr>
          <w:noProof/>
        </w:rPr>
        <w:t>=</w:t>
      </w:r>
      <w:r w:rsidR="009A427E" w:rsidRPr="006B7598">
        <w:rPr>
          <w:noProof/>
        </w:rPr>
        <w:t xml:space="preserve"> </w:t>
      </w:r>
      <w:r w:rsidRPr="006B7598">
        <w:rPr>
          <w:noProof/>
        </w:rPr>
        <w:t xml:space="preserve">baseline </w:t>
      </w:r>
      <w:r w:rsidR="009A427E">
        <w:rPr>
          <w:noProof/>
        </w:rPr>
        <w:t>=</w:t>
      </w:r>
      <w:r w:rsidR="009A427E" w:rsidRPr="006B7598">
        <w:rPr>
          <w:noProof/>
        </w:rPr>
        <w:t xml:space="preserve"> </w:t>
      </w:r>
      <w:r w:rsidRPr="006B7598">
        <w:rPr>
          <w:noProof/>
        </w:rPr>
        <w:t>PO2</w:t>
      </w:r>
      <w:r w:rsidR="002258F0">
        <w:rPr>
          <w:noProof/>
        </w:rPr>
        <w:t>-</w:t>
      </w:r>
      <w:r w:rsidRPr="006B7598">
        <w:rPr>
          <w:noProof/>
        </w:rPr>
        <w:t>B. PO2</w:t>
      </w:r>
      <w:r w:rsidR="002258F0">
        <w:rPr>
          <w:noProof/>
        </w:rPr>
        <w:t>-</w:t>
      </w:r>
      <w:r w:rsidRPr="006B7598">
        <w:rPr>
          <w:noProof/>
        </w:rPr>
        <w:t xml:space="preserve">C </w:t>
      </w:r>
      <w:r w:rsidR="00B4676F">
        <w:rPr>
          <w:noProof/>
        </w:rPr>
        <w:t xml:space="preserve">is the only option that </w:t>
      </w:r>
      <w:r w:rsidRPr="006B7598">
        <w:rPr>
          <w:noProof/>
        </w:rPr>
        <w:t>outranks all</w:t>
      </w:r>
      <w:r w:rsidR="00B4676F">
        <w:rPr>
          <w:noProof/>
        </w:rPr>
        <w:t xml:space="preserve"> the</w:t>
      </w:r>
      <w:r w:rsidRPr="006B7598">
        <w:rPr>
          <w:noProof/>
        </w:rPr>
        <w:t xml:space="preserve"> other options</w:t>
      </w:r>
      <w:r w:rsidR="00172E53">
        <w:rPr>
          <w:noProof/>
        </w:rPr>
        <w:t xml:space="preserve"> and</w:t>
      </w:r>
      <w:r w:rsidRPr="006B7598">
        <w:rPr>
          <w:noProof/>
        </w:rPr>
        <w:t xml:space="preserve"> the baseline. At the sub-impact level, PO2</w:t>
      </w:r>
      <w:r w:rsidR="002258F0">
        <w:rPr>
          <w:noProof/>
        </w:rPr>
        <w:t>-</w:t>
      </w:r>
      <w:r w:rsidRPr="006B7598">
        <w:rPr>
          <w:noProof/>
        </w:rPr>
        <w:t xml:space="preserve">C again dominates in both EW and P2 </w:t>
      </w:r>
      <w:r>
        <w:rPr>
          <w:noProof/>
        </w:rPr>
        <w:t>option</w:t>
      </w:r>
      <w:r w:rsidRPr="006B7598">
        <w:rPr>
          <w:noProof/>
        </w:rPr>
        <w:t>s the ordering is PO2</w:t>
      </w:r>
      <w:r w:rsidR="002258F0">
        <w:rPr>
          <w:noProof/>
        </w:rPr>
        <w:t>-</w:t>
      </w:r>
      <w:r w:rsidRPr="006B7598">
        <w:rPr>
          <w:noProof/>
        </w:rPr>
        <w:t>C &gt;</w:t>
      </w:r>
      <w:r>
        <w:rPr>
          <w:noProof/>
        </w:rPr>
        <w:t xml:space="preserve"> </w:t>
      </w:r>
      <w:r w:rsidRPr="006B7598">
        <w:rPr>
          <w:noProof/>
        </w:rPr>
        <w:t>PO2</w:t>
      </w:r>
      <w:r w:rsidR="002258F0">
        <w:rPr>
          <w:noProof/>
        </w:rPr>
        <w:t>-</w:t>
      </w:r>
      <w:r w:rsidRPr="006B7598">
        <w:rPr>
          <w:noProof/>
        </w:rPr>
        <w:t>A</w:t>
      </w:r>
      <w:r>
        <w:rPr>
          <w:noProof/>
        </w:rPr>
        <w:t xml:space="preserve"> </w:t>
      </w:r>
      <w:r w:rsidR="00B4676F">
        <w:rPr>
          <w:noProof/>
        </w:rPr>
        <w:t>=</w:t>
      </w:r>
      <w:r w:rsidR="00B4676F" w:rsidRPr="006B7598">
        <w:rPr>
          <w:noProof/>
        </w:rPr>
        <w:t xml:space="preserve"> </w:t>
      </w:r>
      <w:r w:rsidRPr="006B7598">
        <w:rPr>
          <w:noProof/>
        </w:rPr>
        <w:t>baseline = PO2</w:t>
      </w:r>
      <w:r w:rsidR="002258F0">
        <w:rPr>
          <w:noProof/>
        </w:rPr>
        <w:t>-</w:t>
      </w:r>
      <w:r w:rsidRPr="006B7598">
        <w:rPr>
          <w:noProof/>
        </w:rPr>
        <w:t>B, with credibility values close to 1 for the outranking of the other options. This means that, when non-compensatory logic is applied and deal-breaker criteria are allowed to veto weak options, PO2</w:t>
      </w:r>
      <w:r w:rsidR="002258F0">
        <w:rPr>
          <w:noProof/>
        </w:rPr>
        <w:t>-</w:t>
      </w:r>
      <w:r w:rsidRPr="006B7598">
        <w:rPr>
          <w:noProof/>
        </w:rPr>
        <w:t xml:space="preserve">C is the clearly preferred option for Problem 2, </w:t>
      </w:r>
      <w:r w:rsidR="00002B98">
        <w:rPr>
          <w:noProof/>
        </w:rPr>
        <w:t xml:space="preserve">while </w:t>
      </w:r>
      <w:r w:rsidRPr="006B7598">
        <w:rPr>
          <w:noProof/>
        </w:rPr>
        <w:t>PO2</w:t>
      </w:r>
      <w:r w:rsidR="00C42412">
        <w:rPr>
          <w:noProof/>
        </w:rPr>
        <w:t>-</w:t>
      </w:r>
      <w:r w:rsidRPr="006B7598">
        <w:rPr>
          <w:noProof/>
        </w:rPr>
        <w:t>A and PO2</w:t>
      </w:r>
      <w:r w:rsidR="002258F0">
        <w:rPr>
          <w:noProof/>
        </w:rPr>
        <w:t>-</w:t>
      </w:r>
      <w:r w:rsidRPr="006B7598">
        <w:rPr>
          <w:noProof/>
        </w:rPr>
        <w:t>B offer at best a marginal improvement over the status quo.</w:t>
      </w:r>
      <w:r w:rsidR="00934B18">
        <w:rPr>
          <w:noProof/>
        </w:rPr>
        <w:t xml:space="preserve"> Within the second group of options, PO2-C generates a </w:t>
      </w:r>
      <w:r w:rsidR="00392B5C">
        <w:rPr>
          <w:noProof/>
        </w:rPr>
        <w:t>meaningful improvement</w:t>
      </w:r>
      <w:r w:rsidR="00934B18">
        <w:rPr>
          <w:noProof/>
        </w:rPr>
        <w:t xml:space="preserve"> relative to the status quo, while PO2-A and PO2-B do not materially change outcomes compared to the baseline. </w:t>
      </w:r>
    </w:p>
    <w:p w14:paraId="15AE8512" w14:textId="7CFCA486" w:rsidR="00EB1721" w:rsidRDefault="00EB1721" w:rsidP="00EB1721">
      <w:pPr>
        <w:pStyle w:val="Caption"/>
        <w:rPr>
          <w:noProof/>
        </w:rPr>
      </w:pPr>
      <w:bookmarkStart w:id="306" w:name="_Toc215886334"/>
      <w:r w:rsidRPr="002D1F76">
        <w:rPr>
          <w:noProof/>
        </w:rPr>
        <w:t xml:space="preserve">Table </w:t>
      </w:r>
      <w:r w:rsidRPr="002D1F76">
        <w:rPr>
          <w:noProof/>
        </w:rPr>
        <w:fldChar w:fldCharType="begin"/>
      </w:r>
      <w:r w:rsidRPr="002D1F76">
        <w:rPr>
          <w:noProof/>
        </w:rPr>
        <w:instrText xml:space="preserve"> SEQ Table \* ARABIC </w:instrText>
      </w:r>
      <w:r w:rsidRPr="002D1F76">
        <w:rPr>
          <w:noProof/>
        </w:rPr>
        <w:fldChar w:fldCharType="separate"/>
      </w:r>
      <w:r w:rsidR="000E7F11" w:rsidRPr="002D1F76">
        <w:rPr>
          <w:noProof/>
        </w:rPr>
        <w:t>60</w:t>
      </w:r>
      <w:r w:rsidRPr="002D1F76">
        <w:rPr>
          <w:noProof/>
        </w:rPr>
        <w:fldChar w:fldCharType="end"/>
      </w:r>
      <w:r w:rsidR="002258F0" w:rsidRPr="002D1F76">
        <w:rPr>
          <w:noProof/>
        </w:rPr>
        <w:t>.</w:t>
      </w:r>
      <w:r w:rsidRPr="002D1F76">
        <w:rPr>
          <w:noProof/>
        </w:rPr>
        <w:t xml:space="preserve"> ELECTRE III ranking of options – Problem 2</w:t>
      </w:r>
      <w:bookmarkEnd w:id="306"/>
      <w:r w:rsidR="004E323D" w:rsidRPr="002D1F76">
        <w:rPr>
          <w:noProof/>
        </w:rPr>
        <w:t xml:space="preserve"> </w:t>
      </w:r>
      <w:r w:rsidR="004E323D" w:rsidRPr="002D1F76">
        <w:rPr>
          <w:b w:val="0"/>
          <w:bCs/>
          <w:noProof/>
        </w:rPr>
        <w:t>(Source: Technopolis et al. (2025))</w:t>
      </w:r>
    </w:p>
    <w:tbl>
      <w:tblPr>
        <w:tblStyle w:val="TechnopolisTable1"/>
        <w:tblW w:w="0" w:type="auto"/>
        <w:tblLook w:val="04A0" w:firstRow="1" w:lastRow="0" w:firstColumn="1" w:lastColumn="0" w:noHBand="0" w:noVBand="1"/>
      </w:tblPr>
      <w:tblGrid>
        <w:gridCol w:w="1430"/>
        <w:gridCol w:w="1308"/>
        <w:gridCol w:w="1469"/>
        <w:gridCol w:w="1448"/>
        <w:gridCol w:w="1568"/>
        <w:gridCol w:w="1822"/>
      </w:tblGrid>
      <w:tr w:rsidR="00EB1721" w:rsidRPr="0024654F" w14:paraId="18864554" w14:textId="77777777" w:rsidTr="00D04199">
        <w:trPr>
          <w:cnfStyle w:val="100000000000" w:firstRow="1" w:lastRow="0" w:firstColumn="0" w:lastColumn="0" w:oddVBand="0" w:evenVBand="0" w:oddHBand="0" w:evenHBand="0" w:firstRowFirstColumn="0" w:firstRowLastColumn="0" w:lastRowFirstColumn="0" w:lastRowLastColumn="0"/>
          <w:tblHeader/>
        </w:trPr>
        <w:tc>
          <w:tcPr>
            <w:tcW w:w="878" w:type="dxa"/>
            <w:tcBorders>
              <w:bottom w:val="single" w:sz="12" w:space="0" w:color="00B0F0"/>
            </w:tcBorders>
          </w:tcPr>
          <w:p w14:paraId="6333B118"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Option</w:t>
            </w:r>
          </w:p>
        </w:tc>
        <w:tc>
          <w:tcPr>
            <w:tcW w:w="1390" w:type="dxa"/>
            <w:tcBorders>
              <w:bottom w:val="single" w:sz="12" w:space="0" w:color="00B0F0"/>
            </w:tcBorders>
          </w:tcPr>
          <w:p w14:paraId="511DD057"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Impact level (EW)</w:t>
            </w:r>
          </w:p>
        </w:tc>
        <w:tc>
          <w:tcPr>
            <w:tcW w:w="1578" w:type="dxa"/>
            <w:tcBorders>
              <w:bottom w:val="single" w:sz="12" w:space="0" w:color="00B0F0"/>
            </w:tcBorders>
          </w:tcPr>
          <w:p w14:paraId="7FCE85A6"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Sub-impact level (EW)</w:t>
            </w:r>
          </w:p>
        </w:tc>
        <w:tc>
          <w:tcPr>
            <w:tcW w:w="1554" w:type="dxa"/>
            <w:tcBorders>
              <w:bottom w:val="single" w:sz="12" w:space="0" w:color="00B0F0"/>
            </w:tcBorders>
          </w:tcPr>
          <w:p w14:paraId="30EA2EA9"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Impact level (P1)</w:t>
            </w:r>
          </w:p>
        </w:tc>
        <w:tc>
          <w:tcPr>
            <w:tcW w:w="1694" w:type="dxa"/>
            <w:tcBorders>
              <w:bottom w:val="single" w:sz="12" w:space="0" w:color="00B0F0"/>
            </w:tcBorders>
          </w:tcPr>
          <w:p w14:paraId="230CDEE4"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Sub-impact level (P1)</w:t>
            </w:r>
          </w:p>
        </w:tc>
        <w:tc>
          <w:tcPr>
            <w:tcW w:w="1951" w:type="dxa"/>
            <w:tcBorders>
              <w:bottom w:val="single" w:sz="12" w:space="0" w:color="00B0F0"/>
            </w:tcBorders>
          </w:tcPr>
          <w:p w14:paraId="3FCF8DF8"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Overall ELECTRE III judgement</w:t>
            </w:r>
          </w:p>
        </w:tc>
      </w:tr>
      <w:tr w:rsidR="00EB1721" w:rsidRPr="0024654F" w14:paraId="65BD6CC4" w14:textId="77777777" w:rsidTr="008D0BAC">
        <w:tc>
          <w:tcPr>
            <w:tcW w:w="1528" w:type="dxa"/>
            <w:tcBorders>
              <w:top w:val="single" w:sz="12" w:space="0" w:color="00B0F0"/>
            </w:tcBorders>
          </w:tcPr>
          <w:p w14:paraId="721E6002" w14:textId="32BFCFA1" w:rsidR="00EB1721" w:rsidRPr="003C688F" w:rsidRDefault="00EB1721">
            <w:pPr>
              <w:pStyle w:val="ABody"/>
              <w:rPr>
                <w:rFonts w:ascii="Times New Roman" w:hAnsi="Times New Roman" w:cs="Times New Roman"/>
                <w:b/>
                <w:noProof/>
                <w:sz w:val="18"/>
                <w:szCs w:val="18"/>
              </w:rPr>
            </w:pPr>
            <w:r w:rsidRPr="003C688F">
              <w:rPr>
                <w:rFonts w:ascii="Times New Roman" w:hAnsi="Times New Roman" w:cs="Times New Roman"/>
                <w:b/>
                <w:noProof/>
                <w:sz w:val="18"/>
                <w:szCs w:val="18"/>
              </w:rPr>
              <w:t>PO2</w:t>
            </w:r>
            <w:r w:rsidR="002258F0" w:rsidRPr="003C688F">
              <w:rPr>
                <w:rFonts w:ascii="Times New Roman" w:hAnsi="Times New Roman" w:cs="Times New Roman"/>
                <w:b/>
                <w:noProof/>
                <w:sz w:val="18"/>
                <w:szCs w:val="18"/>
              </w:rPr>
              <w:t>-</w:t>
            </w:r>
            <w:r w:rsidRPr="003C688F">
              <w:rPr>
                <w:rFonts w:ascii="Times New Roman" w:hAnsi="Times New Roman" w:cs="Times New Roman"/>
                <w:b/>
                <w:noProof/>
                <w:sz w:val="18"/>
                <w:szCs w:val="18"/>
              </w:rPr>
              <w:t>C</w:t>
            </w:r>
          </w:p>
        </w:tc>
        <w:tc>
          <w:tcPr>
            <w:tcW w:w="740" w:type="dxa"/>
            <w:tcBorders>
              <w:top w:val="single" w:sz="12" w:space="0" w:color="00B0F0"/>
            </w:tcBorders>
          </w:tcPr>
          <w:p w14:paraId="12562B49"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1</w:t>
            </w:r>
          </w:p>
        </w:tc>
        <w:tc>
          <w:tcPr>
            <w:tcW w:w="1578" w:type="dxa"/>
            <w:tcBorders>
              <w:top w:val="single" w:sz="12" w:space="0" w:color="00B0F0"/>
            </w:tcBorders>
          </w:tcPr>
          <w:p w14:paraId="0EC73B0E"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1</w:t>
            </w:r>
          </w:p>
        </w:tc>
        <w:tc>
          <w:tcPr>
            <w:tcW w:w="1554" w:type="dxa"/>
            <w:tcBorders>
              <w:top w:val="single" w:sz="12" w:space="0" w:color="00B0F0"/>
            </w:tcBorders>
          </w:tcPr>
          <w:p w14:paraId="0C315005"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1</w:t>
            </w:r>
          </w:p>
        </w:tc>
        <w:tc>
          <w:tcPr>
            <w:tcW w:w="1694" w:type="dxa"/>
            <w:tcBorders>
              <w:top w:val="single" w:sz="12" w:space="0" w:color="00B0F0"/>
            </w:tcBorders>
          </w:tcPr>
          <w:p w14:paraId="5AD791AD"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1</w:t>
            </w:r>
          </w:p>
        </w:tc>
        <w:tc>
          <w:tcPr>
            <w:tcW w:w="1951" w:type="dxa"/>
            <w:tcBorders>
              <w:top w:val="single" w:sz="12" w:space="0" w:color="00B0F0"/>
            </w:tcBorders>
          </w:tcPr>
          <w:p w14:paraId="1AFC8D17" w14:textId="77777777" w:rsidR="00EB1721" w:rsidRPr="003C688F" w:rsidRDefault="00EB1721">
            <w:pPr>
              <w:pStyle w:val="ABody"/>
              <w:rPr>
                <w:rFonts w:ascii="Times New Roman" w:hAnsi="Times New Roman" w:cs="Times New Roman"/>
                <w:noProof/>
                <w:sz w:val="18"/>
                <w:szCs w:val="18"/>
              </w:rPr>
            </w:pPr>
            <w:r w:rsidRPr="003C688F">
              <w:rPr>
                <w:rFonts w:ascii="Times New Roman" w:hAnsi="Times New Roman" w:cs="Times New Roman"/>
                <w:noProof/>
                <w:sz w:val="18"/>
                <w:szCs w:val="18"/>
              </w:rPr>
              <w:t>Clearly strongest</w:t>
            </w:r>
          </w:p>
        </w:tc>
      </w:tr>
      <w:tr w:rsidR="00EB1721" w:rsidRPr="0024654F" w14:paraId="33A05394" w14:textId="77777777" w:rsidTr="008D0BAC">
        <w:tc>
          <w:tcPr>
            <w:tcW w:w="1528" w:type="dxa"/>
          </w:tcPr>
          <w:p w14:paraId="2F028AFF" w14:textId="073B2FC4" w:rsidR="00EB1721" w:rsidRPr="003C688F" w:rsidRDefault="00EB1721">
            <w:pPr>
              <w:pStyle w:val="ABody"/>
              <w:rPr>
                <w:rFonts w:ascii="Times New Roman" w:hAnsi="Times New Roman" w:cs="Times New Roman"/>
                <w:b/>
                <w:noProof/>
                <w:sz w:val="18"/>
                <w:szCs w:val="18"/>
              </w:rPr>
            </w:pPr>
            <w:r w:rsidRPr="003C688F">
              <w:rPr>
                <w:rFonts w:ascii="Times New Roman" w:hAnsi="Times New Roman" w:cs="Times New Roman"/>
                <w:b/>
                <w:noProof/>
                <w:sz w:val="18"/>
                <w:szCs w:val="18"/>
              </w:rPr>
              <w:t>PO2</w:t>
            </w:r>
            <w:r w:rsidR="002258F0" w:rsidRPr="003C688F">
              <w:rPr>
                <w:rFonts w:ascii="Times New Roman" w:hAnsi="Times New Roman" w:cs="Times New Roman"/>
                <w:b/>
                <w:noProof/>
                <w:sz w:val="18"/>
                <w:szCs w:val="18"/>
              </w:rPr>
              <w:t>-</w:t>
            </w:r>
            <w:r w:rsidRPr="003C688F">
              <w:rPr>
                <w:rFonts w:ascii="Times New Roman" w:hAnsi="Times New Roman" w:cs="Times New Roman"/>
                <w:b/>
                <w:noProof/>
                <w:sz w:val="18"/>
                <w:szCs w:val="18"/>
              </w:rPr>
              <w:t>A</w:t>
            </w:r>
          </w:p>
        </w:tc>
        <w:tc>
          <w:tcPr>
            <w:tcW w:w="740" w:type="dxa"/>
          </w:tcPr>
          <w:p w14:paraId="0F9B32C7" w14:textId="3DDAF252" w:rsidR="00EB1721" w:rsidRPr="003C688F" w:rsidRDefault="00002B98"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2 = Baseline = PO2-B</w:t>
            </w:r>
          </w:p>
        </w:tc>
        <w:tc>
          <w:tcPr>
            <w:tcW w:w="1578" w:type="dxa"/>
          </w:tcPr>
          <w:p w14:paraId="4FF7C379" w14:textId="3DDE66E9" w:rsidR="00EB1721" w:rsidRPr="003C688F" w:rsidRDefault="00EB1721"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2 = Baseline = PO2</w:t>
            </w:r>
            <w:r w:rsidR="002258F0" w:rsidRPr="003C688F">
              <w:rPr>
                <w:rFonts w:ascii="Times New Roman" w:hAnsi="Times New Roman" w:cs="Times New Roman"/>
                <w:noProof/>
                <w:sz w:val="18"/>
                <w:szCs w:val="18"/>
              </w:rPr>
              <w:t>-</w:t>
            </w:r>
            <w:r w:rsidRPr="003C688F">
              <w:rPr>
                <w:rFonts w:ascii="Times New Roman" w:hAnsi="Times New Roman" w:cs="Times New Roman"/>
                <w:noProof/>
                <w:sz w:val="18"/>
                <w:szCs w:val="18"/>
              </w:rPr>
              <w:t>B</w:t>
            </w:r>
          </w:p>
        </w:tc>
        <w:tc>
          <w:tcPr>
            <w:tcW w:w="1554" w:type="dxa"/>
          </w:tcPr>
          <w:p w14:paraId="6F12E839" w14:textId="138EFAC0" w:rsidR="00EB1721" w:rsidRPr="003C688F" w:rsidRDefault="00002B98"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2 = Baseline = PO2-B</w:t>
            </w:r>
          </w:p>
        </w:tc>
        <w:tc>
          <w:tcPr>
            <w:tcW w:w="1694" w:type="dxa"/>
          </w:tcPr>
          <w:p w14:paraId="4363C8CB" w14:textId="3E01F7C8" w:rsidR="00EB1721" w:rsidRPr="003C688F" w:rsidRDefault="00EB1721"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2 = Baseline = PO2</w:t>
            </w:r>
            <w:r w:rsidR="002258F0" w:rsidRPr="003C688F">
              <w:rPr>
                <w:rFonts w:ascii="Times New Roman" w:hAnsi="Times New Roman" w:cs="Times New Roman"/>
                <w:noProof/>
                <w:sz w:val="18"/>
                <w:szCs w:val="18"/>
              </w:rPr>
              <w:t>-</w:t>
            </w:r>
            <w:r w:rsidRPr="003C688F">
              <w:rPr>
                <w:rFonts w:ascii="Times New Roman" w:hAnsi="Times New Roman" w:cs="Times New Roman"/>
                <w:noProof/>
                <w:sz w:val="18"/>
                <w:szCs w:val="18"/>
              </w:rPr>
              <w:t>B</w:t>
            </w:r>
          </w:p>
        </w:tc>
        <w:tc>
          <w:tcPr>
            <w:tcW w:w="1951" w:type="dxa"/>
          </w:tcPr>
          <w:p w14:paraId="661AF7C6" w14:textId="6F364BBF" w:rsidR="00EB1721" w:rsidRPr="003C688F" w:rsidRDefault="00002B98"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At best marginal over baseline</w:t>
            </w:r>
          </w:p>
        </w:tc>
      </w:tr>
      <w:tr w:rsidR="00EB1721" w:rsidRPr="0024654F" w14:paraId="153D2478" w14:textId="77777777" w:rsidTr="008D0BAC">
        <w:tc>
          <w:tcPr>
            <w:tcW w:w="1528" w:type="dxa"/>
          </w:tcPr>
          <w:p w14:paraId="28B316C7" w14:textId="04A74F2C" w:rsidR="00EB1721" w:rsidRPr="003C688F" w:rsidRDefault="00EB1721">
            <w:pPr>
              <w:pStyle w:val="ABody"/>
              <w:rPr>
                <w:rFonts w:ascii="Times New Roman" w:hAnsi="Times New Roman" w:cs="Times New Roman"/>
                <w:b/>
                <w:noProof/>
                <w:sz w:val="18"/>
                <w:szCs w:val="18"/>
              </w:rPr>
            </w:pPr>
            <w:r w:rsidRPr="003C688F">
              <w:rPr>
                <w:rFonts w:ascii="Times New Roman" w:hAnsi="Times New Roman" w:cs="Times New Roman"/>
                <w:b/>
                <w:noProof/>
                <w:sz w:val="18"/>
                <w:szCs w:val="18"/>
              </w:rPr>
              <w:t>PO2</w:t>
            </w:r>
            <w:r w:rsidR="002258F0" w:rsidRPr="003C688F">
              <w:rPr>
                <w:rFonts w:ascii="Times New Roman" w:hAnsi="Times New Roman" w:cs="Times New Roman"/>
                <w:b/>
                <w:noProof/>
                <w:sz w:val="18"/>
                <w:szCs w:val="18"/>
              </w:rPr>
              <w:t>-</w:t>
            </w:r>
            <w:r w:rsidRPr="003C688F">
              <w:rPr>
                <w:rFonts w:ascii="Times New Roman" w:hAnsi="Times New Roman" w:cs="Times New Roman"/>
                <w:b/>
                <w:noProof/>
                <w:sz w:val="18"/>
                <w:szCs w:val="18"/>
              </w:rPr>
              <w:t>B</w:t>
            </w:r>
          </w:p>
        </w:tc>
        <w:tc>
          <w:tcPr>
            <w:tcW w:w="740" w:type="dxa"/>
          </w:tcPr>
          <w:p w14:paraId="797DAB1A" w14:textId="1104E0D7"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00EB1721" w:rsidRPr="003C688F">
              <w:rPr>
                <w:rFonts w:ascii="Times New Roman" w:hAnsi="Times New Roman" w:cs="Times New Roman"/>
                <w:noProof/>
                <w:sz w:val="18"/>
                <w:szCs w:val="18"/>
              </w:rPr>
              <w:t xml:space="preserve"> = Baseline</w:t>
            </w:r>
            <w:r>
              <w:rPr>
                <w:rFonts w:ascii="Times New Roman" w:hAnsi="Times New Roman" w:cs="Times New Roman"/>
                <w:noProof/>
                <w:sz w:val="18"/>
                <w:szCs w:val="18"/>
              </w:rPr>
              <w:t xml:space="preserve"> </w:t>
            </w:r>
            <w:r w:rsidRPr="003C688F">
              <w:rPr>
                <w:rFonts w:ascii="Times New Roman" w:hAnsi="Times New Roman" w:cs="Times New Roman"/>
                <w:noProof/>
                <w:sz w:val="18"/>
                <w:szCs w:val="18"/>
              </w:rPr>
              <w:t>= PO2-</w:t>
            </w:r>
            <w:r>
              <w:rPr>
                <w:rFonts w:ascii="Times New Roman" w:hAnsi="Times New Roman" w:cs="Times New Roman"/>
                <w:noProof/>
                <w:sz w:val="18"/>
                <w:szCs w:val="18"/>
              </w:rPr>
              <w:t>A</w:t>
            </w:r>
          </w:p>
        </w:tc>
        <w:tc>
          <w:tcPr>
            <w:tcW w:w="1578" w:type="dxa"/>
          </w:tcPr>
          <w:p w14:paraId="651A0A57" w14:textId="0B626D41"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Baseline</w:t>
            </w:r>
            <w:r>
              <w:rPr>
                <w:rFonts w:ascii="Times New Roman" w:hAnsi="Times New Roman" w:cs="Times New Roman"/>
                <w:noProof/>
                <w:sz w:val="18"/>
                <w:szCs w:val="18"/>
              </w:rPr>
              <w:t xml:space="preserve"> </w:t>
            </w:r>
            <w:r w:rsidRPr="003C688F">
              <w:rPr>
                <w:rFonts w:ascii="Times New Roman" w:hAnsi="Times New Roman" w:cs="Times New Roman"/>
                <w:noProof/>
                <w:sz w:val="18"/>
                <w:szCs w:val="18"/>
              </w:rPr>
              <w:t>= PO2-</w:t>
            </w:r>
            <w:r>
              <w:rPr>
                <w:rFonts w:ascii="Times New Roman" w:hAnsi="Times New Roman" w:cs="Times New Roman"/>
                <w:noProof/>
                <w:sz w:val="18"/>
                <w:szCs w:val="18"/>
              </w:rPr>
              <w:t>A</w:t>
            </w:r>
          </w:p>
        </w:tc>
        <w:tc>
          <w:tcPr>
            <w:tcW w:w="1554" w:type="dxa"/>
          </w:tcPr>
          <w:p w14:paraId="330B9C39" w14:textId="5A0611A8"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Baseline</w:t>
            </w:r>
            <w:r>
              <w:rPr>
                <w:rFonts w:ascii="Times New Roman" w:hAnsi="Times New Roman" w:cs="Times New Roman"/>
                <w:noProof/>
                <w:sz w:val="18"/>
                <w:szCs w:val="18"/>
              </w:rPr>
              <w:t xml:space="preserve"> </w:t>
            </w:r>
            <w:r w:rsidRPr="003C688F">
              <w:rPr>
                <w:rFonts w:ascii="Times New Roman" w:hAnsi="Times New Roman" w:cs="Times New Roman"/>
                <w:noProof/>
                <w:sz w:val="18"/>
                <w:szCs w:val="18"/>
              </w:rPr>
              <w:t>= PO2-</w:t>
            </w:r>
            <w:r>
              <w:rPr>
                <w:rFonts w:ascii="Times New Roman" w:hAnsi="Times New Roman" w:cs="Times New Roman"/>
                <w:noProof/>
                <w:sz w:val="18"/>
                <w:szCs w:val="18"/>
              </w:rPr>
              <w:t>A</w:t>
            </w:r>
          </w:p>
        </w:tc>
        <w:tc>
          <w:tcPr>
            <w:tcW w:w="1694" w:type="dxa"/>
          </w:tcPr>
          <w:p w14:paraId="5F7510C5" w14:textId="023E0A88"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Baseline</w:t>
            </w:r>
            <w:r>
              <w:rPr>
                <w:rFonts w:ascii="Times New Roman" w:hAnsi="Times New Roman" w:cs="Times New Roman"/>
                <w:noProof/>
                <w:sz w:val="18"/>
                <w:szCs w:val="18"/>
              </w:rPr>
              <w:t xml:space="preserve"> </w:t>
            </w:r>
            <w:r w:rsidRPr="003C688F">
              <w:rPr>
                <w:rFonts w:ascii="Times New Roman" w:hAnsi="Times New Roman" w:cs="Times New Roman"/>
                <w:noProof/>
                <w:sz w:val="18"/>
                <w:szCs w:val="18"/>
              </w:rPr>
              <w:t>= PO2-</w:t>
            </w:r>
            <w:r>
              <w:rPr>
                <w:rFonts w:ascii="Times New Roman" w:hAnsi="Times New Roman" w:cs="Times New Roman"/>
                <w:noProof/>
                <w:sz w:val="18"/>
                <w:szCs w:val="18"/>
              </w:rPr>
              <w:t>A</w:t>
            </w:r>
          </w:p>
        </w:tc>
        <w:tc>
          <w:tcPr>
            <w:tcW w:w="1951" w:type="dxa"/>
          </w:tcPr>
          <w:p w14:paraId="29113C25" w14:textId="77777777" w:rsidR="00EB1721" w:rsidRPr="003C688F" w:rsidRDefault="00EB1721"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At best marginal over baseline</w:t>
            </w:r>
          </w:p>
        </w:tc>
      </w:tr>
      <w:tr w:rsidR="00EB1721" w:rsidRPr="0024654F" w14:paraId="02B1EE77" w14:textId="77777777" w:rsidTr="008D0BAC">
        <w:tc>
          <w:tcPr>
            <w:tcW w:w="1528" w:type="dxa"/>
          </w:tcPr>
          <w:p w14:paraId="65ACDEF1" w14:textId="77777777" w:rsidR="00EB1721" w:rsidRPr="003C688F" w:rsidRDefault="00EB1721">
            <w:pPr>
              <w:pStyle w:val="ABody"/>
              <w:rPr>
                <w:rFonts w:ascii="Times New Roman" w:hAnsi="Times New Roman" w:cs="Times New Roman"/>
                <w:b/>
                <w:noProof/>
                <w:sz w:val="18"/>
                <w:szCs w:val="18"/>
              </w:rPr>
            </w:pPr>
            <w:r w:rsidRPr="003C688F">
              <w:rPr>
                <w:rFonts w:ascii="Times New Roman" w:hAnsi="Times New Roman" w:cs="Times New Roman"/>
                <w:b/>
                <w:noProof/>
                <w:sz w:val="18"/>
                <w:szCs w:val="18"/>
              </w:rPr>
              <w:t>Baseline</w:t>
            </w:r>
          </w:p>
        </w:tc>
        <w:tc>
          <w:tcPr>
            <w:tcW w:w="740" w:type="dxa"/>
          </w:tcPr>
          <w:p w14:paraId="33F1AB1A" w14:textId="2126C4D2"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w:t>
            </w:r>
            <w:r w:rsidR="00EB1721" w:rsidRPr="003C688F">
              <w:rPr>
                <w:rFonts w:ascii="Times New Roman" w:hAnsi="Times New Roman" w:cs="Times New Roman"/>
                <w:noProof/>
                <w:sz w:val="18"/>
                <w:szCs w:val="18"/>
              </w:rPr>
              <w:t>= PO2</w:t>
            </w:r>
            <w:r w:rsidR="002258F0" w:rsidRPr="003C688F">
              <w:rPr>
                <w:rFonts w:ascii="Times New Roman" w:hAnsi="Times New Roman" w:cs="Times New Roman"/>
                <w:noProof/>
                <w:sz w:val="18"/>
                <w:szCs w:val="18"/>
              </w:rPr>
              <w:t>-</w:t>
            </w:r>
            <w:r w:rsidR="00EB1721" w:rsidRPr="003C688F">
              <w:rPr>
                <w:rFonts w:ascii="Times New Roman" w:hAnsi="Times New Roman" w:cs="Times New Roman"/>
                <w:noProof/>
                <w:sz w:val="18"/>
                <w:szCs w:val="18"/>
              </w:rPr>
              <w:t>B</w:t>
            </w:r>
            <w:r>
              <w:rPr>
                <w:rFonts w:ascii="Times New Roman" w:hAnsi="Times New Roman" w:cs="Times New Roman"/>
                <w:noProof/>
                <w:sz w:val="18"/>
                <w:szCs w:val="18"/>
              </w:rPr>
              <w:t xml:space="preserve"> = PO2-A</w:t>
            </w:r>
          </w:p>
        </w:tc>
        <w:tc>
          <w:tcPr>
            <w:tcW w:w="1578" w:type="dxa"/>
          </w:tcPr>
          <w:p w14:paraId="593DDF55" w14:textId="3AF0E706"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PO2-B</w:t>
            </w:r>
            <w:r>
              <w:rPr>
                <w:rFonts w:ascii="Times New Roman" w:hAnsi="Times New Roman" w:cs="Times New Roman"/>
                <w:noProof/>
                <w:sz w:val="18"/>
                <w:szCs w:val="18"/>
              </w:rPr>
              <w:t xml:space="preserve"> = PO2-A</w:t>
            </w:r>
          </w:p>
        </w:tc>
        <w:tc>
          <w:tcPr>
            <w:tcW w:w="1554" w:type="dxa"/>
          </w:tcPr>
          <w:p w14:paraId="35ADA662" w14:textId="3B9305F2"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PO2-B</w:t>
            </w:r>
            <w:r>
              <w:rPr>
                <w:rFonts w:ascii="Times New Roman" w:hAnsi="Times New Roman" w:cs="Times New Roman"/>
                <w:noProof/>
                <w:sz w:val="18"/>
                <w:szCs w:val="18"/>
              </w:rPr>
              <w:t xml:space="preserve"> = PO2-A</w:t>
            </w:r>
          </w:p>
        </w:tc>
        <w:tc>
          <w:tcPr>
            <w:tcW w:w="1694" w:type="dxa"/>
          </w:tcPr>
          <w:p w14:paraId="61D4C3A8" w14:textId="10732554" w:rsidR="00EB1721" w:rsidRPr="003C688F" w:rsidRDefault="00002B98" w:rsidP="008D0BAC">
            <w:pPr>
              <w:pStyle w:val="ABody"/>
              <w:jc w:val="left"/>
              <w:rPr>
                <w:rFonts w:ascii="Times New Roman" w:hAnsi="Times New Roman" w:cs="Times New Roman"/>
                <w:noProof/>
                <w:sz w:val="18"/>
                <w:szCs w:val="18"/>
              </w:rPr>
            </w:pPr>
            <w:r>
              <w:rPr>
                <w:rFonts w:ascii="Times New Roman" w:hAnsi="Times New Roman" w:cs="Times New Roman"/>
                <w:noProof/>
                <w:sz w:val="18"/>
                <w:szCs w:val="18"/>
              </w:rPr>
              <w:t>2</w:t>
            </w:r>
            <w:r w:rsidRPr="003C688F">
              <w:rPr>
                <w:rFonts w:ascii="Times New Roman" w:hAnsi="Times New Roman" w:cs="Times New Roman"/>
                <w:noProof/>
                <w:sz w:val="18"/>
                <w:szCs w:val="18"/>
              </w:rPr>
              <w:t xml:space="preserve"> = PO2-B</w:t>
            </w:r>
            <w:r>
              <w:rPr>
                <w:rFonts w:ascii="Times New Roman" w:hAnsi="Times New Roman" w:cs="Times New Roman"/>
                <w:noProof/>
                <w:sz w:val="18"/>
                <w:szCs w:val="18"/>
              </w:rPr>
              <w:t xml:space="preserve"> = PO2-A</w:t>
            </w:r>
          </w:p>
        </w:tc>
        <w:tc>
          <w:tcPr>
            <w:tcW w:w="1951" w:type="dxa"/>
          </w:tcPr>
          <w:p w14:paraId="3A62FDDE" w14:textId="77777777" w:rsidR="00EB1721" w:rsidRPr="003C688F" w:rsidRDefault="00EB1721" w:rsidP="008D0BAC">
            <w:pPr>
              <w:pStyle w:val="ABody"/>
              <w:jc w:val="left"/>
              <w:rPr>
                <w:rFonts w:ascii="Times New Roman" w:hAnsi="Times New Roman" w:cs="Times New Roman"/>
                <w:noProof/>
                <w:sz w:val="18"/>
                <w:szCs w:val="18"/>
              </w:rPr>
            </w:pPr>
            <w:r w:rsidRPr="003C688F">
              <w:rPr>
                <w:rFonts w:ascii="Times New Roman" w:hAnsi="Times New Roman" w:cs="Times New Roman"/>
                <w:noProof/>
                <w:sz w:val="18"/>
                <w:szCs w:val="18"/>
              </w:rPr>
              <w:t>Reference</w:t>
            </w:r>
          </w:p>
        </w:tc>
      </w:tr>
    </w:tbl>
    <w:p w14:paraId="33F77C52" w14:textId="77777777" w:rsidR="00EB1721" w:rsidRPr="008D0BAC" w:rsidRDefault="00EB1721" w:rsidP="00EB1721">
      <w:pPr>
        <w:pStyle w:val="ABody"/>
        <w:rPr>
          <w:rStyle w:val="Strong"/>
          <w:rFonts w:ascii="Times New Roman" w:hAnsi="Times New Roman" w:cs="Times New Roman"/>
          <w:i/>
          <w:noProof/>
          <w:color w:val="1F497D" w:themeColor="text2"/>
          <w:sz w:val="22"/>
          <w:szCs w:val="22"/>
        </w:rPr>
      </w:pPr>
      <w:r w:rsidRPr="005528E7">
        <w:rPr>
          <w:rStyle w:val="Strong"/>
          <w:rFonts w:ascii="Times New Roman" w:hAnsi="Times New Roman" w:cs="Times New Roman"/>
          <w:noProof/>
          <w:szCs w:val="24"/>
        </w:rPr>
        <w:t>Stakeholder analysis</w:t>
      </w:r>
    </w:p>
    <w:p w14:paraId="194B7AE6" w14:textId="10D3DC45" w:rsidR="005014F1" w:rsidRPr="005014F1" w:rsidRDefault="005014F1" w:rsidP="00B05194">
      <w:pPr>
        <w:pStyle w:val="Caption"/>
        <w:jc w:val="both"/>
        <w:rPr>
          <w:b w:val="0"/>
          <w:iCs w:val="0"/>
          <w:noProof/>
          <w:color w:val="auto"/>
          <w:sz w:val="24"/>
          <w:szCs w:val="32"/>
          <w:lang w:val="en-GB"/>
        </w:rPr>
      </w:pPr>
      <w:r w:rsidRPr="005014F1">
        <w:rPr>
          <w:b w:val="0"/>
          <w:iCs w:val="0"/>
          <w:noProof/>
          <w:color w:val="auto"/>
          <w:sz w:val="24"/>
          <w:szCs w:val="32"/>
          <w:lang w:val="en-GB"/>
        </w:rPr>
        <w:t>For economic operators, all three Problem 2 options deliver a clear improvement over the baseline, but with different strengths. Under equal weighting, PO2C clearly dominates PO2A and PO2B (0.</w:t>
      </w:r>
      <w:r w:rsidR="00B21A6B" w:rsidRPr="005014F1">
        <w:rPr>
          <w:b w:val="0"/>
          <w:iCs w:val="0"/>
          <w:noProof/>
          <w:color w:val="auto"/>
          <w:sz w:val="24"/>
          <w:szCs w:val="32"/>
          <w:lang w:val="en-GB"/>
        </w:rPr>
        <w:t>5</w:t>
      </w:r>
      <w:r w:rsidR="00B21A6B">
        <w:rPr>
          <w:b w:val="0"/>
          <w:iCs w:val="0"/>
          <w:noProof/>
          <w:color w:val="auto"/>
          <w:sz w:val="24"/>
          <w:szCs w:val="32"/>
          <w:lang w:val="en-GB"/>
        </w:rPr>
        <w:t>52</w:t>
      </w:r>
      <w:r w:rsidR="00B21A6B" w:rsidRPr="005014F1">
        <w:rPr>
          <w:b w:val="0"/>
          <w:iCs w:val="0"/>
          <w:noProof/>
          <w:color w:val="auto"/>
          <w:sz w:val="24"/>
          <w:szCs w:val="32"/>
          <w:lang w:val="en-GB"/>
        </w:rPr>
        <w:t xml:space="preserve"> </w:t>
      </w:r>
      <w:r w:rsidRPr="005014F1">
        <w:rPr>
          <w:b w:val="0"/>
          <w:iCs w:val="0"/>
          <w:noProof/>
          <w:color w:val="auto"/>
          <w:sz w:val="24"/>
          <w:szCs w:val="32"/>
          <w:lang w:val="en-GB"/>
        </w:rPr>
        <w:t>vs 0.</w:t>
      </w:r>
      <w:r w:rsidR="00B21A6B" w:rsidRPr="005014F1">
        <w:rPr>
          <w:b w:val="0"/>
          <w:iCs w:val="0"/>
          <w:noProof/>
          <w:color w:val="auto"/>
          <w:sz w:val="24"/>
          <w:szCs w:val="32"/>
          <w:lang w:val="en-GB"/>
        </w:rPr>
        <w:t>4</w:t>
      </w:r>
      <w:r w:rsidR="00B21A6B">
        <w:rPr>
          <w:b w:val="0"/>
          <w:iCs w:val="0"/>
          <w:noProof/>
          <w:color w:val="auto"/>
          <w:sz w:val="24"/>
          <w:szCs w:val="32"/>
          <w:lang w:val="en-GB"/>
        </w:rPr>
        <w:t>53</w:t>
      </w:r>
      <w:r w:rsidR="00B21A6B" w:rsidRPr="005014F1">
        <w:rPr>
          <w:b w:val="0"/>
          <w:iCs w:val="0"/>
          <w:noProof/>
          <w:color w:val="auto"/>
          <w:sz w:val="24"/>
          <w:szCs w:val="32"/>
          <w:lang w:val="en-GB"/>
        </w:rPr>
        <w:t xml:space="preserve"> </w:t>
      </w:r>
      <w:r w:rsidRPr="005014F1">
        <w:rPr>
          <w:b w:val="0"/>
          <w:iCs w:val="0"/>
          <w:noProof/>
          <w:color w:val="auto"/>
          <w:sz w:val="24"/>
          <w:szCs w:val="32"/>
          <w:lang w:val="en-GB"/>
        </w:rPr>
        <w:t>vs 0.</w:t>
      </w:r>
      <w:r w:rsidR="00B21A6B">
        <w:rPr>
          <w:b w:val="0"/>
          <w:iCs w:val="0"/>
          <w:noProof/>
          <w:color w:val="auto"/>
          <w:sz w:val="24"/>
          <w:szCs w:val="32"/>
          <w:lang w:val="en-GB"/>
        </w:rPr>
        <w:t>421</w:t>
      </w:r>
      <w:r w:rsidRPr="005014F1">
        <w:rPr>
          <w:b w:val="0"/>
          <w:iCs w:val="0"/>
          <w:noProof/>
          <w:color w:val="auto"/>
          <w:sz w:val="24"/>
          <w:szCs w:val="32"/>
          <w:lang w:val="en-GB"/>
        </w:rPr>
        <w:t>), reflecting that transparency measures and coordinated EU frameworks are seen as offering broad benefits even if costs remain mildly negative. When the Problem 2 weighting is applied, PO2C again becomes the standout option (0.</w:t>
      </w:r>
      <w:r w:rsidR="00B21A6B" w:rsidRPr="005014F1">
        <w:rPr>
          <w:b w:val="0"/>
          <w:iCs w:val="0"/>
          <w:noProof/>
          <w:color w:val="auto"/>
          <w:sz w:val="24"/>
          <w:szCs w:val="32"/>
          <w:lang w:val="en-GB"/>
        </w:rPr>
        <w:t>85</w:t>
      </w:r>
      <w:r w:rsidR="00B21A6B">
        <w:rPr>
          <w:b w:val="0"/>
          <w:iCs w:val="0"/>
          <w:noProof/>
          <w:color w:val="auto"/>
          <w:sz w:val="24"/>
          <w:szCs w:val="32"/>
          <w:lang w:val="en-GB"/>
        </w:rPr>
        <w:t>1</w:t>
      </w:r>
      <w:r w:rsidR="00B21A6B" w:rsidRPr="005014F1">
        <w:rPr>
          <w:b w:val="0"/>
          <w:iCs w:val="0"/>
          <w:noProof/>
          <w:color w:val="auto"/>
          <w:sz w:val="24"/>
          <w:szCs w:val="32"/>
          <w:lang w:val="en-GB"/>
        </w:rPr>
        <w:t xml:space="preserve"> </w:t>
      </w:r>
      <w:r w:rsidRPr="005014F1">
        <w:rPr>
          <w:b w:val="0"/>
          <w:iCs w:val="0"/>
          <w:noProof/>
          <w:color w:val="auto"/>
          <w:sz w:val="24"/>
          <w:szCs w:val="32"/>
          <w:lang w:val="en-GB"/>
        </w:rPr>
        <w:t>vs 0.</w:t>
      </w:r>
      <w:r w:rsidR="00B21A6B" w:rsidRPr="005014F1">
        <w:rPr>
          <w:b w:val="0"/>
          <w:iCs w:val="0"/>
          <w:noProof/>
          <w:color w:val="auto"/>
          <w:sz w:val="24"/>
          <w:szCs w:val="32"/>
          <w:lang w:val="en-GB"/>
        </w:rPr>
        <w:t>6</w:t>
      </w:r>
      <w:r w:rsidR="00B21A6B">
        <w:rPr>
          <w:b w:val="0"/>
          <w:iCs w:val="0"/>
          <w:noProof/>
          <w:color w:val="auto"/>
          <w:sz w:val="24"/>
          <w:szCs w:val="32"/>
          <w:lang w:val="en-GB"/>
        </w:rPr>
        <w:t>34</w:t>
      </w:r>
      <w:r w:rsidR="00B21A6B" w:rsidRPr="005014F1">
        <w:rPr>
          <w:b w:val="0"/>
          <w:iCs w:val="0"/>
          <w:noProof/>
          <w:color w:val="auto"/>
          <w:sz w:val="24"/>
          <w:szCs w:val="32"/>
          <w:lang w:val="en-GB"/>
        </w:rPr>
        <w:t xml:space="preserve"> </w:t>
      </w:r>
      <w:r w:rsidRPr="005014F1">
        <w:rPr>
          <w:b w:val="0"/>
          <w:iCs w:val="0"/>
          <w:noProof/>
          <w:color w:val="auto"/>
          <w:sz w:val="24"/>
          <w:szCs w:val="32"/>
          <w:lang w:val="en-GB"/>
        </w:rPr>
        <w:t xml:space="preserve">for </w:t>
      </w:r>
      <w:r w:rsidR="00B21A6B" w:rsidRPr="005014F1">
        <w:rPr>
          <w:b w:val="0"/>
          <w:iCs w:val="0"/>
          <w:noProof/>
          <w:color w:val="auto"/>
          <w:sz w:val="24"/>
          <w:szCs w:val="32"/>
          <w:lang w:val="en-GB"/>
        </w:rPr>
        <w:t>PO2</w:t>
      </w:r>
      <w:r w:rsidR="00B21A6B">
        <w:rPr>
          <w:b w:val="0"/>
          <w:iCs w:val="0"/>
          <w:noProof/>
          <w:color w:val="auto"/>
          <w:sz w:val="24"/>
          <w:szCs w:val="32"/>
          <w:lang w:val="en-GB"/>
        </w:rPr>
        <w:t>B</w:t>
      </w:r>
      <w:r w:rsidR="00B21A6B" w:rsidRPr="005014F1">
        <w:rPr>
          <w:b w:val="0"/>
          <w:iCs w:val="0"/>
          <w:noProof/>
          <w:color w:val="auto"/>
          <w:sz w:val="24"/>
          <w:szCs w:val="32"/>
          <w:lang w:val="en-GB"/>
        </w:rPr>
        <w:t xml:space="preserve"> </w:t>
      </w:r>
      <w:r w:rsidRPr="005014F1">
        <w:rPr>
          <w:b w:val="0"/>
          <w:iCs w:val="0"/>
          <w:noProof/>
          <w:color w:val="auto"/>
          <w:sz w:val="24"/>
          <w:szCs w:val="32"/>
          <w:lang w:val="en-GB"/>
        </w:rPr>
        <w:t>and 0.</w:t>
      </w:r>
      <w:r w:rsidR="00193918" w:rsidRPr="005014F1">
        <w:rPr>
          <w:b w:val="0"/>
          <w:iCs w:val="0"/>
          <w:noProof/>
          <w:color w:val="auto"/>
          <w:sz w:val="24"/>
          <w:szCs w:val="32"/>
          <w:lang w:val="en-GB"/>
        </w:rPr>
        <w:t>6</w:t>
      </w:r>
      <w:r w:rsidR="00193918">
        <w:rPr>
          <w:b w:val="0"/>
          <w:iCs w:val="0"/>
          <w:noProof/>
          <w:color w:val="auto"/>
          <w:sz w:val="24"/>
          <w:szCs w:val="32"/>
          <w:lang w:val="en-GB"/>
        </w:rPr>
        <w:t xml:space="preserve">11 </w:t>
      </w:r>
      <w:r w:rsidRPr="005014F1">
        <w:rPr>
          <w:b w:val="0"/>
          <w:iCs w:val="0"/>
          <w:noProof/>
          <w:color w:val="auto"/>
          <w:sz w:val="24"/>
          <w:szCs w:val="32"/>
          <w:lang w:val="en-GB"/>
        </w:rPr>
        <w:t xml:space="preserve">for </w:t>
      </w:r>
      <w:r w:rsidR="00193918" w:rsidRPr="005014F1">
        <w:rPr>
          <w:b w:val="0"/>
          <w:iCs w:val="0"/>
          <w:noProof/>
          <w:color w:val="auto"/>
          <w:sz w:val="24"/>
          <w:szCs w:val="32"/>
          <w:lang w:val="en-GB"/>
        </w:rPr>
        <w:t>PO2</w:t>
      </w:r>
      <w:r w:rsidR="00193918">
        <w:rPr>
          <w:b w:val="0"/>
          <w:iCs w:val="0"/>
          <w:noProof/>
          <w:color w:val="auto"/>
          <w:sz w:val="24"/>
          <w:szCs w:val="32"/>
          <w:lang w:val="en-GB"/>
        </w:rPr>
        <w:t>A</w:t>
      </w:r>
      <w:r w:rsidRPr="005014F1">
        <w:rPr>
          <w:b w:val="0"/>
          <w:iCs w:val="0"/>
          <w:noProof/>
          <w:color w:val="auto"/>
          <w:sz w:val="24"/>
          <w:szCs w:val="32"/>
          <w:lang w:val="en-GB"/>
        </w:rPr>
        <w:t>). This is driven by the fact that PO2C combines the strongest cost outcome for operators (costs shift from negative at baseline to clearly positive</w:t>
      </w:r>
      <w:r w:rsidR="00193918">
        <w:rPr>
          <w:b w:val="0"/>
          <w:iCs w:val="0"/>
          <w:noProof/>
          <w:color w:val="auto"/>
          <w:sz w:val="24"/>
          <w:szCs w:val="32"/>
          <w:lang w:val="en-GB"/>
        </w:rPr>
        <w:t xml:space="preserve"> (</w:t>
      </w:r>
      <w:r w:rsidRPr="005014F1">
        <w:rPr>
          <w:b w:val="0"/>
          <w:iCs w:val="0"/>
          <w:noProof/>
          <w:color w:val="auto"/>
          <w:sz w:val="24"/>
          <w:szCs w:val="32"/>
          <w:lang w:val="en-GB"/>
        </w:rPr>
        <w:t>0.</w:t>
      </w:r>
      <w:r w:rsidR="00193918">
        <w:rPr>
          <w:b w:val="0"/>
          <w:iCs w:val="0"/>
          <w:noProof/>
          <w:color w:val="auto"/>
          <w:sz w:val="24"/>
          <w:szCs w:val="32"/>
          <w:lang w:val="en-GB"/>
        </w:rPr>
        <w:t>036</w:t>
      </w:r>
      <w:r w:rsidRPr="005014F1">
        <w:rPr>
          <w:b w:val="0"/>
          <w:iCs w:val="0"/>
          <w:noProof/>
          <w:color w:val="auto"/>
          <w:sz w:val="24"/>
          <w:szCs w:val="32"/>
          <w:lang w:val="en-GB"/>
        </w:rPr>
        <w:t xml:space="preserve">) with robust </w:t>
      </w:r>
      <w:r w:rsidR="00A922C6">
        <w:rPr>
          <w:b w:val="0"/>
          <w:iCs w:val="0"/>
          <w:noProof/>
          <w:color w:val="auto"/>
          <w:sz w:val="24"/>
          <w:szCs w:val="32"/>
          <w:lang w:val="en-GB"/>
        </w:rPr>
        <w:t>effectiveness</w:t>
      </w:r>
      <w:r w:rsidR="00A922C6" w:rsidRPr="005014F1">
        <w:rPr>
          <w:b w:val="0"/>
          <w:iCs w:val="0"/>
          <w:noProof/>
          <w:color w:val="auto"/>
          <w:sz w:val="24"/>
          <w:szCs w:val="32"/>
          <w:lang w:val="en-GB"/>
        </w:rPr>
        <w:t xml:space="preserve"> </w:t>
      </w:r>
      <w:r w:rsidRPr="005014F1">
        <w:rPr>
          <w:b w:val="0"/>
          <w:iCs w:val="0"/>
          <w:noProof/>
          <w:color w:val="auto"/>
          <w:sz w:val="24"/>
          <w:szCs w:val="32"/>
          <w:lang w:val="en-GB"/>
        </w:rPr>
        <w:t>and social gains. PO2</w:t>
      </w:r>
      <w:r w:rsidR="006B5CB3">
        <w:rPr>
          <w:b w:val="0"/>
          <w:iCs w:val="0"/>
          <w:noProof/>
          <w:color w:val="auto"/>
          <w:sz w:val="24"/>
          <w:szCs w:val="32"/>
          <w:lang w:val="en-GB"/>
        </w:rPr>
        <w:t>-</w:t>
      </w:r>
      <w:r w:rsidRPr="005014F1">
        <w:rPr>
          <w:b w:val="0"/>
          <w:iCs w:val="0"/>
          <w:noProof/>
          <w:color w:val="auto"/>
          <w:sz w:val="24"/>
          <w:szCs w:val="32"/>
          <w:lang w:val="en-GB"/>
        </w:rPr>
        <w:t xml:space="preserve">A still delivers the highest </w:t>
      </w:r>
      <w:r w:rsidR="00CA7AFD">
        <w:rPr>
          <w:b w:val="0"/>
          <w:iCs w:val="0"/>
          <w:noProof/>
          <w:color w:val="auto"/>
          <w:sz w:val="24"/>
          <w:szCs w:val="32"/>
          <w:lang w:val="en-GB"/>
        </w:rPr>
        <w:t>social</w:t>
      </w:r>
      <w:r w:rsidR="00A922C6" w:rsidRPr="005014F1">
        <w:rPr>
          <w:b w:val="0"/>
          <w:iCs w:val="0"/>
          <w:noProof/>
          <w:color w:val="auto"/>
          <w:sz w:val="24"/>
          <w:szCs w:val="32"/>
          <w:lang w:val="en-GB"/>
        </w:rPr>
        <w:t xml:space="preserve"> </w:t>
      </w:r>
      <w:r w:rsidRPr="005014F1">
        <w:rPr>
          <w:b w:val="0"/>
          <w:iCs w:val="0"/>
          <w:noProof/>
          <w:color w:val="auto"/>
          <w:sz w:val="24"/>
          <w:szCs w:val="32"/>
          <w:lang w:val="en-GB"/>
        </w:rPr>
        <w:t>score for operators (0.</w:t>
      </w:r>
      <w:r w:rsidR="00CA7AFD">
        <w:rPr>
          <w:b w:val="0"/>
          <w:iCs w:val="0"/>
          <w:noProof/>
          <w:color w:val="auto"/>
          <w:sz w:val="24"/>
          <w:szCs w:val="32"/>
          <w:lang w:val="en-GB"/>
        </w:rPr>
        <w:t>051</w:t>
      </w:r>
      <w:r w:rsidR="006A4347">
        <w:rPr>
          <w:b w:val="0"/>
          <w:iCs w:val="0"/>
          <w:noProof/>
          <w:color w:val="auto"/>
          <w:sz w:val="24"/>
          <w:szCs w:val="32"/>
          <w:lang w:val="en-GB"/>
        </w:rPr>
        <w:t xml:space="preserve">) </w:t>
      </w:r>
      <w:r w:rsidRPr="005014F1">
        <w:rPr>
          <w:b w:val="0"/>
          <w:iCs w:val="0"/>
          <w:noProof/>
          <w:color w:val="auto"/>
          <w:sz w:val="24"/>
          <w:szCs w:val="32"/>
          <w:lang w:val="en-GB"/>
        </w:rPr>
        <w:t xml:space="preserve">under </w:t>
      </w:r>
      <w:r w:rsidR="006A4347">
        <w:rPr>
          <w:b w:val="0"/>
          <w:iCs w:val="0"/>
          <w:noProof/>
          <w:color w:val="auto"/>
          <w:sz w:val="24"/>
          <w:szCs w:val="32"/>
          <w:lang w:val="en-GB"/>
        </w:rPr>
        <w:t>EW</w:t>
      </w:r>
      <w:r w:rsidR="00561DF0">
        <w:rPr>
          <w:b w:val="0"/>
          <w:iCs w:val="0"/>
          <w:noProof/>
          <w:color w:val="auto"/>
          <w:sz w:val="24"/>
          <w:szCs w:val="32"/>
          <w:lang w:val="en-GB"/>
        </w:rPr>
        <w:t xml:space="preserve"> and P2</w:t>
      </w:r>
      <w:r w:rsidRPr="005014F1">
        <w:rPr>
          <w:b w:val="0"/>
          <w:iCs w:val="0"/>
          <w:noProof/>
          <w:color w:val="auto"/>
          <w:sz w:val="24"/>
          <w:szCs w:val="32"/>
          <w:lang w:val="en-GB"/>
        </w:rPr>
        <w:t xml:space="preserve">, but its weaker cost performance means it ranks second overall once the higher weight on </w:t>
      </w:r>
      <w:r w:rsidR="00A922C6">
        <w:rPr>
          <w:b w:val="0"/>
          <w:iCs w:val="0"/>
          <w:noProof/>
          <w:color w:val="auto"/>
          <w:sz w:val="24"/>
          <w:szCs w:val="32"/>
          <w:lang w:val="en-GB"/>
        </w:rPr>
        <w:t>effectiveness</w:t>
      </w:r>
      <w:r w:rsidR="00A922C6" w:rsidRPr="005014F1">
        <w:rPr>
          <w:b w:val="0"/>
          <w:iCs w:val="0"/>
          <w:noProof/>
          <w:color w:val="auto"/>
          <w:sz w:val="24"/>
          <w:szCs w:val="32"/>
          <w:lang w:val="en-GB"/>
        </w:rPr>
        <w:t xml:space="preserve"> </w:t>
      </w:r>
      <w:r w:rsidRPr="005014F1">
        <w:rPr>
          <w:b w:val="0"/>
          <w:iCs w:val="0"/>
          <w:noProof/>
          <w:color w:val="auto"/>
          <w:sz w:val="24"/>
          <w:szCs w:val="32"/>
          <w:lang w:val="en-GB"/>
        </w:rPr>
        <w:t xml:space="preserve">and cost dimensions is </w:t>
      </w:r>
      <w:r w:rsidR="00561DF0" w:rsidRPr="005014F1">
        <w:rPr>
          <w:b w:val="0"/>
          <w:iCs w:val="0"/>
          <w:noProof/>
          <w:color w:val="auto"/>
          <w:sz w:val="24"/>
          <w:szCs w:val="32"/>
          <w:lang w:val="en-GB"/>
        </w:rPr>
        <w:t>considered</w:t>
      </w:r>
      <w:r w:rsidRPr="005014F1">
        <w:rPr>
          <w:b w:val="0"/>
          <w:iCs w:val="0"/>
          <w:noProof/>
          <w:color w:val="auto"/>
          <w:sz w:val="24"/>
          <w:szCs w:val="32"/>
          <w:lang w:val="en-GB"/>
        </w:rPr>
        <w:t>.</w:t>
      </w:r>
    </w:p>
    <w:p w14:paraId="2DA11538" w14:textId="7CCB17D1" w:rsidR="005528E7" w:rsidRPr="005528E7" w:rsidRDefault="005014F1" w:rsidP="00B05194">
      <w:pPr>
        <w:pStyle w:val="Caption"/>
        <w:jc w:val="both"/>
        <w:rPr>
          <w:b w:val="0"/>
          <w:iCs w:val="0"/>
          <w:noProof/>
          <w:color w:val="auto"/>
          <w:sz w:val="24"/>
          <w:szCs w:val="32"/>
          <w:lang w:val="en-GB"/>
        </w:rPr>
      </w:pPr>
      <w:r w:rsidRPr="005014F1">
        <w:rPr>
          <w:b w:val="0"/>
          <w:iCs w:val="0"/>
          <w:noProof/>
          <w:color w:val="auto"/>
          <w:sz w:val="24"/>
          <w:szCs w:val="32"/>
          <w:lang w:val="en-GB"/>
        </w:rPr>
        <w:t>For national public authorities, preferences differ. All options again improve substantially on the baseline, but PO2</w:t>
      </w:r>
      <w:r w:rsidR="00561DF0">
        <w:rPr>
          <w:b w:val="0"/>
          <w:iCs w:val="0"/>
          <w:noProof/>
          <w:color w:val="auto"/>
          <w:sz w:val="24"/>
          <w:szCs w:val="32"/>
          <w:lang w:val="en-GB"/>
        </w:rPr>
        <w:t>-</w:t>
      </w:r>
      <w:r w:rsidR="00A04DF1">
        <w:rPr>
          <w:b w:val="0"/>
          <w:iCs w:val="0"/>
          <w:noProof/>
          <w:color w:val="auto"/>
          <w:sz w:val="24"/>
          <w:szCs w:val="32"/>
          <w:lang w:val="en-GB"/>
        </w:rPr>
        <w:t>C</w:t>
      </w:r>
      <w:r w:rsidR="00A04DF1" w:rsidRPr="005014F1">
        <w:rPr>
          <w:b w:val="0"/>
          <w:iCs w:val="0"/>
          <w:noProof/>
          <w:color w:val="auto"/>
          <w:sz w:val="24"/>
          <w:szCs w:val="32"/>
          <w:lang w:val="en-GB"/>
        </w:rPr>
        <w:t xml:space="preserve"> </w:t>
      </w:r>
      <w:r w:rsidRPr="005014F1">
        <w:rPr>
          <w:b w:val="0"/>
          <w:iCs w:val="0"/>
          <w:noProof/>
          <w:color w:val="auto"/>
          <w:sz w:val="24"/>
          <w:szCs w:val="32"/>
          <w:lang w:val="en-GB"/>
        </w:rPr>
        <w:t xml:space="preserve">is the most attractive option when judged against the Problem 2 priorities. </w:t>
      </w:r>
      <w:r w:rsidR="00A04DF1">
        <w:rPr>
          <w:b w:val="0"/>
          <w:iCs w:val="0"/>
          <w:noProof/>
          <w:color w:val="auto"/>
          <w:sz w:val="24"/>
          <w:szCs w:val="32"/>
          <w:lang w:val="en-GB"/>
        </w:rPr>
        <w:t xml:space="preserve">This is mostly drive by its cost performance, which outranks the other options and the baseline. </w:t>
      </w:r>
      <w:r w:rsidRPr="005014F1">
        <w:rPr>
          <w:b w:val="0"/>
          <w:iCs w:val="0"/>
          <w:noProof/>
          <w:color w:val="auto"/>
          <w:sz w:val="24"/>
          <w:szCs w:val="32"/>
          <w:lang w:val="en-GB"/>
        </w:rPr>
        <w:t>Under equal weighting, PO2</w:t>
      </w:r>
      <w:r w:rsidR="00A04DF1">
        <w:rPr>
          <w:b w:val="0"/>
          <w:iCs w:val="0"/>
          <w:noProof/>
          <w:color w:val="auto"/>
          <w:sz w:val="24"/>
          <w:szCs w:val="32"/>
          <w:lang w:val="en-GB"/>
        </w:rPr>
        <w:t>-</w:t>
      </w:r>
      <w:r w:rsidRPr="005014F1">
        <w:rPr>
          <w:b w:val="0"/>
          <w:iCs w:val="0"/>
          <w:noProof/>
          <w:color w:val="auto"/>
          <w:sz w:val="24"/>
          <w:szCs w:val="32"/>
          <w:lang w:val="en-GB"/>
        </w:rPr>
        <w:t>B already has the highest total score (0.2</w:t>
      </w:r>
      <w:r w:rsidR="00A04DF1">
        <w:rPr>
          <w:b w:val="0"/>
          <w:iCs w:val="0"/>
          <w:noProof/>
          <w:color w:val="auto"/>
          <w:sz w:val="24"/>
          <w:szCs w:val="32"/>
          <w:lang w:val="en-GB"/>
        </w:rPr>
        <w:t>15</w:t>
      </w:r>
      <w:r w:rsidRPr="005014F1">
        <w:rPr>
          <w:b w:val="0"/>
          <w:iCs w:val="0"/>
          <w:noProof/>
          <w:color w:val="auto"/>
          <w:sz w:val="24"/>
          <w:szCs w:val="32"/>
          <w:lang w:val="en-GB"/>
        </w:rPr>
        <w:t xml:space="preserve"> vs 0.</w:t>
      </w:r>
      <w:r w:rsidR="00A04DF1" w:rsidRPr="005014F1">
        <w:rPr>
          <w:b w:val="0"/>
          <w:iCs w:val="0"/>
          <w:noProof/>
          <w:color w:val="auto"/>
          <w:sz w:val="24"/>
          <w:szCs w:val="32"/>
          <w:lang w:val="en-GB"/>
        </w:rPr>
        <w:t>1</w:t>
      </w:r>
      <w:r w:rsidR="00A04DF1">
        <w:rPr>
          <w:b w:val="0"/>
          <w:iCs w:val="0"/>
          <w:noProof/>
          <w:color w:val="auto"/>
          <w:sz w:val="24"/>
          <w:szCs w:val="32"/>
          <w:lang w:val="en-GB"/>
        </w:rPr>
        <w:t xml:space="preserve">84 </w:t>
      </w:r>
      <w:r w:rsidRPr="005014F1">
        <w:rPr>
          <w:b w:val="0"/>
          <w:iCs w:val="0"/>
          <w:noProof/>
          <w:color w:val="auto"/>
          <w:sz w:val="24"/>
          <w:szCs w:val="32"/>
          <w:lang w:val="en-GB"/>
        </w:rPr>
        <w:t>for PO2A and 0.</w:t>
      </w:r>
      <w:r w:rsidR="00A04DF1" w:rsidRPr="005014F1">
        <w:rPr>
          <w:b w:val="0"/>
          <w:iCs w:val="0"/>
          <w:noProof/>
          <w:color w:val="auto"/>
          <w:sz w:val="24"/>
          <w:szCs w:val="32"/>
          <w:lang w:val="en-GB"/>
        </w:rPr>
        <w:t>1</w:t>
      </w:r>
      <w:r w:rsidR="00A04DF1">
        <w:rPr>
          <w:b w:val="0"/>
          <w:iCs w:val="0"/>
          <w:noProof/>
          <w:color w:val="auto"/>
          <w:sz w:val="24"/>
          <w:szCs w:val="32"/>
          <w:lang w:val="en-GB"/>
        </w:rPr>
        <w:t>36</w:t>
      </w:r>
      <w:r w:rsidR="00A04DF1" w:rsidRPr="005014F1">
        <w:rPr>
          <w:b w:val="0"/>
          <w:iCs w:val="0"/>
          <w:noProof/>
          <w:color w:val="auto"/>
          <w:sz w:val="24"/>
          <w:szCs w:val="32"/>
          <w:lang w:val="en-GB"/>
        </w:rPr>
        <w:t xml:space="preserve"> </w:t>
      </w:r>
      <w:r w:rsidRPr="005014F1">
        <w:rPr>
          <w:b w:val="0"/>
          <w:iCs w:val="0"/>
          <w:noProof/>
          <w:color w:val="auto"/>
          <w:sz w:val="24"/>
          <w:szCs w:val="32"/>
          <w:lang w:val="en-GB"/>
        </w:rPr>
        <w:t xml:space="preserve">for PO2C), largely because it nearly eliminates the negative cost gap while improving </w:t>
      </w:r>
      <w:r w:rsidR="00A922C6">
        <w:rPr>
          <w:b w:val="0"/>
          <w:iCs w:val="0"/>
          <w:noProof/>
          <w:color w:val="auto"/>
          <w:sz w:val="24"/>
          <w:szCs w:val="32"/>
          <w:lang w:val="en-GB"/>
        </w:rPr>
        <w:t>effectiveness</w:t>
      </w:r>
      <w:r w:rsidR="00A922C6" w:rsidRPr="005014F1">
        <w:rPr>
          <w:b w:val="0"/>
          <w:iCs w:val="0"/>
          <w:noProof/>
          <w:color w:val="auto"/>
          <w:sz w:val="24"/>
          <w:szCs w:val="32"/>
          <w:lang w:val="en-GB"/>
        </w:rPr>
        <w:t xml:space="preserve"> </w:t>
      </w:r>
      <w:r w:rsidRPr="005014F1">
        <w:rPr>
          <w:b w:val="0"/>
          <w:iCs w:val="0"/>
          <w:noProof/>
          <w:color w:val="auto"/>
          <w:sz w:val="24"/>
          <w:szCs w:val="32"/>
          <w:lang w:val="en-GB"/>
        </w:rPr>
        <w:t xml:space="preserve">and social outcomes. Under the P2 weighting, PO2B’s advantage becomes less pronounced </w:t>
      </w:r>
      <w:r w:rsidR="00F3488C">
        <w:rPr>
          <w:b w:val="0"/>
          <w:iCs w:val="0"/>
          <w:noProof/>
          <w:color w:val="auto"/>
          <w:sz w:val="24"/>
          <w:szCs w:val="32"/>
          <w:lang w:val="en-GB"/>
        </w:rPr>
        <w:t>than PO2-C</w:t>
      </w:r>
      <w:r w:rsidR="00220299">
        <w:rPr>
          <w:b w:val="0"/>
          <w:iCs w:val="0"/>
          <w:noProof/>
          <w:color w:val="auto"/>
          <w:sz w:val="24"/>
          <w:szCs w:val="32"/>
          <w:lang w:val="en-GB"/>
        </w:rPr>
        <w:t>, which</w:t>
      </w:r>
      <w:r w:rsidRPr="005014F1">
        <w:rPr>
          <w:b w:val="0"/>
          <w:iCs w:val="0"/>
          <w:noProof/>
          <w:color w:val="auto"/>
          <w:sz w:val="24"/>
          <w:szCs w:val="32"/>
          <w:lang w:val="en-GB"/>
        </w:rPr>
        <w:t xml:space="preserve"> </w:t>
      </w:r>
      <w:r w:rsidR="00220299">
        <w:rPr>
          <w:b w:val="0"/>
          <w:iCs w:val="0"/>
          <w:noProof/>
          <w:color w:val="auto"/>
          <w:sz w:val="24"/>
          <w:szCs w:val="32"/>
          <w:lang w:val="en-GB"/>
        </w:rPr>
        <w:t>improves</w:t>
      </w:r>
      <w:r w:rsidRPr="005014F1">
        <w:rPr>
          <w:b w:val="0"/>
          <w:iCs w:val="0"/>
          <w:noProof/>
          <w:color w:val="auto"/>
          <w:sz w:val="24"/>
          <w:szCs w:val="32"/>
          <w:lang w:val="en-GB"/>
        </w:rPr>
        <w:t xml:space="preserve"> cost </w:t>
      </w:r>
      <w:r w:rsidR="00220299">
        <w:rPr>
          <w:b w:val="0"/>
          <w:iCs w:val="0"/>
          <w:noProof/>
          <w:color w:val="auto"/>
          <w:sz w:val="24"/>
          <w:szCs w:val="32"/>
          <w:lang w:val="en-GB"/>
        </w:rPr>
        <w:t xml:space="preserve">burdens </w:t>
      </w:r>
      <w:r w:rsidRPr="005014F1">
        <w:rPr>
          <w:b w:val="0"/>
          <w:iCs w:val="0"/>
          <w:noProof/>
          <w:color w:val="auto"/>
          <w:sz w:val="24"/>
          <w:szCs w:val="32"/>
          <w:lang w:val="en-GB"/>
        </w:rPr>
        <w:t>for public authorities</w:t>
      </w:r>
      <w:r w:rsidR="00220299">
        <w:rPr>
          <w:b w:val="0"/>
          <w:iCs w:val="0"/>
          <w:noProof/>
          <w:color w:val="auto"/>
          <w:sz w:val="24"/>
          <w:szCs w:val="32"/>
          <w:lang w:val="en-GB"/>
        </w:rPr>
        <w:t xml:space="preserve"> with respect to the baseline</w:t>
      </w:r>
      <w:r w:rsidRPr="005014F1">
        <w:rPr>
          <w:b w:val="0"/>
          <w:iCs w:val="0"/>
          <w:noProof/>
          <w:color w:val="auto"/>
          <w:sz w:val="24"/>
          <w:szCs w:val="32"/>
          <w:lang w:val="en-GB"/>
        </w:rPr>
        <w:t xml:space="preserve">. By contrast, </w:t>
      </w:r>
      <w:r w:rsidR="002C56F5">
        <w:rPr>
          <w:b w:val="0"/>
          <w:iCs w:val="0"/>
          <w:noProof/>
          <w:color w:val="auto"/>
          <w:sz w:val="24"/>
          <w:szCs w:val="32"/>
          <w:lang w:val="en-GB"/>
        </w:rPr>
        <w:t xml:space="preserve">even though it outranks the other options across all dimensions under P2 weights, </w:t>
      </w:r>
      <w:r w:rsidRPr="005014F1">
        <w:rPr>
          <w:b w:val="0"/>
          <w:iCs w:val="0"/>
          <w:noProof/>
          <w:color w:val="auto"/>
          <w:sz w:val="24"/>
          <w:szCs w:val="32"/>
          <w:lang w:val="en-GB"/>
        </w:rPr>
        <w:t>PO2</w:t>
      </w:r>
      <w:r w:rsidR="002C56F5">
        <w:rPr>
          <w:b w:val="0"/>
          <w:iCs w:val="0"/>
          <w:noProof/>
          <w:color w:val="auto"/>
          <w:sz w:val="24"/>
          <w:szCs w:val="32"/>
          <w:lang w:val="en-GB"/>
        </w:rPr>
        <w:t>-</w:t>
      </w:r>
      <w:r w:rsidRPr="005014F1">
        <w:rPr>
          <w:b w:val="0"/>
          <w:iCs w:val="0"/>
          <w:noProof/>
          <w:color w:val="auto"/>
          <w:sz w:val="24"/>
          <w:szCs w:val="32"/>
          <w:lang w:val="en-GB"/>
        </w:rPr>
        <w:t>A leaves authorities facing notable net costs</w:t>
      </w:r>
      <w:r w:rsidR="002C56F5">
        <w:rPr>
          <w:b w:val="0"/>
          <w:iCs w:val="0"/>
          <w:noProof/>
          <w:color w:val="auto"/>
          <w:sz w:val="24"/>
          <w:szCs w:val="32"/>
          <w:lang w:val="en-GB"/>
        </w:rPr>
        <w:t>, which lowers its overall impact</w:t>
      </w:r>
      <w:r w:rsidRPr="005014F1">
        <w:rPr>
          <w:b w:val="0"/>
          <w:iCs w:val="0"/>
          <w:noProof/>
          <w:color w:val="auto"/>
          <w:sz w:val="24"/>
          <w:szCs w:val="32"/>
          <w:lang w:val="en-GB"/>
        </w:rPr>
        <w:t>. In short, operators tend to</w:t>
      </w:r>
      <w:r w:rsidR="0092541A">
        <w:rPr>
          <w:b w:val="0"/>
          <w:iCs w:val="0"/>
          <w:noProof/>
          <w:color w:val="auto"/>
          <w:sz w:val="24"/>
          <w:szCs w:val="32"/>
          <w:lang w:val="en-GB"/>
        </w:rPr>
        <w:t xml:space="preserve"> strongly</w:t>
      </w:r>
      <w:r w:rsidRPr="005014F1">
        <w:rPr>
          <w:b w:val="0"/>
          <w:iCs w:val="0"/>
          <w:noProof/>
          <w:color w:val="auto"/>
          <w:sz w:val="24"/>
          <w:szCs w:val="32"/>
          <w:lang w:val="en-GB"/>
        </w:rPr>
        <w:t xml:space="preserve"> favour the EU-coordinated support package in PO2</w:t>
      </w:r>
      <w:r w:rsidR="002C56F5">
        <w:rPr>
          <w:b w:val="0"/>
          <w:iCs w:val="0"/>
          <w:noProof/>
          <w:color w:val="auto"/>
          <w:sz w:val="24"/>
          <w:szCs w:val="32"/>
          <w:lang w:val="en-GB"/>
        </w:rPr>
        <w:t>-</w:t>
      </w:r>
      <w:r w:rsidRPr="005014F1">
        <w:rPr>
          <w:b w:val="0"/>
          <w:iCs w:val="0"/>
          <w:noProof/>
          <w:color w:val="auto"/>
          <w:sz w:val="24"/>
          <w:szCs w:val="32"/>
          <w:lang w:val="en-GB"/>
        </w:rPr>
        <w:t xml:space="preserve">C, whereas public authorities place greater value on </w:t>
      </w:r>
      <w:r w:rsidR="00B32998">
        <w:rPr>
          <w:b w:val="0"/>
          <w:iCs w:val="0"/>
          <w:noProof/>
          <w:color w:val="auto"/>
          <w:sz w:val="24"/>
          <w:szCs w:val="32"/>
          <w:lang w:val="en-GB"/>
        </w:rPr>
        <w:t>PO2-C</w:t>
      </w:r>
      <w:r w:rsidRPr="005014F1">
        <w:rPr>
          <w:b w:val="0"/>
          <w:iCs w:val="0"/>
          <w:noProof/>
          <w:color w:val="auto"/>
          <w:sz w:val="24"/>
          <w:szCs w:val="32"/>
          <w:lang w:val="en-GB"/>
        </w:rPr>
        <w:t xml:space="preserve"> </w:t>
      </w:r>
      <w:r w:rsidR="00B32998">
        <w:rPr>
          <w:b w:val="0"/>
          <w:iCs w:val="0"/>
          <w:noProof/>
          <w:color w:val="auto"/>
          <w:sz w:val="24"/>
          <w:szCs w:val="32"/>
          <w:lang w:val="en-GB"/>
        </w:rPr>
        <w:t>than</w:t>
      </w:r>
      <w:r w:rsidRPr="005014F1">
        <w:rPr>
          <w:b w:val="0"/>
          <w:iCs w:val="0"/>
          <w:noProof/>
          <w:color w:val="auto"/>
          <w:sz w:val="24"/>
          <w:szCs w:val="32"/>
          <w:lang w:val="en-GB"/>
        </w:rPr>
        <w:t xml:space="preserve"> PO2</w:t>
      </w:r>
      <w:r w:rsidR="00B32998">
        <w:rPr>
          <w:b w:val="0"/>
          <w:iCs w:val="0"/>
          <w:noProof/>
          <w:color w:val="auto"/>
          <w:sz w:val="24"/>
          <w:szCs w:val="32"/>
          <w:lang w:val="en-GB"/>
        </w:rPr>
        <w:t>-</w:t>
      </w:r>
      <w:r w:rsidRPr="005014F1">
        <w:rPr>
          <w:b w:val="0"/>
          <w:iCs w:val="0"/>
          <w:noProof/>
          <w:color w:val="auto"/>
          <w:sz w:val="24"/>
          <w:szCs w:val="32"/>
          <w:lang w:val="en-GB"/>
        </w:rPr>
        <w:t xml:space="preserve">B, </w:t>
      </w:r>
      <w:r w:rsidR="00B32998">
        <w:rPr>
          <w:b w:val="0"/>
          <w:iCs w:val="0"/>
          <w:noProof/>
          <w:color w:val="auto"/>
          <w:sz w:val="24"/>
          <w:szCs w:val="32"/>
          <w:lang w:val="en-GB"/>
        </w:rPr>
        <w:t>specifically when</w:t>
      </w:r>
      <w:r w:rsidR="005528E7">
        <w:rPr>
          <w:b w:val="0"/>
          <w:iCs w:val="0"/>
          <w:noProof/>
          <w:color w:val="auto"/>
          <w:sz w:val="24"/>
          <w:szCs w:val="32"/>
          <w:lang w:val="en-GB"/>
        </w:rPr>
        <w:t xml:space="preserve"> applying P2 impacts, focused on d</w:t>
      </w:r>
      <w:r w:rsidR="005528E7" w:rsidRPr="005528E7">
        <w:rPr>
          <w:b w:val="0"/>
          <w:iCs w:val="0"/>
          <w:noProof/>
          <w:color w:val="auto"/>
          <w:sz w:val="24"/>
          <w:szCs w:val="32"/>
          <w:lang w:val="en-GB"/>
        </w:rPr>
        <w:t>igital sovereignty and resilience in the public sector including through public procurement</w:t>
      </w:r>
      <w:r w:rsidR="005528E7">
        <w:rPr>
          <w:b w:val="0"/>
          <w:iCs w:val="0"/>
          <w:noProof/>
          <w:color w:val="auto"/>
          <w:sz w:val="24"/>
          <w:szCs w:val="32"/>
          <w:lang w:val="en-GB"/>
        </w:rPr>
        <w:t>.</w:t>
      </w:r>
    </w:p>
    <w:p w14:paraId="74ADCE1C" w14:textId="74A1FFEE" w:rsidR="00EB1721" w:rsidRDefault="00EB1721" w:rsidP="00EB1721">
      <w:pPr>
        <w:pStyle w:val="Caption"/>
        <w:rPr>
          <w:noProof/>
        </w:rPr>
      </w:pPr>
      <w:bookmarkStart w:id="307" w:name="_Toc215886335"/>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61</w:t>
      </w:r>
      <w:r>
        <w:rPr>
          <w:noProof/>
        </w:rPr>
        <w:fldChar w:fldCharType="end"/>
      </w:r>
      <w:r>
        <w:rPr>
          <w:noProof/>
        </w:rPr>
        <w:t xml:space="preserve"> Economic Operators and Public Authorities MAUT – Problem 2</w:t>
      </w:r>
      <w:bookmarkEnd w:id="307"/>
      <w:r w:rsidR="004E323D">
        <w:rPr>
          <w:noProof/>
        </w:rPr>
        <w:t xml:space="preserve"> </w:t>
      </w:r>
      <w:r w:rsidR="004E323D" w:rsidRPr="00785FC1">
        <w:rPr>
          <w:b w:val="0"/>
          <w:bCs/>
          <w:noProof/>
        </w:rPr>
        <w:t>(Source: Technopolis et al. (2025))</w:t>
      </w:r>
    </w:p>
    <w:tbl>
      <w:tblPr>
        <w:tblStyle w:val="TechnopolisTable"/>
        <w:tblpPr w:leftFromText="180" w:rightFromText="180" w:vertAnchor="text" w:tblpY="1"/>
        <w:tblW w:w="5093" w:type="pct"/>
        <w:tblInd w:w="0" w:type="dxa"/>
        <w:tblLayout w:type="fixed"/>
        <w:tblLook w:val="04A0" w:firstRow="1" w:lastRow="0" w:firstColumn="1" w:lastColumn="0" w:noHBand="0" w:noVBand="1"/>
      </w:tblPr>
      <w:tblGrid>
        <w:gridCol w:w="1275"/>
        <w:gridCol w:w="687"/>
        <w:gridCol w:w="835"/>
        <w:gridCol w:w="829"/>
        <w:gridCol w:w="831"/>
        <w:gridCol w:w="829"/>
        <w:gridCol w:w="831"/>
        <w:gridCol w:w="829"/>
        <w:gridCol w:w="831"/>
        <w:gridCol w:w="835"/>
        <w:gridCol w:w="601"/>
      </w:tblGrid>
      <w:tr w:rsidR="00EB1721" w:rsidRPr="00073880" w14:paraId="23B99AFC" w14:textId="77777777" w:rsidTr="00B05194">
        <w:trPr>
          <w:cnfStyle w:val="100000000000" w:firstRow="1" w:lastRow="0" w:firstColumn="0" w:lastColumn="0" w:oddVBand="0" w:evenVBand="0" w:oddHBand="0" w:evenHBand="0" w:firstRowFirstColumn="0" w:firstRowLastColumn="0" w:lastRowFirstColumn="0" w:lastRowLastColumn="0"/>
          <w:trHeight w:val="296"/>
          <w:tblHeader/>
        </w:trPr>
        <w:tc>
          <w:tcPr>
            <w:tcW w:w="692" w:type="pct"/>
            <w:tcBorders>
              <w:bottom w:val="single" w:sz="12" w:space="0" w:color="00B0F0"/>
            </w:tcBorders>
            <w:noWrap/>
            <w:hideMark/>
          </w:tcPr>
          <w:p w14:paraId="4AC907A0" w14:textId="77777777" w:rsidR="00EB1721" w:rsidRPr="008D0BAC" w:rsidRDefault="00EB1721">
            <w:pPr>
              <w:pStyle w:val="Tabletext"/>
              <w:rPr>
                <w:noProof/>
                <w:color w:val="000000" w:themeColor="text1"/>
                <w:sz w:val="20"/>
                <w:szCs w:val="20"/>
              </w:rPr>
            </w:pPr>
            <w:r w:rsidRPr="008D0BAC">
              <w:rPr>
                <w:noProof/>
                <w:color w:val="000000" w:themeColor="text1"/>
                <w:sz w:val="20"/>
                <w:szCs w:val="20"/>
              </w:rPr>
              <w:t>Impact</w:t>
            </w:r>
          </w:p>
        </w:tc>
        <w:tc>
          <w:tcPr>
            <w:tcW w:w="826" w:type="pct"/>
            <w:gridSpan w:val="2"/>
            <w:tcBorders>
              <w:bottom w:val="single" w:sz="12" w:space="0" w:color="00B0F0"/>
            </w:tcBorders>
            <w:noWrap/>
            <w:hideMark/>
          </w:tcPr>
          <w:p w14:paraId="1D365DEB" w14:textId="77777777" w:rsidR="00EB1721" w:rsidRPr="008D0BAC" w:rsidRDefault="00EB1721">
            <w:pPr>
              <w:pStyle w:val="Tabletext"/>
              <w:rPr>
                <w:noProof/>
                <w:color w:val="000000" w:themeColor="text1"/>
                <w:sz w:val="20"/>
                <w:szCs w:val="20"/>
              </w:rPr>
            </w:pPr>
            <w:r w:rsidRPr="008D0BAC">
              <w:rPr>
                <w:noProof/>
                <w:color w:val="000000" w:themeColor="text1"/>
                <w:sz w:val="20"/>
                <w:szCs w:val="20"/>
              </w:rPr>
              <w:t>Costs</w:t>
            </w:r>
          </w:p>
        </w:tc>
        <w:tc>
          <w:tcPr>
            <w:tcW w:w="901" w:type="pct"/>
            <w:gridSpan w:val="2"/>
            <w:tcBorders>
              <w:bottom w:val="single" w:sz="12" w:space="0" w:color="00B0F0"/>
            </w:tcBorders>
            <w:noWrap/>
            <w:hideMark/>
          </w:tcPr>
          <w:p w14:paraId="49BDBD36" w14:textId="49E0392C" w:rsidR="00EB1721" w:rsidRPr="008D0BAC" w:rsidRDefault="00A917C6">
            <w:pPr>
              <w:pStyle w:val="Tabletext"/>
              <w:rPr>
                <w:noProof/>
                <w:color w:val="000000" w:themeColor="text1"/>
                <w:sz w:val="20"/>
                <w:szCs w:val="20"/>
              </w:rPr>
            </w:pPr>
            <w:r>
              <w:rPr>
                <w:noProof/>
                <w:color w:val="000000" w:themeColor="text1"/>
                <w:sz w:val="20"/>
                <w:szCs w:val="20"/>
              </w:rPr>
              <w:t>Effectiveness</w:t>
            </w:r>
          </w:p>
        </w:tc>
        <w:tc>
          <w:tcPr>
            <w:tcW w:w="901" w:type="pct"/>
            <w:gridSpan w:val="2"/>
            <w:tcBorders>
              <w:bottom w:val="single" w:sz="12" w:space="0" w:color="00B0F0"/>
            </w:tcBorders>
            <w:noWrap/>
            <w:hideMark/>
          </w:tcPr>
          <w:p w14:paraId="0F10AD57" w14:textId="77777777" w:rsidR="00EB1721" w:rsidRPr="008D0BAC" w:rsidRDefault="00EB1721">
            <w:pPr>
              <w:pStyle w:val="Tabletext"/>
              <w:rPr>
                <w:noProof/>
                <w:color w:val="000000" w:themeColor="text1"/>
                <w:sz w:val="20"/>
                <w:szCs w:val="20"/>
              </w:rPr>
            </w:pPr>
            <w:r w:rsidRPr="008D0BAC">
              <w:rPr>
                <w:noProof/>
                <w:color w:val="000000" w:themeColor="text1"/>
                <w:sz w:val="20"/>
                <w:szCs w:val="20"/>
              </w:rPr>
              <w:t>Environmental</w:t>
            </w:r>
          </w:p>
        </w:tc>
        <w:tc>
          <w:tcPr>
            <w:tcW w:w="901" w:type="pct"/>
            <w:gridSpan w:val="2"/>
            <w:tcBorders>
              <w:bottom w:val="single" w:sz="12" w:space="0" w:color="00B0F0"/>
            </w:tcBorders>
            <w:noWrap/>
            <w:hideMark/>
          </w:tcPr>
          <w:p w14:paraId="0DD6AB97" w14:textId="77777777" w:rsidR="00EB1721" w:rsidRPr="008D0BAC" w:rsidRDefault="00EB1721">
            <w:pPr>
              <w:pStyle w:val="Tabletext"/>
              <w:rPr>
                <w:noProof/>
                <w:color w:val="000000" w:themeColor="text1"/>
                <w:sz w:val="20"/>
                <w:szCs w:val="20"/>
              </w:rPr>
            </w:pPr>
            <w:r w:rsidRPr="008D0BAC">
              <w:rPr>
                <w:noProof/>
                <w:color w:val="000000" w:themeColor="text1"/>
                <w:sz w:val="20"/>
                <w:szCs w:val="20"/>
              </w:rPr>
              <w:t>Social</w:t>
            </w:r>
          </w:p>
        </w:tc>
        <w:tc>
          <w:tcPr>
            <w:tcW w:w="779" w:type="pct"/>
            <w:gridSpan w:val="2"/>
            <w:tcBorders>
              <w:bottom w:val="single" w:sz="12" w:space="0" w:color="00B0F0"/>
            </w:tcBorders>
            <w:noWrap/>
            <w:hideMark/>
          </w:tcPr>
          <w:p w14:paraId="7F81702E" w14:textId="77777777" w:rsidR="00EB1721" w:rsidRPr="008D0BAC" w:rsidRDefault="00EB1721">
            <w:pPr>
              <w:pStyle w:val="Tabletext"/>
              <w:rPr>
                <w:noProof/>
                <w:color w:val="000000" w:themeColor="text1"/>
                <w:sz w:val="20"/>
                <w:szCs w:val="20"/>
              </w:rPr>
            </w:pPr>
            <w:r w:rsidRPr="008D0BAC">
              <w:rPr>
                <w:noProof/>
                <w:color w:val="000000" w:themeColor="text1"/>
                <w:sz w:val="20"/>
                <w:szCs w:val="20"/>
              </w:rPr>
              <w:t>Total</w:t>
            </w:r>
          </w:p>
        </w:tc>
      </w:tr>
      <w:tr w:rsidR="00EB1721" w:rsidRPr="00073880" w14:paraId="45275498" w14:textId="77777777" w:rsidTr="00B05194">
        <w:trPr>
          <w:trHeight w:val="296"/>
        </w:trPr>
        <w:tc>
          <w:tcPr>
            <w:tcW w:w="4674" w:type="pct"/>
            <w:gridSpan w:val="10"/>
            <w:tcBorders>
              <w:top w:val="single" w:sz="12" w:space="0" w:color="00B0F0"/>
            </w:tcBorders>
            <w:shd w:val="clear" w:color="auto" w:fill="DBE5F1" w:themeFill="accent1" w:themeFillTint="33"/>
            <w:noWrap/>
          </w:tcPr>
          <w:p w14:paraId="227B7C35" w14:textId="77777777" w:rsidR="00EB1721" w:rsidRPr="008D0BAC" w:rsidRDefault="00EB1721">
            <w:pPr>
              <w:pStyle w:val="Tabletext"/>
              <w:jc w:val="center"/>
              <w:rPr>
                <w:noProof/>
                <w:sz w:val="20"/>
                <w:szCs w:val="20"/>
              </w:rPr>
            </w:pPr>
            <w:r w:rsidRPr="008D0BAC">
              <w:rPr>
                <w:b/>
                <w:noProof/>
                <w:sz w:val="20"/>
                <w:szCs w:val="20"/>
              </w:rPr>
              <w:t>Economic Operators</w:t>
            </w:r>
          </w:p>
        </w:tc>
        <w:tc>
          <w:tcPr>
            <w:tcW w:w="326" w:type="pct"/>
            <w:tcBorders>
              <w:top w:val="single" w:sz="12" w:space="0" w:color="00B0F0"/>
            </w:tcBorders>
            <w:shd w:val="clear" w:color="auto" w:fill="DBE5F1" w:themeFill="accent1" w:themeFillTint="33"/>
            <w:noWrap/>
          </w:tcPr>
          <w:p w14:paraId="7658BBBE" w14:textId="77777777" w:rsidR="00EB1721" w:rsidRPr="008D0BAC" w:rsidRDefault="00EB1721">
            <w:pPr>
              <w:pStyle w:val="Tabletext"/>
              <w:rPr>
                <w:noProof/>
                <w:sz w:val="20"/>
                <w:szCs w:val="20"/>
              </w:rPr>
            </w:pPr>
          </w:p>
        </w:tc>
      </w:tr>
      <w:tr w:rsidR="00EB1721" w:rsidRPr="00073880" w14:paraId="5EBE41F4" w14:textId="77777777" w:rsidTr="00B05194">
        <w:trPr>
          <w:trHeight w:val="296"/>
        </w:trPr>
        <w:tc>
          <w:tcPr>
            <w:tcW w:w="692" w:type="pct"/>
            <w:noWrap/>
            <w:hideMark/>
          </w:tcPr>
          <w:p w14:paraId="10E52CB4" w14:textId="77777777" w:rsidR="00EB1721" w:rsidRPr="008D0BAC" w:rsidRDefault="00EB1721">
            <w:pPr>
              <w:pStyle w:val="Tabletext"/>
              <w:rPr>
                <w:b/>
                <w:noProof/>
                <w:sz w:val="20"/>
                <w:szCs w:val="20"/>
              </w:rPr>
            </w:pPr>
            <w:r w:rsidRPr="008D0BAC">
              <w:rPr>
                <w:b/>
                <w:noProof/>
                <w:sz w:val="20"/>
                <w:szCs w:val="20"/>
              </w:rPr>
              <w:t>Option</w:t>
            </w:r>
          </w:p>
        </w:tc>
        <w:tc>
          <w:tcPr>
            <w:tcW w:w="373" w:type="pct"/>
            <w:noWrap/>
            <w:hideMark/>
          </w:tcPr>
          <w:p w14:paraId="42F0B4EE" w14:textId="77777777" w:rsidR="00EB1721" w:rsidRPr="008D0BAC" w:rsidRDefault="00EB1721">
            <w:pPr>
              <w:pStyle w:val="Tabletext"/>
              <w:rPr>
                <w:b/>
                <w:noProof/>
                <w:sz w:val="20"/>
                <w:szCs w:val="20"/>
              </w:rPr>
            </w:pPr>
            <w:r w:rsidRPr="008D0BAC">
              <w:rPr>
                <w:b/>
                <w:noProof/>
                <w:sz w:val="20"/>
                <w:szCs w:val="20"/>
              </w:rPr>
              <w:t>EW</w:t>
            </w:r>
          </w:p>
        </w:tc>
        <w:tc>
          <w:tcPr>
            <w:tcW w:w="453" w:type="pct"/>
            <w:noWrap/>
            <w:hideMark/>
          </w:tcPr>
          <w:p w14:paraId="2759E980" w14:textId="77777777" w:rsidR="00EB1721" w:rsidRPr="008D0BAC" w:rsidRDefault="00EB1721">
            <w:pPr>
              <w:pStyle w:val="Tabletext"/>
              <w:rPr>
                <w:b/>
                <w:noProof/>
                <w:sz w:val="20"/>
                <w:szCs w:val="20"/>
              </w:rPr>
            </w:pPr>
            <w:r w:rsidRPr="008D0BAC">
              <w:rPr>
                <w:b/>
                <w:noProof/>
                <w:sz w:val="20"/>
                <w:szCs w:val="20"/>
              </w:rPr>
              <w:t>P2</w:t>
            </w:r>
          </w:p>
        </w:tc>
        <w:tc>
          <w:tcPr>
            <w:tcW w:w="450" w:type="pct"/>
            <w:noWrap/>
            <w:hideMark/>
          </w:tcPr>
          <w:p w14:paraId="3F5FA193" w14:textId="77777777" w:rsidR="00EB1721" w:rsidRPr="008D0BAC" w:rsidRDefault="00EB1721">
            <w:pPr>
              <w:pStyle w:val="Tabletext"/>
              <w:rPr>
                <w:b/>
                <w:noProof/>
                <w:sz w:val="20"/>
                <w:szCs w:val="20"/>
              </w:rPr>
            </w:pPr>
            <w:r w:rsidRPr="008D0BAC">
              <w:rPr>
                <w:b/>
                <w:noProof/>
                <w:sz w:val="20"/>
                <w:szCs w:val="20"/>
              </w:rPr>
              <w:t>EW</w:t>
            </w:r>
          </w:p>
        </w:tc>
        <w:tc>
          <w:tcPr>
            <w:tcW w:w="450" w:type="pct"/>
            <w:noWrap/>
            <w:hideMark/>
          </w:tcPr>
          <w:p w14:paraId="52C66895" w14:textId="77777777" w:rsidR="00EB1721" w:rsidRPr="008D0BAC" w:rsidRDefault="00EB1721">
            <w:pPr>
              <w:pStyle w:val="Tabletext"/>
              <w:rPr>
                <w:b/>
                <w:noProof/>
                <w:sz w:val="20"/>
                <w:szCs w:val="20"/>
              </w:rPr>
            </w:pPr>
            <w:r w:rsidRPr="008D0BAC">
              <w:rPr>
                <w:b/>
                <w:noProof/>
                <w:sz w:val="20"/>
                <w:szCs w:val="20"/>
              </w:rPr>
              <w:t>P2</w:t>
            </w:r>
          </w:p>
        </w:tc>
        <w:tc>
          <w:tcPr>
            <w:tcW w:w="450" w:type="pct"/>
            <w:noWrap/>
            <w:hideMark/>
          </w:tcPr>
          <w:p w14:paraId="20A6F05A" w14:textId="77777777" w:rsidR="00EB1721" w:rsidRPr="008D0BAC" w:rsidRDefault="00EB1721">
            <w:pPr>
              <w:pStyle w:val="Tabletext"/>
              <w:rPr>
                <w:b/>
                <w:noProof/>
                <w:sz w:val="20"/>
                <w:szCs w:val="20"/>
              </w:rPr>
            </w:pPr>
            <w:r w:rsidRPr="008D0BAC">
              <w:rPr>
                <w:b/>
                <w:noProof/>
                <w:sz w:val="20"/>
                <w:szCs w:val="20"/>
              </w:rPr>
              <w:t>EW</w:t>
            </w:r>
          </w:p>
        </w:tc>
        <w:tc>
          <w:tcPr>
            <w:tcW w:w="450" w:type="pct"/>
            <w:noWrap/>
            <w:hideMark/>
          </w:tcPr>
          <w:p w14:paraId="3F5F6677" w14:textId="77777777" w:rsidR="00EB1721" w:rsidRPr="008D0BAC" w:rsidRDefault="00EB1721">
            <w:pPr>
              <w:pStyle w:val="Tabletext"/>
              <w:rPr>
                <w:b/>
                <w:noProof/>
                <w:sz w:val="20"/>
                <w:szCs w:val="20"/>
              </w:rPr>
            </w:pPr>
            <w:r w:rsidRPr="008D0BAC">
              <w:rPr>
                <w:b/>
                <w:noProof/>
                <w:sz w:val="20"/>
                <w:szCs w:val="20"/>
              </w:rPr>
              <w:t>P2</w:t>
            </w:r>
          </w:p>
        </w:tc>
        <w:tc>
          <w:tcPr>
            <w:tcW w:w="450" w:type="pct"/>
            <w:noWrap/>
            <w:hideMark/>
          </w:tcPr>
          <w:p w14:paraId="49EABECB" w14:textId="77777777" w:rsidR="00EB1721" w:rsidRPr="008D0BAC" w:rsidRDefault="00EB1721">
            <w:pPr>
              <w:pStyle w:val="Tabletext"/>
              <w:rPr>
                <w:b/>
                <w:noProof/>
                <w:sz w:val="20"/>
                <w:szCs w:val="20"/>
              </w:rPr>
            </w:pPr>
            <w:r w:rsidRPr="008D0BAC">
              <w:rPr>
                <w:b/>
                <w:noProof/>
                <w:sz w:val="20"/>
                <w:szCs w:val="20"/>
              </w:rPr>
              <w:t>EW</w:t>
            </w:r>
          </w:p>
        </w:tc>
        <w:tc>
          <w:tcPr>
            <w:tcW w:w="450" w:type="pct"/>
            <w:noWrap/>
            <w:hideMark/>
          </w:tcPr>
          <w:p w14:paraId="4DA64A3C" w14:textId="77777777" w:rsidR="00EB1721" w:rsidRPr="008D0BAC" w:rsidRDefault="00EB1721">
            <w:pPr>
              <w:pStyle w:val="Tabletext"/>
              <w:rPr>
                <w:b/>
                <w:noProof/>
                <w:sz w:val="20"/>
                <w:szCs w:val="20"/>
              </w:rPr>
            </w:pPr>
            <w:r w:rsidRPr="008D0BAC">
              <w:rPr>
                <w:b/>
                <w:noProof/>
                <w:sz w:val="20"/>
                <w:szCs w:val="20"/>
              </w:rPr>
              <w:t>P2</w:t>
            </w:r>
          </w:p>
        </w:tc>
        <w:tc>
          <w:tcPr>
            <w:tcW w:w="453" w:type="pct"/>
            <w:noWrap/>
            <w:hideMark/>
          </w:tcPr>
          <w:p w14:paraId="7F7ACD7D" w14:textId="77777777" w:rsidR="00EB1721" w:rsidRPr="008D0BAC" w:rsidRDefault="00EB1721">
            <w:pPr>
              <w:pStyle w:val="Tabletext"/>
              <w:rPr>
                <w:b/>
                <w:noProof/>
                <w:sz w:val="20"/>
                <w:szCs w:val="20"/>
              </w:rPr>
            </w:pPr>
            <w:r w:rsidRPr="008D0BAC">
              <w:rPr>
                <w:b/>
                <w:noProof/>
                <w:sz w:val="20"/>
                <w:szCs w:val="20"/>
              </w:rPr>
              <w:t>EW</w:t>
            </w:r>
          </w:p>
        </w:tc>
        <w:tc>
          <w:tcPr>
            <w:tcW w:w="326" w:type="pct"/>
            <w:noWrap/>
            <w:hideMark/>
          </w:tcPr>
          <w:p w14:paraId="252A319E" w14:textId="77777777" w:rsidR="00EB1721" w:rsidRPr="008D0BAC" w:rsidRDefault="00EB1721">
            <w:pPr>
              <w:pStyle w:val="Tabletext"/>
              <w:rPr>
                <w:b/>
                <w:noProof/>
                <w:sz w:val="20"/>
                <w:szCs w:val="20"/>
              </w:rPr>
            </w:pPr>
            <w:r w:rsidRPr="008D0BAC">
              <w:rPr>
                <w:b/>
                <w:noProof/>
                <w:sz w:val="20"/>
                <w:szCs w:val="20"/>
              </w:rPr>
              <w:t>P2</w:t>
            </w:r>
          </w:p>
        </w:tc>
      </w:tr>
      <w:tr w:rsidR="00A917C6" w:rsidRPr="00E27936" w14:paraId="195C03F5" w14:textId="77777777" w:rsidTr="00A917C6">
        <w:trPr>
          <w:trHeight w:val="296"/>
        </w:trPr>
        <w:tc>
          <w:tcPr>
            <w:tcW w:w="692" w:type="pct"/>
            <w:shd w:val="clear" w:color="auto" w:fill="F2F2F2" w:themeFill="background1" w:themeFillShade="F2"/>
            <w:noWrap/>
            <w:vAlign w:val="bottom"/>
          </w:tcPr>
          <w:p w14:paraId="43F51963" w14:textId="77777777" w:rsidR="00EB1721" w:rsidRPr="008D0BAC" w:rsidRDefault="00EB1721">
            <w:pPr>
              <w:pStyle w:val="Tabletext"/>
              <w:rPr>
                <w:b/>
                <w:noProof/>
                <w:sz w:val="20"/>
                <w:szCs w:val="20"/>
              </w:rPr>
            </w:pPr>
            <w:r w:rsidRPr="008D0BAC">
              <w:rPr>
                <w:b/>
                <w:noProof/>
                <w:sz w:val="20"/>
                <w:szCs w:val="20"/>
              </w:rPr>
              <w:t>Baseline – P2</w:t>
            </w:r>
          </w:p>
        </w:tc>
        <w:tc>
          <w:tcPr>
            <w:tcW w:w="373" w:type="pct"/>
            <w:shd w:val="clear" w:color="auto" w:fill="F2F2F2" w:themeFill="background1" w:themeFillShade="F2"/>
            <w:noWrap/>
          </w:tcPr>
          <w:p w14:paraId="2CDBCC73" w14:textId="77777777" w:rsidR="00EB1721" w:rsidRPr="008D0BAC" w:rsidRDefault="00EB1721">
            <w:pPr>
              <w:pStyle w:val="Tabletext"/>
              <w:rPr>
                <w:noProof/>
                <w:sz w:val="20"/>
                <w:szCs w:val="20"/>
              </w:rPr>
            </w:pPr>
            <w:r w:rsidRPr="008D0BAC">
              <w:rPr>
                <w:noProof/>
                <w:sz w:val="20"/>
                <w:szCs w:val="20"/>
              </w:rPr>
              <w:t>-0.369</w:t>
            </w:r>
          </w:p>
        </w:tc>
        <w:tc>
          <w:tcPr>
            <w:tcW w:w="453" w:type="pct"/>
            <w:shd w:val="clear" w:color="auto" w:fill="F2F2F2" w:themeFill="background1" w:themeFillShade="F2"/>
            <w:noWrap/>
          </w:tcPr>
          <w:p w14:paraId="073F1752" w14:textId="77777777" w:rsidR="00EB1721" w:rsidRPr="008D0BAC" w:rsidRDefault="00EB1721">
            <w:pPr>
              <w:pStyle w:val="Tabletext"/>
              <w:rPr>
                <w:noProof/>
                <w:sz w:val="20"/>
                <w:szCs w:val="20"/>
              </w:rPr>
            </w:pPr>
            <w:r w:rsidRPr="008D0BAC">
              <w:rPr>
                <w:noProof/>
                <w:sz w:val="20"/>
                <w:szCs w:val="20"/>
              </w:rPr>
              <w:t>-0.563</w:t>
            </w:r>
          </w:p>
        </w:tc>
        <w:tc>
          <w:tcPr>
            <w:tcW w:w="450" w:type="pct"/>
            <w:shd w:val="clear" w:color="auto" w:fill="F2F2F2" w:themeFill="background1" w:themeFillShade="F2"/>
            <w:noWrap/>
          </w:tcPr>
          <w:p w14:paraId="1A6E5977" w14:textId="77777777" w:rsidR="00EB1721" w:rsidRPr="008D0BAC" w:rsidRDefault="00EB1721">
            <w:pPr>
              <w:pStyle w:val="Tabletext"/>
              <w:rPr>
                <w:noProof/>
                <w:sz w:val="20"/>
                <w:szCs w:val="20"/>
              </w:rPr>
            </w:pPr>
            <w:r w:rsidRPr="008D0BAC">
              <w:rPr>
                <w:noProof/>
                <w:sz w:val="20"/>
                <w:szCs w:val="20"/>
              </w:rPr>
              <w:t>0.260</w:t>
            </w:r>
          </w:p>
        </w:tc>
        <w:tc>
          <w:tcPr>
            <w:tcW w:w="450" w:type="pct"/>
            <w:shd w:val="clear" w:color="auto" w:fill="F2F2F2" w:themeFill="background1" w:themeFillShade="F2"/>
            <w:noWrap/>
          </w:tcPr>
          <w:p w14:paraId="166AF84F" w14:textId="77777777" w:rsidR="00EB1721" w:rsidRPr="008D0BAC" w:rsidRDefault="00EB1721">
            <w:pPr>
              <w:pStyle w:val="Tabletext"/>
              <w:rPr>
                <w:noProof/>
                <w:sz w:val="20"/>
                <w:szCs w:val="20"/>
              </w:rPr>
            </w:pPr>
            <w:r w:rsidRPr="008D0BAC">
              <w:rPr>
                <w:noProof/>
                <w:sz w:val="20"/>
                <w:szCs w:val="20"/>
              </w:rPr>
              <w:t>0.375</w:t>
            </w:r>
          </w:p>
        </w:tc>
        <w:tc>
          <w:tcPr>
            <w:tcW w:w="450" w:type="pct"/>
            <w:shd w:val="clear" w:color="auto" w:fill="F2F2F2" w:themeFill="background1" w:themeFillShade="F2"/>
            <w:noWrap/>
          </w:tcPr>
          <w:p w14:paraId="20C4AC84" w14:textId="77777777" w:rsidR="00EB1721" w:rsidRPr="008D0BAC" w:rsidRDefault="00EB1721">
            <w:pPr>
              <w:pStyle w:val="Tabletext"/>
              <w:rPr>
                <w:noProof/>
                <w:sz w:val="20"/>
                <w:szCs w:val="20"/>
              </w:rPr>
            </w:pPr>
            <w:r w:rsidRPr="008D0BAC">
              <w:rPr>
                <w:noProof/>
                <w:sz w:val="20"/>
                <w:szCs w:val="20"/>
              </w:rPr>
              <w:t>-0.038</w:t>
            </w:r>
          </w:p>
        </w:tc>
        <w:tc>
          <w:tcPr>
            <w:tcW w:w="450" w:type="pct"/>
            <w:shd w:val="clear" w:color="auto" w:fill="F2F2F2" w:themeFill="background1" w:themeFillShade="F2"/>
            <w:noWrap/>
          </w:tcPr>
          <w:p w14:paraId="341B182C" w14:textId="77777777" w:rsidR="00EB1721" w:rsidRPr="008D0BAC" w:rsidRDefault="00EB1721">
            <w:pPr>
              <w:pStyle w:val="Tabletext"/>
              <w:rPr>
                <w:noProof/>
                <w:sz w:val="20"/>
                <w:szCs w:val="20"/>
              </w:rPr>
            </w:pPr>
            <w:r w:rsidRPr="008D0BAC">
              <w:rPr>
                <w:noProof/>
                <w:sz w:val="20"/>
                <w:szCs w:val="20"/>
              </w:rPr>
              <w:t>-0.008</w:t>
            </w:r>
          </w:p>
        </w:tc>
        <w:tc>
          <w:tcPr>
            <w:tcW w:w="450" w:type="pct"/>
            <w:shd w:val="clear" w:color="auto" w:fill="F2F2F2" w:themeFill="background1" w:themeFillShade="F2"/>
            <w:noWrap/>
          </w:tcPr>
          <w:p w14:paraId="0E7B301F" w14:textId="77777777" w:rsidR="00EB1721" w:rsidRPr="008D0BAC" w:rsidRDefault="00EB1721">
            <w:pPr>
              <w:pStyle w:val="Tabletext"/>
              <w:rPr>
                <w:noProof/>
                <w:sz w:val="20"/>
                <w:szCs w:val="20"/>
              </w:rPr>
            </w:pPr>
            <w:r w:rsidRPr="008D0BAC">
              <w:rPr>
                <w:noProof/>
                <w:sz w:val="20"/>
                <w:szCs w:val="20"/>
              </w:rPr>
              <w:t>-0.003</w:t>
            </w:r>
          </w:p>
        </w:tc>
        <w:tc>
          <w:tcPr>
            <w:tcW w:w="450" w:type="pct"/>
            <w:shd w:val="clear" w:color="auto" w:fill="F2F2F2" w:themeFill="background1" w:themeFillShade="F2"/>
            <w:noWrap/>
          </w:tcPr>
          <w:p w14:paraId="26F1CA76" w14:textId="77777777" w:rsidR="00EB1721" w:rsidRPr="008D0BAC" w:rsidRDefault="00EB1721">
            <w:pPr>
              <w:pStyle w:val="Tabletext"/>
              <w:rPr>
                <w:noProof/>
                <w:sz w:val="20"/>
                <w:szCs w:val="20"/>
              </w:rPr>
            </w:pPr>
            <w:r w:rsidRPr="008D0BAC">
              <w:rPr>
                <w:noProof/>
                <w:sz w:val="20"/>
                <w:szCs w:val="20"/>
              </w:rPr>
              <w:t>-0.006</w:t>
            </w:r>
          </w:p>
        </w:tc>
        <w:tc>
          <w:tcPr>
            <w:tcW w:w="453" w:type="pct"/>
            <w:shd w:val="clear" w:color="auto" w:fill="F2F2F2" w:themeFill="background1" w:themeFillShade="F2"/>
            <w:noWrap/>
          </w:tcPr>
          <w:p w14:paraId="24F0E95C" w14:textId="77777777" w:rsidR="00EB1721" w:rsidRPr="008D0BAC" w:rsidRDefault="00EB1721">
            <w:pPr>
              <w:pStyle w:val="Tabletext"/>
              <w:rPr>
                <w:noProof/>
                <w:sz w:val="20"/>
                <w:szCs w:val="20"/>
              </w:rPr>
            </w:pPr>
            <w:r w:rsidRPr="008D0BAC">
              <w:rPr>
                <w:noProof/>
                <w:sz w:val="20"/>
                <w:szCs w:val="20"/>
              </w:rPr>
              <w:t>-0.149</w:t>
            </w:r>
          </w:p>
        </w:tc>
        <w:tc>
          <w:tcPr>
            <w:tcW w:w="326" w:type="pct"/>
            <w:shd w:val="clear" w:color="auto" w:fill="F2F2F2" w:themeFill="background1" w:themeFillShade="F2"/>
            <w:noWrap/>
          </w:tcPr>
          <w:p w14:paraId="493535C1" w14:textId="77777777" w:rsidR="00EB1721" w:rsidRPr="008D0BAC" w:rsidRDefault="00EB1721">
            <w:pPr>
              <w:pStyle w:val="Tabletext"/>
              <w:rPr>
                <w:noProof/>
                <w:sz w:val="20"/>
                <w:szCs w:val="20"/>
              </w:rPr>
            </w:pPr>
            <w:r w:rsidRPr="008D0BAC">
              <w:rPr>
                <w:noProof/>
                <w:sz w:val="20"/>
                <w:szCs w:val="20"/>
              </w:rPr>
              <w:t>-0.201</w:t>
            </w:r>
          </w:p>
        </w:tc>
      </w:tr>
      <w:tr w:rsidR="00EB1721" w:rsidRPr="00E27936" w14:paraId="4C23A113" w14:textId="77777777" w:rsidTr="00B05194">
        <w:trPr>
          <w:trHeight w:val="296"/>
        </w:trPr>
        <w:tc>
          <w:tcPr>
            <w:tcW w:w="692" w:type="pct"/>
            <w:noWrap/>
            <w:vAlign w:val="bottom"/>
            <w:hideMark/>
          </w:tcPr>
          <w:p w14:paraId="7A10957B" w14:textId="21B0BD1C"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A</w:t>
            </w:r>
          </w:p>
        </w:tc>
        <w:tc>
          <w:tcPr>
            <w:tcW w:w="373" w:type="pct"/>
            <w:noWrap/>
            <w:hideMark/>
          </w:tcPr>
          <w:p w14:paraId="69439AD3" w14:textId="39FE17D7" w:rsidR="00EB1721" w:rsidRPr="008D0BAC" w:rsidRDefault="00EB1721">
            <w:pPr>
              <w:pStyle w:val="Tabletext"/>
              <w:rPr>
                <w:noProof/>
                <w:sz w:val="20"/>
                <w:szCs w:val="20"/>
              </w:rPr>
            </w:pPr>
            <w:r w:rsidRPr="008D0BAC">
              <w:rPr>
                <w:noProof/>
                <w:sz w:val="20"/>
                <w:szCs w:val="20"/>
              </w:rPr>
              <w:t>-0.</w:t>
            </w:r>
            <w:r w:rsidR="00002F3B" w:rsidRPr="00B847C5">
              <w:rPr>
                <w:noProof/>
                <w:sz w:val="20"/>
                <w:szCs w:val="32"/>
              </w:rPr>
              <w:t>0</w:t>
            </w:r>
            <w:r w:rsidR="00002F3B">
              <w:rPr>
                <w:noProof/>
                <w:sz w:val="20"/>
                <w:szCs w:val="32"/>
              </w:rPr>
              <w:t>74</w:t>
            </w:r>
          </w:p>
        </w:tc>
        <w:tc>
          <w:tcPr>
            <w:tcW w:w="453" w:type="pct"/>
            <w:noWrap/>
            <w:hideMark/>
          </w:tcPr>
          <w:p w14:paraId="61977654" w14:textId="63E55830" w:rsidR="00EB1721" w:rsidRPr="008D0BAC" w:rsidRDefault="00EB1721">
            <w:pPr>
              <w:pStyle w:val="Tabletext"/>
              <w:rPr>
                <w:noProof/>
                <w:sz w:val="20"/>
                <w:szCs w:val="20"/>
              </w:rPr>
            </w:pPr>
            <w:r w:rsidRPr="008D0BAC">
              <w:rPr>
                <w:noProof/>
                <w:sz w:val="20"/>
                <w:szCs w:val="20"/>
              </w:rPr>
              <w:t>-0.</w:t>
            </w:r>
            <w:r w:rsidR="00347CC0" w:rsidRPr="00B847C5">
              <w:rPr>
                <w:noProof/>
                <w:sz w:val="20"/>
                <w:szCs w:val="32"/>
              </w:rPr>
              <w:t>0</w:t>
            </w:r>
            <w:r w:rsidR="00347CC0">
              <w:rPr>
                <w:noProof/>
                <w:sz w:val="20"/>
                <w:szCs w:val="32"/>
              </w:rPr>
              <w:t>44</w:t>
            </w:r>
          </w:p>
        </w:tc>
        <w:tc>
          <w:tcPr>
            <w:tcW w:w="450" w:type="pct"/>
            <w:noWrap/>
            <w:hideMark/>
          </w:tcPr>
          <w:p w14:paraId="0AA36104" w14:textId="77777777" w:rsidR="00EB1721" w:rsidRPr="008D0BAC" w:rsidRDefault="00EB1721">
            <w:pPr>
              <w:pStyle w:val="Tabletext"/>
              <w:rPr>
                <w:noProof/>
                <w:sz w:val="20"/>
                <w:szCs w:val="20"/>
              </w:rPr>
            </w:pPr>
            <w:r w:rsidRPr="008D0BAC">
              <w:rPr>
                <w:noProof/>
                <w:sz w:val="20"/>
                <w:szCs w:val="20"/>
              </w:rPr>
              <w:t>0.244</w:t>
            </w:r>
          </w:p>
        </w:tc>
        <w:tc>
          <w:tcPr>
            <w:tcW w:w="450" w:type="pct"/>
            <w:noWrap/>
            <w:hideMark/>
          </w:tcPr>
          <w:p w14:paraId="38CD8A87" w14:textId="77777777" w:rsidR="00EB1721" w:rsidRPr="008D0BAC" w:rsidRDefault="00EB1721">
            <w:pPr>
              <w:pStyle w:val="Tabletext"/>
              <w:rPr>
                <w:noProof/>
                <w:sz w:val="20"/>
                <w:szCs w:val="20"/>
              </w:rPr>
            </w:pPr>
            <w:r w:rsidRPr="008D0BAC">
              <w:rPr>
                <w:noProof/>
                <w:sz w:val="20"/>
                <w:szCs w:val="20"/>
              </w:rPr>
              <w:t>0.597</w:t>
            </w:r>
          </w:p>
        </w:tc>
        <w:tc>
          <w:tcPr>
            <w:tcW w:w="450" w:type="pct"/>
            <w:noWrap/>
            <w:hideMark/>
          </w:tcPr>
          <w:p w14:paraId="40484019" w14:textId="77777777" w:rsidR="00EB1721" w:rsidRPr="008D0BAC" w:rsidRDefault="00EB1721">
            <w:pPr>
              <w:pStyle w:val="Tabletext"/>
              <w:rPr>
                <w:noProof/>
                <w:sz w:val="20"/>
                <w:szCs w:val="20"/>
              </w:rPr>
            </w:pPr>
            <w:r w:rsidRPr="008D0BAC">
              <w:rPr>
                <w:noProof/>
                <w:sz w:val="20"/>
                <w:szCs w:val="20"/>
              </w:rPr>
              <w:t>0.036</w:t>
            </w:r>
          </w:p>
        </w:tc>
        <w:tc>
          <w:tcPr>
            <w:tcW w:w="450" w:type="pct"/>
            <w:noWrap/>
            <w:hideMark/>
          </w:tcPr>
          <w:p w14:paraId="2ECFDDDE" w14:textId="77777777" w:rsidR="00EB1721" w:rsidRPr="008D0BAC" w:rsidRDefault="00EB1721">
            <w:pPr>
              <w:pStyle w:val="Tabletext"/>
              <w:rPr>
                <w:noProof/>
                <w:sz w:val="20"/>
                <w:szCs w:val="20"/>
              </w:rPr>
            </w:pPr>
            <w:r w:rsidRPr="008D0BAC">
              <w:rPr>
                <w:noProof/>
                <w:sz w:val="20"/>
                <w:szCs w:val="20"/>
              </w:rPr>
              <w:t>0.007</w:t>
            </w:r>
          </w:p>
        </w:tc>
        <w:tc>
          <w:tcPr>
            <w:tcW w:w="450" w:type="pct"/>
            <w:noWrap/>
            <w:hideMark/>
          </w:tcPr>
          <w:p w14:paraId="777F5EDE" w14:textId="77777777" w:rsidR="00EB1721" w:rsidRPr="008D0BAC" w:rsidRDefault="00EB1721">
            <w:pPr>
              <w:pStyle w:val="Tabletext"/>
              <w:rPr>
                <w:noProof/>
                <w:sz w:val="20"/>
                <w:szCs w:val="20"/>
              </w:rPr>
            </w:pPr>
            <w:r w:rsidRPr="008D0BAC">
              <w:rPr>
                <w:noProof/>
                <w:sz w:val="20"/>
                <w:szCs w:val="20"/>
              </w:rPr>
              <w:t>0.247</w:t>
            </w:r>
          </w:p>
        </w:tc>
        <w:tc>
          <w:tcPr>
            <w:tcW w:w="450" w:type="pct"/>
            <w:noWrap/>
            <w:hideMark/>
          </w:tcPr>
          <w:p w14:paraId="6C6766F4" w14:textId="77777777" w:rsidR="00EB1721" w:rsidRPr="008D0BAC" w:rsidRDefault="00EB1721">
            <w:pPr>
              <w:pStyle w:val="Tabletext"/>
              <w:rPr>
                <w:noProof/>
                <w:sz w:val="20"/>
                <w:szCs w:val="20"/>
              </w:rPr>
            </w:pPr>
            <w:r w:rsidRPr="008D0BAC">
              <w:rPr>
                <w:noProof/>
                <w:sz w:val="20"/>
                <w:szCs w:val="20"/>
              </w:rPr>
              <w:t>0.051</w:t>
            </w:r>
          </w:p>
        </w:tc>
        <w:tc>
          <w:tcPr>
            <w:tcW w:w="453" w:type="pct"/>
            <w:noWrap/>
            <w:hideMark/>
          </w:tcPr>
          <w:p w14:paraId="55E585AB" w14:textId="70751568" w:rsidR="00EB1721" w:rsidRPr="008D0BAC" w:rsidRDefault="00EB1721">
            <w:pPr>
              <w:pStyle w:val="Tabletext"/>
              <w:rPr>
                <w:noProof/>
                <w:sz w:val="20"/>
                <w:szCs w:val="20"/>
              </w:rPr>
            </w:pPr>
            <w:r w:rsidRPr="008D0BAC">
              <w:rPr>
                <w:noProof/>
                <w:sz w:val="20"/>
                <w:szCs w:val="20"/>
              </w:rPr>
              <w:t>0.</w:t>
            </w:r>
            <w:r w:rsidR="00FE0A9F" w:rsidRPr="00B847C5">
              <w:rPr>
                <w:noProof/>
                <w:sz w:val="20"/>
                <w:szCs w:val="32"/>
              </w:rPr>
              <w:t>4</w:t>
            </w:r>
            <w:r w:rsidR="00FE0A9F">
              <w:rPr>
                <w:noProof/>
                <w:sz w:val="20"/>
                <w:szCs w:val="32"/>
              </w:rPr>
              <w:t>53</w:t>
            </w:r>
          </w:p>
        </w:tc>
        <w:tc>
          <w:tcPr>
            <w:tcW w:w="326" w:type="pct"/>
            <w:noWrap/>
            <w:hideMark/>
          </w:tcPr>
          <w:p w14:paraId="6145C1AB" w14:textId="56C32D2B" w:rsidR="00EB1721" w:rsidRPr="008D0BAC" w:rsidRDefault="00EB1721">
            <w:pPr>
              <w:pStyle w:val="Tabletext"/>
              <w:rPr>
                <w:noProof/>
                <w:sz w:val="20"/>
                <w:szCs w:val="20"/>
              </w:rPr>
            </w:pPr>
            <w:r w:rsidRPr="008D0BAC">
              <w:rPr>
                <w:noProof/>
                <w:sz w:val="20"/>
                <w:szCs w:val="20"/>
              </w:rPr>
              <w:t>0.</w:t>
            </w:r>
            <w:r w:rsidR="00FE0A9F" w:rsidRPr="00B847C5">
              <w:rPr>
                <w:noProof/>
                <w:sz w:val="20"/>
                <w:szCs w:val="32"/>
              </w:rPr>
              <w:t>6</w:t>
            </w:r>
            <w:r w:rsidR="00FE0A9F">
              <w:rPr>
                <w:noProof/>
                <w:sz w:val="20"/>
                <w:szCs w:val="32"/>
              </w:rPr>
              <w:t>11</w:t>
            </w:r>
          </w:p>
        </w:tc>
      </w:tr>
      <w:tr w:rsidR="00EB1721" w:rsidRPr="00E27936" w14:paraId="63395D85" w14:textId="77777777" w:rsidTr="00B05194">
        <w:trPr>
          <w:trHeight w:val="296"/>
        </w:trPr>
        <w:tc>
          <w:tcPr>
            <w:tcW w:w="692" w:type="pct"/>
            <w:noWrap/>
            <w:vAlign w:val="bottom"/>
            <w:hideMark/>
          </w:tcPr>
          <w:p w14:paraId="0DE73B95" w14:textId="23598C86"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B</w:t>
            </w:r>
          </w:p>
        </w:tc>
        <w:tc>
          <w:tcPr>
            <w:tcW w:w="373" w:type="pct"/>
            <w:noWrap/>
            <w:hideMark/>
          </w:tcPr>
          <w:p w14:paraId="7AE58942" w14:textId="18A8A42A" w:rsidR="00EB1721" w:rsidRPr="008D0BAC" w:rsidRDefault="00EB1721">
            <w:pPr>
              <w:pStyle w:val="Tabletext"/>
              <w:rPr>
                <w:noProof/>
                <w:sz w:val="20"/>
                <w:szCs w:val="20"/>
              </w:rPr>
            </w:pPr>
            <w:r w:rsidRPr="008D0BAC">
              <w:rPr>
                <w:noProof/>
                <w:sz w:val="20"/>
                <w:szCs w:val="20"/>
              </w:rPr>
              <w:t>-0.</w:t>
            </w:r>
            <w:r w:rsidR="00002F3B" w:rsidRPr="00B847C5">
              <w:rPr>
                <w:noProof/>
                <w:sz w:val="20"/>
                <w:szCs w:val="32"/>
              </w:rPr>
              <w:t>0</w:t>
            </w:r>
            <w:r w:rsidR="00002F3B">
              <w:rPr>
                <w:noProof/>
                <w:sz w:val="20"/>
                <w:szCs w:val="32"/>
              </w:rPr>
              <w:t>09</w:t>
            </w:r>
          </w:p>
        </w:tc>
        <w:tc>
          <w:tcPr>
            <w:tcW w:w="453" w:type="pct"/>
            <w:noWrap/>
            <w:hideMark/>
          </w:tcPr>
          <w:p w14:paraId="52CFA9C7" w14:textId="18AE950F" w:rsidR="00EB1721" w:rsidRPr="008D0BAC" w:rsidRDefault="00EB1721">
            <w:pPr>
              <w:pStyle w:val="Tabletext"/>
              <w:rPr>
                <w:noProof/>
                <w:sz w:val="20"/>
                <w:szCs w:val="20"/>
              </w:rPr>
            </w:pPr>
            <w:r w:rsidRPr="008D0BAC">
              <w:rPr>
                <w:noProof/>
                <w:sz w:val="20"/>
                <w:szCs w:val="20"/>
              </w:rPr>
              <w:t>0.</w:t>
            </w:r>
            <w:r w:rsidR="00347CC0">
              <w:rPr>
                <w:noProof/>
                <w:sz w:val="20"/>
                <w:szCs w:val="32"/>
              </w:rPr>
              <w:t>113</w:t>
            </w:r>
          </w:p>
        </w:tc>
        <w:tc>
          <w:tcPr>
            <w:tcW w:w="450" w:type="pct"/>
            <w:noWrap/>
            <w:hideMark/>
          </w:tcPr>
          <w:p w14:paraId="03B11A6D" w14:textId="77777777" w:rsidR="00EB1721" w:rsidRPr="008D0BAC" w:rsidRDefault="00EB1721">
            <w:pPr>
              <w:pStyle w:val="Tabletext"/>
              <w:rPr>
                <w:noProof/>
                <w:sz w:val="20"/>
                <w:szCs w:val="20"/>
              </w:rPr>
            </w:pPr>
            <w:r w:rsidRPr="008D0BAC">
              <w:rPr>
                <w:noProof/>
                <w:sz w:val="20"/>
                <w:szCs w:val="20"/>
              </w:rPr>
              <w:t>0.181</w:t>
            </w:r>
          </w:p>
        </w:tc>
        <w:tc>
          <w:tcPr>
            <w:tcW w:w="450" w:type="pct"/>
            <w:noWrap/>
            <w:hideMark/>
          </w:tcPr>
          <w:p w14:paraId="3C4F86FD" w14:textId="77777777" w:rsidR="00EB1721" w:rsidRPr="008D0BAC" w:rsidRDefault="00EB1721">
            <w:pPr>
              <w:pStyle w:val="Tabletext"/>
              <w:rPr>
                <w:noProof/>
                <w:sz w:val="20"/>
                <w:szCs w:val="20"/>
              </w:rPr>
            </w:pPr>
            <w:r w:rsidRPr="008D0BAC">
              <w:rPr>
                <w:noProof/>
                <w:sz w:val="20"/>
                <w:szCs w:val="20"/>
              </w:rPr>
              <w:t>0.474</w:t>
            </w:r>
          </w:p>
        </w:tc>
        <w:tc>
          <w:tcPr>
            <w:tcW w:w="450" w:type="pct"/>
            <w:noWrap/>
            <w:hideMark/>
          </w:tcPr>
          <w:p w14:paraId="51FA6503" w14:textId="77777777" w:rsidR="00EB1721" w:rsidRPr="008D0BAC" w:rsidRDefault="00EB1721">
            <w:pPr>
              <w:pStyle w:val="Tabletext"/>
              <w:rPr>
                <w:noProof/>
                <w:sz w:val="20"/>
                <w:szCs w:val="20"/>
              </w:rPr>
            </w:pPr>
            <w:r w:rsidRPr="008D0BAC">
              <w:rPr>
                <w:noProof/>
                <w:sz w:val="20"/>
                <w:szCs w:val="20"/>
              </w:rPr>
              <w:t>0.036</w:t>
            </w:r>
          </w:p>
        </w:tc>
        <w:tc>
          <w:tcPr>
            <w:tcW w:w="450" w:type="pct"/>
            <w:noWrap/>
            <w:hideMark/>
          </w:tcPr>
          <w:p w14:paraId="0E01FA69" w14:textId="77777777" w:rsidR="00EB1721" w:rsidRPr="008D0BAC" w:rsidRDefault="00EB1721">
            <w:pPr>
              <w:pStyle w:val="Tabletext"/>
              <w:rPr>
                <w:noProof/>
                <w:sz w:val="20"/>
                <w:szCs w:val="20"/>
              </w:rPr>
            </w:pPr>
            <w:r w:rsidRPr="008D0BAC">
              <w:rPr>
                <w:noProof/>
                <w:sz w:val="20"/>
                <w:szCs w:val="20"/>
              </w:rPr>
              <w:t>0.007</w:t>
            </w:r>
          </w:p>
        </w:tc>
        <w:tc>
          <w:tcPr>
            <w:tcW w:w="450" w:type="pct"/>
            <w:noWrap/>
            <w:hideMark/>
          </w:tcPr>
          <w:p w14:paraId="7CF04B35" w14:textId="77777777" w:rsidR="00EB1721" w:rsidRPr="008D0BAC" w:rsidRDefault="00EB1721">
            <w:pPr>
              <w:pStyle w:val="Tabletext"/>
              <w:rPr>
                <w:noProof/>
                <w:sz w:val="20"/>
                <w:szCs w:val="20"/>
              </w:rPr>
            </w:pPr>
            <w:r w:rsidRPr="008D0BAC">
              <w:rPr>
                <w:noProof/>
                <w:sz w:val="20"/>
                <w:szCs w:val="20"/>
              </w:rPr>
              <w:t>0.195</w:t>
            </w:r>
          </w:p>
        </w:tc>
        <w:tc>
          <w:tcPr>
            <w:tcW w:w="450" w:type="pct"/>
            <w:noWrap/>
            <w:hideMark/>
          </w:tcPr>
          <w:p w14:paraId="298231E2" w14:textId="77777777" w:rsidR="00EB1721" w:rsidRPr="008D0BAC" w:rsidRDefault="00EB1721">
            <w:pPr>
              <w:pStyle w:val="Tabletext"/>
              <w:rPr>
                <w:noProof/>
                <w:sz w:val="20"/>
                <w:szCs w:val="20"/>
              </w:rPr>
            </w:pPr>
            <w:r w:rsidRPr="008D0BAC">
              <w:rPr>
                <w:noProof/>
                <w:sz w:val="20"/>
                <w:szCs w:val="20"/>
              </w:rPr>
              <w:t>0.040</w:t>
            </w:r>
          </w:p>
        </w:tc>
        <w:tc>
          <w:tcPr>
            <w:tcW w:w="453" w:type="pct"/>
            <w:noWrap/>
            <w:hideMark/>
          </w:tcPr>
          <w:p w14:paraId="02C067DF" w14:textId="7C9923F5" w:rsidR="00EB1721" w:rsidRPr="008D0BAC" w:rsidRDefault="00EB1721">
            <w:pPr>
              <w:pStyle w:val="Tabletext"/>
              <w:rPr>
                <w:noProof/>
                <w:sz w:val="20"/>
                <w:szCs w:val="20"/>
              </w:rPr>
            </w:pPr>
            <w:r w:rsidRPr="008D0BAC">
              <w:rPr>
                <w:noProof/>
                <w:sz w:val="20"/>
                <w:szCs w:val="20"/>
              </w:rPr>
              <w:t>0.</w:t>
            </w:r>
            <w:r w:rsidR="00FE0A9F">
              <w:rPr>
                <w:noProof/>
                <w:sz w:val="20"/>
                <w:szCs w:val="32"/>
              </w:rPr>
              <w:t>421</w:t>
            </w:r>
          </w:p>
        </w:tc>
        <w:tc>
          <w:tcPr>
            <w:tcW w:w="326" w:type="pct"/>
            <w:noWrap/>
            <w:hideMark/>
          </w:tcPr>
          <w:p w14:paraId="2A5D9567" w14:textId="1A056119" w:rsidR="00EB1721" w:rsidRPr="008D0BAC" w:rsidRDefault="00EB1721">
            <w:pPr>
              <w:pStyle w:val="Tabletext"/>
              <w:rPr>
                <w:noProof/>
                <w:sz w:val="20"/>
                <w:szCs w:val="20"/>
              </w:rPr>
            </w:pPr>
            <w:r w:rsidRPr="008D0BAC">
              <w:rPr>
                <w:noProof/>
                <w:sz w:val="20"/>
                <w:szCs w:val="20"/>
              </w:rPr>
              <w:t>0.</w:t>
            </w:r>
            <w:r w:rsidR="00FE0A9F" w:rsidRPr="00B847C5">
              <w:rPr>
                <w:noProof/>
                <w:sz w:val="20"/>
                <w:szCs w:val="32"/>
              </w:rPr>
              <w:t>6</w:t>
            </w:r>
            <w:r w:rsidR="00FE0A9F">
              <w:rPr>
                <w:noProof/>
                <w:sz w:val="20"/>
                <w:szCs w:val="32"/>
              </w:rPr>
              <w:t>34</w:t>
            </w:r>
          </w:p>
        </w:tc>
      </w:tr>
      <w:tr w:rsidR="00EB1721" w:rsidRPr="00E27936" w14:paraId="45F0C26B" w14:textId="77777777" w:rsidTr="00B05194">
        <w:trPr>
          <w:trHeight w:val="296"/>
        </w:trPr>
        <w:tc>
          <w:tcPr>
            <w:tcW w:w="692" w:type="pct"/>
            <w:noWrap/>
            <w:vAlign w:val="bottom"/>
            <w:hideMark/>
          </w:tcPr>
          <w:p w14:paraId="2AC5A4A3" w14:textId="488D62EC"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C</w:t>
            </w:r>
          </w:p>
        </w:tc>
        <w:tc>
          <w:tcPr>
            <w:tcW w:w="373" w:type="pct"/>
            <w:noWrap/>
            <w:hideMark/>
          </w:tcPr>
          <w:p w14:paraId="7B49DB93" w14:textId="5B6AAF8E" w:rsidR="00EB1721" w:rsidRPr="008D0BAC" w:rsidRDefault="00EB1721">
            <w:pPr>
              <w:pStyle w:val="Tabletext"/>
              <w:rPr>
                <w:noProof/>
                <w:sz w:val="20"/>
                <w:szCs w:val="20"/>
              </w:rPr>
            </w:pPr>
            <w:r w:rsidRPr="008D0BAC">
              <w:rPr>
                <w:noProof/>
                <w:sz w:val="20"/>
                <w:szCs w:val="20"/>
              </w:rPr>
              <w:t>0.</w:t>
            </w:r>
            <w:r w:rsidR="00002F3B" w:rsidRPr="00B847C5">
              <w:rPr>
                <w:noProof/>
                <w:sz w:val="20"/>
                <w:szCs w:val="32"/>
              </w:rPr>
              <w:t>0</w:t>
            </w:r>
            <w:r w:rsidR="00002F3B">
              <w:rPr>
                <w:noProof/>
                <w:sz w:val="20"/>
                <w:szCs w:val="32"/>
              </w:rPr>
              <w:t>36</w:t>
            </w:r>
          </w:p>
        </w:tc>
        <w:tc>
          <w:tcPr>
            <w:tcW w:w="453" w:type="pct"/>
            <w:noWrap/>
            <w:hideMark/>
          </w:tcPr>
          <w:p w14:paraId="5B7998DA" w14:textId="26DDD29F" w:rsidR="00EB1721" w:rsidRPr="008D0BAC" w:rsidRDefault="00EB1721">
            <w:pPr>
              <w:pStyle w:val="Tabletext"/>
              <w:rPr>
                <w:noProof/>
                <w:sz w:val="20"/>
                <w:szCs w:val="20"/>
              </w:rPr>
            </w:pPr>
            <w:r w:rsidRPr="008D0BAC">
              <w:rPr>
                <w:noProof/>
                <w:sz w:val="20"/>
                <w:szCs w:val="20"/>
              </w:rPr>
              <w:t>0.</w:t>
            </w:r>
            <w:r w:rsidR="00347CC0" w:rsidRPr="00B847C5">
              <w:rPr>
                <w:noProof/>
                <w:sz w:val="20"/>
                <w:szCs w:val="32"/>
              </w:rPr>
              <w:t>18</w:t>
            </w:r>
            <w:r w:rsidR="00347CC0">
              <w:rPr>
                <w:noProof/>
                <w:sz w:val="20"/>
                <w:szCs w:val="32"/>
              </w:rPr>
              <w:t>0</w:t>
            </w:r>
          </w:p>
        </w:tc>
        <w:tc>
          <w:tcPr>
            <w:tcW w:w="450" w:type="pct"/>
            <w:noWrap/>
            <w:hideMark/>
          </w:tcPr>
          <w:p w14:paraId="62E9C62C" w14:textId="5D2F980E"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238</w:t>
            </w:r>
          </w:p>
        </w:tc>
        <w:tc>
          <w:tcPr>
            <w:tcW w:w="450" w:type="pct"/>
            <w:noWrap/>
            <w:hideMark/>
          </w:tcPr>
          <w:p w14:paraId="3D64842A" w14:textId="5CC77BC7"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615</w:t>
            </w:r>
          </w:p>
        </w:tc>
        <w:tc>
          <w:tcPr>
            <w:tcW w:w="450" w:type="pct"/>
            <w:noWrap/>
            <w:hideMark/>
          </w:tcPr>
          <w:p w14:paraId="542F149A" w14:textId="345D83F2"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045</w:t>
            </w:r>
          </w:p>
        </w:tc>
        <w:tc>
          <w:tcPr>
            <w:tcW w:w="450" w:type="pct"/>
            <w:noWrap/>
            <w:hideMark/>
          </w:tcPr>
          <w:p w14:paraId="2D362D84" w14:textId="27758430"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009</w:t>
            </w:r>
          </w:p>
        </w:tc>
        <w:tc>
          <w:tcPr>
            <w:tcW w:w="450" w:type="pct"/>
            <w:noWrap/>
            <w:hideMark/>
          </w:tcPr>
          <w:p w14:paraId="127CE511" w14:textId="22364C70"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234</w:t>
            </w:r>
          </w:p>
        </w:tc>
        <w:tc>
          <w:tcPr>
            <w:tcW w:w="450" w:type="pct"/>
            <w:noWrap/>
            <w:hideMark/>
          </w:tcPr>
          <w:p w14:paraId="5C6C74EC" w14:textId="009D7F01" w:rsidR="00EB1721" w:rsidRPr="008D0BAC" w:rsidRDefault="00EB1721">
            <w:pPr>
              <w:pStyle w:val="Tabletext"/>
              <w:rPr>
                <w:noProof/>
                <w:sz w:val="20"/>
                <w:szCs w:val="20"/>
              </w:rPr>
            </w:pPr>
            <w:r w:rsidRPr="008D0BAC">
              <w:rPr>
                <w:noProof/>
                <w:sz w:val="20"/>
                <w:szCs w:val="20"/>
              </w:rPr>
              <w:t>0.</w:t>
            </w:r>
            <w:r w:rsidR="00B847C5" w:rsidRPr="00B847C5">
              <w:rPr>
                <w:noProof/>
                <w:sz w:val="20"/>
                <w:szCs w:val="32"/>
              </w:rPr>
              <w:t>047</w:t>
            </w:r>
          </w:p>
        </w:tc>
        <w:tc>
          <w:tcPr>
            <w:tcW w:w="453" w:type="pct"/>
            <w:noWrap/>
            <w:hideMark/>
          </w:tcPr>
          <w:p w14:paraId="47CE60F8" w14:textId="26E5F727" w:rsidR="00EB1721" w:rsidRPr="008D0BAC" w:rsidRDefault="00EB1721">
            <w:pPr>
              <w:pStyle w:val="Tabletext"/>
              <w:rPr>
                <w:noProof/>
                <w:sz w:val="20"/>
                <w:szCs w:val="20"/>
              </w:rPr>
            </w:pPr>
            <w:r w:rsidRPr="008D0BAC">
              <w:rPr>
                <w:noProof/>
                <w:sz w:val="20"/>
                <w:szCs w:val="20"/>
              </w:rPr>
              <w:t>0.</w:t>
            </w:r>
            <w:r w:rsidR="00FE0A9F" w:rsidRPr="00B847C5">
              <w:rPr>
                <w:noProof/>
                <w:sz w:val="20"/>
                <w:szCs w:val="32"/>
              </w:rPr>
              <w:t>5</w:t>
            </w:r>
            <w:r w:rsidR="00FE0A9F">
              <w:rPr>
                <w:noProof/>
                <w:sz w:val="20"/>
                <w:szCs w:val="32"/>
              </w:rPr>
              <w:t>52</w:t>
            </w:r>
          </w:p>
        </w:tc>
        <w:tc>
          <w:tcPr>
            <w:tcW w:w="326" w:type="pct"/>
            <w:noWrap/>
            <w:hideMark/>
          </w:tcPr>
          <w:p w14:paraId="536ADEC3" w14:textId="5F476164" w:rsidR="00EB1721" w:rsidRPr="008D0BAC" w:rsidRDefault="00EB1721">
            <w:pPr>
              <w:pStyle w:val="Tabletext"/>
              <w:rPr>
                <w:noProof/>
                <w:sz w:val="20"/>
                <w:szCs w:val="20"/>
              </w:rPr>
            </w:pPr>
            <w:r w:rsidRPr="008D0BAC">
              <w:rPr>
                <w:noProof/>
                <w:sz w:val="20"/>
                <w:szCs w:val="20"/>
              </w:rPr>
              <w:t>0.</w:t>
            </w:r>
            <w:r w:rsidR="00FE0A9F" w:rsidRPr="00B847C5">
              <w:rPr>
                <w:noProof/>
                <w:sz w:val="20"/>
                <w:szCs w:val="32"/>
              </w:rPr>
              <w:t>85</w:t>
            </w:r>
            <w:r w:rsidR="00FE0A9F">
              <w:rPr>
                <w:noProof/>
                <w:sz w:val="20"/>
                <w:szCs w:val="32"/>
              </w:rPr>
              <w:t>1</w:t>
            </w:r>
          </w:p>
        </w:tc>
      </w:tr>
      <w:tr w:rsidR="00EB1721" w:rsidRPr="00E27936" w14:paraId="27C1C947" w14:textId="77777777" w:rsidTr="00B05194">
        <w:trPr>
          <w:trHeight w:val="296"/>
        </w:trPr>
        <w:tc>
          <w:tcPr>
            <w:tcW w:w="5000" w:type="pct"/>
            <w:gridSpan w:val="11"/>
            <w:shd w:val="clear" w:color="auto" w:fill="DBE5F1" w:themeFill="accent1" w:themeFillTint="33"/>
            <w:noWrap/>
          </w:tcPr>
          <w:p w14:paraId="405F6C12" w14:textId="77777777" w:rsidR="00EB1721" w:rsidRPr="008D0BAC" w:rsidRDefault="00EB1721">
            <w:pPr>
              <w:pStyle w:val="Tabletext"/>
              <w:jc w:val="center"/>
              <w:rPr>
                <w:noProof/>
                <w:sz w:val="20"/>
                <w:szCs w:val="20"/>
              </w:rPr>
            </w:pPr>
            <w:r w:rsidRPr="008D0BAC">
              <w:rPr>
                <w:b/>
                <w:noProof/>
                <w:sz w:val="20"/>
                <w:szCs w:val="20"/>
              </w:rPr>
              <w:t>National Public Authorities</w:t>
            </w:r>
          </w:p>
        </w:tc>
      </w:tr>
      <w:tr w:rsidR="00EB1721" w:rsidRPr="00E27936" w14:paraId="288EC827" w14:textId="77777777" w:rsidTr="00B05194">
        <w:trPr>
          <w:trHeight w:val="296"/>
        </w:trPr>
        <w:tc>
          <w:tcPr>
            <w:tcW w:w="692" w:type="pct"/>
            <w:noWrap/>
          </w:tcPr>
          <w:p w14:paraId="5053815C" w14:textId="77777777" w:rsidR="00EB1721" w:rsidRPr="008D0BAC" w:rsidRDefault="00EB1721">
            <w:pPr>
              <w:pStyle w:val="Tabletext"/>
              <w:rPr>
                <w:b/>
                <w:noProof/>
                <w:sz w:val="20"/>
                <w:szCs w:val="20"/>
              </w:rPr>
            </w:pPr>
            <w:r w:rsidRPr="008D0BAC">
              <w:rPr>
                <w:b/>
                <w:noProof/>
                <w:sz w:val="20"/>
                <w:szCs w:val="20"/>
              </w:rPr>
              <w:t>Option</w:t>
            </w:r>
          </w:p>
        </w:tc>
        <w:tc>
          <w:tcPr>
            <w:tcW w:w="373" w:type="pct"/>
            <w:noWrap/>
          </w:tcPr>
          <w:p w14:paraId="2E9674B9" w14:textId="77777777" w:rsidR="00EB1721" w:rsidRPr="008D0BAC" w:rsidRDefault="00EB1721">
            <w:pPr>
              <w:pStyle w:val="Tabletext"/>
              <w:rPr>
                <w:noProof/>
                <w:sz w:val="20"/>
                <w:szCs w:val="20"/>
              </w:rPr>
            </w:pPr>
            <w:r w:rsidRPr="008D0BAC">
              <w:rPr>
                <w:b/>
                <w:noProof/>
                <w:sz w:val="20"/>
                <w:szCs w:val="20"/>
              </w:rPr>
              <w:t>EW</w:t>
            </w:r>
          </w:p>
        </w:tc>
        <w:tc>
          <w:tcPr>
            <w:tcW w:w="453" w:type="pct"/>
            <w:noWrap/>
          </w:tcPr>
          <w:p w14:paraId="5D08AFED" w14:textId="77777777" w:rsidR="00EB1721" w:rsidRPr="008D0BAC" w:rsidRDefault="00EB1721">
            <w:pPr>
              <w:pStyle w:val="Tabletext"/>
              <w:rPr>
                <w:noProof/>
                <w:sz w:val="20"/>
                <w:szCs w:val="20"/>
              </w:rPr>
            </w:pPr>
            <w:r w:rsidRPr="008D0BAC">
              <w:rPr>
                <w:b/>
                <w:noProof/>
                <w:sz w:val="20"/>
                <w:szCs w:val="20"/>
              </w:rPr>
              <w:t>P2</w:t>
            </w:r>
          </w:p>
        </w:tc>
        <w:tc>
          <w:tcPr>
            <w:tcW w:w="450" w:type="pct"/>
            <w:noWrap/>
          </w:tcPr>
          <w:p w14:paraId="31520552" w14:textId="77777777" w:rsidR="00EB1721" w:rsidRPr="008D0BAC" w:rsidRDefault="00EB1721">
            <w:pPr>
              <w:pStyle w:val="Tabletext"/>
              <w:rPr>
                <w:noProof/>
                <w:sz w:val="20"/>
                <w:szCs w:val="20"/>
              </w:rPr>
            </w:pPr>
            <w:r w:rsidRPr="008D0BAC">
              <w:rPr>
                <w:b/>
                <w:noProof/>
                <w:sz w:val="20"/>
                <w:szCs w:val="20"/>
              </w:rPr>
              <w:t>EW</w:t>
            </w:r>
          </w:p>
        </w:tc>
        <w:tc>
          <w:tcPr>
            <w:tcW w:w="450" w:type="pct"/>
            <w:noWrap/>
          </w:tcPr>
          <w:p w14:paraId="32A2D5AF" w14:textId="77777777" w:rsidR="00EB1721" w:rsidRPr="008D0BAC" w:rsidRDefault="00EB1721">
            <w:pPr>
              <w:pStyle w:val="Tabletext"/>
              <w:rPr>
                <w:noProof/>
                <w:sz w:val="20"/>
                <w:szCs w:val="20"/>
              </w:rPr>
            </w:pPr>
            <w:r w:rsidRPr="008D0BAC">
              <w:rPr>
                <w:b/>
                <w:noProof/>
                <w:sz w:val="20"/>
                <w:szCs w:val="20"/>
              </w:rPr>
              <w:t>P2</w:t>
            </w:r>
          </w:p>
        </w:tc>
        <w:tc>
          <w:tcPr>
            <w:tcW w:w="450" w:type="pct"/>
            <w:noWrap/>
          </w:tcPr>
          <w:p w14:paraId="2BEC6B93" w14:textId="77777777" w:rsidR="00EB1721" w:rsidRPr="008D0BAC" w:rsidRDefault="00EB1721">
            <w:pPr>
              <w:pStyle w:val="Tabletext"/>
              <w:rPr>
                <w:noProof/>
                <w:sz w:val="20"/>
                <w:szCs w:val="20"/>
              </w:rPr>
            </w:pPr>
            <w:r w:rsidRPr="008D0BAC">
              <w:rPr>
                <w:b/>
                <w:noProof/>
                <w:sz w:val="20"/>
                <w:szCs w:val="20"/>
              </w:rPr>
              <w:t>EW</w:t>
            </w:r>
          </w:p>
        </w:tc>
        <w:tc>
          <w:tcPr>
            <w:tcW w:w="450" w:type="pct"/>
            <w:noWrap/>
          </w:tcPr>
          <w:p w14:paraId="27E7A771" w14:textId="77777777" w:rsidR="00EB1721" w:rsidRPr="008D0BAC" w:rsidRDefault="00EB1721">
            <w:pPr>
              <w:pStyle w:val="Tabletext"/>
              <w:rPr>
                <w:noProof/>
                <w:sz w:val="20"/>
                <w:szCs w:val="20"/>
              </w:rPr>
            </w:pPr>
            <w:r w:rsidRPr="008D0BAC">
              <w:rPr>
                <w:b/>
                <w:noProof/>
                <w:sz w:val="20"/>
                <w:szCs w:val="20"/>
              </w:rPr>
              <w:t>P2</w:t>
            </w:r>
          </w:p>
        </w:tc>
        <w:tc>
          <w:tcPr>
            <w:tcW w:w="450" w:type="pct"/>
            <w:noWrap/>
          </w:tcPr>
          <w:p w14:paraId="7D0F6700" w14:textId="77777777" w:rsidR="00EB1721" w:rsidRPr="008D0BAC" w:rsidRDefault="00EB1721">
            <w:pPr>
              <w:pStyle w:val="Tabletext"/>
              <w:rPr>
                <w:noProof/>
                <w:sz w:val="20"/>
                <w:szCs w:val="20"/>
              </w:rPr>
            </w:pPr>
            <w:r w:rsidRPr="008D0BAC">
              <w:rPr>
                <w:b/>
                <w:noProof/>
                <w:sz w:val="20"/>
                <w:szCs w:val="20"/>
              </w:rPr>
              <w:t>EW</w:t>
            </w:r>
          </w:p>
        </w:tc>
        <w:tc>
          <w:tcPr>
            <w:tcW w:w="450" w:type="pct"/>
            <w:noWrap/>
          </w:tcPr>
          <w:p w14:paraId="52EF59BE" w14:textId="77777777" w:rsidR="00EB1721" w:rsidRPr="008D0BAC" w:rsidRDefault="00EB1721">
            <w:pPr>
              <w:pStyle w:val="Tabletext"/>
              <w:rPr>
                <w:noProof/>
                <w:sz w:val="20"/>
                <w:szCs w:val="20"/>
              </w:rPr>
            </w:pPr>
            <w:r w:rsidRPr="008D0BAC">
              <w:rPr>
                <w:b/>
                <w:noProof/>
                <w:sz w:val="20"/>
                <w:szCs w:val="20"/>
              </w:rPr>
              <w:t>P2</w:t>
            </w:r>
          </w:p>
        </w:tc>
        <w:tc>
          <w:tcPr>
            <w:tcW w:w="453" w:type="pct"/>
            <w:noWrap/>
          </w:tcPr>
          <w:p w14:paraId="4352B9D8" w14:textId="77777777" w:rsidR="00EB1721" w:rsidRPr="008D0BAC" w:rsidRDefault="00EB1721">
            <w:pPr>
              <w:pStyle w:val="Tabletext"/>
              <w:rPr>
                <w:noProof/>
                <w:sz w:val="20"/>
                <w:szCs w:val="20"/>
              </w:rPr>
            </w:pPr>
            <w:r w:rsidRPr="008D0BAC">
              <w:rPr>
                <w:b/>
                <w:noProof/>
                <w:sz w:val="20"/>
                <w:szCs w:val="20"/>
              </w:rPr>
              <w:t>EW</w:t>
            </w:r>
          </w:p>
        </w:tc>
        <w:tc>
          <w:tcPr>
            <w:tcW w:w="326" w:type="pct"/>
            <w:noWrap/>
          </w:tcPr>
          <w:p w14:paraId="57B07BEB" w14:textId="77777777" w:rsidR="00EB1721" w:rsidRPr="008D0BAC" w:rsidRDefault="00EB1721">
            <w:pPr>
              <w:pStyle w:val="Tabletext"/>
              <w:rPr>
                <w:noProof/>
                <w:sz w:val="20"/>
                <w:szCs w:val="20"/>
              </w:rPr>
            </w:pPr>
            <w:r w:rsidRPr="008D0BAC">
              <w:rPr>
                <w:b/>
                <w:noProof/>
                <w:sz w:val="20"/>
                <w:szCs w:val="20"/>
              </w:rPr>
              <w:t>P2</w:t>
            </w:r>
          </w:p>
        </w:tc>
      </w:tr>
      <w:tr w:rsidR="00A917C6" w:rsidRPr="003A32E9" w14:paraId="77689BCB" w14:textId="77777777" w:rsidTr="00A917C6">
        <w:trPr>
          <w:trHeight w:val="296"/>
        </w:trPr>
        <w:tc>
          <w:tcPr>
            <w:tcW w:w="692" w:type="pct"/>
            <w:shd w:val="clear" w:color="auto" w:fill="F2F2F2" w:themeFill="background1" w:themeFillShade="F2"/>
            <w:noWrap/>
            <w:vAlign w:val="bottom"/>
          </w:tcPr>
          <w:p w14:paraId="08A15B96" w14:textId="77777777" w:rsidR="00EB1721" w:rsidRPr="008D0BAC" w:rsidRDefault="00EB1721">
            <w:pPr>
              <w:pStyle w:val="Tabletext"/>
              <w:rPr>
                <w:b/>
                <w:noProof/>
                <w:sz w:val="20"/>
                <w:szCs w:val="20"/>
              </w:rPr>
            </w:pPr>
            <w:r w:rsidRPr="008D0BAC">
              <w:rPr>
                <w:b/>
                <w:noProof/>
                <w:sz w:val="20"/>
                <w:szCs w:val="20"/>
              </w:rPr>
              <w:t>Baseline – P2</w:t>
            </w:r>
          </w:p>
        </w:tc>
        <w:tc>
          <w:tcPr>
            <w:tcW w:w="373" w:type="pct"/>
            <w:shd w:val="clear" w:color="auto" w:fill="F2F2F2" w:themeFill="background1" w:themeFillShade="F2"/>
            <w:noWrap/>
          </w:tcPr>
          <w:p w14:paraId="31432DAF" w14:textId="77777777" w:rsidR="00EB1721" w:rsidRPr="008D0BAC" w:rsidRDefault="00EB1721">
            <w:pPr>
              <w:pStyle w:val="Tabletext"/>
              <w:rPr>
                <w:noProof/>
                <w:sz w:val="20"/>
                <w:szCs w:val="20"/>
              </w:rPr>
            </w:pPr>
            <w:r w:rsidRPr="008D0BAC">
              <w:rPr>
                <w:noProof/>
                <w:sz w:val="20"/>
                <w:szCs w:val="20"/>
              </w:rPr>
              <w:t>-0.318</w:t>
            </w:r>
          </w:p>
        </w:tc>
        <w:tc>
          <w:tcPr>
            <w:tcW w:w="453" w:type="pct"/>
            <w:shd w:val="clear" w:color="auto" w:fill="F2F2F2" w:themeFill="background1" w:themeFillShade="F2"/>
            <w:noWrap/>
          </w:tcPr>
          <w:p w14:paraId="793C6225" w14:textId="77777777" w:rsidR="00EB1721" w:rsidRPr="008D0BAC" w:rsidRDefault="00EB1721">
            <w:pPr>
              <w:pStyle w:val="Tabletext"/>
              <w:rPr>
                <w:noProof/>
                <w:sz w:val="20"/>
                <w:szCs w:val="20"/>
              </w:rPr>
            </w:pPr>
            <w:r w:rsidRPr="008D0BAC">
              <w:rPr>
                <w:noProof/>
                <w:sz w:val="20"/>
                <w:szCs w:val="20"/>
              </w:rPr>
              <w:t>-0.475</w:t>
            </w:r>
          </w:p>
        </w:tc>
        <w:tc>
          <w:tcPr>
            <w:tcW w:w="450" w:type="pct"/>
            <w:shd w:val="clear" w:color="auto" w:fill="F2F2F2" w:themeFill="background1" w:themeFillShade="F2"/>
            <w:noWrap/>
          </w:tcPr>
          <w:p w14:paraId="1C8E21E6" w14:textId="77777777" w:rsidR="00EB1721" w:rsidRPr="008D0BAC" w:rsidRDefault="00EB1721">
            <w:pPr>
              <w:pStyle w:val="Tabletext"/>
              <w:rPr>
                <w:noProof/>
                <w:sz w:val="20"/>
                <w:szCs w:val="20"/>
              </w:rPr>
            </w:pPr>
            <w:r w:rsidRPr="008D0BAC">
              <w:rPr>
                <w:noProof/>
                <w:sz w:val="20"/>
                <w:szCs w:val="20"/>
              </w:rPr>
              <w:t>0.143</w:t>
            </w:r>
          </w:p>
        </w:tc>
        <w:tc>
          <w:tcPr>
            <w:tcW w:w="450" w:type="pct"/>
            <w:shd w:val="clear" w:color="auto" w:fill="F2F2F2" w:themeFill="background1" w:themeFillShade="F2"/>
            <w:noWrap/>
          </w:tcPr>
          <w:p w14:paraId="13B74328" w14:textId="77777777" w:rsidR="00EB1721" w:rsidRPr="008D0BAC" w:rsidRDefault="00EB1721">
            <w:pPr>
              <w:pStyle w:val="Tabletext"/>
              <w:rPr>
                <w:noProof/>
                <w:sz w:val="20"/>
                <w:szCs w:val="20"/>
              </w:rPr>
            </w:pPr>
            <w:r w:rsidRPr="008D0BAC">
              <w:rPr>
                <w:noProof/>
                <w:sz w:val="20"/>
                <w:szCs w:val="20"/>
              </w:rPr>
              <w:t>0.053</w:t>
            </w:r>
          </w:p>
        </w:tc>
        <w:tc>
          <w:tcPr>
            <w:tcW w:w="450" w:type="pct"/>
            <w:shd w:val="clear" w:color="auto" w:fill="F2F2F2" w:themeFill="background1" w:themeFillShade="F2"/>
            <w:noWrap/>
          </w:tcPr>
          <w:p w14:paraId="78981DC2" w14:textId="77777777" w:rsidR="00EB1721" w:rsidRPr="008D0BAC" w:rsidRDefault="00EB1721">
            <w:pPr>
              <w:pStyle w:val="Tabletext"/>
              <w:rPr>
                <w:noProof/>
                <w:sz w:val="20"/>
                <w:szCs w:val="20"/>
              </w:rPr>
            </w:pPr>
            <w:r w:rsidRPr="008D0BAC">
              <w:rPr>
                <w:noProof/>
                <w:sz w:val="20"/>
                <w:szCs w:val="20"/>
              </w:rPr>
              <w:t>-0.125</w:t>
            </w:r>
          </w:p>
        </w:tc>
        <w:tc>
          <w:tcPr>
            <w:tcW w:w="450" w:type="pct"/>
            <w:shd w:val="clear" w:color="auto" w:fill="F2F2F2" w:themeFill="background1" w:themeFillShade="F2"/>
            <w:noWrap/>
          </w:tcPr>
          <w:p w14:paraId="7EBA9F92" w14:textId="77777777" w:rsidR="00EB1721" w:rsidRPr="008D0BAC" w:rsidRDefault="00EB1721">
            <w:pPr>
              <w:pStyle w:val="Tabletext"/>
              <w:rPr>
                <w:noProof/>
                <w:sz w:val="20"/>
                <w:szCs w:val="20"/>
              </w:rPr>
            </w:pPr>
            <w:r w:rsidRPr="008D0BAC">
              <w:rPr>
                <w:noProof/>
                <w:sz w:val="20"/>
                <w:szCs w:val="20"/>
              </w:rPr>
              <w:t>-0.025</w:t>
            </w:r>
          </w:p>
        </w:tc>
        <w:tc>
          <w:tcPr>
            <w:tcW w:w="450" w:type="pct"/>
            <w:shd w:val="clear" w:color="auto" w:fill="F2F2F2" w:themeFill="background1" w:themeFillShade="F2"/>
            <w:noWrap/>
          </w:tcPr>
          <w:p w14:paraId="5888AD3B" w14:textId="77777777" w:rsidR="00EB1721" w:rsidRPr="008D0BAC" w:rsidRDefault="00EB1721">
            <w:pPr>
              <w:pStyle w:val="Tabletext"/>
              <w:rPr>
                <w:noProof/>
                <w:sz w:val="20"/>
                <w:szCs w:val="20"/>
              </w:rPr>
            </w:pPr>
            <w:r w:rsidRPr="008D0BAC">
              <w:rPr>
                <w:noProof/>
                <w:sz w:val="20"/>
                <w:szCs w:val="20"/>
              </w:rPr>
              <w:t>0.000</w:t>
            </w:r>
          </w:p>
        </w:tc>
        <w:tc>
          <w:tcPr>
            <w:tcW w:w="450" w:type="pct"/>
            <w:shd w:val="clear" w:color="auto" w:fill="F2F2F2" w:themeFill="background1" w:themeFillShade="F2"/>
            <w:noWrap/>
          </w:tcPr>
          <w:p w14:paraId="0E6AA0C1" w14:textId="77777777" w:rsidR="00EB1721" w:rsidRPr="008D0BAC" w:rsidRDefault="00EB1721">
            <w:pPr>
              <w:pStyle w:val="Tabletext"/>
              <w:rPr>
                <w:noProof/>
                <w:sz w:val="20"/>
                <w:szCs w:val="20"/>
              </w:rPr>
            </w:pPr>
            <w:r w:rsidRPr="008D0BAC">
              <w:rPr>
                <w:noProof/>
                <w:sz w:val="20"/>
                <w:szCs w:val="20"/>
              </w:rPr>
              <w:t>0.004</w:t>
            </w:r>
          </w:p>
        </w:tc>
        <w:tc>
          <w:tcPr>
            <w:tcW w:w="453" w:type="pct"/>
            <w:shd w:val="clear" w:color="auto" w:fill="F2F2F2" w:themeFill="background1" w:themeFillShade="F2"/>
            <w:noWrap/>
          </w:tcPr>
          <w:p w14:paraId="2BA5CA4E" w14:textId="77777777" w:rsidR="00EB1721" w:rsidRPr="008D0BAC" w:rsidRDefault="00EB1721">
            <w:pPr>
              <w:pStyle w:val="Tabletext"/>
              <w:rPr>
                <w:noProof/>
                <w:sz w:val="20"/>
                <w:szCs w:val="20"/>
              </w:rPr>
            </w:pPr>
            <w:r w:rsidRPr="008D0BAC">
              <w:rPr>
                <w:noProof/>
                <w:sz w:val="20"/>
                <w:szCs w:val="20"/>
              </w:rPr>
              <w:t>-0.300</w:t>
            </w:r>
          </w:p>
        </w:tc>
        <w:tc>
          <w:tcPr>
            <w:tcW w:w="326" w:type="pct"/>
            <w:shd w:val="clear" w:color="auto" w:fill="F2F2F2" w:themeFill="background1" w:themeFillShade="F2"/>
            <w:noWrap/>
          </w:tcPr>
          <w:p w14:paraId="124EE309" w14:textId="77777777" w:rsidR="00EB1721" w:rsidRPr="008D0BAC" w:rsidRDefault="00EB1721">
            <w:pPr>
              <w:pStyle w:val="Tabletext"/>
              <w:rPr>
                <w:noProof/>
                <w:sz w:val="20"/>
                <w:szCs w:val="20"/>
              </w:rPr>
            </w:pPr>
            <w:r w:rsidRPr="008D0BAC">
              <w:rPr>
                <w:noProof/>
                <w:sz w:val="20"/>
                <w:szCs w:val="20"/>
              </w:rPr>
              <w:t>-0.443</w:t>
            </w:r>
          </w:p>
        </w:tc>
      </w:tr>
      <w:tr w:rsidR="00EB1721" w:rsidRPr="003A32E9" w14:paraId="22F29149" w14:textId="77777777" w:rsidTr="00B05194">
        <w:trPr>
          <w:trHeight w:val="296"/>
        </w:trPr>
        <w:tc>
          <w:tcPr>
            <w:tcW w:w="692" w:type="pct"/>
            <w:noWrap/>
            <w:vAlign w:val="bottom"/>
          </w:tcPr>
          <w:p w14:paraId="032DBE8D" w14:textId="3D0936DA"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A</w:t>
            </w:r>
          </w:p>
        </w:tc>
        <w:tc>
          <w:tcPr>
            <w:tcW w:w="373" w:type="pct"/>
            <w:noWrap/>
          </w:tcPr>
          <w:p w14:paraId="0CF3C7D2" w14:textId="50702B71" w:rsidR="00EB1721" w:rsidRPr="008D0BAC" w:rsidRDefault="00EB1721">
            <w:pPr>
              <w:pStyle w:val="Tabletext"/>
              <w:rPr>
                <w:noProof/>
                <w:sz w:val="20"/>
                <w:szCs w:val="20"/>
              </w:rPr>
            </w:pPr>
            <w:r w:rsidRPr="008D0BAC">
              <w:rPr>
                <w:noProof/>
                <w:sz w:val="20"/>
                <w:szCs w:val="20"/>
              </w:rPr>
              <w:t>-0.</w:t>
            </w:r>
            <w:r w:rsidR="005C0EB6" w:rsidRPr="003E2E64">
              <w:rPr>
                <w:noProof/>
                <w:sz w:val="20"/>
                <w:szCs w:val="32"/>
              </w:rPr>
              <w:t>1</w:t>
            </w:r>
            <w:r w:rsidR="005C0EB6">
              <w:rPr>
                <w:noProof/>
                <w:sz w:val="20"/>
                <w:szCs w:val="32"/>
              </w:rPr>
              <w:t>53</w:t>
            </w:r>
          </w:p>
        </w:tc>
        <w:tc>
          <w:tcPr>
            <w:tcW w:w="453" w:type="pct"/>
            <w:noWrap/>
          </w:tcPr>
          <w:p w14:paraId="7F45774A" w14:textId="7A3F8063" w:rsidR="00EB1721" w:rsidRPr="008D0BAC" w:rsidRDefault="00EB1721">
            <w:pPr>
              <w:pStyle w:val="Tabletext"/>
              <w:rPr>
                <w:noProof/>
                <w:sz w:val="20"/>
                <w:szCs w:val="20"/>
              </w:rPr>
            </w:pPr>
            <w:r w:rsidRPr="008D0BAC">
              <w:rPr>
                <w:noProof/>
                <w:sz w:val="20"/>
                <w:szCs w:val="20"/>
              </w:rPr>
              <w:t>-0.</w:t>
            </w:r>
            <w:r w:rsidR="005C0EB6" w:rsidRPr="003E2E64">
              <w:rPr>
                <w:noProof/>
                <w:sz w:val="20"/>
                <w:szCs w:val="32"/>
              </w:rPr>
              <w:t>1</w:t>
            </w:r>
            <w:r w:rsidR="005C0EB6">
              <w:rPr>
                <w:noProof/>
                <w:sz w:val="20"/>
                <w:szCs w:val="32"/>
              </w:rPr>
              <w:t>80</w:t>
            </w:r>
          </w:p>
        </w:tc>
        <w:tc>
          <w:tcPr>
            <w:tcW w:w="450" w:type="pct"/>
            <w:noWrap/>
          </w:tcPr>
          <w:p w14:paraId="26FE44F7" w14:textId="77777777" w:rsidR="00EB1721" w:rsidRPr="008D0BAC" w:rsidRDefault="00EB1721">
            <w:pPr>
              <w:pStyle w:val="Tabletext"/>
              <w:rPr>
                <w:noProof/>
                <w:sz w:val="20"/>
                <w:szCs w:val="20"/>
              </w:rPr>
            </w:pPr>
            <w:r w:rsidRPr="008D0BAC">
              <w:rPr>
                <w:noProof/>
                <w:sz w:val="20"/>
                <w:szCs w:val="20"/>
              </w:rPr>
              <w:t>0.157</w:t>
            </w:r>
          </w:p>
        </w:tc>
        <w:tc>
          <w:tcPr>
            <w:tcW w:w="450" w:type="pct"/>
            <w:noWrap/>
          </w:tcPr>
          <w:p w14:paraId="03A88270" w14:textId="77777777" w:rsidR="00EB1721" w:rsidRPr="008D0BAC" w:rsidRDefault="00EB1721">
            <w:pPr>
              <w:pStyle w:val="Tabletext"/>
              <w:rPr>
                <w:noProof/>
                <w:sz w:val="20"/>
                <w:szCs w:val="20"/>
              </w:rPr>
            </w:pPr>
            <w:r w:rsidRPr="008D0BAC">
              <w:rPr>
                <w:noProof/>
                <w:sz w:val="20"/>
                <w:szCs w:val="20"/>
              </w:rPr>
              <w:t>0.392</w:t>
            </w:r>
          </w:p>
        </w:tc>
        <w:tc>
          <w:tcPr>
            <w:tcW w:w="450" w:type="pct"/>
            <w:noWrap/>
          </w:tcPr>
          <w:p w14:paraId="72A0B9D5" w14:textId="77777777" w:rsidR="00EB1721" w:rsidRPr="008D0BAC" w:rsidRDefault="00EB1721">
            <w:pPr>
              <w:pStyle w:val="Tabletext"/>
              <w:rPr>
                <w:noProof/>
                <w:sz w:val="20"/>
                <w:szCs w:val="20"/>
              </w:rPr>
            </w:pPr>
            <w:r w:rsidRPr="008D0BAC">
              <w:rPr>
                <w:noProof/>
                <w:sz w:val="20"/>
                <w:szCs w:val="20"/>
              </w:rPr>
              <w:t>-0.016</w:t>
            </w:r>
          </w:p>
        </w:tc>
        <w:tc>
          <w:tcPr>
            <w:tcW w:w="450" w:type="pct"/>
            <w:noWrap/>
          </w:tcPr>
          <w:p w14:paraId="1B061498" w14:textId="77777777" w:rsidR="00EB1721" w:rsidRPr="008D0BAC" w:rsidRDefault="00EB1721">
            <w:pPr>
              <w:pStyle w:val="Tabletext"/>
              <w:rPr>
                <w:noProof/>
                <w:sz w:val="20"/>
                <w:szCs w:val="20"/>
              </w:rPr>
            </w:pPr>
            <w:r w:rsidRPr="008D0BAC">
              <w:rPr>
                <w:noProof/>
                <w:sz w:val="20"/>
                <w:szCs w:val="20"/>
              </w:rPr>
              <w:t>-0.003</w:t>
            </w:r>
          </w:p>
        </w:tc>
        <w:tc>
          <w:tcPr>
            <w:tcW w:w="450" w:type="pct"/>
            <w:noWrap/>
          </w:tcPr>
          <w:p w14:paraId="5350DA91" w14:textId="77777777" w:rsidR="00EB1721" w:rsidRPr="008D0BAC" w:rsidRDefault="00EB1721">
            <w:pPr>
              <w:pStyle w:val="Tabletext"/>
              <w:rPr>
                <w:noProof/>
                <w:sz w:val="20"/>
                <w:szCs w:val="20"/>
              </w:rPr>
            </w:pPr>
            <w:r w:rsidRPr="008D0BAC">
              <w:rPr>
                <w:noProof/>
                <w:sz w:val="20"/>
                <w:szCs w:val="20"/>
              </w:rPr>
              <w:t>0.195</w:t>
            </w:r>
          </w:p>
        </w:tc>
        <w:tc>
          <w:tcPr>
            <w:tcW w:w="450" w:type="pct"/>
            <w:noWrap/>
          </w:tcPr>
          <w:p w14:paraId="5FDDD43A" w14:textId="77777777" w:rsidR="00EB1721" w:rsidRPr="008D0BAC" w:rsidRDefault="00EB1721">
            <w:pPr>
              <w:pStyle w:val="Tabletext"/>
              <w:rPr>
                <w:noProof/>
                <w:sz w:val="20"/>
                <w:szCs w:val="20"/>
              </w:rPr>
            </w:pPr>
            <w:r w:rsidRPr="008D0BAC">
              <w:rPr>
                <w:noProof/>
                <w:sz w:val="20"/>
                <w:szCs w:val="20"/>
              </w:rPr>
              <w:t>0.039</w:t>
            </w:r>
          </w:p>
        </w:tc>
        <w:tc>
          <w:tcPr>
            <w:tcW w:w="453" w:type="pct"/>
            <w:noWrap/>
          </w:tcPr>
          <w:p w14:paraId="5C238FF5" w14:textId="712D5D35"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1</w:t>
            </w:r>
            <w:r w:rsidR="00AF6421">
              <w:rPr>
                <w:noProof/>
                <w:sz w:val="20"/>
                <w:szCs w:val="32"/>
              </w:rPr>
              <w:t>84</w:t>
            </w:r>
          </w:p>
        </w:tc>
        <w:tc>
          <w:tcPr>
            <w:tcW w:w="326" w:type="pct"/>
            <w:noWrap/>
          </w:tcPr>
          <w:p w14:paraId="5B569081" w14:textId="745DB535"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2</w:t>
            </w:r>
            <w:r w:rsidR="00AF6421">
              <w:rPr>
                <w:noProof/>
                <w:sz w:val="20"/>
                <w:szCs w:val="32"/>
              </w:rPr>
              <w:t>47</w:t>
            </w:r>
          </w:p>
        </w:tc>
      </w:tr>
      <w:tr w:rsidR="00EB1721" w:rsidRPr="003A32E9" w14:paraId="5817A1C6" w14:textId="77777777" w:rsidTr="00B05194">
        <w:trPr>
          <w:trHeight w:val="296"/>
        </w:trPr>
        <w:tc>
          <w:tcPr>
            <w:tcW w:w="692" w:type="pct"/>
            <w:noWrap/>
            <w:vAlign w:val="bottom"/>
          </w:tcPr>
          <w:p w14:paraId="4EBC70FD" w14:textId="2AB9DFD8"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B</w:t>
            </w:r>
          </w:p>
        </w:tc>
        <w:tc>
          <w:tcPr>
            <w:tcW w:w="373" w:type="pct"/>
            <w:noWrap/>
          </w:tcPr>
          <w:p w14:paraId="2E478116" w14:textId="49FDB54E" w:rsidR="00EB1721" w:rsidRPr="008D0BAC" w:rsidRDefault="00EB1721">
            <w:pPr>
              <w:pStyle w:val="Tabletext"/>
              <w:rPr>
                <w:noProof/>
                <w:sz w:val="20"/>
                <w:szCs w:val="20"/>
              </w:rPr>
            </w:pPr>
            <w:r w:rsidRPr="008D0BAC">
              <w:rPr>
                <w:noProof/>
                <w:sz w:val="20"/>
                <w:szCs w:val="20"/>
              </w:rPr>
              <w:t>-0.</w:t>
            </w:r>
            <w:r w:rsidR="005C0EB6" w:rsidRPr="003E2E64">
              <w:rPr>
                <w:noProof/>
                <w:sz w:val="20"/>
                <w:szCs w:val="32"/>
              </w:rPr>
              <w:t>0</w:t>
            </w:r>
            <w:r w:rsidR="005C0EB6">
              <w:rPr>
                <w:noProof/>
                <w:sz w:val="20"/>
                <w:szCs w:val="32"/>
              </w:rPr>
              <w:t>24</w:t>
            </w:r>
          </w:p>
        </w:tc>
        <w:tc>
          <w:tcPr>
            <w:tcW w:w="453" w:type="pct"/>
            <w:noWrap/>
          </w:tcPr>
          <w:p w14:paraId="08300768" w14:textId="25213F57" w:rsidR="00EB1721" w:rsidRPr="008D0BAC" w:rsidRDefault="00EB1721">
            <w:pPr>
              <w:pStyle w:val="Tabletext"/>
              <w:rPr>
                <w:noProof/>
                <w:sz w:val="20"/>
                <w:szCs w:val="20"/>
              </w:rPr>
            </w:pPr>
            <w:r w:rsidRPr="008D0BAC">
              <w:rPr>
                <w:noProof/>
                <w:sz w:val="20"/>
                <w:szCs w:val="20"/>
              </w:rPr>
              <w:t>0.</w:t>
            </w:r>
            <w:r w:rsidR="005C0EB6">
              <w:rPr>
                <w:noProof/>
                <w:sz w:val="20"/>
                <w:szCs w:val="32"/>
              </w:rPr>
              <w:t>075</w:t>
            </w:r>
          </w:p>
        </w:tc>
        <w:tc>
          <w:tcPr>
            <w:tcW w:w="450" w:type="pct"/>
            <w:noWrap/>
          </w:tcPr>
          <w:p w14:paraId="3598CF2A" w14:textId="77777777" w:rsidR="00EB1721" w:rsidRPr="008D0BAC" w:rsidRDefault="00EB1721">
            <w:pPr>
              <w:pStyle w:val="Tabletext"/>
              <w:rPr>
                <w:noProof/>
                <w:sz w:val="20"/>
                <w:szCs w:val="20"/>
              </w:rPr>
            </w:pPr>
            <w:r w:rsidRPr="008D0BAC">
              <w:rPr>
                <w:noProof/>
                <w:sz w:val="20"/>
                <w:szCs w:val="20"/>
              </w:rPr>
              <w:t>0.146</w:t>
            </w:r>
          </w:p>
        </w:tc>
        <w:tc>
          <w:tcPr>
            <w:tcW w:w="450" w:type="pct"/>
            <w:noWrap/>
          </w:tcPr>
          <w:p w14:paraId="42504271" w14:textId="77777777" w:rsidR="00EB1721" w:rsidRPr="008D0BAC" w:rsidRDefault="00EB1721">
            <w:pPr>
              <w:pStyle w:val="Tabletext"/>
              <w:rPr>
                <w:noProof/>
                <w:sz w:val="20"/>
                <w:szCs w:val="20"/>
              </w:rPr>
            </w:pPr>
            <w:r w:rsidRPr="008D0BAC">
              <w:rPr>
                <w:noProof/>
                <w:sz w:val="20"/>
                <w:szCs w:val="20"/>
              </w:rPr>
              <w:t>0.318</w:t>
            </w:r>
          </w:p>
        </w:tc>
        <w:tc>
          <w:tcPr>
            <w:tcW w:w="450" w:type="pct"/>
            <w:noWrap/>
          </w:tcPr>
          <w:p w14:paraId="1C11CE22" w14:textId="77777777" w:rsidR="00EB1721" w:rsidRPr="008D0BAC" w:rsidRDefault="00EB1721">
            <w:pPr>
              <w:pStyle w:val="Tabletext"/>
              <w:rPr>
                <w:noProof/>
                <w:sz w:val="20"/>
                <w:szCs w:val="20"/>
              </w:rPr>
            </w:pPr>
            <w:r w:rsidRPr="008D0BAC">
              <w:rPr>
                <w:noProof/>
                <w:sz w:val="20"/>
                <w:szCs w:val="20"/>
              </w:rPr>
              <w:t>-0.022</w:t>
            </w:r>
          </w:p>
        </w:tc>
        <w:tc>
          <w:tcPr>
            <w:tcW w:w="450" w:type="pct"/>
            <w:noWrap/>
          </w:tcPr>
          <w:p w14:paraId="721DA319" w14:textId="77777777" w:rsidR="00EB1721" w:rsidRPr="008D0BAC" w:rsidRDefault="00EB1721">
            <w:pPr>
              <w:pStyle w:val="Tabletext"/>
              <w:rPr>
                <w:noProof/>
                <w:sz w:val="20"/>
                <w:szCs w:val="20"/>
              </w:rPr>
            </w:pPr>
            <w:r w:rsidRPr="008D0BAC">
              <w:rPr>
                <w:noProof/>
                <w:sz w:val="20"/>
                <w:szCs w:val="20"/>
              </w:rPr>
              <w:t>-0.004</w:t>
            </w:r>
          </w:p>
        </w:tc>
        <w:tc>
          <w:tcPr>
            <w:tcW w:w="450" w:type="pct"/>
            <w:noWrap/>
          </w:tcPr>
          <w:p w14:paraId="7606F17C" w14:textId="77777777" w:rsidR="00EB1721" w:rsidRPr="008D0BAC" w:rsidRDefault="00EB1721">
            <w:pPr>
              <w:pStyle w:val="Tabletext"/>
              <w:rPr>
                <w:noProof/>
                <w:sz w:val="20"/>
                <w:szCs w:val="20"/>
              </w:rPr>
            </w:pPr>
            <w:r w:rsidRPr="008D0BAC">
              <w:rPr>
                <w:noProof/>
                <w:sz w:val="20"/>
                <w:szCs w:val="20"/>
              </w:rPr>
              <w:t>0.116</w:t>
            </w:r>
          </w:p>
        </w:tc>
        <w:tc>
          <w:tcPr>
            <w:tcW w:w="450" w:type="pct"/>
            <w:noWrap/>
          </w:tcPr>
          <w:p w14:paraId="036B288C" w14:textId="77777777" w:rsidR="00EB1721" w:rsidRPr="008D0BAC" w:rsidRDefault="00EB1721">
            <w:pPr>
              <w:pStyle w:val="Tabletext"/>
              <w:rPr>
                <w:noProof/>
                <w:sz w:val="20"/>
                <w:szCs w:val="20"/>
              </w:rPr>
            </w:pPr>
            <w:r w:rsidRPr="008D0BAC">
              <w:rPr>
                <w:noProof/>
                <w:sz w:val="20"/>
                <w:szCs w:val="20"/>
              </w:rPr>
              <w:t>0.023</w:t>
            </w:r>
          </w:p>
        </w:tc>
        <w:tc>
          <w:tcPr>
            <w:tcW w:w="453" w:type="pct"/>
            <w:noWrap/>
          </w:tcPr>
          <w:p w14:paraId="40FF3822" w14:textId="0787A375"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2</w:t>
            </w:r>
            <w:r w:rsidR="00AF6421">
              <w:rPr>
                <w:noProof/>
                <w:sz w:val="20"/>
                <w:szCs w:val="32"/>
              </w:rPr>
              <w:t>15</w:t>
            </w:r>
          </w:p>
        </w:tc>
        <w:tc>
          <w:tcPr>
            <w:tcW w:w="326" w:type="pct"/>
            <w:noWrap/>
          </w:tcPr>
          <w:p w14:paraId="1A194FD0" w14:textId="7996717A"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4</w:t>
            </w:r>
            <w:r w:rsidR="00AF6421">
              <w:rPr>
                <w:noProof/>
                <w:sz w:val="20"/>
                <w:szCs w:val="32"/>
              </w:rPr>
              <w:t>13</w:t>
            </w:r>
          </w:p>
        </w:tc>
      </w:tr>
      <w:tr w:rsidR="00EB1721" w:rsidRPr="003A32E9" w14:paraId="3B96EDA0" w14:textId="77777777" w:rsidTr="00B05194">
        <w:trPr>
          <w:trHeight w:val="296"/>
        </w:trPr>
        <w:tc>
          <w:tcPr>
            <w:tcW w:w="692" w:type="pct"/>
            <w:noWrap/>
            <w:vAlign w:val="bottom"/>
          </w:tcPr>
          <w:p w14:paraId="1DA60026" w14:textId="0C281EF8" w:rsidR="00EB1721" w:rsidRPr="008D0BAC" w:rsidRDefault="00EB1721">
            <w:pPr>
              <w:pStyle w:val="Tabletext"/>
              <w:rPr>
                <w:b/>
                <w:noProof/>
                <w:sz w:val="20"/>
                <w:szCs w:val="20"/>
              </w:rPr>
            </w:pPr>
            <w:r w:rsidRPr="008D0BAC">
              <w:rPr>
                <w:b/>
                <w:noProof/>
                <w:sz w:val="20"/>
                <w:szCs w:val="20"/>
              </w:rPr>
              <w:t>PO2</w:t>
            </w:r>
            <w:r w:rsidR="00F76D76">
              <w:rPr>
                <w:b/>
                <w:noProof/>
                <w:sz w:val="20"/>
                <w:szCs w:val="20"/>
              </w:rPr>
              <w:t>-</w:t>
            </w:r>
            <w:r w:rsidRPr="008D0BAC">
              <w:rPr>
                <w:b/>
                <w:noProof/>
                <w:sz w:val="20"/>
                <w:szCs w:val="20"/>
              </w:rPr>
              <w:t>C</w:t>
            </w:r>
          </w:p>
        </w:tc>
        <w:tc>
          <w:tcPr>
            <w:tcW w:w="373" w:type="pct"/>
            <w:noWrap/>
          </w:tcPr>
          <w:p w14:paraId="046075C5" w14:textId="1B8C5B72" w:rsidR="00EB1721" w:rsidRPr="008D0BAC" w:rsidRDefault="00EB1721">
            <w:pPr>
              <w:pStyle w:val="Tabletext"/>
              <w:rPr>
                <w:noProof/>
                <w:sz w:val="20"/>
                <w:szCs w:val="20"/>
              </w:rPr>
            </w:pPr>
            <w:r w:rsidRPr="008D0BAC">
              <w:rPr>
                <w:noProof/>
                <w:sz w:val="20"/>
                <w:szCs w:val="20"/>
              </w:rPr>
              <w:t>-0.</w:t>
            </w:r>
            <w:r w:rsidR="005C0EB6" w:rsidRPr="003E2E64">
              <w:rPr>
                <w:noProof/>
                <w:sz w:val="20"/>
                <w:szCs w:val="32"/>
              </w:rPr>
              <w:t>0</w:t>
            </w:r>
            <w:r w:rsidR="005C0EB6">
              <w:rPr>
                <w:noProof/>
                <w:sz w:val="20"/>
                <w:szCs w:val="32"/>
              </w:rPr>
              <w:t>30</w:t>
            </w:r>
          </w:p>
        </w:tc>
        <w:tc>
          <w:tcPr>
            <w:tcW w:w="453" w:type="pct"/>
            <w:noWrap/>
          </w:tcPr>
          <w:p w14:paraId="0392B061" w14:textId="729CDD48" w:rsidR="00EB1721" w:rsidRPr="008D0BAC" w:rsidRDefault="00EB1721">
            <w:pPr>
              <w:pStyle w:val="Tabletext"/>
              <w:rPr>
                <w:noProof/>
                <w:sz w:val="20"/>
                <w:szCs w:val="20"/>
              </w:rPr>
            </w:pPr>
            <w:r w:rsidRPr="008D0BAC">
              <w:rPr>
                <w:noProof/>
                <w:sz w:val="20"/>
                <w:szCs w:val="20"/>
              </w:rPr>
              <w:t>0.</w:t>
            </w:r>
            <w:r w:rsidR="005C0EB6" w:rsidRPr="003E2E64">
              <w:rPr>
                <w:noProof/>
                <w:sz w:val="20"/>
                <w:szCs w:val="32"/>
              </w:rPr>
              <w:t>1</w:t>
            </w:r>
            <w:r w:rsidR="005C0EB6">
              <w:rPr>
                <w:noProof/>
                <w:sz w:val="20"/>
                <w:szCs w:val="32"/>
              </w:rPr>
              <w:t>11</w:t>
            </w:r>
          </w:p>
        </w:tc>
        <w:tc>
          <w:tcPr>
            <w:tcW w:w="450" w:type="pct"/>
            <w:noWrap/>
          </w:tcPr>
          <w:p w14:paraId="2D853A5A" w14:textId="725B9016" w:rsidR="00EB1721" w:rsidRPr="008D0BAC" w:rsidRDefault="00EB1721">
            <w:pPr>
              <w:pStyle w:val="Tabletext"/>
              <w:rPr>
                <w:noProof/>
                <w:sz w:val="20"/>
                <w:szCs w:val="20"/>
              </w:rPr>
            </w:pPr>
            <w:r w:rsidRPr="008D0BAC">
              <w:rPr>
                <w:noProof/>
                <w:sz w:val="20"/>
                <w:szCs w:val="20"/>
              </w:rPr>
              <w:t>0.</w:t>
            </w:r>
            <w:r w:rsidR="003E2E64" w:rsidRPr="003E2E64">
              <w:rPr>
                <w:noProof/>
                <w:sz w:val="20"/>
                <w:szCs w:val="32"/>
              </w:rPr>
              <w:t>129</w:t>
            </w:r>
          </w:p>
        </w:tc>
        <w:tc>
          <w:tcPr>
            <w:tcW w:w="450" w:type="pct"/>
            <w:noWrap/>
          </w:tcPr>
          <w:p w14:paraId="6B1C629D" w14:textId="2BA1DCC3" w:rsidR="00EB1721" w:rsidRPr="008D0BAC" w:rsidRDefault="00EB1721">
            <w:pPr>
              <w:pStyle w:val="Tabletext"/>
              <w:rPr>
                <w:noProof/>
                <w:sz w:val="20"/>
                <w:szCs w:val="20"/>
              </w:rPr>
            </w:pPr>
            <w:r w:rsidRPr="008D0BAC">
              <w:rPr>
                <w:noProof/>
                <w:sz w:val="20"/>
                <w:szCs w:val="20"/>
              </w:rPr>
              <w:t>0.</w:t>
            </w:r>
            <w:r w:rsidR="003E2E64" w:rsidRPr="003E2E64">
              <w:rPr>
                <w:noProof/>
                <w:sz w:val="20"/>
                <w:szCs w:val="32"/>
              </w:rPr>
              <w:t>307</w:t>
            </w:r>
          </w:p>
        </w:tc>
        <w:tc>
          <w:tcPr>
            <w:tcW w:w="450" w:type="pct"/>
            <w:noWrap/>
          </w:tcPr>
          <w:p w14:paraId="3B000BA9" w14:textId="1A7B2EF8" w:rsidR="00EB1721" w:rsidRPr="008D0BAC" w:rsidRDefault="00EB1721">
            <w:pPr>
              <w:pStyle w:val="Tabletext"/>
              <w:rPr>
                <w:noProof/>
                <w:sz w:val="20"/>
                <w:szCs w:val="20"/>
              </w:rPr>
            </w:pPr>
            <w:r w:rsidRPr="008D0BAC">
              <w:rPr>
                <w:noProof/>
                <w:sz w:val="20"/>
                <w:szCs w:val="20"/>
              </w:rPr>
              <w:t>-0.</w:t>
            </w:r>
            <w:r w:rsidR="003E2E64" w:rsidRPr="003E2E64">
              <w:rPr>
                <w:noProof/>
                <w:sz w:val="20"/>
                <w:szCs w:val="32"/>
              </w:rPr>
              <w:t>025</w:t>
            </w:r>
          </w:p>
        </w:tc>
        <w:tc>
          <w:tcPr>
            <w:tcW w:w="450" w:type="pct"/>
            <w:noWrap/>
          </w:tcPr>
          <w:p w14:paraId="0BCC1828" w14:textId="70819C4B" w:rsidR="00EB1721" w:rsidRPr="008D0BAC" w:rsidRDefault="00EB1721">
            <w:pPr>
              <w:pStyle w:val="Tabletext"/>
              <w:rPr>
                <w:noProof/>
                <w:sz w:val="20"/>
                <w:szCs w:val="20"/>
              </w:rPr>
            </w:pPr>
            <w:r w:rsidRPr="008D0BAC">
              <w:rPr>
                <w:noProof/>
                <w:sz w:val="20"/>
                <w:szCs w:val="20"/>
              </w:rPr>
              <w:t>-0.</w:t>
            </w:r>
            <w:r w:rsidR="003E2E64" w:rsidRPr="003E2E64">
              <w:rPr>
                <w:noProof/>
                <w:sz w:val="20"/>
                <w:szCs w:val="32"/>
              </w:rPr>
              <w:t>005</w:t>
            </w:r>
          </w:p>
        </w:tc>
        <w:tc>
          <w:tcPr>
            <w:tcW w:w="450" w:type="pct"/>
            <w:noWrap/>
          </w:tcPr>
          <w:p w14:paraId="2FC76E21" w14:textId="77777777" w:rsidR="00EB1721" w:rsidRPr="008D0BAC" w:rsidRDefault="00EB1721">
            <w:pPr>
              <w:pStyle w:val="Tabletext"/>
              <w:rPr>
                <w:noProof/>
                <w:sz w:val="20"/>
                <w:szCs w:val="20"/>
              </w:rPr>
            </w:pPr>
            <w:r w:rsidRPr="008D0BAC">
              <w:rPr>
                <w:noProof/>
                <w:sz w:val="20"/>
                <w:szCs w:val="20"/>
              </w:rPr>
              <w:t>0.063</w:t>
            </w:r>
          </w:p>
        </w:tc>
        <w:tc>
          <w:tcPr>
            <w:tcW w:w="450" w:type="pct"/>
            <w:noWrap/>
          </w:tcPr>
          <w:p w14:paraId="10D8B94A" w14:textId="77777777" w:rsidR="00EB1721" w:rsidRPr="008D0BAC" w:rsidRDefault="00EB1721">
            <w:pPr>
              <w:pStyle w:val="Tabletext"/>
              <w:rPr>
                <w:noProof/>
                <w:sz w:val="20"/>
                <w:szCs w:val="20"/>
              </w:rPr>
            </w:pPr>
            <w:r w:rsidRPr="008D0BAC">
              <w:rPr>
                <w:noProof/>
                <w:sz w:val="20"/>
                <w:szCs w:val="20"/>
              </w:rPr>
              <w:t>0.013</w:t>
            </w:r>
          </w:p>
        </w:tc>
        <w:tc>
          <w:tcPr>
            <w:tcW w:w="453" w:type="pct"/>
            <w:noWrap/>
          </w:tcPr>
          <w:p w14:paraId="6549026E" w14:textId="06E20E31"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1</w:t>
            </w:r>
            <w:r w:rsidR="00AF6421">
              <w:rPr>
                <w:noProof/>
                <w:sz w:val="20"/>
                <w:szCs w:val="32"/>
              </w:rPr>
              <w:t>36</w:t>
            </w:r>
          </w:p>
        </w:tc>
        <w:tc>
          <w:tcPr>
            <w:tcW w:w="326" w:type="pct"/>
            <w:noWrap/>
          </w:tcPr>
          <w:p w14:paraId="3CEF18CB" w14:textId="29472B2B" w:rsidR="00EB1721" w:rsidRPr="008D0BAC" w:rsidRDefault="00EB1721">
            <w:pPr>
              <w:pStyle w:val="Tabletext"/>
              <w:rPr>
                <w:noProof/>
                <w:sz w:val="20"/>
                <w:szCs w:val="20"/>
              </w:rPr>
            </w:pPr>
            <w:r w:rsidRPr="008D0BAC">
              <w:rPr>
                <w:noProof/>
                <w:sz w:val="20"/>
                <w:szCs w:val="20"/>
              </w:rPr>
              <w:t>0.</w:t>
            </w:r>
            <w:r w:rsidR="00AF6421" w:rsidRPr="003E2E64">
              <w:rPr>
                <w:noProof/>
                <w:sz w:val="20"/>
                <w:szCs w:val="32"/>
              </w:rPr>
              <w:t>4</w:t>
            </w:r>
            <w:r w:rsidR="00AF6421">
              <w:rPr>
                <w:noProof/>
                <w:sz w:val="20"/>
                <w:szCs w:val="32"/>
              </w:rPr>
              <w:t>25</w:t>
            </w:r>
          </w:p>
        </w:tc>
      </w:tr>
    </w:tbl>
    <w:p w14:paraId="3D36B7FE" w14:textId="77777777" w:rsidR="00F76D76" w:rsidRDefault="00F76D76" w:rsidP="00EB1721">
      <w:pPr>
        <w:spacing w:line="259" w:lineRule="auto"/>
        <w:rPr>
          <w:noProof/>
        </w:rPr>
      </w:pPr>
    </w:p>
    <w:p w14:paraId="2826F0B6" w14:textId="29FEF90E" w:rsidR="00EB1721" w:rsidRDefault="00EB1721" w:rsidP="008D0BAC">
      <w:pPr>
        <w:rPr>
          <w:noProof/>
        </w:rPr>
      </w:pPr>
      <w:r>
        <w:rPr>
          <w:noProof/>
        </w:rPr>
        <w:t xml:space="preserve">For </w:t>
      </w:r>
      <w:r w:rsidR="00861A17" w:rsidRPr="00861A17">
        <w:rPr>
          <w:noProof/>
        </w:rPr>
        <w:t>CSPs</w:t>
      </w:r>
      <w:r>
        <w:rPr>
          <w:noProof/>
        </w:rPr>
        <w:t xml:space="preserve"> and AI service providers</w:t>
      </w:r>
      <w:r w:rsidR="00861A17" w:rsidRPr="00861A17">
        <w:rPr>
          <w:noProof/>
        </w:rPr>
        <w:t xml:space="preserve"> under Problem 2, the MAUT results show that</w:t>
      </w:r>
      <w:r>
        <w:rPr>
          <w:noProof/>
        </w:rPr>
        <w:t xml:space="preserve"> all three options </w:t>
      </w:r>
      <w:r w:rsidR="00861A17" w:rsidRPr="00861A17">
        <w:rPr>
          <w:noProof/>
        </w:rPr>
        <w:t>perform markedly better than</w:t>
      </w:r>
      <w:r>
        <w:rPr>
          <w:noProof/>
        </w:rPr>
        <w:t xml:space="preserve"> the baseline, </w:t>
      </w:r>
      <w:r w:rsidR="00861A17" w:rsidRPr="00861A17">
        <w:rPr>
          <w:noProof/>
        </w:rPr>
        <w:t>but PO2</w:t>
      </w:r>
      <w:r w:rsidR="00094447">
        <w:rPr>
          <w:noProof/>
        </w:rPr>
        <w:t>-</w:t>
      </w:r>
      <w:r w:rsidR="00861A17" w:rsidRPr="00861A17">
        <w:rPr>
          <w:noProof/>
        </w:rPr>
        <w:t>C emerges as the best-performing configuration overall. The baseline</w:t>
      </w:r>
      <w:r>
        <w:rPr>
          <w:noProof/>
        </w:rPr>
        <w:t xml:space="preserve"> records negative total scores under both </w:t>
      </w:r>
      <w:r w:rsidR="00861A17" w:rsidRPr="00861A17">
        <w:rPr>
          <w:noProof/>
        </w:rPr>
        <w:t xml:space="preserve">equal </w:t>
      </w:r>
      <w:r>
        <w:rPr>
          <w:noProof/>
        </w:rPr>
        <w:t>weighting (–0.</w:t>
      </w:r>
      <w:r w:rsidR="00094447">
        <w:rPr>
          <w:noProof/>
        </w:rPr>
        <w:t>102</w:t>
      </w:r>
      <w:r w:rsidR="00861A17" w:rsidRPr="00861A17">
        <w:rPr>
          <w:noProof/>
        </w:rPr>
        <w:t>) and the Problem 2 weighting (–</w:t>
      </w:r>
      <w:r>
        <w:rPr>
          <w:noProof/>
        </w:rPr>
        <w:t>0.</w:t>
      </w:r>
      <w:r w:rsidR="00094447">
        <w:rPr>
          <w:noProof/>
        </w:rPr>
        <w:t>205</w:t>
      </w:r>
      <w:r w:rsidR="00861A17" w:rsidRPr="00861A17">
        <w:rPr>
          <w:noProof/>
        </w:rPr>
        <w:t xml:space="preserve">), driven by cost penalties and limited </w:t>
      </w:r>
      <w:r w:rsidR="00A922C6">
        <w:rPr>
          <w:noProof/>
        </w:rPr>
        <w:t>effectiveness</w:t>
      </w:r>
      <w:r w:rsidR="00A922C6" w:rsidRPr="00861A17">
        <w:rPr>
          <w:noProof/>
        </w:rPr>
        <w:t xml:space="preserve"> </w:t>
      </w:r>
      <w:r w:rsidR="00861A17" w:rsidRPr="00861A17">
        <w:rPr>
          <w:noProof/>
        </w:rPr>
        <w:t xml:space="preserve">and social effects. </w:t>
      </w:r>
      <w:r>
        <w:rPr>
          <w:noProof/>
        </w:rPr>
        <w:t xml:space="preserve">Under equal weighting, total scores </w:t>
      </w:r>
      <w:r w:rsidR="00861A17" w:rsidRPr="00861A17">
        <w:rPr>
          <w:noProof/>
        </w:rPr>
        <w:t>improve</w:t>
      </w:r>
      <w:r>
        <w:rPr>
          <w:noProof/>
        </w:rPr>
        <w:t xml:space="preserve"> to 0.</w:t>
      </w:r>
      <w:r w:rsidR="00094447">
        <w:rPr>
          <w:noProof/>
        </w:rPr>
        <w:t xml:space="preserve">411 </w:t>
      </w:r>
      <w:r>
        <w:rPr>
          <w:noProof/>
        </w:rPr>
        <w:t xml:space="preserve">for </w:t>
      </w:r>
      <w:r w:rsidR="00861A17" w:rsidRPr="00861A17">
        <w:rPr>
          <w:noProof/>
        </w:rPr>
        <w:t>PO2</w:t>
      </w:r>
      <w:r w:rsidR="00094447">
        <w:rPr>
          <w:noProof/>
        </w:rPr>
        <w:t>-</w:t>
      </w:r>
      <w:r w:rsidR="00861A17" w:rsidRPr="00861A17">
        <w:rPr>
          <w:noProof/>
        </w:rPr>
        <w:t>A</w:t>
      </w:r>
      <w:r>
        <w:rPr>
          <w:noProof/>
        </w:rPr>
        <w:t>, 0.</w:t>
      </w:r>
      <w:r w:rsidR="00094447" w:rsidRPr="00861A17">
        <w:rPr>
          <w:noProof/>
        </w:rPr>
        <w:t>3</w:t>
      </w:r>
      <w:r w:rsidR="00094447">
        <w:rPr>
          <w:noProof/>
        </w:rPr>
        <w:t xml:space="preserve">92 </w:t>
      </w:r>
      <w:r>
        <w:rPr>
          <w:noProof/>
        </w:rPr>
        <w:t xml:space="preserve">for </w:t>
      </w:r>
      <w:r w:rsidR="00861A17" w:rsidRPr="00861A17">
        <w:rPr>
          <w:noProof/>
        </w:rPr>
        <w:t>PO2</w:t>
      </w:r>
      <w:r w:rsidR="00094447">
        <w:rPr>
          <w:noProof/>
        </w:rPr>
        <w:t>-</w:t>
      </w:r>
      <w:r w:rsidR="00861A17" w:rsidRPr="00861A17">
        <w:rPr>
          <w:noProof/>
        </w:rPr>
        <w:t>B</w:t>
      </w:r>
      <w:r>
        <w:rPr>
          <w:noProof/>
        </w:rPr>
        <w:t xml:space="preserve"> and 0.</w:t>
      </w:r>
      <w:r w:rsidR="006A3F0E">
        <w:rPr>
          <w:noProof/>
        </w:rPr>
        <w:t xml:space="preserve">509 </w:t>
      </w:r>
      <w:r>
        <w:rPr>
          <w:noProof/>
        </w:rPr>
        <w:t xml:space="preserve">for </w:t>
      </w:r>
      <w:r w:rsidR="00861A17" w:rsidRPr="00861A17">
        <w:rPr>
          <w:noProof/>
        </w:rPr>
        <w:t>PO2</w:t>
      </w:r>
      <w:r w:rsidR="006A3F0E">
        <w:rPr>
          <w:noProof/>
        </w:rPr>
        <w:t>-</w:t>
      </w:r>
      <w:r w:rsidR="00861A17" w:rsidRPr="00861A17">
        <w:rPr>
          <w:noProof/>
        </w:rPr>
        <w:t xml:space="preserve">C. When the Problem 2 weighting is applied the results </w:t>
      </w:r>
      <w:r w:rsidR="00CA5FD3">
        <w:rPr>
          <w:noProof/>
        </w:rPr>
        <w:t>are</w:t>
      </w:r>
      <w:r w:rsidR="00CA5FD3" w:rsidRPr="00861A17">
        <w:rPr>
          <w:noProof/>
        </w:rPr>
        <w:t xml:space="preserve"> </w:t>
      </w:r>
      <w:r w:rsidR="00861A17" w:rsidRPr="00861A17">
        <w:rPr>
          <w:noProof/>
        </w:rPr>
        <w:t>further</w:t>
      </w:r>
      <w:r w:rsidR="00CA5FD3">
        <w:rPr>
          <w:noProof/>
        </w:rPr>
        <w:t xml:space="preserve"> confirmed</w:t>
      </w:r>
      <w:r w:rsidR="00861A17" w:rsidRPr="00861A17">
        <w:rPr>
          <w:noProof/>
        </w:rPr>
        <w:t>. PO2</w:t>
      </w:r>
      <w:r w:rsidR="00CA5FD3">
        <w:rPr>
          <w:noProof/>
        </w:rPr>
        <w:t>-</w:t>
      </w:r>
      <w:r w:rsidR="00861A17" w:rsidRPr="00861A17">
        <w:rPr>
          <w:noProof/>
        </w:rPr>
        <w:t>C becomes the clear leader with a total of 0.</w:t>
      </w:r>
      <w:r w:rsidR="00CA5FD3">
        <w:rPr>
          <w:noProof/>
        </w:rPr>
        <w:t>812</w:t>
      </w:r>
      <w:r w:rsidR="00861A17" w:rsidRPr="00861A17">
        <w:rPr>
          <w:noProof/>
        </w:rPr>
        <w:t>, ahead of PO2</w:t>
      </w:r>
      <w:r w:rsidR="00CA5FD3">
        <w:rPr>
          <w:noProof/>
        </w:rPr>
        <w:t>-B</w:t>
      </w:r>
      <w:r w:rsidR="00CA5FD3" w:rsidRPr="00861A17">
        <w:rPr>
          <w:noProof/>
        </w:rPr>
        <w:t xml:space="preserve"> </w:t>
      </w:r>
      <w:r w:rsidR="00861A17" w:rsidRPr="00861A17">
        <w:rPr>
          <w:noProof/>
        </w:rPr>
        <w:t>(0.</w:t>
      </w:r>
      <w:r w:rsidR="00CA5FD3">
        <w:rPr>
          <w:noProof/>
        </w:rPr>
        <w:t>601</w:t>
      </w:r>
      <w:r w:rsidR="00861A17" w:rsidRPr="00861A17">
        <w:rPr>
          <w:noProof/>
        </w:rPr>
        <w:t xml:space="preserve">) and </w:t>
      </w:r>
      <w:r w:rsidR="00CA5FD3" w:rsidRPr="00861A17">
        <w:rPr>
          <w:noProof/>
        </w:rPr>
        <w:t>PO2</w:t>
      </w:r>
      <w:r w:rsidR="00CA5FD3">
        <w:rPr>
          <w:noProof/>
        </w:rPr>
        <w:t>-A</w:t>
      </w:r>
      <w:r w:rsidR="00CA5FD3" w:rsidRPr="00861A17">
        <w:rPr>
          <w:noProof/>
        </w:rPr>
        <w:t xml:space="preserve"> </w:t>
      </w:r>
      <w:r w:rsidR="00861A17" w:rsidRPr="00861A17">
        <w:rPr>
          <w:noProof/>
        </w:rPr>
        <w:t>(0.</w:t>
      </w:r>
      <w:r w:rsidR="00CA5FD3" w:rsidRPr="00861A17">
        <w:rPr>
          <w:noProof/>
        </w:rPr>
        <w:t>5</w:t>
      </w:r>
      <w:r w:rsidR="00CA5FD3">
        <w:rPr>
          <w:noProof/>
        </w:rPr>
        <w:t>67</w:t>
      </w:r>
      <w:r w:rsidR="00861A17" w:rsidRPr="00861A17">
        <w:rPr>
          <w:noProof/>
        </w:rPr>
        <w:t>)</w:t>
      </w:r>
      <w:r w:rsidR="00DD0F2D">
        <w:rPr>
          <w:noProof/>
        </w:rPr>
        <w:t>, while PO-A still performs well in terms of effectiveness and social outcomes</w:t>
      </w:r>
      <w:r w:rsidR="00861A17" w:rsidRPr="00861A17">
        <w:rPr>
          <w:noProof/>
        </w:rPr>
        <w:t xml:space="preserve">. </w:t>
      </w:r>
    </w:p>
    <w:p w14:paraId="78ED4AEF" w14:textId="725B6DD2" w:rsidR="00EB1721" w:rsidRDefault="00EB1721" w:rsidP="008D0BAC">
      <w:pPr>
        <w:rPr>
          <w:noProof/>
        </w:rPr>
      </w:pPr>
      <w:r w:rsidRPr="0093787E">
        <w:rPr>
          <w:noProof/>
        </w:rPr>
        <w:t>For SMEs</w:t>
      </w:r>
      <w:r>
        <w:rPr>
          <w:rStyle w:val="FootnoteReference"/>
          <w:noProof/>
        </w:rPr>
        <w:footnoteReference w:id="106"/>
      </w:r>
      <w:r w:rsidRPr="0093787E">
        <w:rPr>
          <w:noProof/>
        </w:rPr>
        <w:t xml:space="preserve"> results indicate that all three options improve substantially on the baseline, with PO2</w:t>
      </w:r>
      <w:r w:rsidR="00F76D76">
        <w:rPr>
          <w:noProof/>
        </w:rPr>
        <w:t>-</w:t>
      </w:r>
      <w:r w:rsidR="005C4F3C">
        <w:rPr>
          <w:noProof/>
        </w:rPr>
        <w:t>C</w:t>
      </w:r>
      <w:r w:rsidR="005C4F3C" w:rsidRPr="0093787E">
        <w:rPr>
          <w:noProof/>
        </w:rPr>
        <w:t xml:space="preserve"> </w:t>
      </w:r>
      <w:r w:rsidR="008C7140">
        <w:rPr>
          <w:noProof/>
        </w:rPr>
        <w:t>as</w:t>
      </w:r>
      <w:r w:rsidR="008C7140" w:rsidRPr="0093787E">
        <w:rPr>
          <w:noProof/>
        </w:rPr>
        <w:t xml:space="preserve"> </w:t>
      </w:r>
      <w:r w:rsidRPr="0093787E">
        <w:rPr>
          <w:noProof/>
        </w:rPr>
        <w:t xml:space="preserve">the most favourable </w:t>
      </w:r>
      <w:r>
        <w:rPr>
          <w:noProof/>
        </w:rPr>
        <w:t>option</w:t>
      </w:r>
      <w:r w:rsidR="008C7140">
        <w:rPr>
          <w:noProof/>
        </w:rPr>
        <w:t xml:space="preserve"> under P2 weights and PO1-A under EW</w:t>
      </w:r>
      <w:r w:rsidRPr="0093787E">
        <w:rPr>
          <w:noProof/>
        </w:rPr>
        <w:t xml:space="preserve">. Under equal weighting, </w:t>
      </w:r>
      <w:r w:rsidR="00370651">
        <w:rPr>
          <w:noProof/>
        </w:rPr>
        <w:t>a</w:t>
      </w:r>
      <w:r w:rsidR="00ED7CCD">
        <w:rPr>
          <w:noProof/>
        </w:rPr>
        <w:t xml:space="preserve">ll </w:t>
      </w:r>
      <w:r w:rsidRPr="0093787E">
        <w:rPr>
          <w:noProof/>
        </w:rPr>
        <w:t xml:space="preserve">options </w:t>
      </w:r>
      <w:r w:rsidR="00ED7CCD">
        <w:rPr>
          <w:noProof/>
        </w:rPr>
        <w:t xml:space="preserve">outperform the baseline, with </w:t>
      </w:r>
      <w:r w:rsidRPr="0093787E">
        <w:rPr>
          <w:noProof/>
        </w:rPr>
        <w:t>0.</w:t>
      </w:r>
      <w:r w:rsidR="008C7140">
        <w:rPr>
          <w:noProof/>
        </w:rPr>
        <w:t>508</w:t>
      </w:r>
      <w:r w:rsidR="008C7140" w:rsidRPr="0093787E">
        <w:rPr>
          <w:noProof/>
        </w:rPr>
        <w:t xml:space="preserve"> </w:t>
      </w:r>
      <w:r w:rsidRPr="0093787E">
        <w:rPr>
          <w:noProof/>
        </w:rPr>
        <w:t>for PO2</w:t>
      </w:r>
      <w:r w:rsidR="00F76D76">
        <w:rPr>
          <w:noProof/>
        </w:rPr>
        <w:t>-</w:t>
      </w:r>
      <w:r w:rsidRPr="0093787E">
        <w:rPr>
          <w:noProof/>
        </w:rPr>
        <w:t>A, 0.</w:t>
      </w:r>
      <w:r w:rsidR="008C7140">
        <w:rPr>
          <w:noProof/>
        </w:rPr>
        <w:t>499</w:t>
      </w:r>
      <w:r w:rsidR="008C7140" w:rsidRPr="0093787E">
        <w:rPr>
          <w:noProof/>
        </w:rPr>
        <w:t xml:space="preserve"> </w:t>
      </w:r>
      <w:r w:rsidRPr="0093787E">
        <w:rPr>
          <w:noProof/>
        </w:rPr>
        <w:t>for PO2</w:t>
      </w:r>
      <w:r w:rsidR="00F76D76">
        <w:rPr>
          <w:noProof/>
        </w:rPr>
        <w:t>-</w:t>
      </w:r>
      <w:r w:rsidR="000771A3">
        <w:rPr>
          <w:noProof/>
        </w:rPr>
        <w:t>C</w:t>
      </w:r>
      <w:r w:rsidR="000771A3" w:rsidRPr="0093787E">
        <w:rPr>
          <w:noProof/>
        </w:rPr>
        <w:t xml:space="preserve"> </w:t>
      </w:r>
      <w:r w:rsidRPr="0093787E">
        <w:rPr>
          <w:noProof/>
        </w:rPr>
        <w:t>and 0.</w:t>
      </w:r>
      <w:r w:rsidR="000771A3">
        <w:rPr>
          <w:noProof/>
        </w:rPr>
        <w:t>394</w:t>
      </w:r>
      <w:r w:rsidRPr="0093787E">
        <w:rPr>
          <w:noProof/>
        </w:rPr>
        <w:t xml:space="preserve"> for PO2</w:t>
      </w:r>
      <w:r w:rsidR="00F76D76">
        <w:rPr>
          <w:noProof/>
        </w:rPr>
        <w:t>-</w:t>
      </w:r>
      <w:r w:rsidR="000771A3">
        <w:rPr>
          <w:noProof/>
        </w:rPr>
        <w:t>B</w:t>
      </w:r>
      <w:r>
        <w:rPr>
          <w:noProof/>
        </w:rPr>
        <w:t>,</w:t>
      </w:r>
      <w:r w:rsidR="000771A3">
        <w:rPr>
          <w:noProof/>
        </w:rPr>
        <w:t xml:space="preserve"> mainly </w:t>
      </w:r>
      <w:r w:rsidRPr="0093787E">
        <w:rPr>
          <w:noProof/>
        </w:rPr>
        <w:t xml:space="preserve">by increasing </w:t>
      </w:r>
      <w:r w:rsidR="000771A3">
        <w:rPr>
          <w:noProof/>
        </w:rPr>
        <w:t>effectiveness</w:t>
      </w:r>
      <w:r w:rsidRPr="0093787E">
        <w:rPr>
          <w:noProof/>
        </w:rPr>
        <w:t xml:space="preserve">, social and environmental scores. When the Problem 2 weighting is applied, the contrast with the baseline becomes </w:t>
      </w:r>
      <w:r w:rsidR="000771A3">
        <w:rPr>
          <w:noProof/>
        </w:rPr>
        <w:t>weaker</w:t>
      </w:r>
      <w:r w:rsidRPr="0093787E">
        <w:rPr>
          <w:noProof/>
        </w:rPr>
        <w:t xml:space="preserve">: the baseline total </w:t>
      </w:r>
      <w:r w:rsidR="000771A3">
        <w:rPr>
          <w:noProof/>
        </w:rPr>
        <w:t>increases</w:t>
      </w:r>
      <w:r w:rsidR="000771A3" w:rsidRPr="0093787E">
        <w:rPr>
          <w:noProof/>
        </w:rPr>
        <w:t xml:space="preserve"> </w:t>
      </w:r>
      <w:r w:rsidRPr="0093787E">
        <w:rPr>
          <w:noProof/>
        </w:rPr>
        <w:t xml:space="preserve">to </w:t>
      </w:r>
      <w:r w:rsidR="000771A3">
        <w:rPr>
          <w:noProof/>
        </w:rPr>
        <w:t>0.352</w:t>
      </w:r>
      <w:r w:rsidRPr="0093787E">
        <w:rPr>
          <w:noProof/>
        </w:rPr>
        <w:t>, while PO2</w:t>
      </w:r>
      <w:r w:rsidR="00F76D76">
        <w:rPr>
          <w:noProof/>
        </w:rPr>
        <w:t>-</w:t>
      </w:r>
      <w:r w:rsidR="000771A3">
        <w:rPr>
          <w:noProof/>
        </w:rPr>
        <w:t>C</w:t>
      </w:r>
      <w:r w:rsidR="000771A3" w:rsidRPr="0093787E">
        <w:rPr>
          <w:noProof/>
        </w:rPr>
        <w:t xml:space="preserve"> </w:t>
      </w:r>
      <w:r w:rsidRPr="0093787E">
        <w:rPr>
          <w:noProof/>
        </w:rPr>
        <w:t>reaches 0.</w:t>
      </w:r>
      <w:r w:rsidR="000771A3">
        <w:rPr>
          <w:noProof/>
        </w:rPr>
        <w:t>723</w:t>
      </w:r>
      <w:r w:rsidRPr="0093787E">
        <w:rPr>
          <w:noProof/>
        </w:rPr>
        <w:t>, compared with 0.</w:t>
      </w:r>
      <w:r w:rsidR="000771A3">
        <w:rPr>
          <w:noProof/>
        </w:rPr>
        <w:t>653</w:t>
      </w:r>
      <w:r w:rsidR="000771A3" w:rsidRPr="0093787E">
        <w:rPr>
          <w:noProof/>
        </w:rPr>
        <w:t xml:space="preserve"> </w:t>
      </w:r>
      <w:r w:rsidRPr="0093787E">
        <w:rPr>
          <w:noProof/>
        </w:rPr>
        <w:t>for PO2</w:t>
      </w:r>
      <w:r w:rsidR="00F76D76">
        <w:rPr>
          <w:noProof/>
        </w:rPr>
        <w:t>-</w:t>
      </w:r>
      <w:r w:rsidR="000771A3">
        <w:rPr>
          <w:noProof/>
        </w:rPr>
        <w:t>A</w:t>
      </w:r>
      <w:r w:rsidR="000771A3" w:rsidRPr="0093787E">
        <w:rPr>
          <w:noProof/>
        </w:rPr>
        <w:t xml:space="preserve"> </w:t>
      </w:r>
      <w:r w:rsidRPr="0093787E">
        <w:rPr>
          <w:noProof/>
        </w:rPr>
        <w:t>and 0.</w:t>
      </w:r>
      <w:r w:rsidR="000771A3">
        <w:rPr>
          <w:noProof/>
        </w:rPr>
        <w:t>518</w:t>
      </w:r>
      <w:r w:rsidR="000771A3" w:rsidRPr="0093787E">
        <w:rPr>
          <w:noProof/>
        </w:rPr>
        <w:t xml:space="preserve"> </w:t>
      </w:r>
      <w:r w:rsidRPr="0093787E">
        <w:rPr>
          <w:noProof/>
        </w:rPr>
        <w:t>for PO2</w:t>
      </w:r>
      <w:r w:rsidR="00F76D76">
        <w:rPr>
          <w:noProof/>
        </w:rPr>
        <w:t>-</w:t>
      </w:r>
      <w:r w:rsidR="000771A3">
        <w:rPr>
          <w:noProof/>
        </w:rPr>
        <w:t>B</w:t>
      </w:r>
      <w:r w:rsidRPr="0093787E">
        <w:rPr>
          <w:noProof/>
        </w:rPr>
        <w:t>. In this scenario, PO2</w:t>
      </w:r>
      <w:r w:rsidR="00F76D76">
        <w:rPr>
          <w:noProof/>
        </w:rPr>
        <w:t>-</w:t>
      </w:r>
      <w:r w:rsidR="000771A3">
        <w:rPr>
          <w:noProof/>
        </w:rPr>
        <w:t>C</w:t>
      </w:r>
      <w:r w:rsidR="000771A3" w:rsidRPr="0093787E">
        <w:rPr>
          <w:noProof/>
        </w:rPr>
        <w:t xml:space="preserve"> </w:t>
      </w:r>
      <w:r w:rsidRPr="0093787E">
        <w:rPr>
          <w:noProof/>
        </w:rPr>
        <w:t>combines clearly better cost outcomes</w:t>
      </w:r>
      <w:r w:rsidR="009A0B48">
        <w:rPr>
          <w:noProof/>
        </w:rPr>
        <w:t xml:space="preserve"> and environmental impact</w:t>
      </w:r>
      <w:r w:rsidRPr="0093787E">
        <w:rPr>
          <w:noProof/>
        </w:rPr>
        <w:t>,</w:t>
      </w:r>
      <w:r w:rsidR="000771A3">
        <w:rPr>
          <w:noProof/>
        </w:rPr>
        <w:t xml:space="preserve"> despite PO2-A has</w:t>
      </w:r>
      <w:r w:rsidRPr="0093787E">
        <w:rPr>
          <w:noProof/>
        </w:rPr>
        <w:t xml:space="preserve"> </w:t>
      </w:r>
      <w:r w:rsidR="00D467F0">
        <w:rPr>
          <w:noProof/>
        </w:rPr>
        <w:t>a slightly higher</w:t>
      </w:r>
      <w:r w:rsidRPr="0093787E">
        <w:rPr>
          <w:noProof/>
        </w:rPr>
        <w:t xml:space="preserve"> </w:t>
      </w:r>
      <w:r w:rsidR="00B2758E">
        <w:rPr>
          <w:noProof/>
        </w:rPr>
        <w:t>effectiveness</w:t>
      </w:r>
      <w:r w:rsidRPr="0093787E">
        <w:rPr>
          <w:noProof/>
        </w:rPr>
        <w:t xml:space="preserve"> and</w:t>
      </w:r>
      <w:r w:rsidR="00D467F0">
        <w:rPr>
          <w:noProof/>
        </w:rPr>
        <w:t xml:space="preserve"> </w:t>
      </w:r>
      <w:r w:rsidRPr="0093787E">
        <w:rPr>
          <w:noProof/>
        </w:rPr>
        <w:t>social score, indicating that</w:t>
      </w:r>
      <w:r w:rsidR="00D467F0">
        <w:rPr>
          <w:noProof/>
        </w:rPr>
        <w:t xml:space="preserve"> more ambitious</w:t>
      </w:r>
      <w:r w:rsidRPr="0093787E">
        <w:rPr>
          <w:noProof/>
        </w:rPr>
        <w:t xml:space="preserve"> measures offer SMEs the most advantageous balance under Problem 2</w:t>
      </w:r>
      <w:r>
        <w:rPr>
          <w:noProof/>
        </w:rPr>
        <w:t>.</w:t>
      </w:r>
    </w:p>
    <w:p w14:paraId="4260A457" w14:textId="3BB5188A" w:rsidR="00EB1721" w:rsidRDefault="00EB1721" w:rsidP="00EB1721">
      <w:pPr>
        <w:pStyle w:val="Caption"/>
        <w:rPr>
          <w:noProof/>
        </w:rPr>
      </w:pPr>
      <w:bookmarkStart w:id="308" w:name="_Toc215886336"/>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62</w:t>
      </w:r>
      <w:r>
        <w:rPr>
          <w:noProof/>
        </w:rPr>
        <w:fldChar w:fldCharType="end"/>
      </w:r>
      <w:r w:rsidR="00F76D76">
        <w:rPr>
          <w:noProof/>
        </w:rPr>
        <w:t>.</w:t>
      </w:r>
      <w:r>
        <w:rPr>
          <w:noProof/>
        </w:rPr>
        <w:t xml:space="preserve"> MCDA </w:t>
      </w:r>
      <w:r w:rsidR="00A24504">
        <w:rPr>
          <w:noProof/>
        </w:rPr>
        <w:t>C</w:t>
      </w:r>
      <w:r w:rsidR="00F76D76">
        <w:rPr>
          <w:noProof/>
        </w:rPr>
        <w:t>loud</w:t>
      </w:r>
      <w:r>
        <w:rPr>
          <w:noProof/>
        </w:rPr>
        <w:t xml:space="preserve"> and AI </w:t>
      </w:r>
      <w:r w:rsidR="00A24504">
        <w:rPr>
          <w:noProof/>
        </w:rPr>
        <w:t xml:space="preserve">Computing </w:t>
      </w:r>
      <w:r>
        <w:rPr>
          <w:noProof/>
        </w:rPr>
        <w:t>Service Providers and Data Centre Operators MAUT – Problem 2</w:t>
      </w:r>
      <w:bookmarkEnd w:id="308"/>
      <w:r w:rsidR="004E323D">
        <w:rPr>
          <w:noProof/>
        </w:rPr>
        <w:t xml:space="preserve"> </w:t>
      </w:r>
      <w:r w:rsidR="004E323D" w:rsidRPr="00785FC1">
        <w:rPr>
          <w:b w:val="0"/>
          <w:bCs/>
          <w:noProof/>
        </w:rPr>
        <w:t>(Source: Technopolis et al. (2025))</w:t>
      </w:r>
    </w:p>
    <w:tbl>
      <w:tblPr>
        <w:tblStyle w:val="TechnopolisTable"/>
        <w:tblpPr w:leftFromText="180" w:rightFromText="180" w:vertAnchor="text" w:tblpX="-142" w:tblpY="1"/>
        <w:tblW w:w="5132" w:type="pct"/>
        <w:tblInd w:w="0" w:type="dxa"/>
        <w:tblLayout w:type="fixed"/>
        <w:tblLook w:val="04A0" w:firstRow="1" w:lastRow="0" w:firstColumn="1" w:lastColumn="0" w:noHBand="0" w:noVBand="1"/>
      </w:tblPr>
      <w:tblGrid>
        <w:gridCol w:w="1134"/>
        <w:gridCol w:w="689"/>
        <w:gridCol w:w="834"/>
        <w:gridCol w:w="888"/>
        <w:gridCol w:w="772"/>
        <w:gridCol w:w="830"/>
        <w:gridCol w:w="830"/>
        <w:gridCol w:w="830"/>
        <w:gridCol w:w="830"/>
        <w:gridCol w:w="830"/>
        <w:gridCol w:w="817"/>
      </w:tblGrid>
      <w:tr w:rsidR="003F3C4A" w:rsidRPr="00073880" w14:paraId="48B26135" w14:textId="77777777" w:rsidTr="00B05194">
        <w:trPr>
          <w:cnfStyle w:val="100000000000" w:firstRow="1" w:lastRow="0" w:firstColumn="0" w:lastColumn="0" w:oddVBand="0" w:evenVBand="0" w:oddHBand="0" w:evenHBand="0" w:firstRowFirstColumn="0" w:firstRowLastColumn="0" w:lastRowFirstColumn="0" w:lastRowLastColumn="0"/>
          <w:trHeight w:val="296"/>
          <w:tblHeader/>
        </w:trPr>
        <w:tc>
          <w:tcPr>
            <w:tcW w:w="611" w:type="pct"/>
            <w:tcBorders>
              <w:bottom w:val="single" w:sz="12" w:space="0" w:color="00B0F0"/>
            </w:tcBorders>
            <w:shd w:val="clear" w:color="auto" w:fill="FFFFFF" w:themeFill="background1"/>
            <w:noWrap/>
            <w:hideMark/>
          </w:tcPr>
          <w:p w14:paraId="108D7EA4" w14:textId="77777777" w:rsidR="00EB1721" w:rsidRPr="00975D4A" w:rsidRDefault="00EB1721" w:rsidP="000E45B1">
            <w:pPr>
              <w:pStyle w:val="Tabletext"/>
              <w:rPr>
                <w:noProof/>
                <w:color w:val="000000" w:themeColor="text1"/>
                <w:sz w:val="20"/>
                <w:szCs w:val="20"/>
              </w:rPr>
            </w:pPr>
            <w:r w:rsidRPr="00975D4A">
              <w:rPr>
                <w:noProof/>
                <w:color w:val="000000" w:themeColor="text1"/>
                <w:sz w:val="20"/>
                <w:szCs w:val="20"/>
              </w:rPr>
              <w:t>Impact</w:t>
            </w:r>
          </w:p>
        </w:tc>
        <w:tc>
          <w:tcPr>
            <w:tcW w:w="820" w:type="pct"/>
            <w:gridSpan w:val="2"/>
            <w:tcBorders>
              <w:bottom w:val="single" w:sz="12" w:space="0" w:color="00B0F0"/>
            </w:tcBorders>
            <w:shd w:val="clear" w:color="auto" w:fill="FFFFFF" w:themeFill="background1"/>
            <w:noWrap/>
            <w:hideMark/>
          </w:tcPr>
          <w:p w14:paraId="1F4015AC" w14:textId="77777777" w:rsidR="00EB1721" w:rsidRPr="00975D4A" w:rsidRDefault="00EB1721" w:rsidP="000E45B1">
            <w:pPr>
              <w:pStyle w:val="Tabletext"/>
              <w:rPr>
                <w:noProof/>
                <w:color w:val="000000" w:themeColor="text1"/>
                <w:sz w:val="20"/>
                <w:szCs w:val="20"/>
              </w:rPr>
            </w:pPr>
            <w:r w:rsidRPr="00975D4A">
              <w:rPr>
                <w:noProof/>
                <w:color w:val="000000" w:themeColor="text1"/>
                <w:sz w:val="20"/>
                <w:szCs w:val="20"/>
              </w:rPr>
              <w:t>Costs</w:t>
            </w:r>
          </w:p>
        </w:tc>
        <w:tc>
          <w:tcPr>
            <w:tcW w:w="894" w:type="pct"/>
            <w:gridSpan w:val="2"/>
            <w:tcBorders>
              <w:bottom w:val="single" w:sz="12" w:space="0" w:color="00B0F0"/>
            </w:tcBorders>
            <w:shd w:val="clear" w:color="auto" w:fill="FFFFFF" w:themeFill="background1"/>
            <w:noWrap/>
            <w:hideMark/>
          </w:tcPr>
          <w:p w14:paraId="788C34E2" w14:textId="6BA9A240" w:rsidR="00EB1721" w:rsidRPr="00975D4A" w:rsidRDefault="00B2758E" w:rsidP="000E45B1">
            <w:pPr>
              <w:pStyle w:val="Tabletext"/>
              <w:rPr>
                <w:noProof/>
                <w:color w:val="000000" w:themeColor="text1"/>
                <w:sz w:val="20"/>
                <w:szCs w:val="20"/>
              </w:rPr>
            </w:pPr>
            <w:r>
              <w:rPr>
                <w:noProof/>
                <w:color w:val="000000" w:themeColor="text1"/>
                <w:sz w:val="20"/>
                <w:szCs w:val="20"/>
              </w:rPr>
              <w:t>Effectiveness</w:t>
            </w:r>
          </w:p>
        </w:tc>
        <w:tc>
          <w:tcPr>
            <w:tcW w:w="894" w:type="pct"/>
            <w:gridSpan w:val="2"/>
            <w:tcBorders>
              <w:bottom w:val="single" w:sz="12" w:space="0" w:color="00B0F0"/>
            </w:tcBorders>
            <w:shd w:val="clear" w:color="auto" w:fill="FFFFFF" w:themeFill="background1"/>
            <w:noWrap/>
            <w:hideMark/>
          </w:tcPr>
          <w:p w14:paraId="35D5B44B" w14:textId="77777777" w:rsidR="00EB1721" w:rsidRPr="00975D4A" w:rsidRDefault="00EB1721" w:rsidP="000E45B1">
            <w:pPr>
              <w:pStyle w:val="Tabletext"/>
              <w:rPr>
                <w:noProof/>
                <w:color w:val="000000" w:themeColor="text1"/>
                <w:sz w:val="20"/>
                <w:szCs w:val="20"/>
              </w:rPr>
            </w:pPr>
            <w:r w:rsidRPr="00975D4A">
              <w:rPr>
                <w:noProof/>
                <w:color w:val="000000" w:themeColor="text1"/>
                <w:sz w:val="20"/>
                <w:szCs w:val="20"/>
              </w:rPr>
              <w:t>Environmental</w:t>
            </w:r>
          </w:p>
        </w:tc>
        <w:tc>
          <w:tcPr>
            <w:tcW w:w="894" w:type="pct"/>
            <w:gridSpan w:val="2"/>
            <w:tcBorders>
              <w:bottom w:val="single" w:sz="12" w:space="0" w:color="00B0F0"/>
            </w:tcBorders>
            <w:shd w:val="clear" w:color="auto" w:fill="FFFFFF" w:themeFill="background1"/>
            <w:noWrap/>
            <w:hideMark/>
          </w:tcPr>
          <w:p w14:paraId="62727431" w14:textId="77777777" w:rsidR="00EB1721" w:rsidRPr="00975D4A" w:rsidRDefault="00EB1721" w:rsidP="000E45B1">
            <w:pPr>
              <w:pStyle w:val="Tabletext"/>
              <w:rPr>
                <w:noProof/>
                <w:color w:val="000000" w:themeColor="text1"/>
                <w:sz w:val="20"/>
                <w:szCs w:val="20"/>
              </w:rPr>
            </w:pPr>
            <w:r w:rsidRPr="00975D4A">
              <w:rPr>
                <w:noProof/>
                <w:color w:val="000000" w:themeColor="text1"/>
                <w:sz w:val="20"/>
                <w:szCs w:val="20"/>
              </w:rPr>
              <w:t>Social</w:t>
            </w:r>
          </w:p>
        </w:tc>
        <w:tc>
          <w:tcPr>
            <w:tcW w:w="887" w:type="pct"/>
            <w:gridSpan w:val="2"/>
            <w:tcBorders>
              <w:bottom w:val="single" w:sz="12" w:space="0" w:color="00B0F0"/>
            </w:tcBorders>
            <w:shd w:val="clear" w:color="auto" w:fill="FFFFFF" w:themeFill="background1"/>
            <w:noWrap/>
            <w:hideMark/>
          </w:tcPr>
          <w:p w14:paraId="5BE05890" w14:textId="77777777" w:rsidR="00EB1721" w:rsidRPr="00975D4A" w:rsidRDefault="00EB1721" w:rsidP="000E45B1">
            <w:pPr>
              <w:pStyle w:val="Tabletext"/>
              <w:rPr>
                <w:noProof/>
                <w:color w:val="000000" w:themeColor="text1"/>
                <w:sz w:val="20"/>
                <w:szCs w:val="20"/>
              </w:rPr>
            </w:pPr>
            <w:r w:rsidRPr="00975D4A">
              <w:rPr>
                <w:noProof/>
                <w:color w:val="000000" w:themeColor="text1"/>
                <w:sz w:val="20"/>
                <w:szCs w:val="20"/>
              </w:rPr>
              <w:t>Total</w:t>
            </w:r>
          </w:p>
        </w:tc>
      </w:tr>
      <w:tr w:rsidR="00EB1721" w:rsidRPr="00996F1A" w14:paraId="4DF0050E" w14:textId="77777777" w:rsidTr="00B05194">
        <w:tblPrEx>
          <w:tblCellMar>
            <w:left w:w="108" w:type="dxa"/>
            <w:right w:w="108" w:type="dxa"/>
          </w:tblCellMar>
        </w:tblPrEx>
        <w:trPr>
          <w:trHeight w:val="296"/>
        </w:trPr>
        <w:tc>
          <w:tcPr>
            <w:tcW w:w="4560" w:type="pct"/>
            <w:gridSpan w:val="10"/>
            <w:tcBorders>
              <w:top w:val="single" w:sz="12" w:space="0" w:color="00B0F0"/>
            </w:tcBorders>
            <w:shd w:val="clear" w:color="auto" w:fill="DBE5F1" w:themeFill="accent1" w:themeFillTint="33"/>
            <w:noWrap/>
          </w:tcPr>
          <w:p w14:paraId="7E48005F" w14:textId="1617DADB" w:rsidR="00EB1721" w:rsidRPr="008D0BAC" w:rsidRDefault="00D04199" w:rsidP="000E45B1">
            <w:pPr>
              <w:pStyle w:val="Tabletext"/>
              <w:jc w:val="center"/>
              <w:rPr>
                <w:b/>
                <w:noProof/>
                <w:sz w:val="20"/>
                <w:szCs w:val="20"/>
              </w:rPr>
            </w:pPr>
            <w:r>
              <w:rPr>
                <w:b/>
                <w:noProof/>
                <w:sz w:val="20"/>
                <w:szCs w:val="20"/>
              </w:rPr>
              <w:t>Cloud</w:t>
            </w:r>
            <w:r w:rsidR="00EB1721" w:rsidRPr="008D0BAC">
              <w:rPr>
                <w:b/>
                <w:noProof/>
                <w:sz w:val="20"/>
                <w:szCs w:val="20"/>
              </w:rPr>
              <w:t xml:space="preserve"> and AI </w:t>
            </w:r>
            <w:r w:rsidR="00A24504">
              <w:rPr>
                <w:b/>
                <w:noProof/>
                <w:sz w:val="20"/>
                <w:szCs w:val="20"/>
              </w:rPr>
              <w:t xml:space="preserve">Computing </w:t>
            </w:r>
            <w:r w:rsidR="00EB1721" w:rsidRPr="008D0BAC">
              <w:rPr>
                <w:b/>
                <w:noProof/>
                <w:sz w:val="20"/>
                <w:szCs w:val="20"/>
              </w:rPr>
              <w:t>Service Providers</w:t>
            </w:r>
          </w:p>
        </w:tc>
        <w:tc>
          <w:tcPr>
            <w:tcW w:w="440" w:type="pct"/>
            <w:tcBorders>
              <w:top w:val="single" w:sz="12" w:space="0" w:color="00B0F0"/>
            </w:tcBorders>
            <w:shd w:val="clear" w:color="auto" w:fill="DBE5F1" w:themeFill="accent1" w:themeFillTint="33"/>
            <w:noWrap/>
          </w:tcPr>
          <w:p w14:paraId="2B433FB6" w14:textId="77777777" w:rsidR="00EB1721" w:rsidRPr="008D0BAC" w:rsidRDefault="00EB1721" w:rsidP="000E45B1">
            <w:pPr>
              <w:pStyle w:val="Tabletext"/>
              <w:rPr>
                <w:noProof/>
                <w:sz w:val="20"/>
                <w:szCs w:val="20"/>
              </w:rPr>
            </w:pPr>
          </w:p>
        </w:tc>
      </w:tr>
      <w:tr w:rsidR="00EB1721" w:rsidRPr="00D47F2E" w14:paraId="4C2105FB" w14:textId="77777777" w:rsidTr="00B05194">
        <w:tblPrEx>
          <w:tblCellMar>
            <w:left w:w="108" w:type="dxa"/>
            <w:right w:w="108" w:type="dxa"/>
          </w:tblCellMar>
        </w:tblPrEx>
        <w:trPr>
          <w:trHeight w:val="296"/>
        </w:trPr>
        <w:tc>
          <w:tcPr>
            <w:tcW w:w="611" w:type="pct"/>
            <w:noWrap/>
            <w:hideMark/>
          </w:tcPr>
          <w:p w14:paraId="0BFEBF0F" w14:textId="77777777" w:rsidR="00EB1721" w:rsidRPr="008D0BAC" w:rsidRDefault="00EB1721" w:rsidP="000E45B1">
            <w:pPr>
              <w:pStyle w:val="Tabletext"/>
              <w:rPr>
                <w:b/>
                <w:noProof/>
                <w:sz w:val="20"/>
                <w:szCs w:val="20"/>
              </w:rPr>
            </w:pPr>
            <w:r w:rsidRPr="008D0BAC">
              <w:rPr>
                <w:b/>
                <w:noProof/>
                <w:sz w:val="20"/>
                <w:szCs w:val="20"/>
              </w:rPr>
              <w:t>Option</w:t>
            </w:r>
          </w:p>
        </w:tc>
        <w:tc>
          <w:tcPr>
            <w:tcW w:w="371" w:type="pct"/>
            <w:noWrap/>
            <w:hideMark/>
          </w:tcPr>
          <w:p w14:paraId="46F4552D" w14:textId="77777777" w:rsidR="00EB1721" w:rsidRPr="008D0BAC" w:rsidRDefault="00EB1721" w:rsidP="000E45B1">
            <w:pPr>
              <w:pStyle w:val="Tabletext"/>
              <w:rPr>
                <w:b/>
                <w:noProof/>
                <w:sz w:val="20"/>
                <w:szCs w:val="20"/>
              </w:rPr>
            </w:pPr>
            <w:r w:rsidRPr="008D0BAC">
              <w:rPr>
                <w:b/>
                <w:noProof/>
                <w:sz w:val="20"/>
                <w:szCs w:val="20"/>
              </w:rPr>
              <w:t>EW</w:t>
            </w:r>
          </w:p>
        </w:tc>
        <w:tc>
          <w:tcPr>
            <w:tcW w:w="449" w:type="pct"/>
            <w:noWrap/>
            <w:hideMark/>
          </w:tcPr>
          <w:p w14:paraId="26747811" w14:textId="77777777" w:rsidR="00EB1721" w:rsidRPr="008D0BAC" w:rsidRDefault="00EB1721" w:rsidP="000E45B1">
            <w:pPr>
              <w:pStyle w:val="Tabletext"/>
              <w:rPr>
                <w:b/>
                <w:noProof/>
                <w:sz w:val="20"/>
                <w:szCs w:val="20"/>
              </w:rPr>
            </w:pPr>
            <w:r w:rsidRPr="008D0BAC">
              <w:rPr>
                <w:b/>
                <w:noProof/>
                <w:sz w:val="20"/>
                <w:szCs w:val="20"/>
              </w:rPr>
              <w:t>P2</w:t>
            </w:r>
          </w:p>
        </w:tc>
        <w:tc>
          <w:tcPr>
            <w:tcW w:w="478" w:type="pct"/>
            <w:noWrap/>
            <w:hideMark/>
          </w:tcPr>
          <w:p w14:paraId="5D2EDA0C" w14:textId="77777777" w:rsidR="00EB1721" w:rsidRPr="008D0BAC" w:rsidRDefault="00EB1721" w:rsidP="000E45B1">
            <w:pPr>
              <w:pStyle w:val="Tabletext"/>
              <w:rPr>
                <w:b/>
                <w:noProof/>
                <w:sz w:val="20"/>
                <w:szCs w:val="20"/>
              </w:rPr>
            </w:pPr>
            <w:r w:rsidRPr="008D0BAC">
              <w:rPr>
                <w:b/>
                <w:noProof/>
                <w:sz w:val="20"/>
                <w:szCs w:val="20"/>
              </w:rPr>
              <w:t>EW</w:t>
            </w:r>
          </w:p>
        </w:tc>
        <w:tc>
          <w:tcPr>
            <w:tcW w:w="416" w:type="pct"/>
            <w:noWrap/>
            <w:hideMark/>
          </w:tcPr>
          <w:p w14:paraId="696FEF33" w14:textId="77777777" w:rsidR="00EB1721" w:rsidRPr="008D0BAC" w:rsidRDefault="00EB1721" w:rsidP="000E45B1">
            <w:pPr>
              <w:pStyle w:val="Tabletext"/>
              <w:rPr>
                <w:b/>
                <w:noProof/>
                <w:sz w:val="20"/>
                <w:szCs w:val="20"/>
              </w:rPr>
            </w:pPr>
            <w:r w:rsidRPr="008D0BAC">
              <w:rPr>
                <w:b/>
                <w:noProof/>
                <w:sz w:val="20"/>
                <w:szCs w:val="20"/>
              </w:rPr>
              <w:t>P2</w:t>
            </w:r>
          </w:p>
        </w:tc>
        <w:tc>
          <w:tcPr>
            <w:tcW w:w="447" w:type="pct"/>
            <w:noWrap/>
            <w:hideMark/>
          </w:tcPr>
          <w:p w14:paraId="06386680" w14:textId="77777777" w:rsidR="00EB1721" w:rsidRPr="008D0BAC" w:rsidRDefault="00EB1721" w:rsidP="000E45B1">
            <w:pPr>
              <w:pStyle w:val="Tabletext"/>
              <w:rPr>
                <w:b/>
                <w:noProof/>
                <w:sz w:val="20"/>
                <w:szCs w:val="20"/>
              </w:rPr>
            </w:pPr>
            <w:r w:rsidRPr="008D0BAC">
              <w:rPr>
                <w:b/>
                <w:noProof/>
                <w:sz w:val="20"/>
                <w:szCs w:val="20"/>
              </w:rPr>
              <w:t>EW</w:t>
            </w:r>
          </w:p>
        </w:tc>
        <w:tc>
          <w:tcPr>
            <w:tcW w:w="447" w:type="pct"/>
            <w:noWrap/>
            <w:hideMark/>
          </w:tcPr>
          <w:p w14:paraId="3CC0F05A" w14:textId="77777777" w:rsidR="00EB1721" w:rsidRPr="008D0BAC" w:rsidRDefault="00EB1721" w:rsidP="000E45B1">
            <w:pPr>
              <w:pStyle w:val="Tabletext"/>
              <w:rPr>
                <w:b/>
                <w:noProof/>
                <w:sz w:val="20"/>
                <w:szCs w:val="20"/>
              </w:rPr>
            </w:pPr>
            <w:r w:rsidRPr="008D0BAC">
              <w:rPr>
                <w:b/>
                <w:noProof/>
                <w:sz w:val="20"/>
                <w:szCs w:val="20"/>
              </w:rPr>
              <w:t>P2</w:t>
            </w:r>
          </w:p>
        </w:tc>
        <w:tc>
          <w:tcPr>
            <w:tcW w:w="447" w:type="pct"/>
            <w:noWrap/>
            <w:hideMark/>
          </w:tcPr>
          <w:p w14:paraId="50D17AD8" w14:textId="77777777" w:rsidR="00EB1721" w:rsidRPr="008D0BAC" w:rsidRDefault="00EB1721" w:rsidP="000E45B1">
            <w:pPr>
              <w:pStyle w:val="Tabletext"/>
              <w:rPr>
                <w:b/>
                <w:noProof/>
                <w:sz w:val="20"/>
                <w:szCs w:val="20"/>
              </w:rPr>
            </w:pPr>
            <w:r w:rsidRPr="008D0BAC">
              <w:rPr>
                <w:b/>
                <w:noProof/>
                <w:sz w:val="20"/>
                <w:szCs w:val="20"/>
              </w:rPr>
              <w:t>EW</w:t>
            </w:r>
          </w:p>
        </w:tc>
        <w:tc>
          <w:tcPr>
            <w:tcW w:w="447" w:type="pct"/>
            <w:noWrap/>
            <w:hideMark/>
          </w:tcPr>
          <w:p w14:paraId="0F629B9F" w14:textId="77777777" w:rsidR="00EB1721" w:rsidRPr="008D0BAC" w:rsidRDefault="00EB1721" w:rsidP="000E45B1">
            <w:pPr>
              <w:pStyle w:val="Tabletext"/>
              <w:rPr>
                <w:b/>
                <w:noProof/>
                <w:sz w:val="20"/>
                <w:szCs w:val="20"/>
              </w:rPr>
            </w:pPr>
            <w:r w:rsidRPr="008D0BAC">
              <w:rPr>
                <w:b/>
                <w:noProof/>
                <w:sz w:val="20"/>
                <w:szCs w:val="20"/>
              </w:rPr>
              <w:t>P2</w:t>
            </w:r>
          </w:p>
        </w:tc>
        <w:tc>
          <w:tcPr>
            <w:tcW w:w="447" w:type="pct"/>
            <w:noWrap/>
            <w:hideMark/>
          </w:tcPr>
          <w:p w14:paraId="54F8CC7F" w14:textId="77777777" w:rsidR="00EB1721" w:rsidRPr="008D0BAC" w:rsidRDefault="00EB1721" w:rsidP="000E45B1">
            <w:pPr>
              <w:pStyle w:val="Tabletext"/>
              <w:rPr>
                <w:b/>
                <w:noProof/>
                <w:sz w:val="20"/>
                <w:szCs w:val="20"/>
              </w:rPr>
            </w:pPr>
            <w:r w:rsidRPr="008D0BAC">
              <w:rPr>
                <w:b/>
                <w:noProof/>
                <w:sz w:val="20"/>
                <w:szCs w:val="20"/>
              </w:rPr>
              <w:t>EW</w:t>
            </w:r>
          </w:p>
        </w:tc>
        <w:tc>
          <w:tcPr>
            <w:tcW w:w="440" w:type="pct"/>
            <w:noWrap/>
            <w:hideMark/>
          </w:tcPr>
          <w:p w14:paraId="67CA04A4" w14:textId="77777777" w:rsidR="00EB1721" w:rsidRPr="008D0BAC" w:rsidRDefault="00EB1721" w:rsidP="000E45B1">
            <w:pPr>
              <w:pStyle w:val="Tabletext"/>
              <w:rPr>
                <w:b/>
                <w:noProof/>
                <w:sz w:val="20"/>
                <w:szCs w:val="20"/>
              </w:rPr>
            </w:pPr>
            <w:r w:rsidRPr="008D0BAC">
              <w:rPr>
                <w:b/>
                <w:noProof/>
                <w:sz w:val="20"/>
                <w:szCs w:val="20"/>
              </w:rPr>
              <w:t>P2</w:t>
            </w:r>
          </w:p>
        </w:tc>
      </w:tr>
      <w:tr w:rsidR="00ED08FB" w:rsidRPr="00E27936" w14:paraId="469F9EB3" w14:textId="77777777" w:rsidTr="00B05194">
        <w:trPr>
          <w:trHeight w:val="296"/>
        </w:trPr>
        <w:tc>
          <w:tcPr>
            <w:tcW w:w="611" w:type="pct"/>
            <w:shd w:val="clear" w:color="auto" w:fill="F2F2F2" w:themeFill="background1" w:themeFillShade="F2"/>
            <w:noWrap/>
            <w:vAlign w:val="bottom"/>
          </w:tcPr>
          <w:p w14:paraId="29EF586F" w14:textId="77777777" w:rsidR="00ED08FB" w:rsidRPr="008D0BAC" w:rsidRDefault="00ED08FB" w:rsidP="00ED08FB">
            <w:pPr>
              <w:pStyle w:val="Tabletext"/>
              <w:rPr>
                <w:b/>
                <w:noProof/>
                <w:sz w:val="20"/>
                <w:szCs w:val="20"/>
              </w:rPr>
            </w:pPr>
            <w:r w:rsidRPr="008D0BAC">
              <w:rPr>
                <w:b/>
                <w:noProof/>
                <w:sz w:val="20"/>
                <w:szCs w:val="20"/>
              </w:rPr>
              <w:t>Baseline – P2</w:t>
            </w:r>
          </w:p>
        </w:tc>
        <w:tc>
          <w:tcPr>
            <w:tcW w:w="371" w:type="pct"/>
            <w:shd w:val="clear" w:color="auto" w:fill="F2F2F2" w:themeFill="background1" w:themeFillShade="F2"/>
            <w:noWrap/>
          </w:tcPr>
          <w:p w14:paraId="5E206387" w14:textId="77777777" w:rsidR="00ED08FB" w:rsidRPr="008D0BAC" w:rsidRDefault="00ED08FB" w:rsidP="00ED08FB">
            <w:pPr>
              <w:pStyle w:val="Tabletext"/>
              <w:rPr>
                <w:noProof/>
                <w:sz w:val="20"/>
                <w:szCs w:val="20"/>
              </w:rPr>
            </w:pPr>
            <w:r w:rsidRPr="008D0BAC">
              <w:rPr>
                <w:noProof/>
                <w:sz w:val="20"/>
                <w:szCs w:val="20"/>
              </w:rPr>
              <w:t>-0.369</w:t>
            </w:r>
          </w:p>
        </w:tc>
        <w:tc>
          <w:tcPr>
            <w:tcW w:w="449" w:type="pct"/>
            <w:shd w:val="clear" w:color="auto" w:fill="F2F2F2" w:themeFill="background1" w:themeFillShade="F2"/>
            <w:noWrap/>
          </w:tcPr>
          <w:p w14:paraId="1B971DA4" w14:textId="77777777" w:rsidR="00ED08FB" w:rsidRPr="008D0BAC" w:rsidRDefault="00ED08FB" w:rsidP="00ED08FB">
            <w:pPr>
              <w:pStyle w:val="Tabletext"/>
              <w:rPr>
                <w:noProof/>
                <w:sz w:val="20"/>
                <w:szCs w:val="20"/>
              </w:rPr>
            </w:pPr>
            <w:r w:rsidRPr="008D0BAC">
              <w:rPr>
                <w:noProof/>
                <w:sz w:val="20"/>
                <w:szCs w:val="20"/>
              </w:rPr>
              <w:t>-0.563</w:t>
            </w:r>
          </w:p>
        </w:tc>
        <w:tc>
          <w:tcPr>
            <w:tcW w:w="478" w:type="pct"/>
            <w:shd w:val="clear" w:color="auto" w:fill="F2F2F2" w:themeFill="background1" w:themeFillShade="F2"/>
            <w:noWrap/>
          </w:tcPr>
          <w:p w14:paraId="0F58F020" w14:textId="65C263F7" w:rsidR="00ED08FB" w:rsidRPr="00ED08FB" w:rsidRDefault="00ED08FB" w:rsidP="00ED08FB">
            <w:pPr>
              <w:pStyle w:val="Tabletext"/>
              <w:rPr>
                <w:noProof/>
                <w:sz w:val="20"/>
                <w:szCs w:val="32"/>
              </w:rPr>
            </w:pPr>
            <w:r w:rsidRPr="00B05194">
              <w:rPr>
                <w:noProof/>
                <w:sz w:val="20"/>
                <w:szCs w:val="32"/>
              </w:rPr>
              <w:t>0.262</w:t>
            </w:r>
          </w:p>
        </w:tc>
        <w:tc>
          <w:tcPr>
            <w:tcW w:w="416" w:type="pct"/>
            <w:shd w:val="clear" w:color="auto" w:fill="F2F2F2" w:themeFill="background1" w:themeFillShade="F2"/>
            <w:noWrap/>
          </w:tcPr>
          <w:p w14:paraId="6200C368" w14:textId="6D81D82A" w:rsidR="00ED08FB" w:rsidRPr="00ED08FB" w:rsidRDefault="00ED08FB" w:rsidP="00ED08FB">
            <w:pPr>
              <w:pStyle w:val="Tabletext"/>
              <w:rPr>
                <w:noProof/>
                <w:sz w:val="20"/>
                <w:szCs w:val="32"/>
              </w:rPr>
            </w:pPr>
            <w:r w:rsidRPr="00B05194">
              <w:rPr>
                <w:noProof/>
                <w:sz w:val="20"/>
                <w:szCs w:val="32"/>
              </w:rPr>
              <w:t>0.363</w:t>
            </w:r>
          </w:p>
        </w:tc>
        <w:tc>
          <w:tcPr>
            <w:tcW w:w="447" w:type="pct"/>
            <w:shd w:val="clear" w:color="auto" w:fill="F2F2F2" w:themeFill="background1" w:themeFillShade="F2"/>
            <w:noWrap/>
          </w:tcPr>
          <w:p w14:paraId="52554712" w14:textId="294EB081" w:rsidR="00ED08FB" w:rsidRPr="00ED08FB" w:rsidRDefault="00ED08FB" w:rsidP="00ED08FB">
            <w:pPr>
              <w:pStyle w:val="Tabletext"/>
              <w:rPr>
                <w:noProof/>
                <w:sz w:val="20"/>
                <w:szCs w:val="32"/>
              </w:rPr>
            </w:pPr>
            <w:r w:rsidRPr="00B05194">
              <w:rPr>
                <w:noProof/>
                <w:sz w:val="20"/>
                <w:szCs w:val="32"/>
              </w:rPr>
              <w:t>-0.026</w:t>
            </w:r>
          </w:p>
        </w:tc>
        <w:tc>
          <w:tcPr>
            <w:tcW w:w="447" w:type="pct"/>
            <w:shd w:val="clear" w:color="auto" w:fill="F2F2F2" w:themeFill="background1" w:themeFillShade="F2"/>
            <w:noWrap/>
          </w:tcPr>
          <w:p w14:paraId="2C9452A9" w14:textId="4AD61868" w:rsidR="00ED08FB" w:rsidRPr="00ED08FB" w:rsidRDefault="00ED08FB" w:rsidP="00ED08FB">
            <w:pPr>
              <w:pStyle w:val="Tabletext"/>
              <w:rPr>
                <w:noProof/>
                <w:sz w:val="20"/>
                <w:szCs w:val="32"/>
              </w:rPr>
            </w:pPr>
            <w:r w:rsidRPr="00B05194">
              <w:rPr>
                <w:noProof/>
                <w:sz w:val="20"/>
                <w:szCs w:val="32"/>
              </w:rPr>
              <w:t>-0.005</w:t>
            </w:r>
          </w:p>
        </w:tc>
        <w:tc>
          <w:tcPr>
            <w:tcW w:w="447" w:type="pct"/>
            <w:shd w:val="clear" w:color="auto" w:fill="F2F2F2" w:themeFill="background1" w:themeFillShade="F2"/>
            <w:noWrap/>
          </w:tcPr>
          <w:p w14:paraId="5133DE0F" w14:textId="12733BEE" w:rsidR="00ED08FB" w:rsidRPr="00ED08FB" w:rsidRDefault="00ED08FB" w:rsidP="00ED08FB">
            <w:pPr>
              <w:pStyle w:val="Tabletext"/>
              <w:rPr>
                <w:noProof/>
                <w:sz w:val="20"/>
                <w:szCs w:val="32"/>
              </w:rPr>
            </w:pPr>
            <w:r w:rsidRPr="00B05194">
              <w:rPr>
                <w:noProof/>
                <w:sz w:val="20"/>
                <w:szCs w:val="32"/>
              </w:rPr>
              <w:t>0.031</w:t>
            </w:r>
          </w:p>
        </w:tc>
        <w:tc>
          <w:tcPr>
            <w:tcW w:w="447" w:type="pct"/>
            <w:shd w:val="clear" w:color="auto" w:fill="F2F2F2" w:themeFill="background1" w:themeFillShade="F2"/>
            <w:noWrap/>
          </w:tcPr>
          <w:p w14:paraId="4DDAB5EC" w14:textId="69CECD62" w:rsidR="00ED08FB" w:rsidRPr="00ED08FB" w:rsidRDefault="00ED08FB" w:rsidP="00ED08FB">
            <w:pPr>
              <w:pStyle w:val="Tabletext"/>
              <w:rPr>
                <w:noProof/>
                <w:sz w:val="20"/>
                <w:szCs w:val="32"/>
              </w:rPr>
            </w:pPr>
            <w:r w:rsidRPr="00B05194">
              <w:rPr>
                <w:noProof/>
                <w:sz w:val="20"/>
                <w:szCs w:val="32"/>
              </w:rPr>
              <w:t>0.000</w:t>
            </w:r>
          </w:p>
        </w:tc>
        <w:tc>
          <w:tcPr>
            <w:tcW w:w="447" w:type="pct"/>
            <w:shd w:val="clear" w:color="auto" w:fill="F2F2F2" w:themeFill="background1" w:themeFillShade="F2"/>
            <w:noWrap/>
          </w:tcPr>
          <w:p w14:paraId="5A81FBB8" w14:textId="3DAA2415" w:rsidR="00ED08FB" w:rsidRPr="00FD4B16" w:rsidRDefault="00664971" w:rsidP="00ED08FB">
            <w:pPr>
              <w:pStyle w:val="Tabletext"/>
              <w:rPr>
                <w:noProof/>
                <w:sz w:val="20"/>
                <w:szCs w:val="32"/>
              </w:rPr>
            </w:pPr>
            <w:r w:rsidRPr="00B05194">
              <w:rPr>
                <w:noProof/>
                <w:sz w:val="20"/>
                <w:szCs w:val="32"/>
              </w:rPr>
              <w:t>-0.102</w:t>
            </w:r>
          </w:p>
        </w:tc>
        <w:tc>
          <w:tcPr>
            <w:tcW w:w="440" w:type="pct"/>
            <w:shd w:val="clear" w:color="auto" w:fill="F2F2F2" w:themeFill="background1" w:themeFillShade="F2"/>
            <w:noWrap/>
          </w:tcPr>
          <w:p w14:paraId="47A2ABA4" w14:textId="433720A8" w:rsidR="00ED08FB" w:rsidRPr="00FD4B16" w:rsidRDefault="00FD4B16" w:rsidP="00ED08FB">
            <w:pPr>
              <w:pStyle w:val="Tabletext"/>
              <w:rPr>
                <w:noProof/>
                <w:sz w:val="20"/>
                <w:szCs w:val="32"/>
              </w:rPr>
            </w:pPr>
            <w:r w:rsidRPr="00B05194">
              <w:rPr>
                <w:noProof/>
                <w:sz w:val="20"/>
                <w:szCs w:val="32"/>
              </w:rPr>
              <w:t>-0.205</w:t>
            </w:r>
          </w:p>
        </w:tc>
      </w:tr>
      <w:tr w:rsidR="00EA5190" w:rsidRPr="00E27936" w14:paraId="5C4CB22C" w14:textId="77777777" w:rsidTr="00B05194">
        <w:trPr>
          <w:trHeight w:val="296"/>
        </w:trPr>
        <w:tc>
          <w:tcPr>
            <w:tcW w:w="611" w:type="pct"/>
            <w:noWrap/>
            <w:vAlign w:val="bottom"/>
            <w:hideMark/>
          </w:tcPr>
          <w:p w14:paraId="749816FC" w14:textId="717F94D7" w:rsidR="00EA5190" w:rsidRPr="008D0BAC" w:rsidRDefault="00EA5190" w:rsidP="00EA5190">
            <w:pPr>
              <w:pStyle w:val="Tabletext"/>
              <w:rPr>
                <w:b/>
                <w:noProof/>
                <w:sz w:val="20"/>
                <w:szCs w:val="20"/>
              </w:rPr>
            </w:pPr>
            <w:r w:rsidRPr="008D0BAC">
              <w:rPr>
                <w:b/>
                <w:noProof/>
                <w:sz w:val="20"/>
                <w:szCs w:val="20"/>
              </w:rPr>
              <w:t>PO2</w:t>
            </w:r>
            <w:r>
              <w:rPr>
                <w:b/>
                <w:noProof/>
                <w:sz w:val="20"/>
                <w:szCs w:val="20"/>
              </w:rPr>
              <w:t>-</w:t>
            </w:r>
            <w:r w:rsidRPr="008D0BAC">
              <w:rPr>
                <w:b/>
                <w:noProof/>
                <w:sz w:val="20"/>
                <w:szCs w:val="20"/>
              </w:rPr>
              <w:t>A</w:t>
            </w:r>
          </w:p>
        </w:tc>
        <w:tc>
          <w:tcPr>
            <w:tcW w:w="371" w:type="pct"/>
            <w:noWrap/>
            <w:hideMark/>
          </w:tcPr>
          <w:p w14:paraId="09B6B936" w14:textId="34EC9D81" w:rsidR="00EA5190" w:rsidRPr="00EA5190" w:rsidRDefault="00EA5190" w:rsidP="00EA5190">
            <w:pPr>
              <w:pStyle w:val="Tabletext"/>
              <w:rPr>
                <w:noProof/>
                <w:sz w:val="20"/>
                <w:szCs w:val="20"/>
              </w:rPr>
            </w:pPr>
            <w:r w:rsidRPr="00B05194">
              <w:rPr>
                <w:noProof/>
                <w:sz w:val="20"/>
                <w:szCs w:val="20"/>
              </w:rPr>
              <w:t>-0.074</w:t>
            </w:r>
          </w:p>
        </w:tc>
        <w:tc>
          <w:tcPr>
            <w:tcW w:w="449" w:type="pct"/>
            <w:noWrap/>
            <w:hideMark/>
          </w:tcPr>
          <w:p w14:paraId="41EC033D" w14:textId="74633AD9" w:rsidR="00EA5190" w:rsidRPr="00EA5190" w:rsidRDefault="00EA5190" w:rsidP="00EA5190">
            <w:pPr>
              <w:pStyle w:val="Tabletext"/>
              <w:rPr>
                <w:noProof/>
                <w:sz w:val="20"/>
                <w:szCs w:val="20"/>
              </w:rPr>
            </w:pPr>
            <w:r w:rsidRPr="00B05194">
              <w:rPr>
                <w:noProof/>
                <w:sz w:val="20"/>
                <w:szCs w:val="20"/>
              </w:rPr>
              <w:t>-0.044</w:t>
            </w:r>
          </w:p>
        </w:tc>
        <w:tc>
          <w:tcPr>
            <w:tcW w:w="478" w:type="pct"/>
            <w:noWrap/>
            <w:hideMark/>
          </w:tcPr>
          <w:p w14:paraId="164524F6" w14:textId="1DD580A2" w:rsidR="00EA5190" w:rsidRPr="00EA5190" w:rsidRDefault="00EA5190" w:rsidP="00EA5190">
            <w:pPr>
              <w:pStyle w:val="Tabletext"/>
              <w:rPr>
                <w:noProof/>
                <w:sz w:val="20"/>
                <w:szCs w:val="20"/>
              </w:rPr>
            </w:pPr>
            <w:r w:rsidRPr="00B05194">
              <w:rPr>
                <w:noProof/>
                <w:sz w:val="20"/>
                <w:szCs w:val="20"/>
              </w:rPr>
              <w:t>0.229</w:t>
            </w:r>
          </w:p>
        </w:tc>
        <w:tc>
          <w:tcPr>
            <w:tcW w:w="416" w:type="pct"/>
            <w:noWrap/>
            <w:hideMark/>
          </w:tcPr>
          <w:p w14:paraId="75A7B71F" w14:textId="22B48C9D" w:rsidR="00EA5190" w:rsidRPr="00EA5190" w:rsidRDefault="00EA5190" w:rsidP="00EA5190">
            <w:pPr>
              <w:pStyle w:val="Tabletext"/>
              <w:rPr>
                <w:noProof/>
                <w:sz w:val="20"/>
                <w:szCs w:val="20"/>
              </w:rPr>
            </w:pPr>
            <w:r w:rsidRPr="00B05194">
              <w:rPr>
                <w:noProof/>
                <w:sz w:val="20"/>
                <w:szCs w:val="20"/>
              </w:rPr>
              <w:t>0.559</w:t>
            </w:r>
          </w:p>
        </w:tc>
        <w:tc>
          <w:tcPr>
            <w:tcW w:w="447" w:type="pct"/>
            <w:noWrap/>
            <w:hideMark/>
          </w:tcPr>
          <w:p w14:paraId="3E292496" w14:textId="03831AA3" w:rsidR="00EA5190" w:rsidRPr="00EA5190" w:rsidRDefault="00EA5190" w:rsidP="00EA5190">
            <w:pPr>
              <w:pStyle w:val="Tabletext"/>
              <w:rPr>
                <w:noProof/>
                <w:sz w:val="20"/>
                <w:szCs w:val="20"/>
              </w:rPr>
            </w:pPr>
            <w:r w:rsidRPr="00B05194">
              <w:rPr>
                <w:noProof/>
                <w:sz w:val="20"/>
                <w:szCs w:val="20"/>
              </w:rPr>
              <w:t>0.026</w:t>
            </w:r>
          </w:p>
        </w:tc>
        <w:tc>
          <w:tcPr>
            <w:tcW w:w="447" w:type="pct"/>
            <w:noWrap/>
            <w:hideMark/>
          </w:tcPr>
          <w:p w14:paraId="4B6D5FF0" w14:textId="57A18A26" w:rsidR="00EA5190" w:rsidRPr="00EA5190" w:rsidRDefault="00EA5190" w:rsidP="00EA5190">
            <w:pPr>
              <w:pStyle w:val="Tabletext"/>
              <w:rPr>
                <w:noProof/>
                <w:sz w:val="20"/>
                <w:szCs w:val="20"/>
              </w:rPr>
            </w:pPr>
            <w:r w:rsidRPr="00B05194">
              <w:rPr>
                <w:noProof/>
                <w:sz w:val="20"/>
                <w:szCs w:val="20"/>
              </w:rPr>
              <w:t>0.005</w:t>
            </w:r>
          </w:p>
        </w:tc>
        <w:tc>
          <w:tcPr>
            <w:tcW w:w="447" w:type="pct"/>
            <w:noWrap/>
            <w:hideMark/>
          </w:tcPr>
          <w:p w14:paraId="3E066509" w14:textId="6B3DB0B7" w:rsidR="00EA5190" w:rsidRPr="00EA5190" w:rsidRDefault="00EA5190" w:rsidP="00EA5190">
            <w:pPr>
              <w:pStyle w:val="Tabletext"/>
              <w:rPr>
                <w:noProof/>
                <w:sz w:val="20"/>
                <w:szCs w:val="20"/>
              </w:rPr>
            </w:pPr>
            <w:r w:rsidRPr="00B05194">
              <w:rPr>
                <w:noProof/>
                <w:sz w:val="20"/>
                <w:szCs w:val="20"/>
              </w:rPr>
              <w:t>0.229</w:t>
            </w:r>
          </w:p>
        </w:tc>
        <w:tc>
          <w:tcPr>
            <w:tcW w:w="447" w:type="pct"/>
            <w:noWrap/>
            <w:hideMark/>
          </w:tcPr>
          <w:p w14:paraId="165EE4DC" w14:textId="38B13F50" w:rsidR="00EA5190" w:rsidRPr="00EA5190" w:rsidRDefault="00EA5190" w:rsidP="00EA5190">
            <w:pPr>
              <w:pStyle w:val="Tabletext"/>
              <w:rPr>
                <w:noProof/>
                <w:sz w:val="20"/>
                <w:szCs w:val="20"/>
              </w:rPr>
            </w:pPr>
            <w:r w:rsidRPr="00B05194">
              <w:rPr>
                <w:noProof/>
                <w:sz w:val="20"/>
                <w:szCs w:val="20"/>
              </w:rPr>
              <w:t>0.047</w:t>
            </w:r>
          </w:p>
        </w:tc>
        <w:tc>
          <w:tcPr>
            <w:tcW w:w="447" w:type="pct"/>
            <w:noWrap/>
            <w:hideMark/>
          </w:tcPr>
          <w:p w14:paraId="517E968D" w14:textId="02D6AA05" w:rsidR="00EA5190" w:rsidRPr="00EA5190" w:rsidRDefault="00EA5190" w:rsidP="00EA5190">
            <w:pPr>
              <w:pStyle w:val="Tabletext"/>
              <w:rPr>
                <w:noProof/>
                <w:sz w:val="20"/>
                <w:szCs w:val="20"/>
              </w:rPr>
            </w:pPr>
            <w:r w:rsidRPr="00B05194">
              <w:rPr>
                <w:noProof/>
                <w:sz w:val="20"/>
                <w:szCs w:val="20"/>
              </w:rPr>
              <w:t>0.411</w:t>
            </w:r>
          </w:p>
        </w:tc>
        <w:tc>
          <w:tcPr>
            <w:tcW w:w="440" w:type="pct"/>
            <w:noWrap/>
            <w:hideMark/>
          </w:tcPr>
          <w:p w14:paraId="006275C5" w14:textId="00454003" w:rsidR="00EA5190" w:rsidRPr="00EA5190" w:rsidRDefault="00EA5190" w:rsidP="00EA5190">
            <w:pPr>
              <w:pStyle w:val="Tabletext"/>
              <w:rPr>
                <w:noProof/>
                <w:sz w:val="20"/>
                <w:szCs w:val="20"/>
              </w:rPr>
            </w:pPr>
            <w:r w:rsidRPr="00B05194">
              <w:rPr>
                <w:noProof/>
                <w:sz w:val="20"/>
                <w:szCs w:val="20"/>
              </w:rPr>
              <w:t>0.567</w:t>
            </w:r>
          </w:p>
        </w:tc>
      </w:tr>
      <w:tr w:rsidR="00EA5190" w:rsidRPr="00E27936" w14:paraId="76BDAC83" w14:textId="77777777" w:rsidTr="00B05194">
        <w:trPr>
          <w:trHeight w:val="296"/>
        </w:trPr>
        <w:tc>
          <w:tcPr>
            <w:tcW w:w="611" w:type="pct"/>
            <w:noWrap/>
            <w:vAlign w:val="bottom"/>
            <w:hideMark/>
          </w:tcPr>
          <w:p w14:paraId="055C3741" w14:textId="467DE022" w:rsidR="00EA5190" w:rsidRPr="008D0BAC" w:rsidRDefault="00EA5190" w:rsidP="00EA5190">
            <w:pPr>
              <w:pStyle w:val="Tabletext"/>
              <w:rPr>
                <w:b/>
                <w:noProof/>
                <w:sz w:val="20"/>
                <w:szCs w:val="20"/>
              </w:rPr>
            </w:pPr>
            <w:r w:rsidRPr="008D0BAC">
              <w:rPr>
                <w:b/>
                <w:noProof/>
                <w:sz w:val="20"/>
                <w:szCs w:val="20"/>
              </w:rPr>
              <w:t>PO2</w:t>
            </w:r>
            <w:r>
              <w:rPr>
                <w:b/>
                <w:noProof/>
                <w:sz w:val="20"/>
                <w:szCs w:val="20"/>
              </w:rPr>
              <w:t>-</w:t>
            </w:r>
            <w:r w:rsidRPr="008D0BAC">
              <w:rPr>
                <w:b/>
                <w:noProof/>
                <w:sz w:val="20"/>
                <w:szCs w:val="20"/>
              </w:rPr>
              <w:t>B</w:t>
            </w:r>
          </w:p>
        </w:tc>
        <w:tc>
          <w:tcPr>
            <w:tcW w:w="371" w:type="pct"/>
            <w:noWrap/>
            <w:hideMark/>
          </w:tcPr>
          <w:p w14:paraId="3DC05E61" w14:textId="7BB55D6C" w:rsidR="00EA5190" w:rsidRPr="00EA5190" w:rsidRDefault="00EA5190" w:rsidP="00EA5190">
            <w:pPr>
              <w:pStyle w:val="Tabletext"/>
              <w:rPr>
                <w:noProof/>
                <w:sz w:val="20"/>
                <w:szCs w:val="20"/>
              </w:rPr>
            </w:pPr>
            <w:r w:rsidRPr="00B05194">
              <w:rPr>
                <w:noProof/>
                <w:sz w:val="20"/>
                <w:szCs w:val="20"/>
              </w:rPr>
              <w:t>0.009</w:t>
            </w:r>
          </w:p>
        </w:tc>
        <w:tc>
          <w:tcPr>
            <w:tcW w:w="449" w:type="pct"/>
            <w:noWrap/>
            <w:hideMark/>
          </w:tcPr>
          <w:p w14:paraId="17F177B2" w14:textId="77CE011F" w:rsidR="00EA5190" w:rsidRPr="00EA5190" w:rsidRDefault="00EA5190" w:rsidP="00EA5190">
            <w:pPr>
              <w:pStyle w:val="Tabletext"/>
              <w:rPr>
                <w:noProof/>
                <w:sz w:val="20"/>
                <w:szCs w:val="20"/>
              </w:rPr>
            </w:pPr>
            <w:r w:rsidRPr="00B05194">
              <w:rPr>
                <w:noProof/>
                <w:sz w:val="20"/>
                <w:szCs w:val="20"/>
              </w:rPr>
              <w:t>0.113</w:t>
            </w:r>
          </w:p>
        </w:tc>
        <w:tc>
          <w:tcPr>
            <w:tcW w:w="478" w:type="pct"/>
            <w:noWrap/>
            <w:hideMark/>
          </w:tcPr>
          <w:p w14:paraId="2589B3F1" w14:textId="350DECE3" w:rsidR="00EA5190" w:rsidRPr="00EA5190" w:rsidRDefault="00EA5190" w:rsidP="00EA5190">
            <w:pPr>
              <w:pStyle w:val="Tabletext"/>
              <w:rPr>
                <w:noProof/>
                <w:sz w:val="20"/>
                <w:szCs w:val="20"/>
              </w:rPr>
            </w:pPr>
            <w:r w:rsidRPr="00B05194">
              <w:rPr>
                <w:noProof/>
                <w:sz w:val="20"/>
                <w:szCs w:val="20"/>
              </w:rPr>
              <w:t>0.171</w:t>
            </w:r>
          </w:p>
        </w:tc>
        <w:tc>
          <w:tcPr>
            <w:tcW w:w="416" w:type="pct"/>
            <w:noWrap/>
            <w:hideMark/>
          </w:tcPr>
          <w:p w14:paraId="2EC8FAF2" w14:textId="72458638" w:rsidR="00EA5190" w:rsidRPr="00EA5190" w:rsidRDefault="00EA5190" w:rsidP="00EA5190">
            <w:pPr>
              <w:pStyle w:val="Tabletext"/>
              <w:rPr>
                <w:noProof/>
                <w:sz w:val="20"/>
                <w:szCs w:val="20"/>
              </w:rPr>
            </w:pPr>
            <w:r w:rsidRPr="00B05194">
              <w:rPr>
                <w:noProof/>
                <w:sz w:val="20"/>
                <w:szCs w:val="20"/>
              </w:rPr>
              <w:t>0.445</w:t>
            </w:r>
          </w:p>
        </w:tc>
        <w:tc>
          <w:tcPr>
            <w:tcW w:w="447" w:type="pct"/>
            <w:noWrap/>
            <w:hideMark/>
          </w:tcPr>
          <w:p w14:paraId="6F4FD9F2" w14:textId="703B16AA" w:rsidR="00EA5190" w:rsidRPr="00EA5190" w:rsidRDefault="00EA5190" w:rsidP="00EA5190">
            <w:pPr>
              <w:pStyle w:val="Tabletext"/>
              <w:rPr>
                <w:noProof/>
                <w:sz w:val="20"/>
                <w:szCs w:val="20"/>
              </w:rPr>
            </w:pPr>
            <w:r w:rsidRPr="00B05194">
              <w:rPr>
                <w:noProof/>
                <w:sz w:val="20"/>
                <w:szCs w:val="20"/>
              </w:rPr>
              <w:t>0.029</w:t>
            </w:r>
          </w:p>
        </w:tc>
        <w:tc>
          <w:tcPr>
            <w:tcW w:w="447" w:type="pct"/>
            <w:noWrap/>
            <w:hideMark/>
          </w:tcPr>
          <w:p w14:paraId="6569166B" w14:textId="25E16F92" w:rsidR="00EA5190" w:rsidRPr="00EA5190" w:rsidRDefault="00EA5190" w:rsidP="00EA5190">
            <w:pPr>
              <w:pStyle w:val="Tabletext"/>
              <w:rPr>
                <w:noProof/>
                <w:sz w:val="20"/>
                <w:szCs w:val="20"/>
              </w:rPr>
            </w:pPr>
            <w:r w:rsidRPr="00B05194">
              <w:rPr>
                <w:noProof/>
                <w:sz w:val="20"/>
                <w:szCs w:val="20"/>
              </w:rPr>
              <w:t>0.006</w:t>
            </w:r>
          </w:p>
        </w:tc>
        <w:tc>
          <w:tcPr>
            <w:tcW w:w="447" w:type="pct"/>
            <w:noWrap/>
            <w:hideMark/>
          </w:tcPr>
          <w:p w14:paraId="0B8DEA4E" w14:textId="5481F899" w:rsidR="00EA5190" w:rsidRPr="00EA5190" w:rsidRDefault="00EA5190" w:rsidP="00EA5190">
            <w:pPr>
              <w:pStyle w:val="Tabletext"/>
              <w:rPr>
                <w:noProof/>
                <w:sz w:val="20"/>
                <w:szCs w:val="20"/>
              </w:rPr>
            </w:pPr>
            <w:r w:rsidRPr="00B05194">
              <w:rPr>
                <w:noProof/>
                <w:sz w:val="20"/>
                <w:szCs w:val="20"/>
              </w:rPr>
              <w:t>0.183</w:t>
            </w:r>
          </w:p>
        </w:tc>
        <w:tc>
          <w:tcPr>
            <w:tcW w:w="447" w:type="pct"/>
            <w:noWrap/>
            <w:hideMark/>
          </w:tcPr>
          <w:p w14:paraId="5E62673C" w14:textId="192AE724" w:rsidR="00EA5190" w:rsidRPr="00EA5190" w:rsidRDefault="00EA5190" w:rsidP="00EA5190">
            <w:pPr>
              <w:pStyle w:val="Tabletext"/>
              <w:rPr>
                <w:noProof/>
                <w:sz w:val="20"/>
                <w:szCs w:val="20"/>
              </w:rPr>
            </w:pPr>
            <w:r w:rsidRPr="00B05194">
              <w:rPr>
                <w:noProof/>
                <w:sz w:val="20"/>
                <w:szCs w:val="20"/>
              </w:rPr>
              <w:t>0.037</w:t>
            </w:r>
          </w:p>
        </w:tc>
        <w:tc>
          <w:tcPr>
            <w:tcW w:w="447" w:type="pct"/>
            <w:noWrap/>
            <w:hideMark/>
          </w:tcPr>
          <w:p w14:paraId="001F4BC8" w14:textId="1DF21697" w:rsidR="00EA5190" w:rsidRPr="00EA5190" w:rsidRDefault="00EA5190" w:rsidP="00EA5190">
            <w:pPr>
              <w:pStyle w:val="Tabletext"/>
              <w:rPr>
                <w:noProof/>
                <w:sz w:val="20"/>
                <w:szCs w:val="20"/>
              </w:rPr>
            </w:pPr>
            <w:r w:rsidRPr="00B05194">
              <w:rPr>
                <w:noProof/>
                <w:sz w:val="20"/>
                <w:szCs w:val="20"/>
              </w:rPr>
              <w:t>0.392</w:t>
            </w:r>
          </w:p>
        </w:tc>
        <w:tc>
          <w:tcPr>
            <w:tcW w:w="440" w:type="pct"/>
            <w:noWrap/>
            <w:hideMark/>
          </w:tcPr>
          <w:p w14:paraId="4BAAE91C" w14:textId="6B594F68" w:rsidR="00EA5190" w:rsidRPr="00EA5190" w:rsidRDefault="00EA5190" w:rsidP="00EA5190">
            <w:pPr>
              <w:pStyle w:val="Tabletext"/>
              <w:rPr>
                <w:noProof/>
                <w:sz w:val="20"/>
                <w:szCs w:val="20"/>
              </w:rPr>
            </w:pPr>
            <w:r w:rsidRPr="00B05194">
              <w:rPr>
                <w:noProof/>
                <w:sz w:val="20"/>
                <w:szCs w:val="20"/>
              </w:rPr>
              <w:t>0.601</w:t>
            </w:r>
          </w:p>
        </w:tc>
      </w:tr>
      <w:tr w:rsidR="00EA5190" w:rsidRPr="00E27936" w14:paraId="3E0CD689" w14:textId="77777777" w:rsidTr="00B05194">
        <w:trPr>
          <w:trHeight w:val="296"/>
        </w:trPr>
        <w:tc>
          <w:tcPr>
            <w:tcW w:w="611" w:type="pct"/>
            <w:noWrap/>
            <w:vAlign w:val="bottom"/>
            <w:hideMark/>
          </w:tcPr>
          <w:p w14:paraId="659027E8" w14:textId="660C6512" w:rsidR="00EA5190" w:rsidRPr="008D0BAC" w:rsidRDefault="00EA5190" w:rsidP="00EA5190">
            <w:pPr>
              <w:pStyle w:val="Tabletext"/>
              <w:rPr>
                <w:b/>
                <w:noProof/>
                <w:sz w:val="20"/>
                <w:szCs w:val="20"/>
              </w:rPr>
            </w:pPr>
            <w:r w:rsidRPr="008D0BAC">
              <w:rPr>
                <w:b/>
                <w:noProof/>
                <w:sz w:val="20"/>
                <w:szCs w:val="20"/>
              </w:rPr>
              <w:t>PO2</w:t>
            </w:r>
            <w:r>
              <w:rPr>
                <w:b/>
                <w:noProof/>
                <w:sz w:val="20"/>
                <w:szCs w:val="20"/>
              </w:rPr>
              <w:t>-</w:t>
            </w:r>
            <w:r w:rsidRPr="008D0BAC">
              <w:rPr>
                <w:b/>
                <w:noProof/>
                <w:sz w:val="20"/>
                <w:szCs w:val="20"/>
              </w:rPr>
              <w:t>C</w:t>
            </w:r>
          </w:p>
        </w:tc>
        <w:tc>
          <w:tcPr>
            <w:tcW w:w="371" w:type="pct"/>
            <w:noWrap/>
            <w:hideMark/>
          </w:tcPr>
          <w:p w14:paraId="6657D51B" w14:textId="5C483D98" w:rsidR="00EA5190" w:rsidRPr="00EA5190" w:rsidRDefault="00EA5190" w:rsidP="00EA5190">
            <w:pPr>
              <w:pStyle w:val="Tabletext"/>
              <w:rPr>
                <w:noProof/>
                <w:sz w:val="20"/>
                <w:szCs w:val="20"/>
              </w:rPr>
            </w:pPr>
            <w:r w:rsidRPr="00B05194">
              <w:rPr>
                <w:noProof/>
                <w:sz w:val="20"/>
                <w:szCs w:val="20"/>
              </w:rPr>
              <w:t>0.036</w:t>
            </w:r>
          </w:p>
        </w:tc>
        <w:tc>
          <w:tcPr>
            <w:tcW w:w="449" w:type="pct"/>
            <w:noWrap/>
            <w:hideMark/>
          </w:tcPr>
          <w:p w14:paraId="5297673E" w14:textId="5A6FD0F3" w:rsidR="00EA5190" w:rsidRPr="00EA5190" w:rsidRDefault="00EA5190" w:rsidP="00EA5190">
            <w:pPr>
              <w:pStyle w:val="Tabletext"/>
              <w:rPr>
                <w:noProof/>
                <w:sz w:val="20"/>
                <w:szCs w:val="20"/>
              </w:rPr>
            </w:pPr>
            <w:r w:rsidRPr="00B05194">
              <w:rPr>
                <w:noProof/>
                <w:sz w:val="20"/>
                <w:szCs w:val="20"/>
              </w:rPr>
              <w:t>0.180</w:t>
            </w:r>
          </w:p>
        </w:tc>
        <w:tc>
          <w:tcPr>
            <w:tcW w:w="478" w:type="pct"/>
            <w:noWrap/>
            <w:hideMark/>
          </w:tcPr>
          <w:p w14:paraId="156087B9" w14:textId="0EAFE73A" w:rsidR="00EA5190" w:rsidRPr="00EA5190" w:rsidRDefault="00EA5190" w:rsidP="00EA5190">
            <w:pPr>
              <w:pStyle w:val="Tabletext"/>
              <w:rPr>
                <w:noProof/>
                <w:sz w:val="20"/>
                <w:szCs w:val="20"/>
              </w:rPr>
            </w:pPr>
            <w:r w:rsidRPr="00B05194">
              <w:rPr>
                <w:noProof/>
                <w:sz w:val="20"/>
                <w:szCs w:val="20"/>
              </w:rPr>
              <w:t>0.225</w:t>
            </w:r>
          </w:p>
        </w:tc>
        <w:tc>
          <w:tcPr>
            <w:tcW w:w="416" w:type="pct"/>
            <w:noWrap/>
            <w:hideMark/>
          </w:tcPr>
          <w:p w14:paraId="334381A6" w14:textId="0D465398" w:rsidR="00EA5190" w:rsidRPr="00EA5190" w:rsidRDefault="00EA5190" w:rsidP="00EA5190">
            <w:pPr>
              <w:pStyle w:val="Tabletext"/>
              <w:rPr>
                <w:noProof/>
                <w:sz w:val="20"/>
                <w:szCs w:val="20"/>
              </w:rPr>
            </w:pPr>
            <w:r w:rsidRPr="00B05194">
              <w:rPr>
                <w:noProof/>
                <w:sz w:val="20"/>
                <w:szCs w:val="20"/>
              </w:rPr>
              <w:t>0.582</w:t>
            </w:r>
          </w:p>
        </w:tc>
        <w:tc>
          <w:tcPr>
            <w:tcW w:w="447" w:type="pct"/>
            <w:noWrap/>
            <w:hideMark/>
          </w:tcPr>
          <w:p w14:paraId="3FD1950C" w14:textId="5E01B88C" w:rsidR="00EA5190" w:rsidRPr="00EA5190" w:rsidRDefault="00EA5190" w:rsidP="00EA5190">
            <w:pPr>
              <w:pStyle w:val="Tabletext"/>
              <w:rPr>
                <w:noProof/>
                <w:sz w:val="20"/>
                <w:szCs w:val="20"/>
              </w:rPr>
            </w:pPr>
            <w:r w:rsidRPr="00B05194">
              <w:rPr>
                <w:noProof/>
                <w:sz w:val="20"/>
                <w:szCs w:val="20"/>
              </w:rPr>
              <w:t>0.033</w:t>
            </w:r>
          </w:p>
        </w:tc>
        <w:tc>
          <w:tcPr>
            <w:tcW w:w="447" w:type="pct"/>
            <w:noWrap/>
            <w:hideMark/>
          </w:tcPr>
          <w:p w14:paraId="664FBBBB" w14:textId="0311B3E5" w:rsidR="00EA5190" w:rsidRPr="00EA5190" w:rsidRDefault="00EA5190" w:rsidP="00EA5190">
            <w:pPr>
              <w:pStyle w:val="Tabletext"/>
              <w:rPr>
                <w:noProof/>
                <w:sz w:val="20"/>
                <w:szCs w:val="20"/>
              </w:rPr>
            </w:pPr>
            <w:r w:rsidRPr="00B05194">
              <w:rPr>
                <w:noProof/>
                <w:sz w:val="20"/>
                <w:szCs w:val="20"/>
              </w:rPr>
              <w:t>0.007</w:t>
            </w:r>
          </w:p>
        </w:tc>
        <w:tc>
          <w:tcPr>
            <w:tcW w:w="447" w:type="pct"/>
            <w:noWrap/>
            <w:hideMark/>
          </w:tcPr>
          <w:p w14:paraId="1BE1F4FD" w14:textId="592F1448" w:rsidR="00EA5190" w:rsidRPr="00EA5190" w:rsidRDefault="00EA5190" w:rsidP="00EA5190">
            <w:pPr>
              <w:pStyle w:val="Tabletext"/>
              <w:rPr>
                <w:noProof/>
                <w:sz w:val="20"/>
                <w:szCs w:val="20"/>
              </w:rPr>
            </w:pPr>
            <w:r w:rsidRPr="00B05194">
              <w:rPr>
                <w:noProof/>
                <w:sz w:val="20"/>
                <w:szCs w:val="20"/>
              </w:rPr>
              <w:t>0.215</w:t>
            </w:r>
          </w:p>
        </w:tc>
        <w:tc>
          <w:tcPr>
            <w:tcW w:w="447" w:type="pct"/>
            <w:noWrap/>
            <w:hideMark/>
          </w:tcPr>
          <w:p w14:paraId="468051A5" w14:textId="7E2A01EB" w:rsidR="00EA5190" w:rsidRPr="00EA5190" w:rsidRDefault="00EA5190" w:rsidP="00EA5190">
            <w:pPr>
              <w:pStyle w:val="Tabletext"/>
              <w:rPr>
                <w:noProof/>
                <w:sz w:val="20"/>
                <w:szCs w:val="20"/>
              </w:rPr>
            </w:pPr>
            <w:r w:rsidRPr="00B05194">
              <w:rPr>
                <w:noProof/>
                <w:sz w:val="20"/>
                <w:szCs w:val="20"/>
              </w:rPr>
              <w:t>0.044</w:t>
            </w:r>
          </w:p>
        </w:tc>
        <w:tc>
          <w:tcPr>
            <w:tcW w:w="447" w:type="pct"/>
            <w:noWrap/>
            <w:hideMark/>
          </w:tcPr>
          <w:p w14:paraId="43C90893" w14:textId="2C989D91" w:rsidR="00EA5190" w:rsidRPr="00EA5190" w:rsidRDefault="00EA5190" w:rsidP="00EA5190">
            <w:pPr>
              <w:pStyle w:val="Tabletext"/>
              <w:rPr>
                <w:noProof/>
                <w:sz w:val="20"/>
                <w:szCs w:val="20"/>
              </w:rPr>
            </w:pPr>
            <w:r w:rsidRPr="00B05194">
              <w:rPr>
                <w:noProof/>
                <w:sz w:val="20"/>
                <w:szCs w:val="20"/>
              </w:rPr>
              <w:t>0.509</w:t>
            </w:r>
          </w:p>
        </w:tc>
        <w:tc>
          <w:tcPr>
            <w:tcW w:w="440" w:type="pct"/>
            <w:noWrap/>
            <w:hideMark/>
          </w:tcPr>
          <w:p w14:paraId="125ABCE2" w14:textId="75E18DA1" w:rsidR="00EA5190" w:rsidRPr="00EA5190" w:rsidRDefault="00EA5190" w:rsidP="00EA5190">
            <w:pPr>
              <w:pStyle w:val="Tabletext"/>
              <w:rPr>
                <w:noProof/>
                <w:sz w:val="20"/>
                <w:szCs w:val="20"/>
              </w:rPr>
            </w:pPr>
            <w:r w:rsidRPr="00B05194">
              <w:rPr>
                <w:noProof/>
                <w:sz w:val="20"/>
                <w:szCs w:val="20"/>
              </w:rPr>
              <w:t>0.812</w:t>
            </w:r>
          </w:p>
        </w:tc>
      </w:tr>
      <w:tr w:rsidR="00EB1721" w:rsidRPr="00E27936" w14:paraId="4515E85B" w14:textId="77777777" w:rsidTr="00B05194">
        <w:trPr>
          <w:trHeight w:val="296"/>
        </w:trPr>
        <w:tc>
          <w:tcPr>
            <w:tcW w:w="5000" w:type="pct"/>
            <w:gridSpan w:val="11"/>
            <w:shd w:val="clear" w:color="auto" w:fill="DBE5F1" w:themeFill="accent1" w:themeFillTint="33"/>
            <w:noWrap/>
            <w:vAlign w:val="bottom"/>
          </w:tcPr>
          <w:p w14:paraId="0D8F1499" w14:textId="77777777" w:rsidR="00EB1721" w:rsidRPr="008D0BAC" w:rsidRDefault="00EB1721" w:rsidP="000E45B1">
            <w:pPr>
              <w:pStyle w:val="Tabletext"/>
              <w:jc w:val="center"/>
              <w:rPr>
                <w:b/>
                <w:noProof/>
                <w:sz w:val="20"/>
                <w:szCs w:val="20"/>
              </w:rPr>
            </w:pPr>
            <w:r w:rsidRPr="008D0BAC">
              <w:rPr>
                <w:b/>
                <w:noProof/>
                <w:sz w:val="20"/>
                <w:szCs w:val="20"/>
              </w:rPr>
              <w:t>SMEs</w:t>
            </w:r>
          </w:p>
        </w:tc>
      </w:tr>
      <w:tr w:rsidR="00EB1721" w:rsidRPr="00E27936" w14:paraId="073BA239" w14:textId="77777777" w:rsidTr="00B05194">
        <w:trPr>
          <w:trHeight w:val="296"/>
        </w:trPr>
        <w:tc>
          <w:tcPr>
            <w:tcW w:w="611" w:type="pct"/>
            <w:noWrap/>
          </w:tcPr>
          <w:p w14:paraId="747FBC6E" w14:textId="77777777" w:rsidR="00EB1721" w:rsidRPr="008D0BAC" w:rsidRDefault="00EB1721" w:rsidP="000E45B1">
            <w:pPr>
              <w:pStyle w:val="Tabletext"/>
              <w:rPr>
                <w:b/>
                <w:noProof/>
                <w:sz w:val="20"/>
                <w:szCs w:val="20"/>
              </w:rPr>
            </w:pPr>
            <w:r w:rsidRPr="008D0BAC">
              <w:rPr>
                <w:b/>
                <w:noProof/>
                <w:sz w:val="20"/>
                <w:szCs w:val="20"/>
              </w:rPr>
              <w:t>Option</w:t>
            </w:r>
          </w:p>
        </w:tc>
        <w:tc>
          <w:tcPr>
            <w:tcW w:w="371" w:type="pct"/>
            <w:noWrap/>
          </w:tcPr>
          <w:p w14:paraId="636CABD7" w14:textId="77777777" w:rsidR="00EB1721" w:rsidRPr="008D0BAC" w:rsidRDefault="00EB1721" w:rsidP="000E45B1">
            <w:pPr>
              <w:pStyle w:val="Tabletext"/>
              <w:rPr>
                <w:noProof/>
                <w:sz w:val="20"/>
                <w:szCs w:val="20"/>
              </w:rPr>
            </w:pPr>
            <w:r w:rsidRPr="008D0BAC">
              <w:rPr>
                <w:b/>
                <w:noProof/>
                <w:sz w:val="20"/>
                <w:szCs w:val="20"/>
              </w:rPr>
              <w:t>EW</w:t>
            </w:r>
          </w:p>
        </w:tc>
        <w:tc>
          <w:tcPr>
            <w:tcW w:w="449" w:type="pct"/>
            <w:noWrap/>
          </w:tcPr>
          <w:p w14:paraId="5B0935E3" w14:textId="77777777" w:rsidR="00EB1721" w:rsidRPr="008D0BAC" w:rsidRDefault="00EB1721" w:rsidP="000E45B1">
            <w:pPr>
              <w:pStyle w:val="Tabletext"/>
              <w:rPr>
                <w:noProof/>
                <w:sz w:val="20"/>
                <w:szCs w:val="20"/>
              </w:rPr>
            </w:pPr>
            <w:r w:rsidRPr="008D0BAC">
              <w:rPr>
                <w:b/>
                <w:noProof/>
                <w:sz w:val="20"/>
                <w:szCs w:val="20"/>
              </w:rPr>
              <w:t>P2</w:t>
            </w:r>
          </w:p>
        </w:tc>
        <w:tc>
          <w:tcPr>
            <w:tcW w:w="478" w:type="pct"/>
            <w:noWrap/>
          </w:tcPr>
          <w:p w14:paraId="0B653D0E" w14:textId="77777777" w:rsidR="00EB1721" w:rsidRPr="008D0BAC" w:rsidRDefault="00EB1721" w:rsidP="000E45B1">
            <w:pPr>
              <w:pStyle w:val="Tabletext"/>
              <w:rPr>
                <w:noProof/>
                <w:sz w:val="20"/>
                <w:szCs w:val="20"/>
              </w:rPr>
            </w:pPr>
            <w:r w:rsidRPr="008D0BAC">
              <w:rPr>
                <w:b/>
                <w:noProof/>
                <w:sz w:val="20"/>
                <w:szCs w:val="20"/>
              </w:rPr>
              <w:t>EW</w:t>
            </w:r>
          </w:p>
        </w:tc>
        <w:tc>
          <w:tcPr>
            <w:tcW w:w="416" w:type="pct"/>
            <w:noWrap/>
          </w:tcPr>
          <w:p w14:paraId="45E3F1AA" w14:textId="77777777" w:rsidR="00EB1721" w:rsidRPr="008D0BAC" w:rsidRDefault="00EB1721" w:rsidP="000E45B1">
            <w:pPr>
              <w:pStyle w:val="Tabletext"/>
              <w:rPr>
                <w:noProof/>
                <w:sz w:val="20"/>
                <w:szCs w:val="20"/>
              </w:rPr>
            </w:pPr>
            <w:r w:rsidRPr="008D0BAC">
              <w:rPr>
                <w:b/>
                <w:noProof/>
                <w:sz w:val="20"/>
                <w:szCs w:val="20"/>
              </w:rPr>
              <w:t>P2</w:t>
            </w:r>
          </w:p>
        </w:tc>
        <w:tc>
          <w:tcPr>
            <w:tcW w:w="447" w:type="pct"/>
            <w:noWrap/>
          </w:tcPr>
          <w:p w14:paraId="54BAEDB5" w14:textId="77777777" w:rsidR="00EB1721" w:rsidRPr="008D0BAC" w:rsidRDefault="00EB1721" w:rsidP="000E45B1">
            <w:pPr>
              <w:pStyle w:val="Tabletext"/>
              <w:rPr>
                <w:noProof/>
                <w:sz w:val="20"/>
                <w:szCs w:val="20"/>
              </w:rPr>
            </w:pPr>
            <w:r w:rsidRPr="008D0BAC">
              <w:rPr>
                <w:b/>
                <w:noProof/>
                <w:sz w:val="20"/>
                <w:szCs w:val="20"/>
              </w:rPr>
              <w:t>EW</w:t>
            </w:r>
          </w:p>
        </w:tc>
        <w:tc>
          <w:tcPr>
            <w:tcW w:w="447" w:type="pct"/>
            <w:noWrap/>
          </w:tcPr>
          <w:p w14:paraId="223E28A0" w14:textId="77777777" w:rsidR="00EB1721" w:rsidRPr="008D0BAC" w:rsidRDefault="00EB1721" w:rsidP="000E45B1">
            <w:pPr>
              <w:pStyle w:val="Tabletext"/>
              <w:rPr>
                <w:noProof/>
                <w:sz w:val="20"/>
                <w:szCs w:val="20"/>
              </w:rPr>
            </w:pPr>
            <w:r w:rsidRPr="008D0BAC">
              <w:rPr>
                <w:b/>
                <w:noProof/>
                <w:sz w:val="20"/>
                <w:szCs w:val="20"/>
              </w:rPr>
              <w:t>P2</w:t>
            </w:r>
          </w:p>
        </w:tc>
        <w:tc>
          <w:tcPr>
            <w:tcW w:w="447" w:type="pct"/>
            <w:noWrap/>
          </w:tcPr>
          <w:p w14:paraId="45A93CDE" w14:textId="77777777" w:rsidR="00EB1721" w:rsidRPr="008D0BAC" w:rsidRDefault="00EB1721" w:rsidP="000E45B1">
            <w:pPr>
              <w:pStyle w:val="Tabletext"/>
              <w:rPr>
                <w:noProof/>
                <w:sz w:val="20"/>
                <w:szCs w:val="20"/>
              </w:rPr>
            </w:pPr>
            <w:r w:rsidRPr="008D0BAC">
              <w:rPr>
                <w:b/>
                <w:noProof/>
                <w:sz w:val="20"/>
                <w:szCs w:val="20"/>
              </w:rPr>
              <w:t>EW</w:t>
            </w:r>
          </w:p>
        </w:tc>
        <w:tc>
          <w:tcPr>
            <w:tcW w:w="447" w:type="pct"/>
            <w:noWrap/>
          </w:tcPr>
          <w:p w14:paraId="0890FA14" w14:textId="77777777" w:rsidR="00EB1721" w:rsidRPr="008D0BAC" w:rsidRDefault="00EB1721" w:rsidP="000E45B1">
            <w:pPr>
              <w:pStyle w:val="Tabletext"/>
              <w:rPr>
                <w:noProof/>
                <w:sz w:val="20"/>
                <w:szCs w:val="20"/>
              </w:rPr>
            </w:pPr>
            <w:r w:rsidRPr="008D0BAC">
              <w:rPr>
                <w:b/>
                <w:noProof/>
                <w:sz w:val="20"/>
                <w:szCs w:val="20"/>
              </w:rPr>
              <w:t>P2</w:t>
            </w:r>
          </w:p>
        </w:tc>
        <w:tc>
          <w:tcPr>
            <w:tcW w:w="447" w:type="pct"/>
            <w:noWrap/>
          </w:tcPr>
          <w:p w14:paraId="3CD6742F" w14:textId="77777777" w:rsidR="00EB1721" w:rsidRPr="008D0BAC" w:rsidRDefault="00EB1721" w:rsidP="000E45B1">
            <w:pPr>
              <w:pStyle w:val="Tabletext"/>
              <w:rPr>
                <w:noProof/>
                <w:sz w:val="20"/>
                <w:szCs w:val="20"/>
              </w:rPr>
            </w:pPr>
            <w:r w:rsidRPr="008D0BAC">
              <w:rPr>
                <w:b/>
                <w:noProof/>
                <w:sz w:val="20"/>
                <w:szCs w:val="20"/>
              </w:rPr>
              <w:t>EW</w:t>
            </w:r>
          </w:p>
        </w:tc>
        <w:tc>
          <w:tcPr>
            <w:tcW w:w="440" w:type="pct"/>
            <w:noWrap/>
          </w:tcPr>
          <w:p w14:paraId="0A33FB48" w14:textId="77777777" w:rsidR="00EB1721" w:rsidRPr="008D0BAC" w:rsidRDefault="00EB1721" w:rsidP="000E45B1">
            <w:pPr>
              <w:pStyle w:val="Tabletext"/>
              <w:rPr>
                <w:noProof/>
                <w:sz w:val="20"/>
                <w:szCs w:val="20"/>
              </w:rPr>
            </w:pPr>
            <w:r w:rsidRPr="008D0BAC">
              <w:rPr>
                <w:b/>
                <w:noProof/>
                <w:sz w:val="20"/>
                <w:szCs w:val="20"/>
              </w:rPr>
              <w:t>P2</w:t>
            </w:r>
          </w:p>
        </w:tc>
      </w:tr>
      <w:tr w:rsidR="000E45B1" w:rsidRPr="00E27936" w14:paraId="7589E857" w14:textId="77777777" w:rsidTr="00B05194">
        <w:trPr>
          <w:trHeight w:val="296"/>
        </w:trPr>
        <w:tc>
          <w:tcPr>
            <w:tcW w:w="611" w:type="pct"/>
            <w:shd w:val="clear" w:color="auto" w:fill="F2F2F2" w:themeFill="background1" w:themeFillShade="F2"/>
            <w:noWrap/>
          </w:tcPr>
          <w:p w14:paraId="15CB0681" w14:textId="77777777" w:rsidR="000E45B1" w:rsidRPr="008D0BAC" w:rsidRDefault="000E45B1" w:rsidP="000E45B1">
            <w:pPr>
              <w:pStyle w:val="Tabletext"/>
              <w:rPr>
                <w:b/>
                <w:noProof/>
                <w:sz w:val="20"/>
                <w:szCs w:val="20"/>
              </w:rPr>
            </w:pPr>
            <w:r w:rsidRPr="008D0BAC">
              <w:rPr>
                <w:b/>
                <w:noProof/>
                <w:sz w:val="20"/>
                <w:szCs w:val="20"/>
              </w:rPr>
              <w:t>Baseline - P2</w:t>
            </w:r>
          </w:p>
        </w:tc>
        <w:tc>
          <w:tcPr>
            <w:tcW w:w="371" w:type="pct"/>
            <w:shd w:val="clear" w:color="auto" w:fill="F2F2F2" w:themeFill="background1" w:themeFillShade="F2"/>
            <w:noWrap/>
          </w:tcPr>
          <w:p w14:paraId="28C53345" w14:textId="69033E0A" w:rsidR="000E45B1" w:rsidRPr="00920CE8" w:rsidRDefault="000E45B1" w:rsidP="000E45B1">
            <w:pPr>
              <w:pStyle w:val="Tabletext"/>
              <w:rPr>
                <w:noProof/>
                <w:sz w:val="20"/>
                <w:szCs w:val="20"/>
              </w:rPr>
            </w:pPr>
            <w:r w:rsidRPr="00B05194">
              <w:rPr>
                <w:noProof/>
                <w:sz w:val="20"/>
                <w:szCs w:val="20"/>
              </w:rPr>
              <w:t>0.000</w:t>
            </w:r>
          </w:p>
        </w:tc>
        <w:tc>
          <w:tcPr>
            <w:tcW w:w="449" w:type="pct"/>
            <w:shd w:val="clear" w:color="auto" w:fill="F2F2F2" w:themeFill="background1" w:themeFillShade="F2"/>
            <w:noWrap/>
          </w:tcPr>
          <w:p w14:paraId="304C9E95" w14:textId="3C6FFCD8" w:rsidR="000E45B1" w:rsidRPr="00920CE8" w:rsidRDefault="000E45B1" w:rsidP="000E45B1">
            <w:pPr>
              <w:pStyle w:val="Tabletext"/>
              <w:rPr>
                <w:noProof/>
                <w:sz w:val="20"/>
                <w:szCs w:val="20"/>
              </w:rPr>
            </w:pPr>
            <w:r w:rsidRPr="00B05194">
              <w:rPr>
                <w:noProof/>
                <w:sz w:val="20"/>
                <w:szCs w:val="20"/>
              </w:rPr>
              <w:t>0.000</w:t>
            </w:r>
          </w:p>
        </w:tc>
        <w:tc>
          <w:tcPr>
            <w:tcW w:w="478" w:type="pct"/>
            <w:shd w:val="clear" w:color="auto" w:fill="F2F2F2" w:themeFill="background1" w:themeFillShade="F2"/>
            <w:noWrap/>
          </w:tcPr>
          <w:p w14:paraId="066C7CAB" w14:textId="77777777" w:rsidR="000E45B1" w:rsidRPr="008D0BAC" w:rsidRDefault="000E45B1" w:rsidP="000E45B1">
            <w:pPr>
              <w:pStyle w:val="Tabletext"/>
              <w:rPr>
                <w:noProof/>
                <w:sz w:val="20"/>
                <w:szCs w:val="20"/>
              </w:rPr>
            </w:pPr>
            <w:r w:rsidRPr="008D0BAC">
              <w:rPr>
                <w:noProof/>
                <w:sz w:val="20"/>
                <w:szCs w:val="20"/>
              </w:rPr>
              <w:t>0.233</w:t>
            </w:r>
          </w:p>
        </w:tc>
        <w:tc>
          <w:tcPr>
            <w:tcW w:w="416" w:type="pct"/>
            <w:shd w:val="clear" w:color="auto" w:fill="F2F2F2" w:themeFill="background1" w:themeFillShade="F2"/>
            <w:noWrap/>
          </w:tcPr>
          <w:p w14:paraId="0AF76AFD" w14:textId="77777777" w:rsidR="000E45B1" w:rsidRPr="008D0BAC" w:rsidRDefault="000E45B1" w:rsidP="000E45B1">
            <w:pPr>
              <w:pStyle w:val="Tabletext"/>
              <w:rPr>
                <w:noProof/>
                <w:sz w:val="20"/>
                <w:szCs w:val="20"/>
              </w:rPr>
            </w:pPr>
            <w:r w:rsidRPr="008D0BAC">
              <w:rPr>
                <w:noProof/>
                <w:sz w:val="20"/>
                <w:szCs w:val="20"/>
              </w:rPr>
              <w:t>0.346</w:t>
            </w:r>
          </w:p>
        </w:tc>
        <w:tc>
          <w:tcPr>
            <w:tcW w:w="447" w:type="pct"/>
            <w:shd w:val="clear" w:color="auto" w:fill="F2F2F2" w:themeFill="background1" w:themeFillShade="F2"/>
            <w:noWrap/>
          </w:tcPr>
          <w:p w14:paraId="50D02E98" w14:textId="77777777" w:rsidR="000E45B1" w:rsidRPr="008D0BAC" w:rsidRDefault="000E45B1" w:rsidP="000E45B1">
            <w:pPr>
              <w:pStyle w:val="Tabletext"/>
              <w:rPr>
                <w:noProof/>
                <w:sz w:val="20"/>
                <w:szCs w:val="20"/>
              </w:rPr>
            </w:pPr>
            <w:r w:rsidRPr="008D0BAC">
              <w:rPr>
                <w:noProof/>
                <w:sz w:val="20"/>
                <w:szCs w:val="20"/>
              </w:rPr>
              <w:t>-0.039</w:t>
            </w:r>
          </w:p>
        </w:tc>
        <w:tc>
          <w:tcPr>
            <w:tcW w:w="447" w:type="pct"/>
            <w:shd w:val="clear" w:color="auto" w:fill="F2F2F2" w:themeFill="background1" w:themeFillShade="F2"/>
            <w:noWrap/>
          </w:tcPr>
          <w:p w14:paraId="5D987062" w14:textId="77777777" w:rsidR="000E45B1" w:rsidRPr="008D0BAC" w:rsidRDefault="000E45B1" w:rsidP="000E45B1">
            <w:pPr>
              <w:pStyle w:val="Tabletext"/>
              <w:rPr>
                <w:noProof/>
                <w:sz w:val="20"/>
                <w:szCs w:val="20"/>
              </w:rPr>
            </w:pPr>
            <w:r w:rsidRPr="008D0BAC">
              <w:rPr>
                <w:noProof/>
                <w:sz w:val="20"/>
                <w:szCs w:val="20"/>
              </w:rPr>
              <w:t>-0.008</w:t>
            </w:r>
          </w:p>
        </w:tc>
        <w:tc>
          <w:tcPr>
            <w:tcW w:w="447" w:type="pct"/>
            <w:shd w:val="clear" w:color="auto" w:fill="F2F2F2" w:themeFill="background1" w:themeFillShade="F2"/>
            <w:noWrap/>
          </w:tcPr>
          <w:p w14:paraId="3C1C4069" w14:textId="77777777" w:rsidR="000E45B1" w:rsidRPr="008D0BAC" w:rsidRDefault="000E45B1" w:rsidP="000E45B1">
            <w:pPr>
              <w:pStyle w:val="Tabletext"/>
              <w:rPr>
                <w:noProof/>
                <w:sz w:val="20"/>
                <w:szCs w:val="20"/>
              </w:rPr>
            </w:pPr>
            <w:r w:rsidRPr="008D0BAC">
              <w:rPr>
                <w:noProof/>
                <w:sz w:val="20"/>
                <w:szCs w:val="20"/>
              </w:rPr>
              <w:t>-0.028</w:t>
            </w:r>
          </w:p>
        </w:tc>
        <w:tc>
          <w:tcPr>
            <w:tcW w:w="447" w:type="pct"/>
            <w:shd w:val="clear" w:color="auto" w:fill="F2F2F2" w:themeFill="background1" w:themeFillShade="F2"/>
            <w:noWrap/>
          </w:tcPr>
          <w:p w14:paraId="22DFC9B3" w14:textId="77777777" w:rsidR="000E45B1" w:rsidRPr="008D0BAC" w:rsidRDefault="000E45B1" w:rsidP="000E45B1">
            <w:pPr>
              <w:pStyle w:val="Tabletext"/>
              <w:rPr>
                <w:noProof/>
                <w:sz w:val="20"/>
                <w:szCs w:val="20"/>
              </w:rPr>
            </w:pPr>
            <w:r w:rsidRPr="008D0BAC">
              <w:rPr>
                <w:noProof/>
                <w:sz w:val="20"/>
                <w:szCs w:val="20"/>
              </w:rPr>
              <w:t>-0.013</w:t>
            </w:r>
          </w:p>
        </w:tc>
        <w:tc>
          <w:tcPr>
            <w:tcW w:w="447" w:type="pct"/>
            <w:shd w:val="clear" w:color="auto" w:fill="F2F2F2" w:themeFill="background1" w:themeFillShade="F2"/>
            <w:noWrap/>
          </w:tcPr>
          <w:p w14:paraId="7E498B6D" w14:textId="2F43C3EF" w:rsidR="000E45B1" w:rsidRPr="008D0BAC" w:rsidRDefault="00B16D52" w:rsidP="000E45B1">
            <w:pPr>
              <w:pStyle w:val="Tabletext"/>
              <w:rPr>
                <w:noProof/>
                <w:sz w:val="20"/>
                <w:szCs w:val="20"/>
              </w:rPr>
            </w:pPr>
            <w:r>
              <w:rPr>
                <w:noProof/>
                <w:sz w:val="20"/>
                <w:szCs w:val="20"/>
              </w:rPr>
              <w:t>0.166</w:t>
            </w:r>
          </w:p>
        </w:tc>
        <w:tc>
          <w:tcPr>
            <w:tcW w:w="440" w:type="pct"/>
            <w:shd w:val="clear" w:color="auto" w:fill="F2F2F2" w:themeFill="background1" w:themeFillShade="F2"/>
            <w:noWrap/>
          </w:tcPr>
          <w:p w14:paraId="6676C5AA" w14:textId="55C07D04" w:rsidR="000E45B1" w:rsidRPr="008D0BAC" w:rsidRDefault="00C40EA4" w:rsidP="000E45B1">
            <w:pPr>
              <w:pStyle w:val="Tabletext"/>
              <w:rPr>
                <w:noProof/>
                <w:sz w:val="20"/>
                <w:szCs w:val="20"/>
              </w:rPr>
            </w:pPr>
            <w:r>
              <w:rPr>
                <w:noProof/>
                <w:sz w:val="20"/>
                <w:szCs w:val="20"/>
              </w:rPr>
              <w:t>0.325</w:t>
            </w:r>
          </w:p>
        </w:tc>
      </w:tr>
      <w:tr w:rsidR="000E45B1" w:rsidRPr="00E27936" w14:paraId="376941ED" w14:textId="77777777" w:rsidTr="00B05194">
        <w:trPr>
          <w:trHeight w:val="296"/>
        </w:trPr>
        <w:tc>
          <w:tcPr>
            <w:tcW w:w="611" w:type="pct"/>
            <w:noWrap/>
          </w:tcPr>
          <w:p w14:paraId="46A34CCA" w14:textId="2E89E6B0" w:rsidR="000E45B1" w:rsidRPr="008D0BAC" w:rsidRDefault="000E45B1" w:rsidP="000E45B1">
            <w:pPr>
              <w:pStyle w:val="Tabletext"/>
              <w:rPr>
                <w:b/>
                <w:noProof/>
                <w:sz w:val="20"/>
                <w:szCs w:val="20"/>
              </w:rPr>
            </w:pPr>
            <w:r w:rsidRPr="008D0BAC">
              <w:rPr>
                <w:b/>
                <w:bCs/>
                <w:noProof/>
                <w:sz w:val="20"/>
                <w:szCs w:val="20"/>
              </w:rPr>
              <w:t>PO2</w:t>
            </w:r>
            <w:r>
              <w:rPr>
                <w:b/>
                <w:bCs/>
                <w:noProof/>
                <w:sz w:val="20"/>
                <w:szCs w:val="20"/>
              </w:rPr>
              <w:t>-</w:t>
            </w:r>
            <w:r w:rsidRPr="008D0BAC">
              <w:rPr>
                <w:b/>
                <w:bCs/>
                <w:noProof/>
                <w:sz w:val="20"/>
                <w:szCs w:val="20"/>
              </w:rPr>
              <w:t>A</w:t>
            </w:r>
          </w:p>
        </w:tc>
        <w:tc>
          <w:tcPr>
            <w:tcW w:w="371" w:type="pct"/>
            <w:noWrap/>
          </w:tcPr>
          <w:p w14:paraId="01C5AC8A" w14:textId="5488F072" w:rsidR="000E45B1" w:rsidRPr="00920CE8" w:rsidRDefault="000E45B1" w:rsidP="000E45B1">
            <w:pPr>
              <w:pStyle w:val="Tabletext"/>
              <w:rPr>
                <w:noProof/>
                <w:sz w:val="20"/>
                <w:szCs w:val="20"/>
              </w:rPr>
            </w:pPr>
            <w:r w:rsidRPr="00B05194">
              <w:rPr>
                <w:noProof/>
                <w:sz w:val="20"/>
                <w:szCs w:val="20"/>
              </w:rPr>
              <w:t>0.000</w:t>
            </w:r>
          </w:p>
        </w:tc>
        <w:tc>
          <w:tcPr>
            <w:tcW w:w="449" w:type="pct"/>
            <w:noWrap/>
          </w:tcPr>
          <w:p w14:paraId="1778E4BB" w14:textId="247D3822" w:rsidR="000E45B1" w:rsidRPr="00920CE8" w:rsidRDefault="000E45B1" w:rsidP="000E45B1">
            <w:pPr>
              <w:pStyle w:val="Tabletext"/>
              <w:rPr>
                <w:noProof/>
                <w:sz w:val="20"/>
                <w:szCs w:val="20"/>
              </w:rPr>
            </w:pPr>
            <w:r w:rsidRPr="00B05194">
              <w:rPr>
                <w:noProof/>
                <w:sz w:val="20"/>
                <w:szCs w:val="20"/>
              </w:rPr>
              <w:t>0.000</w:t>
            </w:r>
          </w:p>
        </w:tc>
        <w:tc>
          <w:tcPr>
            <w:tcW w:w="478" w:type="pct"/>
            <w:noWrap/>
          </w:tcPr>
          <w:p w14:paraId="13EB8F10" w14:textId="77777777" w:rsidR="000E45B1" w:rsidRPr="008D0BAC" w:rsidRDefault="000E45B1" w:rsidP="000E45B1">
            <w:pPr>
              <w:pStyle w:val="Tabletext"/>
              <w:rPr>
                <w:noProof/>
                <w:sz w:val="20"/>
                <w:szCs w:val="20"/>
              </w:rPr>
            </w:pPr>
            <w:r w:rsidRPr="008D0BAC">
              <w:rPr>
                <w:noProof/>
                <w:sz w:val="20"/>
                <w:szCs w:val="20"/>
              </w:rPr>
              <w:t>0.237</w:t>
            </w:r>
          </w:p>
        </w:tc>
        <w:tc>
          <w:tcPr>
            <w:tcW w:w="416" w:type="pct"/>
            <w:noWrap/>
          </w:tcPr>
          <w:p w14:paraId="4EDC1AF9" w14:textId="77777777" w:rsidR="000E45B1" w:rsidRPr="008D0BAC" w:rsidRDefault="000E45B1" w:rsidP="000E45B1">
            <w:pPr>
              <w:pStyle w:val="Tabletext"/>
              <w:rPr>
                <w:noProof/>
                <w:sz w:val="20"/>
                <w:szCs w:val="20"/>
              </w:rPr>
            </w:pPr>
            <w:r w:rsidRPr="008D0BAC">
              <w:rPr>
                <w:noProof/>
                <w:sz w:val="20"/>
                <w:szCs w:val="20"/>
              </w:rPr>
              <w:t>0.598</w:t>
            </w:r>
          </w:p>
        </w:tc>
        <w:tc>
          <w:tcPr>
            <w:tcW w:w="447" w:type="pct"/>
            <w:noWrap/>
          </w:tcPr>
          <w:p w14:paraId="6D03AB34" w14:textId="77777777" w:rsidR="000E45B1" w:rsidRPr="008D0BAC" w:rsidRDefault="000E45B1" w:rsidP="000E45B1">
            <w:pPr>
              <w:pStyle w:val="Tabletext"/>
              <w:rPr>
                <w:noProof/>
                <w:sz w:val="20"/>
                <w:szCs w:val="20"/>
              </w:rPr>
            </w:pPr>
            <w:r w:rsidRPr="008D0BAC">
              <w:rPr>
                <w:noProof/>
                <w:sz w:val="20"/>
                <w:szCs w:val="20"/>
              </w:rPr>
              <w:t>0.038</w:t>
            </w:r>
          </w:p>
        </w:tc>
        <w:tc>
          <w:tcPr>
            <w:tcW w:w="447" w:type="pct"/>
            <w:noWrap/>
          </w:tcPr>
          <w:p w14:paraId="40CBE78C" w14:textId="77777777" w:rsidR="000E45B1" w:rsidRPr="008D0BAC" w:rsidRDefault="000E45B1" w:rsidP="000E45B1">
            <w:pPr>
              <w:pStyle w:val="Tabletext"/>
              <w:rPr>
                <w:noProof/>
                <w:sz w:val="20"/>
                <w:szCs w:val="20"/>
              </w:rPr>
            </w:pPr>
            <w:r w:rsidRPr="008D0BAC">
              <w:rPr>
                <w:noProof/>
                <w:sz w:val="20"/>
                <w:szCs w:val="20"/>
              </w:rPr>
              <w:t>0.008</w:t>
            </w:r>
          </w:p>
        </w:tc>
        <w:tc>
          <w:tcPr>
            <w:tcW w:w="447" w:type="pct"/>
            <w:noWrap/>
          </w:tcPr>
          <w:p w14:paraId="697EB0DC" w14:textId="77777777" w:rsidR="000E45B1" w:rsidRPr="008D0BAC" w:rsidRDefault="000E45B1" w:rsidP="000E45B1">
            <w:pPr>
              <w:pStyle w:val="Tabletext"/>
              <w:rPr>
                <w:noProof/>
                <w:sz w:val="20"/>
                <w:szCs w:val="20"/>
              </w:rPr>
            </w:pPr>
            <w:r w:rsidRPr="008D0BAC">
              <w:rPr>
                <w:noProof/>
                <w:sz w:val="20"/>
                <w:szCs w:val="20"/>
              </w:rPr>
              <w:t>0.233</w:t>
            </w:r>
          </w:p>
        </w:tc>
        <w:tc>
          <w:tcPr>
            <w:tcW w:w="447" w:type="pct"/>
            <w:noWrap/>
          </w:tcPr>
          <w:p w14:paraId="3C53E14E" w14:textId="77777777" w:rsidR="000E45B1" w:rsidRPr="008D0BAC" w:rsidRDefault="000E45B1" w:rsidP="000E45B1">
            <w:pPr>
              <w:pStyle w:val="Tabletext"/>
              <w:rPr>
                <w:noProof/>
                <w:sz w:val="20"/>
                <w:szCs w:val="20"/>
              </w:rPr>
            </w:pPr>
            <w:r w:rsidRPr="008D0BAC">
              <w:rPr>
                <w:noProof/>
                <w:sz w:val="20"/>
                <w:szCs w:val="20"/>
              </w:rPr>
              <w:t>0.048</w:t>
            </w:r>
          </w:p>
        </w:tc>
        <w:tc>
          <w:tcPr>
            <w:tcW w:w="447" w:type="pct"/>
            <w:noWrap/>
          </w:tcPr>
          <w:p w14:paraId="78F75110" w14:textId="72DF2759" w:rsidR="000E45B1" w:rsidRPr="008D0BAC" w:rsidRDefault="000E45B1" w:rsidP="000E45B1">
            <w:pPr>
              <w:pStyle w:val="Tabletext"/>
              <w:rPr>
                <w:noProof/>
                <w:sz w:val="20"/>
                <w:szCs w:val="20"/>
              </w:rPr>
            </w:pPr>
            <w:r w:rsidRPr="008D0BAC">
              <w:rPr>
                <w:noProof/>
                <w:sz w:val="20"/>
                <w:szCs w:val="20"/>
              </w:rPr>
              <w:t>0.</w:t>
            </w:r>
            <w:r w:rsidR="00B16D52">
              <w:rPr>
                <w:noProof/>
                <w:sz w:val="20"/>
                <w:szCs w:val="20"/>
              </w:rPr>
              <w:t>508</w:t>
            </w:r>
          </w:p>
        </w:tc>
        <w:tc>
          <w:tcPr>
            <w:tcW w:w="440" w:type="pct"/>
            <w:noWrap/>
          </w:tcPr>
          <w:p w14:paraId="42EDC9F3" w14:textId="75F5679B" w:rsidR="000E45B1" w:rsidRPr="008D0BAC" w:rsidRDefault="000E45B1" w:rsidP="000E45B1">
            <w:pPr>
              <w:pStyle w:val="Tabletext"/>
              <w:rPr>
                <w:noProof/>
                <w:sz w:val="20"/>
                <w:szCs w:val="20"/>
              </w:rPr>
            </w:pPr>
            <w:r w:rsidRPr="008D0BAC">
              <w:rPr>
                <w:noProof/>
                <w:sz w:val="20"/>
                <w:szCs w:val="20"/>
              </w:rPr>
              <w:t>0.</w:t>
            </w:r>
            <w:r w:rsidR="00C40EA4">
              <w:rPr>
                <w:noProof/>
                <w:sz w:val="20"/>
                <w:szCs w:val="20"/>
              </w:rPr>
              <w:t>653</w:t>
            </w:r>
          </w:p>
        </w:tc>
      </w:tr>
      <w:tr w:rsidR="000E45B1" w:rsidRPr="00E27936" w14:paraId="55D6C142" w14:textId="77777777" w:rsidTr="00B05194">
        <w:trPr>
          <w:trHeight w:val="296"/>
        </w:trPr>
        <w:tc>
          <w:tcPr>
            <w:tcW w:w="611" w:type="pct"/>
            <w:noWrap/>
          </w:tcPr>
          <w:p w14:paraId="5C12E1FC" w14:textId="0025D608" w:rsidR="000E45B1" w:rsidRPr="008D0BAC" w:rsidRDefault="000E45B1" w:rsidP="000E45B1">
            <w:pPr>
              <w:pStyle w:val="Tabletext"/>
              <w:rPr>
                <w:b/>
                <w:noProof/>
                <w:sz w:val="20"/>
                <w:szCs w:val="20"/>
              </w:rPr>
            </w:pPr>
            <w:r w:rsidRPr="008D0BAC">
              <w:rPr>
                <w:b/>
                <w:bCs/>
                <w:noProof/>
                <w:sz w:val="20"/>
                <w:szCs w:val="20"/>
              </w:rPr>
              <w:t>PO2</w:t>
            </w:r>
            <w:r>
              <w:rPr>
                <w:b/>
                <w:bCs/>
                <w:noProof/>
                <w:sz w:val="20"/>
                <w:szCs w:val="20"/>
              </w:rPr>
              <w:t>-</w:t>
            </w:r>
            <w:r w:rsidRPr="008D0BAC">
              <w:rPr>
                <w:b/>
                <w:bCs/>
                <w:noProof/>
                <w:sz w:val="20"/>
                <w:szCs w:val="20"/>
              </w:rPr>
              <w:t>B</w:t>
            </w:r>
          </w:p>
        </w:tc>
        <w:tc>
          <w:tcPr>
            <w:tcW w:w="371" w:type="pct"/>
            <w:noWrap/>
          </w:tcPr>
          <w:p w14:paraId="5B7465EC" w14:textId="6294A343" w:rsidR="000E45B1" w:rsidRPr="00920CE8" w:rsidRDefault="000E45B1" w:rsidP="000E45B1">
            <w:pPr>
              <w:pStyle w:val="Tabletext"/>
              <w:rPr>
                <w:noProof/>
                <w:sz w:val="20"/>
                <w:szCs w:val="20"/>
              </w:rPr>
            </w:pPr>
            <w:r w:rsidRPr="00B05194">
              <w:rPr>
                <w:noProof/>
                <w:sz w:val="20"/>
                <w:szCs w:val="20"/>
              </w:rPr>
              <w:t>0.000</w:t>
            </w:r>
          </w:p>
        </w:tc>
        <w:tc>
          <w:tcPr>
            <w:tcW w:w="449" w:type="pct"/>
            <w:noWrap/>
          </w:tcPr>
          <w:p w14:paraId="1B7705B9" w14:textId="7B482837" w:rsidR="000E45B1" w:rsidRPr="00920CE8" w:rsidRDefault="000E45B1" w:rsidP="000E45B1">
            <w:pPr>
              <w:pStyle w:val="Tabletext"/>
              <w:rPr>
                <w:noProof/>
                <w:sz w:val="20"/>
                <w:szCs w:val="20"/>
              </w:rPr>
            </w:pPr>
            <w:r w:rsidRPr="00B05194">
              <w:rPr>
                <w:noProof/>
                <w:sz w:val="20"/>
                <w:szCs w:val="20"/>
              </w:rPr>
              <w:t>0.000</w:t>
            </w:r>
          </w:p>
        </w:tc>
        <w:tc>
          <w:tcPr>
            <w:tcW w:w="478" w:type="pct"/>
            <w:noWrap/>
          </w:tcPr>
          <w:p w14:paraId="40234EC4" w14:textId="77777777" w:rsidR="000E45B1" w:rsidRPr="008D0BAC" w:rsidRDefault="000E45B1" w:rsidP="000E45B1">
            <w:pPr>
              <w:pStyle w:val="Tabletext"/>
              <w:rPr>
                <w:noProof/>
                <w:sz w:val="20"/>
                <w:szCs w:val="20"/>
              </w:rPr>
            </w:pPr>
            <w:r w:rsidRPr="008D0BAC">
              <w:rPr>
                <w:noProof/>
                <w:sz w:val="20"/>
                <w:szCs w:val="20"/>
              </w:rPr>
              <w:t>0.174</w:t>
            </w:r>
          </w:p>
        </w:tc>
        <w:tc>
          <w:tcPr>
            <w:tcW w:w="416" w:type="pct"/>
            <w:noWrap/>
          </w:tcPr>
          <w:p w14:paraId="259196C3" w14:textId="77777777" w:rsidR="000E45B1" w:rsidRPr="008D0BAC" w:rsidRDefault="000E45B1" w:rsidP="000E45B1">
            <w:pPr>
              <w:pStyle w:val="Tabletext"/>
              <w:rPr>
                <w:noProof/>
                <w:sz w:val="20"/>
                <w:szCs w:val="20"/>
              </w:rPr>
            </w:pPr>
            <w:r w:rsidRPr="008D0BAC">
              <w:rPr>
                <w:noProof/>
                <w:sz w:val="20"/>
                <w:szCs w:val="20"/>
              </w:rPr>
              <w:t>0.473</w:t>
            </w:r>
          </w:p>
        </w:tc>
        <w:tc>
          <w:tcPr>
            <w:tcW w:w="447" w:type="pct"/>
            <w:noWrap/>
          </w:tcPr>
          <w:p w14:paraId="5D517D59" w14:textId="77777777" w:rsidR="000E45B1" w:rsidRPr="008D0BAC" w:rsidRDefault="000E45B1" w:rsidP="000E45B1">
            <w:pPr>
              <w:pStyle w:val="Tabletext"/>
              <w:rPr>
                <w:noProof/>
                <w:sz w:val="20"/>
                <w:szCs w:val="20"/>
              </w:rPr>
            </w:pPr>
            <w:r w:rsidRPr="008D0BAC">
              <w:rPr>
                <w:noProof/>
                <w:sz w:val="20"/>
                <w:szCs w:val="20"/>
              </w:rPr>
              <w:t>0.034</w:t>
            </w:r>
          </w:p>
        </w:tc>
        <w:tc>
          <w:tcPr>
            <w:tcW w:w="447" w:type="pct"/>
            <w:noWrap/>
          </w:tcPr>
          <w:p w14:paraId="1A429640" w14:textId="77777777" w:rsidR="000E45B1" w:rsidRPr="008D0BAC" w:rsidRDefault="000E45B1" w:rsidP="000E45B1">
            <w:pPr>
              <w:pStyle w:val="Tabletext"/>
              <w:rPr>
                <w:noProof/>
                <w:sz w:val="20"/>
                <w:szCs w:val="20"/>
              </w:rPr>
            </w:pPr>
            <w:r w:rsidRPr="008D0BAC">
              <w:rPr>
                <w:noProof/>
                <w:sz w:val="20"/>
                <w:szCs w:val="20"/>
              </w:rPr>
              <w:t>0.007</w:t>
            </w:r>
          </w:p>
        </w:tc>
        <w:tc>
          <w:tcPr>
            <w:tcW w:w="447" w:type="pct"/>
            <w:noWrap/>
          </w:tcPr>
          <w:p w14:paraId="078AE3B4" w14:textId="77777777" w:rsidR="000E45B1" w:rsidRPr="008D0BAC" w:rsidRDefault="000E45B1" w:rsidP="000E45B1">
            <w:pPr>
              <w:pStyle w:val="Tabletext"/>
              <w:rPr>
                <w:noProof/>
                <w:sz w:val="20"/>
                <w:szCs w:val="20"/>
              </w:rPr>
            </w:pPr>
            <w:r w:rsidRPr="008D0BAC">
              <w:rPr>
                <w:noProof/>
                <w:sz w:val="20"/>
                <w:szCs w:val="20"/>
              </w:rPr>
              <w:t>0.186</w:t>
            </w:r>
          </w:p>
        </w:tc>
        <w:tc>
          <w:tcPr>
            <w:tcW w:w="447" w:type="pct"/>
            <w:noWrap/>
          </w:tcPr>
          <w:p w14:paraId="764E2AAF" w14:textId="77777777" w:rsidR="000E45B1" w:rsidRPr="008D0BAC" w:rsidRDefault="000E45B1" w:rsidP="000E45B1">
            <w:pPr>
              <w:pStyle w:val="Tabletext"/>
              <w:rPr>
                <w:noProof/>
                <w:sz w:val="20"/>
                <w:szCs w:val="20"/>
              </w:rPr>
            </w:pPr>
            <w:r w:rsidRPr="008D0BAC">
              <w:rPr>
                <w:noProof/>
                <w:sz w:val="20"/>
                <w:szCs w:val="20"/>
              </w:rPr>
              <w:t>0.038</w:t>
            </w:r>
          </w:p>
        </w:tc>
        <w:tc>
          <w:tcPr>
            <w:tcW w:w="447" w:type="pct"/>
            <w:noWrap/>
          </w:tcPr>
          <w:p w14:paraId="2FC8618E" w14:textId="1A3BAEE2" w:rsidR="000E45B1" w:rsidRPr="008D0BAC" w:rsidRDefault="000E45B1" w:rsidP="000E45B1">
            <w:pPr>
              <w:pStyle w:val="Tabletext"/>
              <w:rPr>
                <w:noProof/>
                <w:sz w:val="20"/>
                <w:szCs w:val="20"/>
              </w:rPr>
            </w:pPr>
            <w:r w:rsidRPr="008D0BAC">
              <w:rPr>
                <w:noProof/>
                <w:sz w:val="20"/>
                <w:szCs w:val="20"/>
              </w:rPr>
              <w:t>0.</w:t>
            </w:r>
            <w:r w:rsidR="00B16D52">
              <w:rPr>
                <w:noProof/>
                <w:sz w:val="20"/>
                <w:szCs w:val="20"/>
              </w:rPr>
              <w:t>394</w:t>
            </w:r>
          </w:p>
        </w:tc>
        <w:tc>
          <w:tcPr>
            <w:tcW w:w="440" w:type="pct"/>
            <w:noWrap/>
          </w:tcPr>
          <w:p w14:paraId="3553404E" w14:textId="7EB0D2F7" w:rsidR="000E45B1" w:rsidRPr="008D0BAC" w:rsidRDefault="000E45B1" w:rsidP="000E45B1">
            <w:pPr>
              <w:pStyle w:val="Tabletext"/>
              <w:rPr>
                <w:noProof/>
                <w:sz w:val="20"/>
                <w:szCs w:val="20"/>
              </w:rPr>
            </w:pPr>
            <w:r w:rsidRPr="008D0BAC">
              <w:rPr>
                <w:noProof/>
                <w:sz w:val="20"/>
                <w:szCs w:val="20"/>
              </w:rPr>
              <w:t>0.</w:t>
            </w:r>
            <w:r w:rsidR="00C40EA4">
              <w:rPr>
                <w:noProof/>
                <w:sz w:val="20"/>
                <w:szCs w:val="20"/>
              </w:rPr>
              <w:t>518</w:t>
            </w:r>
          </w:p>
        </w:tc>
      </w:tr>
      <w:tr w:rsidR="000E45B1" w:rsidRPr="00E27936" w14:paraId="4766DA8D" w14:textId="77777777" w:rsidTr="00B05194">
        <w:trPr>
          <w:trHeight w:val="296"/>
        </w:trPr>
        <w:tc>
          <w:tcPr>
            <w:tcW w:w="611" w:type="pct"/>
            <w:noWrap/>
          </w:tcPr>
          <w:p w14:paraId="2AC0E169" w14:textId="0A1D8D97" w:rsidR="000E45B1" w:rsidRPr="008D0BAC" w:rsidRDefault="000E45B1" w:rsidP="000E45B1">
            <w:pPr>
              <w:pStyle w:val="Tabletext"/>
              <w:rPr>
                <w:b/>
                <w:noProof/>
                <w:sz w:val="20"/>
                <w:szCs w:val="20"/>
              </w:rPr>
            </w:pPr>
            <w:r w:rsidRPr="008D0BAC">
              <w:rPr>
                <w:b/>
                <w:bCs/>
                <w:noProof/>
                <w:sz w:val="20"/>
                <w:szCs w:val="20"/>
              </w:rPr>
              <w:t>PO2</w:t>
            </w:r>
            <w:r>
              <w:rPr>
                <w:b/>
                <w:bCs/>
                <w:noProof/>
                <w:sz w:val="20"/>
                <w:szCs w:val="20"/>
              </w:rPr>
              <w:t>-</w:t>
            </w:r>
            <w:r w:rsidRPr="008D0BAC">
              <w:rPr>
                <w:b/>
                <w:bCs/>
                <w:noProof/>
                <w:sz w:val="20"/>
                <w:szCs w:val="20"/>
              </w:rPr>
              <w:t>C</w:t>
            </w:r>
          </w:p>
        </w:tc>
        <w:tc>
          <w:tcPr>
            <w:tcW w:w="371" w:type="pct"/>
            <w:noWrap/>
          </w:tcPr>
          <w:p w14:paraId="44944A38" w14:textId="609A36C7" w:rsidR="000E45B1" w:rsidRPr="00920CE8" w:rsidRDefault="000E45B1" w:rsidP="000E45B1">
            <w:pPr>
              <w:pStyle w:val="Tabletext"/>
              <w:rPr>
                <w:noProof/>
                <w:sz w:val="20"/>
                <w:szCs w:val="20"/>
              </w:rPr>
            </w:pPr>
            <w:r w:rsidRPr="00B05194">
              <w:rPr>
                <w:noProof/>
                <w:sz w:val="20"/>
                <w:szCs w:val="20"/>
              </w:rPr>
              <w:t>0.0</w:t>
            </w:r>
            <w:r w:rsidR="00F73D36" w:rsidRPr="00B05194">
              <w:rPr>
                <w:noProof/>
                <w:sz w:val="20"/>
                <w:szCs w:val="20"/>
              </w:rPr>
              <w:t>30</w:t>
            </w:r>
          </w:p>
        </w:tc>
        <w:tc>
          <w:tcPr>
            <w:tcW w:w="449" w:type="pct"/>
            <w:noWrap/>
          </w:tcPr>
          <w:p w14:paraId="07F00E5B" w14:textId="1734639C" w:rsidR="000E45B1" w:rsidRPr="00920CE8" w:rsidRDefault="000E45B1" w:rsidP="000E45B1">
            <w:pPr>
              <w:pStyle w:val="Tabletext"/>
              <w:rPr>
                <w:noProof/>
                <w:sz w:val="20"/>
                <w:szCs w:val="20"/>
              </w:rPr>
            </w:pPr>
            <w:r w:rsidRPr="00B05194">
              <w:rPr>
                <w:noProof/>
                <w:sz w:val="20"/>
                <w:szCs w:val="20"/>
              </w:rPr>
              <w:t>0.0</w:t>
            </w:r>
            <w:r w:rsidR="00F73D36" w:rsidRPr="00B05194">
              <w:rPr>
                <w:noProof/>
                <w:sz w:val="20"/>
                <w:szCs w:val="20"/>
              </w:rPr>
              <w:t>92</w:t>
            </w:r>
          </w:p>
        </w:tc>
        <w:tc>
          <w:tcPr>
            <w:tcW w:w="478" w:type="pct"/>
            <w:noWrap/>
          </w:tcPr>
          <w:p w14:paraId="1F635B87" w14:textId="4FDE200D" w:rsidR="000E45B1" w:rsidRPr="008D0BAC" w:rsidRDefault="000E45B1" w:rsidP="000E45B1">
            <w:pPr>
              <w:pStyle w:val="Tabletext"/>
              <w:rPr>
                <w:noProof/>
                <w:sz w:val="20"/>
                <w:szCs w:val="20"/>
              </w:rPr>
            </w:pPr>
            <w:r w:rsidRPr="008D0BAC">
              <w:rPr>
                <w:noProof/>
                <w:sz w:val="20"/>
                <w:szCs w:val="20"/>
              </w:rPr>
              <w:t>0.</w:t>
            </w:r>
            <w:r w:rsidR="00920CE8">
              <w:rPr>
                <w:noProof/>
                <w:sz w:val="20"/>
                <w:szCs w:val="20"/>
              </w:rPr>
              <w:t>217</w:t>
            </w:r>
          </w:p>
        </w:tc>
        <w:tc>
          <w:tcPr>
            <w:tcW w:w="416" w:type="pct"/>
            <w:noWrap/>
          </w:tcPr>
          <w:p w14:paraId="41BB12CC" w14:textId="17807E66" w:rsidR="000E45B1" w:rsidRPr="008D0BAC" w:rsidRDefault="000E45B1" w:rsidP="000E45B1">
            <w:pPr>
              <w:pStyle w:val="Tabletext"/>
              <w:rPr>
                <w:noProof/>
                <w:sz w:val="20"/>
                <w:szCs w:val="20"/>
              </w:rPr>
            </w:pPr>
            <w:r w:rsidRPr="008D0BAC">
              <w:rPr>
                <w:noProof/>
                <w:sz w:val="20"/>
                <w:szCs w:val="20"/>
              </w:rPr>
              <w:t>0.</w:t>
            </w:r>
            <w:r w:rsidR="00920CE8">
              <w:rPr>
                <w:noProof/>
                <w:sz w:val="20"/>
                <w:szCs w:val="20"/>
              </w:rPr>
              <w:t>580</w:t>
            </w:r>
          </w:p>
        </w:tc>
        <w:tc>
          <w:tcPr>
            <w:tcW w:w="447" w:type="pct"/>
            <w:noWrap/>
          </w:tcPr>
          <w:p w14:paraId="40CD0443" w14:textId="377DC335" w:rsidR="000E45B1" w:rsidRPr="008D0BAC" w:rsidRDefault="000E45B1" w:rsidP="000E45B1">
            <w:pPr>
              <w:pStyle w:val="Tabletext"/>
              <w:rPr>
                <w:noProof/>
                <w:sz w:val="20"/>
                <w:szCs w:val="20"/>
              </w:rPr>
            </w:pPr>
            <w:r w:rsidRPr="008D0BAC">
              <w:rPr>
                <w:noProof/>
                <w:sz w:val="20"/>
                <w:szCs w:val="20"/>
              </w:rPr>
              <w:t>0.</w:t>
            </w:r>
            <w:r w:rsidR="00B16D52" w:rsidRPr="008D0BAC">
              <w:rPr>
                <w:noProof/>
                <w:sz w:val="20"/>
                <w:szCs w:val="20"/>
              </w:rPr>
              <w:t>0</w:t>
            </w:r>
            <w:r w:rsidR="00B16D52">
              <w:rPr>
                <w:noProof/>
                <w:sz w:val="20"/>
                <w:szCs w:val="20"/>
              </w:rPr>
              <w:t>43</w:t>
            </w:r>
          </w:p>
        </w:tc>
        <w:tc>
          <w:tcPr>
            <w:tcW w:w="447" w:type="pct"/>
            <w:noWrap/>
          </w:tcPr>
          <w:p w14:paraId="14294440" w14:textId="6EB68BE9" w:rsidR="000E45B1" w:rsidRPr="008D0BAC" w:rsidRDefault="000E45B1" w:rsidP="000E45B1">
            <w:pPr>
              <w:pStyle w:val="Tabletext"/>
              <w:rPr>
                <w:noProof/>
                <w:sz w:val="20"/>
                <w:szCs w:val="20"/>
              </w:rPr>
            </w:pPr>
            <w:r w:rsidRPr="008D0BAC">
              <w:rPr>
                <w:noProof/>
                <w:sz w:val="20"/>
                <w:szCs w:val="20"/>
              </w:rPr>
              <w:t>0.</w:t>
            </w:r>
            <w:r w:rsidR="00B16D52" w:rsidRPr="008D0BAC">
              <w:rPr>
                <w:noProof/>
                <w:sz w:val="20"/>
                <w:szCs w:val="20"/>
              </w:rPr>
              <w:t>00</w:t>
            </w:r>
            <w:r w:rsidR="00B16D52">
              <w:rPr>
                <w:noProof/>
                <w:sz w:val="20"/>
                <w:szCs w:val="20"/>
              </w:rPr>
              <w:t>9</w:t>
            </w:r>
          </w:p>
        </w:tc>
        <w:tc>
          <w:tcPr>
            <w:tcW w:w="447" w:type="pct"/>
            <w:noWrap/>
          </w:tcPr>
          <w:p w14:paraId="0E2C10C9" w14:textId="6C226AAB" w:rsidR="000E45B1" w:rsidRPr="008D0BAC" w:rsidRDefault="000E45B1" w:rsidP="000E45B1">
            <w:pPr>
              <w:pStyle w:val="Tabletext"/>
              <w:rPr>
                <w:noProof/>
                <w:sz w:val="20"/>
                <w:szCs w:val="20"/>
              </w:rPr>
            </w:pPr>
            <w:r w:rsidRPr="008D0BAC">
              <w:rPr>
                <w:noProof/>
                <w:sz w:val="20"/>
                <w:szCs w:val="20"/>
              </w:rPr>
              <w:t>0.</w:t>
            </w:r>
            <w:r w:rsidR="00B16D52">
              <w:rPr>
                <w:noProof/>
                <w:sz w:val="20"/>
                <w:szCs w:val="20"/>
              </w:rPr>
              <w:t>210</w:t>
            </w:r>
          </w:p>
        </w:tc>
        <w:tc>
          <w:tcPr>
            <w:tcW w:w="447" w:type="pct"/>
            <w:noWrap/>
          </w:tcPr>
          <w:p w14:paraId="4B8CB813" w14:textId="7F631A3A" w:rsidR="000E45B1" w:rsidRPr="008D0BAC" w:rsidRDefault="000E45B1" w:rsidP="000E45B1">
            <w:pPr>
              <w:pStyle w:val="Tabletext"/>
              <w:rPr>
                <w:noProof/>
                <w:sz w:val="20"/>
                <w:szCs w:val="20"/>
              </w:rPr>
            </w:pPr>
            <w:r w:rsidRPr="008D0BAC">
              <w:rPr>
                <w:noProof/>
                <w:sz w:val="20"/>
                <w:szCs w:val="20"/>
              </w:rPr>
              <w:t>0.</w:t>
            </w:r>
            <w:r w:rsidR="00B16D52" w:rsidRPr="008D0BAC">
              <w:rPr>
                <w:noProof/>
                <w:sz w:val="20"/>
                <w:szCs w:val="20"/>
              </w:rPr>
              <w:t>0</w:t>
            </w:r>
            <w:r w:rsidR="00B16D52">
              <w:rPr>
                <w:noProof/>
                <w:sz w:val="20"/>
                <w:szCs w:val="20"/>
              </w:rPr>
              <w:t>43</w:t>
            </w:r>
          </w:p>
        </w:tc>
        <w:tc>
          <w:tcPr>
            <w:tcW w:w="447" w:type="pct"/>
            <w:noWrap/>
          </w:tcPr>
          <w:p w14:paraId="707E8E8F" w14:textId="17F229DE" w:rsidR="000E45B1" w:rsidRPr="008D0BAC" w:rsidRDefault="000E45B1" w:rsidP="000E45B1">
            <w:pPr>
              <w:pStyle w:val="Tabletext"/>
              <w:rPr>
                <w:noProof/>
                <w:sz w:val="20"/>
                <w:szCs w:val="20"/>
              </w:rPr>
            </w:pPr>
            <w:r w:rsidRPr="008D0BAC">
              <w:rPr>
                <w:noProof/>
                <w:sz w:val="20"/>
                <w:szCs w:val="20"/>
              </w:rPr>
              <w:t>0.</w:t>
            </w:r>
            <w:r w:rsidR="00B16D52">
              <w:rPr>
                <w:noProof/>
                <w:sz w:val="20"/>
                <w:szCs w:val="20"/>
              </w:rPr>
              <w:t>499</w:t>
            </w:r>
          </w:p>
        </w:tc>
        <w:tc>
          <w:tcPr>
            <w:tcW w:w="440" w:type="pct"/>
            <w:noWrap/>
          </w:tcPr>
          <w:p w14:paraId="4230061A" w14:textId="403CFACC" w:rsidR="000E45B1" w:rsidRPr="008D0BAC" w:rsidRDefault="000E45B1" w:rsidP="000E45B1">
            <w:pPr>
              <w:pStyle w:val="Tabletext"/>
              <w:rPr>
                <w:noProof/>
                <w:sz w:val="20"/>
                <w:szCs w:val="20"/>
              </w:rPr>
            </w:pPr>
            <w:r w:rsidRPr="008D0BAC">
              <w:rPr>
                <w:noProof/>
                <w:sz w:val="20"/>
                <w:szCs w:val="20"/>
              </w:rPr>
              <w:t>0.</w:t>
            </w:r>
            <w:r w:rsidR="00C40EA4">
              <w:rPr>
                <w:noProof/>
                <w:sz w:val="20"/>
                <w:szCs w:val="20"/>
              </w:rPr>
              <w:t>723</w:t>
            </w:r>
          </w:p>
        </w:tc>
      </w:tr>
    </w:tbl>
    <w:p w14:paraId="4D6807F5" w14:textId="77777777" w:rsidR="0017193A" w:rsidRDefault="0017193A" w:rsidP="0017193A">
      <w:pPr>
        <w:rPr>
          <w:noProof/>
        </w:rPr>
      </w:pPr>
    </w:p>
    <w:p w14:paraId="0560F08C" w14:textId="23665883" w:rsidR="000A5A69" w:rsidRDefault="000A5A69" w:rsidP="000A5A69">
      <w:pPr>
        <w:pStyle w:val="Heading1"/>
        <w:numPr>
          <w:ilvl w:val="0"/>
          <w:numId w:val="15"/>
        </w:numPr>
        <w:tabs>
          <w:tab w:val="num" w:pos="283"/>
        </w:tabs>
        <w:rPr>
          <w:noProof/>
          <w:lang w:val="en-IE"/>
        </w:rPr>
      </w:pPr>
      <w:bookmarkStart w:id="309" w:name="_Toc228346940"/>
      <w:bookmarkStart w:id="310" w:name="_Toc216283385"/>
      <w:r w:rsidRPr="00134D02">
        <w:rPr>
          <w:noProof/>
          <w:lang w:val="en-IE"/>
        </w:rPr>
        <w:t>Environmental Impact Analysis</w:t>
      </w:r>
      <w:bookmarkEnd w:id="309"/>
      <w:r w:rsidRPr="00134D02">
        <w:rPr>
          <w:noProof/>
          <w:lang w:val="en-IE"/>
        </w:rPr>
        <w:t xml:space="preserve"> </w:t>
      </w:r>
    </w:p>
    <w:p w14:paraId="1A007008" w14:textId="68820931" w:rsidR="007448B4" w:rsidRDefault="006442FA" w:rsidP="00C34FD9">
      <w:pPr>
        <w:pStyle w:val="Text1"/>
        <w:spacing w:after="120"/>
        <w:ind w:left="0"/>
        <w:rPr>
          <w:noProof/>
        </w:rPr>
      </w:pPr>
      <w:r>
        <w:rPr>
          <w:noProof/>
          <w:lang w:val="en-IE"/>
        </w:rPr>
        <w:t xml:space="preserve">The analysis of the environmental impact of data centres estimates the operational electricity consumption and associated </w:t>
      </w:r>
      <w:r w:rsidRPr="006442FA">
        <w:rPr>
          <w:noProof/>
        </w:rPr>
        <w:t>CO₂</w:t>
      </w:r>
      <w:r>
        <w:rPr>
          <w:noProof/>
        </w:rPr>
        <w:t xml:space="preserve"> emissions of projected data centre capacity in the EU over the period 2025-2036 under the baseline and the three different policy options (PO1-A, PO1-B and PO1-C). </w:t>
      </w:r>
      <w:r w:rsidR="007448B4">
        <w:rPr>
          <w:noProof/>
        </w:rPr>
        <w:t>The calculation proceeded in four steps:</w:t>
      </w:r>
    </w:p>
    <w:p w14:paraId="2B1BA0D6" w14:textId="48CEE929" w:rsidR="00083EE8" w:rsidRDefault="00066B74" w:rsidP="005A400A">
      <w:pPr>
        <w:pStyle w:val="Text1"/>
        <w:numPr>
          <w:ilvl w:val="0"/>
          <w:numId w:val="110"/>
        </w:numPr>
        <w:spacing w:after="0"/>
        <w:rPr>
          <w:noProof/>
        </w:rPr>
      </w:pPr>
      <w:r>
        <w:rPr>
          <w:noProof/>
        </w:rPr>
        <w:t>Use of i</w:t>
      </w:r>
      <w:r w:rsidR="007448B4">
        <w:rPr>
          <w:noProof/>
        </w:rPr>
        <w:t>nstalled IT capacity</w:t>
      </w:r>
      <w:r w:rsidR="00083EE8">
        <w:rPr>
          <w:noProof/>
        </w:rPr>
        <w:t xml:space="preserve"> forecast</w:t>
      </w:r>
      <w:r w:rsidR="007448B4">
        <w:rPr>
          <w:noProof/>
        </w:rPr>
        <w:t xml:space="preserve"> under the baseline and the respective policy options (MW)</w:t>
      </w:r>
    </w:p>
    <w:p w14:paraId="671667F9" w14:textId="3EB0536B" w:rsidR="00083EE8" w:rsidRDefault="007448B4" w:rsidP="005A400A">
      <w:pPr>
        <w:pStyle w:val="Text1"/>
        <w:numPr>
          <w:ilvl w:val="0"/>
          <w:numId w:val="110"/>
        </w:numPr>
        <w:spacing w:after="0"/>
        <w:rPr>
          <w:noProof/>
        </w:rPr>
      </w:pPr>
      <w:r>
        <w:rPr>
          <w:noProof/>
        </w:rPr>
        <w:t xml:space="preserve">Adjustment for utilisation and efficiency </w:t>
      </w:r>
    </w:p>
    <w:p w14:paraId="32D50D3A" w14:textId="001C9F76" w:rsidR="00083EE8" w:rsidRDefault="007448B4" w:rsidP="005A400A">
      <w:pPr>
        <w:pStyle w:val="Text1"/>
        <w:numPr>
          <w:ilvl w:val="0"/>
          <w:numId w:val="110"/>
        </w:numPr>
        <w:spacing w:after="0"/>
        <w:rPr>
          <w:noProof/>
        </w:rPr>
      </w:pPr>
      <w:r>
        <w:rPr>
          <w:noProof/>
        </w:rPr>
        <w:t>Conversion of electricity demand into TWh</w:t>
      </w:r>
    </w:p>
    <w:p w14:paraId="0BAD143E" w14:textId="7DA5FD20" w:rsidR="007448B4" w:rsidRDefault="007448B4" w:rsidP="00C34FD9">
      <w:pPr>
        <w:pStyle w:val="Text1"/>
        <w:numPr>
          <w:ilvl w:val="0"/>
          <w:numId w:val="110"/>
        </w:numPr>
        <w:spacing w:after="0"/>
        <w:rPr>
          <w:noProof/>
        </w:rPr>
      </w:pPr>
      <w:r>
        <w:rPr>
          <w:noProof/>
        </w:rPr>
        <w:t xml:space="preserve">Application of EU electricity emission factors to derive </w:t>
      </w:r>
      <w:r w:rsidRPr="007448B4">
        <w:rPr>
          <w:noProof/>
        </w:rPr>
        <w:t>CO₂</w:t>
      </w:r>
      <w:r>
        <w:rPr>
          <w:noProof/>
        </w:rPr>
        <w:t xml:space="preserve"> emissions</w:t>
      </w:r>
      <w:r w:rsidR="00187566">
        <w:rPr>
          <w:rStyle w:val="FootnoteReference"/>
          <w:noProof/>
        </w:rPr>
        <w:footnoteReference w:id="107"/>
      </w:r>
    </w:p>
    <w:p w14:paraId="1C84B5E8" w14:textId="77777777" w:rsidR="00187566" w:rsidRDefault="00187566" w:rsidP="005A400A">
      <w:pPr>
        <w:pStyle w:val="Text1"/>
        <w:spacing w:after="0"/>
        <w:ind w:left="0"/>
        <w:rPr>
          <w:noProof/>
        </w:rPr>
      </w:pPr>
    </w:p>
    <w:p w14:paraId="68B817EE" w14:textId="4865BF0B" w:rsidR="00187566" w:rsidRPr="008B6D44" w:rsidRDefault="00A15DA4" w:rsidP="00C34FD9">
      <w:pPr>
        <w:pStyle w:val="Heading2"/>
        <w:numPr>
          <w:ilvl w:val="1"/>
          <w:numId w:val="15"/>
        </w:numPr>
        <w:tabs>
          <w:tab w:val="left" w:pos="567"/>
        </w:tabs>
        <w:rPr>
          <w:noProof/>
        </w:rPr>
      </w:pPr>
      <w:bookmarkStart w:id="311" w:name="_Toc228346941"/>
      <w:r w:rsidRPr="00060D59">
        <w:rPr>
          <w:noProof/>
        </w:rPr>
        <w:t>Installed IT capacity</w:t>
      </w:r>
      <w:bookmarkEnd w:id="311"/>
    </w:p>
    <w:p w14:paraId="0DF44169" w14:textId="7EB3565B" w:rsidR="00E13D57" w:rsidRPr="00E13D57" w:rsidRDefault="00E13D57" w:rsidP="00C34FD9">
      <w:pPr>
        <w:pStyle w:val="Text1"/>
        <w:spacing w:after="0"/>
        <w:ind w:left="0"/>
        <w:rPr>
          <w:noProof/>
          <w:lang w:val="en-IE"/>
        </w:rPr>
      </w:pPr>
      <w:r>
        <w:rPr>
          <w:noProof/>
          <w:lang w:val="en-IE"/>
        </w:rPr>
        <w:t>A</w:t>
      </w:r>
      <w:r w:rsidRPr="00E13D57">
        <w:rPr>
          <w:noProof/>
          <w:lang w:val="en-IE"/>
        </w:rPr>
        <w:t>nnual projections of maximum IT power draw (MW) are taken as the starting point for each scenario (Baseline, PO1-A, PO1-B, PO1-C), reflecting different trajectories of data centre deployment.</w:t>
      </w:r>
      <w:r w:rsidR="00060D59">
        <w:rPr>
          <w:noProof/>
          <w:lang w:val="en-IE"/>
        </w:rPr>
        <w:t xml:space="preserve"> </w:t>
      </w:r>
      <w:r w:rsidRPr="00E13D57">
        <w:rPr>
          <w:noProof/>
          <w:lang w:val="en-IE"/>
        </w:rPr>
        <w:t>Public</w:t>
      </w:r>
      <w:r w:rsidR="00060D59">
        <w:rPr>
          <w:noProof/>
          <w:lang w:val="en-IE"/>
        </w:rPr>
        <w:t xml:space="preserve"> </w:t>
      </w:r>
      <w:r w:rsidRPr="00E13D57">
        <w:rPr>
          <w:noProof/>
          <w:lang w:val="en-IE"/>
        </w:rPr>
        <w:t>sector capacity is tracked separately but aggregated into total capacity for environmental calculations.</w:t>
      </w:r>
      <w:r w:rsidR="00060D59">
        <w:rPr>
          <w:noProof/>
          <w:lang w:val="en-IE"/>
        </w:rPr>
        <w:t xml:space="preserve"> </w:t>
      </w:r>
      <w:r w:rsidRPr="00E13D57">
        <w:rPr>
          <w:noProof/>
          <w:lang w:val="en-IE"/>
        </w:rPr>
        <w:t>These projections imply compound annual growth rates of approximately:</w:t>
      </w:r>
      <w:r w:rsidR="008F007D">
        <w:rPr>
          <w:noProof/>
          <w:lang w:val="en-IE"/>
        </w:rPr>
        <w:t xml:space="preserve"> </w:t>
      </w:r>
      <w:r w:rsidRPr="00E13D57">
        <w:rPr>
          <w:noProof/>
          <w:lang w:val="en-IE"/>
        </w:rPr>
        <w:t>11% (Baseline)</w:t>
      </w:r>
      <w:r w:rsidR="008F007D">
        <w:rPr>
          <w:noProof/>
          <w:lang w:val="en-IE"/>
        </w:rPr>
        <w:t xml:space="preserve">; </w:t>
      </w:r>
      <w:r w:rsidRPr="00E13D57">
        <w:rPr>
          <w:noProof/>
          <w:lang w:val="en-IE"/>
        </w:rPr>
        <w:t>12% (PO1-A)</w:t>
      </w:r>
      <w:r w:rsidR="008F007D">
        <w:rPr>
          <w:noProof/>
          <w:lang w:val="en-IE"/>
        </w:rPr>
        <w:t xml:space="preserve">; </w:t>
      </w:r>
      <w:r w:rsidRPr="00E13D57">
        <w:rPr>
          <w:noProof/>
          <w:lang w:val="en-IE"/>
        </w:rPr>
        <w:t>13% (PO1-C)</w:t>
      </w:r>
      <w:r w:rsidR="008F007D">
        <w:rPr>
          <w:noProof/>
          <w:lang w:val="en-IE"/>
        </w:rPr>
        <w:t xml:space="preserve">; </w:t>
      </w:r>
      <w:r w:rsidRPr="00E13D57">
        <w:rPr>
          <w:noProof/>
          <w:lang w:val="en-IE"/>
        </w:rPr>
        <w:t>15% (PO1-B)</w:t>
      </w:r>
    </w:p>
    <w:p w14:paraId="15DE8F8D" w14:textId="77777777" w:rsidR="00E13D57" w:rsidRDefault="00E13D57" w:rsidP="00C34FD9">
      <w:pPr>
        <w:pStyle w:val="Text1"/>
        <w:spacing w:after="0"/>
        <w:ind w:left="0"/>
        <w:rPr>
          <w:noProof/>
        </w:rPr>
      </w:pPr>
    </w:p>
    <w:p w14:paraId="1BC529E4" w14:textId="29BA1FF6" w:rsidR="008F007D" w:rsidRPr="00C34FD9" w:rsidRDefault="008440C7" w:rsidP="00C34FD9">
      <w:pPr>
        <w:pStyle w:val="Heading2"/>
        <w:numPr>
          <w:ilvl w:val="1"/>
          <w:numId w:val="15"/>
        </w:numPr>
        <w:tabs>
          <w:tab w:val="left" w:pos="567"/>
        </w:tabs>
        <w:ind w:left="1202"/>
        <w:rPr>
          <w:noProof/>
        </w:rPr>
      </w:pPr>
      <w:bookmarkStart w:id="312" w:name="_Toc228346942"/>
      <w:r>
        <w:rPr>
          <w:noProof/>
        </w:rPr>
        <w:t>Utilisation and efficiency assumptions</w:t>
      </w:r>
      <w:bookmarkEnd w:id="312"/>
    </w:p>
    <w:p w14:paraId="7D58C375" w14:textId="645C6B27" w:rsidR="008F007D" w:rsidRPr="008F007D" w:rsidRDefault="008F007D" w:rsidP="00C34FD9">
      <w:pPr>
        <w:pStyle w:val="BodyText"/>
        <w:rPr>
          <w:noProof/>
          <w:lang w:val="en-IE"/>
        </w:rPr>
      </w:pPr>
      <w:r w:rsidRPr="008F007D">
        <w:rPr>
          <w:noProof/>
          <w:lang w:val="en-IE"/>
        </w:rPr>
        <w:t>Installed IT capacity is converted into effective operational load using a utilisation factor of 63%, reflecting</w:t>
      </w:r>
      <w:r w:rsidR="00681FDD">
        <w:rPr>
          <w:noProof/>
          <w:lang w:val="en-IE"/>
        </w:rPr>
        <w:t xml:space="preserve"> </w:t>
      </w:r>
      <w:r w:rsidR="001957E8">
        <w:rPr>
          <w:noProof/>
          <w:lang w:val="en-IE"/>
        </w:rPr>
        <w:t xml:space="preserve">the </w:t>
      </w:r>
      <w:r w:rsidR="00681FDD">
        <w:rPr>
          <w:noProof/>
          <w:lang w:val="en-IE"/>
        </w:rPr>
        <w:t>weighted</w:t>
      </w:r>
      <w:r w:rsidRPr="008F007D">
        <w:rPr>
          <w:noProof/>
          <w:lang w:val="en-IE"/>
        </w:rPr>
        <w:t xml:space="preserve"> average </w:t>
      </w:r>
      <w:r w:rsidR="001957E8">
        <w:rPr>
          <w:noProof/>
          <w:lang w:val="en-IE"/>
        </w:rPr>
        <w:t xml:space="preserve">of </w:t>
      </w:r>
      <w:r w:rsidRPr="008F007D">
        <w:rPr>
          <w:noProof/>
          <w:lang w:val="en-IE"/>
        </w:rPr>
        <w:t xml:space="preserve">data centre </w:t>
      </w:r>
      <w:r w:rsidR="001957E8">
        <w:rPr>
          <w:noProof/>
          <w:lang w:val="en-IE"/>
        </w:rPr>
        <w:t>utilisation rates</w:t>
      </w:r>
      <w:r w:rsidRPr="008F007D">
        <w:rPr>
          <w:noProof/>
          <w:lang w:val="en-IE"/>
        </w:rPr>
        <w:t xml:space="preserve"> reported </w:t>
      </w:r>
      <w:r w:rsidR="006665C7">
        <w:rPr>
          <w:noProof/>
          <w:lang w:val="en-IE"/>
        </w:rPr>
        <w:t xml:space="preserve">by Technopolis </w:t>
      </w:r>
      <w:r w:rsidR="00D37AE7">
        <w:rPr>
          <w:noProof/>
          <w:lang w:val="en-IE"/>
        </w:rPr>
        <w:t xml:space="preserve">et al. </w:t>
      </w:r>
      <w:r w:rsidR="006665C7">
        <w:rPr>
          <w:noProof/>
          <w:lang w:val="en-IE"/>
        </w:rPr>
        <w:t>(2025)</w:t>
      </w:r>
      <w:r w:rsidRPr="008F007D">
        <w:rPr>
          <w:noProof/>
          <w:lang w:val="en-IE"/>
        </w:rPr>
        <w:t>.</w:t>
      </w:r>
      <w:r w:rsidR="006665C7">
        <w:rPr>
          <w:noProof/>
          <w:lang w:val="en-IE"/>
        </w:rPr>
        <w:t xml:space="preserve"> </w:t>
      </w:r>
      <w:r w:rsidR="001957E8">
        <w:rPr>
          <w:noProof/>
        </w:rPr>
        <w:t>These</w:t>
      </w:r>
      <w:r w:rsidR="00681FDD" w:rsidRPr="00EF0DC6">
        <w:rPr>
          <w:noProof/>
        </w:rPr>
        <w:t xml:space="preserve"> rates came from the CATI survey for colocation providers in primary markets (coming out at 50% utilised), with desk research used to calculate the utilisation rate for colocation providers in secondary and developing markets (45%) and hyperscaler sites (90% utilised). </w:t>
      </w:r>
      <w:r w:rsidR="00D37AE7">
        <w:rPr>
          <w:noProof/>
        </w:rPr>
        <w:t xml:space="preserve"> </w:t>
      </w:r>
      <w:r w:rsidRPr="008F007D">
        <w:rPr>
          <w:noProof/>
          <w:lang w:val="en-IE"/>
        </w:rPr>
        <w:t>This yields the “effective IT load” for each year and scenario.</w:t>
      </w:r>
    </w:p>
    <w:p w14:paraId="6B1E3F9B" w14:textId="1F494AC4" w:rsidR="006665C7" w:rsidRPr="00C34FD9" w:rsidRDefault="008F007D" w:rsidP="00C34FD9">
      <w:pPr>
        <w:pStyle w:val="Text2"/>
        <w:spacing w:after="120"/>
        <w:ind w:left="0"/>
        <w:rPr>
          <w:noProof/>
        </w:rPr>
      </w:pPr>
      <w:r w:rsidRPr="00C34FD9">
        <w:rPr>
          <w:b/>
          <w:i/>
          <w:noProof/>
          <w:lang w:val="en-IE"/>
        </w:rPr>
        <w:t>Power Usage Effectiveness (PUE)</w:t>
      </w:r>
      <w:r w:rsidR="006665C7">
        <w:rPr>
          <w:b/>
          <w:bCs/>
          <w:i/>
          <w:iCs/>
          <w:noProof/>
          <w:lang w:val="en-IE"/>
        </w:rPr>
        <w:t xml:space="preserve">. </w:t>
      </w:r>
      <w:r w:rsidR="0015740D" w:rsidRPr="00792754">
        <w:rPr>
          <w:noProof/>
        </w:rPr>
        <w:t>Colocation PUE was calculated using information from Data Center Map (coming out an overall average of 1.39) whereas hyperscaler PUE was calculated using the latest reported hyperscaler figures for their EMEA sites from 2023 (coming out at an average of 1.1). These figures were validated against market participants during interview programmes and during both the interim and final workshop.</w:t>
      </w:r>
      <w:r w:rsidR="0015740D">
        <w:rPr>
          <w:noProof/>
        </w:rPr>
        <w:t xml:space="preserve"> </w:t>
      </w:r>
      <w:r w:rsidRPr="008F007D">
        <w:rPr>
          <w:noProof/>
          <w:lang w:val="en-IE"/>
        </w:rPr>
        <w:t>Total facility electricity demand is derived using scenario-specific PUE trajectories:</w:t>
      </w:r>
    </w:p>
    <w:p w14:paraId="6983DD89" w14:textId="77777777" w:rsidR="006665C7" w:rsidRDefault="008F007D" w:rsidP="00C34FD9">
      <w:pPr>
        <w:pStyle w:val="Text2"/>
        <w:numPr>
          <w:ilvl w:val="0"/>
          <w:numId w:val="112"/>
        </w:numPr>
        <w:spacing w:after="0"/>
        <w:ind w:left="714" w:hanging="357"/>
        <w:rPr>
          <w:b/>
          <w:bCs/>
          <w:i/>
          <w:iCs/>
          <w:noProof/>
          <w:lang w:val="en-IE"/>
        </w:rPr>
      </w:pPr>
      <w:r w:rsidRPr="008F007D">
        <w:rPr>
          <w:noProof/>
          <w:lang w:val="en-IE"/>
        </w:rPr>
        <w:t>Baseline improves gradually from 1.29 in 2025 to 1.23 in 2036</w:t>
      </w:r>
    </w:p>
    <w:p w14:paraId="642A893C" w14:textId="0987D18F" w:rsidR="008F007D" w:rsidRPr="006665C7" w:rsidRDefault="008F007D" w:rsidP="00C34FD9">
      <w:pPr>
        <w:pStyle w:val="Text2"/>
        <w:numPr>
          <w:ilvl w:val="0"/>
          <w:numId w:val="112"/>
        </w:numPr>
        <w:spacing w:after="0"/>
        <w:ind w:left="714" w:hanging="357"/>
        <w:rPr>
          <w:noProof/>
          <w:lang w:val="en-IE"/>
        </w:rPr>
      </w:pPr>
      <w:r w:rsidRPr="006665C7">
        <w:rPr>
          <w:noProof/>
          <w:lang w:val="en-IE"/>
        </w:rPr>
        <w:t>PO1 scenarios assume faster efficiency improvements, reaching:</w:t>
      </w:r>
      <w:r w:rsidR="006665C7" w:rsidRPr="006665C7">
        <w:rPr>
          <w:b/>
          <w:bCs/>
          <w:i/>
          <w:iCs/>
          <w:noProof/>
          <w:lang w:val="en-IE"/>
        </w:rPr>
        <w:t xml:space="preserve"> </w:t>
      </w:r>
      <w:r w:rsidRPr="006665C7">
        <w:rPr>
          <w:noProof/>
          <w:lang w:val="en-IE"/>
        </w:rPr>
        <w:t>1.18 (PO1-A)</w:t>
      </w:r>
      <w:r w:rsidR="006665C7" w:rsidRPr="006665C7">
        <w:rPr>
          <w:noProof/>
          <w:lang w:val="en-IE"/>
        </w:rPr>
        <w:t xml:space="preserve">, </w:t>
      </w:r>
      <w:r w:rsidRPr="006665C7">
        <w:rPr>
          <w:noProof/>
          <w:lang w:val="en-IE"/>
        </w:rPr>
        <w:t>1.12 (PO1-B)</w:t>
      </w:r>
      <w:r w:rsidR="006665C7">
        <w:rPr>
          <w:noProof/>
          <w:lang w:val="en-IE"/>
        </w:rPr>
        <w:t>, 1</w:t>
      </w:r>
      <w:r w:rsidRPr="006665C7">
        <w:rPr>
          <w:noProof/>
          <w:lang w:val="en-IE"/>
        </w:rPr>
        <w:t>.05 (PO1-C) by 2036</w:t>
      </w:r>
    </w:p>
    <w:p w14:paraId="74D09C24" w14:textId="0FD14D89" w:rsidR="006665C7" w:rsidRDefault="008F007D" w:rsidP="00C34FD9">
      <w:pPr>
        <w:pStyle w:val="Text2"/>
        <w:spacing w:before="120" w:after="120"/>
        <w:ind w:left="0"/>
        <w:rPr>
          <w:noProof/>
          <w:lang w:val="en-IE"/>
        </w:rPr>
      </w:pPr>
      <w:r w:rsidRPr="008F007D">
        <w:rPr>
          <w:noProof/>
          <w:lang w:val="en-IE"/>
        </w:rPr>
        <w:t>These assumptions reflect accelerated uptake of efficient cooling, infrastructure optimisation, and best-available technologies under policy intervention.</w:t>
      </w:r>
      <w:r w:rsidR="00E75A83">
        <w:rPr>
          <w:noProof/>
          <w:lang w:val="en-IE"/>
        </w:rPr>
        <w:t xml:space="preserve"> For further details see section 2.3.4. </w:t>
      </w:r>
    </w:p>
    <w:p w14:paraId="29991E46" w14:textId="1277A54D" w:rsidR="008F007D" w:rsidRPr="008F007D" w:rsidRDefault="008F007D" w:rsidP="00C34FD9">
      <w:pPr>
        <w:pStyle w:val="Text2"/>
        <w:spacing w:after="120"/>
        <w:ind w:left="0"/>
        <w:rPr>
          <w:noProof/>
          <w:lang w:val="en-IE"/>
        </w:rPr>
      </w:pPr>
      <w:r w:rsidRPr="008F007D">
        <w:rPr>
          <w:noProof/>
          <w:lang w:val="en-IE"/>
        </w:rPr>
        <w:t>Total electrical load is therefore calculated as:</w:t>
      </w:r>
      <w:r w:rsidR="006665C7">
        <w:rPr>
          <w:noProof/>
          <w:lang w:val="en-IE"/>
        </w:rPr>
        <w:t xml:space="preserve"> </w:t>
      </w:r>
      <w:r w:rsidRPr="00C34FD9">
        <w:rPr>
          <w:i/>
          <w:noProof/>
          <w:lang w:val="en-IE"/>
        </w:rPr>
        <w:t>Total DC load = Effective IT load × PUE</w:t>
      </w:r>
    </w:p>
    <w:p w14:paraId="6B894797" w14:textId="722B28D0" w:rsidR="008F007D" w:rsidRDefault="008F007D" w:rsidP="005A400A">
      <w:pPr>
        <w:pStyle w:val="Text2"/>
        <w:ind w:left="0"/>
        <w:rPr>
          <w:noProof/>
          <w:lang w:val="en-IE"/>
        </w:rPr>
      </w:pPr>
      <w:r w:rsidRPr="008F007D">
        <w:rPr>
          <w:noProof/>
          <w:lang w:val="en-IE"/>
        </w:rPr>
        <w:t>This produces declining electricity intensity per GW over time (TWh/GW), even as total consumption increases due to capacity growth.</w:t>
      </w:r>
    </w:p>
    <w:p w14:paraId="7F469D9B" w14:textId="1C75821D" w:rsidR="008440C7" w:rsidRDefault="00950183" w:rsidP="000B3E1A">
      <w:pPr>
        <w:pStyle w:val="Heading2"/>
        <w:numPr>
          <w:ilvl w:val="1"/>
          <w:numId w:val="15"/>
        </w:numPr>
        <w:tabs>
          <w:tab w:val="left" w:pos="567"/>
        </w:tabs>
        <w:ind w:left="1202"/>
        <w:rPr>
          <w:noProof/>
        </w:rPr>
      </w:pPr>
      <w:bookmarkStart w:id="313" w:name="_Toc228346943"/>
      <w:r>
        <w:rPr>
          <w:noProof/>
        </w:rPr>
        <w:t>Conversion to annual electricity demand</w:t>
      </w:r>
      <w:bookmarkEnd w:id="313"/>
    </w:p>
    <w:p w14:paraId="2D53D992" w14:textId="77777777" w:rsidR="00041350" w:rsidRDefault="00C458FA" w:rsidP="005A400A">
      <w:pPr>
        <w:pStyle w:val="Text2"/>
        <w:spacing w:after="120"/>
        <w:ind w:left="0"/>
        <w:rPr>
          <w:noProof/>
          <w:lang w:val="en-IE"/>
        </w:rPr>
      </w:pPr>
      <w:r w:rsidRPr="00C458FA">
        <w:rPr>
          <w:noProof/>
          <w:lang w:val="en-IE"/>
        </w:rPr>
        <w:t>Electricity consumption is computed using the standard conversion:</w:t>
      </w:r>
      <w:r>
        <w:rPr>
          <w:noProof/>
          <w:lang w:val="en-IE"/>
        </w:rPr>
        <w:t xml:space="preserve"> </w:t>
      </w:r>
    </w:p>
    <w:p w14:paraId="4ACD6EF5" w14:textId="5777E332" w:rsidR="00C458FA" w:rsidRDefault="00C458FA" w:rsidP="00C34FD9">
      <w:pPr>
        <w:pStyle w:val="Text2"/>
        <w:spacing w:after="120"/>
        <w:ind w:left="0"/>
        <w:rPr>
          <w:i/>
          <w:iCs/>
          <w:noProof/>
          <w:lang w:val="en-IE"/>
        </w:rPr>
      </w:pPr>
      <w:r w:rsidRPr="00C34FD9">
        <w:rPr>
          <w:i/>
          <w:noProof/>
          <w:lang w:val="en-IE"/>
        </w:rPr>
        <w:t>Annual electricity (TWh) = Load (GW) × 8,760 hours × 0.001</w:t>
      </w:r>
      <w:r>
        <w:rPr>
          <w:i/>
          <w:iCs/>
          <w:noProof/>
          <w:lang w:val="en-IE"/>
        </w:rPr>
        <w:t xml:space="preserve">, </w:t>
      </w:r>
      <w:r w:rsidRPr="00C458FA">
        <w:rPr>
          <w:noProof/>
          <w:lang w:val="en-IE"/>
        </w:rPr>
        <w:t>equivalently:</w:t>
      </w:r>
      <w:r>
        <w:rPr>
          <w:i/>
          <w:iCs/>
          <w:noProof/>
          <w:lang w:val="en-IE"/>
        </w:rPr>
        <w:t xml:space="preserve"> </w:t>
      </w:r>
      <w:r w:rsidRPr="00C34FD9">
        <w:rPr>
          <w:noProof/>
          <w:lang w:val="en-IE"/>
        </w:rPr>
        <w:t>MW × 0.00876 = TWh/year</w:t>
      </w:r>
      <w:r w:rsidR="00083EE8">
        <w:rPr>
          <w:noProof/>
          <w:lang w:val="en-IE"/>
        </w:rPr>
        <w:t>.</w:t>
      </w:r>
    </w:p>
    <w:p w14:paraId="351D99C2" w14:textId="7FEAA473" w:rsidR="006665C7" w:rsidRPr="00C34FD9" w:rsidRDefault="00C458FA" w:rsidP="00C34FD9">
      <w:pPr>
        <w:pStyle w:val="Text2"/>
        <w:ind w:left="0"/>
        <w:rPr>
          <w:noProof/>
          <w:lang w:val="en-IE"/>
        </w:rPr>
      </w:pPr>
      <w:r w:rsidRPr="00C458FA">
        <w:rPr>
          <w:noProof/>
          <w:lang w:val="en-IE"/>
        </w:rPr>
        <w:t>This yields total annual electricity demand for each scenario, rising from approximately 99 TWh in 2025 to:</w:t>
      </w:r>
      <w:r>
        <w:rPr>
          <w:i/>
          <w:iCs/>
          <w:noProof/>
          <w:lang w:val="en-IE"/>
        </w:rPr>
        <w:t xml:space="preserve"> </w:t>
      </w:r>
      <w:r w:rsidRPr="00C458FA">
        <w:rPr>
          <w:noProof/>
          <w:lang w:val="en-IE"/>
        </w:rPr>
        <w:t>314 TWh (Baseline)</w:t>
      </w:r>
      <w:r>
        <w:rPr>
          <w:noProof/>
          <w:lang w:val="en-IE"/>
        </w:rPr>
        <w:t xml:space="preserve">, </w:t>
      </w:r>
      <w:r w:rsidRPr="00C458FA">
        <w:rPr>
          <w:noProof/>
          <w:lang w:val="en-IE"/>
        </w:rPr>
        <w:t>339–340 TWh (PO1-A / PO1-C)</w:t>
      </w:r>
      <w:r>
        <w:rPr>
          <w:noProof/>
          <w:lang w:val="en-IE"/>
        </w:rPr>
        <w:t xml:space="preserve">, </w:t>
      </w:r>
      <w:r w:rsidRPr="00C458FA">
        <w:rPr>
          <w:noProof/>
          <w:lang w:val="en-IE"/>
        </w:rPr>
        <w:t>408 TWh (PO1-B)</w:t>
      </w:r>
      <w:r>
        <w:rPr>
          <w:noProof/>
          <w:lang w:val="en-IE"/>
        </w:rPr>
        <w:t xml:space="preserve"> </w:t>
      </w:r>
      <w:r w:rsidRPr="00C458FA">
        <w:rPr>
          <w:noProof/>
          <w:lang w:val="en-IE"/>
        </w:rPr>
        <w:t>by 2036.</w:t>
      </w:r>
      <w:r>
        <w:rPr>
          <w:noProof/>
          <w:lang w:val="en-IE"/>
        </w:rPr>
        <w:t xml:space="preserve"> </w:t>
      </w:r>
      <w:r w:rsidRPr="00C458FA">
        <w:rPr>
          <w:noProof/>
          <w:lang w:val="en-IE"/>
        </w:rPr>
        <w:t>Cumulative electricity demand over 2025–2036 ranges from</w:t>
      </w:r>
      <w:r>
        <w:rPr>
          <w:noProof/>
          <w:lang w:val="en-IE"/>
        </w:rPr>
        <w:t xml:space="preserve"> </w:t>
      </w:r>
      <w:r w:rsidRPr="00C458FA">
        <w:rPr>
          <w:noProof/>
          <w:lang w:val="en-IE"/>
        </w:rPr>
        <w:t>2</w:t>
      </w:r>
      <w:r>
        <w:rPr>
          <w:noProof/>
          <w:lang w:val="en-IE"/>
        </w:rPr>
        <w:t xml:space="preserve"> </w:t>
      </w:r>
      <w:r w:rsidRPr="00C458FA">
        <w:rPr>
          <w:noProof/>
          <w:lang w:val="en-IE"/>
        </w:rPr>
        <w:t xml:space="preserve">571 TWh (Baseline) to </w:t>
      </w:r>
      <w:r>
        <w:rPr>
          <w:noProof/>
          <w:lang w:val="en-IE"/>
        </w:rPr>
        <w:t xml:space="preserve"> </w:t>
      </w:r>
      <w:r w:rsidRPr="00C458FA">
        <w:rPr>
          <w:noProof/>
          <w:lang w:val="en-IE"/>
        </w:rPr>
        <w:t>3</w:t>
      </w:r>
      <w:r w:rsidR="00404FA8">
        <w:rPr>
          <w:noProof/>
          <w:lang w:val="en-IE"/>
        </w:rPr>
        <w:t xml:space="preserve"> </w:t>
      </w:r>
      <w:r w:rsidRPr="00C458FA">
        <w:rPr>
          <w:noProof/>
          <w:lang w:val="en-IE"/>
        </w:rPr>
        <w:t>028 TWh (PO1-B).</w:t>
      </w:r>
    </w:p>
    <w:p w14:paraId="13330965" w14:textId="3C8B87F7" w:rsidR="008B6D44" w:rsidRDefault="00327109" w:rsidP="000B3E1A">
      <w:pPr>
        <w:pStyle w:val="Heading2"/>
        <w:numPr>
          <w:ilvl w:val="1"/>
          <w:numId w:val="15"/>
        </w:numPr>
        <w:tabs>
          <w:tab w:val="left" w:pos="567"/>
        </w:tabs>
        <w:ind w:left="1202"/>
        <w:rPr>
          <w:noProof/>
        </w:rPr>
      </w:pPr>
      <w:bookmarkStart w:id="314" w:name="_Toc228346944"/>
      <w:r>
        <w:rPr>
          <w:noProof/>
        </w:rPr>
        <w:t>Emissions calculations</w:t>
      </w:r>
      <w:bookmarkEnd w:id="314"/>
    </w:p>
    <w:p w14:paraId="6A2EADA1" w14:textId="443BCD88" w:rsidR="008B6D44" w:rsidRPr="00C34FD9" w:rsidRDefault="008B6D44" w:rsidP="00C34FD9">
      <w:pPr>
        <w:spacing w:after="120"/>
        <w:rPr>
          <w:noProof/>
        </w:rPr>
      </w:pPr>
      <w:r w:rsidRPr="008B6D44">
        <w:rPr>
          <w:noProof/>
          <w:lang w:val="en-IE" w:eastAsia="en-IE"/>
        </w:rPr>
        <w:t>Electricity consumption is translated into CO₂ emissions using EU-average electricity emission factors from the European Environment Agency.</w:t>
      </w:r>
      <w:r>
        <w:rPr>
          <w:noProof/>
        </w:rPr>
        <w:t xml:space="preserve"> </w:t>
      </w:r>
      <w:r w:rsidRPr="00C34FD9">
        <w:rPr>
          <w:rFonts w:eastAsia="Times New Roman"/>
          <w:noProof/>
          <w:lang w:val="en-IE" w:eastAsia="en-IE"/>
        </w:rPr>
        <w:t>The emission factor declines from 0.25 kg CO₂e/kWh in 2025 to 0.16 kg CO₂e/kWh in 2036, reflecting projected grid decarbonisation</w:t>
      </w:r>
      <w:r w:rsidR="00023025">
        <w:rPr>
          <w:rStyle w:val="FootnoteReference"/>
          <w:rFonts w:eastAsia="Times New Roman"/>
          <w:noProof/>
          <w:lang w:val="en-IE" w:eastAsia="en-IE"/>
        </w:rPr>
        <w:footnoteReference w:id="108"/>
      </w:r>
      <w:r w:rsidRPr="00C34FD9">
        <w:rPr>
          <w:rFonts w:eastAsia="Times New Roman"/>
          <w:noProof/>
          <w:lang w:val="en-IE" w:eastAsia="en-IE"/>
        </w:rPr>
        <w:t>.</w:t>
      </w:r>
      <w:r>
        <w:rPr>
          <w:noProof/>
        </w:rPr>
        <w:t xml:space="preserve"> </w:t>
      </w:r>
      <w:r w:rsidRPr="00C34FD9">
        <w:rPr>
          <w:rFonts w:eastAsia="Times New Roman"/>
          <w:noProof/>
          <w:lang w:val="en-IE" w:eastAsia="en-IE"/>
        </w:rPr>
        <w:t>Annual emissions are calculated as:</w:t>
      </w:r>
      <w:r>
        <w:rPr>
          <w:noProof/>
        </w:rPr>
        <w:t xml:space="preserve"> </w:t>
      </w:r>
      <w:r w:rsidRPr="00C34FD9">
        <w:rPr>
          <w:rFonts w:eastAsia="Times New Roman"/>
          <w:noProof/>
          <w:lang w:val="en-IE" w:eastAsia="en-IE"/>
        </w:rPr>
        <w:t>CO₂ emissions (Mt) = Electricity demand (TWh) × Emission factor (Mt/TWh)</w:t>
      </w:r>
      <w:r>
        <w:rPr>
          <w:noProof/>
        </w:rPr>
        <w:t xml:space="preserve">. </w:t>
      </w:r>
      <w:r w:rsidRPr="00C34FD9">
        <w:rPr>
          <w:rFonts w:eastAsia="Times New Roman"/>
          <w:noProof/>
          <w:lang w:val="en-IE" w:eastAsia="en-IE"/>
        </w:rPr>
        <w:t>The same emission factor trajectory is applied across all scenarios.</w:t>
      </w:r>
    </w:p>
    <w:p w14:paraId="073B00FA" w14:textId="0068F574" w:rsidR="00C458FA" w:rsidRDefault="007848BA" w:rsidP="000B3E1A">
      <w:pPr>
        <w:pStyle w:val="Text2"/>
        <w:ind w:left="0"/>
        <w:rPr>
          <w:noProof/>
          <w:lang w:val="en-IE"/>
        </w:rPr>
      </w:pPr>
      <w:r w:rsidRPr="007848BA">
        <w:rPr>
          <w:noProof/>
          <w:lang w:val="en-IE"/>
        </w:rPr>
        <w:t>Despite improving energy efficiency (declining PUE and falling emissions per GW), total emissions increase due to strong capacity growth.</w:t>
      </w:r>
      <w:r>
        <w:rPr>
          <w:noProof/>
          <w:lang w:val="en-IE"/>
        </w:rPr>
        <w:t xml:space="preserve"> </w:t>
      </w:r>
      <w:r w:rsidRPr="007848BA">
        <w:rPr>
          <w:noProof/>
          <w:lang w:val="en-IE"/>
        </w:rPr>
        <w:t>By 2036</w:t>
      </w:r>
      <w:r>
        <w:rPr>
          <w:noProof/>
          <w:lang w:val="en-IE"/>
        </w:rPr>
        <w:t xml:space="preserve"> b</w:t>
      </w:r>
      <w:r w:rsidRPr="007848BA">
        <w:rPr>
          <w:noProof/>
          <w:lang w:val="en-IE"/>
        </w:rPr>
        <w:t xml:space="preserve">aseline annual emissions </w:t>
      </w:r>
      <w:r>
        <w:rPr>
          <w:noProof/>
          <w:lang w:val="en-IE"/>
        </w:rPr>
        <w:t xml:space="preserve">are expected to </w:t>
      </w:r>
      <w:r w:rsidRPr="007848BA">
        <w:rPr>
          <w:noProof/>
          <w:lang w:val="en-IE"/>
        </w:rPr>
        <w:t>reach 50 Mt CO₂</w:t>
      </w:r>
      <w:r>
        <w:rPr>
          <w:noProof/>
          <w:lang w:val="en-IE"/>
        </w:rPr>
        <w:t xml:space="preserve">, </w:t>
      </w:r>
      <w:r w:rsidRPr="007848BA">
        <w:rPr>
          <w:noProof/>
          <w:lang w:val="en-IE"/>
        </w:rPr>
        <w:t xml:space="preserve">PO1-A / PO1-C </w:t>
      </w:r>
      <w:r>
        <w:rPr>
          <w:noProof/>
          <w:lang w:val="en-IE"/>
        </w:rPr>
        <w:t xml:space="preserve">around </w:t>
      </w:r>
      <w:r w:rsidRPr="007848BA">
        <w:rPr>
          <w:noProof/>
          <w:lang w:val="en-IE"/>
        </w:rPr>
        <w:t>54 Mt CO₂</w:t>
      </w:r>
      <w:r>
        <w:rPr>
          <w:noProof/>
          <w:lang w:val="en-IE"/>
        </w:rPr>
        <w:t xml:space="preserve">, </w:t>
      </w:r>
      <w:r w:rsidRPr="007848BA">
        <w:rPr>
          <w:noProof/>
          <w:lang w:val="en-IE"/>
        </w:rPr>
        <w:t>PO1-B reaches 65 Mt CO₂</w:t>
      </w:r>
      <w:r w:rsidR="005558D7">
        <w:rPr>
          <w:noProof/>
          <w:lang w:val="en-IE"/>
        </w:rPr>
        <w:t xml:space="preserve"> </w:t>
      </w:r>
      <w:r w:rsidRPr="007848BA">
        <w:rPr>
          <w:noProof/>
          <w:lang w:val="en-IE"/>
        </w:rPr>
        <w:t>At the same time, emissions intensity per GW declines by 41–49% across scenarios, illustrating that efficiency and grid decarbonisation partially offset</w:t>
      </w:r>
      <w:r w:rsidR="005558D7">
        <w:rPr>
          <w:noProof/>
          <w:lang w:val="en-IE"/>
        </w:rPr>
        <w:t xml:space="preserve">, </w:t>
      </w:r>
      <w:r w:rsidRPr="007848BA">
        <w:rPr>
          <w:noProof/>
          <w:lang w:val="en-IE"/>
        </w:rPr>
        <w:t xml:space="preserve">but do not fully neutralise </w:t>
      </w:r>
      <w:r w:rsidR="005558D7">
        <w:rPr>
          <w:noProof/>
          <w:lang w:val="en-IE"/>
        </w:rPr>
        <w:t>t</w:t>
      </w:r>
      <w:r w:rsidRPr="007848BA">
        <w:rPr>
          <w:noProof/>
          <w:lang w:val="en-IE"/>
        </w:rPr>
        <w:t>he impact of capacity expansion.</w:t>
      </w:r>
      <w:r w:rsidR="00B65D56" w:rsidRPr="00B65D56">
        <w:rPr>
          <w:noProof/>
          <w:lang w:val="en-IE" w:eastAsia="en-IE"/>
        </w:rPr>
        <w:t xml:space="preserve"> </w:t>
      </w:r>
      <w:r w:rsidR="00B65D56" w:rsidRPr="00B65D56">
        <w:rPr>
          <w:noProof/>
          <w:lang w:val="en-IE"/>
        </w:rPr>
        <w:t>Efficiency improvements substantially reduce emissions per unit of compute</w:t>
      </w:r>
      <w:r w:rsidR="00B65D56">
        <w:rPr>
          <w:noProof/>
          <w:lang w:val="en-IE"/>
        </w:rPr>
        <w:t xml:space="preserve">. </w:t>
      </w:r>
      <w:r w:rsidR="00B65D56" w:rsidRPr="00B65D56">
        <w:rPr>
          <w:noProof/>
          <w:lang w:val="en-IE"/>
        </w:rPr>
        <w:t>However, rapid expansion of data centre capacity dominates overall outcomes</w:t>
      </w:r>
      <w:r w:rsidR="00B65D56">
        <w:rPr>
          <w:noProof/>
          <w:lang w:val="en-IE"/>
        </w:rPr>
        <w:t xml:space="preserve">. </w:t>
      </w:r>
      <w:r w:rsidR="00B65D56" w:rsidRPr="00B65D56">
        <w:rPr>
          <w:noProof/>
          <w:lang w:val="en-IE"/>
        </w:rPr>
        <w:t>Policy scenarios that accelerate deployment without parallel structural decarbonisation of power supply materially increase absolute emissions.</w:t>
      </w:r>
      <w:r w:rsidR="00B65D56">
        <w:rPr>
          <w:noProof/>
          <w:lang w:val="en-IE"/>
        </w:rPr>
        <w:t xml:space="preserve"> </w:t>
      </w:r>
      <w:r w:rsidR="00B65D56" w:rsidRPr="00B65D56">
        <w:rPr>
          <w:noProof/>
          <w:lang w:val="en-IE"/>
        </w:rPr>
        <w:t>This highlights the importance of coordinating compute expansion with grid investment and clean generation.</w:t>
      </w:r>
    </w:p>
    <w:p w14:paraId="7F83CAC3" w14:textId="6FE59CF0" w:rsidR="00926E26" w:rsidRDefault="00926E26" w:rsidP="00C34FD9">
      <w:pPr>
        <w:pStyle w:val="Heading2"/>
        <w:numPr>
          <w:ilvl w:val="1"/>
          <w:numId w:val="15"/>
        </w:numPr>
        <w:tabs>
          <w:tab w:val="left" w:pos="567"/>
        </w:tabs>
        <w:rPr>
          <w:noProof/>
        </w:rPr>
      </w:pPr>
      <w:bookmarkStart w:id="315" w:name="_Toc228346945"/>
      <w:r>
        <w:rPr>
          <w:noProof/>
        </w:rPr>
        <w:t>Limitations</w:t>
      </w:r>
      <w:bookmarkEnd w:id="315"/>
    </w:p>
    <w:p w14:paraId="5C42CD36" w14:textId="77777777" w:rsidR="00B779EC" w:rsidRDefault="00926E26" w:rsidP="00C34FD9">
      <w:pPr>
        <w:pStyle w:val="Text2"/>
        <w:spacing w:after="120"/>
        <w:ind w:left="0"/>
        <w:rPr>
          <w:noProof/>
          <w:lang w:val="en-IE"/>
        </w:rPr>
      </w:pPr>
      <w:r w:rsidRPr="00926E26">
        <w:rPr>
          <w:noProof/>
          <w:lang w:val="en-IE"/>
        </w:rPr>
        <w:t>This assessment provides an order-of-magnitude estimate of operational electricity demand and associated CO₂ emissions from projected EU data centre capacity. Several limitations should be noted</w:t>
      </w:r>
      <w:r w:rsidR="00B779EC">
        <w:rPr>
          <w:noProof/>
          <w:lang w:val="en-IE"/>
        </w:rPr>
        <w:t>:</w:t>
      </w:r>
    </w:p>
    <w:p w14:paraId="0D53EBAB" w14:textId="77777777" w:rsidR="00B779EC" w:rsidRDefault="00926E26" w:rsidP="00C34FD9">
      <w:pPr>
        <w:pStyle w:val="Text2"/>
        <w:numPr>
          <w:ilvl w:val="0"/>
          <w:numId w:val="119"/>
        </w:numPr>
        <w:spacing w:after="0"/>
        <w:ind w:left="482" w:hanging="482"/>
        <w:rPr>
          <w:noProof/>
          <w:lang w:val="en-IE"/>
        </w:rPr>
      </w:pPr>
      <w:r w:rsidRPr="00926E26">
        <w:rPr>
          <w:noProof/>
          <w:lang w:val="en-IE"/>
        </w:rPr>
        <w:t>The analysis covers operational electricity consumption (Scope 2 emissions) only. Embodied emissions from construction, hardware manufacturing, and network infrastructure are not included. Life-cycle studies indicate these can be material, particularly during rapid build-out phases, meaning total climate impacts are likely understated.</w:t>
      </w:r>
      <w:r>
        <w:rPr>
          <w:noProof/>
          <w:lang w:val="en-IE"/>
        </w:rPr>
        <w:t xml:space="preserve"> </w:t>
      </w:r>
    </w:p>
    <w:p w14:paraId="4E59BDAF" w14:textId="77777777" w:rsidR="00786DB7" w:rsidRDefault="00926E26" w:rsidP="00C34FD9">
      <w:pPr>
        <w:pStyle w:val="Text2"/>
        <w:numPr>
          <w:ilvl w:val="0"/>
          <w:numId w:val="119"/>
        </w:numPr>
        <w:spacing w:after="0"/>
        <w:ind w:left="482" w:hanging="482"/>
        <w:rPr>
          <w:noProof/>
          <w:lang w:val="en-IE"/>
        </w:rPr>
      </w:pPr>
      <w:r w:rsidRPr="00926E26">
        <w:rPr>
          <w:noProof/>
          <w:lang w:val="en-IE"/>
        </w:rPr>
        <w:t>EU</w:t>
      </w:r>
      <w:r w:rsidR="00B779EC">
        <w:rPr>
          <w:noProof/>
          <w:lang w:val="en-IE"/>
        </w:rPr>
        <w:t xml:space="preserve"> </w:t>
      </w:r>
      <w:r w:rsidRPr="00926E26">
        <w:rPr>
          <w:noProof/>
          <w:lang w:val="en-IE"/>
        </w:rPr>
        <w:t xml:space="preserve">average grid emission factors are applied uniformly across scenarios. In practice, incremental electricity demand from new data centres may be met by marginal generation sources that differ from the average mix, </w:t>
      </w:r>
      <w:r w:rsidR="00B779EC">
        <w:rPr>
          <w:noProof/>
          <w:lang w:val="en-IE"/>
        </w:rPr>
        <w:t>possibly</w:t>
      </w:r>
      <w:r w:rsidRPr="00926E26">
        <w:rPr>
          <w:noProof/>
          <w:lang w:val="en-IE"/>
        </w:rPr>
        <w:t xml:space="preserve"> leading to higher or lower real-world emissions.</w:t>
      </w:r>
      <w:r>
        <w:rPr>
          <w:noProof/>
          <w:lang w:val="en-IE"/>
        </w:rPr>
        <w:t xml:space="preserve"> </w:t>
      </w:r>
      <w:r w:rsidRPr="00926E26">
        <w:rPr>
          <w:noProof/>
          <w:lang w:val="en-IE"/>
        </w:rPr>
        <w:t xml:space="preserve">A constant utilisation rate is </w:t>
      </w:r>
      <w:r w:rsidR="00B779EC">
        <w:rPr>
          <w:noProof/>
          <w:lang w:val="en-IE"/>
        </w:rPr>
        <w:t xml:space="preserve">also </w:t>
      </w:r>
      <w:r w:rsidRPr="00926E26">
        <w:rPr>
          <w:noProof/>
          <w:lang w:val="en-IE"/>
        </w:rPr>
        <w:t xml:space="preserve">assumed across scenarios and years. Actual utilisation </w:t>
      </w:r>
      <w:r w:rsidR="00786DB7">
        <w:rPr>
          <w:noProof/>
          <w:lang w:val="en-IE"/>
        </w:rPr>
        <w:t>can vary</w:t>
      </w:r>
      <w:r w:rsidRPr="00926E26">
        <w:rPr>
          <w:noProof/>
          <w:lang w:val="en-IE"/>
        </w:rPr>
        <w:t xml:space="preserve"> widely over the asset lifecycle, which introduces uncertainty into absolute electricity estimates.</w:t>
      </w:r>
      <w:r>
        <w:rPr>
          <w:noProof/>
          <w:lang w:val="en-IE"/>
        </w:rPr>
        <w:t xml:space="preserve"> </w:t>
      </w:r>
    </w:p>
    <w:p w14:paraId="43193198" w14:textId="77777777" w:rsidR="00786DB7" w:rsidRDefault="00926E26" w:rsidP="00C34FD9">
      <w:pPr>
        <w:pStyle w:val="Text2"/>
        <w:numPr>
          <w:ilvl w:val="0"/>
          <w:numId w:val="119"/>
        </w:numPr>
        <w:spacing w:after="0"/>
        <w:ind w:left="482" w:hanging="482"/>
        <w:rPr>
          <w:noProof/>
          <w:lang w:val="en-IE"/>
        </w:rPr>
      </w:pPr>
      <w:r w:rsidRPr="00926E26">
        <w:rPr>
          <w:noProof/>
          <w:lang w:val="en-IE"/>
        </w:rPr>
        <w:t>Power Usage Effectiveness improvements are modelled as smooth, deterministic paths. Real-world efficiency gains depend on site-specific factors (climate, cooling technology, density, heat reuse) and may be slower or more uneven than assumed, particularly for retrofit facilities.</w:t>
      </w:r>
      <w:r>
        <w:rPr>
          <w:noProof/>
          <w:lang w:val="en-IE"/>
        </w:rPr>
        <w:t xml:space="preserve"> </w:t>
      </w:r>
    </w:p>
    <w:p w14:paraId="2AE062FE" w14:textId="77777777" w:rsidR="00786DB7" w:rsidRDefault="00926E26" w:rsidP="00C34FD9">
      <w:pPr>
        <w:pStyle w:val="Text2"/>
        <w:numPr>
          <w:ilvl w:val="0"/>
          <w:numId w:val="119"/>
        </w:numPr>
        <w:spacing w:after="120"/>
        <w:ind w:left="482" w:hanging="482"/>
        <w:rPr>
          <w:noProof/>
          <w:lang w:val="en-IE"/>
        </w:rPr>
      </w:pPr>
      <w:r w:rsidRPr="00926E26">
        <w:rPr>
          <w:noProof/>
          <w:lang w:val="en-IE"/>
        </w:rPr>
        <w:t>The methodology does not distinguish between Member States or regions. Local grid carbon intensity, cooling requirements, and permitting constraints can substantially affect environmental outcomes, but are not captured in this EU-wide aggregate approach.</w:t>
      </w:r>
    </w:p>
    <w:p w14:paraId="12EA6838" w14:textId="1C13228A" w:rsidR="00926E26" w:rsidRPr="00926E26" w:rsidRDefault="00926E26" w:rsidP="00C34FD9">
      <w:pPr>
        <w:pStyle w:val="Text2"/>
        <w:spacing w:after="0"/>
        <w:ind w:left="0"/>
        <w:rPr>
          <w:noProof/>
          <w:lang w:val="en-IE"/>
        </w:rPr>
      </w:pPr>
      <w:r w:rsidRPr="00926E26">
        <w:rPr>
          <w:noProof/>
          <w:lang w:val="en-IE"/>
        </w:rPr>
        <w:t>Taken together, these limitations mean results should be interpreted as indicative ranges rather than precise forecasts, and primarily as a tool for comparing scenarios on a consistent methodological basis.</w:t>
      </w:r>
    </w:p>
    <w:p w14:paraId="29442C73" w14:textId="03E44430" w:rsidR="00A67FBC" w:rsidRPr="008467F5" w:rsidRDefault="00453196" w:rsidP="00981833">
      <w:pPr>
        <w:pStyle w:val="Heading1"/>
        <w:numPr>
          <w:ilvl w:val="0"/>
          <w:numId w:val="120"/>
        </w:numPr>
        <w:rPr>
          <w:noProof/>
          <w:lang w:val="en-IE"/>
        </w:rPr>
      </w:pPr>
      <w:bookmarkStart w:id="316" w:name="_Toc228346946"/>
      <w:bookmarkEnd w:id="310"/>
      <w:r w:rsidRPr="00981833">
        <w:rPr>
          <w:noProof/>
          <w:lang w:val="en-IE"/>
        </w:rPr>
        <w:t xml:space="preserve">SO3 – </w:t>
      </w:r>
      <w:r w:rsidR="00CE5276" w:rsidRPr="00981833">
        <w:rPr>
          <w:noProof/>
          <w:lang w:val="en-IE"/>
        </w:rPr>
        <w:t xml:space="preserve">How realistic is it </w:t>
      </w:r>
      <w:r w:rsidR="006064FC">
        <w:rPr>
          <w:noProof/>
          <w:lang w:val="en-IE"/>
        </w:rPr>
        <w:t xml:space="preserve">to </w:t>
      </w:r>
      <w:r w:rsidR="00CE5276" w:rsidRPr="00981833">
        <w:rPr>
          <w:noProof/>
          <w:lang w:val="en-IE"/>
        </w:rPr>
        <w:t>se</w:t>
      </w:r>
      <w:r w:rsidR="006064FC">
        <w:rPr>
          <w:noProof/>
          <w:lang w:val="en-IE"/>
        </w:rPr>
        <w:t>t</w:t>
      </w:r>
      <w:r w:rsidR="00CE5276" w:rsidRPr="00981833">
        <w:rPr>
          <w:noProof/>
          <w:lang w:val="en-IE"/>
        </w:rPr>
        <w:t xml:space="preserve"> </w:t>
      </w:r>
      <w:r w:rsidR="006064FC">
        <w:rPr>
          <w:noProof/>
          <w:lang w:val="en-IE"/>
        </w:rPr>
        <w:t xml:space="preserve">an objective for </w:t>
      </w:r>
      <w:r w:rsidR="00093C23">
        <w:rPr>
          <w:noProof/>
          <w:lang w:val="en-IE"/>
        </w:rPr>
        <w:t>EU providers to reach a</w:t>
      </w:r>
      <w:r w:rsidR="00CE5276" w:rsidRPr="00981833">
        <w:rPr>
          <w:noProof/>
          <w:lang w:val="en-IE"/>
        </w:rPr>
        <w:t xml:space="preserve"> market share</w:t>
      </w:r>
      <w:r w:rsidR="009F1436" w:rsidRPr="00981833">
        <w:rPr>
          <w:noProof/>
          <w:lang w:val="en-IE"/>
        </w:rPr>
        <w:t xml:space="preserve"> of </w:t>
      </w:r>
      <w:r w:rsidR="00DD035B">
        <w:rPr>
          <w:noProof/>
          <w:lang w:val="en-IE"/>
        </w:rPr>
        <w:t>30%</w:t>
      </w:r>
      <w:r w:rsidR="009F1436">
        <w:rPr>
          <w:noProof/>
          <w:lang w:val="en-IE"/>
        </w:rPr>
        <w:t xml:space="preserve"> by 2035?</w:t>
      </w:r>
      <w:bookmarkEnd w:id="316"/>
    </w:p>
    <w:p w14:paraId="44CACF33" w14:textId="11B23C56" w:rsidR="00981833" w:rsidRDefault="00981833" w:rsidP="00981833">
      <w:pPr>
        <w:rPr>
          <w:noProof/>
        </w:rPr>
      </w:pPr>
      <w:r>
        <w:rPr>
          <w:noProof/>
        </w:rPr>
        <w:t>Specific objective 3 set</w:t>
      </w:r>
      <w:r w:rsidR="00093C23">
        <w:rPr>
          <w:noProof/>
        </w:rPr>
        <w:t>s</w:t>
      </w:r>
      <w:r>
        <w:rPr>
          <w:noProof/>
        </w:rPr>
        <w:t xml:space="preserve"> the objective that, b</w:t>
      </w:r>
      <w:r w:rsidRPr="294AF3FA">
        <w:rPr>
          <w:noProof/>
        </w:rPr>
        <w:t xml:space="preserve">y 2035, this intervention should </w:t>
      </w:r>
      <w:r>
        <w:rPr>
          <w:noProof/>
        </w:rPr>
        <w:t xml:space="preserve">increase the </w:t>
      </w:r>
      <w:r w:rsidRPr="294AF3FA">
        <w:rPr>
          <w:noProof/>
        </w:rPr>
        <w:t>market share of European cloud and AI computing service providers in the European market to 30%.</w:t>
      </w:r>
      <w:r>
        <w:rPr>
          <w:noProof/>
        </w:rPr>
        <w:t xml:space="preserve"> The figure is not used for further calculation</w:t>
      </w:r>
      <w:r w:rsidR="00D064F3">
        <w:rPr>
          <w:noProof/>
        </w:rPr>
        <w:t xml:space="preserve"> in this assessment</w:t>
      </w:r>
      <w:r>
        <w:rPr>
          <w:noProof/>
        </w:rPr>
        <w:t>, but it is worth reflecting on whether this is realistic altogether: what would it take for this figure to become reality?</w:t>
      </w:r>
    </w:p>
    <w:p w14:paraId="337BA83A" w14:textId="77777777" w:rsidR="00981833" w:rsidRDefault="00981833" w:rsidP="00981833">
      <w:pPr>
        <w:rPr>
          <w:noProof/>
          <w:lang w:val="en-IE"/>
        </w:rPr>
      </w:pPr>
      <w:r>
        <w:rPr>
          <w:noProof/>
        </w:rPr>
        <w:t xml:space="preserve">A first element is that cloud adoption varies significantly depending on the user. According </w:t>
      </w:r>
      <w:r>
        <w:rPr>
          <w:noProof/>
          <w:lang w:val="en-IE"/>
        </w:rPr>
        <w:t>to Eurostat the adoption of cloud by businesses in 2023 is estimated at 45.2%, but while around 78% of the large enterprises use cloud services, only 59% of medium ones and 41.7% of small organisations have adopted cloud</w:t>
      </w:r>
      <w:r>
        <w:rPr>
          <w:rStyle w:val="FootnoteReference"/>
          <w:noProof/>
          <w:lang w:val="en-IE"/>
        </w:rPr>
        <w:footnoteReference w:id="109"/>
      </w:r>
      <w:r>
        <w:rPr>
          <w:noProof/>
          <w:lang w:val="en-IE"/>
        </w:rPr>
        <w:t>. The level of adoption of cloud in the public sector was estimated at 30% in the context of PM15 and PM21. This gives a sense of where non-cloudified markets are and which ones offer the biggest potential for EU providers to gain new markets and improve their market share overall.</w:t>
      </w:r>
    </w:p>
    <w:p w14:paraId="29F1849A" w14:textId="77777777" w:rsidR="00981833" w:rsidRPr="00CC0024" w:rsidRDefault="00981833" w:rsidP="00981833">
      <w:pPr>
        <w:rPr>
          <w:noProof/>
        </w:rPr>
      </w:pPr>
      <w:r>
        <w:rPr>
          <w:noProof/>
          <w:lang w:val="en-IE"/>
        </w:rPr>
        <w:t>Looking at the different categories:</w:t>
      </w:r>
    </w:p>
    <w:p w14:paraId="3178BF05" w14:textId="77777777" w:rsidR="00981833" w:rsidRPr="00CA7645" w:rsidRDefault="00981833" w:rsidP="00981833">
      <w:pPr>
        <w:pStyle w:val="ListParagraph"/>
        <w:numPr>
          <w:ilvl w:val="0"/>
          <w:numId w:val="125"/>
        </w:numPr>
        <w:rPr>
          <w:noProof/>
          <w:lang w:val="en-IE"/>
        </w:rPr>
      </w:pPr>
      <w:r w:rsidRPr="00CA7645">
        <w:rPr>
          <w:noProof/>
          <w:lang w:val="en-IE"/>
        </w:rPr>
        <w:t xml:space="preserve">Large customers </w:t>
      </w:r>
      <w:r>
        <w:rPr>
          <w:noProof/>
          <w:lang w:val="en-IE"/>
        </w:rPr>
        <w:t>c</w:t>
      </w:r>
      <w:r w:rsidRPr="00CA7645">
        <w:rPr>
          <w:noProof/>
          <w:lang w:val="en-IE"/>
        </w:rPr>
        <w:t xml:space="preserve">ould display a </w:t>
      </w:r>
      <w:r>
        <w:rPr>
          <w:noProof/>
          <w:lang w:val="en-IE"/>
        </w:rPr>
        <w:t>modest</w:t>
      </w:r>
      <w:r w:rsidRPr="00CA7645">
        <w:rPr>
          <w:noProof/>
          <w:lang w:val="en-IE"/>
        </w:rPr>
        <w:t xml:space="preserve"> increase in the</w:t>
      </w:r>
      <w:r>
        <w:rPr>
          <w:noProof/>
          <w:lang w:val="en-IE"/>
        </w:rPr>
        <w:t xml:space="preserve"> use of </w:t>
      </w:r>
      <w:r w:rsidRPr="00CA7645">
        <w:rPr>
          <w:noProof/>
          <w:lang w:val="en-IE"/>
        </w:rPr>
        <w:t>EU</w:t>
      </w:r>
      <w:r>
        <w:rPr>
          <w:noProof/>
          <w:lang w:val="en-IE"/>
        </w:rPr>
        <w:t xml:space="preserve"> suppliers, causing the EU</w:t>
      </w:r>
      <w:r w:rsidRPr="00CA7645">
        <w:rPr>
          <w:noProof/>
          <w:lang w:val="en-IE"/>
        </w:rPr>
        <w:t xml:space="preserve"> market share</w:t>
      </w:r>
      <w:r>
        <w:rPr>
          <w:noProof/>
          <w:lang w:val="en-IE"/>
        </w:rPr>
        <w:t xml:space="preserve"> to grow by 3.5</w:t>
      </w:r>
      <w:r w:rsidRPr="00CA7645">
        <w:rPr>
          <w:noProof/>
          <w:lang w:val="en-IE"/>
        </w:rPr>
        <w:t>% CAGR</w:t>
      </w:r>
      <w:r>
        <w:rPr>
          <w:noProof/>
          <w:lang w:val="en-IE"/>
        </w:rPr>
        <w:t xml:space="preserve"> for this segment</w:t>
      </w:r>
      <w:r w:rsidRPr="00CA7645">
        <w:rPr>
          <w:noProof/>
          <w:lang w:val="en-IE"/>
        </w:rPr>
        <w:t>. Large organisations, such as banks, telcos, IT or the manufacturing sector, are global industries that need to ensure service continuity</w:t>
      </w:r>
      <w:r>
        <w:rPr>
          <w:noProof/>
          <w:lang w:val="en-IE"/>
        </w:rPr>
        <w:t xml:space="preserve"> around the world and will, for an ample part, retain international providers who can offer such geographic coverage: t</w:t>
      </w:r>
      <w:r w:rsidRPr="00CA7645">
        <w:rPr>
          <w:noProof/>
          <w:lang w:val="en-IE"/>
        </w:rPr>
        <w:t>hey are expected</w:t>
      </w:r>
      <w:r>
        <w:rPr>
          <w:noProof/>
          <w:lang w:val="en-IE"/>
        </w:rPr>
        <w:t xml:space="preserve">. </w:t>
      </w:r>
      <w:r w:rsidRPr="00CA7645">
        <w:rPr>
          <w:noProof/>
          <w:lang w:val="en-IE"/>
        </w:rPr>
        <w:t>Growth d</w:t>
      </w:r>
      <w:r>
        <w:rPr>
          <w:noProof/>
          <w:lang w:val="en-IE"/>
        </w:rPr>
        <w:t>r</w:t>
      </w:r>
      <w:r w:rsidRPr="00CA7645">
        <w:rPr>
          <w:noProof/>
          <w:lang w:val="en-IE"/>
        </w:rPr>
        <w:t>ivers</w:t>
      </w:r>
      <w:r>
        <w:rPr>
          <w:noProof/>
          <w:lang w:val="en-IE"/>
        </w:rPr>
        <w:t xml:space="preserve"> for EU providers</w:t>
      </w:r>
      <w:r w:rsidRPr="00CA7645">
        <w:rPr>
          <w:noProof/>
          <w:lang w:val="en-IE"/>
        </w:rPr>
        <w:t xml:space="preserve"> include, for example, multi-cloud strategies, reduction of vendor lock-in, and the shift towards sovereign solutions, especially for the more critical workloads. to be among the largest drivers in cloud expenditures in the following years</w:t>
      </w:r>
      <w:r>
        <w:rPr>
          <w:rStyle w:val="FootnoteReference"/>
          <w:noProof/>
          <w:lang w:val="en-IE"/>
        </w:rPr>
        <w:footnoteReference w:id="110"/>
      </w:r>
      <w:r w:rsidRPr="00CA7645">
        <w:rPr>
          <w:noProof/>
          <w:lang w:val="en-IE"/>
        </w:rPr>
        <w:t>. For instance, some sources estimate the cloud expenditure in the banking and financial sector accounts for 27% of the overall market expenditure in the EU</w:t>
      </w:r>
      <w:r>
        <w:rPr>
          <w:rStyle w:val="FootnoteReference"/>
          <w:noProof/>
          <w:lang w:val="en-IE"/>
        </w:rPr>
        <w:footnoteReference w:id="111"/>
      </w:r>
      <w:r w:rsidRPr="00CA7645">
        <w:rPr>
          <w:noProof/>
          <w:lang w:val="en-IE"/>
        </w:rPr>
        <w:t xml:space="preserve">. Other </w:t>
      </w:r>
      <w:r>
        <w:rPr>
          <w:noProof/>
          <w:lang w:val="en-IE"/>
        </w:rPr>
        <w:t xml:space="preserve">large customers, who are less global </w:t>
      </w:r>
      <w:r w:rsidRPr="00CA7645">
        <w:rPr>
          <w:noProof/>
          <w:lang w:val="en-IE"/>
        </w:rPr>
        <w:t>such as the aeronautic sector are moving their critical workloads to sovereign cloud services</w:t>
      </w:r>
      <w:r>
        <w:rPr>
          <w:rStyle w:val="FootnoteReference"/>
          <w:noProof/>
          <w:lang w:val="en-IE"/>
        </w:rPr>
        <w:footnoteReference w:id="112"/>
      </w:r>
      <w:r w:rsidRPr="00CA7645">
        <w:rPr>
          <w:noProof/>
          <w:lang w:val="en-IE"/>
        </w:rPr>
        <w:t xml:space="preserve">. </w:t>
      </w:r>
    </w:p>
    <w:p w14:paraId="0044E9B4" w14:textId="77777777" w:rsidR="00981833" w:rsidRPr="009332AD" w:rsidRDefault="00981833" w:rsidP="00981833">
      <w:pPr>
        <w:numPr>
          <w:ilvl w:val="0"/>
          <w:numId w:val="125"/>
        </w:numPr>
        <w:rPr>
          <w:noProof/>
          <w:lang w:val="en-IE"/>
        </w:rPr>
      </w:pPr>
      <w:r w:rsidRPr="009332AD">
        <w:rPr>
          <w:noProof/>
          <w:lang w:val="en-IE"/>
        </w:rPr>
        <w:t xml:space="preserve">SMEs </w:t>
      </w:r>
      <w:r>
        <w:rPr>
          <w:noProof/>
          <w:lang w:val="en-IE"/>
        </w:rPr>
        <w:t>c</w:t>
      </w:r>
      <w:r w:rsidRPr="00591DC7">
        <w:rPr>
          <w:noProof/>
          <w:lang w:val="en-IE"/>
        </w:rPr>
        <w:t xml:space="preserve">ould </w:t>
      </w:r>
      <w:r w:rsidRPr="009332AD">
        <w:rPr>
          <w:noProof/>
          <w:lang w:val="en-IE"/>
        </w:rPr>
        <w:t xml:space="preserve">show a steady and more pronounced </w:t>
      </w:r>
      <w:r>
        <w:rPr>
          <w:noProof/>
          <w:lang w:val="en-IE"/>
        </w:rPr>
        <w:t>increase in the use of EU suppliers, causing the EU</w:t>
      </w:r>
      <w:r w:rsidRPr="00CA7645">
        <w:rPr>
          <w:noProof/>
          <w:lang w:val="en-IE"/>
        </w:rPr>
        <w:t xml:space="preserve"> market share</w:t>
      </w:r>
      <w:r>
        <w:rPr>
          <w:noProof/>
          <w:lang w:val="en-IE"/>
        </w:rPr>
        <w:t xml:space="preserve"> to grow by 7</w:t>
      </w:r>
      <w:r w:rsidRPr="00CA7645">
        <w:rPr>
          <w:noProof/>
          <w:lang w:val="en-IE"/>
        </w:rPr>
        <w:t>% CAGR</w:t>
      </w:r>
      <w:r>
        <w:rPr>
          <w:noProof/>
          <w:lang w:val="en-IE"/>
        </w:rPr>
        <w:t>, driven by the fact that a large percentage of SMEs are not yet on the cloud. With only 42 – 59% of SMEs (depending on the size) having adopted cloud, SMEs represent a large greenfield opportunity for EU cloud providers. Key enablers are lower switching costs and price sensitivity favouring regional providers. To this end, the SME programme (PM23) can act as real catalysers. Some companies like Odoo, a SaaS company offering a broad range of Open Source enterprise applications, are specialised in this type of market.</w:t>
      </w:r>
    </w:p>
    <w:p w14:paraId="6EC64B6C" w14:textId="76A6DD51" w:rsidR="00981833" w:rsidRDefault="00981833" w:rsidP="00981833">
      <w:pPr>
        <w:numPr>
          <w:ilvl w:val="0"/>
          <w:numId w:val="125"/>
        </w:numPr>
        <w:rPr>
          <w:noProof/>
          <w:lang w:val="en-IE"/>
        </w:rPr>
      </w:pPr>
      <w:r>
        <w:rPr>
          <w:noProof/>
          <w:lang w:val="en-IE"/>
        </w:rPr>
        <w:t>The p</w:t>
      </w:r>
      <w:r w:rsidRPr="009332AD">
        <w:rPr>
          <w:noProof/>
          <w:lang w:val="en-IE"/>
        </w:rPr>
        <w:t xml:space="preserve">ublic sector </w:t>
      </w:r>
      <w:r>
        <w:rPr>
          <w:noProof/>
          <w:lang w:val="en-IE"/>
        </w:rPr>
        <w:t>could</w:t>
      </w:r>
      <w:r w:rsidRPr="009332AD">
        <w:rPr>
          <w:noProof/>
          <w:lang w:val="en-IE"/>
        </w:rPr>
        <w:t xml:space="preserve"> increase</w:t>
      </w:r>
      <w:r>
        <w:rPr>
          <w:noProof/>
          <w:lang w:val="en-IE"/>
        </w:rPr>
        <w:t xml:space="preserve"> their use of EU suppliers</w:t>
      </w:r>
      <w:r w:rsidRPr="009332AD">
        <w:rPr>
          <w:noProof/>
          <w:lang w:val="en-IE"/>
        </w:rPr>
        <w:t xml:space="preserve"> </w:t>
      </w:r>
      <w:r>
        <w:rPr>
          <w:noProof/>
          <w:lang w:val="en-IE"/>
        </w:rPr>
        <w:t xml:space="preserve">much </w:t>
      </w:r>
      <w:r w:rsidRPr="009332AD">
        <w:rPr>
          <w:noProof/>
          <w:lang w:val="en-IE"/>
        </w:rPr>
        <w:t>more rapidly</w:t>
      </w:r>
      <w:r>
        <w:rPr>
          <w:noProof/>
          <w:lang w:val="en-IE"/>
        </w:rPr>
        <w:t xml:space="preserve">, causing the EU market share </w:t>
      </w:r>
      <w:r w:rsidR="006873F7">
        <w:rPr>
          <w:noProof/>
          <w:lang w:val="en-IE"/>
        </w:rPr>
        <w:t xml:space="preserve">to grow </w:t>
      </w:r>
      <w:r>
        <w:rPr>
          <w:noProof/>
          <w:lang w:val="en-IE"/>
        </w:rPr>
        <w:t>by 15% CAGR. This r</w:t>
      </w:r>
      <w:r w:rsidRPr="009332AD">
        <w:rPr>
          <w:noProof/>
          <w:lang w:val="en-IE"/>
        </w:rPr>
        <w:t>eflect</w:t>
      </w:r>
      <w:r>
        <w:rPr>
          <w:noProof/>
          <w:lang w:val="en-IE"/>
        </w:rPr>
        <w:t>s</w:t>
      </w:r>
      <w:r w:rsidRPr="009332AD">
        <w:rPr>
          <w:noProof/>
          <w:lang w:val="en-IE"/>
        </w:rPr>
        <w:t xml:space="preserve"> the potential impact of </w:t>
      </w:r>
      <w:r>
        <w:rPr>
          <w:noProof/>
          <w:lang w:val="en-IE"/>
        </w:rPr>
        <w:t>joint</w:t>
      </w:r>
      <w:r w:rsidRPr="009332AD">
        <w:rPr>
          <w:noProof/>
          <w:lang w:val="en-IE"/>
        </w:rPr>
        <w:t xml:space="preserve"> procurement practices a</w:t>
      </w:r>
      <w:r>
        <w:rPr>
          <w:noProof/>
          <w:lang w:val="en-IE"/>
        </w:rPr>
        <w:t>s well as procurement of sovereign services. This sector exhibits the strongest sovereignty imperative with directly applicable policy levers, such as public procurement measures, sovereignty concerns, and NIS2 compliance, among others.</w:t>
      </w:r>
    </w:p>
    <w:p w14:paraId="48484E72" w14:textId="10E57C1E" w:rsidR="00981833" w:rsidRDefault="00981833" w:rsidP="00981833">
      <w:pPr>
        <w:rPr>
          <w:noProof/>
          <w:lang w:val="en-IE"/>
        </w:rPr>
      </w:pPr>
      <w:r>
        <w:rPr>
          <w:noProof/>
          <w:lang w:val="en-IE"/>
        </w:rPr>
        <w:t xml:space="preserve">Warning: the respective CAGR, though presented with plausible </w:t>
      </w:r>
      <w:r w:rsidR="009E2E24">
        <w:rPr>
          <w:noProof/>
          <w:lang w:val="en-IE"/>
        </w:rPr>
        <w:t>explanations</w:t>
      </w:r>
      <w:r>
        <w:rPr>
          <w:noProof/>
          <w:lang w:val="en-IE"/>
        </w:rPr>
        <w:t xml:space="preserve">, have been picked to broadly match the </w:t>
      </w:r>
      <w:r w:rsidR="009E2E24">
        <w:rPr>
          <w:noProof/>
          <w:lang w:val="en-IE"/>
        </w:rPr>
        <w:t>desired</w:t>
      </w:r>
      <w:r>
        <w:rPr>
          <w:noProof/>
          <w:lang w:val="en-IE"/>
        </w:rPr>
        <w:t xml:space="preserve"> outcome. The figures are presented to show a plausible evolution, and do not constitute a forecast.</w:t>
      </w:r>
    </w:p>
    <w:p w14:paraId="18F635F8" w14:textId="461CBFD9" w:rsidR="00981833" w:rsidRDefault="00981833" w:rsidP="00981833">
      <w:pPr>
        <w:rPr>
          <w:noProof/>
          <w:lang w:val="en-IE"/>
        </w:rPr>
      </w:pPr>
      <w:r>
        <w:rPr>
          <w:noProof/>
        </w:rPr>
        <w:t xml:space="preserve">Synergy puts today’s market share of EU providers at 15%, a figure which, for the sake of this exercise, </w:t>
      </w:r>
      <w:r w:rsidR="00676BE0">
        <w:rPr>
          <w:noProof/>
        </w:rPr>
        <w:t xml:space="preserve">it is </w:t>
      </w:r>
      <w:r>
        <w:rPr>
          <w:noProof/>
        </w:rPr>
        <w:t>assume</w:t>
      </w:r>
      <w:r w:rsidR="00676BE0">
        <w:rPr>
          <w:noProof/>
        </w:rPr>
        <w:t>d</w:t>
      </w:r>
      <w:r>
        <w:rPr>
          <w:noProof/>
        </w:rPr>
        <w:t xml:space="preserve"> to be the same across all three segments. </w:t>
      </w:r>
      <w:r>
        <w:rPr>
          <w:noProof/>
          <w:lang w:val="en-IE"/>
        </w:rPr>
        <w:t>The evolutions over the three segments would see the EU share grow as follows:</w:t>
      </w:r>
    </w:p>
    <w:p w14:paraId="2318DA7D" w14:textId="12AEFD75" w:rsidR="009E2E24" w:rsidRDefault="00B317C9" w:rsidP="009E2E24">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9E2E24">
        <w:rPr>
          <w:noProof/>
        </w:rPr>
        <w:t>67</w:t>
      </w:r>
      <w:r>
        <w:rPr>
          <w:noProof/>
        </w:rPr>
        <w:fldChar w:fldCharType="end"/>
      </w:r>
      <w:r w:rsidR="009E2E24">
        <w:rPr>
          <w:noProof/>
        </w:rPr>
        <w:t xml:space="preserve">. </w:t>
      </w:r>
      <w:r w:rsidR="009E2E24" w:rsidRPr="007303D6">
        <w:rPr>
          <w:noProof/>
        </w:rPr>
        <w:t xml:space="preserve">European Cloud and AI computing service providers share of revenues </w:t>
      </w:r>
      <w:r w:rsidR="00FD3048">
        <w:rPr>
          <w:noProof/>
        </w:rPr>
        <w:t>- per</w:t>
      </w:r>
      <w:r w:rsidR="009E2E24" w:rsidRPr="007303D6">
        <w:rPr>
          <w:noProof/>
        </w:rPr>
        <w:t xml:space="preserve"> customer segment (%)</w:t>
      </w:r>
      <w:r w:rsidR="009E2E24">
        <w:rPr>
          <w:rStyle w:val="FootnoteReference"/>
          <w:noProof/>
        </w:rPr>
        <w:footnoteReference w:id="113"/>
      </w:r>
    </w:p>
    <w:tbl>
      <w:tblPr>
        <w:tblW w:w="5000" w:type="pct"/>
        <w:tblLook w:val="04A0" w:firstRow="1" w:lastRow="0" w:firstColumn="1" w:lastColumn="0" w:noHBand="0" w:noVBand="1"/>
      </w:tblPr>
      <w:tblGrid>
        <w:gridCol w:w="1599"/>
        <w:gridCol w:w="676"/>
        <w:gridCol w:w="677"/>
        <w:gridCol w:w="677"/>
        <w:gridCol w:w="677"/>
        <w:gridCol w:w="677"/>
        <w:gridCol w:w="677"/>
        <w:gridCol w:w="677"/>
        <w:gridCol w:w="677"/>
        <w:gridCol w:w="677"/>
        <w:gridCol w:w="677"/>
        <w:gridCol w:w="677"/>
      </w:tblGrid>
      <w:tr w:rsidR="00981833" w:rsidRPr="00B4481C" w14:paraId="7F952E72" w14:textId="77777777" w:rsidTr="004B7446">
        <w:trPr>
          <w:trHeight w:val="315"/>
        </w:trPr>
        <w:tc>
          <w:tcPr>
            <w:tcW w:w="479" w:type="pct"/>
            <w:tcBorders>
              <w:top w:val="nil"/>
              <w:left w:val="nil"/>
              <w:bottom w:val="single" w:sz="8" w:space="0" w:color="00B0F0"/>
              <w:right w:val="nil"/>
            </w:tcBorders>
            <w:noWrap/>
            <w:vAlign w:val="center"/>
            <w:hideMark/>
          </w:tcPr>
          <w:p w14:paraId="38813AAB" w14:textId="77777777" w:rsidR="00981833" w:rsidRPr="00B4481C" w:rsidRDefault="00981833">
            <w:pPr>
              <w:spacing w:after="0"/>
              <w:jc w:val="left"/>
              <w:rPr>
                <w:rFonts w:eastAsia="Times New Roman"/>
                <w:b/>
                <w:bCs/>
                <w:noProof/>
                <w:color w:val="000000"/>
                <w:sz w:val="20"/>
                <w:szCs w:val="20"/>
                <w:lang w:val="en-US"/>
              </w:rPr>
            </w:pPr>
            <w:r w:rsidRPr="00B4481C">
              <w:rPr>
                <w:rFonts w:eastAsia="Times New Roman"/>
                <w:b/>
                <w:bCs/>
                <w:noProof/>
                <w:color w:val="000000"/>
                <w:sz w:val="20"/>
                <w:szCs w:val="20"/>
                <w:lang w:val="en-IE"/>
              </w:rPr>
              <w:t xml:space="preserve">Segment </w:t>
            </w:r>
          </w:p>
        </w:tc>
        <w:tc>
          <w:tcPr>
            <w:tcW w:w="411" w:type="pct"/>
            <w:tcBorders>
              <w:top w:val="nil"/>
              <w:left w:val="nil"/>
              <w:bottom w:val="single" w:sz="8" w:space="0" w:color="00B0F0"/>
              <w:right w:val="nil"/>
            </w:tcBorders>
            <w:noWrap/>
            <w:vAlign w:val="center"/>
            <w:hideMark/>
          </w:tcPr>
          <w:p w14:paraId="50B48837"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2025</w:t>
            </w:r>
          </w:p>
        </w:tc>
        <w:tc>
          <w:tcPr>
            <w:tcW w:w="411" w:type="pct"/>
            <w:tcBorders>
              <w:top w:val="nil"/>
              <w:left w:val="nil"/>
              <w:bottom w:val="single" w:sz="8" w:space="0" w:color="00B0F0"/>
              <w:right w:val="nil"/>
            </w:tcBorders>
            <w:noWrap/>
            <w:vAlign w:val="center"/>
            <w:hideMark/>
          </w:tcPr>
          <w:p w14:paraId="38DA7482"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2026</w:t>
            </w:r>
          </w:p>
        </w:tc>
        <w:tc>
          <w:tcPr>
            <w:tcW w:w="411" w:type="pct"/>
            <w:tcBorders>
              <w:top w:val="nil"/>
              <w:left w:val="nil"/>
              <w:bottom w:val="single" w:sz="8" w:space="0" w:color="00B0F0"/>
              <w:right w:val="nil"/>
            </w:tcBorders>
            <w:noWrap/>
            <w:vAlign w:val="center"/>
            <w:hideMark/>
          </w:tcPr>
          <w:p w14:paraId="2FB4607E"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2027</w:t>
            </w:r>
          </w:p>
        </w:tc>
        <w:tc>
          <w:tcPr>
            <w:tcW w:w="411" w:type="pct"/>
            <w:tcBorders>
              <w:top w:val="nil"/>
              <w:left w:val="nil"/>
              <w:bottom w:val="single" w:sz="8" w:space="0" w:color="00B0F0"/>
              <w:right w:val="nil"/>
            </w:tcBorders>
            <w:noWrap/>
            <w:vAlign w:val="center"/>
            <w:hideMark/>
          </w:tcPr>
          <w:p w14:paraId="35E67D44"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2028</w:t>
            </w:r>
          </w:p>
        </w:tc>
        <w:tc>
          <w:tcPr>
            <w:tcW w:w="411" w:type="pct"/>
            <w:tcBorders>
              <w:top w:val="nil"/>
              <w:left w:val="nil"/>
              <w:bottom w:val="single" w:sz="8" w:space="0" w:color="00B0F0"/>
              <w:right w:val="nil"/>
            </w:tcBorders>
            <w:noWrap/>
            <w:vAlign w:val="center"/>
            <w:hideMark/>
          </w:tcPr>
          <w:p w14:paraId="66607C15"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2029</w:t>
            </w:r>
          </w:p>
        </w:tc>
        <w:tc>
          <w:tcPr>
            <w:tcW w:w="411" w:type="pct"/>
            <w:tcBorders>
              <w:top w:val="nil"/>
              <w:left w:val="nil"/>
              <w:bottom w:val="single" w:sz="8" w:space="0" w:color="00B0F0"/>
              <w:right w:val="nil"/>
            </w:tcBorders>
            <w:noWrap/>
            <w:vAlign w:val="center"/>
            <w:hideMark/>
          </w:tcPr>
          <w:p w14:paraId="1E851E6D"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2030</w:t>
            </w:r>
          </w:p>
        </w:tc>
        <w:tc>
          <w:tcPr>
            <w:tcW w:w="411" w:type="pct"/>
            <w:tcBorders>
              <w:top w:val="nil"/>
              <w:left w:val="nil"/>
              <w:bottom w:val="single" w:sz="8" w:space="0" w:color="00B0F0"/>
              <w:right w:val="nil"/>
            </w:tcBorders>
            <w:noWrap/>
            <w:vAlign w:val="center"/>
            <w:hideMark/>
          </w:tcPr>
          <w:p w14:paraId="73ED0B8B"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2031</w:t>
            </w:r>
          </w:p>
        </w:tc>
        <w:tc>
          <w:tcPr>
            <w:tcW w:w="411" w:type="pct"/>
            <w:tcBorders>
              <w:top w:val="nil"/>
              <w:left w:val="nil"/>
              <w:bottom w:val="single" w:sz="8" w:space="0" w:color="00B0F0"/>
              <w:right w:val="nil"/>
            </w:tcBorders>
            <w:noWrap/>
            <w:vAlign w:val="center"/>
            <w:hideMark/>
          </w:tcPr>
          <w:p w14:paraId="67E0CC6E"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2032</w:t>
            </w:r>
          </w:p>
        </w:tc>
        <w:tc>
          <w:tcPr>
            <w:tcW w:w="411" w:type="pct"/>
            <w:tcBorders>
              <w:top w:val="nil"/>
              <w:left w:val="nil"/>
              <w:bottom w:val="single" w:sz="8" w:space="0" w:color="00B0F0"/>
              <w:right w:val="nil"/>
            </w:tcBorders>
            <w:noWrap/>
            <w:vAlign w:val="center"/>
            <w:hideMark/>
          </w:tcPr>
          <w:p w14:paraId="360F7865"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2033</w:t>
            </w:r>
          </w:p>
        </w:tc>
        <w:tc>
          <w:tcPr>
            <w:tcW w:w="411" w:type="pct"/>
            <w:tcBorders>
              <w:top w:val="nil"/>
              <w:left w:val="nil"/>
              <w:bottom w:val="single" w:sz="8" w:space="0" w:color="00B0F0"/>
              <w:right w:val="nil"/>
            </w:tcBorders>
            <w:noWrap/>
            <w:vAlign w:val="center"/>
            <w:hideMark/>
          </w:tcPr>
          <w:p w14:paraId="0A8A8BC4"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2034</w:t>
            </w:r>
          </w:p>
        </w:tc>
        <w:tc>
          <w:tcPr>
            <w:tcW w:w="411" w:type="pct"/>
            <w:tcBorders>
              <w:top w:val="nil"/>
              <w:left w:val="nil"/>
              <w:bottom w:val="single" w:sz="8" w:space="0" w:color="00B0F0"/>
              <w:right w:val="nil"/>
            </w:tcBorders>
            <w:noWrap/>
            <w:vAlign w:val="center"/>
            <w:hideMark/>
          </w:tcPr>
          <w:p w14:paraId="0020A637"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2035</w:t>
            </w:r>
          </w:p>
        </w:tc>
      </w:tr>
      <w:tr w:rsidR="00981833" w:rsidRPr="00B4481C" w14:paraId="6067BA19" w14:textId="77777777" w:rsidTr="004B7446">
        <w:trPr>
          <w:trHeight w:val="300"/>
        </w:trPr>
        <w:tc>
          <w:tcPr>
            <w:tcW w:w="479" w:type="pct"/>
            <w:tcBorders>
              <w:top w:val="nil"/>
              <w:left w:val="nil"/>
              <w:bottom w:val="nil"/>
              <w:right w:val="nil"/>
            </w:tcBorders>
            <w:shd w:val="clear" w:color="000000" w:fill="D9D9D9"/>
            <w:noWrap/>
            <w:vAlign w:val="center"/>
            <w:hideMark/>
          </w:tcPr>
          <w:p w14:paraId="1923BA89" w14:textId="77777777" w:rsidR="00981833" w:rsidRPr="00B4481C" w:rsidRDefault="00981833">
            <w:pPr>
              <w:spacing w:after="0"/>
              <w:jc w:val="left"/>
              <w:rPr>
                <w:rFonts w:eastAsia="Times New Roman"/>
                <w:noProof/>
                <w:color w:val="000000"/>
                <w:sz w:val="20"/>
                <w:szCs w:val="20"/>
                <w:lang w:val="en-US"/>
              </w:rPr>
            </w:pPr>
            <w:r w:rsidRPr="00B4481C">
              <w:rPr>
                <w:rFonts w:eastAsia="Times New Roman"/>
                <w:noProof/>
                <w:color w:val="000000"/>
                <w:sz w:val="20"/>
                <w:szCs w:val="20"/>
                <w:lang w:val="en-IE"/>
              </w:rPr>
              <w:t xml:space="preserve">Large enterprises </w:t>
            </w:r>
          </w:p>
        </w:tc>
        <w:tc>
          <w:tcPr>
            <w:tcW w:w="411" w:type="pct"/>
            <w:tcBorders>
              <w:top w:val="nil"/>
              <w:left w:val="nil"/>
              <w:bottom w:val="nil"/>
              <w:right w:val="nil"/>
            </w:tcBorders>
            <w:shd w:val="clear" w:color="000000" w:fill="D9D9D9"/>
            <w:noWrap/>
            <w:vAlign w:val="center"/>
            <w:hideMark/>
          </w:tcPr>
          <w:p w14:paraId="0AB7EA05" w14:textId="06E8DA85"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15</w:t>
            </w:r>
            <w:r w:rsidR="001372A2">
              <w:rPr>
                <w:rFonts w:eastAsia="Times New Roman"/>
                <w:noProof/>
                <w:color w:val="000000"/>
                <w:sz w:val="20"/>
                <w:szCs w:val="20"/>
                <w:lang w:val="en-IE"/>
              </w:rPr>
              <w:t>.</w:t>
            </w:r>
            <w:r w:rsidRPr="00B4481C">
              <w:rPr>
                <w:rFonts w:eastAsia="Times New Roman"/>
                <w:noProof/>
                <w:color w:val="000000"/>
                <w:sz w:val="20"/>
                <w:szCs w:val="20"/>
                <w:lang w:val="en-IE"/>
              </w:rPr>
              <w:t>0</w:t>
            </w:r>
          </w:p>
        </w:tc>
        <w:tc>
          <w:tcPr>
            <w:tcW w:w="411" w:type="pct"/>
            <w:tcBorders>
              <w:top w:val="nil"/>
              <w:left w:val="nil"/>
              <w:bottom w:val="nil"/>
              <w:right w:val="nil"/>
            </w:tcBorders>
            <w:shd w:val="clear" w:color="000000" w:fill="D9D9D9"/>
            <w:noWrap/>
            <w:vAlign w:val="center"/>
            <w:hideMark/>
          </w:tcPr>
          <w:p w14:paraId="4C9989E6" w14:textId="6BF51F7C"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15</w:t>
            </w:r>
            <w:r w:rsidR="001372A2">
              <w:rPr>
                <w:rFonts w:eastAsia="Times New Roman"/>
                <w:noProof/>
                <w:color w:val="000000"/>
                <w:sz w:val="20"/>
                <w:szCs w:val="20"/>
                <w:lang w:val="en-IE"/>
              </w:rPr>
              <w:t>.</w:t>
            </w:r>
            <w:r w:rsidRPr="00B4481C">
              <w:rPr>
                <w:rFonts w:eastAsia="Times New Roman"/>
                <w:noProof/>
                <w:color w:val="000000"/>
                <w:sz w:val="20"/>
                <w:szCs w:val="20"/>
                <w:lang w:val="en-IE"/>
              </w:rPr>
              <w:t>5</w:t>
            </w:r>
          </w:p>
        </w:tc>
        <w:tc>
          <w:tcPr>
            <w:tcW w:w="411" w:type="pct"/>
            <w:tcBorders>
              <w:top w:val="nil"/>
              <w:left w:val="nil"/>
              <w:bottom w:val="nil"/>
              <w:right w:val="nil"/>
            </w:tcBorders>
            <w:shd w:val="clear" w:color="000000" w:fill="D9D9D9"/>
            <w:noWrap/>
            <w:vAlign w:val="center"/>
            <w:hideMark/>
          </w:tcPr>
          <w:p w14:paraId="394C0C5B" w14:textId="78F0D70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16</w:t>
            </w:r>
            <w:r w:rsidR="001372A2">
              <w:rPr>
                <w:rFonts w:eastAsia="Times New Roman"/>
                <w:noProof/>
                <w:color w:val="000000"/>
                <w:sz w:val="20"/>
                <w:szCs w:val="20"/>
                <w:lang w:val="en-IE"/>
              </w:rPr>
              <w:t>.</w:t>
            </w:r>
            <w:r w:rsidRPr="00B4481C">
              <w:rPr>
                <w:rFonts w:eastAsia="Times New Roman"/>
                <w:noProof/>
                <w:color w:val="000000"/>
                <w:sz w:val="20"/>
                <w:szCs w:val="20"/>
                <w:lang w:val="en-IE"/>
              </w:rPr>
              <w:t>1</w:t>
            </w:r>
          </w:p>
        </w:tc>
        <w:tc>
          <w:tcPr>
            <w:tcW w:w="411" w:type="pct"/>
            <w:tcBorders>
              <w:top w:val="nil"/>
              <w:left w:val="nil"/>
              <w:bottom w:val="nil"/>
              <w:right w:val="nil"/>
            </w:tcBorders>
            <w:shd w:val="clear" w:color="000000" w:fill="D9D9D9"/>
            <w:noWrap/>
            <w:vAlign w:val="center"/>
            <w:hideMark/>
          </w:tcPr>
          <w:p w14:paraId="3582C3B2" w14:textId="2D0CE656"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16</w:t>
            </w:r>
            <w:r w:rsidR="001372A2">
              <w:rPr>
                <w:rFonts w:eastAsia="Times New Roman"/>
                <w:noProof/>
                <w:color w:val="000000"/>
                <w:sz w:val="20"/>
                <w:szCs w:val="20"/>
                <w:lang w:val="en-IE"/>
              </w:rPr>
              <w:t>.</w:t>
            </w:r>
            <w:r w:rsidRPr="00B4481C">
              <w:rPr>
                <w:rFonts w:eastAsia="Times New Roman"/>
                <w:noProof/>
                <w:color w:val="000000"/>
                <w:sz w:val="20"/>
                <w:szCs w:val="20"/>
                <w:lang w:val="en-IE"/>
              </w:rPr>
              <w:t>6</w:t>
            </w:r>
          </w:p>
        </w:tc>
        <w:tc>
          <w:tcPr>
            <w:tcW w:w="411" w:type="pct"/>
            <w:tcBorders>
              <w:top w:val="nil"/>
              <w:left w:val="nil"/>
              <w:bottom w:val="nil"/>
              <w:right w:val="nil"/>
            </w:tcBorders>
            <w:shd w:val="clear" w:color="000000" w:fill="D9D9D9"/>
            <w:noWrap/>
            <w:vAlign w:val="center"/>
            <w:hideMark/>
          </w:tcPr>
          <w:p w14:paraId="749A45D3" w14:textId="16774738"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17</w:t>
            </w:r>
            <w:r w:rsidR="001372A2">
              <w:rPr>
                <w:rFonts w:eastAsia="Times New Roman"/>
                <w:noProof/>
                <w:color w:val="000000"/>
                <w:sz w:val="20"/>
                <w:szCs w:val="20"/>
                <w:lang w:val="en-IE"/>
              </w:rPr>
              <w:t>.</w:t>
            </w:r>
            <w:r w:rsidRPr="00B4481C">
              <w:rPr>
                <w:rFonts w:eastAsia="Times New Roman"/>
                <w:noProof/>
                <w:color w:val="000000"/>
                <w:sz w:val="20"/>
                <w:szCs w:val="20"/>
                <w:lang w:val="en-IE"/>
              </w:rPr>
              <w:t>2</w:t>
            </w:r>
          </w:p>
        </w:tc>
        <w:tc>
          <w:tcPr>
            <w:tcW w:w="411" w:type="pct"/>
            <w:tcBorders>
              <w:top w:val="nil"/>
              <w:left w:val="nil"/>
              <w:bottom w:val="nil"/>
              <w:right w:val="nil"/>
            </w:tcBorders>
            <w:shd w:val="clear" w:color="000000" w:fill="D9D9D9"/>
            <w:noWrap/>
            <w:vAlign w:val="center"/>
            <w:hideMark/>
          </w:tcPr>
          <w:p w14:paraId="5D759867" w14:textId="227CDDF8"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17</w:t>
            </w:r>
            <w:r w:rsidR="001372A2">
              <w:rPr>
                <w:rFonts w:eastAsia="Times New Roman"/>
                <w:noProof/>
                <w:color w:val="000000"/>
                <w:sz w:val="20"/>
                <w:szCs w:val="20"/>
                <w:lang w:val="en-IE"/>
              </w:rPr>
              <w:t>.</w:t>
            </w:r>
            <w:r w:rsidRPr="00B4481C">
              <w:rPr>
                <w:rFonts w:eastAsia="Times New Roman"/>
                <w:noProof/>
                <w:color w:val="000000"/>
                <w:sz w:val="20"/>
                <w:szCs w:val="20"/>
                <w:lang w:val="en-IE"/>
              </w:rPr>
              <w:t>8</w:t>
            </w:r>
          </w:p>
        </w:tc>
        <w:tc>
          <w:tcPr>
            <w:tcW w:w="411" w:type="pct"/>
            <w:tcBorders>
              <w:top w:val="nil"/>
              <w:left w:val="nil"/>
              <w:bottom w:val="nil"/>
              <w:right w:val="nil"/>
            </w:tcBorders>
            <w:shd w:val="clear" w:color="000000" w:fill="D9D9D9"/>
            <w:noWrap/>
            <w:vAlign w:val="center"/>
            <w:hideMark/>
          </w:tcPr>
          <w:p w14:paraId="03647EDD" w14:textId="53D1557E"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18</w:t>
            </w:r>
            <w:r w:rsidR="001372A2">
              <w:rPr>
                <w:rFonts w:eastAsia="Times New Roman"/>
                <w:noProof/>
                <w:color w:val="000000"/>
                <w:sz w:val="20"/>
                <w:szCs w:val="20"/>
                <w:lang w:val="en-IE"/>
              </w:rPr>
              <w:t>.</w:t>
            </w:r>
            <w:r w:rsidRPr="00B4481C">
              <w:rPr>
                <w:rFonts w:eastAsia="Times New Roman"/>
                <w:noProof/>
                <w:color w:val="000000"/>
                <w:sz w:val="20"/>
                <w:szCs w:val="20"/>
                <w:lang w:val="en-IE"/>
              </w:rPr>
              <w:t>4</w:t>
            </w:r>
          </w:p>
        </w:tc>
        <w:tc>
          <w:tcPr>
            <w:tcW w:w="411" w:type="pct"/>
            <w:tcBorders>
              <w:top w:val="nil"/>
              <w:left w:val="nil"/>
              <w:bottom w:val="nil"/>
              <w:right w:val="nil"/>
            </w:tcBorders>
            <w:shd w:val="clear" w:color="000000" w:fill="D9D9D9"/>
            <w:noWrap/>
            <w:vAlign w:val="center"/>
            <w:hideMark/>
          </w:tcPr>
          <w:p w14:paraId="416396C9" w14:textId="77510AB6"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19</w:t>
            </w:r>
            <w:r w:rsidR="001372A2">
              <w:rPr>
                <w:rFonts w:eastAsia="Times New Roman"/>
                <w:noProof/>
                <w:color w:val="000000"/>
                <w:sz w:val="20"/>
                <w:szCs w:val="20"/>
                <w:lang w:val="en-IE"/>
              </w:rPr>
              <w:t>.</w:t>
            </w:r>
            <w:r w:rsidRPr="00B4481C">
              <w:rPr>
                <w:rFonts w:eastAsia="Times New Roman"/>
                <w:noProof/>
                <w:color w:val="000000"/>
                <w:sz w:val="20"/>
                <w:szCs w:val="20"/>
                <w:lang w:val="en-IE"/>
              </w:rPr>
              <w:t>1</w:t>
            </w:r>
          </w:p>
        </w:tc>
        <w:tc>
          <w:tcPr>
            <w:tcW w:w="411" w:type="pct"/>
            <w:tcBorders>
              <w:top w:val="nil"/>
              <w:left w:val="nil"/>
              <w:bottom w:val="nil"/>
              <w:right w:val="nil"/>
            </w:tcBorders>
            <w:shd w:val="clear" w:color="000000" w:fill="D9D9D9"/>
            <w:noWrap/>
            <w:vAlign w:val="center"/>
            <w:hideMark/>
          </w:tcPr>
          <w:p w14:paraId="249C8732" w14:textId="5FF3BDB5"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19</w:t>
            </w:r>
            <w:r w:rsidR="001372A2">
              <w:rPr>
                <w:rFonts w:eastAsia="Times New Roman"/>
                <w:noProof/>
                <w:color w:val="000000"/>
                <w:sz w:val="20"/>
                <w:szCs w:val="20"/>
                <w:lang w:val="en-IE"/>
              </w:rPr>
              <w:t>.</w:t>
            </w:r>
            <w:r w:rsidRPr="00B4481C">
              <w:rPr>
                <w:rFonts w:eastAsia="Times New Roman"/>
                <w:noProof/>
                <w:color w:val="000000"/>
                <w:sz w:val="20"/>
                <w:szCs w:val="20"/>
                <w:lang w:val="en-IE"/>
              </w:rPr>
              <w:t>8</w:t>
            </w:r>
          </w:p>
        </w:tc>
        <w:tc>
          <w:tcPr>
            <w:tcW w:w="411" w:type="pct"/>
            <w:tcBorders>
              <w:top w:val="nil"/>
              <w:left w:val="nil"/>
              <w:bottom w:val="nil"/>
              <w:right w:val="nil"/>
            </w:tcBorders>
            <w:shd w:val="clear" w:color="000000" w:fill="D9D9D9"/>
            <w:noWrap/>
            <w:vAlign w:val="center"/>
            <w:hideMark/>
          </w:tcPr>
          <w:p w14:paraId="23FB4B67" w14:textId="266260C8"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20</w:t>
            </w:r>
            <w:r w:rsidR="001372A2">
              <w:rPr>
                <w:rFonts w:eastAsia="Times New Roman"/>
                <w:noProof/>
                <w:color w:val="000000"/>
                <w:sz w:val="20"/>
                <w:szCs w:val="20"/>
                <w:lang w:val="en-IE"/>
              </w:rPr>
              <w:t>.</w:t>
            </w:r>
            <w:r w:rsidRPr="00B4481C">
              <w:rPr>
                <w:rFonts w:eastAsia="Times New Roman"/>
                <w:noProof/>
                <w:color w:val="000000"/>
                <w:sz w:val="20"/>
                <w:szCs w:val="20"/>
                <w:lang w:val="en-IE"/>
              </w:rPr>
              <w:t>4</w:t>
            </w:r>
          </w:p>
        </w:tc>
        <w:tc>
          <w:tcPr>
            <w:tcW w:w="411" w:type="pct"/>
            <w:tcBorders>
              <w:top w:val="nil"/>
              <w:left w:val="nil"/>
              <w:bottom w:val="nil"/>
              <w:right w:val="nil"/>
            </w:tcBorders>
            <w:shd w:val="clear" w:color="000000" w:fill="D9D9D9"/>
            <w:noWrap/>
            <w:vAlign w:val="center"/>
            <w:hideMark/>
          </w:tcPr>
          <w:p w14:paraId="7A8877C5" w14:textId="2B5296B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21</w:t>
            </w:r>
            <w:r w:rsidR="001372A2">
              <w:rPr>
                <w:rFonts w:eastAsia="Times New Roman"/>
                <w:noProof/>
                <w:color w:val="000000"/>
                <w:sz w:val="20"/>
                <w:szCs w:val="20"/>
                <w:lang w:val="en-IE"/>
              </w:rPr>
              <w:t>.</w:t>
            </w:r>
            <w:r w:rsidRPr="00B4481C">
              <w:rPr>
                <w:rFonts w:eastAsia="Times New Roman"/>
                <w:noProof/>
                <w:color w:val="000000"/>
                <w:sz w:val="20"/>
                <w:szCs w:val="20"/>
                <w:lang w:val="en-IE"/>
              </w:rPr>
              <w:t>2</w:t>
            </w:r>
          </w:p>
        </w:tc>
      </w:tr>
      <w:tr w:rsidR="00F56348" w:rsidRPr="00B4481C" w14:paraId="74752938" w14:textId="77777777" w:rsidTr="00AF2739">
        <w:trPr>
          <w:trHeight w:val="300"/>
        </w:trPr>
        <w:tc>
          <w:tcPr>
            <w:tcW w:w="479" w:type="pct"/>
            <w:tcBorders>
              <w:top w:val="nil"/>
              <w:left w:val="nil"/>
              <w:bottom w:val="nil"/>
              <w:right w:val="nil"/>
            </w:tcBorders>
            <w:noWrap/>
            <w:vAlign w:val="center"/>
            <w:hideMark/>
          </w:tcPr>
          <w:p w14:paraId="065B42E7" w14:textId="77777777" w:rsidR="00981833" w:rsidRPr="00B4481C" w:rsidRDefault="00981833">
            <w:pPr>
              <w:spacing w:after="0"/>
              <w:jc w:val="left"/>
              <w:rPr>
                <w:rFonts w:eastAsia="Times New Roman"/>
                <w:noProof/>
                <w:color w:val="000000"/>
                <w:sz w:val="20"/>
                <w:szCs w:val="20"/>
                <w:lang w:val="en-US"/>
              </w:rPr>
            </w:pPr>
            <w:r w:rsidRPr="00B4481C">
              <w:rPr>
                <w:rFonts w:eastAsia="Times New Roman"/>
                <w:noProof/>
                <w:color w:val="000000"/>
                <w:sz w:val="20"/>
                <w:szCs w:val="20"/>
                <w:lang w:val="en-IE"/>
              </w:rPr>
              <w:t>SMEs</w:t>
            </w:r>
          </w:p>
        </w:tc>
        <w:tc>
          <w:tcPr>
            <w:tcW w:w="411" w:type="pct"/>
            <w:tcBorders>
              <w:top w:val="nil"/>
              <w:left w:val="nil"/>
              <w:bottom w:val="nil"/>
              <w:right w:val="nil"/>
            </w:tcBorders>
            <w:noWrap/>
            <w:vAlign w:val="center"/>
            <w:hideMark/>
          </w:tcPr>
          <w:p w14:paraId="76224805" w14:textId="46FC2396"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15</w:t>
            </w:r>
            <w:r w:rsidR="001372A2">
              <w:rPr>
                <w:rFonts w:eastAsia="Times New Roman"/>
                <w:noProof/>
                <w:color w:val="000000"/>
                <w:sz w:val="20"/>
                <w:szCs w:val="20"/>
                <w:lang w:val="en-IE"/>
              </w:rPr>
              <w:t>.</w:t>
            </w:r>
            <w:r w:rsidRPr="00B4481C">
              <w:rPr>
                <w:rFonts w:eastAsia="Times New Roman"/>
                <w:noProof/>
                <w:color w:val="000000"/>
                <w:sz w:val="20"/>
                <w:szCs w:val="20"/>
                <w:lang w:val="en-IE"/>
              </w:rPr>
              <w:t>0</w:t>
            </w:r>
          </w:p>
        </w:tc>
        <w:tc>
          <w:tcPr>
            <w:tcW w:w="411" w:type="pct"/>
            <w:tcBorders>
              <w:top w:val="nil"/>
              <w:left w:val="nil"/>
              <w:bottom w:val="nil"/>
              <w:right w:val="nil"/>
            </w:tcBorders>
            <w:noWrap/>
            <w:vAlign w:val="center"/>
            <w:hideMark/>
          </w:tcPr>
          <w:p w14:paraId="1C31D92F" w14:textId="7EAA6796"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16</w:t>
            </w:r>
            <w:r w:rsidR="001372A2">
              <w:rPr>
                <w:rFonts w:eastAsia="Times New Roman"/>
                <w:noProof/>
                <w:color w:val="000000"/>
                <w:sz w:val="20"/>
                <w:szCs w:val="20"/>
                <w:lang w:val="en-IE"/>
              </w:rPr>
              <w:t>.</w:t>
            </w:r>
            <w:r w:rsidRPr="00B4481C">
              <w:rPr>
                <w:rFonts w:eastAsia="Times New Roman"/>
                <w:noProof/>
                <w:color w:val="000000"/>
                <w:sz w:val="20"/>
                <w:szCs w:val="20"/>
                <w:lang w:val="en-IE"/>
              </w:rPr>
              <w:t>1</w:t>
            </w:r>
          </w:p>
        </w:tc>
        <w:tc>
          <w:tcPr>
            <w:tcW w:w="411" w:type="pct"/>
            <w:tcBorders>
              <w:top w:val="nil"/>
              <w:left w:val="nil"/>
              <w:bottom w:val="nil"/>
              <w:right w:val="nil"/>
            </w:tcBorders>
            <w:noWrap/>
            <w:vAlign w:val="center"/>
            <w:hideMark/>
          </w:tcPr>
          <w:p w14:paraId="3F65B32C" w14:textId="12D96164"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17</w:t>
            </w:r>
            <w:r w:rsidR="001372A2">
              <w:rPr>
                <w:rFonts w:eastAsia="Times New Roman"/>
                <w:noProof/>
                <w:color w:val="000000"/>
                <w:sz w:val="20"/>
                <w:szCs w:val="20"/>
                <w:lang w:val="en-IE"/>
              </w:rPr>
              <w:t>.</w:t>
            </w:r>
            <w:r w:rsidRPr="00B4481C">
              <w:rPr>
                <w:rFonts w:eastAsia="Times New Roman"/>
                <w:noProof/>
                <w:color w:val="000000"/>
                <w:sz w:val="20"/>
                <w:szCs w:val="20"/>
                <w:lang w:val="en-IE"/>
              </w:rPr>
              <w:t>2</w:t>
            </w:r>
          </w:p>
        </w:tc>
        <w:tc>
          <w:tcPr>
            <w:tcW w:w="411" w:type="pct"/>
            <w:tcBorders>
              <w:top w:val="nil"/>
              <w:left w:val="nil"/>
              <w:bottom w:val="nil"/>
              <w:right w:val="nil"/>
            </w:tcBorders>
            <w:noWrap/>
            <w:vAlign w:val="center"/>
            <w:hideMark/>
          </w:tcPr>
          <w:p w14:paraId="3B976352" w14:textId="4036068A"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18</w:t>
            </w:r>
            <w:r w:rsidR="001372A2">
              <w:rPr>
                <w:rFonts w:eastAsia="Times New Roman"/>
                <w:noProof/>
                <w:color w:val="000000"/>
                <w:sz w:val="20"/>
                <w:szCs w:val="20"/>
                <w:lang w:val="en-IE"/>
              </w:rPr>
              <w:t>.</w:t>
            </w:r>
            <w:r w:rsidRPr="00B4481C">
              <w:rPr>
                <w:rFonts w:eastAsia="Times New Roman"/>
                <w:noProof/>
                <w:color w:val="000000"/>
                <w:sz w:val="20"/>
                <w:szCs w:val="20"/>
                <w:lang w:val="en-IE"/>
              </w:rPr>
              <w:t>4</w:t>
            </w:r>
          </w:p>
        </w:tc>
        <w:tc>
          <w:tcPr>
            <w:tcW w:w="411" w:type="pct"/>
            <w:tcBorders>
              <w:top w:val="nil"/>
              <w:left w:val="nil"/>
              <w:bottom w:val="nil"/>
              <w:right w:val="nil"/>
            </w:tcBorders>
            <w:noWrap/>
            <w:vAlign w:val="center"/>
            <w:hideMark/>
          </w:tcPr>
          <w:p w14:paraId="39CA0D71" w14:textId="3E882D04"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19</w:t>
            </w:r>
            <w:r w:rsidR="001372A2">
              <w:rPr>
                <w:rFonts w:eastAsia="Times New Roman"/>
                <w:noProof/>
                <w:color w:val="000000"/>
                <w:sz w:val="20"/>
                <w:szCs w:val="20"/>
                <w:lang w:val="en-IE"/>
              </w:rPr>
              <w:t>.</w:t>
            </w:r>
            <w:r w:rsidRPr="00B4481C">
              <w:rPr>
                <w:rFonts w:eastAsia="Times New Roman"/>
                <w:noProof/>
                <w:color w:val="000000"/>
                <w:sz w:val="20"/>
                <w:szCs w:val="20"/>
                <w:lang w:val="en-IE"/>
              </w:rPr>
              <w:t>7</w:t>
            </w:r>
          </w:p>
        </w:tc>
        <w:tc>
          <w:tcPr>
            <w:tcW w:w="411" w:type="pct"/>
            <w:tcBorders>
              <w:top w:val="nil"/>
              <w:left w:val="nil"/>
              <w:bottom w:val="nil"/>
              <w:right w:val="nil"/>
            </w:tcBorders>
            <w:noWrap/>
            <w:vAlign w:val="center"/>
            <w:hideMark/>
          </w:tcPr>
          <w:p w14:paraId="17727AED" w14:textId="0DA74E05"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21</w:t>
            </w:r>
            <w:r w:rsidR="001372A2">
              <w:rPr>
                <w:rFonts w:eastAsia="Times New Roman"/>
                <w:noProof/>
                <w:color w:val="000000"/>
                <w:sz w:val="20"/>
                <w:szCs w:val="20"/>
                <w:lang w:val="en-IE"/>
              </w:rPr>
              <w:t>.</w:t>
            </w:r>
            <w:r w:rsidRPr="00B4481C">
              <w:rPr>
                <w:rFonts w:eastAsia="Times New Roman"/>
                <w:noProof/>
                <w:color w:val="000000"/>
                <w:sz w:val="20"/>
                <w:szCs w:val="20"/>
                <w:lang w:val="en-IE"/>
              </w:rPr>
              <w:t>0</w:t>
            </w:r>
          </w:p>
        </w:tc>
        <w:tc>
          <w:tcPr>
            <w:tcW w:w="411" w:type="pct"/>
            <w:tcBorders>
              <w:top w:val="nil"/>
              <w:left w:val="nil"/>
              <w:bottom w:val="nil"/>
              <w:right w:val="nil"/>
            </w:tcBorders>
            <w:noWrap/>
            <w:vAlign w:val="center"/>
            <w:hideMark/>
          </w:tcPr>
          <w:p w14:paraId="1DE28588" w14:textId="73672F3C"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22</w:t>
            </w:r>
            <w:r w:rsidR="001372A2">
              <w:rPr>
                <w:rFonts w:eastAsia="Times New Roman"/>
                <w:noProof/>
                <w:color w:val="000000"/>
                <w:sz w:val="20"/>
                <w:szCs w:val="20"/>
                <w:lang w:val="en-IE"/>
              </w:rPr>
              <w:t>.</w:t>
            </w:r>
            <w:r w:rsidRPr="00B4481C">
              <w:rPr>
                <w:rFonts w:eastAsia="Times New Roman"/>
                <w:noProof/>
                <w:color w:val="000000"/>
                <w:sz w:val="20"/>
                <w:szCs w:val="20"/>
                <w:lang w:val="en-IE"/>
              </w:rPr>
              <w:t>5</w:t>
            </w:r>
          </w:p>
        </w:tc>
        <w:tc>
          <w:tcPr>
            <w:tcW w:w="411" w:type="pct"/>
            <w:tcBorders>
              <w:top w:val="nil"/>
              <w:left w:val="nil"/>
              <w:bottom w:val="nil"/>
              <w:right w:val="nil"/>
            </w:tcBorders>
            <w:noWrap/>
            <w:vAlign w:val="center"/>
            <w:hideMark/>
          </w:tcPr>
          <w:p w14:paraId="16296510" w14:textId="681971E3"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24</w:t>
            </w:r>
            <w:r w:rsidR="001372A2">
              <w:rPr>
                <w:rFonts w:eastAsia="Times New Roman"/>
                <w:noProof/>
                <w:color w:val="000000"/>
                <w:sz w:val="20"/>
                <w:szCs w:val="20"/>
                <w:lang w:val="en-IE"/>
              </w:rPr>
              <w:t>.</w:t>
            </w:r>
            <w:r w:rsidRPr="00B4481C">
              <w:rPr>
                <w:rFonts w:eastAsia="Times New Roman"/>
                <w:noProof/>
                <w:color w:val="000000"/>
                <w:sz w:val="20"/>
                <w:szCs w:val="20"/>
                <w:lang w:val="en-IE"/>
              </w:rPr>
              <w:t>1</w:t>
            </w:r>
          </w:p>
        </w:tc>
        <w:tc>
          <w:tcPr>
            <w:tcW w:w="411" w:type="pct"/>
            <w:tcBorders>
              <w:top w:val="nil"/>
              <w:left w:val="nil"/>
              <w:bottom w:val="nil"/>
              <w:right w:val="nil"/>
            </w:tcBorders>
            <w:noWrap/>
            <w:vAlign w:val="center"/>
            <w:hideMark/>
          </w:tcPr>
          <w:p w14:paraId="4D16C232" w14:textId="36C34DA5"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25</w:t>
            </w:r>
            <w:r w:rsidR="001372A2">
              <w:rPr>
                <w:rFonts w:eastAsia="Times New Roman"/>
                <w:noProof/>
                <w:color w:val="000000"/>
                <w:sz w:val="20"/>
                <w:szCs w:val="20"/>
                <w:lang w:val="en-IE"/>
              </w:rPr>
              <w:t>.</w:t>
            </w:r>
            <w:r w:rsidRPr="00B4481C">
              <w:rPr>
                <w:rFonts w:eastAsia="Times New Roman"/>
                <w:noProof/>
                <w:color w:val="000000"/>
                <w:sz w:val="20"/>
                <w:szCs w:val="20"/>
                <w:lang w:val="en-IE"/>
              </w:rPr>
              <w:t>8</w:t>
            </w:r>
          </w:p>
        </w:tc>
        <w:tc>
          <w:tcPr>
            <w:tcW w:w="411" w:type="pct"/>
            <w:tcBorders>
              <w:top w:val="nil"/>
              <w:left w:val="nil"/>
              <w:bottom w:val="nil"/>
              <w:right w:val="nil"/>
            </w:tcBorders>
            <w:noWrap/>
            <w:vAlign w:val="center"/>
            <w:hideMark/>
          </w:tcPr>
          <w:p w14:paraId="7D24D885" w14:textId="34A1F5BB"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27</w:t>
            </w:r>
            <w:r w:rsidR="001372A2">
              <w:rPr>
                <w:rFonts w:eastAsia="Times New Roman"/>
                <w:noProof/>
                <w:color w:val="000000"/>
                <w:sz w:val="20"/>
                <w:szCs w:val="20"/>
                <w:lang w:val="en-IE"/>
              </w:rPr>
              <w:t>.</w:t>
            </w:r>
            <w:r w:rsidRPr="00B4481C">
              <w:rPr>
                <w:rFonts w:eastAsia="Times New Roman"/>
                <w:noProof/>
                <w:color w:val="000000"/>
                <w:sz w:val="20"/>
                <w:szCs w:val="20"/>
                <w:lang w:val="en-IE"/>
              </w:rPr>
              <w:t>6</w:t>
            </w:r>
          </w:p>
        </w:tc>
        <w:tc>
          <w:tcPr>
            <w:tcW w:w="411" w:type="pct"/>
            <w:tcBorders>
              <w:top w:val="nil"/>
              <w:left w:val="nil"/>
              <w:bottom w:val="nil"/>
              <w:right w:val="nil"/>
            </w:tcBorders>
            <w:noWrap/>
            <w:vAlign w:val="center"/>
            <w:hideMark/>
          </w:tcPr>
          <w:p w14:paraId="099356CA" w14:textId="3924468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29</w:t>
            </w:r>
            <w:r w:rsidR="001372A2">
              <w:rPr>
                <w:rFonts w:eastAsia="Times New Roman"/>
                <w:noProof/>
                <w:color w:val="000000"/>
                <w:sz w:val="20"/>
                <w:szCs w:val="20"/>
                <w:lang w:val="en-IE"/>
              </w:rPr>
              <w:t>.</w:t>
            </w:r>
            <w:r w:rsidRPr="00B4481C">
              <w:rPr>
                <w:rFonts w:eastAsia="Times New Roman"/>
                <w:noProof/>
                <w:color w:val="000000"/>
                <w:sz w:val="20"/>
                <w:szCs w:val="20"/>
                <w:lang w:val="en-IE"/>
              </w:rPr>
              <w:t>5</w:t>
            </w:r>
          </w:p>
        </w:tc>
      </w:tr>
      <w:tr w:rsidR="00981833" w:rsidRPr="00B4481C" w14:paraId="189F4FEB" w14:textId="77777777" w:rsidTr="004B7446">
        <w:trPr>
          <w:trHeight w:val="300"/>
        </w:trPr>
        <w:tc>
          <w:tcPr>
            <w:tcW w:w="479" w:type="pct"/>
            <w:tcBorders>
              <w:top w:val="nil"/>
              <w:left w:val="nil"/>
              <w:bottom w:val="nil"/>
              <w:right w:val="nil"/>
            </w:tcBorders>
            <w:shd w:val="clear" w:color="000000" w:fill="D9D9D9"/>
            <w:noWrap/>
            <w:vAlign w:val="center"/>
            <w:hideMark/>
          </w:tcPr>
          <w:p w14:paraId="4DBB3F21" w14:textId="77777777" w:rsidR="00981833" w:rsidRPr="00B4481C" w:rsidRDefault="00981833">
            <w:pPr>
              <w:spacing w:after="0"/>
              <w:jc w:val="left"/>
              <w:rPr>
                <w:rFonts w:eastAsia="Times New Roman"/>
                <w:noProof/>
                <w:color w:val="000000"/>
                <w:sz w:val="20"/>
                <w:szCs w:val="20"/>
                <w:lang w:val="en-US"/>
              </w:rPr>
            </w:pPr>
            <w:r w:rsidRPr="00B4481C">
              <w:rPr>
                <w:rFonts w:eastAsia="Times New Roman"/>
                <w:noProof/>
                <w:color w:val="000000"/>
                <w:sz w:val="20"/>
                <w:szCs w:val="20"/>
                <w:lang w:val="en-IE"/>
              </w:rPr>
              <w:t>Public sector</w:t>
            </w:r>
          </w:p>
        </w:tc>
        <w:tc>
          <w:tcPr>
            <w:tcW w:w="411" w:type="pct"/>
            <w:tcBorders>
              <w:top w:val="nil"/>
              <w:left w:val="nil"/>
              <w:bottom w:val="nil"/>
              <w:right w:val="nil"/>
            </w:tcBorders>
            <w:shd w:val="clear" w:color="000000" w:fill="D9D9D9"/>
            <w:noWrap/>
            <w:vAlign w:val="center"/>
            <w:hideMark/>
          </w:tcPr>
          <w:p w14:paraId="2371C382" w14:textId="338075B3"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15</w:t>
            </w:r>
            <w:r w:rsidR="001372A2">
              <w:rPr>
                <w:rFonts w:eastAsia="Times New Roman"/>
                <w:noProof/>
                <w:color w:val="000000"/>
                <w:sz w:val="20"/>
                <w:szCs w:val="20"/>
                <w:lang w:val="en-IE"/>
              </w:rPr>
              <w:t>.</w:t>
            </w:r>
            <w:r w:rsidRPr="00B4481C">
              <w:rPr>
                <w:rFonts w:eastAsia="Times New Roman"/>
                <w:noProof/>
                <w:color w:val="000000"/>
                <w:sz w:val="20"/>
                <w:szCs w:val="20"/>
                <w:lang w:val="en-IE"/>
              </w:rPr>
              <w:t>0</w:t>
            </w:r>
          </w:p>
        </w:tc>
        <w:tc>
          <w:tcPr>
            <w:tcW w:w="411" w:type="pct"/>
            <w:tcBorders>
              <w:top w:val="nil"/>
              <w:left w:val="nil"/>
              <w:bottom w:val="nil"/>
              <w:right w:val="nil"/>
            </w:tcBorders>
            <w:shd w:val="clear" w:color="000000" w:fill="D9D9D9"/>
            <w:noWrap/>
            <w:vAlign w:val="center"/>
            <w:hideMark/>
          </w:tcPr>
          <w:p w14:paraId="5E6628FE" w14:textId="569AC85F"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17</w:t>
            </w:r>
            <w:r w:rsidR="001372A2">
              <w:rPr>
                <w:rFonts w:eastAsia="Times New Roman"/>
                <w:noProof/>
                <w:color w:val="000000"/>
                <w:sz w:val="20"/>
                <w:szCs w:val="20"/>
                <w:lang w:val="en-IE"/>
              </w:rPr>
              <w:t>.</w:t>
            </w:r>
            <w:r w:rsidRPr="00B4481C">
              <w:rPr>
                <w:rFonts w:eastAsia="Times New Roman"/>
                <w:noProof/>
                <w:color w:val="000000"/>
                <w:sz w:val="20"/>
                <w:szCs w:val="20"/>
                <w:lang w:val="en-IE"/>
              </w:rPr>
              <w:t>1</w:t>
            </w:r>
          </w:p>
        </w:tc>
        <w:tc>
          <w:tcPr>
            <w:tcW w:w="411" w:type="pct"/>
            <w:tcBorders>
              <w:top w:val="nil"/>
              <w:left w:val="nil"/>
              <w:bottom w:val="nil"/>
              <w:right w:val="nil"/>
            </w:tcBorders>
            <w:shd w:val="clear" w:color="000000" w:fill="D9D9D9"/>
            <w:noWrap/>
            <w:vAlign w:val="center"/>
            <w:hideMark/>
          </w:tcPr>
          <w:p w14:paraId="103F7F27" w14:textId="37509A16"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19</w:t>
            </w:r>
            <w:r w:rsidR="001372A2">
              <w:rPr>
                <w:rFonts w:eastAsia="Times New Roman"/>
                <w:noProof/>
                <w:color w:val="000000"/>
                <w:sz w:val="20"/>
                <w:szCs w:val="20"/>
                <w:lang w:val="en-IE"/>
              </w:rPr>
              <w:t>.</w:t>
            </w:r>
            <w:r w:rsidRPr="00B4481C">
              <w:rPr>
                <w:rFonts w:eastAsia="Times New Roman"/>
                <w:noProof/>
                <w:color w:val="000000"/>
                <w:sz w:val="20"/>
                <w:szCs w:val="20"/>
                <w:lang w:val="en-IE"/>
              </w:rPr>
              <w:t>5</w:t>
            </w:r>
          </w:p>
        </w:tc>
        <w:tc>
          <w:tcPr>
            <w:tcW w:w="411" w:type="pct"/>
            <w:tcBorders>
              <w:top w:val="nil"/>
              <w:left w:val="nil"/>
              <w:bottom w:val="nil"/>
              <w:right w:val="nil"/>
            </w:tcBorders>
            <w:shd w:val="clear" w:color="000000" w:fill="D9D9D9"/>
            <w:noWrap/>
            <w:vAlign w:val="center"/>
            <w:hideMark/>
          </w:tcPr>
          <w:p w14:paraId="6EFDBDB4" w14:textId="37963F61"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22</w:t>
            </w:r>
            <w:r w:rsidR="001372A2">
              <w:rPr>
                <w:rFonts w:eastAsia="Times New Roman"/>
                <w:noProof/>
                <w:color w:val="000000"/>
                <w:sz w:val="20"/>
                <w:szCs w:val="20"/>
                <w:lang w:val="en-IE"/>
              </w:rPr>
              <w:t>.</w:t>
            </w:r>
            <w:r w:rsidRPr="00B4481C">
              <w:rPr>
                <w:rFonts w:eastAsia="Times New Roman"/>
                <w:noProof/>
                <w:color w:val="000000"/>
                <w:sz w:val="20"/>
                <w:szCs w:val="20"/>
                <w:lang w:val="en-IE"/>
              </w:rPr>
              <w:t>2</w:t>
            </w:r>
          </w:p>
        </w:tc>
        <w:tc>
          <w:tcPr>
            <w:tcW w:w="411" w:type="pct"/>
            <w:tcBorders>
              <w:top w:val="nil"/>
              <w:left w:val="nil"/>
              <w:bottom w:val="nil"/>
              <w:right w:val="nil"/>
            </w:tcBorders>
            <w:shd w:val="clear" w:color="000000" w:fill="D9D9D9"/>
            <w:noWrap/>
            <w:vAlign w:val="center"/>
            <w:hideMark/>
          </w:tcPr>
          <w:p w14:paraId="1763879F" w14:textId="205CCB83"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25</w:t>
            </w:r>
            <w:r w:rsidR="001372A2">
              <w:rPr>
                <w:rFonts w:eastAsia="Times New Roman"/>
                <w:noProof/>
                <w:color w:val="000000"/>
                <w:sz w:val="20"/>
                <w:szCs w:val="20"/>
                <w:lang w:val="en-IE"/>
              </w:rPr>
              <w:t>.</w:t>
            </w:r>
            <w:r w:rsidRPr="00B4481C">
              <w:rPr>
                <w:rFonts w:eastAsia="Times New Roman"/>
                <w:noProof/>
                <w:color w:val="000000"/>
                <w:sz w:val="20"/>
                <w:szCs w:val="20"/>
                <w:lang w:val="en-IE"/>
              </w:rPr>
              <w:t>3</w:t>
            </w:r>
          </w:p>
        </w:tc>
        <w:tc>
          <w:tcPr>
            <w:tcW w:w="411" w:type="pct"/>
            <w:tcBorders>
              <w:top w:val="nil"/>
              <w:left w:val="nil"/>
              <w:bottom w:val="nil"/>
              <w:right w:val="nil"/>
            </w:tcBorders>
            <w:shd w:val="clear" w:color="000000" w:fill="D9D9D9"/>
            <w:noWrap/>
            <w:vAlign w:val="center"/>
            <w:hideMark/>
          </w:tcPr>
          <w:p w14:paraId="6056A185" w14:textId="5C4CDBEF"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28</w:t>
            </w:r>
            <w:r w:rsidR="001372A2">
              <w:rPr>
                <w:rFonts w:eastAsia="Times New Roman"/>
                <w:noProof/>
                <w:color w:val="000000"/>
                <w:sz w:val="20"/>
                <w:szCs w:val="20"/>
                <w:lang w:val="en-IE"/>
              </w:rPr>
              <w:t>.</w:t>
            </w:r>
            <w:r w:rsidRPr="00B4481C">
              <w:rPr>
                <w:rFonts w:eastAsia="Times New Roman"/>
                <w:noProof/>
                <w:color w:val="000000"/>
                <w:sz w:val="20"/>
                <w:szCs w:val="20"/>
                <w:lang w:val="en-IE"/>
              </w:rPr>
              <w:t>9</w:t>
            </w:r>
          </w:p>
        </w:tc>
        <w:tc>
          <w:tcPr>
            <w:tcW w:w="411" w:type="pct"/>
            <w:tcBorders>
              <w:top w:val="nil"/>
              <w:left w:val="nil"/>
              <w:bottom w:val="nil"/>
              <w:right w:val="nil"/>
            </w:tcBorders>
            <w:shd w:val="clear" w:color="000000" w:fill="D9D9D9"/>
            <w:noWrap/>
            <w:vAlign w:val="center"/>
            <w:hideMark/>
          </w:tcPr>
          <w:p w14:paraId="767F6572" w14:textId="115AF467"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32</w:t>
            </w:r>
            <w:r w:rsidR="001372A2">
              <w:rPr>
                <w:rFonts w:eastAsia="Times New Roman"/>
                <w:noProof/>
                <w:color w:val="000000"/>
                <w:sz w:val="20"/>
                <w:szCs w:val="20"/>
                <w:lang w:val="en-IE"/>
              </w:rPr>
              <w:t>.</w:t>
            </w:r>
            <w:r w:rsidRPr="00B4481C">
              <w:rPr>
                <w:rFonts w:eastAsia="Times New Roman"/>
                <w:noProof/>
                <w:color w:val="000000"/>
                <w:sz w:val="20"/>
                <w:szCs w:val="20"/>
                <w:lang w:val="en-IE"/>
              </w:rPr>
              <w:t>9</w:t>
            </w:r>
          </w:p>
        </w:tc>
        <w:tc>
          <w:tcPr>
            <w:tcW w:w="411" w:type="pct"/>
            <w:tcBorders>
              <w:top w:val="nil"/>
              <w:left w:val="nil"/>
              <w:bottom w:val="nil"/>
              <w:right w:val="nil"/>
            </w:tcBorders>
            <w:shd w:val="clear" w:color="000000" w:fill="D9D9D9"/>
            <w:noWrap/>
            <w:vAlign w:val="center"/>
            <w:hideMark/>
          </w:tcPr>
          <w:p w14:paraId="1063C978" w14:textId="46AA3C47"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37</w:t>
            </w:r>
            <w:r w:rsidR="001372A2">
              <w:rPr>
                <w:rFonts w:eastAsia="Times New Roman"/>
                <w:noProof/>
                <w:color w:val="000000"/>
                <w:sz w:val="20"/>
                <w:szCs w:val="20"/>
                <w:lang w:val="en-IE"/>
              </w:rPr>
              <w:t>.</w:t>
            </w:r>
            <w:r w:rsidRPr="00B4481C">
              <w:rPr>
                <w:rFonts w:eastAsia="Times New Roman"/>
                <w:noProof/>
                <w:color w:val="000000"/>
                <w:sz w:val="20"/>
                <w:szCs w:val="20"/>
                <w:lang w:val="en-IE"/>
              </w:rPr>
              <w:t>5</w:t>
            </w:r>
          </w:p>
        </w:tc>
        <w:tc>
          <w:tcPr>
            <w:tcW w:w="411" w:type="pct"/>
            <w:tcBorders>
              <w:top w:val="nil"/>
              <w:left w:val="nil"/>
              <w:bottom w:val="nil"/>
              <w:right w:val="nil"/>
            </w:tcBorders>
            <w:shd w:val="clear" w:color="000000" w:fill="D9D9D9"/>
            <w:noWrap/>
            <w:vAlign w:val="center"/>
            <w:hideMark/>
          </w:tcPr>
          <w:p w14:paraId="5F34A83B" w14:textId="2E1E62F8"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42</w:t>
            </w:r>
            <w:r w:rsidR="001372A2">
              <w:rPr>
                <w:rFonts w:eastAsia="Times New Roman"/>
                <w:noProof/>
                <w:color w:val="000000"/>
                <w:sz w:val="20"/>
                <w:szCs w:val="20"/>
                <w:lang w:val="en-IE"/>
              </w:rPr>
              <w:t>.</w:t>
            </w:r>
            <w:r w:rsidRPr="00B4481C">
              <w:rPr>
                <w:rFonts w:eastAsia="Times New Roman"/>
                <w:noProof/>
                <w:color w:val="000000"/>
                <w:sz w:val="20"/>
                <w:szCs w:val="20"/>
                <w:lang w:val="en-IE"/>
              </w:rPr>
              <w:t>8</w:t>
            </w:r>
          </w:p>
        </w:tc>
        <w:tc>
          <w:tcPr>
            <w:tcW w:w="411" w:type="pct"/>
            <w:tcBorders>
              <w:top w:val="nil"/>
              <w:left w:val="nil"/>
              <w:bottom w:val="nil"/>
              <w:right w:val="nil"/>
            </w:tcBorders>
            <w:shd w:val="clear" w:color="000000" w:fill="D9D9D9"/>
            <w:noWrap/>
            <w:vAlign w:val="center"/>
            <w:hideMark/>
          </w:tcPr>
          <w:p w14:paraId="0226BCA6" w14:textId="370301D0"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48</w:t>
            </w:r>
            <w:r w:rsidR="001372A2">
              <w:rPr>
                <w:rFonts w:eastAsia="Times New Roman"/>
                <w:noProof/>
                <w:color w:val="000000"/>
                <w:sz w:val="20"/>
                <w:szCs w:val="20"/>
                <w:lang w:val="en-IE"/>
              </w:rPr>
              <w:t>.</w:t>
            </w:r>
            <w:r w:rsidRPr="00B4481C">
              <w:rPr>
                <w:rFonts w:eastAsia="Times New Roman"/>
                <w:noProof/>
                <w:color w:val="000000"/>
                <w:sz w:val="20"/>
                <w:szCs w:val="20"/>
                <w:lang w:val="en-IE"/>
              </w:rPr>
              <w:t>8</w:t>
            </w:r>
          </w:p>
        </w:tc>
        <w:tc>
          <w:tcPr>
            <w:tcW w:w="411" w:type="pct"/>
            <w:tcBorders>
              <w:top w:val="nil"/>
              <w:left w:val="nil"/>
              <w:bottom w:val="nil"/>
              <w:right w:val="nil"/>
            </w:tcBorders>
            <w:shd w:val="clear" w:color="000000" w:fill="D9D9D9"/>
            <w:noWrap/>
            <w:vAlign w:val="center"/>
            <w:hideMark/>
          </w:tcPr>
          <w:p w14:paraId="231FDE49" w14:textId="1EC6952E"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IE"/>
              </w:rPr>
              <w:t>55</w:t>
            </w:r>
            <w:r w:rsidR="001372A2">
              <w:rPr>
                <w:rFonts w:eastAsia="Times New Roman"/>
                <w:noProof/>
                <w:color w:val="000000"/>
                <w:sz w:val="20"/>
                <w:szCs w:val="20"/>
                <w:lang w:val="en-IE"/>
              </w:rPr>
              <w:t>.</w:t>
            </w:r>
            <w:r w:rsidRPr="00B4481C">
              <w:rPr>
                <w:rFonts w:eastAsia="Times New Roman"/>
                <w:noProof/>
                <w:color w:val="000000"/>
                <w:sz w:val="20"/>
                <w:szCs w:val="20"/>
                <w:lang w:val="en-IE"/>
              </w:rPr>
              <w:t>6</w:t>
            </w:r>
          </w:p>
        </w:tc>
      </w:tr>
    </w:tbl>
    <w:p w14:paraId="32C9BA19" w14:textId="77777777" w:rsidR="00981833" w:rsidRDefault="00981833" w:rsidP="00981833">
      <w:pPr>
        <w:rPr>
          <w:noProof/>
          <w:lang w:val="en-IE"/>
        </w:rPr>
      </w:pPr>
    </w:p>
    <w:p w14:paraId="7FF50EBF" w14:textId="23C64EDB" w:rsidR="00981833" w:rsidRDefault="00981833" w:rsidP="00981833">
      <w:pPr>
        <w:rPr>
          <w:noProof/>
          <w:lang w:val="en-IE"/>
        </w:rPr>
      </w:pPr>
      <w:r>
        <w:rPr>
          <w:noProof/>
          <w:lang w:val="en-IE"/>
        </w:rPr>
        <w:t>Today’s cloud market is assumed to be divided into three segments: large customers (LC) amounting for 60% of the market</w:t>
      </w:r>
      <w:r>
        <w:rPr>
          <w:rStyle w:val="FootnoteReference"/>
          <w:noProof/>
          <w:lang w:val="en-IE"/>
        </w:rPr>
        <w:footnoteReference w:id="114"/>
      </w:r>
      <w:r>
        <w:rPr>
          <w:noProof/>
          <w:lang w:val="en-IE"/>
        </w:rPr>
        <w:t>, small and medium enterprises (SME) being around 26% and the public sector (PS) 14% of the market. Assuming this distribution remains the same, the share of the market for EU providers could evolve as follows</w:t>
      </w:r>
      <w:r w:rsidR="004E4253">
        <w:rPr>
          <w:noProof/>
          <w:lang w:val="en-IE"/>
        </w:rPr>
        <w:t>:</w:t>
      </w:r>
    </w:p>
    <w:p w14:paraId="40D5CBD2" w14:textId="668254C0" w:rsidR="00FD3048" w:rsidRDefault="007303D6" w:rsidP="00844167">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67</w:t>
      </w:r>
      <w:r>
        <w:rPr>
          <w:noProof/>
        </w:rPr>
        <w:fldChar w:fldCharType="end"/>
      </w:r>
      <w:r w:rsidR="00FD3048">
        <w:rPr>
          <w:noProof/>
        </w:rPr>
        <w:t xml:space="preserve">. </w:t>
      </w:r>
      <w:r w:rsidR="00FD3048" w:rsidRPr="007303D6">
        <w:rPr>
          <w:noProof/>
        </w:rPr>
        <w:t xml:space="preserve">European Cloud and AI computing service providers share of revenues </w:t>
      </w:r>
      <w:r w:rsidR="00D74E68">
        <w:rPr>
          <w:noProof/>
        </w:rPr>
        <w:t xml:space="preserve">– aggregated </w:t>
      </w:r>
      <w:r w:rsidR="00FD3048" w:rsidRPr="007303D6">
        <w:rPr>
          <w:noProof/>
        </w:rPr>
        <w:t>(%)</w:t>
      </w:r>
    </w:p>
    <w:tbl>
      <w:tblPr>
        <w:tblW w:w="0" w:type="auto"/>
        <w:tblLook w:val="04A0" w:firstRow="1" w:lastRow="0" w:firstColumn="1" w:lastColumn="0" w:noHBand="0" w:noVBand="1"/>
      </w:tblPr>
      <w:tblGrid>
        <w:gridCol w:w="1237"/>
        <w:gridCol w:w="616"/>
        <w:gridCol w:w="616"/>
        <w:gridCol w:w="616"/>
        <w:gridCol w:w="616"/>
        <w:gridCol w:w="616"/>
        <w:gridCol w:w="616"/>
        <w:gridCol w:w="616"/>
        <w:gridCol w:w="616"/>
        <w:gridCol w:w="616"/>
        <w:gridCol w:w="616"/>
        <w:gridCol w:w="616"/>
      </w:tblGrid>
      <w:tr w:rsidR="00981833" w:rsidRPr="00B4481C" w14:paraId="444AFA54" w14:textId="77777777" w:rsidTr="004B7446">
        <w:trPr>
          <w:trHeight w:val="315"/>
        </w:trPr>
        <w:tc>
          <w:tcPr>
            <w:tcW w:w="0" w:type="auto"/>
            <w:tcBorders>
              <w:top w:val="nil"/>
              <w:left w:val="nil"/>
              <w:bottom w:val="single" w:sz="8" w:space="0" w:color="00B0F0"/>
              <w:right w:val="nil"/>
            </w:tcBorders>
            <w:noWrap/>
            <w:vAlign w:val="center"/>
            <w:hideMark/>
          </w:tcPr>
          <w:p w14:paraId="7743A208" w14:textId="77777777" w:rsidR="00981833" w:rsidRPr="00B4481C" w:rsidRDefault="00981833">
            <w:pPr>
              <w:spacing w:after="0"/>
              <w:jc w:val="left"/>
              <w:rPr>
                <w:rFonts w:eastAsia="Times New Roman"/>
                <w:b/>
                <w:bCs/>
                <w:noProof/>
                <w:color w:val="000000"/>
                <w:sz w:val="20"/>
                <w:szCs w:val="20"/>
                <w:lang w:val="en-US"/>
              </w:rPr>
            </w:pPr>
            <w:r w:rsidRPr="00B4481C">
              <w:rPr>
                <w:rFonts w:eastAsia="Times New Roman"/>
                <w:b/>
                <w:bCs/>
                <w:noProof/>
                <w:color w:val="000000"/>
                <w:sz w:val="20"/>
                <w:szCs w:val="20"/>
                <w:lang w:val="en-IE"/>
              </w:rPr>
              <w:t xml:space="preserve">Segment </w:t>
            </w:r>
          </w:p>
        </w:tc>
        <w:tc>
          <w:tcPr>
            <w:tcW w:w="0" w:type="auto"/>
            <w:tcBorders>
              <w:top w:val="nil"/>
              <w:left w:val="nil"/>
              <w:bottom w:val="single" w:sz="8" w:space="0" w:color="00B0F0"/>
              <w:right w:val="nil"/>
            </w:tcBorders>
            <w:noWrap/>
            <w:vAlign w:val="center"/>
            <w:hideMark/>
          </w:tcPr>
          <w:p w14:paraId="78ABF56E"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2025</w:t>
            </w:r>
          </w:p>
        </w:tc>
        <w:tc>
          <w:tcPr>
            <w:tcW w:w="0" w:type="auto"/>
            <w:tcBorders>
              <w:top w:val="nil"/>
              <w:left w:val="nil"/>
              <w:bottom w:val="single" w:sz="8" w:space="0" w:color="00B0F0"/>
              <w:right w:val="nil"/>
            </w:tcBorders>
            <w:noWrap/>
            <w:vAlign w:val="center"/>
            <w:hideMark/>
          </w:tcPr>
          <w:p w14:paraId="77F365C8"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2026</w:t>
            </w:r>
          </w:p>
        </w:tc>
        <w:tc>
          <w:tcPr>
            <w:tcW w:w="0" w:type="auto"/>
            <w:tcBorders>
              <w:top w:val="nil"/>
              <w:left w:val="nil"/>
              <w:bottom w:val="single" w:sz="8" w:space="0" w:color="00B0F0"/>
              <w:right w:val="nil"/>
            </w:tcBorders>
            <w:noWrap/>
            <w:vAlign w:val="center"/>
            <w:hideMark/>
          </w:tcPr>
          <w:p w14:paraId="4F94AE5B"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2027</w:t>
            </w:r>
          </w:p>
        </w:tc>
        <w:tc>
          <w:tcPr>
            <w:tcW w:w="0" w:type="auto"/>
            <w:tcBorders>
              <w:top w:val="nil"/>
              <w:left w:val="nil"/>
              <w:bottom w:val="single" w:sz="8" w:space="0" w:color="00B0F0"/>
              <w:right w:val="nil"/>
            </w:tcBorders>
            <w:noWrap/>
            <w:vAlign w:val="center"/>
            <w:hideMark/>
          </w:tcPr>
          <w:p w14:paraId="15F1A6E9"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2028</w:t>
            </w:r>
          </w:p>
        </w:tc>
        <w:tc>
          <w:tcPr>
            <w:tcW w:w="0" w:type="auto"/>
            <w:tcBorders>
              <w:top w:val="nil"/>
              <w:left w:val="nil"/>
              <w:bottom w:val="single" w:sz="8" w:space="0" w:color="00B0F0"/>
              <w:right w:val="nil"/>
            </w:tcBorders>
            <w:noWrap/>
            <w:vAlign w:val="center"/>
            <w:hideMark/>
          </w:tcPr>
          <w:p w14:paraId="729D07EA"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2029</w:t>
            </w:r>
          </w:p>
        </w:tc>
        <w:tc>
          <w:tcPr>
            <w:tcW w:w="0" w:type="auto"/>
            <w:tcBorders>
              <w:top w:val="nil"/>
              <w:left w:val="nil"/>
              <w:bottom w:val="single" w:sz="8" w:space="0" w:color="00B0F0"/>
              <w:right w:val="nil"/>
            </w:tcBorders>
            <w:noWrap/>
            <w:vAlign w:val="center"/>
            <w:hideMark/>
          </w:tcPr>
          <w:p w14:paraId="0D45A2F5"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2030</w:t>
            </w:r>
          </w:p>
        </w:tc>
        <w:tc>
          <w:tcPr>
            <w:tcW w:w="0" w:type="auto"/>
            <w:tcBorders>
              <w:top w:val="nil"/>
              <w:left w:val="nil"/>
              <w:bottom w:val="single" w:sz="8" w:space="0" w:color="00B0F0"/>
              <w:right w:val="nil"/>
            </w:tcBorders>
            <w:noWrap/>
            <w:vAlign w:val="center"/>
            <w:hideMark/>
          </w:tcPr>
          <w:p w14:paraId="438949BA"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2031</w:t>
            </w:r>
          </w:p>
        </w:tc>
        <w:tc>
          <w:tcPr>
            <w:tcW w:w="0" w:type="auto"/>
            <w:tcBorders>
              <w:top w:val="nil"/>
              <w:left w:val="nil"/>
              <w:bottom w:val="single" w:sz="8" w:space="0" w:color="00B0F0"/>
              <w:right w:val="nil"/>
            </w:tcBorders>
            <w:noWrap/>
            <w:vAlign w:val="center"/>
            <w:hideMark/>
          </w:tcPr>
          <w:p w14:paraId="04DE2B4E"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2032</w:t>
            </w:r>
          </w:p>
        </w:tc>
        <w:tc>
          <w:tcPr>
            <w:tcW w:w="0" w:type="auto"/>
            <w:tcBorders>
              <w:top w:val="nil"/>
              <w:left w:val="nil"/>
              <w:bottom w:val="single" w:sz="8" w:space="0" w:color="00B0F0"/>
              <w:right w:val="nil"/>
            </w:tcBorders>
            <w:noWrap/>
            <w:vAlign w:val="center"/>
            <w:hideMark/>
          </w:tcPr>
          <w:p w14:paraId="5A3014CB"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2033</w:t>
            </w:r>
          </w:p>
        </w:tc>
        <w:tc>
          <w:tcPr>
            <w:tcW w:w="0" w:type="auto"/>
            <w:tcBorders>
              <w:top w:val="nil"/>
              <w:left w:val="nil"/>
              <w:bottom w:val="single" w:sz="8" w:space="0" w:color="00B0F0"/>
              <w:right w:val="nil"/>
            </w:tcBorders>
            <w:noWrap/>
            <w:vAlign w:val="center"/>
            <w:hideMark/>
          </w:tcPr>
          <w:p w14:paraId="019A9833"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2034</w:t>
            </w:r>
          </w:p>
        </w:tc>
        <w:tc>
          <w:tcPr>
            <w:tcW w:w="0" w:type="auto"/>
            <w:tcBorders>
              <w:top w:val="nil"/>
              <w:left w:val="nil"/>
              <w:bottom w:val="single" w:sz="8" w:space="0" w:color="00B0F0"/>
              <w:right w:val="nil"/>
            </w:tcBorders>
            <w:noWrap/>
            <w:vAlign w:val="center"/>
            <w:hideMark/>
          </w:tcPr>
          <w:p w14:paraId="22CD97F3" w14:textId="77777777" w:rsidR="00981833" w:rsidRPr="00B4481C" w:rsidRDefault="00981833">
            <w:pPr>
              <w:spacing w:after="0"/>
              <w:jc w:val="center"/>
              <w:rPr>
                <w:rFonts w:eastAsia="Times New Roman"/>
                <w:b/>
                <w:bCs/>
                <w:noProof/>
                <w:color w:val="000000"/>
                <w:sz w:val="20"/>
                <w:szCs w:val="20"/>
                <w:lang w:val="en-US"/>
              </w:rPr>
            </w:pPr>
            <w:r w:rsidRPr="00B4481C">
              <w:rPr>
                <w:rFonts w:eastAsia="Times New Roman"/>
                <w:b/>
                <w:bCs/>
                <w:noProof/>
                <w:color w:val="000000"/>
                <w:sz w:val="20"/>
                <w:szCs w:val="20"/>
                <w:lang w:val="en-IE"/>
              </w:rPr>
              <w:t>2035</w:t>
            </w:r>
          </w:p>
        </w:tc>
      </w:tr>
      <w:tr w:rsidR="00981833" w:rsidRPr="00B4481C" w14:paraId="6928A4CA" w14:textId="77777777" w:rsidTr="004B7446">
        <w:trPr>
          <w:trHeight w:val="300"/>
        </w:trPr>
        <w:tc>
          <w:tcPr>
            <w:tcW w:w="0" w:type="auto"/>
            <w:tcBorders>
              <w:top w:val="nil"/>
              <w:left w:val="nil"/>
              <w:bottom w:val="nil"/>
              <w:right w:val="nil"/>
            </w:tcBorders>
            <w:noWrap/>
            <w:vAlign w:val="bottom"/>
            <w:hideMark/>
          </w:tcPr>
          <w:p w14:paraId="0B723E93" w14:textId="77777777" w:rsidR="00981833" w:rsidRPr="00D75A04" w:rsidRDefault="00981833">
            <w:pPr>
              <w:spacing w:after="0"/>
              <w:jc w:val="left"/>
              <w:rPr>
                <w:rFonts w:eastAsia="Times New Roman"/>
                <w:noProof/>
                <w:color w:val="000000"/>
                <w:sz w:val="22"/>
                <w:szCs w:val="22"/>
                <w:lang w:val="en-US"/>
              </w:rPr>
            </w:pPr>
            <w:r w:rsidRPr="00D75A04">
              <w:rPr>
                <w:rFonts w:eastAsia="Times New Roman"/>
                <w:noProof/>
                <w:color w:val="000000"/>
                <w:sz w:val="22"/>
                <w:szCs w:val="22"/>
                <w:lang w:val="en-US"/>
              </w:rPr>
              <w:t>Total Share</w:t>
            </w:r>
          </w:p>
        </w:tc>
        <w:tc>
          <w:tcPr>
            <w:tcW w:w="0" w:type="auto"/>
            <w:tcBorders>
              <w:top w:val="nil"/>
              <w:left w:val="nil"/>
              <w:bottom w:val="nil"/>
              <w:right w:val="nil"/>
            </w:tcBorders>
            <w:shd w:val="clear" w:color="000000" w:fill="D9D9D9"/>
            <w:noWrap/>
            <w:vAlign w:val="center"/>
            <w:hideMark/>
          </w:tcPr>
          <w:p w14:paraId="38D7454D" w14:textId="34A21323" w:rsidR="00981833" w:rsidRPr="00D96BF5" w:rsidRDefault="00981833">
            <w:pPr>
              <w:spacing w:after="0"/>
              <w:rPr>
                <w:rFonts w:eastAsia="Times New Roman"/>
                <w:noProof/>
                <w:color w:val="000000"/>
                <w:sz w:val="20"/>
                <w:szCs w:val="20"/>
                <w:lang w:val="en-US"/>
              </w:rPr>
            </w:pPr>
            <w:r w:rsidRPr="00D96BF5">
              <w:rPr>
                <w:rFonts w:eastAsia="Times New Roman"/>
                <w:noProof/>
                <w:color w:val="000000"/>
                <w:sz w:val="20"/>
                <w:szCs w:val="20"/>
                <w:lang w:val="en-US"/>
              </w:rPr>
              <w:t>15</w:t>
            </w:r>
            <w:r w:rsidR="00E74365">
              <w:rPr>
                <w:rFonts w:eastAsia="Times New Roman"/>
                <w:noProof/>
                <w:color w:val="000000"/>
                <w:sz w:val="20"/>
                <w:szCs w:val="20"/>
                <w:lang w:val="en-US"/>
              </w:rPr>
              <w:t>.</w:t>
            </w:r>
            <w:r w:rsidRPr="00D96BF5">
              <w:rPr>
                <w:rFonts w:eastAsia="Times New Roman"/>
                <w:noProof/>
                <w:color w:val="000000"/>
                <w:sz w:val="20"/>
                <w:szCs w:val="20"/>
                <w:lang w:val="en-US"/>
              </w:rPr>
              <w:t>0</w:t>
            </w:r>
          </w:p>
        </w:tc>
        <w:tc>
          <w:tcPr>
            <w:tcW w:w="0" w:type="auto"/>
            <w:tcBorders>
              <w:top w:val="nil"/>
              <w:left w:val="nil"/>
              <w:bottom w:val="nil"/>
              <w:right w:val="nil"/>
            </w:tcBorders>
            <w:shd w:val="clear" w:color="000000" w:fill="D9D9D9"/>
            <w:noWrap/>
            <w:vAlign w:val="center"/>
            <w:hideMark/>
          </w:tcPr>
          <w:p w14:paraId="358A61C8" w14:textId="5EC6FF39"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15</w:t>
            </w:r>
            <w:r w:rsidR="00E74365">
              <w:rPr>
                <w:rFonts w:eastAsia="Times New Roman"/>
                <w:noProof/>
                <w:color w:val="000000"/>
                <w:sz w:val="20"/>
                <w:szCs w:val="20"/>
                <w:lang w:val="en-US"/>
              </w:rPr>
              <w:t>.</w:t>
            </w:r>
            <w:r w:rsidRPr="00B4481C">
              <w:rPr>
                <w:rFonts w:eastAsia="Times New Roman"/>
                <w:noProof/>
                <w:color w:val="000000"/>
                <w:sz w:val="20"/>
                <w:szCs w:val="20"/>
                <w:lang w:val="en-US"/>
              </w:rPr>
              <w:t>9</w:t>
            </w:r>
          </w:p>
        </w:tc>
        <w:tc>
          <w:tcPr>
            <w:tcW w:w="0" w:type="auto"/>
            <w:tcBorders>
              <w:top w:val="nil"/>
              <w:left w:val="nil"/>
              <w:bottom w:val="nil"/>
              <w:right w:val="nil"/>
            </w:tcBorders>
            <w:shd w:val="clear" w:color="000000" w:fill="D9D9D9"/>
            <w:noWrap/>
            <w:vAlign w:val="center"/>
            <w:hideMark/>
          </w:tcPr>
          <w:p w14:paraId="18D60216" w14:textId="098B885C"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16</w:t>
            </w:r>
            <w:r w:rsidR="00E74365">
              <w:rPr>
                <w:rFonts w:eastAsia="Times New Roman"/>
                <w:noProof/>
                <w:color w:val="000000"/>
                <w:sz w:val="20"/>
                <w:szCs w:val="20"/>
                <w:lang w:val="en-US"/>
              </w:rPr>
              <w:t>.</w:t>
            </w:r>
            <w:r w:rsidRPr="00B4481C">
              <w:rPr>
                <w:rFonts w:eastAsia="Times New Roman"/>
                <w:noProof/>
                <w:color w:val="000000"/>
                <w:sz w:val="20"/>
                <w:szCs w:val="20"/>
                <w:lang w:val="en-US"/>
              </w:rPr>
              <w:t>8</w:t>
            </w:r>
          </w:p>
        </w:tc>
        <w:tc>
          <w:tcPr>
            <w:tcW w:w="0" w:type="auto"/>
            <w:tcBorders>
              <w:top w:val="nil"/>
              <w:left w:val="nil"/>
              <w:bottom w:val="nil"/>
              <w:right w:val="nil"/>
            </w:tcBorders>
            <w:shd w:val="clear" w:color="000000" w:fill="D9D9D9"/>
            <w:noWrap/>
            <w:vAlign w:val="center"/>
            <w:hideMark/>
          </w:tcPr>
          <w:p w14:paraId="651AC3F5" w14:textId="2F76DA2E"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17</w:t>
            </w:r>
            <w:r w:rsidR="00E74365">
              <w:rPr>
                <w:rFonts w:eastAsia="Times New Roman"/>
                <w:noProof/>
                <w:color w:val="000000"/>
                <w:sz w:val="20"/>
                <w:szCs w:val="20"/>
                <w:lang w:val="en-US"/>
              </w:rPr>
              <w:t>.</w:t>
            </w:r>
            <w:r w:rsidRPr="00B4481C">
              <w:rPr>
                <w:rFonts w:eastAsia="Times New Roman"/>
                <w:noProof/>
                <w:color w:val="000000"/>
                <w:sz w:val="20"/>
                <w:szCs w:val="20"/>
                <w:lang w:val="en-US"/>
              </w:rPr>
              <w:t>9</w:t>
            </w:r>
          </w:p>
        </w:tc>
        <w:tc>
          <w:tcPr>
            <w:tcW w:w="0" w:type="auto"/>
            <w:tcBorders>
              <w:top w:val="nil"/>
              <w:left w:val="nil"/>
              <w:bottom w:val="nil"/>
              <w:right w:val="nil"/>
            </w:tcBorders>
            <w:shd w:val="clear" w:color="000000" w:fill="D9D9D9"/>
            <w:noWrap/>
            <w:vAlign w:val="center"/>
            <w:hideMark/>
          </w:tcPr>
          <w:p w14:paraId="4EDC7029" w14:textId="50023953"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19</w:t>
            </w:r>
            <w:r w:rsidR="00E74365">
              <w:rPr>
                <w:rFonts w:eastAsia="Times New Roman"/>
                <w:noProof/>
                <w:color w:val="000000"/>
                <w:sz w:val="20"/>
                <w:szCs w:val="20"/>
                <w:lang w:val="en-US"/>
              </w:rPr>
              <w:t>.</w:t>
            </w:r>
            <w:r w:rsidRPr="00B4481C">
              <w:rPr>
                <w:rFonts w:eastAsia="Times New Roman"/>
                <w:noProof/>
                <w:color w:val="000000"/>
                <w:sz w:val="20"/>
                <w:szCs w:val="20"/>
                <w:lang w:val="en-US"/>
              </w:rPr>
              <w:t>0</w:t>
            </w:r>
          </w:p>
        </w:tc>
        <w:tc>
          <w:tcPr>
            <w:tcW w:w="0" w:type="auto"/>
            <w:tcBorders>
              <w:top w:val="nil"/>
              <w:left w:val="nil"/>
              <w:bottom w:val="nil"/>
              <w:right w:val="nil"/>
            </w:tcBorders>
            <w:shd w:val="clear" w:color="000000" w:fill="D9D9D9"/>
            <w:noWrap/>
            <w:vAlign w:val="center"/>
            <w:hideMark/>
          </w:tcPr>
          <w:p w14:paraId="79C7ACC8" w14:textId="758651E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20</w:t>
            </w:r>
            <w:r w:rsidR="00E74365">
              <w:rPr>
                <w:rFonts w:eastAsia="Times New Roman"/>
                <w:noProof/>
                <w:color w:val="000000"/>
                <w:sz w:val="20"/>
                <w:szCs w:val="20"/>
                <w:lang w:val="en-US"/>
              </w:rPr>
              <w:t>.</w:t>
            </w:r>
            <w:r w:rsidRPr="00B4481C">
              <w:rPr>
                <w:rFonts w:eastAsia="Times New Roman"/>
                <w:noProof/>
                <w:color w:val="000000"/>
                <w:sz w:val="20"/>
                <w:szCs w:val="20"/>
                <w:lang w:val="en-US"/>
              </w:rPr>
              <w:t>2</w:t>
            </w:r>
          </w:p>
        </w:tc>
        <w:tc>
          <w:tcPr>
            <w:tcW w:w="0" w:type="auto"/>
            <w:tcBorders>
              <w:top w:val="nil"/>
              <w:left w:val="nil"/>
              <w:bottom w:val="nil"/>
              <w:right w:val="nil"/>
            </w:tcBorders>
            <w:shd w:val="clear" w:color="000000" w:fill="D9D9D9"/>
            <w:noWrap/>
            <w:vAlign w:val="center"/>
            <w:hideMark/>
          </w:tcPr>
          <w:p w14:paraId="7C3C7754" w14:textId="172B234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21</w:t>
            </w:r>
            <w:r w:rsidR="00E74365">
              <w:rPr>
                <w:rFonts w:eastAsia="Times New Roman"/>
                <w:noProof/>
                <w:color w:val="000000"/>
                <w:sz w:val="20"/>
                <w:szCs w:val="20"/>
                <w:lang w:val="en-US"/>
              </w:rPr>
              <w:t>.</w:t>
            </w:r>
            <w:r w:rsidRPr="00B4481C">
              <w:rPr>
                <w:rFonts w:eastAsia="Times New Roman"/>
                <w:noProof/>
                <w:color w:val="000000"/>
                <w:sz w:val="20"/>
                <w:szCs w:val="20"/>
                <w:lang w:val="en-US"/>
              </w:rPr>
              <w:t>5</w:t>
            </w:r>
          </w:p>
        </w:tc>
        <w:tc>
          <w:tcPr>
            <w:tcW w:w="0" w:type="auto"/>
            <w:tcBorders>
              <w:top w:val="nil"/>
              <w:left w:val="nil"/>
              <w:bottom w:val="nil"/>
              <w:right w:val="nil"/>
            </w:tcBorders>
            <w:shd w:val="clear" w:color="000000" w:fill="D9D9D9"/>
            <w:noWrap/>
            <w:vAlign w:val="center"/>
            <w:hideMark/>
          </w:tcPr>
          <w:p w14:paraId="36BAC954" w14:textId="45A060E1"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23</w:t>
            </w:r>
            <w:r w:rsidR="00E74365">
              <w:rPr>
                <w:rFonts w:eastAsia="Times New Roman"/>
                <w:noProof/>
                <w:color w:val="000000"/>
                <w:sz w:val="20"/>
                <w:szCs w:val="20"/>
                <w:lang w:val="en-US"/>
              </w:rPr>
              <w:t>.</w:t>
            </w:r>
            <w:r w:rsidRPr="00B4481C">
              <w:rPr>
                <w:rFonts w:eastAsia="Times New Roman"/>
                <w:noProof/>
                <w:color w:val="000000"/>
                <w:sz w:val="20"/>
                <w:szCs w:val="20"/>
                <w:lang w:val="en-US"/>
              </w:rPr>
              <w:t>0</w:t>
            </w:r>
          </w:p>
        </w:tc>
        <w:tc>
          <w:tcPr>
            <w:tcW w:w="0" w:type="auto"/>
            <w:tcBorders>
              <w:top w:val="nil"/>
              <w:left w:val="nil"/>
              <w:bottom w:val="nil"/>
              <w:right w:val="nil"/>
            </w:tcBorders>
            <w:shd w:val="clear" w:color="000000" w:fill="D9D9D9"/>
            <w:noWrap/>
            <w:vAlign w:val="center"/>
            <w:hideMark/>
          </w:tcPr>
          <w:p w14:paraId="36CA6013" w14:textId="15C502DB"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24</w:t>
            </w:r>
            <w:r w:rsidR="00E74365">
              <w:rPr>
                <w:rFonts w:eastAsia="Times New Roman"/>
                <w:noProof/>
                <w:color w:val="000000"/>
                <w:sz w:val="20"/>
                <w:szCs w:val="20"/>
                <w:lang w:val="en-US"/>
              </w:rPr>
              <w:t>.</w:t>
            </w:r>
            <w:r w:rsidRPr="00B4481C">
              <w:rPr>
                <w:rFonts w:eastAsia="Times New Roman"/>
                <w:noProof/>
                <w:color w:val="000000"/>
                <w:sz w:val="20"/>
                <w:szCs w:val="20"/>
                <w:lang w:val="en-US"/>
              </w:rPr>
              <w:t>5</w:t>
            </w:r>
          </w:p>
        </w:tc>
        <w:tc>
          <w:tcPr>
            <w:tcW w:w="0" w:type="auto"/>
            <w:tcBorders>
              <w:top w:val="nil"/>
              <w:left w:val="nil"/>
              <w:bottom w:val="nil"/>
              <w:right w:val="nil"/>
            </w:tcBorders>
            <w:shd w:val="clear" w:color="000000" w:fill="D9D9D9"/>
            <w:noWrap/>
            <w:vAlign w:val="center"/>
            <w:hideMark/>
          </w:tcPr>
          <w:p w14:paraId="0CD49A76" w14:textId="1A5BB167"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26</w:t>
            </w:r>
            <w:r w:rsidR="00E74365">
              <w:rPr>
                <w:rFonts w:eastAsia="Times New Roman"/>
                <w:noProof/>
                <w:color w:val="000000"/>
                <w:sz w:val="20"/>
                <w:szCs w:val="20"/>
                <w:lang w:val="en-US"/>
              </w:rPr>
              <w:t>.</w:t>
            </w:r>
            <w:r w:rsidRPr="00B4481C">
              <w:rPr>
                <w:rFonts w:eastAsia="Times New Roman"/>
                <w:noProof/>
                <w:color w:val="000000"/>
                <w:sz w:val="20"/>
                <w:szCs w:val="20"/>
                <w:lang w:val="en-US"/>
              </w:rPr>
              <w:t>3</w:t>
            </w:r>
          </w:p>
        </w:tc>
        <w:tc>
          <w:tcPr>
            <w:tcW w:w="0" w:type="auto"/>
            <w:tcBorders>
              <w:top w:val="nil"/>
              <w:left w:val="nil"/>
              <w:bottom w:val="nil"/>
              <w:right w:val="nil"/>
            </w:tcBorders>
            <w:shd w:val="clear" w:color="000000" w:fill="D9D9D9"/>
            <w:noWrap/>
            <w:vAlign w:val="center"/>
            <w:hideMark/>
          </w:tcPr>
          <w:p w14:paraId="53366760" w14:textId="1E98ACD2" w:rsidR="00981833" w:rsidRPr="00B4481C" w:rsidRDefault="00981833">
            <w:pPr>
              <w:spacing w:after="0"/>
              <w:rPr>
                <w:rFonts w:eastAsia="Times New Roman"/>
                <w:noProof/>
                <w:color w:val="000000"/>
                <w:sz w:val="20"/>
                <w:szCs w:val="20"/>
                <w:lang w:val="en-US"/>
              </w:rPr>
            </w:pPr>
            <w:r w:rsidRPr="00B4481C">
              <w:rPr>
                <w:rFonts w:eastAsia="Times New Roman"/>
                <w:noProof/>
                <w:color w:val="000000"/>
                <w:sz w:val="20"/>
                <w:szCs w:val="20"/>
                <w:lang w:val="en-US"/>
              </w:rPr>
              <w:t>28</w:t>
            </w:r>
            <w:r w:rsidR="00E74365">
              <w:rPr>
                <w:rFonts w:eastAsia="Times New Roman"/>
                <w:noProof/>
                <w:color w:val="000000"/>
                <w:sz w:val="20"/>
                <w:szCs w:val="20"/>
                <w:lang w:val="en-US"/>
              </w:rPr>
              <w:t>.</w:t>
            </w:r>
            <w:r w:rsidRPr="00B4481C">
              <w:rPr>
                <w:rFonts w:eastAsia="Times New Roman"/>
                <w:noProof/>
                <w:color w:val="000000"/>
                <w:sz w:val="20"/>
                <w:szCs w:val="20"/>
                <w:lang w:val="en-US"/>
              </w:rPr>
              <w:t>2</w:t>
            </w:r>
          </w:p>
        </w:tc>
      </w:tr>
    </w:tbl>
    <w:p w14:paraId="5746CE32" w14:textId="77777777" w:rsidR="001E7774" w:rsidRDefault="001E7774" w:rsidP="0058769F">
      <w:pPr>
        <w:rPr>
          <w:noProof/>
          <w:lang w:val="en-IE"/>
        </w:rPr>
      </w:pPr>
    </w:p>
    <w:p w14:paraId="53CC0F9B" w14:textId="01B8043D" w:rsidR="00177179" w:rsidRPr="00423514" w:rsidRDefault="00177179" w:rsidP="001D7C55">
      <w:pPr>
        <w:rPr>
          <w:noProof/>
          <w:lang w:val="en-IE"/>
        </w:rPr>
        <w:sectPr w:rsidR="00177179" w:rsidRPr="00423514" w:rsidSect="009C6BBC">
          <w:headerReference w:type="even" r:id="rId29"/>
          <w:headerReference w:type="default" r:id="rId30"/>
          <w:footerReference w:type="even" r:id="rId31"/>
          <w:footerReference w:type="default" r:id="rId32"/>
          <w:headerReference w:type="first" r:id="rId33"/>
          <w:footerReference w:type="first" r:id="rId34"/>
          <w:pgSz w:w="11906" w:h="16838"/>
          <w:pgMar w:top="1020" w:right="1274" w:bottom="1020" w:left="1587" w:header="601" w:footer="893" w:gutter="0"/>
          <w:cols w:space="720"/>
          <w:titlePg/>
        </w:sectPr>
      </w:pPr>
    </w:p>
    <w:p w14:paraId="4E0BBF58" w14:textId="0A441982" w:rsidR="001D7C55" w:rsidRPr="001D7C55" w:rsidRDefault="001D7C55" w:rsidP="00EF3FBE">
      <w:pPr>
        <w:pStyle w:val="Heading1"/>
        <w:numPr>
          <w:ilvl w:val="0"/>
          <w:numId w:val="120"/>
        </w:numPr>
        <w:rPr>
          <w:noProof/>
          <w:lang w:val="en-IE"/>
        </w:rPr>
      </w:pPr>
      <w:bookmarkStart w:id="317" w:name="_Toc214519741"/>
      <w:bookmarkStart w:id="318" w:name="_Ref214538154"/>
      <w:bookmarkStart w:id="319" w:name="_Toc216283388"/>
      <w:bookmarkStart w:id="320" w:name="_Toc228346947"/>
      <w:r w:rsidRPr="001D7C55">
        <w:rPr>
          <w:noProof/>
          <w:lang w:val="en-IE"/>
        </w:rPr>
        <w:t xml:space="preserve">Types of </w:t>
      </w:r>
      <w:r w:rsidR="00EA3E11">
        <w:rPr>
          <w:noProof/>
          <w:lang w:val="en-IE"/>
        </w:rPr>
        <w:t>pr</w:t>
      </w:r>
      <w:r w:rsidR="00981175">
        <w:rPr>
          <w:noProof/>
          <w:lang w:val="en-IE"/>
        </w:rPr>
        <w:t>o</w:t>
      </w:r>
      <w:r w:rsidR="00EA3E11">
        <w:rPr>
          <w:noProof/>
          <w:lang w:val="en-IE"/>
        </w:rPr>
        <w:t>ced</w:t>
      </w:r>
      <w:r w:rsidR="00981175">
        <w:rPr>
          <w:noProof/>
          <w:lang w:val="en-IE"/>
        </w:rPr>
        <w:t>u</w:t>
      </w:r>
      <w:r w:rsidR="00EA3E11">
        <w:rPr>
          <w:noProof/>
          <w:lang w:val="en-IE"/>
        </w:rPr>
        <w:t xml:space="preserve">res, </w:t>
      </w:r>
      <w:r w:rsidRPr="001D7C55">
        <w:rPr>
          <w:noProof/>
          <w:lang w:val="en-IE"/>
        </w:rPr>
        <w:t xml:space="preserve">permits and </w:t>
      </w:r>
      <w:r w:rsidR="00EA3E11">
        <w:rPr>
          <w:noProof/>
          <w:lang w:val="en-IE"/>
        </w:rPr>
        <w:t xml:space="preserve">data centre deployment </w:t>
      </w:r>
      <w:r w:rsidRPr="001D7C55">
        <w:rPr>
          <w:noProof/>
          <w:lang w:val="en-IE"/>
        </w:rPr>
        <w:t>timeline</w:t>
      </w:r>
      <w:r w:rsidR="00EA3E11">
        <w:rPr>
          <w:noProof/>
          <w:lang w:val="en-IE"/>
        </w:rPr>
        <w:t>s</w:t>
      </w:r>
      <w:r w:rsidRPr="001D7C55">
        <w:rPr>
          <w:noProof/>
          <w:lang w:val="en-IE"/>
        </w:rPr>
        <w:t xml:space="preserve"> per M</w:t>
      </w:r>
      <w:r w:rsidR="00490A38">
        <w:rPr>
          <w:noProof/>
          <w:lang w:val="en-IE"/>
        </w:rPr>
        <w:t xml:space="preserve">ember </w:t>
      </w:r>
      <w:r w:rsidRPr="001D7C55">
        <w:rPr>
          <w:noProof/>
          <w:lang w:val="en-IE"/>
        </w:rPr>
        <w:t>S</w:t>
      </w:r>
      <w:bookmarkEnd w:id="317"/>
      <w:bookmarkEnd w:id="318"/>
      <w:r w:rsidR="00490A38">
        <w:rPr>
          <w:noProof/>
          <w:lang w:val="en-IE"/>
        </w:rPr>
        <w:t>tate</w:t>
      </w:r>
      <w:bookmarkEnd w:id="319"/>
      <w:bookmarkEnd w:id="320"/>
      <w:r w:rsidRPr="001D7C55">
        <w:rPr>
          <w:noProof/>
          <w:lang w:val="en-IE"/>
        </w:rPr>
        <w:t xml:space="preserve"> </w:t>
      </w:r>
    </w:p>
    <w:p w14:paraId="33B881F0" w14:textId="5F00643F" w:rsidR="001D7C55" w:rsidRPr="00A54618" w:rsidRDefault="001D7C55" w:rsidP="001D7C55">
      <w:pPr>
        <w:pStyle w:val="Caption"/>
        <w:keepNext/>
        <w:rPr>
          <w:noProof/>
        </w:rPr>
      </w:pPr>
      <w:bookmarkStart w:id="321" w:name="_Toc213440618"/>
      <w:r w:rsidRPr="00A54618">
        <w:rPr>
          <w:noProof/>
        </w:rPr>
        <w:t xml:space="preserve">Table </w:t>
      </w:r>
      <w:r w:rsidRPr="00A54618">
        <w:rPr>
          <w:noProof/>
        </w:rPr>
        <w:fldChar w:fldCharType="begin"/>
      </w:r>
      <w:r w:rsidRPr="00A54618">
        <w:rPr>
          <w:noProof/>
        </w:rPr>
        <w:instrText xml:space="preserve"> SEQ Table \* ARABIC </w:instrText>
      </w:r>
      <w:r w:rsidRPr="00A54618">
        <w:rPr>
          <w:noProof/>
        </w:rPr>
        <w:fldChar w:fldCharType="separate"/>
      </w:r>
      <w:r w:rsidR="000E7F11">
        <w:rPr>
          <w:noProof/>
        </w:rPr>
        <w:t>68</w:t>
      </w:r>
      <w:r w:rsidRPr="00A54618">
        <w:rPr>
          <w:noProof/>
        </w:rPr>
        <w:fldChar w:fldCharType="end"/>
      </w:r>
      <w:r w:rsidRPr="00A54618">
        <w:rPr>
          <w:noProof/>
        </w:rPr>
        <w:t xml:space="preserve">. Types of permits and timeline per MS selected </w:t>
      </w:r>
      <w:r w:rsidRPr="006C1F98">
        <w:rPr>
          <w:b w:val="0"/>
          <w:bCs/>
          <w:noProof/>
        </w:rPr>
        <w:t xml:space="preserve">(Source: </w:t>
      </w:r>
      <w:bookmarkEnd w:id="321"/>
      <w:r w:rsidR="004672D4" w:rsidRPr="006C1F98">
        <w:rPr>
          <w:b w:val="0"/>
          <w:bCs/>
          <w:noProof/>
        </w:rPr>
        <w:t>Technopolis et al. (2025</w:t>
      </w:r>
      <w:r w:rsidRPr="006C1F98">
        <w:rPr>
          <w:b w:val="0"/>
          <w:bCs/>
          <w:noProof/>
        </w:rPr>
        <w:t>)</w:t>
      </w:r>
      <w:r w:rsidR="004672D4" w:rsidRPr="006C1F98">
        <w:rPr>
          <w:b w:val="0"/>
          <w:bCs/>
          <w:noProof/>
        </w:rPr>
        <w:t>)</w:t>
      </w:r>
    </w:p>
    <w:tbl>
      <w:tblPr>
        <w:tblW w:w="0" w:type="auto"/>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1517"/>
        <w:gridCol w:w="2711"/>
        <w:gridCol w:w="3022"/>
        <w:gridCol w:w="2827"/>
        <w:gridCol w:w="3105"/>
        <w:gridCol w:w="1606"/>
      </w:tblGrid>
      <w:tr w:rsidR="001D7C55" w:rsidRPr="006C1F98" w14:paraId="4F6E4DCC" w14:textId="77777777" w:rsidTr="006C1F98">
        <w:trPr>
          <w:trHeight w:val="606"/>
          <w:tblHeader/>
        </w:trPr>
        <w:tc>
          <w:tcPr>
            <w:tcW w:w="0" w:type="auto"/>
            <w:shd w:val="clear" w:color="auto" w:fill="0070C0"/>
            <w:vAlign w:val="center"/>
          </w:tcPr>
          <w:p w14:paraId="485DAE67" w14:textId="77777777" w:rsidR="001D7C55" w:rsidRPr="006C1F98" w:rsidRDefault="001D7C55" w:rsidP="006C1F98">
            <w:pPr>
              <w:spacing w:after="0"/>
              <w:jc w:val="center"/>
              <w:rPr>
                <w:b/>
                <w:noProof/>
                <w:color w:val="FFFFFF"/>
                <w:sz w:val="22"/>
                <w:szCs w:val="22"/>
                <w:lang w:val="en-IE"/>
              </w:rPr>
            </w:pPr>
          </w:p>
          <w:p w14:paraId="4CF87391" w14:textId="77777777" w:rsidR="001D7C55" w:rsidRPr="006C1F98" w:rsidRDefault="001D7C55" w:rsidP="006C1F98">
            <w:pPr>
              <w:spacing w:after="0"/>
              <w:jc w:val="center"/>
              <w:rPr>
                <w:b/>
                <w:noProof/>
                <w:color w:val="FFFFFF"/>
                <w:sz w:val="22"/>
                <w:szCs w:val="22"/>
                <w:lang w:val="en-IE"/>
              </w:rPr>
            </w:pPr>
          </w:p>
        </w:tc>
        <w:tc>
          <w:tcPr>
            <w:tcW w:w="0" w:type="auto"/>
            <w:shd w:val="clear" w:color="auto" w:fill="0070C0"/>
            <w:vAlign w:val="center"/>
          </w:tcPr>
          <w:p w14:paraId="72766CD2" w14:textId="77777777" w:rsidR="001D7C55" w:rsidRPr="006C1F98" w:rsidRDefault="001D7C55" w:rsidP="006C1F98">
            <w:pPr>
              <w:spacing w:after="0"/>
              <w:jc w:val="center"/>
              <w:rPr>
                <w:b/>
                <w:noProof/>
                <w:color w:val="FFFFFF"/>
                <w:sz w:val="22"/>
                <w:szCs w:val="22"/>
                <w:lang w:val="en-IE"/>
              </w:rPr>
            </w:pPr>
            <w:r w:rsidRPr="006C1F98">
              <w:rPr>
                <w:b/>
                <w:noProof/>
                <w:color w:val="FFFFFF"/>
                <w:sz w:val="22"/>
                <w:szCs w:val="22"/>
                <w:lang w:val="en-IE"/>
              </w:rPr>
              <w:t>Zoning &amp; land allocation</w:t>
            </w:r>
          </w:p>
        </w:tc>
        <w:tc>
          <w:tcPr>
            <w:tcW w:w="0" w:type="auto"/>
            <w:shd w:val="clear" w:color="auto" w:fill="0070C0"/>
            <w:vAlign w:val="center"/>
          </w:tcPr>
          <w:p w14:paraId="4439AAC0" w14:textId="77777777" w:rsidR="001D7C55" w:rsidRPr="006C1F98" w:rsidRDefault="001D7C55" w:rsidP="006C1F98">
            <w:pPr>
              <w:spacing w:after="0"/>
              <w:jc w:val="center"/>
              <w:rPr>
                <w:b/>
                <w:noProof/>
                <w:color w:val="FFFFFF"/>
                <w:sz w:val="22"/>
                <w:szCs w:val="22"/>
                <w:lang w:val="en-IE"/>
              </w:rPr>
            </w:pPr>
            <w:r w:rsidRPr="006C1F98">
              <w:rPr>
                <w:b/>
                <w:noProof/>
                <w:color w:val="FFFFFF"/>
                <w:sz w:val="22"/>
                <w:szCs w:val="22"/>
                <w:lang w:val="en-IE"/>
              </w:rPr>
              <w:t>Building permit</w:t>
            </w:r>
          </w:p>
        </w:tc>
        <w:tc>
          <w:tcPr>
            <w:tcW w:w="0" w:type="auto"/>
            <w:shd w:val="clear" w:color="auto" w:fill="0070C0"/>
            <w:vAlign w:val="center"/>
          </w:tcPr>
          <w:p w14:paraId="73586854" w14:textId="55600AD1" w:rsidR="001D7C55" w:rsidRPr="006C1F98" w:rsidRDefault="001D7C55" w:rsidP="006C1F98">
            <w:pPr>
              <w:spacing w:after="0"/>
              <w:jc w:val="center"/>
              <w:rPr>
                <w:b/>
                <w:noProof/>
                <w:color w:val="FFFFFF"/>
                <w:sz w:val="22"/>
                <w:szCs w:val="22"/>
                <w:lang w:val="en-IE"/>
              </w:rPr>
            </w:pPr>
            <w:r w:rsidRPr="006C1F98">
              <w:rPr>
                <w:b/>
                <w:noProof/>
                <w:color w:val="FFFFFF"/>
                <w:sz w:val="22"/>
                <w:szCs w:val="22"/>
                <w:lang w:val="en-IE"/>
              </w:rPr>
              <w:t>Utilities &amp; grid connection</w:t>
            </w:r>
            <w:r w:rsidR="00AE5D56">
              <w:rPr>
                <w:rStyle w:val="FootnoteReference"/>
                <w:b/>
                <w:noProof/>
                <w:color w:val="FFFFFF"/>
                <w:sz w:val="22"/>
                <w:szCs w:val="22"/>
                <w:lang w:val="en-IE"/>
              </w:rPr>
              <w:footnoteReference w:id="115"/>
            </w:r>
          </w:p>
        </w:tc>
        <w:tc>
          <w:tcPr>
            <w:tcW w:w="0" w:type="auto"/>
            <w:shd w:val="clear" w:color="auto" w:fill="0070C0"/>
            <w:vAlign w:val="center"/>
          </w:tcPr>
          <w:p w14:paraId="21A763E4" w14:textId="77777777" w:rsidR="001D7C55" w:rsidRPr="006C1F98" w:rsidRDefault="001D7C55" w:rsidP="006C1F98">
            <w:pPr>
              <w:spacing w:after="0"/>
              <w:jc w:val="center"/>
              <w:rPr>
                <w:b/>
                <w:noProof/>
                <w:color w:val="FFFFFF"/>
                <w:sz w:val="22"/>
                <w:szCs w:val="22"/>
                <w:lang w:val="en-IE"/>
              </w:rPr>
            </w:pPr>
            <w:r w:rsidRPr="006C1F98">
              <w:rPr>
                <w:b/>
                <w:noProof/>
                <w:color w:val="FFFFFF"/>
                <w:sz w:val="22"/>
                <w:szCs w:val="22"/>
                <w:lang w:val="en-IE"/>
              </w:rPr>
              <w:t>Environmental permit/s</w:t>
            </w:r>
          </w:p>
        </w:tc>
        <w:tc>
          <w:tcPr>
            <w:tcW w:w="0" w:type="auto"/>
            <w:shd w:val="clear" w:color="auto" w:fill="0070C0"/>
            <w:vAlign w:val="center"/>
          </w:tcPr>
          <w:p w14:paraId="2DAFE198" w14:textId="77777777" w:rsidR="001D7C55" w:rsidRPr="006C1F98" w:rsidRDefault="001D7C55" w:rsidP="006C1F98">
            <w:pPr>
              <w:spacing w:after="0"/>
              <w:jc w:val="center"/>
              <w:rPr>
                <w:b/>
                <w:noProof/>
                <w:color w:val="FFFFFF"/>
                <w:sz w:val="22"/>
                <w:szCs w:val="22"/>
                <w:lang w:val="en-IE"/>
              </w:rPr>
            </w:pPr>
            <w:r w:rsidRPr="006C1F98">
              <w:rPr>
                <w:b/>
                <w:noProof/>
                <w:color w:val="FFFFFF"/>
                <w:sz w:val="22"/>
                <w:szCs w:val="22"/>
                <w:lang w:val="en-IE"/>
              </w:rPr>
              <w:t xml:space="preserve">Average timeline </w:t>
            </w:r>
            <w:r w:rsidRPr="006C1F98">
              <w:rPr>
                <w:bCs/>
                <w:noProof/>
                <w:color w:val="FFFFFF"/>
                <w:sz w:val="22"/>
                <w:szCs w:val="22"/>
                <w:lang w:val="en-IE"/>
              </w:rPr>
              <w:t>(months)</w:t>
            </w:r>
          </w:p>
        </w:tc>
      </w:tr>
      <w:tr w:rsidR="001D7C55" w:rsidRPr="006C1F98" w14:paraId="4DEBDDE8" w14:textId="77777777" w:rsidTr="006C1F98">
        <w:tc>
          <w:tcPr>
            <w:tcW w:w="0" w:type="auto"/>
            <w:vAlign w:val="center"/>
          </w:tcPr>
          <w:p w14:paraId="55AB732F" w14:textId="77777777" w:rsidR="001D7C55" w:rsidRPr="006C1F98" w:rsidRDefault="001D7C55" w:rsidP="006C1F98">
            <w:pPr>
              <w:spacing w:after="0"/>
              <w:rPr>
                <w:b/>
                <w:noProof/>
                <w:sz w:val="22"/>
                <w:szCs w:val="22"/>
                <w:lang w:val="en-IE"/>
              </w:rPr>
            </w:pPr>
            <w:r w:rsidRPr="006C1F98">
              <w:rPr>
                <w:b/>
                <w:noProof/>
                <w:sz w:val="22"/>
                <w:szCs w:val="22"/>
                <w:lang w:val="en-IE"/>
              </w:rPr>
              <w:t>Czech Republic</w:t>
            </w:r>
          </w:p>
          <w:p w14:paraId="2D6EB761" w14:textId="77777777" w:rsidR="001D7C55" w:rsidRPr="006C1F98" w:rsidRDefault="001D7C55" w:rsidP="006C1F98">
            <w:pPr>
              <w:spacing w:after="0"/>
              <w:rPr>
                <w:noProof/>
                <w:sz w:val="22"/>
                <w:szCs w:val="22"/>
                <w:lang w:val="en-IE"/>
              </w:rPr>
            </w:pPr>
          </w:p>
          <w:p w14:paraId="0B7DCDE5" w14:textId="77777777" w:rsidR="001D7C55" w:rsidRPr="006C1F98" w:rsidRDefault="001D7C55" w:rsidP="006C1F98">
            <w:pPr>
              <w:spacing w:after="0"/>
              <w:rPr>
                <w:noProof/>
                <w:sz w:val="22"/>
                <w:szCs w:val="22"/>
                <w:lang w:val="en-IE"/>
              </w:rPr>
            </w:pPr>
            <w:r w:rsidRPr="006C1F98">
              <w:rPr>
                <w:noProof/>
                <w:sz w:val="22"/>
                <w:szCs w:val="22"/>
                <w:lang w:val="en-IE"/>
              </w:rPr>
              <w:t>Prague</w:t>
            </w:r>
            <w:r w:rsidRPr="006C1F98">
              <w:rPr>
                <w:rStyle w:val="FootnoteReference"/>
                <w:noProof/>
                <w:sz w:val="22"/>
                <w:szCs w:val="22"/>
                <w:lang w:val="en-IE"/>
              </w:rPr>
              <w:footnoteReference w:id="116"/>
            </w:r>
            <w:r w:rsidRPr="006C1F98">
              <w:rPr>
                <w:noProof/>
                <w:sz w:val="22"/>
                <w:szCs w:val="22"/>
                <w:lang w:val="en-IE"/>
              </w:rPr>
              <w:t xml:space="preserve"> </w:t>
            </w:r>
            <w:r w:rsidRPr="006C1F98">
              <w:rPr>
                <w:rStyle w:val="FootnoteReference"/>
                <w:noProof/>
                <w:sz w:val="22"/>
                <w:szCs w:val="22"/>
                <w:lang w:val="en-IE"/>
              </w:rPr>
              <w:footnoteReference w:id="117"/>
            </w:r>
            <w:r w:rsidRPr="006C1F98">
              <w:rPr>
                <w:noProof/>
                <w:sz w:val="22"/>
                <w:szCs w:val="22"/>
                <w:lang w:val="en-IE"/>
              </w:rPr>
              <w:t xml:space="preserve"> </w:t>
            </w:r>
            <w:r w:rsidRPr="006C1F98">
              <w:rPr>
                <w:rStyle w:val="FootnoteReference"/>
                <w:noProof/>
                <w:sz w:val="22"/>
                <w:szCs w:val="22"/>
                <w:lang w:val="en-IE"/>
              </w:rPr>
              <w:footnoteReference w:id="118"/>
            </w:r>
          </w:p>
        </w:tc>
        <w:tc>
          <w:tcPr>
            <w:tcW w:w="0" w:type="auto"/>
            <w:vAlign w:val="center"/>
          </w:tcPr>
          <w:p w14:paraId="745092D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Zoning and land allocation for a data centre in Prague generally takes 6-12 months</w:t>
            </w:r>
          </w:p>
          <w:p w14:paraId="521F563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city’s zoning plan is updated quarterly or semi-annually. Incorporating changes into the valid zoning plan typically takes 1.5–2 months after approval by the city council</w:t>
            </w:r>
          </w:p>
        </w:tc>
        <w:tc>
          <w:tcPr>
            <w:tcW w:w="0" w:type="auto"/>
            <w:vAlign w:val="center"/>
          </w:tcPr>
          <w:p w14:paraId="173A8645" w14:textId="77777777" w:rsidR="001D7C55" w:rsidRPr="006C1F98" w:rsidRDefault="001D7C55" w:rsidP="006C1F98">
            <w:pPr>
              <w:spacing w:after="0"/>
              <w:ind w:left="-55"/>
              <w:rPr>
                <w:noProof/>
                <w:sz w:val="22"/>
                <w:szCs w:val="22"/>
                <w:lang w:val="en-IE"/>
              </w:rPr>
            </w:pPr>
            <w:r w:rsidRPr="006C1F98">
              <w:rPr>
                <w:noProof/>
                <w:sz w:val="22"/>
                <w:szCs w:val="22"/>
                <w:lang w:val="en-IE"/>
              </w:rPr>
              <w:t>From submission to the relevant Building Authority (stavební úřad) for general construction works to decision and issuance, it takes 6-12 months</w:t>
            </w:r>
          </w:p>
        </w:tc>
        <w:tc>
          <w:tcPr>
            <w:tcW w:w="0" w:type="auto"/>
            <w:vAlign w:val="center"/>
          </w:tcPr>
          <w:p w14:paraId="3B3DD132" w14:textId="77777777" w:rsidR="001D7C55" w:rsidRPr="006C1F98" w:rsidRDefault="001D7C55" w:rsidP="006C1F98">
            <w:pPr>
              <w:spacing w:after="0"/>
              <w:rPr>
                <w:noProof/>
                <w:sz w:val="22"/>
                <w:szCs w:val="22"/>
                <w:lang w:val="en-IE"/>
              </w:rPr>
            </w:pPr>
            <w:r w:rsidRPr="006C1F98">
              <w:rPr>
                <w:noProof/>
                <w:sz w:val="22"/>
                <w:szCs w:val="22"/>
                <w:lang w:val="en-IE"/>
              </w:rPr>
              <w:t>2 to 4 years for medium-sized projects, but can extend to 5 years or more for large-scale or high-capacity facilities</w:t>
            </w:r>
          </w:p>
        </w:tc>
        <w:tc>
          <w:tcPr>
            <w:tcW w:w="0" w:type="auto"/>
            <w:vAlign w:val="center"/>
          </w:tcPr>
          <w:p w14:paraId="4D8F339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Integrated into the permitting procedure under the new Building Act (effective July 2024)</w:t>
            </w:r>
          </w:p>
          <w:p w14:paraId="09BC270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EIA is required for large urban/industrial projects; national screening applies based on size/impact</w:t>
            </w:r>
          </w:p>
          <w:p w14:paraId="1232810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Screening and scoping take 30 days and the public consultation about 30 days. Then, the EIA authority issues a binding opinion on environmental impacts, which is incorporated into the joint building permit (~10 months total)</w:t>
            </w:r>
          </w:p>
        </w:tc>
        <w:tc>
          <w:tcPr>
            <w:tcW w:w="0" w:type="auto"/>
            <w:vAlign w:val="center"/>
          </w:tcPr>
          <w:p w14:paraId="368CAD94" w14:textId="77777777" w:rsidR="001D7C55" w:rsidRPr="006C1F98" w:rsidRDefault="001D7C55" w:rsidP="006C1F98">
            <w:pPr>
              <w:pStyle w:val="ListParagraph"/>
              <w:spacing w:after="0"/>
              <w:ind w:left="125"/>
              <w:jc w:val="center"/>
              <w:rPr>
                <w:noProof/>
                <w:sz w:val="22"/>
                <w:szCs w:val="22"/>
                <w:lang w:val="en-IE"/>
              </w:rPr>
            </w:pPr>
            <w:r w:rsidRPr="006C1F98">
              <w:rPr>
                <w:noProof/>
                <w:sz w:val="22"/>
                <w:szCs w:val="22"/>
                <w:lang w:val="en-IE"/>
              </w:rPr>
              <w:t>24 - 60</w:t>
            </w:r>
          </w:p>
        </w:tc>
      </w:tr>
      <w:tr w:rsidR="001D7C55" w:rsidRPr="006C1F98" w14:paraId="6E9C9AD6" w14:textId="77777777" w:rsidTr="006C1F98">
        <w:tc>
          <w:tcPr>
            <w:tcW w:w="0" w:type="auto"/>
            <w:vAlign w:val="center"/>
          </w:tcPr>
          <w:p w14:paraId="6CACF0A2" w14:textId="77777777" w:rsidR="001D7C55" w:rsidRPr="006C1F98" w:rsidRDefault="001D7C55" w:rsidP="006C1F98">
            <w:pPr>
              <w:spacing w:after="0"/>
              <w:rPr>
                <w:b/>
                <w:noProof/>
                <w:sz w:val="22"/>
                <w:szCs w:val="22"/>
                <w:lang w:val="en-IE"/>
              </w:rPr>
            </w:pPr>
            <w:r w:rsidRPr="006C1F98">
              <w:rPr>
                <w:b/>
                <w:noProof/>
                <w:sz w:val="22"/>
                <w:szCs w:val="22"/>
                <w:lang w:val="en-IE"/>
              </w:rPr>
              <w:t>Estonia</w:t>
            </w:r>
          </w:p>
          <w:p w14:paraId="41987182" w14:textId="77777777" w:rsidR="001D7C55" w:rsidRPr="006C1F98" w:rsidRDefault="001D7C55" w:rsidP="006C1F98">
            <w:pPr>
              <w:spacing w:after="0"/>
              <w:rPr>
                <w:b/>
                <w:noProof/>
                <w:sz w:val="22"/>
                <w:szCs w:val="22"/>
                <w:lang w:val="en-IE"/>
              </w:rPr>
            </w:pPr>
          </w:p>
          <w:p w14:paraId="10476F68" w14:textId="77777777" w:rsidR="001D7C55" w:rsidRPr="006C1F98" w:rsidRDefault="001D7C55" w:rsidP="006C1F98">
            <w:pPr>
              <w:spacing w:after="0"/>
              <w:rPr>
                <w:noProof/>
                <w:sz w:val="22"/>
                <w:szCs w:val="22"/>
                <w:lang w:val="en-IE"/>
              </w:rPr>
            </w:pPr>
            <w:r w:rsidRPr="006C1F98">
              <w:rPr>
                <w:noProof/>
                <w:sz w:val="22"/>
                <w:szCs w:val="22"/>
                <w:lang w:val="en-IE"/>
              </w:rPr>
              <w:t>Tallinn</w:t>
            </w:r>
            <w:r w:rsidRPr="006C1F98">
              <w:rPr>
                <w:rStyle w:val="FootnoteReference"/>
                <w:noProof/>
                <w:sz w:val="22"/>
                <w:szCs w:val="22"/>
                <w:lang w:val="en-IE"/>
              </w:rPr>
              <w:footnoteReference w:id="119"/>
            </w:r>
            <w:r w:rsidRPr="006C1F98">
              <w:rPr>
                <w:noProof/>
                <w:sz w:val="22"/>
                <w:szCs w:val="22"/>
                <w:lang w:val="en-IE"/>
              </w:rPr>
              <w:t xml:space="preserve"> </w:t>
            </w:r>
            <w:r w:rsidRPr="006C1F98">
              <w:rPr>
                <w:rStyle w:val="FootnoteReference"/>
                <w:noProof/>
                <w:sz w:val="22"/>
                <w:szCs w:val="22"/>
                <w:lang w:val="en-IE"/>
              </w:rPr>
              <w:footnoteReference w:id="120"/>
            </w:r>
            <w:r w:rsidRPr="006C1F98">
              <w:rPr>
                <w:noProof/>
                <w:sz w:val="22"/>
                <w:szCs w:val="22"/>
                <w:lang w:val="en-IE"/>
              </w:rPr>
              <w:t xml:space="preserve"> </w:t>
            </w:r>
            <w:r w:rsidRPr="006C1F98">
              <w:rPr>
                <w:rStyle w:val="FootnoteReference"/>
                <w:noProof/>
                <w:sz w:val="22"/>
                <w:szCs w:val="22"/>
                <w:lang w:val="en-IE"/>
              </w:rPr>
              <w:footnoteReference w:id="121"/>
            </w:r>
            <w:r w:rsidRPr="006C1F98">
              <w:rPr>
                <w:noProof/>
                <w:sz w:val="22"/>
                <w:szCs w:val="22"/>
                <w:lang w:val="en-IE"/>
              </w:rPr>
              <w:t xml:space="preserve"> </w:t>
            </w:r>
            <w:r w:rsidRPr="006C1F98">
              <w:rPr>
                <w:rStyle w:val="FootnoteReference"/>
                <w:noProof/>
                <w:sz w:val="22"/>
                <w:szCs w:val="22"/>
                <w:lang w:val="en-IE"/>
              </w:rPr>
              <w:footnoteReference w:id="122"/>
            </w:r>
            <w:r w:rsidRPr="006C1F98">
              <w:rPr>
                <w:noProof/>
                <w:sz w:val="22"/>
                <w:szCs w:val="22"/>
                <w:lang w:val="en-IE"/>
              </w:rPr>
              <w:t xml:space="preserve"> </w:t>
            </w:r>
            <w:r w:rsidRPr="006C1F98">
              <w:rPr>
                <w:rStyle w:val="FootnoteReference"/>
                <w:noProof/>
                <w:sz w:val="22"/>
                <w:szCs w:val="22"/>
                <w:lang w:val="en-IE"/>
              </w:rPr>
              <w:footnoteReference w:id="123"/>
            </w:r>
          </w:p>
        </w:tc>
        <w:tc>
          <w:tcPr>
            <w:tcW w:w="0" w:type="auto"/>
            <w:vAlign w:val="center"/>
          </w:tcPr>
          <w:p w14:paraId="1F89A0D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detailed spatial plan is required &lt;3 years</w:t>
            </w:r>
          </w:p>
          <w:p w14:paraId="7DEBB9C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only design specifications are needed ~30 days</w:t>
            </w:r>
          </w:p>
        </w:tc>
        <w:tc>
          <w:tcPr>
            <w:tcW w:w="0" w:type="auto"/>
            <w:vAlign w:val="center"/>
          </w:tcPr>
          <w:p w14:paraId="57423206" w14:textId="77777777" w:rsidR="001D7C55" w:rsidRPr="006C1F98" w:rsidRDefault="001D7C55" w:rsidP="006C1F98">
            <w:pPr>
              <w:spacing w:after="0"/>
              <w:ind w:left="-55"/>
              <w:rPr>
                <w:noProof/>
                <w:sz w:val="22"/>
                <w:szCs w:val="22"/>
                <w:lang w:val="en-IE"/>
              </w:rPr>
            </w:pPr>
            <w:r w:rsidRPr="006C1F98">
              <w:rPr>
                <w:noProof/>
                <w:sz w:val="22"/>
                <w:szCs w:val="22"/>
                <w:lang w:val="en-IE"/>
              </w:rPr>
              <w:t>From submission to the Tallinn Urban Planning Department to approval it takes 2-6 months</w:t>
            </w:r>
          </w:p>
        </w:tc>
        <w:tc>
          <w:tcPr>
            <w:tcW w:w="0" w:type="auto"/>
            <w:vAlign w:val="center"/>
          </w:tcPr>
          <w:p w14:paraId="2185F56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standard/small connection (&lt;2 MW) it takes 6–12 months</w:t>
            </w:r>
          </w:p>
          <w:p w14:paraId="2B247FD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large-scale/hyperscale projects (&gt;10 MW), it can take 1–3 years or more</w:t>
            </w:r>
          </w:p>
        </w:tc>
        <w:tc>
          <w:tcPr>
            <w:tcW w:w="0" w:type="auto"/>
            <w:vAlign w:val="center"/>
          </w:tcPr>
          <w:p w14:paraId="3248DB2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integrated into the permitting process, and its approval is a prerequisite for the building permit</w:t>
            </w:r>
          </w:p>
          <w:p w14:paraId="300D548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need for an EIA follows the EU EIA Directive: screening for Annex II projects (urban development/industrial zones)</w:t>
            </w:r>
          </w:p>
          <w:p w14:paraId="0A703FDF" w14:textId="77777777" w:rsidR="001D7C55" w:rsidRPr="006C1F98" w:rsidRDefault="001D7C55" w:rsidP="00744B72">
            <w:pPr>
              <w:pStyle w:val="ListParagraph"/>
              <w:numPr>
                <w:ilvl w:val="0"/>
                <w:numId w:val="29"/>
              </w:numPr>
              <w:spacing w:after="0"/>
              <w:ind w:left="125" w:hanging="180"/>
              <w:rPr>
                <w:noProof/>
                <w:sz w:val="22"/>
                <w:szCs w:val="22"/>
              </w:rPr>
            </w:pPr>
            <w:r w:rsidRPr="006C1F98">
              <w:rPr>
                <w:noProof/>
                <w:sz w:val="22"/>
                <w:szCs w:val="22"/>
              </w:rPr>
              <w:t>If needed, the Environmental Board (Ministry of Environment for large projects) determines if an EIA is required (30 days), the scoping and EI study take 6-12 months. Then there is a public consultation (30 days) and the approval comes 3-6 months after it</w:t>
            </w:r>
          </w:p>
          <w:p w14:paraId="0F4F016A"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developer then must submit again the building permit application to the local municipality after EIA approval (1-3 months in practice)</w:t>
            </w:r>
          </w:p>
          <w:p w14:paraId="64F60A3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Total duration is 11-24 months</w:t>
            </w:r>
          </w:p>
        </w:tc>
        <w:tc>
          <w:tcPr>
            <w:tcW w:w="0" w:type="auto"/>
            <w:vAlign w:val="center"/>
          </w:tcPr>
          <w:p w14:paraId="4DF29721"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6-24</w:t>
            </w:r>
          </w:p>
        </w:tc>
      </w:tr>
      <w:tr w:rsidR="001D7C55" w:rsidRPr="006C1F98" w14:paraId="74FCC684" w14:textId="77777777" w:rsidTr="006C1F98">
        <w:tc>
          <w:tcPr>
            <w:tcW w:w="0" w:type="auto"/>
            <w:vAlign w:val="center"/>
          </w:tcPr>
          <w:p w14:paraId="08ECF962" w14:textId="77777777" w:rsidR="001D7C55" w:rsidRPr="006C1F98" w:rsidRDefault="001D7C55" w:rsidP="006C1F98">
            <w:pPr>
              <w:spacing w:after="0"/>
              <w:rPr>
                <w:b/>
                <w:noProof/>
                <w:sz w:val="22"/>
                <w:szCs w:val="22"/>
                <w:lang w:val="en-IE"/>
              </w:rPr>
            </w:pPr>
            <w:r w:rsidRPr="006C1F98">
              <w:rPr>
                <w:b/>
                <w:noProof/>
                <w:sz w:val="22"/>
                <w:szCs w:val="22"/>
                <w:lang w:val="en-IE"/>
              </w:rPr>
              <w:t>France</w:t>
            </w:r>
          </w:p>
          <w:p w14:paraId="0627DEF9" w14:textId="77777777" w:rsidR="001D7C55" w:rsidRPr="006C1F98" w:rsidRDefault="001D7C55" w:rsidP="006C1F98">
            <w:pPr>
              <w:spacing w:after="0"/>
              <w:rPr>
                <w:noProof/>
                <w:sz w:val="22"/>
                <w:szCs w:val="22"/>
                <w:lang w:val="en-IE"/>
              </w:rPr>
            </w:pPr>
          </w:p>
          <w:p w14:paraId="42A1BD0A" w14:textId="77777777" w:rsidR="001D7C55" w:rsidRPr="006C1F98" w:rsidRDefault="001D7C55" w:rsidP="006C1F98">
            <w:pPr>
              <w:spacing w:after="0"/>
              <w:rPr>
                <w:b/>
                <w:noProof/>
                <w:sz w:val="22"/>
                <w:szCs w:val="22"/>
                <w:lang w:val="en-IE"/>
              </w:rPr>
            </w:pPr>
            <w:r w:rsidRPr="006C1F98">
              <w:rPr>
                <w:noProof/>
                <w:sz w:val="22"/>
                <w:szCs w:val="22"/>
                <w:lang w:val="en-IE"/>
              </w:rPr>
              <w:t>Paris</w:t>
            </w:r>
            <w:r w:rsidRPr="006C1F98">
              <w:rPr>
                <w:rStyle w:val="FootnoteReference"/>
                <w:noProof/>
                <w:sz w:val="22"/>
                <w:szCs w:val="22"/>
                <w:lang w:val="en-IE"/>
              </w:rPr>
              <w:footnoteReference w:id="124"/>
            </w:r>
            <w:r w:rsidRPr="006C1F98">
              <w:rPr>
                <w:noProof/>
                <w:sz w:val="22"/>
                <w:szCs w:val="22"/>
                <w:lang w:val="en-IE"/>
              </w:rPr>
              <w:t xml:space="preserve"> </w:t>
            </w:r>
            <w:r w:rsidRPr="006C1F98">
              <w:rPr>
                <w:rStyle w:val="FootnoteReference"/>
                <w:noProof/>
                <w:sz w:val="22"/>
                <w:szCs w:val="22"/>
                <w:lang w:val="en-IE"/>
              </w:rPr>
              <w:footnoteReference w:id="125"/>
            </w:r>
            <w:r w:rsidRPr="006C1F98">
              <w:rPr>
                <w:noProof/>
                <w:sz w:val="22"/>
                <w:szCs w:val="22"/>
                <w:lang w:val="en-IE"/>
              </w:rPr>
              <w:t xml:space="preserve"> </w:t>
            </w:r>
            <w:r w:rsidRPr="006C1F98">
              <w:rPr>
                <w:rStyle w:val="FootnoteReference"/>
                <w:noProof/>
                <w:sz w:val="22"/>
                <w:szCs w:val="22"/>
                <w:lang w:val="en-IE"/>
              </w:rPr>
              <w:footnoteReference w:id="126"/>
            </w:r>
            <w:r w:rsidRPr="006C1F98">
              <w:rPr>
                <w:noProof/>
                <w:sz w:val="22"/>
                <w:szCs w:val="22"/>
                <w:lang w:val="en-IE"/>
              </w:rPr>
              <w:t xml:space="preserve"> </w:t>
            </w:r>
            <w:r w:rsidRPr="006C1F98">
              <w:rPr>
                <w:rStyle w:val="FootnoteReference"/>
                <w:noProof/>
                <w:sz w:val="22"/>
                <w:szCs w:val="22"/>
                <w:lang w:val="en-IE"/>
              </w:rPr>
              <w:footnoteReference w:id="127"/>
            </w:r>
            <w:r w:rsidRPr="006C1F98">
              <w:rPr>
                <w:noProof/>
                <w:sz w:val="22"/>
                <w:szCs w:val="22"/>
                <w:lang w:val="en-IE"/>
              </w:rPr>
              <w:t xml:space="preserve"> </w:t>
            </w:r>
            <w:r w:rsidRPr="006C1F98">
              <w:rPr>
                <w:rStyle w:val="FootnoteReference"/>
                <w:noProof/>
                <w:sz w:val="22"/>
                <w:szCs w:val="22"/>
                <w:lang w:val="en-IE"/>
              </w:rPr>
              <w:footnoteReference w:id="128"/>
            </w:r>
          </w:p>
        </w:tc>
        <w:tc>
          <w:tcPr>
            <w:tcW w:w="0" w:type="auto"/>
            <w:vAlign w:val="center"/>
          </w:tcPr>
          <w:p w14:paraId="51DE068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land is already zoned for warehouse/data centre use, allocation takes weeks to months</w:t>
            </w:r>
          </w:p>
          <w:p w14:paraId="4DACE6A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zoning change is needed: 12–18+ months</w:t>
            </w:r>
          </w:p>
          <w:p w14:paraId="7D1928F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Large projects require additional regional approval, adding up to 3 months</w:t>
            </w:r>
          </w:p>
        </w:tc>
        <w:tc>
          <w:tcPr>
            <w:tcW w:w="0" w:type="auto"/>
            <w:vAlign w:val="center"/>
          </w:tcPr>
          <w:p w14:paraId="4945BAEA"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From the application electronically to the Paris City Hall (Basu office) to approval takes average 3-6 months</w:t>
            </w:r>
          </w:p>
          <w:p w14:paraId="1320709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project triggers environmental thresholds, an EIA is required by DRIEAT (Regional Directorate for the Environment, Planning, and Housing), bringing up the duration to 6-18 months</w:t>
            </w:r>
          </w:p>
        </w:tc>
        <w:tc>
          <w:tcPr>
            <w:tcW w:w="0" w:type="auto"/>
            <w:vAlign w:val="center"/>
          </w:tcPr>
          <w:p w14:paraId="5E8AF7B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Standard grid connections with RTE/Enedis takes 1.5–3 years</w:t>
            </w:r>
          </w:p>
          <w:p w14:paraId="144DF23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On utility-ready/pre-connected sites, time is under 1.5 years</w:t>
            </w:r>
          </w:p>
          <w:p w14:paraId="0D50D29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large or complex projects timeline may exceed 3 years</w:t>
            </w:r>
          </w:p>
        </w:tc>
        <w:tc>
          <w:tcPr>
            <w:tcW w:w="0" w:type="auto"/>
            <w:vAlign w:val="center"/>
          </w:tcPr>
          <w:p w14:paraId="70AB925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EIA must be done before the building permit is granted, if required</w:t>
            </w:r>
          </w:p>
          <w:p w14:paraId="011A093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EIA is required if emergency generators exceed 50 MW thermal output</w:t>
            </w:r>
          </w:p>
          <w:p w14:paraId="5EE1704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Initial screening takes 1 month, whereas the EI study preparation takes 612 months</w:t>
            </w:r>
          </w:p>
          <w:p w14:paraId="099C5A9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Once the public consultation starts (30 days), the approval comes 3-6 months after</w:t>
            </w:r>
          </w:p>
          <w:p w14:paraId="4E4B094C"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After EIA approval, the developer submits the building permit application to Basu office</w:t>
            </w:r>
          </w:p>
          <w:p w14:paraId="2FB0914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Total duration is 13-32 months</w:t>
            </w:r>
          </w:p>
        </w:tc>
        <w:tc>
          <w:tcPr>
            <w:tcW w:w="0" w:type="auto"/>
            <w:vAlign w:val="center"/>
          </w:tcPr>
          <w:p w14:paraId="23C26DD8"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24 - 60</w:t>
            </w:r>
          </w:p>
        </w:tc>
      </w:tr>
      <w:tr w:rsidR="001D7C55" w:rsidRPr="006C1F98" w14:paraId="0544E7A9" w14:textId="77777777" w:rsidTr="006C1F98">
        <w:tc>
          <w:tcPr>
            <w:tcW w:w="0" w:type="auto"/>
            <w:vAlign w:val="center"/>
          </w:tcPr>
          <w:p w14:paraId="2058A7FF" w14:textId="77777777" w:rsidR="001D7C55" w:rsidRPr="006C1F98" w:rsidRDefault="001D7C55" w:rsidP="006C1F98">
            <w:pPr>
              <w:spacing w:after="0"/>
              <w:rPr>
                <w:b/>
                <w:noProof/>
                <w:sz w:val="22"/>
                <w:szCs w:val="22"/>
                <w:lang w:val="en-IE"/>
              </w:rPr>
            </w:pPr>
            <w:r w:rsidRPr="006C1F98">
              <w:rPr>
                <w:b/>
                <w:noProof/>
                <w:sz w:val="22"/>
                <w:szCs w:val="22"/>
                <w:lang w:val="en-IE"/>
              </w:rPr>
              <w:t>Germany</w:t>
            </w:r>
          </w:p>
          <w:p w14:paraId="0431A6CD" w14:textId="77777777" w:rsidR="001D7C55" w:rsidRPr="006C1F98" w:rsidRDefault="001D7C55" w:rsidP="006C1F98">
            <w:pPr>
              <w:spacing w:after="0"/>
              <w:rPr>
                <w:b/>
                <w:noProof/>
                <w:sz w:val="22"/>
                <w:szCs w:val="22"/>
                <w:lang w:val="en-IE"/>
              </w:rPr>
            </w:pPr>
          </w:p>
          <w:p w14:paraId="7FD8ACAF" w14:textId="77777777" w:rsidR="001D7C55" w:rsidRPr="006C1F98" w:rsidRDefault="001D7C55" w:rsidP="006C1F98">
            <w:pPr>
              <w:spacing w:after="0"/>
              <w:rPr>
                <w:noProof/>
                <w:sz w:val="22"/>
                <w:szCs w:val="22"/>
                <w:lang w:val="en-IE"/>
              </w:rPr>
            </w:pPr>
            <w:r w:rsidRPr="006C1F98">
              <w:rPr>
                <w:noProof/>
                <w:sz w:val="22"/>
                <w:szCs w:val="22"/>
                <w:lang w:val="en-IE"/>
              </w:rPr>
              <w:t>Frankfurt</w:t>
            </w:r>
            <w:r w:rsidRPr="006C1F98">
              <w:rPr>
                <w:rStyle w:val="FootnoteReference"/>
                <w:noProof/>
                <w:sz w:val="22"/>
                <w:szCs w:val="22"/>
                <w:lang w:val="en-IE"/>
              </w:rPr>
              <w:footnoteReference w:id="129"/>
            </w:r>
            <w:r w:rsidRPr="006C1F98">
              <w:rPr>
                <w:noProof/>
                <w:sz w:val="22"/>
                <w:szCs w:val="22"/>
                <w:lang w:val="en-IE"/>
              </w:rPr>
              <w:t xml:space="preserve"> </w:t>
            </w:r>
            <w:r w:rsidRPr="006C1F98">
              <w:rPr>
                <w:rStyle w:val="FootnoteReference"/>
                <w:noProof/>
                <w:sz w:val="22"/>
                <w:szCs w:val="22"/>
                <w:lang w:val="en-IE"/>
              </w:rPr>
              <w:footnoteReference w:id="130"/>
            </w:r>
            <w:r w:rsidRPr="006C1F98">
              <w:rPr>
                <w:noProof/>
                <w:sz w:val="22"/>
                <w:szCs w:val="22"/>
                <w:lang w:val="en-IE"/>
              </w:rPr>
              <w:t xml:space="preserve"> </w:t>
            </w:r>
            <w:r w:rsidRPr="006C1F98">
              <w:rPr>
                <w:rStyle w:val="FootnoteReference"/>
                <w:noProof/>
                <w:sz w:val="22"/>
                <w:szCs w:val="22"/>
                <w:lang w:val="en-IE"/>
              </w:rPr>
              <w:footnoteReference w:id="131"/>
            </w:r>
            <w:r w:rsidRPr="006C1F98">
              <w:rPr>
                <w:noProof/>
                <w:sz w:val="22"/>
                <w:szCs w:val="22"/>
                <w:lang w:val="en-IE"/>
              </w:rPr>
              <w:t xml:space="preserve"> </w:t>
            </w:r>
            <w:r w:rsidRPr="006C1F98">
              <w:rPr>
                <w:rStyle w:val="FootnoteReference"/>
                <w:noProof/>
                <w:sz w:val="22"/>
                <w:szCs w:val="22"/>
                <w:lang w:val="en-IE"/>
              </w:rPr>
              <w:footnoteReference w:id="132"/>
            </w:r>
          </w:p>
        </w:tc>
        <w:tc>
          <w:tcPr>
            <w:tcW w:w="0" w:type="auto"/>
            <w:vAlign w:val="center"/>
          </w:tcPr>
          <w:p w14:paraId="3665A7D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Specific “suitability areas” (e.g., Sossenheim, Rödelheim, Griesheim, Gallus, Ostend, Fechenheim, Seckbach) where company-independent (cloud/colocation) data centres can be developed (outside these areas, new data centres are not permitted)</w:t>
            </w:r>
          </w:p>
          <w:p w14:paraId="74E4BD1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land is not zoned or is in a restricted/exclusion area (usually the case) a change or amendment to the development plan (Bebauungsplan) is required</w:t>
            </w:r>
          </w:p>
          <w:p w14:paraId="0637215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Amending or creating a new development plan involves public consultation, environmental review, and approval by city authorities, governed by the German Building Code (BauGB)</w:t>
            </w:r>
          </w:p>
          <w:p w14:paraId="0C0664A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Timeline is 6-12 months if there is land available in a suitability area and 1-2 years if a zoning plan amendment is required</w:t>
            </w:r>
          </w:p>
        </w:tc>
        <w:tc>
          <w:tcPr>
            <w:tcW w:w="0" w:type="auto"/>
            <w:vAlign w:val="center"/>
          </w:tcPr>
          <w:p w14:paraId="6C509CB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From the consultation with the City Planning Department (Stadtplanungsamt) and the Construction Supervisory Office (Bauaufsicht) to approval, most German states require the building permit to be granted within 6 months</w:t>
            </w:r>
          </w:p>
          <w:p w14:paraId="6B999D0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6–12 months is typical for well-prepared, straightforward projects in designated data centre zones</w:t>
            </w:r>
          </w:p>
          <w:p w14:paraId="7F291EE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More complex or incomplete applications, or those requiring additional permits or plan amendments, can take up to 12–18 months</w:t>
            </w:r>
          </w:p>
        </w:tc>
        <w:tc>
          <w:tcPr>
            <w:tcW w:w="0" w:type="auto"/>
            <w:vAlign w:val="center"/>
          </w:tcPr>
          <w:p w14:paraId="67947C2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Average waiting time for a new grid connection in Frankfurt (and for Germany)) is up to 7 years</w:t>
            </w:r>
          </w:p>
          <w:p w14:paraId="466AFEF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Only if grid connection has been pre-secured in suitability areas, it can take 6-12 months</w:t>
            </w:r>
          </w:p>
        </w:tc>
        <w:tc>
          <w:tcPr>
            <w:tcW w:w="0" w:type="auto"/>
            <w:vAlign w:val="center"/>
          </w:tcPr>
          <w:p w14:paraId="11C32E2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integrated into the building permit process and must be completed before the permit is granted</w:t>
            </w:r>
          </w:p>
          <w:p w14:paraId="07CF714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EIA is triggered if backup generators exceed 50 MW thermal capacity</w:t>
            </w:r>
          </w:p>
          <w:p w14:paraId="3C389C9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required, the steps involved screening (1-2 months), scoping and EIA report (6-12 months depending on complexity), public consultation (30 days), EIA approval (by the regional environmental authority, 3-6 months).</w:t>
            </w:r>
          </w:p>
          <w:p w14:paraId="62DBF56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After EIA approval, the developer submits the building permit application to the Frankfurt Construction Supervisory Office (Bauaufsicht)</w:t>
            </w:r>
          </w:p>
          <w:p w14:paraId="2B61E16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total timeline is 16-38 months</w:t>
            </w:r>
          </w:p>
        </w:tc>
        <w:tc>
          <w:tcPr>
            <w:tcW w:w="0" w:type="auto"/>
            <w:vAlign w:val="center"/>
          </w:tcPr>
          <w:p w14:paraId="65122C93"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24 - 84</w:t>
            </w:r>
          </w:p>
        </w:tc>
      </w:tr>
      <w:tr w:rsidR="001D7C55" w:rsidRPr="006C1F98" w14:paraId="3C4A03F7" w14:textId="77777777" w:rsidTr="006C1F98">
        <w:tc>
          <w:tcPr>
            <w:tcW w:w="0" w:type="auto"/>
            <w:vAlign w:val="center"/>
          </w:tcPr>
          <w:p w14:paraId="3F77F338" w14:textId="77777777" w:rsidR="001D7C55" w:rsidRPr="006C1F98" w:rsidRDefault="001D7C55" w:rsidP="006C1F98">
            <w:pPr>
              <w:spacing w:after="0"/>
              <w:rPr>
                <w:b/>
                <w:noProof/>
                <w:sz w:val="22"/>
                <w:szCs w:val="22"/>
                <w:lang w:val="en-IE"/>
              </w:rPr>
            </w:pPr>
            <w:r w:rsidRPr="006C1F98">
              <w:rPr>
                <w:b/>
                <w:noProof/>
                <w:sz w:val="22"/>
                <w:szCs w:val="22"/>
                <w:lang w:val="en-IE"/>
              </w:rPr>
              <w:t>Greece</w:t>
            </w:r>
          </w:p>
          <w:p w14:paraId="77BA875A" w14:textId="77777777" w:rsidR="001D7C55" w:rsidRPr="006C1F98" w:rsidRDefault="001D7C55" w:rsidP="006C1F98">
            <w:pPr>
              <w:spacing w:after="0"/>
              <w:rPr>
                <w:b/>
                <w:noProof/>
                <w:sz w:val="22"/>
                <w:szCs w:val="22"/>
                <w:lang w:val="en-IE"/>
              </w:rPr>
            </w:pPr>
          </w:p>
          <w:p w14:paraId="49E789FF" w14:textId="77777777" w:rsidR="001D7C55" w:rsidRPr="006C1F98" w:rsidRDefault="001D7C55" w:rsidP="006C1F98">
            <w:pPr>
              <w:spacing w:after="0"/>
              <w:rPr>
                <w:noProof/>
                <w:sz w:val="22"/>
                <w:szCs w:val="22"/>
                <w:lang w:val="en-IE"/>
              </w:rPr>
            </w:pPr>
            <w:r w:rsidRPr="006C1F98">
              <w:rPr>
                <w:noProof/>
                <w:sz w:val="22"/>
                <w:szCs w:val="22"/>
                <w:lang w:val="en-IE"/>
              </w:rPr>
              <w:t>Athens</w:t>
            </w:r>
            <w:r w:rsidRPr="006C1F98">
              <w:rPr>
                <w:rStyle w:val="FootnoteReference"/>
                <w:noProof/>
                <w:sz w:val="22"/>
                <w:szCs w:val="22"/>
                <w:lang w:val="en-IE"/>
              </w:rPr>
              <w:footnoteReference w:id="133"/>
            </w:r>
            <w:r w:rsidRPr="006C1F98">
              <w:rPr>
                <w:noProof/>
                <w:sz w:val="22"/>
                <w:szCs w:val="22"/>
                <w:lang w:val="en-IE"/>
              </w:rPr>
              <w:t xml:space="preserve"> </w:t>
            </w:r>
            <w:r w:rsidRPr="006C1F98">
              <w:rPr>
                <w:rStyle w:val="FootnoteReference"/>
                <w:noProof/>
                <w:sz w:val="22"/>
                <w:szCs w:val="22"/>
                <w:lang w:val="en-IE"/>
              </w:rPr>
              <w:footnoteReference w:id="134"/>
            </w:r>
            <w:r w:rsidRPr="006C1F98">
              <w:rPr>
                <w:noProof/>
                <w:sz w:val="22"/>
                <w:szCs w:val="22"/>
                <w:lang w:val="en-IE"/>
              </w:rPr>
              <w:t xml:space="preserve"> </w:t>
            </w:r>
            <w:r w:rsidRPr="006C1F98">
              <w:rPr>
                <w:rStyle w:val="FootnoteReference"/>
                <w:noProof/>
                <w:sz w:val="22"/>
                <w:szCs w:val="22"/>
                <w:lang w:val="en-IE"/>
              </w:rPr>
              <w:footnoteReference w:id="135"/>
            </w:r>
          </w:p>
        </w:tc>
        <w:tc>
          <w:tcPr>
            <w:tcW w:w="0" w:type="auto"/>
            <w:vAlign w:val="center"/>
          </w:tcPr>
          <w:p w14:paraId="52A5D0A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6–12 months is typical for site selection and confirming zoning if the site selected is suitable (industrial use)</w:t>
            </w:r>
          </w:p>
          <w:p w14:paraId="3E43834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zoning change or plan amendment is needed, timeline is 12–24 months</w:t>
            </w:r>
            <w:r w:rsidRPr="006C1F98">
              <w:rPr>
                <w:noProof/>
                <w:sz w:val="22"/>
                <w:szCs w:val="22"/>
                <w:lang w:val="en-IE"/>
              </w:rPr>
              <w:tab/>
            </w:r>
          </w:p>
        </w:tc>
        <w:tc>
          <w:tcPr>
            <w:tcW w:w="0" w:type="auto"/>
            <w:vAlign w:val="center"/>
          </w:tcPr>
          <w:p w14:paraId="3F0FC2A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entire application and issuance process is electronic via the TEE e-permit platform</w:t>
            </w:r>
          </w:p>
          <w:p w14:paraId="5AABAA0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2-6 months is typical for the building permit to be issued, provided all documentation is complete and the site is already zoned for data centre use</w:t>
            </w:r>
          </w:p>
          <w:p w14:paraId="06A5D5B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process can take 6-12 months or longer, especially if the site is in a sensitive area (archaeological or environmental assessments),  or if documentation is incomplete or needs revision</w:t>
            </w:r>
          </w:p>
        </w:tc>
        <w:tc>
          <w:tcPr>
            <w:tcW w:w="0" w:type="auto"/>
            <w:vAlign w:val="center"/>
          </w:tcPr>
          <w:p w14:paraId="230374F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Request must be submitted to the Independent Power Transmission Operator (IPTO/ΑΔΜΗΕ) for high-voltage connections, or to the Hellenic Electricity Distribution Network Operator (HEDNO/ΔΕΔΔΗΕ) for lower voltage</w:t>
            </w:r>
          </w:p>
          <w:p w14:paraId="56A9F74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most new data centre projects in Athens, the grid connection process—including application, technical studies, permitting, construction of substations or upgrades, and final commissioning—takes between 12-36 months</w:t>
            </w:r>
          </w:p>
          <w:p w14:paraId="51801B5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hyperscale or high-capacity data centres (e.g., 100 MW+), the timeline can be closer to the upper end (2–3 years)</w:t>
            </w:r>
          </w:p>
        </w:tc>
        <w:tc>
          <w:tcPr>
            <w:tcW w:w="0" w:type="auto"/>
            <w:vAlign w:val="center"/>
          </w:tcPr>
          <w:p w14:paraId="3AA5831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a prerequisite for the building permit. The building permit application cannot proceed until the EIA is approved</w:t>
            </w:r>
          </w:p>
          <w:p w14:paraId="7AA2E2D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Data centres with ≥2 MW capacity fall under environmental regulations and EIA is likely to be triggered if capacity is ≥20 MW</w:t>
            </w:r>
          </w:p>
          <w:p w14:paraId="55E4677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Ministry of Environment and Energy determines if an EIA is required based on project size, location, and potential impacts (1-2 months)</w:t>
            </w:r>
          </w:p>
          <w:p w14:paraId="3662C7C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following steps include scoping (1-3 months), EIA report (6-12 months), public consultation (1-3 months) and approval (3-6 months post-consultation)</w:t>
            </w:r>
          </w:p>
          <w:p w14:paraId="06960A7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Total timeline is 14-32 months</w:t>
            </w:r>
          </w:p>
        </w:tc>
        <w:tc>
          <w:tcPr>
            <w:tcW w:w="0" w:type="auto"/>
            <w:vAlign w:val="center"/>
          </w:tcPr>
          <w:p w14:paraId="451B1D90"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18 - 56</w:t>
            </w:r>
          </w:p>
        </w:tc>
      </w:tr>
      <w:tr w:rsidR="001D7C55" w:rsidRPr="006C1F98" w14:paraId="381C3926" w14:textId="77777777" w:rsidTr="006C1F98">
        <w:tc>
          <w:tcPr>
            <w:tcW w:w="0" w:type="auto"/>
            <w:vAlign w:val="center"/>
          </w:tcPr>
          <w:p w14:paraId="7E86EEB9" w14:textId="77777777" w:rsidR="001D7C55" w:rsidRPr="006C1F98" w:rsidRDefault="001D7C55" w:rsidP="006C1F98">
            <w:pPr>
              <w:spacing w:after="0"/>
              <w:rPr>
                <w:b/>
                <w:noProof/>
                <w:sz w:val="22"/>
                <w:szCs w:val="22"/>
                <w:lang w:val="en-IE"/>
              </w:rPr>
            </w:pPr>
            <w:r w:rsidRPr="006C1F98">
              <w:rPr>
                <w:b/>
                <w:noProof/>
                <w:sz w:val="22"/>
                <w:szCs w:val="22"/>
                <w:lang w:val="en-IE"/>
              </w:rPr>
              <w:t>Ireland</w:t>
            </w:r>
          </w:p>
          <w:p w14:paraId="198120CD" w14:textId="77777777" w:rsidR="001D7C55" w:rsidRPr="006C1F98" w:rsidRDefault="001D7C55" w:rsidP="006C1F98">
            <w:pPr>
              <w:spacing w:after="0"/>
              <w:rPr>
                <w:b/>
                <w:noProof/>
                <w:sz w:val="22"/>
                <w:szCs w:val="22"/>
                <w:lang w:val="en-IE"/>
              </w:rPr>
            </w:pPr>
          </w:p>
          <w:p w14:paraId="09D41A0A" w14:textId="77777777" w:rsidR="001D7C55" w:rsidRPr="006C1F98" w:rsidRDefault="001D7C55" w:rsidP="006C1F98">
            <w:pPr>
              <w:spacing w:after="0"/>
              <w:rPr>
                <w:noProof/>
                <w:sz w:val="22"/>
                <w:szCs w:val="22"/>
                <w:lang w:val="en-IE"/>
              </w:rPr>
            </w:pPr>
            <w:r w:rsidRPr="006C1F98">
              <w:rPr>
                <w:noProof/>
                <w:sz w:val="22"/>
                <w:szCs w:val="22"/>
                <w:lang w:val="en-IE"/>
              </w:rPr>
              <w:t>Dublin</w:t>
            </w:r>
            <w:r w:rsidRPr="006C1F98">
              <w:rPr>
                <w:rStyle w:val="FootnoteReference"/>
                <w:noProof/>
                <w:sz w:val="22"/>
                <w:szCs w:val="22"/>
                <w:lang w:val="en-IE"/>
              </w:rPr>
              <w:footnoteReference w:id="136"/>
            </w:r>
            <w:r w:rsidRPr="006C1F98">
              <w:rPr>
                <w:noProof/>
                <w:sz w:val="22"/>
                <w:szCs w:val="22"/>
                <w:lang w:val="en-IE"/>
              </w:rPr>
              <w:t xml:space="preserve"> </w:t>
            </w:r>
            <w:r w:rsidRPr="006C1F98">
              <w:rPr>
                <w:rStyle w:val="FootnoteReference"/>
                <w:noProof/>
                <w:sz w:val="22"/>
                <w:szCs w:val="22"/>
                <w:lang w:val="en-IE"/>
              </w:rPr>
              <w:footnoteReference w:id="137"/>
            </w:r>
            <w:r w:rsidRPr="006C1F98">
              <w:rPr>
                <w:noProof/>
                <w:sz w:val="22"/>
                <w:szCs w:val="22"/>
                <w:lang w:val="en-IE"/>
              </w:rPr>
              <w:t xml:space="preserve"> </w:t>
            </w:r>
            <w:r w:rsidRPr="006C1F98">
              <w:rPr>
                <w:rStyle w:val="FootnoteReference"/>
                <w:noProof/>
                <w:sz w:val="22"/>
                <w:szCs w:val="22"/>
                <w:lang w:val="en-IE"/>
              </w:rPr>
              <w:footnoteReference w:id="138"/>
            </w:r>
            <w:r w:rsidRPr="006C1F98">
              <w:rPr>
                <w:noProof/>
                <w:sz w:val="22"/>
                <w:szCs w:val="22"/>
                <w:lang w:val="en-IE"/>
              </w:rPr>
              <w:t xml:space="preserve"> </w:t>
            </w:r>
            <w:r w:rsidRPr="006C1F98">
              <w:rPr>
                <w:rStyle w:val="FootnoteReference"/>
                <w:noProof/>
                <w:sz w:val="22"/>
                <w:szCs w:val="22"/>
                <w:lang w:val="en-IE"/>
              </w:rPr>
              <w:footnoteReference w:id="139"/>
            </w:r>
            <w:r w:rsidRPr="006C1F98">
              <w:rPr>
                <w:noProof/>
                <w:sz w:val="22"/>
                <w:szCs w:val="22"/>
                <w:lang w:val="en-IE"/>
              </w:rPr>
              <w:t xml:space="preserve"> </w:t>
            </w:r>
            <w:r w:rsidRPr="006C1F98">
              <w:rPr>
                <w:rStyle w:val="FootnoteReference"/>
                <w:noProof/>
                <w:sz w:val="22"/>
                <w:szCs w:val="22"/>
                <w:lang w:val="en-IE"/>
              </w:rPr>
              <w:footnoteReference w:id="140"/>
            </w:r>
            <w:r w:rsidRPr="006C1F98">
              <w:rPr>
                <w:noProof/>
                <w:sz w:val="22"/>
                <w:szCs w:val="22"/>
                <w:lang w:val="en-IE"/>
              </w:rPr>
              <w:t xml:space="preserve"> </w:t>
            </w:r>
            <w:r w:rsidRPr="006C1F98">
              <w:rPr>
                <w:rStyle w:val="FootnoteReference"/>
                <w:noProof/>
                <w:sz w:val="22"/>
                <w:szCs w:val="22"/>
                <w:lang w:val="en-IE"/>
              </w:rPr>
              <w:footnoteReference w:id="141"/>
            </w:r>
            <w:r w:rsidRPr="006C1F98">
              <w:rPr>
                <w:noProof/>
                <w:sz w:val="22"/>
                <w:szCs w:val="22"/>
                <w:lang w:val="en-IE"/>
              </w:rPr>
              <w:t xml:space="preserve"> </w:t>
            </w:r>
            <w:r w:rsidRPr="006C1F98">
              <w:rPr>
                <w:rStyle w:val="FootnoteReference"/>
                <w:noProof/>
                <w:sz w:val="22"/>
                <w:szCs w:val="22"/>
                <w:lang w:val="en-IE"/>
              </w:rPr>
              <w:footnoteReference w:id="142"/>
            </w:r>
            <w:r w:rsidRPr="006C1F98">
              <w:rPr>
                <w:noProof/>
                <w:sz w:val="22"/>
                <w:szCs w:val="22"/>
                <w:lang w:val="en-IE"/>
              </w:rPr>
              <w:t xml:space="preserve"> </w:t>
            </w:r>
            <w:r w:rsidRPr="006C1F98">
              <w:rPr>
                <w:rStyle w:val="FootnoteReference"/>
                <w:noProof/>
                <w:sz w:val="22"/>
                <w:szCs w:val="22"/>
                <w:lang w:val="en-IE"/>
              </w:rPr>
              <w:footnoteReference w:id="143"/>
            </w:r>
          </w:p>
        </w:tc>
        <w:tc>
          <w:tcPr>
            <w:tcW w:w="0" w:type="auto"/>
            <w:vAlign w:val="center"/>
          </w:tcPr>
          <w:p w14:paraId="28F7A2A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land is already zoned, it takes 6–12 months for site selection, plus 2–4 months for planning permission</w:t>
            </w:r>
          </w:p>
          <w:p w14:paraId="3F27191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zoning change is required, the process can extend to 1–2 years or more</w:t>
            </w:r>
          </w:p>
          <w:p w14:paraId="59FB357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Most new data centres in Dublin are built on pre-zoned “HT – High Technology” or industrial lands</w:t>
            </w:r>
          </w:p>
        </w:tc>
        <w:tc>
          <w:tcPr>
            <w:tcW w:w="0" w:type="auto"/>
            <w:vAlign w:val="center"/>
          </w:tcPr>
          <w:p w14:paraId="153EFE75" w14:textId="77777777" w:rsidR="001D7C55" w:rsidRPr="006C1F98" w:rsidRDefault="001D7C55" w:rsidP="006C1F98">
            <w:pPr>
              <w:spacing w:after="0"/>
              <w:ind w:left="-55"/>
              <w:rPr>
                <w:noProof/>
                <w:sz w:val="22"/>
                <w:szCs w:val="22"/>
                <w:lang w:val="en-IE"/>
              </w:rPr>
            </w:pPr>
            <w:r w:rsidRPr="006C1F98">
              <w:rPr>
                <w:noProof/>
                <w:sz w:val="22"/>
                <w:szCs w:val="22"/>
                <w:lang w:val="en-IE"/>
              </w:rPr>
              <w:t>Obtaining a building permit with the Dublin city Council takes 2–4 months for planning permission (longer if appeals or further information are needed), with building control certificates adding another 2–3 months (often overlapping with construction preparation)</w:t>
            </w:r>
          </w:p>
        </w:tc>
        <w:tc>
          <w:tcPr>
            <w:tcW w:w="0" w:type="auto"/>
            <w:vAlign w:val="center"/>
          </w:tcPr>
          <w:p w14:paraId="2CB49B6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Since late 2021, EirGrid (Ireland’s transmission system operator) has imposed a de facto moratorium on new data centre grid connections in the Dublin area (till 2028)</w:t>
            </w:r>
          </w:p>
          <w:p w14:paraId="27B9C00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Outside Dublin, the connection take’s 1-3 years (new policy from The Commission for Regulation of Utilities, CRU)</w:t>
            </w:r>
          </w:p>
        </w:tc>
        <w:tc>
          <w:tcPr>
            <w:tcW w:w="0" w:type="auto"/>
            <w:vAlign w:val="center"/>
          </w:tcPr>
          <w:p w14:paraId="1C0822E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a mandatory part of the planning process and must be completed before a building permit (planning permission) is granted</w:t>
            </w:r>
          </w:p>
          <w:p w14:paraId="7F2F123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 GHG permit required for generators &gt;20 MW and a full EIA is typically required for larger projects</w:t>
            </w:r>
          </w:p>
          <w:p w14:paraId="4BDB9BB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Screening is performed by the Dublin City Council, followed by the preparation of the EI report (6-12 months), public consultation (1-3 months) and final decision (8 weeks statutory timeline)</w:t>
            </w:r>
          </w:p>
          <w:p w14:paraId="42F137C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Total timeline is 10-24 months</w:t>
            </w:r>
          </w:p>
        </w:tc>
        <w:tc>
          <w:tcPr>
            <w:tcW w:w="0" w:type="auto"/>
            <w:vAlign w:val="center"/>
          </w:tcPr>
          <w:p w14:paraId="3AF6DDDC"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24 (fastest case, out of Dublin)</w:t>
            </w:r>
          </w:p>
          <w:p w14:paraId="2BAA1CB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Indetermined for Dublin</w:t>
            </w:r>
          </w:p>
        </w:tc>
      </w:tr>
      <w:tr w:rsidR="001D7C55" w:rsidRPr="006C1F98" w14:paraId="1592D67A" w14:textId="77777777" w:rsidTr="006C1F98">
        <w:tc>
          <w:tcPr>
            <w:tcW w:w="0" w:type="auto"/>
            <w:vAlign w:val="center"/>
          </w:tcPr>
          <w:p w14:paraId="2DC94823" w14:textId="77777777" w:rsidR="001D7C55" w:rsidRPr="006C1F98" w:rsidRDefault="001D7C55" w:rsidP="006C1F98">
            <w:pPr>
              <w:spacing w:after="0"/>
              <w:rPr>
                <w:b/>
                <w:noProof/>
                <w:sz w:val="22"/>
                <w:szCs w:val="22"/>
                <w:lang w:val="en-IE"/>
              </w:rPr>
            </w:pPr>
            <w:r w:rsidRPr="006C1F98">
              <w:rPr>
                <w:b/>
                <w:noProof/>
                <w:sz w:val="22"/>
                <w:szCs w:val="22"/>
                <w:lang w:val="en-IE"/>
              </w:rPr>
              <w:t>Italy</w:t>
            </w:r>
          </w:p>
          <w:p w14:paraId="1DE13EAF" w14:textId="77777777" w:rsidR="001D7C55" w:rsidRPr="006C1F98" w:rsidRDefault="001D7C55" w:rsidP="006C1F98">
            <w:pPr>
              <w:spacing w:after="0"/>
              <w:rPr>
                <w:b/>
                <w:noProof/>
                <w:sz w:val="22"/>
                <w:szCs w:val="22"/>
                <w:lang w:val="en-IE"/>
              </w:rPr>
            </w:pPr>
          </w:p>
          <w:p w14:paraId="652E7C7D" w14:textId="77777777" w:rsidR="001D7C55" w:rsidRPr="006C1F98" w:rsidRDefault="001D7C55" w:rsidP="006C1F98">
            <w:pPr>
              <w:spacing w:after="0"/>
              <w:rPr>
                <w:noProof/>
                <w:sz w:val="22"/>
                <w:szCs w:val="22"/>
                <w:lang w:val="en-IE"/>
              </w:rPr>
            </w:pPr>
            <w:r w:rsidRPr="006C1F98">
              <w:rPr>
                <w:noProof/>
                <w:sz w:val="22"/>
                <w:szCs w:val="22"/>
                <w:lang w:val="en-IE"/>
              </w:rPr>
              <w:t>Milan</w:t>
            </w:r>
            <w:r w:rsidRPr="006C1F98">
              <w:rPr>
                <w:rStyle w:val="FootnoteReference"/>
                <w:noProof/>
                <w:sz w:val="22"/>
                <w:szCs w:val="22"/>
                <w:lang w:val="en-IE"/>
              </w:rPr>
              <w:footnoteReference w:id="144"/>
            </w:r>
            <w:r w:rsidRPr="006C1F98">
              <w:rPr>
                <w:noProof/>
                <w:sz w:val="22"/>
                <w:szCs w:val="22"/>
                <w:lang w:val="en-IE"/>
              </w:rPr>
              <w:t xml:space="preserve"> </w:t>
            </w:r>
            <w:r w:rsidRPr="006C1F98">
              <w:rPr>
                <w:rStyle w:val="FootnoteReference"/>
                <w:noProof/>
                <w:sz w:val="22"/>
                <w:szCs w:val="22"/>
                <w:lang w:val="en-IE"/>
              </w:rPr>
              <w:footnoteReference w:id="145"/>
            </w:r>
            <w:r w:rsidRPr="006C1F98">
              <w:rPr>
                <w:noProof/>
                <w:sz w:val="22"/>
                <w:szCs w:val="22"/>
                <w:lang w:val="en-IE"/>
              </w:rPr>
              <w:t xml:space="preserve"> </w:t>
            </w:r>
            <w:r w:rsidRPr="006C1F98">
              <w:rPr>
                <w:rStyle w:val="FootnoteReference"/>
                <w:noProof/>
                <w:sz w:val="22"/>
                <w:szCs w:val="22"/>
                <w:lang w:val="en-IE"/>
              </w:rPr>
              <w:footnoteReference w:id="146"/>
            </w:r>
            <w:r w:rsidRPr="006C1F98">
              <w:rPr>
                <w:noProof/>
                <w:sz w:val="22"/>
                <w:szCs w:val="22"/>
                <w:lang w:val="en-IE"/>
              </w:rPr>
              <w:t xml:space="preserve"> </w:t>
            </w:r>
            <w:r w:rsidRPr="006C1F98">
              <w:rPr>
                <w:rStyle w:val="FootnoteReference"/>
                <w:noProof/>
                <w:sz w:val="22"/>
                <w:szCs w:val="22"/>
                <w:lang w:val="en-IE"/>
              </w:rPr>
              <w:footnoteReference w:id="147"/>
            </w:r>
          </w:p>
        </w:tc>
        <w:tc>
          <w:tcPr>
            <w:tcW w:w="0" w:type="auto"/>
            <w:vAlign w:val="center"/>
          </w:tcPr>
          <w:p w14:paraId="436ABB1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land already zoned for data centre use: 6–8 months</w:t>
            </w:r>
            <w:r w:rsidRPr="006C1F98">
              <w:rPr>
                <w:noProof/>
                <w:sz w:val="22"/>
                <w:szCs w:val="22"/>
                <w:lang w:val="en-IE"/>
              </w:rPr>
              <w:tab/>
              <w:t>(with due diligence and planning approval)</w:t>
            </w:r>
          </w:p>
          <w:p w14:paraId="7098994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zoning change or a plan amendment is needed (12–18+ months)</w:t>
            </w:r>
          </w:p>
          <w:p w14:paraId="293E1C6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Brownfield site (with zoning)</w:t>
            </w:r>
            <w:r w:rsidRPr="006C1F98">
              <w:rPr>
                <w:noProof/>
                <w:sz w:val="22"/>
                <w:szCs w:val="22"/>
                <w:lang w:val="en-IE"/>
              </w:rPr>
              <w:tab/>
              <w:t>can happen in 6–8 months (incentive)</w:t>
            </w:r>
          </w:p>
        </w:tc>
        <w:tc>
          <w:tcPr>
            <w:tcW w:w="0" w:type="auto"/>
            <w:vAlign w:val="center"/>
          </w:tcPr>
          <w:p w14:paraId="4ED477F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Permitting and approvals (planning + building permit) takes in average 6–18 months</w:t>
            </w:r>
          </w:p>
          <w:p w14:paraId="480AB1F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site is already zoned and documentation is complete, the process can be on the shorter end (6–8 months)</w:t>
            </w:r>
          </w:p>
          <w:p w14:paraId="5D5B3BC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zoning changes or complex planning are required: 12–18 months</w:t>
            </w:r>
          </w:p>
        </w:tc>
        <w:tc>
          <w:tcPr>
            <w:tcW w:w="0" w:type="auto"/>
            <w:vAlign w:val="center"/>
          </w:tcPr>
          <w:p w14:paraId="10105D3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Standard grid connection: 2 to 4 years, due to a single national grid operator (Terna) processing all requests, a large backlog and the need for upgrades</w:t>
            </w:r>
          </w:p>
          <w:p w14:paraId="5ED3E0D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Brownfield sites, pre-zoned or fast track projects can get the connection in 1.5-2 years</w:t>
            </w:r>
          </w:p>
          <w:p w14:paraId="016663B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On the other hand, large/complex projects can take 3-5 years</w:t>
            </w:r>
          </w:p>
        </w:tc>
        <w:tc>
          <w:tcPr>
            <w:tcW w:w="0" w:type="auto"/>
            <w:vAlign w:val="center"/>
          </w:tcPr>
          <w:p w14:paraId="500D214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a prerequisite for the building permit</w:t>
            </w:r>
          </w:p>
          <w:p w14:paraId="22C17B0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EIA is required for generators &gt;50 MW thermal output or for a total project capacity &gt;150 MW</w:t>
            </w:r>
          </w:p>
          <w:p w14:paraId="739A8F1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Municipality of Milan determines the requirement (1-3 months) and, from there, the preparation, public consultation, approval and building permit review can add up to 17-32 months</w:t>
            </w:r>
          </w:p>
        </w:tc>
        <w:tc>
          <w:tcPr>
            <w:tcW w:w="0" w:type="auto"/>
            <w:vAlign w:val="center"/>
          </w:tcPr>
          <w:p w14:paraId="0B71533C"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24 - 60</w:t>
            </w:r>
          </w:p>
        </w:tc>
      </w:tr>
      <w:tr w:rsidR="001D7C55" w:rsidRPr="006C1F98" w14:paraId="0717211C" w14:textId="77777777" w:rsidTr="006C1F98">
        <w:tc>
          <w:tcPr>
            <w:tcW w:w="0" w:type="auto"/>
            <w:vAlign w:val="center"/>
          </w:tcPr>
          <w:p w14:paraId="3D3ACA35" w14:textId="77777777" w:rsidR="001D7C55" w:rsidRPr="006C1F98" w:rsidRDefault="001D7C55" w:rsidP="006C1F98">
            <w:pPr>
              <w:spacing w:after="0"/>
              <w:rPr>
                <w:b/>
                <w:noProof/>
                <w:sz w:val="22"/>
                <w:szCs w:val="22"/>
                <w:lang w:val="en-IE"/>
              </w:rPr>
            </w:pPr>
            <w:r w:rsidRPr="006C1F98">
              <w:rPr>
                <w:b/>
                <w:noProof/>
                <w:sz w:val="22"/>
                <w:szCs w:val="22"/>
                <w:lang w:val="en-IE"/>
              </w:rPr>
              <w:t>Netherlands</w:t>
            </w:r>
          </w:p>
          <w:p w14:paraId="136C1C76" w14:textId="77777777" w:rsidR="001D7C55" w:rsidRPr="006C1F98" w:rsidRDefault="001D7C55" w:rsidP="006C1F98">
            <w:pPr>
              <w:spacing w:after="0"/>
              <w:rPr>
                <w:b/>
                <w:noProof/>
                <w:sz w:val="22"/>
                <w:szCs w:val="22"/>
                <w:lang w:val="en-IE"/>
              </w:rPr>
            </w:pPr>
          </w:p>
          <w:p w14:paraId="358CA01A" w14:textId="77777777" w:rsidR="001D7C55" w:rsidRPr="006C1F98" w:rsidRDefault="001D7C55" w:rsidP="006C1F98">
            <w:pPr>
              <w:spacing w:after="0"/>
              <w:rPr>
                <w:noProof/>
                <w:sz w:val="22"/>
                <w:szCs w:val="22"/>
                <w:lang w:val="en-IE"/>
              </w:rPr>
            </w:pPr>
            <w:r w:rsidRPr="006C1F98">
              <w:rPr>
                <w:noProof/>
                <w:sz w:val="22"/>
                <w:szCs w:val="22"/>
                <w:lang w:val="en-IE"/>
              </w:rPr>
              <w:t>Amsterdam</w:t>
            </w:r>
            <w:r w:rsidRPr="006C1F98">
              <w:rPr>
                <w:rStyle w:val="FootnoteReference"/>
                <w:noProof/>
                <w:sz w:val="22"/>
                <w:szCs w:val="22"/>
                <w:lang w:val="en-IE"/>
              </w:rPr>
              <w:footnoteReference w:id="148"/>
            </w:r>
            <w:r w:rsidRPr="006C1F98">
              <w:rPr>
                <w:noProof/>
                <w:sz w:val="22"/>
                <w:szCs w:val="22"/>
                <w:lang w:val="en-IE"/>
              </w:rPr>
              <w:t xml:space="preserve"> </w:t>
            </w:r>
            <w:r w:rsidRPr="006C1F98">
              <w:rPr>
                <w:rStyle w:val="FootnoteReference"/>
                <w:noProof/>
                <w:sz w:val="22"/>
                <w:szCs w:val="22"/>
                <w:lang w:val="en-IE"/>
              </w:rPr>
              <w:footnoteReference w:id="149"/>
            </w:r>
            <w:r w:rsidRPr="006C1F98">
              <w:rPr>
                <w:noProof/>
                <w:sz w:val="22"/>
                <w:szCs w:val="22"/>
                <w:lang w:val="en-IE"/>
              </w:rPr>
              <w:t xml:space="preserve"> </w:t>
            </w:r>
            <w:r w:rsidRPr="006C1F98">
              <w:rPr>
                <w:rStyle w:val="FootnoteReference"/>
                <w:noProof/>
                <w:sz w:val="22"/>
                <w:szCs w:val="22"/>
                <w:lang w:val="en-IE"/>
              </w:rPr>
              <w:footnoteReference w:id="150"/>
            </w:r>
            <w:r w:rsidRPr="006C1F98">
              <w:rPr>
                <w:noProof/>
                <w:sz w:val="22"/>
                <w:szCs w:val="22"/>
                <w:lang w:val="en-IE"/>
              </w:rPr>
              <w:t xml:space="preserve"> </w:t>
            </w:r>
            <w:r w:rsidRPr="006C1F98">
              <w:rPr>
                <w:rStyle w:val="FootnoteReference"/>
                <w:noProof/>
                <w:sz w:val="22"/>
                <w:szCs w:val="22"/>
                <w:lang w:val="en-IE"/>
              </w:rPr>
              <w:footnoteReference w:id="151"/>
            </w:r>
            <w:r w:rsidRPr="006C1F98">
              <w:rPr>
                <w:noProof/>
                <w:sz w:val="22"/>
                <w:szCs w:val="22"/>
                <w:lang w:val="en-IE"/>
              </w:rPr>
              <w:t xml:space="preserve"> </w:t>
            </w:r>
            <w:r w:rsidRPr="006C1F98">
              <w:rPr>
                <w:rStyle w:val="FootnoteReference"/>
                <w:noProof/>
                <w:sz w:val="22"/>
                <w:szCs w:val="22"/>
                <w:lang w:val="en-IE"/>
              </w:rPr>
              <w:footnoteReference w:id="152"/>
            </w:r>
            <w:r w:rsidRPr="006C1F98">
              <w:rPr>
                <w:noProof/>
                <w:sz w:val="22"/>
                <w:szCs w:val="22"/>
                <w:lang w:val="en-IE"/>
              </w:rPr>
              <w:t xml:space="preserve"> </w:t>
            </w:r>
            <w:r w:rsidRPr="006C1F98">
              <w:rPr>
                <w:rStyle w:val="FootnoteReference"/>
                <w:noProof/>
                <w:sz w:val="22"/>
                <w:szCs w:val="22"/>
                <w:lang w:val="en-IE"/>
              </w:rPr>
              <w:footnoteReference w:id="153"/>
            </w:r>
          </w:p>
        </w:tc>
        <w:tc>
          <w:tcPr>
            <w:tcW w:w="0" w:type="auto"/>
            <w:vAlign w:val="center"/>
          </w:tcPr>
          <w:p w14:paraId="6EE6D8F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land is already zoned and available: 2–6 months (plus site due diligence)</w:t>
            </w:r>
          </w:p>
          <w:p w14:paraId="291F500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zoning plan amendment is required: 6–12+ months</w:t>
            </w:r>
          </w:p>
          <w:p w14:paraId="314F038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Most new data centre developments are subject to strict municipal controls and sustainability requirements</w:t>
            </w:r>
          </w:p>
          <w:p w14:paraId="3F470EBC"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hyperscale data centres (&gt;10 hectares/70 MW): New developments are effectively banned in Amsterdam and most of the Netherlands</w:t>
            </w:r>
          </w:p>
        </w:tc>
        <w:tc>
          <w:tcPr>
            <w:tcW w:w="0" w:type="auto"/>
            <w:vAlign w:val="center"/>
          </w:tcPr>
          <w:p w14:paraId="240D211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site is already zoned for data centre use: 8–14 weeks; with an environmental permit (≥15 MW), allow up to 26 weeks</w:t>
            </w:r>
          </w:p>
          <w:p w14:paraId="26BAF3DA"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zoning amendment or deviation is needed: 6–12+ months added before the permit can be reviewed</w:t>
            </w:r>
          </w:p>
          <w:p w14:paraId="6D29C82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All projects must comply with the Environmental Act (Omgevingswet), including energy efficiency and emissions standards</w:t>
            </w:r>
          </w:p>
          <w:p w14:paraId="76EFCDAA"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Engaging with the city and OD NZKG early can clarify requirements and avoid delays</w:t>
            </w:r>
          </w:p>
        </w:tc>
        <w:tc>
          <w:tcPr>
            <w:tcW w:w="0" w:type="auto"/>
            <w:vAlign w:val="center"/>
          </w:tcPr>
          <w:p w14:paraId="68B1E2C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No new grid connections for data centres in Amsterdam are expected before 2030 unless the project is essential for the city and meets strict criteria</w:t>
            </w:r>
          </w:p>
          <w:p w14:paraId="0B55B50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Even fully built data centres may remain idle if they lack a pre-secured grid connection.</w:t>
            </w:r>
          </w:p>
          <w:p w14:paraId="720F758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Outside Amsterdam e.g., Rotterdam, Westland, grid connection is possible within 1–3 years</w:t>
            </w:r>
          </w:p>
        </w:tc>
        <w:tc>
          <w:tcPr>
            <w:tcW w:w="0" w:type="auto"/>
            <w:vAlign w:val="center"/>
          </w:tcPr>
          <w:p w14:paraId="561BE87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process is integrated into the permitting framework and cannot be conducted in parallel with the building permit</w:t>
            </w:r>
          </w:p>
          <w:p w14:paraId="07B33C1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An environmental permit is required at 15 MW and a full EIA is likely for larger hyperscale projects (&gt;70 MW)</w:t>
            </w:r>
          </w:p>
          <w:p w14:paraId="0215CE3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competent authority (municipality or Omgevingsdienst Noordzeekanaalgebied, OD NZKG, for larger projects) determines if an EIA is required, by submitting a screening request through the Omgevingsloket (environmental permit portal). This takes 1-3 months</w:t>
            </w:r>
          </w:p>
          <w:p w14:paraId="19942DB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 report, public consultation and building permit review in total take from 10-24 months</w:t>
            </w:r>
          </w:p>
        </w:tc>
        <w:tc>
          <w:tcPr>
            <w:tcW w:w="0" w:type="auto"/>
            <w:vAlign w:val="center"/>
          </w:tcPr>
          <w:p w14:paraId="64AA2E8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12 (fastest possible case, out of Amsterdam)</w:t>
            </w:r>
          </w:p>
          <w:p w14:paraId="6FC8D81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Indetermined for Amsterdam</w:t>
            </w:r>
          </w:p>
        </w:tc>
      </w:tr>
      <w:tr w:rsidR="001D7C55" w:rsidRPr="006C1F98" w14:paraId="7F04EF2F" w14:textId="77777777" w:rsidTr="006C1F98">
        <w:tc>
          <w:tcPr>
            <w:tcW w:w="0" w:type="auto"/>
            <w:vAlign w:val="center"/>
          </w:tcPr>
          <w:p w14:paraId="1D5DE38D" w14:textId="77777777" w:rsidR="001D7C55" w:rsidRPr="006C1F98" w:rsidRDefault="001D7C55" w:rsidP="006C1F98">
            <w:pPr>
              <w:spacing w:after="0"/>
              <w:rPr>
                <w:b/>
                <w:noProof/>
                <w:sz w:val="22"/>
                <w:szCs w:val="22"/>
                <w:lang w:val="en-IE"/>
              </w:rPr>
            </w:pPr>
            <w:r w:rsidRPr="006C1F98">
              <w:rPr>
                <w:b/>
                <w:noProof/>
                <w:sz w:val="22"/>
                <w:szCs w:val="22"/>
                <w:lang w:val="en-IE"/>
              </w:rPr>
              <w:t>Poland</w:t>
            </w:r>
          </w:p>
          <w:p w14:paraId="35EF4A6D" w14:textId="77777777" w:rsidR="001D7C55" w:rsidRPr="006C1F98" w:rsidRDefault="001D7C55" w:rsidP="006C1F98">
            <w:pPr>
              <w:spacing w:after="0"/>
              <w:rPr>
                <w:b/>
                <w:noProof/>
                <w:sz w:val="22"/>
                <w:szCs w:val="22"/>
                <w:lang w:val="en-IE"/>
              </w:rPr>
            </w:pPr>
          </w:p>
          <w:p w14:paraId="380705E6" w14:textId="77777777" w:rsidR="001D7C55" w:rsidRPr="006C1F98" w:rsidRDefault="001D7C55" w:rsidP="006C1F98">
            <w:pPr>
              <w:spacing w:after="0"/>
              <w:rPr>
                <w:noProof/>
                <w:sz w:val="22"/>
                <w:szCs w:val="22"/>
                <w:lang w:val="en-IE"/>
              </w:rPr>
            </w:pPr>
            <w:r w:rsidRPr="006C1F98">
              <w:rPr>
                <w:noProof/>
                <w:sz w:val="22"/>
                <w:szCs w:val="22"/>
                <w:lang w:val="en-IE"/>
              </w:rPr>
              <w:t>Warsaw</w:t>
            </w:r>
            <w:r w:rsidRPr="006C1F98">
              <w:rPr>
                <w:rStyle w:val="FootnoteReference"/>
                <w:noProof/>
                <w:sz w:val="22"/>
                <w:szCs w:val="22"/>
                <w:lang w:val="en-IE"/>
              </w:rPr>
              <w:footnoteReference w:id="154"/>
            </w:r>
            <w:r w:rsidRPr="006C1F98">
              <w:rPr>
                <w:noProof/>
                <w:sz w:val="22"/>
                <w:szCs w:val="22"/>
                <w:lang w:val="en-IE"/>
              </w:rPr>
              <w:t xml:space="preserve"> </w:t>
            </w:r>
            <w:r w:rsidRPr="006C1F98">
              <w:rPr>
                <w:rStyle w:val="FootnoteReference"/>
                <w:noProof/>
                <w:sz w:val="22"/>
                <w:szCs w:val="22"/>
                <w:lang w:val="en-IE"/>
              </w:rPr>
              <w:footnoteReference w:id="155"/>
            </w:r>
            <w:r w:rsidRPr="006C1F98">
              <w:rPr>
                <w:noProof/>
                <w:sz w:val="22"/>
                <w:szCs w:val="22"/>
                <w:lang w:val="en-IE"/>
              </w:rPr>
              <w:t xml:space="preserve"> </w:t>
            </w:r>
            <w:r w:rsidRPr="006C1F98">
              <w:rPr>
                <w:rStyle w:val="FootnoteReference"/>
                <w:noProof/>
                <w:sz w:val="22"/>
                <w:szCs w:val="22"/>
                <w:lang w:val="en-IE"/>
              </w:rPr>
              <w:footnoteReference w:id="156"/>
            </w:r>
            <w:r w:rsidRPr="006C1F98">
              <w:rPr>
                <w:noProof/>
                <w:sz w:val="22"/>
                <w:szCs w:val="22"/>
                <w:lang w:val="en-IE"/>
              </w:rPr>
              <w:t xml:space="preserve"> </w:t>
            </w:r>
            <w:r w:rsidRPr="006C1F98">
              <w:rPr>
                <w:rStyle w:val="FootnoteReference"/>
                <w:noProof/>
                <w:sz w:val="22"/>
                <w:szCs w:val="22"/>
                <w:lang w:val="en-IE"/>
              </w:rPr>
              <w:footnoteReference w:id="157"/>
            </w:r>
            <w:r w:rsidRPr="006C1F98">
              <w:rPr>
                <w:noProof/>
                <w:sz w:val="22"/>
                <w:szCs w:val="22"/>
                <w:lang w:val="en-IE"/>
              </w:rPr>
              <w:t xml:space="preserve"> </w:t>
            </w:r>
            <w:r w:rsidRPr="006C1F98">
              <w:rPr>
                <w:rStyle w:val="FootnoteReference"/>
                <w:noProof/>
                <w:sz w:val="22"/>
                <w:szCs w:val="22"/>
                <w:lang w:val="en-IE"/>
              </w:rPr>
              <w:footnoteReference w:id="158"/>
            </w:r>
            <w:r w:rsidRPr="006C1F98">
              <w:rPr>
                <w:noProof/>
                <w:sz w:val="22"/>
                <w:szCs w:val="22"/>
                <w:lang w:val="en-IE"/>
              </w:rPr>
              <w:t xml:space="preserve"> </w:t>
            </w:r>
            <w:r w:rsidRPr="006C1F98">
              <w:rPr>
                <w:rStyle w:val="FootnoteReference"/>
                <w:noProof/>
                <w:sz w:val="22"/>
                <w:szCs w:val="22"/>
                <w:lang w:val="en-IE"/>
              </w:rPr>
              <w:footnoteReference w:id="159"/>
            </w:r>
          </w:p>
        </w:tc>
        <w:tc>
          <w:tcPr>
            <w:tcW w:w="0" w:type="auto"/>
            <w:vAlign w:val="center"/>
          </w:tcPr>
          <w:p w14:paraId="007A1B4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site is already zoned: 1–2 months</w:t>
            </w:r>
          </w:p>
          <w:p w14:paraId="67753AA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 zoning permit is needed: 3–9+ months</w:t>
            </w:r>
          </w:p>
          <w:p w14:paraId="1757D39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an environmental decision is required: add up to 6 months.</w:t>
            </w:r>
          </w:p>
          <w:p w14:paraId="1F5C17C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Land acquisition can proceed in parallel, but legal title is needed before the building permit stage</w:t>
            </w:r>
          </w:p>
        </w:tc>
        <w:tc>
          <w:tcPr>
            <w:tcW w:w="0" w:type="auto"/>
            <w:vAlign w:val="center"/>
          </w:tcPr>
          <w:p w14:paraId="2B08E65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Obtaining a building permit takes 65 days to 6 months</w:t>
            </w:r>
          </w:p>
          <w:p w14:paraId="0F786DAC"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process is managed by the district authority (starosta)</w:t>
            </w:r>
          </w:p>
        </w:tc>
        <w:tc>
          <w:tcPr>
            <w:tcW w:w="0" w:type="auto"/>
            <w:vAlign w:val="center"/>
          </w:tcPr>
          <w:p w14:paraId="1A14147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Starts by submitting request to the network operator (e.g., PGE Dystrybucja, Innogy Stoen Operator)</w:t>
            </w:r>
          </w:p>
          <w:p w14:paraId="0F61B675" w14:textId="77777777" w:rsidR="001D7C55" w:rsidRPr="006C1F98" w:rsidRDefault="001D7C55" w:rsidP="00744B72">
            <w:pPr>
              <w:pStyle w:val="ListParagraph"/>
              <w:numPr>
                <w:ilvl w:val="0"/>
                <w:numId w:val="29"/>
              </w:numPr>
              <w:spacing w:after="0"/>
              <w:ind w:left="160" w:hanging="180"/>
              <w:rPr>
                <w:noProof/>
                <w:sz w:val="22"/>
                <w:szCs w:val="22"/>
                <w:lang w:val="en-IE"/>
              </w:rPr>
            </w:pPr>
            <w:r w:rsidRPr="006C1F98">
              <w:rPr>
                <w:noProof/>
                <w:sz w:val="22"/>
                <w:szCs w:val="22"/>
                <w:lang w:val="en-IE"/>
              </w:rPr>
              <w:t>In general, the process takes from several months–1 year</w:t>
            </w:r>
          </w:p>
          <w:p w14:paraId="32A153D6" w14:textId="77777777" w:rsidR="001D7C55" w:rsidRPr="006C1F98" w:rsidRDefault="001D7C55" w:rsidP="00744B72">
            <w:pPr>
              <w:pStyle w:val="ListParagraph"/>
              <w:numPr>
                <w:ilvl w:val="0"/>
                <w:numId w:val="29"/>
              </w:numPr>
              <w:spacing w:after="0"/>
              <w:ind w:left="160" w:hanging="180"/>
              <w:rPr>
                <w:noProof/>
                <w:sz w:val="22"/>
                <w:szCs w:val="22"/>
                <w:lang w:val="en-IE"/>
              </w:rPr>
            </w:pPr>
            <w:r w:rsidRPr="006C1F98">
              <w:rPr>
                <w:noProof/>
                <w:sz w:val="22"/>
                <w:szCs w:val="22"/>
                <w:lang w:val="en-IE"/>
              </w:rPr>
              <w:t>Full grid connection (total process) is 2–3 years</w:t>
            </w:r>
          </w:p>
          <w:p w14:paraId="721A0E75" w14:textId="77777777" w:rsidR="001D7C55" w:rsidRPr="006C1F98" w:rsidRDefault="001D7C55" w:rsidP="00744B72">
            <w:pPr>
              <w:pStyle w:val="ListParagraph"/>
              <w:numPr>
                <w:ilvl w:val="0"/>
                <w:numId w:val="29"/>
              </w:numPr>
              <w:spacing w:after="0"/>
              <w:ind w:left="160" w:hanging="180"/>
              <w:rPr>
                <w:noProof/>
                <w:sz w:val="22"/>
                <w:szCs w:val="22"/>
                <w:lang w:val="en-IE"/>
              </w:rPr>
            </w:pPr>
            <w:r w:rsidRPr="006C1F98">
              <w:rPr>
                <w:noProof/>
                <w:sz w:val="22"/>
                <w:szCs w:val="22"/>
                <w:lang w:val="en-IE"/>
              </w:rPr>
              <w:t>In large projects (100 MW+) with major upgrades/delays: 3+ years</w:t>
            </w:r>
          </w:p>
        </w:tc>
        <w:tc>
          <w:tcPr>
            <w:tcW w:w="0" w:type="auto"/>
            <w:vAlign w:val="center"/>
          </w:tcPr>
          <w:p w14:paraId="6CA996E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a mandatory preliminary step that must be finalized before applying for the building permit</w:t>
            </w:r>
          </w:p>
          <w:p w14:paraId="410F64F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requirement follows the EU EIA Directive and there is a screening for industrial projects based on size/impact</w:t>
            </w:r>
          </w:p>
          <w:p w14:paraId="06A0A54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screening is submitted to the Regional Environmental Protection Authority i.e., Mazovian Voivodeship and from there, the total process can take 11-24 months</w:t>
            </w:r>
          </w:p>
        </w:tc>
        <w:tc>
          <w:tcPr>
            <w:tcW w:w="0" w:type="auto"/>
            <w:vAlign w:val="center"/>
          </w:tcPr>
          <w:p w14:paraId="5BF271CF"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24 - 45</w:t>
            </w:r>
          </w:p>
        </w:tc>
      </w:tr>
      <w:tr w:rsidR="001D7C55" w:rsidRPr="006C1F98" w14:paraId="4AB6B333" w14:textId="77777777" w:rsidTr="006C1F98">
        <w:tc>
          <w:tcPr>
            <w:tcW w:w="0" w:type="auto"/>
            <w:vAlign w:val="center"/>
          </w:tcPr>
          <w:p w14:paraId="7B58C7DF" w14:textId="77777777" w:rsidR="001D7C55" w:rsidRPr="006C1F98" w:rsidRDefault="001D7C55" w:rsidP="006C1F98">
            <w:pPr>
              <w:spacing w:after="0"/>
              <w:rPr>
                <w:b/>
                <w:noProof/>
                <w:sz w:val="22"/>
                <w:szCs w:val="22"/>
                <w:lang w:val="en-IE"/>
              </w:rPr>
            </w:pPr>
            <w:r w:rsidRPr="006C1F98">
              <w:rPr>
                <w:b/>
                <w:noProof/>
                <w:sz w:val="22"/>
                <w:szCs w:val="22"/>
                <w:lang w:val="en-IE"/>
              </w:rPr>
              <w:t>Romania</w:t>
            </w:r>
          </w:p>
          <w:p w14:paraId="17F8A223" w14:textId="77777777" w:rsidR="001D7C55" w:rsidRPr="006C1F98" w:rsidRDefault="001D7C55" w:rsidP="006C1F98">
            <w:pPr>
              <w:spacing w:after="0"/>
              <w:rPr>
                <w:b/>
                <w:noProof/>
                <w:sz w:val="22"/>
                <w:szCs w:val="22"/>
                <w:lang w:val="en-IE"/>
              </w:rPr>
            </w:pPr>
          </w:p>
          <w:p w14:paraId="3870D063" w14:textId="77777777" w:rsidR="001D7C55" w:rsidRPr="006C1F98" w:rsidRDefault="001D7C55" w:rsidP="006C1F98">
            <w:pPr>
              <w:spacing w:after="0"/>
              <w:rPr>
                <w:noProof/>
                <w:sz w:val="22"/>
                <w:szCs w:val="22"/>
                <w:lang w:val="en-IE"/>
              </w:rPr>
            </w:pPr>
            <w:r w:rsidRPr="006C1F98">
              <w:rPr>
                <w:noProof/>
                <w:sz w:val="22"/>
                <w:szCs w:val="22"/>
                <w:lang w:val="en-IE"/>
              </w:rPr>
              <w:t>Bucharest</w:t>
            </w:r>
            <w:r w:rsidRPr="006C1F98">
              <w:rPr>
                <w:rStyle w:val="FootnoteReference"/>
                <w:noProof/>
                <w:sz w:val="22"/>
                <w:szCs w:val="22"/>
                <w:lang w:val="en-IE"/>
              </w:rPr>
              <w:footnoteReference w:id="160"/>
            </w:r>
            <w:r w:rsidRPr="006C1F98">
              <w:rPr>
                <w:noProof/>
                <w:sz w:val="22"/>
                <w:szCs w:val="22"/>
                <w:lang w:val="en-IE"/>
              </w:rPr>
              <w:t xml:space="preserve"> </w:t>
            </w:r>
            <w:r w:rsidRPr="006C1F98">
              <w:rPr>
                <w:rStyle w:val="FootnoteReference"/>
                <w:noProof/>
                <w:sz w:val="22"/>
                <w:szCs w:val="22"/>
                <w:lang w:val="en-IE"/>
              </w:rPr>
              <w:footnoteReference w:id="161"/>
            </w:r>
            <w:r w:rsidRPr="006C1F98">
              <w:rPr>
                <w:noProof/>
                <w:sz w:val="22"/>
                <w:szCs w:val="22"/>
                <w:lang w:val="en-IE"/>
              </w:rPr>
              <w:t xml:space="preserve"> </w:t>
            </w:r>
            <w:r w:rsidRPr="006C1F98">
              <w:rPr>
                <w:rStyle w:val="FootnoteReference"/>
                <w:noProof/>
                <w:sz w:val="22"/>
                <w:szCs w:val="22"/>
                <w:lang w:val="en-IE"/>
              </w:rPr>
              <w:footnoteReference w:id="162"/>
            </w:r>
            <w:r w:rsidRPr="006C1F98">
              <w:rPr>
                <w:noProof/>
                <w:sz w:val="22"/>
                <w:szCs w:val="22"/>
                <w:lang w:val="en-IE"/>
              </w:rPr>
              <w:t xml:space="preserve"> </w:t>
            </w:r>
            <w:r w:rsidRPr="006C1F98">
              <w:rPr>
                <w:rStyle w:val="FootnoteReference"/>
                <w:noProof/>
                <w:sz w:val="22"/>
                <w:szCs w:val="22"/>
                <w:lang w:val="en-IE"/>
              </w:rPr>
              <w:footnoteReference w:id="163"/>
            </w:r>
            <w:r w:rsidRPr="006C1F98">
              <w:rPr>
                <w:noProof/>
                <w:sz w:val="22"/>
                <w:szCs w:val="22"/>
                <w:lang w:val="en-IE"/>
              </w:rPr>
              <w:t xml:space="preserve"> </w:t>
            </w:r>
            <w:r w:rsidRPr="006C1F98">
              <w:rPr>
                <w:rStyle w:val="FootnoteReference"/>
                <w:noProof/>
                <w:sz w:val="22"/>
                <w:szCs w:val="22"/>
                <w:lang w:val="en-IE"/>
              </w:rPr>
              <w:footnoteReference w:id="164"/>
            </w:r>
            <w:r w:rsidRPr="006C1F98">
              <w:rPr>
                <w:noProof/>
                <w:sz w:val="22"/>
                <w:szCs w:val="22"/>
                <w:lang w:val="en-IE"/>
              </w:rPr>
              <w:t xml:space="preserve"> </w:t>
            </w:r>
            <w:r w:rsidRPr="006C1F98">
              <w:rPr>
                <w:rStyle w:val="FootnoteReference"/>
                <w:noProof/>
                <w:sz w:val="22"/>
                <w:szCs w:val="22"/>
                <w:lang w:val="en-IE"/>
              </w:rPr>
              <w:footnoteReference w:id="165"/>
            </w:r>
            <w:r w:rsidRPr="006C1F98">
              <w:rPr>
                <w:noProof/>
                <w:sz w:val="22"/>
                <w:szCs w:val="22"/>
                <w:lang w:val="en-IE"/>
              </w:rPr>
              <w:t xml:space="preserve"> </w:t>
            </w:r>
            <w:r w:rsidRPr="006C1F98">
              <w:rPr>
                <w:rStyle w:val="FootnoteReference"/>
                <w:noProof/>
                <w:sz w:val="22"/>
                <w:szCs w:val="22"/>
                <w:lang w:val="en-IE"/>
              </w:rPr>
              <w:footnoteReference w:id="166"/>
            </w:r>
            <w:r w:rsidRPr="006C1F98">
              <w:rPr>
                <w:noProof/>
                <w:sz w:val="22"/>
                <w:szCs w:val="22"/>
                <w:lang w:val="en-IE"/>
              </w:rPr>
              <w:t xml:space="preserve"> </w:t>
            </w:r>
            <w:r w:rsidRPr="006C1F98">
              <w:rPr>
                <w:rStyle w:val="FootnoteReference"/>
                <w:noProof/>
                <w:sz w:val="22"/>
                <w:szCs w:val="22"/>
                <w:lang w:val="en-IE"/>
              </w:rPr>
              <w:footnoteReference w:id="167"/>
            </w:r>
            <w:r w:rsidRPr="006C1F98">
              <w:rPr>
                <w:noProof/>
                <w:sz w:val="22"/>
                <w:szCs w:val="22"/>
                <w:lang w:val="en-IE"/>
              </w:rPr>
              <w:t xml:space="preserve"> </w:t>
            </w:r>
            <w:r w:rsidRPr="006C1F98">
              <w:rPr>
                <w:rStyle w:val="FootnoteReference"/>
                <w:noProof/>
                <w:sz w:val="22"/>
                <w:szCs w:val="22"/>
                <w:lang w:val="en-IE"/>
              </w:rPr>
              <w:footnoteReference w:id="168"/>
            </w:r>
          </w:p>
        </w:tc>
        <w:tc>
          <w:tcPr>
            <w:tcW w:w="0" w:type="auto"/>
            <w:vAlign w:val="center"/>
          </w:tcPr>
          <w:p w14:paraId="5AF73E3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Zoning and land allocation for a data centre in Bucharest can take a few months for small plots (&lt;3,000 sqm) with no PUZ (Zonal Urban Plan) required, or 3–6 months if a valid PUZ  is already in place</w:t>
            </w:r>
          </w:p>
          <w:p w14:paraId="5A1B363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For larger plots requiring a new PUZ, the process can take 1–2 years or more but is currently subject to major delays due to legal and administrative gridlock</w:t>
            </w:r>
          </w:p>
        </w:tc>
        <w:tc>
          <w:tcPr>
            <w:tcW w:w="0" w:type="auto"/>
            <w:vAlign w:val="center"/>
          </w:tcPr>
          <w:p w14:paraId="60FC0BE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Romanian Construction Law stipulates that building permits must be issued within 30 days. In practice, it takes 6-12 months</w:t>
            </w:r>
          </w:p>
          <w:p w14:paraId="4061D65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Building permits are issued by either the General Mayor of Bucharest or District Mayors, depending on project type and location</w:t>
            </w:r>
          </w:p>
        </w:tc>
        <w:tc>
          <w:tcPr>
            <w:tcW w:w="0" w:type="auto"/>
            <w:vAlign w:val="center"/>
          </w:tcPr>
          <w:p w14:paraId="04699D22"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Romania’s energy regulator (ANRE) has recently overhauled grid connection rules. As of June 2025, only fully documented projects are placed in the queue, and developers must provide a financial guarantee before receiving a grid connection permit</w:t>
            </w:r>
          </w:p>
          <w:p w14:paraId="62BDD1A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Timeline is 1.5–3 years for grid connection, from application to energization.</w:t>
            </w:r>
          </w:p>
        </w:tc>
        <w:tc>
          <w:tcPr>
            <w:tcW w:w="0" w:type="auto"/>
            <w:vAlign w:val="center"/>
          </w:tcPr>
          <w:p w14:paraId="2721E01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is a prerequisite for the building permit</w:t>
            </w:r>
          </w:p>
          <w:p w14:paraId="599FCBE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EIA requirement follows the EU EIA Directive and there is a screening for industrial projects based on size/impact</w:t>
            </w:r>
          </w:p>
          <w:p w14:paraId="625EDB3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From sending the screening to the Bucharest Environmental Protection Agency, the total timeline for an EIA is 11-24 months</w:t>
            </w:r>
          </w:p>
        </w:tc>
        <w:tc>
          <w:tcPr>
            <w:tcW w:w="0" w:type="auto"/>
            <w:vAlign w:val="center"/>
          </w:tcPr>
          <w:p w14:paraId="6C0D0647"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18 - 36</w:t>
            </w:r>
          </w:p>
        </w:tc>
      </w:tr>
      <w:tr w:rsidR="001D7C55" w:rsidRPr="006C1F98" w14:paraId="3E6B7152" w14:textId="77777777" w:rsidTr="006C1F98">
        <w:tc>
          <w:tcPr>
            <w:tcW w:w="0" w:type="auto"/>
            <w:vAlign w:val="center"/>
          </w:tcPr>
          <w:p w14:paraId="5E058A76" w14:textId="77777777" w:rsidR="001D7C55" w:rsidRPr="006C1F98" w:rsidRDefault="001D7C55" w:rsidP="006C1F98">
            <w:pPr>
              <w:spacing w:after="0"/>
              <w:rPr>
                <w:b/>
                <w:noProof/>
                <w:sz w:val="22"/>
                <w:szCs w:val="22"/>
                <w:lang w:val="en-IE"/>
              </w:rPr>
            </w:pPr>
            <w:r w:rsidRPr="006C1F98">
              <w:rPr>
                <w:b/>
                <w:noProof/>
                <w:sz w:val="22"/>
                <w:szCs w:val="22"/>
                <w:lang w:val="en-IE"/>
              </w:rPr>
              <w:t>Spain</w:t>
            </w:r>
          </w:p>
          <w:p w14:paraId="159DB007" w14:textId="77777777" w:rsidR="001D7C55" w:rsidRPr="006C1F98" w:rsidRDefault="001D7C55" w:rsidP="006C1F98">
            <w:pPr>
              <w:spacing w:after="0"/>
              <w:rPr>
                <w:noProof/>
                <w:sz w:val="22"/>
                <w:szCs w:val="22"/>
                <w:lang w:val="en-IE"/>
              </w:rPr>
            </w:pPr>
          </w:p>
          <w:p w14:paraId="5D76CA3E" w14:textId="77777777" w:rsidR="001D7C55" w:rsidRPr="006C1F98" w:rsidRDefault="001D7C55" w:rsidP="006C1F98">
            <w:pPr>
              <w:spacing w:after="0"/>
              <w:rPr>
                <w:b/>
                <w:noProof/>
                <w:sz w:val="22"/>
                <w:szCs w:val="22"/>
                <w:lang w:val="en-IE"/>
              </w:rPr>
            </w:pPr>
            <w:r w:rsidRPr="006C1F98">
              <w:rPr>
                <w:noProof/>
                <w:sz w:val="22"/>
                <w:szCs w:val="22"/>
                <w:lang w:val="en-IE"/>
              </w:rPr>
              <w:t>Madrid</w:t>
            </w:r>
            <w:r w:rsidRPr="006C1F98">
              <w:rPr>
                <w:rStyle w:val="FootnoteReference"/>
                <w:noProof/>
                <w:sz w:val="22"/>
                <w:szCs w:val="22"/>
                <w:lang w:val="en-IE"/>
              </w:rPr>
              <w:footnoteReference w:id="169"/>
            </w:r>
            <w:r w:rsidRPr="006C1F98">
              <w:rPr>
                <w:noProof/>
                <w:sz w:val="22"/>
                <w:szCs w:val="22"/>
                <w:lang w:val="en-IE"/>
              </w:rPr>
              <w:t xml:space="preserve"> </w:t>
            </w:r>
            <w:r w:rsidRPr="006C1F98">
              <w:rPr>
                <w:rStyle w:val="FootnoteReference"/>
                <w:noProof/>
                <w:sz w:val="22"/>
                <w:szCs w:val="22"/>
                <w:lang w:val="en-IE"/>
              </w:rPr>
              <w:footnoteReference w:id="170"/>
            </w:r>
            <w:r w:rsidRPr="006C1F98">
              <w:rPr>
                <w:noProof/>
                <w:sz w:val="22"/>
                <w:szCs w:val="22"/>
                <w:lang w:val="en-IE"/>
              </w:rPr>
              <w:t xml:space="preserve"> </w:t>
            </w:r>
            <w:r w:rsidRPr="006C1F98">
              <w:rPr>
                <w:rStyle w:val="FootnoteReference"/>
                <w:noProof/>
                <w:sz w:val="22"/>
                <w:szCs w:val="22"/>
                <w:lang w:val="en-IE"/>
              </w:rPr>
              <w:footnoteReference w:id="171"/>
            </w:r>
            <w:r w:rsidRPr="006C1F98">
              <w:rPr>
                <w:noProof/>
                <w:sz w:val="22"/>
                <w:szCs w:val="22"/>
                <w:lang w:val="en-IE"/>
              </w:rPr>
              <w:t xml:space="preserve"> </w:t>
            </w:r>
            <w:r w:rsidRPr="006C1F98">
              <w:rPr>
                <w:rStyle w:val="FootnoteReference"/>
                <w:noProof/>
                <w:sz w:val="22"/>
                <w:szCs w:val="22"/>
                <w:lang w:val="en-IE"/>
              </w:rPr>
              <w:footnoteReference w:id="172"/>
            </w:r>
            <w:r w:rsidRPr="006C1F98">
              <w:rPr>
                <w:noProof/>
                <w:sz w:val="22"/>
                <w:szCs w:val="22"/>
                <w:lang w:val="en-IE"/>
              </w:rPr>
              <w:t xml:space="preserve"> </w:t>
            </w:r>
            <w:r w:rsidRPr="006C1F98">
              <w:rPr>
                <w:rStyle w:val="FootnoteReference"/>
                <w:noProof/>
                <w:sz w:val="22"/>
                <w:szCs w:val="22"/>
                <w:lang w:val="en-IE"/>
              </w:rPr>
              <w:footnoteReference w:id="173"/>
            </w:r>
          </w:p>
        </w:tc>
        <w:tc>
          <w:tcPr>
            <w:tcW w:w="0" w:type="auto"/>
            <w:vAlign w:val="center"/>
          </w:tcPr>
          <w:p w14:paraId="3139943A"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municipality determines the specific planning designation (industrial use)</w:t>
            </w:r>
          </w:p>
          <w:p w14:paraId="08F8378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Amendments/new planning involves, detailed planning, municipal review, and sometimes higher-level regional approvals (6-12 months on top)</w:t>
            </w:r>
          </w:p>
          <w:p w14:paraId="35773AAB" w14:textId="3E4CF101"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There are no land plans or zones that automatically authori</w:t>
            </w:r>
            <w:r w:rsidR="00B4552E">
              <w:rPr>
                <w:noProof/>
                <w:sz w:val="22"/>
                <w:szCs w:val="22"/>
                <w:lang w:val="en-IE"/>
              </w:rPr>
              <w:t>s</w:t>
            </w:r>
            <w:r w:rsidRPr="006C1F98">
              <w:rPr>
                <w:noProof/>
                <w:sz w:val="22"/>
                <w:szCs w:val="22"/>
                <w:lang w:val="en-IE"/>
              </w:rPr>
              <w:t>e data centres in Madrid; approvals are granted on a case-by-case basis</w:t>
            </w:r>
          </w:p>
        </w:tc>
        <w:tc>
          <w:tcPr>
            <w:tcW w:w="0" w:type="auto"/>
            <w:vAlign w:val="center"/>
          </w:tcPr>
          <w:p w14:paraId="3A1278E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Granted based on the technical project submitted by the developer. 3-12 months (3-4 months in straightforward cases)</w:t>
            </w:r>
          </w:p>
          <w:p w14:paraId="71B60EE3"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First Occupancy License (Licencia de Primera Ocupación): obtained after construction, confirming the building complies with the building permit. Involves inspection by municipal officials (3-6 months).</w:t>
            </w:r>
          </w:p>
          <w:p w14:paraId="7065FEC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Activity and Opening Licenses (Licencia de Actividad y Licencia de Apertura): confirms regulatory compliance for the intended use. “Declaración Responsable” (responsible declaration), the license is immediate or nearly immediate. For activities requiring a full license procedure (for significant or “qualified” activities), the process typically takes 3-6 months</w:t>
            </w:r>
          </w:p>
        </w:tc>
        <w:tc>
          <w:tcPr>
            <w:tcW w:w="0" w:type="auto"/>
            <w:vAlign w:val="center"/>
          </w:tcPr>
          <w:p w14:paraId="13EC93FB"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Submitting an access and connection request to Red Eléctrica de España (REE), the national transmission system operator</w:t>
            </w:r>
          </w:p>
          <w:p w14:paraId="75F5BCC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Undergoing feasibility studies, technical reviews, and regulatory approvals</w:t>
            </w:r>
          </w:p>
          <w:p w14:paraId="6F57174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Construction of new substations or high-voltage lines if required</w:t>
            </w:r>
          </w:p>
          <w:p w14:paraId="7B24A64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Final commissioning and energization</w:t>
            </w:r>
          </w:p>
          <w:p w14:paraId="480BE781"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&lt;12 months If the site is already near a substation with available capacity, or if a developer has pre-secured grid access</w:t>
            </w:r>
          </w:p>
          <w:p w14:paraId="0BBD277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2–4 years is the benchmark (especially for data centres &gt; 100 MW)</w:t>
            </w:r>
          </w:p>
        </w:tc>
        <w:tc>
          <w:tcPr>
            <w:tcW w:w="0" w:type="auto"/>
            <w:vAlign w:val="center"/>
          </w:tcPr>
          <w:p w14:paraId="72A0C844"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An Environmental Impact Assessment (EIA) may be required (e.g., projects &gt; 15 MW), depending on the size and location of the project. This can add several months to the process, especially if public hearings or additional studies are needed</w:t>
            </w:r>
          </w:p>
          <w:p w14:paraId="1D2FBB1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average is 11-24 months, including the determination request, EI study, public consultation and DIA issuance)</w:t>
            </w:r>
          </w:p>
          <w:p w14:paraId="4B29018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DIA must be issued before the building permit is granted</w:t>
            </w:r>
          </w:p>
        </w:tc>
        <w:tc>
          <w:tcPr>
            <w:tcW w:w="0" w:type="auto"/>
            <w:vAlign w:val="center"/>
          </w:tcPr>
          <w:p w14:paraId="7F2B626A" w14:textId="77777777" w:rsidR="001D7C55" w:rsidRPr="006C1F98" w:rsidRDefault="001D7C55" w:rsidP="006C1F98">
            <w:pPr>
              <w:spacing w:after="0"/>
              <w:ind w:left="-55"/>
              <w:jc w:val="center"/>
              <w:rPr>
                <w:noProof/>
                <w:sz w:val="22"/>
                <w:szCs w:val="22"/>
                <w:lang w:val="en-IE"/>
              </w:rPr>
            </w:pPr>
            <w:r w:rsidRPr="006C1F98">
              <w:rPr>
                <w:noProof/>
                <w:sz w:val="22"/>
                <w:szCs w:val="22"/>
                <w:lang w:val="en-IE"/>
              </w:rPr>
              <w:t>12 - 48</w:t>
            </w:r>
          </w:p>
        </w:tc>
      </w:tr>
      <w:tr w:rsidR="001D7C55" w:rsidRPr="006C1F98" w14:paraId="445B1C6A" w14:textId="77777777" w:rsidTr="006C1F98">
        <w:tc>
          <w:tcPr>
            <w:tcW w:w="0" w:type="auto"/>
            <w:vAlign w:val="center"/>
          </w:tcPr>
          <w:p w14:paraId="3AE73786" w14:textId="77777777" w:rsidR="001D7C55" w:rsidRPr="006C1F98" w:rsidRDefault="001D7C55" w:rsidP="006C1F98">
            <w:pPr>
              <w:spacing w:after="0"/>
              <w:rPr>
                <w:b/>
                <w:noProof/>
                <w:sz w:val="22"/>
                <w:szCs w:val="22"/>
                <w:lang w:val="en-IE"/>
              </w:rPr>
            </w:pPr>
            <w:r w:rsidRPr="006C1F98">
              <w:rPr>
                <w:b/>
                <w:noProof/>
                <w:sz w:val="22"/>
                <w:szCs w:val="22"/>
                <w:lang w:val="en-IE"/>
              </w:rPr>
              <w:t>Sweden</w:t>
            </w:r>
          </w:p>
          <w:p w14:paraId="5349D643" w14:textId="77777777" w:rsidR="001D7C55" w:rsidRPr="006C1F98" w:rsidRDefault="001D7C55" w:rsidP="006C1F98">
            <w:pPr>
              <w:spacing w:after="0"/>
              <w:rPr>
                <w:noProof/>
                <w:sz w:val="22"/>
                <w:szCs w:val="22"/>
                <w:lang w:val="en-IE"/>
              </w:rPr>
            </w:pPr>
          </w:p>
          <w:p w14:paraId="52ADA639" w14:textId="77777777" w:rsidR="001D7C55" w:rsidRPr="006C1F98" w:rsidRDefault="001D7C55" w:rsidP="006C1F98">
            <w:pPr>
              <w:spacing w:after="0"/>
              <w:rPr>
                <w:b/>
                <w:noProof/>
                <w:sz w:val="22"/>
                <w:szCs w:val="22"/>
                <w:lang w:val="en-IE"/>
              </w:rPr>
            </w:pPr>
            <w:r w:rsidRPr="006C1F98">
              <w:rPr>
                <w:noProof/>
                <w:sz w:val="22"/>
                <w:szCs w:val="22"/>
                <w:lang w:val="en-IE"/>
              </w:rPr>
              <w:t>Stockholm</w:t>
            </w:r>
            <w:r w:rsidRPr="006C1F98">
              <w:rPr>
                <w:rStyle w:val="FootnoteReference"/>
                <w:noProof/>
                <w:sz w:val="22"/>
                <w:szCs w:val="22"/>
                <w:lang w:val="en-IE"/>
              </w:rPr>
              <w:footnoteReference w:id="174"/>
            </w:r>
            <w:r w:rsidRPr="006C1F98">
              <w:rPr>
                <w:noProof/>
                <w:sz w:val="22"/>
                <w:szCs w:val="22"/>
                <w:lang w:val="en-IE"/>
              </w:rPr>
              <w:t xml:space="preserve"> </w:t>
            </w:r>
            <w:r w:rsidRPr="006C1F98">
              <w:rPr>
                <w:rStyle w:val="FootnoteReference"/>
                <w:noProof/>
                <w:sz w:val="22"/>
                <w:szCs w:val="22"/>
                <w:lang w:val="en-IE"/>
              </w:rPr>
              <w:footnoteReference w:id="175"/>
            </w:r>
            <w:r w:rsidRPr="006C1F98">
              <w:rPr>
                <w:noProof/>
                <w:sz w:val="22"/>
                <w:szCs w:val="22"/>
                <w:lang w:val="en-IE"/>
              </w:rPr>
              <w:t xml:space="preserve"> </w:t>
            </w:r>
            <w:r w:rsidRPr="006C1F98">
              <w:rPr>
                <w:rStyle w:val="FootnoteReference"/>
                <w:noProof/>
                <w:sz w:val="22"/>
                <w:szCs w:val="22"/>
                <w:lang w:val="en-IE"/>
              </w:rPr>
              <w:footnoteReference w:id="176"/>
            </w:r>
            <w:r w:rsidRPr="006C1F98">
              <w:rPr>
                <w:noProof/>
                <w:sz w:val="22"/>
                <w:szCs w:val="22"/>
                <w:lang w:val="en-IE"/>
              </w:rPr>
              <w:t xml:space="preserve"> </w:t>
            </w:r>
            <w:r w:rsidRPr="006C1F98">
              <w:rPr>
                <w:rStyle w:val="FootnoteReference"/>
                <w:noProof/>
                <w:sz w:val="22"/>
                <w:szCs w:val="22"/>
                <w:lang w:val="en-IE"/>
              </w:rPr>
              <w:footnoteReference w:id="177"/>
            </w:r>
          </w:p>
        </w:tc>
        <w:tc>
          <w:tcPr>
            <w:tcW w:w="0" w:type="auto"/>
            <w:vAlign w:val="center"/>
          </w:tcPr>
          <w:p w14:paraId="6ACEC96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Land designated as “technical facility” use in the municipal zoning plan (detaljplan): 0 months</w:t>
            </w:r>
          </w:p>
          <w:p w14:paraId="1A112F17"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not, new/amended zoning plan is needed (municipal approval + public consultation): +12-24 months</w:t>
            </w:r>
          </w:p>
        </w:tc>
        <w:tc>
          <w:tcPr>
            <w:tcW w:w="0" w:type="auto"/>
            <w:vAlign w:val="center"/>
          </w:tcPr>
          <w:p w14:paraId="2048418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Building permit (bygglov) average is 2-3 months (may take longer for complex projects)</w:t>
            </w:r>
          </w:p>
          <w:p w14:paraId="0F06860D"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After approval, a “start clearance” is needed before construction can begin, and a final clearance before the facility can be used</w:t>
            </w:r>
          </w:p>
        </w:tc>
        <w:tc>
          <w:tcPr>
            <w:tcW w:w="0" w:type="auto"/>
            <w:vAlign w:val="center"/>
          </w:tcPr>
          <w:p w14:paraId="0851686F"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Initiated in parallel or even before the permitting process by engaging with local grid owner (often Ellevio or Vattenfall)</w:t>
            </w:r>
          </w:p>
          <w:p w14:paraId="3620174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Technical and feasibility studies, land rights and permits, construction and commissioning take 2-4+ years</w:t>
            </w:r>
          </w:p>
        </w:tc>
        <w:tc>
          <w:tcPr>
            <w:tcW w:w="0" w:type="auto"/>
            <w:vAlign w:val="center"/>
          </w:tcPr>
          <w:p w14:paraId="0829FE66"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Data centres themselves usually do not require a separate environmental permit (integrated within overall permitting)</w:t>
            </w:r>
          </w:p>
          <w:p w14:paraId="4E114F5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if the project involves significant water use or heat recovery, additional environmental permissions may be needed (in line with the EU EIA directive)</w:t>
            </w:r>
          </w:p>
          <w:p w14:paraId="091DB6F8"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steps are screening and scoping (60 days), preparation of EI statement, submission and completeness check, public consultation (30 days).</w:t>
            </w:r>
          </w:p>
          <w:p w14:paraId="5400ECF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permit authority (often the Land and Environment Court or Environmental Assessment Delegation) may hold hearings or written consultations with all parties</w:t>
            </w:r>
          </w:p>
          <w:p w14:paraId="428F5AEE"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Timeline is 6-18 months and up to 24 months for complex cases</w:t>
            </w:r>
          </w:p>
          <w:p w14:paraId="10A033D5"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The building permit cannot be granted until the environmental permit (including the EIA) is in place</w:t>
            </w:r>
          </w:p>
        </w:tc>
        <w:tc>
          <w:tcPr>
            <w:tcW w:w="0" w:type="auto"/>
            <w:vAlign w:val="center"/>
          </w:tcPr>
          <w:p w14:paraId="6CF11DE9"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24 (average case)</w:t>
            </w:r>
          </w:p>
          <w:p w14:paraId="791561F0" w14:textId="77777777" w:rsidR="001D7C55" w:rsidRPr="006C1F98" w:rsidRDefault="001D7C55" w:rsidP="00744B72">
            <w:pPr>
              <w:pStyle w:val="ListParagraph"/>
              <w:numPr>
                <w:ilvl w:val="0"/>
                <w:numId w:val="29"/>
              </w:numPr>
              <w:spacing w:after="0"/>
              <w:ind w:left="125" w:hanging="180"/>
              <w:rPr>
                <w:noProof/>
                <w:sz w:val="22"/>
                <w:szCs w:val="22"/>
                <w:lang w:val="en-IE"/>
              </w:rPr>
            </w:pPr>
            <w:r w:rsidRPr="006C1F98">
              <w:rPr>
                <w:noProof/>
                <w:sz w:val="22"/>
                <w:szCs w:val="22"/>
                <w:lang w:val="en-IE"/>
              </w:rPr>
              <w:t>48+ (worst possible case)</w:t>
            </w:r>
          </w:p>
        </w:tc>
      </w:tr>
    </w:tbl>
    <w:p w14:paraId="1F7A2B8A" w14:textId="77777777" w:rsidR="00177179" w:rsidRDefault="00177179" w:rsidP="0099524E">
      <w:pPr>
        <w:rPr>
          <w:noProof/>
        </w:rPr>
      </w:pPr>
    </w:p>
    <w:p w14:paraId="68D980D7" w14:textId="77777777" w:rsidR="00177179" w:rsidRDefault="00177179" w:rsidP="0099524E">
      <w:pPr>
        <w:rPr>
          <w:noProof/>
        </w:rPr>
        <w:sectPr w:rsidR="00177179" w:rsidSect="00177179">
          <w:headerReference w:type="default" r:id="rId35"/>
          <w:footerReference w:type="default" r:id="rId36"/>
          <w:headerReference w:type="first" r:id="rId37"/>
          <w:footerReference w:type="first" r:id="rId38"/>
          <w:pgSz w:w="16838" w:h="11906" w:orient="landscape"/>
          <w:pgMar w:top="1587" w:right="1020" w:bottom="1274" w:left="1020" w:header="601" w:footer="893" w:gutter="0"/>
          <w:cols w:space="720"/>
          <w:titlePg/>
          <w:docGrid w:linePitch="326"/>
        </w:sectPr>
      </w:pPr>
    </w:p>
    <w:p w14:paraId="258651D8" w14:textId="77777777" w:rsidR="0099524E" w:rsidRPr="00D37004" w:rsidRDefault="0099524E" w:rsidP="00E918FC">
      <w:pPr>
        <w:pStyle w:val="AnnexTitle"/>
        <w:rPr>
          <w:noProof/>
          <w:lang w:val="en-IE"/>
        </w:rPr>
      </w:pPr>
      <w:bookmarkStart w:id="322" w:name="_Toc139373880"/>
      <w:bookmarkStart w:id="323" w:name="_Toc208138443"/>
      <w:bookmarkStart w:id="324" w:name="_Toc216283389"/>
      <w:bookmarkStart w:id="325" w:name="_Toc228346948"/>
      <w:r w:rsidRPr="00EE30FB">
        <w:rPr>
          <w:noProof/>
          <w:lang w:val="en-IE"/>
        </w:rPr>
        <w:t>Annex 5: Competitiveness check</w:t>
      </w:r>
      <w:bookmarkEnd w:id="322"/>
      <w:bookmarkEnd w:id="323"/>
      <w:bookmarkEnd w:id="324"/>
      <w:bookmarkEnd w:id="325"/>
    </w:p>
    <w:p w14:paraId="2CFE9F04" w14:textId="77777777" w:rsidR="0099524E" w:rsidRPr="00D37004" w:rsidRDefault="0099524E" w:rsidP="00913325">
      <w:pPr>
        <w:pStyle w:val="Heading1"/>
        <w:numPr>
          <w:ilvl w:val="0"/>
          <w:numId w:val="4"/>
        </w:numPr>
        <w:tabs>
          <w:tab w:val="clear" w:pos="480"/>
        </w:tabs>
        <w:ind w:left="720" w:hanging="360"/>
        <w:rPr>
          <w:noProof/>
          <w:lang w:val="en-IE"/>
        </w:rPr>
      </w:pPr>
      <w:bookmarkStart w:id="326" w:name="_Toc139373881"/>
      <w:bookmarkStart w:id="327" w:name="_Toc208138444"/>
      <w:bookmarkStart w:id="328" w:name="_Toc216283390"/>
      <w:bookmarkStart w:id="329" w:name="_Toc228346949"/>
      <w:r w:rsidRPr="00D37004">
        <w:rPr>
          <w:noProof/>
          <w:lang w:val="en-IE"/>
        </w:rPr>
        <w:t>Overview of impacts on competitiveness</w:t>
      </w:r>
      <w:bookmarkEnd w:id="326"/>
      <w:bookmarkEnd w:id="327"/>
      <w:bookmarkEnd w:id="328"/>
      <w:bookmarkEnd w:id="329"/>
      <w:r w:rsidRPr="00D37004">
        <w:rPr>
          <w:noProof/>
          <w:lang w:val="en-IE"/>
        </w:rPr>
        <w:t xml:space="preserve"> </w:t>
      </w:r>
    </w:p>
    <w:tbl>
      <w:tblPr>
        <w:tblStyle w:val="TableGrid"/>
        <w:tblW w:w="0" w:type="auto"/>
        <w:tblLook w:val="04A0" w:firstRow="1" w:lastRow="0" w:firstColumn="1" w:lastColumn="0" w:noHBand="0" w:noVBand="1"/>
      </w:tblPr>
      <w:tblGrid>
        <w:gridCol w:w="2750"/>
        <w:gridCol w:w="2500"/>
        <w:gridCol w:w="3369"/>
      </w:tblGrid>
      <w:tr w:rsidR="0099524E" w:rsidRPr="00D37004" w14:paraId="2FA50F00" w14:textId="77777777" w:rsidTr="00112835">
        <w:tc>
          <w:tcPr>
            <w:tcW w:w="0" w:type="auto"/>
            <w:vAlign w:val="center"/>
          </w:tcPr>
          <w:p w14:paraId="3F27243C" w14:textId="77777777" w:rsidR="0099524E" w:rsidRPr="00D37004" w:rsidRDefault="0099524E">
            <w:pPr>
              <w:spacing w:before="60" w:after="60"/>
              <w:jc w:val="center"/>
              <w:rPr>
                <w:b/>
                <w:noProof/>
              </w:rPr>
            </w:pPr>
            <w:r w:rsidRPr="00D37004">
              <w:rPr>
                <w:b/>
                <w:noProof/>
              </w:rPr>
              <w:t>Dimensions of Competitiveness</w:t>
            </w:r>
          </w:p>
        </w:tc>
        <w:tc>
          <w:tcPr>
            <w:tcW w:w="2500" w:type="dxa"/>
            <w:vAlign w:val="center"/>
          </w:tcPr>
          <w:p w14:paraId="5BA5EC16" w14:textId="77777777" w:rsidR="0099524E" w:rsidRPr="00D37004" w:rsidRDefault="0099524E">
            <w:pPr>
              <w:spacing w:before="60" w:after="60"/>
              <w:jc w:val="center"/>
              <w:rPr>
                <w:b/>
                <w:noProof/>
              </w:rPr>
            </w:pPr>
            <w:r w:rsidRPr="00D37004">
              <w:rPr>
                <w:b/>
                <w:noProof/>
              </w:rPr>
              <w:t>Impact of the initiative</w:t>
            </w:r>
          </w:p>
          <w:p w14:paraId="075EDD1D" w14:textId="28A4D5F4" w:rsidR="0099524E" w:rsidRPr="00D37004" w:rsidRDefault="0099524E">
            <w:pPr>
              <w:spacing w:before="60" w:after="60"/>
              <w:jc w:val="center"/>
              <w:rPr>
                <w:b/>
                <w:noProof/>
              </w:rPr>
            </w:pPr>
            <w:r w:rsidRPr="00D37004">
              <w:rPr>
                <w:b/>
                <w:noProof/>
              </w:rPr>
              <w:t>(++ / + / 0 / - / -- / n.a.)</w:t>
            </w:r>
          </w:p>
        </w:tc>
        <w:tc>
          <w:tcPr>
            <w:tcW w:w="3369" w:type="dxa"/>
            <w:vAlign w:val="center"/>
          </w:tcPr>
          <w:p w14:paraId="5D556232" w14:textId="77777777" w:rsidR="0099524E" w:rsidRPr="00D37004" w:rsidRDefault="0099524E">
            <w:pPr>
              <w:spacing w:before="60" w:after="60"/>
              <w:jc w:val="center"/>
              <w:rPr>
                <w:b/>
                <w:noProof/>
              </w:rPr>
            </w:pPr>
            <w:r w:rsidRPr="00D37004">
              <w:rPr>
                <w:b/>
                <w:noProof/>
              </w:rPr>
              <w:t>References to sub-sections of the main report or annexes</w:t>
            </w:r>
          </w:p>
        </w:tc>
      </w:tr>
      <w:tr w:rsidR="00681AA1" w:rsidRPr="00D37004" w14:paraId="4121DC51" w14:textId="77777777" w:rsidTr="00112835">
        <w:tc>
          <w:tcPr>
            <w:tcW w:w="0" w:type="auto"/>
            <w:vAlign w:val="center"/>
          </w:tcPr>
          <w:p w14:paraId="6A3D4FFC" w14:textId="77777777" w:rsidR="00681AA1" w:rsidRPr="00D37004" w:rsidRDefault="00681AA1" w:rsidP="00681AA1">
            <w:pPr>
              <w:spacing w:before="60" w:after="60"/>
              <w:rPr>
                <w:noProof/>
              </w:rPr>
            </w:pPr>
            <w:r w:rsidRPr="00D37004">
              <w:rPr>
                <w:noProof/>
              </w:rPr>
              <w:t>Cost and price competitiveness</w:t>
            </w:r>
          </w:p>
        </w:tc>
        <w:tc>
          <w:tcPr>
            <w:tcW w:w="2500" w:type="dxa"/>
            <w:vAlign w:val="center"/>
          </w:tcPr>
          <w:p w14:paraId="4D326058" w14:textId="636F2C3A" w:rsidR="00681AA1" w:rsidRPr="00D37004" w:rsidRDefault="00681AA1" w:rsidP="00681AA1">
            <w:pPr>
              <w:spacing w:before="60" w:after="60"/>
              <w:jc w:val="center"/>
              <w:rPr>
                <w:noProof/>
              </w:rPr>
            </w:pPr>
            <w:r w:rsidRPr="00D37004">
              <w:rPr>
                <w:noProof/>
              </w:rPr>
              <w:t>+</w:t>
            </w:r>
          </w:p>
        </w:tc>
        <w:tc>
          <w:tcPr>
            <w:tcW w:w="3369" w:type="dxa"/>
            <w:vAlign w:val="center"/>
          </w:tcPr>
          <w:p w14:paraId="20A6FC18" w14:textId="6966E593" w:rsidR="00681AA1" w:rsidRPr="009E626E" w:rsidRDefault="00681AA1" w:rsidP="00681AA1">
            <w:pPr>
              <w:spacing w:before="60" w:after="60"/>
              <w:rPr>
                <w:noProof/>
              </w:rPr>
            </w:pPr>
            <w:r w:rsidRPr="009E626E">
              <w:rPr>
                <w:noProof/>
              </w:rPr>
              <w:t>Section 6.1.5, Annex 4</w:t>
            </w:r>
          </w:p>
        </w:tc>
      </w:tr>
      <w:tr w:rsidR="00681AA1" w:rsidRPr="00D37004" w14:paraId="26C032E4" w14:textId="77777777" w:rsidTr="00112835">
        <w:tc>
          <w:tcPr>
            <w:tcW w:w="0" w:type="auto"/>
            <w:vAlign w:val="center"/>
          </w:tcPr>
          <w:p w14:paraId="4B0DE0B9" w14:textId="77777777" w:rsidR="00681AA1" w:rsidRPr="00D37004" w:rsidRDefault="00681AA1" w:rsidP="00681AA1">
            <w:pPr>
              <w:spacing w:before="60" w:after="60"/>
              <w:rPr>
                <w:noProof/>
              </w:rPr>
            </w:pPr>
            <w:r w:rsidRPr="00D37004">
              <w:rPr>
                <w:noProof/>
              </w:rPr>
              <w:t xml:space="preserve">International competitiveness </w:t>
            </w:r>
          </w:p>
        </w:tc>
        <w:tc>
          <w:tcPr>
            <w:tcW w:w="2500" w:type="dxa"/>
            <w:vAlign w:val="center"/>
          </w:tcPr>
          <w:p w14:paraId="6E72F61E" w14:textId="7B20CAEF" w:rsidR="00681AA1" w:rsidRPr="00D37004" w:rsidRDefault="00681AA1" w:rsidP="00681AA1">
            <w:pPr>
              <w:spacing w:before="60" w:after="60"/>
              <w:jc w:val="center"/>
              <w:rPr>
                <w:noProof/>
              </w:rPr>
            </w:pPr>
            <w:r w:rsidRPr="00D37004">
              <w:rPr>
                <w:noProof/>
              </w:rPr>
              <w:t>+</w:t>
            </w:r>
          </w:p>
        </w:tc>
        <w:tc>
          <w:tcPr>
            <w:tcW w:w="3369" w:type="dxa"/>
            <w:vAlign w:val="center"/>
          </w:tcPr>
          <w:p w14:paraId="4B58BFBA" w14:textId="3B77FE5D" w:rsidR="00681AA1" w:rsidRPr="009E626E" w:rsidRDefault="00681AA1" w:rsidP="00681AA1">
            <w:pPr>
              <w:spacing w:before="60" w:after="60"/>
              <w:rPr>
                <w:noProof/>
              </w:rPr>
            </w:pPr>
            <w:r w:rsidRPr="009E626E">
              <w:rPr>
                <w:noProof/>
              </w:rPr>
              <w:t>Section 6.1.5, Section 6.1.6</w:t>
            </w:r>
          </w:p>
        </w:tc>
      </w:tr>
      <w:tr w:rsidR="00681AA1" w:rsidRPr="00D37004" w14:paraId="6CB6221E" w14:textId="77777777" w:rsidTr="00112835">
        <w:tc>
          <w:tcPr>
            <w:tcW w:w="0" w:type="auto"/>
            <w:vAlign w:val="center"/>
          </w:tcPr>
          <w:p w14:paraId="366D1305" w14:textId="77777777" w:rsidR="00681AA1" w:rsidRPr="00D37004" w:rsidRDefault="00681AA1" w:rsidP="00681AA1">
            <w:pPr>
              <w:spacing w:before="60" w:after="60"/>
              <w:rPr>
                <w:noProof/>
              </w:rPr>
            </w:pPr>
            <w:r w:rsidRPr="00D37004">
              <w:rPr>
                <w:noProof/>
              </w:rPr>
              <w:t>Capacity to innovate</w:t>
            </w:r>
          </w:p>
        </w:tc>
        <w:tc>
          <w:tcPr>
            <w:tcW w:w="2500" w:type="dxa"/>
            <w:vAlign w:val="center"/>
          </w:tcPr>
          <w:p w14:paraId="117F7784" w14:textId="6DB265BC" w:rsidR="00681AA1" w:rsidRPr="00D37004" w:rsidRDefault="00681AA1" w:rsidP="00681AA1">
            <w:pPr>
              <w:spacing w:before="60" w:after="60"/>
              <w:jc w:val="center"/>
              <w:rPr>
                <w:noProof/>
              </w:rPr>
            </w:pPr>
            <w:r w:rsidRPr="00D37004">
              <w:rPr>
                <w:noProof/>
              </w:rPr>
              <w:t>++</w:t>
            </w:r>
          </w:p>
        </w:tc>
        <w:tc>
          <w:tcPr>
            <w:tcW w:w="3369" w:type="dxa"/>
            <w:vAlign w:val="center"/>
          </w:tcPr>
          <w:p w14:paraId="6218CE7B" w14:textId="3634D42F" w:rsidR="00681AA1" w:rsidRPr="009E626E" w:rsidRDefault="003F04D6" w:rsidP="00681AA1">
            <w:pPr>
              <w:spacing w:before="60" w:after="60"/>
              <w:rPr>
                <w:noProof/>
              </w:rPr>
            </w:pPr>
            <w:r w:rsidRPr="009E626E">
              <w:rPr>
                <w:noProof/>
              </w:rPr>
              <w:t xml:space="preserve">Section 6.1.1, </w:t>
            </w:r>
            <w:r w:rsidR="00681AA1" w:rsidRPr="009E626E">
              <w:rPr>
                <w:noProof/>
              </w:rPr>
              <w:t>Section 6.1.4</w:t>
            </w:r>
          </w:p>
        </w:tc>
      </w:tr>
      <w:tr w:rsidR="00681AA1" w:rsidRPr="00D37004" w14:paraId="65C05996" w14:textId="77777777" w:rsidTr="00112835">
        <w:tc>
          <w:tcPr>
            <w:tcW w:w="0" w:type="auto"/>
            <w:vAlign w:val="center"/>
          </w:tcPr>
          <w:p w14:paraId="2247C625" w14:textId="77777777" w:rsidR="00681AA1" w:rsidRPr="00D37004" w:rsidRDefault="00681AA1" w:rsidP="00681AA1">
            <w:pPr>
              <w:spacing w:before="60" w:after="60"/>
              <w:rPr>
                <w:noProof/>
              </w:rPr>
            </w:pPr>
            <w:r w:rsidRPr="00D37004">
              <w:rPr>
                <w:noProof/>
              </w:rPr>
              <w:t>SME competitiveness</w:t>
            </w:r>
          </w:p>
        </w:tc>
        <w:tc>
          <w:tcPr>
            <w:tcW w:w="2500" w:type="dxa"/>
            <w:vAlign w:val="center"/>
          </w:tcPr>
          <w:p w14:paraId="36894CFD" w14:textId="341624DE" w:rsidR="00681AA1" w:rsidRPr="00D37004" w:rsidRDefault="00681AA1" w:rsidP="00681AA1">
            <w:pPr>
              <w:spacing w:before="60" w:after="60"/>
              <w:jc w:val="center"/>
              <w:rPr>
                <w:noProof/>
              </w:rPr>
            </w:pPr>
            <w:r w:rsidRPr="00D37004">
              <w:rPr>
                <w:noProof/>
              </w:rPr>
              <w:t>+</w:t>
            </w:r>
          </w:p>
        </w:tc>
        <w:tc>
          <w:tcPr>
            <w:tcW w:w="3369" w:type="dxa"/>
            <w:vAlign w:val="center"/>
          </w:tcPr>
          <w:p w14:paraId="4C5B4DB1" w14:textId="6958DF96" w:rsidR="00681AA1" w:rsidRPr="009E626E" w:rsidRDefault="00681AA1" w:rsidP="00681AA1">
            <w:pPr>
              <w:spacing w:before="60" w:after="60"/>
              <w:rPr>
                <w:noProof/>
              </w:rPr>
            </w:pPr>
            <w:r w:rsidRPr="009E626E">
              <w:rPr>
                <w:noProof/>
              </w:rPr>
              <w:t>Section 6.1.1</w:t>
            </w:r>
          </w:p>
        </w:tc>
      </w:tr>
    </w:tbl>
    <w:p w14:paraId="1F39CAFA" w14:textId="77777777" w:rsidR="0099524E" w:rsidRPr="00D37004" w:rsidRDefault="0099524E" w:rsidP="0099524E">
      <w:pPr>
        <w:rPr>
          <w:b/>
          <w:noProof/>
          <w:u w:val="single"/>
        </w:rPr>
      </w:pPr>
    </w:p>
    <w:p w14:paraId="072C997D" w14:textId="2EFD7745" w:rsidR="0099524E" w:rsidRPr="00D37004" w:rsidRDefault="0099524E" w:rsidP="008D0BAC">
      <w:pPr>
        <w:pStyle w:val="Heading1"/>
        <w:ind w:left="720"/>
        <w:rPr>
          <w:noProof/>
          <w:lang w:val="en-IE"/>
        </w:rPr>
      </w:pPr>
      <w:bookmarkStart w:id="330" w:name="_Toc139373882"/>
      <w:bookmarkStart w:id="331" w:name="_Toc208138445"/>
      <w:bookmarkStart w:id="332" w:name="_Toc216283391"/>
      <w:bookmarkStart w:id="333" w:name="_Toc228346950"/>
      <w:r w:rsidRPr="00D37004">
        <w:rPr>
          <w:noProof/>
          <w:lang w:val="en-IE"/>
        </w:rPr>
        <w:t>Synthetic assessment</w:t>
      </w:r>
      <w:bookmarkEnd w:id="330"/>
      <w:bookmarkEnd w:id="331"/>
      <w:bookmarkEnd w:id="332"/>
      <w:bookmarkEnd w:id="333"/>
      <w:r w:rsidRPr="00D37004">
        <w:rPr>
          <w:noProof/>
          <w:lang w:val="en-IE"/>
        </w:rPr>
        <w:t xml:space="preserve"> </w:t>
      </w:r>
    </w:p>
    <w:p w14:paraId="0C8CD6BE" w14:textId="79F320A0" w:rsidR="006B6F64" w:rsidRPr="00D37004" w:rsidRDefault="006B6F64" w:rsidP="005F12D6">
      <w:pPr>
        <w:pStyle w:val="Text1"/>
        <w:spacing w:before="240"/>
        <w:ind w:left="0"/>
        <w:rPr>
          <w:noProof/>
        </w:rPr>
      </w:pPr>
      <w:r w:rsidRPr="00D37004">
        <w:rPr>
          <w:b/>
          <w:noProof/>
        </w:rPr>
        <w:t>Cost and price competitiveness</w:t>
      </w:r>
    </w:p>
    <w:p w14:paraId="7309805C" w14:textId="401E6E61" w:rsidR="00037FDD" w:rsidRPr="00D37004" w:rsidRDefault="002C3BB4" w:rsidP="005F12D6">
      <w:pPr>
        <w:spacing w:after="120"/>
        <w:rPr>
          <w:noProof/>
        </w:rPr>
      </w:pPr>
      <w:r>
        <w:rPr>
          <w:noProof/>
        </w:rPr>
        <w:t>CADA</w:t>
      </w:r>
      <w:r w:rsidR="00037FDD" w:rsidRPr="00D37004">
        <w:rPr>
          <w:noProof/>
        </w:rPr>
        <w:t xml:space="preserve"> will impact both costs and price competitiveness. Building data centres is a capital</w:t>
      </w:r>
      <w:r w:rsidR="000B5038">
        <w:rPr>
          <w:noProof/>
        </w:rPr>
        <w:t>-</w:t>
      </w:r>
      <w:r w:rsidR="00037FDD" w:rsidRPr="00D37004">
        <w:rPr>
          <w:noProof/>
        </w:rPr>
        <w:t xml:space="preserve">intensive and complex activity that requires multiple permits and investments in its whole lifecycle (design, construction and operation). The facilitation of access to land and streamlined grid connections along with fast-track permitting procedures is expected to reduce </w:t>
      </w:r>
      <w:r w:rsidR="00241745" w:rsidRPr="00D37004">
        <w:rPr>
          <w:noProof/>
        </w:rPr>
        <w:t xml:space="preserve">total </w:t>
      </w:r>
      <w:r w:rsidR="00037FDD" w:rsidRPr="00D37004">
        <w:rPr>
          <w:noProof/>
        </w:rPr>
        <w:t>cost</w:t>
      </w:r>
      <w:r w:rsidR="00484D43" w:rsidRPr="00D37004">
        <w:rPr>
          <w:noProof/>
        </w:rPr>
        <w:t xml:space="preserve"> of ownership</w:t>
      </w:r>
      <w:r w:rsidR="00037FDD" w:rsidRPr="00D37004">
        <w:rPr>
          <w:noProof/>
        </w:rPr>
        <w:t xml:space="preserve"> for data centre operators</w:t>
      </w:r>
      <w:r>
        <w:rPr>
          <w:noProof/>
        </w:rPr>
        <w:t xml:space="preserve"> (PO1-B)</w:t>
      </w:r>
      <w:r w:rsidR="00037FDD" w:rsidRPr="00D37004">
        <w:rPr>
          <w:noProof/>
        </w:rPr>
        <w:t>. By shortening approval times, simplifying and harmoni</w:t>
      </w:r>
      <w:r w:rsidR="009707DB">
        <w:rPr>
          <w:noProof/>
        </w:rPr>
        <w:t>s</w:t>
      </w:r>
      <w:r w:rsidR="00037FDD" w:rsidRPr="00D37004">
        <w:rPr>
          <w:noProof/>
        </w:rPr>
        <w:t>ing requirements the cost of the immobili</w:t>
      </w:r>
      <w:r w:rsidR="009707DB">
        <w:rPr>
          <w:noProof/>
        </w:rPr>
        <w:t>s</w:t>
      </w:r>
      <w:r w:rsidR="00037FDD" w:rsidRPr="00D37004">
        <w:rPr>
          <w:noProof/>
        </w:rPr>
        <w:t xml:space="preserve">ed </w:t>
      </w:r>
      <w:r w:rsidR="036D4C0D">
        <w:rPr>
          <w:noProof/>
        </w:rPr>
        <w:t>capital</w:t>
      </w:r>
      <w:r w:rsidR="00037FDD">
        <w:rPr>
          <w:noProof/>
        </w:rPr>
        <w:t xml:space="preserve"> </w:t>
      </w:r>
      <w:r w:rsidR="00037FDD" w:rsidRPr="00D37004">
        <w:rPr>
          <w:noProof/>
        </w:rPr>
        <w:t xml:space="preserve">as well as transaction costs will be lowered. The introduction of a </w:t>
      </w:r>
      <w:r w:rsidR="008507ED">
        <w:rPr>
          <w:noProof/>
        </w:rPr>
        <w:t xml:space="preserve">national </w:t>
      </w:r>
      <w:r w:rsidR="00E375B2">
        <w:rPr>
          <w:noProof/>
        </w:rPr>
        <w:t>facilitator</w:t>
      </w:r>
      <w:r w:rsidR="008507ED">
        <w:rPr>
          <w:noProof/>
        </w:rPr>
        <w:t xml:space="preserve"> for data centre projects</w:t>
      </w:r>
      <w:r w:rsidR="00037FDD" w:rsidRPr="00D37004">
        <w:rPr>
          <w:noProof/>
        </w:rPr>
        <w:t xml:space="preserve"> will allow to save administrative time, very important for SMEs. The result of </w:t>
      </w:r>
      <w:r w:rsidR="00647508">
        <w:rPr>
          <w:noProof/>
        </w:rPr>
        <w:t>the preferred package</w:t>
      </w:r>
      <w:r w:rsidR="00037FDD" w:rsidRPr="00D37004">
        <w:rPr>
          <w:noProof/>
        </w:rPr>
        <w:t xml:space="preserve"> is expected to increase the number of </w:t>
      </w:r>
      <w:r w:rsidR="000D7700" w:rsidRPr="00D37004">
        <w:rPr>
          <w:noProof/>
        </w:rPr>
        <w:t>providers</w:t>
      </w:r>
      <w:r w:rsidR="00037FDD" w:rsidRPr="00D37004">
        <w:rPr>
          <w:noProof/>
        </w:rPr>
        <w:t>, enhancing competition and reducing market concentration.</w:t>
      </w:r>
    </w:p>
    <w:p w14:paraId="4E8E4A13" w14:textId="649B93C6" w:rsidR="00037FDD" w:rsidRPr="00D37004" w:rsidRDefault="00E44F87" w:rsidP="005F12D6">
      <w:pPr>
        <w:spacing w:after="120"/>
        <w:rPr>
          <w:noProof/>
        </w:rPr>
      </w:pPr>
      <w:r>
        <w:rPr>
          <w:noProof/>
        </w:rPr>
        <w:t xml:space="preserve">Under the preferred package (PM8 and </w:t>
      </w:r>
      <w:r w:rsidR="008D2807">
        <w:rPr>
          <w:noProof/>
        </w:rPr>
        <w:t>PM9)</w:t>
      </w:r>
      <w:r w:rsidR="005E312D">
        <w:rPr>
          <w:noProof/>
        </w:rPr>
        <w:t>,</w:t>
      </w:r>
      <w:r w:rsidR="008D2807">
        <w:rPr>
          <w:noProof/>
        </w:rPr>
        <w:t xml:space="preserve"> research </w:t>
      </w:r>
      <w:r w:rsidR="00AF13EE">
        <w:rPr>
          <w:noProof/>
        </w:rPr>
        <w:t>and innovation</w:t>
      </w:r>
      <w:r w:rsidR="008D2807">
        <w:rPr>
          <w:noProof/>
        </w:rPr>
        <w:t xml:space="preserve"> </w:t>
      </w:r>
      <w:r w:rsidR="008D2807" w:rsidRPr="00D37004">
        <w:rPr>
          <w:noProof/>
        </w:rPr>
        <w:t>will fund</w:t>
      </w:r>
      <w:r w:rsidR="008D2807">
        <w:rPr>
          <w:noProof/>
        </w:rPr>
        <w:t xml:space="preserve"> novel </w:t>
      </w:r>
      <w:r w:rsidR="00AF13EE">
        <w:rPr>
          <w:noProof/>
        </w:rPr>
        <w:t xml:space="preserve">technologies </w:t>
      </w:r>
      <w:r w:rsidR="00AF13EE" w:rsidRPr="00D37004">
        <w:rPr>
          <w:noProof/>
        </w:rPr>
        <w:t xml:space="preserve">(e.g. advanced cooling, AI-based energy optimization, </w:t>
      </w:r>
      <w:r w:rsidR="00AF13EE">
        <w:rPr>
          <w:noProof/>
        </w:rPr>
        <w:t>etc..)</w:t>
      </w:r>
      <w:r w:rsidR="00FA7CE0">
        <w:rPr>
          <w:noProof/>
        </w:rPr>
        <w:t xml:space="preserve"> </w:t>
      </w:r>
      <w:r w:rsidR="00AF13EE">
        <w:rPr>
          <w:noProof/>
        </w:rPr>
        <w:t xml:space="preserve">to achieve much </w:t>
      </w:r>
      <w:r w:rsidR="00037FDD" w:rsidRPr="00D37004">
        <w:rPr>
          <w:noProof/>
        </w:rPr>
        <w:t xml:space="preserve">more efficient </w:t>
      </w:r>
      <w:r w:rsidR="00AF13EE">
        <w:rPr>
          <w:noProof/>
        </w:rPr>
        <w:t>data centres</w:t>
      </w:r>
      <w:r w:rsidR="00037FDD" w:rsidRPr="00D37004">
        <w:rPr>
          <w:noProof/>
        </w:rPr>
        <w:t xml:space="preserve"> in terms of use of energy</w:t>
      </w:r>
      <w:r w:rsidR="00AF13EE">
        <w:rPr>
          <w:noProof/>
        </w:rPr>
        <w:t>.</w:t>
      </w:r>
      <w:r w:rsidR="00037FDD" w:rsidRPr="00D37004">
        <w:rPr>
          <w:noProof/>
        </w:rPr>
        <w:t xml:space="preserve"> </w:t>
      </w:r>
      <w:r w:rsidR="00FA7CE0">
        <w:rPr>
          <w:noProof/>
        </w:rPr>
        <w:t>Th</w:t>
      </w:r>
      <w:r w:rsidR="00037FDD" w:rsidRPr="00D37004">
        <w:rPr>
          <w:noProof/>
        </w:rPr>
        <w:t>i</w:t>
      </w:r>
      <w:r w:rsidR="00FA7CE0">
        <w:rPr>
          <w:noProof/>
        </w:rPr>
        <w:t xml:space="preserve">s </w:t>
      </w:r>
      <w:r w:rsidR="00037FDD" w:rsidRPr="00D37004">
        <w:rPr>
          <w:noProof/>
        </w:rPr>
        <w:t>innovation is expected to have positive spillover</w:t>
      </w:r>
      <w:r w:rsidR="00FA7CE0">
        <w:rPr>
          <w:noProof/>
        </w:rPr>
        <w:t>s</w:t>
      </w:r>
      <w:r w:rsidR="00037FDD" w:rsidRPr="00D37004">
        <w:rPr>
          <w:noProof/>
        </w:rPr>
        <w:t xml:space="preserve"> across the European cloud </w:t>
      </w:r>
      <w:r w:rsidR="000D7700" w:rsidRPr="00D37004">
        <w:rPr>
          <w:noProof/>
        </w:rPr>
        <w:t xml:space="preserve">and AI </w:t>
      </w:r>
      <w:r w:rsidR="00037FDD" w:rsidRPr="00D37004">
        <w:rPr>
          <w:noProof/>
        </w:rPr>
        <w:t xml:space="preserve">value chain. </w:t>
      </w:r>
      <w:r w:rsidR="005353BA">
        <w:rPr>
          <w:noProof/>
        </w:rPr>
        <w:t>Businesses</w:t>
      </w:r>
      <w:r w:rsidR="00037FDD" w:rsidRPr="00D37004">
        <w:rPr>
          <w:noProof/>
        </w:rPr>
        <w:t xml:space="preserve"> benefitting from the development of such innovations can achieve a lower total cost of ownership (TCO), and transfer part of these gains to customers through more competitive pricing</w:t>
      </w:r>
      <w:r w:rsidR="00E50CB8">
        <w:rPr>
          <w:noProof/>
        </w:rPr>
        <w:t xml:space="preserve"> for access to data centre capacity</w:t>
      </w:r>
      <w:r w:rsidR="00037FDD" w:rsidRPr="00D37004">
        <w:rPr>
          <w:noProof/>
        </w:rPr>
        <w:t xml:space="preserve">. This is particularly important for EU companies as they operate at smaller economies of scale than </w:t>
      </w:r>
      <w:r w:rsidR="00C04269" w:rsidRPr="00D37004">
        <w:rPr>
          <w:noProof/>
        </w:rPr>
        <w:t xml:space="preserve">their </w:t>
      </w:r>
      <w:r w:rsidR="00037FDD" w:rsidRPr="00D37004">
        <w:rPr>
          <w:noProof/>
        </w:rPr>
        <w:t>international counterparts.</w:t>
      </w:r>
    </w:p>
    <w:p w14:paraId="43BC9019" w14:textId="1035B3B2" w:rsidR="00037FDD" w:rsidRPr="00D37004" w:rsidRDefault="00037FDD" w:rsidP="005F12D6">
      <w:pPr>
        <w:spacing w:after="120"/>
        <w:rPr>
          <w:noProof/>
        </w:rPr>
      </w:pPr>
      <w:r w:rsidRPr="00D37004">
        <w:rPr>
          <w:noProof/>
        </w:rPr>
        <w:t xml:space="preserve">With respect to cloud and AI </w:t>
      </w:r>
      <w:r w:rsidR="00A011FC">
        <w:rPr>
          <w:noProof/>
        </w:rPr>
        <w:t>computing services</w:t>
      </w:r>
      <w:r w:rsidRPr="00D37004">
        <w:rPr>
          <w:noProof/>
        </w:rPr>
        <w:t xml:space="preserve">, </w:t>
      </w:r>
      <w:r w:rsidR="00FA0698">
        <w:rPr>
          <w:noProof/>
        </w:rPr>
        <w:t xml:space="preserve">PO2-C under </w:t>
      </w:r>
      <w:r w:rsidRPr="00D37004">
        <w:rPr>
          <w:noProof/>
        </w:rPr>
        <w:t xml:space="preserve">the </w:t>
      </w:r>
      <w:r w:rsidR="00F3009E">
        <w:rPr>
          <w:noProof/>
        </w:rPr>
        <w:t xml:space="preserve">preferred package </w:t>
      </w:r>
      <w:r w:rsidR="00FA0698">
        <w:rPr>
          <w:noProof/>
        </w:rPr>
        <w:t>impl</w:t>
      </w:r>
      <w:r w:rsidR="00DF553C">
        <w:rPr>
          <w:noProof/>
        </w:rPr>
        <w:t>ies</w:t>
      </w:r>
      <w:r w:rsidRPr="00D37004">
        <w:rPr>
          <w:noProof/>
        </w:rPr>
        <w:t xml:space="preserve"> additional costs </w:t>
      </w:r>
      <w:r w:rsidR="00DF553C">
        <w:rPr>
          <w:noProof/>
        </w:rPr>
        <w:t>for</w:t>
      </w:r>
      <w:r w:rsidRPr="00D37004">
        <w:rPr>
          <w:noProof/>
        </w:rPr>
        <w:t xml:space="preserve"> cloud and AI </w:t>
      </w:r>
      <w:r w:rsidR="00A011FC">
        <w:rPr>
          <w:noProof/>
        </w:rPr>
        <w:t>computing service</w:t>
      </w:r>
      <w:r w:rsidRPr="00D37004">
        <w:rPr>
          <w:noProof/>
        </w:rPr>
        <w:t xml:space="preserve"> providers to be </w:t>
      </w:r>
      <w:r w:rsidR="007656B6">
        <w:rPr>
          <w:noProof/>
        </w:rPr>
        <w:t>audited</w:t>
      </w:r>
      <w:r w:rsidRPr="00D37004">
        <w:rPr>
          <w:noProof/>
        </w:rPr>
        <w:t xml:space="preserve"> with a view of </w:t>
      </w:r>
      <w:r w:rsidR="007656B6">
        <w:rPr>
          <w:noProof/>
        </w:rPr>
        <w:t xml:space="preserve">achieving a sovereignty qualification which allows for </w:t>
      </w:r>
      <w:r w:rsidRPr="00D37004">
        <w:rPr>
          <w:noProof/>
        </w:rPr>
        <w:t xml:space="preserve">providing services to </w:t>
      </w:r>
      <w:r w:rsidR="00F3009E">
        <w:rPr>
          <w:noProof/>
        </w:rPr>
        <w:t>p</w:t>
      </w:r>
      <w:r w:rsidRPr="00D37004">
        <w:rPr>
          <w:noProof/>
        </w:rPr>
        <w:t xml:space="preserve">ublic </w:t>
      </w:r>
      <w:r w:rsidR="00F3009E">
        <w:rPr>
          <w:noProof/>
        </w:rPr>
        <w:t>a</w:t>
      </w:r>
      <w:r w:rsidR="00F3009E" w:rsidRPr="00D37004">
        <w:rPr>
          <w:noProof/>
        </w:rPr>
        <w:t xml:space="preserve">dministrations </w:t>
      </w:r>
      <w:r w:rsidRPr="00D37004">
        <w:rPr>
          <w:noProof/>
        </w:rPr>
        <w:t xml:space="preserve">in highly critical use cases. This may result in an increase of prices for sovereign cloud and AI </w:t>
      </w:r>
      <w:r w:rsidR="00A011FC">
        <w:rPr>
          <w:noProof/>
        </w:rPr>
        <w:t>computing services</w:t>
      </w:r>
      <w:r w:rsidRPr="00D37004">
        <w:rPr>
          <w:noProof/>
        </w:rPr>
        <w:t xml:space="preserve">, as the cost of adjusting (e.g. </w:t>
      </w:r>
      <w:r w:rsidR="00BE105F">
        <w:rPr>
          <w:noProof/>
        </w:rPr>
        <w:t>due to the creation of new legal constructs</w:t>
      </w:r>
      <w:r w:rsidRPr="00D37004">
        <w:rPr>
          <w:noProof/>
        </w:rPr>
        <w:t xml:space="preserve">) may be </w:t>
      </w:r>
      <w:r w:rsidR="00242538">
        <w:rPr>
          <w:noProof/>
        </w:rPr>
        <w:t>passed</w:t>
      </w:r>
      <w:r w:rsidR="00242538" w:rsidRPr="00D37004">
        <w:rPr>
          <w:noProof/>
        </w:rPr>
        <w:t xml:space="preserve"> </w:t>
      </w:r>
      <w:r w:rsidRPr="00D37004">
        <w:rPr>
          <w:noProof/>
        </w:rPr>
        <w:t>on</w:t>
      </w:r>
      <w:r w:rsidR="00242538">
        <w:rPr>
          <w:noProof/>
        </w:rPr>
        <w:t xml:space="preserve"> </w:t>
      </w:r>
      <w:r w:rsidRPr="00D37004">
        <w:rPr>
          <w:noProof/>
        </w:rPr>
        <w:t>to the customers</w:t>
      </w:r>
      <w:r w:rsidR="00FC0A8A">
        <w:rPr>
          <w:noProof/>
        </w:rPr>
        <w:t xml:space="preserve"> </w:t>
      </w:r>
      <w:r w:rsidR="00242538">
        <w:rPr>
          <w:noProof/>
        </w:rPr>
        <w:t xml:space="preserve">in the form of </w:t>
      </w:r>
      <w:r w:rsidR="00FC0A8A">
        <w:rPr>
          <w:noProof/>
        </w:rPr>
        <w:t xml:space="preserve">a </w:t>
      </w:r>
      <w:r w:rsidR="00242538">
        <w:rPr>
          <w:noProof/>
        </w:rPr>
        <w:t xml:space="preserve">price </w:t>
      </w:r>
      <w:r w:rsidR="00FC0A8A">
        <w:rPr>
          <w:noProof/>
        </w:rPr>
        <w:t>premium</w:t>
      </w:r>
      <w:r w:rsidRPr="00D37004">
        <w:rPr>
          <w:noProof/>
        </w:rPr>
        <w:t>. This will be the case until the market has stabili</w:t>
      </w:r>
      <w:r w:rsidR="00E73B17">
        <w:rPr>
          <w:noProof/>
        </w:rPr>
        <w:t>s</w:t>
      </w:r>
      <w:r w:rsidRPr="00D37004">
        <w:rPr>
          <w:noProof/>
        </w:rPr>
        <w:t>ed</w:t>
      </w:r>
      <w:r w:rsidR="005817A8" w:rsidRPr="00D37004">
        <w:rPr>
          <w:noProof/>
        </w:rPr>
        <w:t>,</w:t>
      </w:r>
      <w:r w:rsidRPr="00D37004">
        <w:rPr>
          <w:noProof/>
        </w:rPr>
        <w:t xml:space="preserve"> and the providers have recuperated the investment </w:t>
      </w:r>
      <w:r w:rsidR="00613908">
        <w:rPr>
          <w:noProof/>
        </w:rPr>
        <w:t>undertaken</w:t>
      </w:r>
      <w:r w:rsidRPr="00D37004">
        <w:rPr>
          <w:noProof/>
        </w:rPr>
        <w:t xml:space="preserve"> (short-term). The </w:t>
      </w:r>
      <w:r w:rsidR="00C35969">
        <w:rPr>
          <w:noProof/>
        </w:rPr>
        <w:t>risk sovereignty</w:t>
      </w:r>
      <w:r w:rsidRPr="00D37004">
        <w:rPr>
          <w:noProof/>
        </w:rPr>
        <w:t xml:space="preserve"> mechanism is expected to be an important cost aspect for </w:t>
      </w:r>
      <w:r>
        <w:rPr>
          <w:noProof/>
        </w:rPr>
        <w:t>SME</w:t>
      </w:r>
      <w:r w:rsidR="000C06DE">
        <w:rPr>
          <w:noProof/>
        </w:rPr>
        <w:t xml:space="preserve">s due to the effort needed to obtain and maintain the </w:t>
      </w:r>
      <w:r w:rsidR="00C35969">
        <w:rPr>
          <w:noProof/>
        </w:rPr>
        <w:t>audit</w:t>
      </w:r>
      <w:r>
        <w:rPr>
          <w:noProof/>
        </w:rPr>
        <w:t>.</w:t>
      </w:r>
      <w:r w:rsidRPr="00D37004">
        <w:rPr>
          <w:noProof/>
        </w:rPr>
        <w:t xml:space="preserve"> </w:t>
      </w:r>
      <w:r w:rsidR="00C35969">
        <w:rPr>
          <w:noProof/>
        </w:rPr>
        <w:t>Over time, however</w:t>
      </w:r>
      <w:r w:rsidRPr="00D37004">
        <w:rPr>
          <w:noProof/>
        </w:rPr>
        <w:t xml:space="preserve">, </w:t>
      </w:r>
      <w:r w:rsidR="00FC0A8A">
        <w:rPr>
          <w:noProof/>
        </w:rPr>
        <w:t>a</w:t>
      </w:r>
      <w:r w:rsidRPr="00D37004">
        <w:rPr>
          <w:noProof/>
        </w:rPr>
        <w:t xml:space="preserve"> </w:t>
      </w:r>
      <w:r w:rsidR="00FC0A8A">
        <w:rPr>
          <w:noProof/>
        </w:rPr>
        <w:t>harmoni</w:t>
      </w:r>
      <w:r w:rsidR="00135E98">
        <w:rPr>
          <w:noProof/>
        </w:rPr>
        <w:t>s</w:t>
      </w:r>
      <w:r w:rsidR="00FC0A8A">
        <w:rPr>
          <w:noProof/>
        </w:rPr>
        <w:t>ed and recogni</w:t>
      </w:r>
      <w:r w:rsidR="00135E98">
        <w:rPr>
          <w:noProof/>
        </w:rPr>
        <w:t>s</w:t>
      </w:r>
      <w:r w:rsidR="00FC0A8A">
        <w:rPr>
          <w:noProof/>
        </w:rPr>
        <w:t>ed</w:t>
      </w:r>
      <w:r w:rsidRPr="00D37004">
        <w:rPr>
          <w:noProof/>
        </w:rPr>
        <w:t xml:space="preserve"> mechanism</w:t>
      </w:r>
      <w:r w:rsidR="00FC0A8A">
        <w:rPr>
          <w:noProof/>
        </w:rPr>
        <w:t xml:space="preserve"> valid</w:t>
      </w:r>
      <w:r w:rsidRPr="00D37004">
        <w:rPr>
          <w:noProof/>
        </w:rPr>
        <w:t xml:space="preserve"> </w:t>
      </w:r>
      <w:r w:rsidR="00FC0A8A">
        <w:rPr>
          <w:noProof/>
        </w:rPr>
        <w:t>across the EU</w:t>
      </w:r>
      <w:r w:rsidRPr="00D37004">
        <w:rPr>
          <w:noProof/>
        </w:rPr>
        <w:t xml:space="preserve"> </w:t>
      </w:r>
      <w:r w:rsidR="000839D1">
        <w:rPr>
          <w:noProof/>
        </w:rPr>
        <w:t>will</w:t>
      </w:r>
      <w:r w:rsidR="000839D1" w:rsidRPr="00D37004">
        <w:rPr>
          <w:noProof/>
        </w:rPr>
        <w:t xml:space="preserve"> </w:t>
      </w:r>
      <w:r w:rsidRPr="00D37004">
        <w:rPr>
          <w:noProof/>
        </w:rPr>
        <w:t>reduce transaction costs and increase trust and market access.</w:t>
      </w:r>
    </w:p>
    <w:p w14:paraId="33F0D6B7" w14:textId="6CC82E2E" w:rsidR="00037FDD" w:rsidRPr="00D37004" w:rsidRDefault="00037FDD" w:rsidP="005F12D6">
      <w:pPr>
        <w:spacing w:after="120"/>
        <w:rPr>
          <w:noProof/>
        </w:rPr>
      </w:pPr>
      <w:r w:rsidRPr="00D37004">
        <w:rPr>
          <w:noProof/>
        </w:rPr>
        <w:t xml:space="preserve">Joint procurement and federation are likely to have a </w:t>
      </w:r>
      <w:r w:rsidR="009827A0">
        <w:rPr>
          <w:noProof/>
        </w:rPr>
        <w:t>two-fold</w:t>
      </w:r>
      <w:r w:rsidR="009827A0" w:rsidRPr="00D37004">
        <w:rPr>
          <w:noProof/>
        </w:rPr>
        <w:t xml:space="preserve"> </w:t>
      </w:r>
      <w:r w:rsidRPr="00D37004">
        <w:rPr>
          <w:noProof/>
        </w:rPr>
        <w:t xml:space="preserve">cost impact. </w:t>
      </w:r>
      <w:r w:rsidR="0076421F">
        <w:rPr>
          <w:noProof/>
        </w:rPr>
        <w:t>First</w:t>
      </w:r>
      <w:r w:rsidRPr="00D37004">
        <w:rPr>
          <w:noProof/>
        </w:rPr>
        <w:t xml:space="preserve">, </w:t>
      </w:r>
      <w:r w:rsidR="000839D1">
        <w:rPr>
          <w:noProof/>
        </w:rPr>
        <w:t>they</w:t>
      </w:r>
      <w:r w:rsidRPr="00D37004">
        <w:rPr>
          <w:noProof/>
        </w:rPr>
        <w:t xml:space="preserve"> will create economies of scale on the demand side, reducing unit prices for procured services</w:t>
      </w:r>
      <w:r w:rsidR="0092353D">
        <w:rPr>
          <w:noProof/>
        </w:rPr>
        <w:t>.</w:t>
      </w:r>
      <w:r w:rsidRPr="00D37004">
        <w:rPr>
          <w:noProof/>
        </w:rPr>
        <w:t xml:space="preserve"> </w:t>
      </w:r>
      <w:r w:rsidR="0076421F">
        <w:rPr>
          <w:noProof/>
        </w:rPr>
        <w:t>Second</w:t>
      </w:r>
      <w:r w:rsidR="00A01E5B">
        <w:rPr>
          <w:noProof/>
        </w:rPr>
        <w:t>,</w:t>
      </w:r>
      <w:r w:rsidRPr="00D37004" w:rsidDel="0092353D">
        <w:rPr>
          <w:noProof/>
        </w:rPr>
        <w:t xml:space="preserve"> </w:t>
      </w:r>
      <w:r w:rsidR="0092353D">
        <w:rPr>
          <w:noProof/>
        </w:rPr>
        <w:t>they</w:t>
      </w:r>
      <w:r w:rsidRPr="00D37004">
        <w:rPr>
          <w:noProof/>
        </w:rPr>
        <w:t xml:space="preserve"> will generate predictable demand signals, which will decrease the risk premiums of the suppliers. </w:t>
      </w:r>
      <w:r w:rsidR="00BE6DA4">
        <w:rPr>
          <w:noProof/>
        </w:rPr>
        <w:t>J</w:t>
      </w:r>
      <w:r w:rsidRPr="00D37004">
        <w:rPr>
          <w:noProof/>
        </w:rPr>
        <w:t xml:space="preserve">oint procurement and federation can reshape the market by creating </w:t>
      </w:r>
      <w:r w:rsidR="0092353D">
        <w:rPr>
          <w:noProof/>
        </w:rPr>
        <w:t>a</w:t>
      </w:r>
      <w:r w:rsidRPr="00D37004">
        <w:rPr>
          <w:noProof/>
        </w:rPr>
        <w:t xml:space="preserve"> large pool of aggregated demand open to multiple providers, notably allowing smaller providers to compete for speciali</w:t>
      </w:r>
      <w:r w:rsidR="00D45268">
        <w:rPr>
          <w:noProof/>
        </w:rPr>
        <w:t>s</w:t>
      </w:r>
      <w:r w:rsidRPr="00D37004">
        <w:rPr>
          <w:noProof/>
        </w:rPr>
        <w:t xml:space="preserve">ed services. This will result in an overall </w:t>
      </w:r>
      <w:r w:rsidR="0048102B">
        <w:rPr>
          <w:noProof/>
        </w:rPr>
        <w:t>improved</w:t>
      </w:r>
      <w:r w:rsidRPr="00D37004">
        <w:rPr>
          <w:noProof/>
        </w:rPr>
        <w:t xml:space="preserve"> </w:t>
      </w:r>
      <w:r w:rsidR="0076619A">
        <w:rPr>
          <w:noProof/>
        </w:rPr>
        <w:t>sit</w:t>
      </w:r>
      <w:r w:rsidR="00A42427">
        <w:rPr>
          <w:noProof/>
        </w:rPr>
        <w:t>uation</w:t>
      </w:r>
      <w:r w:rsidR="0076619A" w:rsidRPr="00D37004">
        <w:rPr>
          <w:noProof/>
        </w:rPr>
        <w:t xml:space="preserve"> </w:t>
      </w:r>
      <w:r w:rsidRPr="00D37004">
        <w:rPr>
          <w:noProof/>
        </w:rPr>
        <w:t xml:space="preserve">of </w:t>
      </w:r>
      <w:r w:rsidR="00124452">
        <w:rPr>
          <w:noProof/>
        </w:rPr>
        <w:t>the public sector</w:t>
      </w:r>
      <w:r w:rsidR="002A69E6">
        <w:rPr>
          <w:noProof/>
        </w:rPr>
        <w:t xml:space="preserve"> using</w:t>
      </w:r>
      <w:r w:rsidR="0048102B">
        <w:rPr>
          <w:noProof/>
        </w:rPr>
        <w:t xml:space="preserve"> cloud and AI computing services</w:t>
      </w:r>
      <w:r w:rsidRPr="00D37004">
        <w:rPr>
          <w:noProof/>
        </w:rPr>
        <w:t>, mitigating the risk</w:t>
      </w:r>
      <w:r w:rsidR="00F761BC">
        <w:rPr>
          <w:noProof/>
        </w:rPr>
        <w:t>s</w:t>
      </w:r>
      <w:r w:rsidRPr="00D37004">
        <w:rPr>
          <w:noProof/>
        </w:rPr>
        <w:t xml:space="preserve"> </w:t>
      </w:r>
      <w:r w:rsidR="00F761BC">
        <w:rPr>
          <w:noProof/>
        </w:rPr>
        <w:t xml:space="preserve">stemming from </w:t>
      </w:r>
      <w:r w:rsidR="007F6197">
        <w:rPr>
          <w:noProof/>
        </w:rPr>
        <w:t>dependence</w:t>
      </w:r>
      <w:r w:rsidR="00F761BC">
        <w:rPr>
          <w:noProof/>
        </w:rPr>
        <w:t xml:space="preserve"> on a small number of providers</w:t>
      </w:r>
      <w:r w:rsidRPr="00D37004">
        <w:rPr>
          <w:noProof/>
        </w:rPr>
        <w:t xml:space="preserve">. An additional element is transparency: through the access </w:t>
      </w:r>
      <w:r w:rsidR="00806D4A">
        <w:rPr>
          <w:noProof/>
        </w:rPr>
        <w:t>to</w:t>
      </w:r>
      <w:r w:rsidR="00806D4A" w:rsidRPr="00D37004">
        <w:rPr>
          <w:noProof/>
        </w:rPr>
        <w:t xml:space="preserve"> </w:t>
      </w:r>
      <w:r w:rsidRPr="00D37004">
        <w:rPr>
          <w:noProof/>
        </w:rPr>
        <w:t>large contracts</w:t>
      </w:r>
      <w:r w:rsidR="00806D4A">
        <w:rPr>
          <w:noProof/>
        </w:rPr>
        <w:t>,</w:t>
      </w:r>
      <w:r w:rsidRPr="00D37004">
        <w:rPr>
          <w:noProof/>
        </w:rPr>
        <w:t xml:space="preserve"> smaller cloud and AI </w:t>
      </w:r>
      <w:r w:rsidR="00A011FC">
        <w:rPr>
          <w:noProof/>
        </w:rPr>
        <w:t>computing service</w:t>
      </w:r>
      <w:r w:rsidRPr="00D37004">
        <w:rPr>
          <w:noProof/>
        </w:rPr>
        <w:t xml:space="preserve"> providers can retain customer acquisition costs (CAC) and amorti</w:t>
      </w:r>
      <w:r w:rsidR="00433DE2">
        <w:rPr>
          <w:noProof/>
        </w:rPr>
        <w:t>s</w:t>
      </w:r>
      <w:r w:rsidRPr="00D37004">
        <w:rPr>
          <w:noProof/>
        </w:rPr>
        <w:t xml:space="preserve">e fixed development expenditures. This will result, in the medium term, </w:t>
      </w:r>
      <w:r w:rsidR="00A01E5B">
        <w:rPr>
          <w:noProof/>
        </w:rPr>
        <w:t>in</w:t>
      </w:r>
      <w:r w:rsidRPr="00D37004">
        <w:rPr>
          <w:noProof/>
        </w:rPr>
        <w:t xml:space="preserve"> a more stable cost structure and greater price competitiveness. </w:t>
      </w:r>
    </w:p>
    <w:p w14:paraId="3969F6D5" w14:textId="7B874077" w:rsidR="00037FDD" w:rsidRPr="00D37004" w:rsidRDefault="00037FDD" w:rsidP="005F12D6">
      <w:pPr>
        <w:spacing w:after="120"/>
        <w:rPr>
          <w:noProof/>
        </w:rPr>
      </w:pPr>
      <w:r w:rsidRPr="00D37004">
        <w:rPr>
          <w:noProof/>
        </w:rPr>
        <w:t xml:space="preserve">The creation of </w:t>
      </w:r>
      <w:r w:rsidRPr="00D37004" w:rsidDel="00D443F0">
        <w:rPr>
          <w:noProof/>
        </w:rPr>
        <w:t xml:space="preserve">a </w:t>
      </w:r>
      <w:r w:rsidR="00D443F0">
        <w:rPr>
          <w:noProof/>
        </w:rPr>
        <w:t xml:space="preserve">cloud and AI toolbox is expected to </w:t>
      </w:r>
      <w:r w:rsidRPr="00D37004">
        <w:rPr>
          <w:noProof/>
        </w:rPr>
        <w:t xml:space="preserve">promote further competition by </w:t>
      </w:r>
      <w:r w:rsidR="00D443F0">
        <w:rPr>
          <w:noProof/>
        </w:rPr>
        <w:t>allowing European providers to better integrate their service offerings</w:t>
      </w:r>
      <w:r w:rsidRPr="00D37004">
        <w:rPr>
          <w:noProof/>
        </w:rPr>
        <w:t>. Currently</w:t>
      </w:r>
      <w:r w:rsidR="00371308">
        <w:rPr>
          <w:noProof/>
        </w:rPr>
        <w:t>,</w:t>
      </w:r>
      <w:r w:rsidRPr="00D37004">
        <w:rPr>
          <w:noProof/>
        </w:rPr>
        <w:t xml:space="preserve"> there is a large fragmentation across national markets and cloud</w:t>
      </w:r>
      <w:r w:rsidR="005347F3" w:rsidRPr="00D37004">
        <w:rPr>
          <w:noProof/>
        </w:rPr>
        <w:t>,</w:t>
      </w:r>
      <w:r w:rsidRPr="00D37004">
        <w:rPr>
          <w:noProof/>
        </w:rPr>
        <w:t xml:space="preserve"> </w:t>
      </w:r>
      <w:r w:rsidR="00371308">
        <w:rPr>
          <w:noProof/>
        </w:rPr>
        <w:t xml:space="preserve">and AI computing </w:t>
      </w:r>
      <w:r w:rsidRPr="00D37004">
        <w:rPr>
          <w:noProof/>
        </w:rPr>
        <w:t>services are not comparable which create uncertainty. This is expected to have a positive impact in SMEs.</w:t>
      </w:r>
    </w:p>
    <w:p w14:paraId="312F26BE" w14:textId="4FAC8A04" w:rsidR="00037FDD" w:rsidRPr="00D37004" w:rsidRDefault="00037FDD" w:rsidP="005F12D6">
      <w:pPr>
        <w:spacing w:after="120"/>
        <w:rPr>
          <w:noProof/>
        </w:rPr>
      </w:pPr>
      <w:r w:rsidRPr="00D37004">
        <w:rPr>
          <w:noProof/>
        </w:rPr>
        <w:t xml:space="preserve">The directly affected sectors are </w:t>
      </w:r>
      <w:r w:rsidR="00FD3DB7">
        <w:rPr>
          <w:noProof/>
        </w:rPr>
        <w:t>data centre operators</w:t>
      </w:r>
      <w:r w:rsidRPr="00D37004">
        <w:rPr>
          <w:noProof/>
        </w:rPr>
        <w:t xml:space="preserve"> and the providers of cloud and AI </w:t>
      </w:r>
      <w:r w:rsidR="00A011FC">
        <w:rPr>
          <w:noProof/>
        </w:rPr>
        <w:t>computing services</w:t>
      </w:r>
      <w:r w:rsidRPr="00D37004">
        <w:rPr>
          <w:noProof/>
        </w:rPr>
        <w:t xml:space="preserve">. While both sectors will need to undergo </w:t>
      </w:r>
      <w:r w:rsidR="0003241F">
        <w:rPr>
          <w:noProof/>
        </w:rPr>
        <w:t>some</w:t>
      </w:r>
      <w:r w:rsidR="0059657D">
        <w:rPr>
          <w:noProof/>
        </w:rPr>
        <w:t xml:space="preserve"> adaptation in the way they work</w:t>
      </w:r>
      <w:r w:rsidRPr="00D37004">
        <w:rPr>
          <w:noProof/>
        </w:rPr>
        <w:t xml:space="preserve">, this is </w:t>
      </w:r>
      <w:r w:rsidR="0003241F">
        <w:rPr>
          <w:noProof/>
        </w:rPr>
        <w:t>not</w:t>
      </w:r>
      <w:r w:rsidRPr="00D37004">
        <w:rPr>
          <w:noProof/>
        </w:rPr>
        <w:t xml:space="preserve"> expected to </w:t>
      </w:r>
      <w:r w:rsidR="00AE213F">
        <w:rPr>
          <w:noProof/>
        </w:rPr>
        <w:t xml:space="preserve">not cause a disruption </w:t>
      </w:r>
      <w:r w:rsidRPr="00D37004">
        <w:rPr>
          <w:noProof/>
        </w:rPr>
        <w:t xml:space="preserve">and will mostly result in benefits, such as savings in construction time, aggregated offers, and more security and resilience. Indirectly affected sectors are on one end of the value chain the public sector and the customers of the cloud and AI </w:t>
      </w:r>
      <w:r w:rsidR="00A011FC">
        <w:rPr>
          <w:noProof/>
        </w:rPr>
        <w:t>computing services</w:t>
      </w:r>
      <w:r w:rsidRPr="00D37004">
        <w:rPr>
          <w:noProof/>
        </w:rPr>
        <w:t xml:space="preserve"> market and on the other, the semiconductor industry, energy systems and utilities.</w:t>
      </w:r>
    </w:p>
    <w:p w14:paraId="78EE06EF" w14:textId="0EC11177" w:rsidR="00037FDD" w:rsidRPr="00D37004" w:rsidRDefault="00037FDD" w:rsidP="005F12D6">
      <w:pPr>
        <w:spacing w:after="120"/>
        <w:rPr>
          <w:noProof/>
        </w:rPr>
      </w:pPr>
      <w:r w:rsidRPr="00D37004">
        <w:rPr>
          <w:noProof/>
        </w:rPr>
        <w:t>Cost</w:t>
      </w:r>
      <w:r w:rsidR="00DF17A4">
        <w:rPr>
          <w:noProof/>
        </w:rPr>
        <w:t>-</w:t>
      </w:r>
      <w:r w:rsidRPr="00D37004">
        <w:rPr>
          <w:noProof/>
        </w:rPr>
        <w:t xml:space="preserve">price impacts </w:t>
      </w:r>
      <w:r w:rsidR="00590B59">
        <w:rPr>
          <w:noProof/>
        </w:rPr>
        <w:t>of the preferred package</w:t>
      </w:r>
      <w:r w:rsidRPr="00D37004">
        <w:rPr>
          <w:noProof/>
        </w:rPr>
        <w:t xml:space="preserve"> </w:t>
      </w:r>
      <w:r w:rsidR="00A265A4">
        <w:rPr>
          <w:noProof/>
        </w:rPr>
        <w:t>(PO1-B + PM8 + PM9 + PO2-C)</w:t>
      </w:r>
      <w:r w:rsidRPr="00D37004">
        <w:rPr>
          <w:noProof/>
        </w:rPr>
        <w:t xml:space="preserve"> are expected to be different depending on the </w:t>
      </w:r>
      <w:r w:rsidR="00933267">
        <w:rPr>
          <w:noProof/>
        </w:rPr>
        <w:t xml:space="preserve">problem </w:t>
      </w:r>
      <w:r w:rsidR="000B5B97">
        <w:rPr>
          <w:noProof/>
        </w:rPr>
        <w:t>driver targeted</w:t>
      </w:r>
      <w:r w:rsidRPr="00D37004">
        <w:rPr>
          <w:noProof/>
        </w:rPr>
        <w:t xml:space="preserve">. Faster permitting and access to land as well as clear procurement criteria </w:t>
      </w:r>
      <w:r w:rsidR="003A3E62">
        <w:rPr>
          <w:noProof/>
        </w:rPr>
        <w:t>will</w:t>
      </w:r>
      <w:r w:rsidR="003A3E62" w:rsidRPr="00D37004">
        <w:rPr>
          <w:noProof/>
        </w:rPr>
        <w:t xml:space="preserve"> </w:t>
      </w:r>
      <w:r w:rsidRPr="00D37004">
        <w:rPr>
          <w:noProof/>
        </w:rPr>
        <w:t xml:space="preserve">cause effects in the short term (0-2 years). In the medium term (2-5 years), the effects will arise from the go-to-market of the research and innovation funds, the putting in place of </w:t>
      </w:r>
      <w:r w:rsidRPr="00D37004" w:rsidDel="00C24CBD">
        <w:rPr>
          <w:noProof/>
        </w:rPr>
        <w:t xml:space="preserve">the </w:t>
      </w:r>
      <w:r w:rsidRPr="00D37004">
        <w:rPr>
          <w:noProof/>
        </w:rPr>
        <w:t>federation mechanisms, which will allow an intensification of competition, a decrease of prices and efficiency gains. Long</w:t>
      </w:r>
      <w:r w:rsidR="003A3E62">
        <w:rPr>
          <w:noProof/>
        </w:rPr>
        <w:t>-</w:t>
      </w:r>
      <w:r w:rsidRPr="00D37004">
        <w:rPr>
          <w:noProof/>
        </w:rPr>
        <w:t>term impacts (&gt;5 years) will come from the combination of selected locations for computing infrastructure and the access to energy and other natural resources, notably by gaining location advantage.</w:t>
      </w:r>
    </w:p>
    <w:p w14:paraId="419BA4EE" w14:textId="12BF2D80" w:rsidR="005347F3" w:rsidRDefault="00037FDD" w:rsidP="00A769E1">
      <w:pPr>
        <w:spacing w:after="120"/>
        <w:rPr>
          <w:b/>
          <w:noProof/>
        </w:rPr>
      </w:pPr>
      <w:r w:rsidRPr="00D37004">
        <w:rPr>
          <w:noProof/>
        </w:rPr>
        <w:t xml:space="preserve">The </w:t>
      </w:r>
      <w:r w:rsidR="005453D7">
        <w:rPr>
          <w:noProof/>
        </w:rPr>
        <w:t>preferred</w:t>
      </w:r>
      <w:r w:rsidRPr="00D37004">
        <w:rPr>
          <w:noProof/>
        </w:rPr>
        <w:t xml:space="preserve"> </w:t>
      </w:r>
      <w:r w:rsidR="00895EDB">
        <w:rPr>
          <w:noProof/>
        </w:rPr>
        <w:t>package</w:t>
      </w:r>
      <w:r w:rsidR="00895EDB" w:rsidRPr="00D37004">
        <w:rPr>
          <w:noProof/>
        </w:rPr>
        <w:t xml:space="preserve"> </w:t>
      </w:r>
      <w:r w:rsidRPr="00D37004">
        <w:rPr>
          <w:noProof/>
        </w:rPr>
        <w:t>shall notably</w:t>
      </w:r>
      <w:r w:rsidR="00A1186F" w:rsidRPr="00D37004">
        <w:rPr>
          <w:noProof/>
        </w:rPr>
        <w:t xml:space="preserve"> </w:t>
      </w:r>
      <w:r w:rsidRPr="00D37004">
        <w:rPr>
          <w:noProof/>
        </w:rPr>
        <w:t xml:space="preserve">improve competitiveness. </w:t>
      </w:r>
      <w:r w:rsidR="00B46322">
        <w:rPr>
          <w:noProof/>
        </w:rPr>
        <w:t xml:space="preserve">It </w:t>
      </w:r>
      <w:r w:rsidR="006867FE">
        <w:rPr>
          <w:noProof/>
        </w:rPr>
        <w:t>implies</w:t>
      </w:r>
      <w:r w:rsidRPr="00D37004">
        <w:rPr>
          <w:noProof/>
        </w:rPr>
        <w:t xml:space="preserve"> a learning curve to implement some of the policy measures proposed (e.g. energy efficiency technologies, research and innovation, federation, interoperability) and network effects (e.g.</w:t>
      </w:r>
      <w:r w:rsidRPr="00D37004" w:rsidDel="00C24CBD">
        <w:rPr>
          <w:noProof/>
        </w:rPr>
        <w:t xml:space="preserve"> </w:t>
      </w:r>
      <w:r w:rsidRPr="00D37004">
        <w:rPr>
          <w:noProof/>
        </w:rPr>
        <w:t xml:space="preserve">open source). However, one of the major risks is on the implementation of permitting and access to grid and how they are managed (e.g. sequentially, in parallel) as </w:t>
      </w:r>
      <w:r w:rsidR="00DC0DF3" w:rsidRPr="00D37004">
        <w:rPr>
          <w:noProof/>
        </w:rPr>
        <w:t>th</w:t>
      </w:r>
      <w:r w:rsidR="00DC0DF3">
        <w:rPr>
          <w:noProof/>
        </w:rPr>
        <w:t>ese</w:t>
      </w:r>
      <w:r w:rsidRPr="00D37004">
        <w:rPr>
          <w:noProof/>
        </w:rPr>
        <w:t xml:space="preserve"> have an effect on the structural costs and durable price competitiveness. </w:t>
      </w:r>
    </w:p>
    <w:p w14:paraId="05A37165" w14:textId="176CBD02" w:rsidR="00DE35F7" w:rsidRPr="00D37004" w:rsidRDefault="00DE35F7" w:rsidP="005F12D6">
      <w:pPr>
        <w:spacing w:before="240"/>
        <w:rPr>
          <w:b/>
          <w:noProof/>
        </w:rPr>
      </w:pPr>
      <w:r w:rsidRPr="00D37004">
        <w:rPr>
          <w:b/>
          <w:noProof/>
        </w:rPr>
        <w:t>International competitiveness</w:t>
      </w:r>
    </w:p>
    <w:p w14:paraId="6685FA7E" w14:textId="59E89318" w:rsidR="00FF134C" w:rsidRDefault="00DC0DF3" w:rsidP="005F12D6">
      <w:pPr>
        <w:spacing w:after="120"/>
        <w:rPr>
          <w:noProof/>
        </w:rPr>
      </w:pPr>
      <w:r>
        <w:rPr>
          <w:noProof/>
        </w:rPr>
        <w:t>CADA</w:t>
      </w:r>
      <w:r w:rsidR="003C32AE">
        <w:rPr>
          <w:noProof/>
        </w:rPr>
        <w:t xml:space="preserve"> </w:t>
      </w:r>
      <w:r w:rsidR="002F5B94" w:rsidRPr="00D37004">
        <w:rPr>
          <w:noProof/>
        </w:rPr>
        <w:t>strengthens the competitive position of data centre</w:t>
      </w:r>
      <w:r w:rsidR="0021641D">
        <w:rPr>
          <w:noProof/>
        </w:rPr>
        <w:t xml:space="preserve"> operators active in the EU</w:t>
      </w:r>
      <w:r w:rsidR="002F5B94" w:rsidRPr="00D37004">
        <w:rPr>
          <w:noProof/>
        </w:rPr>
        <w:t xml:space="preserve"> and </w:t>
      </w:r>
      <w:r w:rsidR="0021641D">
        <w:rPr>
          <w:noProof/>
        </w:rPr>
        <w:t xml:space="preserve">of European </w:t>
      </w:r>
      <w:r w:rsidR="002F5B94" w:rsidRPr="00D37004">
        <w:rPr>
          <w:noProof/>
        </w:rPr>
        <w:t xml:space="preserve">cloud and AI </w:t>
      </w:r>
      <w:r w:rsidR="00A011FC">
        <w:rPr>
          <w:noProof/>
        </w:rPr>
        <w:t>computing service</w:t>
      </w:r>
      <w:r w:rsidR="002F5B94" w:rsidRPr="00D37004">
        <w:rPr>
          <w:noProof/>
        </w:rPr>
        <w:t xml:space="preserve"> providers.</w:t>
      </w:r>
    </w:p>
    <w:p w14:paraId="237E3A99" w14:textId="096751E6" w:rsidR="002F5B94" w:rsidRPr="00D37004" w:rsidRDefault="002F5B94" w:rsidP="005F12D6">
      <w:pPr>
        <w:spacing w:after="120"/>
        <w:rPr>
          <w:noProof/>
        </w:rPr>
      </w:pPr>
      <w:r w:rsidRPr="00D37004">
        <w:rPr>
          <w:noProof/>
        </w:rPr>
        <w:t>In the case of data centre operators, it will reduce structural cost disadvantages stemming from the fragmented permitting regimes existing nowadays</w:t>
      </w:r>
      <w:r w:rsidR="00F91F08">
        <w:rPr>
          <w:noProof/>
        </w:rPr>
        <w:t xml:space="preserve"> (see Annex 4, section </w:t>
      </w:r>
      <w:r w:rsidR="00EC50F7">
        <w:rPr>
          <w:noProof/>
        </w:rPr>
        <w:t>8</w:t>
      </w:r>
      <w:r w:rsidR="00F91F08">
        <w:rPr>
          <w:noProof/>
        </w:rPr>
        <w:t>)</w:t>
      </w:r>
      <w:r w:rsidRPr="00D37004">
        <w:rPr>
          <w:noProof/>
        </w:rPr>
        <w:t xml:space="preserve">. </w:t>
      </w:r>
      <w:r w:rsidR="00924EB6">
        <w:rPr>
          <w:noProof/>
        </w:rPr>
        <w:t>Data centre operators in the EU</w:t>
      </w:r>
      <w:r w:rsidRPr="00D37004">
        <w:rPr>
          <w:noProof/>
        </w:rPr>
        <w:t xml:space="preserve"> will be able to expand their capacity faster at lower cost. Simplification of administrative procedures will reduce entry barriers, notably for mid-sized firms, favouring the scalability of European players</w:t>
      </w:r>
      <w:r w:rsidR="00AF53B2">
        <w:rPr>
          <w:noProof/>
        </w:rPr>
        <w:t xml:space="preserve"> (PM4, PM5)</w:t>
      </w:r>
      <w:r w:rsidRPr="00D37004">
        <w:rPr>
          <w:noProof/>
        </w:rPr>
        <w:t>. Both EU and non-EU players, however, will benefit from vast economies of scale.</w:t>
      </w:r>
    </w:p>
    <w:p w14:paraId="3C9AC27E" w14:textId="5C14B730" w:rsidR="002F5B94" w:rsidRPr="00D37004" w:rsidRDefault="002F5B94" w:rsidP="005F12D6">
      <w:pPr>
        <w:spacing w:after="120"/>
        <w:rPr>
          <w:noProof/>
        </w:rPr>
      </w:pPr>
      <w:r w:rsidRPr="00D37004">
        <w:rPr>
          <w:noProof/>
        </w:rPr>
        <w:t xml:space="preserve">The deployment of computing infrastructure across the </w:t>
      </w:r>
      <w:r w:rsidR="00CC16A0">
        <w:rPr>
          <w:noProof/>
        </w:rPr>
        <w:t>EU</w:t>
      </w:r>
      <w:r w:rsidRPr="00D37004">
        <w:rPr>
          <w:noProof/>
        </w:rPr>
        <w:t xml:space="preserve">, and notably the deployment of sovereign cloud and AI </w:t>
      </w:r>
      <w:r w:rsidR="00A011FC">
        <w:rPr>
          <w:noProof/>
        </w:rPr>
        <w:t>computing services</w:t>
      </w:r>
      <w:r w:rsidRPr="00D37004">
        <w:rPr>
          <w:noProof/>
        </w:rPr>
        <w:t xml:space="preserve">, will allow the EU to decrease its dependencies </w:t>
      </w:r>
      <w:r w:rsidR="00EA63CE">
        <w:rPr>
          <w:noProof/>
        </w:rPr>
        <w:t>on</w:t>
      </w:r>
      <w:r w:rsidR="00EA63CE" w:rsidRPr="00D37004">
        <w:rPr>
          <w:noProof/>
        </w:rPr>
        <w:t xml:space="preserve"> </w:t>
      </w:r>
      <w:r w:rsidR="0064116F">
        <w:rPr>
          <w:noProof/>
        </w:rPr>
        <w:t xml:space="preserve">data infrastructure </w:t>
      </w:r>
      <w:r w:rsidR="009A2A45">
        <w:rPr>
          <w:noProof/>
        </w:rPr>
        <w:t>located outside of the EU</w:t>
      </w:r>
      <w:r w:rsidR="00EA63CE">
        <w:rPr>
          <w:noProof/>
        </w:rPr>
        <w:t xml:space="preserve"> and its dependence on non-European providers of cloud and AI computing services</w:t>
      </w:r>
      <w:r w:rsidRPr="00D37004">
        <w:rPr>
          <w:noProof/>
        </w:rPr>
        <w:t xml:space="preserve">, </w:t>
      </w:r>
      <w:r w:rsidR="007A2144">
        <w:rPr>
          <w:noProof/>
        </w:rPr>
        <w:t>while</w:t>
      </w:r>
      <w:r w:rsidR="007A2144" w:rsidRPr="00D37004">
        <w:rPr>
          <w:noProof/>
        </w:rPr>
        <w:t xml:space="preserve"> </w:t>
      </w:r>
      <w:r w:rsidRPr="00D37004">
        <w:rPr>
          <w:noProof/>
        </w:rPr>
        <w:t xml:space="preserve">increasing the economic security of the EU in the field of cloud and AI. The creation of a common definition </w:t>
      </w:r>
      <w:r w:rsidR="00EA63CE">
        <w:rPr>
          <w:noProof/>
        </w:rPr>
        <w:t>of</w:t>
      </w:r>
      <w:r w:rsidR="00EA63CE" w:rsidRPr="00D37004">
        <w:rPr>
          <w:noProof/>
        </w:rPr>
        <w:t xml:space="preserve"> </w:t>
      </w:r>
      <w:r w:rsidRPr="00D37004">
        <w:rPr>
          <w:noProof/>
        </w:rPr>
        <w:t xml:space="preserve">sovereignty, with clear criteria, </w:t>
      </w:r>
      <w:r w:rsidR="00277438">
        <w:rPr>
          <w:noProof/>
        </w:rPr>
        <w:t xml:space="preserve">along with the mandatory </w:t>
      </w:r>
      <w:r w:rsidR="00C35969">
        <w:rPr>
          <w:noProof/>
        </w:rPr>
        <w:t>sovereignty</w:t>
      </w:r>
      <w:r w:rsidR="00277438">
        <w:rPr>
          <w:noProof/>
        </w:rPr>
        <w:t xml:space="preserve"> </w:t>
      </w:r>
      <w:r w:rsidR="00C35969">
        <w:rPr>
          <w:noProof/>
        </w:rPr>
        <w:t>risk assessment</w:t>
      </w:r>
      <w:r w:rsidR="008B4255">
        <w:rPr>
          <w:noProof/>
        </w:rPr>
        <w:t xml:space="preserve"> (PM21)</w:t>
      </w:r>
      <w:r w:rsidR="00277438">
        <w:rPr>
          <w:noProof/>
        </w:rPr>
        <w:t xml:space="preserve">, </w:t>
      </w:r>
      <w:r w:rsidR="00EA63CE">
        <w:rPr>
          <w:noProof/>
        </w:rPr>
        <w:t>will</w:t>
      </w:r>
      <w:r w:rsidR="00EA63CE" w:rsidRPr="00D37004">
        <w:rPr>
          <w:noProof/>
        </w:rPr>
        <w:t xml:space="preserve"> </w:t>
      </w:r>
      <w:r w:rsidRPr="00D37004">
        <w:rPr>
          <w:noProof/>
        </w:rPr>
        <w:t xml:space="preserve">boost the trust and credibility of </w:t>
      </w:r>
      <w:r w:rsidR="00775116">
        <w:rPr>
          <w:noProof/>
        </w:rPr>
        <w:t>sovereign</w:t>
      </w:r>
      <w:r w:rsidR="00775116" w:rsidRPr="00D37004">
        <w:rPr>
          <w:noProof/>
        </w:rPr>
        <w:t xml:space="preserve"> </w:t>
      </w:r>
      <w:r w:rsidR="00EA63CE">
        <w:rPr>
          <w:noProof/>
        </w:rPr>
        <w:t>services</w:t>
      </w:r>
      <w:r w:rsidRPr="00D37004">
        <w:rPr>
          <w:noProof/>
        </w:rPr>
        <w:t>, allowing the</w:t>
      </w:r>
      <w:r w:rsidR="00EA63CE">
        <w:rPr>
          <w:noProof/>
        </w:rPr>
        <w:t>ir providers</w:t>
      </w:r>
      <w:r w:rsidRPr="00D37004">
        <w:rPr>
          <w:noProof/>
        </w:rPr>
        <w:t xml:space="preserve"> to differentiate </w:t>
      </w:r>
      <w:r w:rsidR="00EA63CE">
        <w:rPr>
          <w:noProof/>
        </w:rPr>
        <w:t xml:space="preserve">themselves </w:t>
      </w:r>
      <w:r w:rsidRPr="00D37004">
        <w:rPr>
          <w:noProof/>
        </w:rPr>
        <w:t xml:space="preserve">in markets where security, sovereignty and compliance are key items. </w:t>
      </w:r>
      <w:r w:rsidR="00EA63CE">
        <w:rPr>
          <w:noProof/>
        </w:rPr>
        <w:t>P</w:t>
      </w:r>
      <w:r w:rsidRPr="00D37004">
        <w:rPr>
          <w:noProof/>
        </w:rPr>
        <w:t xml:space="preserve">roviders </w:t>
      </w:r>
      <w:r w:rsidR="00EA63CE">
        <w:rPr>
          <w:noProof/>
        </w:rPr>
        <w:t>of sovereign services</w:t>
      </w:r>
      <w:r w:rsidRPr="00D37004">
        <w:rPr>
          <w:noProof/>
        </w:rPr>
        <w:t xml:space="preserve"> will hence be able to compete on trust, transparency and robustness rather than on price alone.</w:t>
      </w:r>
    </w:p>
    <w:p w14:paraId="41576C21" w14:textId="6118B7B6" w:rsidR="002F5B94" w:rsidRPr="00D37004" w:rsidRDefault="002F5B94" w:rsidP="005F12D6">
      <w:pPr>
        <w:spacing w:after="120"/>
        <w:rPr>
          <w:noProof/>
        </w:rPr>
      </w:pPr>
      <w:r w:rsidRPr="00D37004">
        <w:rPr>
          <w:noProof/>
        </w:rPr>
        <w:t>The establishment of research and development funding, addressing technological asymmetries with global incumbents will allow to develop next</w:t>
      </w:r>
      <w:r w:rsidR="008C0219">
        <w:rPr>
          <w:noProof/>
        </w:rPr>
        <w:t>-</w:t>
      </w:r>
      <w:r w:rsidRPr="00D37004">
        <w:rPr>
          <w:noProof/>
        </w:rPr>
        <w:t>generation technologies for energy efficiency, AI and other aspects</w:t>
      </w:r>
      <w:r w:rsidR="00AF53B2">
        <w:rPr>
          <w:noProof/>
        </w:rPr>
        <w:t xml:space="preserve"> (PM8, PM9)</w:t>
      </w:r>
      <w:r w:rsidRPr="00D37004">
        <w:rPr>
          <w:noProof/>
        </w:rPr>
        <w:t xml:space="preserve">. Currently, non-EU providers often lead with proprietary solutions. </w:t>
      </w:r>
      <w:r w:rsidR="00613497">
        <w:rPr>
          <w:noProof/>
        </w:rPr>
        <w:t>The use, reuse and promotion of open source</w:t>
      </w:r>
      <w:r w:rsidR="00B03C0B">
        <w:rPr>
          <w:noProof/>
        </w:rPr>
        <w:t xml:space="preserve"> in public administrations,</w:t>
      </w:r>
      <w:r w:rsidRPr="00D37004">
        <w:rPr>
          <w:noProof/>
        </w:rPr>
        <w:t xml:space="preserve"> </w:t>
      </w:r>
      <w:r w:rsidR="008C0219">
        <w:rPr>
          <w:noProof/>
        </w:rPr>
        <w:t>will</w:t>
      </w:r>
      <w:r w:rsidR="008C0219" w:rsidRPr="00D37004">
        <w:rPr>
          <w:noProof/>
        </w:rPr>
        <w:t xml:space="preserve"> </w:t>
      </w:r>
      <w:r w:rsidRPr="00D37004">
        <w:rPr>
          <w:noProof/>
        </w:rPr>
        <w:t>accelerate innovation allowing EU companies to compete in terms of performance, energy efficiency, and novel offers</w:t>
      </w:r>
      <w:r w:rsidR="00B03C0B">
        <w:rPr>
          <w:noProof/>
        </w:rPr>
        <w:t xml:space="preserve"> (PM20)</w:t>
      </w:r>
      <w:r w:rsidRPr="00D37004">
        <w:rPr>
          <w:noProof/>
        </w:rPr>
        <w:t>.</w:t>
      </w:r>
    </w:p>
    <w:p w14:paraId="51DBFCAA" w14:textId="4F8C6773" w:rsidR="002F5B94" w:rsidRPr="00D37004" w:rsidRDefault="002F5B94" w:rsidP="005F12D6">
      <w:pPr>
        <w:spacing w:after="120"/>
        <w:rPr>
          <w:noProof/>
        </w:rPr>
      </w:pPr>
      <w:r w:rsidRPr="00D37004">
        <w:rPr>
          <w:noProof/>
        </w:rPr>
        <w:t xml:space="preserve">All measures </w:t>
      </w:r>
      <w:r w:rsidR="00197964">
        <w:rPr>
          <w:noProof/>
        </w:rPr>
        <w:t xml:space="preserve">under this initiative </w:t>
      </w:r>
      <w:r w:rsidRPr="00D37004">
        <w:rPr>
          <w:noProof/>
        </w:rPr>
        <w:t xml:space="preserve">are </w:t>
      </w:r>
      <w:r w:rsidR="00197964">
        <w:rPr>
          <w:noProof/>
        </w:rPr>
        <w:t>conceived to be in line with the EU’s international trade obligations</w:t>
      </w:r>
      <w:r w:rsidRPr="00D37004">
        <w:rPr>
          <w:noProof/>
        </w:rPr>
        <w:t>. The initiative looks to incentivi</w:t>
      </w:r>
      <w:r w:rsidR="00197964">
        <w:rPr>
          <w:noProof/>
        </w:rPr>
        <w:t>s</w:t>
      </w:r>
      <w:r w:rsidRPr="00D37004">
        <w:rPr>
          <w:noProof/>
        </w:rPr>
        <w:t>e local investment and aggregate demand by anchor customers</w:t>
      </w:r>
      <w:r w:rsidR="00F1301C">
        <w:rPr>
          <w:noProof/>
        </w:rPr>
        <w:t>,</w:t>
      </w:r>
      <w:r w:rsidRPr="00D37004">
        <w:rPr>
          <w:noProof/>
        </w:rPr>
        <w:t xml:space="preserve"> ensuring that competitive advantage is grounded in trust and operational excellence rather than on market power.</w:t>
      </w:r>
    </w:p>
    <w:p w14:paraId="0AF11DB4" w14:textId="3F8B8558" w:rsidR="00F034BD" w:rsidRPr="00D37004" w:rsidRDefault="00386FB1" w:rsidP="005F12D6">
      <w:pPr>
        <w:spacing w:after="120"/>
        <w:rPr>
          <w:noProof/>
        </w:rPr>
      </w:pPr>
      <w:r w:rsidRPr="00D37004">
        <w:rPr>
          <w:noProof/>
        </w:rPr>
        <w:t xml:space="preserve">Finally, the initiative seeks </w:t>
      </w:r>
      <w:r w:rsidR="00C471C0">
        <w:rPr>
          <w:noProof/>
        </w:rPr>
        <w:t>to enable European providers</w:t>
      </w:r>
      <w:r w:rsidRPr="00D37004">
        <w:rPr>
          <w:noProof/>
        </w:rPr>
        <w:t xml:space="preserve"> to gain market share at EU and international level, by equipping them with the necessary mechanisms</w:t>
      </w:r>
      <w:r w:rsidR="00C471C0">
        <w:rPr>
          <w:noProof/>
        </w:rPr>
        <w:t xml:space="preserve"> to enhance the </w:t>
      </w:r>
      <w:r w:rsidR="00174C32">
        <w:rPr>
          <w:noProof/>
        </w:rPr>
        <w:t>scale and scope of their service offering</w:t>
      </w:r>
      <w:r w:rsidRPr="00D37004">
        <w:rPr>
          <w:noProof/>
        </w:rPr>
        <w:t xml:space="preserve">. In the mid to long term, the levers proposed in this initiative (e.g. fast-permitting, </w:t>
      </w:r>
      <w:r w:rsidR="008507ED">
        <w:rPr>
          <w:noProof/>
        </w:rPr>
        <w:t xml:space="preserve">national </w:t>
      </w:r>
      <w:r w:rsidR="00E375B2">
        <w:rPr>
          <w:noProof/>
        </w:rPr>
        <w:t>facilitator</w:t>
      </w:r>
      <w:r w:rsidRPr="00D37004">
        <w:rPr>
          <w:noProof/>
        </w:rPr>
        <w:t xml:space="preserve">, funding mechanisms, joint procurement, federation) to solve very clear challenges </w:t>
      </w:r>
      <w:r w:rsidR="00EC2C5B">
        <w:rPr>
          <w:noProof/>
        </w:rPr>
        <w:t xml:space="preserve">of </w:t>
      </w:r>
      <w:r w:rsidRPr="00D37004">
        <w:rPr>
          <w:noProof/>
        </w:rPr>
        <w:t xml:space="preserve">today (e.g. sustainability, skills, leverage of open source, aggregation of demand, sovereignty) </w:t>
      </w:r>
      <w:r w:rsidR="00DC7005">
        <w:rPr>
          <w:noProof/>
        </w:rPr>
        <w:t>will</w:t>
      </w:r>
      <w:r w:rsidR="00DC7005" w:rsidRPr="00D37004">
        <w:rPr>
          <w:noProof/>
        </w:rPr>
        <w:t xml:space="preserve"> </w:t>
      </w:r>
      <w:r w:rsidRPr="00D37004">
        <w:rPr>
          <w:noProof/>
        </w:rPr>
        <w:t xml:space="preserve">allow </w:t>
      </w:r>
      <w:r w:rsidR="00DC7005">
        <w:rPr>
          <w:noProof/>
        </w:rPr>
        <w:t>European providers to</w:t>
      </w:r>
      <w:r w:rsidR="00DC7005" w:rsidRPr="00D37004">
        <w:rPr>
          <w:noProof/>
        </w:rPr>
        <w:t xml:space="preserve"> </w:t>
      </w:r>
      <w:r w:rsidRPr="00D37004">
        <w:rPr>
          <w:noProof/>
        </w:rPr>
        <w:t xml:space="preserve">expand </w:t>
      </w:r>
      <w:r w:rsidR="00DC7005">
        <w:rPr>
          <w:noProof/>
        </w:rPr>
        <w:t>their market presence, in the EU and beyond.</w:t>
      </w:r>
      <w:r w:rsidR="00DC7005" w:rsidRPr="00D37004">
        <w:rPr>
          <w:noProof/>
        </w:rPr>
        <w:t xml:space="preserve"> </w:t>
      </w:r>
    </w:p>
    <w:p w14:paraId="1C785D3A" w14:textId="7B31812B" w:rsidR="00AE356B" w:rsidRPr="00432254" w:rsidRDefault="00825096" w:rsidP="005F12D6">
      <w:pPr>
        <w:spacing w:before="240"/>
        <w:rPr>
          <w:b/>
          <w:noProof/>
        </w:rPr>
      </w:pPr>
      <w:r w:rsidRPr="00D37004">
        <w:rPr>
          <w:b/>
          <w:noProof/>
        </w:rPr>
        <w:t>Capacity to innovate</w:t>
      </w:r>
    </w:p>
    <w:p w14:paraId="692C7597" w14:textId="1D352286" w:rsidR="00136558" w:rsidRPr="00D37004" w:rsidRDefault="001C6DDD" w:rsidP="005F12D6">
      <w:pPr>
        <w:pStyle w:val="ListParagraph"/>
        <w:spacing w:after="120"/>
        <w:ind w:left="0"/>
        <w:contextualSpacing w:val="0"/>
        <w:rPr>
          <w:noProof/>
        </w:rPr>
      </w:pPr>
      <w:r>
        <w:rPr>
          <w:noProof/>
        </w:rPr>
        <w:t>CADA</w:t>
      </w:r>
      <w:r w:rsidR="00136558" w:rsidRPr="00D37004">
        <w:rPr>
          <w:noProof/>
        </w:rPr>
        <w:t xml:space="preserve"> goes directly at the heart of improving the capacity to innovate </w:t>
      </w:r>
      <w:r>
        <w:rPr>
          <w:noProof/>
        </w:rPr>
        <w:t>(PM8, PM9)</w:t>
      </w:r>
      <w:r w:rsidR="00136558" w:rsidRPr="00D37004">
        <w:rPr>
          <w:noProof/>
        </w:rPr>
        <w:t xml:space="preserve"> and the improvement of skills</w:t>
      </w:r>
      <w:r>
        <w:rPr>
          <w:noProof/>
        </w:rPr>
        <w:t xml:space="preserve"> (PM23)</w:t>
      </w:r>
      <w:r w:rsidR="00136558" w:rsidRPr="00D37004">
        <w:rPr>
          <w:noProof/>
        </w:rPr>
        <w:t>. The funding mechanisms</w:t>
      </w:r>
      <w:r>
        <w:rPr>
          <w:noProof/>
        </w:rPr>
        <w:t xml:space="preserve"> (PM8, PM9)</w:t>
      </w:r>
      <w:r w:rsidR="00136558" w:rsidRPr="00D37004">
        <w:rPr>
          <w:noProof/>
        </w:rPr>
        <w:t xml:space="preserve">, complemented with the cloud and AI adoption scheme targeted towards SMEs and the </w:t>
      </w:r>
      <w:r w:rsidR="006C3B85">
        <w:rPr>
          <w:noProof/>
        </w:rPr>
        <w:t>skills certification</w:t>
      </w:r>
      <w:r w:rsidR="00136558" w:rsidRPr="00D37004">
        <w:rPr>
          <w:noProof/>
        </w:rPr>
        <w:t xml:space="preserve"> </w:t>
      </w:r>
      <w:r w:rsidR="00872360">
        <w:rPr>
          <w:noProof/>
        </w:rPr>
        <w:t>(PM23)</w:t>
      </w:r>
      <w:r w:rsidR="00136558" w:rsidRPr="00D37004">
        <w:rPr>
          <w:noProof/>
        </w:rPr>
        <w:t xml:space="preserve"> will boost the capacity to innovate at product, service and process level. The spillover effects of research funds, where a myriad of EU stakeholders can participate (e.g. academia, SMEs, large enterprises), allow also for the initiative to anchor intellectual capital and innovation capabilities within </w:t>
      </w:r>
      <w:r w:rsidR="00261FE3">
        <w:rPr>
          <w:noProof/>
        </w:rPr>
        <w:t>the EU</w:t>
      </w:r>
      <w:r w:rsidR="00136558" w:rsidRPr="00D37004">
        <w:rPr>
          <w:noProof/>
        </w:rPr>
        <w:t>.</w:t>
      </w:r>
    </w:p>
    <w:p w14:paraId="71FBAD72" w14:textId="44A7DCBE" w:rsidR="00136558" w:rsidRPr="00D37004" w:rsidRDefault="00136558" w:rsidP="005F12D6">
      <w:pPr>
        <w:pStyle w:val="ListParagraph"/>
        <w:spacing w:after="120"/>
        <w:ind w:left="0"/>
        <w:contextualSpacing w:val="0"/>
        <w:rPr>
          <w:noProof/>
        </w:rPr>
      </w:pPr>
      <w:r w:rsidRPr="00D37004">
        <w:rPr>
          <w:noProof/>
        </w:rPr>
        <w:t xml:space="preserve">Other aspects such as the promotion of open source </w:t>
      </w:r>
      <w:r w:rsidR="00D83D38">
        <w:rPr>
          <w:noProof/>
        </w:rPr>
        <w:t xml:space="preserve">in the public sector </w:t>
      </w:r>
      <w:r w:rsidRPr="00D37004">
        <w:rPr>
          <w:noProof/>
        </w:rPr>
        <w:t>enlarge the amount of resources available for future innovative products and services</w:t>
      </w:r>
      <w:r w:rsidR="00D83D38">
        <w:rPr>
          <w:noProof/>
        </w:rPr>
        <w:t xml:space="preserve"> (PM20)</w:t>
      </w:r>
      <w:r w:rsidRPr="00D37004">
        <w:rPr>
          <w:noProof/>
        </w:rPr>
        <w:t xml:space="preserve">. Open source allows to balance open innovation with adequate intellectual property protection. EU </w:t>
      </w:r>
      <w:r w:rsidR="00D83D38">
        <w:rPr>
          <w:noProof/>
        </w:rPr>
        <w:t>public sector bodies</w:t>
      </w:r>
      <w:r w:rsidRPr="00D37004">
        <w:rPr>
          <w:noProof/>
        </w:rPr>
        <w:t xml:space="preserve"> are hence able to reuse and extend these solutions under clear legal certainty, lowering entry costs for smaller innovators.</w:t>
      </w:r>
    </w:p>
    <w:p w14:paraId="317D10D1" w14:textId="716953D2" w:rsidR="00D657E7" w:rsidRPr="00D37004" w:rsidRDefault="00136558" w:rsidP="005F12D6">
      <w:pPr>
        <w:pStyle w:val="ListParagraph"/>
        <w:spacing w:after="120"/>
        <w:ind w:left="0"/>
        <w:contextualSpacing w:val="0"/>
        <w:rPr>
          <w:noProof/>
        </w:rPr>
      </w:pPr>
      <w:r w:rsidRPr="00D37004">
        <w:rPr>
          <w:noProof/>
        </w:rPr>
        <w:t>Finally, the use of well</w:t>
      </w:r>
      <w:r w:rsidR="004A6A49" w:rsidRPr="00D37004">
        <w:rPr>
          <w:noProof/>
        </w:rPr>
        <w:t>-</w:t>
      </w:r>
      <w:r w:rsidRPr="00D37004">
        <w:rPr>
          <w:noProof/>
        </w:rPr>
        <w:t xml:space="preserve">defined sovereign criteria </w:t>
      </w:r>
      <w:r w:rsidR="006466C8">
        <w:rPr>
          <w:noProof/>
        </w:rPr>
        <w:t>(PM21)</w:t>
      </w:r>
      <w:r w:rsidR="00AB7C64">
        <w:rPr>
          <w:noProof/>
        </w:rPr>
        <w:t xml:space="preserve"> </w:t>
      </w:r>
      <w:r w:rsidRPr="00D37004">
        <w:rPr>
          <w:noProof/>
        </w:rPr>
        <w:t>are expected to create a demand</w:t>
      </w:r>
      <w:r w:rsidR="004A6A49" w:rsidRPr="00D37004">
        <w:rPr>
          <w:noProof/>
        </w:rPr>
        <w:t>-</w:t>
      </w:r>
      <w:r w:rsidRPr="00D37004">
        <w:rPr>
          <w:noProof/>
        </w:rPr>
        <w:t>pull effect in the market, where companies will invest in R&amp;D in order to develop technologies that will equip them to meet these criteria in a more efficient way.</w:t>
      </w:r>
      <w:r w:rsidR="00760DCB" w:rsidRPr="00D37004">
        <w:rPr>
          <w:noProof/>
        </w:rPr>
        <w:t xml:space="preserve"> </w:t>
      </w:r>
    </w:p>
    <w:p w14:paraId="6C88BE75" w14:textId="234F6AF8" w:rsidR="00136558" w:rsidRPr="00D37004" w:rsidRDefault="00415E1F" w:rsidP="005F12D6">
      <w:pPr>
        <w:spacing w:before="240"/>
        <w:rPr>
          <w:b/>
          <w:noProof/>
        </w:rPr>
      </w:pPr>
      <w:r w:rsidRPr="00D37004">
        <w:rPr>
          <w:b/>
          <w:noProof/>
        </w:rPr>
        <w:t>SME competitiveness</w:t>
      </w:r>
    </w:p>
    <w:p w14:paraId="4E6EAB66" w14:textId="57D7B331" w:rsidR="00DA6495" w:rsidRDefault="009371EB" w:rsidP="00110F2E">
      <w:pPr>
        <w:spacing w:after="120"/>
        <w:rPr>
          <w:noProof/>
          <w:color w:val="000000" w:themeColor="text1"/>
        </w:rPr>
      </w:pPr>
      <w:r w:rsidRPr="00D37004">
        <w:rPr>
          <w:noProof/>
        </w:rPr>
        <w:t xml:space="preserve">The initiative </w:t>
      </w:r>
      <w:r w:rsidR="00C92146" w:rsidRPr="00D37004">
        <w:rPr>
          <w:noProof/>
        </w:rPr>
        <w:t>directly</w:t>
      </w:r>
      <w:r w:rsidR="00C92146" w:rsidRPr="00D37004" w:rsidDel="002C4BBA">
        <w:rPr>
          <w:noProof/>
        </w:rPr>
        <w:t xml:space="preserve"> </w:t>
      </w:r>
      <w:r w:rsidRPr="00D37004">
        <w:rPr>
          <w:noProof/>
        </w:rPr>
        <w:t xml:space="preserve">affects SMEs, mostly in a positive manner. </w:t>
      </w:r>
      <w:r w:rsidR="00C92146">
        <w:rPr>
          <w:noProof/>
        </w:rPr>
        <w:t>By r</w:t>
      </w:r>
      <w:r w:rsidRPr="00D37004">
        <w:rPr>
          <w:noProof/>
        </w:rPr>
        <w:t>emoving bureaucratic friction and accelerating permitting times, boost</w:t>
      </w:r>
      <w:r w:rsidR="00C92146">
        <w:rPr>
          <w:noProof/>
        </w:rPr>
        <w:t>ing</w:t>
      </w:r>
      <w:r w:rsidRPr="00D37004">
        <w:rPr>
          <w:noProof/>
        </w:rPr>
        <w:t xml:space="preserve"> innovation capacity and mechanisms to adopt or migrate to cloud and AI and allowing to share resources and services</w:t>
      </w:r>
      <w:r w:rsidR="00C92146">
        <w:rPr>
          <w:noProof/>
        </w:rPr>
        <w:t>,</w:t>
      </w:r>
      <w:r w:rsidRPr="00D37004">
        <w:rPr>
          <w:noProof/>
        </w:rPr>
        <w:t xml:space="preserve"> the initiative levels the playing field </w:t>
      </w:r>
      <w:r w:rsidR="00C92146">
        <w:rPr>
          <w:noProof/>
        </w:rPr>
        <w:t xml:space="preserve">between smaller and larger providers </w:t>
      </w:r>
      <w:r w:rsidRPr="00D37004">
        <w:rPr>
          <w:noProof/>
        </w:rPr>
        <w:t xml:space="preserve">by reducing fixed regulatory costs that otherwise would deter SMEs from participating in </w:t>
      </w:r>
      <w:r w:rsidR="005E5657">
        <w:rPr>
          <w:noProof/>
        </w:rPr>
        <w:t>the operation of</w:t>
      </w:r>
      <w:r w:rsidRPr="00D37004">
        <w:rPr>
          <w:noProof/>
        </w:rPr>
        <w:t xml:space="preserve"> data centre</w:t>
      </w:r>
      <w:r w:rsidR="005E5657">
        <w:rPr>
          <w:noProof/>
        </w:rPr>
        <w:t>s</w:t>
      </w:r>
      <w:r w:rsidRPr="00D37004">
        <w:rPr>
          <w:noProof/>
        </w:rPr>
        <w:t xml:space="preserve"> and </w:t>
      </w:r>
      <w:r w:rsidR="005E5657">
        <w:rPr>
          <w:noProof/>
        </w:rPr>
        <w:t xml:space="preserve">the provision of </w:t>
      </w:r>
      <w:r w:rsidRPr="00D37004">
        <w:rPr>
          <w:noProof/>
        </w:rPr>
        <w:t xml:space="preserve">cloud and AI </w:t>
      </w:r>
      <w:r w:rsidR="00A011FC" w:rsidRPr="00A43365">
        <w:rPr>
          <w:noProof/>
          <w:color w:val="000000" w:themeColor="text1"/>
        </w:rPr>
        <w:t>computing services</w:t>
      </w:r>
      <w:r w:rsidRPr="00A43365">
        <w:rPr>
          <w:noProof/>
          <w:color w:val="000000" w:themeColor="text1"/>
        </w:rPr>
        <w:t xml:space="preserve">. </w:t>
      </w:r>
      <w:r w:rsidR="005E5657">
        <w:rPr>
          <w:noProof/>
          <w:color w:val="000000" w:themeColor="text1"/>
        </w:rPr>
        <w:t>The measures</w:t>
      </w:r>
      <w:r w:rsidRPr="00A43365">
        <w:rPr>
          <w:noProof/>
          <w:color w:val="000000" w:themeColor="text1"/>
        </w:rPr>
        <w:t xml:space="preserve"> allow </w:t>
      </w:r>
      <w:r w:rsidR="005E5657">
        <w:rPr>
          <w:noProof/>
          <w:color w:val="000000" w:themeColor="text1"/>
        </w:rPr>
        <w:t>SMEs</w:t>
      </w:r>
      <w:r w:rsidRPr="00A43365">
        <w:rPr>
          <w:noProof/>
          <w:color w:val="000000" w:themeColor="text1"/>
        </w:rPr>
        <w:t xml:space="preserve"> to compete on merits and specialization, not marketing budgets.</w:t>
      </w:r>
      <w:r w:rsidR="00110F2E" w:rsidRPr="00A43365">
        <w:rPr>
          <w:noProof/>
          <w:color w:val="000000" w:themeColor="text1"/>
        </w:rPr>
        <w:t xml:space="preserve"> The a</w:t>
      </w:r>
      <w:r w:rsidR="001B3FCB">
        <w:rPr>
          <w:noProof/>
          <w:color w:val="000000" w:themeColor="text1"/>
        </w:rPr>
        <w:t>udit</w:t>
      </w:r>
      <w:r w:rsidR="00110F2E" w:rsidRPr="00A43365">
        <w:rPr>
          <w:noProof/>
          <w:color w:val="000000" w:themeColor="text1"/>
        </w:rPr>
        <w:t xml:space="preserve"> scheme, however, generates a burden for SMEs</w:t>
      </w:r>
      <w:r w:rsidR="00110F2E" w:rsidRPr="0CD2159F">
        <w:rPr>
          <w:noProof/>
          <w:color w:val="000000" w:themeColor="text1"/>
        </w:rPr>
        <w:t xml:space="preserve">, both to obtain </w:t>
      </w:r>
      <w:r w:rsidR="000A5FB4">
        <w:rPr>
          <w:noProof/>
          <w:color w:val="000000" w:themeColor="text1"/>
        </w:rPr>
        <w:t>it</w:t>
      </w:r>
      <w:r w:rsidR="00110F2E" w:rsidRPr="0CD2159F">
        <w:rPr>
          <w:noProof/>
          <w:color w:val="000000" w:themeColor="text1"/>
        </w:rPr>
        <w:t xml:space="preserve"> and to renew it on a yearly basis. </w:t>
      </w:r>
      <w:r w:rsidR="009B0FDB">
        <w:rPr>
          <w:noProof/>
          <w:color w:val="000000" w:themeColor="text1"/>
        </w:rPr>
        <w:t>But</w:t>
      </w:r>
      <w:r w:rsidR="00DA6495">
        <w:rPr>
          <w:noProof/>
          <w:color w:val="000000" w:themeColor="text1"/>
        </w:rPr>
        <w:t xml:space="preserve"> this can have a double effect. </w:t>
      </w:r>
      <w:r w:rsidR="009B0FDB">
        <w:rPr>
          <w:noProof/>
          <w:color w:val="000000" w:themeColor="text1"/>
        </w:rPr>
        <w:t>First</w:t>
      </w:r>
      <w:r w:rsidR="00DA6495">
        <w:rPr>
          <w:noProof/>
          <w:color w:val="000000" w:themeColor="text1"/>
        </w:rPr>
        <w:t xml:space="preserve">, since it will be valid throughout the EU, it may open new markets to providers that now are out of reach due to other </w:t>
      </w:r>
      <w:r w:rsidR="00097446">
        <w:rPr>
          <w:noProof/>
          <w:color w:val="000000" w:themeColor="text1"/>
        </w:rPr>
        <w:t>requirements (e.g. national certification schemes or labels)</w:t>
      </w:r>
      <w:r w:rsidR="00F53195">
        <w:rPr>
          <w:noProof/>
          <w:color w:val="000000" w:themeColor="text1"/>
        </w:rPr>
        <w:t>, notably in the context of public procurement</w:t>
      </w:r>
      <w:r w:rsidR="00097446">
        <w:rPr>
          <w:noProof/>
          <w:color w:val="000000" w:themeColor="text1"/>
        </w:rPr>
        <w:t xml:space="preserve">. </w:t>
      </w:r>
      <w:r w:rsidR="00CF5AD6">
        <w:rPr>
          <w:noProof/>
          <w:color w:val="000000" w:themeColor="text1"/>
        </w:rPr>
        <w:t>Second</w:t>
      </w:r>
      <w:r w:rsidR="00097446">
        <w:rPr>
          <w:noProof/>
          <w:color w:val="000000" w:themeColor="text1"/>
        </w:rPr>
        <w:t xml:space="preserve">, being </w:t>
      </w:r>
      <w:r w:rsidR="001B3FCB">
        <w:rPr>
          <w:noProof/>
          <w:color w:val="000000" w:themeColor="text1"/>
        </w:rPr>
        <w:t>audited</w:t>
      </w:r>
      <w:r w:rsidR="00097446">
        <w:rPr>
          <w:noProof/>
          <w:color w:val="000000" w:themeColor="text1"/>
        </w:rPr>
        <w:t xml:space="preserve"> under clear sovereign criteria may be used </w:t>
      </w:r>
      <w:r w:rsidR="00D47901">
        <w:rPr>
          <w:noProof/>
          <w:color w:val="000000" w:themeColor="text1"/>
        </w:rPr>
        <w:t xml:space="preserve">by </w:t>
      </w:r>
      <w:r w:rsidR="00F53195">
        <w:rPr>
          <w:noProof/>
          <w:color w:val="000000" w:themeColor="text1"/>
        </w:rPr>
        <w:t xml:space="preserve">SME </w:t>
      </w:r>
      <w:r w:rsidR="00D47901">
        <w:rPr>
          <w:noProof/>
          <w:color w:val="000000" w:themeColor="text1"/>
        </w:rPr>
        <w:t>providers to capture part of the private sector market dealing with highly critical data (e.g. defence)</w:t>
      </w:r>
      <w:r w:rsidR="00F53195">
        <w:rPr>
          <w:noProof/>
          <w:color w:val="000000" w:themeColor="text1"/>
        </w:rPr>
        <w:t xml:space="preserve"> and to </w:t>
      </w:r>
      <w:r w:rsidR="008B4138">
        <w:rPr>
          <w:noProof/>
          <w:color w:val="000000" w:themeColor="text1"/>
        </w:rPr>
        <w:t>overcome the buyers’ bias towards solutions offered by larger providers</w:t>
      </w:r>
      <w:r w:rsidR="00D47901">
        <w:rPr>
          <w:noProof/>
          <w:color w:val="000000" w:themeColor="text1"/>
        </w:rPr>
        <w:t>.</w:t>
      </w:r>
    </w:p>
    <w:p w14:paraId="02C15E8F" w14:textId="358C04A5" w:rsidR="009371EB" w:rsidRPr="00D37004" w:rsidRDefault="009371EB" w:rsidP="005F12D6">
      <w:pPr>
        <w:spacing w:after="120"/>
        <w:rPr>
          <w:noProof/>
          <w:color w:val="4F81BD" w:themeColor="accent1"/>
        </w:rPr>
      </w:pPr>
      <w:r w:rsidRPr="00D37004">
        <w:rPr>
          <w:noProof/>
        </w:rPr>
        <w:t>The minimi</w:t>
      </w:r>
      <w:r w:rsidR="00EF3D33">
        <w:rPr>
          <w:noProof/>
        </w:rPr>
        <w:t>s</w:t>
      </w:r>
      <w:r w:rsidRPr="00D37004">
        <w:rPr>
          <w:noProof/>
        </w:rPr>
        <w:t xml:space="preserve">ation of the burden on SMEs is one of the goals </w:t>
      </w:r>
      <w:r w:rsidR="00E35CF8" w:rsidRPr="00D37004">
        <w:rPr>
          <w:noProof/>
        </w:rPr>
        <w:t xml:space="preserve">of </w:t>
      </w:r>
      <w:r w:rsidRPr="00D37004">
        <w:rPr>
          <w:noProof/>
        </w:rPr>
        <w:t>this intervention, as well as simplification, proportionality, harmoni</w:t>
      </w:r>
      <w:r w:rsidR="00EF3D33">
        <w:rPr>
          <w:noProof/>
        </w:rPr>
        <w:t>s</w:t>
      </w:r>
      <w:r w:rsidRPr="00D37004">
        <w:rPr>
          <w:noProof/>
        </w:rPr>
        <w:t>ation, supportive ecosystems and open access. All these</w:t>
      </w:r>
      <w:r w:rsidRPr="00D37004" w:rsidDel="00003F0F">
        <w:rPr>
          <w:noProof/>
        </w:rPr>
        <w:t xml:space="preserve"> </w:t>
      </w:r>
      <w:r w:rsidR="00003F0F" w:rsidRPr="00D37004">
        <w:rPr>
          <w:noProof/>
        </w:rPr>
        <w:t xml:space="preserve">considerations </w:t>
      </w:r>
      <w:r w:rsidRPr="00D37004">
        <w:rPr>
          <w:noProof/>
        </w:rPr>
        <w:t xml:space="preserve">stay at the core of the initiative, by for instance, transforming compliance into an innovation catalyst, by providing compensatory enablers (e.g. grants, </w:t>
      </w:r>
      <w:r w:rsidR="4A1378B7">
        <w:rPr>
          <w:noProof/>
        </w:rPr>
        <w:t>national support measures</w:t>
      </w:r>
      <w:r w:rsidRPr="00D37004">
        <w:rPr>
          <w:noProof/>
        </w:rPr>
        <w:t>)</w:t>
      </w:r>
      <w:r w:rsidR="729C89E1" w:rsidRPr="48832E3C">
        <w:rPr>
          <w:noProof/>
          <w:color w:val="4F81BD" w:themeColor="accent1"/>
        </w:rPr>
        <w:t>.</w:t>
      </w:r>
    </w:p>
    <w:p w14:paraId="6CE1F56B" w14:textId="75D4B810" w:rsidR="48832E3C" w:rsidRDefault="009371EB" w:rsidP="48832E3C">
      <w:pPr>
        <w:spacing w:after="120"/>
        <w:rPr>
          <w:noProof/>
        </w:rPr>
      </w:pPr>
      <w:r w:rsidRPr="00D37004">
        <w:rPr>
          <w:noProof/>
        </w:rPr>
        <w:t>For more information see Annex 6 SME check.</w:t>
      </w:r>
    </w:p>
    <w:p w14:paraId="5508FA85" w14:textId="3699EA00" w:rsidR="0099524E" w:rsidRPr="00D37004" w:rsidRDefault="0099524E" w:rsidP="0099524E">
      <w:pPr>
        <w:spacing w:after="200" w:line="276" w:lineRule="auto"/>
        <w:jc w:val="left"/>
        <w:rPr>
          <w:rFonts w:eastAsia="Times New Roman"/>
          <w:b/>
          <w:smallCaps/>
          <w:noProof/>
          <w:sz w:val="32"/>
          <w:szCs w:val="20"/>
        </w:rPr>
      </w:pPr>
      <w:r w:rsidRPr="00D37004">
        <w:rPr>
          <w:rFonts w:eastAsia="Times New Roman"/>
          <w:b/>
          <w:smallCaps/>
          <w:noProof/>
          <w:sz w:val="32"/>
          <w:szCs w:val="20"/>
        </w:rPr>
        <w:br w:type="page"/>
      </w:r>
    </w:p>
    <w:p w14:paraId="15891AB1" w14:textId="596D8402" w:rsidR="00CB39DC" w:rsidRPr="00D37004" w:rsidRDefault="000F2473" w:rsidP="00E918FC">
      <w:pPr>
        <w:pStyle w:val="AnnexTitle"/>
        <w:rPr>
          <w:noProof/>
          <w:lang w:val="en-IE"/>
        </w:rPr>
      </w:pPr>
      <w:bookmarkStart w:id="334" w:name="_Toc216283392"/>
      <w:bookmarkStart w:id="335" w:name="_Toc228346951"/>
      <w:bookmarkStart w:id="336" w:name="_Toc139373883"/>
      <w:bookmarkStart w:id="337" w:name="_Toc208138446"/>
      <w:r w:rsidRPr="00EE30FB">
        <w:rPr>
          <w:noProof/>
          <w:lang w:val="en-IE"/>
        </w:rPr>
        <w:t xml:space="preserve">Annex 6: </w:t>
      </w:r>
      <w:r w:rsidR="001B701C" w:rsidRPr="00EE30FB">
        <w:rPr>
          <w:noProof/>
          <w:lang w:val="en-IE"/>
        </w:rPr>
        <w:t>SME check</w:t>
      </w:r>
      <w:bookmarkEnd w:id="334"/>
      <w:bookmarkEnd w:id="335"/>
    </w:p>
    <w:p w14:paraId="7F9F19C9" w14:textId="2A979DAF" w:rsidR="00CB39DC" w:rsidRPr="00D37004" w:rsidRDefault="00CB39DC" w:rsidP="00160C18">
      <w:pPr>
        <w:rPr>
          <w:b/>
          <w:smallCaps/>
          <w:noProof/>
          <w:color w:val="000000" w:themeColor="text1"/>
        </w:rPr>
      </w:pPr>
      <w:r w:rsidRPr="00D37004">
        <w:rPr>
          <w:b/>
          <w:smallCaps/>
          <w:noProof/>
          <w:color w:val="000000" w:themeColor="text1"/>
        </w:rPr>
        <w:t>Overview of impacts on SMEs</w:t>
      </w:r>
    </w:p>
    <w:tbl>
      <w:tblPr>
        <w:tblStyle w:val="TableGrid"/>
        <w:tblW w:w="5000" w:type="pct"/>
        <w:tblLook w:val="04A0" w:firstRow="1" w:lastRow="0" w:firstColumn="1" w:lastColumn="0" w:noHBand="0" w:noVBand="1"/>
      </w:tblPr>
      <w:tblGrid>
        <w:gridCol w:w="8619"/>
      </w:tblGrid>
      <w:tr w:rsidR="007D6B71" w:rsidRPr="00D37004" w14:paraId="2F0733E9" w14:textId="77777777" w:rsidTr="294AF3FA">
        <w:tc>
          <w:tcPr>
            <w:tcW w:w="5000" w:type="pct"/>
          </w:tcPr>
          <w:p w14:paraId="15AD28E9" w14:textId="77777777" w:rsidR="00CB39DC" w:rsidRPr="00D37004" w:rsidRDefault="00CB39DC" w:rsidP="00791DD7">
            <w:pPr>
              <w:pStyle w:val="ListParagraph"/>
              <w:spacing w:after="120"/>
              <w:ind w:left="0"/>
              <w:rPr>
                <w:b/>
                <w:noProof/>
                <w:color w:val="000000" w:themeColor="text1"/>
              </w:rPr>
            </w:pPr>
            <w:r w:rsidRPr="00D37004">
              <w:rPr>
                <w:b/>
                <w:noProof/>
                <w:color w:val="000000" w:themeColor="text1"/>
              </w:rPr>
              <w:t xml:space="preserve">Relevance for SMEs </w:t>
            </w:r>
          </w:p>
        </w:tc>
      </w:tr>
      <w:tr w:rsidR="007D6B71" w:rsidRPr="00D37004" w14:paraId="58537A18" w14:textId="77777777" w:rsidTr="294AF3FA">
        <w:tc>
          <w:tcPr>
            <w:tcW w:w="5000" w:type="pct"/>
          </w:tcPr>
          <w:p w14:paraId="425F2D23" w14:textId="2B345F98" w:rsidR="00CB39DC" w:rsidRPr="00D37004" w:rsidRDefault="00CB39DC" w:rsidP="004C1DB4">
            <w:pPr>
              <w:pStyle w:val="ListParagraph"/>
              <w:ind w:left="0"/>
              <w:rPr>
                <w:noProof/>
                <w:color w:val="000000" w:themeColor="text1"/>
              </w:rPr>
            </w:pPr>
            <w:r w:rsidRPr="00D37004">
              <w:rPr>
                <w:noProof/>
                <w:color w:val="000000" w:themeColor="text1"/>
              </w:rPr>
              <w:t xml:space="preserve">Based on SME filter and the </w:t>
            </w:r>
            <w:r w:rsidR="289F9D83">
              <w:rPr>
                <w:noProof/>
                <w:color w:val="000000" w:themeColor="text1"/>
              </w:rPr>
              <w:t>(first)</w:t>
            </w:r>
            <w:r w:rsidRPr="00D37004">
              <w:rPr>
                <w:noProof/>
                <w:color w:val="000000" w:themeColor="text1"/>
              </w:rPr>
              <w:t xml:space="preserve"> ISG discussion, this initiative is </w:t>
            </w:r>
            <w:r w:rsidRPr="294AF3FA">
              <w:rPr>
                <w:b/>
                <w:bCs/>
                <w:noProof/>
                <w:color w:val="000000" w:themeColor="text1"/>
              </w:rPr>
              <w:t>relevant</w:t>
            </w:r>
            <w:r w:rsidRPr="00D37004">
              <w:rPr>
                <w:noProof/>
                <w:color w:val="000000" w:themeColor="text1"/>
              </w:rPr>
              <w:t xml:space="preserve"> for SMEs</w:t>
            </w:r>
            <w:r w:rsidRPr="00D37004">
              <w:rPr>
                <w:rStyle w:val="FootnoteReference"/>
                <w:noProof/>
                <w:color w:val="000000" w:themeColor="text1"/>
              </w:rPr>
              <w:footnoteReference w:id="178"/>
            </w:r>
            <w:r w:rsidRPr="00D37004">
              <w:rPr>
                <w:noProof/>
                <w:color w:val="000000" w:themeColor="text1"/>
              </w:rPr>
              <w:t xml:space="preserve">  </w:t>
            </w:r>
          </w:p>
        </w:tc>
      </w:tr>
      <w:tr w:rsidR="007D6B71" w:rsidRPr="00D37004" w14:paraId="788B1A7C" w14:textId="77777777" w:rsidTr="294AF3FA">
        <w:tc>
          <w:tcPr>
            <w:tcW w:w="5000" w:type="pct"/>
          </w:tcPr>
          <w:p w14:paraId="647BB2E6" w14:textId="1DF38484" w:rsidR="00CB39DC" w:rsidRPr="00D37004" w:rsidRDefault="00CB39DC" w:rsidP="00791DD7">
            <w:pPr>
              <w:pStyle w:val="ListParagraph"/>
              <w:ind w:left="0"/>
              <w:rPr>
                <w:b/>
                <w:noProof/>
                <w:color w:val="000000" w:themeColor="text1"/>
              </w:rPr>
            </w:pPr>
            <w:r w:rsidRPr="00D37004">
              <w:rPr>
                <w:b/>
                <w:noProof/>
                <w:color w:val="000000" w:themeColor="text1"/>
              </w:rPr>
              <w:t>(1)</w:t>
            </w:r>
            <w:r w:rsidRPr="00D37004">
              <w:rPr>
                <w:noProof/>
              </w:rPr>
              <w:tab/>
            </w:r>
            <w:r w:rsidRPr="00D37004">
              <w:rPr>
                <w:b/>
                <w:smallCaps/>
                <w:noProof/>
                <w:color w:val="000000" w:themeColor="text1"/>
              </w:rPr>
              <w:t>Identification of affected businesses and assessment of relevance</w:t>
            </w:r>
          </w:p>
        </w:tc>
      </w:tr>
      <w:tr w:rsidR="007D6B71" w:rsidRPr="00D37004" w14:paraId="640E28DF" w14:textId="77777777" w:rsidTr="294AF3FA">
        <w:tc>
          <w:tcPr>
            <w:tcW w:w="5000" w:type="pct"/>
          </w:tcPr>
          <w:p w14:paraId="0B840DB2" w14:textId="20750936" w:rsidR="00CB39DC" w:rsidRPr="00D37004" w:rsidRDefault="00CB39DC" w:rsidP="00791DD7">
            <w:pPr>
              <w:pStyle w:val="ListParagraph"/>
              <w:spacing w:after="120"/>
              <w:ind w:left="0"/>
              <w:contextualSpacing w:val="0"/>
              <w:rPr>
                <w:b/>
                <w:noProof/>
                <w:color w:val="000000" w:themeColor="text1"/>
              </w:rPr>
            </w:pPr>
            <w:r w:rsidRPr="00D37004">
              <w:rPr>
                <w:b/>
                <w:noProof/>
                <w:color w:val="000000" w:themeColor="text1"/>
              </w:rPr>
              <w:t>Are SMEs directly affected?</w:t>
            </w:r>
            <w:r w:rsidRPr="00D37004">
              <w:rPr>
                <w:noProof/>
                <w:color w:val="000000" w:themeColor="text1"/>
              </w:rPr>
              <w:t xml:space="preserve"> </w:t>
            </w:r>
            <w:r w:rsidRPr="00D37004">
              <w:rPr>
                <w:b/>
                <w:noProof/>
                <w:color w:val="000000" w:themeColor="text1"/>
              </w:rPr>
              <w:t>In which sectors?</w:t>
            </w:r>
          </w:p>
        </w:tc>
      </w:tr>
      <w:tr w:rsidR="007D6B71" w:rsidRPr="00D37004" w14:paraId="3914BB2E" w14:textId="77777777" w:rsidTr="294AF3FA">
        <w:tc>
          <w:tcPr>
            <w:tcW w:w="5000" w:type="pct"/>
          </w:tcPr>
          <w:p w14:paraId="0E42F098" w14:textId="19B5C09D" w:rsidR="00CB39DC" w:rsidRPr="00D37004" w:rsidRDefault="00E25F9D" w:rsidP="004C1DB4">
            <w:pPr>
              <w:pStyle w:val="ListParagraph"/>
              <w:ind w:left="0"/>
              <w:rPr>
                <w:i/>
                <w:noProof/>
                <w:color w:val="000000" w:themeColor="text1"/>
              </w:rPr>
            </w:pPr>
            <w:r w:rsidRPr="00D37004">
              <w:rPr>
                <w:noProof/>
                <w:color w:val="000000" w:themeColor="text1"/>
              </w:rPr>
              <w:t>SMEs are directly affected</w:t>
            </w:r>
            <w:r w:rsidR="00DD40BA" w:rsidRPr="00D37004">
              <w:rPr>
                <w:noProof/>
                <w:color w:val="000000" w:themeColor="text1"/>
              </w:rPr>
              <w:t>,</w:t>
            </w:r>
            <w:r w:rsidR="008C6AE6" w:rsidRPr="00D37004">
              <w:rPr>
                <w:noProof/>
                <w:color w:val="000000" w:themeColor="text1"/>
              </w:rPr>
              <w:t xml:space="preserve"> though in different ways depending on their role in the </w:t>
            </w:r>
            <w:r w:rsidR="00BD6701" w:rsidRPr="00D37004">
              <w:rPr>
                <w:noProof/>
                <w:color w:val="000000" w:themeColor="text1"/>
              </w:rPr>
              <w:t xml:space="preserve">data centre, cloud and AI </w:t>
            </w:r>
            <w:r w:rsidR="00C55C3F" w:rsidRPr="00D37004">
              <w:rPr>
                <w:noProof/>
                <w:color w:val="000000" w:themeColor="text1"/>
              </w:rPr>
              <w:t>value chain.</w:t>
            </w:r>
            <w:r w:rsidR="0017571B" w:rsidRPr="00D37004">
              <w:rPr>
                <w:noProof/>
                <w:color w:val="000000" w:themeColor="text1"/>
              </w:rPr>
              <w:t xml:space="preserve"> </w:t>
            </w:r>
            <w:r w:rsidR="00C55C3F" w:rsidRPr="00D37004">
              <w:rPr>
                <w:noProof/>
                <w:color w:val="000000" w:themeColor="text1"/>
              </w:rPr>
              <w:t xml:space="preserve">Firstly, </w:t>
            </w:r>
            <w:r w:rsidR="00226B5D" w:rsidRPr="00D37004">
              <w:rPr>
                <w:noProof/>
                <w:color w:val="000000" w:themeColor="text1"/>
              </w:rPr>
              <w:t xml:space="preserve">on the limited </w:t>
            </w:r>
            <w:r w:rsidR="00293A41">
              <w:rPr>
                <w:noProof/>
                <w:color w:val="000000" w:themeColor="text1"/>
              </w:rPr>
              <w:t>and geographically concentrated</w:t>
            </w:r>
            <w:r w:rsidR="00226B5D" w:rsidRPr="00D37004">
              <w:rPr>
                <w:noProof/>
                <w:color w:val="000000" w:themeColor="text1"/>
              </w:rPr>
              <w:t xml:space="preserve"> availability of computing capacity</w:t>
            </w:r>
            <w:r w:rsidR="004A6E64" w:rsidRPr="00D37004">
              <w:rPr>
                <w:noProof/>
                <w:color w:val="000000" w:themeColor="text1"/>
              </w:rPr>
              <w:t xml:space="preserve"> (P1)</w:t>
            </w:r>
            <w:r w:rsidR="00226B5D" w:rsidRPr="00D37004">
              <w:rPr>
                <w:noProof/>
                <w:color w:val="000000" w:themeColor="text1"/>
              </w:rPr>
              <w:t xml:space="preserve">, </w:t>
            </w:r>
            <w:r w:rsidR="00EE3CF5" w:rsidRPr="00D37004">
              <w:rPr>
                <w:noProof/>
                <w:color w:val="000000" w:themeColor="text1"/>
              </w:rPr>
              <w:t xml:space="preserve">the affected SMEs are those </w:t>
            </w:r>
            <w:r w:rsidR="00C55C3F" w:rsidRPr="00D37004">
              <w:rPr>
                <w:noProof/>
                <w:color w:val="000000" w:themeColor="text1"/>
              </w:rPr>
              <w:t xml:space="preserve">companies </w:t>
            </w:r>
            <w:r w:rsidR="00491571" w:rsidRPr="00D37004">
              <w:rPr>
                <w:noProof/>
                <w:color w:val="000000" w:themeColor="text1"/>
              </w:rPr>
              <w:t>building and operating data centres</w:t>
            </w:r>
            <w:r w:rsidR="00BF1F25" w:rsidRPr="00D37004">
              <w:rPr>
                <w:noProof/>
                <w:color w:val="000000" w:themeColor="text1"/>
              </w:rPr>
              <w:t xml:space="preserve">, </w:t>
            </w:r>
            <w:r w:rsidR="00047C00" w:rsidRPr="00D37004">
              <w:rPr>
                <w:noProof/>
                <w:color w:val="000000" w:themeColor="text1"/>
              </w:rPr>
              <w:t xml:space="preserve">which encompass data centre operators, cloud service providers that build and operate their own data centres, </w:t>
            </w:r>
            <w:r w:rsidR="007D7EBB" w:rsidRPr="00D37004">
              <w:rPr>
                <w:noProof/>
                <w:color w:val="000000" w:themeColor="text1"/>
              </w:rPr>
              <w:t>construction</w:t>
            </w:r>
            <w:r w:rsidR="00047C00" w:rsidRPr="00D37004">
              <w:rPr>
                <w:noProof/>
                <w:color w:val="000000" w:themeColor="text1"/>
              </w:rPr>
              <w:t xml:space="preserve"> </w:t>
            </w:r>
            <w:r w:rsidR="00FE22AA" w:rsidRPr="00D37004">
              <w:rPr>
                <w:noProof/>
                <w:color w:val="000000" w:themeColor="text1"/>
              </w:rPr>
              <w:t xml:space="preserve">and real estate </w:t>
            </w:r>
            <w:r w:rsidR="00047C00" w:rsidRPr="00D37004">
              <w:rPr>
                <w:noProof/>
                <w:color w:val="000000" w:themeColor="text1"/>
              </w:rPr>
              <w:t>companies</w:t>
            </w:r>
            <w:r w:rsidR="00FB0933" w:rsidRPr="00D37004">
              <w:rPr>
                <w:noProof/>
                <w:color w:val="000000" w:themeColor="text1"/>
              </w:rPr>
              <w:t xml:space="preserve">. </w:t>
            </w:r>
            <w:r w:rsidR="00705412" w:rsidRPr="00D37004">
              <w:rPr>
                <w:noProof/>
                <w:color w:val="000000" w:themeColor="text1"/>
              </w:rPr>
              <w:t>Building data centres is a capital</w:t>
            </w:r>
            <w:r w:rsidR="00EE18D6" w:rsidRPr="00D37004">
              <w:rPr>
                <w:noProof/>
                <w:color w:val="000000" w:themeColor="text1"/>
              </w:rPr>
              <w:t>-</w:t>
            </w:r>
            <w:r w:rsidR="00705412" w:rsidRPr="00D37004">
              <w:rPr>
                <w:noProof/>
                <w:color w:val="000000" w:themeColor="text1"/>
              </w:rPr>
              <w:t xml:space="preserve">intensive </w:t>
            </w:r>
            <w:r w:rsidR="00117D30" w:rsidRPr="00D37004">
              <w:rPr>
                <w:noProof/>
                <w:color w:val="000000" w:themeColor="text1"/>
              </w:rPr>
              <w:t xml:space="preserve">activity and hence the number of SMEs </w:t>
            </w:r>
            <w:r w:rsidR="006122F1" w:rsidRPr="00D37004">
              <w:rPr>
                <w:noProof/>
                <w:color w:val="000000" w:themeColor="text1"/>
              </w:rPr>
              <w:t>affected</w:t>
            </w:r>
            <w:r w:rsidR="00C72697" w:rsidRPr="00D37004">
              <w:rPr>
                <w:noProof/>
                <w:color w:val="000000" w:themeColor="text1"/>
              </w:rPr>
              <w:t xml:space="preserve"> is limited.</w:t>
            </w:r>
            <w:r w:rsidR="004A6C91" w:rsidRPr="00D37004">
              <w:rPr>
                <w:noProof/>
                <w:color w:val="000000" w:themeColor="text1"/>
              </w:rPr>
              <w:t xml:space="preserve"> </w:t>
            </w:r>
            <w:r w:rsidR="00C72697" w:rsidRPr="00D37004">
              <w:rPr>
                <w:noProof/>
                <w:color w:val="000000" w:themeColor="text1"/>
              </w:rPr>
              <w:t xml:space="preserve">Secondly, on the </w:t>
            </w:r>
            <w:r w:rsidR="003C3527">
              <w:rPr>
                <w:noProof/>
                <w:color w:val="000000" w:themeColor="text1"/>
              </w:rPr>
              <w:t>dependence on cloud and AI</w:t>
            </w:r>
            <w:r w:rsidR="003C3527" w:rsidRPr="00D37004">
              <w:rPr>
                <w:noProof/>
                <w:color w:val="000000" w:themeColor="text1"/>
              </w:rPr>
              <w:t xml:space="preserve"> </w:t>
            </w:r>
            <w:r w:rsidR="003C3527">
              <w:rPr>
                <w:noProof/>
                <w:color w:val="000000" w:themeColor="text1"/>
              </w:rPr>
              <w:t>computing services supplied by non-European providers</w:t>
            </w:r>
            <w:r w:rsidR="00C72697" w:rsidRPr="00D37004">
              <w:rPr>
                <w:noProof/>
                <w:color w:val="000000" w:themeColor="text1"/>
              </w:rPr>
              <w:t xml:space="preserve"> </w:t>
            </w:r>
            <w:r w:rsidR="004A6E64" w:rsidRPr="00D37004">
              <w:rPr>
                <w:noProof/>
                <w:color w:val="000000" w:themeColor="text1"/>
              </w:rPr>
              <w:t>(P</w:t>
            </w:r>
            <w:r w:rsidR="001D621E" w:rsidRPr="00D37004">
              <w:rPr>
                <w:noProof/>
                <w:color w:val="000000" w:themeColor="text1"/>
              </w:rPr>
              <w:t xml:space="preserve">2) </w:t>
            </w:r>
            <w:r w:rsidR="00C72697" w:rsidRPr="00D37004">
              <w:rPr>
                <w:noProof/>
                <w:color w:val="000000" w:themeColor="text1"/>
              </w:rPr>
              <w:t>there are two strands</w:t>
            </w:r>
            <w:r w:rsidR="00570C94" w:rsidRPr="00D37004">
              <w:rPr>
                <w:noProof/>
                <w:color w:val="000000" w:themeColor="text1"/>
              </w:rPr>
              <w:t xml:space="preserve"> of SMEs stakeholders affected by the current initiative</w:t>
            </w:r>
            <w:r w:rsidR="00C72697" w:rsidRPr="00D37004">
              <w:rPr>
                <w:noProof/>
                <w:color w:val="000000" w:themeColor="text1"/>
              </w:rPr>
              <w:t xml:space="preserve">. </w:t>
            </w:r>
            <w:r w:rsidR="00632ECB" w:rsidRPr="00D37004">
              <w:rPr>
                <w:noProof/>
                <w:color w:val="000000" w:themeColor="text1"/>
              </w:rPr>
              <w:t>First</w:t>
            </w:r>
            <w:r w:rsidR="00C72697" w:rsidRPr="00D37004">
              <w:rPr>
                <w:noProof/>
                <w:color w:val="000000" w:themeColor="text1"/>
              </w:rPr>
              <w:t xml:space="preserve">, </w:t>
            </w:r>
            <w:r w:rsidR="005108AE" w:rsidRPr="00D37004">
              <w:rPr>
                <w:noProof/>
                <w:color w:val="000000" w:themeColor="text1"/>
              </w:rPr>
              <w:t xml:space="preserve">cloud and AI </w:t>
            </w:r>
            <w:r w:rsidR="00A011FC">
              <w:rPr>
                <w:noProof/>
                <w:color w:val="000000" w:themeColor="text1"/>
              </w:rPr>
              <w:t>computing service</w:t>
            </w:r>
            <w:r w:rsidR="005108AE" w:rsidRPr="00D37004">
              <w:rPr>
                <w:noProof/>
                <w:color w:val="000000" w:themeColor="text1"/>
              </w:rPr>
              <w:t xml:space="preserve"> providers</w:t>
            </w:r>
            <w:r w:rsidR="00B342E6" w:rsidRPr="00D37004">
              <w:rPr>
                <w:noProof/>
                <w:color w:val="000000" w:themeColor="text1"/>
              </w:rPr>
              <w:t xml:space="preserve">, </w:t>
            </w:r>
            <w:r w:rsidR="00863BBF" w:rsidRPr="00D37004">
              <w:rPr>
                <w:noProof/>
                <w:color w:val="000000" w:themeColor="text1"/>
              </w:rPr>
              <w:t xml:space="preserve">that is, those organizations that </w:t>
            </w:r>
            <w:r w:rsidR="007A10B9" w:rsidRPr="00D37004">
              <w:rPr>
                <w:noProof/>
                <w:color w:val="000000" w:themeColor="text1"/>
              </w:rPr>
              <w:t xml:space="preserve">develop and </w:t>
            </w:r>
            <w:r w:rsidR="00B342E6" w:rsidRPr="00D37004">
              <w:rPr>
                <w:noProof/>
                <w:color w:val="000000" w:themeColor="text1"/>
              </w:rPr>
              <w:t>offer their services</w:t>
            </w:r>
            <w:r w:rsidR="00E26640" w:rsidRPr="00D37004">
              <w:rPr>
                <w:noProof/>
                <w:color w:val="000000" w:themeColor="text1"/>
              </w:rPr>
              <w:t xml:space="preserve"> </w:t>
            </w:r>
            <w:r w:rsidR="007A10B9" w:rsidRPr="00D37004">
              <w:rPr>
                <w:noProof/>
                <w:color w:val="000000" w:themeColor="text1"/>
              </w:rPr>
              <w:t>to</w:t>
            </w:r>
            <w:r w:rsidR="00E26640" w:rsidRPr="00D37004">
              <w:rPr>
                <w:noProof/>
                <w:color w:val="000000" w:themeColor="text1"/>
              </w:rPr>
              <w:t xml:space="preserve"> business and governmental customers</w:t>
            </w:r>
            <w:r w:rsidR="00A311FC" w:rsidRPr="00D37004">
              <w:rPr>
                <w:noProof/>
                <w:color w:val="000000" w:themeColor="text1"/>
              </w:rPr>
              <w:t xml:space="preserve"> and on the other, </w:t>
            </w:r>
            <w:r w:rsidR="00BA78F1" w:rsidRPr="00D37004">
              <w:rPr>
                <w:noProof/>
                <w:color w:val="000000" w:themeColor="text1"/>
              </w:rPr>
              <w:t xml:space="preserve">SMEs that </w:t>
            </w:r>
            <w:r w:rsidR="00D14FC9" w:rsidRPr="00D37004">
              <w:rPr>
                <w:noProof/>
                <w:color w:val="000000" w:themeColor="text1"/>
              </w:rPr>
              <w:t xml:space="preserve">use </w:t>
            </w:r>
            <w:r w:rsidR="007B62FC" w:rsidRPr="00D37004">
              <w:rPr>
                <w:noProof/>
                <w:color w:val="000000" w:themeColor="text1"/>
              </w:rPr>
              <w:t xml:space="preserve">cloud and AI </w:t>
            </w:r>
            <w:r w:rsidR="00A011FC">
              <w:rPr>
                <w:noProof/>
                <w:color w:val="000000" w:themeColor="text1"/>
              </w:rPr>
              <w:t>computing services</w:t>
            </w:r>
            <w:r w:rsidR="007B62FC" w:rsidRPr="00D37004">
              <w:rPr>
                <w:noProof/>
                <w:color w:val="000000" w:themeColor="text1"/>
              </w:rPr>
              <w:t>.</w:t>
            </w:r>
          </w:p>
        </w:tc>
      </w:tr>
      <w:tr w:rsidR="007D6B71" w:rsidRPr="00D37004" w14:paraId="0264FC95" w14:textId="77777777" w:rsidTr="294AF3FA">
        <w:tc>
          <w:tcPr>
            <w:tcW w:w="5000" w:type="pct"/>
          </w:tcPr>
          <w:p w14:paraId="6B5DA3E2" w14:textId="77777777" w:rsidR="00CB39DC" w:rsidRPr="00D37004" w:rsidRDefault="00CB39DC" w:rsidP="00791DD7">
            <w:pPr>
              <w:pStyle w:val="ListParagraph"/>
              <w:spacing w:after="120"/>
              <w:ind w:left="0"/>
              <w:contextualSpacing w:val="0"/>
              <w:rPr>
                <w:rFonts w:cstheme="minorHAnsi"/>
                <w:b/>
                <w:noProof/>
                <w:color w:val="000000" w:themeColor="text1"/>
              </w:rPr>
            </w:pPr>
            <w:r w:rsidRPr="00D37004">
              <w:rPr>
                <w:rFonts w:cstheme="minorHAnsi"/>
                <w:b/>
                <w:noProof/>
                <w:color w:val="000000" w:themeColor="text1"/>
              </w:rPr>
              <w:t>Estimated number of directly affected SMEs</w:t>
            </w:r>
          </w:p>
        </w:tc>
      </w:tr>
      <w:tr w:rsidR="007D6B71" w:rsidRPr="00D37004" w14:paraId="1C5D3D13" w14:textId="77777777" w:rsidTr="294AF3FA">
        <w:tc>
          <w:tcPr>
            <w:tcW w:w="5000" w:type="pct"/>
          </w:tcPr>
          <w:p w14:paraId="659C561A" w14:textId="7942F1A6" w:rsidR="006A5D65" w:rsidRPr="00D37004" w:rsidRDefault="00F5176B" w:rsidP="009C048F">
            <w:pPr>
              <w:pStyle w:val="ListParagraph"/>
              <w:ind w:left="0"/>
              <w:rPr>
                <w:noProof/>
                <w:color w:val="000000" w:themeColor="text1"/>
              </w:rPr>
            </w:pPr>
            <w:r w:rsidRPr="00D37004">
              <w:rPr>
                <w:rFonts w:eastAsiaTheme="minorEastAsia"/>
                <w:noProof/>
                <w:color w:val="000000" w:themeColor="text1"/>
              </w:rPr>
              <w:t xml:space="preserve">SMEs directly affected by the initiative, i.e. </w:t>
            </w:r>
            <w:r w:rsidR="008F734F" w:rsidRPr="00D37004">
              <w:rPr>
                <w:rFonts w:eastAsiaTheme="minorEastAsia"/>
                <w:noProof/>
                <w:color w:val="000000" w:themeColor="text1"/>
              </w:rPr>
              <w:t xml:space="preserve">involved in building or operating data centres are </w:t>
            </w:r>
            <w:r w:rsidR="00A27351" w:rsidRPr="00D37004">
              <w:rPr>
                <w:rFonts w:eastAsiaTheme="minorEastAsia"/>
                <w:noProof/>
                <w:color w:val="000000" w:themeColor="text1"/>
              </w:rPr>
              <w:t xml:space="preserve">approximately 150 </w:t>
            </w:r>
            <w:r w:rsidR="008F734F" w:rsidRPr="00D37004">
              <w:rPr>
                <w:rFonts w:eastAsiaTheme="minorEastAsia"/>
                <w:noProof/>
                <w:color w:val="000000" w:themeColor="text1"/>
              </w:rPr>
              <w:t>across the EU</w:t>
            </w:r>
            <w:r w:rsidR="00936944">
              <w:rPr>
                <w:rStyle w:val="FootnoteReference"/>
                <w:rFonts w:eastAsiaTheme="minorEastAsia"/>
                <w:noProof/>
                <w:color w:val="000000" w:themeColor="text1"/>
              </w:rPr>
              <w:footnoteReference w:id="179"/>
            </w:r>
            <w:r w:rsidR="00D00AA7" w:rsidRPr="00D37004">
              <w:rPr>
                <w:rFonts w:eastAsiaTheme="minorEastAsia"/>
                <w:noProof/>
                <w:color w:val="000000" w:themeColor="text1"/>
              </w:rPr>
              <w:t>.</w:t>
            </w:r>
            <w:r>
              <w:rPr>
                <w:rFonts w:eastAsiaTheme="minorEastAsia"/>
                <w:noProof/>
                <w:color w:val="000000" w:themeColor="text1"/>
              </w:rPr>
              <w:t xml:space="preserve"> </w:t>
            </w:r>
            <w:r w:rsidR="7E32EF9C" w:rsidRPr="00D37004">
              <w:rPr>
                <w:noProof/>
                <w:color w:val="000000" w:themeColor="text1"/>
              </w:rPr>
              <w:t>Furthermore, t</w:t>
            </w:r>
            <w:r w:rsidR="118F4663" w:rsidRPr="00D37004">
              <w:rPr>
                <w:noProof/>
                <w:color w:val="000000" w:themeColor="text1"/>
              </w:rPr>
              <w:t xml:space="preserve">he </w:t>
            </w:r>
            <w:r w:rsidR="00936944">
              <w:rPr>
                <w:noProof/>
                <w:color w:val="000000" w:themeColor="text1"/>
              </w:rPr>
              <w:t>Technopolis et al.</w:t>
            </w:r>
            <w:r w:rsidR="009C048F">
              <w:rPr>
                <w:noProof/>
                <w:color w:val="000000" w:themeColor="text1"/>
              </w:rPr>
              <w:t xml:space="preserve"> (2025)</w:t>
            </w:r>
            <w:r w:rsidR="118F4663" w:rsidRPr="00D37004">
              <w:rPr>
                <w:noProof/>
                <w:color w:val="000000" w:themeColor="text1"/>
              </w:rPr>
              <w:t xml:space="preserve"> mapped</w:t>
            </w:r>
            <w:r w:rsidR="00D00AA7" w:rsidRPr="00D37004">
              <w:rPr>
                <w:rStyle w:val="FootnoteReference"/>
                <w:noProof/>
                <w:color w:val="000000" w:themeColor="text1"/>
              </w:rPr>
              <w:footnoteReference w:id="180"/>
            </w:r>
            <w:r w:rsidR="118F4663" w:rsidRPr="00D37004">
              <w:rPr>
                <w:noProof/>
                <w:color w:val="000000" w:themeColor="text1"/>
              </w:rPr>
              <w:t xml:space="preserve"> existing cloud service providers in the EU (284) and the results yielded that around 60% of the identified providers are </w:t>
            </w:r>
            <w:r w:rsidR="4E4AE89F" w:rsidRPr="00D37004">
              <w:rPr>
                <w:noProof/>
                <w:color w:val="000000" w:themeColor="text1"/>
              </w:rPr>
              <w:t>SMEs</w:t>
            </w:r>
            <w:r w:rsidR="118F4663" w:rsidRPr="00D37004">
              <w:rPr>
                <w:noProof/>
                <w:color w:val="000000" w:themeColor="text1"/>
              </w:rPr>
              <w:t xml:space="preserve"> or startups headquartered in the EU (175) whereas including non-EU headquartered, the number amounts to 200</w:t>
            </w:r>
            <w:r w:rsidR="00D00AA7" w:rsidRPr="00D37004">
              <w:rPr>
                <w:rStyle w:val="FootnoteReference"/>
                <w:noProof/>
                <w:color w:val="000000" w:themeColor="text1"/>
              </w:rPr>
              <w:footnoteReference w:id="181"/>
            </w:r>
            <w:r w:rsidR="118F4663" w:rsidRPr="00D37004">
              <w:rPr>
                <w:noProof/>
                <w:color w:val="000000" w:themeColor="text1"/>
              </w:rPr>
              <w:t xml:space="preserve">. The same mapping exercise was carried out for AI service providers but the results to quantify the affected organizations are less conclusive. </w:t>
            </w:r>
          </w:p>
          <w:p w14:paraId="3DE01CE4" w14:textId="77777777" w:rsidR="009C048F" w:rsidRPr="00D37004" w:rsidRDefault="009C048F" w:rsidP="008D0BAC">
            <w:pPr>
              <w:pStyle w:val="ListParagraph"/>
              <w:ind w:left="0"/>
              <w:rPr>
                <w:noProof/>
                <w:color w:val="000000" w:themeColor="text1"/>
              </w:rPr>
            </w:pPr>
          </w:p>
          <w:p w14:paraId="773A8DC2" w14:textId="30ABCDDA" w:rsidR="00CB39DC" w:rsidRPr="00D37004" w:rsidRDefault="2C0E56B3" w:rsidP="00791DD7">
            <w:pPr>
              <w:pStyle w:val="ListParagraph"/>
              <w:ind w:left="0"/>
              <w:contextualSpacing w:val="0"/>
              <w:rPr>
                <w:rFonts w:eastAsiaTheme="minorEastAsia"/>
                <w:noProof/>
                <w:color w:val="000000" w:themeColor="text1"/>
              </w:rPr>
            </w:pPr>
            <w:r w:rsidRPr="00D37004">
              <w:rPr>
                <w:noProof/>
                <w:color w:val="000000" w:themeColor="text1"/>
              </w:rPr>
              <w:t xml:space="preserve">Beyond </w:t>
            </w:r>
            <w:r w:rsidR="118F4663" w:rsidRPr="00D37004">
              <w:rPr>
                <w:noProof/>
                <w:color w:val="000000" w:themeColor="text1"/>
              </w:rPr>
              <w:t xml:space="preserve">cloud and AI </w:t>
            </w:r>
            <w:r w:rsidR="00A011FC">
              <w:rPr>
                <w:noProof/>
                <w:color w:val="000000" w:themeColor="text1"/>
              </w:rPr>
              <w:t>computing service</w:t>
            </w:r>
            <w:r w:rsidRPr="00D37004">
              <w:rPr>
                <w:noProof/>
                <w:color w:val="000000" w:themeColor="text1"/>
              </w:rPr>
              <w:t xml:space="preserve"> providers</w:t>
            </w:r>
            <w:r w:rsidR="118F4663" w:rsidRPr="00D37004">
              <w:rPr>
                <w:noProof/>
                <w:color w:val="000000" w:themeColor="text1"/>
              </w:rPr>
              <w:t>, the policy measures</w:t>
            </w:r>
            <w:r w:rsidR="5FA2C37F" w:rsidRPr="00D37004">
              <w:rPr>
                <w:noProof/>
                <w:color w:val="000000" w:themeColor="text1"/>
              </w:rPr>
              <w:t xml:space="preserve"> under consideration</w:t>
            </w:r>
            <w:r w:rsidR="118F4663" w:rsidRPr="00D37004">
              <w:rPr>
                <w:noProof/>
                <w:color w:val="000000" w:themeColor="text1"/>
              </w:rPr>
              <w:t>, notably the cloud and AI adoption scheme for SMEs, also affect ICT SME companies</w:t>
            </w:r>
            <w:r w:rsidR="00D00AA7" w:rsidRPr="00D37004">
              <w:rPr>
                <w:rStyle w:val="FootnoteReference"/>
                <w:noProof/>
                <w:color w:val="000000" w:themeColor="text1"/>
              </w:rPr>
              <w:footnoteReference w:id="182"/>
            </w:r>
            <w:r w:rsidR="118F4663" w:rsidRPr="00D37004">
              <w:rPr>
                <w:noProof/>
                <w:color w:val="000000" w:themeColor="text1"/>
              </w:rPr>
              <w:t xml:space="preserve"> (65</w:t>
            </w:r>
            <w:r w:rsidR="009C048F">
              <w:rPr>
                <w:noProof/>
                <w:color w:val="000000" w:themeColor="text1"/>
              </w:rPr>
              <w:t xml:space="preserve"> </w:t>
            </w:r>
            <w:r w:rsidR="118F4663" w:rsidRPr="00D37004">
              <w:rPr>
                <w:noProof/>
                <w:color w:val="000000" w:themeColor="text1"/>
              </w:rPr>
              <w:t xml:space="preserve">000) that wish to </w:t>
            </w:r>
            <w:r w:rsidR="6052935F" w:rsidRPr="00D37004">
              <w:rPr>
                <w:noProof/>
                <w:color w:val="000000" w:themeColor="text1"/>
              </w:rPr>
              <w:t>use</w:t>
            </w:r>
            <w:r w:rsidR="118F4663" w:rsidRPr="00D37004">
              <w:rPr>
                <w:noProof/>
                <w:color w:val="000000" w:themeColor="text1"/>
              </w:rPr>
              <w:t xml:space="preserve"> cloud</w:t>
            </w:r>
            <w:r w:rsidR="6052935F" w:rsidRPr="00D37004">
              <w:rPr>
                <w:noProof/>
                <w:color w:val="000000" w:themeColor="text1"/>
              </w:rPr>
              <w:t xml:space="preserve"> and AI </w:t>
            </w:r>
            <w:r w:rsidR="00A011FC">
              <w:rPr>
                <w:noProof/>
                <w:color w:val="000000" w:themeColor="text1"/>
              </w:rPr>
              <w:t>computing services</w:t>
            </w:r>
            <w:r w:rsidR="118F4663" w:rsidRPr="00D37004">
              <w:rPr>
                <w:noProof/>
                <w:color w:val="000000" w:themeColor="text1"/>
              </w:rPr>
              <w:t xml:space="preserve">. </w:t>
            </w:r>
            <w:r w:rsidR="69F58AF8" w:rsidRPr="00D37004">
              <w:rPr>
                <w:noProof/>
                <w:color w:val="000000" w:themeColor="text1"/>
              </w:rPr>
              <w:t>More broadly</w:t>
            </w:r>
            <w:r w:rsidR="118F4663" w:rsidRPr="00D37004">
              <w:rPr>
                <w:noProof/>
                <w:color w:val="000000" w:themeColor="text1"/>
              </w:rPr>
              <w:t xml:space="preserve">, SMEs in general (1.6 </w:t>
            </w:r>
            <w:r w:rsidR="00F226A0">
              <w:rPr>
                <w:noProof/>
                <w:color w:val="000000" w:themeColor="text1"/>
              </w:rPr>
              <w:t>bn</w:t>
            </w:r>
            <w:r w:rsidR="118F4663" w:rsidRPr="00D37004">
              <w:rPr>
                <w:noProof/>
                <w:color w:val="000000" w:themeColor="text1"/>
              </w:rPr>
              <w:t>)</w:t>
            </w:r>
            <w:r w:rsidR="00D00AA7" w:rsidRPr="00D37004">
              <w:rPr>
                <w:rStyle w:val="FootnoteReference"/>
                <w:noProof/>
                <w:color w:val="000000" w:themeColor="text1"/>
              </w:rPr>
              <w:footnoteReference w:id="183"/>
            </w:r>
            <w:r w:rsidR="118F4663" w:rsidRPr="00D37004">
              <w:rPr>
                <w:noProof/>
                <w:color w:val="000000" w:themeColor="text1"/>
              </w:rPr>
              <w:t xml:space="preserve"> will also be affected </w:t>
            </w:r>
            <w:r w:rsidR="42678F85" w:rsidRPr="294AF3FA">
              <w:rPr>
                <w:rFonts w:eastAsiaTheme="minorEastAsia"/>
                <w:noProof/>
                <w:color w:val="000000" w:themeColor="text1"/>
              </w:rPr>
              <w:t xml:space="preserve">by the </w:t>
            </w:r>
            <w:r w:rsidR="42678F85" w:rsidRPr="00D37004">
              <w:rPr>
                <w:noProof/>
                <w:color w:val="000000" w:themeColor="text1"/>
              </w:rPr>
              <w:t xml:space="preserve">broader </w:t>
            </w:r>
            <w:r w:rsidR="42678F85" w:rsidRPr="294AF3FA">
              <w:rPr>
                <w:rFonts w:eastAsiaTheme="minorEastAsia"/>
                <w:noProof/>
                <w:color w:val="000000" w:themeColor="text1"/>
              </w:rPr>
              <w:t xml:space="preserve">availability of cloud and AI </w:t>
            </w:r>
            <w:r w:rsidR="00A011FC" w:rsidRPr="294AF3FA">
              <w:rPr>
                <w:rFonts w:eastAsiaTheme="minorEastAsia"/>
                <w:noProof/>
                <w:color w:val="000000" w:themeColor="text1"/>
              </w:rPr>
              <w:t>computing services</w:t>
            </w:r>
            <w:r w:rsidR="4C5E5923" w:rsidRPr="294AF3FA">
              <w:rPr>
                <w:rFonts w:eastAsiaTheme="minorEastAsia"/>
                <w:noProof/>
                <w:color w:val="000000" w:themeColor="text1"/>
              </w:rPr>
              <w:t>,</w:t>
            </w:r>
            <w:r w:rsidR="42678F85" w:rsidRPr="294AF3FA">
              <w:rPr>
                <w:rFonts w:eastAsiaTheme="minorEastAsia"/>
                <w:noProof/>
                <w:color w:val="000000" w:themeColor="text1"/>
              </w:rPr>
              <w:t xml:space="preserve"> </w:t>
            </w:r>
            <w:r w:rsidR="4C5E5923" w:rsidRPr="00D37004">
              <w:rPr>
                <w:noProof/>
                <w:color w:val="000000" w:themeColor="text1"/>
              </w:rPr>
              <w:t xml:space="preserve">and </w:t>
            </w:r>
            <w:r w:rsidR="118F4663" w:rsidRPr="00D37004">
              <w:rPr>
                <w:noProof/>
                <w:color w:val="000000" w:themeColor="text1"/>
              </w:rPr>
              <w:t>through the cloud and AI adoption scheme.</w:t>
            </w:r>
          </w:p>
        </w:tc>
      </w:tr>
      <w:tr w:rsidR="007D6B71" w:rsidRPr="00D37004" w14:paraId="5C991DFA" w14:textId="77777777" w:rsidTr="294AF3FA">
        <w:tc>
          <w:tcPr>
            <w:tcW w:w="5000" w:type="pct"/>
          </w:tcPr>
          <w:p w14:paraId="3FFCB42E" w14:textId="77777777" w:rsidR="00CB39DC" w:rsidRPr="00D37004" w:rsidRDefault="00CB39DC" w:rsidP="004C1DB4">
            <w:pPr>
              <w:pStyle w:val="ListParagraph"/>
              <w:ind w:left="0"/>
              <w:contextualSpacing w:val="0"/>
              <w:rPr>
                <w:rFonts w:cstheme="minorHAnsi"/>
                <w:b/>
                <w:noProof/>
                <w:color w:val="000000" w:themeColor="text1"/>
              </w:rPr>
            </w:pPr>
            <w:r w:rsidRPr="00D37004">
              <w:rPr>
                <w:rFonts w:cstheme="minorHAnsi"/>
                <w:b/>
                <w:noProof/>
                <w:color w:val="000000" w:themeColor="text1"/>
              </w:rPr>
              <w:t>Estimated number of employees in directly affected SMEs</w:t>
            </w:r>
          </w:p>
        </w:tc>
      </w:tr>
      <w:tr w:rsidR="007D6B71" w:rsidRPr="00D37004" w14:paraId="59FE8B40" w14:textId="77777777" w:rsidTr="294AF3FA">
        <w:tc>
          <w:tcPr>
            <w:tcW w:w="5000" w:type="pct"/>
          </w:tcPr>
          <w:p w14:paraId="791FF4C8" w14:textId="221C0769" w:rsidR="00CB39DC" w:rsidRPr="00D37004" w:rsidRDefault="00FD6DEA" w:rsidP="004C1DB4">
            <w:pPr>
              <w:pStyle w:val="ListParagraph"/>
              <w:ind w:left="0"/>
              <w:rPr>
                <w:rFonts w:eastAsiaTheme="minorEastAsia"/>
                <w:noProof/>
                <w:color w:val="000000" w:themeColor="text1"/>
              </w:rPr>
            </w:pPr>
            <w:r w:rsidRPr="00D37004">
              <w:rPr>
                <w:rFonts w:eastAsiaTheme="minorEastAsia"/>
                <w:noProof/>
                <w:color w:val="000000" w:themeColor="text1"/>
              </w:rPr>
              <w:t xml:space="preserve">The directly affected SMEs, i.e. those building or operating data centres </w:t>
            </w:r>
            <w:r w:rsidR="009F22A1" w:rsidRPr="00D37004">
              <w:rPr>
                <w:rFonts w:eastAsiaTheme="minorEastAsia"/>
                <w:noProof/>
                <w:color w:val="000000" w:themeColor="text1"/>
              </w:rPr>
              <w:t xml:space="preserve">and those who would increase their user of cloud and AI </w:t>
            </w:r>
            <w:r w:rsidR="00A011FC">
              <w:rPr>
                <w:rFonts w:eastAsiaTheme="minorEastAsia"/>
                <w:noProof/>
                <w:color w:val="000000" w:themeColor="text1"/>
              </w:rPr>
              <w:t>computing services</w:t>
            </w:r>
            <w:r w:rsidR="009F22A1" w:rsidRPr="00D37004">
              <w:rPr>
                <w:rFonts w:eastAsiaTheme="minorEastAsia"/>
                <w:noProof/>
                <w:color w:val="000000" w:themeColor="text1"/>
              </w:rPr>
              <w:t xml:space="preserve">, </w:t>
            </w:r>
            <w:r w:rsidRPr="00D37004">
              <w:rPr>
                <w:rFonts w:eastAsiaTheme="minorEastAsia"/>
                <w:noProof/>
                <w:color w:val="000000" w:themeColor="text1"/>
              </w:rPr>
              <w:t xml:space="preserve">are likely employed between 50 and 250 people each, as they are typically </w:t>
            </w:r>
            <w:r w:rsidR="00140124" w:rsidRPr="00D37004">
              <w:rPr>
                <w:rFonts w:eastAsiaTheme="minorEastAsia"/>
                <w:noProof/>
                <w:color w:val="000000" w:themeColor="text1"/>
              </w:rPr>
              <w:t>small/</w:t>
            </w:r>
            <w:r w:rsidRPr="00D37004">
              <w:rPr>
                <w:rFonts w:eastAsiaTheme="minorEastAsia"/>
                <w:noProof/>
                <w:color w:val="000000" w:themeColor="text1"/>
              </w:rPr>
              <w:t>medium-sized, highly specialised technology firms.</w:t>
            </w:r>
            <w:r w:rsidR="0087064D" w:rsidRPr="00D37004">
              <w:rPr>
                <w:rFonts w:eastAsiaTheme="minorEastAsia"/>
                <w:noProof/>
                <w:color w:val="000000" w:themeColor="text1"/>
              </w:rPr>
              <w:t xml:space="preserve"> With roughly </w:t>
            </w:r>
            <w:r w:rsidR="009F22A1" w:rsidRPr="00D37004">
              <w:rPr>
                <w:rFonts w:eastAsiaTheme="minorEastAsia"/>
                <w:noProof/>
                <w:color w:val="000000" w:themeColor="text1"/>
              </w:rPr>
              <w:t xml:space="preserve">300 </w:t>
            </w:r>
            <w:r w:rsidR="00B738F3" w:rsidRPr="00D37004">
              <w:rPr>
                <w:rFonts w:eastAsiaTheme="minorEastAsia"/>
                <w:noProof/>
                <w:color w:val="000000" w:themeColor="text1"/>
              </w:rPr>
              <w:t xml:space="preserve">such SMEs across the EU, the total number of employees directly affected can be estimated at around </w:t>
            </w:r>
            <w:r w:rsidR="00252F4F" w:rsidRPr="00D37004">
              <w:rPr>
                <w:rFonts w:eastAsiaTheme="minorEastAsia"/>
                <w:noProof/>
                <w:color w:val="000000" w:themeColor="text1"/>
              </w:rPr>
              <w:t>75</w:t>
            </w:r>
            <w:r w:rsidR="00810491" w:rsidRPr="00D37004">
              <w:rPr>
                <w:rFonts w:eastAsiaTheme="minorEastAsia"/>
                <w:noProof/>
                <w:color w:val="000000" w:themeColor="text1"/>
              </w:rPr>
              <w:t>.</w:t>
            </w:r>
            <w:r w:rsidR="00B738F3" w:rsidRPr="00D37004">
              <w:rPr>
                <w:rFonts w:eastAsiaTheme="minorEastAsia"/>
                <w:noProof/>
                <w:color w:val="000000" w:themeColor="text1"/>
              </w:rPr>
              <w:t>000</w:t>
            </w:r>
            <w:r w:rsidR="00BD00C8" w:rsidRPr="00D37004">
              <w:rPr>
                <w:rFonts w:eastAsiaTheme="minorEastAsia"/>
                <w:noProof/>
                <w:color w:val="000000" w:themeColor="text1"/>
              </w:rPr>
              <w:t xml:space="preserve"> people EU-wide. </w:t>
            </w:r>
          </w:p>
        </w:tc>
      </w:tr>
      <w:tr w:rsidR="007D6B71" w:rsidRPr="00D37004" w14:paraId="120CED4E" w14:textId="77777777" w:rsidTr="294AF3FA">
        <w:tc>
          <w:tcPr>
            <w:tcW w:w="5000" w:type="pct"/>
          </w:tcPr>
          <w:p w14:paraId="1530F3FD" w14:textId="004039BE" w:rsidR="00CB39DC" w:rsidRPr="00D37004" w:rsidRDefault="00CB39DC" w:rsidP="00791DD7">
            <w:pPr>
              <w:pStyle w:val="ListParagraph"/>
              <w:spacing w:after="120"/>
              <w:ind w:left="0"/>
              <w:contextualSpacing w:val="0"/>
              <w:rPr>
                <w:b/>
                <w:noProof/>
                <w:color w:val="000000" w:themeColor="text1"/>
              </w:rPr>
            </w:pPr>
            <w:r w:rsidRPr="00D37004">
              <w:rPr>
                <w:b/>
                <w:noProof/>
                <w:color w:val="000000" w:themeColor="text1"/>
              </w:rPr>
              <w:t>Are SMEs indirectly affected? In which sectors? What is the estimated number of indirectly affected SMEs and employees?</w:t>
            </w:r>
          </w:p>
        </w:tc>
      </w:tr>
      <w:tr w:rsidR="007D6B71" w:rsidRPr="00D37004" w14:paraId="1E292E98" w14:textId="77777777" w:rsidTr="294AF3FA">
        <w:trPr>
          <w:trHeight w:val="300"/>
        </w:trPr>
        <w:tc>
          <w:tcPr>
            <w:tcW w:w="5000" w:type="pct"/>
          </w:tcPr>
          <w:p w14:paraId="51C04E6D" w14:textId="4664F1E9" w:rsidR="00DC31B8" w:rsidRPr="00D37004" w:rsidRDefault="001137FB" w:rsidP="00BF1F25">
            <w:pPr>
              <w:pStyle w:val="ListParagraph"/>
              <w:ind w:left="0"/>
              <w:rPr>
                <w:noProof/>
                <w:color w:val="000000" w:themeColor="text1"/>
              </w:rPr>
            </w:pPr>
            <w:r w:rsidRPr="00D37004">
              <w:rPr>
                <w:noProof/>
                <w:color w:val="000000" w:themeColor="text1"/>
              </w:rPr>
              <w:t xml:space="preserve">The value chain consists of </w:t>
            </w:r>
            <w:r w:rsidR="006A0C04" w:rsidRPr="00D37004">
              <w:rPr>
                <w:noProof/>
                <w:color w:val="000000" w:themeColor="text1"/>
              </w:rPr>
              <w:t xml:space="preserve">three </w:t>
            </w:r>
            <w:r w:rsidR="004C375D" w:rsidRPr="00D37004">
              <w:rPr>
                <w:noProof/>
                <w:color w:val="000000" w:themeColor="text1"/>
              </w:rPr>
              <w:t>types of SMEs</w:t>
            </w:r>
            <w:r w:rsidR="00E325E4" w:rsidRPr="00D37004">
              <w:rPr>
                <w:noProof/>
                <w:color w:val="000000" w:themeColor="text1"/>
              </w:rPr>
              <w:t>:</w:t>
            </w:r>
            <w:r w:rsidR="004C375D" w:rsidRPr="00D37004">
              <w:rPr>
                <w:noProof/>
                <w:color w:val="000000" w:themeColor="text1"/>
              </w:rPr>
              <w:t xml:space="preserve"> </w:t>
            </w:r>
            <w:r w:rsidR="00E325E4" w:rsidRPr="00D37004">
              <w:rPr>
                <w:noProof/>
                <w:color w:val="000000" w:themeColor="text1"/>
              </w:rPr>
              <w:t xml:space="preserve">data centre </w:t>
            </w:r>
            <w:r w:rsidR="00DC31B8" w:rsidRPr="00D37004">
              <w:rPr>
                <w:noProof/>
                <w:color w:val="000000" w:themeColor="text1"/>
              </w:rPr>
              <w:t xml:space="preserve">operators, </w:t>
            </w:r>
            <w:r w:rsidR="00E325E4" w:rsidRPr="00D37004">
              <w:rPr>
                <w:noProof/>
                <w:color w:val="000000" w:themeColor="text1"/>
              </w:rPr>
              <w:t xml:space="preserve">cloud and AI </w:t>
            </w:r>
            <w:r w:rsidR="00A011FC">
              <w:rPr>
                <w:noProof/>
                <w:color w:val="000000" w:themeColor="text1"/>
              </w:rPr>
              <w:t>computing service</w:t>
            </w:r>
            <w:r w:rsidR="00DC31B8" w:rsidRPr="00D37004">
              <w:rPr>
                <w:noProof/>
                <w:color w:val="000000" w:themeColor="text1"/>
              </w:rPr>
              <w:t xml:space="preserve"> providers and </w:t>
            </w:r>
            <w:r w:rsidR="0001203E">
              <w:rPr>
                <w:noProof/>
                <w:color w:val="000000" w:themeColor="text1"/>
              </w:rPr>
              <w:t>cloud</w:t>
            </w:r>
            <w:r w:rsidR="00E325E4" w:rsidRPr="00D37004">
              <w:rPr>
                <w:noProof/>
                <w:color w:val="000000" w:themeColor="text1"/>
              </w:rPr>
              <w:t xml:space="preserve"> and AI </w:t>
            </w:r>
            <w:r w:rsidR="00A011FC">
              <w:rPr>
                <w:noProof/>
                <w:color w:val="000000" w:themeColor="text1"/>
              </w:rPr>
              <w:t>computing service</w:t>
            </w:r>
            <w:r w:rsidR="00DC31B8" w:rsidRPr="00D37004">
              <w:rPr>
                <w:noProof/>
                <w:color w:val="000000" w:themeColor="text1"/>
              </w:rPr>
              <w:t xml:space="preserve"> </w:t>
            </w:r>
            <w:r w:rsidR="00E325E4" w:rsidRPr="00D37004">
              <w:rPr>
                <w:noProof/>
                <w:color w:val="000000" w:themeColor="text1"/>
              </w:rPr>
              <w:t>users</w:t>
            </w:r>
            <w:r w:rsidR="00DC31B8" w:rsidRPr="00D37004">
              <w:rPr>
                <w:noProof/>
                <w:color w:val="000000" w:themeColor="text1"/>
              </w:rPr>
              <w:t>.</w:t>
            </w:r>
            <w:r w:rsidR="00671B59" w:rsidRPr="00D37004">
              <w:rPr>
                <w:noProof/>
                <w:color w:val="000000" w:themeColor="text1"/>
              </w:rPr>
              <w:t xml:space="preserve"> </w:t>
            </w:r>
            <w:r w:rsidR="00BB2A5F" w:rsidRPr="00D37004">
              <w:rPr>
                <w:noProof/>
                <w:color w:val="000000" w:themeColor="text1"/>
              </w:rPr>
              <w:t>Service providers deploy their service</w:t>
            </w:r>
            <w:r w:rsidR="00A47F36" w:rsidRPr="00D37004">
              <w:rPr>
                <w:noProof/>
                <w:color w:val="000000" w:themeColor="text1"/>
              </w:rPr>
              <w:t>s</w:t>
            </w:r>
            <w:r w:rsidR="00BB2A5F" w:rsidRPr="00D37004">
              <w:rPr>
                <w:noProof/>
                <w:color w:val="000000" w:themeColor="text1"/>
              </w:rPr>
              <w:t xml:space="preserve"> on a data centre </w:t>
            </w:r>
            <w:r w:rsidR="00A47F36" w:rsidRPr="00D37004">
              <w:rPr>
                <w:noProof/>
                <w:color w:val="000000" w:themeColor="text1"/>
              </w:rPr>
              <w:t xml:space="preserve">and </w:t>
            </w:r>
            <w:r w:rsidR="00F31DEA" w:rsidRPr="00D37004">
              <w:rPr>
                <w:noProof/>
                <w:color w:val="000000" w:themeColor="text1"/>
              </w:rPr>
              <w:t xml:space="preserve">offer </w:t>
            </w:r>
            <w:r w:rsidR="00D02E3C" w:rsidRPr="00D37004">
              <w:rPr>
                <w:noProof/>
                <w:color w:val="000000" w:themeColor="text1"/>
              </w:rPr>
              <w:t xml:space="preserve">the </w:t>
            </w:r>
            <w:r w:rsidR="00F31DEA" w:rsidRPr="00D37004">
              <w:rPr>
                <w:noProof/>
                <w:color w:val="000000" w:themeColor="text1"/>
              </w:rPr>
              <w:t xml:space="preserve">services to the </w:t>
            </w:r>
            <w:r w:rsidR="004F5707" w:rsidRPr="00D37004">
              <w:rPr>
                <w:noProof/>
                <w:color w:val="000000" w:themeColor="text1"/>
              </w:rPr>
              <w:t>user</w:t>
            </w:r>
            <w:r w:rsidR="00F31DEA" w:rsidRPr="00D37004">
              <w:rPr>
                <w:noProof/>
                <w:color w:val="000000" w:themeColor="text1"/>
              </w:rPr>
              <w:t>. Depending on the policy measure, service providers are either directly targeted or indirectly.</w:t>
            </w:r>
          </w:p>
          <w:p w14:paraId="7EC0441C" w14:textId="77777777" w:rsidR="009C048F" w:rsidRPr="00D37004" w:rsidRDefault="009C048F" w:rsidP="00BF1F25">
            <w:pPr>
              <w:pStyle w:val="ListParagraph"/>
              <w:ind w:left="0"/>
              <w:rPr>
                <w:noProof/>
                <w:color w:val="000000" w:themeColor="text1"/>
              </w:rPr>
            </w:pPr>
          </w:p>
          <w:p w14:paraId="44B4BF9E" w14:textId="70EC4C20" w:rsidR="00EA0FAA" w:rsidRPr="00D37004" w:rsidRDefault="00D02E3C" w:rsidP="00791DD7">
            <w:pPr>
              <w:pStyle w:val="ListParagraph"/>
              <w:spacing w:after="120"/>
              <w:ind w:left="0"/>
              <w:contextualSpacing w:val="0"/>
              <w:rPr>
                <w:noProof/>
                <w:color w:val="000000" w:themeColor="text1"/>
              </w:rPr>
            </w:pPr>
            <w:r w:rsidRPr="00D37004">
              <w:rPr>
                <w:noProof/>
                <w:color w:val="000000" w:themeColor="text1"/>
              </w:rPr>
              <w:t xml:space="preserve">In the context of the </w:t>
            </w:r>
            <w:r w:rsidR="004C375D" w:rsidRPr="00D37004">
              <w:rPr>
                <w:noProof/>
                <w:color w:val="000000" w:themeColor="text1"/>
              </w:rPr>
              <w:t xml:space="preserve">first problem, the limited </w:t>
            </w:r>
            <w:r w:rsidR="00293A41">
              <w:rPr>
                <w:noProof/>
                <w:color w:val="000000" w:themeColor="text1"/>
              </w:rPr>
              <w:t>and geographically concentrated</w:t>
            </w:r>
            <w:r w:rsidR="004C375D" w:rsidRPr="00D37004">
              <w:rPr>
                <w:noProof/>
                <w:color w:val="000000" w:themeColor="text1"/>
              </w:rPr>
              <w:t xml:space="preserve"> availability</w:t>
            </w:r>
            <w:r w:rsidRPr="00D37004">
              <w:rPr>
                <w:noProof/>
                <w:color w:val="000000" w:themeColor="text1"/>
              </w:rPr>
              <w:t xml:space="preserve"> of computing capacity</w:t>
            </w:r>
            <w:r w:rsidR="004C375D" w:rsidRPr="00D37004">
              <w:rPr>
                <w:noProof/>
                <w:color w:val="000000" w:themeColor="text1"/>
              </w:rPr>
              <w:t xml:space="preserve">, the </w:t>
            </w:r>
            <w:r w:rsidR="00D466CB" w:rsidRPr="00D37004">
              <w:rPr>
                <w:noProof/>
                <w:color w:val="000000" w:themeColor="text1"/>
              </w:rPr>
              <w:t xml:space="preserve">policy measures directly affect data centres </w:t>
            </w:r>
            <w:r w:rsidR="003F04D6" w:rsidRPr="00D37004">
              <w:rPr>
                <w:noProof/>
                <w:color w:val="000000" w:themeColor="text1"/>
              </w:rPr>
              <w:t>operators and</w:t>
            </w:r>
            <w:r w:rsidR="00D466CB" w:rsidRPr="00D37004">
              <w:rPr>
                <w:noProof/>
                <w:color w:val="000000" w:themeColor="text1"/>
              </w:rPr>
              <w:t xml:space="preserve"> </w:t>
            </w:r>
            <w:r w:rsidR="00BE49F9" w:rsidRPr="00D37004">
              <w:rPr>
                <w:noProof/>
                <w:color w:val="000000" w:themeColor="text1"/>
              </w:rPr>
              <w:t xml:space="preserve">indirectly affect </w:t>
            </w:r>
            <w:r w:rsidR="00B13E20" w:rsidRPr="00D37004">
              <w:rPr>
                <w:noProof/>
                <w:color w:val="000000" w:themeColor="text1"/>
              </w:rPr>
              <w:t xml:space="preserve">cloud and AI </w:t>
            </w:r>
            <w:r w:rsidR="00A011FC">
              <w:rPr>
                <w:noProof/>
                <w:color w:val="000000" w:themeColor="text1"/>
              </w:rPr>
              <w:t>computing service</w:t>
            </w:r>
            <w:r w:rsidR="00B13E20" w:rsidRPr="00D37004">
              <w:rPr>
                <w:noProof/>
                <w:color w:val="000000" w:themeColor="text1"/>
              </w:rPr>
              <w:t xml:space="preserve"> provider</w:t>
            </w:r>
            <w:r w:rsidR="00252BEC" w:rsidRPr="00D37004">
              <w:rPr>
                <w:noProof/>
                <w:color w:val="000000" w:themeColor="text1"/>
              </w:rPr>
              <w:t xml:space="preserve">. </w:t>
            </w:r>
            <w:r w:rsidR="00EC437B" w:rsidRPr="00D37004">
              <w:rPr>
                <w:noProof/>
                <w:color w:val="000000" w:themeColor="text1"/>
              </w:rPr>
              <w:t xml:space="preserve">A </w:t>
            </w:r>
            <w:r w:rsidR="00C819A7" w:rsidRPr="00D37004">
              <w:rPr>
                <w:noProof/>
                <w:color w:val="000000" w:themeColor="text1"/>
              </w:rPr>
              <w:t>broader availability of data centres will (indirectly)</w:t>
            </w:r>
            <w:r w:rsidR="00781B94" w:rsidRPr="00D37004">
              <w:rPr>
                <w:noProof/>
                <w:color w:val="000000" w:themeColor="text1"/>
              </w:rPr>
              <w:t xml:space="preserve"> affect positively </w:t>
            </w:r>
            <w:r w:rsidR="0001203E">
              <w:rPr>
                <w:noProof/>
                <w:color w:val="000000" w:themeColor="text1"/>
              </w:rPr>
              <w:t>cloud</w:t>
            </w:r>
            <w:r w:rsidR="00781B94" w:rsidRPr="00D37004">
              <w:rPr>
                <w:noProof/>
                <w:color w:val="000000" w:themeColor="text1"/>
              </w:rPr>
              <w:t xml:space="preserve"> and AI </w:t>
            </w:r>
            <w:r w:rsidR="00A011FC">
              <w:rPr>
                <w:noProof/>
                <w:color w:val="000000" w:themeColor="text1"/>
              </w:rPr>
              <w:t>computing service</w:t>
            </w:r>
            <w:r w:rsidR="00781B94" w:rsidRPr="00D37004">
              <w:rPr>
                <w:noProof/>
                <w:color w:val="000000" w:themeColor="text1"/>
              </w:rPr>
              <w:t xml:space="preserve"> provider</w:t>
            </w:r>
            <w:r w:rsidR="00347F53" w:rsidRPr="00D37004">
              <w:rPr>
                <w:noProof/>
                <w:color w:val="000000" w:themeColor="text1"/>
              </w:rPr>
              <w:t xml:space="preserve">s as they </w:t>
            </w:r>
            <w:r w:rsidR="009A6BB3" w:rsidRPr="00D37004">
              <w:rPr>
                <w:noProof/>
                <w:color w:val="000000" w:themeColor="text1"/>
              </w:rPr>
              <w:t>will be less subject to</w:t>
            </w:r>
            <w:r w:rsidR="00252BEC" w:rsidRPr="00D37004">
              <w:rPr>
                <w:noProof/>
                <w:color w:val="000000" w:themeColor="text1"/>
              </w:rPr>
              <w:t xml:space="preserve"> </w:t>
            </w:r>
            <w:r w:rsidR="00C92B2E" w:rsidRPr="00D37004">
              <w:rPr>
                <w:noProof/>
                <w:color w:val="000000" w:themeColor="text1"/>
              </w:rPr>
              <w:t>a shortage of infrastructure where to deploy their applications and services</w:t>
            </w:r>
            <w:r w:rsidR="00DB5764" w:rsidRPr="00D37004">
              <w:rPr>
                <w:noProof/>
                <w:color w:val="000000" w:themeColor="text1"/>
              </w:rPr>
              <w:t xml:space="preserve"> or where they can train or inference their models. </w:t>
            </w:r>
            <w:r w:rsidR="00BA26CC" w:rsidRPr="00D37004">
              <w:rPr>
                <w:noProof/>
                <w:color w:val="000000" w:themeColor="text1"/>
              </w:rPr>
              <w:t xml:space="preserve">This is particularly the case for </w:t>
            </w:r>
            <w:r w:rsidR="001A6872" w:rsidRPr="00D37004">
              <w:rPr>
                <w:noProof/>
                <w:color w:val="000000" w:themeColor="text1"/>
              </w:rPr>
              <w:t>E</w:t>
            </w:r>
            <w:r w:rsidR="00BF1F25" w:rsidRPr="00D37004">
              <w:rPr>
                <w:noProof/>
                <w:color w:val="000000" w:themeColor="text1"/>
              </w:rPr>
              <w:t xml:space="preserve">uropean SMEs leading in AI, </w:t>
            </w:r>
            <w:r w:rsidR="00BA26CC" w:rsidRPr="00D37004">
              <w:rPr>
                <w:noProof/>
                <w:color w:val="000000" w:themeColor="text1"/>
              </w:rPr>
              <w:t xml:space="preserve">which </w:t>
            </w:r>
            <w:r w:rsidR="00BF1F25" w:rsidRPr="00D37004">
              <w:rPr>
                <w:noProof/>
                <w:color w:val="000000" w:themeColor="text1"/>
              </w:rPr>
              <w:t xml:space="preserve">face significant challenges in obtaining the resources, funding, and market opportunities they need, often finding themselves pushed into early commercial dependencies </w:t>
            </w:r>
            <w:r w:rsidR="008B7245" w:rsidRPr="00D37004">
              <w:rPr>
                <w:noProof/>
                <w:color w:val="000000" w:themeColor="text1"/>
              </w:rPr>
              <w:t>with infrastructure providers</w:t>
            </w:r>
            <w:r w:rsidR="00BF1F25" w:rsidRPr="00D37004">
              <w:rPr>
                <w:noProof/>
                <w:color w:val="000000" w:themeColor="text1"/>
              </w:rPr>
              <w:t>.</w:t>
            </w:r>
            <w:r w:rsidR="00390DDE" w:rsidRPr="00D37004">
              <w:rPr>
                <w:noProof/>
                <w:color w:val="000000" w:themeColor="text1"/>
              </w:rPr>
              <w:t xml:space="preserve"> </w:t>
            </w:r>
            <w:r w:rsidR="00E30AE6" w:rsidRPr="00D37004">
              <w:rPr>
                <w:noProof/>
                <w:color w:val="000000" w:themeColor="text1"/>
              </w:rPr>
              <w:t>The number of cloud</w:t>
            </w:r>
            <w:r w:rsidR="00A011FC">
              <w:rPr>
                <w:noProof/>
                <w:color w:val="000000" w:themeColor="text1"/>
              </w:rPr>
              <w:t xml:space="preserve"> and AI computing </w:t>
            </w:r>
            <w:r w:rsidR="00E30AE6" w:rsidRPr="00D37004">
              <w:rPr>
                <w:noProof/>
                <w:color w:val="000000" w:themeColor="text1"/>
              </w:rPr>
              <w:t xml:space="preserve">service providers </w:t>
            </w:r>
            <w:r w:rsidR="00390DDE" w:rsidRPr="00D37004">
              <w:rPr>
                <w:noProof/>
                <w:color w:val="000000" w:themeColor="text1"/>
              </w:rPr>
              <w:t>align</w:t>
            </w:r>
            <w:r w:rsidR="00B10588" w:rsidRPr="00D37004">
              <w:rPr>
                <w:noProof/>
                <w:color w:val="000000" w:themeColor="text1"/>
              </w:rPr>
              <w:t>s</w:t>
            </w:r>
            <w:r w:rsidR="00390DDE" w:rsidRPr="00D37004">
              <w:rPr>
                <w:noProof/>
                <w:color w:val="000000" w:themeColor="text1"/>
              </w:rPr>
              <w:t xml:space="preserve"> with the values </w:t>
            </w:r>
            <w:r w:rsidR="006B4E36" w:rsidRPr="00D37004">
              <w:rPr>
                <w:noProof/>
                <w:color w:val="000000" w:themeColor="text1"/>
              </w:rPr>
              <w:t xml:space="preserve">indicated </w:t>
            </w:r>
            <w:r w:rsidR="00390DDE" w:rsidRPr="00D37004">
              <w:rPr>
                <w:noProof/>
                <w:color w:val="000000" w:themeColor="text1"/>
              </w:rPr>
              <w:t>above.</w:t>
            </w:r>
          </w:p>
          <w:p w14:paraId="6CAF6B73" w14:textId="77777777" w:rsidR="00CB39DC" w:rsidRDefault="006B4E36" w:rsidP="004C1DB4">
            <w:pPr>
              <w:pStyle w:val="ListParagraph"/>
              <w:ind w:left="0"/>
              <w:rPr>
                <w:noProof/>
                <w:color w:val="000000" w:themeColor="text1"/>
              </w:rPr>
            </w:pPr>
            <w:r w:rsidRPr="00D37004">
              <w:rPr>
                <w:noProof/>
                <w:color w:val="000000" w:themeColor="text1"/>
              </w:rPr>
              <w:t>In the context of</w:t>
            </w:r>
            <w:r w:rsidR="00D54AA1" w:rsidRPr="00D37004">
              <w:rPr>
                <w:noProof/>
                <w:color w:val="000000" w:themeColor="text1"/>
              </w:rPr>
              <w:t xml:space="preserve"> the second problem</w:t>
            </w:r>
            <w:r w:rsidR="008C04CA" w:rsidRPr="00D37004">
              <w:rPr>
                <w:noProof/>
                <w:color w:val="000000" w:themeColor="text1"/>
              </w:rPr>
              <w:t>, the</w:t>
            </w:r>
            <w:r w:rsidR="00001D87" w:rsidRPr="00D37004">
              <w:rPr>
                <w:noProof/>
                <w:color w:val="000000" w:themeColor="text1"/>
              </w:rPr>
              <w:t xml:space="preserve"> </w:t>
            </w:r>
            <w:r w:rsidR="003C3527">
              <w:rPr>
                <w:noProof/>
                <w:color w:val="000000" w:themeColor="text1"/>
              </w:rPr>
              <w:t xml:space="preserve">dependence on </w:t>
            </w:r>
            <w:r w:rsidR="0001203E">
              <w:rPr>
                <w:noProof/>
                <w:color w:val="000000" w:themeColor="text1"/>
              </w:rPr>
              <w:t>cloud</w:t>
            </w:r>
            <w:r w:rsidR="00001D87" w:rsidRPr="00D37004">
              <w:rPr>
                <w:noProof/>
                <w:color w:val="000000" w:themeColor="text1"/>
              </w:rPr>
              <w:t xml:space="preserve"> and AI </w:t>
            </w:r>
            <w:r w:rsidR="00A011FC">
              <w:rPr>
                <w:noProof/>
                <w:color w:val="000000" w:themeColor="text1"/>
              </w:rPr>
              <w:t>computing services</w:t>
            </w:r>
            <w:r w:rsidR="003C3527">
              <w:rPr>
                <w:noProof/>
                <w:color w:val="000000" w:themeColor="text1"/>
              </w:rPr>
              <w:t xml:space="preserve"> supplied by non-European providers</w:t>
            </w:r>
            <w:r w:rsidR="00001D87" w:rsidRPr="00D37004">
              <w:rPr>
                <w:noProof/>
                <w:color w:val="000000" w:themeColor="text1"/>
              </w:rPr>
              <w:t xml:space="preserve">, </w:t>
            </w:r>
            <w:r w:rsidR="008C04CA" w:rsidRPr="00D37004">
              <w:rPr>
                <w:noProof/>
                <w:color w:val="000000" w:themeColor="text1"/>
              </w:rPr>
              <w:t xml:space="preserve">the </w:t>
            </w:r>
            <w:r w:rsidR="00ED6214" w:rsidRPr="00D37004">
              <w:rPr>
                <w:noProof/>
                <w:color w:val="000000" w:themeColor="text1"/>
              </w:rPr>
              <w:t xml:space="preserve">policy measures directly affect </w:t>
            </w:r>
            <w:r w:rsidR="008C04CA" w:rsidRPr="00D37004">
              <w:rPr>
                <w:noProof/>
                <w:color w:val="000000" w:themeColor="text1"/>
              </w:rPr>
              <w:t xml:space="preserve">SMEs that </w:t>
            </w:r>
            <w:r w:rsidR="00C81489" w:rsidRPr="00D37004">
              <w:rPr>
                <w:noProof/>
                <w:color w:val="000000" w:themeColor="text1"/>
              </w:rPr>
              <w:t xml:space="preserve">provide </w:t>
            </w:r>
            <w:r w:rsidR="0001203E">
              <w:rPr>
                <w:noProof/>
                <w:color w:val="000000" w:themeColor="text1"/>
              </w:rPr>
              <w:t>cloud</w:t>
            </w:r>
            <w:r w:rsidR="00616DB4" w:rsidRPr="00D37004">
              <w:rPr>
                <w:noProof/>
                <w:color w:val="000000" w:themeColor="text1"/>
              </w:rPr>
              <w:t xml:space="preserve"> and AI </w:t>
            </w:r>
            <w:r w:rsidR="00A011FC">
              <w:rPr>
                <w:noProof/>
                <w:color w:val="000000" w:themeColor="text1"/>
              </w:rPr>
              <w:t>computing services</w:t>
            </w:r>
            <w:r w:rsidR="00C81489" w:rsidRPr="00D37004">
              <w:rPr>
                <w:noProof/>
                <w:color w:val="000000" w:themeColor="text1"/>
              </w:rPr>
              <w:t xml:space="preserve"> and indirectly affect those </w:t>
            </w:r>
            <w:r w:rsidR="00E715FB" w:rsidRPr="00D37004">
              <w:rPr>
                <w:noProof/>
                <w:color w:val="000000" w:themeColor="text1"/>
              </w:rPr>
              <w:t>SMEs</w:t>
            </w:r>
            <w:r w:rsidR="00C81489" w:rsidRPr="00D37004">
              <w:rPr>
                <w:noProof/>
                <w:color w:val="000000" w:themeColor="text1"/>
              </w:rPr>
              <w:t xml:space="preserve"> that use </w:t>
            </w:r>
            <w:r w:rsidR="007359AA" w:rsidRPr="00D37004">
              <w:rPr>
                <w:noProof/>
                <w:color w:val="000000" w:themeColor="text1"/>
              </w:rPr>
              <w:t>these services.</w:t>
            </w:r>
            <w:r w:rsidR="00616DB4" w:rsidRPr="00D37004">
              <w:rPr>
                <w:noProof/>
                <w:color w:val="000000" w:themeColor="text1"/>
              </w:rPr>
              <w:t xml:space="preserve"> </w:t>
            </w:r>
            <w:r w:rsidR="00366345" w:rsidRPr="00D37004">
              <w:rPr>
                <w:noProof/>
                <w:color w:val="000000" w:themeColor="text1"/>
              </w:rPr>
              <w:t>Here,</w:t>
            </w:r>
            <w:r w:rsidR="00A248C1" w:rsidRPr="00D37004">
              <w:rPr>
                <w:noProof/>
                <w:color w:val="000000" w:themeColor="text1"/>
              </w:rPr>
              <w:t xml:space="preserve"> </w:t>
            </w:r>
            <w:r w:rsidR="00E715FB" w:rsidRPr="00D37004">
              <w:rPr>
                <w:noProof/>
                <w:color w:val="000000" w:themeColor="text1"/>
              </w:rPr>
              <w:t xml:space="preserve">the </w:t>
            </w:r>
            <w:r w:rsidR="00850BB4" w:rsidRPr="00D37004">
              <w:rPr>
                <w:noProof/>
                <w:color w:val="000000" w:themeColor="text1"/>
              </w:rPr>
              <w:t>extent</w:t>
            </w:r>
            <w:r w:rsidR="00E715FB" w:rsidRPr="00D37004">
              <w:rPr>
                <w:noProof/>
                <w:color w:val="000000" w:themeColor="text1"/>
              </w:rPr>
              <w:t xml:space="preserve"> </w:t>
            </w:r>
            <w:r w:rsidR="00B410E9" w:rsidRPr="00D37004">
              <w:rPr>
                <w:noProof/>
                <w:color w:val="000000" w:themeColor="text1"/>
              </w:rPr>
              <w:t>of SMEs indirectly benefiting from a</w:t>
            </w:r>
            <w:r w:rsidR="00850BB4" w:rsidRPr="00D37004">
              <w:rPr>
                <w:noProof/>
                <w:color w:val="000000" w:themeColor="text1"/>
              </w:rPr>
              <w:t>n</w:t>
            </w:r>
            <w:r w:rsidR="00B410E9" w:rsidRPr="00D37004">
              <w:rPr>
                <w:noProof/>
                <w:color w:val="000000" w:themeColor="text1"/>
              </w:rPr>
              <w:t xml:space="preserve"> </w:t>
            </w:r>
            <w:r w:rsidR="00850BB4" w:rsidRPr="00D37004">
              <w:rPr>
                <w:noProof/>
                <w:color w:val="000000" w:themeColor="text1"/>
              </w:rPr>
              <w:t xml:space="preserve">increase cloud and AI update </w:t>
            </w:r>
            <w:r w:rsidR="00E715FB" w:rsidRPr="00D37004">
              <w:rPr>
                <w:noProof/>
                <w:color w:val="000000" w:themeColor="text1"/>
              </w:rPr>
              <w:t xml:space="preserve">is </w:t>
            </w:r>
            <w:r w:rsidR="00850BB4" w:rsidRPr="00D37004">
              <w:rPr>
                <w:noProof/>
                <w:color w:val="000000" w:themeColor="text1"/>
              </w:rPr>
              <w:t>virtually all of them</w:t>
            </w:r>
            <w:r w:rsidR="00E715FB" w:rsidRPr="00D37004">
              <w:rPr>
                <w:noProof/>
                <w:color w:val="000000" w:themeColor="text1"/>
              </w:rPr>
              <w:t xml:space="preserve"> </w:t>
            </w:r>
            <w:r w:rsidR="0066248B" w:rsidRPr="00D37004">
              <w:rPr>
                <w:noProof/>
                <w:color w:val="000000" w:themeColor="text1"/>
              </w:rPr>
              <w:t xml:space="preserve">as for example such services are </w:t>
            </w:r>
            <w:r w:rsidR="00B9146D" w:rsidRPr="00D37004">
              <w:rPr>
                <w:noProof/>
                <w:color w:val="000000" w:themeColor="text1"/>
              </w:rPr>
              <w:t xml:space="preserve">increasingly </w:t>
            </w:r>
            <w:r w:rsidR="0066248B" w:rsidRPr="00D37004">
              <w:rPr>
                <w:noProof/>
                <w:color w:val="000000" w:themeColor="text1"/>
              </w:rPr>
              <w:t xml:space="preserve">necessary </w:t>
            </w:r>
            <w:r w:rsidR="00B9146D" w:rsidRPr="00D37004">
              <w:rPr>
                <w:noProof/>
                <w:color w:val="000000" w:themeColor="text1"/>
              </w:rPr>
              <w:t xml:space="preserve">to </w:t>
            </w:r>
            <w:r w:rsidR="004556B1" w:rsidRPr="00D37004">
              <w:rPr>
                <w:noProof/>
                <w:color w:val="000000" w:themeColor="text1"/>
              </w:rPr>
              <w:t xml:space="preserve">declare taxes, produce electronic bills or </w:t>
            </w:r>
            <w:r w:rsidR="007B3265" w:rsidRPr="00D37004">
              <w:rPr>
                <w:noProof/>
                <w:color w:val="000000" w:themeColor="text1"/>
              </w:rPr>
              <w:t xml:space="preserve">manage the day-to-day operations of a business, even </w:t>
            </w:r>
            <w:r w:rsidR="00430BDD" w:rsidRPr="00D37004">
              <w:rPr>
                <w:noProof/>
                <w:color w:val="000000" w:themeColor="text1"/>
              </w:rPr>
              <w:t xml:space="preserve">for </w:t>
            </w:r>
            <w:r w:rsidR="003F04D6" w:rsidRPr="00D37004">
              <w:rPr>
                <w:noProof/>
                <w:color w:val="000000" w:themeColor="text1"/>
              </w:rPr>
              <w:t>single persons</w:t>
            </w:r>
            <w:r w:rsidR="00631A8B" w:rsidRPr="00D37004">
              <w:rPr>
                <w:noProof/>
                <w:color w:val="000000" w:themeColor="text1"/>
              </w:rPr>
              <w:t>’</w:t>
            </w:r>
            <w:r w:rsidR="003D525E" w:rsidRPr="00D37004">
              <w:rPr>
                <w:noProof/>
                <w:color w:val="000000" w:themeColor="text1"/>
              </w:rPr>
              <w:t xml:space="preserve"> business</w:t>
            </w:r>
            <w:r w:rsidR="00631A8B" w:rsidRPr="00D37004">
              <w:rPr>
                <w:noProof/>
                <w:color w:val="000000" w:themeColor="text1"/>
              </w:rPr>
              <w:t>es</w:t>
            </w:r>
            <w:r w:rsidR="003D525E" w:rsidRPr="00D37004">
              <w:rPr>
                <w:noProof/>
                <w:color w:val="000000" w:themeColor="text1"/>
              </w:rPr>
              <w:t>.</w:t>
            </w:r>
            <w:r w:rsidR="00430BDD" w:rsidRPr="00D37004">
              <w:rPr>
                <w:noProof/>
                <w:color w:val="000000" w:themeColor="text1"/>
              </w:rPr>
              <w:t xml:space="preserve"> </w:t>
            </w:r>
            <w:r w:rsidR="000F093B" w:rsidRPr="00D37004">
              <w:rPr>
                <w:noProof/>
                <w:color w:val="000000" w:themeColor="text1"/>
              </w:rPr>
              <w:t xml:space="preserve">The same logic applies for the subset of </w:t>
            </w:r>
            <w:r w:rsidR="006A279C" w:rsidRPr="00D37004">
              <w:rPr>
                <w:noProof/>
                <w:color w:val="000000" w:themeColor="text1"/>
              </w:rPr>
              <w:t>SMEs that need</w:t>
            </w:r>
            <w:r w:rsidR="00A248C1" w:rsidRPr="00D37004">
              <w:rPr>
                <w:noProof/>
                <w:color w:val="000000" w:themeColor="text1"/>
              </w:rPr>
              <w:t xml:space="preserve"> </w:t>
            </w:r>
            <w:r w:rsidR="00B433F4" w:rsidRPr="00D37004">
              <w:rPr>
                <w:noProof/>
                <w:color w:val="000000" w:themeColor="text1"/>
              </w:rPr>
              <w:t xml:space="preserve">sovereign </w:t>
            </w:r>
            <w:r w:rsidR="00882B18" w:rsidRPr="00D37004">
              <w:rPr>
                <w:noProof/>
                <w:color w:val="000000" w:themeColor="text1"/>
              </w:rPr>
              <w:t xml:space="preserve">cloud and AI </w:t>
            </w:r>
            <w:r w:rsidR="00A011FC">
              <w:rPr>
                <w:noProof/>
                <w:color w:val="000000" w:themeColor="text1"/>
              </w:rPr>
              <w:t>computing services</w:t>
            </w:r>
            <w:r w:rsidR="00882B18" w:rsidRPr="00D37004">
              <w:rPr>
                <w:noProof/>
                <w:color w:val="000000" w:themeColor="text1"/>
              </w:rPr>
              <w:t xml:space="preserve"> </w:t>
            </w:r>
            <w:r w:rsidR="00B433F4" w:rsidRPr="00D37004">
              <w:rPr>
                <w:noProof/>
                <w:color w:val="000000" w:themeColor="text1"/>
              </w:rPr>
              <w:t>with a higher level of protection</w:t>
            </w:r>
            <w:r w:rsidR="00F53499" w:rsidRPr="00D37004">
              <w:rPr>
                <w:noProof/>
                <w:color w:val="000000" w:themeColor="text1"/>
              </w:rPr>
              <w:t xml:space="preserve">. </w:t>
            </w:r>
          </w:p>
          <w:p w14:paraId="55966C06" w14:textId="77777777" w:rsidR="00A85C32" w:rsidRDefault="00A85C32" w:rsidP="004C1DB4">
            <w:pPr>
              <w:pStyle w:val="ListParagraph"/>
              <w:ind w:left="0"/>
              <w:rPr>
                <w:noProof/>
                <w:color w:val="000000" w:themeColor="text1"/>
              </w:rPr>
            </w:pPr>
          </w:p>
          <w:p w14:paraId="207715BA" w14:textId="77777777" w:rsidR="00A85C32" w:rsidRDefault="00A85C32" w:rsidP="004C1DB4">
            <w:pPr>
              <w:pStyle w:val="ListParagraph"/>
              <w:ind w:left="0"/>
              <w:rPr>
                <w:noProof/>
                <w:color w:val="000000" w:themeColor="text1"/>
              </w:rPr>
            </w:pPr>
          </w:p>
          <w:p w14:paraId="14F88C40" w14:textId="39902A9B" w:rsidR="00A85C32" w:rsidRPr="00D37004" w:rsidRDefault="00A85C32" w:rsidP="004C1DB4">
            <w:pPr>
              <w:pStyle w:val="ListParagraph"/>
              <w:ind w:left="0"/>
              <w:rPr>
                <w:noProof/>
                <w:color w:val="000000" w:themeColor="text1"/>
              </w:rPr>
            </w:pPr>
          </w:p>
        </w:tc>
      </w:tr>
      <w:tr w:rsidR="007D6B71" w:rsidRPr="00D37004" w14:paraId="2ABA184C" w14:textId="77777777" w:rsidTr="294AF3FA">
        <w:tc>
          <w:tcPr>
            <w:tcW w:w="5000" w:type="pct"/>
          </w:tcPr>
          <w:p w14:paraId="10D73287" w14:textId="77777777" w:rsidR="00CB39DC" w:rsidRPr="00D37004" w:rsidRDefault="00CB39DC" w:rsidP="00913325">
            <w:pPr>
              <w:pStyle w:val="ListParagraph"/>
              <w:numPr>
                <w:ilvl w:val="0"/>
                <w:numId w:val="6"/>
              </w:numPr>
              <w:ind w:hanging="686"/>
              <w:contextualSpacing w:val="0"/>
              <w:rPr>
                <w:smallCaps/>
                <w:noProof/>
                <w:color w:val="000000" w:themeColor="text1"/>
              </w:rPr>
            </w:pPr>
            <w:r w:rsidRPr="00D37004">
              <w:rPr>
                <w:b/>
                <w:smallCaps/>
                <w:noProof/>
                <w:color w:val="000000" w:themeColor="text1"/>
              </w:rPr>
              <w:t>Consultation of SME stakeholders</w:t>
            </w:r>
          </w:p>
        </w:tc>
      </w:tr>
      <w:tr w:rsidR="007D6B71" w:rsidRPr="00D37004" w14:paraId="5F73C0A0" w14:textId="77777777" w:rsidTr="294AF3FA">
        <w:tc>
          <w:tcPr>
            <w:tcW w:w="5000" w:type="pct"/>
          </w:tcPr>
          <w:p w14:paraId="4042D860" w14:textId="77777777" w:rsidR="00CB39DC" w:rsidRPr="00D37004" w:rsidRDefault="00CB39DC" w:rsidP="00791DD7">
            <w:pPr>
              <w:pStyle w:val="ListParagraph"/>
              <w:spacing w:after="120"/>
              <w:ind w:left="0"/>
              <w:contextualSpacing w:val="0"/>
              <w:rPr>
                <w:rFonts w:cstheme="minorHAnsi"/>
                <w:b/>
                <w:noProof/>
                <w:color w:val="000000" w:themeColor="text1"/>
                <w:highlight w:val="lightGray"/>
              </w:rPr>
            </w:pPr>
            <w:r w:rsidRPr="00D37004">
              <w:rPr>
                <w:rFonts w:cstheme="minorHAnsi"/>
                <w:b/>
                <w:noProof/>
                <w:color w:val="000000" w:themeColor="text1"/>
              </w:rPr>
              <w:t>How has the input from the SME community been taken into consideration?</w:t>
            </w:r>
          </w:p>
        </w:tc>
      </w:tr>
      <w:tr w:rsidR="007D6B71" w:rsidRPr="00D37004" w14:paraId="195D502D" w14:textId="77777777" w:rsidTr="294AF3FA">
        <w:tc>
          <w:tcPr>
            <w:tcW w:w="5000" w:type="pct"/>
          </w:tcPr>
          <w:p w14:paraId="602BD956" w14:textId="6A61AA1C" w:rsidR="00CB39DC" w:rsidRPr="00D37004" w:rsidRDefault="00024997" w:rsidP="004C1DB4">
            <w:pPr>
              <w:pStyle w:val="ListParagraph"/>
              <w:ind w:left="0"/>
              <w:rPr>
                <w:noProof/>
                <w:color w:val="000000" w:themeColor="text1"/>
              </w:rPr>
            </w:pPr>
            <w:r w:rsidRPr="00D37004">
              <w:rPr>
                <w:noProof/>
                <w:color w:val="000000" w:themeColor="text1"/>
              </w:rPr>
              <w:t>Input from the SME community has been taken into consideration through the public consultations</w:t>
            </w:r>
            <w:r w:rsidR="001267FE" w:rsidRPr="00D37004">
              <w:rPr>
                <w:noProof/>
                <w:color w:val="000000" w:themeColor="text1"/>
              </w:rPr>
              <w:t xml:space="preserve"> (survey and call for evidence)</w:t>
            </w:r>
            <w:r w:rsidRPr="00D37004">
              <w:rPr>
                <w:noProof/>
                <w:color w:val="000000" w:themeColor="text1"/>
              </w:rPr>
              <w:t>, targeted consultations</w:t>
            </w:r>
            <w:r w:rsidR="001267FE" w:rsidRPr="00D37004">
              <w:rPr>
                <w:noProof/>
                <w:color w:val="000000" w:themeColor="text1"/>
              </w:rPr>
              <w:t xml:space="preserve"> by the study team</w:t>
            </w:r>
            <w:r w:rsidRPr="00D37004">
              <w:rPr>
                <w:noProof/>
                <w:color w:val="000000" w:themeColor="text1"/>
              </w:rPr>
              <w:t>, stakeholder workshops, and continuous dialogue with industry associations, and innovators active in AI and cloud technologies.</w:t>
            </w:r>
            <w:r w:rsidRPr="00D37004" w:rsidDel="00024997">
              <w:rPr>
                <w:noProof/>
                <w:color w:val="000000" w:themeColor="text1"/>
              </w:rPr>
              <w:t xml:space="preserve"> </w:t>
            </w:r>
            <w:r w:rsidR="00CC03A8" w:rsidRPr="00D37004">
              <w:rPr>
                <w:noProof/>
                <w:color w:val="000000" w:themeColor="text1"/>
              </w:rPr>
              <w:t xml:space="preserve">The following SME respondents </w:t>
            </w:r>
            <w:r w:rsidR="004E7D2D" w:rsidRPr="00D37004">
              <w:rPr>
                <w:noProof/>
                <w:color w:val="000000" w:themeColor="text1"/>
              </w:rPr>
              <w:t>have participated to the:</w:t>
            </w:r>
          </w:p>
          <w:p w14:paraId="4E99CD90" w14:textId="2F357F3A" w:rsidR="004E7D2D" w:rsidRPr="00D37004" w:rsidRDefault="004E7D2D" w:rsidP="00913325">
            <w:pPr>
              <w:pStyle w:val="ListParagraph"/>
              <w:numPr>
                <w:ilvl w:val="0"/>
                <w:numId w:val="12"/>
              </w:numPr>
              <w:rPr>
                <w:noProof/>
                <w:color w:val="000000" w:themeColor="text1"/>
              </w:rPr>
            </w:pPr>
            <w:r w:rsidRPr="00D37004">
              <w:rPr>
                <w:noProof/>
                <w:color w:val="000000" w:themeColor="text1"/>
              </w:rPr>
              <w:t>Public consultation</w:t>
            </w:r>
            <w:r w:rsidR="00B90BA9" w:rsidRPr="00D37004">
              <w:rPr>
                <w:noProof/>
                <w:color w:val="000000" w:themeColor="text1"/>
              </w:rPr>
              <w:t>: 17</w:t>
            </w:r>
            <w:r w:rsidR="00752F48" w:rsidRPr="00D37004">
              <w:rPr>
                <w:noProof/>
                <w:color w:val="000000" w:themeColor="text1"/>
              </w:rPr>
              <w:t xml:space="preserve"> SMEs</w:t>
            </w:r>
            <w:r w:rsidR="00F77879" w:rsidRPr="00D37004">
              <w:rPr>
                <w:noProof/>
                <w:color w:val="000000" w:themeColor="text1"/>
              </w:rPr>
              <w:t xml:space="preserve"> (</w:t>
            </w:r>
            <w:r w:rsidR="00982556" w:rsidRPr="00D37004">
              <w:rPr>
                <w:noProof/>
                <w:color w:val="000000" w:themeColor="text1"/>
              </w:rPr>
              <w:t>or 25% of total business replies)</w:t>
            </w:r>
          </w:p>
          <w:p w14:paraId="4493F6AE" w14:textId="0E21C959" w:rsidR="004E7D2D" w:rsidRPr="00D37004" w:rsidRDefault="004E7D2D" w:rsidP="00913325">
            <w:pPr>
              <w:pStyle w:val="ListParagraph"/>
              <w:numPr>
                <w:ilvl w:val="0"/>
                <w:numId w:val="12"/>
              </w:numPr>
              <w:rPr>
                <w:noProof/>
                <w:color w:val="000000" w:themeColor="text1"/>
              </w:rPr>
            </w:pPr>
            <w:r w:rsidRPr="00D37004">
              <w:rPr>
                <w:noProof/>
                <w:color w:val="000000" w:themeColor="text1"/>
              </w:rPr>
              <w:t>Call for Evidence</w:t>
            </w:r>
            <w:r w:rsidR="003D14A1" w:rsidRPr="00D37004">
              <w:rPr>
                <w:noProof/>
                <w:color w:val="000000" w:themeColor="text1"/>
              </w:rPr>
              <w:t>: 2</w:t>
            </w:r>
            <w:r w:rsidR="000C1990" w:rsidRPr="00D37004">
              <w:rPr>
                <w:noProof/>
                <w:color w:val="000000" w:themeColor="text1"/>
              </w:rPr>
              <w:t>5</w:t>
            </w:r>
            <w:r w:rsidR="00752F48" w:rsidRPr="00D37004">
              <w:rPr>
                <w:noProof/>
                <w:color w:val="000000" w:themeColor="text1"/>
              </w:rPr>
              <w:t xml:space="preserve"> SMEs</w:t>
            </w:r>
            <w:r w:rsidR="000C1990" w:rsidRPr="00D37004">
              <w:rPr>
                <w:noProof/>
                <w:color w:val="000000" w:themeColor="text1"/>
              </w:rPr>
              <w:t xml:space="preserve"> </w:t>
            </w:r>
            <w:r w:rsidR="006E5A92" w:rsidRPr="00D37004">
              <w:rPr>
                <w:noProof/>
                <w:color w:val="000000" w:themeColor="text1"/>
              </w:rPr>
              <w:t>(or</w:t>
            </w:r>
            <w:r w:rsidR="000C1990" w:rsidRPr="00D37004">
              <w:rPr>
                <w:noProof/>
                <w:color w:val="000000" w:themeColor="text1"/>
              </w:rPr>
              <w:t xml:space="preserve"> </w:t>
            </w:r>
            <w:r w:rsidR="006E5A92" w:rsidRPr="00D37004">
              <w:rPr>
                <w:noProof/>
                <w:color w:val="000000" w:themeColor="text1"/>
              </w:rPr>
              <w:t>45% of total business replies)</w:t>
            </w:r>
          </w:p>
          <w:p w14:paraId="1376690A" w14:textId="459BA765" w:rsidR="004E7D2D" w:rsidRPr="00D37004" w:rsidRDefault="004E7D2D" w:rsidP="00913325">
            <w:pPr>
              <w:pStyle w:val="ListParagraph"/>
              <w:numPr>
                <w:ilvl w:val="0"/>
                <w:numId w:val="12"/>
              </w:numPr>
              <w:rPr>
                <w:noProof/>
                <w:color w:val="000000" w:themeColor="text1"/>
              </w:rPr>
            </w:pPr>
            <w:r w:rsidRPr="00D37004">
              <w:rPr>
                <w:noProof/>
                <w:color w:val="000000" w:themeColor="text1"/>
              </w:rPr>
              <w:t>Targeted consultations by the study team</w:t>
            </w:r>
          </w:p>
          <w:p w14:paraId="2BD667EE" w14:textId="7F71B071" w:rsidR="004E7D2D" w:rsidRPr="00D37004" w:rsidRDefault="004E7D2D" w:rsidP="00913325">
            <w:pPr>
              <w:pStyle w:val="ListParagraph"/>
              <w:numPr>
                <w:ilvl w:val="0"/>
                <w:numId w:val="12"/>
              </w:numPr>
              <w:rPr>
                <w:noProof/>
                <w:color w:val="000000" w:themeColor="text1"/>
              </w:rPr>
            </w:pPr>
            <w:r w:rsidRPr="00D37004">
              <w:rPr>
                <w:noProof/>
                <w:color w:val="000000" w:themeColor="text1"/>
              </w:rPr>
              <w:t>Stakeholder workshops</w:t>
            </w:r>
          </w:p>
          <w:p w14:paraId="76B1AD96" w14:textId="690179F0" w:rsidR="00CB39DC" w:rsidRPr="00D37004" w:rsidRDefault="004E7D2D" w:rsidP="00913325">
            <w:pPr>
              <w:pStyle w:val="ListParagraph"/>
              <w:numPr>
                <w:ilvl w:val="0"/>
                <w:numId w:val="12"/>
              </w:numPr>
              <w:rPr>
                <w:noProof/>
                <w:color w:val="000000" w:themeColor="text1"/>
              </w:rPr>
            </w:pPr>
            <w:r w:rsidRPr="00D37004">
              <w:rPr>
                <w:noProof/>
                <w:color w:val="000000" w:themeColor="text1"/>
              </w:rPr>
              <w:t xml:space="preserve">Bilateral dialogues </w:t>
            </w:r>
          </w:p>
        </w:tc>
      </w:tr>
      <w:tr w:rsidR="007D6B71" w:rsidRPr="00D37004" w14:paraId="53C63CC5" w14:textId="77777777" w:rsidTr="294AF3FA">
        <w:tc>
          <w:tcPr>
            <w:tcW w:w="5000" w:type="pct"/>
          </w:tcPr>
          <w:p w14:paraId="2BD98B6A" w14:textId="5B33F631" w:rsidR="00CB39DC" w:rsidRPr="00D37004" w:rsidRDefault="00CB39DC" w:rsidP="00791DD7">
            <w:pPr>
              <w:pStyle w:val="ListParagraph"/>
              <w:spacing w:after="120"/>
              <w:ind w:left="0"/>
              <w:contextualSpacing w:val="0"/>
              <w:rPr>
                <w:noProof/>
                <w:color w:val="000000" w:themeColor="text1"/>
              </w:rPr>
            </w:pPr>
            <w:r w:rsidRPr="00D37004">
              <w:rPr>
                <w:b/>
                <w:noProof/>
                <w:color w:val="000000" w:themeColor="text1"/>
              </w:rPr>
              <w:t xml:space="preserve">Are SMEs’ views different from those of large businesses? </w:t>
            </w:r>
          </w:p>
        </w:tc>
      </w:tr>
      <w:tr w:rsidR="007D6B71" w:rsidRPr="00D37004" w14:paraId="29EAB6AD" w14:textId="77777777" w:rsidTr="294AF3FA">
        <w:tc>
          <w:tcPr>
            <w:tcW w:w="5000" w:type="pct"/>
          </w:tcPr>
          <w:p w14:paraId="7716348B" w14:textId="38D6ECDD" w:rsidR="00CB39DC" w:rsidRPr="00D37004" w:rsidRDefault="00794CFF" w:rsidP="004C1DB4">
            <w:pPr>
              <w:pStyle w:val="ListParagraph"/>
              <w:ind w:left="0"/>
              <w:rPr>
                <w:noProof/>
                <w:color w:val="000000" w:themeColor="text1"/>
              </w:rPr>
            </w:pPr>
            <w:r w:rsidRPr="00D37004">
              <w:rPr>
                <w:noProof/>
                <w:color w:val="000000" w:themeColor="text1"/>
              </w:rPr>
              <w:t>Yes. SMEs’ views differ significantly from those of large businesses, mainly due to their resource constraints, market position, and regulatory capacity. While large companies generally support stronger cloud and AI ecosystems, they often focus on scaling infrastructure, interoperability, and competitiveness at a global level. In contrast, SMEs emphasize accessibility, affordability, and simplicity as they need easier access to compute resources, clearer guidance on compliance, and reduced administrative and financial burdens.</w:t>
            </w: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9"/>
      </w:tblGrid>
      <w:tr w:rsidR="00CB39DC" w:rsidRPr="00D37004" w14:paraId="4E8B399F" w14:textId="77777777" w:rsidTr="294AF3FA">
        <w:trPr>
          <w:trHeight w:val="300"/>
        </w:trPr>
        <w:tc>
          <w:tcPr>
            <w:tcW w:w="5000" w:type="pct"/>
          </w:tcPr>
          <w:p w14:paraId="349B8D5F" w14:textId="056BF73D" w:rsidR="00CB39DC" w:rsidRPr="00D37004" w:rsidRDefault="00CB39DC" w:rsidP="00913325">
            <w:pPr>
              <w:pStyle w:val="ListParagraph"/>
              <w:numPr>
                <w:ilvl w:val="0"/>
                <w:numId w:val="6"/>
              </w:numPr>
              <w:spacing w:after="0"/>
              <w:jc w:val="left"/>
              <w:rPr>
                <w:b/>
                <w:smallCaps/>
                <w:noProof/>
                <w:color w:val="000000" w:themeColor="text1"/>
              </w:rPr>
            </w:pPr>
            <w:r w:rsidRPr="294AF3FA">
              <w:rPr>
                <w:b/>
                <w:bCs/>
                <w:smallCaps/>
                <w:noProof/>
                <w:color w:val="000000" w:themeColor="text1"/>
              </w:rPr>
              <w:t>Assessment of impacts on SMEs</w:t>
            </w:r>
            <w:r w:rsidRPr="294AF3FA">
              <w:rPr>
                <w:rStyle w:val="FootnoteReference"/>
                <w:b/>
                <w:bCs/>
                <w:smallCaps/>
                <w:noProof/>
                <w:color w:val="000000" w:themeColor="text1"/>
              </w:rPr>
              <w:footnoteReference w:id="184"/>
            </w:r>
          </w:p>
        </w:tc>
      </w:tr>
      <w:tr w:rsidR="00CB39DC" w:rsidRPr="00D37004" w14:paraId="652D583E" w14:textId="77777777" w:rsidTr="294AF3FA">
        <w:trPr>
          <w:trHeight w:val="300"/>
        </w:trPr>
        <w:tc>
          <w:tcPr>
            <w:tcW w:w="5000" w:type="pct"/>
          </w:tcPr>
          <w:p w14:paraId="4E2E66DF" w14:textId="7189E086" w:rsidR="00CB39DC" w:rsidRPr="00D37004" w:rsidRDefault="00CB39DC" w:rsidP="00791DD7">
            <w:pPr>
              <w:spacing w:after="120"/>
              <w:rPr>
                <w:noProof/>
                <w:color w:val="000000" w:themeColor="text1"/>
              </w:rPr>
            </w:pPr>
            <w:r w:rsidRPr="00D37004">
              <w:rPr>
                <w:b/>
                <w:noProof/>
                <w:color w:val="000000" w:themeColor="text1"/>
              </w:rPr>
              <w:t>What are the estimated direct costs for SMEs of the preferred policy option</w:t>
            </w:r>
            <w:r w:rsidRPr="00D37004">
              <w:rPr>
                <w:b/>
                <w:i/>
                <w:noProof/>
                <w:color w:val="000000" w:themeColor="text1"/>
              </w:rPr>
              <w:t>?</w:t>
            </w:r>
            <w:r w:rsidRPr="00D37004">
              <w:rPr>
                <w:noProof/>
                <w:color w:val="000000" w:themeColor="text1"/>
              </w:rPr>
              <w:t xml:space="preserve"> </w:t>
            </w:r>
          </w:p>
        </w:tc>
      </w:tr>
      <w:tr w:rsidR="00CB39DC" w:rsidRPr="00D37004" w14:paraId="5309542A" w14:textId="77777777" w:rsidTr="294AF3FA">
        <w:trPr>
          <w:trHeight w:val="300"/>
        </w:trPr>
        <w:tc>
          <w:tcPr>
            <w:tcW w:w="5000" w:type="pct"/>
          </w:tcPr>
          <w:p w14:paraId="179F3D8F" w14:textId="77777777" w:rsidR="00CB39DC" w:rsidRPr="00D37004" w:rsidRDefault="00CB39DC" w:rsidP="0013752C">
            <w:pPr>
              <w:spacing w:after="120"/>
              <w:rPr>
                <w:noProof/>
                <w:color w:val="000000" w:themeColor="text1"/>
              </w:rPr>
            </w:pPr>
            <w:bookmarkStart w:id="338" w:name="_Hlk189835363"/>
            <w:r w:rsidRPr="00D37004">
              <w:rPr>
                <w:b/>
                <w:noProof/>
                <w:color w:val="000000" w:themeColor="text1"/>
              </w:rPr>
              <w:t>Qualitative assessment</w:t>
            </w:r>
          </w:p>
        </w:tc>
      </w:tr>
      <w:tr w:rsidR="00CB39DC" w:rsidRPr="00D37004" w14:paraId="0C273B3F" w14:textId="77777777" w:rsidTr="294AF3FA">
        <w:trPr>
          <w:trHeight w:val="300"/>
        </w:trPr>
        <w:tc>
          <w:tcPr>
            <w:tcW w:w="5000" w:type="pct"/>
          </w:tcPr>
          <w:p w14:paraId="382CCACC" w14:textId="683FC427" w:rsidR="003A250D" w:rsidRPr="003A250D" w:rsidRDefault="003A250D" w:rsidP="003A250D">
            <w:pPr>
              <w:spacing w:after="120"/>
              <w:rPr>
                <w:rFonts w:eastAsia="Times New Roman"/>
                <w:noProof/>
                <w:lang w:val="en-IE"/>
              </w:rPr>
            </w:pPr>
            <w:r w:rsidRPr="003A250D">
              <w:rPr>
                <w:rFonts w:eastAsia="Times New Roman"/>
                <w:noProof/>
                <w:lang w:val="en-IE"/>
              </w:rPr>
              <w:t>PO1-A improves SME access to information through clearer guidelines, reducing costs from information gaps and helping SMEs voice concerns collectively. PO1-B simplifies permitting, cutting legal and administrative burdens and lowering entry barriers to the data</w:t>
            </w:r>
            <w:r>
              <w:rPr>
                <w:rFonts w:eastAsia="Times New Roman"/>
                <w:noProof/>
                <w:lang w:val="en-IE"/>
              </w:rPr>
              <w:t xml:space="preserve"> </w:t>
            </w:r>
            <w:r w:rsidRPr="003A250D">
              <w:rPr>
                <w:rFonts w:eastAsia="Times New Roman"/>
                <w:noProof/>
                <w:lang w:val="en-IE"/>
              </w:rPr>
              <w:t>centre value chain. PO1-C has similar effects but may feel more distant due to EU-level approval; however, added public R&amp;D and deployment funding strengthens SME participation in advanced projects without heavy capital needs.</w:t>
            </w:r>
            <w:r w:rsidR="000B06A5">
              <w:rPr>
                <w:rFonts w:eastAsia="Times New Roman"/>
                <w:noProof/>
                <w:lang w:val="en-IE"/>
              </w:rPr>
              <w:t xml:space="preserve"> </w:t>
            </w:r>
            <w:r w:rsidR="00505F0C">
              <w:rPr>
                <w:rFonts w:eastAsia="Times New Roman"/>
                <w:noProof/>
                <w:lang w:val="en-IE"/>
              </w:rPr>
              <w:t>Potential direct</w:t>
            </w:r>
            <w:r w:rsidR="000B06A5">
              <w:rPr>
                <w:rFonts w:eastAsia="Times New Roman"/>
                <w:noProof/>
                <w:lang w:val="en-IE"/>
              </w:rPr>
              <w:t xml:space="preserve"> administrative costs under the preferred policy option among these, i.e. PO1-B with PM8</w:t>
            </w:r>
            <w:r w:rsidR="00505F0C">
              <w:rPr>
                <w:rFonts w:eastAsia="Times New Roman"/>
                <w:noProof/>
                <w:lang w:val="en-IE"/>
              </w:rPr>
              <w:t xml:space="preserve"> and</w:t>
            </w:r>
            <w:r w:rsidR="000B06A5">
              <w:rPr>
                <w:rFonts w:eastAsia="Times New Roman"/>
                <w:noProof/>
                <w:lang w:val="en-IE"/>
              </w:rPr>
              <w:t xml:space="preserve"> PM9</w:t>
            </w:r>
            <w:r w:rsidR="00505F0C">
              <w:rPr>
                <w:rFonts w:eastAsia="Times New Roman"/>
                <w:noProof/>
                <w:lang w:val="en-IE"/>
              </w:rPr>
              <w:t>,</w:t>
            </w:r>
            <w:r w:rsidR="000B06A5">
              <w:rPr>
                <w:rFonts w:eastAsia="Times New Roman"/>
                <w:noProof/>
                <w:lang w:val="en-IE"/>
              </w:rPr>
              <w:t xml:space="preserve"> would be related to the </w:t>
            </w:r>
            <w:r w:rsidR="00505F0C">
              <w:rPr>
                <w:rFonts w:eastAsia="Times New Roman"/>
                <w:noProof/>
                <w:lang w:val="en-IE"/>
              </w:rPr>
              <w:t xml:space="preserve">time required to apply for EU or national funding support. </w:t>
            </w:r>
          </w:p>
          <w:p w14:paraId="27EEB875" w14:textId="1D75E148" w:rsidR="0038492E" w:rsidRPr="003A250D" w:rsidRDefault="003A250D" w:rsidP="0013752C">
            <w:pPr>
              <w:spacing w:after="0"/>
              <w:rPr>
                <w:rFonts w:eastAsia="Times New Roman"/>
                <w:noProof/>
              </w:rPr>
            </w:pPr>
            <w:r w:rsidRPr="003A250D">
              <w:rPr>
                <w:rFonts w:eastAsia="Times New Roman"/>
                <w:noProof/>
              </w:rPr>
              <w:t>PO2-A provides clarity on sovereign cloud</w:t>
            </w:r>
            <w:r w:rsidRPr="515BFAC0">
              <w:rPr>
                <w:rFonts w:eastAsia="Times New Roman"/>
                <w:noProof/>
              </w:rPr>
              <w:t xml:space="preserve"> and </w:t>
            </w:r>
            <w:r w:rsidRPr="003A250D">
              <w:rPr>
                <w:rFonts w:eastAsia="Times New Roman"/>
                <w:noProof/>
              </w:rPr>
              <w:t xml:space="preserve">AI </w:t>
            </w:r>
            <w:r w:rsidRPr="515BFAC0">
              <w:rPr>
                <w:rFonts w:eastAsia="Times New Roman"/>
                <w:noProof/>
              </w:rPr>
              <w:t xml:space="preserve">computing </w:t>
            </w:r>
            <w:r w:rsidRPr="003A250D">
              <w:rPr>
                <w:rFonts w:eastAsia="Times New Roman"/>
                <w:noProof/>
              </w:rPr>
              <w:t xml:space="preserve">services without extra administrative load, while interoperability and </w:t>
            </w:r>
            <w:r w:rsidRPr="515BFAC0">
              <w:rPr>
                <w:rFonts w:eastAsia="Times New Roman"/>
                <w:noProof/>
              </w:rPr>
              <w:t xml:space="preserve">the EU </w:t>
            </w:r>
            <w:r w:rsidRPr="003A250D">
              <w:rPr>
                <w:rFonts w:eastAsia="Times New Roman"/>
                <w:noProof/>
              </w:rPr>
              <w:t xml:space="preserve">sovereignty conference boost SME visibility. PO2-B lowers verification costs via </w:t>
            </w:r>
            <w:r w:rsidR="00EB7463">
              <w:rPr>
                <w:rFonts w:eastAsia="Times New Roman"/>
                <w:noProof/>
              </w:rPr>
              <w:t>validity throughout the EU</w:t>
            </w:r>
            <w:r w:rsidRPr="003A250D">
              <w:rPr>
                <w:rFonts w:eastAsia="Times New Roman"/>
                <w:noProof/>
              </w:rPr>
              <w:t xml:space="preserve"> and supports SME cloud</w:t>
            </w:r>
            <w:r w:rsidRPr="515BFAC0">
              <w:rPr>
                <w:rFonts w:eastAsia="Times New Roman"/>
                <w:noProof/>
              </w:rPr>
              <w:t xml:space="preserve"> and </w:t>
            </w:r>
            <w:r w:rsidRPr="003A250D">
              <w:rPr>
                <w:rFonts w:eastAsia="Times New Roman"/>
                <w:noProof/>
              </w:rPr>
              <w:t xml:space="preserve">AI adoption, with procurement criteria and vendor-neutral training improving SME competitiveness. PO2-C delivers the strongest benefits: although mandatory </w:t>
            </w:r>
            <w:r w:rsidR="001B3FCB">
              <w:rPr>
                <w:rFonts w:eastAsia="Times New Roman"/>
                <w:noProof/>
              </w:rPr>
              <w:t>audit</w:t>
            </w:r>
            <w:r w:rsidRPr="003A250D">
              <w:rPr>
                <w:rFonts w:eastAsia="Times New Roman"/>
                <w:noProof/>
              </w:rPr>
              <w:t xml:space="preserve"> adds some cost, </w:t>
            </w:r>
            <w:r w:rsidR="00EB7463">
              <w:rPr>
                <w:rFonts w:eastAsia="Times New Roman"/>
                <w:noProof/>
              </w:rPr>
              <w:t>EU-wide validity</w:t>
            </w:r>
            <w:r w:rsidRPr="003A250D">
              <w:rPr>
                <w:rFonts w:eastAsia="Times New Roman"/>
                <w:noProof/>
              </w:rPr>
              <w:t xml:space="preserve"> expands market reach, open-source access reduces barriers, funding programmes favour SMEs. Overall, PO2-C and the SME cloud</w:t>
            </w:r>
            <w:r w:rsidRPr="515BFAC0">
              <w:rPr>
                <w:rFonts w:eastAsia="Times New Roman"/>
                <w:noProof/>
              </w:rPr>
              <w:t xml:space="preserve"> and </w:t>
            </w:r>
            <w:r w:rsidRPr="003A250D">
              <w:rPr>
                <w:rFonts w:eastAsia="Times New Roman"/>
                <w:noProof/>
              </w:rPr>
              <w:t>AI adoption scheme enhance competitiveness, reduce upfront costs, and support wider SME digital transformation.</w:t>
            </w:r>
            <w:r w:rsidR="00505F0C">
              <w:rPr>
                <w:rFonts w:eastAsia="Times New Roman"/>
                <w:noProof/>
              </w:rPr>
              <w:t xml:space="preserve"> </w:t>
            </w:r>
            <w:r w:rsidR="003765BE">
              <w:rPr>
                <w:rFonts w:eastAsia="Times New Roman"/>
                <w:noProof/>
              </w:rPr>
              <w:t>Similarly,</w:t>
            </w:r>
            <w:r w:rsidR="00505F0C">
              <w:rPr>
                <w:rFonts w:eastAsia="Times New Roman"/>
                <w:noProof/>
              </w:rPr>
              <w:t xml:space="preserve"> as above, </w:t>
            </w:r>
            <w:r w:rsidR="003765BE">
              <w:rPr>
                <w:rFonts w:eastAsia="Times New Roman"/>
                <w:noProof/>
              </w:rPr>
              <w:t>quantifiable</w:t>
            </w:r>
            <w:r w:rsidR="00505F0C">
              <w:rPr>
                <w:rFonts w:eastAsia="Times New Roman"/>
                <w:noProof/>
              </w:rPr>
              <w:t xml:space="preserve"> </w:t>
            </w:r>
            <w:r w:rsidR="00326BBC">
              <w:rPr>
                <w:rFonts w:eastAsia="Times New Roman"/>
                <w:noProof/>
              </w:rPr>
              <w:t xml:space="preserve">administrative </w:t>
            </w:r>
            <w:r w:rsidR="00505F0C">
              <w:rPr>
                <w:rFonts w:eastAsia="Times New Roman"/>
                <w:noProof/>
              </w:rPr>
              <w:t>cost</w:t>
            </w:r>
            <w:r w:rsidR="003765BE">
              <w:rPr>
                <w:rFonts w:eastAsia="Times New Roman"/>
                <w:noProof/>
              </w:rPr>
              <w:t>s</w:t>
            </w:r>
            <w:r w:rsidR="00505F0C">
              <w:rPr>
                <w:rFonts w:eastAsia="Times New Roman"/>
                <w:noProof/>
              </w:rPr>
              <w:t xml:space="preserve"> for SMEs stem from the time required to apply to receive funding under PM23. </w:t>
            </w:r>
          </w:p>
        </w:tc>
      </w:tr>
      <w:tr w:rsidR="00CB39DC" w:rsidRPr="00D37004" w14:paraId="41A94AA8" w14:textId="77777777" w:rsidTr="294AF3FA">
        <w:trPr>
          <w:trHeight w:val="300"/>
        </w:trPr>
        <w:tc>
          <w:tcPr>
            <w:tcW w:w="5000" w:type="pct"/>
          </w:tcPr>
          <w:p w14:paraId="58189216" w14:textId="020AF361" w:rsidR="00CB39DC" w:rsidRPr="00D37004" w:rsidRDefault="00CB39DC" w:rsidP="0013752C">
            <w:pPr>
              <w:spacing w:after="120"/>
              <w:rPr>
                <w:b/>
                <w:noProof/>
                <w:color w:val="000000" w:themeColor="text1"/>
              </w:rPr>
            </w:pPr>
            <w:r w:rsidRPr="00D37004">
              <w:rPr>
                <w:b/>
                <w:noProof/>
                <w:color w:val="000000" w:themeColor="text1"/>
              </w:rPr>
              <w:t>Quantitative assessment</w:t>
            </w:r>
          </w:p>
        </w:tc>
      </w:tr>
      <w:bookmarkEnd w:id="338"/>
      <w:tr w:rsidR="00CB39DC" w:rsidRPr="00D37004" w14:paraId="5B5E70F8" w14:textId="77777777" w:rsidTr="294AF3FA">
        <w:trPr>
          <w:trHeight w:val="300"/>
        </w:trPr>
        <w:tc>
          <w:tcPr>
            <w:tcW w:w="5000" w:type="pct"/>
          </w:tcPr>
          <w:p w14:paraId="16A1E1C1" w14:textId="22885C30" w:rsidR="001560D4" w:rsidRPr="00F41EDC" w:rsidRDefault="00956B91" w:rsidP="00F41EDC">
            <w:pPr>
              <w:rPr>
                <w:noProof/>
              </w:rPr>
            </w:pPr>
            <w:r w:rsidRPr="008B0F51">
              <w:rPr>
                <w:iCs/>
                <w:noProof/>
                <w:color w:val="000000" w:themeColor="text1"/>
              </w:rPr>
              <w:t xml:space="preserve">Under PM23, within PO2-C, SMEs are expected to </w:t>
            </w:r>
            <w:r>
              <w:rPr>
                <w:iCs/>
                <w:noProof/>
                <w:color w:val="000000" w:themeColor="text1"/>
              </w:rPr>
              <w:t xml:space="preserve">incur in modest </w:t>
            </w:r>
            <w:r w:rsidR="00176B77">
              <w:rPr>
                <w:iCs/>
                <w:noProof/>
                <w:color w:val="000000" w:themeColor="text1"/>
              </w:rPr>
              <w:t>administrative</w:t>
            </w:r>
            <w:r>
              <w:rPr>
                <w:iCs/>
                <w:noProof/>
                <w:color w:val="000000" w:themeColor="text1"/>
              </w:rPr>
              <w:t xml:space="preserve"> costs related to their need to apply to receive the funding</w:t>
            </w:r>
            <w:r w:rsidR="00F41EDC">
              <w:rPr>
                <w:iCs/>
                <w:noProof/>
                <w:color w:val="000000" w:themeColor="text1"/>
              </w:rPr>
              <w:t xml:space="preserve">. </w:t>
            </w:r>
            <w:r w:rsidR="00F41EDC" w:rsidRPr="0007547C">
              <w:rPr>
                <w:noProof/>
              </w:rPr>
              <w:t xml:space="preserve">The effort to prepare a project proposal is estimated to be </w:t>
            </w:r>
            <w:r w:rsidR="00F41EDC" w:rsidRPr="0007547C">
              <w:rPr>
                <w:noProof/>
                <w:lang w:val="en-US"/>
              </w:rPr>
              <w:t>2 persons for 10 days (20 staff days)</w:t>
            </w:r>
            <w:r w:rsidR="00176B77">
              <w:rPr>
                <w:noProof/>
                <w:lang w:val="en-US"/>
              </w:rPr>
              <w:t>, with total costs estimated at EUR 5</w:t>
            </w:r>
            <w:r w:rsidR="00E72511">
              <w:rPr>
                <w:noProof/>
                <w:lang w:val="en-US"/>
              </w:rPr>
              <w:t>5</w:t>
            </w:r>
            <w:r w:rsidR="00EC1646">
              <w:rPr>
                <w:noProof/>
                <w:lang w:val="en-US"/>
              </w:rPr>
              <w:t xml:space="preserve"> 373 928 (NPV, 10-years)</w:t>
            </w:r>
            <w:r w:rsidR="0056611E">
              <w:rPr>
                <w:noProof/>
                <w:lang w:val="en-US"/>
              </w:rPr>
              <w:t xml:space="preserve">, considering over </w:t>
            </w:r>
            <w:r w:rsidR="000B5C5B">
              <w:rPr>
                <w:noProof/>
                <w:lang w:val="en-US"/>
              </w:rPr>
              <w:t>60</w:t>
            </w:r>
            <w:r w:rsidR="000560F2">
              <w:rPr>
                <w:noProof/>
                <w:lang w:val="en-US"/>
              </w:rPr>
              <w:t>,000 SMEs</w:t>
            </w:r>
            <w:r w:rsidR="000B5C5B">
              <w:rPr>
                <w:noProof/>
                <w:lang w:val="en-US"/>
              </w:rPr>
              <w:t xml:space="preserve"> applying to receive funding</w:t>
            </w:r>
            <w:r w:rsidR="000560F2">
              <w:rPr>
                <w:noProof/>
                <w:lang w:val="en-US"/>
              </w:rPr>
              <w:t>.</w:t>
            </w:r>
          </w:p>
        </w:tc>
      </w:tr>
      <w:tr w:rsidR="00CB39DC" w:rsidRPr="00D37004" w14:paraId="6FC03CB1" w14:textId="77777777" w:rsidTr="294AF3FA">
        <w:trPr>
          <w:trHeight w:val="300"/>
        </w:trPr>
        <w:tc>
          <w:tcPr>
            <w:tcW w:w="5000" w:type="pct"/>
          </w:tcPr>
          <w:p w14:paraId="5120BB5A" w14:textId="325F61FF" w:rsidR="00CB39DC" w:rsidRPr="00D37004" w:rsidRDefault="00CB39DC" w:rsidP="0013752C">
            <w:pPr>
              <w:spacing w:after="120"/>
              <w:rPr>
                <w:b/>
                <w:noProof/>
                <w:color w:val="000000" w:themeColor="text1"/>
              </w:rPr>
            </w:pPr>
            <w:r w:rsidRPr="294AF3FA">
              <w:rPr>
                <w:b/>
                <w:bCs/>
                <w:noProof/>
                <w:color w:val="000000" w:themeColor="text1"/>
              </w:rPr>
              <w:t>What are the estimated direct benefits/cost savings for SMEs of the preferred policy option</w:t>
            </w:r>
            <w:r w:rsidRPr="294AF3FA">
              <w:rPr>
                <w:rStyle w:val="FootnoteReference"/>
                <w:b/>
                <w:bCs/>
                <w:noProof/>
                <w:color w:val="000000" w:themeColor="text1"/>
              </w:rPr>
              <w:footnoteReference w:id="185"/>
            </w:r>
            <w:r w:rsidRPr="294AF3FA">
              <w:rPr>
                <w:b/>
                <w:bCs/>
                <w:noProof/>
                <w:color w:val="000000" w:themeColor="text1"/>
              </w:rPr>
              <w:t>?</w:t>
            </w:r>
          </w:p>
        </w:tc>
      </w:tr>
      <w:tr w:rsidR="00CB39DC" w:rsidRPr="00D37004" w14:paraId="40E37B58" w14:textId="77777777" w:rsidTr="294AF3FA">
        <w:trPr>
          <w:trHeight w:val="300"/>
        </w:trPr>
        <w:tc>
          <w:tcPr>
            <w:tcW w:w="5000" w:type="pct"/>
          </w:tcPr>
          <w:p w14:paraId="3CE539B4" w14:textId="77777777" w:rsidR="00CB39DC" w:rsidRPr="00D37004" w:rsidRDefault="00CB39DC" w:rsidP="0013752C">
            <w:pPr>
              <w:spacing w:after="120"/>
              <w:rPr>
                <w:noProof/>
                <w:color w:val="000000" w:themeColor="text1"/>
              </w:rPr>
            </w:pPr>
            <w:r w:rsidRPr="00D37004">
              <w:rPr>
                <w:b/>
                <w:noProof/>
                <w:color w:val="000000" w:themeColor="text1"/>
              </w:rPr>
              <w:t>Qualitative assessment</w:t>
            </w:r>
          </w:p>
        </w:tc>
      </w:tr>
      <w:tr w:rsidR="00CB39DC" w:rsidRPr="00D37004" w14:paraId="77C3ED00" w14:textId="77777777" w:rsidTr="294AF3FA">
        <w:trPr>
          <w:trHeight w:val="300"/>
        </w:trPr>
        <w:tc>
          <w:tcPr>
            <w:tcW w:w="5000" w:type="pct"/>
          </w:tcPr>
          <w:p w14:paraId="3C3DAB2F" w14:textId="334838A0" w:rsidR="00CB39DC" w:rsidRDefault="005F1209" w:rsidP="00A851E1">
            <w:pPr>
              <w:pStyle w:val="Text1"/>
              <w:spacing w:after="120"/>
              <w:ind w:left="0"/>
              <w:rPr>
                <w:noProof/>
              </w:rPr>
            </w:pPr>
            <w:r w:rsidRPr="005F1209">
              <w:rPr>
                <w:noProof/>
              </w:rPr>
              <w:t>For PO1-B, SMEs would see direct benefits mainly through reduced legal, consultancy, and administrative costs. Streamlined permitting makes procedures easier to navigate, which cuts the time and external support SMEs typically need to comply with complex rules. Faster approvals also shorten project timelines, lowering costs and making market entry cheaper.</w:t>
            </w:r>
            <w:r w:rsidR="00614495">
              <w:rPr>
                <w:noProof/>
              </w:rPr>
              <w:t xml:space="preserve"> </w:t>
            </w:r>
            <w:r w:rsidR="00614495" w:rsidRPr="00614495">
              <w:rPr>
                <w:noProof/>
              </w:rPr>
              <w:t>With public funding</w:t>
            </w:r>
            <w:r w:rsidR="00614495">
              <w:rPr>
                <w:noProof/>
              </w:rPr>
              <w:t xml:space="preserve"> under PM8 and PM9</w:t>
            </w:r>
            <w:r w:rsidR="00614495" w:rsidRPr="00614495">
              <w:rPr>
                <w:noProof/>
              </w:rPr>
              <w:t>, SMEs save directly by reducing the upfront capital normally required for R&amp;D, innovation, and deployment projects. Higher funding rates for SMEs lower financial risk and make participation in advanced initiatives more affordable. Funding also helps SMEs join larger consortia more easily, lowering the financial barriers to entering markets that typically favour large players.</w:t>
            </w:r>
          </w:p>
          <w:p w14:paraId="71FFA759" w14:textId="5E06FE20" w:rsidR="00D5723F" w:rsidRPr="004C3BD3" w:rsidRDefault="00D5723F" w:rsidP="001F2FC0">
            <w:pPr>
              <w:pStyle w:val="Text1"/>
              <w:ind w:left="0"/>
              <w:rPr>
                <w:noProof/>
              </w:rPr>
            </w:pPr>
            <w:r w:rsidRPr="00D5723F">
              <w:rPr>
                <w:noProof/>
              </w:rPr>
              <w:t xml:space="preserve">Under PO2-C, SMEs gain the largest net cost savings. </w:t>
            </w:r>
            <w:r w:rsidR="00EB7463">
              <w:rPr>
                <w:noProof/>
              </w:rPr>
              <w:t>Validity throughout the EU</w:t>
            </w:r>
            <w:r w:rsidRPr="00D5723F">
              <w:rPr>
                <w:noProof/>
              </w:rPr>
              <w:t xml:space="preserve"> of a</w:t>
            </w:r>
            <w:r w:rsidR="001B3FCB">
              <w:rPr>
                <w:noProof/>
              </w:rPr>
              <w:t>udits</w:t>
            </w:r>
            <w:r w:rsidRPr="00D5723F">
              <w:rPr>
                <w:noProof/>
              </w:rPr>
              <w:t xml:space="preserve"> means an SME </w:t>
            </w:r>
            <w:r w:rsidR="007656B6">
              <w:rPr>
                <w:noProof/>
              </w:rPr>
              <w:t>audited</w:t>
            </w:r>
            <w:r w:rsidR="00EB7463">
              <w:rPr>
                <w:noProof/>
              </w:rPr>
              <w:t xml:space="preserve"> </w:t>
            </w:r>
            <w:r w:rsidRPr="00D5723F">
              <w:rPr>
                <w:noProof/>
              </w:rPr>
              <w:t xml:space="preserve">in one Member State avoids repeating costly verification processes elsewhere. Support measures for adopting cloud and AI </w:t>
            </w:r>
            <w:r w:rsidR="00A24504">
              <w:rPr>
                <w:noProof/>
              </w:rPr>
              <w:t>computing</w:t>
            </w:r>
            <w:r w:rsidRPr="00D5723F">
              <w:rPr>
                <w:noProof/>
              </w:rPr>
              <w:t xml:space="preserve"> services lower training, integration, and compliance costs. Together, these reduce technology investment, administrative overhead, and business development expenses.</w:t>
            </w:r>
          </w:p>
        </w:tc>
      </w:tr>
      <w:tr w:rsidR="00CB39DC" w:rsidRPr="00D37004" w14:paraId="5EB87058" w14:textId="77777777" w:rsidTr="294AF3FA">
        <w:trPr>
          <w:trHeight w:val="300"/>
        </w:trPr>
        <w:tc>
          <w:tcPr>
            <w:tcW w:w="5000" w:type="pct"/>
          </w:tcPr>
          <w:p w14:paraId="326819F4" w14:textId="7927704E" w:rsidR="00CB39DC" w:rsidRPr="00D37004" w:rsidRDefault="00CB39DC" w:rsidP="00791DD7">
            <w:pPr>
              <w:spacing w:after="120"/>
              <w:rPr>
                <w:noProof/>
                <w:color w:val="000000" w:themeColor="text1"/>
              </w:rPr>
            </w:pPr>
            <w:r w:rsidRPr="00D37004">
              <w:rPr>
                <w:b/>
                <w:noProof/>
                <w:color w:val="000000" w:themeColor="text1"/>
              </w:rPr>
              <w:t>Quantitative assessment</w:t>
            </w:r>
          </w:p>
        </w:tc>
      </w:tr>
      <w:tr w:rsidR="00242769" w:rsidRPr="00D37004" w14:paraId="6B03E588" w14:textId="77777777" w:rsidTr="294AF3FA">
        <w:trPr>
          <w:trHeight w:val="300"/>
        </w:trPr>
        <w:tc>
          <w:tcPr>
            <w:tcW w:w="5000" w:type="pct"/>
          </w:tcPr>
          <w:p w14:paraId="64BABD7A" w14:textId="7BD15F80" w:rsidR="00242769" w:rsidRPr="00D37004" w:rsidRDefault="00242769" w:rsidP="00242769">
            <w:pPr>
              <w:spacing w:after="0"/>
              <w:rPr>
                <w:noProof/>
                <w:color w:val="000000" w:themeColor="text1"/>
                <w:highlight w:val="lightGray"/>
              </w:rPr>
            </w:pPr>
            <w:r w:rsidRPr="008B0F51">
              <w:rPr>
                <w:iCs/>
                <w:noProof/>
                <w:color w:val="000000" w:themeColor="text1"/>
              </w:rPr>
              <w:t>Under PM23, within PO2-C, SMEs are expected to benefit directly from EUR 328 412 809</w:t>
            </w:r>
            <w:r>
              <w:rPr>
                <w:iCs/>
                <w:noProof/>
                <w:color w:val="000000" w:themeColor="text1"/>
              </w:rPr>
              <w:t xml:space="preserve">. </w:t>
            </w:r>
            <w:r w:rsidRPr="0007547C">
              <w:rPr>
                <w:noProof/>
              </w:rPr>
              <w:t xml:space="preserve">This policy measure puts forward a targeted scheme to provide financial support to SMEs for adopting cloud and AI </w:t>
            </w:r>
            <w:r>
              <w:rPr>
                <w:noProof/>
              </w:rPr>
              <w:t xml:space="preserve">computing </w:t>
            </w:r>
            <w:r w:rsidRPr="0007547C">
              <w:rPr>
                <w:noProof/>
              </w:rPr>
              <w:t>services to increase their productivity and competitiveness. </w:t>
            </w:r>
            <w:r w:rsidRPr="008F5DB3">
              <w:rPr>
                <w:noProof/>
              </w:rPr>
              <w:t xml:space="preserve">Most of </w:t>
            </w:r>
            <w:r>
              <w:rPr>
                <w:noProof/>
              </w:rPr>
              <w:t>the yearly budget considered for this measure</w:t>
            </w:r>
            <w:r w:rsidRPr="008F5DB3">
              <w:rPr>
                <w:noProof/>
              </w:rPr>
              <w:t xml:space="preserve">, </w:t>
            </w:r>
            <w:r>
              <w:rPr>
                <w:noProof/>
              </w:rPr>
              <w:t xml:space="preserve">i.e. </w:t>
            </w:r>
            <w:r w:rsidRPr="008F5DB3">
              <w:rPr>
                <w:noProof/>
              </w:rPr>
              <w:t>EUR 38.</w:t>
            </w:r>
            <w:r>
              <w:rPr>
                <w:noProof/>
              </w:rPr>
              <w:t>5</w:t>
            </w:r>
            <w:r w:rsidRPr="008F5DB3">
              <w:rPr>
                <w:noProof/>
              </w:rPr>
              <w:t>00.000, is dedicated to supporting the design and planning phase of cloud and AI-based transformation projects</w:t>
            </w:r>
            <w:r>
              <w:rPr>
                <w:noProof/>
              </w:rPr>
              <w:t xml:space="preserve"> for SMEs</w:t>
            </w:r>
            <w:r w:rsidRPr="008F5DB3">
              <w:rPr>
                <w:noProof/>
              </w:rPr>
              <w:t>. </w:t>
            </w:r>
            <w:r w:rsidRPr="006F6E56">
              <w:rPr>
                <w:noProof/>
              </w:rPr>
              <w:t> </w:t>
            </w:r>
            <w:r w:rsidRPr="0007547C">
              <w:rPr>
                <w:noProof/>
              </w:rPr>
              <w:t>The grants are fixed amounts that the SMEs can spend in consultancy services to design digital transformation projects based on cloud and AI technology.</w:t>
            </w:r>
            <w:r w:rsidRPr="0031732B">
              <w:rPr>
                <w:noProof/>
                <w:lang w:val="en-US"/>
              </w:rPr>
              <w:t> </w:t>
            </w:r>
            <w:r w:rsidRPr="0007547C">
              <w:rPr>
                <w:noProof/>
              </w:rPr>
              <w:t>The objective is reaching 2% of the small (10 to 50 employees) and midsize (50 to 250 employees) SMEs over the 10-year period. </w:t>
            </w:r>
            <w:r w:rsidRPr="0007547C">
              <w:rPr>
                <w:noProof/>
                <w:lang w:val="en-US"/>
              </w:rPr>
              <w:t> </w:t>
            </w:r>
            <w:r w:rsidRPr="00D60DA3">
              <w:rPr>
                <w:noProof/>
              </w:rPr>
              <w:t>Every year, SMEs that have designed the most innovative cloud and AI-based transformation project plans will receive additional support to fund their implementation</w:t>
            </w:r>
            <w:r>
              <w:rPr>
                <w:noProof/>
              </w:rPr>
              <w:t>.</w:t>
            </w:r>
          </w:p>
        </w:tc>
      </w:tr>
      <w:tr w:rsidR="00242769" w:rsidRPr="00D37004" w14:paraId="2A34EEBB" w14:textId="77777777" w:rsidTr="294AF3FA">
        <w:trPr>
          <w:trHeight w:val="300"/>
        </w:trPr>
        <w:tc>
          <w:tcPr>
            <w:tcW w:w="5000" w:type="pct"/>
          </w:tcPr>
          <w:p w14:paraId="0F89880C" w14:textId="2039BD5C" w:rsidR="00242769" w:rsidRPr="00D37004" w:rsidRDefault="00242769" w:rsidP="00242769">
            <w:pPr>
              <w:spacing w:after="120"/>
              <w:rPr>
                <w:b/>
                <w:noProof/>
                <w:color w:val="000000" w:themeColor="text1"/>
              </w:rPr>
            </w:pPr>
            <w:r w:rsidRPr="00D37004">
              <w:rPr>
                <w:b/>
                <w:noProof/>
                <w:color w:val="000000" w:themeColor="text1"/>
              </w:rPr>
              <w:t xml:space="preserve">What are the indirect impacts of this initiative on SMEs? </w:t>
            </w:r>
          </w:p>
        </w:tc>
      </w:tr>
      <w:tr w:rsidR="00242769" w:rsidRPr="00D37004" w14:paraId="507F9FD6" w14:textId="77777777" w:rsidTr="294AF3FA">
        <w:trPr>
          <w:trHeight w:val="300"/>
        </w:trPr>
        <w:tc>
          <w:tcPr>
            <w:tcW w:w="5000" w:type="pct"/>
          </w:tcPr>
          <w:p w14:paraId="510BF209" w14:textId="42F9C7E0" w:rsidR="00242769" w:rsidRPr="00D37004" w:rsidRDefault="00242769" w:rsidP="00242769">
            <w:pPr>
              <w:spacing w:after="120"/>
              <w:rPr>
                <w:noProof/>
              </w:rPr>
            </w:pPr>
            <w:r w:rsidRPr="00D37004">
              <w:rPr>
                <w:noProof/>
              </w:rPr>
              <w:t xml:space="preserve">Most of the policy measures contribute to the development of European datacentre infrastructure and cloud computing capacity, a richer European cloud and AI </w:t>
            </w:r>
            <w:r>
              <w:rPr>
                <w:noProof/>
              </w:rPr>
              <w:t>computing service</w:t>
            </w:r>
            <w:r w:rsidRPr="00D37004">
              <w:rPr>
                <w:noProof/>
              </w:rPr>
              <w:t xml:space="preserve"> offering and a more dynamic technological and industrial ecosystem, contributing to a higher adoption of cloud. This will improve the efficiency in software and IT projects, increasing productivity of IT staff, ensuring the continuity of business processes (less downtime) and facilitating migration processes, for SMEs and large organizations alike. This impacts not only the efficiency of the IT staff but also the flexibility and capability of the European private sector to adapt in an agile way to evolving market needs and conditions, and to the dynamic technology landscape, increasing its competitiveness. This agility is particularly important for SMEs, who need to continuously adapt their technologies and</w:t>
            </w:r>
            <w:r w:rsidRPr="00D37004" w:rsidDel="0051093B">
              <w:rPr>
                <w:noProof/>
              </w:rPr>
              <w:t xml:space="preserve"> </w:t>
            </w:r>
            <w:r w:rsidRPr="00D37004">
              <w:rPr>
                <w:noProof/>
              </w:rPr>
              <w:t>business models in order to not lose market revenues and remain relevant.</w:t>
            </w:r>
          </w:p>
          <w:p w14:paraId="52511158" w14:textId="2D13DF9E" w:rsidR="00242769" w:rsidRPr="00D37004" w:rsidRDefault="00242769" w:rsidP="00242769">
            <w:pPr>
              <w:pStyle w:val="Text2"/>
              <w:spacing w:after="120"/>
              <w:ind w:left="0"/>
              <w:rPr>
                <w:noProof/>
              </w:rPr>
            </w:pPr>
            <w:r w:rsidRPr="00D37004">
              <w:rPr>
                <w:noProof/>
              </w:rPr>
              <w:t xml:space="preserve">This could have been measured in terms of effort saved in IT tasks (FTEs) but it would have been difficult to allocate the specific contribution for each specific measure, adding potential risk of double counting their effect. </w:t>
            </w:r>
          </w:p>
          <w:p w14:paraId="73804592" w14:textId="41C1C941" w:rsidR="00242769" w:rsidRPr="00D37004" w:rsidRDefault="00242769" w:rsidP="00242769">
            <w:pPr>
              <w:pStyle w:val="Text2"/>
              <w:spacing w:after="120"/>
              <w:ind w:left="0"/>
              <w:rPr>
                <w:noProof/>
              </w:rPr>
            </w:pPr>
            <w:r w:rsidRPr="00D37004">
              <w:rPr>
                <w:noProof/>
                <w:u w:val="single"/>
              </w:rPr>
              <w:t>SMEs outside the cloud sector</w:t>
            </w:r>
            <w:r w:rsidRPr="00D37004">
              <w:rPr>
                <w:noProof/>
              </w:rPr>
              <w:t xml:space="preserve"> also gain from a more trusted and interoperable EU cloud/AI ecosystem through safer access to digital tools, easier cross-border operations, enhanced innovation, and participation in data-driven markets. While quantification in some cases appears difficult, the qualitative impact of the initiative could be summarised as follows:</w:t>
            </w:r>
          </w:p>
          <w:p w14:paraId="79A47FBD" w14:textId="77777777" w:rsidR="00A85C32" w:rsidRDefault="00242769" w:rsidP="00A85C32">
            <w:pPr>
              <w:pStyle w:val="Text2"/>
              <w:spacing w:after="120"/>
              <w:ind w:left="0"/>
              <w:rPr>
                <w:i/>
                <w:noProof/>
              </w:rPr>
            </w:pPr>
            <w:r w:rsidRPr="00D37004">
              <w:rPr>
                <w:i/>
                <w:noProof/>
              </w:rPr>
              <w:t>1. Access to Advanced Digital Services</w:t>
            </w:r>
          </w:p>
          <w:p w14:paraId="29ED1697" w14:textId="70194D28" w:rsidR="00242769" w:rsidRPr="00D37004" w:rsidRDefault="00242769" w:rsidP="00A85C32">
            <w:pPr>
              <w:pStyle w:val="Text2"/>
              <w:spacing w:after="120"/>
              <w:ind w:left="0"/>
              <w:rPr>
                <w:noProof/>
              </w:rPr>
            </w:pPr>
            <w:r w:rsidRPr="00D37004">
              <w:rPr>
                <w:noProof/>
              </w:rPr>
              <w:t>Enhanced trust and interoperability in the EU cloud and AI market gives SMEs in other sectors access to advanced digital services. Businesses can safely and efficiently adopt cloud-based tools for e-commerce, logistics, HR, or data analytics, even if they are not part of the cloud industry itself.</w:t>
            </w:r>
          </w:p>
          <w:p w14:paraId="64F8970A" w14:textId="2FC74987" w:rsidR="00571F28" w:rsidRDefault="00242769" w:rsidP="00571F28">
            <w:pPr>
              <w:pStyle w:val="Text2"/>
              <w:numPr>
                <w:ilvl w:val="0"/>
                <w:numId w:val="4"/>
              </w:numPr>
              <w:spacing w:after="120"/>
              <w:rPr>
                <w:i/>
                <w:noProof/>
              </w:rPr>
            </w:pPr>
            <w:r w:rsidRPr="00D37004">
              <w:rPr>
                <w:i/>
                <w:noProof/>
              </w:rPr>
              <w:t>Cross-Border Expansion</w:t>
            </w:r>
          </w:p>
          <w:p w14:paraId="07885A5A" w14:textId="25A924E1" w:rsidR="00242769" w:rsidRPr="00D37004" w:rsidRDefault="00242769" w:rsidP="00571F28">
            <w:pPr>
              <w:pStyle w:val="Text2"/>
              <w:spacing w:after="120"/>
              <w:ind w:left="0"/>
              <w:rPr>
                <w:noProof/>
              </w:rPr>
            </w:pPr>
            <w:r w:rsidRPr="00D37004">
              <w:rPr>
                <w:noProof/>
              </w:rPr>
              <w:t>Standardised regulations and secure, cross-border data flows make it easier for SMEs to expand across Member States. Companies can scale products and services without facing legal or technical barriers, simplifying international operations within the Single Market.</w:t>
            </w:r>
          </w:p>
          <w:p w14:paraId="67070D3D" w14:textId="1493D99E" w:rsidR="003A27C7" w:rsidRDefault="00242769" w:rsidP="003A27C7">
            <w:pPr>
              <w:pStyle w:val="Text2"/>
              <w:numPr>
                <w:ilvl w:val="0"/>
                <w:numId w:val="4"/>
              </w:numPr>
              <w:spacing w:after="120"/>
              <w:rPr>
                <w:i/>
                <w:noProof/>
              </w:rPr>
            </w:pPr>
            <w:r w:rsidRPr="00D37004">
              <w:rPr>
                <w:i/>
                <w:noProof/>
              </w:rPr>
              <w:t>Innovation through Collaboration</w:t>
            </w:r>
          </w:p>
          <w:p w14:paraId="14FEEAB7" w14:textId="6204A3A6" w:rsidR="00242769" w:rsidRPr="00D37004" w:rsidRDefault="00242769" w:rsidP="003A27C7">
            <w:pPr>
              <w:pStyle w:val="Text2"/>
              <w:spacing w:after="120"/>
              <w:ind w:left="0"/>
              <w:rPr>
                <w:noProof/>
              </w:rPr>
            </w:pPr>
            <w:r w:rsidRPr="00D37004">
              <w:rPr>
                <w:noProof/>
              </w:rPr>
              <w:t>SMEs can integrate AI, IoT, or data-driven services into their offerings, driving modernization in traditional industries. Trusted cloud infrastructure lowers risks and investment barriers, enabling experimentation and digital transformation.</w:t>
            </w:r>
          </w:p>
          <w:p w14:paraId="185D36E5" w14:textId="4B0FB16D" w:rsidR="003A27C7" w:rsidRDefault="00242769" w:rsidP="003A27C7">
            <w:pPr>
              <w:pStyle w:val="Text2"/>
              <w:numPr>
                <w:ilvl w:val="0"/>
                <w:numId w:val="4"/>
              </w:numPr>
              <w:spacing w:after="120"/>
              <w:rPr>
                <w:i/>
                <w:iCs/>
                <w:noProof/>
              </w:rPr>
            </w:pPr>
            <w:r w:rsidRPr="294AF3FA">
              <w:rPr>
                <w:i/>
                <w:iCs/>
                <w:noProof/>
              </w:rPr>
              <w:t>Cost Efficiency and Resilienc</w:t>
            </w:r>
            <w:r w:rsidR="003A27C7">
              <w:rPr>
                <w:i/>
                <w:iCs/>
                <w:noProof/>
              </w:rPr>
              <w:t>e</w:t>
            </w:r>
          </w:p>
          <w:p w14:paraId="127F34EB" w14:textId="55CC4418" w:rsidR="00242769" w:rsidRPr="00D37004" w:rsidRDefault="00242769" w:rsidP="003A27C7">
            <w:pPr>
              <w:pStyle w:val="Text2"/>
              <w:spacing w:after="120"/>
              <w:ind w:left="0"/>
              <w:rPr>
                <w:noProof/>
              </w:rPr>
            </w:pPr>
            <w:r w:rsidRPr="00D37004">
              <w:rPr>
                <w:noProof/>
              </w:rPr>
              <w:t>Reliable EU cloud services improve cost efficiency and resilience</w:t>
            </w:r>
            <w:r w:rsidRPr="00D37004">
              <w:rPr>
                <w:rStyle w:val="FootnoteReference"/>
                <w:noProof/>
              </w:rPr>
              <w:footnoteReference w:id="186"/>
            </w:r>
            <w:r w:rsidRPr="00D37004">
              <w:rPr>
                <w:noProof/>
              </w:rPr>
              <w:t>. Reduced dependence on non-European providers decreases operational risks while competitive pricing and high availability could benefit sectors like manufacturing, healthcare, and fintech</w:t>
            </w:r>
            <w:r w:rsidRPr="00D37004">
              <w:rPr>
                <w:rStyle w:val="FootnoteReference"/>
                <w:noProof/>
              </w:rPr>
              <w:footnoteReference w:id="187"/>
            </w:r>
            <w:r w:rsidRPr="00D37004">
              <w:rPr>
                <w:noProof/>
              </w:rPr>
              <w:t>.</w:t>
            </w:r>
          </w:p>
          <w:p w14:paraId="13B10BCA" w14:textId="0A1E0B91" w:rsidR="003A27C7" w:rsidRDefault="00242769" w:rsidP="003A27C7">
            <w:pPr>
              <w:pStyle w:val="Text2"/>
              <w:numPr>
                <w:ilvl w:val="0"/>
                <w:numId w:val="4"/>
              </w:numPr>
              <w:spacing w:after="120"/>
              <w:jc w:val="left"/>
              <w:rPr>
                <w:i/>
                <w:iCs/>
                <w:noProof/>
              </w:rPr>
            </w:pPr>
            <w:r w:rsidRPr="294AF3FA">
              <w:rPr>
                <w:i/>
                <w:iCs/>
                <w:noProof/>
              </w:rPr>
              <w:t>Participation in Sectoral Data Spaces</w:t>
            </w:r>
          </w:p>
          <w:p w14:paraId="4BB74284" w14:textId="28E5D1DE" w:rsidR="00242769" w:rsidRPr="00D37004" w:rsidRDefault="00242769" w:rsidP="003A27C7">
            <w:pPr>
              <w:pStyle w:val="Text2"/>
              <w:spacing w:after="120"/>
              <w:ind w:left="0"/>
              <w:jc w:val="left"/>
              <w:rPr>
                <w:noProof/>
              </w:rPr>
            </w:pPr>
            <w:r w:rsidRPr="00D37004">
              <w:rPr>
                <w:noProof/>
              </w:rPr>
              <w:t>SMEs can participate in sectoral data spaces that provide shared datasets for areas like e.g. health, transport, energy, and finance</w:t>
            </w:r>
            <w:r w:rsidRPr="00D37004">
              <w:rPr>
                <w:rStyle w:val="FootnoteReference"/>
                <w:noProof/>
              </w:rPr>
              <w:footnoteReference w:id="188"/>
            </w:r>
            <w:r w:rsidRPr="00D37004">
              <w:rPr>
                <w:noProof/>
              </w:rPr>
              <w:t>. Access to these resources opens opportunities for new products, services, and partnerships, fostering innovation and growth across the Single Market.</w:t>
            </w:r>
          </w:p>
        </w:tc>
      </w:tr>
    </w:tbl>
    <w:p w14:paraId="4B23C56F" w14:textId="77777777" w:rsidR="00CB39DC" w:rsidRPr="00D37004" w:rsidRDefault="00CB39DC" w:rsidP="00CB39DC">
      <w:pPr>
        <w:spacing w:after="0"/>
        <w:rPr>
          <w:b/>
          <w:noProof/>
          <w:color w:val="000000" w:themeColor="text1"/>
        </w:rPr>
      </w:pPr>
    </w:p>
    <w:tbl>
      <w:tblPr>
        <w:tblStyle w:val="TableGrid"/>
        <w:tblW w:w="0" w:type="auto"/>
        <w:tblLook w:val="04A0" w:firstRow="1" w:lastRow="0" w:firstColumn="1" w:lastColumn="0" w:noHBand="0" w:noVBand="1"/>
      </w:tblPr>
      <w:tblGrid>
        <w:gridCol w:w="8609"/>
        <w:gridCol w:w="10"/>
      </w:tblGrid>
      <w:tr w:rsidR="00CB39DC" w:rsidRPr="00D37004" w14:paraId="38CBC984" w14:textId="77777777" w:rsidTr="0013752C">
        <w:tc>
          <w:tcPr>
            <w:tcW w:w="8619" w:type="dxa"/>
            <w:gridSpan w:val="2"/>
          </w:tcPr>
          <w:p w14:paraId="365A145B" w14:textId="77777777" w:rsidR="00CB39DC" w:rsidRPr="00D37004" w:rsidRDefault="00CB39DC" w:rsidP="00913325">
            <w:pPr>
              <w:pStyle w:val="ListParagraph"/>
              <w:numPr>
                <w:ilvl w:val="0"/>
                <w:numId w:val="6"/>
              </w:numPr>
              <w:ind w:left="714" w:hanging="357"/>
              <w:contextualSpacing w:val="0"/>
              <w:jc w:val="left"/>
              <w:rPr>
                <w:b/>
                <w:smallCaps/>
                <w:noProof/>
                <w:color w:val="000000" w:themeColor="text1"/>
              </w:rPr>
            </w:pPr>
            <w:r w:rsidRPr="00D37004">
              <w:rPr>
                <w:b/>
                <w:smallCaps/>
                <w:noProof/>
                <w:color w:val="000000" w:themeColor="text1"/>
              </w:rPr>
              <w:t>Minimising negative impacts on SMEs</w:t>
            </w:r>
          </w:p>
        </w:tc>
      </w:tr>
      <w:tr w:rsidR="00CB39DC" w:rsidRPr="00D37004" w14:paraId="61B5B769" w14:textId="77777777" w:rsidTr="0013752C">
        <w:tc>
          <w:tcPr>
            <w:tcW w:w="8619" w:type="dxa"/>
            <w:gridSpan w:val="2"/>
          </w:tcPr>
          <w:p w14:paraId="7CFE9A5A" w14:textId="760583D0" w:rsidR="00CB39DC" w:rsidRPr="00FB7D27" w:rsidRDefault="00CB39DC" w:rsidP="004C1DB4">
            <w:pPr>
              <w:rPr>
                <w:b/>
                <w:noProof/>
                <w:color w:val="000000" w:themeColor="text1"/>
              </w:rPr>
            </w:pPr>
            <w:r w:rsidRPr="00D37004">
              <w:rPr>
                <w:b/>
                <w:noProof/>
                <w:color w:val="000000" w:themeColor="text1"/>
              </w:rPr>
              <w:t>Are SMEs disproportionately affected compared to large companies?</w:t>
            </w:r>
            <w:r w:rsidR="00FB7D27">
              <w:rPr>
                <w:b/>
                <w:noProof/>
                <w:color w:val="000000" w:themeColor="text1"/>
              </w:rPr>
              <w:t xml:space="preserve"> </w:t>
            </w:r>
            <w:r w:rsidR="00BD575C">
              <w:rPr>
                <w:noProof/>
                <w:color w:val="000000" w:themeColor="text1"/>
              </w:rPr>
              <w:t xml:space="preserve">No </w:t>
            </w:r>
          </w:p>
          <w:p w14:paraId="4E7460E3" w14:textId="455DF5F4" w:rsidR="00CB39DC" w:rsidRPr="00D37004" w:rsidRDefault="00CB39DC" w:rsidP="004C1DB4">
            <w:pPr>
              <w:rPr>
                <w:b/>
                <w:noProof/>
                <w:color w:val="000000" w:themeColor="text1"/>
              </w:rPr>
            </w:pPr>
            <w:r w:rsidRPr="00D37004">
              <w:rPr>
                <w:b/>
                <w:noProof/>
                <w:color w:val="000000" w:themeColor="text1"/>
              </w:rPr>
              <w:t>If yes, are there any specific subgroups</w:t>
            </w:r>
            <w:r w:rsidRPr="00D37004">
              <w:rPr>
                <w:noProof/>
              </w:rPr>
              <w:t xml:space="preserve"> </w:t>
            </w:r>
            <w:r w:rsidRPr="00D37004">
              <w:rPr>
                <w:b/>
                <w:noProof/>
                <w:color w:val="000000" w:themeColor="text1"/>
              </w:rPr>
              <w:t>of SMEs more exposed than others?</w:t>
            </w:r>
            <w:r w:rsidR="00FB7D27">
              <w:rPr>
                <w:b/>
                <w:noProof/>
                <w:color w:val="000000" w:themeColor="text1"/>
              </w:rPr>
              <w:t xml:space="preserve"> </w:t>
            </w:r>
            <w:r w:rsidR="00FB7D27" w:rsidRPr="00FB7D27">
              <w:rPr>
                <w:bCs/>
                <w:noProof/>
                <w:color w:val="000000" w:themeColor="text1"/>
              </w:rPr>
              <w:t>N/A</w:t>
            </w:r>
          </w:p>
        </w:tc>
      </w:tr>
      <w:tr w:rsidR="00CB39DC" w:rsidRPr="00D37004" w14:paraId="6438A86E" w14:textId="77777777" w:rsidTr="0013752C">
        <w:tc>
          <w:tcPr>
            <w:tcW w:w="8619" w:type="dxa"/>
            <w:gridSpan w:val="2"/>
          </w:tcPr>
          <w:p w14:paraId="0E441079" w14:textId="59F8535A" w:rsidR="00CB39DC" w:rsidRPr="00D37004" w:rsidRDefault="00CB39DC" w:rsidP="004C1DB4">
            <w:pPr>
              <w:rPr>
                <w:b/>
                <w:noProof/>
                <w:color w:val="000000" w:themeColor="text1"/>
              </w:rPr>
            </w:pPr>
            <w:r w:rsidRPr="00D37004">
              <w:rPr>
                <w:b/>
                <w:noProof/>
                <w:color w:val="000000" w:themeColor="text1"/>
              </w:rPr>
              <w:t xml:space="preserve">Have mitigating measures been included in the preferred option/proposal? </w:t>
            </w:r>
            <w:r w:rsidR="00BD575C">
              <w:rPr>
                <w:noProof/>
                <w:color w:val="000000" w:themeColor="text1"/>
              </w:rPr>
              <w:t xml:space="preserve">Yes, </w:t>
            </w:r>
            <w:r w:rsidR="00CF50F7">
              <w:rPr>
                <w:noProof/>
                <w:color w:val="000000" w:themeColor="text1"/>
              </w:rPr>
              <w:t>financial support for SMEs to adopt cloud and AI (PM23)</w:t>
            </w:r>
            <w:r w:rsidRPr="00D37004">
              <w:rPr>
                <w:noProof/>
                <w:color w:val="000000" w:themeColor="text1"/>
              </w:rPr>
              <w:t xml:space="preserve"> </w:t>
            </w:r>
          </w:p>
        </w:tc>
      </w:tr>
      <w:tr w:rsidR="00CB39DC" w:rsidRPr="00D37004" w14:paraId="1DFD7EEB" w14:textId="77777777" w:rsidTr="001F2FC0">
        <w:tblPrEx>
          <w:tblLook w:val="06A0" w:firstRow="1" w:lastRow="0" w:firstColumn="1" w:lastColumn="0" w:noHBand="1" w:noVBand="1"/>
        </w:tblPrEx>
        <w:trPr>
          <w:gridAfter w:val="1"/>
          <w:wAfter w:w="10" w:type="dxa"/>
          <w:trHeight w:val="300"/>
        </w:trPr>
        <w:tc>
          <w:tcPr>
            <w:tcW w:w="8609" w:type="dxa"/>
          </w:tcPr>
          <w:p w14:paraId="13A78DF4" w14:textId="77777777" w:rsidR="00CB39DC" w:rsidRPr="00D37004" w:rsidRDefault="00CB39DC" w:rsidP="004C1DB4">
            <w:pPr>
              <w:rPr>
                <w:b/>
                <w:smallCaps/>
                <w:noProof/>
                <w:color w:val="000000" w:themeColor="text1"/>
              </w:rPr>
            </w:pPr>
            <w:r w:rsidRPr="00D37004">
              <w:rPr>
                <w:b/>
                <w:smallCaps/>
                <w:noProof/>
                <w:color w:val="000000" w:themeColor="text1"/>
              </w:rPr>
              <w:t>Contribution to the 35% burden reduction target for SMEs</w:t>
            </w:r>
          </w:p>
        </w:tc>
      </w:tr>
      <w:tr w:rsidR="00CB39DC" w:rsidRPr="00D37004" w14:paraId="4D36DCCE" w14:textId="77777777" w:rsidTr="001F2FC0">
        <w:tblPrEx>
          <w:tblLook w:val="06A0" w:firstRow="1" w:lastRow="0" w:firstColumn="1" w:lastColumn="0" w:noHBand="1" w:noVBand="1"/>
        </w:tblPrEx>
        <w:trPr>
          <w:gridAfter w:val="1"/>
          <w:wAfter w:w="10" w:type="dxa"/>
          <w:trHeight w:val="300"/>
        </w:trPr>
        <w:tc>
          <w:tcPr>
            <w:tcW w:w="8609" w:type="dxa"/>
          </w:tcPr>
          <w:p w14:paraId="20FAB678" w14:textId="5FB041AF" w:rsidR="00CB39DC" w:rsidRPr="00D37004" w:rsidRDefault="00CB39DC" w:rsidP="00791DD7">
            <w:pPr>
              <w:spacing w:after="120"/>
              <w:rPr>
                <w:b/>
                <w:noProof/>
                <w:color w:val="000000" w:themeColor="text1"/>
              </w:rPr>
            </w:pPr>
            <w:r w:rsidRPr="00D37004">
              <w:rPr>
                <w:b/>
                <w:noProof/>
                <w:color w:val="000000" w:themeColor="text1"/>
              </w:rPr>
              <w:t>Are there any administrative cost savings relevant for the 35% burden reduction target for SMEs?</w:t>
            </w:r>
            <w:r w:rsidR="002E2749">
              <w:rPr>
                <w:b/>
                <w:noProof/>
                <w:color w:val="000000" w:themeColor="text1"/>
              </w:rPr>
              <w:t xml:space="preserve"> </w:t>
            </w:r>
            <w:r w:rsidR="002E2749" w:rsidRPr="002E2749">
              <w:rPr>
                <w:bCs/>
                <w:noProof/>
                <w:color w:val="000000" w:themeColor="text1"/>
              </w:rPr>
              <w:t>SMEs are expected to benefit directly from PM23.</w:t>
            </w:r>
            <w:r w:rsidR="002E2749">
              <w:rPr>
                <w:b/>
                <w:noProof/>
                <w:color w:val="000000" w:themeColor="text1"/>
              </w:rPr>
              <w:t xml:space="preserve"> </w:t>
            </w:r>
          </w:p>
        </w:tc>
      </w:tr>
    </w:tbl>
    <w:p w14:paraId="347E731C" w14:textId="74CD9EC3" w:rsidR="00DB701E" w:rsidRPr="008866D6" w:rsidRDefault="00DB701E" w:rsidP="008866D6">
      <w:pPr>
        <w:spacing w:before="360" w:after="120"/>
        <w:rPr>
          <w:i/>
          <w:noProof/>
          <w:color w:val="000000" w:themeColor="text1"/>
        </w:rPr>
        <w:sectPr w:rsidR="00DB701E" w:rsidRPr="008866D6" w:rsidSect="0099524E">
          <w:headerReference w:type="even" r:id="rId39"/>
          <w:headerReference w:type="default" r:id="rId40"/>
          <w:footerReference w:type="even" r:id="rId41"/>
          <w:footerReference w:type="default" r:id="rId42"/>
          <w:headerReference w:type="first" r:id="rId43"/>
          <w:footerReference w:type="first" r:id="rId44"/>
          <w:pgSz w:w="11906" w:h="16838"/>
          <w:pgMar w:top="1020" w:right="1700" w:bottom="1020" w:left="1587" w:header="601" w:footer="1077" w:gutter="0"/>
          <w:cols w:space="720"/>
          <w:titlePg/>
          <w:docGrid w:linePitch="326"/>
        </w:sectPr>
      </w:pPr>
    </w:p>
    <w:p w14:paraId="4656D148" w14:textId="78744C29" w:rsidR="00D11F85" w:rsidRPr="00D37004" w:rsidRDefault="00D11F85" w:rsidP="00D11F85">
      <w:pPr>
        <w:pStyle w:val="AnnexTitle"/>
        <w:rPr>
          <w:noProof/>
          <w:lang w:val="en-IE"/>
        </w:rPr>
      </w:pPr>
      <w:bookmarkStart w:id="339" w:name="_Toc216283393"/>
      <w:bookmarkStart w:id="340" w:name="_Toc228346952"/>
      <w:r w:rsidRPr="00EE30FB">
        <w:rPr>
          <w:noProof/>
          <w:lang w:val="en-IE"/>
        </w:rPr>
        <w:t xml:space="preserve">Annex 7: </w:t>
      </w:r>
      <w:r w:rsidR="0090638C">
        <w:rPr>
          <w:noProof/>
          <w:lang w:val="en-IE"/>
        </w:rPr>
        <w:t>External coherence with r</w:t>
      </w:r>
      <w:r w:rsidRPr="00EE30FB">
        <w:rPr>
          <w:noProof/>
          <w:lang w:val="en-IE"/>
        </w:rPr>
        <w:t xml:space="preserve">elevant </w:t>
      </w:r>
      <w:r w:rsidR="0090638C">
        <w:rPr>
          <w:noProof/>
          <w:lang w:val="en-IE"/>
        </w:rPr>
        <w:t>eu</w:t>
      </w:r>
      <w:r w:rsidRPr="00EE30FB">
        <w:rPr>
          <w:noProof/>
          <w:lang w:val="en-IE"/>
        </w:rPr>
        <w:t xml:space="preserve"> legislation and policy initiatives</w:t>
      </w:r>
      <w:bookmarkEnd w:id="339"/>
      <w:bookmarkEnd w:id="340"/>
      <w:r w:rsidRPr="00EE30FB">
        <w:rPr>
          <w:noProof/>
          <w:lang w:val="en-IE"/>
        </w:rPr>
        <w:t xml:space="preserve"> </w:t>
      </w:r>
    </w:p>
    <w:p w14:paraId="6EC71EE3" w14:textId="077501A7" w:rsidR="00CA4D73" w:rsidRDefault="00CA4D73" w:rsidP="00E52A4F">
      <w:pPr>
        <w:rPr>
          <w:noProof/>
          <w:lang w:val="en-IE"/>
        </w:rPr>
      </w:pPr>
      <w:r>
        <w:rPr>
          <w:noProof/>
          <w:lang w:val="en-IE"/>
        </w:rPr>
        <w:t xml:space="preserve">For each Policy Option, the table below </w:t>
      </w:r>
      <w:r w:rsidR="004821AE">
        <w:rPr>
          <w:noProof/>
          <w:lang w:val="en-IE"/>
        </w:rPr>
        <w:t xml:space="preserve">analyses its external coherence. </w:t>
      </w:r>
    </w:p>
    <w:tbl>
      <w:tblPr>
        <w:tblStyle w:val="TableGrid"/>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3874"/>
      </w:tblGrid>
      <w:tr w:rsidR="004821AE" w14:paraId="77292F15" w14:textId="77777777" w:rsidTr="00323280">
        <w:trPr>
          <w:trHeight w:val="440"/>
          <w:tblHeader/>
          <w:jc w:val="center"/>
        </w:trPr>
        <w:tc>
          <w:tcPr>
            <w:tcW w:w="722" w:type="dxa"/>
            <w:shd w:val="clear" w:color="auto" w:fill="227ACB"/>
            <w:vAlign w:val="center"/>
          </w:tcPr>
          <w:p w14:paraId="0485F181" w14:textId="77777777" w:rsidR="004821AE" w:rsidRPr="00323280" w:rsidRDefault="004821AE" w:rsidP="00323280">
            <w:pPr>
              <w:spacing w:after="0"/>
              <w:jc w:val="center"/>
              <w:rPr>
                <w:b/>
                <w:noProof/>
                <w:color w:val="FFFFFF"/>
                <w:lang w:val="de-DE"/>
              </w:rPr>
            </w:pPr>
            <w:r w:rsidRPr="00323280">
              <w:rPr>
                <w:b/>
                <w:noProof/>
                <w:color w:val="FFFFFF"/>
                <w:lang w:val="de-DE"/>
              </w:rPr>
              <w:t>PO</w:t>
            </w:r>
          </w:p>
        </w:tc>
        <w:tc>
          <w:tcPr>
            <w:tcW w:w="13874" w:type="dxa"/>
            <w:shd w:val="clear" w:color="auto" w:fill="227ACB"/>
            <w:vAlign w:val="center"/>
          </w:tcPr>
          <w:p w14:paraId="218E9CFC" w14:textId="4B2FF299" w:rsidR="004821AE" w:rsidRPr="00323280" w:rsidRDefault="004821AE" w:rsidP="00323280">
            <w:pPr>
              <w:spacing w:after="0"/>
              <w:jc w:val="center"/>
              <w:rPr>
                <w:b/>
                <w:noProof/>
                <w:color w:val="FFFFFF"/>
                <w:lang w:val="de-DE"/>
              </w:rPr>
            </w:pPr>
            <w:r w:rsidRPr="00323280">
              <w:rPr>
                <w:b/>
                <w:noProof/>
                <w:color w:val="FFFFFF"/>
                <w:lang w:val="de-DE"/>
              </w:rPr>
              <w:t>External coherence</w:t>
            </w:r>
          </w:p>
        </w:tc>
      </w:tr>
      <w:tr w:rsidR="00304B1A" w:rsidRPr="00A34382" w14:paraId="064AEB3D" w14:textId="77777777" w:rsidTr="008334F7">
        <w:trPr>
          <w:cantSplit/>
          <w:trHeight w:val="1134"/>
          <w:jc w:val="center"/>
        </w:trPr>
        <w:tc>
          <w:tcPr>
            <w:tcW w:w="722" w:type="dxa"/>
            <w:shd w:val="clear" w:color="auto" w:fill="DBE5F1" w:themeFill="accent1" w:themeFillTint="33"/>
            <w:textDirection w:val="btLr"/>
            <w:vAlign w:val="center"/>
          </w:tcPr>
          <w:p w14:paraId="02003A09" w14:textId="77777777" w:rsidR="004821AE" w:rsidRPr="00E84C7D" w:rsidRDefault="004821AE">
            <w:pPr>
              <w:ind w:left="113" w:right="113"/>
              <w:jc w:val="center"/>
              <w:rPr>
                <w:b/>
                <w:bCs/>
                <w:noProof/>
                <w:sz w:val="22"/>
                <w:szCs w:val="22"/>
                <w:lang w:val="de-DE"/>
              </w:rPr>
            </w:pPr>
            <w:r w:rsidRPr="00E84C7D">
              <w:rPr>
                <w:b/>
                <w:bCs/>
                <w:noProof/>
                <w:sz w:val="22"/>
                <w:szCs w:val="22"/>
                <w:lang w:val="de-DE"/>
              </w:rPr>
              <w:t>PO1-A</w:t>
            </w:r>
          </w:p>
        </w:tc>
        <w:tc>
          <w:tcPr>
            <w:tcW w:w="13874" w:type="dxa"/>
          </w:tcPr>
          <w:p w14:paraId="5DBF130E" w14:textId="77777777" w:rsidR="004821AE" w:rsidRPr="0013013E" w:rsidRDefault="004821AE">
            <w:pPr>
              <w:rPr>
                <w:noProof/>
                <w:sz w:val="22"/>
                <w:szCs w:val="22"/>
              </w:rPr>
            </w:pPr>
            <w:r w:rsidRPr="0013013E">
              <w:rPr>
                <w:noProof/>
                <w:sz w:val="22"/>
                <w:szCs w:val="22"/>
              </w:rPr>
              <w:t xml:space="preserve">PM1 complements the existing Alliance for Industrial Data, Edge and Cloud. PM2 creates a permanent forum that currently does not exist. PM3 complements existing best practices that focus on operating energy-efficient data centres with guidelines on deployment. </w:t>
            </w:r>
          </w:p>
        </w:tc>
      </w:tr>
      <w:tr w:rsidR="00304B1A" w:rsidRPr="00A34382" w14:paraId="62890081" w14:textId="77777777" w:rsidTr="008334F7">
        <w:trPr>
          <w:cantSplit/>
          <w:trHeight w:val="1134"/>
          <w:jc w:val="center"/>
        </w:trPr>
        <w:tc>
          <w:tcPr>
            <w:tcW w:w="722" w:type="dxa"/>
            <w:shd w:val="clear" w:color="auto" w:fill="DBE5F1" w:themeFill="accent1" w:themeFillTint="33"/>
            <w:textDirection w:val="btLr"/>
            <w:vAlign w:val="center"/>
          </w:tcPr>
          <w:p w14:paraId="032F43E7" w14:textId="77777777" w:rsidR="004821AE" w:rsidRPr="00E84C7D" w:rsidRDefault="004821AE">
            <w:pPr>
              <w:ind w:left="113" w:right="113"/>
              <w:jc w:val="center"/>
              <w:rPr>
                <w:b/>
                <w:bCs/>
                <w:noProof/>
                <w:sz w:val="22"/>
                <w:szCs w:val="22"/>
                <w:lang w:val="de-DE"/>
              </w:rPr>
            </w:pPr>
            <w:r w:rsidRPr="00E84C7D">
              <w:rPr>
                <w:b/>
                <w:bCs/>
                <w:noProof/>
                <w:sz w:val="22"/>
                <w:szCs w:val="22"/>
                <w:lang w:val="de-DE"/>
              </w:rPr>
              <w:t>PO1-B</w:t>
            </w:r>
          </w:p>
        </w:tc>
        <w:tc>
          <w:tcPr>
            <w:tcW w:w="13874" w:type="dxa"/>
          </w:tcPr>
          <w:p w14:paraId="474CA5FF" w14:textId="00C5AAB6" w:rsidR="004821AE" w:rsidRPr="0013013E" w:rsidRDefault="004821AE">
            <w:pPr>
              <w:rPr>
                <w:noProof/>
                <w:sz w:val="22"/>
                <w:szCs w:val="22"/>
              </w:rPr>
            </w:pPr>
            <w:r w:rsidRPr="0013013E">
              <w:rPr>
                <w:noProof/>
                <w:sz w:val="22"/>
                <w:szCs w:val="22"/>
              </w:rPr>
              <w:t xml:space="preserve">PM4 complements the upcoming Regulation on accelerating and streamlining environmental assessments, which focuses on administrative simplification for environmental assessments, by adding a </w:t>
            </w:r>
            <w:r w:rsidR="00E375B2">
              <w:rPr>
                <w:noProof/>
                <w:sz w:val="22"/>
                <w:szCs w:val="22"/>
              </w:rPr>
              <w:t>facilitator</w:t>
            </w:r>
            <w:r w:rsidRPr="0013013E">
              <w:rPr>
                <w:noProof/>
                <w:sz w:val="22"/>
                <w:szCs w:val="22"/>
              </w:rPr>
              <w:t xml:space="preserve"> to accompany all permitting stages (incl. beyond environmental assessments) for a given data centre project. </w:t>
            </w:r>
            <w:r w:rsidRPr="004821AE">
              <w:rPr>
                <w:noProof/>
                <w:sz w:val="22"/>
                <w:szCs w:val="22"/>
              </w:rPr>
              <w:t>PM5 complements envisaged provisions for industrial acceleration, notably in the upcoming Industrial Accelerator Act, where areas and measures for industrial acceleration focus on manufacturing industries and do not account for the specific needs (e.g. connectivity) and benefits (e.g. their ability to provide flexibility services to the grid) of data centres</w:t>
            </w:r>
            <w:r w:rsidR="00EA4212">
              <w:rPr>
                <w:noProof/>
                <w:sz w:val="22"/>
                <w:szCs w:val="22"/>
              </w:rPr>
              <w:t>,</w:t>
            </w:r>
            <w:r w:rsidRPr="004821AE">
              <w:rPr>
                <w:noProof/>
                <w:sz w:val="22"/>
                <w:szCs w:val="22"/>
              </w:rPr>
              <w:t xml:space="preserve"> which are a services industry</w:t>
            </w:r>
            <w:r w:rsidR="00EA4212">
              <w:rPr>
                <w:noProof/>
                <w:sz w:val="22"/>
                <w:szCs w:val="22"/>
              </w:rPr>
              <w:t xml:space="preserve"> and thus not in scope of the Industrial Accelerator Act</w:t>
            </w:r>
            <w:r w:rsidRPr="0013013E">
              <w:rPr>
                <w:noProof/>
                <w:sz w:val="22"/>
                <w:szCs w:val="22"/>
              </w:rPr>
              <w:t xml:space="preserve">. PM6 steers national funding towards the deployment of innovative and sustainable data centres, while PM7 complements and ultimately leverages the existing Digital Decade monitoring cycle.  The scale of the compute capacity gap and its impact on EU competitiveness require such dedicated support measures for data centre deployment, which cannot be achieved by horizontal initiatives that omit the specific needs of data centres. </w:t>
            </w:r>
          </w:p>
        </w:tc>
      </w:tr>
      <w:tr w:rsidR="00304B1A" w:rsidRPr="00E66A68" w14:paraId="4F207CC8" w14:textId="77777777" w:rsidTr="008334F7">
        <w:trPr>
          <w:cantSplit/>
          <w:trHeight w:val="1134"/>
          <w:jc w:val="center"/>
        </w:trPr>
        <w:tc>
          <w:tcPr>
            <w:tcW w:w="722" w:type="dxa"/>
            <w:shd w:val="clear" w:color="auto" w:fill="DBE5F1" w:themeFill="accent1" w:themeFillTint="33"/>
            <w:textDirection w:val="btLr"/>
            <w:vAlign w:val="center"/>
          </w:tcPr>
          <w:p w14:paraId="3CE52FAD" w14:textId="77777777" w:rsidR="004821AE" w:rsidRPr="00E84C7D" w:rsidRDefault="004821AE">
            <w:pPr>
              <w:ind w:left="113" w:right="113"/>
              <w:jc w:val="center"/>
              <w:rPr>
                <w:b/>
                <w:bCs/>
                <w:noProof/>
                <w:sz w:val="22"/>
                <w:szCs w:val="22"/>
                <w:lang w:val="de-DE"/>
              </w:rPr>
            </w:pPr>
            <w:r w:rsidRPr="00E84C7D">
              <w:rPr>
                <w:b/>
                <w:bCs/>
                <w:noProof/>
                <w:sz w:val="22"/>
                <w:szCs w:val="22"/>
                <w:lang w:val="de-DE"/>
              </w:rPr>
              <w:t>PO1-C</w:t>
            </w:r>
          </w:p>
        </w:tc>
        <w:tc>
          <w:tcPr>
            <w:tcW w:w="13874" w:type="dxa"/>
          </w:tcPr>
          <w:p w14:paraId="3F62DF62" w14:textId="353F3839" w:rsidR="004821AE" w:rsidRPr="0013013E" w:rsidRDefault="004821AE">
            <w:pPr>
              <w:rPr>
                <w:noProof/>
                <w:sz w:val="22"/>
                <w:szCs w:val="22"/>
              </w:rPr>
            </w:pPr>
            <w:r w:rsidRPr="0013013E">
              <w:rPr>
                <w:noProof/>
                <w:sz w:val="22"/>
                <w:szCs w:val="22"/>
              </w:rPr>
              <w:t xml:space="preserve">PM8 complements existing framework programmes, which do not sufficiently cover data centre innovation and deployment. </w:t>
            </w:r>
            <w:r w:rsidRPr="004F4E75">
              <w:rPr>
                <w:noProof/>
                <w:sz w:val="22"/>
                <w:szCs w:val="22"/>
              </w:rPr>
              <w:t xml:space="preserve">PM9 </w:t>
            </w:r>
            <w:r w:rsidR="004F4E75" w:rsidRPr="004F4E75">
              <w:rPr>
                <w:noProof/>
                <w:sz w:val="22"/>
                <w:szCs w:val="22"/>
              </w:rPr>
              <w:t>creates the possibility, without prejudice to the outcome of the negotiations on the next MFF proposal, for strategic data centre deployment projects to be supported by Union programmes, funds and financial instruments, in accordance with the objectives set out in the regulations establishing those funds and programmes.</w:t>
            </w:r>
            <w:r w:rsidRPr="004F4E75">
              <w:rPr>
                <w:noProof/>
                <w:sz w:val="22"/>
                <w:szCs w:val="22"/>
              </w:rPr>
              <w:t xml:space="preserve"> PM10 is an EU-level version of PM5. </w:t>
            </w:r>
          </w:p>
        </w:tc>
      </w:tr>
      <w:tr w:rsidR="00304B1A" w:rsidRPr="00E66A68" w14:paraId="2B5DC76E" w14:textId="77777777" w:rsidTr="008334F7">
        <w:trPr>
          <w:cantSplit/>
          <w:trHeight w:val="1134"/>
          <w:jc w:val="center"/>
        </w:trPr>
        <w:tc>
          <w:tcPr>
            <w:tcW w:w="722" w:type="dxa"/>
            <w:shd w:val="clear" w:color="auto" w:fill="DBE5F1" w:themeFill="accent1" w:themeFillTint="33"/>
            <w:textDirection w:val="btLr"/>
            <w:vAlign w:val="center"/>
          </w:tcPr>
          <w:p w14:paraId="2C5FD7C1" w14:textId="77777777" w:rsidR="004821AE" w:rsidRPr="00E84C7D" w:rsidRDefault="004821AE">
            <w:pPr>
              <w:ind w:left="113" w:right="113"/>
              <w:jc w:val="center"/>
              <w:rPr>
                <w:b/>
                <w:bCs/>
                <w:noProof/>
                <w:sz w:val="22"/>
                <w:szCs w:val="22"/>
                <w:lang w:val="de-DE"/>
              </w:rPr>
            </w:pPr>
            <w:r w:rsidRPr="00E84C7D">
              <w:rPr>
                <w:b/>
                <w:bCs/>
                <w:noProof/>
                <w:sz w:val="22"/>
                <w:szCs w:val="22"/>
                <w:lang w:val="de-DE"/>
              </w:rPr>
              <w:t>PO1-A, B, C</w:t>
            </w:r>
          </w:p>
        </w:tc>
        <w:tc>
          <w:tcPr>
            <w:tcW w:w="13874" w:type="dxa"/>
          </w:tcPr>
          <w:p w14:paraId="73E4CB72" w14:textId="5B7B0628" w:rsidR="004821AE" w:rsidRPr="0013013E" w:rsidRDefault="004821AE">
            <w:pPr>
              <w:rPr>
                <w:noProof/>
                <w:sz w:val="22"/>
                <w:szCs w:val="22"/>
              </w:rPr>
            </w:pPr>
            <w:r w:rsidRPr="0013013E">
              <w:rPr>
                <w:noProof/>
                <w:sz w:val="22"/>
                <w:szCs w:val="22"/>
              </w:rPr>
              <w:t xml:space="preserve">PO1 </w:t>
            </w:r>
            <w:r w:rsidR="00FB6C7F">
              <w:rPr>
                <w:noProof/>
                <w:sz w:val="22"/>
                <w:szCs w:val="22"/>
              </w:rPr>
              <w:t>B and C</w:t>
            </w:r>
            <w:r w:rsidRPr="0013013E">
              <w:rPr>
                <w:noProof/>
                <w:sz w:val="22"/>
                <w:szCs w:val="22"/>
              </w:rPr>
              <w:t xml:space="preserve"> would leverage the future rating scheme for data centres under the Energy Efficiency Directive as a way of identifying particularly sustainable data centres. Moreover, they would build on other initiatives which address data centre input factors, such as the future Grids Package (energy) or the future Digital Networks Act (connectivity). </w:t>
            </w:r>
          </w:p>
        </w:tc>
      </w:tr>
      <w:tr w:rsidR="00304B1A" w:rsidRPr="00C15CE3" w14:paraId="4D2718E4" w14:textId="77777777" w:rsidTr="008334F7">
        <w:trPr>
          <w:cantSplit/>
          <w:trHeight w:val="1134"/>
          <w:jc w:val="center"/>
        </w:trPr>
        <w:tc>
          <w:tcPr>
            <w:tcW w:w="722" w:type="dxa"/>
            <w:shd w:val="clear" w:color="auto" w:fill="DBE5F1" w:themeFill="accent1" w:themeFillTint="33"/>
            <w:textDirection w:val="btLr"/>
            <w:vAlign w:val="center"/>
          </w:tcPr>
          <w:p w14:paraId="47B899E8" w14:textId="77777777" w:rsidR="004821AE" w:rsidRPr="00E84C7D" w:rsidRDefault="004821AE">
            <w:pPr>
              <w:ind w:left="113" w:right="113"/>
              <w:jc w:val="center"/>
              <w:rPr>
                <w:b/>
                <w:bCs/>
                <w:noProof/>
                <w:sz w:val="22"/>
                <w:szCs w:val="22"/>
                <w:lang w:val="de-DE"/>
              </w:rPr>
            </w:pPr>
            <w:r w:rsidRPr="00E84C7D">
              <w:rPr>
                <w:b/>
                <w:bCs/>
                <w:noProof/>
                <w:sz w:val="22"/>
                <w:szCs w:val="22"/>
                <w:lang w:val="de-DE"/>
              </w:rPr>
              <w:t>PO2-A</w:t>
            </w:r>
          </w:p>
        </w:tc>
        <w:tc>
          <w:tcPr>
            <w:tcW w:w="13874" w:type="dxa"/>
          </w:tcPr>
          <w:p w14:paraId="0FF5360C" w14:textId="1DF6E803" w:rsidR="004821AE" w:rsidRPr="0013013E" w:rsidRDefault="004821AE">
            <w:pPr>
              <w:rPr>
                <w:noProof/>
                <w:sz w:val="22"/>
                <w:szCs w:val="22"/>
              </w:rPr>
            </w:pPr>
            <w:r w:rsidRPr="0013013E">
              <w:rPr>
                <w:noProof/>
                <w:sz w:val="22"/>
                <w:szCs w:val="22"/>
              </w:rPr>
              <w:t>PM11 would provide the first-ever definition of a sovereign cloud and AI computing service, going beyond technical cybersecurity and thus complementing the Cybersecurity Act</w:t>
            </w:r>
            <w:r w:rsidR="006058AE">
              <w:rPr>
                <w:noProof/>
                <w:sz w:val="22"/>
                <w:szCs w:val="22"/>
              </w:rPr>
              <w:t xml:space="preserve"> (CSA)</w:t>
            </w:r>
            <w:r w:rsidRPr="0013013E">
              <w:rPr>
                <w:noProof/>
                <w:sz w:val="22"/>
                <w:szCs w:val="22"/>
              </w:rPr>
              <w:t xml:space="preserve">. PM12 adds guidelines for providers and PM13 is a new way of enhancing visibility of sovereign offerings. PM14 is designed to complement the Data Act’s provisions on interoperability standards by enacting flanking measures that ensure the usability of the tools created by the Data Act, notably by advancing standardisation work. </w:t>
            </w:r>
          </w:p>
        </w:tc>
      </w:tr>
      <w:tr w:rsidR="00304B1A" w:rsidRPr="00C15CE3" w14:paraId="2CF55379" w14:textId="77777777" w:rsidTr="008334F7">
        <w:trPr>
          <w:cantSplit/>
          <w:trHeight w:val="1134"/>
          <w:jc w:val="center"/>
        </w:trPr>
        <w:tc>
          <w:tcPr>
            <w:tcW w:w="722" w:type="dxa"/>
            <w:shd w:val="clear" w:color="auto" w:fill="DBE5F1" w:themeFill="accent1" w:themeFillTint="33"/>
            <w:textDirection w:val="btLr"/>
            <w:vAlign w:val="center"/>
          </w:tcPr>
          <w:p w14:paraId="6FF2B4F2" w14:textId="77777777" w:rsidR="004821AE" w:rsidRPr="00E84C7D" w:rsidRDefault="004821AE">
            <w:pPr>
              <w:ind w:left="113" w:right="113"/>
              <w:jc w:val="center"/>
              <w:rPr>
                <w:b/>
                <w:bCs/>
                <w:noProof/>
                <w:sz w:val="22"/>
                <w:szCs w:val="22"/>
                <w:lang w:val="de-DE"/>
              </w:rPr>
            </w:pPr>
            <w:r w:rsidRPr="00E84C7D">
              <w:rPr>
                <w:b/>
                <w:bCs/>
                <w:noProof/>
                <w:sz w:val="22"/>
                <w:szCs w:val="22"/>
                <w:lang w:val="de-DE"/>
              </w:rPr>
              <w:t>PO2-B</w:t>
            </w:r>
          </w:p>
        </w:tc>
        <w:tc>
          <w:tcPr>
            <w:tcW w:w="13874" w:type="dxa"/>
          </w:tcPr>
          <w:p w14:paraId="4D14AB1D" w14:textId="7BDF1461" w:rsidR="004821AE" w:rsidRPr="0013013E" w:rsidRDefault="004821AE">
            <w:pPr>
              <w:rPr>
                <w:noProof/>
                <w:sz w:val="22"/>
                <w:szCs w:val="22"/>
              </w:rPr>
            </w:pPr>
            <w:r w:rsidRPr="0013013E">
              <w:rPr>
                <w:noProof/>
                <w:sz w:val="22"/>
                <w:szCs w:val="22"/>
              </w:rPr>
              <w:t xml:space="preserve">PM15 complements the cloud cybersecurity certification under the </w:t>
            </w:r>
            <w:r w:rsidR="006058AE">
              <w:rPr>
                <w:noProof/>
                <w:sz w:val="22"/>
                <w:szCs w:val="22"/>
              </w:rPr>
              <w:t>CSA</w:t>
            </w:r>
            <w:r w:rsidRPr="0013013E">
              <w:rPr>
                <w:noProof/>
                <w:sz w:val="22"/>
                <w:szCs w:val="22"/>
              </w:rPr>
              <w:t xml:space="preserve"> and uses it as a way of assessing whether a service is sufficiently cybersecure. However, the focus of the </w:t>
            </w:r>
            <w:r w:rsidR="009F4479">
              <w:rPr>
                <w:noProof/>
                <w:sz w:val="22"/>
                <w:szCs w:val="22"/>
              </w:rPr>
              <w:t>sovereignty</w:t>
            </w:r>
            <w:r w:rsidRPr="0013013E">
              <w:rPr>
                <w:noProof/>
                <w:sz w:val="22"/>
                <w:szCs w:val="22"/>
              </w:rPr>
              <w:t xml:space="preserve"> scheme is fundamentally different as it covers sovereignty in a way that is not addressed by any other initiative, including the AI Act, which is a product safety legislation. PM16 complements the horizontal procurement acquis with the necessary sectoral approach that accounts for the nuances of purchasing cloud services, i.e. services with a global value chain, and empowers public purchasers to reward specific service characteristics which the horizontal acquis cannot provide for. By focusing on cloud and AI computing services, it is clearly delineated from the AI Act, which sets safety requirements for AI systems and general-purpose AI models. PM17 creates the tools for joint procurement, so far non-existent in this sector. The same is true for PM18 </w:t>
            </w:r>
            <w:r w:rsidR="006B46EF">
              <w:rPr>
                <w:noProof/>
                <w:sz w:val="22"/>
                <w:szCs w:val="22"/>
              </w:rPr>
              <w:t>which is an</w:t>
            </w:r>
            <w:r w:rsidRPr="0013013E">
              <w:rPr>
                <w:noProof/>
                <w:sz w:val="22"/>
                <w:szCs w:val="22"/>
              </w:rPr>
              <w:t xml:space="preserve"> entirely new addition</w:t>
            </w:r>
            <w:r w:rsidR="006B46EF">
              <w:rPr>
                <w:noProof/>
                <w:sz w:val="22"/>
                <w:szCs w:val="22"/>
              </w:rPr>
              <w:t xml:space="preserve"> </w:t>
            </w:r>
            <w:r w:rsidRPr="0013013E">
              <w:rPr>
                <w:noProof/>
                <w:sz w:val="22"/>
                <w:szCs w:val="22"/>
              </w:rPr>
              <w:t xml:space="preserve">to the EU’s policy toolbox. </w:t>
            </w:r>
          </w:p>
        </w:tc>
      </w:tr>
      <w:tr w:rsidR="00304B1A" w:rsidRPr="00ED025B" w14:paraId="4D039827" w14:textId="77777777" w:rsidTr="008334F7">
        <w:trPr>
          <w:cantSplit/>
          <w:trHeight w:val="1134"/>
          <w:jc w:val="center"/>
        </w:trPr>
        <w:tc>
          <w:tcPr>
            <w:tcW w:w="722" w:type="dxa"/>
            <w:shd w:val="clear" w:color="auto" w:fill="DBE5F1" w:themeFill="accent1" w:themeFillTint="33"/>
            <w:textDirection w:val="btLr"/>
            <w:vAlign w:val="center"/>
          </w:tcPr>
          <w:p w14:paraId="5A901DED" w14:textId="77777777" w:rsidR="004821AE" w:rsidRPr="00E84C7D" w:rsidRDefault="004821AE">
            <w:pPr>
              <w:ind w:left="113" w:right="113"/>
              <w:jc w:val="center"/>
              <w:rPr>
                <w:b/>
                <w:bCs/>
                <w:noProof/>
                <w:sz w:val="22"/>
                <w:szCs w:val="22"/>
                <w:lang w:val="de-DE"/>
              </w:rPr>
            </w:pPr>
            <w:r w:rsidRPr="00E84C7D">
              <w:rPr>
                <w:b/>
                <w:bCs/>
                <w:noProof/>
                <w:sz w:val="22"/>
                <w:szCs w:val="22"/>
                <w:lang w:val="de-DE"/>
              </w:rPr>
              <w:t>PO2-C</w:t>
            </w:r>
          </w:p>
        </w:tc>
        <w:tc>
          <w:tcPr>
            <w:tcW w:w="13874" w:type="dxa"/>
          </w:tcPr>
          <w:p w14:paraId="65D8E62F" w14:textId="16816F11" w:rsidR="004821AE" w:rsidRPr="0013013E" w:rsidRDefault="004821AE">
            <w:pPr>
              <w:rPr>
                <w:noProof/>
                <w:sz w:val="22"/>
                <w:szCs w:val="22"/>
              </w:rPr>
            </w:pPr>
            <w:r w:rsidRPr="0013013E">
              <w:rPr>
                <w:noProof/>
                <w:sz w:val="22"/>
                <w:szCs w:val="22"/>
              </w:rPr>
              <w:t xml:space="preserve">PM20 is a new policy tool, </w:t>
            </w:r>
            <w:r w:rsidR="00C420DF">
              <w:rPr>
                <w:noProof/>
                <w:sz w:val="22"/>
                <w:szCs w:val="22"/>
              </w:rPr>
              <w:t xml:space="preserve">with no </w:t>
            </w:r>
            <w:r w:rsidR="00D3596A">
              <w:rPr>
                <w:noProof/>
                <w:sz w:val="22"/>
                <w:szCs w:val="22"/>
              </w:rPr>
              <w:t>legal</w:t>
            </w:r>
            <w:r w:rsidRPr="0013013E">
              <w:rPr>
                <w:noProof/>
                <w:sz w:val="22"/>
                <w:szCs w:val="22"/>
              </w:rPr>
              <w:t xml:space="preserve"> precedent. PM21 makes the use of the </w:t>
            </w:r>
            <w:r w:rsidR="009F4479">
              <w:rPr>
                <w:noProof/>
                <w:sz w:val="22"/>
                <w:szCs w:val="22"/>
              </w:rPr>
              <w:t>sovereignty</w:t>
            </w:r>
            <w:r w:rsidRPr="0013013E">
              <w:rPr>
                <w:noProof/>
                <w:sz w:val="22"/>
                <w:szCs w:val="22"/>
              </w:rPr>
              <w:t xml:space="preserve"> </w:t>
            </w:r>
            <w:r w:rsidR="00623F6E">
              <w:rPr>
                <w:noProof/>
                <w:sz w:val="22"/>
                <w:szCs w:val="22"/>
              </w:rPr>
              <w:t>risk assessment</w:t>
            </w:r>
            <w:r w:rsidRPr="0013013E">
              <w:rPr>
                <w:noProof/>
                <w:sz w:val="22"/>
                <w:szCs w:val="22"/>
              </w:rPr>
              <w:t xml:space="preserve"> under PM15 mandatory, leveraging the NIS2 Directive to identify sectors of high criticality. </w:t>
            </w:r>
            <w:r w:rsidR="006058AE">
              <w:rPr>
                <w:noProof/>
                <w:sz w:val="22"/>
                <w:szCs w:val="22"/>
              </w:rPr>
              <w:t xml:space="preserve">Beyond giving a framework for cybersecurity certification, the CSA deals </w:t>
            </w:r>
            <w:r w:rsidR="00F429E6">
              <w:rPr>
                <w:noProof/>
                <w:sz w:val="22"/>
                <w:szCs w:val="22"/>
              </w:rPr>
              <w:t>with</w:t>
            </w:r>
            <w:r w:rsidR="008F5A7E">
              <w:rPr>
                <w:noProof/>
                <w:sz w:val="22"/>
                <w:szCs w:val="22"/>
              </w:rPr>
              <w:t xml:space="preserve"> supply chain risks with a specific focus on high-risk </w:t>
            </w:r>
            <w:r w:rsidR="00694072">
              <w:rPr>
                <w:noProof/>
                <w:sz w:val="22"/>
                <w:szCs w:val="22"/>
              </w:rPr>
              <w:t>vendors</w:t>
            </w:r>
            <w:r w:rsidR="008F5A7E">
              <w:rPr>
                <w:noProof/>
                <w:sz w:val="22"/>
                <w:szCs w:val="22"/>
              </w:rPr>
              <w:t xml:space="preserve">. However, it does not </w:t>
            </w:r>
            <w:r w:rsidR="00F429E6">
              <w:rPr>
                <w:noProof/>
                <w:sz w:val="22"/>
                <w:szCs w:val="22"/>
              </w:rPr>
              <w:t>address public procurement.</w:t>
            </w:r>
            <w:r w:rsidRPr="0013013E">
              <w:rPr>
                <w:noProof/>
                <w:sz w:val="22"/>
                <w:szCs w:val="22"/>
              </w:rPr>
              <w:t xml:space="preserve"> </w:t>
            </w:r>
            <w:r w:rsidR="00F429E6">
              <w:rPr>
                <w:noProof/>
                <w:sz w:val="22"/>
                <w:szCs w:val="22"/>
              </w:rPr>
              <w:t xml:space="preserve">PM21 complements the CSA in that respect. </w:t>
            </w:r>
            <w:r w:rsidR="00090669">
              <w:rPr>
                <w:noProof/>
                <w:sz w:val="22"/>
                <w:szCs w:val="22"/>
              </w:rPr>
              <w:t>This is enhanced by PM19, which</w:t>
            </w:r>
            <w:r w:rsidRPr="0013013E">
              <w:rPr>
                <w:noProof/>
                <w:sz w:val="22"/>
                <w:szCs w:val="22"/>
              </w:rPr>
              <w:t xml:space="preserve"> mandates the use of specific award criteria for all public procurements</w:t>
            </w:r>
            <w:r w:rsidR="00067319">
              <w:rPr>
                <w:noProof/>
                <w:sz w:val="22"/>
                <w:szCs w:val="22"/>
              </w:rPr>
              <w:t xml:space="preserve"> of cloud and AI computing services</w:t>
            </w:r>
            <w:r w:rsidRPr="0013013E">
              <w:rPr>
                <w:noProof/>
                <w:sz w:val="22"/>
                <w:szCs w:val="22"/>
              </w:rPr>
              <w:t xml:space="preserve">, thus complementing the Procurement Directives. PM22 leverages the tools of PM17 and establishes the first-ever EU framework for joint procurement in this sector. PM23 leverages and complements the European Competitiveness Fund, while PM24 presents an entirely new policy tool. </w:t>
            </w:r>
          </w:p>
        </w:tc>
      </w:tr>
      <w:tr w:rsidR="00304B1A" w:rsidRPr="00ED025B" w14:paraId="03E36422" w14:textId="77777777" w:rsidTr="008334F7">
        <w:trPr>
          <w:cantSplit/>
          <w:trHeight w:val="1134"/>
          <w:jc w:val="center"/>
        </w:trPr>
        <w:tc>
          <w:tcPr>
            <w:tcW w:w="722" w:type="dxa"/>
            <w:shd w:val="clear" w:color="auto" w:fill="DBE5F1" w:themeFill="accent1" w:themeFillTint="33"/>
            <w:textDirection w:val="btLr"/>
            <w:vAlign w:val="center"/>
          </w:tcPr>
          <w:p w14:paraId="1DF0EC68" w14:textId="77777777" w:rsidR="004821AE" w:rsidRPr="00E84C7D" w:rsidRDefault="004821AE">
            <w:pPr>
              <w:ind w:left="113" w:right="113"/>
              <w:jc w:val="center"/>
              <w:rPr>
                <w:b/>
                <w:bCs/>
                <w:noProof/>
                <w:sz w:val="22"/>
                <w:szCs w:val="22"/>
                <w:lang w:val="de-DE"/>
              </w:rPr>
            </w:pPr>
            <w:r w:rsidRPr="00E84C7D">
              <w:rPr>
                <w:b/>
                <w:bCs/>
                <w:noProof/>
                <w:sz w:val="22"/>
                <w:szCs w:val="22"/>
                <w:lang w:val="de-DE"/>
              </w:rPr>
              <w:t>PO2-A,B,C</w:t>
            </w:r>
          </w:p>
        </w:tc>
        <w:tc>
          <w:tcPr>
            <w:tcW w:w="13874" w:type="dxa"/>
          </w:tcPr>
          <w:p w14:paraId="3EAA1C43" w14:textId="77777777" w:rsidR="004821AE" w:rsidRPr="0013013E" w:rsidRDefault="004821AE">
            <w:pPr>
              <w:rPr>
                <w:noProof/>
                <w:sz w:val="22"/>
                <w:szCs w:val="22"/>
              </w:rPr>
            </w:pPr>
            <w:r w:rsidRPr="0013013E">
              <w:rPr>
                <w:noProof/>
                <w:sz w:val="22"/>
                <w:szCs w:val="22"/>
              </w:rPr>
              <w:t xml:space="preserve">All PMs under PO2 would build on the Data Act’s provisions on the right to switch and use different cloud services in parallel, which is a prerequisite for users to diversify or change the cloud services they use. </w:t>
            </w:r>
          </w:p>
          <w:p w14:paraId="1F0AFEF3" w14:textId="77777777" w:rsidR="004821AE" w:rsidRPr="0013013E" w:rsidRDefault="004821AE">
            <w:pPr>
              <w:rPr>
                <w:noProof/>
                <w:sz w:val="22"/>
                <w:szCs w:val="22"/>
              </w:rPr>
            </w:pPr>
          </w:p>
        </w:tc>
      </w:tr>
    </w:tbl>
    <w:p w14:paraId="0C6B1EB6" w14:textId="77777777" w:rsidR="004821AE" w:rsidRDefault="004821AE" w:rsidP="00E52A4F">
      <w:pPr>
        <w:rPr>
          <w:noProof/>
          <w:lang w:val="en-IE"/>
        </w:rPr>
      </w:pPr>
    </w:p>
    <w:p w14:paraId="0AEB29F3" w14:textId="2C33F381" w:rsidR="00E52A4F" w:rsidRDefault="00E52A4F" w:rsidP="00E52A4F">
      <w:pPr>
        <w:rPr>
          <w:noProof/>
        </w:rPr>
      </w:pPr>
      <w:r w:rsidRPr="00A14AA6">
        <w:rPr>
          <w:noProof/>
        </w:rPr>
        <w:t>Several existing</w:t>
      </w:r>
      <w:r>
        <w:rPr>
          <w:noProof/>
        </w:rPr>
        <w:t xml:space="preserve"> and planned</w:t>
      </w:r>
      <w:r w:rsidRPr="00A14AA6">
        <w:rPr>
          <w:noProof/>
        </w:rPr>
        <w:t xml:space="preserve"> pieces of legislation and </w:t>
      </w:r>
      <w:r>
        <w:rPr>
          <w:noProof/>
        </w:rPr>
        <w:t xml:space="preserve">policy </w:t>
      </w:r>
      <w:r w:rsidRPr="00A14AA6">
        <w:rPr>
          <w:noProof/>
        </w:rPr>
        <w:t xml:space="preserve">initiatives relate to the </w:t>
      </w:r>
      <w:r w:rsidRPr="00B05194">
        <w:rPr>
          <w:b/>
          <w:bCs/>
          <w:noProof/>
        </w:rPr>
        <w:t>specific objectives</w:t>
      </w:r>
      <w:r>
        <w:rPr>
          <w:noProof/>
        </w:rPr>
        <w:t xml:space="preserve"> pursued under this initiative</w:t>
      </w:r>
      <w:r w:rsidRPr="00A14AA6">
        <w:rPr>
          <w:noProof/>
        </w:rPr>
        <w:t xml:space="preserve">. However, each of </w:t>
      </w:r>
      <w:r>
        <w:rPr>
          <w:noProof/>
        </w:rPr>
        <w:t>them</w:t>
      </w:r>
      <w:r w:rsidRPr="00A14AA6">
        <w:rPr>
          <w:noProof/>
        </w:rPr>
        <w:t xml:space="preserve"> shows </w:t>
      </w:r>
      <w:r w:rsidRPr="00B05194">
        <w:rPr>
          <w:b/>
          <w:bCs/>
          <w:noProof/>
        </w:rPr>
        <w:t>gaps with respect to reaching these objectives</w:t>
      </w:r>
      <w:r>
        <w:rPr>
          <w:noProof/>
        </w:rPr>
        <w:t>, which this initiative would fill</w:t>
      </w:r>
      <w:r w:rsidRPr="00A14AA6">
        <w:rPr>
          <w:noProof/>
        </w:rPr>
        <w:t>. The table below illustrates this in detail</w:t>
      </w:r>
      <w:r>
        <w:rPr>
          <w:noProof/>
        </w:rPr>
        <w:t xml:space="preserve"> and elaborates on the relationship of these other pieces of legislation or policy initiatives with the future </w:t>
      </w:r>
      <w:r w:rsidR="002B7598">
        <w:rPr>
          <w:noProof/>
        </w:rPr>
        <w:t xml:space="preserve">Cloud </w:t>
      </w:r>
      <w:r>
        <w:rPr>
          <w:noProof/>
        </w:rPr>
        <w:t>and AI Development Act</w:t>
      </w:r>
      <w:r w:rsidRPr="00A14AA6">
        <w:rPr>
          <w:noProof/>
        </w:rPr>
        <w:t>.</w:t>
      </w:r>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5589"/>
        <w:gridCol w:w="7730"/>
      </w:tblGrid>
      <w:tr w:rsidR="008D320B" w14:paraId="719DA085" w14:textId="77777777" w:rsidTr="35E623D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shd w:val="clear" w:color="auto" w:fill="227ACB"/>
          </w:tcPr>
          <w:p w14:paraId="7AB50872" w14:textId="77777777" w:rsidR="00E52A4F" w:rsidRPr="00746394" w:rsidRDefault="00E52A4F">
            <w:pPr>
              <w:rPr>
                <w:noProof/>
                <w:color w:val="FFFFFF"/>
              </w:rPr>
            </w:pPr>
            <w:r w:rsidRPr="00746394">
              <w:rPr>
                <w:noProof/>
                <w:color w:val="FFFFFF"/>
              </w:rPr>
              <w:t>Specific objective</w:t>
            </w:r>
          </w:p>
        </w:tc>
        <w:tc>
          <w:tcPr>
            <w:tcW w:w="0" w:type="dxa"/>
            <w:shd w:val="clear" w:color="auto" w:fill="227ACB"/>
          </w:tcPr>
          <w:p w14:paraId="0E11EDF6" w14:textId="77777777" w:rsidR="00E52A4F" w:rsidRPr="00746394" w:rsidRDefault="00E52A4F">
            <w:pPr>
              <w:cnfStyle w:val="100000000000" w:firstRow="1" w:lastRow="0" w:firstColumn="0" w:lastColumn="0" w:oddVBand="0" w:evenVBand="0" w:oddHBand="0" w:evenHBand="0" w:firstRowFirstColumn="0" w:firstRowLastColumn="0" w:lastRowFirstColumn="0" w:lastRowLastColumn="0"/>
              <w:rPr>
                <w:noProof/>
                <w:color w:val="FFFFFF"/>
              </w:rPr>
            </w:pPr>
            <w:r w:rsidRPr="00746394">
              <w:rPr>
                <w:noProof/>
                <w:color w:val="FFFFFF"/>
              </w:rPr>
              <w:t>Legislation or policy initiative</w:t>
            </w:r>
          </w:p>
        </w:tc>
        <w:tc>
          <w:tcPr>
            <w:tcW w:w="0" w:type="dxa"/>
            <w:shd w:val="clear" w:color="auto" w:fill="227ACB"/>
          </w:tcPr>
          <w:p w14:paraId="60E2A33F" w14:textId="6C5A796F" w:rsidR="00E52A4F" w:rsidRPr="00746394" w:rsidRDefault="00E52A4F" w:rsidP="00681AA1">
            <w:pPr>
              <w:cnfStyle w:val="100000000000" w:firstRow="1" w:lastRow="0" w:firstColumn="0" w:lastColumn="0" w:oddVBand="0" w:evenVBand="0" w:oddHBand="0" w:evenHBand="0" w:firstRowFirstColumn="0" w:firstRowLastColumn="0" w:lastRowFirstColumn="0" w:lastRowLastColumn="0"/>
              <w:rPr>
                <w:noProof/>
                <w:color w:val="FFFFFF"/>
              </w:rPr>
            </w:pPr>
            <w:r w:rsidRPr="00746394">
              <w:rPr>
                <w:noProof/>
                <w:color w:val="FFFFFF"/>
              </w:rPr>
              <w:t xml:space="preserve">Gap with regards to specific objective / relationship with the </w:t>
            </w:r>
            <w:r w:rsidR="0001203E">
              <w:rPr>
                <w:noProof/>
                <w:color w:val="FFFFFF"/>
              </w:rPr>
              <w:t>cloud</w:t>
            </w:r>
            <w:r w:rsidRPr="00746394">
              <w:rPr>
                <w:noProof/>
                <w:color w:val="FFFFFF"/>
              </w:rPr>
              <w:t xml:space="preserve"> and AI Development Act (“this initiative”)  </w:t>
            </w:r>
          </w:p>
        </w:tc>
      </w:tr>
      <w:tr w:rsidR="00105F66" w14:paraId="5D5760F3"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right w:val="single" w:sz="4" w:space="0" w:color="auto"/>
            </w:tcBorders>
            <w:shd w:val="clear" w:color="auto" w:fill="DBE5F1" w:themeFill="accent1" w:themeFillTint="33"/>
          </w:tcPr>
          <w:p w14:paraId="4723F917" w14:textId="6B0E7938" w:rsidR="00E52A4F" w:rsidRPr="00884EA3" w:rsidRDefault="00E52A4F">
            <w:pPr>
              <w:rPr>
                <w:noProof/>
              </w:rPr>
            </w:pPr>
            <w:r w:rsidRPr="00884EA3">
              <w:rPr>
                <w:b w:val="0"/>
                <w:bCs w:val="0"/>
                <w:noProof/>
              </w:rPr>
              <w:t xml:space="preserve">SO1 - </w:t>
            </w:r>
            <w:r w:rsidRPr="00884EA3">
              <w:rPr>
                <w:b w:val="0"/>
                <w:bCs w:val="0"/>
                <w:noProof/>
                <w:lang w:val="en-IE"/>
              </w:rPr>
              <w:t xml:space="preserve">Increase computing capacity </w:t>
            </w:r>
            <w:r w:rsidR="00D63B70" w:rsidRPr="00D63B70">
              <w:rPr>
                <w:b w:val="0"/>
                <w:bCs w:val="0"/>
                <w:noProof/>
                <w:lang w:val="en-IE"/>
              </w:rPr>
              <w:t xml:space="preserve">deployed </w:t>
            </w:r>
            <w:r w:rsidRPr="00884EA3">
              <w:rPr>
                <w:b w:val="0"/>
                <w:bCs w:val="0"/>
                <w:noProof/>
                <w:lang w:val="en-IE"/>
              </w:rPr>
              <w:t>in the EU through innovative and sustainable technologies</w:t>
            </w:r>
          </w:p>
        </w:tc>
        <w:tc>
          <w:tcPr>
            <w:tcW w:w="0" w:type="dxa"/>
            <w:tcBorders>
              <w:top w:val="single" w:sz="4" w:space="0" w:color="auto"/>
              <w:left w:val="single" w:sz="4" w:space="0" w:color="auto"/>
              <w:bottom w:val="single" w:sz="4" w:space="0" w:color="auto"/>
              <w:right w:val="single" w:sz="4" w:space="0" w:color="auto"/>
            </w:tcBorders>
          </w:tcPr>
          <w:p w14:paraId="4A17BB0D" w14:textId="7A7B0593" w:rsidR="00E52A4F" w:rsidRDefault="00E52A4F">
            <w:pPr>
              <w:cnfStyle w:val="000000100000" w:firstRow="0" w:lastRow="0" w:firstColumn="0" w:lastColumn="0" w:oddVBand="0" w:evenVBand="0" w:oddHBand="1" w:evenHBand="0" w:firstRowFirstColumn="0" w:firstRowLastColumn="0" w:lastRowFirstColumn="0" w:lastRowLastColumn="0"/>
              <w:rPr>
                <w:noProof/>
              </w:rPr>
            </w:pPr>
            <w:r w:rsidRPr="00A14AA6">
              <w:rPr>
                <w:rFonts w:eastAsia="Calibri"/>
                <w:noProof/>
              </w:rPr>
              <w:t xml:space="preserve">The </w:t>
            </w:r>
            <w:r w:rsidRPr="00A14AA6">
              <w:rPr>
                <w:rFonts w:eastAsia="Calibri"/>
                <w:b/>
                <w:noProof/>
              </w:rPr>
              <w:t>Horizon Europe programme</w:t>
            </w:r>
            <w:r w:rsidRPr="00A14AA6">
              <w:rPr>
                <w:rFonts w:eastAsia="Calibri"/>
                <w:noProof/>
              </w:rPr>
              <w:t xml:space="preserve"> provides funding for research and innovation in the EU, including in digital technologies.</w:t>
            </w:r>
            <w:r>
              <w:rPr>
                <w:rFonts w:eastAsia="Calibri"/>
                <w:noProof/>
              </w:rPr>
              <w:t xml:space="preserve"> Cluster 4 (Digital, Industry and Space) covers enabling technologies like cloud as well as advanced computing.</w:t>
            </w:r>
          </w:p>
        </w:tc>
        <w:tc>
          <w:tcPr>
            <w:tcW w:w="0" w:type="dxa"/>
            <w:tcBorders>
              <w:top w:val="single" w:sz="4" w:space="0" w:color="auto"/>
              <w:left w:val="single" w:sz="4" w:space="0" w:color="auto"/>
              <w:bottom w:val="single" w:sz="4" w:space="0" w:color="auto"/>
              <w:right w:val="single" w:sz="4" w:space="0" w:color="auto"/>
            </w:tcBorders>
          </w:tcPr>
          <w:p w14:paraId="0B6FB772" w14:textId="77777777"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Pr>
                <w:noProof/>
              </w:rPr>
              <w:t>Horizon Europe</w:t>
            </w:r>
            <w:r w:rsidRPr="00A14AA6">
              <w:rPr>
                <w:noProof/>
              </w:rPr>
              <w:t xml:space="preserve"> lack</w:t>
            </w:r>
            <w:r>
              <w:rPr>
                <w:noProof/>
              </w:rPr>
              <w:t>s</w:t>
            </w:r>
            <w:r w:rsidRPr="00A14AA6">
              <w:rPr>
                <w:noProof/>
              </w:rPr>
              <w:t xml:space="preserve"> scale to </w:t>
            </w:r>
            <w:r>
              <w:rPr>
                <w:noProof/>
              </w:rPr>
              <w:t>meaningfully advance innovation in computing capacity</w:t>
            </w:r>
            <w:r w:rsidRPr="00A14AA6">
              <w:rPr>
                <w:noProof/>
              </w:rPr>
              <w:t>. Between 2021 and 2027, the total budget of Horizon Europe amounted to EUR 95.5 bn. Estimat</w:t>
            </w:r>
            <w:r>
              <w:rPr>
                <w:noProof/>
              </w:rPr>
              <w:t>e</w:t>
            </w:r>
            <w:r w:rsidRPr="00A14AA6">
              <w:rPr>
                <w:noProof/>
              </w:rPr>
              <w:t>s indicate that in 2023 only, the part of AWS’</w:t>
            </w:r>
            <w:r>
              <w:rPr>
                <w:noProof/>
              </w:rPr>
              <w:t>s</w:t>
            </w:r>
            <w:r w:rsidRPr="00A14AA6">
              <w:rPr>
                <w:noProof/>
              </w:rPr>
              <w:t xml:space="preserve"> R&amp;D spending on cloud computing alone </w:t>
            </w:r>
            <w:r>
              <w:rPr>
                <w:noProof/>
              </w:rPr>
              <w:t>was</w:t>
            </w:r>
            <w:r w:rsidRPr="00A14AA6">
              <w:rPr>
                <w:noProof/>
              </w:rPr>
              <w:t xml:space="preserve"> </w:t>
            </w:r>
            <w:r>
              <w:rPr>
                <w:noProof/>
              </w:rPr>
              <w:t>ca.</w:t>
            </w:r>
            <w:r w:rsidRPr="00A14AA6">
              <w:rPr>
                <w:noProof/>
              </w:rPr>
              <w:t xml:space="preserve"> EUR 18 bn</w:t>
            </w:r>
            <w:r w:rsidRPr="00A14AA6">
              <w:rPr>
                <w:noProof/>
                <w:vertAlign w:val="superscript"/>
              </w:rPr>
              <w:footnoteReference w:id="189"/>
            </w:r>
            <w:r>
              <w:rPr>
                <w:noProof/>
              </w:rPr>
              <w:t>.</w:t>
            </w:r>
            <w:r w:rsidRPr="00A14AA6">
              <w:rPr>
                <w:noProof/>
              </w:rPr>
              <w:t xml:space="preserve"> </w:t>
            </w:r>
            <w:r>
              <w:rPr>
                <w:noProof/>
              </w:rPr>
              <w:t xml:space="preserve">This initiative aims to ensure that innovation in computing capacity becomes a stand-alone objective. </w:t>
            </w:r>
          </w:p>
          <w:p w14:paraId="57DD3C19" w14:textId="77777777"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Pr>
                <w:noProof/>
              </w:rPr>
              <w:t>EU Framework Programmes also</w:t>
            </w:r>
            <w:r w:rsidRPr="00A14AA6">
              <w:rPr>
                <w:noProof/>
              </w:rPr>
              <w:t xml:space="preserve"> suffer from a gap between R&amp;D and commercialisation.</w:t>
            </w:r>
            <w:r>
              <w:rPr>
                <w:noProof/>
              </w:rPr>
              <w:t xml:space="preserve"> </w:t>
            </w:r>
            <w:r w:rsidRPr="00A14AA6">
              <w:rPr>
                <w:noProof/>
              </w:rPr>
              <w:t>For example, the SUNFISH project</w:t>
            </w:r>
            <w:r w:rsidRPr="00A14AA6">
              <w:rPr>
                <w:noProof/>
                <w:vertAlign w:val="superscript"/>
              </w:rPr>
              <w:footnoteReference w:id="190"/>
            </w:r>
            <w:r w:rsidRPr="00A14AA6">
              <w:rPr>
                <w:noProof/>
              </w:rPr>
              <w:t xml:space="preserve"> devoted 4.5 m of Horizon 2020 budget to developing a solution for secure information sharing in federated heterogenous private clouds. However, no European cloud provider was able to capitalise on the project outcomes, which were not widely taken up</w:t>
            </w:r>
            <w:r>
              <w:rPr>
                <w:noProof/>
              </w:rPr>
              <w:t>. This initiative aims to tackle not just the development but also the uptake of innovative technologies through dedicated deployment measures and incentives for the deployment of innovative data centres.</w:t>
            </w:r>
          </w:p>
        </w:tc>
      </w:tr>
      <w:tr w:rsidR="00E52A4F" w14:paraId="527C10D0"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7C2F2A42"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387519F7" w14:textId="77777777" w:rsidR="00E52A4F" w:rsidRPr="00A14AA6" w:rsidRDefault="00E52A4F">
            <w:pPr>
              <w:cnfStyle w:val="000000000000" w:firstRow="0" w:lastRow="0" w:firstColumn="0" w:lastColumn="0" w:oddVBand="0" w:evenVBand="0" w:oddHBand="0" w:evenHBand="0" w:firstRowFirstColumn="0" w:firstRowLastColumn="0" w:lastRowFirstColumn="0" w:lastRowLastColumn="0"/>
              <w:rPr>
                <w:rFonts w:eastAsia="Calibri"/>
                <w:noProof/>
              </w:rPr>
            </w:pPr>
            <w:r w:rsidRPr="00664DF7">
              <w:rPr>
                <w:rFonts w:eastAsia="Calibri"/>
                <w:noProof/>
              </w:rPr>
              <w:t xml:space="preserve">The </w:t>
            </w:r>
            <w:r w:rsidRPr="00664DF7">
              <w:rPr>
                <w:rFonts w:eastAsia="Calibri"/>
                <w:b/>
                <w:noProof/>
              </w:rPr>
              <w:t>IPCEI for Next Generation Cloud Infrastructure and Services</w:t>
            </w:r>
            <w:r w:rsidRPr="00664DF7">
              <w:rPr>
                <w:rFonts w:eastAsia="Calibri"/>
                <w:noProof/>
              </w:rPr>
              <w:t xml:space="preserve"> </w:t>
            </w:r>
            <w:r>
              <w:rPr>
                <w:rFonts w:eastAsia="Calibri"/>
                <w:noProof/>
              </w:rPr>
              <w:t>involves</w:t>
            </w:r>
            <w:r w:rsidRPr="00664DF7">
              <w:rPr>
                <w:rFonts w:eastAsia="Calibri"/>
                <w:noProof/>
              </w:rPr>
              <w:t xml:space="preserve"> 19 companies from seven Member States: France, Germany, Hungary, Italy, the Netherlands, Poland, and Spain.</w:t>
            </w:r>
            <w:r>
              <w:rPr>
                <w:rFonts w:eastAsia="Calibri"/>
                <w:noProof/>
              </w:rPr>
              <w:t xml:space="preserve"> These seven Member States provide up to EUR 1.2 bn in public funding to developing</w:t>
            </w:r>
            <w:r w:rsidRPr="00664DF7">
              <w:rPr>
                <w:rFonts w:eastAsia="Calibri"/>
                <w:noProof/>
              </w:rPr>
              <w:t xml:space="preserve"> data processing capabilities, and software and data sharing tools that enable federated, energy-efficient and trustworthy cloud and edge distributed data processing technologies and related services</w:t>
            </w:r>
            <w:r>
              <w:rPr>
                <w:rFonts w:eastAsia="Calibri"/>
                <w:noProof/>
              </w:rPr>
              <w:t>.</w:t>
            </w:r>
          </w:p>
        </w:tc>
        <w:tc>
          <w:tcPr>
            <w:tcW w:w="0" w:type="dxa"/>
            <w:tcBorders>
              <w:top w:val="single" w:sz="4" w:space="0" w:color="auto"/>
              <w:left w:val="single" w:sz="4" w:space="0" w:color="auto"/>
              <w:bottom w:val="single" w:sz="4" w:space="0" w:color="auto"/>
              <w:right w:val="single" w:sz="4" w:space="0" w:color="auto"/>
            </w:tcBorders>
          </w:tcPr>
          <w:p w14:paraId="7F71F976" w14:textId="77777777" w:rsidR="00E52A4F"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 xml:space="preserve">The focus of this IPCEI is on research, development and innovation. Beyond that, it only covers the first industrial deployment of innovative solutions (particularly in edge computing). Most notably, the IPCEI focuses on beyond-the-state-of-the-art solutions. Consequently, the IPCEI does not target capacity deployment in a way that would contribute to closing the current compute capacity gap. Moreover, compared with innovation efforts by leading international cloud providers, the funds available to European companies under this IPCEI are much lower. However, the research and development efforts supported under this initiative will build on and integrate achievements under the IPCEI. Moreover, deployment incentives will positively affect the broader deployment of solutions developed under the IPCEI. </w:t>
            </w:r>
          </w:p>
        </w:tc>
      </w:tr>
      <w:tr w:rsidR="00E52A4F" w14:paraId="049729B6"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tcPr>
          <w:p w14:paraId="7C9DD998"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4EB19AD9" w14:textId="77777777" w:rsidR="00E52A4F" w:rsidRPr="00664DF7" w:rsidRDefault="00E52A4F">
            <w:pPr>
              <w:cnfStyle w:val="000000100000" w:firstRow="0" w:lastRow="0" w:firstColumn="0" w:lastColumn="0" w:oddVBand="0" w:evenVBand="0" w:oddHBand="1" w:evenHBand="0" w:firstRowFirstColumn="0" w:firstRowLastColumn="0" w:lastRowFirstColumn="0" w:lastRowLastColumn="0"/>
              <w:rPr>
                <w:rFonts w:eastAsia="Calibri"/>
                <w:noProof/>
              </w:rPr>
            </w:pPr>
            <w:r>
              <w:rPr>
                <w:rFonts w:eastAsia="Calibri"/>
                <w:noProof/>
              </w:rPr>
              <w:t xml:space="preserve">The </w:t>
            </w:r>
            <w:r w:rsidRPr="005F643A">
              <w:rPr>
                <w:rFonts w:eastAsia="Calibri"/>
                <w:b/>
                <w:bCs/>
                <w:noProof/>
              </w:rPr>
              <w:t>AI Factories</w:t>
            </w:r>
            <w:r>
              <w:rPr>
                <w:rFonts w:eastAsia="Calibri"/>
                <w:noProof/>
              </w:rPr>
              <w:t xml:space="preserve"> and future </w:t>
            </w:r>
            <w:r w:rsidRPr="005F643A">
              <w:rPr>
                <w:rFonts w:eastAsia="Calibri"/>
                <w:b/>
                <w:bCs/>
                <w:noProof/>
              </w:rPr>
              <w:t>AI Gigafactories</w:t>
            </w:r>
            <w:r>
              <w:rPr>
                <w:rFonts w:eastAsia="Calibri"/>
                <w:noProof/>
              </w:rPr>
              <w:t xml:space="preserve"> already/will provide high performance computing capacity to developers and deployers of AI models. The initiatives leverage the EuroHPC Joint Undertaking. </w:t>
            </w:r>
          </w:p>
        </w:tc>
        <w:tc>
          <w:tcPr>
            <w:tcW w:w="0" w:type="dxa"/>
            <w:tcBorders>
              <w:top w:val="single" w:sz="4" w:space="0" w:color="auto"/>
              <w:left w:val="single" w:sz="4" w:space="0" w:color="auto"/>
              <w:bottom w:val="single" w:sz="4" w:space="0" w:color="auto"/>
              <w:right w:val="single" w:sz="4" w:space="0" w:color="auto"/>
            </w:tcBorders>
          </w:tcPr>
          <w:p w14:paraId="0E8E4FC6" w14:textId="0F2AB929"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sidRPr="00EA43E8">
              <w:rPr>
                <w:noProof/>
              </w:rPr>
              <w:t xml:space="preserve">These initiatives mainly serve to drive advancements in AI applications across different sectors, going beyond the capabilities of general-purpose and AI-optimised data centres. </w:t>
            </w:r>
            <w:r>
              <w:rPr>
                <w:noProof/>
              </w:rPr>
              <w:t xml:space="preserve">They focus on large concentrations of computing power needed for the training of AI models. </w:t>
            </w:r>
            <w:r w:rsidRPr="00EA43E8">
              <w:rPr>
                <w:noProof/>
              </w:rPr>
              <w:t xml:space="preserve">They do not address the deployment of more decentralised </w:t>
            </w:r>
            <w:r>
              <w:rPr>
                <w:noProof/>
              </w:rPr>
              <w:t xml:space="preserve">computing capacity in data centres, necessary for the large-scale </w:t>
            </w:r>
            <w:r w:rsidR="00470534">
              <w:rPr>
                <w:noProof/>
              </w:rPr>
              <w:t xml:space="preserve">uptake </w:t>
            </w:r>
            <w:r>
              <w:rPr>
                <w:noProof/>
              </w:rPr>
              <w:t>of AI throughout the EU and for enabling lower latency</w:t>
            </w:r>
            <w:r w:rsidRPr="00EA43E8">
              <w:rPr>
                <w:noProof/>
              </w:rPr>
              <w:t>.</w:t>
            </w:r>
            <w:r>
              <w:rPr>
                <w:noProof/>
              </w:rPr>
              <w:t xml:space="preserve"> The deployment of AI Factories and Gigafactories may benefit from measures under this initiative, such as identified areas for accelerated deployment. </w:t>
            </w:r>
          </w:p>
        </w:tc>
      </w:tr>
      <w:tr w:rsidR="00E52A4F" w14:paraId="7677D15C"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3627E93C"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342B6C87" w14:textId="77777777" w:rsidR="00E52A4F" w:rsidRDefault="00E52A4F">
            <w:pPr>
              <w:cnfStyle w:val="000000000000" w:firstRow="0" w:lastRow="0" w:firstColumn="0" w:lastColumn="0" w:oddVBand="0" w:evenVBand="0" w:oddHBand="0" w:evenHBand="0" w:firstRowFirstColumn="0" w:firstRowLastColumn="0" w:lastRowFirstColumn="0" w:lastRowLastColumn="0"/>
              <w:rPr>
                <w:rFonts w:eastAsia="Calibri"/>
                <w:noProof/>
              </w:rPr>
            </w:pPr>
            <w:r w:rsidRPr="005F643A">
              <w:rPr>
                <w:rFonts w:eastAsia="Calibri"/>
                <w:noProof/>
              </w:rPr>
              <w:t xml:space="preserve">The </w:t>
            </w:r>
            <w:r w:rsidRPr="005F643A">
              <w:rPr>
                <w:rFonts w:eastAsia="Calibri"/>
                <w:b/>
                <w:bCs/>
                <w:noProof/>
              </w:rPr>
              <w:t>Energy Efficiency Directive</w:t>
            </w:r>
            <w:r w:rsidRPr="005F643A">
              <w:rPr>
                <w:rFonts w:eastAsia="Calibri"/>
                <w:noProof/>
              </w:rPr>
              <w:t xml:space="preserve"> </w:t>
            </w:r>
            <w:r>
              <w:rPr>
                <w:rFonts w:eastAsia="Calibri"/>
                <w:noProof/>
              </w:rPr>
              <w:t>contains measures</w:t>
            </w:r>
            <w:r w:rsidRPr="005F643A">
              <w:rPr>
                <w:rFonts w:eastAsia="Calibri"/>
                <w:noProof/>
              </w:rPr>
              <w:t xml:space="preserve"> on improving the energy performance of data centres. </w:t>
            </w:r>
            <w:r>
              <w:rPr>
                <w:rFonts w:eastAsia="Calibri"/>
                <w:noProof/>
              </w:rPr>
              <w:t>It</w:t>
            </w:r>
            <w:r w:rsidRPr="005F643A">
              <w:rPr>
                <w:rFonts w:eastAsia="Calibri"/>
                <w:noProof/>
              </w:rPr>
              <w:t xml:space="preserve"> encourages waste heat re-use and requires data centres above 500 kW to report annually on their energy usage and on other sustainability metrics. Th</w:t>
            </w:r>
            <w:r>
              <w:rPr>
                <w:rFonts w:eastAsia="Calibri"/>
                <w:noProof/>
              </w:rPr>
              <w:t>is reporting</w:t>
            </w:r>
            <w:r w:rsidRPr="005F643A">
              <w:rPr>
                <w:rFonts w:eastAsia="Calibri"/>
                <w:noProof/>
              </w:rPr>
              <w:t xml:space="preserve"> will form the basis for a</w:t>
            </w:r>
            <w:r>
              <w:rPr>
                <w:rFonts w:eastAsia="Calibri"/>
                <w:noProof/>
              </w:rPr>
              <w:t xml:space="preserve"> </w:t>
            </w:r>
            <w:r w:rsidRPr="00203B8B">
              <w:rPr>
                <w:rFonts w:eastAsia="Calibri"/>
                <w:b/>
                <w:bCs/>
                <w:noProof/>
              </w:rPr>
              <w:t>future rating scheme</w:t>
            </w:r>
            <w:r w:rsidRPr="005F643A">
              <w:rPr>
                <w:rFonts w:eastAsia="Calibri"/>
                <w:noProof/>
              </w:rPr>
              <w:t xml:space="preserve">, which will be enacted as part of the upcoming Data Centre Package. This will also kick off the work on a separate proposal for data centre minimum performance standards, building on the sustainability metrics established under the Energy Efficiency Directive.  </w:t>
            </w:r>
          </w:p>
        </w:tc>
        <w:tc>
          <w:tcPr>
            <w:tcW w:w="0" w:type="dxa"/>
            <w:tcBorders>
              <w:top w:val="single" w:sz="4" w:space="0" w:color="auto"/>
              <w:left w:val="single" w:sz="4" w:space="0" w:color="auto"/>
              <w:bottom w:val="single" w:sz="4" w:space="0" w:color="auto"/>
              <w:right w:val="single" w:sz="4" w:space="0" w:color="auto"/>
            </w:tcBorders>
          </w:tcPr>
          <w:p w14:paraId="00EF46B2" w14:textId="47FEDEB3" w:rsidR="00E52A4F" w:rsidRPr="00EA43E8" w:rsidRDefault="00E52A4F" w:rsidP="00681AA1">
            <w:pPr>
              <w:cnfStyle w:val="000000000000" w:firstRow="0" w:lastRow="0" w:firstColumn="0" w:lastColumn="0" w:oddVBand="0" w:evenVBand="0" w:oddHBand="0" w:evenHBand="0" w:firstRowFirstColumn="0" w:firstRowLastColumn="0" w:lastRowFirstColumn="0" w:lastRowLastColumn="0"/>
              <w:rPr>
                <w:noProof/>
              </w:rPr>
            </w:pPr>
            <w:r w:rsidRPr="005F643A">
              <w:rPr>
                <w:noProof/>
              </w:rPr>
              <w:t xml:space="preserve">The Energy Efficiency Directive is the key piece of legislation for guiding the data centre industry towards greater energy efficiency through measures such as reporting and the future rating scheme. However, beyond </w:t>
            </w:r>
            <w:r>
              <w:rPr>
                <w:noProof/>
              </w:rPr>
              <w:t xml:space="preserve">transparency measures and </w:t>
            </w:r>
            <w:r w:rsidRPr="005F643A">
              <w:rPr>
                <w:noProof/>
              </w:rPr>
              <w:t>reputational considerations, the Directive does not set incentives for data centre operators to improve their sustainability performance and does not contain measures for accelerating the roll-out of sustainable data centres across the EU or increasing related investment</w:t>
            </w:r>
            <w:r w:rsidR="00E84C4C">
              <w:rPr>
                <w:noProof/>
              </w:rPr>
              <w:t xml:space="preserve"> (although the possible establishment of minimum performance standards</w:t>
            </w:r>
            <w:r w:rsidR="007C212F">
              <w:rPr>
                <w:noProof/>
              </w:rPr>
              <w:t xml:space="preserve">, stemming from the Directive, could set the </w:t>
            </w:r>
            <w:r w:rsidR="00E24128">
              <w:rPr>
                <w:noProof/>
              </w:rPr>
              <w:t>minimum specifications of sustainability for future data centres in Europe</w:t>
            </w:r>
            <w:r w:rsidR="00E84C4C">
              <w:rPr>
                <w:noProof/>
              </w:rPr>
              <w:t>)</w:t>
            </w:r>
            <w:r w:rsidRPr="005F643A">
              <w:rPr>
                <w:noProof/>
              </w:rPr>
              <w:t>.</w:t>
            </w:r>
            <w:r>
              <w:rPr>
                <w:noProof/>
              </w:rPr>
              <w:t xml:space="preserve"> The initiative will contain measures to incentivise the roll-out of energy-efficient data centres. To identify which data centres are sustainable, this initiative will </w:t>
            </w:r>
            <w:r w:rsidR="003542D5">
              <w:rPr>
                <w:noProof/>
              </w:rPr>
              <w:t xml:space="preserve">refer to </w:t>
            </w:r>
            <w:r>
              <w:rPr>
                <w:noProof/>
              </w:rPr>
              <w:t xml:space="preserve">the rating scheme developed under the Energy Efficiency Directive. </w:t>
            </w:r>
          </w:p>
        </w:tc>
      </w:tr>
      <w:tr w:rsidR="00E52A4F" w14:paraId="243D3FE1"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tcPr>
          <w:p w14:paraId="6DA7A730"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53C5D00D" w14:textId="77777777" w:rsidR="00E52A4F" w:rsidRPr="005F643A" w:rsidRDefault="00E52A4F">
            <w:pPr>
              <w:cnfStyle w:val="000000100000" w:firstRow="0" w:lastRow="0" w:firstColumn="0" w:lastColumn="0" w:oddVBand="0" w:evenVBand="0" w:oddHBand="1" w:evenHBand="0" w:firstRowFirstColumn="0" w:firstRowLastColumn="0" w:lastRowFirstColumn="0" w:lastRowLastColumn="0"/>
              <w:rPr>
                <w:rFonts w:eastAsia="Calibri"/>
                <w:noProof/>
              </w:rPr>
            </w:pPr>
            <w:r>
              <w:rPr>
                <w:rFonts w:eastAsia="Calibri"/>
                <w:noProof/>
              </w:rPr>
              <w:t xml:space="preserve">The Regulation laying down </w:t>
            </w:r>
            <w:r w:rsidRPr="0047582E">
              <w:rPr>
                <w:rFonts w:eastAsia="Calibri"/>
                <w:b/>
                <w:bCs/>
                <w:noProof/>
              </w:rPr>
              <w:t>ecodesign requirements for servers and data storage products</w:t>
            </w:r>
            <w:r>
              <w:rPr>
                <w:rFonts w:eastAsia="Calibri"/>
                <w:b/>
                <w:bCs/>
                <w:noProof/>
              </w:rPr>
              <w:t xml:space="preserve"> </w:t>
            </w:r>
            <w:r>
              <w:rPr>
                <w:rFonts w:eastAsia="Calibri"/>
                <w:noProof/>
              </w:rPr>
              <w:t xml:space="preserve">sets requirements for sustainable products. </w:t>
            </w:r>
          </w:p>
        </w:tc>
        <w:tc>
          <w:tcPr>
            <w:tcW w:w="0" w:type="dxa"/>
            <w:tcBorders>
              <w:top w:val="single" w:sz="4" w:space="0" w:color="auto"/>
              <w:left w:val="single" w:sz="4" w:space="0" w:color="auto"/>
              <w:bottom w:val="single" w:sz="4" w:space="0" w:color="auto"/>
              <w:right w:val="single" w:sz="4" w:space="0" w:color="auto"/>
            </w:tcBorders>
          </w:tcPr>
          <w:p w14:paraId="66CB670D" w14:textId="77777777" w:rsidR="00E52A4F" w:rsidRPr="005F643A" w:rsidRDefault="00E52A4F" w:rsidP="00681AA1">
            <w:pPr>
              <w:cnfStyle w:val="000000100000" w:firstRow="0" w:lastRow="0" w:firstColumn="0" w:lastColumn="0" w:oddVBand="0" w:evenVBand="0" w:oddHBand="1" w:evenHBand="0" w:firstRowFirstColumn="0" w:firstRowLastColumn="0" w:lastRowFirstColumn="0" w:lastRowLastColumn="0"/>
              <w:rPr>
                <w:noProof/>
              </w:rPr>
            </w:pPr>
            <w:r w:rsidRPr="0047582E">
              <w:rPr>
                <w:noProof/>
              </w:rPr>
              <w:t>Data centre hardware is subject to minimum performance and information rules</w:t>
            </w:r>
            <w:r>
              <w:rPr>
                <w:noProof/>
              </w:rPr>
              <w:t xml:space="preserve">; however, the Regulation does not contain measures to directly incentivise the deployment of innovative and sustainable technologies. </w:t>
            </w:r>
          </w:p>
        </w:tc>
      </w:tr>
      <w:tr w:rsidR="00E52A4F" w14:paraId="7166FD37"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5CC872A1"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10E266CE" w14:textId="77777777" w:rsidR="00E52A4F" w:rsidRDefault="00E52A4F">
            <w:pPr>
              <w:cnfStyle w:val="000000000000" w:firstRow="0" w:lastRow="0" w:firstColumn="0" w:lastColumn="0" w:oddVBand="0" w:evenVBand="0" w:oddHBand="0" w:evenHBand="0" w:firstRowFirstColumn="0" w:firstRowLastColumn="0" w:lastRowFirstColumn="0" w:lastRowLastColumn="0"/>
              <w:rPr>
                <w:rFonts w:eastAsia="Calibri"/>
                <w:noProof/>
              </w:rPr>
            </w:pPr>
            <w:r>
              <w:rPr>
                <w:rFonts w:eastAsia="Calibri"/>
                <w:noProof/>
              </w:rPr>
              <w:t xml:space="preserve">The </w:t>
            </w:r>
            <w:r w:rsidRPr="00355AE4">
              <w:rPr>
                <w:rFonts w:eastAsia="Calibri"/>
                <w:b/>
                <w:bCs/>
                <w:noProof/>
              </w:rPr>
              <w:t>Digital Decade Policy Programme</w:t>
            </w:r>
            <w:r>
              <w:rPr>
                <w:rFonts w:eastAsia="Calibri"/>
                <w:noProof/>
              </w:rPr>
              <w:t xml:space="preserve"> (DDPP) </w:t>
            </w:r>
            <w:r w:rsidRPr="00355AE4">
              <w:rPr>
                <w:rFonts w:eastAsia="Calibri"/>
                <w:noProof/>
              </w:rPr>
              <w:t>sets the target of 75% of EU businesses adopting cloud services and of 10.000 edge nodes being rolled out by 2030</w:t>
            </w:r>
            <w:r>
              <w:rPr>
                <w:rFonts w:eastAsia="Calibri"/>
                <w:noProof/>
              </w:rPr>
              <w:t xml:space="preserve"> and measures progress in all Member States and at EU level.  </w:t>
            </w:r>
          </w:p>
        </w:tc>
        <w:tc>
          <w:tcPr>
            <w:tcW w:w="0" w:type="dxa"/>
            <w:tcBorders>
              <w:top w:val="single" w:sz="4" w:space="0" w:color="auto"/>
              <w:left w:val="single" w:sz="4" w:space="0" w:color="auto"/>
              <w:bottom w:val="single" w:sz="4" w:space="0" w:color="auto"/>
              <w:right w:val="single" w:sz="4" w:space="0" w:color="auto"/>
            </w:tcBorders>
          </w:tcPr>
          <w:p w14:paraId="588E97EB" w14:textId="77777777" w:rsidR="00E52A4F" w:rsidRPr="0047582E"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 xml:space="preserve">Beyond the edge node target, the DDPP does not contain targets for the deployment of compute capacity or data centres in the EU. And beyond setting out targets and monitoring progress (2257 edge nodes in 2024), it does not contain concrete support measures for such deployment. This initiative will complement the DDPP in this regard: The data centre capacity target would be integrated into the DDPP, and by leveraging the existing yearly monitoring exercise, this initiative would create synergies with the DDPP. </w:t>
            </w:r>
          </w:p>
        </w:tc>
      </w:tr>
      <w:tr w:rsidR="00F47176" w14:paraId="5109E31B"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tcPr>
          <w:p w14:paraId="5EC72FF0" w14:textId="77777777" w:rsidR="00F47176" w:rsidRDefault="00F47176">
            <w:pPr>
              <w:rPr>
                <w:noProof/>
              </w:rPr>
            </w:pPr>
          </w:p>
        </w:tc>
        <w:tc>
          <w:tcPr>
            <w:tcW w:w="0" w:type="dxa"/>
            <w:tcBorders>
              <w:top w:val="single" w:sz="4" w:space="0" w:color="auto"/>
              <w:left w:val="single" w:sz="4" w:space="0" w:color="auto"/>
              <w:bottom w:val="single" w:sz="4" w:space="0" w:color="auto"/>
              <w:right w:val="single" w:sz="4" w:space="0" w:color="auto"/>
            </w:tcBorders>
          </w:tcPr>
          <w:p w14:paraId="1A86E6F4" w14:textId="46CAB376" w:rsidR="00F47176" w:rsidRDefault="002B25A6">
            <w:pPr>
              <w:cnfStyle w:val="000000100000" w:firstRow="0" w:lastRow="0" w:firstColumn="0" w:lastColumn="0" w:oddVBand="0" w:evenVBand="0" w:oddHBand="1" w:evenHBand="0" w:firstRowFirstColumn="0" w:firstRowLastColumn="0" w:lastRowFirstColumn="0" w:lastRowLastColumn="0"/>
              <w:rPr>
                <w:rFonts w:eastAsia="Calibri"/>
                <w:noProof/>
              </w:rPr>
            </w:pPr>
            <w:r>
              <w:rPr>
                <w:rFonts w:eastAsia="Calibri"/>
                <w:noProof/>
              </w:rPr>
              <w:t xml:space="preserve">The </w:t>
            </w:r>
            <w:r w:rsidRPr="004D2B9B">
              <w:rPr>
                <w:rFonts w:eastAsia="Calibri"/>
                <w:b/>
                <w:bCs/>
                <w:noProof/>
              </w:rPr>
              <w:t>EU Code of Conduct on Data Centre Energy Efficiency</w:t>
            </w:r>
            <w:r>
              <w:rPr>
                <w:rFonts w:eastAsia="Calibri"/>
                <w:b/>
                <w:bCs/>
                <w:noProof/>
              </w:rPr>
              <w:t xml:space="preserve"> </w:t>
            </w:r>
            <w:r w:rsidR="00974E58" w:rsidRPr="004D2B9B">
              <w:rPr>
                <w:rFonts w:eastAsia="Calibri"/>
                <w:noProof/>
              </w:rPr>
              <w:t>is a reference document to assist data centre operators in identifying and implementing</w:t>
            </w:r>
            <w:r w:rsidR="00974E58" w:rsidRPr="004D2B9B">
              <w:rPr>
                <w:rFonts w:eastAsia="Calibri"/>
                <w:noProof/>
              </w:rPr>
              <w:br/>
              <w:t>measures to improve the energy efficiency of their data centres. This Best Practice document contains a full list of the identified and recognised data centre energy efficiency best practices</w:t>
            </w:r>
            <w:r w:rsidR="004D2B9B">
              <w:rPr>
                <w:rFonts w:eastAsia="Calibri"/>
                <w:noProof/>
              </w:rPr>
              <w:t xml:space="preserve"> </w:t>
            </w:r>
            <w:r w:rsidR="00974E58" w:rsidRPr="004D2B9B">
              <w:rPr>
                <w:rFonts w:eastAsia="Calibri"/>
                <w:noProof/>
              </w:rPr>
              <w:t>within the Code of Conduct.</w:t>
            </w:r>
            <w:r w:rsidR="00974E58" w:rsidRPr="00974E58">
              <w:rPr>
                <w:rFonts w:eastAsia="Calibri"/>
                <w:b/>
                <w:bCs/>
                <w:noProof/>
              </w:rPr>
              <w:t> </w:t>
            </w:r>
          </w:p>
        </w:tc>
        <w:tc>
          <w:tcPr>
            <w:tcW w:w="0" w:type="dxa"/>
            <w:tcBorders>
              <w:top w:val="single" w:sz="4" w:space="0" w:color="auto"/>
              <w:left w:val="single" w:sz="4" w:space="0" w:color="auto"/>
              <w:bottom w:val="single" w:sz="4" w:space="0" w:color="auto"/>
              <w:right w:val="single" w:sz="4" w:space="0" w:color="auto"/>
            </w:tcBorders>
          </w:tcPr>
          <w:p w14:paraId="4456CD2C" w14:textId="0DFFF4DF" w:rsidR="00F47176" w:rsidRDefault="00974E58" w:rsidP="00681AA1">
            <w:pPr>
              <w:cnfStyle w:val="000000100000" w:firstRow="0" w:lastRow="0" w:firstColumn="0" w:lastColumn="0" w:oddVBand="0" w:evenVBand="0" w:oddHBand="1" w:evenHBand="0" w:firstRowFirstColumn="0" w:firstRowLastColumn="0" w:lastRowFirstColumn="0" w:lastRowLastColumn="0"/>
              <w:rPr>
                <w:noProof/>
              </w:rPr>
            </w:pPr>
            <w:r>
              <w:rPr>
                <w:noProof/>
              </w:rPr>
              <w:t xml:space="preserve">The Code of Conduct does not concern measures to deploy a data centre, instead focusing fully on practices for operating it. </w:t>
            </w:r>
          </w:p>
        </w:tc>
      </w:tr>
      <w:tr w:rsidR="00E52A4F" w14:paraId="67C9EEF6" w14:textId="77777777" w:rsidTr="35E623D0">
        <w:tc>
          <w:tcPr>
            <w:cnfStyle w:val="001000000000" w:firstRow="0" w:lastRow="0" w:firstColumn="1" w:lastColumn="0" w:oddVBand="0" w:evenVBand="0" w:oddHBand="0" w:evenHBand="0" w:firstRowFirstColumn="0" w:firstRowLastColumn="0" w:lastRowFirstColumn="0" w:lastRowLastColumn="0"/>
            <w:tcW w:w="1469" w:type="dxa"/>
            <w:vMerge w:val="restart"/>
            <w:tcBorders>
              <w:top w:val="single" w:sz="4" w:space="0" w:color="auto"/>
              <w:left w:val="single" w:sz="4" w:space="0" w:color="auto"/>
              <w:bottom w:val="single" w:sz="4" w:space="0" w:color="auto"/>
              <w:right w:val="single" w:sz="4" w:space="0" w:color="auto"/>
            </w:tcBorders>
          </w:tcPr>
          <w:p w14:paraId="170D27EF" w14:textId="71314061" w:rsidR="00E52A4F" w:rsidRPr="00651C87" w:rsidRDefault="00E52A4F">
            <w:pPr>
              <w:rPr>
                <w:noProof/>
              </w:rPr>
            </w:pPr>
            <w:r w:rsidRPr="00651C87">
              <w:rPr>
                <w:b w:val="0"/>
                <w:bCs w:val="0"/>
                <w:noProof/>
              </w:rPr>
              <w:t>SO</w:t>
            </w:r>
            <w:r w:rsidRPr="00651C87">
              <w:rPr>
                <w:b w:val="0"/>
                <w:bCs w:val="0"/>
                <w:noProof/>
                <w:lang w:val="en-IE"/>
              </w:rPr>
              <w:t xml:space="preserve">2 - </w:t>
            </w:r>
            <w:r w:rsidR="00B12F2A" w:rsidRPr="009175D5">
              <w:rPr>
                <w:b w:val="0"/>
                <w:bCs w:val="0"/>
                <w:noProof/>
                <w:lang w:val="en-IE"/>
              </w:rPr>
              <w:t>Ensure attractive conditions for the deployment of sustainable and innovative computing capacity</w:t>
            </w:r>
          </w:p>
        </w:tc>
        <w:tc>
          <w:tcPr>
            <w:tcW w:w="5589" w:type="dxa"/>
            <w:tcBorders>
              <w:top w:val="single" w:sz="4" w:space="0" w:color="auto"/>
              <w:left w:val="single" w:sz="4" w:space="0" w:color="auto"/>
              <w:bottom w:val="single" w:sz="4" w:space="0" w:color="auto"/>
              <w:right w:val="single" w:sz="4" w:space="0" w:color="auto"/>
            </w:tcBorders>
          </w:tcPr>
          <w:p w14:paraId="6EC1C686" w14:textId="377A0425" w:rsidR="00E52A4F" w:rsidRDefault="556CBCE9">
            <w:pPr>
              <w:cnfStyle w:val="000000000000" w:firstRow="0" w:lastRow="0" w:firstColumn="0" w:lastColumn="0" w:oddVBand="0" w:evenVBand="0" w:oddHBand="0" w:evenHBand="0" w:firstRowFirstColumn="0" w:firstRowLastColumn="0" w:lastRowFirstColumn="0" w:lastRowLastColumn="0"/>
              <w:rPr>
                <w:noProof/>
              </w:rPr>
            </w:pPr>
            <w:r>
              <w:rPr>
                <w:noProof/>
              </w:rPr>
              <w:t>European</w:t>
            </w:r>
            <w:r w:rsidR="00E52A4F" w:rsidRPr="002E12DD">
              <w:rPr>
                <w:b/>
                <w:bCs/>
                <w:noProof/>
              </w:rPr>
              <w:t xml:space="preserve"> Grids Package</w:t>
            </w:r>
            <w:r>
              <w:rPr>
                <w:noProof/>
              </w:rPr>
              <w:t xml:space="preserve">, put forward by the Commission </w:t>
            </w:r>
            <w:r w:rsidR="01E69AB3">
              <w:rPr>
                <w:noProof/>
              </w:rPr>
              <w:t>[</w:t>
            </w:r>
            <w:r>
              <w:rPr>
                <w:noProof/>
              </w:rPr>
              <w:t xml:space="preserve">on 10 December 2025] </w:t>
            </w:r>
            <w:r w:rsidR="777B68EE">
              <w:rPr>
                <w:noProof/>
              </w:rPr>
              <w:t>aim</w:t>
            </w:r>
            <w:r>
              <w:rPr>
                <w:noProof/>
              </w:rPr>
              <w:t>s</w:t>
            </w:r>
            <w:r w:rsidR="00E52A4F" w:rsidRPr="002E12DD">
              <w:rPr>
                <w:noProof/>
              </w:rPr>
              <w:t xml:space="preserve"> to modernise and enhance the EU’s electricity grids. It </w:t>
            </w:r>
            <w:r w:rsidR="777B68EE">
              <w:rPr>
                <w:noProof/>
              </w:rPr>
              <w:t>contain</w:t>
            </w:r>
            <w:r>
              <w:rPr>
                <w:noProof/>
              </w:rPr>
              <w:t>s</w:t>
            </w:r>
            <w:r w:rsidR="00E52A4F" w:rsidRPr="002E12DD">
              <w:rPr>
                <w:noProof/>
              </w:rPr>
              <w:t> targeted legislative changes to the TEN-E Regulation</w:t>
            </w:r>
            <w:r>
              <w:rPr>
                <w:noProof/>
              </w:rPr>
              <w:t xml:space="preserve"> and related </w:t>
            </w:r>
            <w:r w:rsidR="5BB078C2">
              <w:rPr>
                <w:noProof/>
              </w:rPr>
              <w:t>regulations and directives</w:t>
            </w:r>
            <w:r w:rsidR="00E52A4F" w:rsidRPr="002E12DD">
              <w:rPr>
                <w:noProof/>
              </w:rPr>
              <w:t>, with a view to improving pan-European grid planning. It will consider permitting for grid expansion and cost-sharing in a cross-border context, as well as providing guidance on measures to accelerate grid connections within the current legislative framework.  </w:t>
            </w:r>
          </w:p>
        </w:tc>
        <w:tc>
          <w:tcPr>
            <w:tcW w:w="7730" w:type="dxa"/>
            <w:tcBorders>
              <w:top w:val="single" w:sz="4" w:space="0" w:color="auto"/>
              <w:left w:val="single" w:sz="4" w:space="0" w:color="auto"/>
              <w:bottom w:val="single" w:sz="4" w:space="0" w:color="auto"/>
              <w:right w:val="single" w:sz="4" w:space="0" w:color="auto"/>
            </w:tcBorders>
          </w:tcPr>
          <w:p w14:paraId="1AEA068E" w14:textId="330BE777" w:rsidR="00E52A4F"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 xml:space="preserve">As discussed throughout this assessment, energy is a key input factor for data centres and sufficient grid capacity is a prerequisite for their deployment in the EU. </w:t>
            </w:r>
            <w:r w:rsidR="00504258">
              <w:rPr>
                <w:noProof/>
              </w:rPr>
              <w:t xml:space="preserve">The European Grids Package </w:t>
            </w:r>
            <w:r w:rsidR="005165D1">
              <w:rPr>
                <w:noProof/>
              </w:rPr>
              <w:t xml:space="preserve">aims to ensure </w:t>
            </w:r>
            <w:r w:rsidR="00C04B6A" w:rsidRPr="00C04B6A">
              <w:rPr>
                <w:noProof/>
              </w:rPr>
              <w:t>grids will be in place and ready to uptake future loads</w:t>
            </w:r>
            <w:r w:rsidR="005165D1">
              <w:rPr>
                <w:noProof/>
              </w:rPr>
              <w:t xml:space="preserve"> in a horizontal manner, as the issue at stake (lack of grids capacity) concerns more stakeholders</w:t>
            </w:r>
            <w:r w:rsidR="00FA09D7">
              <w:rPr>
                <w:noProof/>
              </w:rPr>
              <w:t>.</w:t>
            </w:r>
            <w:r>
              <w:rPr>
                <w:noProof/>
              </w:rPr>
              <w:t xml:space="preserve"> The initiative assessed here focuses on data centres as an ultimate client of grid capacity in the EU. </w:t>
            </w:r>
            <w:r w:rsidR="00DA2F51" w:rsidRPr="00DA2F51">
              <w:rPr>
                <w:noProof/>
              </w:rPr>
              <w:t>It</w:t>
            </w:r>
            <w:r w:rsidR="00A150BE" w:rsidRPr="00DA2F51">
              <w:rPr>
                <w:noProof/>
              </w:rPr>
              <w:t xml:space="preserve"> </w:t>
            </w:r>
            <w:r w:rsidR="00DA2F51" w:rsidRPr="00FA09D7">
              <w:rPr>
                <w:noProof/>
              </w:rPr>
              <w:t>aims to complement the Grids package by ensuring data centres location considers grid availability, information is exchanged sufficiently in advance to feed into grid planning and hence ensure timely connection of data centres.</w:t>
            </w:r>
          </w:p>
          <w:p w14:paraId="1F0A4370" w14:textId="53E0A064" w:rsidR="00E52A4F"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 xml:space="preserve">The guidelines on grid interconnection lay down ways in which Member States can </w:t>
            </w:r>
            <w:r w:rsidR="6865FFE6">
              <w:rPr>
                <w:noProof/>
              </w:rPr>
              <w:t>accelerate grid connections, including</w:t>
            </w:r>
            <w:r>
              <w:rPr>
                <w:noProof/>
              </w:rPr>
              <w:t xml:space="preserve"> </w:t>
            </w:r>
            <w:r w:rsidR="006732C6">
              <w:rPr>
                <w:noProof/>
              </w:rPr>
              <w:t xml:space="preserve">a </w:t>
            </w:r>
            <w:r>
              <w:rPr>
                <w:noProof/>
              </w:rPr>
              <w:t xml:space="preserve">more efficient structure </w:t>
            </w:r>
            <w:r w:rsidR="10713D9A">
              <w:rPr>
                <w:noProof/>
              </w:rPr>
              <w:t>of</w:t>
            </w:r>
            <w:r>
              <w:rPr>
                <w:noProof/>
              </w:rPr>
              <w:t xml:space="preserve"> their grid connection queue, for example by considering a project’s readiness and grid-friendly uses as opposed to a pure first-come-first-served approach. </w:t>
            </w:r>
            <w:r w:rsidR="7F5B68D2">
              <w:rPr>
                <w:noProof/>
              </w:rPr>
              <w:t>It also requires strong involvement of industry, including data centre sector in the grids planning</w:t>
            </w:r>
            <w:r w:rsidR="00B31EFC">
              <w:rPr>
                <w:noProof/>
              </w:rPr>
              <w:t xml:space="preserve">. </w:t>
            </w:r>
            <w:r w:rsidRPr="006A081C">
              <w:rPr>
                <w:noProof/>
              </w:rPr>
              <w:t>This initiative will leverage these considerations, for example by</w:t>
            </w:r>
            <w:r w:rsidRPr="00BC0DDD">
              <w:rPr>
                <w:noProof/>
              </w:rPr>
              <w:t xml:space="preserve"> </w:t>
            </w:r>
            <w:r w:rsidR="00B31EFC" w:rsidRPr="00F71A30">
              <w:rPr>
                <w:noProof/>
              </w:rPr>
              <w:t xml:space="preserve">clarifying that public support </w:t>
            </w:r>
            <w:r w:rsidR="0018577B" w:rsidRPr="00F71A30">
              <w:rPr>
                <w:noProof/>
              </w:rPr>
              <w:t>for strategic projects shall</w:t>
            </w:r>
            <w:r w:rsidR="00B31EFC" w:rsidRPr="00F71A30">
              <w:rPr>
                <w:noProof/>
              </w:rPr>
              <w:t xml:space="preserve"> only </w:t>
            </w:r>
            <w:r w:rsidR="0018577B" w:rsidRPr="00F71A30">
              <w:rPr>
                <w:noProof/>
              </w:rPr>
              <w:t>concern projects which are able to provide needed flexibility for the grid,</w:t>
            </w:r>
            <w:r w:rsidR="006A081C" w:rsidRPr="00F71A30">
              <w:rPr>
                <w:noProof/>
              </w:rPr>
              <w:t xml:space="preserve"> as required by relevant technical conditions,</w:t>
            </w:r>
            <w:r w:rsidR="0018577B" w:rsidRPr="00F71A30">
              <w:rPr>
                <w:noProof/>
              </w:rPr>
              <w:t xml:space="preserve"> for the sake of their efficient grid integration.</w:t>
            </w:r>
            <w:r w:rsidR="00B31EFC" w:rsidRPr="00F71A30">
              <w:rPr>
                <w:noProof/>
              </w:rPr>
              <w:t xml:space="preserve"> </w:t>
            </w:r>
          </w:p>
        </w:tc>
      </w:tr>
      <w:tr w:rsidR="00E52A4F" w14:paraId="4706582E"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 w:type="dxa"/>
            <w:vMerge/>
          </w:tcPr>
          <w:p w14:paraId="48E133F3"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0292D04A" w14:textId="77777777" w:rsidR="00E52A4F" w:rsidRPr="002E12DD" w:rsidRDefault="00E52A4F">
            <w:pPr>
              <w:cnfStyle w:val="000000100000" w:firstRow="0" w:lastRow="0" w:firstColumn="0" w:lastColumn="0" w:oddVBand="0" w:evenVBand="0" w:oddHBand="1" w:evenHBand="0" w:firstRowFirstColumn="0" w:firstRowLastColumn="0" w:lastRowFirstColumn="0" w:lastRowLastColumn="0"/>
              <w:rPr>
                <w:noProof/>
              </w:rPr>
            </w:pPr>
            <w:r w:rsidRPr="0047582E">
              <w:rPr>
                <w:noProof/>
              </w:rPr>
              <w:t>The </w:t>
            </w:r>
            <w:r w:rsidRPr="00203B8B">
              <w:rPr>
                <w:noProof/>
              </w:rPr>
              <w:t>future</w:t>
            </w:r>
            <w:r w:rsidRPr="0047582E">
              <w:rPr>
                <w:noProof/>
              </w:rPr>
              <w:t> </w:t>
            </w:r>
            <w:r w:rsidRPr="0047582E">
              <w:rPr>
                <w:b/>
                <w:bCs/>
                <w:noProof/>
              </w:rPr>
              <w:t>Digital Networks Act </w:t>
            </w:r>
            <w:r w:rsidRPr="001B0600">
              <w:rPr>
                <w:noProof/>
              </w:rPr>
              <w:t>(DNA)</w:t>
            </w:r>
            <w:r w:rsidRPr="0047582E">
              <w:rPr>
                <w:noProof/>
              </w:rPr>
              <w:t> seeks to incentivise the building of the digital networks of the future and improve digital connectivity for end</w:t>
            </w:r>
            <w:r>
              <w:rPr>
                <w:noProof/>
              </w:rPr>
              <w:t xml:space="preserve"> </w:t>
            </w:r>
            <w:r w:rsidRPr="0047582E">
              <w:rPr>
                <w:noProof/>
              </w:rPr>
              <w:t>users. </w:t>
            </w:r>
          </w:p>
        </w:tc>
        <w:tc>
          <w:tcPr>
            <w:tcW w:w="5589" w:type="dxa"/>
            <w:tcBorders>
              <w:top w:val="single" w:sz="4" w:space="0" w:color="auto"/>
              <w:left w:val="single" w:sz="4" w:space="0" w:color="auto"/>
              <w:bottom w:val="single" w:sz="4" w:space="0" w:color="auto"/>
              <w:right w:val="single" w:sz="4" w:space="0" w:color="auto"/>
            </w:tcBorders>
          </w:tcPr>
          <w:p w14:paraId="0E208374" w14:textId="77777777"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Pr>
                <w:noProof/>
              </w:rPr>
              <w:t>The DNA will improve digital connectivity for end users and thus be beneficial to the deployment of data centres in the EU, for which high-performance connectivity is a prerequisite. This initiative will leverage the DNA’s advancements for connectivity and will thus stay focused on the deployment of the data centre</w:t>
            </w:r>
            <w:r w:rsidR="00D529B4">
              <w:rPr>
                <w:noProof/>
              </w:rPr>
              <w:t xml:space="preserve"> (where data processing occurs)</w:t>
            </w:r>
            <w:r>
              <w:rPr>
                <w:noProof/>
              </w:rPr>
              <w:t>, not the prior or parallel build-out of the necessary connectivity infrastructure. The two initiatives are thus complementary.</w:t>
            </w:r>
          </w:p>
          <w:p w14:paraId="55A63A3D" w14:textId="77777777"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Pr>
                <w:noProof/>
              </w:rPr>
              <w:t xml:space="preserve">The DNA will also address the convergence of network infrastructure. For example, it will address scenarios where a cloud service provider operates a network and has so far not been subject to obligations under the Electronic Communications Code. The intention is to clarify the modalities of interconnection between operators of networks and other market participants. This relates to a specific market situation and is not impacted by possible measures under this initiative. </w:t>
            </w:r>
          </w:p>
        </w:tc>
      </w:tr>
      <w:tr w:rsidR="00E52A4F" w14:paraId="67C4FAEA" w14:textId="77777777" w:rsidTr="35E623D0">
        <w:tc>
          <w:tcPr>
            <w:cnfStyle w:val="001000000000" w:firstRow="0" w:lastRow="0" w:firstColumn="1" w:lastColumn="0" w:oddVBand="0" w:evenVBand="0" w:oddHBand="0" w:evenHBand="0" w:firstRowFirstColumn="0" w:firstRowLastColumn="0" w:lastRowFirstColumn="0" w:lastRowLastColumn="0"/>
            <w:tcW w:w="1469" w:type="dxa"/>
            <w:vMerge/>
          </w:tcPr>
          <w:p w14:paraId="5971B8F2"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7AD10CC1" w14:textId="77777777" w:rsidR="00E52A4F" w:rsidRPr="0047582E" w:rsidRDefault="00E52A4F">
            <w:pPr>
              <w:cnfStyle w:val="000000000000" w:firstRow="0" w:lastRow="0" w:firstColumn="0" w:lastColumn="0" w:oddVBand="0" w:evenVBand="0" w:oddHBand="0" w:evenHBand="0" w:firstRowFirstColumn="0" w:firstRowLastColumn="0" w:lastRowFirstColumn="0" w:lastRowLastColumn="0"/>
              <w:rPr>
                <w:noProof/>
              </w:rPr>
            </w:pPr>
            <w:r w:rsidRPr="00203B8B">
              <w:rPr>
                <w:noProof/>
              </w:rPr>
              <w:t>The </w:t>
            </w:r>
            <w:r w:rsidRPr="00203B8B">
              <w:rPr>
                <w:b/>
                <w:bCs/>
                <w:noProof/>
              </w:rPr>
              <w:t>Gigabit Infrastructure Act</w:t>
            </w:r>
            <w:r w:rsidRPr="00203B8B">
              <w:rPr>
                <w:noProof/>
              </w:rPr>
              <w:t> sets rules to accelerate the rollout of Gigabit networks installations. </w:t>
            </w:r>
          </w:p>
        </w:tc>
        <w:tc>
          <w:tcPr>
            <w:tcW w:w="7730" w:type="dxa"/>
            <w:tcBorders>
              <w:top w:val="single" w:sz="4" w:space="0" w:color="auto"/>
              <w:left w:val="single" w:sz="4" w:space="0" w:color="auto"/>
              <w:bottom w:val="single" w:sz="4" w:space="0" w:color="auto"/>
              <w:right w:val="single" w:sz="4" w:space="0" w:color="auto"/>
            </w:tcBorders>
          </w:tcPr>
          <w:p w14:paraId="40E33715" w14:textId="77777777" w:rsidR="00E52A4F" w:rsidRDefault="00E52A4F" w:rsidP="00681AA1">
            <w:pPr>
              <w:cnfStyle w:val="000000000000" w:firstRow="0" w:lastRow="0" w:firstColumn="0" w:lastColumn="0" w:oddVBand="0" w:evenVBand="0" w:oddHBand="0" w:evenHBand="0" w:firstRowFirstColumn="0" w:firstRowLastColumn="0" w:lastRowFirstColumn="0" w:lastRowLastColumn="0"/>
              <w:rPr>
                <w:noProof/>
              </w:rPr>
            </w:pPr>
            <w:r w:rsidRPr="00203B8B">
              <w:rPr>
                <w:noProof/>
              </w:rPr>
              <w:t>While data centre operators and cloud service providers will benefit from an improved rollout of very high-capacity networks, the Gigabit Infrastructure Act does not cover the constructions of data centres. </w:t>
            </w:r>
            <w:r>
              <w:rPr>
                <w:noProof/>
              </w:rPr>
              <w:t xml:space="preserve">This initiative would thus build on the advancements in accelerated network deployment under the Gigabit Infrastructure Act.  </w:t>
            </w:r>
          </w:p>
        </w:tc>
      </w:tr>
      <w:tr w:rsidR="00E52A4F" w14:paraId="7C657EE3"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 w:type="dxa"/>
            <w:vMerge/>
          </w:tcPr>
          <w:p w14:paraId="0ADADE7E"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09964871" w14:textId="136BC823" w:rsidR="00E52A4F" w:rsidRPr="00203B8B" w:rsidRDefault="00542A84">
            <w:pPr>
              <w:cnfStyle w:val="000000100000" w:firstRow="0" w:lastRow="0" w:firstColumn="0" w:lastColumn="0" w:oddVBand="0" w:evenVBand="0" w:oddHBand="1" w:evenHBand="0" w:firstRowFirstColumn="0" w:firstRowLastColumn="0" w:lastRowFirstColumn="0" w:lastRowLastColumn="0"/>
              <w:rPr>
                <w:noProof/>
              </w:rPr>
            </w:pPr>
            <w:r w:rsidRPr="00542A84">
              <w:rPr>
                <w:noProof/>
              </w:rPr>
              <w:t xml:space="preserve">The upcoming </w:t>
            </w:r>
            <w:r w:rsidRPr="00542A84">
              <w:rPr>
                <w:b/>
                <w:bCs/>
                <w:noProof/>
              </w:rPr>
              <w:t>Industrial Accelerator Act</w:t>
            </w:r>
            <w:r w:rsidRPr="00542A84">
              <w:rPr>
                <w:noProof/>
              </w:rPr>
              <w:t xml:space="preserve"> will set rules for foreign investment contributions and create clusters of industrial activity for the manufacturing sector</w:t>
            </w:r>
          </w:p>
        </w:tc>
        <w:tc>
          <w:tcPr>
            <w:tcW w:w="7730" w:type="dxa"/>
            <w:tcBorders>
              <w:top w:val="single" w:sz="4" w:space="0" w:color="auto"/>
              <w:left w:val="single" w:sz="4" w:space="0" w:color="auto"/>
              <w:bottom w:val="single" w:sz="4" w:space="0" w:color="auto"/>
              <w:right w:val="single" w:sz="4" w:space="0" w:color="auto"/>
            </w:tcBorders>
          </w:tcPr>
          <w:p w14:paraId="6565C129" w14:textId="4F751481" w:rsidR="00E52A4F" w:rsidRDefault="00E52A4F" w:rsidP="00681AA1">
            <w:pPr>
              <w:cnfStyle w:val="000000100000" w:firstRow="0" w:lastRow="0" w:firstColumn="0" w:lastColumn="0" w:oddVBand="0" w:evenVBand="0" w:oddHBand="1" w:evenHBand="0" w:firstRowFirstColumn="0" w:firstRowLastColumn="0" w:lastRowFirstColumn="0" w:lastRowLastColumn="0"/>
              <w:rPr>
                <w:noProof/>
                <w:lang w:val="en-IE"/>
              </w:rPr>
            </w:pPr>
            <w:r w:rsidRPr="00203B8B">
              <w:rPr>
                <w:noProof/>
                <w:lang w:val="en-IE"/>
              </w:rPr>
              <w:t xml:space="preserve">On permitting, the IAA sets out the principle of ‘one project, one procedure’ and establishes a single digital procedure to cover the entire permit-granting process. It also puts forward other measures to accelerate permitting (time limits for project approvals, single point of contact, overriding public interest etc.). </w:t>
            </w:r>
            <w:r>
              <w:rPr>
                <w:noProof/>
                <w:lang w:val="en-IE"/>
              </w:rPr>
              <w:t xml:space="preserve">This initiative will leverage the newly created approach to simplified and digitised permitting by cross-referencing the IAA. </w:t>
            </w:r>
          </w:p>
          <w:p w14:paraId="7E9D8789" w14:textId="00E46112" w:rsidR="00E52A4F" w:rsidRPr="00203B8B" w:rsidRDefault="00E52A4F" w:rsidP="00681AA1">
            <w:pPr>
              <w:spacing w:after="120"/>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T</w:t>
            </w:r>
            <w:r w:rsidRPr="00203B8B">
              <w:rPr>
                <w:noProof/>
                <w:lang w:val="en-IE"/>
              </w:rPr>
              <w:t xml:space="preserve">he IAA will require Member States to designate at least one </w:t>
            </w:r>
            <w:r w:rsidR="00113D74">
              <w:rPr>
                <w:noProof/>
                <w:lang w:val="en-IE"/>
              </w:rPr>
              <w:t xml:space="preserve">manufacturing </w:t>
            </w:r>
            <w:r w:rsidRPr="00203B8B">
              <w:rPr>
                <w:noProof/>
                <w:lang w:val="en-IE"/>
              </w:rPr>
              <w:t>industrial acceleration area/cluster where further business facilitation measures apply (prioritised access to materials, access to EU finance, regulatory sandboxes etc.).</w:t>
            </w:r>
            <w:r>
              <w:rPr>
                <w:noProof/>
                <w:lang w:val="en-IE"/>
              </w:rPr>
              <w:t xml:space="preserve"> However, these areas won’t account for the specific needs of data centres</w:t>
            </w:r>
            <w:r w:rsidR="00DB5C20">
              <w:rPr>
                <w:noProof/>
                <w:lang w:val="en-IE"/>
              </w:rPr>
              <w:t>,</w:t>
            </w:r>
            <w:r w:rsidR="00B03BDE">
              <w:rPr>
                <w:noProof/>
                <w:lang w:val="en-IE"/>
              </w:rPr>
              <w:t xml:space="preserve"> which </w:t>
            </w:r>
            <w:r w:rsidR="005E703A">
              <w:rPr>
                <w:noProof/>
                <w:lang w:val="en-IE"/>
              </w:rPr>
              <w:t xml:space="preserve">are </w:t>
            </w:r>
            <w:r w:rsidR="00595BE4">
              <w:rPr>
                <w:noProof/>
                <w:lang w:val="en-IE"/>
              </w:rPr>
              <w:t>a services sector</w:t>
            </w:r>
            <w:r>
              <w:rPr>
                <w:noProof/>
                <w:lang w:val="en-IE"/>
              </w:rPr>
              <w:t>.</w:t>
            </w:r>
            <w:r w:rsidRPr="001B0600">
              <w:rPr>
                <w:i/>
                <w:iCs/>
                <w:noProof/>
                <w:sz w:val="22"/>
                <w:szCs w:val="22"/>
                <w:lang w:val="en-IE"/>
              </w:rPr>
              <w:t xml:space="preserve"> </w:t>
            </w:r>
            <w:r w:rsidRPr="001B0600">
              <w:rPr>
                <w:noProof/>
                <w:lang w:val="en-IE"/>
              </w:rPr>
              <w:t xml:space="preserve">While data centres consume a lot of energy, a characteristic they share with other more traditional industries, </w:t>
            </w:r>
            <w:r w:rsidR="00CB5D62">
              <w:rPr>
                <w:noProof/>
                <w:lang w:val="en-IE"/>
              </w:rPr>
              <w:t>they</w:t>
            </w:r>
            <w:r w:rsidRPr="001B0600">
              <w:rPr>
                <w:noProof/>
                <w:lang w:val="en-IE"/>
              </w:rPr>
              <w:t xml:space="preserve"> present several fundamental differences. First, unlike industries that may adjust energy use based on production schedules, the energy demand of data centres are more constant, as their primary purpose is to ensure continuous service and data availability. </w:t>
            </w:r>
            <w:r>
              <w:rPr>
                <w:noProof/>
                <w:lang w:val="en-IE"/>
              </w:rPr>
              <w:t xml:space="preserve">Moreover, data centres can assist the grid through flexibility services. </w:t>
            </w:r>
            <w:r w:rsidRPr="001B0600">
              <w:rPr>
                <w:noProof/>
                <w:lang w:val="en-IE"/>
              </w:rPr>
              <w:t>Second, their quality-of-service obligation imply that data centres are equipped with powerful energy generation capacities that can be leveraged by grid operators for flexibility purposes. Third, unlike other energy-intensive industries, the physical location of a data centre is dictated by the presence of robust connectivity: low latency is critical for supporting the real-time data processing and application needs of other industries, such as financial transactions or AI applications.</w:t>
            </w:r>
            <w:r>
              <w:rPr>
                <w:noProof/>
                <w:lang w:val="en-IE"/>
              </w:rPr>
              <w:t xml:space="preserve"> That is why the </w:t>
            </w:r>
            <w:r w:rsidR="0001203E">
              <w:rPr>
                <w:noProof/>
                <w:lang w:val="en-IE"/>
              </w:rPr>
              <w:t>cloud</w:t>
            </w:r>
            <w:r>
              <w:rPr>
                <w:noProof/>
                <w:lang w:val="en-IE"/>
              </w:rPr>
              <w:t xml:space="preserve"> and AI Development Act will complement general industrial acceleration measures with measures that are tailored to the accelerated deployment of data centres</w:t>
            </w:r>
            <w:r w:rsidR="004458A0">
              <w:rPr>
                <w:noProof/>
                <w:lang w:val="en-IE"/>
              </w:rPr>
              <w:t>.</w:t>
            </w:r>
          </w:p>
        </w:tc>
      </w:tr>
      <w:tr w:rsidR="00E52A4F" w14:paraId="73320E93" w14:textId="77777777" w:rsidTr="35E623D0">
        <w:tc>
          <w:tcPr>
            <w:cnfStyle w:val="001000000000" w:firstRow="0" w:lastRow="0" w:firstColumn="1" w:lastColumn="0" w:oddVBand="0" w:evenVBand="0" w:oddHBand="0" w:evenHBand="0" w:firstRowFirstColumn="0" w:firstRowLastColumn="0" w:lastRowFirstColumn="0" w:lastRowLastColumn="0"/>
            <w:tcW w:w="1469" w:type="dxa"/>
            <w:vMerge/>
          </w:tcPr>
          <w:p w14:paraId="5CC1CEDD"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1229CCA1" w14:textId="77777777" w:rsidR="00E52A4F" w:rsidRPr="00203B8B" w:rsidRDefault="00E52A4F">
            <w:pPr>
              <w:cnfStyle w:val="000000000000" w:firstRow="0" w:lastRow="0" w:firstColumn="0" w:lastColumn="0" w:oddVBand="0" w:evenVBand="0" w:oddHBand="0" w:evenHBand="0" w:firstRowFirstColumn="0" w:firstRowLastColumn="0" w:lastRowFirstColumn="0" w:lastRowLastColumn="0"/>
              <w:rPr>
                <w:noProof/>
              </w:rPr>
            </w:pPr>
            <w:r>
              <w:rPr>
                <w:noProof/>
              </w:rPr>
              <w:t xml:space="preserve">The </w:t>
            </w:r>
            <w:r w:rsidRPr="00884EA3">
              <w:rPr>
                <w:b/>
                <w:bCs/>
                <w:noProof/>
              </w:rPr>
              <w:t>future Regulation on accelerating and streamlining environmental assessments</w:t>
            </w:r>
            <w:r>
              <w:rPr>
                <w:noProof/>
              </w:rPr>
              <w:t xml:space="preserve"> will simplify and speed up environmental screenings and assessments. </w:t>
            </w:r>
          </w:p>
        </w:tc>
        <w:tc>
          <w:tcPr>
            <w:tcW w:w="7730" w:type="dxa"/>
            <w:tcBorders>
              <w:top w:val="single" w:sz="4" w:space="0" w:color="auto"/>
              <w:left w:val="single" w:sz="4" w:space="0" w:color="auto"/>
              <w:bottom w:val="single" w:sz="4" w:space="0" w:color="auto"/>
              <w:right w:val="single" w:sz="4" w:space="0" w:color="auto"/>
            </w:tcBorders>
          </w:tcPr>
          <w:p w14:paraId="689BF5E2" w14:textId="4D62E22C" w:rsidR="00E52A4F" w:rsidRDefault="26470D39" w:rsidP="00681AA1">
            <w:pPr>
              <w:cnfStyle w:val="000000000000" w:firstRow="0" w:lastRow="0" w:firstColumn="0" w:lastColumn="0" w:oddVBand="0" w:evenVBand="0" w:oddHBand="0" w:evenHBand="0" w:firstRowFirstColumn="0" w:firstRowLastColumn="0" w:lastRowFirstColumn="0" w:lastRowLastColumn="0"/>
              <w:rPr>
                <w:noProof/>
                <w:lang w:val="en-IE"/>
              </w:rPr>
            </w:pPr>
            <w:r w:rsidRPr="35E623D0">
              <w:rPr>
                <w:noProof/>
                <w:lang w:val="en-IE"/>
              </w:rPr>
              <w:t xml:space="preserve">Data centres are not subject to mandatory environmental impact assessments under the existing Environmental Impact Assessment Directive. However, Member States can determine themselves that an individual data centre project should undergo such an assessment, causing them to be de facto mandatory in many Member States. The new Regulation will </w:t>
            </w:r>
            <w:r w:rsidR="5638B314" w:rsidRPr="35E623D0">
              <w:rPr>
                <w:noProof/>
                <w:lang w:val="en-IE"/>
              </w:rPr>
              <w:t>establish a toolbox with additional provisions (</w:t>
            </w:r>
            <w:r w:rsidR="235B88B1" w:rsidRPr="35E623D0">
              <w:rPr>
                <w:noProof/>
                <w:lang w:val="en-IE"/>
              </w:rPr>
              <w:t xml:space="preserve">overriding </w:t>
            </w:r>
            <w:r w:rsidR="5638B314" w:rsidRPr="35E623D0">
              <w:rPr>
                <w:noProof/>
                <w:lang w:val="en-IE"/>
              </w:rPr>
              <w:t xml:space="preserve">public interest, tacit approval and </w:t>
            </w:r>
            <w:r w:rsidR="711DFB19" w:rsidRPr="35E623D0">
              <w:rPr>
                <w:noProof/>
                <w:lang w:val="en-IE"/>
              </w:rPr>
              <w:t>dispute settlement</w:t>
            </w:r>
            <w:r w:rsidR="5638B314" w:rsidRPr="35E623D0">
              <w:rPr>
                <w:noProof/>
                <w:lang w:val="en-IE"/>
              </w:rPr>
              <w:t xml:space="preserve">) that can be </w:t>
            </w:r>
            <w:r w:rsidR="0486F27B" w:rsidRPr="35E623D0">
              <w:rPr>
                <w:noProof/>
                <w:lang w:val="en-IE"/>
              </w:rPr>
              <w:t>leveraged</w:t>
            </w:r>
            <w:r w:rsidR="5638B314" w:rsidRPr="35E623D0">
              <w:rPr>
                <w:noProof/>
                <w:lang w:val="en-IE"/>
              </w:rPr>
              <w:t xml:space="preserve"> in sectoral legislation regarding strategic sectors or categories. </w:t>
            </w:r>
            <w:r w:rsidR="14DDA2A6" w:rsidRPr="35E623D0">
              <w:rPr>
                <w:noProof/>
                <w:lang w:val="en-IE"/>
              </w:rPr>
              <w:t>For all environ</w:t>
            </w:r>
            <w:r w:rsidR="40B62D20" w:rsidRPr="35E623D0">
              <w:rPr>
                <w:noProof/>
                <w:lang w:val="en-IE"/>
              </w:rPr>
              <w:t>men</w:t>
            </w:r>
            <w:r w:rsidR="14DDA2A6" w:rsidRPr="35E623D0">
              <w:rPr>
                <w:noProof/>
                <w:lang w:val="en-IE"/>
              </w:rPr>
              <w:t>tal assessments</w:t>
            </w:r>
            <w:r w:rsidR="78293A56" w:rsidRPr="35E623D0">
              <w:rPr>
                <w:noProof/>
                <w:lang w:val="en-IE"/>
              </w:rPr>
              <w:t>,</w:t>
            </w:r>
            <w:r w:rsidR="14DDA2A6" w:rsidRPr="35E623D0">
              <w:rPr>
                <w:noProof/>
                <w:lang w:val="en-IE"/>
              </w:rPr>
              <w:t xml:space="preserve"> the </w:t>
            </w:r>
            <w:r w:rsidR="7FE2452C" w:rsidRPr="35E623D0">
              <w:rPr>
                <w:noProof/>
                <w:lang w:val="en-IE"/>
              </w:rPr>
              <w:t>new</w:t>
            </w:r>
            <w:r w:rsidR="14DDA2A6" w:rsidRPr="35E623D0">
              <w:rPr>
                <w:noProof/>
                <w:lang w:val="en-IE"/>
              </w:rPr>
              <w:t xml:space="preserve"> Regulation</w:t>
            </w:r>
            <w:r w:rsidR="02FF9322" w:rsidRPr="35E623D0">
              <w:rPr>
                <w:noProof/>
                <w:lang w:val="en-IE"/>
              </w:rPr>
              <w:t xml:space="preserve"> </w:t>
            </w:r>
            <w:r w:rsidR="7658C75B" w:rsidRPr="35E623D0">
              <w:rPr>
                <w:noProof/>
                <w:lang w:val="en-IE"/>
              </w:rPr>
              <w:t xml:space="preserve">establishes streamlined </w:t>
            </w:r>
            <w:r w:rsidR="02FF9322" w:rsidRPr="35E623D0">
              <w:rPr>
                <w:noProof/>
                <w:lang w:val="en-IE"/>
              </w:rPr>
              <w:t>provisions</w:t>
            </w:r>
            <w:r w:rsidR="1E94C8C1" w:rsidRPr="35E623D0">
              <w:rPr>
                <w:noProof/>
                <w:lang w:val="en-IE"/>
              </w:rPr>
              <w:t>,</w:t>
            </w:r>
            <w:r w:rsidR="02FF9322" w:rsidRPr="35E623D0">
              <w:rPr>
                <w:noProof/>
                <w:lang w:val="en-IE"/>
              </w:rPr>
              <w:t xml:space="preserve"> including </w:t>
            </w:r>
            <w:r w:rsidRPr="35E623D0">
              <w:rPr>
                <w:noProof/>
                <w:lang w:val="en-IE"/>
              </w:rPr>
              <w:t xml:space="preserve">maximum timelines for the duration of the screening process and for decisions by competent authorities.  Procedurally, the proposal </w:t>
            </w:r>
            <w:r>
              <w:rPr>
                <w:noProof/>
              </w:rPr>
              <w:t xml:space="preserve">sets up a single point of contact for Environmental Impact Assessment and digitises and streamlines assessment procedures (e.g. through the re-use of documents across different stages). </w:t>
            </w:r>
            <w:r w:rsidRPr="35E623D0">
              <w:rPr>
                <w:noProof/>
                <w:lang w:val="en-IE"/>
              </w:rPr>
              <w:t xml:space="preserve">The future Regulation on </w:t>
            </w:r>
            <w:r>
              <w:rPr>
                <w:noProof/>
              </w:rPr>
              <w:t>accelerating and streamlining environmental assessments</w:t>
            </w:r>
            <w:r w:rsidRPr="35E623D0">
              <w:rPr>
                <w:noProof/>
                <w:lang w:val="en-IE"/>
              </w:rPr>
              <w:t xml:space="preserve"> focuses on environmental assessments, not on other steps of the permitting process such as zoning and land allocation and building permits. </w:t>
            </w:r>
          </w:p>
          <w:p w14:paraId="15D3A372" w14:textId="2B2C9BB4" w:rsidR="00E52A4F" w:rsidRPr="00F42D7C"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 xml:space="preserve">The </w:t>
            </w:r>
            <w:r w:rsidR="0001203E">
              <w:rPr>
                <w:noProof/>
              </w:rPr>
              <w:t>cloud</w:t>
            </w:r>
            <w:r>
              <w:rPr>
                <w:noProof/>
              </w:rPr>
              <w:t xml:space="preserve"> and AI Development Act will leverage these simplifications and complement them</w:t>
            </w:r>
            <w:r w:rsidR="00C83B10">
              <w:rPr>
                <w:noProof/>
              </w:rPr>
              <w:t xml:space="preserve">, notably by </w:t>
            </w:r>
            <w:r w:rsidR="557BD1CD">
              <w:rPr>
                <w:noProof/>
              </w:rPr>
              <w:t xml:space="preserve">establishing a </w:t>
            </w:r>
            <w:r w:rsidR="00E375B2">
              <w:rPr>
                <w:noProof/>
              </w:rPr>
              <w:t>facilitator</w:t>
            </w:r>
            <w:r w:rsidR="6419F270">
              <w:rPr>
                <w:noProof/>
              </w:rPr>
              <w:t xml:space="preserve"> </w:t>
            </w:r>
            <w:r w:rsidR="00C611F3">
              <w:rPr>
                <w:noProof/>
              </w:rPr>
              <w:t>to accompany data centre</w:t>
            </w:r>
            <w:r w:rsidR="0CF4D825">
              <w:rPr>
                <w:noProof/>
              </w:rPr>
              <w:t xml:space="preserve"> operator</w:t>
            </w:r>
            <w:r w:rsidR="00C611F3">
              <w:rPr>
                <w:noProof/>
              </w:rPr>
              <w:t xml:space="preserve">s throughout their overall permitting journey, not only the possible environmental </w:t>
            </w:r>
            <w:r w:rsidR="3A5AB814">
              <w:rPr>
                <w:noProof/>
              </w:rPr>
              <w:t>assessment</w:t>
            </w:r>
            <w:r w:rsidR="00C611F3">
              <w:rPr>
                <w:noProof/>
              </w:rPr>
              <w:t>.</w:t>
            </w:r>
            <w:r w:rsidR="7A8E6FC0">
              <w:rPr>
                <w:noProof/>
              </w:rPr>
              <w:t xml:space="preserve"> The </w:t>
            </w:r>
            <w:r w:rsidR="0001203E">
              <w:rPr>
                <w:noProof/>
              </w:rPr>
              <w:t>cloud</w:t>
            </w:r>
            <w:r w:rsidR="7A8E6FC0">
              <w:rPr>
                <w:noProof/>
              </w:rPr>
              <w:t xml:space="preserve"> and AI Development Act will also leverage the toolbox established by the </w:t>
            </w:r>
            <w:r w:rsidR="0FFFA91C">
              <w:rPr>
                <w:noProof/>
              </w:rPr>
              <w:t>new</w:t>
            </w:r>
            <w:r w:rsidR="7A8E6FC0">
              <w:rPr>
                <w:noProof/>
              </w:rPr>
              <w:t xml:space="preserve"> Regulation, by referencing it within the Act to activate the additional provisions for strategic </w:t>
            </w:r>
            <w:r w:rsidR="08159756">
              <w:rPr>
                <w:noProof/>
              </w:rPr>
              <w:t>data centre projects.</w:t>
            </w:r>
          </w:p>
        </w:tc>
      </w:tr>
      <w:tr w:rsidR="00E52A4F" w14:paraId="084CAC19"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 w:type="dxa"/>
            <w:vMerge/>
          </w:tcPr>
          <w:p w14:paraId="62660626"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7F06DD9B" w14:textId="77777777" w:rsidR="00E52A4F" w:rsidRDefault="00E52A4F">
            <w:pPr>
              <w:cnfStyle w:val="000000100000" w:firstRow="0" w:lastRow="0" w:firstColumn="0" w:lastColumn="0" w:oddVBand="0" w:evenVBand="0" w:oddHBand="1" w:evenHBand="0" w:firstRowFirstColumn="0" w:firstRowLastColumn="0" w:lastRowFirstColumn="0" w:lastRowLastColumn="0"/>
              <w:rPr>
                <w:noProof/>
              </w:rPr>
            </w:pPr>
            <w:r w:rsidRPr="00070302">
              <w:rPr>
                <w:noProof/>
              </w:rPr>
              <w:t>The </w:t>
            </w:r>
            <w:r w:rsidRPr="00070302">
              <w:rPr>
                <w:b/>
                <w:bCs/>
                <w:noProof/>
              </w:rPr>
              <w:t>Net-Zero Industry Act </w:t>
            </w:r>
            <w:r w:rsidRPr="00070302">
              <w:rPr>
                <w:noProof/>
              </w:rPr>
              <w:t>(NZIA) sets out to boost the EU’s manufacturing capacity for net-zero technologies</w:t>
            </w:r>
            <w:r>
              <w:rPr>
                <w:noProof/>
              </w:rPr>
              <w:t xml:space="preserve">, e.g. through simplified permitting and areas for faster deployment. </w:t>
            </w:r>
          </w:p>
        </w:tc>
        <w:tc>
          <w:tcPr>
            <w:tcW w:w="7730" w:type="dxa"/>
            <w:tcBorders>
              <w:top w:val="single" w:sz="4" w:space="0" w:color="auto"/>
              <w:left w:val="single" w:sz="4" w:space="0" w:color="auto"/>
              <w:bottom w:val="single" w:sz="4" w:space="0" w:color="auto"/>
              <w:right w:val="single" w:sz="4" w:space="0" w:color="auto"/>
            </w:tcBorders>
          </w:tcPr>
          <w:p w14:paraId="45708289" w14:textId="77777777" w:rsidR="00E52A4F" w:rsidRDefault="00E52A4F" w:rsidP="00681AA1">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 xml:space="preserve">Data centres do not qualify as net zero technologies. The acceleration measures under this initiative are thus not in conflict with NZIA. Data centre operators may however benefit from NZIA as downstream customers or users of net zero technologies such as batteries.  </w:t>
            </w:r>
          </w:p>
        </w:tc>
      </w:tr>
      <w:tr w:rsidR="00E52A4F" w14:paraId="4D343DB3" w14:textId="77777777" w:rsidTr="35E623D0">
        <w:tc>
          <w:tcPr>
            <w:cnfStyle w:val="001000000000" w:firstRow="0" w:lastRow="0" w:firstColumn="1" w:lastColumn="0" w:oddVBand="0" w:evenVBand="0" w:oddHBand="0" w:evenHBand="0" w:firstRowFirstColumn="0" w:firstRowLastColumn="0" w:lastRowFirstColumn="0" w:lastRowLastColumn="0"/>
            <w:tcW w:w="1469" w:type="dxa"/>
            <w:vMerge/>
          </w:tcPr>
          <w:p w14:paraId="0072E4E5" w14:textId="77777777" w:rsidR="00E52A4F" w:rsidRDefault="00E52A4F">
            <w:pPr>
              <w:rPr>
                <w:noProof/>
              </w:rPr>
            </w:pPr>
          </w:p>
        </w:tc>
        <w:tc>
          <w:tcPr>
            <w:tcW w:w="5589" w:type="dxa"/>
            <w:tcBorders>
              <w:top w:val="single" w:sz="4" w:space="0" w:color="auto"/>
              <w:left w:val="single" w:sz="4" w:space="0" w:color="auto"/>
              <w:bottom w:val="single" w:sz="4" w:space="0" w:color="auto"/>
              <w:right w:val="single" w:sz="4" w:space="0" w:color="auto"/>
            </w:tcBorders>
          </w:tcPr>
          <w:p w14:paraId="52C3E64E" w14:textId="69919DAE" w:rsidR="00E52A4F" w:rsidRPr="00070302" w:rsidRDefault="00E52A4F">
            <w:pPr>
              <w:cnfStyle w:val="000000000000" w:firstRow="0" w:lastRow="0" w:firstColumn="0" w:lastColumn="0" w:oddVBand="0" w:evenVBand="0" w:oddHBand="0" w:evenHBand="0" w:firstRowFirstColumn="0" w:firstRowLastColumn="0" w:lastRowFirstColumn="0" w:lastRowLastColumn="0"/>
              <w:rPr>
                <w:noProof/>
              </w:rPr>
            </w:pPr>
            <w:r w:rsidRPr="00070302">
              <w:rPr>
                <w:noProof/>
              </w:rPr>
              <w:t>The </w:t>
            </w:r>
            <w:r w:rsidRPr="00070302">
              <w:rPr>
                <w:b/>
                <w:bCs/>
                <w:noProof/>
              </w:rPr>
              <w:t>Renewable Energy Directive</w:t>
            </w:r>
            <w:r w:rsidRPr="00070302">
              <w:rPr>
                <w:noProof/>
              </w:rPr>
              <w:t xml:space="preserve"> (RED III) simplifies and accelerates permitting procedures for renewable energy </w:t>
            </w:r>
            <w:r w:rsidR="7B1E7D26">
              <w:rPr>
                <w:noProof/>
              </w:rPr>
              <w:t xml:space="preserve">and storage </w:t>
            </w:r>
            <w:r w:rsidRPr="00070302">
              <w:rPr>
                <w:noProof/>
              </w:rPr>
              <w:t>projects, including by establishing renewables acceleration areas.  </w:t>
            </w:r>
          </w:p>
        </w:tc>
        <w:tc>
          <w:tcPr>
            <w:tcW w:w="7730" w:type="dxa"/>
            <w:tcBorders>
              <w:top w:val="single" w:sz="4" w:space="0" w:color="auto"/>
              <w:left w:val="single" w:sz="4" w:space="0" w:color="auto"/>
              <w:bottom w:val="single" w:sz="4" w:space="0" w:color="auto"/>
              <w:right w:val="single" w:sz="4" w:space="0" w:color="auto"/>
            </w:tcBorders>
          </w:tcPr>
          <w:p w14:paraId="40671242" w14:textId="1EF86411" w:rsidR="00E52A4F" w:rsidRDefault="00E52A4F" w:rsidP="00681AA1">
            <w:pPr>
              <w:cnfStyle w:val="000000000000" w:firstRow="0" w:lastRow="0" w:firstColumn="0" w:lastColumn="0" w:oddVBand="0" w:evenVBand="0" w:oddHBand="0" w:evenHBand="0" w:firstRowFirstColumn="0" w:firstRowLastColumn="0" w:lastRowFirstColumn="0" w:lastRowLastColumn="0"/>
              <w:rPr>
                <w:noProof/>
                <w:lang w:val="en-IE"/>
              </w:rPr>
            </w:pPr>
            <w:r w:rsidRPr="00070302">
              <w:rPr>
                <w:noProof/>
              </w:rPr>
              <w:t xml:space="preserve">Data centres may benefit from the increased availability of renewable energy </w:t>
            </w:r>
            <w:r w:rsidR="5DA24936">
              <w:rPr>
                <w:noProof/>
              </w:rPr>
              <w:t>and storage</w:t>
            </w:r>
            <w:r>
              <w:rPr>
                <w:noProof/>
              </w:rPr>
              <w:t xml:space="preserve"> </w:t>
            </w:r>
            <w:r w:rsidRPr="00070302">
              <w:rPr>
                <w:noProof/>
              </w:rPr>
              <w:t>in the EU but are not themselves covered by the Directive.</w:t>
            </w:r>
            <w:r>
              <w:rPr>
                <w:noProof/>
              </w:rPr>
              <w:t xml:space="preserve"> This initiative is thus fully complementary to RED III and can leverage it: Proximity to renewables acceleration areas may be a relevant factor in designating sites for faster data centre deployment.  </w:t>
            </w:r>
          </w:p>
        </w:tc>
      </w:tr>
      <w:tr w:rsidR="00304B1A" w14:paraId="2CB67484"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2FE00E" w14:textId="3A7B040F" w:rsidR="00E52A4F" w:rsidRPr="00651C87" w:rsidRDefault="00E52A4F">
            <w:pPr>
              <w:rPr>
                <w:noProof/>
              </w:rPr>
            </w:pPr>
            <w:r w:rsidRPr="00651C87">
              <w:rPr>
                <w:b w:val="0"/>
                <w:bCs w:val="0"/>
                <w:noProof/>
              </w:rPr>
              <w:t xml:space="preserve">SO3 - </w:t>
            </w:r>
            <w:r w:rsidRPr="00651C87">
              <w:rPr>
                <w:b w:val="0"/>
                <w:bCs w:val="0"/>
                <w:noProof/>
                <w:lang w:val="en-IE"/>
              </w:rPr>
              <w:t>Decrease the overall reliance on non-European cloud and AI computing service</w:t>
            </w:r>
            <w:r w:rsidR="007679D2">
              <w:rPr>
                <w:b w:val="0"/>
                <w:bCs w:val="0"/>
                <w:noProof/>
                <w:lang w:val="en-IE"/>
              </w:rPr>
              <w:t>s</w:t>
            </w:r>
          </w:p>
        </w:tc>
        <w:tc>
          <w:tcPr>
            <w:tcW w:w="0" w:type="dxa"/>
            <w:tcBorders>
              <w:top w:val="single" w:sz="4" w:space="0" w:color="auto"/>
              <w:left w:val="single" w:sz="4" w:space="0" w:color="auto"/>
              <w:bottom w:val="single" w:sz="4" w:space="0" w:color="auto"/>
              <w:right w:val="single" w:sz="4" w:space="0" w:color="auto"/>
            </w:tcBorders>
          </w:tcPr>
          <w:p w14:paraId="0FB365BC" w14:textId="77777777" w:rsidR="00E52A4F" w:rsidRDefault="00E52A4F">
            <w:pPr>
              <w:cnfStyle w:val="000000100000" w:firstRow="0" w:lastRow="0" w:firstColumn="0" w:lastColumn="0" w:oddVBand="0" w:evenVBand="0" w:oddHBand="1" w:evenHBand="0" w:firstRowFirstColumn="0" w:firstRowLastColumn="0" w:lastRowFirstColumn="0" w:lastRowLastColumn="0"/>
              <w:rPr>
                <w:noProof/>
              </w:rPr>
            </w:pPr>
            <w:r w:rsidRPr="00355AE4">
              <w:rPr>
                <w:noProof/>
              </w:rPr>
              <w:t>The </w:t>
            </w:r>
            <w:r w:rsidRPr="00355AE4">
              <w:rPr>
                <w:b/>
                <w:bCs/>
                <w:noProof/>
              </w:rPr>
              <w:t>Data Act</w:t>
            </w:r>
            <w:r w:rsidRPr="00355AE4">
              <w:rPr>
                <w:noProof/>
              </w:rPr>
              <w:t>,</w:t>
            </w:r>
            <w:r w:rsidRPr="00355AE4">
              <w:rPr>
                <w:b/>
                <w:bCs/>
                <w:noProof/>
              </w:rPr>
              <w:t> </w:t>
            </w:r>
            <w:r w:rsidRPr="00355AE4">
              <w:rPr>
                <w:noProof/>
              </w:rPr>
              <w:t>which enters into application in September 2025, enables cloud switching by removing key sources of contractual, commercial, and technical vendor lock-in. As part of this, it sets rules for fair cloud contracts, creates an EU repository for harmonized standards and open interoperability specifications, and lays the basis for standardization requests.  </w:t>
            </w:r>
          </w:p>
        </w:tc>
        <w:tc>
          <w:tcPr>
            <w:tcW w:w="0" w:type="dxa"/>
            <w:tcBorders>
              <w:top w:val="single" w:sz="4" w:space="0" w:color="auto"/>
              <w:left w:val="single" w:sz="4" w:space="0" w:color="auto"/>
              <w:bottom w:val="single" w:sz="4" w:space="0" w:color="auto"/>
              <w:right w:val="single" w:sz="4" w:space="0" w:color="auto"/>
            </w:tcBorders>
          </w:tcPr>
          <w:p w14:paraId="70529F4E" w14:textId="59E413A8" w:rsidR="00E52A4F" w:rsidRDefault="00E52A4F" w:rsidP="00681AA1">
            <w:pPr>
              <w:cnfStyle w:val="000000100000" w:firstRow="0" w:lastRow="0" w:firstColumn="0" w:lastColumn="0" w:oddVBand="0" w:evenVBand="0" w:oddHBand="1" w:evenHBand="0" w:firstRowFirstColumn="0" w:firstRowLastColumn="0" w:lastRowFirstColumn="0" w:lastRowLastColumn="0"/>
              <w:rPr>
                <w:noProof/>
              </w:rPr>
            </w:pPr>
            <w:r w:rsidRPr="00355AE4">
              <w:rPr>
                <w:noProof/>
              </w:rPr>
              <w:t>By enabling switching and removing key sources of vendor lock-in, the Data Act seeks to ensure that cloud service providers in the EU compete on quality, innovation, and price. It seeks to enable cloud users to freely choose the provider that best meets their needs and combine offers of different providers in a multi-cloud approach. However, the Data Act does not contain elements to shape up a more competitive offer of EU cloud services or encourage the entry into the market of a more diverse set of cloud service providers. The Data Act opens the path towards a possible reduction of dependencies on non-EU providers but does not build the road towards a more sovereign and trusted EU cloud computing sector. </w:t>
            </w:r>
            <w:r>
              <w:rPr>
                <w:noProof/>
              </w:rPr>
              <w:t xml:space="preserve">The cloud switching and interoperability provisions, however, make it possible for users to embrace European cloud computing services more strongly. The Data Act is thus an enabler for the </w:t>
            </w:r>
            <w:r w:rsidR="0001203E">
              <w:rPr>
                <w:noProof/>
              </w:rPr>
              <w:t>cloud</w:t>
            </w:r>
            <w:r>
              <w:rPr>
                <w:noProof/>
              </w:rPr>
              <w:t xml:space="preserve"> and AI Development Act. </w:t>
            </w:r>
            <w:r w:rsidRPr="00355AE4">
              <w:rPr>
                <w:noProof/>
              </w:rPr>
              <w:t>  </w:t>
            </w:r>
          </w:p>
        </w:tc>
      </w:tr>
      <w:tr w:rsidR="00304B1A" w14:paraId="5AA87D54"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6EA0A51F" w14:textId="77777777" w:rsidR="00E52A4F" w:rsidRDefault="00E52A4F">
            <w:pPr>
              <w:rPr>
                <w:noProof/>
              </w:rPr>
            </w:pPr>
          </w:p>
        </w:tc>
        <w:tc>
          <w:tcPr>
            <w:tcW w:w="0" w:type="dxa"/>
            <w:tcBorders>
              <w:top w:val="single" w:sz="4" w:space="0" w:color="auto"/>
              <w:left w:val="single" w:sz="4" w:space="0" w:color="auto"/>
              <w:bottom w:val="single" w:sz="4" w:space="0" w:color="auto"/>
              <w:right w:val="single" w:sz="4" w:space="0" w:color="auto"/>
            </w:tcBorders>
          </w:tcPr>
          <w:p w14:paraId="23EB86CE" w14:textId="77777777" w:rsidR="00E52A4F" w:rsidRPr="00355AE4" w:rsidRDefault="00E52A4F">
            <w:pPr>
              <w:cnfStyle w:val="000000000000" w:firstRow="0" w:lastRow="0" w:firstColumn="0" w:lastColumn="0" w:oddVBand="0" w:evenVBand="0" w:oddHBand="0" w:evenHBand="0" w:firstRowFirstColumn="0" w:firstRowLastColumn="0" w:lastRowFirstColumn="0" w:lastRowLastColumn="0"/>
              <w:rPr>
                <w:noProof/>
              </w:rPr>
            </w:pPr>
            <w:r w:rsidRPr="00F57EE9">
              <w:rPr>
                <w:noProof/>
              </w:rPr>
              <w:t>The </w:t>
            </w:r>
            <w:r w:rsidRPr="00F57EE9">
              <w:rPr>
                <w:b/>
                <w:bCs/>
                <w:noProof/>
              </w:rPr>
              <w:t>Digital Markets Act</w:t>
            </w:r>
            <w:r w:rsidRPr="00F57EE9">
              <w:rPr>
                <w:noProof/>
              </w:rPr>
              <w:t> covers cloud services as a core platform service, meaning that cloud service providers designated as gatekeepers would have to comply with a set of obligations, for example related to enabling interoperability.</w:t>
            </w:r>
          </w:p>
        </w:tc>
        <w:tc>
          <w:tcPr>
            <w:tcW w:w="0" w:type="dxa"/>
            <w:tcBorders>
              <w:top w:val="single" w:sz="4" w:space="0" w:color="auto"/>
              <w:left w:val="single" w:sz="4" w:space="0" w:color="auto"/>
              <w:bottom w:val="single" w:sz="4" w:space="0" w:color="auto"/>
              <w:right w:val="single" w:sz="4" w:space="0" w:color="auto"/>
            </w:tcBorders>
          </w:tcPr>
          <w:p w14:paraId="1D9F6015" w14:textId="77777777" w:rsidR="00E52A4F" w:rsidRDefault="00E52A4F" w:rsidP="00681AA1">
            <w:pPr>
              <w:cnfStyle w:val="000000000000" w:firstRow="0" w:lastRow="0" w:firstColumn="0" w:lastColumn="0" w:oddVBand="0" w:evenVBand="0" w:oddHBand="0" w:evenHBand="0" w:firstRowFirstColumn="0" w:firstRowLastColumn="0" w:lastRowFirstColumn="0" w:lastRowLastColumn="0"/>
              <w:rPr>
                <w:noProof/>
              </w:rPr>
            </w:pPr>
            <w:r>
              <w:rPr>
                <w:noProof/>
              </w:rPr>
              <w:t>S</w:t>
            </w:r>
            <w:r w:rsidRPr="00F57EE9">
              <w:rPr>
                <w:noProof/>
              </w:rPr>
              <w:t>o far, no cloud and AI computing service provider has been designated as a gatekeeper for their services (Amazon designated for the marketplace and amazon advertising; Microsoft is designated for LinkedIn and for Windows PC O</w:t>
            </w:r>
            <w:r>
              <w:rPr>
                <w:noProof/>
              </w:rPr>
              <w:t xml:space="preserve">perating </w:t>
            </w:r>
            <w:r w:rsidRPr="00F57EE9">
              <w:rPr>
                <w:noProof/>
              </w:rPr>
              <w:t>S</w:t>
            </w:r>
            <w:r>
              <w:rPr>
                <w:noProof/>
              </w:rPr>
              <w:t>ystem</w:t>
            </w:r>
            <w:r w:rsidRPr="00F57EE9">
              <w:rPr>
                <w:noProof/>
              </w:rPr>
              <w:t xml:space="preserve">). </w:t>
            </w:r>
            <w:r>
              <w:rPr>
                <w:noProof/>
              </w:rPr>
              <w:t>On 18 November 2025, the Commission opened three market investigations on cloud computing services under the DMA: T</w:t>
            </w:r>
            <w:r w:rsidRPr="00F57EE9">
              <w:rPr>
                <w:noProof/>
              </w:rPr>
              <w:t xml:space="preserve">wo market investigations will assess whether Amazon and Microsoft should be designated as gatekeepers for their cloud computing services, Amazon Web Services and Microsoft Azure, under the DMA, in other words whether they act as important gateways between businesses and consumers, despite not meeting the DMA gatekeeper thresholds for size, user number and market position. The third market investigation will assess if the DMA can effectively tackle practices that may limit competitiveness and fairness in the cloud computing sector in the EU. </w:t>
            </w:r>
          </w:p>
          <w:p w14:paraId="0635D7E7" w14:textId="443AE4CC" w:rsidR="00E52A4F" w:rsidRPr="00355AE4" w:rsidRDefault="00E52A4F" w:rsidP="00681AA1">
            <w:pPr>
              <w:cnfStyle w:val="000000000000" w:firstRow="0" w:lastRow="0" w:firstColumn="0" w:lastColumn="0" w:oddVBand="0" w:evenVBand="0" w:oddHBand="0" w:evenHBand="0" w:firstRowFirstColumn="0" w:firstRowLastColumn="0" w:lastRowFirstColumn="0" w:lastRowLastColumn="0"/>
              <w:rPr>
                <w:noProof/>
              </w:rPr>
            </w:pPr>
            <w:r w:rsidRPr="00F57EE9">
              <w:rPr>
                <w:noProof/>
              </w:rPr>
              <w:t xml:space="preserve">Irrespective of the gatekeeper designation, the </w:t>
            </w:r>
            <w:r w:rsidR="0094277C">
              <w:rPr>
                <w:noProof/>
              </w:rPr>
              <w:t>DMA</w:t>
            </w:r>
            <w:r w:rsidRPr="00F57EE9">
              <w:rPr>
                <w:noProof/>
              </w:rPr>
              <w:t xml:space="preserve"> does not contain measures that would </w:t>
            </w:r>
            <w:r>
              <w:rPr>
                <w:noProof/>
              </w:rPr>
              <w:t>actively</w:t>
            </w:r>
            <w:r w:rsidRPr="00F57EE9">
              <w:rPr>
                <w:noProof/>
              </w:rPr>
              <w:t xml:space="preserve"> promote </w:t>
            </w:r>
            <w:r>
              <w:rPr>
                <w:noProof/>
              </w:rPr>
              <w:t xml:space="preserve">the uptake of sovereign cloud services. The DMA aims at remedying specific market behaviours of certain providers that are gatekeepers and thus intervenes at a different level than the </w:t>
            </w:r>
            <w:r w:rsidR="0001203E">
              <w:rPr>
                <w:noProof/>
              </w:rPr>
              <w:t>cloud</w:t>
            </w:r>
            <w:r>
              <w:rPr>
                <w:noProof/>
              </w:rPr>
              <w:t xml:space="preserve"> and AI Development Act, which focuses on the uptake and use of the services provided. </w:t>
            </w:r>
          </w:p>
        </w:tc>
      </w:tr>
      <w:tr w:rsidR="00B43A91" w14:paraId="788F918B"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bottom w:val="single" w:sz="4" w:space="0" w:color="auto"/>
              <w:right w:val="single" w:sz="4" w:space="0" w:color="auto"/>
            </w:tcBorders>
          </w:tcPr>
          <w:p w14:paraId="0CDCD324" w14:textId="7F56CDB9" w:rsidR="008866D6" w:rsidRPr="00651C87" w:rsidRDefault="008866D6">
            <w:pPr>
              <w:rPr>
                <w:noProof/>
              </w:rPr>
            </w:pPr>
            <w:r w:rsidRPr="00651C87">
              <w:rPr>
                <w:b w:val="0"/>
                <w:bCs w:val="0"/>
                <w:noProof/>
              </w:rPr>
              <w:t xml:space="preserve">SO4 - </w:t>
            </w:r>
            <w:r w:rsidR="005B1710" w:rsidRPr="005B1710">
              <w:rPr>
                <w:b w:val="0"/>
                <w:bCs w:val="0"/>
                <w:noProof/>
                <w:lang w:val="en-IE"/>
              </w:rPr>
              <w:t>Contribute to the protection of fundamental interests of society by enhancing</w:t>
            </w:r>
            <w:r w:rsidRPr="00651C87">
              <w:rPr>
                <w:b w:val="0"/>
                <w:bCs w:val="0"/>
                <w:noProof/>
                <w:lang w:val="en-IE"/>
              </w:rPr>
              <w:t xml:space="preserve"> the resilience of supply of cloud and AI computing services, in particular in the public sector</w:t>
            </w:r>
          </w:p>
        </w:tc>
        <w:tc>
          <w:tcPr>
            <w:tcW w:w="0" w:type="dxa"/>
            <w:tcBorders>
              <w:top w:val="single" w:sz="4" w:space="0" w:color="auto"/>
              <w:left w:val="single" w:sz="4" w:space="0" w:color="auto"/>
              <w:bottom w:val="single" w:sz="4" w:space="0" w:color="auto"/>
              <w:right w:val="single" w:sz="4" w:space="0" w:color="auto"/>
            </w:tcBorders>
          </w:tcPr>
          <w:p w14:paraId="0E9CB478" w14:textId="23D440CA" w:rsidR="008866D6" w:rsidRDefault="008866D6">
            <w:pPr>
              <w:cnfStyle w:val="000000100000" w:firstRow="0" w:lastRow="0" w:firstColumn="0" w:lastColumn="0" w:oddVBand="0" w:evenVBand="0" w:oddHBand="1" w:evenHBand="0" w:firstRowFirstColumn="0" w:firstRowLastColumn="0" w:lastRowFirstColumn="0" w:lastRowLastColumn="0"/>
              <w:rPr>
                <w:noProof/>
              </w:rPr>
            </w:pPr>
            <w:r w:rsidRPr="002D5B18">
              <w:rPr>
                <w:noProof/>
              </w:rPr>
              <w:t>The </w:t>
            </w:r>
            <w:r w:rsidRPr="002D5B18">
              <w:rPr>
                <w:b/>
                <w:bCs/>
                <w:noProof/>
              </w:rPr>
              <w:t>Public Procurement Directives</w:t>
            </w:r>
            <w:r w:rsidRPr="002D5B18">
              <w:rPr>
                <w:noProof/>
              </w:rPr>
              <w:t> cover tenders above certain thresholds and prescribe transparency, equal treatment, open competition and sound management for procurement procedures. The upcoming revision of these Directives intends to align them more closely with strategic goals of the EU, including resilience considerations</w:t>
            </w:r>
            <w:r w:rsidR="09E6BB10">
              <w:rPr>
                <w:noProof/>
              </w:rPr>
              <w:t xml:space="preserve"> </w:t>
            </w:r>
            <w:r w:rsidR="751528EF" w:rsidRPr="00CF6F22">
              <w:rPr>
                <w:noProof/>
              </w:rPr>
              <w:t>and the announced</w:t>
            </w:r>
            <w:r w:rsidRPr="00CF6F22">
              <w:rPr>
                <w:noProof/>
              </w:rPr>
              <w:t xml:space="preserve"> EU preference in public procurement within strategic sectors.</w:t>
            </w:r>
            <w:r>
              <w:rPr>
                <w:noProof/>
              </w:rPr>
              <w:t xml:space="preserve"> </w:t>
            </w:r>
          </w:p>
        </w:tc>
        <w:tc>
          <w:tcPr>
            <w:tcW w:w="0" w:type="dxa"/>
            <w:tcBorders>
              <w:top w:val="single" w:sz="4" w:space="0" w:color="auto"/>
              <w:left w:val="single" w:sz="4" w:space="0" w:color="auto"/>
              <w:bottom w:val="single" w:sz="4" w:space="0" w:color="auto"/>
              <w:right w:val="single" w:sz="4" w:space="0" w:color="auto"/>
            </w:tcBorders>
          </w:tcPr>
          <w:p w14:paraId="2CC40F66" w14:textId="169D859B" w:rsidR="008866D6" w:rsidRDefault="008866D6" w:rsidP="00681AA1">
            <w:pPr>
              <w:cnfStyle w:val="000000100000" w:firstRow="0" w:lastRow="0" w:firstColumn="0" w:lastColumn="0" w:oddVBand="0" w:evenVBand="0" w:oddHBand="1" w:evenHBand="0" w:firstRowFirstColumn="0" w:firstRowLastColumn="0" w:lastRowFirstColumn="0" w:lastRowLastColumn="0"/>
              <w:rPr>
                <w:noProof/>
              </w:rPr>
            </w:pPr>
            <w:r w:rsidRPr="00974C4F">
              <w:rPr>
                <w:noProof/>
              </w:rPr>
              <w:t xml:space="preserve">Public authorities in the EU rely heavily on </w:t>
            </w:r>
            <w:r>
              <w:rPr>
                <w:noProof/>
              </w:rPr>
              <w:t>non-EU</w:t>
            </w:r>
            <w:r w:rsidRPr="00974C4F">
              <w:rPr>
                <w:noProof/>
              </w:rPr>
              <w:t xml:space="preserve"> cloud and AI computing service providers.</w:t>
            </w:r>
            <w:r w:rsidRPr="5CA337F5">
              <w:rPr>
                <w:noProof/>
                <w:color w:val="000000" w:themeColor="text1"/>
              </w:rPr>
              <w:t xml:space="preserve"> </w:t>
            </w:r>
            <w:r w:rsidR="70FE5D2C">
              <w:rPr>
                <w:noProof/>
              </w:rPr>
              <w:t>The problem dr</w:t>
            </w:r>
            <w:r w:rsidR="58550D92">
              <w:rPr>
                <w:noProof/>
              </w:rPr>
              <w:t xml:space="preserve">ivers justifying </w:t>
            </w:r>
            <w:r w:rsidR="38F130F3">
              <w:rPr>
                <w:noProof/>
              </w:rPr>
              <w:t xml:space="preserve">the </w:t>
            </w:r>
            <w:r w:rsidR="58550D92">
              <w:rPr>
                <w:noProof/>
              </w:rPr>
              <w:t xml:space="preserve">policy measures </w:t>
            </w:r>
            <w:r w:rsidR="0221E8AF">
              <w:rPr>
                <w:noProof/>
              </w:rPr>
              <w:t xml:space="preserve">of the </w:t>
            </w:r>
            <w:r w:rsidR="0001203E">
              <w:rPr>
                <w:noProof/>
              </w:rPr>
              <w:t>cloud</w:t>
            </w:r>
            <w:r w:rsidR="0221E8AF">
              <w:rPr>
                <w:noProof/>
              </w:rPr>
              <w:t xml:space="preserve"> and AI Development Act </w:t>
            </w:r>
            <w:r w:rsidR="3FE35495">
              <w:rPr>
                <w:noProof/>
              </w:rPr>
              <w:t>regarding</w:t>
            </w:r>
            <w:r w:rsidR="0221E8AF">
              <w:rPr>
                <w:noProof/>
              </w:rPr>
              <w:t xml:space="preserve"> the public procurement of </w:t>
            </w:r>
            <w:r w:rsidR="11437505">
              <w:rPr>
                <w:noProof/>
              </w:rPr>
              <w:t>sovereign</w:t>
            </w:r>
            <w:r w:rsidR="1A5EBB53">
              <w:rPr>
                <w:noProof/>
              </w:rPr>
              <w:t xml:space="preserve"> cloud and AI computing services</w:t>
            </w:r>
            <w:r w:rsidR="0221E8AF">
              <w:rPr>
                <w:noProof/>
              </w:rPr>
              <w:t xml:space="preserve"> </w:t>
            </w:r>
            <w:r w:rsidR="1A5EBB53">
              <w:rPr>
                <w:noProof/>
              </w:rPr>
              <w:t>in sectors of high criticality</w:t>
            </w:r>
            <w:r w:rsidR="58550D92">
              <w:rPr>
                <w:noProof/>
              </w:rPr>
              <w:t xml:space="preserve"> </w:t>
            </w:r>
            <w:r w:rsidR="2F3E2855">
              <w:rPr>
                <w:noProof/>
              </w:rPr>
              <w:t xml:space="preserve">are very specific to the technologies </w:t>
            </w:r>
            <w:r w:rsidR="3D06E28F">
              <w:rPr>
                <w:noProof/>
              </w:rPr>
              <w:t>and applicable legal frameworks concerned.</w:t>
            </w:r>
            <w:r w:rsidR="2F3E2855">
              <w:rPr>
                <w:noProof/>
              </w:rPr>
              <w:t xml:space="preserve"> </w:t>
            </w:r>
            <w:r w:rsidR="2CA837AC">
              <w:rPr>
                <w:noProof/>
              </w:rPr>
              <w:t>For example, a</w:t>
            </w:r>
            <w:r w:rsidR="48FC9537">
              <w:rPr>
                <w:noProof/>
              </w:rPr>
              <w:t xml:space="preserve"> cloud computing service</w:t>
            </w:r>
            <w:r w:rsidR="2CA837AC">
              <w:rPr>
                <w:noProof/>
              </w:rPr>
              <w:t xml:space="preserve"> value chain and the underlying </w:t>
            </w:r>
            <w:r w:rsidR="3B736A16">
              <w:rPr>
                <w:noProof/>
              </w:rPr>
              <w:t>infra</w:t>
            </w:r>
            <w:r w:rsidR="31663371">
              <w:rPr>
                <w:noProof/>
              </w:rPr>
              <w:t>s</w:t>
            </w:r>
            <w:r w:rsidR="3B736A16">
              <w:rPr>
                <w:noProof/>
              </w:rPr>
              <w:t>tructure used to deploy the service</w:t>
            </w:r>
            <w:r w:rsidR="2CA837AC">
              <w:rPr>
                <w:noProof/>
              </w:rPr>
              <w:t xml:space="preserve"> can be distributed across different </w:t>
            </w:r>
            <w:r w:rsidR="411FDF09">
              <w:rPr>
                <w:noProof/>
              </w:rPr>
              <w:t>geographies and</w:t>
            </w:r>
            <w:r w:rsidR="2CA837AC">
              <w:rPr>
                <w:noProof/>
              </w:rPr>
              <w:t xml:space="preserve"> subject to </w:t>
            </w:r>
            <w:r w:rsidR="29408384">
              <w:rPr>
                <w:noProof/>
              </w:rPr>
              <w:t>corresponding</w:t>
            </w:r>
            <w:r w:rsidR="34169200">
              <w:rPr>
                <w:noProof/>
              </w:rPr>
              <w:t xml:space="preserve"> jurisdictions</w:t>
            </w:r>
            <w:r w:rsidR="29408384">
              <w:rPr>
                <w:noProof/>
              </w:rPr>
              <w:t>, including those with laws with an extraterritorial effect</w:t>
            </w:r>
            <w:r w:rsidR="0B5516D2">
              <w:rPr>
                <w:noProof/>
              </w:rPr>
              <w:t>.</w:t>
            </w:r>
            <w:r w:rsidR="2CA837AC">
              <w:rPr>
                <w:noProof/>
              </w:rPr>
              <w:t xml:space="preserve"> </w:t>
            </w:r>
            <w:r w:rsidRPr="00974C4F">
              <w:rPr>
                <w:noProof/>
              </w:rPr>
              <w:t> </w:t>
            </w:r>
            <w:r w:rsidR="22DA0998">
              <w:rPr>
                <w:noProof/>
              </w:rPr>
              <w:t xml:space="preserve">Such problem drivers therefore </w:t>
            </w:r>
            <w:r w:rsidR="0D86C7E6">
              <w:rPr>
                <w:noProof/>
              </w:rPr>
              <w:t>r</w:t>
            </w:r>
            <w:r w:rsidRPr="00974C4F">
              <w:rPr>
                <w:noProof/>
              </w:rPr>
              <w:t>equire a</w:t>
            </w:r>
            <w:r>
              <w:rPr>
                <w:noProof/>
              </w:rPr>
              <w:t xml:space="preserve"> </w:t>
            </w:r>
            <w:r w:rsidR="202BDEF5">
              <w:rPr>
                <w:noProof/>
              </w:rPr>
              <w:t>nuanced and targeted</w:t>
            </w:r>
            <w:r w:rsidRPr="00974C4F">
              <w:rPr>
                <w:noProof/>
              </w:rPr>
              <w:t xml:space="preserve"> sectoral approach, which is not covered by the existing Public Procurement Directives and w</w:t>
            </w:r>
            <w:r w:rsidR="1C84BAD6">
              <w:rPr>
                <w:noProof/>
              </w:rPr>
              <w:t xml:space="preserve">ould be difficult to </w:t>
            </w:r>
            <w:r w:rsidR="5932F618">
              <w:rPr>
                <w:noProof/>
              </w:rPr>
              <w:t>accoun</w:t>
            </w:r>
            <w:r w:rsidR="629B9FF6">
              <w:rPr>
                <w:noProof/>
              </w:rPr>
              <w:t>t</w:t>
            </w:r>
            <w:r w:rsidR="5932F618">
              <w:rPr>
                <w:noProof/>
              </w:rPr>
              <w:t xml:space="preserve"> for </w:t>
            </w:r>
            <w:r>
              <w:rPr>
                <w:noProof/>
              </w:rPr>
              <w:t>sufficiently</w:t>
            </w:r>
            <w:r w:rsidRPr="00974C4F">
              <w:rPr>
                <w:noProof/>
              </w:rPr>
              <w:t xml:space="preserve"> </w:t>
            </w:r>
            <w:r w:rsidR="4B9A96A0">
              <w:rPr>
                <w:noProof/>
              </w:rPr>
              <w:t>through an overarching EU preference approach</w:t>
            </w:r>
            <w:r>
              <w:rPr>
                <w:noProof/>
              </w:rPr>
              <w:t xml:space="preserve">. This initiative </w:t>
            </w:r>
            <w:r w:rsidR="4BE02470">
              <w:rPr>
                <w:noProof/>
              </w:rPr>
              <w:t xml:space="preserve">will </w:t>
            </w:r>
            <w:r w:rsidR="6B1163B9">
              <w:rPr>
                <w:noProof/>
              </w:rPr>
              <w:t xml:space="preserve">therefore </w:t>
            </w:r>
            <w:r w:rsidR="4BE02470">
              <w:rPr>
                <w:noProof/>
              </w:rPr>
              <w:t>provide a sector-specific approach to sovereignty – the many layers of which cannot be addressed in the horizontal acquis that lays down general principles for the design of procurement procedures</w:t>
            </w:r>
            <w:r w:rsidR="4606762A">
              <w:rPr>
                <w:noProof/>
              </w:rPr>
              <w:t xml:space="preserve"> </w:t>
            </w:r>
            <w:r w:rsidR="6FE1F5EE">
              <w:rPr>
                <w:noProof/>
              </w:rPr>
              <w:t>– which</w:t>
            </w:r>
            <w:r w:rsidR="5C42A064">
              <w:rPr>
                <w:noProof/>
              </w:rPr>
              <w:t xml:space="preserve"> will be</w:t>
            </w:r>
            <w:r w:rsidR="4BE02470">
              <w:rPr>
                <w:noProof/>
              </w:rPr>
              <w:t xml:space="preserve"> </w:t>
            </w:r>
            <w:r>
              <w:rPr>
                <w:noProof/>
              </w:rPr>
              <w:t>complement</w:t>
            </w:r>
            <w:r w:rsidR="1A4BAE0F">
              <w:rPr>
                <w:noProof/>
              </w:rPr>
              <w:t>ed</w:t>
            </w:r>
            <w:r>
              <w:rPr>
                <w:noProof/>
              </w:rPr>
              <w:t xml:space="preserve"> </w:t>
            </w:r>
            <w:r w:rsidR="00681AA1">
              <w:rPr>
                <w:noProof/>
              </w:rPr>
              <w:t>by award</w:t>
            </w:r>
            <w:r>
              <w:rPr>
                <w:noProof/>
              </w:rPr>
              <w:t xml:space="preserve"> criteria that are </w:t>
            </w:r>
            <w:r w:rsidR="21739FDB">
              <w:rPr>
                <w:noProof/>
              </w:rPr>
              <w:t xml:space="preserve">also </w:t>
            </w:r>
            <w:r>
              <w:rPr>
                <w:noProof/>
              </w:rPr>
              <w:t xml:space="preserve">tailored to the specificities of cloud and AI computing services. </w:t>
            </w:r>
          </w:p>
        </w:tc>
      </w:tr>
      <w:tr w:rsidR="00B43A91" w14:paraId="798C0640"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36CF8B5D" w14:textId="77777777" w:rsidR="008866D6" w:rsidRDefault="008866D6">
            <w:pPr>
              <w:rPr>
                <w:noProof/>
              </w:rPr>
            </w:pPr>
          </w:p>
        </w:tc>
        <w:tc>
          <w:tcPr>
            <w:tcW w:w="0" w:type="dxa"/>
            <w:tcBorders>
              <w:top w:val="single" w:sz="4" w:space="0" w:color="auto"/>
              <w:left w:val="single" w:sz="4" w:space="0" w:color="auto"/>
              <w:bottom w:val="single" w:sz="4" w:space="0" w:color="auto"/>
              <w:right w:val="single" w:sz="4" w:space="0" w:color="auto"/>
            </w:tcBorders>
          </w:tcPr>
          <w:p w14:paraId="53225104" w14:textId="77777777" w:rsidR="008866D6" w:rsidRPr="002D5B18" w:rsidRDefault="008866D6">
            <w:pPr>
              <w:cnfStyle w:val="000000000000" w:firstRow="0" w:lastRow="0" w:firstColumn="0" w:lastColumn="0" w:oddVBand="0" w:evenVBand="0" w:oddHBand="0" w:evenHBand="0" w:firstRowFirstColumn="0" w:firstRowLastColumn="0" w:lastRowFirstColumn="0" w:lastRowLastColumn="0"/>
              <w:rPr>
                <w:noProof/>
              </w:rPr>
            </w:pPr>
            <w:r w:rsidRPr="00651C87">
              <w:rPr>
                <w:noProof/>
              </w:rPr>
              <w:t>The </w:t>
            </w:r>
            <w:r w:rsidRPr="00651C87">
              <w:rPr>
                <w:b/>
                <w:bCs/>
                <w:noProof/>
              </w:rPr>
              <w:t>Cybersecurity Act</w:t>
            </w:r>
            <w:r w:rsidRPr="00651C87">
              <w:rPr>
                <w:noProof/>
              </w:rPr>
              <w:t>, currently under revision, lays down a voluntary certification framework for ICT processes, services and products – with cloud services considered as a subset of ICT services. It gives the legislative framework for adopting a European cybersecurity certification scheme for cloud services by means of an Implementing Regulation. </w:t>
            </w:r>
          </w:p>
        </w:tc>
        <w:tc>
          <w:tcPr>
            <w:tcW w:w="0" w:type="dxa"/>
            <w:tcBorders>
              <w:top w:val="single" w:sz="4" w:space="0" w:color="auto"/>
              <w:left w:val="single" w:sz="4" w:space="0" w:color="auto"/>
              <w:bottom w:val="single" w:sz="4" w:space="0" w:color="auto"/>
              <w:right w:val="single" w:sz="4" w:space="0" w:color="auto"/>
            </w:tcBorders>
          </w:tcPr>
          <w:p w14:paraId="668AE54F" w14:textId="5193D440" w:rsidR="008866D6" w:rsidRPr="00974C4F" w:rsidRDefault="008866D6" w:rsidP="00681AA1">
            <w:pPr>
              <w:cnfStyle w:val="000000000000" w:firstRow="0" w:lastRow="0" w:firstColumn="0" w:lastColumn="0" w:oddVBand="0" w:evenVBand="0" w:oddHBand="0" w:evenHBand="0" w:firstRowFirstColumn="0" w:firstRowLastColumn="0" w:lastRowFirstColumn="0" w:lastRowLastColumn="0"/>
              <w:rPr>
                <w:noProof/>
              </w:rPr>
            </w:pPr>
            <w:r w:rsidRPr="00651C87">
              <w:rPr>
                <w:noProof/>
              </w:rPr>
              <w:t>ENISA has been working on developing an EU-wide cybersecurity certification scheme for cloud services (EUCS), which has not yet been adopted. Certification under the CSA can address technical cybersecurity criteria but is not suited for addressing sovereignty concerns that go beyond these technical elements.</w:t>
            </w:r>
            <w:r>
              <w:rPr>
                <w:noProof/>
              </w:rPr>
              <w:t xml:space="preserve"> This initiative will thus complement the CSA’s cloud cybersecurity focus with sovereignty considerations. A </w:t>
            </w:r>
            <w:r w:rsidR="002D31C8">
              <w:rPr>
                <w:noProof/>
              </w:rPr>
              <w:t>finalised</w:t>
            </w:r>
            <w:r>
              <w:rPr>
                <w:noProof/>
              </w:rPr>
              <w:t xml:space="preserve"> EUCS could be leveraged in the </w:t>
            </w:r>
            <w:r w:rsidR="00F41E54">
              <w:rPr>
                <w:noProof/>
              </w:rPr>
              <w:t>audit</w:t>
            </w:r>
            <w:r>
              <w:rPr>
                <w:noProof/>
              </w:rPr>
              <w:t xml:space="preserve"> scheme for sovereign cloud and AI computing services as a way of ensuring that a service </w:t>
            </w:r>
            <w:r w:rsidR="007014C3">
              <w:rPr>
                <w:noProof/>
              </w:rPr>
              <w:t xml:space="preserve">subject to a sovereignty audit </w:t>
            </w:r>
            <w:r>
              <w:rPr>
                <w:noProof/>
              </w:rPr>
              <w:t xml:space="preserve">meets the highest cybersecurity standards.   </w:t>
            </w:r>
          </w:p>
        </w:tc>
      </w:tr>
      <w:tr w:rsidR="00A52250" w14:paraId="3962312C"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Merge/>
          </w:tcPr>
          <w:p w14:paraId="0BD8BD70" w14:textId="77777777" w:rsidR="008866D6" w:rsidRDefault="008866D6">
            <w:pPr>
              <w:rPr>
                <w:noProof/>
              </w:rPr>
            </w:pPr>
          </w:p>
        </w:tc>
        <w:tc>
          <w:tcPr>
            <w:tcW w:w="0" w:type="dxa"/>
            <w:tcBorders>
              <w:top w:val="single" w:sz="4" w:space="0" w:color="auto"/>
              <w:left w:val="single" w:sz="4" w:space="0" w:color="auto"/>
              <w:bottom w:val="single" w:sz="4" w:space="0" w:color="auto"/>
              <w:right w:val="single" w:sz="4" w:space="0" w:color="auto"/>
            </w:tcBorders>
          </w:tcPr>
          <w:p w14:paraId="14E832A7" w14:textId="77777777" w:rsidR="008866D6" w:rsidRPr="00651C87" w:rsidRDefault="008866D6">
            <w:pPr>
              <w:cnfStyle w:val="000000100000" w:firstRow="0" w:lastRow="0" w:firstColumn="0" w:lastColumn="0" w:oddVBand="0" w:evenVBand="0" w:oddHBand="1" w:evenHBand="0" w:firstRowFirstColumn="0" w:firstRowLastColumn="0" w:lastRowFirstColumn="0" w:lastRowLastColumn="0"/>
              <w:rPr>
                <w:noProof/>
              </w:rPr>
            </w:pPr>
            <w:r w:rsidRPr="00651C87">
              <w:rPr>
                <w:noProof/>
              </w:rPr>
              <w:t>The </w:t>
            </w:r>
            <w:r w:rsidRPr="00651C87">
              <w:rPr>
                <w:b/>
                <w:bCs/>
                <w:noProof/>
              </w:rPr>
              <w:t>Directive on Security of Network and Information Systems</w:t>
            </w:r>
            <w:r w:rsidRPr="00651C87">
              <w:rPr>
                <w:noProof/>
              </w:rPr>
              <w:t> (NIS2) sets out cybersecurity risk management and incident reporting obligations to a set of essential and important entities across critical sectors, including cloud services and infrastructure.</w:t>
            </w:r>
          </w:p>
        </w:tc>
        <w:tc>
          <w:tcPr>
            <w:tcW w:w="0" w:type="dxa"/>
            <w:tcBorders>
              <w:top w:val="single" w:sz="4" w:space="0" w:color="auto"/>
              <w:left w:val="single" w:sz="4" w:space="0" w:color="auto"/>
              <w:bottom w:val="single" w:sz="4" w:space="0" w:color="auto"/>
              <w:right w:val="single" w:sz="4" w:space="0" w:color="auto"/>
            </w:tcBorders>
          </w:tcPr>
          <w:p w14:paraId="2AEBF6A7" w14:textId="77777777" w:rsidR="008866D6" w:rsidRPr="00974C4F" w:rsidRDefault="008866D6" w:rsidP="00681AA1">
            <w:pPr>
              <w:cnfStyle w:val="000000100000" w:firstRow="0" w:lastRow="0" w:firstColumn="0" w:lastColumn="0" w:oddVBand="0" w:evenVBand="0" w:oddHBand="1" w:evenHBand="0" w:firstRowFirstColumn="0" w:firstRowLastColumn="0" w:lastRowFirstColumn="0" w:lastRowLastColumn="0"/>
              <w:rPr>
                <w:noProof/>
              </w:rPr>
            </w:pPr>
            <w:r w:rsidRPr="00651C87">
              <w:rPr>
                <w:noProof/>
              </w:rPr>
              <w:t xml:space="preserve">The NIS2 Directive improves the cybersecurity risk management of cloud service providers and data centres in the EU, resulting in greater trust. However, it does not contain measures </w:t>
            </w:r>
            <w:r>
              <w:rPr>
                <w:noProof/>
              </w:rPr>
              <w:t xml:space="preserve">geared at the uptake and use of such services and remains fully focused on technical cybersecurity as opposed to broader sovereignty considerations. This initiative will therefore complement the NIS2 Directive. </w:t>
            </w:r>
            <w:r w:rsidRPr="00651C87">
              <w:rPr>
                <w:noProof/>
              </w:rPr>
              <w:t> </w:t>
            </w:r>
          </w:p>
        </w:tc>
      </w:tr>
      <w:tr w:rsidR="00B43A91" w14:paraId="2619E54D"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070529EC" w14:textId="77777777" w:rsidR="008866D6" w:rsidRDefault="008866D6">
            <w:pPr>
              <w:rPr>
                <w:noProof/>
              </w:rPr>
            </w:pPr>
          </w:p>
        </w:tc>
        <w:tc>
          <w:tcPr>
            <w:tcW w:w="0" w:type="dxa"/>
            <w:tcBorders>
              <w:top w:val="single" w:sz="4" w:space="0" w:color="auto"/>
              <w:left w:val="single" w:sz="4" w:space="0" w:color="auto"/>
              <w:bottom w:val="single" w:sz="4" w:space="0" w:color="auto"/>
              <w:right w:val="single" w:sz="4" w:space="0" w:color="auto"/>
            </w:tcBorders>
          </w:tcPr>
          <w:p w14:paraId="6C25FA67" w14:textId="77777777" w:rsidR="008866D6" w:rsidRPr="00651C87" w:rsidRDefault="008866D6">
            <w:pPr>
              <w:cnfStyle w:val="000000000000" w:firstRow="0" w:lastRow="0" w:firstColumn="0" w:lastColumn="0" w:oddVBand="0" w:evenVBand="0" w:oddHBand="0" w:evenHBand="0" w:firstRowFirstColumn="0" w:firstRowLastColumn="0" w:lastRowFirstColumn="0" w:lastRowLastColumn="0"/>
              <w:rPr>
                <w:noProof/>
              </w:rPr>
            </w:pPr>
            <w:r w:rsidRPr="00651C87">
              <w:rPr>
                <w:noProof/>
              </w:rPr>
              <w:t>The </w:t>
            </w:r>
            <w:r w:rsidRPr="00651C87">
              <w:rPr>
                <w:b/>
                <w:bCs/>
                <w:noProof/>
              </w:rPr>
              <w:t>Digital Operational Resilience Act (DORA) </w:t>
            </w:r>
            <w:r w:rsidRPr="00651C87">
              <w:rPr>
                <w:noProof/>
              </w:rPr>
              <w:t>aims to strengthen the digital resilience of financial entities. It ensures that banks, insurance companies,</w:t>
            </w:r>
            <w:r>
              <w:rPr>
                <w:noProof/>
              </w:rPr>
              <w:t xml:space="preserve"> and</w:t>
            </w:r>
            <w:r w:rsidRPr="00651C87">
              <w:rPr>
                <w:noProof/>
              </w:rPr>
              <w:t xml:space="preserve"> investment firms can withstand, respond to, and recover from ICT disruptions, such as cyberattacks or system failures. </w:t>
            </w:r>
          </w:p>
        </w:tc>
        <w:tc>
          <w:tcPr>
            <w:tcW w:w="0" w:type="dxa"/>
            <w:tcBorders>
              <w:top w:val="single" w:sz="4" w:space="0" w:color="auto"/>
              <w:left w:val="single" w:sz="4" w:space="0" w:color="auto"/>
              <w:bottom w:val="single" w:sz="4" w:space="0" w:color="auto"/>
              <w:right w:val="single" w:sz="4" w:space="0" w:color="auto"/>
            </w:tcBorders>
          </w:tcPr>
          <w:p w14:paraId="0804400D" w14:textId="2DD4ED55" w:rsidR="008866D6" w:rsidRPr="00651C87" w:rsidRDefault="008866D6" w:rsidP="00681AA1">
            <w:pPr>
              <w:cnfStyle w:val="000000000000" w:firstRow="0" w:lastRow="0" w:firstColumn="0" w:lastColumn="0" w:oddVBand="0" w:evenVBand="0" w:oddHBand="0" w:evenHBand="0" w:firstRowFirstColumn="0" w:firstRowLastColumn="0" w:lastRowFirstColumn="0" w:lastRowLastColumn="0"/>
              <w:rPr>
                <w:noProof/>
              </w:rPr>
            </w:pPr>
            <w:r w:rsidRPr="00651C87">
              <w:rPr>
                <w:noProof/>
              </w:rPr>
              <w:t xml:space="preserve">While DORA shapes compliance obligations for cloud service providers and indirectly covers AI </w:t>
            </w:r>
            <w:r w:rsidR="00537CFD">
              <w:rPr>
                <w:noProof/>
              </w:rPr>
              <w:t xml:space="preserve">computing </w:t>
            </w:r>
            <w:r w:rsidRPr="00651C87">
              <w:rPr>
                <w:noProof/>
              </w:rPr>
              <w:t>service providers if they provide services to financial entities covered by DORA or if their role is significant enough in terms of operational resilience, it has a sectoral scope and is financial-sector specific. </w:t>
            </w:r>
            <w:r>
              <w:rPr>
                <w:noProof/>
              </w:rPr>
              <w:t>Under DORA, cloud service providers must implement ICT risk management, conduct regular testing and incident response to comply with the requirements for critical third-party service providers. The covered financial institutions, which could be public in nature, must carry out due diligence on the cloud providers they work with</w:t>
            </w:r>
            <w:r w:rsidRPr="00651C87">
              <w:rPr>
                <w:noProof/>
              </w:rPr>
              <w:t>.</w:t>
            </w:r>
            <w:r>
              <w:rPr>
                <w:noProof/>
              </w:rPr>
              <w:t xml:space="preserve"> </w:t>
            </w:r>
          </w:p>
        </w:tc>
      </w:tr>
      <w:tr w:rsidR="00025589" w14:paraId="01D61C52" w14:textId="77777777" w:rsidTr="35E623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 w:type="dxa"/>
            <w:vMerge/>
          </w:tcPr>
          <w:p w14:paraId="7CB033A0" w14:textId="77777777" w:rsidR="00025589" w:rsidRDefault="00025589">
            <w:pPr>
              <w:rPr>
                <w:noProof/>
              </w:rPr>
            </w:pPr>
          </w:p>
        </w:tc>
        <w:tc>
          <w:tcPr>
            <w:tcW w:w="5589" w:type="dxa"/>
          </w:tcPr>
          <w:p w14:paraId="0EB975F1" w14:textId="4B83A3B6" w:rsidR="00025589" w:rsidRPr="00651C87" w:rsidRDefault="00C31CCF">
            <w:pPr>
              <w:cnfStyle w:val="000000100000" w:firstRow="0" w:lastRow="0" w:firstColumn="0" w:lastColumn="0" w:oddVBand="0" w:evenVBand="0" w:oddHBand="1" w:evenHBand="0" w:firstRowFirstColumn="0" w:firstRowLastColumn="0" w:lastRowFirstColumn="0" w:lastRowLastColumn="0"/>
              <w:rPr>
                <w:noProof/>
              </w:rPr>
            </w:pPr>
            <w:r>
              <w:rPr>
                <w:noProof/>
              </w:rPr>
              <w:t xml:space="preserve">The </w:t>
            </w:r>
            <w:r w:rsidRPr="005E57F5">
              <w:rPr>
                <w:b/>
                <w:bCs/>
                <w:noProof/>
              </w:rPr>
              <w:t>Artificial Intelligence Act</w:t>
            </w:r>
            <w:r w:rsidRPr="005E57F5">
              <w:rPr>
                <w:noProof/>
              </w:rPr>
              <w:t xml:space="preserve"> </w:t>
            </w:r>
            <w:r w:rsidR="00577F21" w:rsidRPr="00D31560">
              <w:rPr>
                <w:b/>
                <w:noProof/>
              </w:rPr>
              <w:t>(AI Act)</w:t>
            </w:r>
            <w:r w:rsidR="00577F21">
              <w:rPr>
                <w:noProof/>
              </w:rPr>
              <w:t xml:space="preserve"> </w:t>
            </w:r>
            <w:r w:rsidR="005A77E2">
              <w:rPr>
                <w:noProof/>
              </w:rPr>
              <w:t>sets out rules for</w:t>
            </w:r>
            <w:r w:rsidR="001360AE">
              <w:rPr>
                <w:noProof/>
              </w:rPr>
              <w:t xml:space="preserve"> AI systems and general-purpose AI models</w:t>
            </w:r>
            <w:r w:rsidR="00177033">
              <w:rPr>
                <w:noProof/>
              </w:rPr>
              <w:t xml:space="preserve"> and </w:t>
            </w:r>
            <w:r w:rsidR="001360AE">
              <w:rPr>
                <w:noProof/>
              </w:rPr>
              <w:t>not cloud and AI computing services.</w:t>
            </w:r>
            <w:r w:rsidR="005A77E2">
              <w:rPr>
                <w:noProof/>
              </w:rPr>
              <w:t xml:space="preserve"> </w:t>
            </w:r>
            <w:r w:rsidR="006E2B58">
              <w:rPr>
                <w:noProof/>
              </w:rPr>
              <w:t>It follows</w:t>
            </w:r>
            <w:r w:rsidRPr="005E57F5">
              <w:rPr>
                <w:noProof/>
              </w:rPr>
              <w:t xml:space="preserve"> a risk-based approach </w:t>
            </w:r>
            <w:r w:rsidR="00CE4F88">
              <w:rPr>
                <w:noProof/>
              </w:rPr>
              <w:t>and provides rules</w:t>
            </w:r>
            <w:r w:rsidRPr="005E57F5">
              <w:rPr>
                <w:noProof/>
              </w:rPr>
              <w:t xml:space="preserve"> to ensure that AI systems used in the EU are safe, for example by introducing </w:t>
            </w:r>
            <w:r>
              <w:rPr>
                <w:noProof/>
              </w:rPr>
              <w:t>safety and security requirements, such as accuracy, robustness and cybersecurity for data and data governance.</w:t>
            </w:r>
            <w:r w:rsidRPr="005E57F5">
              <w:rPr>
                <w:noProof/>
              </w:rPr>
              <w:t> </w:t>
            </w:r>
            <w:r w:rsidR="001360AE">
              <w:rPr>
                <w:noProof/>
              </w:rPr>
              <w:t xml:space="preserve"> </w:t>
            </w:r>
            <w:r>
              <w:rPr>
                <w:noProof/>
              </w:rPr>
              <w:t xml:space="preserve"> </w:t>
            </w:r>
          </w:p>
        </w:tc>
        <w:tc>
          <w:tcPr>
            <w:tcW w:w="7730" w:type="dxa"/>
          </w:tcPr>
          <w:p w14:paraId="7BEE58EB" w14:textId="13E2BB17" w:rsidR="00025589" w:rsidRPr="00651C87" w:rsidRDefault="001360AE" w:rsidP="00681AA1">
            <w:pPr>
              <w:cnfStyle w:val="000000100000" w:firstRow="0" w:lastRow="0" w:firstColumn="0" w:lastColumn="0" w:oddVBand="0" w:evenVBand="0" w:oddHBand="1" w:evenHBand="0" w:firstRowFirstColumn="0" w:firstRowLastColumn="0" w:lastRowFirstColumn="0" w:lastRowLastColumn="0"/>
              <w:rPr>
                <w:noProof/>
              </w:rPr>
            </w:pPr>
            <w:r w:rsidRPr="005E57F5">
              <w:rPr>
                <w:noProof/>
              </w:rPr>
              <w:t>The AI Act harmonises rules for AI systems and general-purpose AI models to be placed on the EU market, improving the functioning of the internal market and promoting the uptake of human-centric and trustworthy AI</w:t>
            </w:r>
            <w:r w:rsidR="007925BD">
              <w:rPr>
                <w:noProof/>
              </w:rPr>
              <w:t xml:space="preserve"> along the value chain</w:t>
            </w:r>
            <w:r w:rsidRPr="005E57F5">
              <w:rPr>
                <w:noProof/>
              </w:rPr>
              <w:t>. </w:t>
            </w:r>
            <w:r w:rsidR="005856D4">
              <w:rPr>
                <w:noProof/>
              </w:rPr>
              <w:t xml:space="preserve">As a product safety legislation, </w:t>
            </w:r>
            <w:r w:rsidR="00C170F2">
              <w:rPr>
                <w:noProof/>
              </w:rPr>
              <w:t xml:space="preserve">the AI Act </w:t>
            </w:r>
            <w:r w:rsidR="03B0B0BB">
              <w:rPr>
                <w:noProof/>
              </w:rPr>
              <w:t xml:space="preserve">ensures a high level of protection of health, safety and fundamental rights, </w:t>
            </w:r>
            <w:r w:rsidR="00C170F2">
              <w:rPr>
                <w:noProof/>
              </w:rPr>
              <w:t xml:space="preserve">It does not cover </w:t>
            </w:r>
            <w:r w:rsidR="7DC76FE1">
              <w:rPr>
                <w:noProof/>
              </w:rPr>
              <w:t xml:space="preserve">aspects of sovereignty regarding </w:t>
            </w:r>
            <w:r w:rsidR="00C170F2">
              <w:rPr>
                <w:noProof/>
              </w:rPr>
              <w:t>AI computing services</w:t>
            </w:r>
            <w:r w:rsidR="009D46B3">
              <w:rPr>
                <w:noProof/>
              </w:rPr>
              <w:t xml:space="preserve">, which the </w:t>
            </w:r>
            <w:r w:rsidR="0001203E">
              <w:rPr>
                <w:noProof/>
              </w:rPr>
              <w:t>cloud</w:t>
            </w:r>
            <w:r w:rsidR="009D46B3">
              <w:rPr>
                <w:noProof/>
              </w:rPr>
              <w:t xml:space="preserve"> and AI Development Act will address</w:t>
            </w:r>
            <w:r w:rsidR="00A564F0">
              <w:rPr>
                <w:noProof/>
              </w:rPr>
              <w:t xml:space="preserve">. The two initiatives are thus complementary. </w:t>
            </w:r>
          </w:p>
        </w:tc>
      </w:tr>
      <w:tr w:rsidR="00B43A91" w14:paraId="7F6DAAE7" w14:textId="77777777" w:rsidTr="35E623D0">
        <w:tc>
          <w:tcPr>
            <w:cnfStyle w:val="001000000000" w:firstRow="0" w:lastRow="0" w:firstColumn="1" w:lastColumn="0" w:oddVBand="0" w:evenVBand="0" w:oddHBand="0" w:evenHBand="0" w:firstRowFirstColumn="0" w:firstRowLastColumn="0" w:lastRowFirstColumn="0" w:lastRowLastColumn="0"/>
            <w:tcW w:w="0" w:type="dxa"/>
            <w:vMerge/>
          </w:tcPr>
          <w:p w14:paraId="4A7E85C0" w14:textId="77777777" w:rsidR="008866D6" w:rsidRDefault="008866D6">
            <w:pPr>
              <w:rPr>
                <w:noProof/>
              </w:rPr>
            </w:pPr>
          </w:p>
        </w:tc>
        <w:tc>
          <w:tcPr>
            <w:tcW w:w="0" w:type="dxa"/>
            <w:tcBorders>
              <w:top w:val="single" w:sz="4" w:space="0" w:color="auto"/>
              <w:left w:val="single" w:sz="4" w:space="0" w:color="auto"/>
              <w:bottom w:val="single" w:sz="4" w:space="0" w:color="auto"/>
              <w:right w:val="single" w:sz="4" w:space="0" w:color="auto"/>
            </w:tcBorders>
          </w:tcPr>
          <w:p w14:paraId="72DDFB3A" w14:textId="77777777" w:rsidR="008866D6" w:rsidRPr="00651C87" w:rsidRDefault="008866D6">
            <w:pPr>
              <w:cnfStyle w:val="000000000000" w:firstRow="0" w:lastRow="0" w:firstColumn="0" w:lastColumn="0" w:oddVBand="0" w:evenVBand="0" w:oddHBand="0" w:evenHBand="0" w:firstRowFirstColumn="0" w:firstRowLastColumn="0" w:lastRowFirstColumn="0" w:lastRowLastColumn="0"/>
              <w:rPr>
                <w:noProof/>
              </w:rPr>
            </w:pPr>
            <w:r w:rsidRPr="004F0B38">
              <w:rPr>
                <w:noProof/>
              </w:rPr>
              <w:t>The </w:t>
            </w:r>
            <w:r w:rsidRPr="004F0B38">
              <w:rPr>
                <w:b/>
                <w:bCs/>
                <w:noProof/>
              </w:rPr>
              <w:t>EU-US Privacy Framework (DPF) </w:t>
            </w:r>
            <w:r w:rsidRPr="004F0B38">
              <w:rPr>
                <w:noProof/>
              </w:rPr>
              <w:t>is a mechanism established to facilitate the transfer of personal data from the EU to the US, while ensuring adequate levels of data protection. It replaces various legal frameworks that were invalidated by the EU courts for insufficient protection of personal data (e.g., the Privacy Shield). On 10 July 2023, the Commission issued an adequacy decision recognizing that US organizations certified under the framework offer an adequate level of protection so that data transfers could take place without additional legal barriers. On 3 September 2025, the General Court of the EU dismissed an annulment action, confirming that the framework is valid. </w:t>
            </w:r>
          </w:p>
        </w:tc>
        <w:tc>
          <w:tcPr>
            <w:tcW w:w="0" w:type="dxa"/>
            <w:tcBorders>
              <w:top w:val="single" w:sz="4" w:space="0" w:color="auto"/>
              <w:left w:val="single" w:sz="4" w:space="0" w:color="auto"/>
              <w:bottom w:val="single" w:sz="4" w:space="0" w:color="auto"/>
              <w:right w:val="single" w:sz="4" w:space="0" w:color="auto"/>
            </w:tcBorders>
          </w:tcPr>
          <w:p w14:paraId="48FBD02A" w14:textId="42698BB0" w:rsidR="008866D6" w:rsidRPr="00651C87" w:rsidRDefault="008866D6" w:rsidP="00681AA1">
            <w:pPr>
              <w:cnfStyle w:val="000000000000" w:firstRow="0" w:lastRow="0" w:firstColumn="0" w:lastColumn="0" w:oddVBand="0" w:evenVBand="0" w:oddHBand="0" w:evenHBand="0" w:firstRowFirstColumn="0" w:firstRowLastColumn="0" w:lastRowFirstColumn="0" w:lastRowLastColumn="0"/>
              <w:rPr>
                <w:noProof/>
              </w:rPr>
            </w:pPr>
            <w:r w:rsidRPr="004F0B38">
              <w:rPr>
                <w:noProof/>
              </w:rPr>
              <w:t xml:space="preserve">While the DPF addresses transatlantic data transfers, it does not remove sovereignty concerns about dependence on US hyperscalers and </w:t>
            </w:r>
            <w:r>
              <w:rPr>
                <w:noProof/>
              </w:rPr>
              <w:t xml:space="preserve">on the subsequent exposure to </w:t>
            </w:r>
            <w:r w:rsidRPr="004F0B38">
              <w:rPr>
                <w:noProof/>
              </w:rPr>
              <w:t>surveillance laws, </w:t>
            </w:r>
            <w:r>
              <w:rPr>
                <w:noProof/>
              </w:rPr>
              <w:t>such as</w:t>
            </w:r>
            <w:r w:rsidRPr="004F0B38">
              <w:rPr>
                <w:noProof/>
              </w:rPr>
              <w:t xml:space="preserve"> the US CLOUD Act, obliging US providers to hand over data to US authorities even if stored in the EEA. </w:t>
            </w:r>
            <w:r>
              <w:rPr>
                <w:noProof/>
              </w:rPr>
              <w:t xml:space="preserve">Moreover, the notion of sovereignty goes beyond data transfers and also relates to operational autonomy, an aspect that goes beyond the DPF. This initiative thus complements the DPF. </w:t>
            </w:r>
            <w:r w:rsidRPr="004F0B38">
              <w:rPr>
                <w:noProof/>
              </w:rPr>
              <w:t> </w:t>
            </w:r>
          </w:p>
        </w:tc>
      </w:tr>
    </w:tbl>
    <w:p w14:paraId="2D426358" w14:textId="77777777" w:rsidR="00E52A4F" w:rsidRDefault="00E52A4F" w:rsidP="00E52A4F">
      <w:pPr>
        <w:rPr>
          <w:noProof/>
        </w:rPr>
      </w:pPr>
    </w:p>
    <w:p w14:paraId="5C1299E6" w14:textId="33C72AB9" w:rsidR="00E52A4F" w:rsidRPr="00EF0E30" w:rsidRDefault="00E52A4F" w:rsidP="00E52A4F">
      <w:pPr>
        <w:rPr>
          <w:noProof/>
        </w:rPr>
        <w:sectPr w:rsidR="00E52A4F" w:rsidRPr="00EF0E30" w:rsidSect="005F0057">
          <w:headerReference w:type="default" r:id="rId45"/>
          <w:footerReference w:type="default" r:id="rId46"/>
          <w:headerReference w:type="first" r:id="rId47"/>
          <w:footerReference w:type="first" r:id="rId48"/>
          <w:pgSz w:w="16838" w:h="11906" w:orient="landscape"/>
          <w:pgMar w:top="1587" w:right="1020" w:bottom="1700" w:left="1020" w:header="601" w:footer="1077" w:gutter="0"/>
          <w:cols w:space="720"/>
          <w:titlePg/>
          <w:docGrid w:linePitch="326"/>
        </w:sectPr>
      </w:pPr>
    </w:p>
    <w:p w14:paraId="0BACA65E" w14:textId="6ABF448A" w:rsidR="0099524E" w:rsidRPr="00D37004" w:rsidRDefault="004020F9" w:rsidP="009514CA">
      <w:pPr>
        <w:pStyle w:val="AnnexTitle"/>
        <w:rPr>
          <w:noProof/>
          <w:lang w:val="en-IE"/>
        </w:rPr>
      </w:pPr>
      <w:bookmarkStart w:id="341" w:name="_Toc216283394"/>
      <w:bookmarkStart w:id="342" w:name="_Toc228346953"/>
      <w:bookmarkEnd w:id="336"/>
      <w:bookmarkEnd w:id="337"/>
      <w:r w:rsidRPr="00D37004">
        <w:rPr>
          <w:noProof/>
          <w:lang w:val="en-IE"/>
        </w:rPr>
        <w:t>Annex 8: Key technical concepts</w:t>
      </w:r>
      <w:bookmarkEnd w:id="341"/>
      <w:bookmarkEnd w:id="342"/>
    </w:p>
    <w:p w14:paraId="5A006003" w14:textId="3EE441D5" w:rsidR="00281924" w:rsidRPr="00D37004" w:rsidRDefault="00281924" w:rsidP="00281924">
      <w:pPr>
        <w:rPr>
          <w:noProof/>
        </w:rPr>
      </w:pPr>
      <w:r w:rsidRPr="00D37004">
        <w:rPr>
          <w:noProof/>
        </w:rPr>
        <w:t xml:space="preserve">A </w:t>
      </w:r>
      <w:r w:rsidRPr="294AF3FA">
        <w:rPr>
          <w:b/>
          <w:bCs/>
          <w:noProof/>
          <w:u w:val="single"/>
        </w:rPr>
        <w:t>data centre</w:t>
      </w:r>
      <w:r w:rsidRPr="00D37004">
        <w:rPr>
          <w:noProof/>
        </w:rPr>
        <w:t xml:space="preserve"> provides the walls, cooling, and connectivity needed to run the </w:t>
      </w:r>
      <w:r w:rsidRPr="00B51B8C">
        <w:rPr>
          <w:noProof/>
        </w:rPr>
        <w:t>IT equipment</w:t>
      </w:r>
      <w:r w:rsidRPr="00D37004">
        <w:rPr>
          <w:noProof/>
        </w:rPr>
        <w:t xml:space="preserve"> that enables computing</w:t>
      </w:r>
      <w:r w:rsidR="00FA7708" w:rsidRPr="00D37004">
        <w:rPr>
          <w:noProof/>
        </w:rPr>
        <w:t xml:space="preserve">, which are typically </w:t>
      </w:r>
      <w:r w:rsidR="00CE2422" w:rsidRPr="00B51B8C">
        <w:rPr>
          <w:noProof/>
        </w:rPr>
        <w:t>processors</w:t>
      </w:r>
      <w:r w:rsidR="00CE2422" w:rsidRPr="00D37004">
        <w:rPr>
          <w:noProof/>
        </w:rPr>
        <w:t xml:space="preserve"> mounted on </w:t>
      </w:r>
      <w:r w:rsidR="00CE2422" w:rsidRPr="00B51B8C">
        <w:rPr>
          <w:noProof/>
        </w:rPr>
        <w:t>servers</w:t>
      </w:r>
      <w:r w:rsidR="00CE2422" w:rsidRPr="00D37004">
        <w:rPr>
          <w:noProof/>
        </w:rPr>
        <w:t xml:space="preserve">, </w:t>
      </w:r>
      <w:r w:rsidR="00CE2422" w:rsidRPr="00B51B8C">
        <w:rPr>
          <w:noProof/>
        </w:rPr>
        <w:t>storage units</w:t>
      </w:r>
      <w:r w:rsidR="00CE2422" w:rsidRPr="00D37004">
        <w:rPr>
          <w:noProof/>
        </w:rPr>
        <w:t xml:space="preserve"> sometimes called </w:t>
      </w:r>
      <w:r w:rsidR="00CE2422" w:rsidRPr="00B51B8C">
        <w:rPr>
          <w:noProof/>
        </w:rPr>
        <w:t>memory</w:t>
      </w:r>
      <w:r w:rsidR="00CE2422" w:rsidRPr="00D37004">
        <w:rPr>
          <w:noProof/>
        </w:rPr>
        <w:t xml:space="preserve">, and </w:t>
      </w:r>
      <w:r w:rsidR="00CE2422" w:rsidRPr="00B51B8C">
        <w:rPr>
          <w:noProof/>
        </w:rPr>
        <w:t>networking equipment</w:t>
      </w:r>
      <w:r w:rsidRPr="00D37004">
        <w:rPr>
          <w:noProof/>
        </w:rPr>
        <w:t>.</w:t>
      </w:r>
      <w:r w:rsidR="00FC06BD">
        <w:rPr>
          <w:bCs/>
          <w:noProof/>
        </w:rPr>
        <w:t xml:space="preserve"> </w:t>
      </w:r>
      <w:r w:rsidRPr="00D37004">
        <w:rPr>
          <w:noProof/>
        </w:rPr>
        <w:t xml:space="preserve">Data centre capacity is measured in megawatts (MW), indicating the total electrical power made available to </w:t>
      </w:r>
      <w:r w:rsidR="00EB1EBE" w:rsidRPr="00D37004">
        <w:rPr>
          <w:noProof/>
        </w:rPr>
        <w:t>the IT</w:t>
      </w:r>
      <w:r w:rsidRPr="00D37004">
        <w:rPr>
          <w:noProof/>
        </w:rPr>
        <w:t xml:space="preserve"> equipment</w:t>
      </w:r>
      <w:r w:rsidRPr="00D37004">
        <w:rPr>
          <w:rStyle w:val="FootnoteReference"/>
          <w:noProof/>
        </w:rPr>
        <w:footnoteReference w:id="191"/>
      </w:r>
      <w:r w:rsidRPr="00D37004">
        <w:rPr>
          <w:noProof/>
        </w:rPr>
        <w:t xml:space="preserve">. The capacity of the equipment is </w:t>
      </w:r>
      <w:r w:rsidR="00EB1EBE" w:rsidRPr="00D37004">
        <w:rPr>
          <w:noProof/>
        </w:rPr>
        <w:t xml:space="preserve">therefore </w:t>
      </w:r>
      <w:r w:rsidRPr="00D37004">
        <w:rPr>
          <w:noProof/>
        </w:rPr>
        <w:t>limited by the electrical power available in the data centre. Throughout this report, the term ‘</w:t>
      </w:r>
      <w:r w:rsidRPr="00B51B8C">
        <w:rPr>
          <w:noProof/>
        </w:rPr>
        <w:t>computing capacity</w:t>
      </w:r>
      <w:r w:rsidRPr="00D37004">
        <w:rPr>
          <w:noProof/>
        </w:rPr>
        <w:t xml:space="preserve">’ is thus used interchangeably with </w:t>
      </w:r>
      <w:r w:rsidRPr="00B51B8C">
        <w:rPr>
          <w:noProof/>
        </w:rPr>
        <w:t>data centre capacity</w:t>
      </w:r>
      <w:r w:rsidRPr="00D37004">
        <w:rPr>
          <w:noProof/>
        </w:rPr>
        <w:t xml:space="preserve">.    </w:t>
      </w:r>
    </w:p>
    <w:p w14:paraId="302A047B" w14:textId="22F03BDE" w:rsidR="00917C68" w:rsidRPr="00D37004" w:rsidRDefault="00917C68" w:rsidP="00B04444">
      <w:pPr>
        <w:pStyle w:val="Text1"/>
        <w:ind w:left="0"/>
        <w:rPr>
          <w:noProof/>
        </w:rPr>
      </w:pPr>
      <w:r w:rsidRPr="00D37004">
        <w:rPr>
          <w:noProof/>
        </w:rPr>
        <w:t xml:space="preserve">The International Standardization Organization (ISO) defines </w:t>
      </w:r>
      <w:r w:rsidRPr="00D37004">
        <w:rPr>
          <w:b/>
          <w:noProof/>
          <w:u w:val="single"/>
        </w:rPr>
        <w:t>cloud computing</w:t>
      </w:r>
      <w:r w:rsidRPr="00D37004">
        <w:rPr>
          <w:noProof/>
        </w:rPr>
        <w:t xml:space="preserve"> as a “paradigm for enabling network access to a scalable and elastic pool of shareable physical or virtual resources with self-service provisioning and administration on demand”. These resources are located in data centres. </w:t>
      </w:r>
      <w:r w:rsidR="0031544A" w:rsidRPr="00D37004">
        <w:rPr>
          <w:noProof/>
        </w:rPr>
        <w:t xml:space="preserve">Operating a data centre and </w:t>
      </w:r>
      <w:r w:rsidR="00094C17" w:rsidRPr="00D37004">
        <w:rPr>
          <w:noProof/>
        </w:rPr>
        <w:t xml:space="preserve">providing a cloud service are two distinct </w:t>
      </w:r>
      <w:r w:rsidR="00BF0F86" w:rsidRPr="00D37004">
        <w:rPr>
          <w:noProof/>
        </w:rPr>
        <w:t xml:space="preserve">segments of a same supply chain. </w:t>
      </w:r>
      <w:r w:rsidRPr="00D37004">
        <w:rPr>
          <w:noProof/>
        </w:rPr>
        <w:t>Data centres can be owned by cloud service providers (CSP</w:t>
      </w:r>
      <w:r w:rsidR="001E0210" w:rsidRPr="00D37004">
        <w:rPr>
          <w:noProof/>
        </w:rPr>
        <w:t>s</w:t>
      </w:r>
      <w:r w:rsidRPr="00D37004">
        <w:rPr>
          <w:noProof/>
        </w:rPr>
        <w:t>) themselves</w:t>
      </w:r>
      <w:r w:rsidR="0037028D" w:rsidRPr="00D37004">
        <w:rPr>
          <w:noProof/>
        </w:rPr>
        <w:t xml:space="preserve"> (vertical integration). </w:t>
      </w:r>
      <w:r w:rsidR="00311CA3" w:rsidRPr="00D37004">
        <w:rPr>
          <w:noProof/>
        </w:rPr>
        <w:t>Otherwise</w:t>
      </w:r>
      <w:r w:rsidR="0036089C" w:rsidRPr="00D37004">
        <w:rPr>
          <w:noProof/>
        </w:rPr>
        <w:t>, d</w:t>
      </w:r>
      <w:r w:rsidR="0037028D" w:rsidRPr="00D37004">
        <w:rPr>
          <w:noProof/>
        </w:rPr>
        <w:t xml:space="preserve">ata </w:t>
      </w:r>
      <w:r w:rsidR="0036089C" w:rsidRPr="00D37004">
        <w:rPr>
          <w:noProof/>
        </w:rPr>
        <w:t>c</w:t>
      </w:r>
      <w:r w:rsidR="0037028D" w:rsidRPr="00D37004">
        <w:rPr>
          <w:noProof/>
        </w:rPr>
        <w:t>entres</w:t>
      </w:r>
      <w:r w:rsidR="00086B14" w:rsidRPr="00D37004">
        <w:rPr>
          <w:noProof/>
        </w:rPr>
        <w:t xml:space="preserve"> operators are often </w:t>
      </w:r>
      <w:r w:rsidR="0038530A" w:rsidRPr="00D37004">
        <w:rPr>
          <w:noProof/>
        </w:rPr>
        <w:t xml:space="preserve">specialised </w:t>
      </w:r>
      <w:r w:rsidR="00086B14" w:rsidRPr="00D37004">
        <w:rPr>
          <w:noProof/>
        </w:rPr>
        <w:t xml:space="preserve">independent businesses, </w:t>
      </w:r>
      <w:r w:rsidR="00E04EEE" w:rsidRPr="00D37004">
        <w:rPr>
          <w:noProof/>
        </w:rPr>
        <w:t xml:space="preserve">which rent out space for customers, including CSPs, to place their equipment in. </w:t>
      </w:r>
      <w:r w:rsidR="009020AD" w:rsidRPr="00D37004">
        <w:rPr>
          <w:noProof/>
        </w:rPr>
        <w:t xml:space="preserve">The data centre can have a single client </w:t>
      </w:r>
      <w:r w:rsidR="00490CF4" w:rsidRPr="00D37004">
        <w:rPr>
          <w:noProof/>
        </w:rPr>
        <w:t xml:space="preserve">or multiple, which </w:t>
      </w:r>
      <w:r w:rsidR="00C92999" w:rsidRPr="00D37004">
        <w:rPr>
          <w:noProof/>
        </w:rPr>
        <w:t xml:space="preserve">are referred to as </w:t>
      </w:r>
      <w:r w:rsidRPr="00D37004">
        <w:rPr>
          <w:b/>
          <w:noProof/>
          <w:u w:val="single"/>
        </w:rPr>
        <w:t>co-location data centre provide</w:t>
      </w:r>
      <w:r w:rsidR="00C92999" w:rsidRPr="00D37004">
        <w:rPr>
          <w:b/>
          <w:noProof/>
          <w:u w:val="single"/>
        </w:rPr>
        <w:t>rs</w:t>
      </w:r>
      <w:r w:rsidR="00B04444" w:rsidRPr="00D37004">
        <w:rPr>
          <w:noProof/>
        </w:rPr>
        <w:t>.</w:t>
      </w:r>
      <w:r w:rsidR="0036089C" w:rsidRPr="00D37004">
        <w:rPr>
          <w:noProof/>
        </w:rPr>
        <w:t xml:space="preserve"> </w:t>
      </w:r>
      <w:r w:rsidR="00A3110A" w:rsidRPr="00D37004">
        <w:rPr>
          <w:noProof/>
        </w:rPr>
        <w:t>Companies wh</w:t>
      </w:r>
      <w:r w:rsidR="0024649E">
        <w:rPr>
          <w:noProof/>
        </w:rPr>
        <w:t>ich</w:t>
      </w:r>
      <w:r w:rsidR="00A3110A" w:rsidRPr="00D37004">
        <w:rPr>
          <w:noProof/>
        </w:rPr>
        <w:t xml:space="preserve"> provide </w:t>
      </w:r>
      <w:r w:rsidR="0024649E">
        <w:rPr>
          <w:noProof/>
        </w:rPr>
        <w:t>c</w:t>
      </w:r>
      <w:r w:rsidR="00A3110A" w:rsidRPr="00D37004">
        <w:rPr>
          <w:noProof/>
        </w:rPr>
        <w:t xml:space="preserve">loud </w:t>
      </w:r>
      <w:r w:rsidR="0024649E">
        <w:rPr>
          <w:noProof/>
        </w:rPr>
        <w:t>s</w:t>
      </w:r>
      <w:r w:rsidR="00A3110A" w:rsidRPr="00D37004">
        <w:rPr>
          <w:noProof/>
        </w:rPr>
        <w:t xml:space="preserve">ervices on a very large scale are </w:t>
      </w:r>
      <w:r w:rsidR="00BA6D2D">
        <w:rPr>
          <w:noProof/>
        </w:rPr>
        <w:t>commonly</w:t>
      </w:r>
      <w:r w:rsidR="00A3110A" w:rsidRPr="00D37004">
        <w:rPr>
          <w:noProof/>
        </w:rPr>
        <w:t xml:space="preserve"> referred to as hyperscalers</w:t>
      </w:r>
      <w:r w:rsidR="00065F6D" w:rsidRPr="00D37004">
        <w:rPr>
          <w:noProof/>
        </w:rPr>
        <w:t>, a category understood to include Microsoft, Amazon and Google.</w:t>
      </w:r>
      <w:r w:rsidR="005105E3">
        <w:rPr>
          <w:noProof/>
        </w:rPr>
        <w:t xml:space="preserve"> </w:t>
      </w:r>
      <w:r w:rsidRPr="00D37004">
        <w:rPr>
          <w:noProof/>
        </w:rPr>
        <w:t xml:space="preserve">For very fast response times, i.e. low latency, data must be stored and processed closer to the user, in </w:t>
      </w:r>
      <w:r w:rsidRPr="00D37004">
        <w:rPr>
          <w:b/>
          <w:noProof/>
          <w:u w:val="single"/>
        </w:rPr>
        <w:t>edge data centres</w:t>
      </w:r>
      <w:r w:rsidRPr="007F3DF6">
        <w:rPr>
          <w:noProof/>
        </w:rPr>
        <w:t xml:space="preserve"> or </w:t>
      </w:r>
      <w:r w:rsidRPr="00D37004">
        <w:rPr>
          <w:b/>
          <w:noProof/>
          <w:u w:val="single"/>
        </w:rPr>
        <w:t>edge nodes</w:t>
      </w:r>
      <w:r w:rsidR="00090BC5" w:rsidRPr="00D37004">
        <w:rPr>
          <w:noProof/>
        </w:rPr>
        <w:t>, which can be seen as mini-data centres (</w:t>
      </w:r>
      <w:r w:rsidR="005F022B" w:rsidRPr="00D37004">
        <w:rPr>
          <w:noProof/>
        </w:rPr>
        <w:t xml:space="preserve">an edge facility can be as small as the size of a fridge, while </w:t>
      </w:r>
      <w:r w:rsidR="00577951" w:rsidRPr="00D37004">
        <w:rPr>
          <w:noProof/>
        </w:rPr>
        <w:t xml:space="preserve">the largest data centres can </w:t>
      </w:r>
      <w:r w:rsidR="006128FB" w:rsidRPr="00D37004">
        <w:rPr>
          <w:noProof/>
        </w:rPr>
        <w:t>be as big as several football fields).</w:t>
      </w:r>
    </w:p>
    <w:p w14:paraId="7BF31F52" w14:textId="42992CF9" w:rsidR="00630FBD" w:rsidRPr="00D37004" w:rsidRDefault="00630FBD" w:rsidP="00630FBD">
      <w:pPr>
        <w:pStyle w:val="Text1"/>
        <w:ind w:left="0"/>
        <w:rPr>
          <w:noProof/>
        </w:rPr>
      </w:pPr>
      <w:r>
        <w:rPr>
          <w:noProof/>
        </w:rPr>
        <w:t>W</w:t>
      </w:r>
      <w:r w:rsidRPr="00D37004">
        <w:rPr>
          <w:noProof/>
        </w:rPr>
        <w:t xml:space="preserve">hile data centres powering traditional cloud services and AI </w:t>
      </w:r>
      <w:r w:rsidR="00343147">
        <w:rPr>
          <w:noProof/>
        </w:rPr>
        <w:t xml:space="preserve">computing </w:t>
      </w:r>
      <w:r w:rsidRPr="00D37004">
        <w:rPr>
          <w:noProof/>
        </w:rPr>
        <w:t xml:space="preserve">services look similar, they present important differences. First, at the </w:t>
      </w:r>
      <w:r w:rsidRPr="008E297E">
        <w:rPr>
          <w:bCs/>
          <w:noProof/>
        </w:rPr>
        <w:t>microprocessor</w:t>
      </w:r>
      <w:r w:rsidRPr="00D37004">
        <w:rPr>
          <w:noProof/>
        </w:rPr>
        <w:t xml:space="preserve"> level: while data centres specialised in AI </w:t>
      </w:r>
      <w:r w:rsidR="00343147">
        <w:rPr>
          <w:noProof/>
        </w:rPr>
        <w:t xml:space="preserve">computing </w:t>
      </w:r>
      <w:r w:rsidRPr="00D37004">
        <w:rPr>
          <w:noProof/>
        </w:rPr>
        <w:t xml:space="preserve">services use a mix of </w:t>
      </w:r>
      <w:r w:rsidRPr="00D37004">
        <w:rPr>
          <w:b/>
          <w:noProof/>
          <w:u w:val="single"/>
        </w:rPr>
        <w:t>Graphic-Processing-Units (GPUs)</w:t>
      </w:r>
      <w:r w:rsidRPr="00D37004">
        <w:rPr>
          <w:noProof/>
        </w:rPr>
        <w:t xml:space="preserve"> and </w:t>
      </w:r>
      <w:r w:rsidRPr="00D37004">
        <w:rPr>
          <w:b/>
          <w:noProof/>
          <w:u w:val="single"/>
        </w:rPr>
        <w:t>Central-Processing-Units (CPUs)</w:t>
      </w:r>
      <w:r w:rsidRPr="00D37004">
        <w:rPr>
          <w:noProof/>
        </w:rPr>
        <w:t>, others</w:t>
      </w:r>
      <w:r>
        <w:rPr>
          <w:noProof/>
        </w:rPr>
        <w:t xml:space="preserve"> </w:t>
      </w:r>
      <w:r w:rsidRPr="00D37004">
        <w:rPr>
          <w:noProof/>
        </w:rPr>
        <w:t xml:space="preserve">are exclusively powered by CPUs. Second, GPU-powered data centres, sometimes called </w:t>
      </w:r>
      <w:r>
        <w:rPr>
          <w:noProof/>
        </w:rPr>
        <w:t>‘</w:t>
      </w:r>
      <w:r w:rsidRPr="00D37004">
        <w:rPr>
          <w:noProof/>
        </w:rPr>
        <w:t>AI data centres</w:t>
      </w:r>
      <w:r>
        <w:rPr>
          <w:noProof/>
        </w:rPr>
        <w:t>’</w:t>
      </w:r>
      <w:r w:rsidRPr="00D37004">
        <w:rPr>
          <w:noProof/>
        </w:rPr>
        <w:t>, are much more energy</w:t>
      </w:r>
      <w:r>
        <w:rPr>
          <w:noProof/>
        </w:rPr>
        <w:t>-</w:t>
      </w:r>
      <w:r w:rsidRPr="00D37004">
        <w:rPr>
          <w:noProof/>
        </w:rPr>
        <w:t>intensive and require a different physical layout implying a design choice from the o</w:t>
      </w:r>
      <w:r>
        <w:rPr>
          <w:noProof/>
        </w:rPr>
        <w:t>ut</w:t>
      </w:r>
      <w:r w:rsidRPr="00D37004">
        <w:rPr>
          <w:noProof/>
        </w:rPr>
        <w:t>set, making refits difficult.</w:t>
      </w:r>
      <w:r>
        <w:rPr>
          <w:noProof/>
        </w:rPr>
        <w:t xml:space="preserve"> Throughout this assessment, the term ‘data centre’ is used to refer to both types of data centres in order to be future-proof and end-use agnostic. </w:t>
      </w:r>
    </w:p>
    <w:p w14:paraId="56FAB7FD" w14:textId="77777777" w:rsidR="00917C68" w:rsidRPr="00D37004" w:rsidRDefault="00917C68" w:rsidP="00917C68">
      <w:pPr>
        <w:pStyle w:val="Text1"/>
        <w:spacing w:after="0"/>
        <w:ind w:left="0"/>
        <w:rPr>
          <w:noProof/>
        </w:rPr>
      </w:pPr>
      <w:r w:rsidRPr="00D37004">
        <w:rPr>
          <w:noProof/>
          <w:lang w:eastAsia="en-GB"/>
        </w:rPr>
        <w:drawing>
          <wp:inline distT="0" distB="0" distL="0" distR="0" wp14:anchorId="71A8E631" wp14:editId="1EFBD290">
            <wp:extent cx="5444349" cy="2818503"/>
            <wp:effectExtent l="0" t="0" r="4445" b="1270"/>
            <wp:docPr id="1319857746" name="Picture 1" descr="A diagram of a cloud compu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57746" name="Picture 1" descr="A diagram of a cloud computing&#10;&#10;AI-generated content may be incorrect."/>
                    <pic:cNvPicPr/>
                  </pic:nvPicPr>
                  <pic:blipFill>
                    <a:blip r:embed="rId49"/>
                    <a:stretch>
                      <a:fillRect/>
                    </a:stretch>
                  </pic:blipFill>
                  <pic:spPr>
                    <a:xfrm>
                      <a:off x="0" y="0"/>
                      <a:ext cx="5457210" cy="2825161"/>
                    </a:xfrm>
                    <a:prstGeom prst="rect">
                      <a:avLst/>
                    </a:prstGeom>
                  </pic:spPr>
                </pic:pic>
              </a:graphicData>
            </a:graphic>
          </wp:inline>
        </w:drawing>
      </w:r>
    </w:p>
    <w:p w14:paraId="6B714A2C" w14:textId="77777777" w:rsidR="00917C68" w:rsidRPr="00D37004" w:rsidRDefault="00917C68" w:rsidP="00917C68">
      <w:pPr>
        <w:pStyle w:val="Caption"/>
        <w:rPr>
          <w:noProof/>
        </w:rPr>
      </w:pPr>
      <w:r w:rsidRPr="00D37004">
        <w:rPr>
          <w:noProof/>
        </w:rPr>
        <w:t>Figure 1. Key concepts along the cloud and AI value chain</w:t>
      </w:r>
    </w:p>
    <w:p w14:paraId="59C08307" w14:textId="7076242C" w:rsidR="00917C68" w:rsidRPr="00D37004" w:rsidRDefault="00917C68" w:rsidP="00917C68">
      <w:pPr>
        <w:pStyle w:val="Text1"/>
        <w:ind w:left="0"/>
        <w:rPr>
          <w:noProof/>
        </w:rPr>
      </w:pPr>
      <w:r w:rsidRPr="00D37004">
        <w:rPr>
          <w:noProof/>
        </w:rPr>
        <w:t xml:space="preserve">When </w:t>
      </w:r>
      <w:r w:rsidRPr="00D37004">
        <w:rPr>
          <w:b/>
          <w:noProof/>
          <w:u w:val="single"/>
        </w:rPr>
        <w:t>training an AI model</w:t>
      </w:r>
      <w:r w:rsidRPr="00D37004">
        <w:rPr>
          <w:noProof/>
        </w:rPr>
        <w:t xml:space="preserve">, longer response times/higher latency are not as problematic while a large concentration of computing power is paramount. </w:t>
      </w:r>
      <w:r w:rsidR="0056091D" w:rsidRPr="00D37004">
        <w:rPr>
          <w:noProof/>
        </w:rPr>
        <w:t xml:space="preserve">The size and complexity of an AI model is often described by the </w:t>
      </w:r>
      <w:r w:rsidR="00B76632" w:rsidRPr="00D37004">
        <w:rPr>
          <w:noProof/>
        </w:rPr>
        <w:t>number</w:t>
      </w:r>
      <w:r w:rsidR="0056091D" w:rsidRPr="00D37004">
        <w:rPr>
          <w:noProof/>
        </w:rPr>
        <w:t xml:space="preserve"> of </w:t>
      </w:r>
      <w:r w:rsidR="0056091D" w:rsidRPr="00EE3081">
        <w:rPr>
          <w:noProof/>
        </w:rPr>
        <w:t>parameters</w:t>
      </w:r>
      <w:r w:rsidR="0056091D" w:rsidRPr="00D37004">
        <w:rPr>
          <w:noProof/>
        </w:rPr>
        <w:t xml:space="preserve"> it is built on, a figure that can reach a trillion. </w:t>
      </w:r>
      <w:r w:rsidR="0042290E" w:rsidRPr="00D37004">
        <w:rPr>
          <w:noProof/>
        </w:rPr>
        <w:t>Training a model, even on the worlds’ largest computing facilities</w:t>
      </w:r>
      <w:r w:rsidR="00104339" w:rsidRPr="00D37004">
        <w:rPr>
          <w:noProof/>
        </w:rPr>
        <w:t xml:space="preserve">, can take several months of uninterrupted calculation. </w:t>
      </w:r>
      <w:r w:rsidRPr="00D37004">
        <w:rPr>
          <w:noProof/>
        </w:rPr>
        <w:t xml:space="preserve">That is why training is usually executed in </w:t>
      </w:r>
      <w:r w:rsidRPr="00D37004">
        <w:rPr>
          <w:b/>
          <w:noProof/>
          <w:u w:val="single"/>
        </w:rPr>
        <w:t>High-Performance Computing</w:t>
      </w:r>
      <w:r w:rsidRPr="00D37004">
        <w:rPr>
          <w:noProof/>
        </w:rPr>
        <w:t xml:space="preserve"> (HPC)</w:t>
      </w:r>
      <w:r w:rsidR="00750259" w:rsidRPr="00D37004">
        <w:rPr>
          <w:noProof/>
        </w:rPr>
        <w:t xml:space="preserve">. </w:t>
      </w:r>
      <w:r w:rsidR="005E3E40">
        <w:rPr>
          <w:noProof/>
        </w:rPr>
        <w:t>HPC</w:t>
      </w:r>
      <w:r w:rsidR="00750259" w:rsidRPr="00D37004">
        <w:rPr>
          <w:noProof/>
        </w:rPr>
        <w:t xml:space="preserve"> is provided over specialised data centres </w:t>
      </w:r>
      <w:r w:rsidR="00CE10A4" w:rsidRPr="00D37004">
        <w:rPr>
          <w:noProof/>
        </w:rPr>
        <w:t xml:space="preserve">and differ from </w:t>
      </w:r>
      <w:r w:rsidR="005E3E40">
        <w:rPr>
          <w:noProof/>
        </w:rPr>
        <w:t>c</w:t>
      </w:r>
      <w:r w:rsidR="00CE10A4" w:rsidRPr="00D37004">
        <w:rPr>
          <w:noProof/>
        </w:rPr>
        <w:t xml:space="preserve">loud </w:t>
      </w:r>
      <w:r w:rsidR="005E3E40">
        <w:rPr>
          <w:noProof/>
        </w:rPr>
        <w:t>c</w:t>
      </w:r>
      <w:r w:rsidR="00CE10A4" w:rsidRPr="00D37004">
        <w:rPr>
          <w:noProof/>
        </w:rPr>
        <w:t>omputing in the sense that, typically, the pool of resources is not share</w:t>
      </w:r>
      <w:r w:rsidR="0076125C" w:rsidRPr="00D37004">
        <w:rPr>
          <w:noProof/>
        </w:rPr>
        <w:t>d</w:t>
      </w:r>
      <w:r w:rsidR="00CE10A4" w:rsidRPr="00D37004">
        <w:rPr>
          <w:noProof/>
        </w:rPr>
        <w:t xml:space="preserve"> and/or not scalable</w:t>
      </w:r>
      <w:r w:rsidR="0076125C" w:rsidRPr="00D37004">
        <w:rPr>
          <w:noProof/>
        </w:rPr>
        <w:t xml:space="preserve"> and/or not elastic. Conversely, the </w:t>
      </w:r>
      <w:r w:rsidRPr="00D37004">
        <w:rPr>
          <w:b/>
          <w:noProof/>
          <w:u w:val="single"/>
        </w:rPr>
        <w:t>fine-tuning, inference</w:t>
      </w:r>
      <w:r w:rsidRPr="00D37004">
        <w:rPr>
          <w:noProof/>
        </w:rPr>
        <w:t xml:space="preserve"> and service integration </w:t>
      </w:r>
      <w:r w:rsidR="003965F6" w:rsidRPr="00D37004">
        <w:rPr>
          <w:noProof/>
        </w:rPr>
        <w:t xml:space="preserve">of AI models </w:t>
      </w:r>
      <w:r w:rsidRPr="00D37004">
        <w:rPr>
          <w:noProof/>
        </w:rPr>
        <w:t>rely on cloud or even edge computing.</w:t>
      </w:r>
      <w:r w:rsidR="00935E4F" w:rsidRPr="00D37004">
        <w:rPr>
          <w:noProof/>
        </w:rPr>
        <w:t xml:space="preserve"> </w:t>
      </w:r>
      <w:r w:rsidR="00C2288C" w:rsidRPr="00D37004">
        <w:rPr>
          <w:noProof/>
        </w:rPr>
        <w:t>Fine-tuning</w:t>
      </w:r>
      <w:r w:rsidR="00D6631A" w:rsidRPr="00D37004">
        <w:rPr>
          <w:noProof/>
        </w:rPr>
        <w:t xml:space="preserve"> </w:t>
      </w:r>
      <w:r w:rsidR="0032128D" w:rsidRPr="00D37004">
        <w:rPr>
          <w:noProof/>
        </w:rPr>
        <w:t xml:space="preserve">an AI model </w:t>
      </w:r>
      <w:r w:rsidR="00D6631A" w:rsidRPr="00D37004">
        <w:rPr>
          <w:noProof/>
        </w:rPr>
        <w:t xml:space="preserve">consists in </w:t>
      </w:r>
      <w:r w:rsidR="0032128D" w:rsidRPr="00D37004">
        <w:rPr>
          <w:noProof/>
        </w:rPr>
        <w:t>customizing</w:t>
      </w:r>
      <w:r w:rsidR="00C2288C" w:rsidRPr="00D37004">
        <w:rPr>
          <w:noProof/>
        </w:rPr>
        <w:t xml:space="preserve"> pre-trained models using domain-specific data</w:t>
      </w:r>
      <w:r w:rsidR="00C420F1" w:rsidRPr="00D37004">
        <w:rPr>
          <w:noProof/>
        </w:rPr>
        <w:t>.</w:t>
      </w:r>
      <w:r w:rsidR="00935E4F" w:rsidRPr="00D37004">
        <w:rPr>
          <w:noProof/>
        </w:rPr>
        <w:t xml:space="preserve"> </w:t>
      </w:r>
      <w:r w:rsidR="00B872C2" w:rsidRPr="00D37004">
        <w:rPr>
          <w:noProof/>
        </w:rPr>
        <w:t>Inference then uses this fine-tuned model to generate predictions or outputs on new, unseen data by applying the learned parameters without further training.</w:t>
      </w:r>
      <w:r w:rsidR="00935E4F" w:rsidRPr="00D37004">
        <w:rPr>
          <w:noProof/>
        </w:rPr>
        <w:t xml:space="preserve"> </w:t>
      </w:r>
      <w:r w:rsidR="002D7AFD" w:rsidRPr="002D7AFD">
        <w:rPr>
          <w:noProof/>
        </w:rPr>
        <w:t xml:space="preserve">Edge computing makes it possible to run AI applications close to the data source, allowing for very </w:t>
      </w:r>
      <w:r w:rsidR="002D7AFD">
        <w:rPr>
          <w:noProof/>
        </w:rPr>
        <w:t>low latency</w:t>
      </w:r>
      <w:r w:rsidR="003F0106">
        <w:rPr>
          <w:noProof/>
        </w:rPr>
        <w:t>, for</w:t>
      </w:r>
      <w:r w:rsidR="003B311A">
        <w:rPr>
          <w:noProof/>
        </w:rPr>
        <w:t xml:space="preserve"> example in </w:t>
      </w:r>
      <w:r w:rsidR="003F0106">
        <w:rPr>
          <w:noProof/>
        </w:rPr>
        <w:t>AI-</w:t>
      </w:r>
      <w:r w:rsidR="00C13562">
        <w:rPr>
          <w:noProof/>
        </w:rPr>
        <w:t>assisted</w:t>
      </w:r>
      <w:r w:rsidR="003F0106">
        <w:rPr>
          <w:noProof/>
        </w:rPr>
        <w:t xml:space="preserve"> real-time imaging and surgery</w:t>
      </w:r>
      <w:r w:rsidR="00C13562">
        <w:rPr>
          <w:noProof/>
        </w:rPr>
        <w:t xml:space="preserve">, in autonomous navigation </w:t>
      </w:r>
      <w:r w:rsidR="009651C8">
        <w:rPr>
          <w:noProof/>
        </w:rPr>
        <w:t xml:space="preserve">and real-time decision-making in autonomous driving. </w:t>
      </w:r>
      <w:r w:rsidR="001A3F44">
        <w:rPr>
          <w:noProof/>
        </w:rPr>
        <w:t xml:space="preserve">The different </w:t>
      </w:r>
      <w:r w:rsidR="00BD6065">
        <w:rPr>
          <w:noProof/>
        </w:rPr>
        <w:t xml:space="preserve">stages of </w:t>
      </w:r>
      <w:r w:rsidR="00B4413F">
        <w:rPr>
          <w:noProof/>
        </w:rPr>
        <w:t xml:space="preserve">an AI model, reaching from training to application, including with low response times, require a continuum of computing capacity spanning </w:t>
      </w:r>
      <w:r w:rsidR="005E3E40">
        <w:rPr>
          <w:noProof/>
        </w:rPr>
        <w:t>HPC</w:t>
      </w:r>
      <w:r w:rsidR="00B4413F">
        <w:rPr>
          <w:noProof/>
        </w:rPr>
        <w:t>, data centres, and edge nodes.</w:t>
      </w:r>
      <w:r w:rsidR="002D7AFD">
        <w:rPr>
          <w:noProof/>
        </w:rPr>
        <w:t xml:space="preserve"> </w:t>
      </w:r>
      <w:r w:rsidR="002D7AFD" w:rsidRPr="002D7AFD">
        <w:rPr>
          <w:noProof/>
        </w:rPr>
        <w:t> </w:t>
      </w:r>
    </w:p>
    <w:p w14:paraId="762DB6DA" w14:textId="4D0F6E13" w:rsidR="00806EF2" w:rsidRDefault="001D54BE">
      <w:pPr>
        <w:rPr>
          <w:noProof/>
        </w:rPr>
      </w:pPr>
      <w:r w:rsidRPr="00467289">
        <w:rPr>
          <w:noProof/>
          <w:u w:val="single"/>
        </w:rPr>
        <w:t>C</w:t>
      </w:r>
      <w:r w:rsidR="003965F6" w:rsidRPr="00467289">
        <w:rPr>
          <w:noProof/>
          <w:u w:val="single"/>
        </w:rPr>
        <w:t xml:space="preserve">loud </w:t>
      </w:r>
      <w:r w:rsidR="00022645" w:rsidRPr="00467289">
        <w:rPr>
          <w:noProof/>
          <w:u w:val="single"/>
        </w:rPr>
        <w:t>services</w:t>
      </w:r>
      <w:r w:rsidR="00022645" w:rsidRPr="000C2F10">
        <w:rPr>
          <w:noProof/>
        </w:rPr>
        <w:t xml:space="preserve"> </w:t>
      </w:r>
      <w:r w:rsidR="00EE569C">
        <w:rPr>
          <w:bCs/>
          <w:iCs/>
          <w:noProof/>
        </w:rPr>
        <w:t>are</w:t>
      </w:r>
      <w:r w:rsidR="003965F6" w:rsidRPr="006D761B">
        <w:rPr>
          <w:noProof/>
        </w:rPr>
        <w:t xml:space="preserve"> often broken down in three </w:t>
      </w:r>
      <w:r w:rsidR="002923E7" w:rsidRPr="006D761B">
        <w:rPr>
          <w:noProof/>
        </w:rPr>
        <w:t>layers</w:t>
      </w:r>
      <w:r w:rsidR="002923E7" w:rsidRPr="008D2A95">
        <w:rPr>
          <w:rFonts w:eastAsia="Times New Roman"/>
          <w:noProof/>
          <w:szCs w:val="20"/>
        </w:rPr>
        <w:t xml:space="preserve">: </w:t>
      </w:r>
      <w:r w:rsidR="002923E7" w:rsidRPr="006D70AF">
        <w:rPr>
          <w:noProof/>
          <w:u w:val="single"/>
        </w:rPr>
        <w:t xml:space="preserve">infrastructure-as-a-service </w:t>
      </w:r>
      <w:r w:rsidR="003074F9" w:rsidRPr="006D70AF">
        <w:rPr>
          <w:noProof/>
          <w:u w:val="single"/>
        </w:rPr>
        <w:t>(IaaS)</w:t>
      </w:r>
      <w:r w:rsidR="007F6144" w:rsidRPr="006D761B">
        <w:rPr>
          <w:noProof/>
        </w:rPr>
        <w:t xml:space="preserve"> c</w:t>
      </w:r>
      <w:r w:rsidR="002923E7" w:rsidRPr="006D761B">
        <w:rPr>
          <w:noProof/>
        </w:rPr>
        <w:t>onsists in supplying basic computing services</w:t>
      </w:r>
      <w:r w:rsidR="005E47D2" w:rsidRPr="006D761B">
        <w:rPr>
          <w:noProof/>
        </w:rPr>
        <w:t xml:space="preserve">, essentially </w:t>
      </w:r>
      <w:r w:rsidR="002923E7" w:rsidRPr="006D761B">
        <w:rPr>
          <w:noProof/>
        </w:rPr>
        <w:t xml:space="preserve">storage </w:t>
      </w:r>
      <w:r w:rsidR="005E47D2" w:rsidRPr="006D761B">
        <w:rPr>
          <w:noProof/>
        </w:rPr>
        <w:t>and raw</w:t>
      </w:r>
      <w:r w:rsidR="002923E7" w:rsidRPr="006D761B">
        <w:rPr>
          <w:noProof/>
        </w:rPr>
        <w:t xml:space="preserve"> processing</w:t>
      </w:r>
      <w:r w:rsidR="003074F9" w:rsidRPr="006D761B">
        <w:rPr>
          <w:noProof/>
        </w:rPr>
        <w:t xml:space="preserve">; </w:t>
      </w:r>
      <w:r w:rsidR="003074F9" w:rsidRPr="006D70AF">
        <w:rPr>
          <w:noProof/>
          <w:u w:val="single"/>
        </w:rPr>
        <w:t>platform-as-a-service (PaaS)</w:t>
      </w:r>
      <w:r w:rsidR="003074F9" w:rsidRPr="007D2121">
        <w:rPr>
          <w:noProof/>
        </w:rPr>
        <w:t xml:space="preserve"> </w:t>
      </w:r>
      <w:r w:rsidR="003074F9" w:rsidRPr="006D761B">
        <w:rPr>
          <w:noProof/>
        </w:rPr>
        <w:t xml:space="preserve">consists in offering a platform over which </w:t>
      </w:r>
      <w:r w:rsidR="004267A4" w:rsidRPr="006D761B">
        <w:rPr>
          <w:noProof/>
        </w:rPr>
        <w:t xml:space="preserve">services can deployed; and </w:t>
      </w:r>
      <w:r w:rsidR="004267A4" w:rsidRPr="006D70AF">
        <w:rPr>
          <w:noProof/>
          <w:u w:val="single"/>
        </w:rPr>
        <w:t>software-as-a-service</w:t>
      </w:r>
      <w:r w:rsidR="00AA1A87" w:rsidRPr="006D70AF">
        <w:rPr>
          <w:noProof/>
          <w:u w:val="single"/>
        </w:rPr>
        <w:t xml:space="preserve"> (SaaS)</w:t>
      </w:r>
      <w:r w:rsidR="004267A4" w:rsidRPr="006D70AF">
        <w:rPr>
          <w:noProof/>
        </w:rPr>
        <w:t xml:space="preserve"> </w:t>
      </w:r>
      <w:r w:rsidR="004267A4" w:rsidRPr="006D761B">
        <w:rPr>
          <w:noProof/>
        </w:rPr>
        <w:t xml:space="preserve">is </w:t>
      </w:r>
      <w:r w:rsidR="00AA1A87" w:rsidRPr="006D761B">
        <w:rPr>
          <w:noProof/>
        </w:rPr>
        <w:t>a software application delivered over the cloud</w:t>
      </w:r>
      <w:r w:rsidR="00636A99" w:rsidRPr="006D761B">
        <w:rPr>
          <w:noProof/>
        </w:rPr>
        <w:t xml:space="preserve"> such as an office automation suite</w:t>
      </w:r>
      <w:r w:rsidR="007F6144" w:rsidRPr="006D761B">
        <w:rPr>
          <w:noProof/>
        </w:rPr>
        <w:t xml:space="preserve"> or</w:t>
      </w:r>
      <w:r w:rsidR="00636A99" w:rsidRPr="006D761B">
        <w:rPr>
          <w:noProof/>
        </w:rPr>
        <w:t xml:space="preserve"> a video streaming service</w:t>
      </w:r>
      <w:r w:rsidR="007F6144" w:rsidRPr="006D761B">
        <w:rPr>
          <w:noProof/>
        </w:rPr>
        <w:t>.</w:t>
      </w:r>
      <w:r w:rsidR="00A0698C" w:rsidRPr="006D761B">
        <w:rPr>
          <w:noProof/>
        </w:rPr>
        <w:t xml:space="preserve"> </w:t>
      </w:r>
      <w:r w:rsidR="00A22680" w:rsidRPr="006D761B">
        <w:rPr>
          <w:noProof/>
        </w:rPr>
        <w:t xml:space="preserve">Cloud service providers </w:t>
      </w:r>
      <w:r w:rsidR="0003756C" w:rsidRPr="006D761B">
        <w:rPr>
          <w:noProof/>
        </w:rPr>
        <w:t xml:space="preserve">can offer services that </w:t>
      </w:r>
      <w:r w:rsidR="00876C09" w:rsidRPr="006D761B">
        <w:rPr>
          <w:noProof/>
        </w:rPr>
        <w:t xml:space="preserve">span across all layers (e.g. </w:t>
      </w:r>
      <w:r w:rsidR="000F463D" w:rsidRPr="006D761B">
        <w:rPr>
          <w:noProof/>
        </w:rPr>
        <w:t xml:space="preserve">Microsoft offers </w:t>
      </w:r>
      <w:r w:rsidR="00876C09" w:rsidRPr="006D761B">
        <w:rPr>
          <w:noProof/>
        </w:rPr>
        <w:t>Office 365 run</w:t>
      </w:r>
      <w:r w:rsidR="000F463D" w:rsidRPr="006D761B">
        <w:rPr>
          <w:noProof/>
        </w:rPr>
        <w:t>ning</w:t>
      </w:r>
      <w:r w:rsidR="00876C09" w:rsidRPr="006D761B">
        <w:rPr>
          <w:noProof/>
        </w:rPr>
        <w:t xml:space="preserve"> over </w:t>
      </w:r>
      <w:r w:rsidR="00064331" w:rsidRPr="006D761B">
        <w:rPr>
          <w:noProof/>
        </w:rPr>
        <w:t>its own</w:t>
      </w:r>
      <w:r w:rsidR="00876C09" w:rsidRPr="006D761B">
        <w:rPr>
          <w:noProof/>
        </w:rPr>
        <w:t xml:space="preserve"> Azure </w:t>
      </w:r>
      <w:r w:rsidR="000F463D" w:rsidRPr="006D761B">
        <w:rPr>
          <w:noProof/>
        </w:rPr>
        <w:t>infrastructure), or not (e.g. Netflix operates over Amazon’s infrastructure).</w:t>
      </w:r>
      <w:r w:rsidR="000A567B">
        <w:rPr>
          <w:b/>
          <w:iCs/>
          <w:noProof/>
        </w:rPr>
        <w:t xml:space="preserve"> </w:t>
      </w:r>
      <w:r w:rsidR="005952BD" w:rsidRPr="005952BD">
        <w:rPr>
          <w:noProof/>
        </w:rPr>
        <w:t xml:space="preserve">Cloud computing and </w:t>
      </w:r>
      <w:r w:rsidR="005952BD" w:rsidRPr="008D2A95">
        <w:rPr>
          <w:b/>
          <w:noProof/>
          <w:u w:val="single"/>
        </w:rPr>
        <w:t xml:space="preserve">AI </w:t>
      </w:r>
      <w:r w:rsidR="005952BD" w:rsidRPr="005952BD">
        <w:rPr>
          <w:noProof/>
        </w:rPr>
        <w:t xml:space="preserve">are deeply interconnected, each fuelling the other’s potential. Cloud </w:t>
      </w:r>
      <w:r w:rsidR="005952BD">
        <w:rPr>
          <w:noProof/>
        </w:rPr>
        <w:t>computing</w:t>
      </w:r>
      <w:r w:rsidR="005952BD" w:rsidRPr="005952BD">
        <w:rPr>
          <w:noProof/>
        </w:rPr>
        <w:t xml:space="preserve"> provide the scalable infrastructure and computational power AI needs to process data, train models, and deploy applications efficiently. In turn, AI enhances cloud services through automation, predictive analytics, and smarter resource management, making them more adaptive and user-friendly. </w:t>
      </w:r>
      <w:r w:rsidR="007D2D4C" w:rsidRPr="007D2D4C">
        <w:rPr>
          <w:noProof/>
        </w:rPr>
        <w:t>AI computing services provide computing infrastructure that allows</w:t>
      </w:r>
      <w:r w:rsidR="005952BD">
        <w:rPr>
          <w:noProof/>
        </w:rPr>
        <w:t xml:space="preserve"> users</w:t>
      </w:r>
      <w:r w:rsidR="005952BD" w:rsidRPr="005952BD">
        <w:rPr>
          <w:noProof/>
        </w:rPr>
        <w:t xml:space="preserve"> to </w:t>
      </w:r>
      <w:r w:rsidR="007D2D4C" w:rsidRPr="007D2D4C">
        <w:rPr>
          <w:noProof/>
        </w:rPr>
        <w:t>run trained</w:t>
      </w:r>
      <w:r w:rsidR="00E80773">
        <w:rPr>
          <w:noProof/>
        </w:rPr>
        <w:t xml:space="preserve"> AI </w:t>
      </w:r>
      <w:r w:rsidR="007D2D4C" w:rsidRPr="007D2D4C">
        <w:rPr>
          <w:noProof/>
        </w:rPr>
        <w:t xml:space="preserve">model (inference) without hosting </w:t>
      </w:r>
      <w:r w:rsidR="00A51F1E">
        <w:rPr>
          <w:noProof/>
        </w:rPr>
        <w:t xml:space="preserve">the AI system </w:t>
      </w:r>
      <w:r w:rsidR="007D2D4C" w:rsidRPr="007D2D4C">
        <w:rPr>
          <w:noProof/>
        </w:rPr>
        <w:t>on their own hardware.</w:t>
      </w:r>
      <w:r w:rsidR="005952BD">
        <w:rPr>
          <w:noProof/>
        </w:rPr>
        <w:t xml:space="preserve"> </w:t>
      </w:r>
      <w:r w:rsidR="008C328D">
        <w:rPr>
          <w:noProof/>
        </w:rPr>
        <w:t xml:space="preserve">Moreover, AI functionalities are increasingly integrated into cloud services, for example into SaaS offerings, to enhance their functionalities. </w:t>
      </w:r>
    </w:p>
    <w:p w14:paraId="009EF257" w14:textId="758FC8E8" w:rsidR="007147A1" w:rsidRDefault="008C328D">
      <w:pPr>
        <w:rPr>
          <w:noProof/>
        </w:rPr>
      </w:pPr>
      <w:r>
        <w:rPr>
          <w:noProof/>
        </w:rPr>
        <w:t xml:space="preserve">This assessment </w:t>
      </w:r>
      <w:r w:rsidR="00912800">
        <w:rPr>
          <w:noProof/>
        </w:rPr>
        <w:t xml:space="preserve">systematically </w:t>
      </w:r>
      <w:r>
        <w:rPr>
          <w:noProof/>
        </w:rPr>
        <w:t xml:space="preserve">uses the term ‘cloud </w:t>
      </w:r>
      <w:r w:rsidR="003E4CE6">
        <w:rPr>
          <w:noProof/>
        </w:rPr>
        <w:t xml:space="preserve">and AI computing </w:t>
      </w:r>
      <w:r>
        <w:rPr>
          <w:noProof/>
        </w:rPr>
        <w:t xml:space="preserve">services’ </w:t>
      </w:r>
      <w:r w:rsidR="007147A1">
        <w:rPr>
          <w:noProof/>
        </w:rPr>
        <w:t xml:space="preserve">understood as </w:t>
      </w:r>
      <w:r w:rsidR="007147A1">
        <w:rPr>
          <w:noProof/>
          <w:lang w:val="en-IE"/>
        </w:rPr>
        <w:t xml:space="preserve">offering computing </w:t>
      </w:r>
      <w:r w:rsidR="00985097">
        <w:rPr>
          <w:noProof/>
          <w:lang w:val="en-IE"/>
        </w:rPr>
        <w:t>resour</w:t>
      </w:r>
      <w:r w:rsidR="002567D2">
        <w:rPr>
          <w:noProof/>
          <w:lang w:val="en-IE"/>
        </w:rPr>
        <w:t>c</w:t>
      </w:r>
      <w:r w:rsidR="00985097">
        <w:rPr>
          <w:noProof/>
          <w:lang w:val="en-IE"/>
        </w:rPr>
        <w:t xml:space="preserve">es </w:t>
      </w:r>
      <w:r w:rsidR="007147A1">
        <w:rPr>
          <w:noProof/>
        </w:rPr>
        <w:t xml:space="preserve">for the running (inference) of </w:t>
      </w:r>
      <w:r w:rsidR="007147A1" w:rsidRPr="001451AD">
        <w:rPr>
          <w:noProof/>
        </w:rPr>
        <w:t>AI system</w:t>
      </w:r>
      <w:r w:rsidR="00AD2BB0">
        <w:rPr>
          <w:noProof/>
        </w:rPr>
        <w:t>s</w:t>
      </w:r>
      <w:r w:rsidR="003D700A">
        <w:rPr>
          <w:noProof/>
          <w:lang w:val="en-IE"/>
        </w:rPr>
        <w:t>.</w:t>
      </w:r>
      <w:r w:rsidR="007147A1">
        <w:rPr>
          <w:noProof/>
          <w:lang w:val="en-IE"/>
        </w:rPr>
        <w:t xml:space="preserve"> AI systems, pursuant to the AI Act, are not covered by the </w:t>
      </w:r>
      <w:r w:rsidR="008654E2">
        <w:rPr>
          <w:noProof/>
          <w:lang w:val="en-IE"/>
        </w:rPr>
        <w:t xml:space="preserve">sovereignty </w:t>
      </w:r>
      <w:r w:rsidR="007147A1">
        <w:rPr>
          <w:noProof/>
          <w:lang w:val="en-IE"/>
        </w:rPr>
        <w:t xml:space="preserve">scheme described </w:t>
      </w:r>
      <w:r w:rsidR="003D700A">
        <w:rPr>
          <w:noProof/>
          <w:lang w:val="en-IE"/>
        </w:rPr>
        <w:t>in this Impact Assessment</w:t>
      </w:r>
      <w:r w:rsidR="007147A1">
        <w:rPr>
          <w:noProof/>
          <w:lang w:val="en-IE"/>
        </w:rPr>
        <w:t>.</w:t>
      </w:r>
    </w:p>
    <w:p w14:paraId="6D01031D" w14:textId="59D695C1" w:rsidR="005952BD" w:rsidRPr="005952BD" w:rsidRDefault="005010EA" w:rsidP="006B2AA4">
      <w:pPr>
        <w:rPr>
          <w:noProof/>
        </w:rPr>
      </w:pPr>
      <w:r>
        <w:rPr>
          <w:noProof/>
        </w:rPr>
        <w:t>Cloud</w:t>
      </w:r>
      <w:r w:rsidR="003A41E8">
        <w:rPr>
          <w:noProof/>
        </w:rPr>
        <w:t xml:space="preserve"> services may also include other data</w:t>
      </w:r>
      <w:r w:rsidR="00872430">
        <w:rPr>
          <w:noProof/>
        </w:rPr>
        <w:t xml:space="preserve"> processing</w:t>
      </w:r>
      <w:r w:rsidR="003A41E8">
        <w:rPr>
          <w:noProof/>
        </w:rPr>
        <w:t>-related services</w:t>
      </w:r>
      <w:r w:rsidR="00872430">
        <w:rPr>
          <w:noProof/>
        </w:rPr>
        <w:t>, e.g. data analytics</w:t>
      </w:r>
      <w:r w:rsidR="003A41E8">
        <w:rPr>
          <w:rStyle w:val="FootnoteReference"/>
          <w:noProof/>
        </w:rPr>
        <w:footnoteReference w:id="192"/>
      </w:r>
      <w:r w:rsidR="00912800">
        <w:rPr>
          <w:noProof/>
        </w:rPr>
        <w:t xml:space="preserve">. </w:t>
      </w:r>
      <w:r w:rsidR="008C328D">
        <w:rPr>
          <w:noProof/>
        </w:rPr>
        <w:t xml:space="preserve"> </w:t>
      </w:r>
    </w:p>
    <w:p w14:paraId="675DE82B" w14:textId="3132E9A3" w:rsidR="00752290" w:rsidRPr="00D37004" w:rsidRDefault="00C31827" w:rsidP="00C31827">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0E7F11">
        <w:rPr>
          <w:noProof/>
        </w:rPr>
        <w:t>6</w:t>
      </w:r>
      <w:r>
        <w:rPr>
          <w:noProof/>
        </w:rPr>
        <w:fldChar w:fldCharType="end"/>
      </w:r>
      <w:r>
        <w:rPr>
          <w:noProof/>
        </w:rPr>
        <w:t xml:space="preserve">. </w:t>
      </w:r>
      <w:r w:rsidR="00752290" w:rsidRPr="00D37004">
        <w:rPr>
          <w:noProof/>
        </w:rPr>
        <w:t>Interplay between cloud and AI</w:t>
      </w:r>
    </w:p>
    <w:p w14:paraId="0BA1B6FB" w14:textId="00DF03C7" w:rsidR="00F80969" w:rsidRDefault="00F80969" w:rsidP="00F80969">
      <w:pPr>
        <w:pStyle w:val="Caption"/>
        <w:jc w:val="both"/>
        <w:rPr>
          <w:rFonts w:eastAsia="Times New Roman"/>
          <w:b w:val="0"/>
          <w:noProof/>
          <w:szCs w:val="20"/>
        </w:rPr>
      </w:pPr>
      <w:r w:rsidRPr="00F80969">
        <w:rPr>
          <w:rFonts w:eastAsia="Times New Roman"/>
          <w:b w:val="0"/>
          <w:noProof/>
          <w:szCs w:val="20"/>
          <w:lang w:val="en-GB" w:eastAsia="en-GB"/>
        </w:rPr>
        <w:drawing>
          <wp:inline distT="0" distB="0" distL="0" distR="0" wp14:anchorId="06A0AC0F" wp14:editId="438051E0">
            <wp:extent cx="5473065" cy="2731135"/>
            <wp:effectExtent l="0" t="0" r="0" b="0"/>
            <wp:docPr id="12465348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34819" name="Picture 1" descr="A screenshot of a computer&#10;&#10;AI-generated content may be incorrect."/>
                    <pic:cNvPicPr/>
                  </pic:nvPicPr>
                  <pic:blipFill>
                    <a:blip r:embed="rId50"/>
                    <a:stretch>
                      <a:fillRect/>
                    </a:stretch>
                  </pic:blipFill>
                  <pic:spPr>
                    <a:xfrm>
                      <a:off x="0" y="0"/>
                      <a:ext cx="5473065" cy="2731135"/>
                    </a:xfrm>
                    <a:prstGeom prst="rect">
                      <a:avLst/>
                    </a:prstGeom>
                  </pic:spPr>
                </pic:pic>
              </a:graphicData>
            </a:graphic>
          </wp:inline>
        </w:drawing>
      </w:r>
    </w:p>
    <w:p w14:paraId="718945AC" w14:textId="3EF67F73" w:rsidR="00FA4038" w:rsidRPr="00D37004" w:rsidRDefault="00FA4038">
      <w:pPr>
        <w:spacing w:after="200" w:line="276" w:lineRule="auto"/>
        <w:jc w:val="left"/>
        <w:rPr>
          <w:rFonts w:asciiTheme="minorHAnsi" w:hAnsiTheme="minorHAnsi" w:cstheme="minorBidi"/>
          <w:noProof/>
          <w:sz w:val="22"/>
          <w:szCs w:val="22"/>
        </w:rPr>
      </w:pPr>
      <w:r w:rsidRPr="00D37004">
        <w:rPr>
          <w:rFonts w:asciiTheme="minorHAnsi" w:hAnsiTheme="minorHAnsi" w:cstheme="minorBidi"/>
          <w:noProof/>
          <w:sz w:val="22"/>
          <w:szCs w:val="22"/>
        </w:rPr>
        <w:br w:type="page"/>
      </w:r>
    </w:p>
    <w:p w14:paraId="1C97AF48" w14:textId="48F9AE26" w:rsidR="00DC294B" w:rsidRPr="00D37004" w:rsidRDefault="00415F1A" w:rsidP="00DC294B">
      <w:pPr>
        <w:pStyle w:val="AnnexTitle"/>
        <w:rPr>
          <w:noProof/>
          <w:lang w:val="en-IE"/>
        </w:rPr>
      </w:pPr>
      <w:bookmarkStart w:id="343" w:name="_Toc216283395"/>
      <w:bookmarkStart w:id="344" w:name="_Toc228346954"/>
      <w:r w:rsidRPr="00D37004">
        <w:rPr>
          <w:noProof/>
          <w:lang w:val="en-IE"/>
        </w:rPr>
        <w:t xml:space="preserve">Annex </w:t>
      </w:r>
      <w:r w:rsidR="00EE699B">
        <w:rPr>
          <w:noProof/>
          <w:lang w:val="en-IE"/>
        </w:rPr>
        <w:t>9</w:t>
      </w:r>
      <w:r w:rsidR="003A029A" w:rsidRPr="00D37004">
        <w:rPr>
          <w:noProof/>
          <w:lang w:val="en-IE"/>
        </w:rPr>
        <w:t xml:space="preserve">. </w:t>
      </w:r>
      <w:r w:rsidR="00895509" w:rsidRPr="00D37004">
        <w:rPr>
          <w:noProof/>
          <w:lang w:val="en-IE"/>
        </w:rPr>
        <w:t>Baseline scenario (Policy Option 0)</w:t>
      </w:r>
      <w:bookmarkEnd w:id="343"/>
      <w:bookmarkEnd w:id="344"/>
      <w:r w:rsidR="003F190D" w:rsidRPr="00D37004">
        <w:rPr>
          <w:noProof/>
          <w:lang w:val="en-IE"/>
        </w:rPr>
        <w:t xml:space="preserve"> </w:t>
      </w:r>
    </w:p>
    <w:p w14:paraId="2115FE4F" w14:textId="78592B32" w:rsidR="007A1076" w:rsidRPr="00201C2C" w:rsidRDefault="00A95D3C" w:rsidP="005F04D9">
      <w:pPr>
        <w:spacing w:after="120"/>
        <w:rPr>
          <w:noProof/>
        </w:rPr>
      </w:pPr>
      <w:r w:rsidRPr="03757E6C">
        <w:rPr>
          <w:noProof/>
        </w:rPr>
        <w:t xml:space="preserve">The baseline scenario represents the reference case against which policy options are assessed. It provides a realistic and neutral projection of how the EU cloud and AI </w:t>
      </w:r>
      <w:r w:rsidR="0076005A">
        <w:rPr>
          <w:noProof/>
        </w:rPr>
        <w:t xml:space="preserve">computing </w:t>
      </w:r>
      <w:r w:rsidRPr="03757E6C">
        <w:rPr>
          <w:noProof/>
        </w:rPr>
        <w:t>services market, and the related data centre infrastructure, are expected to evolve in the absence of additional policy intervention beyond current measures and commitments.</w:t>
      </w:r>
      <w:r w:rsidR="0076005A">
        <w:rPr>
          <w:noProof/>
        </w:rPr>
        <w:t xml:space="preserve"> </w:t>
      </w:r>
      <w:r w:rsidRPr="00201C2C">
        <w:rPr>
          <w:noProof/>
        </w:rPr>
        <w:t>The scenario integrates the effects of:</w:t>
      </w:r>
    </w:p>
    <w:p w14:paraId="63C9E441" w14:textId="1F9D6BB7" w:rsidR="007A1076" w:rsidRPr="00201C2C" w:rsidRDefault="00A95D3C" w:rsidP="00744B72">
      <w:pPr>
        <w:pStyle w:val="ListParagraph"/>
        <w:numPr>
          <w:ilvl w:val="0"/>
          <w:numId w:val="74"/>
        </w:numPr>
        <w:spacing w:after="0"/>
        <w:rPr>
          <w:noProof/>
        </w:rPr>
      </w:pPr>
      <w:r w:rsidRPr="00201C2C">
        <w:rPr>
          <w:noProof/>
        </w:rPr>
        <w:t>Existing EU legislation</w:t>
      </w:r>
      <w:r w:rsidR="00A11AFD">
        <w:rPr>
          <w:noProof/>
        </w:rPr>
        <w:t xml:space="preserve">, </w:t>
      </w:r>
      <w:r w:rsidR="00243D32">
        <w:rPr>
          <w:noProof/>
        </w:rPr>
        <w:t>especially for infrastructure development (</w:t>
      </w:r>
      <w:r w:rsidR="00243D32" w:rsidRPr="00795A7F">
        <w:rPr>
          <w:noProof/>
        </w:rPr>
        <w:t>EED and RED III</w:t>
      </w:r>
      <w:r w:rsidR="00243D32">
        <w:rPr>
          <w:noProof/>
        </w:rPr>
        <w:t>)</w:t>
      </w:r>
      <w:r w:rsidR="00ED1CD8">
        <w:rPr>
          <w:noProof/>
        </w:rPr>
        <w:t>, that is Problem 1</w:t>
      </w:r>
      <w:r w:rsidR="006F0D01">
        <w:rPr>
          <w:noProof/>
        </w:rPr>
        <w:t>. In the case of cloud services</w:t>
      </w:r>
      <w:r w:rsidR="00ED1CD8">
        <w:rPr>
          <w:noProof/>
        </w:rPr>
        <w:t xml:space="preserve"> (Problem 2)</w:t>
      </w:r>
      <w:r w:rsidR="006F0D01">
        <w:rPr>
          <w:noProof/>
        </w:rPr>
        <w:t xml:space="preserve">, the </w:t>
      </w:r>
      <w:r w:rsidR="005364C3">
        <w:rPr>
          <w:noProof/>
        </w:rPr>
        <w:t xml:space="preserve">main applicable legislation is </w:t>
      </w:r>
      <w:r w:rsidR="005D4EAC">
        <w:rPr>
          <w:noProof/>
        </w:rPr>
        <w:t>the Data Act, which entered into force in September 2025, whose effects are not yet observable.</w:t>
      </w:r>
      <w:r w:rsidR="006F0D01">
        <w:rPr>
          <w:noProof/>
        </w:rPr>
        <w:t xml:space="preserve"> </w:t>
      </w:r>
      <w:r w:rsidR="004278DD">
        <w:rPr>
          <w:noProof/>
        </w:rPr>
        <w:t xml:space="preserve">Similarly, the impact of EU public funding cannot yet be fully assessed, as the current Multiannual </w:t>
      </w:r>
      <w:r w:rsidR="00B95BE1">
        <w:rPr>
          <w:noProof/>
        </w:rPr>
        <w:t xml:space="preserve">Financial Framework (MFF) is still subject to evaluation. In </w:t>
      </w:r>
      <w:r w:rsidR="000E556F">
        <w:rPr>
          <w:noProof/>
        </w:rPr>
        <w:t>addition, no dynamic outlook on future funding allocations can be provided</w:t>
      </w:r>
      <w:r w:rsidR="00F01219">
        <w:rPr>
          <w:noProof/>
        </w:rPr>
        <w:t>, given that negotiation on the next MFF have not yet started</w:t>
      </w:r>
      <w:r w:rsidR="00EA3E11">
        <w:rPr>
          <w:noProof/>
        </w:rPr>
        <w:t>;</w:t>
      </w:r>
      <w:r w:rsidR="00F01219">
        <w:rPr>
          <w:noProof/>
        </w:rPr>
        <w:t xml:space="preserve"> </w:t>
      </w:r>
    </w:p>
    <w:p w14:paraId="53467D5C" w14:textId="77777777" w:rsidR="007A1076" w:rsidRPr="00201C2C" w:rsidRDefault="00A95D3C" w:rsidP="00744B72">
      <w:pPr>
        <w:pStyle w:val="ListParagraph"/>
        <w:numPr>
          <w:ilvl w:val="0"/>
          <w:numId w:val="74"/>
        </w:numPr>
        <w:spacing w:after="0"/>
        <w:rPr>
          <w:noProof/>
        </w:rPr>
      </w:pPr>
      <w:r w:rsidRPr="00201C2C">
        <w:rPr>
          <w:noProof/>
        </w:rPr>
        <w:t>Market-driven technological progress and private investment trends;</w:t>
      </w:r>
    </w:p>
    <w:p w14:paraId="524413E7" w14:textId="17A6ABE7" w:rsidR="007A1076" w:rsidRPr="00201C2C" w:rsidRDefault="0053174D" w:rsidP="00744B72">
      <w:pPr>
        <w:pStyle w:val="ListParagraph"/>
        <w:numPr>
          <w:ilvl w:val="0"/>
          <w:numId w:val="74"/>
        </w:numPr>
        <w:spacing w:after="0"/>
        <w:rPr>
          <w:noProof/>
        </w:rPr>
      </w:pPr>
      <w:r w:rsidRPr="00201C2C">
        <w:rPr>
          <w:noProof/>
        </w:rPr>
        <w:t>Macroeconomic forecasts;</w:t>
      </w:r>
    </w:p>
    <w:p w14:paraId="18BC6AD3" w14:textId="77777777" w:rsidR="007A1076" w:rsidRPr="00201C2C" w:rsidRDefault="00A95D3C" w:rsidP="00744B72">
      <w:pPr>
        <w:pStyle w:val="ListParagraph"/>
        <w:numPr>
          <w:ilvl w:val="0"/>
          <w:numId w:val="74"/>
        </w:numPr>
        <w:spacing w:after="120"/>
        <w:rPr>
          <w:noProof/>
        </w:rPr>
      </w:pPr>
      <w:r w:rsidRPr="00201C2C">
        <w:rPr>
          <w:noProof/>
        </w:rPr>
        <w:t>Global developments affecting demand for computing capacity, cloud services, and AI workloads.</w:t>
      </w:r>
    </w:p>
    <w:p w14:paraId="510029DC" w14:textId="2FF5A80B" w:rsidR="00975A08" w:rsidRDefault="00A95D3C" w:rsidP="00975A08">
      <w:pPr>
        <w:rPr>
          <w:noProof/>
        </w:rPr>
      </w:pPr>
      <w:r w:rsidRPr="03757E6C">
        <w:rPr>
          <w:noProof/>
        </w:rPr>
        <w:t>It covers the period 2025</w:t>
      </w:r>
      <w:r w:rsidR="00AF0843">
        <w:rPr>
          <w:noProof/>
        </w:rPr>
        <w:t>-</w:t>
      </w:r>
      <w:r w:rsidR="0053174D" w:rsidRPr="03757E6C">
        <w:rPr>
          <w:noProof/>
        </w:rPr>
        <w:t>203</w:t>
      </w:r>
      <w:r w:rsidR="00AF0843">
        <w:rPr>
          <w:noProof/>
        </w:rPr>
        <w:t>6</w:t>
      </w:r>
      <w:r w:rsidRPr="03757E6C">
        <w:rPr>
          <w:noProof/>
        </w:rPr>
        <w:t xml:space="preserve"> and the EU-27, </w:t>
      </w:r>
      <w:r w:rsidR="0090683C">
        <w:rPr>
          <w:noProof/>
        </w:rPr>
        <w:t>compares</w:t>
      </w:r>
      <w:r w:rsidRPr="03757E6C">
        <w:rPr>
          <w:noProof/>
        </w:rPr>
        <w:t xml:space="preserve"> to global market evolution </w:t>
      </w:r>
      <w:r w:rsidR="00AF0843">
        <w:rPr>
          <w:noProof/>
        </w:rPr>
        <w:t>and</w:t>
      </w:r>
      <w:r w:rsidR="0053174D" w:rsidRPr="03757E6C">
        <w:rPr>
          <w:noProof/>
        </w:rPr>
        <w:t xml:space="preserve"> </w:t>
      </w:r>
      <w:r w:rsidRPr="03757E6C">
        <w:rPr>
          <w:noProof/>
        </w:rPr>
        <w:t xml:space="preserve">provides a projection of likely developments in the absence of further policy action, </w:t>
      </w:r>
      <w:r w:rsidR="00AF0843">
        <w:rPr>
          <w:noProof/>
        </w:rPr>
        <w:t>thus</w:t>
      </w:r>
      <w:r w:rsidRPr="03757E6C">
        <w:rPr>
          <w:noProof/>
        </w:rPr>
        <w:t xml:space="preserve"> allowing </w:t>
      </w:r>
      <w:r w:rsidR="00AF0843">
        <w:rPr>
          <w:noProof/>
        </w:rPr>
        <w:t>for the</w:t>
      </w:r>
      <w:r w:rsidR="0053174D" w:rsidRPr="03757E6C">
        <w:rPr>
          <w:noProof/>
        </w:rPr>
        <w:t xml:space="preserve"> </w:t>
      </w:r>
      <w:r w:rsidRPr="03757E6C">
        <w:rPr>
          <w:noProof/>
        </w:rPr>
        <w:t xml:space="preserve">quantitative and qualitative comparison of the policy options’ expected impacts. It describes how each identified problem and their underlying drivers </w:t>
      </w:r>
      <w:r w:rsidR="00752719">
        <w:rPr>
          <w:noProof/>
        </w:rPr>
        <w:t xml:space="preserve">would </w:t>
      </w:r>
      <w:r w:rsidRPr="03757E6C">
        <w:rPr>
          <w:noProof/>
        </w:rPr>
        <w:t>develop to 2036 without new policy action, drawing on available quantitative evidence and market projections</w:t>
      </w:r>
      <w:r w:rsidR="005C7C5A">
        <w:rPr>
          <w:noProof/>
        </w:rPr>
        <w:t>.</w:t>
      </w:r>
    </w:p>
    <w:p w14:paraId="41400B5D" w14:textId="725F4C50" w:rsidR="00190C55" w:rsidRDefault="00190C55" w:rsidP="00EA3E11">
      <w:pPr>
        <w:pStyle w:val="Heading2"/>
        <w:numPr>
          <w:ilvl w:val="0"/>
          <w:numId w:val="75"/>
        </w:numPr>
        <w:tabs>
          <w:tab w:val="left" w:pos="567"/>
        </w:tabs>
        <w:ind w:left="357" w:hanging="357"/>
        <w:rPr>
          <w:noProof/>
        </w:rPr>
      </w:pPr>
      <w:bookmarkStart w:id="345" w:name="_Toc216283396"/>
      <w:bookmarkStart w:id="346" w:name="_Toc228346955"/>
      <w:r>
        <w:rPr>
          <w:noProof/>
        </w:rPr>
        <w:t>Limited and geographically concentrated availability of computing capacity</w:t>
      </w:r>
      <w:bookmarkEnd w:id="345"/>
      <w:bookmarkEnd w:id="346"/>
    </w:p>
    <w:p w14:paraId="6BFDA401" w14:textId="7611242E" w:rsidR="00353C23" w:rsidRDefault="00F40879" w:rsidP="0053174D">
      <w:pPr>
        <w:rPr>
          <w:noProof/>
        </w:rPr>
      </w:pPr>
      <w:r>
        <w:rPr>
          <w:noProof/>
        </w:rPr>
        <w:t xml:space="preserve">For problem 1, </w:t>
      </w:r>
      <w:r w:rsidR="003D3314" w:rsidRPr="03757E6C">
        <w:rPr>
          <w:noProof/>
        </w:rPr>
        <w:t>The EU’s total installed compute capacity, measured in data-centre IT load, stands at approximately 12.4 GW</w:t>
      </w:r>
      <w:r w:rsidR="001958AB">
        <w:rPr>
          <w:noProof/>
        </w:rPr>
        <w:t xml:space="preserve"> (and 13.9 GW if public sector capacity</w:t>
      </w:r>
      <w:r w:rsidR="00372C01">
        <w:rPr>
          <w:noProof/>
        </w:rPr>
        <w:t xml:space="preserve"> is also considered</w:t>
      </w:r>
      <w:r w:rsidR="001958AB">
        <w:rPr>
          <w:noProof/>
        </w:rPr>
        <w:t>)</w:t>
      </w:r>
      <w:r w:rsidR="003D3314" w:rsidRPr="03757E6C">
        <w:rPr>
          <w:noProof/>
        </w:rPr>
        <w:t>, representing around 20%</w:t>
      </w:r>
      <w:r w:rsidR="003D3314" w:rsidRPr="03757E6C">
        <w:rPr>
          <w:b/>
          <w:noProof/>
        </w:rPr>
        <w:t xml:space="preserve"> </w:t>
      </w:r>
      <w:r w:rsidR="003D3314" w:rsidRPr="03757E6C">
        <w:rPr>
          <w:noProof/>
        </w:rPr>
        <w:t xml:space="preserve">of global capacity. Growth is projected to reach </w:t>
      </w:r>
      <w:r w:rsidR="00413427">
        <w:rPr>
          <w:noProof/>
        </w:rPr>
        <w:t>42</w:t>
      </w:r>
      <w:r w:rsidR="001958AB">
        <w:rPr>
          <w:noProof/>
        </w:rPr>
        <w:t>.5</w:t>
      </w:r>
      <w:r w:rsidR="003D3314" w:rsidRPr="03757E6C">
        <w:rPr>
          <w:noProof/>
        </w:rPr>
        <w:t xml:space="preserve"> GW by 2036, yet </w:t>
      </w:r>
      <w:r w:rsidR="003B6D08">
        <w:rPr>
          <w:noProof/>
        </w:rPr>
        <w:t xml:space="preserve">in the central scenario </w:t>
      </w:r>
      <w:r w:rsidR="003D3314" w:rsidRPr="03757E6C">
        <w:rPr>
          <w:noProof/>
        </w:rPr>
        <w:t xml:space="preserve">demand data centre capacity is expected to increase </w:t>
      </w:r>
      <w:r w:rsidR="00B152F9">
        <w:rPr>
          <w:noProof/>
        </w:rPr>
        <w:t>to 61.5</w:t>
      </w:r>
      <w:r w:rsidR="003B6D08">
        <w:rPr>
          <w:noProof/>
        </w:rPr>
        <w:t xml:space="preserve"> GW</w:t>
      </w:r>
      <w:r w:rsidR="003D3314" w:rsidRPr="03757E6C">
        <w:rPr>
          <w:noProof/>
        </w:rPr>
        <w:t xml:space="preserve"> over the same period, creating a structural capacity gap of </w:t>
      </w:r>
      <w:r w:rsidR="004A0297">
        <w:rPr>
          <w:noProof/>
        </w:rPr>
        <w:t>19 GW</w:t>
      </w:r>
      <w:r w:rsidR="003D3314" w:rsidRPr="03757E6C">
        <w:rPr>
          <w:noProof/>
        </w:rPr>
        <w:t xml:space="preserve"> relative to projected needs</w:t>
      </w:r>
      <w:r w:rsidR="00353C23">
        <w:rPr>
          <w:noProof/>
        </w:rPr>
        <w:t>, as shown in the figure below</w:t>
      </w:r>
      <w:r w:rsidR="003D3314" w:rsidRPr="03757E6C">
        <w:rPr>
          <w:noProof/>
        </w:rPr>
        <w:t>.</w:t>
      </w:r>
      <w:r w:rsidRPr="03757E6C">
        <w:rPr>
          <w:noProof/>
        </w:rPr>
        <w:t xml:space="preserve"> </w:t>
      </w:r>
    </w:p>
    <w:p w14:paraId="5019DF6C" w14:textId="54DB3E1A" w:rsidR="00D67700" w:rsidRDefault="00D67700" w:rsidP="005B539C">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0E7F11">
        <w:rPr>
          <w:noProof/>
        </w:rPr>
        <w:t>7</w:t>
      </w:r>
      <w:r>
        <w:rPr>
          <w:noProof/>
        </w:rPr>
        <w:fldChar w:fldCharType="end"/>
      </w:r>
      <w:r>
        <w:rPr>
          <w:noProof/>
        </w:rPr>
        <w:t xml:space="preserve">. </w:t>
      </w:r>
      <w:r w:rsidR="004610AF">
        <w:rPr>
          <w:noProof/>
        </w:rPr>
        <w:t xml:space="preserve">Forecasted data centre capacity and demand in EU-27 (Source: </w:t>
      </w:r>
      <w:r w:rsidR="004672D4" w:rsidRPr="00785FC1">
        <w:rPr>
          <w:noProof/>
        </w:rPr>
        <w:t>Technopolis et al. (2025))</w:t>
      </w:r>
    </w:p>
    <w:p w14:paraId="3CC2F133" w14:textId="1975B300" w:rsidR="00353C23" w:rsidRDefault="00353C23" w:rsidP="00EA3E11">
      <w:pPr>
        <w:jc w:val="center"/>
        <w:rPr>
          <w:noProof/>
        </w:rPr>
      </w:pPr>
      <w:r w:rsidRPr="00D37004">
        <w:rPr>
          <w:noProof/>
          <w:lang w:eastAsia="en-GB"/>
        </w:rPr>
        <w:drawing>
          <wp:inline distT="0" distB="0" distL="0" distR="0" wp14:anchorId="5360D872" wp14:editId="53A3CC96">
            <wp:extent cx="4872820" cy="2237591"/>
            <wp:effectExtent l="0" t="0" r="4445" b="0"/>
            <wp:docPr id="2030599696"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99696" name="Picture 1" descr="A graph of a number of people&#10;&#10;AI-generated content may be incorrect."/>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686" r="2365" b="3029"/>
                    <a:stretch/>
                  </pic:blipFill>
                  <pic:spPr bwMode="auto">
                    <a:xfrm>
                      <a:off x="0" y="0"/>
                      <a:ext cx="5044354" cy="2316359"/>
                    </a:xfrm>
                    <a:prstGeom prst="rect">
                      <a:avLst/>
                    </a:prstGeom>
                    <a:noFill/>
                    <a:ln>
                      <a:noFill/>
                    </a:ln>
                    <a:extLst>
                      <a:ext uri="{53640926-AAD7-44D8-BBD7-CCE9431645EC}">
                        <a14:shadowObscured xmlns:a14="http://schemas.microsoft.com/office/drawing/2010/main"/>
                      </a:ext>
                    </a:extLst>
                  </pic:spPr>
                </pic:pic>
              </a:graphicData>
            </a:graphic>
          </wp:inline>
        </w:drawing>
      </w:r>
    </w:p>
    <w:p w14:paraId="297AF85E" w14:textId="3511D6D5" w:rsidR="00810F9D" w:rsidRDefault="00353C23" w:rsidP="0053174D">
      <w:pPr>
        <w:rPr>
          <w:noProof/>
        </w:rPr>
      </w:pPr>
      <w:r>
        <w:rPr>
          <w:noProof/>
        </w:rPr>
        <w:t>In this</w:t>
      </w:r>
      <w:r w:rsidR="00810F9D">
        <w:rPr>
          <w:noProof/>
        </w:rPr>
        <w:t xml:space="preserve"> </w:t>
      </w:r>
      <w:r>
        <w:rPr>
          <w:noProof/>
        </w:rPr>
        <w:t xml:space="preserve">central scenario data centre </w:t>
      </w:r>
      <w:r w:rsidR="00810F9D">
        <w:rPr>
          <w:noProof/>
        </w:rPr>
        <w:t xml:space="preserve">demand growth is based on the following assumptions: </w:t>
      </w:r>
    </w:p>
    <w:p w14:paraId="6A267972" w14:textId="7F8B088D" w:rsidR="00810F9D" w:rsidRDefault="00810F9D" w:rsidP="00744B72">
      <w:pPr>
        <w:pStyle w:val="ListParagraph"/>
        <w:numPr>
          <w:ilvl w:val="0"/>
          <w:numId w:val="43"/>
        </w:numPr>
        <w:rPr>
          <w:noProof/>
        </w:rPr>
      </w:pPr>
      <w:r>
        <w:rPr>
          <w:noProof/>
        </w:rPr>
        <w:t xml:space="preserve">Enterprise IT budgets across the EU-27 continue to expand at a steady and predictable pace, reflecting a stable macroeconomic environment and a measured approach to digital transformation. </w:t>
      </w:r>
    </w:p>
    <w:p w14:paraId="610E0B4A" w14:textId="60790084" w:rsidR="00810F9D" w:rsidRDefault="00810F9D" w:rsidP="00744B72">
      <w:pPr>
        <w:pStyle w:val="ListParagraph"/>
        <w:numPr>
          <w:ilvl w:val="0"/>
          <w:numId w:val="43"/>
        </w:numPr>
        <w:rPr>
          <w:noProof/>
        </w:rPr>
      </w:pPr>
      <w:r>
        <w:rPr>
          <w:noProof/>
        </w:rPr>
        <w:t>IT spending as a share of enterprise turnover increases gradually, reaching 3.7% by 2032. From 2032 onwards, this ratio stabilises, indicating a maturing digital spend</w:t>
      </w:r>
      <w:r w:rsidR="00415AFA">
        <w:rPr>
          <w:noProof/>
        </w:rPr>
        <w:t>ing</w:t>
      </w:r>
      <w:r>
        <w:rPr>
          <w:noProof/>
        </w:rPr>
        <w:t xml:space="preserve"> profile with spend</w:t>
      </w:r>
      <w:r w:rsidR="00621A4F">
        <w:rPr>
          <w:noProof/>
        </w:rPr>
        <w:t>ing</w:t>
      </w:r>
      <w:r>
        <w:rPr>
          <w:noProof/>
        </w:rPr>
        <w:t xml:space="preserve"> only increasing to 3.8% by 2036. Within this broader trend, investment in data centre infrastructure grows in line with the historical CAGR of 14% through to 2030, reflecting sustained demand for compute and storage infrastructure. This growth supports both the retrofitting of legacy environments and the deployment of new, AI-capable facilities, particularly in markets where cloud adoption and enterprise workloads continue to scale.  From 2032 onwards, the growth rate of data centre spending decelerates, but outlays continue to increase, sustained by lifecycle refreshes, AI-capable retrofits, compliance and resilience upgrades, and steady colocation demand</w:t>
      </w:r>
    </w:p>
    <w:p w14:paraId="0BCFDB0E" w14:textId="77777777" w:rsidR="00BB3728" w:rsidRDefault="00810F9D" w:rsidP="00744B72">
      <w:pPr>
        <w:pStyle w:val="ListParagraph"/>
        <w:numPr>
          <w:ilvl w:val="0"/>
          <w:numId w:val="43"/>
        </w:numPr>
        <w:rPr>
          <w:noProof/>
        </w:rPr>
      </w:pPr>
      <w:r>
        <w:rPr>
          <w:noProof/>
        </w:rPr>
        <w:t xml:space="preserve">Workloads evolve steadily, with increased deployment of AI, machine learning, and data-driven services contributing to higher computational requirements. </w:t>
      </w:r>
    </w:p>
    <w:p w14:paraId="1F62AFE3" w14:textId="57D7C5E6" w:rsidR="00810F9D" w:rsidRDefault="00810F9D" w:rsidP="00744B72">
      <w:pPr>
        <w:pStyle w:val="ListParagraph"/>
        <w:numPr>
          <w:ilvl w:val="0"/>
          <w:numId w:val="43"/>
        </w:numPr>
        <w:rPr>
          <w:noProof/>
        </w:rPr>
      </w:pPr>
      <w:r w:rsidRPr="00570DEA">
        <w:rPr>
          <w:noProof/>
        </w:rPr>
        <w:t>Digital policies boost private sector demand. As governments roll out e-government services, data-sharing initiatives, and sector-specific AI guidelines, private enterprises respond by adopting initiatives which steadily drive increases in compute and storage requirements.</w:t>
      </w:r>
    </w:p>
    <w:p w14:paraId="5EEE77B8" w14:textId="72471FFE" w:rsidR="00353C23" w:rsidRDefault="00090544" w:rsidP="00EA3E11">
      <w:pPr>
        <w:spacing w:after="120"/>
        <w:rPr>
          <w:noProof/>
        </w:rPr>
      </w:pPr>
      <w:r>
        <w:rPr>
          <w:noProof/>
        </w:rPr>
        <w:t>D</w:t>
      </w:r>
      <w:r w:rsidR="00353C23">
        <w:rPr>
          <w:noProof/>
        </w:rPr>
        <w:t xml:space="preserve">ata centre supply growth is based on the following assumptions: </w:t>
      </w:r>
    </w:p>
    <w:p w14:paraId="3C7575E7" w14:textId="77777777" w:rsidR="00992FF1" w:rsidRDefault="00992FF1" w:rsidP="00744B72">
      <w:pPr>
        <w:pStyle w:val="ListParagraph"/>
        <w:numPr>
          <w:ilvl w:val="0"/>
          <w:numId w:val="44"/>
        </w:numPr>
        <w:rPr>
          <w:noProof/>
        </w:rPr>
      </w:pPr>
      <w:r>
        <w:rPr>
          <w:noProof/>
        </w:rPr>
        <w:t xml:space="preserve">Capacity growth is around 14% CAGR through 2025–2030, then eases over 2030–2036. </w:t>
      </w:r>
    </w:p>
    <w:p w14:paraId="0B97BD1F" w14:textId="4440358F" w:rsidR="00992FF1" w:rsidRDefault="00992FF1" w:rsidP="00744B72">
      <w:pPr>
        <w:pStyle w:val="ListParagraph"/>
        <w:numPr>
          <w:ilvl w:val="0"/>
          <w:numId w:val="44"/>
        </w:numPr>
        <w:rPr>
          <w:noProof/>
        </w:rPr>
      </w:pPr>
      <w:r>
        <w:rPr>
          <w:noProof/>
        </w:rPr>
        <w:t xml:space="preserve">Expansion remains concentrated in FLAP-D hubs, with steady investment in secondary markets (Nordics, Spain, Italy) and slower uptake in developing markets (around 6.49% CAGR). </w:t>
      </w:r>
      <w:r w:rsidR="003D3314" w:rsidRPr="03757E6C">
        <w:rPr>
          <w:noProof/>
        </w:rPr>
        <w:t xml:space="preserve">Capacity expansion follows market trends concentrated in existing hubs, where grid constraints, land availability, and permitting delays limit new deployment. </w:t>
      </w:r>
      <w:r w:rsidRPr="03757E6C">
        <w:rPr>
          <w:noProof/>
        </w:rPr>
        <w:t>Investment remains market-led; new entrants face high upfront capital costs (</w:t>
      </w:r>
      <w:r w:rsidR="00644F0C">
        <w:rPr>
          <w:noProof/>
        </w:rPr>
        <w:t>around</w:t>
      </w:r>
      <w:r w:rsidRPr="03757E6C">
        <w:rPr>
          <w:noProof/>
        </w:rPr>
        <w:t xml:space="preserve"> </w:t>
      </w:r>
      <w:r w:rsidR="004D14CD">
        <w:rPr>
          <w:noProof/>
        </w:rPr>
        <w:t xml:space="preserve">EUR </w:t>
      </w:r>
      <w:r w:rsidRPr="03757E6C">
        <w:rPr>
          <w:noProof/>
        </w:rPr>
        <w:t>8</w:t>
      </w:r>
      <w:r w:rsidR="00644F0C">
        <w:rPr>
          <w:noProof/>
        </w:rPr>
        <w:t>-</w:t>
      </w:r>
      <w:r w:rsidRPr="03757E6C">
        <w:rPr>
          <w:noProof/>
        </w:rPr>
        <w:t>10 million/MW)</w:t>
      </w:r>
      <w:r w:rsidR="00644F0C">
        <w:rPr>
          <w:noProof/>
        </w:rPr>
        <w:t>.</w:t>
      </w:r>
    </w:p>
    <w:p w14:paraId="31D85501" w14:textId="497ED8B3" w:rsidR="00992FF1" w:rsidRDefault="00992FF1" w:rsidP="00744B72">
      <w:pPr>
        <w:pStyle w:val="ListParagraph"/>
        <w:numPr>
          <w:ilvl w:val="0"/>
          <w:numId w:val="44"/>
        </w:numPr>
        <w:rPr>
          <w:noProof/>
        </w:rPr>
      </w:pPr>
      <w:r>
        <w:rPr>
          <w:noProof/>
        </w:rPr>
        <w:t xml:space="preserve">Aggregate growth is around 17.7% over 2025–2030 (consistent with the survey’s ~14% CAGR lens) as committed pipelines, AI-readiness upgrades, and new cloud regions come through. From 2031–2036, growth moderates to </w:t>
      </w:r>
      <w:r w:rsidR="008B6ECF">
        <w:rPr>
          <w:noProof/>
        </w:rPr>
        <w:t xml:space="preserve">around </w:t>
      </w:r>
      <w:r>
        <w:rPr>
          <w:noProof/>
        </w:rPr>
        <w:t>7.1%, reflecting tighter site selection driven by power and land availability, longer permitting lead times, and higher financing costs.</w:t>
      </w:r>
      <w:r w:rsidR="00792675" w:rsidRPr="00792675">
        <w:rPr>
          <w:noProof/>
        </w:rPr>
        <w:t xml:space="preserve"> This trend risks constraining AI model training and cloud workloads within the EU, particularly for SMEs and public-sector users.</w:t>
      </w:r>
    </w:p>
    <w:p w14:paraId="5341E399" w14:textId="4AE89DFD" w:rsidR="00992FF1" w:rsidRDefault="00992FF1" w:rsidP="00744B72">
      <w:pPr>
        <w:pStyle w:val="ListParagraph"/>
        <w:numPr>
          <w:ilvl w:val="0"/>
          <w:numId w:val="44"/>
        </w:numPr>
        <w:rPr>
          <w:noProof/>
        </w:rPr>
      </w:pPr>
      <w:r>
        <w:rPr>
          <w:noProof/>
        </w:rPr>
        <w:t xml:space="preserve">Electrical grid limitations remain </w:t>
      </w:r>
      <w:r w:rsidR="00792675">
        <w:rPr>
          <w:noProof/>
        </w:rPr>
        <w:t>a key</w:t>
      </w:r>
      <w:r>
        <w:rPr>
          <w:noProof/>
        </w:rPr>
        <w:t xml:space="preserve"> issue in certain primary markets such as Ireland and the Netherlands. However, regulators and operators in several markets have begun investing in grid modernisation and demand management.</w:t>
      </w:r>
      <w:r w:rsidRPr="03757E6C">
        <w:rPr>
          <w:noProof/>
        </w:rPr>
        <w:t xml:space="preserve"> </w:t>
      </w:r>
      <w:r w:rsidR="00D45B52">
        <w:rPr>
          <w:noProof/>
        </w:rPr>
        <w:t>Without targeted policy intervention l</w:t>
      </w:r>
      <w:r w:rsidRPr="03757E6C">
        <w:rPr>
          <w:noProof/>
        </w:rPr>
        <w:t>ong lead times for grid connection</w:t>
      </w:r>
      <w:r w:rsidR="00D45B52">
        <w:rPr>
          <w:noProof/>
        </w:rPr>
        <w:t xml:space="preserve"> remain across Europe</w:t>
      </w:r>
      <w:r w:rsidRPr="03757E6C">
        <w:rPr>
          <w:noProof/>
        </w:rPr>
        <w:t xml:space="preserve"> (&gt;30 months).</w:t>
      </w:r>
    </w:p>
    <w:p w14:paraId="0B4B6D05" w14:textId="1C32B175" w:rsidR="00CC3C1D" w:rsidRDefault="00D45B52" w:rsidP="00744B72">
      <w:pPr>
        <w:pStyle w:val="ListParagraph"/>
        <w:numPr>
          <w:ilvl w:val="0"/>
          <w:numId w:val="44"/>
        </w:numPr>
        <w:rPr>
          <w:noProof/>
        </w:rPr>
      </w:pPr>
      <w:r w:rsidRPr="03757E6C">
        <w:rPr>
          <w:noProof/>
        </w:rPr>
        <w:t>The Energy Efficiency Directive</w:t>
      </w:r>
      <w:r>
        <w:rPr>
          <w:noProof/>
        </w:rPr>
        <w:t xml:space="preserve"> </w:t>
      </w:r>
      <w:r w:rsidRPr="03757E6C">
        <w:rPr>
          <w:noProof/>
        </w:rPr>
        <w:t>requires operators of large data centres to disclose annual energy and water use, improving transparency and benchmarking.</w:t>
      </w:r>
      <w:r>
        <w:rPr>
          <w:noProof/>
        </w:rPr>
        <w:t xml:space="preserve"> </w:t>
      </w:r>
      <w:r w:rsidRPr="00201C2C">
        <w:rPr>
          <w:noProof/>
        </w:rPr>
        <w:t xml:space="preserve">Efficiency improvements </w:t>
      </w:r>
      <w:r>
        <w:rPr>
          <w:noProof/>
        </w:rPr>
        <w:t xml:space="preserve">are </w:t>
      </w:r>
      <w:r w:rsidRPr="00201C2C">
        <w:rPr>
          <w:noProof/>
        </w:rPr>
        <w:t xml:space="preserve">moderate, but do not offset the growth in total electricity demand, which </w:t>
      </w:r>
      <w:r>
        <w:rPr>
          <w:noProof/>
        </w:rPr>
        <w:t xml:space="preserve">is expected to </w:t>
      </w:r>
      <w:r w:rsidRPr="00201C2C">
        <w:rPr>
          <w:noProof/>
        </w:rPr>
        <w:t>rise from 105 TWh to over</w:t>
      </w:r>
      <w:r>
        <w:rPr>
          <w:noProof/>
        </w:rPr>
        <w:t xml:space="preserve"> </w:t>
      </w:r>
      <w:r w:rsidRPr="00201C2C">
        <w:rPr>
          <w:noProof/>
        </w:rPr>
        <w:t>2</w:t>
      </w:r>
      <w:r>
        <w:rPr>
          <w:noProof/>
        </w:rPr>
        <w:t>00</w:t>
      </w:r>
      <w:r w:rsidRPr="00201C2C">
        <w:rPr>
          <w:noProof/>
        </w:rPr>
        <w:t>TWh</w:t>
      </w:r>
      <w:r>
        <w:rPr>
          <w:noProof/>
        </w:rPr>
        <w:t xml:space="preserve"> in 2036</w:t>
      </w:r>
      <w:r w:rsidRPr="00201C2C">
        <w:rPr>
          <w:noProof/>
        </w:rPr>
        <w:t xml:space="preserve">. </w:t>
      </w:r>
      <w:r w:rsidR="002E0D97">
        <w:rPr>
          <w:noProof/>
        </w:rPr>
        <w:t>E</w:t>
      </w:r>
      <w:r w:rsidR="00F64240" w:rsidRPr="00D10152">
        <w:rPr>
          <w:noProof/>
        </w:rPr>
        <w:t xml:space="preserve">nergy consumption by data centres </w:t>
      </w:r>
      <w:r w:rsidR="00F64240">
        <w:rPr>
          <w:noProof/>
        </w:rPr>
        <w:t>could reach around</w:t>
      </w:r>
      <w:r w:rsidR="00F64240" w:rsidRPr="00D10152">
        <w:rPr>
          <w:noProof/>
        </w:rPr>
        <w:t xml:space="preserve"> 3</w:t>
      </w:r>
      <w:r w:rsidR="00F64240">
        <w:rPr>
          <w:noProof/>
        </w:rPr>
        <w:t>40</w:t>
      </w:r>
      <w:r w:rsidR="00F64240" w:rsidRPr="00D10152">
        <w:rPr>
          <w:noProof/>
        </w:rPr>
        <w:t xml:space="preserve"> TWh annually</w:t>
      </w:r>
      <w:r w:rsidR="00F64240">
        <w:rPr>
          <w:noProof/>
        </w:rPr>
        <w:t xml:space="preserve"> in 2036</w:t>
      </w:r>
      <w:r w:rsidR="00F64240" w:rsidRPr="00D10152">
        <w:rPr>
          <w:noProof/>
        </w:rPr>
        <w:t xml:space="preserve">, growing at a compound annual growth rate of </w:t>
      </w:r>
      <w:r w:rsidR="00F64240" w:rsidRPr="00531419">
        <w:rPr>
          <w:noProof/>
        </w:rPr>
        <w:t>11.4</w:t>
      </w:r>
      <w:r w:rsidR="00F64240" w:rsidRPr="00D10152">
        <w:rPr>
          <w:noProof/>
        </w:rPr>
        <w:t>%.</w:t>
      </w:r>
      <w:r w:rsidR="00F64240" w:rsidRPr="00F64240">
        <w:rPr>
          <w:noProof/>
        </w:rPr>
        <w:t xml:space="preserve"> If electricity production remained stable at the levels reported by the IEA in 2022 then data centres would consume 12% of EU27’s generated electricity. </w:t>
      </w:r>
    </w:p>
    <w:p w14:paraId="5A935EAE" w14:textId="09A147C8" w:rsidR="00D45B52" w:rsidRDefault="00D45B52" w:rsidP="00744B72">
      <w:pPr>
        <w:pStyle w:val="ListParagraph"/>
        <w:numPr>
          <w:ilvl w:val="0"/>
          <w:numId w:val="44"/>
        </w:numPr>
        <w:rPr>
          <w:noProof/>
        </w:rPr>
      </w:pPr>
      <w:r>
        <w:rPr>
          <w:noProof/>
        </w:rPr>
        <w:t xml:space="preserve">Energy efficiency in data centres improves gradually; the average Power Usage Effectiveness (PUE) declines from 1.29 in 2025 to about </w:t>
      </w:r>
      <w:r w:rsidR="00070527">
        <w:rPr>
          <w:noProof/>
        </w:rPr>
        <w:t>1.23</w:t>
      </w:r>
      <w:r>
        <w:rPr>
          <w:noProof/>
        </w:rPr>
        <w:t xml:space="preserve"> by 2036.</w:t>
      </w:r>
      <w:r w:rsidRPr="00201C2C">
        <w:rPr>
          <w:noProof/>
        </w:rPr>
        <w:t xml:space="preserve">The carbon intensity of this demand declines as the electricity mix decarbonises under the </w:t>
      </w:r>
      <w:r w:rsidRPr="00D45B52">
        <w:rPr>
          <w:i/>
          <w:iCs/>
          <w:noProof/>
        </w:rPr>
        <w:t>Fit for 55</w:t>
      </w:r>
      <w:r w:rsidRPr="00201C2C">
        <w:rPr>
          <w:noProof/>
        </w:rPr>
        <w:t xml:space="preserve"> package. </w:t>
      </w:r>
      <w:r w:rsidR="00795A7F" w:rsidRPr="00795A7F">
        <w:rPr>
          <w:noProof/>
        </w:rPr>
        <w:t>Incremental advances in cooling, waste-heat recovery, and on-site renewable generation occur as a result of existing regulatory incentives under EED and RED III.</w:t>
      </w:r>
      <w:r w:rsidR="00795A7F">
        <w:rPr>
          <w:noProof/>
        </w:rPr>
        <w:t xml:space="preserve"> </w:t>
      </w:r>
    </w:p>
    <w:p w14:paraId="3F83C52E" w14:textId="771606AA" w:rsidR="00792675" w:rsidRDefault="00792675" w:rsidP="00744B72">
      <w:pPr>
        <w:pStyle w:val="ListParagraph"/>
        <w:numPr>
          <w:ilvl w:val="0"/>
          <w:numId w:val="44"/>
        </w:numPr>
        <w:rPr>
          <w:noProof/>
        </w:rPr>
      </w:pPr>
      <w:r>
        <w:rPr>
          <w:noProof/>
        </w:rPr>
        <w:t xml:space="preserve">Surveys have identified permitting delays (up to 3-5 years in some jurisdictions), grid-connection queues, and land-use restrictions as principal </w:t>
      </w:r>
      <w:r w:rsidR="00293A41">
        <w:rPr>
          <w:noProof/>
        </w:rPr>
        <w:t>d availabili</w:t>
      </w:r>
      <w:r>
        <w:rPr>
          <w:noProof/>
        </w:rPr>
        <w:t xml:space="preserve"> new capacity. Without policy harmonisation, these bottlenecks persist, with moderate alleviation from national administrative reforms. Therefore, data centre expansion continues but below potential. Under continued existing conditions, roughly 25-30 % of announced projects experience significant delay or downsizing</w:t>
      </w:r>
    </w:p>
    <w:p w14:paraId="1F80ADF5" w14:textId="77777777" w:rsidR="008B6ECF" w:rsidRDefault="008B6ECF" w:rsidP="00744B72">
      <w:pPr>
        <w:pStyle w:val="ListParagraph"/>
        <w:numPr>
          <w:ilvl w:val="0"/>
          <w:numId w:val="44"/>
        </w:numPr>
        <w:rPr>
          <w:noProof/>
        </w:rPr>
      </w:pPr>
      <w:r>
        <w:rPr>
          <w:noProof/>
        </w:rPr>
        <w:t>Governments aim to balance digital infrastructure expansion with environmental priorities by introducing power efficiency targets, and sustainability requirements.</w:t>
      </w:r>
      <w:r w:rsidRPr="008B6ECF">
        <w:rPr>
          <w:noProof/>
        </w:rPr>
        <w:t xml:space="preserve"> </w:t>
      </w:r>
      <w:r w:rsidRPr="00201C2C">
        <w:rPr>
          <w:noProof/>
        </w:rPr>
        <w:t>National measures, such as tax incentives for green data centres in the Nordics or Italy’s simplified permitting for renewable-powered facilities, continue at present scale</w:t>
      </w:r>
    </w:p>
    <w:p w14:paraId="0EBDA5C5" w14:textId="28CA91D0" w:rsidR="00090FF6" w:rsidRPr="00201C2C" w:rsidRDefault="00992FF1" w:rsidP="00744B72">
      <w:pPr>
        <w:pStyle w:val="ListParagraph"/>
        <w:numPr>
          <w:ilvl w:val="0"/>
          <w:numId w:val="44"/>
        </w:numPr>
        <w:rPr>
          <w:noProof/>
        </w:rPr>
      </w:pPr>
      <w:r>
        <w:rPr>
          <w:noProof/>
        </w:rPr>
        <w:t xml:space="preserve">Policy evolution remains gradual and inconsistent, creating a fragmented regulatory landscape across Europe. Efforts to modernise infrastructure and streamline permitting are underway, but progress is uneven, often slowed by regulatory complexity and localised decision-making. </w:t>
      </w:r>
    </w:p>
    <w:p w14:paraId="6D27B310" w14:textId="0C6B7C9B" w:rsidR="00792675" w:rsidRPr="00D10152" w:rsidRDefault="003D3314" w:rsidP="005B539C">
      <w:pPr>
        <w:rPr>
          <w:noProof/>
        </w:rPr>
      </w:pPr>
      <w:r w:rsidRPr="03757E6C">
        <w:rPr>
          <w:noProof/>
        </w:rPr>
        <w:t>Under policy option 0, Europe’s compute supply increases in absolute terms but lags behind global competitors. North America and Asia-Pacific expand faster</w:t>
      </w:r>
      <w:r w:rsidRPr="00795A7F">
        <w:rPr>
          <w:noProof/>
        </w:rPr>
        <w:t>,</w:t>
      </w:r>
      <w:r w:rsidRPr="03757E6C">
        <w:rPr>
          <w:noProof/>
        </w:rPr>
        <w:t xml:space="preserve"> increasing their share of global compute</w:t>
      </w:r>
      <w:r w:rsidR="002045BD">
        <w:rPr>
          <w:noProof/>
        </w:rPr>
        <w:t xml:space="preserve">. </w:t>
      </w:r>
      <w:r w:rsidR="00792675" w:rsidRPr="03757E6C">
        <w:rPr>
          <w:noProof/>
        </w:rPr>
        <w:t>The EU maintains its global market share of around 20</w:t>
      </w:r>
      <w:r w:rsidR="00792675">
        <w:rPr>
          <w:noProof/>
        </w:rPr>
        <w:t>-23</w:t>
      </w:r>
      <w:r w:rsidR="00792675" w:rsidRPr="03757E6C">
        <w:rPr>
          <w:noProof/>
        </w:rPr>
        <w:t>%.</w:t>
      </w:r>
      <w:r w:rsidR="00792675" w:rsidRPr="00201C2C">
        <w:rPr>
          <w:noProof/>
        </w:rPr>
        <w:br/>
      </w:r>
      <w:r w:rsidR="00792675" w:rsidRPr="03757E6C">
        <w:rPr>
          <w:noProof/>
        </w:rPr>
        <w:t>While the region remains attractive for investment due to regulatory stability and skilled labour, its relative cost position remains less favourable than that of North America or some Asian economies.</w:t>
      </w:r>
      <w:r w:rsidR="00792675">
        <w:rPr>
          <w:noProof/>
        </w:rPr>
        <w:t xml:space="preserve"> Considering the sectors and region’s expected growth and </w:t>
      </w:r>
      <w:r w:rsidR="00792675" w:rsidRPr="03757E6C">
        <w:rPr>
          <w:noProof/>
        </w:rPr>
        <w:t>technological developments in AI, quantum computing and 6G</w:t>
      </w:r>
      <w:r w:rsidR="00792675">
        <w:rPr>
          <w:noProof/>
        </w:rPr>
        <w:t>,</w:t>
      </w:r>
      <w:r w:rsidR="00792675" w:rsidRPr="03757E6C">
        <w:rPr>
          <w:noProof/>
        </w:rPr>
        <w:t xml:space="preserve"> </w:t>
      </w:r>
      <w:r w:rsidR="00792675">
        <w:rPr>
          <w:noProof/>
        </w:rPr>
        <w:t>i</w:t>
      </w:r>
      <w:r w:rsidR="00792675" w:rsidRPr="03757E6C">
        <w:rPr>
          <w:noProof/>
        </w:rPr>
        <w:t xml:space="preserve">nternational providers </w:t>
      </w:r>
      <w:r w:rsidR="00792675">
        <w:rPr>
          <w:noProof/>
        </w:rPr>
        <w:t xml:space="preserve">are expected to </w:t>
      </w:r>
      <w:r w:rsidR="00792675" w:rsidRPr="03757E6C">
        <w:rPr>
          <w:noProof/>
        </w:rPr>
        <w:t>maintain a strong EU presence under existing trade and competition rules.</w:t>
      </w:r>
      <w:r w:rsidR="00792675" w:rsidRPr="00CC3C1D">
        <w:rPr>
          <w:noProof/>
        </w:rPr>
        <w:t xml:space="preserve"> </w:t>
      </w:r>
    </w:p>
    <w:p w14:paraId="32B323E1" w14:textId="4FFCC1DC" w:rsidR="002045BD" w:rsidRDefault="002045BD" w:rsidP="002045BD">
      <w:pPr>
        <w:pStyle w:val="BodyText"/>
        <w:spacing w:before="120"/>
        <w:rPr>
          <w:noProof/>
        </w:rPr>
      </w:pPr>
      <w:r>
        <w:rPr>
          <w:noProof/>
        </w:rPr>
        <w:t xml:space="preserve">Goldman Sachs forecast that total global capacity will reach 122GW by 2030, growing at a CAGR of 16%. The forecast produced by the study indicates that EU27 capacity will grow at 18% over the same </w:t>
      </w:r>
      <w:r w:rsidR="006C0AAD">
        <w:rPr>
          <w:noProof/>
        </w:rPr>
        <w:t>period</w:t>
      </w:r>
      <w:r>
        <w:rPr>
          <w:noProof/>
        </w:rPr>
        <w:t>, meaning EU27’s share of data centre capacity is expected to grow from 20% (2025) to 23% (2030), as shown in the figure below.</w:t>
      </w:r>
    </w:p>
    <w:p w14:paraId="043A0DC5" w14:textId="608A168A" w:rsidR="00DD1FC8" w:rsidRPr="00CA7364" w:rsidRDefault="00A51626" w:rsidP="0040389C">
      <w:pPr>
        <w:pStyle w:val="Caption"/>
        <w:rPr>
          <w:noProof/>
        </w:rPr>
      </w:pPr>
      <w:r w:rsidRPr="14327068">
        <w:rPr>
          <w:noProof/>
          <w:lang w:val="en-GB"/>
        </w:rPr>
        <w:t xml:space="preserve">Figure </w:t>
      </w:r>
      <w:r>
        <w:rPr>
          <w:noProof/>
        </w:rPr>
        <w:fldChar w:fldCharType="begin"/>
      </w:r>
      <w:r>
        <w:rPr>
          <w:noProof/>
        </w:rPr>
        <w:instrText xml:space="preserve"> SEQ Figure \* ARABIC </w:instrText>
      </w:r>
      <w:r>
        <w:rPr>
          <w:noProof/>
        </w:rPr>
        <w:fldChar w:fldCharType="separate"/>
      </w:r>
      <w:r w:rsidR="000E7F11">
        <w:rPr>
          <w:noProof/>
        </w:rPr>
        <w:t>8</w:t>
      </w:r>
      <w:r>
        <w:rPr>
          <w:noProof/>
        </w:rPr>
        <w:fldChar w:fldCharType="end"/>
      </w:r>
      <w:r>
        <w:rPr>
          <w:noProof/>
        </w:rPr>
        <w:t xml:space="preserve">. EU-27 share of forecast compared to the global capacity (Source: </w:t>
      </w:r>
      <w:r w:rsidR="004672D4" w:rsidRPr="14327068">
        <w:rPr>
          <w:noProof/>
          <w:lang w:val="en-GB"/>
        </w:rPr>
        <w:t>Technopolis et al. (2025))</w:t>
      </w:r>
    </w:p>
    <w:p w14:paraId="23931297" w14:textId="0D581684" w:rsidR="00792675" w:rsidRDefault="00792675" w:rsidP="004672D4">
      <w:pPr>
        <w:pStyle w:val="Caption"/>
        <w:rPr>
          <w:noProof/>
        </w:rPr>
      </w:pPr>
      <w:r>
        <w:rPr>
          <w:noProof/>
          <w:lang w:val="en-GB" w:eastAsia="en-GB"/>
        </w:rPr>
        <w:drawing>
          <wp:inline distT="0" distB="0" distL="0" distR="0" wp14:anchorId="4A26347F" wp14:editId="6237106D">
            <wp:extent cx="4023360" cy="1888573"/>
            <wp:effectExtent l="0" t="0" r="0" b="0"/>
            <wp:docPr id="1026435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9222" cy="1924183"/>
                    </a:xfrm>
                    <a:prstGeom prst="rect">
                      <a:avLst/>
                    </a:prstGeom>
                    <a:noFill/>
                  </pic:spPr>
                </pic:pic>
              </a:graphicData>
            </a:graphic>
          </wp:inline>
        </w:drawing>
      </w:r>
    </w:p>
    <w:p w14:paraId="38C3D89A" w14:textId="6D9439F7" w:rsidR="00C40891" w:rsidRDefault="00CC3C1D" w:rsidP="005B539C">
      <w:pPr>
        <w:pStyle w:val="BodyText"/>
        <w:rPr>
          <w:noProof/>
        </w:rPr>
      </w:pPr>
      <w:r w:rsidRPr="00D10152">
        <w:rPr>
          <w:noProof/>
        </w:rPr>
        <w:t>Estimates for the United States suggest that by 2028 data centres will account for between 7-12% of total consumption.</w:t>
      </w:r>
      <w:r w:rsidRPr="00D10152">
        <w:rPr>
          <w:rStyle w:val="FootnoteReference"/>
          <w:noProof/>
        </w:rPr>
        <w:footnoteReference w:id="193"/>
      </w:r>
      <w:r w:rsidRPr="00D10152">
        <w:rPr>
          <w:noProof/>
        </w:rPr>
        <w:t xml:space="preserve"> The IEA in turn estimate that data centre electricity consumption in the United States will grow to 240 TWh annually by 2030 (from 180 TWh in 2024). This would equate to 6% of the United States’ 2024 electricity consumption. The IEA also estimated China’s data centre electricity consumption to grow to 175TWh (from 100 TWh in 2024). This would equate to 2% of China’s 2024 electricity consumption.</w:t>
      </w:r>
      <w:r w:rsidRPr="00D10152">
        <w:rPr>
          <w:rStyle w:val="FootnoteReference"/>
          <w:noProof/>
        </w:rPr>
        <w:footnoteReference w:id="194"/>
      </w:r>
    </w:p>
    <w:p w14:paraId="5EAC2AB6" w14:textId="4FB58700" w:rsidR="00F40879" w:rsidRPr="005B539C" w:rsidRDefault="00190C55" w:rsidP="00744B72">
      <w:pPr>
        <w:pStyle w:val="Heading2"/>
        <w:numPr>
          <w:ilvl w:val="0"/>
          <w:numId w:val="75"/>
        </w:numPr>
        <w:tabs>
          <w:tab w:val="left" w:pos="567"/>
        </w:tabs>
        <w:spacing w:after="240"/>
        <w:rPr>
          <w:noProof/>
        </w:rPr>
      </w:pPr>
      <w:bookmarkStart w:id="347" w:name="_Toc216283397"/>
      <w:bookmarkStart w:id="348" w:name="_Toc228346956"/>
      <w:r>
        <w:rPr>
          <w:noProof/>
        </w:rPr>
        <w:t>Dependence on cloud and AI computing services supplied by non-</w:t>
      </w:r>
      <w:r w:rsidRPr="00D37004">
        <w:rPr>
          <w:noProof/>
        </w:rPr>
        <w:t>European</w:t>
      </w:r>
      <w:r w:rsidRPr="00260AC5">
        <w:rPr>
          <w:noProof/>
        </w:rPr>
        <w:t xml:space="preserve"> </w:t>
      </w:r>
      <w:r>
        <w:rPr>
          <w:noProof/>
        </w:rPr>
        <w:t>providers</w:t>
      </w:r>
      <w:bookmarkEnd w:id="347"/>
      <w:bookmarkEnd w:id="348"/>
    </w:p>
    <w:p w14:paraId="72D1B3EB" w14:textId="035F4EFA" w:rsidR="00975A08" w:rsidRDefault="00472CBD" w:rsidP="00975A08">
      <w:pPr>
        <w:rPr>
          <w:noProof/>
          <w:lang w:val="en-IE"/>
        </w:rPr>
      </w:pPr>
      <w:r>
        <w:rPr>
          <w:noProof/>
          <w:lang w:val="en-IE"/>
        </w:rPr>
        <w:t>For</w:t>
      </w:r>
      <w:r w:rsidR="00975A08">
        <w:rPr>
          <w:noProof/>
          <w:lang w:val="en-IE"/>
        </w:rPr>
        <w:t xml:space="preserve"> problem 2, the baseline scenario describes how the market share </w:t>
      </w:r>
      <w:r>
        <w:rPr>
          <w:noProof/>
          <w:lang w:val="en-IE"/>
        </w:rPr>
        <w:t xml:space="preserve">of European providers </w:t>
      </w:r>
      <w:r w:rsidR="00975A08">
        <w:rPr>
          <w:noProof/>
          <w:lang w:val="en-IE"/>
        </w:rPr>
        <w:t xml:space="preserve">evolves without any EU intervention beyond initiatives and regulations already adopted, such as the Data Act. </w:t>
      </w:r>
    </w:p>
    <w:p w14:paraId="3612F5FE" w14:textId="409B5657" w:rsidR="00663ADA" w:rsidRPr="00D42EE1" w:rsidRDefault="00663ADA" w:rsidP="00D42EE1">
      <w:pPr>
        <w:rPr>
          <w:noProof/>
          <w:lang w:val="en-IE"/>
        </w:rPr>
      </w:pPr>
      <w:r w:rsidRPr="00D42EE1">
        <w:rPr>
          <w:noProof/>
          <w:lang w:val="en-IE"/>
        </w:rPr>
        <w:t>The core aim of the Data Act is to reduce friction when switching from cloud provider, but its full effects will take time to materialise.</w:t>
      </w:r>
      <w:r w:rsidRPr="004E0642">
        <w:rPr>
          <w:noProof/>
          <w:lang w:val="en-IE"/>
        </w:rPr>
        <w:t xml:space="preserve"> </w:t>
      </w:r>
    </w:p>
    <w:p w14:paraId="1DBED679" w14:textId="77777777" w:rsidR="00663ADA" w:rsidRPr="00D42EE1" w:rsidRDefault="00663ADA" w:rsidP="00D42EE1">
      <w:pPr>
        <w:rPr>
          <w:noProof/>
          <w:lang w:val="en-IE"/>
        </w:rPr>
      </w:pPr>
      <w:r w:rsidRPr="00D42EE1">
        <w:rPr>
          <w:noProof/>
          <w:lang w:val="en-IE"/>
        </w:rPr>
        <w:t>Since October 2025, a set of standard contractual clauses recommended by the Commission will make contractually easier for cloud users to switch from provider, as they are progressively adopted.</w:t>
      </w:r>
      <w:r>
        <w:rPr>
          <w:bCs/>
          <w:iCs/>
          <w:noProof/>
          <w:lang w:val="en-IE"/>
        </w:rPr>
        <w:t xml:space="preserve"> </w:t>
      </w:r>
      <w:r w:rsidRPr="00D42EE1">
        <w:rPr>
          <w:noProof/>
          <w:lang w:val="en-IE"/>
        </w:rPr>
        <w:t>Also, by January 2027, switching from one cloud provider to another should be free of charge.</w:t>
      </w:r>
      <w:r w:rsidR="004E0642">
        <w:rPr>
          <w:bCs/>
          <w:iCs/>
          <w:noProof/>
          <w:lang w:val="en-IE"/>
        </w:rPr>
        <w:t xml:space="preserve"> </w:t>
      </w:r>
      <w:r w:rsidRPr="00D42EE1">
        <w:rPr>
          <w:noProof/>
          <w:lang w:val="en-IE"/>
        </w:rPr>
        <w:t xml:space="preserve">Finally, aspects related to the technical switching will take more time to fully materialise. A soon to-be-published Commission study has identified only a handful of industry driven specifications that the Commission will propose to become mandatory through the foreseen mechanisms of the Data Act. This will require the adoption of several implementing acts following which industry will have a </w:t>
      </w:r>
      <w:r w:rsidR="004E0642" w:rsidRPr="004E0642">
        <w:rPr>
          <w:bCs/>
          <w:iCs/>
          <w:noProof/>
          <w:lang w:val="en-IE"/>
        </w:rPr>
        <w:t>12-month</w:t>
      </w:r>
      <w:r w:rsidRPr="00D42EE1">
        <w:rPr>
          <w:noProof/>
          <w:lang w:val="en-IE"/>
        </w:rPr>
        <w:t xml:space="preserve"> transition period to ensure compatibility of relevant data processing services with the specifications. Further standardisation will have to undergo a formal request from the Commission to the European Standardisation Organisations, a process prone to take time.</w:t>
      </w:r>
    </w:p>
    <w:p w14:paraId="72EAA20A" w14:textId="79E4C418" w:rsidR="00663ADA" w:rsidRDefault="00663ADA" w:rsidP="00663ADA">
      <w:pPr>
        <w:rPr>
          <w:noProof/>
          <w:lang w:val="en-IE"/>
        </w:rPr>
      </w:pPr>
      <w:r w:rsidRPr="009F2DE7">
        <w:rPr>
          <w:noProof/>
        </w:rPr>
        <w:t>The effects of the</w:t>
      </w:r>
      <w:r w:rsidR="004E0642">
        <w:rPr>
          <w:noProof/>
        </w:rPr>
        <w:t xml:space="preserve"> Data</w:t>
      </w:r>
      <w:r w:rsidRPr="009F2DE7">
        <w:rPr>
          <w:noProof/>
        </w:rPr>
        <w:t xml:space="preserve"> Act for facilitating the emergence of an integrated offering by European providers are</w:t>
      </w:r>
      <w:r w:rsidR="006C29DE">
        <w:rPr>
          <w:noProof/>
        </w:rPr>
        <w:t xml:space="preserve"> at this stage</w:t>
      </w:r>
      <w:r w:rsidRPr="009F2DE7">
        <w:rPr>
          <w:noProof/>
        </w:rPr>
        <w:t xml:space="preserve"> therefore limited and indirect. Finally, it must be noted that switching is a customer-driven operation and the effects on European providers and the growth of their customer base rely on the willingness of customers to make use of their new right to switch</w:t>
      </w:r>
    </w:p>
    <w:p w14:paraId="71F03BE0" w14:textId="3CE8126D" w:rsidR="00975A08" w:rsidRDefault="00975A08" w:rsidP="005B539C">
      <w:pPr>
        <w:spacing w:after="120"/>
        <w:rPr>
          <w:noProof/>
          <w:lang w:val="en-IE"/>
        </w:rPr>
      </w:pPr>
      <w:r>
        <w:rPr>
          <w:noProof/>
          <w:lang w:val="en-IE"/>
        </w:rPr>
        <w:t>The baseline presented</w:t>
      </w:r>
      <w:r w:rsidR="00596869">
        <w:rPr>
          <w:noProof/>
          <w:lang w:val="en-IE"/>
        </w:rPr>
        <w:t xml:space="preserve"> for the policy scenario 0 for problem 2</w:t>
      </w:r>
      <w:r>
        <w:rPr>
          <w:noProof/>
          <w:lang w:val="en-IE"/>
        </w:rPr>
        <w:t xml:space="preserve"> is dynamic and focuses mainly on IaaS and PaaS </w:t>
      </w:r>
      <w:r w:rsidR="00472CBD">
        <w:rPr>
          <w:noProof/>
          <w:lang w:val="en-IE"/>
        </w:rPr>
        <w:t>using data from</w:t>
      </w:r>
      <w:r>
        <w:rPr>
          <w:noProof/>
          <w:lang w:val="en-IE"/>
        </w:rPr>
        <w:t xml:space="preserve"> Synergy</w:t>
      </w:r>
      <w:r>
        <w:rPr>
          <w:rStyle w:val="FootnoteReference"/>
          <w:noProof/>
          <w:lang w:val="en-IE"/>
        </w:rPr>
        <w:footnoteReference w:id="195"/>
      </w:r>
      <w:r>
        <w:rPr>
          <w:noProof/>
          <w:lang w:val="en-IE"/>
        </w:rPr>
        <w:t xml:space="preserve"> on the market share (15%) and Statista for the market revenues (EUR 125.22 bn)</w:t>
      </w:r>
      <w:r>
        <w:rPr>
          <w:rStyle w:val="FootnoteReference"/>
          <w:noProof/>
          <w:lang w:val="en-IE"/>
        </w:rPr>
        <w:footnoteReference w:id="196"/>
      </w:r>
      <w:r>
        <w:rPr>
          <w:noProof/>
          <w:lang w:val="en-IE"/>
        </w:rPr>
        <w:t xml:space="preserve">. Due to the heterogeneity of the SaaS market and the unclear categorization of what is included </w:t>
      </w:r>
      <w:r w:rsidR="00472CBD">
        <w:rPr>
          <w:noProof/>
          <w:lang w:val="en-IE"/>
        </w:rPr>
        <w:t>in the SaaS category</w:t>
      </w:r>
      <w:r>
        <w:rPr>
          <w:noProof/>
          <w:lang w:val="en-IE"/>
        </w:rPr>
        <w:t xml:space="preserve">, these are excluded </w:t>
      </w:r>
      <w:r w:rsidR="00596869">
        <w:rPr>
          <w:noProof/>
          <w:lang w:val="en-IE"/>
        </w:rPr>
        <w:t xml:space="preserve">from </w:t>
      </w:r>
      <w:r>
        <w:rPr>
          <w:noProof/>
          <w:lang w:val="en-IE"/>
        </w:rPr>
        <w:t>the baseline scenario. AI computing services can be considered as an extension of cloud services</w:t>
      </w:r>
      <w:r w:rsidR="00F73E45">
        <w:rPr>
          <w:noProof/>
          <w:lang w:val="en-IE"/>
        </w:rPr>
        <w:t xml:space="preserve"> for the specific purpose of running an AI model. The two categories overlap </w:t>
      </w:r>
      <w:r w:rsidR="008A2DAA">
        <w:rPr>
          <w:noProof/>
          <w:lang w:val="en-IE"/>
        </w:rPr>
        <w:t>significantly, and AI computing services are currently not separately captured in statistics. That is why</w:t>
      </w:r>
      <w:r w:rsidR="00F73E45">
        <w:rPr>
          <w:noProof/>
          <w:lang w:val="en-IE"/>
        </w:rPr>
        <w:t xml:space="preserve"> the below </w:t>
      </w:r>
      <w:r w:rsidR="008A2DAA">
        <w:rPr>
          <w:noProof/>
          <w:lang w:val="en-IE"/>
        </w:rPr>
        <w:t>considerations are based entirely on figures and developments related to the above-mentioned market for cloud computing services</w:t>
      </w:r>
      <w:r>
        <w:rPr>
          <w:noProof/>
          <w:lang w:val="en-IE"/>
        </w:rPr>
        <w:t>.</w:t>
      </w:r>
    </w:p>
    <w:p w14:paraId="3671312D" w14:textId="62895001" w:rsidR="00975A08" w:rsidRDefault="00975A08" w:rsidP="005B539C">
      <w:pPr>
        <w:spacing w:after="120"/>
        <w:rPr>
          <w:noProof/>
          <w:lang w:val="en-IE"/>
        </w:rPr>
      </w:pPr>
      <w:r>
        <w:rPr>
          <w:noProof/>
          <w:lang w:val="en-IE"/>
        </w:rPr>
        <w:t xml:space="preserve">The base year considered for the baseline scenario is the latest full year for which there is stable data available, namely, 2024. </w:t>
      </w:r>
      <w:r w:rsidRPr="00D0297C">
        <w:rPr>
          <w:noProof/>
          <w:lang w:val="en-IE"/>
        </w:rPr>
        <w:t xml:space="preserve">In this base year, Synergy shows that EU-headquartered providers account for around </w:t>
      </w:r>
      <w:r w:rsidRPr="00FD6EF3">
        <w:rPr>
          <w:noProof/>
          <w:lang w:val="en-IE"/>
        </w:rPr>
        <w:t>15%</w:t>
      </w:r>
      <w:r w:rsidRPr="00D0297C">
        <w:rPr>
          <w:noProof/>
          <w:lang w:val="en-IE"/>
        </w:rPr>
        <w:t xml:space="preserve"> of the EU cloud infrastructure market, with the remainder provided by non-EU firms, in particular large US and other global providers. The base-year distribution and levels are taken as factual anchors.</w:t>
      </w:r>
      <w:r w:rsidR="00C07372">
        <w:rPr>
          <w:noProof/>
          <w:lang w:val="en-IE"/>
        </w:rPr>
        <w:t xml:space="preserve"> </w:t>
      </w:r>
      <w:r>
        <w:rPr>
          <w:noProof/>
          <w:lang w:val="en-IE"/>
        </w:rPr>
        <w:t>The dynamic baseline is built around the following assumptions:</w:t>
      </w:r>
    </w:p>
    <w:p w14:paraId="2F784EEF" w14:textId="228E952F" w:rsidR="00975A08" w:rsidRDefault="00975A08" w:rsidP="00744B72">
      <w:pPr>
        <w:pStyle w:val="ListParagraph"/>
        <w:numPr>
          <w:ilvl w:val="0"/>
          <w:numId w:val="41"/>
        </w:numPr>
        <w:rPr>
          <w:noProof/>
          <w:lang w:val="en-IE"/>
        </w:rPr>
      </w:pPr>
      <w:r>
        <w:rPr>
          <w:noProof/>
          <w:lang w:val="en-IE"/>
        </w:rPr>
        <w:t xml:space="preserve">The European cloud market grows at CAGR 17% until 2030, as pointed out by Synergy and </w:t>
      </w:r>
      <w:r w:rsidR="0043319F">
        <w:rPr>
          <w:noProof/>
          <w:lang w:val="en-IE"/>
        </w:rPr>
        <w:t>from</w:t>
      </w:r>
      <w:r>
        <w:rPr>
          <w:noProof/>
          <w:lang w:val="en-IE"/>
        </w:rPr>
        <w:t xml:space="preserve"> 2031 </w:t>
      </w:r>
      <w:r w:rsidR="0043319F">
        <w:rPr>
          <w:noProof/>
          <w:lang w:val="en-IE"/>
        </w:rPr>
        <w:t>to</w:t>
      </w:r>
      <w:r>
        <w:rPr>
          <w:noProof/>
          <w:lang w:val="en-IE"/>
        </w:rPr>
        <w:t xml:space="preserve"> 2036</w:t>
      </w:r>
      <w:r w:rsidR="0043319F">
        <w:rPr>
          <w:noProof/>
          <w:lang w:val="en-IE"/>
        </w:rPr>
        <w:t>,</w:t>
      </w:r>
      <w:r>
        <w:rPr>
          <w:noProof/>
          <w:lang w:val="en-IE"/>
        </w:rPr>
        <w:t xml:space="preserve"> it is assumed </w:t>
      </w:r>
      <w:r w:rsidR="0043319F">
        <w:rPr>
          <w:noProof/>
          <w:lang w:val="en-IE"/>
        </w:rPr>
        <w:t>to</w:t>
      </w:r>
      <w:r>
        <w:rPr>
          <w:noProof/>
          <w:lang w:val="en-IE"/>
        </w:rPr>
        <w:t xml:space="preserve"> grow at a slower CAGR of 12%.</w:t>
      </w:r>
    </w:p>
    <w:p w14:paraId="7D2F9608" w14:textId="48CF276E" w:rsidR="00975A08" w:rsidRDefault="00975A08" w:rsidP="00744B72">
      <w:pPr>
        <w:pStyle w:val="ListParagraph"/>
        <w:numPr>
          <w:ilvl w:val="0"/>
          <w:numId w:val="41"/>
        </w:numPr>
        <w:rPr>
          <w:noProof/>
          <w:lang w:val="en-IE"/>
        </w:rPr>
      </w:pPr>
      <w:r>
        <w:rPr>
          <w:noProof/>
          <w:lang w:val="en-IE"/>
        </w:rPr>
        <w:t xml:space="preserve">Within the EU market, the market share </w:t>
      </w:r>
      <w:r w:rsidR="00AF2EF9">
        <w:rPr>
          <w:noProof/>
          <w:lang w:val="en-IE"/>
        </w:rPr>
        <w:t>served</w:t>
      </w:r>
      <w:r>
        <w:rPr>
          <w:noProof/>
          <w:lang w:val="en-IE"/>
        </w:rPr>
        <w:t xml:space="preserve"> </w:t>
      </w:r>
      <w:r w:rsidR="00DB6F68">
        <w:rPr>
          <w:noProof/>
          <w:lang w:val="en-IE"/>
        </w:rPr>
        <w:t>by</w:t>
      </w:r>
      <w:r>
        <w:rPr>
          <w:noProof/>
          <w:lang w:val="en-IE"/>
        </w:rPr>
        <w:t xml:space="preserve"> EU providers, follows a flat scenario until 2036, similar to the almost flat trend that can be observed in the last two years. This is the status quo scenario.</w:t>
      </w:r>
    </w:p>
    <w:p w14:paraId="259BA951" w14:textId="77777777" w:rsidR="00975A08" w:rsidRDefault="00975A08" w:rsidP="00744B72">
      <w:pPr>
        <w:pStyle w:val="ListParagraph"/>
        <w:numPr>
          <w:ilvl w:val="0"/>
          <w:numId w:val="41"/>
        </w:numPr>
        <w:rPr>
          <w:noProof/>
          <w:lang w:val="en-IE"/>
        </w:rPr>
      </w:pPr>
      <w:r>
        <w:rPr>
          <w:noProof/>
          <w:lang w:val="en-IE"/>
        </w:rPr>
        <w:t>Two sensitivity variants are also considered:</w:t>
      </w:r>
    </w:p>
    <w:p w14:paraId="5FBB5E5E" w14:textId="6AD058EF" w:rsidR="00975A08" w:rsidRDefault="00975A08" w:rsidP="00744B72">
      <w:pPr>
        <w:pStyle w:val="ListParagraph"/>
        <w:numPr>
          <w:ilvl w:val="1"/>
          <w:numId w:val="41"/>
        </w:numPr>
        <w:rPr>
          <w:noProof/>
          <w:lang w:val="en-IE"/>
        </w:rPr>
      </w:pPr>
      <w:r>
        <w:rPr>
          <w:noProof/>
          <w:lang w:val="en-IE"/>
        </w:rPr>
        <w:t xml:space="preserve">A declining scenario, falling from the current market share of 15% to </w:t>
      </w:r>
      <w:r w:rsidR="00D77864">
        <w:rPr>
          <w:noProof/>
          <w:lang w:val="en-IE"/>
        </w:rPr>
        <w:t>10</w:t>
      </w:r>
      <w:r>
        <w:rPr>
          <w:noProof/>
          <w:lang w:val="en-IE"/>
        </w:rPr>
        <w:t>%. This is the pessimistic scenario.</w:t>
      </w:r>
    </w:p>
    <w:p w14:paraId="3220231A" w14:textId="681C31C4" w:rsidR="00975A08" w:rsidRDefault="00975A08" w:rsidP="00744B72">
      <w:pPr>
        <w:pStyle w:val="ListParagraph"/>
        <w:numPr>
          <w:ilvl w:val="1"/>
          <w:numId w:val="41"/>
        </w:numPr>
        <w:rPr>
          <w:noProof/>
          <w:lang w:val="en-IE"/>
        </w:rPr>
      </w:pPr>
      <w:r>
        <w:rPr>
          <w:noProof/>
          <w:lang w:val="en-IE"/>
        </w:rPr>
        <w:t xml:space="preserve">A slightly optimistic scenario, rising from the current 15% to </w:t>
      </w:r>
      <w:r w:rsidR="00D77864">
        <w:rPr>
          <w:noProof/>
          <w:lang w:val="en-IE"/>
        </w:rPr>
        <w:t>17</w:t>
      </w:r>
      <w:r>
        <w:rPr>
          <w:noProof/>
          <w:lang w:val="en-IE"/>
        </w:rPr>
        <w:t xml:space="preserve">%. </w:t>
      </w:r>
    </w:p>
    <w:p w14:paraId="15EF65F4" w14:textId="77777777" w:rsidR="00975A08" w:rsidRDefault="00975A08" w:rsidP="005B539C">
      <w:pPr>
        <w:spacing w:after="120"/>
        <w:rPr>
          <w:noProof/>
          <w:lang w:val="en-IE"/>
        </w:rPr>
      </w:pPr>
      <w:r>
        <w:rPr>
          <w:noProof/>
          <w:lang w:val="en-IE"/>
        </w:rPr>
        <w:t>The time horizon for the baseline spans until 2036, which is the time used for the modelling of the different policy measures, and a reasonable period in which structural changes in the dynamics of the cloud market can be expected.</w:t>
      </w:r>
    </w:p>
    <w:p w14:paraId="1C26FC63" w14:textId="682A418A" w:rsidR="00975A08" w:rsidRPr="003012DB" w:rsidRDefault="00975A08" w:rsidP="005B539C">
      <w:pPr>
        <w:spacing w:after="120"/>
        <w:rPr>
          <w:noProof/>
          <w:lang w:val="en-IE"/>
        </w:rPr>
      </w:pPr>
      <w:r>
        <w:rPr>
          <w:noProof/>
          <w:lang w:val="en-IE"/>
        </w:rPr>
        <w:t>In terms of market volume, the assumption is that</w:t>
      </w:r>
      <w:r w:rsidR="003B381B">
        <w:rPr>
          <w:noProof/>
          <w:lang w:val="en-IE"/>
        </w:rPr>
        <w:t>,</w:t>
      </w:r>
      <w:r>
        <w:rPr>
          <w:noProof/>
          <w:lang w:val="en-IE"/>
        </w:rPr>
        <w:t xml:space="preserve"> while the </w:t>
      </w:r>
      <w:r w:rsidRPr="00F839C0">
        <w:rPr>
          <w:noProof/>
          <w:lang w:val="en-IE"/>
        </w:rPr>
        <w:t>market</w:t>
      </w:r>
      <w:r>
        <w:rPr>
          <w:noProof/>
          <w:lang w:val="en-IE"/>
        </w:rPr>
        <w:t xml:space="preserve"> </w:t>
      </w:r>
      <w:r w:rsidR="003B381B">
        <w:rPr>
          <w:noProof/>
          <w:lang w:val="en-IE"/>
        </w:rPr>
        <w:t>grows,</w:t>
      </w:r>
      <w:r w:rsidRPr="00F839C0">
        <w:rPr>
          <w:noProof/>
          <w:lang w:val="en-IE"/>
        </w:rPr>
        <w:t xml:space="preserve"> </w:t>
      </w:r>
      <w:r>
        <w:rPr>
          <w:noProof/>
          <w:lang w:val="en-IE"/>
        </w:rPr>
        <w:t>t</w:t>
      </w:r>
      <w:r w:rsidRPr="00F839C0">
        <w:rPr>
          <w:noProof/>
          <w:lang w:val="en-IE"/>
        </w:rPr>
        <w:t xml:space="preserve">he EU </w:t>
      </w:r>
      <w:r>
        <w:rPr>
          <w:noProof/>
          <w:lang w:val="en-IE"/>
        </w:rPr>
        <w:t xml:space="preserve">providers’ </w:t>
      </w:r>
      <w:r w:rsidRPr="00F839C0">
        <w:rPr>
          <w:noProof/>
          <w:lang w:val="en-IE"/>
        </w:rPr>
        <w:t>market</w:t>
      </w:r>
      <w:r>
        <w:rPr>
          <w:noProof/>
          <w:lang w:val="en-IE"/>
        </w:rPr>
        <w:t xml:space="preserve"> share</w:t>
      </w:r>
      <w:r w:rsidRPr="00F839C0">
        <w:rPr>
          <w:noProof/>
          <w:lang w:val="en-IE"/>
        </w:rPr>
        <w:t xml:space="preserve"> grows in parallel, but </w:t>
      </w:r>
      <w:r>
        <w:rPr>
          <w:noProof/>
          <w:lang w:val="en-IE"/>
        </w:rPr>
        <w:t xml:space="preserve">it </w:t>
      </w:r>
      <w:r w:rsidRPr="00F839C0">
        <w:rPr>
          <w:noProof/>
          <w:lang w:val="en-IE"/>
        </w:rPr>
        <w:t xml:space="preserve">slightly </w:t>
      </w:r>
      <w:r w:rsidRPr="007E2AB2">
        <w:rPr>
          <w:noProof/>
          <w:lang w:val="en-IE"/>
        </w:rPr>
        <w:t>loses weight in the total</w:t>
      </w:r>
      <w:r w:rsidRPr="00F839C0">
        <w:rPr>
          <w:noProof/>
          <w:lang w:val="en-IE"/>
        </w:rPr>
        <w:t xml:space="preserve"> </w:t>
      </w:r>
      <w:r>
        <w:rPr>
          <w:noProof/>
          <w:lang w:val="en-IE"/>
        </w:rPr>
        <w:t>market</w:t>
      </w:r>
      <w:r w:rsidRPr="00F839C0">
        <w:rPr>
          <w:noProof/>
          <w:lang w:val="en-IE"/>
        </w:rPr>
        <w:t xml:space="preserve">, leading to a small decline in </w:t>
      </w:r>
      <w:r w:rsidR="005F33E8">
        <w:rPr>
          <w:noProof/>
          <w:lang w:val="en-IE"/>
        </w:rPr>
        <w:t xml:space="preserve">European </w:t>
      </w:r>
      <w:r w:rsidR="00190C55">
        <w:rPr>
          <w:noProof/>
          <w:lang w:val="en-IE"/>
        </w:rPr>
        <w:t xml:space="preserve">providers </w:t>
      </w:r>
      <w:r w:rsidR="00190C55" w:rsidRPr="00F839C0">
        <w:rPr>
          <w:noProof/>
          <w:lang w:val="en-IE"/>
        </w:rPr>
        <w:t>‘overall</w:t>
      </w:r>
      <w:r w:rsidRPr="00F839C0">
        <w:rPr>
          <w:noProof/>
          <w:lang w:val="en-IE"/>
        </w:rPr>
        <w:t xml:space="preserve"> share of </w:t>
      </w:r>
      <w:r>
        <w:rPr>
          <w:noProof/>
          <w:lang w:val="en-IE"/>
        </w:rPr>
        <w:t xml:space="preserve">the </w:t>
      </w:r>
      <w:r w:rsidRPr="00D0297C">
        <w:rPr>
          <w:noProof/>
          <w:lang w:val="en-IE"/>
        </w:rPr>
        <w:t xml:space="preserve">cloud </w:t>
      </w:r>
      <w:r>
        <w:rPr>
          <w:noProof/>
          <w:lang w:val="en-IE"/>
        </w:rPr>
        <w:t>market</w:t>
      </w:r>
      <w:r w:rsidRPr="00D0297C">
        <w:rPr>
          <w:noProof/>
          <w:lang w:val="en-IE"/>
        </w:rPr>
        <w:t xml:space="preserve"> revenues. </w:t>
      </w:r>
      <w:r w:rsidR="0062697C" w:rsidRPr="00D0297C" w:rsidDel="0062697C">
        <w:rPr>
          <w:noProof/>
          <w:lang w:val="en-IE"/>
        </w:rPr>
        <w:t xml:space="preserve"> </w:t>
      </w:r>
    </w:p>
    <w:p w14:paraId="1EAD2507" w14:textId="24FB0BAE" w:rsidR="00975A08" w:rsidRDefault="00975A08" w:rsidP="00975A08">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0E7F11">
        <w:rPr>
          <w:noProof/>
        </w:rPr>
        <w:t>9</w:t>
      </w:r>
      <w:r>
        <w:rPr>
          <w:noProof/>
        </w:rPr>
        <w:fldChar w:fldCharType="end"/>
      </w:r>
      <w:r>
        <w:rPr>
          <w:noProof/>
        </w:rPr>
        <w:t>. Market share of European cloud providers in the European market (Source: Synergy Research)</w:t>
      </w:r>
    </w:p>
    <w:p w14:paraId="737246D2" w14:textId="77777777" w:rsidR="00975A08" w:rsidRPr="00452A30" w:rsidRDefault="00975A08" w:rsidP="005B539C">
      <w:pPr>
        <w:spacing w:after="120"/>
        <w:jc w:val="center"/>
        <w:rPr>
          <w:noProof/>
          <w:lang w:val="en-IE"/>
        </w:rPr>
      </w:pPr>
      <w:r>
        <w:rPr>
          <w:noProof/>
          <w:lang w:eastAsia="en-GB"/>
        </w:rPr>
        <w:drawing>
          <wp:inline distT="0" distB="0" distL="0" distR="0" wp14:anchorId="2545DA5C" wp14:editId="182C7FD6">
            <wp:extent cx="3377856" cy="2570672"/>
            <wp:effectExtent l="0" t="0" r="0" b="1270"/>
            <wp:docPr id="2139461985" name="Picture 2" descr="A graph showing the price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61985" name="Picture 2" descr="A graph showing the price of a cloud&#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95673" cy="2584231"/>
                    </a:xfrm>
                    <a:prstGeom prst="rect">
                      <a:avLst/>
                    </a:prstGeom>
                    <a:noFill/>
                  </pic:spPr>
                </pic:pic>
              </a:graphicData>
            </a:graphic>
          </wp:inline>
        </w:drawing>
      </w:r>
    </w:p>
    <w:p w14:paraId="0213D8DC" w14:textId="1995C8FA" w:rsidR="00975A08" w:rsidRPr="008669CC" w:rsidRDefault="00975A08" w:rsidP="00975A08">
      <w:pPr>
        <w:spacing w:after="120"/>
        <w:rPr>
          <w:noProof/>
          <w:lang w:val="en-IE"/>
        </w:rPr>
      </w:pPr>
      <w:r w:rsidRPr="008669CC">
        <w:rPr>
          <w:noProof/>
          <w:lang w:val="en-IE"/>
        </w:rPr>
        <w:t xml:space="preserve">Within the evolving </w:t>
      </w:r>
      <w:r w:rsidR="00DF7FB4">
        <w:rPr>
          <w:noProof/>
          <w:lang w:val="en-IE"/>
        </w:rPr>
        <w:t>European cloud</w:t>
      </w:r>
      <w:r w:rsidRPr="008669CC">
        <w:rPr>
          <w:noProof/>
          <w:lang w:val="en-IE"/>
        </w:rPr>
        <w:t xml:space="preserve"> market, the central dynamic baseline assumes that EU</w:t>
      </w:r>
      <w:r w:rsidR="00DF7FB4">
        <w:rPr>
          <w:noProof/>
          <w:lang w:val="en-IE"/>
        </w:rPr>
        <w:t>-</w:t>
      </w:r>
      <w:r w:rsidRPr="008669CC">
        <w:rPr>
          <w:noProof/>
          <w:lang w:val="en-IE"/>
        </w:rPr>
        <w:t>headquartered cloud service providers are unable to fully keep pace with their non-EU competitors. Due to a growing demand in the EU, the revenues of the European players keep steady, but their overall position barely holds.</w:t>
      </w:r>
    </w:p>
    <w:p w14:paraId="45327EEF" w14:textId="293D3341" w:rsidR="00234E96" w:rsidRDefault="00E720AB" w:rsidP="00625F11">
      <w:pPr>
        <w:pStyle w:val="Reply"/>
        <w:spacing w:line="240" w:lineRule="auto"/>
        <w:rPr>
          <w:noProof/>
        </w:rPr>
      </w:pPr>
      <w:r>
        <w:rPr>
          <w:noProof/>
        </w:rPr>
        <w:t>T</w:t>
      </w:r>
      <w:r w:rsidR="00234E96" w:rsidRPr="009F2DE7">
        <w:rPr>
          <w:noProof/>
        </w:rPr>
        <w:t>he</w:t>
      </w:r>
      <w:r w:rsidR="00FA5324">
        <w:rPr>
          <w:noProof/>
        </w:rPr>
        <w:t>se</w:t>
      </w:r>
      <w:r w:rsidR="00234E96" w:rsidRPr="009F2DE7">
        <w:rPr>
          <w:noProof/>
        </w:rPr>
        <w:t xml:space="preserve"> projection</w:t>
      </w:r>
      <w:r>
        <w:rPr>
          <w:noProof/>
        </w:rPr>
        <w:t>s are</w:t>
      </w:r>
      <w:r w:rsidR="00234E96" w:rsidRPr="009F2DE7">
        <w:rPr>
          <w:noProof/>
        </w:rPr>
        <w:t xml:space="preserve"> grounded in recent market evidence </w:t>
      </w:r>
      <w:r>
        <w:rPr>
          <w:noProof/>
        </w:rPr>
        <w:t xml:space="preserve">(see Figure 9) </w:t>
      </w:r>
      <w:r w:rsidR="00234E96" w:rsidRPr="009F2DE7">
        <w:rPr>
          <w:noProof/>
        </w:rPr>
        <w:t xml:space="preserve">and structural factors. Over the last years, European cloud providers’ local market share has declined from roughly 29% in 2017 to about 15% and has since </w:t>
      </w:r>
      <w:r>
        <w:rPr>
          <w:noProof/>
        </w:rPr>
        <w:t xml:space="preserve">stagnated </w:t>
      </w:r>
      <w:r w:rsidR="00234E96" w:rsidRPr="009F2DE7">
        <w:rPr>
          <w:noProof/>
        </w:rPr>
        <w:t>at that level, despite continued strong growth of their absolute revenues</w:t>
      </w:r>
      <w:r w:rsidR="00FA25AF">
        <w:rPr>
          <w:noProof/>
        </w:rPr>
        <w:t>, as it can be seen in the figure above</w:t>
      </w:r>
      <w:r w:rsidR="00234E96" w:rsidRPr="009F2DE7">
        <w:rPr>
          <w:noProof/>
        </w:rPr>
        <w:t xml:space="preserve">. At the same time, the three leading hyperscalers invest at a scale (around EUR 10 </w:t>
      </w:r>
      <w:r w:rsidR="007F4FAE">
        <w:rPr>
          <w:noProof/>
        </w:rPr>
        <w:t>bn</w:t>
      </w:r>
      <w:r w:rsidR="00234E96" w:rsidRPr="009F2DE7">
        <w:rPr>
          <w:noProof/>
        </w:rPr>
        <w:t xml:space="preserve"> per quarter in European CAPEX according to Synergy research</w:t>
      </w:r>
      <w:r w:rsidR="00234E96" w:rsidRPr="009F2DE7">
        <w:rPr>
          <w:rStyle w:val="FootnoteReference"/>
          <w:noProof/>
        </w:rPr>
        <w:footnoteReference w:id="197"/>
      </w:r>
      <w:r w:rsidR="00234E96" w:rsidRPr="009F2DE7">
        <w:rPr>
          <w:noProof/>
        </w:rPr>
        <w:t>), which results in very high barriers to significantly increase the market share for smaller European players. This suggests that in the absence of major policy interventions or market shocks, the relative position of EU providers is likely to remain broadly unchanged in the mid-term.</w:t>
      </w:r>
      <w:r w:rsidR="00FF2915">
        <w:rPr>
          <w:noProof/>
        </w:rPr>
        <w:t xml:space="preserve"> </w:t>
      </w:r>
      <w:r w:rsidR="007C7789">
        <w:rPr>
          <w:noProof/>
        </w:rPr>
        <w:t xml:space="preserve">The only cloud – specific policy currently applicable in the EU, the Data Act, entered into force in September 2025. </w:t>
      </w:r>
      <w:r w:rsidR="002C25BE">
        <w:rPr>
          <w:noProof/>
        </w:rPr>
        <w:t>As explained previously, i</w:t>
      </w:r>
      <w:r w:rsidR="007C7789">
        <w:rPr>
          <w:noProof/>
        </w:rPr>
        <w:t xml:space="preserve">ts effects </w:t>
      </w:r>
      <w:r w:rsidR="00E1066F">
        <w:rPr>
          <w:noProof/>
        </w:rPr>
        <w:t>are not yet observable, rendering difficult to provide a more dynamic outlook</w:t>
      </w:r>
      <w:r w:rsidR="001E0CD7">
        <w:rPr>
          <w:noProof/>
        </w:rPr>
        <w:t xml:space="preserve"> </w:t>
      </w:r>
      <w:r w:rsidR="002C25BE">
        <w:rPr>
          <w:noProof/>
        </w:rPr>
        <w:t xml:space="preserve">than </w:t>
      </w:r>
      <w:r w:rsidR="001E0CD7">
        <w:rPr>
          <w:noProof/>
        </w:rPr>
        <w:t>the one shown here.</w:t>
      </w:r>
    </w:p>
    <w:p w14:paraId="46B8145F" w14:textId="59312D7A" w:rsidR="008344A5" w:rsidRDefault="00961B22" w:rsidP="00625F11">
      <w:pPr>
        <w:pStyle w:val="Reply"/>
        <w:spacing w:line="240" w:lineRule="auto"/>
        <w:rPr>
          <w:noProof/>
        </w:rPr>
      </w:pPr>
      <w:r>
        <w:rPr>
          <w:noProof/>
        </w:rPr>
        <w:t>The</w:t>
      </w:r>
      <w:r w:rsidR="001A4936">
        <w:rPr>
          <w:noProof/>
        </w:rPr>
        <w:t xml:space="preserve"> 15% used as the baseline reflects steady but constrained growth</w:t>
      </w:r>
      <w:r w:rsidR="0032076F">
        <w:rPr>
          <w:noProof/>
        </w:rPr>
        <w:t xml:space="preserve"> driven by</w:t>
      </w:r>
      <w:r w:rsidR="00CB1298">
        <w:rPr>
          <w:noProof/>
        </w:rPr>
        <w:t xml:space="preserve"> </w:t>
      </w:r>
      <w:r w:rsidR="00C94523">
        <w:rPr>
          <w:noProof/>
        </w:rPr>
        <w:t xml:space="preserve">potential gradual demand shifts </w:t>
      </w:r>
      <w:r w:rsidR="0004178C">
        <w:rPr>
          <w:noProof/>
        </w:rPr>
        <w:t xml:space="preserve">generated by rising </w:t>
      </w:r>
      <w:r w:rsidR="000C0DB7">
        <w:rPr>
          <w:noProof/>
        </w:rPr>
        <w:t>sovereignty</w:t>
      </w:r>
      <w:r w:rsidR="0004178C">
        <w:rPr>
          <w:noProof/>
        </w:rPr>
        <w:t xml:space="preserve"> expectations</w:t>
      </w:r>
      <w:r w:rsidR="001B00B7">
        <w:rPr>
          <w:noProof/>
        </w:rPr>
        <w:t xml:space="preserve"> and niche market needs, while still facing structural issues (e.g. lock</w:t>
      </w:r>
      <w:r w:rsidR="000E1EE9">
        <w:rPr>
          <w:noProof/>
        </w:rPr>
        <w:t>-</w:t>
      </w:r>
      <w:r w:rsidR="001B00B7">
        <w:rPr>
          <w:noProof/>
        </w:rPr>
        <w:t>in</w:t>
      </w:r>
      <w:r w:rsidR="000E1EE9">
        <w:rPr>
          <w:noProof/>
        </w:rPr>
        <w:t xml:space="preserve"> to hyperscalers, bundling advantages and integration needs)</w:t>
      </w:r>
      <w:r w:rsidR="006F784A">
        <w:rPr>
          <w:noProof/>
        </w:rPr>
        <w:t>. The 10% pessimistic scenario assumes that</w:t>
      </w:r>
      <w:r w:rsidR="00F75C6F">
        <w:rPr>
          <w:noProof/>
        </w:rPr>
        <w:t xml:space="preserve"> </w:t>
      </w:r>
      <w:r w:rsidR="004F5C55">
        <w:rPr>
          <w:noProof/>
        </w:rPr>
        <w:t xml:space="preserve">there is a </w:t>
      </w:r>
      <w:r w:rsidR="004F5C55" w:rsidRPr="004F5C55">
        <w:rPr>
          <w:noProof/>
        </w:rPr>
        <w:t>widening AI infrastructure investment gap</w:t>
      </w:r>
      <w:r w:rsidR="00ED33E2">
        <w:rPr>
          <w:noProof/>
        </w:rPr>
        <w:t xml:space="preserve"> between US and EU cloud and AI </w:t>
      </w:r>
      <w:r w:rsidR="00301E20">
        <w:rPr>
          <w:noProof/>
        </w:rPr>
        <w:t xml:space="preserve">service providers </w:t>
      </w:r>
      <w:r w:rsidR="004F5C55" w:rsidRPr="004F5C55">
        <w:rPr>
          <w:noProof/>
        </w:rPr>
        <w:t>combined with regulatory initiatives failing to deliver meaningful constraints on lock-in</w:t>
      </w:r>
      <w:r w:rsidR="00D14253">
        <w:rPr>
          <w:noProof/>
        </w:rPr>
        <w:t xml:space="preserve">, dampening switching and </w:t>
      </w:r>
      <w:r w:rsidR="00DF4688">
        <w:rPr>
          <w:noProof/>
        </w:rPr>
        <w:t xml:space="preserve">interoperability, </w:t>
      </w:r>
      <w:r w:rsidR="00D14253">
        <w:rPr>
          <w:noProof/>
        </w:rPr>
        <w:t xml:space="preserve">along with </w:t>
      </w:r>
      <w:r w:rsidR="0020590F">
        <w:rPr>
          <w:noProof/>
        </w:rPr>
        <w:t xml:space="preserve">price pressure from bundled offers </w:t>
      </w:r>
      <w:r w:rsidR="004F5C55" w:rsidRPr="004F5C55">
        <w:rPr>
          <w:noProof/>
        </w:rPr>
        <w:t>and potential provider</w:t>
      </w:r>
      <w:r w:rsidR="00ED5426">
        <w:rPr>
          <w:noProof/>
        </w:rPr>
        <w:t>s</w:t>
      </w:r>
      <w:r w:rsidR="004F5C55" w:rsidRPr="004F5C55">
        <w:rPr>
          <w:noProof/>
        </w:rPr>
        <w:t xml:space="preserve"> exits triggering</w:t>
      </w:r>
      <w:r w:rsidR="00397610">
        <w:rPr>
          <w:noProof/>
        </w:rPr>
        <w:t xml:space="preserve"> a collapse in</w:t>
      </w:r>
      <w:r w:rsidR="004F5C55" w:rsidRPr="004F5C55">
        <w:rPr>
          <w:noProof/>
        </w:rPr>
        <w:t xml:space="preserve"> customer confidence </w:t>
      </w:r>
      <w:r w:rsidR="00397610">
        <w:rPr>
          <w:noProof/>
        </w:rPr>
        <w:t>towards cloud.</w:t>
      </w:r>
      <w:r w:rsidR="00ED5426">
        <w:rPr>
          <w:noProof/>
        </w:rPr>
        <w:t xml:space="preserve"> The more optimistic scenario, 17%, assumes </w:t>
      </w:r>
      <w:r w:rsidR="00327EDF">
        <w:rPr>
          <w:noProof/>
        </w:rPr>
        <w:t xml:space="preserve">improved interoperability and portability and </w:t>
      </w:r>
      <w:r w:rsidR="00E146AC">
        <w:rPr>
          <w:noProof/>
        </w:rPr>
        <w:t>more trusted EU-level assurance</w:t>
      </w:r>
      <w:r w:rsidR="007A0EAA">
        <w:rPr>
          <w:noProof/>
        </w:rPr>
        <w:t>, raising conversion rates and accelerating adoption.</w:t>
      </w:r>
    </w:p>
    <w:p w14:paraId="705F5EDA" w14:textId="4CE88106" w:rsidR="00DC7193" w:rsidRDefault="00F17092" w:rsidP="00625F11">
      <w:pPr>
        <w:pStyle w:val="Reply"/>
        <w:spacing w:line="240" w:lineRule="auto"/>
        <w:rPr>
          <w:noProof/>
        </w:rPr>
      </w:pPr>
      <w:r w:rsidRPr="00F17092">
        <w:rPr>
          <w:noProof/>
        </w:rPr>
        <w:t xml:space="preserve">All three scenarios converge within a narrow seven–percentage-point band because the core competitive disadvantages faced by European cloud providers are </w:t>
      </w:r>
      <w:r w:rsidR="00BF3479">
        <w:rPr>
          <w:noProof/>
        </w:rPr>
        <w:t>deeply rooted</w:t>
      </w:r>
      <w:r w:rsidR="00E94E03">
        <w:rPr>
          <w:noProof/>
        </w:rPr>
        <w:t>.</w:t>
      </w:r>
      <w:r w:rsidR="008B7191" w:rsidRPr="008B7191">
        <w:rPr>
          <w:noProof/>
        </w:rPr>
        <w:t xml:space="preserve"> </w:t>
      </w:r>
      <w:r w:rsidR="00DC7193" w:rsidRPr="00DC7193">
        <w:rPr>
          <w:noProof/>
        </w:rPr>
        <w:t xml:space="preserve">Even in the most optimistic case, European providers only recover to about 17% market share. </w:t>
      </w:r>
      <w:r w:rsidR="00037DC4">
        <w:rPr>
          <w:noProof/>
        </w:rPr>
        <w:t>This is largely due to Europe’s fragmented regulatory environment</w:t>
      </w:r>
      <w:r w:rsidR="00307C67">
        <w:rPr>
          <w:noProof/>
        </w:rPr>
        <w:t xml:space="preserve"> and the difficult</w:t>
      </w:r>
      <w:r>
        <w:rPr>
          <w:noProof/>
        </w:rPr>
        <w:t>y</w:t>
      </w:r>
      <w:r w:rsidR="00307C67">
        <w:rPr>
          <w:noProof/>
        </w:rPr>
        <w:t xml:space="preserve"> of scaling cloud and AI services, that can match the breadth and integration of those offered by the hyperscalers.</w:t>
      </w:r>
      <w:r w:rsidR="0091029C">
        <w:rPr>
          <w:noProof/>
        </w:rPr>
        <w:t xml:space="preserve"> Conversely, the 10% pessimistic scenario includes </w:t>
      </w:r>
      <w:r w:rsidR="00EC3EBA">
        <w:rPr>
          <w:noProof/>
        </w:rPr>
        <w:t xml:space="preserve">the demand of cloud and AI services by highly regulated sectors </w:t>
      </w:r>
      <w:r w:rsidR="0016023C">
        <w:rPr>
          <w:noProof/>
        </w:rPr>
        <w:t>that are genuinely sovereign. These needs</w:t>
      </w:r>
      <w:r w:rsidR="00F027DB">
        <w:rPr>
          <w:noProof/>
        </w:rPr>
        <w:t xml:space="preserve"> ensure a stable baseline level of demand of cloud services.</w:t>
      </w:r>
    </w:p>
    <w:p w14:paraId="6A604AA5" w14:textId="645A173C" w:rsidR="0027356E" w:rsidRPr="009F2DE7" w:rsidRDefault="0027356E" w:rsidP="00C53EEC">
      <w:pPr>
        <w:pStyle w:val="Reply"/>
        <w:spacing w:line="240" w:lineRule="auto"/>
        <w:rPr>
          <w:noProof/>
        </w:rPr>
      </w:pPr>
      <w:r w:rsidRPr="0027356E">
        <w:rPr>
          <w:noProof/>
        </w:rPr>
        <w:t>Other considerations taken into account for the assumptions include structural market factors, demand-side dynamics and competition environment, as described in section 2, notably 2.2.</w:t>
      </w:r>
    </w:p>
    <w:p w14:paraId="4E73190F" w14:textId="246ACCAE" w:rsidR="00975A08" w:rsidRDefault="00975A08" w:rsidP="00975A08">
      <w:pPr>
        <w:rPr>
          <w:noProof/>
          <w:lang w:val="en-IE"/>
        </w:rPr>
      </w:pPr>
    </w:p>
    <w:tbl>
      <w:tblPr>
        <w:tblW w:w="5000" w:type="pct"/>
        <w:tblLook w:val="04A0" w:firstRow="1" w:lastRow="0" w:firstColumn="1" w:lastColumn="0" w:noHBand="0" w:noVBand="1"/>
      </w:tblPr>
      <w:tblGrid>
        <w:gridCol w:w="2757"/>
        <w:gridCol w:w="1474"/>
        <w:gridCol w:w="2394"/>
        <w:gridCol w:w="1994"/>
      </w:tblGrid>
      <w:tr w:rsidR="00975A08" w:rsidRPr="00D3787E" w14:paraId="6EAABF98" w14:textId="77777777" w:rsidTr="00423514">
        <w:trPr>
          <w:trHeight w:val="1200"/>
        </w:trPr>
        <w:tc>
          <w:tcPr>
            <w:tcW w:w="1599" w:type="pct"/>
            <w:tcBorders>
              <w:top w:val="single" w:sz="4" w:space="0" w:color="00B0F0"/>
              <w:bottom w:val="single" w:sz="4" w:space="0" w:color="00B0F0"/>
            </w:tcBorders>
            <w:noWrap/>
            <w:hideMark/>
          </w:tcPr>
          <w:p w14:paraId="30952394" w14:textId="77777777" w:rsidR="00975A08" w:rsidRPr="007E2AB2" w:rsidRDefault="00975A08">
            <w:pPr>
              <w:spacing w:after="0"/>
              <w:jc w:val="left"/>
              <w:rPr>
                <w:rFonts w:eastAsia="Times New Roman"/>
                <w:b/>
                <w:bCs/>
                <w:i/>
                <w:iCs/>
                <w:noProof/>
                <w:sz w:val="20"/>
                <w:szCs w:val="20"/>
                <w:lang w:val="en-IE" w:eastAsia="en-IE"/>
              </w:rPr>
            </w:pPr>
            <w:r w:rsidRPr="007E2AB2">
              <w:rPr>
                <w:rFonts w:eastAsia="Times New Roman"/>
                <w:b/>
                <w:bCs/>
                <w:i/>
                <w:iCs/>
                <w:noProof/>
                <w:sz w:val="20"/>
                <w:szCs w:val="20"/>
                <w:lang w:val="en-IE" w:eastAsia="en-IE"/>
              </w:rPr>
              <w:t>Scenario</w:t>
            </w:r>
          </w:p>
        </w:tc>
        <w:tc>
          <w:tcPr>
            <w:tcW w:w="855" w:type="pct"/>
            <w:tcBorders>
              <w:top w:val="single" w:sz="4" w:space="0" w:color="00B0F0"/>
              <w:bottom w:val="single" w:sz="4" w:space="0" w:color="00B0F0"/>
            </w:tcBorders>
            <w:hideMark/>
          </w:tcPr>
          <w:p w14:paraId="6482A80D" w14:textId="77777777" w:rsidR="00975A08" w:rsidRPr="007E2AB2" w:rsidRDefault="00975A08">
            <w:pPr>
              <w:spacing w:after="0"/>
              <w:jc w:val="left"/>
              <w:rPr>
                <w:rFonts w:eastAsia="Times New Roman"/>
                <w:i/>
                <w:iCs/>
                <w:noProof/>
                <w:color w:val="000000"/>
                <w:sz w:val="20"/>
                <w:szCs w:val="20"/>
                <w:lang w:val="en-IE" w:eastAsia="en-IE"/>
              </w:rPr>
            </w:pPr>
            <w:r w:rsidRPr="007E2AB2">
              <w:rPr>
                <w:rFonts w:eastAsia="Times New Roman"/>
                <w:i/>
                <w:iCs/>
                <w:noProof/>
                <w:color w:val="000000"/>
                <w:sz w:val="20"/>
                <w:szCs w:val="20"/>
                <w:lang w:val="en-IE" w:eastAsia="en-IE"/>
              </w:rPr>
              <w:t>Market share of EU providers in 2036</w:t>
            </w:r>
          </w:p>
        </w:tc>
        <w:tc>
          <w:tcPr>
            <w:tcW w:w="1389" w:type="pct"/>
            <w:tcBorders>
              <w:top w:val="single" w:sz="4" w:space="0" w:color="00B0F0"/>
              <w:bottom w:val="single" w:sz="4" w:space="0" w:color="00B0F0"/>
            </w:tcBorders>
            <w:hideMark/>
          </w:tcPr>
          <w:p w14:paraId="0375D8E9" w14:textId="77777777" w:rsidR="00975A08" w:rsidRPr="007E2AB2" w:rsidRDefault="00975A08">
            <w:pPr>
              <w:spacing w:after="0"/>
              <w:jc w:val="left"/>
              <w:rPr>
                <w:rFonts w:eastAsia="Times New Roman"/>
                <w:i/>
                <w:iCs/>
                <w:noProof/>
                <w:color w:val="000000"/>
                <w:sz w:val="20"/>
                <w:szCs w:val="20"/>
                <w:lang w:val="fr-BE" w:eastAsia="en-IE"/>
              </w:rPr>
            </w:pPr>
            <w:r w:rsidRPr="007E2AB2">
              <w:rPr>
                <w:rFonts w:eastAsia="Times New Roman"/>
                <w:i/>
                <w:iCs/>
                <w:noProof/>
                <w:color w:val="000000"/>
                <w:sz w:val="20"/>
                <w:szCs w:val="20"/>
                <w:lang w:val="fr-BE" w:eastAsia="en-IE"/>
              </w:rPr>
              <w:t>Cumulative revenues of EU providers (2025 – 2036) (EUR bn)</w:t>
            </w:r>
          </w:p>
        </w:tc>
        <w:tc>
          <w:tcPr>
            <w:tcW w:w="1157" w:type="pct"/>
            <w:tcBorders>
              <w:top w:val="single" w:sz="4" w:space="0" w:color="00B0F0"/>
              <w:bottom w:val="single" w:sz="4" w:space="0" w:color="00B0F0"/>
            </w:tcBorders>
            <w:hideMark/>
          </w:tcPr>
          <w:p w14:paraId="5B0F227B" w14:textId="77777777" w:rsidR="00975A08" w:rsidRPr="0024632B" w:rsidRDefault="00975A08">
            <w:pPr>
              <w:spacing w:after="0"/>
              <w:jc w:val="left"/>
              <w:rPr>
                <w:rFonts w:eastAsia="Times New Roman"/>
                <w:i/>
                <w:noProof/>
                <w:color w:val="000000"/>
                <w:sz w:val="20"/>
                <w:szCs w:val="20"/>
                <w:lang w:val="fr-BE" w:eastAsia="en-IE"/>
              </w:rPr>
            </w:pPr>
            <w:r w:rsidRPr="0024632B">
              <w:rPr>
                <w:rFonts w:eastAsia="Times New Roman"/>
                <w:i/>
                <w:noProof/>
                <w:color w:val="000000"/>
                <w:sz w:val="20"/>
                <w:szCs w:val="20"/>
                <w:lang w:val="fr-BE" w:eastAsia="en-IE"/>
              </w:rPr>
              <w:t>Cumulative revenues of non-EU providers (2025 – 2036) (EUR bn)</w:t>
            </w:r>
          </w:p>
        </w:tc>
      </w:tr>
      <w:tr w:rsidR="00975A08" w:rsidRPr="00717F64" w14:paraId="5F58DB2A" w14:textId="77777777" w:rsidTr="00423514">
        <w:trPr>
          <w:trHeight w:val="300"/>
        </w:trPr>
        <w:tc>
          <w:tcPr>
            <w:tcW w:w="1599" w:type="pct"/>
            <w:tcBorders>
              <w:top w:val="single" w:sz="4" w:space="0" w:color="00B0F0"/>
            </w:tcBorders>
            <w:shd w:val="clear" w:color="auto" w:fill="FFFFFF" w:themeFill="background1"/>
            <w:noWrap/>
            <w:hideMark/>
          </w:tcPr>
          <w:p w14:paraId="27850E2D" w14:textId="77777777" w:rsidR="00975A08" w:rsidRPr="007E2AB2" w:rsidRDefault="00975A08">
            <w:pPr>
              <w:spacing w:after="0"/>
              <w:jc w:val="left"/>
              <w:rPr>
                <w:rFonts w:eastAsia="Times New Roman"/>
                <w:b/>
                <w:bCs/>
                <w:i/>
                <w:iCs/>
                <w:noProof/>
                <w:color w:val="000000"/>
                <w:sz w:val="20"/>
                <w:szCs w:val="20"/>
                <w:lang w:val="en-IE" w:eastAsia="en-IE"/>
              </w:rPr>
            </w:pPr>
            <w:r w:rsidRPr="007E2AB2">
              <w:rPr>
                <w:rFonts w:eastAsia="Times New Roman"/>
                <w:b/>
                <w:bCs/>
                <w:i/>
                <w:iCs/>
                <w:noProof/>
                <w:color w:val="000000"/>
                <w:sz w:val="20"/>
                <w:szCs w:val="20"/>
                <w:lang w:val="en-IE" w:eastAsia="en-IE"/>
              </w:rPr>
              <w:t>Baseline (pessimistic scenario)</w:t>
            </w:r>
          </w:p>
        </w:tc>
        <w:tc>
          <w:tcPr>
            <w:tcW w:w="855" w:type="pct"/>
            <w:tcBorders>
              <w:top w:val="single" w:sz="4" w:space="0" w:color="00B0F0"/>
            </w:tcBorders>
            <w:shd w:val="clear" w:color="auto" w:fill="F2F2F2" w:themeFill="background1" w:themeFillShade="F2"/>
            <w:hideMark/>
          </w:tcPr>
          <w:p w14:paraId="367D93D0" w14:textId="3F910762" w:rsidR="00975A08" w:rsidRPr="00EB3FA4" w:rsidRDefault="00E3706B">
            <w:pPr>
              <w:spacing w:after="0"/>
              <w:jc w:val="right"/>
              <w:rPr>
                <w:rFonts w:eastAsia="Times New Roman"/>
                <w:noProof/>
                <w:color w:val="000000"/>
                <w:sz w:val="20"/>
                <w:szCs w:val="20"/>
                <w:lang w:val="en-IE" w:eastAsia="en-IE"/>
              </w:rPr>
            </w:pPr>
            <w:r w:rsidRPr="00423514">
              <w:rPr>
                <w:noProof/>
                <w:sz w:val="20"/>
                <w:szCs w:val="20"/>
              </w:rPr>
              <w:t>10%</w:t>
            </w:r>
          </w:p>
        </w:tc>
        <w:tc>
          <w:tcPr>
            <w:tcW w:w="1389" w:type="pct"/>
            <w:tcBorders>
              <w:top w:val="single" w:sz="4" w:space="0" w:color="00B0F0"/>
            </w:tcBorders>
            <w:shd w:val="clear" w:color="auto" w:fill="F2F2F2" w:themeFill="background1" w:themeFillShade="F2"/>
            <w:noWrap/>
          </w:tcPr>
          <w:p w14:paraId="0A9C66A3" w14:textId="39D5230D" w:rsidR="00975A08" w:rsidRPr="00EB3FA4" w:rsidRDefault="00E3706B">
            <w:pPr>
              <w:spacing w:after="0"/>
              <w:jc w:val="right"/>
              <w:rPr>
                <w:rFonts w:eastAsia="Times New Roman"/>
                <w:noProof/>
                <w:color w:val="000000"/>
                <w:sz w:val="20"/>
                <w:szCs w:val="20"/>
                <w:lang w:val="en-IE" w:eastAsia="en-IE"/>
              </w:rPr>
            </w:pPr>
            <w:r w:rsidRPr="00C53EEC">
              <w:rPr>
                <w:noProof/>
                <w:sz w:val="20"/>
                <w:szCs w:val="20"/>
              </w:rPr>
              <w:t>438</w:t>
            </w:r>
          </w:p>
        </w:tc>
        <w:tc>
          <w:tcPr>
            <w:tcW w:w="1157" w:type="pct"/>
            <w:tcBorders>
              <w:top w:val="single" w:sz="4" w:space="0" w:color="00B0F0"/>
            </w:tcBorders>
            <w:shd w:val="clear" w:color="auto" w:fill="F2F2F2" w:themeFill="background1" w:themeFillShade="F2"/>
            <w:noWrap/>
          </w:tcPr>
          <w:p w14:paraId="2D1A270D" w14:textId="17930159" w:rsidR="00975A08" w:rsidRPr="00EB3FA4" w:rsidRDefault="00E3706B">
            <w:pPr>
              <w:spacing w:after="0"/>
              <w:jc w:val="right"/>
              <w:rPr>
                <w:rFonts w:eastAsia="Times New Roman"/>
                <w:noProof/>
                <w:color w:val="000000"/>
                <w:sz w:val="20"/>
                <w:szCs w:val="20"/>
                <w:lang w:val="en-IE" w:eastAsia="en-IE"/>
              </w:rPr>
            </w:pPr>
            <w:r w:rsidRPr="00C53EEC">
              <w:rPr>
                <w:noProof/>
                <w:sz w:val="20"/>
                <w:szCs w:val="20"/>
              </w:rPr>
              <w:t>33.212</w:t>
            </w:r>
          </w:p>
        </w:tc>
      </w:tr>
      <w:tr w:rsidR="00975A08" w:rsidRPr="00717F64" w14:paraId="798EAB8E" w14:textId="77777777" w:rsidTr="00423514">
        <w:trPr>
          <w:trHeight w:val="300"/>
        </w:trPr>
        <w:tc>
          <w:tcPr>
            <w:tcW w:w="1599" w:type="pct"/>
            <w:shd w:val="clear" w:color="auto" w:fill="FFFFFF" w:themeFill="background1"/>
            <w:noWrap/>
            <w:hideMark/>
          </w:tcPr>
          <w:p w14:paraId="6EDCB1FF" w14:textId="77777777" w:rsidR="00975A08" w:rsidRPr="007E2AB2" w:rsidRDefault="00975A08">
            <w:pPr>
              <w:spacing w:after="0"/>
              <w:jc w:val="left"/>
              <w:rPr>
                <w:rFonts w:eastAsia="Times New Roman"/>
                <w:b/>
                <w:bCs/>
                <w:i/>
                <w:iCs/>
                <w:noProof/>
                <w:color w:val="000000"/>
                <w:sz w:val="20"/>
                <w:szCs w:val="20"/>
                <w:lang w:val="en-IE" w:eastAsia="en-IE"/>
              </w:rPr>
            </w:pPr>
            <w:r w:rsidRPr="007E2AB2">
              <w:rPr>
                <w:rFonts w:eastAsia="Times New Roman"/>
                <w:b/>
                <w:bCs/>
                <w:i/>
                <w:iCs/>
                <w:noProof/>
                <w:color w:val="000000"/>
                <w:sz w:val="20"/>
                <w:szCs w:val="20"/>
                <w:lang w:val="en-IE" w:eastAsia="en-IE"/>
              </w:rPr>
              <w:t>Baseline (flat-share scenario)</w:t>
            </w:r>
          </w:p>
        </w:tc>
        <w:tc>
          <w:tcPr>
            <w:tcW w:w="855" w:type="pct"/>
            <w:shd w:val="clear" w:color="auto" w:fill="FFFFFF" w:themeFill="background1"/>
            <w:noWrap/>
            <w:hideMark/>
          </w:tcPr>
          <w:p w14:paraId="23A57861" w14:textId="6133ADB2" w:rsidR="00975A08" w:rsidRPr="00EB3FA4" w:rsidRDefault="00975A08">
            <w:pPr>
              <w:spacing w:after="0"/>
              <w:jc w:val="right"/>
              <w:rPr>
                <w:rFonts w:eastAsia="Times New Roman"/>
                <w:noProof/>
                <w:color w:val="000000"/>
                <w:sz w:val="20"/>
                <w:szCs w:val="20"/>
                <w:lang w:val="en-IE" w:eastAsia="en-IE"/>
              </w:rPr>
            </w:pPr>
            <w:r w:rsidRPr="00423514">
              <w:rPr>
                <w:noProof/>
                <w:sz w:val="20"/>
                <w:szCs w:val="20"/>
              </w:rPr>
              <w:t>15%</w:t>
            </w:r>
          </w:p>
        </w:tc>
        <w:tc>
          <w:tcPr>
            <w:tcW w:w="1389" w:type="pct"/>
            <w:shd w:val="clear" w:color="auto" w:fill="FFFFFF" w:themeFill="background1"/>
            <w:noWrap/>
          </w:tcPr>
          <w:p w14:paraId="1E07D4B7" w14:textId="11366ED7" w:rsidR="00975A08" w:rsidRPr="00EB3FA4" w:rsidRDefault="00975A08">
            <w:pPr>
              <w:spacing w:after="0"/>
              <w:jc w:val="right"/>
              <w:rPr>
                <w:rFonts w:eastAsia="Times New Roman"/>
                <w:noProof/>
                <w:color w:val="000000"/>
                <w:sz w:val="20"/>
                <w:szCs w:val="20"/>
                <w:lang w:val="en-IE" w:eastAsia="en-IE"/>
              </w:rPr>
            </w:pPr>
            <w:r w:rsidRPr="00C53EEC">
              <w:rPr>
                <w:noProof/>
                <w:sz w:val="20"/>
                <w:szCs w:val="20"/>
              </w:rPr>
              <w:t>564</w:t>
            </w:r>
          </w:p>
        </w:tc>
        <w:tc>
          <w:tcPr>
            <w:tcW w:w="1157" w:type="pct"/>
            <w:shd w:val="clear" w:color="auto" w:fill="FFFFFF" w:themeFill="background1"/>
            <w:noWrap/>
          </w:tcPr>
          <w:p w14:paraId="2D784227" w14:textId="7D27131F" w:rsidR="00975A08" w:rsidRPr="00EB3FA4" w:rsidRDefault="00E3706B">
            <w:pPr>
              <w:spacing w:after="0"/>
              <w:jc w:val="right"/>
              <w:rPr>
                <w:rFonts w:eastAsia="Times New Roman"/>
                <w:noProof/>
                <w:color w:val="000000"/>
                <w:sz w:val="20"/>
                <w:szCs w:val="20"/>
                <w:lang w:val="en-IE" w:eastAsia="en-IE"/>
              </w:rPr>
            </w:pPr>
            <w:r w:rsidRPr="00C53EEC">
              <w:rPr>
                <w:noProof/>
                <w:sz w:val="20"/>
                <w:szCs w:val="20"/>
              </w:rPr>
              <w:t>31.956</w:t>
            </w:r>
          </w:p>
        </w:tc>
      </w:tr>
      <w:tr w:rsidR="00975A08" w:rsidRPr="00717F64" w14:paraId="53FF8375" w14:textId="77777777" w:rsidTr="00423514">
        <w:trPr>
          <w:trHeight w:val="300"/>
        </w:trPr>
        <w:tc>
          <w:tcPr>
            <w:tcW w:w="1599" w:type="pct"/>
            <w:shd w:val="clear" w:color="auto" w:fill="FFFFFF" w:themeFill="background1"/>
            <w:noWrap/>
            <w:hideMark/>
          </w:tcPr>
          <w:p w14:paraId="71585B2C" w14:textId="77777777" w:rsidR="00975A08" w:rsidRPr="007E2AB2" w:rsidRDefault="00975A08">
            <w:pPr>
              <w:spacing w:after="0"/>
              <w:jc w:val="left"/>
              <w:rPr>
                <w:rFonts w:eastAsia="Times New Roman"/>
                <w:b/>
                <w:bCs/>
                <w:i/>
                <w:iCs/>
                <w:noProof/>
                <w:color w:val="000000"/>
                <w:sz w:val="20"/>
                <w:szCs w:val="20"/>
                <w:lang w:val="en-IE" w:eastAsia="en-IE"/>
              </w:rPr>
            </w:pPr>
            <w:r w:rsidRPr="007E2AB2">
              <w:rPr>
                <w:rFonts w:eastAsia="Times New Roman"/>
                <w:b/>
                <w:bCs/>
                <w:i/>
                <w:iCs/>
                <w:noProof/>
                <w:color w:val="000000"/>
                <w:sz w:val="20"/>
                <w:szCs w:val="20"/>
                <w:lang w:val="en-IE" w:eastAsia="en-IE"/>
              </w:rPr>
              <w:t>Baseline (optimistic scenario)</w:t>
            </w:r>
          </w:p>
        </w:tc>
        <w:tc>
          <w:tcPr>
            <w:tcW w:w="855" w:type="pct"/>
            <w:shd w:val="clear" w:color="auto" w:fill="F2F2F2" w:themeFill="background1" w:themeFillShade="F2"/>
            <w:noWrap/>
            <w:hideMark/>
          </w:tcPr>
          <w:p w14:paraId="65AE9919" w14:textId="2A0FC8C2" w:rsidR="00975A08" w:rsidRPr="00EB3FA4" w:rsidRDefault="00E3706B">
            <w:pPr>
              <w:spacing w:after="0"/>
              <w:jc w:val="right"/>
              <w:rPr>
                <w:rFonts w:eastAsia="Times New Roman"/>
                <w:noProof/>
                <w:color w:val="000000"/>
                <w:sz w:val="20"/>
                <w:szCs w:val="20"/>
                <w:lang w:val="en-IE" w:eastAsia="en-IE"/>
              </w:rPr>
            </w:pPr>
            <w:r w:rsidRPr="00423514">
              <w:rPr>
                <w:noProof/>
                <w:sz w:val="20"/>
                <w:szCs w:val="20"/>
              </w:rPr>
              <w:t>17%</w:t>
            </w:r>
          </w:p>
        </w:tc>
        <w:tc>
          <w:tcPr>
            <w:tcW w:w="1389" w:type="pct"/>
            <w:shd w:val="clear" w:color="auto" w:fill="F2F2F2" w:themeFill="background1" w:themeFillShade="F2"/>
            <w:noWrap/>
          </w:tcPr>
          <w:p w14:paraId="7634467F" w14:textId="23912F17" w:rsidR="00975A08" w:rsidRPr="00EB3FA4" w:rsidRDefault="00E3706B">
            <w:pPr>
              <w:spacing w:after="0"/>
              <w:jc w:val="right"/>
              <w:rPr>
                <w:rFonts w:eastAsia="Times New Roman"/>
                <w:noProof/>
                <w:color w:val="000000"/>
                <w:sz w:val="20"/>
                <w:szCs w:val="20"/>
                <w:lang w:val="en-IE" w:eastAsia="en-IE"/>
              </w:rPr>
            </w:pPr>
            <w:r w:rsidRPr="00C53EEC">
              <w:rPr>
                <w:noProof/>
                <w:sz w:val="20"/>
                <w:szCs w:val="20"/>
              </w:rPr>
              <w:t>611</w:t>
            </w:r>
          </w:p>
        </w:tc>
        <w:tc>
          <w:tcPr>
            <w:tcW w:w="1157" w:type="pct"/>
            <w:shd w:val="clear" w:color="auto" w:fill="F2F2F2" w:themeFill="background1" w:themeFillShade="F2"/>
            <w:noWrap/>
          </w:tcPr>
          <w:p w14:paraId="4E815DFD" w14:textId="1791CBB7" w:rsidR="00975A08" w:rsidRPr="00EB3FA4" w:rsidRDefault="00E3706B">
            <w:pPr>
              <w:spacing w:after="0"/>
              <w:jc w:val="right"/>
              <w:rPr>
                <w:rFonts w:eastAsia="Times New Roman"/>
                <w:noProof/>
                <w:color w:val="000000"/>
                <w:sz w:val="20"/>
                <w:szCs w:val="20"/>
                <w:lang w:val="en-IE" w:eastAsia="en-IE"/>
              </w:rPr>
            </w:pPr>
            <w:r w:rsidRPr="00C53EEC">
              <w:rPr>
                <w:noProof/>
                <w:sz w:val="20"/>
                <w:szCs w:val="20"/>
              </w:rPr>
              <w:t>31.483</w:t>
            </w:r>
          </w:p>
        </w:tc>
      </w:tr>
    </w:tbl>
    <w:p w14:paraId="096A2236" w14:textId="3EC553A6" w:rsidR="00975A08" w:rsidRDefault="00975A08" w:rsidP="005B539C">
      <w:pPr>
        <w:spacing w:before="120" w:after="120"/>
        <w:rPr>
          <w:noProof/>
          <w:lang w:val="en-IE"/>
        </w:rPr>
      </w:pPr>
      <w:r>
        <w:rPr>
          <w:noProof/>
          <w:lang w:val="en-IE"/>
        </w:rPr>
        <w:t xml:space="preserve">Considered together, the three presented trajectories present a dynamic baseline scenario (Policy </w:t>
      </w:r>
      <w:r w:rsidR="00033D1B">
        <w:rPr>
          <w:noProof/>
          <w:lang w:val="en-IE"/>
        </w:rPr>
        <w:t xml:space="preserve">Option </w:t>
      </w:r>
      <w:r>
        <w:rPr>
          <w:noProof/>
          <w:lang w:val="en-IE"/>
        </w:rPr>
        <w:t xml:space="preserve">0) </w:t>
      </w:r>
      <w:r w:rsidR="00033D1B">
        <w:rPr>
          <w:noProof/>
          <w:lang w:val="en-IE"/>
        </w:rPr>
        <w:t>towards</w:t>
      </w:r>
      <w:r>
        <w:rPr>
          <w:noProof/>
          <w:lang w:val="en-IE"/>
        </w:rPr>
        <w:t xml:space="preserve"> which the EU cloud market is likely to continue evolving </w:t>
      </w:r>
      <w:r w:rsidR="00033D1B" w:rsidDel="008344A5">
        <w:rPr>
          <w:noProof/>
          <w:lang w:val="en-IE"/>
        </w:rPr>
        <w:t>if</w:t>
      </w:r>
      <w:r w:rsidDel="008344A5">
        <w:rPr>
          <w:noProof/>
          <w:lang w:val="en-IE"/>
        </w:rPr>
        <w:t xml:space="preserve"> </w:t>
      </w:r>
      <w:r w:rsidR="008344A5">
        <w:rPr>
          <w:noProof/>
          <w:lang w:val="en-IE"/>
        </w:rPr>
        <w:t>the</w:t>
      </w:r>
      <w:r>
        <w:rPr>
          <w:noProof/>
          <w:lang w:val="en-IE"/>
        </w:rPr>
        <w:t xml:space="preserve"> </w:t>
      </w:r>
      <w:r w:rsidR="00033D1B">
        <w:rPr>
          <w:noProof/>
          <w:lang w:val="en-IE"/>
        </w:rPr>
        <w:t>EU will not</w:t>
      </w:r>
      <w:r w:rsidDel="00033D1B">
        <w:rPr>
          <w:noProof/>
          <w:lang w:val="en-IE"/>
        </w:rPr>
        <w:t xml:space="preserve"> </w:t>
      </w:r>
      <w:r>
        <w:rPr>
          <w:noProof/>
          <w:lang w:val="en-IE"/>
        </w:rPr>
        <w:t>adopt any additional policy measure</w:t>
      </w:r>
      <w:r w:rsidR="00033D1B">
        <w:rPr>
          <w:noProof/>
          <w:lang w:val="en-IE"/>
        </w:rPr>
        <w:t>s</w:t>
      </w:r>
      <w:r>
        <w:rPr>
          <w:noProof/>
          <w:lang w:val="en-IE"/>
        </w:rPr>
        <w:t xml:space="preserve">. Under this scenario, the global and </w:t>
      </w:r>
      <w:r w:rsidR="00033D1B">
        <w:rPr>
          <w:noProof/>
          <w:lang w:val="en-IE"/>
        </w:rPr>
        <w:t>European</w:t>
      </w:r>
      <w:r>
        <w:rPr>
          <w:noProof/>
          <w:lang w:val="en-IE"/>
        </w:rPr>
        <w:t xml:space="preserve"> cloud markets would modestly grow but without a </w:t>
      </w:r>
      <w:r w:rsidR="00216FA3">
        <w:rPr>
          <w:noProof/>
          <w:lang w:val="en-IE"/>
        </w:rPr>
        <w:t>strong</w:t>
      </w:r>
      <w:r>
        <w:rPr>
          <w:noProof/>
          <w:lang w:val="en-IE"/>
        </w:rPr>
        <w:t xml:space="preserve"> quantitative shift in the structure. This would lead the EU to remain structurally dependent of non-EU players covering most customers’ needs. Furthermore, EU</w:t>
      </w:r>
      <w:r w:rsidR="00033D1B">
        <w:rPr>
          <w:noProof/>
          <w:lang w:val="en-IE"/>
        </w:rPr>
        <w:t>-</w:t>
      </w:r>
      <w:r>
        <w:rPr>
          <w:noProof/>
          <w:lang w:val="en-IE"/>
        </w:rPr>
        <w:t>homegrown providers’ scale and investment in capacity and creation of new services would remain limited, constraining their ability to compete, especially with hyperscalers that present a more integrated and wider offer</w:t>
      </w:r>
      <w:r w:rsidR="00FE2989">
        <w:rPr>
          <w:noProof/>
          <w:lang w:val="en-IE"/>
        </w:rPr>
        <w:t>.</w:t>
      </w:r>
      <w:r w:rsidR="00446294" w:rsidRPr="00446294">
        <w:rPr>
          <w:noProof/>
          <w:lang w:val="en-IE"/>
        </w:rPr>
        <w:t xml:space="preserve"> </w:t>
      </w:r>
      <w:r w:rsidR="00F2773B">
        <w:rPr>
          <w:noProof/>
          <w:lang w:val="en-IE"/>
        </w:rPr>
        <w:t>I</w:t>
      </w:r>
      <w:r w:rsidR="00446294" w:rsidRPr="00D0297C">
        <w:rPr>
          <w:noProof/>
          <w:lang w:val="en-IE"/>
        </w:rPr>
        <w:t xml:space="preserve">n the absence of </w:t>
      </w:r>
      <w:r w:rsidR="00FE2989">
        <w:rPr>
          <w:noProof/>
          <w:lang w:val="en-IE"/>
        </w:rPr>
        <w:t xml:space="preserve">an </w:t>
      </w:r>
      <w:r w:rsidR="00446294" w:rsidRPr="00D0297C">
        <w:rPr>
          <w:noProof/>
          <w:lang w:val="en-IE"/>
        </w:rPr>
        <w:t>EU action</w:t>
      </w:r>
      <w:r w:rsidR="00446294">
        <w:rPr>
          <w:noProof/>
          <w:lang w:val="en-IE"/>
        </w:rPr>
        <w:t xml:space="preserve">, European providers won’t meaningfully improve their positioning in the market and European cloud users will continue to rely heavily on non-European providers. </w:t>
      </w:r>
      <w:r w:rsidR="65B16E9E" w:rsidRPr="185E70B3" w:rsidDel="001161F8">
        <w:rPr>
          <w:noProof/>
          <w:lang w:val="en-IE"/>
        </w:rPr>
        <w:t xml:space="preserve"> </w:t>
      </w:r>
    </w:p>
    <w:p w14:paraId="47AF25B1" w14:textId="7C02D564" w:rsidR="00975A08" w:rsidRPr="008669CC" w:rsidRDefault="00975A08" w:rsidP="005B539C">
      <w:pPr>
        <w:spacing w:after="120"/>
        <w:rPr>
          <w:noProof/>
          <w:lang w:val="en-IE"/>
        </w:rPr>
      </w:pPr>
      <w:r>
        <w:rPr>
          <w:noProof/>
          <w:lang w:val="en-IE"/>
        </w:rPr>
        <w:t xml:space="preserve">Policy options under PO2 are measured both in quantitative and qualitative terms. Quantitatively, policy options are evaluated by how much they shift the baseline trajectory in terms of higher </w:t>
      </w:r>
      <w:r w:rsidDel="00446294">
        <w:rPr>
          <w:noProof/>
          <w:lang w:val="en-IE"/>
        </w:rPr>
        <w:t xml:space="preserve">market share </w:t>
      </w:r>
      <w:r w:rsidR="00446294">
        <w:rPr>
          <w:noProof/>
          <w:lang w:val="en-IE"/>
        </w:rPr>
        <w:t>of European providers</w:t>
      </w:r>
      <w:r>
        <w:rPr>
          <w:noProof/>
          <w:lang w:val="en-IE"/>
        </w:rPr>
        <w:t xml:space="preserve"> and reduced dependency, especially important in highly critical use cases. </w:t>
      </w:r>
      <w:r w:rsidDel="00446294">
        <w:rPr>
          <w:noProof/>
          <w:lang w:val="en-IE"/>
        </w:rPr>
        <w:t>Qualitatively, the baseline underlines that without an EU intervention the EU market landscape would remain characterised by a high external dependency, limited European scale and persistent asymmetries.</w:t>
      </w:r>
    </w:p>
    <w:p w14:paraId="320BAEBB" w14:textId="4189106F" w:rsidR="00413427" w:rsidRPr="00201C2C" w:rsidRDefault="00413427" w:rsidP="00413427">
      <w:pPr>
        <w:rPr>
          <w:noProof/>
        </w:rPr>
      </w:pPr>
      <w:r w:rsidRPr="03757E6C">
        <w:rPr>
          <w:noProof/>
        </w:rPr>
        <w:t>These projections serve as the counterfactual reference for quantifying the incremental effects of policy options in terms of infrastructure deployment, environmental impact, and digital sovereignty. The evolution of these challenges under the baseline scenario illustrates why EU-level action may be warranted. The objectives of the intervention, as defined in the problem tree, relate directly to the outcomes described above:</w:t>
      </w:r>
    </w:p>
    <w:p w14:paraId="0F618959" w14:textId="79F73BAF" w:rsidR="00DF213D" w:rsidRPr="00201C2C" w:rsidRDefault="00DF213D" w:rsidP="00DF213D">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sidR="000E7F11">
        <w:rPr>
          <w:noProof/>
        </w:rPr>
        <w:t>69</w:t>
      </w:r>
      <w:r>
        <w:rPr>
          <w:noProof/>
        </w:rPr>
        <w:fldChar w:fldCharType="end"/>
      </w:r>
      <w:r>
        <w:rPr>
          <w:noProof/>
        </w:rPr>
        <w:t xml:space="preserve">. </w:t>
      </w:r>
      <w:r w:rsidR="00075839">
        <w:rPr>
          <w:noProof/>
        </w:rPr>
        <w:t xml:space="preserve">Link between Policy Option 0 and </w:t>
      </w:r>
      <w:r w:rsidR="009442D6">
        <w:rPr>
          <w:noProof/>
        </w:rPr>
        <w:t>the i</w:t>
      </w:r>
      <w:r w:rsidR="00075839">
        <w:rPr>
          <w:noProof/>
        </w:rPr>
        <w:t xml:space="preserve">ntervention </w:t>
      </w:r>
    </w:p>
    <w:tbl>
      <w:tblPr>
        <w:tblStyle w:val="ListTable6Colorful-Accent1"/>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06"/>
        <w:gridCol w:w="2648"/>
        <w:gridCol w:w="3247"/>
      </w:tblGrid>
      <w:tr w:rsidR="001161F8" w:rsidRPr="00201C2C" w14:paraId="23AC3CFC" w14:textId="77777777" w:rsidTr="008C5E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45" w:type="pct"/>
            <w:shd w:val="clear" w:color="auto" w:fill="227ACB"/>
            <w:vAlign w:val="center"/>
          </w:tcPr>
          <w:p w14:paraId="053B0F68" w14:textId="434AA97E" w:rsidR="00413427" w:rsidRPr="005B539C" w:rsidRDefault="00413427" w:rsidP="00440FDC">
            <w:pPr>
              <w:spacing w:after="0"/>
              <w:jc w:val="left"/>
              <w:rPr>
                <w:noProof/>
                <w:color w:val="FFFFFF"/>
                <w:sz w:val="20"/>
                <w:szCs w:val="20"/>
              </w:rPr>
            </w:pPr>
            <w:r w:rsidRPr="005B539C">
              <w:rPr>
                <w:noProof/>
                <w:color w:val="FFFFFF"/>
                <w:sz w:val="20"/>
                <w:szCs w:val="20"/>
              </w:rPr>
              <w:t>Problem Driver</w:t>
            </w:r>
          </w:p>
        </w:tc>
        <w:tc>
          <w:tcPr>
            <w:tcW w:w="800" w:type="pct"/>
            <w:shd w:val="clear" w:color="auto" w:fill="227ACB"/>
            <w:vAlign w:val="center"/>
          </w:tcPr>
          <w:p w14:paraId="45CAC998" w14:textId="77777777" w:rsidR="00413427" w:rsidRPr="005B539C" w:rsidRDefault="00413427" w:rsidP="001F4382">
            <w:pPr>
              <w:spacing w:after="0"/>
              <w:jc w:val="center"/>
              <w:cnfStyle w:val="100000000000" w:firstRow="1" w:lastRow="0" w:firstColumn="0" w:lastColumn="0" w:oddVBand="0" w:evenVBand="0" w:oddHBand="0" w:evenHBand="0" w:firstRowFirstColumn="0" w:firstRowLastColumn="0" w:lastRowFirstColumn="0" w:lastRowLastColumn="0"/>
              <w:rPr>
                <w:noProof/>
                <w:color w:val="FFFFFF"/>
                <w:sz w:val="20"/>
                <w:szCs w:val="20"/>
              </w:rPr>
            </w:pPr>
            <w:r w:rsidRPr="005B539C">
              <w:rPr>
                <w:noProof/>
                <w:color w:val="FFFFFF"/>
                <w:sz w:val="20"/>
                <w:szCs w:val="20"/>
              </w:rPr>
              <w:t>Problem</w:t>
            </w:r>
          </w:p>
        </w:tc>
        <w:tc>
          <w:tcPr>
            <w:tcW w:w="1507" w:type="pct"/>
            <w:shd w:val="clear" w:color="auto" w:fill="227ACB"/>
            <w:vAlign w:val="center"/>
          </w:tcPr>
          <w:p w14:paraId="73498D0B" w14:textId="6286D226" w:rsidR="00040D99" w:rsidRPr="005B539C" w:rsidRDefault="00413427" w:rsidP="002A4F6F">
            <w:pPr>
              <w:spacing w:after="0"/>
              <w:jc w:val="center"/>
              <w:cnfStyle w:val="100000000000" w:firstRow="1" w:lastRow="0" w:firstColumn="0" w:lastColumn="0" w:oddVBand="0" w:evenVBand="0" w:oddHBand="0" w:evenHBand="0" w:firstRowFirstColumn="0" w:firstRowLastColumn="0" w:lastRowFirstColumn="0" w:lastRowLastColumn="0"/>
              <w:rPr>
                <w:b w:val="0"/>
                <w:noProof/>
                <w:color w:val="FFFFFF"/>
                <w:sz w:val="20"/>
                <w:szCs w:val="20"/>
              </w:rPr>
            </w:pPr>
            <w:r w:rsidRPr="005B539C">
              <w:rPr>
                <w:noProof/>
                <w:color w:val="FFFFFF"/>
                <w:sz w:val="20"/>
                <w:szCs w:val="20"/>
              </w:rPr>
              <w:t>Policy Option 0</w:t>
            </w:r>
          </w:p>
          <w:p w14:paraId="0FA4AAA2" w14:textId="1B8C5FF2" w:rsidR="00413427" w:rsidRPr="005B539C" w:rsidRDefault="00413427" w:rsidP="002A4F6F">
            <w:pPr>
              <w:spacing w:after="0"/>
              <w:jc w:val="center"/>
              <w:cnfStyle w:val="100000000000" w:firstRow="1" w:lastRow="0" w:firstColumn="0" w:lastColumn="0" w:oddVBand="0" w:evenVBand="0" w:oddHBand="0" w:evenHBand="0" w:firstRowFirstColumn="0" w:firstRowLastColumn="0" w:lastRowFirstColumn="0" w:lastRowLastColumn="0"/>
              <w:rPr>
                <w:noProof/>
                <w:color w:val="FFFFFF"/>
                <w:sz w:val="20"/>
                <w:szCs w:val="20"/>
              </w:rPr>
            </w:pPr>
            <w:r w:rsidRPr="005B539C">
              <w:rPr>
                <w:noProof/>
                <w:color w:val="FFFFFF"/>
                <w:sz w:val="20"/>
                <w:szCs w:val="20"/>
              </w:rPr>
              <w:t>(baseline trend)</w:t>
            </w:r>
          </w:p>
        </w:tc>
        <w:tc>
          <w:tcPr>
            <w:tcW w:w="1848" w:type="pct"/>
            <w:shd w:val="clear" w:color="auto" w:fill="227ACB"/>
            <w:vAlign w:val="center"/>
          </w:tcPr>
          <w:p w14:paraId="3B32B73C" w14:textId="77777777" w:rsidR="00413427" w:rsidRPr="005B539C" w:rsidRDefault="00413427" w:rsidP="008D0BAC">
            <w:pPr>
              <w:spacing w:after="0"/>
              <w:jc w:val="right"/>
              <w:cnfStyle w:val="100000000000" w:firstRow="1" w:lastRow="0" w:firstColumn="0" w:lastColumn="0" w:oddVBand="0" w:evenVBand="0" w:oddHBand="0" w:evenHBand="0" w:firstRowFirstColumn="0" w:firstRowLastColumn="0" w:lastRowFirstColumn="0" w:lastRowLastColumn="0"/>
              <w:rPr>
                <w:noProof/>
                <w:color w:val="FFFFFF"/>
                <w:sz w:val="20"/>
                <w:szCs w:val="20"/>
              </w:rPr>
            </w:pPr>
            <w:r w:rsidRPr="005B539C">
              <w:rPr>
                <w:noProof/>
                <w:color w:val="FFFFFF"/>
                <w:sz w:val="20"/>
                <w:szCs w:val="20"/>
              </w:rPr>
              <w:t>Link to Intervention Objectives</w:t>
            </w:r>
          </w:p>
        </w:tc>
      </w:tr>
      <w:tr w:rsidR="001161F8" w:rsidRPr="00201C2C" w14:paraId="65926DEA" w14:textId="77777777" w:rsidTr="008C5E62">
        <w:tc>
          <w:tcPr>
            <w:cnfStyle w:val="001000000000" w:firstRow="0" w:lastRow="0" w:firstColumn="1" w:lastColumn="0" w:oddVBand="0" w:evenVBand="0" w:oddHBand="0" w:evenHBand="0" w:firstRowFirstColumn="0" w:firstRowLastColumn="0" w:lastRowFirstColumn="0" w:lastRowLastColumn="0"/>
            <w:tcW w:w="845" w:type="pct"/>
            <w:shd w:val="clear" w:color="auto" w:fill="FFFFFF" w:themeFill="background1"/>
          </w:tcPr>
          <w:p w14:paraId="012C3950" w14:textId="5F131E6B" w:rsidR="00016981" w:rsidRPr="00785384" w:rsidRDefault="00016981" w:rsidP="005B539C">
            <w:pPr>
              <w:spacing w:after="120"/>
              <w:jc w:val="left"/>
              <w:rPr>
                <w:b w:val="0"/>
                <w:bCs w:val="0"/>
                <w:noProof/>
                <w:color w:val="auto"/>
                <w:sz w:val="20"/>
                <w:szCs w:val="20"/>
              </w:rPr>
            </w:pPr>
            <w:r w:rsidRPr="00785384">
              <w:rPr>
                <w:b w:val="0"/>
                <w:bCs w:val="0"/>
                <w:noProof/>
                <w:color w:val="auto"/>
                <w:sz w:val="20"/>
                <w:szCs w:val="20"/>
              </w:rPr>
              <w:t xml:space="preserve">PD1: </w:t>
            </w:r>
            <w:r w:rsidR="00CC13A2" w:rsidRPr="00785384">
              <w:rPr>
                <w:b w:val="0"/>
                <w:bCs w:val="0"/>
                <w:noProof/>
                <w:color w:val="auto"/>
                <w:sz w:val="20"/>
                <w:szCs w:val="20"/>
              </w:rPr>
              <w:t>Lack of scale and scope of European cloud and AI computing service providers</w:t>
            </w:r>
          </w:p>
          <w:p w14:paraId="4BB0D396" w14:textId="40C9E78A" w:rsidR="001161F8" w:rsidRDefault="00016981" w:rsidP="005B539C">
            <w:pPr>
              <w:spacing w:after="120"/>
              <w:jc w:val="left"/>
              <w:rPr>
                <w:noProof/>
                <w:color w:val="auto"/>
                <w:sz w:val="20"/>
                <w:szCs w:val="20"/>
              </w:rPr>
            </w:pPr>
            <w:r w:rsidRPr="00785384">
              <w:rPr>
                <w:b w:val="0"/>
                <w:bCs w:val="0"/>
                <w:noProof/>
                <w:color w:val="auto"/>
                <w:sz w:val="20"/>
                <w:szCs w:val="20"/>
              </w:rPr>
              <w:t>PD2: Bottlenecks to expand data centre capacity</w:t>
            </w:r>
            <w:r w:rsidR="000441CA" w:rsidRPr="00785384">
              <w:rPr>
                <w:b w:val="0"/>
                <w:bCs w:val="0"/>
                <w:noProof/>
                <w:color w:val="auto"/>
                <w:sz w:val="20"/>
                <w:szCs w:val="20"/>
              </w:rPr>
              <w:t xml:space="preserve"> in the EU</w:t>
            </w:r>
          </w:p>
          <w:p w14:paraId="4D9C391C" w14:textId="77777777" w:rsidR="000D3C30" w:rsidRDefault="000D3C30" w:rsidP="005B539C">
            <w:pPr>
              <w:spacing w:after="120"/>
              <w:jc w:val="left"/>
              <w:rPr>
                <w:noProof/>
                <w:color w:val="auto"/>
                <w:sz w:val="20"/>
                <w:szCs w:val="20"/>
              </w:rPr>
            </w:pPr>
          </w:p>
          <w:p w14:paraId="46510FEA" w14:textId="77777777" w:rsidR="000D3C30" w:rsidRDefault="000D3C30" w:rsidP="005B539C">
            <w:pPr>
              <w:spacing w:after="120"/>
              <w:jc w:val="left"/>
              <w:rPr>
                <w:noProof/>
                <w:color w:val="auto"/>
                <w:sz w:val="20"/>
                <w:szCs w:val="20"/>
              </w:rPr>
            </w:pPr>
          </w:p>
          <w:p w14:paraId="57FA94A4" w14:textId="77777777" w:rsidR="000D3C30" w:rsidRDefault="000D3C30" w:rsidP="005B539C">
            <w:pPr>
              <w:spacing w:after="120"/>
              <w:jc w:val="left"/>
              <w:rPr>
                <w:noProof/>
                <w:color w:val="auto"/>
                <w:sz w:val="20"/>
                <w:szCs w:val="20"/>
              </w:rPr>
            </w:pPr>
          </w:p>
          <w:p w14:paraId="04B1E9E0" w14:textId="77777777" w:rsidR="000D3C30" w:rsidRDefault="000D3C30" w:rsidP="005B539C">
            <w:pPr>
              <w:spacing w:after="120"/>
              <w:jc w:val="left"/>
              <w:rPr>
                <w:noProof/>
                <w:color w:val="auto"/>
                <w:sz w:val="20"/>
                <w:szCs w:val="20"/>
              </w:rPr>
            </w:pPr>
          </w:p>
          <w:p w14:paraId="3856270A" w14:textId="77777777" w:rsidR="000D3C30" w:rsidRPr="00785384" w:rsidRDefault="000D3C30" w:rsidP="005B539C">
            <w:pPr>
              <w:spacing w:after="120"/>
              <w:jc w:val="left"/>
              <w:rPr>
                <w:b w:val="0"/>
                <w:bCs w:val="0"/>
                <w:noProof/>
                <w:color w:val="auto"/>
                <w:sz w:val="20"/>
                <w:szCs w:val="20"/>
              </w:rPr>
            </w:pPr>
          </w:p>
          <w:p w14:paraId="21AC4E44" w14:textId="5A0916D0" w:rsidR="001161F8" w:rsidRPr="00785384" w:rsidRDefault="001161F8" w:rsidP="005B539C">
            <w:pPr>
              <w:spacing w:after="120"/>
              <w:jc w:val="left"/>
              <w:rPr>
                <w:b w:val="0"/>
                <w:bCs w:val="0"/>
                <w:noProof/>
                <w:color w:val="auto"/>
                <w:sz w:val="20"/>
                <w:szCs w:val="20"/>
              </w:rPr>
            </w:pPr>
          </w:p>
        </w:tc>
        <w:tc>
          <w:tcPr>
            <w:tcW w:w="800" w:type="pct"/>
            <w:shd w:val="clear" w:color="auto" w:fill="FFFFFF" w:themeFill="background1"/>
          </w:tcPr>
          <w:p w14:paraId="59944715" w14:textId="0D190707" w:rsidR="00413427" w:rsidRDefault="008949C3" w:rsidP="00040D99">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8949C3">
              <w:rPr>
                <w:noProof/>
                <w:color w:val="auto"/>
                <w:sz w:val="20"/>
                <w:szCs w:val="20"/>
              </w:rPr>
              <w:t>P1: Limited and</w:t>
            </w:r>
            <w:r w:rsidR="00040D99">
              <w:rPr>
                <w:noProof/>
                <w:color w:val="auto"/>
                <w:sz w:val="20"/>
                <w:szCs w:val="20"/>
              </w:rPr>
              <w:t xml:space="preserve"> </w:t>
            </w:r>
            <w:r w:rsidRPr="008949C3">
              <w:rPr>
                <w:noProof/>
                <w:color w:val="auto"/>
                <w:sz w:val="20"/>
                <w:szCs w:val="20"/>
              </w:rPr>
              <w:t>geographically concentrated availability of computing capacity in the EU</w:t>
            </w:r>
          </w:p>
          <w:p w14:paraId="743D3D48" w14:textId="77777777" w:rsidR="00040D99" w:rsidRDefault="00040D99"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019E94C0"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67A31791"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0BBB6995"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12DFD000"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1352C60F"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2B92E04E"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5851C9E3"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22F39EE3"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1AE9E516" w14:textId="77777777" w:rsidR="000D3C30" w:rsidRDefault="000D3C30"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6A433B73" w14:textId="418EDF9F" w:rsidR="00040D99" w:rsidRPr="00201C2C" w:rsidRDefault="00040D99" w:rsidP="005B539C">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p>
        </w:tc>
        <w:tc>
          <w:tcPr>
            <w:tcW w:w="1507" w:type="pct"/>
            <w:shd w:val="clear" w:color="auto" w:fill="FFFFFF" w:themeFill="background1"/>
          </w:tcPr>
          <w:p w14:paraId="42E83D73" w14:textId="77777777" w:rsidR="00C5035A" w:rsidRDefault="00413427"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Supply grows but is outpaced by demand for compute</w:t>
            </w:r>
          </w:p>
          <w:p w14:paraId="304CA62F" w14:textId="5F5C4163" w:rsidR="00413427" w:rsidRPr="00335702" w:rsidRDefault="00413427"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EU share of global compute declines.</w:t>
            </w:r>
          </w:p>
          <w:p w14:paraId="07903923" w14:textId="77777777" w:rsidR="00413427" w:rsidRPr="00335702" w:rsidRDefault="00413427"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Average project lead time ≥ 3 years; grid and permitting delays persist.</w:t>
            </w:r>
          </w:p>
          <w:p w14:paraId="42ECA1F2" w14:textId="77777777" w:rsidR="00413427" w:rsidRPr="00335702" w:rsidRDefault="00413427"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Enterprise AI use rises to 40 %, below Digital Decade target (75 % cloud, 75 % AI use in enterprises).</w:t>
            </w:r>
          </w:p>
          <w:p w14:paraId="6BB1E97F" w14:textId="77777777" w:rsidR="000D3C30" w:rsidRDefault="000D3C30" w:rsidP="000D3C30">
            <w:pPr>
              <w:pStyle w:val="ListParagraph"/>
              <w:spacing w:after="0"/>
              <w:ind w:left="204"/>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72F87313" w14:textId="77777777" w:rsidR="000D3C30" w:rsidRPr="00335702" w:rsidRDefault="000D3C30" w:rsidP="000D3C30">
            <w:pPr>
              <w:pStyle w:val="ListParagraph"/>
              <w:spacing w:after="0"/>
              <w:ind w:left="204"/>
              <w:cnfStyle w:val="000000000000" w:firstRow="0" w:lastRow="0" w:firstColumn="0" w:lastColumn="0" w:oddVBand="0" w:evenVBand="0" w:oddHBand="0" w:evenHBand="0" w:firstRowFirstColumn="0" w:firstRowLastColumn="0" w:lastRowFirstColumn="0" w:lastRowLastColumn="0"/>
              <w:rPr>
                <w:noProof/>
                <w:color w:val="auto"/>
                <w:sz w:val="20"/>
                <w:szCs w:val="20"/>
              </w:rPr>
            </w:pPr>
          </w:p>
          <w:p w14:paraId="39EFD95D" w14:textId="584B4F84" w:rsidR="00413427" w:rsidRPr="00DF213D" w:rsidRDefault="00413427" w:rsidP="00DF213D">
            <w:pPr>
              <w:spacing w:after="0"/>
              <w:cnfStyle w:val="000000000000" w:firstRow="0" w:lastRow="0" w:firstColumn="0" w:lastColumn="0" w:oddVBand="0" w:evenVBand="0" w:oddHBand="0" w:evenHBand="0" w:firstRowFirstColumn="0" w:firstRowLastColumn="0" w:lastRowFirstColumn="0" w:lastRowLastColumn="0"/>
              <w:rPr>
                <w:noProof/>
                <w:sz w:val="20"/>
                <w:szCs w:val="20"/>
              </w:rPr>
            </w:pPr>
          </w:p>
        </w:tc>
        <w:tc>
          <w:tcPr>
            <w:tcW w:w="1848" w:type="pct"/>
            <w:shd w:val="clear" w:color="auto" w:fill="FFFFFF" w:themeFill="background1"/>
          </w:tcPr>
          <w:p w14:paraId="32D7DBA9" w14:textId="77777777" w:rsidR="005D5C17" w:rsidRDefault="00F343C6" w:rsidP="005D5C17">
            <w:pPr>
              <w:spacing w:after="0"/>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w:t>
            </w:r>
            <w:r w:rsidRPr="005D5C17">
              <w:rPr>
                <w:i/>
                <w:iCs/>
                <w:noProof/>
                <w:color w:val="auto"/>
                <w:sz w:val="20"/>
                <w:szCs w:val="20"/>
              </w:rPr>
              <w:t>SO1: Increase computing capacity in the EU through innovative and sustainable technologies</w:t>
            </w:r>
            <w:r w:rsidRPr="00164B51">
              <w:rPr>
                <w:noProof/>
                <w:color w:val="auto"/>
                <w:sz w:val="20"/>
                <w:szCs w:val="20"/>
              </w:rPr>
              <w:t>”</w:t>
            </w:r>
            <w:r w:rsidR="005D5C17">
              <w:rPr>
                <w:noProof/>
                <w:color w:val="auto"/>
                <w:sz w:val="20"/>
                <w:szCs w:val="20"/>
              </w:rPr>
              <w:t xml:space="preserve">:  </w:t>
            </w:r>
            <w:r w:rsidRPr="00164B51">
              <w:rPr>
                <w:noProof/>
                <w:color w:val="auto"/>
                <w:sz w:val="20"/>
                <w:szCs w:val="20"/>
              </w:rPr>
              <w:t>an increase in capacity is foreseen with a 9% CAGR. However</w:t>
            </w:r>
            <w:r w:rsidR="00DE222F" w:rsidRPr="00164B51">
              <w:rPr>
                <w:noProof/>
                <w:color w:val="auto"/>
                <w:sz w:val="20"/>
                <w:szCs w:val="20"/>
              </w:rPr>
              <w:t>, the industry’s demand for energy will continue to grow. Without strategic energy planning and a focus on sustainable infrastructures, data centre expansion will challenge existing data centre hubs and regions with high strain on natural resources, at the risk of crowding out electrification objectives in other sectors and generating increasing public opposition</w:t>
            </w:r>
            <w:r w:rsidR="00056657" w:rsidRPr="00164B51">
              <w:rPr>
                <w:noProof/>
                <w:color w:val="auto"/>
                <w:sz w:val="20"/>
                <w:szCs w:val="20"/>
              </w:rPr>
              <w:t>.</w:t>
            </w:r>
          </w:p>
          <w:p w14:paraId="4172A0DF" w14:textId="4096A516" w:rsidR="00413427" w:rsidRPr="005B539C" w:rsidRDefault="00F343C6" w:rsidP="006750EA">
            <w:pPr>
              <w:spacing w:after="0"/>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 xml:space="preserve">                                                                                                                                                                                 </w:t>
            </w:r>
            <w:r w:rsidR="00F15C2D" w:rsidRPr="00164B51">
              <w:rPr>
                <w:noProof/>
                <w:color w:val="auto"/>
                <w:sz w:val="20"/>
                <w:szCs w:val="20"/>
              </w:rPr>
              <w:t>“</w:t>
            </w:r>
            <w:r w:rsidRPr="005D5C17">
              <w:rPr>
                <w:i/>
                <w:noProof/>
                <w:color w:val="auto"/>
                <w:sz w:val="20"/>
                <w:szCs w:val="20"/>
              </w:rPr>
              <w:t xml:space="preserve">SO2: Ensure </w:t>
            </w:r>
            <w:r w:rsidR="007679D2" w:rsidRPr="005D5C17">
              <w:rPr>
                <w:i/>
                <w:noProof/>
                <w:color w:val="auto"/>
                <w:sz w:val="20"/>
                <w:szCs w:val="20"/>
              </w:rPr>
              <w:t>attractive conditions for the deployment of sustainable and innovative computing capacity</w:t>
            </w:r>
            <w:r w:rsidR="00F15C2D" w:rsidRPr="00164B51">
              <w:rPr>
                <w:noProof/>
                <w:color w:val="auto"/>
                <w:sz w:val="20"/>
                <w:szCs w:val="20"/>
              </w:rPr>
              <w:t>”</w:t>
            </w:r>
            <w:r w:rsidR="005D5C17">
              <w:rPr>
                <w:noProof/>
                <w:color w:val="auto"/>
                <w:sz w:val="20"/>
                <w:szCs w:val="20"/>
              </w:rPr>
              <w:t xml:space="preserve">: </w:t>
            </w:r>
            <w:r w:rsidR="006750EA" w:rsidRPr="00335702">
              <w:rPr>
                <w:noProof/>
                <w:color w:val="auto"/>
                <w:sz w:val="20"/>
                <w:szCs w:val="20"/>
              </w:rPr>
              <w:t xml:space="preserve"> This goal </w:t>
            </w:r>
            <w:r w:rsidR="00F15C2D" w:rsidRPr="00164B51">
              <w:rPr>
                <w:noProof/>
                <w:color w:val="auto"/>
                <w:sz w:val="20"/>
                <w:szCs w:val="20"/>
              </w:rPr>
              <w:t xml:space="preserve">will not </w:t>
            </w:r>
            <w:r w:rsidR="00736BDB" w:rsidRPr="00164B51">
              <w:rPr>
                <w:noProof/>
                <w:color w:val="auto"/>
                <w:sz w:val="20"/>
                <w:szCs w:val="20"/>
              </w:rPr>
              <w:t xml:space="preserve">be met consistently throughout the EU, with </w:t>
            </w:r>
            <w:r w:rsidR="00B65F3A" w:rsidRPr="00164B51">
              <w:rPr>
                <w:noProof/>
                <w:color w:val="auto"/>
                <w:sz w:val="20"/>
                <w:szCs w:val="20"/>
              </w:rPr>
              <w:t xml:space="preserve">geographical </w:t>
            </w:r>
            <w:r w:rsidR="006750EA" w:rsidRPr="00335702">
              <w:rPr>
                <w:noProof/>
                <w:color w:val="auto"/>
                <w:sz w:val="20"/>
                <w:szCs w:val="20"/>
              </w:rPr>
              <w:t>imbalances</w:t>
            </w:r>
            <w:r w:rsidR="00056657" w:rsidRPr="00164B51">
              <w:rPr>
                <w:noProof/>
                <w:color w:val="auto"/>
                <w:sz w:val="20"/>
                <w:szCs w:val="20"/>
              </w:rPr>
              <w:t xml:space="preserve"> and potential price increases across regions. </w:t>
            </w:r>
            <w:r w:rsidR="00B65F3A" w:rsidRPr="00164B51">
              <w:rPr>
                <w:noProof/>
                <w:color w:val="auto"/>
                <w:sz w:val="20"/>
                <w:szCs w:val="20"/>
              </w:rPr>
              <w:t xml:space="preserve"> </w:t>
            </w:r>
          </w:p>
        </w:tc>
      </w:tr>
      <w:tr w:rsidR="003B2B98" w:rsidRPr="00201C2C" w14:paraId="1AB10C9D" w14:textId="77777777" w:rsidTr="008C5E62">
        <w:tc>
          <w:tcPr>
            <w:cnfStyle w:val="001000000000" w:firstRow="0" w:lastRow="0" w:firstColumn="1" w:lastColumn="0" w:oddVBand="0" w:evenVBand="0" w:oddHBand="0" w:evenHBand="0" w:firstRowFirstColumn="0" w:firstRowLastColumn="0" w:lastRowFirstColumn="0" w:lastRowLastColumn="0"/>
            <w:tcW w:w="845" w:type="pct"/>
            <w:shd w:val="clear" w:color="auto" w:fill="FFFFFF" w:themeFill="background1"/>
          </w:tcPr>
          <w:p w14:paraId="29BD1FBA" w14:textId="77777777" w:rsidR="003B2B98" w:rsidRPr="00785384" w:rsidRDefault="003B2B98" w:rsidP="003B2B98">
            <w:pPr>
              <w:spacing w:after="120"/>
              <w:jc w:val="left"/>
              <w:rPr>
                <w:b w:val="0"/>
                <w:bCs w:val="0"/>
                <w:noProof/>
                <w:color w:val="auto"/>
                <w:sz w:val="20"/>
                <w:szCs w:val="20"/>
              </w:rPr>
            </w:pPr>
            <w:r w:rsidRPr="00785384">
              <w:rPr>
                <w:b w:val="0"/>
                <w:bCs w:val="0"/>
                <w:noProof/>
                <w:color w:val="auto"/>
                <w:sz w:val="20"/>
                <w:szCs w:val="20"/>
              </w:rPr>
              <w:t xml:space="preserve">PD3: </w:t>
            </w:r>
            <w:bookmarkStart w:id="349" w:name="_Hlk216119326"/>
            <w:r w:rsidRPr="00785384">
              <w:rPr>
                <w:b w:val="0"/>
                <w:bCs w:val="0"/>
                <w:noProof/>
                <w:color w:val="auto"/>
                <w:sz w:val="20"/>
                <w:szCs w:val="20"/>
              </w:rPr>
              <w:t>Limited public sector uptake of cloud and AI computing services supplied by European providers</w:t>
            </w:r>
            <w:bookmarkEnd w:id="349"/>
            <w:r w:rsidRPr="00785384">
              <w:rPr>
                <w:b w:val="0"/>
                <w:bCs w:val="0"/>
                <w:noProof/>
                <w:color w:val="auto"/>
                <w:sz w:val="20"/>
                <w:szCs w:val="20"/>
              </w:rPr>
              <w:t xml:space="preserve">   </w:t>
            </w:r>
          </w:p>
          <w:p w14:paraId="2E0AA78A" w14:textId="5776E734" w:rsidR="003B2B98" w:rsidRPr="00785384" w:rsidRDefault="003B2B98" w:rsidP="003B2B98">
            <w:pPr>
              <w:spacing w:after="120"/>
              <w:jc w:val="left"/>
              <w:rPr>
                <w:b w:val="0"/>
                <w:bCs w:val="0"/>
                <w:noProof/>
                <w:sz w:val="20"/>
                <w:szCs w:val="20"/>
              </w:rPr>
            </w:pPr>
            <w:r w:rsidRPr="00785384">
              <w:rPr>
                <w:b w:val="0"/>
                <w:bCs w:val="0"/>
                <w:noProof/>
                <w:color w:val="auto"/>
                <w:sz w:val="20"/>
                <w:szCs w:val="20"/>
              </w:rPr>
              <w:t>PD4: Absence of clarity around the concept of sovereign cloud and AI computing services</w:t>
            </w:r>
          </w:p>
        </w:tc>
        <w:tc>
          <w:tcPr>
            <w:tcW w:w="800" w:type="pct"/>
            <w:shd w:val="clear" w:color="auto" w:fill="FFFFFF" w:themeFill="background1"/>
          </w:tcPr>
          <w:p w14:paraId="2125B15A" w14:textId="77777777" w:rsidR="003B2B98" w:rsidRPr="00040D99" w:rsidRDefault="003B2B98" w:rsidP="003B2B98">
            <w:pPr>
              <w:spacing w:after="0"/>
              <w:jc w:val="left"/>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040D99">
              <w:rPr>
                <w:noProof/>
                <w:color w:val="auto"/>
                <w:sz w:val="20"/>
                <w:szCs w:val="20"/>
              </w:rPr>
              <w:t xml:space="preserve">P2: </w:t>
            </w:r>
          </w:p>
          <w:p w14:paraId="69CA2064" w14:textId="3E119453" w:rsidR="003B2B98" w:rsidRPr="008949C3" w:rsidRDefault="003B2B98" w:rsidP="003B2B98">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785384">
              <w:rPr>
                <w:noProof/>
                <w:color w:val="auto"/>
                <w:sz w:val="20"/>
                <w:szCs w:val="20"/>
              </w:rPr>
              <w:t>Dependence on cloud and AI computing services supplied by non-European providers</w:t>
            </w:r>
          </w:p>
        </w:tc>
        <w:tc>
          <w:tcPr>
            <w:tcW w:w="1507" w:type="pct"/>
            <w:shd w:val="clear" w:color="auto" w:fill="FFFFFF" w:themeFill="background1"/>
          </w:tcPr>
          <w:p w14:paraId="5C367190" w14:textId="77777777" w:rsidR="003B2B98" w:rsidRPr="00335702" w:rsidRDefault="003B2B98"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Market share of non-EU cloud providers remains 75-80%.</w:t>
            </w:r>
          </w:p>
          <w:p w14:paraId="2FAF8FC2" w14:textId="1BDF0343" w:rsidR="003B2B98" w:rsidRPr="00335702" w:rsidRDefault="003B2B98"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color w:val="auto"/>
                <w:sz w:val="20"/>
                <w:szCs w:val="20"/>
              </w:rPr>
            </w:pPr>
            <w:r w:rsidRPr="00164B51">
              <w:rPr>
                <w:noProof/>
                <w:color w:val="auto"/>
                <w:sz w:val="20"/>
                <w:szCs w:val="20"/>
              </w:rPr>
              <w:t xml:space="preserve">Cloud use in public services </w:t>
            </w:r>
            <w:r w:rsidR="00D03780">
              <w:rPr>
                <w:noProof/>
                <w:color w:val="auto"/>
                <w:sz w:val="20"/>
                <w:szCs w:val="20"/>
              </w:rPr>
              <w:t>remain</w:t>
            </w:r>
          </w:p>
          <w:p w14:paraId="0A498335" w14:textId="7D2AD546" w:rsidR="003B2B98" w:rsidRPr="00164B51" w:rsidRDefault="003B2B98" w:rsidP="00744B72">
            <w:pPr>
              <w:pStyle w:val="ListParagraph"/>
              <w:numPr>
                <w:ilvl w:val="0"/>
                <w:numId w:val="45"/>
              </w:numPr>
              <w:spacing w:after="0"/>
              <w:ind w:left="204" w:hanging="204"/>
              <w:cnfStyle w:val="000000000000" w:firstRow="0" w:lastRow="0" w:firstColumn="0" w:lastColumn="0" w:oddVBand="0" w:evenVBand="0" w:oddHBand="0" w:evenHBand="0" w:firstRowFirstColumn="0" w:firstRowLastColumn="0" w:lastRowFirstColumn="0" w:lastRowLastColumn="0"/>
              <w:rPr>
                <w:noProof/>
                <w:sz w:val="20"/>
                <w:szCs w:val="20"/>
              </w:rPr>
            </w:pPr>
            <w:r w:rsidRPr="00164B51">
              <w:rPr>
                <w:noProof/>
                <w:color w:val="auto"/>
                <w:sz w:val="20"/>
                <w:szCs w:val="20"/>
              </w:rPr>
              <w:t>Fragmented definitions persist; sovereignty and limited interoperability.</w:t>
            </w:r>
          </w:p>
        </w:tc>
        <w:tc>
          <w:tcPr>
            <w:tcW w:w="1848" w:type="pct"/>
            <w:shd w:val="clear" w:color="auto" w:fill="FFFFFF" w:themeFill="background1"/>
          </w:tcPr>
          <w:p w14:paraId="6D72A18E" w14:textId="3549E39C" w:rsidR="00AC0035" w:rsidRPr="00747B7A" w:rsidRDefault="00AC0035" w:rsidP="006750EA">
            <w:pPr>
              <w:spacing w:after="0"/>
              <w:cnfStyle w:val="000000000000" w:firstRow="0" w:lastRow="0" w:firstColumn="0" w:lastColumn="0" w:oddVBand="0" w:evenVBand="0" w:oddHBand="0" w:evenHBand="0" w:firstRowFirstColumn="0" w:firstRowLastColumn="0" w:lastRowFirstColumn="0" w:lastRowLastColumn="0"/>
              <w:rPr>
                <w:noProof/>
                <w:color w:val="000000" w:themeColor="text1"/>
                <w:sz w:val="20"/>
                <w:szCs w:val="20"/>
              </w:rPr>
            </w:pPr>
            <w:r w:rsidRPr="005D5C17">
              <w:rPr>
                <w:i/>
                <w:noProof/>
                <w:color w:val="000000" w:themeColor="text1"/>
                <w:sz w:val="20"/>
                <w:szCs w:val="20"/>
              </w:rPr>
              <w:t xml:space="preserve">SO3: </w:t>
            </w:r>
            <w:r w:rsidR="00FC3D9F" w:rsidRPr="005D5C17">
              <w:rPr>
                <w:i/>
                <w:noProof/>
                <w:color w:val="000000" w:themeColor="text1"/>
                <w:sz w:val="20"/>
                <w:szCs w:val="20"/>
              </w:rPr>
              <w:t>Decrease the overall reliance on non-European cloud and AI computing services</w:t>
            </w:r>
            <w:r w:rsidR="00747B7A">
              <w:rPr>
                <w:i/>
                <w:iCs/>
                <w:noProof/>
                <w:color w:val="000000" w:themeColor="text1"/>
                <w:sz w:val="20"/>
                <w:szCs w:val="20"/>
              </w:rPr>
              <w:t>:</w:t>
            </w:r>
            <w:r w:rsidR="002C26B3">
              <w:rPr>
                <w:i/>
                <w:iCs/>
                <w:noProof/>
                <w:color w:val="000000" w:themeColor="text1"/>
                <w:sz w:val="20"/>
                <w:szCs w:val="20"/>
              </w:rPr>
              <w:t xml:space="preserve"> </w:t>
            </w:r>
            <w:r w:rsidR="002C26B3" w:rsidRPr="00AE5FF4">
              <w:rPr>
                <w:noProof/>
                <w:color w:val="000000" w:themeColor="text1"/>
                <w:sz w:val="20"/>
                <w:szCs w:val="20"/>
              </w:rPr>
              <w:t>Without</w:t>
            </w:r>
            <w:r w:rsidR="00AE5FF4">
              <w:rPr>
                <w:noProof/>
                <w:color w:val="000000" w:themeColor="text1"/>
                <w:sz w:val="20"/>
                <w:szCs w:val="20"/>
              </w:rPr>
              <w:t xml:space="preserve"> incentives for </w:t>
            </w:r>
            <w:r w:rsidR="00396DE1">
              <w:rPr>
                <w:noProof/>
                <w:color w:val="000000" w:themeColor="text1"/>
                <w:sz w:val="20"/>
                <w:szCs w:val="20"/>
              </w:rPr>
              <w:t>European providers to grow</w:t>
            </w:r>
            <w:r w:rsidR="00954FA3">
              <w:rPr>
                <w:noProof/>
                <w:color w:val="000000" w:themeColor="text1"/>
                <w:sz w:val="20"/>
                <w:szCs w:val="20"/>
              </w:rPr>
              <w:t xml:space="preserve"> in their integrated offers as well as in the demand by main drivers of the economy such as the public sector, th</w:t>
            </w:r>
            <w:r w:rsidR="000A0028">
              <w:rPr>
                <w:noProof/>
                <w:color w:val="000000" w:themeColor="text1"/>
                <w:sz w:val="20"/>
                <w:szCs w:val="20"/>
              </w:rPr>
              <w:t>e dependency from non-EU providers</w:t>
            </w:r>
            <w:r w:rsidR="00954FA3">
              <w:rPr>
                <w:noProof/>
                <w:color w:val="000000" w:themeColor="text1"/>
                <w:sz w:val="20"/>
                <w:szCs w:val="20"/>
              </w:rPr>
              <w:t xml:space="preserve"> would </w:t>
            </w:r>
            <w:r w:rsidR="000A0028">
              <w:rPr>
                <w:noProof/>
                <w:color w:val="000000" w:themeColor="text1"/>
                <w:sz w:val="20"/>
                <w:szCs w:val="20"/>
              </w:rPr>
              <w:t>increase or remain the same in a positive scenario</w:t>
            </w:r>
            <w:r w:rsidR="00954FA3">
              <w:rPr>
                <w:noProof/>
                <w:color w:val="000000" w:themeColor="text1"/>
                <w:sz w:val="20"/>
                <w:szCs w:val="20"/>
              </w:rPr>
              <w:t>.</w:t>
            </w:r>
          </w:p>
          <w:p w14:paraId="413B4ACA" w14:textId="69B4FD3A" w:rsidR="003B2B98" w:rsidRPr="000A0028" w:rsidRDefault="00AC0035" w:rsidP="006750EA">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5D5C17">
              <w:rPr>
                <w:i/>
                <w:iCs/>
                <w:noProof/>
                <w:color w:val="000000" w:themeColor="text1"/>
                <w:sz w:val="20"/>
                <w:szCs w:val="20"/>
              </w:rPr>
              <w:t>SO4:</w:t>
            </w:r>
            <w:r w:rsidRPr="005D5C17">
              <w:rPr>
                <w:i/>
                <w:noProof/>
                <w:color w:val="000000" w:themeColor="text1"/>
                <w:sz w:val="20"/>
                <w:szCs w:val="20"/>
              </w:rPr>
              <w:t xml:space="preserve"> Contribute to the protection of fundamental interests of society by enhancing the resilience of supply of cloud and AI computing services, in particular in the public sector</w:t>
            </w:r>
            <w:r w:rsidR="00313623">
              <w:rPr>
                <w:i/>
                <w:iCs/>
                <w:noProof/>
                <w:color w:val="000000" w:themeColor="text1"/>
                <w:sz w:val="20"/>
                <w:szCs w:val="20"/>
              </w:rPr>
              <w:t xml:space="preserve">: </w:t>
            </w:r>
            <w:r w:rsidR="009E5FF4" w:rsidRPr="00BE5FE8">
              <w:rPr>
                <w:noProof/>
                <w:color w:val="000000" w:themeColor="text1"/>
                <w:sz w:val="20"/>
                <w:szCs w:val="20"/>
              </w:rPr>
              <w:t>Sovereign-washing would be likely to happen without a clear</w:t>
            </w:r>
            <w:r w:rsidR="00313623" w:rsidRPr="00BE5FE8">
              <w:rPr>
                <w:noProof/>
                <w:color w:val="000000" w:themeColor="text1"/>
                <w:sz w:val="20"/>
                <w:szCs w:val="20"/>
              </w:rPr>
              <w:t xml:space="preserve"> definition of sovereign cloud and AI computing services and the associated enforcement mechanisms</w:t>
            </w:r>
            <w:r w:rsidR="00E73F05">
              <w:rPr>
                <w:noProof/>
                <w:color w:val="000000" w:themeColor="text1"/>
                <w:sz w:val="20"/>
                <w:szCs w:val="20"/>
              </w:rPr>
              <w:t>.</w:t>
            </w:r>
          </w:p>
        </w:tc>
      </w:tr>
    </w:tbl>
    <w:p w14:paraId="20DDBD02" w14:textId="77777777" w:rsidR="008C5E62" w:rsidRDefault="008C5E62" w:rsidP="008C5E62">
      <w:pPr>
        <w:spacing w:after="200" w:line="276" w:lineRule="auto"/>
        <w:jc w:val="left"/>
        <w:rPr>
          <w:noProof/>
        </w:rPr>
        <w:sectPr w:rsidR="008C5E62" w:rsidSect="008C5E62">
          <w:headerReference w:type="default" r:id="rId54"/>
          <w:footerReference w:type="default" r:id="rId55"/>
          <w:headerReference w:type="first" r:id="rId56"/>
          <w:footerReference w:type="first" r:id="rId57"/>
          <w:pgSz w:w="11906" w:h="16838"/>
          <w:pgMar w:top="1020" w:right="1700" w:bottom="1020" w:left="1587" w:header="601" w:footer="1077" w:gutter="0"/>
          <w:cols w:space="720"/>
          <w:titlePg/>
          <w:docGrid w:linePitch="326"/>
        </w:sectPr>
      </w:pPr>
    </w:p>
    <w:p w14:paraId="75A8CB5E" w14:textId="76240BCA" w:rsidR="008C5E62" w:rsidRDefault="008C5E62" w:rsidP="008C5E62">
      <w:pPr>
        <w:pStyle w:val="AnnexTitle"/>
        <w:rPr>
          <w:noProof/>
          <w:lang w:val="en-IE"/>
        </w:rPr>
      </w:pPr>
      <w:bookmarkStart w:id="350" w:name="_Toc228346957"/>
      <w:r w:rsidRPr="00D37004">
        <w:rPr>
          <w:noProof/>
          <w:lang w:val="en-IE"/>
        </w:rPr>
        <w:t xml:space="preserve">Annex </w:t>
      </w:r>
      <w:r>
        <w:rPr>
          <w:noProof/>
          <w:lang w:val="en-IE"/>
        </w:rPr>
        <w:t>10</w:t>
      </w:r>
      <w:r w:rsidRPr="00D37004">
        <w:rPr>
          <w:noProof/>
          <w:lang w:val="en-IE"/>
        </w:rPr>
        <w:t xml:space="preserve">. </w:t>
      </w:r>
      <w:r w:rsidR="00B07ACE">
        <w:rPr>
          <w:noProof/>
          <w:lang w:val="en-IE"/>
        </w:rPr>
        <w:t xml:space="preserve">CADA </w:t>
      </w:r>
      <w:r>
        <w:rPr>
          <w:noProof/>
          <w:lang w:val="en-IE"/>
        </w:rPr>
        <w:t>Intervention Logic</w:t>
      </w:r>
      <w:bookmarkEnd w:id="350"/>
      <w:r w:rsidRPr="00D37004">
        <w:rPr>
          <w:noProof/>
          <w:lang w:val="en-IE"/>
        </w:rPr>
        <w:t xml:space="preserve"> </w:t>
      </w:r>
    </w:p>
    <w:p w14:paraId="1B7A21D2" w14:textId="4D1C6205" w:rsidR="00B3394E" w:rsidRPr="00B3394E" w:rsidRDefault="005433A3">
      <w:pPr>
        <w:jc w:val="center"/>
        <w:rPr>
          <w:noProof/>
          <w:lang w:val="en-IE"/>
        </w:rPr>
      </w:pPr>
      <w:r>
        <w:rPr>
          <w:noProof/>
          <w:lang w:eastAsia="en-GB"/>
        </w:rPr>
        <w:drawing>
          <wp:inline distT="0" distB="0" distL="0" distR="0" wp14:anchorId="0D4D95DD" wp14:editId="17395F75">
            <wp:extent cx="9247505" cy="5050927"/>
            <wp:effectExtent l="0" t="0" r="0" b="0"/>
            <wp:docPr id="555067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277437" cy="5067275"/>
                    </a:xfrm>
                    <a:prstGeom prst="rect">
                      <a:avLst/>
                    </a:prstGeom>
                    <a:noFill/>
                  </pic:spPr>
                </pic:pic>
              </a:graphicData>
            </a:graphic>
          </wp:inline>
        </w:drawing>
      </w:r>
    </w:p>
    <w:p w14:paraId="6B6568FE" w14:textId="08147217" w:rsidR="008C5E62" w:rsidRDefault="008C5E62" w:rsidP="008C5E62">
      <w:pPr>
        <w:rPr>
          <w:noProof/>
          <w:lang w:val="en-IE"/>
        </w:rPr>
        <w:sectPr w:rsidR="008C5E62" w:rsidSect="008C5E62">
          <w:headerReference w:type="default" r:id="rId59"/>
          <w:footerReference w:type="default" r:id="rId60"/>
          <w:headerReference w:type="first" r:id="rId61"/>
          <w:footerReference w:type="first" r:id="rId62"/>
          <w:pgSz w:w="16838" w:h="11906" w:orient="landscape"/>
          <w:pgMar w:top="1587" w:right="1020" w:bottom="1700" w:left="1020" w:header="601" w:footer="1077" w:gutter="0"/>
          <w:cols w:space="720"/>
          <w:titlePg/>
          <w:docGrid w:linePitch="326"/>
        </w:sectPr>
      </w:pPr>
    </w:p>
    <w:p w14:paraId="2C79C5D2" w14:textId="1EB6350D" w:rsidR="008C5E62" w:rsidRDefault="008C5E62" w:rsidP="008C5E62">
      <w:pPr>
        <w:pStyle w:val="AnnexTitle"/>
        <w:rPr>
          <w:noProof/>
          <w:lang w:val="en-IE"/>
        </w:rPr>
      </w:pPr>
      <w:bookmarkStart w:id="351" w:name="_Toc228346958"/>
      <w:r w:rsidRPr="00D37004">
        <w:rPr>
          <w:noProof/>
          <w:lang w:val="en-IE"/>
        </w:rPr>
        <w:t xml:space="preserve">Annex </w:t>
      </w:r>
      <w:r>
        <w:rPr>
          <w:noProof/>
          <w:lang w:val="en-IE"/>
        </w:rPr>
        <w:t>11</w:t>
      </w:r>
      <w:r w:rsidRPr="00D37004">
        <w:rPr>
          <w:noProof/>
          <w:lang w:val="en-IE"/>
        </w:rPr>
        <w:t xml:space="preserve">. </w:t>
      </w:r>
      <w:r>
        <w:rPr>
          <w:noProof/>
          <w:lang w:val="en-IE"/>
        </w:rPr>
        <w:t xml:space="preserve">Operational monitoring </w:t>
      </w:r>
      <w:r w:rsidR="002834C5">
        <w:rPr>
          <w:noProof/>
          <w:lang w:val="en-IE"/>
        </w:rPr>
        <w:t xml:space="preserve">and evaluation </w:t>
      </w:r>
      <w:r>
        <w:rPr>
          <w:noProof/>
          <w:lang w:val="en-IE"/>
        </w:rPr>
        <w:t>system</w:t>
      </w:r>
      <w:bookmarkEnd w:id="351"/>
      <w:r w:rsidR="00134D02">
        <w:rPr>
          <w:noProof/>
          <w:lang w:val="en-IE"/>
        </w:rPr>
        <w:t xml:space="preserve"> </w:t>
      </w:r>
    </w:p>
    <w:p w14:paraId="4A420B7D" w14:textId="6209641A" w:rsidR="008C5E62" w:rsidRPr="003A37F1" w:rsidRDefault="008C5E62" w:rsidP="00595E45">
      <w:pPr>
        <w:spacing w:after="120"/>
        <w:rPr>
          <w:noProof/>
          <w:lang w:val="en-IE"/>
        </w:rPr>
      </w:pPr>
      <w:r>
        <w:rPr>
          <w:noProof/>
          <w:lang w:val="en-IE"/>
        </w:rPr>
        <w:t>The monitoring and evaluation framework has been designed as an integrated system that follows each level of the intervention logic, from outputs to outcomes and long-term impact, based on a coherent set of indicators and baseline values with targets, where available. The monitoring activities will be coordinated at EU level, with the European Commission (</w:t>
      </w:r>
      <w:r w:rsidR="00DE557D">
        <w:rPr>
          <w:noProof/>
          <w:lang w:val="en-IE"/>
        </w:rPr>
        <w:t>EC</w:t>
      </w:r>
      <w:r w:rsidR="00481773">
        <w:rPr>
          <w:noProof/>
          <w:lang w:val="en-IE"/>
        </w:rPr>
        <w:t>,</w:t>
      </w:r>
      <w:r w:rsidR="00DE557D">
        <w:rPr>
          <w:noProof/>
          <w:lang w:val="en-IE"/>
        </w:rPr>
        <w:t xml:space="preserve"> </w:t>
      </w:r>
      <w:r>
        <w:rPr>
          <w:noProof/>
          <w:lang w:val="en-IE"/>
        </w:rPr>
        <w:t xml:space="preserve">DG CONNECT) acting as the coordinator, with the support of relevant EU agencies and Member State authorities for possible data provision. The framework is defined to assess the indicators throughout the lifetime of the intervention and remain coherent with the five-year evaluation horizon. </w:t>
      </w:r>
    </w:p>
    <w:p w14:paraId="77E297F2" w14:textId="4AC36B07" w:rsidR="00793F21" w:rsidRDefault="00ED576F" w:rsidP="00595E45">
      <w:pPr>
        <w:spacing w:after="120"/>
        <w:rPr>
          <w:noProof/>
          <w:lang w:val="en-IE"/>
        </w:rPr>
      </w:pPr>
      <w:r>
        <w:rPr>
          <w:noProof/>
          <w:lang w:val="en-IE"/>
        </w:rPr>
        <w:t>B</w:t>
      </w:r>
      <w:r w:rsidR="002E5355">
        <w:rPr>
          <w:noProof/>
          <w:lang w:val="en-IE"/>
        </w:rPr>
        <w:t xml:space="preserve">elow </w:t>
      </w:r>
      <w:r>
        <w:rPr>
          <w:noProof/>
          <w:lang w:val="en-IE"/>
        </w:rPr>
        <w:t>are</w:t>
      </w:r>
      <w:r w:rsidR="002E5355">
        <w:rPr>
          <w:noProof/>
          <w:lang w:val="en-IE"/>
        </w:rPr>
        <w:t xml:space="preserve"> individual sections that describe</w:t>
      </w:r>
      <w:r w:rsidR="00386E90">
        <w:rPr>
          <w:noProof/>
          <w:lang w:val="en-IE"/>
        </w:rPr>
        <w:t xml:space="preserve"> how outputs, outcomes and impacts will be tracked over time, based on a coherent set of indicators for each level of the intervention logic (see Annex 10)</w:t>
      </w:r>
      <w:r w:rsidR="000B5594">
        <w:rPr>
          <w:noProof/>
          <w:lang w:val="en-IE"/>
        </w:rPr>
        <w:t xml:space="preserve">, accompanied with baseline </w:t>
      </w:r>
      <w:r w:rsidR="00220D90">
        <w:rPr>
          <w:noProof/>
          <w:lang w:val="en-IE"/>
        </w:rPr>
        <w:t>values and targets.</w:t>
      </w:r>
      <w:r w:rsidR="008067CD">
        <w:rPr>
          <w:noProof/>
          <w:lang w:val="en-IE"/>
        </w:rPr>
        <w:t xml:space="preserve"> Each</w:t>
      </w:r>
      <w:r w:rsidR="00D33DC8">
        <w:rPr>
          <w:noProof/>
          <w:lang w:val="en-IE"/>
        </w:rPr>
        <w:t xml:space="preserve"> table presents data sources, collection method, frequency of collection and the responsible entity for each data input. </w:t>
      </w:r>
    </w:p>
    <w:p w14:paraId="2EA73E98" w14:textId="5FEFA4A2" w:rsidR="0048362D" w:rsidRDefault="0048362D" w:rsidP="008C5E62">
      <w:pPr>
        <w:rPr>
          <w:noProof/>
        </w:rPr>
      </w:pPr>
      <w:r w:rsidRPr="0178ED8F">
        <w:rPr>
          <w:noProof/>
        </w:rPr>
        <w:t>The underlying assumption of this approach is that digital policies produce effects through various, interrelated channels, i.e. from investment, regulation, energy systems, infrastructure,</w:t>
      </w:r>
      <w:r w:rsidR="00667CC1" w:rsidRPr="0178ED8F">
        <w:rPr>
          <w:noProof/>
        </w:rPr>
        <w:t xml:space="preserve"> market dynamics and user behaviour, and over </w:t>
      </w:r>
      <w:r w:rsidR="001B0061" w:rsidRPr="0178ED8F">
        <w:rPr>
          <w:noProof/>
        </w:rPr>
        <w:t>different time horizons. As such, the monitoring and evaluation process is to be intended</w:t>
      </w:r>
      <w:r w:rsidR="002834C5" w:rsidRPr="0178ED8F">
        <w:rPr>
          <w:noProof/>
        </w:rPr>
        <w:t xml:space="preserve"> not only</w:t>
      </w:r>
      <w:r w:rsidR="001B0061" w:rsidRPr="0178ED8F">
        <w:rPr>
          <w:noProof/>
        </w:rPr>
        <w:t xml:space="preserve"> as </w:t>
      </w:r>
      <w:r w:rsidR="00BA06AA" w:rsidRPr="0178ED8F">
        <w:rPr>
          <w:noProof/>
        </w:rPr>
        <w:t xml:space="preserve">a tool to understand if the policy objectives have been met but also </w:t>
      </w:r>
      <w:r w:rsidR="00CF30D0" w:rsidRPr="0178ED8F">
        <w:rPr>
          <w:noProof/>
        </w:rPr>
        <w:t xml:space="preserve">as a learning mechanism to better inform </w:t>
      </w:r>
      <w:r w:rsidR="002834C5" w:rsidRPr="0178ED8F">
        <w:rPr>
          <w:noProof/>
        </w:rPr>
        <w:t xml:space="preserve">future policy </w:t>
      </w:r>
      <w:r w:rsidR="00CF30D0" w:rsidRPr="0178ED8F">
        <w:rPr>
          <w:noProof/>
        </w:rPr>
        <w:t>implementation</w:t>
      </w:r>
      <w:r w:rsidR="00F9785A" w:rsidRPr="0178ED8F">
        <w:rPr>
          <w:noProof/>
        </w:rPr>
        <w:t>.</w:t>
      </w:r>
      <w:r w:rsidR="00BA06AA" w:rsidRPr="0178ED8F">
        <w:rPr>
          <w:noProof/>
        </w:rPr>
        <w:t xml:space="preserve"> </w:t>
      </w:r>
      <w:r w:rsidRPr="0178ED8F">
        <w:rPr>
          <w:noProof/>
        </w:rPr>
        <w:t xml:space="preserve"> </w:t>
      </w:r>
    </w:p>
    <w:p w14:paraId="715254F4" w14:textId="2669C4D0" w:rsidR="00D33DC8" w:rsidRDefault="0091392C" w:rsidP="0091392C">
      <w:pPr>
        <w:pStyle w:val="Heading2"/>
        <w:numPr>
          <w:ilvl w:val="0"/>
          <w:numId w:val="102"/>
        </w:numPr>
        <w:rPr>
          <w:noProof/>
          <w:lang w:val="en-IE"/>
        </w:rPr>
      </w:pPr>
      <w:bookmarkStart w:id="352" w:name="_Toc228346959"/>
      <w:r>
        <w:rPr>
          <w:noProof/>
          <w:lang w:val="en-IE"/>
        </w:rPr>
        <w:t xml:space="preserve">Output </w:t>
      </w:r>
      <w:r w:rsidR="002A5AD0">
        <w:rPr>
          <w:noProof/>
          <w:lang w:val="en-IE"/>
        </w:rPr>
        <w:t>monitoring</w:t>
      </w:r>
      <w:r w:rsidR="00701126">
        <w:rPr>
          <w:noProof/>
          <w:lang w:val="en-IE"/>
        </w:rPr>
        <w:t>: deliver</w:t>
      </w:r>
      <w:r w:rsidR="00FD359E">
        <w:rPr>
          <w:noProof/>
          <w:lang w:val="en-IE"/>
        </w:rPr>
        <w:t>ables</w:t>
      </w:r>
      <w:r w:rsidR="00701126">
        <w:rPr>
          <w:noProof/>
          <w:lang w:val="en-IE"/>
        </w:rPr>
        <w:t xml:space="preserve"> and direct effects</w:t>
      </w:r>
      <w:bookmarkEnd w:id="352"/>
      <w:r>
        <w:rPr>
          <w:noProof/>
          <w:lang w:val="en-IE"/>
        </w:rPr>
        <w:t xml:space="preserve"> </w:t>
      </w:r>
    </w:p>
    <w:p w14:paraId="441C885B" w14:textId="2C867B7E" w:rsidR="00980102" w:rsidRPr="00980102" w:rsidRDefault="00980102" w:rsidP="00C16D95">
      <w:pPr>
        <w:pStyle w:val="Text2"/>
        <w:ind w:left="0"/>
        <w:rPr>
          <w:noProof/>
          <w:lang w:val="en-IE"/>
        </w:rPr>
      </w:pPr>
      <w:r>
        <w:rPr>
          <w:noProof/>
          <w:lang w:val="en-IE"/>
        </w:rPr>
        <w:t xml:space="preserve">At the output level, </w:t>
      </w:r>
      <w:r w:rsidR="0092336B">
        <w:rPr>
          <w:noProof/>
          <w:lang w:val="en-IE"/>
        </w:rPr>
        <w:t xml:space="preserve">monitoring focuses on the direct and immediate results of the intervention, </w:t>
      </w:r>
      <w:r w:rsidR="00FE11C6">
        <w:rPr>
          <w:noProof/>
          <w:lang w:val="en-IE"/>
        </w:rPr>
        <w:t>i.e.</w:t>
      </w:r>
      <w:r w:rsidR="0092336B">
        <w:rPr>
          <w:noProof/>
          <w:lang w:val="en-IE"/>
        </w:rPr>
        <w:t xml:space="preserve"> </w:t>
      </w:r>
      <w:r w:rsidR="002F71A1">
        <w:rPr>
          <w:noProof/>
          <w:lang w:val="en-IE"/>
        </w:rPr>
        <w:t>how the</w:t>
      </w:r>
      <w:r w:rsidR="00FE11C6">
        <w:rPr>
          <w:noProof/>
          <w:lang w:val="en-IE"/>
        </w:rPr>
        <w:t xml:space="preserve"> tools produced by the Cloud and AI Development Act have an immediate </w:t>
      </w:r>
      <w:r w:rsidR="00367052">
        <w:rPr>
          <w:noProof/>
          <w:lang w:val="en-IE"/>
        </w:rPr>
        <w:t>effect</w:t>
      </w:r>
      <w:r w:rsidR="00FE11C6">
        <w:rPr>
          <w:noProof/>
          <w:lang w:val="en-IE"/>
        </w:rPr>
        <w:t xml:space="preserve"> on</w:t>
      </w:r>
      <w:r w:rsidR="00574119">
        <w:rPr>
          <w:noProof/>
          <w:lang w:val="en-IE"/>
        </w:rPr>
        <w:t xml:space="preserve"> processes</w:t>
      </w:r>
      <w:r w:rsidR="00367052">
        <w:rPr>
          <w:noProof/>
          <w:lang w:val="en-IE"/>
        </w:rPr>
        <w:t xml:space="preserve"> and </w:t>
      </w:r>
      <w:r w:rsidR="008C32B1">
        <w:rPr>
          <w:noProof/>
          <w:lang w:val="en-IE"/>
        </w:rPr>
        <w:t>procurement dynamics. These outputs can be tracked using administrative data and information reported by operators</w:t>
      </w:r>
      <w:r w:rsidR="00105517">
        <w:rPr>
          <w:noProof/>
          <w:lang w:val="en-IE"/>
        </w:rPr>
        <w:t xml:space="preserve"> and Member States</w:t>
      </w:r>
      <w:r w:rsidR="00AC6701">
        <w:rPr>
          <w:noProof/>
          <w:lang w:val="en-IE"/>
        </w:rPr>
        <w:t xml:space="preserve">, </w:t>
      </w:r>
      <w:r w:rsidR="001C00E2">
        <w:rPr>
          <w:noProof/>
          <w:lang w:val="en-IE"/>
        </w:rPr>
        <w:t>typically quarterly and at the end of the first year</w:t>
      </w:r>
      <w:r w:rsidR="00992556">
        <w:rPr>
          <w:noProof/>
          <w:lang w:val="en-IE"/>
        </w:rPr>
        <w:t>/18 months after implementation</w:t>
      </w:r>
      <w:r w:rsidR="00AC6701">
        <w:rPr>
          <w:noProof/>
          <w:lang w:val="en-IE"/>
        </w:rPr>
        <w:t xml:space="preserve">. </w:t>
      </w:r>
      <w:r w:rsidR="00324A42">
        <w:rPr>
          <w:noProof/>
          <w:lang w:val="en-IE"/>
        </w:rPr>
        <w:t xml:space="preserve">Their goal is to ensure that the intervention is proceeding according to plan, and offer early warning on possible bottlenecks, which may need corrective measures during the implementation phase. </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822"/>
        <w:gridCol w:w="1313"/>
        <w:gridCol w:w="1115"/>
        <w:gridCol w:w="1238"/>
        <w:gridCol w:w="1285"/>
        <w:gridCol w:w="1087"/>
      </w:tblGrid>
      <w:tr w:rsidR="00D556B1" w:rsidRPr="00D74DE5" w14:paraId="5057240D" w14:textId="705FEDAA" w:rsidTr="00A93F6A">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1016" w:type="pct"/>
            <w:shd w:val="clear" w:color="auto" w:fill="0070C0"/>
            <w:vAlign w:val="center"/>
          </w:tcPr>
          <w:p w14:paraId="040BCBCF" w14:textId="229B9DB9" w:rsidR="00E90373" w:rsidRPr="00D74DE5" w:rsidRDefault="00E90373">
            <w:pPr>
              <w:spacing w:after="0"/>
              <w:rPr>
                <w:noProof/>
                <w:sz w:val="20"/>
                <w:szCs w:val="20"/>
              </w:rPr>
            </w:pPr>
            <w:r>
              <w:rPr>
                <w:noProof/>
                <w:sz w:val="20"/>
                <w:szCs w:val="20"/>
              </w:rPr>
              <w:t>Indicator</w:t>
            </w:r>
          </w:p>
        </w:tc>
        <w:tc>
          <w:tcPr>
            <w:tcW w:w="477" w:type="pct"/>
            <w:shd w:val="clear" w:color="auto" w:fill="0070C0"/>
            <w:vAlign w:val="center"/>
          </w:tcPr>
          <w:p w14:paraId="5396841D" w14:textId="22365C4C" w:rsidR="00E90373" w:rsidRPr="00D74DE5" w:rsidRDefault="00E90373" w:rsidP="00C16D95">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Baseline </w:t>
            </w:r>
          </w:p>
        </w:tc>
        <w:tc>
          <w:tcPr>
            <w:tcW w:w="763" w:type="pct"/>
            <w:shd w:val="clear" w:color="auto" w:fill="0070C0"/>
            <w:vAlign w:val="center"/>
          </w:tcPr>
          <w:p w14:paraId="789C4E44" w14:textId="5BCDB4C6" w:rsidR="00E90373" w:rsidRDefault="00E90373" w:rsidP="00C16D95">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Target</w:t>
            </w:r>
          </w:p>
        </w:tc>
        <w:tc>
          <w:tcPr>
            <w:tcW w:w="648" w:type="pct"/>
            <w:shd w:val="clear" w:color="auto" w:fill="0070C0"/>
            <w:vAlign w:val="center"/>
          </w:tcPr>
          <w:p w14:paraId="4E683018" w14:textId="11807D9B" w:rsidR="00E90373" w:rsidRDefault="00E90373" w:rsidP="00C16D95">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Data source</w:t>
            </w:r>
          </w:p>
        </w:tc>
        <w:tc>
          <w:tcPr>
            <w:tcW w:w="719" w:type="pct"/>
            <w:shd w:val="clear" w:color="auto" w:fill="0070C0"/>
            <w:vAlign w:val="center"/>
          </w:tcPr>
          <w:p w14:paraId="34FDBCA0" w14:textId="75BC5383" w:rsidR="00E90373" w:rsidRDefault="00E90373" w:rsidP="00C16D95">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Collection method</w:t>
            </w:r>
          </w:p>
        </w:tc>
        <w:tc>
          <w:tcPr>
            <w:tcW w:w="746" w:type="pct"/>
            <w:shd w:val="clear" w:color="auto" w:fill="0070C0"/>
            <w:vAlign w:val="center"/>
          </w:tcPr>
          <w:p w14:paraId="2CC71BE3" w14:textId="7DE0DB69" w:rsidR="00E90373" w:rsidRDefault="00E90373" w:rsidP="00C16D95">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Frequency </w:t>
            </w:r>
          </w:p>
        </w:tc>
        <w:tc>
          <w:tcPr>
            <w:tcW w:w="631" w:type="pct"/>
            <w:shd w:val="clear" w:color="auto" w:fill="0070C0"/>
            <w:vAlign w:val="center"/>
          </w:tcPr>
          <w:p w14:paraId="2B2D7D75" w14:textId="0B470CF8" w:rsidR="00E90373" w:rsidRDefault="00E90373" w:rsidP="00B83E74">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Responsible entity</w:t>
            </w:r>
          </w:p>
        </w:tc>
      </w:tr>
      <w:tr w:rsidR="00D556B1" w:rsidRPr="008B3EA7" w14:paraId="4838E18D" w14:textId="3F156036" w:rsidTr="00A93F6A">
        <w:trPr>
          <w:trHeight w:val="323"/>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4F0AE29C" w14:textId="7EAACE32" w:rsidR="00E90373" w:rsidRPr="007158F0" w:rsidRDefault="002F2B11" w:rsidP="00C16D95">
            <w:pPr>
              <w:spacing w:after="0"/>
              <w:rPr>
                <w:noProof/>
                <w:sz w:val="20"/>
                <w:szCs w:val="20"/>
              </w:rPr>
            </w:pPr>
            <w:r w:rsidRPr="008B3EA7">
              <w:rPr>
                <w:noProof/>
                <w:sz w:val="20"/>
                <w:szCs w:val="20"/>
              </w:rPr>
              <w:t xml:space="preserve">No. of national strategies for data centre and AI infrastructure deployment </w:t>
            </w:r>
          </w:p>
        </w:tc>
        <w:tc>
          <w:tcPr>
            <w:tcW w:w="477" w:type="pct"/>
            <w:shd w:val="clear" w:color="auto" w:fill="FFFFFF" w:themeFill="background1"/>
          </w:tcPr>
          <w:p w14:paraId="023BB91B" w14:textId="1B1DEDEA" w:rsidR="00E90373" w:rsidRPr="00C16D95" w:rsidRDefault="002F2B11">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&lt;</w:t>
            </w:r>
            <w:r w:rsidR="00101B24">
              <w:rPr>
                <w:noProof/>
                <w:sz w:val="20"/>
                <w:szCs w:val="20"/>
              </w:rPr>
              <w:t>10</w:t>
            </w:r>
            <w:r w:rsidR="00101B24" w:rsidRPr="008B3EA7">
              <w:rPr>
                <w:noProof/>
                <w:sz w:val="20"/>
                <w:szCs w:val="20"/>
              </w:rPr>
              <w:t xml:space="preserve">    </w:t>
            </w:r>
            <w:r w:rsidR="007104AA" w:rsidRPr="008B3EA7">
              <w:rPr>
                <w:noProof/>
                <w:sz w:val="20"/>
                <w:szCs w:val="20"/>
              </w:rPr>
              <w:t>(out of 27 MS)</w:t>
            </w:r>
          </w:p>
        </w:tc>
        <w:tc>
          <w:tcPr>
            <w:tcW w:w="763" w:type="pct"/>
            <w:shd w:val="clear" w:color="auto" w:fill="FFFFFF" w:themeFill="background1"/>
          </w:tcPr>
          <w:p w14:paraId="5824FB02" w14:textId="0E8C3F24" w:rsidR="00E90373" w:rsidRPr="00C16D95" w:rsidRDefault="007104A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178ED8F">
              <w:rPr>
                <w:noProof/>
                <w:sz w:val="20"/>
                <w:szCs w:val="20"/>
              </w:rPr>
              <w:t>&gt;</w:t>
            </w:r>
            <w:r w:rsidRPr="0178ED8F" w:rsidDel="00101B24">
              <w:rPr>
                <w:noProof/>
                <w:sz w:val="20"/>
                <w:szCs w:val="20"/>
              </w:rPr>
              <w:t xml:space="preserve">20 </w:t>
            </w:r>
            <w:r w:rsidR="008B3EA7" w:rsidRPr="0178ED8F" w:rsidDel="00101B24">
              <w:rPr>
                <w:noProof/>
                <w:sz w:val="20"/>
                <w:szCs w:val="20"/>
              </w:rPr>
              <w:t xml:space="preserve">      </w:t>
            </w:r>
            <w:r w:rsidR="005433A3" w:rsidDel="00101B24">
              <w:rPr>
                <w:noProof/>
                <w:sz w:val="20"/>
                <w:szCs w:val="20"/>
              </w:rPr>
              <w:t xml:space="preserve">           </w:t>
            </w:r>
            <w:r w:rsidRPr="0178ED8F">
              <w:rPr>
                <w:noProof/>
                <w:sz w:val="20"/>
                <w:szCs w:val="20"/>
              </w:rPr>
              <w:t>(out of 27 MS)</w:t>
            </w:r>
          </w:p>
        </w:tc>
        <w:tc>
          <w:tcPr>
            <w:tcW w:w="648" w:type="pct"/>
            <w:shd w:val="clear" w:color="auto" w:fill="FFFFFF" w:themeFill="background1"/>
          </w:tcPr>
          <w:p w14:paraId="6EAFCA8C" w14:textId="514ED419" w:rsidR="00E90373" w:rsidRPr="0047678A" w:rsidRDefault="007104AA">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it-IT"/>
              </w:rPr>
            </w:pPr>
            <w:r w:rsidRPr="008B3EA7">
              <w:rPr>
                <w:noProof/>
                <w:sz w:val="20"/>
                <w:szCs w:val="20"/>
                <w:lang w:val="en-IE"/>
              </w:rPr>
              <w:t>National authorities/ Ministries’ websites</w:t>
            </w:r>
            <w:r w:rsidRPr="008B3EA7">
              <w:rPr>
                <w:noProof/>
                <w:sz w:val="20"/>
                <w:szCs w:val="20"/>
                <w:lang w:val="it-IT"/>
              </w:rPr>
              <w:t xml:space="preserve"> </w:t>
            </w:r>
          </w:p>
        </w:tc>
        <w:tc>
          <w:tcPr>
            <w:tcW w:w="719" w:type="pct"/>
            <w:shd w:val="clear" w:color="auto" w:fill="FFFFFF" w:themeFill="background1"/>
          </w:tcPr>
          <w:p w14:paraId="3173BA4D" w14:textId="111BC3B7"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8B3EA7">
              <w:rPr>
                <w:noProof/>
                <w:sz w:val="20"/>
                <w:szCs w:val="20"/>
                <w:lang w:val="en-IE"/>
              </w:rPr>
              <w:t xml:space="preserve">Desk research </w:t>
            </w:r>
          </w:p>
        </w:tc>
        <w:tc>
          <w:tcPr>
            <w:tcW w:w="746" w:type="pct"/>
            <w:shd w:val="clear" w:color="auto" w:fill="FFFFFF" w:themeFill="background1"/>
          </w:tcPr>
          <w:p w14:paraId="43C1DC64" w14:textId="1C9CC91E" w:rsidR="00E90373" w:rsidRPr="0047678A"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it-IT"/>
              </w:rPr>
            </w:pPr>
            <w:r>
              <w:rPr>
                <w:noProof/>
                <w:sz w:val="20"/>
                <w:szCs w:val="20"/>
                <w:lang w:val="it-IT"/>
              </w:rPr>
              <w:t>Annual</w:t>
            </w:r>
          </w:p>
        </w:tc>
        <w:tc>
          <w:tcPr>
            <w:tcW w:w="631" w:type="pct"/>
            <w:shd w:val="clear" w:color="auto" w:fill="FFFFFF" w:themeFill="background1"/>
          </w:tcPr>
          <w:p w14:paraId="3218D0A2" w14:textId="0662EAA5" w:rsidR="00E90373" w:rsidRPr="008B3EA7"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8B3EA7">
              <w:rPr>
                <w:noProof/>
                <w:sz w:val="20"/>
                <w:szCs w:val="20"/>
                <w:lang w:val="en-IE"/>
              </w:rPr>
              <w:t>EC with MS validation</w:t>
            </w:r>
            <w:r w:rsidR="007104AA" w:rsidRPr="008B3EA7">
              <w:rPr>
                <w:noProof/>
                <w:sz w:val="20"/>
                <w:szCs w:val="20"/>
                <w:lang w:val="en-IE"/>
              </w:rPr>
              <w:t xml:space="preserve"> (if needed)</w:t>
            </w:r>
          </w:p>
        </w:tc>
      </w:tr>
      <w:tr w:rsidR="00D556B1" w:rsidRPr="008B3EA7" w14:paraId="06C6E00E" w14:textId="77777777" w:rsidTr="00A93F6A">
        <w:trPr>
          <w:trHeight w:val="373"/>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7203F68D" w14:textId="6B6389CD" w:rsidR="003C1257" w:rsidRPr="008B3EA7" w:rsidRDefault="003C1257" w:rsidP="003C1257">
            <w:pPr>
              <w:spacing w:after="0"/>
              <w:rPr>
                <w:noProof/>
                <w:sz w:val="20"/>
                <w:szCs w:val="20"/>
              </w:rPr>
            </w:pPr>
            <w:r w:rsidRPr="008B3EA7">
              <w:rPr>
                <w:noProof/>
                <w:sz w:val="20"/>
                <w:szCs w:val="20"/>
              </w:rPr>
              <w:t xml:space="preserve">No. of identified DC fast-track areas </w:t>
            </w:r>
          </w:p>
        </w:tc>
        <w:tc>
          <w:tcPr>
            <w:tcW w:w="477" w:type="pct"/>
            <w:shd w:val="clear" w:color="auto" w:fill="FFFFFF" w:themeFill="background1"/>
          </w:tcPr>
          <w:p w14:paraId="1D168499" w14:textId="6B1A1D84"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63</w:t>
            </w:r>
            <w:bookmarkStart w:id="353" w:name="_Ref221814707"/>
            <w:r w:rsidRPr="008B3EA7">
              <w:rPr>
                <w:rStyle w:val="FootnoteReference"/>
                <w:noProof/>
                <w:sz w:val="20"/>
                <w:szCs w:val="20"/>
              </w:rPr>
              <w:footnoteReference w:id="198"/>
            </w:r>
            <w:bookmarkEnd w:id="353"/>
          </w:p>
        </w:tc>
        <w:tc>
          <w:tcPr>
            <w:tcW w:w="763" w:type="pct"/>
            <w:shd w:val="clear" w:color="auto" w:fill="FFFFFF" w:themeFill="background1"/>
          </w:tcPr>
          <w:p w14:paraId="03E9A15A" w14:textId="4D1B561A"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&gt;5 per MS in the first year of implementation</w:t>
            </w:r>
          </w:p>
        </w:tc>
        <w:tc>
          <w:tcPr>
            <w:tcW w:w="648" w:type="pct"/>
            <w:shd w:val="clear" w:color="auto" w:fill="FFFFFF" w:themeFill="background1"/>
          </w:tcPr>
          <w:p w14:paraId="34DF9CEA" w14:textId="186D2B85"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lang w:val="en-IE"/>
              </w:rPr>
              <w:t>National authorities/ Ministries’</w:t>
            </w:r>
          </w:p>
        </w:tc>
        <w:tc>
          <w:tcPr>
            <w:tcW w:w="719" w:type="pct"/>
            <w:shd w:val="clear" w:color="auto" w:fill="FFFFFF" w:themeFill="background1"/>
          </w:tcPr>
          <w:p w14:paraId="01937EB9" w14:textId="58C878E5"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lang w:val="en-IE"/>
              </w:rPr>
              <w:t xml:space="preserve">Desk research </w:t>
            </w:r>
          </w:p>
        </w:tc>
        <w:tc>
          <w:tcPr>
            <w:tcW w:w="746" w:type="pct"/>
            <w:shd w:val="clear" w:color="auto" w:fill="FFFFFF" w:themeFill="background1"/>
          </w:tcPr>
          <w:p w14:paraId="12713E26" w14:textId="2F0FF9CB"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Annual</w:t>
            </w:r>
          </w:p>
        </w:tc>
        <w:tc>
          <w:tcPr>
            <w:tcW w:w="631" w:type="pct"/>
            <w:shd w:val="clear" w:color="auto" w:fill="FFFFFF" w:themeFill="background1"/>
          </w:tcPr>
          <w:p w14:paraId="1D6A0176" w14:textId="314AA4D5" w:rsidR="003C1257" w:rsidRPr="008B3EA7" w:rsidRDefault="003C1257" w:rsidP="003C125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lang w:val="en-IE"/>
              </w:rPr>
              <w:t>EC with MS validation</w:t>
            </w:r>
          </w:p>
        </w:tc>
      </w:tr>
      <w:tr w:rsidR="00D556B1" w:rsidRPr="00D74DE5" w14:paraId="357B7040" w14:textId="2F7448CE" w:rsidTr="00A93F6A">
        <w:trPr>
          <w:trHeight w:val="373"/>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5669D30A" w14:textId="38612C60" w:rsidR="00E90373" w:rsidRPr="007158F0" w:rsidRDefault="007B7328" w:rsidP="00C16D95">
            <w:pPr>
              <w:spacing w:after="0"/>
              <w:rPr>
                <w:noProof/>
                <w:sz w:val="20"/>
                <w:szCs w:val="20"/>
              </w:rPr>
            </w:pPr>
            <w:r w:rsidRPr="008B3EA7">
              <w:rPr>
                <w:noProof/>
                <w:sz w:val="20"/>
                <w:szCs w:val="20"/>
              </w:rPr>
              <w:t>Public funding instruments operational for energy-</w:t>
            </w:r>
            <w:r w:rsidR="00604A93" w:rsidRPr="008B3EA7">
              <w:rPr>
                <w:noProof/>
                <w:sz w:val="20"/>
                <w:szCs w:val="20"/>
              </w:rPr>
              <w:t>efficien</w:t>
            </w:r>
            <w:r w:rsidR="00604A93" w:rsidRPr="008B3EA7">
              <w:rPr>
                <w:b w:val="0"/>
                <w:bCs w:val="0"/>
                <w:noProof/>
                <w:sz w:val="20"/>
                <w:szCs w:val="20"/>
              </w:rPr>
              <w:t>t</w:t>
            </w:r>
            <w:r w:rsidR="00604A93" w:rsidRPr="008B3EA7">
              <w:rPr>
                <w:noProof/>
                <w:sz w:val="20"/>
                <w:szCs w:val="20"/>
              </w:rPr>
              <w:t xml:space="preserve"> technologies</w:t>
            </w:r>
            <w:r w:rsidRPr="008B3EA7">
              <w:rPr>
                <w:noProof/>
                <w:sz w:val="20"/>
                <w:szCs w:val="20"/>
              </w:rPr>
              <w:t>/ strategic projects</w:t>
            </w:r>
          </w:p>
        </w:tc>
        <w:tc>
          <w:tcPr>
            <w:tcW w:w="477" w:type="pct"/>
            <w:shd w:val="clear" w:color="auto" w:fill="FFFFFF" w:themeFill="background1"/>
          </w:tcPr>
          <w:p w14:paraId="3902A4DC" w14:textId="7A870F97" w:rsidR="00E90373" w:rsidRPr="00D74DE5" w:rsidRDefault="007B7328">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NA</w:t>
            </w:r>
          </w:p>
        </w:tc>
        <w:tc>
          <w:tcPr>
            <w:tcW w:w="763" w:type="pct"/>
            <w:shd w:val="clear" w:color="auto" w:fill="FFFFFF" w:themeFill="background1"/>
          </w:tcPr>
          <w:p w14:paraId="1488A1AA" w14:textId="0424060A" w:rsidR="00E90373" w:rsidRPr="00D74DE5" w:rsidRDefault="00604A9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Definition of</w:t>
            </w:r>
            <w:r w:rsidR="007B7328" w:rsidRPr="008B3EA7">
              <w:rPr>
                <w:noProof/>
                <w:sz w:val="20"/>
                <w:szCs w:val="20"/>
              </w:rPr>
              <w:t xml:space="preserve"> calls with clear eligibility rules </w:t>
            </w:r>
            <w:r w:rsidRPr="008B3EA7">
              <w:rPr>
                <w:noProof/>
                <w:sz w:val="20"/>
                <w:szCs w:val="20"/>
              </w:rPr>
              <w:t>and selection criteria</w:t>
            </w:r>
          </w:p>
        </w:tc>
        <w:tc>
          <w:tcPr>
            <w:tcW w:w="648" w:type="pct"/>
            <w:shd w:val="clear" w:color="auto" w:fill="FFFFFF" w:themeFill="background1"/>
          </w:tcPr>
          <w:p w14:paraId="0F100738" w14:textId="516D266F" w:rsidR="00E90373" w:rsidRPr="00D74DE5" w:rsidRDefault="00604A9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Internal</w:t>
            </w:r>
          </w:p>
        </w:tc>
        <w:tc>
          <w:tcPr>
            <w:tcW w:w="719" w:type="pct"/>
            <w:shd w:val="clear" w:color="auto" w:fill="FFFFFF" w:themeFill="background1"/>
          </w:tcPr>
          <w:p w14:paraId="1050A022" w14:textId="5A347055" w:rsidR="00E90373" w:rsidRPr="00D74DE5" w:rsidRDefault="00604A9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NA</w:t>
            </w:r>
          </w:p>
        </w:tc>
        <w:tc>
          <w:tcPr>
            <w:tcW w:w="746" w:type="pct"/>
            <w:shd w:val="clear" w:color="auto" w:fill="FFFFFF" w:themeFill="background1"/>
          </w:tcPr>
          <w:p w14:paraId="413E2B61" w14:textId="02608C4E" w:rsidR="00E90373" w:rsidRPr="00D74DE5" w:rsidRDefault="00604A9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Annual</w:t>
            </w:r>
            <w:r w:rsidR="002A5B18" w:rsidRPr="008B3EA7">
              <w:rPr>
                <w:noProof/>
                <w:sz w:val="20"/>
                <w:szCs w:val="20"/>
              </w:rPr>
              <w:t>/ every two years</w:t>
            </w:r>
          </w:p>
        </w:tc>
        <w:tc>
          <w:tcPr>
            <w:tcW w:w="631" w:type="pct"/>
            <w:shd w:val="clear" w:color="auto" w:fill="FFFFFF" w:themeFill="background1"/>
          </w:tcPr>
          <w:p w14:paraId="1B19E0E7" w14:textId="335A3CB3" w:rsidR="00E90373" w:rsidRPr="00D74DE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D556B1" w:rsidRPr="00D74DE5" w14:paraId="4F383FEE" w14:textId="69B1B796" w:rsidTr="00A93F6A">
        <w:trPr>
          <w:trHeight w:val="320"/>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44CAF56F" w14:textId="01F44092" w:rsidR="00E90373" w:rsidRPr="007158F0" w:rsidRDefault="0043242B" w:rsidP="00C16D95">
            <w:pPr>
              <w:spacing w:after="0"/>
              <w:rPr>
                <w:noProof/>
                <w:sz w:val="20"/>
                <w:szCs w:val="20"/>
              </w:rPr>
            </w:pPr>
            <w:r w:rsidRPr="008B3EA7">
              <w:rPr>
                <w:noProof/>
                <w:sz w:val="20"/>
                <w:szCs w:val="20"/>
              </w:rPr>
              <w:t xml:space="preserve">Monitoring framework for monitoring data centre capacity </w:t>
            </w:r>
          </w:p>
        </w:tc>
        <w:tc>
          <w:tcPr>
            <w:tcW w:w="477" w:type="pct"/>
            <w:shd w:val="clear" w:color="auto" w:fill="FFFFFF" w:themeFill="background1"/>
          </w:tcPr>
          <w:p w14:paraId="5BA7CB89" w14:textId="3B535BA1" w:rsidR="00E90373" w:rsidRPr="00D74DE5" w:rsidRDefault="003D11A8"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NA</w:t>
            </w:r>
          </w:p>
        </w:tc>
        <w:tc>
          <w:tcPr>
            <w:tcW w:w="763" w:type="pct"/>
            <w:shd w:val="clear" w:color="auto" w:fill="FFFFFF" w:themeFill="background1"/>
          </w:tcPr>
          <w:p w14:paraId="42215F74" w14:textId="5681E319" w:rsidR="00E90373" w:rsidRPr="00D74DE5" w:rsidRDefault="002A5B18"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 xml:space="preserve">Defined methodolog, reporting templates </w:t>
            </w:r>
          </w:p>
        </w:tc>
        <w:tc>
          <w:tcPr>
            <w:tcW w:w="648" w:type="pct"/>
            <w:shd w:val="clear" w:color="auto" w:fill="FFFFFF" w:themeFill="background1"/>
          </w:tcPr>
          <w:p w14:paraId="71A758E4" w14:textId="0D1A1C45" w:rsidR="00E90373" w:rsidRPr="00D74DE5" w:rsidRDefault="002A5B18"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Existing methodology and industry datasets</w:t>
            </w:r>
          </w:p>
        </w:tc>
        <w:tc>
          <w:tcPr>
            <w:tcW w:w="719" w:type="pct"/>
            <w:shd w:val="clear" w:color="auto" w:fill="FFFFFF" w:themeFill="background1"/>
          </w:tcPr>
          <w:p w14:paraId="400CDA29" w14:textId="75C79700" w:rsidR="00E90373" w:rsidRPr="00D74DE5" w:rsidRDefault="002A5B18"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Survey + desk research + interviews</w:t>
            </w:r>
          </w:p>
        </w:tc>
        <w:tc>
          <w:tcPr>
            <w:tcW w:w="746" w:type="pct"/>
            <w:shd w:val="clear" w:color="auto" w:fill="FFFFFF" w:themeFill="background1"/>
          </w:tcPr>
          <w:p w14:paraId="3D99E129" w14:textId="4623666B" w:rsidR="00E90373" w:rsidRPr="00D74DE5" w:rsidRDefault="002A5B18"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 xml:space="preserve">Once, </w:t>
            </w:r>
            <w:r w:rsidR="00374B61" w:rsidRPr="008B3EA7">
              <w:rPr>
                <w:noProof/>
                <w:sz w:val="20"/>
                <w:szCs w:val="20"/>
              </w:rPr>
              <w:t>to implement PM7</w:t>
            </w:r>
          </w:p>
        </w:tc>
        <w:tc>
          <w:tcPr>
            <w:tcW w:w="631" w:type="pct"/>
            <w:shd w:val="clear" w:color="auto" w:fill="FFFFFF" w:themeFill="background1"/>
          </w:tcPr>
          <w:p w14:paraId="61DCDD0B" w14:textId="36B627CD"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4107F4" w:rsidRPr="008B3EA7" w14:paraId="147A718C"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68D1B78A" w14:textId="0E44DF2E" w:rsidR="004107F4" w:rsidRPr="008B3EA7" w:rsidDel="00D556B1" w:rsidRDefault="004107F4" w:rsidP="003C1257">
            <w:pPr>
              <w:spacing w:after="0"/>
              <w:rPr>
                <w:noProof/>
                <w:sz w:val="20"/>
                <w:szCs w:val="20"/>
              </w:rPr>
            </w:pPr>
            <w:r>
              <w:rPr>
                <w:noProof/>
                <w:sz w:val="20"/>
                <w:szCs w:val="20"/>
              </w:rPr>
              <w:t>Cloud and AI development plans</w:t>
            </w:r>
          </w:p>
        </w:tc>
        <w:tc>
          <w:tcPr>
            <w:tcW w:w="477" w:type="pct"/>
            <w:shd w:val="clear" w:color="auto" w:fill="FFFFFF" w:themeFill="background1"/>
          </w:tcPr>
          <w:p w14:paraId="507B0A3D" w14:textId="23195F6E" w:rsidR="004107F4" w:rsidRPr="008B3EA7"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63" w:type="pct"/>
            <w:shd w:val="clear" w:color="auto" w:fill="FFFFFF" w:themeFill="background1"/>
          </w:tcPr>
          <w:p w14:paraId="1B44AF96" w14:textId="0F45BFF8" w:rsidR="004107F4" w:rsidRPr="008B3EA7" w:rsidDel="00D556B1"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&gt;20                  (out of 27 MS)</w:t>
            </w:r>
          </w:p>
        </w:tc>
        <w:tc>
          <w:tcPr>
            <w:tcW w:w="648" w:type="pct"/>
            <w:shd w:val="clear" w:color="auto" w:fill="FFFFFF" w:themeFill="background1"/>
          </w:tcPr>
          <w:p w14:paraId="3510D6C6" w14:textId="0ECAAFFF" w:rsidR="004107F4" w:rsidRPr="008B3EA7"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en-IE"/>
              </w:rPr>
              <w:t>National authorities/ Ministries’ websites</w:t>
            </w:r>
            <w:r>
              <w:rPr>
                <w:noProof/>
                <w:sz w:val="20"/>
                <w:szCs w:val="20"/>
                <w:lang w:val="it-IT"/>
              </w:rPr>
              <w:t xml:space="preserve"> </w:t>
            </w:r>
          </w:p>
        </w:tc>
        <w:tc>
          <w:tcPr>
            <w:tcW w:w="719" w:type="pct"/>
            <w:shd w:val="clear" w:color="auto" w:fill="FFFFFF" w:themeFill="background1"/>
          </w:tcPr>
          <w:p w14:paraId="620C3621" w14:textId="10CE8163" w:rsidR="004107F4" w:rsidRPr="008B3EA7"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en-IE"/>
              </w:rPr>
              <w:t xml:space="preserve">Desk research </w:t>
            </w:r>
          </w:p>
        </w:tc>
        <w:tc>
          <w:tcPr>
            <w:tcW w:w="746" w:type="pct"/>
            <w:shd w:val="clear" w:color="auto" w:fill="FFFFFF" w:themeFill="background1"/>
          </w:tcPr>
          <w:p w14:paraId="098585C7" w14:textId="5D466BD5" w:rsidR="004107F4" w:rsidRPr="008B3EA7"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it-IT"/>
              </w:rPr>
              <w:t>Annual</w:t>
            </w:r>
          </w:p>
        </w:tc>
        <w:tc>
          <w:tcPr>
            <w:tcW w:w="631" w:type="pct"/>
            <w:shd w:val="clear" w:color="auto" w:fill="FFFFFF" w:themeFill="background1"/>
          </w:tcPr>
          <w:p w14:paraId="6269EB72" w14:textId="71A3C569" w:rsidR="004107F4" w:rsidRPr="008B3EA7" w:rsidRDefault="00A93F6A"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en-IE"/>
              </w:rPr>
              <w:t>EC with MS validation (if needed)</w:t>
            </w:r>
          </w:p>
        </w:tc>
      </w:tr>
      <w:tr w:rsidR="00D556B1" w:rsidRPr="008B3EA7" w14:paraId="12862011"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4511BE38" w14:textId="1362FC46" w:rsidR="00031DD4" w:rsidRPr="008B3EA7" w:rsidRDefault="00235F59" w:rsidP="003C1257">
            <w:pPr>
              <w:spacing w:after="0"/>
              <w:rPr>
                <w:noProof/>
                <w:sz w:val="20"/>
                <w:szCs w:val="20"/>
              </w:rPr>
            </w:pPr>
            <w:r>
              <w:rPr>
                <w:noProof/>
                <w:sz w:val="20"/>
                <w:szCs w:val="20"/>
              </w:rPr>
              <w:t>Compliance rate with the sovereignty scheme by contracting authorities</w:t>
            </w:r>
          </w:p>
        </w:tc>
        <w:tc>
          <w:tcPr>
            <w:tcW w:w="477" w:type="pct"/>
            <w:shd w:val="clear" w:color="auto" w:fill="FFFFFF" w:themeFill="background1"/>
          </w:tcPr>
          <w:p w14:paraId="54BB43CF" w14:textId="0F0B2916" w:rsidR="00031DD4" w:rsidRPr="008B3EA7" w:rsidRDefault="00146ED9"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NA</w:t>
            </w:r>
          </w:p>
        </w:tc>
        <w:tc>
          <w:tcPr>
            <w:tcW w:w="763" w:type="pct"/>
            <w:shd w:val="clear" w:color="auto" w:fill="FFFFFF" w:themeFill="background1"/>
          </w:tcPr>
          <w:p w14:paraId="2F253165" w14:textId="53BBB85F" w:rsidR="00031DD4" w:rsidRPr="008B3EA7" w:rsidRDefault="00235F59"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Risk assessments and guidance </w:t>
            </w:r>
            <w:r w:rsidRPr="008B3EA7">
              <w:rPr>
                <w:noProof/>
                <w:sz w:val="20"/>
                <w:szCs w:val="20"/>
              </w:rPr>
              <w:t>consistently applied in major public tenders</w:t>
            </w:r>
          </w:p>
        </w:tc>
        <w:tc>
          <w:tcPr>
            <w:tcW w:w="648" w:type="pct"/>
            <w:shd w:val="clear" w:color="auto" w:fill="FFFFFF" w:themeFill="background1"/>
          </w:tcPr>
          <w:p w14:paraId="40E4B753" w14:textId="46FEE123" w:rsidR="00031DD4" w:rsidRPr="008B3EA7" w:rsidRDefault="00235F59"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TED data</w:t>
            </w:r>
            <w:r w:rsidR="00AB497E" w:rsidRPr="008B3EA7">
              <w:rPr>
                <w:noProof/>
                <w:sz w:val="20"/>
                <w:szCs w:val="20"/>
              </w:rPr>
              <w:t>, national authorities data</w:t>
            </w:r>
          </w:p>
        </w:tc>
        <w:tc>
          <w:tcPr>
            <w:tcW w:w="719" w:type="pct"/>
            <w:shd w:val="clear" w:color="auto" w:fill="FFFFFF" w:themeFill="background1"/>
          </w:tcPr>
          <w:p w14:paraId="2159B782" w14:textId="45559E9C" w:rsidR="00031DD4" w:rsidRPr="008B3EA7" w:rsidRDefault="00AB497E"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Desk research + interviews with MS representatives</w:t>
            </w:r>
          </w:p>
        </w:tc>
        <w:tc>
          <w:tcPr>
            <w:tcW w:w="746" w:type="pct"/>
            <w:shd w:val="clear" w:color="auto" w:fill="FFFFFF" w:themeFill="background1"/>
          </w:tcPr>
          <w:p w14:paraId="09E1AD3A" w14:textId="22DF0FCC" w:rsidR="00031DD4" w:rsidRPr="008B3EA7" w:rsidRDefault="00AB497E"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 xml:space="preserve">Annual, 1 year/ 18 months after implementation </w:t>
            </w:r>
          </w:p>
        </w:tc>
        <w:tc>
          <w:tcPr>
            <w:tcW w:w="631" w:type="pct"/>
            <w:shd w:val="clear" w:color="auto" w:fill="FFFFFF" w:themeFill="background1"/>
          </w:tcPr>
          <w:p w14:paraId="31BF49FC" w14:textId="76ED1282" w:rsidR="00031DD4" w:rsidRPr="008B3EA7" w:rsidRDefault="00AB497E" w:rsidP="003C1257">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EC with MS validation</w:t>
            </w:r>
          </w:p>
        </w:tc>
      </w:tr>
      <w:tr w:rsidR="004107F4" w:rsidRPr="008B3EA7" w14:paraId="163B9E76"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6CF51AD7" w14:textId="5A921C40" w:rsidR="004107F4" w:rsidRPr="008B3EA7" w:rsidRDefault="004107F4" w:rsidP="00AB497E">
            <w:pPr>
              <w:spacing w:after="0"/>
              <w:rPr>
                <w:noProof/>
                <w:sz w:val="20"/>
                <w:szCs w:val="20"/>
              </w:rPr>
            </w:pPr>
            <w:r>
              <w:rPr>
                <w:noProof/>
                <w:sz w:val="20"/>
                <w:szCs w:val="20"/>
              </w:rPr>
              <w:t xml:space="preserve">Number of sovereign services within the repository </w:t>
            </w:r>
          </w:p>
        </w:tc>
        <w:tc>
          <w:tcPr>
            <w:tcW w:w="477" w:type="pct"/>
            <w:shd w:val="clear" w:color="auto" w:fill="FFFFFF" w:themeFill="background1"/>
          </w:tcPr>
          <w:p w14:paraId="1213A9A3" w14:textId="2AE6E8DF" w:rsidR="004107F4" w:rsidRPr="008B3EA7" w:rsidRDefault="00707D5B"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63" w:type="pct"/>
            <w:shd w:val="clear" w:color="auto" w:fill="FFFFFF" w:themeFill="background1"/>
          </w:tcPr>
          <w:p w14:paraId="175F8BB0" w14:textId="77777777" w:rsidR="004107F4" w:rsidRPr="008B3EA7" w:rsidRDefault="004107F4"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p>
        </w:tc>
        <w:tc>
          <w:tcPr>
            <w:tcW w:w="648" w:type="pct"/>
            <w:shd w:val="clear" w:color="auto" w:fill="FFFFFF" w:themeFill="background1"/>
          </w:tcPr>
          <w:p w14:paraId="477E9EA0" w14:textId="45D150CD" w:rsidR="004107F4" w:rsidRPr="008B3EA7" w:rsidRDefault="001F1304"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Repository data</w:t>
            </w:r>
          </w:p>
        </w:tc>
        <w:tc>
          <w:tcPr>
            <w:tcW w:w="719" w:type="pct"/>
            <w:shd w:val="clear" w:color="auto" w:fill="FFFFFF" w:themeFill="background1"/>
          </w:tcPr>
          <w:p w14:paraId="5F984919" w14:textId="5A3E5A26" w:rsidR="004107F4" w:rsidRPr="008B3EA7" w:rsidRDefault="001F1304"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46" w:type="pct"/>
            <w:shd w:val="clear" w:color="auto" w:fill="FFFFFF" w:themeFill="background1"/>
          </w:tcPr>
          <w:p w14:paraId="70393047" w14:textId="30BB525C" w:rsidR="004107F4" w:rsidRPr="008B3EA7" w:rsidRDefault="001F1304"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631" w:type="pct"/>
            <w:shd w:val="clear" w:color="auto" w:fill="FFFFFF" w:themeFill="background1"/>
          </w:tcPr>
          <w:p w14:paraId="5CFDF8B8" w14:textId="2AA3CFFC" w:rsidR="004107F4" w:rsidRPr="008B3EA7" w:rsidRDefault="001F1304"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D556B1" w:rsidRPr="008B3EA7" w14:paraId="45138E9D"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69176975" w14:textId="7318F9C7" w:rsidR="00AB497E" w:rsidRPr="008B3EA7" w:rsidRDefault="00AB497E" w:rsidP="00AB497E">
            <w:pPr>
              <w:spacing w:after="0"/>
              <w:rPr>
                <w:noProof/>
                <w:sz w:val="20"/>
                <w:szCs w:val="20"/>
              </w:rPr>
            </w:pPr>
            <w:r w:rsidRPr="008B3EA7">
              <w:rPr>
                <w:noProof/>
                <w:sz w:val="20"/>
                <w:szCs w:val="20"/>
              </w:rPr>
              <w:t>Joint tenders/procurement mechanisms launched</w:t>
            </w:r>
          </w:p>
        </w:tc>
        <w:tc>
          <w:tcPr>
            <w:tcW w:w="477" w:type="pct"/>
            <w:shd w:val="clear" w:color="auto" w:fill="FFFFFF" w:themeFill="background1"/>
          </w:tcPr>
          <w:p w14:paraId="4235AD8E" w14:textId="1E7E06C0"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None</w:t>
            </w:r>
          </w:p>
        </w:tc>
        <w:tc>
          <w:tcPr>
            <w:tcW w:w="763" w:type="pct"/>
            <w:shd w:val="clear" w:color="auto" w:fill="FFFFFF" w:themeFill="background1"/>
          </w:tcPr>
          <w:p w14:paraId="20500AB0" w14:textId="03A352D1"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Functioning joint calls / tenders</w:t>
            </w:r>
          </w:p>
        </w:tc>
        <w:tc>
          <w:tcPr>
            <w:tcW w:w="648" w:type="pct"/>
            <w:shd w:val="clear" w:color="auto" w:fill="FFFFFF" w:themeFill="background1"/>
          </w:tcPr>
          <w:p w14:paraId="39B6BD35" w14:textId="33A86113"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TED data, national authorities data</w:t>
            </w:r>
          </w:p>
        </w:tc>
        <w:tc>
          <w:tcPr>
            <w:tcW w:w="719" w:type="pct"/>
            <w:shd w:val="clear" w:color="auto" w:fill="FFFFFF" w:themeFill="background1"/>
          </w:tcPr>
          <w:p w14:paraId="328567BB" w14:textId="5DA0DAFC"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Desk research + interviews with MS representatives</w:t>
            </w:r>
          </w:p>
        </w:tc>
        <w:tc>
          <w:tcPr>
            <w:tcW w:w="746" w:type="pct"/>
            <w:shd w:val="clear" w:color="auto" w:fill="FFFFFF" w:themeFill="background1"/>
          </w:tcPr>
          <w:p w14:paraId="42E943BB" w14:textId="7EFDE184"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 xml:space="preserve">Annual, 1 year/ 18 months after implementation </w:t>
            </w:r>
          </w:p>
        </w:tc>
        <w:tc>
          <w:tcPr>
            <w:tcW w:w="631" w:type="pct"/>
            <w:shd w:val="clear" w:color="auto" w:fill="FFFFFF" w:themeFill="background1"/>
          </w:tcPr>
          <w:p w14:paraId="09D82BC3" w14:textId="6CC17B56" w:rsidR="00AB497E" w:rsidRPr="008B3EA7" w:rsidRDefault="00AB497E" w:rsidP="00AB497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EC with MS validation</w:t>
            </w:r>
          </w:p>
        </w:tc>
      </w:tr>
      <w:tr w:rsidR="005068DE" w:rsidRPr="00D74DE5" w14:paraId="28CF7741"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27FD9DFB" w14:textId="31134C91" w:rsidR="005068DE" w:rsidRDefault="005068DE" w:rsidP="005A400A">
            <w:pPr>
              <w:spacing w:after="0"/>
              <w:rPr>
                <w:noProof/>
                <w:sz w:val="20"/>
                <w:szCs w:val="20"/>
              </w:rPr>
            </w:pPr>
            <w:r>
              <w:rPr>
                <w:noProof/>
                <w:sz w:val="20"/>
                <w:szCs w:val="20"/>
              </w:rPr>
              <w:t>EuroCloud platform establishment</w:t>
            </w:r>
          </w:p>
        </w:tc>
        <w:tc>
          <w:tcPr>
            <w:tcW w:w="477" w:type="pct"/>
            <w:shd w:val="clear" w:color="auto" w:fill="FFFFFF" w:themeFill="background1"/>
          </w:tcPr>
          <w:p w14:paraId="47A267F8" w14:textId="201BF5E7" w:rsidR="005068DE" w:rsidRPr="008B3EA7"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63" w:type="pct"/>
            <w:shd w:val="clear" w:color="auto" w:fill="FFFFFF" w:themeFill="background1"/>
          </w:tcPr>
          <w:p w14:paraId="3C7B815E" w14:textId="455EB5AD" w:rsidR="005068DE"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Functional platform within 1-2 years</w:t>
            </w:r>
          </w:p>
        </w:tc>
        <w:tc>
          <w:tcPr>
            <w:tcW w:w="648" w:type="pct"/>
            <w:shd w:val="clear" w:color="auto" w:fill="FFFFFF" w:themeFill="background1"/>
          </w:tcPr>
          <w:p w14:paraId="691EB8AE" w14:textId="17F89B15" w:rsidR="005068DE"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19" w:type="pct"/>
            <w:shd w:val="clear" w:color="auto" w:fill="FFFFFF" w:themeFill="background1"/>
          </w:tcPr>
          <w:p w14:paraId="5A9FDAA1" w14:textId="40089496" w:rsidR="005068DE"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46" w:type="pct"/>
            <w:shd w:val="clear" w:color="auto" w:fill="FFFFFF" w:themeFill="background1"/>
          </w:tcPr>
          <w:p w14:paraId="41933026" w14:textId="5993583A" w:rsidR="005068DE"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 1 year/ 18 months after implementation</w:t>
            </w:r>
          </w:p>
        </w:tc>
        <w:tc>
          <w:tcPr>
            <w:tcW w:w="631" w:type="pct"/>
            <w:shd w:val="clear" w:color="auto" w:fill="FFFFFF" w:themeFill="background1"/>
          </w:tcPr>
          <w:p w14:paraId="46AAFD97" w14:textId="2C949545" w:rsidR="005068DE" w:rsidRDefault="005068DE">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D556B1" w:rsidRPr="00D74DE5" w14:paraId="44091E1C" w14:textId="77777777" w:rsidTr="00A93F6A">
        <w:trPr>
          <w:trHeight w:val="352"/>
        </w:trPr>
        <w:tc>
          <w:tcPr>
            <w:cnfStyle w:val="001000000000" w:firstRow="0" w:lastRow="0" w:firstColumn="1" w:lastColumn="0" w:oddVBand="0" w:evenVBand="0" w:oddHBand="0" w:evenHBand="0" w:firstRowFirstColumn="0" w:firstRowLastColumn="0" w:lastRowFirstColumn="0" w:lastRowLastColumn="0"/>
            <w:tcW w:w="1016" w:type="pct"/>
            <w:shd w:val="clear" w:color="auto" w:fill="FFFFFF" w:themeFill="background1"/>
          </w:tcPr>
          <w:p w14:paraId="1FE8280F" w14:textId="698B29C4" w:rsidR="00E90373" w:rsidRDefault="00E90373" w:rsidP="005A400A">
            <w:pPr>
              <w:spacing w:after="0"/>
              <w:rPr>
                <w:noProof/>
                <w:sz w:val="20"/>
                <w:szCs w:val="20"/>
              </w:rPr>
            </w:pPr>
            <w:r>
              <w:rPr>
                <w:noProof/>
                <w:sz w:val="20"/>
                <w:szCs w:val="20"/>
              </w:rPr>
              <w:t>No. of public sector open source solutions released</w:t>
            </w:r>
          </w:p>
        </w:tc>
        <w:tc>
          <w:tcPr>
            <w:tcW w:w="477" w:type="pct"/>
            <w:shd w:val="clear" w:color="auto" w:fill="FFFFFF" w:themeFill="background1"/>
          </w:tcPr>
          <w:p w14:paraId="28559467" w14:textId="0AEB1F95" w:rsidR="00E90373" w:rsidRDefault="00CE098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8B3EA7">
              <w:rPr>
                <w:noProof/>
                <w:sz w:val="20"/>
                <w:szCs w:val="20"/>
              </w:rPr>
              <w:t>NA</w:t>
            </w:r>
          </w:p>
        </w:tc>
        <w:tc>
          <w:tcPr>
            <w:tcW w:w="763" w:type="pct"/>
            <w:shd w:val="clear" w:color="auto" w:fill="FFFFFF" w:themeFill="background1"/>
          </w:tcPr>
          <w:p w14:paraId="762AFBCC" w14:textId="366EAEDC" w:rsidR="00E90373"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Continuous increase</w:t>
            </w:r>
          </w:p>
        </w:tc>
        <w:tc>
          <w:tcPr>
            <w:tcW w:w="648" w:type="pct"/>
            <w:shd w:val="clear" w:color="auto" w:fill="FFFFFF" w:themeFill="background1"/>
          </w:tcPr>
          <w:p w14:paraId="6A0AACC7" w14:textId="1FC0C670" w:rsidR="00E90373"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OSS catalogue</w:t>
            </w:r>
          </w:p>
        </w:tc>
        <w:tc>
          <w:tcPr>
            <w:tcW w:w="719" w:type="pct"/>
            <w:shd w:val="clear" w:color="auto" w:fill="FFFFFF" w:themeFill="background1"/>
          </w:tcPr>
          <w:p w14:paraId="36934F3F" w14:textId="105BE369" w:rsidR="00E90373"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w:t>
            </w:r>
          </w:p>
        </w:tc>
        <w:tc>
          <w:tcPr>
            <w:tcW w:w="746" w:type="pct"/>
            <w:shd w:val="clear" w:color="auto" w:fill="FFFFFF" w:themeFill="background1"/>
          </w:tcPr>
          <w:p w14:paraId="4C53EE84" w14:textId="026D2E66" w:rsidR="00E90373"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631" w:type="pct"/>
            <w:shd w:val="clear" w:color="auto" w:fill="FFFFFF" w:themeFill="background1"/>
          </w:tcPr>
          <w:p w14:paraId="4AF2147F" w14:textId="58138854" w:rsidR="00E90373"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bl>
    <w:p w14:paraId="400CC8D6" w14:textId="4435EAF2" w:rsidR="00324A42" w:rsidRDefault="00633406" w:rsidP="00242AA9">
      <w:pPr>
        <w:pStyle w:val="Heading2"/>
        <w:numPr>
          <w:ilvl w:val="0"/>
          <w:numId w:val="102"/>
        </w:numPr>
        <w:spacing w:before="240"/>
        <w:ind w:left="482" w:hanging="482"/>
        <w:rPr>
          <w:noProof/>
          <w:lang w:val="en-IE"/>
        </w:rPr>
      </w:pPr>
      <w:bookmarkStart w:id="354" w:name="_Toc228346960"/>
      <w:r>
        <w:rPr>
          <w:noProof/>
          <w:lang w:val="en-IE"/>
        </w:rPr>
        <w:t xml:space="preserve">Outcome </w:t>
      </w:r>
      <w:r w:rsidR="00701126">
        <w:rPr>
          <w:noProof/>
          <w:lang w:val="en-IE"/>
        </w:rPr>
        <w:t xml:space="preserve">monitoring: </w:t>
      </w:r>
      <w:r w:rsidR="00A124BD">
        <w:rPr>
          <w:noProof/>
          <w:lang w:val="en-IE"/>
        </w:rPr>
        <w:t>mid-term change</w:t>
      </w:r>
      <w:bookmarkEnd w:id="354"/>
    </w:p>
    <w:p w14:paraId="03E22E90" w14:textId="7C924A3A" w:rsidR="00D87CB2" w:rsidRPr="00D87CB2" w:rsidRDefault="00D87CB2" w:rsidP="00D87CB2">
      <w:pPr>
        <w:pStyle w:val="Text2"/>
        <w:ind w:left="0"/>
        <w:rPr>
          <w:noProof/>
          <w:lang w:val="en-IE"/>
        </w:rPr>
      </w:pPr>
      <w:r>
        <w:rPr>
          <w:noProof/>
          <w:lang w:val="en-IE"/>
        </w:rPr>
        <w:t xml:space="preserve">Outcome monitoring assesses the medium-term impact of the intervention on market dynamics, user behaviours and overall ecosystem. </w:t>
      </w:r>
      <w:r w:rsidR="00F34E51">
        <w:rPr>
          <w:noProof/>
          <w:lang w:val="en-IE"/>
        </w:rPr>
        <w:t xml:space="preserve">Related indicators </w:t>
      </w:r>
      <w:r w:rsidR="00D80AEA">
        <w:rPr>
          <w:noProof/>
          <w:lang w:val="en-IE"/>
        </w:rPr>
        <w:t xml:space="preserve">can be measures through market data, structured surveys, procurement records etc. </w:t>
      </w:r>
      <w:r w:rsidR="003B650E">
        <w:rPr>
          <w:noProof/>
          <w:lang w:val="en-IE"/>
        </w:rPr>
        <w:t xml:space="preserve">Data collection could correspond to the evaluation phase of the intervention. </w:t>
      </w:r>
      <w:r w:rsidR="001F4608">
        <w:rPr>
          <w:noProof/>
          <w:lang w:val="en-IE"/>
        </w:rPr>
        <w:t xml:space="preserve">The monitoring framework is designed to identify key data </w:t>
      </w:r>
      <w:r w:rsidR="006009BC">
        <w:rPr>
          <w:noProof/>
          <w:lang w:val="en-IE"/>
        </w:rPr>
        <w:t xml:space="preserve">and ensure that this is collected from a wide range of stakeholders affected by the policy intervention. </w:t>
      </w:r>
    </w:p>
    <w:tbl>
      <w:tblPr>
        <w:tblStyle w:val="ListTable3-Accent5"/>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81"/>
        <w:gridCol w:w="1321"/>
        <w:gridCol w:w="1298"/>
        <w:gridCol w:w="1362"/>
        <w:gridCol w:w="1231"/>
        <w:gridCol w:w="1357"/>
      </w:tblGrid>
      <w:tr w:rsidR="0013617E" w:rsidRPr="00D74DE5" w14:paraId="4CC9FFD5" w14:textId="77777777" w:rsidTr="00546A53">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720" w:type="pct"/>
            <w:shd w:val="clear" w:color="auto" w:fill="0070C0"/>
            <w:vAlign w:val="center"/>
          </w:tcPr>
          <w:p w14:paraId="3E164CC7" w14:textId="77777777" w:rsidR="00E90373" w:rsidRPr="00D74DE5" w:rsidRDefault="00E90373">
            <w:pPr>
              <w:spacing w:after="0"/>
              <w:rPr>
                <w:noProof/>
                <w:sz w:val="20"/>
                <w:szCs w:val="20"/>
              </w:rPr>
            </w:pPr>
            <w:r>
              <w:rPr>
                <w:noProof/>
                <w:sz w:val="20"/>
                <w:szCs w:val="20"/>
              </w:rPr>
              <w:t>Indicator</w:t>
            </w:r>
          </w:p>
        </w:tc>
        <w:tc>
          <w:tcPr>
            <w:tcW w:w="525" w:type="pct"/>
            <w:shd w:val="clear" w:color="auto" w:fill="0070C0"/>
            <w:vAlign w:val="center"/>
          </w:tcPr>
          <w:p w14:paraId="788C316D" w14:textId="77777777" w:rsidR="00E90373" w:rsidRPr="00D74DE5"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Baseline</w:t>
            </w:r>
          </w:p>
        </w:tc>
        <w:tc>
          <w:tcPr>
            <w:tcW w:w="749" w:type="pct"/>
            <w:shd w:val="clear" w:color="auto" w:fill="0070C0"/>
            <w:vAlign w:val="center"/>
          </w:tcPr>
          <w:p w14:paraId="35511936"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Target</w:t>
            </w:r>
          </w:p>
        </w:tc>
        <w:tc>
          <w:tcPr>
            <w:tcW w:w="736" w:type="pct"/>
            <w:shd w:val="clear" w:color="auto" w:fill="0070C0"/>
            <w:vAlign w:val="center"/>
          </w:tcPr>
          <w:p w14:paraId="0340F4C7"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Data source</w:t>
            </w:r>
          </w:p>
        </w:tc>
        <w:tc>
          <w:tcPr>
            <w:tcW w:w="772" w:type="pct"/>
            <w:shd w:val="clear" w:color="auto" w:fill="0070C0"/>
            <w:vAlign w:val="center"/>
          </w:tcPr>
          <w:p w14:paraId="6DFB26B2" w14:textId="3745B52E"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Collection method</w:t>
            </w:r>
          </w:p>
        </w:tc>
        <w:tc>
          <w:tcPr>
            <w:tcW w:w="698" w:type="pct"/>
            <w:shd w:val="clear" w:color="auto" w:fill="0070C0"/>
            <w:vAlign w:val="center"/>
          </w:tcPr>
          <w:p w14:paraId="5708618B" w14:textId="1AD609CF"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Frequency </w:t>
            </w:r>
          </w:p>
        </w:tc>
        <w:tc>
          <w:tcPr>
            <w:tcW w:w="800" w:type="pct"/>
            <w:shd w:val="clear" w:color="auto" w:fill="0070C0"/>
            <w:vAlign w:val="center"/>
          </w:tcPr>
          <w:p w14:paraId="7792EB08"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Responsible entity</w:t>
            </w:r>
          </w:p>
        </w:tc>
      </w:tr>
      <w:tr w:rsidR="00E90373" w:rsidRPr="008E5F3C" w14:paraId="0C087C49" w14:textId="77777777" w:rsidTr="00546A53">
        <w:trPr>
          <w:trHeight w:val="1393"/>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669D8335" w14:textId="3255F0D6" w:rsidR="00E90373" w:rsidRPr="00D74DE5" w:rsidRDefault="00E90373" w:rsidP="00C16D95">
            <w:pPr>
              <w:spacing w:after="0"/>
              <w:rPr>
                <w:noProof/>
                <w:sz w:val="20"/>
                <w:szCs w:val="20"/>
              </w:rPr>
            </w:pPr>
            <w:r>
              <w:rPr>
                <w:noProof/>
                <w:sz w:val="20"/>
                <w:szCs w:val="20"/>
              </w:rPr>
              <w:t>Installed computing capacity in the EU (IT load)</w:t>
            </w:r>
            <w:r w:rsidR="00F9407F">
              <w:rPr>
                <w:noProof/>
                <w:sz w:val="20"/>
                <w:szCs w:val="20"/>
              </w:rPr>
              <w:t xml:space="preserve"> and across MS (outside existing hubs)</w:t>
            </w:r>
          </w:p>
        </w:tc>
        <w:tc>
          <w:tcPr>
            <w:tcW w:w="525" w:type="pct"/>
            <w:shd w:val="clear" w:color="auto" w:fill="FFFFFF" w:themeFill="background1"/>
          </w:tcPr>
          <w:p w14:paraId="43BF8037" w14:textId="7C0C7048"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12 GW</w:t>
            </w:r>
          </w:p>
        </w:tc>
        <w:tc>
          <w:tcPr>
            <w:tcW w:w="749" w:type="pct"/>
            <w:shd w:val="clear" w:color="auto" w:fill="FFFFFF" w:themeFill="background1"/>
          </w:tcPr>
          <w:p w14:paraId="24A69067" w14:textId="25A2DE46" w:rsidR="00E90373" w:rsidRPr="00C16D95" w:rsidRDefault="00E615AC">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en-IE"/>
              </w:rPr>
              <w:t>Additional operational IT load and AI infrastructure by</w:t>
            </w:r>
            <w:r w:rsidR="00E90373">
              <w:rPr>
                <w:noProof/>
                <w:sz w:val="20"/>
                <w:szCs w:val="20"/>
                <w:lang w:val="en-IE"/>
              </w:rPr>
              <w:t xml:space="preserve"> 2030</w:t>
            </w:r>
          </w:p>
        </w:tc>
        <w:tc>
          <w:tcPr>
            <w:tcW w:w="736" w:type="pct"/>
            <w:shd w:val="clear" w:color="auto" w:fill="FFFFFF" w:themeFill="background1"/>
          </w:tcPr>
          <w:p w14:paraId="24FE91C4" w14:textId="6B12CAB5" w:rsidR="00E90373" w:rsidRPr="00EC1027"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EC1027">
              <w:rPr>
                <w:noProof/>
                <w:sz w:val="20"/>
                <w:szCs w:val="20"/>
                <w:lang w:val="en-IE"/>
              </w:rPr>
              <w:t xml:space="preserve">Industry </w:t>
            </w:r>
            <w:r w:rsidR="00EC1027" w:rsidRPr="00EC1027">
              <w:rPr>
                <w:noProof/>
                <w:sz w:val="20"/>
                <w:szCs w:val="20"/>
                <w:lang w:val="en-IE"/>
              </w:rPr>
              <w:t xml:space="preserve">market studies and </w:t>
            </w:r>
            <w:r w:rsidRPr="00EC1027">
              <w:rPr>
                <w:noProof/>
                <w:sz w:val="20"/>
                <w:szCs w:val="20"/>
                <w:lang w:val="en-IE"/>
              </w:rPr>
              <w:t>datasets (EUDCA, DataCentre Map)</w:t>
            </w:r>
          </w:p>
        </w:tc>
        <w:tc>
          <w:tcPr>
            <w:tcW w:w="772" w:type="pct"/>
            <w:shd w:val="clear" w:color="auto" w:fill="FFFFFF" w:themeFill="background1"/>
          </w:tcPr>
          <w:p w14:paraId="552AD794" w14:textId="23B9F979"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743B56">
              <w:rPr>
                <w:noProof/>
                <w:sz w:val="20"/>
                <w:szCs w:val="20"/>
                <w:lang w:val="en-IE"/>
              </w:rPr>
              <w:t>Desk research + survey (see methodology above)</w:t>
            </w:r>
          </w:p>
        </w:tc>
        <w:tc>
          <w:tcPr>
            <w:tcW w:w="698" w:type="pct"/>
            <w:shd w:val="clear" w:color="auto" w:fill="FFFFFF" w:themeFill="background1"/>
          </w:tcPr>
          <w:p w14:paraId="679D3EA0" w14:textId="7974F641"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en-IE"/>
              </w:rPr>
              <w:t>Annual and interim snapshot, 5 years after implementation</w:t>
            </w:r>
          </w:p>
        </w:tc>
        <w:tc>
          <w:tcPr>
            <w:tcW w:w="800" w:type="pct"/>
            <w:shd w:val="clear" w:color="auto" w:fill="FFFFFF" w:themeFill="background1"/>
          </w:tcPr>
          <w:p w14:paraId="1678759E" w14:textId="1767EB4F"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it-IT"/>
              </w:rPr>
              <w:t>EC with MS validation</w:t>
            </w:r>
          </w:p>
        </w:tc>
      </w:tr>
      <w:tr w:rsidR="00E90373" w:rsidRPr="00D74DE5" w14:paraId="7CA4DDE7" w14:textId="77777777" w:rsidTr="00546A53">
        <w:trPr>
          <w:trHeight w:val="373"/>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2619E3CD" w14:textId="46F1FAA4" w:rsidR="00E90373" w:rsidRPr="00AC63C0" w:rsidRDefault="00E90373" w:rsidP="005A400A">
            <w:pPr>
              <w:spacing w:after="0"/>
              <w:rPr>
                <w:noProof/>
                <w:sz w:val="20"/>
                <w:szCs w:val="20"/>
              </w:rPr>
            </w:pPr>
            <w:r>
              <w:rPr>
                <w:noProof/>
                <w:sz w:val="20"/>
                <w:szCs w:val="20"/>
              </w:rPr>
              <w:t>Share of EU global computing capacity</w:t>
            </w:r>
          </w:p>
        </w:tc>
        <w:tc>
          <w:tcPr>
            <w:tcW w:w="525" w:type="pct"/>
            <w:shd w:val="clear" w:color="auto" w:fill="FFFFFF" w:themeFill="background1"/>
          </w:tcPr>
          <w:p w14:paraId="4A450005" w14:textId="364981E5" w:rsidR="00E9037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20%</w:t>
            </w:r>
          </w:p>
        </w:tc>
        <w:tc>
          <w:tcPr>
            <w:tcW w:w="749" w:type="pct"/>
            <w:shd w:val="clear" w:color="auto" w:fill="FFFFFF" w:themeFill="background1"/>
          </w:tcPr>
          <w:p w14:paraId="541EA3C5" w14:textId="504B93DE" w:rsidR="00E90373" w:rsidRPr="0096532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65323">
              <w:rPr>
                <w:noProof/>
                <w:sz w:val="20"/>
                <w:szCs w:val="20"/>
              </w:rPr>
              <w:t>≥</w:t>
            </w:r>
            <w:r>
              <w:rPr>
                <w:noProof/>
                <w:sz w:val="20"/>
                <w:szCs w:val="20"/>
              </w:rPr>
              <w:t xml:space="preserve"> 25%</w:t>
            </w:r>
          </w:p>
        </w:tc>
        <w:tc>
          <w:tcPr>
            <w:tcW w:w="736" w:type="pct"/>
            <w:shd w:val="clear" w:color="auto" w:fill="FFFFFF" w:themeFill="background1"/>
          </w:tcPr>
          <w:p w14:paraId="367DA23F" w14:textId="38B56D58" w:rsidR="00E9037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743B56">
              <w:rPr>
                <w:noProof/>
                <w:sz w:val="20"/>
                <w:szCs w:val="20"/>
                <w:lang w:val="it-IT"/>
              </w:rPr>
              <w:t>Industry datasets</w:t>
            </w:r>
            <w:r>
              <w:rPr>
                <w:noProof/>
                <w:sz w:val="20"/>
                <w:szCs w:val="20"/>
                <w:lang w:val="it-IT"/>
              </w:rPr>
              <w:t xml:space="preserve">, </w:t>
            </w:r>
            <w:r w:rsidR="005F6F77">
              <w:rPr>
                <w:noProof/>
                <w:sz w:val="20"/>
                <w:szCs w:val="20"/>
                <w:lang w:val="it-IT"/>
              </w:rPr>
              <w:t>market</w:t>
            </w:r>
            <w:r>
              <w:rPr>
                <w:noProof/>
                <w:sz w:val="20"/>
                <w:szCs w:val="20"/>
                <w:lang w:val="it-IT"/>
              </w:rPr>
              <w:t xml:space="preserve"> research</w:t>
            </w:r>
          </w:p>
        </w:tc>
        <w:tc>
          <w:tcPr>
            <w:tcW w:w="772" w:type="pct"/>
            <w:shd w:val="clear" w:color="auto" w:fill="FFFFFF" w:themeFill="background1"/>
          </w:tcPr>
          <w:p w14:paraId="0CC61106" w14:textId="2B8A4AD1" w:rsidR="00E9037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w:t>
            </w:r>
          </w:p>
        </w:tc>
        <w:tc>
          <w:tcPr>
            <w:tcW w:w="698" w:type="pct"/>
            <w:shd w:val="clear" w:color="auto" w:fill="FFFFFF" w:themeFill="background1"/>
          </w:tcPr>
          <w:p w14:paraId="2587C742" w14:textId="32747033" w:rsidR="00E9037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Same as above</w:t>
            </w:r>
          </w:p>
        </w:tc>
        <w:tc>
          <w:tcPr>
            <w:tcW w:w="800" w:type="pct"/>
            <w:shd w:val="clear" w:color="auto" w:fill="FFFFFF" w:themeFill="background1"/>
          </w:tcPr>
          <w:p w14:paraId="64F3EBAB" w14:textId="6823CF4F" w:rsidR="00E90373"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E90373" w:rsidRPr="00D74DE5" w14:paraId="4E10F169" w14:textId="77777777" w:rsidTr="00546A53">
        <w:trPr>
          <w:trHeight w:val="373"/>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4864903F" w14:textId="2815A011" w:rsidR="00E90373" w:rsidRPr="007158F0" w:rsidRDefault="00E90373" w:rsidP="00C16D95">
            <w:pPr>
              <w:spacing w:after="0"/>
              <w:rPr>
                <w:noProof/>
                <w:sz w:val="20"/>
                <w:szCs w:val="20"/>
              </w:rPr>
            </w:pPr>
            <w:r w:rsidRPr="00C16D95">
              <w:rPr>
                <w:noProof/>
                <w:sz w:val="20"/>
                <w:szCs w:val="20"/>
              </w:rPr>
              <w:t xml:space="preserve">No. of MS with simplified frameworks </w:t>
            </w:r>
            <w:r w:rsidRPr="005F6F77">
              <w:rPr>
                <w:b w:val="0"/>
                <w:noProof/>
                <w:sz w:val="20"/>
                <w:szCs w:val="20"/>
              </w:rPr>
              <w:t>(permitting, zoning, energy access)</w:t>
            </w:r>
          </w:p>
        </w:tc>
        <w:tc>
          <w:tcPr>
            <w:tcW w:w="525" w:type="pct"/>
            <w:shd w:val="clear" w:color="auto" w:fill="FFFFFF" w:themeFill="background1"/>
          </w:tcPr>
          <w:p w14:paraId="54FE9182" w14:textId="07C05564"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&lt;5</w:t>
            </w:r>
          </w:p>
        </w:tc>
        <w:tc>
          <w:tcPr>
            <w:tcW w:w="749" w:type="pct"/>
            <w:shd w:val="clear" w:color="auto" w:fill="FFFFFF" w:themeFill="background1"/>
          </w:tcPr>
          <w:p w14:paraId="45211326" w14:textId="7898A3D5"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965323">
              <w:rPr>
                <w:noProof/>
                <w:sz w:val="20"/>
                <w:szCs w:val="20"/>
              </w:rPr>
              <w:t>≥</w:t>
            </w:r>
            <w:r>
              <w:rPr>
                <w:noProof/>
                <w:sz w:val="20"/>
                <w:szCs w:val="20"/>
              </w:rPr>
              <w:t xml:space="preserve"> </w:t>
            </w:r>
            <w:r w:rsidRPr="00965323">
              <w:rPr>
                <w:noProof/>
                <w:sz w:val="20"/>
                <w:szCs w:val="20"/>
              </w:rPr>
              <w:t>20 by 2030</w:t>
            </w:r>
          </w:p>
        </w:tc>
        <w:tc>
          <w:tcPr>
            <w:tcW w:w="736" w:type="pct"/>
            <w:shd w:val="clear" w:color="auto" w:fill="FFFFFF" w:themeFill="background1"/>
          </w:tcPr>
          <w:p w14:paraId="20E87A5D" w14:textId="12D21FA9"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National authorities</w:t>
            </w:r>
          </w:p>
        </w:tc>
        <w:tc>
          <w:tcPr>
            <w:tcW w:w="772" w:type="pct"/>
            <w:shd w:val="clear" w:color="auto" w:fill="FFFFFF" w:themeFill="background1"/>
          </w:tcPr>
          <w:p w14:paraId="11AB084C" w14:textId="221564D9"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 + interviews</w:t>
            </w:r>
          </w:p>
        </w:tc>
        <w:tc>
          <w:tcPr>
            <w:tcW w:w="698" w:type="pct"/>
            <w:shd w:val="clear" w:color="auto" w:fill="FFFFFF" w:themeFill="background1"/>
          </w:tcPr>
          <w:p w14:paraId="6969FC29" w14:textId="29CA9321"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Biennial</w:t>
            </w:r>
          </w:p>
        </w:tc>
        <w:tc>
          <w:tcPr>
            <w:tcW w:w="800" w:type="pct"/>
            <w:shd w:val="clear" w:color="auto" w:fill="FFFFFF" w:themeFill="background1"/>
          </w:tcPr>
          <w:p w14:paraId="21FBA5B6" w14:textId="5B7B189A" w:rsidR="00E90373" w:rsidRPr="00D74DE5" w:rsidRDefault="00E90373" w:rsidP="005128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EC </w:t>
            </w:r>
          </w:p>
        </w:tc>
      </w:tr>
      <w:tr w:rsidR="00E90373" w:rsidRPr="00D74DE5" w14:paraId="7554D027" w14:textId="77777777" w:rsidTr="00546A53">
        <w:trPr>
          <w:trHeight w:val="320"/>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50BE9A44" w14:textId="592D70CD" w:rsidR="00E90373" w:rsidRPr="007158F0" w:rsidRDefault="00E90373" w:rsidP="00C16D95">
            <w:pPr>
              <w:spacing w:after="0"/>
              <w:rPr>
                <w:noProof/>
                <w:sz w:val="20"/>
                <w:szCs w:val="20"/>
              </w:rPr>
            </w:pPr>
            <w:r>
              <w:rPr>
                <w:noProof/>
                <w:sz w:val="20"/>
                <w:szCs w:val="20"/>
              </w:rPr>
              <w:t>Average permitting time for new DC projects</w:t>
            </w:r>
          </w:p>
        </w:tc>
        <w:tc>
          <w:tcPr>
            <w:tcW w:w="525" w:type="pct"/>
            <w:shd w:val="clear" w:color="auto" w:fill="FFFFFF" w:themeFill="background1"/>
          </w:tcPr>
          <w:p w14:paraId="3B311305" w14:textId="5637A379" w:rsidR="00E90373" w:rsidRPr="00D74DE5" w:rsidRDefault="005F6F7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Average time: </w:t>
            </w:r>
            <w:r w:rsidR="00E90373">
              <w:rPr>
                <w:noProof/>
                <w:sz w:val="20"/>
                <w:szCs w:val="20"/>
              </w:rPr>
              <w:t>32 months</w:t>
            </w:r>
          </w:p>
        </w:tc>
        <w:tc>
          <w:tcPr>
            <w:tcW w:w="749" w:type="pct"/>
            <w:shd w:val="clear" w:color="auto" w:fill="FFFFFF" w:themeFill="background1"/>
          </w:tcPr>
          <w:p w14:paraId="64B38B5E" w14:textId="4086B39C" w:rsidR="00E90373" w:rsidRPr="00D74DE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&lt;18 months by 2030</w:t>
            </w:r>
            <w:r w:rsidR="005F6F77">
              <w:rPr>
                <w:noProof/>
                <w:sz w:val="20"/>
                <w:szCs w:val="20"/>
              </w:rPr>
              <w:t xml:space="preserve"> and/or reduction across MS</w:t>
            </w:r>
          </w:p>
        </w:tc>
        <w:tc>
          <w:tcPr>
            <w:tcW w:w="736" w:type="pct"/>
            <w:shd w:val="clear" w:color="auto" w:fill="FFFFFF" w:themeFill="background1"/>
          </w:tcPr>
          <w:p w14:paraId="56F68C35" w14:textId="44239845" w:rsidR="00E90373" w:rsidRPr="00D74DE5" w:rsidRDefault="005F6F7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National authorities, data centre operators, real estate analysts</w:t>
            </w:r>
          </w:p>
        </w:tc>
        <w:tc>
          <w:tcPr>
            <w:tcW w:w="772" w:type="pct"/>
            <w:shd w:val="clear" w:color="auto" w:fill="FFFFFF" w:themeFill="background1"/>
          </w:tcPr>
          <w:p w14:paraId="4B6DBF25" w14:textId="044CC9B9" w:rsidR="00E90373" w:rsidRPr="00D74DE5" w:rsidRDefault="005F6F7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Desk/market research + interviews + surveys</w:t>
            </w:r>
          </w:p>
        </w:tc>
        <w:tc>
          <w:tcPr>
            <w:tcW w:w="698" w:type="pct"/>
            <w:shd w:val="clear" w:color="auto" w:fill="FFFFFF" w:themeFill="background1"/>
          </w:tcPr>
          <w:p w14:paraId="4C4ACBE0" w14:textId="729C359D" w:rsidR="00E90373" w:rsidRPr="00D74DE5" w:rsidRDefault="005F6F7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6C7C3D9E" w14:textId="31D6C616" w:rsidR="00E90373" w:rsidRPr="00D74DE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it-IT"/>
              </w:rPr>
              <w:t>EC with MS validation</w:t>
            </w:r>
          </w:p>
        </w:tc>
      </w:tr>
      <w:tr w:rsidR="008B3EA7" w:rsidRPr="00D74DE5" w14:paraId="0DBEC852"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7DB21D54" w14:textId="3CA9AA03" w:rsidR="007B7328" w:rsidRDefault="007B7328" w:rsidP="007B7328">
            <w:pPr>
              <w:spacing w:after="0"/>
              <w:rPr>
                <w:noProof/>
                <w:sz w:val="20"/>
                <w:szCs w:val="20"/>
              </w:rPr>
            </w:pPr>
            <w:r>
              <w:rPr>
                <w:noProof/>
                <w:sz w:val="20"/>
                <w:szCs w:val="20"/>
              </w:rPr>
              <w:t>No. of pilot projects for innovative/ energy-efficient DC technologies</w:t>
            </w:r>
          </w:p>
        </w:tc>
        <w:tc>
          <w:tcPr>
            <w:tcW w:w="525" w:type="pct"/>
            <w:shd w:val="clear" w:color="auto" w:fill="FFFFFF" w:themeFill="background1"/>
          </w:tcPr>
          <w:p w14:paraId="351C123B" w14:textId="53EC015E" w:rsidR="007B7328" w:rsidRPr="00D74DE5"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49" w:type="pct"/>
            <w:shd w:val="clear" w:color="auto" w:fill="FFFFFF" w:themeFill="background1"/>
          </w:tcPr>
          <w:p w14:paraId="10F43EDF" w14:textId="1FFD498B" w:rsidR="007B7328" w:rsidRPr="00D74DE5"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Continuous increase </w:t>
            </w:r>
          </w:p>
        </w:tc>
        <w:tc>
          <w:tcPr>
            <w:tcW w:w="736" w:type="pct"/>
            <w:shd w:val="clear" w:color="auto" w:fill="FFFFFF" w:themeFill="background1"/>
          </w:tcPr>
          <w:p w14:paraId="051CB7E6" w14:textId="5EFECADB" w:rsidR="007B7328" w:rsidRPr="00D74DE5"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Project registries and evaluation</w:t>
            </w:r>
          </w:p>
        </w:tc>
        <w:tc>
          <w:tcPr>
            <w:tcW w:w="772" w:type="pct"/>
            <w:shd w:val="clear" w:color="auto" w:fill="FFFFFF" w:themeFill="background1"/>
          </w:tcPr>
          <w:p w14:paraId="39C79F96" w14:textId="06A8C18D" w:rsidR="007B7328" w:rsidRPr="00D74DE5"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 + Survey + interviews</w:t>
            </w:r>
          </w:p>
        </w:tc>
        <w:tc>
          <w:tcPr>
            <w:tcW w:w="698" w:type="pct"/>
            <w:shd w:val="clear" w:color="auto" w:fill="FFFFFF" w:themeFill="background1"/>
          </w:tcPr>
          <w:p w14:paraId="3A421DB3" w14:textId="1315FB38" w:rsidR="007B7328" w:rsidRPr="00D74DE5"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157A3E90" w14:textId="4D534146" w:rsidR="007B7328" w:rsidRDefault="007B7328"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E90373" w:rsidRPr="00D74DE5" w14:paraId="13F0D99A"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2B220B23" w14:textId="1F6277D2" w:rsidR="00E90373" w:rsidRPr="007158F0" w:rsidRDefault="00E90373" w:rsidP="00C16D95">
            <w:pPr>
              <w:spacing w:after="0"/>
              <w:rPr>
                <w:noProof/>
                <w:sz w:val="20"/>
                <w:szCs w:val="20"/>
              </w:rPr>
            </w:pPr>
            <w:r>
              <w:rPr>
                <w:noProof/>
                <w:sz w:val="20"/>
                <w:szCs w:val="20"/>
              </w:rPr>
              <w:t>Annual public and private investment in EU DC</w:t>
            </w:r>
          </w:p>
        </w:tc>
        <w:tc>
          <w:tcPr>
            <w:tcW w:w="525" w:type="pct"/>
            <w:shd w:val="clear" w:color="auto" w:fill="FFFFFF" w:themeFill="background1"/>
          </w:tcPr>
          <w:p w14:paraId="541214EE" w14:textId="1C656C66" w:rsidR="00E90373" w:rsidRPr="00D74DE5" w:rsidRDefault="00F9407F">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49" w:type="pct"/>
            <w:shd w:val="clear" w:color="auto" w:fill="FFFFFF" w:themeFill="background1"/>
          </w:tcPr>
          <w:p w14:paraId="54B9D8C9" w14:textId="23605726"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Increase to close the capacity gap</w:t>
            </w:r>
          </w:p>
        </w:tc>
        <w:tc>
          <w:tcPr>
            <w:tcW w:w="736" w:type="pct"/>
            <w:shd w:val="clear" w:color="auto" w:fill="FFFFFF" w:themeFill="background1"/>
          </w:tcPr>
          <w:p w14:paraId="78BE6731" w14:textId="71E16091"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Market analyses</w:t>
            </w:r>
          </w:p>
        </w:tc>
        <w:tc>
          <w:tcPr>
            <w:tcW w:w="772" w:type="pct"/>
            <w:shd w:val="clear" w:color="auto" w:fill="FFFFFF" w:themeFill="background1"/>
          </w:tcPr>
          <w:p w14:paraId="3B89AA47" w14:textId="4F315F54"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Desk research + market research </w:t>
            </w:r>
          </w:p>
        </w:tc>
        <w:tc>
          <w:tcPr>
            <w:tcW w:w="698" w:type="pct"/>
            <w:shd w:val="clear" w:color="auto" w:fill="FFFFFF" w:themeFill="background1"/>
          </w:tcPr>
          <w:p w14:paraId="2B5639CA" w14:textId="36042271"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25F3C59D" w14:textId="5881EB61"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8B3EA7" w:rsidRPr="00D74DE5" w14:paraId="4BF4067D"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27D943B0" w14:textId="168A05E3" w:rsidR="00052D63" w:rsidRDefault="00052D63" w:rsidP="007B7328">
            <w:pPr>
              <w:spacing w:after="0"/>
              <w:rPr>
                <w:noProof/>
                <w:sz w:val="20"/>
                <w:szCs w:val="20"/>
              </w:rPr>
            </w:pPr>
            <w:r>
              <w:rPr>
                <w:noProof/>
                <w:sz w:val="20"/>
                <w:szCs w:val="20"/>
              </w:rPr>
              <w:t>Improved energy and water efficiency of deployed capacity</w:t>
            </w:r>
          </w:p>
        </w:tc>
        <w:tc>
          <w:tcPr>
            <w:tcW w:w="525" w:type="pct"/>
            <w:shd w:val="clear" w:color="auto" w:fill="FFFFFF" w:themeFill="background1"/>
          </w:tcPr>
          <w:p w14:paraId="550676C7" w14:textId="661F9D68" w:rsidR="00052D63" w:rsidRPr="00D74DE5" w:rsidRDefault="00052D63"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PUE</w:t>
            </w:r>
            <w:r w:rsidR="00285F1B">
              <w:rPr>
                <w:noProof/>
                <w:sz w:val="20"/>
                <w:szCs w:val="20"/>
              </w:rPr>
              <w:t xml:space="preserve">, </w:t>
            </w:r>
            <w:r w:rsidR="001B4D8B">
              <w:rPr>
                <w:noProof/>
                <w:sz w:val="20"/>
                <w:szCs w:val="20"/>
              </w:rPr>
              <w:t xml:space="preserve">WUE, </w:t>
            </w:r>
            <w:r w:rsidR="00285F1B">
              <w:rPr>
                <w:noProof/>
                <w:sz w:val="20"/>
                <w:szCs w:val="20"/>
              </w:rPr>
              <w:t xml:space="preserve">utilisation </w:t>
            </w:r>
            <w:r>
              <w:rPr>
                <w:noProof/>
                <w:sz w:val="20"/>
                <w:szCs w:val="20"/>
              </w:rPr>
              <w:t>levels today (see Annex 4)</w:t>
            </w:r>
          </w:p>
        </w:tc>
        <w:tc>
          <w:tcPr>
            <w:tcW w:w="749" w:type="pct"/>
            <w:shd w:val="clear" w:color="auto" w:fill="FFFFFF" w:themeFill="background1"/>
          </w:tcPr>
          <w:p w14:paraId="740780D7" w14:textId="0ED35CBE" w:rsidR="00052D63" w:rsidRPr="00D74DE5" w:rsidRDefault="00285F1B"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Convergence towards best-available performance</w:t>
            </w:r>
            <w:r w:rsidR="005B6E46">
              <w:rPr>
                <w:noProof/>
                <w:sz w:val="20"/>
                <w:szCs w:val="20"/>
              </w:rPr>
              <w:t xml:space="preserve">; </w:t>
            </w:r>
            <w:r w:rsidR="005B6E46" w:rsidRPr="005B6E46">
              <w:rPr>
                <w:noProof/>
                <w:sz w:val="20"/>
                <w:szCs w:val="20"/>
              </w:rPr>
              <w:t>Share of supported sites using specified cooling/power technologies</w:t>
            </w:r>
          </w:p>
        </w:tc>
        <w:tc>
          <w:tcPr>
            <w:tcW w:w="736" w:type="pct"/>
            <w:shd w:val="clear" w:color="auto" w:fill="FFFFFF" w:themeFill="background1"/>
          </w:tcPr>
          <w:p w14:paraId="5EE69C0F" w14:textId="4B3E0BD0" w:rsidR="00052D63" w:rsidRPr="00D74DE5" w:rsidRDefault="00285F1B"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TSOs/ DSOs data, providers data </w:t>
            </w:r>
          </w:p>
        </w:tc>
        <w:tc>
          <w:tcPr>
            <w:tcW w:w="772" w:type="pct"/>
            <w:shd w:val="clear" w:color="auto" w:fill="FFFFFF" w:themeFill="background1"/>
          </w:tcPr>
          <w:p w14:paraId="4FFDD147" w14:textId="1CAEB916" w:rsidR="00052D63" w:rsidRPr="00D74DE5" w:rsidRDefault="00285F1B"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 + Survey + interviews</w:t>
            </w:r>
          </w:p>
        </w:tc>
        <w:tc>
          <w:tcPr>
            <w:tcW w:w="698" w:type="pct"/>
            <w:shd w:val="clear" w:color="auto" w:fill="FFFFFF" w:themeFill="background1"/>
          </w:tcPr>
          <w:p w14:paraId="575264DD" w14:textId="21213138" w:rsidR="00052D63" w:rsidRPr="00D74DE5" w:rsidRDefault="00EA2BA1"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0EF4447C" w14:textId="577B2A61" w:rsidR="00052D63" w:rsidRPr="00052D63" w:rsidRDefault="005F6F77" w:rsidP="007B7328">
            <w:pPr>
              <w:spacing w:after="0"/>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it-IT"/>
              </w:rPr>
              <w:t>EC with MS validation</w:t>
            </w:r>
          </w:p>
        </w:tc>
      </w:tr>
      <w:tr w:rsidR="00E90373" w:rsidRPr="00D74DE5" w14:paraId="0902B37C"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45A74C76" w14:textId="111122E2" w:rsidR="00E90373" w:rsidRDefault="00E90373" w:rsidP="005A400A">
            <w:pPr>
              <w:spacing w:after="0"/>
              <w:rPr>
                <w:noProof/>
                <w:sz w:val="20"/>
                <w:szCs w:val="20"/>
              </w:rPr>
            </w:pPr>
            <w:r>
              <w:rPr>
                <w:noProof/>
                <w:sz w:val="20"/>
                <w:szCs w:val="20"/>
              </w:rPr>
              <w:t>Share of renewable energy used by data centres</w:t>
            </w:r>
          </w:p>
        </w:tc>
        <w:tc>
          <w:tcPr>
            <w:tcW w:w="525" w:type="pct"/>
            <w:shd w:val="clear" w:color="auto" w:fill="FFFFFF" w:themeFill="background1"/>
          </w:tcPr>
          <w:p w14:paraId="3E2D2767" w14:textId="16CBC3B3"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NA</w:t>
            </w:r>
          </w:p>
        </w:tc>
        <w:tc>
          <w:tcPr>
            <w:tcW w:w="749" w:type="pct"/>
            <w:shd w:val="clear" w:color="auto" w:fill="FFFFFF" w:themeFill="background1"/>
          </w:tcPr>
          <w:p w14:paraId="654D80C5" w14:textId="36509398"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Convergence towards best-available performance</w:t>
            </w:r>
          </w:p>
        </w:tc>
        <w:tc>
          <w:tcPr>
            <w:tcW w:w="736" w:type="pct"/>
            <w:shd w:val="clear" w:color="auto" w:fill="FFFFFF" w:themeFill="background1"/>
          </w:tcPr>
          <w:p w14:paraId="6951E40C" w14:textId="4C3B0C07"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TSOs/ DSOs data, providers data </w:t>
            </w:r>
          </w:p>
        </w:tc>
        <w:tc>
          <w:tcPr>
            <w:tcW w:w="772" w:type="pct"/>
            <w:shd w:val="clear" w:color="auto" w:fill="FFFFFF" w:themeFill="background1"/>
          </w:tcPr>
          <w:p w14:paraId="05A6A270" w14:textId="10495245"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 + Survey + interviews</w:t>
            </w:r>
          </w:p>
        </w:tc>
        <w:tc>
          <w:tcPr>
            <w:tcW w:w="698" w:type="pct"/>
            <w:shd w:val="clear" w:color="auto" w:fill="FFFFFF" w:themeFill="background1"/>
          </w:tcPr>
          <w:p w14:paraId="64B262C0" w14:textId="09EE3230"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2A834534" w14:textId="4F156524"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it-IT"/>
              </w:rPr>
              <w:t>EC with MS validation</w:t>
            </w:r>
          </w:p>
        </w:tc>
      </w:tr>
      <w:tr w:rsidR="008B3EA7" w:rsidRPr="00D74DE5" w14:paraId="60C98640"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2C918F23" w14:textId="04C84F10" w:rsidR="00EA2BA1" w:rsidRDefault="00EA2BA1" w:rsidP="00EA2BA1">
            <w:pPr>
              <w:spacing w:after="0"/>
              <w:rPr>
                <w:noProof/>
                <w:sz w:val="20"/>
                <w:szCs w:val="20"/>
              </w:rPr>
            </w:pPr>
            <w:r>
              <w:rPr>
                <w:noProof/>
                <w:sz w:val="20"/>
                <w:szCs w:val="20"/>
              </w:rPr>
              <w:t xml:space="preserve">No. of </w:t>
            </w:r>
            <w:r w:rsidR="00EB1473">
              <w:rPr>
                <w:noProof/>
                <w:sz w:val="20"/>
                <w:szCs w:val="20"/>
              </w:rPr>
              <w:t xml:space="preserve">audited </w:t>
            </w:r>
            <w:r>
              <w:rPr>
                <w:noProof/>
                <w:sz w:val="20"/>
                <w:szCs w:val="20"/>
              </w:rPr>
              <w:t>sovereign cloud and AI services</w:t>
            </w:r>
          </w:p>
        </w:tc>
        <w:tc>
          <w:tcPr>
            <w:tcW w:w="525" w:type="pct"/>
            <w:shd w:val="clear" w:color="auto" w:fill="FFFFFF" w:themeFill="background1"/>
          </w:tcPr>
          <w:p w14:paraId="672CEEDB" w14:textId="5CB8B9AA" w:rsidR="00EA2BA1" w:rsidRPr="00D74DE5"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w:t>
            </w:r>
          </w:p>
        </w:tc>
        <w:tc>
          <w:tcPr>
            <w:tcW w:w="749" w:type="pct"/>
            <w:shd w:val="clear" w:color="auto" w:fill="FFFFFF" w:themeFill="background1"/>
          </w:tcPr>
          <w:p w14:paraId="41D429CA" w14:textId="35B79F60" w:rsidR="00EA2BA1" w:rsidRPr="00D74DE5"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Continuous increase</w:t>
            </w:r>
          </w:p>
        </w:tc>
        <w:tc>
          <w:tcPr>
            <w:tcW w:w="736" w:type="pct"/>
            <w:shd w:val="clear" w:color="auto" w:fill="FFFFFF" w:themeFill="background1"/>
          </w:tcPr>
          <w:p w14:paraId="0354093F" w14:textId="6069FFF0" w:rsidR="00EA2BA1" w:rsidRPr="00D74DE5"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Repository</w:t>
            </w:r>
          </w:p>
        </w:tc>
        <w:tc>
          <w:tcPr>
            <w:tcW w:w="772" w:type="pct"/>
            <w:shd w:val="clear" w:color="auto" w:fill="FFFFFF" w:themeFill="background1"/>
          </w:tcPr>
          <w:p w14:paraId="49F367B7" w14:textId="5D8C80C3" w:rsidR="00EA2BA1" w:rsidRPr="00D74DE5"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Administrative data</w:t>
            </w:r>
          </w:p>
        </w:tc>
        <w:tc>
          <w:tcPr>
            <w:tcW w:w="698" w:type="pct"/>
            <w:shd w:val="clear" w:color="auto" w:fill="FFFFFF" w:themeFill="background1"/>
          </w:tcPr>
          <w:p w14:paraId="19DEA94F" w14:textId="7234AC3A" w:rsidR="00EA2BA1" w:rsidRPr="00D74DE5"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0E11ED4E" w14:textId="69C022C8" w:rsidR="00EA2BA1" w:rsidRDefault="00EA2BA1" w:rsidP="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E90373" w:rsidRPr="00D74DE5" w14:paraId="3EEB59CA" w14:textId="77777777" w:rsidTr="00546A53">
        <w:trPr>
          <w:trHeight w:val="352"/>
        </w:trPr>
        <w:tc>
          <w:tcPr>
            <w:cnfStyle w:val="001000000000" w:firstRow="0" w:lastRow="0" w:firstColumn="1" w:lastColumn="0" w:oddVBand="0" w:evenVBand="0" w:oddHBand="0" w:evenHBand="0" w:firstRowFirstColumn="0" w:firstRowLastColumn="0" w:lastRowFirstColumn="0" w:lastRowLastColumn="0"/>
            <w:tcW w:w="720" w:type="pct"/>
            <w:shd w:val="clear" w:color="auto" w:fill="FFFFFF" w:themeFill="background1"/>
          </w:tcPr>
          <w:p w14:paraId="5EB0A994" w14:textId="73B9B3F2" w:rsidR="00E90373" w:rsidRDefault="00E90373" w:rsidP="005A400A">
            <w:pPr>
              <w:spacing w:after="0"/>
              <w:rPr>
                <w:noProof/>
                <w:sz w:val="20"/>
                <w:szCs w:val="20"/>
              </w:rPr>
            </w:pPr>
            <w:r>
              <w:rPr>
                <w:noProof/>
                <w:sz w:val="20"/>
                <w:szCs w:val="20"/>
              </w:rPr>
              <w:t>Market share of EU providers</w:t>
            </w:r>
          </w:p>
        </w:tc>
        <w:tc>
          <w:tcPr>
            <w:tcW w:w="525" w:type="pct"/>
            <w:shd w:val="clear" w:color="auto" w:fill="FFFFFF" w:themeFill="background1"/>
          </w:tcPr>
          <w:p w14:paraId="3A666FAD" w14:textId="7F0F3E98"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15%</w:t>
            </w:r>
          </w:p>
        </w:tc>
        <w:tc>
          <w:tcPr>
            <w:tcW w:w="749" w:type="pct"/>
            <w:shd w:val="clear" w:color="auto" w:fill="FFFFFF" w:themeFill="background1"/>
          </w:tcPr>
          <w:p w14:paraId="06D722AF" w14:textId="09052638"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Increase in market share</w:t>
            </w:r>
          </w:p>
        </w:tc>
        <w:tc>
          <w:tcPr>
            <w:tcW w:w="736" w:type="pct"/>
            <w:shd w:val="clear" w:color="auto" w:fill="FFFFFF" w:themeFill="background1"/>
          </w:tcPr>
          <w:p w14:paraId="065A3718" w14:textId="43576FC6"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Market data</w:t>
            </w:r>
          </w:p>
        </w:tc>
        <w:tc>
          <w:tcPr>
            <w:tcW w:w="772" w:type="pct"/>
            <w:shd w:val="clear" w:color="auto" w:fill="FFFFFF" w:themeFill="background1"/>
          </w:tcPr>
          <w:p w14:paraId="4E004AF1" w14:textId="38F8995C"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w:t>
            </w:r>
          </w:p>
        </w:tc>
        <w:tc>
          <w:tcPr>
            <w:tcW w:w="698" w:type="pct"/>
            <w:shd w:val="clear" w:color="auto" w:fill="FFFFFF" w:themeFill="background1"/>
          </w:tcPr>
          <w:p w14:paraId="7C47D45E" w14:textId="24F7E553" w:rsidR="00E90373" w:rsidRPr="00D74DE5" w:rsidRDefault="00EA2BA1">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6AAB0BAA" w14:textId="760513C7"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p>
        </w:tc>
      </w:tr>
      <w:tr w:rsidR="00146778" w:rsidRPr="00D74DE5" w14:paraId="5498CE20" w14:textId="77777777" w:rsidTr="00033FBB">
        <w:trPr>
          <w:trHeight w:val="352"/>
        </w:trPr>
        <w:tc>
          <w:tcPr>
            <w:cnfStyle w:val="001000000000" w:firstRow="0" w:lastRow="0" w:firstColumn="1" w:lastColumn="0" w:oddVBand="0" w:evenVBand="0" w:oddHBand="0" w:evenHBand="0" w:firstRowFirstColumn="0" w:firstRowLastColumn="0" w:lastRowFirstColumn="0" w:lastRowLastColumn="0"/>
            <w:tcW w:w="689" w:type="pct"/>
            <w:shd w:val="clear" w:color="auto" w:fill="FFFFFF" w:themeFill="background1"/>
          </w:tcPr>
          <w:p w14:paraId="24AC1CDE" w14:textId="53F6DF49" w:rsidR="00E90373" w:rsidRDefault="00E90373" w:rsidP="005A400A">
            <w:pPr>
              <w:spacing w:after="0"/>
              <w:rPr>
                <w:noProof/>
                <w:sz w:val="20"/>
                <w:szCs w:val="20"/>
              </w:rPr>
            </w:pPr>
            <w:r>
              <w:rPr>
                <w:noProof/>
                <w:sz w:val="20"/>
                <w:szCs w:val="20"/>
              </w:rPr>
              <w:t>Annual value of EU procurement of sovereign cloud and AI computing services</w:t>
            </w:r>
          </w:p>
        </w:tc>
        <w:tc>
          <w:tcPr>
            <w:tcW w:w="556" w:type="pct"/>
            <w:shd w:val="clear" w:color="auto" w:fill="FFFFFF" w:themeFill="background1"/>
          </w:tcPr>
          <w:p w14:paraId="79DC373A" w14:textId="0F6F3C37"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w:t>
            </w:r>
          </w:p>
        </w:tc>
        <w:tc>
          <w:tcPr>
            <w:tcW w:w="749" w:type="pct"/>
            <w:shd w:val="clear" w:color="auto" w:fill="FFFFFF" w:themeFill="background1"/>
          </w:tcPr>
          <w:p w14:paraId="103FB052" w14:textId="355F0D17"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965323">
              <w:rPr>
                <w:noProof/>
                <w:sz w:val="20"/>
                <w:szCs w:val="20"/>
              </w:rPr>
              <w:t>≥</w:t>
            </w:r>
            <w:r>
              <w:rPr>
                <w:noProof/>
                <w:sz w:val="20"/>
                <w:szCs w:val="20"/>
              </w:rPr>
              <w:t xml:space="preserve"> </w:t>
            </w:r>
            <w:r w:rsidR="0070505C">
              <w:rPr>
                <w:noProof/>
                <w:sz w:val="20"/>
                <w:szCs w:val="20"/>
              </w:rPr>
              <w:t>100</w:t>
            </w:r>
            <w:r>
              <w:rPr>
                <w:noProof/>
                <w:sz w:val="20"/>
                <w:szCs w:val="20"/>
              </w:rPr>
              <w:t>%</w:t>
            </w:r>
          </w:p>
        </w:tc>
        <w:tc>
          <w:tcPr>
            <w:tcW w:w="736" w:type="pct"/>
            <w:shd w:val="clear" w:color="auto" w:fill="FFFFFF" w:themeFill="background1"/>
          </w:tcPr>
          <w:p w14:paraId="765C0431" w14:textId="215D7E42"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TED data, national authorities data</w:t>
            </w:r>
            <w:r w:rsidR="008925FB">
              <w:rPr>
                <w:noProof/>
                <w:sz w:val="20"/>
                <w:szCs w:val="20"/>
              </w:rPr>
              <w:t xml:space="preserve">, </w:t>
            </w:r>
            <w:r w:rsidR="002C3A74">
              <w:rPr>
                <w:noProof/>
                <w:sz w:val="20"/>
                <w:szCs w:val="20"/>
              </w:rPr>
              <w:t xml:space="preserve">audited service </w:t>
            </w:r>
            <w:r w:rsidR="008925FB">
              <w:rPr>
                <w:noProof/>
                <w:sz w:val="20"/>
                <w:szCs w:val="20"/>
              </w:rPr>
              <w:t>repository</w:t>
            </w:r>
          </w:p>
        </w:tc>
        <w:tc>
          <w:tcPr>
            <w:tcW w:w="772" w:type="pct"/>
            <w:shd w:val="clear" w:color="auto" w:fill="FFFFFF" w:themeFill="background1"/>
          </w:tcPr>
          <w:p w14:paraId="4319B3CD" w14:textId="292DE126" w:rsidR="00E90373" w:rsidRPr="00D74DE5" w:rsidRDefault="00015D32">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MS reporting obligations </w:t>
            </w:r>
            <w:r w:rsidR="008925FB">
              <w:rPr>
                <w:noProof/>
                <w:sz w:val="20"/>
                <w:szCs w:val="20"/>
              </w:rPr>
              <w:t xml:space="preserve">+ </w:t>
            </w:r>
            <w:r w:rsidR="005F182D">
              <w:rPr>
                <w:noProof/>
                <w:sz w:val="20"/>
                <w:szCs w:val="20"/>
              </w:rPr>
              <w:t>Desk research + interviews with MS representatives</w:t>
            </w:r>
          </w:p>
        </w:tc>
        <w:tc>
          <w:tcPr>
            <w:tcW w:w="698" w:type="pct"/>
            <w:shd w:val="clear" w:color="auto" w:fill="FFFFFF" w:themeFill="background1"/>
          </w:tcPr>
          <w:p w14:paraId="4C139DCF" w14:textId="5F9C3FDB" w:rsidR="00E90373" w:rsidRPr="00D74DE5" w:rsidRDefault="005F182D">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w:t>
            </w:r>
          </w:p>
        </w:tc>
        <w:tc>
          <w:tcPr>
            <w:tcW w:w="800" w:type="pct"/>
            <w:shd w:val="clear" w:color="auto" w:fill="FFFFFF" w:themeFill="background1"/>
          </w:tcPr>
          <w:p w14:paraId="2799DBFA" w14:textId="73379F7B"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it-IT"/>
              </w:rPr>
              <w:t>EC with MS validation</w:t>
            </w:r>
          </w:p>
        </w:tc>
      </w:tr>
    </w:tbl>
    <w:p w14:paraId="08DB7232" w14:textId="4ADF20CE" w:rsidR="00A444CA" w:rsidRDefault="00A444CA" w:rsidP="008B3EA7">
      <w:pPr>
        <w:pStyle w:val="Heading2"/>
        <w:numPr>
          <w:ilvl w:val="0"/>
          <w:numId w:val="102"/>
        </w:numPr>
        <w:spacing w:before="240"/>
        <w:ind w:left="482" w:hanging="482"/>
        <w:rPr>
          <w:noProof/>
          <w:lang w:val="en-IE"/>
        </w:rPr>
      </w:pPr>
      <w:bookmarkStart w:id="355" w:name="_Toc228346961"/>
      <w:r>
        <w:rPr>
          <w:noProof/>
          <w:lang w:val="en-IE"/>
        </w:rPr>
        <w:t xml:space="preserve">Impact </w:t>
      </w:r>
      <w:r w:rsidR="006A3701">
        <w:rPr>
          <w:noProof/>
          <w:lang w:val="en-IE"/>
        </w:rPr>
        <w:t>monitoring</w:t>
      </w:r>
      <w:r w:rsidR="00A124BD">
        <w:rPr>
          <w:noProof/>
          <w:lang w:val="en-IE"/>
        </w:rPr>
        <w:t>:</w:t>
      </w:r>
      <w:r w:rsidR="006A3701">
        <w:rPr>
          <w:noProof/>
          <w:lang w:val="en-IE"/>
        </w:rPr>
        <w:t xml:space="preserve"> long-term structural effects</w:t>
      </w:r>
      <w:bookmarkEnd w:id="355"/>
    </w:p>
    <w:p w14:paraId="17A4B65C" w14:textId="2C2D3F35" w:rsidR="00EF4285" w:rsidRPr="00EF4285" w:rsidRDefault="00EF4285" w:rsidP="00EF4285">
      <w:pPr>
        <w:pStyle w:val="Text2"/>
        <w:ind w:left="0"/>
        <w:rPr>
          <w:noProof/>
          <w:lang w:val="en-IE"/>
        </w:rPr>
      </w:pPr>
      <w:r>
        <w:rPr>
          <w:noProof/>
          <w:lang w:val="en-IE"/>
        </w:rPr>
        <w:t xml:space="preserve">Impacts </w:t>
      </w:r>
      <w:r w:rsidR="00451170">
        <w:rPr>
          <w:noProof/>
          <w:lang w:val="en-IE"/>
        </w:rPr>
        <w:t>concern</w:t>
      </w:r>
      <w:r>
        <w:rPr>
          <w:noProof/>
          <w:lang w:val="en-IE"/>
        </w:rPr>
        <w:t xml:space="preserve"> the long-term changes</w:t>
      </w:r>
      <w:r w:rsidR="00451170">
        <w:rPr>
          <w:noProof/>
          <w:lang w:val="en-IE"/>
        </w:rPr>
        <w:t>, i.e. materialised over longer horizons (often beyond 5 years)</w:t>
      </w:r>
      <w:r>
        <w:rPr>
          <w:noProof/>
          <w:lang w:val="en-IE"/>
        </w:rPr>
        <w:t xml:space="preserve"> in the EU’s economic, technological and strategic position, following this policy intervention. </w:t>
      </w:r>
      <w:r w:rsidR="004B665B">
        <w:rPr>
          <w:noProof/>
          <w:lang w:val="en-IE"/>
        </w:rPr>
        <w:t>Since these effects are expected to emerge progressively, they cannot be assessed through monitoring alone</w:t>
      </w:r>
      <w:r w:rsidR="008417CB">
        <w:rPr>
          <w:noProof/>
          <w:lang w:val="en-IE"/>
        </w:rPr>
        <w:t xml:space="preserve"> but should be the outcome of a more thorough analytical exercises which is able to disentangle the effects of the intervention from other policy choices or natural market developments. </w:t>
      </w:r>
    </w:p>
    <w:tbl>
      <w:tblPr>
        <w:tblStyle w:val="ListTable3-Accent5"/>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016"/>
        <w:gridCol w:w="1172"/>
        <w:gridCol w:w="1227"/>
        <w:gridCol w:w="1272"/>
        <w:gridCol w:w="1472"/>
        <w:gridCol w:w="1239"/>
      </w:tblGrid>
      <w:tr w:rsidR="00E90373" w:rsidRPr="00D74DE5" w14:paraId="506D4942" w14:textId="77777777" w:rsidTr="008B3EA7">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792" w:type="pct"/>
            <w:shd w:val="clear" w:color="auto" w:fill="0070C0"/>
            <w:vAlign w:val="center"/>
          </w:tcPr>
          <w:p w14:paraId="5E42AEEA" w14:textId="77777777" w:rsidR="00E90373" w:rsidRPr="00D74DE5" w:rsidRDefault="00E90373">
            <w:pPr>
              <w:spacing w:after="0"/>
              <w:rPr>
                <w:noProof/>
                <w:sz w:val="20"/>
                <w:szCs w:val="20"/>
              </w:rPr>
            </w:pPr>
            <w:r>
              <w:rPr>
                <w:noProof/>
                <w:sz w:val="20"/>
                <w:szCs w:val="20"/>
              </w:rPr>
              <w:t>Indicator</w:t>
            </w:r>
          </w:p>
        </w:tc>
        <w:tc>
          <w:tcPr>
            <w:tcW w:w="565" w:type="pct"/>
            <w:shd w:val="clear" w:color="auto" w:fill="0070C0"/>
            <w:vAlign w:val="center"/>
          </w:tcPr>
          <w:p w14:paraId="3F3D2D36" w14:textId="77777777" w:rsidR="00E90373" w:rsidRPr="00D74DE5"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Baseline</w:t>
            </w:r>
          </w:p>
        </w:tc>
        <w:tc>
          <w:tcPr>
            <w:tcW w:w="651" w:type="pct"/>
            <w:shd w:val="clear" w:color="auto" w:fill="0070C0"/>
            <w:vAlign w:val="center"/>
          </w:tcPr>
          <w:p w14:paraId="28FC412B"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Target</w:t>
            </w:r>
          </w:p>
        </w:tc>
        <w:tc>
          <w:tcPr>
            <w:tcW w:w="681" w:type="pct"/>
            <w:shd w:val="clear" w:color="auto" w:fill="0070C0"/>
            <w:vAlign w:val="center"/>
          </w:tcPr>
          <w:p w14:paraId="705CCC36"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Data source</w:t>
            </w:r>
          </w:p>
        </w:tc>
        <w:tc>
          <w:tcPr>
            <w:tcW w:w="706" w:type="pct"/>
            <w:shd w:val="clear" w:color="auto" w:fill="0070C0"/>
            <w:vAlign w:val="center"/>
          </w:tcPr>
          <w:p w14:paraId="3313194C" w14:textId="3E709DEB"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Collection method</w:t>
            </w:r>
          </w:p>
        </w:tc>
        <w:tc>
          <w:tcPr>
            <w:tcW w:w="817" w:type="pct"/>
            <w:shd w:val="clear" w:color="auto" w:fill="0070C0"/>
            <w:vAlign w:val="center"/>
          </w:tcPr>
          <w:p w14:paraId="7EBE3ED0" w14:textId="3B698568"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Frequency</w:t>
            </w:r>
          </w:p>
        </w:tc>
        <w:tc>
          <w:tcPr>
            <w:tcW w:w="788" w:type="pct"/>
            <w:shd w:val="clear" w:color="auto" w:fill="0070C0"/>
            <w:vAlign w:val="center"/>
          </w:tcPr>
          <w:p w14:paraId="637CB955" w14:textId="77777777" w:rsidR="00E90373" w:rsidRDefault="00E90373">
            <w:pPr>
              <w:spacing w:after="0"/>
              <w:jc w:val="center"/>
              <w:cnfStyle w:val="100000000000" w:firstRow="1" w:lastRow="0" w:firstColumn="0" w:lastColumn="0" w:oddVBand="0" w:evenVBand="0" w:oddHBand="0" w:evenHBand="0" w:firstRowFirstColumn="0" w:firstRowLastColumn="0" w:lastRowFirstColumn="0" w:lastRowLastColumn="0"/>
              <w:rPr>
                <w:noProof/>
                <w:sz w:val="20"/>
                <w:szCs w:val="20"/>
              </w:rPr>
            </w:pPr>
            <w:r>
              <w:rPr>
                <w:noProof/>
                <w:sz w:val="20"/>
                <w:szCs w:val="20"/>
              </w:rPr>
              <w:t>Responsible entity</w:t>
            </w:r>
          </w:p>
        </w:tc>
      </w:tr>
      <w:tr w:rsidR="00E90373" w:rsidRPr="008E5F3C" w14:paraId="223C1E01" w14:textId="77777777" w:rsidTr="008B3EA7">
        <w:trPr>
          <w:trHeight w:val="323"/>
        </w:trPr>
        <w:tc>
          <w:tcPr>
            <w:cnfStyle w:val="001000000000" w:firstRow="0" w:lastRow="0" w:firstColumn="1" w:lastColumn="0" w:oddVBand="0" w:evenVBand="0" w:oddHBand="0" w:evenHBand="0" w:firstRowFirstColumn="0" w:firstRowLastColumn="0" w:lastRowFirstColumn="0" w:lastRowLastColumn="0"/>
            <w:tcW w:w="792" w:type="pct"/>
            <w:shd w:val="clear" w:color="auto" w:fill="FFFFFF" w:themeFill="background1"/>
          </w:tcPr>
          <w:p w14:paraId="342578E9" w14:textId="32989072" w:rsidR="00E90373" w:rsidRPr="00E90373" w:rsidRDefault="00E90373" w:rsidP="00C16D95">
            <w:pPr>
              <w:spacing w:after="0"/>
              <w:rPr>
                <w:noProof/>
                <w:sz w:val="20"/>
                <w:szCs w:val="20"/>
              </w:rPr>
            </w:pPr>
            <w:r w:rsidRPr="00E90373">
              <w:rPr>
                <w:noProof/>
                <w:sz w:val="20"/>
                <w:szCs w:val="20"/>
              </w:rPr>
              <w:t>EU computing capacity covering EU demand</w:t>
            </w:r>
          </w:p>
        </w:tc>
        <w:tc>
          <w:tcPr>
            <w:tcW w:w="565" w:type="pct"/>
            <w:shd w:val="clear" w:color="auto" w:fill="FFFFFF" w:themeFill="background1"/>
          </w:tcPr>
          <w:p w14:paraId="1C9C440F" w14:textId="6A261240" w:rsidR="00E90373" w:rsidRPr="00C16D95" w:rsidRDefault="00281B64">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2025 </w:t>
            </w:r>
            <w:r w:rsidR="00E90373">
              <w:rPr>
                <w:noProof/>
                <w:sz w:val="20"/>
                <w:szCs w:val="20"/>
              </w:rPr>
              <w:t>Gap:</w:t>
            </w:r>
            <w:r w:rsidR="00242AA9">
              <w:rPr>
                <w:noProof/>
                <w:sz w:val="20"/>
                <w:szCs w:val="20"/>
              </w:rPr>
              <w:t xml:space="preserve"> </w:t>
            </w:r>
            <w:r>
              <w:rPr>
                <w:noProof/>
                <w:sz w:val="20"/>
                <w:szCs w:val="20"/>
              </w:rPr>
              <w:t>3 GW</w:t>
            </w:r>
          </w:p>
        </w:tc>
        <w:tc>
          <w:tcPr>
            <w:tcW w:w="651" w:type="pct"/>
            <w:shd w:val="clear" w:color="auto" w:fill="FFFFFF" w:themeFill="background1"/>
          </w:tcPr>
          <w:p w14:paraId="31EBBCE1" w14:textId="69866FCA" w:rsidR="00E90373" w:rsidRPr="00C16D95" w:rsidRDefault="00EC102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en-IE"/>
              </w:rPr>
              <w:t xml:space="preserve">Future residual gap </w:t>
            </w:r>
            <w:r w:rsidR="00E90373">
              <w:rPr>
                <w:noProof/>
                <w:sz w:val="20"/>
                <w:szCs w:val="20"/>
                <w:lang w:val="en-IE"/>
              </w:rPr>
              <w:t>&lt; 0.5 GW</w:t>
            </w:r>
          </w:p>
        </w:tc>
        <w:tc>
          <w:tcPr>
            <w:tcW w:w="681" w:type="pct"/>
            <w:shd w:val="clear" w:color="auto" w:fill="FFFFFF" w:themeFill="background1"/>
          </w:tcPr>
          <w:p w14:paraId="3BB9DDE1" w14:textId="55CAEAE2" w:rsidR="00E90373" w:rsidRPr="00C16D95" w:rsidRDefault="00EC102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rPr>
              <w:t>O</w:t>
            </w:r>
            <w:r w:rsidRPr="00EC1027">
              <w:rPr>
                <w:noProof/>
                <w:sz w:val="20"/>
                <w:szCs w:val="20"/>
              </w:rPr>
              <w:t>perator disclosures; ENTSO-E grid connection data; industry market studies</w:t>
            </w:r>
          </w:p>
        </w:tc>
        <w:tc>
          <w:tcPr>
            <w:tcW w:w="706" w:type="pct"/>
            <w:shd w:val="clear" w:color="auto" w:fill="FFFFFF" w:themeFill="background1"/>
          </w:tcPr>
          <w:p w14:paraId="6481C7EB" w14:textId="5AD8C4E5" w:rsidR="00E90373" w:rsidRPr="00C16D95" w:rsidRDefault="00EC102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743B56">
              <w:rPr>
                <w:noProof/>
                <w:sz w:val="20"/>
                <w:szCs w:val="20"/>
                <w:lang w:val="en-IE"/>
              </w:rPr>
              <w:t>Desk research + survey (see methodology above)</w:t>
            </w:r>
          </w:p>
        </w:tc>
        <w:tc>
          <w:tcPr>
            <w:tcW w:w="817" w:type="pct"/>
            <w:shd w:val="clear" w:color="auto" w:fill="FFFFFF" w:themeFill="background1"/>
          </w:tcPr>
          <w:p w14:paraId="61DF71A3" w14:textId="4D24FB99" w:rsidR="00E90373" w:rsidRPr="00C16D95" w:rsidRDefault="008B3EA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8B3EA7">
              <w:rPr>
                <w:noProof/>
                <w:sz w:val="20"/>
                <w:szCs w:val="20"/>
              </w:rPr>
              <w:t xml:space="preserve">Annual (Year-5 </w:t>
            </w:r>
            <w:r>
              <w:rPr>
                <w:noProof/>
                <w:sz w:val="20"/>
                <w:szCs w:val="20"/>
              </w:rPr>
              <w:t xml:space="preserve">interim </w:t>
            </w:r>
            <w:r w:rsidRPr="008B3EA7">
              <w:rPr>
                <w:noProof/>
                <w:sz w:val="20"/>
                <w:szCs w:val="20"/>
              </w:rPr>
              <w:t>evaluation synthesis)</w:t>
            </w:r>
          </w:p>
        </w:tc>
        <w:tc>
          <w:tcPr>
            <w:tcW w:w="788" w:type="pct"/>
            <w:shd w:val="clear" w:color="auto" w:fill="FFFFFF" w:themeFill="background1"/>
          </w:tcPr>
          <w:p w14:paraId="5417704D" w14:textId="38242C21" w:rsidR="00E90373" w:rsidRPr="00C16D9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lang w:val="it-IT"/>
              </w:rPr>
              <w:t>EC with MS validation</w:t>
            </w:r>
          </w:p>
        </w:tc>
      </w:tr>
      <w:tr w:rsidR="00E90373" w:rsidRPr="00D74DE5" w14:paraId="676724F4" w14:textId="77777777" w:rsidTr="008B3EA7">
        <w:trPr>
          <w:trHeight w:val="373"/>
        </w:trPr>
        <w:tc>
          <w:tcPr>
            <w:cnfStyle w:val="001000000000" w:firstRow="0" w:lastRow="0" w:firstColumn="1" w:lastColumn="0" w:oddVBand="0" w:evenVBand="0" w:oddHBand="0" w:evenHBand="0" w:firstRowFirstColumn="0" w:firstRowLastColumn="0" w:lastRowFirstColumn="0" w:lastRowLastColumn="0"/>
            <w:tcW w:w="792" w:type="pct"/>
            <w:shd w:val="clear" w:color="auto" w:fill="FFFFFF" w:themeFill="background1"/>
          </w:tcPr>
          <w:p w14:paraId="7F38EC50" w14:textId="3091619E" w:rsidR="00E90373" w:rsidRPr="00E90373" w:rsidRDefault="005B6E46" w:rsidP="00C16D95">
            <w:pPr>
              <w:spacing w:after="0"/>
              <w:rPr>
                <w:noProof/>
                <w:sz w:val="20"/>
                <w:szCs w:val="20"/>
              </w:rPr>
            </w:pPr>
            <w:r>
              <w:rPr>
                <w:noProof/>
                <w:sz w:val="20"/>
                <w:szCs w:val="20"/>
              </w:rPr>
              <w:t xml:space="preserve">Lower carbon intensity of digital infrastructure </w:t>
            </w:r>
          </w:p>
        </w:tc>
        <w:tc>
          <w:tcPr>
            <w:tcW w:w="565" w:type="pct"/>
            <w:shd w:val="clear" w:color="auto" w:fill="FFFFFF" w:themeFill="background1"/>
          </w:tcPr>
          <w:p w14:paraId="45CEBA50" w14:textId="0620A818" w:rsidR="00E90373" w:rsidRPr="00D74DE5" w:rsidRDefault="008F5F4C">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Estimated </w:t>
            </w:r>
            <w:r w:rsidRPr="0013778A">
              <w:rPr>
                <w:noProof/>
                <w:sz w:val="20"/>
                <w:szCs w:val="20"/>
                <w:lang w:val="en-IE"/>
              </w:rPr>
              <w:t>kgCO₂e per compute unit (see Annex 4)</w:t>
            </w:r>
            <w:r>
              <w:rPr>
                <w:noProof/>
                <w:sz w:val="20"/>
                <w:szCs w:val="20"/>
              </w:rPr>
              <w:t xml:space="preserve"> </w:t>
            </w:r>
          </w:p>
        </w:tc>
        <w:tc>
          <w:tcPr>
            <w:tcW w:w="651" w:type="pct"/>
            <w:shd w:val="clear" w:color="auto" w:fill="FFFFFF" w:themeFill="background1"/>
          </w:tcPr>
          <w:p w14:paraId="26CE75A4" w14:textId="121E3DC1" w:rsidR="00E90373" w:rsidRPr="008F5F4C" w:rsidRDefault="008F5F4C">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it-IT"/>
              </w:rPr>
            </w:pPr>
            <w:r>
              <w:rPr>
                <w:noProof/>
                <w:sz w:val="20"/>
                <w:szCs w:val="20"/>
                <w:lang w:val="it-IT"/>
              </w:rPr>
              <w:t xml:space="preserve">Decreasing </w:t>
            </w:r>
            <w:r w:rsidRPr="008F5F4C">
              <w:rPr>
                <w:noProof/>
                <w:sz w:val="20"/>
                <w:szCs w:val="20"/>
                <w:lang w:val="it-IT"/>
              </w:rPr>
              <w:t>kgCO₂e per compute unit</w:t>
            </w:r>
          </w:p>
        </w:tc>
        <w:tc>
          <w:tcPr>
            <w:tcW w:w="681" w:type="pct"/>
            <w:shd w:val="clear" w:color="auto" w:fill="FFFFFF" w:themeFill="background1"/>
          </w:tcPr>
          <w:p w14:paraId="5983E19A" w14:textId="6836629C" w:rsidR="00E90373" w:rsidRPr="00EC1027" w:rsidRDefault="00093AA5">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093AA5">
              <w:rPr>
                <w:noProof/>
                <w:sz w:val="20"/>
                <w:szCs w:val="20"/>
              </w:rPr>
              <w:t>Operator energy reporting; national grid emission factors; life-cycle assessment parameters</w:t>
            </w:r>
          </w:p>
        </w:tc>
        <w:tc>
          <w:tcPr>
            <w:tcW w:w="706" w:type="pct"/>
            <w:shd w:val="clear" w:color="auto" w:fill="FFFFFF" w:themeFill="background1"/>
          </w:tcPr>
          <w:p w14:paraId="3372C6A9" w14:textId="128910A5" w:rsidR="00E90373" w:rsidRPr="00EC1027" w:rsidRDefault="00EC102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Pr>
                <w:noProof/>
                <w:sz w:val="20"/>
                <w:szCs w:val="20"/>
              </w:rPr>
              <w:t>Desk/ market research + Survey + interviews</w:t>
            </w:r>
          </w:p>
        </w:tc>
        <w:tc>
          <w:tcPr>
            <w:tcW w:w="817" w:type="pct"/>
            <w:shd w:val="clear" w:color="auto" w:fill="FFFFFF" w:themeFill="background1"/>
          </w:tcPr>
          <w:p w14:paraId="553C0295" w14:textId="14B7C9EA" w:rsidR="00E90373" w:rsidRPr="00EC1027" w:rsidRDefault="00EC1027">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val="en-IE"/>
              </w:rPr>
            </w:pPr>
            <w:r w:rsidRPr="00EC1027">
              <w:rPr>
                <w:noProof/>
                <w:sz w:val="20"/>
                <w:szCs w:val="20"/>
              </w:rPr>
              <w:t>Annual (full assessment at Year 5)</w:t>
            </w:r>
          </w:p>
        </w:tc>
        <w:tc>
          <w:tcPr>
            <w:tcW w:w="788" w:type="pct"/>
            <w:shd w:val="clear" w:color="auto" w:fill="FFFFFF" w:themeFill="background1"/>
          </w:tcPr>
          <w:p w14:paraId="7A3BE904" w14:textId="7F1F0412" w:rsidR="00E90373" w:rsidRPr="00D74DE5" w:rsidRDefault="00E90373">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lang w:val="it-IT"/>
              </w:rPr>
              <w:t>EC with MS validation</w:t>
            </w:r>
          </w:p>
        </w:tc>
      </w:tr>
      <w:tr w:rsidR="008B3EA7" w:rsidRPr="00D74DE5" w14:paraId="4074A0B1" w14:textId="77777777" w:rsidTr="008B3EA7">
        <w:trPr>
          <w:trHeight w:val="352"/>
        </w:trPr>
        <w:tc>
          <w:tcPr>
            <w:cnfStyle w:val="001000000000" w:firstRow="0" w:lastRow="0" w:firstColumn="1" w:lastColumn="0" w:oddVBand="0" w:evenVBand="0" w:oddHBand="0" w:evenHBand="0" w:firstRowFirstColumn="0" w:firstRowLastColumn="0" w:lastRowFirstColumn="0" w:lastRowLastColumn="0"/>
            <w:tcW w:w="792" w:type="pct"/>
            <w:shd w:val="clear" w:color="auto" w:fill="FFFFFF" w:themeFill="background1"/>
          </w:tcPr>
          <w:p w14:paraId="3CC610AD" w14:textId="39B9CCBE" w:rsidR="002F5FC5" w:rsidRPr="00E90373" w:rsidRDefault="002F5FC5" w:rsidP="005A400A">
            <w:pPr>
              <w:spacing w:after="0"/>
              <w:rPr>
                <w:noProof/>
                <w:sz w:val="20"/>
                <w:szCs w:val="20"/>
              </w:rPr>
            </w:pPr>
            <w:r>
              <w:rPr>
                <w:noProof/>
                <w:sz w:val="20"/>
                <w:szCs w:val="20"/>
              </w:rPr>
              <w:t>Market contestability and higher global competitiveness of EU industry</w:t>
            </w:r>
          </w:p>
        </w:tc>
        <w:tc>
          <w:tcPr>
            <w:tcW w:w="565" w:type="pct"/>
            <w:shd w:val="clear" w:color="auto" w:fill="FFFFFF" w:themeFill="background1"/>
          </w:tcPr>
          <w:p w14:paraId="157A87B4" w14:textId="02B787C0" w:rsidR="002F5FC5" w:rsidRPr="00D74DE5" w:rsidRDefault="002F5FC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Low</w:t>
            </w:r>
          </w:p>
        </w:tc>
        <w:tc>
          <w:tcPr>
            <w:tcW w:w="651" w:type="pct"/>
            <w:shd w:val="clear" w:color="auto" w:fill="FFFFFF" w:themeFill="background1"/>
          </w:tcPr>
          <w:p w14:paraId="18B4C97A" w14:textId="32300495" w:rsidR="002F5FC5" w:rsidRPr="00D74DE5" w:rsidRDefault="001D71A0">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1D71A0">
              <w:rPr>
                <w:noProof/>
                <w:sz w:val="20"/>
                <w:szCs w:val="20"/>
              </w:rPr>
              <w:t>More bidders, lower lock-in signals</w:t>
            </w:r>
            <w:r>
              <w:rPr>
                <w:noProof/>
                <w:sz w:val="20"/>
                <w:szCs w:val="20"/>
              </w:rPr>
              <w:t>, higher market shares for EU providers</w:t>
            </w:r>
          </w:p>
        </w:tc>
        <w:tc>
          <w:tcPr>
            <w:tcW w:w="681" w:type="pct"/>
            <w:shd w:val="clear" w:color="auto" w:fill="FFFFFF" w:themeFill="background1"/>
          </w:tcPr>
          <w:p w14:paraId="6AA212ED" w14:textId="403417BB" w:rsidR="002F5FC5" w:rsidRPr="00D74DE5" w:rsidRDefault="00994A0C">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Public procurement databases (TED), portability metrics from providers</w:t>
            </w:r>
          </w:p>
        </w:tc>
        <w:tc>
          <w:tcPr>
            <w:tcW w:w="706" w:type="pct"/>
            <w:shd w:val="clear" w:color="auto" w:fill="FFFFFF" w:themeFill="background1"/>
          </w:tcPr>
          <w:p w14:paraId="66BD047B" w14:textId="781CD761" w:rsidR="002F5FC5" w:rsidRPr="00D74DE5" w:rsidRDefault="00994A0C">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Tender analytics</w:t>
            </w:r>
            <w:r w:rsidR="001D71A0">
              <w:rPr>
                <w:noProof/>
                <w:sz w:val="20"/>
                <w:szCs w:val="20"/>
              </w:rPr>
              <w:t xml:space="preserve"> + interviews with providers and users</w:t>
            </w:r>
            <w:r>
              <w:rPr>
                <w:noProof/>
                <w:sz w:val="20"/>
                <w:szCs w:val="20"/>
              </w:rPr>
              <w:t xml:space="preserve"> + survey (e.g. SME target)</w:t>
            </w:r>
          </w:p>
        </w:tc>
        <w:tc>
          <w:tcPr>
            <w:tcW w:w="817" w:type="pct"/>
            <w:shd w:val="clear" w:color="auto" w:fill="FFFFFF" w:themeFill="background1"/>
          </w:tcPr>
          <w:p w14:paraId="7C61E295" w14:textId="5947EDE5" w:rsidR="002F5FC5" w:rsidRPr="00D74DE5" w:rsidRDefault="001B4D8B">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At least 5 years after implementation </w:t>
            </w:r>
          </w:p>
        </w:tc>
        <w:tc>
          <w:tcPr>
            <w:tcW w:w="788" w:type="pct"/>
            <w:shd w:val="clear" w:color="auto" w:fill="FFFFFF" w:themeFill="background1"/>
          </w:tcPr>
          <w:p w14:paraId="523E70A7" w14:textId="1438654B" w:rsidR="002F5FC5" w:rsidRDefault="001B4D8B">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EC/others</w:t>
            </w:r>
          </w:p>
        </w:tc>
      </w:tr>
      <w:tr w:rsidR="00E90373" w:rsidRPr="00D74DE5" w14:paraId="4E788F19" w14:textId="77777777" w:rsidTr="008B3EA7">
        <w:trPr>
          <w:trHeight w:val="352"/>
        </w:trPr>
        <w:tc>
          <w:tcPr>
            <w:cnfStyle w:val="001000000000" w:firstRow="0" w:lastRow="0" w:firstColumn="1" w:lastColumn="0" w:oddVBand="0" w:evenVBand="0" w:oddHBand="0" w:evenHBand="0" w:firstRowFirstColumn="0" w:firstRowLastColumn="0" w:lastRowFirstColumn="0" w:lastRowLastColumn="0"/>
            <w:tcW w:w="792" w:type="pct"/>
            <w:shd w:val="clear" w:color="auto" w:fill="FFFFFF" w:themeFill="background1"/>
          </w:tcPr>
          <w:p w14:paraId="40303987" w14:textId="0925D964" w:rsidR="00E90373" w:rsidRPr="00E90373" w:rsidRDefault="00E90373" w:rsidP="005A400A">
            <w:pPr>
              <w:spacing w:after="0"/>
              <w:rPr>
                <w:noProof/>
                <w:sz w:val="20"/>
                <w:szCs w:val="20"/>
              </w:rPr>
            </w:pPr>
            <w:r>
              <w:rPr>
                <w:noProof/>
                <w:sz w:val="20"/>
                <w:szCs w:val="20"/>
              </w:rPr>
              <w:t xml:space="preserve">Improved strategic </w:t>
            </w:r>
            <w:r w:rsidRPr="00E90373">
              <w:rPr>
                <w:noProof/>
                <w:sz w:val="20"/>
                <w:szCs w:val="20"/>
              </w:rPr>
              <w:t xml:space="preserve">autonomy </w:t>
            </w:r>
            <w:r w:rsidR="0017030F">
              <w:rPr>
                <w:noProof/>
                <w:sz w:val="20"/>
                <w:szCs w:val="20"/>
              </w:rPr>
              <w:t>and reduced dependencies</w:t>
            </w:r>
          </w:p>
        </w:tc>
        <w:tc>
          <w:tcPr>
            <w:tcW w:w="565" w:type="pct"/>
            <w:shd w:val="clear" w:color="auto" w:fill="FFFFFF" w:themeFill="background1"/>
          </w:tcPr>
          <w:p w14:paraId="151BC204" w14:textId="2C86306B" w:rsidR="00E90373" w:rsidRPr="00D74DE5" w:rsidRDefault="00D5795C">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 xml:space="preserve">Baseline study </w:t>
            </w:r>
          </w:p>
        </w:tc>
        <w:tc>
          <w:tcPr>
            <w:tcW w:w="651" w:type="pct"/>
            <w:shd w:val="clear" w:color="auto" w:fill="FFFFFF" w:themeFill="background1"/>
          </w:tcPr>
          <w:p w14:paraId="64EEE25A" w14:textId="73A58E32" w:rsidR="00E90373" w:rsidRPr="00D74DE5" w:rsidRDefault="00D5795C">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Structural reduction in dependency</w:t>
            </w:r>
          </w:p>
        </w:tc>
        <w:tc>
          <w:tcPr>
            <w:tcW w:w="681" w:type="pct"/>
            <w:shd w:val="clear" w:color="auto" w:fill="FFFFFF" w:themeFill="background1"/>
          </w:tcPr>
          <w:p w14:paraId="3B6E7ACD" w14:textId="35DD3D5A" w:rsidR="00E90373" w:rsidRPr="00D74DE5" w:rsidRDefault="00F04F3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sidRPr="00F04F35">
              <w:rPr>
                <w:noProof/>
                <w:sz w:val="20"/>
                <w:szCs w:val="20"/>
              </w:rPr>
              <w:t xml:space="preserve">Market sizing; </w:t>
            </w:r>
            <w:r w:rsidR="00D5795C">
              <w:rPr>
                <w:noProof/>
                <w:sz w:val="20"/>
                <w:szCs w:val="20"/>
              </w:rPr>
              <w:t>customs</w:t>
            </w:r>
            <w:r w:rsidRPr="00F04F35">
              <w:rPr>
                <w:noProof/>
                <w:sz w:val="20"/>
                <w:szCs w:val="20"/>
              </w:rPr>
              <w:t xml:space="preserve"> statistics</w:t>
            </w:r>
            <w:r w:rsidR="00D5795C">
              <w:rPr>
                <w:noProof/>
                <w:sz w:val="20"/>
                <w:szCs w:val="20"/>
              </w:rPr>
              <w:t>; provider data</w:t>
            </w:r>
          </w:p>
        </w:tc>
        <w:tc>
          <w:tcPr>
            <w:tcW w:w="706" w:type="pct"/>
            <w:shd w:val="clear" w:color="auto" w:fill="FFFFFF" w:themeFill="background1"/>
          </w:tcPr>
          <w:p w14:paraId="1869D7BA" w14:textId="03B31E80" w:rsidR="00E90373" w:rsidRPr="00D74DE5" w:rsidRDefault="00D5795C">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Desk research</w:t>
            </w:r>
          </w:p>
        </w:tc>
        <w:tc>
          <w:tcPr>
            <w:tcW w:w="817" w:type="pct"/>
            <w:shd w:val="clear" w:color="auto" w:fill="FFFFFF" w:themeFill="background1"/>
          </w:tcPr>
          <w:p w14:paraId="2F85B876" w14:textId="39290059" w:rsidR="00E90373" w:rsidRPr="00D74DE5" w:rsidRDefault="00F04F35">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Annual + Year 5</w:t>
            </w:r>
          </w:p>
        </w:tc>
        <w:tc>
          <w:tcPr>
            <w:tcW w:w="788" w:type="pct"/>
            <w:shd w:val="clear" w:color="auto" w:fill="FFFFFF" w:themeFill="background1"/>
          </w:tcPr>
          <w:p w14:paraId="3802620E" w14:textId="18CDE4C6" w:rsidR="00E90373" w:rsidRPr="00D74DE5" w:rsidRDefault="00E90373">
            <w:pPr>
              <w:spacing w:after="0"/>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EC</w:t>
            </w:r>
            <w:r w:rsidR="00F04F35">
              <w:rPr>
                <w:noProof/>
                <w:sz w:val="20"/>
                <w:szCs w:val="20"/>
              </w:rPr>
              <w:t>/others</w:t>
            </w:r>
            <w:r w:rsidR="00994A0C">
              <w:rPr>
                <w:noProof/>
                <w:sz w:val="20"/>
                <w:szCs w:val="20"/>
              </w:rPr>
              <w:t xml:space="preserve"> + MS and relevant agencies</w:t>
            </w:r>
          </w:p>
        </w:tc>
      </w:tr>
    </w:tbl>
    <w:p w14:paraId="6A2BF61E" w14:textId="77777777" w:rsidR="00A444CA" w:rsidRDefault="00A444CA">
      <w:pPr>
        <w:rPr>
          <w:noProof/>
        </w:rPr>
      </w:pPr>
    </w:p>
    <w:p w14:paraId="6B93F688" w14:textId="58679F72" w:rsidR="00647A40" w:rsidRDefault="00647A40" w:rsidP="00647A40">
      <w:pPr>
        <w:pStyle w:val="Heading2"/>
        <w:numPr>
          <w:ilvl w:val="0"/>
          <w:numId w:val="102"/>
        </w:numPr>
        <w:rPr>
          <w:noProof/>
          <w:lang w:val="en-IE"/>
        </w:rPr>
      </w:pPr>
      <w:bookmarkStart w:id="356" w:name="_Toc228346962"/>
      <w:r>
        <w:rPr>
          <w:noProof/>
          <w:lang w:val="en-IE"/>
        </w:rPr>
        <w:t>Evaluation arrangements and timing</w:t>
      </w:r>
      <w:bookmarkEnd w:id="356"/>
      <w:r>
        <w:rPr>
          <w:noProof/>
          <w:lang w:val="en-IE"/>
        </w:rPr>
        <w:t xml:space="preserve"> </w:t>
      </w:r>
    </w:p>
    <w:p w14:paraId="5C396895" w14:textId="0BE626A5" w:rsidR="00BD6475" w:rsidRDefault="002834C5" w:rsidP="00647A40">
      <w:pPr>
        <w:pStyle w:val="Text2"/>
        <w:ind w:left="0"/>
        <w:rPr>
          <w:noProof/>
          <w:lang w:val="en-IE"/>
        </w:rPr>
      </w:pPr>
      <w:r>
        <w:rPr>
          <w:noProof/>
          <w:lang w:val="en-IE"/>
        </w:rPr>
        <w:t xml:space="preserve">The evaluation </w:t>
      </w:r>
      <w:r w:rsidR="00DB4248">
        <w:rPr>
          <w:noProof/>
          <w:lang w:val="en-IE"/>
        </w:rPr>
        <w:t>will be</w:t>
      </w:r>
      <w:r>
        <w:rPr>
          <w:noProof/>
          <w:lang w:val="en-IE"/>
        </w:rPr>
        <w:t xml:space="preserve"> structured </w:t>
      </w:r>
      <w:r w:rsidR="00B032B4">
        <w:rPr>
          <w:noProof/>
          <w:lang w:val="en-IE"/>
        </w:rPr>
        <w:t>to understand how the observed impact and changes</w:t>
      </w:r>
      <w:r w:rsidR="00B666B7">
        <w:rPr>
          <w:noProof/>
          <w:lang w:val="en-IE"/>
        </w:rPr>
        <w:t xml:space="preserve"> can be attributed to this specific policy intervention</w:t>
      </w:r>
      <w:r w:rsidR="005E080D">
        <w:rPr>
          <w:noProof/>
          <w:lang w:val="en-IE"/>
        </w:rPr>
        <w:t>.</w:t>
      </w:r>
      <w:r w:rsidR="00B666B7">
        <w:rPr>
          <w:noProof/>
          <w:lang w:val="en-IE"/>
        </w:rPr>
        <w:t xml:space="preserve"> </w:t>
      </w:r>
      <w:r w:rsidR="00BD6475">
        <w:rPr>
          <w:noProof/>
          <w:lang w:val="en-IE"/>
        </w:rPr>
        <w:t xml:space="preserve">The study conducted as part of the monitoring </w:t>
      </w:r>
      <w:r w:rsidR="00A97303">
        <w:rPr>
          <w:noProof/>
          <w:lang w:val="en-IE"/>
        </w:rPr>
        <w:t xml:space="preserve">of capacity deployment during the first year of implementation will be used to validate indicators, data sources and targets. </w:t>
      </w:r>
      <w:r w:rsidR="007B15DB">
        <w:rPr>
          <w:noProof/>
          <w:lang w:val="en-IE"/>
        </w:rPr>
        <w:t>A mid-term evaluation can be conducted after the third year of implementation of the intervention</w:t>
      </w:r>
      <w:r w:rsidR="00D87A30">
        <w:rPr>
          <w:noProof/>
          <w:lang w:val="en-IE"/>
        </w:rPr>
        <w:t>, to better understand the early outcomes and effectiveness</w:t>
      </w:r>
      <w:r w:rsidR="005E5994">
        <w:rPr>
          <w:noProof/>
          <w:lang w:val="en-IE"/>
        </w:rPr>
        <w:t xml:space="preserve"> of the intervention</w:t>
      </w:r>
      <w:r w:rsidR="00DB4248">
        <w:rPr>
          <w:noProof/>
          <w:lang w:val="en-IE"/>
        </w:rPr>
        <w:t xml:space="preserve"> (using data collected above)</w:t>
      </w:r>
      <w:r w:rsidR="00FB30F1">
        <w:rPr>
          <w:noProof/>
          <w:lang w:val="en-IE"/>
        </w:rPr>
        <w:t>.</w:t>
      </w:r>
      <w:r w:rsidR="005E5994">
        <w:rPr>
          <w:noProof/>
          <w:lang w:val="en-IE"/>
        </w:rPr>
        <w:t xml:space="preserve"> The full evaluation is then expected five years after the implementation of the intervention to assess the outcomes</w:t>
      </w:r>
      <w:r w:rsidR="00367052">
        <w:rPr>
          <w:noProof/>
          <w:lang w:val="en-IE"/>
        </w:rPr>
        <w:t xml:space="preserve"> and identify early impacts. </w:t>
      </w:r>
      <w:r w:rsidR="00FB30F1">
        <w:rPr>
          <w:noProof/>
          <w:lang w:val="en-IE"/>
        </w:rPr>
        <w:t xml:space="preserve"> </w:t>
      </w:r>
    </w:p>
    <w:p w14:paraId="2D8E62BB" w14:textId="20E3BF95" w:rsidR="00647A40" w:rsidRDefault="00AA74C4" w:rsidP="00647A40">
      <w:pPr>
        <w:pStyle w:val="Text2"/>
        <w:ind w:left="0"/>
        <w:rPr>
          <w:noProof/>
          <w:lang w:val="en-IE"/>
        </w:rPr>
      </w:pPr>
      <w:r>
        <w:rPr>
          <w:noProof/>
          <w:lang w:val="en-IE"/>
        </w:rPr>
        <w:t>To prevent parallel reporting</w:t>
      </w:r>
      <w:r w:rsidR="001C6EC7">
        <w:rPr>
          <w:noProof/>
          <w:lang w:val="en-IE"/>
        </w:rPr>
        <w:t>, avoid duplication and benefit from synergies with existing initiatives, the programme should reuse:</w:t>
      </w:r>
    </w:p>
    <w:p w14:paraId="150CBCFD" w14:textId="35EA929B" w:rsidR="00251F15" w:rsidRDefault="00403758" w:rsidP="003E3B39">
      <w:pPr>
        <w:pStyle w:val="Text2"/>
        <w:numPr>
          <w:ilvl w:val="0"/>
          <w:numId w:val="103"/>
        </w:numPr>
        <w:spacing w:after="0"/>
        <w:rPr>
          <w:noProof/>
          <w:lang w:val="en-IE"/>
        </w:rPr>
      </w:pPr>
      <w:r>
        <w:rPr>
          <w:noProof/>
          <w:lang w:val="en-IE"/>
        </w:rPr>
        <w:t xml:space="preserve">Eurostat business statistics </w:t>
      </w:r>
    </w:p>
    <w:p w14:paraId="58FD9A38" w14:textId="55C0DBC1" w:rsidR="00403758" w:rsidRDefault="001E4328" w:rsidP="00D176F6">
      <w:pPr>
        <w:pStyle w:val="Text2"/>
        <w:numPr>
          <w:ilvl w:val="0"/>
          <w:numId w:val="103"/>
        </w:numPr>
        <w:spacing w:after="0"/>
        <w:rPr>
          <w:noProof/>
          <w:lang w:val="en-IE"/>
        </w:rPr>
      </w:pPr>
      <w:r>
        <w:rPr>
          <w:noProof/>
          <w:lang w:val="en-IE"/>
        </w:rPr>
        <w:t xml:space="preserve">National regulatory authorities and BEREC </w:t>
      </w:r>
      <w:r w:rsidR="00E86AC1">
        <w:rPr>
          <w:noProof/>
          <w:lang w:val="en-IE"/>
        </w:rPr>
        <w:t>reporting</w:t>
      </w:r>
    </w:p>
    <w:p w14:paraId="268D609B" w14:textId="4076B5BD" w:rsidR="00E86AC1" w:rsidRPr="003E3B39" w:rsidRDefault="00E86AC1" w:rsidP="00D176F6">
      <w:pPr>
        <w:pStyle w:val="Text2"/>
        <w:numPr>
          <w:ilvl w:val="0"/>
          <w:numId w:val="103"/>
        </w:numPr>
        <w:spacing w:after="0"/>
        <w:rPr>
          <w:noProof/>
          <w:lang w:val="en-IE"/>
        </w:rPr>
      </w:pPr>
      <w:r w:rsidRPr="002C3942">
        <w:rPr>
          <w:noProof/>
          <w:lang w:val="en-IE"/>
        </w:rPr>
        <w:t>Procurement electronic databases, e.g. T</w:t>
      </w:r>
      <w:r w:rsidRPr="003E3B39">
        <w:rPr>
          <w:noProof/>
          <w:lang w:val="en-IE"/>
        </w:rPr>
        <w:t>ED</w:t>
      </w:r>
    </w:p>
    <w:p w14:paraId="5831E9B0" w14:textId="507B543C" w:rsidR="00E86AC1" w:rsidRDefault="007B762F" w:rsidP="00D176F6">
      <w:pPr>
        <w:pStyle w:val="Text2"/>
        <w:numPr>
          <w:ilvl w:val="0"/>
          <w:numId w:val="103"/>
        </w:numPr>
        <w:spacing w:after="0"/>
        <w:rPr>
          <w:noProof/>
          <w:lang w:val="en-IE"/>
        </w:rPr>
      </w:pPr>
      <w:r w:rsidRPr="003E3B39">
        <w:rPr>
          <w:noProof/>
          <w:lang w:val="en-IE"/>
        </w:rPr>
        <w:t>Energy systems data from T</w:t>
      </w:r>
      <w:r>
        <w:rPr>
          <w:noProof/>
          <w:lang w:val="en-IE"/>
        </w:rPr>
        <w:t>SOs and DSOs, national energy agencies</w:t>
      </w:r>
    </w:p>
    <w:p w14:paraId="3EE9AD9D" w14:textId="58FE00B6" w:rsidR="007B762F" w:rsidRDefault="007B762F" w:rsidP="003E3B39">
      <w:pPr>
        <w:pStyle w:val="Text2"/>
        <w:numPr>
          <w:ilvl w:val="0"/>
          <w:numId w:val="103"/>
        </w:numPr>
        <w:spacing w:after="0"/>
        <w:rPr>
          <w:noProof/>
          <w:lang w:val="en-IE"/>
        </w:rPr>
      </w:pPr>
      <w:r>
        <w:rPr>
          <w:noProof/>
          <w:lang w:val="en-IE"/>
        </w:rPr>
        <w:t xml:space="preserve">Existing </w:t>
      </w:r>
      <w:r w:rsidR="00934A63">
        <w:rPr>
          <w:noProof/>
          <w:lang w:val="en-IE"/>
        </w:rPr>
        <w:t xml:space="preserve">and future </w:t>
      </w:r>
      <w:r>
        <w:rPr>
          <w:noProof/>
          <w:lang w:val="en-IE"/>
        </w:rPr>
        <w:t>programmes, such as the Digital Decade Policy Programme</w:t>
      </w:r>
      <w:r w:rsidR="00934A63">
        <w:rPr>
          <w:noProof/>
          <w:lang w:val="en-IE"/>
        </w:rPr>
        <w:t>, RRF reporting templates</w:t>
      </w:r>
    </w:p>
    <w:p w14:paraId="394D5E29" w14:textId="77777777" w:rsidR="007C448E" w:rsidRDefault="007C448E" w:rsidP="00470B39">
      <w:pPr>
        <w:pStyle w:val="Text2"/>
        <w:spacing w:after="0"/>
        <w:ind w:left="0"/>
        <w:rPr>
          <w:noProof/>
          <w:lang w:val="en-IE"/>
        </w:rPr>
      </w:pPr>
    </w:p>
    <w:p w14:paraId="3D341717" w14:textId="32043888" w:rsidR="007C448E" w:rsidRDefault="007C448E" w:rsidP="008B3EA7">
      <w:pPr>
        <w:pStyle w:val="Text2"/>
        <w:ind w:left="0"/>
        <w:rPr>
          <w:noProof/>
          <w:lang w:val="en-IE"/>
        </w:rPr>
      </w:pPr>
      <w:r>
        <w:rPr>
          <w:noProof/>
          <w:lang w:val="en-IE"/>
        </w:rPr>
        <w:t xml:space="preserve">A preliminary set of evaluation questions can be found below. This will be updates and enriched following the implementation of the initiative. </w:t>
      </w:r>
    </w:p>
    <w:tbl>
      <w:tblPr>
        <w:tblStyle w:val="ListTable3-Accent5"/>
        <w:tblW w:w="50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1663"/>
        <w:gridCol w:w="7060"/>
      </w:tblGrid>
      <w:tr w:rsidR="00FB4987" w:rsidRPr="00E90373" w14:paraId="13CE61F4" w14:textId="77777777" w:rsidTr="008B3EA7">
        <w:trPr>
          <w:cnfStyle w:val="100000000000" w:firstRow="1" w:lastRow="0" w:firstColumn="0" w:lastColumn="0" w:oddVBand="0" w:evenVBand="0" w:oddHBand="0" w:evenHBand="0" w:firstRowFirstColumn="0" w:firstRowLastColumn="0" w:lastRowFirstColumn="0" w:lastRowLastColumn="0"/>
          <w:trHeight w:val="388"/>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0070C0"/>
            <w:vAlign w:val="center"/>
          </w:tcPr>
          <w:p w14:paraId="307EEDCE" w14:textId="77777777" w:rsidR="007C448E" w:rsidRPr="008B3EA7" w:rsidRDefault="007C448E">
            <w:pPr>
              <w:spacing w:after="0"/>
              <w:rPr>
                <w:noProof/>
                <w:sz w:val="22"/>
                <w:szCs w:val="22"/>
              </w:rPr>
            </w:pPr>
            <w:r w:rsidRPr="008B3EA7">
              <w:rPr>
                <w:noProof/>
                <w:sz w:val="22"/>
                <w:szCs w:val="22"/>
              </w:rPr>
              <w:t>Evaluation criterion</w:t>
            </w:r>
          </w:p>
        </w:tc>
        <w:tc>
          <w:tcPr>
            <w:tcW w:w="4047" w:type="pct"/>
            <w:shd w:val="clear" w:color="auto" w:fill="0070C0"/>
            <w:vAlign w:val="center"/>
          </w:tcPr>
          <w:p w14:paraId="1075D739" w14:textId="77777777" w:rsidR="007C448E" w:rsidRPr="008B3EA7" w:rsidRDefault="007C448E">
            <w:pPr>
              <w:spacing w:after="0"/>
              <w:cnfStyle w:val="100000000000" w:firstRow="1" w:lastRow="0" w:firstColumn="0" w:lastColumn="0" w:oddVBand="0" w:evenVBand="0" w:oddHBand="0" w:evenHBand="0" w:firstRowFirstColumn="0" w:firstRowLastColumn="0" w:lastRowFirstColumn="0" w:lastRowLastColumn="0"/>
              <w:rPr>
                <w:b w:val="0"/>
                <w:noProof/>
                <w:sz w:val="22"/>
                <w:szCs w:val="22"/>
              </w:rPr>
            </w:pPr>
            <w:r w:rsidRPr="008B3EA7">
              <w:rPr>
                <w:noProof/>
                <w:sz w:val="22"/>
                <w:szCs w:val="22"/>
              </w:rPr>
              <w:t>Assessment objective and possible evaluation questions</w:t>
            </w:r>
          </w:p>
        </w:tc>
      </w:tr>
      <w:tr w:rsidR="00E946AD" w:rsidRPr="00E90373" w14:paraId="7E9534FB" w14:textId="77777777" w:rsidTr="008B3EA7">
        <w:trPr>
          <w:trHeight w:val="225"/>
        </w:trPr>
        <w:tc>
          <w:tcPr>
            <w:cnfStyle w:val="001000000000" w:firstRow="0" w:lastRow="0" w:firstColumn="1" w:lastColumn="0" w:oddVBand="0" w:evenVBand="0" w:oddHBand="0" w:evenHBand="0" w:firstRowFirstColumn="0" w:firstRowLastColumn="0" w:lastRowFirstColumn="0" w:lastRowLastColumn="0"/>
            <w:tcW w:w="953" w:type="pct"/>
            <w:shd w:val="clear" w:color="auto" w:fill="FFFFFF" w:themeFill="background1"/>
            <w:vAlign w:val="center"/>
          </w:tcPr>
          <w:p w14:paraId="6F90829D" w14:textId="77777777" w:rsidR="007C448E" w:rsidRPr="008B3EA7" w:rsidRDefault="007C448E">
            <w:pPr>
              <w:spacing w:after="0"/>
              <w:jc w:val="center"/>
              <w:rPr>
                <w:noProof/>
                <w:sz w:val="22"/>
                <w:szCs w:val="22"/>
              </w:rPr>
            </w:pPr>
            <w:r w:rsidRPr="008B3EA7">
              <w:rPr>
                <w:noProof/>
                <w:sz w:val="22"/>
                <w:szCs w:val="22"/>
              </w:rPr>
              <w:t>Effectiveness</w:t>
            </w:r>
          </w:p>
        </w:tc>
        <w:tc>
          <w:tcPr>
            <w:tcW w:w="4047" w:type="pct"/>
            <w:shd w:val="clear" w:color="auto" w:fill="FFFFFF" w:themeFill="background1"/>
            <w:vAlign w:val="center"/>
          </w:tcPr>
          <w:p w14:paraId="15EFAAFD" w14:textId="77777777" w:rsidR="007C448E" w:rsidRPr="008B3EA7" w:rsidRDefault="007C448E" w:rsidP="00E90373">
            <w:pPr>
              <w:spacing w:after="120"/>
              <w:cnfStyle w:val="000000000000" w:firstRow="0" w:lastRow="0" w:firstColumn="0" w:lastColumn="0" w:oddVBand="0" w:evenVBand="0" w:oddHBand="0" w:evenHBand="0" w:firstRowFirstColumn="0" w:firstRowLastColumn="0" w:lastRowFirstColumn="0" w:lastRowLastColumn="0"/>
              <w:rPr>
                <w:noProof/>
                <w:sz w:val="22"/>
                <w:szCs w:val="22"/>
              </w:rPr>
            </w:pPr>
            <w:r w:rsidRPr="008B3EA7">
              <w:rPr>
                <w:b/>
                <w:noProof/>
                <w:sz w:val="22"/>
                <w:szCs w:val="22"/>
              </w:rPr>
              <w:t>Goal:</w:t>
            </w:r>
            <w:r w:rsidRPr="008B3EA7">
              <w:rPr>
                <w:noProof/>
                <w:sz w:val="22"/>
                <w:szCs w:val="22"/>
              </w:rPr>
              <w:t xml:space="preserve"> assess the extent to which the objectives of the initiative have been achieved and how benefits have accrued to different stakeholders.</w:t>
            </w:r>
          </w:p>
          <w:p w14:paraId="267F5965" w14:textId="130CFA5D" w:rsidR="007C448E" w:rsidRPr="008B3EA7" w:rsidRDefault="007C448E">
            <w:pPr>
              <w:spacing w:after="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i/>
                <w:noProof/>
                <w:sz w:val="22"/>
                <w:szCs w:val="22"/>
              </w:rPr>
              <w:t xml:space="preserve">To what extent did the intervention increase EU installed computing capacity and create the conditions for easier data centre deployment? How did it foster the development and deployment of innovative and sustainable data centres and a better use of energy sources? To what extent did it increase clarity around the concept of sovereign cloud and AI computing services? How did it improve the market share of homegrown EU cloud and AI computing service operators? What is their market share? To what extent did it increase federated resources across the public sector and joint procurement for cloud and AI computing services? To what extent did it increase the use of open source solutions? </w:t>
            </w:r>
          </w:p>
        </w:tc>
      </w:tr>
      <w:tr w:rsidR="00E946AD" w:rsidRPr="00E90373" w14:paraId="51EF7908" w14:textId="77777777" w:rsidTr="008B3EA7">
        <w:trPr>
          <w:trHeight w:val="731"/>
        </w:trPr>
        <w:tc>
          <w:tcPr>
            <w:cnfStyle w:val="001000000000" w:firstRow="0" w:lastRow="0" w:firstColumn="1" w:lastColumn="0" w:oddVBand="0" w:evenVBand="0" w:oddHBand="0" w:evenHBand="0" w:firstRowFirstColumn="0" w:firstRowLastColumn="0" w:lastRowFirstColumn="0" w:lastRowLastColumn="0"/>
            <w:tcW w:w="953" w:type="pct"/>
            <w:shd w:val="clear" w:color="auto" w:fill="FFFFFF" w:themeFill="background1"/>
            <w:vAlign w:val="center"/>
          </w:tcPr>
          <w:p w14:paraId="3D1E715A" w14:textId="77777777" w:rsidR="007C448E" w:rsidRPr="008B3EA7" w:rsidRDefault="007C448E">
            <w:pPr>
              <w:spacing w:after="0"/>
              <w:jc w:val="center"/>
              <w:rPr>
                <w:noProof/>
                <w:sz w:val="22"/>
                <w:szCs w:val="22"/>
              </w:rPr>
            </w:pPr>
            <w:r w:rsidRPr="008B3EA7">
              <w:rPr>
                <w:noProof/>
                <w:sz w:val="22"/>
                <w:szCs w:val="22"/>
              </w:rPr>
              <w:t>Efficiency</w:t>
            </w:r>
          </w:p>
        </w:tc>
        <w:tc>
          <w:tcPr>
            <w:tcW w:w="4047" w:type="pct"/>
            <w:shd w:val="clear" w:color="auto" w:fill="FFFFFF" w:themeFill="background1"/>
            <w:vAlign w:val="center"/>
          </w:tcPr>
          <w:p w14:paraId="53EF6063" w14:textId="77777777" w:rsidR="007C448E" w:rsidRPr="008B3EA7" w:rsidRDefault="007C448E" w:rsidP="00E90373">
            <w:pPr>
              <w:spacing w:after="120"/>
              <w:cnfStyle w:val="000000000000" w:firstRow="0" w:lastRow="0" w:firstColumn="0" w:lastColumn="0" w:oddVBand="0" w:evenVBand="0" w:oddHBand="0" w:evenHBand="0" w:firstRowFirstColumn="0" w:firstRowLastColumn="0" w:lastRowFirstColumn="0" w:lastRowLastColumn="0"/>
              <w:rPr>
                <w:noProof/>
                <w:sz w:val="22"/>
                <w:szCs w:val="22"/>
              </w:rPr>
            </w:pPr>
            <w:r w:rsidRPr="008B3EA7">
              <w:rPr>
                <w:b/>
                <w:noProof/>
                <w:sz w:val="22"/>
                <w:szCs w:val="22"/>
              </w:rPr>
              <w:t>Goal:</w:t>
            </w:r>
            <w:r w:rsidRPr="008B3EA7">
              <w:rPr>
                <w:noProof/>
                <w:sz w:val="22"/>
                <w:szCs w:val="22"/>
              </w:rPr>
              <w:t xml:space="preserve"> assess the extent to which the initiative has been cost-effective, analysing the relationship between expected and actual benefits and costs. </w:t>
            </w:r>
          </w:p>
          <w:p w14:paraId="215195E0" w14:textId="77777777" w:rsidR="007C448E" w:rsidRPr="008B3EA7" w:rsidRDefault="007C448E">
            <w:pPr>
              <w:spacing w:after="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i/>
                <w:noProof/>
                <w:sz w:val="22"/>
                <w:szCs w:val="22"/>
              </w:rPr>
              <w:t xml:space="preserve">Have benefits and cost savings been achieved at proportionate costs for different stakeholders? </w:t>
            </w:r>
          </w:p>
        </w:tc>
      </w:tr>
      <w:tr w:rsidR="00E946AD" w:rsidRPr="00E90373" w14:paraId="0FDB6A16" w14:textId="77777777" w:rsidTr="008B3EA7">
        <w:trPr>
          <w:trHeight w:val="567"/>
        </w:trPr>
        <w:tc>
          <w:tcPr>
            <w:cnfStyle w:val="001000000000" w:firstRow="0" w:lastRow="0" w:firstColumn="1" w:lastColumn="0" w:oddVBand="0" w:evenVBand="0" w:oddHBand="0" w:evenHBand="0" w:firstRowFirstColumn="0" w:firstRowLastColumn="0" w:lastRowFirstColumn="0" w:lastRowLastColumn="0"/>
            <w:tcW w:w="953" w:type="pct"/>
            <w:shd w:val="clear" w:color="auto" w:fill="FFFFFF" w:themeFill="background1"/>
            <w:vAlign w:val="center"/>
          </w:tcPr>
          <w:p w14:paraId="6B030CC2" w14:textId="77777777" w:rsidR="007C448E" w:rsidRPr="008B3EA7" w:rsidRDefault="007C448E">
            <w:pPr>
              <w:spacing w:after="0"/>
              <w:jc w:val="center"/>
              <w:rPr>
                <w:noProof/>
                <w:sz w:val="22"/>
                <w:szCs w:val="22"/>
              </w:rPr>
            </w:pPr>
            <w:r w:rsidRPr="008B3EA7">
              <w:rPr>
                <w:noProof/>
                <w:sz w:val="22"/>
                <w:szCs w:val="22"/>
              </w:rPr>
              <w:t>Relevance</w:t>
            </w:r>
          </w:p>
        </w:tc>
        <w:tc>
          <w:tcPr>
            <w:tcW w:w="4047" w:type="pct"/>
            <w:shd w:val="clear" w:color="auto" w:fill="FFFFFF" w:themeFill="background1"/>
            <w:vAlign w:val="center"/>
          </w:tcPr>
          <w:p w14:paraId="6F0D5B0C" w14:textId="77777777" w:rsidR="007C448E" w:rsidRPr="008B3EA7" w:rsidRDefault="007C448E" w:rsidP="00E90373">
            <w:pPr>
              <w:spacing w:after="12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b/>
                <w:noProof/>
                <w:sz w:val="22"/>
                <w:szCs w:val="22"/>
              </w:rPr>
              <w:t>Goal</w:t>
            </w:r>
            <w:r w:rsidRPr="008B3EA7">
              <w:rPr>
                <w:noProof/>
                <w:sz w:val="22"/>
                <w:szCs w:val="22"/>
              </w:rPr>
              <w:t>: assess the extent to which the objectives of the initiative still reflect current and future needs</w:t>
            </w:r>
            <w:r w:rsidRPr="008B3EA7">
              <w:rPr>
                <w:i/>
                <w:noProof/>
                <w:sz w:val="22"/>
                <w:szCs w:val="22"/>
              </w:rPr>
              <w:t xml:space="preserve">. </w:t>
            </w:r>
          </w:p>
          <w:p w14:paraId="6E6ABCD7" w14:textId="77777777" w:rsidR="007C448E" w:rsidRPr="008B3EA7" w:rsidRDefault="007C448E">
            <w:pPr>
              <w:spacing w:after="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i/>
                <w:noProof/>
                <w:sz w:val="22"/>
                <w:szCs w:val="22"/>
              </w:rPr>
              <w:t>To what extent the initiative still addresses relevant needs? How is it still aligned with EU priorities?</w:t>
            </w:r>
          </w:p>
        </w:tc>
      </w:tr>
      <w:tr w:rsidR="00E946AD" w:rsidRPr="00E90373" w14:paraId="718CF93F" w14:textId="77777777" w:rsidTr="008B3EA7">
        <w:trPr>
          <w:trHeight w:val="567"/>
        </w:trPr>
        <w:tc>
          <w:tcPr>
            <w:cnfStyle w:val="001000000000" w:firstRow="0" w:lastRow="0" w:firstColumn="1" w:lastColumn="0" w:oddVBand="0" w:evenVBand="0" w:oddHBand="0" w:evenHBand="0" w:firstRowFirstColumn="0" w:firstRowLastColumn="0" w:lastRowFirstColumn="0" w:lastRowLastColumn="0"/>
            <w:tcW w:w="953" w:type="pct"/>
            <w:shd w:val="clear" w:color="auto" w:fill="FFFFFF" w:themeFill="background1"/>
            <w:vAlign w:val="center"/>
          </w:tcPr>
          <w:p w14:paraId="6F8189B5" w14:textId="77777777" w:rsidR="007C448E" w:rsidRPr="008B3EA7" w:rsidRDefault="007C448E">
            <w:pPr>
              <w:spacing w:after="0"/>
              <w:jc w:val="center"/>
              <w:rPr>
                <w:noProof/>
                <w:sz w:val="22"/>
                <w:szCs w:val="22"/>
              </w:rPr>
            </w:pPr>
            <w:r w:rsidRPr="008B3EA7">
              <w:rPr>
                <w:noProof/>
                <w:sz w:val="22"/>
                <w:szCs w:val="22"/>
              </w:rPr>
              <w:t>Coherence</w:t>
            </w:r>
          </w:p>
        </w:tc>
        <w:tc>
          <w:tcPr>
            <w:tcW w:w="4047" w:type="pct"/>
            <w:shd w:val="clear" w:color="auto" w:fill="FFFFFF" w:themeFill="background1"/>
            <w:vAlign w:val="center"/>
          </w:tcPr>
          <w:p w14:paraId="578CDC0A" w14:textId="77777777" w:rsidR="007C448E" w:rsidRPr="008B3EA7" w:rsidRDefault="007C448E" w:rsidP="00E90373">
            <w:pPr>
              <w:spacing w:after="120"/>
              <w:cnfStyle w:val="000000000000" w:firstRow="0" w:lastRow="0" w:firstColumn="0" w:lastColumn="0" w:oddVBand="0" w:evenVBand="0" w:oddHBand="0" w:evenHBand="0" w:firstRowFirstColumn="0" w:firstRowLastColumn="0" w:lastRowFirstColumn="0" w:lastRowLastColumn="0"/>
              <w:rPr>
                <w:noProof/>
                <w:sz w:val="22"/>
                <w:szCs w:val="22"/>
              </w:rPr>
            </w:pPr>
            <w:r w:rsidRPr="008B3EA7">
              <w:rPr>
                <w:b/>
                <w:noProof/>
                <w:sz w:val="22"/>
                <w:szCs w:val="22"/>
              </w:rPr>
              <w:t>Goal:</w:t>
            </w:r>
            <w:r w:rsidRPr="008B3EA7">
              <w:rPr>
                <w:noProof/>
                <w:sz w:val="22"/>
                <w:szCs w:val="22"/>
              </w:rPr>
              <w:t xml:space="preserve"> assess the initiative’s internal and external coherence, i.e. if the different elements of the intervention worked together to reach the set goal and if it worked well or overlapped with other initiatives, both at EU level and national level.</w:t>
            </w:r>
          </w:p>
          <w:p w14:paraId="51E24C11" w14:textId="77777777" w:rsidR="007C448E" w:rsidRPr="008B3EA7" w:rsidRDefault="007C448E">
            <w:pPr>
              <w:spacing w:after="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i/>
                <w:noProof/>
                <w:sz w:val="22"/>
                <w:szCs w:val="22"/>
              </w:rPr>
              <w:t>To what extent is the initiative consistent with existing and future energy, digital, competition, environmental, security rules at EU level and national level?</w:t>
            </w:r>
          </w:p>
        </w:tc>
      </w:tr>
      <w:tr w:rsidR="00E946AD" w:rsidRPr="00E90373" w14:paraId="19868BAF" w14:textId="77777777" w:rsidTr="008B3EA7">
        <w:trPr>
          <w:trHeight w:val="567"/>
        </w:trPr>
        <w:tc>
          <w:tcPr>
            <w:cnfStyle w:val="001000000000" w:firstRow="0" w:lastRow="0" w:firstColumn="1" w:lastColumn="0" w:oddVBand="0" w:evenVBand="0" w:oddHBand="0" w:evenHBand="0" w:firstRowFirstColumn="0" w:firstRowLastColumn="0" w:lastRowFirstColumn="0" w:lastRowLastColumn="0"/>
            <w:tcW w:w="953" w:type="pct"/>
            <w:shd w:val="clear" w:color="auto" w:fill="FFFFFF" w:themeFill="background1"/>
            <w:vAlign w:val="center"/>
          </w:tcPr>
          <w:p w14:paraId="4842D442" w14:textId="77777777" w:rsidR="007C448E" w:rsidRPr="008B3EA7" w:rsidRDefault="007C448E">
            <w:pPr>
              <w:spacing w:after="0"/>
              <w:jc w:val="center"/>
              <w:rPr>
                <w:noProof/>
                <w:sz w:val="22"/>
                <w:szCs w:val="22"/>
              </w:rPr>
            </w:pPr>
            <w:r w:rsidRPr="008B3EA7">
              <w:rPr>
                <w:noProof/>
                <w:sz w:val="22"/>
                <w:szCs w:val="22"/>
              </w:rPr>
              <w:t>EU Added value</w:t>
            </w:r>
          </w:p>
        </w:tc>
        <w:tc>
          <w:tcPr>
            <w:tcW w:w="4047" w:type="pct"/>
            <w:shd w:val="clear" w:color="auto" w:fill="FFFFFF" w:themeFill="background1"/>
            <w:vAlign w:val="center"/>
          </w:tcPr>
          <w:p w14:paraId="46D5B0E2" w14:textId="77777777" w:rsidR="007C448E" w:rsidRPr="008B3EA7" w:rsidRDefault="007C448E" w:rsidP="00E90373">
            <w:pPr>
              <w:spacing w:after="120"/>
              <w:cnfStyle w:val="000000000000" w:firstRow="0" w:lastRow="0" w:firstColumn="0" w:lastColumn="0" w:oddVBand="0" w:evenVBand="0" w:oddHBand="0" w:evenHBand="0" w:firstRowFirstColumn="0" w:firstRowLastColumn="0" w:lastRowFirstColumn="0" w:lastRowLastColumn="0"/>
              <w:rPr>
                <w:noProof/>
                <w:sz w:val="22"/>
                <w:szCs w:val="22"/>
              </w:rPr>
            </w:pPr>
            <w:r w:rsidRPr="008B3EA7">
              <w:rPr>
                <w:b/>
                <w:noProof/>
                <w:sz w:val="22"/>
                <w:szCs w:val="22"/>
              </w:rPr>
              <w:t>Goal</w:t>
            </w:r>
            <w:r w:rsidRPr="008B3EA7">
              <w:rPr>
                <w:noProof/>
                <w:sz w:val="22"/>
                <w:szCs w:val="22"/>
              </w:rPr>
              <w:t>: assess the extent to which the initiative brought EU added value compared to what could have been achieved by Member States alone.</w:t>
            </w:r>
          </w:p>
          <w:p w14:paraId="0EEF9DD4" w14:textId="77777777" w:rsidR="007C448E" w:rsidRPr="008B3EA7" w:rsidRDefault="007C448E">
            <w:pPr>
              <w:spacing w:after="0"/>
              <w:cnfStyle w:val="000000000000" w:firstRow="0" w:lastRow="0" w:firstColumn="0" w:lastColumn="0" w:oddVBand="0" w:evenVBand="0" w:oddHBand="0" w:evenHBand="0" w:firstRowFirstColumn="0" w:firstRowLastColumn="0" w:lastRowFirstColumn="0" w:lastRowLastColumn="0"/>
              <w:rPr>
                <w:i/>
                <w:noProof/>
                <w:sz w:val="22"/>
                <w:szCs w:val="22"/>
              </w:rPr>
            </w:pPr>
            <w:r w:rsidRPr="008B3EA7">
              <w:rPr>
                <w:i/>
                <w:noProof/>
                <w:sz w:val="22"/>
                <w:szCs w:val="22"/>
              </w:rPr>
              <w:t>To what extend did EU-level action prevent fragmentation of DC rules? How did it improve cross-border service delivery and competitiveness of EU providers?</w:t>
            </w:r>
          </w:p>
        </w:tc>
      </w:tr>
    </w:tbl>
    <w:p w14:paraId="6A3A23ED" w14:textId="77777777" w:rsidR="007C448E" w:rsidRPr="007C448E" w:rsidRDefault="007C448E" w:rsidP="007C448E">
      <w:pPr>
        <w:pStyle w:val="Text2"/>
        <w:spacing w:after="0"/>
        <w:ind w:left="0"/>
        <w:rPr>
          <w:noProof/>
        </w:rPr>
      </w:pPr>
    </w:p>
    <w:p w14:paraId="74096E34" w14:textId="21E2374E" w:rsidR="00525F67" w:rsidRDefault="00633DF7" w:rsidP="00983ED6">
      <w:pPr>
        <w:pStyle w:val="AnnexTitle"/>
        <w:rPr>
          <w:noProof/>
          <w:lang w:val="en-IE"/>
        </w:rPr>
      </w:pPr>
      <w:bookmarkStart w:id="357" w:name="_Toc228346963"/>
      <w:r w:rsidRPr="00D37004">
        <w:rPr>
          <w:noProof/>
          <w:lang w:val="en-IE"/>
        </w:rPr>
        <w:t xml:space="preserve">Annex </w:t>
      </w:r>
      <w:r>
        <w:rPr>
          <w:noProof/>
          <w:lang w:val="en-IE"/>
        </w:rPr>
        <w:t>12</w:t>
      </w:r>
      <w:r w:rsidRPr="00D37004">
        <w:rPr>
          <w:noProof/>
          <w:lang w:val="en-IE"/>
        </w:rPr>
        <w:t xml:space="preserve">. </w:t>
      </w:r>
      <w:r w:rsidR="00525F67">
        <w:rPr>
          <w:noProof/>
          <w:lang w:val="en-IE"/>
        </w:rPr>
        <w:t>Costs of migrating and porting applications</w:t>
      </w:r>
      <w:bookmarkEnd w:id="357"/>
    </w:p>
    <w:tbl>
      <w:tblPr>
        <w:tblStyle w:val="TableGrid"/>
        <w:tblW w:w="0" w:type="auto"/>
        <w:tblLook w:val="04A0" w:firstRow="1" w:lastRow="0" w:firstColumn="1" w:lastColumn="0" w:noHBand="0" w:noVBand="1"/>
      </w:tblPr>
      <w:tblGrid>
        <w:gridCol w:w="8609"/>
      </w:tblGrid>
      <w:tr w:rsidR="005627E3" w14:paraId="278BE22C" w14:textId="77777777" w:rsidTr="006F58AF">
        <w:tc>
          <w:tcPr>
            <w:tcW w:w="8619" w:type="dxa"/>
            <w:tcBorders>
              <w:top w:val="single" w:sz="4" w:space="0" w:color="auto"/>
              <w:left w:val="single" w:sz="4" w:space="0" w:color="auto"/>
              <w:bottom w:val="single" w:sz="4" w:space="0" w:color="auto"/>
              <w:right w:val="single" w:sz="4" w:space="0" w:color="auto"/>
            </w:tcBorders>
          </w:tcPr>
          <w:p w14:paraId="44FD4DD4" w14:textId="0A5BB0D9" w:rsidR="00AC6170" w:rsidRPr="00AC6170" w:rsidRDefault="00AC6170" w:rsidP="00AC6170">
            <w:pPr>
              <w:spacing w:after="60"/>
              <w:rPr>
                <w:noProof/>
                <w:lang w:val="en-IE"/>
              </w:rPr>
            </w:pPr>
            <w:r w:rsidRPr="00AC6170">
              <w:rPr>
                <w:noProof/>
                <w:lang w:val="en-IE"/>
              </w:rPr>
              <w:t xml:space="preserve">Cloud </w:t>
            </w:r>
            <w:r w:rsidRPr="00AC6170">
              <w:rPr>
                <w:b/>
                <w:bCs/>
                <w:noProof/>
                <w:lang w:val="en-IE"/>
              </w:rPr>
              <w:t>porting</w:t>
            </w:r>
            <w:r>
              <w:rPr>
                <w:b/>
                <w:bCs/>
                <w:noProof/>
                <w:lang w:val="en-IE"/>
              </w:rPr>
              <w:t xml:space="preserve"> </w:t>
            </w:r>
            <w:r w:rsidRPr="00AC6170">
              <w:rPr>
                <w:noProof/>
                <w:lang w:val="en-IE"/>
              </w:rPr>
              <w:t>consists in moving a service from one cloud provider to another cloud provider</w:t>
            </w:r>
          </w:p>
          <w:p w14:paraId="562D6BC2" w14:textId="757666E0" w:rsidR="005627E3" w:rsidRDefault="00AC6170" w:rsidP="005627E3">
            <w:pPr>
              <w:spacing w:after="60"/>
              <w:rPr>
                <w:noProof/>
                <w:lang w:val="en-IE"/>
              </w:rPr>
            </w:pPr>
            <w:r w:rsidRPr="00AC6170">
              <w:rPr>
                <w:noProof/>
                <w:lang w:val="en-IE"/>
              </w:rPr>
              <w:t xml:space="preserve">Cloud </w:t>
            </w:r>
            <w:r w:rsidRPr="00AC6170">
              <w:rPr>
                <w:b/>
                <w:bCs/>
                <w:noProof/>
                <w:lang w:val="en-IE"/>
              </w:rPr>
              <w:t>migrating</w:t>
            </w:r>
            <w:r>
              <w:rPr>
                <w:b/>
                <w:bCs/>
                <w:noProof/>
                <w:lang w:val="en-IE"/>
              </w:rPr>
              <w:t xml:space="preserve"> </w:t>
            </w:r>
            <w:r>
              <w:rPr>
                <w:noProof/>
                <w:lang w:val="en-IE"/>
              </w:rPr>
              <w:t>consists in</w:t>
            </w:r>
            <w:r w:rsidRPr="00AC6170">
              <w:rPr>
                <w:noProof/>
                <w:lang w:val="en-IE"/>
              </w:rPr>
              <w:t xml:space="preserve"> moving a service from on-premises to cloud</w:t>
            </w:r>
          </w:p>
        </w:tc>
      </w:tr>
    </w:tbl>
    <w:p w14:paraId="74D84CA3" w14:textId="77777777" w:rsidR="005627E3" w:rsidRDefault="005627E3" w:rsidP="005627E3">
      <w:pPr>
        <w:spacing w:after="60"/>
        <w:rPr>
          <w:noProof/>
          <w:lang w:val="en-IE"/>
        </w:rPr>
      </w:pPr>
    </w:p>
    <w:p w14:paraId="3AFF0E84" w14:textId="77777777" w:rsidR="00571317" w:rsidRDefault="00BF397A" w:rsidP="00571317">
      <w:pPr>
        <w:rPr>
          <w:noProof/>
          <w:lang w:val="en-IE"/>
        </w:rPr>
      </w:pPr>
      <w:r>
        <w:rPr>
          <w:noProof/>
          <w:lang w:val="en-IE"/>
        </w:rPr>
        <w:t>Today,</w:t>
      </w:r>
      <w:r w:rsidR="00FC22F9" w:rsidRPr="00FC22F9">
        <w:rPr>
          <w:noProof/>
          <w:lang w:val="en-IE"/>
        </w:rPr>
        <w:t xml:space="preserve"> </w:t>
      </w:r>
      <w:r w:rsidR="00FC22F9" w:rsidRPr="00FC22F9">
        <w:rPr>
          <w:i/>
          <w:iCs/>
          <w:noProof/>
          <w:lang w:val="en-IE"/>
        </w:rPr>
        <w:t xml:space="preserve">by and large critical use cases </w:t>
      </w:r>
      <w:r w:rsidR="00FC22F9" w:rsidRPr="00FC22F9">
        <w:rPr>
          <w:noProof/>
          <w:lang w:val="en-IE"/>
        </w:rPr>
        <w:t xml:space="preserve">[of the public sector] </w:t>
      </w:r>
      <w:r w:rsidR="00FC22F9" w:rsidRPr="00FC22F9">
        <w:rPr>
          <w:i/>
          <w:iCs/>
          <w:noProof/>
          <w:lang w:val="en-IE"/>
        </w:rPr>
        <w:t>are not in the cloud</w:t>
      </w:r>
      <w:r w:rsidR="00FC22F9" w:rsidRPr="00FC22F9">
        <w:rPr>
          <w:noProof/>
          <w:lang w:val="en-IE"/>
        </w:rPr>
        <w:t>. Most of these use cases are instead run ‘on</w:t>
      </w:r>
      <w:r w:rsidR="00DE2839">
        <w:rPr>
          <w:noProof/>
          <w:lang w:val="en-IE"/>
        </w:rPr>
        <w:t>-</w:t>
      </w:r>
      <w:r w:rsidR="00FC22F9" w:rsidRPr="00FC22F9">
        <w:rPr>
          <w:noProof/>
          <w:lang w:val="en-IE"/>
        </w:rPr>
        <w:t>premises’</w:t>
      </w:r>
      <w:r w:rsidR="00B11133">
        <w:rPr>
          <w:noProof/>
          <w:lang w:val="en-IE"/>
        </w:rPr>
        <w:t>, that is,</w:t>
      </w:r>
      <w:r w:rsidR="00FC22F9" w:rsidRPr="00FC22F9">
        <w:rPr>
          <w:noProof/>
          <w:lang w:val="en-IE"/>
        </w:rPr>
        <w:t xml:space="preserve"> on local infrastructure which </w:t>
      </w:r>
      <w:r w:rsidR="00DE2839">
        <w:rPr>
          <w:noProof/>
          <w:lang w:val="en-IE"/>
        </w:rPr>
        <w:t>are not scalable (and cannot therefore be called ‘cloud’)</w:t>
      </w:r>
      <w:r w:rsidR="00FC22F9" w:rsidRPr="00FC22F9">
        <w:rPr>
          <w:noProof/>
          <w:lang w:val="en-IE"/>
        </w:rPr>
        <w:t>. Policy measure 21 creates an obligation</w:t>
      </w:r>
      <w:r w:rsidR="00F00018">
        <w:rPr>
          <w:noProof/>
          <w:lang w:val="en-IE"/>
        </w:rPr>
        <w:t xml:space="preserve"> for the public sector</w:t>
      </w:r>
      <w:r w:rsidR="00FC22F9" w:rsidRPr="00FC22F9">
        <w:rPr>
          <w:noProof/>
          <w:lang w:val="en-IE"/>
        </w:rPr>
        <w:t xml:space="preserve"> to </w:t>
      </w:r>
      <w:r w:rsidR="00B04BE9" w:rsidRPr="00EB15DD">
        <w:rPr>
          <w:bCs/>
          <w:noProof/>
        </w:rPr>
        <w:t>carry</w:t>
      </w:r>
      <w:r w:rsidR="00B04BE9">
        <w:rPr>
          <w:noProof/>
        </w:rPr>
        <w:t xml:space="preserve"> at least one sovereignty risk assessment to identify which public sector use cases within a Member State require the use of which sovereignty level as described under </w:t>
      </w:r>
      <w:r w:rsidR="00B04BE9" w:rsidRPr="00673AEF">
        <w:rPr>
          <w:bCs/>
          <w:noProof/>
        </w:rPr>
        <w:t>PM11.</w:t>
      </w:r>
      <w:r w:rsidR="00A6549B">
        <w:rPr>
          <w:bCs/>
          <w:noProof/>
        </w:rPr>
        <w:t xml:space="preserve"> The details of </w:t>
      </w:r>
      <w:r w:rsidR="009A6781">
        <w:rPr>
          <w:bCs/>
          <w:noProof/>
        </w:rPr>
        <w:t xml:space="preserve">the </w:t>
      </w:r>
      <w:r w:rsidR="00A6549B">
        <w:rPr>
          <w:bCs/>
          <w:noProof/>
        </w:rPr>
        <w:t xml:space="preserve">measure are described </w:t>
      </w:r>
      <w:r w:rsidR="000F0602">
        <w:rPr>
          <w:bCs/>
          <w:noProof/>
        </w:rPr>
        <w:t xml:space="preserve">in the main text (section </w:t>
      </w:r>
      <w:r w:rsidR="00C12F14">
        <w:rPr>
          <w:bCs/>
          <w:noProof/>
        </w:rPr>
        <w:t xml:space="preserve">5.2.2) and in annex 4 (section 3.21). </w:t>
      </w:r>
      <w:r w:rsidR="00571317">
        <w:rPr>
          <w:noProof/>
          <w:lang w:val="en-IE"/>
        </w:rPr>
        <w:t>None of the proposed policy measures</w:t>
      </w:r>
      <w:r w:rsidR="00571317" w:rsidRPr="00941923">
        <w:rPr>
          <w:noProof/>
          <w:lang w:val="en-IE"/>
        </w:rPr>
        <w:t xml:space="preserve"> </w:t>
      </w:r>
      <w:r w:rsidR="00571317">
        <w:rPr>
          <w:noProof/>
          <w:lang w:val="en-IE"/>
        </w:rPr>
        <w:t>obliges</w:t>
      </w:r>
      <w:r w:rsidR="00571317" w:rsidRPr="00941923">
        <w:rPr>
          <w:noProof/>
          <w:lang w:val="en-IE"/>
        </w:rPr>
        <w:t xml:space="preserve"> public authorit</w:t>
      </w:r>
      <w:r w:rsidR="00571317">
        <w:rPr>
          <w:noProof/>
          <w:lang w:val="en-IE"/>
        </w:rPr>
        <w:t>ies</w:t>
      </w:r>
      <w:r w:rsidR="00571317" w:rsidRPr="00941923">
        <w:rPr>
          <w:noProof/>
          <w:lang w:val="en-IE"/>
        </w:rPr>
        <w:t xml:space="preserve"> </w:t>
      </w:r>
      <w:r w:rsidR="00571317">
        <w:rPr>
          <w:noProof/>
          <w:lang w:val="en-IE"/>
        </w:rPr>
        <w:t xml:space="preserve">to port </w:t>
      </w:r>
      <w:r w:rsidR="00571317" w:rsidRPr="00941923">
        <w:rPr>
          <w:noProof/>
          <w:lang w:val="en-IE"/>
        </w:rPr>
        <w:t xml:space="preserve">an existing cloud service from one provider to </w:t>
      </w:r>
      <w:r w:rsidR="00571317" w:rsidRPr="00571317">
        <w:rPr>
          <w:noProof/>
          <w:lang w:val="en-IE"/>
        </w:rPr>
        <w:t>another, or to migrate on-premises service to the cloud or to port. These decisions are made on a case-by-case basis by public authorities alone, considering the authority's specific needs</w:t>
      </w:r>
      <w:r w:rsidR="00571317" w:rsidRPr="00941923">
        <w:rPr>
          <w:noProof/>
          <w:lang w:val="en-IE"/>
        </w:rPr>
        <w:t>, existing systems, and procurement cycle.</w:t>
      </w:r>
    </w:p>
    <w:p w14:paraId="0EDDB609" w14:textId="65DCB16C" w:rsidR="005C17F0" w:rsidRDefault="00571317" w:rsidP="00FC22F9">
      <w:pPr>
        <w:rPr>
          <w:noProof/>
          <w:lang w:val="en-IE"/>
        </w:rPr>
      </w:pPr>
      <w:r>
        <w:rPr>
          <w:noProof/>
          <w:lang w:val="en-IE"/>
        </w:rPr>
        <w:t xml:space="preserve">Examining costs is however relevant since </w:t>
      </w:r>
      <w:r w:rsidRPr="008F3EDF">
        <w:rPr>
          <w:noProof/>
          <w:lang w:val="en-IE"/>
        </w:rPr>
        <w:t>the results of Member States'</w:t>
      </w:r>
      <w:r>
        <w:rPr>
          <w:noProof/>
          <w:lang w:val="en-IE"/>
        </w:rPr>
        <w:t xml:space="preserve"> sovereignty </w:t>
      </w:r>
      <w:r w:rsidRPr="008F3EDF">
        <w:rPr>
          <w:noProof/>
          <w:lang w:val="en-IE"/>
        </w:rPr>
        <w:t xml:space="preserve">risk assessments </w:t>
      </w:r>
      <w:r>
        <w:rPr>
          <w:noProof/>
          <w:lang w:val="en-IE"/>
        </w:rPr>
        <w:t>are expected to</w:t>
      </w:r>
      <w:r w:rsidRPr="008F3EDF">
        <w:rPr>
          <w:noProof/>
          <w:lang w:val="en-IE"/>
        </w:rPr>
        <w:t xml:space="preserve"> </w:t>
      </w:r>
      <w:r>
        <w:rPr>
          <w:noProof/>
          <w:lang w:val="en-IE"/>
        </w:rPr>
        <w:t>induce cloud porting decisions</w:t>
      </w:r>
      <w:r>
        <w:rPr>
          <w:rStyle w:val="FootnoteReference"/>
          <w:noProof/>
          <w:lang w:val="en-IE"/>
        </w:rPr>
        <w:footnoteReference w:id="199"/>
      </w:r>
      <w:r>
        <w:rPr>
          <w:noProof/>
          <w:lang w:val="en-IE"/>
        </w:rPr>
        <w:t xml:space="preserve">. As well, the expected increase in trust resulting from the existence of a sovereignty framework is expected to increase or anticipate cloud migration decisions. These costs </w:t>
      </w:r>
      <w:r w:rsidRPr="00CC448B">
        <w:rPr>
          <w:noProof/>
          <w:lang w:val="en-IE"/>
        </w:rPr>
        <w:t xml:space="preserve">are </w:t>
      </w:r>
      <w:r w:rsidRPr="00374BE2">
        <w:rPr>
          <w:noProof/>
          <w:lang w:val="en-IE"/>
        </w:rPr>
        <w:t>not</w:t>
      </w:r>
      <w:r w:rsidRPr="00CC448B">
        <w:rPr>
          <w:noProof/>
          <w:lang w:val="en-IE"/>
        </w:rPr>
        <w:t xml:space="preserve"> immediate consequences of the intervention's entry into force, but rather potential future expenses that may arise during the normal course of business.</w:t>
      </w:r>
    </w:p>
    <w:p w14:paraId="61752EA2" w14:textId="77777777" w:rsidR="00FC22F9" w:rsidRPr="003E3396" w:rsidRDefault="00FC22F9" w:rsidP="003E3396">
      <w:pPr>
        <w:pStyle w:val="Heading2"/>
        <w:numPr>
          <w:ilvl w:val="1"/>
          <w:numId w:val="134"/>
        </w:numPr>
        <w:spacing w:after="240"/>
        <w:ind w:hanging="769"/>
        <w:rPr>
          <w:noProof/>
        </w:rPr>
      </w:pPr>
      <w:bookmarkStart w:id="358" w:name="_Toc228346964"/>
      <w:r w:rsidRPr="003E3396">
        <w:rPr>
          <w:noProof/>
        </w:rPr>
        <w:t>Considerations about migrating and porting</w:t>
      </w:r>
      <w:bookmarkEnd w:id="358"/>
    </w:p>
    <w:p w14:paraId="09C2B709" w14:textId="77777777" w:rsidR="00FC22F9" w:rsidRPr="00FC22F9" w:rsidRDefault="00FC22F9" w:rsidP="003E3396">
      <w:pPr>
        <w:spacing w:before="240"/>
        <w:rPr>
          <w:noProof/>
          <w:lang w:val="en-IE"/>
        </w:rPr>
      </w:pPr>
      <w:r w:rsidRPr="00FC22F9">
        <w:rPr>
          <w:noProof/>
          <w:lang w:val="en-IE"/>
        </w:rPr>
        <w:t>Applications can be broadly qualified in different levels of cloud-readiness:</w:t>
      </w:r>
    </w:p>
    <w:p w14:paraId="0DF477DD" w14:textId="77777777" w:rsidR="00FC22F9" w:rsidRPr="00FC22F9" w:rsidRDefault="00FC22F9" w:rsidP="00FC22F9">
      <w:pPr>
        <w:numPr>
          <w:ilvl w:val="0"/>
          <w:numId w:val="130"/>
        </w:numPr>
        <w:rPr>
          <w:noProof/>
          <w:lang w:val="en-IE"/>
        </w:rPr>
      </w:pPr>
      <w:r w:rsidRPr="00FC22F9">
        <w:rPr>
          <w:i/>
          <w:iCs/>
          <w:noProof/>
          <w:lang w:val="en-IE"/>
        </w:rPr>
        <w:t>Legacy ‘on-premises’ applications</w:t>
      </w:r>
      <w:r w:rsidRPr="00FC22F9">
        <w:rPr>
          <w:noProof/>
          <w:lang w:val="en-IE"/>
        </w:rPr>
        <w:t xml:space="preserve"> that are not candidates for cloudification, for example because they are to be phased out, because their use is too small, or because the technology is too old to migrate them. As an example, an important number of banking applications use still today services written in COBOL, a language popular in the decade of the 60s.</w:t>
      </w:r>
    </w:p>
    <w:p w14:paraId="76A71779" w14:textId="77777777" w:rsidR="00FC22F9" w:rsidRPr="00FC22F9" w:rsidRDefault="00FC22F9" w:rsidP="00FC22F9">
      <w:pPr>
        <w:numPr>
          <w:ilvl w:val="0"/>
          <w:numId w:val="130"/>
        </w:numPr>
        <w:rPr>
          <w:noProof/>
          <w:lang w:val="en-IE"/>
        </w:rPr>
      </w:pPr>
      <w:r w:rsidRPr="00FC22F9">
        <w:rPr>
          <w:i/>
          <w:iCs/>
          <w:noProof/>
          <w:lang w:val="en-IE"/>
        </w:rPr>
        <w:t>Cloud-aware applications</w:t>
      </w:r>
      <w:r w:rsidRPr="00FC22F9">
        <w:rPr>
          <w:noProof/>
          <w:lang w:val="en-IE"/>
        </w:rPr>
        <w:t>: A cloud aware application is designed or adapted to leverage cloud computing features but nevertheless present challenges that span security, architecture, evolvability, and scalability.</w:t>
      </w:r>
    </w:p>
    <w:p w14:paraId="033C7406" w14:textId="77777777" w:rsidR="00FC22F9" w:rsidRPr="00FC22F9" w:rsidRDefault="00FC22F9" w:rsidP="00FC22F9">
      <w:pPr>
        <w:numPr>
          <w:ilvl w:val="0"/>
          <w:numId w:val="130"/>
        </w:numPr>
        <w:rPr>
          <w:noProof/>
          <w:lang w:val="en-IE"/>
        </w:rPr>
      </w:pPr>
      <w:r w:rsidRPr="00FC22F9">
        <w:rPr>
          <w:i/>
          <w:iCs/>
          <w:noProof/>
          <w:lang w:val="en-IE"/>
        </w:rPr>
        <w:t>Cloud native applications,</w:t>
      </w:r>
      <w:r w:rsidRPr="00FC22F9">
        <w:rPr>
          <w:noProof/>
          <w:lang w:val="en-IE"/>
        </w:rPr>
        <w:t xml:space="preserve"> specifically designed to benefit from the capabilities of the cloud, such as scalability.</w:t>
      </w:r>
    </w:p>
    <w:p w14:paraId="413BAF6B" w14:textId="3DF0624E" w:rsidR="00FC22F9" w:rsidRDefault="00FC22F9" w:rsidP="00FC22F9">
      <w:pPr>
        <w:rPr>
          <w:noProof/>
          <w:lang w:val="en-IE"/>
        </w:rPr>
      </w:pPr>
      <w:r w:rsidRPr="00FC22F9">
        <w:rPr>
          <w:noProof/>
          <w:lang w:val="en-IE"/>
        </w:rPr>
        <w:t xml:space="preserve">In the public sector, most applications fall </w:t>
      </w:r>
      <w:r w:rsidR="002E2E62">
        <w:rPr>
          <w:noProof/>
          <w:lang w:val="en-IE"/>
        </w:rPr>
        <w:t>with</w:t>
      </w:r>
      <w:r w:rsidRPr="00FC22F9">
        <w:rPr>
          <w:noProof/>
          <w:lang w:val="en-IE"/>
        </w:rPr>
        <w:t>in the two first categories: when cloudified/cloudifiable, they are ‘aware’ but not ‘native’, which requires important adaptations (e.g. a re-architecting or a refactoring of the code) when seeking to port them to another cloud service.</w:t>
      </w:r>
    </w:p>
    <w:p w14:paraId="20B46671" w14:textId="29BE1EEC" w:rsidR="002E2E62" w:rsidRPr="00FC22F9" w:rsidRDefault="002E2E62" w:rsidP="00FC22F9">
      <w:pPr>
        <w:rPr>
          <w:noProof/>
          <w:lang w:val="en-US"/>
        </w:rPr>
      </w:pPr>
      <w:r w:rsidRPr="00FC22F9">
        <w:rPr>
          <w:noProof/>
          <w:lang w:val="en-IE"/>
        </w:rPr>
        <w:t xml:space="preserve">There is no one-size-fits-all when </w:t>
      </w:r>
      <w:r>
        <w:rPr>
          <w:noProof/>
          <w:lang w:val="en-IE"/>
        </w:rPr>
        <w:t xml:space="preserve">migrating (legacy-to-cloud) or </w:t>
      </w:r>
      <w:r w:rsidRPr="00FC22F9">
        <w:rPr>
          <w:noProof/>
          <w:lang w:val="en-IE"/>
        </w:rPr>
        <w:t>porting/switching services</w:t>
      </w:r>
      <w:r>
        <w:rPr>
          <w:noProof/>
          <w:lang w:val="en-IE"/>
        </w:rPr>
        <w:t xml:space="preserve"> (</w:t>
      </w:r>
      <w:r w:rsidR="00D82D2A">
        <w:rPr>
          <w:noProof/>
          <w:lang w:val="en-IE"/>
        </w:rPr>
        <w:t>cloud-to-sovereign cloud</w:t>
      </w:r>
      <w:r>
        <w:rPr>
          <w:noProof/>
          <w:lang w:val="en-IE"/>
        </w:rPr>
        <w:t>)</w:t>
      </w:r>
      <w:r w:rsidRPr="00FC22F9">
        <w:rPr>
          <w:noProof/>
          <w:lang w:val="en-IE"/>
        </w:rPr>
        <w:t>, as it largely depends on many aspects: the technology used to develop the application, the size, its complexity, or third-party dependencies. This process is not automated and is most often a one-off effort that can hardly be repeated</w:t>
      </w:r>
      <w:r w:rsidR="002800AB">
        <w:rPr>
          <w:noProof/>
          <w:lang w:val="en-IE"/>
        </w:rPr>
        <w:t>, even if economies of scale can exist</w:t>
      </w:r>
      <w:r w:rsidRPr="00FC22F9">
        <w:rPr>
          <w:noProof/>
          <w:lang w:val="en-IE"/>
        </w:rPr>
        <w:t>. Literature explain</w:t>
      </w:r>
      <w:r w:rsidR="00D2016E">
        <w:rPr>
          <w:noProof/>
          <w:lang w:val="en-IE"/>
        </w:rPr>
        <w:t>s</w:t>
      </w:r>
      <w:r w:rsidRPr="00FC22F9">
        <w:rPr>
          <w:noProof/>
          <w:lang w:val="en-IE"/>
        </w:rPr>
        <w:t xml:space="preserve"> the process, both from a technical point of view and a business point of view</w:t>
      </w:r>
      <w:r w:rsidR="009C4184">
        <w:rPr>
          <w:rStyle w:val="FootnoteReference"/>
          <w:noProof/>
          <w:lang w:val="en-IE"/>
        </w:rPr>
        <w:footnoteReference w:id="200"/>
      </w:r>
      <w:r w:rsidRPr="00FC22F9">
        <w:rPr>
          <w:noProof/>
          <w:lang w:val="en-IE"/>
        </w:rPr>
        <w:t xml:space="preserve"> but there are seldom reports available on the costs associated to </w:t>
      </w:r>
      <w:r w:rsidR="00062037">
        <w:rPr>
          <w:noProof/>
          <w:lang w:val="en-IE"/>
        </w:rPr>
        <w:t xml:space="preserve">migrating or </w:t>
      </w:r>
      <w:r w:rsidRPr="00FC22F9">
        <w:rPr>
          <w:noProof/>
          <w:lang w:val="en-IE"/>
        </w:rPr>
        <w:t>porting/switching</w:t>
      </w:r>
      <w:r w:rsidR="009C4184">
        <w:rPr>
          <w:noProof/>
          <w:lang w:val="en-IE"/>
        </w:rPr>
        <w:t>, given that this is mostly an ad hoc, one-off activity</w:t>
      </w:r>
      <w:r w:rsidR="00172B1D">
        <w:rPr>
          <w:noProof/>
          <w:lang w:val="en-IE"/>
        </w:rPr>
        <w:t xml:space="preserve"> with many variables interplaying</w:t>
      </w:r>
      <w:r w:rsidRPr="00FC22F9">
        <w:rPr>
          <w:noProof/>
          <w:lang w:val="en-IE"/>
        </w:rPr>
        <w:t>.</w:t>
      </w:r>
    </w:p>
    <w:p w14:paraId="29C58047" w14:textId="0AC6FB95" w:rsidR="00FC22F9" w:rsidRPr="00FC22F9" w:rsidRDefault="00172B1D" w:rsidP="00FC22F9">
      <w:pPr>
        <w:rPr>
          <w:noProof/>
          <w:lang w:val="en-US"/>
        </w:rPr>
      </w:pPr>
      <w:r>
        <w:rPr>
          <w:noProof/>
          <w:lang w:val="en-US"/>
        </w:rPr>
        <w:t xml:space="preserve">At </w:t>
      </w:r>
      <w:r w:rsidR="00FC22F9" w:rsidRPr="00FC22F9">
        <w:rPr>
          <w:noProof/>
          <w:lang w:val="en-US"/>
        </w:rPr>
        <w:t xml:space="preserve">the time of </w:t>
      </w:r>
      <w:r w:rsidR="00062037">
        <w:rPr>
          <w:noProof/>
          <w:lang w:val="en-US"/>
        </w:rPr>
        <w:t xml:space="preserve">migrating or </w:t>
      </w:r>
      <w:r w:rsidR="00FC22F9" w:rsidRPr="00FC22F9">
        <w:rPr>
          <w:noProof/>
          <w:lang w:val="en-US"/>
        </w:rPr>
        <w:t xml:space="preserve">porting / switching, some key cost elements </w:t>
      </w:r>
      <w:r w:rsidR="00062037">
        <w:rPr>
          <w:noProof/>
          <w:lang w:val="en-US"/>
        </w:rPr>
        <w:t xml:space="preserve">that </w:t>
      </w:r>
      <w:r w:rsidR="00CC1D2F">
        <w:rPr>
          <w:noProof/>
          <w:lang w:val="en-US"/>
        </w:rPr>
        <w:t>should alw</w:t>
      </w:r>
      <w:r w:rsidR="006E200A">
        <w:rPr>
          <w:noProof/>
          <w:lang w:val="en-US"/>
        </w:rPr>
        <w:t>a</w:t>
      </w:r>
      <w:r w:rsidR="00CC1D2F">
        <w:rPr>
          <w:noProof/>
          <w:lang w:val="en-US"/>
        </w:rPr>
        <w:t xml:space="preserve">ys </w:t>
      </w:r>
      <w:r w:rsidR="00062037">
        <w:rPr>
          <w:noProof/>
          <w:lang w:val="en-US"/>
        </w:rPr>
        <w:t>need to be considered are</w:t>
      </w:r>
      <w:r w:rsidR="00FC22F9" w:rsidRPr="00FC22F9">
        <w:rPr>
          <w:noProof/>
          <w:lang w:val="en-US"/>
        </w:rPr>
        <w:t>:</w:t>
      </w:r>
    </w:p>
    <w:p w14:paraId="18D6FD8F" w14:textId="77777777" w:rsidR="00FC22F9" w:rsidRPr="00FC22F9" w:rsidRDefault="00FC22F9" w:rsidP="003E3396">
      <w:pPr>
        <w:numPr>
          <w:ilvl w:val="0"/>
          <w:numId w:val="131"/>
        </w:numPr>
        <w:spacing w:after="0"/>
        <w:rPr>
          <w:noProof/>
          <w:lang w:val="en-IE"/>
        </w:rPr>
      </w:pPr>
      <w:r w:rsidRPr="00FC22F9">
        <w:rPr>
          <w:noProof/>
          <w:lang w:val="en-IE"/>
        </w:rPr>
        <w:t>The size, technology, complexity, and third-party dependencies of the system as-is</w:t>
      </w:r>
    </w:p>
    <w:p w14:paraId="0ACA21A8" w14:textId="77777777" w:rsidR="00FC22F9" w:rsidRPr="00FC22F9" w:rsidRDefault="00FC22F9" w:rsidP="003E3396">
      <w:pPr>
        <w:numPr>
          <w:ilvl w:val="0"/>
          <w:numId w:val="131"/>
        </w:numPr>
        <w:spacing w:after="0"/>
        <w:rPr>
          <w:noProof/>
          <w:lang w:val="en-IE"/>
        </w:rPr>
      </w:pPr>
      <w:r w:rsidRPr="00FC22F9">
        <w:rPr>
          <w:noProof/>
          <w:lang w:val="en-IE"/>
        </w:rPr>
        <w:t>The specificities of the to-be environment.</w:t>
      </w:r>
    </w:p>
    <w:p w14:paraId="0779E12F" w14:textId="426AE591" w:rsidR="00FC22F9" w:rsidRPr="00FC22F9" w:rsidRDefault="00FC22F9" w:rsidP="009923B0">
      <w:pPr>
        <w:ind w:left="360"/>
        <w:rPr>
          <w:noProof/>
          <w:lang w:val="en-IE"/>
        </w:rPr>
      </w:pPr>
      <w:r w:rsidRPr="00FC22F9">
        <w:rPr>
          <w:noProof/>
          <w:lang w:val="en-IE"/>
        </w:rPr>
        <w:t>This will decide how the application will be ported / migrated. In the industry, the 7Rs of migration</w:t>
      </w:r>
      <w:r w:rsidRPr="00FC22F9">
        <w:rPr>
          <w:noProof/>
          <w:vertAlign w:val="superscript"/>
          <w:lang w:val="en-IE"/>
        </w:rPr>
        <w:footnoteReference w:id="201"/>
      </w:r>
      <w:r w:rsidRPr="00FC22F9">
        <w:rPr>
          <w:noProof/>
          <w:lang w:val="en-IE"/>
        </w:rPr>
        <w:t xml:space="preserve">  provide information on what is the most adequate approach for the problem at hand. In legacy-to-cloud and </w:t>
      </w:r>
      <w:r w:rsidR="00D82D2A">
        <w:rPr>
          <w:noProof/>
          <w:lang w:val="en-IE"/>
        </w:rPr>
        <w:t>cloud-to-sovereign cloud</w:t>
      </w:r>
      <w:r w:rsidRPr="00FC22F9">
        <w:rPr>
          <w:noProof/>
          <w:lang w:val="en-IE"/>
        </w:rPr>
        <w:t xml:space="preserve"> migration, these are the approaches most commonly followed in the industry:</w:t>
      </w:r>
    </w:p>
    <w:p w14:paraId="1684B697" w14:textId="52EE6744" w:rsidR="00FC22F9" w:rsidRPr="00FC22F9" w:rsidRDefault="00FC22F9" w:rsidP="003E3396">
      <w:pPr>
        <w:numPr>
          <w:ilvl w:val="1"/>
          <w:numId w:val="131"/>
        </w:numPr>
        <w:spacing w:after="0"/>
        <w:rPr>
          <w:noProof/>
          <w:lang w:val="en-IE"/>
        </w:rPr>
      </w:pPr>
      <w:r w:rsidRPr="00FC22F9">
        <w:rPr>
          <w:i/>
          <w:iCs/>
          <w:noProof/>
          <w:lang w:val="en-IE"/>
        </w:rPr>
        <w:t>Rehost or lift-and-shift</w:t>
      </w:r>
      <w:r w:rsidRPr="00FC22F9">
        <w:rPr>
          <w:noProof/>
          <w:lang w:val="en-IE"/>
        </w:rPr>
        <w:t>, which usually require minimal code changes. This is usually the fastest option to put a service into production, but unless already cloud-native, it incurs into a huge technical debt and post-migration optimization costs.</w:t>
      </w:r>
      <w:r w:rsidR="00BA3737">
        <w:rPr>
          <w:noProof/>
          <w:lang w:val="en-IE"/>
        </w:rPr>
        <w:t xml:space="preserve"> Overall, while the upfront cost of the migration is small, the long-term benefits</w:t>
      </w:r>
      <w:r w:rsidR="002C39A1">
        <w:rPr>
          <w:noProof/>
          <w:lang w:val="en-IE"/>
        </w:rPr>
        <w:t xml:space="preserve"> will be </w:t>
      </w:r>
      <w:r w:rsidR="005213DB">
        <w:rPr>
          <w:noProof/>
          <w:lang w:val="en-IE"/>
        </w:rPr>
        <w:t>limited,</w:t>
      </w:r>
      <w:r w:rsidR="002C39A1">
        <w:rPr>
          <w:noProof/>
          <w:lang w:val="en-IE"/>
        </w:rPr>
        <w:t xml:space="preserve"> and</w:t>
      </w:r>
      <w:r w:rsidR="00CE4478">
        <w:rPr>
          <w:noProof/>
          <w:lang w:val="en-IE"/>
        </w:rPr>
        <w:t xml:space="preserve"> a large proportion of costs</w:t>
      </w:r>
      <w:r w:rsidR="002C39A1">
        <w:rPr>
          <w:noProof/>
          <w:lang w:val="en-IE"/>
        </w:rPr>
        <w:t xml:space="preserve"> will be spent in optimizing the application</w:t>
      </w:r>
      <w:r w:rsidR="00CE4478">
        <w:rPr>
          <w:noProof/>
          <w:lang w:val="en-IE"/>
        </w:rPr>
        <w:t xml:space="preserve"> to reduce the</w:t>
      </w:r>
      <w:r w:rsidR="005213DB">
        <w:rPr>
          <w:noProof/>
          <w:lang w:val="en-IE"/>
        </w:rPr>
        <w:t xml:space="preserve"> spendings.</w:t>
      </w:r>
    </w:p>
    <w:p w14:paraId="7C5D7912" w14:textId="19C4CF80" w:rsidR="00FC22F9" w:rsidRPr="00FC22F9" w:rsidRDefault="00FC22F9" w:rsidP="003E3396">
      <w:pPr>
        <w:numPr>
          <w:ilvl w:val="1"/>
          <w:numId w:val="131"/>
        </w:numPr>
        <w:spacing w:after="0"/>
        <w:rPr>
          <w:noProof/>
          <w:lang w:val="en-IE"/>
        </w:rPr>
      </w:pPr>
      <w:r w:rsidRPr="00FC22F9">
        <w:rPr>
          <w:i/>
          <w:iCs/>
          <w:noProof/>
          <w:lang w:val="en-IE"/>
        </w:rPr>
        <w:t>Re</w:t>
      </w:r>
      <w:r w:rsidR="00A849B9">
        <w:rPr>
          <w:i/>
          <w:iCs/>
          <w:noProof/>
          <w:lang w:val="en-IE"/>
        </w:rPr>
        <w:t>platform</w:t>
      </w:r>
      <w:r w:rsidRPr="00FC22F9">
        <w:rPr>
          <w:noProof/>
          <w:lang w:val="en-IE"/>
        </w:rPr>
        <w:t>, where the application is adapted to managed databases or to other technologies such as containers</w:t>
      </w:r>
      <w:r w:rsidR="00976753">
        <w:rPr>
          <w:noProof/>
          <w:lang w:val="en-IE"/>
        </w:rPr>
        <w:t xml:space="preserve">. This is </w:t>
      </w:r>
      <w:r w:rsidR="00C24B09">
        <w:rPr>
          <w:noProof/>
          <w:lang w:val="en-IE"/>
        </w:rPr>
        <w:t xml:space="preserve">often </w:t>
      </w:r>
      <w:r w:rsidR="00976753">
        <w:rPr>
          <w:noProof/>
          <w:lang w:val="en-IE"/>
        </w:rPr>
        <w:t xml:space="preserve">the </w:t>
      </w:r>
      <w:r w:rsidR="00C24B09">
        <w:rPr>
          <w:noProof/>
          <w:lang w:val="en-IE"/>
        </w:rPr>
        <w:t>‘by-</w:t>
      </w:r>
      <w:r w:rsidR="00976753">
        <w:rPr>
          <w:noProof/>
          <w:lang w:val="en-IE"/>
        </w:rPr>
        <w:t>default</w:t>
      </w:r>
      <w:r w:rsidR="00C24B09">
        <w:rPr>
          <w:noProof/>
          <w:lang w:val="en-IE"/>
        </w:rPr>
        <w:t>’</w:t>
      </w:r>
      <w:r w:rsidR="00976753">
        <w:rPr>
          <w:noProof/>
          <w:lang w:val="en-IE"/>
        </w:rPr>
        <w:t xml:space="preserve"> option</w:t>
      </w:r>
      <w:r w:rsidR="00C24B09">
        <w:rPr>
          <w:noProof/>
          <w:lang w:val="en-IE"/>
        </w:rPr>
        <w:t xml:space="preserve"> that</w:t>
      </w:r>
      <w:r w:rsidR="002C39A1">
        <w:rPr>
          <w:noProof/>
          <w:lang w:val="en-IE"/>
        </w:rPr>
        <w:t xml:space="preserve"> offers the</w:t>
      </w:r>
      <w:r w:rsidR="00F86557">
        <w:rPr>
          <w:noProof/>
          <w:lang w:val="en-IE"/>
        </w:rPr>
        <w:t xml:space="preserve"> stronger Return on Investment (ROI) over time</w:t>
      </w:r>
      <w:r w:rsidR="00700FF3">
        <w:rPr>
          <w:noProof/>
          <w:lang w:val="en-IE"/>
        </w:rPr>
        <w:t xml:space="preserve">. </w:t>
      </w:r>
      <w:r w:rsidR="0016117C">
        <w:rPr>
          <w:noProof/>
          <w:lang w:val="en-IE"/>
        </w:rPr>
        <w:t>Also, this is a much more beneficial option in the mid-term than rehosting an application and can lead to significant operational savings.</w:t>
      </w:r>
    </w:p>
    <w:p w14:paraId="28FAACEA" w14:textId="0D4492BF" w:rsidR="002E2E62" w:rsidRPr="002E2E62" w:rsidRDefault="00FC22F9" w:rsidP="003E3396">
      <w:pPr>
        <w:numPr>
          <w:ilvl w:val="1"/>
          <w:numId w:val="131"/>
        </w:numPr>
        <w:rPr>
          <w:noProof/>
          <w:lang w:val="en-IE"/>
        </w:rPr>
      </w:pPr>
      <w:r w:rsidRPr="002E2E62">
        <w:rPr>
          <w:i/>
          <w:iCs/>
          <w:noProof/>
          <w:lang w:val="en-IE"/>
        </w:rPr>
        <w:t>Refactor</w:t>
      </w:r>
      <w:r w:rsidRPr="002E2E62">
        <w:rPr>
          <w:noProof/>
          <w:lang w:val="en-IE"/>
        </w:rPr>
        <w:t xml:space="preserve">, which requires major or full code rewrites and </w:t>
      </w:r>
      <w:r w:rsidR="005B496A">
        <w:rPr>
          <w:noProof/>
          <w:lang w:val="en-IE"/>
        </w:rPr>
        <w:t xml:space="preserve">a </w:t>
      </w:r>
      <w:r w:rsidRPr="002E2E62">
        <w:rPr>
          <w:noProof/>
          <w:lang w:val="en-IE"/>
        </w:rPr>
        <w:t>new architecture design of the application (e.g. from an n-tier to micro-services or containers), as well as new continuous integration continuous deployment (CI/CD) pipelines, among other considerations.</w:t>
      </w:r>
      <w:r w:rsidR="00A22E11">
        <w:rPr>
          <w:noProof/>
          <w:lang w:val="en-IE"/>
        </w:rPr>
        <w:t xml:space="preserve"> This is a rather costly project and risk-prone</w:t>
      </w:r>
      <w:r w:rsidR="00912E72">
        <w:rPr>
          <w:noProof/>
          <w:lang w:val="en-IE"/>
        </w:rPr>
        <w:t xml:space="preserve">, and it is only </w:t>
      </w:r>
      <w:r w:rsidR="00B03FBC">
        <w:rPr>
          <w:noProof/>
          <w:lang w:val="en-IE"/>
        </w:rPr>
        <w:t>implemented</w:t>
      </w:r>
      <w:r w:rsidR="00912E72">
        <w:rPr>
          <w:noProof/>
          <w:lang w:val="en-IE"/>
        </w:rPr>
        <w:t xml:space="preserve"> if the application is expected to deliver large </w:t>
      </w:r>
      <w:r w:rsidR="00111785">
        <w:rPr>
          <w:noProof/>
          <w:lang w:val="en-IE"/>
        </w:rPr>
        <w:t xml:space="preserve">long-term </w:t>
      </w:r>
      <w:r w:rsidR="00912E72">
        <w:rPr>
          <w:noProof/>
          <w:lang w:val="en-IE"/>
        </w:rPr>
        <w:t>benefits</w:t>
      </w:r>
      <w:r w:rsidR="00B03FBC">
        <w:rPr>
          <w:noProof/>
          <w:lang w:val="en-IE"/>
        </w:rPr>
        <w:t xml:space="preserve"> and</w:t>
      </w:r>
      <w:r w:rsidR="00111785">
        <w:rPr>
          <w:noProof/>
          <w:lang w:val="en-IE"/>
        </w:rPr>
        <w:t xml:space="preserve"> operational efficiency </w:t>
      </w:r>
      <w:r w:rsidR="00B03FBC">
        <w:rPr>
          <w:noProof/>
          <w:lang w:val="en-IE"/>
        </w:rPr>
        <w:t>that outweigh the costs</w:t>
      </w:r>
      <w:r w:rsidR="00912E72">
        <w:rPr>
          <w:noProof/>
          <w:lang w:val="en-IE"/>
        </w:rPr>
        <w:t>.</w:t>
      </w:r>
      <w:r w:rsidR="00EA6D5D">
        <w:rPr>
          <w:noProof/>
          <w:lang w:val="en-IE"/>
        </w:rPr>
        <w:t xml:space="preserve"> </w:t>
      </w:r>
    </w:p>
    <w:p w14:paraId="4BAA6945" w14:textId="05F49BA1" w:rsidR="00214AEC" w:rsidRPr="00FC22F9" w:rsidRDefault="0051603B" w:rsidP="00214AEC">
      <w:pPr>
        <w:rPr>
          <w:noProof/>
          <w:lang w:val="en-IE"/>
        </w:rPr>
      </w:pPr>
      <w:r>
        <w:rPr>
          <w:noProof/>
          <w:lang w:val="en-IE"/>
        </w:rPr>
        <w:t xml:space="preserve">The cost drivers differ depending on whether it is a </w:t>
      </w:r>
      <w:r w:rsidR="00D4637F">
        <w:rPr>
          <w:noProof/>
          <w:lang w:val="en-IE"/>
        </w:rPr>
        <w:t>porting from a cloud service to another</w:t>
      </w:r>
      <w:r w:rsidR="00CC1D2F">
        <w:rPr>
          <w:noProof/>
          <w:lang w:val="en-IE"/>
        </w:rPr>
        <w:t xml:space="preserve"> (</w:t>
      </w:r>
      <w:r w:rsidR="00D82D2A">
        <w:rPr>
          <w:noProof/>
          <w:lang w:val="en-IE"/>
        </w:rPr>
        <w:t>cloud-to-sovereign cloud</w:t>
      </w:r>
      <w:r w:rsidR="00CC1D2F">
        <w:rPr>
          <w:noProof/>
          <w:lang w:val="en-IE"/>
        </w:rPr>
        <w:t>)</w:t>
      </w:r>
      <w:r w:rsidR="00D4637F">
        <w:rPr>
          <w:noProof/>
          <w:lang w:val="en-IE"/>
        </w:rPr>
        <w:t xml:space="preserve"> or a migration of a legacy application to the cloud.</w:t>
      </w:r>
      <w:r w:rsidR="00CC1D2F">
        <w:rPr>
          <w:noProof/>
          <w:lang w:val="en-IE"/>
        </w:rPr>
        <w:t xml:space="preserve"> (legacy-to-cloud)</w:t>
      </w:r>
      <w:r w:rsidR="00D4637F">
        <w:rPr>
          <w:noProof/>
          <w:lang w:val="en-IE"/>
        </w:rPr>
        <w:t xml:space="preserve"> </w:t>
      </w:r>
      <w:r w:rsidR="00214AEC" w:rsidRPr="00FC22F9">
        <w:rPr>
          <w:noProof/>
          <w:lang w:val="en-IE"/>
        </w:rPr>
        <w:t xml:space="preserve">The </w:t>
      </w:r>
      <w:r w:rsidR="00214AEC" w:rsidRPr="003E3396">
        <w:rPr>
          <w:b/>
          <w:noProof/>
          <w:lang w:val="en-IE"/>
        </w:rPr>
        <w:t>dominant cost driver of porting an application from one cloud service to another is the labour related to the service re-mapping, re-testing</w:t>
      </w:r>
      <w:r w:rsidR="00CB18DF" w:rsidRPr="003E3396">
        <w:rPr>
          <w:b/>
          <w:noProof/>
          <w:lang w:val="en-IE"/>
        </w:rPr>
        <w:t xml:space="preserve"> and parallel run in dual infrastructures</w:t>
      </w:r>
      <w:r w:rsidR="00214AEC" w:rsidRPr="003E3396">
        <w:rPr>
          <w:b/>
          <w:noProof/>
          <w:lang w:val="en-IE"/>
        </w:rPr>
        <w:t>, and a potential re-</w:t>
      </w:r>
      <w:r w:rsidR="00B03FBC" w:rsidRPr="003E3396">
        <w:rPr>
          <w:b/>
          <w:noProof/>
          <w:lang w:val="en-IE"/>
        </w:rPr>
        <w:t>adaptation</w:t>
      </w:r>
      <w:r w:rsidR="00214AEC" w:rsidRPr="003E3396">
        <w:rPr>
          <w:b/>
          <w:noProof/>
          <w:lang w:val="en-IE"/>
        </w:rPr>
        <w:t xml:space="preserve"> </w:t>
      </w:r>
      <w:r w:rsidR="00CB18DF" w:rsidRPr="003E3396">
        <w:rPr>
          <w:b/>
          <w:noProof/>
          <w:lang w:val="en-IE"/>
        </w:rPr>
        <w:t xml:space="preserve">of the application </w:t>
      </w:r>
      <w:r w:rsidR="00214AEC" w:rsidRPr="003E3396">
        <w:rPr>
          <w:b/>
          <w:noProof/>
          <w:lang w:val="en-IE"/>
        </w:rPr>
        <w:t>away from proprietary services</w:t>
      </w:r>
      <w:r w:rsidR="00FE544B" w:rsidRPr="003E3396">
        <w:rPr>
          <w:b/>
          <w:noProof/>
          <w:lang w:val="en-IE"/>
        </w:rPr>
        <w:t xml:space="preserve"> or </w:t>
      </w:r>
      <w:r w:rsidR="005F328C" w:rsidRPr="003E3396">
        <w:rPr>
          <w:b/>
          <w:noProof/>
          <w:lang w:val="en-IE"/>
        </w:rPr>
        <w:t xml:space="preserve">older </w:t>
      </w:r>
      <w:r w:rsidR="00B03FBC" w:rsidRPr="003E3396">
        <w:rPr>
          <w:b/>
          <w:noProof/>
          <w:lang w:val="en-IE"/>
        </w:rPr>
        <w:t xml:space="preserve">versions of the </w:t>
      </w:r>
      <w:r w:rsidR="005F328C" w:rsidRPr="003E3396">
        <w:rPr>
          <w:b/>
          <w:noProof/>
          <w:lang w:val="en-IE"/>
        </w:rPr>
        <w:t>technologies</w:t>
      </w:r>
      <w:r w:rsidR="00214AEC" w:rsidRPr="00FC22F9">
        <w:rPr>
          <w:noProof/>
          <w:lang w:val="en-IE"/>
        </w:rPr>
        <w:t xml:space="preserve">. Thanks to the entering into force of the Data Act, egress fees are in the process of disappearing or have already disappeared. </w:t>
      </w:r>
      <w:r>
        <w:rPr>
          <w:noProof/>
          <w:lang w:val="en-IE"/>
        </w:rPr>
        <w:t>Conversely</w:t>
      </w:r>
      <w:r w:rsidR="00214AEC" w:rsidRPr="00FC22F9">
        <w:rPr>
          <w:noProof/>
          <w:lang w:val="en-IE"/>
        </w:rPr>
        <w:t xml:space="preserve">, </w:t>
      </w:r>
      <w:r w:rsidR="00214AEC" w:rsidRPr="003E3396">
        <w:rPr>
          <w:b/>
          <w:noProof/>
          <w:lang w:val="en-IE"/>
        </w:rPr>
        <w:t>when moving a legacy application</w:t>
      </w:r>
      <w:r w:rsidR="00376D0F" w:rsidRPr="003E3396">
        <w:rPr>
          <w:b/>
          <w:noProof/>
          <w:lang w:val="en-IE"/>
        </w:rPr>
        <w:t xml:space="preserve"> to the cloud</w:t>
      </w:r>
      <w:r w:rsidR="00214AEC" w:rsidRPr="003E3396">
        <w:rPr>
          <w:b/>
          <w:noProof/>
          <w:lang w:val="en-IE"/>
        </w:rPr>
        <w:t xml:space="preserve"> (‘cloudification’), the dominant cost is the technical team’s labour – architects, software engineers, DevOps - to resolve </w:t>
      </w:r>
      <w:r w:rsidR="00376D0F" w:rsidRPr="003E3396">
        <w:rPr>
          <w:b/>
          <w:noProof/>
          <w:lang w:val="en-IE"/>
        </w:rPr>
        <w:t xml:space="preserve">the </w:t>
      </w:r>
      <w:r w:rsidR="00214AEC" w:rsidRPr="003E3396">
        <w:rPr>
          <w:b/>
          <w:noProof/>
          <w:lang w:val="en-IE"/>
        </w:rPr>
        <w:t>technical debt, undocumented dependencies, and architectural incompatibilities with cloud-native patterns</w:t>
      </w:r>
      <w:r w:rsidR="008E685F" w:rsidRPr="003E3396">
        <w:rPr>
          <w:b/>
          <w:noProof/>
          <w:lang w:val="en-IE"/>
        </w:rPr>
        <w:t>, along with the decision to what cloud service to migrate to, both from a technical and a business point of view</w:t>
      </w:r>
      <w:r w:rsidR="002D1764" w:rsidRPr="003E3396">
        <w:rPr>
          <w:b/>
          <w:noProof/>
          <w:lang w:val="en-IE"/>
        </w:rPr>
        <w:t>, and the impact in the organizational processes</w:t>
      </w:r>
      <w:r w:rsidR="008E685F" w:rsidRPr="003E3396">
        <w:rPr>
          <w:b/>
          <w:noProof/>
          <w:lang w:val="en-IE"/>
        </w:rPr>
        <w:t>.</w:t>
      </w:r>
      <w:r w:rsidR="008E685F">
        <w:rPr>
          <w:noProof/>
          <w:lang w:val="en-IE"/>
        </w:rPr>
        <w:t xml:space="preserve"> The dual run </w:t>
      </w:r>
      <w:r w:rsidR="002D1764">
        <w:rPr>
          <w:noProof/>
          <w:lang w:val="en-IE"/>
        </w:rPr>
        <w:t xml:space="preserve">during the cloudification while critical, does not consume any additional cloud resources, as the legacy application keeps on running </w:t>
      </w:r>
      <w:r w:rsidR="00EA35C4">
        <w:rPr>
          <w:noProof/>
          <w:lang w:val="en-IE"/>
        </w:rPr>
        <w:t>on-premises.</w:t>
      </w:r>
    </w:p>
    <w:p w14:paraId="430D8CEE" w14:textId="0EAE4153" w:rsidR="00012BC1" w:rsidRDefault="00C009E8" w:rsidP="00ED5E43">
      <w:pPr>
        <w:rPr>
          <w:noProof/>
          <w:lang w:val="en-IE"/>
        </w:rPr>
      </w:pPr>
      <w:r>
        <w:rPr>
          <w:noProof/>
          <w:lang w:val="en-IE"/>
        </w:rPr>
        <w:t>Due</w:t>
      </w:r>
      <w:r w:rsidR="00241022">
        <w:rPr>
          <w:noProof/>
          <w:lang w:val="en-IE"/>
        </w:rPr>
        <w:t xml:space="preserve"> to the singularity of each migration and porting project</w:t>
      </w:r>
      <w:r w:rsidR="00D52B13">
        <w:rPr>
          <w:noProof/>
          <w:lang w:val="en-IE"/>
        </w:rPr>
        <w:t xml:space="preserve"> and the lack of data </w:t>
      </w:r>
      <w:r w:rsidR="00C3179A">
        <w:rPr>
          <w:noProof/>
          <w:lang w:val="en-IE"/>
        </w:rPr>
        <w:t>fr</w:t>
      </w:r>
      <w:r w:rsidR="00291BFC">
        <w:rPr>
          <w:noProof/>
          <w:lang w:val="en-IE"/>
        </w:rPr>
        <w:t>o</w:t>
      </w:r>
      <w:r w:rsidR="00C3179A">
        <w:rPr>
          <w:noProof/>
          <w:lang w:val="en-IE"/>
        </w:rPr>
        <w:t>m</w:t>
      </w:r>
      <w:r w:rsidR="00D52B13">
        <w:rPr>
          <w:noProof/>
          <w:lang w:val="en-IE"/>
        </w:rPr>
        <w:t xml:space="preserve"> independent resources</w:t>
      </w:r>
      <w:r w:rsidR="00241022">
        <w:rPr>
          <w:noProof/>
          <w:lang w:val="en-IE"/>
        </w:rPr>
        <w:t>, t</w:t>
      </w:r>
      <w:r w:rsidR="00EA35C4">
        <w:rPr>
          <w:noProof/>
          <w:lang w:val="en-IE"/>
        </w:rPr>
        <w:t>he current</w:t>
      </w:r>
      <w:r w:rsidR="00ED5E43" w:rsidRPr="00ED5E43">
        <w:rPr>
          <w:noProof/>
          <w:lang w:val="en-IE"/>
        </w:rPr>
        <w:t xml:space="preserve"> analysis addresses two distinct migration scenarios</w:t>
      </w:r>
      <w:r w:rsidR="00ED5E43">
        <w:rPr>
          <w:noProof/>
          <w:lang w:val="en-IE"/>
        </w:rPr>
        <w:t xml:space="preserve"> in </w:t>
      </w:r>
      <w:r w:rsidR="00ED5E43" w:rsidRPr="003E3396">
        <w:rPr>
          <w:noProof/>
          <w:u w:val="single"/>
          <w:lang w:val="en-IE"/>
        </w:rPr>
        <w:t>qualitative terms</w:t>
      </w:r>
      <w:r w:rsidR="00ED5E43" w:rsidRPr="00ED5E43">
        <w:rPr>
          <w:noProof/>
          <w:lang w:val="en-IE"/>
        </w:rPr>
        <w:t xml:space="preserve">: </w:t>
      </w:r>
    </w:p>
    <w:p w14:paraId="159E06DF" w14:textId="33927E13" w:rsidR="00012BC1" w:rsidRDefault="00ED5E43" w:rsidP="003E3396">
      <w:pPr>
        <w:spacing w:after="0"/>
        <w:ind w:left="720"/>
        <w:rPr>
          <w:noProof/>
          <w:lang w:val="en-IE"/>
        </w:rPr>
      </w:pPr>
      <w:r w:rsidRPr="00ED5E43">
        <w:rPr>
          <w:noProof/>
          <w:lang w:val="en-IE"/>
        </w:rPr>
        <w:t xml:space="preserve">(1) </w:t>
      </w:r>
      <w:r w:rsidR="00012BC1">
        <w:rPr>
          <w:noProof/>
          <w:lang w:val="en-IE"/>
        </w:rPr>
        <w:t>migrating</w:t>
      </w:r>
      <w:r w:rsidRPr="00ED5E43">
        <w:rPr>
          <w:noProof/>
          <w:lang w:val="en-IE"/>
        </w:rPr>
        <w:t xml:space="preserve"> an existing on-premise workload to the cloud</w:t>
      </w:r>
      <w:r w:rsidR="00012BC1">
        <w:rPr>
          <w:noProof/>
          <w:lang w:val="en-IE"/>
        </w:rPr>
        <w:t xml:space="preserve"> (legacy-to-cloud)</w:t>
      </w:r>
      <w:r w:rsidRPr="00ED5E43">
        <w:rPr>
          <w:noProof/>
          <w:lang w:val="en-IE"/>
        </w:rPr>
        <w:t xml:space="preserve">; and </w:t>
      </w:r>
    </w:p>
    <w:p w14:paraId="21D5E111" w14:textId="1D3078BD" w:rsidR="00012BC1" w:rsidRDefault="00ED5E43">
      <w:pPr>
        <w:ind w:left="720"/>
        <w:rPr>
          <w:noProof/>
          <w:lang w:val="en-IE"/>
        </w:rPr>
      </w:pPr>
      <w:r w:rsidRPr="00ED5E43">
        <w:rPr>
          <w:noProof/>
          <w:lang w:val="en-IE"/>
        </w:rPr>
        <w:t xml:space="preserve">(2) </w:t>
      </w:r>
      <w:r w:rsidR="00002479">
        <w:rPr>
          <w:noProof/>
          <w:lang w:val="en-IE"/>
        </w:rPr>
        <w:t>porting</w:t>
      </w:r>
      <w:r w:rsidRPr="00ED5E43">
        <w:rPr>
          <w:noProof/>
          <w:lang w:val="en-IE"/>
        </w:rPr>
        <w:t xml:space="preserve"> an existing workload from one cloud provider to another</w:t>
      </w:r>
      <w:r w:rsidR="00012BC1">
        <w:rPr>
          <w:noProof/>
          <w:lang w:val="en-IE"/>
        </w:rPr>
        <w:t xml:space="preserve"> (</w:t>
      </w:r>
      <w:r w:rsidR="00D82D2A">
        <w:rPr>
          <w:noProof/>
          <w:lang w:val="en-IE"/>
        </w:rPr>
        <w:t>cloud-to-sovereign cloud</w:t>
      </w:r>
      <w:r w:rsidR="00012BC1">
        <w:rPr>
          <w:noProof/>
          <w:lang w:val="en-IE"/>
        </w:rPr>
        <w:t>)</w:t>
      </w:r>
      <w:r w:rsidRPr="00ED5E43">
        <w:rPr>
          <w:noProof/>
          <w:lang w:val="en-IE"/>
        </w:rPr>
        <w:t xml:space="preserve">. </w:t>
      </w:r>
    </w:p>
    <w:p w14:paraId="0AE39D7B" w14:textId="7849A40D" w:rsidR="00B571D5" w:rsidRDefault="00C3179A" w:rsidP="00B571D5">
      <w:pPr>
        <w:rPr>
          <w:noProof/>
          <w:lang w:val="en-IE"/>
        </w:rPr>
      </w:pPr>
      <w:r>
        <w:rPr>
          <w:noProof/>
          <w:lang w:val="en-IE"/>
        </w:rPr>
        <w:t>The</w:t>
      </w:r>
      <w:r w:rsidR="00B571D5">
        <w:rPr>
          <w:noProof/>
          <w:lang w:val="en-IE"/>
        </w:rPr>
        <w:t xml:space="preserve"> second scenario </w:t>
      </w:r>
      <w:r w:rsidR="00FB6C23">
        <w:rPr>
          <w:noProof/>
          <w:lang w:val="en-IE"/>
        </w:rPr>
        <w:t xml:space="preserve">is presented in the subsequent sections </w:t>
      </w:r>
      <w:r w:rsidR="00B571D5">
        <w:rPr>
          <w:noProof/>
          <w:lang w:val="en-IE"/>
        </w:rPr>
        <w:t>in quantitative terms</w:t>
      </w:r>
      <w:r w:rsidR="00DC5741">
        <w:rPr>
          <w:noProof/>
          <w:lang w:val="en-IE"/>
        </w:rPr>
        <w:t>.</w:t>
      </w:r>
      <w:r w:rsidR="00A601D7" w:rsidRPr="00A601D7">
        <w:rPr>
          <w:noProof/>
          <w:lang w:val="en-IE"/>
        </w:rPr>
        <w:t xml:space="preserve"> </w:t>
      </w:r>
      <w:r w:rsidR="00A601D7" w:rsidRPr="00ED5E43">
        <w:rPr>
          <w:noProof/>
          <w:lang w:val="en-IE"/>
        </w:rPr>
        <w:t xml:space="preserve">This scope decision reflects a limitation in the available literature: cost data for legacy-to-cloud migrations remains highly variable and context-dependent, making reliable generalisation difficult. </w:t>
      </w:r>
      <w:r w:rsidR="00D82D2A">
        <w:rPr>
          <w:noProof/>
          <w:lang w:val="en-IE"/>
        </w:rPr>
        <w:t>Cloud-to-sovereign cloud</w:t>
      </w:r>
      <w:r w:rsidR="00A601D7" w:rsidRPr="00ED5E43">
        <w:rPr>
          <w:noProof/>
          <w:lang w:val="en-IE"/>
        </w:rPr>
        <w:t xml:space="preserve"> migrations, by contrast, offer a more stable basis for estimation, as the source environment is </w:t>
      </w:r>
      <w:r w:rsidR="00A601D7">
        <w:rPr>
          <w:noProof/>
          <w:lang w:val="en-IE"/>
        </w:rPr>
        <w:t xml:space="preserve">often </w:t>
      </w:r>
      <w:r w:rsidR="00A601D7" w:rsidRPr="00ED5E43">
        <w:rPr>
          <w:noProof/>
          <w:lang w:val="en-IE"/>
        </w:rPr>
        <w:t xml:space="preserve">already </w:t>
      </w:r>
      <w:r w:rsidR="00A601D7">
        <w:rPr>
          <w:noProof/>
          <w:lang w:val="en-IE"/>
        </w:rPr>
        <w:t>well</w:t>
      </w:r>
      <w:r w:rsidR="00A601D7" w:rsidRPr="00ED5E43">
        <w:rPr>
          <w:noProof/>
          <w:lang w:val="en-IE"/>
        </w:rPr>
        <w:t xml:space="preserve"> documented, </w:t>
      </w:r>
      <w:r w:rsidR="00A601D7">
        <w:rPr>
          <w:noProof/>
          <w:lang w:val="en-IE"/>
        </w:rPr>
        <w:t xml:space="preserve">the application </w:t>
      </w:r>
      <w:r w:rsidR="00A601D7" w:rsidRPr="00ED5E43">
        <w:rPr>
          <w:noProof/>
          <w:lang w:val="en-IE"/>
        </w:rPr>
        <w:t xml:space="preserve">containerised, and </w:t>
      </w:r>
      <w:r w:rsidR="00A601D7">
        <w:rPr>
          <w:noProof/>
          <w:lang w:val="en-IE"/>
        </w:rPr>
        <w:t xml:space="preserve">it is </w:t>
      </w:r>
      <w:r w:rsidR="00A601D7" w:rsidRPr="00ED5E43">
        <w:rPr>
          <w:noProof/>
          <w:lang w:val="en-IE"/>
        </w:rPr>
        <w:t>operating under known cost parameters</w:t>
      </w:r>
      <w:r w:rsidR="00A601D7">
        <w:rPr>
          <w:noProof/>
          <w:lang w:val="en-IE"/>
        </w:rPr>
        <w:t>, considerations that have been used for the quantitative modelling</w:t>
      </w:r>
      <w:r w:rsidR="007A6C01">
        <w:rPr>
          <w:noProof/>
          <w:lang w:val="en-IE"/>
        </w:rPr>
        <w:t xml:space="preserve"> presented in the next sections.</w:t>
      </w:r>
    </w:p>
    <w:p w14:paraId="390A7837" w14:textId="51425CEF" w:rsidR="00ED5E43" w:rsidRPr="00ED5E43" w:rsidRDefault="00FB6C23" w:rsidP="00ED5E43">
      <w:pPr>
        <w:rPr>
          <w:noProof/>
          <w:lang w:val="en-IE"/>
        </w:rPr>
      </w:pPr>
      <w:r>
        <w:rPr>
          <w:noProof/>
          <w:lang w:val="en-IE"/>
        </w:rPr>
        <w:t>While b</w:t>
      </w:r>
      <w:r w:rsidR="00ED5E43" w:rsidRPr="00ED5E43">
        <w:rPr>
          <w:noProof/>
          <w:lang w:val="en-IE"/>
        </w:rPr>
        <w:t xml:space="preserve">oth scenarios follow the same broad phases, the effort intensity of </w:t>
      </w:r>
      <w:r w:rsidR="00ED5E43">
        <w:rPr>
          <w:noProof/>
          <w:lang w:val="en-IE"/>
        </w:rPr>
        <w:t xml:space="preserve">the </w:t>
      </w:r>
      <w:r w:rsidR="00ED5E43" w:rsidRPr="00ED5E43">
        <w:rPr>
          <w:noProof/>
          <w:lang w:val="en-IE"/>
        </w:rPr>
        <w:t xml:space="preserve">individual activities within each phase </w:t>
      </w:r>
      <w:r w:rsidR="00C03679">
        <w:rPr>
          <w:noProof/>
          <w:lang w:val="en-IE"/>
        </w:rPr>
        <w:t xml:space="preserve">of a migration project </w:t>
      </w:r>
      <w:r>
        <w:rPr>
          <w:noProof/>
          <w:lang w:val="en-IE"/>
        </w:rPr>
        <w:t xml:space="preserve">– that is, how much labour </w:t>
      </w:r>
      <w:r w:rsidR="005C04B1">
        <w:rPr>
          <w:noProof/>
          <w:lang w:val="en-IE"/>
        </w:rPr>
        <w:t>would be</w:t>
      </w:r>
      <w:r>
        <w:rPr>
          <w:noProof/>
          <w:lang w:val="en-IE"/>
        </w:rPr>
        <w:t xml:space="preserve"> dedicated to that specific activity - </w:t>
      </w:r>
      <w:r w:rsidR="00ED5E43" w:rsidRPr="00ED5E43">
        <w:rPr>
          <w:noProof/>
          <w:lang w:val="en-IE"/>
        </w:rPr>
        <w:t xml:space="preserve">differs considerably depending on whether the project is a legacy-to-cloud or a </w:t>
      </w:r>
      <w:r w:rsidR="00D82D2A">
        <w:rPr>
          <w:noProof/>
          <w:lang w:val="en-IE"/>
        </w:rPr>
        <w:t>cloud-to-sovereign cloud</w:t>
      </w:r>
      <w:r w:rsidR="00ED5E43" w:rsidRPr="00ED5E43">
        <w:rPr>
          <w:noProof/>
          <w:lang w:val="en-IE"/>
        </w:rPr>
        <w:t xml:space="preserve"> migration.</w:t>
      </w:r>
      <w:r w:rsidR="005C04B1">
        <w:rPr>
          <w:noProof/>
          <w:lang w:val="en-IE"/>
        </w:rPr>
        <w:t xml:space="preserve"> </w:t>
      </w:r>
      <w:r w:rsidR="00ED5E43" w:rsidRPr="00ED5E43">
        <w:rPr>
          <w:noProof/>
          <w:lang w:val="en-IE"/>
        </w:rPr>
        <w:t xml:space="preserve">The table below provides a qualitative comparison of </w:t>
      </w:r>
      <w:r w:rsidR="004C13AD">
        <w:rPr>
          <w:noProof/>
          <w:lang w:val="en-IE"/>
        </w:rPr>
        <w:t xml:space="preserve">the </w:t>
      </w:r>
      <w:r w:rsidR="00ED5E43" w:rsidRPr="00ED5E43">
        <w:rPr>
          <w:noProof/>
          <w:lang w:val="en-IE"/>
        </w:rPr>
        <w:t xml:space="preserve">effort </w:t>
      </w:r>
      <w:r w:rsidR="00C03679" w:rsidRPr="00ED5E43">
        <w:rPr>
          <w:noProof/>
          <w:lang w:val="en-IE"/>
        </w:rPr>
        <w:t xml:space="preserve">intensity </w:t>
      </w:r>
      <w:r w:rsidR="00C03679">
        <w:rPr>
          <w:noProof/>
          <w:lang w:val="en-IE"/>
        </w:rPr>
        <w:t>per</w:t>
      </w:r>
      <w:r w:rsidR="0076285C">
        <w:rPr>
          <w:noProof/>
          <w:lang w:val="en-IE"/>
        </w:rPr>
        <w:t xml:space="preserve"> main activity </w:t>
      </w:r>
      <w:r w:rsidR="00ED5E43" w:rsidRPr="00ED5E43">
        <w:rPr>
          <w:noProof/>
          <w:lang w:val="en-IE"/>
        </w:rPr>
        <w:t xml:space="preserve">across both scenarios. </w:t>
      </w:r>
    </w:p>
    <w:p w14:paraId="337286E0" w14:textId="38CBC863" w:rsidR="00214AEC" w:rsidRDefault="00214AEC" w:rsidP="00214AEC">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65</w:t>
      </w:r>
      <w:r>
        <w:rPr>
          <w:b/>
          <w:iCs/>
          <w:noProof/>
          <w:color w:val="000000" w:themeColor="text1"/>
          <w:sz w:val="20"/>
          <w:szCs w:val="18"/>
          <w:lang w:val="en-IE"/>
        </w:rPr>
        <w:fldChar w:fldCharType="end"/>
      </w:r>
      <w:r>
        <w:rPr>
          <w:b/>
          <w:iCs/>
          <w:noProof/>
          <w:color w:val="000000" w:themeColor="text1"/>
          <w:sz w:val="20"/>
          <w:szCs w:val="18"/>
          <w:lang w:val="en-IE"/>
        </w:rPr>
        <w:t xml:space="preserve">. Comparative table of the intensity effort (qualitative) needed to migrate applications legacy-to-cloud and </w:t>
      </w:r>
      <w:r w:rsidR="00D82D2A">
        <w:rPr>
          <w:b/>
          <w:iCs/>
          <w:noProof/>
          <w:color w:val="000000" w:themeColor="text1"/>
          <w:sz w:val="20"/>
          <w:szCs w:val="18"/>
          <w:lang w:val="en-IE"/>
        </w:rPr>
        <w:t>cloud-to-sovereign cloud</w:t>
      </w:r>
      <w:r>
        <w:rPr>
          <w:b/>
          <w:iCs/>
          <w:noProof/>
          <w:color w:val="000000" w:themeColor="text1"/>
          <w:sz w:val="20"/>
          <w:szCs w:val="18"/>
          <w:lang w:val="en-IE"/>
        </w:rPr>
        <w:t xml:space="preserve"> (Source: European Commission)</w:t>
      </w:r>
    </w:p>
    <w:tbl>
      <w:tblPr>
        <w:tblStyle w:val="TableGrid"/>
        <w:tblW w:w="8784" w:type="dxa"/>
        <w:tblLook w:val="04A0" w:firstRow="1" w:lastRow="0" w:firstColumn="1" w:lastColumn="0" w:noHBand="0" w:noVBand="1"/>
      </w:tblPr>
      <w:tblGrid>
        <w:gridCol w:w="2972"/>
        <w:gridCol w:w="2835"/>
        <w:gridCol w:w="2977"/>
      </w:tblGrid>
      <w:tr w:rsidR="00435269" w:rsidRPr="00531203" w14:paraId="1D5BEAE7" w14:textId="77777777" w:rsidTr="003E3396">
        <w:trPr>
          <w:tblHeader/>
        </w:trPr>
        <w:tc>
          <w:tcPr>
            <w:tcW w:w="2972" w:type="dxa"/>
            <w:tcBorders>
              <w:top w:val="single" w:sz="4" w:space="0" w:color="auto"/>
              <w:left w:val="single" w:sz="4" w:space="0" w:color="auto"/>
              <w:bottom w:val="single" w:sz="4" w:space="0" w:color="auto"/>
              <w:right w:val="single" w:sz="4" w:space="0" w:color="auto"/>
            </w:tcBorders>
            <w:shd w:val="clear" w:color="auto" w:fill="227ACB"/>
            <w:vAlign w:val="center"/>
            <w:hideMark/>
          </w:tcPr>
          <w:p w14:paraId="4BAD03EF" w14:textId="77777777" w:rsidR="00214AEC" w:rsidRPr="003E3396" w:rsidRDefault="00214AEC" w:rsidP="003E3396">
            <w:pPr>
              <w:spacing w:after="0"/>
              <w:rPr>
                <w:b/>
                <w:noProof/>
                <w:color w:val="FFFFFF"/>
                <w:sz w:val="22"/>
                <w:szCs w:val="22"/>
                <w:lang w:val="en-US"/>
              </w:rPr>
            </w:pPr>
            <w:r w:rsidRPr="003E3396">
              <w:rPr>
                <w:b/>
                <w:noProof/>
                <w:color w:val="FFFFFF"/>
                <w:sz w:val="22"/>
                <w:szCs w:val="22"/>
                <w:lang w:val="en-US"/>
              </w:rPr>
              <w:t>Activity</w:t>
            </w:r>
          </w:p>
        </w:tc>
        <w:tc>
          <w:tcPr>
            <w:tcW w:w="2835" w:type="dxa"/>
            <w:tcBorders>
              <w:top w:val="single" w:sz="4" w:space="0" w:color="auto"/>
              <w:left w:val="single" w:sz="4" w:space="0" w:color="auto"/>
              <w:bottom w:val="single" w:sz="4" w:space="0" w:color="auto"/>
              <w:right w:val="single" w:sz="4" w:space="0" w:color="auto"/>
            </w:tcBorders>
            <w:shd w:val="clear" w:color="auto" w:fill="227ACB"/>
            <w:vAlign w:val="center"/>
            <w:hideMark/>
          </w:tcPr>
          <w:p w14:paraId="477CC961" w14:textId="6DB2CD82" w:rsidR="00214AEC" w:rsidRPr="003E3396" w:rsidRDefault="00214AEC" w:rsidP="003E3396">
            <w:pPr>
              <w:spacing w:after="0"/>
              <w:rPr>
                <w:b/>
                <w:noProof/>
                <w:color w:val="FFFFFF"/>
                <w:sz w:val="22"/>
                <w:szCs w:val="22"/>
                <w:lang w:val="en-US"/>
              </w:rPr>
            </w:pPr>
            <w:r w:rsidRPr="003E3396">
              <w:rPr>
                <w:b/>
                <w:noProof/>
                <w:color w:val="FFFFFF"/>
                <w:sz w:val="22"/>
                <w:szCs w:val="22"/>
                <w:lang w:val="en-US"/>
              </w:rPr>
              <w:t>Legacy-to-cloud effort intensity</w:t>
            </w:r>
          </w:p>
        </w:tc>
        <w:tc>
          <w:tcPr>
            <w:tcW w:w="2977" w:type="dxa"/>
            <w:tcBorders>
              <w:top w:val="single" w:sz="4" w:space="0" w:color="auto"/>
              <w:left w:val="single" w:sz="4" w:space="0" w:color="auto"/>
              <w:bottom w:val="single" w:sz="4" w:space="0" w:color="auto"/>
              <w:right w:val="single" w:sz="4" w:space="0" w:color="auto"/>
            </w:tcBorders>
            <w:shd w:val="clear" w:color="auto" w:fill="227ACB"/>
            <w:vAlign w:val="center"/>
            <w:hideMark/>
          </w:tcPr>
          <w:p w14:paraId="19467B1D" w14:textId="2044EDCF" w:rsidR="00214AEC" w:rsidRPr="003E3396" w:rsidRDefault="00D82D2A" w:rsidP="003E3396">
            <w:pPr>
              <w:spacing w:after="0"/>
              <w:rPr>
                <w:b/>
                <w:noProof/>
                <w:color w:val="FFFFFF"/>
                <w:sz w:val="22"/>
                <w:szCs w:val="22"/>
                <w:lang w:val="en-US"/>
              </w:rPr>
            </w:pPr>
            <w:r>
              <w:rPr>
                <w:b/>
                <w:bCs/>
                <w:noProof/>
                <w:color w:val="FFFFFF"/>
                <w:sz w:val="22"/>
                <w:szCs w:val="22"/>
                <w:lang w:val="en-US"/>
              </w:rPr>
              <w:t>Cloud-to-sovereign cloud</w:t>
            </w:r>
            <w:r w:rsidR="00214AEC" w:rsidRPr="003E3396">
              <w:rPr>
                <w:b/>
                <w:noProof/>
                <w:color w:val="FFFFFF"/>
                <w:sz w:val="22"/>
                <w:szCs w:val="22"/>
                <w:lang w:val="en-US"/>
              </w:rPr>
              <w:t xml:space="preserve"> effort intensity </w:t>
            </w:r>
          </w:p>
        </w:tc>
      </w:tr>
      <w:tr w:rsidR="00531203" w:rsidRPr="00531203" w14:paraId="1F0761C2"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1DBC18CF" w14:textId="4BDDAA3F" w:rsidR="00214AEC" w:rsidRPr="003E3396" w:rsidRDefault="00214AEC" w:rsidP="003E3396">
            <w:pPr>
              <w:spacing w:after="0"/>
              <w:rPr>
                <w:noProof/>
                <w:sz w:val="22"/>
                <w:szCs w:val="22"/>
                <w:lang w:val="en-US"/>
              </w:rPr>
            </w:pPr>
            <w:r w:rsidRPr="003E3396">
              <w:rPr>
                <w:noProof/>
                <w:sz w:val="22"/>
                <w:szCs w:val="22"/>
                <w:lang w:val="en-US"/>
              </w:rPr>
              <w:t xml:space="preserve">Architecture </w:t>
            </w:r>
            <w:r w:rsidR="007268FF">
              <w:rPr>
                <w:noProof/>
                <w:sz w:val="22"/>
                <w:szCs w:val="22"/>
                <w:lang w:val="en-US"/>
              </w:rPr>
              <w:t>design</w:t>
            </w:r>
          </w:p>
        </w:tc>
        <w:tc>
          <w:tcPr>
            <w:tcW w:w="2835"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5410777E" w14:textId="722C4CFF" w:rsidR="00214AEC" w:rsidRPr="003E3396" w:rsidRDefault="00214AEC" w:rsidP="003E3396">
            <w:pPr>
              <w:spacing w:after="0"/>
              <w:rPr>
                <w:noProof/>
                <w:sz w:val="22"/>
                <w:szCs w:val="22"/>
                <w:lang w:val="en-US"/>
              </w:rPr>
            </w:pPr>
            <w:r w:rsidRPr="003E3396">
              <w:rPr>
                <w:noProof/>
                <w:sz w:val="22"/>
                <w:szCs w:val="22"/>
                <w:lang w:val="en-US"/>
              </w:rPr>
              <w:t>Medium</w:t>
            </w:r>
            <w:r w:rsidR="00EC7163">
              <w:rPr>
                <w:noProof/>
                <w:sz w:val="22"/>
                <w:szCs w:val="22"/>
                <w:lang w:val="en-US"/>
              </w:rPr>
              <w:t xml:space="preserve"> / High</w:t>
            </w:r>
          </w:p>
        </w:tc>
        <w:tc>
          <w:tcPr>
            <w:tcW w:w="29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16C502C1" w14:textId="77777777" w:rsidR="00214AEC" w:rsidRPr="003E3396" w:rsidRDefault="00214AEC" w:rsidP="003E3396">
            <w:pPr>
              <w:spacing w:after="0"/>
              <w:rPr>
                <w:noProof/>
                <w:sz w:val="22"/>
                <w:szCs w:val="22"/>
                <w:lang w:val="en-US"/>
              </w:rPr>
            </w:pPr>
            <w:r w:rsidRPr="003E3396">
              <w:rPr>
                <w:noProof/>
                <w:sz w:val="22"/>
                <w:szCs w:val="22"/>
                <w:lang w:val="en-US"/>
              </w:rPr>
              <w:t>Low</w:t>
            </w:r>
          </w:p>
        </w:tc>
      </w:tr>
      <w:tr w:rsidR="00531203" w:rsidRPr="00531203" w14:paraId="6341A6EF"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793E196D" w14:textId="77777777" w:rsidR="00214AEC" w:rsidRPr="003E3396" w:rsidRDefault="00214AEC" w:rsidP="003E3396">
            <w:pPr>
              <w:spacing w:after="0"/>
              <w:rPr>
                <w:noProof/>
                <w:sz w:val="22"/>
                <w:szCs w:val="22"/>
                <w:lang w:val="en-US"/>
              </w:rPr>
            </w:pPr>
            <w:r w:rsidRPr="003E3396">
              <w:rPr>
                <w:noProof/>
                <w:sz w:val="22"/>
                <w:szCs w:val="22"/>
                <w:lang w:val="en-US"/>
              </w:rPr>
              <w:t>Refactoring and code migration</w:t>
            </w:r>
          </w:p>
        </w:tc>
        <w:tc>
          <w:tcPr>
            <w:tcW w:w="2835" w:type="dxa"/>
            <w:tcBorders>
              <w:top w:val="single" w:sz="4" w:space="0" w:color="auto"/>
              <w:left w:val="single" w:sz="4" w:space="0" w:color="auto"/>
              <w:bottom w:val="single" w:sz="4" w:space="0" w:color="auto"/>
              <w:right w:val="single" w:sz="4" w:space="0" w:color="auto"/>
            </w:tcBorders>
            <w:shd w:val="clear" w:color="auto" w:fill="FFC6C6"/>
            <w:vAlign w:val="center"/>
            <w:hideMark/>
          </w:tcPr>
          <w:p w14:paraId="5E627583" w14:textId="77777777" w:rsidR="00214AEC" w:rsidRPr="003E3396" w:rsidRDefault="00214AEC" w:rsidP="003E3396">
            <w:pPr>
              <w:spacing w:after="0"/>
              <w:rPr>
                <w:noProof/>
                <w:sz w:val="22"/>
                <w:szCs w:val="22"/>
                <w:lang w:val="en-US"/>
              </w:rPr>
            </w:pPr>
            <w:r w:rsidRPr="003E3396">
              <w:rPr>
                <w:noProof/>
                <w:sz w:val="22"/>
                <w:szCs w:val="22"/>
                <w:lang w:val="en-US"/>
              </w:rPr>
              <w:t>High</w:t>
            </w:r>
          </w:p>
        </w:tc>
        <w:tc>
          <w:tcPr>
            <w:tcW w:w="2977"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024319CE" w14:textId="77777777" w:rsidR="00214AEC" w:rsidRPr="003E3396" w:rsidRDefault="00214AEC" w:rsidP="003E3396">
            <w:pPr>
              <w:spacing w:after="0"/>
              <w:rPr>
                <w:noProof/>
                <w:sz w:val="22"/>
                <w:szCs w:val="22"/>
                <w:lang w:val="en-US"/>
              </w:rPr>
            </w:pPr>
            <w:r w:rsidRPr="003E3396">
              <w:rPr>
                <w:noProof/>
                <w:sz w:val="22"/>
                <w:szCs w:val="22"/>
                <w:lang w:val="en-US"/>
              </w:rPr>
              <w:t>Medium</w:t>
            </w:r>
          </w:p>
        </w:tc>
      </w:tr>
      <w:tr w:rsidR="00531203" w:rsidRPr="00531203" w14:paraId="428BDEC0"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68AE1A62" w14:textId="77777777" w:rsidR="00214AEC" w:rsidRPr="003E3396" w:rsidRDefault="00214AEC" w:rsidP="003E3396">
            <w:pPr>
              <w:spacing w:after="0"/>
              <w:rPr>
                <w:noProof/>
                <w:sz w:val="22"/>
                <w:szCs w:val="22"/>
                <w:lang w:val="en-US"/>
              </w:rPr>
            </w:pPr>
            <w:r w:rsidRPr="003E3396">
              <w:rPr>
                <w:noProof/>
                <w:sz w:val="22"/>
                <w:szCs w:val="22"/>
                <w:lang w:val="en-US"/>
              </w:rPr>
              <w:t>Data migration</w:t>
            </w:r>
          </w:p>
        </w:tc>
        <w:tc>
          <w:tcPr>
            <w:tcW w:w="2835" w:type="dxa"/>
            <w:tcBorders>
              <w:top w:val="single" w:sz="4" w:space="0" w:color="auto"/>
              <w:left w:val="single" w:sz="4" w:space="0" w:color="auto"/>
              <w:bottom w:val="single" w:sz="4" w:space="0" w:color="auto"/>
              <w:right w:val="single" w:sz="4" w:space="0" w:color="auto"/>
            </w:tcBorders>
            <w:shd w:val="clear" w:color="auto" w:fill="FFC6C6"/>
            <w:vAlign w:val="center"/>
            <w:hideMark/>
          </w:tcPr>
          <w:p w14:paraId="7A37003C" w14:textId="77777777" w:rsidR="00214AEC" w:rsidRPr="003E3396" w:rsidRDefault="00214AEC" w:rsidP="003E3396">
            <w:pPr>
              <w:spacing w:after="0"/>
              <w:rPr>
                <w:noProof/>
                <w:sz w:val="22"/>
                <w:szCs w:val="22"/>
                <w:lang w:val="en-US"/>
              </w:rPr>
            </w:pPr>
            <w:r w:rsidRPr="003E3396">
              <w:rPr>
                <w:noProof/>
                <w:sz w:val="22"/>
                <w:szCs w:val="22"/>
                <w:lang w:val="en-US"/>
              </w:rPr>
              <w:t>High</w:t>
            </w:r>
          </w:p>
        </w:tc>
        <w:tc>
          <w:tcPr>
            <w:tcW w:w="2977" w:type="dxa"/>
            <w:tcBorders>
              <w:top w:val="single" w:sz="4" w:space="0" w:color="auto"/>
              <w:left w:val="single" w:sz="4" w:space="0" w:color="auto"/>
              <w:bottom w:val="single" w:sz="4" w:space="0" w:color="auto"/>
              <w:right w:val="single" w:sz="4" w:space="0" w:color="auto"/>
            </w:tcBorders>
            <w:shd w:val="clear" w:color="auto" w:fill="FFC6C6"/>
            <w:vAlign w:val="center"/>
            <w:hideMark/>
          </w:tcPr>
          <w:p w14:paraId="2B10E773" w14:textId="77777777" w:rsidR="00214AEC" w:rsidRPr="003E3396" w:rsidRDefault="00214AEC" w:rsidP="003E3396">
            <w:pPr>
              <w:spacing w:after="0"/>
              <w:rPr>
                <w:noProof/>
                <w:sz w:val="22"/>
                <w:szCs w:val="22"/>
                <w:lang w:val="en-US"/>
              </w:rPr>
            </w:pPr>
            <w:r w:rsidRPr="003E3396">
              <w:rPr>
                <w:noProof/>
                <w:sz w:val="22"/>
                <w:szCs w:val="22"/>
                <w:lang w:val="en-US"/>
              </w:rPr>
              <w:t>High</w:t>
            </w:r>
          </w:p>
        </w:tc>
      </w:tr>
      <w:tr w:rsidR="00531203" w:rsidRPr="00531203" w14:paraId="3CBEADAD"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0AED3987" w14:textId="77777777" w:rsidR="00214AEC" w:rsidRPr="003E3396" w:rsidRDefault="00214AEC" w:rsidP="003E3396">
            <w:pPr>
              <w:spacing w:after="0"/>
              <w:rPr>
                <w:noProof/>
                <w:sz w:val="22"/>
                <w:szCs w:val="22"/>
                <w:lang w:val="en-US"/>
              </w:rPr>
            </w:pPr>
            <w:r w:rsidRPr="003E3396">
              <w:rPr>
                <w:noProof/>
                <w:sz w:val="22"/>
                <w:szCs w:val="22"/>
                <w:lang w:val="en-US"/>
              </w:rPr>
              <w:t>Service re-mapping</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9C4B859" w14:textId="77777777" w:rsidR="00214AEC" w:rsidRPr="003E3396" w:rsidRDefault="00214AEC" w:rsidP="003E3396">
            <w:pPr>
              <w:spacing w:after="0"/>
              <w:rPr>
                <w:noProof/>
                <w:sz w:val="22"/>
                <w:szCs w:val="22"/>
                <w:lang w:val="en-US"/>
              </w:rPr>
            </w:pPr>
            <w:r w:rsidRPr="003E3396">
              <w:rPr>
                <w:noProof/>
                <w:sz w:val="22"/>
                <w:szCs w:val="22"/>
                <w:lang w:val="en-US"/>
              </w:rPr>
              <w:t>N/A</w:t>
            </w:r>
          </w:p>
        </w:tc>
        <w:tc>
          <w:tcPr>
            <w:tcW w:w="2977" w:type="dxa"/>
            <w:tcBorders>
              <w:top w:val="single" w:sz="4" w:space="0" w:color="auto"/>
              <w:left w:val="single" w:sz="4" w:space="0" w:color="auto"/>
              <w:bottom w:val="single" w:sz="4" w:space="0" w:color="auto"/>
              <w:right w:val="single" w:sz="4" w:space="0" w:color="auto"/>
            </w:tcBorders>
            <w:shd w:val="clear" w:color="auto" w:fill="FFC6C6"/>
            <w:vAlign w:val="center"/>
            <w:hideMark/>
          </w:tcPr>
          <w:p w14:paraId="1AE1130A" w14:textId="77777777" w:rsidR="00214AEC" w:rsidRPr="003E3396" w:rsidRDefault="00214AEC" w:rsidP="003E3396">
            <w:pPr>
              <w:spacing w:after="0"/>
              <w:rPr>
                <w:noProof/>
                <w:sz w:val="22"/>
                <w:szCs w:val="22"/>
                <w:lang w:val="en-US"/>
              </w:rPr>
            </w:pPr>
            <w:r w:rsidRPr="003E3396">
              <w:rPr>
                <w:noProof/>
                <w:sz w:val="22"/>
                <w:szCs w:val="22"/>
                <w:lang w:val="en-US"/>
              </w:rPr>
              <w:t>High</w:t>
            </w:r>
          </w:p>
        </w:tc>
      </w:tr>
      <w:tr w:rsidR="00531203" w:rsidRPr="00531203" w14:paraId="3D879B0B"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7E426D90" w14:textId="77777777" w:rsidR="00214AEC" w:rsidRPr="003E3396" w:rsidRDefault="00214AEC" w:rsidP="003E3396">
            <w:pPr>
              <w:spacing w:after="0"/>
              <w:rPr>
                <w:noProof/>
                <w:sz w:val="22"/>
                <w:szCs w:val="22"/>
                <w:lang w:val="en-US"/>
              </w:rPr>
            </w:pPr>
            <w:r w:rsidRPr="003E3396">
              <w:rPr>
                <w:noProof/>
                <w:sz w:val="22"/>
                <w:szCs w:val="22"/>
                <w:lang w:val="en-US"/>
              </w:rPr>
              <w:t>Testing and validation</w:t>
            </w:r>
          </w:p>
        </w:tc>
        <w:tc>
          <w:tcPr>
            <w:tcW w:w="2835" w:type="dxa"/>
            <w:tcBorders>
              <w:top w:val="single" w:sz="4" w:space="0" w:color="auto"/>
              <w:left w:val="single" w:sz="4" w:space="0" w:color="auto"/>
              <w:bottom w:val="single" w:sz="4" w:space="0" w:color="auto"/>
              <w:right w:val="single" w:sz="4" w:space="0" w:color="auto"/>
            </w:tcBorders>
            <w:shd w:val="clear" w:color="auto" w:fill="FFC6C6"/>
            <w:vAlign w:val="center"/>
            <w:hideMark/>
          </w:tcPr>
          <w:p w14:paraId="557231DC" w14:textId="77777777" w:rsidR="00214AEC" w:rsidRPr="003E3396" w:rsidRDefault="00214AEC" w:rsidP="003E3396">
            <w:pPr>
              <w:spacing w:after="0"/>
              <w:rPr>
                <w:noProof/>
                <w:sz w:val="22"/>
                <w:szCs w:val="22"/>
                <w:lang w:val="en-US"/>
              </w:rPr>
            </w:pPr>
            <w:r w:rsidRPr="003E3396">
              <w:rPr>
                <w:noProof/>
                <w:sz w:val="22"/>
                <w:szCs w:val="22"/>
                <w:lang w:val="en-US"/>
              </w:rPr>
              <w:t>High</w:t>
            </w:r>
          </w:p>
        </w:tc>
        <w:tc>
          <w:tcPr>
            <w:tcW w:w="2977"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18EFAB34" w14:textId="77777777" w:rsidR="00214AEC" w:rsidRPr="003E3396" w:rsidRDefault="00214AEC" w:rsidP="003E3396">
            <w:pPr>
              <w:spacing w:after="0"/>
              <w:rPr>
                <w:noProof/>
                <w:sz w:val="22"/>
                <w:szCs w:val="22"/>
                <w:lang w:val="en-US"/>
              </w:rPr>
            </w:pPr>
            <w:r w:rsidRPr="003E3396">
              <w:rPr>
                <w:noProof/>
                <w:sz w:val="22"/>
                <w:szCs w:val="22"/>
                <w:lang w:val="en-US"/>
              </w:rPr>
              <w:t>Medium</w:t>
            </w:r>
          </w:p>
        </w:tc>
      </w:tr>
      <w:tr w:rsidR="00531203" w:rsidRPr="00531203" w14:paraId="49A28600"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1653D4D5" w14:textId="77777777" w:rsidR="00214AEC" w:rsidRPr="003E3396" w:rsidRDefault="00214AEC" w:rsidP="003E3396">
            <w:pPr>
              <w:spacing w:after="0"/>
              <w:rPr>
                <w:noProof/>
                <w:sz w:val="22"/>
                <w:szCs w:val="22"/>
                <w:lang w:val="en-US"/>
              </w:rPr>
            </w:pPr>
            <w:r w:rsidRPr="003E3396">
              <w:rPr>
                <w:noProof/>
                <w:sz w:val="22"/>
                <w:szCs w:val="22"/>
                <w:lang w:val="en-US"/>
              </w:rPr>
              <w:t>Parallel operation (dual run)</w:t>
            </w:r>
          </w:p>
        </w:tc>
        <w:tc>
          <w:tcPr>
            <w:tcW w:w="283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918AF12" w14:textId="77777777" w:rsidR="00214AEC" w:rsidRPr="003E3396" w:rsidRDefault="00214AEC" w:rsidP="003E3396">
            <w:pPr>
              <w:spacing w:after="0"/>
              <w:rPr>
                <w:noProof/>
                <w:sz w:val="22"/>
                <w:szCs w:val="22"/>
                <w:lang w:val="en-US"/>
              </w:rPr>
            </w:pPr>
            <w:r w:rsidRPr="003E3396">
              <w:rPr>
                <w:noProof/>
                <w:sz w:val="22"/>
                <w:szCs w:val="22"/>
                <w:lang w:val="en-US"/>
              </w:rPr>
              <w:t>Low</w:t>
            </w:r>
          </w:p>
        </w:tc>
        <w:tc>
          <w:tcPr>
            <w:tcW w:w="2977"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33010827" w14:textId="77777777" w:rsidR="00214AEC" w:rsidRPr="003E3396" w:rsidRDefault="00214AEC" w:rsidP="003E3396">
            <w:pPr>
              <w:spacing w:after="0"/>
              <w:rPr>
                <w:noProof/>
                <w:sz w:val="22"/>
                <w:szCs w:val="22"/>
                <w:lang w:val="en-US"/>
              </w:rPr>
            </w:pPr>
            <w:r w:rsidRPr="003E3396">
              <w:rPr>
                <w:noProof/>
                <w:sz w:val="22"/>
                <w:szCs w:val="22"/>
                <w:lang w:val="en-US"/>
              </w:rPr>
              <w:t>Medium</w:t>
            </w:r>
          </w:p>
        </w:tc>
      </w:tr>
      <w:tr w:rsidR="00531203" w:rsidRPr="00531203" w14:paraId="318FF88D"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7AFB92ED" w14:textId="77777777" w:rsidR="00214AEC" w:rsidRPr="003E3396" w:rsidRDefault="00214AEC" w:rsidP="003E3396">
            <w:pPr>
              <w:spacing w:after="0"/>
              <w:rPr>
                <w:noProof/>
                <w:sz w:val="22"/>
                <w:szCs w:val="22"/>
                <w:lang w:val="en-US"/>
              </w:rPr>
            </w:pPr>
            <w:r w:rsidRPr="003E3396">
              <w:rPr>
                <w:noProof/>
                <w:sz w:val="22"/>
                <w:szCs w:val="22"/>
                <w:lang w:val="en-US"/>
              </w:rPr>
              <w:t>Tooling and licenses</w:t>
            </w:r>
          </w:p>
        </w:tc>
        <w:tc>
          <w:tcPr>
            <w:tcW w:w="2835"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204081A4" w14:textId="77777777" w:rsidR="00214AEC" w:rsidRPr="003E3396" w:rsidRDefault="00214AEC" w:rsidP="003E3396">
            <w:pPr>
              <w:spacing w:after="0"/>
              <w:rPr>
                <w:noProof/>
                <w:sz w:val="22"/>
                <w:szCs w:val="22"/>
                <w:lang w:val="en-US"/>
              </w:rPr>
            </w:pPr>
            <w:r w:rsidRPr="003E3396">
              <w:rPr>
                <w:noProof/>
                <w:sz w:val="22"/>
                <w:szCs w:val="22"/>
                <w:lang w:val="en-US"/>
              </w:rPr>
              <w:t>Medium</w:t>
            </w:r>
          </w:p>
        </w:tc>
        <w:tc>
          <w:tcPr>
            <w:tcW w:w="29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5BA27A6" w14:textId="77777777" w:rsidR="00214AEC" w:rsidRPr="003E3396" w:rsidRDefault="00214AEC" w:rsidP="003E3396">
            <w:pPr>
              <w:spacing w:after="0"/>
              <w:rPr>
                <w:noProof/>
                <w:sz w:val="22"/>
                <w:szCs w:val="22"/>
                <w:lang w:val="en-US"/>
              </w:rPr>
            </w:pPr>
            <w:r w:rsidRPr="003E3396">
              <w:rPr>
                <w:noProof/>
                <w:sz w:val="22"/>
                <w:szCs w:val="22"/>
                <w:lang w:val="en-US"/>
              </w:rPr>
              <w:t>Low</w:t>
            </w:r>
          </w:p>
        </w:tc>
      </w:tr>
      <w:tr w:rsidR="00531203" w:rsidRPr="00531203" w14:paraId="5FDA2979" w14:textId="77777777" w:rsidTr="003E3396">
        <w:tc>
          <w:tcPr>
            <w:tcW w:w="2972" w:type="dxa"/>
            <w:tcBorders>
              <w:top w:val="single" w:sz="4" w:space="0" w:color="auto"/>
              <w:left w:val="single" w:sz="4" w:space="0" w:color="auto"/>
              <w:bottom w:val="single" w:sz="4" w:space="0" w:color="auto"/>
              <w:right w:val="single" w:sz="4" w:space="0" w:color="auto"/>
            </w:tcBorders>
            <w:vAlign w:val="center"/>
            <w:hideMark/>
          </w:tcPr>
          <w:p w14:paraId="7B3F0C9D" w14:textId="77777777" w:rsidR="00214AEC" w:rsidRPr="003E3396" w:rsidRDefault="00214AEC" w:rsidP="003E3396">
            <w:pPr>
              <w:spacing w:after="0"/>
              <w:rPr>
                <w:noProof/>
                <w:sz w:val="22"/>
                <w:szCs w:val="22"/>
                <w:lang w:val="en-US"/>
              </w:rPr>
            </w:pPr>
            <w:r w:rsidRPr="003E3396">
              <w:rPr>
                <w:noProof/>
                <w:sz w:val="22"/>
                <w:szCs w:val="22"/>
                <w:lang w:val="en-US"/>
              </w:rPr>
              <w:t>Training in new technologies</w:t>
            </w:r>
          </w:p>
        </w:tc>
        <w:tc>
          <w:tcPr>
            <w:tcW w:w="2835" w:type="dxa"/>
            <w:tcBorders>
              <w:top w:val="single" w:sz="4" w:space="0" w:color="auto"/>
              <w:left w:val="single" w:sz="4" w:space="0" w:color="auto"/>
              <w:bottom w:val="single" w:sz="4" w:space="0" w:color="auto"/>
              <w:right w:val="single" w:sz="4" w:space="0" w:color="auto"/>
            </w:tcBorders>
            <w:shd w:val="clear" w:color="auto" w:fill="FFE497"/>
            <w:vAlign w:val="center"/>
            <w:hideMark/>
          </w:tcPr>
          <w:p w14:paraId="3CD3E99B" w14:textId="77777777" w:rsidR="00214AEC" w:rsidRPr="003E3396" w:rsidRDefault="00214AEC" w:rsidP="003E3396">
            <w:pPr>
              <w:spacing w:after="0"/>
              <w:rPr>
                <w:noProof/>
                <w:sz w:val="22"/>
                <w:szCs w:val="22"/>
                <w:lang w:val="en-US"/>
              </w:rPr>
            </w:pPr>
            <w:r w:rsidRPr="003E3396">
              <w:rPr>
                <w:noProof/>
                <w:sz w:val="22"/>
                <w:szCs w:val="22"/>
                <w:lang w:val="en-US"/>
              </w:rPr>
              <w:t>Medium / High</w:t>
            </w:r>
          </w:p>
        </w:tc>
        <w:tc>
          <w:tcPr>
            <w:tcW w:w="29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8B5C1D7" w14:textId="591C7526" w:rsidR="00214AEC" w:rsidRPr="003E3396" w:rsidRDefault="00214AEC" w:rsidP="003E3396">
            <w:pPr>
              <w:spacing w:after="0"/>
              <w:rPr>
                <w:noProof/>
                <w:sz w:val="22"/>
                <w:szCs w:val="22"/>
                <w:lang w:val="en-US"/>
              </w:rPr>
            </w:pPr>
            <w:r w:rsidRPr="003E3396">
              <w:rPr>
                <w:noProof/>
                <w:sz w:val="22"/>
                <w:szCs w:val="22"/>
                <w:lang w:val="en-US"/>
              </w:rPr>
              <w:t>Low</w:t>
            </w:r>
            <w:r w:rsidR="009F0796">
              <w:rPr>
                <w:noProof/>
                <w:sz w:val="22"/>
                <w:szCs w:val="22"/>
                <w:lang w:val="en-US"/>
              </w:rPr>
              <w:t xml:space="preserve"> </w:t>
            </w:r>
          </w:p>
        </w:tc>
      </w:tr>
    </w:tbl>
    <w:p w14:paraId="7B45E0DC" w14:textId="77777777" w:rsidR="00214AEC" w:rsidRPr="00FC22F9" w:rsidRDefault="00214AEC" w:rsidP="003E3396">
      <w:pPr>
        <w:spacing w:before="240"/>
        <w:rPr>
          <w:noProof/>
          <w:lang w:val="en-IE"/>
        </w:rPr>
      </w:pPr>
      <w:r w:rsidRPr="00FC22F9">
        <w:rPr>
          <w:noProof/>
          <w:lang w:val="en-IE"/>
        </w:rPr>
        <w:t>Some considerations on the above effort intensities:</w:t>
      </w:r>
    </w:p>
    <w:p w14:paraId="42D05786" w14:textId="3ADE856D" w:rsidR="00214AEC" w:rsidRPr="00FC22F9" w:rsidRDefault="00214AEC" w:rsidP="00214AEC">
      <w:pPr>
        <w:numPr>
          <w:ilvl w:val="0"/>
          <w:numId w:val="129"/>
        </w:numPr>
        <w:rPr>
          <w:noProof/>
          <w:lang w:val="en-IE"/>
        </w:rPr>
      </w:pPr>
      <w:r w:rsidRPr="003E3396">
        <w:rPr>
          <w:b/>
          <w:noProof/>
          <w:lang w:val="en-IE"/>
        </w:rPr>
        <w:t>Architecture</w:t>
      </w:r>
      <w:r w:rsidRPr="00FC22F9">
        <w:rPr>
          <w:noProof/>
          <w:lang w:val="en-IE"/>
        </w:rPr>
        <w:t xml:space="preserve"> is medium </w:t>
      </w:r>
      <w:r w:rsidR="00EC7163">
        <w:rPr>
          <w:noProof/>
          <w:lang w:val="en-IE"/>
        </w:rPr>
        <w:t>/ high</w:t>
      </w:r>
      <w:r w:rsidRPr="00FC22F9">
        <w:rPr>
          <w:noProof/>
          <w:lang w:val="en-IE"/>
        </w:rPr>
        <w:t xml:space="preserve"> in legacy-to-cloud: mapping undocumented dependencies of on-premise software is genuinely complex, </w:t>
      </w:r>
      <w:r w:rsidR="00965585">
        <w:rPr>
          <w:noProof/>
          <w:lang w:val="en-IE"/>
        </w:rPr>
        <w:t xml:space="preserve">often requiring </w:t>
      </w:r>
      <w:r w:rsidR="00CA071E">
        <w:rPr>
          <w:noProof/>
          <w:lang w:val="en-IE"/>
        </w:rPr>
        <w:t xml:space="preserve">reverse engineering techniques. The </w:t>
      </w:r>
      <w:r w:rsidRPr="00FC22F9">
        <w:rPr>
          <w:noProof/>
          <w:lang w:val="en-IE"/>
        </w:rPr>
        <w:t xml:space="preserve">output is </w:t>
      </w:r>
      <w:r w:rsidR="00CA071E">
        <w:rPr>
          <w:noProof/>
          <w:lang w:val="en-IE"/>
        </w:rPr>
        <w:t xml:space="preserve">however </w:t>
      </w:r>
      <w:r w:rsidRPr="00FC22F9">
        <w:rPr>
          <w:noProof/>
          <w:lang w:val="en-IE"/>
        </w:rPr>
        <w:t>well</w:t>
      </w:r>
      <w:r w:rsidR="00CA071E">
        <w:rPr>
          <w:noProof/>
          <w:lang w:val="en-IE"/>
        </w:rPr>
        <w:t xml:space="preserve"> </w:t>
      </w:r>
      <w:r w:rsidRPr="00FC22F9">
        <w:rPr>
          <w:noProof/>
          <w:lang w:val="en-IE"/>
        </w:rPr>
        <w:t>defined</w:t>
      </w:r>
      <w:r w:rsidR="00CD517D">
        <w:rPr>
          <w:noProof/>
          <w:lang w:val="en-IE"/>
        </w:rPr>
        <w:t>;</w:t>
      </w:r>
      <w:r w:rsidR="00CA071E">
        <w:rPr>
          <w:noProof/>
          <w:lang w:val="en-IE"/>
        </w:rPr>
        <w:t xml:space="preserve"> i</w:t>
      </w:r>
      <w:r w:rsidRPr="00FC22F9">
        <w:rPr>
          <w:noProof/>
          <w:lang w:val="en-IE"/>
        </w:rPr>
        <w:t>t is a target architecture and a wave plan</w:t>
      </w:r>
      <w:r w:rsidR="005A7032">
        <w:rPr>
          <w:noProof/>
          <w:lang w:val="en-IE"/>
        </w:rPr>
        <w:t xml:space="preserve"> (migration plan)</w:t>
      </w:r>
      <w:r w:rsidRPr="00FC22F9">
        <w:rPr>
          <w:noProof/>
          <w:lang w:val="en-IE"/>
        </w:rPr>
        <w:t xml:space="preserve">. In </w:t>
      </w:r>
      <w:r w:rsidR="00D82D2A">
        <w:rPr>
          <w:noProof/>
          <w:lang w:val="en-IE"/>
        </w:rPr>
        <w:t>cloud-to-sovereign cloud</w:t>
      </w:r>
      <w:r w:rsidRPr="00FC22F9">
        <w:rPr>
          <w:noProof/>
          <w:lang w:val="en-IE"/>
        </w:rPr>
        <w:t xml:space="preserve"> </w:t>
      </w:r>
      <w:r w:rsidR="005A7032">
        <w:rPr>
          <w:noProof/>
          <w:lang w:val="en-IE"/>
        </w:rPr>
        <w:t xml:space="preserve">the effort </w:t>
      </w:r>
      <w:r w:rsidR="006163FE">
        <w:rPr>
          <w:noProof/>
          <w:lang w:val="en-IE"/>
        </w:rPr>
        <w:t xml:space="preserve">intensity </w:t>
      </w:r>
      <w:r w:rsidR="005A7032">
        <w:rPr>
          <w:noProof/>
          <w:lang w:val="en-IE"/>
        </w:rPr>
        <w:t>in architecture</w:t>
      </w:r>
      <w:r w:rsidRPr="00FC22F9">
        <w:rPr>
          <w:noProof/>
          <w:lang w:val="en-IE"/>
        </w:rPr>
        <w:t xml:space="preserve"> is low</w:t>
      </w:r>
      <w:r w:rsidR="006163FE">
        <w:rPr>
          <w:noProof/>
          <w:lang w:val="en-IE"/>
        </w:rPr>
        <w:t>er</w:t>
      </w:r>
      <w:r w:rsidRPr="00FC22F9">
        <w:rPr>
          <w:noProof/>
          <w:lang w:val="en-IE"/>
        </w:rPr>
        <w:t xml:space="preserve">, because usually the </w:t>
      </w:r>
      <w:r w:rsidR="006163FE">
        <w:rPr>
          <w:noProof/>
          <w:lang w:val="en-IE"/>
        </w:rPr>
        <w:t xml:space="preserve">application deployment and </w:t>
      </w:r>
      <w:r w:rsidRPr="00FC22F9">
        <w:rPr>
          <w:noProof/>
          <w:lang w:val="en-IE"/>
        </w:rPr>
        <w:t xml:space="preserve">cloud architecture </w:t>
      </w:r>
      <w:r w:rsidR="00536CAB">
        <w:rPr>
          <w:noProof/>
          <w:lang w:val="en-IE"/>
        </w:rPr>
        <w:t>are</w:t>
      </w:r>
      <w:r w:rsidRPr="00FC22F9">
        <w:rPr>
          <w:noProof/>
          <w:lang w:val="en-IE"/>
        </w:rPr>
        <w:t xml:space="preserve"> already</w:t>
      </w:r>
      <w:r w:rsidR="004F624E">
        <w:rPr>
          <w:noProof/>
          <w:lang w:val="en-IE"/>
        </w:rPr>
        <w:t xml:space="preserve"> often well</w:t>
      </w:r>
      <w:r w:rsidRPr="00FC22F9">
        <w:rPr>
          <w:noProof/>
          <w:lang w:val="en-IE"/>
        </w:rPr>
        <w:t xml:space="preserve"> documented</w:t>
      </w:r>
      <w:r w:rsidR="003106B1">
        <w:rPr>
          <w:noProof/>
          <w:lang w:val="en-IE"/>
        </w:rPr>
        <w:t xml:space="preserve"> and reverse engineering techniques, if needed, are much less effort consuming</w:t>
      </w:r>
      <w:r w:rsidRPr="00FC22F9">
        <w:rPr>
          <w:noProof/>
          <w:lang w:val="en-IE"/>
        </w:rPr>
        <w:t xml:space="preserve">. In this case, </w:t>
      </w:r>
      <w:r w:rsidR="00CD517D" w:rsidRPr="00FC22F9">
        <w:rPr>
          <w:noProof/>
          <w:lang w:val="en-IE"/>
        </w:rPr>
        <w:t xml:space="preserve">the </w:t>
      </w:r>
      <w:r w:rsidR="00CD517D">
        <w:rPr>
          <w:noProof/>
          <w:lang w:val="en-IE"/>
        </w:rPr>
        <w:t>main</w:t>
      </w:r>
      <w:r w:rsidR="003106B1">
        <w:rPr>
          <w:noProof/>
          <w:lang w:val="en-IE"/>
        </w:rPr>
        <w:t xml:space="preserve"> </w:t>
      </w:r>
      <w:r w:rsidRPr="00FC22F9">
        <w:rPr>
          <w:noProof/>
          <w:lang w:val="en-IE"/>
        </w:rPr>
        <w:t xml:space="preserve">challenge </w:t>
      </w:r>
      <w:r w:rsidR="003106B1">
        <w:rPr>
          <w:noProof/>
          <w:lang w:val="en-IE"/>
        </w:rPr>
        <w:t>faced by the architects</w:t>
      </w:r>
      <w:r w:rsidRPr="00FC22F9">
        <w:rPr>
          <w:noProof/>
          <w:lang w:val="en-IE"/>
        </w:rPr>
        <w:t xml:space="preserve"> is </w:t>
      </w:r>
      <w:r w:rsidR="003106B1">
        <w:rPr>
          <w:noProof/>
          <w:lang w:val="en-IE"/>
        </w:rPr>
        <w:t xml:space="preserve">to achieve </w:t>
      </w:r>
      <w:r w:rsidRPr="00FC22F9">
        <w:rPr>
          <w:noProof/>
          <w:lang w:val="en-IE"/>
        </w:rPr>
        <w:t xml:space="preserve">a </w:t>
      </w:r>
      <w:r w:rsidR="003106B1">
        <w:rPr>
          <w:noProof/>
          <w:lang w:val="en-IE"/>
        </w:rPr>
        <w:t>well and clear</w:t>
      </w:r>
      <w:r w:rsidRPr="00FC22F9">
        <w:rPr>
          <w:noProof/>
          <w:lang w:val="en-IE"/>
        </w:rPr>
        <w:t xml:space="preserve"> structured service-to-service mapping rather than a service discovery and identification from scratch.</w:t>
      </w:r>
    </w:p>
    <w:p w14:paraId="4DBA9668" w14:textId="7CA922DF" w:rsidR="00214AEC" w:rsidRPr="00FC22F9" w:rsidRDefault="00214AEC" w:rsidP="00214AEC">
      <w:pPr>
        <w:numPr>
          <w:ilvl w:val="0"/>
          <w:numId w:val="129"/>
        </w:numPr>
        <w:rPr>
          <w:noProof/>
          <w:lang w:val="en-IE"/>
        </w:rPr>
      </w:pPr>
      <w:r w:rsidRPr="003E3396">
        <w:rPr>
          <w:b/>
          <w:noProof/>
          <w:lang w:val="en-IE"/>
        </w:rPr>
        <w:t xml:space="preserve">Refactoring and code migration </w:t>
      </w:r>
      <w:r w:rsidRPr="00FC22F9">
        <w:rPr>
          <w:noProof/>
          <w:lang w:val="en-IE"/>
        </w:rPr>
        <w:t xml:space="preserve">is high in legacy-to-cloud. Resolving technical debt, </w:t>
      </w:r>
      <w:r w:rsidR="001B5021">
        <w:rPr>
          <w:noProof/>
          <w:lang w:val="en-IE"/>
        </w:rPr>
        <w:t>refactoring the code, changing the programming language and technologies, the application of cloud-native or cloud</w:t>
      </w:r>
      <w:r w:rsidR="008D7EB7">
        <w:rPr>
          <w:noProof/>
          <w:lang w:val="en-IE"/>
        </w:rPr>
        <w:t>-aware patterns (e.g. load balancers),</w:t>
      </w:r>
      <w:r w:rsidR="001B5021">
        <w:rPr>
          <w:noProof/>
          <w:lang w:val="en-IE"/>
        </w:rPr>
        <w:t xml:space="preserve"> </w:t>
      </w:r>
      <w:r w:rsidRPr="00FC22F9">
        <w:rPr>
          <w:noProof/>
          <w:lang w:val="en-IE"/>
        </w:rPr>
        <w:t xml:space="preserve">containerising monoliths or n-tiers, </w:t>
      </w:r>
      <w:r w:rsidR="001B5021">
        <w:rPr>
          <w:noProof/>
          <w:lang w:val="en-IE"/>
        </w:rPr>
        <w:t xml:space="preserve">and </w:t>
      </w:r>
      <w:r w:rsidRPr="00FC22F9">
        <w:rPr>
          <w:noProof/>
          <w:lang w:val="en-IE"/>
        </w:rPr>
        <w:t>creating CI/CD pipelines from scratch</w:t>
      </w:r>
      <w:r w:rsidR="00CB5CAF">
        <w:rPr>
          <w:noProof/>
          <w:lang w:val="en-IE"/>
        </w:rPr>
        <w:t>,</w:t>
      </w:r>
      <w:r w:rsidRPr="00FC22F9">
        <w:rPr>
          <w:noProof/>
          <w:lang w:val="en-IE"/>
        </w:rPr>
        <w:t xml:space="preserve"> represent the hardest engineering work in the entire migration and the one most prone to scope expansion when hidden dependencies surface in the middle of the project</w:t>
      </w:r>
      <w:r w:rsidR="0043253E">
        <w:rPr>
          <w:noProof/>
          <w:lang w:val="en-IE"/>
        </w:rPr>
        <w:t>.</w:t>
      </w:r>
      <w:r w:rsidRPr="00FC22F9">
        <w:rPr>
          <w:noProof/>
          <w:lang w:val="en-IE"/>
        </w:rPr>
        <w:t xml:space="preserve"> In </w:t>
      </w:r>
      <w:r w:rsidR="00D82D2A">
        <w:rPr>
          <w:noProof/>
          <w:lang w:val="en-IE"/>
        </w:rPr>
        <w:t>cloud-to-sovereign cloud</w:t>
      </w:r>
      <w:r w:rsidRPr="00FC22F9">
        <w:rPr>
          <w:noProof/>
          <w:lang w:val="en-IE"/>
        </w:rPr>
        <w:t xml:space="preserve"> </w:t>
      </w:r>
      <w:r w:rsidR="00897E66">
        <w:rPr>
          <w:noProof/>
          <w:lang w:val="en-IE"/>
        </w:rPr>
        <w:t>this effort</w:t>
      </w:r>
      <w:r w:rsidRPr="00FC22F9">
        <w:rPr>
          <w:noProof/>
          <w:lang w:val="en-IE"/>
        </w:rPr>
        <w:t xml:space="preserve"> is </w:t>
      </w:r>
      <w:r w:rsidR="00897E66">
        <w:rPr>
          <w:noProof/>
          <w:lang w:val="en-IE"/>
        </w:rPr>
        <w:t>considered to be</w:t>
      </w:r>
      <w:r w:rsidRPr="00FC22F9">
        <w:rPr>
          <w:noProof/>
          <w:lang w:val="en-IE"/>
        </w:rPr>
        <w:t xml:space="preserve"> </w:t>
      </w:r>
      <w:r w:rsidR="001B5021">
        <w:rPr>
          <w:noProof/>
          <w:lang w:val="en-IE"/>
        </w:rPr>
        <w:t>m</w:t>
      </w:r>
      <w:r w:rsidRPr="00FC22F9">
        <w:rPr>
          <w:noProof/>
          <w:lang w:val="en-IE"/>
        </w:rPr>
        <w:t>edium, because the application is already cloud-native</w:t>
      </w:r>
      <w:r w:rsidR="00897E66">
        <w:rPr>
          <w:noProof/>
          <w:lang w:val="en-IE"/>
        </w:rPr>
        <w:t xml:space="preserve"> or cloud-</w:t>
      </w:r>
      <w:r w:rsidR="00CD517D">
        <w:rPr>
          <w:noProof/>
          <w:lang w:val="en-IE"/>
        </w:rPr>
        <w:t>aware</w:t>
      </w:r>
      <w:r w:rsidRPr="00FC22F9">
        <w:rPr>
          <w:noProof/>
          <w:lang w:val="en-IE"/>
        </w:rPr>
        <w:t xml:space="preserve">. Here, the work is </w:t>
      </w:r>
      <w:r w:rsidR="00897E66">
        <w:rPr>
          <w:noProof/>
          <w:lang w:val="en-IE"/>
        </w:rPr>
        <w:t xml:space="preserve">mainly </w:t>
      </w:r>
      <w:r w:rsidRPr="00FC22F9">
        <w:rPr>
          <w:noProof/>
          <w:lang w:val="en-IE"/>
        </w:rPr>
        <w:t>adaptation, not transformation.</w:t>
      </w:r>
    </w:p>
    <w:p w14:paraId="0A28EEBF" w14:textId="78EB010E" w:rsidR="00214AEC" w:rsidRPr="00FC22F9" w:rsidRDefault="00214AEC" w:rsidP="00214AEC">
      <w:pPr>
        <w:numPr>
          <w:ilvl w:val="0"/>
          <w:numId w:val="129"/>
        </w:numPr>
        <w:rPr>
          <w:noProof/>
          <w:lang w:val="en-IE"/>
        </w:rPr>
      </w:pPr>
      <w:r w:rsidRPr="003E3396">
        <w:rPr>
          <w:b/>
          <w:noProof/>
          <w:lang w:val="en-IE"/>
        </w:rPr>
        <w:t>Service Re-mapping</w:t>
      </w:r>
      <w:r w:rsidRPr="00FC22F9">
        <w:rPr>
          <w:noProof/>
          <w:lang w:val="en-IE"/>
        </w:rPr>
        <w:t xml:space="preserve"> is high in </w:t>
      </w:r>
      <w:r w:rsidR="00D82D2A">
        <w:rPr>
          <w:noProof/>
          <w:lang w:val="en-IE"/>
        </w:rPr>
        <w:t>cloud-to-sovereign cloud</w:t>
      </w:r>
      <w:r w:rsidRPr="00FC22F9">
        <w:rPr>
          <w:noProof/>
          <w:lang w:val="en-IE"/>
        </w:rPr>
        <w:t xml:space="preserve"> and not </w:t>
      </w:r>
      <w:r w:rsidR="006E379A">
        <w:rPr>
          <w:noProof/>
          <w:lang w:val="en-IE"/>
        </w:rPr>
        <w:t xml:space="preserve">yet </w:t>
      </w:r>
      <w:r w:rsidRPr="00FC22F9">
        <w:rPr>
          <w:noProof/>
          <w:lang w:val="en-IE"/>
        </w:rPr>
        <w:t xml:space="preserve">applicable in legacy-to-cloud. Translating proprietary managed services across platforms demands deep simultaneous knowledge of both providers, and incompatibilities in data models or execution environments could trigger </w:t>
      </w:r>
      <w:r w:rsidR="00671D4E">
        <w:rPr>
          <w:noProof/>
          <w:lang w:val="en-IE"/>
        </w:rPr>
        <w:t>some</w:t>
      </w:r>
      <w:r w:rsidRPr="00FC22F9">
        <w:rPr>
          <w:noProof/>
          <w:lang w:val="en-IE"/>
        </w:rPr>
        <w:t xml:space="preserve"> re-engineering that was invisible at planning time. This is why it is critical to carry out this mapping in earlier phases of the migration.</w:t>
      </w:r>
    </w:p>
    <w:p w14:paraId="26361183" w14:textId="1F67CD88" w:rsidR="00FC22F9" w:rsidRPr="00FC22F9" w:rsidRDefault="008D2CDB" w:rsidP="003E3396">
      <w:pPr>
        <w:rPr>
          <w:noProof/>
          <w:lang w:val="en-IE"/>
        </w:rPr>
      </w:pPr>
      <w:r>
        <w:rPr>
          <w:noProof/>
          <w:lang w:val="en-IE"/>
        </w:rPr>
        <w:t>In any case, t</w:t>
      </w:r>
      <w:r w:rsidR="00FB5BCE">
        <w:rPr>
          <w:noProof/>
          <w:lang w:val="en-IE"/>
        </w:rPr>
        <w:t>he migration or porting shoul</w:t>
      </w:r>
      <w:r w:rsidR="00FC22F9" w:rsidRPr="00FC22F9">
        <w:rPr>
          <w:noProof/>
          <w:lang w:val="en-IE"/>
        </w:rPr>
        <w:t>d be balanced against the costs of not doing anything:</w:t>
      </w:r>
    </w:p>
    <w:p w14:paraId="0EA211B5" w14:textId="77777777" w:rsidR="001E3B14" w:rsidRPr="003E3396" w:rsidRDefault="001E3B14" w:rsidP="003E3396">
      <w:pPr>
        <w:pStyle w:val="ListParagraph"/>
        <w:numPr>
          <w:ilvl w:val="0"/>
          <w:numId w:val="135"/>
        </w:numPr>
        <w:rPr>
          <w:noProof/>
          <w:color w:val="000000" w:themeColor="text1"/>
          <w:lang w:val="en-IE"/>
        </w:rPr>
      </w:pPr>
      <w:r w:rsidRPr="003E3396">
        <w:rPr>
          <w:b/>
          <w:bCs/>
          <w:noProof/>
          <w:color w:val="000000" w:themeColor="text1"/>
          <w:lang w:val="en-IE"/>
        </w:rPr>
        <w:t xml:space="preserve">Maintaining legacy applications carries a real and often underestimated cost. </w:t>
      </w:r>
      <w:r w:rsidRPr="003E3396">
        <w:rPr>
          <w:noProof/>
          <w:color w:val="000000" w:themeColor="text1"/>
          <w:lang w:val="en-IE"/>
        </w:rPr>
        <w:t xml:space="preserve">Beyond the direct expense of keeping ageing infrastructure operational, including on-premise data centres that frequently fall short of modern standards, organisations must continuously maintain all dependent software components, manage growing security and vulnerability exposure, and remain with a shrinking pool of engineers who retain the relevant skills as technologies become obsolete. Legacy systems also impose </w:t>
      </w:r>
      <w:r w:rsidR="002B212D">
        <w:rPr>
          <w:noProof/>
          <w:color w:val="000000" w:themeColor="text1"/>
          <w:lang w:val="en-IE"/>
        </w:rPr>
        <w:t xml:space="preserve">additional </w:t>
      </w:r>
      <w:r w:rsidR="00267F7B">
        <w:rPr>
          <w:noProof/>
          <w:color w:val="000000" w:themeColor="text1"/>
          <w:lang w:val="en-IE"/>
        </w:rPr>
        <w:t>overhead</w:t>
      </w:r>
      <w:r w:rsidRPr="003E3396">
        <w:rPr>
          <w:noProof/>
          <w:color w:val="000000" w:themeColor="text1"/>
          <w:lang w:val="en-IE"/>
        </w:rPr>
        <w:t xml:space="preserve"> cost: the older the application, the more difficult and expensive it becomes to modify, extend, or integrate, progressively limiting an organisation's ability to respond to changing requirements.</w:t>
      </w:r>
    </w:p>
    <w:p w14:paraId="2A3326FC" w14:textId="20C73149" w:rsidR="001E3B14" w:rsidRPr="003E3396" w:rsidRDefault="001E3B14" w:rsidP="003E3396">
      <w:pPr>
        <w:pStyle w:val="ListParagraph"/>
        <w:numPr>
          <w:ilvl w:val="0"/>
          <w:numId w:val="135"/>
        </w:numPr>
        <w:rPr>
          <w:noProof/>
          <w:color w:val="000000" w:themeColor="text1"/>
          <w:lang w:val="en-IE"/>
        </w:rPr>
      </w:pPr>
      <w:r w:rsidRPr="003E3396">
        <w:rPr>
          <w:b/>
          <w:noProof/>
          <w:color w:val="000000" w:themeColor="text1"/>
          <w:lang w:val="en-IE"/>
        </w:rPr>
        <w:t xml:space="preserve">Remaining with a non-sovereign provider </w:t>
      </w:r>
      <w:r w:rsidR="00930664">
        <w:rPr>
          <w:b/>
          <w:bCs/>
          <w:noProof/>
          <w:color w:val="000000" w:themeColor="text1"/>
          <w:lang w:val="en-IE"/>
        </w:rPr>
        <w:t>poses a dependency risk</w:t>
      </w:r>
      <w:r w:rsidRPr="003E3396">
        <w:rPr>
          <w:b/>
          <w:noProof/>
          <w:color w:val="000000" w:themeColor="text1"/>
          <w:lang w:val="en-IE"/>
        </w:rPr>
        <w:t xml:space="preserve"> not without cost. </w:t>
      </w:r>
      <w:r w:rsidRPr="003E3396">
        <w:rPr>
          <w:noProof/>
          <w:color w:val="000000" w:themeColor="text1"/>
          <w:lang w:val="en-IE"/>
        </w:rPr>
        <w:t>Vendor lock-in forecloses the price competition that periodic provider switching would otherwise enable. More significantly, a non-sovereign service exposes the organisation to geopolitical risk: a provider subject to third-country jurisdiction may face legally compelled data access requests or pressure to degrade service quality, neither of which the customer can effectively resist or even anticipate. These risks carry a cost, whether measured in compliance exposure, quality of service or the political cost of dependency, that cannot be easily quantified.</w:t>
      </w:r>
    </w:p>
    <w:p w14:paraId="254CD074" w14:textId="2B9A5FE3" w:rsidR="00FC22F9" w:rsidRPr="00203D98" w:rsidRDefault="00FC22F9" w:rsidP="00FC22F9">
      <w:pPr>
        <w:rPr>
          <w:noProof/>
          <w:lang w:val="en-IE"/>
        </w:rPr>
      </w:pPr>
      <w:r w:rsidRPr="00FC22F9">
        <w:rPr>
          <w:noProof/>
          <w:lang w:val="en-IE"/>
        </w:rPr>
        <w:t xml:space="preserve">The final decision follows a total cost of ownership approach and, in addition to the above, </w:t>
      </w:r>
      <w:r w:rsidR="00267F7B">
        <w:rPr>
          <w:noProof/>
          <w:lang w:val="en-IE"/>
        </w:rPr>
        <w:t>would</w:t>
      </w:r>
      <w:r w:rsidRPr="00FC22F9">
        <w:rPr>
          <w:noProof/>
          <w:lang w:val="en-IE"/>
        </w:rPr>
        <w:t xml:space="preserve"> also</w:t>
      </w:r>
      <w:r w:rsidR="00267F7B">
        <w:rPr>
          <w:noProof/>
          <w:lang w:val="en-IE"/>
        </w:rPr>
        <w:t xml:space="preserve"> have to</w:t>
      </w:r>
      <w:r w:rsidRPr="00FC22F9">
        <w:rPr>
          <w:noProof/>
          <w:lang w:val="en-IE"/>
        </w:rPr>
        <w:t xml:space="preserve"> consider aspects </w:t>
      </w:r>
      <w:r w:rsidR="0031232C">
        <w:rPr>
          <w:noProof/>
          <w:lang w:val="en-IE"/>
        </w:rPr>
        <w:t>such</w:t>
      </w:r>
      <w:r w:rsidR="003336E1">
        <w:rPr>
          <w:noProof/>
          <w:lang w:val="en-IE"/>
        </w:rPr>
        <w:t xml:space="preserve"> as </w:t>
      </w:r>
      <w:r w:rsidR="005F270C">
        <w:rPr>
          <w:noProof/>
          <w:lang w:val="en-IE"/>
        </w:rPr>
        <w:t>the acceptance of</w:t>
      </w:r>
      <w:r w:rsidRPr="00FC22F9">
        <w:rPr>
          <w:noProof/>
          <w:lang w:val="en-IE"/>
        </w:rPr>
        <w:t xml:space="preserve"> the technical debt, the level of dependencies from third-party libraries or proprietary source code, the business case, the return of investment or the risk appetite. As explained above, </w:t>
      </w:r>
      <w:r w:rsidRPr="00203D98">
        <w:rPr>
          <w:noProof/>
          <w:lang w:val="en-IE"/>
        </w:rPr>
        <w:t xml:space="preserve">this decision needs to be </w:t>
      </w:r>
      <w:r w:rsidR="00E154AC" w:rsidRPr="00203D98">
        <w:rPr>
          <w:noProof/>
          <w:lang w:val="en-IE"/>
        </w:rPr>
        <w:t>taken</w:t>
      </w:r>
      <w:r w:rsidR="004E19B9" w:rsidRPr="00203D98">
        <w:rPr>
          <w:noProof/>
          <w:lang w:val="en-IE"/>
        </w:rPr>
        <w:t xml:space="preserve"> ad-hoc</w:t>
      </w:r>
      <w:r w:rsidRPr="00203D98">
        <w:rPr>
          <w:noProof/>
          <w:lang w:val="en-IE"/>
        </w:rPr>
        <w:t xml:space="preserve"> for each application</w:t>
      </w:r>
      <w:r w:rsidR="00E154AC" w:rsidRPr="00203D98">
        <w:rPr>
          <w:noProof/>
          <w:lang w:val="en-IE"/>
        </w:rPr>
        <w:t xml:space="preserve"> to be ported or migrated</w:t>
      </w:r>
      <w:r w:rsidRPr="00203D98">
        <w:rPr>
          <w:noProof/>
          <w:lang w:val="en-IE"/>
        </w:rPr>
        <w:t>.</w:t>
      </w:r>
      <w:r w:rsidR="004E19B9" w:rsidRPr="00203D98">
        <w:rPr>
          <w:noProof/>
          <w:lang w:val="en-IE"/>
        </w:rPr>
        <w:t xml:space="preserve"> The prioritization of which applications should be ported is a business-driven decision, often based on which application would report a quicker and bigger return on investment (ROI).</w:t>
      </w:r>
    </w:p>
    <w:p w14:paraId="0EE5AB77" w14:textId="31E0E39E" w:rsidR="00FC22F9" w:rsidRPr="00FC22F9" w:rsidRDefault="00FC22F9" w:rsidP="003E3396">
      <w:pPr>
        <w:pStyle w:val="Heading2"/>
        <w:numPr>
          <w:ilvl w:val="1"/>
          <w:numId w:val="134"/>
        </w:numPr>
        <w:spacing w:after="240"/>
        <w:ind w:hanging="769"/>
        <w:rPr>
          <w:noProof/>
          <w:lang w:val="en-US"/>
        </w:rPr>
      </w:pPr>
      <w:bookmarkStart w:id="359" w:name="_Toc228346965"/>
      <w:r w:rsidRPr="00FC22F9">
        <w:rPr>
          <w:noProof/>
          <w:lang w:val="en-US"/>
        </w:rPr>
        <w:t>Cost modelling for public administrations to port services</w:t>
      </w:r>
      <w:r w:rsidR="00D82D2A">
        <w:rPr>
          <w:noProof/>
          <w:lang w:val="en-US"/>
        </w:rPr>
        <w:t xml:space="preserve"> (cloud-to-sovereign cloud)</w:t>
      </w:r>
      <w:bookmarkEnd w:id="359"/>
    </w:p>
    <w:p w14:paraId="3AC47586" w14:textId="2C044D71" w:rsidR="0056607C" w:rsidRDefault="00EB122B" w:rsidP="00E109DB">
      <w:pPr>
        <w:rPr>
          <w:noProof/>
          <w:lang w:val="en-IE"/>
        </w:rPr>
      </w:pPr>
      <w:r>
        <w:rPr>
          <w:noProof/>
          <w:lang w:val="en-IE"/>
        </w:rPr>
        <w:t>A</w:t>
      </w:r>
      <w:r w:rsidR="00E109DB" w:rsidRPr="00E109DB">
        <w:rPr>
          <w:noProof/>
          <w:lang w:val="en-IE"/>
        </w:rPr>
        <w:t xml:space="preserve"> cost analysis has been carried out to estimate the expenditure involved in porting an application from one cloud service </w:t>
      </w:r>
      <w:r w:rsidR="00974C0B">
        <w:rPr>
          <w:noProof/>
          <w:lang w:val="en-IE"/>
        </w:rPr>
        <w:t>offered by a cloud service provider</w:t>
      </w:r>
      <w:r w:rsidR="00E109DB" w:rsidRPr="00E109DB">
        <w:rPr>
          <w:noProof/>
          <w:lang w:val="en-IE"/>
        </w:rPr>
        <w:t xml:space="preserve"> to another</w:t>
      </w:r>
      <w:r w:rsidR="00974C0B">
        <w:rPr>
          <w:noProof/>
          <w:lang w:val="en-IE"/>
        </w:rPr>
        <w:t xml:space="preserve"> that is functionally equivalent</w:t>
      </w:r>
      <w:r w:rsidR="00D2777E">
        <w:rPr>
          <w:noProof/>
          <w:lang w:val="en-IE"/>
        </w:rPr>
        <w:t xml:space="preserve"> but either provided by another provider or </w:t>
      </w:r>
      <w:r w:rsidR="0056607C">
        <w:rPr>
          <w:noProof/>
          <w:lang w:val="en-IE"/>
        </w:rPr>
        <w:t xml:space="preserve">being the same provider, </w:t>
      </w:r>
      <w:r w:rsidR="00D2777E">
        <w:rPr>
          <w:noProof/>
          <w:lang w:val="en-IE"/>
        </w:rPr>
        <w:t xml:space="preserve">under another </w:t>
      </w:r>
      <w:r w:rsidR="0056607C">
        <w:rPr>
          <w:noProof/>
          <w:lang w:val="en-IE"/>
        </w:rPr>
        <w:t>type of technical and legal construct</w:t>
      </w:r>
      <w:r w:rsidR="00E109DB" w:rsidRPr="00E109DB">
        <w:rPr>
          <w:noProof/>
          <w:lang w:val="en-IE"/>
        </w:rPr>
        <w:t>.</w:t>
      </w:r>
    </w:p>
    <w:p w14:paraId="53D4B9E5" w14:textId="1CBEF12E" w:rsidR="00E109DB" w:rsidRPr="00E109DB" w:rsidRDefault="00E109DB" w:rsidP="00E109DB">
      <w:pPr>
        <w:rPr>
          <w:noProof/>
          <w:lang w:val="en-IE"/>
        </w:rPr>
      </w:pPr>
      <w:r w:rsidRPr="00E109DB">
        <w:rPr>
          <w:noProof/>
          <w:lang w:val="en-IE"/>
        </w:rPr>
        <w:t>Published literature on this subject is scarce, largely owing to the highly context-specific nature of cloud migrations: most available sources are online, deal in broad ranges, and provide little explanation of the underlying cost drivers</w:t>
      </w:r>
      <w:r w:rsidR="00683BE2">
        <w:rPr>
          <w:noProof/>
          <w:lang w:val="en-IE"/>
        </w:rPr>
        <w:t xml:space="preserve">, </w:t>
      </w:r>
      <w:r w:rsidR="002E199A" w:rsidRPr="00E109DB">
        <w:rPr>
          <w:noProof/>
          <w:lang w:val="en-IE"/>
        </w:rPr>
        <w:t>or the methodology used to derive their estimates</w:t>
      </w:r>
      <w:r w:rsidR="002E199A">
        <w:rPr>
          <w:noProof/>
          <w:lang w:val="en-IE"/>
        </w:rPr>
        <w:t xml:space="preserve"> </w:t>
      </w:r>
      <w:r w:rsidR="00683BE2">
        <w:rPr>
          <w:noProof/>
          <w:lang w:val="en-IE"/>
        </w:rPr>
        <w:t xml:space="preserve">the phases </w:t>
      </w:r>
      <w:r w:rsidR="002E199A">
        <w:rPr>
          <w:noProof/>
          <w:lang w:val="en-IE"/>
        </w:rPr>
        <w:t>considered for</w:t>
      </w:r>
      <w:r w:rsidR="00683BE2">
        <w:rPr>
          <w:noProof/>
          <w:lang w:val="en-IE"/>
        </w:rPr>
        <w:t xml:space="preserve"> the migration</w:t>
      </w:r>
      <w:r w:rsidR="002E199A">
        <w:rPr>
          <w:noProof/>
          <w:lang w:val="en-IE"/>
        </w:rPr>
        <w:t>, or the type and size of the application ported</w:t>
      </w:r>
      <w:r w:rsidRPr="00E109DB">
        <w:rPr>
          <w:noProof/>
          <w:lang w:val="en-IE"/>
        </w:rPr>
        <w:t>.</w:t>
      </w:r>
    </w:p>
    <w:p w14:paraId="1CADCD0A" w14:textId="024BB1A7" w:rsidR="00F43AE1" w:rsidRDefault="00E109DB" w:rsidP="00E109DB">
      <w:pPr>
        <w:rPr>
          <w:noProof/>
          <w:lang w:val="en-IE"/>
        </w:rPr>
      </w:pPr>
      <w:r w:rsidRPr="00E109DB">
        <w:rPr>
          <w:noProof/>
          <w:lang w:val="en-IE"/>
        </w:rPr>
        <w:t>Despite these limitations, and in the absence of more rigorous or detailed benchmarks, these online sources remain the only externally available reference point against which the results of this analysis can be validated. They have therefore been used as cross-validation references, with appropriate caution, alongside resources consulted in confidence</w:t>
      </w:r>
      <w:r w:rsidR="00ED64FB">
        <w:rPr>
          <w:noProof/>
          <w:lang w:val="en-IE"/>
        </w:rPr>
        <w:t xml:space="preserve"> from existing projects</w:t>
      </w:r>
      <w:r w:rsidRPr="00E109DB">
        <w:rPr>
          <w:noProof/>
          <w:lang w:val="en-IE"/>
        </w:rPr>
        <w:t>. Given the inherent uncertainty in this type of estimation, a min-max sensitivity analysis has also been conducted</w:t>
      </w:r>
      <w:r w:rsidR="00F43AE1">
        <w:rPr>
          <w:noProof/>
          <w:lang w:val="en-IE"/>
        </w:rPr>
        <w:t xml:space="preserve"> </w:t>
      </w:r>
      <w:r w:rsidRPr="00E109DB">
        <w:rPr>
          <w:noProof/>
          <w:lang w:val="en-IE"/>
        </w:rPr>
        <w:t xml:space="preserve">to illustrate the plausible range within which porting costs may fall depending on </w:t>
      </w:r>
      <w:r w:rsidR="00F43AE1">
        <w:rPr>
          <w:noProof/>
          <w:lang w:val="en-IE"/>
        </w:rPr>
        <w:t xml:space="preserve">the </w:t>
      </w:r>
      <w:r w:rsidRPr="00E109DB">
        <w:rPr>
          <w:noProof/>
          <w:lang w:val="en-IE"/>
        </w:rPr>
        <w:t>application characteristics and migration approach.</w:t>
      </w:r>
      <w:r w:rsidR="009D0BC7">
        <w:rPr>
          <w:noProof/>
          <w:lang w:val="en-IE"/>
        </w:rPr>
        <w:t xml:space="preserve"> </w:t>
      </w:r>
    </w:p>
    <w:p w14:paraId="3E85FB31" w14:textId="6772B9DE" w:rsidR="0047767C" w:rsidRDefault="00FC22F9" w:rsidP="00996C28">
      <w:pPr>
        <w:rPr>
          <w:noProof/>
          <w:lang w:val="en-IE"/>
        </w:rPr>
      </w:pPr>
      <w:r w:rsidRPr="00FC22F9">
        <w:rPr>
          <w:noProof/>
          <w:lang w:val="en-IE"/>
        </w:rPr>
        <w:t xml:space="preserve">The </w:t>
      </w:r>
      <w:r w:rsidR="0083781A">
        <w:rPr>
          <w:noProof/>
          <w:lang w:val="en-IE"/>
        </w:rPr>
        <w:t xml:space="preserve">starting point </w:t>
      </w:r>
      <w:r w:rsidRPr="00FC22F9">
        <w:rPr>
          <w:noProof/>
          <w:lang w:val="en-IE"/>
        </w:rPr>
        <w:t xml:space="preserve">for this </w:t>
      </w:r>
      <w:r w:rsidR="0083781A">
        <w:rPr>
          <w:noProof/>
          <w:lang w:val="en-IE"/>
        </w:rPr>
        <w:t>as</w:t>
      </w:r>
      <w:r w:rsidRPr="00FC22F9">
        <w:rPr>
          <w:noProof/>
          <w:lang w:val="en-IE"/>
        </w:rPr>
        <w:t xml:space="preserve">sessment is that </w:t>
      </w:r>
      <w:r w:rsidR="00AD011B">
        <w:rPr>
          <w:noProof/>
          <w:lang w:val="en-IE"/>
        </w:rPr>
        <w:t xml:space="preserve">sovereignty risk assessment will identify </w:t>
      </w:r>
      <w:r w:rsidR="008E6432">
        <w:rPr>
          <w:noProof/>
          <w:lang w:val="en-IE"/>
        </w:rPr>
        <w:t xml:space="preserve">public sector </w:t>
      </w:r>
      <w:r w:rsidR="00230599">
        <w:rPr>
          <w:noProof/>
          <w:lang w:val="en-IE"/>
        </w:rPr>
        <w:t xml:space="preserve">IT systems that </w:t>
      </w:r>
      <w:r w:rsidRPr="00FC22F9">
        <w:rPr>
          <w:noProof/>
          <w:lang w:val="en-IE"/>
        </w:rPr>
        <w:t xml:space="preserve">will </w:t>
      </w:r>
      <w:r w:rsidR="00230599">
        <w:rPr>
          <w:noProof/>
          <w:lang w:val="en-IE"/>
        </w:rPr>
        <w:t xml:space="preserve">need to </w:t>
      </w:r>
      <w:r w:rsidRPr="00FC22F9">
        <w:rPr>
          <w:noProof/>
          <w:lang w:val="en-IE"/>
        </w:rPr>
        <w:t xml:space="preserve">be </w:t>
      </w:r>
      <w:r w:rsidR="00FD0A16">
        <w:rPr>
          <w:noProof/>
          <w:lang w:val="en-IE"/>
        </w:rPr>
        <w:t>ported</w:t>
      </w:r>
      <w:r w:rsidRPr="00FC22F9">
        <w:rPr>
          <w:noProof/>
          <w:lang w:val="en-IE"/>
        </w:rPr>
        <w:t xml:space="preserve"> to sovereign</w:t>
      </w:r>
      <w:r w:rsidR="008F0B34">
        <w:rPr>
          <w:noProof/>
          <w:lang w:val="en-IE"/>
        </w:rPr>
        <w:t xml:space="preserve"> cloud</w:t>
      </w:r>
      <w:r w:rsidRPr="00FC22F9">
        <w:rPr>
          <w:noProof/>
          <w:lang w:val="en-IE"/>
        </w:rPr>
        <w:t xml:space="preserve"> services of at least </w:t>
      </w:r>
      <w:r w:rsidR="00C572EE">
        <w:rPr>
          <w:noProof/>
          <w:lang w:val="en-IE"/>
        </w:rPr>
        <w:t xml:space="preserve">sovereignty </w:t>
      </w:r>
      <w:r w:rsidRPr="00FC22F9">
        <w:rPr>
          <w:noProof/>
          <w:lang w:val="en-IE"/>
        </w:rPr>
        <w:t xml:space="preserve">level </w:t>
      </w:r>
      <w:r w:rsidR="005D2F2E">
        <w:rPr>
          <w:noProof/>
          <w:lang w:val="en-IE"/>
        </w:rPr>
        <w:t>2</w:t>
      </w:r>
      <w:r w:rsidR="00375B45">
        <w:rPr>
          <w:noProof/>
          <w:lang w:val="en-IE"/>
        </w:rPr>
        <w:t>.</w:t>
      </w:r>
      <w:r w:rsidRPr="00FC22F9">
        <w:rPr>
          <w:noProof/>
          <w:lang w:val="en-IE"/>
        </w:rPr>
        <w:t xml:space="preserve"> </w:t>
      </w:r>
      <w:r w:rsidR="00375B45">
        <w:rPr>
          <w:noProof/>
          <w:lang w:val="en-IE"/>
        </w:rPr>
        <w:t xml:space="preserve">To follow a conservative approach, it is assumed </w:t>
      </w:r>
      <w:r w:rsidR="005D2F2E">
        <w:rPr>
          <w:noProof/>
          <w:lang w:val="en-IE"/>
        </w:rPr>
        <w:t>that</w:t>
      </w:r>
      <w:r w:rsidR="00D027CD">
        <w:rPr>
          <w:noProof/>
          <w:lang w:val="en-IE"/>
        </w:rPr>
        <w:t xml:space="preserve"> </w:t>
      </w:r>
      <w:r w:rsidR="00375B45">
        <w:rPr>
          <w:noProof/>
          <w:lang w:val="en-IE"/>
        </w:rPr>
        <w:t>derogations will be exceptional</w:t>
      </w:r>
      <w:r w:rsidR="00366ECC">
        <w:rPr>
          <w:noProof/>
          <w:lang w:val="en-IE"/>
        </w:rPr>
        <w:t xml:space="preserve">. </w:t>
      </w:r>
      <w:r w:rsidR="00C83F46">
        <w:rPr>
          <w:noProof/>
          <w:lang w:val="en-IE"/>
        </w:rPr>
        <w:t>More</w:t>
      </w:r>
      <w:r w:rsidR="003B4557">
        <w:rPr>
          <w:noProof/>
          <w:lang w:val="en-IE"/>
        </w:rPr>
        <w:t>o</w:t>
      </w:r>
      <w:r w:rsidR="00C83F46">
        <w:rPr>
          <w:noProof/>
          <w:lang w:val="en-IE"/>
        </w:rPr>
        <w:t xml:space="preserve">ver, </w:t>
      </w:r>
      <w:r w:rsidR="00FF1703">
        <w:rPr>
          <w:noProof/>
          <w:lang w:val="en-IE"/>
        </w:rPr>
        <w:t xml:space="preserve">it is assumed that the porting will be </w:t>
      </w:r>
      <w:r w:rsidR="00636E84">
        <w:rPr>
          <w:noProof/>
          <w:lang w:val="en-IE"/>
        </w:rPr>
        <w:t xml:space="preserve">from one cloud service to </w:t>
      </w:r>
      <w:r w:rsidR="00927850">
        <w:rPr>
          <w:noProof/>
          <w:lang w:val="en-IE"/>
        </w:rPr>
        <w:t>one</w:t>
      </w:r>
      <w:r w:rsidR="00636E84">
        <w:rPr>
          <w:noProof/>
          <w:lang w:val="en-IE"/>
        </w:rPr>
        <w:t xml:space="preserve"> cloud service</w:t>
      </w:r>
      <w:r w:rsidR="00BA2CCF">
        <w:rPr>
          <w:noProof/>
          <w:lang w:val="en-IE"/>
        </w:rPr>
        <w:t xml:space="preserve"> (1:1 cardinality)</w:t>
      </w:r>
      <w:r w:rsidR="00636E84">
        <w:rPr>
          <w:noProof/>
          <w:lang w:val="en-IE"/>
        </w:rPr>
        <w:t>. M</w:t>
      </w:r>
      <w:r w:rsidRPr="00FC22F9">
        <w:rPr>
          <w:noProof/>
          <w:lang w:val="en-IE"/>
        </w:rPr>
        <w:t xml:space="preserve">igrating to multiple cloud services at the same time would add an important layer of complexity and risk </w:t>
      </w:r>
      <w:r w:rsidR="00C83F46">
        <w:rPr>
          <w:noProof/>
          <w:lang w:val="en-IE"/>
        </w:rPr>
        <w:t xml:space="preserve">to </w:t>
      </w:r>
      <w:r w:rsidRPr="00FC22F9">
        <w:rPr>
          <w:noProof/>
          <w:lang w:val="en-IE"/>
        </w:rPr>
        <w:t>the project</w:t>
      </w:r>
      <w:r w:rsidRPr="00FC22F9">
        <w:rPr>
          <w:noProof/>
          <w:vertAlign w:val="superscript"/>
          <w:lang w:val="en-IE"/>
        </w:rPr>
        <w:footnoteReference w:id="202"/>
      </w:r>
      <w:r w:rsidRPr="00FC22F9">
        <w:rPr>
          <w:noProof/>
          <w:lang w:val="en-IE"/>
        </w:rPr>
        <w:t xml:space="preserve">. </w:t>
      </w:r>
      <w:r w:rsidR="003B4557">
        <w:rPr>
          <w:noProof/>
          <w:lang w:val="en-IE"/>
        </w:rPr>
        <w:t>Most EU public administrations are still in the process of adopting cloud services</w:t>
      </w:r>
      <w:r w:rsidR="009208E6">
        <w:rPr>
          <w:rStyle w:val="FootnoteReference"/>
          <w:noProof/>
          <w:lang w:val="en-IE"/>
        </w:rPr>
        <w:footnoteReference w:id="203"/>
      </w:r>
      <w:r w:rsidR="003F078D">
        <w:rPr>
          <w:noProof/>
          <w:lang w:val="en-IE"/>
        </w:rPr>
        <w:t xml:space="preserve"> under a “clou</w:t>
      </w:r>
      <w:r w:rsidR="007F3FA0">
        <w:rPr>
          <w:noProof/>
          <w:lang w:val="en-IE"/>
        </w:rPr>
        <w:t>d first approach”</w:t>
      </w:r>
      <w:r w:rsidR="007F3FA0">
        <w:rPr>
          <w:rStyle w:val="FootnoteReference"/>
          <w:noProof/>
          <w:lang w:val="en-IE"/>
        </w:rPr>
        <w:footnoteReference w:id="204"/>
      </w:r>
      <w:r w:rsidR="00C000D5">
        <w:rPr>
          <w:noProof/>
          <w:lang w:val="en-IE"/>
        </w:rPr>
        <w:t xml:space="preserve">, and while </w:t>
      </w:r>
      <w:r w:rsidR="00DA5098">
        <w:rPr>
          <w:noProof/>
          <w:lang w:val="en-IE"/>
        </w:rPr>
        <w:t xml:space="preserve">deploying workloads following a </w:t>
      </w:r>
      <w:r w:rsidR="00C000D5">
        <w:rPr>
          <w:noProof/>
          <w:lang w:val="en-IE"/>
        </w:rPr>
        <w:t>mul</w:t>
      </w:r>
      <w:r w:rsidR="00DA5098">
        <w:rPr>
          <w:noProof/>
          <w:lang w:val="en-IE"/>
        </w:rPr>
        <w:t>ti</w:t>
      </w:r>
      <w:r w:rsidR="00C000D5">
        <w:rPr>
          <w:noProof/>
          <w:lang w:val="en-IE"/>
        </w:rPr>
        <w:t>-cloud</w:t>
      </w:r>
      <w:r w:rsidR="003F1556">
        <w:rPr>
          <w:rStyle w:val="FootnoteReference"/>
          <w:noProof/>
          <w:lang w:val="en-IE"/>
        </w:rPr>
        <w:footnoteReference w:id="205"/>
      </w:r>
      <w:r w:rsidR="00C000D5">
        <w:rPr>
          <w:noProof/>
          <w:lang w:val="en-IE"/>
        </w:rPr>
        <w:t xml:space="preserve"> </w:t>
      </w:r>
      <w:r w:rsidR="0015065C">
        <w:rPr>
          <w:noProof/>
          <w:lang w:val="en-IE"/>
        </w:rPr>
        <w:t>strategy</w:t>
      </w:r>
      <w:r w:rsidR="00DA5098">
        <w:rPr>
          <w:noProof/>
          <w:lang w:val="en-IE"/>
        </w:rPr>
        <w:t xml:space="preserve"> </w:t>
      </w:r>
      <w:r w:rsidR="00C000D5">
        <w:rPr>
          <w:noProof/>
          <w:lang w:val="en-IE"/>
        </w:rPr>
        <w:t xml:space="preserve">is a plausible </w:t>
      </w:r>
      <w:r w:rsidR="0015065C">
        <w:rPr>
          <w:noProof/>
          <w:lang w:val="en-IE"/>
        </w:rPr>
        <w:t>one</w:t>
      </w:r>
      <w:r w:rsidR="003F078D">
        <w:rPr>
          <w:noProof/>
          <w:lang w:val="en-IE"/>
        </w:rPr>
        <w:t>,</w:t>
      </w:r>
      <w:r w:rsidR="00DA5098">
        <w:rPr>
          <w:noProof/>
          <w:lang w:val="en-IE"/>
        </w:rPr>
        <w:t xml:space="preserve"> this is</w:t>
      </w:r>
      <w:r w:rsidR="00300DFF">
        <w:rPr>
          <w:noProof/>
          <w:lang w:val="en-IE"/>
        </w:rPr>
        <w:t xml:space="preserve"> still a marginal practice.</w:t>
      </w:r>
    </w:p>
    <w:p w14:paraId="2B8329DB" w14:textId="32DD1D26" w:rsidR="00E373BE" w:rsidRPr="00AF2600" w:rsidRDefault="00FC22F9" w:rsidP="00FC22F9">
      <w:pPr>
        <w:rPr>
          <w:noProof/>
          <w:lang w:val="en-IE"/>
        </w:rPr>
      </w:pPr>
      <w:r w:rsidRPr="00FC22F9">
        <w:rPr>
          <w:noProof/>
          <w:lang w:val="en-IE"/>
        </w:rPr>
        <w:t xml:space="preserve">While it has been reported by Member States in various events (e.g. Member States Cloud Coordination Group (MSCCG) as part of the European Alliance for industrial data, edge and cloud) that the migration from on-premise applications to cloud-aware and cloud-native is growing, there is </w:t>
      </w:r>
      <w:r w:rsidR="00E373BE">
        <w:rPr>
          <w:noProof/>
          <w:lang w:val="en-IE"/>
        </w:rPr>
        <w:t>few</w:t>
      </w:r>
      <w:r w:rsidRPr="00FC22F9">
        <w:rPr>
          <w:noProof/>
          <w:lang w:val="en-IE"/>
        </w:rPr>
        <w:t xml:space="preserve"> available public data that clearly quantifies this growth. </w:t>
      </w:r>
      <w:r w:rsidR="00E373BE">
        <w:rPr>
          <w:noProof/>
          <w:lang w:val="en-IE"/>
        </w:rPr>
        <w:t>France</w:t>
      </w:r>
      <w:r w:rsidR="00F60ED1">
        <w:rPr>
          <w:noProof/>
          <w:lang w:val="en-IE"/>
        </w:rPr>
        <w:t xml:space="preserve"> reported in 2025 </w:t>
      </w:r>
      <w:r w:rsidR="00AF2600">
        <w:rPr>
          <w:noProof/>
          <w:lang w:val="en-IE"/>
        </w:rPr>
        <w:t xml:space="preserve">EUR 84 m of public procurement for </w:t>
      </w:r>
      <w:r w:rsidR="00BB58EA">
        <w:rPr>
          <w:noProof/>
          <w:lang w:val="en-IE"/>
        </w:rPr>
        <w:t>cloud -</w:t>
      </w:r>
      <w:r w:rsidR="00E63B84">
        <w:rPr>
          <w:noProof/>
          <w:lang w:val="en-IE"/>
        </w:rPr>
        <w:t xml:space="preserve"> </w:t>
      </w:r>
      <w:r w:rsidR="00A44EA0">
        <w:rPr>
          <w:noProof/>
          <w:lang w:val="en-IE"/>
        </w:rPr>
        <w:t>in State</w:t>
      </w:r>
      <w:r w:rsidR="004C682E">
        <w:rPr>
          <w:noProof/>
          <w:lang w:val="en-IE"/>
        </w:rPr>
        <w:t xml:space="preserve"> administration, healthcare, </w:t>
      </w:r>
      <w:r w:rsidR="00767F1A">
        <w:rPr>
          <w:noProof/>
          <w:lang w:val="en-IE"/>
        </w:rPr>
        <w:t>local administrations</w:t>
      </w:r>
      <w:r w:rsidR="00AF2600">
        <w:rPr>
          <w:noProof/>
          <w:lang w:val="en-IE"/>
        </w:rPr>
        <w:t>,</w:t>
      </w:r>
      <w:r w:rsidR="00E63B84">
        <w:rPr>
          <w:noProof/>
          <w:lang w:val="en-IE"/>
        </w:rPr>
        <w:t xml:space="preserve"> budget operators</w:t>
      </w:r>
      <w:r w:rsidR="00BB58EA">
        <w:rPr>
          <w:noProof/>
          <w:lang w:val="en-IE"/>
        </w:rPr>
        <w:t>, public establishments or similar, authority or institution -</w:t>
      </w:r>
      <w:r w:rsidR="00AF2600">
        <w:rPr>
          <w:noProof/>
          <w:lang w:val="en-IE"/>
        </w:rPr>
        <w:t xml:space="preserve"> with an annual growth of 62%</w:t>
      </w:r>
      <w:r w:rsidR="00BB58EA">
        <w:rPr>
          <w:noProof/>
          <w:lang w:val="en-IE"/>
        </w:rPr>
        <w:t>. The report stresses that th</w:t>
      </w:r>
      <w:r w:rsidR="00135D3E">
        <w:rPr>
          <w:noProof/>
          <w:lang w:val="en-IE"/>
        </w:rPr>
        <w:t xml:space="preserve">ese values stem </w:t>
      </w:r>
      <w:r w:rsidR="00511BF1">
        <w:rPr>
          <w:noProof/>
          <w:lang w:val="en-IE"/>
        </w:rPr>
        <w:t xml:space="preserve">mostly </w:t>
      </w:r>
      <w:r w:rsidR="00135D3E">
        <w:rPr>
          <w:noProof/>
          <w:lang w:val="en-IE"/>
        </w:rPr>
        <w:t xml:space="preserve">from </w:t>
      </w:r>
      <w:r w:rsidR="00511BF1">
        <w:rPr>
          <w:noProof/>
          <w:lang w:val="en-IE"/>
        </w:rPr>
        <w:t xml:space="preserve">small projects and </w:t>
      </w:r>
      <w:r w:rsidR="00921925">
        <w:rPr>
          <w:noProof/>
          <w:lang w:val="en-IE"/>
        </w:rPr>
        <w:t>a handful of</w:t>
      </w:r>
      <w:r w:rsidR="00511BF1">
        <w:rPr>
          <w:noProof/>
          <w:lang w:val="en-IE"/>
        </w:rPr>
        <w:t xml:space="preserve"> large ones</w:t>
      </w:r>
      <w:r w:rsidR="00424AAF">
        <w:rPr>
          <w:noProof/>
          <w:lang w:val="en-IE"/>
        </w:rPr>
        <w:t>, positioning France in a</w:t>
      </w:r>
      <w:r w:rsidR="00D939E5">
        <w:rPr>
          <w:noProof/>
          <w:lang w:val="en-IE"/>
        </w:rPr>
        <w:t xml:space="preserve"> cloud </w:t>
      </w:r>
      <w:r w:rsidR="00424AAF">
        <w:rPr>
          <w:noProof/>
          <w:lang w:val="en-IE"/>
        </w:rPr>
        <w:t>adoption trend</w:t>
      </w:r>
      <w:r w:rsidR="00802946">
        <w:rPr>
          <w:rStyle w:val="FootnoteReference"/>
          <w:noProof/>
          <w:lang w:val="en-IE"/>
        </w:rPr>
        <w:footnoteReference w:id="206"/>
      </w:r>
      <w:r w:rsidR="00B8702A">
        <w:rPr>
          <w:noProof/>
          <w:lang w:val="en-IE"/>
        </w:rPr>
        <w:t xml:space="preserve">. </w:t>
      </w:r>
      <w:r w:rsidR="00032FEC">
        <w:rPr>
          <w:noProof/>
          <w:lang w:val="en-IE"/>
        </w:rPr>
        <w:t>Sp</w:t>
      </w:r>
      <w:r w:rsidR="00C010CD">
        <w:rPr>
          <w:noProof/>
          <w:lang w:val="en-IE"/>
        </w:rPr>
        <w:t xml:space="preserve">ain and Germany </w:t>
      </w:r>
      <w:r w:rsidR="002068C4">
        <w:rPr>
          <w:noProof/>
          <w:lang w:val="en-IE"/>
        </w:rPr>
        <w:t>are investing</w:t>
      </w:r>
      <w:r w:rsidR="00C010CD">
        <w:rPr>
          <w:noProof/>
          <w:lang w:val="en-IE"/>
        </w:rPr>
        <w:t xml:space="preserve"> in the</w:t>
      </w:r>
      <w:r w:rsidR="002068C4">
        <w:rPr>
          <w:noProof/>
          <w:lang w:val="en-IE"/>
        </w:rPr>
        <w:t>ir own</w:t>
      </w:r>
      <w:r w:rsidR="00C010CD">
        <w:rPr>
          <w:noProof/>
          <w:lang w:val="en-IE"/>
        </w:rPr>
        <w:t xml:space="preserve"> governmental clouds, NubeSara </w:t>
      </w:r>
      <w:r w:rsidR="00100284">
        <w:rPr>
          <w:noProof/>
          <w:lang w:val="en-IE"/>
        </w:rPr>
        <w:t>(EUR 84 m</w:t>
      </w:r>
      <w:r w:rsidR="00100284">
        <w:rPr>
          <w:rStyle w:val="FootnoteReference"/>
          <w:noProof/>
          <w:lang w:val="en-IE"/>
        </w:rPr>
        <w:footnoteReference w:id="207"/>
      </w:r>
      <w:r w:rsidR="00100284">
        <w:rPr>
          <w:noProof/>
          <w:lang w:val="en-IE"/>
        </w:rPr>
        <w:t>)</w:t>
      </w:r>
      <w:r w:rsidR="00C010CD">
        <w:rPr>
          <w:noProof/>
          <w:lang w:val="en-IE"/>
        </w:rPr>
        <w:t xml:space="preserve"> and Deutscheverwaltungslcoud </w:t>
      </w:r>
      <w:r w:rsidR="008B5556">
        <w:rPr>
          <w:noProof/>
          <w:lang w:val="en-IE"/>
        </w:rPr>
        <w:t xml:space="preserve">respectively </w:t>
      </w:r>
      <w:r w:rsidR="00C010CD">
        <w:rPr>
          <w:noProof/>
          <w:lang w:val="en-IE"/>
        </w:rPr>
        <w:t xml:space="preserve">but there is </w:t>
      </w:r>
      <w:r w:rsidR="008B5556">
        <w:rPr>
          <w:noProof/>
          <w:lang w:val="en-IE"/>
        </w:rPr>
        <w:t>no</w:t>
      </w:r>
      <w:r w:rsidR="00595206">
        <w:rPr>
          <w:noProof/>
          <w:lang w:val="en-IE"/>
        </w:rPr>
        <w:t xml:space="preserve"> clearly available </w:t>
      </w:r>
      <w:r w:rsidR="00C010CD">
        <w:rPr>
          <w:noProof/>
          <w:lang w:val="en-IE"/>
        </w:rPr>
        <w:t xml:space="preserve">disaggregated information on the number of </w:t>
      </w:r>
      <w:r w:rsidR="0043300B">
        <w:rPr>
          <w:noProof/>
          <w:lang w:val="en-IE"/>
        </w:rPr>
        <w:t xml:space="preserve">workloads on the cloud. </w:t>
      </w:r>
      <w:r w:rsidR="00B8702A">
        <w:rPr>
          <w:noProof/>
          <w:lang w:val="en-IE"/>
        </w:rPr>
        <w:t>The UK, through its G-Cloud</w:t>
      </w:r>
      <w:r w:rsidR="00424AAF">
        <w:rPr>
          <w:noProof/>
          <w:lang w:val="en-IE"/>
        </w:rPr>
        <w:t xml:space="preserve"> offering reports </w:t>
      </w:r>
      <w:r w:rsidR="000B1D2D">
        <w:rPr>
          <w:noProof/>
          <w:lang w:val="en-IE"/>
        </w:rPr>
        <w:t xml:space="preserve">an expenditure </w:t>
      </w:r>
      <w:r w:rsidR="00A3509B">
        <w:rPr>
          <w:noProof/>
          <w:lang w:val="en-IE"/>
        </w:rPr>
        <w:t>of £</w:t>
      </w:r>
      <w:r w:rsidR="00F5074F">
        <w:rPr>
          <w:noProof/>
          <w:lang w:val="en-IE"/>
        </w:rPr>
        <w:t>400</w:t>
      </w:r>
      <w:r w:rsidR="00A3509B">
        <w:rPr>
          <w:noProof/>
          <w:lang w:val="en-IE"/>
        </w:rPr>
        <w:t xml:space="preserve"> m in</w:t>
      </w:r>
      <w:r w:rsidR="000B1D2D">
        <w:rPr>
          <w:noProof/>
          <w:lang w:val="en-IE"/>
        </w:rPr>
        <w:t xml:space="preserve"> hosting services </w:t>
      </w:r>
      <w:r w:rsidR="00EF12F0">
        <w:rPr>
          <w:noProof/>
          <w:lang w:val="en-IE"/>
        </w:rPr>
        <w:t xml:space="preserve">in </w:t>
      </w:r>
      <w:r w:rsidR="00771008">
        <w:rPr>
          <w:noProof/>
          <w:lang w:val="en-IE"/>
        </w:rPr>
        <w:t>fiscal year 202</w:t>
      </w:r>
      <w:r w:rsidR="000E4BB7">
        <w:rPr>
          <w:noProof/>
          <w:lang w:val="en-IE"/>
        </w:rPr>
        <w:t>4</w:t>
      </w:r>
      <w:r w:rsidR="00405D84">
        <w:rPr>
          <w:noProof/>
          <w:lang w:val="en-IE"/>
        </w:rPr>
        <w:t>/202</w:t>
      </w:r>
      <w:r w:rsidR="000E4BB7">
        <w:rPr>
          <w:noProof/>
          <w:lang w:val="en-IE"/>
        </w:rPr>
        <w:t>5</w:t>
      </w:r>
      <w:r w:rsidR="00153579">
        <w:rPr>
          <w:rStyle w:val="FootnoteReference"/>
          <w:noProof/>
          <w:lang w:val="en-IE"/>
        </w:rPr>
        <w:footnoteReference w:id="208"/>
      </w:r>
      <w:r w:rsidR="00163F46">
        <w:rPr>
          <w:noProof/>
          <w:lang w:val="en-IE"/>
        </w:rPr>
        <w:t xml:space="preserve">. </w:t>
      </w:r>
    </w:p>
    <w:p w14:paraId="5AEF9F42" w14:textId="720EF707" w:rsidR="00FC22F9" w:rsidRPr="003E3396" w:rsidRDefault="00FC22F9" w:rsidP="003E3396">
      <w:pPr>
        <w:pStyle w:val="Heading2"/>
        <w:numPr>
          <w:ilvl w:val="1"/>
          <w:numId w:val="134"/>
        </w:numPr>
        <w:spacing w:after="240"/>
        <w:ind w:hanging="769"/>
        <w:rPr>
          <w:noProof/>
        </w:rPr>
      </w:pPr>
      <w:bookmarkStart w:id="360" w:name="_Toc228346966"/>
      <w:r w:rsidRPr="003E3396">
        <w:rPr>
          <w:noProof/>
        </w:rPr>
        <w:t xml:space="preserve">Phases of a </w:t>
      </w:r>
      <w:r w:rsidR="00E2613E">
        <w:rPr>
          <w:noProof/>
        </w:rPr>
        <w:t>port</w:t>
      </w:r>
      <w:r w:rsidR="00DA6446">
        <w:rPr>
          <w:noProof/>
        </w:rPr>
        <w:t>ing operation</w:t>
      </w:r>
      <w:bookmarkEnd w:id="360"/>
    </w:p>
    <w:p w14:paraId="35BD913A" w14:textId="283A16AF" w:rsidR="00FC22F9" w:rsidRPr="00FC22F9" w:rsidRDefault="00FC22F9" w:rsidP="00FC22F9">
      <w:pPr>
        <w:rPr>
          <w:noProof/>
          <w:lang w:val="en-IE"/>
        </w:rPr>
      </w:pPr>
      <w:r w:rsidRPr="00FC22F9">
        <w:rPr>
          <w:noProof/>
          <w:lang w:val="en-IE"/>
        </w:rPr>
        <w:t>Next, the different phases are described, adapted from the few existing resources in the literature</w:t>
      </w:r>
      <w:r w:rsidRPr="00FC22F9">
        <w:rPr>
          <w:noProof/>
          <w:vertAlign w:val="superscript"/>
          <w:lang w:val="en-IE"/>
        </w:rPr>
        <w:footnoteReference w:id="209"/>
      </w:r>
      <w:r w:rsidRPr="00FC22F9">
        <w:rPr>
          <w:noProof/>
          <w:lang w:val="en-IE"/>
        </w:rPr>
        <w:t xml:space="preserve"> </w:t>
      </w:r>
      <w:r w:rsidRPr="00FC22F9">
        <w:rPr>
          <w:noProof/>
          <w:vertAlign w:val="superscript"/>
          <w:lang w:val="en-IE"/>
        </w:rPr>
        <w:footnoteReference w:id="210"/>
      </w:r>
      <w:r w:rsidRPr="00FC22F9">
        <w:rPr>
          <w:noProof/>
          <w:lang w:val="en-IE"/>
        </w:rPr>
        <w:t xml:space="preserve"> </w:t>
      </w:r>
      <w:r w:rsidRPr="00FC22F9">
        <w:rPr>
          <w:noProof/>
          <w:vertAlign w:val="superscript"/>
          <w:lang w:val="en-IE"/>
        </w:rPr>
        <w:footnoteReference w:id="211"/>
      </w:r>
      <w:r w:rsidR="00CB4979">
        <w:rPr>
          <w:noProof/>
          <w:lang w:val="en-IE"/>
        </w:rPr>
        <w:t xml:space="preserve"> </w:t>
      </w:r>
      <w:r w:rsidR="00CB4979">
        <w:rPr>
          <w:rStyle w:val="FootnoteReference"/>
          <w:noProof/>
          <w:lang w:val="en-IE"/>
        </w:rPr>
        <w:footnoteReference w:id="212"/>
      </w:r>
      <w:r w:rsidR="000214ED">
        <w:rPr>
          <w:noProof/>
          <w:lang w:val="en-IE"/>
        </w:rPr>
        <w:t xml:space="preserve"> </w:t>
      </w:r>
      <w:r w:rsidR="000214ED">
        <w:rPr>
          <w:rStyle w:val="FootnoteReference"/>
          <w:noProof/>
          <w:lang w:val="en-IE"/>
        </w:rPr>
        <w:footnoteReference w:id="213"/>
      </w:r>
      <w:r w:rsidRPr="00FC22F9">
        <w:rPr>
          <w:noProof/>
          <w:lang w:val="en-IE"/>
        </w:rPr>
        <w:t>.</w:t>
      </w:r>
    </w:p>
    <w:p w14:paraId="44792746" w14:textId="21A8EF27" w:rsidR="00FC22F9" w:rsidRDefault="00FC22F9" w:rsidP="00FC22F9">
      <w:pPr>
        <w:rPr>
          <w:noProof/>
          <w:lang w:val="en-IE"/>
        </w:rPr>
      </w:pPr>
      <w:r w:rsidRPr="00FC22F9">
        <w:rPr>
          <w:b/>
          <w:bCs/>
          <w:noProof/>
          <w:lang w:val="en-IE"/>
        </w:rPr>
        <w:t>Phase 1 – Feasibility assessment (one-off adjustment costs)</w:t>
      </w:r>
      <w:r w:rsidRPr="00FC22F9">
        <w:rPr>
          <w:noProof/>
          <w:lang w:val="en-IE"/>
        </w:rPr>
        <w:t xml:space="preserve">: The first step before tackling the </w:t>
      </w:r>
      <w:r w:rsidR="00DA6446">
        <w:rPr>
          <w:noProof/>
          <w:lang w:val="en-IE"/>
        </w:rPr>
        <w:t>porting</w:t>
      </w:r>
      <w:r w:rsidRPr="00FC22F9">
        <w:rPr>
          <w:noProof/>
          <w:lang w:val="en-IE"/>
        </w:rPr>
        <w:t xml:space="preserve"> is to have a clear understanding of the problem that the application is solving, perform a technical feasibility analysis to understand well the complexity, the size, dependencies as well as the technology, architecture, licenses, compliance requirements and quantity of data. In addition, it is important to have a clear understanding of what are the features and technologies accepted by the target service as this will determine the decision on which </w:t>
      </w:r>
      <w:r w:rsidR="00A31B70">
        <w:rPr>
          <w:noProof/>
          <w:lang w:val="en-IE"/>
        </w:rPr>
        <w:t>porting</w:t>
      </w:r>
      <w:r w:rsidRPr="00FC22F9">
        <w:rPr>
          <w:noProof/>
          <w:lang w:val="en-IE"/>
        </w:rPr>
        <w:t xml:space="preserve"> model will be followed. </w:t>
      </w:r>
    </w:p>
    <w:p w14:paraId="111248B1" w14:textId="20334FAD" w:rsidR="00044A01" w:rsidRDefault="00044A01" w:rsidP="00FC22F9">
      <w:pPr>
        <w:rPr>
          <w:noProof/>
          <w:lang w:val="en-IE"/>
        </w:rPr>
      </w:pPr>
      <w:r>
        <w:rPr>
          <w:noProof/>
          <w:lang w:val="en-IE"/>
        </w:rPr>
        <w:t>The following activities have been quantified under this phase</w:t>
      </w:r>
      <w:r w:rsidR="00DE240A">
        <w:rPr>
          <w:noProof/>
          <w:lang w:val="en-IE"/>
        </w:rPr>
        <w:t xml:space="preserve"> taking as input the information </w:t>
      </w:r>
      <w:r w:rsidR="001B2FF7">
        <w:rPr>
          <w:noProof/>
          <w:lang w:val="en-IE"/>
        </w:rPr>
        <w:t>provided</w:t>
      </w:r>
      <w:r w:rsidR="00FD0E80">
        <w:rPr>
          <w:noProof/>
          <w:lang w:val="en-IE"/>
        </w:rPr>
        <w:t xml:space="preserve"> </w:t>
      </w:r>
      <w:r w:rsidR="00CA194E">
        <w:rPr>
          <w:noProof/>
          <w:lang w:val="en-IE"/>
        </w:rPr>
        <w:t>above and consultation with experts</w:t>
      </w:r>
      <w:r w:rsidR="00C75CE1">
        <w:rPr>
          <w:noProof/>
          <w:lang w:val="en-IE"/>
        </w:rPr>
        <w:t xml:space="preserve"> and practical experience</w:t>
      </w:r>
      <w:r w:rsidR="00CA194E">
        <w:rPr>
          <w:noProof/>
          <w:lang w:val="en-IE"/>
        </w:rPr>
        <w:t xml:space="preserve"> in the field</w:t>
      </w:r>
      <w:r>
        <w:rPr>
          <w:noProof/>
          <w:lang w:val="en-IE"/>
        </w:rPr>
        <w:t>:</w:t>
      </w:r>
    </w:p>
    <w:p w14:paraId="673F2C0A" w14:textId="77777777" w:rsidR="00796415" w:rsidRPr="00796415" w:rsidRDefault="00796415" w:rsidP="003E3396">
      <w:pPr>
        <w:pStyle w:val="ListParagraph"/>
        <w:numPr>
          <w:ilvl w:val="0"/>
          <w:numId w:val="136"/>
        </w:numPr>
        <w:spacing w:after="0"/>
        <w:rPr>
          <w:noProof/>
          <w:lang w:val="en-IE"/>
        </w:rPr>
      </w:pPr>
      <w:r w:rsidRPr="00796415">
        <w:rPr>
          <w:noProof/>
          <w:lang w:val="en-IE"/>
        </w:rPr>
        <w:t>Discovery tooling and licensing</w:t>
      </w:r>
    </w:p>
    <w:p w14:paraId="7D89635E" w14:textId="77777777" w:rsidR="00796415" w:rsidRPr="00796415" w:rsidRDefault="00796415" w:rsidP="003E3396">
      <w:pPr>
        <w:pStyle w:val="ListParagraph"/>
        <w:numPr>
          <w:ilvl w:val="0"/>
          <w:numId w:val="136"/>
        </w:numPr>
        <w:spacing w:after="0"/>
        <w:rPr>
          <w:noProof/>
          <w:lang w:val="en-IE"/>
        </w:rPr>
      </w:pPr>
      <w:r w:rsidRPr="00796415">
        <w:rPr>
          <w:noProof/>
          <w:lang w:val="en-IE"/>
        </w:rPr>
        <w:t xml:space="preserve">Infrastructure inventory </w:t>
      </w:r>
    </w:p>
    <w:p w14:paraId="1AB60CAE" w14:textId="77777777" w:rsidR="00796415" w:rsidRPr="00796415" w:rsidRDefault="00796415" w:rsidP="003E3396">
      <w:pPr>
        <w:pStyle w:val="ListParagraph"/>
        <w:numPr>
          <w:ilvl w:val="0"/>
          <w:numId w:val="136"/>
        </w:numPr>
        <w:spacing w:after="0"/>
        <w:rPr>
          <w:noProof/>
          <w:lang w:val="en-IE"/>
        </w:rPr>
      </w:pPr>
      <w:r w:rsidRPr="00796415">
        <w:rPr>
          <w:noProof/>
          <w:lang w:val="en-IE"/>
        </w:rPr>
        <w:t>Dependency mapping</w:t>
      </w:r>
    </w:p>
    <w:p w14:paraId="551879A8" w14:textId="335EDFCB" w:rsidR="00796415" w:rsidRDefault="00796415" w:rsidP="00796415">
      <w:pPr>
        <w:pStyle w:val="ListParagraph"/>
        <w:numPr>
          <w:ilvl w:val="0"/>
          <w:numId w:val="136"/>
        </w:numPr>
        <w:spacing w:after="0"/>
        <w:rPr>
          <w:noProof/>
          <w:lang w:val="en-IE"/>
        </w:rPr>
      </w:pPr>
      <w:r>
        <w:rPr>
          <w:noProof/>
          <w:lang w:val="en-IE"/>
        </w:rPr>
        <w:t xml:space="preserve">Total Cost of Ownership (TCO) </w:t>
      </w:r>
      <w:r w:rsidRPr="00796415">
        <w:rPr>
          <w:noProof/>
          <w:lang w:val="en-IE"/>
        </w:rPr>
        <w:t>analysis</w:t>
      </w:r>
    </w:p>
    <w:p w14:paraId="0E7222B0" w14:textId="77777777" w:rsidR="00796415" w:rsidRPr="00796415" w:rsidRDefault="00796415" w:rsidP="003E3396">
      <w:pPr>
        <w:pStyle w:val="ListParagraph"/>
        <w:spacing w:after="0"/>
        <w:rPr>
          <w:noProof/>
          <w:lang w:val="en-IE"/>
        </w:rPr>
      </w:pPr>
    </w:p>
    <w:p w14:paraId="76E49406" w14:textId="77777777" w:rsidR="00FC22F9" w:rsidRPr="00FC22F9" w:rsidRDefault="00FC22F9" w:rsidP="00FC22F9">
      <w:pPr>
        <w:rPr>
          <w:noProof/>
          <w:lang w:val="en-IE"/>
        </w:rPr>
      </w:pPr>
      <w:r w:rsidRPr="00FC22F9">
        <w:rPr>
          <w:noProof/>
          <w:lang w:val="en-IE"/>
        </w:rPr>
        <w:t>Among the most important challenges to be faced in this step is to underestimate the dependencies across modules (end-to-end calls), the lack of documentation which may result in an incomplete inventory and data classification gaps, underestimating the existence of Personal Identifiable Information (PII) or regulated data in unexpected components requiring at a later stage, for instance a DPIA.</w:t>
      </w:r>
    </w:p>
    <w:p w14:paraId="3A0FA417" w14:textId="3DE34E22" w:rsidR="00FC22F9" w:rsidRPr="00FC22F9" w:rsidRDefault="00FC22F9" w:rsidP="00FC22F9">
      <w:pPr>
        <w:rPr>
          <w:noProof/>
          <w:lang w:val="en-IE"/>
        </w:rPr>
      </w:pPr>
      <w:r w:rsidRPr="00FC22F9">
        <w:rPr>
          <w:noProof/>
          <w:lang w:val="en-IE"/>
        </w:rPr>
        <w:t xml:space="preserve">The main outcomes of this phase is a </w:t>
      </w:r>
      <w:r w:rsidR="00A657CF">
        <w:rPr>
          <w:noProof/>
          <w:lang w:val="en-IE"/>
        </w:rPr>
        <w:t>porting</w:t>
      </w:r>
      <w:r w:rsidRPr="00FC22F9">
        <w:rPr>
          <w:noProof/>
          <w:lang w:val="en-IE"/>
        </w:rPr>
        <w:t xml:space="preserve"> inventory, a dependency graph, risk register, and a </w:t>
      </w:r>
      <w:r w:rsidR="00A657CF">
        <w:rPr>
          <w:noProof/>
          <w:lang w:val="en-IE"/>
        </w:rPr>
        <w:t>porting</w:t>
      </w:r>
      <w:r w:rsidRPr="00FC22F9">
        <w:rPr>
          <w:noProof/>
          <w:lang w:val="en-IE"/>
        </w:rPr>
        <w:t xml:space="preserve"> readiness assessment report.</w:t>
      </w:r>
    </w:p>
    <w:p w14:paraId="0516CE37" w14:textId="520D022D" w:rsidR="00FC22F9" w:rsidRPr="00FC22F9" w:rsidRDefault="00FC22F9" w:rsidP="00FC22F9">
      <w:pPr>
        <w:rPr>
          <w:noProof/>
          <w:lang w:val="en-IE"/>
        </w:rPr>
      </w:pPr>
      <w:r w:rsidRPr="00FC22F9">
        <w:rPr>
          <w:b/>
          <w:bCs/>
          <w:noProof/>
          <w:lang w:val="en-IE"/>
        </w:rPr>
        <w:t>Phase 2 – Strategy and planning (one-off adjustment costs):</w:t>
      </w:r>
      <w:r w:rsidRPr="00FC22F9">
        <w:rPr>
          <w:noProof/>
          <w:lang w:val="en-IE"/>
        </w:rPr>
        <w:t xml:space="preserve"> The second step of the </w:t>
      </w:r>
      <w:r w:rsidR="00A657CF">
        <w:rPr>
          <w:noProof/>
          <w:lang w:val="en-IE"/>
        </w:rPr>
        <w:t>porting</w:t>
      </w:r>
      <w:r w:rsidRPr="00FC22F9">
        <w:rPr>
          <w:noProof/>
          <w:lang w:val="en-IE"/>
        </w:rPr>
        <w:t xml:space="preserve"> is the development of the </w:t>
      </w:r>
      <w:r w:rsidR="00A657CF">
        <w:rPr>
          <w:noProof/>
          <w:lang w:val="en-IE"/>
        </w:rPr>
        <w:t>porting</w:t>
      </w:r>
      <w:r w:rsidRPr="00FC22F9">
        <w:rPr>
          <w:noProof/>
          <w:lang w:val="en-IE"/>
        </w:rPr>
        <w:t xml:space="preserve"> strategy and the planning itself. At this stage, once the characteristics of the application and the target platform are known thanks to the first step, it is a matter of deciding, based on the 7Rs of </w:t>
      </w:r>
      <w:r w:rsidR="00A657CF">
        <w:rPr>
          <w:noProof/>
          <w:lang w:val="en-IE"/>
        </w:rPr>
        <w:t>porting</w:t>
      </w:r>
      <w:r w:rsidRPr="00FC22F9">
        <w:rPr>
          <w:noProof/>
          <w:lang w:val="en-IE"/>
        </w:rPr>
        <w:t xml:space="preserve">, what is the most adequate approach for the problem at hand: rehost, </w:t>
      </w:r>
      <w:r w:rsidR="00D734E1">
        <w:rPr>
          <w:noProof/>
          <w:lang w:val="en-IE"/>
        </w:rPr>
        <w:t>re-platform</w:t>
      </w:r>
      <w:r w:rsidRPr="00FC22F9">
        <w:rPr>
          <w:noProof/>
          <w:lang w:val="en-IE"/>
        </w:rPr>
        <w:t xml:space="preserve"> or refactor, as the most widely used.</w:t>
      </w:r>
      <w:r w:rsidR="00CD3F9F">
        <w:rPr>
          <w:noProof/>
          <w:lang w:val="en-IE"/>
        </w:rPr>
        <w:t xml:space="preserve"> </w:t>
      </w:r>
      <w:r w:rsidR="00326DD6">
        <w:rPr>
          <w:noProof/>
          <w:lang w:val="en-IE"/>
        </w:rPr>
        <w:t xml:space="preserve">Each option has </w:t>
      </w:r>
      <w:r w:rsidRPr="00FC22F9">
        <w:rPr>
          <w:noProof/>
          <w:lang w:val="en-IE"/>
        </w:rPr>
        <w:t xml:space="preserve">different consequences in the effort needed to </w:t>
      </w:r>
      <w:r w:rsidR="009A65A1">
        <w:rPr>
          <w:noProof/>
          <w:lang w:val="en-IE"/>
        </w:rPr>
        <w:t>port</w:t>
      </w:r>
      <w:r w:rsidRPr="00FC22F9">
        <w:rPr>
          <w:noProof/>
          <w:lang w:val="en-IE"/>
        </w:rPr>
        <w:t>, the timeline and the risks.</w:t>
      </w:r>
    </w:p>
    <w:p w14:paraId="56F1CEDF" w14:textId="484E2BBB" w:rsidR="00FC22F9" w:rsidRDefault="00FC22F9" w:rsidP="00FC22F9">
      <w:pPr>
        <w:rPr>
          <w:noProof/>
          <w:lang w:val="en-IE"/>
        </w:rPr>
      </w:pPr>
      <w:r w:rsidRPr="00FC22F9">
        <w:rPr>
          <w:noProof/>
          <w:lang w:val="en-IE"/>
        </w:rPr>
        <w:t xml:space="preserve">Once one of the above strategies have been decided upon – this can be unique for the complete application or </w:t>
      </w:r>
      <w:r w:rsidR="009D233E">
        <w:rPr>
          <w:noProof/>
          <w:lang w:val="en-IE"/>
        </w:rPr>
        <w:t xml:space="preserve">alternatively </w:t>
      </w:r>
      <w:r w:rsidRPr="00FC22F9">
        <w:rPr>
          <w:noProof/>
          <w:lang w:val="en-IE"/>
        </w:rPr>
        <w:t>each part of the application may undergo a different strategy - , the next activities include grouping the workloads into migration waves</w:t>
      </w:r>
      <w:r w:rsidR="00084D8F">
        <w:rPr>
          <w:rStyle w:val="FootnoteReference"/>
          <w:noProof/>
          <w:lang w:val="en-IE"/>
        </w:rPr>
        <w:footnoteReference w:id="214"/>
      </w:r>
      <w:r w:rsidRPr="00FC22F9">
        <w:rPr>
          <w:noProof/>
          <w:lang w:val="en-IE"/>
        </w:rPr>
        <w:t xml:space="preserve">, addressing the identified dependencies, mapping the source services with the target services, re-architecting where needed, define the data </w:t>
      </w:r>
      <w:r w:rsidR="00A657CF">
        <w:rPr>
          <w:noProof/>
          <w:lang w:val="en-IE"/>
        </w:rPr>
        <w:t>porting</w:t>
      </w:r>
      <w:r w:rsidRPr="00FC22F9">
        <w:rPr>
          <w:noProof/>
          <w:lang w:val="en-IE"/>
        </w:rPr>
        <w:t xml:space="preserve"> strategy (e.g. bulk, transfer, incremental, …) as well as setting up the </w:t>
      </w:r>
      <w:r w:rsidR="00A657CF">
        <w:rPr>
          <w:noProof/>
          <w:lang w:val="en-IE"/>
        </w:rPr>
        <w:t>porting</w:t>
      </w:r>
      <w:r w:rsidRPr="00FC22F9">
        <w:rPr>
          <w:noProof/>
          <w:lang w:val="en-IE"/>
        </w:rPr>
        <w:t xml:space="preserve"> programme team. As part of this activity, it is also important to keep a rollback mechanism defined in case the </w:t>
      </w:r>
      <w:r w:rsidR="00A657CF">
        <w:rPr>
          <w:noProof/>
          <w:lang w:val="en-IE"/>
        </w:rPr>
        <w:t>porting</w:t>
      </w:r>
      <w:r w:rsidRPr="00FC22F9">
        <w:rPr>
          <w:noProof/>
          <w:lang w:val="en-IE"/>
        </w:rPr>
        <w:t xml:space="preserve"> does not succeed. </w:t>
      </w:r>
    </w:p>
    <w:p w14:paraId="2C3DF11C" w14:textId="26CB656D" w:rsidR="00796415" w:rsidRDefault="00796415" w:rsidP="00FC22F9">
      <w:pPr>
        <w:rPr>
          <w:noProof/>
          <w:lang w:val="en-IE"/>
        </w:rPr>
      </w:pPr>
      <w:r>
        <w:rPr>
          <w:noProof/>
          <w:lang w:val="en-IE"/>
        </w:rPr>
        <w:t>These are the activities evalua</w:t>
      </w:r>
      <w:r w:rsidR="004A694D">
        <w:rPr>
          <w:noProof/>
          <w:lang w:val="en-IE"/>
        </w:rPr>
        <w:t>ted in this phase:</w:t>
      </w:r>
    </w:p>
    <w:p w14:paraId="47FE0681" w14:textId="77777777" w:rsidR="004A694D" w:rsidRPr="004A694D" w:rsidRDefault="004A694D" w:rsidP="003E3396">
      <w:pPr>
        <w:pStyle w:val="ListParagraph"/>
        <w:numPr>
          <w:ilvl w:val="0"/>
          <w:numId w:val="137"/>
        </w:numPr>
        <w:rPr>
          <w:noProof/>
          <w:lang w:val="en-IE"/>
        </w:rPr>
      </w:pPr>
      <w:r w:rsidRPr="004A694D">
        <w:rPr>
          <w:noProof/>
          <w:lang w:val="en-IE"/>
        </w:rPr>
        <w:t>Cloud architecture design</w:t>
      </w:r>
    </w:p>
    <w:p w14:paraId="774C671D" w14:textId="1A0885EF" w:rsidR="004A694D" w:rsidRPr="004A694D" w:rsidRDefault="00A657CF" w:rsidP="003E3396">
      <w:pPr>
        <w:pStyle w:val="ListParagraph"/>
        <w:numPr>
          <w:ilvl w:val="0"/>
          <w:numId w:val="137"/>
        </w:numPr>
        <w:rPr>
          <w:noProof/>
          <w:lang w:val="en-IE"/>
        </w:rPr>
      </w:pPr>
      <w:r>
        <w:rPr>
          <w:noProof/>
          <w:lang w:val="en-IE"/>
        </w:rPr>
        <w:t>Porting</w:t>
      </w:r>
      <w:r w:rsidR="004A694D" w:rsidRPr="004A694D">
        <w:rPr>
          <w:noProof/>
          <w:lang w:val="en-IE"/>
        </w:rPr>
        <w:t xml:space="preserve"> plan</w:t>
      </w:r>
    </w:p>
    <w:p w14:paraId="491CC516" w14:textId="7F6AA44C" w:rsidR="004A694D" w:rsidRPr="004A694D" w:rsidRDefault="004A694D" w:rsidP="003E3396">
      <w:pPr>
        <w:pStyle w:val="ListParagraph"/>
        <w:numPr>
          <w:ilvl w:val="0"/>
          <w:numId w:val="137"/>
        </w:numPr>
        <w:rPr>
          <w:noProof/>
          <w:lang w:val="en-IE"/>
        </w:rPr>
      </w:pPr>
      <w:r w:rsidRPr="004A694D">
        <w:rPr>
          <w:noProof/>
          <w:lang w:val="en-IE"/>
        </w:rPr>
        <w:t xml:space="preserve">Provider </w:t>
      </w:r>
      <w:r>
        <w:rPr>
          <w:noProof/>
          <w:lang w:val="en-IE"/>
        </w:rPr>
        <w:t xml:space="preserve">(target platform) </w:t>
      </w:r>
      <w:r w:rsidRPr="004A694D">
        <w:rPr>
          <w:noProof/>
          <w:lang w:val="en-IE"/>
        </w:rPr>
        <w:t>feature evaluation</w:t>
      </w:r>
      <w:r w:rsidR="002D42F8">
        <w:rPr>
          <w:noProof/>
          <w:lang w:val="en-IE"/>
        </w:rPr>
        <w:t xml:space="preserve"> and service re-mapping</w:t>
      </w:r>
    </w:p>
    <w:p w14:paraId="3E8B78B2" w14:textId="6FC1B914" w:rsidR="004A694D" w:rsidRPr="004A694D" w:rsidRDefault="004A694D" w:rsidP="003E3396">
      <w:pPr>
        <w:pStyle w:val="ListParagraph"/>
        <w:numPr>
          <w:ilvl w:val="0"/>
          <w:numId w:val="137"/>
        </w:numPr>
        <w:rPr>
          <w:noProof/>
          <w:lang w:val="en-IE"/>
        </w:rPr>
      </w:pPr>
      <w:r w:rsidRPr="004A694D">
        <w:rPr>
          <w:noProof/>
          <w:lang w:val="en-IE"/>
        </w:rPr>
        <w:t>Project management setup</w:t>
      </w:r>
    </w:p>
    <w:p w14:paraId="159A3860" w14:textId="24BEC1D2" w:rsidR="00FC22F9" w:rsidRPr="00FC22F9" w:rsidRDefault="00FC22F9" w:rsidP="00FC22F9">
      <w:pPr>
        <w:rPr>
          <w:noProof/>
          <w:lang w:val="en-IE"/>
        </w:rPr>
      </w:pPr>
      <w:r w:rsidRPr="00FC22F9">
        <w:rPr>
          <w:noProof/>
          <w:lang w:val="en-IE"/>
        </w:rPr>
        <w:t xml:space="preserve">The main challenges in this phase stem from the gap in the team skills and the lack of one-to-one match across the functionalities of the various cloud services. That is, while cloud services may theoretically be similar or may have an equivalent functionality, there is not a one – to – one match. This matching must be often manually performed therefore by the team members start carrying out the </w:t>
      </w:r>
      <w:r w:rsidR="00A657CF">
        <w:rPr>
          <w:noProof/>
          <w:lang w:val="en-IE"/>
        </w:rPr>
        <w:t>porting</w:t>
      </w:r>
      <w:r w:rsidRPr="00FC22F9">
        <w:rPr>
          <w:noProof/>
          <w:lang w:val="en-IE"/>
        </w:rPr>
        <w:t>.</w:t>
      </w:r>
    </w:p>
    <w:p w14:paraId="58717BE9" w14:textId="377E05FF" w:rsidR="00FC22F9" w:rsidRPr="00FC22F9" w:rsidRDefault="00FC22F9" w:rsidP="00FC22F9">
      <w:pPr>
        <w:rPr>
          <w:noProof/>
          <w:lang w:val="en-IE"/>
        </w:rPr>
      </w:pPr>
      <w:r w:rsidRPr="00FC22F9">
        <w:rPr>
          <w:noProof/>
          <w:lang w:val="en-IE"/>
        </w:rPr>
        <w:t xml:space="preserve">The outcomes of this phase are the </w:t>
      </w:r>
      <w:r w:rsidR="00A657CF">
        <w:rPr>
          <w:noProof/>
          <w:lang w:val="en-IE"/>
        </w:rPr>
        <w:t>porting</w:t>
      </w:r>
      <w:r w:rsidRPr="00FC22F9">
        <w:rPr>
          <w:noProof/>
          <w:lang w:val="en-IE"/>
        </w:rPr>
        <w:t xml:space="preserve"> strategy document, the plan, the target architecture design and topology and the RACI</w:t>
      </w:r>
      <w:r w:rsidRPr="00FC22F9">
        <w:rPr>
          <w:noProof/>
          <w:vertAlign w:val="superscript"/>
          <w:lang w:val="en-IE"/>
        </w:rPr>
        <w:footnoteReference w:id="215"/>
      </w:r>
      <w:r w:rsidRPr="00FC22F9">
        <w:rPr>
          <w:noProof/>
          <w:lang w:val="en-IE"/>
        </w:rPr>
        <w:t xml:space="preserve"> matrix.</w:t>
      </w:r>
    </w:p>
    <w:p w14:paraId="14AB8CF6" w14:textId="2AF29995" w:rsidR="00FC22F9" w:rsidRDefault="00FC22F9" w:rsidP="00FC22F9">
      <w:pPr>
        <w:rPr>
          <w:noProof/>
          <w:lang w:val="en-IE"/>
        </w:rPr>
      </w:pPr>
      <w:r w:rsidRPr="00FC22F9">
        <w:rPr>
          <w:b/>
          <w:bCs/>
          <w:noProof/>
          <w:lang w:val="en-IE"/>
        </w:rPr>
        <w:t>Phase 3 – Target environment set up (one-off adjustment costs):</w:t>
      </w:r>
      <w:r w:rsidRPr="00FC22F9">
        <w:rPr>
          <w:noProof/>
          <w:lang w:val="en-IE"/>
        </w:rPr>
        <w:t xml:space="preserve">  This step includes the provision and configuration of the infrastructure (e.g. the Virtual Machines), implement</w:t>
      </w:r>
      <w:r w:rsidR="004D016B">
        <w:rPr>
          <w:noProof/>
          <w:lang w:val="en-IE"/>
        </w:rPr>
        <w:t>ing</w:t>
      </w:r>
      <w:r w:rsidRPr="00FC22F9">
        <w:rPr>
          <w:noProof/>
          <w:lang w:val="en-IE"/>
        </w:rPr>
        <w:t xml:space="preserve"> the basic security policy measures (e.g. identity provider), observability environment and logs, the CI/CD pipelines and the Infrastructure-as-Code </w:t>
      </w:r>
      <w:r w:rsidR="00B661F4">
        <w:rPr>
          <w:noProof/>
          <w:lang w:val="en-IE"/>
        </w:rPr>
        <w:t xml:space="preserve">(IaC) </w:t>
      </w:r>
      <w:r w:rsidRPr="00FC22F9">
        <w:rPr>
          <w:noProof/>
          <w:lang w:val="en-IE"/>
        </w:rPr>
        <w:t>practices on the target environment.</w:t>
      </w:r>
    </w:p>
    <w:p w14:paraId="3637A6B2" w14:textId="5C81E408" w:rsidR="004A694D" w:rsidRDefault="00B661F4" w:rsidP="00FC22F9">
      <w:pPr>
        <w:rPr>
          <w:noProof/>
          <w:lang w:val="en-IE"/>
        </w:rPr>
      </w:pPr>
      <w:r>
        <w:rPr>
          <w:noProof/>
          <w:lang w:val="en-IE"/>
        </w:rPr>
        <w:t>Under this phase, these are the activities considered:</w:t>
      </w:r>
    </w:p>
    <w:p w14:paraId="077AD831" w14:textId="77777777" w:rsidR="00B661F4" w:rsidRPr="00B661F4" w:rsidRDefault="00B661F4" w:rsidP="003E3396">
      <w:pPr>
        <w:pStyle w:val="ListParagraph"/>
        <w:numPr>
          <w:ilvl w:val="0"/>
          <w:numId w:val="138"/>
        </w:numPr>
        <w:rPr>
          <w:noProof/>
          <w:lang w:val="en-IE"/>
        </w:rPr>
      </w:pPr>
      <w:r w:rsidRPr="00B661F4">
        <w:rPr>
          <w:noProof/>
          <w:lang w:val="en-IE"/>
        </w:rPr>
        <w:t>VM / compute provisioning</w:t>
      </w:r>
    </w:p>
    <w:p w14:paraId="0EC48348" w14:textId="77777777" w:rsidR="00B661F4" w:rsidRPr="00B661F4" w:rsidRDefault="00B661F4" w:rsidP="003E3396">
      <w:pPr>
        <w:pStyle w:val="ListParagraph"/>
        <w:numPr>
          <w:ilvl w:val="0"/>
          <w:numId w:val="138"/>
        </w:numPr>
        <w:rPr>
          <w:noProof/>
          <w:lang w:val="en-IE"/>
        </w:rPr>
      </w:pPr>
      <w:r w:rsidRPr="00B661F4">
        <w:rPr>
          <w:noProof/>
          <w:lang w:val="en-IE"/>
        </w:rPr>
        <w:t>Network configuration (Virtual Private Cloud, DNS, Firewall)</w:t>
      </w:r>
    </w:p>
    <w:p w14:paraId="23ED0C78" w14:textId="77777777" w:rsidR="00B661F4" w:rsidRPr="00B661F4" w:rsidRDefault="00B661F4" w:rsidP="003E3396">
      <w:pPr>
        <w:pStyle w:val="ListParagraph"/>
        <w:numPr>
          <w:ilvl w:val="0"/>
          <w:numId w:val="138"/>
        </w:numPr>
        <w:rPr>
          <w:noProof/>
          <w:lang w:val="en-IE"/>
        </w:rPr>
      </w:pPr>
      <w:r w:rsidRPr="00B661F4">
        <w:rPr>
          <w:noProof/>
          <w:lang w:val="en-IE"/>
        </w:rPr>
        <w:t xml:space="preserve">Storage setup </w:t>
      </w:r>
    </w:p>
    <w:p w14:paraId="58040A9E" w14:textId="32D9F6FC" w:rsidR="00B661F4" w:rsidRPr="00B661F4" w:rsidRDefault="00A47215" w:rsidP="003E3396">
      <w:pPr>
        <w:pStyle w:val="ListParagraph"/>
        <w:numPr>
          <w:ilvl w:val="0"/>
          <w:numId w:val="138"/>
        </w:numPr>
        <w:rPr>
          <w:noProof/>
          <w:lang w:val="en-IE"/>
        </w:rPr>
      </w:pPr>
      <w:r>
        <w:rPr>
          <w:noProof/>
          <w:lang w:val="en-IE"/>
        </w:rPr>
        <w:t>Identity and Access Management</w:t>
      </w:r>
      <w:r w:rsidR="00B661F4" w:rsidRPr="00B661F4">
        <w:rPr>
          <w:noProof/>
          <w:lang w:val="en-IE"/>
        </w:rPr>
        <w:t>, access and monitoring setup</w:t>
      </w:r>
    </w:p>
    <w:p w14:paraId="61A3BD51" w14:textId="14321910" w:rsidR="00B661F4" w:rsidRPr="00B661F4" w:rsidRDefault="00B661F4" w:rsidP="003E3396">
      <w:pPr>
        <w:pStyle w:val="ListParagraph"/>
        <w:numPr>
          <w:ilvl w:val="0"/>
          <w:numId w:val="138"/>
        </w:numPr>
        <w:rPr>
          <w:noProof/>
          <w:lang w:val="en-IE"/>
        </w:rPr>
      </w:pPr>
      <w:r w:rsidRPr="00B661F4">
        <w:rPr>
          <w:noProof/>
          <w:lang w:val="en-IE"/>
        </w:rPr>
        <w:t>IaC scripting</w:t>
      </w:r>
      <w:r w:rsidR="00891317">
        <w:rPr>
          <w:noProof/>
          <w:lang w:val="en-IE"/>
        </w:rPr>
        <w:t xml:space="preserve"> and DevOps pipelines</w:t>
      </w:r>
    </w:p>
    <w:p w14:paraId="144B81C0" w14:textId="77777777" w:rsidR="00FC22F9" w:rsidRPr="00FC22F9" w:rsidRDefault="00FC22F9" w:rsidP="00FC22F9">
      <w:pPr>
        <w:rPr>
          <w:noProof/>
          <w:lang w:val="en-IE"/>
        </w:rPr>
      </w:pPr>
      <w:r w:rsidRPr="00FC22F9">
        <w:rPr>
          <w:noProof/>
          <w:lang w:val="en-IE"/>
        </w:rPr>
        <w:t>The main obstacles in this phase have to do with the potential differences in the Identity and Access Management (IAM) roles and permissions, overlapping IPs, the setup of tools such as security scanning tools or a SIEM (Security Information and Event Management).</w:t>
      </w:r>
    </w:p>
    <w:p w14:paraId="2FBD680F" w14:textId="77777777" w:rsidR="00FC22F9" w:rsidRPr="00FC22F9" w:rsidRDefault="00FC22F9" w:rsidP="00FC22F9">
      <w:pPr>
        <w:rPr>
          <w:noProof/>
          <w:lang w:val="en-IE"/>
        </w:rPr>
      </w:pPr>
      <w:r w:rsidRPr="00FC22F9">
        <w:rPr>
          <w:noProof/>
          <w:lang w:val="en-IE"/>
        </w:rPr>
        <w:t>The outcomes of this phase are the network topology, the IAM baseline and the DevOps pipeline.</w:t>
      </w:r>
    </w:p>
    <w:p w14:paraId="104DE1F7" w14:textId="7969E0A9" w:rsidR="00FC22F9" w:rsidRDefault="00FC22F9" w:rsidP="00FC22F9">
      <w:pPr>
        <w:rPr>
          <w:noProof/>
          <w:lang w:val="en-IE"/>
        </w:rPr>
      </w:pPr>
      <w:r w:rsidRPr="00FC22F9">
        <w:rPr>
          <w:b/>
          <w:bCs/>
          <w:noProof/>
          <w:lang w:val="en-IE"/>
        </w:rPr>
        <w:t xml:space="preserve">Phase 4 – </w:t>
      </w:r>
      <w:r w:rsidR="00A657CF">
        <w:rPr>
          <w:b/>
          <w:bCs/>
          <w:noProof/>
          <w:lang w:val="en-IE"/>
        </w:rPr>
        <w:t>Porting</w:t>
      </w:r>
      <w:r w:rsidRPr="00FC22F9">
        <w:rPr>
          <w:b/>
          <w:bCs/>
          <w:noProof/>
          <w:lang w:val="en-IE"/>
        </w:rPr>
        <w:t xml:space="preserve"> (one-off adjustment costs):</w:t>
      </w:r>
      <w:r w:rsidRPr="00FC22F9">
        <w:rPr>
          <w:noProof/>
          <w:lang w:val="en-IE"/>
        </w:rPr>
        <w:t xml:space="preserve"> This phase entails the </w:t>
      </w:r>
      <w:r w:rsidR="00A657CF">
        <w:rPr>
          <w:noProof/>
          <w:lang w:val="en-IE"/>
        </w:rPr>
        <w:t>porting</w:t>
      </w:r>
      <w:r w:rsidRPr="00FC22F9">
        <w:rPr>
          <w:noProof/>
          <w:lang w:val="en-IE"/>
        </w:rPr>
        <w:t xml:space="preserve"> of both the business logic of the application as well as the data, while maintaining the integrity, full auditability and minimal downtime of the application. The </w:t>
      </w:r>
      <w:r w:rsidR="00A657CF">
        <w:rPr>
          <w:noProof/>
          <w:lang w:val="en-IE"/>
        </w:rPr>
        <w:t>porting</w:t>
      </w:r>
      <w:r w:rsidRPr="00FC22F9">
        <w:rPr>
          <w:noProof/>
          <w:lang w:val="en-IE"/>
        </w:rPr>
        <w:t xml:space="preserve"> of data may be rather challenging, in terms of duration, strategy, </w:t>
      </w:r>
      <w:r w:rsidR="00D73223">
        <w:rPr>
          <w:noProof/>
          <w:lang w:val="en-IE"/>
        </w:rPr>
        <w:t xml:space="preserve">and </w:t>
      </w:r>
      <w:r w:rsidRPr="00FC22F9">
        <w:rPr>
          <w:noProof/>
          <w:lang w:val="en-IE"/>
        </w:rPr>
        <w:t>risks and they require a verification of the integrity of the data at destination (e.g. row counts, checksum, etc)</w:t>
      </w:r>
      <w:r w:rsidR="00D73223">
        <w:rPr>
          <w:noProof/>
          <w:lang w:val="en-IE"/>
        </w:rPr>
        <w:t xml:space="preserve"> as this is a very error-prone activity</w:t>
      </w:r>
      <w:r w:rsidRPr="00FC22F9">
        <w:rPr>
          <w:noProof/>
          <w:lang w:val="en-IE"/>
        </w:rPr>
        <w:t>. Migrating the business logic</w:t>
      </w:r>
      <w:r w:rsidR="0072490E">
        <w:rPr>
          <w:noProof/>
          <w:lang w:val="en-IE"/>
        </w:rPr>
        <w:t xml:space="preserve"> may</w:t>
      </w:r>
      <w:r w:rsidRPr="00FC22F9">
        <w:rPr>
          <w:noProof/>
          <w:lang w:val="en-IE"/>
        </w:rPr>
        <w:t xml:space="preserve"> involve </w:t>
      </w:r>
      <w:r w:rsidR="00681572">
        <w:rPr>
          <w:noProof/>
          <w:lang w:val="en-IE"/>
        </w:rPr>
        <w:t xml:space="preserve">refactoring part of the code, re-adapting to new technologies, </w:t>
      </w:r>
      <w:r w:rsidRPr="00FC22F9">
        <w:rPr>
          <w:noProof/>
          <w:lang w:val="en-IE"/>
        </w:rPr>
        <w:t>moving and / or rebuilding the images</w:t>
      </w:r>
      <w:r w:rsidR="00940312">
        <w:rPr>
          <w:noProof/>
          <w:lang w:val="en-IE"/>
        </w:rPr>
        <w:t xml:space="preserve"> </w:t>
      </w:r>
      <w:r w:rsidR="005F14AE">
        <w:rPr>
          <w:noProof/>
          <w:lang w:val="en-IE"/>
        </w:rPr>
        <w:t>f</w:t>
      </w:r>
      <w:r w:rsidR="00940312">
        <w:rPr>
          <w:noProof/>
          <w:lang w:val="en-IE"/>
        </w:rPr>
        <w:t>or the containers</w:t>
      </w:r>
      <w:r w:rsidRPr="00FC22F9">
        <w:rPr>
          <w:noProof/>
          <w:lang w:val="en-IE"/>
        </w:rPr>
        <w:t>, adapt</w:t>
      </w:r>
      <w:r w:rsidR="00940312">
        <w:rPr>
          <w:noProof/>
          <w:lang w:val="en-IE"/>
        </w:rPr>
        <w:t>ing</w:t>
      </w:r>
      <w:r w:rsidRPr="00FC22F9">
        <w:rPr>
          <w:noProof/>
          <w:lang w:val="en-IE"/>
        </w:rPr>
        <w:t xml:space="preserve"> the Kubernetes manifests, redeploying them and reconfiguring certain parts of the application such as the managed services (e.g. load balancers). This step also includes some smoke tests (initial tests) to demonstrate that the application is functional and responsive.</w:t>
      </w:r>
    </w:p>
    <w:p w14:paraId="6E4CD339" w14:textId="28551D2C" w:rsidR="00D22C76" w:rsidRDefault="00D22C76" w:rsidP="00FC22F9">
      <w:pPr>
        <w:rPr>
          <w:noProof/>
          <w:lang w:val="en-IE"/>
        </w:rPr>
      </w:pPr>
      <w:r>
        <w:rPr>
          <w:noProof/>
          <w:lang w:val="en-IE"/>
        </w:rPr>
        <w:t>Following, the activities considered:</w:t>
      </w:r>
    </w:p>
    <w:p w14:paraId="0B7C1E03" w14:textId="44AF5FAD" w:rsidR="00D22C76" w:rsidRPr="00D22C76" w:rsidRDefault="00D22C76" w:rsidP="003E3396">
      <w:pPr>
        <w:pStyle w:val="ListParagraph"/>
        <w:numPr>
          <w:ilvl w:val="0"/>
          <w:numId w:val="139"/>
        </w:numPr>
        <w:rPr>
          <w:noProof/>
          <w:lang w:val="en-IE"/>
        </w:rPr>
      </w:pPr>
      <w:r w:rsidRPr="00D22C76">
        <w:rPr>
          <w:noProof/>
          <w:lang w:val="en-IE"/>
        </w:rPr>
        <w:t xml:space="preserve">Database </w:t>
      </w:r>
      <w:r w:rsidR="00A657CF">
        <w:rPr>
          <w:noProof/>
          <w:lang w:val="en-IE"/>
        </w:rPr>
        <w:t>porting</w:t>
      </w:r>
      <w:r w:rsidRPr="00D22C76">
        <w:rPr>
          <w:noProof/>
          <w:lang w:val="en-IE"/>
        </w:rPr>
        <w:t xml:space="preserve"> </w:t>
      </w:r>
    </w:p>
    <w:p w14:paraId="339800A7" w14:textId="77777777" w:rsidR="00D22C76" w:rsidRPr="00D22C76" w:rsidRDefault="00D22C76" w:rsidP="003E3396">
      <w:pPr>
        <w:pStyle w:val="ListParagraph"/>
        <w:numPr>
          <w:ilvl w:val="0"/>
          <w:numId w:val="139"/>
        </w:numPr>
        <w:rPr>
          <w:noProof/>
          <w:lang w:val="en-IE"/>
        </w:rPr>
      </w:pPr>
      <w:r w:rsidRPr="00D22C76">
        <w:rPr>
          <w:noProof/>
          <w:lang w:val="en-IE"/>
        </w:rPr>
        <w:t>VM/server image replication</w:t>
      </w:r>
    </w:p>
    <w:p w14:paraId="695DDCE9" w14:textId="64C6B403" w:rsidR="00D22C76" w:rsidRPr="00D22C76" w:rsidRDefault="00D22C76" w:rsidP="003E3396">
      <w:pPr>
        <w:pStyle w:val="ListParagraph"/>
        <w:numPr>
          <w:ilvl w:val="0"/>
          <w:numId w:val="139"/>
        </w:numPr>
        <w:rPr>
          <w:noProof/>
          <w:lang w:val="en-IE"/>
        </w:rPr>
      </w:pPr>
      <w:r>
        <w:rPr>
          <w:noProof/>
          <w:lang w:val="en-IE"/>
        </w:rPr>
        <w:t>Application</w:t>
      </w:r>
      <w:r w:rsidRPr="00D22C76">
        <w:rPr>
          <w:noProof/>
          <w:lang w:val="en-IE"/>
        </w:rPr>
        <w:t xml:space="preserve"> </w:t>
      </w:r>
      <w:r w:rsidR="006E3567">
        <w:rPr>
          <w:noProof/>
          <w:lang w:val="en-IE"/>
        </w:rPr>
        <w:t xml:space="preserve">code </w:t>
      </w:r>
      <w:r>
        <w:rPr>
          <w:noProof/>
          <w:lang w:val="en-IE"/>
        </w:rPr>
        <w:t>adaptation</w:t>
      </w:r>
      <w:r w:rsidR="00A168FE">
        <w:rPr>
          <w:noProof/>
          <w:lang w:val="en-IE"/>
        </w:rPr>
        <w:t xml:space="preserve"> (refactoring)</w:t>
      </w:r>
      <w:r>
        <w:rPr>
          <w:noProof/>
          <w:lang w:val="en-IE"/>
        </w:rPr>
        <w:t xml:space="preserve"> and configuration for</w:t>
      </w:r>
      <w:r w:rsidRPr="00D22C76">
        <w:rPr>
          <w:noProof/>
          <w:lang w:val="en-IE"/>
        </w:rPr>
        <w:t xml:space="preserve"> porting</w:t>
      </w:r>
    </w:p>
    <w:p w14:paraId="50F0B31B" w14:textId="02C3279D" w:rsidR="00D22C76" w:rsidRPr="00D22C76" w:rsidRDefault="00A657CF" w:rsidP="003E3396">
      <w:pPr>
        <w:pStyle w:val="ListParagraph"/>
        <w:numPr>
          <w:ilvl w:val="0"/>
          <w:numId w:val="139"/>
        </w:numPr>
        <w:rPr>
          <w:noProof/>
          <w:lang w:val="en-IE"/>
        </w:rPr>
      </w:pPr>
      <w:r>
        <w:rPr>
          <w:noProof/>
          <w:lang w:val="en-IE"/>
        </w:rPr>
        <w:t>Porting</w:t>
      </w:r>
      <w:r w:rsidR="00D22C76" w:rsidRPr="00D22C76">
        <w:rPr>
          <w:noProof/>
          <w:lang w:val="en-IE"/>
        </w:rPr>
        <w:t xml:space="preserve"> </w:t>
      </w:r>
      <w:r w:rsidR="006E3567">
        <w:rPr>
          <w:noProof/>
          <w:lang w:val="en-IE"/>
        </w:rPr>
        <w:t xml:space="preserve">of the </w:t>
      </w:r>
      <w:r w:rsidR="00D22C76" w:rsidRPr="00D22C76">
        <w:rPr>
          <w:noProof/>
          <w:lang w:val="en-IE"/>
        </w:rPr>
        <w:t>tooling licenses</w:t>
      </w:r>
    </w:p>
    <w:p w14:paraId="3D532DE7" w14:textId="7F358506" w:rsidR="00D22C76" w:rsidRPr="00D22C76" w:rsidRDefault="00D22C76" w:rsidP="003E3396">
      <w:pPr>
        <w:pStyle w:val="ListParagraph"/>
        <w:numPr>
          <w:ilvl w:val="0"/>
          <w:numId w:val="139"/>
        </w:numPr>
        <w:rPr>
          <w:noProof/>
          <w:lang w:val="en-IE"/>
        </w:rPr>
      </w:pPr>
      <w:r w:rsidRPr="00D22C76">
        <w:rPr>
          <w:noProof/>
          <w:lang w:val="en-IE"/>
        </w:rPr>
        <w:t>Parallel infr</w:t>
      </w:r>
      <w:r>
        <w:rPr>
          <w:noProof/>
          <w:lang w:val="en-IE"/>
        </w:rPr>
        <w:t>astructure dual - run</w:t>
      </w:r>
    </w:p>
    <w:p w14:paraId="16E28465" w14:textId="2D328390" w:rsidR="00FC22F9" w:rsidRPr="00FC22F9" w:rsidRDefault="00FC22F9" w:rsidP="00FC22F9">
      <w:pPr>
        <w:rPr>
          <w:noProof/>
          <w:lang w:val="en-IE"/>
        </w:rPr>
      </w:pPr>
      <w:r w:rsidRPr="00FC22F9">
        <w:rPr>
          <w:noProof/>
          <w:lang w:val="en-IE"/>
        </w:rPr>
        <w:t xml:space="preserve">The main problems usually faced during this phase is the data format compatibility, the maintenance of the integrity of the data and the avoidance of data loss during the </w:t>
      </w:r>
      <w:r w:rsidR="00A657CF">
        <w:rPr>
          <w:noProof/>
          <w:lang w:val="en-IE"/>
        </w:rPr>
        <w:t>porting</w:t>
      </w:r>
      <w:r w:rsidRPr="00FC22F9">
        <w:rPr>
          <w:noProof/>
          <w:lang w:val="en-IE"/>
        </w:rPr>
        <w:t>. In terms of application, the integrability and reconfiguration of the different components migrated onto the target platform may hinder the deployment of the application.</w:t>
      </w:r>
    </w:p>
    <w:p w14:paraId="0AFDCAFF" w14:textId="77777777" w:rsidR="00FC22F9" w:rsidRPr="00FC22F9" w:rsidRDefault="00FC22F9" w:rsidP="00FC22F9">
      <w:pPr>
        <w:rPr>
          <w:noProof/>
          <w:lang w:val="en-IE"/>
        </w:rPr>
      </w:pPr>
      <w:r w:rsidRPr="00FC22F9">
        <w:rPr>
          <w:noProof/>
          <w:lang w:val="en-IE"/>
        </w:rPr>
        <w:t>The deliverables after this phase is the data and application migrated onto the cloud, and the application deployment view.</w:t>
      </w:r>
    </w:p>
    <w:p w14:paraId="456143DF" w14:textId="77777777" w:rsidR="00FC22F9" w:rsidRDefault="00FC22F9" w:rsidP="00FC22F9">
      <w:pPr>
        <w:rPr>
          <w:noProof/>
          <w:lang w:val="en-IE"/>
        </w:rPr>
      </w:pPr>
      <w:r w:rsidRPr="00FC22F9">
        <w:rPr>
          <w:b/>
          <w:bCs/>
          <w:noProof/>
          <w:lang w:val="en-IE"/>
        </w:rPr>
        <w:t xml:space="preserve">Phase 5 – Testing and validation (one-off adjustment costs): </w:t>
      </w:r>
      <w:r w:rsidRPr="00FC22F9">
        <w:rPr>
          <w:noProof/>
          <w:lang w:val="en-IE"/>
        </w:rPr>
        <w:t>This step includes the functional and non-functional testing, including performance, load, stress and resilience testing. Security, vulnerability and penetration testing are also part of this. At this stage, there is a disaster recovery plan in place and clear metrics to ensure business continuity.</w:t>
      </w:r>
    </w:p>
    <w:p w14:paraId="3CCAA41B" w14:textId="7C755AFE" w:rsidR="0074663B" w:rsidRDefault="0074663B" w:rsidP="00FC22F9">
      <w:pPr>
        <w:rPr>
          <w:noProof/>
          <w:lang w:val="en-IE"/>
        </w:rPr>
      </w:pPr>
      <w:r>
        <w:rPr>
          <w:noProof/>
          <w:lang w:val="en-IE"/>
        </w:rPr>
        <w:t>These are the activities taken into account under this phase:</w:t>
      </w:r>
    </w:p>
    <w:p w14:paraId="61B41144" w14:textId="77777777" w:rsidR="0074663B" w:rsidRPr="0074663B" w:rsidRDefault="0074663B" w:rsidP="003E3396">
      <w:pPr>
        <w:pStyle w:val="ListParagraph"/>
        <w:numPr>
          <w:ilvl w:val="0"/>
          <w:numId w:val="140"/>
        </w:numPr>
        <w:rPr>
          <w:noProof/>
          <w:lang w:val="en-IE"/>
        </w:rPr>
      </w:pPr>
      <w:r w:rsidRPr="0074663B">
        <w:rPr>
          <w:noProof/>
          <w:lang w:val="en-IE"/>
        </w:rPr>
        <w:t xml:space="preserve">Functional testing </w:t>
      </w:r>
    </w:p>
    <w:p w14:paraId="5407506B" w14:textId="77777777" w:rsidR="0074663B" w:rsidRPr="0074663B" w:rsidRDefault="0074663B" w:rsidP="003E3396">
      <w:pPr>
        <w:pStyle w:val="ListParagraph"/>
        <w:numPr>
          <w:ilvl w:val="0"/>
          <w:numId w:val="140"/>
        </w:numPr>
        <w:rPr>
          <w:noProof/>
          <w:lang w:val="en-IE"/>
        </w:rPr>
      </w:pPr>
      <w:r w:rsidRPr="0074663B">
        <w:rPr>
          <w:noProof/>
          <w:lang w:val="en-IE"/>
        </w:rPr>
        <w:t>Performance and load testing</w:t>
      </w:r>
    </w:p>
    <w:p w14:paraId="37A4F63C" w14:textId="77777777" w:rsidR="0074663B" w:rsidRPr="0074663B" w:rsidRDefault="0074663B" w:rsidP="003E3396">
      <w:pPr>
        <w:pStyle w:val="ListParagraph"/>
        <w:numPr>
          <w:ilvl w:val="0"/>
          <w:numId w:val="140"/>
        </w:numPr>
        <w:rPr>
          <w:noProof/>
          <w:lang w:val="en-IE"/>
        </w:rPr>
      </w:pPr>
      <w:r w:rsidRPr="0074663B">
        <w:rPr>
          <w:noProof/>
          <w:lang w:val="en-IE"/>
        </w:rPr>
        <w:t>Integration / API testing</w:t>
      </w:r>
    </w:p>
    <w:p w14:paraId="4E871BB6" w14:textId="77777777" w:rsidR="0074663B" w:rsidRPr="0074663B" w:rsidRDefault="0074663B" w:rsidP="003E3396">
      <w:pPr>
        <w:pStyle w:val="ListParagraph"/>
        <w:numPr>
          <w:ilvl w:val="0"/>
          <w:numId w:val="140"/>
        </w:numPr>
        <w:rPr>
          <w:noProof/>
          <w:lang w:val="en-IE"/>
        </w:rPr>
      </w:pPr>
      <w:r w:rsidRPr="0074663B">
        <w:rPr>
          <w:noProof/>
          <w:lang w:val="en-IE"/>
        </w:rPr>
        <w:t>Security and vulnerability scanning</w:t>
      </w:r>
    </w:p>
    <w:p w14:paraId="7E5FBB31" w14:textId="303EECA2" w:rsidR="0074663B" w:rsidRPr="0074663B" w:rsidRDefault="0074663B" w:rsidP="003E3396">
      <w:pPr>
        <w:pStyle w:val="ListParagraph"/>
        <w:numPr>
          <w:ilvl w:val="0"/>
          <w:numId w:val="140"/>
        </w:numPr>
        <w:rPr>
          <w:noProof/>
          <w:lang w:val="en-IE"/>
        </w:rPr>
      </w:pPr>
      <w:r w:rsidRPr="0074663B">
        <w:rPr>
          <w:noProof/>
          <w:lang w:val="en-IE"/>
        </w:rPr>
        <w:t>Rollback plan validation</w:t>
      </w:r>
    </w:p>
    <w:p w14:paraId="3F75946F" w14:textId="77777777" w:rsidR="00FC22F9" w:rsidRPr="00FC22F9" w:rsidRDefault="00FC22F9" w:rsidP="00FC22F9">
      <w:pPr>
        <w:rPr>
          <w:noProof/>
          <w:lang w:val="en-IE"/>
        </w:rPr>
      </w:pPr>
      <w:r w:rsidRPr="00FC22F9">
        <w:rPr>
          <w:noProof/>
          <w:lang w:val="en-IE"/>
        </w:rPr>
        <w:t>The main obstacles in this phase entail usually the test coverage and the responsiveness of the application in extreme conditions. Another key aspect is that the targeted application must mirror in functional terms the migrated one so there has to be a parallel run of both applications for a certain period of time in order to define errors before it goes into production.</w:t>
      </w:r>
    </w:p>
    <w:p w14:paraId="1CCC38AC" w14:textId="77777777" w:rsidR="00FC22F9" w:rsidRPr="00FC22F9" w:rsidRDefault="00FC22F9" w:rsidP="00FC22F9">
      <w:pPr>
        <w:rPr>
          <w:noProof/>
          <w:lang w:val="en-IE"/>
        </w:rPr>
      </w:pPr>
      <w:r w:rsidRPr="00FC22F9">
        <w:rPr>
          <w:noProof/>
          <w:lang w:val="en-IE"/>
        </w:rPr>
        <w:t xml:space="preserve">The outcome of this phase is the test results from the different tests carried out. </w:t>
      </w:r>
    </w:p>
    <w:p w14:paraId="61A6E9DC" w14:textId="77777777" w:rsidR="00FC22F9" w:rsidRDefault="00FC22F9" w:rsidP="00FC22F9">
      <w:pPr>
        <w:rPr>
          <w:noProof/>
          <w:lang w:val="en-IE"/>
        </w:rPr>
      </w:pPr>
      <w:r w:rsidRPr="00FC22F9">
        <w:rPr>
          <w:b/>
          <w:bCs/>
          <w:noProof/>
          <w:lang w:val="en-IE"/>
        </w:rPr>
        <w:t>Phase 6 - Cutover and Switching DNS (one-off adjustment costs):</w:t>
      </w:r>
      <w:r w:rsidRPr="00FC22F9">
        <w:rPr>
          <w:noProof/>
          <w:lang w:val="en-IE"/>
        </w:rPr>
        <w:t xml:space="preserve"> This is the most critical phase as it involves the switching from the ‘old’ environment to the target environment. When going on production, the DNS records are switched, the application health needs to be ensured, and the code is frozen. The definition of a rollback mechanism is also part of this activity.</w:t>
      </w:r>
    </w:p>
    <w:p w14:paraId="206E4BE7" w14:textId="0DF0C5CB" w:rsidR="0051776C" w:rsidRDefault="0051776C" w:rsidP="00FC22F9">
      <w:pPr>
        <w:rPr>
          <w:noProof/>
          <w:lang w:val="en-IE"/>
        </w:rPr>
      </w:pPr>
      <w:r>
        <w:rPr>
          <w:noProof/>
          <w:lang w:val="en-IE"/>
        </w:rPr>
        <w:t>The tasks included under this phase are:</w:t>
      </w:r>
    </w:p>
    <w:p w14:paraId="43B21A48" w14:textId="501EF35A" w:rsidR="0051776C" w:rsidRPr="0051776C" w:rsidRDefault="0051776C" w:rsidP="003E3396">
      <w:pPr>
        <w:pStyle w:val="ListParagraph"/>
        <w:numPr>
          <w:ilvl w:val="0"/>
          <w:numId w:val="141"/>
        </w:numPr>
        <w:rPr>
          <w:noProof/>
          <w:lang w:val="en-IE"/>
        </w:rPr>
      </w:pPr>
      <w:r w:rsidRPr="0051776C">
        <w:rPr>
          <w:noProof/>
          <w:lang w:val="en-IE"/>
        </w:rPr>
        <w:t xml:space="preserve">DNS / traffic cutover </w:t>
      </w:r>
    </w:p>
    <w:p w14:paraId="22A705E3" w14:textId="76BF7A41" w:rsidR="0051776C" w:rsidRPr="0051776C" w:rsidRDefault="0051776C" w:rsidP="003E3396">
      <w:pPr>
        <w:pStyle w:val="ListParagraph"/>
        <w:numPr>
          <w:ilvl w:val="0"/>
          <w:numId w:val="141"/>
        </w:numPr>
        <w:rPr>
          <w:noProof/>
          <w:lang w:val="en-IE"/>
        </w:rPr>
      </w:pPr>
      <w:r w:rsidRPr="0051776C">
        <w:rPr>
          <w:noProof/>
          <w:lang w:val="en-IE"/>
        </w:rPr>
        <w:t>Final data sync</w:t>
      </w:r>
      <w:r>
        <w:rPr>
          <w:noProof/>
          <w:lang w:val="en-IE"/>
        </w:rPr>
        <w:t>hronization</w:t>
      </w:r>
      <w:r w:rsidRPr="0051776C">
        <w:rPr>
          <w:noProof/>
          <w:lang w:val="en-IE"/>
        </w:rPr>
        <w:t xml:space="preserve"> and delta transfer</w:t>
      </w:r>
    </w:p>
    <w:p w14:paraId="7C99A51C" w14:textId="77777777" w:rsidR="0051776C" w:rsidRPr="0051776C" w:rsidRDefault="0051776C" w:rsidP="003E3396">
      <w:pPr>
        <w:pStyle w:val="ListParagraph"/>
        <w:numPr>
          <w:ilvl w:val="0"/>
          <w:numId w:val="141"/>
        </w:numPr>
        <w:rPr>
          <w:noProof/>
          <w:lang w:val="en-IE"/>
        </w:rPr>
      </w:pPr>
      <w:r w:rsidRPr="0051776C">
        <w:rPr>
          <w:noProof/>
          <w:lang w:val="en-IE"/>
        </w:rPr>
        <w:t>Go live</w:t>
      </w:r>
    </w:p>
    <w:p w14:paraId="2D602699" w14:textId="77777777" w:rsidR="0051776C" w:rsidRPr="0051776C" w:rsidRDefault="0051776C" w:rsidP="003E3396">
      <w:pPr>
        <w:pStyle w:val="ListParagraph"/>
        <w:numPr>
          <w:ilvl w:val="0"/>
          <w:numId w:val="141"/>
        </w:numPr>
        <w:rPr>
          <w:noProof/>
          <w:lang w:val="en-IE"/>
        </w:rPr>
      </w:pPr>
      <w:r w:rsidRPr="0051776C">
        <w:rPr>
          <w:noProof/>
          <w:lang w:val="en-IE"/>
        </w:rPr>
        <w:t>Downtime window management</w:t>
      </w:r>
    </w:p>
    <w:p w14:paraId="09511FAB" w14:textId="5CB58622" w:rsidR="0051776C" w:rsidRPr="0051776C" w:rsidRDefault="0051776C" w:rsidP="003E3396">
      <w:pPr>
        <w:pStyle w:val="ListParagraph"/>
        <w:numPr>
          <w:ilvl w:val="0"/>
          <w:numId w:val="141"/>
        </w:numPr>
        <w:rPr>
          <w:noProof/>
          <w:lang w:val="en-IE"/>
        </w:rPr>
      </w:pPr>
      <w:r w:rsidRPr="0051776C">
        <w:rPr>
          <w:noProof/>
          <w:lang w:val="en-IE"/>
        </w:rPr>
        <w:t>Incident response and hotfixes</w:t>
      </w:r>
    </w:p>
    <w:p w14:paraId="5B6692C8" w14:textId="77777777" w:rsidR="00FC22F9" w:rsidRPr="00FC22F9" w:rsidRDefault="00FC22F9" w:rsidP="00FC22F9">
      <w:pPr>
        <w:rPr>
          <w:noProof/>
          <w:lang w:val="en-IE"/>
        </w:rPr>
      </w:pPr>
      <w:r w:rsidRPr="00FC22F9">
        <w:rPr>
          <w:noProof/>
          <w:lang w:val="en-IE"/>
        </w:rPr>
        <w:t>The challenges of these activities relate to the DNS switching and how stateful sessions are being handled, that is active user sessions could be lost due to the cutover. The outcome of this phase is the application in production.</w:t>
      </w:r>
    </w:p>
    <w:p w14:paraId="0919F826" w14:textId="14E43664" w:rsidR="00FC22F9" w:rsidRDefault="00FC22F9" w:rsidP="00FC22F9">
      <w:pPr>
        <w:rPr>
          <w:noProof/>
          <w:lang w:val="en-IE"/>
        </w:rPr>
      </w:pPr>
      <w:r w:rsidRPr="00FC22F9">
        <w:rPr>
          <w:b/>
          <w:bCs/>
          <w:noProof/>
          <w:lang w:val="en-IE"/>
        </w:rPr>
        <w:t xml:space="preserve">Phase 7 – Post – </w:t>
      </w:r>
      <w:r w:rsidR="00A657CF">
        <w:rPr>
          <w:b/>
          <w:bCs/>
          <w:noProof/>
          <w:lang w:val="en-IE"/>
        </w:rPr>
        <w:t>porting</w:t>
      </w:r>
      <w:r w:rsidRPr="00FC22F9">
        <w:rPr>
          <w:b/>
          <w:bCs/>
          <w:noProof/>
          <w:lang w:val="en-IE"/>
        </w:rPr>
        <w:t xml:space="preserve"> (one-off adjustment costs):</w:t>
      </w:r>
      <w:r w:rsidRPr="00FC22F9">
        <w:rPr>
          <w:noProof/>
          <w:lang w:val="en-IE"/>
        </w:rPr>
        <w:t xml:space="preserve"> After a successful cutover, the source environment will still be running but on standby to identify potential performance problems in production. This parallel run is usually for a certain amount of weeks, for example, 2-4 week</w:t>
      </w:r>
      <w:r w:rsidR="00B16DB0">
        <w:rPr>
          <w:noProof/>
          <w:lang w:val="en-IE"/>
        </w:rPr>
        <w:t>, even if not the whole time</w:t>
      </w:r>
      <w:r w:rsidR="007C60AA">
        <w:rPr>
          <w:noProof/>
          <w:lang w:val="en-IE"/>
        </w:rPr>
        <w:t>.</w:t>
      </w:r>
      <w:r w:rsidRPr="00FC22F9">
        <w:rPr>
          <w:noProof/>
          <w:lang w:val="en-IE"/>
        </w:rPr>
        <w:t xml:space="preserve"> Moreover, this phase covers the decommissioning of resources, the archiving of the source environment configuration for audit purposes </w:t>
      </w:r>
      <w:r w:rsidR="00B16DB0">
        <w:rPr>
          <w:noProof/>
          <w:lang w:val="en-IE"/>
        </w:rPr>
        <w:t xml:space="preserve">and </w:t>
      </w:r>
      <w:r w:rsidR="00F8193F">
        <w:rPr>
          <w:noProof/>
          <w:lang w:val="en-IE"/>
        </w:rPr>
        <w:t xml:space="preserve">the </w:t>
      </w:r>
      <w:r w:rsidR="00F8193F" w:rsidRPr="00FC22F9">
        <w:rPr>
          <w:noProof/>
          <w:lang w:val="en-IE"/>
        </w:rPr>
        <w:t>update</w:t>
      </w:r>
      <w:r w:rsidR="00E46415">
        <w:rPr>
          <w:noProof/>
          <w:lang w:val="en-IE"/>
        </w:rPr>
        <w:t xml:space="preserve"> of</w:t>
      </w:r>
      <w:r w:rsidRPr="00FC22F9">
        <w:rPr>
          <w:noProof/>
          <w:lang w:val="en-IE"/>
        </w:rPr>
        <w:t xml:space="preserve"> the architecture documents. Subscriptions or licenses shall also be annulled. </w:t>
      </w:r>
    </w:p>
    <w:p w14:paraId="3EE81BBA" w14:textId="2AEBC096" w:rsidR="003338A1" w:rsidRDefault="003338A1" w:rsidP="00FC22F9">
      <w:pPr>
        <w:rPr>
          <w:noProof/>
          <w:lang w:val="en-IE"/>
        </w:rPr>
      </w:pPr>
      <w:r>
        <w:rPr>
          <w:noProof/>
          <w:lang w:val="en-IE"/>
        </w:rPr>
        <w:t xml:space="preserve">Under this phase the following activities are </w:t>
      </w:r>
      <w:r w:rsidR="001C4E5A">
        <w:rPr>
          <w:noProof/>
          <w:lang w:val="en-IE"/>
        </w:rPr>
        <w:t>considered</w:t>
      </w:r>
      <w:r>
        <w:rPr>
          <w:noProof/>
          <w:lang w:val="en-IE"/>
        </w:rPr>
        <w:t>:</w:t>
      </w:r>
    </w:p>
    <w:p w14:paraId="235743CC" w14:textId="4AF7750F" w:rsidR="003338A1" w:rsidRPr="003338A1" w:rsidRDefault="003338A1" w:rsidP="003E3396">
      <w:pPr>
        <w:pStyle w:val="ListParagraph"/>
        <w:numPr>
          <w:ilvl w:val="0"/>
          <w:numId w:val="142"/>
        </w:numPr>
        <w:rPr>
          <w:noProof/>
          <w:lang w:val="en-IE"/>
        </w:rPr>
      </w:pPr>
      <w:r w:rsidRPr="003338A1">
        <w:rPr>
          <w:noProof/>
          <w:lang w:val="en-IE"/>
        </w:rPr>
        <w:t>Cost optimization</w:t>
      </w:r>
      <w:r w:rsidR="00473538">
        <w:rPr>
          <w:noProof/>
          <w:lang w:val="en-IE"/>
        </w:rPr>
        <w:t>, performance</w:t>
      </w:r>
      <w:r w:rsidRPr="003338A1">
        <w:rPr>
          <w:noProof/>
          <w:lang w:val="en-IE"/>
        </w:rPr>
        <w:t xml:space="preserve"> and right-sizing</w:t>
      </w:r>
      <w:r w:rsidR="00BE6209">
        <w:rPr>
          <w:noProof/>
          <w:lang w:val="en-IE"/>
        </w:rPr>
        <w:t xml:space="preserve"> (FinOps)</w:t>
      </w:r>
    </w:p>
    <w:p w14:paraId="65D0B7C8" w14:textId="77777777" w:rsidR="003338A1" w:rsidRPr="003338A1" w:rsidRDefault="003338A1" w:rsidP="003E3396">
      <w:pPr>
        <w:pStyle w:val="ListParagraph"/>
        <w:numPr>
          <w:ilvl w:val="0"/>
          <w:numId w:val="142"/>
        </w:numPr>
        <w:rPr>
          <w:noProof/>
          <w:lang w:val="en-IE"/>
        </w:rPr>
      </w:pPr>
      <w:r w:rsidRPr="003338A1">
        <w:rPr>
          <w:noProof/>
          <w:lang w:val="en-IE"/>
        </w:rPr>
        <w:t>Monitoring and alerting setup</w:t>
      </w:r>
    </w:p>
    <w:p w14:paraId="13276939" w14:textId="7C726129" w:rsidR="003338A1" w:rsidRPr="003338A1" w:rsidRDefault="003338A1" w:rsidP="003E3396">
      <w:pPr>
        <w:pStyle w:val="ListParagraph"/>
        <w:numPr>
          <w:ilvl w:val="0"/>
          <w:numId w:val="142"/>
        </w:numPr>
        <w:rPr>
          <w:noProof/>
          <w:lang w:val="en-IE"/>
        </w:rPr>
      </w:pPr>
      <w:r w:rsidRPr="003338A1">
        <w:rPr>
          <w:noProof/>
          <w:lang w:val="en-IE"/>
        </w:rPr>
        <w:t>Old infra</w:t>
      </w:r>
      <w:r>
        <w:rPr>
          <w:noProof/>
          <w:lang w:val="en-IE"/>
        </w:rPr>
        <w:t>structure</w:t>
      </w:r>
      <w:r w:rsidRPr="003338A1">
        <w:rPr>
          <w:noProof/>
          <w:lang w:val="en-IE"/>
        </w:rPr>
        <w:t xml:space="preserve"> decommission</w:t>
      </w:r>
      <w:r>
        <w:rPr>
          <w:noProof/>
          <w:lang w:val="en-IE"/>
        </w:rPr>
        <w:t>ing</w:t>
      </w:r>
    </w:p>
    <w:p w14:paraId="02899D3F" w14:textId="69FC62F5" w:rsidR="003338A1" w:rsidRPr="003338A1" w:rsidRDefault="003338A1" w:rsidP="003E3396">
      <w:pPr>
        <w:pStyle w:val="ListParagraph"/>
        <w:numPr>
          <w:ilvl w:val="0"/>
          <w:numId w:val="142"/>
        </w:numPr>
        <w:rPr>
          <w:noProof/>
          <w:lang w:val="en-IE"/>
        </w:rPr>
      </w:pPr>
      <w:r w:rsidRPr="003338A1">
        <w:rPr>
          <w:noProof/>
          <w:lang w:val="en-IE"/>
        </w:rPr>
        <w:t>Staff training and knowledge transfer</w:t>
      </w:r>
    </w:p>
    <w:p w14:paraId="44517616" w14:textId="3C80122C" w:rsidR="00FC22F9" w:rsidRPr="00FC22F9" w:rsidRDefault="00FC22F9" w:rsidP="00FC22F9">
      <w:pPr>
        <w:rPr>
          <w:noProof/>
          <w:lang w:val="en-IE"/>
        </w:rPr>
      </w:pPr>
      <w:r w:rsidRPr="00FC22F9">
        <w:rPr>
          <w:noProof/>
          <w:lang w:val="en-IE"/>
        </w:rPr>
        <w:t xml:space="preserve">The main challenges include the decommissioning of the source before the rollback window expires risking permanent data loss as well as the engineers who led the </w:t>
      </w:r>
      <w:r w:rsidR="00A657CF">
        <w:rPr>
          <w:noProof/>
          <w:lang w:val="en-IE"/>
        </w:rPr>
        <w:t>porting</w:t>
      </w:r>
      <w:r w:rsidRPr="00FC22F9">
        <w:rPr>
          <w:noProof/>
          <w:lang w:val="en-IE"/>
        </w:rPr>
        <w:t xml:space="preserve"> moving on before the documentation is complete. The outcome of this phase is an application </w:t>
      </w:r>
      <w:r w:rsidR="00E46415">
        <w:rPr>
          <w:noProof/>
          <w:lang w:val="en-IE"/>
        </w:rPr>
        <w:t xml:space="preserve">that is </w:t>
      </w:r>
      <w:r w:rsidRPr="00FC22F9">
        <w:rPr>
          <w:noProof/>
          <w:lang w:val="en-IE"/>
        </w:rPr>
        <w:t>operational.</w:t>
      </w:r>
    </w:p>
    <w:p w14:paraId="4D5FFB2C" w14:textId="0E8F9780" w:rsidR="008E1665" w:rsidRPr="00FC22F9" w:rsidRDefault="00FC22F9" w:rsidP="00FC22F9">
      <w:pPr>
        <w:rPr>
          <w:noProof/>
          <w:lang w:val="en-IE"/>
        </w:rPr>
      </w:pPr>
      <w:r w:rsidRPr="00FC22F9">
        <w:rPr>
          <w:b/>
          <w:bCs/>
          <w:noProof/>
          <w:lang w:val="en-IE"/>
        </w:rPr>
        <w:t>Phase 8 – Operation of the cloud service</w:t>
      </w:r>
      <w:r w:rsidRPr="00FC22F9">
        <w:rPr>
          <w:noProof/>
          <w:lang w:val="en-IE"/>
        </w:rPr>
        <w:t xml:space="preserve"> </w:t>
      </w:r>
      <w:r w:rsidRPr="00FC22F9">
        <w:rPr>
          <w:b/>
          <w:bCs/>
          <w:noProof/>
          <w:lang w:val="en-IE"/>
        </w:rPr>
        <w:t xml:space="preserve">(recurring adjustment); </w:t>
      </w:r>
      <w:r w:rsidRPr="00FC22F9">
        <w:rPr>
          <w:noProof/>
          <w:lang w:val="en-IE"/>
        </w:rPr>
        <w:t xml:space="preserve">This phase includes the operation of the service, including observability, performance optimization, </w:t>
      </w:r>
      <w:r w:rsidR="0020649C">
        <w:rPr>
          <w:noProof/>
          <w:lang w:val="en-IE"/>
        </w:rPr>
        <w:t xml:space="preserve">FinOps, </w:t>
      </w:r>
      <w:r w:rsidRPr="00FC22F9">
        <w:rPr>
          <w:noProof/>
          <w:lang w:val="en-IE"/>
        </w:rPr>
        <w:t>continuous vulnerability assessment, and maintenance of a functional application</w:t>
      </w:r>
      <w:r w:rsidR="0020649C">
        <w:rPr>
          <w:noProof/>
          <w:lang w:val="en-IE"/>
        </w:rPr>
        <w:t xml:space="preserve"> (e.g. correction of bugs but also new features being deployed)</w:t>
      </w:r>
      <w:r w:rsidRPr="00FC22F9">
        <w:rPr>
          <w:noProof/>
          <w:lang w:val="en-IE"/>
        </w:rPr>
        <w:t>.</w:t>
      </w:r>
      <w:r w:rsidR="008E1665">
        <w:rPr>
          <w:noProof/>
          <w:lang w:val="en-IE"/>
        </w:rPr>
        <w:t xml:space="preserve"> </w:t>
      </w:r>
    </w:p>
    <w:p w14:paraId="299E5CE7" w14:textId="1EBE197E" w:rsidR="00FC22F9" w:rsidRPr="003E3396" w:rsidRDefault="00FC22F9" w:rsidP="003E3396">
      <w:pPr>
        <w:pStyle w:val="Heading2"/>
        <w:numPr>
          <w:ilvl w:val="1"/>
          <w:numId w:val="134"/>
        </w:numPr>
        <w:spacing w:after="240"/>
        <w:ind w:hanging="769"/>
        <w:rPr>
          <w:noProof/>
        </w:rPr>
      </w:pPr>
      <w:r w:rsidRPr="003E3396">
        <w:rPr>
          <w:noProof/>
        </w:rPr>
        <w:t xml:space="preserve"> </w:t>
      </w:r>
      <w:bookmarkStart w:id="361" w:name="_Toc228346967"/>
      <w:r w:rsidR="00933D0B">
        <w:rPr>
          <w:noProof/>
        </w:rPr>
        <w:t>Aspects considered for the analysis of costs</w:t>
      </w:r>
      <w:bookmarkEnd w:id="361"/>
    </w:p>
    <w:p w14:paraId="3B5EDA8B" w14:textId="09940058" w:rsidR="00FC22F9" w:rsidRPr="00FC22F9" w:rsidRDefault="00FC22F9" w:rsidP="00FC22F9">
      <w:pPr>
        <w:rPr>
          <w:noProof/>
          <w:lang w:val="en-IE"/>
        </w:rPr>
      </w:pPr>
      <w:r w:rsidRPr="00FC22F9">
        <w:rPr>
          <w:noProof/>
          <w:lang w:val="en-IE"/>
        </w:rPr>
        <w:t xml:space="preserve">Since not all use cases have the same complexity, for this impact analysis three types of applications are assumed: small, mid-sized, large, </w:t>
      </w:r>
      <w:r w:rsidR="0031292A">
        <w:rPr>
          <w:noProof/>
          <w:lang w:val="en-IE"/>
        </w:rPr>
        <w:t xml:space="preserve">as </w:t>
      </w:r>
      <w:r w:rsidRPr="00FC22F9">
        <w:rPr>
          <w:noProof/>
          <w:lang w:val="en-IE"/>
        </w:rPr>
        <w:t xml:space="preserve">described below. The criterion </w:t>
      </w:r>
      <w:r w:rsidR="00A556E1">
        <w:rPr>
          <w:noProof/>
          <w:lang w:val="en-IE"/>
        </w:rPr>
        <w:t xml:space="preserve">are </w:t>
      </w:r>
      <w:r w:rsidRPr="00FC22F9">
        <w:rPr>
          <w:noProof/>
          <w:lang w:val="en-IE"/>
        </w:rPr>
        <w:t xml:space="preserve">industry standard </w:t>
      </w:r>
      <w:r w:rsidR="00A556E1" w:rsidRPr="00FC22F9">
        <w:rPr>
          <w:noProof/>
          <w:lang w:val="en-IE"/>
        </w:rPr>
        <w:t xml:space="preserve">values </w:t>
      </w:r>
      <w:r w:rsidR="003F23B7">
        <w:rPr>
          <w:noProof/>
          <w:lang w:val="en-IE"/>
        </w:rPr>
        <w:t>and were cross referenced with confidential sources</w:t>
      </w:r>
      <w:r w:rsidRPr="00FC22F9">
        <w:rPr>
          <w:noProof/>
          <w:lang w:val="en-IE"/>
        </w:rPr>
        <w:t>:</w:t>
      </w:r>
    </w:p>
    <w:p w14:paraId="40F2CB0E" w14:textId="3BC99E4F" w:rsidR="00FC22F9" w:rsidRDefault="00FC22F9" w:rsidP="00FC22F9">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66</w:t>
      </w:r>
      <w:r>
        <w:rPr>
          <w:b/>
          <w:iCs/>
          <w:noProof/>
          <w:color w:val="000000" w:themeColor="text1"/>
          <w:sz w:val="20"/>
          <w:szCs w:val="18"/>
          <w:lang w:val="en-IE"/>
        </w:rPr>
        <w:fldChar w:fldCharType="end"/>
      </w:r>
      <w:r>
        <w:rPr>
          <w:b/>
          <w:iCs/>
          <w:noProof/>
          <w:color w:val="000000" w:themeColor="text1"/>
          <w:sz w:val="20"/>
          <w:szCs w:val="18"/>
          <w:lang w:val="en-IE"/>
        </w:rPr>
        <w:t>. Application taxonomy</w:t>
      </w:r>
      <w:r w:rsidR="0048096E">
        <w:rPr>
          <w:b/>
          <w:iCs/>
          <w:noProof/>
          <w:color w:val="000000" w:themeColor="text1"/>
          <w:sz w:val="20"/>
          <w:szCs w:val="18"/>
          <w:lang w:val="en-IE"/>
        </w:rPr>
        <w:t xml:space="preserve"> used for this impact analysis</w:t>
      </w:r>
    </w:p>
    <w:tbl>
      <w:tblPr>
        <w:tblW w:w="841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1699"/>
        <w:gridCol w:w="2265"/>
        <w:gridCol w:w="2268"/>
        <w:gridCol w:w="2180"/>
      </w:tblGrid>
      <w:tr w:rsidR="0048096E" w:rsidRPr="00FC22F9" w14:paraId="59F69331" w14:textId="77777777" w:rsidTr="00486935">
        <w:trPr>
          <w:tblHeader/>
        </w:trPr>
        <w:tc>
          <w:tcPr>
            <w:tcW w:w="1699" w:type="dxa"/>
            <w:tcBorders>
              <w:top w:val="single" w:sz="4" w:space="0" w:color="CCCCCC"/>
              <w:left w:val="single" w:sz="4" w:space="0" w:color="CCCCCC"/>
              <w:bottom w:val="single" w:sz="4" w:space="0" w:color="CCCCCC"/>
              <w:right w:val="single" w:sz="4" w:space="0" w:color="CCCCCC"/>
            </w:tcBorders>
            <w:shd w:val="clear" w:color="auto" w:fill="227ACB"/>
            <w:tcMar>
              <w:top w:w="80" w:type="dxa"/>
              <w:left w:w="140" w:type="dxa"/>
              <w:bottom w:w="80" w:type="dxa"/>
              <w:right w:w="140" w:type="dxa"/>
            </w:tcMar>
            <w:hideMark/>
          </w:tcPr>
          <w:p w14:paraId="3D64B9A5" w14:textId="77777777" w:rsidR="00FC22F9" w:rsidRPr="003E3396" w:rsidRDefault="00FC22F9" w:rsidP="003E3396">
            <w:pPr>
              <w:spacing w:after="0"/>
              <w:rPr>
                <w:noProof/>
                <w:color w:val="FFFFFF"/>
                <w:lang w:val="en-IE"/>
              </w:rPr>
            </w:pPr>
            <w:r w:rsidRPr="003E3396">
              <w:rPr>
                <w:b/>
                <w:noProof/>
                <w:color w:val="FFFFFF"/>
                <w:lang w:val="en-IE"/>
              </w:rPr>
              <w:t>Criterion</w:t>
            </w:r>
          </w:p>
        </w:tc>
        <w:tc>
          <w:tcPr>
            <w:tcW w:w="2265" w:type="dxa"/>
            <w:tcBorders>
              <w:top w:val="single" w:sz="4" w:space="0" w:color="CCCCCC"/>
              <w:left w:val="single" w:sz="4" w:space="0" w:color="CCCCCC"/>
              <w:bottom w:val="single" w:sz="4" w:space="0" w:color="CCCCCC"/>
              <w:right w:val="single" w:sz="4" w:space="0" w:color="CCCCCC"/>
            </w:tcBorders>
            <w:shd w:val="clear" w:color="auto" w:fill="227ACB"/>
            <w:tcMar>
              <w:top w:w="80" w:type="dxa"/>
              <w:left w:w="140" w:type="dxa"/>
              <w:bottom w:w="80" w:type="dxa"/>
              <w:right w:w="140" w:type="dxa"/>
            </w:tcMar>
            <w:hideMark/>
          </w:tcPr>
          <w:p w14:paraId="5C32B573" w14:textId="4538089B" w:rsidR="00FC22F9" w:rsidRPr="003E3396" w:rsidRDefault="00FC22F9" w:rsidP="00042528">
            <w:pPr>
              <w:spacing w:after="0"/>
              <w:jc w:val="center"/>
              <w:rPr>
                <w:noProof/>
                <w:color w:val="FFFFFF"/>
                <w:lang w:val="en-IE"/>
              </w:rPr>
            </w:pPr>
            <w:r w:rsidRPr="003E3396">
              <w:rPr>
                <w:b/>
                <w:noProof/>
                <w:color w:val="FFFFFF"/>
                <w:lang w:val="en-IE"/>
              </w:rPr>
              <w:t>Small</w:t>
            </w:r>
            <w:r w:rsidR="00132013">
              <w:rPr>
                <w:b/>
                <w:bCs/>
                <w:noProof/>
                <w:color w:val="FFFFFF"/>
                <w:lang w:val="en-IE"/>
              </w:rPr>
              <w:t xml:space="preserve"> application</w:t>
            </w:r>
          </w:p>
        </w:tc>
        <w:tc>
          <w:tcPr>
            <w:tcW w:w="2268" w:type="dxa"/>
            <w:tcBorders>
              <w:top w:val="single" w:sz="4" w:space="0" w:color="CCCCCC"/>
              <w:left w:val="single" w:sz="4" w:space="0" w:color="CCCCCC"/>
              <w:bottom w:val="single" w:sz="4" w:space="0" w:color="CCCCCC"/>
              <w:right w:val="single" w:sz="4" w:space="0" w:color="CCCCCC"/>
            </w:tcBorders>
            <w:shd w:val="clear" w:color="auto" w:fill="227ACB"/>
            <w:tcMar>
              <w:top w:w="80" w:type="dxa"/>
              <w:left w:w="140" w:type="dxa"/>
              <w:bottom w:w="80" w:type="dxa"/>
              <w:right w:w="140" w:type="dxa"/>
            </w:tcMar>
            <w:hideMark/>
          </w:tcPr>
          <w:p w14:paraId="2067D3B2" w14:textId="3E1F0136" w:rsidR="00FC22F9" w:rsidRPr="003E3396" w:rsidRDefault="00FC22F9" w:rsidP="00042528">
            <w:pPr>
              <w:spacing w:after="0"/>
              <w:jc w:val="center"/>
              <w:rPr>
                <w:noProof/>
                <w:color w:val="FFFFFF"/>
                <w:lang w:val="en-IE"/>
              </w:rPr>
            </w:pPr>
            <w:r w:rsidRPr="003E3396">
              <w:rPr>
                <w:b/>
                <w:noProof/>
                <w:color w:val="FFFFFF"/>
                <w:lang w:val="en-IE"/>
              </w:rPr>
              <w:t>Mid-size</w:t>
            </w:r>
            <w:r w:rsidR="00132013">
              <w:rPr>
                <w:b/>
                <w:bCs/>
                <w:noProof/>
                <w:color w:val="FFFFFF"/>
                <w:lang w:val="en-IE"/>
              </w:rPr>
              <w:t xml:space="preserve"> application</w:t>
            </w:r>
          </w:p>
        </w:tc>
        <w:tc>
          <w:tcPr>
            <w:tcW w:w="2180" w:type="dxa"/>
            <w:tcBorders>
              <w:top w:val="single" w:sz="4" w:space="0" w:color="CCCCCC"/>
              <w:left w:val="single" w:sz="4" w:space="0" w:color="CCCCCC"/>
              <w:bottom w:val="single" w:sz="4" w:space="0" w:color="CCCCCC"/>
              <w:right w:val="single" w:sz="4" w:space="0" w:color="CCCCCC"/>
            </w:tcBorders>
            <w:shd w:val="clear" w:color="auto" w:fill="227ACB"/>
            <w:tcMar>
              <w:top w:w="80" w:type="dxa"/>
              <w:left w:w="140" w:type="dxa"/>
              <w:bottom w:w="80" w:type="dxa"/>
              <w:right w:w="140" w:type="dxa"/>
            </w:tcMar>
            <w:hideMark/>
          </w:tcPr>
          <w:p w14:paraId="4A31221D" w14:textId="7EA1BCA9" w:rsidR="00FC22F9" w:rsidRPr="003E3396" w:rsidRDefault="00FC22F9" w:rsidP="00042528">
            <w:pPr>
              <w:spacing w:after="0"/>
              <w:jc w:val="center"/>
              <w:rPr>
                <w:noProof/>
                <w:color w:val="FFFFFF"/>
                <w:lang w:val="en-IE"/>
              </w:rPr>
            </w:pPr>
            <w:r w:rsidRPr="003E3396">
              <w:rPr>
                <w:b/>
                <w:noProof/>
                <w:color w:val="FFFFFF"/>
                <w:lang w:val="en-IE"/>
              </w:rPr>
              <w:t>Large</w:t>
            </w:r>
            <w:r w:rsidR="00132013">
              <w:rPr>
                <w:b/>
                <w:bCs/>
                <w:noProof/>
                <w:color w:val="FFFFFF"/>
                <w:lang w:val="en-IE"/>
              </w:rPr>
              <w:t xml:space="preserve"> application</w:t>
            </w:r>
          </w:p>
        </w:tc>
      </w:tr>
      <w:tr w:rsidR="000C0792" w:rsidRPr="00FC22F9" w14:paraId="3B4C325E"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379A4C7" w14:textId="77777777" w:rsidR="00FC22F9" w:rsidRPr="00FC22F9" w:rsidRDefault="00FC22F9" w:rsidP="003E3396">
            <w:pPr>
              <w:spacing w:after="0"/>
              <w:rPr>
                <w:b/>
                <w:bCs/>
                <w:noProof/>
                <w:lang w:val="en-IE"/>
              </w:rPr>
            </w:pPr>
            <w:r w:rsidRPr="00FC22F9">
              <w:rPr>
                <w:b/>
                <w:bCs/>
                <w:noProof/>
                <w:lang w:val="en-IE"/>
              </w:rPr>
              <w:t>Code base</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4CB3484C" w14:textId="77777777" w:rsidR="00FC22F9" w:rsidRPr="00FC22F9" w:rsidRDefault="00FC22F9" w:rsidP="003E3396">
            <w:pPr>
              <w:spacing w:after="0"/>
              <w:rPr>
                <w:noProof/>
                <w:lang w:val="en-IE"/>
              </w:rPr>
            </w:pPr>
            <w:r w:rsidRPr="00FC22F9">
              <w:rPr>
                <w:noProof/>
                <w:lang w:val="en-IE"/>
              </w:rPr>
              <w:t>&lt;10k lines, n-tier (cloud-aware), small number of microservices (cloud-native)</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14E97BEE" w14:textId="77777777" w:rsidR="00FC22F9" w:rsidRPr="00FC22F9" w:rsidRDefault="00FC22F9" w:rsidP="003E3396">
            <w:pPr>
              <w:spacing w:after="0"/>
              <w:rPr>
                <w:noProof/>
                <w:lang w:val="en-IE"/>
              </w:rPr>
            </w:pPr>
            <w:r w:rsidRPr="00FC22F9">
              <w:rPr>
                <w:noProof/>
                <w:lang w:val="en-IE"/>
              </w:rPr>
              <w:t>10k – 100k lines, 10 – 20 microservices</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5C4417A6" w14:textId="1153F631" w:rsidR="00FC22F9" w:rsidRPr="00FC22F9" w:rsidRDefault="00FC22F9" w:rsidP="003E3396">
            <w:pPr>
              <w:spacing w:after="0"/>
              <w:rPr>
                <w:noProof/>
                <w:lang w:val="en-IE"/>
              </w:rPr>
            </w:pPr>
            <w:r w:rsidRPr="00FC22F9">
              <w:rPr>
                <w:noProof/>
                <w:lang w:val="en-IE"/>
              </w:rPr>
              <w:t xml:space="preserve">&gt;100k lines, &gt; 20 microservices or </w:t>
            </w:r>
            <w:r w:rsidR="00C1197A">
              <w:rPr>
                <w:noProof/>
                <w:lang w:val="en-IE"/>
              </w:rPr>
              <w:t xml:space="preserve">smaller in number but </w:t>
            </w:r>
            <w:r w:rsidRPr="00FC22F9">
              <w:rPr>
                <w:noProof/>
                <w:lang w:val="en-IE"/>
              </w:rPr>
              <w:t>complex microservices</w:t>
            </w:r>
          </w:p>
        </w:tc>
      </w:tr>
      <w:tr w:rsidR="000C0792" w:rsidRPr="00FC22F9" w14:paraId="20890BAA"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75350BAC" w14:textId="77777777" w:rsidR="00FC22F9" w:rsidRPr="00FC22F9" w:rsidRDefault="00FC22F9" w:rsidP="003E3396">
            <w:pPr>
              <w:spacing w:after="0"/>
              <w:rPr>
                <w:b/>
                <w:bCs/>
                <w:noProof/>
                <w:lang w:val="en-IE"/>
              </w:rPr>
            </w:pPr>
            <w:r w:rsidRPr="00FC22F9">
              <w:rPr>
                <w:b/>
                <w:bCs/>
                <w:noProof/>
                <w:lang w:val="en-IE"/>
              </w:rPr>
              <w:t>Data volume</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0F0DC949" w14:textId="77777777" w:rsidR="00FC22F9" w:rsidRPr="00FC22F9" w:rsidRDefault="00FC22F9" w:rsidP="003E3396">
            <w:pPr>
              <w:spacing w:after="0"/>
              <w:rPr>
                <w:noProof/>
                <w:lang w:val="en-IE"/>
              </w:rPr>
            </w:pPr>
            <w:r w:rsidRPr="00FC22F9">
              <w:rPr>
                <w:noProof/>
                <w:lang w:val="en-IE"/>
              </w:rPr>
              <w:t>&lt; 100 GB</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1EEFBC7B" w14:textId="77777777" w:rsidR="00FC22F9" w:rsidRPr="00FC22F9" w:rsidRDefault="00FC22F9" w:rsidP="003E3396">
            <w:pPr>
              <w:spacing w:after="0"/>
              <w:rPr>
                <w:noProof/>
                <w:lang w:val="en-IE"/>
              </w:rPr>
            </w:pPr>
            <w:r w:rsidRPr="00FC22F9">
              <w:rPr>
                <w:noProof/>
                <w:lang w:val="en-IE"/>
              </w:rPr>
              <w:t>100 GB – 10 TB</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E1E6EAE" w14:textId="3D38F527" w:rsidR="00FC22F9" w:rsidRPr="00FC22F9" w:rsidRDefault="00FC22F9" w:rsidP="003E3396">
            <w:pPr>
              <w:spacing w:after="0"/>
              <w:rPr>
                <w:noProof/>
                <w:lang w:val="en-IE"/>
              </w:rPr>
            </w:pPr>
            <w:r w:rsidRPr="00FC22F9">
              <w:rPr>
                <w:noProof/>
                <w:lang w:val="en-IE"/>
              </w:rPr>
              <w:t xml:space="preserve">10 TB – </w:t>
            </w:r>
            <w:r w:rsidR="00560BAA">
              <w:rPr>
                <w:noProof/>
                <w:lang w:val="en-IE"/>
              </w:rPr>
              <w:t>PB</w:t>
            </w:r>
          </w:p>
        </w:tc>
      </w:tr>
      <w:tr w:rsidR="000C0792" w:rsidRPr="00FC22F9" w14:paraId="71CC32B2"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44913560" w14:textId="77777777" w:rsidR="00FC22F9" w:rsidRPr="00FC22F9" w:rsidRDefault="00FC22F9" w:rsidP="003E3396">
            <w:pPr>
              <w:spacing w:after="0"/>
              <w:rPr>
                <w:b/>
                <w:bCs/>
                <w:noProof/>
                <w:lang w:val="en-IE"/>
              </w:rPr>
            </w:pPr>
            <w:r w:rsidRPr="00FC22F9">
              <w:rPr>
                <w:b/>
                <w:bCs/>
                <w:noProof/>
                <w:lang w:val="en-IE"/>
              </w:rPr>
              <w:t>Third party dependencies</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11B97BB2" w14:textId="77777777" w:rsidR="00FC22F9" w:rsidRPr="00FC22F9" w:rsidRDefault="00FC22F9" w:rsidP="0064196C">
            <w:pPr>
              <w:spacing w:after="0"/>
              <w:jc w:val="left"/>
              <w:rPr>
                <w:noProof/>
                <w:lang w:val="en-IE"/>
              </w:rPr>
            </w:pPr>
            <w:r w:rsidRPr="00FC22F9">
              <w:rPr>
                <w:noProof/>
                <w:lang w:val="en-IE"/>
              </w:rPr>
              <w:t>Few (1-3)</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13CB0AA6" w14:textId="77777777" w:rsidR="00FC22F9" w:rsidRPr="00FC22F9" w:rsidRDefault="00FC22F9" w:rsidP="0064196C">
            <w:pPr>
              <w:spacing w:after="0"/>
              <w:jc w:val="left"/>
              <w:rPr>
                <w:noProof/>
                <w:lang w:val="en-IE"/>
              </w:rPr>
            </w:pPr>
            <w:r w:rsidRPr="00FC22F9">
              <w:rPr>
                <w:noProof/>
                <w:lang w:val="en-IE"/>
              </w:rPr>
              <w:t>Moderate (5 – 15)</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F643182" w14:textId="77777777" w:rsidR="00FC22F9" w:rsidRPr="00FC22F9" w:rsidRDefault="00FC22F9" w:rsidP="0064196C">
            <w:pPr>
              <w:spacing w:after="0"/>
              <w:jc w:val="left"/>
              <w:rPr>
                <w:noProof/>
                <w:lang w:val="en-IE"/>
              </w:rPr>
            </w:pPr>
            <w:r w:rsidRPr="00FC22F9">
              <w:rPr>
                <w:noProof/>
                <w:lang w:val="en-IE"/>
              </w:rPr>
              <w:t>High (&gt;20 or tightly coupled)</w:t>
            </w:r>
          </w:p>
        </w:tc>
      </w:tr>
      <w:tr w:rsidR="000C0792" w:rsidRPr="00FC22F9" w14:paraId="6B85278B"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41C1DB36" w14:textId="77777777" w:rsidR="00FC22F9" w:rsidRPr="00FC22F9" w:rsidRDefault="00FC22F9" w:rsidP="003E3396">
            <w:pPr>
              <w:spacing w:after="0"/>
              <w:rPr>
                <w:b/>
                <w:bCs/>
                <w:noProof/>
                <w:lang w:val="en-IE"/>
              </w:rPr>
            </w:pPr>
            <w:r w:rsidRPr="00FC22F9">
              <w:rPr>
                <w:b/>
                <w:bCs/>
                <w:noProof/>
                <w:lang w:val="en-IE"/>
              </w:rPr>
              <w:t>Users</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45038CE5" w14:textId="77777777" w:rsidR="00FC22F9" w:rsidRPr="00FC22F9" w:rsidRDefault="00FC22F9" w:rsidP="0064196C">
            <w:pPr>
              <w:spacing w:after="0"/>
              <w:jc w:val="left"/>
              <w:rPr>
                <w:noProof/>
                <w:lang w:val="en-IE"/>
              </w:rPr>
            </w:pPr>
            <w:r w:rsidRPr="00FC22F9">
              <w:rPr>
                <w:noProof/>
                <w:lang w:val="en-IE"/>
              </w:rPr>
              <w:t>&lt; 500 users / &lt; 50 concurrent</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344104B5" w14:textId="77777777" w:rsidR="00FC22F9" w:rsidRPr="00FC22F9" w:rsidRDefault="00FC22F9" w:rsidP="0064196C">
            <w:pPr>
              <w:spacing w:after="0"/>
              <w:jc w:val="left"/>
              <w:rPr>
                <w:noProof/>
                <w:lang w:val="en-IE"/>
              </w:rPr>
            </w:pPr>
            <w:r w:rsidRPr="00FC22F9">
              <w:rPr>
                <w:noProof/>
                <w:lang w:val="en-IE"/>
              </w:rPr>
              <w:t>500 – 10,000 users / 50 – 500 concurrent</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3D5E7396" w14:textId="77777777" w:rsidR="00FC22F9" w:rsidRPr="00FC22F9" w:rsidRDefault="00FC22F9" w:rsidP="0064196C">
            <w:pPr>
              <w:spacing w:after="0"/>
              <w:jc w:val="left"/>
              <w:rPr>
                <w:noProof/>
                <w:lang w:val="en-IE"/>
              </w:rPr>
            </w:pPr>
            <w:r w:rsidRPr="00FC22F9">
              <w:rPr>
                <w:noProof/>
                <w:lang w:val="en-IE"/>
              </w:rPr>
              <w:t>&gt; 10,000 users / &gt; 500 concurrent</w:t>
            </w:r>
          </w:p>
        </w:tc>
      </w:tr>
      <w:tr w:rsidR="000C0792" w:rsidRPr="00FC22F9" w14:paraId="5B1E028A"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E4AE878" w14:textId="77777777" w:rsidR="00FC22F9" w:rsidRPr="00FC22F9" w:rsidRDefault="00FC22F9" w:rsidP="003E3396">
            <w:pPr>
              <w:spacing w:after="0"/>
              <w:rPr>
                <w:b/>
                <w:bCs/>
                <w:noProof/>
                <w:lang w:val="en-IE"/>
              </w:rPr>
            </w:pPr>
            <w:r w:rsidRPr="00FC22F9">
              <w:rPr>
                <w:b/>
                <w:bCs/>
                <w:noProof/>
                <w:lang w:val="en-IE"/>
              </w:rPr>
              <w:t>Team size</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4AC52FDD" w14:textId="41FD0EC6" w:rsidR="00FC22F9" w:rsidRPr="00FC22F9" w:rsidRDefault="001264A9" w:rsidP="0064196C">
            <w:pPr>
              <w:spacing w:after="0"/>
              <w:jc w:val="left"/>
              <w:rPr>
                <w:noProof/>
                <w:lang w:val="en-IE"/>
              </w:rPr>
            </w:pPr>
            <w:r>
              <w:rPr>
                <w:noProof/>
                <w:lang w:val="en-IE"/>
              </w:rPr>
              <w:t>Small</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09CA1D43" w14:textId="1E8C6BD2" w:rsidR="00FC22F9" w:rsidRPr="00FC22F9" w:rsidRDefault="001264A9" w:rsidP="0064196C">
            <w:pPr>
              <w:spacing w:after="0"/>
              <w:jc w:val="left"/>
              <w:rPr>
                <w:noProof/>
                <w:lang w:val="en-IE"/>
              </w:rPr>
            </w:pPr>
            <w:r>
              <w:rPr>
                <w:noProof/>
                <w:lang w:val="en-IE"/>
              </w:rPr>
              <w:t>Medium</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29D13D00" w14:textId="49B7448C" w:rsidR="00FC22F9" w:rsidRPr="00FC22F9" w:rsidRDefault="001264A9" w:rsidP="0064196C">
            <w:pPr>
              <w:spacing w:after="0"/>
              <w:jc w:val="left"/>
              <w:rPr>
                <w:noProof/>
                <w:lang w:val="en-IE"/>
              </w:rPr>
            </w:pPr>
            <w:r>
              <w:rPr>
                <w:noProof/>
                <w:lang w:val="en-IE"/>
              </w:rPr>
              <w:t>Large</w:t>
            </w:r>
          </w:p>
        </w:tc>
      </w:tr>
      <w:tr w:rsidR="000C0792" w:rsidRPr="00FC22F9" w14:paraId="25C36E80"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2954444C" w14:textId="4C73139A" w:rsidR="00FC22F9" w:rsidRPr="00FC22F9" w:rsidRDefault="00827656" w:rsidP="003E3396">
            <w:pPr>
              <w:spacing w:after="0"/>
              <w:rPr>
                <w:b/>
                <w:bCs/>
                <w:noProof/>
                <w:lang w:val="en-IE"/>
              </w:rPr>
            </w:pPr>
            <w:r>
              <w:rPr>
                <w:b/>
                <w:bCs/>
                <w:noProof/>
                <w:lang w:val="en-IE"/>
              </w:rPr>
              <w:t xml:space="preserve">Typical Estimated </w:t>
            </w:r>
            <w:r w:rsidR="00FC22F9" w:rsidRPr="00FC22F9">
              <w:rPr>
                <w:b/>
                <w:bCs/>
                <w:noProof/>
                <w:lang w:val="en-IE"/>
              </w:rPr>
              <w:t>Timeline</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20CCDB1F" w14:textId="2FBBBF56" w:rsidR="00FC22F9" w:rsidRPr="00FC22F9" w:rsidRDefault="00BB0E48" w:rsidP="0064196C">
            <w:pPr>
              <w:spacing w:after="0"/>
              <w:jc w:val="left"/>
              <w:rPr>
                <w:noProof/>
                <w:lang w:val="en-IE"/>
              </w:rPr>
            </w:pPr>
            <w:r>
              <w:rPr>
                <w:noProof/>
                <w:lang w:val="en-IE"/>
              </w:rPr>
              <w:t>1 – 3 months</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DFF00FC" w14:textId="0D25C849" w:rsidR="00FC22F9" w:rsidRPr="00FC22F9" w:rsidRDefault="001771F6" w:rsidP="0064196C">
            <w:pPr>
              <w:spacing w:after="0"/>
              <w:jc w:val="left"/>
              <w:rPr>
                <w:noProof/>
                <w:lang w:val="en-IE"/>
              </w:rPr>
            </w:pPr>
            <w:r>
              <w:rPr>
                <w:noProof/>
                <w:lang w:val="en-IE"/>
              </w:rPr>
              <w:t>3</w:t>
            </w:r>
            <w:r w:rsidR="007420D8">
              <w:rPr>
                <w:noProof/>
                <w:lang w:val="en-IE"/>
              </w:rPr>
              <w:t xml:space="preserve"> - </w:t>
            </w:r>
            <w:r>
              <w:rPr>
                <w:noProof/>
                <w:lang w:val="en-IE"/>
              </w:rPr>
              <w:t>9</w:t>
            </w:r>
            <w:r w:rsidR="00FC22F9" w:rsidRPr="00FC22F9">
              <w:rPr>
                <w:noProof/>
                <w:lang w:val="en-IE"/>
              </w:rPr>
              <w:t xml:space="preserve"> months</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6AD5C3BF" w14:textId="5E80149F" w:rsidR="00FC22F9" w:rsidRPr="007420D8" w:rsidRDefault="00B75A86" w:rsidP="0064196C">
            <w:pPr>
              <w:pStyle w:val="ListParagraph"/>
              <w:spacing w:after="0"/>
              <w:ind w:left="0"/>
              <w:jc w:val="left"/>
              <w:rPr>
                <w:noProof/>
                <w:lang w:val="en-IE"/>
              </w:rPr>
            </w:pPr>
            <w:r w:rsidRPr="00FC22F9">
              <w:rPr>
                <w:noProof/>
                <w:lang w:val="en-IE"/>
              </w:rPr>
              <w:t xml:space="preserve">&gt; </w:t>
            </w:r>
            <w:r w:rsidR="001771F6">
              <w:rPr>
                <w:noProof/>
                <w:lang w:val="en-IE"/>
              </w:rPr>
              <w:t>9</w:t>
            </w:r>
            <w:r w:rsidR="0076197D">
              <w:rPr>
                <w:noProof/>
                <w:lang w:val="en-IE"/>
              </w:rPr>
              <w:t xml:space="preserve"> </w:t>
            </w:r>
            <w:r w:rsidR="00FC22F9" w:rsidRPr="007420D8">
              <w:rPr>
                <w:noProof/>
                <w:lang w:val="en-IE"/>
              </w:rPr>
              <w:t>months</w:t>
            </w:r>
          </w:p>
        </w:tc>
      </w:tr>
      <w:tr w:rsidR="000C0792" w:rsidRPr="00FC22F9" w14:paraId="4B864045" w14:textId="77777777" w:rsidTr="00A50404">
        <w:tc>
          <w:tcPr>
            <w:tcW w:w="1699"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5572DE92" w14:textId="77777777" w:rsidR="00FC22F9" w:rsidRPr="00FC22F9" w:rsidRDefault="00FC22F9" w:rsidP="003E3396">
            <w:pPr>
              <w:spacing w:after="0"/>
              <w:rPr>
                <w:b/>
                <w:bCs/>
                <w:noProof/>
                <w:lang w:val="en-IE"/>
              </w:rPr>
            </w:pPr>
            <w:r w:rsidRPr="00FC22F9">
              <w:rPr>
                <w:b/>
                <w:bCs/>
                <w:noProof/>
                <w:lang w:val="en-IE"/>
              </w:rPr>
              <w:t xml:space="preserve">Example application </w:t>
            </w:r>
          </w:p>
        </w:tc>
        <w:tc>
          <w:tcPr>
            <w:tcW w:w="2265"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32D1581D" w14:textId="77777777" w:rsidR="00FC22F9" w:rsidRPr="00FC22F9" w:rsidRDefault="00FC22F9" w:rsidP="0064196C">
            <w:pPr>
              <w:spacing w:after="0"/>
              <w:jc w:val="left"/>
              <w:rPr>
                <w:noProof/>
                <w:lang w:val="en-IE"/>
              </w:rPr>
            </w:pPr>
            <w:r w:rsidRPr="00FC22F9">
              <w:rPr>
                <w:noProof/>
                <w:lang w:val="en-IE"/>
              </w:rPr>
              <w:t>Internal tool / Small application</w:t>
            </w:r>
          </w:p>
        </w:tc>
        <w:tc>
          <w:tcPr>
            <w:tcW w:w="2268"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242E188B" w14:textId="77777777" w:rsidR="00FC22F9" w:rsidRPr="00FC22F9" w:rsidRDefault="00FC22F9" w:rsidP="0064196C">
            <w:pPr>
              <w:spacing w:after="0"/>
              <w:jc w:val="left"/>
              <w:rPr>
                <w:noProof/>
                <w:lang w:val="en-IE"/>
              </w:rPr>
            </w:pPr>
            <w:r w:rsidRPr="00FC22F9">
              <w:rPr>
                <w:noProof/>
                <w:lang w:val="en-IE"/>
              </w:rPr>
              <w:t>Departmental</w:t>
            </w:r>
          </w:p>
        </w:tc>
        <w:tc>
          <w:tcPr>
            <w:tcW w:w="21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hideMark/>
          </w:tcPr>
          <w:p w14:paraId="17705554" w14:textId="77777777" w:rsidR="00FC22F9" w:rsidRPr="00FC22F9" w:rsidRDefault="00FC22F9" w:rsidP="0064196C">
            <w:pPr>
              <w:spacing w:after="0"/>
              <w:jc w:val="left"/>
              <w:rPr>
                <w:noProof/>
                <w:lang w:val="en-IE"/>
              </w:rPr>
            </w:pPr>
            <w:r w:rsidRPr="00FC22F9">
              <w:rPr>
                <w:noProof/>
                <w:lang w:val="en-IE"/>
              </w:rPr>
              <w:t>Heavy stakeholder based, such as healthcare applications</w:t>
            </w:r>
          </w:p>
        </w:tc>
      </w:tr>
    </w:tbl>
    <w:p w14:paraId="5E79ECEF" w14:textId="0864683C" w:rsidR="00F44654" w:rsidRDefault="0026417D" w:rsidP="00195150">
      <w:pPr>
        <w:rPr>
          <w:noProof/>
          <w:lang w:val="en-IE"/>
        </w:rPr>
      </w:pPr>
      <w:r w:rsidRPr="0026417D">
        <w:rPr>
          <w:noProof/>
          <w:lang w:val="en-IE"/>
        </w:rPr>
        <w:t xml:space="preserve">As noted above, reliable data on the cost of porting or migrating an application between cloud providers is scarce. This scarcity is structural rather than incidental: each </w:t>
      </w:r>
      <w:r w:rsidR="00A657CF">
        <w:rPr>
          <w:noProof/>
          <w:lang w:val="en-IE"/>
        </w:rPr>
        <w:t>porting</w:t>
      </w:r>
      <w:r w:rsidRPr="0026417D">
        <w:rPr>
          <w:noProof/>
          <w:lang w:val="en-IE"/>
        </w:rPr>
        <w:t xml:space="preserve"> project is inherently unique, shaped by how the application was originally architected, the technologies involved, the degree of vendor-specific coupling, and the accumulated technical debt. No two </w:t>
      </w:r>
      <w:r w:rsidR="00A657CF">
        <w:rPr>
          <w:noProof/>
          <w:lang w:val="en-IE"/>
        </w:rPr>
        <w:t>porting</w:t>
      </w:r>
      <w:r w:rsidR="00AA4B44">
        <w:rPr>
          <w:noProof/>
          <w:lang w:val="en-IE"/>
        </w:rPr>
        <w:t xml:space="preserve"> project</w:t>
      </w:r>
      <w:r w:rsidRPr="0026417D">
        <w:rPr>
          <w:noProof/>
          <w:lang w:val="en-IE"/>
        </w:rPr>
        <w:t xml:space="preserve"> present the same cost profile, which makes meaningful generalisation difficult and explains why the literature has not converged on robust benchmarks.</w:t>
      </w:r>
      <w:r>
        <w:rPr>
          <w:noProof/>
          <w:lang w:val="en-IE"/>
        </w:rPr>
        <w:t xml:space="preserve"> </w:t>
      </w:r>
      <w:r w:rsidRPr="0026417D">
        <w:rPr>
          <w:noProof/>
          <w:lang w:val="en-IE"/>
        </w:rPr>
        <w:t xml:space="preserve">The estimates presented </w:t>
      </w:r>
      <w:r w:rsidR="00AD3F97">
        <w:rPr>
          <w:noProof/>
          <w:lang w:val="en-IE"/>
        </w:rPr>
        <w:t>in this section</w:t>
      </w:r>
      <w:r w:rsidRPr="0026417D">
        <w:rPr>
          <w:noProof/>
          <w:lang w:val="en-IE"/>
        </w:rPr>
        <w:t xml:space="preserve"> represent a best-effort attempt to triangulate</w:t>
      </w:r>
      <w:r w:rsidR="00F914A6">
        <w:rPr>
          <w:noProof/>
          <w:lang w:val="en-IE"/>
        </w:rPr>
        <w:t xml:space="preserve"> and structurally aggregate</w:t>
      </w:r>
      <w:r w:rsidRPr="0026417D">
        <w:rPr>
          <w:noProof/>
          <w:lang w:val="en-IE"/>
        </w:rPr>
        <w:t xml:space="preserve"> the limited sources available</w:t>
      </w:r>
      <w:r w:rsidR="0051766A">
        <w:rPr>
          <w:noProof/>
          <w:lang w:val="en-IE"/>
        </w:rPr>
        <w:t xml:space="preserve"> reporting costs</w:t>
      </w:r>
      <w:r w:rsidR="00F44654" w:rsidRPr="00FC22F9">
        <w:rPr>
          <w:noProof/>
          <w:vertAlign w:val="superscript"/>
          <w:lang w:val="en-IE"/>
        </w:rPr>
        <w:footnoteReference w:id="216"/>
      </w:r>
      <w:r w:rsidR="00F44654">
        <w:rPr>
          <w:noProof/>
          <w:lang w:val="en-IE"/>
        </w:rPr>
        <w:t>. These sources follow</w:t>
      </w:r>
      <w:r w:rsidR="0060596A">
        <w:rPr>
          <w:noProof/>
          <w:lang w:val="en-IE"/>
        </w:rPr>
        <w:t xml:space="preserve"> different methodologies</w:t>
      </w:r>
      <w:r w:rsidR="00065EA4">
        <w:rPr>
          <w:noProof/>
          <w:lang w:val="en-IE"/>
        </w:rPr>
        <w:t xml:space="preserve"> </w:t>
      </w:r>
      <w:r w:rsidR="00D31AD5">
        <w:rPr>
          <w:noProof/>
          <w:lang w:val="en-IE"/>
        </w:rPr>
        <w:t xml:space="preserve">– application </w:t>
      </w:r>
      <w:r w:rsidR="00933516">
        <w:rPr>
          <w:noProof/>
          <w:lang w:val="en-IE"/>
        </w:rPr>
        <w:t>size</w:t>
      </w:r>
      <w:r w:rsidR="00794B34">
        <w:rPr>
          <w:noProof/>
          <w:lang w:val="en-IE"/>
        </w:rPr>
        <w:t xml:space="preserve"> count</w:t>
      </w:r>
      <w:r w:rsidR="00933516">
        <w:rPr>
          <w:noProof/>
          <w:lang w:val="en-IE"/>
        </w:rPr>
        <w:t xml:space="preserve"> mapping</w:t>
      </w:r>
      <w:r w:rsidR="00794B34">
        <w:rPr>
          <w:noProof/>
          <w:lang w:val="en-IE"/>
        </w:rPr>
        <w:t>,</w:t>
      </w:r>
      <w:r w:rsidR="00933516">
        <w:rPr>
          <w:noProof/>
          <w:lang w:val="en-IE"/>
        </w:rPr>
        <w:t xml:space="preserve"> </w:t>
      </w:r>
      <w:r w:rsidR="00794B34">
        <w:rPr>
          <w:noProof/>
          <w:lang w:val="en-IE"/>
        </w:rPr>
        <w:t>server of VM count mapping</w:t>
      </w:r>
      <w:r w:rsidR="007F51E3">
        <w:rPr>
          <w:noProof/>
          <w:lang w:val="en-IE"/>
        </w:rPr>
        <w:t xml:space="preserve">, </w:t>
      </w:r>
      <w:r w:rsidR="00A657CF">
        <w:rPr>
          <w:noProof/>
          <w:lang w:val="en-IE"/>
        </w:rPr>
        <w:t>porting</w:t>
      </w:r>
      <w:r w:rsidR="007F51E3">
        <w:rPr>
          <w:noProof/>
          <w:lang w:val="en-IE"/>
        </w:rPr>
        <w:t xml:space="preserve"> strategy </w:t>
      </w:r>
      <w:r w:rsidR="00DE4BE2">
        <w:rPr>
          <w:noProof/>
          <w:lang w:val="en-IE"/>
        </w:rPr>
        <w:t xml:space="preserve">per application type and </w:t>
      </w:r>
      <w:r w:rsidR="000D4CD0">
        <w:rPr>
          <w:noProof/>
          <w:lang w:val="en-IE"/>
        </w:rPr>
        <w:t xml:space="preserve">empirical benchmarks from real world </w:t>
      </w:r>
      <w:r w:rsidR="00D82D2A">
        <w:rPr>
          <w:noProof/>
          <w:lang w:val="en-IE"/>
        </w:rPr>
        <w:t>cloud-to-sovereign cloud</w:t>
      </w:r>
      <w:r w:rsidR="000D4CD0">
        <w:rPr>
          <w:noProof/>
          <w:lang w:val="en-IE"/>
        </w:rPr>
        <w:t xml:space="preserve"> </w:t>
      </w:r>
      <w:r w:rsidR="00A657CF">
        <w:rPr>
          <w:noProof/>
          <w:lang w:val="en-IE"/>
        </w:rPr>
        <w:t>porting</w:t>
      </w:r>
      <w:r w:rsidR="000D4CD0">
        <w:rPr>
          <w:noProof/>
          <w:lang w:val="en-IE"/>
        </w:rPr>
        <w:t xml:space="preserve"> project</w:t>
      </w:r>
      <w:r w:rsidR="00420079">
        <w:rPr>
          <w:noProof/>
          <w:lang w:val="en-IE"/>
        </w:rPr>
        <w:t xml:space="preserve">s </w:t>
      </w:r>
      <w:r w:rsidR="0082642E">
        <w:rPr>
          <w:noProof/>
          <w:lang w:val="en-IE"/>
        </w:rPr>
        <w:t xml:space="preserve">and show certain bias as </w:t>
      </w:r>
      <w:r w:rsidR="00891278">
        <w:rPr>
          <w:noProof/>
          <w:lang w:val="en-IE"/>
        </w:rPr>
        <w:t xml:space="preserve">they are companies that offer </w:t>
      </w:r>
      <w:r w:rsidR="00A657CF">
        <w:rPr>
          <w:noProof/>
          <w:lang w:val="en-IE"/>
        </w:rPr>
        <w:t>porting</w:t>
      </w:r>
      <w:r w:rsidR="0034281E">
        <w:rPr>
          <w:noProof/>
          <w:lang w:val="en-IE"/>
        </w:rPr>
        <w:t xml:space="preserve"> services. Under these considerations,</w:t>
      </w:r>
      <w:r w:rsidR="00394785">
        <w:rPr>
          <w:noProof/>
          <w:lang w:val="en-IE"/>
        </w:rPr>
        <w:t xml:space="preserve"> the structured aggregated ranges </w:t>
      </w:r>
      <w:r w:rsidR="00A85B01">
        <w:rPr>
          <w:noProof/>
          <w:lang w:val="en-IE"/>
        </w:rPr>
        <w:t>of costs for porting applications</w:t>
      </w:r>
      <w:r w:rsidR="000E7297">
        <w:rPr>
          <w:noProof/>
          <w:lang w:val="en-IE"/>
        </w:rPr>
        <w:t>, irrespectively of rehosting, re</w:t>
      </w:r>
      <w:r w:rsidR="00257F2B">
        <w:rPr>
          <w:noProof/>
          <w:lang w:val="en-IE"/>
        </w:rPr>
        <w:t>-</w:t>
      </w:r>
      <w:r w:rsidR="000E7297">
        <w:rPr>
          <w:noProof/>
          <w:lang w:val="en-IE"/>
        </w:rPr>
        <w:t>platforming or refactoring due to the lack of disaggregated data</w:t>
      </w:r>
      <w:r w:rsidR="00A37817">
        <w:rPr>
          <w:noProof/>
          <w:lang w:val="en-IE"/>
        </w:rPr>
        <w:t>, can be considered as follows:</w:t>
      </w:r>
    </w:p>
    <w:p w14:paraId="04DA4B50" w14:textId="1D676B1E" w:rsidR="00314B2E" w:rsidRPr="000E7297" w:rsidRDefault="00314B2E" w:rsidP="003E3396">
      <w:pPr>
        <w:pStyle w:val="ListParagraph"/>
        <w:numPr>
          <w:ilvl w:val="0"/>
          <w:numId w:val="153"/>
        </w:numPr>
        <w:rPr>
          <w:noProof/>
          <w:lang w:val="en-IE"/>
        </w:rPr>
      </w:pPr>
      <w:r w:rsidRPr="000E7297">
        <w:rPr>
          <w:noProof/>
          <w:lang w:val="en-IE"/>
        </w:rPr>
        <w:t xml:space="preserve">Small application: </w:t>
      </w:r>
      <w:r w:rsidR="00FA3709">
        <w:rPr>
          <w:noProof/>
          <w:lang w:val="en-IE"/>
        </w:rPr>
        <w:t>EUR</w:t>
      </w:r>
      <w:r w:rsidR="00FA3709" w:rsidRPr="000E7297">
        <w:rPr>
          <w:noProof/>
          <w:lang w:val="en-IE"/>
        </w:rPr>
        <w:t xml:space="preserve"> </w:t>
      </w:r>
      <w:r w:rsidRPr="000E7297">
        <w:rPr>
          <w:noProof/>
          <w:lang w:val="en-IE"/>
        </w:rPr>
        <w:t xml:space="preserve">20 000 – </w:t>
      </w:r>
      <w:r w:rsidR="00FA3709">
        <w:rPr>
          <w:noProof/>
          <w:lang w:val="en-IE"/>
        </w:rPr>
        <w:t>EUR</w:t>
      </w:r>
      <w:r w:rsidR="00FA3709" w:rsidRPr="000E7297">
        <w:rPr>
          <w:noProof/>
          <w:lang w:val="en-IE"/>
        </w:rPr>
        <w:t xml:space="preserve"> </w:t>
      </w:r>
      <w:r w:rsidRPr="000E7297">
        <w:rPr>
          <w:noProof/>
          <w:lang w:val="en-IE"/>
        </w:rPr>
        <w:t>300 000</w:t>
      </w:r>
    </w:p>
    <w:p w14:paraId="0897622F" w14:textId="4277075E" w:rsidR="00314B2E" w:rsidRPr="000E7297" w:rsidRDefault="001E4BB1" w:rsidP="003E3396">
      <w:pPr>
        <w:pStyle w:val="ListParagraph"/>
        <w:numPr>
          <w:ilvl w:val="0"/>
          <w:numId w:val="153"/>
        </w:numPr>
        <w:rPr>
          <w:noProof/>
          <w:lang w:val="en-IE"/>
        </w:rPr>
      </w:pPr>
      <w:r w:rsidRPr="000E7297">
        <w:rPr>
          <w:noProof/>
          <w:lang w:val="en-IE"/>
        </w:rPr>
        <w:t>Mid-sized</w:t>
      </w:r>
      <w:r w:rsidR="00314B2E" w:rsidRPr="000E7297">
        <w:rPr>
          <w:noProof/>
          <w:lang w:val="en-IE"/>
        </w:rPr>
        <w:t xml:space="preserve"> application: </w:t>
      </w:r>
      <w:r w:rsidR="00FA3709">
        <w:rPr>
          <w:noProof/>
        </w:rPr>
        <w:t>EUR</w:t>
      </w:r>
      <w:r w:rsidR="00FA3709" w:rsidRPr="003E3396">
        <w:rPr>
          <w:noProof/>
        </w:rPr>
        <w:t xml:space="preserve"> </w:t>
      </w:r>
      <w:r w:rsidR="00612CFA" w:rsidRPr="003E3396">
        <w:rPr>
          <w:noProof/>
        </w:rPr>
        <w:t>100 000</w:t>
      </w:r>
      <w:r w:rsidRPr="003E3396">
        <w:rPr>
          <w:noProof/>
        </w:rPr>
        <w:t xml:space="preserve"> </w:t>
      </w:r>
      <w:r w:rsidR="000E7297" w:rsidRPr="000E7297">
        <w:rPr>
          <w:noProof/>
        </w:rPr>
        <w:t xml:space="preserve">– </w:t>
      </w:r>
      <w:r w:rsidR="00FA3709">
        <w:rPr>
          <w:noProof/>
        </w:rPr>
        <w:t>EUR</w:t>
      </w:r>
      <w:r w:rsidR="00FA3709" w:rsidRPr="003E3396">
        <w:rPr>
          <w:noProof/>
        </w:rPr>
        <w:t xml:space="preserve"> </w:t>
      </w:r>
      <w:r w:rsidR="00E76E05" w:rsidRPr="003E3396">
        <w:rPr>
          <w:noProof/>
        </w:rPr>
        <w:t>500 000</w:t>
      </w:r>
    </w:p>
    <w:p w14:paraId="52A02DD1" w14:textId="6B62742B" w:rsidR="00314B2E" w:rsidRPr="000E7297" w:rsidRDefault="00314B2E" w:rsidP="003E3396">
      <w:pPr>
        <w:pStyle w:val="ListParagraph"/>
        <w:numPr>
          <w:ilvl w:val="0"/>
          <w:numId w:val="153"/>
        </w:numPr>
        <w:rPr>
          <w:noProof/>
          <w:lang w:val="en-IE"/>
        </w:rPr>
      </w:pPr>
      <w:r w:rsidRPr="000E7297">
        <w:rPr>
          <w:noProof/>
          <w:lang w:val="en-IE"/>
        </w:rPr>
        <w:t>Large application:</w:t>
      </w:r>
      <w:r w:rsidR="000E7297" w:rsidRPr="000E7297">
        <w:rPr>
          <w:noProof/>
          <w:lang w:val="en-IE"/>
        </w:rPr>
        <w:t xml:space="preserve"> &gt; </w:t>
      </w:r>
      <w:r w:rsidR="00FA3709">
        <w:rPr>
          <w:noProof/>
          <w:lang w:val="en-IE"/>
        </w:rPr>
        <w:t>EUR</w:t>
      </w:r>
      <w:r w:rsidR="00FA3709" w:rsidRPr="000E7297">
        <w:rPr>
          <w:noProof/>
          <w:lang w:val="en-IE"/>
        </w:rPr>
        <w:t xml:space="preserve"> </w:t>
      </w:r>
      <w:r w:rsidR="000E7297" w:rsidRPr="000E7297">
        <w:rPr>
          <w:noProof/>
          <w:lang w:val="en-IE"/>
        </w:rPr>
        <w:t>500 000</w:t>
      </w:r>
    </w:p>
    <w:p w14:paraId="646059A5" w14:textId="3B0F795A" w:rsidR="00195150" w:rsidRDefault="006676AA" w:rsidP="00195150">
      <w:pPr>
        <w:rPr>
          <w:noProof/>
          <w:lang w:val="en-IE"/>
        </w:rPr>
      </w:pPr>
      <w:r>
        <w:rPr>
          <w:noProof/>
          <w:lang w:val="en-IE"/>
        </w:rPr>
        <w:t>Hence, t</w:t>
      </w:r>
      <w:r w:rsidR="0026417D" w:rsidRPr="0026417D">
        <w:rPr>
          <w:noProof/>
          <w:lang w:val="en-IE"/>
        </w:rPr>
        <w:t>hey should be read as informed approximations rather than precise figures.</w:t>
      </w:r>
      <w:r w:rsidR="00B146A5">
        <w:rPr>
          <w:noProof/>
          <w:lang w:val="en-IE"/>
        </w:rPr>
        <w:t xml:space="preserve"> </w:t>
      </w:r>
      <w:r w:rsidR="000E7297">
        <w:rPr>
          <w:noProof/>
          <w:lang w:val="en-IE"/>
        </w:rPr>
        <w:t>However, t</w:t>
      </w:r>
      <w:r w:rsidR="003C73E7">
        <w:rPr>
          <w:noProof/>
          <w:lang w:val="en-IE"/>
        </w:rPr>
        <w:t xml:space="preserve">hese have been </w:t>
      </w:r>
      <w:r w:rsidR="00864069">
        <w:rPr>
          <w:noProof/>
          <w:lang w:val="en-IE"/>
        </w:rPr>
        <w:t>cross-checked with confidential information</w:t>
      </w:r>
      <w:r w:rsidR="00D34EEC">
        <w:rPr>
          <w:noProof/>
          <w:lang w:val="en-IE"/>
        </w:rPr>
        <w:t xml:space="preserve"> </w:t>
      </w:r>
      <w:r w:rsidR="00ED0797">
        <w:rPr>
          <w:noProof/>
          <w:lang w:val="en-IE"/>
        </w:rPr>
        <w:t>on</w:t>
      </w:r>
      <w:r w:rsidR="00C54FCC">
        <w:rPr>
          <w:noProof/>
          <w:lang w:val="en-IE"/>
        </w:rPr>
        <w:t xml:space="preserve"> past and</w:t>
      </w:r>
      <w:r w:rsidR="00ED0797">
        <w:rPr>
          <w:noProof/>
          <w:lang w:val="en-IE"/>
        </w:rPr>
        <w:t xml:space="preserve"> existing re-platform </w:t>
      </w:r>
      <w:r w:rsidR="00A657CF">
        <w:rPr>
          <w:noProof/>
          <w:lang w:val="en-IE"/>
        </w:rPr>
        <w:t>porting</w:t>
      </w:r>
      <w:r w:rsidR="00ED0797">
        <w:rPr>
          <w:noProof/>
          <w:lang w:val="en-IE"/>
        </w:rPr>
        <w:t xml:space="preserve"> project</w:t>
      </w:r>
      <w:r w:rsidR="00C54FCC">
        <w:rPr>
          <w:noProof/>
          <w:lang w:val="en-IE"/>
        </w:rPr>
        <w:t>s</w:t>
      </w:r>
      <w:r w:rsidR="00ED0797">
        <w:rPr>
          <w:noProof/>
          <w:lang w:val="en-IE"/>
        </w:rPr>
        <w:t xml:space="preserve"> in the public sector</w:t>
      </w:r>
      <w:r w:rsidR="00C54FCC">
        <w:rPr>
          <w:noProof/>
          <w:lang w:val="en-IE"/>
        </w:rPr>
        <w:t>. The baseline used are as follows:</w:t>
      </w:r>
      <w:r w:rsidR="002D6988">
        <w:rPr>
          <w:noProof/>
          <w:lang w:val="en-IE"/>
        </w:rPr>
        <w:t xml:space="preserve"> porting a</w:t>
      </w:r>
      <w:r w:rsidR="00C54FCC">
        <w:rPr>
          <w:noProof/>
          <w:lang w:val="en-IE"/>
        </w:rPr>
        <w:t xml:space="preserve"> small </w:t>
      </w:r>
      <w:r w:rsidR="00867A90">
        <w:rPr>
          <w:noProof/>
          <w:lang w:val="en-IE"/>
        </w:rPr>
        <w:t>workload</w:t>
      </w:r>
      <w:r w:rsidR="002D6988">
        <w:rPr>
          <w:noProof/>
          <w:lang w:val="en-IE"/>
        </w:rPr>
        <w:t xml:space="preserve"> </w:t>
      </w:r>
      <w:r w:rsidR="004E0695">
        <w:rPr>
          <w:noProof/>
          <w:lang w:val="en-IE"/>
        </w:rPr>
        <w:t xml:space="preserve">is estimated at a value of </w:t>
      </w:r>
      <w:r w:rsidR="00120BEA">
        <w:rPr>
          <w:noProof/>
          <w:lang w:val="en-IE"/>
        </w:rPr>
        <w:t xml:space="preserve">EUR </w:t>
      </w:r>
      <w:r w:rsidR="004E0695">
        <w:rPr>
          <w:noProof/>
          <w:lang w:val="en-IE"/>
        </w:rPr>
        <w:t xml:space="preserve">20 </w:t>
      </w:r>
      <w:r w:rsidR="00ED74AE">
        <w:rPr>
          <w:noProof/>
          <w:lang w:val="en-IE"/>
        </w:rPr>
        <w:t>000</w:t>
      </w:r>
      <w:r w:rsidR="00867A90">
        <w:rPr>
          <w:noProof/>
          <w:lang w:val="en-IE"/>
        </w:rPr>
        <w:t xml:space="preserve"> -</w:t>
      </w:r>
      <w:r w:rsidR="00ED74AE">
        <w:rPr>
          <w:noProof/>
          <w:lang w:val="en-IE"/>
        </w:rPr>
        <w:t xml:space="preserve"> 50 000,</w:t>
      </w:r>
      <w:r w:rsidR="00120BEA">
        <w:rPr>
          <w:noProof/>
          <w:lang w:val="en-IE"/>
        </w:rPr>
        <w:t xml:space="preserve"> a mid-size application as of around EUR 200 000 while </w:t>
      </w:r>
      <w:r w:rsidR="00867A90">
        <w:rPr>
          <w:noProof/>
          <w:lang w:val="en-IE"/>
        </w:rPr>
        <w:t>the porting of</w:t>
      </w:r>
      <w:r w:rsidR="00120BEA">
        <w:rPr>
          <w:noProof/>
          <w:lang w:val="en-IE"/>
        </w:rPr>
        <w:t xml:space="preserve"> large application is </w:t>
      </w:r>
      <w:r w:rsidR="00ED74AE">
        <w:rPr>
          <w:noProof/>
          <w:lang w:val="en-IE"/>
        </w:rPr>
        <w:t>estimated</w:t>
      </w:r>
      <w:r w:rsidR="00120BEA">
        <w:rPr>
          <w:noProof/>
          <w:lang w:val="en-IE"/>
        </w:rPr>
        <w:t xml:space="preserve"> to cost around </w:t>
      </w:r>
      <w:r w:rsidR="00ED74AE">
        <w:rPr>
          <w:noProof/>
          <w:lang w:val="en-IE"/>
        </w:rPr>
        <w:t xml:space="preserve">EUR </w:t>
      </w:r>
      <w:r w:rsidR="00120BEA">
        <w:rPr>
          <w:noProof/>
          <w:lang w:val="en-IE"/>
        </w:rPr>
        <w:t xml:space="preserve">500 000. In terms of effort, confidential sources report that </w:t>
      </w:r>
      <w:r w:rsidR="0002041E">
        <w:rPr>
          <w:noProof/>
          <w:lang w:val="en-IE"/>
        </w:rPr>
        <w:t>the</w:t>
      </w:r>
      <w:r w:rsidR="00120BEA">
        <w:rPr>
          <w:noProof/>
          <w:lang w:val="en-IE"/>
        </w:rPr>
        <w:t xml:space="preserve"> </w:t>
      </w:r>
      <w:r w:rsidR="00015057">
        <w:rPr>
          <w:noProof/>
          <w:lang w:val="en-IE"/>
        </w:rPr>
        <w:t xml:space="preserve">porting </w:t>
      </w:r>
      <w:r w:rsidR="0002041E">
        <w:rPr>
          <w:noProof/>
          <w:lang w:val="en-IE"/>
        </w:rPr>
        <w:t>of a</w:t>
      </w:r>
      <w:r w:rsidR="00015057">
        <w:rPr>
          <w:noProof/>
          <w:lang w:val="en-IE"/>
        </w:rPr>
        <w:t xml:space="preserve"> </w:t>
      </w:r>
      <w:r w:rsidR="000D5C31">
        <w:rPr>
          <w:noProof/>
          <w:lang w:val="en-IE"/>
        </w:rPr>
        <w:t>large application has been estimated in 1 000 activity days</w:t>
      </w:r>
      <w:r w:rsidR="00195150">
        <w:rPr>
          <w:noProof/>
          <w:lang w:val="en-IE"/>
        </w:rPr>
        <w:t>, which has been taken as benchmark</w:t>
      </w:r>
      <w:r w:rsidR="000D5C31">
        <w:rPr>
          <w:noProof/>
          <w:lang w:val="en-IE"/>
        </w:rPr>
        <w:t>. In this case, this application will not only be moved to another cloud service but will also undergo a</w:t>
      </w:r>
      <w:r w:rsidR="00195150">
        <w:rPr>
          <w:noProof/>
          <w:lang w:val="en-IE"/>
        </w:rPr>
        <w:t>n adaptation of some of the technologies used</w:t>
      </w:r>
      <w:r w:rsidR="00617976">
        <w:rPr>
          <w:noProof/>
          <w:lang w:val="en-IE"/>
        </w:rPr>
        <w:t xml:space="preserve"> such as changing the proprietary web server and data bases for an open source alternative</w:t>
      </w:r>
      <w:r w:rsidR="00195150">
        <w:rPr>
          <w:noProof/>
          <w:lang w:val="en-IE"/>
        </w:rPr>
        <w:t>.</w:t>
      </w:r>
      <w:r w:rsidR="00015057">
        <w:rPr>
          <w:noProof/>
          <w:lang w:val="en-IE"/>
        </w:rPr>
        <w:t xml:space="preserve"> This is also the plausible scenario selected for the modelling for this impact assessment</w:t>
      </w:r>
      <w:r w:rsidR="00323D8B">
        <w:rPr>
          <w:noProof/>
          <w:lang w:val="en-IE"/>
        </w:rPr>
        <w:t>, given that it is the go-to scenario in the majority of the cases.</w:t>
      </w:r>
    </w:p>
    <w:p w14:paraId="0F894D41" w14:textId="24C398B5" w:rsidR="00FC22F9" w:rsidRPr="00FC22F9" w:rsidRDefault="00EF1A0C" w:rsidP="00195150">
      <w:pPr>
        <w:rPr>
          <w:noProof/>
          <w:lang w:val="en-IE"/>
        </w:rPr>
      </w:pPr>
      <w:r>
        <w:rPr>
          <w:noProof/>
          <w:lang w:val="en-IE"/>
        </w:rPr>
        <w:t>The</w:t>
      </w:r>
      <w:r w:rsidR="00AC3163">
        <w:rPr>
          <w:noProof/>
          <w:lang w:val="en-IE"/>
        </w:rPr>
        <w:t xml:space="preserve">re is a rationale behind the distinction of sizes of applications. </w:t>
      </w:r>
      <w:r w:rsidR="00FC22F9" w:rsidRPr="00FC22F9">
        <w:rPr>
          <w:noProof/>
          <w:lang w:val="en-IE"/>
        </w:rPr>
        <w:t xml:space="preserve">The cost gap between </w:t>
      </w:r>
      <w:r w:rsidR="00361DD6">
        <w:rPr>
          <w:noProof/>
          <w:lang w:val="en-IE"/>
        </w:rPr>
        <w:t xml:space="preserve">migrating </w:t>
      </w:r>
      <w:r w:rsidR="00FC22F9" w:rsidRPr="00FC22F9">
        <w:rPr>
          <w:noProof/>
          <w:lang w:val="en-IE"/>
        </w:rPr>
        <w:t>small and large applications is not only just about volume but largely about dependency and architecture complexity. A factor often underestimated in small applications is the refactoring: the code may be small but poorly documented, with a high technical debt. In mid-sized</w:t>
      </w:r>
      <w:r w:rsidR="00AC3163">
        <w:rPr>
          <w:noProof/>
          <w:lang w:val="en-IE"/>
        </w:rPr>
        <w:t xml:space="preserve"> and large applications,</w:t>
      </w:r>
      <w:r w:rsidR="00FC22F9" w:rsidRPr="00FC22F9">
        <w:rPr>
          <w:noProof/>
          <w:lang w:val="en-IE"/>
        </w:rPr>
        <w:t xml:space="preserve"> the challenge </w:t>
      </w:r>
      <w:r w:rsidR="00616CC7">
        <w:rPr>
          <w:noProof/>
          <w:lang w:val="en-IE"/>
        </w:rPr>
        <w:t xml:space="preserve">primarily </w:t>
      </w:r>
      <w:r w:rsidR="00FC22F9" w:rsidRPr="00FC22F9">
        <w:rPr>
          <w:noProof/>
          <w:lang w:val="en-IE"/>
        </w:rPr>
        <w:t xml:space="preserve">remains in the integration points (e.g. APIs, databases), which are the main cost drivers and dominate the complexity. Tightly coupled applications, or a bad designed microservices architecture along with a lack of or </w:t>
      </w:r>
      <w:r w:rsidR="00AC3163">
        <w:rPr>
          <w:noProof/>
          <w:lang w:val="en-IE"/>
        </w:rPr>
        <w:t xml:space="preserve">a </w:t>
      </w:r>
      <w:r w:rsidR="00FC22F9" w:rsidRPr="00FC22F9">
        <w:rPr>
          <w:noProof/>
          <w:lang w:val="en-IE"/>
        </w:rPr>
        <w:t>bad organizational change management process can outrun the technical costs estimate.</w:t>
      </w:r>
    </w:p>
    <w:p w14:paraId="21657C39" w14:textId="660AA79C" w:rsidR="00FC22F9" w:rsidRPr="00FC22F9" w:rsidRDefault="00FC22F9" w:rsidP="00FC22F9">
      <w:pPr>
        <w:rPr>
          <w:noProof/>
          <w:lang w:val="en-IE"/>
        </w:rPr>
      </w:pPr>
      <w:r w:rsidRPr="00FC22F9">
        <w:rPr>
          <w:noProof/>
          <w:lang w:val="en-IE"/>
        </w:rPr>
        <w:t xml:space="preserve">The underlying assumptions </w:t>
      </w:r>
      <w:r w:rsidR="00AC3163">
        <w:rPr>
          <w:noProof/>
          <w:lang w:val="en-IE"/>
        </w:rPr>
        <w:t xml:space="preserve">for the quantification of the costs </w:t>
      </w:r>
      <w:r w:rsidRPr="00FC22F9">
        <w:rPr>
          <w:noProof/>
          <w:lang w:val="en-IE"/>
        </w:rPr>
        <w:t>are detailed next.</w:t>
      </w:r>
    </w:p>
    <w:p w14:paraId="0A888B07" w14:textId="3BB8B13D" w:rsidR="004F5D61" w:rsidRDefault="004F5D61" w:rsidP="004F5D61">
      <w:pPr>
        <w:pStyle w:val="ListParagraph"/>
        <w:numPr>
          <w:ilvl w:val="0"/>
          <w:numId w:val="132"/>
        </w:numPr>
        <w:rPr>
          <w:noProof/>
          <w:lang w:val="en-IE"/>
        </w:rPr>
      </w:pPr>
      <w:r>
        <w:rPr>
          <w:noProof/>
          <w:lang w:val="en-IE"/>
        </w:rPr>
        <w:t xml:space="preserve">The </w:t>
      </w:r>
      <w:r w:rsidRPr="004F5D61">
        <w:rPr>
          <w:noProof/>
          <w:lang w:val="en-IE"/>
        </w:rPr>
        <w:t xml:space="preserve">modelling accounts for the </w:t>
      </w:r>
      <w:r>
        <w:rPr>
          <w:noProof/>
          <w:lang w:val="en-IE"/>
        </w:rPr>
        <w:t>porting of</w:t>
      </w:r>
      <w:r w:rsidR="00157F96">
        <w:rPr>
          <w:noProof/>
          <w:lang w:val="en-IE"/>
        </w:rPr>
        <w:t xml:space="preserve"> an</w:t>
      </w:r>
      <w:r>
        <w:rPr>
          <w:noProof/>
          <w:lang w:val="en-IE"/>
        </w:rPr>
        <w:t xml:space="preserve"> application deployed on</w:t>
      </w:r>
      <w:r w:rsidR="00157F96">
        <w:rPr>
          <w:noProof/>
          <w:lang w:val="en-IE"/>
        </w:rPr>
        <w:t xml:space="preserve"> a</w:t>
      </w:r>
      <w:r>
        <w:rPr>
          <w:noProof/>
          <w:lang w:val="en-IE"/>
        </w:rPr>
        <w:t xml:space="preserve"> VM</w:t>
      </w:r>
      <w:r w:rsidR="00157F96">
        <w:rPr>
          <w:noProof/>
          <w:lang w:val="en-IE"/>
        </w:rPr>
        <w:t xml:space="preserve"> </w:t>
      </w:r>
      <w:r w:rsidR="00157F96" w:rsidRPr="003E3396">
        <w:rPr>
          <w:b/>
          <w:noProof/>
          <w:lang w:val="en-IE"/>
        </w:rPr>
        <w:t>(IaaS to IaaS)</w:t>
      </w:r>
      <w:r w:rsidR="00C13C92">
        <w:rPr>
          <w:noProof/>
          <w:lang w:val="en-IE"/>
        </w:rPr>
        <w:t>, but not</w:t>
      </w:r>
      <w:r w:rsidR="0020201A">
        <w:rPr>
          <w:noProof/>
          <w:lang w:val="en-IE"/>
        </w:rPr>
        <w:t xml:space="preserve"> from PaaS to PaaS or from SaaS to SaaS</w:t>
      </w:r>
      <w:r w:rsidR="00CF6B51">
        <w:rPr>
          <w:noProof/>
          <w:lang w:val="en-IE"/>
        </w:rPr>
        <w:t xml:space="preserve">. While most of the activities may be similar, </w:t>
      </w:r>
      <w:r w:rsidR="00E249BB">
        <w:rPr>
          <w:noProof/>
          <w:lang w:val="en-IE"/>
        </w:rPr>
        <w:t>less literature resources exist in this regard</w:t>
      </w:r>
      <w:r w:rsidR="00A317F0">
        <w:rPr>
          <w:noProof/>
          <w:lang w:val="en-IE"/>
        </w:rPr>
        <w:t>, rendering the estimations highly complicated and uncertain.</w:t>
      </w:r>
    </w:p>
    <w:p w14:paraId="6E05780F" w14:textId="77777777" w:rsidR="00CD4080" w:rsidRDefault="00CD4080" w:rsidP="003E3396">
      <w:pPr>
        <w:pStyle w:val="ListParagraph"/>
        <w:rPr>
          <w:noProof/>
          <w:lang w:val="en-IE"/>
        </w:rPr>
      </w:pPr>
    </w:p>
    <w:p w14:paraId="639D9C17" w14:textId="795A2858" w:rsidR="00CD4080" w:rsidRDefault="00CD4080" w:rsidP="00CD4080">
      <w:pPr>
        <w:pStyle w:val="ListParagraph"/>
        <w:numPr>
          <w:ilvl w:val="0"/>
          <w:numId w:val="132"/>
        </w:numPr>
        <w:rPr>
          <w:noProof/>
          <w:lang w:val="en-IE"/>
        </w:rPr>
      </w:pPr>
      <w:r>
        <w:rPr>
          <w:noProof/>
          <w:lang w:val="en-IE"/>
        </w:rPr>
        <w:t xml:space="preserve">The modelling measures the </w:t>
      </w:r>
      <w:r w:rsidR="00A657CF">
        <w:rPr>
          <w:b/>
          <w:noProof/>
          <w:lang w:val="en-IE"/>
        </w:rPr>
        <w:t>porting</w:t>
      </w:r>
      <w:r w:rsidRPr="003E3396">
        <w:rPr>
          <w:b/>
          <w:noProof/>
          <w:lang w:val="en-IE"/>
        </w:rPr>
        <w:t xml:space="preserve"> costs of moving from a public cloud to a sovereign cloud with sovereignty level 2 </w:t>
      </w:r>
      <w:r w:rsidR="00C43A58">
        <w:rPr>
          <w:b/>
          <w:bCs/>
          <w:noProof/>
          <w:lang w:val="en-IE"/>
        </w:rPr>
        <w:t>– 4.</w:t>
      </w:r>
      <w:r>
        <w:rPr>
          <w:b/>
          <w:noProof/>
          <w:lang w:val="en-IE"/>
        </w:rPr>
        <w:t xml:space="preserve"> </w:t>
      </w:r>
      <w:r>
        <w:rPr>
          <w:noProof/>
          <w:lang w:val="en-IE"/>
        </w:rPr>
        <w:t>The baseline used for the public cloud is AWS eu-central (Frankfurt)</w:t>
      </w:r>
      <w:r w:rsidR="00504E36">
        <w:rPr>
          <w:noProof/>
          <w:lang w:val="en-IE"/>
        </w:rPr>
        <w:t xml:space="preserve"> and used the </w:t>
      </w:r>
      <w:r w:rsidR="00700FF3">
        <w:rPr>
          <w:noProof/>
          <w:lang w:val="en-IE"/>
        </w:rPr>
        <w:t>prices</w:t>
      </w:r>
      <w:r w:rsidR="00504E36">
        <w:rPr>
          <w:noProof/>
          <w:lang w:val="en-IE"/>
        </w:rPr>
        <w:t xml:space="preserve"> provided by the calculator available online at the provider</w:t>
      </w:r>
      <w:r w:rsidR="00700FF3">
        <w:rPr>
          <w:noProof/>
          <w:lang w:val="en-IE"/>
        </w:rPr>
        <w:t>’s site (more details on the instance types selected and their associated costs below)</w:t>
      </w:r>
      <w:r w:rsidR="00893C49">
        <w:rPr>
          <w:noProof/>
          <w:lang w:val="en-IE"/>
        </w:rPr>
        <w:t xml:space="preserve">, with a </w:t>
      </w:r>
      <w:r w:rsidR="00893C49" w:rsidRPr="003F3143">
        <w:rPr>
          <w:b/>
          <w:noProof/>
          <w:lang w:val="en-IE"/>
        </w:rPr>
        <w:t>+5% price premium.</w:t>
      </w:r>
      <w:r w:rsidR="000F3858" w:rsidRPr="003F3143">
        <w:rPr>
          <w:b/>
          <w:noProof/>
          <w:lang w:val="en-IE"/>
        </w:rPr>
        <w:t xml:space="preserve"> Sensitivity analysis is +12%, -10%</w:t>
      </w:r>
      <w:r w:rsidR="00DB7F11">
        <w:rPr>
          <w:rStyle w:val="FootnoteReference"/>
          <w:b/>
          <w:noProof/>
          <w:lang w:val="en-IE"/>
        </w:rPr>
        <w:footnoteReference w:id="217"/>
      </w:r>
      <w:r w:rsidR="000F3858" w:rsidRPr="003F3143">
        <w:rPr>
          <w:b/>
          <w:noProof/>
          <w:lang w:val="en-IE"/>
        </w:rPr>
        <w:t>.</w:t>
      </w:r>
    </w:p>
    <w:p w14:paraId="406F3685" w14:textId="77777777" w:rsidR="009623BF" w:rsidRDefault="009623BF" w:rsidP="003E3396">
      <w:pPr>
        <w:pStyle w:val="ListParagraph"/>
        <w:rPr>
          <w:noProof/>
          <w:lang w:val="en-IE"/>
        </w:rPr>
      </w:pPr>
    </w:p>
    <w:p w14:paraId="1B6049A5" w14:textId="0E27A9AC" w:rsidR="00E655F7" w:rsidRPr="006B491D" w:rsidRDefault="00E655F7" w:rsidP="006B491D">
      <w:pPr>
        <w:pStyle w:val="ListParagraph"/>
        <w:numPr>
          <w:ilvl w:val="0"/>
          <w:numId w:val="132"/>
        </w:numPr>
        <w:rPr>
          <w:noProof/>
          <w:lang w:val="en-IE"/>
        </w:rPr>
      </w:pPr>
      <w:r w:rsidRPr="006B491D">
        <w:rPr>
          <w:noProof/>
          <w:lang w:val="en-IE"/>
        </w:rPr>
        <w:t>The values</w:t>
      </w:r>
      <w:r w:rsidR="00723BAF" w:rsidRPr="006B491D">
        <w:rPr>
          <w:noProof/>
          <w:lang w:val="en-IE"/>
        </w:rPr>
        <w:t xml:space="preserve"> for the costs</w:t>
      </w:r>
      <w:r w:rsidRPr="006B491D">
        <w:rPr>
          <w:noProof/>
          <w:lang w:val="en-IE"/>
        </w:rPr>
        <w:t xml:space="preserve"> are calculated </w:t>
      </w:r>
      <w:r w:rsidR="00723BAF" w:rsidRPr="006B491D">
        <w:rPr>
          <w:noProof/>
          <w:lang w:val="en-IE"/>
        </w:rPr>
        <w:t>considering</w:t>
      </w:r>
      <w:r w:rsidRPr="006B491D">
        <w:rPr>
          <w:noProof/>
          <w:lang w:val="en-IE"/>
        </w:rPr>
        <w:t xml:space="preserve"> a </w:t>
      </w:r>
      <w:r w:rsidRPr="003E3396">
        <w:rPr>
          <w:b/>
          <w:noProof/>
          <w:lang w:val="en-IE"/>
        </w:rPr>
        <w:t xml:space="preserve">manual </w:t>
      </w:r>
      <w:r w:rsidR="00A657CF">
        <w:rPr>
          <w:b/>
          <w:noProof/>
          <w:lang w:val="en-IE"/>
        </w:rPr>
        <w:t>porting</w:t>
      </w:r>
      <w:r w:rsidR="000C4A54" w:rsidRPr="003E3396">
        <w:rPr>
          <w:b/>
          <w:noProof/>
          <w:lang w:val="en-IE"/>
        </w:rPr>
        <w:t xml:space="preserve"> process</w:t>
      </w:r>
      <w:r w:rsidR="000C4A54" w:rsidRPr="006B491D">
        <w:rPr>
          <w:noProof/>
          <w:lang w:val="en-IE"/>
        </w:rPr>
        <w:t xml:space="preserve"> </w:t>
      </w:r>
      <w:r w:rsidR="000C4A54" w:rsidRPr="003E3396">
        <w:rPr>
          <w:b/>
          <w:noProof/>
          <w:lang w:val="en-IE"/>
        </w:rPr>
        <w:t xml:space="preserve">following </w:t>
      </w:r>
      <w:r w:rsidR="00C27A15">
        <w:rPr>
          <w:b/>
          <w:bCs/>
          <w:noProof/>
          <w:lang w:val="en-IE"/>
        </w:rPr>
        <w:t xml:space="preserve">the </w:t>
      </w:r>
      <w:r w:rsidR="000C4A54" w:rsidRPr="003E3396">
        <w:rPr>
          <w:b/>
          <w:noProof/>
          <w:lang w:val="en-IE"/>
        </w:rPr>
        <w:t>traditional software engineering process</w:t>
      </w:r>
      <w:r w:rsidR="000C4A54" w:rsidRPr="006B491D">
        <w:rPr>
          <w:noProof/>
          <w:lang w:val="en-IE"/>
        </w:rPr>
        <w:t>,</w:t>
      </w:r>
      <w:r w:rsidR="002B06DF" w:rsidRPr="006B491D">
        <w:rPr>
          <w:noProof/>
          <w:lang w:val="en-IE"/>
        </w:rPr>
        <w:t xml:space="preserve"> as</w:t>
      </w:r>
      <w:r w:rsidR="00723BAF" w:rsidRPr="006B491D">
        <w:rPr>
          <w:noProof/>
          <w:lang w:val="en-IE"/>
        </w:rPr>
        <w:t>, even if limited, there exist some literature sources</w:t>
      </w:r>
      <w:r w:rsidR="000C4A54" w:rsidRPr="006B491D">
        <w:rPr>
          <w:noProof/>
          <w:lang w:val="en-IE"/>
        </w:rPr>
        <w:t xml:space="preserve"> in this regard</w:t>
      </w:r>
      <w:r w:rsidR="00723BAF" w:rsidRPr="006B491D">
        <w:rPr>
          <w:noProof/>
          <w:lang w:val="en-IE"/>
        </w:rPr>
        <w:t xml:space="preserve">. However, </w:t>
      </w:r>
      <w:r w:rsidR="00DA7F2A" w:rsidRPr="006B491D">
        <w:rPr>
          <w:noProof/>
          <w:lang w:val="en-IE"/>
        </w:rPr>
        <w:t xml:space="preserve">part of this </w:t>
      </w:r>
      <w:r w:rsidR="00A657CF">
        <w:rPr>
          <w:noProof/>
          <w:lang w:val="en-IE"/>
        </w:rPr>
        <w:t>porting</w:t>
      </w:r>
      <w:r w:rsidR="00DA7F2A" w:rsidRPr="006B491D">
        <w:rPr>
          <w:noProof/>
          <w:lang w:val="en-IE"/>
        </w:rPr>
        <w:t xml:space="preserve"> could be performed using </w:t>
      </w:r>
      <w:r w:rsidR="005B6A4C" w:rsidRPr="006B491D">
        <w:rPr>
          <w:noProof/>
          <w:lang w:val="en-IE"/>
        </w:rPr>
        <w:t xml:space="preserve">AI </w:t>
      </w:r>
      <w:r w:rsidR="000C4A54" w:rsidRPr="006B491D">
        <w:rPr>
          <w:noProof/>
          <w:lang w:val="en-IE"/>
        </w:rPr>
        <w:t>automatic code generation, Agentic AI</w:t>
      </w:r>
      <w:r w:rsidR="00DA5204">
        <w:rPr>
          <w:noProof/>
          <w:lang w:val="en-IE"/>
        </w:rPr>
        <w:t xml:space="preserve"> </w:t>
      </w:r>
      <w:r w:rsidR="00D80483">
        <w:rPr>
          <w:rStyle w:val="FootnoteReference"/>
          <w:noProof/>
          <w:lang w:val="en-IE"/>
        </w:rPr>
        <w:footnoteReference w:id="218"/>
      </w:r>
      <w:r w:rsidR="00FD6506">
        <w:rPr>
          <w:noProof/>
          <w:lang w:val="en-IE"/>
        </w:rPr>
        <w:t xml:space="preserve"> </w:t>
      </w:r>
      <w:r w:rsidR="00DA5204">
        <w:rPr>
          <w:rStyle w:val="FootnoteReference"/>
          <w:noProof/>
          <w:lang w:val="en-IE"/>
        </w:rPr>
        <w:footnoteReference w:id="219"/>
      </w:r>
      <w:r w:rsidR="00F97E73">
        <w:rPr>
          <w:noProof/>
          <w:lang w:val="en-IE"/>
        </w:rPr>
        <w:t xml:space="preserve"> </w:t>
      </w:r>
      <w:r w:rsidR="00D5765F">
        <w:rPr>
          <w:rStyle w:val="FootnoteReference"/>
          <w:noProof/>
          <w:lang w:val="en-IE"/>
        </w:rPr>
        <w:footnoteReference w:id="220"/>
      </w:r>
      <w:r w:rsidR="000C4A54" w:rsidRPr="006B491D">
        <w:rPr>
          <w:noProof/>
          <w:lang w:val="en-IE"/>
        </w:rPr>
        <w:t xml:space="preserve"> or low-code</w:t>
      </w:r>
      <w:r w:rsidR="00244B3C">
        <w:rPr>
          <w:noProof/>
          <w:lang w:val="en-IE"/>
        </w:rPr>
        <w:t>-no-code</w:t>
      </w:r>
      <w:r w:rsidR="000C4A54" w:rsidRPr="006B491D">
        <w:rPr>
          <w:noProof/>
          <w:lang w:val="en-IE"/>
        </w:rPr>
        <w:t xml:space="preserve"> platforms</w:t>
      </w:r>
      <w:r w:rsidR="00244B3C">
        <w:rPr>
          <w:rStyle w:val="FootnoteReference"/>
          <w:noProof/>
          <w:lang w:val="en-IE"/>
        </w:rPr>
        <w:footnoteReference w:id="221"/>
      </w:r>
      <w:r w:rsidR="000C4A54" w:rsidRPr="006B491D">
        <w:rPr>
          <w:noProof/>
          <w:lang w:val="en-IE"/>
        </w:rPr>
        <w:t xml:space="preserve"> that could have an impact on the costs. However, given the novelty of </w:t>
      </w:r>
      <w:r w:rsidR="00A21B67" w:rsidRPr="006B491D">
        <w:rPr>
          <w:noProof/>
          <w:lang w:val="en-IE"/>
        </w:rPr>
        <w:t>this technique</w:t>
      </w:r>
      <w:r w:rsidR="00E22F16" w:rsidRPr="006B491D">
        <w:rPr>
          <w:noProof/>
          <w:lang w:val="en-IE"/>
        </w:rPr>
        <w:t xml:space="preserve"> and its incipient use there is, for the time being, scarce literature sources on the </w:t>
      </w:r>
      <w:r w:rsidR="00BD4520" w:rsidRPr="006B491D">
        <w:rPr>
          <w:noProof/>
          <w:lang w:val="en-IE"/>
        </w:rPr>
        <w:t>costs</w:t>
      </w:r>
      <w:r w:rsidR="00FD6506">
        <w:rPr>
          <w:noProof/>
          <w:lang w:val="en-IE"/>
        </w:rPr>
        <w:t xml:space="preserve"> and </w:t>
      </w:r>
      <w:r w:rsidR="00C27A15">
        <w:rPr>
          <w:noProof/>
          <w:lang w:val="en-IE"/>
        </w:rPr>
        <w:t xml:space="preserve">on </w:t>
      </w:r>
      <w:r w:rsidR="00FD6506">
        <w:rPr>
          <w:noProof/>
          <w:lang w:val="en-IE"/>
        </w:rPr>
        <w:t>its re</w:t>
      </w:r>
      <w:r w:rsidR="00C27A15">
        <w:rPr>
          <w:noProof/>
          <w:lang w:val="en-IE"/>
        </w:rPr>
        <w:t>sults in terms of benefits and quality of the source code generated</w:t>
      </w:r>
      <w:r w:rsidR="00DF206F">
        <w:rPr>
          <w:rStyle w:val="FootnoteReference"/>
          <w:noProof/>
          <w:lang w:val="en-IE"/>
        </w:rPr>
        <w:footnoteReference w:id="222"/>
      </w:r>
      <w:r w:rsidR="00DF206F">
        <w:rPr>
          <w:noProof/>
          <w:lang w:val="en-IE"/>
        </w:rPr>
        <w:t>.</w:t>
      </w:r>
    </w:p>
    <w:p w14:paraId="4D5B66BB" w14:textId="77777777" w:rsidR="00FC22F9" w:rsidRPr="00FC22F9" w:rsidRDefault="00FC22F9" w:rsidP="00FC22F9">
      <w:pPr>
        <w:numPr>
          <w:ilvl w:val="0"/>
          <w:numId w:val="132"/>
        </w:numPr>
        <w:rPr>
          <w:noProof/>
          <w:lang w:val="en-IE"/>
        </w:rPr>
      </w:pPr>
      <w:r w:rsidRPr="00FC22F9">
        <w:rPr>
          <w:noProof/>
          <w:lang w:val="en-IE"/>
        </w:rPr>
        <w:t xml:space="preserve">The </w:t>
      </w:r>
      <w:r w:rsidRPr="00FC22F9">
        <w:rPr>
          <w:b/>
          <w:bCs/>
          <w:noProof/>
          <w:lang w:val="en-IE"/>
        </w:rPr>
        <w:t>number of affected public essential entities under NIS2 Annex 1</w:t>
      </w:r>
      <w:r w:rsidRPr="00FC22F9">
        <w:rPr>
          <w:noProof/>
          <w:lang w:val="en-IE"/>
        </w:rPr>
        <w:t xml:space="preserve"> equals to 6 400. However, not all essential entities make a similar use of cloud services. To respond to this situation, the number of essential public entities has been stratified, as depicted next:</w:t>
      </w:r>
    </w:p>
    <w:p w14:paraId="4680ED79" w14:textId="5BAF428B" w:rsidR="00FC22F9" w:rsidRPr="00FC22F9" w:rsidRDefault="00FC22F9" w:rsidP="00FC22F9">
      <w:pPr>
        <w:numPr>
          <w:ilvl w:val="1"/>
          <w:numId w:val="132"/>
        </w:numPr>
        <w:rPr>
          <w:noProof/>
          <w:lang w:val="en-IE"/>
        </w:rPr>
      </w:pPr>
      <w:r w:rsidRPr="003E3396">
        <w:rPr>
          <w:b/>
          <w:noProof/>
          <w:lang w:val="en-IE"/>
        </w:rPr>
        <w:t>High-intensive users of cloud services:</w:t>
      </w:r>
      <w:r w:rsidRPr="00FC22F9">
        <w:rPr>
          <w:noProof/>
          <w:lang w:val="en-IE"/>
        </w:rPr>
        <w:t xml:space="preserve"> under this category fall national administrations that make an important use of cloud services either because they have a large proportion of applications on the cloud (both cloud-aware and cloud-native) or the number of services that are deployed on the cloud are low but make a high intense use of cloud services. An example of this could be the national tax services.</w:t>
      </w:r>
      <w:r w:rsidR="00FF63DF">
        <w:rPr>
          <w:noProof/>
          <w:lang w:val="en-IE"/>
        </w:rPr>
        <w:t xml:space="preserve"> Based on empirical observations on how the EU public sector is structured, the </w:t>
      </w:r>
      <w:r w:rsidR="00BD132E">
        <w:rPr>
          <w:noProof/>
          <w:lang w:val="en-IE"/>
        </w:rPr>
        <w:t>proportion of this type of users is considered as 20%.</w:t>
      </w:r>
    </w:p>
    <w:p w14:paraId="3841281D" w14:textId="4D73E573" w:rsidR="00BD132E" w:rsidRPr="00FC22F9" w:rsidRDefault="00FC22F9" w:rsidP="00BD132E">
      <w:pPr>
        <w:numPr>
          <w:ilvl w:val="1"/>
          <w:numId w:val="132"/>
        </w:numPr>
        <w:rPr>
          <w:noProof/>
          <w:lang w:val="en-IE"/>
        </w:rPr>
      </w:pPr>
      <w:r w:rsidRPr="003E3396">
        <w:rPr>
          <w:b/>
          <w:noProof/>
          <w:lang w:val="en-IE"/>
        </w:rPr>
        <w:t>Medium intensive users of cloud services</w:t>
      </w:r>
      <w:r w:rsidRPr="00FC22F9">
        <w:rPr>
          <w:noProof/>
          <w:lang w:val="en-IE"/>
        </w:rPr>
        <w:t>, which include systems from national ministries that are less intensive in terms of cloud usage and some regional authorities / federal authorities that cover for instance healthcare, or tax services (e.g. Autonomous regions of Spain)</w:t>
      </w:r>
      <w:r w:rsidR="00BD132E">
        <w:rPr>
          <w:noProof/>
          <w:lang w:val="en-IE"/>
        </w:rPr>
        <w:t>. Based on empirical observations on how the EU public sector is structured, the proportion of this type of users is considered as 40%.</w:t>
      </w:r>
    </w:p>
    <w:p w14:paraId="6C3AC3C5" w14:textId="2A536668" w:rsidR="00FC22F9" w:rsidRPr="00FC22F9" w:rsidRDefault="00FC22F9" w:rsidP="00FC22F9">
      <w:pPr>
        <w:numPr>
          <w:ilvl w:val="1"/>
          <w:numId w:val="132"/>
        </w:numPr>
        <w:rPr>
          <w:noProof/>
          <w:lang w:val="en-IE"/>
        </w:rPr>
      </w:pPr>
      <w:r w:rsidRPr="003E3396">
        <w:rPr>
          <w:b/>
          <w:noProof/>
          <w:lang w:val="en-IE"/>
        </w:rPr>
        <w:t>Low-intensive users of cloud services,</w:t>
      </w:r>
      <w:r w:rsidRPr="00FC22F9">
        <w:rPr>
          <w:noProof/>
          <w:lang w:val="en-IE"/>
        </w:rPr>
        <w:t xml:space="preserve"> upon which national ministries with transactional digital public services are included and regional public administrations. It is to be clarified that while the entities that manage water are considered essential services, they are mostly at municipal level, which help reduce the scope.</w:t>
      </w:r>
      <w:r w:rsidR="00BD132E">
        <w:rPr>
          <w:noProof/>
          <w:lang w:val="en-IE"/>
        </w:rPr>
        <w:t xml:space="preserve"> Based on empirical observations on how the EU public sector is structured, the proportion of this type of users is considered as 40%.</w:t>
      </w:r>
    </w:p>
    <w:p w14:paraId="207DB9DF" w14:textId="55AC487E" w:rsidR="00FC22F9" w:rsidRPr="00FC22F9" w:rsidRDefault="00BD132E" w:rsidP="00FC22F9">
      <w:pPr>
        <w:numPr>
          <w:ilvl w:val="0"/>
          <w:numId w:val="132"/>
        </w:numPr>
        <w:rPr>
          <w:noProof/>
          <w:lang w:val="en-IE"/>
        </w:rPr>
      </w:pPr>
      <w:r>
        <w:rPr>
          <w:noProof/>
          <w:lang w:val="en-IE"/>
        </w:rPr>
        <w:t>The usage of cloud services has been stratified as per the values above.</w:t>
      </w:r>
    </w:p>
    <w:p w14:paraId="4B02D02F" w14:textId="2A12F4A7" w:rsidR="00E80133" w:rsidRPr="00DD258C" w:rsidRDefault="00C4098B" w:rsidP="003E3396">
      <w:pPr>
        <w:numPr>
          <w:ilvl w:val="0"/>
          <w:numId w:val="132"/>
        </w:numPr>
        <w:rPr>
          <w:noProof/>
        </w:rPr>
      </w:pPr>
      <w:r>
        <w:rPr>
          <w:noProof/>
        </w:rPr>
        <w:t>B</w:t>
      </w:r>
      <w:r w:rsidR="00874780">
        <w:rPr>
          <w:noProof/>
        </w:rPr>
        <w:t>ased on discussions with three distinct sets of public stakeholders that represent ~200 public authorities, t</w:t>
      </w:r>
      <w:r w:rsidR="008E13AA">
        <w:rPr>
          <w:noProof/>
        </w:rPr>
        <w:t xml:space="preserve">he essential entities are considered to have </w:t>
      </w:r>
      <w:r w:rsidR="00874780">
        <w:rPr>
          <w:noProof/>
        </w:rPr>
        <w:t xml:space="preserve">each </w:t>
      </w:r>
      <w:r w:rsidR="00E80133">
        <w:rPr>
          <w:noProof/>
        </w:rPr>
        <w:t>1 200 IT services</w:t>
      </w:r>
      <w:r w:rsidR="00427A3F">
        <w:rPr>
          <w:noProof/>
        </w:rPr>
        <w:t>, where 30% of the services are already cloudified and would be effect of a cloud-to-</w:t>
      </w:r>
      <w:r w:rsidR="00D978FE">
        <w:rPr>
          <w:noProof/>
        </w:rPr>
        <w:t xml:space="preserve">cloud </w:t>
      </w:r>
      <w:r w:rsidR="00A657CF">
        <w:rPr>
          <w:noProof/>
        </w:rPr>
        <w:t>porting</w:t>
      </w:r>
      <w:r w:rsidR="00D978FE">
        <w:rPr>
          <w:noProof/>
        </w:rPr>
        <w:t xml:space="preserve">, </w:t>
      </w:r>
      <w:r w:rsidR="00E80133" w:rsidRPr="00DD258C">
        <w:rPr>
          <w:noProof/>
        </w:rPr>
        <w:t>30</w:t>
      </w:r>
      <w:r w:rsidR="00D978FE">
        <w:rPr>
          <w:noProof/>
        </w:rPr>
        <w:t xml:space="preserve">% are </w:t>
      </w:r>
      <w:r w:rsidR="00E80133" w:rsidRPr="00DD258C">
        <w:rPr>
          <w:noProof/>
        </w:rPr>
        <w:t>on-premise</w:t>
      </w:r>
      <w:r w:rsidR="00E80133">
        <w:rPr>
          <w:noProof/>
        </w:rPr>
        <w:t>s</w:t>
      </w:r>
      <w:r w:rsidR="00E80133" w:rsidRPr="00DD258C">
        <w:rPr>
          <w:noProof/>
        </w:rPr>
        <w:t xml:space="preserve"> and </w:t>
      </w:r>
      <w:r w:rsidR="00D978FE">
        <w:rPr>
          <w:noProof/>
        </w:rPr>
        <w:t>will</w:t>
      </w:r>
      <w:r w:rsidR="00E80133" w:rsidRPr="00DD258C">
        <w:rPr>
          <w:noProof/>
        </w:rPr>
        <w:t xml:space="preserve"> be cloudified</w:t>
      </w:r>
      <w:r w:rsidR="00D978FE">
        <w:rPr>
          <w:noProof/>
        </w:rPr>
        <w:t>,</w:t>
      </w:r>
      <w:r w:rsidR="00E80133" w:rsidRPr="00DD258C">
        <w:rPr>
          <w:noProof/>
        </w:rPr>
        <w:t xml:space="preserve"> and </w:t>
      </w:r>
      <w:r w:rsidR="00D978FE">
        <w:rPr>
          <w:noProof/>
        </w:rPr>
        <w:t xml:space="preserve">40% </w:t>
      </w:r>
      <w:r w:rsidR="00E80133" w:rsidRPr="00DD258C">
        <w:rPr>
          <w:noProof/>
        </w:rPr>
        <w:t xml:space="preserve">should remain </w:t>
      </w:r>
      <w:r w:rsidR="00D978FE">
        <w:rPr>
          <w:noProof/>
        </w:rPr>
        <w:t>on premise</w:t>
      </w:r>
      <w:r w:rsidR="00E80133" w:rsidRPr="00DD258C">
        <w:rPr>
          <w:noProof/>
        </w:rPr>
        <w:t xml:space="preserve"> (e.g. legacy systems that are being phased out, very small IT services)</w:t>
      </w:r>
      <w:r w:rsidR="00E80133">
        <w:rPr>
          <w:noProof/>
        </w:rPr>
        <w:t>.</w:t>
      </w:r>
    </w:p>
    <w:p w14:paraId="7A24B13C" w14:textId="01FD1911" w:rsidR="00C4098B" w:rsidRPr="00DD258C" w:rsidRDefault="00C4098B" w:rsidP="003E3396">
      <w:pPr>
        <w:numPr>
          <w:ilvl w:val="0"/>
          <w:numId w:val="132"/>
        </w:numPr>
        <w:rPr>
          <w:noProof/>
        </w:rPr>
      </w:pPr>
      <w:r>
        <w:rPr>
          <w:noProof/>
        </w:rPr>
        <w:t>Based on the discussions mentioned above, the distribution of sovereignty needs resulting from the risk assessment across the public sector are Level 1: 70%, Level 2: 20%, Level 3: 9%, Level 4: 1%.</w:t>
      </w:r>
      <w:r w:rsidRPr="00A86687">
        <w:rPr>
          <w:noProof/>
        </w:rPr>
        <w:t> </w:t>
      </w:r>
    </w:p>
    <w:p w14:paraId="3455A50C" w14:textId="28FFF8C0" w:rsidR="00387201" w:rsidRPr="00DD258C" w:rsidRDefault="00387201" w:rsidP="003E3396">
      <w:pPr>
        <w:numPr>
          <w:ilvl w:val="0"/>
          <w:numId w:val="132"/>
        </w:numPr>
        <w:rPr>
          <w:noProof/>
        </w:rPr>
      </w:pPr>
      <w:r>
        <w:rPr>
          <w:noProof/>
        </w:rPr>
        <w:t xml:space="preserve">The effort to migrate a legacy-to-cloud application is estimated to be 1.5x the effort estimated to port a service from cloud-to-cloud, taking as </w:t>
      </w:r>
      <w:r w:rsidR="002E434B">
        <w:rPr>
          <w:noProof/>
        </w:rPr>
        <w:t xml:space="preserve">baseline </w:t>
      </w:r>
      <w:r>
        <w:rPr>
          <w:noProof/>
        </w:rPr>
        <w:t>the comparison shown in previous sections.</w:t>
      </w:r>
    </w:p>
    <w:p w14:paraId="33261FF7" w14:textId="3457A601" w:rsidR="00FC22F9" w:rsidRPr="00FC22F9" w:rsidRDefault="00FC22F9" w:rsidP="003E3396">
      <w:pPr>
        <w:numPr>
          <w:ilvl w:val="0"/>
          <w:numId w:val="132"/>
        </w:numPr>
        <w:rPr>
          <w:noProof/>
          <w:lang w:val="en-IE"/>
        </w:rPr>
      </w:pPr>
      <w:r w:rsidRPr="00FC22F9">
        <w:rPr>
          <w:noProof/>
          <w:lang w:val="en-IE"/>
        </w:rPr>
        <w:t xml:space="preserve">The ratio of applications in terms of size and types of </w:t>
      </w:r>
      <w:r w:rsidR="00AB5CDC">
        <w:rPr>
          <w:noProof/>
          <w:lang w:val="en-IE"/>
        </w:rPr>
        <w:t xml:space="preserve">cloud intensity </w:t>
      </w:r>
      <w:r w:rsidRPr="00FC22F9">
        <w:rPr>
          <w:noProof/>
          <w:lang w:val="en-IE"/>
        </w:rPr>
        <w:t xml:space="preserve">users is stratified as shown next. The proportion of small, mid-size and large applications </w:t>
      </w:r>
      <w:r w:rsidR="005633CC">
        <w:rPr>
          <w:noProof/>
          <w:lang w:val="en-IE"/>
        </w:rPr>
        <w:t>in the case of</w:t>
      </w:r>
      <w:r w:rsidRPr="00FC22F9">
        <w:rPr>
          <w:noProof/>
          <w:lang w:val="en-IE"/>
        </w:rPr>
        <w:t xml:space="preserve"> high-intensive users of cloud services </w:t>
      </w:r>
      <w:r w:rsidR="005633CC">
        <w:rPr>
          <w:noProof/>
          <w:lang w:val="en-IE"/>
        </w:rPr>
        <w:t>has been obtained</w:t>
      </w:r>
      <w:r w:rsidRPr="00FC22F9">
        <w:rPr>
          <w:noProof/>
          <w:lang w:val="en-IE"/>
        </w:rPr>
        <w:t xml:space="preserve"> from the experience of </w:t>
      </w:r>
      <w:r w:rsidR="00C71A64">
        <w:rPr>
          <w:noProof/>
          <w:lang w:val="en-IE"/>
        </w:rPr>
        <w:t>confidential sources</w:t>
      </w:r>
      <w:r w:rsidRPr="00FC22F9">
        <w:rPr>
          <w:noProof/>
          <w:lang w:val="en-IE"/>
        </w:rPr>
        <w:t>. For medium and low intensive users</w:t>
      </w:r>
      <w:r w:rsidR="00C71A64">
        <w:rPr>
          <w:noProof/>
          <w:lang w:val="en-IE"/>
        </w:rPr>
        <w:t xml:space="preserve"> of cloud services,</w:t>
      </w:r>
      <w:r w:rsidRPr="00FC22F9">
        <w:rPr>
          <w:noProof/>
          <w:lang w:val="en-IE"/>
        </w:rPr>
        <w:t xml:space="preserve"> the values are </w:t>
      </w:r>
      <w:r w:rsidR="00387201">
        <w:rPr>
          <w:noProof/>
          <w:lang w:val="en-IE"/>
        </w:rPr>
        <w:t>estimated</w:t>
      </w:r>
      <w:r w:rsidRPr="00FC22F9">
        <w:rPr>
          <w:noProof/>
          <w:lang w:val="en-IE"/>
        </w:rPr>
        <w:t>, taking as anchor value the</w:t>
      </w:r>
      <w:r w:rsidR="00C375B2">
        <w:rPr>
          <w:noProof/>
          <w:lang w:val="en-IE"/>
        </w:rPr>
        <w:t xml:space="preserve"> potential</w:t>
      </w:r>
      <w:r w:rsidRPr="00FC22F9">
        <w:rPr>
          <w:noProof/>
          <w:lang w:val="en-IE"/>
        </w:rPr>
        <w:t xml:space="preserve"> proportion of large applications</w:t>
      </w:r>
      <w:r w:rsidR="00C375B2">
        <w:rPr>
          <w:noProof/>
          <w:lang w:val="en-IE"/>
        </w:rPr>
        <w:t xml:space="preserve"> </w:t>
      </w:r>
      <w:r w:rsidR="005633CC">
        <w:rPr>
          <w:noProof/>
          <w:lang w:val="en-IE"/>
        </w:rPr>
        <w:t xml:space="preserve">that there could be </w:t>
      </w:r>
      <w:r w:rsidR="00C375B2">
        <w:rPr>
          <w:noProof/>
          <w:lang w:val="en-IE"/>
        </w:rPr>
        <w:t>in each type of entity</w:t>
      </w:r>
      <w:r w:rsidRPr="00FC22F9">
        <w:rPr>
          <w:noProof/>
          <w:lang w:val="en-IE"/>
        </w:rPr>
        <w:t>.</w:t>
      </w:r>
    </w:p>
    <w:p w14:paraId="5021C6C1" w14:textId="1F5BFC64" w:rsidR="00FC22F9" w:rsidRDefault="00FC22F9" w:rsidP="00FC22F9">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67</w:t>
      </w:r>
      <w:r>
        <w:rPr>
          <w:b/>
          <w:iCs/>
          <w:noProof/>
          <w:color w:val="000000" w:themeColor="text1"/>
          <w:sz w:val="20"/>
          <w:szCs w:val="18"/>
          <w:lang w:val="en-IE"/>
        </w:rPr>
        <w:fldChar w:fldCharType="end"/>
      </w:r>
      <w:r>
        <w:rPr>
          <w:b/>
          <w:iCs/>
          <w:noProof/>
          <w:color w:val="000000" w:themeColor="text1"/>
          <w:sz w:val="20"/>
          <w:szCs w:val="18"/>
          <w:lang w:val="en-IE"/>
        </w:rPr>
        <w:t xml:space="preserve">. Distribution of types of users of cloud services in </w:t>
      </w:r>
      <w:r w:rsidR="00472EA7">
        <w:rPr>
          <w:b/>
          <w:iCs/>
          <w:noProof/>
          <w:color w:val="000000" w:themeColor="text1"/>
          <w:sz w:val="20"/>
          <w:szCs w:val="18"/>
          <w:lang w:val="en-IE"/>
        </w:rPr>
        <w:t xml:space="preserve">public </w:t>
      </w:r>
      <w:r>
        <w:rPr>
          <w:b/>
          <w:iCs/>
          <w:noProof/>
          <w:color w:val="000000" w:themeColor="text1"/>
          <w:sz w:val="20"/>
          <w:szCs w:val="18"/>
          <w:lang w:val="en-IE"/>
        </w:rPr>
        <w:t>essential entities operating under NIS2 Annex I (Source: European Commission)</w:t>
      </w:r>
    </w:p>
    <w:tbl>
      <w:tblPr>
        <w:tblW w:w="0" w:type="auto"/>
        <w:tblLook w:val="04A0" w:firstRow="1" w:lastRow="0" w:firstColumn="1" w:lastColumn="0" w:noHBand="0" w:noVBand="1"/>
      </w:tblPr>
      <w:tblGrid>
        <w:gridCol w:w="4395"/>
        <w:gridCol w:w="1134"/>
        <w:gridCol w:w="1134"/>
        <w:gridCol w:w="1093"/>
        <w:gridCol w:w="863"/>
      </w:tblGrid>
      <w:tr w:rsidR="002A7AB5" w:rsidRPr="00FC22F9" w14:paraId="4D0E142C" w14:textId="77777777" w:rsidTr="00F55746">
        <w:trPr>
          <w:trHeight w:val="315"/>
          <w:tblHeader/>
        </w:trPr>
        <w:tc>
          <w:tcPr>
            <w:tcW w:w="4395" w:type="dxa"/>
            <w:tcBorders>
              <w:bottom w:val="single" w:sz="4" w:space="0" w:color="auto"/>
            </w:tcBorders>
            <w:noWrap/>
            <w:hideMark/>
          </w:tcPr>
          <w:p w14:paraId="3AD2CC74" w14:textId="77777777" w:rsidR="00FC22F9" w:rsidRPr="00FC22F9" w:rsidRDefault="00FC22F9" w:rsidP="00FC22F9">
            <w:pPr>
              <w:rPr>
                <w:noProof/>
                <w:lang w:val="en-IE"/>
              </w:rPr>
            </w:pPr>
          </w:p>
        </w:tc>
        <w:tc>
          <w:tcPr>
            <w:tcW w:w="1134" w:type="dxa"/>
            <w:tcBorders>
              <w:bottom w:val="single" w:sz="4" w:space="0" w:color="auto"/>
            </w:tcBorders>
            <w:shd w:val="clear" w:color="auto" w:fill="227ACB"/>
            <w:noWrap/>
            <w:hideMark/>
          </w:tcPr>
          <w:p w14:paraId="43FA5F06" w14:textId="056B585D" w:rsidR="00FC22F9" w:rsidRPr="003E3396" w:rsidRDefault="00FC22F9" w:rsidP="00F55746">
            <w:pPr>
              <w:jc w:val="center"/>
              <w:rPr>
                <w:b/>
                <w:noProof/>
                <w:color w:val="FFFFFF" w:themeColor="background1"/>
                <w:lang w:val="en-IE"/>
              </w:rPr>
            </w:pPr>
            <w:r w:rsidRPr="003E3396">
              <w:rPr>
                <w:b/>
                <w:noProof/>
                <w:color w:val="FFFFFF" w:themeColor="background1"/>
                <w:lang w:val="en-IE"/>
              </w:rPr>
              <w:t>Small</w:t>
            </w:r>
            <w:r w:rsidR="00603FD8">
              <w:rPr>
                <w:b/>
                <w:bCs/>
                <w:noProof/>
                <w:color w:val="FFFFFF" w:themeColor="background1"/>
                <w:lang w:val="en-IE"/>
              </w:rPr>
              <w:t xml:space="preserve"> App</w:t>
            </w:r>
            <w:r w:rsidR="002A7AB5">
              <w:rPr>
                <w:b/>
                <w:bCs/>
                <w:noProof/>
                <w:color w:val="FFFFFF" w:themeColor="background1"/>
                <w:lang w:val="en-IE"/>
              </w:rPr>
              <w:t>.</w:t>
            </w:r>
          </w:p>
        </w:tc>
        <w:tc>
          <w:tcPr>
            <w:tcW w:w="1134" w:type="dxa"/>
            <w:tcBorders>
              <w:bottom w:val="single" w:sz="4" w:space="0" w:color="auto"/>
            </w:tcBorders>
            <w:shd w:val="clear" w:color="auto" w:fill="227ACB"/>
            <w:noWrap/>
            <w:hideMark/>
          </w:tcPr>
          <w:p w14:paraId="771C3DB2" w14:textId="0BEE2B05" w:rsidR="00FC22F9" w:rsidRPr="003E3396" w:rsidRDefault="00FC22F9" w:rsidP="00F55746">
            <w:pPr>
              <w:jc w:val="center"/>
              <w:rPr>
                <w:b/>
                <w:noProof/>
                <w:color w:val="FFFFFF" w:themeColor="background1"/>
                <w:lang w:val="en-IE"/>
              </w:rPr>
            </w:pPr>
            <w:r w:rsidRPr="003E3396">
              <w:rPr>
                <w:b/>
                <w:noProof/>
                <w:color w:val="FFFFFF" w:themeColor="background1"/>
                <w:lang w:val="en-IE"/>
              </w:rPr>
              <w:t>Mid-size</w:t>
            </w:r>
            <w:r w:rsidR="00603FD8">
              <w:rPr>
                <w:b/>
                <w:bCs/>
                <w:noProof/>
                <w:color w:val="FFFFFF" w:themeColor="background1"/>
                <w:lang w:val="en-IE"/>
              </w:rPr>
              <w:t xml:space="preserve"> App</w:t>
            </w:r>
            <w:r w:rsidR="002A7AB5">
              <w:rPr>
                <w:b/>
                <w:bCs/>
                <w:noProof/>
                <w:color w:val="FFFFFF" w:themeColor="background1"/>
                <w:lang w:val="en-IE"/>
              </w:rPr>
              <w:t>.</w:t>
            </w:r>
          </w:p>
        </w:tc>
        <w:tc>
          <w:tcPr>
            <w:tcW w:w="1093" w:type="dxa"/>
            <w:tcBorders>
              <w:bottom w:val="single" w:sz="4" w:space="0" w:color="auto"/>
            </w:tcBorders>
            <w:shd w:val="clear" w:color="auto" w:fill="227ACB"/>
            <w:noWrap/>
            <w:hideMark/>
          </w:tcPr>
          <w:p w14:paraId="1177D1AC" w14:textId="3C72E648" w:rsidR="00FC22F9" w:rsidRPr="003E3396" w:rsidRDefault="00FC22F9" w:rsidP="00F55746">
            <w:pPr>
              <w:jc w:val="center"/>
              <w:rPr>
                <w:b/>
                <w:noProof/>
                <w:color w:val="FFFFFF" w:themeColor="background1"/>
                <w:lang w:val="en-IE"/>
              </w:rPr>
            </w:pPr>
            <w:r w:rsidRPr="003E3396">
              <w:rPr>
                <w:b/>
                <w:noProof/>
                <w:color w:val="FFFFFF" w:themeColor="background1"/>
                <w:lang w:val="en-IE"/>
              </w:rPr>
              <w:t>Large</w:t>
            </w:r>
            <w:r w:rsidR="002A7AB5">
              <w:rPr>
                <w:b/>
                <w:bCs/>
                <w:noProof/>
                <w:color w:val="FFFFFF" w:themeColor="background1"/>
                <w:lang w:val="en-IE"/>
              </w:rPr>
              <w:t xml:space="preserve"> App.</w:t>
            </w:r>
          </w:p>
        </w:tc>
        <w:tc>
          <w:tcPr>
            <w:tcW w:w="863" w:type="dxa"/>
            <w:tcBorders>
              <w:bottom w:val="single" w:sz="4" w:space="0" w:color="auto"/>
            </w:tcBorders>
            <w:shd w:val="clear" w:color="auto" w:fill="227ACB"/>
            <w:noWrap/>
            <w:hideMark/>
          </w:tcPr>
          <w:p w14:paraId="3CB37EA3" w14:textId="77777777" w:rsidR="00FC22F9" w:rsidRPr="003E3396" w:rsidRDefault="00FC22F9" w:rsidP="00F55746">
            <w:pPr>
              <w:jc w:val="center"/>
              <w:rPr>
                <w:b/>
                <w:noProof/>
                <w:color w:val="FFFFFF" w:themeColor="background1"/>
                <w:lang w:val="en-IE"/>
              </w:rPr>
            </w:pPr>
            <w:r w:rsidRPr="003E3396">
              <w:rPr>
                <w:b/>
                <w:noProof/>
                <w:color w:val="FFFFFF" w:themeColor="background1"/>
                <w:lang w:val="en-IE"/>
              </w:rPr>
              <w:t>Total</w:t>
            </w:r>
          </w:p>
        </w:tc>
      </w:tr>
      <w:tr w:rsidR="002A7AB5" w:rsidRPr="00FC22F9" w14:paraId="39CCBD07" w14:textId="77777777" w:rsidTr="00F55746">
        <w:trPr>
          <w:trHeight w:val="300"/>
        </w:trPr>
        <w:tc>
          <w:tcPr>
            <w:tcW w:w="4395" w:type="dxa"/>
            <w:tcBorders>
              <w:top w:val="single" w:sz="4" w:space="0" w:color="auto"/>
              <w:left w:val="single" w:sz="4" w:space="0" w:color="auto"/>
              <w:bottom w:val="single" w:sz="4" w:space="0" w:color="auto"/>
              <w:right w:val="single" w:sz="4" w:space="0" w:color="auto"/>
            </w:tcBorders>
            <w:noWrap/>
            <w:hideMark/>
          </w:tcPr>
          <w:p w14:paraId="3028B779" w14:textId="77777777" w:rsidR="00FC22F9" w:rsidRPr="00FC22F9" w:rsidRDefault="00FC22F9" w:rsidP="00FC22F9">
            <w:pPr>
              <w:rPr>
                <w:b/>
                <w:bCs/>
                <w:noProof/>
                <w:lang w:val="en-IE"/>
              </w:rPr>
            </w:pPr>
            <w:r w:rsidRPr="00FC22F9">
              <w:rPr>
                <w:b/>
                <w:bCs/>
                <w:noProof/>
                <w:lang w:val="en-IE"/>
              </w:rPr>
              <w:t>High intensive users of cloud services</w:t>
            </w:r>
          </w:p>
        </w:tc>
        <w:tc>
          <w:tcPr>
            <w:tcW w:w="1134" w:type="dxa"/>
            <w:tcBorders>
              <w:top w:val="single" w:sz="4" w:space="0" w:color="auto"/>
              <w:left w:val="single" w:sz="4" w:space="0" w:color="auto"/>
              <w:bottom w:val="single" w:sz="4" w:space="0" w:color="auto"/>
              <w:right w:val="single" w:sz="4" w:space="0" w:color="auto"/>
            </w:tcBorders>
            <w:noWrap/>
            <w:hideMark/>
          </w:tcPr>
          <w:p w14:paraId="25136E7B" w14:textId="77777777" w:rsidR="00FC22F9" w:rsidRPr="00FC22F9" w:rsidRDefault="00FC22F9" w:rsidP="00F55746">
            <w:pPr>
              <w:jc w:val="center"/>
              <w:rPr>
                <w:noProof/>
                <w:lang w:val="en-IE"/>
              </w:rPr>
            </w:pPr>
            <w:r w:rsidRPr="00FC22F9">
              <w:rPr>
                <w:noProof/>
                <w:lang w:val="en-IE"/>
              </w:rPr>
              <w:t>50%</w:t>
            </w:r>
          </w:p>
        </w:tc>
        <w:tc>
          <w:tcPr>
            <w:tcW w:w="1134" w:type="dxa"/>
            <w:tcBorders>
              <w:top w:val="single" w:sz="4" w:space="0" w:color="auto"/>
              <w:left w:val="single" w:sz="4" w:space="0" w:color="auto"/>
              <w:bottom w:val="single" w:sz="4" w:space="0" w:color="auto"/>
              <w:right w:val="single" w:sz="4" w:space="0" w:color="auto"/>
            </w:tcBorders>
            <w:noWrap/>
            <w:hideMark/>
          </w:tcPr>
          <w:p w14:paraId="75823022" w14:textId="77777777" w:rsidR="00FC22F9" w:rsidRPr="00FC22F9" w:rsidRDefault="00FC22F9" w:rsidP="00F55746">
            <w:pPr>
              <w:jc w:val="center"/>
              <w:rPr>
                <w:noProof/>
                <w:lang w:val="en-IE"/>
              </w:rPr>
            </w:pPr>
            <w:r w:rsidRPr="00FC22F9">
              <w:rPr>
                <w:noProof/>
                <w:lang w:val="en-IE"/>
              </w:rPr>
              <w:t>45%</w:t>
            </w:r>
          </w:p>
        </w:tc>
        <w:tc>
          <w:tcPr>
            <w:tcW w:w="1093" w:type="dxa"/>
            <w:tcBorders>
              <w:top w:val="single" w:sz="4" w:space="0" w:color="auto"/>
              <w:left w:val="single" w:sz="4" w:space="0" w:color="auto"/>
              <w:bottom w:val="single" w:sz="4" w:space="0" w:color="auto"/>
              <w:right w:val="single" w:sz="4" w:space="0" w:color="auto"/>
            </w:tcBorders>
            <w:noWrap/>
            <w:hideMark/>
          </w:tcPr>
          <w:p w14:paraId="1E7D852F" w14:textId="77777777" w:rsidR="00FC22F9" w:rsidRPr="00FC22F9" w:rsidRDefault="00FC22F9" w:rsidP="00F55746">
            <w:pPr>
              <w:jc w:val="center"/>
              <w:rPr>
                <w:noProof/>
                <w:lang w:val="en-IE"/>
              </w:rPr>
            </w:pPr>
            <w:r w:rsidRPr="00FC22F9">
              <w:rPr>
                <w:noProof/>
                <w:lang w:val="en-IE"/>
              </w:rPr>
              <w:t>5%</w:t>
            </w:r>
          </w:p>
        </w:tc>
        <w:tc>
          <w:tcPr>
            <w:tcW w:w="863" w:type="dxa"/>
            <w:tcBorders>
              <w:top w:val="single" w:sz="4" w:space="0" w:color="auto"/>
              <w:left w:val="single" w:sz="4" w:space="0" w:color="auto"/>
              <w:bottom w:val="single" w:sz="4" w:space="0" w:color="auto"/>
              <w:right w:val="single" w:sz="4" w:space="0" w:color="auto"/>
            </w:tcBorders>
            <w:noWrap/>
            <w:hideMark/>
          </w:tcPr>
          <w:p w14:paraId="506B273A" w14:textId="77777777" w:rsidR="00FC22F9" w:rsidRPr="00FC22F9" w:rsidRDefault="00FC22F9" w:rsidP="00F55746">
            <w:pPr>
              <w:jc w:val="center"/>
              <w:rPr>
                <w:noProof/>
                <w:lang w:val="en-IE"/>
              </w:rPr>
            </w:pPr>
            <w:r w:rsidRPr="00FC22F9">
              <w:rPr>
                <w:noProof/>
                <w:lang w:val="en-IE"/>
              </w:rPr>
              <w:t>100%</w:t>
            </w:r>
          </w:p>
        </w:tc>
      </w:tr>
      <w:tr w:rsidR="002A7AB5" w:rsidRPr="00FC22F9" w14:paraId="7F642A69" w14:textId="77777777" w:rsidTr="00F55746">
        <w:trPr>
          <w:trHeight w:val="300"/>
        </w:trPr>
        <w:tc>
          <w:tcPr>
            <w:tcW w:w="4395" w:type="dxa"/>
            <w:tcBorders>
              <w:top w:val="single" w:sz="4" w:space="0" w:color="auto"/>
              <w:left w:val="single" w:sz="4" w:space="0" w:color="auto"/>
              <w:bottom w:val="single" w:sz="4" w:space="0" w:color="auto"/>
              <w:right w:val="single" w:sz="4" w:space="0" w:color="auto"/>
            </w:tcBorders>
            <w:noWrap/>
            <w:hideMark/>
          </w:tcPr>
          <w:p w14:paraId="7E7C9107" w14:textId="77777777" w:rsidR="00FC22F9" w:rsidRPr="00FC22F9" w:rsidRDefault="00FC22F9" w:rsidP="00FC22F9">
            <w:pPr>
              <w:rPr>
                <w:b/>
                <w:bCs/>
                <w:noProof/>
                <w:lang w:val="en-IE"/>
              </w:rPr>
            </w:pPr>
            <w:r w:rsidRPr="00FC22F9">
              <w:rPr>
                <w:b/>
                <w:bCs/>
                <w:noProof/>
                <w:lang w:val="en-IE"/>
              </w:rPr>
              <w:t>Medium intensive users of cloud services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BD4B16F" w14:textId="77777777" w:rsidR="00FC22F9" w:rsidRPr="00FC22F9" w:rsidRDefault="00FC22F9" w:rsidP="00F55746">
            <w:pPr>
              <w:jc w:val="center"/>
              <w:rPr>
                <w:noProof/>
                <w:lang w:val="en-IE"/>
              </w:rPr>
            </w:pPr>
            <w:r w:rsidRPr="00FC22F9">
              <w:rPr>
                <w:noProof/>
                <w:lang w:val="en-IE"/>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9A79469" w14:textId="77777777" w:rsidR="00FC22F9" w:rsidRPr="00FC22F9" w:rsidRDefault="00FC22F9" w:rsidP="00F55746">
            <w:pPr>
              <w:jc w:val="center"/>
              <w:rPr>
                <w:noProof/>
                <w:lang w:val="en-IE"/>
              </w:rPr>
            </w:pPr>
            <w:r w:rsidRPr="00FC22F9">
              <w:rPr>
                <w:noProof/>
                <w:lang w:val="en-IE"/>
              </w:rPr>
              <w:t>37%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F57CFA" w14:textId="77777777" w:rsidR="00FC22F9" w:rsidRPr="00FC22F9" w:rsidRDefault="00FC22F9" w:rsidP="00F55746">
            <w:pPr>
              <w:jc w:val="center"/>
              <w:rPr>
                <w:noProof/>
                <w:lang w:val="en-IE"/>
              </w:rPr>
            </w:pPr>
            <w:r w:rsidRPr="00FC22F9">
              <w:rPr>
                <w:noProof/>
                <w:lang w:val="en-IE"/>
              </w:rPr>
              <w:t>3%</w:t>
            </w:r>
          </w:p>
        </w:tc>
        <w:tc>
          <w:tcPr>
            <w:tcW w:w="863" w:type="dxa"/>
            <w:tcBorders>
              <w:top w:val="single" w:sz="4" w:space="0" w:color="auto"/>
              <w:left w:val="single" w:sz="4" w:space="0" w:color="auto"/>
              <w:bottom w:val="single" w:sz="4" w:space="0" w:color="auto"/>
              <w:right w:val="single" w:sz="4" w:space="0" w:color="auto"/>
            </w:tcBorders>
            <w:noWrap/>
            <w:hideMark/>
          </w:tcPr>
          <w:p w14:paraId="60C84DF9" w14:textId="77777777" w:rsidR="00FC22F9" w:rsidRPr="00FC22F9" w:rsidRDefault="00FC22F9" w:rsidP="00F55746">
            <w:pPr>
              <w:jc w:val="center"/>
              <w:rPr>
                <w:noProof/>
                <w:lang w:val="en-IE"/>
              </w:rPr>
            </w:pPr>
            <w:r w:rsidRPr="00FC22F9">
              <w:rPr>
                <w:noProof/>
                <w:lang w:val="en-IE"/>
              </w:rPr>
              <w:t>100%</w:t>
            </w:r>
          </w:p>
        </w:tc>
      </w:tr>
      <w:tr w:rsidR="002A7AB5" w:rsidRPr="00FC22F9" w14:paraId="131B40A9" w14:textId="77777777" w:rsidTr="00F55746">
        <w:trPr>
          <w:trHeight w:val="315"/>
        </w:trPr>
        <w:tc>
          <w:tcPr>
            <w:tcW w:w="4395" w:type="dxa"/>
            <w:tcBorders>
              <w:top w:val="single" w:sz="4" w:space="0" w:color="auto"/>
              <w:left w:val="single" w:sz="4" w:space="0" w:color="auto"/>
              <w:bottom w:val="single" w:sz="4" w:space="0" w:color="auto"/>
              <w:right w:val="single" w:sz="4" w:space="0" w:color="auto"/>
            </w:tcBorders>
            <w:noWrap/>
            <w:hideMark/>
          </w:tcPr>
          <w:p w14:paraId="40BBFFFF" w14:textId="77777777" w:rsidR="00FC22F9" w:rsidRPr="00FC22F9" w:rsidRDefault="00FC22F9" w:rsidP="00FC22F9">
            <w:pPr>
              <w:rPr>
                <w:b/>
                <w:bCs/>
                <w:noProof/>
                <w:lang w:val="en-IE"/>
              </w:rPr>
            </w:pPr>
            <w:r w:rsidRPr="00FC22F9">
              <w:rPr>
                <w:b/>
                <w:bCs/>
                <w:noProof/>
                <w:lang w:val="en-IE"/>
              </w:rPr>
              <w:t>Low intensive users of cloud services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58AB3D" w14:textId="77777777" w:rsidR="00FC22F9" w:rsidRPr="00FC22F9" w:rsidRDefault="00FC22F9" w:rsidP="00F55746">
            <w:pPr>
              <w:jc w:val="center"/>
              <w:rPr>
                <w:noProof/>
                <w:lang w:val="en-IE"/>
              </w:rPr>
            </w:pPr>
            <w:r w:rsidRPr="00FC22F9">
              <w:rPr>
                <w:noProof/>
                <w:lang w:val="en-IE"/>
              </w:rPr>
              <w:t>70%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FADEF37" w14:textId="77777777" w:rsidR="00FC22F9" w:rsidRPr="00FC22F9" w:rsidRDefault="00FC22F9" w:rsidP="00F55746">
            <w:pPr>
              <w:jc w:val="center"/>
              <w:rPr>
                <w:noProof/>
                <w:lang w:val="en-IE"/>
              </w:rPr>
            </w:pPr>
            <w:r w:rsidRPr="00FC22F9">
              <w:rPr>
                <w:noProof/>
                <w:lang w:val="en-IE"/>
              </w:rPr>
              <w:t>29%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BF09B0" w14:textId="77777777" w:rsidR="00FC22F9" w:rsidRPr="00FC22F9" w:rsidRDefault="00FC22F9" w:rsidP="00F55746">
            <w:pPr>
              <w:jc w:val="center"/>
              <w:rPr>
                <w:noProof/>
                <w:lang w:val="en-IE"/>
              </w:rPr>
            </w:pPr>
            <w:r w:rsidRPr="00FC22F9">
              <w:rPr>
                <w:noProof/>
                <w:lang w:val="en-IE"/>
              </w:rPr>
              <w:t>1%</w:t>
            </w:r>
          </w:p>
        </w:tc>
        <w:tc>
          <w:tcPr>
            <w:tcW w:w="863" w:type="dxa"/>
            <w:tcBorders>
              <w:top w:val="single" w:sz="4" w:space="0" w:color="auto"/>
              <w:left w:val="single" w:sz="4" w:space="0" w:color="auto"/>
              <w:bottom w:val="single" w:sz="4" w:space="0" w:color="auto"/>
              <w:right w:val="single" w:sz="4" w:space="0" w:color="auto"/>
            </w:tcBorders>
            <w:noWrap/>
            <w:hideMark/>
          </w:tcPr>
          <w:p w14:paraId="01E396C2" w14:textId="77777777" w:rsidR="00FC22F9" w:rsidRPr="00FC22F9" w:rsidRDefault="00FC22F9" w:rsidP="00F55746">
            <w:pPr>
              <w:jc w:val="center"/>
              <w:rPr>
                <w:noProof/>
                <w:lang w:val="en-IE"/>
              </w:rPr>
            </w:pPr>
            <w:r w:rsidRPr="00FC22F9">
              <w:rPr>
                <w:noProof/>
                <w:lang w:val="en-IE"/>
              </w:rPr>
              <w:t>100%</w:t>
            </w:r>
          </w:p>
        </w:tc>
      </w:tr>
    </w:tbl>
    <w:p w14:paraId="178C3F02" w14:textId="77777777" w:rsidR="00FC22F9" w:rsidRPr="00FC22F9" w:rsidRDefault="00FC22F9" w:rsidP="00FC22F9">
      <w:pPr>
        <w:rPr>
          <w:noProof/>
          <w:lang w:val="en-IE"/>
        </w:rPr>
      </w:pPr>
    </w:p>
    <w:p w14:paraId="2539ED2D" w14:textId="283CB704" w:rsidR="00FC22F9" w:rsidRPr="00FC22F9" w:rsidRDefault="00FC22F9" w:rsidP="00FC22F9">
      <w:pPr>
        <w:numPr>
          <w:ilvl w:val="0"/>
          <w:numId w:val="132"/>
        </w:numPr>
        <w:rPr>
          <w:noProof/>
          <w:lang w:val="en-IE"/>
        </w:rPr>
      </w:pPr>
      <w:r w:rsidRPr="00FC22F9">
        <w:rPr>
          <w:b/>
          <w:bCs/>
          <w:noProof/>
          <w:lang w:val="en-IE"/>
        </w:rPr>
        <w:t xml:space="preserve">Labour costs </w:t>
      </w:r>
      <w:r w:rsidRPr="00FC22F9">
        <w:rPr>
          <w:noProof/>
          <w:lang w:val="en-IE"/>
        </w:rPr>
        <w:t>are considered as average costs of EUR 75 / h, irrespective of their profile (cloud architect, developer, DevOps engineer, project manager or external consultant).</w:t>
      </w:r>
      <w:r w:rsidR="003235A7">
        <w:rPr>
          <w:noProof/>
          <w:lang w:val="en-IE"/>
        </w:rPr>
        <w:t xml:space="preserve"> These costs </w:t>
      </w:r>
      <w:r w:rsidR="009767A0">
        <w:rPr>
          <w:noProof/>
          <w:lang w:val="en-IE"/>
        </w:rPr>
        <w:t xml:space="preserve">are higher than the ones considered in the rest of the impact assessment, given the large number of profiles participating in a </w:t>
      </w:r>
      <w:r w:rsidR="00A657CF">
        <w:rPr>
          <w:noProof/>
          <w:lang w:val="en-IE"/>
        </w:rPr>
        <w:t>porting</w:t>
      </w:r>
      <w:r w:rsidR="00607D6B">
        <w:rPr>
          <w:noProof/>
          <w:lang w:val="en-IE"/>
        </w:rPr>
        <w:t xml:space="preserve"> of an application.</w:t>
      </w:r>
    </w:p>
    <w:p w14:paraId="280E9474" w14:textId="6A50996F" w:rsidR="00FC22F9" w:rsidRPr="00FC22F9" w:rsidRDefault="00FC22F9" w:rsidP="00FC22F9">
      <w:pPr>
        <w:numPr>
          <w:ilvl w:val="0"/>
          <w:numId w:val="132"/>
        </w:numPr>
        <w:rPr>
          <w:noProof/>
          <w:lang w:val="en-IE"/>
        </w:rPr>
      </w:pPr>
      <w:r w:rsidRPr="00FC22F9">
        <w:rPr>
          <w:noProof/>
          <w:lang w:val="en-IE"/>
        </w:rPr>
        <w:t>Out of the three approaches presented beforehand, the ‘</w:t>
      </w:r>
      <w:r w:rsidRPr="00FC22F9">
        <w:rPr>
          <w:b/>
          <w:bCs/>
          <w:noProof/>
          <w:lang w:val="en-IE"/>
        </w:rPr>
        <w:t>re</w:t>
      </w:r>
      <w:r w:rsidR="00257F2B">
        <w:rPr>
          <w:b/>
          <w:bCs/>
          <w:noProof/>
          <w:lang w:val="en-IE"/>
        </w:rPr>
        <w:t>-</w:t>
      </w:r>
      <w:r w:rsidR="00A849B9">
        <w:rPr>
          <w:b/>
          <w:bCs/>
          <w:noProof/>
          <w:lang w:val="en-IE"/>
        </w:rPr>
        <w:t>platform</w:t>
      </w:r>
      <w:r w:rsidRPr="00FC22F9">
        <w:rPr>
          <w:b/>
          <w:bCs/>
          <w:noProof/>
          <w:lang w:val="en-IE"/>
        </w:rPr>
        <w:t>’</w:t>
      </w:r>
      <w:r w:rsidRPr="00FC22F9">
        <w:rPr>
          <w:noProof/>
          <w:lang w:val="en-IE"/>
        </w:rPr>
        <w:t xml:space="preserve"> option has been selected, as being the most plausible one, since it combines porting the application as-is, creating cloud-agnostic components that can facilitate a future porting to another service </w:t>
      </w:r>
      <w:r w:rsidR="00924B69" w:rsidRPr="00FC22F9">
        <w:rPr>
          <w:noProof/>
          <w:lang w:val="en-IE"/>
        </w:rPr>
        <w:t>provider and</w:t>
      </w:r>
      <w:r w:rsidRPr="00FC22F9">
        <w:rPr>
          <w:noProof/>
          <w:lang w:val="en-IE"/>
        </w:rPr>
        <w:t xml:space="preserve"> </w:t>
      </w:r>
      <w:r w:rsidR="00192425">
        <w:rPr>
          <w:noProof/>
          <w:lang w:val="en-IE"/>
        </w:rPr>
        <w:t xml:space="preserve">other common activities such as </w:t>
      </w:r>
      <w:r w:rsidRPr="00FC22F9">
        <w:rPr>
          <w:noProof/>
          <w:lang w:val="en-IE"/>
        </w:rPr>
        <w:t xml:space="preserve">some adaptations </w:t>
      </w:r>
      <w:r w:rsidR="00192425">
        <w:rPr>
          <w:noProof/>
          <w:lang w:val="en-IE"/>
        </w:rPr>
        <w:t>some</w:t>
      </w:r>
      <w:r w:rsidRPr="00FC22F9">
        <w:rPr>
          <w:noProof/>
          <w:lang w:val="en-IE"/>
        </w:rPr>
        <w:t xml:space="preserve"> of the used technologies </w:t>
      </w:r>
      <w:r w:rsidR="00B67C0B">
        <w:rPr>
          <w:noProof/>
          <w:lang w:val="en-IE"/>
        </w:rPr>
        <w:t>or</w:t>
      </w:r>
      <w:r w:rsidRPr="00FC22F9">
        <w:rPr>
          <w:noProof/>
          <w:lang w:val="en-IE"/>
        </w:rPr>
        <w:t xml:space="preserve"> a small refactoring of the code. </w:t>
      </w:r>
    </w:p>
    <w:p w14:paraId="0FE62890" w14:textId="58338BFD" w:rsidR="00FC22F9" w:rsidRPr="00FC22F9" w:rsidRDefault="00FC22F9" w:rsidP="00FC22F9">
      <w:pPr>
        <w:numPr>
          <w:ilvl w:val="0"/>
          <w:numId w:val="132"/>
        </w:numPr>
        <w:rPr>
          <w:noProof/>
          <w:lang w:val="en-IE"/>
        </w:rPr>
      </w:pPr>
      <w:r w:rsidRPr="00FC22F9">
        <w:rPr>
          <w:noProof/>
          <w:lang w:val="en-IE"/>
        </w:rPr>
        <w:t>For the calculations o</w:t>
      </w:r>
      <w:r w:rsidR="002E34C3">
        <w:rPr>
          <w:noProof/>
          <w:lang w:val="en-IE"/>
        </w:rPr>
        <w:t xml:space="preserve">n the </w:t>
      </w:r>
      <w:r w:rsidRPr="003E3396">
        <w:rPr>
          <w:b/>
          <w:noProof/>
          <w:lang w:val="en-IE"/>
        </w:rPr>
        <w:t>pricing of VMs and storage</w:t>
      </w:r>
      <w:r w:rsidRPr="00FC22F9">
        <w:rPr>
          <w:noProof/>
          <w:lang w:val="en-IE"/>
        </w:rPr>
        <w:t xml:space="preserve">, </w:t>
      </w:r>
      <w:r w:rsidR="005B30F3">
        <w:rPr>
          <w:noProof/>
          <w:lang w:val="en-IE"/>
        </w:rPr>
        <w:t xml:space="preserve">comparing sovereign solutions level 2 and sovereign solutions level 3 </w:t>
      </w:r>
      <w:r w:rsidR="00AB5CDC">
        <w:rPr>
          <w:noProof/>
          <w:lang w:val="en-IE"/>
        </w:rPr>
        <w:t xml:space="preserve">/ </w:t>
      </w:r>
      <w:r w:rsidR="005B30F3">
        <w:rPr>
          <w:noProof/>
          <w:lang w:val="en-IE"/>
        </w:rPr>
        <w:t>4</w:t>
      </w:r>
      <w:r w:rsidRPr="00FC22F9">
        <w:rPr>
          <w:noProof/>
          <w:lang w:val="en-IE"/>
        </w:rPr>
        <w:t xml:space="preserve">, </w:t>
      </w:r>
      <w:r w:rsidR="00EC4839">
        <w:rPr>
          <w:noProof/>
          <w:lang w:val="en-IE"/>
        </w:rPr>
        <w:t>internal</w:t>
      </w:r>
      <w:r w:rsidR="00FD2EBF">
        <w:rPr>
          <w:noProof/>
          <w:lang w:val="en-IE"/>
        </w:rPr>
        <w:t xml:space="preserve"> </w:t>
      </w:r>
      <w:r w:rsidR="00EC4839">
        <w:rPr>
          <w:noProof/>
          <w:lang w:val="en-IE"/>
        </w:rPr>
        <w:t>knowledge</w:t>
      </w:r>
      <w:r w:rsidRPr="00FC22F9">
        <w:rPr>
          <w:noProof/>
          <w:lang w:val="en-IE"/>
        </w:rPr>
        <w:t xml:space="preserve"> has been considered</w:t>
      </w:r>
      <w:r w:rsidR="00EC4839">
        <w:rPr>
          <w:noProof/>
          <w:lang w:val="en-IE"/>
        </w:rPr>
        <w:t>,</w:t>
      </w:r>
      <w:r w:rsidRPr="00FC22F9">
        <w:rPr>
          <w:noProof/>
          <w:lang w:val="en-IE"/>
        </w:rPr>
        <w:t xml:space="preserve"> complemented with desk research data </w:t>
      </w:r>
      <w:r w:rsidR="00DB5A51">
        <w:rPr>
          <w:noProof/>
          <w:lang w:val="en-IE"/>
        </w:rPr>
        <w:t xml:space="preserve">that </w:t>
      </w:r>
      <w:r w:rsidRPr="00FC22F9">
        <w:rPr>
          <w:noProof/>
          <w:lang w:val="en-IE"/>
        </w:rPr>
        <w:t xml:space="preserve">report, through use cases and empirical analysis, similar </w:t>
      </w:r>
      <w:r w:rsidR="00F02AA4">
        <w:rPr>
          <w:noProof/>
          <w:lang w:val="en-IE"/>
        </w:rPr>
        <w:t>prices</w:t>
      </w:r>
      <w:r w:rsidRPr="00FC22F9">
        <w:rPr>
          <w:noProof/>
          <w:lang w:val="en-IE"/>
        </w:rPr>
        <w:t xml:space="preserve"> for computation </w:t>
      </w:r>
      <w:r w:rsidR="000C0792" w:rsidRPr="00FC22F9">
        <w:rPr>
          <w:noProof/>
          <w:lang w:val="en-IE"/>
        </w:rPr>
        <w:t>resources (</w:t>
      </w:r>
      <w:r w:rsidRPr="00FC22F9">
        <w:rPr>
          <w:noProof/>
          <w:lang w:val="en-IE"/>
        </w:rPr>
        <w:t>VM, storage, network)</w:t>
      </w:r>
      <w:r w:rsidRPr="00FC22F9">
        <w:rPr>
          <w:noProof/>
          <w:vertAlign w:val="superscript"/>
          <w:lang w:val="en-IE"/>
        </w:rPr>
        <w:footnoteReference w:id="223"/>
      </w:r>
      <w:r w:rsidR="00F02AA4">
        <w:rPr>
          <w:noProof/>
          <w:lang w:val="en-IE"/>
        </w:rPr>
        <w:t xml:space="preserve"> </w:t>
      </w:r>
      <w:r w:rsidR="00984176">
        <w:rPr>
          <w:rStyle w:val="FootnoteReference"/>
          <w:noProof/>
          <w:lang w:val="en-IE"/>
        </w:rPr>
        <w:footnoteReference w:id="224"/>
      </w:r>
      <w:r w:rsidRPr="00FC22F9">
        <w:rPr>
          <w:noProof/>
          <w:lang w:val="en-IE"/>
        </w:rPr>
        <w:t>.</w:t>
      </w:r>
    </w:p>
    <w:p w14:paraId="61706A87" w14:textId="38B40690" w:rsidR="00FC22F9" w:rsidRPr="00FC22F9" w:rsidRDefault="004D7E28" w:rsidP="00FC22F9">
      <w:pPr>
        <w:numPr>
          <w:ilvl w:val="0"/>
          <w:numId w:val="132"/>
        </w:numPr>
        <w:rPr>
          <w:noProof/>
          <w:lang w:val="en-IE"/>
        </w:rPr>
      </w:pPr>
      <w:r>
        <w:rPr>
          <w:noProof/>
          <w:lang w:val="en-IE"/>
        </w:rPr>
        <w:t>Switching charges</w:t>
      </w:r>
      <w:r w:rsidR="00FC22F9" w:rsidRPr="00FC22F9">
        <w:rPr>
          <w:noProof/>
          <w:lang w:val="en-IE"/>
        </w:rPr>
        <w:t xml:space="preserve"> are considered</w:t>
      </w:r>
      <w:r w:rsidR="009567F3">
        <w:rPr>
          <w:noProof/>
          <w:lang w:val="en-IE"/>
        </w:rPr>
        <w:t xml:space="preserve"> to be null</w:t>
      </w:r>
      <w:r w:rsidR="00FC22F9" w:rsidRPr="00FC22F9">
        <w:rPr>
          <w:noProof/>
          <w:lang w:val="en-IE"/>
        </w:rPr>
        <w:t>, as an effect of the Data Act.</w:t>
      </w:r>
    </w:p>
    <w:p w14:paraId="6A92CA60" w14:textId="492D5C1C" w:rsidR="00CE54B0" w:rsidRDefault="00FC22F9" w:rsidP="00930D26">
      <w:pPr>
        <w:numPr>
          <w:ilvl w:val="0"/>
          <w:numId w:val="132"/>
        </w:numPr>
        <w:rPr>
          <w:noProof/>
          <w:lang w:val="en-IE"/>
        </w:rPr>
      </w:pPr>
      <w:r w:rsidRPr="00930D26">
        <w:rPr>
          <w:noProof/>
          <w:lang w:val="en-IE"/>
        </w:rPr>
        <w:t xml:space="preserve">For each of the application sizes, the following number of VMs and sizes are </w:t>
      </w:r>
      <w:r w:rsidR="00F36235" w:rsidRPr="00930D26">
        <w:rPr>
          <w:noProof/>
          <w:lang w:val="en-IE"/>
        </w:rPr>
        <w:t>considered</w:t>
      </w:r>
      <w:r w:rsidRPr="00930D26">
        <w:rPr>
          <w:noProof/>
          <w:lang w:val="en-IE"/>
        </w:rPr>
        <w:t>. Pricing is based on AWS EC2 on-demand rates in eu-central</w:t>
      </w:r>
      <w:r w:rsidR="00984176" w:rsidRPr="00930D26">
        <w:rPr>
          <w:noProof/>
          <w:lang w:val="en-IE"/>
        </w:rPr>
        <w:t xml:space="preserve"> (Frankfurt</w:t>
      </w:r>
      <w:r w:rsidRPr="00930D26">
        <w:rPr>
          <w:noProof/>
          <w:lang w:val="en-IE"/>
        </w:rPr>
        <w:t>) in USD</w:t>
      </w:r>
      <w:r w:rsidR="00FA7CC2">
        <w:rPr>
          <w:noProof/>
          <w:lang w:val="en-IE"/>
        </w:rPr>
        <w:t xml:space="preserve"> (1 USD rounded to </w:t>
      </w:r>
      <w:r w:rsidRPr="00930D26">
        <w:rPr>
          <w:noProof/>
          <w:lang w:val="en-IE"/>
        </w:rPr>
        <w:t>0.9 for EUR</w:t>
      </w:r>
      <w:r w:rsidR="00FA7CC2">
        <w:rPr>
          <w:noProof/>
          <w:lang w:val="en-IE"/>
        </w:rPr>
        <w:t xml:space="preserve"> for the</w:t>
      </w:r>
      <w:r w:rsidRPr="00930D26">
        <w:rPr>
          <w:noProof/>
          <w:lang w:val="en-IE"/>
        </w:rPr>
        <w:t xml:space="preserve"> conversion</w:t>
      </w:r>
      <w:r w:rsidR="00FA7CC2">
        <w:rPr>
          <w:noProof/>
          <w:lang w:val="en-IE"/>
        </w:rPr>
        <w:t>)</w:t>
      </w:r>
      <w:r w:rsidRPr="00930D26">
        <w:rPr>
          <w:noProof/>
          <w:lang w:val="en-IE"/>
        </w:rPr>
        <w:t xml:space="preserve">, </w:t>
      </w:r>
      <w:r w:rsidR="009F3836" w:rsidRPr="00930D26">
        <w:rPr>
          <w:noProof/>
          <w:lang w:val="en-IE"/>
        </w:rPr>
        <w:t xml:space="preserve">and </w:t>
      </w:r>
      <w:r w:rsidRPr="00930D26">
        <w:rPr>
          <w:noProof/>
          <w:lang w:val="en-IE"/>
        </w:rPr>
        <w:t>dedicated instance</w:t>
      </w:r>
      <w:r w:rsidR="00FA7CC2">
        <w:rPr>
          <w:noProof/>
          <w:lang w:val="en-IE"/>
        </w:rPr>
        <w:t>s</w:t>
      </w:r>
      <w:r w:rsidRPr="00930D26">
        <w:rPr>
          <w:noProof/>
          <w:lang w:val="en-IE"/>
        </w:rPr>
        <w:t xml:space="preserve"> (</w:t>
      </w:r>
      <w:r w:rsidR="00EB2CDD">
        <w:rPr>
          <w:noProof/>
          <w:lang w:val="en-IE"/>
        </w:rPr>
        <w:t xml:space="preserve">Prices of </w:t>
      </w:r>
      <w:r w:rsidRPr="00930D26">
        <w:rPr>
          <w:noProof/>
          <w:lang w:val="en-IE"/>
        </w:rPr>
        <w:t>March 2026)</w:t>
      </w:r>
      <w:r w:rsidR="00125BDD" w:rsidRPr="00930D26">
        <w:rPr>
          <w:noProof/>
          <w:lang w:val="en-IE"/>
        </w:rPr>
        <w:t xml:space="preserve">. </w:t>
      </w:r>
      <w:r w:rsidR="00CE54B0">
        <w:rPr>
          <w:noProof/>
          <w:lang w:val="en-IE"/>
        </w:rPr>
        <w:t>The rationale for the decision of the instance types is provided next.</w:t>
      </w:r>
    </w:p>
    <w:p w14:paraId="48567A68" w14:textId="196D2991" w:rsidR="00CE54B0" w:rsidRPr="003E3396" w:rsidRDefault="00BB146C" w:rsidP="00CE54B0">
      <w:pPr>
        <w:numPr>
          <w:ilvl w:val="1"/>
          <w:numId w:val="132"/>
        </w:numPr>
        <w:rPr>
          <w:noProof/>
          <w:lang w:val="en-IE"/>
        </w:rPr>
      </w:pPr>
      <w:r w:rsidRPr="003E3396">
        <w:rPr>
          <w:noProof/>
          <w:u w:val="single"/>
          <w:lang w:val="en-IE"/>
        </w:rPr>
        <w:t>T-series</w:t>
      </w:r>
      <w:r w:rsidRPr="00930D26">
        <w:rPr>
          <w:noProof/>
          <w:lang w:val="en-IE"/>
        </w:rPr>
        <w:t xml:space="preserve"> such as t3 are burstable instances, which provide a baseline level of CPU and can burst above when needed. They are recommended for workloads with variable CPU usage such as small web servers or microservices that mostly idle but have occasional spikes.</w:t>
      </w:r>
      <w:r w:rsidR="0088144F" w:rsidRPr="00930D26">
        <w:rPr>
          <w:noProof/>
          <w:lang w:val="en-IE"/>
        </w:rPr>
        <w:t xml:space="preserve"> </w:t>
      </w:r>
    </w:p>
    <w:p w14:paraId="4D650EDC" w14:textId="60607D39" w:rsidR="00B90023" w:rsidRPr="003E3396" w:rsidRDefault="00D16003" w:rsidP="00CE54B0">
      <w:pPr>
        <w:numPr>
          <w:ilvl w:val="1"/>
          <w:numId w:val="132"/>
        </w:numPr>
        <w:rPr>
          <w:noProof/>
          <w:lang w:val="en-IE"/>
        </w:rPr>
      </w:pPr>
      <w:r w:rsidRPr="003E3396">
        <w:rPr>
          <w:noProof/>
          <w:u w:val="single"/>
        </w:rPr>
        <w:t>M5-series</w:t>
      </w:r>
      <w:r w:rsidRPr="00D16003">
        <w:rPr>
          <w:noProof/>
        </w:rPr>
        <w:t xml:space="preserve"> </w:t>
      </w:r>
      <w:r>
        <w:rPr>
          <w:noProof/>
        </w:rPr>
        <w:t>are</w:t>
      </w:r>
      <w:r w:rsidRPr="00D16003">
        <w:rPr>
          <w:noProof/>
        </w:rPr>
        <w:t xml:space="preserve"> often used as the </w:t>
      </w:r>
      <w:r w:rsidRPr="003E3396">
        <w:rPr>
          <w:i/>
          <w:noProof/>
          <w:u w:val="single"/>
        </w:rPr>
        <w:t>default</w:t>
      </w:r>
      <w:r w:rsidRPr="00D16003">
        <w:rPr>
          <w:noProof/>
        </w:rPr>
        <w:t xml:space="preserve"> instance type for applications that need consistent CPU performance and that do not fit into compute or memory-optimized type of applications.</w:t>
      </w:r>
      <w:r>
        <w:rPr>
          <w:noProof/>
        </w:rPr>
        <w:t xml:space="preserve"> </w:t>
      </w:r>
      <w:r w:rsidR="006709A3" w:rsidRPr="0088144F">
        <w:rPr>
          <w:noProof/>
        </w:rPr>
        <w:t>M5 instances are balanced CPU and memory instances</w:t>
      </w:r>
      <w:r w:rsidR="006709A3">
        <w:rPr>
          <w:noProof/>
        </w:rPr>
        <w:t xml:space="preserve">, </w:t>
      </w:r>
      <w:r w:rsidR="006709A3" w:rsidRPr="0088144F">
        <w:rPr>
          <w:noProof/>
        </w:rPr>
        <w:t>designed for midsize databases and back-end applications.</w:t>
      </w:r>
      <w:r w:rsidR="003F41BB">
        <w:rPr>
          <w:noProof/>
        </w:rPr>
        <w:t xml:space="preserve"> </w:t>
      </w:r>
      <w:r>
        <w:rPr>
          <w:noProof/>
        </w:rPr>
        <w:t>M-instance types</w:t>
      </w:r>
      <w:r w:rsidR="00930D26">
        <w:rPr>
          <w:noProof/>
        </w:rPr>
        <w:t xml:space="preserve"> are</w:t>
      </w:r>
      <w:r w:rsidR="00937E2F">
        <w:rPr>
          <w:noProof/>
        </w:rPr>
        <w:t xml:space="preserve"> at the crossroads of</w:t>
      </w:r>
      <w:r w:rsidR="00930D26">
        <w:rPr>
          <w:noProof/>
        </w:rPr>
        <w:t xml:space="preserve"> </w:t>
      </w:r>
      <w:r w:rsidR="00937E2F" w:rsidRPr="00937E2F">
        <w:rPr>
          <w:noProof/>
        </w:rPr>
        <w:t>T (general purpose), C (compute-optimized) and R (memory-optimized) instance types in terms of compute and memory allocation</w:t>
      </w:r>
      <w:r w:rsidR="00937E2F">
        <w:rPr>
          <w:noProof/>
        </w:rPr>
        <w:t>.</w:t>
      </w:r>
      <w:r w:rsidR="008164BD">
        <w:rPr>
          <w:noProof/>
        </w:rPr>
        <w:t xml:space="preserve"> </w:t>
      </w:r>
    </w:p>
    <w:p w14:paraId="797E766B" w14:textId="6D4D6693" w:rsidR="00FC22F9" w:rsidRPr="00930D26" w:rsidRDefault="008164BD" w:rsidP="003E3396">
      <w:pPr>
        <w:ind w:left="720"/>
        <w:rPr>
          <w:noProof/>
          <w:lang w:val="en-IE"/>
        </w:rPr>
      </w:pPr>
      <w:r>
        <w:rPr>
          <w:noProof/>
        </w:rPr>
        <w:t>Both T and M instance types are</w:t>
      </w:r>
      <w:r w:rsidR="00D16003">
        <w:rPr>
          <w:noProof/>
        </w:rPr>
        <w:t xml:space="preserve"> considered</w:t>
      </w:r>
      <w:r>
        <w:rPr>
          <w:noProof/>
        </w:rPr>
        <w:t xml:space="preserve"> General Compute.</w:t>
      </w:r>
    </w:p>
    <w:p w14:paraId="0391E787" w14:textId="0993C010" w:rsidR="00FC22F9" w:rsidRDefault="00FC22F9" w:rsidP="00FC22F9">
      <w:pPr>
        <w:rPr>
          <w:b/>
          <w:bCs/>
          <w:noProof/>
          <w:sz w:val="20"/>
          <w:szCs w:val="20"/>
          <w:lang w:val="en-IE"/>
        </w:rPr>
      </w:pPr>
      <w:r>
        <w:rPr>
          <w:b/>
          <w:bCs/>
          <w:noProof/>
          <w:sz w:val="20"/>
          <w:szCs w:val="20"/>
          <w:lang w:val="en-US"/>
        </w:rPr>
        <w:t xml:space="preserve">Table </w:t>
      </w:r>
      <w:r>
        <w:rPr>
          <w:b/>
          <w:bCs/>
          <w:noProof/>
          <w:sz w:val="20"/>
          <w:szCs w:val="20"/>
          <w:lang w:val="en-US"/>
        </w:rPr>
        <w:fldChar w:fldCharType="begin"/>
      </w:r>
      <w:r>
        <w:rPr>
          <w:b/>
          <w:bCs/>
          <w:noProof/>
          <w:sz w:val="20"/>
          <w:szCs w:val="20"/>
          <w:lang w:val="en-US"/>
        </w:rPr>
        <w:instrText xml:space="preserve"> SEQ Table \* ARABIC </w:instrText>
      </w:r>
      <w:r>
        <w:rPr>
          <w:b/>
          <w:bCs/>
          <w:noProof/>
          <w:sz w:val="20"/>
          <w:szCs w:val="20"/>
          <w:lang w:val="en-US"/>
        </w:rPr>
        <w:fldChar w:fldCharType="separate"/>
      </w:r>
      <w:r>
        <w:rPr>
          <w:b/>
          <w:bCs/>
          <w:noProof/>
          <w:sz w:val="20"/>
          <w:szCs w:val="20"/>
          <w:lang w:val="en-US"/>
        </w:rPr>
        <w:t>68</w:t>
      </w:r>
      <w:r>
        <w:rPr>
          <w:b/>
          <w:bCs/>
          <w:noProof/>
          <w:sz w:val="20"/>
          <w:szCs w:val="20"/>
          <w:lang w:val="en-US"/>
        </w:rPr>
        <w:fldChar w:fldCharType="end"/>
      </w:r>
      <w:r>
        <w:rPr>
          <w:b/>
          <w:bCs/>
          <w:noProof/>
          <w:sz w:val="20"/>
          <w:szCs w:val="20"/>
          <w:lang w:val="en-US"/>
        </w:rPr>
        <w:t>. Types of VMs considered for the cost estimations for small, mid-size and large applications (Source: European Commission based on AWS Calculator, March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420"/>
        <w:gridCol w:w="1419"/>
        <w:gridCol w:w="1558"/>
        <w:gridCol w:w="2517"/>
      </w:tblGrid>
      <w:tr w:rsidR="007C6466" w:rsidRPr="000C0792" w14:paraId="1231988E" w14:textId="77777777" w:rsidTr="007C6466">
        <w:trPr>
          <w:trHeight w:val="300"/>
          <w:tblHeader/>
        </w:trPr>
        <w:tc>
          <w:tcPr>
            <w:tcW w:w="984" w:type="pct"/>
            <w:tcBorders>
              <w:top w:val="single" w:sz="4" w:space="0" w:color="auto"/>
              <w:left w:val="single" w:sz="4" w:space="0" w:color="auto"/>
              <w:bottom w:val="single" w:sz="4" w:space="0" w:color="auto"/>
              <w:right w:val="single" w:sz="4" w:space="0" w:color="auto"/>
            </w:tcBorders>
            <w:shd w:val="clear" w:color="auto" w:fill="227ACB"/>
            <w:noWrap/>
            <w:hideMark/>
          </w:tcPr>
          <w:p w14:paraId="0F6BD4E0" w14:textId="77777777" w:rsidR="00FC22F9" w:rsidRPr="003E3396" w:rsidRDefault="00FC22F9" w:rsidP="003E3396">
            <w:pPr>
              <w:spacing w:after="0"/>
              <w:rPr>
                <w:b/>
                <w:bCs/>
                <w:noProof/>
                <w:color w:val="FFFFFF"/>
                <w:sz w:val="22"/>
                <w:szCs w:val="22"/>
                <w:lang w:val="en-IE"/>
              </w:rPr>
            </w:pPr>
            <w:r w:rsidRPr="003E3396">
              <w:rPr>
                <w:b/>
                <w:bCs/>
                <w:noProof/>
                <w:color w:val="FFFFFF"/>
                <w:sz w:val="22"/>
                <w:szCs w:val="22"/>
                <w:lang w:val="en-IE"/>
              </w:rPr>
              <w:t>Parameter</w:t>
            </w:r>
          </w:p>
        </w:tc>
        <w:tc>
          <w:tcPr>
            <w:tcW w:w="825" w:type="pct"/>
            <w:tcBorders>
              <w:top w:val="single" w:sz="4" w:space="0" w:color="auto"/>
              <w:left w:val="single" w:sz="4" w:space="0" w:color="auto"/>
              <w:bottom w:val="single" w:sz="4" w:space="0" w:color="auto"/>
              <w:right w:val="single" w:sz="4" w:space="0" w:color="auto"/>
            </w:tcBorders>
            <w:shd w:val="clear" w:color="auto" w:fill="227ACB"/>
            <w:noWrap/>
            <w:hideMark/>
          </w:tcPr>
          <w:p w14:paraId="36D25D02" w14:textId="77777777" w:rsidR="00FC22F9" w:rsidRPr="003E3396" w:rsidRDefault="00FC22F9" w:rsidP="00D40602">
            <w:pPr>
              <w:spacing w:after="0"/>
              <w:jc w:val="center"/>
              <w:rPr>
                <w:b/>
                <w:bCs/>
                <w:noProof/>
                <w:color w:val="FFFFFF"/>
                <w:sz w:val="22"/>
                <w:szCs w:val="22"/>
                <w:lang w:val="en-IE"/>
              </w:rPr>
            </w:pPr>
            <w:r w:rsidRPr="003E3396">
              <w:rPr>
                <w:b/>
                <w:bCs/>
                <w:noProof/>
                <w:color w:val="FFFFFF"/>
                <w:sz w:val="22"/>
                <w:szCs w:val="22"/>
                <w:lang w:val="en-IE"/>
              </w:rPr>
              <w:t>Small</w:t>
            </w:r>
          </w:p>
        </w:tc>
        <w:tc>
          <w:tcPr>
            <w:tcW w:w="824" w:type="pct"/>
            <w:tcBorders>
              <w:top w:val="single" w:sz="4" w:space="0" w:color="auto"/>
              <w:left w:val="single" w:sz="4" w:space="0" w:color="auto"/>
              <w:bottom w:val="single" w:sz="4" w:space="0" w:color="auto"/>
              <w:right w:val="single" w:sz="4" w:space="0" w:color="auto"/>
            </w:tcBorders>
            <w:shd w:val="clear" w:color="auto" w:fill="227ACB"/>
            <w:noWrap/>
            <w:hideMark/>
          </w:tcPr>
          <w:p w14:paraId="3F46E214" w14:textId="77777777" w:rsidR="00FC22F9" w:rsidRPr="003E3396" w:rsidRDefault="00FC22F9" w:rsidP="00D40602">
            <w:pPr>
              <w:spacing w:after="0"/>
              <w:jc w:val="center"/>
              <w:rPr>
                <w:b/>
                <w:bCs/>
                <w:noProof/>
                <w:color w:val="FFFFFF"/>
                <w:sz w:val="22"/>
                <w:szCs w:val="22"/>
                <w:lang w:val="en-IE"/>
              </w:rPr>
            </w:pPr>
            <w:r w:rsidRPr="003E3396">
              <w:rPr>
                <w:b/>
                <w:bCs/>
                <w:noProof/>
                <w:color w:val="FFFFFF"/>
                <w:sz w:val="22"/>
                <w:szCs w:val="22"/>
                <w:lang w:val="en-IE"/>
              </w:rPr>
              <w:t>Mid-Size</w:t>
            </w:r>
          </w:p>
        </w:tc>
        <w:tc>
          <w:tcPr>
            <w:tcW w:w="905" w:type="pct"/>
            <w:tcBorders>
              <w:top w:val="single" w:sz="4" w:space="0" w:color="auto"/>
              <w:left w:val="single" w:sz="4" w:space="0" w:color="auto"/>
              <w:bottom w:val="single" w:sz="4" w:space="0" w:color="auto"/>
              <w:right w:val="single" w:sz="4" w:space="0" w:color="auto"/>
            </w:tcBorders>
            <w:shd w:val="clear" w:color="auto" w:fill="227ACB"/>
            <w:noWrap/>
            <w:hideMark/>
          </w:tcPr>
          <w:p w14:paraId="1D5BF6A1" w14:textId="77777777" w:rsidR="00FC22F9" w:rsidRPr="003E3396" w:rsidRDefault="00FC22F9" w:rsidP="00D40602">
            <w:pPr>
              <w:spacing w:after="0"/>
              <w:jc w:val="center"/>
              <w:rPr>
                <w:b/>
                <w:bCs/>
                <w:noProof/>
                <w:color w:val="FFFFFF"/>
                <w:sz w:val="22"/>
                <w:szCs w:val="22"/>
                <w:lang w:val="en-IE"/>
              </w:rPr>
            </w:pPr>
            <w:r w:rsidRPr="003E3396">
              <w:rPr>
                <w:b/>
                <w:bCs/>
                <w:noProof/>
                <w:color w:val="FFFFFF"/>
                <w:sz w:val="22"/>
                <w:szCs w:val="22"/>
                <w:lang w:val="en-IE"/>
              </w:rPr>
              <w:t>Large</w:t>
            </w:r>
          </w:p>
        </w:tc>
        <w:tc>
          <w:tcPr>
            <w:tcW w:w="1462" w:type="pct"/>
            <w:tcBorders>
              <w:top w:val="single" w:sz="4" w:space="0" w:color="auto"/>
              <w:left w:val="single" w:sz="4" w:space="0" w:color="auto"/>
              <w:bottom w:val="single" w:sz="4" w:space="0" w:color="auto"/>
              <w:right w:val="single" w:sz="4" w:space="0" w:color="auto"/>
            </w:tcBorders>
            <w:shd w:val="clear" w:color="auto" w:fill="227ACB"/>
            <w:noWrap/>
            <w:hideMark/>
          </w:tcPr>
          <w:p w14:paraId="6C113E66" w14:textId="77777777" w:rsidR="00FC22F9" w:rsidRPr="003E3396" w:rsidRDefault="00FC22F9" w:rsidP="003E3396">
            <w:pPr>
              <w:spacing w:after="0"/>
              <w:rPr>
                <w:b/>
                <w:bCs/>
                <w:noProof/>
                <w:color w:val="FFFFFF"/>
                <w:sz w:val="22"/>
                <w:szCs w:val="22"/>
                <w:lang w:val="en-IE"/>
              </w:rPr>
            </w:pPr>
            <w:r w:rsidRPr="003E3396">
              <w:rPr>
                <w:b/>
                <w:bCs/>
                <w:noProof/>
                <w:color w:val="FFFFFF"/>
                <w:sz w:val="22"/>
                <w:szCs w:val="22"/>
                <w:lang w:val="en-IE"/>
              </w:rPr>
              <w:t>Baseline metric</w:t>
            </w:r>
          </w:p>
        </w:tc>
      </w:tr>
      <w:tr w:rsidR="000C0792" w:rsidRPr="000C0792" w14:paraId="46618837" w14:textId="77777777" w:rsidTr="003E3396">
        <w:trPr>
          <w:trHeight w:val="640"/>
        </w:trPr>
        <w:tc>
          <w:tcPr>
            <w:tcW w:w="984" w:type="pct"/>
            <w:tcBorders>
              <w:top w:val="single" w:sz="4" w:space="0" w:color="auto"/>
              <w:left w:val="single" w:sz="4" w:space="0" w:color="auto"/>
              <w:bottom w:val="single" w:sz="4" w:space="0" w:color="auto"/>
              <w:right w:val="single" w:sz="4" w:space="0" w:color="auto"/>
            </w:tcBorders>
            <w:noWrap/>
            <w:hideMark/>
          </w:tcPr>
          <w:p w14:paraId="7D29CCA7" w14:textId="77777777" w:rsidR="00FC22F9" w:rsidRPr="003E3396" w:rsidRDefault="00FC22F9" w:rsidP="003E3396">
            <w:pPr>
              <w:spacing w:after="0"/>
              <w:rPr>
                <w:b/>
                <w:noProof/>
                <w:sz w:val="22"/>
                <w:szCs w:val="22"/>
                <w:lang w:val="en-IE"/>
              </w:rPr>
            </w:pPr>
            <w:r w:rsidRPr="003E3396">
              <w:rPr>
                <w:b/>
                <w:noProof/>
                <w:sz w:val="22"/>
                <w:szCs w:val="22"/>
                <w:lang w:val="en-IE"/>
              </w:rPr>
              <w:t>Instance Type</w:t>
            </w:r>
          </w:p>
        </w:tc>
        <w:tc>
          <w:tcPr>
            <w:tcW w:w="825" w:type="pct"/>
            <w:tcBorders>
              <w:top w:val="single" w:sz="4" w:space="0" w:color="auto"/>
              <w:left w:val="single" w:sz="4" w:space="0" w:color="auto"/>
              <w:bottom w:val="single" w:sz="4" w:space="0" w:color="auto"/>
              <w:right w:val="single" w:sz="4" w:space="0" w:color="auto"/>
            </w:tcBorders>
            <w:noWrap/>
            <w:hideMark/>
          </w:tcPr>
          <w:p w14:paraId="479D2F29" w14:textId="77777777" w:rsidR="00FC22F9" w:rsidRPr="003E3396" w:rsidRDefault="00FC22F9" w:rsidP="003E3396">
            <w:pPr>
              <w:spacing w:after="0"/>
              <w:rPr>
                <w:noProof/>
                <w:sz w:val="22"/>
                <w:szCs w:val="22"/>
                <w:lang w:val="en-IE"/>
              </w:rPr>
            </w:pPr>
            <w:r w:rsidRPr="003E3396">
              <w:rPr>
                <w:noProof/>
                <w:sz w:val="22"/>
                <w:szCs w:val="22"/>
                <w:lang w:val="en-IE"/>
              </w:rPr>
              <w:t xml:space="preserve"> t3.large</w:t>
            </w:r>
          </w:p>
        </w:tc>
        <w:tc>
          <w:tcPr>
            <w:tcW w:w="824" w:type="pct"/>
            <w:tcBorders>
              <w:top w:val="single" w:sz="4" w:space="0" w:color="auto"/>
              <w:left w:val="single" w:sz="4" w:space="0" w:color="auto"/>
              <w:bottom w:val="single" w:sz="4" w:space="0" w:color="auto"/>
              <w:right w:val="single" w:sz="4" w:space="0" w:color="auto"/>
            </w:tcBorders>
            <w:noWrap/>
            <w:hideMark/>
          </w:tcPr>
          <w:p w14:paraId="7427018C" w14:textId="77777777" w:rsidR="00FC22F9" w:rsidRPr="003E3396" w:rsidRDefault="00FC22F9" w:rsidP="003E3396">
            <w:pPr>
              <w:spacing w:after="0"/>
              <w:rPr>
                <w:noProof/>
                <w:sz w:val="22"/>
                <w:szCs w:val="22"/>
                <w:lang w:val="en-IE"/>
              </w:rPr>
            </w:pPr>
            <w:r w:rsidRPr="003E3396">
              <w:rPr>
                <w:noProof/>
                <w:sz w:val="22"/>
                <w:szCs w:val="22"/>
                <w:lang w:val="en-IE"/>
              </w:rPr>
              <w:t xml:space="preserve">m5.xlarge </w:t>
            </w:r>
          </w:p>
        </w:tc>
        <w:tc>
          <w:tcPr>
            <w:tcW w:w="905" w:type="pct"/>
            <w:tcBorders>
              <w:top w:val="single" w:sz="4" w:space="0" w:color="auto"/>
              <w:left w:val="single" w:sz="4" w:space="0" w:color="auto"/>
              <w:bottom w:val="single" w:sz="4" w:space="0" w:color="auto"/>
              <w:right w:val="single" w:sz="4" w:space="0" w:color="auto"/>
            </w:tcBorders>
            <w:noWrap/>
            <w:hideMark/>
          </w:tcPr>
          <w:p w14:paraId="177346E8" w14:textId="77777777" w:rsidR="00FC22F9" w:rsidRPr="003E3396" w:rsidRDefault="00FC22F9" w:rsidP="003E3396">
            <w:pPr>
              <w:spacing w:after="0"/>
              <w:rPr>
                <w:noProof/>
                <w:sz w:val="22"/>
                <w:szCs w:val="22"/>
                <w:lang w:val="en-IE"/>
              </w:rPr>
            </w:pPr>
            <w:r w:rsidRPr="003E3396">
              <w:rPr>
                <w:noProof/>
                <w:sz w:val="22"/>
                <w:szCs w:val="22"/>
                <w:lang w:val="en-IE"/>
              </w:rPr>
              <w:t xml:space="preserve">m5.8xlarge </w:t>
            </w:r>
          </w:p>
        </w:tc>
        <w:tc>
          <w:tcPr>
            <w:tcW w:w="1462" w:type="pct"/>
            <w:tcBorders>
              <w:top w:val="single" w:sz="4" w:space="0" w:color="auto"/>
              <w:left w:val="single" w:sz="4" w:space="0" w:color="auto"/>
              <w:bottom w:val="single" w:sz="4" w:space="0" w:color="auto"/>
              <w:right w:val="single" w:sz="4" w:space="0" w:color="auto"/>
            </w:tcBorders>
            <w:noWrap/>
            <w:hideMark/>
          </w:tcPr>
          <w:p w14:paraId="3C73ED40" w14:textId="77777777" w:rsidR="00FC22F9" w:rsidRPr="003E3396" w:rsidRDefault="00FC22F9" w:rsidP="00D40602">
            <w:pPr>
              <w:spacing w:after="0"/>
              <w:jc w:val="left"/>
              <w:rPr>
                <w:noProof/>
                <w:sz w:val="22"/>
                <w:szCs w:val="22"/>
                <w:lang w:val="en-IE"/>
              </w:rPr>
            </w:pPr>
            <w:r w:rsidRPr="003E3396">
              <w:rPr>
                <w:noProof/>
                <w:sz w:val="22"/>
                <w:szCs w:val="22"/>
                <w:lang w:val="en-IE"/>
              </w:rPr>
              <w:t>AWS EC2, Dedicated instance, EBS gp3, eu-central (Frankfurt)</w:t>
            </w:r>
          </w:p>
        </w:tc>
      </w:tr>
      <w:tr w:rsidR="000C0792" w:rsidRPr="000C0792" w14:paraId="587E305F" w14:textId="77777777" w:rsidTr="003E3396">
        <w:trPr>
          <w:trHeight w:val="300"/>
        </w:trPr>
        <w:tc>
          <w:tcPr>
            <w:tcW w:w="984" w:type="pct"/>
            <w:tcBorders>
              <w:top w:val="single" w:sz="4" w:space="0" w:color="auto"/>
              <w:left w:val="single" w:sz="4" w:space="0" w:color="auto"/>
              <w:bottom w:val="single" w:sz="4" w:space="0" w:color="auto"/>
              <w:right w:val="single" w:sz="4" w:space="0" w:color="auto"/>
            </w:tcBorders>
            <w:noWrap/>
            <w:hideMark/>
          </w:tcPr>
          <w:p w14:paraId="26B38943" w14:textId="77777777" w:rsidR="00FC22F9" w:rsidRPr="003E3396" w:rsidRDefault="00FC22F9" w:rsidP="003E3396">
            <w:pPr>
              <w:spacing w:after="0"/>
              <w:rPr>
                <w:b/>
                <w:noProof/>
                <w:sz w:val="22"/>
                <w:szCs w:val="22"/>
                <w:lang w:val="en-IE"/>
              </w:rPr>
            </w:pPr>
            <w:r w:rsidRPr="003E3396">
              <w:rPr>
                <w:b/>
                <w:noProof/>
                <w:sz w:val="22"/>
                <w:szCs w:val="22"/>
                <w:lang w:val="en-IE"/>
              </w:rPr>
              <w:t>VM Count</w:t>
            </w:r>
          </w:p>
        </w:tc>
        <w:tc>
          <w:tcPr>
            <w:tcW w:w="825" w:type="pct"/>
            <w:tcBorders>
              <w:top w:val="single" w:sz="4" w:space="0" w:color="auto"/>
              <w:left w:val="single" w:sz="4" w:space="0" w:color="auto"/>
              <w:bottom w:val="single" w:sz="4" w:space="0" w:color="auto"/>
              <w:right w:val="single" w:sz="4" w:space="0" w:color="auto"/>
            </w:tcBorders>
            <w:noWrap/>
            <w:hideMark/>
          </w:tcPr>
          <w:p w14:paraId="50A59CAA" w14:textId="77777777" w:rsidR="00FC22F9" w:rsidRPr="003E3396" w:rsidRDefault="00FC22F9" w:rsidP="00D40602">
            <w:pPr>
              <w:spacing w:after="0"/>
              <w:jc w:val="center"/>
              <w:rPr>
                <w:noProof/>
                <w:sz w:val="22"/>
                <w:szCs w:val="22"/>
                <w:lang w:val="en-IE"/>
              </w:rPr>
            </w:pPr>
            <w:r w:rsidRPr="003E3396">
              <w:rPr>
                <w:noProof/>
                <w:sz w:val="22"/>
                <w:szCs w:val="22"/>
                <w:lang w:val="en-IE"/>
              </w:rPr>
              <w:t>1–3</w:t>
            </w:r>
          </w:p>
        </w:tc>
        <w:tc>
          <w:tcPr>
            <w:tcW w:w="824" w:type="pct"/>
            <w:tcBorders>
              <w:top w:val="single" w:sz="4" w:space="0" w:color="auto"/>
              <w:left w:val="single" w:sz="4" w:space="0" w:color="auto"/>
              <w:bottom w:val="single" w:sz="4" w:space="0" w:color="auto"/>
              <w:right w:val="single" w:sz="4" w:space="0" w:color="auto"/>
            </w:tcBorders>
            <w:noWrap/>
            <w:hideMark/>
          </w:tcPr>
          <w:p w14:paraId="7C7810FA" w14:textId="77777777" w:rsidR="00FC22F9" w:rsidRPr="003E3396" w:rsidRDefault="00FC22F9" w:rsidP="00D40602">
            <w:pPr>
              <w:spacing w:after="0"/>
              <w:jc w:val="center"/>
              <w:rPr>
                <w:noProof/>
                <w:sz w:val="22"/>
                <w:szCs w:val="22"/>
                <w:lang w:val="en-IE"/>
              </w:rPr>
            </w:pPr>
            <w:r w:rsidRPr="003E3396">
              <w:rPr>
                <w:noProof/>
                <w:sz w:val="22"/>
                <w:szCs w:val="22"/>
                <w:lang w:val="en-IE"/>
              </w:rPr>
              <w:t>3–5</w:t>
            </w:r>
          </w:p>
        </w:tc>
        <w:tc>
          <w:tcPr>
            <w:tcW w:w="905" w:type="pct"/>
            <w:tcBorders>
              <w:top w:val="single" w:sz="4" w:space="0" w:color="auto"/>
              <w:left w:val="single" w:sz="4" w:space="0" w:color="auto"/>
              <w:bottom w:val="single" w:sz="4" w:space="0" w:color="auto"/>
              <w:right w:val="single" w:sz="4" w:space="0" w:color="auto"/>
            </w:tcBorders>
            <w:noWrap/>
            <w:hideMark/>
          </w:tcPr>
          <w:p w14:paraId="25304441" w14:textId="77777777" w:rsidR="00FC22F9" w:rsidRPr="003E3396" w:rsidRDefault="00FC22F9" w:rsidP="00D40602">
            <w:pPr>
              <w:spacing w:after="0"/>
              <w:jc w:val="center"/>
              <w:rPr>
                <w:noProof/>
                <w:sz w:val="22"/>
                <w:szCs w:val="22"/>
                <w:lang w:val="en-IE"/>
              </w:rPr>
            </w:pPr>
            <w:r w:rsidRPr="003E3396">
              <w:rPr>
                <w:noProof/>
                <w:sz w:val="22"/>
                <w:szCs w:val="22"/>
                <w:lang w:val="en-IE"/>
              </w:rPr>
              <w:t>5-10</w:t>
            </w:r>
          </w:p>
        </w:tc>
        <w:tc>
          <w:tcPr>
            <w:tcW w:w="1462" w:type="pct"/>
            <w:tcBorders>
              <w:top w:val="single" w:sz="4" w:space="0" w:color="auto"/>
              <w:left w:val="single" w:sz="4" w:space="0" w:color="auto"/>
              <w:bottom w:val="single" w:sz="4" w:space="0" w:color="auto"/>
              <w:right w:val="single" w:sz="4" w:space="0" w:color="auto"/>
            </w:tcBorders>
            <w:noWrap/>
            <w:hideMark/>
          </w:tcPr>
          <w:p w14:paraId="47B727C9" w14:textId="77777777" w:rsidR="00FC22F9" w:rsidRPr="003E3396" w:rsidRDefault="00FC22F9" w:rsidP="003E3396">
            <w:pPr>
              <w:spacing w:after="0"/>
              <w:rPr>
                <w:noProof/>
                <w:sz w:val="22"/>
                <w:szCs w:val="22"/>
                <w:lang w:val="en-IE"/>
              </w:rPr>
            </w:pPr>
            <w:r w:rsidRPr="003E3396">
              <w:rPr>
                <w:noProof/>
                <w:sz w:val="22"/>
                <w:szCs w:val="22"/>
                <w:lang w:val="en-IE"/>
              </w:rPr>
              <w:t>VMs per app</w:t>
            </w:r>
          </w:p>
        </w:tc>
      </w:tr>
      <w:tr w:rsidR="000C0792" w:rsidRPr="000C0792" w14:paraId="77630C90" w14:textId="77777777" w:rsidTr="003E3396">
        <w:trPr>
          <w:trHeight w:val="300"/>
        </w:trPr>
        <w:tc>
          <w:tcPr>
            <w:tcW w:w="984" w:type="pct"/>
            <w:tcBorders>
              <w:top w:val="single" w:sz="4" w:space="0" w:color="auto"/>
              <w:left w:val="single" w:sz="4" w:space="0" w:color="auto"/>
              <w:bottom w:val="single" w:sz="4" w:space="0" w:color="auto"/>
              <w:right w:val="single" w:sz="4" w:space="0" w:color="auto"/>
            </w:tcBorders>
            <w:noWrap/>
            <w:hideMark/>
          </w:tcPr>
          <w:p w14:paraId="7C128AFE" w14:textId="77777777" w:rsidR="00FC22F9" w:rsidRPr="003E3396" w:rsidRDefault="00FC22F9" w:rsidP="003E3396">
            <w:pPr>
              <w:spacing w:after="0"/>
              <w:rPr>
                <w:b/>
                <w:noProof/>
                <w:sz w:val="22"/>
                <w:szCs w:val="22"/>
                <w:lang w:val="en-IE"/>
              </w:rPr>
            </w:pPr>
            <w:r w:rsidRPr="003E3396">
              <w:rPr>
                <w:b/>
                <w:noProof/>
                <w:sz w:val="22"/>
                <w:szCs w:val="22"/>
                <w:lang w:val="en-IE"/>
              </w:rPr>
              <w:t>vCPU</w:t>
            </w:r>
          </w:p>
        </w:tc>
        <w:tc>
          <w:tcPr>
            <w:tcW w:w="825" w:type="pct"/>
            <w:tcBorders>
              <w:top w:val="single" w:sz="4" w:space="0" w:color="auto"/>
              <w:left w:val="single" w:sz="4" w:space="0" w:color="auto"/>
              <w:bottom w:val="single" w:sz="4" w:space="0" w:color="auto"/>
              <w:right w:val="single" w:sz="4" w:space="0" w:color="auto"/>
            </w:tcBorders>
            <w:noWrap/>
            <w:hideMark/>
          </w:tcPr>
          <w:p w14:paraId="6E6B3459" w14:textId="77777777" w:rsidR="00FC22F9" w:rsidRPr="003E3396" w:rsidRDefault="00FC22F9" w:rsidP="00D40602">
            <w:pPr>
              <w:spacing w:after="0"/>
              <w:jc w:val="center"/>
              <w:rPr>
                <w:noProof/>
                <w:sz w:val="22"/>
                <w:szCs w:val="22"/>
                <w:lang w:val="en-IE"/>
              </w:rPr>
            </w:pPr>
            <w:r w:rsidRPr="003E3396">
              <w:rPr>
                <w:noProof/>
                <w:sz w:val="22"/>
                <w:szCs w:val="22"/>
                <w:lang w:val="en-IE"/>
              </w:rPr>
              <w:t>2</w:t>
            </w:r>
          </w:p>
        </w:tc>
        <w:tc>
          <w:tcPr>
            <w:tcW w:w="824" w:type="pct"/>
            <w:tcBorders>
              <w:top w:val="single" w:sz="4" w:space="0" w:color="auto"/>
              <w:left w:val="single" w:sz="4" w:space="0" w:color="auto"/>
              <w:bottom w:val="single" w:sz="4" w:space="0" w:color="auto"/>
              <w:right w:val="single" w:sz="4" w:space="0" w:color="auto"/>
            </w:tcBorders>
            <w:noWrap/>
            <w:hideMark/>
          </w:tcPr>
          <w:p w14:paraId="21C420C3" w14:textId="77777777" w:rsidR="00FC22F9" w:rsidRPr="003E3396" w:rsidRDefault="00FC22F9" w:rsidP="00D40602">
            <w:pPr>
              <w:spacing w:after="0"/>
              <w:jc w:val="center"/>
              <w:rPr>
                <w:noProof/>
                <w:sz w:val="22"/>
                <w:szCs w:val="22"/>
                <w:lang w:val="en-IE"/>
              </w:rPr>
            </w:pPr>
            <w:r w:rsidRPr="003E3396">
              <w:rPr>
                <w:noProof/>
                <w:sz w:val="22"/>
                <w:szCs w:val="22"/>
                <w:lang w:val="en-IE"/>
              </w:rPr>
              <w:t>4</w:t>
            </w:r>
          </w:p>
        </w:tc>
        <w:tc>
          <w:tcPr>
            <w:tcW w:w="905" w:type="pct"/>
            <w:tcBorders>
              <w:top w:val="single" w:sz="4" w:space="0" w:color="auto"/>
              <w:left w:val="single" w:sz="4" w:space="0" w:color="auto"/>
              <w:bottom w:val="single" w:sz="4" w:space="0" w:color="auto"/>
              <w:right w:val="single" w:sz="4" w:space="0" w:color="auto"/>
            </w:tcBorders>
            <w:noWrap/>
            <w:hideMark/>
          </w:tcPr>
          <w:p w14:paraId="7C299800" w14:textId="77777777" w:rsidR="00FC22F9" w:rsidRPr="003E3396" w:rsidRDefault="00FC22F9" w:rsidP="00D40602">
            <w:pPr>
              <w:spacing w:after="0"/>
              <w:jc w:val="center"/>
              <w:rPr>
                <w:noProof/>
                <w:sz w:val="22"/>
                <w:szCs w:val="22"/>
                <w:lang w:val="en-IE"/>
              </w:rPr>
            </w:pPr>
            <w:r w:rsidRPr="003E3396">
              <w:rPr>
                <w:noProof/>
                <w:sz w:val="22"/>
                <w:szCs w:val="22"/>
                <w:lang w:val="en-IE"/>
              </w:rPr>
              <w:t>32</w:t>
            </w:r>
          </w:p>
        </w:tc>
        <w:tc>
          <w:tcPr>
            <w:tcW w:w="1462" w:type="pct"/>
            <w:tcBorders>
              <w:top w:val="single" w:sz="4" w:space="0" w:color="auto"/>
              <w:left w:val="single" w:sz="4" w:space="0" w:color="auto"/>
              <w:bottom w:val="single" w:sz="4" w:space="0" w:color="auto"/>
              <w:right w:val="single" w:sz="4" w:space="0" w:color="auto"/>
            </w:tcBorders>
            <w:noWrap/>
            <w:hideMark/>
          </w:tcPr>
          <w:p w14:paraId="62B93CEC" w14:textId="77777777" w:rsidR="00FC22F9" w:rsidRPr="003E3396" w:rsidRDefault="00FC22F9" w:rsidP="003E3396">
            <w:pPr>
              <w:spacing w:after="0"/>
              <w:rPr>
                <w:noProof/>
                <w:sz w:val="22"/>
                <w:szCs w:val="22"/>
                <w:lang w:val="en-IE"/>
              </w:rPr>
            </w:pPr>
            <w:r w:rsidRPr="003E3396">
              <w:rPr>
                <w:noProof/>
                <w:sz w:val="22"/>
                <w:szCs w:val="22"/>
                <w:lang w:val="en-IE"/>
              </w:rPr>
              <w:t>cores</w:t>
            </w:r>
          </w:p>
        </w:tc>
      </w:tr>
      <w:tr w:rsidR="000C0792" w:rsidRPr="000C0792" w14:paraId="05C092E1" w14:textId="77777777" w:rsidTr="003E3396">
        <w:trPr>
          <w:trHeight w:val="300"/>
        </w:trPr>
        <w:tc>
          <w:tcPr>
            <w:tcW w:w="984" w:type="pct"/>
            <w:tcBorders>
              <w:top w:val="single" w:sz="4" w:space="0" w:color="auto"/>
              <w:left w:val="single" w:sz="4" w:space="0" w:color="auto"/>
              <w:bottom w:val="single" w:sz="4" w:space="0" w:color="auto"/>
              <w:right w:val="single" w:sz="4" w:space="0" w:color="auto"/>
            </w:tcBorders>
            <w:noWrap/>
            <w:hideMark/>
          </w:tcPr>
          <w:p w14:paraId="2DE5E08E" w14:textId="77777777" w:rsidR="00FC22F9" w:rsidRPr="003E3396" w:rsidRDefault="00FC22F9" w:rsidP="003E3396">
            <w:pPr>
              <w:spacing w:after="0"/>
              <w:rPr>
                <w:b/>
                <w:noProof/>
                <w:sz w:val="22"/>
                <w:szCs w:val="22"/>
                <w:lang w:val="en-IE"/>
              </w:rPr>
            </w:pPr>
            <w:r w:rsidRPr="003E3396">
              <w:rPr>
                <w:b/>
                <w:noProof/>
                <w:sz w:val="22"/>
                <w:szCs w:val="22"/>
                <w:lang w:val="en-IE"/>
              </w:rPr>
              <w:t>RAM</w:t>
            </w:r>
          </w:p>
        </w:tc>
        <w:tc>
          <w:tcPr>
            <w:tcW w:w="825" w:type="pct"/>
            <w:tcBorders>
              <w:top w:val="single" w:sz="4" w:space="0" w:color="auto"/>
              <w:left w:val="single" w:sz="4" w:space="0" w:color="auto"/>
              <w:bottom w:val="single" w:sz="4" w:space="0" w:color="auto"/>
              <w:right w:val="single" w:sz="4" w:space="0" w:color="auto"/>
            </w:tcBorders>
            <w:noWrap/>
            <w:hideMark/>
          </w:tcPr>
          <w:p w14:paraId="66E48552" w14:textId="523F6165" w:rsidR="00FC22F9" w:rsidRPr="003E3396" w:rsidRDefault="00FC22F9" w:rsidP="00D40602">
            <w:pPr>
              <w:spacing w:after="0"/>
              <w:jc w:val="center"/>
              <w:rPr>
                <w:noProof/>
                <w:sz w:val="22"/>
                <w:szCs w:val="22"/>
                <w:lang w:val="en-IE"/>
              </w:rPr>
            </w:pPr>
            <w:r w:rsidRPr="003E3396">
              <w:rPr>
                <w:noProof/>
                <w:sz w:val="22"/>
                <w:szCs w:val="22"/>
                <w:lang w:val="en-IE"/>
              </w:rPr>
              <w:t>4</w:t>
            </w:r>
          </w:p>
        </w:tc>
        <w:tc>
          <w:tcPr>
            <w:tcW w:w="824" w:type="pct"/>
            <w:tcBorders>
              <w:top w:val="single" w:sz="4" w:space="0" w:color="auto"/>
              <w:left w:val="single" w:sz="4" w:space="0" w:color="auto"/>
              <w:bottom w:val="single" w:sz="4" w:space="0" w:color="auto"/>
              <w:right w:val="single" w:sz="4" w:space="0" w:color="auto"/>
            </w:tcBorders>
            <w:noWrap/>
            <w:hideMark/>
          </w:tcPr>
          <w:p w14:paraId="67DB7D8B" w14:textId="77777777" w:rsidR="00FC22F9" w:rsidRPr="003E3396" w:rsidRDefault="00FC22F9" w:rsidP="00D40602">
            <w:pPr>
              <w:spacing w:after="0"/>
              <w:jc w:val="center"/>
              <w:rPr>
                <w:noProof/>
                <w:sz w:val="22"/>
                <w:szCs w:val="22"/>
                <w:lang w:val="en-IE"/>
              </w:rPr>
            </w:pPr>
            <w:r w:rsidRPr="003E3396">
              <w:rPr>
                <w:noProof/>
                <w:sz w:val="22"/>
                <w:szCs w:val="22"/>
                <w:lang w:val="en-IE"/>
              </w:rPr>
              <w:t>16</w:t>
            </w:r>
          </w:p>
        </w:tc>
        <w:tc>
          <w:tcPr>
            <w:tcW w:w="905" w:type="pct"/>
            <w:tcBorders>
              <w:top w:val="single" w:sz="4" w:space="0" w:color="auto"/>
              <w:left w:val="single" w:sz="4" w:space="0" w:color="auto"/>
              <w:bottom w:val="single" w:sz="4" w:space="0" w:color="auto"/>
              <w:right w:val="single" w:sz="4" w:space="0" w:color="auto"/>
            </w:tcBorders>
            <w:noWrap/>
            <w:hideMark/>
          </w:tcPr>
          <w:p w14:paraId="6A6C26C5" w14:textId="77777777" w:rsidR="00FC22F9" w:rsidRPr="003E3396" w:rsidRDefault="00FC22F9" w:rsidP="00D40602">
            <w:pPr>
              <w:spacing w:after="0"/>
              <w:jc w:val="center"/>
              <w:rPr>
                <w:noProof/>
                <w:sz w:val="22"/>
                <w:szCs w:val="22"/>
                <w:lang w:val="en-IE"/>
              </w:rPr>
            </w:pPr>
            <w:r w:rsidRPr="003E3396">
              <w:rPr>
                <w:noProof/>
                <w:sz w:val="22"/>
                <w:szCs w:val="22"/>
                <w:lang w:val="en-IE"/>
              </w:rPr>
              <w:t>64</w:t>
            </w:r>
          </w:p>
        </w:tc>
        <w:tc>
          <w:tcPr>
            <w:tcW w:w="1462" w:type="pct"/>
            <w:tcBorders>
              <w:top w:val="single" w:sz="4" w:space="0" w:color="auto"/>
              <w:left w:val="single" w:sz="4" w:space="0" w:color="auto"/>
              <w:bottom w:val="single" w:sz="4" w:space="0" w:color="auto"/>
              <w:right w:val="single" w:sz="4" w:space="0" w:color="auto"/>
            </w:tcBorders>
            <w:noWrap/>
            <w:hideMark/>
          </w:tcPr>
          <w:p w14:paraId="52183546" w14:textId="77777777" w:rsidR="00FC22F9" w:rsidRPr="003E3396" w:rsidRDefault="00FC22F9" w:rsidP="003E3396">
            <w:pPr>
              <w:spacing w:after="0"/>
              <w:rPr>
                <w:noProof/>
                <w:sz w:val="22"/>
                <w:szCs w:val="22"/>
                <w:lang w:val="en-IE"/>
              </w:rPr>
            </w:pPr>
            <w:r w:rsidRPr="003E3396">
              <w:rPr>
                <w:noProof/>
                <w:sz w:val="22"/>
                <w:szCs w:val="22"/>
                <w:lang w:val="en-IE"/>
              </w:rPr>
              <w:t>GB</w:t>
            </w:r>
          </w:p>
        </w:tc>
      </w:tr>
      <w:tr w:rsidR="000C0792" w:rsidRPr="000C0792" w14:paraId="315CEBDD" w14:textId="77777777" w:rsidTr="003E3396">
        <w:trPr>
          <w:trHeight w:val="300"/>
        </w:trPr>
        <w:tc>
          <w:tcPr>
            <w:tcW w:w="984" w:type="pct"/>
            <w:tcBorders>
              <w:top w:val="single" w:sz="4" w:space="0" w:color="auto"/>
              <w:left w:val="single" w:sz="4" w:space="0" w:color="auto"/>
              <w:bottom w:val="single" w:sz="4" w:space="0" w:color="auto"/>
              <w:right w:val="single" w:sz="4" w:space="0" w:color="auto"/>
            </w:tcBorders>
            <w:noWrap/>
            <w:hideMark/>
          </w:tcPr>
          <w:p w14:paraId="47CF6A0D" w14:textId="6C4877C0" w:rsidR="00FC22F9" w:rsidRPr="003E3396" w:rsidRDefault="00FC22F9" w:rsidP="003E3396">
            <w:pPr>
              <w:spacing w:after="0"/>
              <w:rPr>
                <w:b/>
                <w:noProof/>
                <w:sz w:val="22"/>
                <w:szCs w:val="22"/>
                <w:lang w:val="en-IE"/>
              </w:rPr>
            </w:pPr>
            <w:r w:rsidRPr="003E3396">
              <w:rPr>
                <w:b/>
                <w:noProof/>
                <w:sz w:val="22"/>
                <w:szCs w:val="22"/>
                <w:lang w:val="en-IE"/>
              </w:rPr>
              <w:t>Network</w:t>
            </w:r>
            <w:r w:rsidR="00505FE4">
              <w:rPr>
                <w:b/>
                <w:bCs/>
                <w:noProof/>
                <w:sz w:val="22"/>
                <w:szCs w:val="22"/>
                <w:lang w:val="en-IE"/>
              </w:rPr>
              <w:t xml:space="preserve"> bandwidth</w:t>
            </w:r>
          </w:p>
        </w:tc>
        <w:tc>
          <w:tcPr>
            <w:tcW w:w="825" w:type="pct"/>
            <w:tcBorders>
              <w:top w:val="single" w:sz="4" w:space="0" w:color="auto"/>
              <w:left w:val="single" w:sz="4" w:space="0" w:color="auto"/>
              <w:bottom w:val="single" w:sz="4" w:space="0" w:color="auto"/>
              <w:right w:val="single" w:sz="4" w:space="0" w:color="auto"/>
            </w:tcBorders>
            <w:noWrap/>
            <w:hideMark/>
          </w:tcPr>
          <w:p w14:paraId="7B2443EB" w14:textId="648848F7" w:rsidR="00FC22F9" w:rsidRPr="003E3396" w:rsidRDefault="00FC22F9" w:rsidP="00D40602">
            <w:pPr>
              <w:spacing w:after="0"/>
              <w:jc w:val="center"/>
              <w:rPr>
                <w:noProof/>
                <w:sz w:val="22"/>
                <w:szCs w:val="22"/>
                <w:lang w:val="en-IE"/>
              </w:rPr>
            </w:pPr>
            <w:r w:rsidRPr="003E3396">
              <w:rPr>
                <w:noProof/>
                <w:sz w:val="22"/>
                <w:szCs w:val="22"/>
                <w:lang w:val="en-IE"/>
              </w:rPr>
              <w:t>Up to 5</w:t>
            </w:r>
          </w:p>
        </w:tc>
        <w:tc>
          <w:tcPr>
            <w:tcW w:w="824" w:type="pct"/>
            <w:tcBorders>
              <w:top w:val="single" w:sz="4" w:space="0" w:color="auto"/>
              <w:left w:val="single" w:sz="4" w:space="0" w:color="auto"/>
              <w:bottom w:val="single" w:sz="4" w:space="0" w:color="auto"/>
              <w:right w:val="single" w:sz="4" w:space="0" w:color="auto"/>
            </w:tcBorders>
            <w:noWrap/>
            <w:hideMark/>
          </w:tcPr>
          <w:p w14:paraId="394E8E59" w14:textId="28645622" w:rsidR="00FC22F9" w:rsidRPr="003E3396" w:rsidRDefault="00FC22F9" w:rsidP="00D40602">
            <w:pPr>
              <w:spacing w:after="0"/>
              <w:jc w:val="center"/>
              <w:rPr>
                <w:noProof/>
                <w:sz w:val="22"/>
                <w:szCs w:val="22"/>
                <w:lang w:val="en-IE"/>
              </w:rPr>
            </w:pPr>
            <w:r w:rsidRPr="003E3396">
              <w:rPr>
                <w:noProof/>
                <w:sz w:val="22"/>
                <w:szCs w:val="22"/>
                <w:lang w:val="en-IE"/>
              </w:rPr>
              <w:t>Up to 5</w:t>
            </w:r>
          </w:p>
        </w:tc>
        <w:tc>
          <w:tcPr>
            <w:tcW w:w="905" w:type="pct"/>
            <w:tcBorders>
              <w:top w:val="single" w:sz="4" w:space="0" w:color="auto"/>
              <w:left w:val="single" w:sz="4" w:space="0" w:color="auto"/>
              <w:bottom w:val="single" w:sz="4" w:space="0" w:color="auto"/>
              <w:right w:val="single" w:sz="4" w:space="0" w:color="auto"/>
            </w:tcBorders>
            <w:noWrap/>
            <w:hideMark/>
          </w:tcPr>
          <w:p w14:paraId="15B7CF77" w14:textId="5E72EEA3" w:rsidR="00FC22F9" w:rsidRPr="003E3396" w:rsidRDefault="00FC22F9" w:rsidP="00D40602">
            <w:pPr>
              <w:spacing w:after="0"/>
              <w:jc w:val="center"/>
              <w:rPr>
                <w:noProof/>
                <w:sz w:val="22"/>
                <w:szCs w:val="22"/>
                <w:lang w:val="en-IE"/>
              </w:rPr>
            </w:pPr>
            <w:r w:rsidRPr="003E3396">
              <w:rPr>
                <w:noProof/>
                <w:sz w:val="22"/>
                <w:szCs w:val="22"/>
                <w:lang w:val="en-IE"/>
              </w:rPr>
              <w:t>Up to 25</w:t>
            </w:r>
          </w:p>
        </w:tc>
        <w:tc>
          <w:tcPr>
            <w:tcW w:w="1462" w:type="pct"/>
            <w:tcBorders>
              <w:top w:val="single" w:sz="4" w:space="0" w:color="auto"/>
              <w:left w:val="single" w:sz="4" w:space="0" w:color="auto"/>
              <w:bottom w:val="single" w:sz="4" w:space="0" w:color="auto"/>
              <w:right w:val="single" w:sz="4" w:space="0" w:color="auto"/>
            </w:tcBorders>
            <w:noWrap/>
            <w:hideMark/>
          </w:tcPr>
          <w:p w14:paraId="479EC79F" w14:textId="7A39C657" w:rsidR="00FC22F9" w:rsidRPr="003E3396" w:rsidRDefault="00505FE4" w:rsidP="003E3396">
            <w:pPr>
              <w:spacing w:after="0"/>
              <w:rPr>
                <w:noProof/>
                <w:sz w:val="22"/>
                <w:szCs w:val="22"/>
                <w:lang w:val="en-IE"/>
              </w:rPr>
            </w:pPr>
            <w:r>
              <w:rPr>
                <w:noProof/>
                <w:sz w:val="22"/>
                <w:szCs w:val="22"/>
                <w:lang w:val="en-IE"/>
              </w:rPr>
              <w:t>Gbps</w:t>
            </w:r>
          </w:p>
        </w:tc>
      </w:tr>
      <w:tr w:rsidR="000C0792" w:rsidRPr="000C0792" w14:paraId="08ABA8D0" w14:textId="77777777" w:rsidTr="003E3396">
        <w:trPr>
          <w:trHeight w:val="300"/>
        </w:trPr>
        <w:tc>
          <w:tcPr>
            <w:tcW w:w="984" w:type="pct"/>
            <w:tcBorders>
              <w:top w:val="single" w:sz="4" w:space="0" w:color="auto"/>
              <w:left w:val="single" w:sz="4" w:space="0" w:color="auto"/>
              <w:bottom w:val="single" w:sz="4" w:space="0" w:color="auto"/>
              <w:right w:val="single" w:sz="4" w:space="0" w:color="auto"/>
            </w:tcBorders>
            <w:noWrap/>
            <w:hideMark/>
          </w:tcPr>
          <w:p w14:paraId="54D1539A" w14:textId="157B03B9" w:rsidR="00FC22F9" w:rsidRPr="003E3396" w:rsidRDefault="008A3334" w:rsidP="003E3396">
            <w:pPr>
              <w:spacing w:after="0"/>
              <w:rPr>
                <w:b/>
                <w:noProof/>
                <w:sz w:val="22"/>
                <w:szCs w:val="22"/>
                <w:lang w:val="en-IE"/>
              </w:rPr>
            </w:pPr>
            <w:r>
              <w:rPr>
                <w:b/>
                <w:bCs/>
                <w:noProof/>
                <w:sz w:val="22"/>
                <w:szCs w:val="22"/>
                <w:lang w:val="en-IE"/>
              </w:rPr>
              <w:t>Price</w:t>
            </w:r>
          </w:p>
        </w:tc>
        <w:tc>
          <w:tcPr>
            <w:tcW w:w="825" w:type="pct"/>
            <w:tcBorders>
              <w:top w:val="single" w:sz="4" w:space="0" w:color="auto"/>
              <w:left w:val="single" w:sz="4" w:space="0" w:color="auto"/>
              <w:bottom w:val="single" w:sz="4" w:space="0" w:color="auto"/>
              <w:right w:val="single" w:sz="4" w:space="0" w:color="auto"/>
            </w:tcBorders>
            <w:noWrap/>
            <w:hideMark/>
          </w:tcPr>
          <w:p w14:paraId="7D811E5F" w14:textId="7F869555" w:rsidR="00FC22F9" w:rsidRPr="003E3396" w:rsidRDefault="00FC22F9" w:rsidP="00D40602">
            <w:pPr>
              <w:spacing w:after="0"/>
              <w:jc w:val="center"/>
              <w:rPr>
                <w:noProof/>
                <w:sz w:val="22"/>
                <w:szCs w:val="22"/>
                <w:lang w:val="en-IE"/>
              </w:rPr>
            </w:pPr>
            <w:r w:rsidRPr="003E3396">
              <w:rPr>
                <w:noProof/>
                <w:sz w:val="22"/>
                <w:szCs w:val="22"/>
                <w:lang w:val="en-IE"/>
              </w:rPr>
              <w:t>0</w:t>
            </w:r>
            <w:r w:rsidR="009F3836">
              <w:rPr>
                <w:noProof/>
                <w:sz w:val="22"/>
                <w:szCs w:val="22"/>
                <w:lang w:val="en-IE"/>
              </w:rPr>
              <w:t>.</w:t>
            </w:r>
            <w:r w:rsidRPr="003E3396">
              <w:rPr>
                <w:noProof/>
                <w:sz w:val="22"/>
                <w:szCs w:val="22"/>
                <w:lang w:val="en-IE"/>
              </w:rPr>
              <w:t>12</w:t>
            </w:r>
          </w:p>
        </w:tc>
        <w:tc>
          <w:tcPr>
            <w:tcW w:w="824" w:type="pct"/>
            <w:tcBorders>
              <w:top w:val="single" w:sz="4" w:space="0" w:color="auto"/>
              <w:left w:val="single" w:sz="4" w:space="0" w:color="auto"/>
              <w:bottom w:val="single" w:sz="4" w:space="0" w:color="auto"/>
              <w:right w:val="single" w:sz="4" w:space="0" w:color="auto"/>
            </w:tcBorders>
            <w:noWrap/>
            <w:hideMark/>
          </w:tcPr>
          <w:p w14:paraId="5D772423" w14:textId="35B340FE" w:rsidR="00FC22F9" w:rsidRPr="003E3396" w:rsidRDefault="00FC22F9" w:rsidP="00D40602">
            <w:pPr>
              <w:spacing w:after="0"/>
              <w:jc w:val="center"/>
              <w:rPr>
                <w:noProof/>
                <w:sz w:val="22"/>
                <w:szCs w:val="22"/>
                <w:lang w:val="en-IE"/>
              </w:rPr>
            </w:pPr>
            <w:r w:rsidRPr="003E3396">
              <w:rPr>
                <w:noProof/>
                <w:sz w:val="22"/>
                <w:szCs w:val="22"/>
                <w:lang w:val="en-IE"/>
              </w:rPr>
              <w:t>0</w:t>
            </w:r>
            <w:r w:rsidR="009F3836">
              <w:rPr>
                <w:noProof/>
                <w:sz w:val="22"/>
                <w:szCs w:val="22"/>
                <w:lang w:val="en-IE"/>
              </w:rPr>
              <w:t>.</w:t>
            </w:r>
            <w:r w:rsidRPr="003E3396">
              <w:rPr>
                <w:noProof/>
                <w:sz w:val="22"/>
                <w:szCs w:val="22"/>
                <w:lang w:val="en-IE"/>
              </w:rPr>
              <w:t>39</w:t>
            </w:r>
          </w:p>
        </w:tc>
        <w:tc>
          <w:tcPr>
            <w:tcW w:w="905" w:type="pct"/>
            <w:tcBorders>
              <w:top w:val="single" w:sz="4" w:space="0" w:color="auto"/>
              <w:left w:val="single" w:sz="4" w:space="0" w:color="auto"/>
              <w:bottom w:val="single" w:sz="4" w:space="0" w:color="auto"/>
              <w:right w:val="single" w:sz="4" w:space="0" w:color="auto"/>
            </w:tcBorders>
            <w:noWrap/>
            <w:hideMark/>
          </w:tcPr>
          <w:p w14:paraId="3EB235D8" w14:textId="6621436A" w:rsidR="00FC22F9" w:rsidRPr="003E3396" w:rsidRDefault="00FC22F9" w:rsidP="00D40602">
            <w:pPr>
              <w:spacing w:after="0"/>
              <w:jc w:val="center"/>
              <w:rPr>
                <w:noProof/>
                <w:sz w:val="22"/>
                <w:szCs w:val="22"/>
                <w:lang w:val="en-IE"/>
              </w:rPr>
            </w:pPr>
            <w:r w:rsidRPr="003E3396">
              <w:rPr>
                <w:noProof/>
                <w:sz w:val="22"/>
                <w:szCs w:val="22"/>
                <w:lang w:val="en-IE"/>
              </w:rPr>
              <w:t>3</w:t>
            </w:r>
            <w:r w:rsidR="009F3836">
              <w:rPr>
                <w:noProof/>
                <w:sz w:val="22"/>
                <w:szCs w:val="22"/>
                <w:lang w:val="en-IE"/>
              </w:rPr>
              <w:t>.</w:t>
            </w:r>
            <w:r w:rsidRPr="003E3396">
              <w:rPr>
                <w:noProof/>
                <w:sz w:val="22"/>
                <w:szCs w:val="22"/>
                <w:lang w:val="en-IE"/>
              </w:rPr>
              <w:t>09</w:t>
            </w:r>
          </w:p>
        </w:tc>
        <w:tc>
          <w:tcPr>
            <w:tcW w:w="1462" w:type="pct"/>
            <w:tcBorders>
              <w:top w:val="single" w:sz="4" w:space="0" w:color="auto"/>
              <w:left w:val="single" w:sz="4" w:space="0" w:color="auto"/>
              <w:bottom w:val="single" w:sz="4" w:space="0" w:color="auto"/>
              <w:right w:val="single" w:sz="4" w:space="0" w:color="auto"/>
            </w:tcBorders>
            <w:noWrap/>
          </w:tcPr>
          <w:p w14:paraId="55C88538" w14:textId="21874885" w:rsidR="00FC22F9" w:rsidRPr="003E3396" w:rsidRDefault="008A3334" w:rsidP="003E3396">
            <w:pPr>
              <w:spacing w:after="0"/>
              <w:rPr>
                <w:noProof/>
                <w:sz w:val="22"/>
                <w:szCs w:val="22"/>
                <w:lang w:val="en-IE"/>
              </w:rPr>
            </w:pPr>
            <w:r>
              <w:rPr>
                <w:noProof/>
                <w:sz w:val="22"/>
                <w:szCs w:val="22"/>
                <w:lang w:val="en-IE"/>
              </w:rPr>
              <w:t>EUR/h</w:t>
            </w:r>
          </w:p>
        </w:tc>
      </w:tr>
    </w:tbl>
    <w:p w14:paraId="3C77E384" w14:textId="77777777" w:rsidR="00FC22F9" w:rsidRPr="00FC22F9" w:rsidRDefault="00FC22F9" w:rsidP="00FC22F9">
      <w:pPr>
        <w:rPr>
          <w:noProof/>
          <w:lang w:val="en-IE"/>
        </w:rPr>
      </w:pPr>
    </w:p>
    <w:p w14:paraId="42D0188B" w14:textId="735CB63B" w:rsidR="00765562" w:rsidRDefault="003E62CE" w:rsidP="00FC22F9">
      <w:pPr>
        <w:rPr>
          <w:noProof/>
          <w:lang w:val="en-IE"/>
        </w:rPr>
      </w:pPr>
      <w:r>
        <w:rPr>
          <w:noProof/>
          <w:lang w:val="en-IE"/>
        </w:rPr>
        <w:t>As anticipated above, a</w:t>
      </w:r>
      <w:r w:rsidR="00FC22F9" w:rsidRPr="00FC22F9">
        <w:rPr>
          <w:noProof/>
          <w:lang w:val="en-IE"/>
        </w:rPr>
        <w:t xml:space="preserve">cross all, </w:t>
      </w:r>
      <w:r>
        <w:rPr>
          <w:noProof/>
          <w:lang w:val="en-IE"/>
        </w:rPr>
        <w:t>l</w:t>
      </w:r>
      <w:r w:rsidRPr="00FC22F9">
        <w:rPr>
          <w:noProof/>
          <w:lang w:val="en-IE"/>
        </w:rPr>
        <w:t xml:space="preserve">abour </w:t>
      </w:r>
      <w:r w:rsidR="00FC22F9" w:rsidRPr="00FC22F9">
        <w:rPr>
          <w:noProof/>
          <w:lang w:val="en-IE"/>
        </w:rPr>
        <w:t xml:space="preserve">costs represent the largest component irrespective of it being legacy-to-cloud or </w:t>
      </w:r>
      <w:r w:rsidR="00D82D2A">
        <w:rPr>
          <w:noProof/>
          <w:lang w:val="en-IE"/>
        </w:rPr>
        <w:t>cloud-to-sovereign cloud</w:t>
      </w:r>
      <w:r w:rsidR="00FC22F9" w:rsidRPr="00FC22F9">
        <w:rPr>
          <w:noProof/>
          <w:lang w:val="en-IE"/>
        </w:rPr>
        <w:t xml:space="preserve">, and in all phases. The calculation </w:t>
      </w:r>
      <w:r w:rsidR="00153A63">
        <w:rPr>
          <w:noProof/>
          <w:lang w:val="en-IE"/>
        </w:rPr>
        <w:t>of the labour effort</w:t>
      </w:r>
      <w:r w:rsidR="00FC22F9" w:rsidRPr="00FC22F9">
        <w:rPr>
          <w:noProof/>
          <w:lang w:val="en-IE"/>
        </w:rPr>
        <w:t xml:space="preserve"> </w:t>
      </w:r>
      <w:r w:rsidR="00B112C5">
        <w:rPr>
          <w:noProof/>
          <w:lang w:val="en-IE"/>
        </w:rPr>
        <w:t xml:space="preserve">stem from </w:t>
      </w:r>
      <w:r w:rsidR="00FC22F9" w:rsidRPr="00FC22F9">
        <w:rPr>
          <w:noProof/>
          <w:lang w:val="en-IE"/>
        </w:rPr>
        <w:t>the few available sources</w:t>
      </w:r>
      <w:r w:rsidR="005F5395">
        <w:rPr>
          <w:noProof/>
          <w:lang w:val="en-IE"/>
        </w:rPr>
        <w:t xml:space="preserve"> and </w:t>
      </w:r>
      <w:r w:rsidR="00FC22F9" w:rsidRPr="00FC22F9">
        <w:rPr>
          <w:noProof/>
          <w:lang w:val="en-IE"/>
        </w:rPr>
        <w:t>estimations</w:t>
      </w:r>
      <w:r w:rsidR="005F5395">
        <w:rPr>
          <w:noProof/>
          <w:lang w:val="en-IE"/>
        </w:rPr>
        <w:t xml:space="preserve"> provided in confidence by experience</w:t>
      </w:r>
      <w:r w:rsidR="000C3CD6">
        <w:rPr>
          <w:noProof/>
          <w:lang w:val="en-IE"/>
        </w:rPr>
        <w:t xml:space="preserve">d </w:t>
      </w:r>
      <w:r w:rsidR="00EA0C70">
        <w:rPr>
          <w:noProof/>
          <w:lang w:val="en-IE"/>
        </w:rPr>
        <w:t>personnel</w:t>
      </w:r>
      <w:r w:rsidR="000C3CD6">
        <w:rPr>
          <w:noProof/>
          <w:lang w:val="en-IE"/>
        </w:rPr>
        <w:t xml:space="preserve"> of the public sector</w:t>
      </w:r>
      <w:r w:rsidR="00EA0C70">
        <w:rPr>
          <w:noProof/>
          <w:lang w:val="en-IE"/>
        </w:rPr>
        <w:t xml:space="preserve"> who have tackled complex </w:t>
      </w:r>
      <w:r w:rsidR="00AA4B44">
        <w:rPr>
          <w:noProof/>
          <w:lang w:val="en-IE"/>
        </w:rPr>
        <w:t>porting projects</w:t>
      </w:r>
      <w:r w:rsidR="00FC22F9" w:rsidRPr="00FC22F9">
        <w:rPr>
          <w:noProof/>
          <w:lang w:val="en-IE"/>
        </w:rPr>
        <w:t xml:space="preserve">. </w:t>
      </w:r>
    </w:p>
    <w:p w14:paraId="2196966C" w14:textId="260EBFA7" w:rsidR="002F0637" w:rsidRDefault="002F0637" w:rsidP="002F0637">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69</w:t>
      </w:r>
      <w:r>
        <w:rPr>
          <w:b/>
          <w:iCs/>
          <w:noProof/>
          <w:color w:val="000000" w:themeColor="text1"/>
          <w:sz w:val="20"/>
          <w:szCs w:val="18"/>
          <w:lang w:val="en-IE"/>
        </w:rPr>
        <w:fldChar w:fldCharType="end"/>
      </w:r>
      <w:r>
        <w:rPr>
          <w:b/>
          <w:iCs/>
          <w:noProof/>
          <w:color w:val="000000" w:themeColor="text1"/>
          <w:sz w:val="20"/>
          <w:szCs w:val="18"/>
          <w:lang w:val="en-IE"/>
        </w:rPr>
        <w:t xml:space="preserve">. Estimation of </w:t>
      </w:r>
      <w:r w:rsidR="00CC0250">
        <w:rPr>
          <w:b/>
          <w:iCs/>
          <w:noProof/>
          <w:color w:val="000000" w:themeColor="text1"/>
          <w:sz w:val="20"/>
          <w:szCs w:val="18"/>
          <w:lang w:val="en-IE"/>
        </w:rPr>
        <w:t xml:space="preserve">effort </w:t>
      </w:r>
      <w:r w:rsidR="00B57D03">
        <w:rPr>
          <w:b/>
          <w:iCs/>
          <w:noProof/>
          <w:color w:val="000000" w:themeColor="text1"/>
          <w:sz w:val="20"/>
          <w:szCs w:val="18"/>
          <w:lang w:val="en-IE"/>
        </w:rPr>
        <w:t>incurred</w:t>
      </w:r>
      <w:r w:rsidR="00CC0250">
        <w:rPr>
          <w:b/>
          <w:iCs/>
          <w:noProof/>
          <w:color w:val="000000" w:themeColor="text1"/>
          <w:sz w:val="20"/>
          <w:szCs w:val="18"/>
          <w:lang w:val="en-IE"/>
        </w:rPr>
        <w:t xml:space="preserve"> </w:t>
      </w:r>
      <w:r w:rsidR="00EB2CDD">
        <w:rPr>
          <w:b/>
          <w:iCs/>
          <w:noProof/>
          <w:color w:val="000000" w:themeColor="text1"/>
          <w:sz w:val="20"/>
          <w:szCs w:val="18"/>
          <w:lang w:val="en-IE"/>
        </w:rPr>
        <w:t xml:space="preserve">in a </w:t>
      </w:r>
      <w:r w:rsidR="006707B4">
        <w:rPr>
          <w:b/>
          <w:iCs/>
          <w:noProof/>
          <w:color w:val="000000" w:themeColor="text1"/>
          <w:sz w:val="20"/>
          <w:szCs w:val="18"/>
          <w:lang w:val="en-IE"/>
        </w:rPr>
        <w:t>porting</w:t>
      </w:r>
      <w:r w:rsidR="00EE7A8E">
        <w:rPr>
          <w:b/>
          <w:iCs/>
          <w:noProof/>
          <w:color w:val="000000" w:themeColor="text1"/>
          <w:sz w:val="20"/>
          <w:szCs w:val="18"/>
          <w:lang w:val="en-IE"/>
        </w:rPr>
        <w:t xml:space="preserve">, </w:t>
      </w:r>
      <w:r w:rsidR="002A1DF2">
        <w:rPr>
          <w:b/>
          <w:iCs/>
          <w:noProof/>
          <w:color w:val="000000" w:themeColor="text1"/>
          <w:sz w:val="20"/>
          <w:szCs w:val="18"/>
          <w:lang w:val="en-IE"/>
        </w:rPr>
        <w:t>cloud-to-</w:t>
      </w:r>
      <w:r w:rsidR="006707B4">
        <w:rPr>
          <w:b/>
          <w:iCs/>
          <w:noProof/>
          <w:color w:val="000000" w:themeColor="text1"/>
          <w:sz w:val="20"/>
          <w:szCs w:val="18"/>
          <w:lang w:val="en-IE"/>
        </w:rPr>
        <w:t xml:space="preserve">sovereign </w:t>
      </w:r>
      <w:r w:rsidR="002A1DF2">
        <w:rPr>
          <w:b/>
          <w:iCs/>
          <w:noProof/>
          <w:color w:val="000000" w:themeColor="text1"/>
          <w:sz w:val="20"/>
          <w:szCs w:val="18"/>
          <w:lang w:val="en-IE"/>
        </w:rPr>
        <w:t>cloud</w:t>
      </w:r>
      <w:r w:rsidR="00EE7A8E">
        <w:rPr>
          <w:b/>
          <w:iCs/>
          <w:noProof/>
          <w:color w:val="000000" w:themeColor="text1"/>
          <w:sz w:val="20"/>
          <w:szCs w:val="18"/>
          <w:lang w:val="en-IE"/>
        </w:rPr>
        <w:t>, broken down in phases</w:t>
      </w:r>
      <w:r>
        <w:rPr>
          <w:b/>
          <w:iCs/>
          <w:noProof/>
          <w:color w:val="000000" w:themeColor="text1"/>
          <w:sz w:val="20"/>
          <w:szCs w:val="18"/>
          <w:lang w:val="en-IE"/>
        </w:rPr>
        <w:t xml:space="preserve"> </w:t>
      </w:r>
      <w:r w:rsidR="004E2380">
        <w:rPr>
          <w:b/>
          <w:iCs/>
          <w:noProof/>
          <w:color w:val="000000" w:themeColor="text1"/>
          <w:sz w:val="20"/>
          <w:szCs w:val="18"/>
          <w:lang w:val="en-IE"/>
        </w:rPr>
        <w:t>(</w:t>
      </w:r>
      <w:r>
        <w:rPr>
          <w:b/>
          <w:iCs/>
          <w:noProof/>
          <w:color w:val="000000" w:themeColor="text1"/>
          <w:sz w:val="20"/>
          <w:szCs w:val="18"/>
          <w:lang w:val="en-IE"/>
        </w:rPr>
        <w:t>central valu</w:t>
      </w:r>
      <w:r w:rsidR="002515CD">
        <w:rPr>
          <w:b/>
          <w:iCs/>
          <w:noProof/>
          <w:color w:val="000000" w:themeColor="text1"/>
          <w:sz w:val="20"/>
          <w:szCs w:val="18"/>
          <w:lang w:val="en-IE"/>
        </w:rPr>
        <w:t>e</w:t>
      </w:r>
      <w:r>
        <w:rPr>
          <w:b/>
          <w:iCs/>
          <w:noProof/>
          <w:color w:val="000000" w:themeColor="text1"/>
          <w:sz w:val="20"/>
          <w:szCs w:val="18"/>
          <w:lang w:val="en-IE"/>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2"/>
        <w:gridCol w:w="1276"/>
        <w:gridCol w:w="1278"/>
        <w:gridCol w:w="1383"/>
      </w:tblGrid>
      <w:tr w:rsidR="000659E0" w:rsidRPr="00765562" w14:paraId="39D02832" w14:textId="77777777" w:rsidTr="00C144D2">
        <w:trPr>
          <w:trHeight w:val="300"/>
        </w:trPr>
        <w:tc>
          <w:tcPr>
            <w:tcW w:w="2714" w:type="pct"/>
            <w:shd w:val="clear" w:color="000000" w:fill="4D93D9"/>
            <w:noWrap/>
            <w:hideMark/>
          </w:tcPr>
          <w:p w14:paraId="5AB2B4E6" w14:textId="000D6134" w:rsidR="00765562" w:rsidRPr="003E3396" w:rsidRDefault="00AA4B44" w:rsidP="00765562">
            <w:pPr>
              <w:spacing w:after="0"/>
              <w:jc w:val="left"/>
              <w:rPr>
                <w:rFonts w:eastAsia="Times New Roman"/>
                <w:b/>
                <w:noProof/>
                <w:color w:val="FFFFFF"/>
                <w:sz w:val="22"/>
                <w:szCs w:val="22"/>
                <w:lang w:val="en-IE" w:eastAsia="en-IE"/>
              </w:rPr>
            </w:pPr>
            <w:r>
              <w:rPr>
                <w:rFonts w:eastAsia="Times New Roman"/>
                <w:b/>
                <w:noProof/>
                <w:color w:val="FFFFFF"/>
                <w:sz w:val="22"/>
                <w:szCs w:val="22"/>
                <w:lang w:val="en-IE" w:eastAsia="en-IE"/>
              </w:rPr>
              <w:t>Porting</w:t>
            </w:r>
            <w:r w:rsidR="00765562" w:rsidRPr="003E3396">
              <w:rPr>
                <w:rFonts w:eastAsia="Times New Roman"/>
                <w:b/>
                <w:noProof/>
                <w:color w:val="FFFFFF"/>
                <w:sz w:val="22"/>
                <w:szCs w:val="22"/>
                <w:lang w:val="en-IE" w:eastAsia="en-IE"/>
              </w:rPr>
              <w:t xml:space="preserve"> phases Sovereign Cloud</w:t>
            </w:r>
          </w:p>
        </w:tc>
        <w:tc>
          <w:tcPr>
            <w:tcW w:w="741" w:type="pct"/>
            <w:shd w:val="clear" w:color="000000" w:fill="4D93D9"/>
            <w:noWrap/>
            <w:hideMark/>
          </w:tcPr>
          <w:p w14:paraId="14D2BED6" w14:textId="41AED4D7" w:rsidR="00765562" w:rsidRPr="003E3396" w:rsidRDefault="00765562" w:rsidP="00765562">
            <w:pPr>
              <w:spacing w:after="0"/>
              <w:jc w:val="left"/>
              <w:rPr>
                <w:rFonts w:eastAsia="Times New Roman"/>
                <w:b/>
                <w:noProof/>
                <w:color w:val="FFFFFF"/>
                <w:sz w:val="22"/>
                <w:szCs w:val="22"/>
                <w:lang w:val="en-IE" w:eastAsia="en-IE"/>
              </w:rPr>
            </w:pPr>
            <w:r w:rsidRPr="003E3396">
              <w:rPr>
                <w:rFonts w:eastAsia="Times New Roman"/>
                <w:b/>
                <w:noProof/>
                <w:color w:val="FFFFFF"/>
                <w:sz w:val="22"/>
                <w:szCs w:val="22"/>
                <w:lang w:val="en-IE" w:eastAsia="en-IE"/>
              </w:rPr>
              <w:t>Small application</w:t>
            </w:r>
            <w:r w:rsidR="002F0637">
              <w:rPr>
                <w:rFonts w:eastAsia="Times New Roman"/>
                <w:b/>
                <w:bCs/>
                <w:noProof/>
                <w:color w:val="FFFFFF"/>
                <w:sz w:val="22"/>
                <w:szCs w:val="22"/>
                <w:lang w:val="en-IE" w:eastAsia="en-IE"/>
              </w:rPr>
              <w:t xml:space="preserve"> (hours)</w:t>
            </w:r>
          </w:p>
        </w:tc>
        <w:tc>
          <w:tcPr>
            <w:tcW w:w="742" w:type="pct"/>
            <w:shd w:val="clear" w:color="000000" w:fill="4D93D9"/>
            <w:noWrap/>
            <w:hideMark/>
          </w:tcPr>
          <w:p w14:paraId="73EFE511" w14:textId="37D24D1B" w:rsidR="00765562" w:rsidRPr="003E3396" w:rsidRDefault="00765562" w:rsidP="00765562">
            <w:pPr>
              <w:spacing w:after="0"/>
              <w:jc w:val="left"/>
              <w:rPr>
                <w:rFonts w:eastAsia="Times New Roman"/>
                <w:b/>
                <w:noProof/>
                <w:color w:val="FFFFFF"/>
                <w:sz w:val="22"/>
                <w:szCs w:val="22"/>
                <w:lang w:val="en-IE" w:eastAsia="en-IE"/>
              </w:rPr>
            </w:pPr>
            <w:r w:rsidRPr="003E3396">
              <w:rPr>
                <w:rFonts w:eastAsia="Times New Roman"/>
                <w:b/>
                <w:noProof/>
                <w:color w:val="FFFFFF"/>
                <w:sz w:val="22"/>
                <w:szCs w:val="22"/>
                <w:lang w:val="en-IE" w:eastAsia="en-IE"/>
              </w:rPr>
              <w:t>Mid-size application</w:t>
            </w:r>
            <w:r w:rsidR="002F0637">
              <w:rPr>
                <w:rFonts w:eastAsia="Times New Roman"/>
                <w:b/>
                <w:bCs/>
                <w:noProof/>
                <w:color w:val="FFFFFF"/>
                <w:sz w:val="22"/>
                <w:szCs w:val="22"/>
                <w:lang w:val="en-IE" w:eastAsia="en-IE"/>
              </w:rPr>
              <w:t xml:space="preserve"> (hours)</w:t>
            </w:r>
          </w:p>
        </w:tc>
        <w:tc>
          <w:tcPr>
            <w:tcW w:w="803" w:type="pct"/>
            <w:shd w:val="clear" w:color="000000" w:fill="4D93D9"/>
            <w:noWrap/>
            <w:hideMark/>
          </w:tcPr>
          <w:p w14:paraId="5533A866" w14:textId="1F4D516C" w:rsidR="00765562" w:rsidRPr="003E3396" w:rsidRDefault="00765562" w:rsidP="00765562">
            <w:pPr>
              <w:spacing w:after="0"/>
              <w:jc w:val="left"/>
              <w:rPr>
                <w:rFonts w:eastAsia="Times New Roman"/>
                <w:b/>
                <w:noProof/>
                <w:color w:val="FFFFFF"/>
                <w:sz w:val="22"/>
                <w:szCs w:val="22"/>
                <w:lang w:val="en-IE" w:eastAsia="en-IE"/>
              </w:rPr>
            </w:pPr>
            <w:r w:rsidRPr="003E3396">
              <w:rPr>
                <w:rFonts w:eastAsia="Times New Roman"/>
                <w:b/>
                <w:noProof/>
                <w:color w:val="FFFFFF"/>
                <w:sz w:val="22"/>
                <w:szCs w:val="22"/>
                <w:lang w:val="en-IE" w:eastAsia="en-IE"/>
              </w:rPr>
              <w:t>Large application</w:t>
            </w:r>
            <w:r w:rsidR="002F0637">
              <w:rPr>
                <w:rFonts w:eastAsia="Times New Roman"/>
                <w:b/>
                <w:bCs/>
                <w:noProof/>
                <w:color w:val="FFFFFF"/>
                <w:sz w:val="22"/>
                <w:szCs w:val="22"/>
                <w:lang w:val="en-IE" w:eastAsia="en-IE"/>
              </w:rPr>
              <w:t xml:space="preserve"> (hours)</w:t>
            </w:r>
          </w:p>
        </w:tc>
      </w:tr>
      <w:tr w:rsidR="000659E0" w:rsidRPr="00765562" w14:paraId="62903A97" w14:textId="77777777" w:rsidTr="00C144D2">
        <w:trPr>
          <w:trHeight w:val="77"/>
        </w:trPr>
        <w:tc>
          <w:tcPr>
            <w:tcW w:w="2714" w:type="pct"/>
            <w:shd w:val="clear" w:color="000000" w:fill="DAE9F8"/>
            <w:noWrap/>
            <w:hideMark/>
          </w:tcPr>
          <w:p w14:paraId="01A2E986" w14:textId="77777777"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Phase 1 – Feasibility assessment</w:t>
            </w:r>
          </w:p>
        </w:tc>
        <w:tc>
          <w:tcPr>
            <w:tcW w:w="741" w:type="pct"/>
            <w:noWrap/>
            <w:hideMark/>
          </w:tcPr>
          <w:p w14:paraId="61E5679C" w14:textId="54B1FD28" w:rsidR="004E2380" w:rsidRPr="003E3396" w:rsidRDefault="00EA6956" w:rsidP="004E2380">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40</w:t>
            </w:r>
          </w:p>
        </w:tc>
        <w:tc>
          <w:tcPr>
            <w:tcW w:w="742" w:type="pct"/>
            <w:noWrap/>
            <w:hideMark/>
          </w:tcPr>
          <w:p w14:paraId="38C4B2C6" w14:textId="6BB97B12"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290</w:t>
            </w:r>
          </w:p>
        </w:tc>
        <w:tc>
          <w:tcPr>
            <w:tcW w:w="803" w:type="pct"/>
            <w:noWrap/>
            <w:hideMark/>
          </w:tcPr>
          <w:p w14:paraId="6D0B38D5" w14:textId="0DE1C5F7"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470</w:t>
            </w:r>
          </w:p>
        </w:tc>
      </w:tr>
      <w:tr w:rsidR="000659E0" w:rsidRPr="00765562" w14:paraId="69836C8A" w14:textId="77777777" w:rsidTr="00C144D2">
        <w:trPr>
          <w:trHeight w:val="300"/>
        </w:trPr>
        <w:tc>
          <w:tcPr>
            <w:tcW w:w="2714" w:type="pct"/>
            <w:shd w:val="clear" w:color="000000" w:fill="DAE9F8"/>
            <w:noWrap/>
            <w:hideMark/>
          </w:tcPr>
          <w:p w14:paraId="52248C65" w14:textId="77777777"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Phase 2 – Strategy and planning</w:t>
            </w:r>
          </w:p>
        </w:tc>
        <w:tc>
          <w:tcPr>
            <w:tcW w:w="741" w:type="pct"/>
            <w:noWrap/>
            <w:hideMark/>
          </w:tcPr>
          <w:p w14:paraId="5F2ADADA" w14:textId="6B17610A"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75</w:t>
            </w:r>
          </w:p>
        </w:tc>
        <w:tc>
          <w:tcPr>
            <w:tcW w:w="742" w:type="pct"/>
            <w:noWrap/>
            <w:hideMark/>
          </w:tcPr>
          <w:p w14:paraId="0A1AC713" w14:textId="49917A1D"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470</w:t>
            </w:r>
          </w:p>
        </w:tc>
        <w:tc>
          <w:tcPr>
            <w:tcW w:w="803" w:type="pct"/>
            <w:noWrap/>
            <w:hideMark/>
          </w:tcPr>
          <w:p w14:paraId="4053CA44" w14:textId="2C50BCB9"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w:t>
            </w:r>
            <w:r w:rsidR="001E3F69" w:rsidRPr="002E7341">
              <w:rPr>
                <w:rFonts w:ascii="Aptos Narrow" w:eastAsia="Times New Roman" w:hAnsi="Aptos Narrow"/>
                <w:noProof/>
                <w:color w:val="000000"/>
                <w:sz w:val="22"/>
                <w:szCs w:val="22"/>
                <w:lang w:val="en-IE" w:eastAsia="en-IE"/>
              </w:rPr>
              <w:t>,</w:t>
            </w:r>
            <w:r w:rsidRPr="002E7341">
              <w:rPr>
                <w:rFonts w:ascii="Aptos Narrow" w:eastAsia="Times New Roman" w:hAnsi="Aptos Narrow"/>
                <w:noProof/>
                <w:color w:val="000000"/>
                <w:sz w:val="22"/>
                <w:szCs w:val="22"/>
                <w:lang w:val="en-IE" w:eastAsia="en-IE"/>
              </w:rPr>
              <w:t>060</w:t>
            </w:r>
          </w:p>
        </w:tc>
      </w:tr>
      <w:tr w:rsidR="000659E0" w:rsidRPr="00765562" w14:paraId="0F7DEF95" w14:textId="77777777" w:rsidTr="00C144D2">
        <w:trPr>
          <w:trHeight w:val="300"/>
        </w:trPr>
        <w:tc>
          <w:tcPr>
            <w:tcW w:w="2714" w:type="pct"/>
            <w:shd w:val="clear" w:color="000000" w:fill="DAE9F8"/>
            <w:noWrap/>
            <w:hideMark/>
          </w:tcPr>
          <w:p w14:paraId="71E7E22A" w14:textId="77777777"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Phase 3 – Target environment set up</w:t>
            </w:r>
          </w:p>
        </w:tc>
        <w:tc>
          <w:tcPr>
            <w:tcW w:w="741" w:type="pct"/>
            <w:noWrap/>
            <w:hideMark/>
          </w:tcPr>
          <w:p w14:paraId="67DC6502" w14:textId="275DB196"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28</w:t>
            </w:r>
          </w:p>
        </w:tc>
        <w:tc>
          <w:tcPr>
            <w:tcW w:w="742" w:type="pct"/>
            <w:noWrap/>
            <w:hideMark/>
          </w:tcPr>
          <w:p w14:paraId="0D1BF265" w14:textId="5722DCE1"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205</w:t>
            </w:r>
          </w:p>
        </w:tc>
        <w:tc>
          <w:tcPr>
            <w:tcW w:w="803" w:type="pct"/>
            <w:noWrap/>
            <w:hideMark/>
          </w:tcPr>
          <w:p w14:paraId="042EB90E" w14:textId="3191CF17"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540</w:t>
            </w:r>
          </w:p>
        </w:tc>
      </w:tr>
      <w:tr w:rsidR="000659E0" w:rsidRPr="00765562" w14:paraId="6C70D7A9" w14:textId="77777777" w:rsidTr="00C144D2">
        <w:trPr>
          <w:trHeight w:val="300"/>
        </w:trPr>
        <w:tc>
          <w:tcPr>
            <w:tcW w:w="2714" w:type="pct"/>
            <w:shd w:val="clear" w:color="000000" w:fill="DAE9F8"/>
            <w:noWrap/>
            <w:hideMark/>
          </w:tcPr>
          <w:p w14:paraId="6D5CE205" w14:textId="483361BE"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 xml:space="preserve">Phase 4 – </w:t>
            </w:r>
            <w:r w:rsidR="00AA4B44">
              <w:rPr>
                <w:rFonts w:eastAsia="Times New Roman"/>
                <w:noProof/>
                <w:color w:val="000000"/>
                <w:sz w:val="22"/>
                <w:szCs w:val="22"/>
                <w:lang w:val="en-IE" w:eastAsia="en-IE"/>
              </w:rPr>
              <w:t>Porting</w:t>
            </w:r>
          </w:p>
        </w:tc>
        <w:tc>
          <w:tcPr>
            <w:tcW w:w="741" w:type="pct"/>
            <w:noWrap/>
            <w:hideMark/>
          </w:tcPr>
          <w:p w14:paraId="1F57D12E" w14:textId="5D3A76F9"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173</w:t>
            </w:r>
          </w:p>
        </w:tc>
        <w:tc>
          <w:tcPr>
            <w:tcW w:w="742" w:type="pct"/>
            <w:noWrap/>
            <w:hideMark/>
          </w:tcPr>
          <w:p w14:paraId="070092D4" w14:textId="5704C116" w:rsidR="00765562" w:rsidRPr="003E3396" w:rsidRDefault="00765562"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w:t>
            </w:r>
            <w:r w:rsidR="001E3F69" w:rsidRPr="002E7341">
              <w:rPr>
                <w:rFonts w:ascii="Aptos Narrow" w:eastAsia="Times New Roman" w:hAnsi="Aptos Narrow"/>
                <w:noProof/>
                <w:color w:val="000000"/>
                <w:sz w:val="22"/>
                <w:szCs w:val="22"/>
                <w:lang w:val="en-IE" w:eastAsia="en-IE"/>
              </w:rPr>
              <w:t>,</w:t>
            </w:r>
            <w:r w:rsidR="00EA6956" w:rsidRPr="002E7341">
              <w:rPr>
                <w:rFonts w:ascii="Aptos Narrow" w:eastAsia="Times New Roman" w:hAnsi="Aptos Narrow"/>
                <w:noProof/>
                <w:color w:val="000000"/>
                <w:sz w:val="22"/>
                <w:szCs w:val="22"/>
                <w:lang w:val="en-IE" w:eastAsia="en-IE"/>
              </w:rPr>
              <w:t>496</w:t>
            </w:r>
          </w:p>
        </w:tc>
        <w:tc>
          <w:tcPr>
            <w:tcW w:w="803" w:type="pct"/>
            <w:noWrap/>
            <w:hideMark/>
          </w:tcPr>
          <w:p w14:paraId="3C0D7C93" w14:textId="2D08114A" w:rsidR="00765562" w:rsidRPr="003E3396" w:rsidRDefault="00765562"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3</w:t>
            </w:r>
            <w:r w:rsidR="001E3F69" w:rsidRPr="002E7341">
              <w:rPr>
                <w:rFonts w:ascii="Aptos Narrow" w:eastAsia="Times New Roman" w:hAnsi="Aptos Narrow"/>
                <w:noProof/>
                <w:color w:val="000000"/>
                <w:sz w:val="22"/>
                <w:szCs w:val="22"/>
                <w:lang w:val="en-IE" w:eastAsia="en-IE"/>
              </w:rPr>
              <w:t>,</w:t>
            </w:r>
            <w:r w:rsidR="00EA6956" w:rsidRPr="002E7341">
              <w:rPr>
                <w:rFonts w:ascii="Aptos Narrow" w:eastAsia="Times New Roman" w:hAnsi="Aptos Narrow"/>
                <w:noProof/>
                <w:color w:val="000000"/>
                <w:sz w:val="22"/>
                <w:szCs w:val="22"/>
                <w:lang w:val="en-IE" w:eastAsia="en-IE"/>
              </w:rPr>
              <w:t>860</w:t>
            </w:r>
          </w:p>
        </w:tc>
      </w:tr>
      <w:tr w:rsidR="000659E0" w:rsidRPr="00765562" w14:paraId="41D291C2" w14:textId="77777777" w:rsidTr="00C144D2">
        <w:trPr>
          <w:trHeight w:val="300"/>
        </w:trPr>
        <w:tc>
          <w:tcPr>
            <w:tcW w:w="2714" w:type="pct"/>
            <w:shd w:val="clear" w:color="000000" w:fill="DAE9F8"/>
            <w:noWrap/>
            <w:hideMark/>
          </w:tcPr>
          <w:p w14:paraId="400E5A71" w14:textId="77777777"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Phase 5 – Testing and validation</w:t>
            </w:r>
          </w:p>
        </w:tc>
        <w:tc>
          <w:tcPr>
            <w:tcW w:w="741" w:type="pct"/>
            <w:noWrap/>
            <w:hideMark/>
          </w:tcPr>
          <w:p w14:paraId="01B07832" w14:textId="7D352CB5"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64</w:t>
            </w:r>
          </w:p>
        </w:tc>
        <w:tc>
          <w:tcPr>
            <w:tcW w:w="742" w:type="pct"/>
            <w:noWrap/>
            <w:hideMark/>
          </w:tcPr>
          <w:p w14:paraId="69FFD327" w14:textId="4F61315B"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640</w:t>
            </w:r>
          </w:p>
        </w:tc>
        <w:tc>
          <w:tcPr>
            <w:tcW w:w="803" w:type="pct"/>
            <w:noWrap/>
            <w:hideMark/>
          </w:tcPr>
          <w:p w14:paraId="165479D5" w14:textId="083C7101" w:rsidR="00765562" w:rsidRPr="003E3396" w:rsidRDefault="00765562"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w:t>
            </w:r>
            <w:r w:rsidR="001E3F69" w:rsidRPr="002E7341">
              <w:rPr>
                <w:rFonts w:ascii="Aptos Narrow" w:eastAsia="Times New Roman" w:hAnsi="Aptos Narrow"/>
                <w:noProof/>
                <w:color w:val="000000"/>
                <w:sz w:val="22"/>
                <w:szCs w:val="22"/>
                <w:lang w:val="en-IE" w:eastAsia="en-IE"/>
              </w:rPr>
              <w:t>,</w:t>
            </w:r>
            <w:r w:rsidRPr="002E7341">
              <w:rPr>
                <w:rFonts w:ascii="Aptos Narrow" w:eastAsia="Times New Roman" w:hAnsi="Aptos Narrow"/>
                <w:noProof/>
                <w:color w:val="000000"/>
                <w:sz w:val="22"/>
                <w:szCs w:val="22"/>
                <w:lang w:val="en-IE" w:eastAsia="en-IE"/>
              </w:rPr>
              <w:t>200</w:t>
            </w:r>
          </w:p>
        </w:tc>
      </w:tr>
      <w:tr w:rsidR="000659E0" w:rsidRPr="00765562" w14:paraId="208E7060" w14:textId="77777777" w:rsidTr="00C144D2">
        <w:trPr>
          <w:trHeight w:val="300"/>
        </w:trPr>
        <w:tc>
          <w:tcPr>
            <w:tcW w:w="2714" w:type="pct"/>
            <w:shd w:val="clear" w:color="000000" w:fill="DAE9F8"/>
            <w:noWrap/>
            <w:hideMark/>
          </w:tcPr>
          <w:p w14:paraId="462E8DDA" w14:textId="77777777"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Phase 6 - Cutover and Switching</w:t>
            </w:r>
          </w:p>
        </w:tc>
        <w:tc>
          <w:tcPr>
            <w:tcW w:w="741" w:type="pct"/>
            <w:noWrap/>
            <w:hideMark/>
          </w:tcPr>
          <w:p w14:paraId="0304BDE3" w14:textId="3B462AEB"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16</w:t>
            </w:r>
          </w:p>
        </w:tc>
        <w:tc>
          <w:tcPr>
            <w:tcW w:w="742" w:type="pct"/>
            <w:noWrap/>
            <w:hideMark/>
          </w:tcPr>
          <w:p w14:paraId="67F57133" w14:textId="4A8357CA"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128</w:t>
            </w:r>
          </w:p>
        </w:tc>
        <w:tc>
          <w:tcPr>
            <w:tcW w:w="803" w:type="pct"/>
            <w:noWrap/>
            <w:hideMark/>
          </w:tcPr>
          <w:p w14:paraId="4E049329" w14:textId="42F5DFE5"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410</w:t>
            </w:r>
          </w:p>
        </w:tc>
      </w:tr>
      <w:tr w:rsidR="000659E0" w:rsidRPr="00765562" w14:paraId="1E6750C5" w14:textId="77777777" w:rsidTr="00C144D2">
        <w:trPr>
          <w:trHeight w:val="300"/>
        </w:trPr>
        <w:tc>
          <w:tcPr>
            <w:tcW w:w="2714" w:type="pct"/>
            <w:shd w:val="clear" w:color="000000" w:fill="DAE9F8"/>
            <w:noWrap/>
            <w:hideMark/>
          </w:tcPr>
          <w:p w14:paraId="1379DC9C" w14:textId="185C8DF4" w:rsidR="00765562" w:rsidRPr="003E3396" w:rsidRDefault="00765562" w:rsidP="00765562">
            <w:pPr>
              <w:spacing w:after="0"/>
              <w:jc w:val="left"/>
              <w:rPr>
                <w:rFonts w:eastAsia="Times New Roman"/>
                <w:noProof/>
                <w:color w:val="000000"/>
                <w:sz w:val="22"/>
                <w:szCs w:val="22"/>
                <w:lang w:val="en-IE" w:eastAsia="en-IE"/>
              </w:rPr>
            </w:pPr>
            <w:r w:rsidRPr="003E3396">
              <w:rPr>
                <w:rFonts w:eastAsia="Times New Roman"/>
                <w:noProof/>
                <w:color w:val="000000"/>
                <w:sz w:val="22"/>
                <w:szCs w:val="22"/>
                <w:lang w:val="en-IE" w:eastAsia="en-IE"/>
              </w:rPr>
              <w:t xml:space="preserve">Phase 7 – Post – </w:t>
            </w:r>
            <w:r w:rsidR="00AA4B44">
              <w:rPr>
                <w:rFonts w:eastAsia="Times New Roman"/>
                <w:noProof/>
                <w:color w:val="000000"/>
                <w:sz w:val="22"/>
                <w:szCs w:val="22"/>
                <w:lang w:val="en-IE" w:eastAsia="en-IE"/>
              </w:rPr>
              <w:t>porting</w:t>
            </w:r>
            <w:r w:rsidRPr="003E3396">
              <w:rPr>
                <w:rFonts w:eastAsia="Times New Roman"/>
                <w:noProof/>
                <w:color w:val="000000"/>
                <w:sz w:val="22"/>
                <w:szCs w:val="22"/>
                <w:lang w:val="en-IE" w:eastAsia="en-IE"/>
              </w:rPr>
              <w:t xml:space="preserve"> and decommission</w:t>
            </w:r>
          </w:p>
        </w:tc>
        <w:tc>
          <w:tcPr>
            <w:tcW w:w="741" w:type="pct"/>
            <w:noWrap/>
            <w:hideMark/>
          </w:tcPr>
          <w:p w14:paraId="4510F5F5" w14:textId="75027D6C"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12</w:t>
            </w:r>
          </w:p>
        </w:tc>
        <w:tc>
          <w:tcPr>
            <w:tcW w:w="742" w:type="pct"/>
            <w:noWrap/>
            <w:hideMark/>
          </w:tcPr>
          <w:p w14:paraId="36B89511" w14:textId="3E347D5F"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108</w:t>
            </w:r>
          </w:p>
        </w:tc>
        <w:tc>
          <w:tcPr>
            <w:tcW w:w="803" w:type="pct"/>
            <w:noWrap/>
            <w:hideMark/>
          </w:tcPr>
          <w:p w14:paraId="623B7794" w14:textId="52C2FC3B" w:rsidR="00765562" w:rsidRPr="003E3396" w:rsidRDefault="00EA6956" w:rsidP="00765562">
            <w:pPr>
              <w:spacing w:after="0"/>
              <w:jc w:val="right"/>
              <w:rPr>
                <w:rFonts w:eastAsia="Times New Roman"/>
                <w:noProof/>
                <w:color w:val="000000"/>
                <w:sz w:val="22"/>
                <w:szCs w:val="22"/>
                <w:lang w:val="en-IE" w:eastAsia="en-IE"/>
              </w:rPr>
            </w:pPr>
            <w:r w:rsidRPr="002E7341">
              <w:rPr>
                <w:rFonts w:ascii="Aptos Narrow" w:eastAsia="Times New Roman" w:hAnsi="Aptos Narrow"/>
                <w:noProof/>
                <w:color w:val="000000"/>
                <w:sz w:val="22"/>
                <w:szCs w:val="22"/>
                <w:lang w:val="en-IE" w:eastAsia="en-IE"/>
              </w:rPr>
              <w:t>460</w:t>
            </w:r>
          </w:p>
        </w:tc>
      </w:tr>
      <w:tr w:rsidR="000659E0" w:rsidRPr="00765562" w14:paraId="4844AB99" w14:textId="77777777" w:rsidTr="00C144D2">
        <w:trPr>
          <w:trHeight w:val="300"/>
        </w:trPr>
        <w:tc>
          <w:tcPr>
            <w:tcW w:w="2714" w:type="pct"/>
            <w:shd w:val="clear" w:color="000000" w:fill="E8E8E8"/>
            <w:noWrap/>
            <w:hideMark/>
          </w:tcPr>
          <w:p w14:paraId="7C924D89" w14:textId="26E634C9" w:rsidR="00765562" w:rsidRPr="003E3396" w:rsidRDefault="00765562" w:rsidP="00765562">
            <w:pPr>
              <w:spacing w:after="0"/>
              <w:jc w:val="left"/>
              <w:rPr>
                <w:rFonts w:eastAsia="Times New Roman"/>
                <w:b/>
                <w:noProof/>
                <w:color w:val="000000"/>
                <w:sz w:val="22"/>
                <w:szCs w:val="22"/>
                <w:lang w:val="en-IE" w:eastAsia="en-IE"/>
              </w:rPr>
            </w:pPr>
            <w:r w:rsidRPr="003E3396">
              <w:rPr>
                <w:rFonts w:eastAsia="Times New Roman"/>
                <w:b/>
                <w:noProof/>
                <w:color w:val="000000"/>
                <w:sz w:val="22"/>
                <w:szCs w:val="22"/>
                <w:lang w:val="en-IE" w:eastAsia="en-IE"/>
              </w:rPr>
              <w:t>Total one-off effort</w:t>
            </w:r>
            <w:r w:rsidR="002F0637">
              <w:rPr>
                <w:rFonts w:eastAsia="Times New Roman"/>
                <w:b/>
                <w:bCs/>
                <w:noProof/>
                <w:color w:val="000000"/>
                <w:sz w:val="22"/>
                <w:szCs w:val="22"/>
                <w:lang w:val="en-IE" w:eastAsia="en-IE"/>
              </w:rPr>
              <w:t xml:space="preserve"> (</w:t>
            </w:r>
            <w:r w:rsidR="00CC0250">
              <w:rPr>
                <w:rFonts w:eastAsia="Times New Roman"/>
                <w:b/>
                <w:bCs/>
                <w:noProof/>
                <w:color w:val="000000"/>
                <w:sz w:val="22"/>
                <w:szCs w:val="22"/>
                <w:lang w:val="en-IE" w:eastAsia="en-IE"/>
              </w:rPr>
              <w:t>hours)</w:t>
            </w:r>
          </w:p>
        </w:tc>
        <w:tc>
          <w:tcPr>
            <w:tcW w:w="741" w:type="pct"/>
            <w:shd w:val="clear" w:color="000000" w:fill="E8E8E8"/>
            <w:noWrap/>
            <w:hideMark/>
          </w:tcPr>
          <w:p w14:paraId="13B574E9" w14:textId="1D797712" w:rsidR="00765562" w:rsidRPr="003E3396" w:rsidRDefault="00EA6956" w:rsidP="00765562">
            <w:pPr>
              <w:spacing w:after="0"/>
              <w:jc w:val="right"/>
              <w:rPr>
                <w:rFonts w:eastAsia="Times New Roman"/>
                <w:b/>
                <w:noProof/>
                <w:color w:val="000000"/>
                <w:sz w:val="22"/>
                <w:szCs w:val="22"/>
                <w:lang w:val="en-IE" w:eastAsia="en-IE"/>
              </w:rPr>
            </w:pPr>
            <w:r w:rsidRPr="003646E2">
              <w:rPr>
                <w:rFonts w:ascii="Aptos Narrow" w:eastAsia="Times New Roman" w:hAnsi="Aptos Narrow"/>
                <w:b/>
                <w:noProof/>
                <w:color w:val="000000"/>
                <w:sz w:val="22"/>
                <w:szCs w:val="22"/>
                <w:lang w:val="en-IE" w:eastAsia="en-IE"/>
              </w:rPr>
              <w:t>408</w:t>
            </w:r>
          </w:p>
        </w:tc>
        <w:tc>
          <w:tcPr>
            <w:tcW w:w="742" w:type="pct"/>
            <w:shd w:val="clear" w:color="000000" w:fill="E8E8E8"/>
            <w:noWrap/>
            <w:hideMark/>
          </w:tcPr>
          <w:p w14:paraId="3352D71A" w14:textId="53C09F97" w:rsidR="00765562" w:rsidRPr="003E3396" w:rsidRDefault="00765562" w:rsidP="00765562">
            <w:pPr>
              <w:spacing w:after="0"/>
              <w:jc w:val="right"/>
              <w:rPr>
                <w:rFonts w:eastAsia="Times New Roman"/>
                <w:b/>
                <w:noProof/>
                <w:color w:val="000000"/>
                <w:sz w:val="22"/>
                <w:szCs w:val="22"/>
                <w:lang w:val="en-IE" w:eastAsia="en-IE"/>
              </w:rPr>
            </w:pPr>
            <w:r w:rsidRPr="003646E2">
              <w:rPr>
                <w:rFonts w:ascii="Aptos Narrow" w:eastAsia="Times New Roman" w:hAnsi="Aptos Narrow"/>
                <w:b/>
                <w:noProof/>
                <w:color w:val="000000"/>
                <w:sz w:val="22"/>
                <w:szCs w:val="22"/>
                <w:lang w:val="en-IE" w:eastAsia="en-IE"/>
              </w:rPr>
              <w:t>3</w:t>
            </w:r>
            <w:r w:rsidR="001E3F69" w:rsidRPr="003646E2">
              <w:rPr>
                <w:rFonts w:ascii="Aptos Narrow" w:eastAsia="Times New Roman" w:hAnsi="Aptos Narrow"/>
                <w:b/>
                <w:noProof/>
                <w:color w:val="000000"/>
                <w:sz w:val="22"/>
                <w:szCs w:val="22"/>
                <w:lang w:val="en-IE" w:eastAsia="en-IE"/>
              </w:rPr>
              <w:t>,</w:t>
            </w:r>
            <w:r w:rsidR="00EA6956" w:rsidRPr="003646E2">
              <w:rPr>
                <w:rFonts w:ascii="Aptos Narrow" w:eastAsia="Times New Roman" w:hAnsi="Aptos Narrow"/>
                <w:b/>
                <w:noProof/>
                <w:color w:val="000000"/>
                <w:sz w:val="22"/>
                <w:szCs w:val="22"/>
                <w:lang w:val="en-IE" w:eastAsia="en-IE"/>
              </w:rPr>
              <w:t>337</w:t>
            </w:r>
          </w:p>
        </w:tc>
        <w:tc>
          <w:tcPr>
            <w:tcW w:w="803" w:type="pct"/>
            <w:shd w:val="clear" w:color="000000" w:fill="E8E8E8"/>
            <w:noWrap/>
            <w:hideMark/>
          </w:tcPr>
          <w:p w14:paraId="0C12CCBA" w14:textId="53312E0F" w:rsidR="00765562" w:rsidRPr="003E3396" w:rsidRDefault="00EA6956" w:rsidP="00765562">
            <w:pPr>
              <w:spacing w:after="0"/>
              <w:jc w:val="right"/>
              <w:rPr>
                <w:rFonts w:eastAsia="Times New Roman"/>
                <w:b/>
                <w:noProof/>
                <w:color w:val="000000"/>
                <w:sz w:val="22"/>
                <w:szCs w:val="22"/>
                <w:lang w:val="en-IE" w:eastAsia="en-IE"/>
              </w:rPr>
            </w:pPr>
            <w:r w:rsidRPr="003646E2">
              <w:rPr>
                <w:rFonts w:ascii="Aptos Narrow" w:eastAsia="Times New Roman" w:hAnsi="Aptos Narrow"/>
                <w:b/>
                <w:noProof/>
                <w:color w:val="000000"/>
                <w:sz w:val="22"/>
                <w:szCs w:val="22"/>
                <w:lang w:val="en-IE" w:eastAsia="en-IE"/>
              </w:rPr>
              <w:t>8</w:t>
            </w:r>
            <w:r w:rsidR="001E3F69" w:rsidRPr="003646E2">
              <w:rPr>
                <w:rFonts w:ascii="Aptos Narrow" w:eastAsia="Times New Roman" w:hAnsi="Aptos Narrow"/>
                <w:b/>
                <w:noProof/>
                <w:color w:val="000000"/>
                <w:sz w:val="22"/>
                <w:szCs w:val="22"/>
                <w:lang w:val="en-IE" w:eastAsia="en-IE"/>
              </w:rPr>
              <w:t>,</w:t>
            </w:r>
            <w:r w:rsidRPr="003646E2">
              <w:rPr>
                <w:rFonts w:ascii="Aptos Narrow" w:eastAsia="Times New Roman" w:hAnsi="Aptos Narrow"/>
                <w:b/>
                <w:noProof/>
                <w:color w:val="000000"/>
                <w:sz w:val="22"/>
                <w:szCs w:val="22"/>
                <w:lang w:val="en-IE" w:eastAsia="en-IE"/>
              </w:rPr>
              <w:t>000</w:t>
            </w:r>
          </w:p>
        </w:tc>
      </w:tr>
    </w:tbl>
    <w:p w14:paraId="697BBBE0" w14:textId="77777777" w:rsidR="00765562" w:rsidRDefault="00765562" w:rsidP="00FC22F9">
      <w:pPr>
        <w:rPr>
          <w:noProof/>
          <w:lang w:val="en-IE"/>
        </w:rPr>
      </w:pPr>
    </w:p>
    <w:p w14:paraId="208E8108" w14:textId="6B9C56C7" w:rsidR="007C0753" w:rsidRDefault="007C0753" w:rsidP="00FC22F9">
      <w:pPr>
        <w:rPr>
          <w:noProof/>
          <w:lang w:val="en-IE"/>
        </w:rPr>
      </w:pPr>
      <w:r>
        <w:rPr>
          <w:noProof/>
          <w:lang w:val="en-IE"/>
        </w:rPr>
        <w:t xml:space="preserve">As mentioned above, the </w:t>
      </w:r>
      <w:r w:rsidR="000C5AB0">
        <w:rPr>
          <w:noProof/>
          <w:lang w:val="en-IE"/>
        </w:rPr>
        <w:t>effort for legacy-to-cloud migration is 1.5x the effort shown above.</w:t>
      </w:r>
    </w:p>
    <w:p w14:paraId="5F450F92" w14:textId="3F4DE4A5" w:rsidR="004E2380" w:rsidRDefault="004E2380" w:rsidP="00FC22F9">
      <w:pPr>
        <w:rPr>
          <w:noProof/>
          <w:lang w:val="en-IE"/>
        </w:rPr>
      </w:pPr>
      <w:r>
        <w:rPr>
          <w:noProof/>
          <w:lang w:val="en-IE"/>
        </w:rPr>
        <w:t>The min-max values considered, and their explanation are as follows:</w:t>
      </w:r>
    </w:p>
    <w:p w14:paraId="250BA756" w14:textId="59AAE8BB" w:rsidR="00C10012" w:rsidRDefault="00C10012" w:rsidP="00C10012">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70</w:t>
      </w:r>
      <w:r>
        <w:rPr>
          <w:b/>
          <w:iCs/>
          <w:noProof/>
          <w:color w:val="000000" w:themeColor="text1"/>
          <w:sz w:val="20"/>
          <w:szCs w:val="18"/>
          <w:lang w:val="en-IE"/>
        </w:rPr>
        <w:fldChar w:fldCharType="end"/>
      </w:r>
      <w:r>
        <w:rPr>
          <w:b/>
          <w:iCs/>
          <w:noProof/>
          <w:color w:val="000000" w:themeColor="text1"/>
          <w:sz w:val="20"/>
          <w:szCs w:val="18"/>
          <w:lang w:val="en-IE"/>
        </w:rPr>
        <w:t xml:space="preserve">. Estimation of effort </w:t>
      </w:r>
      <w:r w:rsidR="00B57D03">
        <w:rPr>
          <w:b/>
          <w:iCs/>
          <w:noProof/>
          <w:color w:val="000000" w:themeColor="text1"/>
          <w:sz w:val="20"/>
          <w:szCs w:val="18"/>
          <w:lang w:val="en-IE"/>
        </w:rPr>
        <w:t>incurred in</w:t>
      </w:r>
      <w:r>
        <w:rPr>
          <w:b/>
          <w:iCs/>
          <w:noProof/>
          <w:color w:val="000000" w:themeColor="text1"/>
          <w:sz w:val="20"/>
          <w:szCs w:val="18"/>
          <w:lang w:val="en-IE"/>
        </w:rPr>
        <w:t xml:space="preserve"> </w:t>
      </w:r>
      <w:r w:rsidR="00EB2CDD">
        <w:rPr>
          <w:b/>
          <w:iCs/>
          <w:noProof/>
          <w:color w:val="000000" w:themeColor="text1"/>
          <w:sz w:val="20"/>
          <w:szCs w:val="18"/>
          <w:lang w:val="en-IE"/>
        </w:rPr>
        <w:t>a</w:t>
      </w:r>
      <w:r>
        <w:rPr>
          <w:b/>
          <w:iCs/>
          <w:noProof/>
          <w:color w:val="000000" w:themeColor="text1"/>
          <w:sz w:val="20"/>
          <w:szCs w:val="18"/>
          <w:lang w:val="en-IE"/>
        </w:rPr>
        <w:t xml:space="preserve"> migration, min-max values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9"/>
        <w:gridCol w:w="1842"/>
        <w:gridCol w:w="1699"/>
        <w:gridCol w:w="2094"/>
      </w:tblGrid>
      <w:tr w:rsidR="00C10012" w:rsidRPr="00C10012" w14:paraId="7E16760A" w14:textId="62A49A8C" w:rsidTr="003E3396">
        <w:trPr>
          <w:trHeight w:val="300"/>
          <w:tblHeader/>
        </w:trPr>
        <w:tc>
          <w:tcPr>
            <w:tcW w:w="903" w:type="pct"/>
            <w:shd w:val="clear" w:color="000000" w:fill="4D93D9"/>
            <w:noWrap/>
            <w:hideMark/>
          </w:tcPr>
          <w:p w14:paraId="735387ED" w14:textId="77777777" w:rsidR="00134127" w:rsidRPr="00C10012" w:rsidRDefault="00134127">
            <w:pPr>
              <w:spacing w:after="0"/>
              <w:jc w:val="left"/>
              <w:rPr>
                <w:rFonts w:eastAsia="Times New Roman"/>
                <w:b/>
                <w:bCs/>
                <w:noProof/>
                <w:color w:val="FFFFFF"/>
                <w:sz w:val="22"/>
                <w:szCs w:val="22"/>
                <w:lang w:val="en-IE" w:eastAsia="en-IE"/>
              </w:rPr>
            </w:pPr>
            <w:r w:rsidRPr="00C10012">
              <w:rPr>
                <w:rFonts w:eastAsia="Times New Roman"/>
                <w:b/>
                <w:bCs/>
                <w:noProof/>
                <w:color w:val="FFFFFF"/>
                <w:sz w:val="22"/>
                <w:szCs w:val="22"/>
                <w:lang w:val="en-IE" w:eastAsia="en-IE"/>
              </w:rPr>
              <w:t>Migration phases Sovereign Cloud</w:t>
            </w:r>
          </w:p>
        </w:tc>
        <w:tc>
          <w:tcPr>
            <w:tcW w:w="824" w:type="pct"/>
            <w:shd w:val="clear" w:color="000000" w:fill="4D93D9"/>
            <w:noWrap/>
            <w:hideMark/>
          </w:tcPr>
          <w:p w14:paraId="66927872" w14:textId="061E781E" w:rsidR="00134127" w:rsidRPr="00C10012" w:rsidRDefault="00134127">
            <w:pPr>
              <w:spacing w:after="0"/>
              <w:jc w:val="left"/>
              <w:rPr>
                <w:rFonts w:eastAsia="Times New Roman"/>
                <w:b/>
                <w:bCs/>
                <w:noProof/>
                <w:color w:val="FFFFFF"/>
                <w:sz w:val="22"/>
                <w:szCs w:val="22"/>
                <w:lang w:val="en-IE" w:eastAsia="en-IE"/>
              </w:rPr>
            </w:pPr>
            <w:r w:rsidRPr="00C10012">
              <w:rPr>
                <w:rFonts w:eastAsia="Times New Roman"/>
                <w:b/>
                <w:bCs/>
                <w:noProof/>
                <w:color w:val="FFFFFF"/>
                <w:sz w:val="22"/>
                <w:szCs w:val="22"/>
                <w:lang w:val="en-IE" w:eastAsia="en-IE"/>
              </w:rPr>
              <w:t>Small application (hours)</w:t>
            </w:r>
            <w:r w:rsidR="00F05459" w:rsidRPr="00C10012">
              <w:rPr>
                <w:rFonts w:eastAsia="Times New Roman"/>
                <w:b/>
                <w:bCs/>
                <w:noProof/>
                <w:color w:val="FFFFFF"/>
                <w:sz w:val="22"/>
                <w:szCs w:val="22"/>
                <w:lang w:val="en-IE" w:eastAsia="en-IE"/>
              </w:rPr>
              <w:t xml:space="preserve"> [min value, max value]</w:t>
            </w:r>
          </w:p>
        </w:tc>
        <w:tc>
          <w:tcPr>
            <w:tcW w:w="1070" w:type="pct"/>
            <w:shd w:val="clear" w:color="000000" w:fill="4D93D9"/>
            <w:noWrap/>
            <w:hideMark/>
          </w:tcPr>
          <w:p w14:paraId="1C23963E" w14:textId="2760F21F" w:rsidR="00134127" w:rsidRPr="00C10012" w:rsidRDefault="00134127">
            <w:pPr>
              <w:spacing w:after="0"/>
              <w:jc w:val="left"/>
              <w:rPr>
                <w:rFonts w:eastAsia="Times New Roman"/>
                <w:b/>
                <w:bCs/>
                <w:noProof/>
                <w:color w:val="FFFFFF"/>
                <w:sz w:val="22"/>
                <w:szCs w:val="22"/>
                <w:lang w:val="en-IE" w:eastAsia="en-IE"/>
              </w:rPr>
            </w:pPr>
            <w:r w:rsidRPr="00C10012">
              <w:rPr>
                <w:rFonts w:eastAsia="Times New Roman"/>
                <w:b/>
                <w:bCs/>
                <w:noProof/>
                <w:color w:val="FFFFFF"/>
                <w:sz w:val="22"/>
                <w:szCs w:val="22"/>
                <w:lang w:val="en-IE" w:eastAsia="en-IE"/>
              </w:rPr>
              <w:t>Mid-size application (hours)</w:t>
            </w:r>
            <w:r w:rsidR="00F05459" w:rsidRPr="00C10012">
              <w:rPr>
                <w:rFonts w:eastAsia="Times New Roman"/>
                <w:b/>
                <w:bCs/>
                <w:noProof/>
                <w:color w:val="FFFFFF"/>
                <w:sz w:val="22"/>
                <w:szCs w:val="22"/>
                <w:lang w:val="en-IE" w:eastAsia="en-IE"/>
              </w:rPr>
              <w:t xml:space="preserve"> [min value, max value]</w:t>
            </w:r>
          </w:p>
        </w:tc>
        <w:tc>
          <w:tcPr>
            <w:tcW w:w="987" w:type="pct"/>
            <w:shd w:val="clear" w:color="000000" w:fill="4D93D9"/>
            <w:noWrap/>
            <w:hideMark/>
          </w:tcPr>
          <w:p w14:paraId="1C47806C" w14:textId="54FF093D" w:rsidR="00134127" w:rsidRPr="00C10012" w:rsidRDefault="00134127">
            <w:pPr>
              <w:spacing w:after="0"/>
              <w:jc w:val="left"/>
              <w:rPr>
                <w:rFonts w:eastAsia="Times New Roman"/>
                <w:b/>
                <w:bCs/>
                <w:noProof/>
                <w:color w:val="FFFFFF"/>
                <w:sz w:val="22"/>
                <w:szCs w:val="22"/>
                <w:lang w:val="en-IE" w:eastAsia="en-IE"/>
              </w:rPr>
            </w:pPr>
            <w:r w:rsidRPr="00C10012">
              <w:rPr>
                <w:rFonts w:eastAsia="Times New Roman"/>
                <w:b/>
                <w:bCs/>
                <w:noProof/>
                <w:color w:val="FFFFFF"/>
                <w:sz w:val="22"/>
                <w:szCs w:val="22"/>
                <w:lang w:val="en-IE" w:eastAsia="en-IE"/>
              </w:rPr>
              <w:t>Large application (hours)</w:t>
            </w:r>
            <w:r w:rsidR="00F05459" w:rsidRPr="00C10012">
              <w:rPr>
                <w:rFonts w:eastAsia="Times New Roman"/>
                <w:b/>
                <w:bCs/>
                <w:noProof/>
                <w:color w:val="FFFFFF"/>
                <w:sz w:val="22"/>
                <w:szCs w:val="22"/>
                <w:lang w:val="en-IE" w:eastAsia="en-IE"/>
              </w:rPr>
              <w:t xml:space="preserve"> [min value, max value]</w:t>
            </w:r>
          </w:p>
        </w:tc>
        <w:tc>
          <w:tcPr>
            <w:tcW w:w="1216" w:type="pct"/>
            <w:shd w:val="clear" w:color="000000" w:fill="4D93D9"/>
          </w:tcPr>
          <w:p w14:paraId="5FC9C952" w14:textId="26D7A885" w:rsidR="00134127" w:rsidRPr="00C10012" w:rsidRDefault="00134127" w:rsidP="00C4288E">
            <w:pPr>
              <w:spacing w:after="0"/>
              <w:jc w:val="left"/>
              <w:rPr>
                <w:rFonts w:eastAsia="Times New Roman"/>
                <w:b/>
                <w:bCs/>
                <w:noProof/>
                <w:color w:val="FFFFFF"/>
                <w:sz w:val="22"/>
                <w:szCs w:val="22"/>
                <w:lang w:val="en-IE" w:eastAsia="en-IE"/>
              </w:rPr>
            </w:pPr>
            <w:r w:rsidRPr="00C10012">
              <w:rPr>
                <w:rFonts w:eastAsia="Times New Roman"/>
                <w:b/>
                <w:bCs/>
                <w:noProof/>
                <w:color w:val="FFFFFF"/>
                <w:sz w:val="22"/>
                <w:szCs w:val="22"/>
                <w:lang w:val="en-IE" w:eastAsia="en-IE"/>
              </w:rPr>
              <w:t xml:space="preserve">Rationale </w:t>
            </w:r>
          </w:p>
        </w:tc>
      </w:tr>
      <w:tr w:rsidR="00C10012" w:rsidRPr="00C10012" w14:paraId="4D566D5C" w14:textId="7551EC31" w:rsidTr="003E3396">
        <w:trPr>
          <w:trHeight w:val="300"/>
        </w:trPr>
        <w:tc>
          <w:tcPr>
            <w:tcW w:w="903" w:type="pct"/>
            <w:shd w:val="clear" w:color="000000" w:fill="DAE9F8"/>
            <w:noWrap/>
            <w:hideMark/>
          </w:tcPr>
          <w:p w14:paraId="3EBB506C" w14:textId="77777777" w:rsidR="00134127" w:rsidRPr="003E3396" w:rsidRDefault="00134127" w:rsidP="00134127">
            <w:pPr>
              <w:spacing w:after="0"/>
              <w:jc w:val="left"/>
              <w:rPr>
                <w:rFonts w:eastAsia="Times New Roman"/>
                <w:noProof/>
                <w:sz w:val="22"/>
                <w:szCs w:val="22"/>
                <w:lang w:val="en-IE" w:eastAsia="en-IE"/>
              </w:rPr>
            </w:pPr>
            <w:r w:rsidRPr="003E3396">
              <w:rPr>
                <w:rFonts w:eastAsia="Times New Roman"/>
                <w:noProof/>
                <w:sz w:val="22"/>
                <w:szCs w:val="22"/>
                <w:lang w:val="en-IE" w:eastAsia="en-IE"/>
              </w:rPr>
              <w:t>Phase 1 – Feasibility assessment</w:t>
            </w:r>
          </w:p>
        </w:tc>
        <w:tc>
          <w:tcPr>
            <w:tcW w:w="824" w:type="pct"/>
            <w:noWrap/>
            <w:hideMark/>
          </w:tcPr>
          <w:p w14:paraId="33092391" w14:textId="45B22335" w:rsidR="00134127" w:rsidRPr="003E3396" w:rsidRDefault="00134127"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EE206C" w:rsidRPr="003E3396">
              <w:rPr>
                <w:rFonts w:eastAsia="Times New Roman"/>
                <w:noProof/>
                <w:sz w:val="22"/>
                <w:szCs w:val="22"/>
                <w:lang w:val="en-IE" w:eastAsia="en-IE"/>
              </w:rPr>
              <w:t>2</w:t>
            </w:r>
            <w:r w:rsidRPr="003E3396">
              <w:rPr>
                <w:rFonts w:eastAsia="Times New Roman"/>
                <w:noProof/>
                <w:sz w:val="22"/>
                <w:szCs w:val="22"/>
                <w:lang w:val="en-IE" w:eastAsia="en-IE"/>
              </w:rPr>
              <w:t xml:space="preserve">6, </w:t>
            </w:r>
            <w:r w:rsidR="00EE206C" w:rsidRPr="003E3396">
              <w:rPr>
                <w:rFonts w:eastAsia="Times New Roman"/>
                <w:noProof/>
                <w:sz w:val="22"/>
                <w:szCs w:val="22"/>
                <w:lang w:val="en-IE" w:eastAsia="en-IE"/>
              </w:rPr>
              <w:t>54]</w:t>
            </w:r>
          </w:p>
        </w:tc>
        <w:tc>
          <w:tcPr>
            <w:tcW w:w="1070" w:type="pct"/>
            <w:noWrap/>
            <w:hideMark/>
          </w:tcPr>
          <w:p w14:paraId="00A62D79" w14:textId="52DABA8B" w:rsidR="00134127" w:rsidRPr="003E3396" w:rsidRDefault="00134127"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[1</w:t>
            </w:r>
            <w:r w:rsidR="00A25156" w:rsidRPr="003E3396">
              <w:rPr>
                <w:rFonts w:eastAsia="Times New Roman"/>
                <w:noProof/>
                <w:sz w:val="22"/>
                <w:szCs w:val="22"/>
                <w:lang w:val="en-IE" w:eastAsia="en-IE"/>
              </w:rPr>
              <w:t>8</w:t>
            </w:r>
            <w:r w:rsidR="00E900E9" w:rsidRPr="003E3396">
              <w:rPr>
                <w:rFonts w:eastAsia="Times New Roman"/>
                <w:noProof/>
                <w:sz w:val="22"/>
                <w:szCs w:val="22"/>
                <w:lang w:val="en-IE" w:eastAsia="en-IE"/>
              </w:rPr>
              <w:t>0</w:t>
            </w:r>
            <w:r w:rsidRPr="003E3396">
              <w:rPr>
                <w:rFonts w:eastAsia="Times New Roman"/>
                <w:noProof/>
                <w:sz w:val="22"/>
                <w:szCs w:val="22"/>
                <w:lang w:val="en-IE" w:eastAsia="en-IE"/>
              </w:rPr>
              <w:t xml:space="preserve">, </w:t>
            </w:r>
            <w:r w:rsidR="00A25156" w:rsidRPr="003E3396">
              <w:rPr>
                <w:rFonts w:eastAsia="Times New Roman"/>
                <w:noProof/>
                <w:sz w:val="22"/>
                <w:szCs w:val="22"/>
                <w:lang w:val="en-IE" w:eastAsia="en-IE"/>
              </w:rPr>
              <w:t>400</w:t>
            </w:r>
            <w:r w:rsidRPr="003E3396">
              <w:rPr>
                <w:rFonts w:eastAsia="Times New Roman"/>
                <w:noProof/>
                <w:sz w:val="22"/>
                <w:szCs w:val="22"/>
                <w:lang w:val="en-IE" w:eastAsia="en-IE"/>
              </w:rPr>
              <w:t>]</w:t>
            </w:r>
          </w:p>
        </w:tc>
        <w:tc>
          <w:tcPr>
            <w:tcW w:w="987" w:type="pct"/>
            <w:noWrap/>
            <w:hideMark/>
          </w:tcPr>
          <w:p w14:paraId="022B2C7D" w14:textId="571E9F52" w:rsidR="00134127" w:rsidRPr="003E3396" w:rsidRDefault="00134127"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2244CE" w:rsidRPr="003E3396">
              <w:rPr>
                <w:rFonts w:eastAsia="Times New Roman"/>
                <w:noProof/>
                <w:sz w:val="22"/>
                <w:szCs w:val="22"/>
                <w:lang w:val="en-IE" w:eastAsia="en-IE"/>
              </w:rPr>
              <w:t>3</w:t>
            </w:r>
            <w:r w:rsidR="007C0753" w:rsidRPr="003E3396">
              <w:rPr>
                <w:rFonts w:eastAsia="Times New Roman"/>
                <w:noProof/>
                <w:sz w:val="22"/>
                <w:szCs w:val="22"/>
                <w:lang w:val="en-IE" w:eastAsia="en-IE"/>
              </w:rPr>
              <w:t>0</w:t>
            </w:r>
            <w:r w:rsidR="002244CE" w:rsidRPr="003E3396">
              <w:rPr>
                <w:rFonts w:eastAsia="Times New Roman"/>
                <w:noProof/>
                <w:sz w:val="22"/>
                <w:szCs w:val="22"/>
                <w:lang w:val="en-IE" w:eastAsia="en-IE"/>
              </w:rPr>
              <w:t>0</w:t>
            </w:r>
            <w:r w:rsidRPr="003E3396">
              <w:rPr>
                <w:rFonts w:eastAsia="Times New Roman"/>
                <w:noProof/>
                <w:sz w:val="22"/>
                <w:szCs w:val="22"/>
                <w:lang w:val="en-IE" w:eastAsia="en-IE"/>
              </w:rPr>
              <w:t xml:space="preserve">, </w:t>
            </w:r>
            <w:r w:rsidR="002244CE" w:rsidRPr="003E3396">
              <w:rPr>
                <w:rFonts w:eastAsia="Times New Roman"/>
                <w:noProof/>
                <w:sz w:val="22"/>
                <w:szCs w:val="22"/>
                <w:lang w:val="en-IE" w:eastAsia="en-IE"/>
              </w:rPr>
              <w:t>6</w:t>
            </w:r>
            <w:r w:rsidR="007C0753" w:rsidRPr="003E3396">
              <w:rPr>
                <w:rFonts w:eastAsia="Times New Roman"/>
                <w:noProof/>
                <w:sz w:val="22"/>
                <w:szCs w:val="22"/>
                <w:lang w:val="en-IE" w:eastAsia="en-IE"/>
              </w:rPr>
              <w:t>4</w:t>
            </w:r>
            <w:r w:rsidR="002244CE" w:rsidRPr="003E3396">
              <w:rPr>
                <w:rFonts w:eastAsia="Times New Roman"/>
                <w:noProof/>
                <w:sz w:val="22"/>
                <w:szCs w:val="22"/>
                <w:lang w:val="en-IE" w:eastAsia="en-IE"/>
              </w:rPr>
              <w:t>0</w:t>
            </w:r>
            <w:r w:rsidRPr="003E3396">
              <w:rPr>
                <w:rFonts w:eastAsia="Times New Roman"/>
                <w:noProof/>
                <w:sz w:val="22"/>
                <w:szCs w:val="22"/>
                <w:lang w:val="en-IE" w:eastAsia="en-IE"/>
              </w:rPr>
              <w:t>]</w:t>
            </w:r>
          </w:p>
        </w:tc>
        <w:tc>
          <w:tcPr>
            <w:tcW w:w="1216" w:type="pct"/>
          </w:tcPr>
          <w:p w14:paraId="62DEFDBF" w14:textId="754EB346" w:rsidR="00134127" w:rsidRPr="003E3396" w:rsidRDefault="00934D99"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Given the importance of all the activities under this phase,</w:t>
            </w:r>
            <w:r w:rsidR="006B6CFE" w:rsidRPr="003E3396">
              <w:rPr>
                <w:rFonts w:eastAsia="Times New Roman"/>
                <w:noProof/>
                <w:sz w:val="22"/>
                <w:szCs w:val="22"/>
                <w:lang w:val="en-IE" w:eastAsia="en-IE"/>
              </w:rPr>
              <w:t xml:space="preserve"> experience demonstrates that a good understanding of the application</w:t>
            </w:r>
            <w:r w:rsidR="00E064B9" w:rsidRPr="003E3396">
              <w:rPr>
                <w:rFonts w:eastAsia="Times New Roman"/>
                <w:noProof/>
                <w:sz w:val="22"/>
                <w:szCs w:val="22"/>
                <w:lang w:val="en-IE" w:eastAsia="en-IE"/>
              </w:rPr>
              <w:t xml:space="preserve"> (assets, dependencies, licenses) are equal and their effort varied.</w:t>
            </w:r>
          </w:p>
        </w:tc>
      </w:tr>
      <w:tr w:rsidR="00C10012" w:rsidRPr="00C10012" w14:paraId="51E75A10" w14:textId="1E002F2F" w:rsidTr="003E3396">
        <w:trPr>
          <w:trHeight w:val="300"/>
        </w:trPr>
        <w:tc>
          <w:tcPr>
            <w:tcW w:w="903" w:type="pct"/>
            <w:shd w:val="clear" w:color="000000" w:fill="DAE9F8"/>
            <w:noWrap/>
            <w:hideMark/>
          </w:tcPr>
          <w:p w14:paraId="07AE3F5F" w14:textId="77777777" w:rsidR="00134127" w:rsidRPr="003E3396" w:rsidRDefault="00134127" w:rsidP="00134127">
            <w:pPr>
              <w:spacing w:after="0"/>
              <w:jc w:val="left"/>
              <w:rPr>
                <w:rFonts w:eastAsia="Times New Roman"/>
                <w:noProof/>
                <w:sz w:val="22"/>
                <w:szCs w:val="22"/>
                <w:lang w:val="en-IE" w:eastAsia="en-IE"/>
              </w:rPr>
            </w:pPr>
            <w:r w:rsidRPr="003E3396">
              <w:rPr>
                <w:rFonts w:eastAsia="Times New Roman"/>
                <w:noProof/>
                <w:sz w:val="22"/>
                <w:szCs w:val="22"/>
                <w:lang w:val="en-IE" w:eastAsia="en-IE"/>
              </w:rPr>
              <w:t>Phase 2 – Strategy and planning</w:t>
            </w:r>
          </w:p>
        </w:tc>
        <w:tc>
          <w:tcPr>
            <w:tcW w:w="824" w:type="pct"/>
            <w:noWrap/>
            <w:hideMark/>
          </w:tcPr>
          <w:p w14:paraId="42C1DBAE" w14:textId="5A26F16D" w:rsidR="00134127" w:rsidRPr="003E3396" w:rsidRDefault="00134127"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[5</w:t>
            </w:r>
            <w:r w:rsidR="00EE206C" w:rsidRPr="003E3396">
              <w:rPr>
                <w:rFonts w:eastAsia="Times New Roman"/>
                <w:noProof/>
                <w:sz w:val="22"/>
                <w:szCs w:val="22"/>
                <w:lang w:val="en-IE" w:eastAsia="en-IE"/>
              </w:rPr>
              <w:t>0</w:t>
            </w:r>
            <w:r w:rsidRPr="003E3396">
              <w:rPr>
                <w:rFonts w:eastAsia="Times New Roman"/>
                <w:noProof/>
                <w:sz w:val="22"/>
                <w:szCs w:val="22"/>
                <w:lang w:val="en-IE" w:eastAsia="en-IE"/>
              </w:rPr>
              <w:t xml:space="preserve">, </w:t>
            </w:r>
            <w:r w:rsidR="00EE206C" w:rsidRPr="003E3396">
              <w:rPr>
                <w:rFonts w:eastAsia="Times New Roman"/>
                <w:noProof/>
                <w:sz w:val="22"/>
                <w:szCs w:val="22"/>
                <w:lang w:val="en-IE" w:eastAsia="en-IE"/>
              </w:rPr>
              <w:t>100</w:t>
            </w:r>
            <w:r w:rsidRPr="003E3396">
              <w:rPr>
                <w:rFonts w:eastAsia="Times New Roman"/>
                <w:noProof/>
                <w:sz w:val="22"/>
                <w:szCs w:val="22"/>
                <w:lang w:val="en-IE" w:eastAsia="en-IE"/>
              </w:rPr>
              <w:t>]</w:t>
            </w:r>
          </w:p>
        </w:tc>
        <w:tc>
          <w:tcPr>
            <w:tcW w:w="1070" w:type="pct"/>
            <w:noWrap/>
            <w:hideMark/>
          </w:tcPr>
          <w:p w14:paraId="22157695" w14:textId="3C723318" w:rsidR="00134127" w:rsidRPr="003E3396" w:rsidRDefault="00A25156"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[332</w:t>
            </w:r>
            <w:r w:rsidR="00930D8F" w:rsidRPr="003E3396">
              <w:rPr>
                <w:rFonts w:eastAsia="Times New Roman"/>
                <w:noProof/>
                <w:sz w:val="22"/>
                <w:szCs w:val="22"/>
                <w:lang w:val="en-IE" w:eastAsia="en-IE"/>
              </w:rPr>
              <w:t>, 608]</w:t>
            </w:r>
          </w:p>
        </w:tc>
        <w:tc>
          <w:tcPr>
            <w:tcW w:w="987" w:type="pct"/>
            <w:noWrap/>
            <w:hideMark/>
          </w:tcPr>
          <w:p w14:paraId="2C72F9D6" w14:textId="1C6CF095" w:rsidR="00134127" w:rsidRPr="003E3396" w:rsidRDefault="00134127" w:rsidP="00134127">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7C0753" w:rsidRPr="003E3396">
              <w:rPr>
                <w:rFonts w:eastAsia="Times New Roman"/>
                <w:noProof/>
                <w:sz w:val="22"/>
                <w:szCs w:val="22"/>
                <w:lang w:val="en-IE" w:eastAsia="en-IE"/>
              </w:rPr>
              <w:t>7</w:t>
            </w:r>
            <w:r w:rsidR="002244CE" w:rsidRPr="003E3396">
              <w:rPr>
                <w:rFonts w:eastAsia="Times New Roman"/>
                <w:noProof/>
                <w:sz w:val="22"/>
                <w:szCs w:val="22"/>
                <w:lang w:val="en-IE" w:eastAsia="en-IE"/>
              </w:rPr>
              <w:t xml:space="preserve">60, </w:t>
            </w:r>
            <w:r w:rsidR="007C0753" w:rsidRPr="003E3396">
              <w:rPr>
                <w:rFonts w:eastAsia="Times New Roman"/>
                <w:noProof/>
                <w:sz w:val="22"/>
                <w:szCs w:val="22"/>
                <w:lang w:val="en-IE" w:eastAsia="en-IE"/>
              </w:rPr>
              <w:t>136</w:t>
            </w:r>
            <w:r w:rsidR="002244CE" w:rsidRPr="003E3396">
              <w:rPr>
                <w:rFonts w:eastAsia="Times New Roman"/>
                <w:noProof/>
                <w:sz w:val="22"/>
                <w:szCs w:val="22"/>
                <w:lang w:val="en-IE" w:eastAsia="en-IE"/>
              </w:rPr>
              <w:t>0</w:t>
            </w:r>
            <w:r w:rsidRPr="003E3396">
              <w:rPr>
                <w:rFonts w:eastAsia="Times New Roman"/>
                <w:noProof/>
                <w:sz w:val="22"/>
                <w:szCs w:val="22"/>
                <w:lang w:val="en-IE" w:eastAsia="en-IE"/>
              </w:rPr>
              <w:t>]</w:t>
            </w:r>
          </w:p>
        </w:tc>
        <w:tc>
          <w:tcPr>
            <w:tcW w:w="1216" w:type="pct"/>
          </w:tcPr>
          <w:p w14:paraId="081ECE55" w14:textId="260497FA" w:rsidR="00134127" w:rsidRPr="003E3396" w:rsidRDefault="00C4288E"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 xml:space="preserve">While all values are increased, the main driver for this change is the cloud architecture design. This is a critical activity that, if not performed properly, can result in over-costs in the </w:t>
            </w:r>
            <w:r w:rsidR="00CD213F" w:rsidRPr="003E3396">
              <w:rPr>
                <w:rFonts w:eastAsia="Times New Roman"/>
                <w:noProof/>
                <w:sz w:val="22"/>
                <w:szCs w:val="22"/>
                <w:lang w:val="en-IE" w:eastAsia="en-IE"/>
              </w:rPr>
              <w:t xml:space="preserve">migration and </w:t>
            </w:r>
            <w:r w:rsidRPr="003E3396">
              <w:rPr>
                <w:rFonts w:eastAsia="Times New Roman"/>
                <w:noProof/>
                <w:sz w:val="22"/>
                <w:szCs w:val="22"/>
                <w:lang w:val="en-IE" w:eastAsia="en-IE"/>
              </w:rPr>
              <w:t>operation phase</w:t>
            </w:r>
            <w:r w:rsidR="00596F24" w:rsidRPr="003E3396">
              <w:rPr>
                <w:rFonts w:eastAsia="Times New Roman"/>
                <w:noProof/>
                <w:sz w:val="22"/>
                <w:szCs w:val="22"/>
                <w:lang w:val="en-IE" w:eastAsia="en-IE"/>
              </w:rPr>
              <w:t xml:space="preserve">, as it can cause </w:t>
            </w:r>
            <w:r w:rsidR="00D2401C" w:rsidRPr="003E3396">
              <w:rPr>
                <w:rFonts w:eastAsia="Times New Roman"/>
                <w:noProof/>
                <w:sz w:val="22"/>
                <w:szCs w:val="22"/>
                <w:lang w:val="en-IE" w:eastAsia="en-IE"/>
              </w:rPr>
              <w:t>over costs</w:t>
            </w:r>
            <w:r w:rsidR="00596F24" w:rsidRPr="003E3396">
              <w:rPr>
                <w:rFonts w:eastAsia="Times New Roman"/>
                <w:noProof/>
                <w:sz w:val="22"/>
                <w:szCs w:val="22"/>
                <w:lang w:val="en-IE" w:eastAsia="en-IE"/>
              </w:rPr>
              <w:t>.</w:t>
            </w:r>
          </w:p>
        </w:tc>
      </w:tr>
      <w:tr w:rsidR="00C10012" w:rsidRPr="00C10012" w14:paraId="7B05EDF4" w14:textId="57E302A2" w:rsidTr="003E3396">
        <w:trPr>
          <w:trHeight w:val="300"/>
        </w:trPr>
        <w:tc>
          <w:tcPr>
            <w:tcW w:w="903" w:type="pct"/>
            <w:shd w:val="clear" w:color="000000" w:fill="DAE9F8"/>
            <w:noWrap/>
            <w:hideMark/>
          </w:tcPr>
          <w:p w14:paraId="3376F10E" w14:textId="77777777" w:rsidR="00F06C1D" w:rsidRPr="003E3396" w:rsidRDefault="00F06C1D" w:rsidP="00F06C1D">
            <w:pPr>
              <w:spacing w:after="0"/>
              <w:jc w:val="left"/>
              <w:rPr>
                <w:rFonts w:eastAsia="Times New Roman"/>
                <w:noProof/>
                <w:sz w:val="22"/>
                <w:szCs w:val="22"/>
                <w:lang w:val="en-IE" w:eastAsia="en-IE"/>
              </w:rPr>
            </w:pPr>
            <w:r w:rsidRPr="003E3396">
              <w:rPr>
                <w:rFonts w:eastAsia="Times New Roman"/>
                <w:noProof/>
                <w:sz w:val="22"/>
                <w:szCs w:val="22"/>
                <w:lang w:val="en-IE" w:eastAsia="en-IE"/>
              </w:rPr>
              <w:t>Phase 3 – Target environment set up</w:t>
            </w:r>
          </w:p>
        </w:tc>
        <w:tc>
          <w:tcPr>
            <w:tcW w:w="824" w:type="pct"/>
            <w:noWrap/>
            <w:hideMark/>
          </w:tcPr>
          <w:p w14:paraId="750A665F" w14:textId="3D67EADE"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 xml:space="preserve">[18, </w:t>
            </w:r>
            <w:r w:rsidR="00EE206C" w:rsidRPr="003E3396">
              <w:rPr>
                <w:rFonts w:eastAsia="Times New Roman"/>
                <w:noProof/>
                <w:sz w:val="22"/>
                <w:szCs w:val="22"/>
                <w:lang w:val="en-IE" w:eastAsia="en-IE"/>
              </w:rPr>
              <w:t>38</w:t>
            </w:r>
            <w:r w:rsidRPr="003E3396">
              <w:rPr>
                <w:rFonts w:eastAsia="Times New Roman"/>
                <w:noProof/>
                <w:sz w:val="22"/>
                <w:szCs w:val="22"/>
                <w:lang w:val="en-IE" w:eastAsia="en-IE"/>
              </w:rPr>
              <w:t>]</w:t>
            </w:r>
          </w:p>
        </w:tc>
        <w:tc>
          <w:tcPr>
            <w:tcW w:w="1070" w:type="pct"/>
            <w:noWrap/>
            <w:hideMark/>
          </w:tcPr>
          <w:p w14:paraId="2B0644DF" w14:textId="0BA054B9" w:rsidR="00F06C1D" w:rsidRPr="003E3396" w:rsidRDefault="00930D8F"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[138, 272]</w:t>
            </w:r>
          </w:p>
        </w:tc>
        <w:tc>
          <w:tcPr>
            <w:tcW w:w="987" w:type="pct"/>
            <w:noWrap/>
            <w:hideMark/>
          </w:tcPr>
          <w:p w14:paraId="2A8CEA51" w14:textId="626DBF49"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7C0753" w:rsidRPr="003E3396">
              <w:rPr>
                <w:rFonts w:eastAsia="Times New Roman"/>
                <w:noProof/>
                <w:sz w:val="22"/>
                <w:szCs w:val="22"/>
                <w:lang w:val="en-IE" w:eastAsia="en-IE"/>
              </w:rPr>
              <w:t>380, 700</w:t>
            </w:r>
            <w:r w:rsidRPr="003E3396">
              <w:rPr>
                <w:rFonts w:eastAsia="Times New Roman"/>
                <w:noProof/>
                <w:sz w:val="22"/>
                <w:szCs w:val="22"/>
                <w:lang w:val="en-IE" w:eastAsia="en-IE"/>
              </w:rPr>
              <w:t>]</w:t>
            </w:r>
          </w:p>
        </w:tc>
        <w:tc>
          <w:tcPr>
            <w:tcW w:w="1216" w:type="pct"/>
          </w:tcPr>
          <w:p w14:paraId="3AE8F0F2" w14:textId="673B35CF" w:rsidR="00F06C1D" w:rsidRPr="003E3396" w:rsidRDefault="00F06C1D"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VM provisioning and configuration is the main effort intense activity in this phase. Configuring the security policies or the computation resources in an incorrect way can result in cost inefficiencies. A common error in this phase is to over-provision capacity to be able to respond to potential load spikes.</w:t>
            </w:r>
          </w:p>
        </w:tc>
      </w:tr>
      <w:tr w:rsidR="00C10012" w:rsidRPr="00C10012" w14:paraId="1C9D27C6" w14:textId="46FFD547" w:rsidTr="003E3396">
        <w:trPr>
          <w:trHeight w:val="300"/>
        </w:trPr>
        <w:tc>
          <w:tcPr>
            <w:tcW w:w="903" w:type="pct"/>
            <w:shd w:val="clear" w:color="000000" w:fill="DAE9F8"/>
            <w:noWrap/>
            <w:hideMark/>
          </w:tcPr>
          <w:p w14:paraId="2D86A340" w14:textId="77777777" w:rsidR="00F06C1D" w:rsidRPr="003E3396" w:rsidRDefault="00F06C1D" w:rsidP="00F06C1D">
            <w:pPr>
              <w:spacing w:after="0"/>
              <w:jc w:val="left"/>
              <w:rPr>
                <w:rFonts w:eastAsia="Times New Roman"/>
                <w:noProof/>
                <w:sz w:val="22"/>
                <w:szCs w:val="22"/>
                <w:lang w:val="en-IE" w:eastAsia="en-IE"/>
              </w:rPr>
            </w:pPr>
            <w:r w:rsidRPr="003E3396">
              <w:rPr>
                <w:rFonts w:eastAsia="Times New Roman"/>
                <w:noProof/>
                <w:sz w:val="22"/>
                <w:szCs w:val="22"/>
                <w:lang w:val="en-IE" w:eastAsia="en-IE"/>
              </w:rPr>
              <w:t>Phase 4 – Migration</w:t>
            </w:r>
          </w:p>
        </w:tc>
        <w:tc>
          <w:tcPr>
            <w:tcW w:w="824" w:type="pct"/>
            <w:noWrap/>
          </w:tcPr>
          <w:p w14:paraId="2131A099" w14:textId="4C680A86"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[110, 23</w:t>
            </w:r>
            <w:r w:rsidR="00EE206C" w:rsidRPr="003E3396">
              <w:rPr>
                <w:rFonts w:eastAsia="Times New Roman"/>
                <w:noProof/>
                <w:sz w:val="22"/>
                <w:szCs w:val="22"/>
                <w:lang w:val="en-IE" w:eastAsia="en-IE"/>
              </w:rPr>
              <w:t>6</w:t>
            </w:r>
            <w:r w:rsidRPr="003E3396">
              <w:rPr>
                <w:rFonts w:eastAsia="Times New Roman"/>
                <w:noProof/>
                <w:sz w:val="22"/>
                <w:szCs w:val="22"/>
                <w:lang w:val="en-IE" w:eastAsia="en-IE"/>
              </w:rPr>
              <w:t>]</w:t>
            </w:r>
          </w:p>
        </w:tc>
        <w:tc>
          <w:tcPr>
            <w:tcW w:w="1070" w:type="pct"/>
            <w:noWrap/>
            <w:hideMark/>
          </w:tcPr>
          <w:p w14:paraId="07EAD8F7" w14:textId="652EA0BA"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F26DE8" w:rsidRPr="003E3396">
              <w:rPr>
                <w:rFonts w:eastAsia="Times New Roman"/>
                <w:noProof/>
                <w:sz w:val="22"/>
                <w:szCs w:val="22"/>
                <w:lang w:val="en-IE" w:eastAsia="en-IE"/>
              </w:rPr>
              <w:t>8</w:t>
            </w:r>
            <w:r w:rsidR="00930D8F" w:rsidRPr="003E3396">
              <w:rPr>
                <w:rFonts w:eastAsia="Times New Roman"/>
                <w:noProof/>
                <w:sz w:val="22"/>
                <w:szCs w:val="22"/>
                <w:lang w:val="en-IE" w:eastAsia="en-IE"/>
              </w:rPr>
              <w:t>6</w:t>
            </w:r>
            <w:r w:rsidR="00F26DE8" w:rsidRPr="003E3396">
              <w:rPr>
                <w:rFonts w:eastAsia="Times New Roman"/>
                <w:noProof/>
                <w:sz w:val="22"/>
                <w:szCs w:val="22"/>
                <w:lang w:val="en-IE" w:eastAsia="en-IE"/>
              </w:rPr>
              <w:t xml:space="preserve">0, 2 </w:t>
            </w:r>
            <w:r w:rsidR="00930D8F" w:rsidRPr="003E3396">
              <w:rPr>
                <w:rFonts w:eastAsia="Times New Roman"/>
                <w:noProof/>
                <w:sz w:val="22"/>
                <w:szCs w:val="22"/>
                <w:lang w:val="en-IE" w:eastAsia="en-IE"/>
              </w:rPr>
              <w:t>1</w:t>
            </w:r>
            <w:r w:rsidR="00F26DE8" w:rsidRPr="003E3396">
              <w:rPr>
                <w:rFonts w:eastAsia="Times New Roman"/>
                <w:noProof/>
                <w:sz w:val="22"/>
                <w:szCs w:val="22"/>
                <w:lang w:val="en-IE" w:eastAsia="en-IE"/>
              </w:rPr>
              <w:t>32</w:t>
            </w:r>
            <w:r w:rsidRPr="003E3396">
              <w:rPr>
                <w:rFonts w:eastAsia="Times New Roman"/>
                <w:noProof/>
                <w:sz w:val="22"/>
                <w:szCs w:val="22"/>
                <w:lang w:val="en-IE" w:eastAsia="en-IE"/>
              </w:rPr>
              <w:t>]</w:t>
            </w:r>
          </w:p>
        </w:tc>
        <w:tc>
          <w:tcPr>
            <w:tcW w:w="987" w:type="pct"/>
            <w:noWrap/>
            <w:hideMark/>
          </w:tcPr>
          <w:p w14:paraId="579224DD" w14:textId="4370A4F8"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7C0753" w:rsidRPr="003E3396">
              <w:rPr>
                <w:rFonts w:eastAsia="Times New Roman"/>
                <w:noProof/>
                <w:sz w:val="22"/>
                <w:szCs w:val="22"/>
                <w:lang w:val="en-IE" w:eastAsia="en-IE"/>
              </w:rPr>
              <w:t>2 200, 5 520</w:t>
            </w:r>
            <w:r w:rsidRPr="003E3396">
              <w:rPr>
                <w:rFonts w:eastAsia="Times New Roman"/>
                <w:noProof/>
                <w:sz w:val="22"/>
                <w:szCs w:val="22"/>
                <w:lang w:val="en-IE" w:eastAsia="en-IE"/>
              </w:rPr>
              <w:t>]</w:t>
            </w:r>
          </w:p>
        </w:tc>
        <w:tc>
          <w:tcPr>
            <w:tcW w:w="1216" w:type="pct"/>
          </w:tcPr>
          <w:p w14:paraId="5FA5ECCB" w14:textId="65AC5275" w:rsidR="00F06C1D" w:rsidRPr="003E3396" w:rsidRDefault="00F06C1D"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The main drivers in this phase are the migration of the data and the adaptation of the application. The success of these activities largely depends on the previous activities such as the dependency assessment or the cloud architecture design and service mapping. Moreover, the skills of the team and the wave plan have also a large effect in the effort needed for the migration of the code.</w:t>
            </w:r>
          </w:p>
        </w:tc>
      </w:tr>
      <w:tr w:rsidR="00C10012" w:rsidRPr="00C10012" w14:paraId="68CE1F1B" w14:textId="51365B3C" w:rsidTr="003E3396">
        <w:trPr>
          <w:trHeight w:val="300"/>
        </w:trPr>
        <w:tc>
          <w:tcPr>
            <w:tcW w:w="903" w:type="pct"/>
            <w:shd w:val="clear" w:color="000000" w:fill="DAE9F8"/>
            <w:noWrap/>
            <w:hideMark/>
          </w:tcPr>
          <w:p w14:paraId="540BA993" w14:textId="77777777" w:rsidR="00F06C1D" w:rsidRPr="003E3396" w:rsidRDefault="00F06C1D" w:rsidP="00F06C1D">
            <w:pPr>
              <w:spacing w:after="0"/>
              <w:jc w:val="left"/>
              <w:rPr>
                <w:rFonts w:eastAsia="Times New Roman"/>
                <w:noProof/>
                <w:sz w:val="22"/>
                <w:szCs w:val="22"/>
                <w:lang w:val="en-IE" w:eastAsia="en-IE"/>
              </w:rPr>
            </w:pPr>
            <w:r w:rsidRPr="003E3396">
              <w:rPr>
                <w:rFonts w:eastAsia="Times New Roman"/>
                <w:noProof/>
                <w:sz w:val="22"/>
                <w:szCs w:val="22"/>
                <w:lang w:val="en-IE" w:eastAsia="en-IE"/>
              </w:rPr>
              <w:t>Phase 5 – Testing and validation</w:t>
            </w:r>
          </w:p>
        </w:tc>
        <w:tc>
          <w:tcPr>
            <w:tcW w:w="824" w:type="pct"/>
            <w:noWrap/>
          </w:tcPr>
          <w:p w14:paraId="5E7553A7" w14:textId="7617BF2B"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[42</w:t>
            </w:r>
            <w:r w:rsidR="00EE206C" w:rsidRPr="003E3396">
              <w:rPr>
                <w:rFonts w:eastAsia="Times New Roman"/>
                <w:noProof/>
                <w:sz w:val="22"/>
                <w:szCs w:val="22"/>
                <w:lang w:val="en-IE" w:eastAsia="en-IE"/>
              </w:rPr>
              <w:t>,87</w:t>
            </w:r>
            <w:r w:rsidRPr="003E3396">
              <w:rPr>
                <w:rFonts w:eastAsia="Times New Roman"/>
                <w:noProof/>
                <w:sz w:val="22"/>
                <w:szCs w:val="22"/>
                <w:lang w:val="en-IE" w:eastAsia="en-IE"/>
              </w:rPr>
              <w:t>]</w:t>
            </w:r>
          </w:p>
        </w:tc>
        <w:tc>
          <w:tcPr>
            <w:tcW w:w="1070" w:type="pct"/>
            <w:noWrap/>
            <w:hideMark/>
          </w:tcPr>
          <w:p w14:paraId="5617130C" w14:textId="334F83B9"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F26DE8" w:rsidRPr="003E3396">
              <w:rPr>
                <w:rFonts w:eastAsia="Times New Roman"/>
                <w:noProof/>
                <w:sz w:val="22"/>
                <w:szCs w:val="22"/>
                <w:lang w:val="en-IE" w:eastAsia="en-IE"/>
              </w:rPr>
              <w:t xml:space="preserve">440, </w:t>
            </w:r>
            <w:r w:rsidR="000B5962" w:rsidRPr="003E3396">
              <w:rPr>
                <w:rFonts w:eastAsia="Times New Roman"/>
                <w:noProof/>
                <w:sz w:val="22"/>
                <w:szCs w:val="22"/>
                <w:lang w:val="en-IE" w:eastAsia="en-IE"/>
              </w:rPr>
              <w:t>84</w:t>
            </w:r>
            <w:r w:rsidR="00F26DE8" w:rsidRPr="003E3396">
              <w:rPr>
                <w:rFonts w:eastAsia="Times New Roman"/>
                <w:noProof/>
                <w:sz w:val="22"/>
                <w:szCs w:val="22"/>
                <w:lang w:val="en-IE" w:eastAsia="en-IE"/>
              </w:rPr>
              <w:t>0</w:t>
            </w:r>
            <w:r w:rsidRPr="003E3396">
              <w:rPr>
                <w:rFonts w:eastAsia="Times New Roman"/>
                <w:noProof/>
                <w:sz w:val="22"/>
                <w:szCs w:val="22"/>
                <w:lang w:val="en-IE" w:eastAsia="en-IE"/>
              </w:rPr>
              <w:t>]</w:t>
            </w:r>
          </w:p>
        </w:tc>
        <w:tc>
          <w:tcPr>
            <w:tcW w:w="987" w:type="pct"/>
            <w:noWrap/>
            <w:hideMark/>
          </w:tcPr>
          <w:p w14:paraId="4E4283FB" w14:textId="1A4FA25B"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492FA7" w:rsidRPr="003E3396">
              <w:rPr>
                <w:rFonts w:eastAsia="Times New Roman"/>
                <w:noProof/>
                <w:sz w:val="22"/>
                <w:szCs w:val="22"/>
                <w:lang w:val="en-IE" w:eastAsia="en-IE"/>
              </w:rPr>
              <w:t>70</w:t>
            </w:r>
            <w:r w:rsidR="00225813" w:rsidRPr="003E3396">
              <w:rPr>
                <w:rFonts w:eastAsia="Times New Roman"/>
                <w:noProof/>
                <w:sz w:val="22"/>
                <w:szCs w:val="22"/>
                <w:lang w:val="en-IE" w:eastAsia="en-IE"/>
              </w:rPr>
              <w:t>0</w:t>
            </w:r>
            <w:r w:rsidR="007C0753" w:rsidRPr="003E3396">
              <w:rPr>
                <w:rFonts w:eastAsia="Times New Roman"/>
                <w:noProof/>
                <w:sz w:val="22"/>
                <w:szCs w:val="22"/>
                <w:lang w:val="en-IE" w:eastAsia="en-IE"/>
              </w:rPr>
              <w:t>,</w:t>
            </w:r>
            <w:r w:rsidR="00225813" w:rsidRPr="003E3396">
              <w:rPr>
                <w:rFonts w:eastAsia="Times New Roman"/>
                <w:noProof/>
                <w:sz w:val="22"/>
                <w:szCs w:val="22"/>
                <w:lang w:val="en-IE" w:eastAsia="en-IE"/>
              </w:rPr>
              <w:t xml:space="preserve"> 1</w:t>
            </w:r>
            <w:r w:rsidR="00951ED7" w:rsidRPr="003E3396">
              <w:rPr>
                <w:rFonts w:eastAsia="Times New Roman"/>
                <w:noProof/>
                <w:sz w:val="22"/>
                <w:szCs w:val="22"/>
                <w:lang w:val="en-IE" w:eastAsia="en-IE"/>
              </w:rPr>
              <w:t xml:space="preserve"> </w:t>
            </w:r>
            <w:r w:rsidR="00225813" w:rsidRPr="003E3396">
              <w:rPr>
                <w:rFonts w:eastAsia="Times New Roman"/>
                <w:noProof/>
                <w:sz w:val="22"/>
                <w:szCs w:val="22"/>
                <w:lang w:val="en-IE" w:eastAsia="en-IE"/>
              </w:rPr>
              <w:t>7</w:t>
            </w:r>
            <w:r w:rsidR="007C0753" w:rsidRPr="003E3396">
              <w:rPr>
                <w:rFonts w:eastAsia="Times New Roman"/>
                <w:noProof/>
                <w:sz w:val="22"/>
                <w:szCs w:val="22"/>
                <w:lang w:val="en-IE" w:eastAsia="en-IE"/>
              </w:rPr>
              <w:t>0</w:t>
            </w:r>
            <w:r w:rsidR="00225813" w:rsidRPr="003E3396">
              <w:rPr>
                <w:rFonts w:eastAsia="Times New Roman"/>
                <w:noProof/>
                <w:sz w:val="22"/>
                <w:szCs w:val="22"/>
                <w:lang w:val="en-IE" w:eastAsia="en-IE"/>
              </w:rPr>
              <w:t>0</w:t>
            </w:r>
            <w:r w:rsidRPr="003E3396">
              <w:rPr>
                <w:rFonts w:eastAsia="Times New Roman"/>
                <w:noProof/>
                <w:sz w:val="22"/>
                <w:szCs w:val="22"/>
                <w:lang w:val="en-IE" w:eastAsia="en-IE"/>
              </w:rPr>
              <w:t>]</w:t>
            </w:r>
          </w:p>
        </w:tc>
        <w:tc>
          <w:tcPr>
            <w:tcW w:w="1216" w:type="pct"/>
          </w:tcPr>
          <w:p w14:paraId="2D56FF70" w14:textId="72EAC667" w:rsidR="00F06C1D" w:rsidRPr="003E3396" w:rsidRDefault="00F06C1D"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 xml:space="preserve">All testing activities considered (functional, integration and performance) are driving the min – max values in this phase. The decision of the coverage of the tests plays an important role. A low coverage testing will result in more bugs during production. Correcting errors during production are much more costly and can have further implications if an efficient CI/CD pipeline has not been well implemented. </w:t>
            </w:r>
          </w:p>
        </w:tc>
      </w:tr>
      <w:tr w:rsidR="00C10012" w:rsidRPr="00C10012" w14:paraId="3F92EF3A" w14:textId="1D13C7E7" w:rsidTr="003E3396">
        <w:trPr>
          <w:trHeight w:val="300"/>
        </w:trPr>
        <w:tc>
          <w:tcPr>
            <w:tcW w:w="903" w:type="pct"/>
            <w:shd w:val="clear" w:color="000000" w:fill="DAE9F8"/>
            <w:noWrap/>
            <w:hideMark/>
          </w:tcPr>
          <w:p w14:paraId="468C305D" w14:textId="77777777" w:rsidR="00F06C1D" w:rsidRPr="003E3396" w:rsidRDefault="00F06C1D" w:rsidP="00F06C1D">
            <w:pPr>
              <w:spacing w:after="0"/>
              <w:jc w:val="left"/>
              <w:rPr>
                <w:rFonts w:eastAsia="Times New Roman"/>
                <w:noProof/>
                <w:sz w:val="22"/>
                <w:szCs w:val="22"/>
                <w:lang w:val="en-IE" w:eastAsia="en-IE"/>
              </w:rPr>
            </w:pPr>
            <w:r w:rsidRPr="003E3396">
              <w:rPr>
                <w:rFonts w:eastAsia="Times New Roman"/>
                <w:noProof/>
                <w:sz w:val="22"/>
                <w:szCs w:val="22"/>
                <w:lang w:val="en-IE" w:eastAsia="en-IE"/>
              </w:rPr>
              <w:t>Phase 6 - Cutover and Switching</w:t>
            </w:r>
          </w:p>
        </w:tc>
        <w:tc>
          <w:tcPr>
            <w:tcW w:w="824" w:type="pct"/>
            <w:noWrap/>
          </w:tcPr>
          <w:p w14:paraId="0B284CA9" w14:textId="0115F318"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[10, 2</w:t>
            </w:r>
            <w:r w:rsidR="00EE206C" w:rsidRPr="003E3396">
              <w:rPr>
                <w:rFonts w:eastAsia="Times New Roman"/>
                <w:noProof/>
                <w:sz w:val="22"/>
                <w:szCs w:val="22"/>
                <w:lang w:val="en-IE" w:eastAsia="en-IE"/>
              </w:rPr>
              <w:t>2</w:t>
            </w:r>
            <w:r w:rsidRPr="003E3396">
              <w:rPr>
                <w:rFonts w:eastAsia="Times New Roman"/>
                <w:noProof/>
                <w:sz w:val="22"/>
                <w:szCs w:val="22"/>
                <w:lang w:val="en-IE" w:eastAsia="en-IE"/>
              </w:rPr>
              <w:t>]</w:t>
            </w:r>
          </w:p>
        </w:tc>
        <w:tc>
          <w:tcPr>
            <w:tcW w:w="1070" w:type="pct"/>
            <w:noWrap/>
            <w:hideMark/>
          </w:tcPr>
          <w:p w14:paraId="24119FF3" w14:textId="35638024"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0B5962" w:rsidRPr="003E3396">
              <w:rPr>
                <w:rFonts w:eastAsia="Times New Roman"/>
                <w:noProof/>
                <w:sz w:val="22"/>
                <w:szCs w:val="22"/>
                <w:lang w:val="en-IE" w:eastAsia="en-IE"/>
              </w:rPr>
              <w:t>9</w:t>
            </w:r>
            <w:r w:rsidR="00F26DE8" w:rsidRPr="003E3396">
              <w:rPr>
                <w:rFonts w:eastAsia="Times New Roman"/>
                <w:noProof/>
                <w:sz w:val="22"/>
                <w:szCs w:val="22"/>
                <w:lang w:val="en-IE" w:eastAsia="en-IE"/>
              </w:rPr>
              <w:t>0</w:t>
            </w:r>
            <w:r w:rsidRPr="003E3396">
              <w:rPr>
                <w:rFonts w:eastAsia="Times New Roman"/>
                <w:noProof/>
                <w:sz w:val="22"/>
                <w:szCs w:val="22"/>
                <w:lang w:val="en-IE" w:eastAsia="en-IE"/>
              </w:rPr>
              <w:t>,</w:t>
            </w:r>
            <w:r w:rsidR="00F26DE8" w:rsidRPr="003E3396">
              <w:rPr>
                <w:rFonts w:eastAsia="Times New Roman"/>
                <w:noProof/>
                <w:sz w:val="22"/>
                <w:szCs w:val="22"/>
                <w:lang w:val="en-IE" w:eastAsia="en-IE"/>
              </w:rPr>
              <w:t xml:space="preserve"> 1</w:t>
            </w:r>
            <w:r w:rsidR="000B5962" w:rsidRPr="003E3396">
              <w:rPr>
                <w:rFonts w:eastAsia="Times New Roman"/>
                <w:noProof/>
                <w:sz w:val="22"/>
                <w:szCs w:val="22"/>
                <w:lang w:val="en-IE" w:eastAsia="en-IE"/>
              </w:rPr>
              <w:t>6</w:t>
            </w:r>
            <w:r w:rsidR="00F26DE8" w:rsidRPr="003E3396">
              <w:rPr>
                <w:rFonts w:eastAsia="Times New Roman"/>
                <w:noProof/>
                <w:sz w:val="22"/>
                <w:szCs w:val="22"/>
                <w:lang w:val="en-IE" w:eastAsia="en-IE"/>
              </w:rPr>
              <w:t>6</w:t>
            </w:r>
            <w:r w:rsidRPr="003E3396">
              <w:rPr>
                <w:rFonts w:eastAsia="Times New Roman"/>
                <w:noProof/>
                <w:sz w:val="22"/>
                <w:szCs w:val="22"/>
                <w:lang w:val="en-IE" w:eastAsia="en-IE"/>
              </w:rPr>
              <w:t>]</w:t>
            </w:r>
          </w:p>
        </w:tc>
        <w:tc>
          <w:tcPr>
            <w:tcW w:w="987" w:type="pct"/>
            <w:noWrap/>
            <w:hideMark/>
          </w:tcPr>
          <w:p w14:paraId="5331FBBA" w14:textId="654B0654" w:rsidR="00F06C1D" w:rsidRPr="003E3396" w:rsidRDefault="00492FA7"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[280, 540]</w:t>
            </w:r>
          </w:p>
        </w:tc>
        <w:tc>
          <w:tcPr>
            <w:tcW w:w="1216" w:type="pct"/>
          </w:tcPr>
          <w:p w14:paraId="1AE8A5FD" w14:textId="615D02BE" w:rsidR="00F06C1D" w:rsidRPr="003E3396" w:rsidRDefault="00F06C1D"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The variation mainly stems from the final data migration and the process of going into production.</w:t>
            </w:r>
          </w:p>
        </w:tc>
      </w:tr>
      <w:tr w:rsidR="00C10012" w:rsidRPr="00C10012" w14:paraId="7B347AFE" w14:textId="604E4B86" w:rsidTr="003E3396">
        <w:trPr>
          <w:trHeight w:val="300"/>
        </w:trPr>
        <w:tc>
          <w:tcPr>
            <w:tcW w:w="903" w:type="pct"/>
            <w:shd w:val="clear" w:color="000000" w:fill="DAE9F8"/>
            <w:noWrap/>
            <w:hideMark/>
          </w:tcPr>
          <w:p w14:paraId="02F06A0D" w14:textId="77777777" w:rsidR="00F06C1D" w:rsidRPr="003E3396" w:rsidRDefault="00F06C1D" w:rsidP="00F06C1D">
            <w:pPr>
              <w:spacing w:after="0"/>
              <w:jc w:val="left"/>
              <w:rPr>
                <w:rFonts w:eastAsia="Times New Roman"/>
                <w:noProof/>
                <w:sz w:val="22"/>
                <w:szCs w:val="22"/>
                <w:lang w:val="en-IE" w:eastAsia="en-IE"/>
              </w:rPr>
            </w:pPr>
            <w:r w:rsidRPr="003E3396">
              <w:rPr>
                <w:rFonts w:eastAsia="Times New Roman"/>
                <w:noProof/>
                <w:sz w:val="22"/>
                <w:szCs w:val="22"/>
                <w:lang w:val="en-IE" w:eastAsia="en-IE"/>
              </w:rPr>
              <w:t>Phase 7 – Post – migration and decommission</w:t>
            </w:r>
          </w:p>
        </w:tc>
        <w:tc>
          <w:tcPr>
            <w:tcW w:w="824" w:type="pct"/>
            <w:noWrap/>
          </w:tcPr>
          <w:p w14:paraId="5C21305D" w14:textId="5B439960"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 xml:space="preserve">[8, </w:t>
            </w:r>
            <w:r w:rsidR="00EE206C" w:rsidRPr="003E3396">
              <w:rPr>
                <w:rFonts w:eastAsia="Times New Roman"/>
                <w:noProof/>
                <w:sz w:val="22"/>
                <w:szCs w:val="22"/>
                <w:lang w:val="en-IE" w:eastAsia="en-IE"/>
              </w:rPr>
              <w:t>16</w:t>
            </w:r>
            <w:r w:rsidRPr="003E3396">
              <w:rPr>
                <w:rFonts w:eastAsia="Times New Roman"/>
                <w:noProof/>
                <w:sz w:val="22"/>
                <w:szCs w:val="22"/>
                <w:lang w:val="en-IE" w:eastAsia="en-IE"/>
              </w:rPr>
              <w:t>]</w:t>
            </w:r>
          </w:p>
        </w:tc>
        <w:tc>
          <w:tcPr>
            <w:tcW w:w="1070" w:type="pct"/>
            <w:noWrap/>
            <w:hideMark/>
          </w:tcPr>
          <w:p w14:paraId="0049501C" w14:textId="7A5789F1"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D40BAA" w:rsidRPr="003E3396">
              <w:rPr>
                <w:rFonts w:eastAsia="Times New Roman"/>
                <w:noProof/>
                <w:sz w:val="22"/>
                <w:szCs w:val="22"/>
                <w:lang w:val="en-IE" w:eastAsia="en-IE"/>
              </w:rPr>
              <w:t>68</w:t>
            </w:r>
            <w:r w:rsidRPr="003E3396">
              <w:rPr>
                <w:rFonts w:eastAsia="Times New Roman"/>
                <w:noProof/>
                <w:sz w:val="22"/>
                <w:szCs w:val="22"/>
                <w:lang w:val="en-IE" w:eastAsia="en-IE"/>
              </w:rPr>
              <w:t xml:space="preserve">, </w:t>
            </w:r>
            <w:r w:rsidR="00F26DE8" w:rsidRPr="003E3396">
              <w:rPr>
                <w:rFonts w:eastAsia="Times New Roman"/>
                <w:noProof/>
                <w:sz w:val="22"/>
                <w:szCs w:val="22"/>
                <w:lang w:val="en-IE" w:eastAsia="en-IE"/>
              </w:rPr>
              <w:t>1</w:t>
            </w:r>
            <w:r w:rsidR="00D40BAA" w:rsidRPr="003E3396">
              <w:rPr>
                <w:rFonts w:eastAsia="Times New Roman"/>
                <w:noProof/>
                <w:sz w:val="22"/>
                <w:szCs w:val="22"/>
                <w:lang w:val="en-IE" w:eastAsia="en-IE"/>
              </w:rPr>
              <w:t>48</w:t>
            </w:r>
            <w:r w:rsidRPr="003E3396">
              <w:rPr>
                <w:rFonts w:eastAsia="Times New Roman"/>
                <w:noProof/>
                <w:sz w:val="22"/>
                <w:szCs w:val="22"/>
                <w:lang w:val="en-IE" w:eastAsia="en-IE"/>
              </w:rPr>
              <w:t>]</w:t>
            </w:r>
          </w:p>
        </w:tc>
        <w:tc>
          <w:tcPr>
            <w:tcW w:w="987" w:type="pct"/>
            <w:noWrap/>
            <w:hideMark/>
          </w:tcPr>
          <w:p w14:paraId="1792F101" w14:textId="5DBE0446" w:rsidR="00F06C1D" w:rsidRPr="003E3396" w:rsidRDefault="00F06C1D" w:rsidP="00F06C1D">
            <w:pPr>
              <w:spacing w:after="0"/>
              <w:jc w:val="right"/>
              <w:rPr>
                <w:rFonts w:eastAsia="Times New Roman"/>
                <w:noProof/>
                <w:sz w:val="22"/>
                <w:szCs w:val="22"/>
                <w:lang w:val="en-IE" w:eastAsia="en-IE"/>
              </w:rPr>
            </w:pPr>
            <w:r w:rsidRPr="003E3396">
              <w:rPr>
                <w:rFonts w:eastAsia="Times New Roman"/>
                <w:noProof/>
                <w:sz w:val="22"/>
                <w:szCs w:val="22"/>
                <w:lang w:val="en-IE" w:eastAsia="en-IE"/>
              </w:rPr>
              <w:t>[</w:t>
            </w:r>
            <w:r w:rsidR="00492FA7" w:rsidRPr="003E3396">
              <w:rPr>
                <w:rFonts w:eastAsia="Times New Roman"/>
                <w:noProof/>
                <w:sz w:val="22"/>
                <w:szCs w:val="22"/>
                <w:lang w:val="en-IE" w:eastAsia="en-IE"/>
              </w:rPr>
              <w:t>280, 640</w:t>
            </w:r>
            <w:r w:rsidRPr="003E3396">
              <w:rPr>
                <w:rFonts w:eastAsia="Times New Roman"/>
                <w:noProof/>
                <w:sz w:val="22"/>
                <w:szCs w:val="22"/>
                <w:lang w:val="en-IE" w:eastAsia="en-IE"/>
              </w:rPr>
              <w:t>]</w:t>
            </w:r>
          </w:p>
        </w:tc>
        <w:tc>
          <w:tcPr>
            <w:tcW w:w="1216" w:type="pct"/>
          </w:tcPr>
          <w:p w14:paraId="36B44F63" w14:textId="2F49C876" w:rsidR="00F06C1D" w:rsidRPr="003E3396" w:rsidRDefault="00F06C1D" w:rsidP="003E3396">
            <w:pPr>
              <w:spacing w:after="0"/>
              <w:jc w:val="left"/>
              <w:rPr>
                <w:rFonts w:eastAsia="Times New Roman"/>
                <w:noProof/>
                <w:sz w:val="22"/>
                <w:szCs w:val="22"/>
                <w:lang w:val="en-IE" w:eastAsia="en-IE"/>
              </w:rPr>
            </w:pPr>
            <w:r w:rsidRPr="003E3396">
              <w:rPr>
                <w:rFonts w:eastAsia="Times New Roman"/>
                <w:noProof/>
                <w:sz w:val="22"/>
                <w:szCs w:val="22"/>
                <w:lang w:val="en-IE" w:eastAsia="en-IE"/>
              </w:rPr>
              <w:t>Under this phase, the most important activities that drive the increment are setting up the observability mechanisms, the decommissioning of the infrastructure and verifying that everything was correct, and the training of the staff that will be operating the application.</w:t>
            </w:r>
          </w:p>
        </w:tc>
      </w:tr>
      <w:tr w:rsidR="00C2648F" w:rsidRPr="00C10012" w14:paraId="7C5399E9" w14:textId="77777777" w:rsidTr="003E3396">
        <w:trPr>
          <w:trHeight w:val="300"/>
        </w:trPr>
        <w:tc>
          <w:tcPr>
            <w:tcW w:w="903" w:type="pct"/>
            <w:shd w:val="clear" w:color="000000" w:fill="E8E8E8"/>
            <w:noWrap/>
            <w:hideMark/>
          </w:tcPr>
          <w:p w14:paraId="275F635C" w14:textId="77777777" w:rsidR="00F06C1D" w:rsidRPr="003E3396" w:rsidRDefault="00F06C1D" w:rsidP="00F06C1D">
            <w:pPr>
              <w:spacing w:after="0"/>
              <w:jc w:val="left"/>
              <w:rPr>
                <w:rFonts w:eastAsia="Times New Roman"/>
                <w:b/>
                <w:bCs/>
                <w:noProof/>
                <w:sz w:val="22"/>
                <w:szCs w:val="22"/>
                <w:lang w:val="en-IE" w:eastAsia="en-IE"/>
              </w:rPr>
            </w:pPr>
            <w:r w:rsidRPr="003E3396">
              <w:rPr>
                <w:rFonts w:eastAsia="Times New Roman"/>
                <w:b/>
                <w:bCs/>
                <w:noProof/>
                <w:sz w:val="22"/>
                <w:szCs w:val="22"/>
                <w:lang w:val="en-IE" w:eastAsia="en-IE"/>
              </w:rPr>
              <w:t>Total one-off effort (hours)</w:t>
            </w:r>
          </w:p>
        </w:tc>
        <w:tc>
          <w:tcPr>
            <w:tcW w:w="824" w:type="pct"/>
            <w:shd w:val="clear" w:color="000000" w:fill="E8E8E8"/>
            <w:noWrap/>
          </w:tcPr>
          <w:p w14:paraId="11737A7F" w14:textId="14B84B98" w:rsidR="00F06C1D" w:rsidRPr="003E3396" w:rsidRDefault="00F06C1D" w:rsidP="00F06C1D">
            <w:pPr>
              <w:spacing w:after="0"/>
              <w:jc w:val="right"/>
              <w:rPr>
                <w:rFonts w:eastAsia="Times New Roman"/>
                <w:b/>
                <w:bCs/>
                <w:noProof/>
                <w:sz w:val="22"/>
                <w:szCs w:val="22"/>
                <w:lang w:val="en-IE" w:eastAsia="en-IE"/>
              </w:rPr>
            </w:pPr>
            <w:r w:rsidRPr="003E3396">
              <w:rPr>
                <w:rFonts w:eastAsia="Times New Roman"/>
                <w:b/>
                <w:bCs/>
                <w:noProof/>
                <w:sz w:val="22"/>
                <w:szCs w:val="22"/>
                <w:lang w:val="en-IE" w:eastAsia="en-IE"/>
              </w:rPr>
              <w:t>[</w:t>
            </w:r>
            <w:r w:rsidR="009F71D0" w:rsidRPr="003E3396">
              <w:rPr>
                <w:rFonts w:eastAsia="Times New Roman"/>
                <w:b/>
                <w:bCs/>
                <w:noProof/>
                <w:sz w:val="22"/>
                <w:szCs w:val="22"/>
                <w:lang w:val="en-IE" w:eastAsia="en-IE"/>
              </w:rPr>
              <w:t>264</w:t>
            </w:r>
            <w:r w:rsidR="006E610F" w:rsidRPr="003E3396">
              <w:rPr>
                <w:rFonts w:eastAsia="Times New Roman"/>
                <w:b/>
                <w:bCs/>
                <w:noProof/>
                <w:sz w:val="22"/>
                <w:szCs w:val="22"/>
                <w:lang w:val="en-IE" w:eastAsia="en-IE"/>
              </w:rPr>
              <w:t xml:space="preserve"> - 553</w:t>
            </w:r>
            <w:r w:rsidR="00296B28" w:rsidRPr="003E3396">
              <w:rPr>
                <w:rFonts w:eastAsia="Times New Roman"/>
                <w:b/>
                <w:bCs/>
                <w:noProof/>
                <w:sz w:val="22"/>
                <w:szCs w:val="22"/>
                <w:lang w:val="en-IE" w:eastAsia="en-IE"/>
              </w:rPr>
              <w:t>]</w:t>
            </w:r>
          </w:p>
        </w:tc>
        <w:tc>
          <w:tcPr>
            <w:tcW w:w="1070" w:type="pct"/>
            <w:shd w:val="clear" w:color="000000" w:fill="E8E8E8"/>
            <w:noWrap/>
            <w:hideMark/>
          </w:tcPr>
          <w:p w14:paraId="162F04D9" w14:textId="7639AC43" w:rsidR="00F06C1D" w:rsidRPr="003E3396" w:rsidRDefault="00F06C1D" w:rsidP="00F06C1D">
            <w:pPr>
              <w:spacing w:after="0"/>
              <w:jc w:val="right"/>
              <w:rPr>
                <w:rFonts w:eastAsia="Times New Roman"/>
                <w:b/>
                <w:bCs/>
                <w:noProof/>
                <w:sz w:val="22"/>
                <w:szCs w:val="22"/>
                <w:lang w:val="en-IE" w:eastAsia="en-IE"/>
              </w:rPr>
            </w:pPr>
            <w:r w:rsidRPr="003E3396">
              <w:rPr>
                <w:rFonts w:eastAsia="Times New Roman"/>
                <w:b/>
                <w:bCs/>
                <w:noProof/>
                <w:sz w:val="22"/>
                <w:szCs w:val="22"/>
                <w:lang w:val="en-IE" w:eastAsia="en-IE"/>
              </w:rPr>
              <w:t>[</w:t>
            </w:r>
            <w:r w:rsidR="00296B28" w:rsidRPr="003E3396">
              <w:rPr>
                <w:rFonts w:eastAsia="Times New Roman"/>
                <w:b/>
                <w:bCs/>
                <w:noProof/>
                <w:sz w:val="22"/>
                <w:szCs w:val="22"/>
                <w:lang w:val="en-IE" w:eastAsia="en-IE"/>
              </w:rPr>
              <w:t>2</w:t>
            </w:r>
            <w:r w:rsidR="00321747" w:rsidRPr="003E3396">
              <w:rPr>
                <w:rFonts w:eastAsia="Times New Roman"/>
                <w:b/>
                <w:bCs/>
                <w:noProof/>
                <w:sz w:val="22"/>
                <w:szCs w:val="22"/>
                <w:lang w:val="en-IE" w:eastAsia="en-IE"/>
              </w:rPr>
              <w:t xml:space="preserve"> </w:t>
            </w:r>
            <w:r w:rsidR="00242239" w:rsidRPr="003E3396">
              <w:rPr>
                <w:rFonts w:eastAsia="Times New Roman"/>
                <w:b/>
                <w:bCs/>
                <w:noProof/>
                <w:sz w:val="22"/>
                <w:szCs w:val="22"/>
                <w:lang w:val="en-IE" w:eastAsia="en-IE"/>
              </w:rPr>
              <w:t>108</w:t>
            </w:r>
            <w:r w:rsidR="00296B28" w:rsidRPr="003E3396">
              <w:rPr>
                <w:rFonts w:eastAsia="Times New Roman"/>
                <w:b/>
                <w:bCs/>
                <w:noProof/>
                <w:sz w:val="22"/>
                <w:szCs w:val="22"/>
                <w:lang w:val="en-IE" w:eastAsia="en-IE"/>
              </w:rPr>
              <w:t xml:space="preserve"> – 4</w:t>
            </w:r>
            <w:r w:rsidR="00321747" w:rsidRPr="003E3396">
              <w:rPr>
                <w:rFonts w:eastAsia="Times New Roman"/>
                <w:b/>
                <w:bCs/>
                <w:noProof/>
                <w:sz w:val="22"/>
                <w:szCs w:val="22"/>
                <w:lang w:val="en-IE" w:eastAsia="en-IE"/>
              </w:rPr>
              <w:t xml:space="preserve"> </w:t>
            </w:r>
            <w:r w:rsidR="00242239" w:rsidRPr="003E3396">
              <w:rPr>
                <w:rFonts w:eastAsia="Times New Roman"/>
                <w:b/>
                <w:bCs/>
                <w:noProof/>
                <w:sz w:val="22"/>
                <w:szCs w:val="22"/>
                <w:lang w:val="en-IE" w:eastAsia="en-IE"/>
              </w:rPr>
              <w:t>566</w:t>
            </w:r>
            <w:r w:rsidRPr="003E3396">
              <w:rPr>
                <w:rFonts w:eastAsia="Times New Roman"/>
                <w:b/>
                <w:bCs/>
                <w:noProof/>
                <w:sz w:val="22"/>
                <w:szCs w:val="22"/>
                <w:lang w:val="en-IE" w:eastAsia="en-IE"/>
              </w:rPr>
              <w:t>]</w:t>
            </w:r>
          </w:p>
        </w:tc>
        <w:tc>
          <w:tcPr>
            <w:tcW w:w="987" w:type="pct"/>
            <w:shd w:val="clear" w:color="000000" w:fill="E8E8E8"/>
            <w:noWrap/>
            <w:hideMark/>
          </w:tcPr>
          <w:p w14:paraId="24D9C0D7" w14:textId="5E7EA94C" w:rsidR="00F06C1D" w:rsidRPr="003E3396" w:rsidRDefault="00F06C1D" w:rsidP="00F06C1D">
            <w:pPr>
              <w:spacing w:after="0"/>
              <w:jc w:val="right"/>
              <w:rPr>
                <w:rFonts w:eastAsia="Times New Roman"/>
                <w:b/>
                <w:bCs/>
                <w:noProof/>
                <w:sz w:val="22"/>
                <w:szCs w:val="22"/>
                <w:lang w:val="en-IE" w:eastAsia="en-IE"/>
              </w:rPr>
            </w:pPr>
            <w:r w:rsidRPr="003E3396">
              <w:rPr>
                <w:rFonts w:eastAsia="Times New Roman"/>
                <w:b/>
                <w:bCs/>
                <w:noProof/>
                <w:sz w:val="22"/>
                <w:szCs w:val="22"/>
                <w:lang w:val="en-IE" w:eastAsia="en-IE"/>
              </w:rPr>
              <w:t>[</w:t>
            </w:r>
            <w:r w:rsidR="00951ED7" w:rsidRPr="003E3396">
              <w:rPr>
                <w:rFonts w:eastAsia="Times New Roman"/>
                <w:b/>
                <w:bCs/>
                <w:noProof/>
                <w:sz w:val="22"/>
                <w:szCs w:val="22"/>
                <w:lang w:val="en-IE" w:eastAsia="en-IE"/>
              </w:rPr>
              <w:t xml:space="preserve">4 </w:t>
            </w:r>
            <w:r w:rsidR="00321747" w:rsidRPr="003E3396">
              <w:rPr>
                <w:rFonts w:eastAsia="Times New Roman"/>
                <w:b/>
                <w:bCs/>
                <w:noProof/>
                <w:sz w:val="22"/>
                <w:szCs w:val="22"/>
                <w:lang w:val="en-IE" w:eastAsia="en-IE"/>
              </w:rPr>
              <w:t>900</w:t>
            </w:r>
            <w:r w:rsidR="00951ED7" w:rsidRPr="003E3396">
              <w:rPr>
                <w:rFonts w:eastAsia="Times New Roman"/>
                <w:b/>
                <w:bCs/>
                <w:noProof/>
                <w:sz w:val="22"/>
                <w:szCs w:val="22"/>
                <w:lang w:val="en-IE" w:eastAsia="en-IE"/>
              </w:rPr>
              <w:t xml:space="preserve">– </w:t>
            </w:r>
            <w:r w:rsidR="00321747" w:rsidRPr="003E3396">
              <w:rPr>
                <w:rFonts w:eastAsia="Times New Roman"/>
                <w:b/>
                <w:bCs/>
                <w:noProof/>
                <w:sz w:val="22"/>
                <w:szCs w:val="22"/>
                <w:lang w:val="en-IE" w:eastAsia="en-IE"/>
              </w:rPr>
              <w:t>11 100</w:t>
            </w:r>
            <w:r w:rsidRPr="003E3396">
              <w:rPr>
                <w:rFonts w:eastAsia="Times New Roman"/>
                <w:b/>
                <w:bCs/>
                <w:noProof/>
                <w:sz w:val="22"/>
                <w:szCs w:val="22"/>
                <w:lang w:val="en-IE" w:eastAsia="en-IE"/>
              </w:rPr>
              <w:t>]</w:t>
            </w:r>
          </w:p>
        </w:tc>
        <w:tc>
          <w:tcPr>
            <w:tcW w:w="1216" w:type="pct"/>
            <w:shd w:val="clear" w:color="000000" w:fill="E8E8E8"/>
          </w:tcPr>
          <w:p w14:paraId="66DA3E10" w14:textId="77777777" w:rsidR="00F06C1D" w:rsidRPr="003E3396" w:rsidRDefault="00F06C1D" w:rsidP="003E3396">
            <w:pPr>
              <w:spacing w:after="0"/>
              <w:jc w:val="left"/>
              <w:rPr>
                <w:rFonts w:eastAsia="Times New Roman"/>
                <w:b/>
                <w:bCs/>
                <w:noProof/>
                <w:sz w:val="22"/>
                <w:szCs w:val="22"/>
                <w:lang w:val="en-IE" w:eastAsia="en-IE"/>
              </w:rPr>
            </w:pPr>
          </w:p>
        </w:tc>
      </w:tr>
    </w:tbl>
    <w:p w14:paraId="1291B017" w14:textId="77777777" w:rsidR="004E2380" w:rsidRDefault="004E2380" w:rsidP="003E3396">
      <w:pPr>
        <w:jc w:val="left"/>
        <w:rPr>
          <w:noProof/>
          <w:lang w:val="en-IE"/>
        </w:rPr>
      </w:pPr>
    </w:p>
    <w:p w14:paraId="5E602262" w14:textId="22DBE8B9" w:rsidR="00FC22F9" w:rsidRPr="00FC22F9" w:rsidRDefault="00FC22F9" w:rsidP="00FC22F9">
      <w:pPr>
        <w:rPr>
          <w:noProof/>
          <w:lang w:val="en-IE"/>
        </w:rPr>
      </w:pPr>
      <w:r w:rsidRPr="00FC22F9">
        <w:rPr>
          <w:noProof/>
          <w:lang w:val="en-IE"/>
        </w:rPr>
        <w:t xml:space="preserve">The remaining costs </w:t>
      </w:r>
      <w:r w:rsidR="000C3CD6">
        <w:rPr>
          <w:noProof/>
          <w:lang w:val="en-IE"/>
        </w:rPr>
        <w:t xml:space="preserve">of a migration / </w:t>
      </w:r>
      <w:r w:rsidR="00C72C1B">
        <w:rPr>
          <w:noProof/>
          <w:lang w:val="en-IE"/>
        </w:rPr>
        <w:t>porting</w:t>
      </w:r>
      <w:r w:rsidRPr="00FC22F9">
        <w:rPr>
          <w:noProof/>
          <w:lang w:val="en-IE"/>
        </w:rPr>
        <w:t xml:space="preserve"> span infrastructure (VM), tooling</w:t>
      </w:r>
      <w:r w:rsidR="00DC6B22">
        <w:rPr>
          <w:noProof/>
          <w:lang w:val="en-IE"/>
        </w:rPr>
        <w:t xml:space="preserve"> licenses</w:t>
      </w:r>
      <w:r w:rsidRPr="00FC22F9">
        <w:rPr>
          <w:noProof/>
          <w:lang w:val="en-IE"/>
        </w:rPr>
        <w:t>, and the cost of parallel running both environments during transition. The table below shows the values considered for the min-max approach.</w:t>
      </w:r>
    </w:p>
    <w:p w14:paraId="2913E4DE" w14:textId="20201312" w:rsidR="00FC22F9" w:rsidRDefault="00FC22F9" w:rsidP="00FC22F9">
      <w:pP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71</w:t>
      </w:r>
      <w:r>
        <w:rPr>
          <w:b/>
          <w:iCs/>
          <w:noProof/>
          <w:color w:val="000000" w:themeColor="text1"/>
          <w:sz w:val="20"/>
          <w:szCs w:val="18"/>
          <w:lang w:val="en-IE"/>
        </w:rPr>
        <w:fldChar w:fldCharType="end"/>
      </w:r>
      <w:r>
        <w:rPr>
          <w:b/>
          <w:iCs/>
          <w:noProof/>
          <w:color w:val="000000" w:themeColor="text1"/>
          <w:sz w:val="20"/>
          <w:szCs w:val="18"/>
          <w:lang w:val="en-IE"/>
        </w:rPr>
        <w:t>. Estimation of VMs in the different migration phases (min, max, central values)</w:t>
      </w:r>
    </w:p>
    <w:tbl>
      <w:tblPr>
        <w:tblStyle w:val="TableGrid"/>
        <w:tblW w:w="0" w:type="auto"/>
        <w:tblLook w:val="04A0" w:firstRow="1" w:lastRow="0" w:firstColumn="1" w:lastColumn="0" w:noHBand="0" w:noVBand="1"/>
      </w:tblPr>
      <w:tblGrid>
        <w:gridCol w:w="1577"/>
        <w:gridCol w:w="2336"/>
        <w:gridCol w:w="2270"/>
        <w:gridCol w:w="2426"/>
      </w:tblGrid>
      <w:tr w:rsidR="00B3138F" w:rsidRPr="00FC22F9" w14:paraId="273177D8" w14:textId="77777777" w:rsidTr="00B3138F">
        <w:trPr>
          <w:tblHeader/>
        </w:trPr>
        <w:tc>
          <w:tcPr>
            <w:tcW w:w="1463" w:type="dxa"/>
            <w:tcBorders>
              <w:top w:val="single" w:sz="4" w:space="0" w:color="CCCCCC"/>
              <w:left w:val="single" w:sz="4" w:space="0" w:color="CCCCCC"/>
              <w:bottom w:val="single" w:sz="4" w:space="0" w:color="CCCCCC"/>
              <w:right w:val="single" w:sz="4" w:space="0" w:color="CCCCCC"/>
            </w:tcBorders>
            <w:shd w:val="clear" w:color="auto" w:fill="227ACB"/>
            <w:hideMark/>
          </w:tcPr>
          <w:p w14:paraId="7B3FD543" w14:textId="77777777" w:rsidR="00FC22F9" w:rsidRPr="003E3396" w:rsidRDefault="00FC22F9" w:rsidP="00FC22F9">
            <w:pPr>
              <w:rPr>
                <w:b/>
                <w:noProof/>
                <w:color w:val="FFFFFF" w:themeColor="background1"/>
                <w:lang w:val="en-US"/>
              </w:rPr>
            </w:pPr>
            <w:r w:rsidRPr="003E3396">
              <w:rPr>
                <w:b/>
                <w:noProof/>
                <w:color w:val="FFFFFF" w:themeColor="background1"/>
                <w:lang w:val="en-US"/>
              </w:rPr>
              <w:t>Phase</w:t>
            </w:r>
          </w:p>
        </w:tc>
        <w:tc>
          <w:tcPr>
            <w:tcW w:w="2617" w:type="dxa"/>
            <w:tcBorders>
              <w:top w:val="single" w:sz="4" w:space="0" w:color="auto"/>
              <w:left w:val="single" w:sz="4" w:space="0" w:color="CCCCCC"/>
              <w:bottom w:val="single" w:sz="4" w:space="0" w:color="auto"/>
              <w:right w:val="single" w:sz="4" w:space="0" w:color="auto"/>
            </w:tcBorders>
            <w:shd w:val="clear" w:color="auto" w:fill="227ACB"/>
            <w:hideMark/>
          </w:tcPr>
          <w:p w14:paraId="5AE56985" w14:textId="77777777" w:rsidR="00FC22F9" w:rsidRPr="003E3396" w:rsidRDefault="00FC22F9" w:rsidP="00FC22F9">
            <w:pPr>
              <w:rPr>
                <w:b/>
                <w:noProof/>
                <w:color w:val="FFFFFF" w:themeColor="background1"/>
                <w:lang w:val="en-US"/>
              </w:rPr>
            </w:pPr>
            <w:r w:rsidRPr="003E3396">
              <w:rPr>
                <w:b/>
                <w:noProof/>
                <w:color w:val="FFFFFF" w:themeColor="background1"/>
                <w:lang w:val="en-US"/>
              </w:rPr>
              <w:t>Small</w:t>
            </w:r>
          </w:p>
        </w:tc>
        <w:tc>
          <w:tcPr>
            <w:tcW w:w="2524" w:type="dxa"/>
            <w:tcBorders>
              <w:top w:val="single" w:sz="4" w:space="0" w:color="auto"/>
              <w:left w:val="single" w:sz="4" w:space="0" w:color="auto"/>
              <w:bottom w:val="single" w:sz="4" w:space="0" w:color="auto"/>
              <w:right w:val="single" w:sz="4" w:space="0" w:color="auto"/>
            </w:tcBorders>
            <w:shd w:val="clear" w:color="auto" w:fill="227ACB"/>
            <w:hideMark/>
          </w:tcPr>
          <w:p w14:paraId="2E0DE8A9" w14:textId="77777777" w:rsidR="00FC22F9" w:rsidRPr="003E3396" w:rsidRDefault="00FC22F9" w:rsidP="00FC22F9">
            <w:pPr>
              <w:rPr>
                <w:b/>
                <w:noProof/>
                <w:color w:val="FFFFFF" w:themeColor="background1"/>
                <w:lang w:val="en-US"/>
              </w:rPr>
            </w:pPr>
            <w:r w:rsidRPr="003E3396">
              <w:rPr>
                <w:b/>
                <w:noProof/>
                <w:color w:val="FFFFFF" w:themeColor="background1"/>
                <w:lang w:val="en-US"/>
              </w:rPr>
              <w:t>Mid-sized</w:t>
            </w:r>
          </w:p>
        </w:tc>
        <w:tc>
          <w:tcPr>
            <w:tcW w:w="2746" w:type="dxa"/>
            <w:tcBorders>
              <w:top w:val="single" w:sz="4" w:space="0" w:color="auto"/>
              <w:left w:val="single" w:sz="4" w:space="0" w:color="auto"/>
              <w:bottom w:val="single" w:sz="4" w:space="0" w:color="auto"/>
              <w:right w:val="single" w:sz="4" w:space="0" w:color="auto"/>
            </w:tcBorders>
            <w:shd w:val="clear" w:color="auto" w:fill="227ACB"/>
            <w:hideMark/>
          </w:tcPr>
          <w:p w14:paraId="66A370F6" w14:textId="77777777" w:rsidR="00FC22F9" w:rsidRPr="003E3396" w:rsidRDefault="00FC22F9" w:rsidP="00FC22F9">
            <w:pPr>
              <w:rPr>
                <w:b/>
                <w:noProof/>
                <w:color w:val="FFFFFF" w:themeColor="background1"/>
                <w:lang w:val="en-US"/>
              </w:rPr>
            </w:pPr>
            <w:r w:rsidRPr="003E3396">
              <w:rPr>
                <w:b/>
                <w:noProof/>
                <w:color w:val="FFFFFF" w:themeColor="background1"/>
                <w:lang w:val="en-US"/>
              </w:rPr>
              <w:t>Large</w:t>
            </w:r>
          </w:p>
        </w:tc>
      </w:tr>
      <w:tr w:rsidR="00FC22F9" w:rsidRPr="00FC22F9" w14:paraId="5197724D" w14:textId="77777777" w:rsidTr="00FC22F9">
        <w:tc>
          <w:tcPr>
            <w:tcW w:w="1463" w:type="dxa"/>
            <w:tcBorders>
              <w:top w:val="single" w:sz="4" w:space="0" w:color="CCCCCC"/>
              <w:left w:val="single" w:sz="4" w:space="0" w:color="auto"/>
              <w:bottom w:val="single" w:sz="4" w:space="0" w:color="auto"/>
              <w:right w:val="single" w:sz="4" w:space="0" w:color="auto"/>
            </w:tcBorders>
            <w:shd w:val="clear" w:color="auto" w:fill="F2F2F2" w:themeFill="background1" w:themeFillShade="F2"/>
            <w:hideMark/>
          </w:tcPr>
          <w:p w14:paraId="2FCF5137" w14:textId="77777777" w:rsidR="00FC22F9" w:rsidRPr="00FC22F9" w:rsidRDefault="00FC22F9" w:rsidP="00FC22F9">
            <w:pPr>
              <w:rPr>
                <w:b/>
                <w:bCs/>
                <w:noProof/>
                <w:lang w:val="en-US"/>
              </w:rPr>
            </w:pPr>
            <w:r w:rsidRPr="00FC22F9">
              <w:rPr>
                <w:b/>
                <w:bCs/>
                <w:noProof/>
                <w:lang w:val="en-US"/>
              </w:rPr>
              <w:t>P3 - Target Environment Setup</w:t>
            </w:r>
          </w:p>
        </w:tc>
        <w:tc>
          <w:tcPr>
            <w:tcW w:w="2617" w:type="dxa"/>
            <w:tcBorders>
              <w:top w:val="single" w:sz="4" w:space="0" w:color="auto"/>
              <w:left w:val="single" w:sz="4" w:space="0" w:color="auto"/>
              <w:bottom w:val="single" w:sz="4" w:space="0" w:color="auto"/>
              <w:right w:val="single" w:sz="4" w:space="0" w:color="auto"/>
            </w:tcBorders>
            <w:hideMark/>
          </w:tcPr>
          <w:p w14:paraId="3F6B8A37" w14:textId="688775C1" w:rsidR="00FC22F9" w:rsidRPr="00FC22F9" w:rsidRDefault="00FC22F9" w:rsidP="00FC22F9">
            <w:pPr>
              <w:rPr>
                <w:noProof/>
                <w:lang w:val="en-US"/>
              </w:rPr>
            </w:pPr>
            <w:r w:rsidRPr="00FC22F9">
              <w:rPr>
                <w:b/>
                <w:bCs/>
                <w:noProof/>
                <w:lang w:val="en-US"/>
              </w:rPr>
              <w:t>VM provisioning:</w:t>
            </w:r>
            <w:r w:rsidRPr="00FC22F9">
              <w:rPr>
                <w:noProof/>
                <w:lang w:val="en-US"/>
              </w:rPr>
              <w:t xml:space="preserve"> ranges between 3 </w:t>
            </w:r>
            <w:r w:rsidR="00F44184">
              <w:rPr>
                <w:noProof/>
                <w:lang w:val="en-US"/>
              </w:rPr>
              <w:t xml:space="preserve">and 6 </w:t>
            </w:r>
            <w:r w:rsidRPr="00FC22F9">
              <w:rPr>
                <w:noProof/>
                <w:lang w:val="en-US"/>
              </w:rPr>
              <w:t>days [only working hours in 3 weeks]</w:t>
            </w:r>
          </w:p>
        </w:tc>
        <w:tc>
          <w:tcPr>
            <w:tcW w:w="2524" w:type="dxa"/>
            <w:tcBorders>
              <w:top w:val="single" w:sz="4" w:space="0" w:color="auto"/>
              <w:left w:val="single" w:sz="4" w:space="0" w:color="auto"/>
              <w:bottom w:val="single" w:sz="4" w:space="0" w:color="auto"/>
              <w:right w:val="single" w:sz="4" w:space="0" w:color="auto"/>
            </w:tcBorders>
            <w:hideMark/>
          </w:tcPr>
          <w:p w14:paraId="1BA234A7" w14:textId="114B4BC6" w:rsidR="00FC22F9" w:rsidRPr="00FC22F9" w:rsidRDefault="00FC22F9" w:rsidP="00FC22F9">
            <w:pPr>
              <w:rPr>
                <w:noProof/>
                <w:lang w:val="en-US"/>
              </w:rPr>
            </w:pPr>
            <w:r w:rsidRPr="00FC22F9">
              <w:rPr>
                <w:b/>
                <w:bCs/>
                <w:noProof/>
                <w:lang w:val="en-US"/>
              </w:rPr>
              <w:t>VM provisioning:</w:t>
            </w:r>
            <w:r w:rsidRPr="00FC22F9">
              <w:rPr>
                <w:noProof/>
                <w:lang w:val="en-US"/>
              </w:rPr>
              <w:t xml:space="preserve"> ranges between 6 </w:t>
            </w:r>
            <w:r w:rsidR="00AE4CE2">
              <w:rPr>
                <w:noProof/>
                <w:lang w:val="en-US"/>
              </w:rPr>
              <w:t xml:space="preserve">and 9 </w:t>
            </w:r>
            <w:r w:rsidRPr="00FC22F9">
              <w:rPr>
                <w:noProof/>
                <w:lang w:val="en-US"/>
              </w:rPr>
              <w:t>days [only working hours in 3 weeks]</w:t>
            </w:r>
          </w:p>
        </w:tc>
        <w:tc>
          <w:tcPr>
            <w:tcW w:w="2746" w:type="dxa"/>
            <w:tcBorders>
              <w:top w:val="single" w:sz="4" w:space="0" w:color="auto"/>
              <w:left w:val="single" w:sz="4" w:space="0" w:color="auto"/>
              <w:bottom w:val="single" w:sz="4" w:space="0" w:color="auto"/>
              <w:right w:val="single" w:sz="4" w:space="0" w:color="auto"/>
            </w:tcBorders>
            <w:hideMark/>
          </w:tcPr>
          <w:p w14:paraId="6173FDA2" w14:textId="48DEE5AB" w:rsidR="0059535D" w:rsidRPr="00FC22F9" w:rsidRDefault="00FC22F9" w:rsidP="0059535D">
            <w:pPr>
              <w:rPr>
                <w:noProof/>
                <w:lang w:val="en-US"/>
              </w:rPr>
            </w:pPr>
            <w:r w:rsidRPr="00FC22F9">
              <w:rPr>
                <w:b/>
                <w:bCs/>
                <w:noProof/>
                <w:lang w:val="en-US"/>
              </w:rPr>
              <w:t>VM provisioning:</w:t>
            </w:r>
            <w:r w:rsidRPr="00FC22F9">
              <w:rPr>
                <w:noProof/>
                <w:lang w:val="en-US"/>
              </w:rPr>
              <w:t xml:space="preserve"> ranges between </w:t>
            </w:r>
            <w:r w:rsidR="0059535D" w:rsidRPr="00FC22F9">
              <w:rPr>
                <w:noProof/>
                <w:lang w:val="en-US"/>
              </w:rPr>
              <w:t xml:space="preserve">ranges between </w:t>
            </w:r>
            <w:r w:rsidR="0059535D">
              <w:rPr>
                <w:noProof/>
                <w:lang w:val="en-US"/>
              </w:rPr>
              <w:t>9 and 12</w:t>
            </w:r>
            <w:r w:rsidRPr="00FC22F9">
              <w:rPr>
                <w:noProof/>
                <w:lang w:val="en-US"/>
              </w:rPr>
              <w:t xml:space="preserve"> days</w:t>
            </w:r>
            <w:r w:rsidR="0059535D">
              <w:rPr>
                <w:noProof/>
                <w:lang w:val="en-US"/>
              </w:rPr>
              <w:t xml:space="preserve"> </w:t>
            </w:r>
            <w:r w:rsidR="0059535D" w:rsidRPr="00FC22F9">
              <w:rPr>
                <w:noProof/>
                <w:lang w:val="en-US"/>
              </w:rPr>
              <w:t>[</w:t>
            </w:r>
            <w:r w:rsidRPr="00FC22F9">
              <w:rPr>
                <w:noProof/>
                <w:lang w:val="en-US"/>
              </w:rPr>
              <w:t>only working hours in 3 weeks</w:t>
            </w:r>
            <w:r w:rsidR="0059535D" w:rsidRPr="00FC22F9">
              <w:rPr>
                <w:noProof/>
                <w:lang w:val="en-US"/>
              </w:rPr>
              <w:t>]</w:t>
            </w:r>
          </w:p>
          <w:p w14:paraId="38CAA7E3" w14:textId="6A541178" w:rsidR="00FC22F9" w:rsidRPr="00FC22F9" w:rsidRDefault="00FC22F9" w:rsidP="00FC22F9">
            <w:pPr>
              <w:rPr>
                <w:noProof/>
                <w:lang w:val="en-US"/>
              </w:rPr>
            </w:pPr>
          </w:p>
        </w:tc>
      </w:tr>
      <w:tr w:rsidR="00FC22F9" w:rsidRPr="00FC22F9" w14:paraId="398E5B26" w14:textId="77777777" w:rsidTr="003E3396">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08CEB6" w14:textId="77777777" w:rsidR="00FC22F9" w:rsidRPr="00FC22F9" w:rsidRDefault="00FC22F9" w:rsidP="00FC22F9">
            <w:pPr>
              <w:rPr>
                <w:b/>
                <w:bCs/>
                <w:noProof/>
                <w:lang w:val="en-US"/>
              </w:rPr>
            </w:pPr>
            <w:r w:rsidRPr="00FC22F9">
              <w:rPr>
                <w:b/>
                <w:bCs/>
                <w:noProof/>
                <w:lang w:val="en-US"/>
              </w:rPr>
              <w:t>P4 - Migration</w:t>
            </w:r>
          </w:p>
        </w:tc>
        <w:tc>
          <w:tcPr>
            <w:tcW w:w="2617" w:type="dxa"/>
            <w:tcBorders>
              <w:top w:val="single" w:sz="4" w:space="0" w:color="auto"/>
              <w:left w:val="single" w:sz="4" w:space="0" w:color="auto"/>
              <w:bottom w:val="single" w:sz="4" w:space="0" w:color="auto"/>
              <w:right w:val="single" w:sz="4" w:space="0" w:color="auto"/>
            </w:tcBorders>
          </w:tcPr>
          <w:p w14:paraId="7EEEF4AE" w14:textId="32E54978" w:rsidR="00FC22F9" w:rsidRPr="00FC22F9" w:rsidRDefault="00FC22F9" w:rsidP="00FC22F9">
            <w:pPr>
              <w:rPr>
                <w:noProof/>
                <w:lang w:val="en-US"/>
              </w:rPr>
            </w:pPr>
            <w:r w:rsidRPr="00FC22F9">
              <w:rPr>
                <w:b/>
                <w:bCs/>
                <w:noProof/>
                <w:lang w:val="en-US"/>
              </w:rPr>
              <w:t>VM / server image replication</w:t>
            </w:r>
            <w:r w:rsidRPr="00FC22F9">
              <w:rPr>
                <w:noProof/>
                <w:lang w:val="en-US"/>
              </w:rPr>
              <w:t xml:space="preserve">: ranges between 3 </w:t>
            </w:r>
            <w:r w:rsidR="00CC6121">
              <w:rPr>
                <w:noProof/>
                <w:lang w:val="en-US"/>
              </w:rPr>
              <w:t xml:space="preserve">and 6 </w:t>
            </w:r>
            <w:r w:rsidRPr="00FC22F9">
              <w:rPr>
                <w:noProof/>
                <w:lang w:val="en-US"/>
              </w:rPr>
              <w:t>days</w:t>
            </w:r>
            <w:r w:rsidR="00CC6121">
              <w:rPr>
                <w:noProof/>
                <w:lang w:val="en-US"/>
              </w:rPr>
              <w:t xml:space="preserve"> </w:t>
            </w:r>
            <w:r w:rsidRPr="00FC22F9">
              <w:rPr>
                <w:noProof/>
                <w:lang w:val="en-US"/>
              </w:rPr>
              <w:t>[only working hours in 3 weeks]</w:t>
            </w:r>
          </w:p>
          <w:p w14:paraId="302DABE0" w14:textId="77777777" w:rsidR="00FC22F9" w:rsidRPr="00FC22F9" w:rsidRDefault="00FC22F9" w:rsidP="00FC22F9">
            <w:pPr>
              <w:rPr>
                <w:noProof/>
                <w:lang w:val="en-US"/>
              </w:rPr>
            </w:pPr>
          </w:p>
          <w:p w14:paraId="6327832B" w14:textId="3CAF07F0" w:rsidR="00FC22F9" w:rsidRPr="00FC22F9" w:rsidRDefault="00FC22F9" w:rsidP="00FC22F9">
            <w:pPr>
              <w:rPr>
                <w:noProof/>
                <w:lang w:val="en-US"/>
              </w:rPr>
            </w:pPr>
            <w:r w:rsidRPr="00FC22F9">
              <w:rPr>
                <w:b/>
                <w:bCs/>
                <w:noProof/>
                <w:lang w:val="en-US"/>
              </w:rPr>
              <w:t>Parallel infrastructure (dual-run):</w:t>
            </w:r>
            <w:r w:rsidRPr="00FC22F9">
              <w:rPr>
                <w:noProof/>
                <w:lang w:val="en-US"/>
              </w:rPr>
              <w:t xml:space="preserve"> ranges between 8 </w:t>
            </w:r>
            <w:r w:rsidR="00CC6121">
              <w:rPr>
                <w:noProof/>
                <w:lang w:val="en-US"/>
              </w:rPr>
              <w:t xml:space="preserve">and 16 days </w:t>
            </w:r>
            <w:r w:rsidRPr="00FC22F9">
              <w:rPr>
                <w:noProof/>
                <w:lang w:val="en-US"/>
              </w:rPr>
              <w:t>[only working hours in 8 weeks]</w:t>
            </w:r>
          </w:p>
        </w:tc>
        <w:tc>
          <w:tcPr>
            <w:tcW w:w="2524" w:type="dxa"/>
            <w:tcBorders>
              <w:top w:val="single" w:sz="4" w:space="0" w:color="auto"/>
              <w:left w:val="single" w:sz="4" w:space="0" w:color="auto"/>
              <w:bottom w:val="single" w:sz="4" w:space="0" w:color="auto"/>
              <w:right w:val="single" w:sz="4" w:space="0" w:color="auto"/>
            </w:tcBorders>
          </w:tcPr>
          <w:p w14:paraId="7DDFFDCE" w14:textId="4F1A04BA" w:rsidR="00FC22F9" w:rsidRPr="00FC22F9" w:rsidRDefault="00FC22F9" w:rsidP="00FC22F9">
            <w:pPr>
              <w:rPr>
                <w:noProof/>
                <w:lang w:val="en-US"/>
              </w:rPr>
            </w:pPr>
            <w:r w:rsidRPr="00FC22F9">
              <w:rPr>
                <w:b/>
                <w:bCs/>
                <w:noProof/>
                <w:lang w:val="en-US"/>
              </w:rPr>
              <w:t>VM / server image replication:</w:t>
            </w:r>
            <w:r w:rsidRPr="00FC22F9">
              <w:rPr>
                <w:noProof/>
                <w:lang w:val="en-US"/>
              </w:rPr>
              <w:t xml:space="preserve"> ranges between 6 </w:t>
            </w:r>
            <w:r w:rsidR="00CC6121">
              <w:rPr>
                <w:noProof/>
                <w:lang w:val="en-US"/>
              </w:rPr>
              <w:t xml:space="preserve">and 9 </w:t>
            </w:r>
            <w:r w:rsidRPr="00FC22F9">
              <w:rPr>
                <w:noProof/>
                <w:lang w:val="en-US"/>
              </w:rPr>
              <w:t>days</w:t>
            </w:r>
            <w:r w:rsidR="00CC6121">
              <w:rPr>
                <w:noProof/>
                <w:lang w:val="en-US"/>
              </w:rPr>
              <w:t xml:space="preserve"> </w:t>
            </w:r>
            <w:r w:rsidRPr="00FC22F9">
              <w:rPr>
                <w:noProof/>
                <w:lang w:val="en-US"/>
              </w:rPr>
              <w:t>[only working hours in 3 weeks]</w:t>
            </w:r>
          </w:p>
          <w:p w14:paraId="1518CB57" w14:textId="77777777" w:rsidR="00FC22F9" w:rsidRPr="00FC22F9" w:rsidRDefault="00FC22F9" w:rsidP="00FC22F9">
            <w:pPr>
              <w:rPr>
                <w:noProof/>
                <w:lang w:val="en-US"/>
              </w:rPr>
            </w:pPr>
          </w:p>
          <w:p w14:paraId="733D73B0" w14:textId="50CD462B" w:rsidR="00FC22F9" w:rsidRPr="00FC22F9" w:rsidRDefault="00FC22F9" w:rsidP="00FC22F9">
            <w:pPr>
              <w:rPr>
                <w:noProof/>
                <w:lang w:val="en-US"/>
              </w:rPr>
            </w:pPr>
            <w:r w:rsidRPr="00FC22F9">
              <w:rPr>
                <w:b/>
                <w:bCs/>
                <w:noProof/>
                <w:lang w:val="en-US"/>
              </w:rPr>
              <w:t>Parallel infrastructure (dual-run):</w:t>
            </w:r>
            <w:r w:rsidRPr="00FC22F9">
              <w:rPr>
                <w:noProof/>
                <w:lang w:val="en-US"/>
              </w:rPr>
              <w:t xml:space="preserve"> ranges between 16 </w:t>
            </w:r>
            <w:r w:rsidR="00CC6121">
              <w:rPr>
                <w:noProof/>
                <w:lang w:val="en-US"/>
              </w:rPr>
              <w:t xml:space="preserve">and 24 days </w:t>
            </w:r>
            <w:r w:rsidRPr="00FC22F9">
              <w:rPr>
                <w:noProof/>
                <w:lang w:val="en-US"/>
              </w:rPr>
              <w:t>[only working hours in 8 weeks]</w:t>
            </w:r>
          </w:p>
        </w:tc>
        <w:tc>
          <w:tcPr>
            <w:tcW w:w="2746" w:type="dxa"/>
            <w:tcBorders>
              <w:top w:val="single" w:sz="4" w:space="0" w:color="auto"/>
              <w:left w:val="single" w:sz="4" w:space="0" w:color="auto"/>
              <w:bottom w:val="single" w:sz="4" w:space="0" w:color="auto"/>
              <w:right w:val="single" w:sz="4" w:space="0" w:color="auto"/>
            </w:tcBorders>
          </w:tcPr>
          <w:p w14:paraId="178C11CA" w14:textId="7363499D" w:rsidR="00FC22F9" w:rsidRPr="00FC22F9" w:rsidRDefault="00FC22F9" w:rsidP="00FC22F9">
            <w:pPr>
              <w:rPr>
                <w:noProof/>
                <w:lang w:val="en-US"/>
              </w:rPr>
            </w:pPr>
            <w:r w:rsidRPr="00FC22F9">
              <w:rPr>
                <w:b/>
                <w:bCs/>
                <w:noProof/>
                <w:lang w:val="en-US"/>
              </w:rPr>
              <w:t>VM / server image replication:</w:t>
            </w:r>
            <w:r w:rsidRPr="00FC22F9">
              <w:rPr>
                <w:noProof/>
                <w:lang w:val="en-US"/>
              </w:rPr>
              <w:t xml:space="preserve"> ranges between </w:t>
            </w:r>
            <w:r w:rsidR="000C5AB0">
              <w:rPr>
                <w:noProof/>
                <w:lang w:val="en-US"/>
              </w:rPr>
              <w:t>9</w:t>
            </w:r>
            <w:r w:rsidR="00CC6121">
              <w:rPr>
                <w:noProof/>
                <w:lang w:val="en-US"/>
              </w:rPr>
              <w:t xml:space="preserve"> and </w:t>
            </w:r>
            <w:r w:rsidR="000C5AB0">
              <w:rPr>
                <w:noProof/>
                <w:lang w:val="en-US"/>
              </w:rPr>
              <w:t>12</w:t>
            </w:r>
            <w:r w:rsidRPr="00FC22F9">
              <w:rPr>
                <w:noProof/>
                <w:lang w:val="en-US"/>
              </w:rPr>
              <w:t xml:space="preserve"> days</w:t>
            </w:r>
            <w:r w:rsidR="00CC6121">
              <w:rPr>
                <w:noProof/>
                <w:lang w:val="en-US"/>
              </w:rPr>
              <w:t xml:space="preserve"> </w:t>
            </w:r>
            <w:r w:rsidRPr="00FC22F9">
              <w:rPr>
                <w:noProof/>
                <w:lang w:val="en-US"/>
              </w:rPr>
              <w:t>[only working hours in 3 weeks]</w:t>
            </w:r>
          </w:p>
          <w:p w14:paraId="739326C1" w14:textId="77777777" w:rsidR="00FC22F9" w:rsidRPr="00FC22F9" w:rsidRDefault="00FC22F9" w:rsidP="00FC22F9">
            <w:pPr>
              <w:rPr>
                <w:noProof/>
                <w:lang w:val="en-US"/>
              </w:rPr>
            </w:pPr>
          </w:p>
          <w:p w14:paraId="6F42B90A" w14:textId="3C55FEEA" w:rsidR="00FC22F9" w:rsidRPr="00FC22F9" w:rsidRDefault="00FC22F9" w:rsidP="00FC22F9">
            <w:pPr>
              <w:rPr>
                <w:noProof/>
                <w:lang w:val="en-US"/>
              </w:rPr>
            </w:pPr>
            <w:r w:rsidRPr="00FC22F9">
              <w:rPr>
                <w:b/>
                <w:bCs/>
                <w:noProof/>
                <w:lang w:val="en-US"/>
              </w:rPr>
              <w:t>Parallel infrastructure (dual-run):</w:t>
            </w:r>
            <w:r w:rsidRPr="00FC22F9">
              <w:rPr>
                <w:noProof/>
                <w:lang w:val="en-US"/>
              </w:rPr>
              <w:t xml:space="preserve"> ranges between 16 </w:t>
            </w:r>
            <w:r w:rsidR="00CC6121">
              <w:rPr>
                <w:noProof/>
                <w:lang w:val="en-US"/>
              </w:rPr>
              <w:t xml:space="preserve">and 24 days </w:t>
            </w:r>
            <w:r w:rsidRPr="00FC22F9">
              <w:rPr>
                <w:noProof/>
                <w:lang w:val="en-US"/>
              </w:rPr>
              <w:t>[only working hours in 8 weeks]</w:t>
            </w:r>
          </w:p>
          <w:p w14:paraId="6DC1A972" w14:textId="77777777" w:rsidR="00FC22F9" w:rsidRPr="00FC22F9" w:rsidRDefault="00FC22F9" w:rsidP="00FC22F9">
            <w:pPr>
              <w:rPr>
                <w:noProof/>
                <w:lang w:val="en-US"/>
              </w:rPr>
            </w:pPr>
          </w:p>
        </w:tc>
      </w:tr>
      <w:tr w:rsidR="00FC22F9" w:rsidRPr="00FC22F9" w14:paraId="7C8E93F0" w14:textId="77777777" w:rsidTr="003E3396">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4B8777" w14:textId="77777777" w:rsidR="00FC22F9" w:rsidRPr="00FC22F9" w:rsidRDefault="00FC22F9" w:rsidP="00FC22F9">
            <w:pPr>
              <w:rPr>
                <w:b/>
                <w:bCs/>
                <w:noProof/>
                <w:lang w:val="en-US"/>
              </w:rPr>
            </w:pPr>
            <w:r w:rsidRPr="00FC22F9">
              <w:rPr>
                <w:b/>
                <w:bCs/>
                <w:noProof/>
                <w:lang w:val="en-US"/>
              </w:rPr>
              <w:t>P6 - Cutover and Switching</w:t>
            </w:r>
          </w:p>
        </w:tc>
        <w:tc>
          <w:tcPr>
            <w:tcW w:w="2617" w:type="dxa"/>
            <w:tcBorders>
              <w:top w:val="single" w:sz="4" w:space="0" w:color="auto"/>
              <w:left w:val="single" w:sz="4" w:space="0" w:color="auto"/>
              <w:bottom w:val="single" w:sz="4" w:space="0" w:color="auto"/>
              <w:right w:val="single" w:sz="4" w:space="0" w:color="auto"/>
            </w:tcBorders>
            <w:hideMark/>
          </w:tcPr>
          <w:p w14:paraId="5D989EB8" w14:textId="77777777" w:rsidR="00FC22F9" w:rsidRPr="00FC22F9" w:rsidRDefault="00FC22F9" w:rsidP="00FC22F9">
            <w:pPr>
              <w:rPr>
                <w:noProof/>
                <w:lang w:val="en-US"/>
              </w:rPr>
            </w:pPr>
            <w:r w:rsidRPr="00FC22F9">
              <w:rPr>
                <w:b/>
                <w:bCs/>
                <w:noProof/>
                <w:lang w:val="en-US"/>
              </w:rPr>
              <w:t>Go live activity:</w:t>
            </w:r>
            <w:r w:rsidRPr="00FC22F9">
              <w:rPr>
                <w:noProof/>
                <w:lang w:val="en-US"/>
              </w:rPr>
              <w:t xml:space="preserve"> given the criticality of this activity, no ranges are considered. Duration 2 weeks, 24/7 </w:t>
            </w:r>
          </w:p>
        </w:tc>
        <w:tc>
          <w:tcPr>
            <w:tcW w:w="2524" w:type="dxa"/>
            <w:tcBorders>
              <w:top w:val="single" w:sz="4" w:space="0" w:color="auto"/>
              <w:left w:val="single" w:sz="4" w:space="0" w:color="auto"/>
              <w:bottom w:val="single" w:sz="4" w:space="0" w:color="auto"/>
              <w:right w:val="single" w:sz="4" w:space="0" w:color="auto"/>
            </w:tcBorders>
            <w:hideMark/>
          </w:tcPr>
          <w:p w14:paraId="430DE56A" w14:textId="77777777" w:rsidR="00FC22F9" w:rsidRPr="00FC22F9" w:rsidRDefault="00FC22F9" w:rsidP="00FC22F9">
            <w:pPr>
              <w:rPr>
                <w:noProof/>
                <w:lang w:val="en-US"/>
              </w:rPr>
            </w:pPr>
            <w:r w:rsidRPr="00FC22F9">
              <w:rPr>
                <w:b/>
                <w:bCs/>
                <w:noProof/>
                <w:lang w:val="en-US"/>
              </w:rPr>
              <w:t>Go live activity:</w:t>
            </w:r>
            <w:r w:rsidRPr="00FC22F9">
              <w:rPr>
                <w:noProof/>
                <w:lang w:val="en-US"/>
              </w:rPr>
              <w:t xml:space="preserve"> given the criticality of this activity, no ranges are considered. Duration 2 weeks, 24/7 </w:t>
            </w:r>
          </w:p>
        </w:tc>
        <w:tc>
          <w:tcPr>
            <w:tcW w:w="2746" w:type="dxa"/>
            <w:tcBorders>
              <w:top w:val="single" w:sz="4" w:space="0" w:color="auto"/>
              <w:left w:val="single" w:sz="4" w:space="0" w:color="auto"/>
              <w:bottom w:val="single" w:sz="4" w:space="0" w:color="auto"/>
              <w:right w:val="single" w:sz="4" w:space="0" w:color="auto"/>
            </w:tcBorders>
            <w:hideMark/>
          </w:tcPr>
          <w:p w14:paraId="0726F4EB" w14:textId="77777777" w:rsidR="00FC22F9" w:rsidRPr="00FC22F9" w:rsidRDefault="00FC22F9" w:rsidP="00FC22F9">
            <w:pPr>
              <w:rPr>
                <w:noProof/>
                <w:lang w:val="en-US"/>
              </w:rPr>
            </w:pPr>
            <w:r w:rsidRPr="00FC22F9">
              <w:rPr>
                <w:b/>
                <w:bCs/>
                <w:noProof/>
                <w:lang w:val="en-US"/>
              </w:rPr>
              <w:t>Go live activity:</w:t>
            </w:r>
            <w:r w:rsidRPr="00FC22F9">
              <w:rPr>
                <w:noProof/>
                <w:lang w:val="en-US"/>
              </w:rPr>
              <w:t xml:space="preserve"> given the criticality of this activity, no ranges are considered. Duration 2 weeks, 24/7</w:t>
            </w:r>
          </w:p>
        </w:tc>
      </w:tr>
      <w:tr w:rsidR="00FC22F9" w:rsidRPr="00FC22F9" w14:paraId="5083B5C2" w14:textId="77777777" w:rsidTr="003E3396">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CE63B7" w14:textId="77777777" w:rsidR="00FC22F9" w:rsidRPr="00FC22F9" w:rsidRDefault="00FC22F9" w:rsidP="00FC22F9">
            <w:pPr>
              <w:rPr>
                <w:b/>
                <w:bCs/>
                <w:noProof/>
                <w:lang w:val="en-US"/>
              </w:rPr>
            </w:pPr>
            <w:r w:rsidRPr="00FC22F9">
              <w:rPr>
                <w:b/>
                <w:bCs/>
                <w:noProof/>
                <w:lang w:val="en-US"/>
              </w:rPr>
              <w:t>P7 - Post-Migration</w:t>
            </w:r>
          </w:p>
        </w:tc>
        <w:tc>
          <w:tcPr>
            <w:tcW w:w="2617" w:type="dxa"/>
            <w:tcBorders>
              <w:top w:val="single" w:sz="4" w:space="0" w:color="auto"/>
              <w:left w:val="single" w:sz="4" w:space="0" w:color="auto"/>
              <w:bottom w:val="single" w:sz="4" w:space="0" w:color="auto"/>
              <w:right w:val="single" w:sz="4" w:space="0" w:color="auto"/>
            </w:tcBorders>
            <w:hideMark/>
          </w:tcPr>
          <w:p w14:paraId="7CD40AF7" w14:textId="77777777" w:rsidR="00FC22F9" w:rsidRPr="00FC22F9" w:rsidRDefault="00FC22F9" w:rsidP="00FC22F9">
            <w:pPr>
              <w:rPr>
                <w:noProof/>
                <w:lang w:val="en-US"/>
              </w:rPr>
            </w:pPr>
            <w:r w:rsidRPr="00FC22F9">
              <w:rPr>
                <w:b/>
                <w:bCs/>
                <w:noProof/>
                <w:lang w:val="en-US"/>
              </w:rPr>
              <w:t>Optimization:</w:t>
            </w:r>
            <w:r w:rsidRPr="00FC22F9">
              <w:rPr>
                <w:noProof/>
                <w:lang w:val="en-US"/>
              </w:rPr>
              <w:t xml:space="preserve"> given the criticality of this activity, no ranges are considered. Duration 2 weeks, 24/7</w:t>
            </w:r>
          </w:p>
        </w:tc>
        <w:tc>
          <w:tcPr>
            <w:tcW w:w="2524" w:type="dxa"/>
            <w:tcBorders>
              <w:top w:val="single" w:sz="4" w:space="0" w:color="auto"/>
              <w:left w:val="single" w:sz="4" w:space="0" w:color="auto"/>
              <w:bottom w:val="single" w:sz="4" w:space="0" w:color="auto"/>
              <w:right w:val="single" w:sz="4" w:space="0" w:color="auto"/>
            </w:tcBorders>
            <w:hideMark/>
          </w:tcPr>
          <w:p w14:paraId="6DB59B5E" w14:textId="77777777" w:rsidR="00FC22F9" w:rsidRPr="00FC22F9" w:rsidRDefault="00FC22F9" w:rsidP="00FC22F9">
            <w:pPr>
              <w:rPr>
                <w:noProof/>
                <w:lang w:val="en-US"/>
              </w:rPr>
            </w:pPr>
            <w:r w:rsidRPr="00FC22F9">
              <w:rPr>
                <w:b/>
                <w:bCs/>
                <w:noProof/>
                <w:lang w:val="en-US"/>
              </w:rPr>
              <w:t>Optimization</w:t>
            </w:r>
            <w:r w:rsidRPr="00FC22F9">
              <w:rPr>
                <w:noProof/>
                <w:lang w:val="en-US"/>
              </w:rPr>
              <w:t>: given the criticality of this activity, no ranges are considered. Duration 4 weeks, 24/7</w:t>
            </w:r>
          </w:p>
        </w:tc>
        <w:tc>
          <w:tcPr>
            <w:tcW w:w="2746" w:type="dxa"/>
            <w:tcBorders>
              <w:top w:val="single" w:sz="4" w:space="0" w:color="auto"/>
              <w:left w:val="single" w:sz="4" w:space="0" w:color="auto"/>
              <w:bottom w:val="single" w:sz="4" w:space="0" w:color="auto"/>
              <w:right w:val="single" w:sz="4" w:space="0" w:color="auto"/>
            </w:tcBorders>
            <w:hideMark/>
          </w:tcPr>
          <w:p w14:paraId="6B1645E1" w14:textId="77777777" w:rsidR="00FC22F9" w:rsidRPr="00FC22F9" w:rsidRDefault="00FC22F9" w:rsidP="00FC22F9">
            <w:pPr>
              <w:rPr>
                <w:noProof/>
                <w:lang w:val="en-US"/>
              </w:rPr>
            </w:pPr>
            <w:r w:rsidRPr="00FC22F9">
              <w:rPr>
                <w:b/>
                <w:bCs/>
                <w:noProof/>
                <w:lang w:val="en-US"/>
              </w:rPr>
              <w:t>Optimization:</w:t>
            </w:r>
            <w:r w:rsidRPr="00FC22F9">
              <w:rPr>
                <w:noProof/>
                <w:lang w:val="en-US"/>
              </w:rPr>
              <w:t xml:space="preserve"> given the criticality of this activity, no ranges are considered. Duration 4 weeks, 24/7</w:t>
            </w:r>
          </w:p>
        </w:tc>
      </w:tr>
    </w:tbl>
    <w:p w14:paraId="67E0B867" w14:textId="77777777" w:rsidR="00FC22F9" w:rsidRDefault="00FC22F9" w:rsidP="00FC22F9">
      <w:pPr>
        <w:rPr>
          <w:noProof/>
          <w:lang w:val="en-IE"/>
        </w:rPr>
      </w:pPr>
    </w:p>
    <w:p w14:paraId="3E47BACC" w14:textId="731BB5C1" w:rsidR="00427C83" w:rsidRPr="003C3908" w:rsidRDefault="00FC22F9" w:rsidP="00427C83">
      <w:pPr>
        <w:rPr>
          <w:b/>
          <w:bCs/>
          <w:i/>
          <w:iCs/>
          <w:noProof/>
          <w:lang w:val="en-IE"/>
        </w:rPr>
      </w:pPr>
      <w:r w:rsidRPr="003C3908">
        <w:rPr>
          <w:b/>
          <w:i/>
          <w:noProof/>
          <w:lang w:val="en-IE"/>
        </w:rPr>
        <w:t xml:space="preserve">One-off adjustment </w:t>
      </w:r>
      <w:r w:rsidR="00427C83" w:rsidRPr="003C3908">
        <w:rPr>
          <w:b/>
          <w:bCs/>
          <w:i/>
          <w:iCs/>
          <w:noProof/>
          <w:lang w:val="en-IE"/>
        </w:rPr>
        <w:t>costs</w:t>
      </w:r>
      <w:r w:rsidR="00427C83">
        <w:rPr>
          <w:b/>
          <w:bCs/>
          <w:i/>
          <w:iCs/>
          <w:noProof/>
          <w:lang w:val="en-IE"/>
        </w:rPr>
        <w:t xml:space="preserve"> </w:t>
      </w:r>
      <w:r>
        <w:rPr>
          <w:b/>
          <w:i/>
          <w:noProof/>
          <w:lang w:val="en-IE"/>
        </w:rPr>
        <w:t xml:space="preserve">for the </w:t>
      </w:r>
      <w:r w:rsidR="00EF4B27">
        <w:rPr>
          <w:b/>
          <w:i/>
          <w:noProof/>
          <w:lang w:val="en-IE"/>
        </w:rPr>
        <w:t xml:space="preserve">porting and </w:t>
      </w:r>
      <w:r>
        <w:rPr>
          <w:b/>
          <w:i/>
          <w:noProof/>
          <w:lang w:val="en-IE"/>
        </w:rPr>
        <w:t xml:space="preserve">migration of </w:t>
      </w:r>
      <w:r w:rsidR="00777F37">
        <w:rPr>
          <w:b/>
          <w:bCs/>
          <w:i/>
          <w:iCs/>
          <w:noProof/>
          <w:lang w:val="en-IE"/>
        </w:rPr>
        <w:t xml:space="preserve">cloud services </w:t>
      </w:r>
      <w:r w:rsidR="003617A3">
        <w:rPr>
          <w:b/>
          <w:bCs/>
          <w:i/>
          <w:iCs/>
          <w:noProof/>
          <w:lang w:val="en-IE"/>
        </w:rPr>
        <w:t>(legacy-to-cloud,</w:t>
      </w:r>
      <w:r>
        <w:rPr>
          <w:b/>
          <w:i/>
          <w:noProof/>
          <w:lang w:val="en-IE"/>
        </w:rPr>
        <w:t xml:space="preserve"> cloud</w:t>
      </w:r>
      <w:r w:rsidR="003617A3">
        <w:rPr>
          <w:b/>
          <w:bCs/>
          <w:i/>
          <w:iCs/>
          <w:noProof/>
          <w:lang w:val="en-IE"/>
        </w:rPr>
        <w:t>-to-</w:t>
      </w:r>
      <w:r>
        <w:rPr>
          <w:b/>
          <w:i/>
          <w:noProof/>
          <w:lang w:val="en-IE"/>
        </w:rPr>
        <w:t>cloud</w:t>
      </w:r>
      <w:r w:rsidR="003617A3">
        <w:rPr>
          <w:b/>
          <w:bCs/>
          <w:i/>
          <w:iCs/>
          <w:noProof/>
          <w:lang w:val="en-IE"/>
        </w:rPr>
        <w:t>) incurred by</w:t>
      </w:r>
      <w:r w:rsidR="00427C83">
        <w:rPr>
          <w:b/>
          <w:bCs/>
          <w:i/>
          <w:iCs/>
          <w:noProof/>
          <w:lang w:val="en-IE"/>
        </w:rPr>
        <w:t xml:space="preserve"> public essential entities listed under NIS2 Annex I</w:t>
      </w:r>
    </w:p>
    <w:p w14:paraId="6E3DD5AB" w14:textId="64C88E00" w:rsidR="00023334" w:rsidRDefault="00F77F84" w:rsidP="00427C83">
      <w:pPr>
        <w:rPr>
          <w:noProof/>
          <w:lang w:val="en-IE"/>
        </w:rPr>
      </w:pPr>
      <w:r>
        <w:rPr>
          <w:noProof/>
          <w:lang w:val="en-IE"/>
        </w:rPr>
        <w:t>Based on the consideration above, namely:</w:t>
      </w:r>
    </w:p>
    <w:p w14:paraId="56D1F512" w14:textId="51D67A18" w:rsidR="00C43A58" w:rsidRDefault="00C43A58" w:rsidP="00C43A58">
      <w:pPr>
        <w:numPr>
          <w:ilvl w:val="0"/>
          <w:numId w:val="132"/>
        </w:numPr>
        <w:rPr>
          <w:noProof/>
        </w:rPr>
      </w:pPr>
      <w:r>
        <w:rPr>
          <w:noProof/>
        </w:rPr>
        <w:t>6 400 entities, classified in</w:t>
      </w:r>
      <w:r w:rsidR="00E879E8">
        <w:rPr>
          <w:noProof/>
        </w:rPr>
        <w:t xml:space="preserve"> high-intensive users, medium intensive users, and low intensive users of cloud services</w:t>
      </w:r>
      <w:r w:rsidR="000336DD">
        <w:rPr>
          <w:noProof/>
        </w:rPr>
        <w:t>, distributed as explain above.</w:t>
      </w:r>
    </w:p>
    <w:p w14:paraId="01DDC3B4" w14:textId="19CE1BF2" w:rsidR="005F35FB" w:rsidRDefault="005F35FB" w:rsidP="005F35FB">
      <w:pPr>
        <w:numPr>
          <w:ilvl w:val="0"/>
          <w:numId w:val="132"/>
        </w:numPr>
        <w:rPr>
          <w:noProof/>
        </w:rPr>
      </w:pPr>
      <w:r>
        <w:rPr>
          <w:noProof/>
        </w:rPr>
        <w:t xml:space="preserve">1 200 IT services are considered, where 30% of the services are already cloudified and would be </w:t>
      </w:r>
      <w:r w:rsidR="00774344">
        <w:rPr>
          <w:noProof/>
        </w:rPr>
        <w:t xml:space="preserve">subject to </w:t>
      </w:r>
      <w:r>
        <w:rPr>
          <w:noProof/>
        </w:rPr>
        <w:t>a cloud-to-cloud migration, 30% are on-premises and will be cloudified, and 40% should remain on premise</w:t>
      </w:r>
      <w:r w:rsidRPr="00DD258C">
        <w:rPr>
          <w:noProof/>
        </w:rPr>
        <w:t xml:space="preserve"> (e.g. legacy systems that are being phased out, very small IT services)</w:t>
      </w:r>
      <w:r>
        <w:rPr>
          <w:noProof/>
        </w:rPr>
        <w:t>.</w:t>
      </w:r>
    </w:p>
    <w:p w14:paraId="6B3496F4" w14:textId="44699300" w:rsidR="00E879E8" w:rsidRDefault="00E879E8" w:rsidP="00C43A58">
      <w:pPr>
        <w:numPr>
          <w:ilvl w:val="0"/>
          <w:numId w:val="132"/>
        </w:numPr>
        <w:rPr>
          <w:noProof/>
        </w:rPr>
      </w:pPr>
      <w:r>
        <w:rPr>
          <w:noProof/>
        </w:rPr>
        <w:t xml:space="preserve">Three types of IT services depending on the </w:t>
      </w:r>
      <w:r w:rsidR="005F35FB">
        <w:rPr>
          <w:noProof/>
        </w:rPr>
        <w:t>size and complexity, small, mid-sized and large</w:t>
      </w:r>
      <w:r w:rsidR="000336DD">
        <w:rPr>
          <w:noProof/>
        </w:rPr>
        <w:t>, distributed as explained previously.</w:t>
      </w:r>
    </w:p>
    <w:p w14:paraId="6F2172DF" w14:textId="77777777" w:rsidR="00C43A58" w:rsidRDefault="00C43A58" w:rsidP="00C43A58">
      <w:pPr>
        <w:numPr>
          <w:ilvl w:val="0"/>
          <w:numId w:val="132"/>
        </w:numPr>
        <w:rPr>
          <w:noProof/>
        </w:rPr>
      </w:pPr>
      <w:r>
        <w:rPr>
          <w:noProof/>
        </w:rPr>
        <w:t>Based on the discussions mentioned above, the distribution of sovereignty needs resulting from the risk assessment across the public sector are Level 1: 70%, Level 2: 20%, Level 3: 9%, Level 4: 1%.</w:t>
      </w:r>
      <w:r w:rsidRPr="00A86687">
        <w:rPr>
          <w:noProof/>
        </w:rPr>
        <w:t> </w:t>
      </w:r>
    </w:p>
    <w:p w14:paraId="4A3DC8EE" w14:textId="41D716E3" w:rsidR="000336DD" w:rsidRDefault="000336DD" w:rsidP="00C43A58">
      <w:pPr>
        <w:numPr>
          <w:ilvl w:val="0"/>
          <w:numId w:val="132"/>
        </w:numPr>
        <w:rPr>
          <w:noProof/>
        </w:rPr>
      </w:pPr>
      <w:r>
        <w:rPr>
          <w:noProof/>
        </w:rPr>
        <w:t>The effort to migrate legacy-to-cloud is 1.5x bigger than porting cloud-to-cloud.</w:t>
      </w:r>
    </w:p>
    <w:p w14:paraId="5720E041" w14:textId="1F8CB030" w:rsidR="00C5740E" w:rsidRDefault="00E96985" w:rsidP="00E96985">
      <w:pPr>
        <w:rPr>
          <w:noProof/>
        </w:rPr>
      </w:pPr>
      <w:r>
        <w:rPr>
          <w:noProof/>
        </w:rPr>
        <w:t xml:space="preserve">The total </w:t>
      </w:r>
      <w:r w:rsidR="00F44F45">
        <w:rPr>
          <w:noProof/>
        </w:rPr>
        <w:t xml:space="preserve">estimated </w:t>
      </w:r>
      <w:r>
        <w:rPr>
          <w:noProof/>
        </w:rPr>
        <w:t xml:space="preserve">costs of </w:t>
      </w:r>
      <w:r w:rsidR="0077635B">
        <w:rPr>
          <w:noProof/>
        </w:rPr>
        <w:t xml:space="preserve">porting </w:t>
      </w:r>
      <w:r>
        <w:rPr>
          <w:noProof/>
        </w:rPr>
        <w:t xml:space="preserve">cloud – to – cloud </w:t>
      </w:r>
      <w:r w:rsidR="00F44F45">
        <w:rPr>
          <w:noProof/>
        </w:rPr>
        <w:t xml:space="preserve">for </w:t>
      </w:r>
      <w:r w:rsidR="0069595E">
        <w:rPr>
          <w:noProof/>
        </w:rPr>
        <w:t>different sovereign</w:t>
      </w:r>
      <w:r w:rsidR="00554729">
        <w:rPr>
          <w:noProof/>
        </w:rPr>
        <w:t>ty</w:t>
      </w:r>
      <w:r w:rsidR="0069595E">
        <w:rPr>
          <w:noProof/>
        </w:rPr>
        <w:t xml:space="preserve"> levels (1-4,</w:t>
      </w:r>
      <w:r w:rsidR="00F44F45">
        <w:rPr>
          <w:noProof/>
        </w:rPr>
        <w:t xml:space="preserve"> 2</w:t>
      </w:r>
      <w:r w:rsidR="0069595E">
        <w:rPr>
          <w:noProof/>
        </w:rPr>
        <w:t>-4</w:t>
      </w:r>
      <w:r w:rsidR="00D203F4">
        <w:rPr>
          <w:noProof/>
        </w:rPr>
        <w:t>)</w:t>
      </w:r>
      <w:r w:rsidR="002A7161">
        <w:rPr>
          <w:noProof/>
        </w:rPr>
        <w:t xml:space="preserve"> is shown </w:t>
      </w:r>
      <w:r w:rsidR="00A329D9">
        <w:rPr>
          <w:noProof/>
        </w:rPr>
        <w:t>in the table below</w:t>
      </w:r>
      <w:r w:rsidR="00554729">
        <w:rPr>
          <w:noProof/>
        </w:rPr>
        <w:t>.</w:t>
      </w:r>
      <w:r w:rsidR="003B1D63" w:rsidRPr="003B1D63">
        <w:rPr>
          <w:noProof/>
          <w:lang w:val="en-IE"/>
        </w:rPr>
        <w:t xml:space="preserve"> </w:t>
      </w:r>
      <w:r w:rsidR="003B1D63">
        <w:rPr>
          <w:noProof/>
          <w:lang w:val="en-IE"/>
        </w:rPr>
        <w:t>For sensitivity purposes,</w:t>
      </w:r>
      <w:r w:rsidR="00AD2DA3">
        <w:rPr>
          <w:noProof/>
          <w:lang w:val="en-IE"/>
        </w:rPr>
        <w:t xml:space="preserve"> a </w:t>
      </w:r>
      <w:r w:rsidR="00D203F4">
        <w:rPr>
          <w:noProof/>
          <w:lang w:val="en-IE"/>
        </w:rPr>
        <w:t xml:space="preserve">baseline for the </w:t>
      </w:r>
      <w:r w:rsidR="00AD2DA3">
        <w:rPr>
          <w:noProof/>
          <w:lang w:val="en-IE"/>
        </w:rPr>
        <w:t xml:space="preserve">price </w:t>
      </w:r>
      <w:r w:rsidR="00D203F4">
        <w:rPr>
          <w:noProof/>
          <w:lang w:val="en-IE"/>
        </w:rPr>
        <w:t>markup of sovereign services over</w:t>
      </w:r>
      <w:r w:rsidR="00AD2DA3">
        <w:rPr>
          <w:noProof/>
          <w:lang w:val="en-IE"/>
        </w:rPr>
        <w:t xml:space="preserve"> current </w:t>
      </w:r>
      <w:r w:rsidR="00D203F4">
        <w:rPr>
          <w:noProof/>
          <w:lang w:val="en-IE"/>
        </w:rPr>
        <w:t xml:space="preserve">cloud </w:t>
      </w:r>
      <w:r w:rsidR="00AD2DA3">
        <w:rPr>
          <w:noProof/>
          <w:lang w:val="en-IE"/>
        </w:rPr>
        <w:t xml:space="preserve">offerings </w:t>
      </w:r>
      <w:r w:rsidR="00D203F4">
        <w:rPr>
          <w:noProof/>
          <w:lang w:val="en-IE"/>
        </w:rPr>
        <w:t xml:space="preserve">has been set in </w:t>
      </w:r>
      <w:r w:rsidR="00CE3251">
        <w:rPr>
          <w:noProof/>
          <w:lang w:val="en-IE"/>
        </w:rPr>
        <w:t>+</w:t>
      </w:r>
      <w:r w:rsidR="00D203F4">
        <w:rPr>
          <w:noProof/>
          <w:lang w:val="en-IE"/>
        </w:rPr>
        <w:t xml:space="preserve">5% and </w:t>
      </w:r>
      <w:r w:rsidR="007B52B8">
        <w:rPr>
          <w:noProof/>
          <w:lang w:val="en-IE"/>
        </w:rPr>
        <w:t xml:space="preserve">a </w:t>
      </w:r>
      <w:r w:rsidR="003B1D63">
        <w:rPr>
          <w:noProof/>
          <w:lang w:val="en-IE"/>
        </w:rPr>
        <w:t>range</w:t>
      </w:r>
      <w:r w:rsidR="00A25B6E">
        <w:rPr>
          <w:noProof/>
          <w:lang w:val="en-IE"/>
        </w:rPr>
        <w:t xml:space="preserve"> </w:t>
      </w:r>
      <w:r w:rsidR="00165029">
        <w:rPr>
          <w:noProof/>
          <w:lang w:val="en-IE"/>
        </w:rPr>
        <w:t>from</w:t>
      </w:r>
      <w:r w:rsidR="003B1D63">
        <w:rPr>
          <w:noProof/>
          <w:lang w:val="en-IE"/>
        </w:rPr>
        <w:t xml:space="preserve"> + 12% to -10%</w:t>
      </w:r>
      <w:r w:rsidR="00A25B6E">
        <w:rPr>
          <w:noProof/>
          <w:lang w:val="en-IE"/>
        </w:rPr>
        <w:t xml:space="preserve"> </w:t>
      </w:r>
      <w:r w:rsidR="00165029">
        <w:rPr>
          <w:noProof/>
          <w:lang w:val="en-IE"/>
        </w:rPr>
        <w:t>i</w:t>
      </w:r>
      <w:r w:rsidR="00585F90">
        <w:rPr>
          <w:noProof/>
          <w:lang w:val="en-IE"/>
        </w:rPr>
        <w:t>s</w:t>
      </w:r>
      <w:r w:rsidR="00AD2DA3">
        <w:rPr>
          <w:noProof/>
          <w:lang w:val="en-IE"/>
        </w:rPr>
        <w:t xml:space="preserve"> </w:t>
      </w:r>
      <w:r w:rsidR="00585F90">
        <w:rPr>
          <w:noProof/>
          <w:lang w:val="en-IE"/>
        </w:rPr>
        <w:t>considered</w:t>
      </w:r>
      <w:r w:rsidR="004C5DF4">
        <w:rPr>
          <w:rStyle w:val="FootnoteReference"/>
          <w:noProof/>
          <w:lang w:val="en-IE"/>
        </w:rPr>
        <w:footnoteReference w:id="225"/>
      </w:r>
      <w:r w:rsidR="003B1D63">
        <w:rPr>
          <w:noProof/>
          <w:lang w:val="en-IE"/>
        </w:rPr>
        <w:t>.</w:t>
      </w:r>
    </w:p>
    <w:p w14:paraId="15110E03" w14:textId="26A094B5" w:rsidR="00B24D3F" w:rsidRDefault="00FC22F9" w:rsidP="00654EEB">
      <w:pPr>
        <w:pStyle w:val="Caption"/>
        <w:rPr>
          <w:noProof/>
        </w:rPr>
      </w:pPr>
      <w:r w:rsidRPr="00CE3251">
        <w:rPr>
          <w:noProof/>
        </w:rPr>
        <w:t xml:space="preserve">Table </w:t>
      </w:r>
      <w:r w:rsidRPr="008762E0">
        <w:rPr>
          <w:noProof/>
        </w:rPr>
        <w:fldChar w:fldCharType="begin"/>
      </w:r>
      <w:r>
        <w:rPr>
          <w:noProof/>
        </w:rPr>
        <w:instrText xml:space="preserve"> SEQ Table \* ARABIC </w:instrText>
      </w:r>
      <w:r w:rsidRPr="008762E0">
        <w:rPr>
          <w:noProof/>
        </w:rPr>
        <w:fldChar w:fldCharType="end"/>
      </w:r>
      <w:r w:rsidR="00654EEB" w:rsidRPr="008762E0">
        <w:rPr>
          <w:noProof/>
        </w:rPr>
        <w:t>.</w:t>
      </w:r>
      <w:r w:rsidR="00654EEB" w:rsidRPr="00CE3251">
        <w:rPr>
          <w:noProof/>
        </w:rPr>
        <w:t xml:space="preserve"> </w:t>
      </w:r>
      <w:r w:rsidR="00AE4F54">
        <w:rPr>
          <w:noProof/>
        </w:rPr>
        <w:t>C</w:t>
      </w:r>
      <w:r w:rsidR="00AE4F54" w:rsidRPr="00CE3251">
        <w:rPr>
          <w:noProof/>
        </w:rPr>
        <w:t>loud-to-sovereign cloud</w:t>
      </w:r>
      <w:r w:rsidR="00AE4F54">
        <w:rPr>
          <w:noProof/>
        </w:rPr>
        <w:t xml:space="preserve"> p</w:t>
      </w:r>
      <w:r w:rsidR="00C925BB" w:rsidRPr="00CE3251">
        <w:rPr>
          <w:noProof/>
        </w:rPr>
        <w:t>orting</w:t>
      </w:r>
      <w:r w:rsidR="00654EEB" w:rsidRPr="00CE3251">
        <w:rPr>
          <w:noProof/>
        </w:rPr>
        <w:t xml:space="preserve"> costs</w:t>
      </w:r>
      <w:r w:rsidR="00654EEB">
        <w:rPr>
          <w:noProof/>
        </w:rPr>
        <w:t xml:space="preserve"> (</w:t>
      </w:r>
      <w:r w:rsidR="00287ECA">
        <w:rPr>
          <w:noProof/>
        </w:rPr>
        <w:t>m</w:t>
      </w:r>
      <w:r w:rsidR="003F6CBD">
        <w:rPr>
          <w:noProof/>
        </w:rPr>
        <w:t xml:space="preserve"> EUR</w:t>
      </w:r>
      <w:r w:rsidR="00654EEB">
        <w:rPr>
          <w:noProof/>
        </w:rPr>
        <w:t>)</w:t>
      </w:r>
      <w:r w:rsidR="00654EEB" w:rsidRPr="00CE3251">
        <w:rPr>
          <w:noProof/>
        </w:rPr>
        <w:t xml:space="preserve"> of the IT systems of NIS 2 public essential entities </w:t>
      </w:r>
      <w:r w:rsidR="00C925BB" w:rsidRPr="00CE3251">
        <w:rPr>
          <w:noProof/>
        </w:rPr>
        <w:t>for different</w:t>
      </w:r>
      <w:r w:rsidR="00B53D6F" w:rsidRPr="00CE3251">
        <w:rPr>
          <w:noProof/>
        </w:rPr>
        <w:t xml:space="preserve"> price </w:t>
      </w:r>
      <w:r w:rsidR="00C925BB" w:rsidRPr="00CE3251">
        <w:rPr>
          <w:noProof/>
        </w:rPr>
        <w:t xml:space="preserve">markups </w:t>
      </w:r>
      <w:r w:rsidR="005F3E44" w:rsidRPr="00CE3251">
        <w:rPr>
          <w:noProof/>
        </w:rPr>
        <w:t xml:space="preserve">and sovereign </w:t>
      </w:r>
      <w:r w:rsidR="00E2428D">
        <w:rPr>
          <w:noProof/>
        </w:rPr>
        <w:t xml:space="preserve">assurance </w:t>
      </w:r>
      <w:r w:rsidR="005F3E44" w:rsidRPr="00CE3251">
        <w:rPr>
          <w:noProof/>
        </w:rPr>
        <w:t>levels</w:t>
      </w:r>
      <w:r w:rsidR="00C163AE" w:rsidRPr="00CE3251">
        <w:rPr>
          <w:noProof/>
        </w:rPr>
        <w:t xml:space="preserve"> (</w:t>
      </w:r>
      <w:r w:rsidR="000A6257">
        <w:rPr>
          <w:noProof/>
        </w:rPr>
        <w:t>Sovereignty</w:t>
      </w:r>
      <w:r w:rsidR="008B77AB">
        <w:rPr>
          <w:noProof/>
        </w:rPr>
        <w:t xml:space="preserve"> Assurance Level (</w:t>
      </w:r>
      <w:r w:rsidR="00E2428D">
        <w:rPr>
          <w:noProof/>
        </w:rPr>
        <w:t>SAL</w:t>
      </w:r>
      <w:r w:rsidR="008B77AB">
        <w:rPr>
          <w:noProof/>
        </w:rPr>
        <w:t>)</w:t>
      </w:r>
      <w:r w:rsidR="00E2428D">
        <w:rPr>
          <w:noProof/>
        </w:rPr>
        <w:t xml:space="preserve"> </w:t>
      </w:r>
      <w:r w:rsidR="00C163AE" w:rsidRPr="00CE3251">
        <w:rPr>
          <w:noProof/>
        </w:rPr>
        <w:t xml:space="preserve">1-4, </w:t>
      </w:r>
      <w:r w:rsidR="00E2428D">
        <w:rPr>
          <w:noProof/>
        </w:rPr>
        <w:t xml:space="preserve">SAL </w:t>
      </w:r>
      <w:r w:rsidR="00C163AE" w:rsidRPr="00CE3251">
        <w:rPr>
          <w:noProof/>
        </w:rPr>
        <w:t>2-4)</w:t>
      </w:r>
    </w:p>
    <w:tbl>
      <w:tblPr>
        <w:tblW w:w="5529" w:type="dxa"/>
        <w:jc w:val="center"/>
        <w:tblLook w:val="04A0" w:firstRow="1" w:lastRow="0" w:firstColumn="1" w:lastColumn="0" w:noHBand="0" w:noVBand="1"/>
      </w:tblPr>
      <w:tblGrid>
        <w:gridCol w:w="1701"/>
        <w:gridCol w:w="1311"/>
        <w:gridCol w:w="1241"/>
        <w:gridCol w:w="1276"/>
      </w:tblGrid>
      <w:tr w:rsidR="00683498" w:rsidRPr="006D2119" w14:paraId="56C058FF" w14:textId="77777777" w:rsidTr="006D2119">
        <w:trPr>
          <w:trHeight w:val="290"/>
          <w:jc w:val="center"/>
        </w:trPr>
        <w:tc>
          <w:tcPr>
            <w:tcW w:w="1701" w:type="dxa"/>
            <w:tcBorders>
              <w:top w:val="nil"/>
              <w:left w:val="nil"/>
              <w:bottom w:val="nil"/>
              <w:right w:val="nil"/>
            </w:tcBorders>
            <w:shd w:val="clear" w:color="000000" w:fill="0070C0"/>
            <w:hideMark/>
          </w:tcPr>
          <w:p w14:paraId="6191BAFC" w14:textId="7AF25EA2" w:rsidR="00C17ACB" w:rsidRPr="006D2119" w:rsidRDefault="00411796" w:rsidP="00C17ACB">
            <w:pPr>
              <w:spacing w:after="0"/>
              <w:jc w:val="left"/>
              <w:rPr>
                <w:rFonts w:eastAsia="Times New Roman"/>
                <w:b/>
                <w:bCs/>
                <w:noProof/>
                <w:color w:val="FFFFFF"/>
                <w:sz w:val="22"/>
                <w:szCs w:val="22"/>
                <w:lang w:val="en-IE" w:eastAsia="en-IE"/>
              </w:rPr>
            </w:pPr>
            <w:r w:rsidRPr="006D2119">
              <w:rPr>
                <w:rFonts w:eastAsia="Times New Roman"/>
                <w:b/>
                <w:bCs/>
                <w:noProof/>
                <w:color w:val="FFFFFF"/>
                <w:sz w:val="22"/>
                <w:szCs w:val="22"/>
                <w:lang w:val="en-IE" w:eastAsia="en-IE"/>
              </w:rPr>
              <w:t xml:space="preserve">IT system </w:t>
            </w:r>
            <w:r w:rsidR="00C17ACB" w:rsidRPr="006D2119">
              <w:rPr>
                <w:rFonts w:eastAsia="Times New Roman"/>
                <w:b/>
                <w:bCs/>
                <w:noProof/>
                <w:color w:val="FFFFFF"/>
                <w:sz w:val="22"/>
                <w:szCs w:val="22"/>
                <w:lang w:val="en-IE" w:eastAsia="en-IE"/>
              </w:rPr>
              <w:t xml:space="preserve"> SAL</w:t>
            </w:r>
          </w:p>
        </w:tc>
        <w:tc>
          <w:tcPr>
            <w:tcW w:w="1311" w:type="dxa"/>
            <w:tcBorders>
              <w:top w:val="nil"/>
              <w:left w:val="nil"/>
              <w:bottom w:val="nil"/>
              <w:right w:val="nil"/>
            </w:tcBorders>
            <w:shd w:val="clear" w:color="000000" w:fill="0070C0"/>
            <w:noWrap/>
            <w:hideMark/>
          </w:tcPr>
          <w:p w14:paraId="2EBF3276" w14:textId="77777777" w:rsidR="00C17ACB" w:rsidRPr="006D2119" w:rsidRDefault="00C17ACB" w:rsidP="00C17ACB">
            <w:pPr>
              <w:spacing w:after="0"/>
              <w:jc w:val="center"/>
              <w:rPr>
                <w:rFonts w:eastAsia="Times New Roman"/>
                <w:b/>
                <w:bCs/>
                <w:noProof/>
                <w:color w:val="FFFFFF"/>
                <w:sz w:val="22"/>
                <w:szCs w:val="22"/>
                <w:lang w:val="en-IE" w:eastAsia="en-IE"/>
              </w:rPr>
            </w:pPr>
            <w:r w:rsidRPr="006D2119">
              <w:rPr>
                <w:rFonts w:eastAsia="Times New Roman"/>
                <w:b/>
                <w:bCs/>
                <w:noProof/>
                <w:color w:val="FFFFFF"/>
                <w:sz w:val="22"/>
                <w:szCs w:val="22"/>
                <w:lang w:val="en-IE" w:eastAsia="en-IE"/>
              </w:rPr>
              <w:t>Max (+12%)</w:t>
            </w:r>
          </w:p>
        </w:tc>
        <w:tc>
          <w:tcPr>
            <w:tcW w:w="1241" w:type="dxa"/>
            <w:tcBorders>
              <w:top w:val="nil"/>
              <w:left w:val="nil"/>
              <w:bottom w:val="nil"/>
              <w:right w:val="nil"/>
            </w:tcBorders>
            <w:shd w:val="clear" w:color="000000" w:fill="0070C0"/>
            <w:noWrap/>
            <w:hideMark/>
          </w:tcPr>
          <w:p w14:paraId="77FF9555" w14:textId="77777777" w:rsidR="00C17ACB" w:rsidRPr="006D2119" w:rsidRDefault="00C17ACB" w:rsidP="00C17ACB">
            <w:pPr>
              <w:spacing w:after="0"/>
              <w:jc w:val="center"/>
              <w:rPr>
                <w:rFonts w:eastAsia="Times New Roman"/>
                <w:b/>
                <w:bCs/>
                <w:noProof/>
                <w:color w:val="FFFFFF"/>
                <w:sz w:val="22"/>
                <w:szCs w:val="22"/>
                <w:lang w:val="en-IE" w:eastAsia="en-IE"/>
              </w:rPr>
            </w:pPr>
            <w:r w:rsidRPr="006D2119">
              <w:rPr>
                <w:rFonts w:eastAsia="Times New Roman"/>
                <w:b/>
                <w:bCs/>
                <w:noProof/>
                <w:color w:val="FFFFFF"/>
                <w:sz w:val="22"/>
                <w:szCs w:val="22"/>
                <w:lang w:val="en-IE" w:eastAsia="en-IE"/>
              </w:rPr>
              <w:t>Base (+5%)</w:t>
            </w:r>
          </w:p>
        </w:tc>
        <w:tc>
          <w:tcPr>
            <w:tcW w:w="1276" w:type="dxa"/>
            <w:tcBorders>
              <w:top w:val="nil"/>
              <w:left w:val="nil"/>
              <w:bottom w:val="nil"/>
              <w:right w:val="nil"/>
            </w:tcBorders>
            <w:shd w:val="clear" w:color="000000" w:fill="0070C0"/>
            <w:noWrap/>
            <w:hideMark/>
          </w:tcPr>
          <w:p w14:paraId="48929773" w14:textId="77777777" w:rsidR="006D2119" w:rsidRDefault="00C17ACB" w:rsidP="00C17ACB">
            <w:pPr>
              <w:spacing w:after="0"/>
              <w:jc w:val="center"/>
              <w:rPr>
                <w:rFonts w:eastAsia="Times New Roman"/>
                <w:b/>
                <w:bCs/>
                <w:noProof/>
                <w:color w:val="FFFFFF"/>
                <w:sz w:val="22"/>
                <w:szCs w:val="22"/>
                <w:lang w:val="en-IE" w:eastAsia="en-IE"/>
              </w:rPr>
            </w:pPr>
            <w:r w:rsidRPr="006D2119">
              <w:rPr>
                <w:rFonts w:eastAsia="Times New Roman"/>
                <w:b/>
                <w:bCs/>
                <w:noProof/>
                <w:color w:val="FFFFFF"/>
                <w:sz w:val="22"/>
                <w:szCs w:val="22"/>
                <w:lang w:val="en-IE" w:eastAsia="en-IE"/>
              </w:rPr>
              <w:t xml:space="preserve">Min </w:t>
            </w:r>
          </w:p>
          <w:p w14:paraId="2310CE20" w14:textId="7AB9E4FC" w:rsidR="00C17ACB" w:rsidRPr="006D2119" w:rsidRDefault="00C17ACB" w:rsidP="00C17ACB">
            <w:pPr>
              <w:spacing w:after="0"/>
              <w:jc w:val="center"/>
              <w:rPr>
                <w:rFonts w:eastAsia="Times New Roman"/>
                <w:b/>
                <w:bCs/>
                <w:noProof/>
                <w:color w:val="FFFFFF"/>
                <w:sz w:val="22"/>
                <w:szCs w:val="22"/>
                <w:lang w:val="en-IE" w:eastAsia="en-IE"/>
              </w:rPr>
            </w:pPr>
            <w:r w:rsidRPr="006D2119">
              <w:rPr>
                <w:rFonts w:eastAsia="Times New Roman"/>
                <w:b/>
                <w:bCs/>
                <w:noProof/>
                <w:color w:val="FFFFFF"/>
                <w:sz w:val="22"/>
                <w:szCs w:val="22"/>
                <w:lang w:val="en-IE" w:eastAsia="en-IE"/>
              </w:rPr>
              <w:t>(-10%)</w:t>
            </w:r>
          </w:p>
        </w:tc>
      </w:tr>
      <w:tr w:rsidR="00F14C1A" w:rsidRPr="006D2119" w14:paraId="125B6D37" w14:textId="77777777" w:rsidTr="006D2119">
        <w:trPr>
          <w:trHeight w:val="290"/>
          <w:jc w:val="center"/>
        </w:trPr>
        <w:tc>
          <w:tcPr>
            <w:tcW w:w="1701" w:type="dxa"/>
            <w:tcBorders>
              <w:top w:val="single" w:sz="4" w:space="0" w:color="auto"/>
              <w:left w:val="single" w:sz="4" w:space="0" w:color="auto"/>
              <w:bottom w:val="single" w:sz="4" w:space="0" w:color="auto"/>
              <w:right w:val="single" w:sz="4" w:space="0" w:color="auto"/>
            </w:tcBorders>
            <w:noWrap/>
            <w:hideMark/>
          </w:tcPr>
          <w:p w14:paraId="2C231165"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SAL 1-4</w:t>
            </w:r>
          </w:p>
        </w:tc>
        <w:tc>
          <w:tcPr>
            <w:tcW w:w="1311" w:type="dxa"/>
            <w:tcBorders>
              <w:top w:val="nil"/>
              <w:left w:val="nil"/>
              <w:bottom w:val="single" w:sz="4" w:space="0" w:color="auto"/>
              <w:right w:val="single" w:sz="4" w:space="0" w:color="auto"/>
            </w:tcBorders>
            <w:noWrap/>
            <w:hideMark/>
          </w:tcPr>
          <w:p w14:paraId="585F129A"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288,423</w:t>
            </w:r>
          </w:p>
        </w:tc>
        <w:tc>
          <w:tcPr>
            <w:tcW w:w="1241" w:type="dxa"/>
            <w:tcBorders>
              <w:top w:val="nil"/>
              <w:left w:val="nil"/>
              <w:bottom w:val="single" w:sz="4" w:space="0" w:color="auto"/>
              <w:right w:val="single" w:sz="4" w:space="0" w:color="auto"/>
            </w:tcBorders>
            <w:noWrap/>
            <w:hideMark/>
          </w:tcPr>
          <w:p w14:paraId="52597FA7"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287,629</w:t>
            </w:r>
          </w:p>
        </w:tc>
        <w:tc>
          <w:tcPr>
            <w:tcW w:w="1276" w:type="dxa"/>
            <w:tcBorders>
              <w:top w:val="nil"/>
              <w:left w:val="nil"/>
              <w:bottom w:val="single" w:sz="4" w:space="0" w:color="auto"/>
              <w:right w:val="single" w:sz="4" w:space="0" w:color="auto"/>
            </w:tcBorders>
            <w:noWrap/>
            <w:hideMark/>
          </w:tcPr>
          <w:p w14:paraId="4E82FE1D"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285,158</w:t>
            </w:r>
          </w:p>
        </w:tc>
      </w:tr>
      <w:tr w:rsidR="00F14C1A" w:rsidRPr="006D2119" w14:paraId="162BF4F9" w14:textId="77777777" w:rsidTr="006D2119">
        <w:trPr>
          <w:trHeight w:val="290"/>
          <w:jc w:val="center"/>
        </w:trPr>
        <w:tc>
          <w:tcPr>
            <w:tcW w:w="1701" w:type="dxa"/>
            <w:tcBorders>
              <w:top w:val="nil"/>
              <w:left w:val="single" w:sz="4" w:space="0" w:color="auto"/>
              <w:bottom w:val="single" w:sz="4" w:space="0" w:color="auto"/>
              <w:right w:val="single" w:sz="4" w:space="0" w:color="auto"/>
            </w:tcBorders>
            <w:noWrap/>
            <w:hideMark/>
          </w:tcPr>
          <w:p w14:paraId="58797FD1"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SAL 2-4</w:t>
            </w:r>
          </w:p>
        </w:tc>
        <w:tc>
          <w:tcPr>
            <w:tcW w:w="1311" w:type="dxa"/>
            <w:tcBorders>
              <w:top w:val="nil"/>
              <w:left w:val="nil"/>
              <w:bottom w:val="single" w:sz="4" w:space="0" w:color="auto"/>
              <w:right w:val="single" w:sz="4" w:space="0" w:color="auto"/>
            </w:tcBorders>
            <w:noWrap/>
            <w:hideMark/>
          </w:tcPr>
          <w:p w14:paraId="48294E8A"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86,527</w:t>
            </w:r>
          </w:p>
        </w:tc>
        <w:tc>
          <w:tcPr>
            <w:tcW w:w="1241" w:type="dxa"/>
            <w:tcBorders>
              <w:top w:val="nil"/>
              <w:left w:val="nil"/>
              <w:bottom w:val="single" w:sz="4" w:space="0" w:color="auto"/>
              <w:right w:val="single" w:sz="4" w:space="0" w:color="auto"/>
            </w:tcBorders>
            <w:noWrap/>
            <w:hideMark/>
          </w:tcPr>
          <w:p w14:paraId="73B6E743" w14:textId="173A564F"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86,289</w:t>
            </w:r>
          </w:p>
        </w:tc>
        <w:tc>
          <w:tcPr>
            <w:tcW w:w="1276" w:type="dxa"/>
            <w:tcBorders>
              <w:top w:val="nil"/>
              <w:left w:val="nil"/>
              <w:bottom w:val="single" w:sz="4" w:space="0" w:color="auto"/>
              <w:right w:val="single" w:sz="4" w:space="0" w:color="auto"/>
            </w:tcBorders>
            <w:noWrap/>
            <w:hideMark/>
          </w:tcPr>
          <w:p w14:paraId="4AD2DB18" w14:textId="77777777" w:rsidR="00C17ACB" w:rsidRPr="006D2119" w:rsidRDefault="00C17ACB" w:rsidP="00C17ACB">
            <w:pPr>
              <w:spacing w:after="0"/>
              <w:jc w:val="right"/>
              <w:rPr>
                <w:rFonts w:eastAsia="Times New Roman"/>
                <w:noProof/>
                <w:color w:val="000000"/>
                <w:sz w:val="22"/>
                <w:szCs w:val="22"/>
                <w:lang w:val="en-IE" w:eastAsia="en-IE"/>
              </w:rPr>
            </w:pPr>
            <w:r w:rsidRPr="006D2119">
              <w:rPr>
                <w:rFonts w:eastAsia="Times New Roman"/>
                <w:noProof/>
                <w:color w:val="000000"/>
                <w:sz w:val="22"/>
                <w:szCs w:val="22"/>
                <w:lang w:val="en-IE" w:eastAsia="en-IE"/>
              </w:rPr>
              <w:t>85,547</w:t>
            </w:r>
          </w:p>
        </w:tc>
      </w:tr>
    </w:tbl>
    <w:p w14:paraId="628BF2B5" w14:textId="77777777" w:rsidR="00F75D2F" w:rsidRDefault="00F75D2F" w:rsidP="003E3396">
      <w:pPr>
        <w:rPr>
          <w:noProof/>
          <w:lang w:val="en-IE"/>
        </w:rPr>
      </w:pPr>
    </w:p>
    <w:p w14:paraId="519CD90A" w14:textId="29C415FA" w:rsidR="00244734" w:rsidRDefault="00F92240" w:rsidP="003E3396">
      <w:pPr>
        <w:rPr>
          <w:noProof/>
        </w:rPr>
      </w:pPr>
      <w:r w:rsidRPr="008077FC">
        <w:rPr>
          <w:noProof/>
          <w:lang w:val="en-IE"/>
        </w:rPr>
        <w:t xml:space="preserve">As shown in the tables above, the price markup </w:t>
      </w:r>
      <w:r>
        <w:rPr>
          <w:noProof/>
          <w:lang w:val="en-IE"/>
        </w:rPr>
        <w:t xml:space="preserve">of sovereign solutions </w:t>
      </w:r>
      <w:r w:rsidRPr="008077FC">
        <w:rPr>
          <w:noProof/>
          <w:lang w:val="en-IE"/>
        </w:rPr>
        <w:t xml:space="preserve">does not influence significantly the cost of porting or migration as most of </w:t>
      </w:r>
      <w:r>
        <w:rPr>
          <w:noProof/>
          <w:lang w:val="en-IE"/>
        </w:rPr>
        <w:t>this cost</w:t>
      </w:r>
      <w:r w:rsidRPr="008077FC">
        <w:rPr>
          <w:noProof/>
          <w:lang w:val="en-IE"/>
        </w:rPr>
        <w:t xml:space="preserve"> comes from the </w:t>
      </w:r>
      <w:r>
        <w:rPr>
          <w:noProof/>
          <w:lang w:val="en-IE"/>
        </w:rPr>
        <w:t xml:space="preserve">human effort to run that </w:t>
      </w:r>
      <w:r w:rsidRPr="008077FC">
        <w:rPr>
          <w:noProof/>
          <w:lang w:val="en-IE"/>
        </w:rPr>
        <w:t>activity.</w:t>
      </w:r>
      <w:r w:rsidR="00244734">
        <w:rPr>
          <w:noProof/>
        </w:rPr>
        <w:t>The central EUR 86.</w:t>
      </w:r>
      <w:r w:rsidR="00863742">
        <w:rPr>
          <w:noProof/>
        </w:rPr>
        <w:t xml:space="preserve">3 bn figures should be regarded as a maximalist estimate of the potential cost of porting applications to sovereign cloud </w:t>
      </w:r>
      <w:r w:rsidR="00BC3E9E">
        <w:rPr>
          <w:noProof/>
        </w:rPr>
        <w:t xml:space="preserve">services on </w:t>
      </w:r>
      <w:r w:rsidR="00863742">
        <w:rPr>
          <w:noProof/>
        </w:rPr>
        <w:t>levels 2-4 across around 6</w:t>
      </w:r>
      <w:r w:rsidR="00BC3E9E">
        <w:rPr>
          <w:noProof/>
        </w:rPr>
        <w:t xml:space="preserve"> </w:t>
      </w:r>
      <w:r w:rsidR="00863742">
        <w:rPr>
          <w:noProof/>
        </w:rPr>
        <w:t xml:space="preserve">400 public entities. </w:t>
      </w:r>
      <w:r w:rsidR="00D111FC">
        <w:rPr>
          <w:noProof/>
        </w:rPr>
        <w:t>Th</w:t>
      </w:r>
      <w:r w:rsidR="00BC3E9E">
        <w:rPr>
          <w:noProof/>
        </w:rPr>
        <w:t>is</w:t>
      </w:r>
      <w:r w:rsidR="00D111FC">
        <w:rPr>
          <w:noProof/>
        </w:rPr>
        <w:t xml:space="preserve"> estimate assumes that 30% of the cloudified solutions of these entities</w:t>
      </w:r>
      <w:r w:rsidR="6EF485FD">
        <w:rPr>
          <w:noProof/>
        </w:rPr>
        <w:t>, all those requiring sovereignty assurance levels 2 to 4</w:t>
      </w:r>
      <w:r w:rsidR="00BC3E9E">
        <w:rPr>
          <w:noProof/>
        </w:rPr>
        <w:t>,</w:t>
      </w:r>
      <w:r w:rsidR="00D111FC">
        <w:rPr>
          <w:noProof/>
        </w:rPr>
        <w:t xml:space="preserve"> would be subject to porting </w:t>
      </w:r>
      <w:r w:rsidR="008D5054">
        <w:rPr>
          <w:noProof/>
        </w:rPr>
        <w:t>because of</w:t>
      </w:r>
      <w:r w:rsidR="00D111FC">
        <w:rPr>
          <w:noProof/>
        </w:rPr>
        <w:t xml:space="preserve"> the intervention. Moreover, this estimate corresponds to a “big bang” implementation scenario, whereby all 6</w:t>
      </w:r>
      <w:r w:rsidR="00BC3E9E">
        <w:rPr>
          <w:noProof/>
        </w:rPr>
        <w:t xml:space="preserve"> </w:t>
      </w:r>
      <w:r w:rsidR="00D111FC">
        <w:rPr>
          <w:noProof/>
        </w:rPr>
        <w:t xml:space="preserve">400 entities would undertake the porting activities in the first year. In practice, this scenario is unlikely to reflect the actual phases of implementation, as the porting process would typically be expected to occur progressively over a longer period, possibly extending up to five years. </w:t>
      </w:r>
      <w:r w:rsidR="00797A86">
        <w:rPr>
          <w:noProof/>
        </w:rPr>
        <w:t xml:space="preserve">Finally, this cost estimate cannot be fully attributed to the policy intervention itself. A </w:t>
      </w:r>
      <w:r w:rsidR="00145184">
        <w:rPr>
          <w:noProof/>
        </w:rPr>
        <w:t>significant</w:t>
      </w:r>
      <w:r w:rsidR="00797A86">
        <w:rPr>
          <w:noProof/>
        </w:rPr>
        <w:t xml:space="preserve"> share of this porting would likely arise </w:t>
      </w:r>
      <w:r w:rsidR="006642C9">
        <w:rPr>
          <w:noProof/>
        </w:rPr>
        <w:t xml:space="preserve">anyway as a result of </w:t>
      </w:r>
      <w:r w:rsidR="00797A86">
        <w:rPr>
          <w:noProof/>
        </w:rPr>
        <w:t>natural procurement decisions taken by public authorities over time, including routine renewal</w:t>
      </w:r>
      <w:r w:rsidR="0088036D">
        <w:rPr>
          <w:noProof/>
        </w:rPr>
        <w:t>, replacement or migration of cloud services. Treating this full amount as an incremental cost of the intervention therefore overstat</w:t>
      </w:r>
      <w:r w:rsidR="000D6DA4">
        <w:rPr>
          <w:noProof/>
        </w:rPr>
        <w:t>es</w:t>
      </w:r>
      <w:r w:rsidR="0088036D">
        <w:rPr>
          <w:noProof/>
        </w:rPr>
        <w:t xml:space="preserve"> its direct impact. </w:t>
      </w:r>
    </w:p>
    <w:p w14:paraId="5931744B" w14:textId="459A8329" w:rsidR="0088036D" w:rsidRDefault="0088036D" w:rsidP="003E3396">
      <w:pPr>
        <w:rPr>
          <w:noProof/>
        </w:rPr>
      </w:pPr>
      <w:r>
        <w:rPr>
          <w:noProof/>
        </w:rPr>
        <w:t xml:space="preserve">Accordingly, under PO2-C, a more proportionate estimate </w:t>
      </w:r>
      <w:r w:rsidR="00527D7C">
        <w:rPr>
          <w:noProof/>
        </w:rPr>
        <w:t>has been considered. While remaining cons</w:t>
      </w:r>
      <w:r w:rsidR="006413E5">
        <w:rPr>
          <w:noProof/>
        </w:rPr>
        <w:t xml:space="preserve">ervative, as it continues to </w:t>
      </w:r>
      <w:r w:rsidR="00114E55">
        <w:rPr>
          <w:noProof/>
        </w:rPr>
        <w:t>include</w:t>
      </w:r>
      <w:r w:rsidR="006413E5">
        <w:rPr>
          <w:noProof/>
        </w:rPr>
        <w:t xml:space="preserve"> 6</w:t>
      </w:r>
      <w:r w:rsidR="005F0A07">
        <w:rPr>
          <w:noProof/>
        </w:rPr>
        <w:t xml:space="preserve"> </w:t>
      </w:r>
      <w:r w:rsidR="006413E5">
        <w:rPr>
          <w:noProof/>
        </w:rPr>
        <w:t>400 entities for potential porting costs, it</w:t>
      </w:r>
      <w:r w:rsidR="00C51626">
        <w:rPr>
          <w:noProof/>
        </w:rPr>
        <w:t xml:space="preserve"> </w:t>
      </w:r>
      <w:r w:rsidR="00114E55">
        <w:rPr>
          <w:noProof/>
        </w:rPr>
        <w:t>considers</w:t>
      </w:r>
      <w:r w:rsidR="00C51626">
        <w:rPr>
          <w:noProof/>
        </w:rPr>
        <w:t xml:space="preserve"> only a subset of critical applications for which </w:t>
      </w:r>
      <w:r w:rsidR="00147741">
        <w:rPr>
          <w:noProof/>
        </w:rPr>
        <w:t>porting</w:t>
      </w:r>
      <w:r w:rsidR="00C51626">
        <w:rPr>
          <w:noProof/>
        </w:rPr>
        <w:t xml:space="preserve"> to </w:t>
      </w:r>
      <w:r w:rsidR="00B17B63">
        <w:rPr>
          <w:noProof/>
        </w:rPr>
        <w:t xml:space="preserve">cloud services with </w:t>
      </w:r>
      <w:r w:rsidR="00C51626">
        <w:rPr>
          <w:noProof/>
        </w:rPr>
        <w:t xml:space="preserve">sovereign levels 3-4 </w:t>
      </w:r>
      <w:r w:rsidR="00147741">
        <w:rPr>
          <w:noProof/>
        </w:rPr>
        <w:t xml:space="preserve">could be directly accelerated by the policy intervention. </w:t>
      </w:r>
      <w:r w:rsidR="003A7F93">
        <w:rPr>
          <w:noProof/>
        </w:rPr>
        <w:t xml:space="preserve">This would correspond to an anticipated range of 1% of applications in the minimum scenario </w:t>
      </w:r>
      <w:r w:rsidR="549DB958">
        <w:rPr>
          <w:noProof/>
        </w:rPr>
        <w:t>(that considers porting of all SAL4-demanding applications)</w:t>
      </w:r>
      <w:r w:rsidR="003A7F93">
        <w:rPr>
          <w:noProof/>
        </w:rPr>
        <w:t xml:space="preserve"> up to 6% in the maximum scenario</w:t>
      </w:r>
      <w:r w:rsidR="15D3E658">
        <w:rPr>
          <w:noProof/>
        </w:rPr>
        <w:t xml:space="preserve"> </w:t>
      </w:r>
      <w:r w:rsidR="7B8BEAE4">
        <w:rPr>
          <w:noProof/>
        </w:rPr>
        <w:t xml:space="preserve">(including also </w:t>
      </w:r>
      <w:r w:rsidR="12C67A5C">
        <w:rPr>
          <w:noProof/>
        </w:rPr>
        <w:t>the porting of</w:t>
      </w:r>
      <w:r w:rsidR="15D3E658">
        <w:rPr>
          <w:noProof/>
        </w:rPr>
        <w:t xml:space="preserve"> </w:t>
      </w:r>
      <w:r w:rsidR="7B8BEAE4">
        <w:rPr>
          <w:noProof/>
        </w:rPr>
        <w:t>a good part of SAL3-</w:t>
      </w:r>
      <w:r w:rsidR="15D3E658">
        <w:rPr>
          <w:noProof/>
        </w:rPr>
        <w:t>demanding services)</w:t>
      </w:r>
      <w:r w:rsidR="003A7F93">
        <w:rPr>
          <w:noProof/>
        </w:rPr>
        <w:t xml:space="preserve">, </w:t>
      </w:r>
      <w:r w:rsidR="6CB1F2FA">
        <w:rPr>
          <w:noProof/>
        </w:rPr>
        <w:t>ported</w:t>
      </w:r>
      <w:r w:rsidR="003A7F93">
        <w:rPr>
          <w:noProof/>
        </w:rPr>
        <w:t xml:space="preserve"> over 3 years. On this basis, the estimated cost</w:t>
      </w:r>
      <w:r w:rsidR="00BF7666">
        <w:rPr>
          <w:noProof/>
        </w:rPr>
        <w:t xml:space="preserve"> under this option would amount to approximately EUR 2.5</w:t>
      </w:r>
      <w:r w:rsidR="003E0348">
        <w:rPr>
          <w:noProof/>
        </w:rPr>
        <w:t>bn in the minimum scenario and EUR 14.8 bn in the maximum scenario. These figures are calculated as the sum of discounted values over a three-year period</w:t>
      </w:r>
      <w:r w:rsidR="00E257E8">
        <w:rPr>
          <w:noProof/>
        </w:rPr>
        <w:t>, following a natural progressive migration approach,</w:t>
      </w:r>
      <w:r w:rsidR="005E4C39">
        <w:rPr>
          <w:noProof/>
        </w:rPr>
        <w:t xml:space="preserve"> starting in 2030 and using 2025 as the baseline year. </w:t>
      </w:r>
    </w:p>
    <w:p w14:paraId="564E7BFE" w14:textId="1AC58635" w:rsidR="00244734" w:rsidRDefault="005E4C39" w:rsidP="003E3396">
      <w:pPr>
        <w:rPr>
          <w:noProof/>
        </w:rPr>
      </w:pPr>
      <w:r>
        <w:rPr>
          <w:noProof/>
        </w:rPr>
        <w:t>Under PO2-B, the measures are not mandatory and would thus be expected to apply to a smaller number of public authorities. For this option, the relevant number of entities is assumed to be around 1</w:t>
      </w:r>
      <w:r w:rsidR="007504C6">
        <w:rPr>
          <w:noProof/>
        </w:rPr>
        <w:t xml:space="preserve"> </w:t>
      </w:r>
      <w:r>
        <w:rPr>
          <w:noProof/>
        </w:rPr>
        <w:t xml:space="preserve">600 public authorities, i.e. 25% of the ones considered under PO2-C. As a result, the associated porting costs are assumed to decrease proportionally to 25% of the PO2-C </w:t>
      </w:r>
      <w:r w:rsidR="00853C7C">
        <w:rPr>
          <w:noProof/>
        </w:rPr>
        <w:t>estimates</w:t>
      </w:r>
      <w:r>
        <w:rPr>
          <w:noProof/>
        </w:rPr>
        <w:t>, amounting to around EUR 6</w:t>
      </w:r>
      <w:r w:rsidR="00853C7C">
        <w:rPr>
          <w:noProof/>
        </w:rPr>
        <w:t xml:space="preserve">20 m in the minimum scenario and EUR 3.7 bn in the maximum scenario. </w:t>
      </w:r>
    </w:p>
    <w:p w14:paraId="6077B50F" w14:textId="067B8C33" w:rsidR="009340FC" w:rsidRPr="003E3396" w:rsidRDefault="009C0061" w:rsidP="00FC22F9">
      <w:pPr>
        <w:rPr>
          <w:b/>
          <w:bCs/>
          <w:i/>
          <w:iCs/>
          <w:noProof/>
          <w:lang w:val="en-IE"/>
        </w:rPr>
      </w:pPr>
      <w:r w:rsidRPr="003E3396">
        <w:rPr>
          <w:b/>
          <w:bCs/>
          <w:i/>
          <w:iCs/>
          <w:noProof/>
          <w:lang w:val="en-IE"/>
        </w:rPr>
        <w:t>Recurring operating costs</w:t>
      </w:r>
    </w:p>
    <w:p w14:paraId="5E446576" w14:textId="7350BE67" w:rsidR="00D02997" w:rsidRDefault="00D02997" w:rsidP="00D02997">
      <w:pPr>
        <w:rPr>
          <w:noProof/>
          <w:lang w:val="en-IE"/>
        </w:rPr>
      </w:pPr>
      <w:r>
        <w:rPr>
          <w:noProof/>
          <w:lang w:val="en-IE"/>
        </w:rPr>
        <w:t>Operating a cloud service requires a continuous monitoring and optimization</w:t>
      </w:r>
      <w:r w:rsidRPr="00E04813">
        <w:rPr>
          <w:noProof/>
          <w:lang w:val="en-IE"/>
        </w:rPr>
        <w:t xml:space="preserve">. </w:t>
      </w:r>
      <w:r>
        <w:rPr>
          <w:noProof/>
          <w:lang w:val="en-IE"/>
        </w:rPr>
        <w:t xml:space="preserve">Under this impact assessment and in line with industrial practices, operating an IT system on the cloud </w:t>
      </w:r>
      <w:r w:rsidR="00D05BC2">
        <w:rPr>
          <w:noProof/>
          <w:lang w:val="en-IE"/>
        </w:rPr>
        <w:t xml:space="preserve">involves </w:t>
      </w:r>
      <w:r>
        <w:rPr>
          <w:noProof/>
          <w:lang w:val="en-IE"/>
        </w:rPr>
        <w:t>also the release of new features.</w:t>
      </w:r>
    </w:p>
    <w:p w14:paraId="00F55941" w14:textId="77777777" w:rsidR="00D02997" w:rsidRDefault="00D02997" w:rsidP="00D02997">
      <w:pPr>
        <w:rPr>
          <w:noProof/>
          <w:lang w:val="en-IE"/>
        </w:rPr>
      </w:pPr>
      <w:r>
        <w:rPr>
          <w:noProof/>
          <w:lang w:val="en-IE"/>
        </w:rPr>
        <w:t>Some of the main activities under the operation phase include r</w:t>
      </w:r>
      <w:r w:rsidRPr="00E04813">
        <w:rPr>
          <w:noProof/>
          <w:lang w:val="en-IE"/>
        </w:rPr>
        <w:t>elease engineering, infrastructure provisioning, and observability</w:t>
      </w:r>
      <w:r>
        <w:rPr>
          <w:noProof/>
          <w:lang w:val="en-IE"/>
        </w:rPr>
        <w:t>, with</w:t>
      </w:r>
      <w:r w:rsidRPr="00E04813">
        <w:rPr>
          <w:noProof/>
          <w:lang w:val="en-IE"/>
        </w:rPr>
        <w:t xml:space="preserve"> each </w:t>
      </w:r>
      <w:r>
        <w:rPr>
          <w:noProof/>
          <w:lang w:val="en-IE"/>
        </w:rPr>
        <w:t xml:space="preserve">one </w:t>
      </w:r>
      <w:r w:rsidRPr="00E04813">
        <w:rPr>
          <w:noProof/>
          <w:lang w:val="en-IE"/>
        </w:rPr>
        <w:t>generat</w:t>
      </w:r>
      <w:r>
        <w:rPr>
          <w:noProof/>
          <w:lang w:val="en-IE"/>
        </w:rPr>
        <w:t>ing</w:t>
      </w:r>
      <w:r w:rsidRPr="00E04813">
        <w:rPr>
          <w:noProof/>
          <w:lang w:val="en-IE"/>
        </w:rPr>
        <w:t xml:space="preserve"> their own expenses</w:t>
      </w:r>
      <w:r>
        <w:rPr>
          <w:noProof/>
          <w:lang w:val="en-IE"/>
        </w:rPr>
        <w:t xml:space="preserve">, even if they all are highly interdependent. </w:t>
      </w:r>
    </w:p>
    <w:p w14:paraId="5F6DCFFA" w14:textId="77777777" w:rsidR="00D02997" w:rsidRPr="00E04813" w:rsidRDefault="00D02997" w:rsidP="00D02997">
      <w:pPr>
        <w:spacing w:after="160" w:line="259" w:lineRule="auto"/>
        <w:rPr>
          <w:noProof/>
          <w:lang w:val="en-IE"/>
        </w:rPr>
      </w:pPr>
      <w:r w:rsidRPr="00E04813">
        <w:rPr>
          <w:noProof/>
          <w:lang w:val="en-IE"/>
        </w:rPr>
        <w:t xml:space="preserve">Release pipelines offer the earliest opportunity for cost control. Every execution consumes ephemeral compute and produces artifact storage, which means that improvements to build reliability and release validation compound </w:t>
      </w:r>
      <w:r>
        <w:rPr>
          <w:noProof/>
          <w:lang w:val="en-IE"/>
        </w:rPr>
        <w:t>in quick manner</w:t>
      </w:r>
      <w:r w:rsidRPr="00E04813">
        <w:rPr>
          <w:noProof/>
          <w:lang w:val="en-IE"/>
        </w:rPr>
        <w:t>. Organizations that invest in release discipline</w:t>
      </w:r>
      <w:r>
        <w:rPr>
          <w:noProof/>
          <w:lang w:val="en-IE"/>
        </w:rPr>
        <w:t xml:space="preserve"> by r</w:t>
      </w:r>
      <w:r w:rsidRPr="00E04813">
        <w:rPr>
          <w:noProof/>
          <w:lang w:val="en-IE"/>
        </w:rPr>
        <w:t>educing failure rates, tightening validation gates, and minimizing rollbacks</w:t>
      </w:r>
      <w:r>
        <w:rPr>
          <w:noProof/>
          <w:lang w:val="en-IE"/>
        </w:rPr>
        <w:t>,</w:t>
      </w:r>
      <w:r w:rsidRPr="00E04813">
        <w:rPr>
          <w:noProof/>
          <w:lang w:val="en-IE"/>
        </w:rPr>
        <w:t xml:space="preserve"> consistently achieve lower pipeline costs than those running at higher deployment velocity without equivalent quality controls. The returns are direct and measurable.</w:t>
      </w:r>
    </w:p>
    <w:p w14:paraId="12D0A0F6" w14:textId="77777777" w:rsidR="00D02997" w:rsidRDefault="00D02997" w:rsidP="00D02997">
      <w:pPr>
        <w:rPr>
          <w:noProof/>
          <w:lang w:val="en-IE"/>
        </w:rPr>
      </w:pPr>
      <w:r w:rsidRPr="00E04813">
        <w:rPr>
          <w:noProof/>
          <w:lang w:val="en-IE"/>
        </w:rPr>
        <w:t>Infrastructure provisioning, typically the largest cost category, responds well to deliberate management. Virtual machines can be right</w:t>
      </w:r>
      <w:r>
        <w:rPr>
          <w:noProof/>
          <w:lang w:val="en-IE"/>
        </w:rPr>
        <w:t xml:space="preserve"> </w:t>
      </w:r>
      <w:r w:rsidRPr="00E04813">
        <w:rPr>
          <w:noProof/>
          <w:lang w:val="en-IE"/>
        </w:rPr>
        <w:t xml:space="preserve">sized to match actual utilization patterns, eliminating the idle compute overhead that accumulates when capacity is provisioned conservatively. Monitoring </w:t>
      </w:r>
      <w:r>
        <w:rPr>
          <w:noProof/>
          <w:lang w:val="en-IE"/>
        </w:rPr>
        <w:t>agents</w:t>
      </w:r>
      <w:r w:rsidRPr="00E04813">
        <w:rPr>
          <w:noProof/>
          <w:lang w:val="en-IE"/>
        </w:rPr>
        <w:t xml:space="preserve"> while often overlooked, are similarly </w:t>
      </w:r>
      <w:r>
        <w:rPr>
          <w:noProof/>
          <w:lang w:val="en-IE"/>
        </w:rPr>
        <w:t>important</w:t>
      </w:r>
      <w:r w:rsidRPr="00E04813">
        <w:rPr>
          <w:noProof/>
          <w:lang w:val="en-IE"/>
        </w:rPr>
        <w:t xml:space="preserve"> to rationalization</w:t>
      </w:r>
      <w:r>
        <w:rPr>
          <w:noProof/>
          <w:lang w:val="en-IE"/>
        </w:rPr>
        <w:t>. They allow to</w:t>
      </w:r>
      <w:r w:rsidRPr="00E04813">
        <w:rPr>
          <w:noProof/>
          <w:lang w:val="en-IE"/>
        </w:rPr>
        <w:t xml:space="preserve"> reduc</w:t>
      </w:r>
      <w:r>
        <w:rPr>
          <w:noProof/>
          <w:lang w:val="en-IE"/>
        </w:rPr>
        <w:t>e</w:t>
      </w:r>
      <w:r w:rsidRPr="00E04813">
        <w:rPr>
          <w:noProof/>
          <w:lang w:val="en-IE"/>
        </w:rPr>
        <w:t xml:space="preserve"> the</w:t>
      </w:r>
      <w:r>
        <w:rPr>
          <w:noProof/>
          <w:lang w:val="en-IE"/>
        </w:rPr>
        <w:t xml:space="preserve"> overhead </w:t>
      </w:r>
      <w:r w:rsidRPr="00E04813">
        <w:rPr>
          <w:noProof/>
          <w:lang w:val="en-IE"/>
        </w:rPr>
        <w:t>per-host that otherwise</w:t>
      </w:r>
      <w:r>
        <w:rPr>
          <w:noProof/>
          <w:lang w:val="en-IE"/>
        </w:rPr>
        <w:t xml:space="preserve"> would scale independently of the application workload.</w:t>
      </w:r>
      <w:r w:rsidRPr="00E04813">
        <w:rPr>
          <w:noProof/>
          <w:lang w:val="en-IE"/>
        </w:rPr>
        <w:t xml:space="preserve"> regardless of application load. Organizations that treat infrastructure sizing as an ongoing practice rather than a on</w:t>
      </w:r>
      <w:r>
        <w:rPr>
          <w:noProof/>
          <w:lang w:val="en-IE"/>
        </w:rPr>
        <w:t xml:space="preserve">e </w:t>
      </w:r>
      <w:r w:rsidRPr="00E04813">
        <w:rPr>
          <w:noProof/>
          <w:lang w:val="en-IE"/>
        </w:rPr>
        <w:t>time decision tend to maintain materially lower baseline costs.</w:t>
      </w:r>
    </w:p>
    <w:p w14:paraId="4874AB6F" w14:textId="2F37F76E" w:rsidR="005C52F5" w:rsidRDefault="005444D0" w:rsidP="00D02997">
      <w:pPr>
        <w:rPr>
          <w:noProof/>
          <w:lang w:val="en-IE"/>
        </w:rPr>
      </w:pPr>
      <w:r>
        <w:rPr>
          <w:noProof/>
          <w:lang w:val="en-IE"/>
        </w:rPr>
        <w:t xml:space="preserve">The estimated effort in hours for operating a cloud service, considering also the addition of new features and continuous optimization, per type of application is </w:t>
      </w:r>
      <w:r w:rsidR="00AB54E3">
        <w:rPr>
          <w:noProof/>
          <w:lang w:val="en-IE"/>
        </w:rPr>
        <w:t xml:space="preserve">shown in the </w:t>
      </w:r>
      <w:r w:rsidR="008E54CF">
        <w:rPr>
          <w:noProof/>
          <w:lang w:val="en-IE"/>
        </w:rPr>
        <w:t>next</w:t>
      </w:r>
      <w:r w:rsidR="00AB54E3">
        <w:rPr>
          <w:noProof/>
          <w:lang w:val="en-IE"/>
        </w:rPr>
        <w:t xml:space="preserve"> table. This estimation </w:t>
      </w:r>
      <w:r w:rsidR="008E54CF">
        <w:rPr>
          <w:noProof/>
          <w:lang w:val="en-IE"/>
        </w:rPr>
        <w:t>is based on experiences from industry experts.</w:t>
      </w:r>
    </w:p>
    <w:p w14:paraId="13D31E3C" w14:textId="7975B293" w:rsidR="00AB54E3" w:rsidRDefault="00AB54E3" w:rsidP="003E3396">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end"/>
      </w:r>
      <w:r>
        <w:rPr>
          <w:noProof/>
        </w:rPr>
        <w:t>. Estimated</w:t>
      </w:r>
      <w:r w:rsidR="008E54CF">
        <w:rPr>
          <w:noProof/>
        </w:rPr>
        <w:t xml:space="preserve"> effort to operate and maintain a cloud service</w:t>
      </w:r>
      <w:r w:rsidR="00DA16CF">
        <w:rPr>
          <w:noProof/>
        </w:rPr>
        <w:t xml:space="preserve"> (hours)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2152"/>
        <w:gridCol w:w="2152"/>
        <w:gridCol w:w="2152"/>
      </w:tblGrid>
      <w:tr w:rsidR="00AB54E3" w:rsidRPr="00AB54E3" w14:paraId="7D6B589D" w14:textId="77777777" w:rsidTr="003E3396">
        <w:tc>
          <w:tcPr>
            <w:tcW w:w="2153" w:type="dxa"/>
            <w:shd w:val="clear" w:color="auto" w:fill="0070C0"/>
          </w:tcPr>
          <w:p w14:paraId="10CDC2A4" w14:textId="557C4685" w:rsidR="00AB54E3" w:rsidRPr="00AB54E3" w:rsidRDefault="00AB54E3" w:rsidP="003E3396">
            <w:pPr>
              <w:spacing w:after="0"/>
              <w:rPr>
                <w:noProof/>
                <w:lang w:val="en-IE"/>
              </w:rPr>
            </w:pPr>
            <w:r w:rsidRPr="003E3396">
              <w:rPr>
                <w:b/>
                <w:bCs/>
                <w:noProof/>
                <w:color w:val="FFFFFF"/>
                <w:sz w:val="22"/>
                <w:szCs w:val="22"/>
              </w:rPr>
              <w:t>Migration phases Sovereign Cloud</w:t>
            </w:r>
          </w:p>
        </w:tc>
        <w:tc>
          <w:tcPr>
            <w:tcW w:w="2152" w:type="dxa"/>
            <w:shd w:val="clear" w:color="auto" w:fill="0070C0"/>
          </w:tcPr>
          <w:p w14:paraId="40B0CFBD" w14:textId="6DA9FA28" w:rsidR="00AB54E3" w:rsidRPr="00AB54E3" w:rsidRDefault="00AB54E3" w:rsidP="003646E2">
            <w:pPr>
              <w:spacing w:after="0"/>
              <w:jc w:val="center"/>
              <w:rPr>
                <w:noProof/>
                <w:lang w:val="en-IE"/>
              </w:rPr>
            </w:pPr>
            <w:r w:rsidRPr="003E3396">
              <w:rPr>
                <w:b/>
                <w:bCs/>
                <w:noProof/>
                <w:color w:val="FFFFFF"/>
                <w:sz w:val="22"/>
                <w:szCs w:val="22"/>
              </w:rPr>
              <w:t>Small app</w:t>
            </w:r>
          </w:p>
        </w:tc>
        <w:tc>
          <w:tcPr>
            <w:tcW w:w="2152" w:type="dxa"/>
            <w:shd w:val="clear" w:color="auto" w:fill="0070C0"/>
          </w:tcPr>
          <w:p w14:paraId="5A1E6E69" w14:textId="5CFC19CF" w:rsidR="00AB54E3" w:rsidRPr="00AB54E3" w:rsidRDefault="00AB54E3" w:rsidP="003646E2">
            <w:pPr>
              <w:spacing w:after="0"/>
              <w:jc w:val="center"/>
              <w:rPr>
                <w:noProof/>
                <w:lang w:val="en-IE"/>
              </w:rPr>
            </w:pPr>
            <w:r w:rsidRPr="003E3396">
              <w:rPr>
                <w:b/>
                <w:bCs/>
                <w:noProof/>
                <w:color w:val="FFFFFF"/>
                <w:sz w:val="22"/>
                <w:szCs w:val="22"/>
              </w:rPr>
              <w:t>Mid-size app</w:t>
            </w:r>
          </w:p>
        </w:tc>
        <w:tc>
          <w:tcPr>
            <w:tcW w:w="2152" w:type="dxa"/>
            <w:shd w:val="clear" w:color="auto" w:fill="0070C0"/>
          </w:tcPr>
          <w:p w14:paraId="5C7E896F" w14:textId="4E77038C" w:rsidR="00AB54E3" w:rsidRPr="00AB54E3" w:rsidRDefault="00AB54E3" w:rsidP="003646E2">
            <w:pPr>
              <w:spacing w:after="0"/>
              <w:jc w:val="center"/>
              <w:rPr>
                <w:noProof/>
                <w:lang w:val="en-IE"/>
              </w:rPr>
            </w:pPr>
            <w:r w:rsidRPr="003E3396">
              <w:rPr>
                <w:b/>
                <w:bCs/>
                <w:noProof/>
                <w:color w:val="FFFFFF"/>
                <w:sz w:val="22"/>
                <w:szCs w:val="22"/>
              </w:rPr>
              <w:t>Large app</w:t>
            </w:r>
          </w:p>
        </w:tc>
      </w:tr>
      <w:tr w:rsidR="00F61014" w:rsidRPr="00AB54E3" w14:paraId="3A623ECF" w14:textId="77777777" w:rsidTr="003E3396">
        <w:tc>
          <w:tcPr>
            <w:tcW w:w="2153" w:type="dxa"/>
          </w:tcPr>
          <w:p w14:paraId="1A337174" w14:textId="6EE11E3F" w:rsidR="00F61014" w:rsidRPr="00AB54E3" w:rsidRDefault="00F61014" w:rsidP="003E3396">
            <w:pPr>
              <w:spacing w:after="0"/>
              <w:rPr>
                <w:noProof/>
                <w:lang w:val="en-IE"/>
              </w:rPr>
            </w:pPr>
            <w:r w:rsidRPr="003E3396">
              <w:rPr>
                <w:b/>
                <w:bCs/>
                <w:noProof/>
                <w:color w:val="000000"/>
                <w:sz w:val="22"/>
                <w:szCs w:val="22"/>
                <w:lang w:val="en-IE" w:eastAsia="en-IE"/>
              </w:rPr>
              <w:t xml:space="preserve">Phase 8 - Operation </w:t>
            </w:r>
          </w:p>
        </w:tc>
        <w:tc>
          <w:tcPr>
            <w:tcW w:w="2152" w:type="dxa"/>
          </w:tcPr>
          <w:p w14:paraId="429430B4" w14:textId="397489F3" w:rsidR="00F61014" w:rsidRPr="00AB54E3" w:rsidRDefault="00F61014" w:rsidP="003646E2">
            <w:pPr>
              <w:spacing w:after="0"/>
              <w:jc w:val="center"/>
              <w:rPr>
                <w:noProof/>
                <w:lang w:val="en-IE"/>
              </w:rPr>
            </w:pPr>
            <w:r w:rsidRPr="003E3396">
              <w:rPr>
                <w:noProof/>
                <w:color w:val="000000"/>
                <w:sz w:val="22"/>
                <w:szCs w:val="22"/>
                <w:lang w:val="en-IE" w:eastAsia="en-IE"/>
              </w:rPr>
              <w:t>968</w:t>
            </w:r>
          </w:p>
        </w:tc>
        <w:tc>
          <w:tcPr>
            <w:tcW w:w="2152" w:type="dxa"/>
          </w:tcPr>
          <w:p w14:paraId="4A1D40C2" w14:textId="54968FEE" w:rsidR="00F61014" w:rsidRPr="00AB54E3" w:rsidRDefault="00F61014" w:rsidP="003646E2">
            <w:pPr>
              <w:spacing w:after="0"/>
              <w:jc w:val="center"/>
              <w:rPr>
                <w:noProof/>
                <w:lang w:val="en-IE"/>
              </w:rPr>
            </w:pPr>
            <w:r w:rsidRPr="003E3396">
              <w:rPr>
                <w:noProof/>
                <w:color w:val="000000"/>
                <w:sz w:val="22"/>
                <w:szCs w:val="22"/>
                <w:lang w:val="en-IE" w:eastAsia="en-IE"/>
              </w:rPr>
              <w:t>4.840</w:t>
            </w:r>
          </w:p>
        </w:tc>
        <w:tc>
          <w:tcPr>
            <w:tcW w:w="2152" w:type="dxa"/>
          </w:tcPr>
          <w:p w14:paraId="5F4A245F" w14:textId="4873ECA0" w:rsidR="00F61014" w:rsidRPr="00AB54E3" w:rsidRDefault="00F61014" w:rsidP="003646E2">
            <w:pPr>
              <w:spacing w:after="0"/>
              <w:jc w:val="center"/>
              <w:rPr>
                <w:noProof/>
                <w:lang w:val="en-IE"/>
              </w:rPr>
            </w:pPr>
            <w:r w:rsidRPr="003E3396">
              <w:rPr>
                <w:noProof/>
                <w:color w:val="000000"/>
                <w:sz w:val="22"/>
                <w:szCs w:val="22"/>
                <w:lang w:val="en-IE" w:eastAsia="en-IE"/>
              </w:rPr>
              <w:t>6.600</w:t>
            </w:r>
          </w:p>
        </w:tc>
      </w:tr>
    </w:tbl>
    <w:p w14:paraId="5C505554" w14:textId="77777777" w:rsidR="008E1665" w:rsidRPr="00FC22F9" w:rsidRDefault="008E1665" w:rsidP="00FC22F9">
      <w:pPr>
        <w:rPr>
          <w:b/>
          <w:bCs/>
          <w:noProof/>
          <w:lang w:val="en-IE"/>
        </w:rPr>
      </w:pPr>
    </w:p>
    <w:p w14:paraId="0DF8C2E7" w14:textId="77777777" w:rsidR="00FC22F9" w:rsidRPr="003E3396" w:rsidRDefault="00FC22F9" w:rsidP="003E3396">
      <w:pPr>
        <w:pStyle w:val="Heading2"/>
        <w:numPr>
          <w:ilvl w:val="1"/>
          <w:numId w:val="134"/>
        </w:numPr>
        <w:tabs>
          <w:tab w:val="left" w:pos="567"/>
        </w:tabs>
        <w:spacing w:after="240"/>
        <w:ind w:hanging="1053"/>
        <w:rPr>
          <w:b w:val="0"/>
          <w:noProof/>
        </w:rPr>
      </w:pPr>
      <w:bookmarkStart w:id="362" w:name="_Toc228346968"/>
      <w:r w:rsidRPr="003E3396">
        <w:rPr>
          <w:noProof/>
        </w:rPr>
        <w:t>Limitations of the analysis</w:t>
      </w:r>
      <w:bookmarkEnd w:id="362"/>
    </w:p>
    <w:p w14:paraId="1B59E279" w14:textId="184E5CB0" w:rsidR="00FC22F9" w:rsidRPr="00FC22F9" w:rsidRDefault="00FC22F9" w:rsidP="00FC22F9">
      <w:pPr>
        <w:rPr>
          <w:noProof/>
          <w:lang w:val="en-IE"/>
        </w:rPr>
      </w:pPr>
      <w:r w:rsidRPr="00FC22F9">
        <w:rPr>
          <w:noProof/>
          <w:lang w:val="en-IE"/>
        </w:rPr>
        <w:t>The cost model presented in this analysis carries several important limitations that must be acknowledged when interpreting its outputs. First, labour rates are modelled as a static band (EUR 75/hr) that does not account for overtime, or additional consultant charges. Second, VM configurations are drawn from tier averages rather than empirically measured utilization profiles, which is the proper way of estimating the sizes, introducing upward bias notably in the infrastructure costs assumed for Phase 3 and Phase 4 through implicit over-provisioning</w:t>
      </w:r>
      <w:r w:rsidR="003A2715">
        <w:rPr>
          <w:noProof/>
          <w:lang w:val="en-IE"/>
        </w:rPr>
        <w:t>, reflected in the VMs chosen</w:t>
      </w:r>
      <w:r w:rsidRPr="00FC22F9">
        <w:rPr>
          <w:noProof/>
          <w:lang w:val="en-IE"/>
        </w:rPr>
        <w:t xml:space="preserve">. Third, all infrastructure pricing uses AWS </w:t>
      </w:r>
      <w:r w:rsidR="00926D05">
        <w:rPr>
          <w:noProof/>
          <w:lang w:val="en-IE"/>
        </w:rPr>
        <w:t xml:space="preserve">public cloud </w:t>
      </w:r>
      <w:r w:rsidRPr="00FC22F9">
        <w:rPr>
          <w:noProof/>
          <w:lang w:val="en-IE"/>
        </w:rPr>
        <w:t>on-demand rates as a baseline</w:t>
      </w:r>
      <w:r w:rsidR="00926D05">
        <w:rPr>
          <w:noProof/>
          <w:lang w:val="en-IE"/>
        </w:rPr>
        <w:t xml:space="preserve">. On-demand instances </w:t>
      </w:r>
      <w:r w:rsidRPr="00FC22F9">
        <w:rPr>
          <w:noProof/>
          <w:lang w:val="en-IE"/>
        </w:rPr>
        <w:t>are on the costly end. Fourth, the two-month parallel infrastructure (dual-run) window in Phase 4 is fixed to several days a week</w:t>
      </w:r>
      <w:r w:rsidR="00567F60">
        <w:rPr>
          <w:noProof/>
          <w:lang w:val="en-IE"/>
        </w:rPr>
        <w:t xml:space="preserve"> for a longer period of time</w:t>
      </w:r>
      <w:r w:rsidRPr="00FC22F9">
        <w:rPr>
          <w:noProof/>
          <w:lang w:val="en-IE"/>
        </w:rPr>
        <w:t>. This is however one of the riskiest phases that</w:t>
      </w:r>
      <w:r w:rsidR="00567F60">
        <w:rPr>
          <w:noProof/>
          <w:lang w:val="en-IE"/>
        </w:rPr>
        <w:t xml:space="preserve"> would</w:t>
      </w:r>
      <w:r w:rsidRPr="00FC22F9">
        <w:rPr>
          <w:noProof/>
          <w:lang w:val="en-IE"/>
        </w:rPr>
        <w:t xml:space="preserve"> need to be estimated proportionately and accurately on a case-by-case basis. However, while fixed</w:t>
      </w:r>
      <w:r w:rsidR="002E6C11">
        <w:rPr>
          <w:noProof/>
          <w:lang w:val="en-IE"/>
        </w:rPr>
        <w:t xml:space="preserve"> to several days</w:t>
      </w:r>
      <w:r w:rsidRPr="00FC22F9">
        <w:rPr>
          <w:noProof/>
          <w:lang w:val="en-IE"/>
        </w:rPr>
        <w:t>, these have been estimated considering industry’s best practices. Finally, the cost ranges are based on benchmarks that present total costs of migration, aggregating labour, infrastructure, training, and tooling</w:t>
      </w:r>
      <w:r w:rsidR="001828C6">
        <w:rPr>
          <w:noProof/>
          <w:lang w:val="en-IE"/>
        </w:rPr>
        <w:t xml:space="preserve"> licensing</w:t>
      </w:r>
      <w:r w:rsidRPr="00FC22F9">
        <w:rPr>
          <w:noProof/>
          <w:lang w:val="en-IE"/>
        </w:rPr>
        <w:t>.</w:t>
      </w:r>
      <w:r w:rsidR="001828C6">
        <w:rPr>
          <w:noProof/>
          <w:lang w:val="en-IE"/>
        </w:rPr>
        <w:t xml:space="preserve"> Again, this is largely dependent on the as-is situation and the to-be situation.</w:t>
      </w:r>
    </w:p>
    <w:p w14:paraId="2A730668" w14:textId="77777777" w:rsidR="00FC22F9" w:rsidRPr="00FC22F9" w:rsidRDefault="00FC22F9" w:rsidP="003E3396">
      <w:pPr>
        <w:rPr>
          <w:noProof/>
          <w:lang w:val="en-IE"/>
        </w:rPr>
      </w:pPr>
    </w:p>
    <w:p w14:paraId="522CCB66" w14:textId="7D62499F" w:rsidR="00633DF7" w:rsidRDefault="00633DF7" w:rsidP="00633DF7">
      <w:pPr>
        <w:pStyle w:val="AnnexTitle"/>
        <w:rPr>
          <w:noProof/>
          <w:lang w:val="en-IE"/>
        </w:rPr>
      </w:pPr>
      <w:bookmarkStart w:id="363" w:name="_Toc228346969"/>
      <w:r w:rsidRPr="00D37004">
        <w:rPr>
          <w:noProof/>
          <w:lang w:val="en-IE"/>
        </w:rPr>
        <w:t xml:space="preserve">Annex </w:t>
      </w:r>
      <w:r>
        <w:rPr>
          <w:noProof/>
          <w:lang w:val="en-IE"/>
        </w:rPr>
        <w:t>1</w:t>
      </w:r>
      <w:r w:rsidR="0099787A">
        <w:rPr>
          <w:noProof/>
          <w:lang w:val="en-IE"/>
        </w:rPr>
        <w:t>3</w:t>
      </w:r>
      <w:r w:rsidRPr="00D37004">
        <w:rPr>
          <w:noProof/>
          <w:lang w:val="en-IE"/>
        </w:rPr>
        <w:t xml:space="preserve">. </w:t>
      </w:r>
      <w:r>
        <w:rPr>
          <w:noProof/>
          <w:lang w:val="en-IE"/>
        </w:rPr>
        <w:t xml:space="preserve">Comparative </w:t>
      </w:r>
      <w:r w:rsidR="00E5182E">
        <w:rPr>
          <w:noProof/>
          <w:lang w:val="en-IE"/>
        </w:rPr>
        <w:t>analysis</w:t>
      </w:r>
      <w:r>
        <w:rPr>
          <w:noProof/>
          <w:lang w:val="en-IE"/>
        </w:rPr>
        <w:t xml:space="preserve"> of selected cloud services</w:t>
      </w:r>
      <w:bookmarkEnd w:id="363"/>
    </w:p>
    <w:p w14:paraId="050DB335" w14:textId="7CAEF73E" w:rsidR="008F14E8" w:rsidRPr="008F14E8" w:rsidRDefault="008F14E8" w:rsidP="008F14E8">
      <w:pPr>
        <w:rPr>
          <w:noProof/>
          <w:lang w:val="en-IE"/>
        </w:rPr>
      </w:pPr>
      <w:r w:rsidRPr="008F14E8">
        <w:rPr>
          <w:noProof/>
          <w:lang w:val="en-IE"/>
        </w:rPr>
        <w:t xml:space="preserve">European cloud providers offer far narrower service catalogues than US hyperscalers: AWS alone spans over 200 distinct services. Yet this gap is less consequential than it appears. </w:t>
      </w:r>
      <w:r w:rsidR="00ED19CA">
        <w:rPr>
          <w:noProof/>
          <w:lang w:val="en-IE"/>
        </w:rPr>
        <w:t xml:space="preserve">The </w:t>
      </w:r>
      <w:r w:rsidR="00267A5D">
        <w:rPr>
          <w:noProof/>
          <w:lang w:val="en-IE"/>
        </w:rPr>
        <w:t>latest</w:t>
      </w:r>
      <w:r w:rsidR="00ED19CA">
        <w:rPr>
          <w:noProof/>
          <w:lang w:val="en-IE"/>
        </w:rPr>
        <w:t xml:space="preserve"> </w:t>
      </w:r>
      <w:r w:rsidRPr="008F14E8">
        <w:rPr>
          <w:noProof/>
          <w:lang w:val="en-IE"/>
        </w:rPr>
        <w:t>Eurostat data for 2025 shows that the services EU enterprises actually rely on most are email, office software</w:t>
      </w:r>
      <w:r w:rsidR="008E30A3">
        <w:rPr>
          <w:noProof/>
          <w:lang w:val="en-IE"/>
        </w:rPr>
        <w:t xml:space="preserve">, </w:t>
      </w:r>
      <w:r w:rsidRPr="008F14E8">
        <w:rPr>
          <w:noProof/>
          <w:lang w:val="en-IE"/>
        </w:rPr>
        <w:t>file storage</w:t>
      </w:r>
      <w:r w:rsidR="008E30A3">
        <w:rPr>
          <w:noProof/>
          <w:lang w:val="en-IE"/>
        </w:rPr>
        <w:t xml:space="preserve">, </w:t>
      </w:r>
      <w:r w:rsidRPr="008F14E8">
        <w:rPr>
          <w:noProof/>
          <w:lang w:val="en-IE"/>
        </w:rPr>
        <w:t>database hosting, and compute power</w:t>
      </w:r>
      <w:r w:rsidR="00267A5D">
        <w:rPr>
          <w:rStyle w:val="FootnoteReference"/>
          <w:noProof/>
          <w:lang w:val="en-IE"/>
        </w:rPr>
        <w:footnoteReference w:id="226"/>
      </w:r>
      <w:r w:rsidRPr="008F14E8">
        <w:rPr>
          <w:noProof/>
          <w:lang w:val="en-IE"/>
        </w:rPr>
        <w:t xml:space="preserve">, </w:t>
      </w:r>
      <w:r w:rsidR="00136047">
        <w:rPr>
          <w:noProof/>
          <w:lang w:val="en-IE"/>
        </w:rPr>
        <w:t>which are primarily</w:t>
      </w:r>
      <w:r w:rsidR="00975160">
        <w:rPr>
          <w:noProof/>
          <w:lang w:val="en-IE"/>
        </w:rPr>
        <w:t xml:space="preserve"> IaaS and SaaS.</w:t>
      </w:r>
      <w:r w:rsidR="0061271A">
        <w:rPr>
          <w:noProof/>
          <w:lang w:val="en-IE"/>
        </w:rPr>
        <w:t xml:space="preserve"> Compute power</w:t>
      </w:r>
      <w:r w:rsidR="00136047">
        <w:rPr>
          <w:noProof/>
          <w:lang w:val="en-IE"/>
        </w:rPr>
        <w:t>, hosting, file storage and database</w:t>
      </w:r>
      <w:r w:rsidR="0061271A">
        <w:rPr>
          <w:noProof/>
          <w:lang w:val="en-IE"/>
        </w:rPr>
        <w:t xml:space="preserve"> </w:t>
      </w:r>
      <w:r w:rsidR="00136047">
        <w:rPr>
          <w:noProof/>
          <w:lang w:val="en-IE"/>
        </w:rPr>
        <w:t>are</w:t>
      </w:r>
      <w:r w:rsidR="0061271A">
        <w:rPr>
          <w:noProof/>
          <w:lang w:val="en-IE"/>
        </w:rPr>
        <w:t xml:space="preserve"> the basis for</w:t>
      </w:r>
      <w:r w:rsidRPr="008F14E8">
        <w:rPr>
          <w:noProof/>
          <w:lang w:val="en-IE"/>
        </w:rPr>
        <w:t xml:space="preserve"> core IaaS workloads: virtual machines, managed databases, storage, and </w:t>
      </w:r>
      <w:r w:rsidR="00136047">
        <w:rPr>
          <w:noProof/>
          <w:lang w:val="en-IE"/>
        </w:rPr>
        <w:t>nowadays also</w:t>
      </w:r>
      <w:r w:rsidRPr="008F14E8">
        <w:rPr>
          <w:noProof/>
          <w:lang w:val="en-IE"/>
        </w:rPr>
        <w:t xml:space="preserve"> </w:t>
      </w:r>
      <w:r w:rsidR="009311AC">
        <w:rPr>
          <w:noProof/>
          <w:lang w:val="en-IE"/>
        </w:rPr>
        <w:t xml:space="preserve">PaaS, where </w:t>
      </w:r>
      <w:r w:rsidRPr="008F14E8">
        <w:rPr>
          <w:noProof/>
          <w:lang w:val="en-IE"/>
        </w:rPr>
        <w:t xml:space="preserve">managed Kubernetes </w:t>
      </w:r>
      <w:r w:rsidR="009311AC">
        <w:rPr>
          <w:noProof/>
          <w:lang w:val="en-IE"/>
        </w:rPr>
        <w:t xml:space="preserve">(orchestration) </w:t>
      </w:r>
      <w:r w:rsidRPr="008F14E8">
        <w:rPr>
          <w:noProof/>
          <w:lang w:val="en-IE"/>
        </w:rPr>
        <w:t xml:space="preserve">are robustly available across European providers. </w:t>
      </w:r>
      <w:r w:rsidR="00E45AEB">
        <w:rPr>
          <w:noProof/>
          <w:lang w:val="en-IE"/>
        </w:rPr>
        <w:t>Email and Office software are</w:t>
      </w:r>
      <w:r w:rsidR="00994323" w:rsidRPr="006520E2">
        <w:rPr>
          <w:noProof/>
          <w:lang w:val="en-IE"/>
        </w:rPr>
        <w:t xml:space="preserve"> SaaS</w:t>
      </w:r>
      <w:r w:rsidR="00E45AEB">
        <w:rPr>
          <w:noProof/>
          <w:lang w:val="en-IE"/>
        </w:rPr>
        <w:t>. Given</w:t>
      </w:r>
      <w:r w:rsidR="00994323" w:rsidRPr="006520E2">
        <w:rPr>
          <w:noProof/>
          <w:lang w:val="en-IE"/>
        </w:rPr>
        <w:t xml:space="preserve"> the heterogeneity of </w:t>
      </w:r>
      <w:r w:rsidR="00E45AEB">
        <w:rPr>
          <w:noProof/>
          <w:lang w:val="en-IE"/>
        </w:rPr>
        <w:t>SaaS, which</w:t>
      </w:r>
      <w:r w:rsidR="00994323" w:rsidRPr="006520E2">
        <w:rPr>
          <w:noProof/>
          <w:lang w:val="en-IE"/>
        </w:rPr>
        <w:t xml:space="preserve"> is much larger than in IaaS and PaaS</w:t>
      </w:r>
      <w:r w:rsidR="00994323">
        <w:rPr>
          <w:noProof/>
          <w:lang w:val="en-IE"/>
        </w:rPr>
        <w:t xml:space="preserve">, </w:t>
      </w:r>
      <w:r w:rsidR="00E45AEB">
        <w:rPr>
          <w:noProof/>
          <w:lang w:val="en-IE"/>
        </w:rPr>
        <w:t xml:space="preserve">and </w:t>
      </w:r>
      <w:r w:rsidR="00994323">
        <w:rPr>
          <w:noProof/>
          <w:lang w:val="en-IE"/>
        </w:rPr>
        <w:t xml:space="preserve">where each application on the web could be called, even </w:t>
      </w:r>
      <w:r w:rsidR="00805CAF">
        <w:rPr>
          <w:noProof/>
          <w:lang w:val="en-IE"/>
        </w:rPr>
        <w:t xml:space="preserve">if </w:t>
      </w:r>
      <w:r w:rsidR="00994323">
        <w:rPr>
          <w:noProof/>
          <w:lang w:val="en-IE"/>
        </w:rPr>
        <w:t>in simplistic terms, software as a service</w:t>
      </w:r>
      <w:r w:rsidR="00B90626">
        <w:rPr>
          <w:noProof/>
          <w:lang w:val="en-IE"/>
        </w:rPr>
        <w:t>, render</w:t>
      </w:r>
      <w:r w:rsidR="00E45AEB">
        <w:rPr>
          <w:noProof/>
          <w:lang w:val="en-IE"/>
        </w:rPr>
        <w:t>s</w:t>
      </w:r>
      <w:r w:rsidR="00B90626">
        <w:rPr>
          <w:noProof/>
          <w:lang w:val="en-IE"/>
        </w:rPr>
        <w:t xml:space="preserve"> the comparison</w:t>
      </w:r>
      <w:r w:rsidR="00E45AEB">
        <w:rPr>
          <w:noProof/>
          <w:lang w:val="en-IE"/>
        </w:rPr>
        <w:t xml:space="preserve"> between US and EU providers</w:t>
      </w:r>
      <w:r w:rsidR="00B90626">
        <w:rPr>
          <w:noProof/>
          <w:lang w:val="en-IE"/>
        </w:rPr>
        <w:t xml:space="preserve">, </w:t>
      </w:r>
      <w:r w:rsidR="007B1D0D">
        <w:rPr>
          <w:noProof/>
          <w:lang w:val="en-IE"/>
        </w:rPr>
        <w:t xml:space="preserve">albeit a few </w:t>
      </w:r>
      <w:r w:rsidR="00FD67E9">
        <w:rPr>
          <w:noProof/>
          <w:lang w:val="en-IE"/>
        </w:rPr>
        <w:t>exceptions</w:t>
      </w:r>
      <w:r w:rsidR="0061271A">
        <w:rPr>
          <w:noProof/>
          <w:lang w:val="en-IE"/>
        </w:rPr>
        <w:t>,</w:t>
      </w:r>
      <w:r w:rsidR="007B1D0D">
        <w:rPr>
          <w:noProof/>
          <w:lang w:val="en-IE"/>
        </w:rPr>
        <w:t xml:space="preserve"> much more difficult.</w:t>
      </w:r>
    </w:p>
    <w:p w14:paraId="79A09DA4" w14:textId="1032342F" w:rsidR="008F14E8" w:rsidRDefault="00E45AEB" w:rsidP="008F14E8">
      <w:pPr>
        <w:rPr>
          <w:noProof/>
          <w:lang w:val="en-IE"/>
        </w:rPr>
      </w:pPr>
      <w:r>
        <w:rPr>
          <w:noProof/>
          <w:lang w:val="en-IE"/>
        </w:rPr>
        <w:t>However, t</w:t>
      </w:r>
      <w:r w:rsidR="008F14E8" w:rsidRPr="008F14E8">
        <w:rPr>
          <w:noProof/>
          <w:lang w:val="en-IE"/>
        </w:rPr>
        <w:t xml:space="preserve">he </w:t>
      </w:r>
      <w:r w:rsidR="008F14E8" w:rsidRPr="003E3396">
        <w:rPr>
          <w:b/>
          <w:noProof/>
          <w:lang w:val="en-IE"/>
        </w:rPr>
        <w:t>real gaps are narrower and more specific</w:t>
      </w:r>
      <w:r>
        <w:rPr>
          <w:noProof/>
          <w:lang w:val="en-IE"/>
        </w:rPr>
        <w:t xml:space="preserve"> that it can be initially thought</w:t>
      </w:r>
      <w:r w:rsidR="00B33301">
        <w:rPr>
          <w:noProof/>
          <w:lang w:val="en-IE"/>
        </w:rPr>
        <w:t xml:space="preserve">. These include </w:t>
      </w:r>
      <w:r w:rsidR="00E857EB">
        <w:rPr>
          <w:noProof/>
          <w:lang w:val="en-IE"/>
        </w:rPr>
        <w:t>mainly</w:t>
      </w:r>
      <w:r w:rsidR="008F14E8" w:rsidRPr="008F14E8">
        <w:rPr>
          <w:noProof/>
          <w:lang w:val="en-IE"/>
        </w:rPr>
        <w:t xml:space="preserve"> </w:t>
      </w:r>
      <w:r w:rsidR="008F14E8" w:rsidRPr="003E3396">
        <w:rPr>
          <w:b/>
          <w:noProof/>
          <w:lang w:val="en-IE"/>
        </w:rPr>
        <w:t>native AI/ML platforms, serverless, and integrated analytics pipelines</w:t>
      </w:r>
      <w:r w:rsidR="008F14E8" w:rsidRPr="008F14E8">
        <w:rPr>
          <w:noProof/>
          <w:lang w:val="en-IE"/>
        </w:rPr>
        <w:t xml:space="preserve"> </w:t>
      </w:r>
      <w:r w:rsidR="00B33301">
        <w:rPr>
          <w:noProof/>
          <w:lang w:val="en-IE"/>
        </w:rPr>
        <w:t xml:space="preserve">as they </w:t>
      </w:r>
      <w:r w:rsidR="008F14E8" w:rsidRPr="008F14E8">
        <w:rPr>
          <w:noProof/>
          <w:lang w:val="en-IE"/>
        </w:rPr>
        <w:t xml:space="preserve">remain areas where European providers have not </w:t>
      </w:r>
      <w:r w:rsidR="00B33301">
        <w:rPr>
          <w:noProof/>
          <w:lang w:val="en-IE"/>
        </w:rPr>
        <w:t xml:space="preserve">yet </w:t>
      </w:r>
      <w:r w:rsidR="008F14E8" w:rsidRPr="008F14E8">
        <w:rPr>
          <w:noProof/>
          <w:lang w:val="en-IE"/>
        </w:rPr>
        <w:t>reached hyperscaler maturity</w:t>
      </w:r>
      <w:r w:rsidR="007B1D0D">
        <w:rPr>
          <w:noProof/>
          <w:lang w:val="en-IE"/>
        </w:rPr>
        <w:t xml:space="preserve"> but are </w:t>
      </w:r>
      <w:r w:rsidR="003D2232">
        <w:rPr>
          <w:noProof/>
          <w:lang w:val="en-IE"/>
        </w:rPr>
        <w:t>working towards it</w:t>
      </w:r>
      <w:r w:rsidR="008F14E8" w:rsidRPr="008F14E8">
        <w:rPr>
          <w:noProof/>
          <w:lang w:val="en-IE"/>
        </w:rPr>
        <w:t>.</w:t>
      </w:r>
      <w:r w:rsidR="003B4102">
        <w:rPr>
          <w:noProof/>
          <w:lang w:val="en-IE"/>
        </w:rPr>
        <w:t xml:space="preserve"> </w:t>
      </w:r>
      <w:r w:rsidR="005A5B74">
        <w:rPr>
          <w:noProof/>
          <w:lang w:val="en-IE"/>
        </w:rPr>
        <w:t>For t</w:t>
      </w:r>
      <w:r w:rsidR="008F14E8" w:rsidRPr="008F14E8">
        <w:rPr>
          <w:noProof/>
          <w:lang w:val="en-IE"/>
        </w:rPr>
        <w:t xml:space="preserve">he </w:t>
      </w:r>
      <w:r w:rsidR="008F14E8" w:rsidRPr="003E3396">
        <w:rPr>
          <w:b/>
          <w:noProof/>
          <w:lang w:val="en-IE"/>
        </w:rPr>
        <w:t xml:space="preserve">standard </w:t>
      </w:r>
      <w:r w:rsidR="005A5B74" w:rsidRPr="003E3396">
        <w:rPr>
          <w:b/>
          <w:noProof/>
          <w:lang w:val="en-IE"/>
        </w:rPr>
        <w:t>private</w:t>
      </w:r>
      <w:r w:rsidR="008F14E8" w:rsidRPr="003E3396">
        <w:rPr>
          <w:b/>
          <w:noProof/>
          <w:lang w:val="en-IE"/>
        </w:rPr>
        <w:t xml:space="preserve"> </w:t>
      </w:r>
      <w:r w:rsidR="00650DFF" w:rsidRPr="003E3396">
        <w:rPr>
          <w:b/>
          <w:noProof/>
          <w:lang w:val="en-IE"/>
        </w:rPr>
        <w:t>and</w:t>
      </w:r>
      <w:r w:rsidR="008F14E8" w:rsidRPr="003E3396">
        <w:rPr>
          <w:b/>
          <w:noProof/>
          <w:lang w:val="en-IE"/>
        </w:rPr>
        <w:t xml:space="preserve"> public sector workloads </w:t>
      </w:r>
      <w:r w:rsidR="000F2594" w:rsidRPr="003E3396">
        <w:rPr>
          <w:b/>
          <w:noProof/>
          <w:lang w:val="en-IE"/>
        </w:rPr>
        <w:t>constituting nowadays</w:t>
      </w:r>
      <w:r w:rsidR="008F14E8" w:rsidRPr="003E3396">
        <w:rPr>
          <w:b/>
          <w:noProof/>
          <w:lang w:val="en-IE"/>
        </w:rPr>
        <w:t xml:space="preserve"> the majority of cloud adoption</w:t>
      </w:r>
      <w:r w:rsidR="00870998" w:rsidRPr="003E3396">
        <w:rPr>
          <w:b/>
          <w:noProof/>
          <w:lang w:val="en-IE"/>
        </w:rPr>
        <w:t xml:space="preserve"> needs</w:t>
      </w:r>
      <w:r w:rsidR="003D2232" w:rsidRPr="003E3396">
        <w:rPr>
          <w:b/>
          <w:noProof/>
          <w:lang w:val="en-IE"/>
        </w:rPr>
        <w:t>,</w:t>
      </w:r>
      <w:r w:rsidR="00650DFF" w:rsidRPr="003E3396">
        <w:rPr>
          <w:b/>
          <w:noProof/>
          <w:lang w:val="en-IE"/>
        </w:rPr>
        <w:t xml:space="preserve"> the European providers represent already a fully viable, equivalent in performance, functionalities and quality</w:t>
      </w:r>
      <w:r w:rsidR="008F14E8" w:rsidRPr="008F14E8">
        <w:rPr>
          <w:noProof/>
          <w:lang w:val="en-IE"/>
        </w:rPr>
        <w:t>.</w:t>
      </w:r>
    </w:p>
    <w:p w14:paraId="7AFBB654" w14:textId="26960A75" w:rsidR="00EB70DA" w:rsidRPr="00EB70DA" w:rsidRDefault="00EB70DA" w:rsidP="00EB70DA">
      <w:pPr>
        <w:rPr>
          <w:noProof/>
          <w:lang w:val="en-IE"/>
        </w:rPr>
      </w:pPr>
      <w:r w:rsidRPr="00EB70DA">
        <w:rPr>
          <w:noProof/>
          <w:lang w:val="en-IE"/>
        </w:rPr>
        <w:t xml:space="preserve">The tables below show that major European cloud providers, for the purpose of this analysis, IONOS, OVHcloud, and STACKIT, already offer services broadly equivalent to those of AWS, Microsoft Azure, and Google Cloud Platform across the core infrastructure categories that are most widely used: compute, storage, </w:t>
      </w:r>
      <w:r w:rsidR="00A72E25">
        <w:rPr>
          <w:noProof/>
          <w:lang w:val="en-IE"/>
        </w:rPr>
        <w:t xml:space="preserve">network, </w:t>
      </w:r>
      <w:r w:rsidRPr="00EB70DA">
        <w:rPr>
          <w:noProof/>
          <w:lang w:val="en-IE"/>
        </w:rPr>
        <w:t>and managed container orchestration. The comparison has been extended to office automation suites, one of the most widely adopted SaaS categories in the public sector, where credible European and open-source alternatives are also available.</w:t>
      </w:r>
    </w:p>
    <w:p w14:paraId="258E9BFE" w14:textId="4FF2DA99" w:rsidR="00EB70DA" w:rsidRPr="00EB70DA" w:rsidRDefault="00EB70DA" w:rsidP="00EB70DA">
      <w:pPr>
        <w:rPr>
          <w:noProof/>
          <w:lang w:val="en-IE"/>
        </w:rPr>
      </w:pPr>
      <w:r w:rsidRPr="00EB70DA">
        <w:rPr>
          <w:noProof/>
          <w:lang w:val="en-IE"/>
        </w:rPr>
        <w:t>OVHcloud's</w:t>
      </w:r>
      <w:r>
        <w:rPr>
          <w:rStyle w:val="FootnoteReference"/>
          <w:noProof/>
          <w:lang w:val="en-IE"/>
        </w:rPr>
        <w:footnoteReference w:id="227"/>
      </w:r>
      <w:r w:rsidRPr="00EB70DA">
        <w:rPr>
          <w:noProof/>
          <w:lang w:val="en-IE"/>
        </w:rPr>
        <w:t xml:space="preserve"> portfolio spans </w:t>
      </w:r>
      <w:r w:rsidR="008155F3">
        <w:rPr>
          <w:noProof/>
          <w:lang w:val="en-IE"/>
        </w:rPr>
        <w:t xml:space="preserve">across </w:t>
      </w:r>
      <w:r w:rsidRPr="00EB70DA">
        <w:rPr>
          <w:noProof/>
          <w:lang w:val="en-IE"/>
        </w:rPr>
        <w:t>compute, storage, networking, container orchestration, databases, analytics, and AI/ML services. IONOS</w:t>
      </w:r>
      <w:r>
        <w:rPr>
          <w:rStyle w:val="FootnoteReference"/>
          <w:noProof/>
          <w:lang w:val="en-IE"/>
        </w:rPr>
        <w:footnoteReference w:id="228"/>
      </w:r>
      <w:r w:rsidRPr="00EB70DA">
        <w:rPr>
          <w:noProof/>
          <w:lang w:val="en-IE"/>
        </w:rPr>
        <w:t xml:space="preserve"> </w:t>
      </w:r>
      <w:r w:rsidR="00DE4120">
        <w:rPr>
          <w:noProof/>
          <w:lang w:val="en-IE"/>
        </w:rPr>
        <w:t>mainly</w:t>
      </w:r>
      <w:r w:rsidRPr="00EB70DA">
        <w:rPr>
          <w:noProof/>
          <w:lang w:val="en-IE"/>
        </w:rPr>
        <w:t xml:space="preserve"> covers storage, compute, managed container orchestration, databases, and observability. STACKIT's</w:t>
      </w:r>
      <w:r>
        <w:rPr>
          <w:rStyle w:val="FootnoteReference"/>
          <w:noProof/>
          <w:lang w:val="en-IE"/>
        </w:rPr>
        <w:footnoteReference w:id="229"/>
      </w:r>
      <w:r w:rsidRPr="00EB70DA">
        <w:rPr>
          <w:noProof/>
          <w:lang w:val="en-IE"/>
        </w:rPr>
        <w:t xml:space="preserve"> catalogue includes compute, databases, observability and logging, and security services. Taken together, these providers cover the functional surface that the majority of </w:t>
      </w:r>
      <w:r w:rsidR="00DE4120">
        <w:rPr>
          <w:noProof/>
          <w:lang w:val="en-IE"/>
        </w:rPr>
        <w:t>the private</w:t>
      </w:r>
      <w:r w:rsidRPr="00EB70DA">
        <w:rPr>
          <w:noProof/>
          <w:lang w:val="en-IE"/>
        </w:rPr>
        <w:t xml:space="preserve"> and public sector workloads actually require.</w:t>
      </w:r>
    </w:p>
    <w:p w14:paraId="58AE7F62" w14:textId="3537EACF" w:rsidR="00F531B1" w:rsidRDefault="00EB70DA" w:rsidP="00EB70DA">
      <w:pPr>
        <w:rPr>
          <w:noProof/>
          <w:lang w:val="en-IE"/>
        </w:rPr>
      </w:pPr>
      <w:r w:rsidRPr="00EB70DA">
        <w:rPr>
          <w:noProof/>
          <w:lang w:val="en-IE"/>
        </w:rPr>
        <w:t>The comparison</w:t>
      </w:r>
      <w:r w:rsidR="006F6577">
        <w:rPr>
          <w:noProof/>
          <w:lang w:val="en-IE"/>
        </w:rPr>
        <w:t>s</w:t>
      </w:r>
      <w:r w:rsidRPr="00EB70DA">
        <w:rPr>
          <w:noProof/>
          <w:lang w:val="en-IE"/>
        </w:rPr>
        <w:t xml:space="preserve"> </w:t>
      </w:r>
      <w:r w:rsidR="000B4E5A">
        <w:rPr>
          <w:noProof/>
          <w:lang w:val="en-IE"/>
        </w:rPr>
        <w:t xml:space="preserve">shown below </w:t>
      </w:r>
      <w:r w:rsidR="00920B7D">
        <w:rPr>
          <w:noProof/>
          <w:lang w:val="en-IE"/>
        </w:rPr>
        <w:t xml:space="preserve">demonstrate that </w:t>
      </w:r>
      <w:r w:rsidR="00180980">
        <w:rPr>
          <w:noProof/>
          <w:lang w:val="en-IE"/>
        </w:rPr>
        <w:t>EU providers already offer</w:t>
      </w:r>
      <w:r w:rsidR="000B4E5A">
        <w:rPr>
          <w:noProof/>
          <w:lang w:val="en-IE"/>
        </w:rPr>
        <w:t xml:space="preserve"> the </w:t>
      </w:r>
      <w:r w:rsidR="00180980">
        <w:rPr>
          <w:noProof/>
          <w:lang w:val="en-IE"/>
        </w:rPr>
        <w:t>most used services and with a similar level of functionality.</w:t>
      </w:r>
      <w:r w:rsidR="00517D18">
        <w:rPr>
          <w:noProof/>
          <w:lang w:val="en-IE"/>
        </w:rPr>
        <w:t xml:space="preserve"> The first table aims to </w:t>
      </w:r>
      <w:r w:rsidR="00F531B1">
        <w:rPr>
          <w:noProof/>
          <w:lang w:val="en-IE"/>
        </w:rPr>
        <w:t>provide</w:t>
      </w:r>
      <w:r w:rsidR="00517D18">
        <w:rPr>
          <w:noProof/>
          <w:lang w:val="en-IE"/>
        </w:rPr>
        <w:t xml:space="preserve"> a</w:t>
      </w:r>
      <w:r w:rsidR="00246B45">
        <w:rPr>
          <w:noProof/>
          <w:lang w:val="en-IE"/>
        </w:rPr>
        <w:t xml:space="preserve"> </w:t>
      </w:r>
      <w:r w:rsidR="00907619">
        <w:rPr>
          <w:noProof/>
          <w:lang w:val="en-IE"/>
        </w:rPr>
        <w:t>high-level</w:t>
      </w:r>
      <w:r w:rsidR="00246B45">
        <w:rPr>
          <w:noProof/>
          <w:lang w:val="en-IE"/>
        </w:rPr>
        <w:t xml:space="preserve"> overview of the main cloud services used</w:t>
      </w:r>
      <w:r w:rsidR="006308AA">
        <w:rPr>
          <w:noProof/>
          <w:lang w:val="en-IE"/>
        </w:rPr>
        <w:t xml:space="preserve"> in the Union </w:t>
      </w:r>
      <w:r w:rsidR="00B155EE">
        <w:rPr>
          <w:noProof/>
          <w:lang w:val="en-IE"/>
        </w:rPr>
        <w:t xml:space="preserve">and their coverage by EU providers compared to non-EU incumbents. </w:t>
      </w:r>
      <w:r w:rsidR="00920B7D">
        <w:rPr>
          <w:noProof/>
          <w:lang w:val="en-IE"/>
        </w:rPr>
        <w:t xml:space="preserve">In the public sector, interviews have shown that </w:t>
      </w:r>
      <w:r w:rsidR="00180980">
        <w:rPr>
          <w:noProof/>
          <w:lang w:val="en-IE"/>
        </w:rPr>
        <w:t>m</w:t>
      </w:r>
      <w:r w:rsidR="00920B7D">
        <w:rPr>
          <w:noProof/>
          <w:lang w:val="en-IE"/>
        </w:rPr>
        <w:t>ost public administrations use an average of twenty services</w:t>
      </w:r>
      <w:r w:rsidR="00180980">
        <w:rPr>
          <w:noProof/>
          <w:lang w:val="en-IE"/>
        </w:rPr>
        <w:t>, instead of the whole range offered by hyperscalers.</w:t>
      </w:r>
    </w:p>
    <w:p w14:paraId="4322520A" w14:textId="689D0B93" w:rsidR="00907619" w:rsidRDefault="00907619">
      <w:pPr>
        <w:pStyle w:val="Caption"/>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74</w:t>
      </w:r>
      <w:r>
        <w:rPr>
          <w:noProof/>
        </w:rPr>
        <w:fldChar w:fldCharType="end"/>
      </w:r>
      <w:r>
        <w:rPr>
          <w:noProof/>
        </w:rPr>
        <w:t>. High level overview of cloud services and</w:t>
      </w:r>
      <w:r w:rsidR="009D0DF3">
        <w:rPr>
          <w:noProof/>
        </w:rPr>
        <w:t xml:space="preserve"> </w:t>
      </w:r>
      <w:r w:rsidR="008B7103">
        <w:rPr>
          <w:noProof/>
        </w:rPr>
        <w:t xml:space="preserve">their </w:t>
      </w:r>
      <w:r w:rsidR="009D0DF3">
        <w:rPr>
          <w:noProof/>
        </w:rPr>
        <w:t>coverage by EU providers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548"/>
        <w:gridCol w:w="1813"/>
      </w:tblGrid>
      <w:tr w:rsidR="00907619" w14:paraId="2BCA3512" w14:textId="77777777" w:rsidTr="003E3396">
        <w:tc>
          <w:tcPr>
            <w:tcW w:w="4248" w:type="dxa"/>
            <w:shd w:val="clear" w:color="auto" w:fill="227ACB"/>
          </w:tcPr>
          <w:p w14:paraId="08B83C2A" w14:textId="126DCE8D" w:rsidR="00F96075" w:rsidRDefault="00F96075" w:rsidP="003E3396">
            <w:pPr>
              <w:spacing w:after="0"/>
              <w:rPr>
                <w:noProof/>
              </w:rPr>
            </w:pPr>
            <w:r w:rsidRPr="00280F0A">
              <w:rPr>
                <w:b/>
                <w:bCs/>
                <w:noProof/>
                <w:color w:val="FFFFFF"/>
                <w:lang w:val="en-IE"/>
              </w:rPr>
              <w:t xml:space="preserve">Service </w:t>
            </w:r>
            <w:r w:rsidR="00907619">
              <w:rPr>
                <w:b/>
                <w:bCs/>
                <w:noProof/>
                <w:color w:val="FFFFFF"/>
                <w:lang w:val="en-IE"/>
              </w:rPr>
              <w:t>Type</w:t>
            </w:r>
          </w:p>
        </w:tc>
        <w:tc>
          <w:tcPr>
            <w:tcW w:w="2548" w:type="dxa"/>
            <w:shd w:val="clear" w:color="auto" w:fill="227ACB"/>
          </w:tcPr>
          <w:p w14:paraId="1EE8BE00" w14:textId="77777777" w:rsidR="00F96075" w:rsidRDefault="00F96075" w:rsidP="003E3396">
            <w:pPr>
              <w:spacing w:after="0"/>
              <w:rPr>
                <w:noProof/>
              </w:rPr>
            </w:pPr>
            <w:r w:rsidRPr="00280F0A">
              <w:rPr>
                <w:b/>
                <w:bCs/>
                <w:noProof/>
                <w:color w:val="FFFFFF"/>
                <w:lang w:val="en-IE"/>
              </w:rPr>
              <w:t>Layer</w:t>
            </w:r>
          </w:p>
        </w:tc>
        <w:tc>
          <w:tcPr>
            <w:tcW w:w="1813" w:type="dxa"/>
            <w:shd w:val="clear" w:color="auto" w:fill="227ACB"/>
          </w:tcPr>
          <w:p w14:paraId="61CDB5F4" w14:textId="37DA56A0" w:rsidR="00F96075" w:rsidRDefault="00F96075" w:rsidP="003E3396">
            <w:pPr>
              <w:spacing w:after="0"/>
              <w:rPr>
                <w:noProof/>
              </w:rPr>
            </w:pPr>
            <w:r w:rsidRPr="00280F0A">
              <w:rPr>
                <w:b/>
                <w:bCs/>
                <w:noProof/>
                <w:color w:val="FFFFFF"/>
                <w:lang w:val="en-IE"/>
              </w:rPr>
              <w:t>Coverage</w:t>
            </w:r>
            <w:r w:rsidR="00907619">
              <w:rPr>
                <w:b/>
                <w:bCs/>
                <w:noProof/>
                <w:color w:val="FFFFFF"/>
                <w:lang w:val="en-IE"/>
              </w:rPr>
              <w:t xml:space="preserve"> by EU providers</w:t>
            </w:r>
          </w:p>
        </w:tc>
      </w:tr>
      <w:tr w:rsidR="00907619" w14:paraId="3D2BFA59" w14:textId="77777777" w:rsidTr="003E3396">
        <w:tc>
          <w:tcPr>
            <w:tcW w:w="4248" w:type="dxa"/>
          </w:tcPr>
          <w:p w14:paraId="0762CECE" w14:textId="77777777" w:rsidR="00F96075" w:rsidRDefault="00F96075" w:rsidP="003E3396">
            <w:pPr>
              <w:spacing w:after="0"/>
              <w:rPr>
                <w:noProof/>
              </w:rPr>
            </w:pPr>
            <w:r w:rsidRPr="00280F0A">
              <w:rPr>
                <w:noProof/>
                <w:lang w:val="en-IE"/>
              </w:rPr>
              <w:t>Virtual Machines / Compute</w:t>
            </w:r>
          </w:p>
        </w:tc>
        <w:tc>
          <w:tcPr>
            <w:tcW w:w="2548" w:type="dxa"/>
          </w:tcPr>
          <w:p w14:paraId="74A47173" w14:textId="77777777" w:rsidR="00F96075" w:rsidRDefault="00F96075" w:rsidP="003E3396">
            <w:pPr>
              <w:spacing w:after="0"/>
              <w:rPr>
                <w:noProof/>
              </w:rPr>
            </w:pPr>
            <w:r w:rsidRPr="00280F0A">
              <w:rPr>
                <w:noProof/>
                <w:lang w:val="en-IE"/>
              </w:rPr>
              <w:t>IaaS</w:t>
            </w:r>
          </w:p>
        </w:tc>
        <w:tc>
          <w:tcPr>
            <w:tcW w:w="1813" w:type="dxa"/>
          </w:tcPr>
          <w:p w14:paraId="63A146F4" w14:textId="77777777" w:rsidR="00F96075" w:rsidRDefault="00F96075" w:rsidP="003E3396">
            <w:pPr>
              <w:spacing w:after="0"/>
              <w:rPr>
                <w:noProof/>
              </w:rPr>
            </w:pPr>
            <w:r w:rsidRPr="00280F0A">
              <w:rPr>
                <w:noProof/>
                <w:lang w:val="en-IE"/>
              </w:rPr>
              <w:t>Full</w:t>
            </w:r>
          </w:p>
        </w:tc>
      </w:tr>
      <w:tr w:rsidR="00907619" w14:paraId="3E15CAE7" w14:textId="77777777" w:rsidTr="003E3396">
        <w:tc>
          <w:tcPr>
            <w:tcW w:w="4248" w:type="dxa"/>
          </w:tcPr>
          <w:p w14:paraId="5B2FFDE6" w14:textId="77777777" w:rsidR="00F96075" w:rsidRPr="00280F0A" w:rsidRDefault="00F96075" w:rsidP="003E3396">
            <w:pPr>
              <w:spacing w:after="0"/>
              <w:rPr>
                <w:noProof/>
                <w:lang w:val="en-IE"/>
              </w:rPr>
            </w:pPr>
            <w:r w:rsidRPr="00280F0A">
              <w:rPr>
                <w:noProof/>
                <w:lang w:val="en-IE"/>
              </w:rPr>
              <w:t>Object Storage (S3</w:t>
            </w:r>
            <w:r>
              <w:rPr>
                <w:noProof/>
                <w:lang w:val="en-IE"/>
              </w:rPr>
              <w:t xml:space="preserve"> compatibility</w:t>
            </w:r>
            <w:r w:rsidRPr="00280F0A">
              <w:rPr>
                <w:noProof/>
                <w:lang w:val="en-IE"/>
              </w:rPr>
              <w:t>)</w:t>
            </w:r>
          </w:p>
        </w:tc>
        <w:tc>
          <w:tcPr>
            <w:tcW w:w="2548" w:type="dxa"/>
          </w:tcPr>
          <w:p w14:paraId="5B2C4B07" w14:textId="77777777" w:rsidR="00F96075" w:rsidRPr="00280F0A" w:rsidRDefault="00F96075" w:rsidP="003E3396">
            <w:pPr>
              <w:spacing w:after="0"/>
              <w:rPr>
                <w:noProof/>
                <w:lang w:val="en-IE"/>
              </w:rPr>
            </w:pPr>
            <w:r w:rsidRPr="00280F0A">
              <w:rPr>
                <w:noProof/>
                <w:lang w:val="en-IE"/>
              </w:rPr>
              <w:t>IaaS</w:t>
            </w:r>
          </w:p>
        </w:tc>
        <w:tc>
          <w:tcPr>
            <w:tcW w:w="1813" w:type="dxa"/>
          </w:tcPr>
          <w:p w14:paraId="4D4729A7" w14:textId="77777777" w:rsidR="00F96075" w:rsidRPr="00280F0A" w:rsidRDefault="00F96075" w:rsidP="003E3396">
            <w:pPr>
              <w:spacing w:after="0"/>
              <w:rPr>
                <w:noProof/>
                <w:lang w:val="en-IE"/>
              </w:rPr>
            </w:pPr>
            <w:r w:rsidRPr="00280F0A">
              <w:rPr>
                <w:noProof/>
                <w:lang w:val="en-IE"/>
              </w:rPr>
              <w:t>Full</w:t>
            </w:r>
          </w:p>
        </w:tc>
      </w:tr>
      <w:tr w:rsidR="00907619" w14:paraId="110E6E67" w14:textId="77777777" w:rsidTr="003E3396">
        <w:tc>
          <w:tcPr>
            <w:tcW w:w="4248" w:type="dxa"/>
          </w:tcPr>
          <w:p w14:paraId="6515D496" w14:textId="77777777" w:rsidR="00F96075" w:rsidRPr="00280F0A" w:rsidRDefault="00F96075" w:rsidP="003E3396">
            <w:pPr>
              <w:spacing w:after="0"/>
              <w:rPr>
                <w:noProof/>
                <w:lang w:val="en-IE"/>
              </w:rPr>
            </w:pPr>
            <w:r w:rsidRPr="00280F0A">
              <w:rPr>
                <w:noProof/>
                <w:lang w:val="en-IE"/>
              </w:rPr>
              <w:t>Block Storage</w:t>
            </w:r>
          </w:p>
        </w:tc>
        <w:tc>
          <w:tcPr>
            <w:tcW w:w="2548" w:type="dxa"/>
          </w:tcPr>
          <w:p w14:paraId="11896213" w14:textId="77777777" w:rsidR="00F96075" w:rsidRPr="00280F0A" w:rsidRDefault="00F96075" w:rsidP="003E3396">
            <w:pPr>
              <w:spacing w:after="0"/>
              <w:rPr>
                <w:noProof/>
                <w:lang w:val="en-IE"/>
              </w:rPr>
            </w:pPr>
            <w:r w:rsidRPr="00280F0A">
              <w:rPr>
                <w:noProof/>
                <w:lang w:val="en-IE"/>
              </w:rPr>
              <w:t>IaaS</w:t>
            </w:r>
          </w:p>
        </w:tc>
        <w:tc>
          <w:tcPr>
            <w:tcW w:w="1813" w:type="dxa"/>
          </w:tcPr>
          <w:p w14:paraId="5E8435BD" w14:textId="77777777" w:rsidR="00F96075" w:rsidRPr="00280F0A" w:rsidRDefault="00F96075" w:rsidP="003E3396">
            <w:pPr>
              <w:spacing w:after="0"/>
              <w:rPr>
                <w:noProof/>
                <w:lang w:val="en-IE"/>
              </w:rPr>
            </w:pPr>
            <w:r w:rsidRPr="00280F0A">
              <w:rPr>
                <w:noProof/>
                <w:lang w:val="en-IE"/>
              </w:rPr>
              <w:t>Full</w:t>
            </w:r>
          </w:p>
        </w:tc>
      </w:tr>
      <w:tr w:rsidR="00907619" w14:paraId="1AB72C80" w14:textId="77777777" w:rsidTr="003E3396">
        <w:tc>
          <w:tcPr>
            <w:tcW w:w="4248" w:type="dxa"/>
          </w:tcPr>
          <w:p w14:paraId="71AE179E" w14:textId="77777777" w:rsidR="00F96075" w:rsidRPr="00280F0A" w:rsidRDefault="00F96075" w:rsidP="003E3396">
            <w:pPr>
              <w:spacing w:after="0"/>
              <w:rPr>
                <w:noProof/>
                <w:lang w:val="en-IE"/>
              </w:rPr>
            </w:pPr>
            <w:r w:rsidRPr="00280F0A">
              <w:rPr>
                <w:noProof/>
                <w:lang w:val="en-IE"/>
              </w:rPr>
              <w:t>Managed Load Balancer</w:t>
            </w:r>
          </w:p>
        </w:tc>
        <w:tc>
          <w:tcPr>
            <w:tcW w:w="2548" w:type="dxa"/>
          </w:tcPr>
          <w:p w14:paraId="3ECCFD10" w14:textId="77777777" w:rsidR="00F96075" w:rsidRPr="00280F0A" w:rsidRDefault="00F96075" w:rsidP="003E3396">
            <w:pPr>
              <w:spacing w:after="0"/>
              <w:rPr>
                <w:noProof/>
                <w:lang w:val="en-IE"/>
              </w:rPr>
            </w:pPr>
            <w:r w:rsidRPr="00280F0A">
              <w:rPr>
                <w:noProof/>
                <w:lang w:val="en-IE"/>
              </w:rPr>
              <w:t>IaaS/Net</w:t>
            </w:r>
            <w:r>
              <w:rPr>
                <w:noProof/>
                <w:lang w:val="en-IE"/>
              </w:rPr>
              <w:t>work</w:t>
            </w:r>
          </w:p>
        </w:tc>
        <w:tc>
          <w:tcPr>
            <w:tcW w:w="1813" w:type="dxa"/>
          </w:tcPr>
          <w:p w14:paraId="5915219B" w14:textId="77777777" w:rsidR="00F96075" w:rsidRPr="00280F0A" w:rsidRDefault="00F96075" w:rsidP="003E3396">
            <w:pPr>
              <w:spacing w:after="0"/>
              <w:rPr>
                <w:noProof/>
                <w:lang w:val="en-IE"/>
              </w:rPr>
            </w:pPr>
            <w:r w:rsidRPr="00280F0A">
              <w:rPr>
                <w:noProof/>
                <w:lang w:val="en-IE"/>
              </w:rPr>
              <w:t>Full</w:t>
            </w:r>
          </w:p>
        </w:tc>
      </w:tr>
      <w:tr w:rsidR="00907619" w14:paraId="52C2B8CA" w14:textId="77777777" w:rsidTr="003E3396">
        <w:tc>
          <w:tcPr>
            <w:tcW w:w="4248" w:type="dxa"/>
          </w:tcPr>
          <w:p w14:paraId="0032E147" w14:textId="77777777" w:rsidR="00F96075" w:rsidRPr="00280F0A" w:rsidRDefault="00F96075" w:rsidP="003E3396">
            <w:pPr>
              <w:spacing w:after="0"/>
              <w:rPr>
                <w:noProof/>
                <w:lang w:val="en-IE"/>
              </w:rPr>
            </w:pPr>
            <w:r w:rsidRPr="00280F0A">
              <w:rPr>
                <w:noProof/>
                <w:lang w:val="en-IE"/>
              </w:rPr>
              <w:t>VPC / Private Networking</w:t>
            </w:r>
          </w:p>
        </w:tc>
        <w:tc>
          <w:tcPr>
            <w:tcW w:w="2548" w:type="dxa"/>
          </w:tcPr>
          <w:p w14:paraId="3AF90BCD" w14:textId="77777777" w:rsidR="00F96075" w:rsidRPr="00280F0A" w:rsidRDefault="00F96075" w:rsidP="003E3396">
            <w:pPr>
              <w:spacing w:after="0"/>
              <w:rPr>
                <w:noProof/>
                <w:lang w:val="en-IE"/>
              </w:rPr>
            </w:pPr>
            <w:r w:rsidRPr="00280F0A">
              <w:rPr>
                <w:noProof/>
                <w:lang w:val="en-IE"/>
              </w:rPr>
              <w:t>IaaS/Net</w:t>
            </w:r>
            <w:r w:rsidRPr="00AF6757">
              <w:rPr>
                <w:noProof/>
                <w:lang w:val="en-IE"/>
              </w:rPr>
              <w:t>work</w:t>
            </w:r>
          </w:p>
        </w:tc>
        <w:tc>
          <w:tcPr>
            <w:tcW w:w="1813" w:type="dxa"/>
          </w:tcPr>
          <w:p w14:paraId="7F469B5A" w14:textId="77777777" w:rsidR="00F96075" w:rsidRPr="00280F0A" w:rsidRDefault="00F96075" w:rsidP="003E3396">
            <w:pPr>
              <w:spacing w:after="0"/>
              <w:rPr>
                <w:noProof/>
                <w:lang w:val="en-IE"/>
              </w:rPr>
            </w:pPr>
            <w:r w:rsidRPr="00280F0A">
              <w:rPr>
                <w:noProof/>
                <w:lang w:val="en-IE"/>
              </w:rPr>
              <w:t>Full</w:t>
            </w:r>
          </w:p>
        </w:tc>
      </w:tr>
      <w:tr w:rsidR="00907619" w14:paraId="76EFC860" w14:textId="77777777" w:rsidTr="003E3396">
        <w:tc>
          <w:tcPr>
            <w:tcW w:w="4248" w:type="dxa"/>
          </w:tcPr>
          <w:p w14:paraId="13380935" w14:textId="77777777" w:rsidR="00F96075" w:rsidRPr="00280F0A" w:rsidRDefault="00F96075" w:rsidP="003E3396">
            <w:pPr>
              <w:spacing w:after="0"/>
              <w:rPr>
                <w:noProof/>
                <w:lang w:val="en-IE"/>
              </w:rPr>
            </w:pPr>
            <w:r w:rsidRPr="00280F0A">
              <w:rPr>
                <w:noProof/>
                <w:lang w:val="en-IE"/>
              </w:rPr>
              <w:t>CDN</w:t>
            </w:r>
          </w:p>
        </w:tc>
        <w:tc>
          <w:tcPr>
            <w:tcW w:w="2548" w:type="dxa"/>
          </w:tcPr>
          <w:p w14:paraId="67C5F857" w14:textId="77777777" w:rsidR="00F96075" w:rsidRPr="00280F0A" w:rsidRDefault="00F96075" w:rsidP="003E3396">
            <w:pPr>
              <w:spacing w:after="0"/>
              <w:rPr>
                <w:noProof/>
                <w:lang w:val="en-IE"/>
              </w:rPr>
            </w:pPr>
            <w:r w:rsidRPr="00280F0A">
              <w:rPr>
                <w:noProof/>
                <w:lang w:val="en-IE"/>
              </w:rPr>
              <w:t>IaaS/Net</w:t>
            </w:r>
            <w:r w:rsidRPr="00AF6757">
              <w:rPr>
                <w:noProof/>
                <w:lang w:val="en-IE"/>
              </w:rPr>
              <w:t>work</w:t>
            </w:r>
          </w:p>
        </w:tc>
        <w:tc>
          <w:tcPr>
            <w:tcW w:w="1813" w:type="dxa"/>
          </w:tcPr>
          <w:p w14:paraId="30D50363" w14:textId="77777777" w:rsidR="00F96075" w:rsidRPr="00280F0A" w:rsidRDefault="00F96075" w:rsidP="003E3396">
            <w:pPr>
              <w:spacing w:after="0"/>
              <w:rPr>
                <w:noProof/>
                <w:lang w:val="en-IE"/>
              </w:rPr>
            </w:pPr>
            <w:r w:rsidRPr="00280F0A">
              <w:rPr>
                <w:noProof/>
                <w:lang w:val="en-IE"/>
              </w:rPr>
              <w:t>Partial</w:t>
            </w:r>
          </w:p>
        </w:tc>
      </w:tr>
      <w:tr w:rsidR="00907619" w14:paraId="3D4A9384" w14:textId="77777777" w:rsidTr="003E3396">
        <w:tc>
          <w:tcPr>
            <w:tcW w:w="4248" w:type="dxa"/>
          </w:tcPr>
          <w:p w14:paraId="67E6FBCA" w14:textId="0D66CE1A" w:rsidR="00F96075" w:rsidRPr="00280F0A" w:rsidRDefault="00F96075" w:rsidP="003E3396">
            <w:pPr>
              <w:spacing w:after="0"/>
              <w:rPr>
                <w:noProof/>
                <w:lang w:val="en-IE"/>
              </w:rPr>
            </w:pPr>
            <w:r w:rsidRPr="00280F0A">
              <w:rPr>
                <w:noProof/>
                <w:lang w:val="en-IE"/>
              </w:rPr>
              <w:t xml:space="preserve">Managed </w:t>
            </w:r>
            <w:r w:rsidR="00487C5A">
              <w:rPr>
                <w:noProof/>
                <w:lang w:val="en-IE"/>
              </w:rPr>
              <w:t>containers / containers</w:t>
            </w:r>
            <w:r w:rsidRPr="00280F0A">
              <w:rPr>
                <w:noProof/>
                <w:lang w:val="en-IE"/>
              </w:rPr>
              <w:t xml:space="preserve"> (</w:t>
            </w:r>
            <w:r>
              <w:rPr>
                <w:noProof/>
                <w:lang w:val="en-IE"/>
              </w:rPr>
              <w:t xml:space="preserve">Container as a Service - </w:t>
            </w:r>
            <w:r w:rsidRPr="00280F0A">
              <w:rPr>
                <w:noProof/>
                <w:lang w:val="en-IE"/>
              </w:rPr>
              <w:t>CaaS)</w:t>
            </w:r>
          </w:p>
        </w:tc>
        <w:tc>
          <w:tcPr>
            <w:tcW w:w="2548" w:type="dxa"/>
          </w:tcPr>
          <w:p w14:paraId="23566A66" w14:textId="77777777" w:rsidR="00F96075" w:rsidRPr="00280F0A" w:rsidRDefault="00F96075" w:rsidP="003E3396">
            <w:pPr>
              <w:spacing w:after="0"/>
              <w:rPr>
                <w:noProof/>
                <w:lang w:val="en-IE"/>
              </w:rPr>
            </w:pPr>
            <w:r w:rsidRPr="00280F0A">
              <w:rPr>
                <w:noProof/>
                <w:lang w:val="en-IE"/>
              </w:rPr>
              <w:t>PaaS</w:t>
            </w:r>
          </w:p>
        </w:tc>
        <w:tc>
          <w:tcPr>
            <w:tcW w:w="1813" w:type="dxa"/>
          </w:tcPr>
          <w:p w14:paraId="453C81C1" w14:textId="77777777" w:rsidR="00F96075" w:rsidRPr="00280F0A" w:rsidRDefault="00F96075" w:rsidP="003E3396">
            <w:pPr>
              <w:spacing w:after="0"/>
              <w:rPr>
                <w:noProof/>
                <w:lang w:val="en-IE"/>
              </w:rPr>
            </w:pPr>
            <w:r w:rsidRPr="00280F0A">
              <w:rPr>
                <w:noProof/>
                <w:lang w:val="en-IE"/>
              </w:rPr>
              <w:t>Full</w:t>
            </w:r>
          </w:p>
        </w:tc>
      </w:tr>
      <w:tr w:rsidR="00907619" w14:paraId="14E915C3" w14:textId="77777777" w:rsidTr="003E3396">
        <w:tc>
          <w:tcPr>
            <w:tcW w:w="4248" w:type="dxa"/>
          </w:tcPr>
          <w:p w14:paraId="710A16F3" w14:textId="77777777" w:rsidR="00F96075" w:rsidRPr="00280F0A" w:rsidRDefault="00F96075" w:rsidP="003E3396">
            <w:pPr>
              <w:spacing w:after="0"/>
              <w:rPr>
                <w:noProof/>
                <w:lang w:val="en-IE"/>
              </w:rPr>
            </w:pPr>
            <w:r w:rsidRPr="00280F0A">
              <w:rPr>
                <w:noProof/>
                <w:lang w:val="en-IE"/>
              </w:rPr>
              <w:t>Managed PostgreSQL/MySQL</w:t>
            </w:r>
          </w:p>
        </w:tc>
        <w:tc>
          <w:tcPr>
            <w:tcW w:w="2548" w:type="dxa"/>
          </w:tcPr>
          <w:p w14:paraId="2B1F6CFA" w14:textId="77777777" w:rsidR="00F96075" w:rsidRPr="00280F0A" w:rsidRDefault="00F96075" w:rsidP="003E3396">
            <w:pPr>
              <w:spacing w:after="0"/>
              <w:rPr>
                <w:noProof/>
                <w:lang w:val="en-IE"/>
              </w:rPr>
            </w:pPr>
            <w:r w:rsidRPr="00280F0A">
              <w:rPr>
                <w:noProof/>
                <w:lang w:val="en-IE"/>
              </w:rPr>
              <w:t>PaaS</w:t>
            </w:r>
          </w:p>
        </w:tc>
        <w:tc>
          <w:tcPr>
            <w:tcW w:w="1813" w:type="dxa"/>
          </w:tcPr>
          <w:p w14:paraId="6FA480AB" w14:textId="77777777" w:rsidR="00F96075" w:rsidRPr="00280F0A" w:rsidRDefault="00F96075" w:rsidP="003E3396">
            <w:pPr>
              <w:spacing w:after="0"/>
              <w:rPr>
                <w:noProof/>
                <w:lang w:val="en-IE"/>
              </w:rPr>
            </w:pPr>
            <w:r w:rsidRPr="00280F0A">
              <w:rPr>
                <w:noProof/>
                <w:lang w:val="en-IE"/>
              </w:rPr>
              <w:t>Full</w:t>
            </w:r>
          </w:p>
        </w:tc>
      </w:tr>
      <w:tr w:rsidR="00907619" w14:paraId="5A8B18D6" w14:textId="77777777" w:rsidTr="003E3396">
        <w:tc>
          <w:tcPr>
            <w:tcW w:w="4248" w:type="dxa"/>
          </w:tcPr>
          <w:p w14:paraId="4CF49435" w14:textId="77777777" w:rsidR="00F96075" w:rsidRPr="00280F0A" w:rsidRDefault="00F96075" w:rsidP="003E3396">
            <w:pPr>
              <w:spacing w:after="0"/>
              <w:rPr>
                <w:noProof/>
                <w:lang w:val="en-IE"/>
              </w:rPr>
            </w:pPr>
            <w:r w:rsidRPr="00280F0A">
              <w:rPr>
                <w:noProof/>
                <w:lang w:val="en-IE"/>
              </w:rPr>
              <w:t>Managed NoSQL / MongoDB</w:t>
            </w:r>
          </w:p>
        </w:tc>
        <w:tc>
          <w:tcPr>
            <w:tcW w:w="2548" w:type="dxa"/>
          </w:tcPr>
          <w:p w14:paraId="5DE6A233" w14:textId="77777777" w:rsidR="00F96075" w:rsidRPr="00280F0A" w:rsidRDefault="00F96075" w:rsidP="003E3396">
            <w:pPr>
              <w:spacing w:after="0"/>
              <w:rPr>
                <w:noProof/>
                <w:lang w:val="en-IE"/>
              </w:rPr>
            </w:pPr>
            <w:r w:rsidRPr="00280F0A">
              <w:rPr>
                <w:noProof/>
                <w:lang w:val="en-IE"/>
              </w:rPr>
              <w:t>PaaS</w:t>
            </w:r>
          </w:p>
        </w:tc>
        <w:tc>
          <w:tcPr>
            <w:tcW w:w="1813" w:type="dxa"/>
          </w:tcPr>
          <w:p w14:paraId="73E95C69" w14:textId="5CCA16C7" w:rsidR="00F96075" w:rsidRPr="00280F0A" w:rsidRDefault="002622D7" w:rsidP="003E3396">
            <w:pPr>
              <w:spacing w:after="0"/>
              <w:rPr>
                <w:noProof/>
                <w:lang w:val="en-IE"/>
              </w:rPr>
            </w:pPr>
            <w:r>
              <w:rPr>
                <w:noProof/>
                <w:lang w:val="en-IE"/>
              </w:rPr>
              <w:t>Full</w:t>
            </w:r>
          </w:p>
        </w:tc>
      </w:tr>
      <w:tr w:rsidR="00907619" w14:paraId="3CBDE8FA" w14:textId="77777777" w:rsidTr="003E3396">
        <w:tc>
          <w:tcPr>
            <w:tcW w:w="4248" w:type="dxa"/>
          </w:tcPr>
          <w:p w14:paraId="2544AAC7" w14:textId="77777777" w:rsidR="00F96075" w:rsidRPr="00280F0A" w:rsidRDefault="00F96075" w:rsidP="003E3396">
            <w:pPr>
              <w:spacing w:after="0"/>
              <w:rPr>
                <w:noProof/>
                <w:lang w:val="en-IE"/>
              </w:rPr>
            </w:pPr>
            <w:r w:rsidRPr="00280F0A">
              <w:rPr>
                <w:noProof/>
                <w:lang w:val="en-IE"/>
              </w:rPr>
              <w:t>Managed Kafka / Streaming</w:t>
            </w:r>
          </w:p>
        </w:tc>
        <w:tc>
          <w:tcPr>
            <w:tcW w:w="2548" w:type="dxa"/>
          </w:tcPr>
          <w:p w14:paraId="56585062" w14:textId="77777777" w:rsidR="00F96075" w:rsidRPr="00280F0A" w:rsidRDefault="00F96075" w:rsidP="003E3396">
            <w:pPr>
              <w:spacing w:after="0"/>
              <w:rPr>
                <w:noProof/>
                <w:lang w:val="en-IE"/>
              </w:rPr>
            </w:pPr>
            <w:r w:rsidRPr="00280F0A">
              <w:rPr>
                <w:noProof/>
                <w:lang w:val="en-IE"/>
              </w:rPr>
              <w:t>PaaS</w:t>
            </w:r>
          </w:p>
        </w:tc>
        <w:tc>
          <w:tcPr>
            <w:tcW w:w="1813" w:type="dxa"/>
          </w:tcPr>
          <w:p w14:paraId="1510B35E" w14:textId="77777777" w:rsidR="00F96075" w:rsidRPr="00280F0A" w:rsidRDefault="00F96075" w:rsidP="003E3396">
            <w:pPr>
              <w:spacing w:after="0"/>
              <w:rPr>
                <w:noProof/>
                <w:lang w:val="en-IE"/>
              </w:rPr>
            </w:pPr>
            <w:r w:rsidRPr="00280F0A">
              <w:rPr>
                <w:noProof/>
                <w:lang w:val="en-IE"/>
              </w:rPr>
              <w:t>Full</w:t>
            </w:r>
          </w:p>
        </w:tc>
      </w:tr>
      <w:tr w:rsidR="00907619" w14:paraId="646D6C52" w14:textId="77777777" w:rsidTr="003E3396">
        <w:tc>
          <w:tcPr>
            <w:tcW w:w="4248" w:type="dxa"/>
          </w:tcPr>
          <w:p w14:paraId="5C9F91C4" w14:textId="77777777" w:rsidR="00F96075" w:rsidRPr="00280F0A" w:rsidRDefault="00F96075" w:rsidP="003E3396">
            <w:pPr>
              <w:spacing w:after="0"/>
              <w:rPr>
                <w:noProof/>
                <w:lang w:val="en-IE"/>
              </w:rPr>
            </w:pPr>
            <w:r w:rsidRPr="00280F0A">
              <w:rPr>
                <w:noProof/>
                <w:lang w:val="en-IE"/>
              </w:rPr>
              <w:t>Serverless Functions (FaaS)</w:t>
            </w:r>
          </w:p>
        </w:tc>
        <w:tc>
          <w:tcPr>
            <w:tcW w:w="2548" w:type="dxa"/>
          </w:tcPr>
          <w:p w14:paraId="70A7E8F6" w14:textId="77777777" w:rsidR="00F96075" w:rsidRPr="00280F0A" w:rsidRDefault="00F96075" w:rsidP="003E3396">
            <w:pPr>
              <w:spacing w:after="0"/>
              <w:rPr>
                <w:noProof/>
                <w:lang w:val="en-IE"/>
              </w:rPr>
            </w:pPr>
            <w:r w:rsidRPr="00280F0A">
              <w:rPr>
                <w:noProof/>
                <w:lang w:val="en-IE"/>
              </w:rPr>
              <w:t>PaaS</w:t>
            </w:r>
          </w:p>
        </w:tc>
        <w:tc>
          <w:tcPr>
            <w:tcW w:w="1813" w:type="dxa"/>
          </w:tcPr>
          <w:p w14:paraId="74A1209F" w14:textId="77777777" w:rsidR="00F96075" w:rsidRPr="00280F0A" w:rsidRDefault="00F96075" w:rsidP="003E3396">
            <w:pPr>
              <w:spacing w:after="0"/>
              <w:rPr>
                <w:noProof/>
                <w:lang w:val="en-IE"/>
              </w:rPr>
            </w:pPr>
            <w:r w:rsidRPr="00280F0A">
              <w:rPr>
                <w:noProof/>
                <w:lang w:val="en-IE"/>
              </w:rPr>
              <w:t>Partial</w:t>
            </w:r>
          </w:p>
        </w:tc>
      </w:tr>
      <w:tr w:rsidR="00907619" w14:paraId="28EEDCEB" w14:textId="77777777" w:rsidTr="003E3396">
        <w:tc>
          <w:tcPr>
            <w:tcW w:w="4248" w:type="dxa"/>
          </w:tcPr>
          <w:p w14:paraId="54E169AB" w14:textId="77777777" w:rsidR="00F96075" w:rsidRPr="00280F0A" w:rsidRDefault="00F96075" w:rsidP="003E3396">
            <w:pPr>
              <w:spacing w:after="0"/>
              <w:rPr>
                <w:noProof/>
                <w:lang w:val="en-IE"/>
              </w:rPr>
            </w:pPr>
            <w:r w:rsidRPr="00280F0A">
              <w:rPr>
                <w:noProof/>
                <w:lang w:val="en-IE"/>
              </w:rPr>
              <w:t>Serverless Containers</w:t>
            </w:r>
          </w:p>
        </w:tc>
        <w:tc>
          <w:tcPr>
            <w:tcW w:w="2548" w:type="dxa"/>
          </w:tcPr>
          <w:p w14:paraId="669FA3D4" w14:textId="77777777" w:rsidR="00F96075" w:rsidRPr="00280F0A" w:rsidRDefault="00F96075" w:rsidP="003E3396">
            <w:pPr>
              <w:spacing w:after="0"/>
              <w:rPr>
                <w:noProof/>
                <w:lang w:val="en-IE"/>
              </w:rPr>
            </w:pPr>
            <w:r w:rsidRPr="00280F0A">
              <w:rPr>
                <w:noProof/>
                <w:lang w:val="en-IE"/>
              </w:rPr>
              <w:t>PaaS</w:t>
            </w:r>
          </w:p>
        </w:tc>
        <w:tc>
          <w:tcPr>
            <w:tcW w:w="1813" w:type="dxa"/>
          </w:tcPr>
          <w:p w14:paraId="155CECA3" w14:textId="77777777" w:rsidR="00F96075" w:rsidRPr="00280F0A" w:rsidRDefault="00F96075" w:rsidP="003E3396">
            <w:pPr>
              <w:spacing w:after="0"/>
              <w:rPr>
                <w:noProof/>
                <w:lang w:val="en-IE"/>
              </w:rPr>
            </w:pPr>
            <w:r w:rsidRPr="00280F0A">
              <w:rPr>
                <w:noProof/>
                <w:lang w:val="en-IE"/>
              </w:rPr>
              <w:t>Partial</w:t>
            </w:r>
          </w:p>
        </w:tc>
      </w:tr>
      <w:tr w:rsidR="00907619" w14:paraId="40A4384F" w14:textId="77777777" w:rsidTr="003E3396">
        <w:tc>
          <w:tcPr>
            <w:tcW w:w="4248" w:type="dxa"/>
          </w:tcPr>
          <w:p w14:paraId="6E9DE395" w14:textId="77777777" w:rsidR="00F96075" w:rsidRPr="00280F0A" w:rsidRDefault="00F96075" w:rsidP="003E3396">
            <w:pPr>
              <w:spacing w:after="0"/>
              <w:rPr>
                <w:noProof/>
                <w:lang w:val="en-IE"/>
              </w:rPr>
            </w:pPr>
            <w:r w:rsidRPr="00280F0A">
              <w:rPr>
                <w:noProof/>
                <w:lang w:val="en-IE"/>
              </w:rPr>
              <w:t>AI/ML Training Platforms</w:t>
            </w:r>
          </w:p>
        </w:tc>
        <w:tc>
          <w:tcPr>
            <w:tcW w:w="2548" w:type="dxa"/>
          </w:tcPr>
          <w:p w14:paraId="3A30BE85" w14:textId="77777777" w:rsidR="00F96075" w:rsidRPr="00280F0A" w:rsidRDefault="00F96075" w:rsidP="003E3396">
            <w:pPr>
              <w:spacing w:after="0"/>
              <w:rPr>
                <w:noProof/>
                <w:lang w:val="en-IE"/>
              </w:rPr>
            </w:pPr>
            <w:r w:rsidRPr="00280F0A">
              <w:rPr>
                <w:noProof/>
                <w:lang w:val="en-IE"/>
              </w:rPr>
              <w:t>PaaS</w:t>
            </w:r>
          </w:p>
        </w:tc>
        <w:tc>
          <w:tcPr>
            <w:tcW w:w="1813" w:type="dxa"/>
          </w:tcPr>
          <w:p w14:paraId="7B09C3AA" w14:textId="77777777" w:rsidR="00F96075" w:rsidRPr="00280F0A" w:rsidRDefault="00F96075" w:rsidP="003E3396">
            <w:pPr>
              <w:spacing w:after="0"/>
              <w:rPr>
                <w:noProof/>
                <w:lang w:val="en-IE"/>
              </w:rPr>
            </w:pPr>
            <w:r w:rsidRPr="00280F0A">
              <w:rPr>
                <w:noProof/>
                <w:lang w:val="en-IE"/>
              </w:rPr>
              <w:t>Partial</w:t>
            </w:r>
          </w:p>
        </w:tc>
      </w:tr>
      <w:tr w:rsidR="00907619" w14:paraId="2EB6F948" w14:textId="77777777" w:rsidTr="003E3396">
        <w:tc>
          <w:tcPr>
            <w:tcW w:w="4248" w:type="dxa"/>
          </w:tcPr>
          <w:p w14:paraId="771109BC" w14:textId="77777777" w:rsidR="00F96075" w:rsidRPr="00280F0A" w:rsidRDefault="00F96075" w:rsidP="003E3396">
            <w:pPr>
              <w:spacing w:after="0"/>
              <w:rPr>
                <w:noProof/>
                <w:lang w:val="en-IE"/>
              </w:rPr>
            </w:pPr>
            <w:r w:rsidRPr="00280F0A">
              <w:rPr>
                <w:noProof/>
                <w:lang w:val="en-IE"/>
              </w:rPr>
              <w:t>Managed AI Inference</w:t>
            </w:r>
          </w:p>
        </w:tc>
        <w:tc>
          <w:tcPr>
            <w:tcW w:w="2548" w:type="dxa"/>
          </w:tcPr>
          <w:p w14:paraId="63AF65BC" w14:textId="77777777" w:rsidR="00F96075" w:rsidRPr="00280F0A" w:rsidRDefault="00F96075" w:rsidP="003E3396">
            <w:pPr>
              <w:spacing w:after="0"/>
              <w:rPr>
                <w:noProof/>
                <w:lang w:val="en-IE"/>
              </w:rPr>
            </w:pPr>
            <w:r w:rsidRPr="00280F0A">
              <w:rPr>
                <w:noProof/>
                <w:lang w:val="en-IE"/>
              </w:rPr>
              <w:t>PaaS</w:t>
            </w:r>
          </w:p>
        </w:tc>
        <w:tc>
          <w:tcPr>
            <w:tcW w:w="1813" w:type="dxa"/>
          </w:tcPr>
          <w:p w14:paraId="5ADEC1A0" w14:textId="77777777" w:rsidR="00F96075" w:rsidRPr="00280F0A" w:rsidRDefault="00F96075" w:rsidP="003E3396">
            <w:pPr>
              <w:spacing w:after="0"/>
              <w:rPr>
                <w:noProof/>
                <w:lang w:val="en-IE"/>
              </w:rPr>
            </w:pPr>
            <w:r w:rsidRPr="00280F0A">
              <w:rPr>
                <w:noProof/>
                <w:lang w:val="en-IE"/>
              </w:rPr>
              <w:t>Partial</w:t>
            </w:r>
          </w:p>
        </w:tc>
      </w:tr>
      <w:tr w:rsidR="00907619" w14:paraId="00BFCB63" w14:textId="77777777" w:rsidTr="003E3396">
        <w:tc>
          <w:tcPr>
            <w:tcW w:w="4248" w:type="dxa"/>
          </w:tcPr>
          <w:p w14:paraId="3C86170C" w14:textId="77777777" w:rsidR="00F96075" w:rsidRPr="00280F0A" w:rsidRDefault="00F96075" w:rsidP="003E3396">
            <w:pPr>
              <w:spacing w:after="0"/>
              <w:rPr>
                <w:noProof/>
                <w:lang w:val="en-IE"/>
              </w:rPr>
            </w:pPr>
            <w:r w:rsidRPr="00280F0A">
              <w:rPr>
                <w:noProof/>
                <w:lang w:val="en-IE"/>
              </w:rPr>
              <w:t>ERP</w:t>
            </w:r>
          </w:p>
        </w:tc>
        <w:tc>
          <w:tcPr>
            <w:tcW w:w="2548" w:type="dxa"/>
          </w:tcPr>
          <w:p w14:paraId="7F2F03AB" w14:textId="77777777" w:rsidR="00F96075" w:rsidRPr="00280F0A" w:rsidRDefault="00F96075" w:rsidP="003E3396">
            <w:pPr>
              <w:spacing w:after="0"/>
              <w:rPr>
                <w:noProof/>
                <w:lang w:val="en-IE"/>
              </w:rPr>
            </w:pPr>
            <w:r w:rsidRPr="00280F0A">
              <w:rPr>
                <w:noProof/>
                <w:lang w:val="en-IE"/>
              </w:rPr>
              <w:t>SaaS</w:t>
            </w:r>
          </w:p>
        </w:tc>
        <w:tc>
          <w:tcPr>
            <w:tcW w:w="1813" w:type="dxa"/>
          </w:tcPr>
          <w:p w14:paraId="49ACAEEE" w14:textId="77777777" w:rsidR="00F96075" w:rsidRPr="00280F0A" w:rsidRDefault="00F96075" w:rsidP="003E3396">
            <w:pPr>
              <w:spacing w:after="0"/>
              <w:rPr>
                <w:noProof/>
                <w:lang w:val="en-IE"/>
              </w:rPr>
            </w:pPr>
            <w:r w:rsidRPr="00280F0A">
              <w:rPr>
                <w:noProof/>
                <w:lang w:val="en-IE"/>
              </w:rPr>
              <w:t>Full</w:t>
            </w:r>
          </w:p>
        </w:tc>
      </w:tr>
      <w:tr w:rsidR="00907619" w14:paraId="71E7FEE7" w14:textId="77777777" w:rsidTr="003E3396">
        <w:tc>
          <w:tcPr>
            <w:tcW w:w="4248" w:type="dxa"/>
          </w:tcPr>
          <w:p w14:paraId="58EA5028" w14:textId="4A929168" w:rsidR="00F96075" w:rsidRPr="00280F0A" w:rsidRDefault="00AA4CB1" w:rsidP="003E3396">
            <w:pPr>
              <w:spacing w:after="0"/>
              <w:rPr>
                <w:noProof/>
                <w:lang w:val="en-IE"/>
              </w:rPr>
            </w:pPr>
            <w:r>
              <w:rPr>
                <w:noProof/>
                <w:lang w:val="en-IE"/>
              </w:rPr>
              <w:t xml:space="preserve">Office automation / </w:t>
            </w:r>
            <w:r w:rsidR="00F96075" w:rsidRPr="00280F0A">
              <w:rPr>
                <w:noProof/>
                <w:lang w:val="en-IE"/>
              </w:rPr>
              <w:t>Collaboration / Messaging</w:t>
            </w:r>
          </w:p>
        </w:tc>
        <w:tc>
          <w:tcPr>
            <w:tcW w:w="2548" w:type="dxa"/>
          </w:tcPr>
          <w:p w14:paraId="3011FB68" w14:textId="77777777" w:rsidR="00F96075" w:rsidRPr="00280F0A" w:rsidRDefault="00F96075" w:rsidP="003E3396">
            <w:pPr>
              <w:spacing w:after="0"/>
              <w:rPr>
                <w:noProof/>
                <w:lang w:val="en-IE"/>
              </w:rPr>
            </w:pPr>
            <w:r w:rsidRPr="00280F0A">
              <w:rPr>
                <w:noProof/>
                <w:lang w:val="en-IE"/>
              </w:rPr>
              <w:t>SaaS</w:t>
            </w:r>
          </w:p>
        </w:tc>
        <w:tc>
          <w:tcPr>
            <w:tcW w:w="1813" w:type="dxa"/>
          </w:tcPr>
          <w:p w14:paraId="3CE680CD" w14:textId="77777777" w:rsidR="00F96075" w:rsidRPr="00280F0A" w:rsidRDefault="00F96075" w:rsidP="003E3396">
            <w:pPr>
              <w:spacing w:after="0"/>
              <w:rPr>
                <w:noProof/>
                <w:lang w:val="en-IE"/>
              </w:rPr>
            </w:pPr>
            <w:r w:rsidRPr="00280F0A">
              <w:rPr>
                <w:noProof/>
                <w:lang w:val="en-IE"/>
              </w:rPr>
              <w:t>Full</w:t>
            </w:r>
          </w:p>
        </w:tc>
      </w:tr>
    </w:tbl>
    <w:p w14:paraId="03C28640" w14:textId="3C8A1909" w:rsidR="008B7103" w:rsidRDefault="008B7103" w:rsidP="00EB70DA">
      <w:pPr>
        <w:rPr>
          <w:noProof/>
          <w:lang w:val="en-IE"/>
        </w:rPr>
      </w:pPr>
    </w:p>
    <w:p w14:paraId="140DE7C2" w14:textId="77777777" w:rsidR="00487C5A" w:rsidRDefault="00B155EE" w:rsidP="00EB70DA">
      <w:pPr>
        <w:rPr>
          <w:noProof/>
          <w:lang w:val="en-IE"/>
        </w:rPr>
      </w:pPr>
      <w:r>
        <w:rPr>
          <w:noProof/>
          <w:lang w:val="en-IE"/>
        </w:rPr>
        <w:t xml:space="preserve">The second </w:t>
      </w:r>
      <w:r w:rsidR="00875844">
        <w:rPr>
          <w:noProof/>
          <w:lang w:val="en-IE"/>
        </w:rPr>
        <w:t xml:space="preserve">set of </w:t>
      </w:r>
      <w:r>
        <w:rPr>
          <w:noProof/>
          <w:lang w:val="en-IE"/>
        </w:rPr>
        <w:t>table</w:t>
      </w:r>
      <w:r w:rsidR="00875844">
        <w:rPr>
          <w:noProof/>
          <w:lang w:val="en-IE"/>
        </w:rPr>
        <w:t>s</w:t>
      </w:r>
      <w:r>
        <w:rPr>
          <w:noProof/>
          <w:lang w:val="en-IE"/>
        </w:rPr>
        <w:t xml:space="preserve"> provide a much more </w:t>
      </w:r>
      <w:r w:rsidR="00875844">
        <w:rPr>
          <w:noProof/>
          <w:lang w:val="en-IE"/>
        </w:rPr>
        <w:t>granular</w:t>
      </w:r>
      <w:r>
        <w:rPr>
          <w:noProof/>
          <w:lang w:val="en-IE"/>
        </w:rPr>
        <w:t xml:space="preserve"> analysis</w:t>
      </w:r>
      <w:r w:rsidR="00875844">
        <w:rPr>
          <w:noProof/>
          <w:lang w:val="en-IE"/>
        </w:rPr>
        <w:t xml:space="preserve"> comparing</w:t>
      </w:r>
      <w:r w:rsidR="002C4F28">
        <w:rPr>
          <w:noProof/>
          <w:lang w:val="en-IE"/>
        </w:rPr>
        <w:t xml:space="preserve"> per feature</w:t>
      </w:r>
      <w:r>
        <w:rPr>
          <w:noProof/>
          <w:lang w:val="en-IE"/>
        </w:rPr>
        <w:t xml:space="preserve"> </w:t>
      </w:r>
      <w:r w:rsidR="00487C5A">
        <w:rPr>
          <w:noProof/>
          <w:lang w:val="en-IE"/>
        </w:rPr>
        <w:t>five of the widest adopted services: compute, storage, network, managed containers and office automation tools</w:t>
      </w:r>
      <w:r w:rsidR="00F226B7">
        <w:rPr>
          <w:noProof/>
          <w:lang w:val="en-IE"/>
        </w:rPr>
        <w:t xml:space="preserve">. </w:t>
      </w:r>
    </w:p>
    <w:p w14:paraId="2593446E" w14:textId="77777777" w:rsidR="00487C5A" w:rsidRDefault="00F226B7" w:rsidP="00EB70DA">
      <w:pPr>
        <w:rPr>
          <w:noProof/>
          <w:lang w:val="en-IE"/>
        </w:rPr>
      </w:pPr>
      <w:r>
        <w:rPr>
          <w:noProof/>
          <w:lang w:val="en-IE"/>
        </w:rPr>
        <w:t>A sample of EU providers have been selected</w:t>
      </w:r>
      <w:r w:rsidR="00345CE4">
        <w:rPr>
          <w:noProof/>
          <w:lang w:val="en-IE"/>
        </w:rPr>
        <w:t xml:space="preserve"> to demonstrate that</w:t>
      </w:r>
      <w:r w:rsidR="00F95FCD">
        <w:rPr>
          <w:noProof/>
          <w:lang w:val="en-IE"/>
        </w:rPr>
        <w:t>,</w:t>
      </w:r>
      <w:r w:rsidR="00345CE4">
        <w:rPr>
          <w:noProof/>
          <w:lang w:val="en-IE"/>
        </w:rPr>
        <w:t xml:space="preserve"> also </w:t>
      </w:r>
      <w:r w:rsidR="00F95FCD">
        <w:rPr>
          <w:noProof/>
          <w:lang w:val="en-IE"/>
        </w:rPr>
        <w:t xml:space="preserve">when analysing </w:t>
      </w:r>
      <w:r w:rsidR="00345CE4">
        <w:rPr>
          <w:noProof/>
          <w:lang w:val="en-IE"/>
        </w:rPr>
        <w:t xml:space="preserve">per </w:t>
      </w:r>
      <w:r w:rsidR="00F95FCD">
        <w:rPr>
          <w:noProof/>
          <w:lang w:val="en-IE"/>
        </w:rPr>
        <w:t>functionality</w:t>
      </w:r>
      <w:r w:rsidR="00345CE4">
        <w:rPr>
          <w:noProof/>
          <w:lang w:val="en-IE"/>
        </w:rPr>
        <w:t>, European providers</w:t>
      </w:r>
      <w:r w:rsidR="00F531B1">
        <w:rPr>
          <w:noProof/>
          <w:lang w:val="en-IE"/>
        </w:rPr>
        <w:t>’ offer</w:t>
      </w:r>
      <w:r w:rsidR="00487C5A">
        <w:rPr>
          <w:noProof/>
          <w:lang w:val="en-IE"/>
        </w:rPr>
        <w:t>ing</w:t>
      </w:r>
      <w:r w:rsidR="00F531B1">
        <w:rPr>
          <w:noProof/>
          <w:lang w:val="en-IE"/>
        </w:rPr>
        <w:t xml:space="preserve">s are equivalent to those </w:t>
      </w:r>
      <w:r w:rsidR="00487C5A">
        <w:rPr>
          <w:noProof/>
          <w:lang w:val="en-IE"/>
        </w:rPr>
        <w:t xml:space="preserve">provided by </w:t>
      </w:r>
      <w:r w:rsidR="00F531B1">
        <w:rPr>
          <w:noProof/>
          <w:lang w:val="en-IE"/>
        </w:rPr>
        <w:t>non-EU</w:t>
      </w:r>
      <w:r w:rsidR="00487C5A">
        <w:rPr>
          <w:noProof/>
          <w:lang w:val="en-IE"/>
        </w:rPr>
        <w:t xml:space="preserve"> incumbents</w:t>
      </w:r>
      <w:r w:rsidR="00F531B1">
        <w:rPr>
          <w:noProof/>
          <w:lang w:val="en-IE"/>
        </w:rPr>
        <w:t xml:space="preserve">. </w:t>
      </w:r>
    </w:p>
    <w:p w14:paraId="6B033344" w14:textId="17F8243F" w:rsidR="00EB70DA" w:rsidRPr="00EB70DA" w:rsidRDefault="00F531B1" w:rsidP="00EB70DA">
      <w:pPr>
        <w:rPr>
          <w:noProof/>
          <w:lang w:val="en-IE"/>
        </w:rPr>
      </w:pPr>
      <w:r>
        <w:rPr>
          <w:noProof/>
          <w:lang w:val="en-IE"/>
        </w:rPr>
        <w:t>This analysis</w:t>
      </w:r>
      <w:r w:rsidR="00EB70DA" w:rsidRPr="00EB70DA">
        <w:rPr>
          <w:noProof/>
          <w:lang w:val="en-IE"/>
        </w:rPr>
        <w:t xml:space="preserve"> is based on desktop research, </w:t>
      </w:r>
      <w:r w:rsidR="000B4E5A">
        <w:rPr>
          <w:noProof/>
          <w:lang w:val="en-IE"/>
        </w:rPr>
        <w:t>more</w:t>
      </w:r>
      <w:r w:rsidR="00EB70DA" w:rsidRPr="00EB70DA">
        <w:rPr>
          <w:noProof/>
          <w:lang w:val="en-IE"/>
        </w:rPr>
        <w:t xml:space="preserve"> specifically, through a </w:t>
      </w:r>
      <w:r w:rsidR="00DE4120">
        <w:rPr>
          <w:noProof/>
          <w:lang w:val="en-IE"/>
        </w:rPr>
        <w:t>manual</w:t>
      </w:r>
      <w:r w:rsidR="00EB70DA" w:rsidRPr="00EB70DA">
        <w:rPr>
          <w:noProof/>
          <w:lang w:val="en-IE"/>
        </w:rPr>
        <w:t xml:space="preserve"> review of each provider's official user guides, technical documentation, and </w:t>
      </w:r>
      <w:r w:rsidR="00DE4120">
        <w:rPr>
          <w:noProof/>
          <w:lang w:val="en-IE"/>
        </w:rPr>
        <w:t>online</w:t>
      </w:r>
      <w:r w:rsidR="00EB70DA" w:rsidRPr="00EB70DA">
        <w:rPr>
          <w:noProof/>
          <w:lang w:val="en-IE"/>
        </w:rPr>
        <w:t xml:space="preserve"> manuals. Where a service appeared to fulfil the same functionality as its counterpart, but the documentation did not allow for </w:t>
      </w:r>
      <w:r w:rsidR="00233FC0">
        <w:rPr>
          <w:noProof/>
          <w:lang w:val="en-IE"/>
        </w:rPr>
        <w:t>an</w:t>
      </w:r>
      <w:r w:rsidR="00EB70DA" w:rsidRPr="00EB70DA">
        <w:rPr>
          <w:noProof/>
          <w:lang w:val="en-IE"/>
        </w:rPr>
        <w:t xml:space="preserve"> unambiguous confirmation, the mapping has been marked as partial rather than full. This conservative approach reflects an inherent limitation of the methodology: the analysis is theoretical in nature, derived from published specifications rather than </w:t>
      </w:r>
      <w:r w:rsidR="00233FC0">
        <w:rPr>
          <w:noProof/>
          <w:lang w:val="en-IE"/>
        </w:rPr>
        <w:t>from</w:t>
      </w:r>
      <w:r w:rsidR="00EB70DA" w:rsidRPr="00EB70DA">
        <w:rPr>
          <w:noProof/>
          <w:lang w:val="en-IE"/>
        </w:rPr>
        <w:t xml:space="preserve"> hands-on testing or validated benchmarking. </w:t>
      </w:r>
    </w:p>
    <w:p w14:paraId="217DC104" w14:textId="71CFAC84" w:rsidR="00C8704C" w:rsidRDefault="00C8704C">
      <w:pPr>
        <w:pStyle w:val="Caption"/>
        <w:rPr>
          <w:noProof/>
          <w:u w:val="single"/>
        </w:rPr>
      </w:pPr>
      <w:r>
        <w:rPr>
          <w:noProof/>
        </w:rPr>
        <w:t xml:space="preserve">Table </w:t>
      </w:r>
      <w:r>
        <w:rPr>
          <w:noProof/>
        </w:rPr>
        <w:fldChar w:fldCharType="begin"/>
      </w:r>
      <w:r>
        <w:rPr>
          <w:noProof/>
        </w:rPr>
        <w:instrText xml:space="preserve"> SEQ Table \* ARABIC </w:instrText>
      </w:r>
      <w:r>
        <w:rPr>
          <w:noProof/>
        </w:rPr>
        <w:fldChar w:fldCharType="separate"/>
      </w:r>
      <w:r>
        <w:rPr>
          <w:noProof/>
        </w:rPr>
        <w:t>75</w:t>
      </w:r>
      <w:r>
        <w:rPr>
          <w:noProof/>
        </w:rPr>
        <w:fldChar w:fldCharType="end"/>
      </w:r>
      <w:r>
        <w:rPr>
          <w:noProof/>
        </w:rPr>
        <w:t xml:space="preserve">. </w:t>
      </w:r>
      <w:r>
        <w:rPr>
          <w:iCs w:val="0"/>
          <w:noProof/>
        </w:rPr>
        <w:t>Comparative table compute (selected sample of providers)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75"/>
        <w:gridCol w:w="1155"/>
        <w:gridCol w:w="1155"/>
        <w:gridCol w:w="1155"/>
        <w:gridCol w:w="1155"/>
        <w:gridCol w:w="1155"/>
        <w:gridCol w:w="1159"/>
      </w:tblGrid>
      <w:tr w:rsidR="00D31817" w:rsidRPr="00D31817" w14:paraId="231266FB" w14:textId="77777777" w:rsidTr="003E3396">
        <w:trPr>
          <w:tblHeader/>
        </w:trPr>
        <w:tc>
          <w:tcPr>
            <w:tcW w:w="972" w:type="pct"/>
            <w:tcBorders>
              <w:top w:val="single" w:sz="4" w:space="0" w:color="CCCCCC"/>
              <w:left w:val="single" w:sz="4" w:space="0" w:color="CCCCCC"/>
              <w:bottom w:val="single" w:sz="4" w:space="0" w:color="CCCCCC"/>
              <w:right w:val="single" w:sz="4" w:space="0" w:color="CCCCCC"/>
            </w:tcBorders>
            <w:shd w:val="clear" w:color="auto" w:fill="227ACB"/>
            <w:tcMar>
              <w:top w:w="80" w:type="dxa"/>
              <w:left w:w="120" w:type="dxa"/>
              <w:bottom w:w="80" w:type="dxa"/>
              <w:right w:w="100" w:type="dxa"/>
            </w:tcMar>
            <w:hideMark/>
          </w:tcPr>
          <w:p w14:paraId="7062746B"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Functionality</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0C190F08"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AWS EC2</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38625796"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Google Compute</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2FC6D961"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Azure Compute</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7A8E2771"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OVH Compute</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3A8C05A6"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IONOS Compute</w:t>
            </w:r>
          </w:p>
        </w:tc>
        <w:tc>
          <w:tcPr>
            <w:tcW w:w="673"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28C184DA"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StackIt Compute</w:t>
            </w:r>
          </w:p>
        </w:tc>
      </w:tr>
      <w:tr w:rsidR="00D31817" w:rsidRPr="00D31817" w14:paraId="3CBB8FB3" w14:textId="77777777" w:rsidTr="00C8704C">
        <w:trPr>
          <w:trHeight w:val="483"/>
        </w:trPr>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14055F1D" w14:textId="77777777" w:rsidR="00C8704C" w:rsidRPr="003E3396" w:rsidRDefault="00C8704C" w:rsidP="003E3396">
            <w:pPr>
              <w:spacing w:after="0"/>
              <w:rPr>
                <w:noProof/>
                <w:sz w:val="20"/>
                <w:szCs w:val="20"/>
                <w:lang w:val="en-US"/>
              </w:rPr>
            </w:pPr>
            <w:r w:rsidRPr="003E3396">
              <w:rPr>
                <w:noProof/>
                <w:sz w:val="20"/>
                <w:szCs w:val="20"/>
                <w:lang w:val="en-US"/>
              </w:rPr>
              <w:t>General purpose VMs</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D1E8A4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7AC1FE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150FE1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B31A1E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A1C44F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98EF78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765C7247"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028497B4" w14:textId="77777777" w:rsidR="00C8704C" w:rsidRPr="003E3396" w:rsidRDefault="00C8704C" w:rsidP="003E3396">
            <w:pPr>
              <w:spacing w:after="0"/>
              <w:rPr>
                <w:noProof/>
                <w:sz w:val="20"/>
                <w:szCs w:val="20"/>
                <w:lang w:val="en-US"/>
              </w:rPr>
            </w:pPr>
            <w:r w:rsidRPr="003E3396">
              <w:rPr>
                <w:noProof/>
                <w:sz w:val="20"/>
                <w:szCs w:val="20"/>
                <w:lang w:val="en-US"/>
              </w:rPr>
              <w:t>Compute-optimized</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3BC876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2A3E21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425BBD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6A3EA0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9557D2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FAF6257"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D31817" w:rsidRPr="00D31817" w14:paraId="1FB5B945"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5399035B" w14:textId="77777777" w:rsidR="00C8704C" w:rsidRPr="003E3396" w:rsidRDefault="00C8704C" w:rsidP="003E3396">
            <w:pPr>
              <w:spacing w:after="0"/>
              <w:rPr>
                <w:noProof/>
                <w:sz w:val="20"/>
                <w:szCs w:val="20"/>
                <w:lang w:val="en-US"/>
              </w:rPr>
            </w:pPr>
            <w:r w:rsidRPr="003E3396">
              <w:rPr>
                <w:noProof/>
                <w:sz w:val="20"/>
                <w:szCs w:val="20"/>
                <w:lang w:val="en-US"/>
              </w:rPr>
              <w:t>Memory-optimized</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02293C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98AF07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238A6A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25F2EA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88EE8B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D834333"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D31817" w:rsidRPr="00D31817" w14:paraId="34F3CDEE"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19915952" w14:textId="77777777" w:rsidR="00C8704C" w:rsidRPr="003E3396" w:rsidRDefault="00C8704C" w:rsidP="003E3396">
            <w:pPr>
              <w:spacing w:after="0"/>
              <w:rPr>
                <w:noProof/>
                <w:sz w:val="20"/>
                <w:szCs w:val="20"/>
                <w:lang w:val="en-US"/>
              </w:rPr>
            </w:pPr>
            <w:r w:rsidRPr="003E3396">
              <w:rPr>
                <w:noProof/>
                <w:sz w:val="20"/>
                <w:szCs w:val="20"/>
                <w:lang w:val="en-US"/>
              </w:rPr>
              <w:t>Bare metal instances</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81C5CA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31C5A6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1C4D72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77E631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6AB0E4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r w:rsidRPr="003E3396">
              <w:rPr>
                <w:noProof/>
                <w:sz w:val="20"/>
                <w:szCs w:val="20"/>
                <w:lang w:val="en-US"/>
              </w:rPr>
              <w:t xml:space="preserve"> (Dedicated servers)</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B4F1C0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48C8D406"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082FE793" w14:textId="77777777" w:rsidR="00C8704C" w:rsidRPr="003E3396" w:rsidRDefault="00C8704C" w:rsidP="003E3396">
            <w:pPr>
              <w:spacing w:after="0"/>
              <w:rPr>
                <w:noProof/>
                <w:sz w:val="20"/>
                <w:szCs w:val="20"/>
                <w:lang w:val="en-US"/>
              </w:rPr>
            </w:pPr>
            <w:r w:rsidRPr="003E3396">
              <w:rPr>
                <w:noProof/>
                <w:sz w:val="20"/>
                <w:szCs w:val="20"/>
                <w:lang w:val="en-US"/>
              </w:rPr>
              <w:t>Custom vCPU / RAM ratio</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0D3AA26"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333530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3057B4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4581C8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34C366C" w14:textId="77777777" w:rsidR="00C8704C" w:rsidRPr="003E3396" w:rsidRDefault="00C8704C" w:rsidP="003E3396">
            <w:pPr>
              <w:spacing w:after="0"/>
              <w:rPr>
                <w:noProof/>
                <w:sz w:val="20"/>
                <w:szCs w:val="20"/>
                <w:lang w:val="en-US"/>
              </w:rPr>
            </w:pPr>
            <w:r w:rsidRPr="003E3396">
              <w:rPr>
                <w:noProof/>
                <w:sz w:val="20"/>
                <w:szCs w:val="20"/>
                <w:lang w:val="en-US"/>
              </w:rPr>
              <w:t>~ (flexible within tiers)</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DD0A7F8" w14:textId="77777777" w:rsidR="00C8704C" w:rsidRPr="003E3396" w:rsidRDefault="00C8704C" w:rsidP="003E3396">
            <w:pPr>
              <w:spacing w:after="0"/>
              <w:rPr>
                <w:noProof/>
                <w:sz w:val="20"/>
                <w:szCs w:val="20"/>
                <w:lang w:val="en-US"/>
              </w:rPr>
            </w:pPr>
            <w:r w:rsidRPr="003E3396">
              <w:rPr>
                <w:noProof/>
                <w:sz w:val="20"/>
                <w:szCs w:val="20"/>
                <w:lang w:val="en-US"/>
              </w:rPr>
              <w:t>~ (fixed ratios)</w:t>
            </w:r>
          </w:p>
        </w:tc>
      </w:tr>
      <w:tr w:rsidR="00D31817" w:rsidRPr="00D31817" w14:paraId="7BB12080"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5B7AB8A1" w14:textId="77777777" w:rsidR="00C8704C" w:rsidRPr="003E3396" w:rsidRDefault="00C8704C" w:rsidP="003E3396">
            <w:pPr>
              <w:spacing w:after="0"/>
              <w:rPr>
                <w:noProof/>
                <w:sz w:val="20"/>
                <w:szCs w:val="20"/>
                <w:lang w:val="en-US"/>
              </w:rPr>
            </w:pPr>
            <w:r w:rsidRPr="003E3396">
              <w:rPr>
                <w:noProof/>
                <w:sz w:val="20"/>
                <w:szCs w:val="20"/>
                <w:lang w:val="en-US"/>
              </w:rPr>
              <w:t>Reserved instances</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E09D92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ADC466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5F8658E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00C79B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9A55FD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85B254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28A98960"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hideMark/>
          </w:tcPr>
          <w:p w14:paraId="5538D24C" w14:textId="77777777" w:rsidR="00C8704C" w:rsidRPr="003E3396" w:rsidRDefault="00C8704C" w:rsidP="003E3396">
            <w:pPr>
              <w:spacing w:after="0"/>
              <w:rPr>
                <w:noProof/>
                <w:sz w:val="20"/>
                <w:szCs w:val="20"/>
                <w:lang w:val="en-US"/>
              </w:rPr>
            </w:pPr>
            <w:r w:rsidRPr="003E3396">
              <w:rPr>
                <w:noProof/>
                <w:sz w:val="20"/>
                <w:szCs w:val="20"/>
                <w:lang w:val="en-US"/>
              </w:rPr>
              <w:t>Confidential compute</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FE89A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98C76D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CB758E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0D9ED4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371B84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5CB8628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bl>
    <w:p w14:paraId="0B07ECAA" w14:textId="77777777" w:rsidR="00C8704C" w:rsidRDefault="00C8704C" w:rsidP="00D31817">
      <w:pPr>
        <w:spacing w:after="0"/>
        <w:rPr>
          <w:noProof/>
          <w:sz w:val="20"/>
          <w:szCs w:val="20"/>
        </w:rPr>
      </w:pPr>
      <w:r w:rsidRPr="003E3396">
        <w:rPr>
          <w:noProof/>
          <w:sz w:val="20"/>
          <w:szCs w:val="20"/>
        </w:rPr>
        <w:t xml:space="preserve">Legend: </w:t>
      </w:r>
      <w:r w:rsidRPr="003E3396">
        <w:rPr>
          <w:rFonts w:ascii="Segoe UI Symbol" w:hAnsi="Segoe UI Symbol" w:cs="Segoe UI Symbol"/>
          <w:noProof/>
          <w:sz w:val="20"/>
          <w:szCs w:val="20"/>
        </w:rPr>
        <w:t>✓</w:t>
      </w:r>
      <w:r w:rsidRPr="003E3396">
        <w:rPr>
          <w:noProof/>
          <w:sz w:val="20"/>
          <w:szCs w:val="20"/>
        </w:rPr>
        <w:t xml:space="preserve"> Supported    ~ Partial / limited    </w:t>
      </w:r>
      <w:r w:rsidRPr="003E3396">
        <w:rPr>
          <w:rFonts w:ascii="Segoe UI Symbol" w:hAnsi="Segoe UI Symbol" w:cs="Segoe UI Symbol"/>
          <w:noProof/>
          <w:sz w:val="20"/>
          <w:szCs w:val="20"/>
        </w:rPr>
        <w:t>✕</w:t>
      </w:r>
      <w:r w:rsidRPr="003E3396">
        <w:rPr>
          <w:noProof/>
          <w:sz w:val="20"/>
          <w:szCs w:val="20"/>
        </w:rPr>
        <w:t xml:space="preserve"> Not available</w:t>
      </w:r>
    </w:p>
    <w:p w14:paraId="18A42547" w14:textId="77777777" w:rsidR="004447E9" w:rsidRPr="003E3396" w:rsidRDefault="004447E9" w:rsidP="003E3396">
      <w:pPr>
        <w:spacing w:after="0"/>
        <w:rPr>
          <w:noProof/>
          <w:sz w:val="20"/>
          <w:szCs w:val="20"/>
        </w:rPr>
      </w:pPr>
    </w:p>
    <w:p w14:paraId="4A0EDF7E" w14:textId="10A7B407" w:rsidR="00C8704C" w:rsidRPr="003E3396" w:rsidRDefault="00C8704C">
      <w:pPr>
        <w:pStyle w:val="Caption"/>
        <w:rPr>
          <w:i/>
          <w:noProof/>
          <w:szCs w:val="20"/>
          <w:u w:val="single"/>
        </w:rPr>
      </w:pPr>
      <w:r>
        <w:rPr>
          <w:noProof/>
        </w:rPr>
        <w:t xml:space="preserve">Table </w:t>
      </w:r>
      <w:r>
        <w:rPr>
          <w:noProof/>
        </w:rPr>
        <w:fldChar w:fldCharType="begin"/>
      </w:r>
      <w:r>
        <w:rPr>
          <w:noProof/>
        </w:rPr>
        <w:instrText xml:space="preserve"> SEQ Table \* ARABIC </w:instrText>
      </w:r>
      <w:r>
        <w:rPr>
          <w:noProof/>
        </w:rPr>
        <w:fldChar w:fldCharType="separate"/>
      </w:r>
      <w:r>
        <w:rPr>
          <w:noProof/>
        </w:rPr>
        <w:t>76</w:t>
      </w:r>
      <w:r>
        <w:rPr>
          <w:noProof/>
        </w:rPr>
        <w:fldChar w:fldCharType="end"/>
      </w:r>
      <w:r>
        <w:rPr>
          <w:noProof/>
        </w:rPr>
        <w:t xml:space="preserve">. </w:t>
      </w:r>
      <w:r>
        <w:rPr>
          <w:iCs w:val="0"/>
          <w:noProof/>
          <w:szCs w:val="20"/>
        </w:rPr>
        <w:t>Comparative table Storage (selected sample of providers)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75"/>
        <w:gridCol w:w="1155"/>
        <w:gridCol w:w="1155"/>
        <w:gridCol w:w="1155"/>
        <w:gridCol w:w="1155"/>
        <w:gridCol w:w="1155"/>
        <w:gridCol w:w="1159"/>
      </w:tblGrid>
      <w:tr w:rsidR="00D31817" w:rsidRPr="00D31817" w14:paraId="10E56172" w14:textId="77777777" w:rsidTr="003E3396">
        <w:trPr>
          <w:tblHeader/>
        </w:trPr>
        <w:tc>
          <w:tcPr>
            <w:tcW w:w="972" w:type="pct"/>
            <w:tcBorders>
              <w:top w:val="single" w:sz="4" w:space="0" w:color="CCCCCC"/>
              <w:left w:val="single" w:sz="4" w:space="0" w:color="CCCCCC"/>
              <w:bottom w:val="single" w:sz="4" w:space="0" w:color="CCCCCC"/>
              <w:right w:val="single" w:sz="4" w:space="0" w:color="CCCCCC"/>
            </w:tcBorders>
            <w:shd w:val="clear" w:color="auto" w:fill="227ACB"/>
            <w:tcMar>
              <w:top w:w="80" w:type="dxa"/>
              <w:left w:w="120" w:type="dxa"/>
              <w:bottom w:w="80" w:type="dxa"/>
              <w:right w:w="100" w:type="dxa"/>
            </w:tcMar>
            <w:hideMark/>
          </w:tcPr>
          <w:p w14:paraId="37A0C548" w14:textId="77777777" w:rsidR="00C8704C" w:rsidRPr="003E3396" w:rsidRDefault="00C8704C" w:rsidP="003E3396">
            <w:pPr>
              <w:spacing w:after="0"/>
              <w:rPr>
                <w:b/>
                <w:noProof/>
                <w:color w:val="FFFFFF"/>
                <w:sz w:val="20"/>
                <w:szCs w:val="20"/>
                <w:lang w:val="en-US"/>
              </w:rPr>
            </w:pPr>
            <w:r w:rsidRPr="003E3396">
              <w:rPr>
                <w:b/>
                <w:noProof/>
                <w:color w:val="FFFFFF"/>
                <w:sz w:val="20"/>
                <w:szCs w:val="20"/>
                <w:lang w:val="en-US"/>
              </w:rPr>
              <w:t>Functionality</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2DBD3333"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AWS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4E61EF69"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Google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1E2A7EB7"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Azure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5F4BF7B6"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OVH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006AFB08"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IONOS </w:t>
            </w:r>
          </w:p>
        </w:tc>
        <w:tc>
          <w:tcPr>
            <w:tcW w:w="673"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232D0354"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StackIt </w:t>
            </w:r>
          </w:p>
        </w:tc>
      </w:tr>
      <w:tr w:rsidR="00D31817" w:rsidRPr="00D31817" w14:paraId="0E04184F"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AD80CAC" w14:textId="77777777" w:rsidR="00C8704C" w:rsidRPr="003E3396" w:rsidRDefault="00C8704C" w:rsidP="003E3396">
            <w:pPr>
              <w:spacing w:after="0"/>
              <w:rPr>
                <w:noProof/>
                <w:sz w:val="20"/>
                <w:szCs w:val="20"/>
                <w:lang w:val="en-US"/>
              </w:rPr>
            </w:pPr>
            <w:r w:rsidRPr="003E3396">
              <w:rPr>
                <w:noProof/>
                <w:sz w:val="20"/>
                <w:szCs w:val="20"/>
                <w:lang w:val="en-US"/>
              </w:rPr>
              <w:t>Block storage (persistent disks)</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D6AF1C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ACAF00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667435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28F31C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A74881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3959F1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35022CEA"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E254CF7" w14:textId="77777777" w:rsidR="00C8704C" w:rsidRPr="003E3396" w:rsidRDefault="00C8704C" w:rsidP="003E3396">
            <w:pPr>
              <w:spacing w:after="0"/>
              <w:rPr>
                <w:noProof/>
                <w:sz w:val="20"/>
                <w:szCs w:val="20"/>
                <w:lang w:val="en-US"/>
              </w:rPr>
            </w:pPr>
            <w:r w:rsidRPr="003E3396">
              <w:rPr>
                <w:noProof/>
                <w:sz w:val="20"/>
                <w:szCs w:val="20"/>
                <w:lang w:val="en-US"/>
              </w:rPr>
              <w:t>Object storage integration</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806776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1F4B7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A9ECBA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8F8959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38EE74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C4B04C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4806E60E"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2F81EDD1" w14:textId="77777777" w:rsidR="00C8704C" w:rsidRPr="003E3396" w:rsidRDefault="00C8704C" w:rsidP="003E3396">
            <w:pPr>
              <w:spacing w:after="0"/>
              <w:rPr>
                <w:noProof/>
                <w:sz w:val="20"/>
                <w:szCs w:val="20"/>
                <w:lang w:val="en-US"/>
              </w:rPr>
            </w:pPr>
            <w:r w:rsidRPr="003E3396">
              <w:rPr>
                <w:noProof/>
                <w:sz w:val="20"/>
                <w:szCs w:val="20"/>
                <w:lang w:val="en-US"/>
              </w:rPr>
              <w:t>Shared / NFS file storage</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68D387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2BC7A1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3A468B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551522D"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BCA5634"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C59B1CD"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D31817" w:rsidRPr="00D31817" w14:paraId="73C228E5"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BB4862B" w14:textId="77777777" w:rsidR="00C8704C" w:rsidRPr="003E3396" w:rsidRDefault="00C8704C" w:rsidP="003E3396">
            <w:pPr>
              <w:spacing w:after="0"/>
              <w:rPr>
                <w:noProof/>
                <w:sz w:val="20"/>
                <w:szCs w:val="20"/>
                <w:lang w:val="en-US"/>
              </w:rPr>
            </w:pPr>
            <w:r w:rsidRPr="003E3396">
              <w:rPr>
                <w:noProof/>
                <w:sz w:val="20"/>
                <w:szCs w:val="20"/>
                <w:lang w:val="en-US"/>
              </w:rPr>
              <w:t>Snapshot &amp; image management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678C0CB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02D0B44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1BA1D66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2AABCF0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1C31BED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vAlign w:val="center"/>
            <w:hideMark/>
          </w:tcPr>
          <w:p w14:paraId="3B74328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6991FD84"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7AA7D592" w14:textId="77777777" w:rsidR="00C8704C" w:rsidRPr="003E3396" w:rsidRDefault="00C8704C" w:rsidP="003E3396">
            <w:pPr>
              <w:spacing w:after="0"/>
              <w:rPr>
                <w:noProof/>
                <w:sz w:val="20"/>
                <w:szCs w:val="20"/>
                <w:lang w:val="en-US"/>
              </w:rPr>
            </w:pPr>
            <w:r w:rsidRPr="003E3396">
              <w:rPr>
                <w:noProof/>
                <w:sz w:val="20"/>
                <w:szCs w:val="20"/>
                <w:lang w:val="en-US"/>
              </w:rPr>
              <w:t>Multi-zone disk replication</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3B92FF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271B5D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F59481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F2FEF3A"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CF95F7C"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5D0E299"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D31817" w:rsidRPr="00D31817" w14:paraId="21C2611F"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0B7AD90" w14:textId="77777777" w:rsidR="00C8704C" w:rsidRPr="003E3396" w:rsidRDefault="00C8704C" w:rsidP="003E3396">
            <w:pPr>
              <w:spacing w:after="0"/>
              <w:rPr>
                <w:noProof/>
                <w:sz w:val="20"/>
                <w:szCs w:val="20"/>
                <w:lang w:val="en-US"/>
              </w:rPr>
            </w:pPr>
            <w:r w:rsidRPr="003E3396">
              <w:rPr>
                <w:noProof/>
                <w:sz w:val="20"/>
                <w:szCs w:val="20"/>
                <w:lang w:val="en-US"/>
              </w:rPr>
              <w:t>Encrypted storage at rest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18A236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7D528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1D3E7A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96AA6A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87CB8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397CDE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bl>
    <w:p w14:paraId="3914AC37" w14:textId="77777777" w:rsidR="00C8704C" w:rsidRDefault="00C8704C" w:rsidP="00D31817">
      <w:pPr>
        <w:spacing w:after="0"/>
        <w:rPr>
          <w:noProof/>
          <w:sz w:val="20"/>
          <w:szCs w:val="20"/>
        </w:rPr>
      </w:pPr>
      <w:r w:rsidRPr="003E3396">
        <w:rPr>
          <w:noProof/>
          <w:sz w:val="20"/>
          <w:szCs w:val="20"/>
        </w:rPr>
        <w:t xml:space="preserve">Legend: </w:t>
      </w:r>
      <w:r w:rsidRPr="003E3396">
        <w:rPr>
          <w:rFonts w:ascii="Segoe UI Symbol" w:hAnsi="Segoe UI Symbol" w:cs="Segoe UI Symbol"/>
          <w:noProof/>
          <w:sz w:val="20"/>
          <w:szCs w:val="20"/>
        </w:rPr>
        <w:t>✓</w:t>
      </w:r>
      <w:r w:rsidRPr="003E3396">
        <w:rPr>
          <w:noProof/>
          <w:sz w:val="20"/>
          <w:szCs w:val="20"/>
        </w:rPr>
        <w:t xml:space="preserve"> Supported    ~ Partial / limited    </w:t>
      </w:r>
      <w:r w:rsidRPr="003E3396">
        <w:rPr>
          <w:rFonts w:ascii="Segoe UI Symbol" w:hAnsi="Segoe UI Symbol" w:cs="Segoe UI Symbol"/>
          <w:noProof/>
          <w:sz w:val="20"/>
          <w:szCs w:val="20"/>
        </w:rPr>
        <w:t>✕</w:t>
      </w:r>
      <w:r w:rsidRPr="003E3396">
        <w:rPr>
          <w:noProof/>
          <w:sz w:val="20"/>
          <w:szCs w:val="20"/>
        </w:rPr>
        <w:t xml:space="preserve"> Not available</w:t>
      </w:r>
    </w:p>
    <w:p w14:paraId="1A11E1B1" w14:textId="77777777" w:rsidR="004447E9" w:rsidRPr="003E3396" w:rsidRDefault="004447E9" w:rsidP="003E3396">
      <w:pPr>
        <w:spacing w:after="0"/>
        <w:rPr>
          <w:noProof/>
          <w:sz w:val="20"/>
          <w:szCs w:val="20"/>
        </w:rPr>
      </w:pPr>
    </w:p>
    <w:p w14:paraId="691F9E88" w14:textId="58F82E1B" w:rsidR="00C8704C" w:rsidRDefault="00C8704C">
      <w:pPr>
        <w:spacing w:after="0"/>
        <w:jc w:val="center"/>
        <w:rPr>
          <w:b/>
          <w:iCs/>
          <w:noProof/>
          <w:color w:val="000000" w:themeColor="text1"/>
          <w:sz w:val="20"/>
          <w:szCs w:val="18"/>
          <w:lang w:val="en-IE"/>
        </w:rPr>
      </w:pPr>
      <w:r>
        <w:rPr>
          <w:b/>
          <w:iCs/>
          <w:noProof/>
          <w:color w:val="000000" w:themeColor="text1"/>
          <w:sz w:val="20"/>
          <w:szCs w:val="18"/>
          <w:lang w:val="en-IE"/>
        </w:rPr>
        <w:t xml:space="preserve">Table </w:t>
      </w:r>
      <w:r>
        <w:rPr>
          <w:b/>
          <w:iCs/>
          <w:noProof/>
          <w:color w:val="000000" w:themeColor="text1"/>
          <w:sz w:val="20"/>
          <w:szCs w:val="18"/>
          <w:lang w:val="en-IE"/>
        </w:rPr>
        <w:fldChar w:fldCharType="begin"/>
      </w:r>
      <w:r>
        <w:rPr>
          <w:b/>
          <w:iCs/>
          <w:noProof/>
          <w:color w:val="000000" w:themeColor="text1"/>
          <w:sz w:val="20"/>
          <w:szCs w:val="18"/>
          <w:lang w:val="en-IE"/>
        </w:rPr>
        <w:instrText xml:space="preserve"> SEQ Table \* ARABIC </w:instrText>
      </w:r>
      <w:r>
        <w:rPr>
          <w:b/>
          <w:iCs/>
          <w:noProof/>
          <w:color w:val="000000" w:themeColor="text1"/>
          <w:sz w:val="20"/>
          <w:szCs w:val="18"/>
          <w:lang w:val="en-IE"/>
        </w:rPr>
        <w:fldChar w:fldCharType="separate"/>
      </w:r>
      <w:r>
        <w:rPr>
          <w:b/>
          <w:iCs/>
          <w:noProof/>
          <w:color w:val="000000" w:themeColor="text1"/>
          <w:sz w:val="20"/>
          <w:szCs w:val="18"/>
          <w:lang w:val="en-IE"/>
        </w:rPr>
        <w:t>77</w:t>
      </w:r>
      <w:r>
        <w:rPr>
          <w:b/>
          <w:iCs/>
          <w:noProof/>
          <w:color w:val="000000" w:themeColor="text1"/>
          <w:sz w:val="20"/>
          <w:szCs w:val="18"/>
          <w:lang w:val="en-IE"/>
        </w:rPr>
        <w:fldChar w:fldCharType="end"/>
      </w:r>
      <w:r>
        <w:rPr>
          <w:b/>
          <w:iCs/>
          <w:noProof/>
          <w:color w:val="000000" w:themeColor="text1"/>
          <w:sz w:val="20"/>
          <w:szCs w:val="18"/>
          <w:lang w:val="en-IE"/>
        </w:rPr>
        <w:t>. Comparative table Network (selected sample of providers)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75"/>
        <w:gridCol w:w="1155"/>
        <w:gridCol w:w="1155"/>
        <w:gridCol w:w="1155"/>
        <w:gridCol w:w="1155"/>
        <w:gridCol w:w="1155"/>
        <w:gridCol w:w="1159"/>
      </w:tblGrid>
      <w:tr w:rsidR="00D31817" w:rsidRPr="00D31817" w14:paraId="0BCCB27A" w14:textId="77777777" w:rsidTr="003E3396">
        <w:trPr>
          <w:tblHeader/>
        </w:trPr>
        <w:tc>
          <w:tcPr>
            <w:tcW w:w="972" w:type="pct"/>
            <w:tcBorders>
              <w:top w:val="single" w:sz="4" w:space="0" w:color="CCCCCC"/>
              <w:left w:val="single" w:sz="4" w:space="0" w:color="CCCCCC"/>
              <w:bottom w:val="single" w:sz="4" w:space="0" w:color="CCCCCC"/>
              <w:right w:val="single" w:sz="4" w:space="0" w:color="CCCCCC"/>
            </w:tcBorders>
            <w:shd w:val="clear" w:color="auto" w:fill="227ACB"/>
            <w:tcMar>
              <w:top w:w="80" w:type="dxa"/>
              <w:left w:w="120" w:type="dxa"/>
              <w:bottom w:w="80" w:type="dxa"/>
              <w:right w:w="100" w:type="dxa"/>
            </w:tcMar>
            <w:hideMark/>
          </w:tcPr>
          <w:p w14:paraId="7D11BE77" w14:textId="77777777" w:rsidR="00C8704C" w:rsidRPr="003E3396" w:rsidRDefault="00C8704C" w:rsidP="003E3396">
            <w:pPr>
              <w:spacing w:after="0"/>
              <w:rPr>
                <w:b/>
                <w:noProof/>
                <w:color w:val="FFFFFF"/>
                <w:sz w:val="20"/>
                <w:szCs w:val="20"/>
                <w:lang w:val="en-US"/>
              </w:rPr>
            </w:pPr>
            <w:r w:rsidRPr="003E3396">
              <w:rPr>
                <w:b/>
                <w:noProof/>
                <w:color w:val="FFFFFF"/>
                <w:sz w:val="20"/>
                <w:szCs w:val="20"/>
                <w:lang w:val="en-US"/>
              </w:rPr>
              <w:t>Functionality</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2CC4CD1F"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AWS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14FDFBB3"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Google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6EADC8E8"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Azure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1C01660B"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OVH </w:t>
            </w:r>
          </w:p>
        </w:tc>
        <w:tc>
          <w:tcPr>
            <w:tcW w:w="6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7CB46DEA"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IONOS </w:t>
            </w:r>
          </w:p>
        </w:tc>
        <w:tc>
          <w:tcPr>
            <w:tcW w:w="673"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30E99382"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StackIt </w:t>
            </w:r>
          </w:p>
        </w:tc>
      </w:tr>
      <w:tr w:rsidR="00D31817" w:rsidRPr="00D31817" w14:paraId="377E50C7"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6E7BA67" w14:textId="77777777" w:rsidR="00C8704C" w:rsidRPr="003E3396" w:rsidRDefault="00C8704C" w:rsidP="003E3396">
            <w:pPr>
              <w:spacing w:after="0"/>
              <w:rPr>
                <w:noProof/>
                <w:sz w:val="20"/>
                <w:szCs w:val="20"/>
                <w:lang w:val="en-US"/>
              </w:rPr>
            </w:pPr>
            <w:r w:rsidRPr="003E3396">
              <w:rPr>
                <w:noProof/>
                <w:sz w:val="20"/>
                <w:szCs w:val="20"/>
                <w:lang w:val="en-US"/>
              </w:rPr>
              <w:t>Virtual private network (VPC)</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2E6D13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F515F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459005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56F18B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214224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74236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3035536C"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03EDA489" w14:textId="77777777" w:rsidR="00C8704C" w:rsidRPr="003E3396" w:rsidRDefault="00C8704C" w:rsidP="003E3396">
            <w:pPr>
              <w:spacing w:after="0"/>
              <w:rPr>
                <w:noProof/>
                <w:sz w:val="20"/>
                <w:szCs w:val="20"/>
                <w:lang w:val="en-US"/>
              </w:rPr>
            </w:pPr>
            <w:r w:rsidRPr="003E3396">
              <w:rPr>
                <w:noProof/>
                <w:sz w:val="20"/>
                <w:szCs w:val="20"/>
                <w:lang w:val="en-US"/>
              </w:rPr>
              <w:t>IPv6 support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ECDBEC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1C120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DEBC86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973933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1E3C4F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A0796E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568D722F"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08CE1A7F" w14:textId="77777777" w:rsidR="00C8704C" w:rsidRPr="003E3396" w:rsidRDefault="00C8704C" w:rsidP="003E3396">
            <w:pPr>
              <w:spacing w:after="0"/>
              <w:rPr>
                <w:noProof/>
                <w:sz w:val="20"/>
                <w:szCs w:val="20"/>
                <w:lang w:val="en-US"/>
              </w:rPr>
            </w:pPr>
            <w:r w:rsidRPr="003E3396">
              <w:rPr>
                <w:noProof/>
                <w:sz w:val="20"/>
                <w:szCs w:val="20"/>
                <w:lang w:val="en-US"/>
              </w:rPr>
              <w:t>Load balancer (managed)</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5DB3FD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72C324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591C99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4EEE8F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C6B258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58BFD9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1559097B"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0B626279" w14:textId="77777777" w:rsidR="00C8704C" w:rsidRPr="003E3396" w:rsidRDefault="00C8704C" w:rsidP="003E3396">
            <w:pPr>
              <w:spacing w:after="0"/>
              <w:rPr>
                <w:noProof/>
                <w:sz w:val="20"/>
                <w:szCs w:val="20"/>
                <w:lang w:val="en-US"/>
              </w:rPr>
            </w:pPr>
            <w:r w:rsidRPr="003E3396">
              <w:rPr>
                <w:noProof/>
                <w:sz w:val="20"/>
                <w:szCs w:val="20"/>
                <w:lang w:val="en-US"/>
              </w:rPr>
              <w:t>CDN</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586876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AA73A1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vAlign w:val="center"/>
            <w:hideMark/>
          </w:tcPr>
          <w:p w14:paraId="3C6B5B1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D92750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6A1123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C44C57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17957097"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13CD6896" w14:textId="77777777" w:rsidR="00C8704C" w:rsidRPr="003E3396" w:rsidRDefault="00C8704C" w:rsidP="003E3396">
            <w:pPr>
              <w:spacing w:after="0"/>
              <w:rPr>
                <w:noProof/>
                <w:sz w:val="20"/>
                <w:szCs w:val="20"/>
                <w:lang w:val="en-US"/>
              </w:rPr>
            </w:pPr>
            <w:r w:rsidRPr="003E3396">
              <w:rPr>
                <w:noProof/>
                <w:sz w:val="20"/>
                <w:szCs w:val="20"/>
                <w:lang w:val="en-US"/>
              </w:rPr>
              <w:t>Private interconnect / VPN</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A31FF1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B14ACF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33D3B4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F17024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0BE690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vAlign w:val="center"/>
            <w:hideMark/>
          </w:tcPr>
          <w:p w14:paraId="53D11813"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D31817" w:rsidRPr="00D31817" w14:paraId="62BB8A59"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B0D029B" w14:textId="77777777" w:rsidR="00C8704C" w:rsidRPr="003E3396" w:rsidRDefault="00C8704C" w:rsidP="003E3396">
            <w:pPr>
              <w:spacing w:after="0"/>
              <w:rPr>
                <w:noProof/>
                <w:sz w:val="20"/>
                <w:szCs w:val="20"/>
                <w:lang w:val="en-US"/>
              </w:rPr>
            </w:pPr>
            <w:r w:rsidRPr="003E3396">
              <w:rPr>
                <w:noProof/>
                <w:sz w:val="20"/>
                <w:szCs w:val="20"/>
                <w:lang w:val="en-US"/>
              </w:rPr>
              <w:t>DNS service (managed)</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D29E58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57312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04849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75FB1A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D3040B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F2FAAE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3636D391"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FB7680D" w14:textId="77777777" w:rsidR="00C8704C" w:rsidRPr="003E3396" w:rsidRDefault="00C8704C" w:rsidP="003E3396">
            <w:pPr>
              <w:spacing w:after="0"/>
              <w:rPr>
                <w:noProof/>
                <w:sz w:val="20"/>
                <w:szCs w:val="20"/>
                <w:lang w:val="en-US"/>
              </w:rPr>
            </w:pPr>
            <w:r w:rsidRPr="003E3396">
              <w:rPr>
                <w:noProof/>
                <w:sz w:val="20"/>
                <w:szCs w:val="20"/>
                <w:lang w:val="en-US"/>
              </w:rPr>
              <w:t>DDoS protection (built-in)</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A1F8DE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93557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43B1A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203C05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4F7A86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C04FBA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D31817" w:rsidRPr="00D31817" w14:paraId="440B59D3" w14:textId="77777777" w:rsidTr="00C8704C">
        <w:tc>
          <w:tcPr>
            <w:tcW w:w="972"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05F275B" w14:textId="77777777" w:rsidR="00C8704C" w:rsidRPr="003E3396" w:rsidRDefault="00C8704C" w:rsidP="003E3396">
            <w:pPr>
              <w:spacing w:after="0"/>
              <w:rPr>
                <w:noProof/>
                <w:sz w:val="20"/>
                <w:szCs w:val="20"/>
                <w:lang w:val="en-US"/>
              </w:rPr>
            </w:pPr>
            <w:r w:rsidRPr="003E3396">
              <w:rPr>
                <w:noProof/>
                <w:sz w:val="20"/>
                <w:szCs w:val="20"/>
                <w:lang w:val="en-US"/>
              </w:rPr>
              <w:t>Floating / elastic IPs</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D75CB6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0976F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5271E8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8CA1D1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1"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CCB009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673"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E205F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bl>
    <w:p w14:paraId="0281DAFC" w14:textId="77777777" w:rsidR="00C8704C" w:rsidRPr="003E3396" w:rsidRDefault="00C8704C" w:rsidP="003E3396">
      <w:pPr>
        <w:spacing w:after="0"/>
        <w:rPr>
          <w:noProof/>
          <w:sz w:val="20"/>
          <w:szCs w:val="20"/>
        </w:rPr>
      </w:pPr>
      <w:r w:rsidRPr="003E3396">
        <w:rPr>
          <w:noProof/>
          <w:sz w:val="20"/>
          <w:szCs w:val="20"/>
        </w:rPr>
        <w:t xml:space="preserve">Legend: </w:t>
      </w:r>
      <w:r w:rsidRPr="003E3396">
        <w:rPr>
          <w:rFonts w:ascii="Segoe UI Symbol" w:hAnsi="Segoe UI Symbol" w:cs="Segoe UI Symbol"/>
          <w:noProof/>
          <w:sz w:val="20"/>
          <w:szCs w:val="20"/>
        </w:rPr>
        <w:t>✓</w:t>
      </w:r>
      <w:r w:rsidRPr="003E3396">
        <w:rPr>
          <w:noProof/>
          <w:sz w:val="20"/>
          <w:szCs w:val="20"/>
        </w:rPr>
        <w:t xml:space="preserve"> Supported    ~ Partial / limited    </w:t>
      </w:r>
      <w:r w:rsidRPr="003E3396">
        <w:rPr>
          <w:rFonts w:ascii="Segoe UI Symbol" w:hAnsi="Segoe UI Symbol" w:cs="Segoe UI Symbol"/>
          <w:noProof/>
          <w:sz w:val="20"/>
          <w:szCs w:val="20"/>
        </w:rPr>
        <w:t>✕</w:t>
      </w:r>
      <w:r w:rsidRPr="003E3396">
        <w:rPr>
          <w:noProof/>
          <w:sz w:val="20"/>
          <w:szCs w:val="20"/>
        </w:rPr>
        <w:t xml:space="preserve"> Not available</w:t>
      </w:r>
    </w:p>
    <w:p w14:paraId="4ABA952B" w14:textId="77777777" w:rsidR="00C8704C" w:rsidRPr="003E3396" w:rsidRDefault="00C8704C" w:rsidP="003E3396">
      <w:pPr>
        <w:spacing w:after="0"/>
        <w:rPr>
          <w:noProof/>
          <w:sz w:val="20"/>
          <w:szCs w:val="20"/>
        </w:rPr>
      </w:pPr>
    </w:p>
    <w:p w14:paraId="72F95F1F" w14:textId="18C38678" w:rsidR="00C8704C" w:rsidRDefault="00C8704C">
      <w:pPr>
        <w:spacing w:after="0"/>
        <w:jc w:val="center"/>
        <w:rPr>
          <w:b/>
          <w:bCs/>
          <w:iCs/>
          <w:noProof/>
          <w:sz w:val="20"/>
          <w:szCs w:val="20"/>
          <w:u w:val="single"/>
          <w:lang w:val="en-IE"/>
        </w:rPr>
      </w:pPr>
      <w:r>
        <w:rPr>
          <w:b/>
          <w:bCs/>
          <w:iCs/>
          <w:noProof/>
          <w:sz w:val="20"/>
          <w:szCs w:val="20"/>
          <w:lang w:val="en-US"/>
        </w:rPr>
        <w:t xml:space="preserve">Table </w:t>
      </w:r>
      <w:r>
        <w:rPr>
          <w:b/>
          <w:bCs/>
          <w:iCs/>
          <w:noProof/>
          <w:sz w:val="20"/>
          <w:szCs w:val="20"/>
          <w:lang w:val="en-US"/>
        </w:rPr>
        <w:fldChar w:fldCharType="begin"/>
      </w:r>
      <w:r>
        <w:rPr>
          <w:b/>
          <w:bCs/>
          <w:iCs/>
          <w:noProof/>
          <w:sz w:val="20"/>
          <w:szCs w:val="20"/>
          <w:lang w:val="en-US"/>
        </w:rPr>
        <w:instrText xml:space="preserve"> SEQ Table \* ARABIC </w:instrText>
      </w:r>
      <w:r>
        <w:rPr>
          <w:b/>
          <w:bCs/>
          <w:iCs/>
          <w:noProof/>
          <w:sz w:val="20"/>
          <w:szCs w:val="20"/>
          <w:lang w:val="en-US"/>
        </w:rPr>
        <w:fldChar w:fldCharType="separate"/>
      </w:r>
      <w:r>
        <w:rPr>
          <w:b/>
          <w:bCs/>
          <w:iCs/>
          <w:noProof/>
          <w:sz w:val="20"/>
          <w:szCs w:val="20"/>
          <w:lang w:val="en-US"/>
        </w:rPr>
        <w:t>78</w:t>
      </w:r>
      <w:r>
        <w:rPr>
          <w:b/>
          <w:bCs/>
          <w:iCs/>
          <w:noProof/>
          <w:sz w:val="20"/>
          <w:szCs w:val="20"/>
          <w:lang w:val="en-US"/>
        </w:rPr>
        <w:fldChar w:fldCharType="end"/>
      </w:r>
      <w:r>
        <w:rPr>
          <w:b/>
          <w:bCs/>
          <w:iCs/>
          <w:noProof/>
          <w:sz w:val="20"/>
          <w:szCs w:val="20"/>
          <w:lang w:val="en-US"/>
        </w:rPr>
        <w:t xml:space="preserve">. </w:t>
      </w:r>
      <w:r>
        <w:rPr>
          <w:b/>
          <w:bCs/>
          <w:iCs/>
          <w:noProof/>
          <w:sz w:val="20"/>
          <w:szCs w:val="20"/>
          <w:lang w:val="en-IE"/>
        </w:rPr>
        <w:t>Comparative table Containers (selected sample of providers)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46"/>
        <w:gridCol w:w="1905"/>
        <w:gridCol w:w="1290"/>
        <w:gridCol w:w="838"/>
        <w:gridCol w:w="838"/>
        <w:gridCol w:w="1256"/>
        <w:gridCol w:w="836"/>
      </w:tblGrid>
      <w:tr w:rsidR="00C8704C" w:rsidRPr="00D31817" w14:paraId="3DBAE22B" w14:textId="77777777" w:rsidTr="003E3396">
        <w:trPr>
          <w:tblHeader/>
        </w:trPr>
        <w:tc>
          <w:tcPr>
            <w:tcW w:w="957" w:type="pct"/>
            <w:tcBorders>
              <w:top w:val="single" w:sz="4" w:space="0" w:color="CCCCCC"/>
              <w:left w:val="single" w:sz="4" w:space="0" w:color="CCCCCC"/>
              <w:bottom w:val="single" w:sz="4" w:space="0" w:color="CCCCCC"/>
              <w:right w:val="single" w:sz="4" w:space="0" w:color="CCCCCC"/>
            </w:tcBorders>
            <w:shd w:val="clear" w:color="auto" w:fill="227ACB"/>
            <w:tcMar>
              <w:top w:w="80" w:type="dxa"/>
              <w:left w:w="120" w:type="dxa"/>
              <w:bottom w:w="80" w:type="dxa"/>
              <w:right w:w="100" w:type="dxa"/>
            </w:tcMar>
            <w:hideMark/>
          </w:tcPr>
          <w:p w14:paraId="63C32A8F" w14:textId="77777777" w:rsidR="00C8704C" w:rsidRPr="003E3396" w:rsidRDefault="00C8704C" w:rsidP="003E3396">
            <w:pPr>
              <w:spacing w:after="0"/>
              <w:rPr>
                <w:b/>
                <w:noProof/>
                <w:color w:val="FFFFFF"/>
                <w:sz w:val="20"/>
                <w:szCs w:val="20"/>
                <w:lang w:val="en-US"/>
              </w:rPr>
            </w:pPr>
            <w:r w:rsidRPr="003E3396">
              <w:rPr>
                <w:b/>
                <w:noProof/>
                <w:color w:val="FFFFFF"/>
                <w:sz w:val="20"/>
                <w:szCs w:val="20"/>
                <w:lang w:val="en-US"/>
              </w:rPr>
              <w:t>Functionality</w:t>
            </w:r>
          </w:p>
        </w:tc>
        <w:tc>
          <w:tcPr>
            <w:tcW w:w="1107"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5144AB5B"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AWS (ECS/EKS/Fargate)</w:t>
            </w:r>
          </w:p>
        </w:tc>
        <w:tc>
          <w:tcPr>
            <w:tcW w:w="748"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526EA21E"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Google (GKE/Cloud Run)</w:t>
            </w:r>
          </w:p>
        </w:tc>
        <w:tc>
          <w:tcPr>
            <w:tcW w:w="487"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794E2D7D"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Azure (AKS / ACI)</w:t>
            </w:r>
          </w:p>
        </w:tc>
        <w:tc>
          <w:tcPr>
            <w:tcW w:w="487"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47341762"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OVH (MKS)</w:t>
            </w:r>
          </w:p>
        </w:tc>
        <w:tc>
          <w:tcPr>
            <w:tcW w:w="728"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3471F7EC"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IONOS (Managed Kubernetes) </w:t>
            </w:r>
          </w:p>
        </w:tc>
        <w:tc>
          <w:tcPr>
            <w:tcW w:w="486" w:type="pct"/>
            <w:tcBorders>
              <w:top w:val="single" w:sz="4" w:space="0" w:color="CCCCCC"/>
              <w:left w:val="single" w:sz="4" w:space="0" w:color="CCCCCC"/>
              <w:bottom w:val="single" w:sz="4" w:space="0" w:color="CCCCCC"/>
              <w:right w:val="single" w:sz="4" w:space="0" w:color="CCCCCC"/>
            </w:tcBorders>
            <w:shd w:val="clear" w:color="auto" w:fill="227ACB"/>
            <w:tcMar>
              <w:top w:w="80" w:type="dxa"/>
              <w:left w:w="100" w:type="dxa"/>
              <w:bottom w:w="80" w:type="dxa"/>
              <w:right w:w="100" w:type="dxa"/>
            </w:tcMar>
            <w:hideMark/>
          </w:tcPr>
          <w:p w14:paraId="1340F31A" w14:textId="77777777" w:rsidR="00C8704C" w:rsidRPr="003E3396" w:rsidRDefault="00C8704C" w:rsidP="003E3396">
            <w:pPr>
              <w:spacing w:after="0"/>
              <w:rPr>
                <w:noProof/>
                <w:color w:val="FFFFFF"/>
                <w:sz w:val="20"/>
                <w:szCs w:val="20"/>
                <w:lang w:val="en-US"/>
              </w:rPr>
            </w:pPr>
            <w:r w:rsidRPr="003E3396">
              <w:rPr>
                <w:b/>
                <w:noProof/>
                <w:color w:val="FFFFFF"/>
                <w:sz w:val="20"/>
                <w:szCs w:val="20"/>
                <w:lang w:val="en-US"/>
              </w:rPr>
              <w:t xml:space="preserve">StackIt (SKE) </w:t>
            </w:r>
          </w:p>
        </w:tc>
      </w:tr>
      <w:tr w:rsidR="00C8704C" w:rsidRPr="00D31817" w14:paraId="356FA5C8"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5836E87" w14:textId="77777777" w:rsidR="00C8704C" w:rsidRPr="003E3396" w:rsidRDefault="00C8704C" w:rsidP="003E3396">
            <w:pPr>
              <w:spacing w:after="0"/>
              <w:rPr>
                <w:noProof/>
                <w:sz w:val="20"/>
                <w:szCs w:val="20"/>
                <w:lang w:val="en-US"/>
              </w:rPr>
            </w:pPr>
            <w:r w:rsidRPr="003E3396">
              <w:rPr>
                <w:noProof/>
                <w:sz w:val="20"/>
                <w:szCs w:val="20"/>
                <w:lang w:val="en-US"/>
              </w:rPr>
              <w:t>Managed Kubernetes service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3401E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C39614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0564F7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A3269A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B0D2A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334A37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6717734"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737C12D" w14:textId="77777777" w:rsidR="00C8704C" w:rsidRPr="003E3396" w:rsidRDefault="00C8704C" w:rsidP="003E3396">
            <w:pPr>
              <w:spacing w:after="0"/>
              <w:rPr>
                <w:noProof/>
                <w:sz w:val="20"/>
                <w:szCs w:val="20"/>
                <w:lang w:val="en-US"/>
              </w:rPr>
            </w:pPr>
            <w:r w:rsidRPr="003E3396">
              <w:rPr>
                <w:noProof/>
                <w:sz w:val="20"/>
                <w:szCs w:val="20"/>
                <w:lang w:val="en-US"/>
              </w:rPr>
              <w:t>Serverless / managed container service (non-K8s)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0FA94D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82BFBF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A6E8EC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E68EDF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7D1B7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C940AD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09207D1"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79F70B8F" w14:textId="77777777" w:rsidR="00C8704C" w:rsidRPr="003E3396" w:rsidRDefault="00C8704C" w:rsidP="003E3396">
            <w:pPr>
              <w:spacing w:after="0"/>
              <w:rPr>
                <w:noProof/>
                <w:sz w:val="20"/>
                <w:szCs w:val="20"/>
                <w:lang w:val="en-US"/>
              </w:rPr>
            </w:pPr>
            <w:r w:rsidRPr="003E3396">
              <w:rPr>
                <w:noProof/>
                <w:sz w:val="20"/>
                <w:szCs w:val="20"/>
                <w:lang w:val="en-US"/>
              </w:rPr>
              <w:t>CNCF certified Kubernetes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5836EF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E443FC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4B50D8B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7797C44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4515D5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076972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0D9C01BB"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6D42A36E" w14:textId="77777777" w:rsidR="00C8704C" w:rsidRPr="003E3396" w:rsidRDefault="00C8704C" w:rsidP="003E3396">
            <w:pPr>
              <w:spacing w:after="0"/>
              <w:rPr>
                <w:noProof/>
                <w:sz w:val="20"/>
                <w:szCs w:val="20"/>
                <w:lang w:val="en-US"/>
              </w:rPr>
            </w:pPr>
            <w:r w:rsidRPr="003E3396">
              <w:rPr>
                <w:noProof/>
                <w:sz w:val="20"/>
                <w:szCs w:val="20"/>
                <w:lang w:val="en-US"/>
              </w:rPr>
              <w:t>Vanilla / upstream Kubernetes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3084B03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D6A08F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7E7191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7BB53A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8856A5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014D4D5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0227C8EB"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120" w:type="dxa"/>
              <w:bottom w:w="60" w:type="dxa"/>
              <w:right w:w="80" w:type="dxa"/>
            </w:tcMar>
            <w:vAlign w:val="center"/>
            <w:hideMark/>
          </w:tcPr>
          <w:p w14:paraId="34FB2C97" w14:textId="77777777" w:rsidR="00C8704C" w:rsidRPr="003E3396" w:rsidRDefault="00C8704C" w:rsidP="003E3396">
            <w:pPr>
              <w:spacing w:after="0"/>
              <w:rPr>
                <w:noProof/>
                <w:sz w:val="20"/>
                <w:szCs w:val="20"/>
                <w:lang w:val="en-US"/>
              </w:rPr>
            </w:pPr>
            <w:r w:rsidRPr="003E3396">
              <w:rPr>
                <w:noProof/>
                <w:sz w:val="20"/>
                <w:szCs w:val="20"/>
                <w:lang w:val="en-US"/>
              </w:rPr>
              <w:t>Latest K8s version availability speed</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2EA710A"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16FF56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5C96EDE3"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2530F5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2514FB2"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hemeFill="background1"/>
            <w:tcMar>
              <w:top w:w="60" w:type="dxa"/>
              <w:left w:w="80" w:type="dxa"/>
              <w:bottom w:w="60" w:type="dxa"/>
              <w:right w:w="80" w:type="dxa"/>
            </w:tcMar>
            <w:hideMark/>
          </w:tcPr>
          <w:p w14:paraId="646B444A"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6F9F3DD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B53806A" w14:textId="77777777" w:rsidR="00C8704C" w:rsidRPr="003E3396" w:rsidRDefault="00C8704C" w:rsidP="003E3396">
            <w:pPr>
              <w:spacing w:after="0"/>
              <w:rPr>
                <w:noProof/>
                <w:sz w:val="20"/>
                <w:szCs w:val="20"/>
                <w:lang w:val="en-US"/>
              </w:rPr>
            </w:pPr>
            <w:r w:rsidRPr="003E3396">
              <w:rPr>
                <w:noProof/>
                <w:sz w:val="20"/>
                <w:szCs w:val="20"/>
                <w:lang w:val="en-US"/>
              </w:rPr>
              <w:t>Extended version support (LTS)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D72405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31A642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681084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F268885"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4503E2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56DC80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C93C7B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B14024C" w14:textId="77777777" w:rsidR="00C8704C" w:rsidRPr="003E3396" w:rsidRDefault="00C8704C" w:rsidP="003E3396">
            <w:pPr>
              <w:spacing w:after="0"/>
              <w:rPr>
                <w:noProof/>
                <w:sz w:val="20"/>
                <w:szCs w:val="20"/>
                <w:lang w:val="en-US"/>
              </w:rPr>
            </w:pPr>
            <w:r w:rsidRPr="003E3396">
              <w:rPr>
                <w:noProof/>
                <w:sz w:val="20"/>
                <w:szCs w:val="20"/>
                <w:lang w:val="en-US"/>
              </w:rPr>
              <w:t>Managed / free control plane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9A9096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4DBA96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FF02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720198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57F812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8A380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57BC83F3"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C60D420" w14:textId="77777777" w:rsidR="00C8704C" w:rsidRPr="003E3396" w:rsidRDefault="00C8704C" w:rsidP="003E3396">
            <w:pPr>
              <w:spacing w:after="0"/>
              <w:rPr>
                <w:noProof/>
                <w:sz w:val="20"/>
                <w:szCs w:val="20"/>
                <w:lang w:val="en-US"/>
              </w:rPr>
            </w:pPr>
            <w:r w:rsidRPr="003E3396">
              <w:rPr>
                <w:noProof/>
                <w:sz w:val="20"/>
                <w:szCs w:val="20"/>
                <w:lang w:val="en-US"/>
              </w:rPr>
              <w:t>High-availability control plane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9B6AF0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064C25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480123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047B1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981CB4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361531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F5CA04C"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61ED3C5" w14:textId="77777777" w:rsidR="00C8704C" w:rsidRPr="003E3396" w:rsidRDefault="00C8704C" w:rsidP="003E3396">
            <w:pPr>
              <w:spacing w:after="0"/>
              <w:rPr>
                <w:noProof/>
                <w:sz w:val="20"/>
                <w:szCs w:val="20"/>
                <w:lang w:val="en-US"/>
              </w:rPr>
            </w:pPr>
            <w:r w:rsidRPr="003E3396">
              <w:rPr>
                <w:noProof/>
                <w:sz w:val="20"/>
                <w:szCs w:val="20"/>
                <w:lang w:val="en-US"/>
              </w:rPr>
              <w:t>Multi-AZ control plane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7AF2C3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641342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7A3F5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2DBD20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6153B06"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7861EE8"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3238D81C"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3F7E3A4F" w14:textId="77777777" w:rsidR="00C8704C" w:rsidRPr="003E3396" w:rsidRDefault="00C8704C" w:rsidP="003E3396">
            <w:pPr>
              <w:spacing w:after="0"/>
              <w:rPr>
                <w:noProof/>
                <w:sz w:val="20"/>
                <w:szCs w:val="20"/>
                <w:lang w:val="en-US"/>
              </w:rPr>
            </w:pPr>
            <w:r w:rsidRPr="003E3396">
              <w:rPr>
                <w:noProof/>
                <w:sz w:val="20"/>
                <w:szCs w:val="20"/>
                <w:lang w:val="en-US"/>
              </w:rPr>
              <w:t>Dedicated control plane (isolated)</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88FB3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D6D47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A0F7C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94D4E9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5CD3939"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D18F9EE"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60C00BA9"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9C769F0" w14:textId="77777777" w:rsidR="00C8704C" w:rsidRPr="003E3396" w:rsidRDefault="00C8704C" w:rsidP="003E3396">
            <w:pPr>
              <w:spacing w:after="0"/>
              <w:rPr>
                <w:noProof/>
                <w:sz w:val="20"/>
                <w:szCs w:val="20"/>
                <w:lang w:val="en-US"/>
              </w:rPr>
            </w:pPr>
            <w:r w:rsidRPr="003E3396">
              <w:rPr>
                <w:noProof/>
                <w:sz w:val="20"/>
                <w:szCs w:val="20"/>
                <w:lang w:val="en-US"/>
              </w:rPr>
              <w:t>Automatic control plane upgrades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237E5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576784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CF121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98F9CB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57CE4A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35C233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8D7EA5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28C36F3" w14:textId="77777777" w:rsidR="00C8704C" w:rsidRPr="003E3396" w:rsidRDefault="00C8704C" w:rsidP="003E3396">
            <w:pPr>
              <w:spacing w:after="0"/>
              <w:rPr>
                <w:noProof/>
                <w:sz w:val="20"/>
                <w:szCs w:val="20"/>
                <w:lang w:val="en-US"/>
              </w:rPr>
            </w:pPr>
            <w:r w:rsidRPr="003E3396">
              <w:rPr>
                <w:noProof/>
                <w:sz w:val="20"/>
                <w:szCs w:val="20"/>
                <w:lang w:val="en-US"/>
              </w:rPr>
              <w:t>Private (API server not public)</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824D8F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8A4BA5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28DC5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3E8DD7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784582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B37703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2C4E2D1D"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E45933F" w14:textId="77777777" w:rsidR="00C8704C" w:rsidRPr="003E3396" w:rsidRDefault="00C8704C" w:rsidP="003E3396">
            <w:pPr>
              <w:spacing w:after="0"/>
              <w:rPr>
                <w:noProof/>
                <w:sz w:val="20"/>
                <w:szCs w:val="20"/>
                <w:lang w:val="en-US"/>
              </w:rPr>
            </w:pPr>
            <w:r w:rsidRPr="003E3396">
              <w:rPr>
                <w:noProof/>
                <w:sz w:val="20"/>
                <w:szCs w:val="20"/>
                <w:lang w:val="en-US"/>
              </w:rPr>
              <w:t>Cluster self-repair / auto-healing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2EC5F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36D1B5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BBE186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BA9AF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FD8632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B61A6F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C01F1D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E2588E7" w14:textId="77777777" w:rsidR="00C8704C" w:rsidRPr="003E3396" w:rsidRDefault="00C8704C" w:rsidP="003E3396">
            <w:pPr>
              <w:spacing w:after="0"/>
              <w:rPr>
                <w:noProof/>
                <w:sz w:val="20"/>
                <w:szCs w:val="20"/>
                <w:lang w:val="en-US"/>
              </w:rPr>
            </w:pPr>
            <w:r w:rsidRPr="003E3396">
              <w:rPr>
                <w:noProof/>
                <w:sz w:val="20"/>
                <w:szCs w:val="20"/>
                <w:lang w:val="en-US"/>
              </w:rPr>
              <w:t>Multiple clusters per project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101D7D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EC134D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5159DC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952F4E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E89DCF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9EEDF8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F494C3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31A6CC79" w14:textId="77777777" w:rsidR="00C8704C" w:rsidRPr="003E3396" w:rsidRDefault="00C8704C" w:rsidP="003E3396">
            <w:pPr>
              <w:spacing w:after="0"/>
              <w:rPr>
                <w:noProof/>
                <w:sz w:val="20"/>
                <w:szCs w:val="20"/>
                <w:lang w:val="en-US"/>
              </w:rPr>
            </w:pPr>
            <w:r w:rsidRPr="003E3396">
              <w:rPr>
                <w:noProof/>
                <w:sz w:val="20"/>
                <w:szCs w:val="20"/>
                <w:lang w:val="en-US"/>
              </w:rPr>
              <w:t>Multiple node pools per cluster</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6FF06D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0B71C0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BA5CC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78544C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ABAEF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B657BC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0556DFDD"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9FCCCAA" w14:textId="77777777" w:rsidR="00C8704C" w:rsidRPr="003E3396" w:rsidRDefault="00C8704C" w:rsidP="003E3396">
            <w:pPr>
              <w:spacing w:after="0"/>
              <w:rPr>
                <w:noProof/>
                <w:sz w:val="20"/>
                <w:szCs w:val="20"/>
                <w:lang w:val="en-US"/>
              </w:rPr>
            </w:pPr>
            <w:r w:rsidRPr="003E3396">
              <w:rPr>
                <w:noProof/>
                <w:sz w:val="20"/>
                <w:szCs w:val="20"/>
                <w:lang w:val="en-US"/>
              </w:rPr>
              <w:t>Custom node pool sizing (CPU/RAM)</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447FE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8ECB61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C114D2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CA3DC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FB1600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2BE9B4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58FAF7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0D6CD31" w14:textId="77777777" w:rsidR="00C8704C" w:rsidRPr="003E3396" w:rsidRDefault="00C8704C" w:rsidP="003E3396">
            <w:pPr>
              <w:spacing w:after="0"/>
              <w:rPr>
                <w:noProof/>
                <w:sz w:val="20"/>
                <w:szCs w:val="20"/>
                <w:lang w:val="en-US"/>
              </w:rPr>
            </w:pPr>
            <w:r w:rsidRPr="003E3396">
              <w:rPr>
                <w:noProof/>
                <w:sz w:val="20"/>
                <w:szCs w:val="20"/>
                <w:lang w:val="en-US"/>
              </w:rPr>
              <w:t>GPU node pools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8ABB9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44ACA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437F6E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206C86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942761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5B8974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38A4ECF"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44A748A" w14:textId="77777777" w:rsidR="00C8704C" w:rsidRPr="003E3396" w:rsidRDefault="00C8704C" w:rsidP="003E3396">
            <w:pPr>
              <w:spacing w:after="0"/>
              <w:rPr>
                <w:noProof/>
                <w:sz w:val="20"/>
                <w:szCs w:val="20"/>
                <w:lang w:val="en-US"/>
              </w:rPr>
            </w:pPr>
            <w:r w:rsidRPr="003E3396">
              <w:rPr>
                <w:noProof/>
                <w:sz w:val="20"/>
                <w:szCs w:val="20"/>
                <w:lang w:val="en-US"/>
              </w:rPr>
              <w:t>Spot / preemptible node pools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765C0F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5A81CE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D6A39C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F36D83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612734D"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CDE345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6675A9B6"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BFE4261" w14:textId="77777777" w:rsidR="00C8704C" w:rsidRPr="003E3396" w:rsidRDefault="00C8704C" w:rsidP="003E3396">
            <w:pPr>
              <w:spacing w:after="0"/>
              <w:rPr>
                <w:noProof/>
                <w:sz w:val="20"/>
                <w:szCs w:val="20"/>
                <w:lang w:val="en-US"/>
              </w:rPr>
            </w:pPr>
            <w:r w:rsidRPr="003E3396">
              <w:rPr>
                <w:noProof/>
                <w:sz w:val="20"/>
                <w:szCs w:val="20"/>
                <w:lang w:val="en-US"/>
              </w:rPr>
              <w:t>Node auto-repair</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4453B5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F03142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42842C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796B1D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30A3D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40A9EA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6F7D1C49"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AFC8FAC" w14:textId="77777777" w:rsidR="00C8704C" w:rsidRPr="003E3396" w:rsidRDefault="00C8704C" w:rsidP="003E3396">
            <w:pPr>
              <w:spacing w:after="0"/>
              <w:rPr>
                <w:noProof/>
                <w:sz w:val="20"/>
                <w:szCs w:val="20"/>
                <w:lang w:val="en-US"/>
              </w:rPr>
            </w:pPr>
            <w:r w:rsidRPr="003E3396">
              <w:rPr>
                <w:noProof/>
                <w:sz w:val="20"/>
                <w:szCs w:val="20"/>
                <w:lang w:val="en-US"/>
              </w:rPr>
              <w:t>Automatic node OS upgrades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208A2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61F89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8B096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6F3BB7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F6C579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A692A0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6423116D"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DB31801" w14:textId="77777777" w:rsidR="00C8704C" w:rsidRPr="003E3396" w:rsidRDefault="00C8704C" w:rsidP="003E3396">
            <w:pPr>
              <w:spacing w:after="0"/>
              <w:rPr>
                <w:noProof/>
                <w:sz w:val="20"/>
                <w:szCs w:val="20"/>
                <w:lang w:val="en-US"/>
              </w:rPr>
            </w:pPr>
            <w:r w:rsidRPr="003E3396">
              <w:rPr>
                <w:noProof/>
                <w:sz w:val="20"/>
                <w:szCs w:val="20"/>
                <w:lang w:val="en-US"/>
              </w:rPr>
              <w:t>Bare metal worker nodes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AAC9F0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B5DA00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1D0967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28307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2D8F12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A8DC9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922B32E"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30605F83" w14:textId="77777777" w:rsidR="00C8704C" w:rsidRPr="003E3396" w:rsidRDefault="00C8704C" w:rsidP="003E3396">
            <w:pPr>
              <w:spacing w:after="0"/>
              <w:rPr>
                <w:noProof/>
                <w:sz w:val="20"/>
                <w:szCs w:val="20"/>
                <w:lang w:val="en-US"/>
              </w:rPr>
            </w:pPr>
            <w:r w:rsidRPr="003E3396">
              <w:rPr>
                <w:noProof/>
                <w:sz w:val="20"/>
                <w:szCs w:val="20"/>
                <w:lang w:val="en-US"/>
              </w:rPr>
              <w:t>Cluster / node autoscaler</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C3CE10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92C65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7CF624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F9140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38153A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37275E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59E94F73"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340BA63" w14:textId="77777777" w:rsidR="00C8704C" w:rsidRPr="003E3396" w:rsidRDefault="00C8704C" w:rsidP="003E3396">
            <w:pPr>
              <w:spacing w:after="0"/>
              <w:rPr>
                <w:noProof/>
                <w:sz w:val="20"/>
                <w:szCs w:val="20"/>
                <w:lang w:val="en-US"/>
              </w:rPr>
            </w:pPr>
            <w:r w:rsidRPr="003E3396">
              <w:rPr>
                <w:noProof/>
                <w:sz w:val="20"/>
                <w:szCs w:val="20"/>
                <w:lang w:val="en-US"/>
              </w:rPr>
              <w:t>Horizontal Pod Autoscaler (HPA)</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53B372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C01FD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493912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C33F7E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0BA535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1C760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24B4FED4"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699C53E" w14:textId="77777777" w:rsidR="00C8704C" w:rsidRPr="003E3396" w:rsidRDefault="00C8704C" w:rsidP="003E3396">
            <w:pPr>
              <w:spacing w:after="0"/>
              <w:rPr>
                <w:noProof/>
                <w:sz w:val="20"/>
                <w:szCs w:val="20"/>
                <w:lang w:val="en-US"/>
              </w:rPr>
            </w:pPr>
            <w:r w:rsidRPr="003E3396">
              <w:rPr>
                <w:noProof/>
                <w:sz w:val="20"/>
                <w:szCs w:val="20"/>
                <w:lang w:val="en-US"/>
              </w:rPr>
              <w:t>Vertical Pod Autoscaler (VPA)</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30CCE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F3119D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9B97D9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C12CE16"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878F47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34838BA"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751DB198"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EA0DAE3" w14:textId="77777777" w:rsidR="00C8704C" w:rsidRPr="003E3396" w:rsidRDefault="00C8704C" w:rsidP="003E3396">
            <w:pPr>
              <w:spacing w:after="0"/>
              <w:rPr>
                <w:noProof/>
                <w:sz w:val="20"/>
                <w:szCs w:val="20"/>
                <w:lang w:val="en-US"/>
              </w:rPr>
            </w:pPr>
            <w:r w:rsidRPr="003E3396">
              <w:rPr>
                <w:noProof/>
                <w:sz w:val="20"/>
                <w:szCs w:val="20"/>
                <w:lang w:val="en-US"/>
              </w:rPr>
              <w:t>Event-driven autoscaling (KEDA)</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FA286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6EDE85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FF820E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D135E6A"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B19E531"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7A7D18"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17BC52E3"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0F33170C" w14:textId="77777777" w:rsidR="00C8704C" w:rsidRPr="003E3396" w:rsidRDefault="00C8704C" w:rsidP="003E3396">
            <w:pPr>
              <w:spacing w:after="0"/>
              <w:rPr>
                <w:noProof/>
                <w:sz w:val="20"/>
                <w:szCs w:val="20"/>
                <w:lang w:val="en-US"/>
              </w:rPr>
            </w:pPr>
            <w:r w:rsidRPr="003E3396">
              <w:rPr>
                <w:noProof/>
                <w:sz w:val="20"/>
                <w:szCs w:val="20"/>
                <w:lang w:val="en-US"/>
              </w:rPr>
              <w:t>Autopilot / serverless node provisioning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607E08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73D8B9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F20CC97"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855813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34A017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26920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2BFBC706"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EC4811E" w14:textId="77777777" w:rsidR="00C8704C" w:rsidRPr="003E3396" w:rsidRDefault="00C8704C" w:rsidP="003E3396">
            <w:pPr>
              <w:spacing w:after="0"/>
              <w:rPr>
                <w:noProof/>
                <w:sz w:val="20"/>
                <w:szCs w:val="20"/>
                <w:lang w:val="en-US"/>
              </w:rPr>
            </w:pPr>
            <w:r w:rsidRPr="003E3396">
              <w:rPr>
                <w:noProof/>
                <w:sz w:val="20"/>
                <w:szCs w:val="20"/>
                <w:lang w:val="en-US"/>
              </w:rPr>
              <w:t>Scale-to-zero / scheduled shutdown</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39A2DA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CD5F34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6E39B1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4C11A64"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F1E5D25"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E8471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BF09BDC"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50EF536" w14:textId="77777777" w:rsidR="00C8704C" w:rsidRPr="003E3396" w:rsidRDefault="00C8704C" w:rsidP="003E3396">
            <w:pPr>
              <w:spacing w:after="0"/>
              <w:rPr>
                <w:noProof/>
                <w:sz w:val="20"/>
                <w:szCs w:val="20"/>
                <w:lang w:val="en-US"/>
              </w:rPr>
            </w:pPr>
            <w:r w:rsidRPr="003E3396">
              <w:rPr>
                <w:noProof/>
                <w:sz w:val="20"/>
                <w:szCs w:val="20"/>
                <w:lang w:val="en-US"/>
              </w:rPr>
              <w:t>VPC / private network integration</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9E2161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17786B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1770F9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F9CEA4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1D5172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6E576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6B94F8EA"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8982DA5" w14:textId="77777777" w:rsidR="00C8704C" w:rsidRPr="003E3396" w:rsidRDefault="00C8704C" w:rsidP="003E3396">
            <w:pPr>
              <w:spacing w:after="0"/>
              <w:rPr>
                <w:noProof/>
                <w:sz w:val="20"/>
                <w:szCs w:val="20"/>
                <w:lang w:val="en-US"/>
              </w:rPr>
            </w:pPr>
            <w:r w:rsidRPr="003E3396">
              <w:rPr>
                <w:noProof/>
                <w:sz w:val="20"/>
                <w:szCs w:val="20"/>
                <w:lang w:val="en-US"/>
              </w:rPr>
              <w:t>Managed load balancer (ingress)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11C144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D42622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6BD1A4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FA6365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80717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88CC60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2BD905E"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D1E2012" w14:textId="77777777" w:rsidR="00C8704C" w:rsidRPr="003E3396" w:rsidRDefault="00C8704C" w:rsidP="003E3396">
            <w:pPr>
              <w:spacing w:after="0"/>
              <w:rPr>
                <w:noProof/>
                <w:sz w:val="20"/>
                <w:szCs w:val="20"/>
                <w:lang w:val="en-US"/>
              </w:rPr>
            </w:pPr>
            <w:r w:rsidRPr="003E3396">
              <w:rPr>
                <w:noProof/>
                <w:sz w:val="20"/>
                <w:szCs w:val="20"/>
                <w:lang w:val="en-US"/>
              </w:rPr>
              <w:t>Network policies (CNI)</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7C11E2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6AE2F7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3606AC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4EE5AF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724B8C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D19E9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5A86B77"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D5868F9" w14:textId="77777777" w:rsidR="00C8704C" w:rsidRPr="003E3396" w:rsidRDefault="00C8704C" w:rsidP="003E3396">
            <w:pPr>
              <w:spacing w:after="0"/>
              <w:rPr>
                <w:noProof/>
                <w:sz w:val="20"/>
                <w:szCs w:val="20"/>
                <w:lang w:val="en-US"/>
              </w:rPr>
            </w:pPr>
            <w:r w:rsidRPr="003E3396">
              <w:rPr>
                <w:noProof/>
                <w:sz w:val="20"/>
                <w:szCs w:val="20"/>
                <w:lang w:val="en-US"/>
              </w:rPr>
              <w:t>Cilium CNI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3BFF7F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699958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D0A362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BCD704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3585D0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FF5D99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55F841C"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92F7B56" w14:textId="77777777" w:rsidR="00C8704C" w:rsidRPr="003E3396" w:rsidRDefault="00C8704C" w:rsidP="003E3396">
            <w:pPr>
              <w:spacing w:after="0"/>
              <w:rPr>
                <w:noProof/>
                <w:sz w:val="20"/>
                <w:szCs w:val="20"/>
                <w:lang w:val="en-US"/>
              </w:rPr>
            </w:pPr>
            <w:r w:rsidRPr="003E3396">
              <w:rPr>
                <w:noProof/>
                <w:sz w:val="20"/>
                <w:szCs w:val="20"/>
                <w:lang w:val="en-US"/>
              </w:rPr>
              <w:t>Service mesh integration (Istio/Linkerd)</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D9B7A8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0B8FA5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368BF4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7E3725"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9165D0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9FCE164"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41552D2E"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0C5BE44A" w14:textId="77777777" w:rsidR="00C8704C" w:rsidRPr="003E3396" w:rsidRDefault="00C8704C" w:rsidP="003E3396">
            <w:pPr>
              <w:spacing w:after="0"/>
              <w:rPr>
                <w:noProof/>
                <w:sz w:val="20"/>
                <w:szCs w:val="20"/>
                <w:lang w:val="en-US"/>
              </w:rPr>
            </w:pPr>
            <w:r w:rsidRPr="003E3396">
              <w:rPr>
                <w:noProof/>
                <w:sz w:val="20"/>
                <w:szCs w:val="20"/>
                <w:lang w:val="en-US"/>
              </w:rPr>
              <w:t>IPv6 cluster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C51B49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58ABAB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28A8A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0DA3F9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FC77865"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262BF64"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1029A3B9"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BB30CFB" w14:textId="77777777" w:rsidR="00C8704C" w:rsidRPr="003E3396" w:rsidRDefault="00C8704C" w:rsidP="003E3396">
            <w:pPr>
              <w:spacing w:after="0"/>
              <w:rPr>
                <w:noProof/>
                <w:sz w:val="20"/>
                <w:szCs w:val="20"/>
                <w:lang w:val="en-US"/>
              </w:rPr>
            </w:pPr>
            <w:r w:rsidRPr="003E3396">
              <w:rPr>
                <w:noProof/>
                <w:sz w:val="20"/>
                <w:szCs w:val="20"/>
                <w:lang w:val="en-US"/>
              </w:rPr>
              <w:t>Ingress / Gateway API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F06002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43FD11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F448CA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3D40EA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943C4EF"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7E6E69C"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31DEA814"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87ABAC3" w14:textId="77777777" w:rsidR="00C8704C" w:rsidRPr="003E3396" w:rsidRDefault="00C8704C" w:rsidP="003E3396">
            <w:pPr>
              <w:spacing w:after="0"/>
              <w:rPr>
                <w:noProof/>
                <w:sz w:val="20"/>
                <w:szCs w:val="20"/>
                <w:lang w:val="en-US"/>
              </w:rPr>
            </w:pPr>
            <w:r w:rsidRPr="003E3396">
              <w:rPr>
                <w:noProof/>
                <w:sz w:val="20"/>
                <w:szCs w:val="20"/>
                <w:lang w:val="en-US"/>
              </w:rPr>
              <w:t>Private nodes (no public IPs)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75B9A6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03FAA9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580A47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332773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214813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7AD63E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56ECFC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5E2D737" w14:textId="77777777" w:rsidR="00C8704C" w:rsidRPr="003E3396" w:rsidRDefault="00C8704C" w:rsidP="003E3396">
            <w:pPr>
              <w:spacing w:after="0"/>
              <w:rPr>
                <w:noProof/>
                <w:sz w:val="20"/>
                <w:szCs w:val="20"/>
                <w:lang w:val="en-US"/>
              </w:rPr>
            </w:pPr>
            <w:r w:rsidRPr="003E3396">
              <w:rPr>
                <w:noProof/>
                <w:sz w:val="20"/>
                <w:szCs w:val="20"/>
                <w:lang w:val="en-US"/>
              </w:rPr>
              <w:t>Persistent volumes (block storage)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672B8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FEA08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D605E5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510E60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55AF5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34DF7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C33ACDE"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725A117" w14:textId="77777777" w:rsidR="00C8704C" w:rsidRPr="003E3396" w:rsidRDefault="00C8704C" w:rsidP="003E3396">
            <w:pPr>
              <w:spacing w:after="0"/>
              <w:rPr>
                <w:noProof/>
                <w:sz w:val="20"/>
                <w:szCs w:val="20"/>
                <w:lang w:val="en-US"/>
              </w:rPr>
            </w:pPr>
            <w:r w:rsidRPr="003E3396">
              <w:rPr>
                <w:noProof/>
                <w:sz w:val="20"/>
                <w:szCs w:val="20"/>
                <w:lang w:val="en-US"/>
              </w:rPr>
              <w:t>ReadWriteMany (RWX) volumes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9A1D81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0EC5B1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66FBF6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80D91E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A418F3"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15DF2AD"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343CC2FF"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057B8835" w14:textId="77777777" w:rsidR="00C8704C" w:rsidRPr="003E3396" w:rsidRDefault="00C8704C" w:rsidP="003E3396">
            <w:pPr>
              <w:spacing w:after="0"/>
              <w:rPr>
                <w:noProof/>
                <w:sz w:val="20"/>
                <w:szCs w:val="20"/>
                <w:lang w:val="en-US"/>
              </w:rPr>
            </w:pPr>
            <w:r w:rsidRPr="003E3396">
              <w:rPr>
                <w:noProof/>
                <w:sz w:val="20"/>
                <w:szCs w:val="20"/>
                <w:lang w:val="en-US"/>
              </w:rPr>
              <w:t>Managed NFS / file storage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F251EA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1534B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E9376A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A3B53A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1054B51"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32742DC"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6C220C1E"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A1178A5" w14:textId="77777777" w:rsidR="00C8704C" w:rsidRPr="003E3396" w:rsidRDefault="00C8704C" w:rsidP="003E3396">
            <w:pPr>
              <w:spacing w:after="0"/>
              <w:rPr>
                <w:noProof/>
                <w:sz w:val="20"/>
                <w:szCs w:val="20"/>
                <w:lang w:val="en-US"/>
              </w:rPr>
            </w:pPr>
            <w:r w:rsidRPr="003E3396">
              <w:rPr>
                <w:noProof/>
                <w:sz w:val="20"/>
                <w:szCs w:val="20"/>
                <w:lang w:val="en-US"/>
              </w:rPr>
              <w:t xml:space="preserve">Dynamic volume provisioning </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4E1AC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E65E6A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64FAFB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A1538A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2A4BF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0B0DD2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6A7340D4"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137D601" w14:textId="77777777" w:rsidR="00C8704C" w:rsidRPr="003E3396" w:rsidRDefault="00C8704C" w:rsidP="003E3396">
            <w:pPr>
              <w:spacing w:after="0"/>
              <w:rPr>
                <w:noProof/>
                <w:sz w:val="20"/>
                <w:szCs w:val="20"/>
                <w:lang w:val="en-US"/>
              </w:rPr>
            </w:pPr>
            <w:r w:rsidRPr="003E3396">
              <w:rPr>
                <w:noProof/>
                <w:sz w:val="20"/>
                <w:szCs w:val="20"/>
                <w:lang w:val="en-US"/>
              </w:rPr>
              <w:t>Encrypted storage at rest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619CEF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72685A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E2CF1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72F29E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768460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529D8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3A9D086"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28AE299" w14:textId="77777777" w:rsidR="00C8704C" w:rsidRPr="003E3396" w:rsidRDefault="00C8704C" w:rsidP="003E3396">
            <w:pPr>
              <w:spacing w:after="0"/>
              <w:rPr>
                <w:noProof/>
                <w:sz w:val="20"/>
                <w:szCs w:val="20"/>
                <w:lang w:val="en-US"/>
              </w:rPr>
            </w:pPr>
            <w:r w:rsidRPr="003E3396">
              <w:rPr>
                <w:noProof/>
                <w:sz w:val="20"/>
                <w:szCs w:val="20"/>
                <w:lang w:val="en-US"/>
              </w:rPr>
              <w:t>Volume snapshots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52402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18AE45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867580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FA86CF2"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B682B13"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649435A"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47C51D60"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4B19632" w14:textId="77777777" w:rsidR="00C8704C" w:rsidRPr="003E3396" w:rsidRDefault="00C8704C" w:rsidP="003E3396">
            <w:pPr>
              <w:spacing w:after="0"/>
              <w:rPr>
                <w:noProof/>
                <w:sz w:val="20"/>
                <w:szCs w:val="20"/>
                <w:lang w:val="fr-BE"/>
              </w:rPr>
            </w:pPr>
            <w:r w:rsidRPr="003E3396">
              <w:rPr>
                <w:noProof/>
                <w:sz w:val="20"/>
                <w:szCs w:val="20"/>
                <w:lang w:val="en-US"/>
              </w:rPr>
              <w:t>Managed private container registry</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BDBDD32"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CC1A99E"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C95062A"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C1A4528"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DC0FCF"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35750D8" w14:textId="77777777" w:rsidR="00C8704C" w:rsidRPr="003E3396" w:rsidRDefault="00C8704C" w:rsidP="003E3396">
            <w:pPr>
              <w:spacing w:after="0"/>
              <w:rPr>
                <w:noProof/>
                <w:sz w:val="20"/>
                <w:szCs w:val="20"/>
                <w:lang w:val="fr-BE"/>
              </w:rPr>
            </w:pPr>
            <w:r w:rsidRPr="003E3396">
              <w:rPr>
                <w:rFonts w:ascii="Segoe UI Symbol" w:hAnsi="Segoe UI Symbol" w:cs="Segoe UI Symbol"/>
                <w:noProof/>
                <w:sz w:val="20"/>
                <w:szCs w:val="20"/>
                <w:lang w:val="en-US"/>
              </w:rPr>
              <w:t>✓</w:t>
            </w:r>
          </w:p>
        </w:tc>
      </w:tr>
      <w:tr w:rsidR="00C8704C" w:rsidRPr="00D31817" w14:paraId="2B447AFB"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004BA79" w14:textId="77777777" w:rsidR="00C8704C" w:rsidRPr="003E3396" w:rsidRDefault="00C8704C" w:rsidP="003E3396">
            <w:pPr>
              <w:spacing w:after="0"/>
              <w:rPr>
                <w:noProof/>
                <w:sz w:val="20"/>
                <w:szCs w:val="20"/>
                <w:lang w:val="fr-BE"/>
              </w:rPr>
            </w:pPr>
            <w:r w:rsidRPr="003E3396">
              <w:rPr>
                <w:noProof/>
                <w:sz w:val="20"/>
                <w:szCs w:val="20"/>
                <w:lang w:val="en-US"/>
              </w:rPr>
              <w:t>OCI &amp; Helm artifact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072A28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8D2D8F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BDA11C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7E8343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227FBA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EEB93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FABC598"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D2EAD4C" w14:textId="77777777" w:rsidR="00C8704C" w:rsidRPr="003E3396" w:rsidRDefault="00C8704C" w:rsidP="003E3396">
            <w:pPr>
              <w:spacing w:after="0"/>
              <w:rPr>
                <w:noProof/>
                <w:sz w:val="20"/>
                <w:szCs w:val="20"/>
                <w:lang w:val="en-US"/>
              </w:rPr>
            </w:pPr>
            <w:r w:rsidRPr="003E3396">
              <w:rPr>
                <w:noProof/>
                <w:sz w:val="20"/>
                <w:szCs w:val="20"/>
                <w:lang w:val="en-US"/>
              </w:rPr>
              <w:t>Image vulnerability scanning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2BB2CB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1AEC50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8C9EDB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5B0A71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5063C7A"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4ACD1D"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238D28C4"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BC8665B" w14:textId="77777777" w:rsidR="00C8704C" w:rsidRPr="003E3396" w:rsidRDefault="00C8704C" w:rsidP="003E3396">
            <w:pPr>
              <w:spacing w:after="0"/>
              <w:rPr>
                <w:noProof/>
                <w:sz w:val="20"/>
                <w:szCs w:val="20"/>
                <w:lang w:val="en-US"/>
              </w:rPr>
            </w:pPr>
            <w:r w:rsidRPr="003E3396">
              <w:rPr>
                <w:noProof/>
                <w:sz w:val="20"/>
                <w:szCs w:val="20"/>
                <w:lang w:val="en-US"/>
              </w:rPr>
              <w:t>Geo-replication of registry</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0BA0E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329854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AEAE53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067279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066E52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7221F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50504BFF"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961B799" w14:textId="77777777" w:rsidR="00C8704C" w:rsidRPr="003E3396" w:rsidRDefault="00C8704C" w:rsidP="003E3396">
            <w:pPr>
              <w:spacing w:after="0"/>
              <w:rPr>
                <w:noProof/>
                <w:sz w:val="20"/>
                <w:szCs w:val="20"/>
                <w:lang w:val="en-US"/>
              </w:rPr>
            </w:pPr>
            <w:r w:rsidRPr="003E3396">
              <w:rPr>
                <w:noProof/>
                <w:sz w:val="20"/>
                <w:szCs w:val="20"/>
                <w:lang w:val="en-US"/>
              </w:rPr>
              <w:t>Registry integrated with K8s cluster</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CD64F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A71F4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4681F4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984552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4C4D1F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DB83ED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F8FE9A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338059F7" w14:textId="77777777" w:rsidR="00C8704C" w:rsidRPr="003E3396" w:rsidRDefault="00C8704C" w:rsidP="003E3396">
            <w:pPr>
              <w:spacing w:after="0"/>
              <w:rPr>
                <w:noProof/>
                <w:sz w:val="20"/>
                <w:szCs w:val="20"/>
                <w:lang w:val="en-US"/>
              </w:rPr>
            </w:pPr>
            <w:r w:rsidRPr="003E3396">
              <w:rPr>
                <w:noProof/>
                <w:sz w:val="20"/>
                <w:szCs w:val="20"/>
                <w:lang w:val="en-US"/>
              </w:rPr>
              <w:t>RBAC (role-based access control)</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083AE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CC7EE5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D0FF55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8450EF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C5BB7D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5A900C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3766DFA"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F035BD9" w14:textId="77777777" w:rsidR="00C8704C" w:rsidRPr="003E3396" w:rsidRDefault="00C8704C" w:rsidP="003E3396">
            <w:pPr>
              <w:spacing w:after="0"/>
              <w:rPr>
                <w:noProof/>
                <w:sz w:val="20"/>
                <w:szCs w:val="20"/>
                <w:lang w:val="en-US"/>
              </w:rPr>
            </w:pPr>
            <w:r w:rsidRPr="003E3396">
              <w:rPr>
                <w:noProof/>
                <w:sz w:val="20"/>
                <w:szCs w:val="20"/>
                <w:lang w:val="en-US"/>
              </w:rPr>
              <w:t>OIDC / SSO authentication</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EE765E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E3C3E9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83AA04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C242AD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28D8DBF"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B839EF9"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5D9484D0"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1660084" w14:textId="77777777" w:rsidR="00C8704C" w:rsidRPr="003E3396" w:rsidRDefault="00C8704C" w:rsidP="003E3396">
            <w:pPr>
              <w:spacing w:after="0"/>
              <w:rPr>
                <w:noProof/>
                <w:sz w:val="20"/>
                <w:szCs w:val="20"/>
                <w:lang w:val="en-US"/>
              </w:rPr>
            </w:pPr>
            <w:r w:rsidRPr="003E3396">
              <w:rPr>
                <w:noProof/>
                <w:sz w:val="20"/>
                <w:szCs w:val="20"/>
                <w:lang w:val="en-US"/>
              </w:rPr>
              <w:t>Pod Security Standards (PSS)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12E829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055F03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ED61C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CCBA83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C0118E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12618D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67868A1"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5B81820" w14:textId="77777777" w:rsidR="00C8704C" w:rsidRPr="003E3396" w:rsidRDefault="00C8704C" w:rsidP="003E3396">
            <w:pPr>
              <w:spacing w:after="0"/>
              <w:rPr>
                <w:noProof/>
                <w:sz w:val="20"/>
                <w:szCs w:val="20"/>
                <w:lang w:val="en-US"/>
              </w:rPr>
            </w:pPr>
            <w:r w:rsidRPr="003E3396">
              <w:rPr>
                <w:noProof/>
                <w:sz w:val="20"/>
                <w:szCs w:val="20"/>
                <w:lang w:val="en-US"/>
              </w:rPr>
              <w:t>Secrets management (KMS integrated)</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282411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A0700E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9BB05B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6D84A3B"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2A464D2"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7BC8648"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38EFF43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2452A542" w14:textId="77777777" w:rsidR="00C8704C" w:rsidRPr="003E3396" w:rsidRDefault="00C8704C" w:rsidP="003E3396">
            <w:pPr>
              <w:spacing w:after="0"/>
              <w:rPr>
                <w:noProof/>
                <w:sz w:val="20"/>
                <w:szCs w:val="20"/>
                <w:lang w:val="en-US"/>
              </w:rPr>
            </w:pPr>
            <w:r w:rsidRPr="003E3396">
              <w:rPr>
                <w:noProof/>
                <w:sz w:val="20"/>
                <w:szCs w:val="20"/>
                <w:lang w:val="en-US"/>
              </w:rPr>
              <w:t>Network policy enforcement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19A945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23AA73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F2F189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CCE561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2CA251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FFD068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460AB93"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8787190" w14:textId="77777777" w:rsidR="00C8704C" w:rsidRPr="003E3396" w:rsidRDefault="00C8704C" w:rsidP="003E3396">
            <w:pPr>
              <w:spacing w:after="0"/>
              <w:rPr>
                <w:noProof/>
                <w:sz w:val="20"/>
                <w:szCs w:val="20"/>
                <w:lang w:val="en-US"/>
              </w:rPr>
            </w:pPr>
            <w:r w:rsidRPr="003E3396">
              <w:rPr>
                <w:noProof/>
                <w:sz w:val="20"/>
                <w:szCs w:val="20"/>
                <w:lang w:val="en-US"/>
              </w:rPr>
              <w:t>Image signing / admission control</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FA9991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864251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4F07DE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91B2C35"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27BE1EB"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596C717"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2994D08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BA307BB" w14:textId="77777777" w:rsidR="00C8704C" w:rsidRPr="003E3396" w:rsidRDefault="00C8704C" w:rsidP="003E3396">
            <w:pPr>
              <w:spacing w:after="0"/>
              <w:rPr>
                <w:noProof/>
                <w:sz w:val="20"/>
                <w:szCs w:val="20"/>
                <w:lang w:val="en-US"/>
              </w:rPr>
            </w:pPr>
            <w:r w:rsidRPr="003E3396">
              <w:rPr>
                <w:noProof/>
                <w:sz w:val="20"/>
                <w:szCs w:val="20"/>
                <w:lang w:val="en-US"/>
              </w:rPr>
              <w:t>Confidential Kubernetes / TEE nodes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86C8F4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C0E0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D7BC0D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FA16800"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E1F798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8860C5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4FAB3B7"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4D0FCFB6" w14:textId="77777777" w:rsidR="00C8704C" w:rsidRPr="003E3396" w:rsidRDefault="00C8704C" w:rsidP="003E3396">
            <w:pPr>
              <w:spacing w:after="0"/>
              <w:rPr>
                <w:noProof/>
                <w:sz w:val="20"/>
                <w:szCs w:val="20"/>
                <w:lang w:val="en-US"/>
              </w:rPr>
            </w:pPr>
            <w:r w:rsidRPr="003E3396">
              <w:rPr>
                <w:noProof/>
                <w:sz w:val="20"/>
                <w:szCs w:val="20"/>
                <w:lang w:val="en-US"/>
              </w:rPr>
              <w:t>Audit logging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2A053B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B8116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F7FB32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108646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A01056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4394AE3"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0EB38B61"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0CD57BC" w14:textId="77777777" w:rsidR="00C8704C" w:rsidRPr="003E3396" w:rsidRDefault="00C8704C" w:rsidP="003E3396">
            <w:pPr>
              <w:spacing w:after="0"/>
              <w:rPr>
                <w:noProof/>
                <w:sz w:val="20"/>
                <w:szCs w:val="20"/>
                <w:lang w:val="en-US"/>
              </w:rPr>
            </w:pPr>
            <w:r w:rsidRPr="003E3396">
              <w:rPr>
                <w:noProof/>
                <w:sz w:val="20"/>
                <w:szCs w:val="20"/>
                <w:lang w:val="en-US"/>
              </w:rPr>
              <w:t>Built-in monitoring (metrics)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0ABA27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3854B1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B9D5A6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A15CEF"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F771610"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6964A77"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110DF81D"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8F6BB0B" w14:textId="77777777" w:rsidR="00C8704C" w:rsidRPr="003E3396" w:rsidRDefault="00C8704C" w:rsidP="003E3396">
            <w:pPr>
              <w:spacing w:after="0"/>
              <w:rPr>
                <w:noProof/>
                <w:sz w:val="20"/>
                <w:szCs w:val="20"/>
                <w:lang w:val="en-US"/>
              </w:rPr>
            </w:pPr>
            <w:r w:rsidRPr="003E3396">
              <w:rPr>
                <w:noProof/>
                <w:sz w:val="20"/>
                <w:szCs w:val="20"/>
                <w:lang w:val="en-US"/>
              </w:rPr>
              <w:t>Built-in logging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C724E5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833518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3CC0C59"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6029DC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D6BC744"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AC84BBB"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2379FF4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FF42655" w14:textId="77777777" w:rsidR="00C8704C" w:rsidRPr="003E3396" w:rsidRDefault="00C8704C" w:rsidP="003E3396">
            <w:pPr>
              <w:spacing w:after="0"/>
              <w:rPr>
                <w:noProof/>
                <w:sz w:val="20"/>
                <w:szCs w:val="20"/>
                <w:lang w:val="en-US"/>
              </w:rPr>
            </w:pPr>
            <w:r w:rsidRPr="003E3396">
              <w:rPr>
                <w:noProof/>
                <w:sz w:val="20"/>
                <w:szCs w:val="20"/>
                <w:lang w:val="en-US"/>
              </w:rPr>
              <w:t>Prometheus / Grafana integration</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6F74C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2DEDCD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CAFDF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87CFE9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3F99E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8FF415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7E7C30A9"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A42C60C" w14:textId="77777777" w:rsidR="00C8704C" w:rsidRPr="003E3396" w:rsidRDefault="00C8704C" w:rsidP="003E3396">
            <w:pPr>
              <w:spacing w:after="0"/>
              <w:rPr>
                <w:noProof/>
                <w:sz w:val="20"/>
                <w:szCs w:val="20"/>
                <w:lang w:val="en-US"/>
              </w:rPr>
            </w:pPr>
            <w:r w:rsidRPr="003E3396">
              <w:rPr>
                <w:noProof/>
                <w:sz w:val="20"/>
                <w:szCs w:val="20"/>
                <w:lang w:val="en-US"/>
              </w:rPr>
              <w:t>Alerting &amp; dashboards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EB474E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BF4B04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51AA99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AEA03D7"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A22918"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E0F5D55"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7B4DF8A2"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D63B8BB" w14:textId="77777777" w:rsidR="00C8704C" w:rsidRPr="003E3396" w:rsidRDefault="00C8704C" w:rsidP="003E3396">
            <w:pPr>
              <w:spacing w:after="0"/>
              <w:rPr>
                <w:noProof/>
                <w:sz w:val="20"/>
                <w:szCs w:val="20"/>
                <w:lang w:val="en-US"/>
              </w:rPr>
            </w:pPr>
            <w:r w:rsidRPr="003E3396">
              <w:rPr>
                <w:noProof/>
                <w:sz w:val="20"/>
                <w:szCs w:val="20"/>
                <w:lang w:val="en-US"/>
              </w:rPr>
              <w:t>kubectl / API access</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5B2C92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6DBDAA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B60DBE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DE17B4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E42E90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7F3494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E3A4D3B"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79485DA1" w14:textId="77777777" w:rsidR="00C8704C" w:rsidRPr="003E3396" w:rsidRDefault="00C8704C" w:rsidP="003E3396">
            <w:pPr>
              <w:spacing w:after="0"/>
              <w:rPr>
                <w:noProof/>
                <w:sz w:val="20"/>
                <w:szCs w:val="20"/>
                <w:lang w:val="en-US"/>
              </w:rPr>
            </w:pPr>
            <w:r w:rsidRPr="003E3396">
              <w:rPr>
                <w:noProof/>
                <w:sz w:val="20"/>
                <w:szCs w:val="20"/>
                <w:lang w:val="en-US"/>
              </w:rPr>
              <w:t>Terraform / IaC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83CD03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00CA906"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0BCF2E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BBEF90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863A39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1881FD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3127EB8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3DB186E8" w14:textId="77777777" w:rsidR="00C8704C" w:rsidRPr="003E3396" w:rsidRDefault="00C8704C" w:rsidP="003E3396">
            <w:pPr>
              <w:spacing w:after="0"/>
              <w:rPr>
                <w:noProof/>
                <w:sz w:val="20"/>
                <w:szCs w:val="20"/>
                <w:lang w:val="en-US"/>
              </w:rPr>
            </w:pPr>
            <w:r w:rsidRPr="003E3396">
              <w:rPr>
                <w:noProof/>
                <w:sz w:val="20"/>
                <w:szCs w:val="20"/>
                <w:lang w:val="en-US"/>
              </w:rPr>
              <w:t>GitOps / ArgoCD support</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E914E2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76FAF7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2AA5F43"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D1565A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8EAA3F7"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CA1402D"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7CD1D299"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638319BE" w14:textId="77777777" w:rsidR="00C8704C" w:rsidRPr="003E3396" w:rsidRDefault="00C8704C" w:rsidP="003E3396">
            <w:pPr>
              <w:spacing w:after="0"/>
              <w:rPr>
                <w:noProof/>
                <w:sz w:val="20"/>
                <w:szCs w:val="20"/>
                <w:lang w:val="en-US"/>
              </w:rPr>
            </w:pPr>
            <w:r w:rsidRPr="003E3396">
              <w:rPr>
                <w:noProof/>
                <w:sz w:val="20"/>
                <w:szCs w:val="20"/>
                <w:lang w:val="en-US"/>
              </w:rPr>
              <w:t>CLI tooling</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77F725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F52C8D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5F02B17"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9B1C74E"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437CCC8"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BB7FF82"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4507CC83"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8893683" w14:textId="77777777" w:rsidR="00C8704C" w:rsidRPr="003E3396" w:rsidRDefault="00C8704C" w:rsidP="003E3396">
            <w:pPr>
              <w:spacing w:after="0"/>
              <w:rPr>
                <w:noProof/>
                <w:sz w:val="20"/>
                <w:szCs w:val="20"/>
                <w:lang w:val="it-IT"/>
              </w:rPr>
            </w:pPr>
            <w:r w:rsidRPr="003E3396">
              <w:rPr>
                <w:noProof/>
                <w:sz w:val="20"/>
                <w:szCs w:val="20"/>
                <w:lang w:val="it-IT"/>
              </w:rPr>
              <w:t>Native CI/CD pipeline integration</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2FD0E0A"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110764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F96DADD"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9570BEE"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B71736B" w14:textId="77777777" w:rsidR="00C8704C" w:rsidRPr="003E3396" w:rsidRDefault="00C8704C" w:rsidP="003E3396">
            <w:pPr>
              <w:spacing w:after="0"/>
              <w:rPr>
                <w:noProof/>
                <w:sz w:val="20"/>
                <w:szCs w:val="20"/>
                <w:lang w:val="en-US"/>
              </w:rPr>
            </w:pPr>
            <w:r w:rsidRPr="003E3396">
              <w:rPr>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1A658E10" w14:textId="77777777" w:rsidR="00C8704C" w:rsidRPr="003E3396" w:rsidRDefault="00C8704C" w:rsidP="003E3396">
            <w:pPr>
              <w:spacing w:after="0"/>
              <w:rPr>
                <w:noProof/>
                <w:sz w:val="20"/>
                <w:szCs w:val="20"/>
                <w:lang w:val="en-US"/>
              </w:rPr>
            </w:pPr>
            <w:r w:rsidRPr="003E3396">
              <w:rPr>
                <w:noProof/>
                <w:sz w:val="20"/>
                <w:szCs w:val="20"/>
                <w:lang w:val="en-US"/>
              </w:rPr>
              <w:t>~</w:t>
            </w:r>
          </w:p>
        </w:tc>
      </w:tr>
      <w:tr w:rsidR="00C8704C" w:rsidRPr="00D31817" w14:paraId="654835DA"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573D891E" w14:textId="77777777" w:rsidR="00C8704C" w:rsidRPr="003E3396" w:rsidRDefault="00C8704C" w:rsidP="003E3396">
            <w:pPr>
              <w:spacing w:after="0"/>
              <w:rPr>
                <w:noProof/>
                <w:sz w:val="20"/>
                <w:szCs w:val="20"/>
                <w:lang w:val="en-US"/>
              </w:rPr>
            </w:pPr>
            <w:r w:rsidRPr="003E3396">
              <w:rPr>
                <w:noProof/>
                <w:sz w:val="20"/>
                <w:szCs w:val="20"/>
                <w:lang w:val="en-US"/>
              </w:rPr>
              <w:t>PaaS / Cloud Foundry layer</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6EC2215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885A72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A694A2C"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44F41C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0F9AD67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422374E4"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r w:rsidR="00C8704C" w:rsidRPr="00D31817" w14:paraId="1E5FAC55" w14:textId="77777777" w:rsidTr="00C8704C">
        <w:tc>
          <w:tcPr>
            <w:tcW w:w="957" w:type="pct"/>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80" w:type="dxa"/>
            </w:tcMar>
            <w:vAlign w:val="center"/>
            <w:hideMark/>
          </w:tcPr>
          <w:p w14:paraId="1E46E309" w14:textId="77777777" w:rsidR="00C8704C" w:rsidRPr="003E3396" w:rsidRDefault="00C8704C" w:rsidP="003E3396">
            <w:pPr>
              <w:spacing w:after="0"/>
              <w:rPr>
                <w:noProof/>
                <w:sz w:val="20"/>
                <w:szCs w:val="20"/>
                <w:lang w:val="en-US"/>
              </w:rPr>
            </w:pPr>
            <w:r w:rsidRPr="003E3396">
              <w:rPr>
                <w:noProof/>
                <w:sz w:val="20"/>
                <w:szCs w:val="20"/>
                <w:lang w:val="en-US"/>
              </w:rPr>
              <w:t>Multi-cluster management console</w:t>
            </w:r>
          </w:p>
        </w:tc>
        <w:tc>
          <w:tcPr>
            <w:tcW w:w="110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08086E5"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4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DC3C2A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5A0E603F"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7"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748F2EEB"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728"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3407EC00"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c>
          <w:tcPr>
            <w:tcW w:w="486" w:type="pct"/>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hideMark/>
          </w:tcPr>
          <w:p w14:paraId="2EF594F1" w14:textId="77777777" w:rsidR="00C8704C" w:rsidRPr="003E3396" w:rsidRDefault="00C8704C" w:rsidP="003E3396">
            <w:pPr>
              <w:spacing w:after="0"/>
              <w:rPr>
                <w:noProof/>
                <w:sz w:val="20"/>
                <w:szCs w:val="20"/>
                <w:lang w:val="en-US"/>
              </w:rPr>
            </w:pPr>
            <w:r w:rsidRPr="003E3396">
              <w:rPr>
                <w:rFonts w:ascii="Segoe UI Symbol" w:hAnsi="Segoe UI Symbol" w:cs="Segoe UI Symbol"/>
                <w:noProof/>
                <w:sz w:val="20"/>
                <w:szCs w:val="20"/>
                <w:lang w:val="en-US"/>
              </w:rPr>
              <w:t>✓</w:t>
            </w:r>
          </w:p>
        </w:tc>
      </w:tr>
    </w:tbl>
    <w:p w14:paraId="5762F6FE" w14:textId="77777777" w:rsidR="00C8704C" w:rsidRDefault="00C8704C">
      <w:pPr>
        <w:spacing w:after="0"/>
        <w:rPr>
          <w:noProof/>
          <w:sz w:val="20"/>
          <w:szCs w:val="20"/>
        </w:rPr>
      </w:pPr>
      <w:r w:rsidRPr="003E3396">
        <w:rPr>
          <w:noProof/>
          <w:sz w:val="20"/>
          <w:szCs w:val="20"/>
        </w:rPr>
        <w:t xml:space="preserve">Legend: </w:t>
      </w:r>
      <w:r w:rsidRPr="003E3396">
        <w:rPr>
          <w:rFonts w:ascii="Segoe UI Symbol" w:hAnsi="Segoe UI Symbol" w:cs="Segoe UI Symbol"/>
          <w:noProof/>
          <w:sz w:val="20"/>
          <w:szCs w:val="20"/>
        </w:rPr>
        <w:t>✓</w:t>
      </w:r>
      <w:r w:rsidRPr="003E3396">
        <w:rPr>
          <w:noProof/>
          <w:sz w:val="20"/>
          <w:szCs w:val="20"/>
        </w:rPr>
        <w:t xml:space="preserve"> Supported    ~ Partial / limited    </w:t>
      </w:r>
      <w:r w:rsidRPr="003E3396">
        <w:rPr>
          <w:rFonts w:ascii="Segoe UI Symbol" w:hAnsi="Segoe UI Symbol" w:cs="Segoe UI Symbol"/>
          <w:noProof/>
          <w:sz w:val="20"/>
          <w:szCs w:val="20"/>
        </w:rPr>
        <w:t>✕</w:t>
      </w:r>
      <w:r w:rsidRPr="003E3396">
        <w:rPr>
          <w:noProof/>
          <w:sz w:val="20"/>
          <w:szCs w:val="20"/>
        </w:rPr>
        <w:t xml:space="preserve"> Not available</w:t>
      </w:r>
    </w:p>
    <w:p w14:paraId="11089AE4" w14:textId="77777777" w:rsidR="002D2D95" w:rsidRPr="003E3396" w:rsidRDefault="002D2D95" w:rsidP="003E3396">
      <w:pPr>
        <w:spacing w:after="0"/>
        <w:rPr>
          <w:noProof/>
          <w:sz w:val="20"/>
          <w:szCs w:val="20"/>
        </w:rPr>
      </w:pPr>
    </w:p>
    <w:p w14:paraId="0AAA5E5F" w14:textId="53C5D42F" w:rsidR="00C8704C" w:rsidRDefault="00C8704C">
      <w:pPr>
        <w:spacing w:after="0"/>
        <w:jc w:val="center"/>
        <w:rPr>
          <w:b/>
          <w:bCs/>
          <w:iCs/>
          <w:noProof/>
          <w:sz w:val="20"/>
          <w:szCs w:val="20"/>
          <w:u w:val="single"/>
          <w:lang w:val="en-IE"/>
        </w:rPr>
      </w:pPr>
      <w:r>
        <w:rPr>
          <w:b/>
          <w:bCs/>
          <w:iCs/>
          <w:noProof/>
          <w:sz w:val="20"/>
          <w:szCs w:val="20"/>
          <w:lang w:val="en-US"/>
        </w:rPr>
        <w:t xml:space="preserve">Table </w:t>
      </w:r>
      <w:r>
        <w:rPr>
          <w:b/>
          <w:bCs/>
          <w:iCs/>
          <w:noProof/>
          <w:sz w:val="20"/>
          <w:szCs w:val="20"/>
          <w:lang w:val="en-US"/>
        </w:rPr>
        <w:fldChar w:fldCharType="begin"/>
      </w:r>
      <w:r>
        <w:rPr>
          <w:b/>
          <w:bCs/>
          <w:iCs/>
          <w:noProof/>
          <w:sz w:val="20"/>
          <w:szCs w:val="20"/>
          <w:lang w:val="en-US"/>
        </w:rPr>
        <w:instrText xml:space="preserve"> SEQ Table \* ARABIC </w:instrText>
      </w:r>
      <w:r>
        <w:rPr>
          <w:b/>
          <w:bCs/>
          <w:iCs/>
          <w:noProof/>
          <w:sz w:val="20"/>
          <w:szCs w:val="20"/>
          <w:lang w:val="en-US"/>
        </w:rPr>
        <w:fldChar w:fldCharType="separate"/>
      </w:r>
      <w:r>
        <w:rPr>
          <w:b/>
          <w:bCs/>
          <w:iCs/>
          <w:noProof/>
          <w:sz w:val="20"/>
          <w:szCs w:val="20"/>
          <w:lang w:val="en-US"/>
        </w:rPr>
        <w:t>79</w:t>
      </w:r>
      <w:r>
        <w:rPr>
          <w:b/>
          <w:bCs/>
          <w:iCs/>
          <w:noProof/>
          <w:sz w:val="20"/>
          <w:szCs w:val="20"/>
          <w:lang w:val="en-US"/>
        </w:rPr>
        <w:fldChar w:fldCharType="end"/>
      </w:r>
      <w:r>
        <w:rPr>
          <w:b/>
          <w:bCs/>
          <w:iCs/>
          <w:noProof/>
          <w:sz w:val="20"/>
          <w:szCs w:val="20"/>
          <w:lang w:val="en-US"/>
        </w:rPr>
        <w:t xml:space="preserve">. </w:t>
      </w:r>
      <w:r>
        <w:rPr>
          <w:b/>
          <w:bCs/>
          <w:iCs/>
          <w:noProof/>
          <w:sz w:val="20"/>
          <w:szCs w:val="20"/>
          <w:lang w:val="en-IE"/>
        </w:rPr>
        <w:t xml:space="preserve">Comparative table Office automation tools (selected </w:t>
      </w:r>
      <w:r w:rsidR="00392A04">
        <w:rPr>
          <w:b/>
          <w:bCs/>
          <w:iCs/>
          <w:noProof/>
          <w:sz w:val="20"/>
          <w:szCs w:val="20"/>
          <w:lang w:val="en-IE"/>
        </w:rPr>
        <w:t>marek</w:t>
      </w:r>
      <w:r>
        <w:rPr>
          <w:b/>
          <w:bCs/>
          <w:iCs/>
          <w:noProof/>
          <w:sz w:val="20"/>
          <w:szCs w:val="20"/>
          <w:lang w:val="en-IE"/>
        </w:rPr>
        <w:t xml:space="preserve"> of providers)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80"/>
        <w:gridCol w:w="953"/>
        <w:gridCol w:w="972"/>
        <w:gridCol w:w="890"/>
        <w:gridCol w:w="954"/>
        <w:gridCol w:w="872"/>
        <w:gridCol w:w="999"/>
        <w:gridCol w:w="999"/>
        <w:gridCol w:w="790"/>
      </w:tblGrid>
      <w:tr w:rsidR="00C8704C" w:rsidRPr="00D31817" w14:paraId="53FF1272" w14:textId="77777777" w:rsidTr="003E3396">
        <w:trPr>
          <w:tblHeader/>
        </w:trPr>
        <w:tc>
          <w:tcPr>
            <w:tcW w:w="858"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44F30BCC"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Functionality</w:t>
            </w:r>
          </w:p>
        </w:tc>
        <w:tc>
          <w:tcPr>
            <w:tcW w:w="602"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3B186E2C"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Microsoft 365</w:t>
            </w:r>
          </w:p>
        </w:tc>
        <w:tc>
          <w:tcPr>
            <w:tcW w:w="602"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33475864"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Google Workspace</w:t>
            </w:r>
          </w:p>
        </w:tc>
        <w:tc>
          <w:tcPr>
            <w:tcW w:w="467"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5316B5F7"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Nextcloud + Collabora</w:t>
            </w:r>
          </w:p>
        </w:tc>
        <w:tc>
          <w:tcPr>
            <w:tcW w:w="467"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294FA311"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OnlyOffice</w:t>
            </w:r>
          </w:p>
        </w:tc>
        <w:tc>
          <w:tcPr>
            <w:tcW w:w="467"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6F2F90F3"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CryptPad</w:t>
            </w:r>
          </w:p>
        </w:tc>
        <w:tc>
          <w:tcPr>
            <w:tcW w:w="602"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0ED8A8F3"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Infomaniak kSuite</w:t>
            </w:r>
          </w:p>
        </w:tc>
        <w:tc>
          <w:tcPr>
            <w:tcW w:w="471"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28D630B2"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LibreOffice</w:t>
            </w:r>
          </w:p>
        </w:tc>
        <w:tc>
          <w:tcPr>
            <w:tcW w:w="465" w:type="pct"/>
            <w:tcBorders>
              <w:top w:val="single" w:sz="4" w:space="0" w:color="CCCCCC"/>
              <w:left w:val="single" w:sz="4" w:space="0" w:color="CCCCCC"/>
              <w:bottom w:val="single" w:sz="4" w:space="0" w:color="CCCCCC"/>
              <w:right w:val="single" w:sz="4" w:space="0" w:color="CCCCCC"/>
            </w:tcBorders>
            <w:shd w:val="clear" w:color="auto" w:fill="227ACB"/>
            <w:tcMar>
              <w:top w:w="80" w:type="dxa"/>
              <w:left w:w="90" w:type="dxa"/>
              <w:bottom w:w="80" w:type="dxa"/>
              <w:right w:w="90" w:type="dxa"/>
            </w:tcMar>
            <w:vAlign w:val="center"/>
            <w:hideMark/>
          </w:tcPr>
          <w:p w14:paraId="3C16DBE7" w14:textId="77777777" w:rsidR="00C8704C" w:rsidRPr="003E3396" w:rsidRDefault="00C8704C" w:rsidP="003E3396">
            <w:pPr>
              <w:spacing w:after="0"/>
              <w:rPr>
                <w:noProof/>
                <w:color w:val="FFFFFF"/>
                <w:sz w:val="20"/>
                <w:szCs w:val="20"/>
                <w:lang w:val="en-IE"/>
              </w:rPr>
            </w:pPr>
            <w:r w:rsidRPr="003E3396">
              <w:rPr>
                <w:b/>
                <w:noProof/>
                <w:color w:val="FFFFFF"/>
                <w:sz w:val="20"/>
                <w:szCs w:val="20"/>
                <w:lang w:val="en-IE"/>
              </w:rPr>
              <w:t>Open-Xchange</w:t>
            </w:r>
          </w:p>
        </w:tc>
      </w:tr>
      <w:tr w:rsidR="00C8704C" w:rsidRPr="00D31817" w14:paraId="4331204A" w14:textId="77777777" w:rsidTr="00C8704C">
        <w:trPr>
          <w:tblHeader/>
        </w:trPr>
        <w:tc>
          <w:tcPr>
            <w:tcW w:w="858"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vAlign w:val="center"/>
            <w:hideMark/>
          </w:tcPr>
          <w:p w14:paraId="7B737DF8" w14:textId="77777777" w:rsidR="00C8704C" w:rsidRPr="003E3396" w:rsidRDefault="00C8704C" w:rsidP="003E3396">
            <w:pPr>
              <w:spacing w:after="0"/>
              <w:rPr>
                <w:noProof/>
                <w:sz w:val="20"/>
                <w:szCs w:val="20"/>
                <w:lang w:val="en-IE"/>
              </w:rPr>
            </w:pPr>
          </w:p>
        </w:tc>
        <w:tc>
          <w:tcPr>
            <w:tcW w:w="602"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18B49C24" w14:textId="77777777" w:rsidR="00C8704C" w:rsidRPr="003E3396" w:rsidRDefault="00C8704C" w:rsidP="003E3396">
            <w:pPr>
              <w:spacing w:after="0"/>
              <w:rPr>
                <w:noProof/>
                <w:sz w:val="20"/>
                <w:szCs w:val="20"/>
                <w:lang w:val="en-IE"/>
              </w:rPr>
            </w:pPr>
            <w:r w:rsidRPr="003E3396">
              <w:rPr>
                <w:i/>
                <w:noProof/>
                <w:sz w:val="20"/>
                <w:szCs w:val="20"/>
                <w:lang w:val="en-IE"/>
              </w:rPr>
              <w:t>US  Proprietary</w:t>
            </w:r>
          </w:p>
        </w:tc>
        <w:tc>
          <w:tcPr>
            <w:tcW w:w="602"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63D6CD18" w14:textId="77777777" w:rsidR="00C8704C" w:rsidRPr="003E3396" w:rsidRDefault="00C8704C" w:rsidP="003E3396">
            <w:pPr>
              <w:spacing w:after="0"/>
              <w:rPr>
                <w:noProof/>
                <w:sz w:val="20"/>
                <w:szCs w:val="20"/>
                <w:lang w:val="en-IE"/>
              </w:rPr>
            </w:pPr>
            <w:r w:rsidRPr="003E3396">
              <w:rPr>
                <w:i/>
                <w:noProof/>
                <w:sz w:val="20"/>
                <w:szCs w:val="20"/>
                <w:lang w:val="en-IE"/>
              </w:rPr>
              <w:t>US Proprietary</w:t>
            </w:r>
          </w:p>
        </w:tc>
        <w:tc>
          <w:tcPr>
            <w:tcW w:w="467"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4286FE84" w14:textId="77777777" w:rsidR="00C8704C" w:rsidRPr="003E3396" w:rsidRDefault="00C8704C" w:rsidP="003E3396">
            <w:pPr>
              <w:spacing w:after="0"/>
              <w:rPr>
                <w:noProof/>
                <w:sz w:val="20"/>
                <w:szCs w:val="20"/>
                <w:lang w:val="en-IE"/>
              </w:rPr>
            </w:pPr>
            <w:r w:rsidRPr="003E3396">
              <w:rPr>
                <w:i/>
                <w:noProof/>
                <w:sz w:val="20"/>
                <w:szCs w:val="20"/>
                <w:lang w:val="en-IE"/>
              </w:rPr>
              <w:t>EU  Open Source</w:t>
            </w:r>
          </w:p>
        </w:tc>
        <w:tc>
          <w:tcPr>
            <w:tcW w:w="467"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4FDEDDE7" w14:textId="77777777" w:rsidR="00C8704C" w:rsidRPr="003E3396" w:rsidRDefault="00C8704C" w:rsidP="003E3396">
            <w:pPr>
              <w:spacing w:after="0"/>
              <w:rPr>
                <w:noProof/>
                <w:sz w:val="20"/>
                <w:szCs w:val="20"/>
                <w:lang w:val="en-IE"/>
              </w:rPr>
            </w:pPr>
            <w:r w:rsidRPr="003E3396">
              <w:rPr>
                <w:i/>
                <w:noProof/>
                <w:sz w:val="20"/>
                <w:szCs w:val="20"/>
                <w:lang w:val="en-IE"/>
              </w:rPr>
              <w:t>EU  Open Source</w:t>
            </w:r>
          </w:p>
        </w:tc>
        <w:tc>
          <w:tcPr>
            <w:tcW w:w="467"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33F3B97D" w14:textId="77777777" w:rsidR="00C8704C" w:rsidRPr="003E3396" w:rsidRDefault="00C8704C" w:rsidP="003E3396">
            <w:pPr>
              <w:spacing w:after="0"/>
              <w:rPr>
                <w:noProof/>
                <w:sz w:val="20"/>
                <w:szCs w:val="20"/>
                <w:lang w:val="en-IE"/>
              </w:rPr>
            </w:pPr>
            <w:r w:rsidRPr="003E3396">
              <w:rPr>
                <w:i/>
                <w:noProof/>
                <w:sz w:val="20"/>
                <w:szCs w:val="20"/>
                <w:lang w:val="en-IE"/>
              </w:rPr>
              <w:t>EU  Open Source</w:t>
            </w:r>
          </w:p>
        </w:tc>
        <w:tc>
          <w:tcPr>
            <w:tcW w:w="602"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281FD0B2" w14:textId="77777777" w:rsidR="00C8704C" w:rsidRPr="003E3396" w:rsidRDefault="00C8704C" w:rsidP="003E3396">
            <w:pPr>
              <w:spacing w:after="0"/>
              <w:rPr>
                <w:noProof/>
                <w:sz w:val="20"/>
                <w:szCs w:val="20"/>
                <w:lang w:val="en-IE"/>
              </w:rPr>
            </w:pPr>
            <w:r w:rsidRPr="003E3396">
              <w:rPr>
                <w:i/>
                <w:noProof/>
                <w:sz w:val="20"/>
                <w:szCs w:val="20"/>
                <w:lang w:val="en-IE"/>
              </w:rPr>
              <w:t>EU  Proprietary</w:t>
            </w:r>
          </w:p>
        </w:tc>
        <w:tc>
          <w:tcPr>
            <w:tcW w:w="471"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6795FFCC" w14:textId="77777777" w:rsidR="00C8704C" w:rsidRPr="003E3396" w:rsidRDefault="00C8704C" w:rsidP="003E3396">
            <w:pPr>
              <w:spacing w:after="0"/>
              <w:rPr>
                <w:noProof/>
                <w:sz w:val="20"/>
                <w:szCs w:val="20"/>
                <w:lang w:val="en-IE"/>
              </w:rPr>
            </w:pPr>
            <w:r w:rsidRPr="003E3396">
              <w:rPr>
                <w:i/>
                <w:noProof/>
                <w:sz w:val="20"/>
                <w:szCs w:val="20"/>
                <w:lang w:val="en-IE"/>
              </w:rPr>
              <w:t>EU  Open Source</w:t>
            </w:r>
          </w:p>
        </w:tc>
        <w:tc>
          <w:tcPr>
            <w:tcW w:w="465" w:type="pct"/>
            <w:tcBorders>
              <w:top w:val="single" w:sz="4" w:space="0" w:color="CCCCCC"/>
              <w:left w:val="single" w:sz="4" w:space="0" w:color="CCCCCC"/>
              <w:bottom w:val="single" w:sz="4" w:space="0" w:color="CCCCCC"/>
              <w:right w:val="single" w:sz="4" w:space="0" w:color="CCCCCC"/>
            </w:tcBorders>
            <w:shd w:val="clear" w:color="auto" w:fill="D9D9D9" w:themeFill="background1" w:themeFillShade="D9"/>
            <w:tcMar>
              <w:top w:w="60" w:type="dxa"/>
              <w:left w:w="90" w:type="dxa"/>
              <w:bottom w:w="60" w:type="dxa"/>
              <w:right w:w="90" w:type="dxa"/>
            </w:tcMar>
            <w:hideMark/>
          </w:tcPr>
          <w:p w14:paraId="00832BBA" w14:textId="77777777" w:rsidR="00C8704C" w:rsidRPr="003E3396" w:rsidRDefault="00C8704C" w:rsidP="003E3396">
            <w:pPr>
              <w:spacing w:after="0"/>
              <w:rPr>
                <w:noProof/>
                <w:sz w:val="20"/>
                <w:szCs w:val="20"/>
                <w:lang w:val="en-IE"/>
              </w:rPr>
            </w:pPr>
            <w:r w:rsidRPr="003E3396">
              <w:rPr>
                <w:i/>
                <w:noProof/>
                <w:sz w:val="20"/>
                <w:szCs w:val="20"/>
                <w:lang w:val="en-IE"/>
              </w:rPr>
              <w:t>EU  Open Source</w:t>
            </w:r>
          </w:p>
        </w:tc>
      </w:tr>
      <w:tr w:rsidR="00C8704C" w:rsidRPr="00D31817" w14:paraId="652BB7AC"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4EB086AF" w14:textId="77777777" w:rsidR="00C8704C" w:rsidRPr="003E3396" w:rsidRDefault="00C8704C" w:rsidP="003E3396">
            <w:pPr>
              <w:spacing w:after="0"/>
              <w:rPr>
                <w:noProof/>
                <w:sz w:val="20"/>
                <w:szCs w:val="20"/>
                <w:lang w:val="en-IE"/>
              </w:rPr>
            </w:pPr>
            <w:r w:rsidRPr="003E3396">
              <w:rPr>
                <w:b/>
                <w:noProof/>
                <w:sz w:val="20"/>
                <w:szCs w:val="20"/>
                <w:lang w:val="en-IE"/>
              </w:rPr>
              <w:t>DOCUMENT CREATION &amp; WORD PROCESSING</w:t>
            </w:r>
          </w:p>
        </w:tc>
      </w:tr>
      <w:tr w:rsidR="00C8704C" w:rsidRPr="00D31817" w14:paraId="0F338AD4"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593221FE" w14:textId="77777777" w:rsidR="00C8704C" w:rsidRPr="003E3396" w:rsidRDefault="00C8704C" w:rsidP="003E3396">
            <w:pPr>
              <w:spacing w:after="0"/>
              <w:rPr>
                <w:noProof/>
                <w:sz w:val="20"/>
                <w:szCs w:val="20"/>
                <w:lang w:val="en-IE"/>
              </w:rPr>
            </w:pPr>
            <w:r w:rsidRPr="003E3396">
              <w:rPr>
                <w:noProof/>
                <w:sz w:val="20"/>
                <w:szCs w:val="20"/>
                <w:lang w:val="en-IE"/>
              </w:rPr>
              <w:t>Word processor</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34EE55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4C0185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8717E6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50BA20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A544B4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ED9918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BAFD51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38F657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C2848BD"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47619446" w14:textId="77777777" w:rsidR="00C8704C" w:rsidRPr="003E3396" w:rsidRDefault="00C8704C" w:rsidP="003E3396">
            <w:pPr>
              <w:spacing w:after="0"/>
              <w:rPr>
                <w:noProof/>
                <w:sz w:val="20"/>
                <w:szCs w:val="20"/>
                <w:lang w:val="en-IE"/>
              </w:rPr>
            </w:pPr>
            <w:r w:rsidRPr="003E3396">
              <w:rPr>
                <w:noProof/>
                <w:sz w:val="20"/>
                <w:szCs w:val="20"/>
                <w:lang w:val="en-IE"/>
              </w:rPr>
              <w:t>Advanced text formatting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582102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9B38AE0"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7E3AF3C"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4C64DF0"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6A8D26C"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59D31B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A89AB1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E76BC72"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45F82C82"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07B6701" w14:textId="77777777" w:rsidR="00C8704C" w:rsidRPr="003E3396" w:rsidRDefault="00C8704C" w:rsidP="003E3396">
            <w:pPr>
              <w:spacing w:after="0"/>
              <w:rPr>
                <w:noProof/>
                <w:sz w:val="20"/>
                <w:szCs w:val="20"/>
                <w:lang w:val="en-IE"/>
              </w:rPr>
            </w:pPr>
            <w:r w:rsidRPr="003E3396">
              <w:rPr>
                <w:noProof/>
                <w:sz w:val="20"/>
                <w:szCs w:val="20"/>
                <w:lang w:val="en-IE"/>
              </w:rPr>
              <w:t>Desktop application (offline)</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92B846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582501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348181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FD1F77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5103FE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B70D51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2ACA2F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3F480A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49B131D8"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5CD05DA7" w14:textId="77777777" w:rsidR="00C8704C" w:rsidRPr="003E3396" w:rsidRDefault="00C8704C" w:rsidP="003E3396">
            <w:pPr>
              <w:spacing w:after="0"/>
              <w:rPr>
                <w:noProof/>
                <w:sz w:val="20"/>
                <w:szCs w:val="20"/>
                <w:lang w:val="en-IE"/>
              </w:rPr>
            </w:pPr>
            <w:r w:rsidRPr="003E3396">
              <w:rPr>
                <w:noProof/>
                <w:sz w:val="20"/>
                <w:szCs w:val="20"/>
                <w:lang w:val="en-IE"/>
              </w:rPr>
              <w:t>Browser-based editing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0A5B51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0223DD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CABBB0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331AA9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369660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D7BDCD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3D48DE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C53E62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4F747BA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2DD216D8" w14:textId="77777777" w:rsidR="00C8704C" w:rsidRPr="003E3396" w:rsidRDefault="00C8704C" w:rsidP="003E3396">
            <w:pPr>
              <w:spacing w:after="0"/>
              <w:rPr>
                <w:noProof/>
                <w:sz w:val="20"/>
                <w:szCs w:val="20"/>
                <w:lang w:val="en-IE"/>
              </w:rPr>
            </w:pPr>
            <w:r w:rsidRPr="003E3396">
              <w:rPr>
                <w:noProof/>
                <w:sz w:val="20"/>
                <w:szCs w:val="20"/>
                <w:lang w:val="en-IE"/>
              </w:rPr>
              <w:t>Mobile editing (iOS / Android)</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FC31B1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AF3D55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74B5DA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1552969"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B227524"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3F4B14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D42E543" w14:textId="1C20A588" w:rsidR="00C8704C" w:rsidRPr="003E3396" w:rsidRDefault="00D3787E" w:rsidP="003E3396">
            <w:pPr>
              <w:spacing w:after="0"/>
              <w:rPr>
                <w:noProof/>
                <w:sz w:val="20"/>
                <w:szCs w:val="20"/>
                <w:lang w:val="en-IE"/>
              </w:rPr>
            </w:pPr>
            <w:r>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A6212B4"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1B53B188"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42B87D99" w14:textId="77777777" w:rsidR="00C8704C" w:rsidRPr="003E3396" w:rsidRDefault="00C8704C" w:rsidP="003E3396">
            <w:pPr>
              <w:spacing w:after="0"/>
              <w:rPr>
                <w:noProof/>
                <w:sz w:val="20"/>
                <w:szCs w:val="20"/>
                <w:lang w:val="en-IE"/>
              </w:rPr>
            </w:pPr>
            <w:r w:rsidRPr="003E3396">
              <w:rPr>
                <w:noProof/>
                <w:sz w:val="20"/>
                <w:szCs w:val="20"/>
                <w:lang w:val="en-IE"/>
              </w:rPr>
              <w:t>Track changes / review mode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AB73EC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2F1581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FCCB8A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BD5B4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07FD1B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29D470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6BAA07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0AA2B81"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2CA5F014"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4CE74B0" w14:textId="77777777" w:rsidR="00C8704C" w:rsidRPr="003E3396" w:rsidRDefault="00C8704C" w:rsidP="003E3396">
            <w:pPr>
              <w:spacing w:after="0"/>
              <w:rPr>
                <w:noProof/>
                <w:sz w:val="20"/>
                <w:szCs w:val="20"/>
                <w:lang w:val="en-IE"/>
              </w:rPr>
            </w:pPr>
            <w:r w:rsidRPr="003E3396">
              <w:rPr>
                <w:noProof/>
                <w:sz w:val="20"/>
                <w:szCs w:val="20"/>
                <w:lang w:val="en-IE"/>
              </w:rPr>
              <w:t>Templates library</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F5F77D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C84502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B0325E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2D305C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491C04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689DF2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242849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CE5F2F1"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74EAC3BF"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4F808A7" w14:textId="77777777" w:rsidR="00C8704C" w:rsidRPr="003E3396" w:rsidRDefault="00C8704C" w:rsidP="003E3396">
            <w:pPr>
              <w:spacing w:after="0"/>
              <w:rPr>
                <w:noProof/>
                <w:sz w:val="20"/>
                <w:szCs w:val="20"/>
                <w:lang w:val="en-IE"/>
              </w:rPr>
            </w:pPr>
            <w:r w:rsidRPr="003E3396">
              <w:rPr>
                <w:noProof/>
                <w:sz w:val="20"/>
                <w:szCs w:val="20"/>
                <w:lang w:val="en-IE"/>
              </w:rPr>
              <w:t>Mail merge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A70E34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7CB26BC"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7999FE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B988E8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6A0A59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BFC5AF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B3A341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2ECE3C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10FB5D94"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D6465A7" w14:textId="77777777" w:rsidR="00C8704C" w:rsidRPr="003E3396" w:rsidRDefault="00C8704C" w:rsidP="003E3396">
            <w:pPr>
              <w:spacing w:after="0"/>
              <w:rPr>
                <w:noProof/>
                <w:sz w:val="20"/>
                <w:szCs w:val="20"/>
                <w:lang w:val="en-IE"/>
              </w:rPr>
            </w:pPr>
            <w:r w:rsidRPr="003E3396">
              <w:rPr>
                <w:noProof/>
                <w:sz w:val="20"/>
                <w:szCs w:val="20"/>
                <w:lang w:val="en-IE"/>
              </w:rPr>
              <w:t>Macro support (scripting)</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F9CADD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8C5891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D29007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90479AD"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BBCB98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225C45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DEADB4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5EC300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722A1F9E"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1641B2DC" w14:textId="77777777" w:rsidR="00C8704C" w:rsidRPr="003E3396" w:rsidRDefault="00C8704C" w:rsidP="003E3396">
            <w:pPr>
              <w:spacing w:after="0"/>
              <w:rPr>
                <w:noProof/>
                <w:sz w:val="20"/>
                <w:szCs w:val="20"/>
                <w:lang w:val="en-IE"/>
              </w:rPr>
            </w:pPr>
            <w:r w:rsidRPr="003E3396">
              <w:rPr>
                <w:noProof/>
                <w:sz w:val="20"/>
                <w:szCs w:val="20"/>
                <w:lang w:val="en-IE"/>
              </w:rPr>
              <w:t>Digital signatures / e-signing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1776F5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DF68EF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6D8062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86FFCBF"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B4026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7175A10"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5E6F4A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844602A"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469E4FBE"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550BF40C" w14:textId="77777777" w:rsidR="00C8704C" w:rsidRPr="003E3396" w:rsidRDefault="00C8704C" w:rsidP="003E3396">
            <w:pPr>
              <w:spacing w:after="0"/>
              <w:rPr>
                <w:b/>
                <w:noProof/>
                <w:sz w:val="20"/>
                <w:szCs w:val="20"/>
                <w:lang w:val="en-IE"/>
              </w:rPr>
            </w:pPr>
            <w:r w:rsidRPr="003E3396">
              <w:rPr>
                <w:b/>
                <w:noProof/>
                <w:sz w:val="20"/>
                <w:szCs w:val="20"/>
                <w:lang w:val="en-IE"/>
              </w:rPr>
              <w:t>SPREADSHEETS</w:t>
            </w:r>
          </w:p>
        </w:tc>
      </w:tr>
      <w:tr w:rsidR="00C8704C" w:rsidRPr="00D31817" w14:paraId="48AD90DC"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42660EA1" w14:textId="77777777" w:rsidR="00C8704C" w:rsidRPr="003E3396" w:rsidRDefault="00C8704C" w:rsidP="003E3396">
            <w:pPr>
              <w:spacing w:after="0"/>
              <w:rPr>
                <w:noProof/>
                <w:sz w:val="20"/>
                <w:szCs w:val="20"/>
                <w:lang w:val="en-IE"/>
              </w:rPr>
            </w:pPr>
            <w:r w:rsidRPr="003E3396">
              <w:rPr>
                <w:noProof/>
                <w:sz w:val="20"/>
                <w:szCs w:val="20"/>
                <w:lang w:val="en-IE"/>
              </w:rPr>
              <w:t>Spreadsheet editor</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04C11D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154B59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9C7A8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B9D714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21042A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4D9FCE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9C7E3A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476B29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28C5D01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459B317F" w14:textId="77777777" w:rsidR="00C8704C" w:rsidRPr="003E3396" w:rsidRDefault="00C8704C" w:rsidP="003E3396">
            <w:pPr>
              <w:spacing w:after="0"/>
              <w:rPr>
                <w:noProof/>
                <w:sz w:val="20"/>
                <w:szCs w:val="20"/>
                <w:lang w:val="en-IE"/>
              </w:rPr>
            </w:pPr>
            <w:r w:rsidRPr="003E3396">
              <w:rPr>
                <w:noProof/>
                <w:sz w:val="20"/>
                <w:szCs w:val="20"/>
                <w:lang w:val="en-IE"/>
              </w:rPr>
              <w:t>Advanced formulas &amp; functions</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DC6AC5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9CEE304"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0E8071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063DF5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27B96A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A4F1ED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85E20D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E1E3AE2"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14D3E979"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47CCA99E" w14:textId="77777777" w:rsidR="00C8704C" w:rsidRPr="003E3396" w:rsidRDefault="00C8704C" w:rsidP="003E3396">
            <w:pPr>
              <w:spacing w:after="0"/>
              <w:rPr>
                <w:noProof/>
                <w:sz w:val="20"/>
                <w:szCs w:val="20"/>
                <w:lang w:val="en-IE"/>
              </w:rPr>
            </w:pPr>
            <w:r w:rsidRPr="003E3396">
              <w:rPr>
                <w:noProof/>
                <w:sz w:val="20"/>
                <w:szCs w:val="20"/>
                <w:lang w:val="en-IE"/>
              </w:rPr>
              <w:t>Pivot tables</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193F32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3E325E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C331FB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054538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E14FD6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649CAA2"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7EF80E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A30951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C7D518C"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20B08C31" w14:textId="77777777" w:rsidR="00C8704C" w:rsidRPr="003E3396" w:rsidRDefault="00C8704C" w:rsidP="003E3396">
            <w:pPr>
              <w:spacing w:after="0"/>
              <w:rPr>
                <w:noProof/>
                <w:sz w:val="20"/>
                <w:szCs w:val="20"/>
                <w:lang w:val="en-IE"/>
              </w:rPr>
            </w:pPr>
            <w:r w:rsidRPr="003E3396">
              <w:rPr>
                <w:noProof/>
                <w:sz w:val="20"/>
                <w:szCs w:val="20"/>
                <w:lang w:val="en-IE"/>
              </w:rPr>
              <w:t>Macros / VBA support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FFF075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5C9A91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46997D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1F24EC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7C4C29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26A11B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A35904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3ED2A5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4995181"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1EAE45E6" w14:textId="77777777" w:rsidR="00C8704C" w:rsidRPr="003E3396" w:rsidRDefault="00C8704C" w:rsidP="003E3396">
            <w:pPr>
              <w:spacing w:after="0"/>
              <w:rPr>
                <w:noProof/>
                <w:sz w:val="20"/>
                <w:szCs w:val="20"/>
                <w:lang w:val="en-IE"/>
              </w:rPr>
            </w:pPr>
            <w:r w:rsidRPr="003E3396">
              <w:rPr>
                <w:noProof/>
                <w:sz w:val="20"/>
                <w:szCs w:val="20"/>
                <w:lang w:val="en-IE"/>
              </w:rPr>
              <w:t>Charts &amp; data visualization</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EBC3A8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61E532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469515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76263B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497B5D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B282E4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F8461F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4AE0F99"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3FD7DB0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8D86B14" w14:textId="77777777" w:rsidR="00C8704C" w:rsidRPr="003E3396" w:rsidRDefault="00C8704C" w:rsidP="003E3396">
            <w:pPr>
              <w:spacing w:after="0"/>
              <w:rPr>
                <w:noProof/>
                <w:sz w:val="20"/>
                <w:szCs w:val="20"/>
                <w:lang w:val="en-IE"/>
              </w:rPr>
            </w:pPr>
            <w:r w:rsidRPr="003E3396">
              <w:rPr>
                <w:noProof/>
                <w:sz w:val="20"/>
                <w:szCs w:val="20"/>
                <w:lang w:val="en-IE"/>
              </w:rPr>
              <w:t>Data validation rules</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1908DF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1A43E2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4F1928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28EDA2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D54AC5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465589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F041C1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BB5FDD6"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065323C5"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56FA5EC1" w14:textId="77777777" w:rsidR="00C8704C" w:rsidRPr="003E3396" w:rsidRDefault="00C8704C" w:rsidP="003E3396">
            <w:pPr>
              <w:spacing w:after="0"/>
              <w:rPr>
                <w:noProof/>
                <w:sz w:val="20"/>
                <w:szCs w:val="20"/>
                <w:lang w:val="en-IE"/>
              </w:rPr>
            </w:pPr>
            <w:r w:rsidRPr="003E3396">
              <w:rPr>
                <w:noProof/>
                <w:sz w:val="20"/>
                <w:szCs w:val="20"/>
                <w:lang w:val="en-IE"/>
              </w:rPr>
              <w:t>Conditional formatting</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E11E95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03125D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885794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38A806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36D6AB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7A443F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3CFAE1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155DED9"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4804DA5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3E8FF6A3" w14:textId="77777777" w:rsidR="00C8704C" w:rsidRPr="003E3396" w:rsidRDefault="00C8704C" w:rsidP="003E3396">
            <w:pPr>
              <w:spacing w:after="0"/>
              <w:rPr>
                <w:noProof/>
                <w:sz w:val="20"/>
                <w:szCs w:val="20"/>
                <w:lang w:val="en-IE"/>
              </w:rPr>
            </w:pPr>
            <w:r w:rsidRPr="003E3396">
              <w:rPr>
                <w:noProof/>
                <w:sz w:val="20"/>
                <w:szCs w:val="20"/>
                <w:lang w:val="en-IE"/>
              </w:rPr>
              <w:t>Large dataset performance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3F59C4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0798AE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1D215A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395BD2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28642F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3C38DF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02B0CB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E9367E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D8DD4B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D38F4E7" w14:textId="77777777" w:rsidR="00C8704C" w:rsidRPr="003E3396" w:rsidRDefault="00C8704C" w:rsidP="003E3396">
            <w:pPr>
              <w:spacing w:after="0"/>
              <w:rPr>
                <w:noProof/>
                <w:sz w:val="20"/>
                <w:szCs w:val="20"/>
                <w:lang w:val="en-IE"/>
              </w:rPr>
            </w:pPr>
            <w:r w:rsidRPr="003E3396">
              <w:rPr>
                <w:noProof/>
                <w:sz w:val="20"/>
                <w:szCs w:val="20"/>
                <w:lang w:val="en-IE"/>
              </w:rPr>
              <w:t>Import/export Excel (.xlsx)</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D18484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799266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963251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B93D8B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1EE0F77"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4D4358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C173CA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27F0273"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540A56A4"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75262946" w14:textId="77777777" w:rsidR="00C8704C" w:rsidRPr="003E3396" w:rsidRDefault="00C8704C" w:rsidP="003E3396">
            <w:pPr>
              <w:spacing w:after="0"/>
              <w:rPr>
                <w:b/>
                <w:noProof/>
                <w:sz w:val="20"/>
                <w:szCs w:val="20"/>
                <w:lang w:val="en-IE"/>
              </w:rPr>
            </w:pPr>
            <w:r w:rsidRPr="003E3396">
              <w:rPr>
                <w:b/>
                <w:noProof/>
                <w:sz w:val="20"/>
                <w:szCs w:val="20"/>
                <w:lang w:val="en-IE"/>
              </w:rPr>
              <w:t>PRESENTATIONS</w:t>
            </w:r>
          </w:p>
        </w:tc>
      </w:tr>
      <w:tr w:rsidR="00C8704C" w:rsidRPr="00D31817" w14:paraId="35EC2913"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2BAAC74B" w14:textId="77777777" w:rsidR="00C8704C" w:rsidRPr="003E3396" w:rsidRDefault="00C8704C" w:rsidP="003E3396">
            <w:pPr>
              <w:spacing w:after="0"/>
              <w:rPr>
                <w:noProof/>
                <w:sz w:val="20"/>
                <w:szCs w:val="20"/>
                <w:lang w:val="en-IE"/>
              </w:rPr>
            </w:pPr>
            <w:r w:rsidRPr="003E3396">
              <w:rPr>
                <w:noProof/>
                <w:sz w:val="20"/>
                <w:szCs w:val="20"/>
                <w:lang w:val="en-IE"/>
              </w:rPr>
              <w:t>Presentation editor</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1AC496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98A023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E83B81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E3B435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292744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782EF2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51D899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933DE83"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313A0883"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3FF07D71" w14:textId="77777777" w:rsidR="00C8704C" w:rsidRPr="003E3396" w:rsidRDefault="00C8704C" w:rsidP="003E3396">
            <w:pPr>
              <w:spacing w:after="0"/>
              <w:rPr>
                <w:noProof/>
                <w:sz w:val="20"/>
                <w:szCs w:val="20"/>
                <w:lang w:val="en-IE"/>
              </w:rPr>
            </w:pPr>
            <w:r w:rsidRPr="003E3396">
              <w:rPr>
                <w:noProof/>
                <w:sz w:val="20"/>
                <w:szCs w:val="20"/>
                <w:lang w:val="en-IE"/>
              </w:rPr>
              <w:t>Slide templates &amp; themes</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809331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3F9C76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064AB2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106584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B763BB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1DED1F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C2A112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4E0DAE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3BA66AE0"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1A655F76" w14:textId="77777777" w:rsidR="00C8704C" w:rsidRPr="003E3396" w:rsidRDefault="00C8704C" w:rsidP="003E3396">
            <w:pPr>
              <w:spacing w:after="0"/>
              <w:rPr>
                <w:noProof/>
                <w:sz w:val="20"/>
                <w:szCs w:val="20"/>
                <w:lang w:val="en-IE"/>
              </w:rPr>
            </w:pPr>
            <w:r w:rsidRPr="003E3396">
              <w:rPr>
                <w:noProof/>
                <w:sz w:val="20"/>
                <w:szCs w:val="20"/>
                <w:lang w:val="en-IE"/>
              </w:rPr>
              <w:t>Animations &amp; transitions</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E0BEB7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A55E809"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CB38200"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D8F26F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7D5EFF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563158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53E4E4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24E29C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164E2FD0"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A5EDF46" w14:textId="77777777" w:rsidR="00C8704C" w:rsidRPr="003E3396" w:rsidRDefault="00C8704C" w:rsidP="003E3396">
            <w:pPr>
              <w:spacing w:after="0"/>
              <w:rPr>
                <w:noProof/>
                <w:sz w:val="20"/>
                <w:szCs w:val="20"/>
                <w:lang w:val="en-IE"/>
              </w:rPr>
            </w:pPr>
            <w:r w:rsidRPr="003E3396">
              <w:rPr>
                <w:noProof/>
                <w:sz w:val="20"/>
                <w:szCs w:val="20"/>
                <w:lang w:val="en-IE"/>
              </w:rPr>
              <w:t>Presenter view</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4A880B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F5E786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63D8FF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2C89F1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58D181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0E119A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6A298B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6C8F43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B1E15D9"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508CF0D7" w14:textId="77777777" w:rsidR="00C8704C" w:rsidRPr="003E3396" w:rsidRDefault="00C8704C" w:rsidP="003E3396">
            <w:pPr>
              <w:spacing w:after="0"/>
              <w:rPr>
                <w:noProof/>
                <w:sz w:val="20"/>
                <w:szCs w:val="20"/>
                <w:lang w:val="en-IE"/>
              </w:rPr>
            </w:pPr>
            <w:r w:rsidRPr="003E3396">
              <w:rPr>
                <w:noProof/>
                <w:sz w:val="20"/>
                <w:szCs w:val="20"/>
                <w:lang w:val="en-IE"/>
              </w:rPr>
              <w:t>Live audience interaction</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A003D6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63F5A7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77EC28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4FA78F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7FF31C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424C8C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2364F8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895EFD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EEBEB1E"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1C38CF0C" w14:textId="77777777" w:rsidR="00C8704C" w:rsidRPr="003E3396" w:rsidRDefault="00C8704C" w:rsidP="003E3396">
            <w:pPr>
              <w:spacing w:after="0"/>
              <w:rPr>
                <w:noProof/>
                <w:sz w:val="20"/>
                <w:szCs w:val="20"/>
                <w:lang w:val="en-IE"/>
              </w:rPr>
            </w:pPr>
            <w:r w:rsidRPr="003E3396">
              <w:rPr>
                <w:noProof/>
                <w:sz w:val="20"/>
                <w:szCs w:val="20"/>
                <w:lang w:val="en-IE"/>
              </w:rPr>
              <w:t>Export to PDF / video</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A6BAF1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028D3E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955465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7793FA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18B58F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9E09BC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8C5D76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8E61CCE"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44E93D6D"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6BA7C765" w14:textId="77777777" w:rsidR="00C8704C" w:rsidRPr="003E3396" w:rsidRDefault="00C8704C" w:rsidP="003E3396">
            <w:pPr>
              <w:spacing w:after="0"/>
              <w:rPr>
                <w:noProof/>
                <w:sz w:val="20"/>
                <w:szCs w:val="20"/>
                <w:lang w:val="en-IE"/>
              </w:rPr>
            </w:pPr>
            <w:r w:rsidRPr="003E3396">
              <w:rPr>
                <w:noProof/>
                <w:sz w:val="20"/>
                <w:szCs w:val="20"/>
                <w:lang w:val="en-IE"/>
              </w:rPr>
              <w:t>Embed media (audio/video)</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E99644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DA9CC7D"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616D48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4E4992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0D48A7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4CFF50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8F70D0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8BC252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88541D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42E661A7" w14:textId="77777777" w:rsidR="00C8704C" w:rsidRPr="003E3396" w:rsidRDefault="00C8704C" w:rsidP="003E3396">
            <w:pPr>
              <w:spacing w:after="0"/>
              <w:rPr>
                <w:noProof/>
                <w:sz w:val="20"/>
                <w:szCs w:val="20"/>
                <w:lang w:val="en-IE"/>
              </w:rPr>
            </w:pPr>
            <w:r w:rsidRPr="003E3396">
              <w:rPr>
                <w:noProof/>
                <w:sz w:val="20"/>
                <w:szCs w:val="20"/>
                <w:lang w:val="en-IE"/>
              </w:rPr>
              <w:t>PPTX import/export fidelity</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B3D227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35F8D5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3BEFEBA"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13F0C8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AD03A2F"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154FE2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4A8142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F194BF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1A23BD91"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5B3BA487" w14:textId="77777777" w:rsidR="00C8704C" w:rsidRPr="003E3396" w:rsidRDefault="00C8704C" w:rsidP="003E3396">
            <w:pPr>
              <w:spacing w:after="0"/>
              <w:rPr>
                <w:b/>
                <w:noProof/>
                <w:sz w:val="20"/>
                <w:szCs w:val="20"/>
                <w:lang w:val="en-IE"/>
              </w:rPr>
            </w:pPr>
            <w:r w:rsidRPr="003E3396">
              <w:rPr>
                <w:b/>
                <w:noProof/>
                <w:sz w:val="20"/>
                <w:szCs w:val="20"/>
                <w:lang w:val="en-IE"/>
              </w:rPr>
              <w:t>REAL-TIME COLLABORATION</w:t>
            </w:r>
          </w:p>
        </w:tc>
      </w:tr>
      <w:tr w:rsidR="00C8704C" w:rsidRPr="00D31817" w14:paraId="096A5B6F"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682C1414" w14:textId="77777777" w:rsidR="00C8704C" w:rsidRPr="003E3396" w:rsidRDefault="00C8704C" w:rsidP="003E3396">
            <w:pPr>
              <w:spacing w:after="0"/>
              <w:rPr>
                <w:noProof/>
                <w:sz w:val="20"/>
                <w:szCs w:val="20"/>
                <w:lang w:val="en-IE"/>
              </w:rPr>
            </w:pPr>
            <w:r w:rsidRPr="003E3396">
              <w:rPr>
                <w:noProof/>
                <w:sz w:val="20"/>
                <w:szCs w:val="20"/>
                <w:lang w:val="en-IE"/>
              </w:rPr>
              <w:t>Simultaneous co-editing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E0B2A2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D5C8FF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30C4F0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A41686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A4F50F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FE134C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DB34AA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242D82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D6176AC"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50426519" w14:textId="77777777" w:rsidR="00C8704C" w:rsidRPr="003E3396" w:rsidRDefault="00C8704C" w:rsidP="003E3396">
            <w:pPr>
              <w:spacing w:after="0"/>
              <w:rPr>
                <w:noProof/>
                <w:sz w:val="20"/>
                <w:szCs w:val="20"/>
                <w:lang w:val="en-IE"/>
              </w:rPr>
            </w:pPr>
            <w:r w:rsidRPr="003E3396">
              <w:rPr>
                <w:noProof/>
                <w:sz w:val="20"/>
                <w:szCs w:val="20"/>
                <w:lang w:val="en-IE"/>
              </w:rPr>
              <w:t>Live cursor / presence display</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E2D5DA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D6DB26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4619C6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FBA728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EC8DE6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B0970E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43C68E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C91B88B"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20A841A0"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4F129DF1" w14:textId="77777777" w:rsidR="00C8704C" w:rsidRPr="003E3396" w:rsidRDefault="00C8704C" w:rsidP="003E3396">
            <w:pPr>
              <w:spacing w:after="0"/>
              <w:rPr>
                <w:noProof/>
                <w:sz w:val="20"/>
                <w:szCs w:val="20"/>
                <w:lang w:val="en-IE"/>
              </w:rPr>
            </w:pPr>
            <w:r w:rsidRPr="003E3396">
              <w:rPr>
                <w:noProof/>
                <w:sz w:val="20"/>
                <w:szCs w:val="20"/>
                <w:lang w:val="en-IE"/>
              </w:rPr>
              <w:t>In-document comments &amp; threads</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842115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99F70C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4B62AA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B902B6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4DCFDB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CFED27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6DBF4E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F4FBA3B"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61B85B69"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1EA68F2" w14:textId="77777777" w:rsidR="00C8704C" w:rsidRPr="003E3396" w:rsidRDefault="00C8704C" w:rsidP="003E3396">
            <w:pPr>
              <w:spacing w:after="0"/>
              <w:rPr>
                <w:noProof/>
                <w:sz w:val="20"/>
                <w:szCs w:val="20"/>
                <w:lang w:val="en-IE"/>
              </w:rPr>
            </w:pPr>
            <w:r w:rsidRPr="003E3396">
              <w:rPr>
                <w:noProof/>
                <w:sz w:val="20"/>
                <w:szCs w:val="20"/>
                <w:lang w:val="en-IE"/>
              </w:rPr>
              <w:t>Document version history</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8C8F33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028579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6B4C29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F9A4EC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DCC46E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0C8473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E60A6C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CEBEB8D"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28645D7F"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897A727" w14:textId="77777777" w:rsidR="00C8704C" w:rsidRPr="003E3396" w:rsidRDefault="00C8704C" w:rsidP="003E3396">
            <w:pPr>
              <w:spacing w:after="0"/>
              <w:rPr>
                <w:noProof/>
                <w:sz w:val="20"/>
                <w:szCs w:val="20"/>
                <w:lang w:val="en-IE"/>
              </w:rPr>
            </w:pPr>
            <w:r w:rsidRPr="003E3396">
              <w:rPr>
                <w:noProof/>
                <w:sz w:val="20"/>
                <w:szCs w:val="20"/>
                <w:lang w:val="en-IE"/>
              </w:rPr>
              <w:t>Suggesting / review mode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CF4857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BB121A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5644A5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38513F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35BF08E"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9283AC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7647B5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4DC097A"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10D9631B"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2D639240" w14:textId="77777777" w:rsidR="00C8704C" w:rsidRPr="003E3396" w:rsidRDefault="00C8704C" w:rsidP="003E3396">
            <w:pPr>
              <w:spacing w:after="0"/>
              <w:rPr>
                <w:noProof/>
                <w:sz w:val="20"/>
                <w:szCs w:val="20"/>
                <w:lang w:val="en-IE"/>
              </w:rPr>
            </w:pPr>
            <w:r w:rsidRPr="003E3396">
              <w:rPr>
                <w:noProof/>
                <w:sz w:val="20"/>
                <w:szCs w:val="20"/>
                <w:lang w:val="en-IE"/>
              </w:rPr>
              <w:t>Paragraph-locking (conflict free)</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FEE752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A11DD3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A617F9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967DB0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04A976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89F078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7F1DB2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47252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91E677C"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EBBAA24" w14:textId="77777777" w:rsidR="00C8704C" w:rsidRPr="003E3396" w:rsidRDefault="00C8704C" w:rsidP="003E3396">
            <w:pPr>
              <w:spacing w:after="0"/>
              <w:rPr>
                <w:noProof/>
                <w:sz w:val="20"/>
                <w:szCs w:val="20"/>
                <w:lang w:val="en-IE"/>
              </w:rPr>
            </w:pPr>
            <w:r w:rsidRPr="003E3396">
              <w:rPr>
                <w:noProof/>
                <w:sz w:val="20"/>
                <w:szCs w:val="20"/>
                <w:lang w:val="en-IE"/>
              </w:rPr>
              <w:t>Link sharing (no-login editing)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07B352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1B28EE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A21122F"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1C3410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AA237E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C470A9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C6D51F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8EEB83A"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397D1C70"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E74AE6D" w14:textId="77777777" w:rsidR="00C8704C" w:rsidRPr="003E3396" w:rsidRDefault="00C8704C" w:rsidP="003E3396">
            <w:pPr>
              <w:spacing w:after="0"/>
              <w:rPr>
                <w:noProof/>
                <w:sz w:val="20"/>
                <w:szCs w:val="20"/>
                <w:lang w:val="en-IE"/>
              </w:rPr>
            </w:pPr>
            <w:r w:rsidRPr="003E3396">
              <w:rPr>
                <w:noProof/>
                <w:sz w:val="20"/>
                <w:szCs w:val="20"/>
                <w:lang w:val="en-IE"/>
              </w:rPr>
              <w:t>Guest / external collaborators</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D54762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C454EA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9E7DF2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F6967F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9C52A9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BFEE85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D2478D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B3CE07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3E9BB0F1"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0FB8C64A" w14:textId="77777777" w:rsidR="00C8704C" w:rsidRPr="003E3396" w:rsidRDefault="00C8704C" w:rsidP="003E3396">
            <w:pPr>
              <w:spacing w:after="0"/>
              <w:rPr>
                <w:b/>
                <w:noProof/>
                <w:sz w:val="20"/>
                <w:szCs w:val="20"/>
                <w:lang w:val="en-IE"/>
              </w:rPr>
            </w:pPr>
            <w:r w:rsidRPr="003E3396">
              <w:rPr>
                <w:b/>
                <w:noProof/>
                <w:sz w:val="20"/>
                <w:szCs w:val="20"/>
                <w:lang w:val="en-IE"/>
              </w:rPr>
              <w:t>EMAIL &amp; COMMUNICATION</w:t>
            </w:r>
          </w:p>
        </w:tc>
      </w:tr>
      <w:tr w:rsidR="00C8704C" w:rsidRPr="00D31817" w14:paraId="026AEA8E"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5DFDFE5" w14:textId="77777777" w:rsidR="00C8704C" w:rsidRPr="003E3396" w:rsidRDefault="00C8704C" w:rsidP="003E3396">
            <w:pPr>
              <w:spacing w:after="0"/>
              <w:rPr>
                <w:noProof/>
                <w:sz w:val="20"/>
                <w:szCs w:val="20"/>
                <w:lang w:val="en-IE"/>
              </w:rPr>
            </w:pPr>
            <w:r w:rsidRPr="003E3396">
              <w:rPr>
                <w:noProof/>
                <w:sz w:val="20"/>
                <w:szCs w:val="20"/>
                <w:lang w:val="en-IE"/>
              </w:rPr>
              <w:t>Email client / webmail</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89D45E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490B17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DF54C0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6722639"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4311A5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ACC804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262FE1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ABB66F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4749FF8"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5AB4F9C3" w14:textId="77777777" w:rsidR="00C8704C" w:rsidRPr="003E3396" w:rsidRDefault="00C8704C" w:rsidP="003E3396">
            <w:pPr>
              <w:spacing w:after="0"/>
              <w:rPr>
                <w:noProof/>
                <w:sz w:val="20"/>
                <w:szCs w:val="20"/>
                <w:lang w:val="en-IE"/>
              </w:rPr>
            </w:pPr>
            <w:r w:rsidRPr="003E3396">
              <w:rPr>
                <w:noProof/>
                <w:sz w:val="20"/>
                <w:szCs w:val="20"/>
                <w:lang w:val="en-IE"/>
              </w:rPr>
              <w:t>Calendar</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BDEA62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799F24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7EF5C4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4B450F5"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492AB2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9BDFE4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8D1636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3DE5BC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3916BD0"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9298E11" w14:textId="77777777" w:rsidR="00C8704C" w:rsidRPr="003E3396" w:rsidRDefault="00C8704C" w:rsidP="003E3396">
            <w:pPr>
              <w:spacing w:after="0"/>
              <w:rPr>
                <w:noProof/>
                <w:sz w:val="20"/>
                <w:szCs w:val="20"/>
                <w:lang w:val="en-IE"/>
              </w:rPr>
            </w:pPr>
            <w:r w:rsidRPr="003E3396">
              <w:rPr>
                <w:noProof/>
                <w:sz w:val="20"/>
                <w:szCs w:val="20"/>
                <w:lang w:val="en-IE"/>
              </w:rPr>
              <w:t>Contacts / address book</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A3BD2A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40D3E8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B240C5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0FB57C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562464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62EF05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1C79AD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18C046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7502EB2"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CE1CB39" w14:textId="77777777" w:rsidR="00C8704C" w:rsidRPr="003E3396" w:rsidRDefault="00C8704C" w:rsidP="003E3396">
            <w:pPr>
              <w:spacing w:after="0"/>
              <w:rPr>
                <w:noProof/>
                <w:sz w:val="20"/>
                <w:szCs w:val="20"/>
                <w:lang w:val="en-IE"/>
              </w:rPr>
            </w:pPr>
            <w:r w:rsidRPr="003E3396">
              <w:rPr>
                <w:noProof/>
                <w:sz w:val="20"/>
                <w:szCs w:val="20"/>
                <w:lang w:val="en-IE"/>
              </w:rPr>
              <w:t>Tasks / to-do management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D3E408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83EF1A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1C8A54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97A3F7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1E1461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A4AE85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6C0363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6EC038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22504081"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2A1C19F6" w14:textId="77777777" w:rsidR="00C8704C" w:rsidRPr="003E3396" w:rsidRDefault="00C8704C" w:rsidP="003E3396">
            <w:pPr>
              <w:spacing w:after="0"/>
              <w:rPr>
                <w:noProof/>
                <w:sz w:val="20"/>
                <w:szCs w:val="20"/>
                <w:lang w:val="en-IE"/>
              </w:rPr>
            </w:pPr>
            <w:r w:rsidRPr="003E3396">
              <w:rPr>
                <w:noProof/>
                <w:sz w:val="20"/>
                <w:szCs w:val="20"/>
                <w:lang w:val="en-IE"/>
              </w:rPr>
              <w:t>Team chat / messaging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31CCE2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31D9B9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1E5C4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6B5C5E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676389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064B9A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3328D7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568D8C2"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4F228ECA"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7BC746E9" w14:textId="77777777" w:rsidR="00C8704C" w:rsidRPr="003E3396" w:rsidRDefault="00C8704C" w:rsidP="003E3396">
            <w:pPr>
              <w:spacing w:after="0"/>
              <w:rPr>
                <w:noProof/>
                <w:sz w:val="20"/>
                <w:szCs w:val="20"/>
                <w:lang w:val="en-IE"/>
              </w:rPr>
            </w:pPr>
            <w:r w:rsidRPr="003E3396">
              <w:rPr>
                <w:noProof/>
                <w:sz w:val="20"/>
                <w:szCs w:val="20"/>
                <w:lang w:val="en-IE"/>
              </w:rPr>
              <w:t>Video conferencing</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6F865B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263B85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6A3895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AD7CC9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3D12A8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A595D2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15862E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6D75D49"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0A2A9A81"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BCCA9FB" w14:textId="77777777" w:rsidR="00C8704C" w:rsidRPr="003E3396" w:rsidRDefault="00C8704C" w:rsidP="003E3396">
            <w:pPr>
              <w:spacing w:after="0"/>
              <w:rPr>
                <w:noProof/>
                <w:sz w:val="20"/>
                <w:szCs w:val="20"/>
                <w:lang w:val="en-IE"/>
              </w:rPr>
            </w:pPr>
            <w:r w:rsidRPr="003E3396">
              <w:rPr>
                <w:noProof/>
                <w:sz w:val="20"/>
                <w:szCs w:val="20"/>
                <w:lang w:val="en-IE"/>
              </w:rPr>
              <w:t>Webinar / large meeting hosting</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5A1F0C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09EE00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A054F60"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8C2DFC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70ECCB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DCFC3D9"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69926F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C79728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1E9AED4A"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1F760009" w14:textId="77777777" w:rsidR="00C8704C" w:rsidRPr="003E3396" w:rsidRDefault="00C8704C" w:rsidP="003E3396">
            <w:pPr>
              <w:spacing w:after="0"/>
              <w:rPr>
                <w:noProof/>
                <w:sz w:val="20"/>
                <w:szCs w:val="20"/>
                <w:lang w:val="en-IE"/>
              </w:rPr>
            </w:pPr>
            <w:r w:rsidRPr="003E3396">
              <w:rPr>
                <w:noProof/>
                <w:sz w:val="20"/>
                <w:szCs w:val="20"/>
                <w:lang w:val="en-IE"/>
              </w:rPr>
              <w:t>Screen sharing</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CEC237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A18C5D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36BE6B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D7EA0C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DEA787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71B367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A05E5B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F49D5C7"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39BC2B0A"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388DF9FD" w14:textId="77777777" w:rsidR="00C8704C" w:rsidRPr="003E3396" w:rsidRDefault="00C8704C" w:rsidP="003E3396">
            <w:pPr>
              <w:spacing w:after="0"/>
              <w:rPr>
                <w:b/>
                <w:noProof/>
                <w:sz w:val="20"/>
                <w:szCs w:val="20"/>
                <w:lang w:val="en-IE"/>
              </w:rPr>
            </w:pPr>
            <w:r w:rsidRPr="003E3396">
              <w:rPr>
                <w:b/>
                <w:noProof/>
                <w:sz w:val="20"/>
                <w:szCs w:val="20"/>
                <w:lang w:val="en-IE"/>
              </w:rPr>
              <w:t>FILE STORAGE &amp; MANAGEMENT</w:t>
            </w:r>
          </w:p>
        </w:tc>
      </w:tr>
      <w:tr w:rsidR="00C8704C" w:rsidRPr="00D31817" w14:paraId="718F4DAD"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2CBE718" w14:textId="77777777" w:rsidR="00C8704C" w:rsidRPr="003E3396" w:rsidRDefault="00C8704C" w:rsidP="003E3396">
            <w:pPr>
              <w:spacing w:after="0"/>
              <w:rPr>
                <w:noProof/>
                <w:sz w:val="20"/>
                <w:szCs w:val="20"/>
                <w:lang w:val="en-IE"/>
              </w:rPr>
            </w:pPr>
            <w:r w:rsidRPr="003E3396">
              <w:rPr>
                <w:noProof/>
                <w:sz w:val="20"/>
                <w:szCs w:val="20"/>
                <w:lang w:val="en-IE"/>
              </w:rPr>
              <w:t>Cloud file storage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36D29A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DE3023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8DA05E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F22234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BAF130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67A105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3D2C6B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81ED2F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BC229A9"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21A3D5CB" w14:textId="77777777" w:rsidR="00C8704C" w:rsidRPr="003E3396" w:rsidRDefault="00C8704C" w:rsidP="003E3396">
            <w:pPr>
              <w:spacing w:after="0"/>
              <w:rPr>
                <w:noProof/>
                <w:sz w:val="20"/>
                <w:szCs w:val="20"/>
                <w:lang w:val="en-IE"/>
              </w:rPr>
            </w:pPr>
            <w:r w:rsidRPr="003E3396">
              <w:rPr>
                <w:noProof/>
                <w:sz w:val="20"/>
                <w:szCs w:val="20"/>
                <w:lang w:val="en-IE"/>
              </w:rPr>
              <w:t>Desktop sync client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54D8E9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B64C38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3AEB9A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1146BA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772731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CB5B3E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1C2DB5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B656435"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284DD98C"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32C4FB28" w14:textId="77777777" w:rsidR="00C8704C" w:rsidRPr="003E3396" w:rsidRDefault="00C8704C" w:rsidP="003E3396">
            <w:pPr>
              <w:spacing w:after="0"/>
              <w:rPr>
                <w:noProof/>
                <w:sz w:val="20"/>
                <w:szCs w:val="20"/>
                <w:lang w:val="en-IE"/>
              </w:rPr>
            </w:pPr>
            <w:r w:rsidRPr="003E3396">
              <w:rPr>
                <w:noProof/>
                <w:sz w:val="20"/>
                <w:szCs w:val="20"/>
                <w:lang w:val="en-IE"/>
              </w:rPr>
              <w:t>Offline file access</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9E4014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B12C3A9"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9E8F85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98B380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CF1675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417608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FDF240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E75626D"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243ABD84"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4D9FA3B4" w14:textId="77777777" w:rsidR="00C8704C" w:rsidRPr="003E3396" w:rsidRDefault="00C8704C" w:rsidP="003E3396">
            <w:pPr>
              <w:spacing w:after="0"/>
              <w:rPr>
                <w:noProof/>
                <w:sz w:val="20"/>
                <w:szCs w:val="20"/>
                <w:lang w:val="en-IE"/>
              </w:rPr>
            </w:pPr>
            <w:r w:rsidRPr="003E3396">
              <w:rPr>
                <w:noProof/>
                <w:sz w:val="20"/>
                <w:szCs w:val="20"/>
                <w:lang w:val="en-IE"/>
              </w:rPr>
              <w:t>External file sharing links</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058140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E05DA2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18F53E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2919FB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7A8826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69E696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63D8A2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1EAB55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553B5472"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7C8549AB" w14:textId="77777777" w:rsidR="00C8704C" w:rsidRPr="003E3396" w:rsidRDefault="00C8704C" w:rsidP="003E3396">
            <w:pPr>
              <w:spacing w:after="0"/>
              <w:rPr>
                <w:noProof/>
                <w:sz w:val="20"/>
                <w:szCs w:val="20"/>
                <w:lang w:val="en-IE"/>
              </w:rPr>
            </w:pPr>
            <w:r w:rsidRPr="003E3396">
              <w:rPr>
                <w:noProof/>
                <w:sz w:val="20"/>
                <w:szCs w:val="20"/>
                <w:lang w:val="en-IE"/>
              </w:rPr>
              <w:t>File versioning &amp; restore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068185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47B695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D8552B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EC26EE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426420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ABFEEC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037C87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7117ED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A3BB164"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023738D" w14:textId="77777777" w:rsidR="00C8704C" w:rsidRPr="003E3396" w:rsidRDefault="00C8704C" w:rsidP="003E3396">
            <w:pPr>
              <w:spacing w:after="0"/>
              <w:rPr>
                <w:noProof/>
                <w:sz w:val="20"/>
                <w:szCs w:val="20"/>
                <w:lang w:val="en-IE"/>
              </w:rPr>
            </w:pPr>
            <w:r w:rsidRPr="003E3396">
              <w:rPr>
                <w:noProof/>
                <w:sz w:val="20"/>
                <w:szCs w:val="20"/>
                <w:lang w:val="en-IE"/>
              </w:rPr>
              <w:t>Folder-level permissions</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B14D5C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959AF7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0AD84A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BC7EB3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F986FC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60625B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4E1A09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EDB9DA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4FD10D8E"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2F10F2C4" w14:textId="77777777" w:rsidR="00C8704C" w:rsidRPr="003E3396" w:rsidRDefault="00C8704C" w:rsidP="003E3396">
            <w:pPr>
              <w:spacing w:after="0"/>
              <w:rPr>
                <w:noProof/>
                <w:sz w:val="20"/>
                <w:szCs w:val="20"/>
                <w:lang w:val="en-IE"/>
              </w:rPr>
            </w:pPr>
            <w:r w:rsidRPr="003E3396">
              <w:rPr>
                <w:noProof/>
                <w:sz w:val="20"/>
                <w:szCs w:val="20"/>
                <w:lang w:val="en-IE"/>
              </w:rPr>
              <w:t>Self-hosted / on-premise</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83E0DD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FA5B34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2DB2074"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B78D96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63A424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40C83A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F23F89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205491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663FC362"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2201EE82" w14:textId="77777777" w:rsidR="00C8704C" w:rsidRPr="003E3396" w:rsidRDefault="00C8704C" w:rsidP="003E3396">
            <w:pPr>
              <w:spacing w:after="0"/>
              <w:rPr>
                <w:noProof/>
                <w:sz w:val="20"/>
                <w:szCs w:val="20"/>
                <w:lang w:val="en-IE"/>
              </w:rPr>
            </w:pPr>
            <w:r w:rsidRPr="003E3396">
              <w:rPr>
                <w:noProof/>
                <w:sz w:val="20"/>
                <w:szCs w:val="20"/>
                <w:lang w:val="en-IE"/>
              </w:rPr>
              <w:t>Included cloud storage (entry plan)</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F27B69C" w14:textId="77777777" w:rsidR="00C8704C" w:rsidRPr="003E3396" w:rsidRDefault="00C8704C" w:rsidP="003E3396">
            <w:pPr>
              <w:spacing w:after="0"/>
              <w:rPr>
                <w:noProof/>
                <w:sz w:val="20"/>
                <w:szCs w:val="20"/>
                <w:lang w:val="en-IE"/>
              </w:rPr>
            </w:pPr>
            <w:r w:rsidRPr="003E3396">
              <w:rPr>
                <w:noProof/>
                <w:sz w:val="20"/>
                <w:szCs w:val="20"/>
                <w:lang w:val="en-IE"/>
              </w:rPr>
              <w:t>1TB</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1956027" w14:textId="77777777" w:rsidR="00C8704C" w:rsidRPr="003E3396" w:rsidRDefault="00C8704C" w:rsidP="003E3396">
            <w:pPr>
              <w:spacing w:after="0"/>
              <w:rPr>
                <w:noProof/>
                <w:sz w:val="20"/>
                <w:szCs w:val="20"/>
                <w:lang w:val="en-IE"/>
              </w:rPr>
            </w:pPr>
            <w:r w:rsidRPr="003E3396">
              <w:rPr>
                <w:noProof/>
                <w:sz w:val="20"/>
                <w:szCs w:val="20"/>
                <w:lang w:val="en-IE"/>
              </w:rPr>
              <w:t>15GB</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A969E13" w14:textId="77777777" w:rsidR="00C8704C" w:rsidRPr="003E3396" w:rsidRDefault="00C8704C" w:rsidP="003E3396">
            <w:pPr>
              <w:spacing w:after="0"/>
              <w:rPr>
                <w:noProof/>
                <w:sz w:val="20"/>
                <w:szCs w:val="20"/>
                <w:lang w:val="en-IE"/>
              </w:rPr>
            </w:pPr>
            <w:r w:rsidRPr="003E3396">
              <w:rPr>
                <w:noProof/>
                <w:sz w:val="20"/>
                <w:szCs w:val="20"/>
                <w:lang w:val="en-IE"/>
              </w:rPr>
              <w:t>Self-hosted</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F3AF394" w14:textId="77777777" w:rsidR="00C8704C" w:rsidRPr="003E3396" w:rsidRDefault="00C8704C" w:rsidP="003E3396">
            <w:pPr>
              <w:spacing w:after="0"/>
              <w:rPr>
                <w:noProof/>
                <w:sz w:val="20"/>
                <w:szCs w:val="20"/>
                <w:lang w:val="en-IE"/>
              </w:rPr>
            </w:pPr>
            <w:r w:rsidRPr="003E3396">
              <w:rPr>
                <w:noProof/>
                <w:sz w:val="20"/>
                <w:szCs w:val="20"/>
                <w:lang w:val="en-IE"/>
              </w:rPr>
              <w:t>5GB</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39F42D8" w14:textId="77777777" w:rsidR="00C8704C" w:rsidRPr="003E3396" w:rsidRDefault="00C8704C" w:rsidP="003E3396">
            <w:pPr>
              <w:spacing w:after="0"/>
              <w:rPr>
                <w:noProof/>
                <w:sz w:val="20"/>
                <w:szCs w:val="20"/>
                <w:lang w:val="en-IE"/>
              </w:rPr>
            </w:pPr>
            <w:r w:rsidRPr="003E3396">
              <w:rPr>
                <w:noProof/>
                <w:sz w:val="20"/>
                <w:szCs w:val="20"/>
                <w:lang w:val="en-IE"/>
              </w:rPr>
              <w:t>1GB</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FD41649" w14:textId="77777777" w:rsidR="00C8704C" w:rsidRPr="003E3396" w:rsidRDefault="00C8704C" w:rsidP="003E3396">
            <w:pPr>
              <w:spacing w:after="0"/>
              <w:rPr>
                <w:noProof/>
                <w:sz w:val="20"/>
                <w:szCs w:val="20"/>
                <w:lang w:val="en-IE"/>
              </w:rPr>
            </w:pPr>
            <w:r w:rsidRPr="003E3396">
              <w:rPr>
                <w:noProof/>
                <w:sz w:val="20"/>
                <w:szCs w:val="20"/>
                <w:lang w:val="en-IE"/>
              </w:rPr>
              <w:t>15GB</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667C2BC" w14:textId="77777777" w:rsidR="00C8704C" w:rsidRPr="003E3396" w:rsidRDefault="00C8704C" w:rsidP="003E3396">
            <w:pPr>
              <w:spacing w:after="0"/>
              <w:rPr>
                <w:noProof/>
                <w:sz w:val="20"/>
                <w:szCs w:val="20"/>
                <w:lang w:val="en-IE"/>
              </w:rPr>
            </w:pPr>
            <w:r w:rsidRPr="003E3396">
              <w:rPr>
                <w:noProof/>
                <w:sz w:val="20"/>
                <w:szCs w:val="20"/>
                <w:lang w:val="en-IE"/>
              </w:rPr>
              <w:t>Local</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5A6ACCC" w14:textId="77777777" w:rsidR="00C8704C" w:rsidRPr="003E3396" w:rsidRDefault="00C8704C" w:rsidP="003E3396">
            <w:pPr>
              <w:spacing w:after="0"/>
              <w:rPr>
                <w:noProof/>
                <w:sz w:val="20"/>
                <w:szCs w:val="20"/>
                <w:lang w:val="en-IE"/>
              </w:rPr>
            </w:pPr>
            <w:r w:rsidRPr="003E3396">
              <w:rPr>
                <w:noProof/>
                <w:sz w:val="20"/>
                <w:szCs w:val="20"/>
                <w:lang w:val="en-IE"/>
              </w:rPr>
              <w:t>Self-hosted</w:t>
            </w:r>
          </w:p>
        </w:tc>
      </w:tr>
      <w:tr w:rsidR="00C8704C" w:rsidRPr="00D31817" w14:paraId="63533705" w14:textId="77777777" w:rsidTr="00C8704C">
        <w:tc>
          <w:tcPr>
            <w:tcW w:w="5000" w:type="pct"/>
            <w:gridSpan w:val="9"/>
            <w:tcBorders>
              <w:top w:val="single" w:sz="4" w:space="0" w:color="CCCCCC"/>
              <w:left w:val="single" w:sz="4" w:space="0" w:color="CCCCCC"/>
              <w:bottom w:val="single" w:sz="4" w:space="0" w:color="CCCCCC"/>
              <w:right w:val="single" w:sz="4" w:space="0" w:color="CCCCCC"/>
            </w:tcBorders>
            <w:shd w:val="clear" w:color="auto" w:fill="D6E4F0"/>
            <w:tcMar>
              <w:top w:w="55" w:type="dxa"/>
              <w:left w:w="120" w:type="dxa"/>
              <w:bottom w:w="55" w:type="dxa"/>
              <w:right w:w="120" w:type="dxa"/>
            </w:tcMar>
            <w:hideMark/>
          </w:tcPr>
          <w:p w14:paraId="37376610" w14:textId="77777777" w:rsidR="00C8704C" w:rsidRPr="003E3396" w:rsidRDefault="00C8704C" w:rsidP="003E3396">
            <w:pPr>
              <w:spacing w:after="0"/>
              <w:rPr>
                <w:b/>
                <w:noProof/>
                <w:sz w:val="20"/>
                <w:szCs w:val="20"/>
                <w:lang w:val="en-IE"/>
              </w:rPr>
            </w:pPr>
            <w:r w:rsidRPr="003E3396">
              <w:rPr>
                <w:b/>
                <w:noProof/>
                <w:sz w:val="20"/>
                <w:szCs w:val="20"/>
                <w:lang w:val="en-IE"/>
              </w:rPr>
              <w:t>AI &amp; PRODUCTIVITY TOOLS</w:t>
            </w:r>
          </w:p>
        </w:tc>
      </w:tr>
      <w:tr w:rsidR="00C8704C" w:rsidRPr="00D31817" w14:paraId="604229C9"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A72B866" w14:textId="77777777" w:rsidR="00C8704C" w:rsidRPr="003E3396" w:rsidRDefault="00C8704C" w:rsidP="003E3396">
            <w:pPr>
              <w:spacing w:after="0"/>
              <w:rPr>
                <w:noProof/>
                <w:sz w:val="20"/>
                <w:szCs w:val="20"/>
                <w:lang w:val="en-IE"/>
              </w:rPr>
            </w:pPr>
            <w:r w:rsidRPr="003E3396">
              <w:rPr>
                <w:noProof/>
                <w:sz w:val="20"/>
                <w:szCs w:val="20"/>
                <w:lang w:val="en-IE"/>
              </w:rPr>
              <w:t>Integrated AI writing assistant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E18E50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C169AA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A36D3C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4664E9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3E272B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156B6B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6AD1A3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9D4B57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2ED03876"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549ED84" w14:textId="77777777" w:rsidR="00C8704C" w:rsidRPr="003E3396" w:rsidRDefault="00C8704C" w:rsidP="003E3396">
            <w:pPr>
              <w:spacing w:after="0"/>
              <w:rPr>
                <w:noProof/>
                <w:sz w:val="20"/>
                <w:szCs w:val="20"/>
                <w:lang w:val="en-IE"/>
              </w:rPr>
            </w:pPr>
            <w:r w:rsidRPr="003E3396">
              <w:rPr>
                <w:noProof/>
                <w:sz w:val="20"/>
                <w:szCs w:val="20"/>
                <w:lang w:val="en-IE"/>
              </w:rPr>
              <w:t>AI email drafting / summarization</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029D79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03F9DC2"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393EB4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CB5C76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4B0892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389530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642716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E04878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1CA43175"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512C85C" w14:textId="77777777" w:rsidR="00C8704C" w:rsidRPr="003E3396" w:rsidRDefault="00C8704C" w:rsidP="003E3396">
            <w:pPr>
              <w:spacing w:after="0"/>
              <w:rPr>
                <w:noProof/>
                <w:sz w:val="20"/>
                <w:szCs w:val="20"/>
                <w:lang w:val="en-IE"/>
              </w:rPr>
            </w:pPr>
            <w:r w:rsidRPr="003E3396">
              <w:rPr>
                <w:noProof/>
                <w:sz w:val="20"/>
                <w:szCs w:val="20"/>
                <w:lang w:val="en-IE"/>
              </w:rPr>
              <w:t>AI meeting notes / transcription</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C9D1B7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2332D8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066353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C152A9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310D7D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835819D"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7BA3F7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F20E95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374CF78"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620A053B" w14:textId="77777777" w:rsidR="00C8704C" w:rsidRPr="003E3396" w:rsidRDefault="00C8704C" w:rsidP="003E3396">
            <w:pPr>
              <w:spacing w:after="0"/>
              <w:rPr>
                <w:noProof/>
                <w:sz w:val="20"/>
                <w:szCs w:val="20"/>
                <w:lang w:val="en-IE"/>
              </w:rPr>
            </w:pPr>
            <w:r w:rsidRPr="003E3396">
              <w:rPr>
                <w:noProof/>
                <w:sz w:val="20"/>
                <w:szCs w:val="20"/>
                <w:lang w:val="en-IE"/>
              </w:rPr>
              <w:t>AI spreadsheet / formula help</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5779D5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8DB3A6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D5CD65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D98902B"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0DF880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A73510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4F898D8"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00C506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3ED22A9D"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3347D87B" w14:textId="77777777" w:rsidR="00C8704C" w:rsidRPr="003E3396" w:rsidRDefault="00C8704C" w:rsidP="003E3396">
            <w:pPr>
              <w:spacing w:after="0"/>
              <w:rPr>
                <w:noProof/>
                <w:sz w:val="20"/>
                <w:szCs w:val="20"/>
                <w:lang w:val="en-IE"/>
              </w:rPr>
            </w:pPr>
            <w:r w:rsidRPr="003E3396">
              <w:rPr>
                <w:noProof/>
                <w:sz w:val="20"/>
                <w:szCs w:val="20"/>
                <w:lang w:val="en-IE"/>
              </w:rPr>
              <w:t>No-code app builder</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648AEC3"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D65650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5E09C0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14CD6E2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80803A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680A83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20C2D0B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CCE3B9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r>
      <w:tr w:rsidR="00C8704C" w:rsidRPr="00D31817" w14:paraId="0DA0D11A"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1FB99996" w14:textId="77777777" w:rsidR="00C8704C" w:rsidRPr="003E3396" w:rsidRDefault="00C8704C" w:rsidP="003E3396">
            <w:pPr>
              <w:spacing w:after="0"/>
              <w:rPr>
                <w:noProof/>
                <w:sz w:val="20"/>
                <w:szCs w:val="20"/>
                <w:lang w:val="en-IE"/>
              </w:rPr>
            </w:pPr>
            <w:r w:rsidRPr="003E3396">
              <w:rPr>
                <w:noProof/>
                <w:sz w:val="20"/>
                <w:szCs w:val="20"/>
                <w:lang w:val="en-IE"/>
              </w:rPr>
              <w:t>Workflow automation</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E45CD16"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6D9844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1B590D6"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4D8215D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28BD5FC"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99CDCF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1D5E75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617E45E"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70CB5F37"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6D829C19" w14:textId="77777777" w:rsidR="00C8704C" w:rsidRPr="003E3396" w:rsidRDefault="00C8704C" w:rsidP="003E3396">
            <w:pPr>
              <w:spacing w:after="0"/>
              <w:rPr>
                <w:noProof/>
                <w:sz w:val="20"/>
                <w:szCs w:val="20"/>
                <w:lang w:val="en-IE"/>
              </w:rPr>
            </w:pPr>
            <w:r w:rsidRPr="003E3396">
              <w:rPr>
                <w:noProof/>
                <w:sz w:val="20"/>
                <w:szCs w:val="20"/>
                <w:lang w:val="en-IE"/>
              </w:rPr>
              <w:t>Forms / survey tool</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6AB5A20"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6AD5EF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420B4F9"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5CB715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8C93D33"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6B3DB8BF"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9E574D1"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2BF5277"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56228A82"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FFFFF"/>
            <w:tcMar>
              <w:top w:w="55" w:type="dxa"/>
              <w:left w:w="120" w:type="dxa"/>
              <w:bottom w:w="55" w:type="dxa"/>
              <w:right w:w="80" w:type="dxa"/>
            </w:tcMar>
            <w:vAlign w:val="center"/>
            <w:hideMark/>
          </w:tcPr>
          <w:p w14:paraId="4510C5D4" w14:textId="77777777" w:rsidR="00C8704C" w:rsidRPr="003E3396" w:rsidRDefault="00C8704C" w:rsidP="003E3396">
            <w:pPr>
              <w:spacing w:after="0"/>
              <w:rPr>
                <w:noProof/>
                <w:sz w:val="20"/>
                <w:szCs w:val="20"/>
                <w:lang w:val="en-IE"/>
              </w:rPr>
            </w:pPr>
            <w:r w:rsidRPr="003E3396">
              <w:rPr>
                <w:noProof/>
                <w:sz w:val="20"/>
                <w:szCs w:val="20"/>
                <w:lang w:val="en-IE"/>
              </w:rPr>
              <w:t>Whiteboard / drawing tool</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2F8231C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30BD72DF"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EEC8FF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045C682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68145D3B"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7049A20F"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53DAFC6E"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FFFFF"/>
            <w:tcMar>
              <w:top w:w="55" w:type="dxa"/>
              <w:left w:w="70" w:type="dxa"/>
              <w:bottom w:w="55" w:type="dxa"/>
              <w:right w:w="70" w:type="dxa"/>
            </w:tcMar>
            <w:vAlign w:val="center"/>
            <w:hideMark/>
          </w:tcPr>
          <w:p w14:paraId="1312DFDB" w14:textId="77777777" w:rsidR="00C8704C" w:rsidRPr="003E3396" w:rsidRDefault="00C8704C" w:rsidP="003E3396">
            <w:pPr>
              <w:spacing w:after="0"/>
              <w:rPr>
                <w:noProof/>
                <w:sz w:val="20"/>
                <w:szCs w:val="20"/>
                <w:lang w:val="en-IE"/>
              </w:rPr>
            </w:pPr>
            <w:r w:rsidRPr="003E3396">
              <w:rPr>
                <w:noProof/>
                <w:sz w:val="20"/>
                <w:szCs w:val="20"/>
                <w:lang w:val="en-IE"/>
              </w:rPr>
              <w:t>~</w:t>
            </w:r>
          </w:p>
        </w:tc>
      </w:tr>
      <w:tr w:rsidR="00C8704C" w:rsidRPr="00D31817" w14:paraId="39E41ABB" w14:textId="77777777" w:rsidTr="00C8704C">
        <w:tc>
          <w:tcPr>
            <w:tcW w:w="858" w:type="pct"/>
            <w:tcBorders>
              <w:top w:val="single" w:sz="4" w:space="0" w:color="CCCCCC"/>
              <w:left w:val="single" w:sz="4" w:space="0" w:color="CCCCCC"/>
              <w:bottom w:val="single" w:sz="4" w:space="0" w:color="CCCCCC"/>
              <w:right w:val="single" w:sz="4" w:space="0" w:color="CCCCCC"/>
            </w:tcBorders>
            <w:shd w:val="clear" w:color="auto" w:fill="F5F8FB"/>
            <w:tcMar>
              <w:top w:w="55" w:type="dxa"/>
              <w:left w:w="120" w:type="dxa"/>
              <w:bottom w:w="55" w:type="dxa"/>
              <w:right w:w="80" w:type="dxa"/>
            </w:tcMar>
            <w:vAlign w:val="center"/>
            <w:hideMark/>
          </w:tcPr>
          <w:p w14:paraId="06286EAD" w14:textId="77777777" w:rsidR="00C8704C" w:rsidRPr="003E3396" w:rsidRDefault="00C8704C" w:rsidP="003E3396">
            <w:pPr>
              <w:spacing w:after="0"/>
              <w:rPr>
                <w:noProof/>
                <w:sz w:val="20"/>
                <w:szCs w:val="20"/>
                <w:lang w:val="en-IE"/>
              </w:rPr>
            </w:pPr>
            <w:r w:rsidRPr="003E3396">
              <w:rPr>
                <w:noProof/>
                <w:sz w:val="20"/>
                <w:szCs w:val="20"/>
                <w:lang w:val="en-IE"/>
              </w:rPr>
              <w:t>Notes / wiki tool</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82AA755"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77624277"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F9CC03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0B872141"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67"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5A136638"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602"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545679C" w14:textId="77777777" w:rsidR="00C8704C" w:rsidRPr="003E3396" w:rsidRDefault="00C8704C" w:rsidP="003E3396">
            <w:pPr>
              <w:spacing w:after="0"/>
              <w:rPr>
                <w:noProof/>
                <w:sz w:val="20"/>
                <w:szCs w:val="20"/>
                <w:lang w:val="en-IE"/>
              </w:rPr>
            </w:pPr>
            <w:r w:rsidRPr="003E3396">
              <w:rPr>
                <w:noProof/>
                <w:sz w:val="20"/>
                <w:szCs w:val="20"/>
                <w:lang w:val="en-IE"/>
              </w:rPr>
              <w:t>~</w:t>
            </w:r>
          </w:p>
        </w:tc>
        <w:tc>
          <w:tcPr>
            <w:tcW w:w="471"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42A4896A" w14:textId="77777777" w:rsidR="00C8704C" w:rsidRPr="003E3396" w:rsidRDefault="00C8704C" w:rsidP="003E3396">
            <w:pPr>
              <w:spacing w:after="0"/>
              <w:rPr>
                <w:noProof/>
                <w:sz w:val="20"/>
                <w:szCs w:val="20"/>
                <w:lang w:val="en-IE"/>
              </w:rPr>
            </w:pPr>
            <w:r w:rsidRPr="003E3396">
              <w:rPr>
                <w:rFonts w:ascii="Segoe UI Symbol" w:hAnsi="Segoe UI Symbol" w:cs="Segoe UI Symbol"/>
                <w:noProof/>
                <w:sz w:val="20"/>
                <w:szCs w:val="20"/>
                <w:lang w:val="en-IE"/>
              </w:rPr>
              <w:t>✕</w:t>
            </w:r>
          </w:p>
        </w:tc>
        <w:tc>
          <w:tcPr>
            <w:tcW w:w="465" w:type="pct"/>
            <w:tcBorders>
              <w:top w:val="single" w:sz="4" w:space="0" w:color="CCCCCC"/>
              <w:left w:val="single" w:sz="4" w:space="0" w:color="CCCCCC"/>
              <w:bottom w:val="single" w:sz="4" w:space="0" w:color="CCCCCC"/>
              <w:right w:val="single" w:sz="4" w:space="0" w:color="CCCCCC"/>
            </w:tcBorders>
            <w:shd w:val="clear" w:color="auto" w:fill="F5F8FB"/>
            <w:tcMar>
              <w:top w:w="55" w:type="dxa"/>
              <w:left w:w="70" w:type="dxa"/>
              <w:bottom w:w="55" w:type="dxa"/>
              <w:right w:w="70" w:type="dxa"/>
            </w:tcMar>
            <w:vAlign w:val="center"/>
            <w:hideMark/>
          </w:tcPr>
          <w:p w14:paraId="3D3874C2" w14:textId="77777777" w:rsidR="00C8704C" w:rsidRPr="003E3396" w:rsidRDefault="00C8704C" w:rsidP="003E3396">
            <w:pPr>
              <w:spacing w:after="0"/>
              <w:rPr>
                <w:noProof/>
                <w:sz w:val="20"/>
                <w:szCs w:val="20"/>
                <w:lang w:val="en-IE"/>
              </w:rPr>
            </w:pPr>
            <w:r w:rsidRPr="003E3396">
              <w:rPr>
                <w:noProof/>
                <w:sz w:val="20"/>
                <w:szCs w:val="20"/>
                <w:lang w:val="en-IE"/>
              </w:rPr>
              <w:t>~</w:t>
            </w:r>
          </w:p>
        </w:tc>
      </w:tr>
    </w:tbl>
    <w:p w14:paraId="7EE2531E" w14:textId="77777777" w:rsidR="00C8704C" w:rsidRPr="00C8704C" w:rsidRDefault="00C8704C" w:rsidP="00C8704C">
      <w:pPr>
        <w:rPr>
          <w:noProof/>
          <w:lang w:val="fr-BE"/>
        </w:rPr>
      </w:pPr>
    </w:p>
    <w:p w14:paraId="4B9BA846" w14:textId="77777777" w:rsidR="00C8704C" w:rsidRPr="00C8704C" w:rsidRDefault="00C8704C" w:rsidP="00C8704C">
      <w:pPr>
        <w:rPr>
          <w:noProof/>
        </w:rPr>
      </w:pPr>
      <w:r w:rsidRPr="00C8704C">
        <w:rPr>
          <w:noProof/>
        </w:rPr>
        <w:t xml:space="preserve">Legend: </w:t>
      </w:r>
      <w:r w:rsidRPr="00C8704C">
        <w:rPr>
          <w:rFonts w:ascii="Segoe UI Symbol" w:hAnsi="Segoe UI Symbol" w:cs="Segoe UI Symbol"/>
          <w:noProof/>
        </w:rPr>
        <w:t>✓</w:t>
      </w:r>
      <w:r w:rsidRPr="00C8704C">
        <w:rPr>
          <w:noProof/>
        </w:rPr>
        <w:t xml:space="preserve"> Supported    ~ Partial / limited    </w:t>
      </w:r>
      <w:r w:rsidRPr="00C8704C">
        <w:rPr>
          <w:rFonts w:ascii="Segoe UI Symbol" w:hAnsi="Segoe UI Symbol" w:cs="Segoe UI Symbol"/>
          <w:noProof/>
        </w:rPr>
        <w:t>✕</w:t>
      </w:r>
      <w:r w:rsidRPr="00C8704C">
        <w:rPr>
          <w:noProof/>
        </w:rPr>
        <w:t xml:space="preserve"> Not available</w:t>
      </w:r>
    </w:p>
    <w:p w14:paraId="78ED9098" w14:textId="77777777" w:rsidR="00C8704C" w:rsidRPr="003E3396" w:rsidRDefault="00C8704C" w:rsidP="006520E2">
      <w:pPr>
        <w:rPr>
          <w:noProof/>
        </w:rPr>
      </w:pPr>
    </w:p>
    <w:p w14:paraId="5D1D3061" w14:textId="77777777" w:rsidR="00647A40" w:rsidRPr="00A80F41" w:rsidRDefault="00647A40">
      <w:pPr>
        <w:rPr>
          <w:noProof/>
          <w:lang w:val="en-IE"/>
        </w:rPr>
      </w:pPr>
    </w:p>
    <w:p w14:paraId="1AADCE5B" w14:textId="77777777" w:rsidR="0099524E" w:rsidRPr="00A80F41" w:rsidRDefault="0099524E">
      <w:pPr>
        <w:rPr>
          <w:noProof/>
          <w:lang w:val="en-IE"/>
        </w:rPr>
      </w:pPr>
    </w:p>
    <w:sectPr w:rsidR="0099524E" w:rsidRPr="00A80F41" w:rsidSect="0099524E">
      <w:headerReference w:type="default" r:id="rId63"/>
      <w:footerReference w:type="default" r:id="rId64"/>
      <w:headerReference w:type="first" r:id="rId65"/>
      <w:footerReference w:type="first" r:id="rId66"/>
      <w:pgSz w:w="11906" w:h="16838"/>
      <w:pgMar w:top="1020" w:right="1700"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81766" w14:textId="77777777" w:rsidR="00717437" w:rsidRDefault="00717437" w:rsidP="000E3086">
      <w:r>
        <w:separator/>
      </w:r>
    </w:p>
  </w:endnote>
  <w:endnote w:type="continuationSeparator" w:id="0">
    <w:p w14:paraId="2261A1B5" w14:textId="77777777" w:rsidR="00717437" w:rsidRDefault="00717437" w:rsidP="000E3086">
      <w:r>
        <w:continuationSeparator/>
      </w:r>
    </w:p>
  </w:endnote>
  <w:endnote w:type="continuationNotice" w:id="1">
    <w:p w14:paraId="1335BB2D" w14:textId="77777777" w:rsidR="00717437" w:rsidRDefault="007174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quot;Courier New&quo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2E6F" w14:textId="662FB654" w:rsidR="00E634B8" w:rsidRPr="00E634B8" w:rsidRDefault="00E634B8" w:rsidP="00E634B8">
    <w:pPr>
      <w:pStyle w:val="FooterCoverPage"/>
      <w:rPr>
        <w:rFonts w:ascii="Arial" w:hAnsi="Arial" w:cs="Arial"/>
        <w:b/>
        <w:sz w:val="48"/>
      </w:rPr>
    </w:pPr>
    <w:r w:rsidRPr="00E634B8">
      <w:rPr>
        <w:rFonts w:ascii="Arial" w:hAnsi="Arial" w:cs="Arial"/>
        <w:b/>
        <w:sz w:val="48"/>
      </w:rPr>
      <w:t>EN</w:t>
    </w:r>
    <w:r w:rsidRPr="00E634B8">
      <w:rPr>
        <w:rFonts w:ascii="Arial" w:hAnsi="Arial" w:cs="Arial"/>
        <w:b/>
        <w:sz w:val="48"/>
      </w:rPr>
      <w:tab/>
    </w:r>
    <w:r w:rsidRPr="00E634B8">
      <w:rPr>
        <w:rFonts w:ascii="Arial" w:hAnsi="Arial" w:cs="Arial"/>
        <w:b/>
        <w:sz w:val="48"/>
      </w:rPr>
      <w:tab/>
    </w:r>
    <w:r w:rsidRPr="00E634B8">
      <w:tab/>
    </w:r>
    <w:r w:rsidRPr="00E634B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125E1" w14:textId="67BB9E26" w:rsidR="00E634B8" w:rsidRPr="00E634B8" w:rsidRDefault="00E634B8" w:rsidP="00E634B8">
    <w:pPr>
      <w:pStyle w:val="FooterCoverPage"/>
      <w:rPr>
        <w:rFonts w:ascii="Arial" w:hAnsi="Arial" w:cs="Arial"/>
        <w:b/>
        <w:sz w:val="48"/>
      </w:rPr>
    </w:pPr>
    <w:r w:rsidRPr="00E634B8">
      <w:rPr>
        <w:rFonts w:ascii="Arial" w:hAnsi="Arial" w:cs="Arial"/>
        <w:b/>
        <w:sz w:val="48"/>
      </w:rPr>
      <w:t>EN</w:t>
    </w:r>
    <w:r w:rsidRPr="00E634B8">
      <w:rPr>
        <w:rFonts w:ascii="Arial" w:hAnsi="Arial" w:cs="Arial"/>
        <w:b/>
        <w:sz w:val="48"/>
      </w:rPr>
      <w:tab/>
    </w:r>
    <w:r w:rsidRPr="00E634B8">
      <w:rPr>
        <w:rFonts w:ascii="Arial" w:hAnsi="Arial" w:cs="Arial"/>
        <w:b/>
        <w:sz w:val="48"/>
      </w:rPr>
      <w:tab/>
    </w:r>
    <w:r w:rsidRPr="00E634B8">
      <w:tab/>
    </w:r>
    <w:r w:rsidRPr="00E634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4B3D3" w14:textId="77777777" w:rsidR="00E634B8" w:rsidRPr="00E634B8" w:rsidRDefault="00E634B8" w:rsidP="00E634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09B6" w14:textId="77777777" w:rsidR="00EE3FD6" w:rsidRDefault="00EE3F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51587" w14:textId="77777777" w:rsidR="0007541F" w:rsidRDefault="000754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1768" w14:textId="27C71707" w:rsidR="007A5EF3" w:rsidRDefault="007A5EF3">
    <w:pPr>
      <w:pStyle w:val="Footer"/>
      <w:jc w:val="center"/>
    </w:pPr>
  </w:p>
  <w:p w14:paraId="7A87D459" w14:textId="4E7CEC18" w:rsidR="00044012" w:rsidRDefault="00044012" w:rsidP="00BE41C1">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0706" w14:textId="77777777" w:rsidR="0099524E" w:rsidRDefault="0099524E" w:rsidP="000E30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A7C93" w14:textId="7E696368" w:rsidR="0099524E" w:rsidRDefault="0099524E" w:rsidP="00F92EAE">
    <w:pPr>
      <w:pStyle w:val="Footer"/>
      <w:jc w:val="center"/>
    </w:pPr>
    <w:r>
      <w:fldChar w:fldCharType="begin"/>
    </w:r>
    <w:r>
      <w:instrText>PAGE</w:instrText>
    </w:r>
    <w:r>
      <w:fldChar w:fldCharType="separate"/>
    </w:r>
    <w:r w:rsidR="002D6568">
      <w:rPr>
        <w:noProof/>
      </w:rPr>
      <w:t>12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731689"/>
      <w:docPartObj>
        <w:docPartGallery w:val="Page Numbers (Bottom of Page)"/>
        <w:docPartUnique/>
      </w:docPartObj>
    </w:sdtPr>
    <w:sdtEndPr>
      <w:rPr>
        <w:noProof/>
      </w:rPr>
    </w:sdtEndPr>
    <w:sdtContent>
      <w:p w14:paraId="67B06503" w14:textId="7B639BC2" w:rsidR="00275F6D" w:rsidRDefault="0099524E">
        <w:pPr>
          <w:pStyle w:val="Footer"/>
          <w:jc w:val="center"/>
        </w:pPr>
        <w:r>
          <w:fldChar w:fldCharType="begin"/>
        </w:r>
        <w:r>
          <w:instrText xml:space="preserve"> PAGE   \* MERGEFORMAT </w:instrText>
        </w:r>
        <w:r>
          <w:fldChar w:fldCharType="separate"/>
        </w:r>
        <w:r w:rsidR="00E634B8">
          <w:rPr>
            <w:noProof/>
          </w:rPr>
          <w:t>7</w:t>
        </w:r>
        <w:r>
          <w:rPr>
            <w:noProof/>
          </w:rPr>
          <w:fldChar w:fldCharType="end"/>
        </w:r>
      </w:p>
    </w:sdtContent>
  </w:sdt>
  <w:p w14:paraId="2E6ACC86" w14:textId="024D39D5" w:rsidR="0099524E" w:rsidRDefault="0099524E" w:rsidP="000E30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E8EE4" w14:textId="77777777" w:rsidR="00CB0904" w:rsidRDefault="00CB0904" w:rsidP="00F92EAE">
    <w:pPr>
      <w:pStyle w:val="Footer"/>
      <w:jc w:val="center"/>
    </w:pPr>
    <w:r>
      <w:fldChar w:fldCharType="begin"/>
    </w:r>
    <w:r>
      <w:instrText>PAGE</w:instrText>
    </w:r>
    <w:r>
      <w:fldChar w:fldCharType="separate"/>
    </w:r>
    <w:r>
      <w:rPr>
        <w:noProof/>
      </w:rPr>
      <w:t>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851421"/>
      <w:docPartObj>
        <w:docPartGallery w:val="Page Numbers (Bottom of Page)"/>
        <w:docPartUnique/>
      </w:docPartObj>
    </w:sdtPr>
    <w:sdtEndPr>
      <w:rPr>
        <w:noProof/>
      </w:rPr>
    </w:sdtEndPr>
    <w:sdtContent>
      <w:p w14:paraId="402270A8" w14:textId="77777777" w:rsidR="00CB0904" w:rsidRDefault="00CB0904">
        <w:pPr>
          <w:pStyle w:val="Footer"/>
          <w:jc w:val="center"/>
        </w:pPr>
        <w:r>
          <w:fldChar w:fldCharType="begin"/>
        </w:r>
        <w:r>
          <w:instrText xml:space="preserve"> PAGE   \* MERGEFORMAT </w:instrText>
        </w:r>
        <w:r>
          <w:fldChar w:fldCharType="separate"/>
        </w:r>
        <w:r>
          <w:rPr>
            <w:noProof/>
          </w:rPr>
          <w:t>38</w:t>
        </w:r>
        <w:r>
          <w:rPr>
            <w:noProof/>
          </w:rPr>
          <w:fldChar w:fldCharType="end"/>
        </w:r>
      </w:p>
    </w:sdtContent>
  </w:sdt>
  <w:p w14:paraId="0448C017" w14:textId="77777777" w:rsidR="00CB0904" w:rsidRDefault="00CB0904"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646019"/>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467026"/>
      <w:docPartObj>
        <w:docPartGallery w:val="Page Numbers (Bottom of Page)"/>
        <w:docPartUnique/>
      </w:docPartObj>
    </w:sdtPr>
    <w:sdtEndPr>
      <w:rPr>
        <w:noProof/>
      </w:rPr>
    </w:sdtEndPr>
    <w:sdtContent>
      <w:p w14:paraId="2720DEFE" w14:textId="77777777" w:rsidR="00CB0904" w:rsidRDefault="00CB0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790CA" w14:textId="77777777" w:rsidR="00CB0904" w:rsidRPr="00CD516A" w:rsidRDefault="00CB0904"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B3940" w14:textId="77777777" w:rsidR="00CB0904" w:rsidRDefault="00CB0904"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387440"/>
      <w:docPartObj>
        <w:docPartGallery w:val="Page Numbers (Bottom of Page)"/>
        <w:docPartUnique/>
      </w:docPartObj>
    </w:sdtPr>
    <w:sdtEndPr>
      <w:rPr>
        <w:noProof/>
      </w:rPr>
    </w:sdtEndPr>
    <w:sdtContent>
      <w:p w14:paraId="59D38322" w14:textId="77777777" w:rsidR="00CB0904" w:rsidRDefault="00CB0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5A8645" w14:textId="77777777" w:rsidR="00CB0904" w:rsidRPr="00CD516A" w:rsidRDefault="00CB0904"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A1B1E" w14:textId="77777777" w:rsidR="00CB0904" w:rsidRDefault="00CB0904" w:rsidP="000E30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091627"/>
      <w:docPartObj>
        <w:docPartGallery w:val="Page Numbers (Bottom of Page)"/>
        <w:docPartUnique/>
      </w:docPartObj>
    </w:sdtPr>
    <w:sdtEndPr>
      <w:rPr>
        <w:noProof/>
      </w:rPr>
    </w:sdtEndPr>
    <w:sdtContent>
      <w:p w14:paraId="43B8E654" w14:textId="77777777" w:rsidR="00CB0904" w:rsidRDefault="00CB0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68FAC3" w14:textId="77777777" w:rsidR="00CB0904" w:rsidRPr="00CD516A" w:rsidRDefault="00CB0904" w:rsidP="000E30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39343" w14:textId="77777777" w:rsidR="00CB0904" w:rsidRDefault="00CB0904" w:rsidP="000E30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0589029"/>
      <w:docPartObj>
        <w:docPartGallery w:val="Page Numbers (Bottom of Page)"/>
        <w:docPartUnique/>
      </w:docPartObj>
    </w:sdtPr>
    <w:sdtEndPr>
      <w:rPr>
        <w:noProof/>
      </w:rPr>
    </w:sdtEndPr>
    <w:sdtContent>
      <w:p w14:paraId="6CE73475" w14:textId="77777777" w:rsidR="00CB0904" w:rsidRDefault="00CB0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D452ED" w14:textId="77777777" w:rsidR="00CB0904" w:rsidRPr="00CD516A" w:rsidRDefault="00CB0904" w:rsidP="000E30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D997B" w14:textId="77777777" w:rsidR="00CB0904" w:rsidRDefault="00CB0904"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C37ED" w14:textId="77777777" w:rsidR="00717437" w:rsidRDefault="00717437" w:rsidP="000E3086">
      <w:r>
        <w:separator/>
      </w:r>
    </w:p>
  </w:footnote>
  <w:footnote w:type="continuationSeparator" w:id="0">
    <w:p w14:paraId="2FF5DCCC" w14:textId="77777777" w:rsidR="00717437" w:rsidRDefault="00717437" w:rsidP="000E3086">
      <w:r>
        <w:continuationSeparator/>
      </w:r>
    </w:p>
  </w:footnote>
  <w:footnote w:type="continuationNotice" w:id="1">
    <w:p w14:paraId="36A8CC7E" w14:textId="77777777" w:rsidR="00717437" w:rsidRDefault="00717437">
      <w:pPr>
        <w:spacing w:after="0"/>
      </w:pPr>
    </w:p>
  </w:footnote>
  <w:footnote w:id="2">
    <w:p w14:paraId="35EF32C3" w14:textId="3F074BDE" w:rsidR="340B3D0E" w:rsidRPr="00323280" w:rsidRDefault="4C3B7EE2" w:rsidP="00B10F56">
      <w:pPr>
        <w:spacing w:after="0"/>
        <w:jc w:val="left"/>
        <w:rPr>
          <w:sz w:val="18"/>
          <w:szCs w:val="18"/>
        </w:rPr>
      </w:pPr>
      <w:r w:rsidRPr="00323280">
        <w:rPr>
          <w:rStyle w:val="FootnoteReference"/>
          <w:sz w:val="18"/>
          <w:szCs w:val="18"/>
        </w:rPr>
        <w:footnoteRef/>
      </w:r>
      <w:r w:rsidRPr="00323280">
        <w:rPr>
          <w:rStyle w:val="FootnoteReference"/>
          <w:sz w:val="18"/>
          <w:szCs w:val="18"/>
        </w:rPr>
        <w:t xml:space="preserve"> </w:t>
      </w:r>
      <w:hyperlink r:id="rId1">
        <w:r w:rsidRPr="00323280">
          <w:rPr>
            <w:rStyle w:val="Hyperlink"/>
            <w:rFonts w:eastAsia="Times New Roman"/>
            <w:sz w:val="18"/>
            <w:szCs w:val="18"/>
          </w:rPr>
          <w:t>AI Continent – new cloud and AI development act</w:t>
        </w:r>
      </w:hyperlink>
      <w:r w:rsidR="57D867FE" w:rsidRPr="00323280">
        <w:rPr>
          <w:rFonts w:eastAsia="Times New Roman"/>
          <w:sz w:val="18"/>
          <w:szCs w:val="18"/>
        </w:rPr>
        <w:t>.</w:t>
      </w:r>
    </w:p>
    <w:p w14:paraId="3B36A78F" w14:textId="08CD2769" w:rsidR="4C3B7EE2" w:rsidRPr="00323280" w:rsidRDefault="4C3B7EE2" w:rsidP="00B10F56">
      <w:pPr>
        <w:spacing w:after="0"/>
        <w:rPr>
          <w:sz w:val="18"/>
          <w:szCs w:val="18"/>
        </w:rPr>
      </w:pPr>
    </w:p>
  </w:footnote>
  <w:footnote w:id="3">
    <w:p w14:paraId="6AB22B84" w14:textId="77777777" w:rsidR="00B275D3" w:rsidRPr="00323280" w:rsidRDefault="00B275D3" w:rsidP="008D1781">
      <w:pPr>
        <w:pStyle w:val="FootnoteText"/>
        <w:jc w:val="left"/>
        <w:rPr>
          <w:szCs w:val="18"/>
        </w:rPr>
      </w:pPr>
      <w:r w:rsidRPr="00323280">
        <w:rPr>
          <w:rStyle w:val="FootnoteReference"/>
          <w:szCs w:val="18"/>
        </w:rPr>
        <w:footnoteRef/>
      </w:r>
      <w:r w:rsidRPr="00323280">
        <w:rPr>
          <w:szCs w:val="18"/>
        </w:rPr>
        <w:t xml:space="preserve"> The sum of the percentages is higher than 100 as one company may be involved in more than one sector. </w:t>
      </w:r>
    </w:p>
  </w:footnote>
  <w:footnote w:id="4">
    <w:p w14:paraId="503C4EBA" w14:textId="7D5E6B74" w:rsidR="00B275D3" w:rsidRPr="00323280" w:rsidRDefault="00B275D3" w:rsidP="008D1781">
      <w:pPr>
        <w:pStyle w:val="FootnoteText"/>
        <w:jc w:val="left"/>
        <w:rPr>
          <w:szCs w:val="18"/>
        </w:rPr>
      </w:pPr>
      <w:r w:rsidRPr="00323280">
        <w:rPr>
          <w:rStyle w:val="FootnoteReference"/>
          <w:szCs w:val="18"/>
        </w:rPr>
        <w:footnoteRef/>
      </w:r>
      <w:r w:rsidRPr="00323280">
        <w:rPr>
          <w:szCs w:val="18"/>
        </w:rPr>
        <w:t xml:space="preserve"> The respondents who did not provide an answer to that question were not included to calculate the percentage of </w:t>
      </w:r>
      <w:r w:rsidR="7E248749" w:rsidRPr="00323280">
        <w:rPr>
          <w:szCs w:val="18"/>
        </w:rPr>
        <w:t>respondents</w:t>
      </w:r>
      <w:r w:rsidRPr="00323280">
        <w:rPr>
          <w:szCs w:val="18"/>
        </w:rPr>
        <w:t>.</w:t>
      </w:r>
    </w:p>
  </w:footnote>
  <w:footnote w:id="5">
    <w:p w14:paraId="34A5255D" w14:textId="4ECED582" w:rsidR="00B275D3" w:rsidRPr="00323280" w:rsidRDefault="00B275D3" w:rsidP="008D1781">
      <w:pPr>
        <w:pStyle w:val="FootnoteText"/>
        <w:jc w:val="left"/>
        <w:rPr>
          <w:szCs w:val="18"/>
        </w:rPr>
      </w:pPr>
      <w:r w:rsidRPr="00323280">
        <w:rPr>
          <w:rStyle w:val="FootnoteReference"/>
          <w:szCs w:val="18"/>
        </w:rPr>
        <w:footnoteRef/>
      </w:r>
      <w:r w:rsidRPr="00323280">
        <w:rPr>
          <w:szCs w:val="18"/>
        </w:rPr>
        <w:t xml:space="preserve"> The respondents who did not provide an answer to that question were not included to calculate the percentage of </w:t>
      </w:r>
      <w:r w:rsidR="5C886E7E" w:rsidRPr="00323280">
        <w:rPr>
          <w:szCs w:val="18"/>
        </w:rPr>
        <w:t>respondents</w:t>
      </w:r>
      <w:r w:rsidRPr="00323280">
        <w:rPr>
          <w:szCs w:val="18"/>
        </w:rPr>
        <w:t>.</w:t>
      </w:r>
    </w:p>
  </w:footnote>
  <w:footnote w:id="6">
    <w:p w14:paraId="513FDF04" w14:textId="77777777" w:rsidR="005F3A2D" w:rsidRPr="00323280" w:rsidRDefault="005F3A2D" w:rsidP="005F3A2D">
      <w:pPr>
        <w:pStyle w:val="FootnoteText"/>
        <w:jc w:val="left"/>
        <w:rPr>
          <w:szCs w:val="18"/>
        </w:rPr>
      </w:pPr>
      <w:r w:rsidRPr="00323280">
        <w:rPr>
          <w:rStyle w:val="FootnoteReference"/>
          <w:szCs w:val="18"/>
        </w:rPr>
        <w:footnoteRef/>
      </w:r>
      <w:r w:rsidRPr="00323280">
        <w:rPr>
          <w:szCs w:val="18"/>
        </w:rPr>
        <w:t xml:space="preserve"> The category Civil Society Organisations (CSOs) include NGOs, consumer organizations, environmental organizations, and academic/research institutions.</w:t>
      </w:r>
    </w:p>
  </w:footnote>
  <w:footnote w:id="7">
    <w:p w14:paraId="1A5B6F07" w14:textId="77777777" w:rsidR="005F3A2D" w:rsidRPr="00323280" w:rsidRDefault="005F3A2D" w:rsidP="005F3A2D">
      <w:pPr>
        <w:pStyle w:val="FootnoteText"/>
        <w:jc w:val="left"/>
        <w:rPr>
          <w:szCs w:val="18"/>
        </w:rPr>
      </w:pPr>
      <w:r w:rsidRPr="00323280">
        <w:rPr>
          <w:rStyle w:val="FootnoteReference"/>
          <w:szCs w:val="18"/>
        </w:rPr>
        <w:footnoteRef/>
      </w:r>
      <w:r w:rsidRPr="00323280">
        <w:rPr>
          <w:szCs w:val="18"/>
        </w:rPr>
        <w:t xml:space="preserve"> In each policy measure, companies include data centre operators, cloud/edge/telecommunications providers, cloud/edge/AI users, AI developers and AI deployers, and financial institutions.</w:t>
      </w:r>
    </w:p>
  </w:footnote>
  <w:footnote w:id="8">
    <w:p w14:paraId="40BF1976" w14:textId="77777777" w:rsidR="005F3A2D" w:rsidRPr="00323280" w:rsidRDefault="005F3A2D" w:rsidP="005F3A2D">
      <w:pPr>
        <w:pStyle w:val="FootnoteText"/>
        <w:rPr>
          <w:szCs w:val="18"/>
        </w:rPr>
      </w:pPr>
      <w:r w:rsidRPr="00323280">
        <w:rPr>
          <w:rStyle w:val="FootnoteReference"/>
          <w:szCs w:val="18"/>
        </w:rPr>
        <w:footnoteRef/>
      </w:r>
      <w:r w:rsidRPr="00323280">
        <w:rPr>
          <w:szCs w:val="18"/>
        </w:rPr>
        <w:t xml:space="preserve"> The category Civil Society Organisations (CSOs) include NGOs, consumer organizations, environmental organizations, and academic/research institutions.</w:t>
      </w:r>
    </w:p>
  </w:footnote>
  <w:footnote w:id="9">
    <w:p w14:paraId="2817733B" w14:textId="77777777" w:rsidR="00E526C5" w:rsidRPr="00323280" w:rsidRDefault="00E526C5" w:rsidP="00E526C5">
      <w:pPr>
        <w:pStyle w:val="FootnoteText"/>
        <w:jc w:val="left"/>
        <w:rPr>
          <w:szCs w:val="18"/>
        </w:rPr>
      </w:pPr>
      <w:r w:rsidRPr="00323280">
        <w:rPr>
          <w:rStyle w:val="FootnoteReference"/>
          <w:szCs w:val="18"/>
        </w:rPr>
        <w:footnoteRef/>
      </w:r>
      <w:r w:rsidRPr="00323280">
        <w:rPr>
          <w:szCs w:val="18"/>
        </w:rPr>
        <w:t xml:space="preserve"> In each policy measure, companies include data centre operators, cloud/edge/telecommunications providers, cloud/edge/AI users, AI developers and AI deployers, and financial institutions.</w:t>
      </w:r>
    </w:p>
  </w:footnote>
  <w:footnote w:id="10">
    <w:p w14:paraId="26AC6CF6" w14:textId="77777777" w:rsidR="00E526C5" w:rsidRPr="00323280" w:rsidRDefault="00E526C5" w:rsidP="00E526C5">
      <w:pPr>
        <w:pStyle w:val="FootnoteText"/>
        <w:jc w:val="left"/>
        <w:rPr>
          <w:szCs w:val="18"/>
        </w:rPr>
      </w:pPr>
      <w:r w:rsidRPr="00323280">
        <w:rPr>
          <w:rStyle w:val="FootnoteReference"/>
          <w:szCs w:val="18"/>
        </w:rPr>
        <w:footnoteRef/>
      </w:r>
      <w:r w:rsidRPr="00323280">
        <w:rPr>
          <w:szCs w:val="18"/>
        </w:rPr>
        <w:t xml:space="preserve"> The category Civil Society Organisations (CSOs) include NGOs, consumer organizations, environmental organizations, and academic/research institutions.</w:t>
      </w:r>
    </w:p>
  </w:footnote>
  <w:footnote w:id="11">
    <w:p w14:paraId="4219E603" w14:textId="77777777" w:rsidR="003C4E74" w:rsidRPr="00323280" w:rsidRDefault="003C4E74" w:rsidP="003C4E74">
      <w:pPr>
        <w:pStyle w:val="FootnoteText"/>
        <w:jc w:val="left"/>
        <w:rPr>
          <w:szCs w:val="18"/>
        </w:rPr>
      </w:pPr>
      <w:r w:rsidRPr="00323280">
        <w:rPr>
          <w:rStyle w:val="FootnoteReference"/>
          <w:szCs w:val="18"/>
        </w:rPr>
        <w:footnoteRef/>
      </w:r>
      <w:r w:rsidRPr="00323280">
        <w:rPr>
          <w:szCs w:val="18"/>
        </w:rPr>
        <w:t xml:space="preserve"> In each policy measure, companies include data centre operators, cloud/edge/telecommunications providers, cloud/edge/AI users, AI developers and AI deployers, and financial institutions.</w:t>
      </w:r>
    </w:p>
  </w:footnote>
  <w:footnote w:id="12">
    <w:p w14:paraId="7699D7EE" w14:textId="77777777" w:rsidR="003C4E74" w:rsidRPr="00323280" w:rsidRDefault="003C4E74" w:rsidP="003C4E74">
      <w:pPr>
        <w:pStyle w:val="FootnoteText"/>
        <w:jc w:val="left"/>
        <w:rPr>
          <w:szCs w:val="18"/>
        </w:rPr>
      </w:pPr>
      <w:r w:rsidRPr="00323280">
        <w:rPr>
          <w:rStyle w:val="FootnoteReference"/>
          <w:szCs w:val="18"/>
        </w:rPr>
        <w:footnoteRef/>
      </w:r>
      <w:r w:rsidRPr="00323280">
        <w:rPr>
          <w:szCs w:val="18"/>
        </w:rPr>
        <w:t xml:space="preserve"> The category Civil Society Organisations (CSOs) include NGOs, consumer organizations, environmental organizations, and academic/research institutions.</w:t>
      </w:r>
    </w:p>
  </w:footnote>
  <w:footnote w:id="13">
    <w:p w14:paraId="7EDCD4DD" w14:textId="507FFDDC" w:rsidR="001C08A6" w:rsidRDefault="007B2213">
      <w:pPr>
        <w:pStyle w:val="FootnoteText"/>
      </w:pPr>
      <w:r w:rsidRPr="00323280">
        <w:rPr>
          <w:rStyle w:val="FootnoteReference"/>
          <w:szCs w:val="18"/>
        </w:rPr>
        <w:footnoteRef/>
      </w:r>
      <w:r w:rsidRPr="00323280">
        <w:rPr>
          <w:szCs w:val="18"/>
        </w:rPr>
        <w:t xml:space="preserve"> Concerning data centre expansion, </w:t>
      </w:r>
      <w:r w:rsidR="00B114F4" w:rsidRPr="00323280">
        <w:rPr>
          <w:szCs w:val="18"/>
          <w:lang w:val="en-IE"/>
        </w:rPr>
        <w:t xml:space="preserve">potential </w:t>
      </w:r>
      <w:r w:rsidR="0095239D" w:rsidRPr="00323280">
        <w:rPr>
          <w:szCs w:val="18"/>
          <w:lang w:val="en-IE"/>
        </w:rPr>
        <w:t>increased</w:t>
      </w:r>
      <w:r w:rsidRPr="00323280">
        <w:rPr>
          <w:szCs w:val="18"/>
          <w:lang w:val="en-IE"/>
        </w:rPr>
        <w:t xml:space="preserve"> costs via grid tariffs are an important element.</w:t>
      </w:r>
      <w:r w:rsidR="0068312A" w:rsidRPr="00323280">
        <w:rPr>
          <w:szCs w:val="18"/>
          <w:lang w:val="en-IE"/>
        </w:rPr>
        <w:t xml:space="preserve"> </w:t>
      </w:r>
      <w:r w:rsidR="00062852" w:rsidRPr="00323280">
        <w:rPr>
          <w:szCs w:val="18"/>
          <w:lang w:val="en-IE"/>
        </w:rPr>
        <w:t xml:space="preserve">ACER’s 2024 Electricity Infrastructure Monitoring Report shows that future grid costs are highly sensitive to rising electricity consumption and increased grid-investment expenses, with a 10% increase in either factor possibly resulting in a </w:t>
      </w:r>
      <w:r w:rsidR="00CF0A45" w:rsidRPr="00323280">
        <w:rPr>
          <w:szCs w:val="18"/>
          <w:lang w:val="en-IE"/>
        </w:rPr>
        <w:t>1</w:t>
      </w:r>
      <w:r w:rsidR="0098384F" w:rsidRPr="00323280">
        <w:rPr>
          <w:szCs w:val="18"/>
          <w:lang w:val="en-IE"/>
        </w:rPr>
        <w:t xml:space="preserve"> to </w:t>
      </w:r>
      <w:r w:rsidR="00CF0A45" w:rsidRPr="00323280">
        <w:rPr>
          <w:szCs w:val="18"/>
          <w:lang w:val="en-IE"/>
        </w:rPr>
        <w:t>4.5 EUR/MWh rise in grid costs by 2050</w:t>
      </w:r>
      <w:r w:rsidR="0098384F" w:rsidRPr="00323280">
        <w:rPr>
          <w:szCs w:val="18"/>
          <w:lang w:val="en-IE"/>
        </w:rPr>
        <w:t>. As data centres are among the fastest-growing and electricity-intensive sectors</w:t>
      </w:r>
      <w:r w:rsidR="00EC65FE" w:rsidRPr="00323280">
        <w:rPr>
          <w:szCs w:val="18"/>
          <w:lang w:val="en-IE"/>
        </w:rPr>
        <w:t>, the</w:t>
      </w:r>
      <w:r w:rsidR="004B4B7D" w:rsidRPr="00323280">
        <w:rPr>
          <w:szCs w:val="18"/>
          <w:lang w:val="en-IE"/>
        </w:rPr>
        <w:t>y</w:t>
      </w:r>
      <w:r w:rsidR="00EC65FE" w:rsidRPr="00323280">
        <w:rPr>
          <w:szCs w:val="18"/>
          <w:lang w:val="en-IE"/>
        </w:rPr>
        <w:t xml:space="preserve"> influence both drivers of higher grid costs</w:t>
      </w:r>
      <w:r w:rsidR="009B48D2" w:rsidRPr="00323280">
        <w:rPr>
          <w:szCs w:val="18"/>
          <w:lang w:val="en-IE"/>
        </w:rPr>
        <w:t xml:space="preserve"> with consequent</w:t>
      </w:r>
      <w:r w:rsidR="008A19EF">
        <w:rPr>
          <w:szCs w:val="18"/>
          <w:lang w:val="en-IE"/>
        </w:rPr>
        <w:t xml:space="preserve"> possible</w:t>
      </w:r>
      <w:r w:rsidR="009B48D2" w:rsidRPr="00323280">
        <w:rPr>
          <w:szCs w:val="18"/>
          <w:lang w:val="en-IE"/>
        </w:rPr>
        <w:t xml:space="preserve"> increases in electricity prices.</w:t>
      </w:r>
      <w:r w:rsidR="00D92802" w:rsidRPr="00323280">
        <w:rPr>
          <w:szCs w:val="18"/>
          <w:lang w:val="en-IE"/>
        </w:rPr>
        <w:t xml:space="preserve"> </w:t>
      </w:r>
      <w:r w:rsidRPr="00323280">
        <w:rPr>
          <w:szCs w:val="18"/>
        </w:rPr>
        <w:t xml:space="preserve">The Finnish National Roadmap for Data Centres similarly </w:t>
      </w:r>
      <w:r w:rsidR="004B4B7D" w:rsidRPr="00323280">
        <w:rPr>
          <w:szCs w:val="18"/>
        </w:rPr>
        <w:t>highlights</w:t>
      </w:r>
      <w:r w:rsidRPr="00323280">
        <w:rPr>
          <w:szCs w:val="18"/>
        </w:rPr>
        <w:t xml:space="preserve"> that the sector’s expansion could strain the power grid and contribute to higher electricity prices unless data centre development and grid planning are coordinated proactively.</w:t>
      </w:r>
      <w:r w:rsidR="00EC65FE" w:rsidRPr="00323280">
        <w:rPr>
          <w:szCs w:val="18"/>
          <w:lang w:val="en-IE"/>
        </w:rPr>
        <w:t xml:space="preserve"> </w:t>
      </w:r>
      <w:r w:rsidR="00735789" w:rsidRPr="00323280">
        <w:rPr>
          <w:szCs w:val="18"/>
          <w:lang w:val="en-IE"/>
        </w:rPr>
        <w:t xml:space="preserve">See also: </w:t>
      </w:r>
      <w:hyperlink r:id="rId2" w:history="1">
        <w:r w:rsidRPr="00323280">
          <w:rPr>
            <w:rStyle w:val="Hyperlink"/>
            <w:szCs w:val="18"/>
          </w:rPr>
          <w:t>Overcoming energy constraints is key to delivering on Europe's data centre goals – Analysis - IEA</w:t>
        </w:r>
      </w:hyperlink>
      <w:r w:rsidR="00D92802" w:rsidRPr="00323280">
        <w:rPr>
          <w:szCs w:val="18"/>
          <w:lang w:val="en-IE"/>
        </w:rPr>
        <w:t xml:space="preserve">; </w:t>
      </w:r>
      <w:r w:rsidR="00062852" w:rsidRPr="00323280">
        <w:rPr>
          <w:szCs w:val="18"/>
          <w:lang w:val="en-IE"/>
        </w:rPr>
        <w:t xml:space="preserve"> </w:t>
      </w:r>
      <w:hyperlink r:id="rId3" w:history="1">
        <w:r w:rsidR="00062852" w:rsidRPr="00323280">
          <w:rPr>
            <w:rStyle w:val="Hyperlink"/>
            <w:szCs w:val="18"/>
          </w:rPr>
          <w:t>ACER Monitoring Report on cross-zonal electricity trade and congestion management in the EU (2025)</w:t>
        </w:r>
      </w:hyperlink>
      <w:r w:rsidR="00D92802" w:rsidRPr="00323280">
        <w:rPr>
          <w:szCs w:val="18"/>
          <w:lang w:val="en-IE"/>
        </w:rPr>
        <w:t xml:space="preserve"> and </w:t>
      </w:r>
      <w:hyperlink r:id="rId4" w:history="1">
        <w:r w:rsidR="004B4B7D" w:rsidRPr="00323280">
          <w:rPr>
            <w:rStyle w:val="Hyperlink"/>
            <w:szCs w:val="18"/>
            <w:lang w:val="en-IE"/>
          </w:rPr>
          <w:t>National Roadmap for Data Centres : Rapporteur's Report</w:t>
        </w:r>
      </w:hyperlink>
      <w:r w:rsidR="001C08A6">
        <w:t xml:space="preserve">. </w:t>
      </w:r>
    </w:p>
    <w:p w14:paraId="2F187486" w14:textId="25F59BE7" w:rsidR="007B2213" w:rsidRPr="00323280" w:rsidRDefault="001C08A6">
      <w:pPr>
        <w:pStyle w:val="FootnoteText"/>
        <w:rPr>
          <w:szCs w:val="18"/>
          <w:lang w:val="en-IE"/>
        </w:rPr>
      </w:pPr>
      <w:r>
        <w:t>Moreover, in regions where water resources are limited, inefficiently managed industrial demand can exacerbate competition with households, increase the likelihood of water restrictions, and call for expensive network upgrades</w:t>
      </w:r>
      <w:r w:rsidR="002873CF">
        <w:t xml:space="preserve"> – </w:t>
      </w:r>
      <w:r>
        <w:t>costs</w:t>
      </w:r>
      <w:r w:rsidR="002873CF">
        <w:t xml:space="preserve"> </w:t>
      </w:r>
      <w:r>
        <w:t>that may ultimately affect consumer water bills depending on the tariff structure and regulatory cost distribution.</w:t>
      </w:r>
      <w:r w:rsidR="00E643C7" w:rsidRPr="00E643C7">
        <w:t xml:space="preserve"> </w:t>
      </w:r>
      <w:r w:rsidR="00E643C7">
        <w:t>Thus, proactive governance of data centre water usage is</w:t>
      </w:r>
      <w:r w:rsidR="004713EF">
        <w:t xml:space="preserve"> also key</w:t>
      </w:r>
      <w:r w:rsidR="00E643C7">
        <w:t xml:space="preserve"> to protect citizens’ access to water and prevent unintended increases in residential water costs.</w:t>
      </w:r>
    </w:p>
  </w:footnote>
  <w:footnote w:id="14">
    <w:p w14:paraId="0B412593" w14:textId="22173EAC" w:rsidR="00EF6CD1" w:rsidRPr="00323280" w:rsidRDefault="00EF6CD1">
      <w:pPr>
        <w:pStyle w:val="FootnoteText"/>
        <w:rPr>
          <w:szCs w:val="18"/>
          <w:lang w:val="en-IE"/>
        </w:rPr>
      </w:pPr>
      <w:r w:rsidRPr="00323280">
        <w:rPr>
          <w:rStyle w:val="FootnoteReference"/>
          <w:szCs w:val="18"/>
        </w:rPr>
        <w:footnoteRef/>
      </w:r>
      <w:r w:rsidRPr="00323280">
        <w:rPr>
          <w:szCs w:val="18"/>
        </w:rPr>
        <w:t xml:space="preserve"> </w:t>
      </w:r>
      <w:r w:rsidRPr="00323280">
        <w:rPr>
          <w:szCs w:val="18"/>
          <w:lang w:val="en-IE"/>
        </w:rPr>
        <w:t>Technopolis et al. (2025), “Study: Cloud and AI”</w:t>
      </w:r>
    </w:p>
  </w:footnote>
  <w:footnote w:id="15">
    <w:p w14:paraId="5E429DD1" w14:textId="2B264073" w:rsidR="00B956C7" w:rsidRPr="00323280" w:rsidRDefault="00B956C7">
      <w:pPr>
        <w:pStyle w:val="FootnoteText"/>
        <w:rPr>
          <w:szCs w:val="18"/>
        </w:rPr>
      </w:pPr>
      <w:r w:rsidRPr="00323280">
        <w:rPr>
          <w:rStyle w:val="FootnoteReference"/>
          <w:szCs w:val="18"/>
        </w:rPr>
        <w:footnoteRef/>
      </w:r>
      <w:r w:rsidRPr="00323280">
        <w:rPr>
          <w:szCs w:val="18"/>
        </w:rPr>
        <w:t xml:space="preserve"> Harvard economist Jason Furman reported in September 2025 that investment in information processing equipment &amp; software was 4% of GDP in the US in 2024, but it was responsible for 92% of GDP growth in the first half 2025; US GDP excluding these categories grew at a 0.1% annual rate in the first half of 2025. More information available here: </w:t>
      </w:r>
      <w:hyperlink r:id="rId5">
        <w:r w:rsidRPr="00323280">
          <w:rPr>
            <w:rStyle w:val="Hyperlink"/>
            <w:szCs w:val="18"/>
          </w:rPr>
          <w:t>Without data centers, GDP growth was 0.1% in the first half of 2025, Harvard economist says | Fortune</w:t>
        </w:r>
      </w:hyperlink>
      <w:r w:rsidRPr="00323280">
        <w:rPr>
          <w:szCs w:val="18"/>
        </w:rPr>
        <w:t>.</w:t>
      </w:r>
    </w:p>
  </w:footnote>
  <w:footnote w:id="16">
    <w:p w14:paraId="7DE7139E" w14:textId="3DA4C18C" w:rsidR="001D237C" w:rsidRPr="005E38EE" w:rsidRDefault="001D237C">
      <w:pPr>
        <w:pStyle w:val="FootnoteText"/>
        <w:rPr>
          <w:lang w:val="en-IE"/>
        </w:rPr>
      </w:pPr>
      <w:r>
        <w:rPr>
          <w:rStyle w:val="FootnoteReference"/>
        </w:rPr>
        <w:footnoteRef/>
      </w:r>
      <w:r w:rsidRPr="005E38EE">
        <w:rPr>
          <w:lang w:val="en-IE"/>
        </w:rPr>
        <w:t xml:space="preserve"> </w:t>
      </w:r>
      <w:r w:rsidRPr="00DD200E">
        <w:rPr>
          <w:lang w:val="en-IE"/>
        </w:rPr>
        <w:t>This con</w:t>
      </w:r>
      <w:r w:rsidRPr="005E38EE">
        <w:rPr>
          <w:lang w:val="en-IE"/>
        </w:rPr>
        <w:t>sisted of</w:t>
      </w:r>
      <w:r>
        <w:rPr>
          <w:lang w:val="en-IE"/>
        </w:rPr>
        <w:t xml:space="preserve"> a</w:t>
      </w:r>
      <w:r w:rsidR="001C2A97">
        <w:rPr>
          <w:lang w:val="en-IE"/>
        </w:rPr>
        <w:t xml:space="preserve"> cost-benefit model built around defined assumptions and evidence sources, </w:t>
      </w:r>
      <w:r w:rsidR="00DD200E">
        <w:rPr>
          <w:lang w:val="en-IE"/>
        </w:rPr>
        <w:t>not on</w:t>
      </w:r>
      <w:r w:rsidR="001C2A97">
        <w:rPr>
          <w:lang w:val="en-IE"/>
        </w:rPr>
        <w:t xml:space="preserve"> a macroeconomic model. </w:t>
      </w:r>
    </w:p>
  </w:footnote>
  <w:footnote w:id="17">
    <w:p w14:paraId="5D0CEB40" w14:textId="49FB2288" w:rsidR="00614DE6" w:rsidRPr="00323280" w:rsidRDefault="00614DE6">
      <w:pPr>
        <w:pStyle w:val="FootnoteText"/>
        <w:rPr>
          <w:szCs w:val="18"/>
          <w:lang w:val="en-IE"/>
        </w:rPr>
      </w:pPr>
      <w:r w:rsidRPr="00323280">
        <w:rPr>
          <w:rStyle w:val="FootnoteReference"/>
          <w:szCs w:val="18"/>
        </w:rPr>
        <w:footnoteRef/>
      </w:r>
      <w:r w:rsidRPr="005E38EE">
        <w:rPr>
          <w:szCs w:val="18"/>
          <w:lang w:val="en-IE"/>
        </w:rPr>
        <w:t xml:space="preserve"> </w:t>
      </w:r>
      <w:r w:rsidRPr="00323280">
        <w:rPr>
          <w:szCs w:val="18"/>
          <w:lang w:val="en-IE"/>
        </w:rPr>
        <w:t>Technopolis et al. (2025). “Study: Cloud and AI”</w:t>
      </w:r>
    </w:p>
  </w:footnote>
  <w:footnote w:id="18">
    <w:p w14:paraId="452F458E" w14:textId="77777777" w:rsidR="006C14F6" w:rsidRPr="00323280" w:rsidRDefault="006C14F6" w:rsidP="006C14F6">
      <w:pPr>
        <w:pStyle w:val="FootnoteText"/>
        <w:rPr>
          <w:szCs w:val="18"/>
        </w:rPr>
      </w:pPr>
      <w:r w:rsidRPr="00323280">
        <w:rPr>
          <w:rStyle w:val="FootnoteReference"/>
          <w:szCs w:val="18"/>
        </w:rPr>
        <w:footnoteRef/>
      </w:r>
      <w:r w:rsidRPr="00323280">
        <w:rPr>
          <w:szCs w:val="18"/>
        </w:rPr>
        <w:t xml:space="preserve"> </w:t>
      </w:r>
      <w:hyperlink r:id="rId6" w:history="1">
        <w:r w:rsidRPr="00323280">
          <w:rPr>
            <w:rStyle w:val="Hyperlink"/>
            <w:szCs w:val="18"/>
          </w:rPr>
          <w:t>EU hourly labour costs ranged from €11 to €55 in 2024 - News articles - Eurostat</w:t>
        </w:r>
      </w:hyperlink>
    </w:p>
  </w:footnote>
  <w:footnote w:id="19">
    <w:p w14:paraId="418C259D" w14:textId="77777777" w:rsidR="006C14F6" w:rsidRPr="00323280" w:rsidRDefault="006C14F6" w:rsidP="006C14F6">
      <w:pPr>
        <w:pStyle w:val="FootnoteText"/>
        <w:rPr>
          <w:szCs w:val="18"/>
        </w:rPr>
      </w:pPr>
      <w:r w:rsidRPr="00323280">
        <w:rPr>
          <w:rStyle w:val="FootnoteReference"/>
          <w:szCs w:val="18"/>
        </w:rPr>
        <w:footnoteRef/>
      </w:r>
      <w:r w:rsidRPr="00323280">
        <w:rPr>
          <w:szCs w:val="18"/>
        </w:rPr>
        <w:t xml:space="preserve"> </w:t>
      </w:r>
      <w:hyperlink r:id="rId7" w:history="1">
        <w:r w:rsidRPr="00323280">
          <w:rPr>
            <w:rStyle w:val="Hyperlink"/>
            <w:szCs w:val="18"/>
          </w:rPr>
          <w:t>[lc_lci_lev] Labour cost levels by NACE Rev. 2 activity</w:t>
        </w:r>
      </w:hyperlink>
    </w:p>
  </w:footnote>
  <w:footnote w:id="20">
    <w:p w14:paraId="388BC763" w14:textId="77777777" w:rsidR="006C14F6" w:rsidRPr="00323280" w:rsidRDefault="006C14F6" w:rsidP="006C14F6">
      <w:pPr>
        <w:pStyle w:val="FootnoteText"/>
        <w:rPr>
          <w:szCs w:val="18"/>
        </w:rPr>
      </w:pPr>
      <w:r w:rsidRPr="00323280">
        <w:rPr>
          <w:rStyle w:val="FootnoteReference"/>
          <w:szCs w:val="18"/>
        </w:rPr>
        <w:footnoteRef/>
      </w:r>
      <w:r w:rsidRPr="00323280">
        <w:rPr>
          <w:szCs w:val="18"/>
        </w:rPr>
        <w:t xml:space="preserve"> </w:t>
      </w:r>
      <w:hyperlink r:id="rId8" w:history="1">
        <w:r w:rsidRPr="00323280">
          <w:rPr>
            <w:rStyle w:val="Hyperlink"/>
            <w:szCs w:val="18"/>
          </w:rPr>
          <w:t>ICT specialists in employment - Statistics Explained - Eurostat</w:t>
        </w:r>
      </w:hyperlink>
    </w:p>
  </w:footnote>
  <w:footnote w:id="21">
    <w:p w14:paraId="656CE227" w14:textId="77777777" w:rsidR="006C14F6" w:rsidRPr="00323280" w:rsidRDefault="006C14F6" w:rsidP="006C14F6">
      <w:pPr>
        <w:pStyle w:val="FootnoteText"/>
        <w:rPr>
          <w:szCs w:val="18"/>
        </w:rPr>
      </w:pPr>
      <w:r w:rsidRPr="00323280">
        <w:rPr>
          <w:rStyle w:val="FootnoteReference"/>
          <w:szCs w:val="18"/>
        </w:rPr>
        <w:footnoteRef/>
      </w:r>
      <w:r w:rsidRPr="00323280">
        <w:rPr>
          <w:szCs w:val="18"/>
        </w:rPr>
        <w:t xml:space="preserve"> </w:t>
      </w:r>
      <w:hyperlink r:id="rId9" w:history="1">
        <w:r w:rsidRPr="00323280">
          <w:rPr>
            <w:rStyle w:val="Hyperlink"/>
            <w:szCs w:val="18"/>
          </w:rPr>
          <w:t>AI Jobs Barometer | PwC</w:t>
        </w:r>
      </w:hyperlink>
    </w:p>
  </w:footnote>
  <w:footnote w:id="22">
    <w:p w14:paraId="5B5469C1" w14:textId="415E6064" w:rsidR="00B72E0E" w:rsidRPr="00B72E0E" w:rsidRDefault="00B72E0E">
      <w:pPr>
        <w:pStyle w:val="FootnoteText"/>
      </w:pPr>
      <w:r>
        <w:rPr>
          <w:rStyle w:val="FootnoteReference"/>
        </w:rPr>
        <w:footnoteRef/>
      </w:r>
      <w:r>
        <w:t xml:space="preserve"> Query used </w:t>
      </w:r>
      <w:r w:rsidR="00DB0DEE">
        <w:t xml:space="preserve">available at </w:t>
      </w:r>
      <w:hyperlink r:id="rId10" w:history="1">
        <w:r w:rsidR="00DB0DEE" w:rsidRPr="00AE7190">
          <w:rPr>
            <w:rStyle w:val="Hyperlink"/>
          </w:rPr>
          <w:t>https://ec.europa.eu/eurostat/databrowser/view/lc_lci_lev__custom_20086615/default/table</w:t>
        </w:r>
      </w:hyperlink>
      <w:r w:rsidR="00DB0DEE">
        <w:t xml:space="preserve"> </w:t>
      </w:r>
    </w:p>
  </w:footnote>
  <w:footnote w:id="23">
    <w:p w14:paraId="376C29D7" w14:textId="43FD2CAA" w:rsidR="00AE72BD" w:rsidRPr="001C2E9D" w:rsidRDefault="00AE72BD">
      <w:pPr>
        <w:pStyle w:val="FootnoteText"/>
      </w:pPr>
      <w:r>
        <w:rPr>
          <w:rStyle w:val="FootnoteReference"/>
        </w:rPr>
        <w:footnoteRef/>
      </w:r>
      <w:r>
        <w:t xml:space="preserve"> </w:t>
      </w:r>
      <w:r w:rsidR="001C2E9D">
        <w:t>To</w:t>
      </w:r>
      <w:r w:rsidR="001C2E9D" w:rsidRPr="001C2E9D">
        <w:t xml:space="preserve"> contextualise historical growth dynamics we performed desk research and looked at past industry-level analys</w:t>
      </w:r>
      <w:r w:rsidR="001C2E9D">
        <w:t xml:space="preserve">es, </w:t>
      </w:r>
      <w:r w:rsidR="001C2E9D" w:rsidRPr="001C2E9D">
        <w:t>which document that the FLAP-D markets experienced a 17% CAGR in MW supply between 2018 and 2023, while secondary European markets saw a 23% CAGR in the same period. Other industry market reports tracked data centre power capacity  and trajectories, showing an increase from 9 GW in the early 2020s to above 11 GW in 2024. These trends confirm the growth dynamics of the European market identified in the study, but they often differ substantially in geographic scope (e.g. considering the EMEA or UK market). No existing study combines the uses a methodology in a comparable manner to that of our study, making any comparisons misleading.</w:t>
      </w:r>
      <w:r w:rsidR="001C2E9D">
        <w:t xml:space="preserve"> See: </w:t>
      </w:r>
      <w:hyperlink r:id="rId11" w:history="1">
        <w:r w:rsidR="0060242A" w:rsidRPr="0060242A">
          <w:rPr>
            <w:rStyle w:val="Hyperlink"/>
            <w:lang w:val="en-IE"/>
          </w:rPr>
          <w:t>Roland Berger</w:t>
        </w:r>
      </w:hyperlink>
      <w:r w:rsidR="0060242A">
        <w:t xml:space="preserve"> and </w:t>
      </w:r>
      <w:hyperlink r:id="rId12" w:history="1">
        <w:r w:rsidR="00B41630" w:rsidRPr="001E0B59">
          <w:rPr>
            <w:rStyle w:val="Hyperlink"/>
          </w:rPr>
          <w:t>spotlight-eu-data-centre---november-2022-.pdf</w:t>
        </w:r>
      </w:hyperlink>
      <w:r w:rsidR="00B41630" w:rsidRPr="001E0B59">
        <w:t xml:space="preserve">; </w:t>
      </w:r>
      <w:hyperlink r:id="rId13" w:history="1">
        <w:r w:rsidR="00B41630" w:rsidRPr="001E0B59">
          <w:rPr>
            <w:rStyle w:val="Hyperlink"/>
          </w:rPr>
          <w:t>spotlight-eu-data-centre---may-2024---final.pdf</w:t>
        </w:r>
      </w:hyperlink>
    </w:p>
  </w:footnote>
  <w:footnote w:id="24">
    <w:p w14:paraId="7DE52841" w14:textId="77777777" w:rsidR="00464BCF" w:rsidRPr="00323280" w:rsidRDefault="00464BCF" w:rsidP="00464BCF">
      <w:pPr>
        <w:pStyle w:val="FootnoteText"/>
        <w:rPr>
          <w:szCs w:val="18"/>
        </w:rPr>
      </w:pPr>
      <w:r w:rsidRPr="00323280">
        <w:rPr>
          <w:rStyle w:val="FootnoteReference"/>
          <w:szCs w:val="18"/>
        </w:rPr>
        <w:footnoteRef/>
      </w:r>
      <w:r w:rsidRPr="00323280">
        <w:rPr>
          <w:szCs w:val="18"/>
        </w:rPr>
        <w:t xml:space="preserve"> NVTC (2022). The impact of data centres on the state and local economics of Virginia 2022. Available at: </w:t>
      </w:r>
      <w:r w:rsidRPr="00323280">
        <w:rPr>
          <w:rStyle w:val="Hyperlink"/>
          <w:szCs w:val="18"/>
        </w:rPr>
        <w:t>https://www.spotsylvania.va.us/DocumentCenter/View/29411/2022-Virginia-Data-Center-Report--32022?</w:t>
      </w:r>
    </w:p>
  </w:footnote>
  <w:footnote w:id="25">
    <w:p w14:paraId="5B4632A2" w14:textId="77777777" w:rsidR="00464BCF" w:rsidRPr="00323280" w:rsidRDefault="00464BCF" w:rsidP="00464BCF">
      <w:pPr>
        <w:pStyle w:val="FootnoteText"/>
        <w:rPr>
          <w:szCs w:val="18"/>
        </w:rPr>
      </w:pPr>
      <w:r w:rsidRPr="00323280">
        <w:rPr>
          <w:rStyle w:val="FootnoteReference"/>
          <w:szCs w:val="18"/>
        </w:rPr>
        <w:footnoteRef/>
      </w:r>
      <w:r w:rsidRPr="00323280">
        <w:rPr>
          <w:szCs w:val="18"/>
        </w:rPr>
        <w:t xml:space="preserve"> Savills (2024). European data centre power capacity projected to rise to approximately 13,100 MW by 2027. Available at: </w:t>
      </w:r>
      <w:hyperlink r:id="rId14" w:history="1">
        <w:r w:rsidRPr="00323280">
          <w:rPr>
            <w:rStyle w:val="Hyperlink"/>
            <w:szCs w:val="18"/>
          </w:rPr>
          <w:t>https://www.savills.co.uk/insight-and-opinion/savills-news/362723-0/european-data-centre-power-capacity-projected-to-rise-to-approximately-13-100-mw-by-2027</w:t>
        </w:r>
      </w:hyperlink>
    </w:p>
  </w:footnote>
  <w:footnote w:id="26">
    <w:p w14:paraId="2F1155C8" w14:textId="77777777" w:rsidR="00464BCF" w:rsidRPr="00323280" w:rsidRDefault="00464BCF" w:rsidP="00464BCF">
      <w:pPr>
        <w:pStyle w:val="FootnoteText"/>
        <w:rPr>
          <w:szCs w:val="18"/>
        </w:rPr>
      </w:pPr>
      <w:r w:rsidRPr="00323280">
        <w:rPr>
          <w:rStyle w:val="FootnoteReference"/>
          <w:szCs w:val="18"/>
        </w:rPr>
        <w:footnoteRef/>
      </w:r>
      <w:r w:rsidRPr="00323280">
        <w:rPr>
          <w:szCs w:val="18"/>
          <w:lang w:val="it-IT"/>
        </w:rPr>
        <w:t xml:space="preserve"> JLL (2024). EMEA Data Centre Report Q4 2024. </w:t>
      </w:r>
      <w:r w:rsidRPr="00323280">
        <w:rPr>
          <w:szCs w:val="18"/>
        </w:rPr>
        <w:t xml:space="preserve">Available at: </w:t>
      </w:r>
      <w:hyperlink r:id="rId15" w:history="1">
        <w:r w:rsidRPr="00323280">
          <w:rPr>
            <w:rStyle w:val="Hyperlink"/>
            <w:szCs w:val="18"/>
          </w:rPr>
          <w:t>https://www.jll.com/en-uk/insights/emea-data-centre-report</w:t>
        </w:r>
      </w:hyperlink>
      <w:r w:rsidRPr="00323280">
        <w:rPr>
          <w:szCs w:val="18"/>
        </w:rPr>
        <w:t xml:space="preserve">. McKinsey analysis estimating global demand for data centre capacity to grow by a compound average growth rate of 19% in the pessimistic scenario and 27% in the more optimistic one, with efficiency improvements, flexible workload management and supportive regulation. Available at: : </w:t>
      </w:r>
      <w:hyperlink r:id="rId16" w:history="1">
        <w:r w:rsidRPr="00323280">
          <w:rPr>
            <w:rStyle w:val="Hyperlink"/>
            <w:szCs w:val="18"/>
          </w:rPr>
          <w:t>https://www.mckinsey.com/industries/technology-media-and-telecommunications/our-insights/ai-power-expanding-data-center-capacity-to-meet-growing-demand</w:t>
        </w:r>
      </w:hyperlink>
    </w:p>
  </w:footnote>
  <w:footnote w:id="27">
    <w:p w14:paraId="4714A6D5" w14:textId="77777777" w:rsidR="00464BCF" w:rsidRPr="00323280" w:rsidRDefault="00464BCF" w:rsidP="00464BCF">
      <w:pPr>
        <w:pStyle w:val="FootnoteText"/>
        <w:rPr>
          <w:szCs w:val="18"/>
        </w:rPr>
      </w:pPr>
      <w:r w:rsidRPr="00323280">
        <w:rPr>
          <w:rStyle w:val="FootnoteReference"/>
          <w:szCs w:val="18"/>
        </w:rPr>
        <w:footnoteRef/>
      </w:r>
      <w:r w:rsidRPr="00323280">
        <w:rPr>
          <w:szCs w:val="18"/>
        </w:rPr>
        <w:t xml:space="preserve"> ICIS. Data centres: Hungry for power. Available at: </w:t>
      </w:r>
      <w:hyperlink r:id="rId17" w:history="1">
        <w:r w:rsidRPr="00323280">
          <w:rPr>
            <w:rStyle w:val="Hyperlink"/>
            <w:szCs w:val="18"/>
          </w:rPr>
          <w:t>https://www.icis.com/explore/resources/data-centres-hungry-for-power</w:t>
        </w:r>
      </w:hyperlink>
    </w:p>
  </w:footnote>
  <w:footnote w:id="28">
    <w:p w14:paraId="7D43425B" w14:textId="77777777" w:rsidR="0076259A" w:rsidRPr="00323280" w:rsidRDefault="0076259A" w:rsidP="0076259A">
      <w:pPr>
        <w:pStyle w:val="FootnoteText"/>
        <w:rPr>
          <w:szCs w:val="18"/>
          <w:lang w:val="en-US"/>
        </w:rPr>
      </w:pPr>
      <w:r w:rsidRPr="00323280">
        <w:rPr>
          <w:rStyle w:val="FootnoteReference"/>
          <w:szCs w:val="18"/>
        </w:rPr>
        <w:footnoteRef/>
      </w:r>
      <w:hyperlink r:id="rId18" w:history="1">
        <w:r w:rsidRPr="00323280">
          <w:rPr>
            <w:rStyle w:val="Hyperlink"/>
            <w:szCs w:val="18"/>
          </w:rPr>
          <w:t>https://www.berec.europa.eu/system/files/2024-07/BoR%20(24)%20102%20BEREC_WACC%20parameters%20Report_2024_1.pdf.pdf</w:t>
        </w:r>
      </w:hyperlink>
      <w:r w:rsidRPr="00323280">
        <w:rPr>
          <w:szCs w:val="18"/>
        </w:rPr>
        <w:t xml:space="preserve"> </w:t>
      </w:r>
    </w:p>
  </w:footnote>
  <w:footnote w:id="29">
    <w:p w14:paraId="217FE6FA" w14:textId="2CEA39DA" w:rsidR="00177D41" w:rsidRPr="00323280" w:rsidRDefault="00177D41">
      <w:pPr>
        <w:pStyle w:val="FootnoteText"/>
        <w:rPr>
          <w:szCs w:val="18"/>
          <w:lang w:val="en-US"/>
        </w:rPr>
      </w:pPr>
      <w:r w:rsidRPr="00323280">
        <w:rPr>
          <w:rStyle w:val="FootnoteReference"/>
          <w:szCs w:val="18"/>
        </w:rPr>
        <w:footnoteRef/>
      </w:r>
      <w:r w:rsidRPr="00323280">
        <w:rPr>
          <w:szCs w:val="18"/>
        </w:rPr>
        <w:t xml:space="preserve"> </w:t>
      </w:r>
      <w:hyperlink r:id="rId19" w:history="1">
        <w:r w:rsidRPr="00323280">
          <w:rPr>
            <w:rStyle w:val="Hyperlink"/>
            <w:szCs w:val="18"/>
          </w:rPr>
          <w:t>https://www.datacentermap.com/</w:t>
        </w:r>
      </w:hyperlink>
    </w:p>
  </w:footnote>
  <w:footnote w:id="30">
    <w:p w14:paraId="1855A86E" w14:textId="67C9F33D" w:rsidR="0076259A" w:rsidRPr="00323280" w:rsidRDefault="0076259A" w:rsidP="0076259A">
      <w:pPr>
        <w:pStyle w:val="FootnoteText"/>
        <w:rPr>
          <w:szCs w:val="18"/>
          <w:lang w:val="en-US"/>
        </w:rPr>
      </w:pPr>
      <w:r w:rsidRPr="00323280">
        <w:rPr>
          <w:rStyle w:val="FootnoteReference"/>
          <w:szCs w:val="18"/>
        </w:rPr>
        <w:footnoteRef/>
      </w:r>
      <w:r w:rsidRPr="00323280">
        <w:rPr>
          <w:szCs w:val="18"/>
        </w:rPr>
        <w:t xml:space="preserve"> </w:t>
      </w:r>
      <w:hyperlink r:id="rId20" w:history="1">
        <w:r w:rsidR="003E256B" w:rsidRPr="00323280">
          <w:rPr>
            <w:rStyle w:val="Hyperlink"/>
            <w:szCs w:val="18"/>
          </w:rPr>
          <w:t>https://www.cbre.com/insights/reports/global-data-center-trends-2025</w:t>
        </w:r>
      </w:hyperlink>
      <w:r w:rsidR="003E256B" w:rsidRPr="00323280">
        <w:rPr>
          <w:szCs w:val="18"/>
        </w:rPr>
        <w:t xml:space="preserve"> </w:t>
      </w:r>
    </w:p>
  </w:footnote>
  <w:footnote w:id="31">
    <w:p w14:paraId="292B31BE" w14:textId="05600AEC" w:rsidR="0076259A" w:rsidRPr="00323280" w:rsidRDefault="0076259A" w:rsidP="0076259A">
      <w:pPr>
        <w:pStyle w:val="FootnoteText"/>
        <w:rPr>
          <w:szCs w:val="18"/>
          <w:lang w:val="en-US"/>
        </w:rPr>
      </w:pPr>
      <w:r w:rsidRPr="00323280">
        <w:rPr>
          <w:rStyle w:val="FootnoteReference"/>
          <w:szCs w:val="18"/>
        </w:rPr>
        <w:footnoteRef/>
      </w:r>
      <w:r w:rsidRPr="00323280">
        <w:rPr>
          <w:szCs w:val="18"/>
        </w:rPr>
        <w:t xml:space="preserve"> </w:t>
      </w:r>
      <w:hyperlink r:id="rId21" w:history="1">
        <w:r w:rsidR="003E256B" w:rsidRPr="00323280">
          <w:rPr>
            <w:rStyle w:val="Hyperlink"/>
            <w:szCs w:val="18"/>
          </w:rPr>
          <w:t>https://www.cbre.com/insights/books/european-real-estate-market-outlook-2025/data-centres</w:t>
        </w:r>
      </w:hyperlink>
      <w:r w:rsidR="003E256B" w:rsidRPr="00323280">
        <w:rPr>
          <w:szCs w:val="18"/>
        </w:rPr>
        <w:t xml:space="preserve"> </w:t>
      </w:r>
    </w:p>
  </w:footnote>
  <w:footnote w:id="32">
    <w:p w14:paraId="79201F2F" w14:textId="77777777" w:rsidR="0076259A" w:rsidRPr="00323280" w:rsidRDefault="0076259A" w:rsidP="0076259A">
      <w:pPr>
        <w:pStyle w:val="FootnoteText"/>
        <w:rPr>
          <w:szCs w:val="18"/>
          <w:lang w:val="en-US"/>
        </w:rPr>
      </w:pPr>
      <w:r w:rsidRPr="00323280">
        <w:rPr>
          <w:rStyle w:val="FootnoteReference"/>
          <w:szCs w:val="18"/>
        </w:rPr>
        <w:footnoteRef/>
      </w:r>
      <w:r w:rsidRPr="00323280">
        <w:rPr>
          <w:szCs w:val="18"/>
        </w:rPr>
        <w:t xml:space="preserve"> </w:t>
      </w:r>
      <w:hyperlink r:id="rId22" w:history="1">
        <w:r w:rsidRPr="00323280">
          <w:rPr>
            <w:rStyle w:val="Hyperlink"/>
            <w:szCs w:val="18"/>
          </w:rPr>
          <w:t>https://taxsummaries.pwc.com/quick-charts/corporate-income-tax-cit-rates</w:t>
        </w:r>
      </w:hyperlink>
      <w:r w:rsidRPr="00323280">
        <w:rPr>
          <w:szCs w:val="18"/>
        </w:rPr>
        <w:t xml:space="preserve"> </w:t>
      </w:r>
    </w:p>
  </w:footnote>
  <w:footnote w:id="33">
    <w:p w14:paraId="6059541F" w14:textId="668B7903" w:rsidR="0076259A" w:rsidRPr="00323280" w:rsidRDefault="0076259A" w:rsidP="0076259A">
      <w:pPr>
        <w:pStyle w:val="FootnoteText"/>
        <w:rPr>
          <w:szCs w:val="18"/>
        </w:rPr>
      </w:pPr>
      <w:r w:rsidRPr="00323280">
        <w:rPr>
          <w:rStyle w:val="FootnoteReference"/>
          <w:szCs w:val="18"/>
        </w:rPr>
        <w:footnoteRef/>
      </w:r>
      <w:r w:rsidRPr="00323280">
        <w:rPr>
          <w:szCs w:val="18"/>
        </w:rPr>
        <w:t xml:space="preserve"> BEREC. (2025). BEREC report on WACC parameter calculations according to the European Commission’s WACC Notice of 6th November 2019 (WACC parameters Report 2025). Body of European Regulators for Electronic Communications. </w:t>
      </w:r>
      <w:hyperlink r:id="rId23" w:history="1">
        <w:r w:rsidR="00AD1D4C" w:rsidRPr="00323280">
          <w:rPr>
            <w:rStyle w:val="Hyperlink"/>
            <w:szCs w:val="18"/>
          </w:rPr>
          <w:t>https://www.berec.europa.eu/en/all-documents/berec/reports/berec-report-on-wacc-parameter-calculations-according-to-the-european-commissions-wacc-notice-of-6th-november-2019-wacc-parameters-report-2025</w:t>
        </w:r>
      </w:hyperlink>
      <w:r w:rsidR="00AD1D4C" w:rsidRPr="00323280">
        <w:rPr>
          <w:szCs w:val="18"/>
        </w:rPr>
        <w:t xml:space="preserve"> </w:t>
      </w:r>
    </w:p>
  </w:footnote>
  <w:footnote w:id="34">
    <w:p w14:paraId="1DD23949" w14:textId="010C8091"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NUTS1, NUTS2 and NUTS3 areas in Europe are close to 1,500 (</w:t>
      </w:r>
      <w:hyperlink r:id="rId24" w:history="1">
        <w:r w:rsidRPr="00323280">
          <w:rPr>
            <w:rStyle w:val="Hyperlink"/>
            <w:szCs w:val="18"/>
          </w:rPr>
          <w:t>https://ec.europa.eu/eurostat/web/nuts</w:t>
        </w:r>
      </w:hyperlink>
      <w:r w:rsidRPr="00323280">
        <w:rPr>
          <w:szCs w:val="18"/>
        </w:rPr>
        <w:t xml:space="preserve">). An adjustment has been made to slightly reduce the number of NUTS3 areas with a public authority procuring cloud and AI </w:t>
      </w:r>
      <w:r w:rsidR="00A24504" w:rsidRPr="00323280">
        <w:rPr>
          <w:szCs w:val="18"/>
        </w:rPr>
        <w:t xml:space="preserve">computing </w:t>
      </w:r>
      <w:r w:rsidRPr="00323280">
        <w:rPr>
          <w:szCs w:val="18"/>
        </w:rPr>
        <w:t>services in the bigger member states where the administrative distribution at that level is more granular.</w:t>
      </w:r>
    </w:p>
  </w:footnote>
  <w:footnote w:id="35">
    <w:p w14:paraId="24EC5E51" w14:textId="77777777"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TED is the official source for public procurement in the EU. However, it is to be noted that a percentage of the data sets do not present complete information, with some fields missing.</w:t>
      </w:r>
    </w:p>
  </w:footnote>
  <w:footnote w:id="36">
    <w:p w14:paraId="1AEB1721" w14:textId="77777777"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w:t>
      </w:r>
      <w:hyperlink r:id="rId25" w:history="1">
        <w:r w:rsidRPr="00323280">
          <w:rPr>
            <w:rStyle w:val="Hyperlink"/>
            <w:szCs w:val="18"/>
          </w:rPr>
          <w:t>https://docs.ted.europa.eu/api/latest/index.html</w:t>
        </w:r>
      </w:hyperlink>
      <w:r w:rsidRPr="00323280">
        <w:rPr>
          <w:szCs w:val="18"/>
        </w:rPr>
        <w:t xml:space="preserve"> </w:t>
      </w:r>
    </w:p>
  </w:footnote>
  <w:footnote w:id="37">
    <w:p w14:paraId="47E30E53" w14:textId="77777777"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TED also stores the contact notices which include closed procedures with no awardees. This number is however rather small and could fall under the margin of error.</w:t>
      </w:r>
    </w:p>
  </w:footnote>
  <w:footnote w:id="38">
    <w:p w14:paraId="6CA96EFA" w14:textId="169C2B33"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Member States have reported in various settings that </w:t>
      </w:r>
      <w:r w:rsidR="00EB0862">
        <w:rPr>
          <w:szCs w:val="18"/>
        </w:rPr>
        <w:t>10</w:t>
      </w:r>
      <w:r w:rsidRPr="00323280">
        <w:rPr>
          <w:szCs w:val="18"/>
        </w:rPr>
        <w:t>% of their services fall under the category of highly critical services.</w:t>
      </w:r>
    </w:p>
  </w:footnote>
  <w:footnote w:id="39">
    <w:p w14:paraId="3B134B15" w14:textId="77777777" w:rsidR="00316689" w:rsidRPr="00323280" w:rsidRDefault="00316689" w:rsidP="00316689">
      <w:pPr>
        <w:pStyle w:val="FootnoteText"/>
        <w:rPr>
          <w:szCs w:val="18"/>
        </w:rPr>
      </w:pPr>
      <w:r w:rsidRPr="00323280">
        <w:rPr>
          <w:rStyle w:val="FootnoteReference"/>
          <w:szCs w:val="18"/>
        </w:rPr>
        <w:footnoteRef/>
      </w:r>
      <w:r w:rsidRPr="00323280">
        <w:rPr>
          <w:szCs w:val="18"/>
        </w:rPr>
        <w:t xml:space="preserve"> </w:t>
      </w:r>
      <w:hyperlink r:id="rId26" w:history="1">
        <w:r w:rsidRPr="00323280">
          <w:rPr>
            <w:rStyle w:val="Hyperlink"/>
            <w:szCs w:val="18"/>
          </w:rPr>
          <w:t>https://docs.ted.europa.eu/api/latest/index.html</w:t>
        </w:r>
      </w:hyperlink>
      <w:r w:rsidRPr="00323280">
        <w:rPr>
          <w:szCs w:val="18"/>
        </w:rPr>
        <w:t xml:space="preserve"> </w:t>
      </w:r>
    </w:p>
  </w:footnote>
  <w:footnote w:id="40">
    <w:p w14:paraId="6E342B95" w14:textId="77777777" w:rsidR="00316689" w:rsidRPr="001B16B6" w:rsidRDefault="00316689" w:rsidP="00316689">
      <w:pPr>
        <w:pStyle w:val="FootnoteText"/>
        <w:rPr>
          <w:szCs w:val="18"/>
          <w:lang w:val="fr-BE"/>
        </w:rPr>
      </w:pPr>
      <w:r w:rsidRPr="00323280">
        <w:rPr>
          <w:rStyle w:val="FootnoteReference"/>
          <w:szCs w:val="18"/>
        </w:rPr>
        <w:footnoteRef/>
      </w:r>
      <w:r w:rsidRPr="001B16B6">
        <w:rPr>
          <w:szCs w:val="18"/>
          <w:lang w:val="fr-BE"/>
        </w:rPr>
        <w:t xml:space="preserve"> </w:t>
      </w:r>
      <w:hyperlink r:id="rId27" w:history="1">
        <w:r w:rsidRPr="001B16B6">
          <w:rPr>
            <w:rStyle w:val="Hyperlink"/>
            <w:szCs w:val="18"/>
            <w:lang w:val="fr-BE"/>
          </w:rPr>
          <w:t>https://marketplace.fedramp.gov/products</w:t>
        </w:r>
      </w:hyperlink>
      <w:r w:rsidRPr="001B16B6">
        <w:rPr>
          <w:szCs w:val="18"/>
          <w:lang w:val="fr-BE"/>
        </w:rPr>
        <w:t xml:space="preserve"> </w:t>
      </w:r>
    </w:p>
  </w:footnote>
  <w:footnote w:id="41">
    <w:p w14:paraId="6278F3DB" w14:textId="77EF0828" w:rsidR="00316689" w:rsidRPr="00323280" w:rsidRDefault="00316689" w:rsidP="00316689">
      <w:pPr>
        <w:pStyle w:val="FootnoteText"/>
        <w:rPr>
          <w:szCs w:val="18"/>
        </w:rPr>
      </w:pPr>
      <w:r w:rsidRPr="00323280">
        <w:rPr>
          <w:rStyle w:val="FootnoteReference"/>
          <w:szCs w:val="18"/>
        </w:rPr>
        <w:footnoteRef/>
      </w:r>
      <w:r w:rsidRPr="00323280">
        <w:rPr>
          <w:szCs w:val="18"/>
          <w:lang w:val="fr-BE"/>
        </w:rPr>
        <w:t xml:space="preserve"> Source: </w:t>
      </w:r>
      <w:hyperlink r:id="rId28" w:history="1">
        <w:r w:rsidRPr="00323280">
          <w:rPr>
            <w:rStyle w:val="Hyperlink"/>
            <w:szCs w:val="18"/>
            <w:lang w:val="fr-BE"/>
          </w:rPr>
          <w:t>https://cyber.gouv.fr/sites/default/files/document/catalogue-produits-services-qualifies-agrees-certifies-anssi_0.pdf</w:t>
        </w:r>
      </w:hyperlink>
      <w:r w:rsidRPr="00323280">
        <w:rPr>
          <w:szCs w:val="18"/>
          <w:lang w:val="fr-BE"/>
        </w:rPr>
        <w:t xml:space="preserve"> .  </w:t>
      </w:r>
      <w:r w:rsidRPr="00323280">
        <w:rPr>
          <w:szCs w:val="18"/>
        </w:rPr>
        <w:t>The list of services qualified are listed in Chapter 5.1. This table shows 9 individual cloud service providers qualified but 16 cloud services with the following breakdown: 2 services in 2023, 2 services in 2024 and 12 in 2025.</w:t>
      </w:r>
    </w:p>
  </w:footnote>
  <w:footnote w:id="42">
    <w:p w14:paraId="552FF4CB" w14:textId="5E64A040" w:rsidR="00316689" w:rsidRPr="00323280" w:rsidRDefault="00316689" w:rsidP="009212E2">
      <w:pPr>
        <w:rPr>
          <w:sz w:val="18"/>
          <w:szCs w:val="18"/>
        </w:rPr>
      </w:pPr>
      <w:r w:rsidRPr="00323280">
        <w:rPr>
          <w:rStyle w:val="FootnoteReference"/>
          <w:rFonts w:eastAsiaTheme="minorEastAsia"/>
          <w:sz w:val="18"/>
          <w:szCs w:val="18"/>
        </w:rPr>
        <w:footnoteRef/>
      </w:r>
      <w:r w:rsidR="002058F5" w:rsidRPr="00323280">
        <w:rPr>
          <w:sz w:val="18"/>
          <w:szCs w:val="18"/>
        </w:rPr>
        <w:t xml:space="preserve"> </w:t>
      </w:r>
      <w:hyperlink r:id="rId29" w:history="1">
        <w:r w:rsidR="002058F5" w:rsidRPr="00323280">
          <w:rPr>
            <w:rStyle w:val="Hyperlink"/>
            <w:sz w:val="18"/>
            <w:szCs w:val="18"/>
          </w:rPr>
          <w:t>OECD Compendium of Productivity Indicators 2025</w:t>
        </w:r>
      </w:hyperlink>
      <w:r w:rsidRPr="00323280">
        <w:rPr>
          <w:sz w:val="18"/>
          <w:szCs w:val="18"/>
        </w:rPr>
        <w:t xml:space="preserve"> </w:t>
      </w:r>
    </w:p>
    <w:p w14:paraId="2BCF0097" w14:textId="77777777" w:rsidR="00316689" w:rsidRPr="00323280" w:rsidRDefault="00316689" w:rsidP="00316689">
      <w:pPr>
        <w:rPr>
          <w:sz w:val="18"/>
          <w:szCs w:val="18"/>
        </w:rPr>
      </w:pPr>
    </w:p>
  </w:footnote>
  <w:footnote w:id="43">
    <w:p w14:paraId="4E665696" w14:textId="77777777" w:rsidR="00DF7232" w:rsidRPr="00323280" w:rsidRDefault="00DF7232" w:rsidP="00DF7232">
      <w:pPr>
        <w:pStyle w:val="FootnoteText"/>
        <w:rPr>
          <w:szCs w:val="18"/>
        </w:rPr>
      </w:pPr>
      <w:r w:rsidRPr="00323280">
        <w:rPr>
          <w:rStyle w:val="FootnoteReference"/>
          <w:szCs w:val="18"/>
        </w:rPr>
        <w:footnoteRef/>
      </w:r>
      <w:r w:rsidRPr="00323280">
        <w:rPr>
          <w:szCs w:val="18"/>
        </w:rPr>
        <w:t xml:space="preserve"> Assumptions behind these numbers have been validated with EC staff currently working on the Alliance for Industrial Data, Edge and Cloud. </w:t>
      </w:r>
    </w:p>
  </w:footnote>
  <w:footnote w:id="44">
    <w:p w14:paraId="08D5F280" w14:textId="77777777" w:rsidR="001471E7" w:rsidRPr="00323280" w:rsidRDefault="001471E7" w:rsidP="001471E7">
      <w:pPr>
        <w:pStyle w:val="FootnoteText"/>
        <w:rPr>
          <w:szCs w:val="18"/>
        </w:rPr>
      </w:pPr>
      <w:r w:rsidRPr="00323280">
        <w:rPr>
          <w:rStyle w:val="FootnoteReference"/>
          <w:szCs w:val="18"/>
        </w:rPr>
        <w:footnoteRef/>
      </w:r>
      <w:r w:rsidRPr="00323280">
        <w:rPr>
          <w:szCs w:val="18"/>
        </w:rPr>
        <w:t xml:space="preserve"> The number of operators engaging with the drafting of the guidelines represents the average number of operators typically engaging in such processes, i.e. not the total number of operators in the EU.</w:t>
      </w:r>
    </w:p>
  </w:footnote>
  <w:footnote w:id="45">
    <w:p w14:paraId="12C4D14C" w14:textId="77777777" w:rsidR="001471E7" w:rsidRPr="00323280" w:rsidRDefault="001471E7" w:rsidP="001471E7">
      <w:pPr>
        <w:pStyle w:val="FootnoteText"/>
        <w:rPr>
          <w:szCs w:val="18"/>
        </w:rPr>
      </w:pPr>
      <w:r w:rsidRPr="00323280">
        <w:rPr>
          <w:rStyle w:val="FootnoteReference"/>
          <w:szCs w:val="18"/>
        </w:rPr>
        <w:footnoteRef/>
      </w:r>
      <w:r w:rsidRPr="00323280">
        <w:rPr>
          <w:szCs w:val="18"/>
        </w:rPr>
        <w:t xml:space="preserve"> Although this consultation is voluntary and not a legal obligation, operators are likely to engage due to their interest in influencing a framework that directly affects their operations</w:t>
      </w:r>
    </w:p>
  </w:footnote>
  <w:footnote w:id="46">
    <w:p w14:paraId="7355AA32" w14:textId="1558E8A5" w:rsidR="00F8115D" w:rsidRPr="00F8115D" w:rsidRDefault="00F8115D">
      <w:pPr>
        <w:pStyle w:val="FootnoteText"/>
      </w:pPr>
      <w:r>
        <w:rPr>
          <w:rStyle w:val="FootnoteReference"/>
        </w:rPr>
        <w:footnoteRef/>
      </w:r>
      <w:r>
        <w:t xml:space="preserve"> Al</w:t>
      </w:r>
      <w:r w:rsidRPr="00F8115D">
        <w:t xml:space="preserve">though all parameters (PUE, utilisation </w:t>
      </w:r>
      <w:r>
        <w:t>rate</w:t>
      </w:r>
      <w:r w:rsidRPr="00F8115D">
        <w:t xml:space="preserve">, revenues and costs) are held constant between the baseline and </w:t>
      </w:r>
      <w:r>
        <w:t>this policy</w:t>
      </w:r>
      <w:r w:rsidRPr="00F8115D">
        <w:t xml:space="preserve"> scenario</w:t>
      </w:r>
      <w:r>
        <w:t>,</w:t>
      </w:r>
      <w:r w:rsidRPr="00F8115D">
        <w:t xml:space="preserve"> the discounted cash-flow model is inherently non-linear in time. </w:t>
      </w:r>
      <w:r>
        <w:t>Therefore, s</w:t>
      </w:r>
      <w:r w:rsidRPr="00F8115D">
        <w:t>hortening the permitting phase brings forward the entire operating cash-flow profile, reducing discounting on the most value-relevant early-operation cash flows.</w:t>
      </w:r>
    </w:p>
  </w:footnote>
  <w:footnote w:id="47">
    <w:p w14:paraId="2235E9A5" w14:textId="3AEBBDEB" w:rsidR="007339AC" w:rsidRPr="007339AC" w:rsidRDefault="007339AC">
      <w:pPr>
        <w:pStyle w:val="FootnoteText"/>
      </w:pPr>
      <w:r>
        <w:rPr>
          <w:rStyle w:val="FootnoteReference"/>
        </w:rPr>
        <w:footnoteRef/>
      </w:r>
      <w:r>
        <w:t xml:space="preserve"> The same applies to other measures using this modelling approach, i.e. PM5</w:t>
      </w:r>
      <w:r w:rsidR="00E13233">
        <w:t xml:space="preserve"> and PM10. </w:t>
      </w:r>
    </w:p>
  </w:footnote>
  <w:footnote w:id="48">
    <w:p w14:paraId="5DE897F1" w14:textId="2C9E5956" w:rsidR="008D15EE" w:rsidRPr="00323280" w:rsidRDefault="008D15EE" w:rsidP="008D15EE">
      <w:pPr>
        <w:pStyle w:val="FootnoteText"/>
        <w:rPr>
          <w:szCs w:val="18"/>
        </w:rPr>
      </w:pPr>
      <w:r w:rsidRPr="00323280">
        <w:rPr>
          <w:rStyle w:val="FootnoteReference"/>
          <w:szCs w:val="18"/>
        </w:rPr>
        <w:footnoteRef/>
      </w:r>
      <w:r w:rsidRPr="00323280">
        <w:rPr>
          <w:szCs w:val="18"/>
        </w:rPr>
        <w:t xml:space="preserve"> NUTS counts proxy multi-tier coordination and interface complexity (more NUTS-levels/regions implies</w:t>
      </w:r>
      <w:r w:rsidR="00717547" w:rsidRPr="00323280">
        <w:rPr>
          <w:szCs w:val="18"/>
        </w:rPr>
        <w:t xml:space="preserve"> </w:t>
      </w:r>
      <w:r w:rsidRPr="00323280">
        <w:rPr>
          <w:szCs w:val="18"/>
        </w:rPr>
        <w:t>small regions. The EU currently lists 92 (NUTS-1), 244 (NUTS-2), 1,165 (NUTS-3) regions, underscoring the heterogeneity across Member States.</w:t>
      </w:r>
    </w:p>
  </w:footnote>
  <w:footnote w:id="49">
    <w:p w14:paraId="6742D306" w14:textId="1B037437" w:rsidR="00E128E4" w:rsidRPr="00323280" w:rsidRDefault="00E128E4" w:rsidP="00E128E4">
      <w:pPr>
        <w:pStyle w:val="FootnoteText"/>
        <w:rPr>
          <w:szCs w:val="18"/>
        </w:rPr>
      </w:pPr>
      <w:r w:rsidRPr="00323280">
        <w:rPr>
          <w:rStyle w:val="FootnoteReference"/>
          <w:szCs w:val="18"/>
        </w:rPr>
        <w:footnoteRef/>
      </w:r>
      <w:r w:rsidRPr="00323280">
        <w:rPr>
          <w:szCs w:val="18"/>
        </w:rPr>
        <w:t xml:space="preserve"> CAPEX investments are not considered as part of the adjustment costs as only projects that already comply, or are willing to comply, with the EED and other relevant requirements under the baseline scenario would be eligible to apply for the fast-track </w:t>
      </w:r>
      <w:r w:rsidR="009341C4" w:rsidRPr="00323280">
        <w:rPr>
          <w:szCs w:val="18"/>
        </w:rPr>
        <w:t>areas</w:t>
      </w:r>
      <w:r w:rsidRPr="00323280">
        <w:rPr>
          <w:szCs w:val="18"/>
        </w:rPr>
        <w:t xml:space="preserve">. As a result, no additional CAPEX beyond what is already required under existing legislation is expected to arise specifically from participation in the </w:t>
      </w:r>
      <w:r w:rsidR="009341C4" w:rsidRPr="00323280">
        <w:rPr>
          <w:szCs w:val="18"/>
        </w:rPr>
        <w:t>areas</w:t>
      </w:r>
      <w:r w:rsidRPr="00323280">
        <w:rPr>
          <w:szCs w:val="18"/>
        </w:rPr>
        <w:t>.</w:t>
      </w:r>
    </w:p>
  </w:footnote>
  <w:footnote w:id="50">
    <w:p w14:paraId="0DCF1EFA" w14:textId="2C4DEC5E" w:rsidR="001422A8" w:rsidRPr="00323280" w:rsidRDefault="001422A8">
      <w:pPr>
        <w:pStyle w:val="FootnoteText"/>
        <w:rPr>
          <w:szCs w:val="18"/>
          <w:lang w:val="en-US"/>
        </w:rPr>
      </w:pPr>
      <w:r w:rsidRPr="00323280">
        <w:rPr>
          <w:rStyle w:val="FootnoteReference"/>
          <w:szCs w:val="18"/>
        </w:rPr>
        <w:footnoteRef/>
      </w:r>
      <w:r w:rsidRPr="00323280">
        <w:rPr>
          <w:szCs w:val="18"/>
        </w:rPr>
        <w:t xml:space="preserve"> Floating point Operations Per Second</w:t>
      </w:r>
      <w:r w:rsidR="00BB5630" w:rsidRPr="00323280">
        <w:rPr>
          <w:szCs w:val="18"/>
        </w:rPr>
        <w:t xml:space="preserve"> (FLOPS) is a standard measure of the performance of a computer, indicating how many calculations on numbers with decimal points it can perform in one second.</w:t>
      </w:r>
    </w:p>
  </w:footnote>
  <w:footnote w:id="51">
    <w:p w14:paraId="7D193C2F" w14:textId="77777777" w:rsidR="0088115D" w:rsidRPr="00323280" w:rsidRDefault="0088115D" w:rsidP="0088115D">
      <w:pPr>
        <w:pStyle w:val="FootnoteText"/>
        <w:rPr>
          <w:szCs w:val="18"/>
        </w:rPr>
      </w:pPr>
      <w:r w:rsidRPr="00323280">
        <w:rPr>
          <w:rStyle w:val="FootnoteReference"/>
          <w:szCs w:val="18"/>
        </w:rPr>
        <w:footnoteRef/>
      </w:r>
      <w:r w:rsidRPr="00323280">
        <w:rPr>
          <w:szCs w:val="18"/>
        </w:rPr>
        <w:t xml:space="preserve"> See: </w:t>
      </w:r>
      <w:hyperlink r:id="rId30" w:history="1">
        <w:r w:rsidRPr="00323280">
          <w:rPr>
            <w:rStyle w:val="Hyperlink"/>
            <w:rFonts w:eastAsia="Times New Roman"/>
            <w:szCs w:val="18"/>
          </w:rPr>
          <w:t>IP_25_1115_EN.pdf</w:t>
        </w:r>
      </w:hyperlink>
    </w:p>
  </w:footnote>
  <w:footnote w:id="52">
    <w:p w14:paraId="4C26C1D9" w14:textId="77777777" w:rsidR="0088115D" w:rsidRPr="00323280" w:rsidRDefault="0088115D" w:rsidP="0088115D">
      <w:pPr>
        <w:spacing w:after="0"/>
        <w:rPr>
          <w:sz w:val="18"/>
          <w:szCs w:val="18"/>
        </w:rPr>
      </w:pPr>
      <w:r w:rsidRPr="00323280">
        <w:rPr>
          <w:rStyle w:val="FootnoteReference"/>
          <w:sz w:val="18"/>
          <w:szCs w:val="18"/>
        </w:rPr>
        <w:footnoteRef/>
      </w:r>
      <w:r w:rsidRPr="00323280">
        <w:rPr>
          <w:sz w:val="18"/>
          <w:szCs w:val="18"/>
        </w:rPr>
        <w:t xml:space="preserve"> ibid. </w:t>
      </w:r>
    </w:p>
  </w:footnote>
  <w:footnote w:id="53">
    <w:p w14:paraId="05E78C75" w14:textId="77777777" w:rsidR="0088115D" w:rsidRPr="00323280" w:rsidRDefault="0088115D" w:rsidP="0088115D">
      <w:pPr>
        <w:rPr>
          <w:sz w:val="18"/>
          <w:szCs w:val="18"/>
        </w:rPr>
      </w:pPr>
      <w:r w:rsidRPr="00323280">
        <w:rPr>
          <w:rStyle w:val="FootnoteReference"/>
          <w:sz w:val="18"/>
          <w:szCs w:val="18"/>
        </w:rPr>
        <w:footnoteRef/>
      </w:r>
      <w:r w:rsidRPr="00323280">
        <w:rPr>
          <w:sz w:val="18"/>
          <w:szCs w:val="18"/>
        </w:rPr>
        <w:t xml:space="preserve"> ibid.</w:t>
      </w:r>
    </w:p>
  </w:footnote>
  <w:footnote w:id="54">
    <w:p w14:paraId="3AB7A324" w14:textId="77777777" w:rsidR="00BB6877" w:rsidRPr="00323280" w:rsidRDefault="00BB6877" w:rsidP="00BB6877">
      <w:pPr>
        <w:pStyle w:val="FootnoteText"/>
        <w:rPr>
          <w:szCs w:val="18"/>
        </w:rPr>
      </w:pPr>
      <w:r w:rsidRPr="00323280">
        <w:rPr>
          <w:rStyle w:val="FootnoteReference"/>
          <w:szCs w:val="18"/>
        </w:rPr>
        <w:footnoteRef/>
      </w:r>
      <w:r w:rsidRPr="00323280">
        <w:rPr>
          <w:szCs w:val="18"/>
        </w:rPr>
        <w:t xml:space="preserve"> In this report, based on a survey, it was estimated that lump sum proposals required 50 days effort from ideation to submission in H2020 (</w:t>
      </w:r>
      <w:hyperlink r:id="rId31" w:history="1">
        <w:r w:rsidRPr="00323280">
          <w:rPr>
            <w:rStyle w:val="Hyperlink"/>
            <w:szCs w:val="18"/>
          </w:rPr>
          <w:t>https://ec.europa.eu/info/funding-tenders/opportunities/docs/2021-2027/horizon/other/comm/ls-assessment-report-2024_en.pdf</w:t>
        </w:r>
      </w:hyperlink>
      <w:r w:rsidRPr="00323280">
        <w:rPr>
          <w:szCs w:val="18"/>
        </w:rPr>
        <w:t xml:space="preserve">). </w:t>
      </w:r>
    </w:p>
  </w:footnote>
  <w:footnote w:id="55">
    <w:p w14:paraId="4C82C894" w14:textId="77777777" w:rsidR="000A5039" w:rsidRPr="00C941C4" w:rsidRDefault="000A5039" w:rsidP="000A5039">
      <w:pPr>
        <w:pStyle w:val="FootnoteText"/>
        <w:rPr>
          <w:lang w:val="en-IE"/>
        </w:rPr>
      </w:pPr>
      <w:r w:rsidRPr="00C941C4">
        <w:rPr>
          <w:rStyle w:val="FootnoteReference"/>
          <w:lang w:val="en-IE"/>
        </w:rPr>
        <w:footnoteRef/>
      </w:r>
      <w:r w:rsidRPr="00C941C4">
        <w:rPr>
          <w:lang w:val="en-IE"/>
        </w:rPr>
        <w:t xml:space="preserve"> In the absence of a harmonised framework,</w:t>
      </w:r>
      <w:r>
        <w:rPr>
          <w:lang w:val="en-IE"/>
        </w:rPr>
        <w:t xml:space="preserve"> non-EU</w:t>
      </w:r>
      <w:r w:rsidRPr="00C941C4">
        <w:rPr>
          <w:lang w:val="en-IE"/>
        </w:rPr>
        <w:t xml:space="preserve"> </w:t>
      </w:r>
      <w:r>
        <w:rPr>
          <w:lang w:val="en-IE"/>
        </w:rPr>
        <w:t xml:space="preserve">service providers attempting </w:t>
      </w:r>
      <w:r w:rsidRPr="00420B34">
        <w:rPr>
          <w:lang w:val="en-IE"/>
        </w:rPr>
        <w:t>to prevent third-country governmental access and transfer of data stored in the Union and to prevent or refuse any request from a third-country government</w:t>
      </w:r>
      <w:r>
        <w:rPr>
          <w:lang w:val="en-IE"/>
        </w:rPr>
        <w:t xml:space="preserve"> are using a diverse technical, legal and organisational measures. This include technical architecture with segregated physical infrastructure, </w:t>
      </w:r>
      <w:r w:rsidRPr="00B04CDC">
        <w:rPr>
          <w:lang w:val="en-IE"/>
        </w:rPr>
        <w:t>ensuring that the encryption keys are not accessible to the provider or are held exclusively by the customer</w:t>
      </w:r>
      <w:r>
        <w:rPr>
          <w:lang w:val="en-IE"/>
        </w:rPr>
        <w:t>, adding specific clauses in their EU employees’ contract that forbid them from taking instructions from outside of the EU, setting up independent boards to review extra-territorial data access requests, etc.</w:t>
      </w:r>
    </w:p>
  </w:footnote>
  <w:footnote w:id="56">
    <w:p w14:paraId="5055C050" w14:textId="77777777" w:rsidR="000A5039" w:rsidRPr="00635DD6" w:rsidRDefault="000A5039" w:rsidP="000A5039">
      <w:pPr>
        <w:pStyle w:val="FootnoteText"/>
      </w:pPr>
      <w:r>
        <w:rPr>
          <w:rStyle w:val="FootnoteReference"/>
        </w:rPr>
        <w:footnoteRef/>
      </w:r>
      <w:r>
        <w:t xml:space="preserve"> As part of the ‘</w:t>
      </w:r>
      <w:r w:rsidRPr="006011BB">
        <w:rPr>
          <w:i/>
          <w:iCs/>
        </w:rPr>
        <w:t>One Europe, one market’</w:t>
      </w:r>
      <w:r>
        <w:t xml:space="preserve"> roadmap agreed by the Parliament, the Council and the Commission, the co-legislator have agreed to finalise negotiation for this initiative ed by Q4 2027. Adding one year for the measures to take effect, this implies CADA entering into force in early 2029. EUCS technical work is finalized and has been adopted by CEN-CENELEC Technical Specifications. The candidate scheme has therefore reached an advanced stage of development, which now needs to be transformed into an Implementing Act adopted under the Cybersecurity Act, a process much shorter than CADA’s interinstitutional negotiations.</w:t>
      </w:r>
    </w:p>
  </w:footnote>
  <w:footnote w:id="57">
    <w:p w14:paraId="5BD07BDC" w14:textId="77777777" w:rsidR="004F4FED" w:rsidRPr="0046171D" w:rsidRDefault="004F4FED" w:rsidP="004F4FED">
      <w:pPr>
        <w:pStyle w:val="FootnoteText"/>
        <w:rPr>
          <w:lang w:val="en-IE"/>
        </w:rPr>
      </w:pPr>
      <w:r>
        <w:rPr>
          <w:rStyle w:val="FootnoteReference"/>
        </w:rPr>
        <w:footnoteRef/>
      </w:r>
      <w:r>
        <w:t xml:space="preserve"> </w:t>
      </w:r>
      <w:hyperlink r:id="rId32" w:history="1">
        <w:r w:rsidRPr="00AF6E20">
          <w:rPr>
            <w:rStyle w:val="Hyperlink"/>
          </w:rPr>
          <w:t>https://www.heise.de/en/news/Canadian-Court-OVHcloud-from-France-must-hand-over-user-data-11092029.html</w:t>
        </w:r>
      </w:hyperlink>
      <w:r>
        <w:t xml:space="preserve"> </w:t>
      </w:r>
    </w:p>
  </w:footnote>
  <w:footnote w:id="58">
    <w:p w14:paraId="61EB2DD7" w14:textId="7A6A8A99" w:rsidR="00551977" w:rsidRPr="00323280" w:rsidRDefault="00551977">
      <w:pPr>
        <w:pStyle w:val="FootnoteText"/>
        <w:rPr>
          <w:szCs w:val="18"/>
          <w:lang w:val="en-IE"/>
        </w:rPr>
      </w:pPr>
      <w:r w:rsidRPr="00323280">
        <w:rPr>
          <w:rStyle w:val="FootnoteReference"/>
          <w:szCs w:val="18"/>
        </w:rPr>
        <w:footnoteRef/>
      </w:r>
      <w:r w:rsidRPr="00323280">
        <w:rPr>
          <w:szCs w:val="18"/>
        </w:rPr>
        <w:t xml:space="preserve"> </w:t>
      </w:r>
      <w:r w:rsidRPr="00323280">
        <w:rPr>
          <w:szCs w:val="18"/>
          <w:lang w:val="en-IE"/>
        </w:rPr>
        <w:t>MS unless stated otherwise is</w:t>
      </w:r>
      <w:r w:rsidR="00905024" w:rsidRPr="00323280">
        <w:rPr>
          <w:szCs w:val="18"/>
          <w:lang w:val="en-IE"/>
        </w:rPr>
        <w:t xml:space="preserve"> MS = 27</w:t>
      </w:r>
    </w:p>
  </w:footnote>
  <w:footnote w:id="59">
    <w:p w14:paraId="6839AD12" w14:textId="77777777" w:rsidR="00DC7EE7" w:rsidRPr="00323280" w:rsidRDefault="00DC7EE7" w:rsidP="00DC7EE7">
      <w:pPr>
        <w:pStyle w:val="FootnoteText"/>
        <w:rPr>
          <w:szCs w:val="18"/>
        </w:rPr>
      </w:pPr>
      <w:r w:rsidRPr="00323280">
        <w:rPr>
          <w:rStyle w:val="FootnoteReference"/>
          <w:szCs w:val="18"/>
        </w:rPr>
        <w:footnoteRef/>
      </w:r>
      <w:r w:rsidRPr="00323280">
        <w:rPr>
          <w:szCs w:val="18"/>
        </w:rPr>
        <w:t xml:space="preserve"> Depending on the ESO the meetings of the Joint Technical Committees or Technical Committees are scheduled on a monthly basis.</w:t>
      </w:r>
    </w:p>
  </w:footnote>
  <w:footnote w:id="60">
    <w:p w14:paraId="6735260E" w14:textId="77777777" w:rsidR="00807C96" w:rsidRPr="00445D2C" w:rsidRDefault="00807C96" w:rsidP="00807C96">
      <w:pPr>
        <w:pStyle w:val="FootnoteText"/>
      </w:pPr>
      <w:r>
        <w:rPr>
          <w:rStyle w:val="FootnoteReference"/>
        </w:rPr>
        <w:footnoteRef/>
      </w:r>
      <w:r>
        <w:t xml:space="preserve"> See </w:t>
      </w:r>
      <w:hyperlink r:id="rId33" w:history="1">
        <w:r w:rsidRPr="00445D2C">
          <w:rPr>
            <w:rStyle w:val="Hyperlink"/>
          </w:rPr>
          <w:t>Cloud in Government Services</w:t>
        </w:r>
      </w:hyperlink>
    </w:p>
  </w:footnote>
  <w:footnote w:id="61">
    <w:p w14:paraId="7D01E5B6" w14:textId="77777777" w:rsidR="00807C96" w:rsidRPr="001611C9" w:rsidRDefault="00807C96" w:rsidP="00807C96">
      <w:pPr>
        <w:pStyle w:val="FootnoteText"/>
      </w:pPr>
      <w:r>
        <w:rPr>
          <w:rStyle w:val="FootnoteReference"/>
        </w:rPr>
        <w:footnoteRef/>
      </w:r>
      <w:r>
        <w:t xml:space="preserve"> See </w:t>
      </w:r>
      <w:hyperlink r:id="rId34" w:history="1">
        <w:r w:rsidRPr="00DE3328">
          <w:rPr>
            <w:rStyle w:val="Hyperlink"/>
          </w:rPr>
          <w:t>Strategia Cloud Italia</w:t>
        </w:r>
      </w:hyperlink>
      <w:r>
        <w:t xml:space="preserve"> </w:t>
      </w:r>
    </w:p>
  </w:footnote>
  <w:footnote w:id="62">
    <w:p w14:paraId="788A599B" w14:textId="77777777" w:rsidR="006C1E77" w:rsidRPr="0044146C" w:rsidRDefault="006C1E77" w:rsidP="006C1E77">
      <w:pPr>
        <w:pStyle w:val="FootnoteText"/>
        <w:rPr>
          <w:lang w:val="en-IE"/>
        </w:rPr>
      </w:pPr>
      <w:r>
        <w:rPr>
          <w:rStyle w:val="FootnoteReference"/>
        </w:rPr>
        <w:footnoteRef/>
      </w:r>
      <w:r>
        <w:t xml:space="preserve"> Chatzithanasis &amp; Michalakelis (2018) estimates 24% to 50% </w:t>
      </w:r>
      <w:hyperlink r:id="rId35" w:history="1">
        <w:r w:rsidRPr="001C16B7">
          <w:rPr>
            <w:rStyle w:val="Hyperlink"/>
          </w:rPr>
          <w:t>The Benefits of Cloud Computing:</w:t>
        </w:r>
      </w:hyperlink>
      <w:r>
        <w:t xml:space="preserve">. </w:t>
      </w:r>
      <w:r w:rsidRPr="00D2360D">
        <w:t>Ali Khajeh-Hosseini, David Greenwood, Ian Sommerville</w:t>
      </w:r>
      <w:r>
        <w:t xml:space="preserve"> </w:t>
      </w:r>
    </w:p>
  </w:footnote>
  <w:footnote w:id="63">
    <w:p w14:paraId="13B5BD23" w14:textId="77777777" w:rsidR="00CB1439" w:rsidRPr="00C3427B" w:rsidRDefault="00CB1439" w:rsidP="00CB1439">
      <w:pPr>
        <w:pStyle w:val="FootnoteText"/>
      </w:pPr>
      <w:r>
        <w:rPr>
          <w:rStyle w:val="FootnoteReference"/>
        </w:rPr>
        <w:footnoteRef/>
      </w:r>
      <w:r>
        <w:t xml:space="preserve"> </w:t>
      </w:r>
      <w:hyperlink r:id="rId36" w:history="1">
        <w:r w:rsidRPr="00C3427B">
          <w:rPr>
            <w:rStyle w:val="Hyperlink"/>
          </w:rPr>
          <w:t>Amazon Web Services profits squeezed as AI arms race drives spending surge – GeekWire</w:t>
        </w:r>
      </w:hyperlink>
    </w:p>
  </w:footnote>
  <w:footnote w:id="64">
    <w:p w14:paraId="6E9C75CF" w14:textId="77777777" w:rsidR="0075208E" w:rsidRPr="00323280" w:rsidRDefault="0075208E" w:rsidP="0075208E">
      <w:pPr>
        <w:pStyle w:val="FootnoteText"/>
        <w:rPr>
          <w:szCs w:val="18"/>
        </w:rPr>
      </w:pPr>
      <w:r w:rsidRPr="00323280">
        <w:rPr>
          <w:rStyle w:val="FootnoteReference"/>
          <w:szCs w:val="18"/>
        </w:rPr>
        <w:footnoteRef/>
      </w:r>
      <w:r w:rsidRPr="00323280">
        <w:rPr>
          <w:szCs w:val="18"/>
        </w:rPr>
        <w:t xml:space="preserve"> For this impact assessment ES, IT, and FR have been considered as baseline as their data </w:t>
      </w:r>
      <w:r>
        <w:rPr>
          <w:szCs w:val="18"/>
        </w:rPr>
        <w:t xml:space="preserve">is </w:t>
      </w:r>
      <w:r w:rsidRPr="00323280">
        <w:rPr>
          <w:szCs w:val="18"/>
        </w:rPr>
        <w:t>public.</w:t>
      </w:r>
    </w:p>
  </w:footnote>
  <w:footnote w:id="65">
    <w:p w14:paraId="036072A0" w14:textId="27E5268F" w:rsidR="004233F6" w:rsidRPr="00323280" w:rsidRDefault="004233F6" w:rsidP="004233F6">
      <w:pPr>
        <w:pStyle w:val="FootnoteText"/>
        <w:rPr>
          <w:szCs w:val="18"/>
        </w:rPr>
      </w:pPr>
      <w:r w:rsidRPr="00323280">
        <w:rPr>
          <w:rStyle w:val="FootnoteReference"/>
          <w:szCs w:val="18"/>
        </w:rPr>
        <w:footnoteRef/>
      </w:r>
      <w:r w:rsidRPr="00323280">
        <w:rPr>
          <w:szCs w:val="18"/>
        </w:rPr>
        <w:t xml:space="preserve"> Assumption taken considering the current valid authori</w:t>
      </w:r>
      <w:r w:rsidR="00B4552E">
        <w:rPr>
          <w:szCs w:val="18"/>
        </w:rPr>
        <w:t>s</w:t>
      </w:r>
      <w:r w:rsidRPr="00323280">
        <w:rPr>
          <w:szCs w:val="18"/>
        </w:rPr>
        <w:t>ed cloud services in FedRAMP moderate and high, which amounts to 531 as of 26 September 2025.</w:t>
      </w:r>
    </w:p>
  </w:footnote>
  <w:footnote w:id="66">
    <w:p w14:paraId="0D8B324C" w14:textId="6F64D12C" w:rsidR="00037985" w:rsidRPr="00323280" w:rsidRDefault="00037985" w:rsidP="00037985">
      <w:pPr>
        <w:pStyle w:val="FootnoteText"/>
        <w:rPr>
          <w:szCs w:val="18"/>
          <w:lang w:val="de-DE"/>
        </w:rPr>
      </w:pPr>
      <w:r w:rsidRPr="00323280">
        <w:rPr>
          <w:rStyle w:val="FootnoteReference"/>
          <w:szCs w:val="18"/>
        </w:rPr>
        <w:footnoteRef/>
      </w:r>
      <w:r w:rsidRPr="00323280">
        <w:rPr>
          <w:szCs w:val="18"/>
          <w:lang w:val="de-DE"/>
        </w:rPr>
        <w:t xml:space="preserve"> </w:t>
      </w:r>
      <w:r w:rsidR="00850013" w:rsidRPr="00323280">
        <w:rPr>
          <w:szCs w:val="18"/>
          <w:lang w:val="de-DE"/>
        </w:rPr>
        <w:t>EU-Tenders</w:t>
      </w:r>
      <w:r w:rsidRPr="00323280">
        <w:rPr>
          <w:szCs w:val="18"/>
          <w:lang w:val="de-DE"/>
        </w:rPr>
        <w:t xml:space="preserve"> search APIs: https://docs.ted.europa.eu/api/latest/search.html</w:t>
      </w:r>
    </w:p>
  </w:footnote>
  <w:footnote w:id="67">
    <w:p w14:paraId="30155551" w14:textId="514B128A" w:rsidR="00037985" w:rsidRPr="00323280" w:rsidRDefault="00037985" w:rsidP="00037985">
      <w:pPr>
        <w:pStyle w:val="FootnoteText"/>
        <w:rPr>
          <w:rFonts w:cstheme="minorHAnsi"/>
          <w:szCs w:val="18"/>
        </w:rPr>
      </w:pPr>
      <w:r w:rsidRPr="00323280">
        <w:rPr>
          <w:rStyle w:val="FootnoteReference"/>
          <w:rFonts w:cstheme="minorHAnsi"/>
          <w:szCs w:val="18"/>
        </w:rPr>
        <w:footnoteRef/>
      </w:r>
      <w:r w:rsidRPr="00323280">
        <w:rPr>
          <w:rFonts w:cstheme="minorHAnsi"/>
          <w:szCs w:val="18"/>
        </w:rPr>
        <w:t xml:space="preserve"> Based on calculations</w:t>
      </w:r>
      <w:r w:rsidR="004E5A0D" w:rsidRPr="00323280">
        <w:rPr>
          <w:rFonts w:cstheme="minorHAnsi"/>
          <w:szCs w:val="18"/>
        </w:rPr>
        <w:t xml:space="preserve"> by Technopolis et al. (2025)</w:t>
      </w:r>
      <w:r w:rsidRPr="00323280">
        <w:rPr>
          <w:rFonts w:cstheme="minorHAnsi"/>
          <w:szCs w:val="18"/>
        </w:rPr>
        <w:t>. The study estimates a total computing capacity consumed by the public sector in EU27 in 2025 of 2.9 GW. The CATI surveys shows that 51% of this computing capacity (1.5 GW) is served by datacentre infrastructure own by the public administrations. This is the capacity that is shared in the cloud federation.</w:t>
      </w:r>
    </w:p>
  </w:footnote>
  <w:footnote w:id="68">
    <w:p w14:paraId="3D76D7BF" w14:textId="48130D7A"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Source: </w:t>
      </w:r>
      <w:r w:rsidR="00993FB9" w:rsidRPr="00323280">
        <w:rPr>
          <w:szCs w:val="18"/>
        </w:rPr>
        <w:t>Technopolis et al. (2025)</w:t>
      </w:r>
    </w:p>
  </w:footnote>
  <w:footnote w:id="69">
    <w:p w14:paraId="133F93A1" w14:textId="77777777" w:rsidR="00037985" w:rsidRPr="00323280" w:rsidRDefault="00037985" w:rsidP="008D0BAC">
      <w:pPr>
        <w:spacing w:after="0"/>
        <w:rPr>
          <w:rFonts w:cstheme="minorHAnsi"/>
          <w:i/>
          <w:sz w:val="18"/>
          <w:szCs w:val="18"/>
        </w:rPr>
      </w:pPr>
      <w:r w:rsidRPr="00323280">
        <w:rPr>
          <w:rStyle w:val="FootnoteReference"/>
          <w:rFonts w:cstheme="minorHAnsi"/>
          <w:sz w:val="18"/>
          <w:szCs w:val="18"/>
        </w:rPr>
        <w:footnoteRef/>
      </w:r>
      <w:r w:rsidRPr="00323280">
        <w:rPr>
          <w:rFonts w:cstheme="minorHAnsi"/>
          <w:sz w:val="18"/>
          <w:szCs w:val="18"/>
        </w:rPr>
        <w:t xml:space="preserve"> </w:t>
      </w:r>
      <w:r w:rsidRPr="00323280">
        <w:rPr>
          <w:sz w:val="18"/>
          <w:szCs w:val="18"/>
        </w:rPr>
        <w:t xml:space="preserve">Example taken from a basic AWS EC2 product using AWS configuration tool: </w:t>
      </w:r>
      <w:hyperlink r:id="rId37" w:anchor="/createCalculator/ec2-enhancement" w:history="1">
        <w:r w:rsidRPr="00323280">
          <w:rPr>
            <w:sz w:val="18"/>
            <w:szCs w:val="18"/>
          </w:rPr>
          <w:t>https://calculator.aws/#/createCalculator/ec2-enhancement</w:t>
        </w:r>
      </w:hyperlink>
      <w:r w:rsidRPr="00323280">
        <w:rPr>
          <w:sz w:val="18"/>
          <w:szCs w:val="18"/>
        </w:rPr>
        <w:t>. Parameters used: &lt;Tenancy:Dedicated Instances&gt;, &lt;Region:Frankfurt&gt;, &lt;Operating system:Linux&gt;, &lt;vCPUs:4&gt;, &lt;Memory:16 GiB&gt;, &lt;Network Performance:Up to 12500 Megabit&gt;. Price calculated at 12th Sep 2025 for &lt;Instance name:m6i.xlarge&gt;: 0,253 USD/hour (0,227 EUR/h at the average exchange rate for 2025 by Sept 2025: 0,8986 EUR/USD)</w:t>
      </w:r>
    </w:p>
  </w:footnote>
  <w:footnote w:id="70">
    <w:p w14:paraId="090F47C8" w14:textId="77777777" w:rsidR="00037985" w:rsidRPr="00323280" w:rsidRDefault="00037985" w:rsidP="00037985">
      <w:pPr>
        <w:pStyle w:val="FootnoteText"/>
        <w:rPr>
          <w:szCs w:val="18"/>
        </w:rPr>
      </w:pPr>
      <w:r w:rsidRPr="00323280">
        <w:rPr>
          <w:rStyle w:val="FootnoteReference"/>
          <w:rFonts w:cstheme="minorHAnsi"/>
          <w:szCs w:val="18"/>
        </w:rPr>
        <w:footnoteRef/>
      </w:r>
      <w:r w:rsidRPr="00323280">
        <w:rPr>
          <w:rFonts w:cstheme="minorHAnsi"/>
          <w:szCs w:val="18"/>
        </w:rPr>
        <w:t xml:space="preserve"> Shehabi, A., Smith, S.J., Hubbard, A., Newkirk, A., Lei, N., Siddik, M.A.B., Holecek, B., Koomey, J., Masanet, E., Sartor, D. 2024. 2024 United States Data Center Energy Usage Report. Lawrence Berkeley National Laboratory, Berkeley, California. LBNL-2001637. </w:t>
      </w:r>
      <w:hyperlink r:id="rId38" w:history="1">
        <w:r w:rsidRPr="00323280">
          <w:rPr>
            <w:rStyle w:val="Hyperlink"/>
            <w:rFonts w:cstheme="minorHAnsi"/>
            <w:szCs w:val="18"/>
          </w:rPr>
          <w:t>https://escholarship.org/uc/item/32d6m0d1</w:t>
        </w:r>
      </w:hyperlink>
      <w:r w:rsidRPr="00323280">
        <w:rPr>
          <w:szCs w:val="18"/>
        </w:rPr>
        <w:t xml:space="preserve"> </w:t>
      </w:r>
    </w:p>
  </w:footnote>
  <w:footnote w:id="71">
    <w:p w14:paraId="2A41714A"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NUTS1 and NUTS2 areas in Europe are close to 340 (</w:t>
      </w:r>
      <w:hyperlink r:id="rId39" w:history="1">
        <w:r w:rsidRPr="00323280">
          <w:rPr>
            <w:rStyle w:val="Hyperlink"/>
            <w:szCs w:val="18"/>
          </w:rPr>
          <w:t>https://ec.europa.eu/eurostat/web/nuts</w:t>
        </w:r>
      </w:hyperlink>
      <w:r w:rsidRPr="00323280">
        <w:rPr>
          <w:szCs w:val="18"/>
        </w:rPr>
        <w:t>). An adjustment has been made to slightly reduce the number of NUTS2 areas with a public authority owning and running datacentre infrastructure in the bigger markets where the administrative distribution at that level is more granular.</w:t>
      </w:r>
    </w:p>
  </w:footnote>
  <w:footnote w:id="72">
    <w:p w14:paraId="2BA3EF1D"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w:t>
      </w:r>
      <w:hyperlink r:id="rId40" w:history="1">
        <w:r w:rsidRPr="00323280">
          <w:rPr>
            <w:rStyle w:val="Hyperlink"/>
            <w:szCs w:val="18"/>
          </w:rPr>
          <w:t>https://aws.amazon.com/certification/</w:t>
        </w:r>
      </w:hyperlink>
      <w:r w:rsidRPr="00323280">
        <w:rPr>
          <w:szCs w:val="18"/>
        </w:rPr>
        <w:t xml:space="preserve"> </w:t>
      </w:r>
    </w:p>
  </w:footnote>
  <w:footnote w:id="73">
    <w:p w14:paraId="4B18ED19"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w:t>
      </w:r>
      <w:hyperlink r:id="rId41" w:history="1">
        <w:r w:rsidRPr="00323280">
          <w:rPr>
            <w:rStyle w:val="Hyperlink"/>
            <w:szCs w:val="18"/>
          </w:rPr>
          <w:t>https://learn.microsoft.com/en-us/credentials/browse/?credential_types=certification&amp;products=azure</w:t>
        </w:r>
      </w:hyperlink>
      <w:r w:rsidRPr="00323280">
        <w:rPr>
          <w:szCs w:val="18"/>
        </w:rPr>
        <w:t xml:space="preserve"> </w:t>
      </w:r>
    </w:p>
  </w:footnote>
  <w:footnote w:id="74">
    <w:p w14:paraId="164CAF74"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w:t>
      </w:r>
      <w:hyperlink r:id="rId42" w:history="1">
        <w:r w:rsidRPr="00323280">
          <w:rPr>
            <w:rStyle w:val="Hyperlink"/>
            <w:szCs w:val="18"/>
          </w:rPr>
          <w:t>https://grow.google/intl/europe/courses-and-tools/?category=career&amp;topic=cloud-computing</w:t>
        </w:r>
      </w:hyperlink>
      <w:r w:rsidRPr="00323280">
        <w:rPr>
          <w:szCs w:val="18"/>
        </w:rPr>
        <w:t xml:space="preserve"> </w:t>
      </w:r>
    </w:p>
  </w:footnote>
  <w:footnote w:id="75">
    <w:p w14:paraId="16F3A0AD"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The most certificates recognized in the market include ISC2 CCSP (</w:t>
      </w:r>
      <w:hyperlink r:id="rId43" w:history="1">
        <w:r w:rsidRPr="00323280">
          <w:rPr>
            <w:rStyle w:val="Hyperlink"/>
            <w:szCs w:val="18"/>
          </w:rPr>
          <w:t>https://www.isc2.org/certifications/ccsp</w:t>
        </w:r>
      </w:hyperlink>
      <w:r w:rsidRPr="00323280">
        <w:rPr>
          <w:szCs w:val="18"/>
        </w:rPr>
        <w:t>) and CompTIA Cloud+ (</w:t>
      </w:r>
      <w:hyperlink r:id="rId44" w:history="1">
        <w:r w:rsidRPr="00323280">
          <w:rPr>
            <w:rStyle w:val="Hyperlink"/>
            <w:szCs w:val="18"/>
          </w:rPr>
          <w:t>https://www.comptia.org/en-us/certifications/cloud/</w:t>
        </w:r>
      </w:hyperlink>
      <w:r w:rsidRPr="00323280">
        <w:rPr>
          <w:szCs w:val="18"/>
        </w:rPr>
        <w:t xml:space="preserve">) </w:t>
      </w:r>
    </w:p>
  </w:footnote>
  <w:footnote w:id="76">
    <w:p w14:paraId="1B67D4C8"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DevOps is a philosophy that aims to close the gap between the development and operation teams involved in the development and deployment of software applications, including cloud native and focusing on automating the procedures such as integration and deployment. AIOps is a similar concept focusing on the development and operation of AI applications automating also the data pipelines. Finally, FinOps is the means in which financial and development teams can jointly manage the expenditure resulting from deploying services onto the cloud. The goal is to minimize the expense but maximize performance, quality and velocity.</w:t>
      </w:r>
    </w:p>
  </w:footnote>
  <w:footnote w:id="77">
    <w:p w14:paraId="795ABE84"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w:t>
      </w:r>
      <w:hyperlink r:id="rId45" w:history="1">
        <w:r w:rsidRPr="00323280">
          <w:rPr>
            <w:rStyle w:val="Hyperlink"/>
            <w:szCs w:val="18"/>
          </w:rPr>
          <w:t>https://destcert.com/resources/ccsp-certification-statistics</w:t>
        </w:r>
      </w:hyperlink>
      <w:r w:rsidRPr="00323280">
        <w:rPr>
          <w:szCs w:val="18"/>
        </w:rPr>
        <w:t xml:space="preserve"> </w:t>
      </w:r>
    </w:p>
  </w:footnote>
  <w:footnote w:id="78">
    <w:p w14:paraId="294BC132" w14:textId="77777777" w:rsidR="00037985" w:rsidRPr="00323280" w:rsidRDefault="00037985" w:rsidP="00037985">
      <w:pPr>
        <w:pStyle w:val="FootnoteText"/>
        <w:rPr>
          <w:szCs w:val="18"/>
        </w:rPr>
      </w:pPr>
      <w:r w:rsidRPr="00323280">
        <w:rPr>
          <w:rStyle w:val="FootnoteReference"/>
          <w:szCs w:val="18"/>
        </w:rPr>
        <w:footnoteRef/>
      </w:r>
      <w:r w:rsidRPr="00323280">
        <w:rPr>
          <w:szCs w:val="18"/>
        </w:rPr>
        <w:t xml:space="preserve"> </w:t>
      </w:r>
      <w:hyperlink r:id="rId46" w:history="1">
        <w:r w:rsidRPr="00323280">
          <w:rPr>
            <w:rStyle w:val="Hyperlink"/>
            <w:szCs w:val="18"/>
          </w:rPr>
          <w:t>https://aws.amazon.com/certification/</w:t>
        </w:r>
      </w:hyperlink>
      <w:r w:rsidRPr="00323280">
        <w:rPr>
          <w:szCs w:val="18"/>
        </w:rPr>
        <w:t xml:space="preserve"> </w:t>
      </w:r>
    </w:p>
  </w:footnote>
  <w:footnote w:id="79">
    <w:p w14:paraId="71542BE4" w14:textId="77777777" w:rsidR="00E627A3" w:rsidRPr="001C340C" w:rsidRDefault="00E627A3" w:rsidP="00E627A3">
      <w:pPr>
        <w:pStyle w:val="FootnoteText"/>
        <w:rPr>
          <w:lang w:val="en-IE"/>
        </w:rPr>
      </w:pPr>
      <w:r>
        <w:rPr>
          <w:rStyle w:val="FootnoteReference"/>
        </w:rPr>
        <w:footnoteRef/>
      </w:r>
      <w:r>
        <w:t xml:space="preserve"> </w:t>
      </w:r>
      <w:hyperlink r:id="rId47" w:history="1">
        <w:r w:rsidRPr="00C93571">
          <w:rPr>
            <w:rStyle w:val="Hyperlink"/>
          </w:rPr>
          <w:t>https://opentelemetry.io/</w:t>
        </w:r>
      </w:hyperlink>
      <w:r>
        <w:t xml:space="preserve"> </w:t>
      </w:r>
    </w:p>
  </w:footnote>
  <w:footnote w:id="80">
    <w:p w14:paraId="4524B3ED" w14:textId="77777777" w:rsidR="00E627A3" w:rsidRPr="001C340C" w:rsidRDefault="00E627A3" w:rsidP="00E627A3">
      <w:pPr>
        <w:pStyle w:val="FootnoteText"/>
        <w:rPr>
          <w:lang w:val="en-IE"/>
        </w:rPr>
      </w:pPr>
      <w:r>
        <w:rPr>
          <w:rStyle w:val="FootnoteReference"/>
        </w:rPr>
        <w:footnoteRef/>
      </w:r>
      <w:r w:rsidRPr="001C340C">
        <w:rPr>
          <w:lang w:val="en-IE"/>
        </w:rPr>
        <w:t xml:space="preserve"> </w:t>
      </w:r>
      <w:hyperlink r:id="rId48" w:history="1">
        <w:r w:rsidRPr="001C340C">
          <w:rPr>
            <w:rStyle w:val="Hyperlink"/>
            <w:lang w:val="en-IE"/>
          </w:rPr>
          <w:t>https://aws-otel.github.io/</w:t>
        </w:r>
      </w:hyperlink>
      <w:r w:rsidRPr="001C340C">
        <w:rPr>
          <w:lang w:val="en-IE"/>
        </w:rPr>
        <w:t xml:space="preserve"> </w:t>
      </w:r>
    </w:p>
  </w:footnote>
  <w:footnote w:id="81">
    <w:p w14:paraId="4E0222F1" w14:textId="77777777" w:rsidR="00015693" w:rsidRPr="00323280" w:rsidRDefault="00015693" w:rsidP="00015693">
      <w:pPr>
        <w:pStyle w:val="FootnoteText"/>
        <w:rPr>
          <w:szCs w:val="18"/>
        </w:rPr>
      </w:pPr>
      <w:r w:rsidRPr="00323280">
        <w:rPr>
          <w:rStyle w:val="FootnoteReference"/>
          <w:szCs w:val="18"/>
        </w:rPr>
        <w:footnoteRef/>
      </w:r>
      <w:r w:rsidRPr="00323280">
        <w:rPr>
          <w:szCs w:val="18"/>
        </w:rPr>
        <w:t xml:space="preserve"> </w:t>
      </w:r>
      <w:hyperlink r:id="rId49" w:history="1">
        <w:r w:rsidRPr="00323280">
          <w:rPr>
            <w:rStyle w:val="Hyperlink"/>
            <w:szCs w:val="18"/>
          </w:rPr>
          <w:t>https://github.com/orgs/italia/repositories</w:t>
        </w:r>
      </w:hyperlink>
      <w:r w:rsidRPr="00323280">
        <w:rPr>
          <w:szCs w:val="18"/>
        </w:rPr>
        <w:t xml:space="preserve">? </w:t>
      </w:r>
    </w:p>
  </w:footnote>
  <w:footnote w:id="82">
    <w:p w14:paraId="430352F7" w14:textId="77777777" w:rsidR="00015693" w:rsidRPr="00323280" w:rsidRDefault="00015693" w:rsidP="00015693">
      <w:pPr>
        <w:pStyle w:val="FootnoteText"/>
        <w:rPr>
          <w:szCs w:val="18"/>
        </w:rPr>
      </w:pPr>
      <w:r w:rsidRPr="00323280">
        <w:rPr>
          <w:rStyle w:val="FootnoteReference"/>
          <w:szCs w:val="18"/>
        </w:rPr>
        <w:footnoteRef/>
      </w:r>
      <w:r w:rsidRPr="00323280">
        <w:rPr>
          <w:szCs w:val="18"/>
        </w:rPr>
        <w:t xml:space="preserve"> </w:t>
      </w:r>
      <w:r w:rsidRPr="00323280">
        <w:rPr>
          <w:szCs w:val="18"/>
          <w:lang w:val="en-US"/>
        </w:rPr>
        <w:t>European Commission (2021). The impact of Open Source Software and Hardware on technological independence, competitiveness and innovation in the EU economy</w:t>
      </w:r>
    </w:p>
  </w:footnote>
  <w:footnote w:id="83">
    <w:p w14:paraId="71929848" w14:textId="77777777" w:rsidR="00015693" w:rsidRPr="00323280" w:rsidRDefault="00015693" w:rsidP="00015693">
      <w:pPr>
        <w:pStyle w:val="FootnoteText"/>
        <w:rPr>
          <w:szCs w:val="18"/>
        </w:rPr>
      </w:pPr>
      <w:r w:rsidRPr="00323280">
        <w:rPr>
          <w:rStyle w:val="FootnoteReference"/>
          <w:szCs w:val="18"/>
        </w:rPr>
        <w:footnoteRef/>
      </w:r>
      <w:r w:rsidRPr="00323280">
        <w:rPr>
          <w:szCs w:val="18"/>
        </w:rPr>
        <w:t xml:space="preserve">  Frank Nagle (2019). Government Technology Policy, Social Value, and National Competitiveness. Harvard Business School Working Paper No. 19-103.</w:t>
      </w:r>
    </w:p>
  </w:footnote>
  <w:footnote w:id="84">
    <w:p w14:paraId="1FE8F818" w14:textId="77777777" w:rsidR="00015693" w:rsidRPr="00323280" w:rsidRDefault="00015693" w:rsidP="00015693">
      <w:pPr>
        <w:pStyle w:val="FootnoteText"/>
        <w:rPr>
          <w:szCs w:val="18"/>
          <w:lang w:val="en-US"/>
        </w:rPr>
      </w:pPr>
      <w:r w:rsidRPr="00323280">
        <w:rPr>
          <w:rStyle w:val="FootnoteReference"/>
          <w:szCs w:val="18"/>
        </w:rPr>
        <w:footnoteRef/>
      </w:r>
      <w:r w:rsidRPr="00323280">
        <w:rPr>
          <w:szCs w:val="18"/>
          <w:lang w:val="en-US"/>
        </w:rPr>
        <w:t xml:space="preserve"> </w:t>
      </w:r>
      <w:hyperlink r:id="rId50" w:history="1">
        <w:r w:rsidRPr="00323280">
          <w:rPr>
            <w:rStyle w:val="Hyperlink"/>
            <w:szCs w:val="18"/>
            <w:lang w:val="en-US"/>
          </w:rPr>
          <w:t>Orientations pour l'usage des logiciels libres dans l'administration</w:t>
        </w:r>
      </w:hyperlink>
    </w:p>
  </w:footnote>
  <w:footnote w:id="85">
    <w:p w14:paraId="478286F6" w14:textId="77777777" w:rsidR="00015693" w:rsidRPr="00323280" w:rsidRDefault="00015693" w:rsidP="00015693">
      <w:pPr>
        <w:pStyle w:val="FootnoteText"/>
        <w:rPr>
          <w:szCs w:val="18"/>
        </w:rPr>
      </w:pPr>
      <w:r w:rsidRPr="00323280">
        <w:rPr>
          <w:rStyle w:val="FootnoteReference"/>
          <w:szCs w:val="18"/>
        </w:rPr>
        <w:footnoteRef/>
      </w:r>
      <w:r w:rsidRPr="00323280">
        <w:rPr>
          <w:szCs w:val="18"/>
        </w:rPr>
        <w:t xml:space="preserve"> </w:t>
      </w:r>
      <w:hyperlink r:id="rId51" w:history="1">
        <w:r w:rsidRPr="00323280">
          <w:rPr>
            <w:rStyle w:val="Hyperlink"/>
            <w:szCs w:val="18"/>
          </w:rPr>
          <w:t>"Free and Open Source Software and Hardware."</w:t>
        </w:r>
      </w:hyperlink>
      <w:r w:rsidRPr="00323280">
        <w:rPr>
          <w:szCs w:val="18"/>
        </w:rPr>
        <w:t> Harvard Business School Technical Note 724-380, September 2023</w:t>
      </w:r>
    </w:p>
  </w:footnote>
  <w:footnote w:id="86">
    <w:p w14:paraId="758067D3" w14:textId="77777777" w:rsidR="00015693" w:rsidRPr="00323280" w:rsidRDefault="00015693" w:rsidP="00015693">
      <w:pPr>
        <w:pStyle w:val="FootnoteText"/>
        <w:rPr>
          <w:szCs w:val="18"/>
          <w:lang w:val="en-US"/>
        </w:rPr>
      </w:pPr>
      <w:r w:rsidRPr="00323280">
        <w:rPr>
          <w:rStyle w:val="FootnoteReference"/>
          <w:szCs w:val="18"/>
        </w:rPr>
        <w:footnoteRef/>
      </w:r>
      <w:r w:rsidRPr="00323280">
        <w:rPr>
          <w:szCs w:val="18"/>
        </w:rPr>
        <w:t xml:space="preserve"> European Commission (2021). The impact of Open Source Software and Hardware on technological independence, competitiveness and innovation in the EU economy.</w:t>
      </w:r>
    </w:p>
  </w:footnote>
  <w:footnote w:id="87">
    <w:p w14:paraId="379A9E33" w14:textId="77777777" w:rsidR="00684067" w:rsidRPr="00445D2C" w:rsidRDefault="00684067" w:rsidP="00684067">
      <w:pPr>
        <w:pStyle w:val="FootnoteText"/>
      </w:pPr>
      <w:r>
        <w:rPr>
          <w:rStyle w:val="FootnoteReference"/>
        </w:rPr>
        <w:footnoteRef/>
      </w:r>
      <w:r>
        <w:t xml:space="preserve"> See </w:t>
      </w:r>
      <w:hyperlink r:id="rId52" w:history="1">
        <w:r w:rsidRPr="00445D2C">
          <w:rPr>
            <w:rStyle w:val="Hyperlink"/>
          </w:rPr>
          <w:t>Cloud in Government Services</w:t>
        </w:r>
      </w:hyperlink>
    </w:p>
  </w:footnote>
  <w:footnote w:id="88">
    <w:p w14:paraId="41B3E916" w14:textId="77777777" w:rsidR="00684067" w:rsidRPr="001611C9" w:rsidRDefault="00684067" w:rsidP="00684067">
      <w:pPr>
        <w:pStyle w:val="FootnoteText"/>
      </w:pPr>
      <w:r>
        <w:rPr>
          <w:rStyle w:val="FootnoteReference"/>
        </w:rPr>
        <w:footnoteRef/>
      </w:r>
      <w:r>
        <w:t xml:space="preserve"> See </w:t>
      </w:r>
      <w:hyperlink r:id="rId53" w:history="1">
        <w:r w:rsidRPr="00DE3328">
          <w:rPr>
            <w:rStyle w:val="Hyperlink"/>
          </w:rPr>
          <w:t>Strategia Cloud Italia</w:t>
        </w:r>
      </w:hyperlink>
      <w:r>
        <w:t xml:space="preserve"> </w:t>
      </w:r>
    </w:p>
  </w:footnote>
  <w:footnote w:id="89">
    <w:p w14:paraId="4A62069F" w14:textId="72E96D0B" w:rsidR="00675AAD" w:rsidRPr="006D1901" w:rsidRDefault="00675AAD">
      <w:pPr>
        <w:pStyle w:val="FootnoteText"/>
        <w:rPr>
          <w:lang w:val="en-IE"/>
        </w:rPr>
      </w:pPr>
      <w:r>
        <w:rPr>
          <w:rStyle w:val="FootnoteReference"/>
        </w:rPr>
        <w:footnoteRef/>
      </w:r>
      <w:r>
        <w:t xml:space="preserve"> </w:t>
      </w:r>
      <w:r w:rsidRPr="006D1901">
        <w:rPr>
          <w:lang w:val="en-IE"/>
        </w:rPr>
        <w:t xml:space="preserve">Estimation </w:t>
      </w:r>
      <w:r w:rsidR="00AD01E0" w:rsidRPr="006D1901">
        <w:rPr>
          <w:lang w:val="en-IE"/>
        </w:rPr>
        <w:t>based on the va</w:t>
      </w:r>
      <w:r w:rsidR="00AD01E0">
        <w:rPr>
          <w:lang w:val="en-IE"/>
        </w:rPr>
        <w:t xml:space="preserve">lues of </w:t>
      </w:r>
      <w:hyperlink r:id="rId54" w:history="1">
        <w:r>
          <w:rPr>
            <w:rStyle w:val="Hyperlink"/>
            <w:lang w:val="en-IE"/>
          </w:rPr>
          <w:t>Simpl</w:t>
        </w:r>
      </w:hyperlink>
    </w:p>
  </w:footnote>
  <w:footnote w:id="90">
    <w:p w14:paraId="38E38018" w14:textId="77777777" w:rsidR="00176435" w:rsidRPr="0044146C" w:rsidRDefault="00176435" w:rsidP="00176435">
      <w:pPr>
        <w:pStyle w:val="FootnoteText"/>
        <w:rPr>
          <w:lang w:val="en-IE"/>
        </w:rPr>
      </w:pPr>
      <w:r>
        <w:rPr>
          <w:rStyle w:val="FootnoteReference"/>
        </w:rPr>
        <w:footnoteRef/>
      </w:r>
      <w:r>
        <w:t xml:space="preserve"> Chatzithanasis &amp; Michalakelis (2018) estimates 24% to 50% </w:t>
      </w:r>
      <w:hyperlink r:id="rId55" w:history="1">
        <w:r w:rsidRPr="001C16B7">
          <w:rPr>
            <w:rStyle w:val="Hyperlink"/>
          </w:rPr>
          <w:t>The Benefits of Cloud Computing:</w:t>
        </w:r>
      </w:hyperlink>
      <w:r>
        <w:t xml:space="preserve">. </w:t>
      </w:r>
      <w:r w:rsidRPr="00D2360D">
        <w:t>Ali Khajeh-Hosseini, David Greenwood, Ian Sommerville</w:t>
      </w:r>
      <w:r>
        <w:t xml:space="preserve"> </w:t>
      </w:r>
    </w:p>
  </w:footnote>
  <w:footnote w:id="91">
    <w:p w14:paraId="77389734" w14:textId="77777777" w:rsidR="00A32E71" w:rsidRPr="00C3427B" w:rsidRDefault="00A32E71" w:rsidP="00A32E71">
      <w:pPr>
        <w:pStyle w:val="FootnoteText"/>
      </w:pPr>
      <w:r>
        <w:rPr>
          <w:rStyle w:val="FootnoteReference"/>
        </w:rPr>
        <w:footnoteRef/>
      </w:r>
      <w:r>
        <w:t xml:space="preserve"> </w:t>
      </w:r>
      <w:hyperlink r:id="rId56" w:history="1">
        <w:r w:rsidRPr="00C3427B">
          <w:rPr>
            <w:rStyle w:val="Hyperlink"/>
          </w:rPr>
          <w:t>Amazon Web Services profits squeezed as AI arms race drives spending surge – GeekWire</w:t>
        </w:r>
      </w:hyperlink>
    </w:p>
  </w:footnote>
  <w:footnote w:id="92">
    <w:p w14:paraId="0DC59065" w14:textId="77777777" w:rsidR="009D1B03" w:rsidRPr="00323280" w:rsidRDefault="009D1B03" w:rsidP="009D1B03">
      <w:pPr>
        <w:pStyle w:val="FootnoteText"/>
        <w:rPr>
          <w:szCs w:val="18"/>
        </w:rPr>
      </w:pPr>
      <w:r w:rsidRPr="00323280">
        <w:rPr>
          <w:rStyle w:val="FootnoteReference"/>
          <w:szCs w:val="18"/>
        </w:rPr>
        <w:footnoteRef/>
      </w:r>
      <w:r w:rsidRPr="00323280">
        <w:rPr>
          <w:szCs w:val="18"/>
        </w:rPr>
        <w:t xml:space="preserve"> For this impact assessment ES, IT, and FR have been considered as baseline as their data </w:t>
      </w:r>
      <w:r>
        <w:rPr>
          <w:szCs w:val="18"/>
        </w:rPr>
        <w:t xml:space="preserve">is </w:t>
      </w:r>
      <w:r w:rsidRPr="00323280">
        <w:rPr>
          <w:szCs w:val="18"/>
        </w:rPr>
        <w:t>public.</w:t>
      </w:r>
    </w:p>
  </w:footnote>
  <w:footnote w:id="93">
    <w:p w14:paraId="1CFC2AA0" w14:textId="77777777" w:rsidR="004770BC" w:rsidRPr="00561BCA" w:rsidRDefault="004770BC" w:rsidP="004770BC">
      <w:pPr>
        <w:pStyle w:val="FootnoteText"/>
        <w:rPr>
          <w:lang w:val="en-IE"/>
        </w:rPr>
      </w:pPr>
      <w:r>
        <w:t>(</w:t>
      </w:r>
      <w:r>
        <w:rPr>
          <w:rStyle w:val="FootnoteReference"/>
        </w:rPr>
        <w:footnoteRef/>
      </w:r>
      <w:r>
        <w:t>)</w:t>
      </w:r>
      <w:r>
        <w:tab/>
        <w:t>see footnote 90</w:t>
      </w:r>
    </w:p>
  </w:footnote>
  <w:footnote w:id="94">
    <w:p w14:paraId="316C3C10" w14:textId="658565A7" w:rsidR="00F44ED4" w:rsidRPr="00323280" w:rsidRDefault="00F44ED4" w:rsidP="00F44ED4">
      <w:pPr>
        <w:pStyle w:val="FootnoteText"/>
        <w:rPr>
          <w:szCs w:val="18"/>
        </w:rPr>
      </w:pPr>
      <w:r w:rsidRPr="00323280">
        <w:rPr>
          <w:rStyle w:val="FootnoteReference"/>
          <w:szCs w:val="18"/>
        </w:rPr>
        <w:footnoteRef/>
      </w:r>
      <w:r w:rsidRPr="00323280">
        <w:rPr>
          <w:szCs w:val="18"/>
        </w:rPr>
        <w:t xml:space="preserve"> Assumption taken considering the current valid authori</w:t>
      </w:r>
      <w:r w:rsidR="00B4552E">
        <w:rPr>
          <w:szCs w:val="18"/>
        </w:rPr>
        <w:t>s</w:t>
      </w:r>
      <w:r w:rsidRPr="00323280">
        <w:rPr>
          <w:szCs w:val="18"/>
        </w:rPr>
        <w:t>ed cloud services in FedRAMP moderate and high, which amounts to 531 as of 26 September 2025.</w:t>
      </w:r>
    </w:p>
  </w:footnote>
  <w:footnote w:id="95">
    <w:p w14:paraId="5BFA43C6" w14:textId="705BF318" w:rsidR="00D659DE" w:rsidRPr="00025855" w:rsidRDefault="00D659DE">
      <w:pPr>
        <w:pStyle w:val="FootnoteText"/>
        <w:rPr>
          <w:lang w:val="fr-FR"/>
        </w:rPr>
      </w:pPr>
      <w:r>
        <w:rPr>
          <w:rStyle w:val="FootnoteReference"/>
        </w:rPr>
        <w:footnoteRef/>
      </w:r>
      <w:r w:rsidRPr="00025855">
        <w:rPr>
          <w:lang w:val="fr-FR"/>
        </w:rPr>
        <w:t xml:space="preserve"> </w:t>
      </w:r>
      <w:hyperlink r:id="rId57" w:history="1">
        <w:r w:rsidRPr="00025855">
          <w:rPr>
            <w:rStyle w:val="Hyperlink"/>
            <w:lang w:val="fr-FR"/>
          </w:rPr>
          <w:t>SWD(2025)836 final</w:t>
        </w:r>
      </w:hyperlink>
    </w:p>
  </w:footnote>
  <w:footnote w:id="96">
    <w:p w14:paraId="313F7E92" w14:textId="39D54622" w:rsidR="00E83C7E" w:rsidRPr="00546A53" w:rsidRDefault="00E83C7E">
      <w:pPr>
        <w:pStyle w:val="FootnoteText"/>
        <w:rPr>
          <w:lang w:val="fr-BE"/>
        </w:rPr>
      </w:pPr>
      <w:r>
        <w:rPr>
          <w:rStyle w:val="FootnoteReference"/>
        </w:rPr>
        <w:footnoteRef/>
      </w:r>
      <w:r w:rsidRPr="00546A53">
        <w:rPr>
          <w:lang w:val="fr-BE"/>
        </w:rPr>
        <w:t xml:space="preserve"> </w:t>
      </w:r>
      <w:hyperlink r:id="rId58" w:history="1">
        <w:r w:rsidRPr="002509F4">
          <w:rPr>
            <w:rStyle w:val="Hyperlink"/>
            <w:lang w:val="fr-BE"/>
          </w:rPr>
          <w:t>Cybersécurité : la transposition de la directive NIS 2 examinée le 11 mars au Sénat</w:t>
        </w:r>
      </w:hyperlink>
    </w:p>
  </w:footnote>
  <w:footnote w:id="97">
    <w:p w14:paraId="46431DC6" w14:textId="77777777" w:rsidR="00015693" w:rsidRPr="00323280" w:rsidRDefault="00015693" w:rsidP="00015693">
      <w:pPr>
        <w:pStyle w:val="FootnoteText"/>
        <w:rPr>
          <w:rFonts w:eastAsia="Aptos"/>
          <w:szCs w:val="18"/>
        </w:rPr>
      </w:pPr>
      <w:r w:rsidRPr="00323280">
        <w:rPr>
          <w:rStyle w:val="FootnoteReference"/>
          <w:szCs w:val="18"/>
        </w:rPr>
        <w:footnoteRef/>
      </w:r>
      <w:r w:rsidRPr="00323280">
        <w:rPr>
          <w:szCs w:val="18"/>
        </w:rPr>
        <w:t xml:space="preserve"> From Public Procurement Data Space: </w:t>
      </w:r>
      <w:hyperlink r:id="rId59">
        <w:r w:rsidRPr="00323280">
          <w:rPr>
            <w:rStyle w:val="Hyperlink"/>
            <w:szCs w:val="18"/>
          </w:rPr>
          <w:t>https://www.public-procurement-data-space.europa.eu/en</w:t>
        </w:r>
      </w:hyperlink>
      <w:r w:rsidRPr="00323280">
        <w:rPr>
          <w:szCs w:val="18"/>
        </w:rPr>
        <w:t xml:space="preserve"> </w:t>
      </w:r>
    </w:p>
  </w:footnote>
  <w:footnote w:id="98">
    <w:p w14:paraId="17DA1477" w14:textId="77777777" w:rsidR="00015693" w:rsidRPr="00323280" w:rsidRDefault="00015693" w:rsidP="00015693">
      <w:pPr>
        <w:pStyle w:val="FootnoteText"/>
        <w:rPr>
          <w:szCs w:val="18"/>
        </w:rPr>
      </w:pPr>
      <w:r w:rsidRPr="00323280">
        <w:rPr>
          <w:rStyle w:val="FootnoteReference"/>
          <w:szCs w:val="18"/>
        </w:rPr>
        <w:footnoteRef/>
      </w:r>
      <w:hyperlink r:id="rId60" w:anchor="1712822729753-2" w:history="1">
        <w:r w:rsidRPr="00323280">
          <w:rPr>
            <w:rStyle w:val="Hyperlink"/>
            <w:szCs w:val="18"/>
          </w:rPr>
          <w:t>Simpl: Cloud-to-edge federations empowering EU data spaces</w:t>
        </w:r>
      </w:hyperlink>
    </w:p>
    <w:p w14:paraId="244FE369" w14:textId="77777777" w:rsidR="00015693" w:rsidRPr="00323280" w:rsidRDefault="00015693" w:rsidP="00015693">
      <w:pPr>
        <w:pStyle w:val="FootnoteText"/>
        <w:rPr>
          <w:szCs w:val="18"/>
        </w:rPr>
      </w:pPr>
    </w:p>
  </w:footnote>
  <w:footnote w:id="99">
    <w:p w14:paraId="36F7C8E1" w14:textId="69820920" w:rsidR="004A2BF2" w:rsidRPr="00323280" w:rsidRDefault="000A1D36" w:rsidP="004A2BF2">
      <w:pPr>
        <w:pStyle w:val="FootnoteText"/>
        <w:rPr>
          <w:szCs w:val="18"/>
          <w:lang w:val="en-IE"/>
        </w:rPr>
      </w:pPr>
      <w:r w:rsidRPr="00323280">
        <w:rPr>
          <w:rStyle w:val="FootnoteReference"/>
          <w:szCs w:val="18"/>
        </w:rPr>
        <w:footnoteRef/>
      </w:r>
      <w:r w:rsidRPr="00323280">
        <w:rPr>
          <w:szCs w:val="18"/>
        </w:rPr>
        <w:t xml:space="preserve"> </w:t>
      </w:r>
      <w:r w:rsidR="007D3554" w:rsidRPr="00323280">
        <w:rPr>
          <w:szCs w:val="18"/>
        </w:rPr>
        <w:t xml:space="preserve">The second specific contract for </w:t>
      </w:r>
      <w:r w:rsidRPr="00323280">
        <w:rPr>
          <w:szCs w:val="18"/>
        </w:rPr>
        <w:t>Simpl</w:t>
      </w:r>
      <w:r w:rsidR="00C85DA8" w:rsidRPr="00323280">
        <w:rPr>
          <w:szCs w:val="18"/>
        </w:rPr>
        <w:t xml:space="preserve"> </w:t>
      </w:r>
      <w:r w:rsidR="007D3554" w:rsidRPr="00323280">
        <w:rPr>
          <w:szCs w:val="18"/>
        </w:rPr>
        <w:t xml:space="preserve">includes a technical feasibility analysis </w:t>
      </w:r>
      <w:r w:rsidR="00FC57F6" w:rsidRPr="00323280">
        <w:rPr>
          <w:szCs w:val="18"/>
        </w:rPr>
        <w:t xml:space="preserve">to assess a federation of cloud resources across </w:t>
      </w:r>
      <w:r w:rsidR="004A2BF2" w:rsidRPr="00323280">
        <w:rPr>
          <w:szCs w:val="18"/>
        </w:rPr>
        <w:t xml:space="preserve">several Member States. More information: </w:t>
      </w:r>
      <w:hyperlink r:id="rId61" w:history="1">
        <w:r w:rsidR="004A2BF2" w:rsidRPr="00323280">
          <w:rPr>
            <w:rStyle w:val="Hyperlink"/>
            <w:szCs w:val="18"/>
          </w:rPr>
          <w:t>https://ec.europa.eu/info/funding-tenders/opportunities/portal/screen/opportunities/tender-details/14888</w:t>
        </w:r>
      </w:hyperlink>
      <w:r w:rsidR="004A2BF2" w:rsidRPr="00323280">
        <w:rPr>
          <w:szCs w:val="18"/>
        </w:rPr>
        <w:t xml:space="preserve"> </w:t>
      </w:r>
    </w:p>
    <w:p w14:paraId="7B3E8E6A" w14:textId="624A4834" w:rsidR="000A1D36" w:rsidRPr="00323280" w:rsidRDefault="004A2BF2">
      <w:pPr>
        <w:pStyle w:val="FootnoteText"/>
        <w:rPr>
          <w:szCs w:val="18"/>
          <w:lang w:val="en-IE"/>
        </w:rPr>
      </w:pPr>
      <w:r w:rsidRPr="00323280">
        <w:rPr>
          <w:szCs w:val="18"/>
          <w:lang w:val="en-IE"/>
        </w:rPr>
        <w:t xml:space="preserve"> </w:t>
      </w:r>
    </w:p>
  </w:footnote>
  <w:footnote w:id="100">
    <w:p w14:paraId="7BD68782" w14:textId="77777777" w:rsidR="004E6513" w:rsidRPr="00A258CD" w:rsidRDefault="004E6513" w:rsidP="004E6513">
      <w:pPr>
        <w:pStyle w:val="FootnoteText"/>
      </w:pPr>
      <w:r>
        <w:rPr>
          <w:rStyle w:val="FootnoteReference"/>
        </w:rPr>
        <w:footnoteRef/>
      </w:r>
      <w:r>
        <w:t xml:space="preserve"> </w:t>
      </w:r>
      <w:r w:rsidRPr="00A258CD">
        <w:t>NPV refers to the net present value of benefits minus costs. Positive values indicate net benefits; negative values indicate net costs.</w:t>
      </w:r>
    </w:p>
  </w:footnote>
  <w:footnote w:id="101">
    <w:p w14:paraId="2B061148" w14:textId="77777777" w:rsidR="0017193A" w:rsidRPr="00323280" w:rsidRDefault="0017193A" w:rsidP="0017193A">
      <w:pPr>
        <w:pStyle w:val="FootnoteText"/>
        <w:rPr>
          <w:szCs w:val="18"/>
        </w:rPr>
      </w:pPr>
      <w:r w:rsidRPr="00323280">
        <w:rPr>
          <w:rStyle w:val="FootnoteReference"/>
          <w:szCs w:val="18"/>
        </w:rPr>
        <w:footnoteRef/>
      </w:r>
      <w:r w:rsidRPr="00323280">
        <w:rPr>
          <w:szCs w:val="18"/>
        </w:rPr>
        <w:t xml:space="preserve"> Jansen, S.J.T. (2011). The Multi-attribute Utility Method. In: Jansen, S., Coolen, H., Goetgeluk, R. (eds) The Measurement and Analysis of Housing Preference and Choice. Springer, Dordrecht. https://doi.org/10.1007/978-90-481-8894-9_5</w:t>
      </w:r>
    </w:p>
  </w:footnote>
  <w:footnote w:id="102">
    <w:p w14:paraId="554F3F40" w14:textId="15DB5288" w:rsidR="00B30671" w:rsidRPr="00B30671" w:rsidRDefault="00B30671" w:rsidP="00B30671">
      <w:pPr>
        <w:pStyle w:val="FootnoteText"/>
        <w:rPr>
          <w:lang w:val="en-IE"/>
        </w:rPr>
      </w:pPr>
      <w:r>
        <w:rPr>
          <w:rStyle w:val="FootnoteReference"/>
        </w:rPr>
        <w:footnoteRef/>
      </w:r>
      <w:r w:rsidRPr="00B30671">
        <w:rPr>
          <w:lang w:val="en-IE"/>
        </w:rPr>
        <w:t xml:space="preserve"> The CATI survey gathered feedback from key stakeholder groups, including public authorities, data centre operators, cloud and AI service providers, industry associations, and domain experts. Respondents were asked to assess the expected effectiveness and impact of a series of policy measures addressing two main problems: limited availability of sustainable computing capacity infrastructure in the EU, and limited availability of European cloud services including for highly critical use cases. Each measure was rated on a likert seven-point scale from strong decrease</w:t>
      </w:r>
      <w:r w:rsidR="003B669D">
        <w:rPr>
          <w:lang w:val="en-IE"/>
        </w:rPr>
        <w:t xml:space="preserve"> </w:t>
      </w:r>
      <w:r w:rsidRPr="00B30671">
        <w:rPr>
          <w:lang w:val="en-IE"/>
        </w:rPr>
        <w:t>to strong increase, complemented by ranking exercises to identify the most effective packages and instruments.</w:t>
      </w:r>
      <w:r w:rsidR="003B669D">
        <w:rPr>
          <w:lang w:val="en-IE"/>
        </w:rPr>
        <w:t xml:space="preserve"> </w:t>
      </w:r>
      <w:r w:rsidRPr="00B30671">
        <w:rPr>
          <w:lang w:val="en-IE"/>
        </w:rPr>
        <w:t>119 stakeholders (114 economic operators and 5 Public Authorities) assessed expected changes in impact areas under each policy measure using a seven-point scale (from strong decrease = -3 to strong increase = +3).</w:t>
      </w:r>
    </w:p>
  </w:footnote>
  <w:footnote w:id="103">
    <w:p w14:paraId="22D1B161" w14:textId="77777777" w:rsidR="0017193A" w:rsidRPr="00323280" w:rsidRDefault="0017193A" w:rsidP="0017193A">
      <w:pPr>
        <w:pStyle w:val="FootnoteText"/>
        <w:rPr>
          <w:szCs w:val="18"/>
          <w:lang w:val="de-DE"/>
        </w:rPr>
      </w:pPr>
      <w:r w:rsidRPr="00323280">
        <w:rPr>
          <w:rStyle w:val="FootnoteReference"/>
          <w:szCs w:val="18"/>
        </w:rPr>
        <w:footnoteRef/>
      </w:r>
      <w:r w:rsidRPr="00B30671">
        <w:rPr>
          <w:szCs w:val="18"/>
          <w:lang w:val="it-IT"/>
        </w:rPr>
        <w:t xml:space="preserve"> J. Figueira, S. Greco, M. Ehrgott. </w:t>
      </w:r>
      <w:r w:rsidRPr="00323280">
        <w:rPr>
          <w:szCs w:val="18"/>
        </w:rPr>
        <w:t xml:space="preserve">Multiple Criteria Decision Analysis State of the Art Surveys. </w:t>
      </w:r>
      <w:r w:rsidRPr="00323280">
        <w:rPr>
          <w:szCs w:val="18"/>
          <w:lang w:val="de-DE"/>
        </w:rPr>
        <w:t>Springer, Berlin (2005). 1045 pp</w:t>
      </w:r>
    </w:p>
  </w:footnote>
  <w:footnote w:id="104">
    <w:p w14:paraId="618E8EE2" w14:textId="77777777" w:rsidR="0017193A" w:rsidRPr="00323280" w:rsidRDefault="0017193A" w:rsidP="0017193A">
      <w:pPr>
        <w:pStyle w:val="FootnoteText"/>
        <w:rPr>
          <w:szCs w:val="18"/>
        </w:rPr>
      </w:pPr>
      <w:r w:rsidRPr="00323280">
        <w:rPr>
          <w:rStyle w:val="FootnoteReference"/>
          <w:szCs w:val="18"/>
        </w:rPr>
        <w:footnoteRef/>
      </w:r>
      <w:r w:rsidRPr="00323280">
        <w:rPr>
          <w:szCs w:val="18"/>
          <w:lang w:val="de-DE"/>
        </w:rPr>
        <w:t xml:space="preserve"> Uzun, B., Bwiza, R.A., Uzun Ozsahin, D. (2021). </w:t>
      </w:r>
      <w:r w:rsidRPr="00323280">
        <w:rPr>
          <w:szCs w:val="18"/>
          <w:lang w:val="fr-BE"/>
        </w:rPr>
        <w:t xml:space="preserve">ELimination Et Choix Traduisant La REalité (ELECTRE). </w:t>
      </w:r>
      <w:r w:rsidRPr="00323280">
        <w:rPr>
          <w:szCs w:val="18"/>
        </w:rPr>
        <w:t>In: Uzun Ozsahin, D., Gökçekuş, H., Uzun, B., LaMoreaux, J. (eds) Application of Multi-Criteria Decision Analysis in Environmental and Civil Engineering. Professional Practice in Earth Sciences. Springer, Cham. https://doi.org/10.1007/978-3-030-64765-0_5</w:t>
      </w:r>
    </w:p>
  </w:footnote>
  <w:footnote w:id="105">
    <w:p w14:paraId="1862FEBC" w14:textId="51DE98F9" w:rsidR="00D861AB" w:rsidRPr="00323280" w:rsidRDefault="00D861AB" w:rsidP="00D861AB">
      <w:pPr>
        <w:pStyle w:val="FootnoteText"/>
        <w:rPr>
          <w:szCs w:val="18"/>
        </w:rPr>
      </w:pPr>
      <w:r w:rsidRPr="00323280">
        <w:rPr>
          <w:rStyle w:val="FootnoteReference"/>
          <w:szCs w:val="18"/>
        </w:rPr>
        <w:footnoteRef/>
      </w:r>
      <w:r w:rsidRPr="00323280">
        <w:rPr>
          <w:szCs w:val="18"/>
        </w:rPr>
        <w:t xml:space="preserve"> SMEs account for </w:t>
      </w:r>
      <w:r w:rsidR="00C1576F" w:rsidRPr="00323280">
        <w:rPr>
          <w:szCs w:val="18"/>
        </w:rPr>
        <w:t xml:space="preserve">cloud and </w:t>
      </w:r>
      <w:r w:rsidRPr="00323280">
        <w:rPr>
          <w:szCs w:val="18"/>
        </w:rPr>
        <w:t xml:space="preserve">AI </w:t>
      </w:r>
      <w:r w:rsidR="00A24504" w:rsidRPr="00323280">
        <w:rPr>
          <w:szCs w:val="18"/>
        </w:rPr>
        <w:t xml:space="preserve">computing </w:t>
      </w:r>
      <w:r w:rsidRPr="00323280">
        <w:rPr>
          <w:szCs w:val="18"/>
        </w:rPr>
        <w:t>service providers</w:t>
      </w:r>
      <w:r w:rsidR="00C1576F" w:rsidRPr="00323280">
        <w:rPr>
          <w:szCs w:val="18"/>
        </w:rPr>
        <w:t>. D</w:t>
      </w:r>
      <w:r w:rsidRPr="00323280">
        <w:rPr>
          <w:szCs w:val="18"/>
        </w:rPr>
        <w:t>ata</w:t>
      </w:r>
      <w:r w:rsidR="00A24504" w:rsidRPr="00323280">
        <w:rPr>
          <w:szCs w:val="18"/>
        </w:rPr>
        <w:t xml:space="preserve"> </w:t>
      </w:r>
      <w:r w:rsidRPr="00323280">
        <w:rPr>
          <w:szCs w:val="18"/>
        </w:rPr>
        <w:t>centers are not included.</w:t>
      </w:r>
    </w:p>
  </w:footnote>
  <w:footnote w:id="106">
    <w:p w14:paraId="28875787" w14:textId="6B660499" w:rsidR="00EB1721" w:rsidRPr="00323280" w:rsidRDefault="00EB1721" w:rsidP="00EB1721">
      <w:pPr>
        <w:pStyle w:val="FootnoteText"/>
        <w:rPr>
          <w:szCs w:val="18"/>
        </w:rPr>
      </w:pPr>
      <w:r w:rsidRPr="00323280">
        <w:rPr>
          <w:rStyle w:val="FootnoteReference"/>
          <w:szCs w:val="18"/>
        </w:rPr>
        <w:footnoteRef/>
      </w:r>
      <w:r w:rsidRPr="00323280">
        <w:rPr>
          <w:szCs w:val="18"/>
        </w:rPr>
        <w:t xml:space="preserve"> SMEs account for </w:t>
      </w:r>
      <w:r w:rsidR="00F76D76" w:rsidRPr="00323280">
        <w:rPr>
          <w:szCs w:val="18"/>
        </w:rPr>
        <w:t xml:space="preserve">cloud and </w:t>
      </w:r>
      <w:r w:rsidRPr="00323280">
        <w:rPr>
          <w:szCs w:val="18"/>
        </w:rPr>
        <w:t xml:space="preserve">AI </w:t>
      </w:r>
      <w:r w:rsidR="00A24504" w:rsidRPr="00323280">
        <w:rPr>
          <w:szCs w:val="18"/>
        </w:rPr>
        <w:t xml:space="preserve">computing </w:t>
      </w:r>
      <w:r w:rsidRPr="00323280">
        <w:rPr>
          <w:szCs w:val="18"/>
        </w:rPr>
        <w:t>service providers</w:t>
      </w:r>
      <w:r w:rsidR="00F76D76" w:rsidRPr="00323280">
        <w:rPr>
          <w:szCs w:val="18"/>
        </w:rPr>
        <w:t>.</w:t>
      </w:r>
    </w:p>
  </w:footnote>
  <w:footnote w:id="107">
    <w:p w14:paraId="63ECACBC" w14:textId="2F6769C9" w:rsidR="00187566" w:rsidRPr="001A49D4" w:rsidRDefault="00187566">
      <w:pPr>
        <w:pStyle w:val="FootnoteText"/>
        <w:rPr>
          <w:lang w:val="en-IE"/>
        </w:rPr>
      </w:pPr>
      <w:r>
        <w:rPr>
          <w:rStyle w:val="FootnoteReference"/>
        </w:rPr>
        <w:footnoteRef/>
      </w:r>
      <w:r>
        <w:t xml:space="preserve"> </w:t>
      </w:r>
      <w:r>
        <w:rPr>
          <w:lang w:val="en-IE"/>
        </w:rPr>
        <w:t>All policy scenarios use the same grid decarbonisation trajectories</w:t>
      </w:r>
      <w:r w:rsidR="00A15DA4">
        <w:rPr>
          <w:lang w:val="en-IE"/>
        </w:rPr>
        <w:t xml:space="preserve">. Differences in emissions therefore arise exclusively from differences in compute deployment and efficiency. </w:t>
      </w:r>
    </w:p>
  </w:footnote>
  <w:footnote w:id="108">
    <w:p w14:paraId="5D5CDA0E" w14:textId="77777777" w:rsidR="00023025" w:rsidRPr="001A49D4" w:rsidRDefault="00023025" w:rsidP="00023025">
      <w:pPr>
        <w:pStyle w:val="EndnoteText"/>
        <w:rPr>
          <w:sz w:val="20"/>
          <w:szCs w:val="16"/>
        </w:rPr>
      </w:pPr>
      <w:r w:rsidRPr="001A49D4">
        <w:rPr>
          <w:rStyle w:val="FootnoteReference"/>
          <w:sz w:val="20"/>
          <w:szCs w:val="16"/>
        </w:rPr>
        <w:footnoteRef/>
      </w:r>
      <w:r w:rsidRPr="001A49D4">
        <w:rPr>
          <w:sz w:val="20"/>
          <w:szCs w:val="16"/>
        </w:rPr>
        <w:t xml:space="preserve"> EEA’s indicator shows that the GHG intensity of power generation in the EU has been falling for decades and was about 40% lower in 2024 than ten years before. See here: </w:t>
      </w:r>
      <w:hyperlink r:id="rId62" w:history="1">
        <w:r w:rsidRPr="001A49D4">
          <w:rPr>
            <w:rStyle w:val="Hyperlink"/>
            <w:sz w:val="20"/>
            <w:szCs w:val="16"/>
          </w:rPr>
          <w:t>Greenhouse gas emission intensity of electricity generation in Europe | Indicators | European Environment Agency (EEA)</w:t>
        </w:r>
      </w:hyperlink>
    </w:p>
    <w:p w14:paraId="4548AF60" w14:textId="4E264525" w:rsidR="00023025" w:rsidRPr="00CA6296" w:rsidRDefault="00023025">
      <w:pPr>
        <w:pStyle w:val="FootnoteText"/>
      </w:pPr>
    </w:p>
  </w:footnote>
  <w:footnote w:id="109">
    <w:p w14:paraId="76344243" w14:textId="77777777" w:rsidR="00981833" w:rsidRPr="0093004A" w:rsidRDefault="00981833" w:rsidP="00981833">
      <w:pPr>
        <w:pStyle w:val="FootnoteText"/>
      </w:pPr>
      <w:r>
        <w:rPr>
          <w:rStyle w:val="FootnoteReference"/>
        </w:rPr>
        <w:footnoteRef/>
      </w:r>
      <w:r>
        <w:t xml:space="preserve"> </w:t>
      </w:r>
      <w:hyperlink r:id="rId63" w:history="1">
        <w:r w:rsidRPr="0093004A">
          <w:rPr>
            <w:rStyle w:val="Hyperlink"/>
          </w:rPr>
          <w:t>European Commission, Cloud Computing</w:t>
        </w:r>
      </w:hyperlink>
    </w:p>
  </w:footnote>
  <w:footnote w:id="110">
    <w:p w14:paraId="4DDF0CB5" w14:textId="77777777" w:rsidR="00981833" w:rsidRPr="002508E1" w:rsidRDefault="00981833" w:rsidP="00981833">
      <w:pPr>
        <w:pStyle w:val="FootnoteText"/>
      </w:pPr>
      <w:r>
        <w:rPr>
          <w:rStyle w:val="FootnoteReference"/>
        </w:rPr>
        <w:footnoteRef/>
      </w:r>
      <w:r>
        <w:t xml:space="preserve"> </w:t>
      </w:r>
      <w:hyperlink r:id="rId64" w:history="1">
        <w:r w:rsidRPr="002508E1">
          <w:rPr>
            <w:rStyle w:val="Hyperlink"/>
          </w:rPr>
          <w:t>IDC</w:t>
        </w:r>
      </w:hyperlink>
    </w:p>
  </w:footnote>
  <w:footnote w:id="111">
    <w:p w14:paraId="00F76C13" w14:textId="77777777" w:rsidR="00981833" w:rsidRPr="00CA7997" w:rsidRDefault="00981833" w:rsidP="00981833">
      <w:pPr>
        <w:pStyle w:val="FootnoteText"/>
        <w:rPr>
          <w:lang w:val="en-IE"/>
        </w:rPr>
      </w:pPr>
      <w:r>
        <w:rPr>
          <w:rStyle w:val="FootnoteReference"/>
        </w:rPr>
        <w:footnoteRef/>
      </w:r>
      <w:r w:rsidRPr="00CA7997">
        <w:rPr>
          <w:lang w:val="en-IE"/>
        </w:rPr>
        <w:t xml:space="preserve"> </w:t>
      </w:r>
      <w:hyperlink r:id="rId65" w:history="1">
        <w:r w:rsidRPr="00CA7997">
          <w:rPr>
            <w:rStyle w:val="Hyperlink"/>
            <w:lang w:val="en-IE"/>
          </w:rPr>
          <w:t>Dimension market research</w:t>
        </w:r>
      </w:hyperlink>
      <w:r w:rsidRPr="00CA7997">
        <w:rPr>
          <w:lang w:val="en-IE"/>
        </w:rPr>
        <w:t xml:space="preserve"> </w:t>
      </w:r>
    </w:p>
  </w:footnote>
  <w:footnote w:id="112">
    <w:p w14:paraId="2EF9D318" w14:textId="77777777" w:rsidR="00981833" w:rsidRPr="005C28B4" w:rsidRDefault="00981833" w:rsidP="00981833">
      <w:pPr>
        <w:pStyle w:val="FootnoteText"/>
        <w:rPr>
          <w:lang w:val="en-IE"/>
        </w:rPr>
      </w:pPr>
      <w:r>
        <w:rPr>
          <w:rStyle w:val="FootnoteReference"/>
        </w:rPr>
        <w:footnoteRef/>
      </w:r>
      <w:r>
        <w:t xml:space="preserve"> See </w:t>
      </w:r>
      <w:hyperlink r:id="rId66" w:history="1">
        <w:r w:rsidRPr="005C28B4">
          <w:rPr>
            <w:rStyle w:val="Hyperlink"/>
          </w:rPr>
          <w:t>Airbus</w:t>
        </w:r>
      </w:hyperlink>
    </w:p>
  </w:footnote>
  <w:footnote w:id="113">
    <w:p w14:paraId="0B829FFE" w14:textId="77777777" w:rsidR="009E2E24" w:rsidRPr="00FD06BD" w:rsidRDefault="009E2E24" w:rsidP="009E2E24">
      <w:pPr>
        <w:pStyle w:val="FootnoteText"/>
      </w:pPr>
      <w:r>
        <w:rPr>
          <w:rStyle w:val="FootnoteReference"/>
        </w:rPr>
        <w:footnoteRef/>
      </w:r>
      <w:r>
        <w:t xml:space="preserve"> </w:t>
      </w:r>
      <w:r w:rsidRPr="00FD06BD">
        <w:t>Shares indicate the proportion of cloud spend by each customer segment captured by European providers. Projections reflect assumed growth in sovereign demand, procurement preferences in the public sector, and gradual diversification of enterprise cloud sourcing. Total EU share is weighted by segment revenues.</w:t>
      </w:r>
    </w:p>
  </w:footnote>
  <w:footnote w:id="114">
    <w:p w14:paraId="4124106B" w14:textId="77777777" w:rsidR="00981833" w:rsidRPr="00ED7EEA" w:rsidRDefault="00981833" w:rsidP="00981833">
      <w:pPr>
        <w:pStyle w:val="FootnoteText"/>
        <w:rPr>
          <w:lang w:val="en-IE"/>
        </w:rPr>
      </w:pPr>
      <w:r>
        <w:rPr>
          <w:rStyle w:val="FootnoteReference"/>
        </w:rPr>
        <w:footnoteRef/>
      </w:r>
      <w:r w:rsidRPr="00772C59">
        <w:rPr>
          <w:lang w:val="en-US"/>
        </w:rPr>
        <w:t xml:space="preserve"> </w:t>
      </w:r>
      <w:r w:rsidRPr="00ED7EEA">
        <w:rPr>
          <w:lang w:val="en-IE"/>
        </w:rPr>
        <w:t>This is in line with w</w:t>
      </w:r>
      <w:r>
        <w:rPr>
          <w:lang w:val="en-IE"/>
        </w:rPr>
        <w:t xml:space="preserve">hat several sources estimate of the cloud market share for large organisations in Europe. See for instance </w:t>
      </w:r>
      <w:hyperlink r:id="rId67" w:history="1">
        <w:r w:rsidRPr="009D3C4E">
          <w:rPr>
            <w:rStyle w:val="Hyperlink"/>
            <w:lang w:val="en-IE"/>
          </w:rPr>
          <w:t>GMInsights</w:t>
        </w:r>
      </w:hyperlink>
      <w:r>
        <w:rPr>
          <w:lang w:val="en-IE"/>
        </w:rPr>
        <w:t xml:space="preserve"> </w:t>
      </w:r>
    </w:p>
  </w:footnote>
  <w:footnote w:id="115">
    <w:p w14:paraId="608BE0A5" w14:textId="79545399" w:rsidR="00AE5D56" w:rsidRPr="00323280" w:rsidRDefault="00AE5D56">
      <w:pPr>
        <w:pStyle w:val="FootnoteText"/>
        <w:rPr>
          <w:szCs w:val="18"/>
        </w:rPr>
      </w:pPr>
      <w:r w:rsidRPr="00323280">
        <w:rPr>
          <w:rStyle w:val="FootnoteReference"/>
          <w:szCs w:val="18"/>
        </w:rPr>
        <w:footnoteRef/>
      </w:r>
      <w:r w:rsidRPr="00323280">
        <w:rPr>
          <w:szCs w:val="18"/>
        </w:rPr>
        <w:t xml:space="preserve"> When it comes to grid connection procedures, a 3 months deadline for receiving information on treatment of the connection request (i.e., the result of the permitting procedure) has been introduced by 2024 amendments to the Directive (EU) 2019/944. It also sets basic rules for third party access to electricity infrastructure in a non-discriminatory and transparent manner, applicable to all grid users, including DCs.</w:t>
      </w:r>
    </w:p>
  </w:footnote>
  <w:footnote w:id="116">
    <w:p w14:paraId="1DB215A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https://geoportalpraha.cz/en/data-and-services/articles-and-projects/uzemni-plan</w:t>
      </w:r>
    </w:p>
  </w:footnote>
  <w:footnote w:id="117">
    <w:p w14:paraId="53F5E20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https://cms.law/en/int/expert-guides/cms-expert-guide-on-real-estate-data-centre-consenting/czech-republic</w:t>
      </w:r>
    </w:p>
  </w:footnote>
  <w:footnote w:id="118">
    <w:p w14:paraId="1AEC835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https://www.czechbusinessguide.com/content-of-book-permitting-construction-permitting-processes/</w:t>
      </w:r>
    </w:p>
  </w:footnote>
  <w:footnote w:id="119">
    <w:p w14:paraId="7E76F91D"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https://www.tallinn.ee/en/ettevotjale/spatial-planning-procedures-and-timelines</w:t>
      </w:r>
    </w:p>
  </w:footnote>
  <w:footnote w:id="120">
    <w:p w14:paraId="353FD84E"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https://cms.law/en/int/expert-guides/cms-expert-guide-on-real-estate-data-centre-consenting/estonia</w:t>
      </w:r>
    </w:p>
  </w:footnote>
  <w:footnote w:id="121">
    <w:p w14:paraId="6D59EB1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Data collected through interviews</w:t>
      </w:r>
    </w:p>
  </w:footnote>
  <w:footnote w:id="122">
    <w:p w14:paraId="2D9CF1D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https://www.datacentermap.com/estonia/tallinn/datahouse@tallinn/</w:t>
      </w:r>
    </w:p>
  </w:footnote>
  <w:footnote w:id="123">
    <w:p w14:paraId="78F71507"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https://investinestonia.com/estonia-has-the-most-advanced-data-center-in-the-region/</w:t>
      </w:r>
    </w:p>
  </w:footnote>
  <w:footnote w:id="124">
    <w:p w14:paraId="39EEAFC5" w14:textId="77777777" w:rsidR="001D7C55" w:rsidRPr="00323280" w:rsidRDefault="001D7C55" w:rsidP="001D7C55">
      <w:pPr>
        <w:pStyle w:val="FootnoteText"/>
        <w:rPr>
          <w:szCs w:val="18"/>
        </w:rPr>
      </w:pPr>
      <w:r w:rsidRPr="00323280">
        <w:rPr>
          <w:rStyle w:val="FootnoteReference"/>
          <w:szCs w:val="18"/>
        </w:rPr>
        <w:footnoteRef/>
      </w:r>
      <w:r w:rsidRPr="00323280">
        <w:rPr>
          <w:rStyle w:val="FootnoteReference"/>
          <w:szCs w:val="18"/>
        </w:rPr>
        <w:footnoteRef/>
      </w:r>
      <w:r w:rsidRPr="00323280">
        <w:rPr>
          <w:rStyle w:val="FootnoteReference"/>
          <w:szCs w:val="18"/>
        </w:rPr>
        <w:footnoteRef/>
      </w:r>
      <w:r w:rsidRPr="00323280">
        <w:rPr>
          <w:szCs w:val="18"/>
        </w:rPr>
        <w:t xml:space="preserve"> https://cms.law/en/int/expert-guides/cms-expert-guide-on-real-estate-data-centre-consenting/france</w:t>
      </w:r>
    </w:p>
  </w:footnote>
  <w:footnote w:id="125">
    <w:p w14:paraId="14D9E6B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https://en.institutparisregion.fr/resources/publications/data-center-growth-and-proposals-for-regulation/</w:t>
      </w:r>
    </w:p>
  </w:footnote>
  <w:footnote w:id="126">
    <w:p w14:paraId="0674E5A2"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https://www.linkedin.com/posts/stephanieelkhoury_datacentres-energy-connection-activity-7329060095772856320-ubcp</w:t>
      </w:r>
    </w:p>
  </w:footnote>
  <w:footnote w:id="127">
    <w:p w14:paraId="4D9A2196"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https://en.institutparisregion.fr/fileadmin/NewEtudes/000pack4/Etude_3025/Etude-DataCenter-english_2023_VF.pdf</w:t>
      </w:r>
    </w:p>
  </w:footnote>
  <w:footnote w:id="128">
    <w:p w14:paraId="2D075800"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https://www.edf.fr/sites/groupe/files/epresspack/9635/PR-Data-center-Vdef-1.pdf</w:t>
      </w:r>
    </w:p>
  </w:footnote>
  <w:footnote w:id="129">
    <w:p w14:paraId="0DC7D00B"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https://frankfurt.de/english/service-and-city-hall/service-and-administration/municipal-offices/city-planning-department/construction-advisory-services</w:t>
      </w:r>
    </w:p>
  </w:footnote>
  <w:footnote w:id="130">
    <w:p w14:paraId="4584F9E2"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https://www.germandatacenters.com/en/news-en/detail/figures-of-the-month-data-center-ecosystem-germany-may-2025/</w:t>
      </w:r>
    </w:p>
  </w:footnote>
  <w:footnote w:id="131">
    <w:p w14:paraId="19731C4F"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https://www.lw.com/en/insights/energy-infrastructure-insights-data-centres-in-frankfurt-a-city-fit-for-the-future</w:t>
      </w:r>
    </w:p>
  </w:footnote>
  <w:footnote w:id="132">
    <w:p w14:paraId="7011C7EE"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https://www.dlapiper.com/en/insights/publications/real-estate-gazette/real-estate-gazette-infrastructure/power-grid-connections-for-data-centers-in-germany</w:t>
      </w:r>
    </w:p>
  </w:footnote>
  <w:footnote w:id="133">
    <w:p w14:paraId="752FEF5E"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https://en.mitos.gov.gr/index.php/%CE%94%CE%94:Issue_of_Building_Permits_(e-adeies)</w:t>
      </w:r>
    </w:p>
  </w:footnote>
  <w:footnote w:id="134">
    <w:p w14:paraId="4AFED75E"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https://inconde.com/building-permits-in-greece/</w:t>
      </w:r>
    </w:p>
  </w:footnote>
  <w:footnote w:id="135">
    <w:p w14:paraId="2D99127B"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https://en.mitos.gov.gr/index.php/%CE%94%CE%94:Issue_of_Building_Permits_(e-adeies)</w:t>
      </w:r>
    </w:p>
  </w:footnote>
  <w:footnote w:id="136">
    <w:p w14:paraId="6466D0A6"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https://consult.fingal.ie/en/system/files/materials/22444/26992/BMC%20Vantage%20FCC%20Dev%20Plan.pdf</w:t>
      </w:r>
    </w:p>
  </w:footnote>
  <w:footnote w:id="137">
    <w:p w14:paraId="575F5395"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https://www.dublincity.ie/residential/planning/planning-applications/make-planning-application/planning-process-application/planning-application-timelines</w:t>
      </w:r>
    </w:p>
  </w:footnote>
  <w:footnote w:id="138">
    <w:p w14:paraId="7F166ED1"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https://www.dublincity.ie/residential/planning/planning-applications/make-planning-application/planning-process-application/about-planning-process-application</w:t>
      </w:r>
    </w:p>
  </w:footnote>
  <w:footnote w:id="139">
    <w:p w14:paraId="1AA63327"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https://www.mhc.ie/latest/insights/permitting-irish-data-centres-what-you-need-to-know-1</w:t>
      </w:r>
    </w:p>
  </w:footnote>
  <w:footnote w:id="140">
    <w:p w14:paraId="75050FF2"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https://www.dublincity.ie/residential/planning/building-control/about-building-control</w:t>
      </w:r>
    </w:p>
  </w:footnote>
  <w:footnote w:id="141">
    <w:p w14:paraId="5E419A4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https://www.rte.ie/news/business/2022/0116/1273819-data-centres-eirgrid/</w:t>
      </w:r>
    </w:p>
  </w:footnote>
  <w:footnote w:id="142">
    <w:p w14:paraId="15C81D83"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https://www.capacitymedia.com/article/29ot42ikril15nn8s4c2t/news/new-data-centres-in-dublin-face-power-connection-delay</w:t>
      </w:r>
    </w:p>
  </w:footnote>
  <w:footnote w:id="143">
    <w:p w14:paraId="3920F94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https://www.bisnow.com/dublin/news/data-center/regulator-opens-up-possible-data-centre-pathway-amid-fears-dublin-has-been-left-behind-129587</w:t>
      </w:r>
    </w:p>
  </w:footnote>
  <w:footnote w:id="144">
    <w:p w14:paraId="410774E7"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https://www.assoimmobiliare.it/wp-content/uploads/2024/03/Colliers_Data-Center-Snapshot-2024_Italy__.pdf</w:t>
      </w:r>
    </w:p>
  </w:footnote>
  <w:footnote w:id="145">
    <w:p w14:paraId="561C9B8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https://datacentrenews.uk/story/virtus-announces-new-data-centre-plans-for-milan-italy</w:t>
      </w:r>
    </w:p>
  </w:footnote>
  <w:footnote w:id="146">
    <w:p w14:paraId="2287938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https://www.cliffordchance.com/content/dam/cliffordchance/briefings/2025/05/data-centres-in-italy.pdf</w:t>
      </w:r>
    </w:p>
  </w:footnote>
  <w:footnote w:id="147">
    <w:p w14:paraId="4633D486"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https://cms.law/en/int/expert-guides/cms-expert-guide-on-real-estate-data-centre-consenting/italy</w:t>
      </w:r>
    </w:p>
  </w:footnote>
  <w:footnote w:id="148">
    <w:p w14:paraId="4D6CE5C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https://www.stibbe.com/publications-and-insights/increasing-control-of-data-centre-locations</w:t>
      </w:r>
    </w:p>
  </w:footnote>
  <w:footnote w:id="149">
    <w:p w14:paraId="65B7FFF9"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https://cms.law/en/int/expert-guides/cms-expert-guide-on-real-estate-data-centre-consenting/netherlands</w:t>
      </w:r>
    </w:p>
  </w:footnote>
  <w:footnote w:id="150">
    <w:p w14:paraId="5EE3D6E3"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https://cms-lawnow.com/en/ealerts/2022/11/netherlands-prohibits-creating-hyperscale-data-centres-until-national-guidelines-are-passed</w:t>
      </w:r>
    </w:p>
  </w:footnote>
  <w:footnote w:id="151">
    <w:p w14:paraId="65B79DB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https://openresearch.amsterdam/image/2020/4/30/the_governance_of_land_use_amsterdam_2017.pdf</w:t>
      </w:r>
    </w:p>
  </w:footnote>
  <w:footnote w:id="152">
    <w:p w14:paraId="502ACB8D"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https://www.haskoning.com/en/newsroom/blogs/2023/navigating-dutch-data-centre-challenges-and-opportunities</w:t>
      </w:r>
    </w:p>
  </w:footnote>
  <w:footnote w:id="153">
    <w:p w14:paraId="14CFB80B"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https://www.portofamsterdam.com/sites/default/files/2020-06/guide-permit-application.pdf</w:t>
      </w:r>
    </w:p>
  </w:footnote>
  <w:footnote w:id="154">
    <w:p w14:paraId="7FD42CF9"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https://cms.law/en/int/expert-guides/cms-expert-guide-on-real-estate-data-centre-consenting/poland</w:t>
      </w:r>
    </w:p>
  </w:footnote>
  <w:footnote w:id="155">
    <w:p w14:paraId="09CE486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https://www.legal500.com/developments/thought-leadership/a-planning-permit-can-be-obtained-in-poland-if-land-to-be-developed-is-located-within-a-development-zone/</w:t>
      </w:r>
    </w:p>
  </w:footnote>
  <w:footnote w:id="156">
    <w:p w14:paraId="49BBE896"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https://dwfgroup.com/en/news-and-insights/insights/2024/9/general-zoning-plan-for-warsaw</w:t>
      </w:r>
    </w:p>
  </w:footnote>
  <w:footnote w:id="157">
    <w:p w14:paraId="48D6AE8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https://consultant.net.pl/en/consultant-article/how-to-obtain-a-building-permit-in-poland-1</w:t>
      </w:r>
    </w:p>
  </w:footnote>
  <w:footnote w:id="158">
    <w:p w14:paraId="6EF2BB1F"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https://www.gtlaw.com/en/insights/2024/4/data-centres-in-poland-planning-and-electricity</w:t>
      </w:r>
    </w:p>
  </w:footnote>
  <w:footnote w:id="159">
    <w:p w14:paraId="7101900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https://natlawreview.com/article/data-centres-poland-planning-and-electricity</w:t>
      </w:r>
    </w:p>
  </w:footnote>
  <w:footnote w:id="160">
    <w:p w14:paraId="63FFD28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https://www.businessforum.ro/real-estate/20241129/investors-in-data-centers-enter-race-for-land-plots-in-romania-1111</w:t>
      </w:r>
    </w:p>
  </w:footnote>
  <w:footnote w:id="161">
    <w:p w14:paraId="683C91D5"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https://www.property-forum.eu/news/data-center-investors-enter-race-for-land-plots-in-romania/19253</w:t>
      </w:r>
    </w:p>
  </w:footnote>
  <w:footnote w:id="162">
    <w:p w14:paraId="76B37DD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https://www.arl-international.com/sites/default/files/2023-11/Fact%20sheet%20for%20planning%20levels_local_Zonal%20Plan.pdf</w:t>
      </w:r>
    </w:p>
  </w:footnote>
  <w:footnote w:id="163">
    <w:p w14:paraId="5EEF2BF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https://cms-lawnow.com/en/ealerts/2022/08/bucharest-tribunal-rules-against-the-city-s-main-zoning-plan</w:t>
      </w:r>
    </w:p>
  </w:footnote>
  <w:footnote w:id="164">
    <w:p w14:paraId="1876AFF9"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https://buildecon.blog/2025/03/20/bucharests-drop-in-residential-permit-and-completion/</w:t>
      </w:r>
    </w:p>
  </w:footnote>
  <w:footnote w:id="165">
    <w:p w14:paraId="1C49A5FF"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https://www.cristinatudor.ro/en/post/unlocking-romania-s-building-permit-process-your-gateway-to-successful-construction-projects</w:t>
      </w:r>
    </w:p>
  </w:footnote>
  <w:footnote w:id="166">
    <w:p w14:paraId="5071E680"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https://www.nglsymbio.com/wp-content/uploads/construction-permits-in-cee-practical-guide-1.pdf</w:t>
      </w:r>
    </w:p>
  </w:footnote>
  <w:footnote w:id="167">
    <w:p w14:paraId="3CA4A58D"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https://horizons.legal/wp-content/uploads/2025/02/CONSTRUCTION-PERMITS-IN-CEE-01-25-1.pdf</w:t>
      </w:r>
    </w:p>
  </w:footnote>
  <w:footnote w:id="168">
    <w:p w14:paraId="136FDF07"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https://www.pv-magazine.com/2025/06/16/romania-updates-grid-connection-rules/</w:t>
      </w:r>
    </w:p>
  </w:footnote>
  <w:footnote w:id="169">
    <w:p w14:paraId="45CBC9FD"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CMS. (2025). Expert Guide on Real Estate Data Centre Consenting: Spain. Retrieved June 17, 2025, from https://cms.law/en/int/expert-guides/cms-expert-guide-on-real-estate-data-centre-consenting/spain</w:t>
      </w:r>
    </w:p>
  </w:footnote>
  <w:footnote w:id="170">
    <w:p w14:paraId="3610BC76" w14:textId="77777777" w:rsidR="001D7C55" w:rsidRPr="00323280" w:rsidRDefault="001D7C55" w:rsidP="001D7C55">
      <w:pPr>
        <w:pStyle w:val="FootnoteText"/>
        <w:rPr>
          <w:szCs w:val="18"/>
        </w:rPr>
      </w:pPr>
      <w:r w:rsidRPr="00323280">
        <w:rPr>
          <w:rStyle w:val="FootnoteReference"/>
          <w:szCs w:val="18"/>
        </w:rPr>
        <w:footnoteRef/>
      </w:r>
      <w:r w:rsidRPr="00323280">
        <w:rPr>
          <w:szCs w:val="18"/>
          <w:lang w:val="es-ES"/>
        </w:rPr>
        <w:t xml:space="preserve"> Aeclu. (n.d.). Cuánto tarda la licencia de primera ocupación en Madrid. </w:t>
      </w:r>
      <w:r w:rsidRPr="00323280">
        <w:rPr>
          <w:szCs w:val="18"/>
        </w:rPr>
        <w:t>Retrieved June 17, 2025, from https://www.aeclu.com/blog/noticias/cuanto-tarda-la-licencia-de-primera-ocupacion-en-madrid/</w:t>
      </w:r>
    </w:p>
  </w:footnote>
  <w:footnote w:id="171">
    <w:p w14:paraId="3B1AD4A2" w14:textId="77777777" w:rsidR="001D7C55" w:rsidRPr="00323280" w:rsidRDefault="001D7C55" w:rsidP="001D7C55">
      <w:pPr>
        <w:pStyle w:val="FootnoteText"/>
        <w:rPr>
          <w:szCs w:val="18"/>
        </w:rPr>
      </w:pPr>
      <w:r w:rsidRPr="00323280">
        <w:rPr>
          <w:rStyle w:val="FootnoteReference"/>
          <w:szCs w:val="18"/>
        </w:rPr>
        <w:footnoteRef/>
      </w:r>
      <w:r w:rsidRPr="00323280">
        <w:rPr>
          <w:szCs w:val="18"/>
          <w:lang w:val="es-ES"/>
        </w:rPr>
        <w:t xml:space="preserve"> Madrid Licencias. (n.d.). ¿Cuánto tarda una licencia de apertura y actividad? </w:t>
      </w:r>
      <w:r w:rsidRPr="00323280">
        <w:rPr>
          <w:szCs w:val="18"/>
        </w:rPr>
        <w:t>Retrieved June 17, 2025, from https://www.madridlicencias.com/blog/cuanto-tarda-una-licencia-de-apertura-y-actividad/</w:t>
      </w:r>
    </w:p>
  </w:footnote>
  <w:footnote w:id="172">
    <w:p w14:paraId="0F5C158F" w14:textId="77777777" w:rsidR="001D7C55" w:rsidRPr="00323280" w:rsidRDefault="001D7C55" w:rsidP="001D7C55">
      <w:pPr>
        <w:pStyle w:val="FootnoteText"/>
        <w:rPr>
          <w:szCs w:val="18"/>
        </w:rPr>
      </w:pPr>
      <w:r w:rsidRPr="00323280">
        <w:rPr>
          <w:rStyle w:val="FootnoteReference"/>
          <w:szCs w:val="18"/>
        </w:rPr>
        <w:footnoteRef/>
      </w:r>
      <w:r w:rsidRPr="00323280">
        <w:rPr>
          <w:szCs w:val="18"/>
          <w:lang w:val="es-ES"/>
        </w:rPr>
        <w:t xml:space="preserve"> Strategic Energy Europe. (n.d.). Spain DC: Centros de datos y renovables. </w:t>
      </w:r>
      <w:r w:rsidRPr="00323280">
        <w:rPr>
          <w:szCs w:val="18"/>
        </w:rPr>
        <w:t>Retrieved June 17, 2025, from https://strategicenergy.eu/spain-dc-centros-de-datos-y-renovables/</w:t>
      </w:r>
    </w:p>
  </w:footnote>
  <w:footnote w:id="173">
    <w:p w14:paraId="5AB3C618"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Montel News. (2024, March 21). Spain power demand may get 3 GW boost from data centres. Retrieved June 17, 2025, from https://montelnews.com/news/db842f28-b5f8-4c75-b914-cfd2792d219a/spain-power-demand-may-get-3-gw-boost-from-data-centres</w:t>
      </w:r>
    </w:p>
  </w:footnote>
  <w:footnote w:id="174">
    <w:p w14:paraId="3DC37AEF"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CMS. (2025). Expert Guide on Real Estate Data Centre Consenting: Sweden. Retrieved June 17, 2025, from https://cms.law/en/int/expert-guides/cms-expert-guide-on-real-estate-data-centre-consenting/sweden</w:t>
      </w:r>
    </w:p>
  </w:footnote>
  <w:footnote w:id="175">
    <w:p w14:paraId="0F4FF21A"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City of Stockholm. (n.d.). Building permits in English. https://bygglov.stockholm/in-english/</w:t>
      </w:r>
    </w:p>
  </w:footnote>
  <w:footnote w:id="176">
    <w:p w14:paraId="244DB5A4" w14:textId="77777777" w:rsidR="001D7C55" w:rsidRPr="00323280" w:rsidRDefault="001D7C55" w:rsidP="001D7C55">
      <w:pPr>
        <w:pStyle w:val="FootnoteText"/>
        <w:rPr>
          <w:szCs w:val="18"/>
        </w:rPr>
      </w:pPr>
      <w:r w:rsidRPr="00323280">
        <w:rPr>
          <w:rStyle w:val="FootnoteReference"/>
          <w:szCs w:val="18"/>
        </w:rPr>
        <w:footnoteRef/>
      </w:r>
      <w:r w:rsidRPr="00323280">
        <w:rPr>
          <w:szCs w:val="18"/>
        </w:rPr>
        <w:t xml:space="preserve"> Node Pole. (n.d.). Node Pole Report (Sweden). https://8866495.fs1.hubspotusercontent-na1.net/hubfs/8866495/Node%20Pole%20Report%20(Sweden)%20-%20FINAL.pdf</w:t>
      </w:r>
    </w:p>
  </w:footnote>
  <w:footnote w:id="177">
    <w:p w14:paraId="01391DC5" w14:textId="77777777" w:rsidR="001D7C55" w:rsidRPr="00323280" w:rsidRDefault="001D7C55" w:rsidP="001D7C55">
      <w:pPr>
        <w:pStyle w:val="FootnoteText"/>
        <w:rPr>
          <w:szCs w:val="18"/>
          <w:lang w:val="es-ES"/>
        </w:rPr>
      </w:pPr>
      <w:r w:rsidRPr="00323280">
        <w:rPr>
          <w:rStyle w:val="FootnoteReference"/>
          <w:szCs w:val="18"/>
        </w:rPr>
        <w:footnoteRef/>
      </w:r>
      <w:r w:rsidRPr="00323280">
        <w:rPr>
          <w:szCs w:val="18"/>
        </w:rPr>
        <w:t xml:space="preserve"> Rigord, N. (2024). EIA effectiveness in Sweden: a Stockholm case-study [Master's thesis, KTH Royal Institute of Technology]. </w:t>
      </w:r>
      <w:r w:rsidRPr="00323280">
        <w:rPr>
          <w:szCs w:val="18"/>
          <w:lang w:val="es-ES"/>
        </w:rPr>
        <w:t>DiVA Portal. http://www.diva-portal.org/smash/get/diva2:1898845/FULLTEXT01.pdf</w:t>
      </w:r>
    </w:p>
  </w:footnote>
  <w:footnote w:id="178">
    <w:p w14:paraId="162B4F72" w14:textId="6342FA57" w:rsidR="00CB39DC" w:rsidRPr="00323280" w:rsidRDefault="00CB39DC" w:rsidP="008D1781">
      <w:pPr>
        <w:pStyle w:val="FootnoteText"/>
        <w:jc w:val="left"/>
        <w:rPr>
          <w:szCs w:val="18"/>
          <w:lang w:val="es-ES"/>
        </w:rPr>
      </w:pPr>
      <w:r w:rsidRPr="00323280">
        <w:rPr>
          <w:rStyle w:val="FootnoteReference"/>
          <w:szCs w:val="18"/>
        </w:rPr>
        <w:footnoteRef/>
      </w:r>
      <w:r w:rsidRPr="00323280">
        <w:rPr>
          <w:szCs w:val="18"/>
          <w:lang w:val="es-ES"/>
        </w:rPr>
        <w:t xml:space="preserve"> https://ec.europa.eu/docsroom/documents/63274</w:t>
      </w:r>
      <w:r w:rsidR="31E94EFE" w:rsidRPr="00323280">
        <w:rPr>
          <w:szCs w:val="18"/>
          <w:lang w:val="es-ES"/>
        </w:rPr>
        <w:t>.</w:t>
      </w:r>
    </w:p>
  </w:footnote>
  <w:footnote w:id="179">
    <w:p w14:paraId="6B30E744" w14:textId="7E941283" w:rsidR="00936944" w:rsidRPr="00323280" w:rsidRDefault="00936944">
      <w:pPr>
        <w:pStyle w:val="FootnoteText"/>
        <w:rPr>
          <w:szCs w:val="18"/>
          <w:lang w:val="en-IE"/>
        </w:rPr>
      </w:pPr>
      <w:r w:rsidRPr="00323280">
        <w:rPr>
          <w:rStyle w:val="FootnoteReference"/>
          <w:szCs w:val="18"/>
        </w:rPr>
        <w:footnoteRef/>
      </w:r>
      <w:r w:rsidRPr="00323280">
        <w:rPr>
          <w:szCs w:val="18"/>
        </w:rPr>
        <w:t xml:space="preserve"> </w:t>
      </w:r>
      <w:r w:rsidRPr="00323280">
        <w:rPr>
          <w:szCs w:val="18"/>
          <w:lang w:val="en-IE"/>
        </w:rPr>
        <w:t>Technopolis et al. (2025), “Study: cloud and AI”</w:t>
      </w:r>
    </w:p>
  </w:footnote>
  <w:footnote w:id="180">
    <w:p w14:paraId="3A7E106C" w14:textId="2A0EAFD8" w:rsidR="00D00AA7" w:rsidRPr="00323280" w:rsidRDefault="00D00AA7" w:rsidP="00D00AA7">
      <w:pPr>
        <w:pStyle w:val="FootnoteText"/>
        <w:rPr>
          <w:szCs w:val="18"/>
        </w:rPr>
      </w:pPr>
      <w:r w:rsidRPr="00323280">
        <w:rPr>
          <w:rStyle w:val="FootnoteReference"/>
          <w:szCs w:val="18"/>
        </w:rPr>
        <w:footnoteRef/>
      </w:r>
      <w:r w:rsidRPr="00323280">
        <w:rPr>
          <w:szCs w:val="18"/>
        </w:rPr>
        <w:t xml:space="preserve"> The mapping carried out by </w:t>
      </w:r>
      <w:r w:rsidR="004037C8" w:rsidRPr="00323280">
        <w:rPr>
          <w:szCs w:val="18"/>
          <w:lang w:val="en-IE"/>
        </w:rPr>
        <w:t xml:space="preserve">Technopolis et al. (2025), “Study: Cloud and AI” </w:t>
      </w:r>
      <w:r w:rsidRPr="00323280">
        <w:rPr>
          <w:szCs w:val="18"/>
        </w:rPr>
        <w:t>included a manual search cross checked and complemented by existing market reports, entities participating in the Alliance for industrial data, edge and cloud, and MS reports (e.g. qualified entities by SecNumCloud).</w:t>
      </w:r>
    </w:p>
  </w:footnote>
  <w:footnote w:id="181">
    <w:p w14:paraId="1148C200" w14:textId="77777777" w:rsidR="00D00AA7" w:rsidRPr="00323280" w:rsidRDefault="00D00AA7" w:rsidP="00D00AA7">
      <w:pPr>
        <w:pStyle w:val="FootnoteText"/>
        <w:rPr>
          <w:szCs w:val="18"/>
        </w:rPr>
      </w:pPr>
      <w:r w:rsidRPr="00323280">
        <w:rPr>
          <w:rStyle w:val="FootnoteReference"/>
          <w:szCs w:val="18"/>
        </w:rPr>
        <w:footnoteRef/>
      </w:r>
      <w:r w:rsidRPr="00323280">
        <w:rPr>
          <w:szCs w:val="18"/>
        </w:rPr>
        <w:t xml:space="preserve"> In contrast, the study identified 59 large cloud service providers headquartered in the EU.</w:t>
      </w:r>
    </w:p>
  </w:footnote>
  <w:footnote w:id="182">
    <w:p w14:paraId="2F472768" w14:textId="57DF40E0" w:rsidR="00D00AA7" w:rsidRPr="00323280" w:rsidRDefault="00D00AA7" w:rsidP="00D00AA7">
      <w:pPr>
        <w:pStyle w:val="FootnoteText"/>
        <w:rPr>
          <w:szCs w:val="18"/>
        </w:rPr>
      </w:pPr>
      <w:r w:rsidRPr="00323280">
        <w:rPr>
          <w:rStyle w:val="FootnoteReference"/>
          <w:szCs w:val="18"/>
        </w:rPr>
        <w:footnoteRef/>
      </w:r>
      <w:r w:rsidRPr="00323280">
        <w:rPr>
          <w:szCs w:val="18"/>
        </w:rPr>
        <w:t xml:space="preserve"> According to </w:t>
      </w:r>
      <w:hyperlink r:id="rId68" w:history="1">
        <w:r w:rsidRPr="00323280">
          <w:rPr>
            <w:rStyle w:val="Hyperlink"/>
            <w:szCs w:val="18"/>
          </w:rPr>
          <w:t>Eurostat</w:t>
        </w:r>
      </w:hyperlink>
      <w:r w:rsidRPr="00323280">
        <w:rPr>
          <w:szCs w:val="18"/>
        </w:rPr>
        <w:t xml:space="preserve">, there are closed to 1.3 </w:t>
      </w:r>
      <w:r w:rsidR="007F4FAE">
        <w:rPr>
          <w:szCs w:val="18"/>
        </w:rPr>
        <w:t>bn</w:t>
      </w:r>
      <w:r w:rsidRPr="00323280">
        <w:rPr>
          <w:szCs w:val="18"/>
        </w:rPr>
        <w:t xml:space="preserve"> ICT companies, divided as follows: 1.2 </w:t>
      </w:r>
      <w:r w:rsidR="007F4FAE">
        <w:rPr>
          <w:szCs w:val="18"/>
        </w:rPr>
        <w:t>bn</w:t>
      </w:r>
      <w:r w:rsidRPr="00323280">
        <w:rPr>
          <w:szCs w:val="18"/>
        </w:rPr>
        <w:t xml:space="preserve">  are micro, 53,000 are of small size and 12,000 are of midsize. For this domain, only small and </w:t>
      </w:r>
      <w:r w:rsidR="00121512" w:rsidRPr="00323280">
        <w:rPr>
          <w:szCs w:val="18"/>
        </w:rPr>
        <w:t>midsized</w:t>
      </w:r>
      <w:r w:rsidRPr="00323280">
        <w:rPr>
          <w:szCs w:val="18"/>
        </w:rPr>
        <w:t xml:space="preserve"> companies have been taken into consideration.</w:t>
      </w:r>
    </w:p>
  </w:footnote>
  <w:footnote w:id="183">
    <w:p w14:paraId="57BF9D77" w14:textId="23B5D9A9" w:rsidR="00D00AA7" w:rsidRPr="00323280" w:rsidRDefault="00D00AA7" w:rsidP="00D00AA7">
      <w:pPr>
        <w:pStyle w:val="FootnoteText"/>
        <w:rPr>
          <w:szCs w:val="18"/>
        </w:rPr>
      </w:pPr>
      <w:r w:rsidRPr="00323280">
        <w:rPr>
          <w:rStyle w:val="FootnoteReference"/>
          <w:szCs w:val="18"/>
        </w:rPr>
        <w:footnoteRef/>
      </w:r>
      <w:r w:rsidRPr="00323280">
        <w:rPr>
          <w:szCs w:val="18"/>
        </w:rPr>
        <w:t xml:space="preserve"> </w:t>
      </w:r>
      <w:hyperlink r:id="rId69" w:history="1">
        <w:r w:rsidRPr="00323280">
          <w:rPr>
            <w:rStyle w:val="Hyperlink"/>
            <w:szCs w:val="18"/>
          </w:rPr>
          <w:t>SME Performance Review - Internal Market, Industry, Entrepreneurship and SMEs</w:t>
        </w:r>
      </w:hyperlink>
      <w:r w:rsidRPr="00323280">
        <w:rPr>
          <w:szCs w:val="18"/>
        </w:rPr>
        <w:t xml:space="preserve"> estimates the existence of 26 </w:t>
      </w:r>
      <w:r w:rsidR="007F4FAE">
        <w:rPr>
          <w:szCs w:val="18"/>
        </w:rPr>
        <w:t>bn</w:t>
      </w:r>
      <w:r w:rsidRPr="00323280">
        <w:rPr>
          <w:szCs w:val="18"/>
        </w:rPr>
        <w:t xml:space="preserve"> SMEs, out of which more than 24.5 </w:t>
      </w:r>
      <w:r w:rsidR="007F4FAE">
        <w:rPr>
          <w:szCs w:val="18"/>
        </w:rPr>
        <w:t>bn</w:t>
      </w:r>
      <w:r w:rsidRPr="00323280">
        <w:rPr>
          <w:szCs w:val="18"/>
        </w:rPr>
        <w:t xml:space="preserve"> are considered micro.</w:t>
      </w:r>
    </w:p>
  </w:footnote>
  <w:footnote w:id="184">
    <w:p w14:paraId="16937EBD" w14:textId="77777777" w:rsidR="00CB39DC" w:rsidRPr="00323280" w:rsidRDefault="00CB39DC" w:rsidP="00B10F56">
      <w:pPr>
        <w:pStyle w:val="FootnoteText"/>
        <w:jc w:val="left"/>
        <w:rPr>
          <w:szCs w:val="18"/>
        </w:rPr>
      </w:pPr>
      <w:r w:rsidRPr="00323280">
        <w:rPr>
          <w:rStyle w:val="FootnoteReference"/>
          <w:szCs w:val="18"/>
        </w:rPr>
        <w:footnoteRef/>
      </w:r>
      <w:r w:rsidRPr="00323280">
        <w:rPr>
          <w:szCs w:val="18"/>
        </w:rPr>
        <w:t xml:space="preserve"> The costs and benefits data in this annex are consistent with the data in annex 3. The preferred option includes the mitigating measures listed in section 4. </w:t>
      </w:r>
    </w:p>
  </w:footnote>
  <w:footnote w:id="185">
    <w:p w14:paraId="3371E696" w14:textId="77777777" w:rsidR="00CB39DC" w:rsidRPr="00323280" w:rsidRDefault="00CB39DC" w:rsidP="00B10F56">
      <w:pPr>
        <w:pStyle w:val="FootnoteText"/>
        <w:jc w:val="left"/>
        <w:rPr>
          <w:szCs w:val="18"/>
        </w:rPr>
      </w:pPr>
      <w:r w:rsidRPr="00323280">
        <w:rPr>
          <w:rStyle w:val="FootnoteReference"/>
          <w:szCs w:val="18"/>
        </w:rPr>
        <w:footnoteRef/>
      </w:r>
      <w:r w:rsidRPr="00323280">
        <w:rPr>
          <w:szCs w:val="18"/>
        </w:rPr>
        <w:t xml:space="preserve"> The direct benefits for SMEs can also be cost savings.</w:t>
      </w:r>
    </w:p>
  </w:footnote>
  <w:footnote w:id="186">
    <w:p w14:paraId="203C4297" w14:textId="3013E703" w:rsidR="00242769" w:rsidRPr="00323280" w:rsidRDefault="00242769">
      <w:pPr>
        <w:pStyle w:val="FootnoteText"/>
        <w:rPr>
          <w:szCs w:val="18"/>
        </w:rPr>
      </w:pPr>
      <w:r w:rsidRPr="00323280">
        <w:rPr>
          <w:rStyle w:val="FootnoteReference"/>
          <w:szCs w:val="18"/>
        </w:rPr>
        <w:footnoteRef/>
      </w:r>
      <w:r w:rsidRPr="00323280">
        <w:rPr>
          <w:szCs w:val="18"/>
        </w:rPr>
        <w:t xml:space="preserve"> The adoption of AI and cloud technologies by SMEs can significantly boost economic performance. Some university studies indicate that AI adoption can increase revenue by up to 91% for SMEs, with operational costs potentially reduced by up to 30% and time savings exceeding 20 hours per month </w:t>
      </w:r>
      <w:hyperlink r:id="rId70" w:tgtFrame="_blank" w:history="1">
        <w:r w:rsidRPr="00323280">
          <w:rPr>
            <w:rStyle w:val="Hyperlink"/>
            <w:szCs w:val="18"/>
          </w:rPr>
          <w:t>arXiv</w:t>
        </w:r>
      </w:hyperlink>
      <w:r w:rsidRPr="00323280">
        <w:rPr>
          <w:szCs w:val="18"/>
        </w:rPr>
        <w:t>.</w:t>
      </w:r>
    </w:p>
  </w:footnote>
  <w:footnote w:id="187">
    <w:p w14:paraId="2B82F520" w14:textId="7C3DA717" w:rsidR="00242769" w:rsidRPr="00323280" w:rsidRDefault="00242769">
      <w:pPr>
        <w:pStyle w:val="FootnoteText"/>
        <w:rPr>
          <w:szCs w:val="18"/>
        </w:rPr>
      </w:pPr>
      <w:r w:rsidRPr="00323280">
        <w:rPr>
          <w:rStyle w:val="FootnoteReference"/>
          <w:szCs w:val="18"/>
        </w:rPr>
        <w:footnoteRef/>
      </w:r>
      <w:r w:rsidRPr="00323280">
        <w:rPr>
          <w:szCs w:val="18"/>
        </w:rPr>
        <w:t xml:space="preserve"> Trusted cloud and AI adoption empowers SMEs across sectors: in manufacturing, AI improves operations and competitiveness (</w:t>
      </w:r>
      <w:hyperlink r:id="rId71" w:tgtFrame="_new" w:history="1">
        <w:r w:rsidRPr="00323280">
          <w:rPr>
            <w:rStyle w:val="Hyperlink"/>
            <w:szCs w:val="18"/>
          </w:rPr>
          <w:t>ScienceDirect</w:t>
        </w:r>
      </w:hyperlink>
      <w:r w:rsidRPr="00323280">
        <w:rPr>
          <w:szCs w:val="18"/>
        </w:rPr>
        <w:t>); in healthcare, cloud solutions enhance patient experiences and administrative efficiency (</w:t>
      </w:r>
      <w:hyperlink r:id="rId72" w:tgtFrame="_new" w:history="1">
        <w:r w:rsidRPr="00323280">
          <w:rPr>
            <w:rStyle w:val="Hyperlink"/>
            <w:szCs w:val="18"/>
          </w:rPr>
          <w:t>ACE Cloud Hosting</w:t>
        </w:r>
      </w:hyperlink>
      <w:r w:rsidRPr="00323280">
        <w:rPr>
          <w:szCs w:val="18"/>
        </w:rPr>
        <w:t>); and in fintech, AI tools support revenue forecasting, risk modelling, and financial decision-making (</w:t>
      </w:r>
      <w:hyperlink r:id="rId73" w:tgtFrame="_new" w:history="1">
        <w:r w:rsidRPr="00323280">
          <w:rPr>
            <w:rStyle w:val="Hyperlink"/>
            <w:szCs w:val="18"/>
          </w:rPr>
          <w:t>ResearchGate</w:t>
        </w:r>
      </w:hyperlink>
      <w:r w:rsidRPr="00323280">
        <w:rPr>
          <w:szCs w:val="18"/>
        </w:rPr>
        <w:t>).</w:t>
      </w:r>
    </w:p>
  </w:footnote>
  <w:footnote w:id="188">
    <w:p w14:paraId="53F39D49" w14:textId="6E3DE906" w:rsidR="00242769" w:rsidRPr="00323280" w:rsidRDefault="00242769">
      <w:pPr>
        <w:pStyle w:val="FootnoteText"/>
        <w:rPr>
          <w:szCs w:val="18"/>
        </w:rPr>
      </w:pPr>
      <w:r w:rsidRPr="00323280">
        <w:rPr>
          <w:rStyle w:val="FootnoteReference"/>
          <w:szCs w:val="18"/>
        </w:rPr>
        <w:footnoteRef/>
      </w:r>
      <w:r w:rsidRPr="00323280">
        <w:rPr>
          <w:szCs w:val="18"/>
        </w:rPr>
        <w:t xml:space="preserve"> In healthcare, AI enhances diagnostics and patient care, improving efficiency and outcomes; in transport, AI optimizes logistics and route planning, reducing costs and emissions; in energy, AI facilitates smart grid management and energy efficiency, supporting sustainability goals; and in finance, AI-driven tools assist in risk assessment and financial planning, enhancing decision-making capabilities. These advancements are supported by EU initiatives such as the Digital Europe Programme and Horizon Europe, which aim to bolster AI and digital infrastructure across the Union.</w:t>
      </w:r>
    </w:p>
  </w:footnote>
  <w:footnote w:id="189">
    <w:p w14:paraId="3F6A12D1" w14:textId="77777777" w:rsidR="00E52A4F" w:rsidRPr="00323280" w:rsidRDefault="00E52A4F" w:rsidP="00E52A4F">
      <w:pPr>
        <w:pStyle w:val="FootnoteText"/>
        <w:jc w:val="left"/>
        <w:rPr>
          <w:szCs w:val="18"/>
        </w:rPr>
      </w:pPr>
      <w:r w:rsidRPr="00323280">
        <w:rPr>
          <w:rStyle w:val="FootnoteReference"/>
          <w:szCs w:val="18"/>
        </w:rPr>
        <w:footnoteRef/>
      </w:r>
      <w:r w:rsidRPr="00323280">
        <w:rPr>
          <w:szCs w:val="18"/>
        </w:rPr>
        <w:t xml:space="preserve"> </w:t>
      </w:r>
      <w:hyperlink r:id="rId74" w:history="1">
        <w:r w:rsidRPr="00323280">
          <w:rPr>
            <w:rStyle w:val="Hyperlink"/>
            <w:szCs w:val="18"/>
          </w:rPr>
          <w:t>How much does Amazon invest in R&amp;D? Here's an informed guess</w:t>
        </w:r>
      </w:hyperlink>
      <w:r w:rsidRPr="00323280">
        <w:rPr>
          <w:szCs w:val="18"/>
        </w:rPr>
        <w:t xml:space="preserve">. </w:t>
      </w:r>
    </w:p>
  </w:footnote>
  <w:footnote w:id="190">
    <w:p w14:paraId="6360A3A1" w14:textId="37B7115B" w:rsidR="00E52A4F" w:rsidRPr="00323280" w:rsidRDefault="00E52A4F" w:rsidP="00E52A4F">
      <w:pPr>
        <w:pStyle w:val="FootnoteText"/>
        <w:jc w:val="left"/>
        <w:rPr>
          <w:szCs w:val="18"/>
        </w:rPr>
      </w:pPr>
      <w:r w:rsidRPr="00323280">
        <w:rPr>
          <w:rStyle w:val="FootnoteReference"/>
          <w:szCs w:val="18"/>
        </w:rPr>
        <w:footnoteRef/>
      </w:r>
      <w:r w:rsidRPr="00323280">
        <w:rPr>
          <w:szCs w:val="18"/>
        </w:rPr>
        <w:t xml:space="preserve"> </w:t>
      </w:r>
      <w:hyperlink r:id="rId75" w:history="1">
        <w:r w:rsidRPr="00323280">
          <w:rPr>
            <w:rStyle w:val="Hyperlink"/>
            <w:szCs w:val="18"/>
          </w:rPr>
          <w:t>SecUre iNFormation SHaring in federated heterogeneous private clouds | SUNFISH | Projekt | Fact Sheet | H2020 | CORDIS | European Commission</w:t>
        </w:r>
      </w:hyperlink>
      <w:r w:rsidR="51C9D782" w:rsidRPr="00323280">
        <w:rPr>
          <w:rStyle w:val="Hyperlink"/>
          <w:szCs w:val="18"/>
        </w:rPr>
        <w:t>.</w:t>
      </w:r>
    </w:p>
  </w:footnote>
  <w:footnote w:id="191">
    <w:p w14:paraId="38ECD787" w14:textId="36499418" w:rsidR="00281924" w:rsidRPr="00323280" w:rsidRDefault="00281924" w:rsidP="002270C4">
      <w:pPr>
        <w:pStyle w:val="FootnoteText"/>
        <w:jc w:val="left"/>
        <w:rPr>
          <w:szCs w:val="18"/>
        </w:rPr>
      </w:pPr>
      <w:r w:rsidRPr="00323280">
        <w:rPr>
          <w:rStyle w:val="FootnoteReference"/>
          <w:szCs w:val="18"/>
        </w:rPr>
        <w:footnoteRef/>
      </w:r>
      <w:r w:rsidRPr="00323280">
        <w:rPr>
          <w:szCs w:val="18"/>
        </w:rPr>
        <w:t xml:space="preserve"> This is </w:t>
      </w:r>
      <w:r w:rsidR="00E62DFF" w:rsidRPr="00323280">
        <w:rPr>
          <w:szCs w:val="18"/>
        </w:rPr>
        <w:t xml:space="preserve">a </w:t>
      </w:r>
      <w:r w:rsidRPr="00323280">
        <w:rPr>
          <w:szCs w:val="18"/>
        </w:rPr>
        <w:t>widespread industry practice. However, it is imperfect as it does not reveal the type, quantity and capacity of the chips hosted in the data centre and does consider the efficiency of this equipment.</w:t>
      </w:r>
    </w:p>
  </w:footnote>
  <w:footnote w:id="192">
    <w:p w14:paraId="661CEFF0" w14:textId="70221F25" w:rsidR="003A41E8" w:rsidRPr="00323280" w:rsidRDefault="003A41E8">
      <w:pPr>
        <w:pStyle w:val="FootnoteText"/>
        <w:rPr>
          <w:szCs w:val="18"/>
        </w:rPr>
      </w:pPr>
      <w:r w:rsidRPr="00323280">
        <w:rPr>
          <w:rStyle w:val="FootnoteReference"/>
          <w:szCs w:val="18"/>
        </w:rPr>
        <w:footnoteRef/>
      </w:r>
      <w:r w:rsidRPr="00323280">
        <w:rPr>
          <w:szCs w:val="18"/>
        </w:rPr>
        <w:t xml:space="preserve"> The Digital Decade Policy Programme, for example, measures uptake for AI, cloud and big data </w:t>
      </w:r>
      <w:r w:rsidR="00026C16" w:rsidRPr="00323280">
        <w:rPr>
          <w:szCs w:val="18"/>
        </w:rPr>
        <w:t>together</w:t>
      </w:r>
      <w:r w:rsidRPr="00323280">
        <w:rPr>
          <w:szCs w:val="18"/>
        </w:rPr>
        <w:t xml:space="preserve">: </w:t>
      </w:r>
      <w:hyperlink r:id="rId76" w:history="1">
        <w:r w:rsidR="00026C16" w:rsidRPr="00323280">
          <w:rPr>
            <w:rStyle w:val="Hyperlink"/>
            <w:szCs w:val="18"/>
          </w:rPr>
          <w:t>'Path to the Digital Decade': the EU's plan to achieve a digital Europe by 2030 - Consilium</w:t>
        </w:r>
      </w:hyperlink>
      <w:r w:rsidR="00026C16" w:rsidRPr="00323280">
        <w:rPr>
          <w:szCs w:val="18"/>
        </w:rPr>
        <w:t xml:space="preserve">. </w:t>
      </w:r>
    </w:p>
  </w:footnote>
  <w:footnote w:id="193">
    <w:p w14:paraId="32DC6C98" w14:textId="77777777" w:rsidR="00CC3C1D" w:rsidRPr="00323280" w:rsidRDefault="00CC3C1D" w:rsidP="00CC3C1D">
      <w:pPr>
        <w:pStyle w:val="FootnoteText"/>
        <w:rPr>
          <w:szCs w:val="18"/>
        </w:rPr>
      </w:pPr>
      <w:r w:rsidRPr="00323280">
        <w:rPr>
          <w:rStyle w:val="FootnoteReference"/>
          <w:szCs w:val="18"/>
        </w:rPr>
        <w:footnoteRef/>
      </w:r>
      <w:r w:rsidRPr="00323280">
        <w:rPr>
          <w:szCs w:val="18"/>
        </w:rPr>
        <w:t xml:space="preserve"> Berkley Lab (2024). 2024 United States Data Center Energy Usage Report. Available at: </w:t>
      </w:r>
      <w:hyperlink r:id="rId77" w:history="1">
        <w:r w:rsidRPr="00323280">
          <w:rPr>
            <w:rStyle w:val="Hyperlink"/>
            <w:szCs w:val="18"/>
          </w:rPr>
          <w:t>https://escholarship.org/uc/item/32d6m0d1</w:t>
        </w:r>
      </w:hyperlink>
      <w:r w:rsidRPr="00323280">
        <w:rPr>
          <w:szCs w:val="18"/>
        </w:rPr>
        <w:t xml:space="preserve"> </w:t>
      </w:r>
    </w:p>
  </w:footnote>
  <w:footnote w:id="194">
    <w:p w14:paraId="4D3ECDFF" w14:textId="77777777" w:rsidR="00CC3C1D" w:rsidRPr="00323280" w:rsidRDefault="00CC3C1D" w:rsidP="00CC3C1D">
      <w:pPr>
        <w:pStyle w:val="FootnoteText"/>
        <w:rPr>
          <w:szCs w:val="18"/>
        </w:rPr>
      </w:pPr>
      <w:r w:rsidRPr="00323280">
        <w:rPr>
          <w:rStyle w:val="FootnoteReference"/>
          <w:szCs w:val="18"/>
        </w:rPr>
        <w:footnoteRef/>
      </w:r>
      <w:r w:rsidRPr="00323280">
        <w:rPr>
          <w:szCs w:val="18"/>
        </w:rPr>
        <w:t xml:space="preserve"> IEA (2025). Energy and AI. Available at: </w:t>
      </w:r>
      <w:hyperlink r:id="rId78" w:history="1">
        <w:r w:rsidRPr="00323280">
          <w:rPr>
            <w:rStyle w:val="Hyperlink"/>
            <w:szCs w:val="18"/>
          </w:rPr>
          <w:t>https://www.iea.org/reports/energy-and-ai</w:t>
        </w:r>
      </w:hyperlink>
    </w:p>
  </w:footnote>
  <w:footnote w:id="195">
    <w:p w14:paraId="5EBE36B1" w14:textId="77777777" w:rsidR="00975A08" w:rsidRPr="00323280" w:rsidRDefault="00975A08" w:rsidP="00975A08">
      <w:pPr>
        <w:pStyle w:val="FootnoteText"/>
        <w:rPr>
          <w:szCs w:val="18"/>
          <w:lang w:val="en-IE"/>
        </w:rPr>
      </w:pPr>
      <w:r w:rsidRPr="00323280">
        <w:rPr>
          <w:rStyle w:val="FootnoteReference"/>
          <w:szCs w:val="18"/>
        </w:rPr>
        <w:footnoteRef/>
      </w:r>
      <w:r w:rsidRPr="00323280">
        <w:rPr>
          <w:szCs w:val="18"/>
        </w:rPr>
        <w:t xml:space="preserve"> </w:t>
      </w:r>
      <w:hyperlink r:id="rId79" w:history="1">
        <w:r w:rsidRPr="00323280">
          <w:rPr>
            <w:rStyle w:val="Hyperlink"/>
            <w:szCs w:val="18"/>
            <w:lang w:val="en-IE"/>
          </w:rPr>
          <w:t>Synergy Research</w:t>
        </w:r>
      </w:hyperlink>
      <w:r w:rsidRPr="00323280">
        <w:rPr>
          <w:szCs w:val="18"/>
          <w:lang w:val="en-IE"/>
        </w:rPr>
        <w:t>. Data from July 2025.</w:t>
      </w:r>
    </w:p>
  </w:footnote>
  <w:footnote w:id="196">
    <w:p w14:paraId="4244FA3E" w14:textId="77777777" w:rsidR="00975A08" w:rsidRPr="00E52B9E" w:rsidRDefault="00975A08" w:rsidP="00975A08">
      <w:pPr>
        <w:pStyle w:val="FootnoteText"/>
        <w:rPr>
          <w:szCs w:val="18"/>
          <w:lang w:val="it-IT"/>
        </w:rPr>
      </w:pPr>
      <w:r w:rsidRPr="00323280">
        <w:rPr>
          <w:rStyle w:val="FootnoteReference"/>
          <w:szCs w:val="18"/>
        </w:rPr>
        <w:footnoteRef/>
      </w:r>
      <w:r w:rsidRPr="001A49D4">
        <w:rPr>
          <w:szCs w:val="18"/>
          <w:lang w:val="it-IT"/>
        </w:rPr>
        <w:t xml:space="preserve"> </w:t>
      </w:r>
      <w:hyperlink r:id="rId80" w:history="1">
        <w:r w:rsidRPr="001A49D4">
          <w:rPr>
            <w:rStyle w:val="Hyperlink"/>
            <w:szCs w:val="18"/>
            <w:lang w:val="it-IT"/>
          </w:rPr>
          <w:t>Statista</w:t>
        </w:r>
      </w:hyperlink>
      <w:r w:rsidRPr="00E52B9E">
        <w:rPr>
          <w:szCs w:val="18"/>
          <w:lang w:val="it-IT"/>
        </w:rPr>
        <w:t xml:space="preserve"> </w:t>
      </w:r>
    </w:p>
  </w:footnote>
  <w:footnote w:id="197">
    <w:p w14:paraId="4FF21B80" w14:textId="77777777" w:rsidR="00234E96" w:rsidRPr="00E52B9E" w:rsidRDefault="00234E96" w:rsidP="00234E96">
      <w:pPr>
        <w:pStyle w:val="FootnoteText"/>
        <w:rPr>
          <w:lang w:val="it-IT"/>
        </w:rPr>
      </w:pPr>
      <w:r>
        <w:rPr>
          <w:rStyle w:val="FootnoteReference"/>
        </w:rPr>
        <w:footnoteRef/>
      </w:r>
      <w:r w:rsidRPr="00E52B9E">
        <w:rPr>
          <w:lang w:val="it-IT"/>
        </w:rPr>
        <w:t xml:space="preserve"> </w:t>
      </w:r>
      <w:hyperlink r:id="rId81" w:history="1">
        <w:r w:rsidRPr="00E52B9E">
          <w:rPr>
            <w:rStyle w:val="Hyperlink"/>
            <w:lang w:val="it-IT"/>
          </w:rPr>
          <w:t>https://www.mobileeurope.co.uk/european-cloud-providers-tread-water-in-growing-market/</w:t>
        </w:r>
      </w:hyperlink>
      <w:r w:rsidRPr="00E52B9E">
        <w:rPr>
          <w:lang w:val="it-IT"/>
        </w:rPr>
        <w:t xml:space="preserve"> </w:t>
      </w:r>
    </w:p>
  </w:footnote>
  <w:footnote w:id="198">
    <w:p w14:paraId="63EB3774" w14:textId="2E1D0567" w:rsidR="003C1257" w:rsidRPr="00584A96" w:rsidRDefault="003C1257">
      <w:pPr>
        <w:pStyle w:val="FootnoteText"/>
        <w:rPr>
          <w:lang w:val="en-IE"/>
        </w:rPr>
      </w:pPr>
      <w:r>
        <w:rPr>
          <w:rStyle w:val="FootnoteReference"/>
        </w:rPr>
        <w:footnoteRef/>
      </w:r>
      <w:r>
        <w:t xml:space="preserve"> </w:t>
      </w:r>
      <w:r w:rsidRPr="00637003">
        <w:t xml:space="preserve">The </w:t>
      </w:r>
      <w:r w:rsidRPr="001A49D4">
        <w:rPr>
          <w:b/>
        </w:rPr>
        <w:t>French</w:t>
      </w:r>
      <w:r w:rsidRPr="00637003">
        <w:t xml:space="preserve"> government has published a </w:t>
      </w:r>
      <w:r w:rsidRPr="00734D7A">
        <w:t>list of sites judged favourable for data-centre implantation</w:t>
      </w:r>
      <w:r w:rsidRPr="00637003">
        <w:t xml:space="preserve"> to help attract infrastructure investment and compete at the European level. </w:t>
      </w:r>
      <w:r>
        <w:t xml:space="preserve">See here: </w:t>
      </w:r>
      <w:hyperlink r:id="rId82" w:history="1">
        <w:r w:rsidRPr="00584A96">
          <w:rPr>
            <w:rStyle w:val="Hyperlink"/>
          </w:rPr>
          <w:t>25112025__Guide Datacenters.pdf</w:t>
        </w:r>
      </w:hyperlink>
      <w:r w:rsidR="00B723B0">
        <w:t xml:space="preserve">; The </w:t>
      </w:r>
      <w:r w:rsidR="00640EC1" w:rsidRPr="001A49D4">
        <w:rPr>
          <w:b/>
        </w:rPr>
        <w:t>German</w:t>
      </w:r>
      <w:r w:rsidR="00052F3E">
        <w:t xml:space="preserve"> government is developing a national strategy to promote the operation and settlement of data centres: </w:t>
      </w:r>
      <w:hyperlink r:id="rId83" w:history="1">
        <w:r w:rsidR="00052F3E" w:rsidRPr="00052F3E">
          <w:rPr>
            <w:rStyle w:val="Hyperlink"/>
          </w:rPr>
          <w:t>National Data Centre Strategy - Federal Ministry for Digital and State Modernisation</w:t>
        </w:r>
      </w:hyperlink>
      <w:r w:rsidR="00884660">
        <w:t xml:space="preserve">; </w:t>
      </w:r>
      <w:r w:rsidR="00E96025">
        <w:t>Similar</w:t>
      </w:r>
      <w:r w:rsidR="00792491">
        <w:t xml:space="preserve">, </w:t>
      </w:r>
      <w:r w:rsidR="00792491" w:rsidRPr="001A49D4">
        <w:rPr>
          <w:b/>
        </w:rPr>
        <w:t>Italy</w:t>
      </w:r>
      <w:r w:rsidR="00792491">
        <w:t xml:space="preserve"> has developed a </w:t>
      </w:r>
      <w:r w:rsidR="006C6C43">
        <w:t>strategy for attracting</w:t>
      </w:r>
      <w:r w:rsidR="00161C53">
        <w:t xml:space="preserve"> investment in data centres. </w:t>
      </w:r>
      <w:r w:rsidR="007C5D64">
        <w:t>See</w:t>
      </w:r>
      <w:r w:rsidR="00161C53">
        <w:t>:</w:t>
      </w:r>
      <w:r w:rsidR="00792491">
        <w:t xml:space="preserve"> </w:t>
      </w:r>
      <w:hyperlink r:id="rId84" w:history="1">
        <w:r w:rsidR="00792491" w:rsidRPr="00792491">
          <w:rPr>
            <w:rStyle w:val="Hyperlink"/>
          </w:rPr>
          <w:t>ATTRAZIONE_DEI_DATA_CENTER_2025.pdf</w:t>
        </w:r>
      </w:hyperlink>
      <w:r w:rsidR="00E96025">
        <w:t xml:space="preserve">. </w:t>
      </w:r>
      <w:r w:rsidR="00E96025" w:rsidRPr="001A49D4">
        <w:rPr>
          <w:b/>
        </w:rPr>
        <w:t>Portugal</w:t>
      </w:r>
      <w:r w:rsidR="00E96025">
        <w:t xml:space="preserve"> is finalising its strategy: </w:t>
      </w:r>
      <w:hyperlink r:id="rId85" w:history="1">
        <w:r w:rsidR="00E96025" w:rsidRPr="00E96025">
          <w:rPr>
            <w:rStyle w:val="Hyperlink"/>
          </w:rPr>
          <w:t>Governo anuncia estratégia nacional de centros de dados para alimentar procura por Inteligência Artificial - Expresso</w:t>
        </w:r>
      </w:hyperlink>
      <w:r w:rsidR="002C6EFD">
        <w:t xml:space="preserve">; </w:t>
      </w:r>
      <w:r w:rsidR="002C6EFD" w:rsidRPr="001A49D4">
        <w:rPr>
          <w:b/>
        </w:rPr>
        <w:t>Netherlands</w:t>
      </w:r>
      <w:r w:rsidR="002C6EFD">
        <w:t xml:space="preserve"> has developed a roadmap for the </w:t>
      </w:r>
      <w:r w:rsidR="00BD61EC">
        <w:t>growth</w:t>
      </w:r>
      <w:r w:rsidR="002C6EFD">
        <w:t xml:space="preserve"> of data centres in </w:t>
      </w:r>
      <w:r w:rsidR="00BD61EC">
        <w:t>the country (</w:t>
      </w:r>
      <w:r w:rsidR="002C6EFD">
        <w:t>2019</w:t>
      </w:r>
      <w:r w:rsidR="00BD61EC">
        <w:t>)</w:t>
      </w:r>
      <w:r w:rsidR="002C6EFD">
        <w:t xml:space="preserve">: </w:t>
      </w:r>
      <w:hyperlink r:id="rId86" w:history="1">
        <w:r w:rsidR="002C6EFD" w:rsidRPr="002C6EFD">
          <w:rPr>
            <w:rStyle w:val="Hyperlink"/>
          </w:rPr>
          <w:t>Opmaak 1</w:t>
        </w:r>
      </w:hyperlink>
      <w:r w:rsidR="00B76215">
        <w:t xml:space="preserve">; </w:t>
      </w:r>
      <w:r w:rsidR="00B76215" w:rsidRPr="001A49D4">
        <w:rPr>
          <w:b/>
        </w:rPr>
        <w:t>Finland</w:t>
      </w:r>
      <w:r w:rsidR="00B76215">
        <w:t xml:space="preserve"> has recently developed a national roadmap for data centres. See: </w:t>
      </w:r>
      <w:hyperlink r:id="rId87" w:history="1">
        <w:r w:rsidR="00806FB0" w:rsidRPr="00806FB0">
          <w:rPr>
            <w:rStyle w:val="Hyperlink"/>
          </w:rPr>
          <w:t>National Roadmap for Data Centres : Rapporteur's Report</w:t>
        </w:r>
      </w:hyperlink>
      <w:r w:rsidR="009F0EF6">
        <w:t xml:space="preserve">; Spain also developed a national </w:t>
      </w:r>
      <w:r w:rsidR="001C5A8B">
        <w:t>strategy for IA</w:t>
      </w:r>
      <w:r w:rsidR="008A1029">
        <w:t>, with measures</w:t>
      </w:r>
      <w:r w:rsidR="001C5A8B">
        <w:t xml:space="preserve"> on the d</w:t>
      </w:r>
      <w:r w:rsidR="000541E9">
        <w:t xml:space="preserve">eployment of data centres. See: </w:t>
      </w:r>
      <w:hyperlink r:id="rId88" w:history="1">
        <w:r w:rsidR="000541E9" w:rsidRPr="000541E9">
          <w:rPr>
            <w:rStyle w:val="Hyperlink"/>
          </w:rPr>
          <w:t>Estrategia Inteligencia Artificial 2024</w:t>
        </w:r>
      </w:hyperlink>
    </w:p>
  </w:footnote>
  <w:footnote w:id="199">
    <w:p w14:paraId="5E8F6369" w14:textId="77777777" w:rsidR="00571317" w:rsidRDefault="00571317" w:rsidP="00571317">
      <w:pPr>
        <w:pStyle w:val="FootnoteText"/>
      </w:pPr>
      <w:r>
        <w:rPr>
          <w:rStyle w:val="FootnoteReference"/>
        </w:rPr>
        <w:footnoteRef/>
      </w:r>
      <w:r>
        <w:rPr>
          <w:lang w:val="en-IE"/>
        </w:rPr>
        <w:t>It must be noted that porting can also be triggered naturally as a consequence of regular procurement decisions after the expiration of cloud service contracts.</w:t>
      </w:r>
    </w:p>
    <w:p w14:paraId="3DE5918E" w14:textId="77777777" w:rsidR="00571317" w:rsidRPr="008A7D56" w:rsidRDefault="00571317" w:rsidP="00571317">
      <w:pPr>
        <w:pStyle w:val="FootnoteText"/>
      </w:pPr>
      <w:r>
        <w:t xml:space="preserve"> </w:t>
      </w:r>
    </w:p>
  </w:footnote>
  <w:footnote w:id="200">
    <w:p w14:paraId="7DC3D978" w14:textId="3BD00248" w:rsidR="009C4184" w:rsidRPr="00D2016E" w:rsidRDefault="009C4184">
      <w:pPr>
        <w:pStyle w:val="FootnoteText"/>
        <w:rPr>
          <w:lang w:val="en-IE"/>
        </w:rPr>
      </w:pPr>
      <w:r>
        <w:rPr>
          <w:rStyle w:val="FootnoteReference"/>
        </w:rPr>
        <w:footnoteRef/>
      </w:r>
      <w:r>
        <w:t xml:space="preserve"> Orue-Echevarría Arrieta, L. (2016). From software as a good to software as a service (SAAS): a methodology to define the transformation towards the SAAS business model. Universitat Abat Oliba. </w:t>
      </w:r>
      <w:hyperlink r:id="rId89" w:history="1">
        <w:r>
          <w:rPr>
            <w:rStyle w:val="Hyperlink"/>
          </w:rPr>
          <w:t>https://hdl.handle.net/10803/398024</w:t>
        </w:r>
      </w:hyperlink>
    </w:p>
  </w:footnote>
  <w:footnote w:id="201">
    <w:p w14:paraId="5DE49B06" w14:textId="77777777" w:rsidR="00FC22F9" w:rsidRDefault="00FC22F9" w:rsidP="00FC22F9">
      <w:pPr>
        <w:pStyle w:val="FootnoteText"/>
        <w:rPr>
          <w:rFonts w:asciiTheme="minorHAnsi" w:hAnsiTheme="minorHAnsi" w:cstheme="minorBidi"/>
          <w:sz w:val="20"/>
          <w:lang w:val="en-IE"/>
        </w:rPr>
      </w:pPr>
      <w:r>
        <w:rPr>
          <w:rStyle w:val="FootnoteReference"/>
        </w:rPr>
        <w:footnoteRef/>
      </w:r>
      <w:r>
        <w:rPr>
          <w:lang w:val="en-IE"/>
        </w:rPr>
        <w:t xml:space="preserve"> The 7Rs of migration include the following: </w:t>
      </w:r>
      <w:r>
        <w:rPr>
          <w:i/>
          <w:iCs/>
        </w:rPr>
        <w:t>Rehost</w:t>
      </w:r>
      <w:r>
        <w:t xml:space="preserve"> (lift-and-shift): Move the application to cloud with minimal changes, </w:t>
      </w:r>
      <w:r>
        <w:rPr>
          <w:i/>
          <w:iCs/>
        </w:rPr>
        <w:t>Relocate</w:t>
      </w:r>
      <w:r>
        <w:t xml:space="preserve">: Move VMs without OS or code changes, </w:t>
      </w:r>
      <w:r>
        <w:rPr>
          <w:i/>
          <w:iCs/>
        </w:rPr>
        <w:t>Re</w:t>
      </w:r>
      <w:r>
        <w:t>-</w:t>
      </w:r>
      <w:r>
        <w:rPr>
          <w:i/>
          <w:iCs/>
        </w:rPr>
        <w:t>platform</w:t>
      </w:r>
      <w:r>
        <w:t xml:space="preserve">: Moderate changes to leverage managed services, </w:t>
      </w:r>
      <w:r>
        <w:rPr>
          <w:i/>
          <w:iCs/>
        </w:rPr>
        <w:t>Refactor</w:t>
      </w:r>
      <w:r>
        <w:t xml:space="preserve"> (rearchitect): Major or Full rewrite for cloud-native architecture., </w:t>
      </w:r>
      <w:r>
        <w:rPr>
          <w:i/>
          <w:iCs/>
        </w:rPr>
        <w:t>Repurchase</w:t>
      </w:r>
      <w:r>
        <w:t xml:space="preserve"> (drop-and-shop): Replace with a SaaS equivalent, </w:t>
      </w:r>
      <w:r>
        <w:rPr>
          <w:i/>
          <w:iCs/>
        </w:rPr>
        <w:t>Retire</w:t>
      </w:r>
      <w:r>
        <w:t xml:space="preserve">: Decommission application, </w:t>
      </w:r>
      <w:r>
        <w:rPr>
          <w:i/>
          <w:iCs/>
        </w:rPr>
        <w:t>Retain</w:t>
      </w:r>
      <w:r>
        <w:t xml:space="preserve"> (revisit): Keep on-premises for the time being. Adopted from </w:t>
      </w:r>
      <w:hyperlink r:id="rId90" w:anchor=":~:text=The%207%20R's%20evolved%20from,others%20move%20to%20the%20cloud." w:history="1">
        <w:r>
          <w:rPr>
            <w:rStyle w:val="Hyperlink"/>
          </w:rPr>
          <w:t>IBM</w:t>
        </w:r>
      </w:hyperlink>
      <w:r>
        <w:t xml:space="preserve"> Strategy</w:t>
      </w:r>
    </w:p>
  </w:footnote>
  <w:footnote w:id="202">
    <w:p w14:paraId="261C1CCF" w14:textId="77777777" w:rsidR="00FC22F9" w:rsidRPr="00D024A9" w:rsidRDefault="00FC22F9" w:rsidP="00FC22F9">
      <w:pPr>
        <w:pStyle w:val="FootnoteText"/>
        <w:rPr>
          <w:lang w:val="fr-BE"/>
        </w:rPr>
      </w:pPr>
      <w:r>
        <w:rPr>
          <w:rStyle w:val="FootnoteReference"/>
        </w:rPr>
        <w:footnoteRef/>
      </w:r>
      <w:r w:rsidRPr="00D024A9">
        <w:rPr>
          <w:lang w:val="en-IE"/>
        </w:rPr>
        <w:t xml:space="preserve"> Alonso, J., Orue-Echevarria, L., Casola, V. </w:t>
      </w:r>
      <w:r w:rsidRPr="00D024A9">
        <w:rPr>
          <w:i/>
          <w:lang w:val="en-IE"/>
        </w:rPr>
        <w:t>et al.</w:t>
      </w:r>
      <w:r w:rsidRPr="00D024A9">
        <w:rPr>
          <w:lang w:val="en-IE"/>
        </w:rPr>
        <w:t> </w:t>
      </w:r>
      <w:r>
        <w:t>Understanding the challenges and novel architectural models of multi-cloud native applications – a systematic literature review. </w:t>
      </w:r>
      <w:r w:rsidRPr="00D024A9">
        <w:rPr>
          <w:i/>
          <w:lang w:val="fr-BE"/>
        </w:rPr>
        <w:t>J Cloud Comp</w:t>
      </w:r>
      <w:r w:rsidRPr="00D024A9">
        <w:rPr>
          <w:lang w:val="fr-BE"/>
        </w:rPr>
        <w:t> </w:t>
      </w:r>
      <w:r w:rsidRPr="00D024A9">
        <w:rPr>
          <w:b/>
          <w:lang w:val="fr-BE"/>
        </w:rPr>
        <w:t>12</w:t>
      </w:r>
      <w:r w:rsidRPr="00D024A9">
        <w:rPr>
          <w:lang w:val="fr-BE"/>
        </w:rPr>
        <w:t xml:space="preserve">, 6 (2023). </w:t>
      </w:r>
      <w:hyperlink r:id="rId91" w:history="1">
        <w:r w:rsidRPr="00D024A9">
          <w:rPr>
            <w:rStyle w:val="Hyperlink"/>
            <w:lang w:val="fr-BE"/>
          </w:rPr>
          <w:t>https://doi.org/10.1186/s13677-022-00367-6</w:t>
        </w:r>
      </w:hyperlink>
      <w:r w:rsidRPr="00D024A9">
        <w:rPr>
          <w:lang w:val="fr-BE"/>
        </w:rPr>
        <w:t xml:space="preserve"> </w:t>
      </w:r>
    </w:p>
  </w:footnote>
  <w:footnote w:id="203">
    <w:p w14:paraId="5B84194E" w14:textId="5169FCBA" w:rsidR="009208E6" w:rsidRPr="00D024A9" w:rsidRDefault="009208E6">
      <w:pPr>
        <w:pStyle w:val="FootnoteText"/>
        <w:rPr>
          <w:lang w:val="en-IE"/>
        </w:rPr>
      </w:pPr>
      <w:r>
        <w:rPr>
          <w:rStyle w:val="FootnoteReference"/>
        </w:rPr>
        <w:footnoteRef/>
      </w:r>
      <w:r w:rsidRPr="00D024A9">
        <w:rPr>
          <w:lang w:val="fr-BE"/>
        </w:rPr>
        <w:t xml:space="preserve"> See France</w:t>
      </w:r>
      <w:r w:rsidR="00690DEA" w:rsidRPr="00D024A9">
        <w:rPr>
          <w:lang w:val="fr-BE"/>
        </w:rPr>
        <w:t xml:space="preserve"> as an example, in their document</w:t>
      </w:r>
      <w:r w:rsidRPr="00D024A9">
        <w:rPr>
          <w:lang w:val="fr-BE"/>
        </w:rPr>
        <w:t xml:space="preserve"> </w:t>
      </w:r>
      <w:hyperlink r:id="rId92" w:history="1">
        <w:r w:rsidRPr="00F91F11">
          <w:rPr>
            <w:rStyle w:val="Hyperlink"/>
            <w:lang w:val="fr-BE"/>
          </w:rPr>
          <w:t>Bilan de la doctrine cloud au centre</w:t>
        </w:r>
      </w:hyperlink>
      <w:r w:rsidR="00690DEA" w:rsidRPr="00D024A9">
        <w:rPr>
          <w:lang w:val="fr-BE"/>
        </w:rPr>
        <w:t xml:space="preserve"> where it is stated: “La dynamique actuelle d'arrivée de nombreux petits projets montre que nous sommes toujours dans une phase d'adoption” (p.6)</w:t>
      </w:r>
      <w:r w:rsidR="00032FEC" w:rsidRPr="00D024A9">
        <w:rPr>
          <w:lang w:val="fr-BE"/>
        </w:rPr>
        <w:t xml:space="preserve">. </w:t>
      </w:r>
      <w:r w:rsidR="00032FEC">
        <w:t>This can be extended to various MS, which as part of their RRF plans are in the process of migrating their legacy applications to cloud-aware and cloud-native architectures.</w:t>
      </w:r>
    </w:p>
  </w:footnote>
  <w:footnote w:id="204">
    <w:p w14:paraId="2277BAE2" w14:textId="66CAFE34" w:rsidR="007F3FA0" w:rsidRPr="00D024A9" w:rsidRDefault="007F3FA0">
      <w:pPr>
        <w:pStyle w:val="FootnoteText"/>
        <w:rPr>
          <w:lang w:val="en-IE"/>
        </w:rPr>
      </w:pPr>
      <w:r>
        <w:rPr>
          <w:rStyle w:val="FootnoteReference"/>
        </w:rPr>
        <w:footnoteRef/>
      </w:r>
      <w:r>
        <w:t xml:space="preserve"> </w:t>
      </w:r>
      <w:r w:rsidRPr="00D024A9">
        <w:rPr>
          <w:lang w:val="en-IE"/>
        </w:rPr>
        <w:t>See for instance Spain</w:t>
      </w:r>
      <w:r w:rsidR="00DF65CE">
        <w:rPr>
          <w:lang w:val="en-IE"/>
        </w:rPr>
        <w:t xml:space="preserve">, with </w:t>
      </w:r>
      <w:r w:rsidR="00A8407A">
        <w:rPr>
          <w:lang w:val="en-IE"/>
        </w:rPr>
        <w:t>its</w:t>
      </w:r>
      <w:r w:rsidR="00DF65CE">
        <w:rPr>
          <w:lang w:val="en-IE"/>
        </w:rPr>
        <w:t xml:space="preserve"> approach “hybrid cloud first”</w:t>
      </w:r>
      <w:r w:rsidR="002A5CDB">
        <w:rPr>
          <w:lang w:val="en-IE"/>
        </w:rPr>
        <w:t xml:space="preserve"> </w:t>
      </w:r>
      <w:hyperlink r:id="rId93" w:history="1">
        <w:r w:rsidR="002A5CDB" w:rsidRPr="002A5CDB">
          <w:rPr>
            <w:rStyle w:val="Hyperlink"/>
            <w:lang w:val="en-IE"/>
          </w:rPr>
          <w:t>here</w:t>
        </w:r>
      </w:hyperlink>
      <w:r w:rsidR="002A5CDB">
        <w:rPr>
          <w:lang w:val="en-IE"/>
        </w:rPr>
        <w:t xml:space="preserve"> and </w:t>
      </w:r>
      <w:hyperlink r:id="rId94" w:history="1">
        <w:r w:rsidR="002A5CDB" w:rsidRPr="00A8407A">
          <w:rPr>
            <w:rStyle w:val="Hyperlink"/>
            <w:lang w:val="en-IE"/>
          </w:rPr>
          <w:t>here</w:t>
        </w:r>
      </w:hyperlink>
    </w:p>
  </w:footnote>
  <w:footnote w:id="205">
    <w:p w14:paraId="27001183" w14:textId="31B3A048" w:rsidR="003F1556" w:rsidRPr="00D024A9" w:rsidRDefault="003F1556">
      <w:pPr>
        <w:pStyle w:val="FootnoteText"/>
        <w:rPr>
          <w:lang w:val="en-IE"/>
        </w:rPr>
      </w:pPr>
      <w:r>
        <w:rPr>
          <w:rStyle w:val="FootnoteReference"/>
        </w:rPr>
        <w:footnoteRef/>
      </w:r>
      <w:r>
        <w:t xml:space="preserve"> There are several ways to define multi-cloud. Al</w:t>
      </w:r>
      <w:r w:rsidR="007538B6">
        <w:t xml:space="preserve">onso, Orue-Echevarria et al (2023) </w:t>
      </w:r>
      <w:r w:rsidR="0099140E">
        <w:t xml:space="preserve">concluded in their </w:t>
      </w:r>
      <w:r>
        <w:t xml:space="preserve">Systematic Literature Review (SLR) </w:t>
      </w:r>
      <w:r w:rsidR="0099140E">
        <w:t>which</w:t>
      </w:r>
      <w:r>
        <w:t xml:space="preserve"> analysed 88 sources from an initial set of 1 000</w:t>
      </w:r>
      <w:r w:rsidR="00602A2B">
        <w:t xml:space="preserve"> papers</w:t>
      </w:r>
      <w:r>
        <w:t xml:space="preserve"> that multi-cloud applications can be characterized as follow</w:t>
      </w:r>
      <w:r w:rsidR="00B3322B">
        <w:t xml:space="preserve">s: </w:t>
      </w:r>
      <w:r w:rsidR="00B3322B" w:rsidRPr="00B3322B">
        <w:t xml:space="preserve">(a) </w:t>
      </w:r>
      <w:r w:rsidR="00B3322B" w:rsidRPr="00D024A9">
        <w:rPr>
          <w:i/>
        </w:rPr>
        <w:t>Replicated multi-cloud applications</w:t>
      </w:r>
      <w:r w:rsidR="00B3322B" w:rsidRPr="00B3322B">
        <w:t xml:space="preserve"> are deployed across multiple clouds sequentially rather than simultaneously. They migrate between providers for economic or operational reasons, such as for cost optimisation, backup needs, emergency failover, or contract expiry. They are purpose-built to run on, and transition between, different cloud environments. The primary concern is seamless switching between providers, making data portability and interoperability central design requirements. (b) </w:t>
      </w:r>
      <w:r w:rsidR="00B3322B" w:rsidRPr="00D024A9">
        <w:rPr>
          <w:i/>
        </w:rPr>
        <w:t>Distributed multi-cloud applications</w:t>
      </w:r>
      <w:r w:rsidR="00B3322B" w:rsidRPr="00B3322B">
        <w:t xml:space="preserve"> run subcomponents concurrently across resources from multiple providers, drawing on several independent cloud services in combination. This simultaneous multi-provider model delivers tangible benefits including high availability, fault tolerance, and cost efficiency. It is typically adopted when no single provider offers the full functionality an application requires, allowing organisations to selectively consume the services best suited to their needs within given cost constraints. However, this approach introduces significant complexity: security governance becomes harder to enforce, operational management grows more demanding, and the distributed architecture raises design-phase challenges such as the partitioning of application logic and data across provider boundaries. (c) </w:t>
      </w:r>
      <w:r w:rsidR="00B3322B" w:rsidRPr="00D024A9">
        <w:rPr>
          <w:i/>
        </w:rPr>
        <w:t>Hybrid multi-cloud applications</w:t>
      </w:r>
      <w:r w:rsidR="00B3322B" w:rsidRPr="00B3322B">
        <w:t xml:space="preserve"> encompass both of the above patterns: combining the sequential provider usage characteristic of replicated deployments with the concurrent, multi-provider model of distributed architectures, offering the broadest flexibility but also the greatest management overhead.</w:t>
      </w:r>
    </w:p>
  </w:footnote>
  <w:footnote w:id="206">
    <w:p w14:paraId="07208FAE" w14:textId="0047B9E2" w:rsidR="00802946" w:rsidRPr="00D024A9" w:rsidRDefault="00802946">
      <w:pPr>
        <w:pStyle w:val="FootnoteText"/>
        <w:rPr>
          <w:lang w:val="fr-BE"/>
        </w:rPr>
      </w:pPr>
      <w:r>
        <w:rPr>
          <w:rStyle w:val="FootnoteReference"/>
        </w:rPr>
        <w:footnoteRef/>
      </w:r>
      <w:r w:rsidRPr="00D024A9">
        <w:rPr>
          <w:lang w:val="fr-BE"/>
        </w:rPr>
        <w:t xml:space="preserve"> </w:t>
      </w:r>
      <w:hyperlink r:id="rId95" w:history="1">
        <w:r w:rsidR="006C7901" w:rsidRPr="00D024A9">
          <w:rPr>
            <w:rStyle w:val="Hyperlink"/>
            <w:lang w:val="fr-BE"/>
          </w:rPr>
          <w:t>Bilan de la doctrine cloud au centre</w:t>
        </w:r>
      </w:hyperlink>
      <w:r w:rsidR="006C7901" w:rsidRPr="00D024A9">
        <w:rPr>
          <w:lang w:val="fr-BE"/>
        </w:rPr>
        <w:t xml:space="preserve"> </w:t>
      </w:r>
    </w:p>
  </w:footnote>
  <w:footnote w:id="207">
    <w:p w14:paraId="01C5841E" w14:textId="7EBA990F" w:rsidR="00100284" w:rsidRPr="00D024A9" w:rsidRDefault="00100284">
      <w:pPr>
        <w:pStyle w:val="FootnoteText"/>
        <w:rPr>
          <w:lang w:val="en-IE"/>
        </w:rPr>
      </w:pPr>
      <w:r>
        <w:rPr>
          <w:rStyle w:val="FootnoteReference"/>
        </w:rPr>
        <w:footnoteRef/>
      </w:r>
      <w:r w:rsidRPr="00D024A9">
        <w:rPr>
          <w:lang w:val="en-IE"/>
        </w:rPr>
        <w:t xml:space="preserve"> </w:t>
      </w:r>
      <w:hyperlink r:id="rId96" w:history="1">
        <w:r w:rsidRPr="00D024A9">
          <w:rPr>
            <w:rStyle w:val="Hyperlink"/>
            <w:lang w:val="en-IE"/>
          </w:rPr>
          <w:t>España digital 2026</w:t>
        </w:r>
      </w:hyperlink>
      <w:r w:rsidRPr="00D024A9">
        <w:rPr>
          <w:lang w:val="en-IE"/>
        </w:rPr>
        <w:t xml:space="preserve"> with a breakdown of</w:t>
      </w:r>
      <w:r>
        <w:rPr>
          <w:lang w:val="en-IE"/>
        </w:rPr>
        <w:t xml:space="preserve"> the services at </w:t>
      </w:r>
      <w:hyperlink r:id="rId97" w:history="1">
        <w:r w:rsidRPr="00F76D18">
          <w:rPr>
            <w:rStyle w:val="Hyperlink"/>
            <w:lang w:val="en-IE"/>
          </w:rPr>
          <w:t>Boletín Oficial del Estado</w:t>
        </w:r>
      </w:hyperlink>
      <w:r w:rsidR="00F76D18">
        <w:rPr>
          <w:lang w:val="en-IE"/>
        </w:rPr>
        <w:t>, mainly</w:t>
      </w:r>
      <w:r w:rsidR="002104B7">
        <w:rPr>
          <w:lang w:val="en-IE"/>
        </w:rPr>
        <w:t xml:space="preserve"> targeting</w:t>
      </w:r>
      <w:r w:rsidR="00F76D18">
        <w:rPr>
          <w:lang w:val="en-IE"/>
        </w:rPr>
        <w:t xml:space="preserve"> computation</w:t>
      </w:r>
      <w:r w:rsidR="002104B7">
        <w:rPr>
          <w:lang w:val="en-IE"/>
        </w:rPr>
        <w:t xml:space="preserve"> power</w:t>
      </w:r>
      <w:r w:rsidR="00F76D18">
        <w:rPr>
          <w:lang w:val="en-IE"/>
        </w:rPr>
        <w:t>, network</w:t>
      </w:r>
      <w:r w:rsidR="002104B7">
        <w:rPr>
          <w:lang w:val="en-IE"/>
        </w:rPr>
        <w:t xml:space="preserve"> and storage.</w:t>
      </w:r>
    </w:p>
  </w:footnote>
  <w:footnote w:id="208">
    <w:p w14:paraId="66FA46E4" w14:textId="755ADCE4" w:rsidR="00153579" w:rsidRPr="00CF355E" w:rsidRDefault="00153579">
      <w:pPr>
        <w:pStyle w:val="FootnoteText"/>
        <w:rPr>
          <w:lang w:val="en-IE"/>
        </w:rPr>
      </w:pPr>
      <w:r>
        <w:rPr>
          <w:rStyle w:val="FootnoteReference"/>
        </w:rPr>
        <w:footnoteRef/>
      </w:r>
      <w:r w:rsidRPr="00D024A9">
        <w:rPr>
          <w:lang w:val="en-IE"/>
        </w:rPr>
        <w:t xml:space="preserve"> See </w:t>
      </w:r>
      <w:hyperlink r:id="rId98" w:history="1">
        <w:r w:rsidRPr="00D024A9">
          <w:rPr>
            <w:rStyle w:val="Hyperlink"/>
            <w:lang w:val="en-IE"/>
          </w:rPr>
          <w:t>G-Cloud</w:t>
        </w:r>
      </w:hyperlink>
      <w:r w:rsidRPr="00D024A9">
        <w:rPr>
          <w:lang w:val="en-IE"/>
        </w:rPr>
        <w:t xml:space="preserve"> </w:t>
      </w:r>
      <w:r w:rsidR="00405D84">
        <w:rPr>
          <w:lang w:val="en-IE"/>
        </w:rPr>
        <w:t>tab, select “central government”, fiscal year “202</w:t>
      </w:r>
      <w:r w:rsidR="000E4BB7">
        <w:rPr>
          <w:lang w:val="en-IE"/>
        </w:rPr>
        <w:t>5</w:t>
      </w:r>
      <w:r w:rsidR="00405D84">
        <w:rPr>
          <w:lang w:val="en-IE"/>
        </w:rPr>
        <w:t xml:space="preserve"> – 202</w:t>
      </w:r>
      <w:r w:rsidR="000E4BB7">
        <w:rPr>
          <w:lang w:val="en-IE"/>
        </w:rPr>
        <w:t>5</w:t>
      </w:r>
      <w:r w:rsidR="00405D84">
        <w:rPr>
          <w:lang w:val="en-IE"/>
        </w:rPr>
        <w:t>”</w:t>
      </w:r>
    </w:p>
  </w:footnote>
  <w:footnote w:id="209">
    <w:p w14:paraId="1F89F829" w14:textId="77777777" w:rsidR="00FC22F9" w:rsidRDefault="00FC22F9" w:rsidP="00FC22F9">
      <w:pPr>
        <w:pStyle w:val="FootnoteText"/>
        <w:rPr>
          <w:lang w:val="en-IE"/>
        </w:rPr>
      </w:pPr>
      <w:r>
        <w:rPr>
          <w:rStyle w:val="FootnoteReference"/>
        </w:rPr>
        <w:footnoteRef/>
      </w:r>
      <w:r w:rsidRPr="00D507A5">
        <w:rPr>
          <w:lang w:val="en-US"/>
        </w:rPr>
        <w:t xml:space="preserve"> Andreas Menychtas, Kleopatra Konstanteli, Juncal Alonso, Leire Orue-Echevarria, Jesus Gorronogoitia, et al.. </w:t>
      </w:r>
      <w:r>
        <w:t xml:space="preserve">Software modernization and cloudification using the ARTIST migration methodology and framework. Scalable Computing : Practice and Experience, 2014, 15 (2), pp.131-152. </w:t>
      </w:r>
      <w:r>
        <w:rPr>
          <w:rFonts w:ascii="Cambria Math" w:hAnsi="Cambria Math" w:cs="Cambria Math"/>
        </w:rPr>
        <w:t>⟨</w:t>
      </w:r>
      <w:r>
        <w:t>10.12694/scpe.v15i2.938</w:t>
      </w:r>
      <w:r>
        <w:rPr>
          <w:rFonts w:ascii="Cambria Math" w:hAnsi="Cambria Math" w:cs="Cambria Math"/>
        </w:rPr>
        <w:t>⟩</w:t>
      </w:r>
      <w:r>
        <w:t xml:space="preserve">. </w:t>
      </w:r>
    </w:p>
  </w:footnote>
  <w:footnote w:id="210">
    <w:p w14:paraId="0B01F0E6" w14:textId="77777777" w:rsidR="00FC22F9" w:rsidRDefault="00FC22F9" w:rsidP="00FC22F9">
      <w:pPr>
        <w:pStyle w:val="FootnoteText"/>
        <w:rPr>
          <w:lang w:val="en-IE"/>
        </w:rPr>
      </w:pPr>
      <w:r>
        <w:rPr>
          <w:rStyle w:val="FootnoteReference"/>
        </w:rPr>
        <w:footnoteRef/>
      </w:r>
      <w:r>
        <w:t xml:space="preserve"> J. Alonso, L. Orue-Echevarria, M. Escalante, J. Gorroñogoitia and D. Presenza, "Cloud modernization assessment framework: Analyzing the impact of a potential migration to Cloud," </w:t>
      </w:r>
      <w:r>
        <w:rPr>
          <w:i/>
          <w:iCs/>
        </w:rPr>
        <w:t>2013 IEEE 7th International Symposium on the Maintenance and Evolution of Service-Oriented and Cloud-Based Systems</w:t>
      </w:r>
      <w:r>
        <w:t xml:space="preserve">, Eindhoven, Netherlands, 2013, pp. 64-73, doi: 10.1109/MESOCA.2013.6632736. </w:t>
      </w:r>
    </w:p>
  </w:footnote>
  <w:footnote w:id="211">
    <w:p w14:paraId="64835D47" w14:textId="77777777" w:rsidR="00FC22F9" w:rsidRDefault="00FC22F9" w:rsidP="00FC22F9">
      <w:pPr>
        <w:pStyle w:val="FootnoteText"/>
        <w:rPr>
          <w:lang w:val="en-IE"/>
        </w:rPr>
      </w:pPr>
      <w:r>
        <w:rPr>
          <w:rStyle w:val="FootnoteReference"/>
        </w:rPr>
        <w:footnoteRef/>
      </w:r>
      <w:r>
        <w:t xml:space="preserve"> Orue-Echevarría Arrieta, L. (2016). From software as a good to software as a service (SAAS): a methodology to define the transformation towards the SAAS business model. Universitat Abat Oliba. </w:t>
      </w:r>
      <w:hyperlink r:id="rId99" w:history="1">
        <w:r>
          <w:rPr>
            <w:rStyle w:val="Hyperlink"/>
          </w:rPr>
          <w:t>https://hdl.handle.net/10803/398024</w:t>
        </w:r>
      </w:hyperlink>
      <w:r>
        <w:t xml:space="preserve"> </w:t>
      </w:r>
    </w:p>
  </w:footnote>
  <w:footnote w:id="212">
    <w:p w14:paraId="13AFB001" w14:textId="5876EA01" w:rsidR="00CB4979" w:rsidRPr="00487199" w:rsidRDefault="00CB4979">
      <w:pPr>
        <w:pStyle w:val="FootnoteText"/>
        <w:rPr>
          <w:lang w:val="en-IE"/>
        </w:rPr>
      </w:pPr>
      <w:r>
        <w:rPr>
          <w:rStyle w:val="FootnoteReference"/>
        </w:rPr>
        <w:footnoteRef/>
      </w:r>
      <w:r>
        <w:t xml:space="preserve"> </w:t>
      </w:r>
      <w:r w:rsidRPr="00CB4979">
        <w:t>Pahl, C., Xiong, H., Walshe, R. (2013). A Comparison of On-Premise to Cloud Migration Approaches. In: Lau, KK., Lamersdorf, W., Pimentel, E. (eds) Service-Oriented and Cloud Computing. ESOCC 2013. Lecture Notes in Computer Science, vol 8135. Springer, Berlin, Heidelberg. https://doi.org/10.1007/978-3-642-40651-5_18</w:t>
      </w:r>
    </w:p>
  </w:footnote>
  <w:footnote w:id="213">
    <w:p w14:paraId="5784F58A" w14:textId="1D2E16A3" w:rsidR="000214ED" w:rsidRPr="00487199" w:rsidRDefault="000214ED">
      <w:pPr>
        <w:pStyle w:val="FootnoteText"/>
        <w:rPr>
          <w:lang w:val="en-IE"/>
        </w:rPr>
      </w:pPr>
      <w:r>
        <w:rPr>
          <w:rStyle w:val="FootnoteReference"/>
        </w:rPr>
        <w:footnoteRef/>
      </w:r>
      <w:r>
        <w:t xml:space="preserve"> </w:t>
      </w:r>
      <w:r w:rsidRPr="000214ED">
        <w:t>P. Jamshidi, A. Ahmad and C. Pahl, "Cloud Migration Research: A Systematic Review," in </w:t>
      </w:r>
      <w:r w:rsidRPr="000214ED">
        <w:rPr>
          <w:i/>
          <w:iCs/>
        </w:rPr>
        <w:t>IEEE Transactions on Cloud Computing</w:t>
      </w:r>
      <w:r w:rsidRPr="000214ED">
        <w:t>, vol. 1, no. 2, pp. 142-157, July-December 2013, doi: 10.1109/TCC.2013.10.</w:t>
      </w:r>
    </w:p>
  </w:footnote>
  <w:footnote w:id="214">
    <w:p w14:paraId="44964E74" w14:textId="65B8D9F8" w:rsidR="00084D8F" w:rsidRPr="00240B63" w:rsidRDefault="00084D8F">
      <w:pPr>
        <w:pStyle w:val="FootnoteText"/>
        <w:rPr>
          <w:lang w:val="en-IE"/>
        </w:rPr>
      </w:pPr>
      <w:r>
        <w:rPr>
          <w:rStyle w:val="FootnoteReference"/>
        </w:rPr>
        <w:footnoteRef/>
      </w:r>
      <w:r>
        <w:t xml:space="preserve"> </w:t>
      </w:r>
      <w:r w:rsidRPr="00240B63">
        <w:rPr>
          <w:lang w:val="en-IE"/>
        </w:rPr>
        <w:t>A mig</w:t>
      </w:r>
      <w:r>
        <w:rPr>
          <w:lang w:val="en-IE"/>
        </w:rPr>
        <w:t xml:space="preserve">ration wave </w:t>
      </w:r>
      <w:r w:rsidR="002041F7">
        <w:rPr>
          <w:lang w:val="en-IE"/>
        </w:rPr>
        <w:t>breaks down migration proj</w:t>
      </w:r>
      <w:r w:rsidR="0060588B">
        <w:rPr>
          <w:lang w:val="en-IE"/>
        </w:rPr>
        <w:t xml:space="preserve">ects into </w:t>
      </w:r>
      <w:r w:rsidR="00207AFB">
        <w:rPr>
          <w:lang w:val="en-IE"/>
        </w:rPr>
        <w:t xml:space="preserve">more manageable </w:t>
      </w:r>
      <w:r w:rsidR="00A27541">
        <w:rPr>
          <w:lang w:val="en-IE"/>
        </w:rPr>
        <w:t>batches</w:t>
      </w:r>
      <w:r w:rsidR="001F6692">
        <w:rPr>
          <w:lang w:val="en-IE"/>
        </w:rPr>
        <w:t xml:space="preserve"> for </w:t>
      </w:r>
      <w:r w:rsidR="00A53F47">
        <w:rPr>
          <w:lang w:val="en-IE"/>
        </w:rPr>
        <w:t>synchronized and concurrent migration</w:t>
      </w:r>
      <w:r w:rsidR="00A27541">
        <w:rPr>
          <w:lang w:val="en-IE"/>
        </w:rPr>
        <w:t>. This is an iterative approach</w:t>
      </w:r>
      <w:r w:rsidR="001F6692">
        <w:rPr>
          <w:lang w:val="en-IE"/>
        </w:rPr>
        <w:t xml:space="preserve"> that allows organizations </w:t>
      </w:r>
      <w:r w:rsidR="00A53F47">
        <w:rPr>
          <w:lang w:val="en-IE"/>
        </w:rPr>
        <w:t>to minimize business disruption</w:t>
      </w:r>
      <w:r w:rsidR="00E31D7E">
        <w:rPr>
          <w:lang w:val="en-IE"/>
        </w:rPr>
        <w:t xml:space="preserve"> and risk, as well as incorporate the lessons learned from the previous wave into the next one.</w:t>
      </w:r>
    </w:p>
  </w:footnote>
  <w:footnote w:id="215">
    <w:p w14:paraId="1E9E4FB3" w14:textId="77777777" w:rsidR="00FC22F9" w:rsidRDefault="00FC22F9" w:rsidP="00FC22F9">
      <w:pPr>
        <w:pStyle w:val="FootnoteText"/>
        <w:rPr>
          <w:rFonts w:asciiTheme="minorHAnsi" w:hAnsiTheme="minorHAnsi" w:cstheme="minorBidi"/>
          <w:lang w:val="en-IE"/>
        </w:rPr>
      </w:pPr>
      <w:r>
        <w:rPr>
          <w:rStyle w:val="FootnoteReference"/>
        </w:rPr>
        <w:footnoteRef/>
      </w:r>
      <w:r>
        <w:t xml:space="preserve"> </w:t>
      </w:r>
      <w:r>
        <w:rPr>
          <w:lang w:val="en-IE"/>
        </w:rPr>
        <w:t>Responsible, Accountable, Consulted, Informed</w:t>
      </w:r>
    </w:p>
  </w:footnote>
  <w:footnote w:id="216">
    <w:p w14:paraId="5616F2E9" w14:textId="03A8042D" w:rsidR="00F44654" w:rsidRDefault="00F44654" w:rsidP="00F44654">
      <w:pPr>
        <w:pStyle w:val="FootnoteText"/>
        <w:rPr>
          <w:lang w:val="en-IE"/>
        </w:rPr>
      </w:pPr>
      <w:r>
        <w:rPr>
          <w:rStyle w:val="FootnoteReference"/>
        </w:rPr>
        <w:footnoteRef/>
      </w:r>
      <w:r>
        <w:t xml:space="preserve"> </w:t>
      </w:r>
      <w:hyperlink r:id="rId100" w:history="1">
        <w:r>
          <w:rPr>
            <w:rStyle w:val="Hyperlink"/>
            <w:lang w:val="en-IE"/>
          </w:rPr>
          <w:t>Cloud migration cost calculator</w:t>
        </w:r>
      </w:hyperlink>
      <w:r w:rsidR="002D53F7">
        <w:t xml:space="preserve"> provides a calculator to </w:t>
      </w:r>
      <w:r w:rsidR="000271AA">
        <w:t xml:space="preserve">calculate </w:t>
      </w:r>
      <w:r w:rsidR="005C666E">
        <w:t xml:space="preserve">where </w:t>
      </w:r>
      <w:r w:rsidR="000271AA">
        <w:t xml:space="preserve">the </w:t>
      </w:r>
      <w:r w:rsidR="00563C25">
        <w:t xml:space="preserve"> user can insert the type of migration </w:t>
      </w:r>
      <w:r w:rsidR="00DB6513">
        <w:t xml:space="preserve">he is targeting </w:t>
      </w:r>
      <w:r w:rsidR="00563C25">
        <w:t xml:space="preserve">(public to public, public to private and </w:t>
      </w:r>
      <w:r w:rsidR="00806EE4">
        <w:t>to which of the large three hyperscalers, the criticality of the application,</w:t>
      </w:r>
      <w:r w:rsidR="009257C8">
        <w:t xml:space="preserve"> the workload size, the data migration size, the migration strategy – rehost, replatform, refactor and other aspects such as observability, </w:t>
      </w:r>
      <w:r w:rsidR="00190B0E">
        <w:t>landing zone, security hardening, DevOps pipelines, and team training</w:t>
      </w:r>
      <w:r w:rsidR="00DB6513">
        <w:t>)</w:t>
      </w:r>
      <w:r w:rsidR="00190B0E">
        <w:t xml:space="preserve">. </w:t>
      </w:r>
      <w:hyperlink r:id="rId101" w:history="1">
        <w:r>
          <w:rPr>
            <w:rStyle w:val="Hyperlink"/>
          </w:rPr>
          <w:t>Cloud Migration Cost Analysis: Lift-and-Shift vs. Refactoring</w:t>
        </w:r>
      </w:hyperlink>
      <w:r>
        <w:t xml:space="preserve">; </w:t>
      </w:r>
      <w:hyperlink r:id="rId102" w:anchor="cloud-migration-costs" w:history="1">
        <w:r w:rsidRPr="000F6AB1">
          <w:rPr>
            <w:rStyle w:val="Hyperlink"/>
          </w:rPr>
          <w:t>Software Modernization Costs</w:t>
        </w:r>
      </w:hyperlink>
      <w:r w:rsidR="005C1018">
        <w:t xml:space="preserve"> </w:t>
      </w:r>
      <w:r w:rsidR="005C1018" w:rsidRPr="00373665">
        <w:t xml:space="preserve">provides </w:t>
      </w:r>
      <w:r w:rsidR="005C1018" w:rsidRPr="00240B63">
        <w:t>empirical benchmarks from 200+ real-world cloud-to-cloud migration projects out which 35 have reported cost data</w:t>
      </w:r>
      <w:r w:rsidR="005C1018" w:rsidRPr="005C1018">
        <w:t xml:space="preserve">. </w:t>
      </w:r>
      <w:r w:rsidR="00373665">
        <w:t>This source</w:t>
      </w:r>
      <w:r w:rsidR="005C1018" w:rsidRPr="005C1018">
        <w:t xml:space="preserve"> reports single-point median figures per strategy at enterprise scale</w:t>
      </w:r>
      <w:r w:rsidR="00373665">
        <w:t>, without any distinction per application size</w:t>
      </w:r>
      <w:r w:rsidR="009B2F5C">
        <w:t xml:space="preserve"> </w:t>
      </w:r>
      <w:hyperlink r:id="rId103" w:history="1">
        <w:r w:rsidR="00382770">
          <w:rPr>
            <w:rStyle w:val="Hyperlink"/>
          </w:rPr>
          <w:t>Cloudaware: Cloud Migration Costs in 2026: Complete Guide to Savings, Benefits &amp; Enterprise Planning</w:t>
        </w:r>
      </w:hyperlink>
      <w:r w:rsidR="00C6541B">
        <w:t xml:space="preserve"> </w:t>
      </w:r>
      <w:r w:rsidR="00C6541B" w:rsidRPr="00C6541B">
        <w:t>uses server or virtual machine count rather than application count as the primary sizing unit, which reflects an infrastructure-first (IaaS) perspective well-suited to compute-migration analysis.</w:t>
      </w:r>
      <w:r w:rsidR="00507E42">
        <w:t xml:space="preserve">; </w:t>
      </w:r>
      <w:hyperlink r:id="rId104" w:history="1">
        <w:r w:rsidR="00507E42" w:rsidRPr="00507E42">
          <w:rPr>
            <w:rStyle w:val="Hyperlink"/>
          </w:rPr>
          <w:t>Cloud Migration Cost Analysis: Rehost vs. Refactor</w:t>
        </w:r>
      </w:hyperlink>
      <w:r w:rsidR="00CC5345">
        <w:t xml:space="preserve"> provides </w:t>
      </w:r>
      <w:r w:rsidR="00CC5345" w:rsidRPr="00CC5345">
        <w:t xml:space="preserve">a representative numerical case drawn from </w:t>
      </w:r>
      <w:r w:rsidR="00CC5345">
        <w:t>the</w:t>
      </w:r>
      <w:r w:rsidR="00452BDF">
        <w:t>ir own</w:t>
      </w:r>
      <w:r w:rsidR="00CC5345">
        <w:t xml:space="preserve"> company,</w:t>
      </w:r>
      <w:r w:rsidR="00373665">
        <w:t xml:space="preserve"> </w:t>
      </w:r>
      <w:r w:rsidR="00CC5345">
        <w:t>Opsio</w:t>
      </w:r>
      <w:r w:rsidR="001B56B5">
        <w:t xml:space="preserve">, </w:t>
      </w:r>
      <w:r w:rsidR="00CC5345" w:rsidRPr="00CC5345">
        <w:t xml:space="preserve"> </w:t>
      </w:r>
      <w:r w:rsidR="001B56B5">
        <w:t xml:space="preserve">which </w:t>
      </w:r>
      <w:r w:rsidR="00CC5345" w:rsidRPr="00CC5345">
        <w:t>implement</w:t>
      </w:r>
      <w:r w:rsidR="001B56B5">
        <w:t xml:space="preserve">s migration </w:t>
      </w:r>
      <w:r w:rsidR="00CC5345" w:rsidRPr="00CC5345">
        <w:t>projects.</w:t>
      </w:r>
    </w:p>
  </w:footnote>
  <w:footnote w:id="217">
    <w:p w14:paraId="6EEDE48A" w14:textId="4F5740FF" w:rsidR="00DB7F11" w:rsidRPr="00DB7F11" w:rsidRDefault="00DB7F11">
      <w:pPr>
        <w:pStyle w:val="FootnoteText"/>
      </w:pPr>
      <w:r>
        <w:rPr>
          <w:rStyle w:val="FootnoteReference"/>
        </w:rPr>
        <w:footnoteRef/>
      </w:r>
      <w:r>
        <w:t xml:space="preserve"> </w:t>
      </w:r>
      <w:r w:rsidR="00BF63A9">
        <w:t>This range is explained in section 2.3.4 of the main document.</w:t>
      </w:r>
    </w:p>
  </w:footnote>
  <w:footnote w:id="218">
    <w:p w14:paraId="6C868A7B" w14:textId="73664CCC" w:rsidR="00D80483" w:rsidRPr="009A30D2" w:rsidRDefault="00D80483">
      <w:pPr>
        <w:pStyle w:val="FootnoteText"/>
        <w:rPr>
          <w:lang w:val="en-IE"/>
        </w:rPr>
      </w:pPr>
      <w:r>
        <w:rPr>
          <w:rStyle w:val="FootnoteReference"/>
        </w:rPr>
        <w:footnoteRef/>
      </w:r>
      <w:r>
        <w:t xml:space="preserve"> </w:t>
      </w:r>
      <w:r w:rsidRPr="009A30D2">
        <w:rPr>
          <w:i/>
        </w:rPr>
        <w:t xml:space="preserve">Agentic AI </w:t>
      </w:r>
      <w:r w:rsidRPr="00D80483">
        <w:t xml:space="preserve">is an autonomous system that leverages from specialized AI agents to </w:t>
      </w:r>
      <w:r w:rsidR="000B72EA" w:rsidRPr="00D80483">
        <w:t>analyse</w:t>
      </w:r>
      <w:r w:rsidRPr="00D80483">
        <w:t>, refactor, transform, and validate legacy codebases with minimal human intervention. Traditional code generation tools often only suggested snippets of code or the structure of the application, whereas agentic AI promises to manage independently the entire end-to-end migration process, including the decomposition of a monolithic application to migrating to the new language and platform maintaining the full functionality</w:t>
      </w:r>
    </w:p>
  </w:footnote>
  <w:footnote w:id="219">
    <w:p w14:paraId="51D5E23F" w14:textId="2BB1F934" w:rsidR="00DA5204" w:rsidRPr="009A30D2" w:rsidRDefault="00DA5204">
      <w:pPr>
        <w:pStyle w:val="FootnoteText"/>
        <w:rPr>
          <w:lang w:val="en-IE"/>
        </w:rPr>
      </w:pPr>
      <w:r>
        <w:rPr>
          <w:rStyle w:val="FootnoteReference"/>
        </w:rPr>
        <w:footnoteRef/>
      </w:r>
      <w:r>
        <w:t xml:space="preserve"> </w:t>
      </w:r>
      <w:r w:rsidR="006B58B7">
        <w:t xml:space="preserve">See IBM, </w:t>
      </w:r>
      <w:hyperlink r:id="rId105" w:anchor=":~:text=Agentic%20AI%20takes%20pushes%20AI,is%20aligned%20with%20business%20outcomes." w:history="1">
        <w:r w:rsidRPr="00F97E73">
          <w:rPr>
            <w:rStyle w:val="Hyperlink"/>
            <w:lang w:val="en-IE"/>
          </w:rPr>
          <w:t>Reimagining the application migration and modernization value-chain: The agentic way</w:t>
        </w:r>
      </w:hyperlink>
    </w:p>
  </w:footnote>
  <w:footnote w:id="220">
    <w:p w14:paraId="18CA00D4" w14:textId="64BA1447" w:rsidR="00D5765F" w:rsidRPr="00D5765F" w:rsidRDefault="00D5765F">
      <w:pPr>
        <w:pStyle w:val="FootnoteText"/>
      </w:pPr>
      <w:r>
        <w:rPr>
          <w:rStyle w:val="FootnoteReference"/>
        </w:rPr>
        <w:footnoteRef/>
      </w:r>
      <w:r w:rsidRPr="00B268C0">
        <w:rPr>
          <w:lang w:val="en-US"/>
        </w:rPr>
        <w:t xml:space="preserve"> </w:t>
      </w:r>
      <w:r w:rsidR="008B5BC3" w:rsidRPr="00B268C0">
        <w:rPr>
          <w:lang w:val="en-US"/>
        </w:rPr>
        <w:t xml:space="preserve">Bandi, A., Kongari, B., Naguru, R., Pasnoor, S., &amp; Vilipala, S. V. (2025). </w:t>
      </w:r>
      <w:r w:rsidR="008B5BC3" w:rsidRPr="008B5BC3">
        <w:t>The Rise of Agentic AI: A Review of Definitions, Frameworks, Architectures, Applications, Evaluation Metrics, and Challenges. </w:t>
      </w:r>
      <w:r w:rsidR="008B5BC3" w:rsidRPr="008B5BC3">
        <w:rPr>
          <w:i/>
          <w:iCs/>
        </w:rPr>
        <w:t>Future Internet</w:t>
      </w:r>
      <w:r w:rsidR="008B5BC3" w:rsidRPr="008B5BC3">
        <w:t>, </w:t>
      </w:r>
      <w:r w:rsidR="008B5BC3" w:rsidRPr="008B5BC3">
        <w:rPr>
          <w:i/>
          <w:iCs/>
        </w:rPr>
        <w:t>17</w:t>
      </w:r>
      <w:r w:rsidR="008B5BC3" w:rsidRPr="008B5BC3">
        <w:t>(9), 404. https://doi.org/10.3390/fi17090404</w:t>
      </w:r>
    </w:p>
  </w:footnote>
  <w:footnote w:id="221">
    <w:p w14:paraId="3A69B57E" w14:textId="78A9D1AF" w:rsidR="00244B3C" w:rsidRPr="009A30D2" w:rsidRDefault="00244B3C">
      <w:pPr>
        <w:pStyle w:val="FootnoteText"/>
        <w:rPr>
          <w:lang w:val="en-IE"/>
        </w:rPr>
      </w:pPr>
      <w:r>
        <w:rPr>
          <w:rStyle w:val="FootnoteReference"/>
        </w:rPr>
        <w:footnoteRef/>
      </w:r>
      <w:r>
        <w:t xml:space="preserve"> </w:t>
      </w:r>
      <w:r w:rsidRPr="009A30D2">
        <w:rPr>
          <w:lang w:val="en-IE"/>
        </w:rPr>
        <w:t xml:space="preserve">Low </w:t>
      </w:r>
      <w:r>
        <w:rPr>
          <w:lang w:val="en-IE"/>
        </w:rPr>
        <w:t>code platforms</w:t>
      </w:r>
      <w:r w:rsidR="00866A71">
        <w:rPr>
          <w:lang w:val="en-IE"/>
        </w:rPr>
        <w:t xml:space="preserve"> is a software development environment that allows for the development of applications </w:t>
      </w:r>
      <w:r w:rsidR="00F56F50" w:rsidRPr="00F56F50">
        <w:t>us</w:t>
      </w:r>
      <w:r w:rsidR="00F56F50">
        <w:t>ing</w:t>
      </w:r>
      <w:r w:rsidR="00F56F50" w:rsidRPr="00F56F50">
        <w:t xml:space="preserve"> visual, drag-and-drop interfaces instead of extensive manual coding</w:t>
      </w:r>
      <w:r w:rsidR="00F2269D">
        <w:t xml:space="preserve">, leveraging from model-driven design (MDD) and pre-built components. </w:t>
      </w:r>
      <w:r w:rsidR="00D02349">
        <w:t>No code platforms follow the same approach as low code</w:t>
      </w:r>
      <w:r w:rsidR="004F31E6">
        <w:t xml:space="preserve"> platforms but in this </w:t>
      </w:r>
      <w:r w:rsidR="000B72EA">
        <w:t>case,</w:t>
      </w:r>
      <w:r w:rsidR="004F31E6">
        <w:t xml:space="preserve"> </w:t>
      </w:r>
      <w:r w:rsidR="009623BF">
        <w:t>there</w:t>
      </w:r>
      <w:r w:rsidR="004F31E6">
        <w:t xml:space="preserve"> is no need to write any line of code. </w:t>
      </w:r>
      <w:r w:rsidR="00964ECB">
        <w:t>While often used together, low code allows for the inclusion of custom code, wher</w:t>
      </w:r>
      <w:r w:rsidR="0025165D">
        <w:t>eas no code is more restrictive and focused on non-technical users.</w:t>
      </w:r>
      <w:r w:rsidR="009623BF">
        <w:t xml:space="preserve"> Source: </w:t>
      </w:r>
      <w:hyperlink r:id="rId106" w:history="1">
        <w:r w:rsidR="009623BF" w:rsidRPr="009623BF">
          <w:rPr>
            <w:rStyle w:val="Hyperlink"/>
          </w:rPr>
          <w:t>IBM</w:t>
        </w:r>
      </w:hyperlink>
    </w:p>
  </w:footnote>
  <w:footnote w:id="222">
    <w:p w14:paraId="6794035C" w14:textId="2E66751E" w:rsidR="00DF206F" w:rsidRPr="009A30D2" w:rsidRDefault="00DF206F">
      <w:pPr>
        <w:pStyle w:val="FootnoteText"/>
        <w:rPr>
          <w:lang w:val="en-IE"/>
        </w:rPr>
      </w:pPr>
      <w:r>
        <w:rPr>
          <w:rStyle w:val="FootnoteReference"/>
        </w:rPr>
        <w:footnoteRef/>
      </w:r>
      <w:r>
        <w:t xml:space="preserve"> </w:t>
      </w:r>
      <w:r w:rsidRPr="00DF206F">
        <w:t>Wang, H., Gong, J., Zhang, H., Xu, J., &amp; Wang, Z. (2025). Ai agentic programming: A survey of techniques, challenges, and opportunities. </w:t>
      </w:r>
      <w:r w:rsidRPr="00DF206F">
        <w:rPr>
          <w:i/>
          <w:iCs/>
        </w:rPr>
        <w:t>arXiv preprint arXiv:2508.11126</w:t>
      </w:r>
      <w:r w:rsidRPr="00DF206F">
        <w:t>.</w:t>
      </w:r>
    </w:p>
  </w:footnote>
  <w:footnote w:id="223">
    <w:p w14:paraId="453CF29B" w14:textId="77777777" w:rsidR="00FC22F9" w:rsidRDefault="00FC22F9" w:rsidP="00FC22F9">
      <w:pPr>
        <w:pStyle w:val="FootnoteText"/>
        <w:rPr>
          <w:lang w:val="en-IE"/>
        </w:rPr>
      </w:pPr>
      <w:r>
        <w:rPr>
          <w:rStyle w:val="FootnoteReference"/>
        </w:rPr>
        <w:footnoteRef/>
      </w:r>
      <w:r>
        <w:t xml:space="preserve"> See for example this reported experiences </w:t>
      </w:r>
      <w:hyperlink r:id="rId107" w:history="1">
        <w:r>
          <w:rPr>
            <w:rStyle w:val="Hyperlink"/>
          </w:rPr>
          <w:t>https://european.cloud/2025/06/a-basic-look-at-pricing-of-european-cloud-vendors/</w:t>
        </w:r>
      </w:hyperlink>
      <w:r>
        <w:t xml:space="preserve"> , </w:t>
      </w:r>
      <w:hyperlink r:id="rId108" w:history="1">
        <w:r>
          <w:rPr>
            <w:rStyle w:val="Hyperlink"/>
          </w:rPr>
          <w:t>https://www.dataminded.com/resources/cloud-independence-testing-a-european-cloud-provider-against-the-giants</w:t>
        </w:r>
      </w:hyperlink>
      <w:r>
        <w:t xml:space="preserve">, </w:t>
      </w:r>
      <w:hyperlink r:id="rId109" w:history="1">
        <w:r>
          <w:rPr>
            <w:rStyle w:val="Hyperlink"/>
          </w:rPr>
          <w:t>https://www.fromeuropewithlove.eu/en/blog/european-cloud-providers-vs-aws-comparison-2026</w:t>
        </w:r>
      </w:hyperlink>
    </w:p>
  </w:footnote>
  <w:footnote w:id="224">
    <w:p w14:paraId="5906F761" w14:textId="410185F8" w:rsidR="00984176" w:rsidRPr="00B268C0" w:rsidRDefault="00984176">
      <w:pPr>
        <w:pStyle w:val="FootnoteText"/>
        <w:rPr>
          <w:lang w:val="en-IE"/>
        </w:rPr>
      </w:pPr>
      <w:r>
        <w:rPr>
          <w:rStyle w:val="FootnoteReference"/>
        </w:rPr>
        <w:footnoteRef/>
      </w:r>
      <w:r>
        <w:t xml:space="preserve"> </w:t>
      </w:r>
      <w:hyperlink r:id="rId110" w:history="1">
        <w:r w:rsidRPr="00984176">
          <w:rPr>
            <w:rStyle w:val="Hyperlink"/>
          </w:rPr>
          <w:t>BCG</w:t>
        </w:r>
      </w:hyperlink>
    </w:p>
  </w:footnote>
  <w:footnote w:id="225">
    <w:p w14:paraId="78525C0F" w14:textId="735C80E5" w:rsidR="004C5DF4" w:rsidRPr="006B15F5" w:rsidRDefault="004C5DF4">
      <w:pPr>
        <w:pStyle w:val="FootnoteText"/>
        <w:rPr>
          <w:lang w:val="en-IE"/>
        </w:rPr>
      </w:pPr>
      <w:r>
        <w:rPr>
          <w:rStyle w:val="FootnoteReference"/>
        </w:rPr>
        <w:footnoteRef/>
      </w:r>
      <w:r>
        <w:t xml:space="preserve"> </w:t>
      </w:r>
      <w:r w:rsidR="004D166B">
        <w:rPr>
          <w:lang w:val="en-IE"/>
        </w:rPr>
        <w:t xml:space="preserve">Rationale for the range is described in section 2.3.4. of the main document. </w:t>
      </w:r>
    </w:p>
  </w:footnote>
  <w:footnote w:id="226">
    <w:p w14:paraId="1B68A054" w14:textId="19022AD1" w:rsidR="00267A5D" w:rsidRPr="006B15F5" w:rsidRDefault="00267A5D">
      <w:pPr>
        <w:pStyle w:val="FootnoteText"/>
        <w:rPr>
          <w:lang w:val="en-IE"/>
        </w:rPr>
      </w:pPr>
      <w:r>
        <w:rPr>
          <w:rStyle w:val="FootnoteReference"/>
        </w:rPr>
        <w:footnoteRef/>
      </w:r>
      <w:r>
        <w:t xml:space="preserve"> See </w:t>
      </w:r>
      <w:hyperlink r:id="rId111" w:history="1">
        <w:r w:rsidRPr="00267A5D">
          <w:rPr>
            <w:rStyle w:val="Hyperlink"/>
          </w:rPr>
          <w:t>Eurostat</w:t>
        </w:r>
      </w:hyperlink>
      <w:r>
        <w:t xml:space="preserve"> </w:t>
      </w:r>
    </w:p>
  </w:footnote>
  <w:footnote w:id="227">
    <w:p w14:paraId="6B3E5EDB" w14:textId="635DE8C0" w:rsidR="00EB70DA" w:rsidRPr="00EB70DA" w:rsidRDefault="00EB70DA">
      <w:pPr>
        <w:pStyle w:val="FootnoteText"/>
      </w:pPr>
      <w:r>
        <w:rPr>
          <w:rStyle w:val="FootnoteReference"/>
        </w:rPr>
        <w:footnoteRef/>
      </w:r>
      <w:r>
        <w:t xml:space="preserve"> </w:t>
      </w:r>
      <w:hyperlink r:id="rId112" w:history="1">
        <w:r>
          <w:rPr>
            <w:rStyle w:val="Hyperlink"/>
            <w:szCs w:val="18"/>
            <w:lang w:val="en-IE"/>
          </w:rPr>
          <w:t>OVH</w:t>
        </w:r>
      </w:hyperlink>
    </w:p>
  </w:footnote>
  <w:footnote w:id="228">
    <w:p w14:paraId="2EC5C31D" w14:textId="73B6E60C" w:rsidR="00EB70DA" w:rsidRPr="004447E9" w:rsidRDefault="00EB70DA">
      <w:pPr>
        <w:pStyle w:val="FootnoteText"/>
      </w:pPr>
      <w:r>
        <w:rPr>
          <w:rStyle w:val="FootnoteReference"/>
        </w:rPr>
        <w:footnoteRef/>
      </w:r>
      <w:r>
        <w:t xml:space="preserve"> </w:t>
      </w:r>
      <w:hyperlink r:id="rId113" w:history="1">
        <w:r>
          <w:rPr>
            <w:rStyle w:val="Hyperlink"/>
            <w:szCs w:val="18"/>
            <w:lang w:val="en-IE"/>
          </w:rPr>
          <w:t>Ionos</w:t>
        </w:r>
      </w:hyperlink>
    </w:p>
  </w:footnote>
  <w:footnote w:id="229">
    <w:p w14:paraId="4384D4CD" w14:textId="3698D549" w:rsidR="00EB70DA" w:rsidRPr="006B15F5" w:rsidRDefault="00EB70DA">
      <w:pPr>
        <w:pStyle w:val="FootnoteText"/>
        <w:rPr>
          <w:lang w:val="en-IE"/>
        </w:rPr>
      </w:pPr>
      <w:r>
        <w:rPr>
          <w:rStyle w:val="FootnoteReference"/>
        </w:rPr>
        <w:footnoteRef/>
      </w:r>
      <w:r>
        <w:t xml:space="preserve"> </w:t>
      </w:r>
      <w:hyperlink r:id="rId114" w:history="1">
        <w:r>
          <w:rPr>
            <w:rStyle w:val="Hyperlink"/>
            <w:szCs w:val="18"/>
            <w:lang w:val="en-IE"/>
          </w:rPr>
          <w:t>Stackit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C415" w14:textId="77777777" w:rsidR="00E634B8" w:rsidRPr="00E634B8" w:rsidRDefault="00E634B8" w:rsidP="00E634B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6CA7E" w14:textId="77777777" w:rsidR="00E634B8" w:rsidRPr="00E634B8" w:rsidRDefault="00E634B8" w:rsidP="00E634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89C69" w14:textId="77777777" w:rsidR="00E634B8" w:rsidRPr="00E634B8" w:rsidRDefault="00E634B8" w:rsidP="00E634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3938E" w14:textId="77777777" w:rsidR="00C15BB3" w:rsidRDefault="00C15B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0B48" w14:textId="77777777" w:rsidR="000F76C1" w:rsidRDefault="000F7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84B5" w14:textId="77777777" w:rsidR="00C62B51" w:rsidRDefault="00C62B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CAFAE" w14:textId="77777777" w:rsidR="0099524E" w:rsidRDefault="0099524E"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83AD" w14:textId="77777777" w:rsidR="0099524E" w:rsidRDefault="0099524E"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ED9ED" w14:textId="77777777" w:rsidR="0099524E" w:rsidRDefault="0099524E"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3DED" w14:textId="77777777" w:rsidR="00CB0904" w:rsidRDefault="00CB0904"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EFBDA" w14:textId="77777777" w:rsidR="00CB0904" w:rsidRDefault="00CB0904"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FDFA8" w14:textId="77777777" w:rsidR="00CB0904" w:rsidRDefault="00CB0904"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B26C4" w14:textId="77777777" w:rsidR="00CB0904" w:rsidRDefault="00CB0904"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36C78" w14:textId="77777777" w:rsidR="00CB0904" w:rsidRDefault="00CB0904"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F85FD" w14:textId="77777777" w:rsidR="00CB0904" w:rsidRDefault="00CB0904" w:rsidP="000E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F815" w14:textId="77777777" w:rsidR="00CB0904" w:rsidRDefault="00CB0904" w:rsidP="000E30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2F9A7" w14:textId="77777777" w:rsidR="00CB0904" w:rsidRDefault="00CB0904" w:rsidP="000E308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D95BF" w14:textId="77777777" w:rsidR="00CB0904" w:rsidRDefault="00CB0904" w:rsidP="000E30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41A5" w14:textId="77777777" w:rsidR="00CB0904" w:rsidRDefault="00CB0904"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multilevel"/>
    <w:tmpl w:val="1C042CD2"/>
    <w:styleLink w:val="CurrentList21"/>
    <w:lvl w:ilvl="0">
      <w:start w:val="6"/>
      <w:numFmt w:val="decimal"/>
      <w:lvlText w:val="%1"/>
      <w:lvlJc w:val="left"/>
      <w:pPr>
        <w:ind w:left="480" w:hanging="480"/>
      </w:pPr>
      <w:rPr>
        <w:rFonts w:hint="default"/>
      </w:rPr>
    </w:lvl>
    <w:lvl w:ilvl="1">
      <w:start w:val="2"/>
      <w:numFmt w:val="decimal"/>
      <w:lvlText w:val="%1.%2"/>
      <w:lvlJc w:val="left"/>
      <w:pPr>
        <w:ind w:left="1947" w:hanging="48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abstractNum w:abstractNumId="1" w15:restartNumberingAfterBreak="0">
    <w:nsid w:val="01A8303B"/>
    <w:multiLevelType w:val="hybridMultilevel"/>
    <w:tmpl w:val="B5668B12"/>
    <w:lvl w:ilvl="0" w:tplc="46B0459A">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2006B66"/>
    <w:multiLevelType w:val="hybridMultilevel"/>
    <w:tmpl w:val="F5462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11010C"/>
    <w:multiLevelType w:val="hybridMultilevel"/>
    <w:tmpl w:val="C5BAFEA4"/>
    <w:lvl w:ilvl="0" w:tplc="5D12DD5E">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621C23"/>
    <w:multiLevelType w:val="multilevel"/>
    <w:tmpl w:val="54AA72B0"/>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2A77BFE"/>
    <w:multiLevelType w:val="multilevel"/>
    <w:tmpl w:val="0EF04F72"/>
    <w:lvl w:ilvl="0">
      <w:start w:val="7"/>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 w15:restartNumberingAfterBreak="0">
    <w:nsid w:val="038D560A"/>
    <w:multiLevelType w:val="hybridMultilevel"/>
    <w:tmpl w:val="195AF932"/>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456094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4F966F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5584281"/>
    <w:multiLevelType w:val="hybridMultilevel"/>
    <w:tmpl w:val="03A8B6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7E76124"/>
    <w:multiLevelType w:val="multilevel"/>
    <w:tmpl w:val="9B802778"/>
    <w:lvl w:ilvl="0">
      <w:start w:val="12"/>
      <w:numFmt w:val="decimal"/>
      <w:lvlText w:val="%1"/>
      <w:lvlJc w:val="left"/>
      <w:pPr>
        <w:ind w:left="420" w:hanging="420"/>
      </w:pPr>
      <w:rPr>
        <w:rFonts w:hint="default"/>
      </w:rPr>
    </w:lvl>
    <w:lvl w:ilvl="1">
      <w:start w:val="1"/>
      <w:numFmt w:val="decimal"/>
      <w:lvlText w:val="%1.%2"/>
      <w:lvlJc w:val="left"/>
      <w:pPr>
        <w:ind w:left="1620" w:hanging="420"/>
      </w:pPr>
      <w:rPr>
        <w:rFonts w:hint="default"/>
        <w:b/>
        <w:bCs/>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11" w15:restartNumberingAfterBreak="0">
    <w:nsid w:val="08717F30"/>
    <w:multiLevelType w:val="hybridMultilevel"/>
    <w:tmpl w:val="40F8D566"/>
    <w:lvl w:ilvl="0" w:tplc="1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9D0FD2"/>
    <w:multiLevelType w:val="multilevel"/>
    <w:tmpl w:val="7F0C6356"/>
    <w:lvl w:ilvl="0">
      <w:start w:val="2"/>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8C75F83"/>
    <w:multiLevelType w:val="multilevel"/>
    <w:tmpl w:val="F9EC5F52"/>
    <w:lvl w:ilvl="0">
      <w:start w:val="1"/>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973357E"/>
    <w:multiLevelType w:val="multilevel"/>
    <w:tmpl w:val="182A4186"/>
    <w:lvl w:ilvl="0">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9C91566"/>
    <w:multiLevelType w:val="hybridMultilevel"/>
    <w:tmpl w:val="1DE8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CA27EC"/>
    <w:multiLevelType w:val="multilevel"/>
    <w:tmpl w:val="182A4186"/>
    <w:lvl w:ilvl="0">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0C4157F3"/>
    <w:multiLevelType w:val="hybridMultilevel"/>
    <w:tmpl w:val="98AC91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C9A34E5"/>
    <w:multiLevelType w:val="multilevel"/>
    <w:tmpl w:val="C55CD438"/>
    <w:lvl w:ilvl="0">
      <w:start w:val="2"/>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0D87185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0D8E301C"/>
    <w:multiLevelType w:val="hybridMultilevel"/>
    <w:tmpl w:val="78D4F740"/>
    <w:lvl w:ilvl="0" w:tplc="46B0459A">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EAB77A5"/>
    <w:multiLevelType w:val="multilevel"/>
    <w:tmpl w:val="D390CF4E"/>
    <w:lvl w:ilvl="0">
      <w:start w:val="1"/>
      <w:numFmt w:val="bullet"/>
      <w:lvlText w:val=""/>
      <w:lvlJc w:val="left"/>
      <w:pPr>
        <w:tabs>
          <w:tab w:val="num" w:pos="480"/>
        </w:tabs>
        <w:ind w:left="480" w:hanging="480"/>
      </w:pPr>
      <w:rPr>
        <w:rFonts w:ascii="Symbol" w:hAnsi="Symbol"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0ED41537"/>
    <w:multiLevelType w:val="hybridMultilevel"/>
    <w:tmpl w:val="0950A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1326E5C"/>
    <w:multiLevelType w:val="hybridMultilevel"/>
    <w:tmpl w:val="19D8CE54"/>
    <w:lvl w:ilvl="0" w:tplc="58EA6B1E">
      <w:start w:val="1"/>
      <w:numFmt w:val="bullet"/>
      <w:lvlText w:val=""/>
      <w:lvlJc w:val="left"/>
      <w:pPr>
        <w:ind w:left="340" w:hanging="283"/>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B51328"/>
    <w:multiLevelType w:val="hybridMultilevel"/>
    <w:tmpl w:val="27B23FA2"/>
    <w:lvl w:ilvl="0" w:tplc="F0E65684">
      <w:start w:val="1"/>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127129B1"/>
    <w:multiLevelType w:val="multilevel"/>
    <w:tmpl w:val="BE74DC04"/>
    <w:lvl w:ilvl="0">
      <w:start w:val="8"/>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133D439F"/>
    <w:multiLevelType w:val="hybridMultilevel"/>
    <w:tmpl w:val="E04A2E9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13EF7C61"/>
    <w:multiLevelType w:val="hybridMultilevel"/>
    <w:tmpl w:val="58C03E60"/>
    <w:lvl w:ilvl="0" w:tplc="A73E961C">
      <w:numFmt w:val="bullet"/>
      <w:lvlText w:val=""/>
      <w:lvlJc w:val="left"/>
      <w:pPr>
        <w:ind w:left="780" w:hanging="360"/>
      </w:pPr>
      <w:rPr>
        <w:rFonts w:ascii="Wingdings" w:eastAsiaTheme="minorHAnsi" w:hAnsi="Wingdings" w:cs="Times New Roman"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8" w15:restartNumberingAfterBreak="0">
    <w:nsid w:val="159B12A9"/>
    <w:multiLevelType w:val="singleLevel"/>
    <w:tmpl w:val="18090001"/>
    <w:lvl w:ilvl="0">
      <w:start w:val="1"/>
      <w:numFmt w:val="bullet"/>
      <w:lvlText w:val=""/>
      <w:lvlJc w:val="left"/>
      <w:pPr>
        <w:ind w:left="480" w:hanging="480"/>
      </w:pPr>
      <w:rPr>
        <w:rFonts w:ascii="Symbol" w:hAnsi="Symbol" w:hint="default"/>
      </w:rPr>
    </w:lvl>
  </w:abstractNum>
  <w:abstractNum w:abstractNumId="29" w15:restartNumberingAfterBreak="0">
    <w:nsid w:val="171B24DF"/>
    <w:multiLevelType w:val="hybridMultilevel"/>
    <w:tmpl w:val="6D50F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178C7EBE"/>
    <w:multiLevelType w:val="hybridMultilevel"/>
    <w:tmpl w:val="2A1CBA5E"/>
    <w:lvl w:ilvl="0" w:tplc="F0E65684">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184952FE"/>
    <w:multiLevelType w:val="hybridMultilevel"/>
    <w:tmpl w:val="1FAC9152"/>
    <w:lvl w:ilvl="0" w:tplc="64C08E1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18C56680"/>
    <w:multiLevelType w:val="singleLevel"/>
    <w:tmpl w:val="F49A5A38"/>
    <w:styleLink w:val="CurrentList9"/>
    <w:lvl w:ilvl="0">
      <w:start w:val="1"/>
      <w:numFmt w:val="bullet"/>
      <w:lvlText w:val=""/>
      <w:lvlJc w:val="left"/>
      <w:pPr>
        <w:tabs>
          <w:tab w:val="num" w:pos="643"/>
        </w:tabs>
        <w:ind w:left="643" w:hanging="360"/>
      </w:pPr>
      <w:rPr>
        <w:rFonts w:ascii="Symbol" w:hAnsi="Symbol" w:hint="default"/>
      </w:rPr>
    </w:lvl>
  </w:abstractNum>
  <w:abstractNum w:abstractNumId="33" w15:restartNumberingAfterBreak="0">
    <w:nsid w:val="18F2391A"/>
    <w:multiLevelType w:val="hybridMultilevel"/>
    <w:tmpl w:val="AAF874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1A1A7AF6"/>
    <w:multiLevelType w:val="hybridMultilevel"/>
    <w:tmpl w:val="0E7AA9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1C162B29"/>
    <w:multiLevelType w:val="hybridMultilevel"/>
    <w:tmpl w:val="D15E86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1C2B5BEB"/>
    <w:multiLevelType w:val="multilevel"/>
    <w:tmpl w:val="C55CD438"/>
    <w:lvl w:ilvl="0">
      <w:start w:val="2"/>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1D10316D"/>
    <w:multiLevelType w:val="hybridMultilevel"/>
    <w:tmpl w:val="C5A61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1F734306"/>
    <w:multiLevelType w:val="multilevel"/>
    <w:tmpl w:val="182A4186"/>
    <w:lvl w:ilvl="0">
      <w:numFmt w:val="decimal"/>
      <w:lvlText w:val="%1."/>
      <w:lvlJc w:val="left"/>
      <w:pPr>
        <w:tabs>
          <w:tab w:val="num" w:pos="480"/>
        </w:tabs>
        <w:ind w:left="480" w:hanging="480"/>
      </w:pPr>
      <w:rPr>
        <w:rFonts w:hint="default"/>
        <w:color w:val="auto"/>
      </w:rPr>
    </w:lvl>
    <w:lvl w:ilvl="1">
      <w:start w:val="1"/>
      <w:numFmt w:val="decimal"/>
      <w:lvlText w:val="%1.%2."/>
      <w:lvlJc w:val="left"/>
      <w:pPr>
        <w:tabs>
          <w:tab w:val="num" w:pos="1430"/>
        </w:tabs>
        <w:ind w:left="143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1FAC4E45"/>
    <w:multiLevelType w:val="multilevel"/>
    <w:tmpl w:val="182A4186"/>
    <w:lvl w:ilvl="0">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1FAD6E52"/>
    <w:multiLevelType w:val="hybridMultilevel"/>
    <w:tmpl w:val="2EA0F4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1207011"/>
    <w:multiLevelType w:val="multilevel"/>
    <w:tmpl w:val="0D1C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24D2D6E"/>
    <w:multiLevelType w:val="hybridMultilevel"/>
    <w:tmpl w:val="2452D7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22A266DA"/>
    <w:multiLevelType w:val="multilevel"/>
    <w:tmpl w:val="75EEA66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691D00"/>
    <w:multiLevelType w:val="hybridMultilevel"/>
    <w:tmpl w:val="AB4036AC"/>
    <w:styleLink w:val="CurrentList151"/>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3C278AF"/>
    <w:multiLevelType w:val="hybridMultilevel"/>
    <w:tmpl w:val="DABCF7C8"/>
    <w:lvl w:ilvl="0" w:tplc="EE66561C">
      <w:start w:val="1"/>
      <w:numFmt w:val="bullet"/>
      <w:lvlText w:val=""/>
      <w:lvlJc w:val="left"/>
      <w:pPr>
        <w:ind w:left="1080" w:hanging="360"/>
      </w:pPr>
      <w:rPr>
        <w:rFonts w:ascii="Symbol" w:hAnsi="Symbol" w:hint="default"/>
        <w:color w:val="4F81BD"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247728F9"/>
    <w:multiLevelType w:val="hybridMultilevel"/>
    <w:tmpl w:val="ED8A79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2586465E"/>
    <w:multiLevelType w:val="hybridMultilevel"/>
    <w:tmpl w:val="4622F218"/>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6222DD8"/>
    <w:multiLevelType w:val="hybridMultilevel"/>
    <w:tmpl w:val="EE246B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64A2669"/>
    <w:multiLevelType w:val="hybridMultilevel"/>
    <w:tmpl w:val="6B7272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7FC15C3"/>
    <w:multiLevelType w:val="multilevel"/>
    <w:tmpl w:val="E6B41BD2"/>
    <w:lvl w:ilvl="0">
      <w:numFmt w:val="decimal"/>
      <w:lvlText w:val="%1."/>
      <w:lvlJc w:val="left"/>
      <w:pPr>
        <w:ind w:left="720" w:hanging="360"/>
      </w:pPr>
      <w:rPr>
        <w:rFonts w:hint="default"/>
        <w:b/>
        <w:bCs/>
        <w:color w:val="auto"/>
      </w:rPr>
    </w:lvl>
    <w:lvl w:ilvl="1">
      <w:start w:val="1"/>
      <w:numFmt w:val="decimal"/>
      <w:isLgl/>
      <w:lvlText w:val="%1.%2"/>
      <w:lvlJc w:val="left"/>
      <w:pPr>
        <w:ind w:left="1512" w:hanging="58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52" w15:restartNumberingAfterBreak="0">
    <w:nsid w:val="297B058F"/>
    <w:multiLevelType w:val="hybridMultilevel"/>
    <w:tmpl w:val="635673FC"/>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99E5E31"/>
    <w:multiLevelType w:val="hybridMultilevel"/>
    <w:tmpl w:val="8744DC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2D8C04AF"/>
    <w:multiLevelType w:val="hybridMultilevel"/>
    <w:tmpl w:val="C5BAFEA4"/>
    <w:lvl w:ilvl="0" w:tplc="FFFFFFFF">
      <w:start w:val="1"/>
      <w:numFmt w:val="lowerRoman"/>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2E257FA6"/>
    <w:multiLevelType w:val="hybridMultilevel"/>
    <w:tmpl w:val="202C7D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2E664322"/>
    <w:multiLevelType w:val="hybridMultilevel"/>
    <w:tmpl w:val="2BDA977E"/>
    <w:lvl w:ilvl="0" w:tplc="46B0459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E7D1C9F"/>
    <w:multiLevelType w:val="hybridMultilevel"/>
    <w:tmpl w:val="CF02F7F8"/>
    <w:lvl w:ilvl="0" w:tplc="F98AD37C">
      <w:start w:val="1"/>
      <w:numFmt w:val="bullet"/>
      <w:lvlText w:val=""/>
      <w:lvlJc w:val="left"/>
      <w:pPr>
        <w:ind w:left="360" w:hanging="360"/>
      </w:pPr>
      <w:rPr>
        <w:rFonts w:ascii="Symbol" w:hAnsi="Symbol" w:hint="default"/>
      </w:rPr>
    </w:lvl>
    <w:lvl w:ilvl="1" w:tplc="81089FCE">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2FF207DE"/>
    <w:multiLevelType w:val="hybridMultilevel"/>
    <w:tmpl w:val="5C268B38"/>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0112EE0"/>
    <w:multiLevelType w:val="hybridMultilevel"/>
    <w:tmpl w:val="21B0C0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314021DC"/>
    <w:multiLevelType w:val="multilevel"/>
    <w:tmpl w:val="B52AB94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32BD41D3"/>
    <w:multiLevelType w:val="hybridMultilevel"/>
    <w:tmpl w:val="73EEDF18"/>
    <w:lvl w:ilvl="0" w:tplc="08090001">
      <w:start w:val="1"/>
      <w:numFmt w:val="bullet"/>
      <w:lvlText w:val=""/>
      <w:lvlJc w:val="left"/>
      <w:pPr>
        <w:ind w:left="840" w:hanging="360"/>
      </w:pPr>
      <w:rPr>
        <w:rFonts w:ascii="Symbol" w:hAnsi="Symbol" w:hint="default"/>
      </w:r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62" w15:restartNumberingAfterBreak="0">
    <w:nsid w:val="33310E94"/>
    <w:multiLevelType w:val="hybridMultilevel"/>
    <w:tmpl w:val="49FEF4E8"/>
    <w:lvl w:ilvl="0" w:tplc="18090001">
      <w:start w:val="1"/>
      <w:numFmt w:val="bullet"/>
      <w:lvlText w:val=""/>
      <w:lvlJc w:val="left"/>
      <w:pPr>
        <w:ind w:left="720" w:hanging="360"/>
      </w:pPr>
      <w:rPr>
        <w:rFonts w:ascii="Symbol" w:hAnsi="Symbol" w:hint="default"/>
      </w:rPr>
    </w:lvl>
    <w:lvl w:ilvl="1" w:tplc="242E6F04">
      <w:start w:val="1"/>
      <w:numFmt w:val="decimal"/>
      <w:lvlText w:val="%2."/>
      <w:lvlJc w:val="left"/>
      <w:pPr>
        <w:ind w:left="1440" w:hanging="360"/>
      </w:pPr>
      <w:rPr>
        <w:rFonts w:ascii="Aptos" w:eastAsiaTheme="minorHAnsi" w:hAnsi="Aptos" w:cstheme="minorBidi"/>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33BF60D8"/>
    <w:multiLevelType w:val="multilevel"/>
    <w:tmpl w:val="0ADC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43A4D3C"/>
    <w:multiLevelType w:val="hybridMultilevel"/>
    <w:tmpl w:val="40F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5721B35"/>
    <w:multiLevelType w:val="hybridMultilevel"/>
    <w:tmpl w:val="28F491E4"/>
    <w:lvl w:ilvl="0" w:tplc="69AEB9F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36B32479"/>
    <w:multiLevelType w:val="hybridMultilevel"/>
    <w:tmpl w:val="D60C3B5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7" w15:restartNumberingAfterBreak="0">
    <w:nsid w:val="37D05376"/>
    <w:multiLevelType w:val="hybridMultilevel"/>
    <w:tmpl w:val="2D021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38597277"/>
    <w:multiLevelType w:val="hybridMultilevel"/>
    <w:tmpl w:val="3E0E2026"/>
    <w:lvl w:ilvl="0" w:tplc="2E5839BE">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3AD41A85"/>
    <w:multiLevelType w:val="multilevel"/>
    <w:tmpl w:val="3C807A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AF0425C"/>
    <w:multiLevelType w:val="multilevel"/>
    <w:tmpl w:val="0DBAD910"/>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3BA15F8B"/>
    <w:multiLevelType w:val="hybridMultilevel"/>
    <w:tmpl w:val="C6320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72" w15:restartNumberingAfterBreak="0">
    <w:nsid w:val="3C3E5BCD"/>
    <w:multiLevelType w:val="hybridMultilevel"/>
    <w:tmpl w:val="FEE8A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74" w15:restartNumberingAfterBreak="0">
    <w:nsid w:val="3CFB2CB9"/>
    <w:multiLevelType w:val="multilevel"/>
    <w:tmpl w:val="182A4186"/>
    <w:lvl w:ilvl="0">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5" w15:restartNumberingAfterBreak="0">
    <w:nsid w:val="3FE85A19"/>
    <w:multiLevelType w:val="hybridMultilevel"/>
    <w:tmpl w:val="9506860C"/>
    <w:lvl w:ilvl="0" w:tplc="E9B8F8C0">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15:restartNumberingAfterBreak="0">
    <w:nsid w:val="40413473"/>
    <w:multiLevelType w:val="multilevel"/>
    <w:tmpl w:val="024A28C2"/>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40C3441A"/>
    <w:multiLevelType w:val="hybridMultilevel"/>
    <w:tmpl w:val="F5462366"/>
    <w:styleLink w:val="CurrentList7"/>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41290174"/>
    <w:multiLevelType w:val="hybridMultilevel"/>
    <w:tmpl w:val="D728A0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9" w15:restartNumberingAfterBreak="0">
    <w:nsid w:val="417C9C2F"/>
    <w:multiLevelType w:val="hybridMultilevel"/>
    <w:tmpl w:val="FFFFFFFF"/>
    <w:lvl w:ilvl="0" w:tplc="BDE0C618">
      <w:start w:val="1"/>
      <w:numFmt w:val="bullet"/>
      <w:lvlText w:val="-"/>
      <w:lvlJc w:val="left"/>
      <w:pPr>
        <w:ind w:left="720" w:hanging="360"/>
      </w:pPr>
      <w:rPr>
        <w:rFonts w:ascii="Aptos" w:hAnsi="Aptos" w:hint="default"/>
      </w:rPr>
    </w:lvl>
    <w:lvl w:ilvl="1" w:tplc="FB128368">
      <w:start w:val="1"/>
      <w:numFmt w:val="bullet"/>
      <w:lvlText w:val="o"/>
      <w:lvlJc w:val="left"/>
      <w:pPr>
        <w:ind w:left="1440" w:hanging="360"/>
      </w:pPr>
      <w:rPr>
        <w:rFonts w:ascii="Courier New" w:hAnsi="Courier New" w:hint="default"/>
      </w:rPr>
    </w:lvl>
    <w:lvl w:ilvl="2" w:tplc="AC5EFE66">
      <w:start w:val="1"/>
      <w:numFmt w:val="bullet"/>
      <w:lvlText w:val=""/>
      <w:lvlJc w:val="left"/>
      <w:pPr>
        <w:ind w:left="2160" w:hanging="360"/>
      </w:pPr>
      <w:rPr>
        <w:rFonts w:ascii="Wingdings" w:hAnsi="Wingdings" w:hint="default"/>
      </w:rPr>
    </w:lvl>
    <w:lvl w:ilvl="3" w:tplc="46405EA8">
      <w:start w:val="1"/>
      <w:numFmt w:val="bullet"/>
      <w:lvlText w:val=""/>
      <w:lvlJc w:val="left"/>
      <w:pPr>
        <w:ind w:left="2880" w:hanging="360"/>
      </w:pPr>
      <w:rPr>
        <w:rFonts w:ascii="Symbol" w:hAnsi="Symbol" w:hint="default"/>
      </w:rPr>
    </w:lvl>
    <w:lvl w:ilvl="4" w:tplc="E6E686E2">
      <w:start w:val="1"/>
      <w:numFmt w:val="bullet"/>
      <w:lvlText w:val="o"/>
      <w:lvlJc w:val="left"/>
      <w:pPr>
        <w:ind w:left="3600" w:hanging="360"/>
      </w:pPr>
      <w:rPr>
        <w:rFonts w:ascii="Courier New" w:hAnsi="Courier New" w:hint="default"/>
      </w:rPr>
    </w:lvl>
    <w:lvl w:ilvl="5" w:tplc="2D9636C0">
      <w:start w:val="1"/>
      <w:numFmt w:val="bullet"/>
      <w:lvlText w:val=""/>
      <w:lvlJc w:val="left"/>
      <w:pPr>
        <w:ind w:left="4320" w:hanging="360"/>
      </w:pPr>
      <w:rPr>
        <w:rFonts w:ascii="Wingdings" w:hAnsi="Wingdings" w:hint="default"/>
      </w:rPr>
    </w:lvl>
    <w:lvl w:ilvl="6" w:tplc="B0343C54">
      <w:start w:val="1"/>
      <w:numFmt w:val="bullet"/>
      <w:lvlText w:val=""/>
      <w:lvlJc w:val="left"/>
      <w:pPr>
        <w:ind w:left="5040" w:hanging="360"/>
      </w:pPr>
      <w:rPr>
        <w:rFonts w:ascii="Symbol" w:hAnsi="Symbol" w:hint="default"/>
      </w:rPr>
    </w:lvl>
    <w:lvl w:ilvl="7" w:tplc="ECA65E62">
      <w:start w:val="1"/>
      <w:numFmt w:val="bullet"/>
      <w:lvlText w:val="o"/>
      <w:lvlJc w:val="left"/>
      <w:pPr>
        <w:ind w:left="5760" w:hanging="360"/>
      </w:pPr>
      <w:rPr>
        <w:rFonts w:ascii="Courier New" w:hAnsi="Courier New" w:hint="default"/>
      </w:rPr>
    </w:lvl>
    <w:lvl w:ilvl="8" w:tplc="3E36F5C8">
      <w:start w:val="1"/>
      <w:numFmt w:val="bullet"/>
      <w:lvlText w:val=""/>
      <w:lvlJc w:val="left"/>
      <w:pPr>
        <w:ind w:left="6480" w:hanging="360"/>
      </w:pPr>
      <w:rPr>
        <w:rFonts w:ascii="Wingdings" w:hAnsi="Wingdings" w:hint="default"/>
      </w:rPr>
    </w:lvl>
  </w:abstractNum>
  <w:abstractNum w:abstractNumId="80" w15:restartNumberingAfterBreak="0">
    <w:nsid w:val="43AA121A"/>
    <w:multiLevelType w:val="multilevel"/>
    <w:tmpl w:val="40A8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6F730B8"/>
    <w:multiLevelType w:val="hybridMultilevel"/>
    <w:tmpl w:val="1F3CBE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471C3861"/>
    <w:multiLevelType w:val="multilevel"/>
    <w:tmpl w:val="4DA297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473753C8"/>
    <w:multiLevelType w:val="hybridMultilevel"/>
    <w:tmpl w:val="F1BA02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473D32F9"/>
    <w:multiLevelType w:val="multilevel"/>
    <w:tmpl w:val="566CC9B6"/>
    <w:lvl w:ilvl="0">
      <w:start w:val="6"/>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491912E4"/>
    <w:multiLevelType w:val="hybridMultilevel"/>
    <w:tmpl w:val="EA1A9A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495F7C40"/>
    <w:multiLevelType w:val="multilevel"/>
    <w:tmpl w:val="F10606DC"/>
    <w:lvl w:ilvl="0">
      <w:start w:val="6"/>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498C373B"/>
    <w:multiLevelType w:val="hybridMultilevel"/>
    <w:tmpl w:val="6A46845A"/>
    <w:lvl w:ilvl="0" w:tplc="BBF4F818">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4A637D70"/>
    <w:multiLevelType w:val="hybridMultilevel"/>
    <w:tmpl w:val="C604F9E8"/>
    <w:lvl w:ilvl="0" w:tplc="C71C35D0">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4AC65554"/>
    <w:multiLevelType w:val="hybridMultilevel"/>
    <w:tmpl w:val="8FE493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0" w15:restartNumberingAfterBreak="0">
    <w:nsid w:val="4AF739EC"/>
    <w:multiLevelType w:val="hybridMultilevel"/>
    <w:tmpl w:val="C4F6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B717338"/>
    <w:multiLevelType w:val="hybridMultilevel"/>
    <w:tmpl w:val="9B00C2C8"/>
    <w:lvl w:ilvl="0" w:tplc="012400F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4DB6A49F"/>
    <w:multiLevelType w:val="hybridMultilevel"/>
    <w:tmpl w:val="106A2D58"/>
    <w:lvl w:ilvl="0" w:tplc="FBB619D4">
      <w:start w:val="1"/>
      <w:numFmt w:val="bullet"/>
      <w:lvlText w:val=""/>
      <w:lvlJc w:val="left"/>
      <w:pPr>
        <w:ind w:left="720" w:hanging="360"/>
      </w:pPr>
      <w:rPr>
        <w:rFonts w:ascii="Symbol" w:hAnsi="Symbol" w:hint="default"/>
      </w:rPr>
    </w:lvl>
    <w:lvl w:ilvl="1" w:tplc="6280678E">
      <w:start w:val="1"/>
      <w:numFmt w:val="bullet"/>
      <w:lvlText w:val="o"/>
      <w:lvlJc w:val="left"/>
      <w:pPr>
        <w:ind w:left="1440" w:hanging="360"/>
      </w:pPr>
      <w:rPr>
        <w:rFonts w:ascii="&quot;Courier New&quot;" w:hAnsi="&quot;Courier New&quot;" w:hint="default"/>
      </w:rPr>
    </w:lvl>
    <w:lvl w:ilvl="2" w:tplc="52A60D24">
      <w:start w:val="1"/>
      <w:numFmt w:val="bullet"/>
      <w:lvlText w:val="§"/>
      <w:lvlJc w:val="left"/>
      <w:pPr>
        <w:ind w:left="2160" w:hanging="360"/>
      </w:pPr>
      <w:rPr>
        <w:rFonts w:ascii="&quot;Courier New&quot;" w:hAnsi="&quot;Courier New&quot;" w:hint="default"/>
      </w:rPr>
    </w:lvl>
    <w:lvl w:ilvl="3" w:tplc="7552493E">
      <w:start w:val="1"/>
      <w:numFmt w:val="bullet"/>
      <w:lvlText w:val=""/>
      <w:lvlJc w:val="left"/>
      <w:pPr>
        <w:ind w:left="2880" w:hanging="360"/>
      </w:pPr>
      <w:rPr>
        <w:rFonts w:ascii="Symbol" w:hAnsi="Symbol" w:hint="default"/>
      </w:rPr>
    </w:lvl>
    <w:lvl w:ilvl="4" w:tplc="30D270BE">
      <w:start w:val="1"/>
      <w:numFmt w:val="bullet"/>
      <w:lvlText w:val="o"/>
      <w:lvlJc w:val="left"/>
      <w:pPr>
        <w:ind w:left="3600" w:hanging="360"/>
      </w:pPr>
      <w:rPr>
        <w:rFonts w:ascii="Courier New" w:hAnsi="Courier New" w:hint="default"/>
      </w:rPr>
    </w:lvl>
    <w:lvl w:ilvl="5" w:tplc="974A8878">
      <w:start w:val="1"/>
      <w:numFmt w:val="bullet"/>
      <w:lvlText w:val=""/>
      <w:lvlJc w:val="left"/>
      <w:pPr>
        <w:ind w:left="4320" w:hanging="360"/>
      </w:pPr>
      <w:rPr>
        <w:rFonts w:ascii="Wingdings" w:hAnsi="Wingdings" w:hint="default"/>
      </w:rPr>
    </w:lvl>
    <w:lvl w:ilvl="6" w:tplc="E754139E">
      <w:start w:val="1"/>
      <w:numFmt w:val="bullet"/>
      <w:lvlText w:val=""/>
      <w:lvlJc w:val="left"/>
      <w:pPr>
        <w:ind w:left="5040" w:hanging="360"/>
      </w:pPr>
      <w:rPr>
        <w:rFonts w:ascii="Symbol" w:hAnsi="Symbol" w:hint="default"/>
      </w:rPr>
    </w:lvl>
    <w:lvl w:ilvl="7" w:tplc="0A0023FA">
      <w:start w:val="1"/>
      <w:numFmt w:val="bullet"/>
      <w:lvlText w:val="o"/>
      <w:lvlJc w:val="left"/>
      <w:pPr>
        <w:ind w:left="5760" w:hanging="360"/>
      </w:pPr>
      <w:rPr>
        <w:rFonts w:ascii="Courier New" w:hAnsi="Courier New" w:hint="default"/>
      </w:rPr>
    </w:lvl>
    <w:lvl w:ilvl="8" w:tplc="B1DCF726">
      <w:start w:val="1"/>
      <w:numFmt w:val="bullet"/>
      <w:lvlText w:val=""/>
      <w:lvlJc w:val="left"/>
      <w:pPr>
        <w:ind w:left="6480" w:hanging="360"/>
      </w:pPr>
      <w:rPr>
        <w:rFonts w:ascii="Wingdings" w:hAnsi="Wingdings" w:hint="default"/>
      </w:rPr>
    </w:lvl>
  </w:abstractNum>
  <w:abstractNum w:abstractNumId="93" w15:restartNumberingAfterBreak="0">
    <w:nsid w:val="4EA729E6"/>
    <w:multiLevelType w:val="hybridMultilevel"/>
    <w:tmpl w:val="00D674D2"/>
    <w:lvl w:ilvl="0" w:tplc="3EBC08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ECA4EE1"/>
    <w:multiLevelType w:val="multilevel"/>
    <w:tmpl w:val="2ABA64EE"/>
    <w:lvl w:ilvl="0">
      <w:start w:val="1"/>
      <w:numFmt w:val="bullet"/>
      <w:lvlText w:val=""/>
      <w:lvlJc w:val="left"/>
      <w:pPr>
        <w:ind w:left="340" w:hanging="340"/>
      </w:pPr>
      <w:rPr>
        <w:rFonts w:ascii="Symbol" w:hAnsi="Symbol" w:hint="default"/>
        <w:color w:val="4F81BD" w:themeColor="accent1"/>
        <w:spacing w:val="30"/>
      </w:rPr>
    </w:lvl>
    <w:lvl w:ilvl="1">
      <w:start w:val="1"/>
      <w:numFmt w:val="bullet"/>
      <w:lvlText w:val="­"/>
      <w:lvlJc w:val="left"/>
      <w:pPr>
        <w:ind w:left="680" w:hanging="340"/>
      </w:pPr>
      <w:rPr>
        <w:rFonts w:ascii="Courier New" w:hAnsi="Courier New" w:cs="Courier New" w:hint="default"/>
        <w:color w:val="4F81BD" w:themeColor="accent1"/>
      </w:rPr>
    </w:lvl>
    <w:lvl w:ilvl="2">
      <w:start w:val="1"/>
      <w:numFmt w:val="bullet"/>
      <w:lvlText w:val="◦"/>
      <w:lvlJc w:val="left"/>
      <w:pPr>
        <w:ind w:left="1021" w:hanging="341"/>
      </w:pPr>
      <w:rPr>
        <w:rFonts w:cs="Times New Roman" w:hint="default"/>
        <w:b w:val="0"/>
        <w:bCs w:val="0"/>
        <w:i w:val="0"/>
        <w:iCs w:val="0"/>
        <w:caps w:val="0"/>
        <w:smallCaps w:val="0"/>
        <w:strike w:val="0"/>
        <w:dstrike w:val="0"/>
        <w:vanish w:val="0"/>
        <w:color w:val="4F81BD"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
      <w:lvlJc w:val="left"/>
      <w:pPr>
        <w:tabs>
          <w:tab w:val="num" w:pos="1021"/>
        </w:tabs>
        <w:ind w:left="1021" w:firstLine="0"/>
      </w:pPr>
      <w:rPr>
        <w:rFonts w:hint="default"/>
      </w:rPr>
    </w:lvl>
    <w:lvl w:ilvl="4">
      <w:start w:val="1"/>
      <w:numFmt w:val="none"/>
      <w:lvlText w:val=""/>
      <w:lvlJc w:val="left"/>
      <w:pPr>
        <w:tabs>
          <w:tab w:val="num" w:pos="1021"/>
        </w:tabs>
        <w:ind w:left="1021" w:firstLine="0"/>
      </w:pPr>
      <w:rPr>
        <w:rFonts w:hint="default"/>
      </w:rPr>
    </w:lvl>
    <w:lvl w:ilvl="5">
      <w:start w:val="1"/>
      <w:numFmt w:val="none"/>
      <w:lvlText w:val=""/>
      <w:lvlJc w:val="left"/>
      <w:pPr>
        <w:tabs>
          <w:tab w:val="num" w:pos="1021"/>
        </w:tabs>
        <w:ind w:left="1021" w:firstLine="0"/>
      </w:pPr>
      <w:rPr>
        <w:rFonts w:hint="default"/>
      </w:rPr>
    </w:lvl>
    <w:lvl w:ilvl="6">
      <w:start w:val="1"/>
      <w:numFmt w:val="none"/>
      <w:lvlText w:val=""/>
      <w:lvlJc w:val="left"/>
      <w:pPr>
        <w:tabs>
          <w:tab w:val="num" w:pos="1021"/>
        </w:tabs>
        <w:ind w:left="1021" w:firstLine="0"/>
      </w:pPr>
      <w:rPr>
        <w:rFonts w:hint="default"/>
      </w:rPr>
    </w:lvl>
    <w:lvl w:ilvl="7">
      <w:start w:val="1"/>
      <w:numFmt w:val="none"/>
      <w:lvlText w:val=""/>
      <w:lvlJc w:val="left"/>
      <w:pPr>
        <w:tabs>
          <w:tab w:val="num" w:pos="1021"/>
        </w:tabs>
        <w:ind w:left="1021" w:firstLine="0"/>
      </w:pPr>
      <w:rPr>
        <w:rFonts w:hint="default"/>
      </w:rPr>
    </w:lvl>
    <w:lvl w:ilvl="8">
      <w:start w:val="1"/>
      <w:numFmt w:val="none"/>
      <w:lvlText w:val=""/>
      <w:lvlJc w:val="left"/>
      <w:pPr>
        <w:tabs>
          <w:tab w:val="num" w:pos="1021"/>
        </w:tabs>
        <w:ind w:left="1021" w:firstLine="0"/>
      </w:pPr>
      <w:rPr>
        <w:rFonts w:hint="default"/>
      </w:rPr>
    </w:lvl>
  </w:abstractNum>
  <w:abstractNum w:abstractNumId="95" w15:restartNumberingAfterBreak="0">
    <w:nsid w:val="4F287528"/>
    <w:multiLevelType w:val="hybridMultilevel"/>
    <w:tmpl w:val="B6763A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6" w15:restartNumberingAfterBreak="0">
    <w:nsid w:val="505211B0"/>
    <w:multiLevelType w:val="hybridMultilevel"/>
    <w:tmpl w:val="9820878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7" w15:restartNumberingAfterBreak="0">
    <w:nsid w:val="50D82EDD"/>
    <w:multiLevelType w:val="hybridMultilevel"/>
    <w:tmpl w:val="1A9878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52A714F1"/>
    <w:multiLevelType w:val="hybridMultilevel"/>
    <w:tmpl w:val="0F2A32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532F72B7"/>
    <w:multiLevelType w:val="hybridMultilevel"/>
    <w:tmpl w:val="C5BAFEA4"/>
    <w:lvl w:ilvl="0" w:tplc="FFFFFFFF">
      <w:start w:val="1"/>
      <w:numFmt w:val="lowerRoman"/>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 w15:restartNumberingAfterBreak="0">
    <w:nsid w:val="54866DF6"/>
    <w:multiLevelType w:val="hybridMultilevel"/>
    <w:tmpl w:val="63E6CAA0"/>
    <w:lvl w:ilvl="0" w:tplc="64C08E1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55CC311E"/>
    <w:multiLevelType w:val="hybridMultilevel"/>
    <w:tmpl w:val="00F286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589B7E0A"/>
    <w:multiLevelType w:val="hybridMultilevel"/>
    <w:tmpl w:val="44FCEAE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3" w15:restartNumberingAfterBreak="0">
    <w:nsid w:val="58CD6744"/>
    <w:multiLevelType w:val="hybridMultilevel"/>
    <w:tmpl w:val="D09453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4" w15:restartNumberingAfterBreak="0">
    <w:nsid w:val="58DB043F"/>
    <w:multiLevelType w:val="multilevel"/>
    <w:tmpl w:val="C0809B2A"/>
    <w:lvl w:ilvl="0">
      <w:start w:val="3"/>
      <w:numFmt w:val="decimal"/>
      <w:lvlText w:val="%1"/>
      <w:lvlJc w:val="left"/>
      <w:pPr>
        <w:ind w:left="360" w:hanging="360"/>
      </w:pPr>
      <w:rPr>
        <w:rFonts w:hint="default"/>
      </w:rPr>
    </w:lvl>
    <w:lvl w:ilvl="1">
      <w:start w:val="1"/>
      <w:numFmt w:val="decimal"/>
      <w:lvlText w:val="%1.%2"/>
      <w:lvlJc w:val="left"/>
      <w:pPr>
        <w:ind w:left="840" w:hanging="360"/>
      </w:pPr>
      <w:rPr>
        <w:rFonts w:hint="default"/>
        <w:b/>
        <w:bCs/>
      </w:rPr>
    </w:lvl>
    <w:lvl w:ilvl="2">
      <w:start w:val="1"/>
      <w:numFmt w:val="decimal"/>
      <w:lvlText w:val="%1.%2.%3"/>
      <w:lvlJc w:val="left"/>
      <w:pPr>
        <w:ind w:left="1680" w:hanging="720"/>
      </w:pPr>
      <w:rPr>
        <w:rFonts w:hint="default"/>
        <w:b/>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5" w15:restartNumberingAfterBreak="0">
    <w:nsid w:val="58DE13DD"/>
    <w:multiLevelType w:val="multilevel"/>
    <w:tmpl w:val="8330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9D625BA"/>
    <w:multiLevelType w:val="multilevel"/>
    <w:tmpl w:val="E7961EAE"/>
    <w:lvl w:ilvl="0">
      <w:start w:val="5"/>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7" w15:restartNumberingAfterBreak="0">
    <w:nsid w:val="5A3909CE"/>
    <w:multiLevelType w:val="hybridMultilevel"/>
    <w:tmpl w:val="C840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5A6D4372"/>
    <w:multiLevelType w:val="multilevel"/>
    <w:tmpl w:val="82F0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A936FE4"/>
    <w:multiLevelType w:val="hybridMultilevel"/>
    <w:tmpl w:val="C6320E82"/>
    <w:styleLink w:val="CurrentList3"/>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0" w15:restartNumberingAfterBreak="0">
    <w:nsid w:val="5AFF21ED"/>
    <w:multiLevelType w:val="hybridMultilevel"/>
    <w:tmpl w:val="5DF609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1" w15:restartNumberingAfterBreak="0">
    <w:nsid w:val="5B650D22"/>
    <w:multiLevelType w:val="hybridMultilevel"/>
    <w:tmpl w:val="40F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BAF1FA5"/>
    <w:multiLevelType w:val="hybridMultilevel"/>
    <w:tmpl w:val="89143A58"/>
    <w:lvl w:ilvl="0" w:tplc="1809000F">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3" w15:restartNumberingAfterBreak="0">
    <w:nsid w:val="5BC157D3"/>
    <w:multiLevelType w:val="hybridMultilevel"/>
    <w:tmpl w:val="635673FC"/>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CAB520B"/>
    <w:multiLevelType w:val="multilevel"/>
    <w:tmpl w:val="70061292"/>
    <w:lvl w:ilvl="0">
      <w:start w:val="2"/>
      <w:numFmt w:val="decimal"/>
      <w:lvlText w:val="%1"/>
      <w:lvlJc w:val="left"/>
      <w:pPr>
        <w:ind w:left="480" w:hanging="480"/>
      </w:pPr>
      <w:rPr>
        <w:rFonts w:eastAsia="Times New Roman" w:hint="default"/>
      </w:rPr>
    </w:lvl>
    <w:lvl w:ilvl="1">
      <w:start w:val="3"/>
      <w:numFmt w:val="decimal"/>
      <w:lvlText w:val="%1.%2"/>
      <w:lvlJc w:val="left"/>
      <w:pPr>
        <w:ind w:left="1549" w:hanging="480"/>
      </w:pPr>
      <w:rPr>
        <w:rFonts w:eastAsia="Times New Roman" w:hint="default"/>
      </w:rPr>
    </w:lvl>
    <w:lvl w:ilvl="2">
      <w:start w:val="1"/>
      <w:numFmt w:val="decimal"/>
      <w:lvlText w:val="%1.%2.%3"/>
      <w:lvlJc w:val="left"/>
      <w:pPr>
        <w:ind w:left="2858" w:hanging="720"/>
      </w:pPr>
      <w:rPr>
        <w:rFonts w:eastAsia="Times New Roman" w:hint="default"/>
      </w:rPr>
    </w:lvl>
    <w:lvl w:ilvl="3">
      <w:start w:val="1"/>
      <w:numFmt w:val="decimal"/>
      <w:lvlText w:val="%1.%2.%3.%4"/>
      <w:lvlJc w:val="left"/>
      <w:pPr>
        <w:ind w:left="3927" w:hanging="72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425" w:hanging="1080"/>
      </w:pPr>
      <w:rPr>
        <w:rFonts w:eastAsia="Times New Roman" w:hint="default"/>
      </w:rPr>
    </w:lvl>
    <w:lvl w:ilvl="6">
      <w:start w:val="1"/>
      <w:numFmt w:val="decimal"/>
      <w:lvlText w:val="%1.%2.%3.%4.%5.%6.%7"/>
      <w:lvlJc w:val="left"/>
      <w:pPr>
        <w:ind w:left="7854" w:hanging="1440"/>
      </w:pPr>
      <w:rPr>
        <w:rFonts w:eastAsia="Times New Roman" w:hint="default"/>
      </w:rPr>
    </w:lvl>
    <w:lvl w:ilvl="7">
      <w:start w:val="1"/>
      <w:numFmt w:val="decimal"/>
      <w:lvlText w:val="%1.%2.%3.%4.%5.%6.%7.%8"/>
      <w:lvlJc w:val="left"/>
      <w:pPr>
        <w:ind w:left="8923" w:hanging="1440"/>
      </w:pPr>
      <w:rPr>
        <w:rFonts w:eastAsia="Times New Roman" w:hint="default"/>
      </w:rPr>
    </w:lvl>
    <w:lvl w:ilvl="8">
      <w:start w:val="1"/>
      <w:numFmt w:val="decimal"/>
      <w:lvlText w:val="%1.%2.%3.%4.%5.%6.%7.%8.%9"/>
      <w:lvlJc w:val="left"/>
      <w:pPr>
        <w:ind w:left="10352" w:hanging="1800"/>
      </w:pPr>
      <w:rPr>
        <w:rFonts w:eastAsia="Times New Roman" w:hint="default"/>
      </w:rPr>
    </w:lvl>
  </w:abstractNum>
  <w:abstractNum w:abstractNumId="115" w15:restartNumberingAfterBreak="0">
    <w:nsid w:val="5CB310BD"/>
    <w:multiLevelType w:val="hybridMultilevel"/>
    <w:tmpl w:val="8E06135A"/>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CC378D4"/>
    <w:multiLevelType w:val="hybridMultilevel"/>
    <w:tmpl w:val="F4749DFE"/>
    <w:numStyleLink w:val="CurrentList15"/>
  </w:abstractNum>
  <w:abstractNum w:abstractNumId="117" w15:restartNumberingAfterBreak="0">
    <w:nsid w:val="5D066A8E"/>
    <w:multiLevelType w:val="multilevel"/>
    <w:tmpl w:val="70061292"/>
    <w:lvl w:ilvl="0">
      <w:start w:val="2"/>
      <w:numFmt w:val="decimal"/>
      <w:lvlText w:val="%1"/>
      <w:lvlJc w:val="left"/>
      <w:pPr>
        <w:ind w:left="480" w:hanging="480"/>
      </w:pPr>
      <w:rPr>
        <w:rFonts w:eastAsia="Times New Roman" w:hint="default"/>
      </w:rPr>
    </w:lvl>
    <w:lvl w:ilvl="1">
      <w:start w:val="3"/>
      <w:numFmt w:val="decimal"/>
      <w:lvlText w:val="%1.%2"/>
      <w:lvlJc w:val="left"/>
      <w:pPr>
        <w:ind w:left="1549" w:hanging="480"/>
      </w:pPr>
      <w:rPr>
        <w:rFonts w:eastAsia="Times New Roman" w:hint="default"/>
      </w:rPr>
    </w:lvl>
    <w:lvl w:ilvl="2">
      <w:start w:val="1"/>
      <w:numFmt w:val="decimal"/>
      <w:lvlText w:val="%1.%2.%3"/>
      <w:lvlJc w:val="left"/>
      <w:pPr>
        <w:ind w:left="2858" w:hanging="720"/>
      </w:pPr>
      <w:rPr>
        <w:rFonts w:eastAsia="Times New Roman" w:hint="default"/>
      </w:rPr>
    </w:lvl>
    <w:lvl w:ilvl="3">
      <w:start w:val="1"/>
      <w:numFmt w:val="decimal"/>
      <w:lvlText w:val="%1.%2.%3.%4"/>
      <w:lvlJc w:val="left"/>
      <w:pPr>
        <w:ind w:left="3927" w:hanging="72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425" w:hanging="1080"/>
      </w:pPr>
      <w:rPr>
        <w:rFonts w:eastAsia="Times New Roman" w:hint="default"/>
      </w:rPr>
    </w:lvl>
    <w:lvl w:ilvl="6">
      <w:start w:val="1"/>
      <w:numFmt w:val="decimal"/>
      <w:lvlText w:val="%1.%2.%3.%4.%5.%6.%7"/>
      <w:lvlJc w:val="left"/>
      <w:pPr>
        <w:ind w:left="7854" w:hanging="1440"/>
      </w:pPr>
      <w:rPr>
        <w:rFonts w:eastAsia="Times New Roman" w:hint="default"/>
      </w:rPr>
    </w:lvl>
    <w:lvl w:ilvl="7">
      <w:start w:val="1"/>
      <w:numFmt w:val="decimal"/>
      <w:lvlText w:val="%1.%2.%3.%4.%5.%6.%7.%8"/>
      <w:lvlJc w:val="left"/>
      <w:pPr>
        <w:ind w:left="8923" w:hanging="1440"/>
      </w:pPr>
      <w:rPr>
        <w:rFonts w:eastAsia="Times New Roman" w:hint="default"/>
      </w:rPr>
    </w:lvl>
    <w:lvl w:ilvl="8">
      <w:start w:val="1"/>
      <w:numFmt w:val="decimal"/>
      <w:lvlText w:val="%1.%2.%3.%4.%5.%6.%7.%8.%9"/>
      <w:lvlJc w:val="left"/>
      <w:pPr>
        <w:ind w:left="10352" w:hanging="1800"/>
      </w:pPr>
      <w:rPr>
        <w:rFonts w:eastAsia="Times New Roman" w:hint="default"/>
      </w:rPr>
    </w:lvl>
  </w:abstractNum>
  <w:abstractNum w:abstractNumId="118" w15:restartNumberingAfterBreak="0">
    <w:nsid w:val="5DA67348"/>
    <w:multiLevelType w:val="hybridMultilevel"/>
    <w:tmpl w:val="B254F4F6"/>
    <w:lvl w:ilvl="0" w:tplc="A6B2876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9" w15:restartNumberingAfterBreak="0">
    <w:nsid w:val="5E3B41C1"/>
    <w:multiLevelType w:val="multilevel"/>
    <w:tmpl w:val="157A3A54"/>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0" w15:restartNumberingAfterBreak="0">
    <w:nsid w:val="5E6F1E35"/>
    <w:multiLevelType w:val="hybridMultilevel"/>
    <w:tmpl w:val="7506CC9C"/>
    <w:styleLink w:val="CurrentList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F4345CD"/>
    <w:multiLevelType w:val="hybridMultilevel"/>
    <w:tmpl w:val="1FC4EC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22" w15:restartNumberingAfterBreak="0">
    <w:nsid w:val="5FD52821"/>
    <w:multiLevelType w:val="hybridMultilevel"/>
    <w:tmpl w:val="6FA488BE"/>
    <w:lvl w:ilvl="0" w:tplc="6350692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FDD683D"/>
    <w:multiLevelType w:val="hybridMultilevel"/>
    <w:tmpl w:val="83D4D60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4" w15:restartNumberingAfterBreak="0">
    <w:nsid w:val="5FDE0823"/>
    <w:multiLevelType w:val="multilevel"/>
    <w:tmpl w:val="157A3A54"/>
    <w:styleLink w:val="CurrentList51"/>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603D49A0"/>
    <w:multiLevelType w:val="hybridMultilevel"/>
    <w:tmpl w:val="29ECB30A"/>
    <w:lvl w:ilvl="0" w:tplc="1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7" w15:restartNumberingAfterBreak="0">
    <w:nsid w:val="61802EC7"/>
    <w:multiLevelType w:val="multilevel"/>
    <w:tmpl w:val="A1EE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9" w15:restartNumberingAfterBreak="0">
    <w:nsid w:val="62E41C1D"/>
    <w:multiLevelType w:val="hybridMultilevel"/>
    <w:tmpl w:val="AE66F852"/>
    <w:lvl w:ilvl="0" w:tplc="E88862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5386028"/>
    <w:multiLevelType w:val="hybridMultilevel"/>
    <w:tmpl w:val="4322C0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1" w15:restartNumberingAfterBreak="0">
    <w:nsid w:val="655A0903"/>
    <w:multiLevelType w:val="multilevel"/>
    <w:tmpl w:val="E9F4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5F1231E"/>
    <w:multiLevelType w:val="multilevel"/>
    <w:tmpl w:val="F9EC5F52"/>
    <w:styleLink w:val="BulletPoints"/>
    <w:lvl w:ilvl="0">
      <w:start w:val="1"/>
      <w:numFmt w:val="decimal"/>
      <w:lvlText w:val="%1."/>
      <w:lvlJc w:val="left"/>
      <w:pPr>
        <w:ind w:left="720" w:hanging="360"/>
      </w:pPr>
      <w:rPr>
        <w:rFonts w:hint="default"/>
        <w:b/>
        <w:b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15:restartNumberingAfterBreak="0">
    <w:nsid w:val="66896E8A"/>
    <w:multiLevelType w:val="hybridMultilevel"/>
    <w:tmpl w:val="D60C3B54"/>
    <w:styleLink w:val="CurrentList1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34" w15:restartNumberingAfterBreak="0">
    <w:nsid w:val="68722A97"/>
    <w:multiLevelType w:val="hybridMultilevel"/>
    <w:tmpl w:val="19D8CE54"/>
    <w:lvl w:ilvl="0" w:tplc="58EA6B1E">
      <w:start w:val="1"/>
      <w:numFmt w:val="bullet"/>
      <w:lvlText w:val=""/>
      <w:lvlJc w:val="left"/>
      <w:pPr>
        <w:ind w:left="340" w:hanging="283"/>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8781235"/>
    <w:multiLevelType w:val="hybridMultilevel"/>
    <w:tmpl w:val="FB348370"/>
    <w:lvl w:ilvl="0" w:tplc="06A407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69622380"/>
    <w:multiLevelType w:val="multilevel"/>
    <w:tmpl w:val="8F88C9FA"/>
    <w:numStyleLink w:val="CurrentList4"/>
  </w:abstractNum>
  <w:abstractNum w:abstractNumId="137" w15:restartNumberingAfterBreak="0">
    <w:nsid w:val="6CB229B0"/>
    <w:multiLevelType w:val="hybridMultilevel"/>
    <w:tmpl w:val="202C7DF4"/>
    <w:styleLink w:val="NumLstTableBullet"/>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6D385224"/>
    <w:multiLevelType w:val="hybridMultilevel"/>
    <w:tmpl w:val="40F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108216E"/>
    <w:multiLevelType w:val="hybridMultilevel"/>
    <w:tmpl w:val="C5BAFEA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71191FF9"/>
    <w:multiLevelType w:val="hybridMultilevel"/>
    <w:tmpl w:val="40F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713A200A"/>
    <w:multiLevelType w:val="hybridMultilevel"/>
    <w:tmpl w:val="54408516"/>
    <w:lvl w:ilvl="0" w:tplc="0A187A8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71B32603"/>
    <w:multiLevelType w:val="hybridMultilevel"/>
    <w:tmpl w:val="FBF0D3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3" w15:restartNumberingAfterBreak="0">
    <w:nsid w:val="71C7311C"/>
    <w:multiLevelType w:val="hybridMultilevel"/>
    <w:tmpl w:val="7DFA7F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4" w15:restartNumberingAfterBreak="0">
    <w:nsid w:val="72D80E01"/>
    <w:multiLevelType w:val="hybridMultilevel"/>
    <w:tmpl w:val="C5BAFEA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731671E6"/>
    <w:multiLevelType w:val="multilevel"/>
    <w:tmpl w:val="8710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4900400"/>
    <w:multiLevelType w:val="multilevel"/>
    <w:tmpl w:val="2ABA64EE"/>
    <w:lvl w:ilvl="0">
      <w:start w:val="1"/>
      <w:numFmt w:val="bullet"/>
      <w:lvlText w:val=""/>
      <w:lvlJc w:val="left"/>
      <w:pPr>
        <w:ind w:left="340" w:hanging="340"/>
      </w:pPr>
      <w:rPr>
        <w:rFonts w:ascii="Symbol" w:hAnsi="Symbol" w:hint="default"/>
        <w:color w:val="000000" w:themeColor="text1"/>
        <w:spacing w:val="30"/>
      </w:rPr>
    </w:lvl>
    <w:lvl w:ilvl="1">
      <w:start w:val="1"/>
      <w:numFmt w:val="bullet"/>
      <w:lvlText w:val="­"/>
      <w:lvlJc w:val="left"/>
      <w:pPr>
        <w:ind w:left="680" w:hanging="340"/>
      </w:pPr>
      <w:rPr>
        <w:rFonts w:ascii="Courier New" w:hAnsi="Courier New" w:cs="Courier New" w:hint="default"/>
        <w:color w:val="4F81BD" w:themeColor="accent1"/>
      </w:rPr>
    </w:lvl>
    <w:lvl w:ilvl="2">
      <w:start w:val="1"/>
      <w:numFmt w:val="bullet"/>
      <w:lvlText w:val="◦"/>
      <w:lvlJc w:val="left"/>
      <w:pPr>
        <w:ind w:left="1021" w:hanging="341"/>
      </w:pPr>
      <w:rPr>
        <w:rFonts w:cs="Times New Roman" w:hint="default"/>
        <w:b w:val="0"/>
        <w:bCs w:val="0"/>
        <w:i w:val="0"/>
        <w:iCs w:val="0"/>
        <w:caps w:val="0"/>
        <w:smallCaps w:val="0"/>
        <w:strike w:val="0"/>
        <w:dstrike w:val="0"/>
        <w:vanish w:val="0"/>
        <w:color w:val="4F81BD"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
      <w:lvlJc w:val="left"/>
      <w:pPr>
        <w:tabs>
          <w:tab w:val="num" w:pos="1021"/>
        </w:tabs>
        <w:ind w:left="1021" w:firstLine="0"/>
      </w:pPr>
      <w:rPr>
        <w:rFonts w:hint="default"/>
      </w:rPr>
    </w:lvl>
    <w:lvl w:ilvl="4">
      <w:start w:val="1"/>
      <w:numFmt w:val="none"/>
      <w:lvlText w:val=""/>
      <w:lvlJc w:val="left"/>
      <w:pPr>
        <w:tabs>
          <w:tab w:val="num" w:pos="1021"/>
        </w:tabs>
        <w:ind w:left="1021" w:firstLine="0"/>
      </w:pPr>
      <w:rPr>
        <w:rFonts w:hint="default"/>
      </w:rPr>
    </w:lvl>
    <w:lvl w:ilvl="5">
      <w:start w:val="1"/>
      <w:numFmt w:val="none"/>
      <w:lvlText w:val=""/>
      <w:lvlJc w:val="left"/>
      <w:pPr>
        <w:tabs>
          <w:tab w:val="num" w:pos="1021"/>
        </w:tabs>
        <w:ind w:left="1021" w:firstLine="0"/>
      </w:pPr>
      <w:rPr>
        <w:rFonts w:hint="default"/>
      </w:rPr>
    </w:lvl>
    <w:lvl w:ilvl="6">
      <w:start w:val="1"/>
      <w:numFmt w:val="none"/>
      <w:lvlText w:val=""/>
      <w:lvlJc w:val="left"/>
      <w:pPr>
        <w:tabs>
          <w:tab w:val="num" w:pos="1021"/>
        </w:tabs>
        <w:ind w:left="1021" w:firstLine="0"/>
      </w:pPr>
      <w:rPr>
        <w:rFonts w:hint="default"/>
      </w:rPr>
    </w:lvl>
    <w:lvl w:ilvl="7">
      <w:start w:val="1"/>
      <w:numFmt w:val="none"/>
      <w:lvlText w:val=""/>
      <w:lvlJc w:val="left"/>
      <w:pPr>
        <w:tabs>
          <w:tab w:val="num" w:pos="1021"/>
        </w:tabs>
        <w:ind w:left="1021" w:firstLine="0"/>
      </w:pPr>
      <w:rPr>
        <w:rFonts w:hint="default"/>
      </w:rPr>
    </w:lvl>
    <w:lvl w:ilvl="8">
      <w:start w:val="1"/>
      <w:numFmt w:val="none"/>
      <w:lvlText w:val=""/>
      <w:lvlJc w:val="left"/>
      <w:pPr>
        <w:tabs>
          <w:tab w:val="num" w:pos="1021"/>
        </w:tabs>
        <w:ind w:left="1021" w:firstLine="0"/>
      </w:pPr>
      <w:rPr>
        <w:rFonts w:hint="default"/>
      </w:rPr>
    </w:lvl>
  </w:abstractNum>
  <w:abstractNum w:abstractNumId="147" w15:restartNumberingAfterBreak="0">
    <w:nsid w:val="755A415E"/>
    <w:multiLevelType w:val="hybridMultilevel"/>
    <w:tmpl w:val="08285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76FC7497"/>
    <w:multiLevelType w:val="hybridMultilevel"/>
    <w:tmpl w:val="4BFA3672"/>
    <w:styleLink w:val="CurrentList141"/>
    <w:lvl w:ilvl="0" w:tplc="24B217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7385F85"/>
    <w:multiLevelType w:val="hybridMultilevel"/>
    <w:tmpl w:val="44FCEAE4"/>
    <w:styleLink w:val="CurrentList11"/>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0" w15:restartNumberingAfterBreak="0">
    <w:nsid w:val="774B37ED"/>
    <w:multiLevelType w:val="hybridMultilevel"/>
    <w:tmpl w:val="0366D7B0"/>
    <w:lvl w:ilvl="0" w:tplc="FE8266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78DE41D3"/>
    <w:multiLevelType w:val="hybridMultilevel"/>
    <w:tmpl w:val="F4749DFE"/>
    <w:styleLink w:val="CurrentList15"/>
    <w:lvl w:ilvl="0" w:tplc="58EA6B1E">
      <w:start w:val="1"/>
      <w:numFmt w:val="bullet"/>
      <w:lvlText w:val=""/>
      <w:lvlJc w:val="left"/>
      <w:pPr>
        <w:ind w:left="340" w:hanging="283"/>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797562A7"/>
    <w:multiLevelType w:val="multilevel"/>
    <w:tmpl w:val="8F88C9FA"/>
    <w:styleLink w:val="CurrentList4"/>
    <w:lvl w:ilvl="0">
      <w:start w:val="1"/>
      <w:numFmt w:val="bullet"/>
      <w:lvlText w:val=""/>
      <w:lvlJc w:val="left"/>
      <w:pPr>
        <w:ind w:left="480" w:hanging="480"/>
      </w:pPr>
      <w:rPr>
        <w:rFonts w:ascii="Symbol" w:hAnsi="Symbol"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3" w15:restartNumberingAfterBreak="0">
    <w:nsid w:val="79CB44AB"/>
    <w:multiLevelType w:val="multilevel"/>
    <w:tmpl w:val="024A28C2"/>
    <w:lvl w:ilvl="0">
      <w:start w:val="1"/>
      <w:numFmt w:val="decimal"/>
      <w:lvlText w:val="%1."/>
      <w:lvlJc w:val="left"/>
      <w:pPr>
        <w:tabs>
          <w:tab w:val="num" w:pos="480"/>
        </w:tabs>
        <w:ind w:left="480" w:hanging="480"/>
      </w:pPr>
      <w:rPr>
        <w:rFonts w:hint="default"/>
        <w:color w:val="auto"/>
      </w:rPr>
    </w:lvl>
    <w:lvl w:ilvl="1">
      <w:start w:val="1"/>
      <w:numFmt w:val="decimal"/>
      <w:lvlText w:val="%1.%2."/>
      <w:lvlJc w:val="left"/>
      <w:pPr>
        <w:tabs>
          <w:tab w:val="num" w:pos="1200"/>
        </w:tabs>
        <w:ind w:left="1200" w:hanging="720"/>
      </w:pPr>
      <w:rPr>
        <w:rFonts w:hint="default"/>
        <w:b/>
        <w:bCs/>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4" w15:restartNumberingAfterBreak="0">
    <w:nsid w:val="79DB0D19"/>
    <w:multiLevelType w:val="hybridMultilevel"/>
    <w:tmpl w:val="C5BAFEA4"/>
    <w:lvl w:ilvl="0" w:tplc="FFFFFFFF">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 w15:restartNumberingAfterBreak="0">
    <w:nsid w:val="7B233037"/>
    <w:multiLevelType w:val="hybridMultilevel"/>
    <w:tmpl w:val="AB4036AC"/>
    <w:styleLink w:val="CurrentList121"/>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B8F02E3"/>
    <w:multiLevelType w:val="hybridMultilevel"/>
    <w:tmpl w:val="0F2A32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7BAB19F6"/>
    <w:multiLevelType w:val="hybridMultilevel"/>
    <w:tmpl w:val="41E0A826"/>
    <w:lvl w:ilvl="0" w:tplc="2E5839BE">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8" w15:restartNumberingAfterBreak="0">
    <w:nsid w:val="7C07640E"/>
    <w:multiLevelType w:val="hybridMultilevel"/>
    <w:tmpl w:val="4322C06C"/>
    <w:styleLink w:val="CurrentList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9" w15:restartNumberingAfterBreak="0">
    <w:nsid w:val="7C2B63D6"/>
    <w:multiLevelType w:val="hybridMultilevel"/>
    <w:tmpl w:val="0FA4659C"/>
    <w:lvl w:ilvl="0" w:tplc="A06CEB36">
      <w:numFmt w:val="bullet"/>
      <w:lvlText w:val=""/>
      <w:lvlJc w:val="left"/>
      <w:pPr>
        <w:ind w:left="420" w:hanging="360"/>
      </w:pPr>
      <w:rPr>
        <w:rFonts w:ascii="Wingdings" w:eastAsiaTheme="minorHAnsi" w:hAnsi="Wingdings" w:cs="Times New Roman"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160" w15:restartNumberingAfterBreak="0">
    <w:nsid w:val="7F1E7908"/>
    <w:multiLevelType w:val="hybridMultilevel"/>
    <w:tmpl w:val="E4204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1" w15:restartNumberingAfterBreak="0">
    <w:nsid w:val="7F4725E7"/>
    <w:multiLevelType w:val="hybridMultilevel"/>
    <w:tmpl w:val="8AE051E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2" w15:restartNumberingAfterBreak="0">
    <w:nsid w:val="7F756E0B"/>
    <w:multiLevelType w:val="hybridMultilevel"/>
    <w:tmpl w:val="C5A61578"/>
    <w:styleLink w:val="CurrentList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FBC1C95"/>
    <w:multiLevelType w:val="multilevel"/>
    <w:tmpl w:val="8F88C9FA"/>
    <w:numStyleLink w:val="CurrentList4"/>
  </w:abstractNum>
  <w:abstractNum w:abstractNumId="164" w15:restartNumberingAfterBreak="0">
    <w:nsid w:val="7FFB0991"/>
    <w:multiLevelType w:val="multilevel"/>
    <w:tmpl w:val="7F0C6356"/>
    <w:styleLink w:val="ListNumbering"/>
    <w:lvl w:ilvl="0">
      <w:start w:val="2"/>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3"/>
  </w:num>
  <w:num w:numId="2">
    <w:abstractNumId w:val="126"/>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8"/>
  </w:num>
  <w:num w:numId="6">
    <w:abstractNumId w:val="38"/>
  </w:num>
  <w:num w:numId="7">
    <w:abstractNumId w:val="145"/>
  </w:num>
  <w:num w:numId="8">
    <w:abstractNumId w:val="15"/>
  </w:num>
  <w:num w:numId="9">
    <w:abstractNumId w:val="69"/>
  </w:num>
  <w:num w:numId="10">
    <w:abstractNumId w:val="39"/>
  </w:num>
  <w:num w:numId="11">
    <w:abstractNumId w:val="61"/>
  </w:num>
  <w:num w:numId="12">
    <w:abstractNumId w:val="26"/>
  </w:num>
  <w:num w:numId="13">
    <w:abstractNumId w:val="17"/>
  </w:num>
  <w:num w:numId="14">
    <w:abstractNumId w:val="41"/>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1"/>
  </w:num>
  <w:num w:numId="17">
    <w:abstractNumId w:val="51"/>
  </w:num>
  <w:num w:numId="18">
    <w:abstractNumId w:val="13"/>
  </w:num>
  <w:num w:numId="19">
    <w:abstractNumId w:val="119"/>
  </w:num>
  <w:num w:numId="20">
    <w:abstractNumId w:val="71"/>
  </w:num>
  <w:num w:numId="21">
    <w:abstractNumId w:val="151"/>
  </w:num>
  <w:num w:numId="22">
    <w:abstractNumId w:val="102"/>
  </w:num>
  <w:num w:numId="23">
    <w:abstractNumId w:val="158"/>
  </w:num>
  <w:num w:numId="24">
    <w:abstractNumId w:val="45"/>
  </w:num>
  <w:num w:numId="25">
    <w:abstractNumId w:val="0"/>
  </w:num>
  <w:num w:numId="26">
    <w:abstractNumId w:val="32"/>
  </w:num>
  <w:num w:numId="27">
    <w:abstractNumId w:val="98"/>
  </w:num>
  <w:num w:numId="28">
    <w:abstractNumId w:val="47"/>
  </w:num>
  <w:num w:numId="29">
    <w:abstractNumId w:val="90"/>
  </w:num>
  <w:num w:numId="30">
    <w:abstractNumId w:val="44"/>
  </w:num>
  <w:num w:numId="31">
    <w:abstractNumId w:val="55"/>
  </w:num>
  <w:num w:numId="32">
    <w:abstractNumId w:val="110"/>
  </w:num>
  <w:num w:numId="33">
    <w:abstractNumId w:val="2"/>
  </w:num>
  <w:num w:numId="34">
    <w:abstractNumId w:val="104"/>
  </w:num>
  <w:num w:numId="35">
    <w:abstractNumId w:val="58"/>
  </w:num>
  <w:num w:numId="36">
    <w:abstractNumId w:val="52"/>
  </w:num>
  <w:num w:numId="37">
    <w:abstractNumId w:val="115"/>
  </w:num>
  <w:num w:numId="38">
    <w:abstractNumId w:val="136"/>
  </w:num>
  <w:num w:numId="39">
    <w:abstractNumId w:val="114"/>
  </w:num>
  <w:num w:numId="40">
    <w:abstractNumId w:val="18"/>
  </w:num>
  <w:num w:numId="41">
    <w:abstractNumId w:val="9"/>
  </w:num>
  <w:num w:numId="42">
    <w:abstractNumId w:val="101"/>
  </w:num>
  <w:num w:numId="43">
    <w:abstractNumId w:val="152"/>
  </w:num>
  <w:num w:numId="44">
    <w:abstractNumId w:val="142"/>
  </w:num>
  <w:num w:numId="45">
    <w:abstractNumId w:val="157"/>
  </w:num>
  <w:num w:numId="46">
    <w:abstractNumId w:val="68"/>
  </w:num>
  <w:num w:numId="47">
    <w:abstractNumId w:val="5"/>
  </w:num>
  <w:num w:numId="48">
    <w:abstractNumId w:val="86"/>
  </w:num>
  <w:num w:numId="49">
    <w:abstractNumId w:val="85"/>
  </w:num>
  <w:num w:numId="50">
    <w:abstractNumId w:val="11"/>
  </w:num>
  <w:num w:numId="51">
    <w:abstractNumId w:val="125"/>
  </w:num>
  <w:num w:numId="52">
    <w:abstractNumId w:val="96"/>
  </w:num>
  <w:num w:numId="53">
    <w:abstractNumId w:val="138"/>
  </w:num>
  <w:num w:numId="54">
    <w:abstractNumId w:val="111"/>
  </w:num>
  <w:num w:numId="55">
    <w:abstractNumId w:val="64"/>
  </w:num>
  <w:num w:numId="56">
    <w:abstractNumId w:val="140"/>
  </w:num>
  <w:num w:numId="57">
    <w:abstractNumId w:val="77"/>
  </w:num>
  <w:num w:numId="58">
    <w:abstractNumId w:val="132"/>
  </w:num>
  <w:num w:numId="59">
    <w:abstractNumId w:val="164"/>
  </w:num>
  <w:num w:numId="60">
    <w:abstractNumId w:val="124"/>
  </w:num>
  <w:num w:numId="61">
    <w:abstractNumId w:val="109"/>
  </w:num>
  <w:num w:numId="62">
    <w:abstractNumId w:val="149"/>
  </w:num>
  <w:num w:numId="63">
    <w:abstractNumId w:val="133"/>
  </w:num>
  <w:num w:numId="64">
    <w:abstractNumId w:val="162"/>
  </w:num>
  <w:num w:numId="65">
    <w:abstractNumId w:val="137"/>
  </w:num>
  <w:num w:numId="66">
    <w:abstractNumId w:val="120"/>
  </w:num>
  <w:num w:numId="67">
    <w:abstractNumId w:val="6"/>
  </w:num>
  <w:num w:numId="68">
    <w:abstractNumId w:val="156"/>
  </w:num>
  <w:num w:numId="69">
    <w:abstractNumId w:val="94"/>
    <w:lvlOverride w:ilvl="0">
      <w:lvl w:ilvl="0">
        <w:start w:val="1"/>
        <w:numFmt w:val="bullet"/>
        <w:lvlText w:val=""/>
        <w:lvlJc w:val="left"/>
        <w:pPr>
          <w:ind w:left="340" w:hanging="340"/>
        </w:pPr>
        <w:rPr>
          <w:rFonts w:ascii="Symbol" w:hAnsi="Symbol" w:hint="default"/>
          <w:color w:val="000000" w:themeColor="text1"/>
          <w:spacing w:val="30"/>
        </w:rPr>
      </w:lvl>
    </w:lvlOverride>
  </w:num>
  <w:num w:numId="70">
    <w:abstractNumId w:val="148"/>
  </w:num>
  <w:num w:numId="71">
    <w:abstractNumId w:val="155"/>
  </w:num>
  <w:num w:numId="72">
    <w:abstractNumId w:val="84"/>
  </w:num>
  <w:num w:numId="73">
    <w:abstractNumId w:val="146"/>
  </w:num>
  <w:num w:numId="74">
    <w:abstractNumId w:val="43"/>
  </w:num>
  <w:num w:numId="75">
    <w:abstractNumId w:val="123"/>
  </w:num>
  <w:num w:numId="76">
    <w:abstractNumId w:val="28"/>
  </w:num>
  <w:num w:numId="77">
    <w:abstractNumId w:val="116"/>
  </w:num>
  <w:num w:numId="78">
    <w:abstractNumId w:val="34"/>
  </w:num>
  <w:num w:numId="79">
    <w:abstractNumId w:val="12"/>
  </w:num>
  <w:num w:numId="80">
    <w:abstractNumId w:val="66"/>
  </w:num>
  <w:num w:numId="81">
    <w:abstractNumId w:val="37"/>
  </w:num>
  <w:num w:numId="82">
    <w:abstractNumId w:val="94"/>
  </w:num>
  <w:num w:numId="83">
    <w:abstractNumId w:val="23"/>
  </w:num>
  <w:num w:numId="84">
    <w:abstractNumId w:val="106"/>
  </w:num>
  <w:num w:numId="85">
    <w:abstractNumId w:val="36"/>
  </w:num>
  <w:num w:numId="86">
    <w:abstractNumId w:val="113"/>
  </w:num>
  <w:num w:numId="87">
    <w:abstractNumId w:val="46"/>
  </w:num>
  <w:num w:numId="88">
    <w:abstractNumId w:val="134"/>
  </w:num>
  <w:num w:numId="89">
    <w:abstractNumId w:val="130"/>
  </w:num>
  <w:num w:numId="90">
    <w:abstractNumId w:val="2"/>
    <w:lvlOverride w:ilvl="0">
      <w:startOverride w:val="1"/>
    </w:lvlOverride>
  </w:num>
  <w:num w:numId="91">
    <w:abstractNumId w:val="112"/>
  </w:num>
  <w:num w:numId="92">
    <w:abstractNumId w:val="7"/>
  </w:num>
  <w:num w:numId="93">
    <w:abstractNumId w:val="163"/>
  </w:num>
  <w:num w:numId="94">
    <w:abstractNumId w:val="29"/>
  </w:num>
  <w:num w:numId="95">
    <w:abstractNumId w:val="147"/>
  </w:num>
  <w:num w:numId="96">
    <w:abstractNumId w:val="19"/>
  </w:num>
  <w:num w:numId="97">
    <w:abstractNumId w:val="150"/>
  </w:num>
  <w:num w:numId="98">
    <w:abstractNumId w:val="88"/>
  </w:num>
  <w:num w:numId="99">
    <w:abstractNumId w:val="91"/>
  </w:num>
  <w:num w:numId="100">
    <w:abstractNumId w:val="100"/>
  </w:num>
  <w:num w:numId="101">
    <w:abstractNumId w:val="87"/>
  </w:num>
  <w:num w:numId="102">
    <w:abstractNumId w:val="4"/>
  </w:num>
  <w:num w:numId="103">
    <w:abstractNumId w:val="35"/>
  </w:num>
  <w:num w:numId="104">
    <w:abstractNumId w:val="31"/>
  </w:num>
  <w:num w:numId="105">
    <w:abstractNumId w:val="62"/>
  </w:num>
  <w:num w:numId="106">
    <w:abstractNumId w:val="89"/>
  </w:num>
  <w:num w:numId="107">
    <w:abstractNumId w:val="161"/>
  </w:num>
  <w:num w:numId="108">
    <w:abstractNumId w:val="117"/>
  </w:num>
  <w:num w:numId="109">
    <w:abstractNumId w:val="57"/>
  </w:num>
  <w:num w:numId="110">
    <w:abstractNumId w:val="76"/>
  </w:num>
  <w:num w:numId="111">
    <w:abstractNumId w:val="105"/>
  </w:num>
  <w:num w:numId="112">
    <w:abstractNumId w:val="83"/>
  </w:num>
  <w:num w:numId="113">
    <w:abstractNumId w:val="108"/>
  </w:num>
  <w:num w:numId="114">
    <w:abstractNumId w:val="131"/>
  </w:num>
  <w:num w:numId="115">
    <w:abstractNumId w:val="80"/>
  </w:num>
  <w:num w:numId="116">
    <w:abstractNumId w:val="127"/>
  </w:num>
  <w:num w:numId="117">
    <w:abstractNumId w:val="74"/>
  </w:num>
  <w:num w:numId="118">
    <w:abstractNumId w:val="40"/>
  </w:num>
  <w:num w:numId="119">
    <w:abstractNumId w:val="21"/>
  </w:num>
  <w:num w:numId="120">
    <w:abstractNumId w:val="25"/>
  </w:num>
  <w:num w:numId="121">
    <w:abstractNumId w:val="60"/>
  </w:num>
  <w:num w:numId="122">
    <w:abstractNumId w:val="153"/>
  </w:num>
  <w:num w:numId="123">
    <w:abstractNumId w:val="14"/>
  </w:num>
  <w:num w:numId="124">
    <w:abstractNumId w:val="70"/>
  </w:num>
  <w:num w:numId="125">
    <w:abstractNumId w:val="63"/>
  </w:num>
  <w:num w:numId="126">
    <w:abstractNumId w:val="42"/>
  </w:num>
  <w:num w:numId="127">
    <w:abstractNumId w:val="93"/>
  </w:num>
  <w:num w:numId="128">
    <w:abstractNumId w:val="56"/>
  </w:num>
  <w:num w:numId="129">
    <w:abstractNumId w:val="1"/>
  </w:num>
  <w:num w:numId="130">
    <w:abstractNumId w:val="78"/>
  </w:num>
  <w:num w:numId="131">
    <w:abstractNumId w:val="143"/>
  </w:num>
  <w:num w:numId="132">
    <w:abstractNumId w:val="95"/>
  </w:num>
  <w:num w:numId="133">
    <w:abstractNumId w:val="75"/>
  </w:num>
  <w:num w:numId="134">
    <w:abstractNumId w:val="10"/>
  </w:num>
  <w:num w:numId="135">
    <w:abstractNumId w:val="22"/>
  </w:num>
  <w:num w:numId="136">
    <w:abstractNumId w:val="59"/>
  </w:num>
  <w:num w:numId="137">
    <w:abstractNumId w:val="53"/>
  </w:num>
  <w:num w:numId="138">
    <w:abstractNumId w:val="67"/>
  </w:num>
  <w:num w:numId="139">
    <w:abstractNumId w:val="97"/>
  </w:num>
  <w:num w:numId="140">
    <w:abstractNumId w:val="50"/>
  </w:num>
  <w:num w:numId="141">
    <w:abstractNumId w:val="107"/>
  </w:num>
  <w:num w:numId="142">
    <w:abstractNumId w:val="160"/>
  </w:num>
  <w:num w:numId="143">
    <w:abstractNumId w:val="16"/>
  </w:num>
  <w:num w:numId="144">
    <w:abstractNumId w:val="3"/>
  </w:num>
  <w:num w:numId="145">
    <w:abstractNumId w:val="139"/>
  </w:num>
  <w:num w:numId="146">
    <w:abstractNumId w:val="144"/>
  </w:num>
  <w:num w:numId="147">
    <w:abstractNumId w:val="154"/>
  </w:num>
  <w:num w:numId="148">
    <w:abstractNumId w:val="54"/>
  </w:num>
  <w:num w:numId="149">
    <w:abstractNumId w:val="82"/>
  </w:num>
  <w:num w:numId="150">
    <w:abstractNumId w:val="8"/>
  </w:num>
  <w:num w:numId="151">
    <w:abstractNumId w:val="159"/>
  </w:num>
  <w:num w:numId="152">
    <w:abstractNumId w:val="27"/>
  </w:num>
  <w:num w:numId="153">
    <w:abstractNumId w:val="30"/>
  </w:num>
  <w:num w:numId="154">
    <w:abstractNumId w:val="122"/>
  </w:num>
  <w:num w:numId="155">
    <w:abstractNumId w:val="24"/>
  </w:num>
  <w:num w:numId="156">
    <w:abstractNumId w:val="49"/>
  </w:num>
  <w:num w:numId="157">
    <w:abstractNumId w:val="20"/>
  </w:num>
  <w:num w:numId="158">
    <w:abstractNumId w:val="129"/>
  </w:num>
  <w:num w:numId="159">
    <w:abstractNumId w:val="92"/>
  </w:num>
  <w:num w:numId="160">
    <w:abstractNumId w:val="99"/>
  </w:num>
  <w:num w:numId="161">
    <w:abstractNumId w:val="65"/>
  </w:num>
  <w:num w:numId="162">
    <w:abstractNumId w:val="135"/>
  </w:num>
  <w:num w:numId="163">
    <w:abstractNumId w:val="118"/>
  </w:num>
  <w:num w:numId="164">
    <w:abstractNumId w:val="141"/>
  </w:num>
  <w:num w:numId="165">
    <w:abstractNumId w:val="121"/>
  </w:num>
  <w:num w:numId="166">
    <w:abstractNumId w:val="33"/>
  </w:num>
  <w:num w:numId="167">
    <w:abstractNumId w:val="48"/>
  </w:num>
  <w:num w:numId="168">
    <w:abstractNumId w:val="79"/>
  </w:num>
  <w:num w:numId="169">
    <w:abstractNumId w:val="72"/>
  </w:num>
  <w:num w:numId="170">
    <w:abstractNumId w:val="103"/>
  </w:num>
  <w:num w:numId="171">
    <w:abstractNumId w:val="73"/>
  </w:num>
  <w:num w:numId="172">
    <w:abstractNumId w:val="73"/>
  </w:num>
  <w:num w:numId="173">
    <w:abstractNumId w:val="73"/>
  </w:num>
  <w:num w:numId="174">
    <w:abstractNumId w:val="73"/>
  </w:num>
  <w:num w:numId="175">
    <w:abstractNumId w:val="73"/>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w:docVar w:name="LW_CORRIGENDUM" w:val="&lt;UNUSED&gt;"/>
    <w:docVar w:name="LW_COVERPAGE_EXISTS" w:val="True"/>
    <w:docVar w:name="LW_COVERPAGE_GUID" w:val="766F11D4-3C55-49EF-A7F2-661865B32AC8"/>
    <w:docVar w:name="LW_COVERPAGE_TYPE" w:val="1"/>
    <w:docVar w:name="LW_CROSSREFERENCE" w:val="{COM(2026) 502 final} - {SEC(2026) 502 final} - {SWD(2026) 503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establishing a framework of measures for strengthening Europe's cloud and AI ecosystem (Cloud and AI Development Act)"/>
    <w:docVar w:name="LW_PART_NBR" w:val="2"/>
    <w:docVar w:name="LW_PART_NBR_TOTAL" w:val="2"/>
    <w:docVar w:name="LW_REF.INST.NEW" w:val="SWD"/>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_x000b_REGULATION OF THE EUROPEAN PARLIAMENT AND OF THE COUNCIL"/>
    <w:docVar w:name="LwApiVersions" w:val="LW4CoDe 1.24.5.0; LW 9.2, Build 20251112"/>
  </w:docVars>
  <w:rsids>
    <w:rsidRoot w:val="006B087E"/>
    <w:rsid w:val="00000005"/>
    <w:rsid w:val="0000009B"/>
    <w:rsid w:val="000000FF"/>
    <w:rsid w:val="000001EA"/>
    <w:rsid w:val="000001ED"/>
    <w:rsid w:val="0000020B"/>
    <w:rsid w:val="00000248"/>
    <w:rsid w:val="00000255"/>
    <w:rsid w:val="000002BC"/>
    <w:rsid w:val="0000035F"/>
    <w:rsid w:val="00000416"/>
    <w:rsid w:val="0000042E"/>
    <w:rsid w:val="00000430"/>
    <w:rsid w:val="00000437"/>
    <w:rsid w:val="00000474"/>
    <w:rsid w:val="000004C3"/>
    <w:rsid w:val="000004C7"/>
    <w:rsid w:val="000004CE"/>
    <w:rsid w:val="000004D2"/>
    <w:rsid w:val="000004FE"/>
    <w:rsid w:val="00000556"/>
    <w:rsid w:val="00000571"/>
    <w:rsid w:val="000005BC"/>
    <w:rsid w:val="000005EF"/>
    <w:rsid w:val="00000633"/>
    <w:rsid w:val="00000679"/>
    <w:rsid w:val="00000684"/>
    <w:rsid w:val="000006D2"/>
    <w:rsid w:val="000006E8"/>
    <w:rsid w:val="000006FE"/>
    <w:rsid w:val="00000724"/>
    <w:rsid w:val="00000727"/>
    <w:rsid w:val="0000072B"/>
    <w:rsid w:val="000007C1"/>
    <w:rsid w:val="000007DF"/>
    <w:rsid w:val="00000833"/>
    <w:rsid w:val="0000083D"/>
    <w:rsid w:val="0000084F"/>
    <w:rsid w:val="00000885"/>
    <w:rsid w:val="000008B3"/>
    <w:rsid w:val="000008BD"/>
    <w:rsid w:val="000008C3"/>
    <w:rsid w:val="000008E3"/>
    <w:rsid w:val="00000929"/>
    <w:rsid w:val="00000939"/>
    <w:rsid w:val="00000986"/>
    <w:rsid w:val="0000099C"/>
    <w:rsid w:val="000009A6"/>
    <w:rsid w:val="000009AF"/>
    <w:rsid w:val="000009B0"/>
    <w:rsid w:val="000009B5"/>
    <w:rsid w:val="000009BC"/>
    <w:rsid w:val="000009BE"/>
    <w:rsid w:val="000009FD"/>
    <w:rsid w:val="00000A1F"/>
    <w:rsid w:val="00000A26"/>
    <w:rsid w:val="00000A39"/>
    <w:rsid w:val="00000A7B"/>
    <w:rsid w:val="00000A8D"/>
    <w:rsid w:val="00000B80"/>
    <w:rsid w:val="00000BAE"/>
    <w:rsid w:val="00000BC4"/>
    <w:rsid w:val="00000BD3"/>
    <w:rsid w:val="00000BD5"/>
    <w:rsid w:val="00000BE3"/>
    <w:rsid w:val="00000C52"/>
    <w:rsid w:val="00000C56"/>
    <w:rsid w:val="00000C69"/>
    <w:rsid w:val="00000CA3"/>
    <w:rsid w:val="00000CB8"/>
    <w:rsid w:val="00000CD6"/>
    <w:rsid w:val="00000CF8"/>
    <w:rsid w:val="00000D2D"/>
    <w:rsid w:val="00000D8C"/>
    <w:rsid w:val="00000DC1"/>
    <w:rsid w:val="00000ED8"/>
    <w:rsid w:val="00000F05"/>
    <w:rsid w:val="00000F43"/>
    <w:rsid w:val="00000F6B"/>
    <w:rsid w:val="00000F72"/>
    <w:rsid w:val="00000FC2"/>
    <w:rsid w:val="00000FC5"/>
    <w:rsid w:val="00000FE1"/>
    <w:rsid w:val="0000101B"/>
    <w:rsid w:val="0000103F"/>
    <w:rsid w:val="00001061"/>
    <w:rsid w:val="000010DF"/>
    <w:rsid w:val="00001117"/>
    <w:rsid w:val="0000112F"/>
    <w:rsid w:val="00001162"/>
    <w:rsid w:val="000011A0"/>
    <w:rsid w:val="000011E7"/>
    <w:rsid w:val="0000121D"/>
    <w:rsid w:val="00001247"/>
    <w:rsid w:val="0000129C"/>
    <w:rsid w:val="000012A1"/>
    <w:rsid w:val="000012A8"/>
    <w:rsid w:val="000012A9"/>
    <w:rsid w:val="000012D1"/>
    <w:rsid w:val="000012D5"/>
    <w:rsid w:val="000012E8"/>
    <w:rsid w:val="000012FD"/>
    <w:rsid w:val="00001309"/>
    <w:rsid w:val="00001361"/>
    <w:rsid w:val="00001395"/>
    <w:rsid w:val="000013DC"/>
    <w:rsid w:val="000013F1"/>
    <w:rsid w:val="00001415"/>
    <w:rsid w:val="0000146B"/>
    <w:rsid w:val="00001475"/>
    <w:rsid w:val="000014C7"/>
    <w:rsid w:val="000014DA"/>
    <w:rsid w:val="000014DF"/>
    <w:rsid w:val="00001519"/>
    <w:rsid w:val="0000153B"/>
    <w:rsid w:val="000015A4"/>
    <w:rsid w:val="0000162D"/>
    <w:rsid w:val="000016B0"/>
    <w:rsid w:val="000016C6"/>
    <w:rsid w:val="000016DB"/>
    <w:rsid w:val="00001709"/>
    <w:rsid w:val="00001719"/>
    <w:rsid w:val="0000173A"/>
    <w:rsid w:val="00001751"/>
    <w:rsid w:val="00001759"/>
    <w:rsid w:val="00001797"/>
    <w:rsid w:val="000017AF"/>
    <w:rsid w:val="00001815"/>
    <w:rsid w:val="0000181C"/>
    <w:rsid w:val="0000183E"/>
    <w:rsid w:val="0000185E"/>
    <w:rsid w:val="0000185F"/>
    <w:rsid w:val="00001866"/>
    <w:rsid w:val="0000189C"/>
    <w:rsid w:val="000018AB"/>
    <w:rsid w:val="000018F1"/>
    <w:rsid w:val="0000194C"/>
    <w:rsid w:val="00001998"/>
    <w:rsid w:val="000019B6"/>
    <w:rsid w:val="000019EF"/>
    <w:rsid w:val="00001A52"/>
    <w:rsid w:val="00001A58"/>
    <w:rsid w:val="00001A60"/>
    <w:rsid w:val="00001A65"/>
    <w:rsid w:val="00001A7F"/>
    <w:rsid w:val="00001A95"/>
    <w:rsid w:val="00001AD7"/>
    <w:rsid w:val="00001AE7"/>
    <w:rsid w:val="00001AF4"/>
    <w:rsid w:val="00001AF7"/>
    <w:rsid w:val="00001B1A"/>
    <w:rsid w:val="00001B56"/>
    <w:rsid w:val="00001B62"/>
    <w:rsid w:val="00001BC8"/>
    <w:rsid w:val="00001BFE"/>
    <w:rsid w:val="00001C17"/>
    <w:rsid w:val="00001C20"/>
    <w:rsid w:val="00001C38"/>
    <w:rsid w:val="00001C5C"/>
    <w:rsid w:val="00001CB7"/>
    <w:rsid w:val="00001CCA"/>
    <w:rsid w:val="00001CCE"/>
    <w:rsid w:val="00001CE0"/>
    <w:rsid w:val="00001D23"/>
    <w:rsid w:val="00001D24"/>
    <w:rsid w:val="00001D33"/>
    <w:rsid w:val="00001D49"/>
    <w:rsid w:val="00001D5E"/>
    <w:rsid w:val="00001D69"/>
    <w:rsid w:val="00001D87"/>
    <w:rsid w:val="00001D93"/>
    <w:rsid w:val="00001DB1"/>
    <w:rsid w:val="00001DD0"/>
    <w:rsid w:val="00001DDE"/>
    <w:rsid w:val="00001E4D"/>
    <w:rsid w:val="00001E6C"/>
    <w:rsid w:val="00001E76"/>
    <w:rsid w:val="00001E97"/>
    <w:rsid w:val="00001E9B"/>
    <w:rsid w:val="00001EAB"/>
    <w:rsid w:val="00001FA2"/>
    <w:rsid w:val="00001FFF"/>
    <w:rsid w:val="0000200A"/>
    <w:rsid w:val="00002019"/>
    <w:rsid w:val="00002068"/>
    <w:rsid w:val="0000206F"/>
    <w:rsid w:val="00002077"/>
    <w:rsid w:val="000020BA"/>
    <w:rsid w:val="000020BF"/>
    <w:rsid w:val="000020EC"/>
    <w:rsid w:val="00002175"/>
    <w:rsid w:val="00002188"/>
    <w:rsid w:val="00002195"/>
    <w:rsid w:val="000021A6"/>
    <w:rsid w:val="000021AD"/>
    <w:rsid w:val="00002218"/>
    <w:rsid w:val="00002229"/>
    <w:rsid w:val="00002237"/>
    <w:rsid w:val="00002254"/>
    <w:rsid w:val="00002260"/>
    <w:rsid w:val="0000226B"/>
    <w:rsid w:val="000022C3"/>
    <w:rsid w:val="000022F9"/>
    <w:rsid w:val="00002320"/>
    <w:rsid w:val="0000234C"/>
    <w:rsid w:val="0000235E"/>
    <w:rsid w:val="0000236A"/>
    <w:rsid w:val="0000238F"/>
    <w:rsid w:val="0000239A"/>
    <w:rsid w:val="0000239E"/>
    <w:rsid w:val="00002416"/>
    <w:rsid w:val="00002479"/>
    <w:rsid w:val="00002490"/>
    <w:rsid w:val="00002558"/>
    <w:rsid w:val="0000255A"/>
    <w:rsid w:val="000025F6"/>
    <w:rsid w:val="00002624"/>
    <w:rsid w:val="0000262F"/>
    <w:rsid w:val="00002634"/>
    <w:rsid w:val="00002646"/>
    <w:rsid w:val="00002667"/>
    <w:rsid w:val="0000268A"/>
    <w:rsid w:val="0000268C"/>
    <w:rsid w:val="000026A5"/>
    <w:rsid w:val="000026C7"/>
    <w:rsid w:val="000026D6"/>
    <w:rsid w:val="00002705"/>
    <w:rsid w:val="00002721"/>
    <w:rsid w:val="00002740"/>
    <w:rsid w:val="00002742"/>
    <w:rsid w:val="0000275B"/>
    <w:rsid w:val="000027D6"/>
    <w:rsid w:val="000027E5"/>
    <w:rsid w:val="00002829"/>
    <w:rsid w:val="00002833"/>
    <w:rsid w:val="0000289B"/>
    <w:rsid w:val="0000289D"/>
    <w:rsid w:val="000028F3"/>
    <w:rsid w:val="000028F4"/>
    <w:rsid w:val="00002909"/>
    <w:rsid w:val="0000293E"/>
    <w:rsid w:val="000029FD"/>
    <w:rsid w:val="00002A2D"/>
    <w:rsid w:val="00002A5A"/>
    <w:rsid w:val="00002A80"/>
    <w:rsid w:val="00002A8E"/>
    <w:rsid w:val="00002AA1"/>
    <w:rsid w:val="00002AA4"/>
    <w:rsid w:val="00002ACD"/>
    <w:rsid w:val="00002B0C"/>
    <w:rsid w:val="00002B60"/>
    <w:rsid w:val="00002B85"/>
    <w:rsid w:val="00002B98"/>
    <w:rsid w:val="00002BC8"/>
    <w:rsid w:val="00002BCC"/>
    <w:rsid w:val="00002C08"/>
    <w:rsid w:val="00002C20"/>
    <w:rsid w:val="00002C3A"/>
    <w:rsid w:val="00002C3B"/>
    <w:rsid w:val="00002C53"/>
    <w:rsid w:val="00002C57"/>
    <w:rsid w:val="00002CAE"/>
    <w:rsid w:val="00002CB6"/>
    <w:rsid w:val="00002CBC"/>
    <w:rsid w:val="00002CCB"/>
    <w:rsid w:val="00002CFA"/>
    <w:rsid w:val="00002D36"/>
    <w:rsid w:val="00002D3D"/>
    <w:rsid w:val="00002D4B"/>
    <w:rsid w:val="00002D4F"/>
    <w:rsid w:val="00002D7B"/>
    <w:rsid w:val="00002D86"/>
    <w:rsid w:val="00002DE9"/>
    <w:rsid w:val="00002E12"/>
    <w:rsid w:val="00002E46"/>
    <w:rsid w:val="00002E80"/>
    <w:rsid w:val="00002EC5"/>
    <w:rsid w:val="00002ECD"/>
    <w:rsid w:val="00002EF8"/>
    <w:rsid w:val="00002F09"/>
    <w:rsid w:val="00002F2B"/>
    <w:rsid w:val="00002F34"/>
    <w:rsid w:val="00002F3B"/>
    <w:rsid w:val="00002F48"/>
    <w:rsid w:val="00002F53"/>
    <w:rsid w:val="00002F79"/>
    <w:rsid w:val="00002F81"/>
    <w:rsid w:val="00002F92"/>
    <w:rsid w:val="00002F94"/>
    <w:rsid w:val="00002FB4"/>
    <w:rsid w:val="00002FBD"/>
    <w:rsid w:val="00003007"/>
    <w:rsid w:val="00003037"/>
    <w:rsid w:val="00003041"/>
    <w:rsid w:val="00003046"/>
    <w:rsid w:val="00003052"/>
    <w:rsid w:val="0000305E"/>
    <w:rsid w:val="000030B0"/>
    <w:rsid w:val="000030C9"/>
    <w:rsid w:val="000030D5"/>
    <w:rsid w:val="000030E0"/>
    <w:rsid w:val="000030FC"/>
    <w:rsid w:val="000030FE"/>
    <w:rsid w:val="00003134"/>
    <w:rsid w:val="00003147"/>
    <w:rsid w:val="0000314A"/>
    <w:rsid w:val="0000314F"/>
    <w:rsid w:val="00003178"/>
    <w:rsid w:val="000031C0"/>
    <w:rsid w:val="00003211"/>
    <w:rsid w:val="0000321A"/>
    <w:rsid w:val="00003223"/>
    <w:rsid w:val="0000324B"/>
    <w:rsid w:val="000032B3"/>
    <w:rsid w:val="000032C0"/>
    <w:rsid w:val="000032D8"/>
    <w:rsid w:val="000032F4"/>
    <w:rsid w:val="000032F9"/>
    <w:rsid w:val="0000337A"/>
    <w:rsid w:val="000033B5"/>
    <w:rsid w:val="000033D6"/>
    <w:rsid w:val="000033E7"/>
    <w:rsid w:val="000033ED"/>
    <w:rsid w:val="00003411"/>
    <w:rsid w:val="00003451"/>
    <w:rsid w:val="00003489"/>
    <w:rsid w:val="00003499"/>
    <w:rsid w:val="000034A0"/>
    <w:rsid w:val="000034DF"/>
    <w:rsid w:val="000034E7"/>
    <w:rsid w:val="000034F1"/>
    <w:rsid w:val="00003518"/>
    <w:rsid w:val="000035E2"/>
    <w:rsid w:val="000035F1"/>
    <w:rsid w:val="00003613"/>
    <w:rsid w:val="0000361F"/>
    <w:rsid w:val="0000364A"/>
    <w:rsid w:val="000036A1"/>
    <w:rsid w:val="00003724"/>
    <w:rsid w:val="0000372E"/>
    <w:rsid w:val="0000374A"/>
    <w:rsid w:val="00003754"/>
    <w:rsid w:val="00003758"/>
    <w:rsid w:val="00003767"/>
    <w:rsid w:val="00003778"/>
    <w:rsid w:val="000037BF"/>
    <w:rsid w:val="000037F5"/>
    <w:rsid w:val="000037FC"/>
    <w:rsid w:val="000038DB"/>
    <w:rsid w:val="00003906"/>
    <w:rsid w:val="00003921"/>
    <w:rsid w:val="00003996"/>
    <w:rsid w:val="000039B2"/>
    <w:rsid w:val="000039C3"/>
    <w:rsid w:val="000039D8"/>
    <w:rsid w:val="00003A1D"/>
    <w:rsid w:val="00003A67"/>
    <w:rsid w:val="00003A75"/>
    <w:rsid w:val="00003AC2"/>
    <w:rsid w:val="00003AEB"/>
    <w:rsid w:val="00003AF7"/>
    <w:rsid w:val="00003B3D"/>
    <w:rsid w:val="00003B96"/>
    <w:rsid w:val="00003BB4"/>
    <w:rsid w:val="00003C1F"/>
    <w:rsid w:val="00003C29"/>
    <w:rsid w:val="00003C31"/>
    <w:rsid w:val="00003C45"/>
    <w:rsid w:val="00003C67"/>
    <w:rsid w:val="00003C75"/>
    <w:rsid w:val="00003CD6"/>
    <w:rsid w:val="00003D37"/>
    <w:rsid w:val="00003E0C"/>
    <w:rsid w:val="00003E10"/>
    <w:rsid w:val="00003E31"/>
    <w:rsid w:val="00003E41"/>
    <w:rsid w:val="00003E68"/>
    <w:rsid w:val="00003E94"/>
    <w:rsid w:val="00003E95"/>
    <w:rsid w:val="00003EA3"/>
    <w:rsid w:val="00003EBE"/>
    <w:rsid w:val="00003ED9"/>
    <w:rsid w:val="00003F0F"/>
    <w:rsid w:val="00003F45"/>
    <w:rsid w:val="00003F61"/>
    <w:rsid w:val="00003F67"/>
    <w:rsid w:val="00003F86"/>
    <w:rsid w:val="00003F90"/>
    <w:rsid w:val="00003FA5"/>
    <w:rsid w:val="00004003"/>
    <w:rsid w:val="0000403A"/>
    <w:rsid w:val="00004040"/>
    <w:rsid w:val="0000404B"/>
    <w:rsid w:val="000040C3"/>
    <w:rsid w:val="000040C8"/>
    <w:rsid w:val="000040FD"/>
    <w:rsid w:val="00004142"/>
    <w:rsid w:val="00004182"/>
    <w:rsid w:val="000041BB"/>
    <w:rsid w:val="000041E8"/>
    <w:rsid w:val="00004205"/>
    <w:rsid w:val="00004213"/>
    <w:rsid w:val="00004217"/>
    <w:rsid w:val="0000428C"/>
    <w:rsid w:val="00004294"/>
    <w:rsid w:val="0000430A"/>
    <w:rsid w:val="00004332"/>
    <w:rsid w:val="00004349"/>
    <w:rsid w:val="0000434A"/>
    <w:rsid w:val="00004364"/>
    <w:rsid w:val="0000437B"/>
    <w:rsid w:val="000043B6"/>
    <w:rsid w:val="000043F2"/>
    <w:rsid w:val="00004429"/>
    <w:rsid w:val="0000442D"/>
    <w:rsid w:val="00004432"/>
    <w:rsid w:val="00004477"/>
    <w:rsid w:val="00004490"/>
    <w:rsid w:val="000044AF"/>
    <w:rsid w:val="000044BB"/>
    <w:rsid w:val="000044CC"/>
    <w:rsid w:val="000044D3"/>
    <w:rsid w:val="00004517"/>
    <w:rsid w:val="0000451F"/>
    <w:rsid w:val="0000457C"/>
    <w:rsid w:val="00004583"/>
    <w:rsid w:val="000045C1"/>
    <w:rsid w:val="000045CE"/>
    <w:rsid w:val="000045D6"/>
    <w:rsid w:val="00004607"/>
    <w:rsid w:val="00004617"/>
    <w:rsid w:val="0000464B"/>
    <w:rsid w:val="0000466A"/>
    <w:rsid w:val="000046A1"/>
    <w:rsid w:val="00004716"/>
    <w:rsid w:val="0000472B"/>
    <w:rsid w:val="0000473B"/>
    <w:rsid w:val="0000478F"/>
    <w:rsid w:val="000047B8"/>
    <w:rsid w:val="00004823"/>
    <w:rsid w:val="0000485A"/>
    <w:rsid w:val="000048BC"/>
    <w:rsid w:val="000048CC"/>
    <w:rsid w:val="000048D5"/>
    <w:rsid w:val="000048FC"/>
    <w:rsid w:val="0000491C"/>
    <w:rsid w:val="0000492F"/>
    <w:rsid w:val="00004972"/>
    <w:rsid w:val="0000497C"/>
    <w:rsid w:val="0000497D"/>
    <w:rsid w:val="000049C5"/>
    <w:rsid w:val="000049E2"/>
    <w:rsid w:val="000049FC"/>
    <w:rsid w:val="00004A00"/>
    <w:rsid w:val="00004A13"/>
    <w:rsid w:val="00004A3D"/>
    <w:rsid w:val="00004A40"/>
    <w:rsid w:val="00004A62"/>
    <w:rsid w:val="00004A6A"/>
    <w:rsid w:val="00004A7E"/>
    <w:rsid w:val="00004A96"/>
    <w:rsid w:val="00004AA8"/>
    <w:rsid w:val="00004AAC"/>
    <w:rsid w:val="00004AB4"/>
    <w:rsid w:val="00004AEC"/>
    <w:rsid w:val="00004B44"/>
    <w:rsid w:val="00004B5A"/>
    <w:rsid w:val="00004B68"/>
    <w:rsid w:val="00004B80"/>
    <w:rsid w:val="00004BB0"/>
    <w:rsid w:val="00004BF8"/>
    <w:rsid w:val="00004C13"/>
    <w:rsid w:val="00004C33"/>
    <w:rsid w:val="00004C42"/>
    <w:rsid w:val="00004CAC"/>
    <w:rsid w:val="00004CB0"/>
    <w:rsid w:val="00004CD9"/>
    <w:rsid w:val="00004CF5"/>
    <w:rsid w:val="00004D27"/>
    <w:rsid w:val="00004D33"/>
    <w:rsid w:val="00004D7D"/>
    <w:rsid w:val="00004D8A"/>
    <w:rsid w:val="00004DDD"/>
    <w:rsid w:val="00004E0E"/>
    <w:rsid w:val="00004E1F"/>
    <w:rsid w:val="00004E5E"/>
    <w:rsid w:val="00004E79"/>
    <w:rsid w:val="00004EF0"/>
    <w:rsid w:val="00004F46"/>
    <w:rsid w:val="00004FAF"/>
    <w:rsid w:val="0000500B"/>
    <w:rsid w:val="0000501B"/>
    <w:rsid w:val="0000502D"/>
    <w:rsid w:val="0000503B"/>
    <w:rsid w:val="0000503C"/>
    <w:rsid w:val="0000504A"/>
    <w:rsid w:val="0000509C"/>
    <w:rsid w:val="000050CC"/>
    <w:rsid w:val="000050E9"/>
    <w:rsid w:val="000050F6"/>
    <w:rsid w:val="0000513D"/>
    <w:rsid w:val="00005222"/>
    <w:rsid w:val="00005238"/>
    <w:rsid w:val="0000526D"/>
    <w:rsid w:val="0000528F"/>
    <w:rsid w:val="000052BD"/>
    <w:rsid w:val="000052C4"/>
    <w:rsid w:val="000052D4"/>
    <w:rsid w:val="000052D6"/>
    <w:rsid w:val="000052DB"/>
    <w:rsid w:val="00005310"/>
    <w:rsid w:val="00005320"/>
    <w:rsid w:val="00005353"/>
    <w:rsid w:val="00005374"/>
    <w:rsid w:val="000053D9"/>
    <w:rsid w:val="000053E7"/>
    <w:rsid w:val="0000544B"/>
    <w:rsid w:val="0000545D"/>
    <w:rsid w:val="00005460"/>
    <w:rsid w:val="00005464"/>
    <w:rsid w:val="000054B4"/>
    <w:rsid w:val="00005567"/>
    <w:rsid w:val="00005568"/>
    <w:rsid w:val="00005572"/>
    <w:rsid w:val="00005587"/>
    <w:rsid w:val="0000559F"/>
    <w:rsid w:val="000055A9"/>
    <w:rsid w:val="000055AE"/>
    <w:rsid w:val="000055D1"/>
    <w:rsid w:val="000055DA"/>
    <w:rsid w:val="0000560A"/>
    <w:rsid w:val="00005677"/>
    <w:rsid w:val="0000568C"/>
    <w:rsid w:val="0000569A"/>
    <w:rsid w:val="000056B8"/>
    <w:rsid w:val="000056C3"/>
    <w:rsid w:val="000056FC"/>
    <w:rsid w:val="0000570F"/>
    <w:rsid w:val="0000571A"/>
    <w:rsid w:val="00005725"/>
    <w:rsid w:val="00005734"/>
    <w:rsid w:val="0000575D"/>
    <w:rsid w:val="00005769"/>
    <w:rsid w:val="00005778"/>
    <w:rsid w:val="000057E1"/>
    <w:rsid w:val="0000581D"/>
    <w:rsid w:val="00005836"/>
    <w:rsid w:val="0000583F"/>
    <w:rsid w:val="00005840"/>
    <w:rsid w:val="0000585B"/>
    <w:rsid w:val="000058A7"/>
    <w:rsid w:val="00005921"/>
    <w:rsid w:val="000059C1"/>
    <w:rsid w:val="000059D0"/>
    <w:rsid w:val="00005A00"/>
    <w:rsid w:val="00005A3C"/>
    <w:rsid w:val="00005A47"/>
    <w:rsid w:val="00005A4B"/>
    <w:rsid w:val="00005A77"/>
    <w:rsid w:val="00005AA6"/>
    <w:rsid w:val="00005AAB"/>
    <w:rsid w:val="00005ABD"/>
    <w:rsid w:val="00005B65"/>
    <w:rsid w:val="00005BBB"/>
    <w:rsid w:val="00005C03"/>
    <w:rsid w:val="00005C16"/>
    <w:rsid w:val="00005C4F"/>
    <w:rsid w:val="00005C5C"/>
    <w:rsid w:val="00005CC5"/>
    <w:rsid w:val="00005D27"/>
    <w:rsid w:val="00005D63"/>
    <w:rsid w:val="00005D80"/>
    <w:rsid w:val="00005D83"/>
    <w:rsid w:val="00005DD8"/>
    <w:rsid w:val="00005DEF"/>
    <w:rsid w:val="00005E1C"/>
    <w:rsid w:val="00005E67"/>
    <w:rsid w:val="00005ED2"/>
    <w:rsid w:val="00005F1E"/>
    <w:rsid w:val="00005F3A"/>
    <w:rsid w:val="00005FBD"/>
    <w:rsid w:val="00005FC1"/>
    <w:rsid w:val="000060AF"/>
    <w:rsid w:val="000060C7"/>
    <w:rsid w:val="000060D6"/>
    <w:rsid w:val="000060F9"/>
    <w:rsid w:val="00006117"/>
    <w:rsid w:val="0000618E"/>
    <w:rsid w:val="00006199"/>
    <w:rsid w:val="0000619F"/>
    <w:rsid w:val="000061C4"/>
    <w:rsid w:val="000061D6"/>
    <w:rsid w:val="000061D7"/>
    <w:rsid w:val="00006201"/>
    <w:rsid w:val="0000623C"/>
    <w:rsid w:val="00006263"/>
    <w:rsid w:val="000062B5"/>
    <w:rsid w:val="0000631A"/>
    <w:rsid w:val="0000636F"/>
    <w:rsid w:val="00006398"/>
    <w:rsid w:val="000063CD"/>
    <w:rsid w:val="000063D0"/>
    <w:rsid w:val="000063E1"/>
    <w:rsid w:val="000063FB"/>
    <w:rsid w:val="00006407"/>
    <w:rsid w:val="00006408"/>
    <w:rsid w:val="00006466"/>
    <w:rsid w:val="000064FD"/>
    <w:rsid w:val="00006508"/>
    <w:rsid w:val="00006546"/>
    <w:rsid w:val="00006551"/>
    <w:rsid w:val="000065AE"/>
    <w:rsid w:val="000065E2"/>
    <w:rsid w:val="00006636"/>
    <w:rsid w:val="00006651"/>
    <w:rsid w:val="00006666"/>
    <w:rsid w:val="000066B4"/>
    <w:rsid w:val="000066F7"/>
    <w:rsid w:val="00006735"/>
    <w:rsid w:val="00006759"/>
    <w:rsid w:val="00006784"/>
    <w:rsid w:val="000067AA"/>
    <w:rsid w:val="000067C0"/>
    <w:rsid w:val="000067CA"/>
    <w:rsid w:val="000067D6"/>
    <w:rsid w:val="000067E2"/>
    <w:rsid w:val="00006800"/>
    <w:rsid w:val="000068D1"/>
    <w:rsid w:val="00006912"/>
    <w:rsid w:val="0000692A"/>
    <w:rsid w:val="0000692B"/>
    <w:rsid w:val="00006931"/>
    <w:rsid w:val="00006981"/>
    <w:rsid w:val="0000698A"/>
    <w:rsid w:val="0000698C"/>
    <w:rsid w:val="000069AD"/>
    <w:rsid w:val="000069AE"/>
    <w:rsid w:val="000069B7"/>
    <w:rsid w:val="000069C2"/>
    <w:rsid w:val="000069C5"/>
    <w:rsid w:val="000069E3"/>
    <w:rsid w:val="000069E7"/>
    <w:rsid w:val="000069F7"/>
    <w:rsid w:val="00006A57"/>
    <w:rsid w:val="00006A73"/>
    <w:rsid w:val="00006A9A"/>
    <w:rsid w:val="00006AA2"/>
    <w:rsid w:val="00006ABF"/>
    <w:rsid w:val="00006AC5"/>
    <w:rsid w:val="00006ACD"/>
    <w:rsid w:val="00006AD6"/>
    <w:rsid w:val="00006B25"/>
    <w:rsid w:val="00006B2B"/>
    <w:rsid w:val="00006B34"/>
    <w:rsid w:val="00006B3D"/>
    <w:rsid w:val="00006B41"/>
    <w:rsid w:val="00006B47"/>
    <w:rsid w:val="00006B4C"/>
    <w:rsid w:val="00006B51"/>
    <w:rsid w:val="00006BD5"/>
    <w:rsid w:val="00006BDB"/>
    <w:rsid w:val="00006C2E"/>
    <w:rsid w:val="00006C56"/>
    <w:rsid w:val="00006C57"/>
    <w:rsid w:val="00006C7C"/>
    <w:rsid w:val="00006CA8"/>
    <w:rsid w:val="00006CCC"/>
    <w:rsid w:val="00006CFC"/>
    <w:rsid w:val="00006D01"/>
    <w:rsid w:val="00006D1F"/>
    <w:rsid w:val="00006D2A"/>
    <w:rsid w:val="00006D65"/>
    <w:rsid w:val="00006DB2"/>
    <w:rsid w:val="00006DBF"/>
    <w:rsid w:val="00006DD2"/>
    <w:rsid w:val="00006E0F"/>
    <w:rsid w:val="00006E2E"/>
    <w:rsid w:val="00006E46"/>
    <w:rsid w:val="00006E84"/>
    <w:rsid w:val="00006E8D"/>
    <w:rsid w:val="00006EAD"/>
    <w:rsid w:val="00006EC3"/>
    <w:rsid w:val="00006ED4"/>
    <w:rsid w:val="00006EF5"/>
    <w:rsid w:val="00006F35"/>
    <w:rsid w:val="00006F8E"/>
    <w:rsid w:val="00006F98"/>
    <w:rsid w:val="00006FAF"/>
    <w:rsid w:val="00006FB5"/>
    <w:rsid w:val="00006FDB"/>
    <w:rsid w:val="00006FE3"/>
    <w:rsid w:val="00006FE7"/>
    <w:rsid w:val="0000702F"/>
    <w:rsid w:val="00007068"/>
    <w:rsid w:val="00007069"/>
    <w:rsid w:val="0000707F"/>
    <w:rsid w:val="00007083"/>
    <w:rsid w:val="0000708A"/>
    <w:rsid w:val="000070F6"/>
    <w:rsid w:val="0000710D"/>
    <w:rsid w:val="0000711F"/>
    <w:rsid w:val="0000715D"/>
    <w:rsid w:val="00007163"/>
    <w:rsid w:val="00007164"/>
    <w:rsid w:val="00007177"/>
    <w:rsid w:val="00007196"/>
    <w:rsid w:val="000071C1"/>
    <w:rsid w:val="000071C8"/>
    <w:rsid w:val="000071D6"/>
    <w:rsid w:val="000071EB"/>
    <w:rsid w:val="000071F4"/>
    <w:rsid w:val="00007201"/>
    <w:rsid w:val="00007210"/>
    <w:rsid w:val="00007234"/>
    <w:rsid w:val="00007275"/>
    <w:rsid w:val="00007286"/>
    <w:rsid w:val="000072D4"/>
    <w:rsid w:val="000072DC"/>
    <w:rsid w:val="0000730E"/>
    <w:rsid w:val="0000731B"/>
    <w:rsid w:val="0000731C"/>
    <w:rsid w:val="00007330"/>
    <w:rsid w:val="0000733F"/>
    <w:rsid w:val="00007346"/>
    <w:rsid w:val="00007350"/>
    <w:rsid w:val="000073B9"/>
    <w:rsid w:val="000073FD"/>
    <w:rsid w:val="0000740C"/>
    <w:rsid w:val="0000742E"/>
    <w:rsid w:val="0000744B"/>
    <w:rsid w:val="00007459"/>
    <w:rsid w:val="00007462"/>
    <w:rsid w:val="00007465"/>
    <w:rsid w:val="0000748B"/>
    <w:rsid w:val="00007545"/>
    <w:rsid w:val="00007556"/>
    <w:rsid w:val="00007558"/>
    <w:rsid w:val="00007570"/>
    <w:rsid w:val="0000758D"/>
    <w:rsid w:val="000075D7"/>
    <w:rsid w:val="00007637"/>
    <w:rsid w:val="00007641"/>
    <w:rsid w:val="0000767B"/>
    <w:rsid w:val="000076C4"/>
    <w:rsid w:val="000076E4"/>
    <w:rsid w:val="000076E6"/>
    <w:rsid w:val="000076F5"/>
    <w:rsid w:val="00007708"/>
    <w:rsid w:val="0000772A"/>
    <w:rsid w:val="0000772F"/>
    <w:rsid w:val="00007737"/>
    <w:rsid w:val="0000778D"/>
    <w:rsid w:val="0000779F"/>
    <w:rsid w:val="000077A0"/>
    <w:rsid w:val="000077AD"/>
    <w:rsid w:val="000077B5"/>
    <w:rsid w:val="000077B9"/>
    <w:rsid w:val="000077C0"/>
    <w:rsid w:val="00007809"/>
    <w:rsid w:val="0000782C"/>
    <w:rsid w:val="00007831"/>
    <w:rsid w:val="0000786C"/>
    <w:rsid w:val="000078B8"/>
    <w:rsid w:val="000078BE"/>
    <w:rsid w:val="000078FC"/>
    <w:rsid w:val="0000793E"/>
    <w:rsid w:val="00007947"/>
    <w:rsid w:val="00007954"/>
    <w:rsid w:val="0000795A"/>
    <w:rsid w:val="0000795F"/>
    <w:rsid w:val="00007960"/>
    <w:rsid w:val="00007996"/>
    <w:rsid w:val="000079C5"/>
    <w:rsid w:val="000079E5"/>
    <w:rsid w:val="000079EF"/>
    <w:rsid w:val="000079F8"/>
    <w:rsid w:val="00007A02"/>
    <w:rsid w:val="00007A2C"/>
    <w:rsid w:val="00007A37"/>
    <w:rsid w:val="00007A48"/>
    <w:rsid w:val="00007AA2"/>
    <w:rsid w:val="00007AC4"/>
    <w:rsid w:val="00007AED"/>
    <w:rsid w:val="00007B22"/>
    <w:rsid w:val="00007B6B"/>
    <w:rsid w:val="00007B70"/>
    <w:rsid w:val="00007B7A"/>
    <w:rsid w:val="00007B7D"/>
    <w:rsid w:val="00007B92"/>
    <w:rsid w:val="00007BA3"/>
    <w:rsid w:val="00007BC7"/>
    <w:rsid w:val="00007C11"/>
    <w:rsid w:val="00007C18"/>
    <w:rsid w:val="00007C30"/>
    <w:rsid w:val="00007C48"/>
    <w:rsid w:val="00007C67"/>
    <w:rsid w:val="00007CB7"/>
    <w:rsid w:val="00007CC0"/>
    <w:rsid w:val="00007D2D"/>
    <w:rsid w:val="00007D2F"/>
    <w:rsid w:val="00007D74"/>
    <w:rsid w:val="00007D9D"/>
    <w:rsid w:val="00007DBF"/>
    <w:rsid w:val="00007DD6"/>
    <w:rsid w:val="00007DDB"/>
    <w:rsid w:val="00007DEB"/>
    <w:rsid w:val="00007DF4"/>
    <w:rsid w:val="00007E3D"/>
    <w:rsid w:val="00007E50"/>
    <w:rsid w:val="00007E51"/>
    <w:rsid w:val="00007E56"/>
    <w:rsid w:val="00007E62"/>
    <w:rsid w:val="00007E70"/>
    <w:rsid w:val="00007E75"/>
    <w:rsid w:val="00007EF2"/>
    <w:rsid w:val="00007F06"/>
    <w:rsid w:val="00007F0D"/>
    <w:rsid w:val="00007F22"/>
    <w:rsid w:val="00007F2F"/>
    <w:rsid w:val="00007F8B"/>
    <w:rsid w:val="00007F8F"/>
    <w:rsid w:val="00007FA9"/>
    <w:rsid w:val="00007FCF"/>
    <w:rsid w:val="00007FF9"/>
    <w:rsid w:val="0000AC39"/>
    <w:rsid w:val="0001005A"/>
    <w:rsid w:val="00010062"/>
    <w:rsid w:val="00010089"/>
    <w:rsid w:val="0001010A"/>
    <w:rsid w:val="00010143"/>
    <w:rsid w:val="00010156"/>
    <w:rsid w:val="0001018C"/>
    <w:rsid w:val="000101B5"/>
    <w:rsid w:val="000101E2"/>
    <w:rsid w:val="0001023C"/>
    <w:rsid w:val="0001024B"/>
    <w:rsid w:val="00010268"/>
    <w:rsid w:val="0001028B"/>
    <w:rsid w:val="0001028F"/>
    <w:rsid w:val="0001029C"/>
    <w:rsid w:val="000102B3"/>
    <w:rsid w:val="000102B6"/>
    <w:rsid w:val="000102D7"/>
    <w:rsid w:val="00010312"/>
    <w:rsid w:val="00010327"/>
    <w:rsid w:val="00010332"/>
    <w:rsid w:val="0001033A"/>
    <w:rsid w:val="00010343"/>
    <w:rsid w:val="0001036F"/>
    <w:rsid w:val="000103C8"/>
    <w:rsid w:val="0001042E"/>
    <w:rsid w:val="00010440"/>
    <w:rsid w:val="000104B8"/>
    <w:rsid w:val="000104FB"/>
    <w:rsid w:val="00010535"/>
    <w:rsid w:val="0001057A"/>
    <w:rsid w:val="000105A2"/>
    <w:rsid w:val="000105B0"/>
    <w:rsid w:val="000105D5"/>
    <w:rsid w:val="000105D6"/>
    <w:rsid w:val="000105FD"/>
    <w:rsid w:val="00010612"/>
    <w:rsid w:val="00010673"/>
    <w:rsid w:val="0001067C"/>
    <w:rsid w:val="000106D2"/>
    <w:rsid w:val="000106D6"/>
    <w:rsid w:val="000106DF"/>
    <w:rsid w:val="000106F4"/>
    <w:rsid w:val="00010709"/>
    <w:rsid w:val="00010716"/>
    <w:rsid w:val="00010725"/>
    <w:rsid w:val="00010732"/>
    <w:rsid w:val="00010742"/>
    <w:rsid w:val="00010750"/>
    <w:rsid w:val="00010760"/>
    <w:rsid w:val="00010788"/>
    <w:rsid w:val="000107D3"/>
    <w:rsid w:val="000107E3"/>
    <w:rsid w:val="00010808"/>
    <w:rsid w:val="00010895"/>
    <w:rsid w:val="000108A2"/>
    <w:rsid w:val="000108BD"/>
    <w:rsid w:val="000108C7"/>
    <w:rsid w:val="000108EF"/>
    <w:rsid w:val="0001092E"/>
    <w:rsid w:val="0001094E"/>
    <w:rsid w:val="00010967"/>
    <w:rsid w:val="00010989"/>
    <w:rsid w:val="000109A1"/>
    <w:rsid w:val="000109C2"/>
    <w:rsid w:val="000109DD"/>
    <w:rsid w:val="000109F0"/>
    <w:rsid w:val="000109F1"/>
    <w:rsid w:val="00010A01"/>
    <w:rsid w:val="00010A1D"/>
    <w:rsid w:val="00010A25"/>
    <w:rsid w:val="00010A2B"/>
    <w:rsid w:val="00010B16"/>
    <w:rsid w:val="00010B4E"/>
    <w:rsid w:val="00010BC0"/>
    <w:rsid w:val="00010BD2"/>
    <w:rsid w:val="00010C38"/>
    <w:rsid w:val="00010C66"/>
    <w:rsid w:val="00010CCF"/>
    <w:rsid w:val="00010CE9"/>
    <w:rsid w:val="00010D2F"/>
    <w:rsid w:val="00010D9A"/>
    <w:rsid w:val="00010DAB"/>
    <w:rsid w:val="00010DED"/>
    <w:rsid w:val="00010EE0"/>
    <w:rsid w:val="00010F04"/>
    <w:rsid w:val="00010F1D"/>
    <w:rsid w:val="00010F3F"/>
    <w:rsid w:val="00010F4F"/>
    <w:rsid w:val="00010FB7"/>
    <w:rsid w:val="00010FBD"/>
    <w:rsid w:val="00010FEF"/>
    <w:rsid w:val="0001106C"/>
    <w:rsid w:val="000110A6"/>
    <w:rsid w:val="000110D4"/>
    <w:rsid w:val="000110FF"/>
    <w:rsid w:val="00011143"/>
    <w:rsid w:val="0001115E"/>
    <w:rsid w:val="00011172"/>
    <w:rsid w:val="0001117B"/>
    <w:rsid w:val="000111AE"/>
    <w:rsid w:val="000111DB"/>
    <w:rsid w:val="00011210"/>
    <w:rsid w:val="00011213"/>
    <w:rsid w:val="00011231"/>
    <w:rsid w:val="000112B7"/>
    <w:rsid w:val="000112D0"/>
    <w:rsid w:val="000112F9"/>
    <w:rsid w:val="00011344"/>
    <w:rsid w:val="0001136C"/>
    <w:rsid w:val="00011394"/>
    <w:rsid w:val="000113CE"/>
    <w:rsid w:val="000113F5"/>
    <w:rsid w:val="00011428"/>
    <w:rsid w:val="0001145F"/>
    <w:rsid w:val="00011482"/>
    <w:rsid w:val="00011487"/>
    <w:rsid w:val="00011489"/>
    <w:rsid w:val="00011506"/>
    <w:rsid w:val="00011516"/>
    <w:rsid w:val="00011523"/>
    <w:rsid w:val="00011564"/>
    <w:rsid w:val="0001157E"/>
    <w:rsid w:val="000115C0"/>
    <w:rsid w:val="000115C3"/>
    <w:rsid w:val="000115E6"/>
    <w:rsid w:val="00011608"/>
    <w:rsid w:val="0001162F"/>
    <w:rsid w:val="0001163D"/>
    <w:rsid w:val="0001167B"/>
    <w:rsid w:val="0001169C"/>
    <w:rsid w:val="000116FA"/>
    <w:rsid w:val="00011738"/>
    <w:rsid w:val="00011754"/>
    <w:rsid w:val="00011767"/>
    <w:rsid w:val="00011781"/>
    <w:rsid w:val="000117CB"/>
    <w:rsid w:val="00011823"/>
    <w:rsid w:val="00011842"/>
    <w:rsid w:val="0001186C"/>
    <w:rsid w:val="00011878"/>
    <w:rsid w:val="00011879"/>
    <w:rsid w:val="00011882"/>
    <w:rsid w:val="000118AF"/>
    <w:rsid w:val="000118FC"/>
    <w:rsid w:val="0001190C"/>
    <w:rsid w:val="0001190D"/>
    <w:rsid w:val="00011938"/>
    <w:rsid w:val="0001193A"/>
    <w:rsid w:val="0001197B"/>
    <w:rsid w:val="000119AA"/>
    <w:rsid w:val="000119D9"/>
    <w:rsid w:val="00011A72"/>
    <w:rsid w:val="00011AF4"/>
    <w:rsid w:val="00011B35"/>
    <w:rsid w:val="00011B3D"/>
    <w:rsid w:val="00011B67"/>
    <w:rsid w:val="00011B87"/>
    <w:rsid w:val="00011BA3"/>
    <w:rsid w:val="00011BCF"/>
    <w:rsid w:val="00011BE3"/>
    <w:rsid w:val="00011BEC"/>
    <w:rsid w:val="00011C0E"/>
    <w:rsid w:val="00011C3E"/>
    <w:rsid w:val="00011C5C"/>
    <w:rsid w:val="00011C86"/>
    <w:rsid w:val="00011C88"/>
    <w:rsid w:val="00011CAD"/>
    <w:rsid w:val="00011CB0"/>
    <w:rsid w:val="00011CB5"/>
    <w:rsid w:val="00011CC6"/>
    <w:rsid w:val="00011CD0"/>
    <w:rsid w:val="00011D39"/>
    <w:rsid w:val="00011D59"/>
    <w:rsid w:val="00011D67"/>
    <w:rsid w:val="00011D83"/>
    <w:rsid w:val="00011DBF"/>
    <w:rsid w:val="00011DC8"/>
    <w:rsid w:val="00011E29"/>
    <w:rsid w:val="00011E38"/>
    <w:rsid w:val="00011EB4"/>
    <w:rsid w:val="00011EE2"/>
    <w:rsid w:val="00011EFE"/>
    <w:rsid w:val="00011F07"/>
    <w:rsid w:val="00011FB7"/>
    <w:rsid w:val="00011FD6"/>
    <w:rsid w:val="0001203E"/>
    <w:rsid w:val="0001204C"/>
    <w:rsid w:val="00012068"/>
    <w:rsid w:val="0001209C"/>
    <w:rsid w:val="000120D2"/>
    <w:rsid w:val="0001213E"/>
    <w:rsid w:val="0001215E"/>
    <w:rsid w:val="0001216A"/>
    <w:rsid w:val="000121CC"/>
    <w:rsid w:val="000121E0"/>
    <w:rsid w:val="000121EE"/>
    <w:rsid w:val="000121F4"/>
    <w:rsid w:val="0001224F"/>
    <w:rsid w:val="00012265"/>
    <w:rsid w:val="0001229B"/>
    <w:rsid w:val="000122B9"/>
    <w:rsid w:val="00012312"/>
    <w:rsid w:val="00012316"/>
    <w:rsid w:val="00012331"/>
    <w:rsid w:val="0001233C"/>
    <w:rsid w:val="00012346"/>
    <w:rsid w:val="000123C3"/>
    <w:rsid w:val="0001243C"/>
    <w:rsid w:val="00012441"/>
    <w:rsid w:val="00012445"/>
    <w:rsid w:val="0001247E"/>
    <w:rsid w:val="00012532"/>
    <w:rsid w:val="00012544"/>
    <w:rsid w:val="00012547"/>
    <w:rsid w:val="0001261A"/>
    <w:rsid w:val="0001264F"/>
    <w:rsid w:val="00012651"/>
    <w:rsid w:val="00012680"/>
    <w:rsid w:val="000126B3"/>
    <w:rsid w:val="000126C5"/>
    <w:rsid w:val="000126E2"/>
    <w:rsid w:val="00012712"/>
    <w:rsid w:val="0001276F"/>
    <w:rsid w:val="000127A9"/>
    <w:rsid w:val="000127AE"/>
    <w:rsid w:val="000127D2"/>
    <w:rsid w:val="00012915"/>
    <w:rsid w:val="0001297F"/>
    <w:rsid w:val="00012A68"/>
    <w:rsid w:val="00012A84"/>
    <w:rsid w:val="00012AA2"/>
    <w:rsid w:val="00012AAB"/>
    <w:rsid w:val="00012AC3"/>
    <w:rsid w:val="00012B32"/>
    <w:rsid w:val="00012B56"/>
    <w:rsid w:val="00012B8A"/>
    <w:rsid w:val="00012B8D"/>
    <w:rsid w:val="00012B92"/>
    <w:rsid w:val="00012BBA"/>
    <w:rsid w:val="00012BC1"/>
    <w:rsid w:val="00012BE3"/>
    <w:rsid w:val="00012BF8"/>
    <w:rsid w:val="00012C17"/>
    <w:rsid w:val="00012C2F"/>
    <w:rsid w:val="00012C70"/>
    <w:rsid w:val="00012C81"/>
    <w:rsid w:val="00012C97"/>
    <w:rsid w:val="00012C9A"/>
    <w:rsid w:val="00012CD2"/>
    <w:rsid w:val="00012CD6"/>
    <w:rsid w:val="00012CF5"/>
    <w:rsid w:val="00012CFD"/>
    <w:rsid w:val="00012D34"/>
    <w:rsid w:val="00012D6D"/>
    <w:rsid w:val="00012D89"/>
    <w:rsid w:val="00012D8B"/>
    <w:rsid w:val="00012E70"/>
    <w:rsid w:val="00012EA8"/>
    <w:rsid w:val="00012EB9"/>
    <w:rsid w:val="00012F1E"/>
    <w:rsid w:val="00012F32"/>
    <w:rsid w:val="00012F3C"/>
    <w:rsid w:val="00012F47"/>
    <w:rsid w:val="00012F61"/>
    <w:rsid w:val="00012F78"/>
    <w:rsid w:val="00012F8F"/>
    <w:rsid w:val="00012FF9"/>
    <w:rsid w:val="00013006"/>
    <w:rsid w:val="00013016"/>
    <w:rsid w:val="00013027"/>
    <w:rsid w:val="0001302C"/>
    <w:rsid w:val="0001306C"/>
    <w:rsid w:val="000130D6"/>
    <w:rsid w:val="00013105"/>
    <w:rsid w:val="00013117"/>
    <w:rsid w:val="000131A1"/>
    <w:rsid w:val="000131AC"/>
    <w:rsid w:val="000131B7"/>
    <w:rsid w:val="00013212"/>
    <w:rsid w:val="0001324A"/>
    <w:rsid w:val="00013286"/>
    <w:rsid w:val="00013293"/>
    <w:rsid w:val="000132CE"/>
    <w:rsid w:val="000132DC"/>
    <w:rsid w:val="00013309"/>
    <w:rsid w:val="00013319"/>
    <w:rsid w:val="0001332F"/>
    <w:rsid w:val="00013346"/>
    <w:rsid w:val="000133F5"/>
    <w:rsid w:val="00013458"/>
    <w:rsid w:val="00013469"/>
    <w:rsid w:val="00013494"/>
    <w:rsid w:val="000134A2"/>
    <w:rsid w:val="000134A5"/>
    <w:rsid w:val="000134C1"/>
    <w:rsid w:val="000134F2"/>
    <w:rsid w:val="000134F7"/>
    <w:rsid w:val="00013513"/>
    <w:rsid w:val="00013572"/>
    <w:rsid w:val="00013583"/>
    <w:rsid w:val="000135AA"/>
    <w:rsid w:val="000135B9"/>
    <w:rsid w:val="000135D0"/>
    <w:rsid w:val="000135F3"/>
    <w:rsid w:val="0001363E"/>
    <w:rsid w:val="00013665"/>
    <w:rsid w:val="000136A2"/>
    <w:rsid w:val="000136B3"/>
    <w:rsid w:val="000136D9"/>
    <w:rsid w:val="000136DE"/>
    <w:rsid w:val="00013734"/>
    <w:rsid w:val="0001373E"/>
    <w:rsid w:val="000137B2"/>
    <w:rsid w:val="000137D2"/>
    <w:rsid w:val="000137D8"/>
    <w:rsid w:val="00013832"/>
    <w:rsid w:val="000138D2"/>
    <w:rsid w:val="00013910"/>
    <w:rsid w:val="00013916"/>
    <w:rsid w:val="00013925"/>
    <w:rsid w:val="0001393F"/>
    <w:rsid w:val="00013976"/>
    <w:rsid w:val="00013995"/>
    <w:rsid w:val="000139EB"/>
    <w:rsid w:val="000139F9"/>
    <w:rsid w:val="00013A18"/>
    <w:rsid w:val="00013A46"/>
    <w:rsid w:val="00013A58"/>
    <w:rsid w:val="00013A99"/>
    <w:rsid w:val="00013AB3"/>
    <w:rsid w:val="00013AD6"/>
    <w:rsid w:val="00013AF0"/>
    <w:rsid w:val="00013AFA"/>
    <w:rsid w:val="00013B32"/>
    <w:rsid w:val="00013C21"/>
    <w:rsid w:val="00013C24"/>
    <w:rsid w:val="00013C27"/>
    <w:rsid w:val="00013C2B"/>
    <w:rsid w:val="00013C33"/>
    <w:rsid w:val="00013C5F"/>
    <w:rsid w:val="00013D18"/>
    <w:rsid w:val="00013D3A"/>
    <w:rsid w:val="00013D48"/>
    <w:rsid w:val="00013D55"/>
    <w:rsid w:val="00013D6C"/>
    <w:rsid w:val="00013D80"/>
    <w:rsid w:val="00013D9E"/>
    <w:rsid w:val="00013DD9"/>
    <w:rsid w:val="00013DF4"/>
    <w:rsid w:val="00013DF5"/>
    <w:rsid w:val="00013E31"/>
    <w:rsid w:val="00013E3C"/>
    <w:rsid w:val="00013EBA"/>
    <w:rsid w:val="00013EC8"/>
    <w:rsid w:val="00013ECC"/>
    <w:rsid w:val="00013EE2"/>
    <w:rsid w:val="00013F46"/>
    <w:rsid w:val="00013F6B"/>
    <w:rsid w:val="00013FA7"/>
    <w:rsid w:val="00013FCE"/>
    <w:rsid w:val="0001404E"/>
    <w:rsid w:val="0001408F"/>
    <w:rsid w:val="00014096"/>
    <w:rsid w:val="000140AA"/>
    <w:rsid w:val="0001410F"/>
    <w:rsid w:val="0001412A"/>
    <w:rsid w:val="00014162"/>
    <w:rsid w:val="000141A9"/>
    <w:rsid w:val="000141F0"/>
    <w:rsid w:val="00014216"/>
    <w:rsid w:val="00014237"/>
    <w:rsid w:val="0001426C"/>
    <w:rsid w:val="00014274"/>
    <w:rsid w:val="000142C5"/>
    <w:rsid w:val="000142D1"/>
    <w:rsid w:val="000142D9"/>
    <w:rsid w:val="0001430F"/>
    <w:rsid w:val="00014345"/>
    <w:rsid w:val="0001434C"/>
    <w:rsid w:val="00014398"/>
    <w:rsid w:val="000143D0"/>
    <w:rsid w:val="00014433"/>
    <w:rsid w:val="00014455"/>
    <w:rsid w:val="00014469"/>
    <w:rsid w:val="00014470"/>
    <w:rsid w:val="00014494"/>
    <w:rsid w:val="000144E3"/>
    <w:rsid w:val="000144E4"/>
    <w:rsid w:val="00014512"/>
    <w:rsid w:val="00014514"/>
    <w:rsid w:val="00014562"/>
    <w:rsid w:val="00014569"/>
    <w:rsid w:val="0001459D"/>
    <w:rsid w:val="000145E9"/>
    <w:rsid w:val="00014617"/>
    <w:rsid w:val="00014650"/>
    <w:rsid w:val="000146B7"/>
    <w:rsid w:val="000146BF"/>
    <w:rsid w:val="000146DA"/>
    <w:rsid w:val="000146FD"/>
    <w:rsid w:val="00014702"/>
    <w:rsid w:val="00014738"/>
    <w:rsid w:val="00014778"/>
    <w:rsid w:val="000147B7"/>
    <w:rsid w:val="000147D6"/>
    <w:rsid w:val="0001480B"/>
    <w:rsid w:val="00014816"/>
    <w:rsid w:val="0001486E"/>
    <w:rsid w:val="00014884"/>
    <w:rsid w:val="000148A6"/>
    <w:rsid w:val="000148C8"/>
    <w:rsid w:val="00014948"/>
    <w:rsid w:val="0001494B"/>
    <w:rsid w:val="00014962"/>
    <w:rsid w:val="0001497E"/>
    <w:rsid w:val="000149A3"/>
    <w:rsid w:val="000149C7"/>
    <w:rsid w:val="000149E5"/>
    <w:rsid w:val="00014A0B"/>
    <w:rsid w:val="00014A2E"/>
    <w:rsid w:val="00014A3B"/>
    <w:rsid w:val="00014A41"/>
    <w:rsid w:val="00014AE3"/>
    <w:rsid w:val="00014AFB"/>
    <w:rsid w:val="00014B06"/>
    <w:rsid w:val="00014B12"/>
    <w:rsid w:val="00014B25"/>
    <w:rsid w:val="00014B37"/>
    <w:rsid w:val="00014BA4"/>
    <w:rsid w:val="00014BB0"/>
    <w:rsid w:val="00014BDD"/>
    <w:rsid w:val="00014C0F"/>
    <w:rsid w:val="00014C14"/>
    <w:rsid w:val="00014CA3"/>
    <w:rsid w:val="00014CC1"/>
    <w:rsid w:val="00014CE5"/>
    <w:rsid w:val="00014D05"/>
    <w:rsid w:val="00014D14"/>
    <w:rsid w:val="00014D40"/>
    <w:rsid w:val="00014D9F"/>
    <w:rsid w:val="00014DAE"/>
    <w:rsid w:val="00014DDF"/>
    <w:rsid w:val="00014DE5"/>
    <w:rsid w:val="00014E1E"/>
    <w:rsid w:val="00014E36"/>
    <w:rsid w:val="00014E92"/>
    <w:rsid w:val="00014E9A"/>
    <w:rsid w:val="00014F3E"/>
    <w:rsid w:val="00014F5F"/>
    <w:rsid w:val="00014F6E"/>
    <w:rsid w:val="00014F80"/>
    <w:rsid w:val="00014FB0"/>
    <w:rsid w:val="00014FC2"/>
    <w:rsid w:val="00014FE5"/>
    <w:rsid w:val="00014FFB"/>
    <w:rsid w:val="0001501D"/>
    <w:rsid w:val="00015020"/>
    <w:rsid w:val="0001502E"/>
    <w:rsid w:val="00015057"/>
    <w:rsid w:val="00015115"/>
    <w:rsid w:val="00015140"/>
    <w:rsid w:val="0001514A"/>
    <w:rsid w:val="00015179"/>
    <w:rsid w:val="0001519A"/>
    <w:rsid w:val="000151A9"/>
    <w:rsid w:val="000151C8"/>
    <w:rsid w:val="00015247"/>
    <w:rsid w:val="00015288"/>
    <w:rsid w:val="000152A3"/>
    <w:rsid w:val="000152B8"/>
    <w:rsid w:val="000152DB"/>
    <w:rsid w:val="000152E3"/>
    <w:rsid w:val="000152EC"/>
    <w:rsid w:val="00015378"/>
    <w:rsid w:val="00015381"/>
    <w:rsid w:val="00015391"/>
    <w:rsid w:val="000153C4"/>
    <w:rsid w:val="000153F7"/>
    <w:rsid w:val="0001542A"/>
    <w:rsid w:val="0001543A"/>
    <w:rsid w:val="0001545D"/>
    <w:rsid w:val="00015470"/>
    <w:rsid w:val="00015486"/>
    <w:rsid w:val="0001549B"/>
    <w:rsid w:val="000154DD"/>
    <w:rsid w:val="000154F1"/>
    <w:rsid w:val="00015591"/>
    <w:rsid w:val="000155F6"/>
    <w:rsid w:val="00015613"/>
    <w:rsid w:val="00015648"/>
    <w:rsid w:val="00015657"/>
    <w:rsid w:val="00015693"/>
    <w:rsid w:val="00015721"/>
    <w:rsid w:val="0001574E"/>
    <w:rsid w:val="00015768"/>
    <w:rsid w:val="000157BC"/>
    <w:rsid w:val="0001581C"/>
    <w:rsid w:val="0001587B"/>
    <w:rsid w:val="00015897"/>
    <w:rsid w:val="000158A8"/>
    <w:rsid w:val="000158BA"/>
    <w:rsid w:val="0001596E"/>
    <w:rsid w:val="00015971"/>
    <w:rsid w:val="000159A1"/>
    <w:rsid w:val="00015A1B"/>
    <w:rsid w:val="00015A29"/>
    <w:rsid w:val="00015A35"/>
    <w:rsid w:val="00015A6A"/>
    <w:rsid w:val="00015A6D"/>
    <w:rsid w:val="00015A86"/>
    <w:rsid w:val="00015A8C"/>
    <w:rsid w:val="00015AF3"/>
    <w:rsid w:val="00015B07"/>
    <w:rsid w:val="00015B34"/>
    <w:rsid w:val="00015B6F"/>
    <w:rsid w:val="00015B96"/>
    <w:rsid w:val="00015BA7"/>
    <w:rsid w:val="00015BF6"/>
    <w:rsid w:val="00015C5A"/>
    <w:rsid w:val="00015C80"/>
    <w:rsid w:val="00015CB0"/>
    <w:rsid w:val="00015CEC"/>
    <w:rsid w:val="00015CF2"/>
    <w:rsid w:val="00015D0A"/>
    <w:rsid w:val="00015D2F"/>
    <w:rsid w:val="00015D32"/>
    <w:rsid w:val="00015D5B"/>
    <w:rsid w:val="00015D8C"/>
    <w:rsid w:val="00015D95"/>
    <w:rsid w:val="00015E04"/>
    <w:rsid w:val="00015E18"/>
    <w:rsid w:val="00015E4A"/>
    <w:rsid w:val="00015E4D"/>
    <w:rsid w:val="00015E92"/>
    <w:rsid w:val="00015E93"/>
    <w:rsid w:val="00015E94"/>
    <w:rsid w:val="00015E95"/>
    <w:rsid w:val="00015ECC"/>
    <w:rsid w:val="00015ED0"/>
    <w:rsid w:val="00015F11"/>
    <w:rsid w:val="00015F18"/>
    <w:rsid w:val="00015F43"/>
    <w:rsid w:val="00015F63"/>
    <w:rsid w:val="00015F72"/>
    <w:rsid w:val="00015FB4"/>
    <w:rsid w:val="00015FCE"/>
    <w:rsid w:val="00015FD0"/>
    <w:rsid w:val="0001607D"/>
    <w:rsid w:val="000160D2"/>
    <w:rsid w:val="000160DC"/>
    <w:rsid w:val="000160FA"/>
    <w:rsid w:val="00016110"/>
    <w:rsid w:val="0001611D"/>
    <w:rsid w:val="00016154"/>
    <w:rsid w:val="000161B7"/>
    <w:rsid w:val="000161F7"/>
    <w:rsid w:val="0001624D"/>
    <w:rsid w:val="0001629E"/>
    <w:rsid w:val="000162D3"/>
    <w:rsid w:val="00016316"/>
    <w:rsid w:val="0001635D"/>
    <w:rsid w:val="0001635F"/>
    <w:rsid w:val="0001636C"/>
    <w:rsid w:val="00016387"/>
    <w:rsid w:val="000163C1"/>
    <w:rsid w:val="0001640E"/>
    <w:rsid w:val="0001643A"/>
    <w:rsid w:val="00016456"/>
    <w:rsid w:val="0001647D"/>
    <w:rsid w:val="0001647F"/>
    <w:rsid w:val="000164BC"/>
    <w:rsid w:val="0001651A"/>
    <w:rsid w:val="00016536"/>
    <w:rsid w:val="00016538"/>
    <w:rsid w:val="0001653B"/>
    <w:rsid w:val="0001654F"/>
    <w:rsid w:val="00016578"/>
    <w:rsid w:val="00016596"/>
    <w:rsid w:val="00016612"/>
    <w:rsid w:val="00016630"/>
    <w:rsid w:val="000166BB"/>
    <w:rsid w:val="00016718"/>
    <w:rsid w:val="0001677C"/>
    <w:rsid w:val="000167E7"/>
    <w:rsid w:val="00016878"/>
    <w:rsid w:val="00016887"/>
    <w:rsid w:val="0001689B"/>
    <w:rsid w:val="000168A8"/>
    <w:rsid w:val="000168B7"/>
    <w:rsid w:val="000168E0"/>
    <w:rsid w:val="000168E6"/>
    <w:rsid w:val="00016917"/>
    <w:rsid w:val="00016944"/>
    <w:rsid w:val="00016981"/>
    <w:rsid w:val="00016988"/>
    <w:rsid w:val="00016999"/>
    <w:rsid w:val="00016A03"/>
    <w:rsid w:val="00016A32"/>
    <w:rsid w:val="00016A40"/>
    <w:rsid w:val="00016A48"/>
    <w:rsid w:val="00016A55"/>
    <w:rsid w:val="00016AE5"/>
    <w:rsid w:val="00016AF1"/>
    <w:rsid w:val="00016AF3"/>
    <w:rsid w:val="00016B06"/>
    <w:rsid w:val="00016B0B"/>
    <w:rsid w:val="00016B12"/>
    <w:rsid w:val="00016B6C"/>
    <w:rsid w:val="00016B79"/>
    <w:rsid w:val="00016B93"/>
    <w:rsid w:val="00016BB0"/>
    <w:rsid w:val="00016BBA"/>
    <w:rsid w:val="00016BBF"/>
    <w:rsid w:val="00016BE2"/>
    <w:rsid w:val="00016BE4"/>
    <w:rsid w:val="00016C00"/>
    <w:rsid w:val="00016C11"/>
    <w:rsid w:val="00016C2B"/>
    <w:rsid w:val="00016C5A"/>
    <w:rsid w:val="00016C82"/>
    <w:rsid w:val="00016C98"/>
    <w:rsid w:val="00016CA4"/>
    <w:rsid w:val="00016CF8"/>
    <w:rsid w:val="00016D01"/>
    <w:rsid w:val="00016D17"/>
    <w:rsid w:val="00016D5E"/>
    <w:rsid w:val="00016D6F"/>
    <w:rsid w:val="00016D8F"/>
    <w:rsid w:val="00016DBE"/>
    <w:rsid w:val="00016DC0"/>
    <w:rsid w:val="00016DED"/>
    <w:rsid w:val="00016DF5"/>
    <w:rsid w:val="00016E45"/>
    <w:rsid w:val="00016E50"/>
    <w:rsid w:val="00016E67"/>
    <w:rsid w:val="00016E9C"/>
    <w:rsid w:val="00016F05"/>
    <w:rsid w:val="00016F0D"/>
    <w:rsid w:val="00016F3A"/>
    <w:rsid w:val="00016F53"/>
    <w:rsid w:val="00016F88"/>
    <w:rsid w:val="0001701D"/>
    <w:rsid w:val="0001705B"/>
    <w:rsid w:val="00017088"/>
    <w:rsid w:val="0001708D"/>
    <w:rsid w:val="000170B3"/>
    <w:rsid w:val="000170F7"/>
    <w:rsid w:val="0001710C"/>
    <w:rsid w:val="0001712C"/>
    <w:rsid w:val="00017135"/>
    <w:rsid w:val="000171BB"/>
    <w:rsid w:val="000171C3"/>
    <w:rsid w:val="000171E0"/>
    <w:rsid w:val="00017219"/>
    <w:rsid w:val="00017248"/>
    <w:rsid w:val="000172A3"/>
    <w:rsid w:val="0001732F"/>
    <w:rsid w:val="00017367"/>
    <w:rsid w:val="00017376"/>
    <w:rsid w:val="000173A8"/>
    <w:rsid w:val="000173D1"/>
    <w:rsid w:val="000173F2"/>
    <w:rsid w:val="00017427"/>
    <w:rsid w:val="0001745E"/>
    <w:rsid w:val="0001747B"/>
    <w:rsid w:val="00017499"/>
    <w:rsid w:val="000174BA"/>
    <w:rsid w:val="000174F9"/>
    <w:rsid w:val="0001750E"/>
    <w:rsid w:val="0001752D"/>
    <w:rsid w:val="00017572"/>
    <w:rsid w:val="0001762B"/>
    <w:rsid w:val="00017652"/>
    <w:rsid w:val="00017656"/>
    <w:rsid w:val="00017671"/>
    <w:rsid w:val="0001768C"/>
    <w:rsid w:val="00017695"/>
    <w:rsid w:val="000176C9"/>
    <w:rsid w:val="00017758"/>
    <w:rsid w:val="000177C2"/>
    <w:rsid w:val="000177DA"/>
    <w:rsid w:val="00017837"/>
    <w:rsid w:val="00017855"/>
    <w:rsid w:val="00017858"/>
    <w:rsid w:val="000178A1"/>
    <w:rsid w:val="000178F4"/>
    <w:rsid w:val="00017905"/>
    <w:rsid w:val="00017910"/>
    <w:rsid w:val="0001793C"/>
    <w:rsid w:val="0001795A"/>
    <w:rsid w:val="0001795B"/>
    <w:rsid w:val="00017961"/>
    <w:rsid w:val="0001797F"/>
    <w:rsid w:val="000179AC"/>
    <w:rsid w:val="000179E3"/>
    <w:rsid w:val="00017AA8"/>
    <w:rsid w:val="00017ABA"/>
    <w:rsid w:val="00017ABB"/>
    <w:rsid w:val="00017ADF"/>
    <w:rsid w:val="00017B1C"/>
    <w:rsid w:val="00017B77"/>
    <w:rsid w:val="00017B8B"/>
    <w:rsid w:val="00017BD3"/>
    <w:rsid w:val="00017BE4"/>
    <w:rsid w:val="00017C51"/>
    <w:rsid w:val="00017C53"/>
    <w:rsid w:val="00017C72"/>
    <w:rsid w:val="00017C8B"/>
    <w:rsid w:val="00017C90"/>
    <w:rsid w:val="00017CA5"/>
    <w:rsid w:val="00017CBE"/>
    <w:rsid w:val="00017CC5"/>
    <w:rsid w:val="00017CCA"/>
    <w:rsid w:val="00017CD9"/>
    <w:rsid w:val="00017CEA"/>
    <w:rsid w:val="00017D31"/>
    <w:rsid w:val="00017D84"/>
    <w:rsid w:val="00017D8D"/>
    <w:rsid w:val="00017DB1"/>
    <w:rsid w:val="00017DBB"/>
    <w:rsid w:val="00017DC7"/>
    <w:rsid w:val="00017DDD"/>
    <w:rsid w:val="00017DE5"/>
    <w:rsid w:val="00017E0F"/>
    <w:rsid w:val="00017E33"/>
    <w:rsid w:val="00017EB2"/>
    <w:rsid w:val="00017ED5"/>
    <w:rsid w:val="00017EEA"/>
    <w:rsid w:val="00017F24"/>
    <w:rsid w:val="00017F47"/>
    <w:rsid w:val="00017F76"/>
    <w:rsid w:val="00017F81"/>
    <w:rsid w:val="00017F85"/>
    <w:rsid w:val="00017FAC"/>
    <w:rsid w:val="00017FB0"/>
    <w:rsid w:val="00017FC7"/>
    <w:rsid w:val="00017FE5"/>
    <w:rsid w:val="00017FF6"/>
    <w:rsid w:val="0002000B"/>
    <w:rsid w:val="0002004D"/>
    <w:rsid w:val="000200B8"/>
    <w:rsid w:val="000200C7"/>
    <w:rsid w:val="00020103"/>
    <w:rsid w:val="00020111"/>
    <w:rsid w:val="00020112"/>
    <w:rsid w:val="00020125"/>
    <w:rsid w:val="0002013D"/>
    <w:rsid w:val="00020150"/>
    <w:rsid w:val="00020164"/>
    <w:rsid w:val="00020169"/>
    <w:rsid w:val="00020191"/>
    <w:rsid w:val="000201A6"/>
    <w:rsid w:val="000201BD"/>
    <w:rsid w:val="00020244"/>
    <w:rsid w:val="0002025C"/>
    <w:rsid w:val="0002028F"/>
    <w:rsid w:val="00020329"/>
    <w:rsid w:val="00020362"/>
    <w:rsid w:val="0002037C"/>
    <w:rsid w:val="0002038D"/>
    <w:rsid w:val="000203BE"/>
    <w:rsid w:val="000203D5"/>
    <w:rsid w:val="0002041E"/>
    <w:rsid w:val="0002043E"/>
    <w:rsid w:val="00020472"/>
    <w:rsid w:val="00020499"/>
    <w:rsid w:val="000204E4"/>
    <w:rsid w:val="00020520"/>
    <w:rsid w:val="0002052A"/>
    <w:rsid w:val="0002052C"/>
    <w:rsid w:val="00020555"/>
    <w:rsid w:val="00020557"/>
    <w:rsid w:val="00020571"/>
    <w:rsid w:val="0002057A"/>
    <w:rsid w:val="000205EF"/>
    <w:rsid w:val="00020609"/>
    <w:rsid w:val="0002068C"/>
    <w:rsid w:val="000206AF"/>
    <w:rsid w:val="000206B7"/>
    <w:rsid w:val="00020757"/>
    <w:rsid w:val="0002076D"/>
    <w:rsid w:val="00020770"/>
    <w:rsid w:val="000207CC"/>
    <w:rsid w:val="00020823"/>
    <w:rsid w:val="00020867"/>
    <w:rsid w:val="0002088C"/>
    <w:rsid w:val="0002088E"/>
    <w:rsid w:val="0002089F"/>
    <w:rsid w:val="000208B1"/>
    <w:rsid w:val="000208BC"/>
    <w:rsid w:val="000208C7"/>
    <w:rsid w:val="000208CD"/>
    <w:rsid w:val="000208CF"/>
    <w:rsid w:val="000208FB"/>
    <w:rsid w:val="0002091D"/>
    <w:rsid w:val="00020989"/>
    <w:rsid w:val="00020994"/>
    <w:rsid w:val="000209A3"/>
    <w:rsid w:val="000209A8"/>
    <w:rsid w:val="000209B8"/>
    <w:rsid w:val="00020A15"/>
    <w:rsid w:val="00020A71"/>
    <w:rsid w:val="00020A79"/>
    <w:rsid w:val="00020ADA"/>
    <w:rsid w:val="00020B07"/>
    <w:rsid w:val="00020B0B"/>
    <w:rsid w:val="00020B12"/>
    <w:rsid w:val="00020B1B"/>
    <w:rsid w:val="00020C7B"/>
    <w:rsid w:val="00020CAA"/>
    <w:rsid w:val="00020CD4"/>
    <w:rsid w:val="00020CD6"/>
    <w:rsid w:val="00020D3B"/>
    <w:rsid w:val="00020D41"/>
    <w:rsid w:val="00020D66"/>
    <w:rsid w:val="00020D68"/>
    <w:rsid w:val="00020D70"/>
    <w:rsid w:val="00020D87"/>
    <w:rsid w:val="00020DD1"/>
    <w:rsid w:val="00020DE2"/>
    <w:rsid w:val="00020E1C"/>
    <w:rsid w:val="00020E1F"/>
    <w:rsid w:val="00020E27"/>
    <w:rsid w:val="00020E7F"/>
    <w:rsid w:val="00020EA6"/>
    <w:rsid w:val="00020EB6"/>
    <w:rsid w:val="00020EBA"/>
    <w:rsid w:val="00020EF0"/>
    <w:rsid w:val="00020F69"/>
    <w:rsid w:val="00020F72"/>
    <w:rsid w:val="00020FF3"/>
    <w:rsid w:val="0002100B"/>
    <w:rsid w:val="00021019"/>
    <w:rsid w:val="0002103A"/>
    <w:rsid w:val="0002109E"/>
    <w:rsid w:val="000210B8"/>
    <w:rsid w:val="000210EE"/>
    <w:rsid w:val="000210FA"/>
    <w:rsid w:val="0002111B"/>
    <w:rsid w:val="0002111D"/>
    <w:rsid w:val="00021132"/>
    <w:rsid w:val="0002114A"/>
    <w:rsid w:val="0002114E"/>
    <w:rsid w:val="0002115A"/>
    <w:rsid w:val="00021172"/>
    <w:rsid w:val="0002117D"/>
    <w:rsid w:val="00021257"/>
    <w:rsid w:val="00021277"/>
    <w:rsid w:val="00021284"/>
    <w:rsid w:val="00021287"/>
    <w:rsid w:val="00021291"/>
    <w:rsid w:val="000212AA"/>
    <w:rsid w:val="000212C0"/>
    <w:rsid w:val="000212C6"/>
    <w:rsid w:val="000212E6"/>
    <w:rsid w:val="0002137F"/>
    <w:rsid w:val="000213B9"/>
    <w:rsid w:val="00021401"/>
    <w:rsid w:val="00021411"/>
    <w:rsid w:val="0002143F"/>
    <w:rsid w:val="00021448"/>
    <w:rsid w:val="00021482"/>
    <w:rsid w:val="000214A7"/>
    <w:rsid w:val="000214ED"/>
    <w:rsid w:val="00021530"/>
    <w:rsid w:val="00021558"/>
    <w:rsid w:val="0002159B"/>
    <w:rsid w:val="000215A0"/>
    <w:rsid w:val="000215AB"/>
    <w:rsid w:val="00021630"/>
    <w:rsid w:val="00021676"/>
    <w:rsid w:val="000216B3"/>
    <w:rsid w:val="000216C8"/>
    <w:rsid w:val="00021700"/>
    <w:rsid w:val="0002175E"/>
    <w:rsid w:val="000217A9"/>
    <w:rsid w:val="000217B3"/>
    <w:rsid w:val="000217D2"/>
    <w:rsid w:val="000217E8"/>
    <w:rsid w:val="00021861"/>
    <w:rsid w:val="00021865"/>
    <w:rsid w:val="0002187A"/>
    <w:rsid w:val="0002187B"/>
    <w:rsid w:val="0002188F"/>
    <w:rsid w:val="000218AF"/>
    <w:rsid w:val="000218D6"/>
    <w:rsid w:val="00021906"/>
    <w:rsid w:val="0002193C"/>
    <w:rsid w:val="00021944"/>
    <w:rsid w:val="00021959"/>
    <w:rsid w:val="00021990"/>
    <w:rsid w:val="00021991"/>
    <w:rsid w:val="00021994"/>
    <w:rsid w:val="00021997"/>
    <w:rsid w:val="000219A2"/>
    <w:rsid w:val="000219B6"/>
    <w:rsid w:val="000219D1"/>
    <w:rsid w:val="00021A13"/>
    <w:rsid w:val="00021A80"/>
    <w:rsid w:val="00021A83"/>
    <w:rsid w:val="00021A98"/>
    <w:rsid w:val="00021AAB"/>
    <w:rsid w:val="00021ADE"/>
    <w:rsid w:val="00021AEC"/>
    <w:rsid w:val="00021B1A"/>
    <w:rsid w:val="00021BAD"/>
    <w:rsid w:val="00021BBB"/>
    <w:rsid w:val="00021BC3"/>
    <w:rsid w:val="00021BE7"/>
    <w:rsid w:val="00021BED"/>
    <w:rsid w:val="00021BEF"/>
    <w:rsid w:val="00021BFA"/>
    <w:rsid w:val="00021C94"/>
    <w:rsid w:val="00021CAA"/>
    <w:rsid w:val="00021CB1"/>
    <w:rsid w:val="00021CD0"/>
    <w:rsid w:val="00021CE3"/>
    <w:rsid w:val="00021CFB"/>
    <w:rsid w:val="00021D55"/>
    <w:rsid w:val="00021D58"/>
    <w:rsid w:val="00021D75"/>
    <w:rsid w:val="00021D7E"/>
    <w:rsid w:val="00021DA2"/>
    <w:rsid w:val="00021DB9"/>
    <w:rsid w:val="00021DBA"/>
    <w:rsid w:val="00021DD1"/>
    <w:rsid w:val="00021E35"/>
    <w:rsid w:val="00021E38"/>
    <w:rsid w:val="00021E39"/>
    <w:rsid w:val="00021E7A"/>
    <w:rsid w:val="00021E82"/>
    <w:rsid w:val="00021E88"/>
    <w:rsid w:val="00021E90"/>
    <w:rsid w:val="00021EF8"/>
    <w:rsid w:val="00021F24"/>
    <w:rsid w:val="00021F2B"/>
    <w:rsid w:val="00021F32"/>
    <w:rsid w:val="00021F5D"/>
    <w:rsid w:val="00021F69"/>
    <w:rsid w:val="00021FA7"/>
    <w:rsid w:val="00021FAC"/>
    <w:rsid w:val="00021FCC"/>
    <w:rsid w:val="0002201F"/>
    <w:rsid w:val="00022060"/>
    <w:rsid w:val="00022115"/>
    <w:rsid w:val="0002218C"/>
    <w:rsid w:val="000221B8"/>
    <w:rsid w:val="000221CC"/>
    <w:rsid w:val="00022203"/>
    <w:rsid w:val="0002220A"/>
    <w:rsid w:val="0002221A"/>
    <w:rsid w:val="00022231"/>
    <w:rsid w:val="0002225B"/>
    <w:rsid w:val="0002228E"/>
    <w:rsid w:val="000222BF"/>
    <w:rsid w:val="000222F8"/>
    <w:rsid w:val="000222FF"/>
    <w:rsid w:val="00022320"/>
    <w:rsid w:val="0002233D"/>
    <w:rsid w:val="00022362"/>
    <w:rsid w:val="000223A6"/>
    <w:rsid w:val="000223C9"/>
    <w:rsid w:val="000223CA"/>
    <w:rsid w:val="00022469"/>
    <w:rsid w:val="00022496"/>
    <w:rsid w:val="000224C8"/>
    <w:rsid w:val="00022504"/>
    <w:rsid w:val="00022505"/>
    <w:rsid w:val="00022583"/>
    <w:rsid w:val="00022585"/>
    <w:rsid w:val="000225A5"/>
    <w:rsid w:val="000225C9"/>
    <w:rsid w:val="000225D0"/>
    <w:rsid w:val="000225D4"/>
    <w:rsid w:val="000225FC"/>
    <w:rsid w:val="00022635"/>
    <w:rsid w:val="00022645"/>
    <w:rsid w:val="00022646"/>
    <w:rsid w:val="00022699"/>
    <w:rsid w:val="0002269D"/>
    <w:rsid w:val="000226C5"/>
    <w:rsid w:val="000226CA"/>
    <w:rsid w:val="00022712"/>
    <w:rsid w:val="00022749"/>
    <w:rsid w:val="00022768"/>
    <w:rsid w:val="00022773"/>
    <w:rsid w:val="000227A5"/>
    <w:rsid w:val="000227BA"/>
    <w:rsid w:val="00022812"/>
    <w:rsid w:val="00022824"/>
    <w:rsid w:val="00022875"/>
    <w:rsid w:val="0002287E"/>
    <w:rsid w:val="00022883"/>
    <w:rsid w:val="000228D7"/>
    <w:rsid w:val="000228EE"/>
    <w:rsid w:val="0002298E"/>
    <w:rsid w:val="000229CE"/>
    <w:rsid w:val="000229E6"/>
    <w:rsid w:val="00022A2C"/>
    <w:rsid w:val="00022A59"/>
    <w:rsid w:val="00022A82"/>
    <w:rsid w:val="00022AA3"/>
    <w:rsid w:val="00022B00"/>
    <w:rsid w:val="00022B0F"/>
    <w:rsid w:val="00022B42"/>
    <w:rsid w:val="00022B50"/>
    <w:rsid w:val="00022B69"/>
    <w:rsid w:val="00022BAA"/>
    <w:rsid w:val="00022BAC"/>
    <w:rsid w:val="00022BB1"/>
    <w:rsid w:val="00022BCB"/>
    <w:rsid w:val="00022BF3"/>
    <w:rsid w:val="00022BF4"/>
    <w:rsid w:val="00022C7E"/>
    <w:rsid w:val="00022CAC"/>
    <w:rsid w:val="00022D21"/>
    <w:rsid w:val="00022D28"/>
    <w:rsid w:val="00022D64"/>
    <w:rsid w:val="00022D80"/>
    <w:rsid w:val="00022DB2"/>
    <w:rsid w:val="00022DBC"/>
    <w:rsid w:val="00022DF1"/>
    <w:rsid w:val="00022DFF"/>
    <w:rsid w:val="00022E19"/>
    <w:rsid w:val="00022E83"/>
    <w:rsid w:val="00022EA7"/>
    <w:rsid w:val="00022F16"/>
    <w:rsid w:val="00023005"/>
    <w:rsid w:val="00023025"/>
    <w:rsid w:val="0002304C"/>
    <w:rsid w:val="0002306F"/>
    <w:rsid w:val="000230A7"/>
    <w:rsid w:val="0002310E"/>
    <w:rsid w:val="00023110"/>
    <w:rsid w:val="0002317C"/>
    <w:rsid w:val="0002318C"/>
    <w:rsid w:val="00023198"/>
    <w:rsid w:val="000231AE"/>
    <w:rsid w:val="000231BC"/>
    <w:rsid w:val="000231E5"/>
    <w:rsid w:val="00023213"/>
    <w:rsid w:val="0002323E"/>
    <w:rsid w:val="0002327B"/>
    <w:rsid w:val="0002327E"/>
    <w:rsid w:val="000232A9"/>
    <w:rsid w:val="000232B4"/>
    <w:rsid w:val="00023334"/>
    <w:rsid w:val="0002336E"/>
    <w:rsid w:val="00023386"/>
    <w:rsid w:val="000233C6"/>
    <w:rsid w:val="000233CC"/>
    <w:rsid w:val="000233D7"/>
    <w:rsid w:val="000233DB"/>
    <w:rsid w:val="00023401"/>
    <w:rsid w:val="0002342F"/>
    <w:rsid w:val="0002345B"/>
    <w:rsid w:val="000234B3"/>
    <w:rsid w:val="000234B9"/>
    <w:rsid w:val="000234E5"/>
    <w:rsid w:val="000234F7"/>
    <w:rsid w:val="00023584"/>
    <w:rsid w:val="000235C4"/>
    <w:rsid w:val="000235E5"/>
    <w:rsid w:val="000235EF"/>
    <w:rsid w:val="000235FB"/>
    <w:rsid w:val="00023608"/>
    <w:rsid w:val="00023611"/>
    <w:rsid w:val="00023614"/>
    <w:rsid w:val="0002365C"/>
    <w:rsid w:val="000236A3"/>
    <w:rsid w:val="000236D1"/>
    <w:rsid w:val="00023729"/>
    <w:rsid w:val="000237A2"/>
    <w:rsid w:val="00023830"/>
    <w:rsid w:val="00023840"/>
    <w:rsid w:val="00023852"/>
    <w:rsid w:val="00023899"/>
    <w:rsid w:val="00023922"/>
    <w:rsid w:val="0002392A"/>
    <w:rsid w:val="00023937"/>
    <w:rsid w:val="00023942"/>
    <w:rsid w:val="00023952"/>
    <w:rsid w:val="0002396B"/>
    <w:rsid w:val="00023977"/>
    <w:rsid w:val="0002397E"/>
    <w:rsid w:val="00023996"/>
    <w:rsid w:val="000239B0"/>
    <w:rsid w:val="000239F4"/>
    <w:rsid w:val="000239F5"/>
    <w:rsid w:val="00023A11"/>
    <w:rsid w:val="00023A1E"/>
    <w:rsid w:val="00023A2F"/>
    <w:rsid w:val="00023A41"/>
    <w:rsid w:val="00023A54"/>
    <w:rsid w:val="00023A91"/>
    <w:rsid w:val="00023AAB"/>
    <w:rsid w:val="00023AB0"/>
    <w:rsid w:val="00023AB3"/>
    <w:rsid w:val="00023AF3"/>
    <w:rsid w:val="00023AF8"/>
    <w:rsid w:val="00023B03"/>
    <w:rsid w:val="00023B18"/>
    <w:rsid w:val="00023BCB"/>
    <w:rsid w:val="00023BCE"/>
    <w:rsid w:val="00023BD5"/>
    <w:rsid w:val="00023C12"/>
    <w:rsid w:val="00023C2B"/>
    <w:rsid w:val="00023C73"/>
    <w:rsid w:val="00023C83"/>
    <w:rsid w:val="00023CA9"/>
    <w:rsid w:val="00023D2A"/>
    <w:rsid w:val="00023D33"/>
    <w:rsid w:val="00023D5E"/>
    <w:rsid w:val="00023D62"/>
    <w:rsid w:val="00023DD5"/>
    <w:rsid w:val="00023E02"/>
    <w:rsid w:val="00023E22"/>
    <w:rsid w:val="00023E3A"/>
    <w:rsid w:val="00023E7D"/>
    <w:rsid w:val="00023ECF"/>
    <w:rsid w:val="00023F08"/>
    <w:rsid w:val="00023F98"/>
    <w:rsid w:val="00023F9F"/>
    <w:rsid w:val="00023FC7"/>
    <w:rsid w:val="00024008"/>
    <w:rsid w:val="0002406C"/>
    <w:rsid w:val="000240BC"/>
    <w:rsid w:val="000240D8"/>
    <w:rsid w:val="0002413E"/>
    <w:rsid w:val="00024191"/>
    <w:rsid w:val="0002419D"/>
    <w:rsid w:val="0002419F"/>
    <w:rsid w:val="000241D9"/>
    <w:rsid w:val="000241FA"/>
    <w:rsid w:val="00024202"/>
    <w:rsid w:val="00024208"/>
    <w:rsid w:val="0002422C"/>
    <w:rsid w:val="00024239"/>
    <w:rsid w:val="00024244"/>
    <w:rsid w:val="0002426C"/>
    <w:rsid w:val="000242C3"/>
    <w:rsid w:val="00024306"/>
    <w:rsid w:val="00024315"/>
    <w:rsid w:val="00024318"/>
    <w:rsid w:val="0002436B"/>
    <w:rsid w:val="0002437D"/>
    <w:rsid w:val="000243AA"/>
    <w:rsid w:val="000243B3"/>
    <w:rsid w:val="000243FF"/>
    <w:rsid w:val="00024479"/>
    <w:rsid w:val="0002447C"/>
    <w:rsid w:val="000244E4"/>
    <w:rsid w:val="0002450B"/>
    <w:rsid w:val="00024517"/>
    <w:rsid w:val="00024518"/>
    <w:rsid w:val="0002457A"/>
    <w:rsid w:val="00024582"/>
    <w:rsid w:val="00024594"/>
    <w:rsid w:val="000245F8"/>
    <w:rsid w:val="0002463E"/>
    <w:rsid w:val="00024663"/>
    <w:rsid w:val="0002466B"/>
    <w:rsid w:val="00024697"/>
    <w:rsid w:val="000246A0"/>
    <w:rsid w:val="00024709"/>
    <w:rsid w:val="00024723"/>
    <w:rsid w:val="00024725"/>
    <w:rsid w:val="0002472E"/>
    <w:rsid w:val="0002474A"/>
    <w:rsid w:val="00024764"/>
    <w:rsid w:val="0002477C"/>
    <w:rsid w:val="00024781"/>
    <w:rsid w:val="00024791"/>
    <w:rsid w:val="00024793"/>
    <w:rsid w:val="00024798"/>
    <w:rsid w:val="000247A8"/>
    <w:rsid w:val="000247DA"/>
    <w:rsid w:val="000247E1"/>
    <w:rsid w:val="000247EA"/>
    <w:rsid w:val="000247EF"/>
    <w:rsid w:val="00024823"/>
    <w:rsid w:val="00024831"/>
    <w:rsid w:val="0002484D"/>
    <w:rsid w:val="00024859"/>
    <w:rsid w:val="00024886"/>
    <w:rsid w:val="0002488D"/>
    <w:rsid w:val="000248A5"/>
    <w:rsid w:val="000248BE"/>
    <w:rsid w:val="000248C1"/>
    <w:rsid w:val="000248EE"/>
    <w:rsid w:val="000248F8"/>
    <w:rsid w:val="0002490F"/>
    <w:rsid w:val="0002492F"/>
    <w:rsid w:val="00024943"/>
    <w:rsid w:val="0002497A"/>
    <w:rsid w:val="00024984"/>
    <w:rsid w:val="00024987"/>
    <w:rsid w:val="00024997"/>
    <w:rsid w:val="000249D0"/>
    <w:rsid w:val="000249DD"/>
    <w:rsid w:val="000249F0"/>
    <w:rsid w:val="00024A27"/>
    <w:rsid w:val="00024A3C"/>
    <w:rsid w:val="00024A5C"/>
    <w:rsid w:val="00024AF3"/>
    <w:rsid w:val="00024B07"/>
    <w:rsid w:val="00024B3B"/>
    <w:rsid w:val="00024B68"/>
    <w:rsid w:val="00024BED"/>
    <w:rsid w:val="00024C46"/>
    <w:rsid w:val="00024C5C"/>
    <w:rsid w:val="00024C61"/>
    <w:rsid w:val="00024C80"/>
    <w:rsid w:val="00024C81"/>
    <w:rsid w:val="00024C82"/>
    <w:rsid w:val="00024CA7"/>
    <w:rsid w:val="00024CB5"/>
    <w:rsid w:val="00024CBC"/>
    <w:rsid w:val="00024CD5"/>
    <w:rsid w:val="00024D54"/>
    <w:rsid w:val="00024D97"/>
    <w:rsid w:val="00024DB3"/>
    <w:rsid w:val="00024DBE"/>
    <w:rsid w:val="00024DD1"/>
    <w:rsid w:val="00024DE3"/>
    <w:rsid w:val="00024DEA"/>
    <w:rsid w:val="00024E0C"/>
    <w:rsid w:val="00024E42"/>
    <w:rsid w:val="00024E82"/>
    <w:rsid w:val="00024E8D"/>
    <w:rsid w:val="00024EDB"/>
    <w:rsid w:val="00024EDC"/>
    <w:rsid w:val="00024EEA"/>
    <w:rsid w:val="00024EF1"/>
    <w:rsid w:val="00024F99"/>
    <w:rsid w:val="00024F9D"/>
    <w:rsid w:val="00024FB0"/>
    <w:rsid w:val="00024FB1"/>
    <w:rsid w:val="0002504E"/>
    <w:rsid w:val="00025059"/>
    <w:rsid w:val="00025072"/>
    <w:rsid w:val="00025090"/>
    <w:rsid w:val="000250A5"/>
    <w:rsid w:val="000250B6"/>
    <w:rsid w:val="000250DD"/>
    <w:rsid w:val="00025100"/>
    <w:rsid w:val="0002510F"/>
    <w:rsid w:val="00025118"/>
    <w:rsid w:val="0002511F"/>
    <w:rsid w:val="00025132"/>
    <w:rsid w:val="0002516D"/>
    <w:rsid w:val="00025179"/>
    <w:rsid w:val="000251F5"/>
    <w:rsid w:val="000252C6"/>
    <w:rsid w:val="000252CD"/>
    <w:rsid w:val="0002531B"/>
    <w:rsid w:val="00025327"/>
    <w:rsid w:val="0002533E"/>
    <w:rsid w:val="0002534F"/>
    <w:rsid w:val="0002535D"/>
    <w:rsid w:val="00025374"/>
    <w:rsid w:val="00025390"/>
    <w:rsid w:val="00025397"/>
    <w:rsid w:val="0002539A"/>
    <w:rsid w:val="000253BE"/>
    <w:rsid w:val="0002540E"/>
    <w:rsid w:val="00025452"/>
    <w:rsid w:val="0002546E"/>
    <w:rsid w:val="0002548D"/>
    <w:rsid w:val="00025493"/>
    <w:rsid w:val="000254FF"/>
    <w:rsid w:val="0002550B"/>
    <w:rsid w:val="00025518"/>
    <w:rsid w:val="0002552A"/>
    <w:rsid w:val="00025536"/>
    <w:rsid w:val="00025545"/>
    <w:rsid w:val="0002556D"/>
    <w:rsid w:val="00025589"/>
    <w:rsid w:val="000255AA"/>
    <w:rsid w:val="000255CF"/>
    <w:rsid w:val="000255DD"/>
    <w:rsid w:val="000255DE"/>
    <w:rsid w:val="000255FD"/>
    <w:rsid w:val="0002561B"/>
    <w:rsid w:val="00025682"/>
    <w:rsid w:val="00025687"/>
    <w:rsid w:val="00025699"/>
    <w:rsid w:val="0002570A"/>
    <w:rsid w:val="00025725"/>
    <w:rsid w:val="00025744"/>
    <w:rsid w:val="00025751"/>
    <w:rsid w:val="00025797"/>
    <w:rsid w:val="000257A9"/>
    <w:rsid w:val="000257CE"/>
    <w:rsid w:val="00025811"/>
    <w:rsid w:val="0002581C"/>
    <w:rsid w:val="0002581F"/>
    <w:rsid w:val="0002582C"/>
    <w:rsid w:val="00025854"/>
    <w:rsid w:val="00025855"/>
    <w:rsid w:val="0002585A"/>
    <w:rsid w:val="000258EB"/>
    <w:rsid w:val="0002591B"/>
    <w:rsid w:val="0002591C"/>
    <w:rsid w:val="00025920"/>
    <w:rsid w:val="0002592A"/>
    <w:rsid w:val="0002593D"/>
    <w:rsid w:val="0002597D"/>
    <w:rsid w:val="0002598C"/>
    <w:rsid w:val="0002599C"/>
    <w:rsid w:val="000259AE"/>
    <w:rsid w:val="000259D0"/>
    <w:rsid w:val="00025A10"/>
    <w:rsid w:val="00025A15"/>
    <w:rsid w:val="00025A54"/>
    <w:rsid w:val="00025AD4"/>
    <w:rsid w:val="00025ADC"/>
    <w:rsid w:val="00025ADD"/>
    <w:rsid w:val="00025B03"/>
    <w:rsid w:val="00025B1D"/>
    <w:rsid w:val="00025BCC"/>
    <w:rsid w:val="00025C10"/>
    <w:rsid w:val="00025C11"/>
    <w:rsid w:val="00025C19"/>
    <w:rsid w:val="00025C32"/>
    <w:rsid w:val="00025C77"/>
    <w:rsid w:val="00025C80"/>
    <w:rsid w:val="00025CFD"/>
    <w:rsid w:val="00025D26"/>
    <w:rsid w:val="00025D3F"/>
    <w:rsid w:val="00025D98"/>
    <w:rsid w:val="00025D9E"/>
    <w:rsid w:val="00025DB0"/>
    <w:rsid w:val="00025DB9"/>
    <w:rsid w:val="00025DDC"/>
    <w:rsid w:val="00025DFB"/>
    <w:rsid w:val="00025E10"/>
    <w:rsid w:val="00025E16"/>
    <w:rsid w:val="00025E26"/>
    <w:rsid w:val="00025E5B"/>
    <w:rsid w:val="00025E8C"/>
    <w:rsid w:val="00025ED6"/>
    <w:rsid w:val="00025F7C"/>
    <w:rsid w:val="00025FA1"/>
    <w:rsid w:val="00025FAF"/>
    <w:rsid w:val="00025FC7"/>
    <w:rsid w:val="00025FCE"/>
    <w:rsid w:val="00025FF9"/>
    <w:rsid w:val="0002600A"/>
    <w:rsid w:val="00026012"/>
    <w:rsid w:val="00026022"/>
    <w:rsid w:val="0002605E"/>
    <w:rsid w:val="00026063"/>
    <w:rsid w:val="0002606A"/>
    <w:rsid w:val="0002606B"/>
    <w:rsid w:val="000260F4"/>
    <w:rsid w:val="0002611E"/>
    <w:rsid w:val="0002618B"/>
    <w:rsid w:val="0002619F"/>
    <w:rsid w:val="000261A8"/>
    <w:rsid w:val="000261B7"/>
    <w:rsid w:val="000261D3"/>
    <w:rsid w:val="0002620E"/>
    <w:rsid w:val="000262C8"/>
    <w:rsid w:val="0002631C"/>
    <w:rsid w:val="00026330"/>
    <w:rsid w:val="00026345"/>
    <w:rsid w:val="0002636B"/>
    <w:rsid w:val="0002636D"/>
    <w:rsid w:val="00026398"/>
    <w:rsid w:val="000263C2"/>
    <w:rsid w:val="000263CB"/>
    <w:rsid w:val="000263D6"/>
    <w:rsid w:val="000263EF"/>
    <w:rsid w:val="0002643F"/>
    <w:rsid w:val="00026462"/>
    <w:rsid w:val="00026473"/>
    <w:rsid w:val="000264AB"/>
    <w:rsid w:val="000264C3"/>
    <w:rsid w:val="0002651D"/>
    <w:rsid w:val="00026544"/>
    <w:rsid w:val="00026550"/>
    <w:rsid w:val="00026597"/>
    <w:rsid w:val="000265B4"/>
    <w:rsid w:val="000265D5"/>
    <w:rsid w:val="000265E0"/>
    <w:rsid w:val="000265FA"/>
    <w:rsid w:val="00026600"/>
    <w:rsid w:val="00026633"/>
    <w:rsid w:val="00026648"/>
    <w:rsid w:val="000266AD"/>
    <w:rsid w:val="000266E8"/>
    <w:rsid w:val="0002670F"/>
    <w:rsid w:val="0002672E"/>
    <w:rsid w:val="0002674D"/>
    <w:rsid w:val="000267BA"/>
    <w:rsid w:val="000267EF"/>
    <w:rsid w:val="0002684C"/>
    <w:rsid w:val="00026854"/>
    <w:rsid w:val="00026863"/>
    <w:rsid w:val="0002686A"/>
    <w:rsid w:val="0002688A"/>
    <w:rsid w:val="0002688B"/>
    <w:rsid w:val="00026896"/>
    <w:rsid w:val="000268B6"/>
    <w:rsid w:val="00026913"/>
    <w:rsid w:val="0002694B"/>
    <w:rsid w:val="0002697E"/>
    <w:rsid w:val="0002698F"/>
    <w:rsid w:val="000269B3"/>
    <w:rsid w:val="000269BC"/>
    <w:rsid w:val="000269E1"/>
    <w:rsid w:val="00026A21"/>
    <w:rsid w:val="00026A22"/>
    <w:rsid w:val="00026A23"/>
    <w:rsid w:val="00026A5F"/>
    <w:rsid w:val="00026A75"/>
    <w:rsid w:val="00026A8E"/>
    <w:rsid w:val="00026B04"/>
    <w:rsid w:val="00026B0F"/>
    <w:rsid w:val="00026B15"/>
    <w:rsid w:val="00026B4D"/>
    <w:rsid w:val="00026B5A"/>
    <w:rsid w:val="00026BA0"/>
    <w:rsid w:val="00026BAB"/>
    <w:rsid w:val="00026BB6"/>
    <w:rsid w:val="00026BCF"/>
    <w:rsid w:val="00026BDF"/>
    <w:rsid w:val="00026C16"/>
    <w:rsid w:val="00026C32"/>
    <w:rsid w:val="00026C77"/>
    <w:rsid w:val="00026D00"/>
    <w:rsid w:val="00026D3E"/>
    <w:rsid w:val="00026D4A"/>
    <w:rsid w:val="00026D62"/>
    <w:rsid w:val="00026D64"/>
    <w:rsid w:val="00026D67"/>
    <w:rsid w:val="00026D76"/>
    <w:rsid w:val="00026D88"/>
    <w:rsid w:val="00026DB1"/>
    <w:rsid w:val="00026DD1"/>
    <w:rsid w:val="00026DD4"/>
    <w:rsid w:val="00026E5B"/>
    <w:rsid w:val="00026E93"/>
    <w:rsid w:val="00026EA1"/>
    <w:rsid w:val="00026EF3"/>
    <w:rsid w:val="00026F2C"/>
    <w:rsid w:val="00026F42"/>
    <w:rsid w:val="00026F6E"/>
    <w:rsid w:val="00026F8C"/>
    <w:rsid w:val="00026F9B"/>
    <w:rsid w:val="00026FAD"/>
    <w:rsid w:val="00026FE3"/>
    <w:rsid w:val="00027015"/>
    <w:rsid w:val="00027025"/>
    <w:rsid w:val="0002705C"/>
    <w:rsid w:val="0002705D"/>
    <w:rsid w:val="00027074"/>
    <w:rsid w:val="000270A4"/>
    <w:rsid w:val="000270B0"/>
    <w:rsid w:val="000270D1"/>
    <w:rsid w:val="000270F7"/>
    <w:rsid w:val="00027127"/>
    <w:rsid w:val="00027133"/>
    <w:rsid w:val="00027146"/>
    <w:rsid w:val="0002714B"/>
    <w:rsid w:val="00027164"/>
    <w:rsid w:val="00027174"/>
    <w:rsid w:val="000271A3"/>
    <w:rsid w:val="000271AA"/>
    <w:rsid w:val="000271B6"/>
    <w:rsid w:val="000271C8"/>
    <w:rsid w:val="000271EB"/>
    <w:rsid w:val="000271ED"/>
    <w:rsid w:val="00027221"/>
    <w:rsid w:val="00027234"/>
    <w:rsid w:val="0002723D"/>
    <w:rsid w:val="00027241"/>
    <w:rsid w:val="00027283"/>
    <w:rsid w:val="000272C0"/>
    <w:rsid w:val="00027323"/>
    <w:rsid w:val="0002734A"/>
    <w:rsid w:val="0002738A"/>
    <w:rsid w:val="00027392"/>
    <w:rsid w:val="000273E1"/>
    <w:rsid w:val="0002740C"/>
    <w:rsid w:val="0002742D"/>
    <w:rsid w:val="0002743B"/>
    <w:rsid w:val="0002744C"/>
    <w:rsid w:val="00027463"/>
    <w:rsid w:val="0002748F"/>
    <w:rsid w:val="000274E0"/>
    <w:rsid w:val="000274FF"/>
    <w:rsid w:val="00027502"/>
    <w:rsid w:val="00027520"/>
    <w:rsid w:val="0002755F"/>
    <w:rsid w:val="000275C5"/>
    <w:rsid w:val="000275C7"/>
    <w:rsid w:val="000275CB"/>
    <w:rsid w:val="00027655"/>
    <w:rsid w:val="000276BF"/>
    <w:rsid w:val="000276DE"/>
    <w:rsid w:val="000276ED"/>
    <w:rsid w:val="00027760"/>
    <w:rsid w:val="0002777E"/>
    <w:rsid w:val="00027793"/>
    <w:rsid w:val="000277BD"/>
    <w:rsid w:val="000277C2"/>
    <w:rsid w:val="0002783F"/>
    <w:rsid w:val="00027848"/>
    <w:rsid w:val="0002784A"/>
    <w:rsid w:val="00027859"/>
    <w:rsid w:val="0002786D"/>
    <w:rsid w:val="00027887"/>
    <w:rsid w:val="000278A5"/>
    <w:rsid w:val="000278F2"/>
    <w:rsid w:val="00027901"/>
    <w:rsid w:val="00027917"/>
    <w:rsid w:val="00027940"/>
    <w:rsid w:val="000279C3"/>
    <w:rsid w:val="000279E6"/>
    <w:rsid w:val="00027A15"/>
    <w:rsid w:val="00027A69"/>
    <w:rsid w:val="00027A6D"/>
    <w:rsid w:val="00027AF6"/>
    <w:rsid w:val="00027B87"/>
    <w:rsid w:val="00027B8A"/>
    <w:rsid w:val="00027C5A"/>
    <w:rsid w:val="00027C74"/>
    <w:rsid w:val="00027C81"/>
    <w:rsid w:val="00027C9B"/>
    <w:rsid w:val="00027C9E"/>
    <w:rsid w:val="00027CAD"/>
    <w:rsid w:val="00027CB1"/>
    <w:rsid w:val="00027CBB"/>
    <w:rsid w:val="00027CCF"/>
    <w:rsid w:val="00027CDE"/>
    <w:rsid w:val="00027D1F"/>
    <w:rsid w:val="00027D39"/>
    <w:rsid w:val="00027D3D"/>
    <w:rsid w:val="00027D75"/>
    <w:rsid w:val="00027DB4"/>
    <w:rsid w:val="00027DC9"/>
    <w:rsid w:val="00027DE1"/>
    <w:rsid w:val="00027DFD"/>
    <w:rsid w:val="00027E1A"/>
    <w:rsid w:val="00027E23"/>
    <w:rsid w:val="00027E52"/>
    <w:rsid w:val="00027EF3"/>
    <w:rsid w:val="00027F1A"/>
    <w:rsid w:val="00027F1E"/>
    <w:rsid w:val="00027F5E"/>
    <w:rsid w:val="00027F6B"/>
    <w:rsid w:val="00027F7B"/>
    <w:rsid w:val="00027FAB"/>
    <w:rsid w:val="00027FB8"/>
    <w:rsid w:val="00027FC4"/>
    <w:rsid w:val="00027FF5"/>
    <w:rsid w:val="00030006"/>
    <w:rsid w:val="00030041"/>
    <w:rsid w:val="0003008C"/>
    <w:rsid w:val="000300B9"/>
    <w:rsid w:val="00030115"/>
    <w:rsid w:val="00030139"/>
    <w:rsid w:val="00030145"/>
    <w:rsid w:val="00030168"/>
    <w:rsid w:val="00030172"/>
    <w:rsid w:val="00030188"/>
    <w:rsid w:val="000301BF"/>
    <w:rsid w:val="00030224"/>
    <w:rsid w:val="00030227"/>
    <w:rsid w:val="00030236"/>
    <w:rsid w:val="00030295"/>
    <w:rsid w:val="00030298"/>
    <w:rsid w:val="000302EC"/>
    <w:rsid w:val="00030301"/>
    <w:rsid w:val="00030344"/>
    <w:rsid w:val="000303AE"/>
    <w:rsid w:val="0003040F"/>
    <w:rsid w:val="00030439"/>
    <w:rsid w:val="00030475"/>
    <w:rsid w:val="000304EF"/>
    <w:rsid w:val="000304F3"/>
    <w:rsid w:val="00030529"/>
    <w:rsid w:val="00030585"/>
    <w:rsid w:val="000305FD"/>
    <w:rsid w:val="00030635"/>
    <w:rsid w:val="00030653"/>
    <w:rsid w:val="00030655"/>
    <w:rsid w:val="00030674"/>
    <w:rsid w:val="00030692"/>
    <w:rsid w:val="000306A4"/>
    <w:rsid w:val="000306CC"/>
    <w:rsid w:val="00030732"/>
    <w:rsid w:val="00030735"/>
    <w:rsid w:val="00030748"/>
    <w:rsid w:val="0003075C"/>
    <w:rsid w:val="0003075D"/>
    <w:rsid w:val="0003076B"/>
    <w:rsid w:val="0003076C"/>
    <w:rsid w:val="00030770"/>
    <w:rsid w:val="000307AA"/>
    <w:rsid w:val="000307CD"/>
    <w:rsid w:val="000307DE"/>
    <w:rsid w:val="00030843"/>
    <w:rsid w:val="00030845"/>
    <w:rsid w:val="00030895"/>
    <w:rsid w:val="000308CE"/>
    <w:rsid w:val="000308D6"/>
    <w:rsid w:val="0003092A"/>
    <w:rsid w:val="0003092E"/>
    <w:rsid w:val="00030954"/>
    <w:rsid w:val="00030987"/>
    <w:rsid w:val="00030993"/>
    <w:rsid w:val="0003099F"/>
    <w:rsid w:val="000309C9"/>
    <w:rsid w:val="000309DB"/>
    <w:rsid w:val="000309E1"/>
    <w:rsid w:val="000309E4"/>
    <w:rsid w:val="00030A00"/>
    <w:rsid w:val="00030A76"/>
    <w:rsid w:val="00030A97"/>
    <w:rsid w:val="00030A9F"/>
    <w:rsid w:val="00030AC5"/>
    <w:rsid w:val="00030ADA"/>
    <w:rsid w:val="00030AF0"/>
    <w:rsid w:val="00030B04"/>
    <w:rsid w:val="00030B34"/>
    <w:rsid w:val="00030B38"/>
    <w:rsid w:val="00030B75"/>
    <w:rsid w:val="00030BAB"/>
    <w:rsid w:val="00030BDC"/>
    <w:rsid w:val="00030BF0"/>
    <w:rsid w:val="00030C31"/>
    <w:rsid w:val="00030C43"/>
    <w:rsid w:val="00030C58"/>
    <w:rsid w:val="00030CE0"/>
    <w:rsid w:val="00030CE1"/>
    <w:rsid w:val="00030D66"/>
    <w:rsid w:val="00030DD7"/>
    <w:rsid w:val="00030DF4"/>
    <w:rsid w:val="00030E12"/>
    <w:rsid w:val="00030E61"/>
    <w:rsid w:val="00030E8B"/>
    <w:rsid w:val="00030F03"/>
    <w:rsid w:val="00030F05"/>
    <w:rsid w:val="00030F1B"/>
    <w:rsid w:val="00030F27"/>
    <w:rsid w:val="00030F63"/>
    <w:rsid w:val="00030F76"/>
    <w:rsid w:val="00030F90"/>
    <w:rsid w:val="00030FA5"/>
    <w:rsid w:val="00030FBE"/>
    <w:rsid w:val="00030FD7"/>
    <w:rsid w:val="00030FE4"/>
    <w:rsid w:val="00030FFD"/>
    <w:rsid w:val="0003107F"/>
    <w:rsid w:val="00031082"/>
    <w:rsid w:val="0003111C"/>
    <w:rsid w:val="0003116F"/>
    <w:rsid w:val="0003117D"/>
    <w:rsid w:val="000311D7"/>
    <w:rsid w:val="000311F8"/>
    <w:rsid w:val="00031213"/>
    <w:rsid w:val="00031219"/>
    <w:rsid w:val="0003121F"/>
    <w:rsid w:val="00031231"/>
    <w:rsid w:val="00031241"/>
    <w:rsid w:val="00031253"/>
    <w:rsid w:val="00031285"/>
    <w:rsid w:val="0003130F"/>
    <w:rsid w:val="00031327"/>
    <w:rsid w:val="00031343"/>
    <w:rsid w:val="00031360"/>
    <w:rsid w:val="00031370"/>
    <w:rsid w:val="0003138D"/>
    <w:rsid w:val="000313F1"/>
    <w:rsid w:val="000313F4"/>
    <w:rsid w:val="00031422"/>
    <w:rsid w:val="0003147C"/>
    <w:rsid w:val="000314C2"/>
    <w:rsid w:val="000314D2"/>
    <w:rsid w:val="000314D4"/>
    <w:rsid w:val="000314F7"/>
    <w:rsid w:val="0003151D"/>
    <w:rsid w:val="00031526"/>
    <w:rsid w:val="0003153E"/>
    <w:rsid w:val="0003157A"/>
    <w:rsid w:val="0003158B"/>
    <w:rsid w:val="0003158E"/>
    <w:rsid w:val="00031592"/>
    <w:rsid w:val="00031596"/>
    <w:rsid w:val="0003162E"/>
    <w:rsid w:val="00031631"/>
    <w:rsid w:val="00031654"/>
    <w:rsid w:val="0003165E"/>
    <w:rsid w:val="0003166C"/>
    <w:rsid w:val="00031685"/>
    <w:rsid w:val="00031694"/>
    <w:rsid w:val="000316C2"/>
    <w:rsid w:val="000316D0"/>
    <w:rsid w:val="000316E0"/>
    <w:rsid w:val="00031715"/>
    <w:rsid w:val="00031781"/>
    <w:rsid w:val="00031790"/>
    <w:rsid w:val="000317B3"/>
    <w:rsid w:val="000317C9"/>
    <w:rsid w:val="000317D6"/>
    <w:rsid w:val="000317DA"/>
    <w:rsid w:val="0003181B"/>
    <w:rsid w:val="0003181D"/>
    <w:rsid w:val="00031834"/>
    <w:rsid w:val="00031840"/>
    <w:rsid w:val="00031843"/>
    <w:rsid w:val="00031869"/>
    <w:rsid w:val="000318B5"/>
    <w:rsid w:val="0003190C"/>
    <w:rsid w:val="00031938"/>
    <w:rsid w:val="0003193F"/>
    <w:rsid w:val="0003198C"/>
    <w:rsid w:val="00031999"/>
    <w:rsid w:val="000319BF"/>
    <w:rsid w:val="000319D8"/>
    <w:rsid w:val="00031A0A"/>
    <w:rsid w:val="00031A15"/>
    <w:rsid w:val="00031A3E"/>
    <w:rsid w:val="00031A55"/>
    <w:rsid w:val="00031A61"/>
    <w:rsid w:val="00031A63"/>
    <w:rsid w:val="00031A70"/>
    <w:rsid w:val="00031B38"/>
    <w:rsid w:val="00031B5C"/>
    <w:rsid w:val="00031B8A"/>
    <w:rsid w:val="00031BA7"/>
    <w:rsid w:val="00031BC3"/>
    <w:rsid w:val="00031BD5"/>
    <w:rsid w:val="00031BE5"/>
    <w:rsid w:val="00031C35"/>
    <w:rsid w:val="00031C70"/>
    <w:rsid w:val="00031C78"/>
    <w:rsid w:val="00031C86"/>
    <w:rsid w:val="00031CB6"/>
    <w:rsid w:val="00031CE0"/>
    <w:rsid w:val="00031D23"/>
    <w:rsid w:val="00031D27"/>
    <w:rsid w:val="00031D85"/>
    <w:rsid w:val="00031D99"/>
    <w:rsid w:val="00031DB5"/>
    <w:rsid w:val="00031DD4"/>
    <w:rsid w:val="00031DDE"/>
    <w:rsid w:val="00031DE9"/>
    <w:rsid w:val="00031DF2"/>
    <w:rsid w:val="00031E17"/>
    <w:rsid w:val="00031E3C"/>
    <w:rsid w:val="00031E4E"/>
    <w:rsid w:val="00031E64"/>
    <w:rsid w:val="00031E8B"/>
    <w:rsid w:val="00031E92"/>
    <w:rsid w:val="00031EA5"/>
    <w:rsid w:val="00031EB0"/>
    <w:rsid w:val="00031EBC"/>
    <w:rsid w:val="00031F10"/>
    <w:rsid w:val="00031F6F"/>
    <w:rsid w:val="00031F91"/>
    <w:rsid w:val="00031FB6"/>
    <w:rsid w:val="00031FD5"/>
    <w:rsid w:val="00032015"/>
    <w:rsid w:val="00032090"/>
    <w:rsid w:val="0003209B"/>
    <w:rsid w:val="0003215C"/>
    <w:rsid w:val="0003216F"/>
    <w:rsid w:val="00032172"/>
    <w:rsid w:val="00032187"/>
    <w:rsid w:val="000321BB"/>
    <w:rsid w:val="000321D7"/>
    <w:rsid w:val="00032284"/>
    <w:rsid w:val="00032292"/>
    <w:rsid w:val="000322B4"/>
    <w:rsid w:val="000322E2"/>
    <w:rsid w:val="00032310"/>
    <w:rsid w:val="00032322"/>
    <w:rsid w:val="00032331"/>
    <w:rsid w:val="000323BB"/>
    <w:rsid w:val="00032405"/>
    <w:rsid w:val="0003241F"/>
    <w:rsid w:val="0003242A"/>
    <w:rsid w:val="0003246A"/>
    <w:rsid w:val="000324A7"/>
    <w:rsid w:val="000324CC"/>
    <w:rsid w:val="000324D6"/>
    <w:rsid w:val="00032505"/>
    <w:rsid w:val="0003250B"/>
    <w:rsid w:val="0003253B"/>
    <w:rsid w:val="000325B5"/>
    <w:rsid w:val="00032673"/>
    <w:rsid w:val="0003267C"/>
    <w:rsid w:val="000326D7"/>
    <w:rsid w:val="0003271D"/>
    <w:rsid w:val="00032739"/>
    <w:rsid w:val="00032752"/>
    <w:rsid w:val="00032786"/>
    <w:rsid w:val="00032793"/>
    <w:rsid w:val="00032819"/>
    <w:rsid w:val="0003282A"/>
    <w:rsid w:val="00032875"/>
    <w:rsid w:val="0003289D"/>
    <w:rsid w:val="000328F4"/>
    <w:rsid w:val="00032930"/>
    <w:rsid w:val="00032943"/>
    <w:rsid w:val="00032980"/>
    <w:rsid w:val="0003298F"/>
    <w:rsid w:val="000329A2"/>
    <w:rsid w:val="00032A37"/>
    <w:rsid w:val="00032A51"/>
    <w:rsid w:val="00032AAA"/>
    <w:rsid w:val="00032AD0"/>
    <w:rsid w:val="00032B37"/>
    <w:rsid w:val="00032B3A"/>
    <w:rsid w:val="00032B55"/>
    <w:rsid w:val="00032B65"/>
    <w:rsid w:val="00032B92"/>
    <w:rsid w:val="00032B9D"/>
    <w:rsid w:val="00032BA5"/>
    <w:rsid w:val="00032BA6"/>
    <w:rsid w:val="00032BCE"/>
    <w:rsid w:val="00032C41"/>
    <w:rsid w:val="00032C85"/>
    <w:rsid w:val="00032CA1"/>
    <w:rsid w:val="00032CF1"/>
    <w:rsid w:val="00032D14"/>
    <w:rsid w:val="00032D65"/>
    <w:rsid w:val="00032DB4"/>
    <w:rsid w:val="00032DD7"/>
    <w:rsid w:val="00032E06"/>
    <w:rsid w:val="00032E4D"/>
    <w:rsid w:val="00032E58"/>
    <w:rsid w:val="00032E59"/>
    <w:rsid w:val="00032E88"/>
    <w:rsid w:val="00032E95"/>
    <w:rsid w:val="00032EA1"/>
    <w:rsid w:val="00032EBF"/>
    <w:rsid w:val="00032EC7"/>
    <w:rsid w:val="00032F01"/>
    <w:rsid w:val="00032F71"/>
    <w:rsid w:val="00032F72"/>
    <w:rsid w:val="00032F90"/>
    <w:rsid w:val="00032F9E"/>
    <w:rsid w:val="00032FEC"/>
    <w:rsid w:val="0003300C"/>
    <w:rsid w:val="00033096"/>
    <w:rsid w:val="000330CE"/>
    <w:rsid w:val="00033104"/>
    <w:rsid w:val="00033116"/>
    <w:rsid w:val="00033129"/>
    <w:rsid w:val="0003317A"/>
    <w:rsid w:val="000331DE"/>
    <w:rsid w:val="00033206"/>
    <w:rsid w:val="0003322B"/>
    <w:rsid w:val="00033233"/>
    <w:rsid w:val="00033244"/>
    <w:rsid w:val="00033273"/>
    <w:rsid w:val="00033284"/>
    <w:rsid w:val="000332AC"/>
    <w:rsid w:val="000332F6"/>
    <w:rsid w:val="0003331E"/>
    <w:rsid w:val="0003332F"/>
    <w:rsid w:val="00033341"/>
    <w:rsid w:val="00033373"/>
    <w:rsid w:val="000333DA"/>
    <w:rsid w:val="00033422"/>
    <w:rsid w:val="00033428"/>
    <w:rsid w:val="00033441"/>
    <w:rsid w:val="00033472"/>
    <w:rsid w:val="00033486"/>
    <w:rsid w:val="000334B2"/>
    <w:rsid w:val="00033517"/>
    <w:rsid w:val="00033518"/>
    <w:rsid w:val="0003354E"/>
    <w:rsid w:val="0003356C"/>
    <w:rsid w:val="0003357A"/>
    <w:rsid w:val="0003360D"/>
    <w:rsid w:val="00033628"/>
    <w:rsid w:val="000336DD"/>
    <w:rsid w:val="000336E1"/>
    <w:rsid w:val="000336E5"/>
    <w:rsid w:val="0003373B"/>
    <w:rsid w:val="00033774"/>
    <w:rsid w:val="000337CA"/>
    <w:rsid w:val="00033837"/>
    <w:rsid w:val="00033838"/>
    <w:rsid w:val="000338C7"/>
    <w:rsid w:val="000339A1"/>
    <w:rsid w:val="000339D7"/>
    <w:rsid w:val="000339E2"/>
    <w:rsid w:val="00033A96"/>
    <w:rsid w:val="00033AD2"/>
    <w:rsid w:val="00033AE3"/>
    <w:rsid w:val="00033B1A"/>
    <w:rsid w:val="00033B41"/>
    <w:rsid w:val="00033B81"/>
    <w:rsid w:val="00033BA3"/>
    <w:rsid w:val="00033BC2"/>
    <w:rsid w:val="00033BF1"/>
    <w:rsid w:val="00033BFA"/>
    <w:rsid w:val="00033C03"/>
    <w:rsid w:val="00033C04"/>
    <w:rsid w:val="00033C3E"/>
    <w:rsid w:val="00033C83"/>
    <w:rsid w:val="00033C8B"/>
    <w:rsid w:val="00033C8D"/>
    <w:rsid w:val="00033C9E"/>
    <w:rsid w:val="00033CCB"/>
    <w:rsid w:val="00033D1B"/>
    <w:rsid w:val="00033D39"/>
    <w:rsid w:val="00033D41"/>
    <w:rsid w:val="00033D53"/>
    <w:rsid w:val="00033D5D"/>
    <w:rsid w:val="00033D85"/>
    <w:rsid w:val="00033D90"/>
    <w:rsid w:val="00033DC6"/>
    <w:rsid w:val="00033DD3"/>
    <w:rsid w:val="00033DE2"/>
    <w:rsid w:val="00033EF6"/>
    <w:rsid w:val="00033F30"/>
    <w:rsid w:val="00033F5F"/>
    <w:rsid w:val="00033F88"/>
    <w:rsid w:val="00033F97"/>
    <w:rsid w:val="00033FBB"/>
    <w:rsid w:val="00033FD7"/>
    <w:rsid w:val="00033FDC"/>
    <w:rsid w:val="00034001"/>
    <w:rsid w:val="00034042"/>
    <w:rsid w:val="0003406F"/>
    <w:rsid w:val="0003407B"/>
    <w:rsid w:val="00034084"/>
    <w:rsid w:val="000340A8"/>
    <w:rsid w:val="000340B8"/>
    <w:rsid w:val="00034110"/>
    <w:rsid w:val="00034126"/>
    <w:rsid w:val="00034142"/>
    <w:rsid w:val="0003414F"/>
    <w:rsid w:val="00034194"/>
    <w:rsid w:val="000341B5"/>
    <w:rsid w:val="000341C4"/>
    <w:rsid w:val="000341E7"/>
    <w:rsid w:val="00034218"/>
    <w:rsid w:val="0003421E"/>
    <w:rsid w:val="0003423D"/>
    <w:rsid w:val="0003425C"/>
    <w:rsid w:val="00034265"/>
    <w:rsid w:val="00034267"/>
    <w:rsid w:val="00034278"/>
    <w:rsid w:val="0003428D"/>
    <w:rsid w:val="00034310"/>
    <w:rsid w:val="00034327"/>
    <w:rsid w:val="0003434C"/>
    <w:rsid w:val="000343F0"/>
    <w:rsid w:val="00034400"/>
    <w:rsid w:val="00034413"/>
    <w:rsid w:val="00034416"/>
    <w:rsid w:val="0003441A"/>
    <w:rsid w:val="00034445"/>
    <w:rsid w:val="000344B3"/>
    <w:rsid w:val="000344B6"/>
    <w:rsid w:val="00034511"/>
    <w:rsid w:val="0003452B"/>
    <w:rsid w:val="0003453C"/>
    <w:rsid w:val="00034579"/>
    <w:rsid w:val="000345B3"/>
    <w:rsid w:val="000345F8"/>
    <w:rsid w:val="00034627"/>
    <w:rsid w:val="00034635"/>
    <w:rsid w:val="00034649"/>
    <w:rsid w:val="00034689"/>
    <w:rsid w:val="000346DC"/>
    <w:rsid w:val="0003472B"/>
    <w:rsid w:val="00034754"/>
    <w:rsid w:val="00034769"/>
    <w:rsid w:val="0003478C"/>
    <w:rsid w:val="000347AD"/>
    <w:rsid w:val="000347B9"/>
    <w:rsid w:val="00034820"/>
    <w:rsid w:val="00034888"/>
    <w:rsid w:val="000348AA"/>
    <w:rsid w:val="000348F2"/>
    <w:rsid w:val="0003493C"/>
    <w:rsid w:val="00034951"/>
    <w:rsid w:val="000349AB"/>
    <w:rsid w:val="000349B5"/>
    <w:rsid w:val="000349C3"/>
    <w:rsid w:val="000349CB"/>
    <w:rsid w:val="000349E7"/>
    <w:rsid w:val="000349F7"/>
    <w:rsid w:val="00034A02"/>
    <w:rsid w:val="00034A57"/>
    <w:rsid w:val="00034A67"/>
    <w:rsid w:val="00034A82"/>
    <w:rsid w:val="00034A89"/>
    <w:rsid w:val="00034AA1"/>
    <w:rsid w:val="00034AAC"/>
    <w:rsid w:val="00034AE2"/>
    <w:rsid w:val="00034B11"/>
    <w:rsid w:val="00034B23"/>
    <w:rsid w:val="00034B28"/>
    <w:rsid w:val="00034B54"/>
    <w:rsid w:val="00034B6F"/>
    <w:rsid w:val="00034BCB"/>
    <w:rsid w:val="00034C06"/>
    <w:rsid w:val="00034C25"/>
    <w:rsid w:val="00034C39"/>
    <w:rsid w:val="00034C4E"/>
    <w:rsid w:val="00034C8B"/>
    <w:rsid w:val="00034CB5"/>
    <w:rsid w:val="00034CFA"/>
    <w:rsid w:val="00034D05"/>
    <w:rsid w:val="00034D18"/>
    <w:rsid w:val="00034D59"/>
    <w:rsid w:val="00034D7C"/>
    <w:rsid w:val="00034D82"/>
    <w:rsid w:val="00034DB2"/>
    <w:rsid w:val="00034DBF"/>
    <w:rsid w:val="00034DF5"/>
    <w:rsid w:val="00034E06"/>
    <w:rsid w:val="00034E36"/>
    <w:rsid w:val="00034E37"/>
    <w:rsid w:val="00034E57"/>
    <w:rsid w:val="00034E5B"/>
    <w:rsid w:val="00034E6D"/>
    <w:rsid w:val="00034EC3"/>
    <w:rsid w:val="00034F00"/>
    <w:rsid w:val="00034F18"/>
    <w:rsid w:val="00034F5A"/>
    <w:rsid w:val="00034F8C"/>
    <w:rsid w:val="00034FA9"/>
    <w:rsid w:val="00034FBD"/>
    <w:rsid w:val="00034FF9"/>
    <w:rsid w:val="00035010"/>
    <w:rsid w:val="0003501F"/>
    <w:rsid w:val="0003504A"/>
    <w:rsid w:val="00035066"/>
    <w:rsid w:val="0003512E"/>
    <w:rsid w:val="00035159"/>
    <w:rsid w:val="00035163"/>
    <w:rsid w:val="0003517A"/>
    <w:rsid w:val="000351C8"/>
    <w:rsid w:val="0003524C"/>
    <w:rsid w:val="0003529A"/>
    <w:rsid w:val="0003529B"/>
    <w:rsid w:val="000352A4"/>
    <w:rsid w:val="000352A9"/>
    <w:rsid w:val="000352B8"/>
    <w:rsid w:val="000352FD"/>
    <w:rsid w:val="0003533E"/>
    <w:rsid w:val="000353C7"/>
    <w:rsid w:val="000353C8"/>
    <w:rsid w:val="0003544A"/>
    <w:rsid w:val="0003544E"/>
    <w:rsid w:val="0003545F"/>
    <w:rsid w:val="0003546D"/>
    <w:rsid w:val="0003548F"/>
    <w:rsid w:val="000354A0"/>
    <w:rsid w:val="0003551D"/>
    <w:rsid w:val="00035559"/>
    <w:rsid w:val="000355B0"/>
    <w:rsid w:val="0003560A"/>
    <w:rsid w:val="00035615"/>
    <w:rsid w:val="00035618"/>
    <w:rsid w:val="0003562F"/>
    <w:rsid w:val="0003564A"/>
    <w:rsid w:val="00035674"/>
    <w:rsid w:val="000356B8"/>
    <w:rsid w:val="000356D2"/>
    <w:rsid w:val="000356F3"/>
    <w:rsid w:val="000356FB"/>
    <w:rsid w:val="000356FC"/>
    <w:rsid w:val="00035731"/>
    <w:rsid w:val="00035735"/>
    <w:rsid w:val="0003576A"/>
    <w:rsid w:val="0003576B"/>
    <w:rsid w:val="00035798"/>
    <w:rsid w:val="000357A8"/>
    <w:rsid w:val="000357F9"/>
    <w:rsid w:val="00035814"/>
    <w:rsid w:val="00035833"/>
    <w:rsid w:val="00035847"/>
    <w:rsid w:val="00035850"/>
    <w:rsid w:val="00035851"/>
    <w:rsid w:val="00035893"/>
    <w:rsid w:val="000358A5"/>
    <w:rsid w:val="000358CB"/>
    <w:rsid w:val="000358CC"/>
    <w:rsid w:val="0003592C"/>
    <w:rsid w:val="00035930"/>
    <w:rsid w:val="000359A7"/>
    <w:rsid w:val="000359B6"/>
    <w:rsid w:val="000359E3"/>
    <w:rsid w:val="00035A3D"/>
    <w:rsid w:val="00035AA8"/>
    <w:rsid w:val="00035AA9"/>
    <w:rsid w:val="00035ADA"/>
    <w:rsid w:val="00035AE5"/>
    <w:rsid w:val="00035B24"/>
    <w:rsid w:val="00035B26"/>
    <w:rsid w:val="00035BA2"/>
    <w:rsid w:val="00035BB7"/>
    <w:rsid w:val="00035BD7"/>
    <w:rsid w:val="00035BF3"/>
    <w:rsid w:val="00035BFA"/>
    <w:rsid w:val="00035C07"/>
    <w:rsid w:val="00035C41"/>
    <w:rsid w:val="00035C5A"/>
    <w:rsid w:val="00035C90"/>
    <w:rsid w:val="00035C97"/>
    <w:rsid w:val="00035CB4"/>
    <w:rsid w:val="00035CC1"/>
    <w:rsid w:val="00035CD1"/>
    <w:rsid w:val="00035D06"/>
    <w:rsid w:val="00035D50"/>
    <w:rsid w:val="00035D53"/>
    <w:rsid w:val="00035D70"/>
    <w:rsid w:val="00035D9C"/>
    <w:rsid w:val="00035DB2"/>
    <w:rsid w:val="00035DEE"/>
    <w:rsid w:val="00035DFE"/>
    <w:rsid w:val="00035E31"/>
    <w:rsid w:val="00035E90"/>
    <w:rsid w:val="00035EA1"/>
    <w:rsid w:val="00035EB7"/>
    <w:rsid w:val="00035ECF"/>
    <w:rsid w:val="00035ED0"/>
    <w:rsid w:val="00035F04"/>
    <w:rsid w:val="00035F09"/>
    <w:rsid w:val="00035F42"/>
    <w:rsid w:val="00035F50"/>
    <w:rsid w:val="00035FAC"/>
    <w:rsid w:val="00035FB4"/>
    <w:rsid w:val="00035FBA"/>
    <w:rsid w:val="00035FC1"/>
    <w:rsid w:val="00035FF0"/>
    <w:rsid w:val="00036016"/>
    <w:rsid w:val="00036065"/>
    <w:rsid w:val="0003606D"/>
    <w:rsid w:val="00036095"/>
    <w:rsid w:val="000360C5"/>
    <w:rsid w:val="0003610D"/>
    <w:rsid w:val="0003611F"/>
    <w:rsid w:val="00036189"/>
    <w:rsid w:val="000361D6"/>
    <w:rsid w:val="000361EC"/>
    <w:rsid w:val="00036229"/>
    <w:rsid w:val="0003625D"/>
    <w:rsid w:val="0003625F"/>
    <w:rsid w:val="0003626E"/>
    <w:rsid w:val="00036290"/>
    <w:rsid w:val="000362C6"/>
    <w:rsid w:val="000362F2"/>
    <w:rsid w:val="00036308"/>
    <w:rsid w:val="00036371"/>
    <w:rsid w:val="00036383"/>
    <w:rsid w:val="000363B9"/>
    <w:rsid w:val="000363E6"/>
    <w:rsid w:val="0003642C"/>
    <w:rsid w:val="0003643E"/>
    <w:rsid w:val="00036443"/>
    <w:rsid w:val="00036481"/>
    <w:rsid w:val="000364B0"/>
    <w:rsid w:val="000364F1"/>
    <w:rsid w:val="0003653D"/>
    <w:rsid w:val="00036548"/>
    <w:rsid w:val="0003659F"/>
    <w:rsid w:val="000365C8"/>
    <w:rsid w:val="000365D0"/>
    <w:rsid w:val="000365EE"/>
    <w:rsid w:val="000365F8"/>
    <w:rsid w:val="00036608"/>
    <w:rsid w:val="00036630"/>
    <w:rsid w:val="00036662"/>
    <w:rsid w:val="0003667E"/>
    <w:rsid w:val="00036708"/>
    <w:rsid w:val="00036761"/>
    <w:rsid w:val="00036766"/>
    <w:rsid w:val="0003677D"/>
    <w:rsid w:val="000367B6"/>
    <w:rsid w:val="000367BA"/>
    <w:rsid w:val="000367CB"/>
    <w:rsid w:val="000367D8"/>
    <w:rsid w:val="00036823"/>
    <w:rsid w:val="00036896"/>
    <w:rsid w:val="000368B8"/>
    <w:rsid w:val="000368F1"/>
    <w:rsid w:val="0003690C"/>
    <w:rsid w:val="00036948"/>
    <w:rsid w:val="0003697E"/>
    <w:rsid w:val="0003699F"/>
    <w:rsid w:val="000369C7"/>
    <w:rsid w:val="000369DB"/>
    <w:rsid w:val="00036A15"/>
    <w:rsid w:val="00036A67"/>
    <w:rsid w:val="00036AE3"/>
    <w:rsid w:val="00036B19"/>
    <w:rsid w:val="00036B1B"/>
    <w:rsid w:val="00036B6D"/>
    <w:rsid w:val="00036B76"/>
    <w:rsid w:val="00036B9A"/>
    <w:rsid w:val="00036BC4"/>
    <w:rsid w:val="00036C4B"/>
    <w:rsid w:val="00036CB6"/>
    <w:rsid w:val="00036CC2"/>
    <w:rsid w:val="00036CD8"/>
    <w:rsid w:val="00036CF1"/>
    <w:rsid w:val="00036D16"/>
    <w:rsid w:val="00036D29"/>
    <w:rsid w:val="00036DB9"/>
    <w:rsid w:val="00036DCA"/>
    <w:rsid w:val="00036E09"/>
    <w:rsid w:val="00036E66"/>
    <w:rsid w:val="00036EE4"/>
    <w:rsid w:val="00036EF5"/>
    <w:rsid w:val="00036F01"/>
    <w:rsid w:val="00036F16"/>
    <w:rsid w:val="00036F29"/>
    <w:rsid w:val="00036F60"/>
    <w:rsid w:val="00036F8C"/>
    <w:rsid w:val="00036F9D"/>
    <w:rsid w:val="00036FC1"/>
    <w:rsid w:val="00036FD9"/>
    <w:rsid w:val="00037018"/>
    <w:rsid w:val="0003701D"/>
    <w:rsid w:val="00037039"/>
    <w:rsid w:val="00037059"/>
    <w:rsid w:val="00037081"/>
    <w:rsid w:val="000370AA"/>
    <w:rsid w:val="000370B9"/>
    <w:rsid w:val="000370BB"/>
    <w:rsid w:val="000370BE"/>
    <w:rsid w:val="000370C6"/>
    <w:rsid w:val="000370EE"/>
    <w:rsid w:val="0003712D"/>
    <w:rsid w:val="000371B7"/>
    <w:rsid w:val="000371B8"/>
    <w:rsid w:val="000371E2"/>
    <w:rsid w:val="00037257"/>
    <w:rsid w:val="000372A6"/>
    <w:rsid w:val="000372EA"/>
    <w:rsid w:val="00037306"/>
    <w:rsid w:val="00037319"/>
    <w:rsid w:val="0003733A"/>
    <w:rsid w:val="00037370"/>
    <w:rsid w:val="00037382"/>
    <w:rsid w:val="000373AD"/>
    <w:rsid w:val="000373D6"/>
    <w:rsid w:val="000373D9"/>
    <w:rsid w:val="000373DE"/>
    <w:rsid w:val="000373F8"/>
    <w:rsid w:val="0003742C"/>
    <w:rsid w:val="00037431"/>
    <w:rsid w:val="0003746B"/>
    <w:rsid w:val="0003748D"/>
    <w:rsid w:val="00037490"/>
    <w:rsid w:val="0003754E"/>
    <w:rsid w:val="0003756C"/>
    <w:rsid w:val="00037582"/>
    <w:rsid w:val="000375A7"/>
    <w:rsid w:val="000375A9"/>
    <w:rsid w:val="000375AC"/>
    <w:rsid w:val="00037619"/>
    <w:rsid w:val="00037636"/>
    <w:rsid w:val="000376D7"/>
    <w:rsid w:val="000376DB"/>
    <w:rsid w:val="000376DD"/>
    <w:rsid w:val="000376FB"/>
    <w:rsid w:val="0003773B"/>
    <w:rsid w:val="00037755"/>
    <w:rsid w:val="00037782"/>
    <w:rsid w:val="000377C6"/>
    <w:rsid w:val="000377F0"/>
    <w:rsid w:val="00037802"/>
    <w:rsid w:val="00037815"/>
    <w:rsid w:val="0003785E"/>
    <w:rsid w:val="0003788A"/>
    <w:rsid w:val="000378C5"/>
    <w:rsid w:val="000378FC"/>
    <w:rsid w:val="00037910"/>
    <w:rsid w:val="0003792E"/>
    <w:rsid w:val="00037932"/>
    <w:rsid w:val="00037943"/>
    <w:rsid w:val="00037961"/>
    <w:rsid w:val="00037963"/>
    <w:rsid w:val="0003796B"/>
    <w:rsid w:val="0003796D"/>
    <w:rsid w:val="00037985"/>
    <w:rsid w:val="00037991"/>
    <w:rsid w:val="000379C6"/>
    <w:rsid w:val="00037A22"/>
    <w:rsid w:val="00037A52"/>
    <w:rsid w:val="00037A95"/>
    <w:rsid w:val="00037AC5"/>
    <w:rsid w:val="00037ADB"/>
    <w:rsid w:val="00037B50"/>
    <w:rsid w:val="00037B6C"/>
    <w:rsid w:val="00037B7E"/>
    <w:rsid w:val="00037B81"/>
    <w:rsid w:val="00037BE4"/>
    <w:rsid w:val="00037C01"/>
    <w:rsid w:val="00037C09"/>
    <w:rsid w:val="00037C7F"/>
    <w:rsid w:val="00037CB3"/>
    <w:rsid w:val="00037CD3"/>
    <w:rsid w:val="00037CD5"/>
    <w:rsid w:val="00037D11"/>
    <w:rsid w:val="00037D81"/>
    <w:rsid w:val="00037DC4"/>
    <w:rsid w:val="00037DDC"/>
    <w:rsid w:val="00037E1B"/>
    <w:rsid w:val="00037E33"/>
    <w:rsid w:val="00037E37"/>
    <w:rsid w:val="00037E3C"/>
    <w:rsid w:val="00037E40"/>
    <w:rsid w:val="00037E68"/>
    <w:rsid w:val="00037EB1"/>
    <w:rsid w:val="00037EBB"/>
    <w:rsid w:val="00037F04"/>
    <w:rsid w:val="00037F12"/>
    <w:rsid w:val="00037F45"/>
    <w:rsid w:val="00037F66"/>
    <w:rsid w:val="00037F6E"/>
    <w:rsid w:val="00037F87"/>
    <w:rsid w:val="00037FA8"/>
    <w:rsid w:val="00037FCA"/>
    <w:rsid w:val="00037FDD"/>
    <w:rsid w:val="00037FEF"/>
    <w:rsid w:val="0004001C"/>
    <w:rsid w:val="00040030"/>
    <w:rsid w:val="00040060"/>
    <w:rsid w:val="0004007D"/>
    <w:rsid w:val="00040134"/>
    <w:rsid w:val="0004017F"/>
    <w:rsid w:val="000401DA"/>
    <w:rsid w:val="00040219"/>
    <w:rsid w:val="00040273"/>
    <w:rsid w:val="000402B7"/>
    <w:rsid w:val="00040310"/>
    <w:rsid w:val="00040337"/>
    <w:rsid w:val="00040365"/>
    <w:rsid w:val="00040390"/>
    <w:rsid w:val="0004039C"/>
    <w:rsid w:val="000403B4"/>
    <w:rsid w:val="000403E1"/>
    <w:rsid w:val="000403E3"/>
    <w:rsid w:val="00040479"/>
    <w:rsid w:val="000404A3"/>
    <w:rsid w:val="000404B0"/>
    <w:rsid w:val="000404BD"/>
    <w:rsid w:val="000404FA"/>
    <w:rsid w:val="0004051F"/>
    <w:rsid w:val="0004054E"/>
    <w:rsid w:val="00040561"/>
    <w:rsid w:val="0004057E"/>
    <w:rsid w:val="00040595"/>
    <w:rsid w:val="000405D6"/>
    <w:rsid w:val="000405EE"/>
    <w:rsid w:val="00040621"/>
    <w:rsid w:val="00040639"/>
    <w:rsid w:val="0004066D"/>
    <w:rsid w:val="00040688"/>
    <w:rsid w:val="000406BE"/>
    <w:rsid w:val="00040715"/>
    <w:rsid w:val="0004071A"/>
    <w:rsid w:val="00040754"/>
    <w:rsid w:val="000407B2"/>
    <w:rsid w:val="000407C4"/>
    <w:rsid w:val="000407E7"/>
    <w:rsid w:val="000407F1"/>
    <w:rsid w:val="0004080E"/>
    <w:rsid w:val="00040830"/>
    <w:rsid w:val="00040868"/>
    <w:rsid w:val="00040877"/>
    <w:rsid w:val="0004087F"/>
    <w:rsid w:val="000408B7"/>
    <w:rsid w:val="00040904"/>
    <w:rsid w:val="000409EC"/>
    <w:rsid w:val="00040A58"/>
    <w:rsid w:val="00040AE9"/>
    <w:rsid w:val="00040B10"/>
    <w:rsid w:val="00040B91"/>
    <w:rsid w:val="00040BB0"/>
    <w:rsid w:val="00040BE8"/>
    <w:rsid w:val="00040C28"/>
    <w:rsid w:val="00040C4C"/>
    <w:rsid w:val="00040C91"/>
    <w:rsid w:val="00040C99"/>
    <w:rsid w:val="00040D69"/>
    <w:rsid w:val="00040D75"/>
    <w:rsid w:val="00040D97"/>
    <w:rsid w:val="00040D99"/>
    <w:rsid w:val="00040DBF"/>
    <w:rsid w:val="00040E73"/>
    <w:rsid w:val="00040EBD"/>
    <w:rsid w:val="00040EFE"/>
    <w:rsid w:val="00040F05"/>
    <w:rsid w:val="00040F14"/>
    <w:rsid w:val="00040F16"/>
    <w:rsid w:val="00040F1A"/>
    <w:rsid w:val="00040FA3"/>
    <w:rsid w:val="00040FBD"/>
    <w:rsid w:val="00040FCB"/>
    <w:rsid w:val="00040FCE"/>
    <w:rsid w:val="00041013"/>
    <w:rsid w:val="00041060"/>
    <w:rsid w:val="000410AB"/>
    <w:rsid w:val="000410C3"/>
    <w:rsid w:val="000410D7"/>
    <w:rsid w:val="000410DC"/>
    <w:rsid w:val="000410E3"/>
    <w:rsid w:val="0004113B"/>
    <w:rsid w:val="00041159"/>
    <w:rsid w:val="00041167"/>
    <w:rsid w:val="000411A9"/>
    <w:rsid w:val="000411B5"/>
    <w:rsid w:val="000411CF"/>
    <w:rsid w:val="0004120F"/>
    <w:rsid w:val="00041213"/>
    <w:rsid w:val="00041258"/>
    <w:rsid w:val="000412D8"/>
    <w:rsid w:val="00041301"/>
    <w:rsid w:val="00041330"/>
    <w:rsid w:val="00041350"/>
    <w:rsid w:val="0004135E"/>
    <w:rsid w:val="00041385"/>
    <w:rsid w:val="00041470"/>
    <w:rsid w:val="0004147D"/>
    <w:rsid w:val="000414ED"/>
    <w:rsid w:val="000414F8"/>
    <w:rsid w:val="0004151E"/>
    <w:rsid w:val="00041532"/>
    <w:rsid w:val="00041536"/>
    <w:rsid w:val="00041544"/>
    <w:rsid w:val="00041548"/>
    <w:rsid w:val="0004154B"/>
    <w:rsid w:val="0004154D"/>
    <w:rsid w:val="00041553"/>
    <w:rsid w:val="00041559"/>
    <w:rsid w:val="000415E5"/>
    <w:rsid w:val="0004160D"/>
    <w:rsid w:val="0004161E"/>
    <w:rsid w:val="0004165A"/>
    <w:rsid w:val="00041670"/>
    <w:rsid w:val="00041705"/>
    <w:rsid w:val="00041713"/>
    <w:rsid w:val="00041784"/>
    <w:rsid w:val="0004178C"/>
    <w:rsid w:val="000417A3"/>
    <w:rsid w:val="000417AA"/>
    <w:rsid w:val="000417B1"/>
    <w:rsid w:val="00041876"/>
    <w:rsid w:val="00041890"/>
    <w:rsid w:val="000418C3"/>
    <w:rsid w:val="0004190B"/>
    <w:rsid w:val="00041910"/>
    <w:rsid w:val="00041912"/>
    <w:rsid w:val="0004191E"/>
    <w:rsid w:val="0004192A"/>
    <w:rsid w:val="0004196E"/>
    <w:rsid w:val="00041984"/>
    <w:rsid w:val="000419BF"/>
    <w:rsid w:val="000419DE"/>
    <w:rsid w:val="00041A0E"/>
    <w:rsid w:val="00041A1A"/>
    <w:rsid w:val="00041A3A"/>
    <w:rsid w:val="00041A75"/>
    <w:rsid w:val="00041A7B"/>
    <w:rsid w:val="00041ABD"/>
    <w:rsid w:val="00041ADD"/>
    <w:rsid w:val="00041B1C"/>
    <w:rsid w:val="00041B3D"/>
    <w:rsid w:val="00041BA0"/>
    <w:rsid w:val="00041BA5"/>
    <w:rsid w:val="00041BB1"/>
    <w:rsid w:val="00041BE5"/>
    <w:rsid w:val="00041C10"/>
    <w:rsid w:val="00041C66"/>
    <w:rsid w:val="00041C8B"/>
    <w:rsid w:val="00041D45"/>
    <w:rsid w:val="00041D7D"/>
    <w:rsid w:val="00041DB5"/>
    <w:rsid w:val="00041DCC"/>
    <w:rsid w:val="00041DDA"/>
    <w:rsid w:val="00041DE2"/>
    <w:rsid w:val="00041DF2"/>
    <w:rsid w:val="00041E15"/>
    <w:rsid w:val="00041E41"/>
    <w:rsid w:val="00041E45"/>
    <w:rsid w:val="00041E7E"/>
    <w:rsid w:val="00041E84"/>
    <w:rsid w:val="00041EA1"/>
    <w:rsid w:val="00041EB8"/>
    <w:rsid w:val="00041F00"/>
    <w:rsid w:val="00041F12"/>
    <w:rsid w:val="00041F34"/>
    <w:rsid w:val="00041F40"/>
    <w:rsid w:val="00041F5A"/>
    <w:rsid w:val="00041F5B"/>
    <w:rsid w:val="00041F88"/>
    <w:rsid w:val="00041F94"/>
    <w:rsid w:val="00041F9E"/>
    <w:rsid w:val="00041FA0"/>
    <w:rsid w:val="00041FBC"/>
    <w:rsid w:val="00041FCC"/>
    <w:rsid w:val="00041FEE"/>
    <w:rsid w:val="00042013"/>
    <w:rsid w:val="00042023"/>
    <w:rsid w:val="00042089"/>
    <w:rsid w:val="0004208E"/>
    <w:rsid w:val="000420A4"/>
    <w:rsid w:val="000420CE"/>
    <w:rsid w:val="000420D0"/>
    <w:rsid w:val="00042129"/>
    <w:rsid w:val="0004217D"/>
    <w:rsid w:val="00042188"/>
    <w:rsid w:val="00042197"/>
    <w:rsid w:val="000421B3"/>
    <w:rsid w:val="00042225"/>
    <w:rsid w:val="000422D1"/>
    <w:rsid w:val="000422D2"/>
    <w:rsid w:val="00042307"/>
    <w:rsid w:val="00042312"/>
    <w:rsid w:val="00042356"/>
    <w:rsid w:val="000423AA"/>
    <w:rsid w:val="0004242D"/>
    <w:rsid w:val="00042436"/>
    <w:rsid w:val="000424E9"/>
    <w:rsid w:val="000424FA"/>
    <w:rsid w:val="00042528"/>
    <w:rsid w:val="0004252B"/>
    <w:rsid w:val="0004253B"/>
    <w:rsid w:val="00042551"/>
    <w:rsid w:val="0004255E"/>
    <w:rsid w:val="00042564"/>
    <w:rsid w:val="0004259C"/>
    <w:rsid w:val="000425A7"/>
    <w:rsid w:val="000425D1"/>
    <w:rsid w:val="000425E4"/>
    <w:rsid w:val="000425F0"/>
    <w:rsid w:val="000425F7"/>
    <w:rsid w:val="00042619"/>
    <w:rsid w:val="0004261D"/>
    <w:rsid w:val="00042635"/>
    <w:rsid w:val="00042639"/>
    <w:rsid w:val="00042681"/>
    <w:rsid w:val="000426A8"/>
    <w:rsid w:val="000426C1"/>
    <w:rsid w:val="00042705"/>
    <w:rsid w:val="0004270A"/>
    <w:rsid w:val="0004276C"/>
    <w:rsid w:val="0004278E"/>
    <w:rsid w:val="0004284F"/>
    <w:rsid w:val="000428FD"/>
    <w:rsid w:val="0004292C"/>
    <w:rsid w:val="0004297E"/>
    <w:rsid w:val="00042985"/>
    <w:rsid w:val="00042987"/>
    <w:rsid w:val="00042998"/>
    <w:rsid w:val="000429A9"/>
    <w:rsid w:val="000429E9"/>
    <w:rsid w:val="000429FA"/>
    <w:rsid w:val="00042A0E"/>
    <w:rsid w:val="00042A17"/>
    <w:rsid w:val="00042A1E"/>
    <w:rsid w:val="00042A28"/>
    <w:rsid w:val="00042A68"/>
    <w:rsid w:val="00042A95"/>
    <w:rsid w:val="00042AA5"/>
    <w:rsid w:val="00042B10"/>
    <w:rsid w:val="00042B2B"/>
    <w:rsid w:val="00042B4E"/>
    <w:rsid w:val="00042B7F"/>
    <w:rsid w:val="00042B82"/>
    <w:rsid w:val="00042BCD"/>
    <w:rsid w:val="00042BD2"/>
    <w:rsid w:val="00042C1A"/>
    <w:rsid w:val="00042C3D"/>
    <w:rsid w:val="00042C50"/>
    <w:rsid w:val="00042C55"/>
    <w:rsid w:val="00042C99"/>
    <w:rsid w:val="00042CA5"/>
    <w:rsid w:val="00042CB4"/>
    <w:rsid w:val="00042CCB"/>
    <w:rsid w:val="00042CD1"/>
    <w:rsid w:val="00042CD3"/>
    <w:rsid w:val="00042CF6"/>
    <w:rsid w:val="00042CFB"/>
    <w:rsid w:val="00042D12"/>
    <w:rsid w:val="00042D52"/>
    <w:rsid w:val="00042D90"/>
    <w:rsid w:val="00042DAE"/>
    <w:rsid w:val="00042DB6"/>
    <w:rsid w:val="00042DBB"/>
    <w:rsid w:val="00042DBE"/>
    <w:rsid w:val="00042DC0"/>
    <w:rsid w:val="00042DD8"/>
    <w:rsid w:val="00042DDD"/>
    <w:rsid w:val="00042DF5"/>
    <w:rsid w:val="00042E00"/>
    <w:rsid w:val="00042E12"/>
    <w:rsid w:val="00042E3F"/>
    <w:rsid w:val="00042E4D"/>
    <w:rsid w:val="00042E53"/>
    <w:rsid w:val="00042E54"/>
    <w:rsid w:val="00042EC9"/>
    <w:rsid w:val="00042F87"/>
    <w:rsid w:val="00042FA4"/>
    <w:rsid w:val="00043010"/>
    <w:rsid w:val="00043028"/>
    <w:rsid w:val="0004302B"/>
    <w:rsid w:val="00043055"/>
    <w:rsid w:val="0004306B"/>
    <w:rsid w:val="00043078"/>
    <w:rsid w:val="0004309F"/>
    <w:rsid w:val="000430B1"/>
    <w:rsid w:val="000430D3"/>
    <w:rsid w:val="000430FE"/>
    <w:rsid w:val="00043108"/>
    <w:rsid w:val="00043136"/>
    <w:rsid w:val="0004315F"/>
    <w:rsid w:val="000431E2"/>
    <w:rsid w:val="000432EA"/>
    <w:rsid w:val="000432F4"/>
    <w:rsid w:val="00043305"/>
    <w:rsid w:val="00043338"/>
    <w:rsid w:val="0004334D"/>
    <w:rsid w:val="0004335E"/>
    <w:rsid w:val="000433AF"/>
    <w:rsid w:val="000433B6"/>
    <w:rsid w:val="0004342F"/>
    <w:rsid w:val="0004346D"/>
    <w:rsid w:val="000434A9"/>
    <w:rsid w:val="000434DD"/>
    <w:rsid w:val="000434EE"/>
    <w:rsid w:val="00043525"/>
    <w:rsid w:val="00043535"/>
    <w:rsid w:val="0004353F"/>
    <w:rsid w:val="00043562"/>
    <w:rsid w:val="0004358C"/>
    <w:rsid w:val="000435A6"/>
    <w:rsid w:val="000435AE"/>
    <w:rsid w:val="000435CC"/>
    <w:rsid w:val="000435CD"/>
    <w:rsid w:val="000435FD"/>
    <w:rsid w:val="0004362E"/>
    <w:rsid w:val="0004363D"/>
    <w:rsid w:val="00043641"/>
    <w:rsid w:val="00043660"/>
    <w:rsid w:val="00043671"/>
    <w:rsid w:val="0004367E"/>
    <w:rsid w:val="000436B9"/>
    <w:rsid w:val="00043734"/>
    <w:rsid w:val="00043738"/>
    <w:rsid w:val="00043777"/>
    <w:rsid w:val="000437E9"/>
    <w:rsid w:val="000437F6"/>
    <w:rsid w:val="00043873"/>
    <w:rsid w:val="0004387C"/>
    <w:rsid w:val="00043892"/>
    <w:rsid w:val="0004389C"/>
    <w:rsid w:val="000438E6"/>
    <w:rsid w:val="000438ED"/>
    <w:rsid w:val="0004390A"/>
    <w:rsid w:val="00043911"/>
    <w:rsid w:val="00043949"/>
    <w:rsid w:val="0004397E"/>
    <w:rsid w:val="00043988"/>
    <w:rsid w:val="000439B6"/>
    <w:rsid w:val="000439BA"/>
    <w:rsid w:val="00043A05"/>
    <w:rsid w:val="00043A18"/>
    <w:rsid w:val="00043A52"/>
    <w:rsid w:val="00043A78"/>
    <w:rsid w:val="00043A95"/>
    <w:rsid w:val="00043AA9"/>
    <w:rsid w:val="00043AF9"/>
    <w:rsid w:val="00043B04"/>
    <w:rsid w:val="00043B06"/>
    <w:rsid w:val="00043B23"/>
    <w:rsid w:val="00043B42"/>
    <w:rsid w:val="00043BA6"/>
    <w:rsid w:val="00043BB8"/>
    <w:rsid w:val="00043C18"/>
    <w:rsid w:val="00043C27"/>
    <w:rsid w:val="00043C37"/>
    <w:rsid w:val="00043C5B"/>
    <w:rsid w:val="00043C68"/>
    <w:rsid w:val="00043CBB"/>
    <w:rsid w:val="00043CDA"/>
    <w:rsid w:val="00043CF1"/>
    <w:rsid w:val="00043CF7"/>
    <w:rsid w:val="00043D01"/>
    <w:rsid w:val="00043D23"/>
    <w:rsid w:val="00043D2D"/>
    <w:rsid w:val="00043D34"/>
    <w:rsid w:val="00043D53"/>
    <w:rsid w:val="00043D7A"/>
    <w:rsid w:val="00043DD2"/>
    <w:rsid w:val="00043DD5"/>
    <w:rsid w:val="00043DD9"/>
    <w:rsid w:val="00043E22"/>
    <w:rsid w:val="00043E5A"/>
    <w:rsid w:val="00043E63"/>
    <w:rsid w:val="00043E81"/>
    <w:rsid w:val="00043EB5"/>
    <w:rsid w:val="00043EE7"/>
    <w:rsid w:val="00043F0A"/>
    <w:rsid w:val="00043F5F"/>
    <w:rsid w:val="00043F90"/>
    <w:rsid w:val="00043FAA"/>
    <w:rsid w:val="00043FDF"/>
    <w:rsid w:val="00043FF4"/>
    <w:rsid w:val="00044005"/>
    <w:rsid w:val="00044012"/>
    <w:rsid w:val="0004406E"/>
    <w:rsid w:val="0004407A"/>
    <w:rsid w:val="0004408E"/>
    <w:rsid w:val="0004409B"/>
    <w:rsid w:val="000440AF"/>
    <w:rsid w:val="000440DC"/>
    <w:rsid w:val="0004412E"/>
    <w:rsid w:val="00044138"/>
    <w:rsid w:val="0004414B"/>
    <w:rsid w:val="00044150"/>
    <w:rsid w:val="00044178"/>
    <w:rsid w:val="00044183"/>
    <w:rsid w:val="00044199"/>
    <w:rsid w:val="000441CA"/>
    <w:rsid w:val="000441DC"/>
    <w:rsid w:val="000441F1"/>
    <w:rsid w:val="00044212"/>
    <w:rsid w:val="00044233"/>
    <w:rsid w:val="00044242"/>
    <w:rsid w:val="00044261"/>
    <w:rsid w:val="000442A9"/>
    <w:rsid w:val="000442BA"/>
    <w:rsid w:val="000442CF"/>
    <w:rsid w:val="00044315"/>
    <w:rsid w:val="0004435E"/>
    <w:rsid w:val="00044364"/>
    <w:rsid w:val="00044378"/>
    <w:rsid w:val="00044386"/>
    <w:rsid w:val="000443AB"/>
    <w:rsid w:val="00044407"/>
    <w:rsid w:val="00044412"/>
    <w:rsid w:val="00044421"/>
    <w:rsid w:val="0004442B"/>
    <w:rsid w:val="0004444C"/>
    <w:rsid w:val="0004444E"/>
    <w:rsid w:val="00044494"/>
    <w:rsid w:val="000444BF"/>
    <w:rsid w:val="000444C5"/>
    <w:rsid w:val="000444E1"/>
    <w:rsid w:val="00044523"/>
    <w:rsid w:val="0004456F"/>
    <w:rsid w:val="0004459E"/>
    <w:rsid w:val="000445D7"/>
    <w:rsid w:val="000445DB"/>
    <w:rsid w:val="000445DD"/>
    <w:rsid w:val="00044608"/>
    <w:rsid w:val="00044622"/>
    <w:rsid w:val="0004467D"/>
    <w:rsid w:val="0004468D"/>
    <w:rsid w:val="000446D8"/>
    <w:rsid w:val="000446EC"/>
    <w:rsid w:val="00044701"/>
    <w:rsid w:val="0004471D"/>
    <w:rsid w:val="0004471F"/>
    <w:rsid w:val="000447AA"/>
    <w:rsid w:val="000447AE"/>
    <w:rsid w:val="000447F7"/>
    <w:rsid w:val="00044812"/>
    <w:rsid w:val="00044831"/>
    <w:rsid w:val="00044836"/>
    <w:rsid w:val="00044851"/>
    <w:rsid w:val="00044895"/>
    <w:rsid w:val="000448EB"/>
    <w:rsid w:val="00044929"/>
    <w:rsid w:val="0004492E"/>
    <w:rsid w:val="00044967"/>
    <w:rsid w:val="00044976"/>
    <w:rsid w:val="0004497C"/>
    <w:rsid w:val="000449AF"/>
    <w:rsid w:val="000449E7"/>
    <w:rsid w:val="000449EF"/>
    <w:rsid w:val="000449F9"/>
    <w:rsid w:val="00044A01"/>
    <w:rsid w:val="00044A22"/>
    <w:rsid w:val="00044A2F"/>
    <w:rsid w:val="00044A64"/>
    <w:rsid w:val="00044A9A"/>
    <w:rsid w:val="00044AAA"/>
    <w:rsid w:val="00044AD3"/>
    <w:rsid w:val="00044ADB"/>
    <w:rsid w:val="00044B60"/>
    <w:rsid w:val="00044B66"/>
    <w:rsid w:val="00044C10"/>
    <w:rsid w:val="00044C41"/>
    <w:rsid w:val="00044C74"/>
    <w:rsid w:val="00044C7C"/>
    <w:rsid w:val="00044C7D"/>
    <w:rsid w:val="00044CA7"/>
    <w:rsid w:val="00044CB8"/>
    <w:rsid w:val="00044CBD"/>
    <w:rsid w:val="00044CD5"/>
    <w:rsid w:val="00044D06"/>
    <w:rsid w:val="00044D10"/>
    <w:rsid w:val="00044D3B"/>
    <w:rsid w:val="00044DA2"/>
    <w:rsid w:val="00044E86"/>
    <w:rsid w:val="00044EC1"/>
    <w:rsid w:val="00044EFC"/>
    <w:rsid w:val="00044F60"/>
    <w:rsid w:val="00044F97"/>
    <w:rsid w:val="00044FA2"/>
    <w:rsid w:val="00044FA6"/>
    <w:rsid w:val="00044FE8"/>
    <w:rsid w:val="00044FF9"/>
    <w:rsid w:val="0004501F"/>
    <w:rsid w:val="00045026"/>
    <w:rsid w:val="00045034"/>
    <w:rsid w:val="00045044"/>
    <w:rsid w:val="00045070"/>
    <w:rsid w:val="000450AC"/>
    <w:rsid w:val="000450B8"/>
    <w:rsid w:val="000450DB"/>
    <w:rsid w:val="00045125"/>
    <w:rsid w:val="0004513E"/>
    <w:rsid w:val="0004514B"/>
    <w:rsid w:val="00045162"/>
    <w:rsid w:val="00045196"/>
    <w:rsid w:val="000451C8"/>
    <w:rsid w:val="000451D8"/>
    <w:rsid w:val="000451FB"/>
    <w:rsid w:val="00045203"/>
    <w:rsid w:val="00045213"/>
    <w:rsid w:val="0004522D"/>
    <w:rsid w:val="0004522F"/>
    <w:rsid w:val="0004524C"/>
    <w:rsid w:val="000452A5"/>
    <w:rsid w:val="000452C4"/>
    <w:rsid w:val="00045314"/>
    <w:rsid w:val="0004539A"/>
    <w:rsid w:val="000453A1"/>
    <w:rsid w:val="000453AF"/>
    <w:rsid w:val="000453D9"/>
    <w:rsid w:val="000453E1"/>
    <w:rsid w:val="000453EC"/>
    <w:rsid w:val="0004541A"/>
    <w:rsid w:val="0004541F"/>
    <w:rsid w:val="0004545C"/>
    <w:rsid w:val="00045464"/>
    <w:rsid w:val="000454B2"/>
    <w:rsid w:val="000454C1"/>
    <w:rsid w:val="000454D4"/>
    <w:rsid w:val="0004551B"/>
    <w:rsid w:val="00045535"/>
    <w:rsid w:val="000455A6"/>
    <w:rsid w:val="000455B4"/>
    <w:rsid w:val="000455C9"/>
    <w:rsid w:val="00045607"/>
    <w:rsid w:val="00045614"/>
    <w:rsid w:val="0004561F"/>
    <w:rsid w:val="0004565D"/>
    <w:rsid w:val="00045679"/>
    <w:rsid w:val="0004567B"/>
    <w:rsid w:val="000456B2"/>
    <w:rsid w:val="000456BE"/>
    <w:rsid w:val="000456E7"/>
    <w:rsid w:val="000456F8"/>
    <w:rsid w:val="00045746"/>
    <w:rsid w:val="00045799"/>
    <w:rsid w:val="000457CD"/>
    <w:rsid w:val="00045849"/>
    <w:rsid w:val="0004585C"/>
    <w:rsid w:val="00045878"/>
    <w:rsid w:val="0004588B"/>
    <w:rsid w:val="0004588F"/>
    <w:rsid w:val="000458A1"/>
    <w:rsid w:val="000458CA"/>
    <w:rsid w:val="00045945"/>
    <w:rsid w:val="0004595A"/>
    <w:rsid w:val="00045992"/>
    <w:rsid w:val="000459AB"/>
    <w:rsid w:val="000459EB"/>
    <w:rsid w:val="000459ED"/>
    <w:rsid w:val="00045A73"/>
    <w:rsid w:val="00045A8F"/>
    <w:rsid w:val="00045A90"/>
    <w:rsid w:val="00045AA5"/>
    <w:rsid w:val="00045AA7"/>
    <w:rsid w:val="00045AB0"/>
    <w:rsid w:val="00045B06"/>
    <w:rsid w:val="00045B56"/>
    <w:rsid w:val="00045B6C"/>
    <w:rsid w:val="00045B6E"/>
    <w:rsid w:val="00045B6F"/>
    <w:rsid w:val="00045B7F"/>
    <w:rsid w:val="00045BB3"/>
    <w:rsid w:val="00045BC0"/>
    <w:rsid w:val="00045C01"/>
    <w:rsid w:val="00045C7A"/>
    <w:rsid w:val="00045CA3"/>
    <w:rsid w:val="00045CFE"/>
    <w:rsid w:val="00045D6F"/>
    <w:rsid w:val="00045DB1"/>
    <w:rsid w:val="00045DB5"/>
    <w:rsid w:val="00045DFF"/>
    <w:rsid w:val="00045E39"/>
    <w:rsid w:val="00045E7C"/>
    <w:rsid w:val="00045EC2"/>
    <w:rsid w:val="00045F89"/>
    <w:rsid w:val="00045FA1"/>
    <w:rsid w:val="00045FA8"/>
    <w:rsid w:val="00045FBE"/>
    <w:rsid w:val="00045FD0"/>
    <w:rsid w:val="00045FD9"/>
    <w:rsid w:val="0004601F"/>
    <w:rsid w:val="0004602C"/>
    <w:rsid w:val="00046064"/>
    <w:rsid w:val="0004607F"/>
    <w:rsid w:val="00046096"/>
    <w:rsid w:val="000460C8"/>
    <w:rsid w:val="000460E1"/>
    <w:rsid w:val="00046156"/>
    <w:rsid w:val="00046159"/>
    <w:rsid w:val="00046187"/>
    <w:rsid w:val="000461B9"/>
    <w:rsid w:val="000461D6"/>
    <w:rsid w:val="000461DC"/>
    <w:rsid w:val="000461F5"/>
    <w:rsid w:val="00046245"/>
    <w:rsid w:val="00046249"/>
    <w:rsid w:val="00046263"/>
    <w:rsid w:val="00046299"/>
    <w:rsid w:val="000462C8"/>
    <w:rsid w:val="00046305"/>
    <w:rsid w:val="0004631D"/>
    <w:rsid w:val="0004632D"/>
    <w:rsid w:val="00046351"/>
    <w:rsid w:val="00046362"/>
    <w:rsid w:val="000463B3"/>
    <w:rsid w:val="000463C1"/>
    <w:rsid w:val="000463EB"/>
    <w:rsid w:val="00046427"/>
    <w:rsid w:val="0004642D"/>
    <w:rsid w:val="0004643D"/>
    <w:rsid w:val="000464A4"/>
    <w:rsid w:val="000464DD"/>
    <w:rsid w:val="00046540"/>
    <w:rsid w:val="00046566"/>
    <w:rsid w:val="0004657D"/>
    <w:rsid w:val="00046653"/>
    <w:rsid w:val="0004667E"/>
    <w:rsid w:val="000466BB"/>
    <w:rsid w:val="000466C2"/>
    <w:rsid w:val="000466FE"/>
    <w:rsid w:val="00046729"/>
    <w:rsid w:val="0004673C"/>
    <w:rsid w:val="00046774"/>
    <w:rsid w:val="00046780"/>
    <w:rsid w:val="000467AD"/>
    <w:rsid w:val="000467E7"/>
    <w:rsid w:val="0004680C"/>
    <w:rsid w:val="00046821"/>
    <w:rsid w:val="00046832"/>
    <w:rsid w:val="00046847"/>
    <w:rsid w:val="00046851"/>
    <w:rsid w:val="0004687F"/>
    <w:rsid w:val="00046888"/>
    <w:rsid w:val="0004689D"/>
    <w:rsid w:val="000468CD"/>
    <w:rsid w:val="000468CE"/>
    <w:rsid w:val="000468ED"/>
    <w:rsid w:val="00046901"/>
    <w:rsid w:val="0004696F"/>
    <w:rsid w:val="000469D2"/>
    <w:rsid w:val="00046A3A"/>
    <w:rsid w:val="00046AA0"/>
    <w:rsid w:val="00046AC3"/>
    <w:rsid w:val="00046B65"/>
    <w:rsid w:val="00046B69"/>
    <w:rsid w:val="00046C57"/>
    <w:rsid w:val="00046C92"/>
    <w:rsid w:val="00046CC2"/>
    <w:rsid w:val="00046CD9"/>
    <w:rsid w:val="00046CF7"/>
    <w:rsid w:val="00046CF9"/>
    <w:rsid w:val="00046D84"/>
    <w:rsid w:val="00046D89"/>
    <w:rsid w:val="00046DC0"/>
    <w:rsid w:val="00046DE7"/>
    <w:rsid w:val="00046DF8"/>
    <w:rsid w:val="00046E36"/>
    <w:rsid w:val="00046E3E"/>
    <w:rsid w:val="00046E6A"/>
    <w:rsid w:val="00046E93"/>
    <w:rsid w:val="00046E96"/>
    <w:rsid w:val="00046F45"/>
    <w:rsid w:val="00046F4B"/>
    <w:rsid w:val="00046F83"/>
    <w:rsid w:val="00046F9F"/>
    <w:rsid w:val="00046FBB"/>
    <w:rsid w:val="00046FEF"/>
    <w:rsid w:val="00047002"/>
    <w:rsid w:val="00047027"/>
    <w:rsid w:val="0004705A"/>
    <w:rsid w:val="0004705D"/>
    <w:rsid w:val="0004709E"/>
    <w:rsid w:val="000470BE"/>
    <w:rsid w:val="000470CE"/>
    <w:rsid w:val="00047110"/>
    <w:rsid w:val="00047128"/>
    <w:rsid w:val="00047129"/>
    <w:rsid w:val="00047152"/>
    <w:rsid w:val="00047163"/>
    <w:rsid w:val="0004717C"/>
    <w:rsid w:val="000471A7"/>
    <w:rsid w:val="000471B8"/>
    <w:rsid w:val="000471D1"/>
    <w:rsid w:val="0004722F"/>
    <w:rsid w:val="00047255"/>
    <w:rsid w:val="0004726F"/>
    <w:rsid w:val="000472AA"/>
    <w:rsid w:val="000472B7"/>
    <w:rsid w:val="000472BA"/>
    <w:rsid w:val="000472F5"/>
    <w:rsid w:val="00047369"/>
    <w:rsid w:val="0004739B"/>
    <w:rsid w:val="0004739D"/>
    <w:rsid w:val="000473C9"/>
    <w:rsid w:val="000473D5"/>
    <w:rsid w:val="00047410"/>
    <w:rsid w:val="00047424"/>
    <w:rsid w:val="0004747B"/>
    <w:rsid w:val="000474AF"/>
    <w:rsid w:val="000474BC"/>
    <w:rsid w:val="000474CD"/>
    <w:rsid w:val="00047506"/>
    <w:rsid w:val="00047527"/>
    <w:rsid w:val="00047579"/>
    <w:rsid w:val="000475A3"/>
    <w:rsid w:val="00047603"/>
    <w:rsid w:val="0004763B"/>
    <w:rsid w:val="0004765C"/>
    <w:rsid w:val="00047695"/>
    <w:rsid w:val="000476BC"/>
    <w:rsid w:val="000476C0"/>
    <w:rsid w:val="000476D4"/>
    <w:rsid w:val="000476DC"/>
    <w:rsid w:val="0004771F"/>
    <w:rsid w:val="00047772"/>
    <w:rsid w:val="000477D9"/>
    <w:rsid w:val="00047828"/>
    <w:rsid w:val="00047843"/>
    <w:rsid w:val="00047845"/>
    <w:rsid w:val="0004785F"/>
    <w:rsid w:val="00047896"/>
    <w:rsid w:val="0004789D"/>
    <w:rsid w:val="000478BA"/>
    <w:rsid w:val="000478ED"/>
    <w:rsid w:val="0004790B"/>
    <w:rsid w:val="00047910"/>
    <w:rsid w:val="00047923"/>
    <w:rsid w:val="0004794B"/>
    <w:rsid w:val="00047984"/>
    <w:rsid w:val="000479D9"/>
    <w:rsid w:val="000479F6"/>
    <w:rsid w:val="000479F9"/>
    <w:rsid w:val="00047A33"/>
    <w:rsid w:val="00047A99"/>
    <w:rsid w:val="00047AA2"/>
    <w:rsid w:val="00047AE6"/>
    <w:rsid w:val="00047AED"/>
    <w:rsid w:val="00047AFD"/>
    <w:rsid w:val="00047BA4"/>
    <w:rsid w:val="00047C00"/>
    <w:rsid w:val="00047C29"/>
    <w:rsid w:val="00047C47"/>
    <w:rsid w:val="00047C77"/>
    <w:rsid w:val="00047C89"/>
    <w:rsid w:val="00047C9A"/>
    <w:rsid w:val="00047CEA"/>
    <w:rsid w:val="00047CF9"/>
    <w:rsid w:val="00047D52"/>
    <w:rsid w:val="00047D79"/>
    <w:rsid w:val="00047D8B"/>
    <w:rsid w:val="00047D99"/>
    <w:rsid w:val="00047DA6"/>
    <w:rsid w:val="00047E3E"/>
    <w:rsid w:val="00047E43"/>
    <w:rsid w:val="00047E48"/>
    <w:rsid w:val="00047EA1"/>
    <w:rsid w:val="00047F00"/>
    <w:rsid w:val="00047F31"/>
    <w:rsid w:val="00047F4B"/>
    <w:rsid w:val="00047F5D"/>
    <w:rsid w:val="00047F67"/>
    <w:rsid w:val="00047F72"/>
    <w:rsid w:val="00047FC8"/>
    <w:rsid w:val="00047FEB"/>
    <w:rsid w:val="00050002"/>
    <w:rsid w:val="00050058"/>
    <w:rsid w:val="00050115"/>
    <w:rsid w:val="00050168"/>
    <w:rsid w:val="00050169"/>
    <w:rsid w:val="00050185"/>
    <w:rsid w:val="0005019A"/>
    <w:rsid w:val="00050217"/>
    <w:rsid w:val="0005021D"/>
    <w:rsid w:val="0005022E"/>
    <w:rsid w:val="0005025C"/>
    <w:rsid w:val="000502A1"/>
    <w:rsid w:val="000502A6"/>
    <w:rsid w:val="000502F6"/>
    <w:rsid w:val="0005031C"/>
    <w:rsid w:val="00050327"/>
    <w:rsid w:val="00050346"/>
    <w:rsid w:val="00050381"/>
    <w:rsid w:val="00050384"/>
    <w:rsid w:val="0005038A"/>
    <w:rsid w:val="000503B9"/>
    <w:rsid w:val="00050448"/>
    <w:rsid w:val="00050486"/>
    <w:rsid w:val="000504C3"/>
    <w:rsid w:val="000504D6"/>
    <w:rsid w:val="000504DC"/>
    <w:rsid w:val="0005051B"/>
    <w:rsid w:val="00050523"/>
    <w:rsid w:val="00050563"/>
    <w:rsid w:val="0005056F"/>
    <w:rsid w:val="00050580"/>
    <w:rsid w:val="00050599"/>
    <w:rsid w:val="000505AD"/>
    <w:rsid w:val="000505E4"/>
    <w:rsid w:val="00050641"/>
    <w:rsid w:val="000506A6"/>
    <w:rsid w:val="000506DF"/>
    <w:rsid w:val="000506FC"/>
    <w:rsid w:val="000506FF"/>
    <w:rsid w:val="00050713"/>
    <w:rsid w:val="0005075A"/>
    <w:rsid w:val="0005075B"/>
    <w:rsid w:val="00050789"/>
    <w:rsid w:val="00050795"/>
    <w:rsid w:val="000507A4"/>
    <w:rsid w:val="000507AC"/>
    <w:rsid w:val="000507EF"/>
    <w:rsid w:val="000507FC"/>
    <w:rsid w:val="00050804"/>
    <w:rsid w:val="00050820"/>
    <w:rsid w:val="00050825"/>
    <w:rsid w:val="0005082C"/>
    <w:rsid w:val="00050840"/>
    <w:rsid w:val="00050879"/>
    <w:rsid w:val="00050887"/>
    <w:rsid w:val="000508C2"/>
    <w:rsid w:val="0005090D"/>
    <w:rsid w:val="0005091D"/>
    <w:rsid w:val="000509C6"/>
    <w:rsid w:val="000509CE"/>
    <w:rsid w:val="00050A11"/>
    <w:rsid w:val="00050A42"/>
    <w:rsid w:val="00050A63"/>
    <w:rsid w:val="00050A7C"/>
    <w:rsid w:val="00050A83"/>
    <w:rsid w:val="00050AEE"/>
    <w:rsid w:val="00050B10"/>
    <w:rsid w:val="00050B19"/>
    <w:rsid w:val="00050B2E"/>
    <w:rsid w:val="00050B56"/>
    <w:rsid w:val="00050B61"/>
    <w:rsid w:val="00050BE0"/>
    <w:rsid w:val="00050BFB"/>
    <w:rsid w:val="00050C11"/>
    <w:rsid w:val="00050C61"/>
    <w:rsid w:val="00050C75"/>
    <w:rsid w:val="00050CA8"/>
    <w:rsid w:val="00050D34"/>
    <w:rsid w:val="00050D48"/>
    <w:rsid w:val="00050D53"/>
    <w:rsid w:val="00050D9A"/>
    <w:rsid w:val="00050DB3"/>
    <w:rsid w:val="00050DBB"/>
    <w:rsid w:val="00050DD0"/>
    <w:rsid w:val="00050DE3"/>
    <w:rsid w:val="00050E10"/>
    <w:rsid w:val="00050E12"/>
    <w:rsid w:val="00050E1D"/>
    <w:rsid w:val="00050E64"/>
    <w:rsid w:val="00050EF6"/>
    <w:rsid w:val="00050F56"/>
    <w:rsid w:val="00050F93"/>
    <w:rsid w:val="00050F96"/>
    <w:rsid w:val="00050FA3"/>
    <w:rsid w:val="00050FAD"/>
    <w:rsid w:val="00050FD1"/>
    <w:rsid w:val="00050FEF"/>
    <w:rsid w:val="00051018"/>
    <w:rsid w:val="0005104D"/>
    <w:rsid w:val="00051061"/>
    <w:rsid w:val="0005108C"/>
    <w:rsid w:val="0005108F"/>
    <w:rsid w:val="00051117"/>
    <w:rsid w:val="0005114D"/>
    <w:rsid w:val="00051157"/>
    <w:rsid w:val="0005115E"/>
    <w:rsid w:val="00051174"/>
    <w:rsid w:val="000511E9"/>
    <w:rsid w:val="000511F8"/>
    <w:rsid w:val="00051200"/>
    <w:rsid w:val="00051211"/>
    <w:rsid w:val="00051232"/>
    <w:rsid w:val="00051258"/>
    <w:rsid w:val="00051275"/>
    <w:rsid w:val="000512A9"/>
    <w:rsid w:val="000512AE"/>
    <w:rsid w:val="000512D4"/>
    <w:rsid w:val="00051344"/>
    <w:rsid w:val="00051357"/>
    <w:rsid w:val="0005137A"/>
    <w:rsid w:val="0005137B"/>
    <w:rsid w:val="000513AE"/>
    <w:rsid w:val="000513C0"/>
    <w:rsid w:val="000513C6"/>
    <w:rsid w:val="00051435"/>
    <w:rsid w:val="00051455"/>
    <w:rsid w:val="000514B2"/>
    <w:rsid w:val="000514CC"/>
    <w:rsid w:val="000514F1"/>
    <w:rsid w:val="000514F7"/>
    <w:rsid w:val="00051506"/>
    <w:rsid w:val="00051507"/>
    <w:rsid w:val="0005150E"/>
    <w:rsid w:val="00051518"/>
    <w:rsid w:val="00051549"/>
    <w:rsid w:val="00051568"/>
    <w:rsid w:val="000515BA"/>
    <w:rsid w:val="00051627"/>
    <w:rsid w:val="0005163D"/>
    <w:rsid w:val="0005163F"/>
    <w:rsid w:val="00051649"/>
    <w:rsid w:val="00051655"/>
    <w:rsid w:val="00051664"/>
    <w:rsid w:val="0005167F"/>
    <w:rsid w:val="00051692"/>
    <w:rsid w:val="0005172D"/>
    <w:rsid w:val="00051773"/>
    <w:rsid w:val="0005179B"/>
    <w:rsid w:val="000517A6"/>
    <w:rsid w:val="000517BB"/>
    <w:rsid w:val="000517E9"/>
    <w:rsid w:val="000517F6"/>
    <w:rsid w:val="00051875"/>
    <w:rsid w:val="0005187F"/>
    <w:rsid w:val="000518B3"/>
    <w:rsid w:val="000518E6"/>
    <w:rsid w:val="000518E8"/>
    <w:rsid w:val="00051916"/>
    <w:rsid w:val="00051971"/>
    <w:rsid w:val="00051990"/>
    <w:rsid w:val="000519D1"/>
    <w:rsid w:val="00051A04"/>
    <w:rsid w:val="00051A1B"/>
    <w:rsid w:val="00051A49"/>
    <w:rsid w:val="00051AB8"/>
    <w:rsid w:val="00051ABE"/>
    <w:rsid w:val="00051AF3"/>
    <w:rsid w:val="00051B4E"/>
    <w:rsid w:val="00051B51"/>
    <w:rsid w:val="00051BC2"/>
    <w:rsid w:val="00051BC6"/>
    <w:rsid w:val="00051BE4"/>
    <w:rsid w:val="00051BFD"/>
    <w:rsid w:val="00051C40"/>
    <w:rsid w:val="00051C48"/>
    <w:rsid w:val="00051C76"/>
    <w:rsid w:val="00051C77"/>
    <w:rsid w:val="00051C79"/>
    <w:rsid w:val="00051CBC"/>
    <w:rsid w:val="00051CCF"/>
    <w:rsid w:val="00051D02"/>
    <w:rsid w:val="00051D0B"/>
    <w:rsid w:val="00051D0E"/>
    <w:rsid w:val="00051D1A"/>
    <w:rsid w:val="00051D6A"/>
    <w:rsid w:val="00051D81"/>
    <w:rsid w:val="00051D89"/>
    <w:rsid w:val="00051DF6"/>
    <w:rsid w:val="00051E2D"/>
    <w:rsid w:val="00051E59"/>
    <w:rsid w:val="00051E69"/>
    <w:rsid w:val="00051EAC"/>
    <w:rsid w:val="00051EE0"/>
    <w:rsid w:val="00051EE7"/>
    <w:rsid w:val="00051F04"/>
    <w:rsid w:val="00051F33"/>
    <w:rsid w:val="00051F9F"/>
    <w:rsid w:val="00051FD6"/>
    <w:rsid w:val="00052027"/>
    <w:rsid w:val="00052030"/>
    <w:rsid w:val="0005206E"/>
    <w:rsid w:val="0005208B"/>
    <w:rsid w:val="0005208E"/>
    <w:rsid w:val="000520CC"/>
    <w:rsid w:val="000520E6"/>
    <w:rsid w:val="000520EB"/>
    <w:rsid w:val="000520F9"/>
    <w:rsid w:val="000520FA"/>
    <w:rsid w:val="00052112"/>
    <w:rsid w:val="00052117"/>
    <w:rsid w:val="00052131"/>
    <w:rsid w:val="0005214A"/>
    <w:rsid w:val="00052162"/>
    <w:rsid w:val="00052191"/>
    <w:rsid w:val="000521BC"/>
    <w:rsid w:val="00052238"/>
    <w:rsid w:val="00052247"/>
    <w:rsid w:val="000522B6"/>
    <w:rsid w:val="000522BA"/>
    <w:rsid w:val="0005231D"/>
    <w:rsid w:val="00052337"/>
    <w:rsid w:val="0005237B"/>
    <w:rsid w:val="0005237F"/>
    <w:rsid w:val="000523D8"/>
    <w:rsid w:val="00052404"/>
    <w:rsid w:val="0005240D"/>
    <w:rsid w:val="0005241A"/>
    <w:rsid w:val="00052423"/>
    <w:rsid w:val="0005242B"/>
    <w:rsid w:val="00052471"/>
    <w:rsid w:val="00052498"/>
    <w:rsid w:val="000524D5"/>
    <w:rsid w:val="000524F4"/>
    <w:rsid w:val="000524FA"/>
    <w:rsid w:val="00052526"/>
    <w:rsid w:val="0005252E"/>
    <w:rsid w:val="00052550"/>
    <w:rsid w:val="000525B4"/>
    <w:rsid w:val="000525CA"/>
    <w:rsid w:val="000525ED"/>
    <w:rsid w:val="0005264F"/>
    <w:rsid w:val="0005267C"/>
    <w:rsid w:val="000526BD"/>
    <w:rsid w:val="0005272B"/>
    <w:rsid w:val="00052732"/>
    <w:rsid w:val="0005278A"/>
    <w:rsid w:val="000527BE"/>
    <w:rsid w:val="000527CC"/>
    <w:rsid w:val="00052830"/>
    <w:rsid w:val="00052850"/>
    <w:rsid w:val="00052860"/>
    <w:rsid w:val="0005287D"/>
    <w:rsid w:val="00052885"/>
    <w:rsid w:val="000528EA"/>
    <w:rsid w:val="00052910"/>
    <w:rsid w:val="00052947"/>
    <w:rsid w:val="000529E5"/>
    <w:rsid w:val="00052A00"/>
    <w:rsid w:val="00052A1D"/>
    <w:rsid w:val="00052A24"/>
    <w:rsid w:val="00052A32"/>
    <w:rsid w:val="00052A47"/>
    <w:rsid w:val="00052A6D"/>
    <w:rsid w:val="00052A7A"/>
    <w:rsid w:val="00052AC6"/>
    <w:rsid w:val="00052ACD"/>
    <w:rsid w:val="00052ADA"/>
    <w:rsid w:val="00052B17"/>
    <w:rsid w:val="00052B2C"/>
    <w:rsid w:val="00052B71"/>
    <w:rsid w:val="00052B8D"/>
    <w:rsid w:val="00052BAE"/>
    <w:rsid w:val="00052BBE"/>
    <w:rsid w:val="00052C63"/>
    <w:rsid w:val="00052CAC"/>
    <w:rsid w:val="00052D54"/>
    <w:rsid w:val="00052D63"/>
    <w:rsid w:val="00052D8E"/>
    <w:rsid w:val="00052DA0"/>
    <w:rsid w:val="00052DCA"/>
    <w:rsid w:val="00052DEA"/>
    <w:rsid w:val="00052DED"/>
    <w:rsid w:val="00052DF5"/>
    <w:rsid w:val="00052E1C"/>
    <w:rsid w:val="00052E1F"/>
    <w:rsid w:val="00052E2F"/>
    <w:rsid w:val="00052E5E"/>
    <w:rsid w:val="00052E6B"/>
    <w:rsid w:val="00052E78"/>
    <w:rsid w:val="00052EC7"/>
    <w:rsid w:val="00052EE0"/>
    <w:rsid w:val="00052EE2"/>
    <w:rsid w:val="00052F1D"/>
    <w:rsid w:val="00052F30"/>
    <w:rsid w:val="00052F3E"/>
    <w:rsid w:val="00052F4B"/>
    <w:rsid w:val="00052F6C"/>
    <w:rsid w:val="00052F83"/>
    <w:rsid w:val="00052FDB"/>
    <w:rsid w:val="00053012"/>
    <w:rsid w:val="00053034"/>
    <w:rsid w:val="00053081"/>
    <w:rsid w:val="00053131"/>
    <w:rsid w:val="00053146"/>
    <w:rsid w:val="0005314C"/>
    <w:rsid w:val="00053185"/>
    <w:rsid w:val="000531AA"/>
    <w:rsid w:val="000531B0"/>
    <w:rsid w:val="000531C2"/>
    <w:rsid w:val="000531D1"/>
    <w:rsid w:val="000531E0"/>
    <w:rsid w:val="0005321E"/>
    <w:rsid w:val="0005329A"/>
    <w:rsid w:val="000532B8"/>
    <w:rsid w:val="000532BB"/>
    <w:rsid w:val="000532DA"/>
    <w:rsid w:val="000532E8"/>
    <w:rsid w:val="000532F1"/>
    <w:rsid w:val="00053306"/>
    <w:rsid w:val="0005330C"/>
    <w:rsid w:val="00053315"/>
    <w:rsid w:val="0005332D"/>
    <w:rsid w:val="0005339A"/>
    <w:rsid w:val="000533A7"/>
    <w:rsid w:val="000533E1"/>
    <w:rsid w:val="00053403"/>
    <w:rsid w:val="0005340F"/>
    <w:rsid w:val="00053448"/>
    <w:rsid w:val="0005345E"/>
    <w:rsid w:val="00053483"/>
    <w:rsid w:val="0005349A"/>
    <w:rsid w:val="00053515"/>
    <w:rsid w:val="0005355A"/>
    <w:rsid w:val="000535A5"/>
    <w:rsid w:val="000535EA"/>
    <w:rsid w:val="000535F1"/>
    <w:rsid w:val="0005365D"/>
    <w:rsid w:val="00053663"/>
    <w:rsid w:val="0005366D"/>
    <w:rsid w:val="00053678"/>
    <w:rsid w:val="0005367C"/>
    <w:rsid w:val="00053689"/>
    <w:rsid w:val="000536A9"/>
    <w:rsid w:val="000536D8"/>
    <w:rsid w:val="000536E6"/>
    <w:rsid w:val="000536F2"/>
    <w:rsid w:val="000536FB"/>
    <w:rsid w:val="00053704"/>
    <w:rsid w:val="00053706"/>
    <w:rsid w:val="0005371B"/>
    <w:rsid w:val="0005377C"/>
    <w:rsid w:val="0005377E"/>
    <w:rsid w:val="00053795"/>
    <w:rsid w:val="000537A0"/>
    <w:rsid w:val="000537B7"/>
    <w:rsid w:val="00053827"/>
    <w:rsid w:val="00053852"/>
    <w:rsid w:val="00053879"/>
    <w:rsid w:val="000538A6"/>
    <w:rsid w:val="000538C0"/>
    <w:rsid w:val="000538D4"/>
    <w:rsid w:val="000538F0"/>
    <w:rsid w:val="0005390E"/>
    <w:rsid w:val="0005393F"/>
    <w:rsid w:val="00053960"/>
    <w:rsid w:val="00053974"/>
    <w:rsid w:val="0005397F"/>
    <w:rsid w:val="0005399D"/>
    <w:rsid w:val="000539AC"/>
    <w:rsid w:val="000539BC"/>
    <w:rsid w:val="000539BD"/>
    <w:rsid w:val="000539CE"/>
    <w:rsid w:val="000539D6"/>
    <w:rsid w:val="000539DC"/>
    <w:rsid w:val="00053A03"/>
    <w:rsid w:val="00053A17"/>
    <w:rsid w:val="00053A30"/>
    <w:rsid w:val="00053A34"/>
    <w:rsid w:val="00053A68"/>
    <w:rsid w:val="00053A75"/>
    <w:rsid w:val="00053A7A"/>
    <w:rsid w:val="00053AC7"/>
    <w:rsid w:val="00053AD8"/>
    <w:rsid w:val="00053B05"/>
    <w:rsid w:val="00053B5B"/>
    <w:rsid w:val="00053B68"/>
    <w:rsid w:val="00053B69"/>
    <w:rsid w:val="00053B80"/>
    <w:rsid w:val="00053B99"/>
    <w:rsid w:val="00053BA6"/>
    <w:rsid w:val="00053BC1"/>
    <w:rsid w:val="00053BD6"/>
    <w:rsid w:val="00053BE7"/>
    <w:rsid w:val="00053BEB"/>
    <w:rsid w:val="00053C02"/>
    <w:rsid w:val="00053C0C"/>
    <w:rsid w:val="00053C3B"/>
    <w:rsid w:val="00053C3F"/>
    <w:rsid w:val="00053C4A"/>
    <w:rsid w:val="00053C61"/>
    <w:rsid w:val="00053C7E"/>
    <w:rsid w:val="00053C9B"/>
    <w:rsid w:val="00053CA2"/>
    <w:rsid w:val="00053CC4"/>
    <w:rsid w:val="00053CD7"/>
    <w:rsid w:val="00053CE6"/>
    <w:rsid w:val="00053CFC"/>
    <w:rsid w:val="00053D01"/>
    <w:rsid w:val="00053D0B"/>
    <w:rsid w:val="00053D29"/>
    <w:rsid w:val="00053D75"/>
    <w:rsid w:val="00053D84"/>
    <w:rsid w:val="00053DF3"/>
    <w:rsid w:val="00053E22"/>
    <w:rsid w:val="00053E63"/>
    <w:rsid w:val="00053E68"/>
    <w:rsid w:val="00053EA5"/>
    <w:rsid w:val="00053EE2"/>
    <w:rsid w:val="00053EE8"/>
    <w:rsid w:val="00053F1C"/>
    <w:rsid w:val="00053F6B"/>
    <w:rsid w:val="00053FA9"/>
    <w:rsid w:val="00053FB6"/>
    <w:rsid w:val="00053FBD"/>
    <w:rsid w:val="00053FEA"/>
    <w:rsid w:val="00053FF0"/>
    <w:rsid w:val="0005407B"/>
    <w:rsid w:val="0005408F"/>
    <w:rsid w:val="00054100"/>
    <w:rsid w:val="0005415A"/>
    <w:rsid w:val="00054183"/>
    <w:rsid w:val="000541D7"/>
    <w:rsid w:val="000541E9"/>
    <w:rsid w:val="000541F1"/>
    <w:rsid w:val="00054245"/>
    <w:rsid w:val="0005427D"/>
    <w:rsid w:val="000542A2"/>
    <w:rsid w:val="000542BF"/>
    <w:rsid w:val="000542C0"/>
    <w:rsid w:val="000542D8"/>
    <w:rsid w:val="0005433C"/>
    <w:rsid w:val="0005437F"/>
    <w:rsid w:val="00054417"/>
    <w:rsid w:val="0005443B"/>
    <w:rsid w:val="00054443"/>
    <w:rsid w:val="0005447D"/>
    <w:rsid w:val="000544DC"/>
    <w:rsid w:val="000544E5"/>
    <w:rsid w:val="000544EF"/>
    <w:rsid w:val="0005453C"/>
    <w:rsid w:val="00054556"/>
    <w:rsid w:val="0005455F"/>
    <w:rsid w:val="000545A9"/>
    <w:rsid w:val="000545EC"/>
    <w:rsid w:val="000545FD"/>
    <w:rsid w:val="00054613"/>
    <w:rsid w:val="00054658"/>
    <w:rsid w:val="00054665"/>
    <w:rsid w:val="00054681"/>
    <w:rsid w:val="0005473B"/>
    <w:rsid w:val="00054772"/>
    <w:rsid w:val="0005479F"/>
    <w:rsid w:val="000547CC"/>
    <w:rsid w:val="000547D5"/>
    <w:rsid w:val="0005480B"/>
    <w:rsid w:val="00054838"/>
    <w:rsid w:val="000548BE"/>
    <w:rsid w:val="000548C0"/>
    <w:rsid w:val="000548F6"/>
    <w:rsid w:val="000548FE"/>
    <w:rsid w:val="00054900"/>
    <w:rsid w:val="00054948"/>
    <w:rsid w:val="00054975"/>
    <w:rsid w:val="000549B2"/>
    <w:rsid w:val="000549B4"/>
    <w:rsid w:val="000549C8"/>
    <w:rsid w:val="00054A40"/>
    <w:rsid w:val="00054A57"/>
    <w:rsid w:val="00054A6D"/>
    <w:rsid w:val="00054A80"/>
    <w:rsid w:val="00054A9C"/>
    <w:rsid w:val="00054AD3"/>
    <w:rsid w:val="00054AD4"/>
    <w:rsid w:val="00054AE3"/>
    <w:rsid w:val="00054B85"/>
    <w:rsid w:val="00054B88"/>
    <w:rsid w:val="00054B9C"/>
    <w:rsid w:val="00054BBA"/>
    <w:rsid w:val="00054C0C"/>
    <w:rsid w:val="00054C3E"/>
    <w:rsid w:val="00054C97"/>
    <w:rsid w:val="00054D06"/>
    <w:rsid w:val="00054D13"/>
    <w:rsid w:val="00054D51"/>
    <w:rsid w:val="00054D71"/>
    <w:rsid w:val="00054DAB"/>
    <w:rsid w:val="00054E0A"/>
    <w:rsid w:val="00054E52"/>
    <w:rsid w:val="00054E57"/>
    <w:rsid w:val="00054E61"/>
    <w:rsid w:val="00054E7F"/>
    <w:rsid w:val="00054EC7"/>
    <w:rsid w:val="00054EDB"/>
    <w:rsid w:val="00054EF4"/>
    <w:rsid w:val="00054EFE"/>
    <w:rsid w:val="00054F09"/>
    <w:rsid w:val="00054F72"/>
    <w:rsid w:val="00054F77"/>
    <w:rsid w:val="00054F86"/>
    <w:rsid w:val="00054F9D"/>
    <w:rsid w:val="00054FA6"/>
    <w:rsid w:val="00054FE6"/>
    <w:rsid w:val="00055003"/>
    <w:rsid w:val="0005500A"/>
    <w:rsid w:val="00055043"/>
    <w:rsid w:val="00055065"/>
    <w:rsid w:val="00055070"/>
    <w:rsid w:val="00055093"/>
    <w:rsid w:val="000550A4"/>
    <w:rsid w:val="000550C8"/>
    <w:rsid w:val="000550DE"/>
    <w:rsid w:val="000550E1"/>
    <w:rsid w:val="000550E8"/>
    <w:rsid w:val="00055138"/>
    <w:rsid w:val="00055144"/>
    <w:rsid w:val="0005514A"/>
    <w:rsid w:val="00055181"/>
    <w:rsid w:val="000551AE"/>
    <w:rsid w:val="000551C5"/>
    <w:rsid w:val="0005521C"/>
    <w:rsid w:val="0005522B"/>
    <w:rsid w:val="00055237"/>
    <w:rsid w:val="000552DF"/>
    <w:rsid w:val="000552FE"/>
    <w:rsid w:val="0005531F"/>
    <w:rsid w:val="00055326"/>
    <w:rsid w:val="0005532A"/>
    <w:rsid w:val="00055336"/>
    <w:rsid w:val="00055375"/>
    <w:rsid w:val="0005538F"/>
    <w:rsid w:val="0005539B"/>
    <w:rsid w:val="000553FB"/>
    <w:rsid w:val="00055423"/>
    <w:rsid w:val="00055463"/>
    <w:rsid w:val="00055473"/>
    <w:rsid w:val="00055486"/>
    <w:rsid w:val="000554DB"/>
    <w:rsid w:val="0005560C"/>
    <w:rsid w:val="0005561E"/>
    <w:rsid w:val="00055674"/>
    <w:rsid w:val="00055699"/>
    <w:rsid w:val="000556CC"/>
    <w:rsid w:val="000556E1"/>
    <w:rsid w:val="00055739"/>
    <w:rsid w:val="0005575C"/>
    <w:rsid w:val="00055773"/>
    <w:rsid w:val="0005578C"/>
    <w:rsid w:val="000557E4"/>
    <w:rsid w:val="0005582C"/>
    <w:rsid w:val="00055839"/>
    <w:rsid w:val="00055884"/>
    <w:rsid w:val="0005588F"/>
    <w:rsid w:val="000558A0"/>
    <w:rsid w:val="000558C2"/>
    <w:rsid w:val="000558D5"/>
    <w:rsid w:val="000558E0"/>
    <w:rsid w:val="000558EC"/>
    <w:rsid w:val="0005592C"/>
    <w:rsid w:val="0005595C"/>
    <w:rsid w:val="000559CA"/>
    <w:rsid w:val="00055A20"/>
    <w:rsid w:val="00055A3F"/>
    <w:rsid w:val="00055A7D"/>
    <w:rsid w:val="00055A80"/>
    <w:rsid w:val="00055AF5"/>
    <w:rsid w:val="00055B04"/>
    <w:rsid w:val="00055B11"/>
    <w:rsid w:val="00055B37"/>
    <w:rsid w:val="00055B38"/>
    <w:rsid w:val="00055B3A"/>
    <w:rsid w:val="00055BAA"/>
    <w:rsid w:val="00055BDD"/>
    <w:rsid w:val="00055C25"/>
    <w:rsid w:val="00055C5C"/>
    <w:rsid w:val="00055C85"/>
    <w:rsid w:val="00055CB8"/>
    <w:rsid w:val="00055CE1"/>
    <w:rsid w:val="00055CEC"/>
    <w:rsid w:val="00055D29"/>
    <w:rsid w:val="00055D4A"/>
    <w:rsid w:val="00055D8E"/>
    <w:rsid w:val="00055E31"/>
    <w:rsid w:val="00055E40"/>
    <w:rsid w:val="00055E5B"/>
    <w:rsid w:val="00055E63"/>
    <w:rsid w:val="00055E71"/>
    <w:rsid w:val="00055E8F"/>
    <w:rsid w:val="00055E90"/>
    <w:rsid w:val="00055EC7"/>
    <w:rsid w:val="00055EDA"/>
    <w:rsid w:val="00055EDC"/>
    <w:rsid w:val="00055F26"/>
    <w:rsid w:val="00055F67"/>
    <w:rsid w:val="00055F91"/>
    <w:rsid w:val="00055F96"/>
    <w:rsid w:val="00056013"/>
    <w:rsid w:val="00056049"/>
    <w:rsid w:val="0005607E"/>
    <w:rsid w:val="00056087"/>
    <w:rsid w:val="000560CD"/>
    <w:rsid w:val="000560F2"/>
    <w:rsid w:val="000560FD"/>
    <w:rsid w:val="0005612B"/>
    <w:rsid w:val="00056139"/>
    <w:rsid w:val="00056158"/>
    <w:rsid w:val="00056184"/>
    <w:rsid w:val="000561CF"/>
    <w:rsid w:val="000561FB"/>
    <w:rsid w:val="00056207"/>
    <w:rsid w:val="0005621D"/>
    <w:rsid w:val="00056250"/>
    <w:rsid w:val="00056262"/>
    <w:rsid w:val="00056268"/>
    <w:rsid w:val="00056290"/>
    <w:rsid w:val="000562A4"/>
    <w:rsid w:val="000562C7"/>
    <w:rsid w:val="000562D0"/>
    <w:rsid w:val="000562DD"/>
    <w:rsid w:val="000562DE"/>
    <w:rsid w:val="000562E2"/>
    <w:rsid w:val="0005636C"/>
    <w:rsid w:val="00056394"/>
    <w:rsid w:val="000563A8"/>
    <w:rsid w:val="000563AC"/>
    <w:rsid w:val="000563BF"/>
    <w:rsid w:val="000563E0"/>
    <w:rsid w:val="000563FA"/>
    <w:rsid w:val="000563FB"/>
    <w:rsid w:val="00056414"/>
    <w:rsid w:val="0005643E"/>
    <w:rsid w:val="000564A3"/>
    <w:rsid w:val="000564C4"/>
    <w:rsid w:val="000564E5"/>
    <w:rsid w:val="00056519"/>
    <w:rsid w:val="00056526"/>
    <w:rsid w:val="0005653B"/>
    <w:rsid w:val="00056548"/>
    <w:rsid w:val="00056561"/>
    <w:rsid w:val="00056565"/>
    <w:rsid w:val="00056571"/>
    <w:rsid w:val="00056578"/>
    <w:rsid w:val="000565BB"/>
    <w:rsid w:val="0005662C"/>
    <w:rsid w:val="00056645"/>
    <w:rsid w:val="00056657"/>
    <w:rsid w:val="0005666E"/>
    <w:rsid w:val="00056676"/>
    <w:rsid w:val="00056686"/>
    <w:rsid w:val="000566B7"/>
    <w:rsid w:val="000566F2"/>
    <w:rsid w:val="000566FB"/>
    <w:rsid w:val="00056714"/>
    <w:rsid w:val="0005673D"/>
    <w:rsid w:val="000567EA"/>
    <w:rsid w:val="0005681B"/>
    <w:rsid w:val="0005684B"/>
    <w:rsid w:val="00056876"/>
    <w:rsid w:val="00056878"/>
    <w:rsid w:val="000568D2"/>
    <w:rsid w:val="000568D3"/>
    <w:rsid w:val="000568E6"/>
    <w:rsid w:val="000568ED"/>
    <w:rsid w:val="00056951"/>
    <w:rsid w:val="0005695D"/>
    <w:rsid w:val="0005695E"/>
    <w:rsid w:val="0005698F"/>
    <w:rsid w:val="00056993"/>
    <w:rsid w:val="0005699C"/>
    <w:rsid w:val="0005699E"/>
    <w:rsid w:val="000569A6"/>
    <w:rsid w:val="000569AE"/>
    <w:rsid w:val="000569B1"/>
    <w:rsid w:val="000569D6"/>
    <w:rsid w:val="00056A59"/>
    <w:rsid w:val="00056A5D"/>
    <w:rsid w:val="00056A66"/>
    <w:rsid w:val="00056A79"/>
    <w:rsid w:val="00056AB2"/>
    <w:rsid w:val="00056ABB"/>
    <w:rsid w:val="00056AE8"/>
    <w:rsid w:val="00056B4A"/>
    <w:rsid w:val="00056B88"/>
    <w:rsid w:val="00056B98"/>
    <w:rsid w:val="00056C04"/>
    <w:rsid w:val="00056C11"/>
    <w:rsid w:val="00056C51"/>
    <w:rsid w:val="00056C52"/>
    <w:rsid w:val="00056C68"/>
    <w:rsid w:val="00056C8E"/>
    <w:rsid w:val="00056CCD"/>
    <w:rsid w:val="00056CCF"/>
    <w:rsid w:val="00056CF1"/>
    <w:rsid w:val="00056DAA"/>
    <w:rsid w:val="00056DB7"/>
    <w:rsid w:val="00056DBB"/>
    <w:rsid w:val="00056DDC"/>
    <w:rsid w:val="00056E5A"/>
    <w:rsid w:val="00056E5B"/>
    <w:rsid w:val="00056E62"/>
    <w:rsid w:val="00056EA0"/>
    <w:rsid w:val="00056EEC"/>
    <w:rsid w:val="00056F0B"/>
    <w:rsid w:val="00056F18"/>
    <w:rsid w:val="00056F22"/>
    <w:rsid w:val="00056F6B"/>
    <w:rsid w:val="00056F7D"/>
    <w:rsid w:val="00056F83"/>
    <w:rsid w:val="00056FA0"/>
    <w:rsid w:val="00056FB2"/>
    <w:rsid w:val="00056FD6"/>
    <w:rsid w:val="00056FF2"/>
    <w:rsid w:val="00056FFB"/>
    <w:rsid w:val="00057053"/>
    <w:rsid w:val="0005708C"/>
    <w:rsid w:val="000570A9"/>
    <w:rsid w:val="000570DE"/>
    <w:rsid w:val="00057109"/>
    <w:rsid w:val="00057119"/>
    <w:rsid w:val="00057120"/>
    <w:rsid w:val="00057146"/>
    <w:rsid w:val="00057197"/>
    <w:rsid w:val="000571F3"/>
    <w:rsid w:val="0005725A"/>
    <w:rsid w:val="0005729F"/>
    <w:rsid w:val="00057359"/>
    <w:rsid w:val="00057363"/>
    <w:rsid w:val="0005737D"/>
    <w:rsid w:val="0005738F"/>
    <w:rsid w:val="000573D3"/>
    <w:rsid w:val="0005741B"/>
    <w:rsid w:val="00057449"/>
    <w:rsid w:val="0005744E"/>
    <w:rsid w:val="000574D6"/>
    <w:rsid w:val="000574EC"/>
    <w:rsid w:val="00057525"/>
    <w:rsid w:val="00057543"/>
    <w:rsid w:val="00057547"/>
    <w:rsid w:val="00057555"/>
    <w:rsid w:val="00057561"/>
    <w:rsid w:val="000575AC"/>
    <w:rsid w:val="000575FB"/>
    <w:rsid w:val="00057661"/>
    <w:rsid w:val="0005766C"/>
    <w:rsid w:val="00057679"/>
    <w:rsid w:val="00057683"/>
    <w:rsid w:val="000576A2"/>
    <w:rsid w:val="000576F3"/>
    <w:rsid w:val="000576FA"/>
    <w:rsid w:val="00057708"/>
    <w:rsid w:val="00057713"/>
    <w:rsid w:val="00057746"/>
    <w:rsid w:val="00057772"/>
    <w:rsid w:val="000577BA"/>
    <w:rsid w:val="00057828"/>
    <w:rsid w:val="00057851"/>
    <w:rsid w:val="00057861"/>
    <w:rsid w:val="0005787E"/>
    <w:rsid w:val="000578CA"/>
    <w:rsid w:val="000578F3"/>
    <w:rsid w:val="00057925"/>
    <w:rsid w:val="0005792A"/>
    <w:rsid w:val="0005792D"/>
    <w:rsid w:val="00057944"/>
    <w:rsid w:val="000579B4"/>
    <w:rsid w:val="000579B6"/>
    <w:rsid w:val="000579BA"/>
    <w:rsid w:val="000579EC"/>
    <w:rsid w:val="00057A5C"/>
    <w:rsid w:val="00057AAD"/>
    <w:rsid w:val="00057ACC"/>
    <w:rsid w:val="00057AFE"/>
    <w:rsid w:val="00057B04"/>
    <w:rsid w:val="00057B0D"/>
    <w:rsid w:val="00057B34"/>
    <w:rsid w:val="00057B43"/>
    <w:rsid w:val="00057B54"/>
    <w:rsid w:val="00057B97"/>
    <w:rsid w:val="00057BD3"/>
    <w:rsid w:val="00057BD7"/>
    <w:rsid w:val="00057BD8"/>
    <w:rsid w:val="00057BF1"/>
    <w:rsid w:val="00057C80"/>
    <w:rsid w:val="00057CB6"/>
    <w:rsid w:val="00057D23"/>
    <w:rsid w:val="00057D56"/>
    <w:rsid w:val="00057D6D"/>
    <w:rsid w:val="00057D76"/>
    <w:rsid w:val="00057DAC"/>
    <w:rsid w:val="00057E07"/>
    <w:rsid w:val="00057E15"/>
    <w:rsid w:val="00057E23"/>
    <w:rsid w:val="00057E4C"/>
    <w:rsid w:val="00057E8E"/>
    <w:rsid w:val="00057F6F"/>
    <w:rsid w:val="00057FA7"/>
    <w:rsid w:val="00057FAD"/>
    <w:rsid w:val="00060011"/>
    <w:rsid w:val="00060023"/>
    <w:rsid w:val="0006006E"/>
    <w:rsid w:val="00060080"/>
    <w:rsid w:val="00060084"/>
    <w:rsid w:val="0006008B"/>
    <w:rsid w:val="00060098"/>
    <w:rsid w:val="00060175"/>
    <w:rsid w:val="00060187"/>
    <w:rsid w:val="000601C4"/>
    <w:rsid w:val="000601ED"/>
    <w:rsid w:val="00060228"/>
    <w:rsid w:val="000602D4"/>
    <w:rsid w:val="00060356"/>
    <w:rsid w:val="000603ED"/>
    <w:rsid w:val="00060416"/>
    <w:rsid w:val="0006047E"/>
    <w:rsid w:val="00060489"/>
    <w:rsid w:val="00060493"/>
    <w:rsid w:val="000604AD"/>
    <w:rsid w:val="00060534"/>
    <w:rsid w:val="00060541"/>
    <w:rsid w:val="0006055F"/>
    <w:rsid w:val="0006056E"/>
    <w:rsid w:val="0006057E"/>
    <w:rsid w:val="00060658"/>
    <w:rsid w:val="0006066F"/>
    <w:rsid w:val="0006067A"/>
    <w:rsid w:val="00060689"/>
    <w:rsid w:val="000606DF"/>
    <w:rsid w:val="00060738"/>
    <w:rsid w:val="00060752"/>
    <w:rsid w:val="0006076B"/>
    <w:rsid w:val="00060779"/>
    <w:rsid w:val="000607C4"/>
    <w:rsid w:val="00060873"/>
    <w:rsid w:val="0006087F"/>
    <w:rsid w:val="000608B6"/>
    <w:rsid w:val="000608C5"/>
    <w:rsid w:val="0006090B"/>
    <w:rsid w:val="0006091B"/>
    <w:rsid w:val="0006093C"/>
    <w:rsid w:val="00060944"/>
    <w:rsid w:val="00060976"/>
    <w:rsid w:val="00060978"/>
    <w:rsid w:val="00060979"/>
    <w:rsid w:val="000609D6"/>
    <w:rsid w:val="000609E2"/>
    <w:rsid w:val="00060A33"/>
    <w:rsid w:val="00060A3E"/>
    <w:rsid w:val="00060A3F"/>
    <w:rsid w:val="00060A5D"/>
    <w:rsid w:val="00060AC8"/>
    <w:rsid w:val="00060AFE"/>
    <w:rsid w:val="00060B06"/>
    <w:rsid w:val="00060B19"/>
    <w:rsid w:val="00060B2A"/>
    <w:rsid w:val="00060B53"/>
    <w:rsid w:val="00060B66"/>
    <w:rsid w:val="00060B7F"/>
    <w:rsid w:val="00060BB5"/>
    <w:rsid w:val="00060C11"/>
    <w:rsid w:val="00060C22"/>
    <w:rsid w:val="00060C34"/>
    <w:rsid w:val="00060CB1"/>
    <w:rsid w:val="00060CDC"/>
    <w:rsid w:val="00060D35"/>
    <w:rsid w:val="00060D4C"/>
    <w:rsid w:val="00060D59"/>
    <w:rsid w:val="00060D84"/>
    <w:rsid w:val="00060DC3"/>
    <w:rsid w:val="00060E0E"/>
    <w:rsid w:val="00060E46"/>
    <w:rsid w:val="00060EA3"/>
    <w:rsid w:val="00060EC8"/>
    <w:rsid w:val="00060ED1"/>
    <w:rsid w:val="00060F2D"/>
    <w:rsid w:val="00060F40"/>
    <w:rsid w:val="00060F42"/>
    <w:rsid w:val="00060F75"/>
    <w:rsid w:val="00060FBA"/>
    <w:rsid w:val="00061005"/>
    <w:rsid w:val="000610C4"/>
    <w:rsid w:val="000610C9"/>
    <w:rsid w:val="000610E2"/>
    <w:rsid w:val="00061127"/>
    <w:rsid w:val="000611D6"/>
    <w:rsid w:val="000611EC"/>
    <w:rsid w:val="000611EF"/>
    <w:rsid w:val="000611F1"/>
    <w:rsid w:val="00061207"/>
    <w:rsid w:val="0006125B"/>
    <w:rsid w:val="00061274"/>
    <w:rsid w:val="00061277"/>
    <w:rsid w:val="000612C2"/>
    <w:rsid w:val="000612E4"/>
    <w:rsid w:val="000612E5"/>
    <w:rsid w:val="00061309"/>
    <w:rsid w:val="00061359"/>
    <w:rsid w:val="00061386"/>
    <w:rsid w:val="00061388"/>
    <w:rsid w:val="0006138D"/>
    <w:rsid w:val="000613CD"/>
    <w:rsid w:val="000613D5"/>
    <w:rsid w:val="000613F7"/>
    <w:rsid w:val="00061422"/>
    <w:rsid w:val="00061437"/>
    <w:rsid w:val="00061495"/>
    <w:rsid w:val="0006149E"/>
    <w:rsid w:val="000614A0"/>
    <w:rsid w:val="000614D0"/>
    <w:rsid w:val="000614E1"/>
    <w:rsid w:val="00061502"/>
    <w:rsid w:val="00061527"/>
    <w:rsid w:val="00061555"/>
    <w:rsid w:val="00061578"/>
    <w:rsid w:val="0006159C"/>
    <w:rsid w:val="000615AB"/>
    <w:rsid w:val="000615DA"/>
    <w:rsid w:val="00061600"/>
    <w:rsid w:val="0006166F"/>
    <w:rsid w:val="0006169C"/>
    <w:rsid w:val="0006169E"/>
    <w:rsid w:val="000616C1"/>
    <w:rsid w:val="000616C5"/>
    <w:rsid w:val="000616FF"/>
    <w:rsid w:val="00061703"/>
    <w:rsid w:val="0006171A"/>
    <w:rsid w:val="00061720"/>
    <w:rsid w:val="0006172A"/>
    <w:rsid w:val="0006173C"/>
    <w:rsid w:val="000617FE"/>
    <w:rsid w:val="00061814"/>
    <w:rsid w:val="0006182D"/>
    <w:rsid w:val="0006183A"/>
    <w:rsid w:val="0006188F"/>
    <w:rsid w:val="000618AF"/>
    <w:rsid w:val="00061907"/>
    <w:rsid w:val="00061913"/>
    <w:rsid w:val="00061914"/>
    <w:rsid w:val="00061929"/>
    <w:rsid w:val="0006194C"/>
    <w:rsid w:val="00061970"/>
    <w:rsid w:val="00061976"/>
    <w:rsid w:val="00061983"/>
    <w:rsid w:val="00061992"/>
    <w:rsid w:val="000619E1"/>
    <w:rsid w:val="00061A08"/>
    <w:rsid w:val="00061A13"/>
    <w:rsid w:val="00061A27"/>
    <w:rsid w:val="00061A60"/>
    <w:rsid w:val="00061A82"/>
    <w:rsid w:val="00061A87"/>
    <w:rsid w:val="00061ABE"/>
    <w:rsid w:val="00061ACD"/>
    <w:rsid w:val="00061AE3"/>
    <w:rsid w:val="00061B0E"/>
    <w:rsid w:val="00061B1C"/>
    <w:rsid w:val="00061B2E"/>
    <w:rsid w:val="00061B34"/>
    <w:rsid w:val="00061B4F"/>
    <w:rsid w:val="00061B53"/>
    <w:rsid w:val="00061BA4"/>
    <w:rsid w:val="00061C88"/>
    <w:rsid w:val="00061CBB"/>
    <w:rsid w:val="00061CF1"/>
    <w:rsid w:val="00061D4C"/>
    <w:rsid w:val="00061D5B"/>
    <w:rsid w:val="00061D65"/>
    <w:rsid w:val="00061D67"/>
    <w:rsid w:val="00061DBC"/>
    <w:rsid w:val="00061DBD"/>
    <w:rsid w:val="00061DE1"/>
    <w:rsid w:val="00061DE4"/>
    <w:rsid w:val="00061E17"/>
    <w:rsid w:val="00061E1F"/>
    <w:rsid w:val="00061E4E"/>
    <w:rsid w:val="00061E67"/>
    <w:rsid w:val="00061E7A"/>
    <w:rsid w:val="00061E8B"/>
    <w:rsid w:val="00061EAD"/>
    <w:rsid w:val="00061EC5"/>
    <w:rsid w:val="00061ED6"/>
    <w:rsid w:val="00061ED9"/>
    <w:rsid w:val="00061F12"/>
    <w:rsid w:val="00061F1B"/>
    <w:rsid w:val="00061F4A"/>
    <w:rsid w:val="00061F9E"/>
    <w:rsid w:val="00061FBF"/>
    <w:rsid w:val="00061FF7"/>
    <w:rsid w:val="00062014"/>
    <w:rsid w:val="00062037"/>
    <w:rsid w:val="00062039"/>
    <w:rsid w:val="00062056"/>
    <w:rsid w:val="0006205C"/>
    <w:rsid w:val="00062060"/>
    <w:rsid w:val="00062078"/>
    <w:rsid w:val="0006209B"/>
    <w:rsid w:val="0006209F"/>
    <w:rsid w:val="000620A7"/>
    <w:rsid w:val="00062107"/>
    <w:rsid w:val="0006213C"/>
    <w:rsid w:val="0006213E"/>
    <w:rsid w:val="00062146"/>
    <w:rsid w:val="00062160"/>
    <w:rsid w:val="0006216E"/>
    <w:rsid w:val="00062177"/>
    <w:rsid w:val="0006217B"/>
    <w:rsid w:val="0006221B"/>
    <w:rsid w:val="0006226C"/>
    <w:rsid w:val="0006226E"/>
    <w:rsid w:val="00062274"/>
    <w:rsid w:val="000622B4"/>
    <w:rsid w:val="000622B6"/>
    <w:rsid w:val="00062325"/>
    <w:rsid w:val="00062332"/>
    <w:rsid w:val="0006234A"/>
    <w:rsid w:val="000623A4"/>
    <w:rsid w:val="000623AF"/>
    <w:rsid w:val="000623F8"/>
    <w:rsid w:val="0006242F"/>
    <w:rsid w:val="00062446"/>
    <w:rsid w:val="0006245B"/>
    <w:rsid w:val="00062463"/>
    <w:rsid w:val="00062465"/>
    <w:rsid w:val="0006248D"/>
    <w:rsid w:val="000624B6"/>
    <w:rsid w:val="000624BA"/>
    <w:rsid w:val="000624CB"/>
    <w:rsid w:val="000624E9"/>
    <w:rsid w:val="000624F2"/>
    <w:rsid w:val="00062502"/>
    <w:rsid w:val="00062504"/>
    <w:rsid w:val="00062512"/>
    <w:rsid w:val="00062529"/>
    <w:rsid w:val="0006252B"/>
    <w:rsid w:val="00062564"/>
    <w:rsid w:val="000625B4"/>
    <w:rsid w:val="000625BE"/>
    <w:rsid w:val="000625FE"/>
    <w:rsid w:val="00062603"/>
    <w:rsid w:val="00062606"/>
    <w:rsid w:val="00062678"/>
    <w:rsid w:val="000626A0"/>
    <w:rsid w:val="000626BD"/>
    <w:rsid w:val="000626C0"/>
    <w:rsid w:val="000626ED"/>
    <w:rsid w:val="000626F4"/>
    <w:rsid w:val="000626F8"/>
    <w:rsid w:val="00062706"/>
    <w:rsid w:val="00062774"/>
    <w:rsid w:val="0006278B"/>
    <w:rsid w:val="000627AF"/>
    <w:rsid w:val="000627CC"/>
    <w:rsid w:val="000627D3"/>
    <w:rsid w:val="000627E7"/>
    <w:rsid w:val="00062823"/>
    <w:rsid w:val="00062852"/>
    <w:rsid w:val="000628AC"/>
    <w:rsid w:val="000628D6"/>
    <w:rsid w:val="000628FA"/>
    <w:rsid w:val="00062914"/>
    <w:rsid w:val="00062919"/>
    <w:rsid w:val="0006292F"/>
    <w:rsid w:val="0006297D"/>
    <w:rsid w:val="00062983"/>
    <w:rsid w:val="00062985"/>
    <w:rsid w:val="0006298E"/>
    <w:rsid w:val="000629B8"/>
    <w:rsid w:val="00062A1C"/>
    <w:rsid w:val="00062A22"/>
    <w:rsid w:val="00062A32"/>
    <w:rsid w:val="00062A54"/>
    <w:rsid w:val="00062A59"/>
    <w:rsid w:val="00062A92"/>
    <w:rsid w:val="00062AE5"/>
    <w:rsid w:val="00062B43"/>
    <w:rsid w:val="00062B84"/>
    <w:rsid w:val="00062BC4"/>
    <w:rsid w:val="00062CFD"/>
    <w:rsid w:val="00062CFE"/>
    <w:rsid w:val="00062D02"/>
    <w:rsid w:val="00062D77"/>
    <w:rsid w:val="00062D8F"/>
    <w:rsid w:val="00062D98"/>
    <w:rsid w:val="00062DC1"/>
    <w:rsid w:val="00062DEF"/>
    <w:rsid w:val="00062DF2"/>
    <w:rsid w:val="00062E07"/>
    <w:rsid w:val="00062E26"/>
    <w:rsid w:val="00062E49"/>
    <w:rsid w:val="00062E4C"/>
    <w:rsid w:val="00062E71"/>
    <w:rsid w:val="00062EA6"/>
    <w:rsid w:val="00062EB1"/>
    <w:rsid w:val="00062F07"/>
    <w:rsid w:val="00062F0C"/>
    <w:rsid w:val="00062F12"/>
    <w:rsid w:val="00062F17"/>
    <w:rsid w:val="00062F1B"/>
    <w:rsid w:val="00062F83"/>
    <w:rsid w:val="00062FA3"/>
    <w:rsid w:val="00062FAF"/>
    <w:rsid w:val="00062FCF"/>
    <w:rsid w:val="00062FDC"/>
    <w:rsid w:val="00063029"/>
    <w:rsid w:val="00063032"/>
    <w:rsid w:val="00063040"/>
    <w:rsid w:val="00063044"/>
    <w:rsid w:val="00063093"/>
    <w:rsid w:val="000630B1"/>
    <w:rsid w:val="000630BA"/>
    <w:rsid w:val="000630C0"/>
    <w:rsid w:val="000630C5"/>
    <w:rsid w:val="000630E1"/>
    <w:rsid w:val="000630F1"/>
    <w:rsid w:val="00063100"/>
    <w:rsid w:val="0006314D"/>
    <w:rsid w:val="000631C2"/>
    <w:rsid w:val="000631CB"/>
    <w:rsid w:val="000631FB"/>
    <w:rsid w:val="00063231"/>
    <w:rsid w:val="00063237"/>
    <w:rsid w:val="00063252"/>
    <w:rsid w:val="000632A0"/>
    <w:rsid w:val="000632A8"/>
    <w:rsid w:val="000632D3"/>
    <w:rsid w:val="000632D6"/>
    <w:rsid w:val="0006332E"/>
    <w:rsid w:val="00063345"/>
    <w:rsid w:val="0006336B"/>
    <w:rsid w:val="0006336E"/>
    <w:rsid w:val="00063388"/>
    <w:rsid w:val="000633A3"/>
    <w:rsid w:val="000633A4"/>
    <w:rsid w:val="000633EA"/>
    <w:rsid w:val="00063400"/>
    <w:rsid w:val="0006341A"/>
    <w:rsid w:val="0006341F"/>
    <w:rsid w:val="0006342B"/>
    <w:rsid w:val="00063446"/>
    <w:rsid w:val="0006344B"/>
    <w:rsid w:val="0006345E"/>
    <w:rsid w:val="00063475"/>
    <w:rsid w:val="0006348A"/>
    <w:rsid w:val="00063496"/>
    <w:rsid w:val="000634A0"/>
    <w:rsid w:val="000634A6"/>
    <w:rsid w:val="000634B8"/>
    <w:rsid w:val="0006351F"/>
    <w:rsid w:val="0006352E"/>
    <w:rsid w:val="00063548"/>
    <w:rsid w:val="00063550"/>
    <w:rsid w:val="00063559"/>
    <w:rsid w:val="0006357B"/>
    <w:rsid w:val="000635B5"/>
    <w:rsid w:val="000635FF"/>
    <w:rsid w:val="0006369C"/>
    <w:rsid w:val="000636A1"/>
    <w:rsid w:val="000636A5"/>
    <w:rsid w:val="000636B6"/>
    <w:rsid w:val="000636BA"/>
    <w:rsid w:val="000636CC"/>
    <w:rsid w:val="000636F1"/>
    <w:rsid w:val="000636FD"/>
    <w:rsid w:val="00063744"/>
    <w:rsid w:val="0006375C"/>
    <w:rsid w:val="000637D8"/>
    <w:rsid w:val="000637E7"/>
    <w:rsid w:val="000637EC"/>
    <w:rsid w:val="000637F0"/>
    <w:rsid w:val="0006382A"/>
    <w:rsid w:val="00063842"/>
    <w:rsid w:val="000638B5"/>
    <w:rsid w:val="000638BE"/>
    <w:rsid w:val="000638ED"/>
    <w:rsid w:val="00063918"/>
    <w:rsid w:val="0006392B"/>
    <w:rsid w:val="00063931"/>
    <w:rsid w:val="00063932"/>
    <w:rsid w:val="00063938"/>
    <w:rsid w:val="0006399F"/>
    <w:rsid w:val="000639B1"/>
    <w:rsid w:val="000639BF"/>
    <w:rsid w:val="000639E4"/>
    <w:rsid w:val="00063A08"/>
    <w:rsid w:val="00063A6A"/>
    <w:rsid w:val="00063AF2"/>
    <w:rsid w:val="00063AFC"/>
    <w:rsid w:val="00063B0B"/>
    <w:rsid w:val="00063B31"/>
    <w:rsid w:val="00063B62"/>
    <w:rsid w:val="00063B71"/>
    <w:rsid w:val="00063B92"/>
    <w:rsid w:val="00063B96"/>
    <w:rsid w:val="00063C01"/>
    <w:rsid w:val="00063C55"/>
    <w:rsid w:val="00063C7F"/>
    <w:rsid w:val="00063C85"/>
    <w:rsid w:val="00063C95"/>
    <w:rsid w:val="00063CA5"/>
    <w:rsid w:val="00063CB2"/>
    <w:rsid w:val="00063CBE"/>
    <w:rsid w:val="00063D02"/>
    <w:rsid w:val="00063D2C"/>
    <w:rsid w:val="00063D5A"/>
    <w:rsid w:val="00063DF3"/>
    <w:rsid w:val="00063E3C"/>
    <w:rsid w:val="00063E69"/>
    <w:rsid w:val="00063E6B"/>
    <w:rsid w:val="00063F2F"/>
    <w:rsid w:val="00063F61"/>
    <w:rsid w:val="00063F64"/>
    <w:rsid w:val="00063F7C"/>
    <w:rsid w:val="00063F88"/>
    <w:rsid w:val="00063FF4"/>
    <w:rsid w:val="0006401E"/>
    <w:rsid w:val="000640C5"/>
    <w:rsid w:val="000640E1"/>
    <w:rsid w:val="00064113"/>
    <w:rsid w:val="00064123"/>
    <w:rsid w:val="00064173"/>
    <w:rsid w:val="000641CB"/>
    <w:rsid w:val="000641DE"/>
    <w:rsid w:val="000641E8"/>
    <w:rsid w:val="0006421A"/>
    <w:rsid w:val="00064272"/>
    <w:rsid w:val="00064281"/>
    <w:rsid w:val="00064290"/>
    <w:rsid w:val="00064296"/>
    <w:rsid w:val="000642AD"/>
    <w:rsid w:val="000642AF"/>
    <w:rsid w:val="0006430B"/>
    <w:rsid w:val="00064311"/>
    <w:rsid w:val="00064313"/>
    <w:rsid w:val="00064331"/>
    <w:rsid w:val="0006435B"/>
    <w:rsid w:val="00064362"/>
    <w:rsid w:val="00064388"/>
    <w:rsid w:val="0006438B"/>
    <w:rsid w:val="00064399"/>
    <w:rsid w:val="000643B8"/>
    <w:rsid w:val="000643BD"/>
    <w:rsid w:val="000643DE"/>
    <w:rsid w:val="000643DF"/>
    <w:rsid w:val="000643F2"/>
    <w:rsid w:val="00064501"/>
    <w:rsid w:val="0006454E"/>
    <w:rsid w:val="00064573"/>
    <w:rsid w:val="000645E3"/>
    <w:rsid w:val="000645F7"/>
    <w:rsid w:val="000645F9"/>
    <w:rsid w:val="00064617"/>
    <w:rsid w:val="00064650"/>
    <w:rsid w:val="00064662"/>
    <w:rsid w:val="0006466D"/>
    <w:rsid w:val="000646A4"/>
    <w:rsid w:val="000646DE"/>
    <w:rsid w:val="000646F9"/>
    <w:rsid w:val="0006472B"/>
    <w:rsid w:val="0006473E"/>
    <w:rsid w:val="00064760"/>
    <w:rsid w:val="0006476F"/>
    <w:rsid w:val="0006479C"/>
    <w:rsid w:val="000647CE"/>
    <w:rsid w:val="000647E7"/>
    <w:rsid w:val="00064813"/>
    <w:rsid w:val="0006481F"/>
    <w:rsid w:val="000648B4"/>
    <w:rsid w:val="00064925"/>
    <w:rsid w:val="00064943"/>
    <w:rsid w:val="00064978"/>
    <w:rsid w:val="00064988"/>
    <w:rsid w:val="000649A5"/>
    <w:rsid w:val="000649FD"/>
    <w:rsid w:val="00064A76"/>
    <w:rsid w:val="00064A8A"/>
    <w:rsid w:val="00064A8F"/>
    <w:rsid w:val="00064A97"/>
    <w:rsid w:val="00064AC2"/>
    <w:rsid w:val="00064ADC"/>
    <w:rsid w:val="00064B00"/>
    <w:rsid w:val="00064B0A"/>
    <w:rsid w:val="00064B19"/>
    <w:rsid w:val="00064B35"/>
    <w:rsid w:val="00064B3C"/>
    <w:rsid w:val="00064B5E"/>
    <w:rsid w:val="00064B6A"/>
    <w:rsid w:val="00064B8B"/>
    <w:rsid w:val="00064BB2"/>
    <w:rsid w:val="00064C1D"/>
    <w:rsid w:val="00064C6C"/>
    <w:rsid w:val="00064C85"/>
    <w:rsid w:val="00064C97"/>
    <w:rsid w:val="00064CA8"/>
    <w:rsid w:val="00064D4C"/>
    <w:rsid w:val="00064DC5"/>
    <w:rsid w:val="00064E44"/>
    <w:rsid w:val="00064E48"/>
    <w:rsid w:val="00064E5B"/>
    <w:rsid w:val="00064E89"/>
    <w:rsid w:val="00064EB5"/>
    <w:rsid w:val="00064EC7"/>
    <w:rsid w:val="00064EFD"/>
    <w:rsid w:val="00064F0E"/>
    <w:rsid w:val="00064F1B"/>
    <w:rsid w:val="00064F3D"/>
    <w:rsid w:val="00064F4D"/>
    <w:rsid w:val="00064F4F"/>
    <w:rsid w:val="00064F66"/>
    <w:rsid w:val="00064FA2"/>
    <w:rsid w:val="00064FD9"/>
    <w:rsid w:val="00064FFA"/>
    <w:rsid w:val="00065029"/>
    <w:rsid w:val="00065049"/>
    <w:rsid w:val="0006505D"/>
    <w:rsid w:val="000650D5"/>
    <w:rsid w:val="00065128"/>
    <w:rsid w:val="0006512E"/>
    <w:rsid w:val="00065137"/>
    <w:rsid w:val="00065192"/>
    <w:rsid w:val="00065210"/>
    <w:rsid w:val="00065243"/>
    <w:rsid w:val="000652C8"/>
    <w:rsid w:val="000652DC"/>
    <w:rsid w:val="000652E3"/>
    <w:rsid w:val="0006532A"/>
    <w:rsid w:val="00065363"/>
    <w:rsid w:val="000653E6"/>
    <w:rsid w:val="000653FB"/>
    <w:rsid w:val="0006543C"/>
    <w:rsid w:val="00065466"/>
    <w:rsid w:val="0006548B"/>
    <w:rsid w:val="00065498"/>
    <w:rsid w:val="000654AA"/>
    <w:rsid w:val="000654D7"/>
    <w:rsid w:val="00065522"/>
    <w:rsid w:val="0006553E"/>
    <w:rsid w:val="00065585"/>
    <w:rsid w:val="0006559C"/>
    <w:rsid w:val="000655BF"/>
    <w:rsid w:val="00065602"/>
    <w:rsid w:val="00065686"/>
    <w:rsid w:val="0006568C"/>
    <w:rsid w:val="00065690"/>
    <w:rsid w:val="0006569C"/>
    <w:rsid w:val="000656A9"/>
    <w:rsid w:val="000656BB"/>
    <w:rsid w:val="000656BD"/>
    <w:rsid w:val="000656D6"/>
    <w:rsid w:val="0006570F"/>
    <w:rsid w:val="0006574B"/>
    <w:rsid w:val="00065782"/>
    <w:rsid w:val="000657A6"/>
    <w:rsid w:val="00065817"/>
    <w:rsid w:val="0006581A"/>
    <w:rsid w:val="0006585F"/>
    <w:rsid w:val="0006586B"/>
    <w:rsid w:val="0006586F"/>
    <w:rsid w:val="000658BE"/>
    <w:rsid w:val="000658D7"/>
    <w:rsid w:val="000658DE"/>
    <w:rsid w:val="000658E8"/>
    <w:rsid w:val="0006591E"/>
    <w:rsid w:val="00065960"/>
    <w:rsid w:val="00065968"/>
    <w:rsid w:val="000659E0"/>
    <w:rsid w:val="000659ED"/>
    <w:rsid w:val="000659F8"/>
    <w:rsid w:val="00065A00"/>
    <w:rsid w:val="00065A25"/>
    <w:rsid w:val="00065AB4"/>
    <w:rsid w:val="00065ACA"/>
    <w:rsid w:val="00065AEC"/>
    <w:rsid w:val="00065B15"/>
    <w:rsid w:val="00065B4F"/>
    <w:rsid w:val="00065B71"/>
    <w:rsid w:val="00065BEE"/>
    <w:rsid w:val="00065BF5"/>
    <w:rsid w:val="00065C00"/>
    <w:rsid w:val="00065C09"/>
    <w:rsid w:val="00065C1B"/>
    <w:rsid w:val="00065C2E"/>
    <w:rsid w:val="00065C5F"/>
    <w:rsid w:val="00065C66"/>
    <w:rsid w:val="00065C8E"/>
    <w:rsid w:val="00065C95"/>
    <w:rsid w:val="00065D27"/>
    <w:rsid w:val="00065D5D"/>
    <w:rsid w:val="00065D7D"/>
    <w:rsid w:val="00065D85"/>
    <w:rsid w:val="00065DA1"/>
    <w:rsid w:val="00065DC1"/>
    <w:rsid w:val="00065E4C"/>
    <w:rsid w:val="00065E53"/>
    <w:rsid w:val="00065E6E"/>
    <w:rsid w:val="00065E7D"/>
    <w:rsid w:val="00065EA4"/>
    <w:rsid w:val="00065EE9"/>
    <w:rsid w:val="00065EEE"/>
    <w:rsid w:val="00065F01"/>
    <w:rsid w:val="00065F2E"/>
    <w:rsid w:val="00065F37"/>
    <w:rsid w:val="00065F49"/>
    <w:rsid w:val="00065F4A"/>
    <w:rsid w:val="00065F6D"/>
    <w:rsid w:val="00065F71"/>
    <w:rsid w:val="00065FAB"/>
    <w:rsid w:val="00065FB3"/>
    <w:rsid w:val="00066092"/>
    <w:rsid w:val="000660E2"/>
    <w:rsid w:val="00066130"/>
    <w:rsid w:val="00066155"/>
    <w:rsid w:val="000661F9"/>
    <w:rsid w:val="0006622F"/>
    <w:rsid w:val="0006624A"/>
    <w:rsid w:val="00066251"/>
    <w:rsid w:val="0006626F"/>
    <w:rsid w:val="00066297"/>
    <w:rsid w:val="000662A6"/>
    <w:rsid w:val="00066304"/>
    <w:rsid w:val="00066330"/>
    <w:rsid w:val="0006636E"/>
    <w:rsid w:val="00066378"/>
    <w:rsid w:val="0006638D"/>
    <w:rsid w:val="000663D3"/>
    <w:rsid w:val="0006644A"/>
    <w:rsid w:val="00066454"/>
    <w:rsid w:val="00066471"/>
    <w:rsid w:val="0006649C"/>
    <w:rsid w:val="000664A5"/>
    <w:rsid w:val="000664BC"/>
    <w:rsid w:val="000664C7"/>
    <w:rsid w:val="000664D9"/>
    <w:rsid w:val="000664E3"/>
    <w:rsid w:val="00066506"/>
    <w:rsid w:val="0006650D"/>
    <w:rsid w:val="00066546"/>
    <w:rsid w:val="0006658C"/>
    <w:rsid w:val="000665A4"/>
    <w:rsid w:val="000665A8"/>
    <w:rsid w:val="000665C6"/>
    <w:rsid w:val="0006662C"/>
    <w:rsid w:val="00066636"/>
    <w:rsid w:val="0006664F"/>
    <w:rsid w:val="00066666"/>
    <w:rsid w:val="00066684"/>
    <w:rsid w:val="000666CC"/>
    <w:rsid w:val="000666D1"/>
    <w:rsid w:val="00066718"/>
    <w:rsid w:val="0006671C"/>
    <w:rsid w:val="00066723"/>
    <w:rsid w:val="0006679D"/>
    <w:rsid w:val="0006679E"/>
    <w:rsid w:val="000667C4"/>
    <w:rsid w:val="000667CF"/>
    <w:rsid w:val="0006681F"/>
    <w:rsid w:val="00066864"/>
    <w:rsid w:val="000668AD"/>
    <w:rsid w:val="000668AF"/>
    <w:rsid w:val="000668BF"/>
    <w:rsid w:val="000668FF"/>
    <w:rsid w:val="0006690D"/>
    <w:rsid w:val="0006698F"/>
    <w:rsid w:val="000669AD"/>
    <w:rsid w:val="000669C9"/>
    <w:rsid w:val="000669CB"/>
    <w:rsid w:val="000669E8"/>
    <w:rsid w:val="000669FB"/>
    <w:rsid w:val="00066A89"/>
    <w:rsid w:val="00066AC2"/>
    <w:rsid w:val="00066AF4"/>
    <w:rsid w:val="00066AFA"/>
    <w:rsid w:val="00066B0C"/>
    <w:rsid w:val="00066B2F"/>
    <w:rsid w:val="00066B3D"/>
    <w:rsid w:val="00066B5C"/>
    <w:rsid w:val="00066B66"/>
    <w:rsid w:val="00066B74"/>
    <w:rsid w:val="00066BBB"/>
    <w:rsid w:val="00066C0E"/>
    <w:rsid w:val="00066C2C"/>
    <w:rsid w:val="00066C8A"/>
    <w:rsid w:val="00066CCF"/>
    <w:rsid w:val="00066CEE"/>
    <w:rsid w:val="00066CEF"/>
    <w:rsid w:val="00066D0C"/>
    <w:rsid w:val="00066D16"/>
    <w:rsid w:val="00066D17"/>
    <w:rsid w:val="00066D26"/>
    <w:rsid w:val="00066D2E"/>
    <w:rsid w:val="00066D3C"/>
    <w:rsid w:val="00066D49"/>
    <w:rsid w:val="00066D67"/>
    <w:rsid w:val="00066D9F"/>
    <w:rsid w:val="00066DA1"/>
    <w:rsid w:val="00066DF8"/>
    <w:rsid w:val="00066E2C"/>
    <w:rsid w:val="00066E3F"/>
    <w:rsid w:val="00066E4E"/>
    <w:rsid w:val="00066E69"/>
    <w:rsid w:val="00066E90"/>
    <w:rsid w:val="00066EAB"/>
    <w:rsid w:val="00066EE1"/>
    <w:rsid w:val="00066F0A"/>
    <w:rsid w:val="00066F30"/>
    <w:rsid w:val="00066F47"/>
    <w:rsid w:val="00066F61"/>
    <w:rsid w:val="0006700C"/>
    <w:rsid w:val="0006704E"/>
    <w:rsid w:val="00067080"/>
    <w:rsid w:val="00067089"/>
    <w:rsid w:val="000670A1"/>
    <w:rsid w:val="00067104"/>
    <w:rsid w:val="00067123"/>
    <w:rsid w:val="00067176"/>
    <w:rsid w:val="000671ED"/>
    <w:rsid w:val="00067220"/>
    <w:rsid w:val="00067226"/>
    <w:rsid w:val="0006725E"/>
    <w:rsid w:val="00067261"/>
    <w:rsid w:val="000672AF"/>
    <w:rsid w:val="000672BD"/>
    <w:rsid w:val="000672CB"/>
    <w:rsid w:val="000672E1"/>
    <w:rsid w:val="00067302"/>
    <w:rsid w:val="00067303"/>
    <w:rsid w:val="00067319"/>
    <w:rsid w:val="0006731E"/>
    <w:rsid w:val="00067323"/>
    <w:rsid w:val="0006734A"/>
    <w:rsid w:val="0006736A"/>
    <w:rsid w:val="000673D4"/>
    <w:rsid w:val="000673EC"/>
    <w:rsid w:val="00067400"/>
    <w:rsid w:val="00067439"/>
    <w:rsid w:val="00067454"/>
    <w:rsid w:val="00067456"/>
    <w:rsid w:val="0006745A"/>
    <w:rsid w:val="0006746F"/>
    <w:rsid w:val="000674AF"/>
    <w:rsid w:val="000674DB"/>
    <w:rsid w:val="00067533"/>
    <w:rsid w:val="00067567"/>
    <w:rsid w:val="0006756A"/>
    <w:rsid w:val="00067583"/>
    <w:rsid w:val="000675A8"/>
    <w:rsid w:val="000675AD"/>
    <w:rsid w:val="000675E9"/>
    <w:rsid w:val="000675FF"/>
    <w:rsid w:val="00067601"/>
    <w:rsid w:val="00067645"/>
    <w:rsid w:val="0006766A"/>
    <w:rsid w:val="00067683"/>
    <w:rsid w:val="000676A1"/>
    <w:rsid w:val="000676AB"/>
    <w:rsid w:val="000676CA"/>
    <w:rsid w:val="00067729"/>
    <w:rsid w:val="00067769"/>
    <w:rsid w:val="00067797"/>
    <w:rsid w:val="0006779D"/>
    <w:rsid w:val="000677CF"/>
    <w:rsid w:val="000677E7"/>
    <w:rsid w:val="00067855"/>
    <w:rsid w:val="00067899"/>
    <w:rsid w:val="000678AF"/>
    <w:rsid w:val="000678EC"/>
    <w:rsid w:val="000678FA"/>
    <w:rsid w:val="00067949"/>
    <w:rsid w:val="00067963"/>
    <w:rsid w:val="00067984"/>
    <w:rsid w:val="00067987"/>
    <w:rsid w:val="000679A1"/>
    <w:rsid w:val="000679FA"/>
    <w:rsid w:val="00067A6A"/>
    <w:rsid w:val="00067A77"/>
    <w:rsid w:val="00067A78"/>
    <w:rsid w:val="00067A89"/>
    <w:rsid w:val="00067AA7"/>
    <w:rsid w:val="00067AAE"/>
    <w:rsid w:val="00067AE7"/>
    <w:rsid w:val="00067B36"/>
    <w:rsid w:val="00067B3C"/>
    <w:rsid w:val="00067B57"/>
    <w:rsid w:val="00067B77"/>
    <w:rsid w:val="00067B8D"/>
    <w:rsid w:val="00067BF6"/>
    <w:rsid w:val="00067C0E"/>
    <w:rsid w:val="00067C1E"/>
    <w:rsid w:val="00067C4C"/>
    <w:rsid w:val="00067C74"/>
    <w:rsid w:val="00067C94"/>
    <w:rsid w:val="00067CA1"/>
    <w:rsid w:val="00067CEB"/>
    <w:rsid w:val="00067D6A"/>
    <w:rsid w:val="00067D78"/>
    <w:rsid w:val="00067D97"/>
    <w:rsid w:val="00067DC4"/>
    <w:rsid w:val="00067E52"/>
    <w:rsid w:val="00067E57"/>
    <w:rsid w:val="00067E6C"/>
    <w:rsid w:val="00067E7A"/>
    <w:rsid w:val="00067E9C"/>
    <w:rsid w:val="00067EA6"/>
    <w:rsid w:val="00067EB5"/>
    <w:rsid w:val="00067EBD"/>
    <w:rsid w:val="00067EC2"/>
    <w:rsid w:val="00067ED2"/>
    <w:rsid w:val="00067F06"/>
    <w:rsid w:val="00067F53"/>
    <w:rsid w:val="00067F66"/>
    <w:rsid w:val="00067F7F"/>
    <w:rsid w:val="0006A404"/>
    <w:rsid w:val="00070036"/>
    <w:rsid w:val="00070061"/>
    <w:rsid w:val="00070067"/>
    <w:rsid w:val="000700B7"/>
    <w:rsid w:val="000700D9"/>
    <w:rsid w:val="0007018B"/>
    <w:rsid w:val="000701BA"/>
    <w:rsid w:val="000701CC"/>
    <w:rsid w:val="000701CD"/>
    <w:rsid w:val="000701D2"/>
    <w:rsid w:val="000701D5"/>
    <w:rsid w:val="000701DA"/>
    <w:rsid w:val="00070242"/>
    <w:rsid w:val="000702BB"/>
    <w:rsid w:val="000702BD"/>
    <w:rsid w:val="000702F3"/>
    <w:rsid w:val="000702FF"/>
    <w:rsid w:val="0007031C"/>
    <w:rsid w:val="0007032F"/>
    <w:rsid w:val="00070365"/>
    <w:rsid w:val="00070390"/>
    <w:rsid w:val="0007039C"/>
    <w:rsid w:val="000703D2"/>
    <w:rsid w:val="00070412"/>
    <w:rsid w:val="00070436"/>
    <w:rsid w:val="0007048A"/>
    <w:rsid w:val="00070506"/>
    <w:rsid w:val="0007050A"/>
    <w:rsid w:val="00070518"/>
    <w:rsid w:val="0007051A"/>
    <w:rsid w:val="00070527"/>
    <w:rsid w:val="0007053B"/>
    <w:rsid w:val="00070549"/>
    <w:rsid w:val="00070593"/>
    <w:rsid w:val="000705B0"/>
    <w:rsid w:val="000705D6"/>
    <w:rsid w:val="000705E1"/>
    <w:rsid w:val="0007069B"/>
    <w:rsid w:val="000706B8"/>
    <w:rsid w:val="0007075A"/>
    <w:rsid w:val="0007076B"/>
    <w:rsid w:val="000707A4"/>
    <w:rsid w:val="000707AA"/>
    <w:rsid w:val="000707BA"/>
    <w:rsid w:val="00070862"/>
    <w:rsid w:val="00070890"/>
    <w:rsid w:val="000708B9"/>
    <w:rsid w:val="000708DA"/>
    <w:rsid w:val="000708F7"/>
    <w:rsid w:val="0007091A"/>
    <w:rsid w:val="00070934"/>
    <w:rsid w:val="0007093F"/>
    <w:rsid w:val="00070969"/>
    <w:rsid w:val="0007098D"/>
    <w:rsid w:val="000709A1"/>
    <w:rsid w:val="000709C0"/>
    <w:rsid w:val="000709DB"/>
    <w:rsid w:val="00070A0E"/>
    <w:rsid w:val="00070A37"/>
    <w:rsid w:val="00070A75"/>
    <w:rsid w:val="00070AC1"/>
    <w:rsid w:val="00070B01"/>
    <w:rsid w:val="00070B16"/>
    <w:rsid w:val="00070B1E"/>
    <w:rsid w:val="00070B20"/>
    <w:rsid w:val="00070B4E"/>
    <w:rsid w:val="00070B6D"/>
    <w:rsid w:val="00070B9E"/>
    <w:rsid w:val="00070CC7"/>
    <w:rsid w:val="00070D41"/>
    <w:rsid w:val="00070D85"/>
    <w:rsid w:val="00070DAB"/>
    <w:rsid w:val="00070DB1"/>
    <w:rsid w:val="00070DE0"/>
    <w:rsid w:val="00070DE1"/>
    <w:rsid w:val="00070DFD"/>
    <w:rsid w:val="00070DFE"/>
    <w:rsid w:val="00070E19"/>
    <w:rsid w:val="00070E1A"/>
    <w:rsid w:val="00070E59"/>
    <w:rsid w:val="00070E61"/>
    <w:rsid w:val="00070E7E"/>
    <w:rsid w:val="00070ECB"/>
    <w:rsid w:val="00070EE1"/>
    <w:rsid w:val="00070F07"/>
    <w:rsid w:val="00070F49"/>
    <w:rsid w:val="00070F5B"/>
    <w:rsid w:val="00070F71"/>
    <w:rsid w:val="00071013"/>
    <w:rsid w:val="00071014"/>
    <w:rsid w:val="00071038"/>
    <w:rsid w:val="00071041"/>
    <w:rsid w:val="0007105D"/>
    <w:rsid w:val="00071093"/>
    <w:rsid w:val="0007112E"/>
    <w:rsid w:val="00071130"/>
    <w:rsid w:val="0007114F"/>
    <w:rsid w:val="0007116B"/>
    <w:rsid w:val="000711E0"/>
    <w:rsid w:val="00071215"/>
    <w:rsid w:val="0007121A"/>
    <w:rsid w:val="00071256"/>
    <w:rsid w:val="0007127B"/>
    <w:rsid w:val="0007127F"/>
    <w:rsid w:val="0007128C"/>
    <w:rsid w:val="000712E7"/>
    <w:rsid w:val="000712FA"/>
    <w:rsid w:val="0007131A"/>
    <w:rsid w:val="00071324"/>
    <w:rsid w:val="00071368"/>
    <w:rsid w:val="0007136A"/>
    <w:rsid w:val="00071372"/>
    <w:rsid w:val="00071388"/>
    <w:rsid w:val="00071395"/>
    <w:rsid w:val="00071397"/>
    <w:rsid w:val="0007139F"/>
    <w:rsid w:val="000713B0"/>
    <w:rsid w:val="000713BB"/>
    <w:rsid w:val="000713C0"/>
    <w:rsid w:val="000713DB"/>
    <w:rsid w:val="00071422"/>
    <w:rsid w:val="0007144C"/>
    <w:rsid w:val="00071482"/>
    <w:rsid w:val="00071493"/>
    <w:rsid w:val="000714A5"/>
    <w:rsid w:val="000714A7"/>
    <w:rsid w:val="000714C2"/>
    <w:rsid w:val="000714D0"/>
    <w:rsid w:val="0007152E"/>
    <w:rsid w:val="00071581"/>
    <w:rsid w:val="00071586"/>
    <w:rsid w:val="000715AE"/>
    <w:rsid w:val="000715CD"/>
    <w:rsid w:val="000715ED"/>
    <w:rsid w:val="000715EF"/>
    <w:rsid w:val="00071607"/>
    <w:rsid w:val="0007162D"/>
    <w:rsid w:val="0007164B"/>
    <w:rsid w:val="0007164E"/>
    <w:rsid w:val="000716B4"/>
    <w:rsid w:val="000716E8"/>
    <w:rsid w:val="00071721"/>
    <w:rsid w:val="00071781"/>
    <w:rsid w:val="0007178B"/>
    <w:rsid w:val="0007179F"/>
    <w:rsid w:val="00071825"/>
    <w:rsid w:val="0007182B"/>
    <w:rsid w:val="0007184A"/>
    <w:rsid w:val="000718C5"/>
    <w:rsid w:val="000718C8"/>
    <w:rsid w:val="00071906"/>
    <w:rsid w:val="00071911"/>
    <w:rsid w:val="00071939"/>
    <w:rsid w:val="000719C9"/>
    <w:rsid w:val="00071A61"/>
    <w:rsid w:val="00071A77"/>
    <w:rsid w:val="00071AC5"/>
    <w:rsid w:val="00071B00"/>
    <w:rsid w:val="00071B0E"/>
    <w:rsid w:val="00071B11"/>
    <w:rsid w:val="00071B3F"/>
    <w:rsid w:val="00071B57"/>
    <w:rsid w:val="00071BD7"/>
    <w:rsid w:val="00071C41"/>
    <w:rsid w:val="00071C53"/>
    <w:rsid w:val="00071C55"/>
    <w:rsid w:val="00071C93"/>
    <w:rsid w:val="00071CAE"/>
    <w:rsid w:val="00071CD1"/>
    <w:rsid w:val="00071CE1"/>
    <w:rsid w:val="00071D4C"/>
    <w:rsid w:val="00071D65"/>
    <w:rsid w:val="00071D95"/>
    <w:rsid w:val="00071D98"/>
    <w:rsid w:val="00071DB1"/>
    <w:rsid w:val="00071DD0"/>
    <w:rsid w:val="00071DF5"/>
    <w:rsid w:val="00071E00"/>
    <w:rsid w:val="00071E4A"/>
    <w:rsid w:val="00071E68"/>
    <w:rsid w:val="00071E70"/>
    <w:rsid w:val="00071E86"/>
    <w:rsid w:val="00071E9D"/>
    <w:rsid w:val="00071EA9"/>
    <w:rsid w:val="00071EAB"/>
    <w:rsid w:val="00071EB3"/>
    <w:rsid w:val="00071EC9"/>
    <w:rsid w:val="00071EEA"/>
    <w:rsid w:val="00071EF4"/>
    <w:rsid w:val="00071F8B"/>
    <w:rsid w:val="00071F93"/>
    <w:rsid w:val="00071F98"/>
    <w:rsid w:val="00071F9B"/>
    <w:rsid w:val="00071FAB"/>
    <w:rsid w:val="00071FC2"/>
    <w:rsid w:val="00071FC8"/>
    <w:rsid w:val="00071FCF"/>
    <w:rsid w:val="00072016"/>
    <w:rsid w:val="0007204B"/>
    <w:rsid w:val="00072060"/>
    <w:rsid w:val="00072063"/>
    <w:rsid w:val="000720B4"/>
    <w:rsid w:val="000720BF"/>
    <w:rsid w:val="000720CD"/>
    <w:rsid w:val="000720DB"/>
    <w:rsid w:val="000720E8"/>
    <w:rsid w:val="00072112"/>
    <w:rsid w:val="00072134"/>
    <w:rsid w:val="0007213D"/>
    <w:rsid w:val="0007216F"/>
    <w:rsid w:val="00072177"/>
    <w:rsid w:val="00072196"/>
    <w:rsid w:val="000721CE"/>
    <w:rsid w:val="0007220F"/>
    <w:rsid w:val="00072245"/>
    <w:rsid w:val="0007224A"/>
    <w:rsid w:val="0007226E"/>
    <w:rsid w:val="00072288"/>
    <w:rsid w:val="000722A2"/>
    <w:rsid w:val="000723C5"/>
    <w:rsid w:val="000723DC"/>
    <w:rsid w:val="000723EE"/>
    <w:rsid w:val="0007242A"/>
    <w:rsid w:val="0007243D"/>
    <w:rsid w:val="00072486"/>
    <w:rsid w:val="000724A0"/>
    <w:rsid w:val="00072585"/>
    <w:rsid w:val="000725D0"/>
    <w:rsid w:val="000725E8"/>
    <w:rsid w:val="0007262C"/>
    <w:rsid w:val="00072630"/>
    <w:rsid w:val="00072663"/>
    <w:rsid w:val="0007269D"/>
    <w:rsid w:val="000726A2"/>
    <w:rsid w:val="000726B1"/>
    <w:rsid w:val="000726BD"/>
    <w:rsid w:val="00072709"/>
    <w:rsid w:val="0007270E"/>
    <w:rsid w:val="00072724"/>
    <w:rsid w:val="00072798"/>
    <w:rsid w:val="0007279A"/>
    <w:rsid w:val="000727AD"/>
    <w:rsid w:val="000727B4"/>
    <w:rsid w:val="000727BB"/>
    <w:rsid w:val="000727DD"/>
    <w:rsid w:val="000727E0"/>
    <w:rsid w:val="00072854"/>
    <w:rsid w:val="0007285D"/>
    <w:rsid w:val="000728CB"/>
    <w:rsid w:val="000728D3"/>
    <w:rsid w:val="00072916"/>
    <w:rsid w:val="00072958"/>
    <w:rsid w:val="00072983"/>
    <w:rsid w:val="0007298B"/>
    <w:rsid w:val="000729B6"/>
    <w:rsid w:val="000729C7"/>
    <w:rsid w:val="000729DF"/>
    <w:rsid w:val="000729F8"/>
    <w:rsid w:val="00072A57"/>
    <w:rsid w:val="00072AC2"/>
    <w:rsid w:val="00072AD7"/>
    <w:rsid w:val="00072B13"/>
    <w:rsid w:val="00072B24"/>
    <w:rsid w:val="00072B8F"/>
    <w:rsid w:val="00072B94"/>
    <w:rsid w:val="00072B9B"/>
    <w:rsid w:val="00072BD2"/>
    <w:rsid w:val="00072C09"/>
    <w:rsid w:val="00072C39"/>
    <w:rsid w:val="00072C3C"/>
    <w:rsid w:val="00072C41"/>
    <w:rsid w:val="00072C61"/>
    <w:rsid w:val="00072CA6"/>
    <w:rsid w:val="00072CEA"/>
    <w:rsid w:val="00072D08"/>
    <w:rsid w:val="00072D0D"/>
    <w:rsid w:val="00072D4F"/>
    <w:rsid w:val="00072D72"/>
    <w:rsid w:val="00072D82"/>
    <w:rsid w:val="00072D9C"/>
    <w:rsid w:val="00072D9F"/>
    <w:rsid w:val="00072DDC"/>
    <w:rsid w:val="00072E11"/>
    <w:rsid w:val="00072E43"/>
    <w:rsid w:val="00072E88"/>
    <w:rsid w:val="00072EC0"/>
    <w:rsid w:val="00072EE9"/>
    <w:rsid w:val="00072F5E"/>
    <w:rsid w:val="00072F94"/>
    <w:rsid w:val="00072FF7"/>
    <w:rsid w:val="00073055"/>
    <w:rsid w:val="0007308C"/>
    <w:rsid w:val="000730F2"/>
    <w:rsid w:val="000730FC"/>
    <w:rsid w:val="00073112"/>
    <w:rsid w:val="00073135"/>
    <w:rsid w:val="0007314B"/>
    <w:rsid w:val="000731D8"/>
    <w:rsid w:val="000731F0"/>
    <w:rsid w:val="000731FA"/>
    <w:rsid w:val="00073200"/>
    <w:rsid w:val="00073206"/>
    <w:rsid w:val="00073223"/>
    <w:rsid w:val="0007322E"/>
    <w:rsid w:val="0007327C"/>
    <w:rsid w:val="00073284"/>
    <w:rsid w:val="00073348"/>
    <w:rsid w:val="00073355"/>
    <w:rsid w:val="00073373"/>
    <w:rsid w:val="0007337B"/>
    <w:rsid w:val="000733CB"/>
    <w:rsid w:val="000733F6"/>
    <w:rsid w:val="0007343D"/>
    <w:rsid w:val="00073445"/>
    <w:rsid w:val="00073457"/>
    <w:rsid w:val="0007345F"/>
    <w:rsid w:val="00073467"/>
    <w:rsid w:val="00073475"/>
    <w:rsid w:val="0007347D"/>
    <w:rsid w:val="0007349E"/>
    <w:rsid w:val="000734E5"/>
    <w:rsid w:val="000734F5"/>
    <w:rsid w:val="00073534"/>
    <w:rsid w:val="00073548"/>
    <w:rsid w:val="0007354F"/>
    <w:rsid w:val="00073554"/>
    <w:rsid w:val="00073636"/>
    <w:rsid w:val="0007364D"/>
    <w:rsid w:val="00073663"/>
    <w:rsid w:val="000736CB"/>
    <w:rsid w:val="000736D5"/>
    <w:rsid w:val="000736E6"/>
    <w:rsid w:val="000736F5"/>
    <w:rsid w:val="0007372E"/>
    <w:rsid w:val="0007375C"/>
    <w:rsid w:val="00073760"/>
    <w:rsid w:val="000737DE"/>
    <w:rsid w:val="000737F7"/>
    <w:rsid w:val="00073862"/>
    <w:rsid w:val="0007386F"/>
    <w:rsid w:val="00073879"/>
    <w:rsid w:val="0007387A"/>
    <w:rsid w:val="00073884"/>
    <w:rsid w:val="000738BA"/>
    <w:rsid w:val="000738C7"/>
    <w:rsid w:val="000738D8"/>
    <w:rsid w:val="000738DD"/>
    <w:rsid w:val="000738E4"/>
    <w:rsid w:val="000738F5"/>
    <w:rsid w:val="0007390F"/>
    <w:rsid w:val="0007391B"/>
    <w:rsid w:val="00073943"/>
    <w:rsid w:val="0007394E"/>
    <w:rsid w:val="00073950"/>
    <w:rsid w:val="0007395A"/>
    <w:rsid w:val="00073995"/>
    <w:rsid w:val="0007399A"/>
    <w:rsid w:val="000739C6"/>
    <w:rsid w:val="000739FA"/>
    <w:rsid w:val="00073A64"/>
    <w:rsid w:val="00073A66"/>
    <w:rsid w:val="00073A6C"/>
    <w:rsid w:val="00073AD0"/>
    <w:rsid w:val="00073AE6"/>
    <w:rsid w:val="00073B17"/>
    <w:rsid w:val="00073BB8"/>
    <w:rsid w:val="00073BF0"/>
    <w:rsid w:val="00073C0F"/>
    <w:rsid w:val="00073C53"/>
    <w:rsid w:val="00073C99"/>
    <w:rsid w:val="00073D05"/>
    <w:rsid w:val="00073D23"/>
    <w:rsid w:val="00073D2E"/>
    <w:rsid w:val="00073D33"/>
    <w:rsid w:val="00073D75"/>
    <w:rsid w:val="00073DDD"/>
    <w:rsid w:val="00073DEA"/>
    <w:rsid w:val="00073E0C"/>
    <w:rsid w:val="00073E4E"/>
    <w:rsid w:val="00073E55"/>
    <w:rsid w:val="00073E8B"/>
    <w:rsid w:val="00073EA6"/>
    <w:rsid w:val="00073F11"/>
    <w:rsid w:val="00073F1F"/>
    <w:rsid w:val="00073F20"/>
    <w:rsid w:val="00073F27"/>
    <w:rsid w:val="00073F30"/>
    <w:rsid w:val="00073F4C"/>
    <w:rsid w:val="00073F74"/>
    <w:rsid w:val="0007400C"/>
    <w:rsid w:val="00074020"/>
    <w:rsid w:val="00074029"/>
    <w:rsid w:val="000740CF"/>
    <w:rsid w:val="00074111"/>
    <w:rsid w:val="0007412F"/>
    <w:rsid w:val="00074132"/>
    <w:rsid w:val="0007413E"/>
    <w:rsid w:val="000741B5"/>
    <w:rsid w:val="000741DA"/>
    <w:rsid w:val="000741FA"/>
    <w:rsid w:val="00074215"/>
    <w:rsid w:val="0007425F"/>
    <w:rsid w:val="00074263"/>
    <w:rsid w:val="0007427A"/>
    <w:rsid w:val="0007429E"/>
    <w:rsid w:val="000742B5"/>
    <w:rsid w:val="000742D7"/>
    <w:rsid w:val="000742F4"/>
    <w:rsid w:val="0007430A"/>
    <w:rsid w:val="0007430D"/>
    <w:rsid w:val="00074329"/>
    <w:rsid w:val="0007436D"/>
    <w:rsid w:val="00074395"/>
    <w:rsid w:val="000743A3"/>
    <w:rsid w:val="000743CE"/>
    <w:rsid w:val="00074417"/>
    <w:rsid w:val="00074426"/>
    <w:rsid w:val="00074429"/>
    <w:rsid w:val="00074482"/>
    <w:rsid w:val="0007449F"/>
    <w:rsid w:val="000744BF"/>
    <w:rsid w:val="00074549"/>
    <w:rsid w:val="0007455C"/>
    <w:rsid w:val="00074575"/>
    <w:rsid w:val="0007459E"/>
    <w:rsid w:val="000745BA"/>
    <w:rsid w:val="000745C7"/>
    <w:rsid w:val="00074625"/>
    <w:rsid w:val="0007464D"/>
    <w:rsid w:val="00074665"/>
    <w:rsid w:val="00074672"/>
    <w:rsid w:val="0007468E"/>
    <w:rsid w:val="0007468F"/>
    <w:rsid w:val="000746AB"/>
    <w:rsid w:val="000746CF"/>
    <w:rsid w:val="000746D5"/>
    <w:rsid w:val="000746D6"/>
    <w:rsid w:val="000746FA"/>
    <w:rsid w:val="00074704"/>
    <w:rsid w:val="0007472F"/>
    <w:rsid w:val="00074754"/>
    <w:rsid w:val="000747EE"/>
    <w:rsid w:val="000747FB"/>
    <w:rsid w:val="00074826"/>
    <w:rsid w:val="00074833"/>
    <w:rsid w:val="00074885"/>
    <w:rsid w:val="0007490D"/>
    <w:rsid w:val="00074912"/>
    <w:rsid w:val="0007492F"/>
    <w:rsid w:val="0007493A"/>
    <w:rsid w:val="0007493E"/>
    <w:rsid w:val="00074946"/>
    <w:rsid w:val="0007497B"/>
    <w:rsid w:val="000749F5"/>
    <w:rsid w:val="00074A37"/>
    <w:rsid w:val="00074A95"/>
    <w:rsid w:val="00074AA5"/>
    <w:rsid w:val="00074AAE"/>
    <w:rsid w:val="00074B12"/>
    <w:rsid w:val="00074B26"/>
    <w:rsid w:val="00074B95"/>
    <w:rsid w:val="00074B98"/>
    <w:rsid w:val="00074B9F"/>
    <w:rsid w:val="00074BB6"/>
    <w:rsid w:val="00074BDB"/>
    <w:rsid w:val="00074BE7"/>
    <w:rsid w:val="00074C2E"/>
    <w:rsid w:val="00074CBD"/>
    <w:rsid w:val="00074CC0"/>
    <w:rsid w:val="00074CDA"/>
    <w:rsid w:val="00074D0E"/>
    <w:rsid w:val="00074D18"/>
    <w:rsid w:val="00074D2B"/>
    <w:rsid w:val="00074D30"/>
    <w:rsid w:val="00074D3D"/>
    <w:rsid w:val="00074E83"/>
    <w:rsid w:val="00074ED4"/>
    <w:rsid w:val="00074EF3"/>
    <w:rsid w:val="00074F20"/>
    <w:rsid w:val="00074F43"/>
    <w:rsid w:val="00074F72"/>
    <w:rsid w:val="00074F83"/>
    <w:rsid w:val="00074FBF"/>
    <w:rsid w:val="00074FC3"/>
    <w:rsid w:val="00074FE0"/>
    <w:rsid w:val="00075005"/>
    <w:rsid w:val="00075013"/>
    <w:rsid w:val="00075028"/>
    <w:rsid w:val="00075039"/>
    <w:rsid w:val="0007504A"/>
    <w:rsid w:val="00075054"/>
    <w:rsid w:val="00075055"/>
    <w:rsid w:val="00075069"/>
    <w:rsid w:val="0007508D"/>
    <w:rsid w:val="00075090"/>
    <w:rsid w:val="000750B4"/>
    <w:rsid w:val="000750BF"/>
    <w:rsid w:val="000750D1"/>
    <w:rsid w:val="000750EB"/>
    <w:rsid w:val="000750F3"/>
    <w:rsid w:val="0007514A"/>
    <w:rsid w:val="00075152"/>
    <w:rsid w:val="00075154"/>
    <w:rsid w:val="0007516B"/>
    <w:rsid w:val="0007518D"/>
    <w:rsid w:val="0007519F"/>
    <w:rsid w:val="000751CC"/>
    <w:rsid w:val="000751F7"/>
    <w:rsid w:val="0007520F"/>
    <w:rsid w:val="0007524D"/>
    <w:rsid w:val="0007525D"/>
    <w:rsid w:val="000752C3"/>
    <w:rsid w:val="000752E0"/>
    <w:rsid w:val="00075306"/>
    <w:rsid w:val="00075309"/>
    <w:rsid w:val="00075325"/>
    <w:rsid w:val="0007538A"/>
    <w:rsid w:val="000753C8"/>
    <w:rsid w:val="0007540B"/>
    <w:rsid w:val="0007541F"/>
    <w:rsid w:val="0007542F"/>
    <w:rsid w:val="0007546D"/>
    <w:rsid w:val="000754B4"/>
    <w:rsid w:val="000754C6"/>
    <w:rsid w:val="000754CD"/>
    <w:rsid w:val="000754E3"/>
    <w:rsid w:val="00075502"/>
    <w:rsid w:val="00075528"/>
    <w:rsid w:val="00075546"/>
    <w:rsid w:val="0007554C"/>
    <w:rsid w:val="00075555"/>
    <w:rsid w:val="0007559C"/>
    <w:rsid w:val="000755C2"/>
    <w:rsid w:val="000755C3"/>
    <w:rsid w:val="000755F2"/>
    <w:rsid w:val="000755F8"/>
    <w:rsid w:val="00075635"/>
    <w:rsid w:val="00075695"/>
    <w:rsid w:val="000756A6"/>
    <w:rsid w:val="000756F6"/>
    <w:rsid w:val="000756FB"/>
    <w:rsid w:val="00075704"/>
    <w:rsid w:val="00075724"/>
    <w:rsid w:val="00075773"/>
    <w:rsid w:val="0007579E"/>
    <w:rsid w:val="000757CD"/>
    <w:rsid w:val="000757DD"/>
    <w:rsid w:val="00075839"/>
    <w:rsid w:val="00075846"/>
    <w:rsid w:val="00075852"/>
    <w:rsid w:val="00075858"/>
    <w:rsid w:val="000758C1"/>
    <w:rsid w:val="000758E5"/>
    <w:rsid w:val="0007590B"/>
    <w:rsid w:val="00075916"/>
    <w:rsid w:val="00075932"/>
    <w:rsid w:val="00075943"/>
    <w:rsid w:val="000759B6"/>
    <w:rsid w:val="000759BD"/>
    <w:rsid w:val="000759C1"/>
    <w:rsid w:val="000759FC"/>
    <w:rsid w:val="00075A18"/>
    <w:rsid w:val="00075A26"/>
    <w:rsid w:val="00075A35"/>
    <w:rsid w:val="00075A57"/>
    <w:rsid w:val="00075A86"/>
    <w:rsid w:val="00075A8C"/>
    <w:rsid w:val="00075AB3"/>
    <w:rsid w:val="00075ABA"/>
    <w:rsid w:val="00075B22"/>
    <w:rsid w:val="00075B8A"/>
    <w:rsid w:val="00075BFF"/>
    <w:rsid w:val="00075C1A"/>
    <w:rsid w:val="00075C2D"/>
    <w:rsid w:val="00075C5D"/>
    <w:rsid w:val="00075C6C"/>
    <w:rsid w:val="00075C95"/>
    <w:rsid w:val="00075C97"/>
    <w:rsid w:val="00075D03"/>
    <w:rsid w:val="00075D2F"/>
    <w:rsid w:val="00075D55"/>
    <w:rsid w:val="00075D69"/>
    <w:rsid w:val="00075DB0"/>
    <w:rsid w:val="00075DDB"/>
    <w:rsid w:val="00075E11"/>
    <w:rsid w:val="00075E20"/>
    <w:rsid w:val="00075E41"/>
    <w:rsid w:val="00075E44"/>
    <w:rsid w:val="00075EA2"/>
    <w:rsid w:val="00075EB6"/>
    <w:rsid w:val="00075F43"/>
    <w:rsid w:val="00075F44"/>
    <w:rsid w:val="00075F47"/>
    <w:rsid w:val="00075F60"/>
    <w:rsid w:val="00075F64"/>
    <w:rsid w:val="00075F74"/>
    <w:rsid w:val="00075F78"/>
    <w:rsid w:val="00075F88"/>
    <w:rsid w:val="00075F99"/>
    <w:rsid w:val="00075FED"/>
    <w:rsid w:val="00076009"/>
    <w:rsid w:val="000760A9"/>
    <w:rsid w:val="000760D3"/>
    <w:rsid w:val="000760F9"/>
    <w:rsid w:val="00076158"/>
    <w:rsid w:val="000761E5"/>
    <w:rsid w:val="0007620A"/>
    <w:rsid w:val="0007622B"/>
    <w:rsid w:val="00076256"/>
    <w:rsid w:val="0007626E"/>
    <w:rsid w:val="0007628F"/>
    <w:rsid w:val="000762A7"/>
    <w:rsid w:val="000762BD"/>
    <w:rsid w:val="00076361"/>
    <w:rsid w:val="00076372"/>
    <w:rsid w:val="000763B7"/>
    <w:rsid w:val="00076400"/>
    <w:rsid w:val="00076410"/>
    <w:rsid w:val="00076414"/>
    <w:rsid w:val="00076458"/>
    <w:rsid w:val="0007647D"/>
    <w:rsid w:val="000764A3"/>
    <w:rsid w:val="000764B4"/>
    <w:rsid w:val="000764B5"/>
    <w:rsid w:val="0007652A"/>
    <w:rsid w:val="0007654F"/>
    <w:rsid w:val="00076561"/>
    <w:rsid w:val="00076571"/>
    <w:rsid w:val="000765C3"/>
    <w:rsid w:val="000765E0"/>
    <w:rsid w:val="000765E9"/>
    <w:rsid w:val="00076623"/>
    <w:rsid w:val="00076625"/>
    <w:rsid w:val="00076650"/>
    <w:rsid w:val="00076681"/>
    <w:rsid w:val="000766EA"/>
    <w:rsid w:val="000766F0"/>
    <w:rsid w:val="00076721"/>
    <w:rsid w:val="00076739"/>
    <w:rsid w:val="0007673E"/>
    <w:rsid w:val="00076753"/>
    <w:rsid w:val="00076789"/>
    <w:rsid w:val="0007678E"/>
    <w:rsid w:val="0007681E"/>
    <w:rsid w:val="00076836"/>
    <w:rsid w:val="0007685B"/>
    <w:rsid w:val="00076888"/>
    <w:rsid w:val="000768B0"/>
    <w:rsid w:val="000768C0"/>
    <w:rsid w:val="000768ED"/>
    <w:rsid w:val="000768F2"/>
    <w:rsid w:val="000768FB"/>
    <w:rsid w:val="00076921"/>
    <w:rsid w:val="000769A0"/>
    <w:rsid w:val="000769A6"/>
    <w:rsid w:val="00076A03"/>
    <w:rsid w:val="00076A59"/>
    <w:rsid w:val="00076ABB"/>
    <w:rsid w:val="00076ADE"/>
    <w:rsid w:val="00076B20"/>
    <w:rsid w:val="00076B45"/>
    <w:rsid w:val="00076B72"/>
    <w:rsid w:val="00076BDA"/>
    <w:rsid w:val="00076C0D"/>
    <w:rsid w:val="00076C11"/>
    <w:rsid w:val="00076C38"/>
    <w:rsid w:val="00076C47"/>
    <w:rsid w:val="00076C6D"/>
    <w:rsid w:val="00076C79"/>
    <w:rsid w:val="00076C7D"/>
    <w:rsid w:val="00076CA7"/>
    <w:rsid w:val="00076CE0"/>
    <w:rsid w:val="00076D07"/>
    <w:rsid w:val="00076D28"/>
    <w:rsid w:val="00076D35"/>
    <w:rsid w:val="00076D59"/>
    <w:rsid w:val="00076DAA"/>
    <w:rsid w:val="00076DB8"/>
    <w:rsid w:val="00076EC5"/>
    <w:rsid w:val="00076ECB"/>
    <w:rsid w:val="00076ED5"/>
    <w:rsid w:val="00076F02"/>
    <w:rsid w:val="00076F2F"/>
    <w:rsid w:val="00076FC8"/>
    <w:rsid w:val="00076FD1"/>
    <w:rsid w:val="00076FE0"/>
    <w:rsid w:val="00076FF6"/>
    <w:rsid w:val="0007702F"/>
    <w:rsid w:val="00077047"/>
    <w:rsid w:val="00077052"/>
    <w:rsid w:val="00077058"/>
    <w:rsid w:val="0007707B"/>
    <w:rsid w:val="000770AE"/>
    <w:rsid w:val="000770CD"/>
    <w:rsid w:val="0007712C"/>
    <w:rsid w:val="00077146"/>
    <w:rsid w:val="00077154"/>
    <w:rsid w:val="000771A2"/>
    <w:rsid w:val="000771A3"/>
    <w:rsid w:val="000771BE"/>
    <w:rsid w:val="000771C8"/>
    <w:rsid w:val="000771E0"/>
    <w:rsid w:val="000771EC"/>
    <w:rsid w:val="000771F8"/>
    <w:rsid w:val="00077205"/>
    <w:rsid w:val="00077251"/>
    <w:rsid w:val="000772A1"/>
    <w:rsid w:val="000772BE"/>
    <w:rsid w:val="000772C6"/>
    <w:rsid w:val="0007732C"/>
    <w:rsid w:val="00077348"/>
    <w:rsid w:val="00077350"/>
    <w:rsid w:val="00077380"/>
    <w:rsid w:val="00077393"/>
    <w:rsid w:val="000773D5"/>
    <w:rsid w:val="000773D7"/>
    <w:rsid w:val="000773F8"/>
    <w:rsid w:val="000773FC"/>
    <w:rsid w:val="000773FF"/>
    <w:rsid w:val="00077410"/>
    <w:rsid w:val="00077496"/>
    <w:rsid w:val="000774E3"/>
    <w:rsid w:val="000774E8"/>
    <w:rsid w:val="00077509"/>
    <w:rsid w:val="0007750C"/>
    <w:rsid w:val="00077516"/>
    <w:rsid w:val="00077540"/>
    <w:rsid w:val="000775E1"/>
    <w:rsid w:val="00077614"/>
    <w:rsid w:val="00077679"/>
    <w:rsid w:val="00077681"/>
    <w:rsid w:val="000776AB"/>
    <w:rsid w:val="000776F0"/>
    <w:rsid w:val="00077724"/>
    <w:rsid w:val="00077871"/>
    <w:rsid w:val="00077894"/>
    <w:rsid w:val="000778C8"/>
    <w:rsid w:val="000778E4"/>
    <w:rsid w:val="0007791E"/>
    <w:rsid w:val="0007792F"/>
    <w:rsid w:val="00077940"/>
    <w:rsid w:val="00077955"/>
    <w:rsid w:val="00077956"/>
    <w:rsid w:val="00077963"/>
    <w:rsid w:val="000779CD"/>
    <w:rsid w:val="00077A47"/>
    <w:rsid w:val="00077A89"/>
    <w:rsid w:val="00077AAC"/>
    <w:rsid w:val="00077AEA"/>
    <w:rsid w:val="00077B02"/>
    <w:rsid w:val="00077B39"/>
    <w:rsid w:val="00077BAF"/>
    <w:rsid w:val="00077BB5"/>
    <w:rsid w:val="00077BD7"/>
    <w:rsid w:val="00077BE1"/>
    <w:rsid w:val="00077BEE"/>
    <w:rsid w:val="00077BF7"/>
    <w:rsid w:val="00077BF8"/>
    <w:rsid w:val="00077C19"/>
    <w:rsid w:val="00077C21"/>
    <w:rsid w:val="00077C5F"/>
    <w:rsid w:val="00077C67"/>
    <w:rsid w:val="00077C8E"/>
    <w:rsid w:val="00077CBB"/>
    <w:rsid w:val="00077CCD"/>
    <w:rsid w:val="00077D63"/>
    <w:rsid w:val="00077D69"/>
    <w:rsid w:val="00077D7A"/>
    <w:rsid w:val="00077D9A"/>
    <w:rsid w:val="00077DA6"/>
    <w:rsid w:val="00077DA9"/>
    <w:rsid w:val="00077E0D"/>
    <w:rsid w:val="00077E18"/>
    <w:rsid w:val="00077E26"/>
    <w:rsid w:val="00077E3E"/>
    <w:rsid w:val="00077E59"/>
    <w:rsid w:val="00077E7A"/>
    <w:rsid w:val="00077E87"/>
    <w:rsid w:val="00077EED"/>
    <w:rsid w:val="00077EF7"/>
    <w:rsid w:val="00077FF7"/>
    <w:rsid w:val="00080018"/>
    <w:rsid w:val="00080024"/>
    <w:rsid w:val="00080031"/>
    <w:rsid w:val="0008003A"/>
    <w:rsid w:val="00080061"/>
    <w:rsid w:val="0008007F"/>
    <w:rsid w:val="000800BC"/>
    <w:rsid w:val="000800E5"/>
    <w:rsid w:val="000800FF"/>
    <w:rsid w:val="00080128"/>
    <w:rsid w:val="0008012B"/>
    <w:rsid w:val="0008012C"/>
    <w:rsid w:val="00080137"/>
    <w:rsid w:val="00080139"/>
    <w:rsid w:val="0008014D"/>
    <w:rsid w:val="0008016F"/>
    <w:rsid w:val="00080183"/>
    <w:rsid w:val="000801CD"/>
    <w:rsid w:val="000801EC"/>
    <w:rsid w:val="000801FB"/>
    <w:rsid w:val="00080204"/>
    <w:rsid w:val="00080259"/>
    <w:rsid w:val="00080262"/>
    <w:rsid w:val="0008026E"/>
    <w:rsid w:val="00080275"/>
    <w:rsid w:val="000802AD"/>
    <w:rsid w:val="00080318"/>
    <w:rsid w:val="00080319"/>
    <w:rsid w:val="00080353"/>
    <w:rsid w:val="00080356"/>
    <w:rsid w:val="000803AF"/>
    <w:rsid w:val="000803D6"/>
    <w:rsid w:val="000803ED"/>
    <w:rsid w:val="00080407"/>
    <w:rsid w:val="0008041B"/>
    <w:rsid w:val="00080475"/>
    <w:rsid w:val="00080478"/>
    <w:rsid w:val="0008048B"/>
    <w:rsid w:val="00080496"/>
    <w:rsid w:val="000804CA"/>
    <w:rsid w:val="00080544"/>
    <w:rsid w:val="00080548"/>
    <w:rsid w:val="00080549"/>
    <w:rsid w:val="00080560"/>
    <w:rsid w:val="000805B4"/>
    <w:rsid w:val="000805D3"/>
    <w:rsid w:val="000805DE"/>
    <w:rsid w:val="000805FF"/>
    <w:rsid w:val="0008062F"/>
    <w:rsid w:val="0008065A"/>
    <w:rsid w:val="0008065E"/>
    <w:rsid w:val="00080684"/>
    <w:rsid w:val="0008068C"/>
    <w:rsid w:val="000806B6"/>
    <w:rsid w:val="00080714"/>
    <w:rsid w:val="00080725"/>
    <w:rsid w:val="00080750"/>
    <w:rsid w:val="00080751"/>
    <w:rsid w:val="00080768"/>
    <w:rsid w:val="00080775"/>
    <w:rsid w:val="00080790"/>
    <w:rsid w:val="000807E1"/>
    <w:rsid w:val="000807F3"/>
    <w:rsid w:val="0008084B"/>
    <w:rsid w:val="000808C7"/>
    <w:rsid w:val="000808E6"/>
    <w:rsid w:val="000808F6"/>
    <w:rsid w:val="00080943"/>
    <w:rsid w:val="0008096B"/>
    <w:rsid w:val="00080976"/>
    <w:rsid w:val="00080977"/>
    <w:rsid w:val="000809B1"/>
    <w:rsid w:val="000809B8"/>
    <w:rsid w:val="000809BD"/>
    <w:rsid w:val="000809D3"/>
    <w:rsid w:val="000809DB"/>
    <w:rsid w:val="00080A1D"/>
    <w:rsid w:val="00080A48"/>
    <w:rsid w:val="00080A53"/>
    <w:rsid w:val="00080A65"/>
    <w:rsid w:val="00080A85"/>
    <w:rsid w:val="00080AC4"/>
    <w:rsid w:val="00080AC6"/>
    <w:rsid w:val="00080ACF"/>
    <w:rsid w:val="00080ADF"/>
    <w:rsid w:val="00080B5A"/>
    <w:rsid w:val="00080B67"/>
    <w:rsid w:val="00080BA4"/>
    <w:rsid w:val="00080BA8"/>
    <w:rsid w:val="00080BE0"/>
    <w:rsid w:val="00080C1A"/>
    <w:rsid w:val="00080C25"/>
    <w:rsid w:val="00080C3B"/>
    <w:rsid w:val="00080C63"/>
    <w:rsid w:val="00080C93"/>
    <w:rsid w:val="00080CF5"/>
    <w:rsid w:val="00080CFC"/>
    <w:rsid w:val="00080D5F"/>
    <w:rsid w:val="00080D6B"/>
    <w:rsid w:val="00080D79"/>
    <w:rsid w:val="00080DCA"/>
    <w:rsid w:val="00080DD8"/>
    <w:rsid w:val="00080DE5"/>
    <w:rsid w:val="00080E2D"/>
    <w:rsid w:val="00080E3B"/>
    <w:rsid w:val="00080E4B"/>
    <w:rsid w:val="00080E91"/>
    <w:rsid w:val="00080F32"/>
    <w:rsid w:val="00080F4A"/>
    <w:rsid w:val="00080F4E"/>
    <w:rsid w:val="00080F85"/>
    <w:rsid w:val="00080FCD"/>
    <w:rsid w:val="00080FE6"/>
    <w:rsid w:val="00081014"/>
    <w:rsid w:val="0008102B"/>
    <w:rsid w:val="0008103A"/>
    <w:rsid w:val="0008104B"/>
    <w:rsid w:val="0008105B"/>
    <w:rsid w:val="000810A2"/>
    <w:rsid w:val="000810C1"/>
    <w:rsid w:val="000810F8"/>
    <w:rsid w:val="0008110E"/>
    <w:rsid w:val="00081153"/>
    <w:rsid w:val="00081181"/>
    <w:rsid w:val="000812C7"/>
    <w:rsid w:val="000812D9"/>
    <w:rsid w:val="00081314"/>
    <w:rsid w:val="0008131A"/>
    <w:rsid w:val="00081320"/>
    <w:rsid w:val="00081337"/>
    <w:rsid w:val="00081339"/>
    <w:rsid w:val="00081347"/>
    <w:rsid w:val="00081348"/>
    <w:rsid w:val="00081366"/>
    <w:rsid w:val="00081396"/>
    <w:rsid w:val="0008139E"/>
    <w:rsid w:val="000813DC"/>
    <w:rsid w:val="0008142D"/>
    <w:rsid w:val="0008145C"/>
    <w:rsid w:val="0008148E"/>
    <w:rsid w:val="0008149C"/>
    <w:rsid w:val="000814A1"/>
    <w:rsid w:val="000814AD"/>
    <w:rsid w:val="000814C9"/>
    <w:rsid w:val="000814E2"/>
    <w:rsid w:val="0008151F"/>
    <w:rsid w:val="00081544"/>
    <w:rsid w:val="00081568"/>
    <w:rsid w:val="000815BA"/>
    <w:rsid w:val="000815C5"/>
    <w:rsid w:val="000815EE"/>
    <w:rsid w:val="00081609"/>
    <w:rsid w:val="00081638"/>
    <w:rsid w:val="00081661"/>
    <w:rsid w:val="0008167D"/>
    <w:rsid w:val="000816FF"/>
    <w:rsid w:val="00081714"/>
    <w:rsid w:val="0008171C"/>
    <w:rsid w:val="00081749"/>
    <w:rsid w:val="000817A9"/>
    <w:rsid w:val="000817B3"/>
    <w:rsid w:val="000817C3"/>
    <w:rsid w:val="000817D2"/>
    <w:rsid w:val="000817E2"/>
    <w:rsid w:val="000817E5"/>
    <w:rsid w:val="00081844"/>
    <w:rsid w:val="00081867"/>
    <w:rsid w:val="0008186A"/>
    <w:rsid w:val="0008186C"/>
    <w:rsid w:val="000818A7"/>
    <w:rsid w:val="000818AD"/>
    <w:rsid w:val="000818D7"/>
    <w:rsid w:val="000818E2"/>
    <w:rsid w:val="00081962"/>
    <w:rsid w:val="00081A20"/>
    <w:rsid w:val="00081A29"/>
    <w:rsid w:val="00081A35"/>
    <w:rsid w:val="00081A63"/>
    <w:rsid w:val="00081A6F"/>
    <w:rsid w:val="00081A76"/>
    <w:rsid w:val="00081B05"/>
    <w:rsid w:val="00081B29"/>
    <w:rsid w:val="00081B4B"/>
    <w:rsid w:val="00081B62"/>
    <w:rsid w:val="00081B8E"/>
    <w:rsid w:val="00081BAC"/>
    <w:rsid w:val="00081BF1"/>
    <w:rsid w:val="00081C4F"/>
    <w:rsid w:val="00081C5B"/>
    <w:rsid w:val="00081CA9"/>
    <w:rsid w:val="00081CB2"/>
    <w:rsid w:val="00081CC0"/>
    <w:rsid w:val="00081D0C"/>
    <w:rsid w:val="00081D3A"/>
    <w:rsid w:val="00081D78"/>
    <w:rsid w:val="00081D7E"/>
    <w:rsid w:val="00081D8B"/>
    <w:rsid w:val="00081DD0"/>
    <w:rsid w:val="00081E01"/>
    <w:rsid w:val="00081E33"/>
    <w:rsid w:val="00081E45"/>
    <w:rsid w:val="00081E59"/>
    <w:rsid w:val="00081E8E"/>
    <w:rsid w:val="00081E98"/>
    <w:rsid w:val="00081EDC"/>
    <w:rsid w:val="00081F1C"/>
    <w:rsid w:val="00081F34"/>
    <w:rsid w:val="00081F54"/>
    <w:rsid w:val="00081F79"/>
    <w:rsid w:val="00081F91"/>
    <w:rsid w:val="00081FA2"/>
    <w:rsid w:val="00081FD7"/>
    <w:rsid w:val="00082015"/>
    <w:rsid w:val="00082031"/>
    <w:rsid w:val="0008203E"/>
    <w:rsid w:val="00082075"/>
    <w:rsid w:val="000820A2"/>
    <w:rsid w:val="000820A7"/>
    <w:rsid w:val="000820AB"/>
    <w:rsid w:val="000820C8"/>
    <w:rsid w:val="000820D6"/>
    <w:rsid w:val="000820E0"/>
    <w:rsid w:val="00082104"/>
    <w:rsid w:val="0008210A"/>
    <w:rsid w:val="0008213F"/>
    <w:rsid w:val="000821BB"/>
    <w:rsid w:val="000821DF"/>
    <w:rsid w:val="00082272"/>
    <w:rsid w:val="000822CF"/>
    <w:rsid w:val="000822D6"/>
    <w:rsid w:val="000822F3"/>
    <w:rsid w:val="00082318"/>
    <w:rsid w:val="00082371"/>
    <w:rsid w:val="00082388"/>
    <w:rsid w:val="0008238D"/>
    <w:rsid w:val="000823CF"/>
    <w:rsid w:val="0008241B"/>
    <w:rsid w:val="00082423"/>
    <w:rsid w:val="00082453"/>
    <w:rsid w:val="0008248F"/>
    <w:rsid w:val="00082491"/>
    <w:rsid w:val="00082509"/>
    <w:rsid w:val="00082521"/>
    <w:rsid w:val="00082532"/>
    <w:rsid w:val="00082559"/>
    <w:rsid w:val="000825A3"/>
    <w:rsid w:val="00082611"/>
    <w:rsid w:val="00082658"/>
    <w:rsid w:val="00082665"/>
    <w:rsid w:val="000826D8"/>
    <w:rsid w:val="000826E6"/>
    <w:rsid w:val="00082707"/>
    <w:rsid w:val="0008270A"/>
    <w:rsid w:val="00082763"/>
    <w:rsid w:val="0008276B"/>
    <w:rsid w:val="0008278A"/>
    <w:rsid w:val="000827D9"/>
    <w:rsid w:val="0008280C"/>
    <w:rsid w:val="00082816"/>
    <w:rsid w:val="00082884"/>
    <w:rsid w:val="00082902"/>
    <w:rsid w:val="0008291F"/>
    <w:rsid w:val="00082930"/>
    <w:rsid w:val="0008296A"/>
    <w:rsid w:val="00082985"/>
    <w:rsid w:val="000829AC"/>
    <w:rsid w:val="000829DB"/>
    <w:rsid w:val="00082A07"/>
    <w:rsid w:val="00082A80"/>
    <w:rsid w:val="00082A82"/>
    <w:rsid w:val="00082A90"/>
    <w:rsid w:val="00082A97"/>
    <w:rsid w:val="00082ABB"/>
    <w:rsid w:val="00082AC6"/>
    <w:rsid w:val="00082B46"/>
    <w:rsid w:val="00082B67"/>
    <w:rsid w:val="00082BE4"/>
    <w:rsid w:val="00082BEB"/>
    <w:rsid w:val="00082BEC"/>
    <w:rsid w:val="00082C5F"/>
    <w:rsid w:val="00082C75"/>
    <w:rsid w:val="00082CA8"/>
    <w:rsid w:val="00082CAD"/>
    <w:rsid w:val="00082CB1"/>
    <w:rsid w:val="00082CB2"/>
    <w:rsid w:val="00082CF7"/>
    <w:rsid w:val="00082D19"/>
    <w:rsid w:val="00082D1C"/>
    <w:rsid w:val="00082D28"/>
    <w:rsid w:val="00082D30"/>
    <w:rsid w:val="00082D71"/>
    <w:rsid w:val="00082E1B"/>
    <w:rsid w:val="00082E39"/>
    <w:rsid w:val="00082E6B"/>
    <w:rsid w:val="00082EAB"/>
    <w:rsid w:val="00082EBB"/>
    <w:rsid w:val="00082ECF"/>
    <w:rsid w:val="00082ED8"/>
    <w:rsid w:val="00082EE9"/>
    <w:rsid w:val="00082EF3"/>
    <w:rsid w:val="00082EFE"/>
    <w:rsid w:val="00082F18"/>
    <w:rsid w:val="00082F4B"/>
    <w:rsid w:val="00082F88"/>
    <w:rsid w:val="00082FAC"/>
    <w:rsid w:val="00082FBC"/>
    <w:rsid w:val="00083015"/>
    <w:rsid w:val="0008301B"/>
    <w:rsid w:val="00083039"/>
    <w:rsid w:val="00083060"/>
    <w:rsid w:val="000830A6"/>
    <w:rsid w:val="000830F5"/>
    <w:rsid w:val="000830F7"/>
    <w:rsid w:val="00083161"/>
    <w:rsid w:val="00083164"/>
    <w:rsid w:val="0008316B"/>
    <w:rsid w:val="00083194"/>
    <w:rsid w:val="000831C6"/>
    <w:rsid w:val="000831FD"/>
    <w:rsid w:val="0008322D"/>
    <w:rsid w:val="00083235"/>
    <w:rsid w:val="00083255"/>
    <w:rsid w:val="00083266"/>
    <w:rsid w:val="0008326D"/>
    <w:rsid w:val="0008326E"/>
    <w:rsid w:val="00083288"/>
    <w:rsid w:val="000832FF"/>
    <w:rsid w:val="00083349"/>
    <w:rsid w:val="000833A8"/>
    <w:rsid w:val="00083432"/>
    <w:rsid w:val="00083448"/>
    <w:rsid w:val="00083470"/>
    <w:rsid w:val="000834B0"/>
    <w:rsid w:val="000834CF"/>
    <w:rsid w:val="0008351E"/>
    <w:rsid w:val="0008351F"/>
    <w:rsid w:val="0008354E"/>
    <w:rsid w:val="00083559"/>
    <w:rsid w:val="00083568"/>
    <w:rsid w:val="000835F0"/>
    <w:rsid w:val="00083639"/>
    <w:rsid w:val="00083641"/>
    <w:rsid w:val="0008364F"/>
    <w:rsid w:val="00083654"/>
    <w:rsid w:val="00083689"/>
    <w:rsid w:val="000836A7"/>
    <w:rsid w:val="000836FD"/>
    <w:rsid w:val="00083736"/>
    <w:rsid w:val="000837B9"/>
    <w:rsid w:val="000837DF"/>
    <w:rsid w:val="000837E8"/>
    <w:rsid w:val="000837FF"/>
    <w:rsid w:val="00083803"/>
    <w:rsid w:val="00083808"/>
    <w:rsid w:val="0008381B"/>
    <w:rsid w:val="00083827"/>
    <w:rsid w:val="000838A1"/>
    <w:rsid w:val="000838D9"/>
    <w:rsid w:val="000838DD"/>
    <w:rsid w:val="00083908"/>
    <w:rsid w:val="00083912"/>
    <w:rsid w:val="00083966"/>
    <w:rsid w:val="00083973"/>
    <w:rsid w:val="00083979"/>
    <w:rsid w:val="000839A2"/>
    <w:rsid w:val="000839AD"/>
    <w:rsid w:val="000839D1"/>
    <w:rsid w:val="000839D7"/>
    <w:rsid w:val="00083A31"/>
    <w:rsid w:val="00083A41"/>
    <w:rsid w:val="00083A63"/>
    <w:rsid w:val="00083A67"/>
    <w:rsid w:val="00083A9C"/>
    <w:rsid w:val="00083ABD"/>
    <w:rsid w:val="00083ADE"/>
    <w:rsid w:val="00083AEB"/>
    <w:rsid w:val="00083AF6"/>
    <w:rsid w:val="00083B1D"/>
    <w:rsid w:val="00083B96"/>
    <w:rsid w:val="00083BCB"/>
    <w:rsid w:val="00083BF6"/>
    <w:rsid w:val="00083C4A"/>
    <w:rsid w:val="00083C93"/>
    <w:rsid w:val="00083CCA"/>
    <w:rsid w:val="00083D54"/>
    <w:rsid w:val="00083D68"/>
    <w:rsid w:val="00083D90"/>
    <w:rsid w:val="00083D98"/>
    <w:rsid w:val="00083DEE"/>
    <w:rsid w:val="00083E15"/>
    <w:rsid w:val="00083E21"/>
    <w:rsid w:val="00083E49"/>
    <w:rsid w:val="00083E85"/>
    <w:rsid w:val="00083E9E"/>
    <w:rsid w:val="00083EE8"/>
    <w:rsid w:val="00083EEA"/>
    <w:rsid w:val="00083EF8"/>
    <w:rsid w:val="00083FDA"/>
    <w:rsid w:val="00083FE6"/>
    <w:rsid w:val="00083FF9"/>
    <w:rsid w:val="00084033"/>
    <w:rsid w:val="00084066"/>
    <w:rsid w:val="0008408A"/>
    <w:rsid w:val="00084091"/>
    <w:rsid w:val="000840AA"/>
    <w:rsid w:val="000840C9"/>
    <w:rsid w:val="000840CF"/>
    <w:rsid w:val="0008410D"/>
    <w:rsid w:val="0008413C"/>
    <w:rsid w:val="00084141"/>
    <w:rsid w:val="00084181"/>
    <w:rsid w:val="000841D4"/>
    <w:rsid w:val="000841D5"/>
    <w:rsid w:val="0008422D"/>
    <w:rsid w:val="000842E1"/>
    <w:rsid w:val="0008431A"/>
    <w:rsid w:val="0008433B"/>
    <w:rsid w:val="00084378"/>
    <w:rsid w:val="000843FA"/>
    <w:rsid w:val="000843FB"/>
    <w:rsid w:val="00084403"/>
    <w:rsid w:val="0008444B"/>
    <w:rsid w:val="000844D0"/>
    <w:rsid w:val="00084531"/>
    <w:rsid w:val="0008453E"/>
    <w:rsid w:val="00084576"/>
    <w:rsid w:val="000845B4"/>
    <w:rsid w:val="000845CE"/>
    <w:rsid w:val="00084627"/>
    <w:rsid w:val="00084661"/>
    <w:rsid w:val="00084692"/>
    <w:rsid w:val="000846AF"/>
    <w:rsid w:val="000846D1"/>
    <w:rsid w:val="00084723"/>
    <w:rsid w:val="00084725"/>
    <w:rsid w:val="00084730"/>
    <w:rsid w:val="0008473C"/>
    <w:rsid w:val="0008473E"/>
    <w:rsid w:val="0008477B"/>
    <w:rsid w:val="000847AC"/>
    <w:rsid w:val="000847B7"/>
    <w:rsid w:val="000847CC"/>
    <w:rsid w:val="000847D3"/>
    <w:rsid w:val="000847E6"/>
    <w:rsid w:val="0008484B"/>
    <w:rsid w:val="0008485C"/>
    <w:rsid w:val="00084867"/>
    <w:rsid w:val="00084887"/>
    <w:rsid w:val="0008488F"/>
    <w:rsid w:val="00084893"/>
    <w:rsid w:val="0008489B"/>
    <w:rsid w:val="000848C8"/>
    <w:rsid w:val="000848C9"/>
    <w:rsid w:val="000848EF"/>
    <w:rsid w:val="00084914"/>
    <w:rsid w:val="000849DB"/>
    <w:rsid w:val="000849DD"/>
    <w:rsid w:val="00084A05"/>
    <w:rsid w:val="00084A1B"/>
    <w:rsid w:val="00084A45"/>
    <w:rsid w:val="00084A4A"/>
    <w:rsid w:val="00084A66"/>
    <w:rsid w:val="00084A94"/>
    <w:rsid w:val="00084B0C"/>
    <w:rsid w:val="00084B18"/>
    <w:rsid w:val="00084B65"/>
    <w:rsid w:val="00084BC7"/>
    <w:rsid w:val="00084C1A"/>
    <w:rsid w:val="00084C2B"/>
    <w:rsid w:val="00084C53"/>
    <w:rsid w:val="00084C6B"/>
    <w:rsid w:val="00084CD8"/>
    <w:rsid w:val="00084D3B"/>
    <w:rsid w:val="00084D52"/>
    <w:rsid w:val="00084D83"/>
    <w:rsid w:val="00084D8F"/>
    <w:rsid w:val="00084DAE"/>
    <w:rsid w:val="00084DB0"/>
    <w:rsid w:val="00084DE3"/>
    <w:rsid w:val="00084E32"/>
    <w:rsid w:val="00084E58"/>
    <w:rsid w:val="00084E85"/>
    <w:rsid w:val="00084EA0"/>
    <w:rsid w:val="00084EA5"/>
    <w:rsid w:val="00084EB8"/>
    <w:rsid w:val="00084EC5"/>
    <w:rsid w:val="00084EEB"/>
    <w:rsid w:val="00084EED"/>
    <w:rsid w:val="00084F32"/>
    <w:rsid w:val="00084F38"/>
    <w:rsid w:val="00084F48"/>
    <w:rsid w:val="00084F75"/>
    <w:rsid w:val="00085004"/>
    <w:rsid w:val="00085009"/>
    <w:rsid w:val="0008502D"/>
    <w:rsid w:val="00085061"/>
    <w:rsid w:val="00085069"/>
    <w:rsid w:val="00085080"/>
    <w:rsid w:val="000850BF"/>
    <w:rsid w:val="000850C5"/>
    <w:rsid w:val="000850F9"/>
    <w:rsid w:val="00085102"/>
    <w:rsid w:val="0008510A"/>
    <w:rsid w:val="0008510C"/>
    <w:rsid w:val="0008512B"/>
    <w:rsid w:val="0008512E"/>
    <w:rsid w:val="00085154"/>
    <w:rsid w:val="0008515E"/>
    <w:rsid w:val="000851E3"/>
    <w:rsid w:val="00085270"/>
    <w:rsid w:val="000852A8"/>
    <w:rsid w:val="0008530B"/>
    <w:rsid w:val="00085366"/>
    <w:rsid w:val="00085376"/>
    <w:rsid w:val="000853A8"/>
    <w:rsid w:val="000853C9"/>
    <w:rsid w:val="00085421"/>
    <w:rsid w:val="0008542A"/>
    <w:rsid w:val="00085436"/>
    <w:rsid w:val="00085465"/>
    <w:rsid w:val="0008547A"/>
    <w:rsid w:val="0008547F"/>
    <w:rsid w:val="00085482"/>
    <w:rsid w:val="00085521"/>
    <w:rsid w:val="0008553F"/>
    <w:rsid w:val="00085574"/>
    <w:rsid w:val="0008558E"/>
    <w:rsid w:val="00085604"/>
    <w:rsid w:val="00085622"/>
    <w:rsid w:val="0008564F"/>
    <w:rsid w:val="00085656"/>
    <w:rsid w:val="00085678"/>
    <w:rsid w:val="000856F5"/>
    <w:rsid w:val="00085727"/>
    <w:rsid w:val="00085737"/>
    <w:rsid w:val="0008576A"/>
    <w:rsid w:val="00085777"/>
    <w:rsid w:val="0008578E"/>
    <w:rsid w:val="000857AC"/>
    <w:rsid w:val="000857D0"/>
    <w:rsid w:val="000857E0"/>
    <w:rsid w:val="000857F1"/>
    <w:rsid w:val="00085819"/>
    <w:rsid w:val="00085832"/>
    <w:rsid w:val="00085840"/>
    <w:rsid w:val="000858D7"/>
    <w:rsid w:val="000858EE"/>
    <w:rsid w:val="00085933"/>
    <w:rsid w:val="00085992"/>
    <w:rsid w:val="000859AD"/>
    <w:rsid w:val="000859D1"/>
    <w:rsid w:val="00085A04"/>
    <w:rsid w:val="00085A09"/>
    <w:rsid w:val="00085A0A"/>
    <w:rsid w:val="00085A1B"/>
    <w:rsid w:val="00085AB2"/>
    <w:rsid w:val="00085AC9"/>
    <w:rsid w:val="00085ACF"/>
    <w:rsid w:val="00085AEE"/>
    <w:rsid w:val="00085B46"/>
    <w:rsid w:val="00085B4C"/>
    <w:rsid w:val="00085B4D"/>
    <w:rsid w:val="00085B69"/>
    <w:rsid w:val="00085B9F"/>
    <w:rsid w:val="00085BA6"/>
    <w:rsid w:val="00085C11"/>
    <w:rsid w:val="00085C39"/>
    <w:rsid w:val="00085C77"/>
    <w:rsid w:val="00085C8A"/>
    <w:rsid w:val="00085D1E"/>
    <w:rsid w:val="00085D46"/>
    <w:rsid w:val="00085D4F"/>
    <w:rsid w:val="00085D68"/>
    <w:rsid w:val="00085D82"/>
    <w:rsid w:val="00085DD8"/>
    <w:rsid w:val="00085E21"/>
    <w:rsid w:val="00085EE1"/>
    <w:rsid w:val="00085F0B"/>
    <w:rsid w:val="00085F4F"/>
    <w:rsid w:val="00085FC9"/>
    <w:rsid w:val="00085FE1"/>
    <w:rsid w:val="0008602F"/>
    <w:rsid w:val="0008603F"/>
    <w:rsid w:val="00086064"/>
    <w:rsid w:val="0008608E"/>
    <w:rsid w:val="00086090"/>
    <w:rsid w:val="000860FC"/>
    <w:rsid w:val="0008610A"/>
    <w:rsid w:val="00086155"/>
    <w:rsid w:val="00086156"/>
    <w:rsid w:val="00086157"/>
    <w:rsid w:val="000861A5"/>
    <w:rsid w:val="000861DA"/>
    <w:rsid w:val="000861F1"/>
    <w:rsid w:val="000861F6"/>
    <w:rsid w:val="000861FB"/>
    <w:rsid w:val="00086209"/>
    <w:rsid w:val="00086238"/>
    <w:rsid w:val="0008623C"/>
    <w:rsid w:val="000862AD"/>
    <w:rsid w:val="000862B3"/>
    <w:rsid w:val="000862DF"/>
    <w:rsid w:val="00086392"/>
    <w:rsid w:val="000863A2"/>
    <w:rsid w:val="000863D5"/>
    <w:rsid w:val="000863E4"/>
    <w:rsid w:val="000863E8"/>
    <w:rsid w:val="000863EB"/>
    <w:rsid w:val="00086444"/>
    <w:rsid w:val="0008644C"/>
    <w:rsid w:val="00086454"/>
    <w:rsid w:val="000864BD"/>
    <w:rsid w:val="00086526"/>
    <w:rsid w:val="00086535"/>
    <w:rsid w:val="0008654E"/>
    <w:rsid w:val="00086563"/>
    <w:rsid w:val="000865EA"/>
    <w:rsid w:val="0008663A"/>
    <w:rsid w:val="0008664E"/>
    <w:rsid w:val="00086657"/>
    <w:rsid w:val="0008666D"/>
    <w:rsid w:val="00086682"/>
    <w:rsid w:val="00086699"/>
    <w:rsid w:val="000866D8"/>
    <w:rsid w:val="000866F6"/>
    <w:rsid w:val="00086727"/>
    <w:rsid w:val="0008672E"/>
    <w:rsid w:val="00086735"/>
    <w:rsid w:val="000867B1"/>
    <w:rsid w:val="000867DA"/>
    <w:rsid w:val="000867DE"/>
    <w:rsid w:val="000867EA"/>
    <w:rsid w:val="000867F7"/>
    <w:rsid w:val="0008681D"/>
    <w:rsid w:val="00086844"/>
    <w:rsid w:val="00086871"/>
    <w:rsid w:val="00086873"/>
    <w:rsid w:val="00086898"/>
    <w:rsid w:val="000868BB"/>
    <w:rsid w:val="000868C6"/>
    <w:rsid w:val="000868EE"/>
    <w:rsid w:val="000868FE"/>
    <w:rsid w:val="00086901"/>
    <w:rsid w:val="00086918"/>
    <w:rsid w:val="0008696C"/>
    <w:rsid w:val="000869CE"/>
    <w:rsid w:val="000869E2"/>
    <w:rsid w:val="00086A60"/>
    <w:rsid w:val="00086A92"/>
    <w:rsid w:val="00086AD3"/>
    <w:rsid w:val="00086ADF"/>
    <w:rsid w:val="00086AE0"/>
    <w:rsid w:val="00086AE2"/>
    <w:rsid w:val="00086B13"/>
    <w:rsid w:val="00086B14"/>
    <w:rsid w:val="00086B23"/>
    <w:rsid w:val="00086B28"/>
    <w:rsid w:val="00086C22"/>
    <w:rsid w:val="00086C50"/>
    <w:rsid w:val="00086C6A"/>
    <w:rsid w:val="00086C7A"/>
    <w:rsid w:val="00086C7E"/>
    <w:rsid w:val="00086C8B"/>
    <w:rsid w:val="00086CBA"/>
    <w:rsid w:val="00086CED"/>
    <w:rsid w:val="00086D18"/>
    <w:rsid w:val="00086D1E"/>
    <w:rsid w:val="00086D38"/>
    <w:rsid w:val="00086D58"/>
    <w:rsid w:val="00086D66"/>
    <w:rsid w:val="00086DA8"/>
    <w:rsid w:val="00086DAA"/>
    <w:rsid w:val="00086DC0"/>
    <w:rsid w:val="00086DC9"/>
    <w:rsid w:val="00086DD5"/>
    <w:rsid w:val="00086DDD"/>
    <w:rsid w:val="00086DE6"/>
    <w:rsid w:val="00086DF4"/>
    <w:rsid w:val="00086E26"/>
    <w:rsid w:val="00086E5E"/>
    <w:rsid w:val="00086E69"/>
    <w:rsid w:val="00086E9D"/>
    <w:rsid w:val="00086ED6"/>
    <w:rsid w:val="00086F01"/>
    <w:rsid w:val="00086F2C"/>
    <w:rsid w:val="00086F30"/>
    <w:rsid w:val="00086F6D"/>
    <w:rsid w:val="00086FB0"/>
    <w:rsid w:val="00086FCD"/>
    <w:rsid w:val="00086FD6"/>
    <w:rsid w:val="00086FE1"/>
    <w:rsid w:val="0008700D"/>
    <w:rsid w:val="00087015"/>
    <w:rsid w:val="00087021"/>
    <w:rsid w:val="00087046"/>
    <w:rsid w:val="0008706A"/>
    <w:rsid w:val="00087074"/>
    <w:rsid w:val="000870D2"/>
    <w:rsid w:val="000870D8"/>
    <w:rsid w:val="000870F6"/>
    <w:rsid w:val="00087109"/>
    <w:rsid w:val="0008712E"/>
    <w:rsid w:val="00087196"/>
    <w:rsid w:val="000871CC"/>
    <w:rsid w:val="000871D7"/>
    <w:rsid w:val="000871DA"/>
    <w:rsid w:val="000871EA"/>
    <w:rsid w:val="000871F6"/>
    <w:rsid w:val="00087202"/>
    <w:rsid w:val="00087216"/>
    <w:rsid w:val="00087236"/>
    <w:rsid w:val="00087240"/>
    <w:rsid w:val="0008727C"/>
    <w:rsid w:val="000872BC"/>
    <w:rsid w:val="000872CA"/>
    <w:rsid w:val="000872E9"/>
    <w:rsid w:val="0008730E"/>
    <w:rsid w:val="00087313"/>
    <w:rsid w:val="0008739C"/>
    <w:rsid w:val="000873A8"/>
    <w:rsid w:val="000873B5"/>
    <w:rsid w:val="000873E7"/>
    <w:rsid w:val="00087407"/>
    <w:rsid w:val="0008743F"/>
    <w:rsid w:val="0008745A"/>
    <w:rsid w:val="000874A4"/>
    <w:rsid w:val="000874CD"/>
    <w:rsid w:val="00087523"/>
    <w:rsid w:val="0008758B"/>
    <w:rsid w:val="000875D3"/>
    <w:rsid w:val="000875EB"/>
    <w:rsid w:val="00087603"/>
    <w:rsid w:val="00087609"/>
    <w:rsid w:val="00087633"/>
    <w:rsid w:val="00087653"/>
    <w:rsid w:val="00087661"/>
    <w:rsid w:val="00087690"/>
    <w:rsid w:val="000876A4"/>
    <w:rsid w:val="000876A8"/>
    <w:rsid w:val="000876BD"/>
    <w:rsid w:val="00087706"/>
    <w:rsid w:val="00087719"/>
    <w:rsid w:val="0008771E"/>
    <w:rsid w:val="0008773B"/>
    <w:rsid w:val="00087741"/>
    <w:rsid w:val="0008776E"/>
    <w:rsid w:val="0008777B"/>
    <w:rsid w:val="000877C4"/>
    <w:rsid w:val="000877D2"/>
    <w:rsid w:val="000877D9"/>
    <w:rsid w:val="000877FD"/>
    <w:rsid w:val="0008780F"/>
    <w:rsid w:val="00087827"/>
    <w:rsid w:val="00087842"/>
    <w:rsid w:val="00087892"/>
    <w:rsid w:val="000878A8"/>
    <w:rsid w:val="00087904"/>
    <w:rsid w:val="00087931"/>
    <w:rsid w:val="0008798F"/>
    <w:rsid w:val="00087991"/>
    <w:rsid w:val="000879CD"/>
    <w:rsid w:val="000879E3"/>
    <w:rsid w:val="000879E9"/>
    <w:rsid w:val="000879FC"/>
    <w:rsid w:val="00087A03"/>
    <w:rsid w:val="00087A14"/>
    <w:rsid w:val="00087A42"/>
    <w:rsid w:val="00087A43"/>
    <w:rsid w:val="00087A9E"/>
    <w:rsid w:val="00087ABD"/>
    <w:rsid w:val="00087AF4"/>
    <w:rsid w:val="00087AFE"/>
    <w:rsid w:val="00087B03"/>
    <w:rsid w:val="00087B04"/>
    <w:rsid w:val="00087B36"/>
    <w:rsid w:val="00087B4B"/>
    <w:rsid w:val="00087B6E"/>
    <w:rsid w:val="00087B7E"/>
    <w:rsid w:val="00087B8C"/>
    <w:rsid w:val="00087BA8"/>
    <w:rsid w:val="00087BC4"/>
    <w:rsid w:val="00087BDD"/>
    <w:rsid w:val="00087BF9"/>
    <w:rsid w:val="00087C1B"/>
    <w:rsid w:val="00087C46"/>
    <w:rsid w:val="00087C5C"/>
    <w:rsid w:val="00087CC0"/>
    <w:rsid w:val="00087CC5"/>
    <w:rsid w:val="00087CCF"/>
    <w:rsid w:val="00087D1C"/>
    <w:rsid w:val="00087D2A"/>
    <w:rsid w:val="00087D54"/>
    <w:rsid w:val="00087D59"/>
    <w:rsid w:val="00087D77"/>
    <w:rsid w:val="00087D92"/>
    <w:rsid w:val="00087DE2"/>
    <w:rsid w:val="00087E58"/>
    <w:rsid w:val="00087F01"/>
    <w:rsid w:val="00087F47"/>
    <w:rsid w:val="00087F87"/>
    <w:rsid w:val="00087F91"/>
    <w:rsid w:val="00087FD4"/>
    <w:rsid w:val="0009002A"/>
    <w:rsid w:val="00090046"/>
    <w:rsid w:val="0009004D"/>
    <w:rsid w:val="00090093"/>
    <w:rsid w:val="000900A1"/>
    <w:rsid w:val="000900AC"/>
    <w:rsid w:val="000900E8"/>
    <w:rsid w:val="00090144"/>
    <w:rsid w:val="00090152"/>
    <w:rsid w:val="0009015A"/>
    <w:rsid w:val="00090165"/>
    <w:rsid w:val="00090176"/>
    <w:rsid w:val="00090190"/>
    <w:rsid w:val="000901DE"/>
    <w:rsid w:val="000901E3"/>
    <w:rsid w:val="0009021E"/>
    <w:rsid w:val="00090247"/>
    <w:rsid w:val="00090352"/>
    <w:rsid w:val="0009037E"/>
    <w:rsid w:val="000903A4"/>
    <w:rsid w:val="000903B1"/>
    <w:rsid w:val="0009041B"/>
    <w:rsid w:val="00090437"/>
    <w:rsid w:val="00090473"/>
    <w:rsid w:val="00090482"/>
    <w:rsid w:val="000904C0"/>
    <w:rsid w:val="00090521"/>
    <w:rsid w:val="00090544"/>
    <w:rsid w:val="0009054E"/>
    <w:rsid w:val="00090573"/>
    <w:rsid w:val="00090589"/>
    <w:rsid w:val="00090590"/>
    <w:rsid w:val="000905B3"/>
    <w:rsid w:val="000905B5"/>
    <w:rsid w:val="000905B8"/>
    <w:rsid w:val="000905E2"/>
    <w:rsid w:val="000905E6"/>
    <w:rsid w:val="000905E8"/>
    <w:rsid w:val="00090611"/>
    <w:rsid w:val="0009061F"/>
    <w:rsid w:val="0009062C"/>
    <w:rsid w:val="00090665"/>
    <w:rsid w:val="00090669"/>
    <w:rsid w:val="00090675"/>
    <w:rsid w:val="000906C8"/>
    <w:rsid w:val="000906E5"/>
    <w:rsid w:val="0009071F"/>
    <w:rsid w:val="00090747"/>
    <w:rsid w:val="00090761"/>
    <w:rsid w:val="00090769"/>
    <w:rsid w:val="00090778"/>
    <w:rsid w:val="000907A2"/>
    <w:rsid w:val="000907CC"/>
    <w:rsid w:val="000907DD"/>
    <w:rsid w:val="000907E3"/>
    <w:rsid w:val="000907EA"/>
    <w:rsid w:val="000907F9"/>
    <w:rsid w:val="0009083F"/>
    <w:rsid w:val="0009084E"/>
    <w:rsid w:val="00090882"/>
    <w:rsid w:val="00090955"/>
    <w:rsid w:val="00090965"/>
    <w:rsid w:val="000909B2"/>
    <w:rsid w:val="000909C4"/>
    <w:rsid w:val="000909C7"/>
    <w:rsid w:val="000909E3"/>
    <w:rsid w:val="000909E6"/>
    <w:rsid w:val="00090A1C"/>
    <w:rsid w:val="00090A30"/>
    <w:rsid w:val="00090A43"/>
    <w:rsid w:val="00090A58"/>
    <w:rsid w:val="00090A82"/>
    <w:rsid w:val="00090AF4"/>
    <w:rsid w:val="00090B06"/>
    <w:rsid w:val="00090B0C"/>
    <w:rsid w:val="00090B2E"/>
    <w:rsid w:val="00090B48"/>
    <w:rsid w:val="00090B58"/>
    <w:rsid w:val="00090BC5"/>
    <w:rsid w:val="00090BFB"/>
    <w:rsid w:val="00090C65"/>
    <w:rsid w:val="00090C81"/>
    <w:rsid w:val="00090CB3"/>
    <w:rsid w:val="00090D13"/>
    <w:rsid w:val="00090D2D"/>
    <w:rsid w:val="00090D69"/>
    <w:rsid w:val="00090D8E"/>
    <w:rsid w:val="00090D9E"/>
    <w:rsid w:val="00090DEF"/>
    <w:rsid w:val="00090E4B"/>
    <w:rsid w:val="00090E6A"/>
    <w:rsid w:val="00090E8F"/>
    <w:rsid w:val="00090F02"/>
    <w:rsid w:val="00090F6A"/>
    <w:rsid w:val="00090F6E"/>
    <w:rsid w:val="00090F72"/>
    <w:rsid w:val="00090FA7"/>
    <w:rsid w:val="00090FBF"/>
    <w:rsid w:val="00090FC9"/>
    <w:rsid w:val="00090FDB"/>
    <w:rsid w:val="00090FF6"/>
    <w:rsid w:val="00091000"/>
    <w:rsid w:val="0009100B"/>
    <w:rsid w:val="00091069"/>
    <w:rsid w:val="00091072"/>
    <w:rsid w:val="00091075"/>
    <w:rsid w:val="00091098"/>
    <w:rsid w:val="000910CB"/>
    <w:rsid w:val="0009111F"/>
    <w:rsid w:val="0009112C"/>
    <w:rsid w:val="0009114D"/>
    <w:rsid w:val="00091165"/>
    <w:rsid w:val="0009117B"/>
    <w:rsid w:val="0009117F"/>
    <w:rsid w:val="00091190"/>
    <w:rsid w:val="000911A0"/>
    <w:rsid w:val="000911B2"/>
    <w:rsid w:val="000911EE"/>
    <w:rsid w:val="00091207"/>
    <w:rsid w:val="00091210"/>
    <w:rsid w:val="00091276"/>
    <w:rsid w:val="0009128C"/>
    <w:rsid w:val="00091292"/>
    <w:rsid w:val="000912D0"/>
    <w:rsid w:val="00091307"/>
    <w:rsid w:val="0009130B"/>
    <w:rsid w:val="0009134D"/>
    <w:rsid w:val="00091363"/>
    <w:rsid w:val="00091388"/>
    <w:rsid w:val="000913BD"/>
    <w:rsid w:val="00091481"/>
    <w:rsid w:val="0009149D"/>
    <w:rsid w:val="000914D0"/>
    <w:rsid w:val="000914E4"/>
    <w:rsid w:val="00091501"/>
    <w:rsid w:val="00091523"/>
    <w:rsid w:val="0009157C"/>
    <w:rsid w:val="00091581"/>
    <w:rsid w:val="0009159D"/>
    <w:rsid w:val="000915D2"/>
    <w:rsid w:val="000915E3"/>
    <w:rsid w:val="0009161B"/>
    <w:rsid w:val="0009165C"/>
    <w:rsid w:val="0009165D"/>
    <w:rsid w:val="00091682"/>
    <w:rsid w:val="0009168B"/>
    <w:rsid w:val="000916A6"/>
    <w:rsid w:val="000916B9"/>
    <w:rsid w:val="000916DE"/>
    <w:rsid w:val="0009170D"/>
    <w:rsid w:val="0009177F"/>
    <w:rsid w:val="000917A8"/>
    <w:rsid w:val="0009180C"/>
    <w:rsid w:val="0009181D"/>
    <w:rsid w:val="00091853"/>
    <w:rsid w:val="000918A8"/>
    <w:rsid w:val="000918BE"/>
    <w:rsid w:val="000918E2"/>
    <w:rsid w:val="000918FB"/>
    <w:rsid w:val="00091901"/>
    <w:rsid w:val="00091926"/>
    <w:rsid w:val="00091951"/>
    <w:rsid w:val="0009196A"/>
    <w:rsid w:val="00091989"/>
    <w:rsid w:val="000919AE"/>
    <w:rsid w:val="000919C5"/>
    <w:rsid w:val="000919E8"/>
    <w:rsid w:val="000919ED"/>
    <w:rsid w:val="00091A4B"/>
    <w:rsid w:val="00091A50"/>
    <w:rsid w:val="00091A53"/>
    <w:rsid w:val="00091AE0"/>
    <w:rsid w:val="00091AE9"/>
    <w:rsid w:val="00091AF5"/>
    <w:rsid w:val="00091B30"/>
    <w:rsid w:val="00091BB4"/>
    <w:rsid w:val="00091BBB"/>
    <w:rsid w:val="00091BCB"/>
    <w:rsid w:val="00091BCE"/>
    <w:rsid w:val="00091BE0"/>
    <w:rsid w:val="00091BF7"/>
    <w:rsid w:val="00091C1B"/>
    <w:rsid w:val="00091C49"/>
    <w:rsid w:val="00091C55"/>
    <w:rsid w:val="00091C60"/>
    <w:rsid w:val="00091CE5"/>
    <w:rsid w:val="00091CEF"/>
    <w:rsid w:val="00091CF8"/>
    <w:rsid w:val="00091D2E"/>
    <w:rsid w:val="00091D4C"/>
    <w:rsid w:val="00091D98"/>
    <w:rsid w:val="00091DAD"/>
    <w:rsid w:val="00091DC8"/>
    <w:rsid w:val="00091DDE"/>
    <w:rsid w:val="00091DE3"/>
    <w:rsid w:val="00091E19"/>
    <w:rsid w:val="00091E51"/>
    <w:rsid w:val="00091E72"/>
    <w:rsid w:val="00091E93"/>
    <w:rsid w:val="00091EC1"/>
    <w:rsid w:val="00091EFC"/>
    <w:rsid w:val="00091F01"/>
    <w:rsid w:val="00091F0B"/>
    <w:rsid w:val="00091F39"/>
    <w:rsid w:val="00091F57"/>
    <w:rsid w:val="00091F89"/>
    <w:rsid w:val="00091F9D"/>
    <w:rsid w:val="00091FD7"/>
    <w:rsid w:val="00092048"/>
    <w:rsid w:val="00092084"/>
    <w:rsid w:val="00092086"/>
    <w:rsid w:val="000920E6"/>
    <w:rsid w:val="00092135"/>
    <w:rsid w:val="00092144"/>
    <w:rsid w:val="00092157"/>
    <w:rsid w:val="000921CB"/>
    <w:rsid w:val="000921D3"/>
    <w:rsid w:val="000921D6"/>
    <w:rsid w:val="00092204"/>
    <w:rsid w:val="0009222D"/>
    <w:rsid w:val="00092235"/>
    <w:rsid w:val="00092236"/>
    <w:rsid w:val="000922DB"/>
    <w:rsid w:val="000922F0"/>
    <w:rsid w:val="00092328"/>
    <w:rsid w:val="00092370"/>
    <w:rsid w:val="00092375"/>
    <w:rsid w:val="00092390"/>
    <w:rsid w:val="000923BD"/>
    <w:rsid w:val="000923C5"/>
    <w:rsid w:val="000923C8"/>
    <w:rsid w:val="000923FD"/>
    <w:rsid w:val="0009241F"/>
    <w:rsid w:val="00092463"/>
    <w:rsid w:val="00092481"/>
    <w:rsid w:val="000924B2"/>
    <w:rsid w:val="000924E5"/>
    <w:rsid w:val="00092502"/>
    <w:rsid w:val="00092513"/>
    <w:rsid w:val="00092514"/>
    <w:rsid w:val="00092543"/>
    <w:rsid w:val="0009255C"/>
    <w:rsid w:val="00092583"/>
    <w:rsid w:val="00092595"/>
    <w:rsid w:val="000925C4"/>
    <w:rsid w:val="000925D8"/>
    <w:rsid w:val="000925E3"/>
    <w:rsid w:val="000925FA"/>
    <w:rsid w:val="0009261A"/>
    <w:rsid w:val="0009268E"/>
    <w:rsid w:val="000926E7"/>
    <w:rsid w:val="00092702"/>
    <w:rsid w:val="00092723"/>
    <w:rsid w:val="00092787"/>
    <w:rsid w:val="000927AD"/>
    <w:rsid w:val="00092835"/>
    <w:rsid w:val="00092868"/>
    <w:rsid w:val="000928B3"/>
    <w:rsid w:val="000928DE"/>
    <w:rsid w:val="0009296A"/>
    <w:rsid w:val="00092976"/>
    <w:rsid w:val="0009299A"/>
    <w:rsid w:val="000929F5"/>
    <w:rsid w:val="00092A78"/>
    <w:rsid w:val="00092A96"/>
    <w:rsid w:val="00092AB1"/>
    <w:rsid w:val="00092AC0"/>
    <w:rsid w:val="00092AC7"/>
    <w:rsid w:val="00092ACA"/>
    <w:rsid w:val="00092AE8"/>
    <w:rsid w:val="00092B04"/>
    <w:rsid w:val="00092B4E"/>
    <w:rsid w:val="00092B5B"/>
    <w:rsid w:val="00092BC3"/>
    <w:rsid w:val="00092BC8"/>
    <w:rsid w:val="00092BF8"/>
    <w:rsid w:val="00092BFD"/>
    <w:rsid w:val="00092C55"/>
    <w:rsid w:val="00092C70"/>
    <w:rsid w:val="00092CB6"/>
    <w:rsid w:val="00092CC6"/>
    <w:rsid w:val="00092CE4"/>
    <w:rsid w:val="00092D3C"/>
    <w:rsid w:val="00092D6C"/>
    <w:rsid w:val="00092D71"/>
    <w:rsid w:val="00092D74"/>
    <w:rsid w:val="00092D92"/>
    <w:rsid w:val="00092E0B"/>
    <w:rsid w:val="00092E44"/>
    <w:rsid w:val="00092E4A"/>
    <w:rsid w:val="00092E68"/>
    <w:rsid w:val="00092E6B"/>
    <w:rsid w:val="00092E78"/>
    <w:rsid w:val="00092EAE"/>
    <w:rsid w:val="00092EB7"/>
    <w:rsid w:val="00092EE9"/>
    <w:rsid w:val="00092EF7"/>
    <w:rsid w:val="00092EFB"/>
    <w:rsid w:val="00092F61"/>
    <w:rsid w:val="00092F64"/>
    <w:rsid w:val="00092FAB"/>
    <w:rsid w:val="00092FC4"/>
    <w:rsid w:val="00092FDE"/>
    <w:rsid w:val="00092FFC"/>
    <w:rsid w:val="0009308A"/>
    <w:rsid w:val="00093094"/>
    <w:rsid w:val="000930B9"/>
    <w:rsid w:val="000930D7"/>
    <w:rsid w:val="000930E1"/>
    <w:rsid w:val="000930ED"/>
    <w:rsid w:val="00093125"/>
    <w:rsid w:val="0009316A"/>
    <w:rsid w:val="00093172"/>
    <w:rsid w:val="00093184"/>
    <w:rsid w:val="00093186"/>
    <w:rsid w:val="00093190"/>
    <w:rsid w:val="000931D3"/>
    <w:rsid w:val="0009326E"/>
    <w:rsid w:val="00093282"/>
    <w:rsid w:val="000932AA"/>
    <w:rsid w:val="000932AD"/>
    <w:rsid w:val="000932BA"/>
    <w:rsid w:val="00093300"/>
    <w:rsid w:val="0009330C"/>
    <w:rsid w:val="0009335F"/>
    <w:rsid w:val="00093371"/>
    <w:rsid w:val="0009339A"/>
    <w:rsid w:val="000933AF"/>
    <w:rsid w:val="00093412"/>
    <w:rsid w:val="00093466"/>
    <w:rsid w:val="000934AB"/>
    <w:rsid w:val="000934DC"/>
    <w:rsid w:val="000934E1"/>
    <w:rsid w:val="000934E4"/>
    <w:rsid w:val="00093513"/>
    <w:rsid w:val="00093519"/>
    <w:rsid w:val="0009353B"/>
    <w:rsid w:val="0009355E"/>
    <w:rsid w:val="0009358E"/>
    <w:rsid w:val="000935A9"/>
    <w:rsid w:val="000935CD"/>
    <w:rsid w:val="00093600"/>
    <w:rsid w:val="00093623"/>
    <w:rsid w:val="00093638"/>
    <w:rsid w:val="00093694"/>
    <w:rsid w:val="000936B8"/>
    <w:rsid w:val="00093714"/>
    <w:rsid w:val="00093721"/>
    <w:rsid w:val="00093722"/>
    <w:rsid w:val="0009376B"/>
    <w:rsid w:val="0009378E"/>
    <w:rsid w:val="000937A8"/>
    <w:rsid w:val="000937AC"/>
    <w:rsid w:val="000937B9"/>
    <w:rsid w:val="000937BF"/>
    <w:rsid w:val="000937D2"/>
    <w:rsid w:val="000937D8"/>
    <w:rsid w:val="00093839"/>
    <w:rsid w:val="00093850"/>
    <w:rsid w:val="00093853"/>
    <w:rsid w:val="00093910"/>
    <w:rsid w:val="00093952"/>
    <w:rsid w:val="00093979"/>
    <w:rsid w:val="000939CA"/>
    <w:rsid w:val="00093A02"/>
    <w:rsid w:val="00093A43"/>
    <w:rsid w:val="00093A5B"/>
    <w:rsid w:val="00093A62"/>
    <w:rsid w:val="00093AA5"/>
    <w:rsid w:val="00093ABC"/>
    <w:rsid w:val="00093ACC"/>
    <w:rsid w:val="00093AD8"/>
    <w:rsid w:val="00093AD9"/>
    <w:rsid w:val="00093B11"/>
    <w:rsid w:val="00093B2D"/>
    <w:rsid w:val="00093B50"/>
    <w:rsid w:val="00093B9D"/>
    <w:rsid w:val="00093BA9"/>
    <w:rsid w:val="00093C0D"/>
    <w:rsid w:val="00093C23"/>
    <w:rsid w:val="00093C5C"/>
    <w:rsid w:val="00093C91"/>
    <w:rsid w:val="00093CD3"/>
    <w:rsid w:val="00093CE7"/>
    <w:rsid w:val="00093CFD"/>
    <w:rsid w:val="00093D1F"/>
    <w:rsid w:val="00093D3C"/>
    <w:rsid w:val="00093DC0"/>
    <w:rsid w:val="00093DC1"/>
    <w:rsid w:val="00093DD8"/>
    <w:rsid w:val="00093DDC"/>
    <w:rsid w:val="00093DF6"/>
    <w:rsid w:val="00093DFF"/>
    <w:rsid w:val="00093E01"/>
    <w:rsid w:val="00093E2D"/>
    <w:rsid w:val="00093E83"/>
    <w:rsid w:val="00093EA5"/>
    <w:rsid w:val="00093EB1"/>
    <w:rsid w:val="00093EBF"/>
    <w:rsid w:val="00093EC7"/>
    <w:rsid w:val="00093F67"/>
    <w:rsid w:val="00093F71"/>
    <w:rsid w:val="00093FDB"/>
    <w:rsid w:val="00093FF9"/>
    <w:rsid w:val="00094007"/>
    <w:rsid w:val="0009406B"/>
    <w:rsid w:val="00094074"/>
    <w:rsid w:val="00094081"/>
    <w:rsid w:val="00094086"/>
    <w:rsid w:val="000940F7"/>
    <w:rsid w:val="0009412C"/>
    <w:rsid w:val="0009412F"/>
    <w:rsid w:val="0009414D"/>
    <w:rsid w:val="0009416A"/>
    <w:rsid w:val="000941A3"/>
    <w:rsid w:val="000941A8"/>
    <w:rsid w:val="000941AC"/>
    <w:rsid w:val="000941B8"/>
    <w:rsid w:val="000941E1"/>
    <w:rsid w:val="000941E2"/>
    <w:rsid w:val="000941ED"/>
    <w:rsid w:val="000941F8"/>
    <w:rsid w:val="00094250"/>
    <w:rsid w:val="00094259"/>
    <w:rsid w:val="0009429B"/>
    <w:rsid w:val="000942BB"/>
    <w:rsid w:val="000942F4"/>
    <w:rsid w:val="00094300"/>
    <w:rsid w:val="00094309"/>
    <w:rsid w:val="00094334"/>
    <w:rsid w:val="00094373"/>
    <w:rsid w:val="00094382"/>
    <w:rsid w:val="00094393"/>
    <w:rsid w:val="000943A0"/>
    <w:rsid w:val="000943D6"/>
    <w:rsid w:val="000943E1"/>
    <w:rsid w:val="000943F5"/>
    <w:rsid w:val="00094413"/>
    <w:rsid w:val="00094434"/>
    <w:rsid w:val="00094444"/>
    <w:rsid w:val="00094447"/>
    <w:rsid w:val="00094487"/>
    <w:rsid w:val="0009449C"/>
    <w:rsid w:val="00094531"/>
    <w:rsid w:val="00094556"/>
    <w:rsid w:val="0009459E"/>
    <w:rsid w:val="00094610"/>
    <w:rsid w:val="00094637"/>
    <w:rsid w:val="00094677"/>
    <w:rsid w:val="00094685"/>
    <w:rsid w:val="000946B6"/>
    <w:rsid w:val="0009471D"/>
    <w:rsid w:val="00094720"/>
    <w:rsid w:val="0009473A"/>
    <w:rsid w:val="00094768"/>
    <w:rsid w:val="0009476C"/>
    <w:rsid w:val="00094793"/>
    <w:rsid w:val="000947B9"/>
    <w:rsid w:val="000947D0"/>
    <w:rsid w:val="000947D3"/>
    <w:rsid w:val="000947DF"/>
    <w:rsid w:val="00094826"/>
    <w:rsid w:val="00094833"/>
    <w:rsid w:val="00094838"/>
    <w:rsid w:val="000948B2"/>
    <w:rsid w:val="000948DA"/>
    <w:rsid w:val="00094924"/>
    <w:rsid w:val="0009492D"/>
    <w:rsid w:val="00094958"/>
    <w:rsid w:val="0009496F"/>
    <w:rsid w:val="00094989"/>
    <w:rsid w:val="000949A0"/>
    <w:rsid w:val="000949E7"/>
    <w:rsid w:val="00094A01"/>
    <w:rsid w:val="00094A2C"/>
    <w:rsid w:val="00094B28"/>
    <w:rsid w:val="00094B2B"/>
    <w:rsid w:val="00094B34"/>
    <w:rsid w:val="00094B89"/>
    <w:rsid w:val="00094B99"/>
    <w:rsid w:val="00094B9B"/>
    <w:rsid w:val="00094BCC"/>
    <w:rsid w:val="00094BFB"/>
    <w:rsid w:val="00094C17"/>
    <w:rsid w:val="00094CA2"/>
    <w:rsid w:val="00094CC8"/>
    <w:rsid w:val="00094CDD"/>
    <w:rsid w:val="00094CE3"/>
    <w:rsid w:val="00094CEB"/>
    <w:rsid w:val="00094D45"/>
    <w:rsid w:val="00094D86"/>
    <w:rsid w:val="00094D88"/>
    <w:rsid w:val="00094DB6"/>
    <w:rsid w:val="00094DDE"/>
    <w:rsid w:val="00094E0C"/>
    <w:rsid w:val="00094E0F"/>
    <w:rsid w:val="00094E1D"/>
    <w:rsid w:val="00094E35"/>
    <w:rsid w:val="00094E56"/>
    <w:rsid w:val="00094E62"/>
    <w:rsid w:val="00094E6C"/>
    <w:rsid w:val="00094EDD"/>
    <w:rsid w:val="00094EEE"/>
    <w:rsid w:val="00094EFB"/>
    <w:rsid w:val="00094F07"/>
    <w:rsid w:val="00094F10"/>
    <w:rsid w:val="00094F5C"/>
    <w:rsid w:val="00094F5E"/>
    <w:rsid w:val="00094F8A"/>
    <w:rsid w:val="00094FC3"/>
    <w:rsid w:val="0009500B"/>
    <w:rsid w:val="00095028"/>
    <w:rsid w:val="0009505B"/>
    <w:rsid w:val="0009507D"/>
    <w:rsid w:val="000950BE"/>
    <w:rsid w:val="0009513C"/>
    <w:rsid w:val="0009515D"/>
    <w:rsid w:val="00095177"/>
    <w:rsid w:val="0009518F"/>
    <w:rsid w:val="000951E1"/>
    <w:rsid w:val="00095234"/>
    <w:rsid w:val="0009525D"/>
    <w:rsid w:val="00095273"/>
    <w:rsid w:val="00095286"/>
    <w:rsid w:val="00095307"/>
    <w:rsid w:val="0009531E"/>
    <w:rsid w:val="00095326"/>
    <w:rsid w:val="0009535A"/>
    <w:rsid w:val="00095376"/>
    <w:rsid w:val="0009537E"/>
    <w:rsid w:val="000953A4"/>
    <w:rsid w:val="000953CA"/>
    <w:rsid w:val="000953FC"/>
    <w:rsid w:val="00095451"/>
    <w:rsid w:val="00095452"/>
    <w:rsid w:val="00095479"/>
    <w:rsid w:val="000954D2"/>
    <w:rsid w:val="000954DD"/>
    <w:rsid w:val="00095501"/>
    <w:rsid w:val="00095503"/>
    <w:rsid w:val="00095547"/>
    <w:rsid w:val="0009554A"/>
    <w:rsid w:val="0009555D"/>
    <w:rsid w:val="00095579"/>
    <w:rsid w:val="000955B9"/>
    <w:rsid w:val="000955E7"/>
    <w:rsid w:val="0009563B"/>
    <w:rsid w:val="0009565E"/>
    <w:rsid w:val="000956A1"/>
    <w:rsid w:val="000956B8"/>
    <w:rsid w:val="000956BC"/>
    <w:rsid w:val="000956F2"/>
    <w:rsid w:val="000956F5"/>
    <w:rsid w:val="00095703"/>
    <w:rsid w:val="00095705"/>
    <w:rsid w:val="00095712"/>
    <w:rsid w:val="0009572A"/>
    <w:rsid w:val="0009575D"/>
    <w:rsid w:val="0009578A"/>
    <w:rsid w:val="000957B5"/>
    <w:rsid w:val="000957CD"/>
    <w:rsid w:val="000957FB"/>
    <w:rsid w:val="0009581E"/>
    <w:rsid w:val="00095829"/>
    <w:rsid w:val="00095846"/>
    <w:rsid w:val="0009584E"/>
    <w:rsid w:val="000958FC"/>
    <w:rsid w:val="0009599D"/>
    <w:rsid w:val="000959AF"/>
    <w:rsid w:val="000959D8"/>
    <w:rsid w:val="000959E5"/>
    <w:rsid w:val="00095A00"/>
    <w:rsid w:val="00095A1C"/>
    <w:rsid w:val="00095A68"/>
    <w:rsid w:val="00095A94"/>
    <w:rsid w:val="00095B0F"/>
    <w:rsid w:val="00095B2B"/>
    <w:rsid w:val="00095B2C"/>
    <w:rsid w:val="00095B48"/>
    <w:rsid w:val="00095B6A"/>
    <w:rsid w:val="00095B79"/>
    <w:rsid w:val="00095BF5"/>
    <w:rsid w:val="00095C27"/>
    <w:rsid w:val="00095C7E"/>
    <w:rsid w:val="00095C8E"/>
    <w:rsid w:val="00095C9D"/>
    <w:rsid w:val="00095CA1"/>
    <w:rsid w:val="00095D03"/>
    <w:rsid w:val="00095D1F"/>
    <w:rsid w:val="00095D41"/>
    <w:rsid w:val="00095D49"/>
    <w:rsid w:val="00095D6D"/>
    <w:rsid w:val="00095DB1"/>
    <w:rsid w:val="00095DE8"/>
    <w:rsid w:val="00095DF8"/>
    <w:rsid w:val="00095E44"/>
    <w:rsid w:val="00095E70"/>
    <w:rsid w:val="00095EA1"/>
    <w:rsid w:val="00095EA4"/>
    <w:rsid w:val="00095EE6"/>
    <w:rsid w:val="00095EF7"/>
    <w:rsid w:val="00095F11"/>
    <w:rsid w:val="00095F27"/>
    <w:rsid w:val="00095F3F"/>
    <w:rsid w:val="00095F45"/>
    <w:rsid w:val="00095F4B"/>
    <w:rsid w:val="00095FA0"/>
    <w:rsid w:val="00095FAF"/>
    <w:rsid w:val="00095FC2"/>
    <w:rsid w:val="00095FFC"/>
    <w:rsid w:val="00096092"/>
    <w:rsid w:val="00096099"/>
    <w:rsid w:val="000960FC"/>
    <w:rsid w:val="00096104"/>
    <w:rsid w:val="0009617F"/>
    <w:rsid w:val="00096184"/>
    <w:rsid w:val="0009619C"/>
    <w:rsid w:val="000961B1"/>
    <w:rsid w:val="000961CE"/>
    <w:rsid w:val="000961D4"/>
    <w:rsid w:val="00096216"/>
    <w:rsid w:val="00096218"/>
    <w:rsid w:val="0009624C"/>
    <w:rsid w:val="00096251"/>
    <w:rsid w:val="0009629B"/>
    <w:rsid w:val="000962BF"/>
    <w:rsid w:val="000962D9"/>
    <w:rsid w:val="000962F0"/>
    <w:rsid w:val="00096314"/>
    <w:rsid w:val="00096375"/>
    <w:rsid w:val="00096378"/>
    <w:rsid w:val="0009637B"/>
    <w:rsid w:val="000963CC"/>
    <w:rsid w:val="000963FF"/>
    <w:rsid w:val="00096432"/>
    <w:rsid w:val="0009644A"/>
    <w:rsid w:val="00096458"/>
    <w:rsid w:val="0009646B"/>
    <w:rsid w:val="00096486"/>
    <w:rsid w:val="000964B1"/>
    <w:rsid w:val="000964B3"/>
    <w:rsid w:val="000964F1"/>
    <w:rsid w:val="00096533"/>
    <w:rsid w:val="00096598"/>
    <w:rsid w:val="000965AB"/>
    <w:rsid w:val="000965BF"/>
    <w:rsid w:val="000965F5"/>
    <w:rsid w:val="00096631"/>
    <w:rsid w:val="000966B7"/>
    <w:rsid w:val="000966C2"/>
    <w:rsid w:val="000966D9"/>
    <w:rsid w:val="000966DA"/>
    <w:rsid w:val="0009671E"/>
    <w:rsid w:val="00096738"/>
    <w:rsid w:val="00096748"/>
    <w:rsid w:val="00096762"/>
    <w:rsid w:val="00096787"/>
    <w:rsid w:val="00096788"/>
    <w:rsid w:val="0009679F"/>
    <w:rsid w:val="000967C0"/>
    <w:rsid w:val="000967CF"/>
    <w:rsid w:val="0009682D"/>
    <w:rsid w:val="00096831"/>
    <w:rsid w:val="0009683F"/>
    <w:rsid w:val="0009685A"/>
    <w:rsid w:val="00096882"/>
    <w:rsid w:val="000968A1"/>
    <w:rsid w:val="000968BB"/>
    <w:rsid w:val="000968DD"/>
    <w:rsid w:val="000968F6"/>
    <w:rsid w:val="0009690E"/>
    <w:rsid w:val="0009693D"/>
    <w:rsid w:val="000969A4"/>
    <w:rsid w:val="000969B0"/>
    <w:rsid w:val="000969C2"/>
    <w:rsid w:val="000969F0"/>
    <w:rsid w:val="000969FA"/>
    <w:rsid w:val="00096A0E"/>
    <w:rsid w:val="00096A58"/>
    <w:rsid w:val="00096A7B"/>
    <w:rsid w:val="00096A7F"/>
    <w:rsid w:val="00096B88"/>
    <w:rsid w:val="00096B94"/>
    <w:rsid w:val="00096B9A"/>
    <w:rsid w:val="00096BCC"/>
    <w:rsid w:val="00096BD4"/>
    <w:rsid w:val="00096BD5"/>
    <w:rsid w:val="00096C09"/>
    <w:rsid w:val="00096C16"/>
    <w:rsid w:val="00096C46"/>
    <w:rsid w:val="00096C47"/>
    <w:rsid w:val="00096C7B"/>
    <w:rsid w:val="00096CB5"/>
    <w:rsid w:val="00096CC3"/>
    <w:rsid w:val="00096D30"/>
    <w:rsid w:val="00096D46"/>
    <w:rsid w:val="00096D94"/>
    <w:rsid w:val="00096E15"/>
    <w:rsid w:val="00096E1F"/>
    <w:rsid w:val="00096E91"/>
    <w:rsid w:val="00096EAD"/>
    <w:rsid w:val="00096EBF"/>
    <w:rsid w:val="00096EED"/>
    <w:rsid w:val="00096EF6"/>
    <w:rsid w:val="00096F3F"/>
    <w:rsid w:val="00096F47"/>
    <w:rsid w:val="00096F57"/>
    <w:rsid w:val="00096F9E"/>
    <w:rsid w:val="00096FA5"/>
    <w:rsid w:val="00096FBD"/>
    <w:rsid w:val="00096FD0"/>
    <w:rsid w:val="0009701F"/>
    <w:rsid w:val="00097059"/>
    <w:rsid w:val="000970C2"/>
    <w:rsid w:val="000970EF"/>
    <w:rsid w:val="000970F8"/>
    <w:rsid w:val="00097116"/>
    <w:rsid w:val="00097129"/>
    <w:rsid w:val="00097145"/>
    <w:rsid w:val="000971C2"/>
    <w:rsid w:val="000971D5"/>
    <w:rsid w:val="0009722C"/>
    <w:rsid w:val="00097256"/>
    <w:rsid w:val="000972C0"/>
    <w:rsid w:val="000972E7"/>
    <w:rsid w:val="0009735F"/>
    <w:rsid w:val="0009738F"/>
    <w:rsid w:val="00097396"/>
    <w:rsid w:val="000973A3"/>
    <w:rsid w:val="000973B2"/>
    <w:rsid w:val="000973C1"/>
    <w:rsid w:val="000973D7"/>
    <w:rsid w:val="000973E1"/>
    <w:rsid w:val="0009740C"/>
    <w:rsid w:val="00097431"/>
    <w:rsid w:val="00097433"/>
    <w:rsid w:val="00097441"/>
    <w:rsid w:val="00097446"/>
    <w:rsid w:val="00097452"/>
    <w:rsid w:val="000974D2"/>
    <w:rsid w:val="000974E5"/>
    <w:rsid w:val="000974F1"/>
    <w:rsid w:val="00097532"/>
    <w:rsid w:val="000975BB"/>
    <w:rsid w:val="00097601"/>
    <w:rsid w:val="00097629"/>
    <w:rsid w:val="00097645"/>
    <w:rsid w:val="00097647"/>
    <w:rsid w:val="00097665"/>
    <w:rsid w:val="0009769E"/>
    <w:rsid w:val="000976BB"/>
    <w:rsid w:val="000976D3"/>
    <w:rsid w:val="000976DF"/>
    <w:rsid w:val="0009770B"/>
    <w:rsid w:val="00097711"/>
    <w:rsid w:val="00097728"/>
    <w:rsid w:val="00097739"/>
    <w:rsid w:val="0009776E"/>
    <w:rsid w:val="00097826"/>
    <w:rsid w:val="0009782F"/>
    <w:rsid w:val="0009788A"/>
    <w:rsid w:val="000978CF"/>
    <w:rsid w:val="000978E4"/>
    <w:rsid w:val="000978F2"/>
    <w:rsid w:val="00097973"/>
    <w:rsid w:val="00097994"/>
    <w:rsid w:val="000979D5"/>
    <w:rsid w:val="000979E1"/>
    <w:rsid w:val="00097A1A"/>
    <w:rsid w:val="00097A20"/>
    <w:rsid w:val="00097A36"/>
    <w:rsid w:val="00097A9B"/>
    <w:rsid w:val="00097A9C"/>
    <w:rsid w:val="00097ACC"/>
    <w:rsid w:val="00097AEE"/>
    <w:rsid w:val="00097AF6"/>
    <w:rsid w:val="00097B7A"/>
    <w:rsid w:val="00097C32"/>
    <w:rsid w:val="00097C45"/>
    <w:rsid w:val="00097C5F"/>
    <w:rsid w:val="00097C94"/>
    <w:rsid w:val="00097CCD"/>
    <w:rsid w:val="00097D14"/>
    <w:rsid w:val="00097D55"/>
    <w:rsid w:val="00097D69"/>
    <w:rsid w:val="00097DB3"/>
    <w:rsid w:val="00097DB5"/>
    <w:rsid w:val="00097DBC"/>
    <w:rsid w:val="00097E05"/>
    <w:rsid w:val="00097E11"/>
    <w:rsid w:val="00097E41"/>
    <w:rsid w:val="00097EA6"/>
    <w:rsid w:val="00097EB4"/>
    <w:rsid w:val="00097EB5"/>
    <w:rsid w:val="00097EC9"/>
    <w:rsid w:val="00097ECA"/>
    <w:rsid w:val="00097F01"/>
    <w:rsid w:val="00097F8E"/>
    <w:rsid w:val="0009F7AB"/>
    <w:rsid w:val="000A0028"/>
    <w:rsid w:val="000A0032"/>
    <w:rsid w:val="000A0061"/>
    <w:rsid w:val="000A0067"/>
    <w:rsid w:val="000A0095"/>
    <w:rsid w:val="000A00A5"/>
    <w:rsid w:val="000A00AA"/>
    <w:rsid w:val="000A0114"/>
    <w:rsid w:val="000A0128"/>
    <w:rsid w:val="000A0169"/>
    <w:rsid w:val="000A0196"/>
    <w:rsid w:val="000A019B"/>
    <w:rsid w:val="000A0219"/>
    <w:rsid w:val="000A0249"/>
    <w:rsid w:val="000A02C3"/>
    <w:rsid w:val="000A02CF"/>
    <w:rsid w:val="000A02D4"/>
    <w:rsid w:val="000A02DC"/>
    <w:rsid w:val="000A02E6"/>
    <w:rsid w:val="000A032F"/>
    <w:rsid w:val="000A0340"/>
    <w:rsid w:val="000A03AA"/>
    <w:rsid w:val="000A03BD"/>
    <w:rsid w:val="000A03DC"/>
    <w:rsid w:val="000A03FB"/>
    <w:rsid w:val="000A0414"/>
    <w:rsid w:val="000A0456"/>
    <w:rsid w:val="000A045D"/>
    <w:rsid w:val="000A0464"/>
    <w:rsid w:val="000A048C"/>
    <w:rsid w:val="000A04AF"/>
    <w:rsid w:val="000A04B4"/>
    <w:rsid w:val="000A04C8"/>
    <w:rsid w:val="000A04D5"/>
    <w:rsid w:val="000A0526"/>
    <w:rsid w:val="000A0531"/>
    <w:rsid w:val="000A0558"/>
    <w:rsid w:val="000A0560"/>
    <w:rsid w:val="000A05B3"/>
    <w:rsid w:val="000A05E6"/>
    <w:rsid w:val="000A0677"/>
    <w:rsid w:val="000A068D"/>
    <w:rsid w:val="000A069F"/>
    <w:rsid w:val="000A06F1"/>
    <w:rsid w:val="000A06FD"/>
    <w:rsid w:val="000A071F"/>
    <w:rsid w:val="000A0738"/>
    <w:rsid w:val="000A073D"/>
    <w:rsid w:val="000A0754"/>
    <w:rsid w:val="000A079C"/>
    <w:rsid w:val="000A07AD"/>
    <w:rsid w:val="000A07C0"/>
    <w:rsid w:val="000A07D5"/>
    <w:rsid w:val="000A07E9"/>
    <w:rsid w:val="000A0808"/>
    <w:rsid w:val="000A0841"/>
    <w:rsid w:val="000A085C"/>
    <w:rsid w:val="000A08C5"/>
    <w:rsid w:val="000A08F8"/>
    <w:rsid w:val="000A090C"/>
    <w:rsid w:val="000A0924"/>
    <w:rsid w:val="000A092F"/>
    <w:rsid w:val="000A0944"/>
    <w:rsid w:val="000A0963"/>
    <w:rsid w:val="000A0990"/>
    <w:rsid w:val="000A0993"/>
    <w:rsid w:val="000A09B6"/>
    <w:rsid w:val="000A0A40"/>
    <w:rsid w:val="000A0AA0"/>
    <w:rsid w:val="000A0AD8"/>
    <w:rsid w:val="000A0B21"/>
    <w:rsid w:val="000A0B6F"/>
    <w:rsid w:val="000A0BCC"/>
    <w:rsid w:val="000A0BE5"/>
    <w:rsid w:val="000A0BF8"/>
    <w:rsid w:val="000A0C50"/>
    <w:rsid w:val="000A0CA0"/>
    <w:rsid w:val="000A0CB2"/>
    <w:rsid w:val="000A0CF4"/>
    <w:rsid w:val="000A0CFF"/>
    <w:rsid w:val="000A0D23"/>
    <w:rsid w:val="000A0D33"/>
    <w:rsid w:val="000A0D44"/>
    <w:rsid w:val="000A0D46"/>
    <w:rsid w:val="000A0D97"/>
    <w:rsid w:val="000A0D99"/>
    <w:rsid w:val="000A0DEC"/>
    <w:rsid w:val="000A0E76"/>
    <w:rsid w:val="000A0ED1"/>
    <w:rsid w:val="000A0EF5"/>
    <w:rsid w:val="000A0F44"/>
    <w:rsid w:val="000A0F78"/>
    <w:rsid w:val="000A0F8C"/>
    <w:rsid w:val="000A0FA2"/>
    <w:rsid w:val="000A0FBE"/>
    <w:rsid w:val="000A0FDC"/>
    <w:rsid w:val="000A1038"/>
    <w:rsid w:val="000A1045"/>
    <w:rsid w:val="000A104A"/>
    <w:rsid w:val="000A1056"/>
    <w:rsid w:val="000A105F"/>
    <w:rsid w:val="000A1094"/>
    <w:rsid w:val="000A10A2"/>
    <w:rsid w:val="000A10EB"/>
    <w:rsid w:val="000A10F3"/>
    <w:rsid w:val="000A1117"/>
    <w:rsid w:val="000A111C"/>
    <w:rsid w:val="000A1152"/>
    <w:rsid w:val="000A1168"/>
    <w:rsid w:val="000A1182"/>
    <w:rsid w:val="000A11A7"/>
    <w:rsid w:val="000A11E5"/>
    <w:rsid w:val="000A11FD"/>
    <w:rsid w:val="000A121A"/>
    <w:rsid w:val="000A121E"/>
    <w:rsid w:val="000A122C"/>
    <w:rsid w:val="000A1243"/>
    <w:rsid w:val="000A1247"/>
    <w:rsid w:val="000A1272"/>
    <w:rsid w:val="000A1278"/>
    <w:rsid w:val="000A1283"/>
    <w:rsid w:val="000A12B9"/>
    <w:rsid w:val="000A12BC"/>
    <w:rsid w:val="000A12DB"/>
    <w:rsid w:val="000A12DF"/>
    <w:rsid w:val="000A12F0"/>
    <w:rsid w:val="000A1346"/>
    <w:rsid w:val="000A1397"/>
    <w:rsid w:val="000A13E2"/>
    <w:rsid w:val="000A140F"/>
    <w:rsid w:val="000A1493"/>
    <w:rsid w:val="000A14AE"/>
    <w:rsid w:val="000A1515"/>
    <w:rsid w:val="000A1519"/>
    <w:rsid w:val="000A15C0"/>
    <w:rsid w:val="000A1638"/>
    <w:rsid w:val="000A164E"/>
    <w:rsid w:val="000A1673"/>
    <w:rsid w:val="000A1675"/>
    <w:rsid w:val="000A1680"/>
    <w:rsid w:val="000A1684"/>
    <w:rsid w:val="000A1687"/>
    <w:rsid w:val="000A1695"/>
    <w:rsid w:val="000A16BE"/>
    <w:rsid w:val="000A16E4"/>
    <w:rsid w:val="000A16E8"/>
    <w:rsid w:val="000A1765"/>
    <w:rsid w:val="000A1766"/>
    <w:rsid w:val="000A178A"/>
    <w:rsid w:val="000A179E"/>
    <w:rsid w:val="000A17B9"/>
    <w:rsid w:val="000A17CA"/>
    <w:rsid w:val="000A17FF"/>
    <w:rsid w:val="000A1813"/>
    <w:rsid w:val="000A188D"/>
    <w:rsid w:val="000A18A3"/>
    <w:rsid w:val="000A1954"/>
    <w:rsid w:val="000A1967"/>
    <w:rsid w:val="000A198D"/>
    <w:rsid w:val="000A19AA"/>
    <w:rsid w:val="000A19DE"/>
    <w:rsid w:val="000A1A2D"/>
    <w:rsid w:val="000A1A96"/>
    <w:rsid w:val="000A1ADA"/>
    <w:rsid w:val="000A1B28"/>
    <w:rsid w:val="000A1B43"/>
    <w:rsid w:val="000A1B81"/>
    <w:rsid w:val="000A1B8E"/>
    <w:rsid w:val="000A1B9C"/>
    <w:rsid w:val="000A1BA3"/>
    <w:rsid w:val="000A1C66"/>
    <w:rsid w:val="000A1C77"/>
    <w:rsid w:val="000A1CF5"/>
    <w:rsid w:val="000A1D09"/>
    <w:rsid w:val="000A1D1C"/>
    <w:rsid w:val="000A1D36"/>
    <w:rsid w:val="000A1D6B"/>
    <w:rsid w:val="000A1DAD"/>
    <w:rsid w:val="000A1DF4"/>
    <w:rsid w:val="000A1DF7"/>
    <w:rsid w:val="000A1E04"/>
    <w:rsid w:val="000A1E67"/>
    <w:rsid w:val="000A1E81"/>
    <w:rsid w:val="000A1EA2"/>
    <w:rsid w:val="000A1ED1"/>
    <w:rsid w:val="000A1F40"/>
    <w:rsid w:val="000A1F46"/>
    <w:rsid w:val="000A1F7B"/>
    <w:rsid w:val="000A1F7C"/>
    <w:rsid w:val="000A1FE5"/>
    <w:rsid w:val="000A2013"/>
    <w:rsid w:val="000A201E"/>
    <w:rsid w:val="000A2032"/>
    <w:rsid w:val="000A2033"/>
    <w:rsid w:val="000A2044"/>
    <w:rsid w:val="000A2047"/>
    <w:rsid w:val="000A204D"/>
    <w:rsid w:val="000A2085"/>
    <w:rsid w:val="000A20A5"/>
    <w:rsid w:val="000A20BF"/>
    <w:rsid w:val="000A210C"/>
    <w:rsid w:val="000A2169"/>
    <w:rsid w:val="000A2196"/>
    <w:rsid w:val="000A219F"/>
    <w:rsid w:val="000A21B8"/>
    <w:rsid w:val="000A21F9"/>
    <w:rsid w:val="000A2238"/>
    <w:rsid w:val="000A2256"/>
    <w:rsid w:val="000A22A6"/>
    <w:rsid w:val="000A22D0"/>
    <w:rsid w:val="000A22FE"/>
    <w:rsid w:val="000A2346"/>
    <w:rsid w:val="000A2386"/>
    <w:rsid w:val="000A23D5"/>
    <w:rsid w:val="000A2405"/>
    <w:rsid w:val="000A2414"/>
    <w:rsid w:val="000A2433"/>
    <w:rsid w:val="000A2437"/>
    <w:rsid w:val="000A244A"/>
    <w:rsid w:val="000A2469"/>
    <w:rsid w:val="000A247D"/>
    <w:rsid w:val="000A24A6"/>
    <w:rsid w:val="000A24BE"/>
    <w:rsid w:val="000A24EE"/>
    <w:rsid w:val="000A2509"/>
    <w:rsid w:val="000A2534"/>
    <w:rsid w:val="000A2595"/>
    <w:rsid w:val="000A25E3"/>
    <w:rsid w:val="000A2666"/>
    <w:rsid w:val="000A2698"/>
    <w:rsid w:val="000A26AF"/>
    <w:rsid w:val="000A26E0"/>
    <w:rsid w:val="000A26EC"/>
    <w:rsid w:val="000A26F9"/>
    <w:rsid w:val="000A278E"/>
    <w:rsid w:val="000A27A4"/>
    <w:rsid w:val="000A27AB"/>
    <w:rsid w:val="000A27FE"/>
    <w:rsid w:val="000A2815"/>
    <w:rsid w:val="000A282E"/>
    <w:rsid w:val="000A283C"/>
    <w:rsid w:val="000A2859"/>
    <w:rsid w:val="000A2886"/>
    <w:rsid w:val="000A28CC"/>
    <w:rsid w:val="000A28DE"/>
    <w:rsid w:val="000A2959"/>
    <w:rsid w:val="000A29B3"/>
    <w:rsid w:val="000A29C5"/>
    <w:rsid w:val="000A29DB"/>
    <w:rsid w:val="000A29EB"/>
    <w:rsid w:val="000A2A00"/>
    <w:rsid w:val="000A2A18"/>
    <w:rsid w:val="000A2A2A"/>
    <w:rsid w:val="000A2A49"/>
    <w:rsid w:val="000A2A54"/>
    <w:rsid w:val="000A2A91"/>
    <w:rsid w:val="000A2AAB"/>
    <w:rsid w:val="000A2AB2"/>
    <w:rsid w:val="000A2B1E"/>
    <w:rsid w:val="000A2B5A"/>
    <w:rsid w:val="000A2B64"/>
    <w:rsid w:val="000A2B65"/>
    <w:rsid w:val="000A2B72"/>
    <w:rsid w:val="000A2B97"/>
    <w:rsid w:val="000A2BC3"/>
    <w:rsid w:val="000A2BF6"/>
    <w:rsid w:val="000A2C3B"/>
    <w:rsid w:val="000A2C47"/>
    <w:rsid w:val="000A2CB8"/>
    <w:rsid w:val="000A2CF3"/>
    <w:rsid w:val="000A2CF9"/>
    <w:rsid w:val="000A2D25"/>
    <w:rsid w:val="000A2D2A"/>
    <w:rsid w:val="000A2D68"/>
    <w:rsid w:val="000A2DD3"/>
    <w:rsid w:val="000A2DE7"/>
    <w:rsid w:val="000A2DF8"/>
    <w:rsid w:val="000A2E06"/>
    <w:rsid w:val="000A2E0D"/>
    <w:rsid w:val="000A2E3E"/>
    <w:rsid w:val="000A2E6D"/>
    <w:rsid w:val="000A2E75"/>
    <w:rsid w:val="000A2E8A"/>
    <w:rsid w:val="000A2E8F"/>
    <w:rsid w:val="000A2ED1"/>
    <w:rsid w:val="000A2ED4"/>
    <w:rsid w:val="000A2F23"/>
    <w:rsid w:val="000A2F3E"/>
    <w:rsid w:val="000A2F62"/>
    <w:rsid w:val="000A2F82"/>
    <w:rsid w:val="000A2F86"/>
    <w:rsid w:val="000A2F9E"/>
    <w:rsid w:val="000A2FBE"/>
    <w:rsid w:val="000A3003"/>
    <w:rsid w:val="000A3022"/>
    <w:rsid w:val="000A305E"/>
    <w:rsid w:val="000A30AB"/>
    <w:rsid w:val="000A30B6"/>
    <w:rsid w:val="000A30C8"/>
    <w:rsid w:val="000A30D6"/>
    <w:rsid w:val="000A30D9"/>
    <w:rsid w:val="000A30FA"/>
    <w:rsid w:val="000A3188"/>
    <w:rsid w:val="000A3204"/>
    <w:rsid w:val="000A3210"/>
    <w:rsid w:val="000A321A"/>
    <w:rsid w:val="000A3234"/>
    <w:rsid w:val="000A3244"/>
    <w:rsid w:val="000A326A"/>
    <w:rsid w:val="000A32B3"/>
    <w:rsid w:val="000A32C0"/>
    <w:rsid w:val="000A32D2"/>
    <w:rsid w:val="000A32DA"/>
    <w:rsid w:val="000A331F"/>
    <w:rsid w:val="000A3384"/>
    <w:rsid w:val="000A339E"/>
    <w:rsid w:val="000A3413"/>
    <w:rsid w:val="000A341E"/>
    <w:rsid w:val="000A342C"/>
    <w:rsid w:val="000A3444"/>
    <w:rsid w:val="000A34DE"/>
    <w:rsid w:val="000A34E5"/>
    <w:rsid w:val="000A34FB"/>
    <w:rsid w:val="000A352D"/>
    <w:rsid w:val="000A357C"/>
    <w:rsid w:val="000A35B3"/>
    <w:rsid w:val="000A35D4"/>
    <w:rsid w:val="000A35FF"/>
    <w:rsid w:val="000A3608"/>
    <w:rsid w:val="000A3664"/>
    <w:rsid w:val="000A3696"/>
    <w:rsid w:val="000A36E1"/>
    <w:rsid w:val="000A36FD"/>
    <w:rsid w:val="000A3708"/>
    <w:rsid w:val="000A3762"/>
    <w:rsid w:val="000A37A0"/>
    <w:rsid w:val="000A37BC"/>
    <w:rsid w:val="000A37E7"/>
    <w:rsid w:val="000A3873"/>
    <w:rsid w:val="000A3882"/>
    <w:rsid w:val="000A3884"/>
    <w:rsid w:val="000A3897"/>
    <w:rsid w:val="000A38B5"/>
    <w:rsid w:val="000A38DB"/>
    <w:rsid w:val="000A38EA"/>
    <w:rsid w:val="000A3961"/>
    <w:rsid w:val="000A3968"/>
    <w:rsid w:val="000A396B"/>
    <w:rsid w:val="000A3985"/>
    <w:rsid w:val="000A39D5"/>
    <w:rsid w:val="000A39D7"/>
    <w:rsid w:val="000A39EB"/>
    <w:rsid w:val="000A3A23"/>
    <w:rsid w:val="000A3A4F"/>
    <w:rsid w:val="000A3A79"/>
    <w:rsid w:val="000A3A84"/>
    <w:rsid w:val="000A3A9A"/>
    <w:rsid w:val="000A3ABC"/>
    <w:rsid w:val="000A3AC4"/>
    <w:rsid w:val="000A3AE1"/>
    <w:rsid w:val="000A3B13"/>
    <w:rsid w:val="000A3B2F"/>
    <w:rsid w:val="000A3B4A"/>
    <w:rsid w:val="000A3B59"/>
    <w:rsid w:val="000A3B64"/>
    <w:rsid w:val="000A3B6A"/>
    <w:rsid w:val="000A3B73"/>
    <w:rsid w:val="000A3B87"/>
    <w:rsid w:val="000A3BA3"/>
    <w:rsid w:val="000A3BEC"/>
    <w:rsid w:val="000A3BF0"/>
    <w:rsid w:val="000A3C2B"/>
    <w:rsid w:val="000A3CAB"/>
    <w:rsid w:val="000A3CAF"/>
    <w:rsid w:val="000A3CDA"/>
    <w:rsid w:val="000A3CF4"/>
    <w:rsid w:val="000A3D17"/>
    <w:rsid w:val="000A3D18"/>
    <w:rsid w:val="000A3D2A"/>
    <w:rsid w:val="000A3D8E"/>
    <w:rsid w:val="000A3DA8"/>
    <w:rsid w:val="000A3DAB"/>
    <w:rsid w:val="000A3DE9"/>
    <w:rsid w:val="000A3E23"/>
    <w:rsid w:val="000A3EC0"/>
    <w:rsid w:val="000A3F09"/>
    <w:rsid w:val="000A3F21"/>
    <w:rsid w:val="000A3F55"/>
    <w:rsid w:val="000A3F69"/>
    <w:rsid w:val="000A3F83"/>
    <w:rsid w:val="000A3FB9"/>
    <w:rsid w:val="000A3FC2"/>
    <w:rsid w:val="000A3FCE"/>
    <w:rsid w:val="000A4008"/>
    <w:rsid w:val="000A4016"/>
    <w:rsid w:val="000A405C"/>
    <w:rsid w:val="000A40C3"/>
    <w:rsid w:val="000A40D9"/>
    <w:rsid w:val="000A40F6"/>
    <w:rsid w:val="000A4179"/>
    <w:rsid w:val="000A418A"/>
    <w:rsid w:val="000A41F9"/>
    <w:rsid w:val="000A422C"/>
    <w:rsid w:val="000A423F"/>
    <w:rsid w:val="000A4283"/>
    <w:rsid w:val="000A42AE"/>
    <w:rsid w:val="000A42E8"/>
    <w:rsid w:val="000A42F3"/>
    <w:rsid w:val="000A431F"/>
    <w:rsid w:val="000A432D"/>
    <w:rsid w:val="000A435C"/>
    <w:rsid w:val="000A43AF"/>
    <w:rsid w:val="000A4405"/>
    <w:rsid w:val="000A4408"/>
    <w:rsid w:val="000A441C"/>
    <w:rsid w:val="000A4424"/>
    <w:rsid w:val="000A4465"/>
    <w:rsid w:val="000A446E"/>
    <w:rsid w:val="000A4493"/>
    <w:rsid w:val="000A4495"/>
    <w:rsid w:val="000A44A8"/>
    <w:rsid w:val="000A44B2"/>
    <w:rsid w:val="000A44BC"/>
    <w:rsid w:val="000A44E2"/>
    <w:rsid w:val="000A44ED"/>
    <w:rsid w:val="000A44F8"/>
    <w:rsid w:val="000A4592"/>
    <w:rsid w:val="000A45E8"/>
    <w:rsid w:val="000A461F"/>
    <w:rsid w:val="000A4649"/>
    <w:rsid w:val="000A464C"/>
    <w:rsid w:val="000A4654"/>
    <w:rsid w:val="000A46EB"/>
    <w:rsid w:val="000A46EE"/>
    <w:rsid w:val="000A4730"/>
    <w:rsid w:val="000A4748"/>
    <w:rsid w:val="000A4758"/>
    <w:rsid w:val="000A479A"/>
    <w:rsid w:val="000A47F5"/>
    <w:rsid w:val="000A4838"/>
    <w:rsid w:val="000A489A"/>
    <w:rsid w:val="000A48D7"/>
    <w:rsid w:val="000A48DB"/>
    <w:rsid w:val="000A48F6"/>
    <w:rsid w:val="000A490D"/>
    <w:rsid w:val="000A4930"/>
    <w:rsid w:val="000A4963"/>
    <w:rsid w:val="000A496C"/>
    <w:rsid w:val="000A4994"/>
    <w:rsid w:val="000A4A67"/>
    <w:rsid w:val="000A4A8F"/>
    <w:rsid w:val="000A4A9E"/>
    <w:rsid w:val="000A4AA1"/>
    <w:rsid w:val="000A4AAC"/>
    <w:rsid w:val="000A4ABD"/>
    <w:rsid w:val="000A4AEC"/>
    <w:rsid w:val="000A4B19"/>
    <w:rsid w:val="000A4B2F"/>
    <w:rsid w:val="000A4B7A"/>
    <w:rsid w:val="000A4B92"/>
    <w:rsid w:val="000A4B9D"/>
    <w:rsid w:val="000A4C1A"/>
    <w:rsid w:val="000A4C31"/>
    <w:rsid w:val="000A4CAD"/>
    <w:rsid w:val="000A4D01"/>
    <w:rsid w:val="000A4D07"/>
    <w:rsid w:val="000A4D26"/>
    <w:rsid w:val="000A4D50"/>
    <w:rsid w:val="000A4D56"/>
    <w:rsid w:val="000A4D7A"/>
    <w:rsid w:val="000A4DBA"/>
    <w:rsid w:val="000A4E63"/>
    <w:rsid w:val="000A4EA0"/>
    <w:rsid w:val="000A4F20"/>
    <w:rsid w:val="000A4F38"/>
    <w:rsid w:val="000A4F78"/>
    <w:rsid w:val="000A4F8A"/>
    <w:rsid w:val="000A4FD9"/>
    <w:rsid w:val="000A4FE0"/>
    <w:rsid w:val="000A5039"/>
    <w:rsid w:val="000A506B"/>
    <w:rsid w:val="000A507A"/>
    <w:rsid w:val="000A5088"/>
    <w:rsid w:val="000A5095"/>
    <w:rsid w:val="000A50D1"/>
    <w:rsid w:val="000A5118"/>
    <w:rsid w:val="000A515B"/>
    <w:rsid w:val="000A518B"/>
    <w:rsid w:val="000A51B6"/>
    <w:rsid w:val="000A51CF"/>
    <w:rsid w:val="000A51D2"/>
    <w:rsid w:val="000A523C"/>
    <w:rsid w:val="000A527E"/>
    <w:rsid w:val="000A52AB"/>
    <w:rsid w:val="000A5304"/>
    <w:rsid w:val="000A5332"/>
    <w:rsid w:val="000A5333"/>
    <w:rsid w:val="000A537C"/>
    <w:rsid w:val="000A539E"/>
    <w:rsid w:val="000A53E3"/>
    <w:rsid w:val="000A5449"/>
    <w:rsid w:val="000A5494"/>
    <w:rsid w:val="000A54CD"/>
    <w:rsid w:val="000A551F"/>
    <w:rsid w:val="000A5541"/>
    <w:rsid w:val="000A5554"/>
    <w:rsid w:val="000A5571"/>
    <w:rsid w:val="000A557A"/>
    <w:rsid w:val="000A55EA"/>
    <w:rsid w:val="000A5624"/>
    <w:rsid w:val="000A562D"/>
    <w:rsid w:val="000A567B"/>
    <w:rsid w:val="000A5700"/>
    <w:rsid w:val="000A573E"/>
    <w:rsid w:val="000A574D"/>
    <w:rsid w:val="000A57A2"/>
    <w:rsid w:val="000A5803"/>
    <w:rsid w:val="000A5810"/>
    <w:rsid w:val="000A5858"/>
    <w:rsid w:val="000A58A9"/>
    <w:rsid w:val="000A58B6"/>
    <w:rsid w:val="000A590F"/>
    <w:rsid w:val="000A5919"/>
    <w:rsid w:val="000A598E"/>
    <w:rsid w:val="000A59B0"/>
    <w:rsid w:val="000A59F0"/>
    <w:rsid w:val="000A59F7"/>
    <w:rsid w:val="000A5A2F"/>
    <w:rsid w:val="000A5A50"/>
    <w:rsid w:val="000A5A53"/>
    <w:rsid w:val="000A5A69"/>
    <w:rsid w:val="000A5A99"/>
    <w:rsid w:val="000A5A9A"/>
    <w:rsid w:val="000A5AD1"/>
    <w:rsid w:val="000A5AFF"/>
    <w:rsid w:val="000A5B16"/>
    <w:rsid w:val="000A5B1D"/>
    <w:rsid w:val="000A5B46"/>
    <w:rsid w:val="000A5B79"/>
    <w:rsid w:val="000A5BC3"/>
    <w:rsid w:val="000A5C2D"/>
    <w:rsid w:val="000A5D21"/>
    <w:rsid w:val="000A5D72"/>
    <w:rsid w:val="000A5D7B"/>
    <w:rsid w:val="000A5D95"/>
    <w:rsid w:val="000A5DA0"/>
    <w:rsid w:val="000A5DA9"/>
    <w:rsid w:val="000A5DAE"/>
    <w:rsid w:val="000A5DB6"/>
    <w:rsid w:val="000A5DC4"/>
    <w:rsid w:val="000A5DEE"/>
    <w:rsid w:val="000A5DFF"/>
    <w:rsid w:val="000A5E31"/>
    <w:rsid w:val="000A5E4B"/>
    <w:rsid w:val="000A5EC3"/>
    <w:rsid w:val="000A5ED6"/>
    <w:rsid w:val="000A5EDB"/>
    <w:rsid w:val="000A5EE1"/>
    <w:rsid w:val="000A5EFE"/>
    <w:rsid w:val="000A5F03"/>
    <w:rsid w:val="000A5F40"/>
    <w:rsid w:val="000A5F6D"/>
    <w:rsid w:val="000A5FB4"/>
    <w:rsid w:val="000A5FB7"/>
    <w:rsid w:val="000A5FDB"/>
    <w:rsid w:val="000A5FEA"/>
    <w:rsid w:val="000A6056"/>
    <w:rsid w:val="000A6066"/>
    <w:rsid w:val="000A6071"/>
    <w:rsid w:val="000A608A"/>
    <w:rsid w:val="000A60D1"/>
    <w:rsid w:val="000A60D2"/>
    <w:rsid w:val="000A60E6"/>
    <w:rsid w:val="000A60FA"/>
    <w:rsid w:val="000A611C"/>
    <w:rsid w:val="000A612F"/>
    <w:rsid w:val="000A6163"/>
    <w:rsid w:val="000A6164"/>
    <w:rsid w:val="000A6182"/>
    <w:rsid w:val="000A61A6"/>
    <w:rsid w:val="000A61C2"/>
    <w:rsid w:val="000A61EC"/>
    <w:rsid w:val="000A61FA"/>
    <w:rsid w:val="000A6257"/>
    <w:rsid w:val="000A6264"/>
    <w:rsid w:val="000A627B"/>
    <w:rsid w:val="000A62E4"/>
    <w:rsid w:val="000A62F4"/>
    <w:rsid w:val="000A62F8"/>
    <w:rsid w:val="000A630F"/>
    <w:rsid w:val="000A6346"/>
    <w:rsid w:val="000A6347"/>
    <w:rsid w:val="000A634C"/>
    <w:rsid w:val="000A636B"/>
    <w:rsid w:val="000A6378"/>
    <w:rsid w:val="000A63C3"/>
    <w:rsid w:val="000A63ED"/>
    <w:rsid w:val="000A63F7"/>
    <w:rsid w:val="000A6417"/>
    <w:rsid w:val="000A642F"/>
    <w:rsid w:val="000A6432"/>
    <w:rsid w:val="000A6482"/>
    <w:rsid w:val="000A64D8"/>
    <w:rsid w:val="000A64E7"/>
    <w:rsid w:val="000A64EB"/>
    <w:rsid w:val="000A64F2"/>
    <w:rsid w:val="000A64FE"/>
    <w:rsid w:val="000A6541"/>
    <w:rsid w:val="000A658D"/>
    <w:rsid w:val="000A658E"/>
    <w:rsid w:val="000A65B6"/>
    <w:rsid w:val="000A65D9"/>
    <w:rsid w:val="000A6621"/>
    <w:rsid w:val="000A6623"/>
    <w:rsid w:val="000A6633"/>
    <w:rsid w:val="000A663D"/>
    <w:rsid w:val="000A668E"/>
    <w:rsid w:val="000A66BA"/>
    <w:rsid w:val="000A66F0"/>
    <w:rsid w:val="000A66F2"/>
    <w:rsid w:val="000A6722"/>
    <w:rsid w:val="000A6748"/>
    <w:rsid w:val="000A6782"/>
    <w:rsid w:val="000A67C3"/>
    <w:rsid w:val="000A67C9"/>
    <w:rsid w:val="000A67D7"/>
    <w:rsid w:val="000A6800"/>
    <w:rsid w:val="000A6816"/>
    <w:rsid w:val="000A6857"/>
    <w:rsid w:val="000A68B0"/>
    <w:rsid w:val="000A691C"/>
    <w:rsid w:val="000A697A"/>
    <w:rsid w:val="000A6988"/>
    <w:rsid w:val="000A69A7"/>
    <w:rsid w:val="000A69BC"/>
    <w:rsid w:val="000A69F9"/>
    <w:rsid w:val="000A6A17"/>
    <w:rsid w:val="000A6A60"/>
    <w:rsid w:val="000A6A62"/>
    <w:rsid w:val="000A6A66"/>
    <w:rsid w:val="000A6A82"/>
    <w:rsid w:val="000A6A8C"/>
    <w:rsid w:val="000A6AA0"/>
    <w:rsid w:val="000A6AED"/>
    <w:rsid w:val="000A6B09"/>
    <w:rsid w:val="000A6B12"/>
    <w:rsid w:val="000A6B2D"/>
    <w:rsid w:val="000A6B8C"/>
    <w:rsid w:val="000A6BB4"/>
    <w:rsid w:val="000A6C07"/>
    <w:rsid w:val="000A6C65"/>
    <w:rsid w:val="000A6C7D"/>
    <w:rsid w:val="000A6C8B"/>
    <w:rsid w:val="000A6C9E"/>
    <w:rsid w:val="000A6CAE"/>
    <w:rsid w:val="000A6D0C"/>
    <w:rsid w:val="000A6D19"/>
    <w:rsid w:val="000A6D4A"/>
    <w:rsid w:val="000A6D69"/>
    <w:rsid w:val="000A6D9E"/>
    <w:rsid w:val="000A6DB6"/>
    <w:rsid w:val="000A6DF6"/>
    <w:rsid w:val="000A6DFE"/>
    <w:rsid w:val="000A6E2F"/>
    <w:rsid w:val="000A6E33"/>
    <w:rsid w:val="000A6E3E"/>
    <w:rsid w:val="000A6E96"/>
    <w:rsid w:val="000A6EAC"/>
    <w:rsid w:val="000A6ED6"/>
    <w:rsid w:val="000A6F28"/>
    <w:rsid w:val="000A6F37"/>
    <w:rsid w:val="000A6F5A"/>
    <w:rsid w:val="000A6FBF"/>
    <w:rsid w:val="000A6FD2"/>
    <w:rsid w:val="000A6FEC"/>
    <w:rsid w:val="000A6FF6"/>
    <w:rsid w:val="000A703A"/>
    <w:rsid w:val="000A7041"/>
    <w:rsid w:val="000A7087"/>
    <w:rsid w:val="000A709B"/>
    <w:rsid w:val="000A70AB"/>
    <w:rsid w:val="000A70C8"/>
    <w:rsid w:val="000A70CC"/>
    <w:rsid w:val="000A70E7"/>
    <w:rsid w:val="000A70EA"/>
    <w:rsid w:val="000A7157"/>
    <w:rsid w:val="000A7189"/>
    <w:rsid w:val="000A7258"/>
    <w:rsid w:val="000A7265"/>
    <w:rsid w:val="000A7275"/>
    <w:rsid w:val="000A728E"/>
    <w:rsid w:val="000A72BA"/>
    <w:rsid w:val="000A72EB"/>
    <w:rsid w:val="000A731E"/>
    <w:rsid w:val="000A733D"/>
    <w:rsid w:val="000A733E"/>
    <w:rsid w:val="000A734B"/>
    <w:rsid w:val="000A7358"/>
    <w:rsid w:val="000A7387"/>
    <w:rsid w:val="000A738F"/>
    <w:rsid w:val="000A73A8"/>
    <w:rsid w:val="000A73B5"/>
    <w:rsid w:val="000A73C6"/>
    <w:rsid w:val="000A73E6"/>
    <w:rsid w:val="000A744C"/>
    <w:rsid w:val="000A7470"/>
    <w:rsid w:val="000A74F6"/>
    <w:rsid w:val="000A754D"/>
    <w:rsid w:val="000A757C"/>
    <w:rsid w:val="000A75A8"/>
    <w:rsid w:val="000A75CB"/>
    <w:rsid w:val="000A75D1"/>
    <w:rsid w:val="000A75DE"/>
    <w:rsid w:val="000A75DF"/>
    <w:rsid w:val="000A75F3"/>
    <w:rsid w:val="000A760B"/>
    <w:rsid w:val="000A762C"/>
    <w:rsid w:val="000A7654"/>
    <w:rsid w:val="000A7693"/>
    <w:rsid w:val="000A76D0"/>
    <w:rsid w:val="000A7731"/>
    <w:rsid w:val="000A773F"/>
    <w:rsid w:val="000A7747"/>
    <w:rsid w:val="000A774F"/>
    <w:rsid w:val="000A7774"/>
    <w:rsid w:val="000A778F"/>
    <w:rsid w:val="000A77F3"/>
    <w:rsid w:val="000A7825"/>
    <w:rsid w:val="000A784E"/>
    <w:rsid w:val="000A7861"/>
    <w:rsid w:val="000A7868"/>
    <w:rsid w:val="000A788A"/>
    <w:rsid w:val="000A78E0"/>
    <w:rsid w:val="000A78EE"/>
    <w:rsid w:val="000A78F2"/>
    <w:rsid w:val="000A7902"/>
    <w:rsid w:val="000A7922"/>
    <w:rsid w:val="000A793D"/>
    <w:rsid w:val="000A7952"/>
    <w:rsid w:val="000A7976"/>
    <w:rsid w:val="000A7977"/>
    <w:rsid w:val="000A79F2"/>
    <w:rsid w:val="000A7A2B"/>
    <w:rsid w:val="000A7A33"/>
    <w:rsid w:val="000A7A5D"/>
    <w:rsid w:val="000A7A78"/>
    <w:rsid w:val="000A7A82"/>
    <w:rsid w:val="000A7AC8"/>
    <w:rsid w:val="000A7B0A"/>
    <w:rsid w:val="000A7B36"/>
    <w:rsid w:val="000A7B9F"/>
    <w:rsid w:val="000A7BA2"/>
    <w:rsid w:val="000A7BB4"/>
    <w:rsid w:val="000A7BB9"/>
    <w:rsid w:val="000A7BC0"/>
    <w:rsid w:val="000A7BC2"/>
    <w:rsid w:val="000A7BD7"/>
    <w:rsid w:val="000A7BF9"/>
    <w:rsid w:val="000A7C15"/>
    <w:rsid w:val="000A7C4E"/>
    <w:rsid w:val="000A7CAD"/>
    <w:rsid w:val="000A7CDC"/>
    <w:rsid w:val="000A7CFD"/>
    <w:rsid w:val="000A7D25"/>
    <w:rsid w:val="000A7D40"/>
    <w:rsid w:val="000A7D75"/>
    <w:rsid w:val="000A7D91"/>
    <w:rsid w:val="000A7DAA"/>
    <w:rsid w:val="000A7DFA"/>
    <w:rsid w:val="000A7E50"/>
    <w:rsid w:val="000A7E67"/>
    <w:rsid w:val="000A7E69"/>
    <w:rsid w:val="000A7E6E"/>
    <w:rsid w:val="000A7E89"/>
    <w:rsid w:val="000A7EEF"/>
    <w:rsid w:val="000A7F11"/>
    <w:rsid w:val="000A7FB6"/>
    <w:rsid w:val="000A7FBA"/>
    <w:rsid w:val="000B002A"/>
    <w:rsid w:val="000B0063"/>
    <w:rsid w:val="000B0076"/>
    <w:rsid w:val="000B00B5"/>
    <w:rsid w:val="000B00DA"/>
    <w:rsid w:val="000B00E2"/>
    <w:rsid w:val="000B0155"/>
    <w:rsid w:val="000B01B2"/>
    <w:rsid w:val="000B0211"/>
    <w:rsid w:val="000B0212"/>
    <w:rsid w:val="000B023B"/>
    <w:rsid w:val="000B026D"/>
    <w:rsid w:val="000B02B8"/>
    <w:rsid w:val="000B02CB"/>
    <w:rsid w:val="000B02CE"/>
    <w:rsid w:val="000B02E2"/>
    <w:rsid w:val="000B0302"/>
    <w:rsid w:val="000B0322"/>
    <w:rsid w:val="000B0331"/>
    <w:rsid w:val="000B034D"/>
    <w:rsid w:val="000B0359"/>
    <w:rsid w:val="000B0383"/>
    <w:rsid w:val="000B0399"/>
    <w:rsid w:val="000B0413"/>
    <w:rsid w:val="000B0440"/>
    <w:rsid w:val="000B0443"/>
    <w:rsid w:val="000B0451"/>
    <w:rsid w:val="000B045E"/>
    <w:rsid w:val="000B0465"/>
    <w:rsid w:val="000B04B4"/>
    <w:rsid w:val="000B04C1"/>
    <w:rsid w:val="000B0513"/>
    <w:rsid w:val="000B0533"/>
    <w:rsid w:val="000B0573"/>
    <w:rsid w:val="000B05D2"/>
    <w:rsid w:val="000B05DA"/>
    <w:rsid w:val="000B05FF"/>
    <w:rsid w:val="000B063E"/>
    <w:rsid w:val="000B0649"/>
    <w:rsid w:val="000B064B"/>
    <w:rsid w:val="000B0653"/>
    <w:rsid w:val="000B065A"/>
    <w:rsid w:val="000B0693"/>
    <w:rsid w:val="000B069C"/>
    <w:rsid w:val="000B06A5"/>
    <w:rsid w:val="000B06C9"/>
    <w:rsid w:val="000B072C"/>
    <w:rsid w:val="000B0748"/>
    <w:rsid w:val="000B0759"/>
    <w:rsid w:val="000B0775"/>
    <w:rsid w:val="000B0797"/>
    <w:rsid w:val="000B07E4"/>
    <w:rsid w:val="000B0803"/>
    <w:rsid w:val="000B08C5"/>
    <w:rsid w:val="000B0905"/>
    <w:rsid w:val="000B092D"/>
    <w:rsid w:val="000B093D"/>
    <w:rsid w:val="000B0956"/>
    <w:rsid w:val="000B0973"/>
    <w:rsid w:val="000B09B7"/>
    <w:rsid w:val="000B09CF"/>
    <w:rsid w:val="000B0A51"/>
    <w:rsid w:val="000B0A59"/>
    <w:rsid w:val="000B0A64"/>
    <w:rsid w:val="000B0A65"/>
    <w:rsid w:val="000B0AA5"/>
    <w:rsid w:val="000B0AAC"/>
    <w:rsid w:val="000B0ABD"/>
    <w:rsid w:val="000B0AFF"/>
    <w:rsid w:val="000B0B6A"/>
    <w:rsid w:val="000B0BB5"/>
    <w:rsid w:val="000B0BD0"/>
    <w:rsid w:val="000B0C1D"/>
    <w:rsid w:val="000B0C83"/>
    <w:rsid w:val="000B0C94"/>
    <w:rsid w:val="000B0C9C"/>
    <w:rsid w:val="000B0CBD"/>
    <w:rsid w:val="000B0CEB"/>
    <w:rsid w:val="000B0CFC"/>
    <w:rsid w:val="000B0D5D"/>
    <w:rsid w:val="000B0DB7"/>
    <w:rsid w:val="000B0DD9"/>
    <w:rsid w:val="000B0E06"/>
    <w:rsid w:val="000B0E69"/>
    <w:rsid w:val="000B0E8A"/>
    <w:rsid w:val="000B0EBE"/>
    <w:rsid w:val="000B0EBF"/>
    <w:rsid w:val="000B0EDB"/>
    <w:rsid w:val="000B0EEC"/>
    <w:rsid w:val="000B0F40"/>
    <w:rsid w:val="000B0F44"/>
    <w:rsid w:val="000B0F7F"/>
    <w:rsid w:val="000B0FDE"/>
    <w:rsid w:val="000B0FED"/>
    <w:rsid w:val="000B100B"/>
    <w:rsid w:val="000B1018"/>
    <w:rsid w:val="000B1048"/>
    <w:rsid w:val="000B1060"/>
    <w:rsid w:val="000B1070"/>
    <w:rsid w:val="000B107B"/>
    <w:rsid w:val="000B10A3"/>
    <w:rsid w:val="000B1105"/>
    <w:rsid w:val="000B1150"/>
    <w:rsid w:val="000B122D"/>
    <w:rsid w:val="000B1247"/>
    <w:rsid w:val="000B126A"/>
    <w:rsid w:val="000B12A3"/>
    <w:rsid w:val="000B12DE"/>
    <w:rsid w:val="000B12E0"/>
    <w:rsid w:val="000B12F9"/>
    <w:rsid w:val="000B130B"/>
    <w:rsid w:val="000B130D"/>
    <w:rsid w:val="000B133C"/>
    <w:rsid w:val="000B1399"/>
    <w:rsid w:val="000B13B5"/>
    <w:rsid w:val="000B140F"/>
    <w:rsid w:val="000B1411"/>
    <w:rsid w:val="000B1424"/>
    <w:rsid w:val="000B1459"/>
    <w:rsid w:val="000B145D"/>
    <w:rsid w:val="000B14C2"/>
    <w:rsid w:val="000B156B"/>
    <w:rsid w:val="000B15ED"/>
    <w:rsid w:val="000B1637"/>
    <w:rsid w:val="000B1641"/>
    <w:rsid w:val="000B1682"/>
    <w:rsid w:val="000B1693"/>
    <w:rsid w:val="000B16A1"/>
    <w:rsid w:val="000B16CD"/>
    <w:rsid w:val="000B1724"/>
    <w:rsid w:val="000B174D"/>
    <w:rsid w:val="000B174E"/>
    <w:rsid w:val="000B1763"/>
    <w:rsid w:val="000B17AF"/>
    <w:rsid w:val="000B17B6"/>
    <w:rsid w:val="000B17CA"/>
    <w:rsid w:val="000B17CD"/>
    <w:rsid w:val="000B1892"/>
    <w:rsid w:val="000B18A5"/>
    <w:rsid w:val="000B18BB"/>
    <w:rsid w:val="000B18DE"/>
    <w:rsid w:val="000B18ED"/>
    <w:rsid w:val="000B1921"/>
    <w:rsid w:val="000B192B"/>
    <w:rsid w:val="000B1942"/>
    <w:rsid w:val="000B1975"/>
    <w:rsid w:val="000B1979"/>
    <w:rsid w:val="000B1992"/>
    <w:rsid w:val="000B19A5"/>
    <w:rsid w:val="000B19BA"/>
    <w:rsid w:val="000B19C4"/>
    <w:rsid w:val="000B19E4"/>
    <w:rsid w:val="000B1A24"/>
    <w:rsid w:val="000B1A29"/>
    <w:rsid w:val="000B1A5A"/>
    <w:rsid w:val="000B1A88"/>
    <w:rsid w:val="000B1AE4"/>
    <w:rsid w:val="000B1AF4"/>
    <w:rsid w:val="000B1AF9"/>
    <w:rsid w:val="000B1B0A"/>
    <w:rsid w:val="000B1B16"/>
    <w:rsid w:val="000B1B23"/>
    <w:rsid w:val="000B1B56"/>
    <w:rsid w:val="000B1B97"/>
    <w:rsid w:val="000B1BA6"/>
    <w:rsid w:val="000B1BAE"/>
    <w:rsid w:val="000B1BB5"/>
    <w:rsid w:val="000B1BCE"/>
    <w:rsid w:val="000B1BD7"/>
    <w:rsid w:val="000B1C0A"/>
    <w:rsid w:val="000B1C0B"/>
    <w:rsid w:val="000B1C3E"/>
    <w:rsid w:val="000B1C45"/>
    <w:rsid w:val="000B1C49"/>
    <w:rsid w:val="000B1D2D"/>
    <w:rsid w:val="000B1D57"/>
    <w:rsid w:val="000B1D8E"/>
    <w:rsid w:val="000B1DA3"/>
    <w:rsid w:val="000B1DC4"/>
    <w:rsid w:val="000B1E30"/>
    <w:rsid w:val="000B1E4A"/>
    <w:rsid w:val="000B1F0F"/>
    <w:rsid w:val="000B1F18"/>
    <w:rsid w:val="000B1F1F"/>
    <w:rsid w:val="000B1F79"/>
    <w:rsid w:val="000B1FAD"/>
    <w:rsid w:val="000B1FAF"/>
    <w:rsid w:val="000B1FCB"/>
    <w:rsid w:val="000B206F"/>
    <w:rsid w:val="000B2081"/>
    <w:rsid w:val="000B20A5"/>
    <w:rsid w:val="000B20FC"/>
    <w:rsid w:val="000B2117"/>
    <w:rsid w:val="000B2169"/>
    <w:rsid w:val="000B217A"/>
    <w:rsid w:val="000B21A5"/>
    <w:rsid w:val="000B21C1"/>
    <w:rsid w:val="000B2211"/>
    <w:rsid w:val="000B224F"/>
    <w:rsid w:val="000B2258"/>
    <w:rsid w:val="000B2267"/>
    <w:rsid w:val="000B227E"/>
    <w:rsid w:val="000B229D"/>
    <w:rsid w:val="000B230E"/>
    <w:rsid w:val="000B233E"/>
    <w:rsid w:val="000B2341"/>
    <w:rsid w:val="000B2381"/>
    <w:rsid w:val="000B2389"/>
    <w:rsid w:val="000B239F"/>
    <w:rsid w:val="000B23C7"/>
    <w:rsid w:val="000B23F5"/>
    <w:rsid w:val="000B2403"/>
    <w:rsid w:val="000B2431"/>
    <w:rsid w:val="000B2446"/>
    <w:rsid w:val="000B24B9"/>
    <w:rsid w:val="000B24BD"/>
    <w:rsid w:val="000B24CD"/>
    <w:rsid w:val="000B24EC"/>
    <w:rsid w:val="000B24FF"/>
    <w:rsid w:val="000B25C1"/>
    <w:rsid w:val="000B264F"/>
    <w:rsid w:val="000B2650"/>
    <w:rsid w:val="000B26BF"/>
    <w:rsid w:val="000B26C6"/>
    <w:rsid w:val="000B2724"/>
    <w:rsid w:val="000B2737"/>
    <w:rsid w:val="000B274D"/>
    <w:rsid w:val="000B2774"/>
    <w:rsid w:val="000B2791"/>
    <w:rsid w:val="000B2795"/>
    <w:rsid w:val="000B27CD"/>
    <w:rsid w:val="000B27D3"/>
    <w:rsid w:val="000B2837"/>
    <w:rsid w:val="000B2853"/>
    <w:rsid w:val="000B2882"/>
    <w:rsid w:val="000B288C"/>
    <w:rsid w:val="000B28B4"/>
    <w:rsid w:val="000B2901"/>
    <w:rsid w:val="000B2961"/>
    <w:rsid w:val="000B29B8"/>
    <w:rsid w:val="000B2A4E"/>
    <w:rsid w:val="000B2A53"/>
    <w:rsid w:val="000B2A6C"/>
    <w:rsid w:val="000B2A7D"/>
    <w:rsid w:val="000B2A94"/>
    <w:rsid w:val="000B2AAC"/>
    <w:rsid w:val="000B2ABF"/>
    <w:rsid w:val="000B2AC0"/>
    <w:rsid w:val="000B2AD1"/>
    <w:rsid w:val="000B2B29"/>
    <w:rsid w:val="000B2BA8"/>
    <w:rsid w:val="000B2BBE"/>
    <w:rsid w:val="000B2C00"/>
    <w:rsid w:val="000B2C7E"/>
    <w:rsid w:val="000B2C8A"/>
    <w:rsid w:val="000B2CE0"/>
    <w:rsid w:val="000B2CFE"/>
    <w:rsid w:val="000B2D6C"/>
    <w:rsid w:val="000B2D6F"/>
    <w:rsid w:val="000B2D77"/>
    <w:rsid w:val="000B2DE4"/>
    <w:rsid w:val="000B2DF1"/>
    <w:rsid w:val="000B2DFE"/>
    <w:rsid w:val="000B2E4B"/>
    <w:rsid w:val="000B2E80"/>
    <w:rsid w:val="000B2EAD"/>
    <w:rsid w:val="000B2EB2"/>
    <w:rsid w:val="000B2EBF"/>
    <w:rsid w:val="000B2EC5"/>
    <w:rsid w:val="000B2EDD"/>
    <w:rsid w:val="000B2F23"/>
    <w:rsid w:val="000B2F4F"/>
    <w:rsid w:val="000B2F73"/>
    <w:rsid w:val="000B2F9D"/>
    <w:rsid w:val="000B2FE6"/>
    <w:rsid w:val="000B3002"/>
    <w:rsid w:val="000B302D"/>
    <w:rsid w:val="000B303A"/>
    <w:rsid w:val="000B3069"/>
    <w:rsid w:val="000B3071"/>
    <w:rsid w:val="000B3088"/>
    <w:rsid w:val="000B30D6"/>
    <w:rsid w:val="000B30E8"/>
    <w:rsid w:val="000B310D"/>
    <w:rsid w:val="000B3118"/>
    <w:rsid w:val="000B3121"/>
    <w:rsid w:val="000B3143"/>
    <w:rsid w:val="000B3162"/>
    <w:rsid w:val="000B317D"/>
    <w:rsid w:val="000B317F"/>
    <w:rsid w:val="000B31CC"/>
    <w:rsid w:val="000B31D0"/>
    <w:rsid w:val="000B3243"/>
    <w:rsid w:val="000B3255"/>
    <w:rsid w:val="000B3257"/>
    <w:rsid w:val="000B3278"/>
    <w:rsid w:val="000B3289"/>
    <w:rsid w:val="000B3296"/>
    <w:rsid w:val="000B32DD"/>
    <w:rsid w:val="000B32E1"/>
    <w:rsid w:val="000B32F1"/>
    <w:rsid w:val="000B32F2"/>
    <w:rsid w:val="000B334D"/>
    <w:rsid w:val="000B3399"/>
    <w:rsid w:val="000B33B8"/>
    <w:rsid w:val="000B33D0"/>
    <w:rsid w:val="000B33F8"/>
    <w:rsid w:val="000B345E"/>
    <w:rsid w:val="000B3487"/>
    <w:rsid w:val="000B349E"/>
    <w:rsid w:val="000B34AD"/>
    <w:rsid w:val="000B34B5"/>
    <w:rsid w:val="000B34BC"/>
    <w:rsid w:val="000B34DC"/>
    <w:rsid w:val="000B34FA"/>
    <w:rsid w:val="000B3533"/>
    <w:rsid w:val="000B3553"/>
    <w:rsid w:val="000B3557"/>
    <w:rsid w:val="000B3570"/>
    <w:rsid w:val="000B357E"/>
    <w:rsid w:val="000B3592"/>
    <w:rsid w:val="000B35B6"/>
    <w:rsid w:val="000B362F"/>
    <w:rsid w:val="000B3642"/>
    <w:rsid w:val="000B367E"/>
    <w:rsid w:val="000B3699"/>
    <w:rsid w:val="000B36E3"/>
    <w:rsid w:val="000B371A"/>
    <w:rsid w:val="000B3721"/>
    <w:rsid w:val="000B3746"/>
    <w:rsid w:val="000B3795"/>
    <w:rsid w:val="000B37C1"/>
    <w:rsid w:val="000B37C4"/>
    <w:rsid w:val="000B37C7"/>
    <w:rsid w:val="000B37F6"/>
    <w:rsid w:val="000B3808"/>
    <w:rsid w:val="000B3825"/>
    <w:rsid w:val="000B382A"/>
    <w:rsid w:val="000B3898"/>
    <w:rsid w:val="000B38E2"/>
    <w:rsid w:val="000B3919"/>
    <w:rsid w:val="000B395B"/>
    <w:rsid w:val="000B3968"/>
    <w:rsid w:val="000B39A3"/>
    <w:rsid w:val="000B39AB"/>
    <w:rsid w:val="000B39B0"/>
    <w:rsid w:val="000B39D2"/>
    <w:rsid w:val="000B3A7A"/>
    <w:rsid w:val="000B3A7B"/>
    <w:rsid w:val="000B3A81"/>
    <w:rsid w:val="000B3AA7"/>
    <w:rsid w:val="000B3AD0"/>
    <w:rsid w:val="000B3B03"/>
    <w:rsid w:val="000B3B26"/>
    <w:rsid w:val="000B3B70"/>
    <w:rsid w:val="000B3BD6"/>
    <w:rsid w:val="000B3BE1"/>
    <w:rsid w:val="000B3C02"/>
    <w:rsid w:val="000B3C1C"/>
    <w:rsid w:val="000B3C4B"/>
    <w:rsid w:val="000B3C64"/>
    <w:rsid w:val="000B3C77"/>
    <w:rsid w:val="000B3CC7"/>
    <w:rsid w:val="000B3CE0"/>
    <w:rsid w:val="000B3D1F"/>
    <w:rsid w:val="000B3D66"/>
    <w:rsid w:val="000B3D97"/>
    <w:rsid w:val="000B3DB5"/>
    <w:rsid w:val="000B3DF6"/>
    <w:rsid w:val="000B3E10"/>
    <w:rsid w:val="000B3E1A"/>
    <w:rsid w:val="000B3E4D"/>
    <w:rsid w:val="000B3E87"/>
    <w:rsid w:val="000B3ED3"/>
    <w:rsid w:val="000B3EF2"/>
    <w:rsid w:val="000B3F12"/>
    <w:rsid w:val="000B3F6B"/>
    <w:rsid w:val="000B3F75"/>
    <w:rsid w:val="000B3F85"/>
    <w:rsid w:val="000B3F99"/>
    <w:rsid w:val="000B3F9B"/>
    <w:rsid w:val="000B3F9D"/>
    <w:rsid w:val="000B3F9E"/>
    <w:rsid w:val="000B3FCE"/>
    <w:rsid w:val="000B3FF1"/>
    <w:rsid w:val="000B405E"/>
    <w:rsid w:val="000B408E"/>
    <w:rsid w:val="000B40C3"/>
    <w:rsid w:val="000B40D4"/>
    <w:rsid w:val="000B40E6"/>
    <w:rsid w:val="000B40F4"/>
    <w:rsid w:val="000B40F9"/>
    <w:rsid w:val="000B411E"/>
    <w:rsid w:val="000B4146"/>
    <w:rsid w:val="000B4157"/>
    <w:rsid w:val="000B415F"/>
    <w:rsid w:val="000B417A"/>
    <w:rsid w:val="000B418A"/>
    <w:rsid w:val="000B41F5"/>
    <w:rsid w:val="000B421E"/>
    <w:rsid w:val="000B4251"/>
    <w:rsid w:val="000B426E"/>
    <w:rsid w:val="000B4286"/>
    <w:rsid w:val="000B42E5"/>
    <w:rsid w:val="000B42EC"/>
    <w:rsid w:val="000B42F3"/>
    <w:rsid w:val="000B4305"/>
    <w:rsid w:val="000B4320"/>
    <w:rsid w:val="000B43A7"/>
    <w:rsid w:val="000B43BA"/>
    <w:rsid w:val="000B440E"/>
    <w:rsid w:val="000B4412"/>
    <w:rsid w:val="000B4422"/>
    <w:rsid w:val="000B442D"/>
    <w:rsid w:val="000B444C"/>
    <w:rsid w:val="000B4460"/>
    <w:rsid w:val="000B4475"/>
    <w:rsid w:val="000B4489"/>
    <w:rsid w:val="000B44A9"/>
    <w:rsid w:val="000B44B7"/>
    <w:rsid w:val="000B44F7"/>
    <w:rsid w:val="000B44FD"/>
    <w:rsid w:val="000B454E"/>
    <w:rsid w:val="000B456F"/>
    <w:rsid w:val="000B45C5"/>
    <w:rsid w:val="000B45C6"/>
    <w:rsid w:val="000B4633"/>
    <w:rsid w:val="000B463C"/>
    <w:rsid w:val="000B4658"/>
    <w:rsid w:val="000B468A"/>
    <w:rsid w:val="000B468C"/>
    <w:rsid w:val="000B4700"/>
    <w:rsid w:val="000B477E"/>
    <w:rsid w:val="000B481C"/>
    <w:rsid w:val="000B48B9"/>
    <w:rsid w:val="000B4968"/>
    <w:rsid w:val="000B4993"/>
    <w:rsid w:val="000B49C7"/>
    <w:rsid w:val="000B49D2"/>
    <w:rsid w:val="000B49E0"/>
    <w:rsid w:val="000B4A17"/>
    <w:rsid w:val="000B4A2F"/>
    <w:rsid w:val="000B4AA5"/>
    <w:rsid w:val="000B4AC9"/>
    <w:rsid w:val="000B4B1D"/>
    <w:rsid w:val="000B4B2C"/>
    <w:rsid w:val="000B4B33"/>
    <w:rsid w:val="000B4B3F"/>
    <w:rsid w:val="000B4B62"/>
    <w:rsid w:val="000B4BB2"/>
    <w:rsid w:val="000B4BCE"/>
    <w:rsid w:val="000B4BDC"/>
    <w:rsid w:val="000B4C2F"/>
    <w:rsid w:val="000B4C32"/>
    <w:rsid w:val="000B4C98"/>
    <w:rsid w:val="000B4CAA"/>
    <w:rsid w:val="000B4CB5"/>
    <w:rsid w:val="000B4CCD"/>
    <w:rsid w:val="000B4CEC"/>
    <w:rsid w:val="000B4D59"/>
    <w:rsid w:val="000B4DEC"/>
    <w:rsid w:val="000B4DF0"/>
    <w:rsid w:val="000B4E01"/>
    <w:rsid w:val="000B4E12"/>
    <w:rsid w:val="000B4E26"/>
    <w:rsid w:val="000B4E5A"/>
    <w:rsid w:val="000B4EB9"/>
    <w:rsid w:val="000B4ED2"/>
    <w:rsid w:val="000B4ED7"/>
    <w:rsid w:val="000B4EFF"/>
    <w:rsid w:val="000B4F07"/>
    <w:rsid w:val="000B4F0E"/>
    <w:rsid w:val="000B4F10"/>
    <w:rsid w:val="000B4F2A"/>
    <w:rsid w:val="000B4F2B"/>
    <w:rsid w:val="000B4F2F"/>
    <w:rsid w:val="000B4F62"/>
    <w:rsid w:val="000B4F79"/>
    <w:rsid w:val="000B4F91"/>
    <w:rsid w:val="000B4FF1"/>
    <w:rsid w:val="000B5038"/>
    <w:rsid w:val="000B5056"/>
    <w:rsid w:val="000B5081"/>
    <w:rsid w:val="000B5086"/>
    <w:rsid w:val="000B508E"/>
    <w:rsid w:val="000B50A7"/>
    <w:rsid w:val="000B50AE"/>
    <w:rsid w:val="000B50FB"/>
    <w:rsid w:val="000B5117"/>
    <w:rsid w:val="000B5156"/>
    <w:rsid w:val="000B516D"/>
    <w:rsid w:val="000B5186"/>
    <w:rsid w:val="000B519D"/>
    <w:rsid w:val="000B51F7"/>
    <w:rsid w:val="000B5206"/>
    <w:rsid w:val="000B520C"/>
    <w:rsid w:val="000B521D"/>
    <w:rsid w:val="000B5226"/>
    <w:rsid w:val="000B5242"/>
    <w:rsid w:val="000B5271"/>
    <w:rsid w:val="000B52B9"/>
    <w:rsid w:val="000B52BD"/>
    <w:rsid w:val="000B5358"/>
    <w:rsid w:val="000B5383"/>
    <w:rsid w:val="000B5392"/>
    <w:rsid w:val="000B53CB"/>
    <w:rsid w:val="000B53DC"/>
    <w:rsid w:val="000B544B"/>
    <w:rsid w:val="000B5457"/>
    <w:rsid w:val="000B5474"/>
    <w:rsid w:val="000B54A4"/>
    <w:rsid w:val="000B54DF"/>
    <w:rsid w:val="000B54E9"/>
    <w:rsid w:val="000B5541"/>
    <w:rsid w:val="000B556F"/>
    <w:rsid w:val="000B5594"/>
    <w:rsid w:val="000B55AA"/>
    <w:rsid w:val="000B55CA"/>
    <w:rsid w:val="000B55DC"/>
    <w:rsid w:val="000B561F"/>
    <w:rsid w:val="000B5644"/>
    <w:rsid w:val="000B564F"/>
    <w:rsid w:val="000B5679"/>
    <w:rsid w:val="000B569E"/>
    <w:rsid w:val="000B56D6"/>
    <w:rsid w:val="000B56D9"/>
    <w:rsid w:val="000B571E"/>
    <w:rsid w:val="000B573F"/>
    <w:rsid w:val="000B5781"/>
    <w:rsid w:val="000B579D"/>
    <w:rsid w:val="000B57D0"/>
    <w:rsid w:val="000B57E8"/>
    <w:rsid w:val="000B5816"/>
    <w:rsid w:val="000B5829"/>
    <w:rsid w:val="000B583B"/>
    <w:rsid w:val="000B58BA"/>
    <w:rsid w:val="000B58FF"/>
    <w:rsid w:val="000B595D"/>
    <w:rsid w:val="000B5962"/>
    <w:rsid w:val="000B5966"/>
    <w:rsid w:val="000B598E"/>
    <w:rsid w:val="000B59E1"/>
    <w:rsid w:val="000B59E2"/>
    <w:rsid w:val="000B59E5"/>
    <w:rsid w:val="000B59ED"/>
    <w:rsid w:val="000B5A18"/>
    <w:rsid w:val="000B5A25"/>
    <w:rsid w:val="000B5A5F"/>
    <w:rsid w:val="000B5A6C"/>
    <w:rsid w:val="000B5AB7"/>
    <w:rsid w:val="000B5B67"/>
    <w:rsid w:val="000B5B75"/>
    <w:rsid w:val="000B5B87"/>
    <w:rsid w:val="000B5B97"/>
    <w:rsid w:val="000B5BBB"/>
    <w:rsid w:val="000B5C03"/>
    <w:rsid w:val="000B5C04"/>
    <w:rsid w:val="000B5C0F"/>
    <w:rsid w:val="000B5C14"/>
    <w:rsid w:val="000B5C19"/>
    <w:rsid w:val="000B5C1C"/>
    <w:rsid w:val="000B5C26"/>
    <w:rsid w:val="000B5C31"/>
    <w:rsid w:val="000B5C38"/>
    <w:rsid w:val="000B5C5B"/>
    <w:rsid w:val="000B5CCF"/>
    <w:rsid w:val="000B5D08"/>
    <w:rsid w:val="000B5DA5"/>
    <w:rsid w:val="000B5DAB"/>
    <w:rsid w:val="000B5DED"/>
    <w:rsid w:val="000B5E26"/>
    <w:rsid w:val="000B5E65"/>
    <w:rsid w:val="000B5EA2"/>
    <w:rsid w:val="000B5EA9"/>
    <w:rsid w:val="000B5F2D"/>
    <w:rsid w:val="000B5F7C"/>
    <w:rsid w:val="000B5F89"/>
    <w:rsid w:val="000B5F8C"/>
    <w:rsid w:val="000B5FA4"/>
    <w:rsid w:val="000B5FD0"/>
    <w:rsid w:val="000B5FDA"/>
    <w:rsid w:val="000B6004"/>
    <w:rsid w:val="000B6035"/>
    <w:rsid w:val="000B6083"/>
    <w:rsid w:val="000B608E"/>
    <w:rsid w:val="000B60AC"/>
    <w:rsid w:val="000B60C3"/>
    <w:rsid w:val="000B60C7"/>
    <w:rsid w:val="000B60D2"/>
    <w:rsid w:val="000B60ED"/>
    <w:rsid w:val="000B6166"/>
    <w:rsid w:val="000B6168"/>
    <w:rsid w:val="000B61AB"/>
    <w:rsid w:val="000B61B4"/>
    <w:rsid w:val="000B61C3"/>
    <w:rsid w:val="000B6220"/>
    <w:rsid w:val="000B6228"/>
    <w:rsid w:val="000B622B"/>
    <w:rsid w:val="000B6258"/>
    <w:rsid w:val="000B629E"/>
    <w:rsid w:val="000B62A1"/>
    <w:rsid w:val="000B62A5"/>
    <w:rsid w:val="000B62A7"/>
    <w:rsid w:val="000B62FF"/>
    <w:rsid w:val="000B637B"/>
    <w:rsid w:val="000B6391"/>
    <w:rsid w:val="000B6397"/>
    <w:rsid w:val="000B6398"/>
    <w:rsid w:val="000B63A2"/>
    <w:rsid w:val="000B63B4"/>
    <w:rsid w:val="000B63BE"/>
    <w:rsid w:val="000B644F"/>
    <w:rsid w:val="000B6458"/>
    <w:rsid w:val="000B647F"/>
    <w:rsid w:val="000B64AA"/>
    <w:rsid w:val="000B64C4"/>
    <w:rsid w:val="000B64C8"/>
    <w:rsid w:val="000B6530"/>
    <w:rsid w:val="000B655A"/>
    <w:rsid w:val="000B658E"/>
    <w:rsid w:val="000B658F"/>
    <w:rsid w:val="000B6590"/>
    <w:rsid w:val="000B65D2"/>
    <w:rsid w:val="000B6676"/>
    <w:rsid w:val="000B66BB"/>
    <w:rsid w:val="000B66E4"/>
    <w:rsid w:val="000B66EA"/>
    <w:rsid w:val="000B670B"/>
    <w:rsid w:val="000B6752"/>
    <w:rsid w:val="000B6771"/>
    <w:rsid w:val="000B67A2"/>
    <w:rsid w:val="000B67D8"/>
    <w:rsid w:val="000B67E0"/>
    <w:rsid w:val="000B6804"/>
    <w:rsid w:val="000B686A"/>
    <w:rsid w:val="000B6873"/>
    <w:rsid w:val="000B68AD"/>
    <w:rsid w:val="000B68F7"/>
    <w:rsid w:val="000B6900"/>
    <w:rsid w:val="000B6912"/>
    <w:rsid w:val="000B6963"/>
    <w:rsid w:val="000B697E"/>
    <w:rsid w:val="000B69C1"/>
    <w:rsid w:val="000B69CB"/>
    <w:rsid w:val="000B69F8"/>
    <w:rsid w:val="000B6A09"/>
    <w:rsid w:val="000B6A11"/>
    <w:rsid w:val="000B6A3D"/>
    <w:rsid w:val="000B6A6F"/>
    <w:rsid w:val="000B6A87"/>
    <w:rsid w:val="000B6AAA"/>
    <w:rsid w:val="000B6AC5"/>
    <w:rsid w:val="000B6B50"/>
    <w:rsid w:val="000B6B9E"/>
    <w:rsid w:val="000B6BA1"/>
    <w:rsid w:val="000B6BF2"/>
    <w:rsid w:val="000B6C1F"/>
    <w:rsid w:val="000B6C20"/>
    <w:rsid w:val="000B6C23"/>
    <w:rsid w:val="000B6C59"/>
    <w:rsid w:val="000B6C62"/>
    <w:rsid w:val="000B6C69"/>
    <w:rsid w:val="000B6C79"/>
    <w:rsid w:val="000B6CA7"/>
    <w:rsid w:val="000B6CDE"/>
    <w:rsid w:val="000B6CEE"/>
    <w:rsid w:val="000B6D5B"/>
    <w:rsid w:val="000B6D63"/>
    <w:rsid w:val="000B6D99"/>
    <w:rsid w:val="000B6DD5"/>
    <w:rsid w:val="000B6DED"/>
    <w:rsid w:val="000B6E1B"/>
    <w:rsid w:val="000B6E95"/>
    <w:rsid w:val="000B6EEB"/>
    <w:rsid w:val="000B6F52"/>
    <w:rsid w:val="000B6FC3"/>
    <w:rsid w:val="000B6FD0"/>
    <w:rsid w:val="000B6FDC"/>
    <w:rsid w:val="000B7035"/>
    <w:rsid w:val="000B7047"/>
    <w:rsid w:val="000B704F"/>
    <w:rsid w:val="000B7074"/>
    <w:rsid w:val="000B70E6"/>
    <w:rsid w:val="000B7144"/>
    <w:rsid w:val="000B7154"/>
    <w:rsid w:val="000B715D"/>
    <w:rsid w:val="000B71E8"/>
    <w:rsid w:val="000B7228"/>
    <w:rsid w:val="000B723E"/>
    <w:rsid w:val="000B726F"/>
    <w:rsid w:val="000B72CC"/>
    <w:rsid w:val="000B72CD"/>
    <w:rsid w:val="000B72EA"/>
    <w:rsid w:val="000B7306"/>
    <w:rsid w:val="000B730F"/>
    <w:rsid w:val="000B7315"/>
    <w:rsid w:val="000B7364"/>
    <w:rsid w:val="000B7386"/>
    <w:rsid w:val="000B73FC"/>
    <w:rsid w:val="000B7433"/>
    <w:rsid w:val="000B7439"/>
    <w:rsid w:val="000B743D"/>
    <w:rsid w:val="000B747A"/>
    <w:rsid w:val="000B7492"/>
    <w:rsid w:val="000B74A3"/>
    <w:rsid w:val="000B74B4"/>
    <w:rsid w:val="000B74B6"/>
    <w:rsid w:val="000B74FF"/>
    <w:rsid w:val="000B7515"/>
    <w:rsid w:val="000B752F"/>
    <w:rsid w:val="000B7555"/>
    <w:rsid w:val="000B7569"/>
    <w:rsid w:val="000B756F"/>
    <w:rsid w:val="000B758C"/>
    <w:rsid w:val="000B75C9"/>
    <w:rsid w:val="000B75CA"/>
    <w:rsid w:val="000B75E9"/>
    <w:rsid w:val="000B7676"/>
    <w:rsid w:val="000B76B6"/>
    <w:rsid w:val="000B76C2"/>
    <w:rsid w:val="000B7714"/>
    <w:rsid w:val="000B7741"/>
    <w:rsid w:val="000B77A6"/>
    <w:rsid w:val="000B7812"/>
    <w:rsid w:val="000B7829"/>
    <w:rsid w:val="000B7835"/>
    <w:rsid w:val="000B783C"/>
    <w:rsid w:val="000B785F"/>
    <w:rsid w:val="000B787A"/>
    <w:rsid w:val="000B787C"/>
    <w:rsid w:val="000B7886"/>
    <w:rsid w:val="000B788D"/>
    <w:rsid w:val="000B78C6"/>
    <w:rsid w:val="000B78D3"/>
    <w:rsid w:val="000B78E3"/>
    <w:rsid w:val="000B7921"/>
    <w:rsid w:val="000B7961"/>
    <w:rsid w:val="000B799E"/>
    <w:rsid w:val="000B799F"/>
    <w:rsid w:val="000B79AB"/>
    <w:rsid w:val="000B79AC"/>
    <w:rsid w:val="000B79CD"/>
    <w:rsid w:val="000B79D5"/>
    <w:rsid w:val="000B79D8"/>
    <w:rsid w:val="000B79FE"/>
    <w:rsid w:val="000B7A16"/>
    <w:rsid w:val="000B7A2C"/>
    <w:rsid w:val="000B7A3C"/>
    <w:rsid w:val="000B7A79"/>
    <w:rsid w:val="000B7A89"/>
    <w:rsid w:val="000B7AA1"/>
    <w:rsid w:val="000B7AAA"/>
    <w:rsid w:val="000B7AE8"/>
    <w:rsid w:val="000B7B07"/>
    <w:rsid w:val="000B7B0B"/>
    <w:rsid w:val="000B7B69"/>
    <w:rsid w:val="000B7B77"/>
    <w:rsid w:val="000B7B90"/>
    <w:rsid w:val="000B7BB2"/>
    <w:rsid w:val="000B7BE2"/>
    <w:rsid w:val="000B7BFA"/>
    <w:rsid w:val="000B7C12"/>
    <w:rsid w:val="000B7C3E"/>
    <w:rsid w:val="000B7C61"/>
    <w:rsid w:val="000B7C6E"/>
    <w:rsid w:val="000B7CA7"/>
    <w:rsid w:val="000B7CAA"/>
    <w:rsid w:val="000B7D06"/>
    <w:rsid w:val="000B7D58"/>
    <w:rsid w:val="000B7D5A"/>
    <w:rsid w:val="000B7D71"/>
    <w:rsid w:val="000B7D8B"/>
    <w:rsid w:val="000B7DD1"/>
    <w:rsid w:val="000B7DF4"/>
    <w:rsid w:val="000B7DF7"/>
    <w:rsid w:val="000B7E00"/>
    <w:rsid w:val="000B7E16"/>
    <w:rsid w:val="000B7E56"/>
    <w:rsid w:val="000B7E7D"/>
    <w:rsid w:val="000B7E91"/>
    <w:rsid w:val="000B7EA1"/>
    <w:rsid w:val="000B7ED3"/>
    <w:rsid w:val="000B7EDA"/>
    <w:rsid w:val="000B7EFE"/>
    <w:rsid w:val="000B7F0D"/>
    <w:rsid w:val="000B7F3F"/>
    <w:rsid w:val="000B7F60"/>
    <w:rsid w:val="000B7F6E"/>
    <w:rsid w:val="000B7FF1"/>
    <w:rsid w:val="000C0001"/>
    <w:rsid w:val="000C0024"/>
    <w:rsid w:val="000C0055"/>
    <w:rsid w:val="000C0073"/>
    <w:rsid w:val="000C0087"/>
    <w:rsid w:val="000C009B"/>
    <w:rsid w:val="000C00B0"/>
    <w:rsid w:val="000C0112"/>
    <w:rsid w:val="000C011D"/>
    <w:rsid w:val="000C0128"/>
    <w:rsid w:val="000C013A"/>
    <w:rsid w:val="000C0141"/>
    <w:rsid w:val="000C0142"/>
    <w:rsid w:val="000C0179"/>
    <w:rsid w:val="000C0181"/>
    <w:rsid w:val="000C019E"/>
    <w:rsid w:val="000C01E3"/>
    <w:rsid w:val="000C0203"/>
    <w:rsid w:val="000C0209"/>
    <w:rsid w:val="000C020C"/>
    <w:rsid w:val="000C025A"/>
    <w:rsid w:val="000C02E4"/>
    <w:rsid w:val="000C0314"/>
    <w:rsid w:val="000C036F"/>
    <w:rsid w:val="000C0378"/>
    <w:rsid w:val="000C037E"/>
    <w:rsid w:val="000C03BD"/>
    <w:rsid w:val="000C03C8"/>
    <w:rsid w:val="000C03D7"/>
    <w:rsid w:val="000C03DA"/>
    <w:rsid w:val="000C03E5"/>
    <w:rsid w:val="000C03EB"/>
    <w:rsid w:val="000C0413"/>
    <w:rsid w:val="000C0415"/>
    <w:rsid w:val="000C0418"/>
    <w:rsid w:val="000C04EF"/>
    <w:rsid w:val="000C051B"/>
    <w:rsid w:val="000C05B2"/>
    <w:rsid w:val="000C05B8"/>
    <w:rsid w:val="000C05BA"/>
    <w:rsid w:val="000C05BC"/>
    <w:rsid w:val="000C05D1"/>
    <w:rsid w:val="000C060B"/>
    <w:rsid w:val="000C061F"/>
    <w:rsid w:val="000C0669"/>
    <w:rsid w:val="000C069D"/>
    <w:rsid w:val="000C06A6"/>
    <w:rsid w:val="000C06DE"/>
    <w:rsid w:val="000C0702"/>
    <w:rsid w:val="000C0722"/>
    <w:rsid w:val="000C0724"/>
    <w:rsid w:val="000C0764"/>
    <w:rsid w:val="000C0792"/>
    <w:rsid w:val="000C0796"/>
    <w:rsid w:val="000C07F8"/>
    <w:rsid w:val="000C0822"/>
    <w:rsid w:val="000C0851"/>
    <w:rsid w:val="000C086D"/>
    <w:rsid w:val="000C087E"/>
    <w:rsid w:val="000C0882"/>
    <w:rsid w:val="000C0890"/>
    <w:rsid w:val="000C08A5"/>
    <w:rsid w:val="000C08AE"/>
    <w:rsid w:val="000C08BB"/>
    <w:rsid w:val="000C094E"/>
    <w:rsid w:val="000C09A4"/>
    <w:rsid w:val="000C09C9"/>
    <w:rsid w:val="000C09F7"/>
    <w:rsid w:val="000C0A01"/>
    <w:rsid w:val="000C0A8B"/>
    <w:rsid w:val="000C0AAC"/>
    <w:rsid w:val="000C0ADD"/>
    <w:rsid w:val="000C0AF0"/>
    <w:rsid w:val="000C0AF6"/>
    <w:rsid w:val="000C0B03"/>
    <w:rsid w:val="000C0B0A"/>
    <w:rsid w:val="000C0B27"/>
    <w:rsid w:val="000C0B4F"/>
    <w:rsid w:val="000C0B8C"/>
    <w:rsid w:val="000C0BC5"/>
    <w:rsid w:val="000C0C22"/>
    <w:rsid w:val="000C0C36"/>
    <w:rsid w:val="000C0C40"/>
    <w:rsid w:val="000C0C7E"/>
    <w:rsid w:val="000C0C9F"/>
    <w:rsid w:val="000C0CBD"/>
    <w:rsid w:val="000C0CC9"/>
    <w:rsid w:val="000C0CE9"/>
    <w:rsid w:val="000C0D47"/>
    <w:rsid w:val="000C0D5F"/>
    <w:rsid w:val="000C0DB7"/>
    <w:rsid w:val="000C0DBD"/>
    <w:rsid w:val="000C0E18"/>
    <w:rsid w:val="000C0E60"/>
    <w:rsid w:val="000C0E76"/>
    <w:rsid w:val="000C0E92"/>
    <w:rsid w:val="000C0EEA"/>
    <w:rsid w:val="000C0EF8"/>
    <w:rsid w:val="000C0F01"/>
    <w:rsid w:val="000C0F36"/>
    <w:rsid w:val="000C0F43"/>
    <w:rsid w:val="000C0F4D"/>
    <w:rsid w:val="000C0F60"/>
    <w:rsid w:val="000C0F98"/>
    <w:rsid w:val="000C0FAB"/>
    <w:rsid w:val="000C1004"/>
    <w:rsid w:val="000C1017"/>
    <w:rsid w:val="000C103B"/>
    <w:rsid w:val="000C107A"/>
    <w:rsid w:val="000C10B5"/>
    <w:rsid w:val="000C1122"/>
    <w:rsid w:val="000C119F"/>
    <w:rsid w:val="000C11BD"/>
    <w:rsid w:val="000C11C6"/>
    <w:rsid w:val="000C11DB"/>
    <w:rsid w:val="000C11E4"/>
    <w:rsid w:val="000C1206"/>
    <w:rsid w:val="000C120D"/>
    <w:rsid w:val="000C1247"/>
    <w:rsid w:val="000C126D"/>
    <w:rsid w:val="000C12C2"/>
    <w:rsid w:val="000C1365"/>
    <w:rsid w:val="000C138F"/>
    <w:rsid w:val="000C1390"/>
    <w:rsid w:val="000C139A"/>
    <w:rsid w:val="000C13B8"/>
    <w:rsid w:val="000C13CC"/>
    <w:rsid w:val="000C13D9"/>
    <w:rsid w:val="000C13DD"/>
    <w:rsid w:val="000C13F2"/>
    <w:rsid w:val="000C1440"/>
    <w:rsid w:val="000C1452"/>
    <w:rsid w:val="000C1537"/>
    <w:rsid w:val="000C1549"/>
    <w:rsid w:val="000C157F"/>
    <w:rsid w:val="000C1595"/>
    <w:rsid w:val="000C159E"/>
    <w:rsid w:val="000C15AF"/>
    <w:rsid w:val="000C15C0"/>
    <w:rsid w:val="000C15D8"/>
    <w:rsid w:val="000C15E6"/>
    <w:rsid w:val="000C1619"/>
    <w:rsid w:val="000C161A"/>
    <w:rsid w:val="000C1633"/>
    <w:rsid w:val="000C165A"/>
    <w:rsid w:val="000C16A4"/>
    <w:rsid w:val="000C16A7"/>
    <w:rsid w:val="000C16D5"/>
    <w:rsid w:val="000C16E4"/>
    <w:rsid w:val="000C1724"/>
    <w:rsid w:val="000C174D"/>
    <w:rsid w:val="000C174F"/>
    <w:rsid w:val="000C178B"/>
    <w:rsid w:val="000C17B8"/>
    <w:rsid w:val="000C17DD"/>
    <w:rsid w:val="000C1813"/>
    <w:rsid w:val="000C1818"/>
    <w:rsid w:val="000C1823"/>
    <w:rsid w:val="000C1827"/>
    <w:rsid w:val="000C1870"/>
    <w:rsid w:val="000C18A0"/>
    <w:rsid w:val="000C18F3"/>
    <w:rsid w:val="000C1947"/>
    <w:rsid w:val="000C1990"/>
    <w:rsid w:val="000C199A"/>
    <w:rsid w:val="000C19A4"/>
    <w:rsid w:val="000C19A6"/>
    <w:rsid w:val="000C1A07"/>
    <w:rsid w:val="000C1A0B"/>
    <w:rsid w:val="000C1A13"/>
    <w:rsid w:val="000C1A66"/>
    <w:rsid w:val="000C1A88"/>
    <w:rsid w:val="000C1ABC"/>
    <w:rsid w:val="000C1ABE"/>
    <w:rsid w:val="000C1AF0"/>
    <w:rsid w:val="000C1B01"/>
    <w:rsid w:val="000C1B07"/>
    <w:rsid w:val="000C1B55"/>
    <w:rsid w:val="000C1C0E"/>
    <w:rsid w:val="000C1DA5"/>
    <w:rsid w:val="000C1DAD"/>
    <w:rsid w:val="000C1DC9"/>
    <w:rsid w:val="000C1DD1"/>
    <w:rsid w:val="000C1DD2"/>
    <w:rsid w:val="000C1E3F"/>
    <w:rsid w:val="000C1E56"/>
    <w:rsid w:val="000C1E70"/>
    <w:rsid w:val="000C1E72"/>
    <w:rsid w:val="000C1ECD"/>
    <w:rsid w:val="000C1F99"/>
    <w:rsid w:val="000C1FD7"/>
    <w:rsid w:val="000C1FF0"/>
    <w:rsid w:val="000C2012"/>
    <w:rsid w:val="000C2043"/>
    <w:rsid w:val="000C2091"/>
    <w:rsid w:val="000C20B1"/>
    <w:rsid w:val="000C20CD"/>
    <w:rsid w:val="000C20F2"/>
    <w:rsid w:val="000C20FE"/>
    <w:rsid w:val="000C2111"/>
    <w:rsid w:val="000C211E"/>
    <w:rsid w:val="000C215A"/>
    <w:rsid w:val="000C2174"/>
    <w:rsid w:val="000C21D1"/>
    <w:rsid w:val="000C220A"/>
    <w:rsid w:val="000C2232"/>
    <w:rsid w:val="000C224B"/>
    <w:rsid w:val="000C2269"/>
    <w:rsid w:val="000C2309"/>
    <w:rsid w:val="000C2329"/>
    <w:rsid w:val="000C2345"/>
    <w:rsid w:val="000C2359"/>
    <w:rsid w:val="000C2377"/>
    <w:rsid w:val="000C23BC"/>
    <w:rsid w:val="000C23C7"/>
    <w:rsid w:val="000C23E3"/>
    <w:rsid w:val="000C23EF"/>
    <w:rsid w:val="000C241E"/>
    <w:rsid w:val="000C2472"/>
    <w:rsid w:val="000C24C7"/>
    <w:rsid w:val="000C24CB"/>
    <w:rsid w:val="000C2540"/>
    <w:rsid w:val="000C2544"/>
    <w:rsid w:val="000C2573"/>
    <w:rsid w:val="000C269D"/>
    <w:rsid w:val="000C26B2"/>
    <w:rsid w:val="000C26E9"/>
    <w:rsid w:val="000C26F2"/>
    <w:rsid w:val="000C271A"/>
    <w:rsid w:val="000C271B"/>
    <w:rsid w:val="000C2735"/>
    <w:rsid w:val="000C274E"/>
    <w:rsid w:val="000C278A"/>
    <w:rsid w:val="000C27E1"/>
    <w:rsid w:val="000C2815"/>
    <w:rsid w:val="000C2862"/>
    <w:rsid w:val="000C2876"/>
    <w:rsid w:val="000C2889"/>
    <w:rsid w:val="000C288A"/>
    <w:rsid w:val="000C28CF"/>
    <w:rsid w:val="000C2957"/>
    <w:rsid w:val="000C296B"/>
    <w:rsid w:val="000C296D"/>
    <w:rsid w:val="000C2993"/>
    <w:rsid w:val="000C29A4"/>
    <w:rsid w:val="000C29A6"/>
    <w:rsid w:val="000C2A2B"/>
    <w:rsid w:val="000C2A81"/>
    <w:rsid w:val="000C2A94"/>
    <w:rsid w:val="000C2ADF"/>
    <w:rsid w:val="000C2AEE"/>
    <w:rsid w:val="000C2AF2"/>
    <w:rsid w:val="000C2AF6"/>
    <w:rsid w:val="000C2B1F"/>
    <w:rsid w:val="000C2B2C"/>
    <w:rsid w:val="000C2B7C"/>
    <w:rsid w:val="000C2B99"/>
    <w:rsid w:val="000C2B9D"/>
    <w:rsid w:val="000C2BBC"/>
    <w:rsid w:val="000C2BCC"/>
    <w:rsid w:val="000C2C22"/>
    <w:rsid w:val="000C2C5D"/>
    <w:rsid w:val="000C2C65"/>
    <w:rsid w:val="000C2C93"/>
    <w:rsid w:val="000C2D5B"/>
    <w:rsid w:val="000C2DA0"/>
    <w:rsid w:val="000C2DB8"/>
    <w:rsid w:val="000C2DDC"/>
    <w:rsid w:val="000C2DE1"/>
    <w:rsid w:val="000C2E17"/>
    <w:rsid w:val="000C2E28"/>
    <w:rsid w:val="000C2E34"/>
    <w:rsid w:val="000C2E3D"/>
    <w:rsid w:val="000C2E8F"/>
    <w:rsid w:val="000C2EB2"/>
    <w:rsid w:val="000C2EBF"/>
    <w:rsid w:val="000C2EC5"/>
    <w:rsid w:val="000C2EDE"/>
    <w:rsid w:val="000C2F10"/>
    <w:rsid w:val="000C2F6C"/>
    <w:rsid w:val="000C2F75"/>
    <w:rsid w:val="000C2F81"/>
    <w:rsid w:val="000C3041"/>
    <w:rsid w:val="000C30A3"/>
    <w:rsid w:val="000C30AB"/>
    <w:rsid w:val="000C30FB"/>
    <w:rsid w:val="000C3107"/>
    <w:rsid w:val="000C31B2"/>
    <w:rsid w:val="000C31B4"/>
    <w:rsid w:val="000C31EC"/>
    <w:rsid w:val="000C3232"/>
    <w:rsid w:val="000C3245"/>
    <w:rsid w:val="000C324A"/>
    <w:rsid w:val="000C324F"/>
    <w:rsid w:val="000C327C"/>
    <w:rsid w:val="000C32B6"/>
    <w:rsid w:val="000C32EE"/>
    <w:rsid w:val="000C332F"/>
    <w:rsid w:val="000C3334"/>
    <w:rsid w:val="000C333B"/>
    <w:rsid w:val="000C339F"/>
    <w:rsid w:val="000C33F9"/>
    <w:rsid w:val="000C33FA"/>
    <w:rsid w:val="000C340B"/>
    <w:rsid w:val="000C3439"/>
    <w:rsid w:val="000C3487"/>
    <w:rsid w:val="000C349D"/>
    <w:rsid w:val="000C34B8"/>
    <w:rsid w:val="000C350B"/>
    <w:rsid w:val="000C3518"/>
    <w:rsid w:val="000C3535"/>
    <w:rsid w:val="000C35AB"/>
    <w:rsid w:val="000C35AE"/>
    <w:rsid w:val="000C35E4"/>
    <w:rsid w:val="000C3623"/>
    <w:rsid w:val="000C364A"/>
    <w:rsid w:val="000C36D0"/>
    <w:rsid w:val="000C36EB"/>
    <w:rsid w:val="000C36EC"/>
    <w:rsid w:val="000C3715"/>
    <w:rsid w:val="000C3770"/>
    <w:rsid w:val="000C377E"/>
    <w:rsid w:val="000C3788"/>
    <w:rsid w:val="000C37C2"/>
    <w:rsid w:val="000C37F0"/>
    <w:rsid w:val="000C3802"/>
    <w:rsid w:val="000C385E"/>
    <w:rsid w:val="000C3878"/>
    <w:rsid w:val="000C3891"/>
    <w:rsid w:val="000C38A3"/>
    <w:rsid w:val="000C390E"/>
    <w:rsid w:val="000C3927"/>
    <w:rsid w:val="000C3955"/>
    <w:rsid w:val="000C395A"/>
    <w:rsid w:val="000C397E"/>
    <w:rsid w:val="000C39CC"/>
    <w:rsid w:val="000C3A01"/>
    <w:rsid w:val="000C3A44"/>
    <w:rsid w:val="000C3A5B"/>
    <w:rsid w:val="000C3ABE"/>
    <w:rsid w:val="000C3AE5"/>
    <w:rsid w:val="000C3B28"/>
    <w:rsid w:val="000C3B2C"/>
    <w:rsid w:val="000C3B4E"/>
    <w:rsid w:val="000C3B6A"/>
    <w:rsid w:val="000C3B80"/>
    <w:rsid w:val="000C3BAC"/>
    <w:rsid w:val="000C3BB8"/>
    <w:rsid w:val="000C3BE7"/>
    <w:rsid w:val="000C3C12"/>
    <w:rsid w:val="000C3C90"/>
    <w:rsid w:val="000C3CCF"/>
    <w:rsid w:val="000C3CD6"/>
    <w:rsid w:val="000C3CF4"/>
    <w:rsid w:val="000C3D4D"/>
    <w:rsid w:val="000C3DA8"/>
    <w:rsid w:val="000C3DC9"/>
    <w:rsid w:val="000C3E69"/>
    <w:rsid w:val="000C3E8E"/>
    <w:rsid w:val="000C3ED0"/>
    <w:rsid w:val="000C3F1A"/>
    <w:rsid w:val="000C3F40"/>
    <w:rsid w:val="000C3F5F"/>
    <w:rsid w:val="000C3F6F"/>
    <w:rsid w:val="000C3FA3"/>
    <w:rsid w:val="000C3FA5"/>
    <w:rsid w:val="000C4093"/>
    <w:rsid w:val="000C40C4"/>
    <w:rsid w:val="000C40DC"/>
    <w:rsid w:val="000C40F1"/>
    <w:rsid w:val="000C40F6"/>
    <w:rsid w:val="000C4104"/>
    <w:rsid w:val="000C4146"/>
    <w:rsid w:val="000C4191"/>
    <w:rsid w:val="000C41BC"/>
    <w:rsid w:val="000C41C7"/>
    <w:rsid w:val="000C41EA"/>
    <w:rsid w:val="000C423C"/>
    <w:rsid w:val="000C424A"/>
    <w:rsid w:val="000C4259"/>
    <w:rsid w:val="000C4286"/>
    <w:rsid w:val="000C42A0"/>
    <w:rsid w:val="000C42AB"/>
    <w:rsid w:val="000C42AD"/>
    <w:rsid w:val="000C42DB"/>
    <w:rsid w:val="000C42DF"/>
    <w:rsid w:val="000C4305"/>
    <w:rsid w:val="000C439D"/>
    <w:rsid w:val="000C439E"/>
    <w:rsid w:val="000C43AB"/>
    <w:rsid w:val="000C4425"/>
    <w:rsid w:val="000C4472"/>
    <w:rsid w:val="000C44C1"/>
    <w:rsid w:val="000C44CD"/>
    <w:rsid w:val="000C4500"/>
    <w:rsid w:val="000C4511"/>
    <w:rsid w:val="000C4566"/>
    <w:rsid w:val="000C4582"/>
    <w:rsid w:val="000C458B"/>
    <w:rsid w:val="000C45AF"/>
    <w:rsid w:val="000C45E9"/>
    <w:rsid w:val="000C4634"/>
    <w:rsid w:val="000C465C"/>
    <w:rsid w:val="000C4682"/>
    <w:rsid w:val="000C4687"/>
    <w:rsid w:val="000C46F7"/>
    <w:rsid w:val="000C4720"/>
    <w:rsid w:val="000C472E"/>
    <w:rsid w:val="000C473B"/>
    <w:rsid w:val="000C47A4"/>
    <w:rsid w:val="000C47A6"/>
    <w:rsid w:val="000C47CF"/>
    <w:rsid w:val="000C47EA"/>
    <w:rsid w:val="000C47F3"/>
    <w:rsid w:val="000C4831"/>
    <w:rsid w:val="000C48ED"/>
    <w:rsid w:val="000C48FA"/>
    <w:rsid w:val="000C491F"/>
    <w:rsid w:val="000C497C"/>
    <w:rsid w:val="000C4980"/>
    <w:rsid w:val="000C499F"/>
    <w:rsid w:val="000C49A7"/>
    <w:rsid w:val="000C49CC"/>
    <w:rsid w:val="000C49F0"/>
    <w:rsid w:val="000C4A37"/>
    <w:rsid w:val="000C4A54"/>
    <w:rsid w:val="000C4A67"/>
    <w:rsid w:val="000C4A89"/>
    <w:rsid w:val="000C4A9C"/>
    <w:rsid w:val="000C4AA5"/>
    <w:rsid w:val="000C4AB4"/>
    <w:rsid w:val="000C4B04"/>
    <w:rsid w:val="000C4B2E"/>
    <w:rsid w:val="000C4B32"/>
    <w:rsid w:val="000C4B46"/>
    <w:rsid w:val="000C4B9A"/>
    <w:rsid w:val="000C4BB1"/>
    <w:rsid w:val="000C4C19"/>
    <w:rsid w:val="000C4C2E"/>
    <w:rsid w:val="000C4C76"/>
    <w:rsid w:val="000C4CB9"/>
    <w:rsid w:val="000C4D19"/>
    <w:rsid w:val="000C4D44"/>
    <w:rsid w:val="000C4D7A"/>
    <w:rsid w:val="000C4DA3"/>
    <w:rsid w:val="000C4DAD"/>
    <w:rsid w:val="000C4DF5"/>
    <w:rsid w:val="000C4E3B"/>
    <w:rsid w:val="000C4E46"/>
    <w:rsid w:val="000C4EA2"/>
    <w:rsid w:val="000C4ED3"/>
    <w:rsid w:val="000C4EF4"/>
    <w:rsid w:val="000C4F16"/>
    <w:rsid w:val="000C4F2F"/>
    <w:rsid w:val="000C4F31"/>
    <w:rsid w:val="000C4F51"/>
    <w:rsid w:val="000C4F64"/>
    <w:rsid w:val="000C4FC4"/>
    <w:rsid w:val="000C4FC9"/>
    <w:rsid w:val="000C4FCB"/>
    <w:rsid w:val="000C502D"/>
    <w:rsid w:val="000C50B1"/>
    <w:rsid w:val="000C50B3"/>
    <w:rsid w:val="000C50B7"/>
    <w:rsid w:val="000C50E5"/>
    <w:rsid w:val="000C50EF"/>
    <w:rsid w:val="000C5136"/>
    <w:rsid w:val="000C516C"/>
    <w:rsid w:val="000C5172"/>
    <w:rsid w:val="000C5188"/>
    <w:rsid w:val="000C5197"/>
    <w:rsid w:val="000C51A0"/>
    <w:rsid w:val="000C51BE"/>
    <w:rsid w:val="000C51C8"/>
    <w:rsid w:val="000C51E6"/>
    <w:rsid w:val="000C530C"/>
    <w:rsid w:val="000C5320"/>
    <w:rsid w:val="000C5350"/>
    <w:rsid w:val="000C5379"/>
    <w:rsid w:val="000C537D"/>
    <w:rsid w:val="000C5391"/>
    <w:rsid w:val="000C53D6"/>
    <w:rsid w:val="000C53E8"/>
    <w:rsid w:val="000C53E9"/>
    <w:rsid w:val="000C53ED"/>
    <w:rsid w:val="000C5406"/>
    <w:rsid w:val="000C542D"/>
    <w:rsid w:val="000C5444"/>
    <w:rsid w:val="000C5456"/>
    <w:rsid w:val="000C5460"/>
    <w:rsid w:val="000C5472"/>
    <w:rsid w:val="000C5475"/>
    <w:rsid w:val="000C5482"/>
    <w:rsid w:val="000C5490"/>
    <w:rsid w:val="000C54A7"/>
    <w:rsid w:val="000C54B9"/>
    <w:rsid w:val="000C54BE"/>
    <w:rsid w:val="000C54CB"/>
    <w:rsid w:val="000C54CF"/>
    <w:rsid w:val="000C54D0"/>
    <w:rsid w:val="000C54F9"/>
    <w:rsid w:val="000C550C"/>
    <w:rsid w:val="000C5544"/>
    <w:rsid w:val="000C5548"/>
    <w:rsid w:val="000C554D"/>
    <w:rsid w:val="000C55A9"/>
    <w:rsid w:val="000C55CB"/>
    <w:rsid w:val="000C55DF"/>
    <w:rsid w:val="000C560B"/>
    <w:rsid w:val="000C562C"/>
    <w:rsid w:val="000C5647"/>
    <w:rsid w:val="000C567B"/>
    <w:rsid w:val="000C568F"/>
    <w:rsid w:val="000C5690"/>
    <w:rsid w:val="000C5696"/>
    <w:rsid w:val="000C56AD"/>
    <w:rsid w:val="000C56B1"/>
    <w:rsid w:val="000C56C4"/>
    <w:rsid w:val="000C56E7"/>
    <w:rsid w:val="000C56EC"/>
    <w:rsid w:val="000C56FF"/>
    <w:rsid w:val="000C5756"/>
    <w:rsid w:val="000C5760"/>
    <w:rsid w:val="000C5763"/>
    <w:rsid w:val="000C5787"/>
    <w:rsid w:val="000C57AD"/>
    <w:rsid w:val="000C581F"/>
    <w:rsid w:val="000C5838"/>
    <w:rsid w:val="000C584F"/>
    <w:rsid w:val="000C58AB"/>
    <w:rsid w:val="000C58AE"/>
    <w:rsid w:val="000C58DC"/>
    <w:rsid w:val="000C58F2"/>
    <w:rsid w:val="000C58F5"/>
    <w:rsid w:val="000C5914"/>
    <w:rsid w:val="000C5928"/>
    <w:rsid w:val="000C593E"/>
    <w:rsid w:val="000C5955"/>
    <w:rsid w:val="000C5993"/>
    <w:rsid w:val="000C59CC"/>
    <w:rsid w:val="000C59FF"/>
    <w:rsid w:val="000C5A32"/>
    <w:rsid w:val="000C5A43"/>
    <w:rsid w:val="000C5A8E"/>
    <w:rsid w:val="000C5A91"/>
    <w:rsid w:val="000C5A95"/>
    <w:rsid w:val="000C5AB0"/>
    <w:rsid w:val="000C5AB3"/>
    <w:rsid w:val="000C5ABB"/>
    <w:rsid w:val="000C5B19"/>
    <w:rsid w:val="000C5B93"/>
    <w:rsid w:val="000C5B9F"/>
    <w:rsid w:val="000C5BE5"/>
    <w:rsid w:val="000C5C15"/>
    <w:rsid w:val="000C5C87"/>
    <w:rsid w:val="000C5C98"/>
    <w:rsid w:val="000C5CF8"/>
    <w:rsid w:val="000C5D04"/>
    <w:rsid w:val="000C5D1E"/>
    <w:rsid w:val="000C5D39"/>
    <w:rsid w:val="000C5D77"/>
    <w:rsid w:val="000C5D9F"/>
    <w:rsid w:val="000C5DD1"/>
    <w:rsid w:val="000C5E2E"/>
    <w:rsid w:val="000C5E34"/>
    <w:rsid w:val="000C5E35"/>
    <w:rsid w:val="000C5EAD"/>
    <w:rsid w:val="000C5EED"/>
    <w:rsid w:val="000C5F0A"/>
    <w:rsid w:val="000C5F2B"/>
    <w:rsid w:val="000C5F67"/>
    <w:rsid w:val="000C5F6C"/>
    <w:rsid w:val="000C5F90"/>
    <w:rsid w:val="000C5FBD"/>
    <w:rsid w:val="000C5FBF"/>
    <w:rsid w:val="000C6039"/>
    <w:rsid w:val="000C6060"/>
    <w:rsid w:val="000C6083"/>
    <w:rsid w:val="000C608A"/>
    <w:rsid w:val="000C608C"/>
    <w:rsid w:val="000C6090"/>
    <w:rsid w:val="000C6093"/>
    <w:rsid w:val="000C609D"/>
    <w:rsid w:val="000C60E2"/>
    <w:rsid w:val="000C60ED"/>
    <w:rsid w:val="000C6104"/>
    <w:rsid w:val="000C6114"/>
    <w:rsid w:val="000C6118"/>
    <w:rsid w:val="000C614C"/>
    <w:rsid w:val="000C6160"/>
    <w:rsid w:val="000C616B"/>
    <w:rsid w:val="000C6179"/>
    <w:rsid w:val="000C6188"/>
    <w:rsid w:val="000C6191"/>
    <w:rsid w:val="000C61BD"/>
    <w:rsid w:val="000C61C4"/>
    <w:rsid w:val="000C61F4"/>
    <w:rsid w:val="000C61FE"/>
    <w:rsid w:val="000C6211"/>
    <w:rsid w:val="000C621C"/>
    <w:rsid w:val="000C6231"/>
    <w:rsid w:val="000C6247"/>
    <w:rsid w:val="000C6257"/>
    <w:rsid w:val="000C6260"/>
    <w:rsid w:val="000C6283"/>
    <w:rsid w:val="000C62B4"/>
    <w:rsid w:val="000C634C"/>
    <w:rsid w:val="000C6377"/>
    <w:rsid w:val="000C639D"/>
    <w:rsid w:val="000C63CC"/>
    <w:rsid w:val="000C63EA"/>
    <w:rsid w:val="000C63F0"/>
    <w:rsid w:val="000C6416"/>
    <w:rsid w:val="000C6422"/>
    <w:rsid w:val="000C645C"/>
    <w:rsid w:val="000C6476"/>
    <w:rsid w:val="000C649A"/>
    <w:rsid w:val="000C64AC"/>
    <w:rsid w:val="000C64B7"/>
    <w:rsid w:val="000C6508"/>
    <w:rsid w:val="000C6528"/>
    <w:rsid w:val="000C652D"/>
    <w:rsid w:val="000C654E"/>
    <w:rsid w:val="000C6558"/>
    <w:rsid w:val="000C6569"/>
    <w:rsid w:val="000C6579"/>
    <w:rsid w:val="000C65AA"/>
    <w:rsid w:val="000C65BD"/>
    <w:rsid w:val="000C65D0"/>
    <w:rsid w:val="000C65E0"/>
    <w:rsid w:val="000C65F6"/>
    <w:rsid w:val="000C6607"/>
    <w:rsid w:val="000C666F"/>
    <w:rsid w:val="000C6670"/>
    <w:rsid w:val="000C6674"/>
    <w:rsid w:val="000C66BF"/>
    <w:rsid w:val="000C66D5"/>
    <w:rsid w:val="000C66F4"/>
    <w:rsid w:val="000C670A"/>
    <w:rsid w:val="000C6719"/>
    <w:rsid w:val="000C67AA"/>
    <w:rsid w:val="000C67F1"/>
    <w:rsid w:val="000C680B"/>
    <w:rsid w:val="000C680C"/>
    <w:rsid w:val="000C6818"/>
    <w:rsid w:val="000C685B"/>
    <w:rsid w:val="000C68AE"/>
    <w:rsid w:val="000C68D5"/>
    <w:rsid w:val="000C6939"/>
    <w:rsid w:val="000C6949"/>
    <w:rsid w:val="000C694E"/>
    <w:rsid w:val="000C69BA"/>
    <w:rsid w:val="000C6A1B"/>
    <w:rsid w:val="000C6A40"/>
    <w:rsid w:val="000C6A5D"/>
    <w:rsid w:val="000C6A6C"/>
    <w:rsid w:val="000C6AEE"/>
    <w:rsid w:val="000C6B1E"/>
    <w:rsid w:val="000C6B72"/>
    <w:rsid w:val="000C6B8C"/>
    <w:rsid w:val="000C6B90"/>
    <w:rsid w:val="000C6BE3"/>
    <w:rsid w:val="000C6BFB"/>
    <w:rsid w:val="000C6C19"/>
    <w:rsid w:val="000C6C1C"/>
    <w:rsid w:val="000C6C30"/>
    <w:rsid w:val="000C6C58"/>
    <w:rsid w:val="000C6C5B"/>
    <w:rsid w:val="000C6C7F"/>
    <w:rsid w:val="000C6CA4"/>
    <w:rsid w:val="000C6CDD"/>
    <w:rsid w:val="000C6CE1"/>
    <w:rsid w:val="000C6CF9"/>
    <w:rsid w:val="000C6D1D"/>
    <w:rsid w:val="000C6D42"/>
    <w:rsid w:val="000C6D4A"/>
    <w:rsid w:val="000C6D52"/>
    <w:rsid w:val="000C6D5E"/>
    <w:rsid w:val="000C6D99"/>
    <w:rsid w:val="000C6DD4"/>
    <w:rsid w:val="000C6E5B"/>
    <w:rsid w:val="000C6E6E"/>
    <w:rsid w:val="000C6E6F"/>
    <w:rsid w:val="000C6E92"/>
    <w:rsid w:val="000C6EBC"/>
    <w:rsid w:val="000C6F07"/>
    <w:rsid w:val="000C6F69"/>
    <w:rsid w:val="000C6F7D"/>
    <w:rsid w:val="000C6FF0"/>
    <w:rsid w:val="000C6FF5"/>
    <w:rsid w:val="000C7001"/>
    <w:rsid w:val="000C7004"/>
    <w:rsid w:val="000C7016"/>
    <w:rsid w:val="000C701C"/>
    <w:rsid w:val="000C703D"/>
    <w:rsid w:val="000C703F"/>
    <w:rsid w:val="000C704E"/>
    <w:rsid w:val="000C70CC"/>
    <w:rsid w:val="000C7118"/>
    <w:rsid w:val="000C7169"/>
    <w:rsid w:val="000C71C2"/>
    <w:rsid w:val="000C71D5"/>
    <w:rsid w:val="000C725C"/>
    <w:rsid w:val="000C7267"/>
    <w:rsid w:val="000C726C"/>
    <w:rsid w:val="000C7281"/>
    <w:rsid w:val="000C72CE"/>
    <w:rsid w:val="000C72E1"/>
    <w:rsid w:val="000C72EC"/>
    <w:rsid w:val="000C72F5"/>
    <w:rsid w:val="000C7317"/>
    <w:rsid w:val="000C7322"/>
    <w:rsid w:val="000C732C"/>
    <w:rsid w:val="000C7336"/>
    <w:rsid w:val="000C7369"/>
    <w:rsid w:val="000C739C"/>
    <w:rsid w:val="000C73E1"/>
    <w:rsid w:val="000C741E"/>
    <w:rsid w:val="000C742A"/>
    <w:rsid w:val="000C7436"/>
    <w:rsid w:val="000C7482"/>
    <w:rsid w:val="000C74A2"/>
    <w:rsid w:val="000C74AE"/>
    <w:rsid w:val="000C751C"/>
    <w:rsid w:val="000C7547"/>
    <w:rsid w:val="000C7551"/>
    <w:rsid w:val="000C758C"/>
    <w:rsid w:val="000C75B2"/>
    <w:rsid w:val="000C75B9"/>
    <w:rsid w:val="000C75E1"/>
    <w:rsid w:val="000C75EB"/>
    <w:rsid w:val="000C7636"/>
    <w:rsid w:val="000C7644"/>
    <w:rsid w:val="000C7645"/>
    <w:rsid w:val="000C7697"/>
    <w:rsid w:val="000C76D8"/>
    <w:rsid w:val="000C76D9"/>
    <w:rsid w:val="000C76E1"/>
    <w:rsid w:val="000C76E2"/>
    <w:rsid w:val="000C76E6"/>
    <w:rsid w:val="000C7712"/>
    <w:rsid w:val="000C772A"/>
    <w:rsid w:val="000C7738"/>
    <w:rsid w:val="000C773C"/>
    <w:rsid w:val="000C7755"/>
    <w:rsid w:val="000C7794"/>
    <w:rsid w:val="000C779E"/>
    <w:rsid w:val="000C77C4"/>
    <w:rsid w:val="000C77D5"/>
    <w:rsid w:val="000C784B"/>
    <w:rsid w:val="000C7852"/>
    <w:rsid w:val="000C7899"/>
    <w:rsid w:val="000C78A3"/>
    <w:rsid w:val="000C78AB"/>
    <w:rsid w:val="000C78AE"/>
    <w:rsid w:val="000C78C9"/>
    <w:rsid w:val="000C78EB"/>
    <w:rsid w:val="000C78F8"/>
    <w:rsid w:val="000C78FA"/>
    <w:rsid w:val="000C78FB"/>
    <w:rsid w:val="000C78FD"/>
    <w:rsid w:val="000C7914"/>
    <w:rsid w:val="000C7934"/>
    <w:rsid w:val="000C796E"/>
    <w:rsid w:val="000C79B0"/>
    <w:rsid w:val="000C79D6"/>
    <w:rsid w:val="000C79F5"/>
    <w:rsid w:val="000C7A56"/>
    <w:rsid w:val="000C7A6B"/>
    <w:rsid w:val="000C7ACE"/>
    <w:rsid w:val="000C7ACF"/>
    <w:rsid w:val="000C7B37"/>
    <w:rsid w:val="000C7B9A"/>
    <w:rsid w:val="000C7BC9"/>
    <w:rsid w:val="000C7BE9"/>
    <w:rsid w:val="000C7C5A"/>
    <w:rsid w:val="000C7C81"/>
    <w:rsid w:val="000C7CD2"/>
    <w:rsid w:val="000C7CE8"/>
    <w:rsid w:val="000C7CF8"/>
    <w:rsid w:val="000C7D24"/>
    <w:rsid w:val="000C7D26"/>
    <w:rsid w:val="000C7D37"/>
    <w:rsid w:val="000C7D6E"/>
    <w:rsid w:val="000C7DB2"/>
    <w:rsid w:val="000C7DC6"/>
    <w:rsid w:val="000C7DD8"/>
    <w:rsid w:val="000C7DDF"/>
    <w:rsid w:val="000C7E0F"/>
    <w:rsid w:val="000C7E1D"/>
    <w:rsid w:val="000C7E45"/>
    <w:rsid w:val="000C7E64"/>
    <w:rsid w:val="000C7EC3"/>
    <w:rsid w:val="000C7EEF"/>
    <w:rsid w:val="000C7F0E"/>
    <w:rsid w:val="000C7FA7"/>
    <w:rsid w:val="000C7FB8"/>
    <w:rsid w:val="000C7FF4"/>
    <w:rsid w:val="000CEA44"/>
    <w:rsid w:val="000D002F"/>
    <w:rsid w:val="000D0031"/>
    <w:rsid w:val="000D007C"/>
    <w:rsid w:val="000D0089"/>
    <w:rsid w:val="000D00B1"/>
    <w:rsid w:val="000D00D5"/>
    <w:rsid w:val="000D00D8"/>
    <w:rsid w:val="000D00F2"/>
    <w:rsid w:val="000D00FC"/>
    <w:rsid w:val="000D0135"/>
    <w:rsid w:val="000D0190"/>
    <w:rsid w:val="000D01EC"/>
    <w:rsid w:val="000D023B"/>
    <w:rsid w:val="000D024D"/>
    <w:rsid w:val="000D0266"/>
    <w:rsid w:val="000D027D"/>
    <w:rsid w:val="000D02C0"/>
    <w:rsid w:val="000D02C8"/>
    <w:rsid w:val="000D02E7"/>
    <w:rsid w:val="000D033A"/>
    <w:rsid w:val="000D0355"/>
    <w:rsid w:val="000D03D3"/>
    <w:rsid w:val="000D0421"/>
    <w:rsid w:val="000D042D"/>
    <w:rsid w:val="000D0436"/>
    <w:rsid w:val="000D0448"/>
    <w:rsid w:val="000D0452"/>
    <w:rsid w:val="000D0467"/>
    <w:rsid w:val="000D0488"/>
    <w:rsid w:val="000D0492"/>
    <w:rsid w:val="000D0508"/>
    <w:rsid w:val="000D05AA"/>
    <w:rsid w:val="000D060B"/>
    <w:rsid w:val="000D067D"/>
    <w:rsid w:val="000D069E"/>
    <w:rsid w:val="000D06DA"/>
    <w:rsid w:val="000D06F1"/>
    <w:rsid w:val="000D0758"/>
    <w:rsid w:val="000D077B"/>
    <w:rsid w:val="000D07F5"/>
    <w:rsid w:val="000D0841"/>
    <w:rsid w:val="000D08C5"/>
    <w:rsid w:val="000D08DD"/>
    <w:rsid w:val="000D08E5"/>
    <w:rsid w:val="000D0912"/>
    <w:rsid w:val="000D0930"/>
    <w:rsid w:val="000D0995"/>
    <w:rsid w:val="000D09AE"/>
    <w:rsid w:val="000D09D5"/>
    <w:rsid w:val="000D0A57"/>
    <w:rsid w:val="000D0A97"/>
    <w:rsid w:val="000D0AAD"/>
    <w:rsid w:val="000D0ABD"/>
    <w:rsid w:val="000D0AD5"/>
    <w:rsid w:val="000D0AF0"/>
    <w:rsid w:val="000D0B50"/>
    <w:rsid w:val="000D0B75"/>
    <w:rsid w:val="000D0B88"/>
    <w:rsid w:val="000D0BB1"/>
    <w:rsid w:val="000D0C18"/>
    <w:rsid w:val="000D0C30"/>
    <w:rsid w:val="000D0C46"/>
    <w:rsid w:val="000D0CA9"/>
    <w:rsid w:val="000D0CCD"/>
    <w:rsid w:val="000D0CF7"/>
    <w:rsid w:val="000D0D10"/>
    <w:rsid w:val="000D0D28"/>
    <w:rsid w:val="000D0D45"/>
    <w:rsid w:val="000D0DC9"/>
    <w:rsid w:val="000D0E45"/>
    <w:rsid w:val="000D0E5A"/>
    <w:rsid w:val="000D0EDA"/>
    <w:rsid w:val="000D0EFB"/>
    <w:rsid w:val="000D0F37"/>
    <w:rsid w:val="000D0F60"/>
    <w:rsid w:val="000D0FBA"/>
    <w:rsid w:val="000D0FD0"/>
    <w:rsid w:val="000D1002"/>
    <w:rsid w:val="000D1010"/>
    <w:rsid w:val="000D1039"/>
    <w:rsid w:val="000D1044"/>
    <w:rsid w:val="000D108B"/>
    <w:rsid w:val="000D1114"/>
    <w:rsid w:val="000D1125"/>
    <w:rsid w:val="000D1156"/>
    <w:rsid w:val="000D11D0"/>
    <w:rsid w:val="000D1203"/>
    <w:rsid w:val="000D124C"/>
    <w:rsid w:val="000D12A0"/>
    <w:rsid w:val="000D12C8"/>
    <w:rsid w:val="000D12F2"/>
    <w:rsid w:val="000D1356"/>
    <w:rsid w:val="000D139E"/>
    <w:rsid w:val="000D1401"/>
    <w:rsid w:val="000D140B"/>
    <w:rsid w:val="000D1441"/>
    <w:rsid w:val="000D1461"/>
    <w:rsid w:val="000D149C"/>
    <w:rsid w:val="000D14B5"/>
    <w:rsid w:val="000D14C3"/>
    <w:rsid w:val="000D14C5"/>
    <w:rsid w:val="000D14CA"/>
    <w:rsid w:val="000D14FE"/>
    <w:rsid w:val="000D150D"/>
    <w:rsid w:val="000D1574"/>
    <w:rsid w:val="000D157E"/>
    <w:rsid w:val="000D1585"/>
    <w:rsid w:val="000D158B"/>
    <w:rsid w:val="000D15A2"/>
    <w:rsid w:val="000D15A4"/>
    <w:rsid w:val="000D15D8"/>
    <w:rsid w:val="000D15DD"/>
    <w:rsid w:val="000D1688"/>
    <w:rsid w:val="000D1690"/>
    <w:rsid w:val="000D16A0"/>
    <w:rsid w:val="000D16CA"/>
    <w:rsid w:val="000D16FE"/>
    <w:rsid w:val="000D170C"/>
    <w:rsid w:val="000D1755"/>
    <w:rsid w:val="000D178E"/>
    <w:rsid w:val="000D1792"/>
    <w:rsid w:val="000D1799"/>
    <w:rsid w:val="000D17A8"/>
    <w:rsid w:val="000D17CD"/>
    <w:rsid w:val="000D17D1"/>
    <w:rsid w:val="000D182D"/>
    <w:rsid w:val="000D187B"/>
    <w:rsid w:val="000D18CA"/>
    <w:rsid w:val="000D18E2"/>
    <w:rsid w:val="000D18F6"/>
    <w:rsid w:val="000D197E"/>
    <w:rsid w:val="000D19A4"/>
    <w:rsid w:val="000D19B1"/>
    <w:rsid w:val="000D19BF"/>
    <w:rsid w:val="000D19DC"/>
    <w:rsid w:val="000D19EB"/>
    <w:rsid w:val="000D19F7"/>
    <w:rsid w:val="000D1A1A"/>
    <w:rsid w:val="000D1A2C"/>
    <w:rsid w:val="000D1A71"/>
    <w:rsid w:val="000D1A79"/>
    <w:rsid w:val="000D1A9F"/>
    <w:rsid w:val="000D1ACC"/>
    <w:rsid w:val="000D1AD0"/>
    <w:rsid w:val="000D1B0F"/>
    <w:rsid w:val="000D1B38"/>
    <w:rsid w:val="000D1B73"/>
    <w:rsid w:val="000D1B77"/>
    <w:rsid w:val="000D1B84"/>
    <w:rsid w:val="000D1B9E"/>
    <w:rsid w:val="000D1BCD"/>
    <w:rsid w:val="000D1BF4"/>
    <w:rsid w:val="000D1C08"/>
    <w:rsid w:val="000D1C12"/>
    <w:rsid w:val="000D1C1E"/>
    <w:rsid w:val="000D1C31"/>
    <w:rsid w:val="000D1C32"/>
    <w:rsid w:val="000D1C3B"/>
    <w:rsid w:val="000D1C61"/>
    <w:rsid w:val="000D1C8A"/>
    <w:rsid w:val="000D1C8F"/>
    <w:rsid w:val="000D1CBF"/>
    <w:rsid w:val="000D1CF3"/>
    <w:rsid w:val="000D1CFE"/>
    <w:rsid w:val="000D1D6B"/>
    <w:rsid w:val="000D1DBB"/>
    <w:rsid w:val="000D1E38"/>
    <w:rsid w:val="000D1E58"/>
    <w:rsid w:val="000D1E64"/>
    <w:rsid w:val="000D1E94"/>
    <w:rsid w:val="000D1ECB"/>
    <w:rsid w:val="000D1EFB"/>
    <w:rsid w:val="000D1EFC"/>
    <w:rsid w:val="000D1F69"/>
    <w:rsid w:val="000D1F97"/>
    <w:rsid w:val="000D1F9D"/>
    <w:rsid w:val="000D1FA5"/>
    <w:rsid w:val="000D1FC7"/>
    <w:rsid w:val="000D1FDF"/>
    <w:rsid w:val="000D1FEA"/>
    <w:rsid w:val="000D2008"/>
    <w:rsid w:val="000D203D"/>
    <w:rsid w:val="000D204E"/>
    <w:rsid w:val="000D207F"/>
    <w:rsid w:val="000D2080"/>
    <w:rsid w:val="000D209D"/>
    <w:rsid w:val="000D20A0"/>
    <w:rsid w:val="000D20A8"/>
    <w:rsid w:val="000D20AA"/>
    <w:rsid w:val="000D20B8"/>
    <w:rsid w:val="000D20C6"/>
    <w:rsid w:val="000D2179"/>
    <w:rsid w:val="000D21D7"/>
    <w:rsid w:val="000D21DE"/>
    <w:rsid w:val="000D21F3"/>
    <w:rsid w:val="000D21FC"/>
    <w:rsid w:val="000D2215"/>
    <w:rsid w:val="000D22BC"/>
    <w:rsid w:val="000D22D7"/>
    <w:rsid w:val="000D22E8"/>
    <w:rsid w:val="000D2313"/>
    <w:rsid w:val="000D2327"/>
    <w:rsid w:val="000D239B"/>
    <w:rsid w:val="000D23A6"/>
    <w:rsid w:val="000D23CA"/>
    <w:rsid w:val="000D23DC"/>
    <w:rsid w:val="000D2424"/>
    <w:rsid w:val="000D242D"/>
    <w:rsid w:val="000D2444"/>
    <w:rsid w:val="000D244B"/>
    <w:rsid w:val="000D2458"/>
    <w:rsid w:val="000D2470"/>
    <w:rsid w:val="000D247A"/>
    <w:rsid w:val="000D247E"/>
    <w:rsid w:val="000D24A4"/>
    <w:rsid w:val="000D24D6"/>
    <w:rsid w:val="000D24DD"/>
    <w:rsid w:val="000D255C"/>
    <w:rsid w:val="000D25B4"/>
    <w:rsid w:val="000D25CC"/>
    <w:rsid w:val="000D2622"/>
    <w:rsid w:val="000D2648"/>
    <w:rsid w:val="000D2668"/>
    <w:rsid w:val="000D2678"/>
    <w:rsid w:val="000D26BB"/>
    <w:rsid w:val="000D26C4"/>
    <w:rsid w:val="000D26DD"/>
    <w:rsid w:val="000D26EC"/>
    <w:rsid w:val="000D2713"/>
    <w:rsid w:val="000D272E"/>
    <w:rsid w:val="000D2738"/>
    <w:rsid w:val="000D276C"/>
    <w:rsid w:val="000D2772"/>
    <w:rsid w:val="000D27C2"/>
    <w:rsid w:val="000D27EA"/>
    <w:rsid w:val="000D27FE"/>
    <w:rsid w:val="000D280C"/>
    <w:rsid w:val="000D282B"/>
    <w:rsid w:val="000D2856"/>
    <w:rsid w:val="000D2858"/>
    <w:rsid w:val="000D28BF"/>
    <w:rsid w:val="000D28CA"/>
    <w:rsid w:val="000D28E0"/>
    <w:rsid w:val="000D2938"/>
    <w:rsid w:val="000D294B"/>
    <w:rsid w:val="000D2972"/>
    <w:rsid w:val="000D2A02"/>
    <w:rsid w:val="000D2A0A"/>
    <w:rsid w:val="000D2A14"/>
    <w:rsid w:val="000D2A54"/>
    <w:rsid w:val="000D2A7A"/>
    <w:rsid w:val="000D2A7C"/>
    <w:rsid w:val="000D2B48"/>
    <w:rsid w:val="000D2B49"/>
    <w:rsid w:val="000D2B66"/>
    <w:rsid w:val="000D2B89"/>
    <w:rsid w:val="000D2C34"/>
    <w:rsid w:val="000D2C6A"/>
    <w:rsid w:val="000D2C80"/>
    <w:rsid w:val="000D2CC1"/>
    <w:rsid w:val="000D2CCD"/>
    <w:rsid w:val="000D2D0A"/>
    <w:rsid w:val="000D2D24"/>
    <w:rsid w:val="000D2D52"/>
    <w:rsid w:val="000D2D5D"/>
    <w:rsid w:val="000D2D90"/>
    <w:rsid w:val="000D2D91"/>
    <w:rsid w:val="000D2DC9"/>
    <w:rsid w:val="000D2E0A"/>
    <w:rsid w:val="000D2E14"/>
    <w:rsid w:val="000D2E66"/>
    <w:rsid w:val="000D2E7F"/>
    <w:rsid w:val="000D2ED0"/>
    <w:rsid w:val="000D2F15"/>
    <w:rsid w:val="000D2F19"/>
    <w:rsid w:val="000D2F61"/>
    <w:rsid w:val="000D2F7F"/>
    <w:rsid w:val="000D2F97"/>
    <w:rsid w:val="000D2FAF"/>
    <w:rsid w:val="000D2FD5"/>
    <w:rsid w:val="000D3011"/>
    <w:rsid w:val="000D3029"/>
    <w:rsid w:val="000D3056"/>
    <w:rsid w:val="000D3099"/>
    <w:rsid w:val="000D30A1"/>
    <w:rsid w:val="000D30B5"/>
    <w:rsid w:val="000D30BF"/>
    <w:rsid w:val="000D30DB"/>
    <w:rsid w:val="000D30EA"/>
    <w:rsid w:val="000D316D"/>
    <w:rsid w:val="000D318D"/>
    <w:rsid w:val="000D3193"/>
    <w:rsid w:val="000D31D7"/>
    <w:rsid w:val="000D31E4"/>
    <w:rsid w:val="000D31EB"/>
    <w:rsid w:val="000D31FF"/>
    <w:rsid w:val="000D320D"/>
    <w:rsid w:val="000D3214"/>
    <w:rsid w:val="000D3277"/>
    <w:rsid w:val="000D32DB"/>
    <w:rsid w:val="000D3320"/>
    <w:rsid w:val="000D3350"/>
    <w:rsid w:val="000D3355"/>
    <w:rsid w:val="000D3361"/>
    <w:rsid w:val="000D338A"/>
    <w:rsid w:val="000D33CA"/>
    <w:rsid w:val="000D346E"/>
    <w:rsid w:val="000D34C5"/>
    <w:rsid w:val="000D3518"/>
    <w:rsid w:val="000D3570"/>
    <w:rsid w:val="000D3594"/>
    <w:rsid w:val="000D35B4"/>
    <w:rsid w:val="000D35CB"/>
    <w:rsid w:val="000D35CD"/>
    <w:rsid w:val="000D3619"/>
    <w:rsid w:val="000D3658"/>
    <w:rsid w:val="000D3667"/>
    <w:rsid w:val="000D36C3"/>
    <w:rsid w:val="000D36E9"/>
    <w:rsid w:val="000D36EC"/>
    <w:rsid w:val="000D3724"/>
    <w:rsid w:val="000D3731"/>
    <w:rsid w:val="000D3753"/>
    <w:rsid w:val="000D3760"/>
    <w:rsid w:val="000D377F"/>
    <w:rsid w:val="000D37B9"/>
    <w:rsid w:val="000D37FF"/>
    <w:rsid w:val="000D3889"/>
    <w:rsid w:val="000D38A9"/>
    <w:rsid w:val="000D38D3"/>
    <w:rsid w:val="000D38D4"/>
    <w:rsid w:val="000D38EB"/>
    <w:rsid w:val="000D397E"/>
    <w:rsid w:val="000D398B"/>
    <w:rsid w:val="000D3999"/>
    <w:rsid w:val="000D39E1"/>
    <w:rsid w:val="000D39EB"/>
    <w:rsid w:val="000D3A16"/>
    <w:rsid w:val="000D3A3D"/>
    <w:rsid w:val="000D3A57"/>
    <w:rsid w:val="000D3A70"/>
    <w:rsid w:val="000D3AD6"/>
    <w:rsid w:val="000D3B00"/>
    <w:rsid w:val="000D3B44"/>
    <w:rsid w:val="000D3B88"/>
    <w:rsid w:val="000D3C13"/>
    <w:rsid w:val="000D3C30"/>
    <w:rsid w:val="000D3C40"/>
    <w:rsid w:val="000D3C7A"/>
    <w:rsid w:val="000D3C7B"/>
    <w:rsid w:val="000D3C8D"/>
    <w:rsid w:val="000D3CA2"/>
    <w:rsid w:val="000D3CA4"/>
    <w:rsid w:val="000D3CAC"/>
    <w:rsid w:val="000D3CE7"/>
    <w:rsid w:val="000D3CFA"/>
    <w:rsid w:val="000D3CFB"/>
    <w:rsid w:val="000D3D0D"/>
    <w:rsid w:val="000D3D34"/>
    <w:rsid w:val="000D3D47"/>
    <w:rsid w:val="000D3DA5"/>
    <w:rsid w:val="000D3DAD"/>
    <w:rsid w:val="000D3E11"/>
    <w:rsid w:val="000D3E41"/>
    <w:rsid w:val="000D3E77"/>
    <w:rsid w:val="000D3E79"/>
    <w:rsid w:val="000D3E7A"/>
    <w:rsid w:val="000D3EC1"/>
    <w:rsid w:val="000D3EC8"/>
    <w:rsid w:val="000D3ED0"/>
    <w:rsid w:val="000D3EE9"/>
    <w:rsid w:val="000D3EF7"/>
    <w:rsid w:val="000D3F50"/>
    <w:rsid w:val="000D3FDD"/>
    <w:rsid w:val="000D3FEB"/>
    <w:rsid w:val="000D3FFE"/>
    <w:rsid w:val="000D400B"/>
    <w:rsid w:val="000D4027"/>
    <w:rsid w:val="000D402F"/>
    <w:rsid w:val="000D403F"/>
    <w:rsid w:val="000D40C2"/>
    <w:rsid w:val="000D4113"/>
    <w:rsid w:val="000D4162"/>
    <w:rsid w:val="000D4183"/>
    <w:rsid w:val="000D4195"/>
    <w:rsid w:val="000D41AD"/>
    <w:rsid w:val="000D41D9"/>
    <w:rsid w:val="000D41DE"/>
    <w:rsid w:val="000D4215"/>
    <w:rsid w:val="000D426E"/>
    <w:rsid w:val="000D4294"/>
    <w:rsid w:val="000D42CF"/>
    <w:rsid w:val="000D42DF"/>
    <w:rsid w:val="000D4397"/>
    <w:rsid w:val="000D43AA"/>
    <w:rsid w:val="000D43B9"/>
    <w:rsid w:val="000D43BB"/>
    <w:rsid w:val="000D43E7"/>
    <w:rsid w:val="000D43F3"/>
    <w:rsid w:val="000D440F"/>
    <w:rsid w:val="000D4419"/>
    <w:rsid w:val="000D4458"/>
    <w:rsid w:val="000D447B"/>
    <w:rsid w:val="000D4494"/>
    <w:rsid w:val="000D4495"/>
    <w:rsid w:val="000D453D"/>
    <w:rsid w:val="000D455D"/>
    <w:rsid w:val="000D459B"/>
    <w:rsid w:val="000D45B4"/>
    <w:rsid w:val="000D45D7"/>
    <w:rsid w:val="000D45FE"/>
    <w:rsid w:val="000D464B"/>
    <w:rsid w:val="000D4669"/>
    <w:rsid w:val="000D46C1"/>
    <w:rsid w:val="000D46C7"/>
    <w:rsid w:val="000D46D7"/>
    <w:rsid w:val="000D4717"/>
    <w:rsid w:val="000D472F"/>
    <w:rsid w:val="000D4779"/>
    <w:rsid w:val="000D47BC"/>
    <w:rsid w:val="000D47C6"/>
    <w:rsid w:val="000D481B"/>
    <w:rsid w:val="000D48A7"/>
    <w:rsid w:val="000D48D6"/>
    <w:rsid w:val="000D48ED"/>
    <w:rsid w:val="000D4901"/>
    <w:rsid w:val="000D490F"/>
    <w:rsid w:val="000D492A"/>
    <w:rsid w:val="000D492B"/>
    <w:rsid w:val="000D494B"/>
    <w:rsid w:val="000D4976"/>
    <w:rsid w:val="000D49B8"/>
    <w:rsid w:val="000D4A05"/>
    <w:rsid w:val="000D4A1E"/>
    <w:rsid w:val="000D4A27"/>
    <w:rsid w:val="000D4A58"/>
    <w:rsid w:val="000D4A5E"/>
    <w:rsid w:val="000D4A67"/>
    <w:rsid w:val="000D4A89"/>
    <w:rsid w:val="000D4AAB"/>
    <w:rsid w:val="000D4ABD"/>
    <w:rsid w:val="000D4ACD"/>
    <w:rsid w:val="000D4AE3"/>
    <w:rsid w:val="000D4AFA"/>
    <w:rsid w:val="000D4B0D"/>
    <w:rsid w:val="000D4B32"/>
    <w:rsid w:val="000D4B3F"/>
    <w:rsid w:val="000D4B53"/>
    <w:rsid w:val="000D4B67"/>
    <w:rsid w:val="000D4B93"/>
    <w:rsid w:val="000D4B94"/>
    <w:rsid w:val="000D4BEB"/>
    <w:rsid w:val="000D4C08"/>
    <w:rsid w:val="000D4C42"/>
    <w:rsid w:val="000D4C45"/>
    <w:rsid w:val="000D4C58"/>
    <w:rsid w:val="000D4C7B"/>
    <w:rsid w:val="000D4CD0"/>
    <w:rsid w:val="000D4CEA"/>
    <w:rsid w:val="000D4CFD"/>
    <w:rsid w:val="000D4D05"/>
    <w:rsid w:val="000D4D46"/>
    <w:rsid w:val="000D4D5A"/>
    <w:rsid w:val="000D4D7A"/>
    <w:rsid w:val="000D4DBF"/>
    <w:rsid w:val="000D4DE1"/>
    <w:rsid w:val="000D4E16"/>
    <w:rsid w:val="000D4E35"/>
    <w:rsid w:val="000D4E49"/>
    <w:rsid w:val="000D4ECA"/>
    <w:rsid w:val="000D4EE1"/>
    <w:rsid w:val="000D4F00"/>
    <w:rsid w:val="000D4F3B"/>
    <w:rsid w:val="000D4F3F"/>
    <w:rsid w:val="000D4F9A"/>
    <w:rsid w:val="000D4FA8"/>
    <w:rsid w:val="000D4FB0"/>
    <w:rsid w:val="000D4FBA"/>
    <w:rsid w:val="000D5004"/>
    <w:rsid w:val="000D500F"/>
    <w:rsid w:val="000D5038"/>
    <w:rsid w:val="000D5075"/>
    <w:rsid w:val="000D5081"/>
    <w:rsid w:val="000D508B"/>
    <w:rsid w:val="000D50A5"/>
    <w:rsid w:val="000D50B3"/>
    <w:rsid w:val="000D50D0"/>
    <w:rsid w:val="000D50D8"/>
    <w:rsid w:val="000D5102"/>
    <w:rsid w:val="000D5116"/>
    <w:rsid w:val="000D515C"/>
    <w:rsid w:val="000D5179"/>
    <w:rsid w:val="000D517B"/>
    <w:rsid w:val="000D5189"/>
    <w:rsid w:val="000D51C5"/>
    <w:rsid w:val="000D51DA"/>
    <w:rsid w:val="000D522A"/>
    <w:rsid w:val="000D5252"/>
    <w:rsid w:val="000D5337"/>
    <w:rsid w:val="000D534F"/>
    <w:rsid w:val="000D535D"/>
    <w:rsid w:val="000D53CE"/>
    <w:rsid w:val="000D53E8"/>
    <w:rsid w:val="000D5402"/>
    <w:rsid w:val="000D5435"/>
    <w:rsid w:val="000D545D"/>
    <w:rsid w:val="000D5474"/>
    <w:rsid w:val="000D548B"/>
    <w:rsid w:val="000D54C3"/>
    <w:rsid w:val="000D5523"/>
    <w:rsid w:val="000D5550"/>
    <w:rsid w:val="000D557F"/>
    <w:rsid w:val="000D5585"/>
    <w:rsid w:val="000D5595"/>
    <w:rsid w:val="000D559C"/>
    <w:rsid w:val="000D55C0"/>
    <w:rsid w:val="000D5650"/>
    <w:rsid w:val="000D5669"/>
    <w:rsid w:val="000D56AE"/>
    <w:rsid w:val="000D56BD"/>
    <w:rsid w:val="000D56DB"/>
    <w:rsid w:val="000D56DC"/>
    <w:rsid w:val="000D5729"/>
    <w:rsid w:val="000D5741"/>
    <w:rsid w:val="000D5745"/>
    <w:rsid w:val="000D5771"/>
    <w:rsid w:val="000D57A8"/>
    <w:rsid w:val="000D57B2"/>
    <w:rsid w:val="000D57C3"/>
    <w:rsid w:val="000D57C9"/>
    <w:rsid w:val="000D580D"/>
    <w:rsid w:val="000D58B5"/>
    <w:rsid w:val="000D58CC"/>
    <w:rsid w:val="000D5913"/>
    <w:rsid w:val="000D596D"/>
    <w:rsid w:val="000D5990"/>
    <w:rsid w:val="000D5998"/>
    <w:rsid w:val="000D59EB"/>
    <w:rsid w:val="000D5AA7"/>
    <w:rsid w:val="000D5AAD"/>
    <w:rsid w:val="000D5ABA"/>
    <w:rsid w:val="000D5B01"/>
    <w:rsid w:val="000D5B0E"/>
    <w:rsid w:val="000D5B16"/>
    <w:rsid w:val="000D5B68"/>
    <w:rsid w:val="000D5B8F"/>
    <w:rsid w:val="000D5BAB"/>
    <w:rsid w:val="000D5BBC"/>
    <w:rsid w:val="000D5BBD"/>
    <w:rsid w:val="000D5BDF"/>
    <w:rsid w:val="000D5C1E"/>
    <w:rsid w:val="000D5C31"/>
    <w:rsid w:val="000D5C51"/>
    <w:rsid w:val="000D5C64"/>
    <w:rsid w:val="000D5C71"/>
    <w:rsid w:val="000D5CB8"/>
    <w:rsid w:val="000D5CE6"/>
    <w:rsid w:val="000D5D27"/>
    <w:rsid w:val="000D5D2A"/>
    <w:rsid w:val="000D5D5B"/>
    <w:rsid w:val="000D5D98"/>
    <w:rsid w:val="000D5DA3"/>
    <w:rsid w:val="000D5DE8"/>
    <w:rsid w:val="000D5E0A"/>
    <w:rsid w:val="000D5E3D"/>
    <w:rsid w:val="000D5E57"/>
    <w:rsid w:val="000D5E67"/>
    <w:rsid w:val="000D5F3F"/>
    <w:rsid w:val="000D5F5F"/>
    <w:rsid w:val="000D5F68"/>
    <w:rsid w:val="000D5FA1"/>
    <w:rsid w:val="000D5FCE"/>
    <w:rsid w:val="000D5FF8"/>
    <w:rsid w:val="000D5FF9"/>
    <w:rsid w:val="000D6015"/>
    <w:rsid w:val="000D6029"/>
    <w:rsid w:val="000D603D"/>
    <w:rsid w:val="000D6048"/>
    <w:rsid w:val="000D6052"/>
    <w:rsid w:val="000D6058"/>
    <w:rsid w:val="000D6091"/>
    <w:rsid w:val="000D6093"/>
    <w:rsid w:val="000D60B8"/>
    <w:rsid w:val="000D60C4"/>
    <w:rsid w:val="000D60E0"/>
    <w:rsid w:val="000D6168"/>
    <w:rsid w:val="000D61BD"/>
    <w:rsid w:val="000D61DC"/>
    <w:rsid w:val="000D61E7"/>
    <w:rsid w:val="000D61FB"/>
    <w:rsid w:val="000D6230"/>
    <w:rsid w:val="000D623E"/>
    <w:rsid w:val="000D62BE"/>
    <w:rsid w:val="000D62EE"/>
    <w:rsid w:val="000D62F3"/>
    <w:rsid w:val="000D6315"/>
    <w:rsid w:val="000D633F"/>
    <w:rsid w:val="000D634F"/>
    <w:rsid w:val="000D6352"/>
    <w:rsid w:val="000D6362"/>
    <w:rsid w:val="000D637C"/>
    <w:rsid w:val="000D6398"/>
    <w:rsid w:val="000D63BB"/>
    <w:rsid w:val="000D63DF"/>
    <w:rsid w:val="000D6448"/>
    <w:rsid w:val="000D6494"/>
    <w:rsid w:val="000D64B4"/>
    <w:rsid w:val="000D64E3"/>
    <w:rsid w:val="000D651F"/>
    <w:rsid w:val="000D6536"/>
    <w:rsid w:val="000D6574"/>
    <w:rsid w:val="000D657A"/>
    <w:rsid w:val="000D65ED"/>
    <w:rsid w:val="000D65F0"/>
    <w:rsid w:val="000D6600"/>
    <w:rsid w:val="000D6608"/>
    <w:rsid w:val="000D66AC"/>
    <w:rsid w:val="000D66B7"/>
    <w:rsid w:val="000D675C"/>
    <w:rsid w:val="000D675D"/>
    <w:rsid w:val="000D6769"/>
    <w:rsid w:val="000D6784"/>
    <w:rsid w:val="000D67A2"/>
    <w:rsid w:val="000D67DB"/>
    <w:rsid w:val="000D6885"/>
    <w:rsid w:val="000D6929"/>
    <w:rsid w:val="000D692E"/>
    <w:rsid w:val="000D6934"/>
    <w:rsid w:val="000D6967"/>
    <w:rsid w:val="000D696A"/>
    <w:rsid w:val="000D6991"/>
    <w:rsid w:val="000D6A7B"/>
    <w:rsid w:val="000D6A7D"/>
    <w:rsid w:val="000D6A96"/>
    <w:rsid w:val="000D6ADD"/>
    <w:rsid w:val="000D6AE6"/>
    <w:rsid w:val="000D6AF8"/>
    <w:rsid w:val="000D6B4D"/>
    <w:rsid w:val="000D6B4F"/>
    <w:rsid w:val="000D6B6C"/>
    <w:rsid w:val="000D6BBD"/>
    <w:rsid w:val="000D6BC3"/>
    <w:rsid w:val="000D6C25"/>
    <w:rsid w:val="000D6C31"/>
    <w:rsid w:val="000D6C9D"/>
    <w:rsid w:val="000D6CBD"/>
    <w:rsid w:val="000D6CD7"/>
    <w:rsid w:val="000D6D02"/>
    <w:rsid w:val="000D6D98"/>
    <w:rsid w:val="000D6DA0"/>
    <w:rsid w:val="000D6DA4"/>
    <w:rsid w:val="000D6DCA"/>
    <w:rsid w:val="000D6E01"/>
    <w:rsid w:val="000D6E20"/>
    <w:rsid w:val="000D6E27"/>
    <w:rsid w:val="000D6ECE"/>
    <w:rsid w:val="000D6ED0"/>
    <w:rsid w:val="000D6F58"/>
    <w:rsid w:val="000D6F6B"/>
    <w:rsid w:val="000D6F75"/>
    <w:rsid w:val="000D6F88"/>
    <w:rsid w:val="000D6FB2"/>
    <w:rsid w:val="000D6FBD"/>
    <w:rsid w:val="000D6FE6"/>
    <w:rsid w:val="000D6FEA"/>
    <w:rsid w:val="000D7030"/>
    <w:rsid w:val="000D7037"/>
    <w:rsid w:val="000D7091"/>
    <w:rsid w:val="000D709F"/>
    <w:rsid w:val="000D70A2"/>
    <w:rsid w:val="000D70F1"/>
    <w:rsid w:val="000D70F2"/>
    <w:rsid w:val="000D7123"/>
    <w:rsid w:val="000D7134"/>
    <w:rsid w:val="000D7150"/>
    <w:rsid w:val="000D7176"/>
    <w:rsid w:val="000D7188"/>
    <w:rsid w:val="000D71A8"/>
    <w:rsid w:val="000D71AB"/>
    <w:rsid w:val="000D71F4"/>
    <w:rsid w:val="000D7200"/>
    <w:rsid w:val="000D7223"/>
    <w:rsid w:val="000D7254"/>
    <w:rsid w:val="000D729D"/>
    <w:rsid w:val="000D7323"/>
    <w:rsid w:val="000D733B"/>
    <w:rsid w:val="000D7351"/>
    <w:rsid w:val="000D7374"/>
    <w:rsid w:val="000D73ED"/>
    <w:rsid w:val="000D740C"/>
    <w:rsid w:val="000D7451"/>
    <w:rsid w:val="000D7465"/>
    <w:rsid w:val="000D7474"/>
    <w:rsid w:val="000D74A1"/>
    <w:rsid w:val="000D74A8"/>
    <w:rsid w:val="000D74ED"/>
    <w:rsid w:val="000D74F3"/>
    <w:rsid w:val="000D74F9"/>
    <w:rsid w:val="000D756F"/>
    <w:rsid w:val="000D758D"/>
    <w:rsid w:val="000D75AE"/>
    <w:rsid w:val="000D7609"/>
    <w:rsid w:val="000D760F"/>
    <w:rsid w:val="000D7647"/>
    <w:rsid w:val="000D767D"/>
    <w:rsid w:val="000D76A9"/>
    <w:rsid w:val="000D76C2"/>
    <w:rsid w:val="000D76D7"/>
    <w:rsid w:val="000D76FF"/>
    <w:rsid w:val="000D7700"/>
    <w:rsid w:val="000D770E"/>
    <w:rsid w:val="000D7717"/>
    <w:rsid w:val="000D771E"/>
    <w:rsid w:val="000D7722"/>
    <w:rsid w:val="000D7726"/>
    <w:rsid w:val="000D7765"/>
    <w:rsid w:val="000D7773"/>
    <w:rsid w:val="000D779A"/>
    <w:rsid w:val="000D77D3"/>
    <w:rsid w:val="000D784E"/>
    <w:rsid w:val="000D7859"/>
    <w:rsid w:val="000D788D"/>
    <w:rsid w:val="000D78EE"/>
    <w:rsid w:val="000D795C"/>
    <w:rsid w:val="000D7969"/>
    <w:rsid w:val="000D796F"/>
    <w:rsid w:val="000D79CE"/>
    <w:rsid w:val="000D79D3"/>
    <w:rsid w:val="000D79DC"/>
    <w:rsid w:val="000D7A1E"/>
    <w:rsid w:val="000D7A32"/>
    <w:rsid w:val="000D7AF1"/>
    <w:rsid w:val="000D7B7C"/>
    <w:rsid w:val="000D7B7F"/>
    <w:rsid w:val="000D7B8A"/>
    <w:rsid w:val="000D7BF6"/>
    <w:rsid w:val="000D7C3D"/>
    <w:rsid w:val="000D7C95"/>
    <w:rsid w:val="000D7CB3"/>
    <w:rsid w:val="000D7DC4"/>
    <w:rsid w:val="000D7E03"/>
    <w:rsid w:val="000D7E5B"/>
    <w:rsid w:val="000D7E89"/>
    <w:rsid w:val="000D7EB7"/>
    <w:rsid w:val="000D7ED0"/>
    <w:rsid w:val="000D7F03"/>
    <w:rsid w:val="000D7F19"/>
    <w:rsid w:val="000D7F50"/>
    <w:rsid w:val="000D7F75"/>
    <w:rsid w:val="000D7F7A"/>
    <w:rsid w:val="000D7F99"/>
    <w:rsid w:val="000D7FBD"/>
    <w:rsid w:val="000D8750"/>
    <w:rsid w:val="000E0025"/>
    <w:rsid w:val="000E003F"/>
    <w:rsid w:val="000E005E"/>
    <w:rsid w:val="000E0099"/>
    <w:rsid w:val="000E00A6"/>
    <w:rsid w:val="000E00E5"/>
    <w:rsid w:val="000E012A"/>
    <w:rsid w:val="000E0177"/>
    <w:rsid w:val="000E0185"/>
    <w:rsid w:val="000E01C2"/>
    <w:rsid w:val="000E01EC"/>
    <w:rsid w:val="000E0227"/>
    <w:rsid w:val="000E0257"/>
    <w:rsid w:val="000E02A1"/>
    <w:rsid w:val="000E02A2"/>
    <w:rsid w:val="000E02AB"/>
    <w:rsid w:val="000E02AF"/>
    <w:rsid w:val="000E02CE"/>
    <w:rsid w:val="000E02D0"/>
    <w:rsid w:val="000E02EE"/>
    <w:rsid w:val="000E02F6"/>
    <w:rsid w:val="000E036F"/>
    <w:rsid w:val="000E0388"/>
    <w:rsid w:val="000E0390"/>
    <w:rsid w:val="000E03B3"/>
    <w:rsid w:val="000E03D4"/>
    <w:rsid w:val="000E03DC"/>
    <w:rsid w:val="000E03E4"/>
    <w:rsid w:val="000E040D"/>
    <w:rsid w:val="000E041E"/>
    <w:rsid w:val="000E042F"/>
    <w:rsid w:val="000E0457"/>
    <w:rsid w:val="000E045C"/>
    <w:rsid w:val="000E047D"/>
    <w:rsid w:val="000E0488"/>
    <w:rsid w:val="000E0491"/>
    <w:rsid w:val="000E04D7"/>
    <w:rsid w:val="000E04FE"/>
    <w:rsid w:val="000E0558"/>
    <w:rsid w:val="000E056F"/>
    <w:rsid w:val="000E057E"/>
    <w:rsid w:val="000E05A3"/>
    <w:rsid w:val="000E0645"/>
    <w:rsid w:val="000E0666"/>
    <w:rsid w:val="000E0679"/>
    <w:rsid w:val="000E06F5"/>
    <w:rsid w:val="000E0701"/>
    <w:rsid w:val="000E0705"/>
    <w:rsid w:val="000E0715"/>
    <w:rsid w:val="000E071D"/>
    <w:rsid w:val="000E0786"/>
    <w:rsid w:val="000E078D"/>
    <w:rsid w:val="000E07C1"/>
    <w:rsid w:val="000E07EA"/>
    <w:rsid w:val="000E0815"/>
    <w:rsid w:val="000E083B"/>
    <w:rsid w:val="000E0848"/>
    <w:rsid w:val="000E0854"/>
    <w:rsid w:val="000E0885"/>
    <w:rsid w:val="000E08B8"/>
    <w:rsid w:val="000E08F2"/>
    <w:rsid w:val="000E0901"/>
    <w:rsid w:val="000E092C"/>
    <w:rsid w:val="000E093C"/>
    <w:rsid w:val="000E095E"/>
    <w:rsid w:val="000E0964"/>
    <w:rsid w:val="000E098F"/>
    <w:rsid w:val="000E09A2"/>
    <w:rsid w:val="000E09C5"/>
    <w:rsid w:val="000E09F4"/>
    <w:rsid w:val="000E0A64"/>
    <w:rsid w:val="000E0A65"/>
    <w:rsid w:val="000E0A66"/>
    <w:rsid w:val="000E0A8F"/>
    <w:rsid w:val="000E0A90"/>
    <w:rsid w:val="000E0AAC"/>
    <w:rsid w:val="000E0AC1"/>
    <w:rsid w:val="000E0AC6"/>
    <w:rsid w:val="000E0AD3"/>
    <w:rsid w:val="000E0AE5"/>
    <w:rsid w:val="000E0AF7"/>
    <w:rsid w:val="000E0B50"/>
    <w:rsid w:val="000E0B68"/>
    <w:rsid w:val="000E0B8F"/>
    <w:rsid w:val="000E0B9A"/>
    <w:rsid w:val="000E0BA6"/>
    <w:rsid w:val="000E0C45"/>
    <w:rsid w:val="000E0C6A"/>
    <w:rsid w:val="000E0C9B"/>
    <w:rsid w:val="000E0C9F"/>
    <w:rsid w:val="000E0CD1"/>
    <w:rsid w:val="000E0CE2"/>
    <w:rsid w:val="000E0CFC"/>
    <w:rsid w:val="000E0D7F"/>
    <w:rsid w:val="000E0DD8"/>
    <w:rsid w:val="000E0DE7"/>
    <w:rsid w:val="000E0E84"/>
    <w:rsid w:val="000E0E94"/>
    <w:rsid w:val="000E0EC5"/>
    <w:rsid w:val="000E0ECF"/>
    <w:rsid w:val="000E0EE0"/>
    <w:rsid w:val="000E0F3A"/>
    <w:rsid w:val="000E0FBA"/>
    <w:rsid w:val="000E0FBF"/>
    <w:rsid w:val="000E0FFB"/>
    <w:rsid w:val="000E1023"/>
    <w:rsid w:val="000E103C"/>
    <w:rsid w:val="000E1049"/>
    <w:rsid w:val="000E10DB"/>
    <w:rsid w:val="000E10E3"/>
    <w:rsid w:val="000E1101"/>
    <w:rsid w:val="000E1131"/>
    <w:rsid w:val="000E1144"/>
    <w:rsid w:val="000E114A"/>
    <w:rsid w:val="000E116F"/>
    <w:rsid w:val="000E1187"/>
    <w:rsid w:val="000E1197"/>
    <w:rsid w:val="000E11AE"/>
    <w:rsid w:val="000E11CB"/>
    <w:rsid w:val="000E11E8"/>
    <w:rsid w:val="000E11ED"/>
    <w:rsid w:val="000E1214"/>
    <w:rsid w:val="000E1281"/>
    <w:rsid w:val="000E12DD"/>
    <w:rsid w:val="000E12DE"/>
    <w:rsid w:val="000E12E4"/>
    <w:rsid w:val="000E12E7"/>
    <w:rsid w:val="000E12EA"/>
    <w:rsid w:val="000E131F"/>
    <w:rsid w:val="000E13A5"/>
    <w:rsid w:val="000E13A7"/>
    <w:rsid w:val="000E13BC"/>
    <w:rsid w:val="000E1428"/>
    <w:rsid w:val="000E1449"/>
    <w:rsid w:val="000E1480"/>
    <w:rsid w:val="000E1483"/>
    <w:rsid w:val="000E14F6"/>
    <w:rsid w:val="000E153D"/>
    <w:rsid w:val="000E154A"/>
    <w:rsid w:val="000E1563"/>
    <w:rsid w:val="000E156B"/>
    <w:rsid w:val="000E159E"/>
    <w:rsid w:val="000E15DB"/>
    <w:rsid w:val="000E15FE"/>
    <w:rsid w:val="000E1660"/>
    <w:rsid w:val="000E1680"/>
    <w:rsid w:val="000E1681"/>
    <w:rsid w:val="000E1699"/>
    <w:rsid w:val="000E16CB"/>
    <w:rsid w:val="000E16D0"/>
    <w:rsid w:val="000E173A"/>
    <w:rsid w:val="000E176A"/>
    <w:rsid w:val="000E176B"/>
    <w:rsid w:val="000E17A1"/>
    <w:rsid w:val="000E17BC"/>
    <w:rsid w:val="000E17CE"/>
    <w:rsid w:val="000E17F5"/>
    <w:rsid w:val="000E183E"/>
    <w:rsid w:val="000E185A"/>
    <w:rsid w:val="000E1868"/>
    <w:rsid w:val="000E1883"/>
    <w:rsid w:val="000E18A9"/>
    <w:rsid w:val="000E18D1"/>
    <w:rsid w:val="000E18E8"/>
    <w:rsid w:val="000E1902"/>
    <w:rsid w:val="000E191F"/>
    <w:rsid w:val="000E1920"/>
    <w:rsid w:val="000E1921"/>
    <w:rsid w:val="000E193B"/>
    <w:rsid w:val="000E197C"/>
    <w:rsid w:val="000E1980"/>
    <w:rsid w:val="000E198E"/>
    <w:rsid w:val="000E198F"/>
    <w:rsid w:val="000E19E4"/>
    <w:rsid w:val="000E19E6"/>
    <w:rsid w:val="000E19FC"/>
    <w:rsid w:val="000E1A50"/>
    <w:rsid w:val="000E1A51"/>
    <w:rsid w:val="000E1A60"/>
    <w:rsid w:val="000E1A64"/>
    <w:rsid w:val="000E1A66"/>
    <w:rsid w:val="000E1A6B"/>
    <w:rsid w:val="000E1AC3"/>
    <w:rsid w:val="000E1AF7"/>
    <w:rsid w:val="000E1B06"/>
    <w:rsid w:val="000E1B22"/>
    <w:rsid w:val="000E1B44"/>
    <w:rsid w:val="000E1B53"/>
    <w:rsid w:val="000E1B57"/>
    <w:rsid w:val="000E1BFB"/>
    <w:rsid w:val="000E1C05"/>
    <w:rsid w:val="000E1C19"/>
    <w:rsid w:val="000E1C3D"/>
    <w:rsid w:val="000E1C50"/>
    <w:rsid w:val="000E1C58"/>
    <w:rsid w:val="000E1CCC"/>
    <w:rsid w:val="000E1CF5"/>
    <w:rsid w:val="000E1D01"/>
    <w:rsid w:val="000E1D2D"/>
    <w:rsid w:val="000E1D80"/>
    <w:rsid w:val="000E1DB0"/>
    <w:rsid w:val="000E1DFD"/>
    <w:rsid w:val="000E1EC2"/>
    <w:rsid w:val="000E1EE9"/>
    <w:rsid w:val="000E1F01"/>
    <w:rsid w:val="000E1F1C"/>
    <w:rsid w:val="000E1F35"/>
    <w:rsid w:val="000E1FD8"/>
    <w:rsid w:val="000E1FE6"/>
    <w:rsid w:val="000E205B"/>
    <w:rsid w:val="000E2068"/>
    <w:rsid w:val="000E2082"/>
    <w:rsid w:val="000E20B8"/>
    <w:rsid w:val="000E20BD"/>
    <w:rsid w:val="000E20F1"/>
    <w:rsid w:val="000E2183"/>
    <w:rsid w:val="000E21B8"/>
    <w:rsid w:val="000E21BC"/>
    <w:rsid w:val="000E21CD"/>
    <w:rsid w:val="000E21E5"/>
    <w:rsid w:val="000E221A"/>
    <w:rsid w:val="000E2254"/>
    <w:rsid w:val="000E227E"/>
    <w:rsid w:val="000E22A9"/>
    <w:rsid w:val="000E22BB"/>
    <w:rsid w:val="000E22CB"/>
    <w:rsid w:val="000E22D6"/>
    <w:rsid w:val="000E22F1"/>
    <w:rsid w:val="000E2337"/>
    <w:rsid w:val="000E237B"/>
    <w:rsid w:val="000E23A0"/>
    <w:rsid w:val="000E23C8"/>
    <w:rsid w:val="000E2404"/>
    <w:rsid w:val="000E2428"/>
    <w:rsid w:val="000E242A"/>
    <w:rsid w:val="000E2452"/>
    <w:rsid w:val="000E2476"/>
    <w:rsid w:val="000E248D"/>
    <w:rsid w:val="000E250D"/>
    <w:rsid w:val="000E251A"/>
    <w:rsid w:val="000E2520"/>
    <w:rsid w:val="000E25D2"/>
    <w:rsid w:val="000E25F4"/>
    <w:rsid w:val="000E2638"/>
    <w:rsid w:val="000E2639"/>
    <w:rsid w:val="000E2654"/>
    <w:rsid w:val="000E265D"/>
    <w:rsid w:val="000E2675"/>
    <w:rsid w:val="000E26CC"/>
    <w:rsid w:val="000E26DE"/>
    <w:rsid w:val="000E2787"/>
    <w:rsid w:val="000E278E"/>
    <w:rsid w:val="000E278F"/>
    <w:rsid w:val="000E2798"/>
    <w:rsid w:val="000E2799"/>
    <w:rsid w:val="000E27CA"/>
    <w:rsid w:val="000E2830"/>
    <w:rsid w:val="000E2891"/>
    <w:rsid w:val="000E2897"/>
    <w:rsid w:val="000E28AC"/>
    <w:rsid w:val="000E28B3"/>
    <w:rsid w:val="000E28C3"/>
    <w:rsid w:val="000E28FF"/>
    <w:rsid w:val="000E2908"/>
    <w:rsid w:val="000E2968"/>
    <w:rsid w:val="000E297D"/>
    <w:rsid w:val="000E2996"/>
    <w:rsid w:val="000E29B9"/>
    <w:rsid w:val="000E29E8"/>
    <w:rsid w:val="000E29F1"/>
    <w:rsid w:val="000E2A06"/>
    <w:rsid w:val="000E2A09"/>
    <w:rsid w:val="000E2A29"/>
    <w:rsid w:val="000E2A68"/>
    <w:rsid w:val="000E2A7C"/>
    <w:rsid w:val="000E2A94"/>
    <w:rsid w:val="000E2AAC"/>
    <w:rsid w:val="000E2AAD"/>
    <w:rsid w:val="000E2AC2"/>
    <w:rsid w:val="000E2AD8"/>
    <w:rsid w:val="000E2AF0"/>
    <w:rsid w:val="000E2AF4"/>
    <w:rsid w:val="000E2B1A"/>
    <w:rsid w:val="000E2B78"/>
    <w:rsid w:val="000E2B82"/>
    <w:rsid w:val="000E2BB9"/>
    <w:rsid w:val="000E2BEE"/>
    <w:rsid w:val="000E2C09"/>
    <w:rsid w:val="000E2C2D"/>
    <w:rsid w:val="000E2C58"/>
    <w:rsid w:val="000E2C8E"/>
    <w:rsid w:val="000E2CD4"/>
    <w:rsid w:val="000E2CF4"/>
    <w:rsid w:val="000E2D14"/>
    <w:rsid w:val="000E2D31"/>
    <w:rsid w:val="000E2D70"/>
    <w:rsid w:val="000E2DB0"/>
    <w:rsid w:val="000E2DD0"/>
    <w:rsid w:val="000E2DD6"/>
    <w:rsid w:val="000E2DF5"/>
    <w:rsid w:val="000E2E1D"/>
    <w:rsid w:val="000E2E73"/>
    <w:rsid w:val="000E2E94"/>
    <w:rsid w:val="000E2F24"/>
    <w:rsid w:val="000E2F3C"/>
    <w:rsid w:val="000E2F4B"/>
    <w:rsid w:val="000E2F5F"/>
    <w:rsid w:val="000E2F77"/>
    <w:rsid w:val="000E2F87"/>
    <w:rsid w:val="000E2F91"/>
    <w:rsid w:val="000E2FDD"/>
    <w:rsid w:val="000E3059"/>
    <w:rsid w:val="000E3086"/>
    <w:rsid w:val="000E309F"/>
    <w:rsid w:val="000E30C0"/>
    <w:rsid w:val="000E30DD"/>
    <w:rsid w:val="000E30E8"/>
    <w:rsid w:val="000E30EC"/>
    <w:rsid w:val="000E30F2"/>
    <w:rsid w:val="000E3101"/>
    <w:rsid w:val="000E3193"/>
    <w:rsid w:val="000E3198"/>
    <w:rsid w:val="000E31B6"/>
    <w:rsid w:val="000E31E8"/>
    <w:rsid w:val="000E321B"/>
    <w:rsid w:val="000E325A"/>
    <w:rsid w:val="000E32D3"/>
    <w:rsid w:val="000E3361"/>
    <w:rsid w:val="000E33BF"/>
    <w:rsid w:val="000E3424"/>
    <w:rsid w:val="000E3433"/>
    <w:rsid w:val="000E3448"/>
    <w:rsid w:val="000E345A"/>
    <w:rsid w:val="000E345B"/>
    <w:rsid w:val="000E3464"/>
    <w:rsid w:val="000E3467"/>
    <w:rsid w:val="000E3484"/>
    <w:rsid w:val="000E3489"/>
    <w:rsid w:val="000E34A2"/>
    <w:rsid w:val="000E350C"/>
    <w:rsid w:val="000E3510"/>
    <w:rsid w:val="000E352F"/>
    <w:rsid w:val="000E3598"/>
    <w:rsid w:val="000E35A7"/>
    <w:rsid w:val="000E35AE"/>
    <w:rsid w:val="000E35D5"/>
    <w:rsid w:val="000E35FA"/>
    <w:rsid w:val="000E360B"/>
    <w:rsid w:val="000E360C"/>
    <w:rsid w:val="000E3617"/>
    <w:rsid w:val="000E3674"/>
    <w:rsid w:val="000E369E"/>
    <w:rsid w:val="000E36C9"/>
    <w:rsid w:val="000E36CD"/>
    <w:rsid w:val="000E3713"/>
    <w:rsid w:val="000E3729"/>
    <w:rsid w:val="000E3754"/>
    <w:rsid w:val="000E375C"/>
    <w:rsid w:val="000E3779"/>
    <w:rsid w:val="000E37B4"/>
    <w:rsid w:val="000E37C6"/>
    <w:rsid w:val="000E37D8"/>
    <w:rsid w:val="000E37DA"/>
    <w:rsid w:val="000E37ED"/>
    <w:rsid w:val="000E37EF"/>
    <w:rsid w:val="000E3831"/>
    <w:rsid w:val="000E38AC"/>
    <w:rsid w:val="000E38EA"/>
    <w:rsid w:val="000E38EF"/>
    <w:rsid w:val="000E3934"/>
    <w:rsid w:val="000E3967"/>
    <w:rsid w:val="000E3A0F"/>
    <w:rsid w:val="000E3A11"/>
    <w:rsid w:val="000E3A2D"/>
    <w:rsid w:val="000E3A92"/>
    <w:rsid w:val="000E3AB6"/>
    <w:rsid w:val="000E3ABD"/>
    <w:rsid w:val="000E3AC8"/>
    <w:rsid w:val="000E3B25"/>
    <w:rsid w:val="000E3B77"/>
    <w:rsid w:val="000E3B83"/>
    <w:rsid w:val="000E3BC9"/>
    <w:rsid w:val="000E3BF9"/>
    <w:rsid w:val="000E3BFB"/>
    <w:rsid w:val="000E3C16"/>
    <w:rsid w:val="000E3C38"/>
    <w:rsid w:val="000E3C45"/>
    <w:rsid w:val="000E3C9F"/>
    <w:rsid w:val="000E3CAD"/>
    <w:rsid w:val="000E3D0F"/>
    <w:rsid w:val="000E3D1A"/>
    <w:rsid w:val="000E3D2E"/>
    <w:rsid w:val="000E3D39"/>
    <w:rsid w:val="000E3D6A"/>
    <w:rsid w:val="000E3D6B"/>
    <w:rsid w:val="000E3D85"/>
    <w:rsid w:val="000E3DCD"/>
    <w:rsid w:val="000E3DDA"/>
    <w:rsid w:val="000E3DF3"/>
    <w:rsid w:val="000E3EDF"/>
    <w:rsid w:val="000E3EE8"/>
    <w:rsid w:val="000E3EEC"/>
    <w:rsid w:val="000E3F44"/>
    <w:rsid w:val="000E3F4C"/>
    <w:rsid w:val="000E3FA0"/>
    <w:rsid w:val="000E3FA4"/>
    <w:rsid w:val="000E3FC0"/>
    <w:rsid w:val="000E3FD4"/>
    <w:rsid w:val="000E4006"/>
    <w:rsid w:val="000E4024"/>
    <w:rsid w:val="000E402B"/>
    <w:rsid w:val="000E4041"/>
    <w:rsid w:val="000E404E"/>
    <w:rsid w:val="000E404F"/>
    <w:rsid w:val="000E407B"/>
    <w:rsid w:val="000E407F"/>
    <w:rsid w:val="000E40CC"/>
    <w:rsid w:val="000E4132"/>
    <w:rsid w:val="000E413B"/>
    <w:rsid w:val="000E4150"/>
    <w:rsid w:val="000E41C8"/>
    <w:rsid w:val="000E41D0"/>
    <w:rsid w:val="000E41D8"/>
    <w:rsid w:val="000E41F7"/>
    <w:rsid w:val="000E421A"/>
    <w:rsid w:val="000E426A"/>
    <w:rsid w:val="000E4291"/>
    <w:rsid w:val="000E429E"/>
    <w:rsid w:val="000E42EB"/>
    <w:rsid w:val="000E4315"/>
    <w:rsid w:val="000E4320"/>
    <w:rsid w:val="000E4344"/>
    <w:rsid w:val="000E4362"/>
    <w:rsid w:val="000E43A6"/>
    <w:rsid w:val="000E43AB"/>
    <w:rsid w:val="000E43BD"/>
    <w:rsid w:val="000E43EE"/>
    <w:rsid w:val="000E4441"/>
    <w:rsid w:val="000E4452"/>
    <w:rsid w:val="000E4497"/>
    <w:rsid w:val="000E44C0"/>
    <w:rsid w:val="000E44C9"/>
    <w:rsid w:val="000E44FA"/>
    <w:rsid w:val="000E4503"/>
    <w:rsid w:val="000E4506"/>
    <w:rsid w:val="000E452B"/>
    <w:rsid w:val="000E452F"/>
    <w:rsid w:val="000E4539"/>
    <w:rsid w:val="000E455E"/>
    <w:rsid w:val="000E4579"/>
    <w:rsid w:val="000E45B1"/>
    <w:rsid w:val="000E45C5"/>
    <w:rsid w:val="000E45E7"/>
    <w:rsid w:val="000E4607"/>
    <w:rsid w:val="000E464C"/>
    <w:rsid w:val="000E4651"/>
    <w:rsid w:val="000E4657"/>
    <w:rsid w:val="000E466E"/>
    <w:rsid w:val="000E46BD"/>
    <w:rsid w:val="000E46F9"/>
    <w:rsid w:val="000E4703"/>
    <w:rsid w:val="000E4716"/>
    <w:rsid w:val="000E473E"/>
    <w:rsid w:val="000E4757"/>
    <w:rsid w:val="000E475B"/>
    <w:rsid w:val="000E4767"/>
    <w:rsid w:val="000E47CE"/>
    <w:rsid w:val="000E47F0"/>
    <w:rsid w:val="000E4801"/>
    <w:rsid w:val="000E4810"/>
    <w:rsid w:val="000E482B"/>
    <w:rsid w:val="000E482E"/>
    <w:rsid w:val="000E4846"/>
    <w:rsid w:val="000E489A"/>
    <w:rsid w:val="000E48C9"/>
    <w:rsid w:val="000E48E2"/>
    <w:rsid w:val="000E48F0"/>
    <w:rsid w:val="000E48F1"/>
    <w:rsid w:val="000E4917"/>
    <w:rsid w:val="000E4944"/>
    <w:rsid w:val="000E495A"/>
    <w:rsid w:val="000E49C9"/>
    <w:rsid w:val="000E49EB"/>
    <w:rsid w:val="000E4A73"/>
    <w:rsid w:val="000E4A79"/>
    <w:rsid w:val="000E4AAE"/>
    <w:rsid w:val="000E4AE9"/>
    <w:rsid w:val="000E4B11"/>
    <w:rsid w:val="000E4B31"/>
    <w:rsid w:val="000E4BB7"/>
    <w:rsid w:val="000E4BD2"/>
    <w:rsid w:val="000E4C24"/>
    <w:rsid w:val="000E4C32"/>
    <w:rsid w:val="000E4C5C"/>
    <w:rsid w:val="000E4CC2"/>
    <w:rsid w:val="000E4CEC"/>
    <w:rsid w:val="000E4D1D"/>
    <w:rsid w:val="000E4D2D"/>
    <w:rsid w:val="000E4DA6"/>
    <w:rsid w:val="000E4DB3"/>
    <w:rsid w:val="000E4DBE"/>
    <w:rsid w:val="000E4E08"/>
    <w:rsid w:val="000E4E35"/>
    <w:rsid w:val="000E4E47"/>
    <w:rsid w:val="000E4E75"/>
    <w:rsid w:val="000E4E77"/>
    <w:rsid w:val="000E4E87"/>
    <w:rsid w:val="000E4E93"/>
    <w:rsid w:val="000E4E99"/>
    <w:rsid w:val="000E4EAC"/>
    <w:rsid w:val="000E4F25"/>
    <w:rsid w:val="000E4F57"/>
    <w:rsid w:val="000E4F5A"/>
    <w:rsid w:val="000E4F6C"/>
    <w:rsid w:val="000E4F6E"/>
    <w:rsid w:val="000E4FB5"/>
    <w:rsid w:val="000E4FC0"/>
    <w:rsid w:val="000E4FF2"/>
    <w:rsid w:val="000E504F"/>
    <w:rsid w:val="000E509F"/>
    <w:rsid w:val="000E50C3"/>
    <w:rsid w:val="000E50C5"/>
    <w:rsid w:val="000E50DF"/>
    <w:rsid w:val="000E50E0"/>
    <w:rsid w:val="000E5114"/>
    <w:rsid w:val="000E5145"/>
    <w:rsid w:val="000E51A9"/>
    <w:rsid w:val="000E51AA"/>
    <w:rsid w:val="000E51B5"/>
    <w:rsid w:val="000E51F9"/>
    <w:rsid w:val="000E51FF"/>
    <w:rsid w:val="000E5255"/>
    <w:rsid w:val="000E52AA"/>
    <w:rsid w:val="000E5317"/>
    <w:rsid w:val="000E536F"/>
    <w:rsid w:val="000E53D1"/>
    <w:rsid w:val="000E545F"/>
    <w:rsid w:val="000E54A9"/>
    <w:rsid w:val="000E54B5"/>
    <w:rsid w:val="000E54EC"/>
    <w:rsid w:val="000E54EE"/>
    <w:rsid w:val="000E54FC"/>
    <w:rsid w:val="000E5501"/>
    <w:rsid w:val="000E5522"/>
    <w:rsid w:val="000E5549"/>
    <w:rsid w:val="000E556F"/>
    <w:rsid w:val="000E55A3"/>
    <w:rsid w:val="000E55A6"/>
    <w:rsid w:val="000E55C9"/>
    <w:rsid w:val="000E5608"/>
    <w:rsid w:val="000E5626"/>
    <w:rsid w:val="000E5639"/>
    <w:rsid w:val="000E5676"/>
    <w:rsid w:val="000E5693"/>
    <w:rsid w:val="000E56C0"/>
    <w:rsid w:val="000E56F3"/>
    <w:rsid w:val="000E5702"/>
    <w:rsid w:val="000E572B"/>
    <w:rsid w:val="000E574E"/>
    <w:rsid w:val="000E575D"/>
    <w:rsid w:val="000E5788"/>
    <w:rsid w:val="000E578A"/>
    <w:rsid w:val="000E579B"/>
    <w:rsid w:val="000E57B4"/>
    <w:rsid w:val="000E57D5"/>
    <w:rsid w:val="000E57EA"/>
    <w:rsid w:val="000E57EB"/>
    <w:rsid w:val="000E5809"/>
    <w:rsid w:val="000E585B"/>
    <w:rsid w:val="000E58EF"/>
    <w:rsid w:val="000E5987"/>
    <w:rsid w:val="000E598F"/>
    <w:rsid w:val="000E5990"/>
    <w:rsid w:val="000E59BF"/>
    <w:rsid w:val="000E59D5"/>
    <w:rsid w:val="000E59E6"/>
    <w:rsid w:val="000E5A16"/>
    <w:rsid w:val="000E5A56"/>
    <w:rsid w:val="000E5A62"/>
    <w:rsid w:val="000E5A80"/>
    <w:rsid w:val="000E5AD8"/>
    <w:rsid w:val="000E5AF9"/>
    <w:rsid w:val="000E5AFA"/>
    <w:rsid w:val="000E5B2B"/>
    <w:rsid w:val="000E5B48"/>
    <w:rsid w:val="000E5BDA"/>
    <w:rsid w:val="000E5BFE"/>
    <w:rsid w:val="000E5C10"/>
    <w:rsid w:val="000E5CC2"/>
    <w:rsid w:val="000E5CD9"/>
    <w:rsid w:val="000E5D12"/>
    <w:rsid w:val="000E5D25"/>
    <w:rsid w:val="000E5D8F"/>
    <w:rsid w:val="000E5DA7"/>
    <w:rsid w:val="000E5DC0"/>
    <w:rsid w:val="000E5E18"/>
    <w:rsid w:val="000E5E39"/>
    <w:rsid w:val="000E5E3E"/>
    <w:rsid w:val="000E5E9B"/>
    <w:rsid w:val="000E5EA5"/>
    <w:rsid w:val="000E5F14"/>
    <w:rsid w:val="000E5F16"/>
    <w:rsid w:val="000E5F45"/>
    <w:rsid w:val="000E5F67"/>
    <w:rsid w:val="000E5FBF"/>
    <w:rsid w:val="000E5FC5"/>
    <w:rsid w:val="000E5FF3"/>
    <w:rsid w:val="000E6020"/>
    <w:rsid w:val="000E6093"/>
    <w:rsid w:val="000E60A8"/>
    <w:rsid w:val="000E60CA"/>
    <w:rsid w:val="000E60CC"/>
    <w:rsid w:val="000E60DA"/>
    <w:rsid w:val="000E6102"/>
    <w:rsid w:val="000E6129"/>
    <w:rsid w:val="000E614A"/>
    <w:rsid w:val="000E6150"/>
    <w:rsid w:val="000E616E"/>
    <w:rsid w:val="000E61AF"/>
    <w:rsid w:val="000E61B9"/>
    <w:rsid w:val="000E61E9"/>
    <w:rsid w:val="000E6243"/>
    <w:rsid w:val="000E62A8"/>
    <w:rsid w:val="000E62CF"/>
    <w:rsid w:val="000E62E2"/>
    <w:rsid w:val="000E62F4"/>
    <w:rsid w:val="000E6307"/>
    <w:rsid w:val="000E6325"/>
    <w:rsid w:val="000E6333"/>
    <w:rsid w:val="000E6363"/>
    <w:rsid w:val="000E638F"/>
    <w:rsid w:val="000E63B9"/>
    <w:rsid w:val="000E63C3"/>
    <w:rsid w:val="000E63F0"/>
    <w:rsid w:val="000E6441"/>
    <w:rsid w:val="000E64D8"/>
    <w:rsid w:val="000E652C"/>
    <w:rsid w:val="000E6564"/>
    <w:rsid w:val="000E6576"/>
    <w:rsid w:val="000E659E"/>
    <w:rsid w:val="000E65B4"/>
    <w:rsid w:val="000E65BB"/>
    <w:rsid w:val="000E65DA"/>
    <w:rsid w:val="000E65E4"/>
    <w:rsid w:val="000E6617"/>
    <w:rsid w:val="000E663E"/>
    <w:rsid w:val="000E6658"/>
    <w:rsid w:val="000E6669"/>
    <w:rsid w:val="000E6695"/>
    <w:rsid w:val="000E669D"/>
    <w:rsid w:val="000E66AB"/>
    <w:rsid w:val="000E66B5"/>
    <w:rsid w:val="000E66B6"/>
    <w:rsid w:val="000E6702"/>
    <w:rsid w:val="000E6747"/>
    <w:rsid w:val="000E6756"/>
    <w:rsid w:val="000E6778"/>
    <w:rsid w:val="000E67CE"/>
    <w:rsid w:val="000E681F"/>
    <w:rsid w:val="000E6829"/>
    <w:rsid w:val="000E6855"/>
    <w:rsid w:val="000E68A9"/>
    <w:rsid w:val="000E6902"/>
    <w:rsid w:val="000E692F"/>
    <w:rsid w:val="000E6945"/>
    <w:rsid w:val="000E6954"/>
    <w:rsid w:val="000E696B"/>
    <w:rsid w:val="000E696D"/>
    <w:rsid w:val="000E6999"/>
    <w:rsid w:val="000E699C"/>
    <w:rsid w:val="000E69AB"/>
    <w:rsid w:val="000E69BB"/>
    <w:rsid w:val="000E6A1D"/>
    <w:rsid w:val="000E6AD2"/>
    <w:rsid w:val="000E6B4F"/>
    <w:rsid w:val="000E6B63"/>
    <w:rsid w:val="000E6B8D"/>
    <w:rsid w:val="000E6B92"/>
    <w:rsid w:val="000E6B93"/>
    <w:rsid w:val="000E6BA8"/>
    <w:rsid w:val="000E6BCF"/>
    <w:rsid w:val="000E6BFE"/>
    <w:rsid w:val="000E6C01"/>
    <w:rsid w:val="000E6C22"/>
    <w:rsid w:val="000E6C2B"/>
    <w:rsid w:val="000E6C43"/>
    <w:rsid w:val="000E6C8A"/>
    <w:rsid w:val="000E6CA9"/>
    <w:rsid w:val="000E6CD3"/>
    <w:rsid w:val="000E6CEC"/>
    <w:rsid w:val="000E6D73"/>
    <w:rsid w:val="000E6D78"/>
    <w:rsid w:val="000E6D96"/>
    <w:rsid w:val="000E6DA7"/>
    <w:rsid w:val="000E6E1E"/>
    <w:rsid w:val="000E6E24"/>
    <w:rsid w:val="000E6E4F"/>
    <w:rsid w:val="000E6E5E"/>
    <w:rsid w:val="000E6EF7"/>
    <w:rsid w:val="000E6F15"/>
    <w:rsid w:val="000E6F19"/>
    <w:rsid w:val="000E6F1E"/>
    <w:rsid w:val="000E6F82"/>
    <w:rsid w:val="000E6FA2"/>
    <w:rsid w:val="000E6FAB"/>
    <w:rsid w:val="000E6FC2"/>
    <w:rsid w:val="000E6FCE"/>
    <w:rsid w:val="000E6FD0"/>
    <w:rsid w:val="000E6FF8"/>
    <w:rsid w:val="000E6FFD"/>
    <w:rsid w:val="000E7008"/>
    <w:rsid w:val="000E703B"/>
    <w:rsid w:val="000E70AC"/>
    <w:rsid w:val="000E70C3"/>
    <w:rsid w:val="000E711C"/>
    <w:rsid w:val="000E7155"/>
    <w:rsid w:val="000E7170"/>
    <w:rsid w:val="000E718F"/>
    <w:rsid w:val="000E7192"/>
    <w:rsid w:val="000E7220"/>
    <w:rsid w:val="000E7225"/>
    <w:rsid w:val="000E7268"/>
    <w:rsid w:val="000E727E"/>
    <w:rsid w:val="000E7297"/>
    <w:rsid w:val="000E72BE"/>
    <w:rsid w:val="000E72DD"/>
    <w:rsid w:val="000E72E8"/>
    <w:rsid w:val="000E730A"/>
    <w:rsid w:val="000E731D"/>
    <w:rsid w:val="000E7374"/>
    <w:rsid w:val="000E739E"/>
    <w:rsid w:val="000E73CE"/>
    <w:rsid w:val="000E7400"/>
    <w:rsid w:val="000E7436"/>
    <w:rsid w:val="000E7437"/>
    <w:rsid w:val="000E747F"/>
    <w:rsid w:val="000E7491"/>
    <w:rsid w:val="000E74D1"/>
    <w:rsid w:val="000E74D6"/>
    <w:rsid w:val="000E7511"/>
    <w:rsid w:val="000E7518"/>
    <w:rsid w:val="000E751A"/>
    <w:rsid w:val="000E7546"/>
    <w:rsid w:val="000E75D8"/>
    <w:rsid w:val="000E7610"/>
    <w:rsid w:val="000E7632"/>
    <w:rsid w:val="000E7634"/>
    <w:rsid w:val="000E7655"/>
    <w:rsid w:val="000E7668"/>
    <w:rsid w:val="000E76C5"/>
    <w:rsid w:val="000E76E4"/>
    <w:rsid w:val="000E77D5"/>
    <w:rsid w:val="000E77E7"/>
    <w:rsid w:val="000E7816"/>
    <w:rsid w:val="000E786A"/>
    <w:rsid w:val="000E7871"/>
    <w:rsid w:val="000E788A"/>
    <w:rsid w:val="000E7900"/>
    <w:rsid w:val="000E792A"/>
    <w:rsid w:val="000E793D"/>
    <w:rsid w:val="000E7961"/>
    <w:rsid w:val="000E799E"/>
    <w:rsid w:val="000E79A5"/>
    <w:rsid w:val="000E79AD"/>
    <w:rsid w:val="000E79FB"/>
    <w:rsid w:val="000E7A0B"/>
    <w:rsid w:val="000E7A60"/>
    <w:rsid w:val="000E7A72"/>
    <w:rsid w:val="000E7A98"/>
    <w:rsid w:val="000E7AC1"/>
    <w:rsid w:val="000E7AE1"/>
    <w:rsid w:val="000E7AE6"/>
    <w:rsid w:val="000E7B03"/>
    <w:rsid w:val="000E7B3B"/>
    <w:rsid w:val="000E7B3F"/>
    <w:rsid w:val="000E7B69"/>
    <w:rsid w:val="000E7B74"/>
    <w:rsid w:val="000E7BA3"/>
    <w:rsid w:val="000E7BB8"/>
    <w:rsid w:val="000E7C14"/>
    <w:rsid w:val="000E7C22"/>
    <w:rsid w:val="000E7C25"/>
    <w:rsid w:val="000E7C46"/>
    <w:rsid w:val="000E7CA8"/>
    <w:rsid w:val="000E7CAE"/>
    <w:rsid w:val="000E7CB5"/>
    <w:rsid w:val="000E7CB6"/>
    <w:rsid w:val="000E7CC1"/>
    <w:rsid w:val="000E7CF5"/>
    <w:rsid w:val="000E7CF9"/>
    <w:rsid w:val="000E7D14"/>
    <w:rsid w:val="000E7D16"/>
    <w:rsid w:val="000E7D22"/>
    <w:rsid w:val="000E7D24"/>
    <w:rsid w:val="000E7D58"/>
    <w:rsid w:val="000E7DF3"/>
    <w:rsid w:val="000E7E15"/>
    <w:rsid w:val="000E7E16"/>
    <w:rsid w:val="000E7E1A"/>
    <w:rsid w:val="000E7E2B"/>
    <w:rsid w:val="000E7E69"/>
    <w:rsid w:val="000E7ECD"/>
    <w:rsid w:val="000E7ECE"/>
    <w:rsid w:val="000E7EEA"/>
    <w:rsid w:val="000E7F11"/>
    <w:rsid w:val="000E7F16"/>
    <w:rsid w:val="000E7F1F"/>
    <w:rsid w:val="000E7F27"/>
    <w:rsid w:val="000E7F63"/>
    <w:rsid w:val="000E7FA2"/>
    <w:rsid w:val="000E7FAF"/>
    <w:rsid w:val="000E7FD9"/>
    <w:rsid w:val="000E7FDF"/>
    <w:rsid w:val="000F0029"/>
    <w:rsid w:val="000F0053"/>
    <w:rsid w:val="000F0088"/>
    <w:rsid w:val="000F00B6"/>
    <w:rsid w:val="000F0177"/>
    <w:rsid w:val="000F0193"/>
    <w:rsid w:val="000F0198"/>
    <w:rsid w:val="000F027B"/>
    <w:rsid w:val="000F0288"/>
    <w:rsid w:val="000F029E"/>
    <w:rsid w:val="000F02A0"/>
    <w:rsid w:val="000F02F3"/>
    <w:rsid w:val="000F0307"/>
    <w:rsid w:val="000F0324"/>
    <w:rsid w:val="000F0369"/>
    <w:rsid w:val="000F03B1"/>
    <w:rsid w:val="000F03B5"/>
    <w:rsid w:val="000F03B8"/>
    <w:rsid w:val="000F03F1"/>
    <w:rsid w:val="000F0448"/>
    <w:rsid w:val="000F0457"/>
    <w:rsid w:val="000F0466"/>
    <w:rsid w:val="000F0487"/>
    <w:rsid w:val="000F0495"/>
    <w:rsid w:val="000F04A4"/>
    <w:rsid w:val="000F04CB"/>
    <w:rsid w:val="000F04E4"/>
    <w:rsid w:val="000F056C"/>
    <w:rsid w:val="000F05F9"/>
    <w:rsid w:val="000F0602"/>
    <w:rsid w:val="000F0645"/>
    <w:rsid w:val="000F066C"/>
    <w:rsid w:val="000F0688"/>
    <w:rsid w:val="000F06A5"/>
    <w:rsid w:val="000F06C0"/>
    <w:rsid w:val="000F06E0"/>
    <w:rsid w:val="000F0700"/>
    <w:rsid w:val="000F0706"/>
    <w:rsid w:val="000F0726"/>
    <w:rsid w:val="000F073E"/>
    <w:rsid w:val="000F07FF"/>
    <w:rsid w:val="000F0819"/>
    <w:rsid w:val="000F0827"/>
    <w:rsid w:val="000F084C"/>
    <w:rsid w:val="000F0874"/>
    <w:rsid w:val="000F0881"/>
    <w:rsid w:val="000F088F"/>
    <w:rsid w:val="000F08CC"/>
    <w:rsid w:val="000F093A"/>
    <w:rsid w:val="000F093B"/>
    <w:rsid w:val="000F093E"/>
    <w:rsid w:val="000F095D"/>
    <w:rsid w:val="000F09A1"/>
    <w:rsid w:val="000F09B7"/>
    <w:rsid w:val="000F09F5"/>
    <w:rsid w:val="000F0A99"/>
    <w:rsid w:val="000F0AAD"/>
    <w:rsid w:val="000F0ACC"/>
    <w:rsid w:val="000F0ACD"/>
    <w:rsid w:val="000F0B44"/>
    <w:rsid w:val="000F0B49"/>
    <w:rsid w:val="000F0B5E"/>
    <w:rsid w:val="000F0B74"/>
    <w:rsid w:val="000F0B83"/>
    <w:rsid w:val="000F0BCF"/>
    <w:rsid w:val="000F0BEA"/>
    <w:rsid w:val="000F0C0F"/>
    <w:rsid w:val="000F0C29"/>
    <w:rsid w:val="000F0CB1"/>
    <w:rsid w:val="000F0CC0"/>
    <w:rsid w:val="000F0CCA"/>
    <w:rsid w:val="000F0CFB"/>
    <w:rsid w:val="000F0D0E"/>
    <w:rsid w:val="000F0D33"/>
    <w:rsid w:val="000F0D64"/>
    <w:rsid w:val="000F0D72"/>
    <w:rsid w:val="000F0D94"/>
    <w:rsid w:val="000F0DAF"/>
    <w:rsid w:val="000F0DF3"/>
    <w:rsid w:val="000F0E1C"/>
    <w:rsid w:val="000F0E2F"/>
    <w:rsid w:val="000F0E56"/>
    <w:rsid w:val="000F0EDF"/>
    <w:rsid w:val="000F0EE0"/>
    <w:rsid w:val="000F0F07"/>
    <w:rsid w:val="000F0F08"/>
    <w:rsid w:val="000F1006"/>
    <w:rsid w:val="000F1042"/>
    <w:rsid w:val="000F1092"/>
    <w:rsid w:val="000F10CF"/>
    <w:rsid w:val="000F1160"/>
    <w:rsid w:val="000F118E"/>
    <w:rsid w:val="000F1196"/>
    <w:rsid w:val="000F11C2"/>
    <w:rsid w:val="000F11D9"/>
    <w:rsid w:val="000F11DE"/>
    <w:rsid w:val="000F123A"/>
    <w:rsid w:val="000F1265"/>
    <w:rsid w:val="000F1267"/>
    <w:rsid w:val="000F127F"/>
    <w:rsid w:val="000F1288"/>
    <w:rsid w:val="000F128B"/>
    <w:rsid w:val="000F1299"/>
    <w:rsid w:val="000F12B3"/>
    <w:rsid w:val="000F1304"/>
    <w:rsid w:val="000F1321"/>
    <w:rsid w:val="000F1339"/>
    <w:rsid w:val="000F137B"/>
    <w:rsid w:val="000F138C"/>
    <w:rsid w:val="000F1398"/>
    <w:rsid w:val="000F13C5"/>
    <w:rsid w:val="000F13F0"/>
    <w:rsid w:val="000F14C8"/>
    <w:rsid w:val="000F14CF"/>
    <w:rsid w:val="000F14FD"/>
    <w:rsid w:val="000F1520"/>
    <w:rsid w:val="000F153A"/>
    <w:rsid w:val="000F157F"/>
    <w:rsid w:val="000F1593"/>
    <w:rsid w:val="000F159F"/>
    <w:rsid w:val="000F15BE"/>
    <w:rsid w:val="000F1679"/>
    <w:rsid w:val="000F168D"/>
    <w:rsid w:val="000F16B8"/>
    <w:rsid w:val="000F1718"/>
    <w:rsid w:val="000F176B"/>
    <w:rsid w:val="000F178A"/>
    <w:rsid w:val="000F17A3"/>
    <w:rsid w:val="000F1805"/>
    <w:rsid w:val="000F183C"/>
    <w:rsid w:val="000F184F"/>
    <w:rsid w:val="000F187A"/>
    <w:rsid w:val="000F1890"/>
    <w:rsid w:val="000F189D"/>
    <w:rsid w:val="000F18BB"/>
    <w:rsid w:val="000F18C6"/>
    <w:rsid w:val="000F18E9"/>
    <w:rsid w:val="000F18F6"/>
    <w:rsid w:val="000F1926"/>
    <w:rsid w:val="000F199C"/>
    <w:rsid w:val="000F19FD"/>
    <w:rsid w:val="000F1A49"/>
    <w:rsid w:val="000F1A87"/>
    <w:rsid w:val="000F1AE0"/>
    <w:rsid w:val="000F1B2D"/>
    <w:rsid w:val="000F1B2F"/>
    <w:rsid w:val="000F1B4A"/>
    <w:rsid w:val="000F1B5C"/>
    <w:rsid w:val="000F1B5E"/>
    <w:rsid w:val="000F1B73"/>
    <w:rsid w:val="000F1BB3"/>
    <w:rsid w:val="000F1BCE"/>
    <w:rsid w:val="000F1BD7"/>
    <w:rsid w:val="000F1BDE"/>
    <w:rsid w:val="000F1C02"/>
    <w:rsid w:val="000F1C0B"/>
    <w:rsid w:val="000F1C2E"/>
    <w:rsid w:val="000F1C41"/>
    <w:rsid w:val="000F1C8A"/>
    <w:rsid w:val="000F1CD1"/>
    <w:rsid w:val="000F1CE5"/>
    <w:rsid w:val="000F1CEE"/>
    <w:rsid w:val="000F1D0F"/>
    <w:rsid w:val="000F1D33"/>
    <w:rsid w:val="000F1DA3"/>
    <w:rsid w:val="000F1DF6"/>
    <w:rsid w:val="000F1E1A"/>
    <w:rsid w:val="000F1E29"/>
    <w:rsid w:val="000F1E56"/>
    <w:rsid w:val="000F1E5A"/>
    <w:rsid w:val="000F1E6C"/>
    <w:rsid w:val="000F1E75"/>
    <w:rsid w:val="000F1E86"/>
    <w:rsid w:val="000F1E8E"/>
    <w:rsid w:val="000F1F17"/>
    <w:rsid w:val="000F1F33"/>
    <w:rsid w:val="000F1F3B"/>
    <w:rsid w:val="000F1F67"/>
    <w:rsid w:val="000F1FA6"/>
    <w:rsid w:val="000F1FC9"/>
    <w:rsid w:val="000F202E"/>
    <w:rsid w:val="000F2065"/>
    <w:rsid w:val="000F20B2"/>
    <w:rsid w:val="000F20D3"/>
    <w:rsid w:val="000F212A"/>
    <w:rsid w:val="000F214E"/>
    <w:rsid w:val="000F2175"/>
    <w:rsid w:val="000F2185"/>
    <w:rsid w:val="000F223C"/>
    <w:rsid w:val="000F227D"/>
    <w:rsid w:val="000F2282"/>
    <w:rsid w:val="000F228A"/>
    <w:rsid w:val="000F2292"/>
    <w:rsid w:val="000F22A7"/>
    <w:rsid w:val="000F22E6"/>
    <w:rsid w:val="000F22FF"/>
    <w:rsid w:val="000F230B"/>
    <w:rsid w:val="000F2320"/>
    <w:rsid w:val="000F232F"/>
    <w:rsid w:val="000F2340"/>
    <w:rsid w:val="000F2345"/>
    <w:rsid w:val="000F2385"/>
    <w:rsid w:val="000F238D"/>
    <w:rsid w:val="000F2393"/>
    <w:rsid w:val="000F23AA"/>
    <w:rsid w:val="000F2473"/>
    <w:rsid w:val="000F24ED"/>
    <w:rsid w:val="000F251E"/>
    <w:rsid w:val="000F2576"/>
    <w:rsid w:val="000F2594"/>
    <w:rsid w:val="000F25F0"/>
    <w:rsid w:val="000F2625"/>
    <w:rsid w:val="000F2628"/>
    <w:rsid w:val="000F2667"/>
    <w:rsid w:val="000F266D"/>
    <w:rsid w:val="000F2678"/>
    <w:rsid w:val="000F269F"/>
    <w:rsid w:val="000F26BF"/>
    <w:rsid w:val="000F272F"/>
    <w:rsid w:val="000F2730"/>
    <w:rsid w:val="000F277C"/>
    <w:rsid w:val="000F2783"/>
    <w:rsid w:val="000F27A2"/>
    <w:rsid w:val="000F27A3"/>
    <w:rsid w:val="000F27AA"/>
    <w:rsid w:val="000F27AE"/>
    <w:rsid w:val="000F2882"/>
    <w:rsid w:val="000F28D7"/>
    <w:rsid w:val="000F2903"/>
    <w:rsid w:val="000F298A"/>
    <w:rsid w:val="000F2A0B"/>
    <w:rsid w:val="000F2A39"/>
    <w:rsid w:val="000F2A68"/>
    <w:rsid w:val="000F2AAC"/>
    <w:rsid w:val="000F2ACB"/>
    <w:rsid w:val="000F2ACD"/>
    <w:rsid w:val="000F2ADF"/>
    <w:rsid w:val="000F2B4C"/>
    <w:rsid w:val="000F2B90"/>
    <w:rsid w:val="000F2B9B"/>
    <w:rsid w:val="000F2BDB"/>
    <w:rsid w:val="000F2BF5"/>
    <w:rsid w:val="000F2C8C"/>
    <w:rsid w:val="000F2D11"/>
    <w:rsid w:val="000F2D73"/>
    <w:rsid w:val="000F2E01"/>
    <w:rsid w:val="000F2E16"/>
    <w:rsid w:val="000F2E18"/>
    <w:rsid w:val="000F2E2E"/>
    <w:rsid w:val="000F2E40"/>
    <w:rsid w:val="000F2E61"/>
    <w:rsid w:val="000F2E94"/>
    <w:rsid w:val="000F2E9B"/>
    <w:rsid w:val="000F2EA6"/>
    <w:rsid w:val="000F2EAB"/>
    <w:rsid w:val="000F2EBF"/>
    <w:rsid w:val="000F2EC6"/>
    <w:rsid w:val="000F2EF2"/>
    <w:rsid w:val="000F2F07"/>
    <w:rsid w:val="000F2F0D"/>
    <w:rsid w:val="000F2F4E"/>
    <w:rsid w:val="000F2F57"/>
    <w:rsid w:val="000F2F59"/>
    <w:rsid w:val="000F2F99"/>
    <w:rsid w:val="000F2FAA"/>
    <w:rsid w:val="000F2FD6"/>
    <w:rsid w:val="000F3004"/>
    <w:rsid w:val="000F30BC"/>
    <w:rsid w:val="000F30D9"/>
    <w:rsid w:val="000F30EF"/>
    <w:rsid w:val="000F30F6"/>
    <w:rsid w:val="000F313D"/>
    <w:rsid w:val="000F3164"/>
    <w:rsid w:val="000F3189"/>
    <w:rsid w:val="000F31AA"/>
    <w:rsid w:val="000F3212"/>
    <w:rsid w:val="000F325E"/>
    <w:rsid w:val="000F3272"/>
    <w:rsid w:val="000F3289"/>
    <w:rsid w:val="000F328A"/>
    <w:rsid w:val="000F32BB"/>
    <w:rsid w:val="000F32C4"/>
    <w:rsid w:val="000F32F4"/>
    <w:rsid w:val="000F3324"/>
    <w:rsid w:val="000F332F"/>
    <w:rsid w:val="000F3338"/>
    <w:rsid w:val="000F333A"/>
    <w:rsid w:val="000F3393"/>
    <w:rsid w:val="000F33BE"/>
    <w:rsid w:val="000F33C9"/>
    <w:rsid w:val="000F33E9"/>
    <w:rsid w:val="000F33F7"/>
    <w:rsid w:val="000F3451"/>
    <w:rsid w:val="000F346A"/>
    <w:rsid w:val="000F346D"/>
    <w:rsid w:val="000F3471"/>
    <w:rsid w:val="000F3480"/>
    <w:rsid w:val="000F34BA"/>
    <w:rsid w:val="000F34CE"/>
    <w:rsid w:val="000F3550"/>
    <w:rsid w:val="000F356C"/>
    <w:rsid w:val="000F3594"/>
    <w:rsid w:val="000F35EE"/>
    <w:rsid w:val="000F3611"/>
    <w:rsid w:val="000F363D"/>
    <w:rsid w:val="000F3648"/>
    <w:rsid w:val="000F368D"/>
    <w:rsid w:val="000F36D0"/>
    <w:rsid w:val="000F371F"/>
    <w:rsid w:val="000F376B"/>
    <w:rsid w:val="000F377C"/>
    <w:rsid w:val="000F3790"/>
    <w:rsid w:val="000F3815"/>
    <w:rsid w:val="000F384E"/>
    <w:rsid w:val="000F3858"/>
    <w:rsid w:val="000F385F"/>
    <w:rsid w:val="000F386A"/>
    <w:rsid w:val="000F3876"/>
    <w:rsid w:val="000F38B2"/>
    <w:rsid w:val="000F38CB"/>
    <w:rsid w:val="000F38CD"/>
    <w:rsid w:val="000F3904"/>
    <w:rsid w:val="000F390C"/>
    <w:rsid w:val="000F39A6"/>
    <w:rsid w:val="000F39D5"/>
    <w:rsid w:val="000F3A0B"/>
    <w:rsid w:val="000F3A16"/>
    <w:rsid w:val="000F3A3A"/>
    <w:rsid w:val="000F3A70"/>
    <w:rsid w:val="000F3A7D"/>
    <w:rsid w:val="000F3A9A"/>
    <w:rsid w:val="000F3A9F"/>
    <w:rsid w:val="000F3AC1"/>
    <w:rsid w:val="000F3AF9"/>
    <w:rsid w:val="000F3B02"/>
    <w:rsid w:val="000F3B55"/>
    <w:rsid w:val="000F3B58"/>
    <w:rsid w:val="000F3B69"/>
    <w:rsid w:val="000F3B97"/>
    <w:rsid w:val="000F3BC5"/>
    <w:rsid w:val="000F3BD4"/>
    <w:rsid w:val="000F3BEB"/>
    <w:rsid w:val="000F3BF3"/>
    <w:rsid w:val="000F3C04"/>
    <w:rsid w:val="000F3C7D"/>
    <w:rsid w:val="000F3C98"/>
    <w:rsid w:val="000F3CA5"/>
    <w:rsid w:val="000F3CB5"/>
    <w:rsid w:val="000F3CC3"/>
    <w:rsid w:val="000F3CCC"/>
    <w:rsid w:val="000F3CE3"/>
    <w:rsid w:val="000F3D04"/>
    <w:rsid w:val="000F3D09"/>
    <w:rsid w:val="000F3D1C"/>
    <w:rsid w:val="000F3D27"/>
    <w:rsid w:val="000F3D2E"/>
    <w:rsid w:val="000F3D50"/>
    <w:rsid w:val="000F3D5C"/>
    <w:rsid w:val="000F3D7B"/>
    <w:rsid w:val="000F3DB7"/>
    <w:rsid w:val="000F3DED"/>
    <w:rsid w:val="000F3E05"/>
    <w:rsid w:val="000F3E5D"/>
    <w:rsid w:val="000F3E68"/>
    <w:rsid w:val="000F3E83"/>
    <w:rsid w:val="000F3E8F"/>
    <w:rsid w:val="000F3EED"/>
    <w:rsid w:val="000F3EEF"/>
    <w:rsid w:val="000F3F03"/>
    <w:rsid w:val="000F3F3C"/>
    <w:rsid w:val="000F3F4B"/>
    <w:rsid w:val="000F3F55"/>
    <w:rsid w:val="000F3F65"/>
    <w:rsid w:val="000F3F8E"/>
    <w:rsid w:val="000F3F94"/>
    <w:rsid w:val="000F3FA2"/>
    <w:rsid w:val="000F3FD3"/>
    <w:rsid w:val="000F3FED"/>
    <w:rsid w:val="000F400E"/>
    <w:rsid w:val="000F400F"/>
    <w:rsid w:val="000F4011"/>
    <w:rsid w:val="000F4013"/>
    <w:rsid w:val="000F4022"/>
    <w:rsid w:val="000F4070"/>
    <w:rsid w:val="000F407C"/>
    <w:rsid w:val="000F40C4"/>
    <w:rsid w:val="000F40E9"/>
    <w:rsid w:val="000F40EF"/>
    <w:rsid w:val="000F4102"/>
    <w:rsid w:val="000F410D"/>
    <w:rsid w:val="000F4111"/>
    <w:rsid w:val="000F4166"/>
    <w:rsid w:val="000F4182"/>
    <w:rsid w:val="000F418B"/>
    <w:rsid w:val="000F418F"/>
    <w:rsid w:val="000F4191"/>
    <w:rsid w:val="000F419B"/>
    <w:rsid w:val="000F41A7"/>
    <w:rsid w:val="000F41BC"/>
    <w:rsid w:val="000F41BF"/>
    <w:rsid w:val="000F41E0"/>
    <w:rsid w:val="000F4211"/>
    <w:rsid w:val="000F4229"/>
    <w:rsid w:val="000F426E"/>
    <w:rsid w:val="000F428F"/>
    <w:rsid w:val="000F429E"/>
    <w:rsid w:val="000F431A"/>
    <w:rsid w:val="000F43B2"/>
    <w:rsid w:val="000F440E"/>
    <w:rsid w:val="000F4459"/>
    <w:rsid w:val="000F446F"/>
    <w:rsid w:val="000F4481"/>
    <w:rsid w:val="000F44BC"/>
    <w:rsid w:val="000F452C"/>
    <w:rsid w:val="000F4597"/>
    <w:rsid w:val="000F459A"/>
    <w:rsid w:val="000F460E"/>
    <w:rsid w:val="000F463D"/>
    <w:rsid w:val="000F4672"/>
    <w:rsid w:val="000F468E"/>
    <w:rsid w:val="000F46AF"/>
    <w:rsid w:val="000F46F5"/>
    <w:rsid w:val="000F471B"/>
    <w:rsid w:val="000F472D"/>
    <w:rsid w:val="000F47A5"/>
    <w:rsid w:val="000F47D1"/>
    <w:rsid w:val="000F47DB"/>
    <w:rsid w:val="000F4825"/>
    <w:rsid w:val="000F4863"/>
    <w:rsid w:val="000F48C7"/>
    <w:rsid w:val="000F48EB"/>
    <w:rsid w:val="000F48EE"/>
    <w:rsid w:val="000F491E"/>
    <w:rsid w:val="000F4931"/>
    <w:rsid w:val="000F49BB"/>
    <w:rsid w:val="000F49CF"/>
    <w:rsid w:val="000F49DA"/>
    <w:rsid w:val="000F49EA"/>
    <w:rsid w:val="000F4A4C"/>
    <w:rsid w:val="000F4A82"/>
    <w:rsid w:val="000F4B14"/>
    <w:rsid w:val="000F4B32"/>
    <w:rsid w:val="000F4B33"/>
    <w:rsid w:val="000F4B56"/>
    <w:rsid w:val="000F4B67"/>
    <w:rsid w:val="000F4B9C"/>
    <w:rsid w:val="000F4B9D"/>
    <w:rsid w:val="000F4BB1"/>
    <w:rsid w:val="000F4BF9"/>
    <w:rsid w:val="000F4C0D"/>
    <w:rsid w:val="000F4C16"/>
    <w:rsid w:val="000F4C1C"/>
    <w:rsid w:val="000F4C47"/>
    <w:rsid w:val="000F4C68"/>
    <w:rsid w:val="000F4CBA"/>
    <w:rsid w:val="000F4CC2"/>
    <w:rsid w:val="000F4D23"/>
    <w:rsid w:val="000F4D36"/>
    <w:rsid w:val="000F4D55"/>
    <w:rsid w:val="000F4DA1"/>
    <w:rsid w:val="000F4DD8"/>
    <w:rsid w:val="000F4E46"/>
    <w:rsid w:val="000F4E65"/>
    <w:rsid w:val="000F4E6A"/>
    <w:rsid w:val="000F4E77"/>
    <w:rsid w:val="000F4E91"/>
    <w:rsid w:val="000F4EBC"/>
    <w:rsid w:val="000F4ECD"/>
    <w:rsid w:val="000F4EDD"/>
    <w:rsid w:val="000F4EEE"/>
    <w:rsid w:val="000F4EF6"/>
    <w:rsid w:val="000F4F08"/>
    <w:rsid w:val="000F4F48"/>
    <w:rsid w:val="000F4F80"/>
    <w:rsid w:val="000F4FC1"/>
    <w:rsid w:val="000F4FF1"/>
    <w:rsid w:val="000F501E"/>
    <w:rsid w:val="000F50B0"/>
    <w:rsid w:val="000F50B8"/>
    <w:rsid w:val="000F5149"/>
    <w:rsid w:val="000F515A"/>
    <w:rsid w:val="000F515B"/>
    <w:rsid w:val="000F5184"/>
    <w:rsid w:val="000F51DC"/>
    <w:rsid w:val="000F5268"/>
    <w:rsid w:val="000F5280"/>
    <w:rsid w:val="000F52E0"/>
    <w:rsid w:val="000F52E2"/>
    <w:rsid w:val="000F5346"/>
    <w:rsid w:val="000F535E"/>
    <w:rsid w:val="000F5364"/>
    <w:rsid w:val="000F5375"/>
    <w:rsid w:val="000F5377"/>
    <w:rsid w:val="000F5386"/>
    <w:rsid w:val="000F538F"/>
    <w:rsid w:val="000F53DA"/>
    <w:rsid w:val="000F53ED"/>
    <w:rsid w:val="000F540F"/>
    <w:rsid w:val="000F5441"/>
    <w:rsid w:val="000F546F"/>
    <w:rsid w:val="000F5482"/>
    <w:rsid w:val="000F54A4"/>
    <w:rsid w:val="000F54DE"/>
    <w:rsid w:val="000F5529"/>
    <w:rsid w:val="000F553F"/>
    <w:rsid w:val="000F5572"/>
    <w:rsid w:val="000F5573"/>
    <w:rsid w:val="000F558A"/>
    <w:rsid w:val="000F5598"/>
    <w:rsid w:val="000F55BE"/>
    <w:rsid w:val="000F55F7"/>
    <w:rsid w:val="000F5610"/>
    <w:rsid w:val="000F5618"/>
    <w:rsid w:val="000F5655"/>
    <w:rsid w:val="000F5686"/>
    <w:rsid w:val="000F569E"/>
    <w:rsid w:val="000F56A4"/>
    <w:rsid w:val="000F56C6"/>
    <w:rsid w:val="000F56D0"/>
    <w:rsid w:val="000F57D1"/>
    <w:rsid w:val="000F57DE"/>
    <w:rsid w:val="000F57E3"/>
    <w:rsid w:val="000F57EC"/>
    <w:rsid w:val="000F57F9"/>
    <w:rsid w:val="000F583C"/>
    <w:rsid w:val="000F584D"/>
    <w:rsid w:val="000F588E"/>
    <w:rsid w:val="000F58A0"/>
    <w:rsid w:val="000F58DF"/>
    <w:rsid w:val="000F5909"/>
    <w:rsid w:val="000F59A0"/>
    <w:rsid w:val="000F59B8"/>
    <w:rsid w:val="000F59D3"/>
    <w:rsid w:val="000F5A07"/>
    <w:rsid w:val="000F5A9C"/>
    <w:rsid w:val="000F5AC3"/>
    <w:rsid w:val="000F5AC8"/>
    <w:rsid w:val="000F5AF2"/>
    <w:rsid w:val="000F5B07"/>
    <w:rsid w:val="000F5B12"/>
    <w:rsid w:val="000F5B1D"/>
    <w:rsid w:val="000F5B37"/>
    <w:rsid w:val="000F5B4A"/>
    <w:rsid w:val="000F5B54"/>
    <w:rsid w:val="000F5B67"/>
    <w:rsid w:val="000F5B95"/>
    <w:rsid w:val="000F5BC8"/>
    <w:rsid w:val="000F5BD8"/>
    <w:rsid w:val="000F5BD9"/>
    <w:rsid w:val="000F5C71"/>
    <w:rsid w:val="000F5C9D"/>
    <w:rsid w:val="000F5CE4"/>
    <w:rsid w:val="000F5CF9"/>
    <w:rsid w:val="000F5D0D"/>
    <w:rsid w:val="000F5D14"/>
    <w:rsid w:val="000F5D27"/>
    <w:rsid w:val="000F5D2C"/>
    <w:rsid w:val="000F5D7B"/>
    <w:rsid w:val="000F5D8A"/>
    <w:rsid w:val="000F5DA7"/>
    <w:rsid w:val="000F5E0B"/>
    <w:rsid w:val="000F5E36"/>
    <w:rsid w:val="000F5E62"/>
    <w:rsid w:val="000F5E7D"/>
    <w:rsid w:val="000F5E87"/>
    <w:rsid w:val="000F5E93"/>
    <w:rsid w:val="000F5E99"/>
    <w:rsid w:val="000F5EE9"/>
    <w:rsid w:val="000F5F05"/>
    <w:rsid w:val="000F5F0E"/>
    <w:rsid w:val="000F5F44"/>
    <w:rsid w:val="000F5F66"/>
    <w:rsid w:val="000F5F92"/>
    <w:rsid w:val="000F5FE1"/>
    <w:rsid w:val="000F601B"/>
    <w:rsid w:val="000F6030"/>
    <w:rsid w:val="000F605C"/>
    <w:rsid w:val="000F6072"/>
    <w:rsid w:val="000F6075"/>
    <w:rsid w:val="000F609C"/>
    <w:rsid w:val="000F60C9"/>
    <w:rsid w:val="000F60CB"/>
    <w:rsid w:val="000F60EB"/>
    <w:rsid w:val="000F6103"/>
    <w:rsid w:val="000F6166"/>
    <w:rsid w:val="000F6174"/>
    <w:rsid w:val="000F61C8"/>
    <w:rsid w:val="000F620C"/>
    <w:rsid w:val="000F6214"/>
    <w:rsid w:val="000F6217"/>
    <w:rsid w:val="000F6234"/>
    <w:rsid w:val="000F6260"/>
    <w:rsid w:val="000F627E"/>
    <w:rsid w:val="000F6285"/>
    <w:rsid w:val="000F62B0"/>
    <w:rsid w:val="000F6305"/>
    <w:rsid w:val="000F6362"/>
    <w:rsid w:val="000F6374"/>
    <w:rsid w:val="000F637B"/>
    <w:rsid w:val="000F63D5"/>
    <w:rsid w:val="000F63D6"/>
    <w:rsid w:val="000F63D7"/>
    <w:rsid w:val="000F63E0"/>
    <w:rsid w:val="000F643A"/>
    <w:rsid w:val="000F64BE"/>
    <w:rsid w:val="000F64DD"/>
    <w:rsid w:val="000F64E2"/>
    <w:rsid w:val="000F6506"/>
    <w:rsid w:val="000F6554"/>
    <w:rsid w:val="000F6567"/>
    <w:rsid w:val="000F65AD"/>
    <w:rsid w:val="000F65F9"/>
    <w:rsid w:val="000F662F"/>
    <w:rsid w:val="000F6660"/>
    <w:rsid w:val="000F668B"/>
    <w:rsid w:val="000F66A0"/>
    <w:rsid w:val="000F66C0"/>
    <w:rsid w:val="000F66D1"/>
    <w:rsid w:val="000F66F4"/>
    <w:rsid w:val="000F672D"/>
    <w:rsid w:val="000F6738"/>
    <w:rsid w:val="000F673C"/>
    <w:rsid w:val="000F67B3"/>
    <w:rsid w:val="000F67C3"/>
    <w:rsid w:val="000F67E0"/>
    <w:rsid w:val="000F6818"/>
    <w:rsid w:val="000F683D"/>
    <w:rsid w:val="000F686E"/>
    <w:rsid w:val="000F68AD"/>
    <w:rsid w:val="000F68F5"/>
    <w:rsid w:val="000F6900"/>
    <w:rsid w:val="000F6905"/>
    <w:rsid w:val="000F6965"/>
    <w:rsid w:val="000F69C2"/>
    <w:rsid w:val="000F69D5"/>
    <w:rsid w:val="000F69F0"/>
    <w:rsid w:val="000F69F3"/>
    <w:rsid w:val="000F6A1D"/>
    <w:rsid w:val="000F6A68"/>
    <w:rsid w:val="000F6A83"/>
    <w:rsid w:val="000F6AB1"/>
    <w:rsid w:val="000F6ACF"/>
    <w:rsid w:val="000F6AD8"/>
    <w:rsid w:val="000F6AF4"/>
    <w:rsid w:val="000F6B0A"/>
    <w:rsid w:val="000F6B23"/>
    <w:rsid w:val="000F6B3E"/>
    <w:rsid w:val="000F6B49"/>
    <w:rsid w:val="000F6B58"/>
    <w:rsid w:val="000F6B7E"/>
    <w:rsid w:val="000F6BD6"/>
    <w:rsid w:val="000F6C12"/>
    <w:rsid w:val="000F6C4C"/>
    <w:rsid w:val="000F6C84"/>
    <w:rsid w:val="000F6C9A"/>
    <w:rsid w:val="000F6CA1"/>
    <w:rsid w:val="000F6CE6"/>
    <w:rsid w:val="000F6CF4"/>
    <w:rsid w:val="000F6D4F"/>
    <w:rsid w:val="000F6D64"/>
    <w:rsid w:val="000F6D8F"/>
    <w:rsid w:val="000F6D93"/>
    <w:rsid w:val="000F6DC5"/>
    <w:rsid w:val="000F6DD9"/>
    <w:rsid w:val="000F6DE0"/>
    <w:rsid w:val="000F6E08"/>
    <w:rsid w:val="000F6E69"/>
    <w:rsid w:val="000F6E74"/>
    <w:rsid w:val="000F6EEA"/>
    <w:rsid w:val="000F6F50"/>
    <w:rsid w:val="000F6F60"/>
    <w:rsid w:val="000F6F66"/>
    <w:rsid w:val="000F6F9E"/>
    <w:rsid w:val="000F6FF6"/>
    <w:rsid w:val="000F7053"/>
    <w:rsid w:val="000F7061"/>
    <w:rsid w:val="000F70B3"/>
    <w:rsid w:val="000F70E7"/>
    <w:rsid w:val="000F715B"/>
    <w:rsid w:val="000F716D"/>
    <w:rsid w:val="000F717B"/>
    <w:rsid w:val="000F718F"/>
    <w:rsid w:val="000F719C"/>
    <w:rsid w:val="000F71B8"/>
    <w:rsid w:val="000F71BF"/>
    <w:rsid w:val="000F71DE"/>
    <w:rsid w:val="000F7200"/>
    <w:rsid w:val="000F723B"/>
    <w:rsid w:val="000F72C9"/>
    <w:rsid w:val="000F72CF"/>
    <w:rsid w:val="000F730C"/>
    <w:rsid w:val="000F730E"/>
    <w:rsid w:val="000F734C"/>
    <w:rsid w:val="000F7356"/>
    <w:rsid w:val="000F735C"/>
    <w:rsid w:val="000F7396"/>
    <w:rsid w:val="000F73A2"/>
    <w:rsid w:val="000F73A4"/>
    <w:rsid w:val="000F73B2"/>
    <w:rsid w:val="000F73D9"/>
    <w:rsid w:val="000F7425"/>
    <w:rsid w:val="000F7471"/>
    <w:rsid w:val="000F7478"/>
    <w:rsid w:val="000F7481"/>
    <w:rsid w:val="000F749D"/>
    <w:rsid w:val="000F74D1"/>
    <w:rsid w:val="000F74F3"/>
    <w:rsid w:val="000F7500"/>
    <w:rsid w:val="000F7504"/>
    <w:rsid w:val="000F750F"/>
    <w:rsid w:val="000F753C"/>
    <w:rsid w:val="000F7542"/>
    <w:rsid w:val="000F754B"/>
    <w:rsid w:val="000F75BC"/>
    <w:rsid w:val="000F75E9"/>
    <w:rsid w:val="000F762E"/>
    <w:rsid w:val="000F7636"/>
    <w:rsid w:val="000F7640"/>
    <w:rsid w:val="000F7647"/>
    <w:rsid w:val="000F76A5"/>
    <w:rsid w:val="000F76AA"/>
    <w:rsid w:val="000F76C1"/>
    <w:rsid w:val="000F76D5"/>
    <w:rsid w:val="000F770E"/>
    <w:rsid w:val="000F775B"/>
    <w:rsid w:val="000F7761"/>
    <w:rsid w:val="000F7791"/>
    <w:rsid w:val="000F77AC"/>
    <w:rsid w:val="000F7808"/>
    <w:rsid w:val="000F781F"/>
    <w:rsid w:val="000F7827"/>
    <w:rsid w:val="000F7866"/>
    <w:rsid w:val="000F786E"/>
    <w:rsid w:val="000F78CF"/>
    <w:rsid w:val="000F78E6"/>
    <w:rsid w:val="000F78FD"/>
    <w:rsid w:val="000F7915"/>
    <w:rsid w:val="000F799A"/>
    <w:rsid w:val="000F79CA"/>
    <w:rsid w:val="000F79DA"/>
    <w:rsid w:val="000F7A55"/>
    <w:rsid w:val="000F7A7A"/>
    <w:rsid w:val="000F7A84"/>
    <w:rsid w:val="000F7AA1"/>
    <w:rsid w:val="000F7ADF"/>
    <w:rsid w:val="000F7B1C"/>
    <w:rsid w:val="000F7B35"/>
    <w:rsid w:val="000F7B51"/>
    <w:rsid w:val="000F7B6F"/>
    <w:rsid w:val="000F7BB0"/>
    <w:rsid w:val="000F7BC3"/>
    <w:rsid w:val="000F7BD5"/>
    <w:rsid w:val="000F7BD8"/>
    <w:rsid w:val="000F7C65"/>
    <w:rsid w:val="000F7C72"/>
    <w:rsid w:val="000F7C8F"/>
    <w:rsid w:val="000F7C95"/>
    <w:rsid w:val="000F7CE7"/>
    <w:rsid w:val="000F7D08"/>
    <w:rsid w:val="000F7D40"/>
    <w:rsid w:val="000F7D49"/>
    <w:rsid w:val="000F7D5D"/>
    <w:rsid w:val="000F7D68"/>
    <w:rsid w:val="000F7D71"/>
    <w:rsid w:val="000F7D86"/>
    <w:rsid w:val="000F7D8C"/>
    <w:rsid w:val="000F7D91"/>
    <w:rsid w:val="000F7D95"/>
    <w:rsid w:val="000F7E14"/>
    <w:rsid w:val="000F7E1C"/>
    <w:rsid w:val="000F7E2A"/>
    <w:rsid w:val="000F7E56"/>
    <w:rsid w:val="000F7E70"/>
    <w:rsid w:val="000F7E75"/>
    <w:rsid w:val="000F7ED3"/>
    <w:rsid w:val="000F7EF9"/>
    <w:rsid w:val="000F7EFE"/>
    <w:rsid w:val="000F7F04"/>
    <w:rsid w:val="000F7F0A"/>
    <w:rsid w:val="000F7F1E"/>
    <w:rsid w:val="000F7FA0"/>
    <w:rsid w:val="000F7FCA"/>
    <w:rsid w:val="00100054"/>
    <w:rsid w:val="0010005D"/>
    <w:rsid w:val="00100098"/>
    <w:rsid w:val="001000B0"/>
    <w:rsid w:val="00100134"/>
    <w:rsid w:val="0010017F"/>
    <w:rsid w:val="00100180"/>
    <w:rsid w:val="001001A9"/>
    <w:rsid w:val="001001BA"/>
    <w:rsid w:val="001001CF"/>
    <w:rsid w:val="001001D1"/>
    <w:rsid w:val="001001D9"/>
    <w:rsid w:val="0010020E"/>
    <w:rsid w:val="0010026B"/>
    <w:rsid w:val="00100276"/>
    <w:rsid w:val="00100284"/>
    <w:rsid w:val="00100285"/>
    <w:rsid w:val="00100286"/>
    <w:rsid w:val="001002CA"/>
    <w:rsid w:val="001002FD"/>
    <w:rsid w:val="00100336"/>
    <w:rsid w:val="00100348"/>
    <w:rsid w:val="00100364"/>
    <w:rsid w:val="00100370"/>
    <w:rsid w:val="00100383"/>
    <w:rsid w:val="0010038A"/>
    <w:rsid w:val="0010040D"/>
    <w:rsid w:val="00100452"/>
    <w:rsid w:val="0010045A"/>
    <w:rsid w:val="00100460"/>
    <w:rsid w:val="00100463"/>
    <w:rsid w:val="00100492"/>
    <w:rsid w:val="001004CD"/>
    <w:rsid w:val="001004F1"/>
    <w:rsid w:val="001004F7"/>
    <w:rsid w:val="00100505"/>
    <w:rsid w:val="0010051E"/>
    <w:rsid w:val="0010053B"/>
    <w:rsid w:val="001005B7"/>
    <w:rsid w:val="001005C3"/>
    <w:rsid w:val="001005CA"/>
    <w:rsid w:val="00100618"/>
    <w:rsid w:val="0010062D"/>
    <w:rsid w:val="00100648"/>
    <w:rsid w:val="00100654"/>
    <w:rsid w:val="0010065A"/>
    <w:rsid w:val="001006F0"/>
    <w:rsid w:val="001006F2"/>
    <w:rsid w:val="00100747"/>
    <w:rsid w:val="00100753"/>
    <w:rsid w:val="00100768"/>
    <w:rsid w:val="001007DB"/>
    <w:rsid w:val="001007F5"/>
    <w:rsid w:val="001007F8"/>
    <w:rsid w:val="00100833"/>
    <w:rsid w:val="00100893"/>
    <w:rsid w:val="001008A6"/>
    <w:rsid w:val="001008ED"/>
    <w:rsid w:val="001008F4"/>
    <w:rsid w:val="0010090B"/>
    <w:rsid w:val="00100929"/>
    <w:rsid w:val="00100932"/>
    <w:rsid w:val="00100933"/>
    <w:rsid w:val="00100934"/>
    <w:rsid w:val="0010095C"/>
    <w:rsid w:val="0010095D"/>
    <w:rsid w:val="0010098F"/>
    <w:rsid w:val="001009A0"/>
    <w:rsid w:val="001009A7"/>
    <w:rsid w:val="001009B1"/>
    <w:rsid w:val="001009E0"/>
    <w:rsid w:val="001009F6"/>
    <w:rsid w:val="00100A03"/>
    <w:rsid w:val="00100A26"/>
    <w:rsid w:val="00100A31"/>
    <w:rsid w:val="00100A32"/>
    <w:rsid w:val="00100A69"/>
    <w:rsid w:val="00100A8D"/>
    <w:rsid w:val="00100AB8"/>
    <w:rsid w:val="00100ADE"/>
    <w:rsid w:val="00100B87"/>
    <w:rsid w:val="00100BC3"/>
    <w:rsid w:val="00100BC9"/>
    <w:rsid w:val="00100BE0"/>
    <w:rsid w:val="00100C1D"/>
    <w:rsid w:val="00100C76"/>
    <w:rsid w:val="00100C7C"/>
    <w:rsid w:val="00100C96"/>
    <w:rsid w:val="00100C9E"/>
    <w:rsid w:val="00100CA8"/>
    <w:rsid w:val="00100CBC"/>
    <w:rsid w:val="00100CE1"/>
    <w:rsid w:val="00100D5B"/>
    <w:rsid w:val="00100D78"/>
    <w:rsid w:val="00100DA3"/>
    <w:rsid w:val="00100DDF"/>
    <w:rsid w:val="00100DFF"/>
    <w:rsid w:val="00100E29"/>
    <w:rsid w:val="00100E2E"/>
    <w:rsid w:val="00100E30"/>
    <w:rsid w:val="00100E6B"/>
    <w:rsid w:val="00100ECE"/>
    <w:rsid w:val="00100EE7"/>
    <w:rsid w:val="00100EEB"/>
    <w:rsid w:val="00100F65"/>
    <w:rsid w:val="00100F85"/>
    <w:rsid w:val="00100FC8"/>
    <w:rsid w:val="00100FFD"/>
    <w:rsid w:val="0010101D"/>
    <w:rsid w:val="00101059"/>
    <w:rsid w:val="00101077"/>
    <w:rsid w:val="001010CA"/>
    <w:rsid w:val="001010DF"/>
    <w:rsid w:val="001010FE"/>
    <w:rsid w:val="0010110D"/>
    <w:rsid w:val="00101169"/>
    <w:rsid w:val="0010116C"/>
    <w:rsid w:val="00101190"/>
    <w:rsid w:val="001011BA"/>
    <w:rsid w:val="001011CB"/>
    <w:rsid w:val="00101239"/>
    <w:rsid w:val="00101263"/>
    <w:rsid w:val="00101293"/>
    <w:rsid w:val="001012E7"/>
    <w:rsid w:val="0010131F"/>
    <w:rsid w:val="00101324"/>
    <w:rsid w:val="0010134B"/>
    <w:rsid w:val="00101377"/>
    <w:rsid w:val="001013EA"/>
    <w:rsid w:val="00101407"/>
    <w:rsid w:val="001014B5"/>
    <w:rsid w:val="00101527"/>
    <w:rsid w:val="00101530"/>
    <w:rsid w:val="00101551"/>
    <w:rsid w:val="00101563"/>
    <w:rsid w:val="0010158E"/>
    <w:rsid w:val="00101599"/>
    <w:rsid w:val="0010159C"/>
    <w:rsid w:val="001015A4"/>
    <w:rsid w:val="001015BA"/>
    <w:rsid w:val="00101688"/>
    <w:rsid w:val="001016A5"/>
    <w:rsid w:val="00101709"/>
    <w:rsid w:val="001017D4"/>
    <w:rsid w:val="001017FC"/>
    <w:rsid w:val="00101853"/>
    <w:rsid w:val="00101874"/>
    <w:rsid w:val="0010188D"/>
    <w:rsid w:val="0010188F"/>
    <w:rsid w:val="001018D4"/>
    <w:rsid w:val="001018D5"/>
    <w:rsid w:val="001018DA"/>
    <w:rsid w:val="001018DC"/>
    <w:rsid w:val="00101915"/>
    <w:rsid w:val="00101984"/>
    <w:rsid w:val="0010198B"/>
    <w:rsid w:val="0010198F"/>
    <w:rsid w:val="001019A0"/>
    <w:rsid w:val="001019AE"/>
    <w:rsid w:val="001019E2"/>
    <w:rsid w:val="00101A0A"/>
    <w:rsid w:val="00101A4F"/>
    <w:rsid w:val="00101A96"/>
    <w:rsid w:val="00101ABC"/>
    <w:rsid w:val="00101ACC"/>
    <w:rsid w:val="00101AE4"/>
    <w:rsid w:val="00101B24"/>
    <w:rsid w:val="00101B6E"/>
    <w:rsid w:val="00101B76"/>
    <w:rsid w:val="00101BB4"/>
    <w:rsid w:val="00101BD2"/>
    <w:rsid w:val="00101BD8"/>
    <w:rsid w:val="00101C0F"/>
    <w:rsid w:val="00101C4C"/>
    <w:rsid w:val="00101C6F"/>
    <w:rsid w:val="00101C8B"/>
    <w:rsid w:val="00101CAC"/>
    <w:rsid w:val="00101CB1"/>
    <w:rsid w:val="00101CEB"/>
    <w:rsid w:val="00101D1D"/>
    <w:rsid w:val="00101D28"/>
    <w:rsid w:val="00101D8C"/>
    <w:rsid w:val="00101DB2"/>
    <w:rsid w:val="00101DC0"/>
    <w:rsid w:val="00101DC2"/>
    <w:rsid w:val="00101DD6"/>
    <w:rsid w:val="00101DE4"/>
    <w:rsid w:val="00101DE6"/>
    <w:rsid w:val="00101DFD"/>
    <w:rsid w:val="00101E1F"/>
    <w:rsid w:val="00101E26"/>
    <w:rsid w:val="00101E35"/>
    <w:rsid w:val="00101E3E"/>
    <w:rsid w:val="00101E52"/>
    <w:rsid w:val="00101E7F"/>
    <w:rsid w:val="00101E93"/>
    <w:rsid w:val="00101ECE"/>
    <w:rsid w:val="00101EEF"/>
    <w:rsid w:val="00101EF6"/>
    <w:rsid w:val="00101F5C"/>
    <w:rsid w:val="00101F5F"/>
    <w:rsid w:val="00101FAE"/>
    <w:rsid w:val="00101FDD"/>
    <w:rsid w:val="00101FE0"/>
    <w:rsid w:val="00101FF5"/>
    <w:rsid w:val="0010200A"/>
    <w:rsid w:val="00102036"/>
    <w:rsid w:val="0010205B"/>
    <w:rsid w:val="00102091"/>
    <w:rsid w:val="001020D3"/>
    <w:rsid w:val="001020E3"/>
    <w:rsid w:val="001020FC"/>
    <w:rsid w:val="00102109"/>
    <w:rsid w:val="00102121"/>
    <w:rsid w:val="00102124"/>
    <w:rsid w:val="00102126"/>
    <w:rsid w:val="00102139"/>
    <w:rsid w:val="00102143"/>
    <w:rsid w:val="001021AF"/>
    <w:rsid w:val="00102203"/>
    <w:rsid w:val="00102280"/>
    <w:rsid w:val="001022B9"/>
    <w:rsid w:val="001022D0"/>
    <w:rsid w:val="001022D2"/>
    <w:rsid w:val="001022DD"/>
    <w:rsid w:val="001022EC"/>
    <w:rsid w:val="00102378"/>
    <w:rsid w:val="00102388"/>
    <w:rsid w:val="0010238D"/>
    <w:rsid w:val="001023C5"/>
    <w:rsid w:val="001024C1"/>
    <w:rsid w:val="001024C9"/>
    <w:rsid w:val="001024F4"/>
    <w:rsid w:val="00102578"/>
    <w:rsid w:val="0010258C"/>
    <w:rsid w:val="001025AE"/>
    <w:rsid w:val="001025E1"/>
    <w:rsid w:val="001025F5"/>
    <w:rsid w:val="0010261A"/>
    <w:rsid w:val="0010266E"/>
    <w:rsid w:val="00102696"/>
    <w:rsid w:val="00102699"/>
    <w:rsid w:val="001026EA"/>
    <w:rsid w:val="001026FF"/>
    <w:rsid w:val="00102723"/>
    <w:rsid w:val="0010272F"/>
    <w:rsid w:val="00102749"/>
    <w:rsid w:val="0010276B"/>
    <w:rsid w:val="001027C0"/>
    <w:rsid w:val="00102817"/>
    <w:rsid w:val="00102824"/>
    <w:rsid w:val="0010284F"/>
    <w:rsid w:val="0010287F"/>
    <w:rsid w:val="001028D5"/>
    <w:rsid w:val="001028EC"/>
    <w:rsid w:val="00102903"/>
    <w:rsid w:val="00102967"/>
    <w:rsid w:val="00102971"/>
    <w:rsid w:val="001029CC"/>
    <w:rsid w:val="00102A78"/>
    <w:rsid w:val="00102AAC"/>
    <w:rsid w:val="00102ACB"/>
    <w:rsid w:val="00102ACF"/>
    <w:rsid w:val="00102AD8"/>
    <w:rsid w:val="00102B3E"/>
    <w:rsid w:val="00102B3F"/>
    <w:rsid w:val="00102B4C"/>
    <w:rsid w:val="00102B53"/>
    <w:rsid w:val="00102B89"/>
    <w:rsid w:val="00102B9D"/>
    <w:rsid w:val="00102BBB"/>
    <w:rsid w:val="00102BE6"/>
    <w:rsid w:val="00102BF3"/>
    <w:rsid w:val="00102BFD"/>
    <w:rsid w:val="00102C19"/>
    <w:rsid w:val="00102C35"/>
    <w:rsid w:val="00102C3F"/>
    <w:rsid w:val="00102CA3"/>
    <w:rsid w:val="00102CC2"/>
    <w:rsid w:val="00102CC3"/>
    <w:rsid w:val="00102CEF"/>
    <w:rsid w:val="00102D2E"/>
    <w:rsid w:val="00102D4C"/>
    <w:rsid w:val="00102D5E"/>
    <w:rsid w:val="00102D86"/>
    <w:rsid w:val="00102DB4"/>
    <w:rsid w:val="00102DD0"/>
    <w:rsid w:val="00102DD4"/>
    <w:rsid w:val="00102E0E"/>
    <w:rsid w:val="00102E21"/>
    <w:rsid w:val="00102E28"/>
    <w:rsid w:val="00102E4C"/>
    <w:rsid w:val="00102E87"/>
    <w:rsid w:val="00102E93"/>
    <w:rsid w:val="00102EAE"/>
    <w:rsid w:val="00102EE7"/>
    <w:rsid w:val="00102F1A"/>
    <w:rsid w:val="00102F41"/>
    <w:rsid w:val="00102FAF"/>
    <w:rsid w:val="00102FB0"/>
    <w:rsid w:val="00102FFA"/>
    <w:rsid w:val="00103045"/>
    <w:rsid w:val="00103067"/>
    <w:rsid w:val="00103111"/>
    <w:rsid w:val="0010311D"/>
    <w:rsid w:val="00103163"/>
    <w:rsid w:val="0010316C"/>
    <w:rsid w:val="001031AE"/>
    <w:rsid w:val="001031D6"/>
    <w:rsid w:val="001031F0"/>
    <w:rsid w:val="00103215"/>
    <w:rsid w:val="00103246"/>
    <w:rsid w:val="00103318"/>
    <w:rsid w:val="00103328"/>
    <w:rsid w:val="00103343"/>
    <w:rsid w:val="0010337D"/>
    <w:rsid w:val="0010337F"/>
    <w:rsid w:val="001033D3"/>
    <w:rsid w:val="001033DD"/>
    <w:rsid w:val="001033E1"/>
    <w:rsid w:val="00103418"/>
    <w:rsid w:val="0010342C"/>
    <w:rsid w:val="00103433"/>
    <w:rsid w:val="00103452"/>
    <w:rsid w:val="00103460"/>
    <w:rsid w:val="001034EE"/>
    <w:rsid w:val="0010352C"/>
    <w:rsid w:val="00103563"/>
    <w:rsid w:val="0010357C"/>
    <w:rsid w:val="001035A3"/>
    <w:rsid w:val="001035A8"/>
    <w:rsid w:val="001035AF"/>
    <w:rsid w:val="001035B2"/>
    <w:rsid w:val="001035EF"/>
    <w:rsid w:val="00103628"/>
    <w:rsid w:val="00103640"/>
    <w:rsid w:val="00103654"/>
    <w:rsid w:val="00103661"/>
    <w:rsid w:val="00103668"/>
    <w:rsid w:val="00103700"/>
    <w:rsid w:val="0010372E"/>
    <w:rsid w:val="0010373C"/>
    <w:rsid w:val="00103741"/>
    <w:rsid w:val="00103754"/>
    <w:rsid w:val="00103766"/>
    <w:rsid w:val="001037A4"/>
    <w:rsid w:val="001037C6"/>
    <w:rsid w:val="001037DB"/>
    <w:rsid w:val="00103806"/>
    <w:rsid w:val="00103816"/>
    <w:rsid w:val="00103849"/>
    <w:rsid w:val="00103860"/>
    <w:rsid w:val="00103870"/>
    <w:rsid w:val="00103881"/>
    <w:rsid w:val="001038E7"/>
    <w:rsid w:val="001038FF"/>
    <w:rsid w:val="00103910"/>
    <w:rsid w:val="00103953"/>
    <w:rsid w:val="00103973"/>
    <w:rsid w:val="001039B3"/>
    <w:rsid w:val="001039B9"/>
    <w:rsid w:val="001039CC"/>
    <w:rsid w:val="00103A3F"/>
    <w:rsid w:val="00103AD6"/>
    <w:rsid w:val="00103AE9"/>
    <w:rsid w:val="00103B0D"/>
    <w:rsid w:val="00103B2B"/>
    <w:rsid w:val="00103B71"/>
    <w:rsid w:val="00103B72"/>
    <w:rsid w:val="00103BBE"/>
    <w:rsid w:val="00103C00"/>
    <w:rsid w:val="00103C0D"/>
    <w:rsid w:val="00103C28"/>
    <w:rsid w:val="00103C3D"/>
    <w:rsid w:val="00103C69"/>
    <w:rsid w:val="00103C72"/>
    <w:rsid w:val="00103C74"/>
    <w:rsid w:val="00103C8C"/>
    <w:rsid w:val="00103CAE"/>
    <w:rsid w:val="00103D0D"/>
    <w:rsid w:val="00103D2A"/>
    <w:rsid w:val="00103D94"/>
    <w:rsid w:val="00103DC8"/>
    <w:rsid w:val="00103DCD"/>
    <w:rsid w:val="00103DED"/>
    <w:rsid w:val="00103E0F"/>
    <w:rsid w:val="00103E12"/>
    <w:rsid w:val="00103E36"/>
    <w:rsid w:val="00103E68"/>
    <w:rsid w:val="00103E70"/>
    <w:rsid w:val="00103E94"/>
    <w:rsid w:val="00103EFE"/>
    <w:rsid w:val="00103F15"/>
    <w:rsid w:val="00103F32"/>
    <w:rsid w:val="00103F34"/>
    <w:rsid w:val="00103F49"/>
    <w:rsid w:val="00103F50"/>
    <w:rsid w:val="00103F7A"/>
    <w:rsid w:val="00103F83"/>
    <w:rsid w:val="00103F96"/>
    <w:rsid w:val="00103F98"/>
    <w:rsid w:val="00103FCC"/>
    <w:rsid w:val="00103FFF"/>
    <w:rsid w:val="00104007"/>
    <w:rsid w:val="00104010"/>
    <w:rsid w:val="00104015"/>
    <w:rsid w:val="00104044"/>
    <w:rsid w:val="00104069"/>
    <w:rsid w:val="001040C1"/>
    <w:rsid w:val="001040C2"/>
    <w:rsid w:val="001040F7"/>
    <w:rsid w:val="00104117"/>
    <w:rsid w:val="0010416C"/>
    <w:rsid w:val="0010416F"/>
    <w:rsid w:val="001041A7"/>
    <w:rsid w:val="001041AD"/>
    <w:rsid w:val="001041B8"/>
    <w:rsid w:val="00104212"/>
    <w:rsid w:val="0010423C"/>
    <w:rsid w:val="00104263"/>
    <w:rsid w:val="001042A7"/>
    <w:rsid w:val="001042DA"/>
    <w:rsid w:val="00104339"/>
    <w:rsid w:val="00104353"/>
    <w:rsid w:val="00104372"/>
    <w:rsid w:val="001043AC"/>
    <w:rsid w:val="001043D4"/>
    <w:rsid w:val="001043E5"/>
    <w:rsid w:val="0010441E"/>
    <w:rsid w:val="00104437"/>
    <w:rsid w:val="00104440"/>
    <w:rsid w:val="00104459"/>
    <w:rsid w:val="0010445D"/>
    <w:rsid w:val="00104462"/>
    <w:rsid w:val="00104466"/>
    <w:rsid w:val="0010448E"/>
    <w:rsid w:val="001044A1"/>
    <w:rsid w:val="001044B3"/>
    <w:rsid w:val="001044BC"/>
    <w:rsid w:val="001044F9"/>
    <w:rsid w:val="001044FC"/>
    <w:rsid w:val="0010450A"/>
    <w:rsid w:val="0010452F"/>
    <w:rsid w:val="00104543"/>
    <w:rsid w:val="00104558"/>
    <w:rsid w:val="001045AB"/>
    <w:rsid w:val="001045C5"/>
    <w:rsid w:val="001045D7"/>
    <w:rsid w:val="001045DF"/>
    <w:rsid w:val="001045FB"/>
    <w:rsid w:val="00104609"/>
    <w:rsid w:val="00104636"/>
    <w:rsid w:val="00104662"/>
    <w:rsid w:val="00104682"/>
    <w:rsid w:val="001046C3"/>
    <w:rsid w:val="001046F2"/>
    <w:rsid w:val="0010470E"/>
    <w:rsid w:val="00104739"/>
    <w:rsid w:val="0010474A"/>
    <w:rsid w:val="00104781"/>
    <w:rsid w:val="001047A1"/>
    <w:rsid w:val="001047B8"/>
    <w:rsid w:val="001047E5"/>
    <w:rsid w:val="00104835"/>
    <w:rsid w:val="0010485B"/>
    <w:rsid w:val="00104867"/>
    <w:rsid w:val="001048EB"/>
    <w:rsid w:val="0010494F"/>
    <w:rsid w:val="001049AC"/>
    <w:rsid w:val="001049E3"/>
    <w:rsid w:val="001049F2"/>
    <w:rsid w:val="00104A03"/>
    <w:rsid w:val="00104A08"/>
    <w:rsid w:val="00104A0F"/>
    <w:rsid w:val="00104AF4"/>
    <w:rsid w:val="00104AFD"/>
    <w:rsid w:val="00104B03"/>
    <w:rsid w:val="00104B46"/>
    <w:rsid w:val="00104B4B"/>
    <w:rsid w:val="00104B6A"/>
    <w:rsid w:val="00104B6F"/>
    <w:rsid w:val="00104B8F"/>
    <w:rsid w:val="00104BA2"/>
    <w:rsid w:val="00104BA3"/>
    <w:rsid w:val="00104BB4"/>
    <w:rsid w:val="00104BBD"/>
    <w:rsid w:val="00104BD5"/>
    <w:rsid w:val="00104C21"/>
    <w:rsid w:val="00104C30"/>
    <w:rsid w:val="00104C78"/>
    <w:rsid w:val="00104C79"/>
    <w:rsid w:val="00104C7A"/>
    <w:rsid w:val="00104C83"/>
    <w:rsid w:val="00104CE3"/>
    <w:rsid w:val="00104CFA"/>
    <w:rsid w:val="00104CFB"/>
    <w:rsid w:val="00104D4F"/>
    <w:rsid w:val="00104D53"/>
    <w:rsid w:val="00104D5F"/>
    <w:rsid w:val="00104D79"/>
    <w:rsid w:val="00104DD6"/>
    <w:rsid w:val="00104DF9"/>
    <w:rsid w:val="00104E0B"/>
    <w:rsid w:val="00104E51"/>
    <w:rsid w:val="00104E9D"/>
    <w:rsid w:val="00104EB8"/>
    <w:rsid w:val="00104EF2"/>
    <w:rsid w:val="00104F20"/>
    <w:rsid w:val="00104F61"/>
    <w:rsid w:val="00104F76"/>
    <w:rsid w:val="00104FCA"/>
    <w:rsid w:val="00104FD2"/>
    <w:rsid w:val="00104FDB"/>
    <w:rsid w:val="00104FE3"/>
    <w:rsid w:val="00105019"/>
    <w:rsid w:val="00105063"/>
    <w:rsid w:val="00105064"/>
    <w:rsid w:val="00105071"/>
    <w:rsid w:val="001050BB"/>
    <w:rsid w:val="001050BE"/>
    <w:rsid w:val="00105102"/>
    <w:rsid w:val="00105108"/>
    <w:rsid w:val="00105118"/>
    <w:rsid w:val="0010513E"/>
    <w:rsid w:val="00105166"/>
    <w:rsid w:val="0010519F"/>
    <w:rsid w:val="001051F8"/>
    <w:rsid w:val="00105213"/>
    <w:rsid w:val="00105222"/>
    <w:rsid w:val="00105241"/>
    <w:rsid w:val="0010527D"/>
    <w:rsid w:val="00105282"/>
    <w:rsid w:val="001052C9"/>
    <w:rsid w:val="001052DB"/>
    <w:rsid w:val="001052E0"/>
    <w:rsid w:val="001052E1"/>
    <w:rsid w:val="00105328"/>
    <w:rsid w:val="00105353"/>
    <w:rsid w:val="0010543F"/>
    <w:rsid w:val="0010548A"/>
    <w:rsid w:val="001054B2"/>
    <w:rsid w:val="001054B4"/>
    <w:rsid w:val="001054B9"/>
    <w:rsid w:val="001054F6"/>
    <w:rsid w:val="00105504"/>
    <w:rsid w:val="00105517"/>
    <w:rsid w:val="00105533"/>
    <w:rsid w:val="0010554C"/>
    <w:rsid w:val="00105580"/>
    <w:rsid w:val="00105590"/>
    <w:rsid w:val="001055F1"/>
    <w:rsid w:val="001055F2"/>
    <w:rsid w:val="001055F7"/>
    <w:rsid w:val="0010560B"/>
    <w:rsid w:val="00105651"/>
    <w:rsid w:val="0010566E"/>
    <w:rsid w:val="0010568C"/>
    <w:rsid w:val="001056A3"/>
    <w:rsid w:val="001056B9"/>
    <w:rsid w:val="001056BE"/>
    <w:rsid w:val="001056C8"/>
    <w:rsid w:val="001056CF"/>
    <w:rsid w:val="00105720"/>
    <w:rsid w:val="00105755"/>
    <w:rsid w:val="0010576A"/>
    <w:rsid w:val="0010579A"/>
    <w:rsid w:val="00105801"/>
    <w:rsid w:val="0010581B"/>
    <w:rsid w:val="00105834"/>
    <w:rsid w:val="00105836"/>
    <w:rsid w:val="0010583F"/>
    <w:rsid w:val="00105840"/>
    <w:rsid w:val="0010585A"/>
    <w:rsid w:val="001058A4"/>
    <w:rsid w:val="001058C1"/>
    <w:rsid w:val="001058C8"/>
    <w:rsid w:val="001058D1"/>
    <w:rsid w:val="00105950"/>
    <w:rsid w:val="00105955"/>
    <w:rsid w:val="00105979"/>
    <w:rsid w:val="0010597B"/>
    <w:rsid w:val="00105998"/>
    <w:rsid w:val="001059A5"/>
    <w:rsid w:val="001059AB"/>
    <w:rsid w:val="001059C4"/>
    <w:rsid w:val="00105A2B"/>
    <w:rsid w:val="00105A49"/>
    <w:rsid w:val="00105A4B"/>
    <w:rsid w:val="00105A5D"/>
    <w:rsid w:val="00105A7F"/>
    <w:rsid w:val="00105AB5"/>
    <w:rsid w:val="00105AFD"/>
    <w:rsid w:val="00105B00"/>
    <w:rsid w:val="00105B29"/>
    <w:rsid w:val="00105B37"/>
    <w:rsid w:val="00105B8E"/>
    <w:rsid w:val="00105B90"/>
    <w:rsid w:val="00105B94"/>
    <w:rsid w:val="00105BAC"/>
    <w:rsid w:val="00105BC5"/>
    <w:rsid w:val="00105BDA"/>
    <w:rsid w:val="00105C13"/>
    <w:rsid w:val="00105C1A"/>
    <w:rsid w:val="00105C7A"/>
    <w:rsid w:val="00105CC5"/>
    <w:rsid w:val="00105CD0"/>
    <w:rsid w:val="00105CEA"/>
    <w:rsid w:val="00105CFA"/>
    <w:rsid w:val="00105D04"/>
    <w:rsid w:val="00105D05"/>
    <w:rsid w:val="00105D3C"/>
    <w:rsid w:val="00105D43"/>
    <w:rsid w:val="00105D87"/>
    <w:rsid w:val="00105DAF"/>
    <w:rsid w:val="00105DC1"/>
    <w:rsid w:val="00105DD4"/>
    <w:rsid w:val="00105DF2"/>
    <w:rsid w:val="00105E1A"/>
    <w:rsid w:val="00105E73"/>
    <w:rsid w:val="00105EFA"/>
    <w:rsid w:val="00105F0F"/>
    <w:rsid w:val="00105F19"/>
    <w:rsid w:val="00105F32"/>
    <w:rsid w:val="00105F66"/>
    <w:rsid w:val="00105F9E"/>
    <w:rsid w:val="00105FB0"/>
    <w:rsid w:val="00105FBF"/>
    <w:rsid w:val="00105FC9"/>
    <w:rsid w:val="00105FE3"/>
    <w:rsid w:val="0010601C"/>
    <w:rsid w:val="0010601F"/>
    <w:rsid w:val="00106059"/>
    <w:rsid w:val="00106060"/>
    <w:rsid w:val="0010607B"/>
    <w:rsid w:val="001060B8"/>
    <w:rsid w:val="001060F4"/>
    <w:rsid w:val="001060FC"/>
    <w:rsid w:val="00106109"/>
    <w:rsid w:val="0010612F"/>
    <w:rsid w:val="00106137"/>
    <w:rsid w:val="00106167"/>
    <w:rsid w:val="001061E7"/>
    <w:rsid w:val="00106219"/>
    <w:rsid w:val="0010622D"/>
    <w:rsid w:val="00106233"/>
    <w:rsid w:val="0010625A"/>
    <w:rsid w:val="0010626C"/>
    <w:rsid w:val="001062BA"/>
    <w:rsid w:val="001062D0"/>
    <w:rsid w:val="001062D5"/>
    <w:rsid w:val="001062FA"/>
    <w:rsid w:val="001062FE"/>
    <w:rsid w:val="00106310"/>
    <w:rsid w:val="0010635D"/>
    <w:rsid w:val="00106398"/>
    <w:rsid w:val="001063C1"/>
    <w:rsid w:val="00106408"/>
    <w:rsid w:val="0010640B"/>
    <w:rsid w:val="00106414"/>
    <w:rsid w:val="00106429"/>
    <w:rsid w:val="0010644E"/>
    <w:rsid w:val="001064AE"/>
    <w:rsid w:val="001064F9"/>
    <w:rsid w:val="0010651B"/>
    <w:rsid w:val="00106532"/>
    <w:rsid w:val="00106554"/>
    <w:rsid w:val="00106590"/>
    <w:rsid w:val="001065B2"/>
    <w:rsid w:val="001065C5"/>
    <w:rsid w:val="001065CB"/>
    <w:rsid w:val="001065CE"/>
    <w:rsid w:val="001065EC"/>
    <w:rsid w:val="001066A4"/>
    <w:rsid w:val="001066A6"/>
    <w:rsid w:val="001066C7"/>
    <w:rsid w:val="001066CB"/>
    <w:rsid w:val="00106747"/>
    <w:rsid w:val="00106748"/>
    <w:rsid w:val="0010678A"/>
    <w:rsid w:val="001067D7"/>
    <w:rsid w:val="001067EB"/>
    <w:rsid w:val="00106839"/>
    <w:rsid w:val="00106907"/>
    <w:rsid w:val="00106913"/>
    <w:rsid w:val="00106917"/>
    <w:rsid w:val="00106919"/>
    <w:rsid w:val="00106965"/>
    <w:rsid w:val="0010697F"/>
    <w:rsid w:val="00106983"/>
    <w:rsid w:val="001069AD"/>
    <w:rsid w:val="001069D8"/>
    <w:rsid w:val="001069E8"/>
    <w:rsid w:val="00106A1F"/>
    <w:rsid w:val="00106A22"/>
    <w:rsid w:val="00106A25"/>
    <w:rsid w:val="00106A2F"/>
    <w:rsid w:val="00106A56"/>
    <w:rsid w:val="00106A5C"/>
    <w:rsid w:val="00106A7E"/>
    <w:rsid w:val="00106AE4"/>
    <w:rsid w:val="00106B51"/>
    <w:rsid w:val="00106BAB"/>
    <w:rsid w:val="00106BE1"/>
    <w:rsid w:val="00106C0C"/>
    <w:rsid w:val="00106C0F"/>
    <w:rsid w:val="00106C7A"/>
    <w:rsid w:val="00106C84"/>
    <w:rsid w:val="00106C87"/>
    <w:rsid w:val="00106C8A"/>
    <w:rsid w:val="00106C95"/>
    <w:rsid w:val="00106C96"/>
    <w:rsid w:val="00106CAE"/>
    <w:rsid w:val="00106CCC"/>
    <w:rsid w:val="00106CE7"/>
    <w:rsid w:val="00106D04"/>
    <w:rsid w:val="00106D39"/>
    <w:rsid w:val="00106D60"/>
    <w:rsid w:val="00106D66"/>
    <w:rsid w:val="00106D80"/>
    <w:rsid w:val="00106D8B"/>
    <w:rsid w:val="00106DA5"/>
    <w:rsid w:val="00106DB7"/>
    <w:rsid w:val="00106DBC"/>
    <w:rsid w:val="00106E0E"/>
    <w:rsid w:val="00106E49"/>
    <w:rsid w:val="00106E51"/>
    <w:rsid w:val="00106EB9"/>
    <w:rsid w:val="00106EC2"/>
    <w:rsid w:val="00106F18"/>
    <w:rsid w:val="00106F20"/>
    <w:rsid w:val="00106F36"/>
    <w:rsid w:val="00106F4C"/>
    <w:rsid w:val="00106F50"/>
    <w:rsid w:val="00106F9D"/>
    <w:rsid w:val="0010702C"/>
    <w:rsid w:val="0010706C"/>
    <w:rsid w:val="001070AD"/>
    <w:rsid w:val="001070CC"/>
    <w:rsid w:val="001070D0"/>
    <w:rsid w:val="001070EB"/>
    <w:rsid w:val="00107122"/>
    <w:rsid w:val="001071D1"/>
    <w:rsid w:val="001071F5"/>
    <w:rsid w:val="00107209"/>
    <w:rsid w:val="00107254"/>
    <w:rsid w:val="0010726D"/>
    <w:rsid w:val="0010727B"/>
    <w:rsid w:val="00107286"/>
    <w:rsid w:val="0010728D"/>
    <w:rsid w:val="0010729E"/>
    <w:rsid w:val="001072C5"/>
    <w:rsid w:val="001072CE"/>
    <w:rsid w:val="00107308"/>
    <w:rsid w:val="0010734E"/>
    <w:rsid w:val="0010736F"/>
    <w:rsid w:val="00107370"/>
    <w:rsid w:val="0010737F"/>
    <w:rsid w:val="001073A1"/>
    <w:rsid w:val="001073BF"/>
    <w:rsid w:val="001073C0"/>
    <w:rsid w:val="001073C9"/>
    <w:rsid w:val="0010742F"/>
    <w:rsid w:val="00107487"/>
    <w:rsid w:val="0010748A"/>
    <w:rsid w:val="001074B2"/>
    <w:rsid w:val="001074C6"/>
    <w:rsid w:val="001074F2"/>
    <w:rsid w:val="001074F4"/>
    <w:rsid w:val="00107541"/>
    <w:rsid w:val="0010755B"/>
    <w:rsid w:val="001075CF"/>
    <w:rsid w:val="001075DE"/>
    <w:rsid w:val="0010762C"/>
    <w:rsid w:val="00107640"/>
    <w:rsid w:val="00107643"/>
    <w:rsid w:val="001076CB"/>
    <w:rsid w:val="00107724"/>
    <w:rsid w:val="00107733"/>
    <w:rsid w:val="0010778E"/>
    <w:rsid w:val="00107793"/>
    <w:rsid w:val="001077C3"/>
    <w:rsid w:val="00107849"/>
    <w:rsid w:val="00107884"/>
    <w:rsid w:val="001078A7"/>
    <w:rsid w:val="001078AC"/>
    <w:rsid w:val="001078B4"/>
    <w:rsid w:val="00107909"/>
    <w:rsid w:val="0010790E"/>
    <w:rsid w:val="00107921"/>
    <w:rsid w:val="0010792E"/>
    <w:rsid w:val="00107941"/>
    <w:rsid w:val="001079A8"/>
    <w:rsid w:val="001079CE"/>
    <w:rsid w:val="00107A01"/>
    <w:rsid w:val="00107A1C"/>
    <w:rsid w:val="00107A33"/>
    <w:rsid w:val="00107A3D"/>
    <w:rsid w:val="00107A76"/>
    <w:rsid w:val="00107ABE"/>
    <w:rsid w:val="00107ACE"/>
    <w:rsid w:val="00107B1E"/>
    <w:rsid w:val="00107B28"/>
    <w:rsid w:val="00107B41"/>
    <w:rsid w:val="00107B43"/>
    <w:rsid w:val="00107B83"/>
    <w:rsid w:val="00107B9E"/>
    <w:rsid w:val="00107BCC"/>
    <w:rsid w:val="00107BE1"/>
    <w:rsid w:val="00107BFD"/>
    <w:rsid w:val="00107C08"/>
    <w:rsid w:val="00107C2A"/>
    <w:rsid w:val="00107C61"/>
    <w:rsid w:val="00107CB3"/>
    <w:rsid w:val="00107D01"/>
    <w:rsid w:val="00107D18"/>
    <w:rsid w:val="00107D2B"/>
    <w:rsid w:val="00107D4A"/>
    <w:rsid w:val="00107D56"/>
    <w:rsid w:val="00107D79"/>
    <w:rsid w:val="00107D7B"/>
    <w:rsid w:val="00107DB6"/>
    <w:rsid w:val="00107DCA"/>
    <w:rsid w:val="00107DD3"/>
    <w:rsid w:val="00107E4E"/>
    <w:rsid w:val="00107E76"/>
    <w:rsid w:val="00107ED3"/>
    <w:rsid w:val="00107EE5"/>
    <w:rsid w:val="00107EF5"/>
    <w:rsid w:val="00107F06"/>
    <w:rsid w:val="00107FA3"/>
    <w:rsid w:val="00107FB9"/>
    <w:rsid w:val="00110087"/>
    <w:rsid w:val="0011009E"/>
    <w:rsid w:val="001100E6"/>
    <w:rsid w:val="001100EE"/>
    <w:rsid w:val="0011010C"/>
    <w:rsid w:val="0011011C"/>
    <w:rsid w:val="00110131"/>
    <w:rsid w:val="0011014C"/>
    <w:rsid w:val="00110185"/>
    <w:rsid w:val="00110193"/>
    <w:rsid w:val="001101AC"/>
    <w:rsid w:val="001101D3"/>
    <w:rsid w:val="001101DB"/>
    <w:rsid w:val="001101F1"/>
    <w:rsid w:val="0011021A"/>
    <w:rsid w:val="00110221"/>
    <w:rsid w:val="00110240"/>
    <w:rsid w:val="0011029B"/>
    <w:rsid w:val="0011039B"/>
    <w:rsid w:val="0011042E"/>
    <w:rsid w:val="0011044B"/>
    <w:rsid w:val="001104CC"/>
    <w:rsid w:val="001104DA"/>
    <w:rsid w:val="0011050E"/>
    <w:rsid w:val="0011050F"/>
    <w:rsid w:val="00110521"/>
    <w:rsid w:val="00110526"/>
    <w:rsid w:val="00110531"/>
    <w:rsid w:val="001105BD"/>
    <w:rsid w:val="0011062E"/>
    <w:rsid w:val="0011065D"/>
    <w:rsid w:val="001106B7"/>
    <w:rsid w:val="001106F5"/>
    <w:rsid w:val="001106FF"/>
    <w:rsid w:val="0011071C"/>
    <w:rsid w:val="0011076E"/>
    <w:rsid w:val="00110780"/>
    <w:rsid w:val="00110785"/>
    <w:rsid w:val="001107C8"/>
    <w:rsid w:val="001107DE"/>
    <w:rsid w:val="001107F0"/>
    <w:rsid w:val="001107F3"/>
    <w:rsid w:val="00110803"/>
    <w:rsid w:val="0011081B"/>
    <w:rsid w:val="00110850"/>
    <w:rsid w:val="0011087C"/>
    <w:rsid w:val="0011089E"/>
    <w:rsid w:val="00110950"/>
    <w:rsid w:val="00110970"/>
    <w:rsid w:val="0011098D"/>
    <w:rsid w:val="00110991"/>
    <w:rsid w:val="001109E2"/>
    <w:rsid w:val="00110A0A"/>
    <w:rsid w:val="00110A0E"/>
    <w:rsid w:val="00110A1D"/>
    <w:rsid w:val="00110A7A"/>
    <w:rsid w:val="00110A86"/>
    <w:rsid w:val="00110A94"/>
    <w:rsid w:val="00110AEA"/>
    <w:rsid w:val="00110C04"/>
    <w:rsid w:val="00110C4B"/>
    <w:rsid w:val="00110D08"/>
    <w:rsid w:val="00110D43"/>
    <w:rsid w:val="00110D74"/>
    <w:rsid w:val="00110D97"/>
    <w:rsid w:val="00110DA5"/>
    <w:rsid w:val="00110DB4"/>
    <w:rsid w:val="00110DE5"/>
    <w:rsid w:val="00110E45"/>
    <w:rsid w:val="00110E47"/>
    <w:rsid w:val="00110E68"/>
    <w:rsid w:val="00110EA2"/>
    <w:rsid w:val="00110EC6"/>
    <w:rsid w:val="00110F10"/>
    <w:rsid w:val="00110F25"/>
    <w:rsid w:val="00110F2E"/>
    <w:rsid w:val="00110F35"/>
    <w:rsid w:val="00110F92"/>
    <w:rsid w:val="00110FB8"/>
    <w:rsid w:val="00110FEC"/>
    <w:rsid w:val="00111012"/>
    <w:rsid w:val="001110E3"/>
    <w:rsid w:val="001110F2"/>
    <w:rsid w:val="0011111C"/>
    <w:rsid w:val="00111127"/>
    <w:rsid w:val="0011116A"/>
    <w:rsid w:val="0011118F"/>
    <w:rsid w:val="001111B2"/>
    <w:rsid w:val="001111E8"/>
    <w:rsid w:val="00111252"/>
    <w:rsid w:val="00111297"/>
    <w:rsid w:val="001112B7"/>
    <w:rsid w:val="001112B8"/>
    <w:rsid w:val="001112CC"/>
    <w:rsid w:val="001112D1"/>
    <w:rsid w:val="001112DD"/>
    <w:rsid w:val="00111319"/>
    <w:rsid w:val="00111367"/>
    <w:rsid w:val="00111380"/>
    <w:rsid w:val="001113CB"/>
    <w:rsid w:val="001113FC"/>
    <w:rsid w:val="00111437"/>
    <w:rsid w:val="00111488"/>
    <w:rsid w:val="00111494"/>
    <w:rsid w:val="0011149B"/>
    <w:rsid w:val="001114BC"/>
    <w:rsid w:val="001114D4"/>
    <w:rsid w:val="0011150A"/>
    <w:rsid w:val="0011151A"/>
    <w:rsid w:val="00111527"/>
    <w:rsid w:val="00111577"/>
    <w:rsid w:val="001115C6"/>
    <w:rsid w:val="001115FC"/>
    <w:rsid w:val="0011160D"/>
    <w:rsid w:val="00111676"/>
    <w:rsid w:val="001116D5"/>
    <w:rsid w:val="001116D7"/>
    <w:rsid w:val="0011172C"/>
    <w:rsid w:val="0011173F"/>
    <w:rsid w:val="0011175C"/>
    <w:rsid w:val="0011176F"/>
    <w:rsid w:val="00111771"/>
    <w:rsid w:val="00111785"/>
    <w:rsid w:val="00111786"/>
    <w:rsid w:val="001117C3"/>
    <w:rsid w:val="001117C7"/>
    <w:rsid w:val="001117CB"/>
    <w:rsid w:val="00111812"/>
    <w:rsid w:val="00111825"/>
    <w:rsid w:val="00111831"/>
    <w:rsid w:val="00111851"/>
    <w:rsid w:val="0011185D"/>
    <w:rsid w:val="0011189B"/>
    <w:rsid w:val="001118B0"/>
    <w:rsid w:val="001118BC"/>
    <w:rsid w:val="001118E7"/>
    <w:rsid w:val="0011191D"/>
    <w:rsid w:val="00111969"/>
    <w:rsid w:val="00111992"/>
    <w:rsid w:val="001119DD"/>
    <w:rsid w:val="00111A03"/>
    <w:rsid w:val="00111A05"/>
    <w:rsid w:val="00111A35"/>
    <w:rsid w:val="00111A8E"/>
    <w:rsid w:val="00111B02"/>
    <w:rsid w:val="00111B2B"/>
    <w:rsid w:val="00111B45"/>
    <w:rsid w:val="00111B61"/>
    <w:rsid w:val="00111B7A"/>
    <w:rsid w:val="00111B81"/>
    <w:rsid w:val="00111B90"/>
    <w:rsid w:val="00111BAD"/>
    <w:rsid w:val="00111BAF"/>
    <w:rsid w:val="00111BFA"/>
    <w:rsid w:val="00111C0C"/>
    <w:rsid w:val="00111C19"/>
    <w:rsid w:val="00111C3E"/>
    <w:rsid w:val="00111C5C"/>
    <w:rsid w:val="00111C9A"/>
    <w:rsid w:val="00111CC5"/>
    <w:rsid w:val="00111CDC"/>
    <w:rsid w:val="00111CE0"/>
    <w:rsid w:val="00111D05"/>
    <w:rsid w:val="00111D0F"/>
    <w:rsid w:val="00111D29"/>
    <w:rsid w:val="00111D3B"/>
    <w:rsid w:val="00111D98"/>
    <w:rsid w:val="00111DA5"/>
    <w:rsid w:val="00111DB0"/>
    <w:rsid w:val="00111DC4"/>
    <w:rsid w:val="00111DE0"/>
    <w:rsid w:val="00111E0E"/>
    <w:rsid w:val="00111E2E"/>
    <w:rsid w:val="00111EA5"/>
    <w:rsid w:val="00111EA9"/>
    <w:rsid w:val="00111EC0"/>
    <w:rsid w:val="00111F03"/>
    <w:rsid w:val="00111F0B"/>
    <w:rsid w:val="00111F1F"/>
    <w:rsid w:val="00111F27"/>
    <w:rsid w:val="00111FA1"/>
    <w:rsid w:val="00111FF1"/>
    <w:rsid w:val="00112061"/>
    <w:rsid w:val="0011209F"/>
    <w:rsid w:val="001120B5"/>
    <w:rsid w:val="001120B9"/>
    <w:rsid w:val="001120C5"/>
    <w:rsid w:val="001120D7"/>
    <w:rsid w:val="001120FC"/>
    <w:rsid w:val="0011210D"/>
    <w:rsid w:val="0011213B"/>
    <w:rsid w:val="0011215B"/>
    <w:rsid w:val="0011215D"/>
    <w:rsid w:val="001121A1"/>
    <w:rsid w:val="001121B7"/>
    <w:rsid w:val="001121BE"/>
    <w:rsid w:val="001121D9"/>
    <w:rsid w:val="001121E2"/>
    <w:rsid w:val="0011221B"/>
    <w:rsid w:val="00112241"/>
    <w:rsid w:val="0011224C"/>
    <w:rsid w:val="001122B3"/>
    <w:rsid w:val="001122BE"/>
    <w:rsid w:val="001122CE"/>
    <w:rsid w:val="001122DA"/>
    <w:rsid w:val="001122E5"/>
    <w:rsid w:val="001122F0"/>
    <w:rsid w:val="00112300"/>
    <w:rsid w:val="0011234E"/>
    <w:rsid w:val="00112360"/>
    <w:rsid w:val="00112370"/>
    <w:rsid w:val="001123C6"/>
    <w:rsid w:val="001123FA"/>
    <w:rsid w:val="0011246F"/>
    <w:rsid w:val="0011247C"/>
    <w:rsid w:val="0011247E"/>
    <w:rsid w:val="0011249D"/>
    <w:rsid w:val="001124AD"/>
    <w:rsid w:val="001124DB"/>
    <w:rsid w:val="001124EC"/>
    <w:rsid w:val="00112597"/>
    <w:rsid w:val="001125A8"/>
    <w:rsid w:val="001125BD"/>
    <w:rsid w:val="001125CA"/>
    <w:rsid w:val="00112610"/>
    <w:rsid w:val="00112617"/>
    <w:rsid w:val="00112626"/>
    <w:rsid w:val="00112660"/>
    <w:rsid w:val="00112677"/>
    <w:rsid w:val="00112745"/>
    <w:rsid w:val="00112755"/>
    <w:rsid w:val="00112764"/>
    <w:rsid w:val="00112775"/>
    <w:rsid w:val="001127B0"/>
    <w:rsid w:val="001127E2"/>
    <w:rsid w:val="0011280C"/>
    <w:rsid w:val="00112835"/>
    <w:rsid w:val="00112843"/>
    <w:rsid w:val="00112878"/>
    <w:rsid w:val="001128A3"/>
    <w:rsid w:val="001128A6"/>
    <w:rsid w:val="001128B7"/>
    <w:rsid w:val="001128C2"/>
    <w:rsid w:val="001128C4"/>
    <w:rsid w:val="001128E4"/>
    <w:rsid w:val="001128F6"/>
    <w:rsid w:val="0011294F"/>
    <w:rsid w:val="00112974"/>
    <w:rsid w:val="001129D7"/>
    <w:rsid w:val="00112A23"/>
    <w:rsid w:val="00112B0B"/>
    <w:rsid w:val="00112B17"/>
    <w:rsid w:val="00112B2B"/>
    <w:rsid w:val="00112B51"/>
    <w:rsid w:val="00112B62"/>
    <w:rsid w:val="00112BBC"/>
    <w:rsid w:val="00112C29"/>
    <w:rsid w:val="00112C5A"/>
    <w:rsid w:val="00112CAF"/>
    <w:rsid w:val="00112D14"/>
    <w:rsid w:val="00112D2C"/>
    <w:rsid w:val="00112D40"/>
    <w:rsid w:val="00112DE3"/>
    <w:rsid w:val="00112DE7"/>
    <w:rsid w:val="00112E08"/>
    <w:rsid w:val="00112E0E"/>
    <w:rsid w:val="00112E26"/>
    <w:rsid w:val="00112E35"/>
    <w:rsid w:val="00112F26"/>
    <w:rsid w:val="00112F28"/>
    <w:rsid w:val="00112FDF"/>
    <w:rsid w:val="00112FE2"/>
    <w:rsid w:val="00112FED"/>
    <w:rsid w:val="00113000"/>
    <w:rsid w:val="0011306B"/>
    <w:rsid w:val="0011307F"/>
    <w:rsid w:val="0011309E"/>
    <w:rsid w:val="0011310B"/>
    <w:rsid w:val="00113149"/>
    <w:rsid w:val="0011314B"/>
    <w:rsid w:val="00113199"/>
    <w:rsid w:val="0011319E"/>
    <w:rsid w:val="001131C2"/>
    <w:rsid w:val="001131D6"/>
    <w:rsid w:val="001131DC"/>
    <w:rsid w:val="00113205"/>
    <w:rsid w:val="00113231"/>
    <w:rsid w:val="00113247"/>
    <w:rsid w:val="00113298"/>
    <w:rsid w:val="00113299"/>
    <w:rsid w:val="00113301"/>
    <w:rsid w:val="0011331A"/>
    <w:rsid w:val="00113329"/>
    <w:rsid w:val="00113347"/>
    <w:rsid w:val="0011337B"/>
    <w:rsid w:val="001133CA"/>
    <w:rsid w:val="001133DE"/>
    <w:rsid w:val="0011343D"/>
    <w:rsid w:val="0011345B"/>
    <w:rsid w:val="00113481"/>
    <w:rsid w:val="00113488"/>
    <w:rsid w:val="001134CA"/>
    <w:rsid w:val="001134E2"/>
    <w:rsid w:val="0011354A"/>
    <w:rsid w:val="001135E8"/>
    <w:rsid w:val="001135EC"/>
    <w:rsid w:val="0011366E"/>
    <w:rsid w:val="00113687"/>
    <w:rsid w:val="001136AF"/>
    <w:rsid w:val="001136CE"/>
    <w:rsid w:val="00113701"/>
    <w:rsid w:val="0011372E"/>
    <w:rsid w:val="00113732"/>
    <w:rsid w:val="001137BB"/>
    <w:rsid w:val="001137D9"/>
    <w:rsid w:val="001137E0"/>
    <w:rsid w:val="001137FB"/>
    <w:rsid w:val="00113805"/>
    <w:rsid w:val="00113832"/>
    <w:rsid w:val="00113876"/>
    <w:rsid w:val="001138B5"/>
    <w:rsid w:val="001138C4"/>
    <w:rsid w:val="001138FF"/>
    <w:rsid w:val="00113923"/>
    <w:rsid w:val="00113948"/>
    <w:rsid w:val="00113969"/>
    <w:rsid w:val="00113998"/>
    <w:rsid w:val="001139C8"/>
    <w:rsid w:val="001139CE"/>
    <w:rsid w:val="001139D6"/>
    <w:rsid w:val="001139F8"/>
    <w:rsid w:val="00113A11"/>
    <w:rsid w:val="00113A21"/>
    <w:rsid w:val="00113A2F"/>
    <w:rsid w:val="00113A37"/>
    <w:rsid w:val="00113A52"/>
    <w:rsid w:val="00113AD0"/>
    <w:rsid w:val="00113ADC"/>
    <w:rsid w:val="00113B08"/>
    <w:rsid w:val="00113B11"/>
    <w:rsid w:val="00113B22"/>
    <w:rsid w:val="00113B33"/>
    <w:rsid w:val="00113B84"/>
    <w:rsid w:val="00113BBC"/>
    <w:rsid w:val="00113BC3"/>
    <w:rsid w:val="00113BDA"/>
    <w:rsid w:val="00113BDF"/>
    <w:rsid w:val="00113BE8"/>
    <w:rsid w:val="00113C55"/>
    <w:rsid w:val="00113C67"/>
    <w:rsid w:val="00113C86"/>
    <w:rsid w:val="00113D0B"/>
    <w:rsid w:val="00113D24"/>
    <w:rsid w:val="00113D39"/>
    <w:rsid w:val="00113D5F"/>
    <w:rsid w:val="00113D74"/>
    <w:rsid w:val="00113E0F"/>
    <w:rsid w:val="00113E17"/>
    <w:rsid w:val="00113E22"/>
    <w:rsid w:val="00113E40"/>
    <w:rsid w:val="00113E63"/>
    <w:rsid w:val="00113E79"/>
    <w:rsid w:val="00113EBC"/>
    <w:rsid w:val="00113F1A"/>
    <w:rsid w:val="00113F4E"/>
    <w:rsid w:val="00113F73"/>
    <w:rsid w:val="00113F78"/>
    <w:rsid w:val="00113F89"/>
    <w:rsid w:val="00113FCA"/>
    <w:rsid w:val="00114077"/>
    <w:rsid w:val="001140B9"/>
    <w:rsid w:val="001140C2"/>
    <w:rsid w:val="001140DD"/>
    <w:rsid w:val="001140F3"/>
    <w:rsid w:val="001140FA"/>
    <w:rsid w:val="00114124"/>
    <w:rsid w:val="0011414D"/>
    <w:rsid w:val="00114157"/>
    <w:rsid w:val="001141B1"/>
    <w:rsid w:val="00114272"/>
    <w:rsid w:val="00114274"/>
    <w:rsid w:val="001142C3"/>
    <w:rsid w:val="001142CB"/>
    <w:rsid w:val="001142D0"/>
    <w:rsid w:val="0011430F"/>
    <w:rsid w:val="0011434E"/>
    <w:rsid w:val="00114356"/>
    <w:rsid w:val="0011435D"/>
    <w:rsid w:val="00114361"/>
    <w:rsid w:val="0011436B"/>
    <w:rsid w:val="0011437E"/>
    <w:rsid w:val="001143B3"/>
    <w:rsid w:val="001143B5"/>
    <w:rsid w:val="001143DA"/>
    <w:rsid w:val="00114414"/>
    <w:rsid w:val="00114430"/>
    <w:rsid w:val="00114440"/>
    <w:rsid w:val="001144E2"/>
    <w:rsid w:val="001144F7"/>
    <w:rsid w:val="0011454D"/>
    <w:rsid w:val="00114568"/>
    <w:rsid w:val="00114587"/>
    <w:rsid w:val="00114589"/>
    <w:rsid w:val="00114598"/>
    <w:rsid w:val="00114604"/>
    <w:rsid w:val="0011460E"/>
    <w:rsid w:val="0011461B"/>
    <w:rsid w:val="0011467B"/>
    <w:rsid w:val="00114687"/>
    <w:rsid w:val="0011468A"/>
    <w:rsid w:val="001146A9"/>
    <w:rsid w:val="001146F2"/>
    <w:rsid w:val="001146FE"/>
    <w:rsid w:val="0011471C"/>
    <w:rsid w:val="0011471E"/>
    <w:rsid w:val="0011478E"/>
    <w:rsid w:val="001147A8"/>
    <w:rsid w:val="001147E1"/>
    <w:rsid w:val="00114801"/>
    <w:rsid w:val="00114848"/>
    <w:rsid w:val="00114853"/>
    <w:rsid w:val="0011487C"/>
    <w:rsid w:val="001148DC"/>
    <w:rsid w:val="001148F3"/>
    <w:rsid w:val="001148F9"/>
    <w:rsid w:val="00114927"/>
    <w:rsid w:val="0011494A"/>
    <w:rsid w:val="00114952"/>
    <w:rsid w:val="00114971"/>
    <w:rsid w:val="001149C9"/>
    <w:rsid w:val="001149EC"/>
    <w:rsid w:val="00114A85"/>
    <w:rsid w:val="00114A9A"/>
    <w:rsid w:val="00114B01"/>
    <w:rsid w:val="00114B12"/>
    <w:rsid w:val="00114B7A"/>
    <w:rsid w:val="00114B88"/>
    <w:rsid w:val="00114B96"/>
    <w:rsid w:val="00114BE4"/>
    <w:rsid w:val="00114BFD"/>
    <w:rsid w:val="00114C30"/>
    <w:rsid w:val="00114CD1"/>
    <w:rsid w:val="00114CD9"/>
    <w:rsid w:val="00114D0C"/>
    <w:rsid w:val="00114D19"/>
    <w:rsid w:val="00114D54"/>
    <w:rsid w:val="00114DD9"/>
    <w:rsid w:val="00114E27"/>
    <w:rsid w:val="00114E55"/>
    <w:rsid w:val="00114E62"/>
    <w:rsid w:val="00114E63"/>
    <w:rsid w:val="00114E9B"/>
    <w:rsid w:val="00114EA4"/>
    <w:rsid w:val="00114EAC"/>
    <w:rsid w:val="00114ED8"/>
    <w:rsid w:val="00114F1F"/>
    <w:rsid w:val="00114F6E"/>
    <w:rsid w:val="00114FA4"/>
    <w:rsid w:val="00114FA5"/>
    <w:rsid w:val="00114FD1"/>
    <w:rsid w:val="00115013"/>
    <w:rsid w:val="0011501A"/>
    <w:rsid w:val="0011503A"/>
    <w:rsid w:val="0011512A"/>
    <w:rsid w:val="0011512D"/>
    <w:rsid w:val="00115140"/>
    <w:rsid w:val="001151B5"/>
    <w:rsid w:val="001151F0"/>
    <w:rsid w:val="00115227"/>
    <w:rsid w:val="0011525F"/>
    <w:rsid w:val="00115283"/>
    <w:rsid w:val="0011528B"/>
    <w:rsid w:val="00115292"/>
    <w:rsid w:val="00115343"/>
    <w:rsid w:val="00115344"/>
    <w:rsid w:val="0011534A"/>
    <w:rsid w:val="001153C3"/>
    <w:rsid w:val="00115409"/>
    <w:rsid w:val="00115424"/>
    <w:rsid w:val="0011542A"/>
    <w:rsid w:val="0011542C"/>
    <w:rsid w:val="0011543A"/>
    <w:rsid w:val="00115459"/>
    <w:rsid w:val="00115486"/>
    <w:rsid w:val="00115497"/>
    <w:rsid w:val="00115499"/>
    <w:rsid w:val="001154B3"/>
    <w:rsid w:val="001154F3"/>
    <w:rsid w:val="00115526"/>
    <w:rsid w:val="0011552F"/>
    <w:rsid w:val="00115537"/>
    <w:rsid w:val="00115539"/>
    <w:rsid w:val="0011554A"/>
    <w:rsid w:val="0011555A"/>
    <w:rsid w:val="001155A4"/>
    <w:rsid w:val="001155F0"/>
    <w:rsid w:val="001155FF"/>
    <w:rsid w:val="0011562D"/>
    <w:rsid w:val="0011566A"/>
    <w:rsid w:val="001156F6"/>
    <w:rsid w:val="00115703"/>
    <w:rsid w:val="001157C3"/>
    <w:rsid w:val="001157C7"/>
    <w:rsid w:val="00115820"/>
    <w:rsid w:val="00115822"/>
    <w:rsid w:val="0011583E"/>
    <w:rsid w:val="00115848"/>
    <w:rsid w:val="00115862"/>
    <w:rsid w:val="0011588F"/>
    <w:rsid w:val="001158DA"/>
    <w:rsid w:val="001158E8"/>
    <w:rsid w:val="001158F8"/>
    <w:rsid w:val="001158FD"/>
    <w:rsid w:val="00115922"/>
    <w:rsid w:val="00115944"/>
    <w:rsid w:val="00115981"/>
    <w:rsid w:val="00115986"/>
    <w:rsid w:val="00115999"/>
    <w:rsid w:val="001159E2"/>
    <w:rsid w:val="00115A63"/>
    <w:rsid w:val="00115A6A"/>
    <w:rsid w:val="00115A79"/>
    <w:rsid w:val="00115A89"/>
    <w:rsid w:val="00115A8C"/>
    <w:rsid w:val="00115A90"/>
    <w:rsid w:val="00115AA4"/>
    <w:rsid w:val="00115AAC"/>
    <w:rsid w:val="00115B08"/>
    <w:rsid w:val="00115B10"/>
    <w:rsid w:val="00115B1D"/>
    <w:rsid w:val="00115B6E"/>
    <w:rsid w:val="00115B96"/>
    <w:rsid w:val="00115BA6"/>
    <w:rsid w:val="00115BAA"/>
    <w:rsid w:val="00115BAC"/>
    <w:rsid w:val="00115BB8"/>
    <w:rsid w:val="00115BCF"/>
    <w:rsid w:val="00115BEB"/>
    <w:rsid w:val="00115BED"/>
    <w:rsid w:val="00115BF6"/>
    <w:rsid w:val="00115C00"/>
    <w:rsid w:val="00115C17"/>
    <w:rsid w:val="00115C61"/>
    <w:rsid w:val="00115C6B"/>
    <w:rsid w:val="00115CF3"/>
    <w:rsid w:val="00115D0B"/>
    <w:rsid w:val="00115D20"/>
    <w:rsid w:val="00115D3C"/>
    <w:rsid w:val="00115D46"/>
    <w:rsid w:val="00115D8E"/>
    <w:rsid w:val="00115DA3"/>
    <w:rsid w:val="00115DB8"/>
    <w:rsid w:val="00115DC3"/>
    <w:rsid w:val="00115E43"/>
    <w:rsid w:val="00115E44"/>
    <w:rsid w:val="00115E9C"/>
    <w:rsid w:val="00115ED1"/>
    <w:rsid w:val="00115F28"/>
    <w:rsid w:val="00115FB2"/>
    <w:rsid w:val="00115FB5"/>
    <w:rsid w:val="0011600D"/>
    <w:rsid w:val="0011601F"/>
    <w:rsid w:val="00116026"/>
    <w:rsid w:val="00116056"/>
    <w:rsid w:val="00116080"/>
    <w:rsid w:val="001160AF"/>
    <w:rsid w:val="001160B7"/>
    <w:rsid w:val="001160C6"/>
    <w:rsid w:val="001160EF"/>
    <w:rsid w:val="001160F2"/>
    <w:rsid w:val="0011610A"/>
    <w:rsid w:val="0011611D"/>
    <w:rsid w:val="00116160"/>
    <w:rsid w:val="001161D4"/>
    <w:rsid w:val="001161F8"/>
    <w:rsid w:val="0011621B"/>
    <w:rsid w:val="00116242"/>
    <w:rsid w:val="00116250"/>
    <w:rsid w:val="0011629E"/>
    <w:rsid w:val="001162B0"/>
    <w:rsid w:val="001162F4"/>
    <w:rsid w:val="001162F9"/>
    <w:rsid w:val="001162FC"/>
    <w:rsid w:val="00116307"/>
    <w:rsid w:val="00116321"/>
    <w:rsid w:val="0011635B"/>
    <w:rsid w:val="00116396"/>
    <w:rsid w:val="001163E9"/>
    <w:rsid w:val="0011641D"/>
    <w:rsid w:val="00116465"/>
    <w:rsid w:val="001164DF"/>
    <w:rsid w:val="00116539"/>
    <w:rsid w:val="00116550"/>
    <w:rsid w:val="0011655C"/>
    <w:rsid w:val="001165B5"/>
    <w:rsid w:val="001165B8"/>
    <w:rsid w:val="001165B9"/>
    <w:rsid w:val="001165DA"/>
    <w:rsid w:val="001165EC"/>
    <w:rsid w:val="001165F7"/>
    <w:rsid w:val="00116616"/>
    <w:rsid w:val="00116624"/>
    <w:rsid w:val="0011668C"/>
    <w:rsid w:val="001166E7"/>
    <w:rsid w:val="00116702"/>
    <w:rsid w:val="0011670B"/>
    <w:rsid w:val="00116723"/>
    <w:rsid w:val="00116742"/>
    <w:rsid w:val="0011678A"/>
    <w:rsid w:val="001167A1"/>
    <w:rsid w:val="001167AE"/>
    <w:rsid w:val="001167B0"/>
    <w:rsid w:val="001167DA"/>
    <w:rsid w:val="00116863"/>
    <w:rsid w:val="00116894"/>
    <w:rsid w:val="00116895"/>
    <w:rsid w:val="0011689D"/>
    <w:rsid w:val="001168BE"/>
    <w:rsid w:val="001168E1"/>
    <w:rsid w:val="001168E9"/>
    <w:rsid w:val="0011695D"/>
    <w:rsid w:val="001169B2"/>
    <w:rsid w:val="001169E3"/>
    <w:rsid w:val="001169E4"/>
    <w:rsid w:val="001169FD"/>
    <w:rsid w:val="00116A1C"/>
    <w:rsid w:val="00116A22"/>
    <w:rsid w:val="00116A25"/>
    <w:rsid w:val="00116A39"/>
    <w:rsid w:val="00116A6C"/>
    <w:rsid w:val="00116A8F"/>
    <w:rsid w:val="00116A96"/>
    <w:rsid w:val="00116A97"/>
    <w:rsid w:val="00116AE0"/>
    <w:rsid w:val="00116B0B"/>
    <w:rsid w:val="00116B0E"/>
    <w:rsid w:val="00116B39"/>
    <w:rsid w:val="00116B63"/>
    <w:rsid w:val="00116B75"/>
    <w:rsid w:val="00116BA7"/>
    <w:rsid w:val="00116C0D"/>
    <w:rsid w:val="00116C12"/>
    <w:rsid w:val="00116C74"/>
    <w:rsid w:val="00116C83"/>
    <w:rsid w:val="00116CA6"/>
    <w:rsid w:val="00116CA7"/>
    <w:rsid w:val="00116D10"/>
    <w:rsid w:val="00116DF6"/>
    <w:rsid w:val="00116E35"/>
    <w:rsid w:val="00116E90"/>
    <w:rsid w:val="00116EAA"/>
    <w:rsid w:val="00116EBB"/>
    <w:rsid w:val="00116ED1"/>
    <w:rsid w:val="00116F3A"/>
    <w:rsid w:val="00116F40"/>
    <w:rsid w:val="00116F4F"/>
    <w:rsid w:val="00116FEC"/>
    <w:rsid w:val="00117063"/>
    <w:rsid w:val="00117065"/>
    <w:rsid w:val="00117089"/>
    <w:rsid w:val="001170A8"/>
    <w:rsid w:val="001170D4"/>
    <w:rsid w:val="001170D6"/>
    <w:rsid w:val="0011713F"/>
    <w:rsid w:val="00117194"/>
    <w:rsid w:val="00117198"/>
    <w:rsid w:val="001171C0"/>
    <w:rsid w:val="001171F4"/>
    <w:rsid w:val="00117213"/>
    <w:rsid w:val="00117217"/>
    <w:rsid w:val="00117221"/>
    <w:rsid w:val="00117232"/>
    <w:rsid w:val="0011724B"/>
    <w:rsid w:val="00117285"/>
    <w:rsid w:val="001172CC"/>
    <w:rsid w:val="001172D9"/>
    <w:rsid w:val="001172FC"/>
    <w:rsid w:val="00117328"/>
    <w:rsid w:val="001173A7"/>
    <w:rsid w:val="00117412"/>
    <w:rsid w:val="0011741C"/>
    <w:rsid w:val="00117430"/>
    <w:rsid w:val="00117431"/>
    <w:rsid w:val="00117435"/>
    <w:rsid w:val="00117467"/>
    <w:rsid w:val="00117488"/>
    <w:rsid w:val="001174A9"/>
    <w:rsid w:val="001174AA"/>
    <w:rsid w:val="001174E6"/>
    <w:rsid w:val="001174F2"/>
    <w:rsid w:val="0011750C"/>
    <w:rsid w:val="00117513"/>
    <w:rsid w:val="00117542"/>
    <w:rsid w:val="0011756F"/>
    <w:rsid w:val="00117576"/>
    <w:rsid w:val="001175A0"/>
    <w:rsid w:val="001175A2"/>
    <w:rsid w:val="001175B0"/>
    <w:rsid w:val="001175EF"/>
    <w:rsid w:val="0011763A"/>
    <w:rsid w:val="00117649"/>
    <w:rsid w:val="00117657"/>
    <w:rsid w:val="0011765B"/>
    <w:rsid w:val="00117691"/>
    <w:rsid w:val="00117694"/>
    <w:rsid w:val="0011769A"/>
    <w:rsid w:val="00117707"/>
    <w:rsid w:val="00117712"/>
    <w:rsid w:val="00117729"/>
    <w:rsid w:val="00117735"/>
    <w:rsid w:val="00117739"/>
    <w:rsid w:val="0011777E"/>
    <w:rsid w:val="001177A8"/>
    <w:rsid w:val="001177CE"/>
    <w:rsid w:val="001177D7"/>
    <w:rsid w:val="00117804"/>
    <w:rsid w:val="00117832"/>
    <w:rsid w:val="00117893"/>
    <w:rsid w:val="001178B9"/>
    <w:rsid w:val="001178BD"/>
    <w:rsid w:val="0011792D"/>
    <w:rsid w:val="00117936"/>
    <w:rsid w:val="00117949"/>
    <w:rsid w:val="001179AE"/>
    <w:rsid w:val="001179C6"/>
    <w:rsid w:val="001179D1"/>
    <w:rsid w:val="001179FC"/>
    <w:rsid w:val="00117A16"/>
    <w:rsid w:val="00117A30"/>
    <w:rsid w:val="00117A67"/>
    <w:rsid w:val="00117A79"/>
    <w:rsid w:val="00117A97"/>
    <w:rsid w:val="00117ABD"/>
    <w:rsid w:val="00117B2E"/>
    <w:rsid w:val="00117B36"/>
    <w:rsid w:val="00117B40"/>
    <w:rsid w:val="00117B41"/>
    <w:rsid w:val="00117B4C"/>
    <w:rsid w:val="00117B6E"/>
    <w:rsid w:val="00117B90"/>
    <w:rsid w:val="00117BAB"/>
    <w:rsid w:val="00117BD8"/>
    <w:rsid w:val="00117C18"/>
    <w:rsid w:val="00117C20"/>
    <w:rsid w:val="00117C2F"/>
    <w:rsid w:val="00117C3D"/>
    <w:rsid w:val="00117C48"/>
    <w:rsid w:val="00117CB1"/>
    <w:rsid w:val="00117CBB"/>
    <w:rsid w:val="00117D26"/>
    <w:rsid w:val="00117D2A"/>
    <w:rsid w:val="00117D30"/>
    <w:rsid w:val="00117D59"/>
    <w:rsid w:val="00117DC5"/>
    <w:rsid w:val="00117DC8"/>
    <w:rsid w:val="00117E55"/>
    <w:rsid w:val="00117E5C"/>
    <w:rsid w:val="00117E88"/>
    <w:rsid w:val="00117E9F"/>
    <w:rsid w:val="00117ED6"/>
    <w:rsid w:val="00117F12"/>
    <w:rsid w:val="00117F36"/>
    <w:rsid w:val="00117FA0"/>
    <w:rsid w:val="00117FCE"/>
    <w:rsid w:val="00117FDA"/>
    <w:rsid w:val="00117FEA"/>
    <w:rsid w:val="00120007"/>
    <w:rsid w:val="0012002D"/>
    <w:rsid w:val="00120052"/>
    <w:rsid w:val="0012005B"/>
    <w:rsid w:val="00120072"/>
    <w:rsid w:val="00120075"/>
    <w:rsid w:val="001200A0"/>
    <w:rsid w:val="001200A6"/>
    <w:rsid w:val="001200BA"/>
    <w:rsid w:val="001200CE"/>
    <w:rsid w:val="0012011A"/>
    <w:rsid w:val="0012011E"/>
    <w:rsid w:val="00120134"/>
    <w:rsid w:val="00120135"/>
    <w:rsid w:val="0012013D"/>
    <w:rsid w:val="0012013E"/>
    <w:rsid w:val="0012017E"/>
    <w:rsid w:val="00120182"/>
    <w:rsid w:val="0012018C"/>
    <w:rsid w:val="0012019F"/>
    <w:rsid w:val="001201B4"/>
    <w:rsid w:val="001201E7"/>
    <w:rsid w:val="00120207"/>
    <w:rsid w:val="00120212"/>
    <w:rsid w:val="00120245"/>
    <w:rsid w:val="00120291"/>
    <w:rsid w:val="001202D7"/>
    <w:rsid w:val="0012034E"/>
    <w:rsid w:val="0012035B"/>
    <w:rsid w:val="001203E2"/>
    <w:rsid w:val="00120414"/>
    <w:rsid w:val="00120418"/>
    <w:rsid w:val="00120439"/>
    <w:rsid w:val="00120462"/>
    <w:rsid w:val="001204B9"/>
    <w:rsid w:val="001204BE"/>
    <w:rsid w:val="001204CC"/>
    <w:rsid w:val="001204D0"/>
    <w:rsid w:val="001204D2"/>
    <w:rsid w:val="001204D9"/>
    <w:rsid w:val="00120522"/>
    <w:rsid w:val="00120527"/>
    <w:rsid w:val="0012052C"/>
    <w:rsid w:val="0012052E"/>
    <w:rsid w:val="00120590"/>
    <w:rsid w:val="001205C6"/>
    <w:rsid w:val="00120609"/>
    <w:rsid w:val="00120621"/>
    <w:rsid w:val="00120625"/>
    <w:rsid w:val="00120640"/>
    <w:rsid w:val="00120655"/>
    <w:rsid w:val="0012065A"/>
    <w:rsid w:val="00120680"/>
    <w:rsid w:val="00120686"/>
    <w:rsid w:val="001206AD"/>
    <w:rsid w:val="001206AF"/>
    <w:rsid w:val="001206D1"/>
    <w:rsid w:val="00120774"/>
    <w:rsid w:val="00120795"/>
    <w:rsid w:val="00120819"/>
    <w:rsid w:val="00120826"/>
    <w:rsid w:val="00120829"/>
    <w:rsid w:val="00120897"/>
    <w:rsid w:val="0012095B"/>
    <w:rsid w:val="0012096D"/>
    <w:rsid w:val="001209D7"/>
    <w:rsid w:val="001209DA"/>
    <w:rsid w:val="00120A25"/>
    <w:rsid w:val="00120A26"/>
    <w:rsid w:val="00120A85"/>
    <w:rsid w:val="00120AC3"/>
    <w:rsid w:val="00120B0C"/>
    <w:rsid w:val="00120B24"/>
    <w:rsid w:val="00120B36"/>
    <w:rsid w:val="00120B46"/>
    <w:rsid w:val="00120B57"/>
    <w:rsid w:val="00120B5B"/>
    <w:rsid w:val="00120B7C"/>
    <w:rsid w:val="00120BC0"/>
    <w:rsid w:val="00120BC6"/>
    <w:rsid w:val="00120BEA"/>
    <w:rsid w:val="00120C42"/>
    <w:rsid w:val="00120CA9"/>
    <w:rsid w:val="00120CFC"/>
    <w:rsid w:val="00120D0B"/>
    <w:rsid w:val="00120D2E"/>
    <w:rsid w:val="00120D81"/>
    <w:rsid w:val="00120D9F"/>
    <w:rsid w:val="00120DFF"/>
    <w:rsid w:val="00120E07"/>
    <w:rsid w:val="00120E25"/>
    <w:rsid w:val="00120E3D"/>
    <w:rsid w:val="00120E46"/>
    <w:rsid w:val="00120E49"/>
    <w:rsid w:val="00120E89"/>
    <w:rsid w:val="00120EE5"/>
    <w:rsid w:val="00120F04"/>
    <w:rsid w:val="00120F8F"/>
    <w:rsid w:val="00120FB7"/>
    <w:rsid w:val="00120FC6"/>
    <w:rsid w:val="00120FDA"/>
    <w:rsid w:val="00120FE4"/>
    <w:rsid w:val="00121012"/>
    <w:rsid w:val="0012101C"/>
    <w:rsid w:val="00121030"/>
    <w:rsid w:val="00121045"/>
    <w:rsid w:val="0012104C"/>
    <w:rsid w:val="0012106B"/>
    <w:rsid w:val="00121072"/>
    <w:rsid w:val="001210BA"/>
    <w:rsid w:val="00121109"/>
    <w:rsid w:val="00121134"/>
    <w:rsid w:val="0012113D"/>
    <w:rsid w:val="00121150"/>
    <w:rsid w:val="0012118B"/>
    <w:rsid w:val="00121196"/>
    <w:rsid w:val="001211A0"/>
    <w:rsid w:val="001211C5"/>
    <w:rsid w:val="001211C6"/>
    <w:rsid w:val="001211E9"/>
    <w:rsid w:val="001211EF"/>
    <w:rsid w:val="0012121F"/>
    <w:rsid w:val="00121222"/>
    <w:rsid w:val="0012125A"/>
    <w:rsid w:val="00121261"/>
    <w:rsid w:val="00121275"/>
    <w:rsid w:val="001212B2"/>
    <w:rsid w:val="001212C0"/>
    <w:rsid w:val="001212E8"/>
    <w:rsid w:val="001212F7"/>
    <w:rsid w:val="001212FB"/>
    <w:rsid w:val="00121346"/>
    <w:rsid w:val="00121352"/>
    <w:rsid w:val="0012135D"/>
    <w:rsid w:val="00121369"/>
    <w:rsid w:val="0012138B"/>
    <w:rsid w:val="001213E2"/>
    <w:rsid w:val="001213EA"/>
    <w:rsid w:val="0012142D"/>
    <w:rsid w:val="00121465"/>
    <w:rsid w:val="0012149C"/>
    <w:rsid w:val="001214B9"/>
    <w:rsid w:val="001214BA"/>
    <w:rsid w:val="0012150A"/>
    <w:rsid w:val="00121512"/>
    <w:rsid w:val="00121529"/>
    <w:rsid w:val="0012159A"/>
    <w:rsid w:val="001215A1"/>
    <w:rsid w:val="001215B3"/>
    <w:rsid w:val="001215D5"/>
    <w:rsid w:val="001215E9"/>
    <w:rsid w:val="0012160E"/>
    <w:rsid w:val="0012165C"/>
    <w:rsid w:val="001216A1"/>
    <w:rsid w:val="001216A8"/>
    <w:rsid w:val="001216B5"/>
    <w:rsid w:val="001216BC"/>
    <w:rsid w:val="001216C2"/>
    <w:rsid w:val="001216CC"/>
    <w:rsid w:val="001216D0"/>
    <w:rsid w:val="00121701"/>
    <w:rsid w:val="00121711"/>
    <w:rsid w:val="00121722"/>
    <w:rsid w:val="001217AA"/>
    <w:rsid w:val="001217D9"/>
    <w:rsid w:val="001217DD"/>
    <w:rsid w:val="00121817"/>
    <w:rsid w:val="00121829"/>
    <w:rsid w:val="0012183D"/>
    <w:rsid w:val="00121855"/>
    <w:rsid w:val="0012188E"/>
    <w:rsid w:val="00121911"/>
    <w:rsid w:val="00121918"/>
    <w:rsid w:val="00121927"/>
    <w:rsid w:val="00121931"/>
    <w:rsid w:val="00121935"/>
    <w:rsid w:val="0012197B"/>
    <w:rsid w:val="001219AC"/>
    <w:rsid w:val="001219D7"/>
    <w:rsid w:val="00121A26"/>
    <w:rsid w:val="00121A2D"/>
    <w:rsid w:val="00121A38"/>
    <w:rsid w:val="00121A3A"/>
    <w:rsid w:val="00121A4C"/>
    <w:rsid w:val="00121A75"/>
    <w:rsid w:val="00121A97"/>
    <w:rsid w:val="00121AC6"/>
    <w:rsid w:val="00121ADB"/>
    <w:rsid w:val="00121AEB"/>
    <w:rsid w:val="00121AFA"/>
    <w:rsid w:val="00121B8E"/>
    <w:rsid w:val="00121B92"/>
    <w:rsid w:val="00121BC6"/>
    <w:rsid w:val="00121BF4"/>
    <w:rsid w:val="00121CA5"/>
    <w:rsid w:val="00121CA8"/>
    <w:rsid w:val="00121CC1"/>
    <w:rsid w:val="00121CE9"/>
    <w:rsid w:val="00121D10"/>
    <w:rsid w:val="00121D1C"/>
    <w:rsid w:val="00121D45"/>
    <w:rsid w:val="00121D46"/>
    <w:rsid w:val="00121DA8"/>
    <w:rsid w:val="00121DE4"/>
    <w:rsid w:val="00121E25"/>
    <w:rsid w:val="00121E6C"/>
    <w:rsid w:val="00121E7A"/>
    <w:rsid w:val="00121E80"/>
    <w:rsid w:val="00121EB6"/>
    <w:rsid w:val="00121EBF"/>
    <w:rsid w:val="00121EC0"/>
    <w:rsid w:val="00121EC7"/>
    <w:rsid w:val="00121EF9"/>
    <w:rsid w:val="00121EFA"/>
    <w:rsid w:val="00121F02"/>
    <w:rsid w:val="00121F3B"/>
    <w:rsid w:val="00121F6A"/>
    <w:rsid w:val="00121F6D"/>
    <w:rsid w:val="00121FB0"/>
    <w:rsid w:val="00121FF7"/>
    <w:rsid w:val="0012200B"/>
    <w:rsid w:val="0012205B"/>
    <w:rsid w:val="00122061"/>
    <w:rsid w:val="001220B1"/>
    <w:rsid w:val="001220CA"/>
    <w:rsid w:val="001220D4"/>
    <w:rsid w:val="001220DE"/>
    <w:rsid w:val="001220EA"/>
    <w:rsid w:val="00122126"/>
    <w:rsid w:val="00122173"/>
    <w:rsid w:val="001221A2"/>
    <w:rsid w:val="001221A4"/>
    <w:rsid w:val="001221C8"/>
    <w:rsid w:val="001221D4"/>
    <w:rsid w:val="001221E8"/>
    <w:rsid w:val="00122225"/>
    <w:rsid w:val="0012222D"/>
    <w:rsid w:val="0012225B"/>
    <w:rsid w:val="0012226F"/>
    <w:rsid w:val="00122278"/>
    <w:rsid w:val="001222FC"/>
    <w:rsid w:val="00122300"/>
    <w:rsid w:val="00122333"/>
    <w:rsid w:val="0012233F"/>
    <w:rsid w:val="00122362"/>
    <w:rsid w:val="0012236A"/>
    <w:rsid w:val="00122376"/>
    <w:rsid w:val="0012239F"/>
    <w:rsid w:val="001223A2"/>
    <w:rsid w:val="001223D9"/>
    <w:rsid w:val="001223F7"/>
    <w:rsid w:val="00122404"/>
    <w:rsid w:val="00122459"/>
    <w:rsid w:val="00122469"/>
    <w:rsid w:val="00122483"/>
    <w:rsid w:val="001224FB"/>
    <w:rsid w:val="00122517"/>
    <w:rsid w:val="00122545"/>
    <w:rsid w:val="0012259E"/>
    <w:rsid w:val="001225A2"/>
    <w:rsid w:val="001225F8"/>
    <w:rsid w:val="00122601"/>
    <w:rsid w:val="00122619"/>
    <w:rsid w:val="00122625"/>
    <w:rsid w:val="0012262F"/>
    <w:rsid w:val="00122686"/>
    <w:rsid w:val="00122689"/>
    <w:rsid w:val="00122696"/>
    <w:rsid w:val="001226A9"/>
    <w:rsid w:val="001226AF"/>
    <w:rsid w:val="001226E0"/>
    <w:rsid w:val="00122703"/>
    <w:rsid w:val="0012273C"/>
    <w:rsid w:val="00122745"/>
    <w:rsid w:val="001227DD"/>
    <w:rsid w:val="001227F7"/>
    <w:rsid w:val="0012281F"/>
    <w:rsid w:val="00122844"/>
    <w:rsid w:val="00122866"/>
    <w:rsid w:val="0012286B"/>
    <w:rsid w:val="0012289E"/>
    <w:rsid w:val="001228BC"/>
    <w:rsid w:val="001228F2"/>
    <w:rsid w:val="00122905"/>
    <w:rsid w:val="00122907"/>
    <w:rsid w:val="00122921"/>
    <w:rsid w:val="0012292D"/>
    <w:rsid w:val="00122933"/>
    <w:rsid w:val="0012294D"/>
    <w:rsid w:val="0012296E"/>
    <w:rsid w:val="0012297F"/>
    <w:rsid w:val="00122993"/>
    <w:rsid w:val="00122996"/>
    <w:rsid w:val="00122A12"/>
    <w:rsid w:val="00122A2F"/>
    <w:rsid w:val="00122A44"/>
    <w:rsid w:val="00122A75"/>
    <w:rsid w:val="00122AAC"/>
    <w:rsid w:val="00122AC4"/>
    <w:rsid w:val="00122AC5"/>
    <w:rsid w:val="00122B07"/>
    <w:rsid w:val="00122B23"/>
    <w:rsid w:val="00122BC1"/>
    <w:rsid w:val="00122C54"/>
    <w:rsid w:val="00122CC7"/>
    <w:rsid w:val="00122D49"/>
    <w:rsid w:val="00122D74"/>
    <w:rsid w:val="00122DA1"/>
    <w:rsid w:val="00122DDD"/>
    <w:rsid w:val="00122DE3"/>
    <w:rsid w:val="00122E1A"/>
    <w:rsid w:val="00122E33"/>
    <w:rsid w:val="00122E4A"/>
    <w:rsid w:val="00122E57"/>
    <w:rsid w:val="00122E73"/>
    <w:rsid w:val="00122E7F"/>
    <w:rsid w:val="00122EBF"/>
    <w:rsid w:val="00122EC8"/>
    <w:rsid w:val="00122F08"/>
    <w:rsid w:val="00122F30"/>
    <w:rsid w:val="00122F34"/>
    <w:rsid w:val="00122F47"/>
    <w:rsid w:val="00122F88"/>
    <w:rsid w:val="00122FB3"/>
    <w:rsid w:val="00122FD4"/>
    <w:rsid w:val="0012301E"/>
    <w:rsid w:val="00123047"/>
    <w:rsid w:val="00123057"/>
    <w:rsid w:val="00123062"/>
    <w:rsid w:val="00123084"/>
    <w:rsid w:val="00123101"/>
    <w:rsid w:val="00123104"/>
    <w:rsid w:val="00123167"/>
    <w:rsid w:val="0012319C"/>
    <w:rsid w:val="001231B4"/>
    <w:rsid w:val="00123228"/>
    <w:rsid w:val="00123272"/>
    <w:rsid w:val="0012328C"/>
    <w:rsid w:val="00123295"/>
    <w:rsid w:val="00123299"/>
    <w:rsid w:val="001232B7"/>
    <w:rsid w:val="001232DF"/>
    <w:rsid w:val="001233BE"/>
    <w:rsid w:val="001233C4"/>
    <w:rsid w:val="001233DA"/>
    <w:rsid w:val="001233F3"/>
    <w:rsid w:val="001233FA"/>
    <w:rsid w:val="0012341E"/>
    <w:rsid w:val="0012342C"/>
    <w:rsid w:val="0012345E"/>
    <w:rsid w:val="00123477"/>
    <w:rsid w:val="001234AA"/>
    <w:rsid w:val="00123528"/>
    <w:rsid w:val="0012353D"/>
    <w:rsid w:val="00123565"/>
    <w:rsid w:val="00123579"/>
    <w:rsid w:val="0012357D"/>
    <w:rsid w:val="00123586"/>
    <w:rsid w:val="00123590"/>
    <w:rsid w:val="001235BB"/>
    <w:rsid w:val="001235CD"/>
    <w:rsid w:val="001235D5"/>
    <w:rsid w:val="00123603"/>
    <w:rsid w:val="00123605"/>
    <w:rsid w:val="00123622"/>
    <w:rsid w:val="0012362F"/>
    <w:rsid w:val="00123644"/>
    <w:rsid w:val="0012364D"/>
    <w:rsid w:val="00123663"/>
    <w:rsid w:val="00123698"/>
    <w:rsid w:val="001236B4"/>
    <w:rsid w:val="001236CD"/>
    <w:rsid w:val="001236FB"/>
    <w:rsid w:val="00123734"/>
    <w:rsid w:val="00123782"/>
    <w:rsid w:val="001237DF"/>
    <w:rsid w:val="00123829"/>
    <w:rsid w:val="00123871"/>
    <w:rsid w:val="00123878"/>
    <w:rsid w:val="0012389A"/>
    <w:rsid w:val="0012392B"/>
    <w:rsid w:val="00123933"/>
    <w:rsid w:val="00123988"/>
    <w:rsid w:val="0012398A"/>
    <w:rsid w:val="001239D9"/>
    <w:rsid w:val="001239F5"/>
    <w:rsid w:val="00123A0D"/>
    <w:rsid w:val="00123A78"/>
    <w:rsid w:val="00123A7C"/>
    <w:rsid w:val="00123A81"/>
    <w:rsid w:val="00123A86"/>
    <w:rsid w:val="00123AAE"/>
    <w:rsid w:val="00123AB4"/>
    <w:rsid w:val="00123ABD"/>
    <w:rsid w:val="00123AD7"/>
    <w:rsid w:val="00123AFC"/>
    <w:rsid w:val="00123B0C"/>
    <w:rsid w:val="00123B26"/>
    <w:rsid w:val="00123B28"/>
    <w:rsid w:val="00123B7F"/>
    <w:rsid w:val="00123BDD"/>
    <w:rsid w:val="00123C32"/>
    <w:rsid w:val="00123C52"/>
    <w:rsid w:val="00123C85"/>
    <w:rsid w:val="00123CEF"/>
    <w:rsid w:val="00123D1F"/>
    <w:rsid w:val="00123D49"/>
    <w:rsid w:val="00123D70"/>
    <w:rsid w:val="00123D7C"/>
    <w:rsid w:val="00123DAA"/>
    <w:rsid w:val="00123DC3"/>
    <w:rsid w:val="00123DF3"/>
    <w:rsid w:val="00123E1D"/>
    <w:rsid w:val="00123E34"/>
    <w:rsid w:val="00123E59"/>
    <w:rsid w:val="00123E7E"/>
    <w:rsid w:val="00123E8F"/>
    <w:rsid w:val="00123ED5"/>
    <w:rsid w:val="00123F06"/>
    <w:rsid w:val="00123F25"/>
    <w:rsid w:val="00123F26"/>
    <w:rsid w:val="00123F2A"/>
    <w:rsid w:val="00123F4E"/>
    <w:rsid w:val="00123F66"/>
    <w:rsid w:val="00123F98"/>
    <w:rsid w:val="00123FB2"/>
    <w:rsid w:val="00123FD8"/>
    <w:rsid w:val="00123FF0"/>
    <w:rsid w:val="00124000"/>
    <w:rsid w:val="0012401D"/>
    <w:rsid w:val="00124024"/>
    <w:rsid w:val="00124048"/>
    <w:rsid w:val="0012404C"/>
    <w:rsid w:val="00124057"/>
    <w:rsid w:val="0012406B"/>
    <w:rsid w:val="00124073"/>
    <w:rsid w:val="0012407A"/>
    <w:rsid w:val="0012408E"/>
    <w:rsid w:val="001240AD"/>
    <w:rsid w:val="001240D7"/>
    <w:rsid w:val="001240E7"/>
    <w:rsid w:val="00124103"/>
    <w:rsid w:val="0012412D"/>
    <w:rsid w:val="00124138"/>
    <w:rsid w:val="0012417B"/>
    <w:rsid w:val="0012419F"/>
    <w:rsid w:val="001241F5"/>
    <w:rsid w:val="00124236"/>
    <w:rsid w:val="001242B0"/>
    <w:rsid w:val="001242E9"/>
    <w:rsid w:val="001242F1"/>
    <w:rsid w:val="00124302"/>
    <w:rsid w:val="00124327"/>
    <w:rsid w:val="0012434D"/>
    <w:rsid w:val="0012439E"/>
    <w:rsid w:val="001243A8"/>
    <w:rsid w:val="0012441E"/>
    <w:rsid w:val="00124452"/>
    <w:rsid w:val="00124463"/>
    <w:rsid w:val="0012446E"/>
    <w:rsid w:val="001244A2"/>
    <w:rsid w:val="001244C9"/>
    <w:rsid w:val="00124503"/>
    <w:rsid w:val="00124505"/>
    <w:rsid w:val="00124514"/>
    <w:rsid w:val="00124536"/>
    <w:rsid w:val="00124564"/>
    <w:rsid w:val="00124585"/>
    <w:rsid w:val="0012459C"/>
    <w:rsid w:val="001245D0"/>
    <w:rsid w:val="001245D4"/>
    <w:rsid w:val="001245E5"/>
    <w:rsid w:val="0012466E"/>
    <w:rsid w:val="0012468C"/>
    <w:rsid w:val="001246AE"/>
    <w:rsid w:val="001246BC"/>
    <w:rsid w:val="001246C2"/>
    <w:rsid w:val="001246CF"/>
    <w:rsid w:val="0012474D"/>
    <w:rsid w:val="00124764"/>
    <w:rsid w:val="0012476E"/>
    <w:rsid w:val="00124777"/>
    <w:rsid w:val="001247A4"/>
    <w:rsid w:val="001247E0"/>
    <w:rsid w:val="0012482C"/>
    <w:rsid w:val="00124831"/>
    <w:rsid w:val="00124847"/>
    <w:rsid w:val="00124855"/>
    <w:rsid w:val="0012488B"/>
    <w:rsid w:val="00124892"/>
    <w:rsid w:val="001248A6"/>
    <w:rsid w:val="001248A7"/>
    <w:rsid w:val="001248AF"/>
    <w:rsid w:val="001248B1"/>
    <w:rsid w:val="001248B7"/>
    <w:rsid w:val="001248CA"/>
    <w:rsid w:val="001248E1"/>
    <w:rsid w:val="001248E8"/>
    <w:rsid w:val="00124911"/>
    <w:rsid w:val="00124920"/>
    <w:rsid w:val="00124948"/>
    <w:rsid w:val="0012497A"/>
    <w:rsid w:val="00124986"/>
    <w:rsid w:val="0012499A"/>
    <w:rsid w:val="0012499E"/>
    <w:rsid w:val="001249A4"/>
    <w:rsid w:val="001249B5"/>
    <w:rsid w:val="001249C4"/>
    <w:rsid w:val="001249E3"/>
    <w:rsid w:val="00124A22"/>
    <w:rsid w:val="00124AEB"/>
    <w:rsid w:val="00124B06"/>
    <w:rsid w:val="00124B6E"/>
    <w:rsid w:val="00124C37"/>
    <w:rsid w:val="00124CA6"/>
    <w:rsid w:val="00124CC6"/>
    <w:rsid w:val="00124CDE"/>
    <w:rsid w:val="00124CE3"/>
    <w:rsid w:val="00124D2D"/>
    <w:rsid w:val="00124D30"/>
    <w:rsid w:val="00124D78"/>
    <w:rsid w:val="00124D8A"/>
    <w:rsid w:val="00124DB8"/>
    <w:rsid w:val="00124DBA"/>
    <w:rsid w:val="00124DDC"/>
    <w:rsid w:val="00124DFD"/>
    <w:rsid w:val="00124E23"/>
    <w:rsid w:val="00124EC7"/>
    <w:rsid w:val="00124ECC"/>
    <w:rsid w:val="00124F12"/>
    <w:rsid w:val="00124F1B"/>
    <w:rsid w:val="00124F25"/>
    <w:rsid w:val="00124F7E"/>
    <w:rsid w:val="00124F93"/>
    <w:rsid w:val="00124FA2"/>
    <w:rsid w:val="00124FAF"/>
    <w:rsid w:val="00124FBB"/>
    <w:rsid w:val="00124FD6"/>
    <w:rsid w:val="00124FDC"/>
    <w:rsid w:val="00125004"/>
    <w:rsid w:val="0012500B"/>
    <w:rsid w:val="0012500F"/>
    <w:rsid w:val="00125016"/>
    <w:rsid w:val="00125093"/>
    <w:rsid w:val="00125099"/>
    <w:rsid w:val="001250BA"/>
    <w:rsid w:val="001250F3"/>
    <w:rsid w:val="0012510A"/>
    <w:rsid w:val="0012510E"/>
    <w:rsid w:val="00125118"/>
    <w:rsid w:val="001251C2"/>
    <w:rsid w:val="001251E5"/>
    <w:rsid w:val="00125213"/>
    <w:rsid w:val="0012522D"/>
    <w:rsid w:val="00125230"/>
    <w:rsid w:val="0012524D"/>
    <w:rsid w:val="001252C7"/>
    <w:rsid w:val="001252DB"/>
    <w:rsid w:val="00125306"/>
    <w:rsid w:val="00125314"/>
    <w:rsid w:val="00125326"/>
    <w:rsid w:val="00125327"/>
    <w:rsid w:val="0012533C"/>
    <w:rsid w:val="001253E7"/>
    <w:rsid w:val="001253EE"/>
    <w:rsid w:val="001253F2"/>
    <w:rsid w:val="00125498"/>
    <w:rsid w:val="001254B1"/>
    <w:rsid w:val="001254BD"/>
    <w:rsid w:val="00125510"/>
    <w:rsid w:val="00125517"/>
    <w:rsid w:val="00125531"/>
    <w:rsid w:val="00125550"/>
    <w:rsid w:val="00125556"/>
    <w:rsid w:val="00125569"/>
    <w:rsid w:val="00125588"/>
    <w:rsid w:val="001255DC"/>
    <w:rsid w:val="001255FF"/>
    <w:rsid w:val="00125600"/>
    <w:rsid w:val="00125606"/>
    <w:rsid w:val="00125628"/>
    <w:rsid w:val="00125644"/>
    <w:rsid w:val="00125658"/>
    <w:rsid w:val="0012566C"/>
    <w:rsid w:val="00125670"/>
    <w:rsid w:val="0012569C"/>
    <w:rsid w:val="001256D1"/>
    <w:rsid w:val="001256DE"/>
    <w:rsid w:val="00125754"/>
    <w:rsid w:val="0012579B"/>
    <w:rsid w:val="0012579E"/>
    <w:rsid w:val="001257A0"/>
    <w:rsid w:val="001257B1"/>
    <w:rsid w:val="001257BC"/>
    <w:rsid w:val="001257EA"/>
    <w:rsid w:val="00125800"/>
    <w:rsid w:val="00125805"/>
    <w:rsid w:val="00125830"/>
    <w:rsid w:val="00125831"/>
    <w:rsid w:val="0012588B"/>
    <w:rsid w:val="00125960"/>
    <w:rsid w:val="00125963"/>
    <w:rsid w:val="00125970"/>
    <w:rsid w:val="00125978"/>
    <w:rsid w:val="001259B0"/>
    <w:rsid w:val="001259BD"/>
    <w:rsid w:val="001259EA"/>
    <w:rsid w:val="001259FD"/>
    <w:rsid w:val="00125A67"/>
    <w:rsid w:val="00125A74"/>
    <w:rsid w:val="00125A76"/>
    <w:rsid w:val="00125AA2"/>
    <w:rsid w:val="00125AA9"/>
    <w:rsid w:val="00125AE9"/>
    <w:rsid w:val="00125B05"/>
    <w:rsid w:val="00125B85"/>
    <w:rsid w:val="00125B90"/>
    <w:rsid w:val="00125BA5"/>
    <w:rsid w:val="00125BBC"/>
    <w:rsid w:val="00125BDD"/>
    <w:rsid w:val="00125BE1"/>
    <w:rsid w:val="00125BF4"/>
    <w:rsid w:val="00125BF5"/>
    <w:rsid w:val="00125C4A"/>
    <w:rsid w:val="00125C93"/>
    <w:rsid w:val="00125CDB"/>
    <w:rsid w:val="00125CE3"/>
    <w:rsid w:val="00125D24"/>
    <w:rsid w:val="00125D3D"/>
    <w:rsid w:val="00125D47"/>
    <w:rsid w:val="00125D74"/>
    <w:rsid w:val="00125D7B"/>
    <w:rsid w:val="00125DA3"/>
    <w:rsid w:val="00125DB9"/>
    <w:rsid w:val="00125EDF"/>
    <w:rsid w:val="00125EE4"/>
    <w:rsid w:val="00125EEA"/>
    <w:rsid w:val="00125EFB"/>
    <w:rsid w:val="00125F4D"/>
    <w:rsid w:val="00125F5C"/>
    <w:rsid w:val="00125FA5"/>
    <w:rsid w:val="00125FB9"/>
    <w:rsid w:val="00125FD7"/>
    <w:rsid w:val="00125FF6"/>
    <w:rsid w:val="00126034"/>
    <w:rsid w:val="00126078"/>
    <w:rsid w:val="00126093"/>
    <w:rsid w:val="001260AB"/>
    <w:rsid w:val="001260B6"/>
    <w:rsid w:val="001260C5"/>
    <w:rsid w:val="001260F3"/>
    <w:rsid w:val="0012612A"/>
    <w:rsid w:val="0012613B"/>
    <w:rsid w:val="00126146"/>
    <w:rsid w:val="00126171"/>
    <w:rsid w:val="001261A7"/>
    <w:rsid w:val="001261A9"/>
    <w:rsid w:val="001261BE"/>
    <w:rsid w:val="001261D7"/>
    <w:rsid w:val="001261D9"/>
    <w:rsid w:val="00126208"/>
    <w:rsid w:val="00126247"/>
    <w:rsid w:val="00126292"/>
    <w:rsid w:val="0012629B"/>
    <w:rsid w:val="0012629C"/>
    <w:rsid w:val="001262AB"/>
    <w:rsid w:val="0012635A"/>
    <w:rsid w:val="001263A4"/>
    <w:rsid w:val="001263B5"/>
    <w:rsid w:val="001263F9"/>
    <w:rsid w:val="0012641E"/>
    <w:rsid w:val="00126455"/>
    <w:rsid w:val="00126462"/>
    <w:rsid w:val="001264A7"/>
    <w:rsid w:val="001264A9"/>
    <w:rsid w:val="001264B8"/>
    <w:rsid w:val="001264FD"/>
    <w:rsid w:val="00126510"/>
    <w:rsid w:val="00126512"/>
    <w:rsid w:val="0012654A"/>
    <w:rsid w:val="00126566"/>
    <w:rsid w:val="00126573"/>
    <w:rsid w:val="00126586"/>
    <w:rsid w:val="0012659A"/>
    <w:rsid w:val="001265E2"/>
    <w:rsid w:val="001265E5"/>
    <w:rsid w:val="00126603"/>
    <w:rsid w:val="00126657"/>
    <w:rsid w:val="00126661"/>
    <w:rsid w:val="00126675"/>
    <w:rsid w:val="0012669A"/>
    <w:rsid w:val="001266E4"/>
    <w:rsid w:val="001266ED"/>
    <w:rsid w:val="001266F9"/>
    <w:rsid w:val="00126718"/>
    <w:rsid w:val="00126721"/>
    <w:rsid w:val="0012674D"/>
    <w:rsid w:val="00126770"/>
    <w:rsid w:val="001267FE"/>
    <w:rsid w:val="00126801"/>
    <w:rsid w:val="00126805"/>
    <w:rsid w:val="0012683F"/>
    <w:rsid w:val="0012684F"/>
    <w:rsid w:val="00126896"/>
    <w:rsid w:val="001268E8"/>
    <w:rsid w:val="001268FB"/>
    <w:rsid w:val="001268FC"/>
    <w:rsid w:val="001268FF"/>
    <w:rsid w:val="0012691A"/>
    <w:rsid w:val="00126927"/>
    <w:rsid w:val="00126939"/>
    <w:rsid w:val="00126941"/>
    <w:rsid w:val="00126963"/>
    <w:rsid w:val="001269D2"/>
    <w:rsid w:val="001269D9"/>
    <w:rsid w:val="001269EA"/>
    <w:rsid w:val="001269FB"/>
    <w:rsid w:val="00126A2C"/>
    <w:rsid w:val="00126A4A"/>
    <w:rsid w:val="00126A51"/>
    <w:rsid w:val="00126A7F"/>
    <w:rsid w:val="00126A97"/>
    <w:rsid w:val="00126AA9"/>
    <w:rsid w:val="00126AB4"/>
    <w:rsid w:val="00126ABE"/>
    <w:rsid w:val="00126ADA"/>
    <w:rsid w:val="00126AF5"/>
    <w:rsid w:val="00126AF9"/>
    <w:rsid w:val="00126B06"/>
    <w:rsid w:val="00126B30"/>
    <w:rsid w:val="00126B56"/>
    <w:rsid w:val="00126B5F"/>
    <w:rsid w:val="00126B60"/>
    <w:rsid w:val="00126B68"/>
    <w:rsid w:val="00126B91"/>
    <w:rsid w:val="00126BA0"/>
    <w:rsid w:val="00126BA6"/>
    <w:rsid w:val="00126BEE"/>
    <w:rsid w:val="00126C02"/>
    <w:rsid w:val="00126C1C"/>
    <w:rsid w:val="00126C66"/>
    <w:rsid w:val="00126CB5"/>
    <w:rsid w:val="00126CCF"/>
    <w:rsid w:val="00126CE4"/>
    <w:rsid w:val="00126CE5"/>
    <w:rsid w:val="00126D05"/>
    <w:rsid w:val="00126D17"/>
    <w:rsid w:val="00126D5B"/>
    <w:rsid w:val="00126E00"/>
    <w:rsid w:val="00126E41"/>
    <w:rsid w:val="00126E44"/>
    <w:rsid w:val="00126E57"/>
    <w:rsid w:val="00126E9D"/>
    <w:rsid w:val="00126F2E"/>
    <w:rsid w:val="00126F58"/>
    <w:rsid w:val="00126F7C"/>
    <w:rsid w:val="00126FA2"/>
    <w:rsid w:val="00126FCB"/>
    <w:rsid w:val="00127009"/>
    <w:rsid w:val="0012700D"/>
    <w:rsid w:val="0012702B"/>
    <w:rsid w:val="00127082"/>
    <w:rsid w:val="001270FB"/>
    <w:rsid w:val="001270FC"/>
    <w:rsid w:val="00127115"/>
    <w:rsid w:val="00127142"/>
    <w:rsid w:val="0012716A"/>
    <w:rsid w:val="00127192"/>
    <w:rsid w:val="00127195"/>
    <w:rsid w:val="001271B8"/>
    <w:rsid w:val="00127217"/>
    <w:rsid w:val="0012725C"/>
    <w:rsid w:val="00127266"/>
    <w:rsid w:val="001272A1"/>
    <w:rsid w:val="001272A2"/>
    <w:rsid w:val="001272A4"/>
    <w:rsid w:val="001272B7"/>
    <w:rsid w:val="001272C7"/>
    <w:rsid w:val="001272F2"/>
    <w:rsid w:val="0012733F"/>
    <w:rsid w:val="00127387"/>
    <w:rsid w:val="00127391"/>
    <w:rsid w:val="00127396"/>
    <w:rsid w:val="001273BA"/>
    <w:rsid w:val="001273FC"/>
    <w:rsid w:val="00127494"/>
    <w:rsid w:val="00127496"/>
    <w:rsid w:val="0012749A"/>
    <w:rsid w:val="001274CF"/>
    <w:rsid w:val="0012751D"/>
    <w:rsid w:val="0012753E"/>
    <w:rsid w:val="00127551"/>
    <w:rsid w:val="0012758A"/>
    <w:rsid w:val="001275C2"/>
    <w:rsid w:val="001275DA"/>
    <w:rsid w:val="00127611"/>
    <w:rsid w:val="00127629"/>
    <w:rsid w:val="00127671"/>
    <w:rsid w:val="0012768D"/>
    <w:rsid w:val="001276CA"/>
    <w:rsid w:val="001276E2"/>
    <w:rsid w:val="00127747"/>
    <w:rsid w:val="0012775D"/>
    <w:rsid w:val="0012777B"/>
    <w:rsid w:val="00127799"/>
    <w:rsid w:val="001277D1"/>
    <w:rsid w:val="001277DC"/>
    <w:rsid w:val="00127810"/>
    <w:rsid w:val="00127816"/>
    <w:rsid w:val="00127817"/>
    <w:rsid w:val="00127874"/>
    <w:rsid w:val="00127881"/>
    <w:rsid w:val="00127893"/>
    <w:rsid w:val="0012789C"/>
    <w:rsid w:val="001278CE"/>
    <w:rsid w:val="001278D7"/>
    <w:rsid w:val="001278F9"/>
    <w:rsid w:val="00127976"/>
    <w:rsid w:val="00127986"/>
    <w:rsid w:val="0012799C"/>
    <w:rsid w:val="001279AB"/>
    <w:rsid w:val="001279F0"/>
    <w:rsid w:val="001279F7"/>
    <w:rsid w:val="00127A19"/>
    <w:rsid w:val="00127A5B"/>
    <w:rsid w:val="00127A5F"/>
    <w:rsid w:val="00127A63"/>
    <w:rsid w:val="00127A91"/>
    <w:rsid w:val="00127B75"/>
    <w:rsid w:val="00127BCA"/>
    <w:rsid w:val="00127BE1"/>
    <w:rsid w:val="00127BF1"/>
    <w:rsid w:val="00127C0F"/>
    <w:rsid w:val="00127C3C"/>
    <w:rsid w:val="00127C72"/>
    <w:rsid w:val="00127C8B"/>
    <w:rsid w:val="00127D38"/>
    <w:rsid w:val="00127D62"/>
    <w:rsid w:val="00127D6D"/>
    <w:rsid w:val="00127D6E"/>
    <w:rsid w:val="00127D96"/>
    <w:rsid w:val="00127DBB"/>
    <w:rsid w:val="00127E0D"/>
    <w:rsid w:val="00127E55"/>
    <w:rsid w:val="00127E91"/>
    <w:rsid w:val="00127ECF"/>
    <w:rsid w:val="00127F32"/>
    <w:rsid w:val="00127F60"/>
    <w:rsid w:val="00127F7E"/>
    <w:rsid w:val="00127F86"/>
    <w:rsid w:val="00127FB4"/>
    <w:rsid w:val="0013000E"/>
    <w:rsid w:val="00130015"/>
    <w:rsid w:val="00130025"/>
    <w:rsid w:val="0013006D"/>
    <w:rsid w:val="00130070"/>
    <w:rsid w:val="001300B2"/>
    <w:rsid w:val="001300DF"/>
    <w:rsid w:val="001300E5"/>
    <w:rsid w:val="001300E8"/>
    <w:rsid w:val="001300F6"/>
    <w:rsid w:val="00130105"/>
    <w:rsid w:val="00130116"/>
    <w:rsid w:val="00130136"/>
    <w:rsid w:val="0013014C"/>
    <w:rsid w:val="00130180"/>
    <w:rsid w:val="0013019F"/>
    <w:rsid w:val="001301B6"/>
    <w:rsid w:val="001301D0"/>
    <w:rsid w:val="001301DA"/>
    <w:rsid w:val="001301DC"/>
    <w:rsid w:val="001301F3"/>
    <w:rsid w:val="001301F7"/>
    <w:rsid w:val="00130213"/>
    <w:rsid w:val="00130221"/>
    <w:rsid w:val="00130239"/>
    <w:rsid w:val="0013025E"/>
    <w:rsid w:val="00130277"/>
    <w:rsid w:val="00130287"/>
    <w:rsid w:val="001302A6"/>
    <w:rsid w:val="001302D3"/>
    <w:rsid w:val="0013032F"/>
    <w:rsid w:val="0013033B"/>
    <w:rsid w:val="00130340"/>
    <w:rsid w:val="00130374"/>
    <w:rsid w:val="00130379"/>
    <w:rsid w:val="00130398"/>
    <w:rsid w:val="001303AE"/>
    <w:rsid w:val="001303B0"/>
    <w:rsid w:val="001303E3"/>
    <w:rsid w:val="00130424"/>
    <w:rsid w:val="00130429"/>
    <w:rsid w:val="00130439"/>
    <w:rsid w:val="0013046C"/>
    <w:rsid w:val="001304CB"/>
    <w:rsid w:val="001304F2"/>
    <w:rsid w:val="00130564"/>
    <w:rsid w:val="00130576"/>
    <w:rsid w:val="0013059B"/>
    <w:rsid w:val="0013062D"/>
    <w:rsid w:val="0013062E"/>
    <w:rsid w:val="00130638"/>
    <w:rsid w:val="00130658"/>
    <w:rsid w:val="00130669"/>
    <w:rsid w:val="00130696"/>
    <w:rsid w:val="001306A6"/>
    <w:rsid w:val="001306D3"/>
    <w:rsid w:val="001306D4"/>
    <w:rsid w:val="0013075C"/>
    <w:rsid w:val="0013075D"/>
    <w:rsid w:val="00130784"/>
    <w:rsid w:val="0013078B"/>
    <w:rsid w:val="00130797"/>
    <w:rsid w:val="001307A0"/>
    <w:rsid w:val="001307E7"/>
    <w:rsid w:val="00130838"/>
    <w:rsid w:val="00130841"/>
    <w:rsid w:val="0013084C"/>
    <w:rsid w:val="00130875"/>
    <w:rsid w:val="0013089A"/>
    <w:rsid w:val="001308A4"/>
    <w:rsid w:val="001308AE"/>
    <w:rsid w:val="001308EC"/>
    <w:rsid w:val="00130900"/>
    <w:rsid w:val="00130927"/>
    <w:rsid w:val="00130929"/>
    <w:rsid w:val="0013092A"/>
    <w:rsid w:val="00130943"/>
    <w:rsid w:val="00130964"/>
    <w:rsid w:val="001309D4"/>
    <w:rsid w:val="00130A3F"/>
    <w:rsid w:val="00130A4A"/>
    <w:rsid w:val="00130A65"/>
    <w:rsid w:val="00130A6A"/>
    <w:rsid w:val="00130A8A"/>
    <w:rsid w:val="00130A8B"/>
    <w:rsid w:val="00130AFE"/>
    <w:rsid w:val="00130B18"/>
    <w:rsid w:val="00130B55"/>
    <w:rsid w:val="00130B70"/>
    <w:rsid w:val="00130B91"/>
    <w:rsid w:val="00130BE1"/>
    <w:rsid w:val="00130C10"/>
    <w:rsid w:val="00130C2F"/>
    <w:rsid w:val="00130C4A"/>
    <w:rsid w:val="00130CF7"/>
    <w:rsid w:val="00130D0C"/>
    <w:rsid w:val="00130D1B"/>
    <w:rsid w:val="00130D89"/>
    <w:rsid w:val="00130DBE"/>
    <w:rsid w:val="00130DDA"/>
    <w:rsid w:val="00130DE9"/>
    <w:rsid w:val="00130E32"/>
    <w:rsid w:val="00130EC0"/>
    <w:rsid w:val="00130EE4"/>
    <w:rsid w:val="00130F0A"/>
    <w:rsid w:val="00130F82"/>
    <w:rsid w:val="00130F99"/>
    <w:rsid w:val="00130FB4"/>
    <w:rsid w:val="00130FD7"/>
    <w:rsid w:val="00130FDA"/>
    <w:rsid w:val="00131002"/>
    <w:rsid w:val="0013102D"/>
    <w:rsid w:val="0013107E"/>
    <w:rsid w:val="0013108B"/>
    <w:rsid w:val="00131094"/>
    <w:rsid w:val="0013109E"/>
    <w:rsid w:val="001310A7"/>
    <w:rsid w:val="001310F7"/>
    <w:rsid w:val="0013110B"/>
    <w:rsid w:val="0013111F"/>
    <w:rsid w:val="00131130"/>
    <w:rsid w:val="00131177"/>
    <w:rsid w:val="00131199"/>
    <w:rsid w:val="001311A2"/>
    <w:rsid w:val="001311CC"/>
    <w:rsid w:val="001311FE"/>
    <w:rsid w:val="00131221"/>
    <w:rsid w:val="00131228"/>
    <w:rsid w:val="00131264"/>
    <w:rsid w:val="00131286"/>
    <w:rsid w:val="00131299"/>
    <w:rsid w:val="001312B8"/>
    <w:rsid w:val="001312CC"/>
    <w:rsid w:val="001312D9"/>
    <w:rsid w:val="00131341"/>
    <w:rsid w:val="00131365"/>
    <w:rsid w:val="0013136D"/>
    <w:rsid w:val="00131383"/>
    <w:rsid w:val="0013138A"/>
    <w:rsid w:val="00131457"/>
    <w:rsid w:val="00131471"/>
    <w:rsid w:val="00131485"/>
    <w:rsid w:val="001314C2"/>
    <w:rsid w:val="001314CE"/>
    <w:rsid w:val="0013150B"/>
    <w:rsid w:val="00131511"/>
    <w:rsid w:val="0013151D"/>
    <w:rsid w:val="0013151F"/>
    <w:rsid w:val="00131522"/>
    <w:rsid w:val="00131545"/>
    <w:rsid w:val="00131560"/>
    <w:rsid w:val="001315BE"/>
    <w:rsid w:val="001315D2"/>
    <w:rsid w:val="00131608"/>
    <w:rsid w:val="00131648"/>
    <w:rsid w:val="0013167B"/>
    <w:rsid w:val="001316C9"/>
    <w:rsid w:val="001316FC"/>
    <w:rsid w:val="0013170F"/>
    <w:rsid w:val="00131711"/>
    <w:rsid w:val="00131727"/>
    <w:rsid w:val="00131765"/>
    <w:rsid w:val="001317CB"/>
    <w:rsid w:val="001317F0"/>
    <w:rsid w:val="001317F5"/>
    <w:rsid w:val="001318A6"/>
    <w:rsid w:val="001318D9"/>
    <w:rsid w:val="001318F2"/>
    <w:rsid w:val="001318FB"/>
    <w:rsid w:val="00131922"/>
    <w:rsid w:val="00131989"/>
    <w:rsid w:val="0013198E"/>
    <w:rsid w:val="00131990"/>
    <w:rsid w:val="001319CA"/>
    <w:rsid w:val="001319FC"/>
    <w:rsid w:val="00131A05"/>
    <w:rsid w:val="00131A22"/>
    <w:rsid w:val="00131A56"/>
    <w:rsid w:val="00131A6A"/>
    <w:rsid w:val="00131A82"/>
    <w:rsid w:val="00131AD6"/>
    <w:rsid w:val="00131B5A"/>
    <w:rsid w:val="00131B85"/>
    <w:rsid w:val="00131B8A"/>
    <w:rsid w:val="00131C17"/>
    <w:rsid w:val="00131C1E"/>
    <w:rsid w:val="00131C29"/>
    <w:rsid w:val="00131C4A"/>
    <w:rsid w:val="00131C62"/>
    <w:rsid w:val="00131C91"/>
    <w:rsid w:val="00131CC6"/>
    <w:rsid w:val="00131CFC"/>
    <w:rsid w:val="00131D0C"/>
    <w:rsid w:val="00131D21"/>
    <w:rsid w:val="00131D64"/>
    <w:rsid w:val="00131D9F"/>
    <w:rsid w:val="00131DE3"/>
    <w:rsid w:val="00131DE7"/>
    <w:rsid w:val="00131E4D"/>
    <w:rsid w:val="00131E70"/>
    <w:rsid w:val="00131E79"/>
    <w:rsid w:val="00131E92"/>
    <w:rsid w:val="00131EB1"/>
    <w:rsid w:val="00131ED3"/>
    <w:rsid w:val="00131EF5"/>
    <w:rsid w:val="00131F1C"/>
    <w:rsid w:val="00131F23"/>
    <w:rsid w:val="00131F40"/>
    <w:rsid w:val="00131F48"/>
    <w:rsid w:val="00131FF3"/>
    <w:rsid w:val="00131FFE"/>
    <w:rsid w:val="0013200F"/>
    <w:rsid w:val="00132013"/>
    <w:rsid w:val="00132018"/>
    <w:rsid w:val="0013207D"/>
    <w:rsid w:val="00132087"/>
    <w:rsid w:val="00132090"/>
    <w:rsid w:val="001320D3"/>
    <w:rsid w:val="001320E7"/>
    <w:rsid w:val="0013214F"/>
    <w:rsid w:val="0013215C"/>
    <w:rsid w:val="001321E4"/>
    <w:rsid w:val="00132222"/>
    <w:rsid w:val="00132270"/>
    <w:rsid w:val="00132299"/>
    <w:rsid w:val="001322EF"/>
    <w:rsid w:val="00132323"/>
    <w:rsid w:val="00132344"/>
    <w:rsid w:val="00132346"/>
    <w:rsid w:val="00132359"/>
    <w:rsid w:val="0013238C"/>
    <w:rsid w:val="0013240E"/>
    <w:rsid w:val="0013243F"/>
    <w:rsid w:val="0013246B"/>
    <w:rsid w:val="001324A8"/>
    <w:rsid w:val="001324B9"/>
    <w:rsid w:val="001324C1"/>
    <w:rsid w:val="001324D4"/>
    <w:rsid w:val="0013255B"/>
    <w:rsid w:val="0013255D"/>
    <w:rsid w:val="0013257A"/>
    <w:rsid w:val="0013258B"/>
    <w:rsid w:val="00132596"/>
    <w:rsid w:val="001325BE"/>
    <w:rsid w:val="00132619"/>
    <w:rsid w:val="00132632"/>
    <w:rsid w:val="00132653"/>
    <w:rsid w:val="00132663"/>
    <w:rsid w:val="001326A5"/>
    <w:rsid w:val="001326A8"/>
    <w:rsid w:val="001326E6"/>
    <w:rsid w:val="001326FC"/>
    <w:rsid w:val="00132716"/>
    <w:rsid w:val="00132751"/>
    <w:rsid w:val="0013276B"/>
    <w:rsid w:val="0013279B"/>
    <w:rsid w:val="001327EE"/>
    <w:rsid w:val="0013289F"/>
    <w:rsid w:val="001328A7"/>
    <w:rsid w:val="001328B1"/>
    <w:rsid w:val="001328CD"/>
    <w:rsid w:val="00132900"/>
    <w:rsid w:val="00132901"/>
    <w:rsid w:val="00132945"/>
    <w:rsid w:val="00132993"/>
    <w:rsid w:val="0013299E"/>
    <w:rsid w:val="001329A7"/>
    <w:rsid w:val="001329A9"/>
    <w:rsid w:val="001329AD"/>
    <w:rsid w:val="00132A23"/>
    <w:rsid w:val="00132A40"/>
    <w:rsid w:val="00132A41"/>
    <w:rsid w:val="00132A58"/>
    <w:rsid w:val="00132ABF"/>
    <w:rsid w:val="00132AC0"/>
    <w:rsid w:val="00132AC2"/>
    <w:rsid w:val="00132B01"/>
    <w:rsid w:val="00132B66"/>
    <w:rsid w:val="00132B6C"/>
    <w:rsid w:val="00132B80"/>
    <w:rsid w:val="00132BA5"/>
    <w:rsid w:val="00132BBE"/>
    <w:rsid w:val="00132BD6"/>
    <w:rsid w:val="00132BDE"/>
    <w:rsid w:val="00132BF2"/>
    <w:rsid w:val="00132C34"/>
    <w:rsid w:val="00132C6D"/>
    <w:rsid w:val="00132C6E"/>
    <w:rsid w:val="00132C93"/>
    <w:rsid w:val="00132C97"/>
    <w:rsid w:val="00132CAB"/>
    <w:rsid w:val="00132CAF"/>
    <w:rsid w:val="00132CB2"/>
    <w:rsid w:val="00132CC5"/>
    <w:rsid w:val="00132CCE"/>
    <w:rsid w:val="00132D0F"/>
    <w:rsid w:val="00132D6A"/>
    <w:rsid w:val="00132D79"/>
    <w:rsid w:val="00132D97"/>
    <w:rsid w:val="00132DAF"/>
    <w:rsid w:val="00132DC3"/>
    <w:rsid w:val="00132E06"/>
    <w:rsid w:val="00132E0E"/>
    <w:rsid w:val="00132E1B"/>
    <w:rsid w:val="00132E5F"/>
    <w:rsid w:val="00132E8D"/>
    <w:rsid w:val="00132EC9"/>
    <w:rsid w:val="00132F24"/>
    <w:rsid w:val="00132F39"/>
    <w:rsid w:val="00132F59"/>
    <w:rsid w:val="00132F5A"/>
    <w:rsid w:val="00132F5B"/>
    <w:rsid w:val="00132F6A"/>
    <w:rsid w:val="00132FD1"/>
    <w:rsid w:val="00132FE8"/>
    <w:rsid w:val="00132FF0"/>
    <w:rsid w:val="00132FF5"/>
    <w:rsid w:val="00133020"/>
    <w:rsid w:val="0013304D"/>
    <w:rsid w:val="0013307F"/>
    <w:rsid w:val="001330B5"/>
    <w:rsid w:val="001330D9"/>
    <w:rsid w:val="001330E9"/>
    <w:rsid w:val="0013310E"/>
    <w:rsid w:val="00133125"/>
    <w:rsid w:val="00133162"/>
    <w:rsid w:val="00133188"/>
    <w:rsid w:val="00133191"/>
    <w:rsid w:val="0013319B"/>
    <w:rsid w:val="001331BF"/>
    <w:rsid w:val="001331D0"/>
    <w:rsid w:val="001331D2"/>
    <w:rsid w:val="00133205"/>
    <w:rsid w:val="0013320B"/>
    <w:rsid w:val="00133214"/>
    <w:rsid w:val="001332A1"/>
    <w:rsid w:val="001332DD"/>
    <w:rsid w:val="001332E7"/>
    <w:rsid w:val="00133344"/>
    <w:rsid w:val="0013335D"/>
    <w:rsid w:val="001333BF"/>
    <w:rsid w:val="001333E4"/>
    <w:rsid w:val="00133441"/>
    <w:rsid w:val="00133442"/>
    <w:rsid w:val="00133452"/>
    <w:rsid w:val="00133455"/>
    <w:rsid w:val="0013348B"/>
    <w:rsid w:val="00133518"/>
    <w:rsid w:val="00133579"/>
    <w:rsid w:val="00133581"/>
    <w:rsid w:val="001335FB"/>
    <w:rsid w:val="00133630"/>
    <w:rsid w:val="00133669"/>
    <w:rsid w:val="00133671"/>
    <w:rsid w:val="00133680"/>
    <w:rsid w:val="001336E9"/>
    <w:rsid w:val="001336F4"/>
    <w:rsid w:val="0013371F"/>
    <w:rsid w:val="0013374C"/>
    <w:rsid w:val="0013377C"/>
    <w:rsid w:val="0013378F"/>
    <w:rsid w:val="001337AA"/>
    <w:rsid w:val="001337B4"/>
    <w:rsid w:val="001337D5"/>
    <w:rsid w:val="001337F5"/>
    <w:rsid w:val="00133820"/>
    <w:rsid w:val="00133825"/>
    <w:rsid w:val="00133837"/>
    <w:rsid w:val="00133855"/>
    <w:rsid w:val="0013388E"/>
    <w:rsid w:val="001338F0"/>
    <w:rsid w:val="00133918"/>
    <w:rsid w:val="00133927"/>
    <w:rsid w:val="00133929"/>
    <w:rsid w:val="0013392F"/>
    <w:rsid w:val="00133945"/>
    <w:rsid w:val="00133948"/>
    <w:rsid w:val="00133957"/>
    <w:rsid w:val="0013397F"/>
    <w:rsid w:val="0013399B"/>
    <w:rsid w:val="001339AD"/>
    <w:rsid w:val="001339C1"/>
    <w:rsid w:val="001339C2"/>
    <w:rsid w:val="001339EF"/>
    <w:rsid w:val="001339F5"/>
    <w:rsid w:val="00133A34"/>
    <w:rsid w:val="00133A4A"/>
    <w:rsid w:val="00133A53"/>
    <w:rsid w:val="00133A69"/>
    <w:rsid w:val="00133A8C"/>
    <w:rsid w:val="00133B07"/>
    <w:rsid w:val="00133B45"/>
    <w:rsid w:val="00133B63"/>
    <w:rsid w:val="00133BA9"/>
    <w:rsid w:val="00133BF6"/>
    <w:rsid w:val="00133D48"/>
    <w:rsid w:val="00133D52"/>
    <w:rsid w:val="00133D84"/>
    <w:rsid w:val="00133DA7"/>
    <w:rsid w:val="00133DB6"/>
    <w:rsid w:val="00133E00"/>
    <w:rsid w:val="00133E10"/>
    <w:rsid w:val="00133E2A"/>
    <w:rsid w:val="00133E43"/>
    <w:rsid w:val="00133E6F"/>
    <w:rsid w:val="00133EAF"/>
    <w:rsid w:val="00133EB1"/>
    <w:rsid w:val="00133EBD"/>
    <w:rsid w:val="00133F46"/>
    <w:rsid w:val="00133F51"/>
    <w:rsid w:val="00133F74"/>
    <w:rsid w:val="00133FCA"/>
    <w:rsid w:val="00133FD6"/>
    <w:rsid w:val="00133FEF"/>
    <w:rsid w:val="00133FF1"/>
    <w:rsid w:val="0013405E"/>
    <w:rsid w:val="00134072"/>
    <w:rsid w:val="0013407D"/>
    <w:rsid w:val="0013408B"/>
    <w:rsid w:val="001340C3"/>
    <w:rsid w:val="001340DB"/>
    <w:rsid w:val="001340E5"/>
    <w:rsid w:val="001340FD"/>
    <w:rsid w:val="00134119"/>
    <w:rsid w:val="00134127"/>
    <w:rsid w:val="0013412F"/>
    <w:rsid w:val="00134132"/>
    <w:rsid w:val="00134133"/>
    <w:rsid w:val="00134176"/>
    <w:rsid w:val="001341CD"/>
    <w:rsid w:val="001341DB"/>
    <w:rsid w:val="00134238"/>
    <w:rsid w:val="00134246"/>
    <w:rsid w:val="00134259"/>
    <w:rsid w:val="00134274"/>
    <w:rsid w:val="0013427D"/>
    <w:rsid w:val="00134286"/>
    <w:rsid w:val="0013428C"/>
    <w:rsid w:val="001342DE"/>
    <w:rsid w:val="00134304"/>
    <w:rsid w:val="0013432E"/>
    <w:rsid w:val="00134375"/>
    <w:rsid w:val="0013439F"/>
    <w:rsid w:val="001343A4"/>
    <w:rsid w:val="001343AC"/>
    <w:rsid w:val="00134448"/>
    <w:rsid w:val="00134486"/>
    <w:rsid w:val="001344DA"/>
    <w:rsid w:val="001344FE"/>
    <w:rsid w:val="00134535"/>
    <w:rsid w:val="00134568"/>
    <w:rsid w:val="001345A1"/>
    <w:rsid w:val="001345DB"/>
    <w:rsid w:val="001345F5"/>
    <w:rsid w:val="00134639"/>
    <w:rsid w:val="00134651"/>
    <w:rsid w:val="00134695"/>
    <w:rsid w:val="001346A0"/>
    <w:rsid w:val="001346A1"/>
    <w:rsid w:val="001346A6"/>
    <w:rsid w:val="001346E5"/>
    <w:rsid w:val="00134753"/>
    <w:rsid w:val="001347AF"/>
    <w:rsid w:val="00134832"/>
    <w:rsid w:val="00134841"/>
    <w:rsid w:val="00134884"/>
    <w:rsid w:val="001348C2"/>
    <w:rsid w:val="0013491F"/>
    <w:rsid w:val="00134937"/>
    <w:rsid w:val="0013493A"/>
    <w:rsid w:val="00134978"/>
    <w:rsid w:val="0013497C"/>
    <w:rsid w:val="00134989"/>
    <w:rsid w:val="00134994"/>
    <w:rsid w:val="00134A7E"/>
    <w:rsid w:val="00134AC4"/>
    <w:rsid w:val="00134AC6"/>
    <w:rsid w:val="00134AE1"/>
    <w:rsid w:val="00134B0E"/>
    <w:rsid w:val="00134B1B"/>
    <w:rsid w:val="00134B43"/>
    <w:rsid w:val="00134B77"/>
    <w:rsid w:val="00134BD0"/>
    <w:rsid w:val="00134BD4"/>
    <w:rsid w:val="00134BE5"/>
    <w:rsid w:val="00134C3A"/>
    <w:rsid w:val="00134CA4"/>
    <w:rsid w:val="00134CFE"/>
    <w:rsid w:val="00134D02"/>
    <w:rsid w:val="00134D06"/>
    <w:rsid w:val="00134D07"/>
    <w:rsid w:val="00134D09"/>
    <w:rsid w:val="00134D13"/>
    <w:rsid w:val="00134D28"/>
    <w:rsid w:val="00134E08"/>
    <w:rsid w:val="00134E3C"/>
    <w:rsid w:val="00134E4C"/>
    <w:rsid w:val="00134E68"/>
    <w:rsid w:val="00134ED2"/>
    <w:rsid w:val="00134EFB"/>
    <w:rsid w:val="00134F01"/>
    <w:rsid w:val="00134F12"/>
    <w:rsid w:val="00134F17"/>
    <w:rsid w:val="00134F4D"/>
    <w:rsid w:val="00134F75"/>
    <w:rsid w:val="00134FAD"/>
    <w:rsid w:val="00134FAE"/>
    <w:rsid w:val="00134FB8"/>
    <w:rsid w:val="00134FC4"/>
    <w:rsid w:val="00134FF6"/>
    <w:rsid w:val="00135010"/>
    <w:rsid w:val="0013503E"/>
    <w:rsid w:val="00135047"/>
    <w:rsid w:val="00135049"/>
    <w:rsid w:val="00135075"/>
    <w:rsid w:val="0013508B"/>
    <w:rsid w:val="0013509C"/>
    <w:rsid w:val="001350D9"/>
    <w:rsid w:val="00135113"/>
    <w:rsid w:val="0013512D"/>
    <w:rsid w:val="00135141"/>
    <w:rsid w:val="00135198"/>
    <w:rsid w:val="00135210"/>
    <w:rsid w:val="00135216"/>
    <w:rsid w:val="00135228"/>
    <w:rsid w:val="0013525D"/>
    <w:rsid w:val="00135288"/>
    <w:rsid w:val="001352A2"/>
    <w:rsid w:val="001352BA"/>
    <w:rsid w:val="001352D6"/>
    <w:rsid w:val="001352DB"/>
    <w:rsid w:val="001352EF"/>
    <w:rsid w:val="00135373"/>
    <w:rsid w:val="0013538F"/>
    <w:rsid w:val="001353B2"/>
    <w:rsid w:val="001353E3"/>
    <w:rsid w:val="00135419"/>
    <w:rsid w:val="0013542B"/>
    <w:rsid w:val="00135441"/>
    <w:rsid w:val="0013544C"/>
    <w:rsid w:val="00135475"/>
    <w:rsid w:val="00135490"/>
    <w:rsid w:val="001354E0"/>
    <w:rsid w:val="001354EC"/>
    <w:rsid w:val="001354EF"/>
    <w:rsid w:val="001354F0"/>
    <w:rsid w:val="00135517"/>
    <w:rsid w:val="0013551B"/>
    <w:rsid w:val="001355CB"/>
    <w:rsid w:val="001355D6"/>
    <w:rsid w:val="001355F0"/>
    <w:rsid w:val="00135610"/>
    <w:rsid w:val="00135633"/>
    <w:rsid w:val="00135655"/>
    <w:rsid w:val="0013566E"/>
    <w:rsid w:val="00135724"/>
    <w:rsid w:val="0013573F"/>
    <w:rsid w:val="00135761"/>
    <w:rsid w:val="00135762"/>
    <w:rsid w:val="001357A9"/>
    <w:rsid w:val="001357B8"/>
    <w:rsid w:val="001357E6"/>
    <w:rsid w:val="0013581C"/>
    <w:rsid w:val="00135843"/>
    <w:rsid w:val="0013585B"/>
    <w:rsid w:val="0013586D"/>
    <w:rsid w:val="00135877"/>
    <w:rsid w:val="00135904"/>
    <w:rsid w:val="00135927"/>
    <w:rsid w:val="00135957"/>
    <w:rsid w:val="00135973"/>
    <w:rsid w:val="00135986"/>
    <w:rsid w:val="001359FE"/>
    <w:rsid w:val="00135A06"/>
    <w:rsid w:val="00135A32"/>
    <w:rsid w:val="00135A98"/>
    <w:rsid w:val="00135B3A"/>
    <w:rsid w:val="00135B63"/>
    <w:rsid w:val="00135B72"/>
    <w:rsid w:val="00135B7F"/>
    <w:rsid w:val="00135B91"/>
    <w:rsid w:val="00135B96"/>
    <w:rsid w:val="00135BB6"/>
    <w:rsid w:val="00135BC7"/>
    <w:rsid w:val="00135BE8"/>
    <w:rsid w:val="00135C0A"/>
    <w:rsid w:val="00135CA0"/>
    <w:rsid w:val="00135CA5"/>
    <w:rsid w:val="00135CB7"/>
    <w:rsid w:val="00135CBE"/>
    <w:rsid w:val="00135CC2"/>
    <w:rsid w:val="00135D35"/>
    <w:rsid w:val="00135D3C"/>
    <w:rsid w:val="00135D3E"/>
    <w:rsid w:val="00135D6C"/>
    <w:rsid w:val="00135D6D"/>
    <w:rsid w:val="00135D70"/>
    <w:rsid w:val="00135D85"/>
    <w:rsid w:val="00135DA9"/>
    <w:rsid w:val="00135E16"/>
    <w:rsid w:val="00135E1C"/>
    <w:rsid w:val="00135E20"/>
    <w:rsid w:val="00135E25"/>
    <w:rsid w:val="00135E46"/>
    <w:rsid w:val="00135E79"/>
    <w:rsid w:val="00135E83"/>
    <w:rsid w:val="00135E8D"/>
    <w:rsid w:val="00135E98"/>
    <w:rsid w:val="00135EDC"/>
    <w:rsid w:val="00135EEA"/>
    <w:rsid w:val="00135F0A"/>
    <w:rsid w:val="00135F56"/>
    <w:rsid w:val="00135FCA"/>
    <w:rsid w:val="00135FE0"/>
    <w:rsid w:val="00136013"/>
    <w:rsid w:val="00136047"/>
    <w:rsid w:val="0013604A"/>
    <w:rsid w:val="001360AE"/>
    <w:rsid w:val="001360E1"/>
    <w:rsid w:val="001360EB"/>
    <w:rsid w:val="001360F6"/>
    <w:rsid w:val="00136113"/>
    <w:rsid w:val="0013617E"/>
    <w:rsid w:val="00136195"/>
    <w:rsid w:val="001361AC"/>
    <w:rsid w:val="001361D3"/>
    <w:rsid w:val="001361D5"/>
    <w:rsid w:val="00136211"/>
    <w:rsid w:val="00136213"/>
    <w:rsid w:val="00136243"/>
    <w:rsid w:val="00136295"/>
    <w:rsid w:val="001362A9"/>
    <w:rsid w:val="001362C8"/>
    <w:rsid w:val="001362D2"/>
    <w:rsid w:val="0013633D"/>
    <w:rsid w:val="0013634A"/>
    <w:rsid w:val="00136352"/>
    <w:rsid w:val="0013636B"/>
    <w:rsid w:val="0013640D"/>
    <w:rsid w:val="00136467"/>
    <w:rsid w:val="0013647A"/>
    <w:rsid w:val="0013647E"/>
    <w:rsid w:val="0013649C"/>
    <w:rsid w:val="001364CE"/>
    <w:rsid w:val="001364FB"/>
    <w:rsid w:val="00136525"/>
    <w:rsid w:val="0013654E"/>
    <w:rsid w:val="00136558"/>
    <w:rsid w:val="00136561"/>
    <w:rsid w:val="00136572"/>
    <w:rsid w:val="001365A7"/>
    <w:rsid w:val="001365B6"/>
    <w:rsid w:val="00136604"/>
    <w:rsid w:val="00136628"/>
    <w:rsid w:val="0013662F"/>
    <w:rsid w:val="00136663"/>
    <w:rsid w:val="0013667E"/>
    <w:rsid w:val="001366B1"/>
    <w:rsid w:val="001366BA"/>
    <w:rsid w:val="001366ED"/>
    <w:rsid w:val="001366F6"/>
    <w:rsid w:val="00136756"/>
    <w:rsid w:val="00136760"/>
    <w:rsid w:val="00136791"/>
    <w:rsid w:val="00136804"/>
    <w:rsid w:val="00136872"/>
    <w:rsid w:val="0013687D"/>
    <w:rsid w:val="00136880"/>
    <w:rsid w:val="00136884"/>
    <w:rsid w:val="001368AA"/>
    <w:rsid w:val="001368AB"/>
    <w:rsid w:val="001368CA"/>
    <w:rsid w:val="00136924"/>
    <w:rsid w:val="00136934"/>
    <w:rsid w:val="0013693A"/>
    <w:rsid w:val="0013693C"/>
    <w:rsid w:val="0013694B"/>
    <w:rsid w:val="0013699B"/>
    <w:rsid w:val="001369C2"/>
    <w:rsid w:val="001369C6"/>
    <w:rsid w:val="001369D2"/>
    <w:rsid w:val="001369D5"/>
    <w:rsid w:val="001369ED"/>
    <w:rsid w:val="001369F2"/>
    <w:rsid w:val="00136A26"/>
    <w:rsid w:val="00136A62"/>
    <w:rsid w:val="00136A70"/>
    <w:rsid w:val="00136AD4"/>
    <w:rsid w:val="00136AD8"/>
    <w:rsid w:val="00136B1D"/>
    <w:rsid w:val="00136B3D"/>
    <w:rsid w:val="00136B4C"/>
    <w:rsid w:val="00136B5B"/>
    <w:rsid w:val="00136BBE"/>
    <w:rsid w:val="00136BE9"/>
    <w:rsid w:val="00136C84"/>
    <w:rsid w:val="00136CAD"/>
    <w:rsid w:val="00136CCD"/>
    <w:rsid w:val="00136CE8"/>
    <w:rsid w:val="00136D28"/>
    <w:rsid w:val="00136D46"/>
    <w:rsid w:val="00136D70"/>
    <w:rsid w:val="00136D86"/>
    <w:rsid w:val="00136DBD"/>
    <w:rsid w:val="00136DCE"/>
    <w:rsid w:val="00136DDC"/>
    <w:rsid w:val="00136DE3"/>
    <w:rsid w:val="00136DF8"/>
    <w:rsid w:val="00136E0E"/>
    <w:rsid w:val="00136E3E"/>
    <w:rsid w:val="00136E41"/>
    <w:rsid w:val="00136E47"/>
    <w:rsid w:val="00136E84"/>
    <w:rsid w:val="00136EB5"/>
    <w:rsid w:val="00136EC0"/>
    <w:rsid w:val="00136EDF"/>
    <w:rsid w:val="00136F56"/>
    <w:rsid w:val="00136F61"/>
    <w:rsid w:val="00136F85"/>
    <w:rsid w:val="00136F87"/>
    <w:rsid w:val="00136FAA"/>
    <w:rsid w:val="00136FE6"/>
    <w:rsid w:val="0013702A"/>
    <w:rsid w:val="0013702D"/>
    <w:rsid w:val="00137038"/>
    <w:rsid w:val="0013703F"/>
    <w:rsid w:val="00137045"/>
    <w:rsid w:val="00137071"/>
    <w:rsid w:val="0013709C"/>
    <w:rsid w:val="001370B2"/>
    <w:rsid w:val="001370CD"/>
    <w:rsid w:val="001370E9"/>
    <w:rsid w:val="001370F9"/>
    <w:rsid w:val="001370FF"/>
    <w:rsid w:val="00137192"/>
    <w:rsid w:val="00137195"/>
    <w:rsid w:val="0013719D"/>
    <w:rsid w:val="001371A7"/>
    <w:rsid w:val="001371D3"/>
    <w:rsid w:val="001371E4"/>
    <w:rsid w:val="001371F2"/>
    <w:rsid w:val="00137276"/>
    <w:rsid w:val="0013727E"/>
    <w:rsid w:val="0013728C"/>
    <w:rsid w:val="001372A2"/>
    <w:rsid w:val="00137315"/>
    <w:rsid w:val="00137331"/>
    <w:rsid w:val="00137346"/>
    <w:rsid w:val="00137357"/>
    <w:rsid w:val="00137369"/>
    <w:rsid w:val="00137390"/>
    <w:rsid w:val="00137395"/>
    <w:rsid w:val="001373EE"/>
    <w:rsid w:val="00137425"/>
    <w:rsid w:val="0013745B"/>
    <w:rsid w:val="00137478"/>
    <w:rsid w:val="001374B7"/>
    <w:rsid w:val="00137512"/>
    <w:rsid w:val="0013752C"/>
    <w:rsid w:val="0013755B"/>
    <w:rsid w:val="0013755E"/>
    <w:rsid w:val="00137568"/>
    <w:rsid w:val="0013757F"/>
    <w:rsid w:val="0013758C"/>
    <w:rsid w:val="00137599"/>
    <w:rsid w:val="001375A1"/>
    <w:rsid w:val="001375C5"/>
    <w:rsid w:val="001375E1"/>
    <w:rsid w:val="001375EC"/>
    <w:rsid w:val="001375FD"/>
    <w:rsid w:val="00137615"/>
    <w:rsid w:val="00137626"/>
    <w:rsid w:val="0013764C"/>
    <w:rsid w:val="001376BF"/>
    <w:rsid w:val="001376F5"/>
    <w:rsid w:val="0013770B"/>
    <w:rsid w:val="00137745"/>
    <w:rsid w:val="00137767"/>
    <w:rsid w:val="00137770"/>
    <w:rsid w:val="0013778A"/>
    <w:rsid w:val="001377C7"/>
    <w:rsid w:val="001377CA"/>
    <w:rsid w:val="001377E6"/>
    <w:rsid w:val="00137822"/>
    <w:rsid w:val="0013788F"/>
    <w:rsid w:val="00137892"/>
    <w:rsid w:val="001378CB"/>
    <w:rsid w:val="00137918"/>
    <w:rsid w:val="0013791D"/>
    <w:rsid w:val="00137927"/>
    <w:rsid w:val="0013795E"/>
    <w:rsid w:val="00137989"/>
    <w:rsid w:val="001379CE"/>
    <w:rsid w:val="001379DE"/>
    <w:rsid w:val="001379E9"/>
    <w:rsid w:val="00137A2C"/>
    <w:rsid w:val="00137A39"/>
    <w:rsid w:val="00137A56"/>
    <w:rsid w:val="00137A63"/>
    <w:rsid w:val="00137A67"/>
    <w:rsid w:val="00137A6F"/>
    <w:rsid w:val="00137ABF"/>
    <w:rsid w:val="00137AD9"/>
    <w:rsid w:val="00137AF6"/>
    <w:rsid w:val="00137AFE"/>
    <w:rsid w:val="00137B34"/>
    <w:rsid w:val="00137B5F"/>
    <w:rsid w:val="00137B67"/>
    <w:rsid w:val="00137BB9"/>
    <w:rsid w:val="00137BC4"/>
    <w:rsid w:val="00137C03"/>
    <w:rsid w:val="00137C3E"/>
    <w:rsid w:val="00137C4A"/>
    <w:rsid w:val="00137C51"/>
    <w:rsid w:val="00137C5D"/>
    <w:rsid w:val="00137C69"/>
    <w:rsid w:val="00137C72"/>
    <w:rsid w:val="00137CAA"/>
    <w:rsid w:val="00137CE9"/>
    <w:rsid w:val="00137D20"/>
    <w:rsid w:val="00137D35"/>
    <w:rsid w:val="00137D4B"/>
    <w:rsid w:val="00137D61"/>
    <w:rsid w:val="00137D78"/>
    <w:rsid w:val="00137D90"/>
    <w:rsid w:val="00137DB3"/>
    <w:rsid w:val="00137E50"/>
    <w:rsid w:val="00137E58"/>
    <w:rsid w:val="00137E85"/>
    <w:rsid w:val="00137E93"/>
    <w:rsid w:val="00137EA9"/>
    <w:rsid w:val="00137EB6"/>
    <w:rsid w:val="00137EC7"/>
    <w:rsid w:val="00137ED8"/>
    <w:rsid w:val="00137EE5"/>
    <w:rsid w:val="00137EFD"/>
    <w:rsid w:val="00137FAF"/>
    <w:rsid w:val="00137FC7"/>
    <w:rsid w:val="00137FCD"/>
    <w:rsid w:val="00137FDB"/>
    <w:rsid w:val="00140012"/>
    <w:rsid w:val="00140013"/>
    <w:rsid w:val="00140030"/>
    <w:rsid w:val="00140059"/>
    <w:rsid w:val="001400E7"/>
    <w:rsid w:val="0014011A"/>
    <w:rsid w:val="00140124"/>
    <w:rsid w:val="0014018B"/>
    <w:rsid w:val="001401C4"/>
    <w:rsid w:val="001401F0"/>
    <w:rsid w:val="00140240"/>
    <w:rsid w:val="00140270"/>
    <w:rsid w:val="00140297"/>
    <w:rsid w:val="001402AB"/>
    <w:rsid w:val="001402C2"/>
    <w:rsid w:val="001402EC"/>
    <w:rsid w:val="001402F5"/>
    <w:rsid w:val="00140305"/>
    <w:rsid w:val="001403B4"/>
    <w:rsid w:val="0014041E"/>
    <w:rsid w:val="00140457"/>
    <w:rsid w:val="00140499"/>
    <w:rsid w:val="001404C2"/>
    <w:rsid w:val="001404F0"/>
    <w:rsid w:val="00140513"/>
    <w:rsid w:val="0014056B"/>
    <w:rsid w:val="00140579"/>
    <w:rsid w:val="0014058F"/>
    <w:rsid w:val="00140604"/>
    <w:rsid w:val="00140638"/>
    <w:rsid w:val="0014066A"/>
    <w:rsid w:val="001406B6"/>
    <w:rsid w:val="001406BF"/>
    <w:rsid w:val="001406CA"/>
    <w:rsid w:val="001406F2"/>
    <w:rsid w:val="00140725"/>
    <w:rsid w:val="00140748"/>
    <w:rsid w:val="00140765"/>
    <w:rsid w:val="00140779"/>
    <w:rsid w:val="00140859"/>
    <w:rsid w:val="0014086C"/>
    <w:rsid w:val="001408A1"/>
    <w:rsid w:val="001408CD"/>
    <w:rsid w:val="001408FF"/>
    <w:rsid w:val="0014090A"/>
    <w:rsid w:val="0014095D"/>
    <w:rsid w:val="00140971"/>
    <w:rsid w:val="00140998"/>
    <w:rsid w:val="001409A0"/>
    <w:rsid w:val="001409A2"/>
    <w:rsid w:val="00140A19"/>
    <w:rsid w:val="00140A39"/>
    <w:rsid w:val="00140A53"/>
    <w:rsid w:val="00140A67"/>
    <w:rsid w:val="00140A7C"/>
    <w:rsid w:val="00140AA4"/>
    <w:rsid w:val="00140B08"/>
    <w:rsid w:val="00140B12"/>
    <w:rsid w:val="00140B1F"/>
    <w:rsid w:val="00140B2C"/>
    <w:rsid w:val="00140B75"/>
    <w:rsid w:val="00140B9B"/>
    <w:rsid w:val="00140BCD"/>
    <w:rsid w:val="00140BE7"/>
    <w:rsid w:val="00140BF0"/>
    <w:rsid w:val="00140C08"/>
    <w:rsid w:val="00140C32"/>
    <w:rsid w:val="00140C54"/>
    <w:rsid w:val="00140C5D"/>
    <w:rsid w:val="00140CB7"/>
    <w:rsid w:val="00140CF8"/>
    <w:rsid w:val="00140D0D"/>
    <w:rsid w:val="00140D1F"/>
    <w:rsid w:val="00140D4C"/>
    <w:rsid w:val="00140D65"/>
    <w:rsid w:val="00140D7B"/>
    <w:rsid w:val="00140D8E"/>
    <w:rsid w:val="00140DC3"/>
    <w:rsid w:val="00140E28"/>
    <w:rsid w:val="00140E3B"/>
    <w:rsid w:val="00140EAF"/>
    <w:rsid w:val="00140EC2"/>
    <w:rsid w:val="00140EC8"/>
    <w:rsid w:val="00140F03"/>
    <w:rsid w:val="00140F15"/>
    <w:rsid w:val="00140F3E"/>
    <w:rsid w:val="00140F46"/>
    <w:rsid w:val="00140FDA"/>
    <w:rsid w:val="00141010"/>
    <w:rsid w:val="00141027"/>
    <w:rsid w:val="0014104A"/>
    <w:rsid w:val="0014105C"/>
    <w:rsid w:val="001410C0"/>
    <w:rsid w:val="001410C3"/>
    <w:rsid w:val="001410E2"/>
    <w:rsid w:val="001410E7"/>
    <w:rsid w:val="00141133"/>
    <w:rsid w:val="00141162"/>
    <w:rsid w:val="00141169"/>
    <w:rsid w:val="00141183"/>
    <w:rsid w:val="001411D0"/>
    <w:rsid w:val="001411E3"/>
    <w:rsid w:val="001412CA"/>
    <w:rsid w:val="001412D2"/>
    <w:rsid w:val="00141324"/>
    <w:rsid w:val="0014134F"/>
    <w:rsid w:val="00141398"/>
    <w:rsid w:val="001413A8"/>
    <w:rsid w:val="001413B8"/>
    <w:rsid w:val="001413C8"/>
    <w:rsid w:val="001413CC"/>
    <w:rsid w:val="00141411"/>
    <w:rsid w:val="0014141D"/>
    <w:rsid w:val="0014145B"/>
    <w:rsid w:val="00141480"/>
    <w:rsid w:val="00141486"/>
    <w:rsid w:val="001414B4"/>
    <w:rsid w:val="001414F2"/>
    <w:rsid w:val="0014150E"/>
    <w:rsid w:val="00141523"/>
    <w:rsid w:val="00141571"/>
    <w:rsid w:val="00141576"/>
    <w:rsid w:val="0014157B"/>
    <w:rsid w:val="0014158D"/>
    <w:rsid w:val="00141596"/>
    <w:rsid w:val="0014159B"/>
    <w:rsid w:val="0014163A"/>
    <w:rsid w:val="0014163F"/>
    <w:rsid w:val="00141666"/>
    <w:rsid w:val="0014166F"/>
    <w:rsid w:val="001416BC"/>
    <w:rsid w:val="001416C0"/>
    <w:rsid w:val="00141700"/>
    <w:rsid w:val="0014171A"/>
    <w:rsid w:val="00141739"/>
    <w:rsid w:val="00141760"/>
    <w:rsid w:val="00141765"/>
    <w:rsid w:val="00141786"/>
    <w:rsid w:val="001417C4"/>
    <w:rsid w:val="0014184A"/>
    <w:rsid w:val="00141852"/>
    <w:rsid w:val="0014188E"/>
    <w:rsid w:val="001418A2"/>
    <w:rsid w:val="001418DE"/>
    <w:rsid w:val="001418DF"/>
    <w:rsid w:val="001418EB"/>
    <w:rsid w:val="00141948"/>
    <w:rsid w:val="0014194A"/>
    <w:rsid w:val="00141953"/>
    <w:rsid w:val="001419D1"/>
    <w:rsid w:val="001419D3"/>
    <w:rsid w:val="00141A08"/>
    <w:rsid w:val="00141A0D"/>
    <w:rsid w:val="00141A47"/>
    <w:rsid w:val="00141A5F"/>
    <w:rsid w:val="00141A6E"/>
    <w:rsid w:val="00141A7D"/>
    <w:rsid w:val="00141A97"/>
    <w:rsid w:val="00141AA2"/>
    <w:rsid w:val="00141AA9"/>
    <w:rsid w:val="00141AC7"/>
    <w:rsid w:val="00141AE3"/>
    <w:rsid w:val="00141B17"/>
    <w:rsid w:val="00141B7D"/>
    <w:rsid w:val="00141B89"/>
    <w:rsid w:val="00141C37"/>
    <w:rsid w:val="00141C4E"/>
    <w:rsid w:val="00141C66"/>
    <w:rsid w:val="00141C86"/>
    <w:rsid w:val="00141CA8"/>
    <w:rsid w:val="00141CF4"/>
    <w:rsid w:val="00141CF7"/>
    <w:rsid w:val="00141CFF"/>
    <w:rsid w:val="00141D40"/>
    <w:rsid w:val="00141D41"/>
    <w:rsid w:val="00141D5A"/>
    <w:rsid w:val="00141DA4"/>
    <w:rsid w:val="00141DD6"/>
    <w:rsid w:val="00141DEC"/>
    <w:rsid w:val="00141DF2"/>
    <w:rsid w:val="00141E10"/>
    <w:rsid w:val="00141E27"/>
    <w:rsid w:val="00141E37"/>
    <w:rsid w:val="00141E5E"/>
    <w:rsid w:val="00141E83"/>
    <w:rsid w:val="00141E85"/>
    <w:rsid w:val="00141E87"/>
    <w:rsid w:val="00141EC3"/>
    <w:rsid w:val="00141ED0"/>
    <w:rsid w:val="00141EDD"/>
    <w:rsid w:val="00141F0C"/>
    <w:rsid w:val="00141F70"/>
    <w:rsid w:val="00141F71"/>
    <w:rsid w:val="00141FD2"/>
    <w:rsid w:val="00141FDF"/>
    <w:rsid w:val="00142024"/>
    <w:rsid w:val="0014203E"/>
    <w:rsid w:val="00142040"/>
    <w:rsid w:val="00142073"/>
    <w:rsid w:val="00142088"/>
    <w:rsid w:val="0014208F"/>
    <w:rsid w:val="001420A1"/>
    <w:rsid w:val="001420AB"/>
    <w:rsid w:val="001420CE"/>
    <w:rsid w:val="001420D8"/>
    <w:rsid w:val="001420DC"/>
    <w:rsid w:val="00142116"/>
    <w:rsid w:val="00142121"/>
    <w:rsid w:val="00142151"/>
    <w:rsid w:val="00142159"/>
    <w:rsid w:val="0014217B"/>
    <w:rsid w:val="00142182"/>
    <w:rsid w:val="00142198"/>
    <w:rsid w:val="001421BE"/>
    <w:rsid w:val="001421CA"/>
    <w:rsid w:val="001421EA"/>
    <w:rsid w:val="001421FC"/>
    <w:rsid w:val="00142210"/>
    <w:rsid w:val="00142216"/>
    <w:rsid w:val="0014223D"/>
    <w:rsid w:val="00142243"/>
    <w:rsid w:val="00142266"/>
    <w:rsid w:val="001422A8"/>
    <w:rsid w:val="001422D0"/>
    <w:rsid w:val="00142300"/>
    <w:rsid w:val="00142314"/>
    <w:rsid w:val="00142342"/>
    <w:rsid w:val="0014235B"/>
    <w:rsid w:val="00142367"/>
    <w:rsid w:val="0014237C"/>
    <w:rsid w:val="00142388"/>
    <w:rsid w:val="001423C3"/>
    <w:rsid w:val="001423C7"/>
    <w:rsid w:val="001423EB"/>
    <w:rsid w:val="001423F0"/>
    <w:rsid w:val="001423F5"/>
    <w:rsid w:val="001423F9"/>
    <w:rsid w:val="0014240F"/>
    <w:rsid w:val="00142416"/>
    <w:rsid w:val="0014245B"/>
    <w:rsid w:val="00142470"/>
    <w:rsid w:val="001424B5"/>
    <w:rsid w:val="001424B9"/>
    <w:rsid w:val="0014254F"/>
    <w:rsid w:val="0014259A"/>
    <w:rsid w:val="001425C1"/>
    <w:rsid w:val="001425F1"/>
    <w:rsid w:val="001425F4"/>
    <w:rsid w:val="00142634"/>
    <w:rsid w:val="0014263B"/>
    <w:rsid w:val="0014263E"/>
    <w:rsid w:val="0014264D"/>
    <w:rsid w:val="00142654"/>
    <w:rsid w:val="00142657"/>
    <w:rsid w:val="001426F1"/>
    <w:rsid w:val="001426F7"/>
    <w:rsid w:val="001426FB"/>
    <w:rsid w:val="00142710"/>
    <w:rsid w:val="00142780"/>
    <w:rsid w:val="001427B0"/>
    <w:rsid w:val="001427C2"/>
    <w:rsid w:val="001427D5"/>
    <w:rsid w:val="001427DD"/>
    <w:rsid w:val="00142822"/>
    <w:rsid w:val="0014284F"/>
    <w:rsid w:val="001428B2"/>
    <w:rsid w:val="001428B4"/>
    <w:rsid w:val="001428EA"/>
    <w:rsid w:val="00142908"/>
    <w:rsid w:val="0014290B"/>
    <w:rsid w:val="00142989"/>
    <w:rsid w:val="00142992"/>
    <w:rsid w:val="0014299D"/>
    <w:rsid w:val="00142A1F"/>
    <w:rsid w:val="00142A41"/>
    <w:rsid w:val="00142A89"/>
    <w:rsid w:val="00142AB2"/>
    <w:rsid w:val="00142ACA"/>
    <w:rsid w:val="00142AE1"/>
    <w:rsid w:val="00142AF1"/>
    <w:rsid w:val="00142B3D"/>
    <w:rsid w:val="00142B4C"/>
    <w:rsid w:val="00142B92"/>
    <w:rsid w:val="00142B9B"/>
    <w:rsid w:val="00142B9D"/>
    <w:rsid w:val="00142BC6"/>
    <w:rsid w:val="00142C42"/>
    <w:rsid w:val="00142CB5"/>
    <w:rsid w:val="00142CD5"/>
    <w:rsid w:val="00142CE3"/>
    <w:rsid w:val="00142D04"/>
    <w:rsid w:val="00142D18"/>
    <w:rsid w:val="00142D23"/>
    <w:rsid w:val="00142D27"/>
    <w:rsid w:val="00142D33"/>
    <w:rsid w:val="00142D3E"/>
    <w:rsid w:val="00142D82"/>
    <w:rsid w:val="00142DCE"/>
    <w:rsid w:val="00142E00"/>
    <w:rsid w:val="00142E5D"/>
    <w:rsid w:val="00142E78"/>
    <w:rsid w:val="00142E86"/>
    <w:rsid w:val="00142E94"/>
    <w:rsid w:val="00142ECE"/>
    <w:rsid w:val="00142ED4"/>
    <w:rsid w:val="00142F4D"/>
    <w:rsid w:val="00142F4F"/>
    <w:rsid w:val="00142F5B"/>
    <w:rsid w:val="00142F78"/>
    <w:rsid w:val="00142F87"/>
    <w:rsid w:val="00142FAF"/>
    <w:rsid w:val="00143013"/>
    <w:rsid w:val="00143028"/>
    <w:rsid w:val="001430D7"/>
    <w:rsid w:val="001431B6"/>
    <w:rsid w:val="001431B7"/>
    <w:rsid w:val="001431CD"/>
    <w:rsid w:val="001431EA"/>
    <w:rsid w:val="001431FE"/>
    <w:rsid w:val="001431FF"/>
    <w:rsid w:val="00143201"/>
    <w:rsid w:val="00143264"/>
    <w:rsid w:val="00143323"/>
    <w:rsid w:val="00143345"/>
    <w:rsid w:val="00143357"/>
    <w:rsid w:val="0014336A"/>
    <w:rsid w:val="00143371"/>
    <w:rsid w:val="00143375"/>
    <w:rsid w:val="001434A3"/>
    <w:rsid w:val="001434E0"/>
    <w:rsid w:val="001434E6"/>
    <w:rsid w:val="00143519"/>
    <w:rsid w:val="00143540"/>
    <w:rsid w:val="00143589"/>
    <w:rsid w:val="001435A6"/>
    <w:rsid w:val="001435D7"/>
    <w:rsid w:val="0014360C"/>
    <w:rsid w:val="0014366A"/>
    <w:rsid w:val="001436A7"/>
    <w:rsid w:val="001436F5"/>
    <w:rsid w:val="00143703"/>
    <w:rsid w:val="00143705"/>
    <w:rsid w:val="00143719"/>
    <w:rsid w:val="0014371B"/>
    <w:rsid w:val="0014373C"/>
    <w:rsid w:val="0014374D"/>
    <w:rsid w:val="0014377D"/>
    <w:rsid w:val="00143803"/>
    <w:rsid w:val="0014380C"/>
    <w:rsid w:val="0014384B"/>
    <w:rsid w:val="00143884"/>
    <w:rsid w:val="0014389D"/>
    <w:rsid w:val="00143900"/>
    <w:rsid w:val="00143922"/>
    <w:rsid w:val="0014397F"/>
    <w:rsid w:val="0014399B"/>
    <w:rsid w:val="001439B0"/>
    <w:rsid w:val="001439D7"/>
    <w:rsid w:val="001439D8"/>
    <w:rsid w:val="001439DC"/>
    <w:rsid w:val="001439E8"/>
    <w:rsid w:val="00143A87"/>
    <w:rsid w:val="00143A91"/>
    <w:rsid w:val="00143B9F"/>
    <w:rsid w:val="00143BF8"/>
    <w:rsid w:val="00143C02"/>
    <w:rsid w:val="00143C05"/>
    <w:rsid w:val="00143C2E"/>
    <w:rsid w:val="00143C3D"/>
    <w:rsid w:val="00143C61"/>
    <w:rsid w:val="00143CC7"/>
    <w:rsid w:val="00143D01"/>
    <w:rsid w:val="00143D22"/>
    <w:rsid w:val="00143D3E"/>
    <w:rsid w:val="00143D8A"/>
    <w:rsid w:val="00143D8D"/>
    <w:rsid w:val="00143D99"/>
    <w:rsid w:val="00143E11"/>
    <w:rsid w:val="00143E90"/>
    <w:rsid w:val="00143E9D"/>
    <w:rsid w:val="00143EA4"/>
    <w:rsid w:val="00143EBB"/>
    <w:rsid w:val="00143ED9"/>
    <w:rsid w:val="00143F49"/>
    <w:rsid w:val="00143FB4"/>
    <w:rsid w:val="00143FC1"/>
    <w:rsid w:val="00143FD7"/>
    <w:rsid w:val="00143FF4"/>
    <w:rsid w:val="00144008"/>
    <w:rsid w:val="00144040"/>
    <w:rsid w:val="0014405C"/>
    <w:rsid w:val="00144072"/>
    <w:rsid w:val="0014407E"/>
    <w:rsid w:val="001440A2"/>
    <w:rsid w:val="001440AC"/>
    <w:rsid w:val="001440D5"/>
    <w:rsid w:val="001440FB"/>
    <w:rsid w:val="001440FF"/>
    <w:rsid w:val="00144118"/>
    <w:rsid w:val="001441AA"/>
    <w:rsid w:val="001441AD"/>
    <w:rsid w:val="001441B6"/>
    <w:rsid w:val="001441CB"/>
    <w:rsid w:val="001441ED"/>
    <w:rsid w:val="00144201"/>
    <w:rsid w:val="0014420A"/>
    <w:rsid w:val="00144223"/>
    <w:rsid w:val="0014423E"/>
    <w:rsid w:val="00144251"/>
    <w:rsid w:val="001442DE"/>
    <w:rsid w:val="001442E6"/>
    <w:rsid w:val="0014430F"/>
    <w:rsid w:val="0014434E"/>
    <w:rsid w:val="001443ED"/>
    <w:rsid w:val="0014441E"/>
    <w:rsid w:val="00144423"/>
    <w:rsid w:val="0014442E"/>
    <w:rsid w:val="00144443"/>
    <w:rsid w:val="00144473"/>
    <w:rsid w:val="0014448C"/>
    <w:rsid w:val="001444CE"/>
    <w:rsid w:val="00144542"/>
    <w:rsid w:val="001445CE"/>
    <w:rsid w:val="001445D1"/>
    <w:rsid w:val="00144600"/>
    <w:rsid w:val="00144609"/>
    <w:rsid w:val="0014467C"/>
    <w:rsid w:val="001446A6"/>
    <w:rsid w:val="001446B8"/>
    <w:rsid w:val="001446C2"/>
    <w:rsid w:val="001446F1"/>
    <w:rsid w:val="001446F9"/>
    <w:rsid w:val="00144734"/>
    <w:rsid w:val="00144762"/>
    <w:rsid w:val="0014476C"/>
    <w:rsid w:val="001447A5"/>
    <w:rsid w:val="001447D7"/>
    <w:rsid w:val="001447FE"/>
    <w:rsid w:val="00144840"/>
    <w:rsid w:val="0014484B"/>
    <w:rsid w:val="0014489C"/>
    <w:rsid w:val="001448A8"/>
    <w:rsid w:val="00144955"/>
    <w:rsid w:val="00144968"/>
    <w:rsid w:val="0014497F"/>
    <w:rsid w:val="001449A5"/>
    <w:rsid w:val="001449B9"/>
    <w:rsid w:val="00144A24"/>
    <w:rsid w:val="00144A80"/>
    <w:rsid w:val="00144B3F"/>
    <w:rsid w:val="00144B44"/>
    <w:rsid w:val="00144B56"/>
    <w:rsid w:val="00144B6E"/>
    <w:rsid w:val="00144B7F"/>
    <w:rsid w:val="00144B84"/>
    <w:rsid w:val="00144BC6"/>
    <w:rsid w:val="00144BDE"/>
    <w:rsid w:val="00144BFC"/>
    <w:rsid w:val="00144C0B"/>
    <w:rsid w:val="00144C2E"/>
    <w:rsid w:val="00144C8F"/>
    <w:rsid w:val="00144CA5"/>
    <w:rsid w:val="00144CAC"/>
    <w:rsid w:val="00144CB2"/>
    <w:rsid w:val="00144CD6"/>
    <w:rsid w:val="00144CDD"/>
    <w:rsid w:val="00144CF2"/>
    <w:rsid w:val="00144DB6"/>
    <w:rsid w:val="00144DEF"/>
    <w:rsid w:val="00144E98"/>
    <w:rsid w:val="00144ECD"/>
    <w:rsid w:val="00144EE2"/>
    <w:rsid w:val="00144EFF"/>
    <w:rsid w:val="00144F05"/>
    <w:rsid w:val="00144F1D"/>
    <w:rsid w:val="00144F45"/>
    <w:rsid w:val="00144F56"/>
    <w:rsid w:val="00144F5D"/>
    <w:rsid w:val="00144F66"/>
    <w:rsid w:val="00144F68"/>
    <w:rsid w:val="00144F90"/>
    <w:rsid w:val="00144FDC"/>
    <w:rsid w:val="00144FE8"/>
    <w:rsid w:val="00145033"/>
    <w:rsid w:val="00145041"/>
    <w:rsid w:val="00145044"/>
    <w:rsid w:val="00145060"/>
    <w:rsid w:val="0014506B"/>
    <w:rsid w:val="001450CB"/>
    <w:rsid w:val="0014510A"/>
    <w:rsid w:val="0014514A"/>
    <w:rsid w:val="00145157"/>
    <w:rsid w:val="0014515D"/>
    <w:rsid w:val="00145169"/>
    <w:rsid w:val="0014516F"/>
    <w:rsid w:val="00145184"/>
    <w:rsid w:val="00145192"/>
    <w:rsid w:val="0014519F"/>
    <w:rsid w:val="0014520A"/>
    <w:rsid w:val="001452AC"/>
    <w:rsid w:val="001452B7"/>
    <w:rsid w:val="001452C5"/>
    <w:rsid w:val="0014532E"/>
    <w:rsid w:val="0014533F"/>
    <w:rsid w:val="00145356"/>
    <w:rsid w:val="0014536E"/>
    <w:rsid w:val="001453A3"/>
    <w:rsid w:val="001453B7"/>
    <w:rsid w:val="001453FA"/>
    <w:rsid w:val="001453FD"/>
    <w:rsid w:val="00145477"/>
    <w:rsid w:val="0014549B"/>
    <w:rsid w:val="001454A8"/>
    <w:rsid w:val="001454B6"/>
    <w:rsid w:val="001454D3"/>
    <w:rsid w:val="001454E8"/>
    <w:rsid w:val="00145500"/>
    <w:rsid w:val="0014550A"/>
    <w:rsid w:val="0014550B"/>
    <w:rsid w:val="00145552"/>
    <w:rsid w:val="00145563"/>
    <w:rsid w:val="00145588"/>
    <w:rsid w:val="0014558D"/>
    <w:rsid w:val="001455F3"/>
    <w:rsid w:val="00145620"/>
    <w:rsid w:val="00145634"/>
    <w:rsid w:val="00145656"/>
    <w:rsid w:val="001456C1"/>
    <w:rsid w:val="0014570E"/>
    <w:rsid w:val="0014571B"/>
    <w:rsid w:val="00145767"/>
    <w:rsid w:val="001457DE"/>
    <w:rsid w:val="00145839"/>
    <w:rsid w:val="00145878"/>
    <w:rsid w:val="001458A2"/>
    <w:rsid w:val="001458A8"/>
    <w:rsid w:val="001458AB"/>
    <w:rsid w:val="00145908"/>
    <w:rsid w:val="00145963"/>
    <w:rsid w:val="001459A7"/>
    <w:rsid w:val="001459D0"/>
    <w:rsid w:val="001459E1"/>
    <w:rsid w:val="001459EC"/>
    <w:rsid w:val="00145A32"/>
    <w:rsid w:val="00145A39"/>
    <w:rsid w:val="00145AAF"/>
    <w:rsid w:val="00145AE4"/>
    <w:rsid w:val="00145B0C"/>
    <w:rsid w:val="00145B11"/>
    <w:rsid w:val="00145B3A"/>
    <w:rsid w:val="00145B5E"/>
    <w:rsid w:val="00145B67"/>
    <w:rsid w:val="00145BA3"/>
    <w:rsid w:val="00145C13"/>
    <w:rsid w:val="00145C49"/>
    <w:rsid w:val="00145C65"/>
    <w:rsid w:val="00145CCD"/>
    <w:rsid w:val="00145CD1"/>
    <w:rsid w:val="00145CFD"/>
    <w:rsid w:val="00145D14"/>
    <w:rsid w:val="00145D4F"/>
    <w:rsid w:val="00145D78"/>
    <w:rsid w:val="00145E04"/>
    <w:rsid w:val="00145E24"/>
    <w:rsid w:val="00145E2C"/>
    <w:rsid w:val="00145E4F"/>
    <w:rsid w:val="00145E6F"/>
    <w:rsid w:val="00145E72"/>
    <w:rsid w:val="00145E74"/>
    <w:rsid w:val="00145EAC"/>
    <w:rsid w:val="00145EB7"/>
    <w:rsid w:val="00145F3B"/>
    <w:rsid w:val="00145F4D"/>
    <w:rsid w:val="00145F85"/>
    <w:rsid w:val="00145F9C"/>
    <w:rsid w:val="00146002"/>
    <w:rsid w:val="0014601A"/>
    <w:rsid w:val="0014609A"/>
    <w:rsid w:val="001460E5"/>
    <w:rsid w:val="001460E8"/>
    <w:rsid w:val="00146109"/>
    <w:rsid w:val="00146112"/>
    <w:rsid w:val="00146119"/>
    <w:rsid w:val="0014611C"/>
    <w:rsid w:val="001461C4"/>
    <w:rsid w:val="0014620D"/>
    <w:rsid w:val="00146210"/>
    <w:rsid w:val="001462AA"/>
    <w:rsid w:val="001462CC"/>
    <w:rsid w:val="001462CD"/>
    <w:rsid w:val="00146307"/>
    <w:rsid w:val="00146341"/>
    <w:rsid w:val="00146379"/>
    <w:rsid w:val="001463A0"/>
    <w:rsid w:val="001463BC"/>
    <w:rsid w:val="00146407"/>
    <w:rsid w:val="00146416"/>
    <w:rsid w:val="00146495"/>
    <w:rsid w:val="001464B3"/>
    <w:rsid w:val="001464B8"/>
    <w:rsid w:val="001464C5"/>
    <w:rsid w:val="001464C7"/>
    <w:rsid w:val="00146512"/>
    <w:rsid w:val="0014652A"/>
    <w:rsid w:val="0014654C"/>
    <w:rsid w:val="00146589"/>
    <w:rsid w:val="001465A2"/>
    <w:rsid w:val="0014664D"/>
    <w:rsid w:val="00146655"/>
    <w:rsid w:val="00146667"/>
    <w:rsid w:val="00146670"/>
    <w:rsid w:val="0014668B"/>
    <w:rsid w:val="001466DB"/>
    <w:rsid w:val="001466E6"/>
    <w:rsid w:val="001466E7"/>
    <w:rsid w:val="001466F4"/>
    <w:rsid w:val="00146719"/>
    <w:rsid w:val="00146752"/>
    <w:rsid w:val="00146767"/>
    <w:rsid w:val="00146778"/>
    <w:rsid w:val="00146790"/>
    <w:rsid w:val="00146793"/>
    <w:rsid w:val="0014679E"/>
    <w:rsid w:val="001467A4"/>
    <w:rsid w:val="001467CF"/>
    <w:rsid w:val="001467DA"/>
    <w:rsid w:val="00146820"/>
    <w:rsid w:val="0014683C"/>
    <w:rsid w:val="00146851"/>
    <w:rsid w:val="00146869"/>
    <w:rsid w:val="001468B3"/>
    <w:rsid w:val="001468B7"/>
    <w:rsid w:val="001468D2"/>
    <w:rsid w:val="001468EB"/>
    <w:rsid w:val="001468EE"/>
    <w:rsid w:val="001468F8"/>
    <w:rsid w:val="00146923"/>
    <w:rsid w:val="0014693A"/>
    <w:rsid w:val="0014694B"/>
    <w:rsid w:val="00146953"/>
    <w:rsid w:val="00146958"/>
    <w:rsid w:val="0014697D"/>
    <w:rsid w:val="00146995"/>
    <w:rsid w:val="001469DD"/>
    <w:rsid w:val="001469F3"/>
    <w:rsid w:val="00146A04"/>
    <w:rsid w:val="00146A0C"/>
    <w:rsid w:val="00146A4B"/>
    <w:rsid w:val="00146A62"/>
    <w:rsid w:val="00146A6E"/>
    <w:rsid w:val="00146A77"/>
    <w:rsid w:val="00146AAF"/>
    <w:rsid w:val="00146AB1"/>
    <w:rsid w:val="00146B1E"/>
    <w:rsid w:val="00146B27"/>
    <w:rsid w:val="00146B2B"/>
    <w:rsid w:val="00146B39"/>
    <w:rsid w:val="00146B52"/>
    <w:rsid w:val="00146B6E"/>
    <w:rsid w:val="00146B70"/>
    <w:rsid w:val="00146B8A"/>
    <w:rsid w:val="00146B9E"/>
    <w:rsid w:val="00146BBC"/>
    <w:rsid w:val="00146BC7"/>
    <w:rsid w:val="00146BD0"/>
    <w:rsid w:val="00146BE1"/>
    <w:rsid w:val="00146BFD"/>
    <w:rsid w:val="00146C34"/>
    <w:rsid w:val="00146C4D"/>
    <w:rsid w:val="00146C83"/>
    <w:rsid w:val="00146CD7"/>
    <w:rsid w:val="00146D1B"/>
    <w:rsid w:val="00146D30"/>
    <w:rsid w:val="00146D92"/>
    <w:rsid w:val="00146D97"/>
    <w:rsid w:val="00146DAE"/>
    <w:rsid w:val="00146DC4"/>
    <w:rsid w:val="00146E48"/>
    <w:rsid w:val="00146E80"/>
    <w:rsid w:val="00146E96"/>
    <w:rsid w:val="00146EB8"/>
    <w:rsid w:val="00146ED9"/>
    <w:rsid w:val="00146F0D"/>
    <w:rsid w:val="00146F25"/>
    <w:rsid w:val="00146F44"/>
    <w:rsid w:val="00146F49"/>
    <w:rsid w:val="00146F8F"/>
    <w:rsid w:val="00146F96"/>
    <w:rsid w:val="00146FCF"/>
    <w:rsid w:val="00146FED"/>
    <w:rsid w:val="0014702C"/>
    <w:rsid w:val="00147039"/>
    <w:rsid w:val="001470CC"/>
    <w:rsid w:val="001470D4"/>
    <w:rsid w:val="001470D9"/>
    <w:rsid w:val="001470E1"/>
    <w:rsid w:val="001470F6"/>
    <w:rsid w:val="0014710A"/>
    <w:rsid w:val="00147185"/>
    <w:rsid w:val="001471DE"/>
    <w:rsid w:val="001471E0"/>
    <w:rsid w:val="001471E7"/>
    <w:rsid w:val="00147254"/>
    <w:rsid w:val="00147264"/>
    <w:rsid w:val="0014726A"/>
    <w:rsid w:val="00147276"/>
    <w:rsid w:val="00147288"/>
    <w:rsid w:val="00147289"/>
    <w:rsid w:val="00147295"/>
    <w:rsid w:val="001472D1"/>
    <w:rsid w:val="00147356"/>
    <w:rsid w:val="0014738B"/>
    <w:rsid w:val="001473F4"/>
    <w:rsid w:val="0014744F"/>
    <w:rsid w:val="00147481"/>
    <w:rsid w:val="0014748C"/>
    <w:rsid w:val="0014749A"/>
    <w:rsid w:val="001474A5"/>
    <w:rsid w:val="001474AD"/>
    <w:rsid w:val="001474BA"/>
    <w:rsid w:val="001474BF"/>
    <w:rsid w:val="00147545"/>
    <w:rsid w:val="0014758A"/>
    <w:rsid w:val="00147597"/>
    <w:rsid w:val="001475FB"/>
    <w:rsid w:val="0014760C"/>
    <w:rsid w:val="00147638"/>
    <w:rsid w:val="00147691"/>
    <w:rsid w:val="0014769C"/>
    <w:rsid w:val="001476A8"/>
    <w:rsid w:val="001476C4"/>
    <w:rsid w:val="001476D3"/>
    <w:rsid w:val="001476E4"/>
    <w:rsid w:val="0014771D"/>
    <w:rsid w:val="0014773C"/>
    <w:rsid w:val="00147741"/>
    <w:rsid w:val="00147748"/>
    <w:rsid w:val="001477A5"/>
    <w:rsid w:val="001477F2"/>
    <w:rsid w:val="0014781C"/>
    <w:rsid w:val="00147878"/>
    <w:rsid w:val="00147955"/>
    <w:rsid w:val="00147992"/>
    <w:rsid w:val="0014799E"/>
    <w:rsid w:val="001479BB"/>
    <w:rsid w:val="00147A03"/>
    <w:rsid w:val="00147A05"/>
    <w:rsid w:val="00147A18"/>
    <w:rsid w:val="00147A7A"/>
    <w:rsid w:val="00147A9E"/>
    <w:rsid w:val="00147ABD"/>
    <w:rsid w:val="00147B23"/>
    <w:rsid w:val="00147B26"/>
    <w:rsid w:val="00147B6E"/>
    <w:rsid w:val="00147B92"/>
    <w:rsid w:val="00147BDF"/>
    <w:rsid w:val="00147C10"/>
    <w:rsid w:val="00147C17"/>
    <w:rsid w:val="00147C1F"/>
    <w:rsid w:val="00147C42"/>
    <w:rsid w:val="00147C45"/>
    <w:rsid w:val="00147C64"/>
    <w:rsid w:val="00147C72"/>
    <w:rsid w:val="00147C7E"/>
    <w:rsid w:val="00147C96"/>
    <w:rsid w:val="00147CB3"/>
    <w:rsid w:val="00147CB9"/>
    <w:rsid w:val="00147CF4"/>
    <w:rsid w:val="00147CF8"/>
    <w:rsid w:val="00147D1E"/>
    <w:rsid w:val="00147D23"/>
    <w:rsid w:val="00147D51"/>
    <w:rsid w:val="00147D73"/>
    <w:rsid w:val="00147DA3"/>
    <w:rsid w:val="00147DAE"/>
    <w:rsid w:val="00147DFF"/>
    <w:rsid w:val="00147E14"/>
    <w:rsid w:val="00147E37"/>
    <w:rsid w:val="00147E65"/>
    <w:rsid w:val="00147E7C"/>
    <w:rsid w:val="00147E84"/>
    <w:rsid w:val="00147EED"/>
    <w:rsid w:val="00147F11"/>
    <w:rsid w:val="00147F30"/>
    <w:rsid w:val="00147F62"/>
    <w:rsid w:val="00147F8A"/>
    <w:rsid w:val="001492E9"/>
    <w:rsid w:val="0014CB7E"/>
    <w:rsid w:val="0014FD65"/>
    <w:rsid w:val="00150013"/>
    <w:rsid w:val="00150037"/>
    <w:rsid w:val="0015003A"/>
    <w:rsid w:val="0015005E"/>
    <w:rsid w:val="0015008A"/>
    <w:rsid w:val="00150091"/>
    <w:rsid w:val="00150096"/>
    <w:rsid w:val="001500CF"/>
    <w:rsid w:val="001500F1"/>
    <w:rsid w:val="001500FF"/>
    <w:rsid w:val="00150140"/>
    <w:rsid w:val="0015015B"/>
    <w:rsid w:val="00150161"/>
    <w:rsid w:val="001501A5"/>
    <w:rsid w:val="001501B2"/>
    <w:rsid w:val="001501CA"/>
    <w:rsid w:val="001501E9"/>
    <w:rsid w:val="00150210"/>
    <w:rsid w:val="00150252"/>
    <w:rsid w:val="001502D8"/>
    <w:rsid w:val="001502F4"/>
    <w:rsid w:val="00150317"/>
    <w:rsid w:val="00150375"/>
    <w:rsid w:val="0015039A"/>
    <w:rsid w:val="0015040E"/>
    <w:rsid w:val="00150418"/>
    <w:rsid w:val="0015041D"/>
    <w:rsid w:val="0015044A"/>
    <w:rsid w:val="0015048D"/>
    <w:rsid w:val="001504A2"/>
    <w:rsid w:val="001504CD"/>
    <w:rsid w:val="0015053C"/>
    <w:rsid w:val="0015054D"/>
    <w:rsid w:val="001505AC"/>
    <w:rsid w:val="001505E9"/>
    <w:rsid w:val="001505FB"/>
    <w:rsid w:val="0015065C"/>
    <w:rsid w:val="00150667"/>
    <w:rsid w:val="001506C6"/>
    <w:rsid w:val="001506D0"/>
    <w:rsid w:val="00150714"/>
    <w:rsid w:val="00150789"/>
    <w:rsid w:val="0015078E"/>
    <w:rsid w:val="001507AE"/>
    <w:rsid w:val="001507C9"/>
    <w:rsid w:val="001507D6"/>
    <w:rsid w:val="001507F4"/>
    <w:rsid w:val="00150815"/>
    <w:rsid w:val="0015081F"/>
    <w:rsid w:val="0015085A"/>
    <w:rsid w:val="0015087A"/>
    <w:rsid w:val="001508AE"/>
    <w:rsid w:val="001508BA"/>
    <w:rsid w:val="001508C2"/>
    <w:rsid w:val="00150944"/>
    <w:rsid w:val="001509D1"/>
    <w:rsid w:val="00150A63"/>
    <w:rsid w:val="00150A98"/>
    <w:rsid w:val="00150AB0"/>
    <w:rsid w:val="00150AD9"/>
    <w:rsid w:val="00150AF5"/>
    <w:rsid w:val="00150B1D"/>
    <w:rsid w:val="00150B9A"/>
    <w:rsid w:val="00150BC1"/>
    <w:rsid w:val="00150BE0"/>
    <w:rsid w:val="00150BE1"/>
    <w:rsid w:val="00150C20"/>
    <w:rsid w:val="00150C74"/>
    <w:rsid w:val="00150C75"/>
    <w:rsid w:val="00150CFB"/>
    <w:rsid w:val="00150D30"/>
    <w:rsid w:val="00150D6E"/>
    <w:rsid w:val="00150D76"/>
    <w:rsid w:val="00150D97"/>
    <w:rsid w:val="00150D9E"/>
    <w:rsid w:val="00150E01"/>
    <w:rsid w:val="00150E10"/>
    <w:rsid w:val="00150E19"/>
    <w:rsid w:val="00150E37"/>
    <w:rsid w:val="00150E46"/>
    <w:rsid w:val="00150E51"/>
    <w:rsid w:val="00150E53"/>
    <w:rsid w:val="00150E7C"/>
    <w:rsid w:val="00150E82"/>
    <w:rsid w:val="00150F16"/>
    <w:rsid w:val="00150F20"/>
    <w:rsid w:val="00150F48"/>
    <w:rsid w:val="00150F59"/>
    <w:rsid w:val="00150F63"/>
    <w:rsid w:val="00150FEE"/>
    <w:rsid w:val="00151005"/>
    <w:rsid w:val="00151015"/>
    <w:rsid w:val="00151048"/>
    <w:rsid w:val="00151054"/>
    <w:rsid w:val="0015107D"/>
    <w:rsid w:val="001510B2"/>
    <w:rsid w:val="001510BC"/>
    <w:rsid w:val="00151153"/>
    <w:rsid w:val="001511A3"/>
    <w:rsid w:val="001511AF"/>
    <w:rsid w:val="001511B0"/>
    <w:rsid w:val="001511CF"/>
    <w:rsid w:val="001511D0"/>
    <w:rsid w:val="001511D3"/>
    <w:rsid w:val="001511FC"/>
    <w:rsid w:val="0015120D"/>
    <w:rsid w:val="00151226"/>
    <w:rsid w:val="00151269"/>
    <w:rsid w:val="00151286"/>
    <w:rsid w:val="001512D8"/>
    <w:rsid w:val="001512DB"/>
    <w:rsid w:val="001512FC"/>
    <w:rsid w:val="0015133B"/>
    <w:rsid w:val="00151362"/>
    <w:rsid w:val="00151381"/>
    <w:rsid w:val="001513A5"/>
    <w:rsid w:val="001513AD"/>
    <w:rsid w:val="001513EF"/>
    <w:rsid w:val="00151433"/>
    <w:rsid w:val="00151446"/>
    <w:rsid w:val="00151465"/>
    <w:rsid w:val="001514CD"/>
    <w:rsid w:val="001514E3"/>
    <w:rsid w:val="00151538"/>
    <w:rsid w:val="00151549"/>
    <w:rsid w:val="00151555"/>
    <w:rsid w:val="00151595"/>
    <w:rsid w:val="001515E4"/>
    <w:rsid w:val="0015165E"/>
    <w:rsid w:val="00151683"/>
    <w:rsid w:val="001516DA"/>
    <w:rsid w:val="001516F2"/>
    <w:rsid w:val="0015172C"/>
    <w:rsid w:val="00151762"/>
    <w:rsid w:val="00151791"/>
    <w:rsid w:val="0015179B"/>
    <w:rsid w:val="001517B0"/>
    <w:rsid w:val="001517BC"/>
    <w:rsid w:val="001517E8"/>
    <w:rsid w:val="00151820"/>
    <w:rsid w:val="0015183E"/>
    <w:rsid w:val="00151851"/>
    <w:rsid w:val="00151856"/>
    <w:rsid w:val="0015187E"/>
    <w:rsid w:val="001518F3"/>
    <w:rsid w:val="001518FA"/>
    <w:rsid w:val="00151909"/>
    <w:rsid w:val="0015192C"/>
    <w:rsid w:val="0015195A"/>
    <w:rsid w:val="00151983"/>
    <w:rsid w:val="00151992"/>
    <w:rsid w:val="001519AF"/>
    <w:rsid w:val="00151A1D"/>
    <w:rsid w:val="00151A60"/>
    <w:rsid w:val="00151AA2"/>
    <w:rsid w:val="00151AC7"/>
    <w:rsid w:val="00151ACB"/>
    <w:rsid w:val="00151AD6"/>
    <w:rsid w:val="00151AEF"/>
    <w:rsid w:val="00151B80"/>
    <w:rsid w:val="00151BA4"/>
    <w:rsid w:val="00151BA9"/>
    <w:rsid w:val="00151C3F"/>
    <w:rsid w:val="00151C7F"/>
    <w:rsid w:val="00151C82"/>
    <w:rsid w:val="00151C9D"/>
    <w:rsid w:val="00151D0D"/>
    <w:rsid w:val="00151D21"/>
    <w:rsid w:val="00151D5A"/>
    <w:rsid w:val="00151D8F"/>
    <w:rsid w:val="00151DC7"/>
    <w:rsid w:val="00151DE1"/>
    <w:rsid w:val="00151DE2"/>
    <w:rsid w:val="00151DEA"/>
    <w:rsid w:val="00151DEF"/>
    <w:rsid w:val="00151E06"/>
    <w:rsid w:val="00151E1E"/>
    <w:rsid w:val="00151E3D"/>
    <w:rsid w:val="00151E60"/>
    <w:rsid w:val="00151EAB"/>
    <w:rsid w:val="00151EAC"/>
    <w:rsid w:val="00151EBB"/>
    <w:rsid w:val="00151ED8"/>
    <w:rsid w:val="00151EE2"/>
    <w:rsid w:val="00151EE4"/>
    <w:rsid w:val="00151EEF"/>
    <w:rsid w:val="00151F04"/>
    <w:rsid w:val="00151F13"/>
    <w:rsid w:val="00151F23"/>
    <w:rsid w:val="00151F52"/>
    <w:rsid w:val="00151F78"/>
    <w:rsid w:val="00151FA3"/>
    <w:rsid w:val="00151FCA"/>
    <w:rsid w:val="00151FCD"/>
    <w:rsid w:val="00151FEB"/>
    <w:rsid w:val="00152003"/>
    <w:rsid w:val="0015200A"/>
    <w:rsid w:val="0015201E"/>
    <w:rsid w:val="00152025"/>
    <w:rsid w:val="00152069"/>
    <w:rsid w:val="00152097"/>
    <w:rsid w:val="001520D2"/>
    <w:rsid w:val="0015212D"/>
    <w:rsid w:val="00152195"/>
    <w:rsid w:val="00152199"/>
    <w:rsid w:val="001521AE"/>
    <w:rsid w:val="001521F7"/>
    <w:rsid w:val="001521FB"/>
    <w:rsid w:val="00152217"/>
    <w:rsid w:val="00152273"/>
    <w:rsid w:val="0015228D"/>
    <w:rsid w:val="0015229F"/>
    <w:rsid w:val="001522C5"/>
    <w:rsid w:val="001522CD"/>
    <w:rsid w:val="001522F1"/>
    <w:rsid w:val="00152347"/>
    <w:rsid w:val="0015236E"/>
    <w:rsid w:val="0015236F"/>
    <w:rsid w:val="00152376"/>
    <w:rsid w:val="001523C9"/>
    <w:rsid w:val="00152405"/>
    <w:rsid w:val="00152415"/>
    <w:rsid w:val="00152451"/>
    <w:rsid w:val="00152463"/>
    <w:rsid w:val="00152468"/>
    <w:rsid w:val="0015248A"/>
    <w:rsid w:val="001524AC"/>
    <w:rsid w:val="001524DB"/>
    <w:rsid w:val="001524F4"/>
    <w:rsid w:val="00152522"/>
    <w:rsid w:val="00152529"/>
    <w:rsid w:val="00152577"/>
    <w:rsid w:val="001525B8"/>
    <w:rsid w:val="001525C3"/>
    <w:rsid w:val="001525D1"/>
    <w:rsid w:val="001525D9"/>
    <w:rsid w:val="001525EE"/>
    <w:rsid w:val="00152610"/>
    <w:rsid w:val="001526FB"/>
    <w:rsid w:val="0015275D"/>
    <w:rsid w:val="00152766"/>
    <w:rsid w:val="001527D3"/>
    <w:rsid w:val="0015281A"/>
    <w:rsid w:val="0015283D"/>
    <w:rsid w:val="0015285B"/>
    <w:rsid w:val="00152868"/>
    <w:rsid w:val="00152876"/>
    <w:rsid w:val="0015288D"/>
    <w:rsid w:val="00152894"/>
    <w:rsid w:val="001528B5"/>
    <w:rsid w:val="001528E1"/>
    <w:rsid w:val="00152909"/>
    <w:rsid w:val="00152924"/>
    <w:rsid w:val="00152937"/>
    <w:rsid w:val="0015294B"/>
    <w:rsid w:val="00152A38"/>
    <w:rsid w:val="00152A64"/>
    <w:rsid w:val="00152A6C"/>
    <w:rsid w:val="00152A91"/>
    <w:rsid w:val="00152A98"/>
    <w:rsid w:val="00152AA6"/>
    <w:rsid w:val="00152AA9"/>
    <w:rsid w:val="00152ABF"/>
    <w:rsid w:val="00152ACB"/>
    <w:rsid w:val="00152B39"/>
    <w:rsid w:val="00152B54"/>
    <w:rsid w:val="00152B80"/>
    <w:rsid w:val="00152B99"/>
    <w:rsid w:val="00152BA7"/>
    <w:rsid w:val="00152BAA"/>
    <w:rsid w:val="00152C1B"/>
    <w:rsid w:val="00152C28"/>
    <w:rsid w:val="00152C59"/>
    <w:rsid w:val="00152C71"/>
    <w:rsid w:val="00152C74"/>
    <w:rsid w:val="00152C75"/>
    <w:rsid w:val="00152C7B"/>
    <w:rsid w:val="00152C85"/>
    <w:rsid w:val="00152C91"/>
    <w:rsid w:val="00152CA7"/>
    <w:rsid w:val="00152CA9"/>
    <w:rsid w:val="00152CAF"/>
    <w:rsid w:val="00152D02"/>
    <w:rsid w:val="00152D75"/>
    <w:rsid w:val="00152D92"/>
    <w:rsid w:val="00152DCE"/>
    <w:rsid w:val="00152DE3"/>
    <w:rsid w:val="00152E13"/>
    <w:rsid w:val="00152E64"/>
    <w:rsid w:val="00152E78"/>
    <w:rsid w:val="00152EAB"/>
    <w:rsid w:val="00152EC6"/>
    <w:rsid w:val="00152EED"/>
    <w:rsid w:val="00152EF7"/>
    <w:rsid w:val="00152F0C"/>
    <w:rsid w:val="00152F24"/>
    <w:rsid w:val="00152F46"/>
    <w:rsid w:val="00152F49"/>
    <w:rsid w:val="00152F4B"/>
    <w:rsid w:val="00152F77"/>
    <w:rsid w:val="00152F95"/>
    <w:rsid w:val="00152FB1"/>
    <w:rsid w:val="00152FC8"/>
    <w:rsid w:val="00152FE3"/>
    <w:rsid w:val="00152FF5"/>
    <w:rsid w:val="0015303F"/>
    <w:rsid w:val="00153044"/>
    <w:rsid w:val="00153051"/>
    <w:rsid w:val="001530A0"/>
    <w:rsid w:val="001530C3"/>
    <w:rsid w:val="001530C6"/>
    <w:rsid w:val="00153100"/>
    <w:rsid w:val="00153103"/>
    <w:rsid w:val="00153128"/>
    <w:rsid w:val="00153144"/>
    <w:rsid w:val="0015314C"/>
    <w:rsid w:val="00153169"/>
    <w:rsid w:val="00153179"/>
    <w:rsid w:val="00153196"/>
    <w:rsid w:val="001531B0"/>
    <w:rsid w:val="00153209"/>
    <w:rsid w:val="00153227"/>
    <w:rsid w:val="00153245"/>
    <w:rsid w:val="0015327D"/>
    <w:rsid w:val="0015328C"/>
    <w:rsid w:val="0015329F"/>
    <w:rsid w:val="00153320"/>
    <w:rsid w:val="00153394"/>
    <w:rsid w:val="00153398"/>
    <w:rsid w:val="0015339C"/>
    <w:rsid w:val="001533C1"/>
    <w:rsid w:val="001533D7"/>
    <w:rsid w:val="001533EE"/>
    <w:rsid w:val="00153407"/>
    <w:rsid w:val="00153416"/>
    <w:rsid w:val="00153425"/>
    <w:rsid w:val="00153426"/>
    <w:rsid w:val="00153432"/>
    <w:rsid w:val="00153436"/>
    <w:rsid w:val="00153443"/>
    <w:rsid w:val="00153477"/>
    <w:rsid w:val="00153483"/>
    <w:rsid w:val="00153490"/>
    <w:rsid w:val="001534B2"/>
    <w:rsid w:val="001534CB"/>
    <w:rsid w:val="00153579"/>
    <w:rsid w:val="001535F5"/>
    <w:rsid w:val="0015362D"/>
    <w:rsid w:val="0015362E"/>
    <w:rsid w:val="00153689"/>
    <w:rsid w:val="001536DC"/>
    <w:rsid w:val="001536ED"/>
    <w:rsid w:val="001536F6"/>
    <w:rsid w:val="001536F8"/>
    <w:rsid w:val="001536FB"/>
    <w:rsid w:val="00153709"/>
    <w:rsid w:val="0015370F"/>
    <w:rsid w:val="0015374A"/>
    <w:rsid w:val="00153777"/>
    <w:rsid w:val="0015379D"/>
    <w:rsid w:val="00153800"/>
    <w:rsid w:val="0015380A"/>
    <w:rsid w:val="00153812"/>
    <w:rsid w:val="00153822"/>
    <w:rsid w:val="00153872"/>
    <w:rsid w:val="00153887"/>
    <w:rsid w:val="00153897"/>
    <w:rsid w:val="001538AB"/>
    <w:rsid w:val="001538D0"/>
    <w:rsid w:val="001538FE"/>
    <w:rsid w:val="00153951"/>
    <w:rsid w:val="0015398B"/>
    <w:rsid w:val="001539F5"/>
    <w:rsid w:val="00153A2A"/>
    <w:rsid w:val="00153A63"/>
    <w:rsid w:val="00153AC5"/>
    <w:rsid w:val="00153B2B"/>
    <w:rsid w:val="00153B2C"/>
    <w:rsid w:val="00153B38"/>
    <w:rsid w:val="00153B39"/>
    <w:rsid w:val="00153B5A"/>
    <w:rsid w:val="00153B6D"/>
    <w:rsid w:val="00153B8D"/>
    <w:rsid w:val="00153B97"/>
    <w:rsid w:val="00153BCA"/>
    <w:rsid w:val="00153C05"/>
    <w:rsid w:val="00153C12"/>
    <w:rsid w:val="00153C1E"/>
    <w:rsid w:val="00153C1F"/>
    <w:rsid w:val="00153CA5"/>
    <w:rsid w:val="00153CA8"/>
    <w:rsid w:val="00153D7C"/>
    <w:rsid w:val="00153D82"/>
    <w:rsid w:val="00153DAC"/>
    <w:rsid w:val="00153DAE"/>
    <w:rsid w:val="00153DCA"/>
    <w:rsid w:val="00153DDE"/>
    <w:rsid w:val="00153DE3"/>
    <w:rsid w:val="00153DE6"/>
    <w:rsid w:val="00153E31"/>
    <w:rsid w:val="00153E44"/>
    <w:rsid w:val="00153E54"/>
    <w:rsid w:val="00153E6B"/>
    <w:rsid w:val="00153EB0"/>
    <w:rsid w:val="00153F37"/>
    <w:rsid w:val="0015402A"/>
    <w:rsid w:val="00154076"/>
    <w:rsid w:val="00154079"/>
    <w:rsid w:val="00154092"/>
    <w:rsid w:val="001540FB"/>
    <w:rsid w:val="0015411C"/>
    <w:rsid w:val="0015417A"/>
    <w:rsid w:val="001541C4"/>
    <w:rsid w:val="001541D3"/>
    <w:rsid w:val="00154203"/>
    <w:rsid w:val="0015422E"/>
    <w:rsid w:val="00154232"/>
    <w:rsid w:val="00154239"/>
    <w:rsid w:val="00154253"/>
    <w:rsid w:val="0015425E"/>
    <w:rsid w:val="0015426D"/>
    <w:rsid w:val="001542A1"/>
    <w:rsid w:val="001542AD"/>
    <w:rsid w:val="001542C7"/>
    <w:rsid w:val="001542EC"/>
    <w:rsid w:val="00154309"/>
    <w:rsid w:val="0015430A"/>
    <w:rsid w:val="0015430C"/>
    <w:rsid w:val="0015435F"/>
    <w:rsid w:val="00154360"/>
    <w:rsid w:val="0015437F"/>
    <w:rsid w:val="00154395"/>
    <w:rsid w:val="001543C2"/>
    <w:rsid w:val="001543E8"/>
    <w:rsid w:val="0015447C"/>
    <w:rsid w:val="00154495"/>
    <w:rsid w:val="00154499"/>
    <w:rsid w:val="00154558"/>
    <w:rsid w:val="001545C9"/>
    <w:rsid w:val="00154616"/>
    <w:rsid w:val="00154646"/>
    <w:rsid w:val="0015466C"/>
    <w:rsid w:val="00154675"/>
    <w:rsid w:val="001546D5"/>
    <w:rsid w:val="001546E0"/>
    <w:rsid w:val="00154726"/>
    <w:rsid w:val="001547C6"/>
    <w:rsid w:val="001547DB"/>
    <w:rsid w:val="001547DF"/>
    <w:rsid w:val="001547E0"/>
    <w:rsid w:val="00154823"/>
    <w:rsid w:val="00154849"/>
    <w:rsid w:val="0015484E"/>
    <w:rsid w:val="00154879"/>
    <w:rsid w:val="001548ED"/>
    <w:rsid w:val="00154928"/>
    <w:rsid w:val="0015493A"/>
    <w:rsid w:val="00154992"/>
    <w:rsid w:val="001549A9"/>
    <w:rsid w:val="001549DB"/>
    <w:rsid w:val="001549DD"/>
    <w:rsid w:val="00154A5B"/>
    <w:rsid w:val="00154A80"/>
    <w:rsid w:val="00154A9B"/>
    <w:rsid w:val="00154AA9"/>
    <w:rsid w:val="00154AB5"/>
    <w:rsid w:val="00154ADC"/>
    <w:rsid w:val="00154AE1"/>
    <w:rsid w:val="00154AE9"/>
    <w:rsid w:val="00154B7F"/>
    <w:rsid w:val="00154B92"/>
    <w:rsid w:val="00154BAE"/>
    <w:rsid w:val="00154BD2"/>
    <w:rsid w:val="00154C2D"/>
    <w:rsid w:val="00154C8D"/>
    <w:rsid w:val="00154C9E"/>
    <w:rsid w:val="00154D0D"/>
    <w:rsid w:val="00154D29"/>
    <w:rsid w:val="00154D2F"/>
    <w:rsid w:val="00154D30"/>
    <w:rsid w:val="00154D49"/>
    <w:rsid w:val="00154D4A"/>
    <w:rsid w:val="00154D6F"/>
    <w:rsid w:val="00154D87"/>
    <w:rsid w:val="00154D95"/>
    <w:rsid w:val="00154E11"/>
    <w:rsid w:val="00154E4C"/>
    <w:rsid w:val="00154E75"/>
    <w:rsid w:val="00154E86"/>
    <w:rsid w:val="00154EA9"/>
    <w:rsid w:val="00154ED1"/>
    <w:rsid w:val="00154F03"/>
    <w:rsid w:val="00154FB0"/>
    <w:rsid w:val="00154FC7"/>
    <w:rsid w:val="00155069"/>
    <w:rsid w:val="0015506B"/>
    <w:rsid w:val="00155089"/>
    <w:rsid w:val="0015508E"/>
    <w:rsid w:val="001550EE"/>
    <w:rsid w:val="00155199"/>
    <w:rsid w:val="001551D4"/>
    <w:rsid w:val="001551E0"/>
    <w:rsid w:val="001551F1"/>
    <w:rsid w:val="0015523F"/>
    <w:rsid w:val="0015526E"/>
    <w:rsid w:val="00155315"/>
    <w:rsid w:val="00155341"/>
    <w:rsid w:val="00155343"/>
    <w:rsid w:val="0015534F"/>
    <w:rsid w:val="00155399"/>
    <w:rsid w:val="001553D9"/>
    <w:rsid w:val="001553E6"/>
    <w:rsid w:val="001553F2"/>
    <w:rsid w:val="00155427"/>
    <w:rsid w:val="00155463"/>
    <w:rsid w:val="00155477"/>
    <w:rsid w:val="001554DC"/>
    <w:rsid w:val="001554FB"/>
    <w:rsid w:val="001554FF"/>
    <w:rsid w:val="00155520"/>
    <w:rsid w:val="00155522"/>
    <w:rsid w:val="001555FA"/>
    <w:rsid w:val="00155621"/>
    <w:rsid w:val="001556A1"/>
    <w:rsid w:val="001556CD"/>
    <w:rsid w:val="0015570E"/>
    <w:rsid w:val="00155717"/>
    <w:rsid w:val="00155752"/>
    <w:rsid w:val="00155780"/>
    <w:rsid w:val="00155785"/>
    <w:rsid w:val="001557DA"/>
    <w:rsid w:val="001557EA"/>
    <w:rsid w:val="00155800"/>
    <w:rsid w:val="00155808"/>
    <w:rsid w:val="00155826"/>
    <w:rsid w:val="00155973"/>
    <w:rsid w:val="001559AC"/>
    <w:rsid w:val="00155A1E"/>
    <w:rsid w:val="00155A20"/>
    <w:rsid w:val="00155A43"/>
    <w:rsid w:val="00155A6E"/>
    <w:rsid w:val="00155A9B"/>
    <w:rsid w:val="00155AB1"/>
    <w:rsid w:val="00155AC4"/>
    <w:rsid w:val="00155ACC"/>
    <w:rsid w:val="00155AD6"/>
    <w:rsid w:val="00155ADE"/>
    <w:rsid w:val="00155AED"/>
    <w:rsid w:val="00155B0B"/>
    <w:rsid w:val="00155B3D"/>
    <w:rsid w:val="00155B62"/>
    <w:rsid w:val="00155BD7"/>
    <w:rsid w:val="00155C0C"/>
    <w:rsid w:val="00155C53"/>
    <w:rsid w:val="00155C96"/>
    <w:rsid w:val="00155CA6"/>
    <w:rsid w:val="00155CD9"/>
    <w:rsid w:val="00155D08"/>
    <w:rsid w:val="00155D2A"/>
    <w:rsid w:val="00155D94"/>
    <w:rsid w:val="00155DC9"/>
    <w:rsid w:val="00155DD2"/>
    <w:rsid w:val="00155DFD"/>
    <w:rsid w:val="00155E03"/>
    <w:rsid w:val="00155E49"/>
    <w:rsid w:val="00155E62"/>
    <w:rsid w:val="00155E69"/>
    <w:rsid w:val="00155E82"/>
    <w:rsid w:val="00155EE5"/>
    <w:rsid w:val="00155EEC"/>
    <w:rsid w:val="00155F0A"/>
    <w:rsid w:val="00155F15"/>
    <w:rsid w:val="00155F21"/>
    <w:rsid w:val="00155F44"/>
    <w:rsid w:val="00155F59"/>
    <w:rsid w:val="00155FB3"/>
    <w:rsid w:val="00155FB4"/>
    <w:rsid w:val="00155FE1"/>
    <w:rsid w:val="00155FFC"/>
    <w:rsid w:val="0015606E"/>
    <w:rsid w:val="00156088"/>
    <w:rsid w:val="001560AB"/>
    <w:rsid w:val="001560D4"/>
    <w:rsid w:val="001560D8"/>
    <w:rsid w:val="00156118"/>
    <w:rsid w:val="00156156"/>
    <w:rsid w:val="00156169"/>
    <w:rsid w:val="0015616B"/>
    <w:rsid w:val="00156176"/>
    <w:rsid w:val="001561CA"/>
    <w:rsid w:val="001561D9"/>
    <w:rsid w:val="001562A2"/>
    <w:rsid w:val="001562DA"/>
    <w:rsid w:val="00156308"/>
    <w:rsid w:val="0015638E"/>
    <w:rsid w:val="001563B4"/>
    <w:rsid w:val="001563EC"/>
    <w:rsid w:val="00156406"/>
    <w:rsid w:val="00156544"/>
    <w:rsid w:val="00156578"/>
    <w:rsid w:val="001565A8"/>
    <w:rsid w:val="001565CD"/>
    <w:rsid w:val="001565D3"/>
    <w:rsid w:val="001565E3"/>
    <w:rsid w:val="001565EB"/>
    <w:rsid w:val="00156609"/>
    <w:rsid w:val="00156658"/>
    <w:rsid w:val="001566A4"/>
    <w:rsid w:val="001566C3"/>
    <w:rsid w:val="001566CF"/>
    <w:rsid w:val="001566E4"/>
    <w:rsid w:val="001566F1"/>
    <w:rsid w:val="0015672E"/>
    <w:rsid w:val="001567A9"/>
    <w:rsid w:val="001567B2"/>
    <w:rsid w:val="001567D5"/>
    <w:rsid w:val="00156828"/>
    <w:rsid w:val="00156834"/>
    <w:rsid w:val="0015684B"/>
    <w:rsid w:val="001568B4"/>
    <w:rsid w:val="001568BD"/>
    <w:rsid w:val="00156940"/>
    <w:rsid w:val="001569A0"/>
    <w:rsid w:val="001569B5"/>
    <w:rsid w:val="001569BD"/>
    <w:rsid w:val="001569BE"/>
    <w:rsid w:val="001569DB"/>
    <w:rsid w:val="001569DC"/>
    <w:rsid w:val="001569F0"/>
    <w:rsid w:val="001569F5"/>
    <w:rsid w:val="00156A05"/>
    <w:rsid w:val="00156A0C"/>
    <w:rsid w:val="00156A1B"/>
    <w:rsid w:val="00156A49"/>
    <w:rsid w:val="00156A5A"/>
    <w:rsid w:val="00156AAD"/>
    <w:rsid w:val="00156ABF"/>
    <w:rsid w:val="00156AC5"/>
    <w:rsid w:val="00156B17"/>
    <w:rsid w:val="00156BB8"/>
    <w:rsid w:val="00156BFE"/>
    <w:rsid w:val="00156C01"/>
    <w:rsid w:val="00156C21"/>
    <w:rsid w:val="00156C46"/>
    <w:rsid w:val="00156C5E"/>
    <w:rsid w:val="00156C81"/>
    <w:rsid w:val="00156C9C"/>
    <w:rsid w:val="00156CB3"/>
    <w:rsid w:val="00156CCF"/>
    <w:rsid w:val="00156CDC"/>
    <w:rsid w:val="00156CE1"/>
    <w:rsid w:val="00156D10"/>
    <w:rsid w:val="00156D1D"/>
    <w:rsid w:val="00156D3F"/>
    <w:rsid w:val="00156D5D"/>
    <w:rsid w:val="00156DA6"/>
    <w:rsid w:val="00156DB7"/>
    <w:rsid w:val="00156DCC"/>
    <w:rsid w:val="00156E4E"/>
    <w:rsid w:val="00156E54"/>
    <w:rsid w:val="00156E81"/>
    <w:rsid w:val="00156EC3"/>
    <w:rsid w:val="00156EDA"/>
    <w:rsid w:val="00156F0E"/>
    <w:rsid w:val="00156F1E"/>
    <w:rsid w:val="00156F55"/>
    <w:rsid w:val="00156F56"/>
    <w:rsid w:val="00156FA7"/>
    <w:rsid w:val="00156FB5"/>
    <w:rsid w:val="00156FC0"/>
    <w:rsid w:val="00156FD1"/>
    <w:rsid w:val="0015702A"/>
    <w:rsid w:val="00157047"/>
    <w:rsid w:val="0015708C"/>
    <w:rsid w:val="001570BB"/>
    <w:rsid w:val="001570D9"/>
    <w:rsid w:val="001570E5"/>
    <w:rsid w:val="001570FF"/>
    <w:rsid w:val="00157122"/>
    <w:rsid w:val="00157161"/>
    <w:rsid w:val="00157169"/>
    <w:rsid w:val="00157176"/>
    <w:rsid w:val="00157188"/>
    <w:rsid w:val="0015719A"/>
    <w:rsid w:val="001571C1"/>
    <w:rsid w:val="001571D9"/>
    <w:rsid w:val="001571DB"/>
    <w:rsid w:val="0015721E"/>
    <w:rsid w:val="00157242"/>
    <w:rsid w:val="0015727D"/>
    <w:rsid w:val="001572A0"/>
    <w:rsid w:val="001572E9"/>
    <w:rsid w:val="00157334"/>
    <w:rsid w:val="00157343"/>
    <w:rsid w:val="0015734C"/>
    <w:rsid w:val="00157355"/>
    <w:rsid w:val="0015738A"/>
    <w:rsid w:val="001573CA"/>
    <w:rsid w:val="0015740D"/>
    <w:rsid w:val="00157411"/>
    <w:rsid w:val="00157426"/>
    <w:rsid w:val="0015742D"/>
    <w:rsid w:val="00157434"/>
    <w:rsid w:val="00157459"/>
    <w:rsid w:val="00157463"/>
    <w:rsid w:val="00157494"/>
    <w:rsid w:val="001574DC"/>
    <w:rsid w:val="001574F2"/>
    <w:rsid w:val="0015753E"/>
    <w:rsid w:val="00157542"/>
    <w:rsid w:val="0015755A"/>
    <w:rsid w:val="00157569"/>
    <w:rsid w:val="00157585"/>
    <w:rsid w:val="001575B0"/>
    <w:rsid w:val="0015763F"/>
    <w:rsid w:val="0015766B"/>
    <w:rsid w:val="0015767A"/>
    <w:rsid w:val="00157686"/>
    <w:rsid w:val="001576B0"/>
    <w:rsid w:val="001576DD"/>
    <w:rsid w:val="001576FC"/>
    <w:rsid w:val="00157701"/>
    <w:rsid w:val="00157720"/>
    <w:rsid w:val="00157745"/>
    <w:rsid w:val="0015774A"/>
    <w:rsid w:val="001577C2"/>
    <w:rsid w:val="001577EC"/>
    <w:rsid w:val="00157813"/>
    <w:rsid w:val="00157853"/>
    <w:rsid w:val="00157860"/>
    <w:rsid w:val="00157864"/>
    <w:rsid w:val="00157876"/>
    <w:rsid w:val="00157880"/>
    <w:rsid w:val="0015788A"/>
    <w:rsid w:val="0015788D"/>
    <w:rsid w:val="00157899"/>
    <w:rsid w:val="001578B0"/>
    <w:rsid w:val="001578F5"/>
    <w:rsid w:val="00157972"/>
    <w:rsid w:val="00157997"/>
    <w:rsid w:val="001579A8"/>
    <w:rsid w:val="001579B5"/>
    <w:rsid w:val="001579C2"/>
    <w:rsid w:val="001579C7"/>
    <w:rsid w:val="00157A1B"/>
    <w:rsid w:val="00157A46"/>
    <w:rsid w:val="00157A71"/>
    <w:rsid w:val="00157A79"/>
    <w:rsid w:val="00157A8E"/>
    <w:rsid w:val="00157AC8"/>
    <w:rsid w:val="00157B2B"/>
    <w:rsid w:val="00157B5C"/>
    <w:rsid w:val="00157B82"/>
    <w:rsid w:val="00157BB2"/>
    <w:rsid w:val="00157BBF"/>
    <w:rsid w:val="00157C07"/>
    <w:rsid w:val="00157C2C"/>
    <w:rsid w:val="00157C30"/>
    <w:rsid w:val="00157CB9"/>
    <w:rsid w:val="00157CE7"/>
    <w:rsid w:val="00157CF5"/>
    <w:rsid w:val="00157D23"/>
    <w:rsid w:val="00157D2C"/>
    <w:rsid w:val="00157D65"/>
    <w:rsid w:val="00157DF6"/>
    <w:rsid w:val="00157E01"/>
    <w:rsid w:val="00157E55"/>
    <w:rsid w:val="00157E87"/>
    <w:rsid w:val="00157EA2"/>
    <w:rsid w:val="00157EA3"/>
    <w:rsid w:val="00157F00"/>
    <w:rsid w:val="00157F23"/>
    <w:rsid w:val="00157F26"/>
    <w:rsid w:val="00157F49"/>
    <w:rsid w:val="00157F64"/>
    <w:rsid w:val="00157F67"/>
    <w:rsid w:val="00157F72"/>
    <w:rsid w:val="00157F7C"/>
    <w:rsid w:val="00157F96"/>
    <w:rsid w:val="00157FBF"/>
    <w:rsid w:val="00157FC6"/>
    <w:rsid w:val="00160019"/>
    <w:rsid w:val="00160024"/>
    <w:rsid w:val="00160044"/>
    <w:rsid w:val="00160050"/>
    <w:rsid w:val="00160058"/>
    <w:rsid w:val="0016008D"/>
    <w:rsid w:val="001600B1"/>
    <w:rsid w:val="001600D2"/>
    <w:rsid w:val="001600F4"/>
    <w:rsid w:val="001600FB"/>
    <w:rsid w:val="00160102"/>
    <w:rsid w:val="0016014A"/>
    <w:rsid w:val="00160176"/>
    <w:rsid w:val="001601AC"/>
    <w:rsid w:val="001601C7"/>
    <w:rsid w:val="001601D4"/>
    <w:rsid w:val="001601E9"/>
    <w:rsid w:val="001601F3"/>
    <w:rsid w:val="001601F9"/>
    <w:rsid w:val="00160231"/>
    <w:rsid w:val="0016023C"/>
    <w:rsid w:val="001602BB"/>
    <w:rsid w:val="001602F1"/>
    <w:rsid w:val="00160314"/>
    <w:rsid w:val="00160327"/>
    <w:rsid w:val="00160332"/>
    <w:rsid w:val="00160339"/>
    <w:rsid w:val="00160360"/>
    <w:rsid w:val="0016036A"/>
    <w:rsid w:val="00160373"/>
    <w:rsid w:val="0016039C"/>
    <w:rsid w:val="001603F6"/>
    <w:rsid w:val="0016041F"/>
    <w:rsid w:val="001604A7"/>
    <w:rsid w:val="001604BE"/>
    <w:rsid w:val="001604F5"/>
    <w:rsid w:val="0016050D"/>
    <w:rsid w:val="0016052F"/>
    <w:rsid w:val="00160538"/>
    <w:rsid w:val="00160573"/>
    <w:rsid w:val="0016058E"/>
    <w:rsid w:val="001605C9"/>
    <w:rsid w:val="001605EB"/>
    <w:rsid w:val="00160601"/>
    <w:rsid w:val="00160695"/>
    <w:rsid w:val="00160706"/>
    <w:rsid w:val="0016070C"/>
    <w:rsid w:val="00160734"/>
    <w:rsid w:val="00160737"/>
    <w:rsid w:val="00160745"/>
    <w:rsid w:val="00160760"/>
    <w:rsid w:val="001607DA"/>
    <w:rsid w:val="00160805"/>
    <w:rsid w:val="0016082B"/>
    <w:rsid w:val="0016082E"/>
    <w:rsid w:val="00160830"/>
    <w:rsid w:val="00160869"/>
    <w:rsid w:val="001608A2"/>
    <w:rsid w:val="00160922"/>
    <w:rsid w:val="00160954"/>
    <w:rsid w:val="0016098A"/>
    <w:rsid w:val="0016099B"/>
    <w:rsid w:val="001609C6"/>
    <w:rsid w:val="001609E1"/>
    <w:rsid w:val="00160A2F"/>
    <w:rsid w:val="00160A5C"/>
    <w:rsid w:val="00160A65"/>
    <w:rsid w:val="00160A6C"/>
    <w:rsid w:val="00160A6D"/>
    <w:rsid w:val="00160B4E"/>
    <w:rsid w:val="00160B51"/>
    <w:rsid w:val="00160B93"/>
    <w:rsid w:val="00160BAE"/>
    <w:rsid w:val="00160BDC"/>
    <w:rsid w:val="00160C18"/>
    <w:rsid w:val="00160C4D"/>
    <w:rsid w:val="00160C50"/>
    <w:rsid w:val="00160C9E"/>
    <w:rsid w:val="00160CA3"/>
    <w:rsid w:val="00160CA8"/>
    <w:rsid w:val="00160CAE"/>
    <w:rsid w:val="00160CE0"/>
    <w:rsid w:val="00160CEC"/>
    <w:rsid w:val="00160D0B"/>
    <w:rsid w:val="00160D34"/>
    <w:rsid w:val="00160DE4"/>
    <w:rsid w:val="00160E2B"/>
    <w:rsid w:val="00160E45"/>
    <w:rsid w:val="00160E5D"/>
    <w:rsid w:val="00160E63"/>
    <w:rsid w:val="00160E77"/>
    <w:rsid w:val="00160E7A"/>
    <w:rsid w:val="00160E80"/>
    <w:rsid w:val="00160E9A"/>
    <w:rsid w:val="00160EE6"/>
    <w:rsid w:val="00160F19"/>
    <w:rsid w:val="00160F23"/>
    <w:rsid w:val="00160F90"/>
    <w:rsid w:val="00160FBA"/>
    <w:rsid w:val="00160FC8"/>
    <w:rsid w:val="00161005"/>
    <w:rsid w:val="00161019"/>
    <w:rsid w:val="0016104A"/>
    <w:rsid w:val="00161067"/>
    <w:rsid w:val="00161080"/>
    <w:rsid w:val="00161083"/>
    <w:rsid w:val="001610E1"/>
    <w:rsid w:val="00161135"/>
    <w:rsid w:val="00161174"/>
    <w:rsid w:val="0016117C"/>
    <w:rsid w:val="001611BC"/>
    <w:rsid w:val="001611D5"/>
    <w:rsid w:val="00161282"/>
    <w:rsid w:val="001612A9"/>
    <w:rsid w:val="001612BE"/>
    <w:rsid w:val="00161313"/>
    <w:rsid w:val="00161325"/>
    <w:rsid w:val="0016133B"/>
    <w:rsid w:val="001613DF"/>
    <w:rsid w:val="00161405"/>
    <w:rsid w:val="00161410"/>
    <w:rsid w:val="0016141D"/>
    <w:rsid w:val="00161423"/>
    <w:rsid w:val="00161446"/>
    <w:rsid w:val="00161450"/>
    <w:rsid w:val="0016147B"/>
    <w:rsid w:val="00161529"/>
    <w:rsid w:val="00161534"/>
    <w:rsid w:val="0016155A"/>
    <w:rsid w:val="0016159F"/>
    <w:rsid w:val="001615A6"/>
    <w:rsid w:val="001615AD"/>
    <w:rsid w:val="001615B9"/>
    <w:rsid w:val="001615FB"/>
    <w:rsid w:val="00161610"/>
    <w:rsid w:val="0016161B"/>
    <w:rsid w:val="00161622"/>
    <w:rsid w:val="0016163E"/>
    <w:rsid w:val="00161651"/>
    <w:rsid w:val="00161666"/>
    <w:rsid w:val="0016167B"/>
    <w:rsid w:val="0016169D"/>
    <w:rsid w:val="001616C0"/>
    <w:rsid w:val="00161711"/>
    <w:rsid w:val="0016172E"/>
    <w:rsid w:val="001617C6"/>
    <w:rsid w:val="00161801"/>
    <w:rsid w:val="0016181B"/>
    <w:rsid w:val="00161828"/>
    <w:rsid w:val="00161867"/>
    <w:rsid w:val="0016189A"/>
    <w:rsid w:val="001618EB"/>
    <w:rsid w:val="00161917"/>
    <w:rsid w:val="00161961"/>
    <w:rsid w:val="0016199D"/>
    <w:rsid w:val="001619E5"/>
    <w:rsid w:val="00161A03"/>
    <w:rsid w:val="00161A1C"/>
    <w:rsid w:val="00161A6E"/>
    <w:rsid w:val="00161A8B"/>
    <w:rsid w:val="00161AA7"/>
    <w:rsid w:val="00161B1C"/>
    <w:rsid w:val="00161B46"/>
    <w:rsid w:val="00161B88"/>
    <w:rsid w:val="00161BB1"/>
    <w:rsid w:val="00161BC0"/>
    <w:rsid w:val="00161BC7"/>
    <w:rsid w:val="00161BE3"/>
    <w:rsid w:val="00161C32"/>
    <w:rsid w:val="00161C53"/>
    <w:rsid w:val="00161C68"/>
    <w:rsid w:val="00161C69"/>
    <w:rsid w:val="00161C78"/>
    <w:rsid w:val="00161CA1"/>
    <w:rsid w:val="00161CB8"/>
    <w:rsid w:val="00161DBD"/>
    <w:rsid w:val="00161E08"/>
    <w:rsid w:val="00161E15"/>
    <w:rsid w:val="00161E19"/>
    <w:rsid w:val="00161E33"/>
    <w:rsid w:val="00161E51"/>
    <w:rsid w:val="00161E83"/>
    <w:rsid w:val="00161E96"/>
    <w:rsid w:val="00161E98"/>
    <w:rsid w:val="00161EB6"/>
    <w:rsid w:val="00161EB7"/>
    <w:rsid w:val="00161F82"/>
    <w:rsid w:val="00161F84"/>
    <w:rsid w:val="00161F8C"/>
    <w:rsid w:val="00161F92"/>
    <w:rsid w:val="00161FFA"/>
    <w:rsid w:val="0016200E"/>
    <w:rsid w:val="0016203B"/>
    <w:rsid w:val="0016204C"/>
    <w:rsid w:val="0016204F"/>
    <w:rsid w:val="00162083"/>
    <w:rsid w:val="0016208E"/>
    <w:rsid w:val="001620B3"/>
    <w:rsid w:val="001620C4"/>
    <w:rsid w:val="001620FE"/>
    <w:rsid w:val="00162135"/>
    <w:rsid w:val="00162149"/>
    <w:rsid w:val="0016218C"/>
    <w:rsid w:val="00162203"/>
    <w:rsid w:val="0016221D"/>
    <w:rsid w:val="00162228"/>
    <w:rsid w:val="00162256"/>
    <w:rsid w:val="001622B9"/>
    <w:rsid w:val="001622D3"/>
    <w:rsid w:val="001622D5"/>
    <w:rsid w:val="001622E1"/>
    <w:rsid w:val="00162307"/>
    <w:rsid w:val="0016232C"/>
    <w:rsid w:val="00162332"/>
    <w:rsid w:val="00162336"/>
    <w:rsid w:val="0016233A"/>
    <w:rsid w:val="001623A1"/>
    <w:rsid w:val="001623D9"/>
    <w:rsid w:val="001623F2"/>
    <w:rsid w:val="0016240E"/>
    <w:rsid w:val="0016245F"/>
    <w:rsid w:val="00162487"/>
    <w:rsid w:val="00162492"/>
    <w:rsid w:val="001624AC"/>
    <w:rsid w:val="001624CE"/>
    <w:rsid w:val="001624E7"/>
    <w:rsid w:val="001624EF"/>
    <w:rsid w:val="00162512"/>
    <w:rsid w:val="0016254D"/>
    <w:rsid w:val="00162593"/>
    <w:rsid w:val="0016259A"/>
    <w:rsid w:val="0016259C"/>
    <w:rsid w:val="001625B2"/>
    <w:rsid w:val="001625D9"/>
    <w:rsid w:val="00162600"/>
    <w:rsid w:val="00162607"/>
    <w:rsid w:val="00162635"/>
    <w:rsid w:val="0016264B"/>
    <w:rsid w:val="0016269C"/>
    <w:rsid w:val="001626E7"/>
    <w:rsid w:val="001626F4"/>
    <w:rsid w:val="00162714"/>
    <w:rsid w:val="00162723"/>
    <w:rsid w:val="00162733"/>
    <w:rsid w:val="00162742"/>
    <w:rsid w:val="00162755"/>
    <w:rsid w:val="0016275C"/>
    <w:rsid w:val="00162770"/>
    <w:rsid w:val="001627E8"/>
    <w:rsid w:val="001627F3"/>
    <w:rsid w:val="001627F8"/>
    <w:rsid w:val="00162807"/>
    <w:rsid w:val="0016283F"/>
    <w:rsid w:val="00162893"/>
    <w:rsid w:val="001628E9"/>
    <w:rsid w:val="0016290D"/>
    <w:rsid w:val="00162921"/>
    <w:rsid w:val="0016296F"/>
    <w:rsid w:val="00162983"/>
    <w:rsid w:val="001629D6"/>
    <w:rsid w:val="00162A27"/>
    <w:rsid w:val="00162A58"/>
    <w:rsid w:val="00162A7F"/>
    <w:rsid w:val="00162A99"/>
    <w:rsid w:val="00162AD8"/>
    <w:rsid w:val="00162AF7"/>
    <w:rsid w:val="00162BA9"/>
    <w:rsid w:val="00162BAA"/>
    <w:rsid w:val="00162BF1"/>
    <w:rsid w:val="00162CB4"/>
    <w:rsid w:val="00162D04"/>
    <w:rsid w:val="00162D12"/>
    <w:rsid w:val="00162D24"/>
    <w:rsid w:val="00162D4D"/>
    <w:rsid w:val="00162D62"/>
    <w:rsid w:val="00162D88"/>
    <w:rsid w:val="00162D92"/>
    <w:rsid w:val="00162D97"/>
    <w:rsid w:val="00162DB8"/>
    <w:rsid w:val="00162DD8"/>
    <w:rsid w:val="00162DF6"/>
    <w:rsid w:val="00162E66"/>
    <w:rsid w:val="00162E6F"/>
    <w:rsid w:val="00162EBC"/>
    <w:rsid w:val="00162EEC"/>
    <w:rsid w:val="00162FB1"/>
    <w:rsid w:val="00162FD5"/>
    <w:rsid w:val="00162FF7"/>
    <w:rsid w:val="00163023"/>
    <w:rsid w:val="0016304B"/>
    <w:rsid w:val="00163063"/>
    <w:rsid w:val="00163064"/>
    <w:rsid w:val="001630BB"/>
    <w:rsid w:val="001630BE"/>
    <w:rsid w:val="001630CA"/>
    <w:rsid w:val="001630CE"/>
    <w:rsid w:val="00163129"/>
    <w:rsid w:val="00163140"/>
    <w:rsid w:val="0016316A"/>
    <w:rsid w:val="001631C1"/>
    <w:rsid w:val="001631C7"/>
    <w:rsid w:val="001631D5"/>
    <w:rsid w:val="001631E8"/>
    <w:rsid w:val="00163215"/>
    <w:rsid w:val="0016325A"/>
    <w:rsid w:val="0016325E"/>
    <w:rsid w:val="00163267"/>
    <w:rsid w:val="0016329B"/>
    <w:rsid w:val="001632B9"/>
    <w:rsid w:val="001632BE"/>
    <w:rsid w:val="001632C5"/>
    <w:rsid w:val="001632D8"/>
    <w:rsid w:val="001632E5"/>
    <w:rsid w:val="001632F1"/>
    <w:rsid w:val="001632F5"/>
    <w:rsid w:val="00163372"/>
    <w:rsid w:val="00163389"/>
    <w:rsid w:val="0016339E"/>
    <w:rsid w:val="001633C7"/>
    <w:rsid w:val="0016343A"/>
    <w:rsid w:val="0016343C"/>
    <w:rsid w:val="00163483"/>
    <w:rsid w:val="00163492"/>
    <w:rsid w:val="001634A6"/>
    <w:rsid w:val="00163520"/>
    <w:rsid w:val="00163566"/>
    <w:rsid w:val="0016357F"/>
    <w:rsid w:val="0016358F"/>
    <w:rsid w:val="00163593"/>
    <w:rsid w:val="0016359D"/>
    <w:rsid w:val="001635E2"/>
    <w:rsid w:val="00163612"/>
    <w:rsid w:val="0016369A"/>
    <w:rsid w:val="001636A4"/>
    <w:rsid w:val="001636AB"/>
    <w:rsid w:val="001636C6"/>
    <w:rsid w:val="001636EC"/>
    <w:rsid w:val="00163776"/>
    <w:rsid w:val="0016377A"/>
    <w:rsid w:val="00163790"/>
    <w:rsid w:val="001637D7"/>
    <w:rsid w:val="001637E8"/>
    <w:rsid w:val="001637F9"/>
    <w:rsid w:val="00163818"/>
    <w:rsid w:val="00163820"/>
    <w:rsid w:val="00163836"/>
    <w:rsid w:val="001638C1"/>
    <w:rsid w:val="00163928"/>
    <w:rsid w:val="001639AA"/>
    <w:rsid w:val="001639AB"/>
    <w:rsid w:val="001639E1"/>
    <w:rsid w:val="001639F6"/>
    <w:rsid w:val="00163A31"/>
    <w:rsid w:val="00163A35"/>
    <w:rsid w:val="00163A6B"/>
    <w:rsid w:val="00163A99"/>
    <w:rsid w:val="00163AB1"/>
    <w:rsid w:val="00163AB9"/>
    <w:rsid w:val="00163ACB"/>
    <w:rsid w:val="00163B45"/>
    <w:rsid w:val="00163B59"/>
    <w:rsid w:val="00163B83"/>
    <w:rsid w:val="00163BA8"/>
    <w:rsid w:val="00163BAB"/>
    <w:rsid w:val="00163BBE"/>
    <w:rsid w:val="00163BD5"/>
    <w:rsid w:val="00163C45"/>
    <w:rsid w:val="00163C48"/>
    <w:rsid w:val="00163C4D"/>
    <w:rsid w:val="00163C84"/>
    <w:rsid w:val="00163C89"/>
    <w:rsid w:val="00163C99"/>
    <w:rsid w:val="00163D35"/>
    <w:rsid w:val="00163DAA"/>
    <w:rsid w:val="00163DF0"/>
    <w:rsid w:val="00163E01"/>
    <w:rsid w:val="00163E16"/>
    <w:rsid w:val="00163E56"/>
    <w:rsid w:val="00163E84"/>
    <w:rsid w:val="00163ECB"/>
    <w:rsid w:val="00163F21"/>
    <w:rsid w:val="00163F46"/>
    <w:rsid w:val="00163F4F"/>
    <w:rsid w:val="00163F99"/>
    <w:rsid w:val="00163FAE"/>
    <w:rsid w:val="00163FBF"/>
    <w:rsid w:val="00163FF0"/>
    <w:rsid w:val="0016401D"/>
    <w:rsid w:val="00164073"/>
    <w:rsid w:val="00164075"/>
    <w:rsid w:val="001640D3"/>
    <w:rsid w:val="00164108"/>
    <w:rsid w:val="0016410E"/>
    <w:rsid w:val="00164130"/>
    <w:rsid w:val="0016413C"/>
    <w:rsid w:val="00164163"/>
    <w:rsid w:val="00164169"/>
    <w:rsid w:val="0016416C"/>
    <w:rsid w:val="001641FA"/>
    <w:rsid w:val="00164229"/>
    <w:rsid w:val="00164277"/>
    <w:rsid w:val="0016429F"/>
    <w:rsid w:val="001642C4"/>
    <w:rsid w:val="001642DA"/>
    <w:rsid w:val="001642E6"/>
    <w:rsid w:val="00164308"/>
    <w:rsid w:val="0016433C"/>
    <w:rsid w:val="0016437E"/>
    <w:rsid w:val="001643D6"/>
    <w:rsid w:val="0016446C"/>
    <w:rsid w:val="00164470"/>
    <w:rsid w:val="00164475"/>
    <w:rsid w:val="0016448A"/>
    <w:rsid w:val="001644C6"/>
    <w:rsid w:val="00164554"/>
    <w:rsid w:val="00164563"/>
    <w:rsid w:val="00164596"/>
    <w:rsid w:val="001645A6"/>
    <w:rsid w:val="00164628"/>
    <w:rsid w:val="00164674"/>
    <w:rsid w:val="00164680"/>
    <w:rsid w:val="00164683"/>
    <w:rsid w:val="0016469B"/>
    <w:rsid w:val="001646A8"/>
    <w:rsid w:val="001646BF"/>
    <w:rsid w:val="001646C6"/>
    <w:rsid w:val="001646FE"/>
    <w:rsid w:val="0016470F"/>
    <w:rsid w:val="00164713"/>
    <w:rsid w:val="00164732"/>
    <w:rsid w:val="00164738"/>
    <w:rsid w:val="00164758"/>
    <w:rsid w:val="0016475E"/>
    <w:rsid w:val="00164772"/>
    <w:rsid w:val="001647C8"/>
    <w:rsid w:val="00164812"/>
    <w:rsid w:val="00164813"/>
    <w:rsid w:val="00164847"/>
    <w:rsid w:val="00164877"/>
    <w:rsid w:val="001648A5"/>
    <w:rsid w:val="001648A7"/>
    <w:rsid w:val="0016497A"/>
    <w:rsid w:val="00164989"/>
    <w:rsid w:val="001649BB"/>
    <w:rsid w:val="001649FC"/>
    <w:rsid w:val="00164A0A"/>
    <w:rsid w:val="00164A70"/>
    <w:rsid w:val="00164A8F"/>
    <w:rsid w:val="00164AE9"/>
    <w:rsid w:val="00164B20"/>
    <w:rsid w:val="00164B3F"/>
    <w:rsid w:val="00164B40"/>
    <w:rsid w:val="00164B51"/>
    <w:rsid w:val="00164B59"/>
    <w:rsid w:val="00164B9F"/>
    <w:rsid w:val="00164BAD"/>
    <w:rsid w:val="00164BC3"/>
    <w:rsid w:val="00164BD0"/>
    <w:rsid w:val="00164BEA"/>
    <w:rsid w:val="00164C88"/>
    <w:rsid w:val="00164C94"/>
    <w:rsid w:val="00164CA8"/>
    <w:rsid w:val="00164CC1"/>
    <w:rsid w:val="00164CE1"/>
    <w:rsid w:val="00164CEA"/>
    <w:rsid w:val="00164CF3"/>
    <w:rsid w:val="00164D3B"/>
    <w:rsid w:val="00164D52"/>
    <w:rsid w:val="00164DA9"/>
    <w:rsid w:val="00164DAC"/>
    <w:rsid w:val="00164DC3"/>
    <w:rsid w:val="00164DE6"/>
    <w:rsid w:val="00164E44"/>
    <w:rsid w:val="00164E57"/>
    <w:rsid w:val="00164E83"/>
    <w:rsid w:val="00164ED5"/>
    <w:rsid w:val="00164EDB"/>
    <w:rsid w:val="00164EF0"/>
    <w:rsid w:val="00164EF3"/>
    <w:rsid w:val="00164F06"/>
    <w:rsid w:val="00164F3D"/>
    <w:rsid w:val="00164F86"/>
    <w:rsid w:val="00165029"/>
    <w:rsid w:val="0016502B"/>
    <w:rsid w:val="00165033"/>
    <w:rsid w:val="00165045"/>
    <w:rsid w:val="00165047"/>
    <w:rsid w:val="00165053"/>
    <w:rsid w:val="00165061"/>
    <w:rsid w:val="00165085"/>
    <w:rsid w:val="001650C0"/>
    <w:rsid w:val="00165164"/>
    <w:rsid w:val="0016516E"/>
    <w:rsid w:val="0016518A"/>
    <w:rsid w:val="001651EB"/>
    <w:rsid w:val="0016520F"/>
    <w:rsid w:val="0016522E"/>
    <w:rsid w:val="001652DA"/>
    <w:rsid w:val="001652E2"/>
    <w:rsid w:val="001652E6"/>
    <w:rsid w:val="001652E9"/>
    <w:rsid w:val="001652EF"/>
    <w:rsid w:val="00165332"/>
    <w:rsid w:val="00165350"/>
    <w:rsid w:val="0016536A"/>
    <w:rsid w:val="00165399"/>
    <w:rsid w:val="001653A4"/>
    <w:rsid w:val="001653E9"/>
    <w:rsid w:val="0016541E"/>
    <w:rsid w:val="00165453"/>
    <w:rsid w:val="0016552E"/>
    <w:rsid w:val="00165583"/>
    <w:rsid w:val="001655BA"/>
    <w:rsid w:val="00165603"/>
    <w:rsid w:val="0016561A"/>
    <w:rsid w:val="00165650"/>
    <w:rsid w:val="0016568D"/>
    <w:rsid w:val="00165699"/>
    <w:rsid w:val="001656BB"/>
    <w:rsid w:val="001656CE"/>
    <w:rsid w:val="001656D3"/>
    <w:rsid w:val="00165703"/>
    <w:rsid w:val="001657B6"/>
    <w:rsid w:val="001657FC"/>
    <w:rsid w:val="00165845"/>
    <w:rsid w:val="0016584C"/>
    <w:rsid w:val="00165909"/>
    <w:rsid w:val="00165918"/>
    <w:rsid w:val="00165922"/>
    <w:rsid w:val="0016599E"/>
    <w:rsid w:val="001659D8"/>
    <w:rsid w:val="00165A1F"/>
    <w:rsid w:val="00165A3D"/>
    <w:rsid w:val="00165A52"/>
    <w:rsid w:val="00165A5D"/>
    <w:rsid w:val="00165B06"/>
    <w:rsid w:val="00165B0D"/>
    <w:rsid w:val="00165B61"/>
    <w:rsid w:val="00165B66"/>
    <w:rsid w:val="00165B6A"/>
    <w:rsid w:val="00165B83"/>
    <w:rsid w:val="00165B92"/>
    <w:rsid w:val="00165B9C"/>
    <w:rsid w:val="00165BFF"/>
    <w:rsid w:val="00165C19"/>
    <w:rsid w:val="00165C2A"/>
    <w:rsid w:val="00165C37"/>
    <w:rsid w:val="00165C58"/>
    <w:rsid w:val="00165CA0"/>
    <w:rsid w:val="00165CBE"/>
    <w:rsid w:val="00165CC6"/>
    <w:rsid w:val="00165CDD"/>
    <w:rsid w:val="00165CF9"/>
    <w:rsid w:val="00165D05"/>
    <w:rsid w:val="00165D23"/>
    <w:rsid w:val="00165D91"/>
    <w:rsid w:val="00165DE0"/>
    <w:rsid w:val="00165E04"/>
    <w:rsid w:val="00165E33"/>
    <w:rsid w:val="00165E9F"/>
    <w:rsid w:val="00165EA7"/>
    <w:rsid w:val="00165EDA"/>
    <w:rsid w:val="00165EE5"/>
    <w:rsid w:val="00165F0C"/>
    <w:rsid w:val="00165F41"/>
    <w:rsid w:val="00165F78"/>
    <w:rsid w:val="00165F89"/>
    <w:rsid w:val="00165F8E"/>
    <w:rsid w:val="00165F8F"/>
    <w:rsid w:val="00165FDE"/>
    <w:rsid w:val="00165FDF"/>
    <w:rsid w:val="00166001"/>
    <w:rsid w:val="00166006"/>
    <w:rsid w:val="0016601F"/>
    <w:rsid w:val="0016603F"/>
    <w:rsid w:val="0016609B"/>
    <w:rsid w:val="001660E5"/>
    <w:rsid w:val="00166109"/>
    <w:rsid w:val="00166111"/>
    <w:rsid w:val="00166112"/>
    <w:rsid w:val="00166159"/>
    <w:rsid w:val="00166184"/>
    <w:rsid w:val="001661D5"/>
    <w:rsid w:val="001661D7"/>
    <w:rsid w:val="001661F5"/>
    <w:rsid w:val="0016623E"/>
    <w:rsid w:val="00166253"/>
    <w:rsid w:val="001662BF"/>
    <w:rsid w:val="001662CB"/>
    <w:rsid w:val="001662E4"/>
    <w:rsid w:val="0016632A"/>
    <w:rsid w:val="00166330"/>
    <w:rsid w:val="0016634D"/>
    <w:rsid w:val="00166372"/>
    <w:rsid w:val="001663A6"/>
    <w:rsid w:val="001663EC"/>
    <w:rsid w:val="001663F3"/>
    <w:rsid w:val="00166438"/>
    <w:rsid w:val="00166439"/>
    <w:rsid w:val="00166473"/>
    <w:rsid w:val="00166476"/>
    <w:rsid w:val="001664CA"/>
    <w:rsid w:val="0016650B"/>
    <w:rsid w:val="0016651A"/>
    <w:rsid w:val="0016656D"/>
    <w:rsid w:val="0016657A"/>
    <w:rsid w:val="001665B4"/>
    <w:rsid w:val="001665FA"/>
    <w:rsid w:val="0016662D"/>
    <w:rsid w:val="0016665E"/>
    <w:rsid w:val="0016668C"/>
    <w:rsid w:val="001666F6"/>
    <w:rsid w:val="00166706"/>
    <w:rsid w:val="001667B2"/>
    <w:rsid w:val="001667BD"/>
    <w:rsid w:val="001667D6"/>
    <w:rsid w:val="001667F9"/>
    <w:rsid w:val="001667FF"/>
    <w:rsid w:val="0016683C"/>
    <w:rsid w:val="00166874"/>
    <w:rsid w:val="00166886"/>
    <w:rsid w:val="0016689A"/>
    <w:rsid w:val="0016689D"/>
    <w:rsid w:val="001668A8"/>
    <w:rsid w:val="001668B4"/>
    <w:rsid w:val="00166905"/>
    <w:rsid w:val="0016691D"/>
    <w:rsid w:val="00166947"/>
    <w:rsid w:val="001669B3"/>
    <w:rsid w:val="001669E4"/>
    <w:rsid w:val="00166A2A"/>
    <w:rsid w:val="00166A36"/>
    <w:rsid w:val="00166A52"/>
    <w:rsid w:val="00166A63"/>
    <w:rsid w:val="00166A8C"/>
    <w:rsid w:val="00166A94"/>
    <w:rsid w:val="00166A98"/>
    <w:rsid w:val="00166AAE"/>
    <w:rsid w:val="00166ABD"/>
    <w:rsid w:val="00166AC8"/>
    <w:rsid w:val="00166AF4"/>
    <w:rsid w:val="00166B99"/>
    <w:rsid w:val="00166BC4"/>
    <w:rsid w:val="00166C07"/>
    <w:rsid w:val="00166C70"/>
    <w:rsid w:val="00166CA6"/>
    <w:rsid w:val="00166CF0"/>
    <w:rsid w:val="00166D17"/>
    <w:rsid w:val="00166DE5"/>
    <w:rsid w:val="00166DE8"/>
    <w:rsid w:val="00166E24"/>
    <w:rsid w:val="00166E3A"/>
    <w:rsid w:val="00166E4E"/>
    <w:rsid w:val="00166E7D"/>
    <w:rsid w:val="00166EF3"/>
    <w:rsid w:val="00166EF7"/>
    <w:rsid w:val="00166F68"/>
    <w:rsid w:val="00166F86"/>
    <w:rsid w:val="00166F8C"/>
    <w:rsid w:val="00166FAD"/>
    <w:rsid w:val="00166FB4"/>
    <w:rsid w:val="00166FDB"/>
    <w:rsid w:val="00166FFA"/>
    <w:rsid w:val="00167007"/>
    <w:rsid w:val="00167037"/>
    <w:rsid w:val="00167057"/>
    <w:rsid w:val="0016705D"/>
    <w:rsid w:val="00167076"/>
    <w:rsid w:val="001670A7"/>
    <w:rsid w:val="001670EE"/>
    <w:rsid w:val="00167100"/>
    <w:rsid w:val="00167120"/>
    <w:rsid w:val="00167184"/>
    <w:rsid w:val="00167194"/>
    <w:rsid w:val="001671A0"/>
    <w:rsid w:val="001671C5"/>
    <w:rsid w:val="001671D5"/>
    <w:rsid w:val="00167221"/>
    <w:rsid w:val="00167278"/>
    <w:rsid w:val="001672A7"/>
    <w:rsid w:val="00167331"/>
    <w:rsid w:val="0016733A"/>
    <w:rsid w:val="00167379"/>
    <w:rsid w:val="00167386"/>
    <w:rsid w:val="001673CB"/>
    <w:rsid w:val="00167444"/>
    <w:rsid w:val="00167456"/>
    <w:rsid w:val="00167469"/>
    <w:rsid w:val="00167494"/>
    <w:rsid w:val="0016749A"/>
    <w:rsid w:val="001674CD"/>
    <w:rsid w:val="00167502"/>
    <w:rsid w:val="00167508"/>
    <w:rsid w:val="00167540"/>
    <w:rsid w:val="0016757B"/>
    <w:rsid w:val="001675A3"/>
    <w:rsid w:val="001675D9"/>
    <w:rsid w:val="001675E5"/>
    <w:rsid w:val="00167607"/>
    <w:rsid w:val="0016761C"/>
    <w:rsid w:val="00167650"/>
    <w:rsid w:val="0016766E"/>
    <w:rsid w:val="0016767B"/>
    <w:rsid w:val="0016769A"/>
    <w:rsid w:val="001676AA"/>
    <w:rsid w:val="001676BE"/>
    <w:rsid w:val="001676DC"/>
    <w:rsid w:val="001676E1"/>
    <w:rsid w:val="001676EF"/>
    <w:rsid w:val="0016776E"/>
    <w:rsid w:val="001677A8"/>
    <w:rsid w:val="001677A9"/>
    <w:rsid w:val="001677AA"/>
    <w:rsid w:val="001677BC"/>
    <w:rsid w:val="001677C4"/>
    <w:rsid w:val="001677D8"/>
    <w:rsid w:val="001677FE"/>
    <w:rsid w:val="00167814"/>
    <w:rsid w:val="00167815"/>
    <w:rsid w:val="0016783B"/>
    <w:rsid w:val="00167887"/>
    <w:rsid w:val="001678C7"/>
    <w:rsid w:val="001678D4"/>
    <w:rsid w:val="001678E2"/>
    <w:rsid w:val="0016790B"/>
    <w:rsid w:val="00167923"/>
    <w:rsid w:val="00167964"/>
    <w:rsid w:val="00167968"/>
    <w:rsid w:val="00167986"/>
    <w:rsid w:val="001679B0"/>
    <w:rsid w:val="00167A19"/>
    <w:rsid w:val="00167A26"/>
    <w:rsid w:val="00167A29"/>
    <w:rsid w:val="00167A37"/>
    <w:rsid w:val="00167A73"/>
    <w:rsid w:val="00167A7A"/>
    <w:rsid w:val="00167A7F"/>
    <w:rsid w:val="00167AA7"/>
    <w:rsid w:val="00167ABE"/>
    <w:rsid w:val="00167B47"/>
    <w:rsid w:val="00167B5D"/>
    <w:rsid w:val="00167B60"/>
    <w:rsid w:val="00167B64"/>
    <w:rsid w:val="00167B86"/>
    <w:rsid w:val="00167B9C"/>
    <w:rsid w:val="00167BA1"/>
    <w:rsid w:val="00167BA2"/>
    <w:rsid w:val="00167BC5"/>
    <w:rsid w:val="00167BC6"/>
    <w:rsid w:val="00167C20"/>
    <w:rsid w:val="00167C41"/>
    <w:rsid w:val="00167C83"/>
    <w:rsid w:val="00167C97"/>
    <w:rsid w:val="00167CD7"/>
    <w:rsid w:val="00167CD9"/>
    <w:rsid w:val="00167D91"/>
    <w:rsid w:val="00167DBC"/>
    <w:rsid w:val="00167DC4"/>
    <w:rsid w:val="00167DCC"/>
    <w:rsid w:val="00167DFE"/>
    <w:rsid w:val="00167E3F"/>
    <w:rsid w:val="00167E74"/>
    <w:rsid w:val="00167EA5"/>
    <w:rsid w:val="00167EB5"/>
    <w:rsid w:val="00167EC1"/>
    <w:rsid w:val="00167EDB"/>
    <w:rsid w:val="00167EEF"/>
    <w:rsid w:val="00167F2C"/>
    <w:rsid w:val="00167F3D"/>
    <w:rsid w:val="00167F42"/>
    <w:rsid w:val="00167F4C"/>
    <w:rsid w:val="00167F5B"/>
    <w:rsid w:val="00167F87"/>
    <w:rsid w:val="00167F8F"/>
    <w:rsid w:val="00167FC9"/>
    <w:rsid w:val="00167FEF"/>
    <w:rsid w:val="0017001B"/>
    <w:rsid w:val="0017002E"/>
    <w:rsid w:val="00170067"/>
    <w:rsid w:val="0017007A"/>
    <w:rsid w:val="001700D6"/>
    <w:rsid w:val="0017015F"/>
    <w:rsid w:val="0017017C"/>
    <w:rsid w:val="00170188"/>
    <w:rsid w:val="001701FD"/>
    <w:rsid w:val="00170217"/>
    <w:rsid w:val="00170231"/>
    <w:rsid w:val="00170265"/>
    <w:rsid w:val="00170289"/>
    <w:rsid w:val="001702B7"/>
    <w:rsid w:val="001702B9"/>
    <w:rsid w:val="0017030E"/>
    <w:rsid w:val="0017030F"/>
    <w:rsid w:val="00170313"/>
    <w:rsid w:val="00170315"/>
    <w:rsid w:val="0017033C"/>
    <w:rsid w:val="0017034C"/>
    <w:rsid w:val="00170361"/>
    <w:rsid w:val="00170369"/>
    <w:rsid w:val="00170378"/>
    <w:rsid w:val="00170408"/>
    <w:rsid w:val="00170439"/>
    <w:rsid w:val="0017045C"/>
    <w:rsid w:val="001704A7"/>
    <w:rsid w:val="001704EA"/>
    <w:rsid w:val="001704F1"/>
    <w:rsid w:val="00170513"/>
    <w:rsid w:val="00170544"/>
    <w:rsid w:val="00170546"/>
    <w:rsid w:val="00170572"/>
    <w:rsid w:val="001705A0"/>
    <w:rsid w:val="001705A7"/>
    <w:rsid w:val="001705EA"/>
    <w:rsid w:val="001705FC"/>
    <w:rsid w:val="0017060C"/>
    <w:rsid w:val="00170613"/>
    <w:rsid w:val="00170617"/>
    <w:rsid w:val="00170621"/>
    <w:rsid w:val="00170681"/>
    <w:rsid w:val="00170694"/>
    <w:rsid w:val="001706C5"/>
    <w:rsid w:val="001706C8"/>
    <w:rsid w:val="001706CA"/>
    <w:rsid w:val="00170718"/>
    <w:rsid w:val="00170732"/>
    <w:rsid w:val="0017076A"/>
    <w:rsid w:val="0017076C"/>
    <w:rsid w:val="00170795"/>
    <w:rsid w:val="0017079D"/>
    <w:rsid w:val="001707AB"/>
    <w:rsid w:val="001707EF"/>
    <w:rsid w:val="00170849"/>
    <w:rsid w:val="0017084B"/>
    <w:rsid w:val="00170852"/>
    <w:rsid w:val="0017085D"/>
    <w:rsid w:val="0017087F"/>
    <w:rsid w:val="0017088C"/>
    <w:rsid w:val="001708C2"/>
    <w:rsid w:val="001708CC"/>
    <w:rsid w:val="001708DE"/>
    <w:rsid w:val="001708E8"/>
    <w:rsid w:val="00170909"/>
    <w:rsid w:val="00170952"/>
    <w:rsid w:val="00170962"/>
    <w:rsid w:val="0017097B"/>
    <w:rsid w:val="001709A0"/>
    <w:rsid w:val="00170A02"/>
    <w:rsid w:val="00170A11"/>
    <w:rsid w:val="00170A1A"/>
    <w:rsid w:val="00170A58"/>
    <w:rsid w:val="00170A6F"/>
    <w:rsid w:val="00170A95"/>
    <w:rsid w:val="00170AF5"/>
    <w:rsid w:val="00170B13"/>
    <w:rsid w:val="00170B2E"/>
    <w:rsid w:val="00170B78"/>
    <w:rsid w:val="00170BAA"/>
    <w:rsid w:val="00170C27"/>
    <w:rsid w:val="00170C68"/>
    <w:rsid w:val="00170CBF"/>
    <w:rsid w:val="00170CD6"/>
    <w:rsid w:val="00170CE7"/>
    <w:rsid w:val="00170CFF"/>
    <w:rsid w:val="00170D2C"/>
    <w:rsid w:val="00170D64"/>
    <w:rsid w:val="00170D6C"/>
    <w:rsid w:val="00170DB9"/>
    <w:rsid w:val="00170DF5"/>
    <w:rsid w:val="00170E33"/>
    <w:rsid w:val="00170E39"/>
    <w:rsid w:val="00170E4B"/>
    <w:rsid w:val="00170E70"/>
    <w:rsid w:val="00170E78"/>
    <w:rsid w:val="00170EC7"/>
    <w:rsid w:val="00170EFA"/>
    <w:rsid w:val="00170F36"/>
    <w:rsid w:val="00170F37"/>
    <w:rsid w:val="00170F58"/>
    <w:rsid w:val="00170F59"/>
    <w:rsid w:val="00170F60"/>
    <w:rsid w:val="0017102C"/>
    <w:rsid w:val="0017103D"/>
    <w:rsid w:val="00171046"/>
    <w:rsid w:val="0017107D"/>
    <w:rsid w:val="001710A7"/>
    <w:rsid w:val="001710C3"/>
    <w:rsid w:val="00171108"/>
    <w:rsid w:val="00171109"/>
    <w:rsid w:val="0017110F"/>
    <w:rsid w:val="00171191"/>
    <w:rsid w:val="001711A7"/>
    <w:rsid w:val="001711A9"/>
    <w:rsid w:val="001711B1"/>
    <w:rsid w:val="001711BA"/>
    <w:rsid w:val="001711EF"/>
    <w:rsid w:val="0017123B"/>
    <w:rsid w:val="00171267"/>
    <w:rsid w:val="0017126A"/>
    <w:rsid w:val="00171294"/>
    <w:rsid w:val="001712A0"/>
    <w:rsid w:val="001712C1"/>
    <w:rsid w:val="001712DF"/>
    <w:rsid w:val="001712FF"/>
    <w:rsid w:val="0017133A"/>
    <w:rsid w:val="0017135B"/>
    <w:rsid w:val="00171369"/>
    <w:rsid w:val="00171389"/>
    <w:rsid w:val="0017138A"/>
    <w:rsid w:val="001713EB"/>
    <w:rsid w:val="00171447"/>
    <w:rsid w:val="0017145F"/>
    <w:rsid w:val="00171461"/>
    <w:rsid w:val="00171474"/>
    <w:rsid w:val="001714C2"/>
    <w:rsid w:val="001714C3"/>
    <w:rsid w:val="001714CF"/>
    <w:rsid w:val="001714DE"/>
    <w:rsid w:val="00171518"/>
    <w:rsid w:val="00171534"/>
    <w:rsid w:val="00171546"/>
    <w:rsid w:val="00171547"/>
    <w:rsid w:val="0017157E"/>
    <w:rsid w:val="00171581"/>
    <w:rsid w:val="00171594"/>
    <w:rsid w:val="001715E7"/>
    <w:rsid w:val="001715EC"/>
    <w:rsid w:val="00171605"/>
    <w:rsid w:val="00171614"/>
    <w:rsid w:val="0017163C"/>
    <w:rsid w:val="0017163D"/>
    <w:rsid w:val="00171649"/>
    <w:rsid w:val="0017165B"/>
    <w:rsid w:val="0017167D"/>
    <w:rsid w:val="001716AC"/>
    <w:rsid w:val="001716C0"/>
    <w:rsid w:val="001716C9"/>
    <w:rsid w:val="001716F8"/>
    <w:rsid w:val="0017170F"/>
    <w:rsid w:val="0017173E"/>
    <w:rsid w:val="00171770"/>
    <w:rsid w:val="00171779"/>
    <w:rsid w:val="0017179E"/>
    <w:rsid w:val="001717B8"/>
    <w:rsid w:val="001717BA"/>
    <w:rsid w:val="001717C2"/>
    <w:rsid w:val="0017184F"/>
    <w:rsid w:val="00171875"/>
    <w:rsid w:val="001718C4"/>
    <w:rsid w:val="0017190A"/>
    <w:rsid w:val="0017193A"/>
    <w:rsid w:val="00171988"/>
    <w:rsid w:val="001719C9"/>
    <w:rsid w:val="001719FB"/>
    <w:rsid w:val="00171A24"/>
    <w:rsid w:val="00171A30"/>
    <w:rsid w:val="00171A45"/>
    <w:rsid w:val="00171A49"/>
    <w:rsid w:val="00171A77"/>
    <w:rsid w:val="00171A82"/>
    <w:rsid w:val="00171A85"/>
    <w:rsid w:val="00171AA0"/>
    <w:rsid w:val="00171AA6"/>
    <w:rsid w:val="00171ABC"/>
    <w:rsid w:val="00171ABE"/>
    <w:rsid w:val="00171ACE"/>
    <w:rsid w:val="00171ADD"/>
    <w:rsid w:val="00171AE6"/>
    <w:rsid w:val="00171B7A"/>
    <w:rsid w:val="00171B8B"/>
    <w:rsid w:val="00171BC1"/>
    <w:rsid w:val="00171BD1"/>
    <w:rsid w:val="00171BE5"/>
    <w:rsid w:val="00171CA7"/>
    <w:rsid w:val="00171D11"/>
    <w:rsid w:val="00171D1D"/>
    <w:rsid w:val="00171D68"/>
    <w:rsid w:val="00171D92"/>
    <w:rsid w:val="00171DC8"/>
    <w:rsid w:val="00171E0F"/>
    <w:rsid w:val="00171E2E"/>
    <w:rsid w:val="00171E58"/>
    <w:rsid w:val="00171E64"/>
    <w:rsid w:val="00171E6C"/>
    <w:rsid w:val="00171E7B"/>
    <w:rsid w:val="00171E88"/>
    <w:rsid w:val="00171EA7"/>
    <w:rsid w:val="00171EC6"/>
    <w:rsid w:val="00171ECE"/>
    <w:rsid w:val="00171EEF"/>
    <w:rsid w:val="00171F23"/>
    <w:rsid w:val="00171F31"/>
    <w:rsid w:val="00171F71"/>
    <w:rsid w:val="00171F82"/>
    <w:rsid w:val="00171F87"/>
    <w:rsid w:val="00171F96"/>
    <w:rsid w:val="00171FAF"/>
    <w:rsid w:val="00171FCB"/>
    <w:rsid w:val="00171FEB"/>
    <w:rsid w:val="00172071"/>
    <w:rsid w:val="00172086"/>
    <w:rsid w:val="0017208A"/>
    <w:rsid w:val="00172092"/>
    <w:rsid w:val="00172198"/>
    <w:rsid w:val="00172210"/>
    <w:rsid w:val="00172214"/>
    <w:rsid w:val="00172215"/>
    <w:rsid w:val="00172216"/>
    <w:rsid w:val="00172250"/>
    <w:rsid w:val="0017226B"/>
    <w:rsid w:val="0017227E"/>
    <w:rsid w:val="0017228F"/>
    <w:rsid w:val="001722F5"/>
    <w:rsid w:val="00172321"/>
    <w:rsid w:val="00172326"/>
    <w:rsid w:val="00172335"/>
    <w:rsid w:val="0017236B"/>
    <w:rsid w:val="00172371"/>
    <w:rsid w:val="001723A2"/>
    <w:rsid w:val="001723B0"/>
    <w:rsid w:val="001723BA"/>
    <w:rsid w:val="001723C9"/>
    <w:rsid w:val="00172402"/>
    <w:rsid w:val="00172403"/>
    <w:rsid w:val="00172417"/>
    <w:rsid w:val="0017242E"/>
    <w:rsid w:val="0017243B"/>
    <w:rsid w:val="0017244F"/>
    <w:rsid w:val="0017246B"/>
    <w:rsid w:val="00172487"/>
    <w:rsid w:val="00172495"/>
    <w:rsid w:val="001724B0"/>
    <w:rsid w:val="001724C0"/>
    <w:rsid w:val="00172523"/>
    <w:rsid w:val="00172577"/>
    <w:rsid w:val="001725F0"/>
    <w:rsid w:val="00172621"/>
    <w:rsid w:val="00172667"/>
    <w:rsid w:val="001726B6"/>
    <w:rsid w:val="001726C2"/>
    <w:rsid w:val="001726CC"/>
    <w:rsid w:val="0017270D"/>
    <w:rsid w:val="001727DE"/>
    <w:rsid w:val="001727E2"/>
    <w:rsid w:val="00172800"/>
    <w:rsid w:val="0017283D"/>
    <w:rsid w:val="0017284C"/>
    <w:rsid w:val="00172869"/>
    <w:rsid w:val="0017286B"/>
    <w:rsid w:val="001728AB"/>
    <w:rsid w:val="001728BC"/>
    <w:rsid w:val="001728C1"/>
    <w:rsid w:val="001728DC"/>
    <w:rsid w:val="0017295C"/>
    <w:rsid w:val="0017298F"/>
    <w:rsid w:val="001729CB"/>
    <w:rsid w:val="001729D6"/>
    <w:rsid w:val="001729F9"/>
    <w:rsid w:val="00172A0A"/>
    <w:rsid w:val="00172A44"/>
    <w:rsid w:val="00172A83"/>
    <w:rsid w:val="00172B13"/>
    <w:rsid w:val="00172B1D"/>
    <w:rsid w:val="00172B39"/>
    <w:rsid w:val="00172B41"/>
    <w:rsid w:val="00172B58"/>
    <w:rsid w:val="00172B59"/>
    <w:rsid w:val="00172B7A"/>
    <w:rsid w:val="00172BA4"/>
    <w:rsid w:val="00172BB9"/>
    <w:rsid w:val="00172BBC"/>
    <w:rsid w:val="00172BC3"/>
    <w:rsid w:val="00172BCE"/>
    <w:rsid w:val="00172BDB"/>
    <w:rsid w:val="00172C04"/>
    <w:rsid w:val="00172C6F"/>
    <w:rsid w:val="00172C74"/>
    <w:rsid w:val="00172C7A"/>
    <w:rsid w:val="00172CD9"/>
    <w:rsid w:val="00172D1F"/>
    <w:rsid w:val="00172D23"/>
    <w:rsid w:val="00172D46"/>
    <w:rsid w:val="00172D59"/>
    <w:rsid w:val="00172D6C"/>
    <w:rsid w:val="00172D84"/>
    <w:rsid w:val="00172D94"/>
    <w:rsid w:val="00172DCA"/>
    <w:rsid w:val="00172DEA"/>
    <w:rsid w:val="00172E53"/>
    <w:rsid w:val="00172E70"/>
    <w:rsid w:val="00172E80"/>
    <w:rsid w:val="00172EBD"/>
    <w:rsid w:val="00172EC0"/>
    <w:rsid w:val="00172EDD"/>
    <w:rsid w:val="00172EF4"/>
    <w:rsid w:val="00172EFC"/>
    <w:rsid w:val="00172F24"/>
    <w:rsid w:val="00172F8D"/>
    <w:rsid w:val="0017309B"/>
    <w:rsid w:val="001730AD"/>
    <w:rsid w:val="001730B1"/>
    <w:rsid w:val="001730CB"/>
    <w:rsid w:val="001730D2"/>
    <w:rsid w:val="00173124"/>
    <w:rsid w:val="00173127"/>
    <w:rsid w:val="0017312F"/>
    <w:rsid w:val="0017314C"/>
    <w:rsid w:val="00173167"/>
    <w:rsid w:val="00173182"/>
    <w:rsid w:val="001731B9"/>
    <w:rsid w:val="001731DF"/>
    <w:rsid w:val="001731F2"/>
    <w:rsid w:val="00173201"/>
    <w:rsid w:val="00173210"/>
    <w:rsid w:val="0017321D"/>
    <w:rsid w:val="00173230"/>
    <w:rsid w:val="00173284"/>
    <w:rsid w:val="001732BC"/>
    <w:rsid w:val="001732E1"/>
    <w:rsid w:val="0017332B"/>
    <w:rsid w:val="0017332E"/>
    <w:rsid w:val="00173337"/>
    <w:rsid w:val="00173351"/>
    <w:rsid w:val="0017335A"/>
    <w:rsid w:val="00173361"/>
    <w:rsid w:val="00173365"/>
    <w:rsid w:val="00173371"/>
    <w:rsid w:val="00173376"/>
    <w:rsid w:val="001733B5"/>
    <w:rsid w:val="001733DE"/>
    <w:rsid w:val="001733F8"/>
    <w:rsid w:val="0017342B"/>
    <w:rsid w:val="00173492"/>
    <w:rsid w:val="0017349B"/>
    <w:rsid w:val="001734B3"/>
    <w:rsid w:val="001734BE"/>
    <w:rsid w:val="00173502"/>
    <w:rsid w:val="00173520"/>
    <w:rsid w:val="00173537"/>
    <w:rsid w:val="00173565"/>
    <w:rsid w:val="0017357F"/>
    <w:rsid w:val="0017358B"/>
    <w:rsid w:val="0017358E"/>
    <w:rsid w:val="0017359B"/>
    <w:rsid w:val="001735F9"/>
    <w:rsid w:val="00173662"/>
    <w:rsid w:val="001736D7"/>
    <w:rsid w:val="001736F6"/>
    <w:rsid w:val="0017370B"/>
    <w:rsid w:val="00173774"/>
    <w:rsid w:val="00173781"/>
    <w:rsid w:val="0017379E"/>
    <w:rsid w:val="001737F8"/>
    <w:rsid w:val="00173883"/>
    <w:rsid w:val="00173884"/>
    <w:rsid w:val="001738E1"/>
    <w:rsid w:val="00173930"/>
    <w:rsid w:val="0017394B"/>
    <w:rsid w:val="0017394F"/>
    <w:rsid w:val="00173961"/>
    <w:rsid w:val="001739A1"/>
    <w:rsid w:val="001739C1"/>
    <w:rsid w:val="00173A10"/>
    <w:rsid w:val="00173A3C"/>
    <w:rsid w:val="00173A4F"/>
    <w:rsid w:val="00173A53"/>
    <w:rsid w:val="00173A5E"/>
    <w:rsid w:val="00173A60"/>
    <w:rsid w:val="00173A6E"/>
    <w:rsid w:val="00173A6F"/>
    <w:rsid w:val="00173A97"/>
    <w:rsid w:val="00173AA2"/>
    <w:rsid w:val="00173AC9"/>
    <w:rsid w:val="00173ACD"/>
    <w:rsid w:val="00173AE0"/>
    <w:rsid w:val="00173B41"/>
    <w:rsid w:val="00173B49"/>
    <w:rsid w:val="00173B7A"/>
    <w:rsid w:val="00173B9B"/>
    <w:rsid w:val="00173BA7"/>
    <w:rsid w:val="00173BCE"/>
    <w:rsid w:val="00173BD7"/>
    <w:rsid w:val="00173BDD"/>
    <w:rsid w:val="00173CA9"/>
    <w:rsid w:val="00173CB8"/>
    <w:rsid w:val="00173D23"/>
    <w:rsid w:val="00173D59"/>
    <w:rsid w:val="00173D67"/>
    <w:rsid w:val="00173D91"/>
    <w:rsid w:val="00173DA7"/>
    <w:rsid w:val="00173DBA"/>
    <w:rsid w:val="00173DC2"/>
    <w:rsid w:val="00173DCD"/>
    <w:rsid w:val="00173E3C"/>
    <w:rsid w:val="00173E76"/>
    <w:rsid w:val="00173E80"/>
    <w:rsid w:val="00173EA1"/>
    <w:rsid w:val="00173EBF"/>
    <w:rsid w:val="00173F19"/>
    <w:rsid w:val="00173F31"/>
    <w:rsid w:val="00173F5D"/>
    <w:rsid w:val="00173F60"/>
    <w:rsid w:val="00173F63"/>
    <w:rsid w:val="00173F72"/>
    <w:rsid w:val="00173FCF"/>
    <w:rsid w:val="00173FD5"/>
    <w:rsid w:val="00174009"/>
    <w:rsid w:val="00174011"/>
    <w:rsid w:val="00174044"/>
    <w:rsid w:val="00174059"/>
    <w:rsid w:val="00174097"/>
    <w:rsid w:val="0017409B"/>
    <w:rsid w:val="001740E1"/>
    <w:rsid w:val="00174102"/>
    <w:rsid w:val="0017414C"/>
    <w:rsid w:val="0017418E"/>
    <w:rsid w:val="001741DF"/>
    <w:rsid w:val="001741E3"/>
    <w:rsid w:val="0017423A"/>
    <w:rsid w:val="00174249"/>
    <w:rsid w:val="00174284"/>
    <w:rsid w:val="001742CB"/>
    <w:rsid w:val="00174325"/>
    <w:rsid w:val="0017432D"/>
    <w:rsid w:val="00174331"/>
    <w:rsid w:val="0017433D"/>
    <w:rsid w:val="0017434C"/>
    <w:rsid w:val="0017437B"/>
    <w:rsid w:val="001743A8"/>
    <w:rsid w:val="001743EE"/>
    <w:rsid w:val="0017441A"/>
    <w:rsid w:val="0017441C"/>
    <w:rsid w:val="00174446"/>
    <w:rsid w:val="00174465"/>
    <w:rsid w:val="001744B6"/>
    <w:rsid w:val="001744F8"/>
    <w:rsid w:val="0017451F"/>
    <w:rsid w:val="00174569"/>
    <w:rsid w:val="00174572"/>
    <w:rsid w:val="00174599"/>
    <w:rsid w:val="001745E1"/>
    <w:rsid w:val="00174603"/>
    <w:rsid w:val="00174646"/>
    <w:rsid w:val="00174664"/>
    <w:rsid w:val="0017466A"/>
    <w:rsid w:val="00174675"/>
    <w:rsid w:val="001746EB"/>
    <w:rsid w:val="001746EC"/>
    <w:rsid w:val="00174716"/>
    <w:rsid w:val="00174741"/>
    <w:rsid w:val="00174769"/>
    <w:rsid w:val="00174797"/>
    <w:rsid w:val="001747AA"/>
    <w:rsid w:val="001747D8"/>
    <w:rsid w:val="00174811"/>
    <w:rsid w:val="00174825"/>
    <w:rsid w:val="0017486C"/>
    <w:rsid w:val="00174874"/>
    <w:rsid w:val="001748C7"/>
    <w:rsid w:val="001748F6"/>
    <w:rsid w:val="00174965"/>
    <w:rsid w:val="00174983"/>
    <w:rsid w:val="001749BE"/>
    <w:rsid w:val="001749FE"/>
    <w:rsid w:val="00174A19"/>
    <w:rsid w:val="00174A4F"/>
    <w:rsid w:val="00174A5E"/>
    <w:rsid w:val="00174A79"/>
    <w:rsid w:val="00174A7D"/>
    <w:rsid w:val="00174A91"/>
    <w:rsid w:val="00174A99"/>
    <w:rsid w:val="00174A9A"/>
    <w:rsid w:val="00174AAF"/>
    <w:rsid w:val="00174AB4"/>
    <w:rsid w:val="00174AE7"/>
    <w:rsid w:val="00174B43"/>
    <w:rsid w:val="00174B56"/>
    <w:rsid w:val="00174B69"/>
    <w:rsid w:val="00174B70"/>
    <w:rsid w:val="00174B89"/>
    <w:rsid w:val="00174BA4"/>
    <w:rsid w:val="00174BAD"/>
    <w:rsid w:val="00174BC1"/>
    <w:rsid w:val="00174BE7"/>
    <w:rsid w:val="00174C32"/>
    <w:rsid w:val="00174C3C"/>
    <w:rsid w:val="00174C3D"/>
    <w:rsid w:val="00174C3E"/>
    <w:rsid w:val="00174CCF"/>
    <w:rsid w:val="00174D26"/>
    <w:rsid w:val="00174D6C"/>
    <w:rsid w:val="00174D78"/>
    <w:rsid w:val="00174D82"/>
    <w:rsid w:val="00174DDB"/>
    <w:rsid w:val="00174DEB"/>
    <w:rsid w:val="00174E42"/>
    <w:rsid w:val="00174E51"/>
    <w:rsid w:val="00174E8A"/>
    <w:rsid w:val="00174EEF"/>
    <w:rsid w:val="00174EF2"/>
    <w:rsid w:val="00174F62"/>
    <w:rsid w:val="00174F63"/>
    <w:rsid w:val="00174F7D"/>
    <w:rsid w:val="00174F7E"/>
    <w:rsid w:val="00174FB9"/>
    <w:rsid w:val="00174FD5"/>
    <w:rsid w:val="00174FDB"/>
    <w:rsid w:val="00175059"/>
    <w:rsid w:val="00175094"/>
    <w:rsid w:val="001750B8"/>
    <w:rsid w:val="001750D3"/>
    <w:rsid w:val="001750D5"/>
    <w:rsid w:val="0017510E"/>
    <w:rsid w:val="0017512C"/>
    <w:rsid w:val="00175136"/>
    <w:rsid w:val="00175147"/>
    <w:rsid w:val="00175180"/>
    <w:rsid w:val="001751A6"/>
    <w:rsid w:val="001751A9"/>
    <w:rsid w:val="001751D2"/>
    <w:rsid w:val="001751F7"/>
    <w:rsid w:val="0017529F"/>
    <w:rsid w:val="001752B1"/>
    <w:rsid w:val="001752D2"/>
    <w:rsid w:val="001752DE"/>
    <w:rsid w:val="001752E5"/>
    <w:rsid w:val="001752E9"/>
    <w:rsid w:val="001752F8"/>
    <w:rsid w:val="001752FB"/>
    <w:rsid w:val="00175300"/>
    <w:rsid w:val="0017535F"/>
    <w:rsid w:val="001753A2"/>
    <w:rsid w:val="001753DB"/>
    <w:rsid w:val="001753E4"/>
    <w:rsid w:val="001753EF"/>
    <w:rsid w:val="001753F8"/>
    <w:rsid w:val="00175403"/>
    <w:rsid w:val="0017544D"/>
    <w:rsid w:val="00175458"/>
    <w:rsid w:val="00175493"/>
    <w:rsid w:val="001754AF"/>
    <w:rsid w:val="001754B5"/>
    <w:rsid w:val="001754CB"/>
    <w:rsid w:val="00175516"/>
    <w:rsid w:val="00175525"/>
    <w:rsid w:val="0017554A"/>
    <w:rsid w:val="0017555B"/>
    <w:rsid w:val="0017556C"/>
    <w:rsid w:val="00175575"/>
    <w:rsid w:val="0017557B"/>
    <w:rsid w:val="00175585"/>
    <w:rsid w:val="001755C2"/>
    <w:rsid w:val="001755F0"/>
    <w:rsid w:val="00175623"/>
    <w:rsid w:val="00175699"/>
    <w:rsid w:val="001756B2"/>
    <w:rsid w:val="001756B5"/>
    <w:rsid w:val="0017571B"/>
    <w:rsid w:val="0017571F"/>
    <w:rsid w:val="00175780"/>
    <w:rsid w:val="00175783"/>
    <w:rsid w:val="0017581C"/>
    <w:rsid w:val="0017584D"/>
    <w:rsid w:val="00175862"/>
    <w:rsid w:val="00175873"/>
    <w:rsid w:val="00175877"/>
    <w:rsid w:val="00175881"/>
    <w:rsid w:val="001758A0"/>
    <w:rsid w:val="001758EF"/>
    <w:rsid w:val="0017590C"/>
    <w:rsid w:val="00175985"/>
    <w:rsid w:val="00175993"/>
    <w:rsid w:val="001759DA"/>
    <w:rsid w:val="00175A07"/>
    <w:rsid w:val="00175A09"/>
    <w:rsid w:val="00175A25"/>
    <w:rsid w:val="00175A46"/>
    <w:rsid w:val="00175A5A"/>
    <w:rsid w:val="00175A61"/>
    <w:rsid w:val="00175A75"/>
    <w:rsid w:val="00175AA8"/>
    <w:rsid w:val="00175AE9"/>
    <w:rsid w:val="00175AF0"/>
    <w:rsid w:val="00175AF7"/>
    <w:rsid w:val="00175AFC"/>
    <w:rsid w:val="00175B2C"/>
    <w:rsid w:val="00175B3D"/>
    <w:rsid w:val="00175BA9"/>
    <w:rsid w:val="00175C40"/>
    <w:rsid w:val="00175C4B"/>
    <w:rsid w:val="00175C89"/>
    <w:rsid w:val="00175CC6"/>
    <w:rsid w:val="00175CD1"/>
    <w:rsid w:val="00175CD8"/>
    <w:rsid w:val="00175CDC"/>
    <w:rsid w:val="00175D45"/>
    <w:rsid w:val="00175D62"/>
    <w:rsid w:val="00175D63"/>
    <w:rsid w:val="00175D76"/>
    <w:rsid w:val="00175D86"/>
    <w:rsid w:val="00175E13"/>
    <w:rsid w:val="00175E22"/>
    <w:rsid w:val="00175E8A"/>
    <w:rsid w:val="00175ED4"/>
    <w:rsid w:val="00175F18"/>
    <w:rsid w:val="00175F7E"/>
    <w:rsid w:val="00175F8D"/>
    <w:rsid w:val="00175F96"/>
    <w:rsid w:val="00175F97"/>
    <w:rsid w:val="00175FE6"/>
    <w:rsid w:val="00175FF3"/>
    <w:rsid w:val="0017601C"/>
    <w:rsid w:val="00176024"/>
    <w:rsid w:val="0017604A"/>
    <w:rsid w:val="0017604E"/>
    <w:rsid w:val="00176065"/>
    <w:rsid w:val="0017607A"/>
    <w:rsid w:val="001760C8"/>
    <w:rsid w:val="0017610F"/>
    <w:rsid w:val="001761E5"/>
    <w:rsid w:val="0017621F"/>
    <w:rsid w:val="0017623F"/>
    <w:rsid w:val="00176241"/>
    <w:rsid w:val="0017625C"/>
    <w:rsid w:val="00176289"/>
    <w:rsid w:val="001762A8"/>
    <w:rsid w:val="001762CC"/>
    <w:rsid w:val="00176310"/>
    <w:rsid w:val="00176345"/>
    <w:rsid w:val="00176350"/>
    <w:rsid w:val="00176370"/>
    <w:rsid w:val="00176371"/>
    <w:rsid w:val="00176378"/>
    <w:rsid w:val="0017638F"/>
    <w:rsid w:val="0017639D"/>
    <w:rsid w:val="001763BF"/>
    <w:rsid w:val="001763F1"/>
    <w:rsid w:val="00176435"/>
    <w:rsid w:val="00176437"/>
    <w:rsid w:val="00176439"/>
    <w:rsid w:val="00176473"/>
    <w:rsid w:val="00176477"/>
    <w:rsid w:val="001764BD"/>
    <w:rsid w:val="00176526"/>
    <w:rsid w:val="00176585"/>
    <w:rsid w:val="001765B6"/>
    <w:rsid w:val="001765BA"/>
    <w:rsid w:val="001765BB"/>
    <w:rsid w:val="001765CF"/>
    <w:rsid w:val="001765DD"/>
    <w:rsid w:val="00176616"/>
    <w:rsid w:val="00176638"/>
    <w:rsid w:val="0017663A"/>
    <w:rsid w:val="00176643"/>
    <w:rsid w:val="00176660"/>
    <w:rsid w:val="001766D9"/>
    <w:rsid w:val="00176718"/>
    <w:rsid w:val="0017674B"/>
    <w:rsid w:val="00176780"/>
    <w:rsid w:val="001767F3"/>
    <w:rsid w:val="00176808"/>
    <w:rsid w:val="00176814"/>
    <w:rsid w:val="00176873"/>
    <w:rsid w:val="00176885"/>
    <w:rsid w:val="0017688B"/>
    <w:rsid w:val="001768AA"/>
    <w:rsid w:val="001768CC"/>
    <w:rsid w:val="001768DF"/>
    <w:rsid w:val="00176935"/>
    <w:rsid w:val="0017694C"/>
    <w:rsid w:val="0017699C"/>
    <w:rsid w:val="0017699F"/>
    <w:rsid w:val="001769AE"/>
    <w:rsid w:val="001769C5"/>
    <w:rsid w:val="001769C9"/>
    <w:rsid w:val="00176A40"/>
    <w:rsid w:val="00176A49"/>
    <w:rsid w:val="00176A7E"/>
    <w:rsid w:val="00176AB7"/>
    <w:rsid w:val="00176AE1"/>
    <w:rsid w:val="00176AF8"/>
    <w:rsid w:val="00176AFC"/>
    <w:rsid w:val="00176B16"/>
    <w:rsid w:val="00176B1B"/>
    <w:rsid w:val="00176B77"/>
    <w:rsid w:val="00176BA6"/>
    <w:rsid w:val="00176BB6"/>
    <w:rsid w:val="00176BBC"/>
    <w:rsid w:val="00176BD0"/>
    <w:rsid w:val="00176BDF"/>
    <w:rsid w:val="00176BF0"/>
    <w:rsid w:val="00176C54"/>
    <w:rsid w:val="00176C55"/>
    <w:rsid w:val="00176C7E"/>
    <w:rsid w:val="00176C82"/>
    <w:rsid w:val="00176C92"/>
    <w:rsid w:val="00176CE1"/>
    <w:rsid w:val="00176D1E"/>
    <w:rsid w:val="00176D28"/>
    <w:rsid w:val="00176D57"/>
    <w:rsid w:val="00176D96"/>
    <w:rsid w:val="00176DED"/>
    <w:rsid w:val="00176E01"/>
    <w:rsid w:val="00176E37"/>
    <w:rsid w:val="00176E69"/>
    <w:rsid w:val="00176E7D"/>
    <w:rsid w:val="00176EB8"/>
    <w:rsid w:val="00176EC6"/>
    <w:rsid w:val="00176ECC"/>
    <w:rsid w:val="00176ED0"/>
    <w:rsid w:val="00176EF2"/>
    <w:rsid w:val="00176F33"/>
    <w:rsid w:val="00176F5B"/>
    <w:rsid w:val="00176F98"/>
    <w:rsid w:val="00177005"/>
    <w:rsid w:val="00177033"/>
    <w:rsid w:val="00177035"/>
    <w:rsid w:val="00177052"/>
    <w:rsid w:val="0017707B"/>
    <w:rsid w:val="0017709B"/>
    <w:rsid w:val="001770C4"/>
    <w:rsid w:val="00177105"/>
    <w:rsid w:val="00177126"/>
    <w:rsid w:val="00177132"/>
    <w:rsid w:val="00177135"/>
    <w:rsid w:val="00177148"/>
    <w:rsid w:val="00177152"/>
    <w:rsid w:val="00177179"/>
    <w:rsid w:val="0017718C"/>
    <w:rsid w:val="00177199"/>
    <w:rsid w:val="0017719C"/>
    <w:rsid w:val="001771BA"/>
    <w:rsid w:val="001771F6"/>
    <w:rsid w:val="001771F7"/>
    <w:rsid w:val="0017723E"/>
    <w:rsid w:val="00177245"/>
    <w:rsid w:val="00177248"/>
    <w:rsid w:val="00177298"/>
    <w:rsid w:val="001772C8"/>
    <w:rsid w:val="001772D2"/>
    <w:rsid w:val="001772F1"/>
    <w:rsid w:val="0017731E"/>
    <w:rsid w:val="00177341"/>
    <w:rsid w:val="00177347"/>
    <w:rsid w:val="0017737E"/>
    <w:rsid w:val="001773EF"/>
    <w:rsid w:val="00177425"/>
    <w:rsid w:val="00177454"/>
    <w:rsid w:val="00177483"/>
    <w:rsid w:val="00177494"/>
    <w:rsid w:val="001774CB"/>
    <w:rsid w:val="001775ED"/>
    <w:rsid w:val="00177629"/>
    <w:rsid w:val="0017763C"/>
    <w:rsid w:val="00177680"/>
    <w:rsid w:val="001776A8"/>
    <w:rsid w:val="001776C1"/>
    <w:rsid w:val="001776EC"/>
    <w:rsid w:val="001776F3"/>
    <w:rsid w:val="00177723"/>
    <w:rsid w:val="0017777E"/>
    <w:rsid w:val="001777D9"/>
    <w:rsid w:val="001777E6"/>
    <w:rsid w:val="001777EB"/>
    <w:rsid w:val="001777F8"/>
    <w:rsid w:val="0017780B"/>
    <w:rsid w:val="00177819"/>
    <w:rsid w:val="00177836"/>
    <w:rsid w:val="00177849"/>
    <w:rsid w:val="0017785C"/>
    <w:rsid w:val="001778B4"/>
    <w:rsid w:val="001778B7"/>
    <w:rsid w:val="001778C4"/>
    <w:rsid w:val="001778C5"/>
    <w:rsid w:val="001778D5"/>
    <w:rsid w:val="00177915"/>
    <w:rsid w:val="00177922"/>
    <w:rsid w:val="0017796D"/>
    <w:rsid w:val="001779C8"/>
    <w:rsid w:val="001779E9"/>
    <w:rsid w:val="00177A10"/>
    <w:rsid w:val="00177A4F"/>
    <w:rsid w:val="00177A87"/>
    <w:rsid w:val="00177AA8"/>
    <w:rsid w:val="00177ABF"/>
    <w:rsid w:val="00177AD6"/>
    <w:rsid w:val="00177AD7"/>
    <w:rsid w:val="00177AE2"/>
    <w:rsid w:val="00177B05"/>
    <w:rsid w:val="00177B3F"/>
    <w:rsid w:val="00177B78"/>
    <w:rsid w:val="00177B81"/>
    <w:rsid w:val="00177B9E"/>
    <w:rsid w:val="00177BA2"/>
    <w:rsid w:val="00177BDC"/>
    <w:rsid w:val="00177C07"/>
    <w:rsid w:val="00177C40"/>
    <w:rsid w:val="00177CF6"/>
    <w:rsid w:val="00177D15"/>
    <w:rsid w:val="00177D41"/>
    <w:rsid w:val="00177D58"/>
    <w:rsid w:val="00177D69"/>
    <w:rsid w:val="00177D9C"/>
    <w:rsid w:val="00177DB5"/>
    <w:rsid w:val="00177DBD"/>
    <w:rsid w:val="00177DE5"/>
    <w:rsid w:val="00177DF8"/>
    <w:rsid w:val="00177E16"/>
    <w:rsid w:val="00177E87"/>
    <w:rsid w:val="00177E96"/>
    <w:rsid w:val="00177EA6"/>
    <w:rsid w:val="00177EEE"/>
    <w:rsid w:val="00177FC5"/>
    <w:rsid w:val="00177FFB"/>
    <w:rsid w:val="0017E87E"/>
    <w:rsid w:val="00180006"/>
    <w:rsid w:val="00180048"/>
    <w:rsid w:val="0018008A"/>
    <w:rsid w:val="00180090"/>
    <w:rsid w:val="001800AB"/>
    <w:rsid w:val="001800C9"/>
    <w:rsid w:val="001800DD"/>
    <w:rsid w:val="001800EB"/>
    <w:rsid w:val="001800F4"/>
    <w:rsid w:val="001800F7"/>
    <w:rsid w:val="0018014F"/>
    <w:rsid w:val="0018017E"/>
    <w:rsid w:val="001801CD"/>
    <w:rsid w:val="00180223"/>
    <w:rsid w:val="00180232"/>
    <w:rsid w:val="00180241"/>
    <w:rsid w:val="00180244"/>
    <w:rsid w:val="00180245"/>
    <w:rsid w:val="00180265"/>
    <w:rsid w:val="00180278"/>
    <w:rsid w:val="0018027A"/>
    <w:rsid w:val="00180290"/>
    <w:rsid w:val="001802DF"/>
    <w:rsid w:val="00180322"/>
    <w:rsid w:val="0018033F"/>
    <w:rsid w:val="00180374"/>
    <w:rsid w:val="00180381"/>
    <w:rsid w:val="00180383"/>
    <w:rsid w:val="001803BA"/>
    <w:rsid w:val="001803EA"/>
    <w:rsid w:val="00180414"/>
    <w:rsid w:val="0018043F"/>
    <w:rsid w:val="0018048A"/>
    <w:rsid w:val="0018048B"/>
    <w:rsid w:val="001804AD"/>
    <w:rsid w:val="001804F4"/>
    <w:rsid w:val="001804F6"/>
    <w:rsid w:val="00180523"/>
    <w:rsid w:val="00180575"/>
    <w:rsid w:val="001805D6"/>
    <w:rsid w:val="00180640"/>
    <w:rsid w:val="0018065A"/>
    <w:rsid w:val="0018068A"/>
    <w:rsid w:val="001806A0"/>
    <w:rsid w:val="001806E3"/>
    <w:rsid w:val="00180765"/>
    <w:rsid w:val="00180783"/>
    <w:rsid w:val="001807E8"/>
    <w:rsid w:val="0018080A"/>
    <w:rsid w:val="00180830"/>
    <w:rsid w:val="00180843"/>
    <w:rsid w:val="0018085D"/>
    <w:rsid w:val="0018089E"/>
    <w:rsid w:val="001808B4"/>
    <w:rsid w:val="001808EA"/>
    <w:rsid w:val="00180914"/>
    <w:rsid w:val="00180980"/>
    <w:rsid w:val="00180996"/>
    <w:rsid w:val="001809C4"/>
    <w:rsid w:val="001809F6"/>
    <w:rsid w:val="00180A00"/>
    <w:rsid w:val="00180A03"/>
    <w:rsid w:val="00180A3C"/>
    <w:rsid w:val="00180A6E"/>
    <w:rsid w:val="00180A6F"/>
    <w:rsid w:val="00180AAD"/>
    <w:rsid w:val="00180AE2"/>
    <w:rsid w:val="00180B47"/>
    <w:rsid w:val="00180B8B"/>
    <w:rsid w:val="00180B97"/>
    <w:rsid w:val="00180BA5"/>
    <w:rsid w:val="00180BB3"/>
    <w:rsid w:val="00180BB8"/>
    <w:rsid w:val="00180C38"/>
    <w:rsid w:val="00180C46"/>
    <w:rsid w:val="00180C6C"/>
    <w:rsid w:val="00180C73"/>
    <w:rsid w:val="00180CBC"/>
    <w:rsid w:val="00180CD0"/>
    <w:rsid w:val="00180CD9"/>
    <w:rsid w:val="00180CE3"/>
    <w:rsid w:val="00180D2E"/>
    <w:rsid w:val="00180D43"/>
    <w:rsid w:val="00180DAE"/>
    <w:rsid w:val="00180DC5"/>
    <w:rsid w:val="00180E4A"/>
    <w:rsid w:val="00180E6A"/>
    <w:rsid w:val="00180E75"/>
    <w:rsid w:val="00180E79"/>
    <w:rsid w:val="00180E89"/>
    <w:rsid w:val="00180EFE"/>
    <w:rsid w:val="00180EFF"/>
    <w:rsid w:val="00180F05"/>
    <w:rsid w:val="00180F12"/>
    <w:rsid w:val="00180F69"/>
    <w:rsid w:val="00180F77"/>
    <w:rsid w:val="00180F90"/>
    <w:rsid w:val="00180FB0"/>
    <w:rsid w:val="00180FE0"/>
    <w:rsid w:val="00180FEC"/>
    <w:rsid w:val="00180FF9"/>
    <w:rsid w:val="0018100C"/>
    <w:rsid w:val="00181034"/>
    <w:rsid w:val="0018104F"/>
    <w:rsid w:val="00181061"/>
    <w:rsid w:val="00181068"/>
    <w:rsid w:val="00181074"/>
    <w:rsid w:val="001810CC"/>
    <w:rsid w:val="001810E0"/>
    <w:rsid w:val="00181145"/>
    <w:rsid w:val="00181157"/>
    <w:rsid w:val="0018119B"/>
    <w:rsid w:val="001811A2"/>
    <w:rsid w:val="001811B0"/>
    <w:rsid w:val="001811C1"/>
    <w:rsid w:val="001811E0"/>
    <w:rsid w:val="0018120F"/>
    <w:rsid w:val="00181217"/>
    <w:rsid w:val="00181218"/>
    <w:rsid w:val="0018121B"/>
    <w:rsid w:val="00181223"/>
    <w:rsid w:val="0018122B"/>
    <w:rsid w:val="00181256"/>
    <w:rsid w:val="00181267"/>
    <w:rsid w:val="00181278"/>
    <w:rsid w:val="0018127D"/>
    <w:rsid w:val="0018128E"/>
    <w:rsid w:val="001812A3"/>
    <w:rsid w:val="001812BE"/>
    <w:rsid w:val="00181340"/>
    <w:rsid w:val="00181391"/>
    <w:rsid w:val="001813CB"/>
    <w:rsid w:val="001813D3"/>
    <w:rsid w:val="001813D9"/>
    <w:rsid w:val="0018140E"/>
    <w:rsid w:val="00181444"/>
    <w:rsid w:val="0018147C"/>
    <w:rsid w:val="00181482"/>
    <w:rsid w:val="001814C7"/>
    <w:rsid w:val="001814CA"/>
    <w:rsid w:val="001814D8"/>
    <w:rsid w:val="001814DF"/>
    <w:rsid w:val="001814F5"/>
    <w:rsid w:val="0018150B"/>
    <w:rsid w:val="0018152C"/>
    <w:rsid w:val="00181533"/>
    <w:rsid w:val="00181543"/>
    <w:rsid w:val="00181551"/>
    <w:rsid w:val="00181552"/>
    <w:rsid w:val="00181562"/>
    <w:rsid w:val="00181589"/>
    <w:rsid w:val="0018158F"/>
    <w:rsid w:val="0018159A"/>
    <w:rsid w:val="001815D2"/>
    <w:rsid w:val="001815D3"/>
    <w:rsid w:val="001815EE"/>
    <w:rsid w:val="001815F9"/>
    <w:rsid w:val="0018161E"/>
    <w:rsid w:val="0018162C"/>
    <w:rsid w:val="0018163E"/>
    <w:rsid w:val="001816B3"/>
    <w:rsid w:val="001816F2"/>
    <w:rsid w:val="00181725"/>
    <w:rsid w:val="0018172F"/>
    <w:rsid w:val="0018176E"/>
    <w:rsid w:val="0018178F"/>
    <w:rsid w:val="001817B0"/>
    <w:rsid w:val="001817C4"/>
    <w:rsid w:val="001817CB"/>
    <w:rsid w:val="001817D4"/>
    <w:rsid w:val="001817D7"/>
    <w:rsid w:val="001817E3"/>
    <w:rsid w:val="0018183A"/>
    <w:rsid w:val="0018184D"/>
    <w:rsid w:val="00181892"/>
    <w:rsid w:val="00181899"/>
    <w:rsid w:val="001818B3"/>
    <w:rsid w:val="0018190D"/>
    <w:rsid w:val="00181998"/>
    <w:rsid w:val="001819D8"/>
    <w:rsid w:val="001819D9"/>
    <w:rsid w:val="001819F1"/>
    <w:rsid w:val="001819FF"/>
    <w:rsid w:val="00181A00"/>
    <w:rsid w:val="00181A04"/>
    <w:rsid w:val="00181A12"/>
    <w:rsid w:val="00181A43"/>
    <w:rsid w:val="00181A63"/>
    <w:rsid w:val="00181B19"/>
    <w:rsid w:val="00181B27"/>
    <w:rsid w:val="00181B2C"/>
    <w:rsid w:val="00181B64"/>
    <w:rsid w:val="00181B69"/>
    <w:rsid w:val="00181B6D"/>
    <w:rsid w:val="00181B9E"/>
    <w:rsid w:val="00181BCD"/>
    <w:rsid w:val="00181BD3"/>
    <w:rsid w:val="00181BD4"/>
    <w:rsid w:val="00181C0E"/>
    <w:rsid w:val="00181C4B"/>
    <w:rsid w:val="00181C6D"/>
    <w:rsid w:val="00181C7F"/>
    <w:rsid w:val="00181CA3"/>
    <w:rsid w:val="00181CA9"/>
    <w:rsid w:val="00181CD5"/>
    <w:rsid w:val="00181CF7"/>
    <w:rsid w:val="00181D2B"/>
    <w:rsid w:val="00181DD2"/>
    <w:rsid w:val="00181DDC"/>
    <w:rsid w:val="00181E04"/>
    <w:rsid w:val="00181E0D"/>
    <w:rsid w:val="00181E8D"/>
    <w:rsid w:val="00181E9E"/>
    <w:rsid w:val="00181E9F"/>
    <w:rsid w:val="00181EB0"/>
    <w:rsid w:val="00181F21"/>
    <w:rsid w:val="00181F25"/>
    <w:rsid w:val="00181F2F"/>
    <w:rsid w:val="00181F6C"/>
    <w:rsid w:val="00181FB0"/>
    <w:rsid w:val="00181FFE"/>
    <w:rsid w:val="00182009"/>
    <w:rsid w:val="00182056"/>
    <w:rsid w:val="00182057"/>
    <w:rsid w:val="001820EA"/>
    <w:rsid w:val="0018213B"/>
    <w:rsid w:val="0018219F"/>
    <w:rsid w:val="001821D9"/>
    <w:rsid w:val="001821DF"/>
    <w:rsid w:val="001821F0"/>
    <w:rsid w:val="001821F6"/>
    <w:rsid w:val="0018224C"/>
    <w:rsid w:val="00182269"/>
    <w:rsid w:val="0018228A"/>
    <w:rsid w:val="001822B5"/>
    <w:rsid w:val="001822C1"/>
    <w:rsid w:val="001822F2"/>
    <w:rsid w:val="001822F3"/>
    <w:rsid w:val="0018230E"/>
    <w:rsid w:val="0018232C"/>
    <w:rsid w:val="00182340"/>
    <w:rsid w:val="00182371"/>
    <w:rsid w:val="00182393"/>
    <w:rsid w:val="001823A9"/>
    <w:rsid w:val="001823AD"/>
    <w:rsid w:val="001823E7"/>
    <w:rsid w:val="00182407"/>
    <w:rsid w:val="001824BB"/>
    <w:rsid w:val="001824C2"/>
    <w:rsid w:val="001824F9"/>
    <w:rsid w:val="0018251B"/>
    <w:rsid w:val="0018256F"/>
    <w:rsid w:val="0018257E"/>
    <w:rsid w:val="001825FB"/>
    <w:rsid w:val="0018261C"/>
    <w:rsid w:val="0018261E"/>
    <w:rsid w:val="0018265F"/>
    <w:rsid w:val="00182672"/>
    <w:rsid w:val="00182675"/>
    <w:rsid w:val="001826C5"/>
    <w:rsid w:val="001826FB"/>
    <w:rsid w:val="001826FC"/>
    <w:rsid w:val="001826FD"/>
    <w:rsid w:val="0018271A"/>
    <w:rsid w:val="00182732"/>
    <w:rsid w:val="00182752"/>
    <w:rsid w:val="00182754"/>
    <w:rsid w:val="00182793"/>
    <w:rsid w:val="001827A2"/>
    <w:rsid w:val="001827AA"/>
    <w:rsid w:val="001827F8"/>
    <w:rsid w:val="0018282F"/>
    <w:rsid w:val="00182833"/>
    <w:rsid w:val="0018284C"/>
    <w:rsid w:val="00182872"/>
    <w:rsid w:val="001828BD"/>
    <w:rsid w:val="001828C6"/>
    <w:rsid w:val="0018291E"/>
    <w:rsid w:val="00182977"/>
    <w:rsid w:val="0018297F"/>
    <w:rsid w:val="001829DC"/>
    <w:rsid w:val="001829DF"/>
    <w:rsid w:val="001829E9"/>
    <w:rsid w:val="001829ED"/>
    <w:rsid w:val="00182A0B"/>
    <w:rsid w:val="00182A61"/>
    <w:rsid w:val="00182A70"/>
    <w:rsid w:val="00182A8B"/>
    <w:rsid w:val="00182AA9"/>
    <w:rsid w:val="00182ABC"/>
    <w:rsid w:val="00182AE0"/>
    <w:rsid w:val="00182AEC"/>
    <w:rsid w:val="00182AF9"/>
    <w:rsid w:val="00182B00"/>
    <w:rsid w:val="00182B07"/>
    <w:rsid w:val="00182B1B"/>
    <w:rsid w:val="00182B49"/>
    <w:rsid w:val="00182B4F"/>
    <w:rsid w:val="00182B5B"/>
    <w:rsid w:val="00182B96"/>
    <w:rsid w:val="00182BCB"/>
    <w:rsid w:val="00182BD4"/>
    <w:rsid w:val="00182BFA"/>
    <w:rsid w:val="00182C43"/>
    <w:rsid w:val="00182C52"/>
    <w:rsid w:val="00182C5F"/>
    <w:rsid w:val="00182CE3"/>
    <w:rsid w:val="00182CE7"/>
    <w:rsid w:val="00182D97"/>
    <w:rsid w:val="00182DCF"/>
    <w:rsid w:val="00182DEA"/>
    <w:rsid w:val="00182E85"/>
    <w:rsid w:val="00182E95"/>
    <w:rsid w:val="00182EDA"/>
    <w:rsid w:val="00182F2C"/>
    <w:rsid w:val="00182F36"/>
    <w:rsid w:val="00182F48"/>
    <w:rsid w:val="00182F7B"/>
    <w:rsid w:val="00182F91"/>
    <w:rsid w:val="00182FB4"/>
    <w:rsid w:val="00182FBB"/>
    <w:rsid w:val="00183027"/>
    <w:rsid w:val="00183041"/>
    <w:rsid w:val="0018304F"/>
    <w:rsid w:val="00183054"/>
    <w:rsid w:val="00183096"/>
    <w:rsid w:val="0018309A"/>
    <w:rsid w:val="001830A6"/>
    <w:rsid w:val="001830AE"/>
    <w:rsid w:val="0018316C"/>
    <w:rsid w:val="0018317E"/>
    <w:rsid w:val="0018320C"/>
    <w:rsid w:val="00183242"/>
    <w:rsid w:val="0018326E"/>
    <w:rsid w:val="001832D9"/>
    <w:rsid w:val="0018330A"/>
    <w:rsid w:val="0018335F"/>
    <w:rsid w:val="00183369"/>
    <w:rsid w:val="0018337F"/>
    <w:rsid w:val="00183389"/>
    <w:rsid w:val="001833C0"/>
    <w:rsid w:val="001833DE"/>
    <w:rsid w:val="00183466"/>
    <w:rsid w:val="001834A1"/>
    <w:rsid w:val="001834C6"/>
    <w:rsid w:val="001834F2"/>
    <w:rsid w:val="001834FD"/>
    <w:rsid w:val="0018351F"/>
    <w:rsid w:val="00183542"/>
    <w:rsid w:val="001835AD"/>
    <w:rsid w:val="001835B3"/>
    <w:rsid w:val="001835D3"/>
    <w:rsid w:val="001835DE"/>
    <w:rsid w:val="001835ED"/>
    <w:rsid w:val="001836A1"/>
    <w:rsid w:val="001836AB"/>
    <w:rsid w:val="001836C0"/>
    <w:rsid w:val="001836C7"/>
    <w:rsid w:val="00183782"/>
    <w:rsid w:val="001837D1"/>
    <w:rsid w:val="001837E2"/>
    <w:rsid w:val="001837F9"/>
    <w:rsid w:val="0018380D"/>
    <w:rsid w:val="0018380F"/>
    <w:rsid w:val="00183867"/>
    <w:rsid w:val="0018386B"/>
    <w:rsid w:val="00183870"/>
    <w:rsid w:val="001838B3"/>
    <w:rsid w:val="00183904"/>
    <w:rsid w:val="0018396D"/>
    <w:rsid w:val="0018396F"/>
    <w:rsid w:val="0018398C"/>
    <w:rsid w:val="00183999"/>
    <w:rsid w:val="0018399D"/>
    <w:rsid w:val="001839AE"/>
    <w:rsid w:val="001839F3"/>
    <w:rsid w:val="00183A2A"/>
    <w:rsid w:val="00183A47"/>
    <w:rsid w:val="00183A90"/>
    <w:rsid w:val="00183AC2"/>
    <w:rsid w:val="00183AD6"/>
    <w:rsid w:val="00183B47"/>
    <w:rsid w:val="00183B50"/>
    <w:rsid w:val="00183B58"/>
    <w:rsid w:val="00183B95"/>
    <w:rsid w:val="00183BBA"/>
    <w:rsid w:val="00183BDA"/>
    <w:rsid w:val="00183C4F"/>
    <w:rsid w:val="00183C60"/>
    <w:rsid w:val="00183C7A"/>
    <w:rsid w:val="00183C82"/>
    <w:rsid w:val="00183C8B"/>
    <w:rsid w:val="00183CA4"/>
    <w:rsid w:val="00183CB1"/>
    <w:rsid w:val="00183D1C"/>
    <w:rsid w:val="00183D21"/>
    <w:rsid w:val="00183D2C"/>
    <w:rsid w:val="00183D83"/>
    <w:rsid w:val="00183D87"/>
    <w:rsid w:val="00183DB7"/>
    <w:rsid w:val="00183DC0"/>
    <w:rsid w:val="00183DFA"/>
    <w:rsid w:val="00183E03"/>
    <w:rsid w:val="00183E1A"/>
    <w:rsid w:val="00183E58"/>
    <w:rsid w:val="00183EA2"/>
    <w:rsid w:val="00183EED"/>
    <w:rsid w:val="00183F50"/>
    <w:rsid w:val="00183F77"/>
    <w:rsid w:val="00183FCA"/>
    <w:rsid w:val="00183FEB"/>
    <w:rsid w:val="00183FEC"/>
    <w:rsid w:val="00183FFA"/>
    <w:rsid w:val="0018400B"/>
    <w:rsid w:val="0018400C"/>
    <w:rsid w:val="00184048"/>
    <w:rsid w:val="0018407A"/>
    <w:rsid w:val="0018408A"/>
    <w:rsid w:val="0018408B"/>
    <w:rsid w:val="001840A8"/>
    <w:rsid w:val="001840D8"/>
    <w:rsid w:val="001840DA"/>
    <w:rsid w:val="001840EC"/>
    <w:rsid w:val="001840F4"/>
    <w:rsid w:val="001840F8"/>
    <w:rsid w:val="001840FE"/>
    <w:rsid w:val="0018415C"/>
    <w:rsid w:val="00184160"/>
    <w:rsid w:val="0018418B"/>
    <w:rsid w:val="0018418F"/>
    <w:rsid w:val="001841DF"/>
    <w:rsid w:val="00184242"/>
    <w:rsid w:val="00184252"/>
    <w:rsid w:val="0018425A"/>
    <w:rsid w:val="0018425E"/>
    <w:rsid w:val="0018425F"/>
    <w:rsid w:val="0018426E"/>
    <w:rsid w:val="00184288"/>
    <w:rsid w:val="001842BF"/>
    <w:rsid w:val="001842C1"/>
    <w:rsid w:val="001842D4"/>
    <w:rsid w:val="001842EE"/>
    <w:rsid w:val="00184307"/>
    <w:rsid w:val="00184314"/>
    <w:rsid w:val="00184316"/>
    <w:rsid w:val="0018434B"/>
    <w:rsid w:val="00184361"/>
    <w:rsid w:val="00184365"/>
    <w:rsid w:val="001843B5"/>
    <w:rsid w:val="00184411"/>
    <w:rsid w:val="00184433"/>
    <w:rsid w:val="00184438"/>
    <w:rsid w:val="0018444C"/>
    <w:rsid w:val="001844AB"/>
    <w:rsid w:val="001844C1"/>
    <w:rsid w:val="001844E8"/>
    <w:rsid w:val="001844FB"/>
    <w:rsid w:val="00184501"/>
    <w:rsid w:val="0018451D"/>
    <w:rsid w:val="00184537"/>
    <w:rsid w:val="0018453D"/>
    <w:rsid w:val="00184562"/>
    <w:rsid w:val="00184575"/>
    <w:rsid w:val="0018457F"/>
    <w:rsid w:val="00184588"/>
    <w:rsid w:val="001845A8"/>
    <w:rsid w:val="001845CB"/>
    <w:rsid w:val="00184664"/>
    <w:rsid w:val="0018468C"/>
    <w:rsid w:val="0018469F"/>
    <w:rsid w:val="001846A8"/>
    <w:rsid w:val="001846F5"/>
    <w:rsid w:val="001846FC"/>
    <w:rsid w:val="0018472B"/>
    <w:rsid w:val="00184734"/>
    <w:rsid w:val="00184753"/>
    <w:rsid w:val="0018476A"/>
    <w:rsid w:val="0018477D"/>
    <w:rsid w:val="00184799"/>
    <w:rsid w:val="001847DF"/>
    <w:rsid w:val="001847FE"/>
    <w:rsid w:val="00184878"/>
    <w:rsid w:val="001848C3"/>
    <w:rsid w:val="0018491A"/>
    <w:rsid w:val="00184977"/>
    <w:rsid w:val="00184981"/>
    <w:rsid w:val="00184A5A"/>
    <w:rsid w:val="00184A68"/>
    <w:rsid w:val="00184A7D"/>
    <w:rsid w:val="00184AA8"/>
    <w:rsid w:val="00184AA9"/>
    <w:rsid w:val="00184AAF"/>
    <w:rsid w:val="00184AC4"/>
    <w:rsid w:val="00184B0D"/>
    <w:rsid w:val="00184B4C"/>
    <w:rsid w:val="00184B6C"/>
    <w:rsid w:val="00184B96"/>
    <w:rsid w:val="00184B98"/>
    <w:rsid w:val="00184BEE"/>
    <w:rsid w:val="00184BF4"/>
    <w:rsid w:val="00184BF5"/>
    <w:rsid w:val="00184C2D"/>
    <w:rsid w:val="00184C45"/>
    <w:rsid w:val="00184C98"/>
    <w:rsid w:val="00184CEA"/>
    <w:rsid w:val="00184D2C"/>
    <w:rsid w:val="00184D36"/>
    <w:rsid w:val="00184D59"/>
    <w:rsid w:val="00184D9A"/>
    <w:rsid w:val="00184D9F"/>
    <w:rsid w:val="00184DA3"/>
    <w:rsid w:val="00184DC7"/>
    <w:rsid w:val="00184E19"/>
    <w:rsid w:val="00184EB4"/>
    <w:rsid w:val="00184EBB"/>
    <w:rsid w:val="00184EE3"/>
    <w:rsid w:val="00184F5A"/>
    <w:rsid w:val="00184F61"/>
    <w:rsid w:val="00184F74"/>
    <w:rsid w:val="00184F75"/>
    <w:rsid w:val="00184F81"/>
    <w:rsid w:val="00184FB5"/>
    <w:rsid w:val="00185004"/>
    <w:rsid w:val="00185036"/>
    <w:rsid w:val="00185039"/>
    <w:rsid w:val="00185040"/>
    <w:rsid w:val="00185057"/>
    <w:rsid w:val="0018507C"/>
    <w:rsid w:val="001850A2"/>
    <w:rsid w:val="001850BD"/>
    <w:rsid w:val="001850BE"/>
    <w:rsid w:val="001850DB"/>
    <w:rsid w:val="001850F6"/>
    <w:rsid w:val="00185104"/>
    <w:rsid w:val="0018510B"/>
    <w:rsid w:val="0018513F"/>
    <w:rsid w:val="00185147"/>
    <w:rsid w:val="00185152"/>
    <w:rsid w:val="00185168"/>
    <w:rsid w:val="001851AF"/>
    <w:rsid w:val="0018521D"/>
    <w:rsid w:val="00185234"/>
    <w:rsid w:val="00185244"/>
    <w:rsid w:val="0018525B"/>
    <w:rsid w:val="0018526B"/>
    <w:rsid w:val="001852AE"/>
    <w:rsid w:val="0018530D"/>
    <w:rsid w:val="00185336"/>
    <w:rsid w:val="0018534C"/>
    <w:rsid w:val="001853FA"/>
    <w:rsid w:val="00185453"/>
    <w:rsid w:val="0018547C"/>
    <w:rsid w:val="001854B6"/>
    <w:rsid w:val="001854DB"/>
    <w:rsid w:val="00185525"/>
    <w:rsid w:val="00185575"/>
    <w:rsid w:val="001855B9"/>
    <w:rsid w:val="00185621"/>
    <w:rsid w:val="00185652"/>
    <w:rsid w:val="0018566F"/>
    <w:rsid w:val="00185694"/>
    <w:rsid w:val="0018569A"/>
    <w:rsid w:val="001856B5"/>
    <w:rsid w:val="001856C5"/>
    <w:rsid w:val="001856C7"/>
    <w:rsid w:val="0018571B"/>
    <w:rsid w:val="0018574C"/>
    <w:rsid w:val="00185756"/>
    <w:rsid w:val="00185765"/>
    <w:rsid w:val="0018577B"/>
    <w:rsid w:val="001857D0"/>
    <w:rsid w:val="001857D5"/>
    <w:rsid w:val="00185803"/>
    <w:rsid w:val="0018580F"/>
    <w:rsid w:val="0018582A"/>
    <w:rsid w:val="0018583C"/>
    <w:rsid w:val="00185843"/>
    <w:rsid w:val="0018588E"/>
    <w:rsid w:val="001858C7"/>
    <w:rsid w:val="001858DB"/>
    <w:rsid w:val="001858DF"/>
    <w:rsid w:val="001858E6"/>
    <w:rsid w:val="0018591C"/>
    <w:rsid w:val="001859E4"/>
    <w:rsid w:val="001859FF"/>
    <w:rsid w:val="00185A34"/>
    <w:rsid w:val="00185A46"/>
    <w:rsid w:val="00185A4A"/>
    <w:rsid w:val="00185A81"/>
    <w:rsid w:val="00185AF6"/>
    <w:rsid w:val="00185B53"/>
    <w:rsid w:val="00185B5E"/>
    <w:rsid w:val="00185B7A"/>
    <w:rsid w:val="00185BD0"/>
    <w:rsid w:val="00185BD3"/>
    <w:rsid w:val="00185BEF"/>
    <w:rsid w:val="00185C49"/>
    <w:rsid w:val="00185C5A"/>
    <w:rsid w:val="00185D8D"/>
    <w:rsid w:val="00185DAE"/>
    <w:rsid w:val="00185E67"/>
    <w:rsid w:val="00185E6A"/>
    <w:rsid w:val="00185E71"/>
    <w:rsid w:val="00185E99"/>
    <w:rsid w:val="00185EAB"/>
    <w:rsid w:val="00185EB2"/>
    <w:rsid w:val="00185ED6"/>
    <w:rsid w:val="00185F11"/>
    <w:rsid w:val="00185F27"/>
    <w:rsid w:val="00185F44"/>
    <w:rsid w:val="00185FC4"/>
    <w:rsid w:val="00185FCD"/>
    <w:rsid w:val="00186030"/>
    <w:rsid w:val="00186069"/>
    <w:rsid w:val="00186087"/>
    <w:rsid w:val="001860B3"/>
    <w:rsid w:val="001860C3"/>
    <w:rsid w:val="001860CE"/>
    <w:rsid w:val="00186107"/>
    <w:rsid w:val="0018613F"/>
    <w:rsid w:val="0018615A"/>
    <w:rsid w:val="00186170"/>
    <w:rsid w:val="00186194"/>
    <w:rsid w:val="001861DD"/>
    <w:rsid w:val="001861E9"/>
    <w:rsid w:val="00186210"/>
    <w:rsid w:val="0018623F"/>
    <w:rsid w:val="00186289"/>
    <w:rsid w:val="001862CF"/>
    <w:rsid w:val="00186341"/>
    <w:rsid w:val="00186405"/>
    <w:rsid w:val="00186414"/>
    <w:rsid w:val="00186434"/>
    <w:rsid w:val="00186474"/>
    <w:rsid w:val="001864B3"/>
    <w:rsid w:val="001864BC"/>
    <w:rsid w:val="001864CC"/>
    <w:rsid w:val="001864DF"/>
    <w:rsid w:val="001864FA"/>
    <w:rsid w:val="00186520"/>
    <w:rsid w:val="0018659A"/>
    <w:rsid w:val="00186605"/>
    <w:rsid w:val="00186628"/>
    <w:rsid w:val="0018664D"/>
    <w:rsid w:val="00186660"/>
    <w:rsid w:val="00186666"/>
    <w:rsid w:val="001866CA"/>
    <w:rsid w:val="001866CC"/>
    <w:rsid w:val="001866D8"/>
    <w:rsid w:val="00186760"/>
    <w:rsid w:val="001867F5"/>
    <w:rsid w:val="00186853"/>
    <w:rsid w:val="001868B6"/>
    <w:rsid w:val="001868BE"/>
    <w:rsid w:val="001868CA"/>
    <w:rsid w:val="001868EC"/>
    <w:rsid w:val="0018694A"/>
    <w:rsid w:val="00186971"/>
    <w:rsid w:val="0018697A"/>
    <w:rsid w:val="00186A0B"/>
    <w:rsid w:val="00186A21"/>
    <w:rsid w:val="00186A62"/>
    <w:rsid w:val="00186A66"/>
    <w:rsid w:val="00186A6D"/>
    <w:rsid w:val="00186A70"/>
    <w:rsid w:val="00186AB6"/>
    <w:rsid w:val="00186AD2"/>
    <w:rsid w:val="00186AF0"/>
    <w:rsid w:val="00186B1D"/>
    <w:rsid w:val="00186B28"/>
    <w:rsid w:val="00186B2E"/>
    <w:rsid w:val="00186B5B"/>
    <w:rsid w:val="00186BAF"/>
    <w:rsid w:val="00186BB6"/>
    <w:rsid w:val="00186BDA"/>
    <w:rsid w:val="00186BF0"/>
    <w:rsid w:val="00186C1D"/>
    <w:rsid w:val="00186C49"/>
    <w:rsid w:val="00186C6C"/>
    <w:rsid w:val="00186C6D"/>
    <w:rsid w:val="00186C7A"/>
    <w:rsid w:val="00186C85"/>
    <w:rsid w:val="00186CB5"/>
    <w:rsid w:val="00186D05"/>
    <w:rsid w:val="00186D0C"/>
    <w:rsid w:val="00186D18"/>
    <w:rsid w:val="00186D88"/>
    <w:rsid w:val="00186DD1"/>
    <w:rsid w:val="00186DD7"/>
    <w:rsid w:val="00186E29"/>
    <w:rsid w:val="00186E4E"/>
    <w:rsid w:val="00186E63"/>
    <w:rsid w:val="00186E6B"/>
    <w:rsid w:val="00186E7A"/>
    <w:rsid w:val="00186E9E"/>
    <w:rsid w:val="00186EEE"/>
    <w:rsid w:val="00186F4A"/>
    <w:rsid w:val="00186FD9"/>
    <w:rsid w:val="00187009"/>
    <w:rsid w:val="00187028"/>
    <w:rsid w:val="0018702E"/>
    <w:rsid w:val="00187037"/>
    <w:rsid w:val="0018703F"/>
    <w:rsid w:val="00187094"/>
    <w:rsid w:val="001870C9"/>
    <w:rsid w:val="00187122"/>
    <w:rsid w:val="0018712C"/>
    <w:rsid w:val="0018714A"/>
    <w:rsid w:val="0018714C"/>
    <w:rsid w:val="0018714E"/>
    <w:rsid w:val="00187171"/>
    <w:rsid w:val="00187183"/>
    <w:rsid w:val="00187197"/>
    <w:rsid w:val="001871B3"/>
    <w:rsid w:val="001871BF"/>
    <w:rsid w:val="001871E7"/>
    <w:rsid w:val="001871F6"/>
    <w:rsid w:val="0018720C"/>
    <w:rsid w:val="0018725E"/>
    <w:rsid w:val="001872B0"/>
    <w:rsid w:val="001872C7"/>
    <w:rsid w:val="00187312"/>
    <w:rsid w:val="0018735B"/>
    <w:rsid w:val="001873D7"/>
    <w:rsid w:val="001873F7"/>
    <w:rsid w:val="00187402"/>
    <w:rsid w:val="0018743C"/>
    <w:rsid w:val="0018743E"/>
    <w:rsid w:val="00187442"/>
    <w:rsid w:val="00187449"/>
    <w:rsid w:val="0018747B"/>
    <w:rsid w:val="00187484"/>
    <w:rsid w:val="0018748A"/>
    <w:rsid w:val="0018750C"/>
    <w:rsid w:val="00187513"/>
    <w:rsid w:val="00187566"/>
    <w:rsid w:val="0018757F"/>
    <w:rsid w:val="00187615"/>
    <w:rsid w:val="00187623"/>
    <w:rsid w:val="00187630"/>
    <w:rsid w:val="00187647"/>
    <w:rsid w:val="00187649"/>
    <w:rsid w:val="00187659"/>
    <w:rsid w:val="0018765F"/>
    <w:rsid w:val="00187699"/>
    <w:rsid w:val="001876ED"/>
    <w:rsid w:val="001876F1"/>
    <w:rsid w:val="00187729"/>
    <w:rsid w:val="00187752"/>
    <w:rsid w:val="0018775F"/>
    <w:rsid w:val="00187762"/>
    <w:rsid w:val="0018779B"/>
    <w:rsid w:val="001877DC"/>
    <w:rsid w:val="001877FA"/>
    <w:rsid w:val="0018782B"/>
    <w:rsid w:val="0018782F"/>
    <w:rsid w:val="00187838"/>
    <w:rsid w:val="00187847"/>
    <w:rsid w:val="00187851"/>
    <w:rsid w:val="001878D3"/>
    <w:rsid w:val="001878FC"/>
    <w:rsid w:val="00187953"/>
    <w:rsid w:val="00187954"/>
    <w:rsid w:val="001879BA"/>
    <w:rsid w:val="001879C0"/>
    <w:rsid w:val="001879D9"/>
    <w:rsid w:val="00187A12"/>
    <w:rsid w:val="00187A1B"/>
    <w:rsid w:val="00187A31"/>
    <w:rsid w:val="00187A3B"/>
    <w:rsid w:val="00187A3E"/>
    <w:rsid w:val="00187A73"/>
    <w:rsid w:val="00187A76"/>
    <w:rsid w:val="00187A88"/>
    <w:rsid w:val="00187A93"/>
    <w:rsid w:val="00187AA7"/>
    <w:rsid w:val="00187AC1"/>
    <w:rsid w:val="00187ADE"/>
    <w:rsid w:val="00187B09"/>
    <w:rsid w:val="00187B5A"/>
    <w:rsid w:val="00187B6E"/>
    <w:rsid w:val="00187B85"/>
    <w:rsid w:val="00187BB1"/>
    <w:rsid w:val="00187BDC"/>
    <w:rsid w:val="00187C05"/>
    <w:rsid w:val="00187C09"/>
    <w:rsid w:val="00187C1D"/>
    <w:rsid w:val="00187C27"/>
    <w:rsid w:val="00187C2F"/>
    <w:rsid w:val="00187C4A"/>
    <w:rsid w:val="00187C4F"/>
    <w:rsid w:val="00187C5B"/>
    <w:rsid w:val="00187C5E"/>
    <w:rsid w:val="00187C6D"/>
    <w:rsid w:val="00187CBC"/>
    <w:rsid w:val="00187CC1"/>
    <w:rsid w:val="00187CC8"/>
    <w:rsid w:val="00187CD2"/>
    <w:rsid w:val="00187CE0"/>
    <w:rsid w:val="00187CE3"/>
    <w:rsid w:val="00187CF4"/>
    <w:rsid w:val="00187D3F"/>
    <w:rsid w:val="00187D46"/>
    <w:rsid w:val="00187D77"/>
    <w:rsid w:val="00187D7D"/>
    <w:rsid w:val="00187DD3"/>
    <w:rsid w:val="00187DE1"/>
    <w:rsid w:val="00187DE3"/>
    <w:rsid w:val="00187DF6"/>
    <w:rsid w:val="00187E28"/>
    <w:rsid w:val="00187E6D"/>
    <w:rsid w:val="00187EB5"/>
    <w:rsid w:val="00187F28"/>
    <w:rsid w:val="00187F41"/>
    <w:rsid w:val="00187F5F"/>
    <w:rsid w:val="00187F78"/>
    <w:rsid w:val="00187F8C"/>
    <w:rsid w:val="00187FCB"/>
    <w:rsid w:val="00190029"/>
    <w:rsid w:val="0019002A"/>
    <w:rsid w:val="00190040"/>
    <w:rsid w:val="0019004E"/>
    <w:rsid w:val="00190067"/>
    <w:rsid w:val="001900BE"/>
    <w:rsid w:val="0019010A"/>
    <w:rsid w:val="00190159"/>
    <w:rsid w:val="001901AD"/>
    <w:rsid w:val="00190214"/>
    <w:rsid w:val="00190244"/>
    <w:rsid w:val="00190247"/>
    <w:rsid w:val="0019024F"/>
    <w:rsid w:val="00190251"/>
    <w:rsid w:val="0019025C"/>
    <w:rsid w:val="0019026E"/>
    <w:rsid w:val="00190274"/>
    <w:rsid w:val="001902A1"/>
    <w:rsid w:val="001902C0"/>
    <w:rsid w:val="00190338"/>
    <w:rsid w:val="0019033F"/>
    <w:rsid w:val="001903B7"/>
    <w:rsid w:val="0019040E"/>
    <w:rsid w:val="00190431"/>
    <w:rsid w:val="001904A0"/>
    <w:rsid w:val="001904AD"/>
    <w:rsid w:val="001904B3"/>
    <w:rsid w:val="001904D0"/>
    <w:rsid w:val="001904F7"/>
    <w:rsid w:val="001904FC"/>
    <w:rsid w:val="00190522"/>
    <w:rsid w:val="0019052D"/>
    <w:rsid w:val="00190530"/>
    <w:rsid w:val="00190540"/>
    <w:rsid w:val="001905B3"/>
    <w:rsid w:val="001905BF"/>
    <w:rsid w:val="001905D8"/>
    <w:rsid w:val="0019069C"/>
    <w:rsid w:val="001906FD"/>
    <w:rsid w:val="00190734"/>
    <w:rsid w:val="00190754"/>
    <w:rsid w:val="00190849"/>
    <w:rsid w:val="0019086F"/>
    <w:rsid w:val="00190882"/>
    <w:rsid w:val="001908B1"/>
    <w:rsid w:val="001908C6"/>
    <w:rsid w:val="001908C8"/>
    <w:rsid w:val="0019090F"/>
    <w:rsid w:val="0019091E"/>
    <w:rsid w:val="0019098A"/>
    <w:rsid w:val="001909A7"/>
    <w:rsid w:val="001909C1"/>
    <w:rsid w:val="001909E3"/>
    <w:rsid w:val="00190A15"/>
    <w:rsid w:val="00190A25"/>
    <w:rsid w:val="00190A2C"/>
    <w:rsid w:val="00190A46"/>
    <w:rsid w:val="00190ABA"/>
    <w:rsid w:val="00190ABB"/>
    <w:rsid w:val="00190AD3"/>
    <w:rsid w:val="00190B0E"/>
    <w:rsid w:val="00190B2D"/>
    <w:rsid w:val="00190B32"/>
    <w:rsid w:val="00190BFC"/>
    <w:rsid w:val="00190C04"/>
    <w:rsid w:val="00190C55"/>
    <w:rsid w:val="00190C90"/>
    <w:rsid w:val="00190CFB"/>
    <w:rsid w:val="00190D4A"/>
    <w:rsid w:val="00190D95"/>
    <w:rsid w:val="00190DAF"/>
    <w:rsid w:val="00190DB9"/>
    <w:rsid w:val="00190DDA"/>
    <w:rsid w:val="00190E17"/>
    <w:rsid w:val="00190E40"/>
    <w:rsid w:val="00190E5F"/>
    <w:rsid w:val="00190E9F"/>
    <w:rsid w:val="00190EB5"/>
    <w:rsid w:val="00190F07"/>
    <w:rsid w:val="00190F15"/>
    <w:rsid w:val="00190F70"/>
    <w:rsid w:val="00190FB7"/>
    <w:rsid w:val="00190FC5"/>
    <w:rsid w:val="0019101E"/>
    <w:rsid w:val="00191064"/>
    <w:rsid w:val="0019108E"/>
    <w:rsid w:val="001910FA"/>
    <w:rsid w:val="001910FB"/>
    <w:rsid w:val="001910FD"/>
    <w:rsid w:val="00191103"/>
    <w:rsid w:val="00191105"/>
    <w:rsid w:val="00191116"/>
    <w:rsid w:val="00191117"/>
    <w:rsid w:val="00191123"/>
    <w:rsid w:val="00191138"/>
    <w:rsid w:val="0019116B"/>
    <w:rsid w:val="0019116F"/>
    <w:rsid w:val="00191198"/>
    <w:rsid w:val="001911C4"/>
    <w:rsid w:val="001911D9"/>
    <w:rsid w:val="001911E0"/>
    <w:rsid w:val="00191230"/>
    <w:rsid w:val="00191269"/>
    <w:rsid w:val="00191283"/>
    <w:rsid w:val="001912A2"/>
    <w:rsid w:val="001912EF"/>
    <w:rsid w:val="001912F1"/>
    <w:rsid w:val="0019132C"/>
    <w:rsid w:val="00191336"/>
    <w:rsid w:val="00191395"/>
    <w:rsid w:val="001913E9"/>
    <w:rsid w:val="00191438"/>
    <w:rsid w:val="00191444"/>
    <w:rsid w:val="00191457"/>
    <w:rsid w:val="0019149B"/>
    <w:rsid w:val="001914AA"/>
    <w:rsid w:val="001914C6"/>
    <w:rsid w:val="001914FC"/>
    <w:rsid w:val="001914FD"/>
    <w:rsid w:val="00191556"/>
    <w:rsid w:val="001915A6"/>
    <w:rsid w:val="001915BE"/>
    <w:rsid w:val="001915DE"/>
    <w:rsid w:val="001915E9"/>
    <w:rsid w:val="001915FB"/>
    <w:rsid w:val="00191622"/>
    <w:rsid w:val="00191662"/>
    <w:rsid w:val="00191665"/>
    <w:rsid w:val="0019166E"/>
    <w:rsid w:val="00191691"/>
    <w:rsid w:val="001916D4"/>
    <w:rsid w:val="001916E0"/>
    <w:rsid w:val="00191722"/>
    <w:rsid w:val="00191778"/>
    <w:rsid w:val="0019178E"/>
    <w:rsid w:val="00191798"/>
    <w:rsid w:val="001917AD"/>
    <w:rsid w:val="001917C9"/>
    <w:rsid w:val="001917E8"/>
    <w:rsid w:val="001917EE"/>
    <w:rsid w:val="00191843"/>
    <w:rsid w:val="00191869"/>
    <w:rsid w:val="00191883"/>
    <w:rsid w:val="001918D5"/>
    <w:rsid w:val="001918FA"/>
    <w:rsid w:val="0019190A"/>
    <w:rsid w:val="0019191C"/>
    <w:rsid w:val="00191A2B"/>
    <w:rsid w:val="00191A38"/>
    <w:rsid w:val="00191A79"/>
    <w:rsid w:val="00191A8C"/>
    <w:rsid w:val="00191AAC"/>
    <w:rsid w:val="00191AC7"/>
    <w:rsid w:val="00191B1F"/>
    <w:rsid w:val="00191BC1"/>
    <w:rsid w:val="00191BC3"/>
    <w:rsid w:val="00191C1A"/>
    <w:rsid w:val="00191C49"/>
    <w:rsid w:val="00191C83"/>
    <w:rsid w:val="00191CAA"/>
    <w:rsid w:val="00191CC1"/>
    <w:rsid w:val="00191CC7"/>
    <w:rsid w:val="00191D1F"/>
    <w:rsid w:val="00191D23"/>
    <w:rsid w:val="00191DB5"/>
    <w:rsid w:val="00191DD7"/>
    <w:rsid w:val="00191E1C"/>
    <w:rsid w:val="00191E2E"/>
    <w:rsid w:val="00191E4A"/>
    <w:rsid w:val="00191E55"/>
    <w:rsid w:val="00191E71"/>
    <w:rsid w:val="00191E99"/>
    <w:rsid w:val="00191EC2"/>
    <w:rsid w:val="00191ED7"/>
    <w:rsid w:val="00191EE7"/>
    <w:rsid w:val="00191EF9"/>
    <w:rsid w:val="00191F09"/>
    <w:rsid w:val="00191F28"/>
    <w:rsid w:val="00191F2C"/>
    <w:rsid w:val="00191F75"/>
    <w:rsid w:val="00191FBF"/>
    <w:rsid w:val="00191FC2"/>
    <w:rsid w:val="00191FE1"/>
    <w:rsid w:val="00191FF0"/>
    <w:rsid w:val="00191FF9"/>
    <w:rsid w:val="0019202F"/>
    <w:rsid w:val="0019203A"/>
    <w:rsid w:val="00192078"/>
    <w:rsid w:val="0019207D"/>
    <w:rsid w:val="00192088"/>
    <w:rsid w:val="001920D4"/>
    <w:rsid w:val="001921DF"/>
    <w:rsid w:val="001921FC"/>
    <w:rsid w:val="00192270"/>
    <w:rsid w:val="00192273"/>
    <w:rsid w:val="00192275"/>
    <w:rsid w:val="0019227B"/>
    <w:rsid w:val="0019227D"/>
    <w:rsid w:val="001922F5"/>
    <w:rsid w:val="00192324"/>
    <w:rsid w:val="00192328"/>
    <w:rsid w:val="0019232B"/>
    <w:rsid w:val="0019235A"/>
    <w:rsid w:val="001923B0"/>
    <w:rsid w:val="001923CB"/>
    <w:rsid w:val="001923DC"/>
    <w:rsid w:val="001923DE"/>
    <w:rsid w:val="00192422"/>
    <w:rsid w:val="00192425"/>
    <w:rsid w:val="00192453"/>
    <w:rsid w:val="0019249B"/>
    <w:rsid w:val="001924AF"/>
    <w:rsid w:val="001924D7"/>
    <w:rsid w:val="001924FA"/>
    <w:rsid w:val="00192525"/>
    <w:rsid w:val="0019255B"/>
    <w:rsid w:val="001925BB"/>
    <w:rsid w:val="001925E6"/>
    <w:rsid w:val="001925F5"/>
    <w:rsid w:val="001925FB"/>
    <w:rsid w:val="00192615"/>
    <w:rsid w:val="00192660"/>
    <w:rsid w:val="0019266A"/>
    <w:rsid w:val="001926C9"/>
    <w:rsid w:val="001926D9"/>
    <w:rsid w:val="00192717"/>
    <w:rsid w:val="00192762"/>
    <w:rsid w:val="001927AA"/>
    <w:rsid w:val="00192802"/>
    <w:rsid w:val="0019284C"/>
    <w:rsid w:val="001928B3"/>
    <w:rsid w:val="001928CE"/>
    <w:rsid w:val="001928F4"/>
    <w:rsid w:val="00192975"/>
    <w:rsid w:val="00192989"/>
    <w:rsid w:val="001929BC"/>
    <w:rsid w:val="001929BE"/>
    <w:rsid w:val="001929D9"/>
    <w:rsid w:val="001929E0"/>
    <w:rsid w:val="001929F7"/>
    <w:rsid w:val="001929FD"/>
    <w:rsid w:val="00192A09"/>
    <w:rsid w:val="00192A19"/>
    <w:rsid w:val="00192A25"/>
    <w:rsid w:val="00192A61"/>
    <w:rsid w:val="00192A95"/>
    <w:rsid w:val="00192AC3"/>
    <w:rsid w:val="00192AF9"/>
    <w:rsid w:val="00192B08"/>
    <w:rsid w:val="00192B4B"/>
    <w:rsid w:val="00192B58"/>
    <w:rsid w:val="00192B72"/>
    <w:rsid w:val="00192B83"/>
    <w:rsid w:val="00192BAC"/>
    <w:rsid w:val="00192BAF"/>
    <w:rsid w:val="00192BEA"/>
    <w:rsid w:val="00192C0C"/>
    <w:rsid w:val="00192C1D"/>
    <w:rsid w:val="00192C4E"/>
    <w:rsid w:val="00192C5A"/>
    <w:rsid w:val="00192C61"/>
    <w:rsid w:val="00192C96"/>
    <w:rsid w:val="00192C9C"/>
    <w:rsid w:val="00192CCC"/>
    <w:rsid w:val="00192CD3"/>
    <w:rsid w:val="00192CF1"/>
    <w:rsid w:val="00192D06"/>
    <w:rsid w:val="00192D0A"/>
    <w:rsid w:val="00192D1A"/>
    <w:rsid w:val="00192D2E"/>
    <w:rsid w:val="00192D53"/>
    <w:rsid w:val="00192D65"/>
    <w:rsid w:val="00192D6F"/>
    <w:rsid w:val="00192DAA"/>
    <w:rsid w:val="00192DBB"/>
    <w:rsid w:val="00192DDC"/>
    <w:rsid w:val="00192DE1"/>
    <w:rsid w:val="00192E0A"/>
    <w:rsid w:val="00192E4D"/>
    <w:rsid w:val="00192E68"/>
    <w:rsid w:val="00192EBF"/>
    <w:rsid w:val="00192F06"/>
    <w:rsid w:val="00192F40"/>
    <w:rsid w:val="00192F65"/>
    <w:rsid w:val="00192F6C"/>
    <w:rsid w:val="00192F8A"/>
    <w:rsid w:val="00192FA0"/>
    <w:rsid w:val="00192FC5"/>
    <w:rsid w:val="00192FF7"/>
    <w:rsid w:val="00192FFE"/>
    <w:rsid w:val="00193008"/>
    <w:rsid w:val="00193021"/>
    <w:rsid w:val="0019302D"/>
    <w:rsid w:val="00193041"/>
    <w:rsid w:val="0019306D"/>
    <w:rsid w:val="001930D5"/>
    <w:rsid w:val="001930DF"/>
    <w:rsid w:val="001930E2"/>
    <w:rsid w:val="00193104"/>
    <w:rsid w:val="00193108"/>
    <w:rsid w:val="00193115"/>
    <w:rsid w:val="00193160"/>
    <w:rsid w:val="00193166"/>
    <w:rsid w:val="0019318D"/>
    <w:rsid w:val="001931AD"/>
    <w:rsid w:val="001931BF"/>
    <w:rsid w:val="001931D5"/>
    <w:rsid w:val="001931F1"/>
    <w:rsid w:val="00193240"/>
    <w:rsid w:val="00193292"/>
    <w:rsid w:val="00193296"/>
    <w:rsid w:val="001932AA"/>
    <w:rsid w:val="00193306"/>
    <w:rsid w:val="0019330A"/>
    <w:rsid w:val="0019331E"/>
    <w:rsid w:val="0019332F"/>
    <w:rsid w:val="0019335F"/>
    <w:rsid w:val="00193377"/>
    <w:rsid w:val="001933A4"/>
    <w:rsid w:val="001933C0"/>
    <w:rsid w:val="00193423"/>
    <w:rsid w:val="00193432"/>
    <w:rsid w:val="00193433"/>
    <w:rsid w:val="00193480"/>
    <w:rsid w:val="001934AE"/>
    <w:rsid w:val="001934B6"/>
    <w:rsid w:val="00193501"/>
    <w:rsid w:val="00193526"/>
    <w:rsid w:val="0019357C"/>
    <w:rsid w:val="0019358B"/>
    <w:rsid w:val="001935BA"/>
    <w:rsid w:val="001935C4"/>
    <w:rsid w:val="001935FB"/>
    <w:rsid w:val="0019360B"/>
    <w:rsid w:val="00193668"/>
    <w:rsid w:val="001936B5"/>
    <w:rsid w:val="001936B7"/>
    <w:rsid w:val="001936ED"/>
    <w:rsid w:val="0019373F"/>
    <w:rsid w:val="001937B3"/>
    <w:rsid w:val="001937EF"/>
    <w:rsid w:val="00193801"/>
    <w:rsid w:val="00193811"/>
    <w:rsid w:val="00193813"/>
    <w:rsid w:val="0019382F"/>
    <w:rsid w:val="00193842"/>
    <w:rsid w:val="001938AE"/>
    <w:rsid w:val="001938BA"/>
    <w:rsid w:val="00193918"/>
    <w:rsid w:val="001939D7"/>
    <w:rsid w:val="001939EE"/>
    <w:rsid w:val="001939FB"/>
    <w:rsid w:val="001939FD"/>
    <w:rsid w:val="00193A07"/>
    <w:rsid w:val="00193A0E"/>
    <w:rsid w:val="00193A37"/>
    <w:rsid w:val="00193A60"/>
    <w:rsid w:val="00193A83"/>
    <w:rsid w:val="00193AAF"/>
    <w:rsid w:val="00193B03"/>
    <w:rsid w:val="00193B32"/>
    <w:rsid w:val="00193B3A"/>
    <w:rsid w:val="00193BB5"/>
    <w:rsid w:val="00193BE1"/>
    <w:rsid w:val="00193BFB"/>
    <w:rsid w:val="00193C3B"/>
    <w:rsid w:val="00193C89"/>
    <w:rsid w:val="00193C95"/>
    <w:rsid w:val="00193CB3"/>
    <w:rsid w:val="00193CF8"/>
    <w:rsid w:val="00193D44"/>
    <w:rsid w:val="00193DA5"/>
    <w:rsid w:val="00193DB3"/>
    <w:rsid w:val="00193DB6"/>
    <w:rsid w:val="00193E29"/>
    <w:rsid w:val="00193E3C"/>
    <w:rsid w:val="00193E40"/>
    <w:rsid w:val="00193ED6"/>
    <w:rsid w:val="00193FDD"/>
    <w:rsid w:val="00193FDE"/>
    <w:rsid w:val="0019403B"/>
    <w:rsid w:val="0019403C"/>
    <w:rsid w:val="00194054"/>
    <w:rsid w:val="00194095"/>
    <w:rsid w:val="001940AD"/>
    <w:rsid w:val="001940B9"/>
    <w:rsid w:val="001940D8"/>
    <w:rsid w:val="001940DF"/>
    <w:rsid w:val="001940EC"/>
    <w:rsid w:val="001940FD"/>
    <w:rsid w:val="00194177"/>
    <w:rsid w:val="00194198"/>
    <w:rsid w:val="001941AD"/>
    <w:rsid w:val="001941EC"/>
    <w:rsid w:val="00194230"/>
    <w:rsid w:val="001942D8"/>
    <w:rsid w:val="001942E2"/>
    <w:rsid w:val="001943A4"/>
    <w:rsid w:val="001943D0"/>
    <w:rsid w:val="001943D6"/>
    <w:rsid w:val="001943DD"/>
    <w:rsid w:val="001943EE"/>
    <w:rsid w:val="00194413"/>
    <w:rsid w:val="00194434"/>
    <w:rsid w:val="001944C8"/>
    <w:rsid w:val="0019451C"/>
    <w:rsid w:val="00194548"/>
    <w:rsid w:val="001945B4"/>
    <w:rsid w:val="00194625"/>
    <w:rsid w:val="00194649"/>
    <w:rsid w:val="00194673"/>
    <w:rsid w:val="001946A4"/>
    <w:rsid w:val="001946BE"/>
    <w:rsid w:val="001946CD"/>
    <w:rsid w:val="0019470D"/>
    <w:rsid w:val="00194726"/>
    <w:rsid w:val="0019472A"/>
    <w:rsid w:val="00194736"/>
    <w:rsid w:val="00194754"/>
    <w:rsid w:val="0019477E"/>
    <w:rsid w:val="0019479E"/>
    <w:rsid w:val="001947AE"/>
    <w:rsid w:val="001947C2"/>
    <w:rsid w:val="001947E0"/>
    <w:rsid w:val="0019482C"/>
    <w:rsid w:val="0019483D"/>
    <w:rsid w:val="001948A7"/>
    <w:rsid w:val="001948A8"/>
    <w:rsid w:val="00194918"/>
    <w:rsid w:val="00194927"/>
    <w:rsid w:val="00194970"/>
    <w:rsid w:val="00194983"/>
    <w:rsid w:val="00194988"/>
    <w:rsid w:val="001949A5"/>
    <w:rsid w:val="00194A29"/>
    <w:rsid w:val="00194A2E"/>
    <w:rsid w:val="00194A45"/>
    <w:rsid w:val="00194A7B"/>
    <w:rsid w:val="00194B1F"/>
    <w:rsid w:val="00194BA0"/>
    <w:rsid w:val="00194BCB"/>
    <w:rsid w:val="00194C01"/>
    <w:rsid w:val="00194C21"/>
    <w:rsid w:val="00194C24"/>
    <w:rsid w:val="00194C74"/>
    <w:rsid w:val="00194C95"/>
    <w:rsid w:val="00194CF2"/>
    <w:rsid w:val="00194D0C"/>
    <w:rsid w:val="00194D10"/>
    <w:rsid w:val="00194D90"/>
    <w:rsid w:val="00194D95"/>
    <w:rsid w:val="00194DAD"/>
    <w:rsid w:val="00194DBF"/>
    <w:rsid w:val="00194DC6"/>
    <w:rsid w:val="00194E2B"/>
    <w:rsid w:val="00194F31"/>
    <w:rsid w:val="00194F34"/>
    <w:rsid w:val="00194F4C"/>
    <w:rsid w:val="00194F7D"/>
    <w:rsid w:val="00194F90"/>
    <w:rsid w:val="00194F96"/>
    <w:rsid w:val="00194FA6"/>
    <w:rsid w:val="00194FF4"/>
    <w:rsid w:val="00195022"/>
    <w:rsid w:val="00195049"/>
    <w:rsid w:val="00195098"/>
    <w:rsid w:val="001950BB"/>
    <w:rsid w:val="001950D3"/>
    <w:rsid w:val="00195122"/>
    <w:rsid w:val="00195149"/>
    <w:rsid w:val="00195150"/>
    <w:rsid w:val="00195161"/>
    <w:rsid w:val="0019520A"/>
    <w:rsid w:val="00195214"/>
    <w:rsid w:val="00195229"/>
    <w:rsid w:val="00195247"/>
    <w:rsid w:val="0019524D"/>
    <w:rsid w:val="001952B8"/>
    <w:rsid w:val="001952E9"/>
    <w:rsid w:val="00195320"/>
    <w:rsid w:val="0019533F"/>
    <w:rsid w:val="001953A9"/>
    <w:rsid w:val="001953C9"/>
    <w:rsid w:val="001953CF"/>
    <w:rsid w:val="001953FE"/>
    <w:rsid w:val="0019543B"/>
    <w:rsid w:val="00195456"/>
    <w:rsid w:val="00195473"/>
    <w:rsid w:val="001954B4"/>
    <w:rsid w:val="0019552D"/>
    <w:rsid w:val="0019552E"/>
    <w:rsid w:val="00195544"/>
    <w:rsid w:val="0019554D"/>
    <w:rsid w:val="00195557"/>
    <w:rsid w:val="001955A1"/>
    <w:rsid w:val="001955E3"/>
    <w:rsid w:val="00195632"/>
    <w:rsid w:val="00195639"/>
    <w:rsid w:val="00195642"/>
    <w:rsid w:val="0019565C"/>
    <w:rsid w:val="00195661"/>
    <w:rsid w:val="0019569D"/>
    <w:rsid w:val="001956A7"/>
    <w:rsid w:val="00195714"/>
    <w:rsid w:val="00195727"/>
    <w:rsid w:val="00195795"/>
    <w:rsid w:val="001957A1"/>
    <w:rsid w:val="001957CE"/>
    <w:rsid w:val="001957E8"/>
    <w:rsid w:val="001957F0"/>
    <w:rsid w:val="001957F9"/>
    <w:rsid w:val="0019580E"/>
    <w:rsid w:val="00195840"/>
    <w:rsid w:val="001958AB"/>
    <w:rsid w:val="001958D0"/>
    <w:rsid w:val="001958D9"/>
    <w:rsid w:val="001958DA"/>
    <w:rsid w:val="001958E9"/>
    <w:rsid w:val="00195930"/>
    <w:rsid w:val="0019594E"/>
    <w:rsid w:val="0019596D"/>
    <w:rsid w:val="00195973"/>
    <w:rsid w:val="0019597D"/>
    <w:rsid w:val="0019599D"/>
    <w:rsid w:val="001959D5"/>
    <w:rsid w:val="001959FE"/>
    <w:rsid w:val="00195A01"/>
    <w:rsid w:val="00195A37"/>
    <w:rsid w:val="00195B23"/>
    <w:rsid w:val="00195B2E"/>
    <w:rsid w:val="00195B40"/>
    <w:rsid w:val="00195B68"/>
    <w:rsid w:val="00195B80"/>
    <w:rsid w:val="00195B8C"/>
    <w:rsid w:val="00195BB7"/>
    <w:rsid w:val="00195BD3"/>
    <w:rsid w:val="00195C34"/>
    <w:rsid w:val="00195CB8"/>
    <w:rsid w:val="00195D1F"/>
    <w:rsid w:val="00195D65"/>
    <w:rsid w:val="00195D8E"/>
    <w:rsid w:val="00195D90"/>
    <w:rsid w:val="00195DF5"/>
    <w:rsid w:val="00195E29"/>
    <w:rsid w:val="00195E44"/>
    <w:rsid w:val="00195E45"/>
    <w:rsid w:val="00195E5E"/>
    <w:rsid w:val="00195E6D"/>
    <w:rsid w:val="00195E78"/>
    <w:rsid w:val="00195EA8"/>
    <w:rsid w:val="00195EAF"/>
    <w:rsid w:val="00195F06"/>
    <w:rsid w:val="00195F88"/>
    <w:rsid w:val="00195FB8"/>
    <w:rsid w:val="00195FBB"/>
    <w:rsid w:val="00195FC0"/>
    <w:rsid w:val="00196086"/>
    <w:rsid w:val="00196088"/>
    <w:rsid w:val="00196095"/>
    <w:rsid w:val="001960B3"/>
    <w:rsid w:val="001960B4"/>
    <w:rsid w:val="001960CD"/>
    <w:rsid w:val="00196193"/>
    <w:rsid w:val="001961B3"/>
    <w:rsid w:val="001961BD"/>
    <w:rsid w:val="001961C4"/>
    <w:rsid w:val="0019620A"/>
    <w:rsid w:val="00196227"/>
    <w:rsid w:val="00196256"/>
    <w:rsid w:val="00196259"/>
    <w:rsid w:val="0019625B"/>
    <w:rsid w:val="0019625F"/>
    <w:rsid w:val="001962FD"/>
    <w:rsid w:val="00196358"/>
    <w:rsid w:val="00196383"/>
    <w:rsid w:val="001963B9"/>
    <w:rsid w:val="0019647C"/>
    <w:rsid w:val="0019647E"/>
    <w:rsid w:val="001964CD"/>
    <w:rsid w:val="001964DF"/>
    <w:rsid w:val="0019650E"/>
    <w:rsid w:val="00196548"/>
    <w:rsid w:val="0019654E"/>
    <w:rsid w:val="001965D6"/>
    <w:rsid w:val="00196639"/>
    <w:rsid w:val="0019663F"/>
    <w:rsid w:val="001966E3"/>
    <w:rsid w:val="001966E9"/>
    <w:rsid w:val="00196744"/>
    <w:rsid w:val="0019674A"/>
    <w:rsid w:val="00196756"/>
    <w:rsid w:val="001967A8"/>
    <w:rsid w:val="00196809"/>
    <w:rsid w:val="0019681F"/>
    <w:rsid w:val="0019684B"/>
    <w:rsid w:val="00196905"/>
    <w:rsid w:val="0019691E"/>
    <w:rsid w:val="00196933"/>
    <w:rsid w:val="0019693E"/>
    <w:rsid w:val="001969B3"/>
    <w:rsid w:val="001969BE"/>
    <w:rsid w:val="001969C0"/>
    <w:rsid w:val="001969CC"/>
    <w:rsid w:val="001969CD"/>
    <w:rsid w:val="001969DD"/>
    <w:rsid w:val="001969FE"/>
    <w:rsid w:val="00196A00"/>
    <w:rsid w:val="00196A2F"/>
    <w:rsid w:val="00196A41"/>
    <w:rsid w:val="00196A5E"/>
    <w:rsid w:val="00196A69"/>
    <w:rsid w:val="00196A7F"/>
    <w:rsid w:val="00196A8B"/>
    <w:rsid w:val="00196AE3"/>
    <w:rsid w:val="00196B18"/>
    <w:rsid w:val="00196B6E"/>
    <w:rsid w:val="00196BAD"/>
    <w:rsid w:val="00196C23"/>
    <w:rsid w:val="00196C36"/>
    <w:rsid w:val="00196C4C"/>
    <w:rsid w:val="00196C5E"/>
    <w:rsid w:val="00196CB9"/>
    <w:rsid w:val="00196CDA"/>
    <w:rsid w:val="00196D1D"/>
    <w:rsid w:val="00196D4A"/>
    <w:rsid w:val="00196D54"/>
    <w:rsid w:val="00196D76"/>
    <w:rsid w:val="00196D9A"/>
    <w:rsid w:val="00196DA4"/>
    <w:rsid w:val="00196DC6"/>
    <w:rsid w:val="00196DC7"/>
    <w:rsid w:val="00196DCE"/>
    <w:rsid w:val="00196DFA"/>
    <w:rsid w:val="00196E2E"/>
    <w:rsid w:val="00196E3A"/>
    <w:rsid w:val="00196E5D"/>
    <w:rsid w:val="00196EA0"/>
    <w:rsid w:val="00196EBD"/>
    <w:rsid w:val="00196EC8"/>
    <w:rsid w:val="00196F02"/>
    <w:rsid w:val="00196F28"/>
    <w:rsid w:val="00196F32"/>
    <w:rsid w:val="00196F5A"/>
    <w:rsid w:val="00196FB7"/>
    <w:rsid w:val="00196FB9"/>
    <w:rsid w:val="00196FF5"/>
    <w:rsid w:val="00196FF8"/>
    <w:rsid w:val="0019700C"/>
    <w:rsid w:val="0019701B"/>
    <w:rsid w:val="00197040"/>
    <w:rsid w:val="00197058"/>
    <w:rsid w:val="00197087"/>
    <w:rsid w:val="001970A9"/>
    <w:rsid w:val="001970B3"/>
    <w:rsid w:val="001970C8"/>
    <w:rsid w:val="001970E4"/>
    <w:rsid w:val="001970F6"/>
    <w:rsid w:val="00197146"/>
    <w:rsid w:val="00197149"/>
    <w:rsid w:val="00197167"/>
    <w:rsid w:val="0019716D"/>
    <w:rsid w:val="0019719B"/>
    <w:rsid w:val="001971BB"/>
    <w:rsid w:val="001971C8"/>
    <w:rsid w:val="001971F4"/>
    <w:rsid w:val="0019721F"/>
    <w:rsid w:val="00197272"/>
    <w:rsid w:val="001972A6"/>
    <w:rsid w:val="001972B3"/>
    <w:rsid w:val="001972C0"/>
    <w:rsid w:val="001972C1"/>
    <w:rsid w:val="001972E9"/>
    <w:rsid w:val="00197314"/>
    <w:rsid w:val="00197342"/>
    <w:rsid w:val="0019736C"/>
    <w:rsid w:val="001973C8"/>
    <w:rsid w:val="0019745E"/>
    <w:rsid w:val="001974B5"/>
    <w:rsid w:val="001974DA"/>
    <w:rsid w:val="001974E1"/>
    <w:rsid w:val="0019750B"/>
    <w:rsid w:val="00197511"/>
    <w:rsid w:val="00197530"/>
    <w:rsid w:val="0019756F"/>
    <w:rsid w:val="001975A4"/>
    <w:rsid w:val="001975BE"/>
    <w:rsid w:val="001975CA"/>
    <w:rsid w:val="001975F0"/>
    <w:rsid w:val="001975F1"/>
    <w:rsid w:val="0019767C"/>
    <w:rsid w:val="0019767F"/>
    <w:rsid w:val="00197697"/>
    <w:rsid w:val="001976DF"/>
    <w:rsid w:val="00197705"/>
    <w:rsid w:val="00197752"/>
    <w:rsid w:val="00197777"/>
    <w:rsid w:val="001977B3"/>
    <w:rsid w:val="001977CB"/>
    <w:rsid w:val="00197836"/>
    <w:rsid w:val="00197849"/>
    <w:rsid w:val="00197853"/>
    <w:rsid w:val="00197856"/>
    <w:rsid w:val="001978D5"/>
    <w:rsid w:val="001978ED"/>
    <w:rsid w:val="00197905"/>
    <w:rsid w:val="0019790B"/>
    <w:rsid w:val="00197915"/>
    <w:rsid w:val="0019791F"/>
    <w:rsid w:val="00197941"/>
    <w:rsid w:val="0019794E"/>
    <w:rsid w:val="00197964"/>
    <w:rsid w:val="0019797F"/>
    <w:rsid w:val="00197982"/>
    <w:rsid w:val="00197987"/>
    <w:rsid w:val="00197991"/>
    <w:rsid w:val="001979C4"/>
    <w:rsid w:val="001979E6"/>
    <w:rsid w:val="00197A48"/>
    <w:rsid w:val="00197A67"/>
    <w:rsid w:val="00197AB9"/>
    <w:rsid w:val="00197AFB"/>
    <w:rsid w:val="00197B00"/>
    <w:rsid w:val="00197B0D"/>
    <w:rsid w:val="00197B73"/>
    <w:rsid w:val="00197B76"/>
    <w:rsid w:val="00197BA4"/>
    <w:rsid w:val="00197BD6"/>
    <w:rsid w:val="00197BEE"/>
    <w:rsid w:val="00197C02"/>
    <w:rsid w:val="00197C09"/>
    <w:rsid w:val="00197C0D"/>
    <w:rsid w:val="00197C18"/>
    <w:rsid w:val="00197C2C"/>
    <w:rsid w:val="00197C56"/>
    <w:rsid w:val="00197C58"/>
    <w:rsid w:val="00197C66"/>
    <w:rsid w:val="00197C69"/>
    <w:rsid w:val="00197D1E"/>
    <w:rsid w:val="00197D40"/>
    <w:rsid w:val="00197D41"/>
    <w:rsid w:val="00197D53"/>
    <w:rsid w:val="00197D5D"/>
    <w:rsid w:val="00197D7A"/>
    <w:rsid w:val="00197D8E"/>
    <w:rsid w:val="00197D90"/>
    <w:rsid w:val="00197D9F"/>
    <w:rsid w:val="00197DEA"/>
    <w:rsid w:val="00197DEE"/>
    <w:rsid w:val="00197DF0"/>
    <w:rsid w:val="00197DF4"/>
    <w:rsid w:val="00197E41"/>
    <w:rsid w:val="00197EA2"/>
    <w:rsid w:val="00197EAA"/>
    <w:rsid w:val="00197ED8"/>
    <w:rsid w:val="00197EEA"/>
    <w:rsid w:val="00197F09"/>
    <w:rsid w:val="00197F48"/>
    <w:rsid w:val="00197F56"/>
    <w:rsid w:val="00197F64"/>
    <w:rsid w:val="00197F66"/>
    <w:rsid w:val="00197FA7"/>
    <w:rsid w:val="00197FC3"/>
    <w:rsid w:val="00197FF8"/>
    <w:rsid w:val="001A0007"/>
    <w:rsid w:val="001A0010"/>
    <w:rsid w:val="001A0018"/>
    <w:rsid w:val="001A0020"/>
    <w:rsid w:val="001A0030"/>
    <w:rsid w:val="001A003A"/>
    <w:rsid w:val="001A003C"/>
    <w:rsid w:val="001A0047"/>
    <w:rsid w:val="001A008C"/>
    <w:rsid w:val="001A0092"/>
    <w:rsid w:val="001A00AA"/>
    <w:rsid w:val="001A00B3"/>
    <w:rsid w:val="001A00D9"/>
    <w:rsid w:val="001A00E1"/>
    <w:rsid w:val="001A010C"/>
    <w:rsid w:val="001A011E"/>
    <w:rsid w:val="001A0139"/>
    <w:rsid w:val="001A0180"/>
    <w:rsid w:val="001A0199"/>
    <w:rsid w:val="001A01C4"/>
    <w:rsid w:val="001A022B"/>
    <w:rsid w:val="001A024C"/>
    <w:rsid w:val="001A02A9"/>
    <w:rsid w:val="001A02BE"/>
    <w:rsid w:val="001A02C1"/>
    <w:rsid w:val="001A02D9"/>
    <w:rsid w:val="001A02EC"/>
    <w:rsid w:val="001A02F4"/>
    <w:rsid w:val="001A0307"/>
    <w:rsid w:val="001A036C"/>
    <w:rsid w:val="001A0372"/>
    <w:rsid w:val="001A0378"/>
    <w:rsid w:val="001A0417"/>
    <w:rsid w:val="001A042D"/>
    <w:rsid w:val="001A043A"/>
    <w:rsid w:val="001A047E"/>
    <w:rsid w:val="001A04C9"/>
    <w:rsid w:val="001A04D8"/>
    <w:rsid w:val="001A0512"/>
    <w:rsid w:val="001A051B"/>
    <w:rsid w:val="001A057D"/>
    <w:rsid w:val="001A05AE"/>
    <w:rsid w:val="001A05C7"/>
    <w:rsid w:val="001A05D8"/>
    <w:rsid w:val="001A060B"/>
    <w:rsid w:val="001A064A"/>
    <w:rsid w:val="001A0701"/>
    <w:rsid w:val="001A071D"/>
    <w:rsid w:val="001A0735"/>
    <w:rsid w:val="001A07BB"/>
    <w:rsid w:val="001A07BF"/>
    <w:rsid w:val="001A07C0"/>
    <w:rsid w:val="001A07C8"/>
    <w:rsid w:val="001A080E"/>
    <w:rsid w:val="001A083D"/>
    <w:rsid w:val="001A085F"/>
    <w:rsid w:val="001A0897"/>
    <w:rsid w:val="001A08B8"/>
    <w:rsid w:val="001A0900"/>
    <w:rsid w:val="001A0912"/>
    <w:rsid w:val="001A092E"/>
    <w:rsid w:val="001A0949"/>
    <w:rsid w:val="001A097A"/>
    <w:rsid w:val="001A09A1"/>
    <w:rsid w:val="001A09A2"/>
    <w:rsid w:val="001A09B0"/>
    <w:rsid w:val="001A0A0B"/>
    <w:rsid w:val="001A0A2C"/>
    <w:rsid w:val="001A0A3C"/>
    <w:rsid w:val="001A0A52"/>
    <w:rsid w:val="001A0A80"/>
    <w:rsid w:val="001A0A96"/>
    <w:rsid w:val="001A0A9D"/>
    <w:rsid w:val="001A0AA8"/>
    <w:rsid w:val="001A0AAF"/>
    <w:rsid w:val="001A0AE7"/>
    <w:rsid w:val="001A0B09"/>
    <w:rsid w:val="001A0B16"/>
    <w:rsid w:val="001A0B57"/>
    <w:rsid w:val="001A0B6A"/>
    <w:rsid w:val="001A0BB4"/>
    <w:rsid w:val="001A0BBD"/>
    <w:rsid w:val="001A0BC4"/>
    <w:rsid w:val="001A0BE0"/>
    <w:rsid w:val="001A0BFA"/>
    <w:rsid w:val="001A0BFD"/>
    <w:rsid w:val="001A0C06"/>
    <w:rsid w:val="001A0C4B"/>
    <w:rsid w:val="001A0CAE"/>
    <w:rsid w:val="001A0CB2"/>
    <w:rsid w:val="001A0CC6"/>
    <w:rsid w:val="001A0CD6"/>
    <w:rsid w:val="001A0D4E"/>
    <w:rsid w:val="001A0D80"/>
    <w:rsid w:val="001A0E14"/>
    <w:rsid w:val="001A0E5D"/>
    <w:rsid w:val="001A0EF0"/>
    <w:rsid w:val="001A0F25"/>
    <w:rsid w:val="001A0FCE"/>
    <w:rsid w:val="001A0FF4"/>
    <w:rsid w:val="001A1052"/>
    <w:rsid w:val="001A1090"/>
    <w:rsid w:val="001A109E"/>
    <w:rsid w:val="001A10BD"/>
    <w:rsid w:val="001A10C4"/>
    <w:rsid w:val="001A10FF"/>
    <w:rsid w:val="001A1119"/>
    <w:rsid w:val="001A1141"/>
    <w:rsid w:val="001A1147"/>
    <w:rsid w:val="001A119F"/>
    <w:rsid w:val="001A11BF"/>
    <w:rsid w:val="001A11E2"/>
    <w:rsid w:val="001A125A"/>
    <w:rsid w:val="001A12AA"/>
    <w:rsid w:val="001A12B8"/>
    <w:rsid w:val="001A12BD"/>
    <w:rsid w:val="001A12C5"/>
    <w:rsid w:val="001A12DD"/>
    <w:rsid w:val="001A1304"/>
    <w:rsid w:val="001A1314"/>
    <w:rsid w:val="001A1364"/>
    <w:rsid w:val="001A13AE"/>
    <w:rsid w:val="001A13DE"/>
    <w:rsid w:val="001A1400"/>
    <w:rsid w:val="001A143B"/>
    <w:rsid w:val="001A149A"/>
    <w:rsid w:val="001A14AD"/>
    <w:rsid w:val="001A14E1"/>
    <w:rsid w:val="001A154B"/>
    <w:rsid w:val="001A154E"/>
    <w:rsid w:val="001A154F"/>
    <w:rsid w:val="001A1560"/>
    <w:rsid w:val="001A15BF"/>
    <w:rsid w:val="001A1603"/>
    <w:rsid w:val="001A1615"/>
    <w:rsid w:val="001A167D"/>
    <w:rsid w:val="001A16B5"/>
    <w:rsid w:val="001A1701"/>
    <w:rsid w:val="001A1704"/>
    <w:rsid w:val="001A1739"/>
    <w:rsid w:val="001A17A1"/>
    <w:rsid w:val="001A17AC"/>
    <w:rsid w:val="001A17D5"/>
    <w:rsid w:val="001A17D9"/>
    <w:rsid w:val="001A1864"/>
    <w:rsid w:val="001A18A3"/>
    <w:rsid w:val="001A18B8"/>
    <w:rsid w:val="001A18E6"/>
    <w:rsid w:val="001A18EC"/>
    <w:rsid w:val="001A18F7"/>
    <w:rsid w:val="001A191A"/>
    <w:rsid w:val="001A1973"/>
    <w:rsid w:val="001A19B0"/>
    <w:rsid w:val="001A19B4"/>
    <w:rsid w:val="001A19E2"/>
    <w:rsid w:val="001A1A0F"/>
    <w:rsid w:val="001A1A10"/>
    <w:rsid w:val="001A1A1E"/>
    <w:rsid w:val="001A1A50"/>
    <w:rsid w:val="001A1A5B"/>
    <w:rsid w:val="001A1A66"/>
    <w:rsid w:val="001A1A6E"/>
    <w:rsid w:val="001A1AA6"/>
    <w:rsid w:val="001A1AB1"/>
    <w:rsid w:val="001A1AC9"/>
    <w:rsid w:val="001A1AF8"/>
    <w:rsid w:val="001A1AFC"/>
    <w:rsid w:val="001A1B66"/>
    <w:rsid w:val="001A1B6F"/>
    <w:rsid w:val="001A1B84"/>
    <w:rsid w:val="001A1B8F"/>
    <w:rsid w:val="001A1BA5"/>
    <w:rsid w:val="001A1C0F"/>
    <w:rsid w:val="001A1C37"/>
    <w:rsid w:val="001A1C92"/>
    <w:rsid w:val="001A1CF1"/>
    <w:rsid w:val="001A1D3C"/>
    <w:rsid w:val="001A1D47"/>
    <w:rsid w:val="001A1D73"/>
    <w:rsid w:val="001A1D7A"/>
    <w:rsid w:val="001A1D7E"/>
    <w:rsid w:val="001A1E1B"/>
    <w:rsid w:val="001A1E73"/>
    <w:rsid w:val="001A1E85"/>
    <w:rsid w:val="001A1EB4"/>
    <w:rsid w:val="001A1EDF"/>
    <w:rsid w:val="001A1EE4"/>
    <w:rsid w:val="001A1EF5"/>
    <w:rsid w:val="001A1EFD"/>
    <w:rsid w:val="001A1F07"/>
    <w:rsid w:val="001A1F13"/>
    <w:rsid w:val="001A1F51"/>
    <w:rsid w:val="001A1FB7"/>
    <w:rsid w:val="001A207F"/>
    <w:rsid w:val="001A20A2"/>
    <w:rsid w:val="001A20B7"/>
    <w:rsid w:val="001A2107"/>
    <w:rsid w:val="001A2110"/>
    <w:rsid w:val="001A2155"/>
    <w:rsid w:val="001A217F"/>
    <w:rsid w:val="001A21B4"/>
    <w:rsid w:val="001A21D4"/>
    <w:rsid w:val="001A21EC"/>
    <w:rsid w:val="001A2205"/>
    <w:rsid w:val="001A2211"/>
    <w:rsid w:val="001A2224"/>
    <w:rsid w:val="001A2229"/>
    <w:rsid w:val="001A222A"/>
    <w:rsid w:val="001A2235"/>
    <w:rsid w:val="001A228A"/>
    <w:rsid w:val="001A2298"/>
    <w:rsid w:val="001A22A7"/>
    <w:rsid w:val="001A22CB"/>
    <w:rsid w:val="001A22E3"/>
    <w:rsid w:val="001A22F1"/>
    <w:rsid w:val="001A231E"/>
    <w:rsid w:val="001A237C"/>
    <w:rsid w:val="001A2397"/>
    <w:rsid w:val="001A23BF"/>
    <w:rsid w:val="001A23DC"/>
    <w:rsid w:val="001A23F8"/>
    <w:rsid w:val="001A2410"/>
    <w:rsid w:val="001A241E"/>
    <w:rsid w:val="001A2463"/>
    <w:rsid w:val="001A24A1"/>
    <w:rsid w:val="001A24C7"/>
    <w:rsid w:val="001A2527"/>
    <w:rsid w:val="001A2568"/>
    <w:rsid w:val="001A25B1"/>
    <w:rsid w:val="001A25C7"/>
    <w:rsid w:val="001A25DE"/>
    <w:rsid w:val="001A25E5"/>
    <w:rsid w:val="001A2616"/>
    <w:rsid w:val="001A2625"/>
    <w:rsid w:val="001A2627"/>
    <w:rsid w:val="001A262B"/>
    <w:rsid w:val="001A2641"/>
    <w:rsid w:val="001A2649"/>
    <w:rsid w:val="001A2698"/>
    <w:rsid w:val="001A270D"/>
    <w:rsid w:val="001A2711"/>
    <w:rsid w:val="001A2721"/>
    <w:rsid w:val="001A2732"/>
    <w:rsid w:val="001A2753"/>
    <w:rsid w:val="001A2787"/>
    <w:rsid w:val="001A2793"/>
    <w:rsid w:val="001A289D"/>
    <w:rsid w:val="001A28C3"/>
    <w:rsid w:val="001A28D7"/>
    <w:rsid w:val="001A28DF"/>
    <w:rsid w:val="001A28E5"/>
    <w:rsid w:val="001A28EF"/>
    <w:rsid w:val="001A2906"/>
    <w:rsid w:val="001A2911"/>
    <w:rsid w:val="001A293D"/>
    <w:rsid w:val="001A293F"/>
    <w:rsid w:val="001A2988"/>
    <w:rsid w:val="001A2A3A"/>
    <w:rsid w:val="001A2A5D"/>
    <w:rsid w:val="001A2A7A"/>
    <w:rsid w:val="001A2AA8"/>
    <w:rsid w:val="001A2AD5"/>
    <w:rsid w:val="001A2B1A"/>
    <w:rsid w:val="001A2B56"/>
    <w:rsid w:val="001A2B62"/>
    <w:rsid w:val="001A2B65"/>
    <w:rsid w:val="001A2BA5"/>
    <w:rsid w:val="001A2BAE"/>
    <w:rsid w:val="001A2BDA"/>
    <w:rsid w:val="001A2C0D"/>
    <w:rsid w:val="001A2C5B"/>
    <w:rsid w:val="001A2C6D"/>
    <w:rsid w:val="001A2C71"/>
    <w:rsid w:val="001A2C93"/>
    <w:rsid w:val="001A2CAA"/>
    <w:rsid w:val="001A2CBA"/>
    <w:rsid w:val="001A2CC1"/>
    <w:rsid w:val="001A2CC2"/>
    <w:rsid w:val="001A2CCD"/>
    <w:rsid w:val="001A2D21"/>
    <w:rsid w:val="001A2D28"/>
    <w:rsid w:val="001A2D51"/>
    <w:rsid w:val="001A2D61"/>
    <w:rsid w:val="001A2DF3"/>
    <w:rsid w:val="001A2E15"/>
    <w:rsid w:val="001A2E50"/>
    <w:rsid w:val="001A2E7A"/>
    <w:rsid w:val="001A2EAD"/>
    <w:rsid w:val="001A2EAF"/>
    <w:rsid w:val="001A2F1B"/>
    <w:rsid w:val="001A2F33"/>
    <w:rsid w:val="001A2F38"/>
    <w:rsid w:val="001A2F3A"/>
    <w:rsid w:val="001A2F6A"/>
    <w:rsid w:val="001A2F7D"/>
    <w:rsid w:val="001A3002"/>
    <w:rsid w:val="001A301A"/>
    <w:rsid w:val="001A303E"/>
    <w:rsid w:val="001A3087"/>
    <w:rsid w:val="001A30A8"/>
    <w:rsid w:val="001A30B0"/>
    <w:rsid w:val="001A30CC"/>
    <w:rsid w:val="001A30CD"/>
    <w:rsid w:val="001A3122"/>
    <w:rsid w:val="001A3158"/>
    <w:rsid w:val="001A3174"/>
    <w:rsid w:val="001A3175"/>
    <w:rsid w:val="001A31E1"/>
    <w:rsid w:val="001A31E6"/>
    <w:rsid w:val="001A3212"/>
    <w:rsid w:val="001A322C"/>
    <w:rsid w:val="001A3237"/>
    <w:rsid w:val="001A3383"/>
    <w:rsid w:val="001A3388"/>
    <w:rsid w:val="001A33AE"/>
    <w:rsid w:val="001A33FC"/>
    <w:rsid w:val="001A3402"/>
    <w:rsid w:val="001A3411"/>
    <w:rsid w:val="001A341D"/>
    <w:rsid w:val="001A3470"/>
    <w:rsid w:val="001A3480"/>
    <w:rsid w:val="001A34A2"/>
    <w:rsid w:val="001A352C"/>
    <w:rsid w:val="001A3533"/>
    <w:rsid w:val="001A353F"/>
    <w:rsid w:val="001A355E"/>
    <w:rsid w:val="001A3564"/>
    <w:rsid w:val="001A3586"/>
    <w:rsid w:val="001A3598"/>
    <w:rsid w:val="001A359D"/>
    <w:rsid w:val="001A35AE"/>
    <w:rsid w:val="001A35DD"/>
    <w:rsid w:val="001A3642"/>
    <w:rsid w:val="001A36B3"/>
    <w:rsid w:val="001A36C1"/>
    <w:rsid w:val="001A36DD"/>
    <w:rsid w:val="001A36F1"/>
    <w:rsid w:val="001A36F4"/>
    <w:rsid w:val="001A3753"/>
    <w:rsid w:val="001A3794"/>
    <w:rsid w:val="001A37DB"/>
    <w:rsid w:val="001A37E3"/>
    <w:rsid w:val="001A37E5"/>
    <w:rsid w:val="001A3824"/>
    <w:rsid w:val="001A385C"/>
    <w:rsid w:val="001A386B"/>
    <w:rsid w:val="001A3877"/>
    <w:rsid w:val="001A38CE"/>
    <w:rsid w:val="001A38E9"/>
    <w:rsid w:val="001A38ED"/>
    <w:rsid w:val="001A38EE"/>
    <w:rsid w:val="001A395F"/>
    <w:rsid w:val="001A3967"/>
    <w:rsid w:val="001A397B"/>
    <w:rsid w:val="001A3A7E"/>
    <w:rsid w:val="001A3AA5"/>
    <w:rsid w:val="001A3AB0"/>
    <w:rsid w:val="001A3AB7"/>
    <w:rsid w:val="001A3B01"/>
    <w:rsid w:val="001A3B2D"/>
    <w:rsid w:val="001A3BE8"/>
    <w:rsid w:val="001A3BEF"/>
    <w:rsid w:val="001A3C1B"/>
    <w:rsid w:val="001A3C2F"/>
    <w:rsid w:val="001A3C4D"/>
    <w:rsid w:val="001A3C94"/>
    <w:rsid w:val="001A3CD4"/>
    <w:rsid w:val="001A3CF0"/>
    <w:rsid w:val="001A3CFA"/>
    <w:rsid w:val="001A3D24"/>
    <w:rsid w:val="001A3D3F"/>
    <w:rsid w:val="001A3DA6"/>
    <w:rsid w:val="001A3DAC"/>
    <w:rsid w:val="001A3DBA"/>
    <w:rsid w:val="001A3DC1"/>
    <w:rsid w:val="001A3DED"/>
    <w:rsid w:val="001A3E16"/>
    <w:rsid w:val="001A3E33"/>
    <w:rsid w:val="001A3E94"/>
    <w:rsid w:val="001A3EF3"/>
    <w:rsid w:val="001A3F1A"/>
    <w:rsid w:val="001A3F39"/>
    <w:rsid w:val="001A3F3B"/>
    <w:rsid w:val="001A3F44"/>
    <w:rsid w:val="001A4006"/>
    <w:rsid w:val="001A4034"/>
    <w:rsid w:val="001A4036"/>
    <w:rsid w:val="001A405A"/>
    <w:rsid w:val="001A4064"/>
    <w:rsid w:val="001A4075"/>
    <w:rsid w:val="001A4076"/>
    <w:rsid w:val="001A40CC"/>
    <w:rsid w:val="001A4105"/>
    <w:rsid w:val="001A4123"/>
    <w:rsid w:val="001A4130"/>
    <w:rsid w:val="001A4138"/>
    <w:rsid w:val="001A414F"/>
    <w:rsid w:val="001A418A"/>
    <w:rsid w:val="001A418C"/>
    <w:rsid w:val="001A41A0"/>
    <w:rsid w:val="001A41B9"/>
    <w:rsid w:val="001A41C1"/>
    <w:rsid w:val="001A41CD"/>
    <w:rsid w:val="001A41D0"/>
    <w:rsid w:val="001A4205"/>
    <w:rsid w:val="001A4250"/>
    <w:rsid w:val="001A4276"/>
    <w:rsid w:val="001A427D"/>
    <w:rsid w:val="001A42CF"/>
    <w:rsid w:val="001A42F9"/>
    <w:rsid w:val="001A430B"/>
    <w:rsid w:val="001A4329"/>
    <w:rsid w:val="001A433B"/>
    <w:rsid w:val="001A439D"/>
    <w:rsid w:val="001A43BB"/>
    <w:rsid w:val="001A43CD"/>
    <w:rsid w:val="001A43FF"/>
    <w:rsid w:val="001A4410"/>
    <w:rsid w:val="001A442F"/>
    <w:rsid w:val="001A4432"/>
    <w:rsid w:val="001A4438"/>
    <w:rsid w:val="001A4445"/>
    <w:rsid w:val="001A448E"/>
    <w:rsid w:val="001A449E"/>
    <w:rsid w:val="001A453F"/>
    <w:rsid w:val="001A4560"/>
    <w:rsid w:val="001A458A"/>
    <w:rsid w:val="001A460C"/>
    <w:rsid w:val="001A46B9"/>
    <w:rsid w:val="001A46F2"/>
    <w:rsid w:val="001A46F7"/>
    <w:rsid w:val="001A4734"/>
    <w:rsid w:val="001A4769"/>
    <w:rsid w:val="001A479B"/>
    <w:rsid w:val="001A47E3"/>
    <w:rsid w:val="001A47E4"/>
    <w:rsid w:val="001A4803"/>
    <w:rsid w:val="001A484F"/>
    <w:rsid w:val="001A4865"/>
    <w:rsid w:val="001A4886"/>
    <w:rsid w:val="001A48A5"/>
    <w:rsid w:val="001A4912"/>
    <w:rsid w:val="001A492C"/>
    <w:rsid w:val="001A4936"/>
    <w:rsid w:val="001A49D4"/>
    <w:rsid w:val="001A49DC"/>
    <w:rsid w:val="001A4A08"/>
    <w:rsid w:val="001A4A0D"/>
    <w:rsid w:val="001A4A26"/>
    <w:rsid w:val="001A4A74"/>
    <w:rsid w:val="001A4A9D"/>
    <w:rsid w:val="001A4AC4"/>
    <w:rsid w:val="001A4AF1"/>
    <w:rsid w:val="001A4B04"/>
    <w:rsid w:val="001A4B60"/>
    <w:rsid w:val="001A4B99"/>
    <w:rsid w:val="001A4BBB"/>
    <w:rsid w:val="001A4C9A"/>
    <w:rsid w:val="001A4CBC"/>
    <w:rsid w:val="001A4CBE"/>
    <w:rsid w:val="001A4CE4"/>
    <w:rsid w:val="001A4D0E"/>
    <w:rsid w:val="001A4D22"/>
    <w:rsid w:val="001A4D36"/>
    <w:rsid w:val="001A4D9B"/>
    <w:rsid w:val="001A4DA5"/>
    <w:rsid w:val="001A4DFA"/>
    <w:rsid w:val="001A4E33"/>
    <w:rsid w:val="001A4E47"/>
    <w:rsid w:val="001A4E58"/>
    <w:rsid w:val="001A4E6F"/>
    <w:rsid w:val="001A4E76"/>
    <w:rsid w:val="001A4E77"/>
    <w:rsid w:val="001A4E8F"/>
    <w:rsid w:val="001A4E9F"/>
    <w:rsid w:val="001A4EA0"/>
    <w:rsid w:val="001A4EE3"/>
    <w:rsid w:val="001A4F56"/>
    <w:rsid w:val="001A4F73"/>
    <w:rsid w:val="001A4F7F"/>
    <w:rsid w:val="001A4F8C"/>
    <w:rsid w:val="001A5047"/>
    <w:rsid w:val="001A504C"/>
    <w:rsid w:val="001A5068"/>
    <w:rsid w:val="001A50A1"/>
    <w:rsid w:val="001A50B2"/>
    <w:rsid w:val="001A50C2"/>
    <w:rsid w:val="001A50DB"/>
    <w:rsid w:val="001A511E"/>
    <w:rsid w:val="001A5138"/>
    <w:rsid w:val="001A514F"/>
    <w:rsid w:val="001A5169"/>
    <w:rsid w:val="001A5196"/>
    <w:rsid w:val="001A51D3"/>
    <w:rsid w:val="001A51E8"/>
    <w:rsid w:val="001A51F3"/>
    <w:rsid w:val="001A523E"/>
    <w:rsid w:val="001A5263"/>
    <w:rsid w:val="001A5284"/>
    <w:rsid w:val="001A529C"/>
    <w:rsid w:val="001A52BB"/>
    <w:rsid w:val="001A52BE"/>
    <w:rsid w:val="001A52D5"/>
    <w:rsid w:val="001A52E4"/>
    <w:rsid w:val="001A52F2"/>
    <w:rsid w:val="001A5307"/>
    <w:rsid w:val="001A533F"/>
    <w:rsid w:val="001A5342"/>
    <w:rsid w:val="001A5371"/>
    <w:rsid w:val="001A538F"/>
    <w:rsid w:val="001A53AA"/>
    <w:rsid w:val="001A53B1"/>
    <w:rsid w:val="001A53E6"/>
    <w:rsid w:val="001A542E"/>
    <w:rsid w:val="001A544D"/>
    <w:rsid w:val="001A544F"/>
    <w:rsid w:val="001A54B7"/>
    <w:rsid w:val="001A54DF"/>
    <w:rsid w:val="001A552E"/>
    <w:rsid w:val="001A554B"/>
    <w:rsid w:val="001A555D"/>
    <w:rsid w:val="001A5593"/>
    <w:rsid w:val="001A55B1"/>
    <w:rsid w:val="001A55DD"/>
    <w:rsid w:val="001A5601"/>
    <w:rsid w:val="001A5659"/>
    <w:rsid w:val="001A5690"/>
    <w:rsid w:val="001A5695"/>
    <w:rsid w:val="001A56A1"/>
    <w:rsid w:val="001A56A4"/>
    <w:rsid w:val="001A56BC"/>
    <w:rsid w:val="001A56E4"/>
    <w:rsid w:val="001A56E6"/>
    <w:rsid w:val="001A56FE"/>
    <w:rsid w:val="001A5749"/>
    <w:rsid w:val="001A574E"/>
    <w:rsid w:val="001A5787"/>
    <w:rsid w:val="001A57A1"/>
    <w:rsid w:val="001A57B0"/>
    <w:rsid w:val="001A57B3"/>
    <w:rsid w:val="001A5806"/>
    <w:rsid w:val="001A5814"/>
    <w:rsid w:val="001A582B"/>
    <w:rsid w:val="001A5838"/>
    <w:rsid w:val="001A58AD"/>
    <w:rsid w:val="001A5933"/>
    <w:rsid w:val="001A5935"/>
    <w:rsid w:val="001A594F"/>
    <w:rsid w:val="001A597F"/>
    <w:rsid w:val="001A5998"/>
    <w:rsid w:val="001A5A6E"/>
    <w:rsid w:val="001A5AAF"/>
    <w:rsid w:val="001A5AB5"/>
    <w:rsid w:val="001A5AB6"/>
    <w:rsid w:val="001A5ABE"/>
    <w:rsid w:val="001A5ACF"/>
    <w:rsid w:val="001A5AE5"/>
    <w:rsid w:val="001A5B17"/>
    <w:rsid w:val="001A5B5C"/>
    <w:rsid w:val="001A5BAD"/>
    <w:rsid w:val="001A5BB1"/>
    <w:rsid w:val="001A5BC3"/>
    <w:rsid w:val="001A5BC5"/>
    <w:rsid w:val="001A5BD0"/>
    <w:rsid w:val="001A5BEC"/>
    <w:rsid w:val="001A5BF2"/>
    <w:rsid w:val="001A5C13"/>
    <w:rsid w:val="001A5C1D"/>
    <w:rsid w:val="001A5C5A"/>
    <w:rsid w:val="001A5C7D"/>
    <w:rsid w:val="001A5C8D"/>
    <w:rsid w:val="001A5CBB"/>
    <w:rsid w:val="001A5CBF"/>
    <w:rsid w:val="001A5D0C"/>
    <w:rsid w:val="001A5D13"/>
    <w:rsid w:val="001A5D51"/>
    <w:rsid w:val="001A5D65"/>
    <w:rsid w:val="001A5D74"/>
    <w:rsid w:val="001A5DBD"/>
    <w:rsid w:val="001A5DBE"/>
    <w:rsid w:val="001A5DD8"/>
    <w:rsid w:val="001A5DE9"/>
    <w:rsid w:val="001A5DFD"/>
    <w:rsid w:val="001A5E12"/>
    <w:rsid w:val="001A5E14"/>
    <w:rsid w:val="001A5E49"/>
    <w:rsid w:val="001A5E58"/>
    <w:rsid w:val="001A5E5A"/>
    <w:rsid w:val="001A5E6D"/>
    <w:rsid w:val="001A5E70"/>
    <w:rsid w:val="001A5ED9"/>
    <w:rsid w:val="001A5EE9"/>
    <w:rsid w:val="001A5EFF"/>
    <w:rsid w:val="001A5F04"/>
    <w:rsid w:val="001A5F4E"/>
    <w:rsid w:val="001A5F8F"/>
    <w:rsid w:val="001A5FCF"/>
    <w:rsid w:val="001A6012"/>
    <w:rsid w:val="001A6033"/>
    <w:rsid w:val="001A604E"/>
    <w:rsid w:val="001A607B"/>
    <w:rsid w:val="001A60A1"/>
    <w:rsid w:val="001A60C2"/>
    <w:rsid w:val="001A6102"/>
    <w:rsid w:val="001A6104"/>
    <w:rsid w:val="001A612C"/>
    <w:rsid w:val="001A613E"/>
    <w:rsid w:val="001A6148"/>
    <w:rsid w:val="001A61B1"/>
    <w:rsid w:val="001A61FB"/>
    <w:rsid w:val="001A6237"/>
    <w:rsid w:val="001A6241"/>
    <w:rsid w:val="001A6253"/>
    <w:rsid w:val="001A6285"/>
    <w:rsid w:val="001A62A3"/>
    <w:rsid w:val="001A632C"/>
    <w:rsid w:val="001A6370"/>
    <w:rsid w:val="001A637A"/>
    <w:rsid w:val="001A63A3"/>
    <w:rsid w:val="001A63B0"/>
    <w:rsid w:val="001A63E3"/>
    <w:rsid w:val="001A640D"/>
    <w:rsid w:val="001A645A"/>
    <w:rsid w:val="001A6486"/>
    <w:rsid w:val="001A6492"/>
    <w:rsid w:val="001A64CC"/>
    <w:rsid w:val="001A657F"/>
    <w:rsid w:val="001A65A5"/>
    <w:rsid w:val="001A6648"/>
    <w:rsid w:val="001A6657"/>
    <w:rsid w:val="001A6694"/>
    <w:rsid w:val="001A66FB"/>
    <w:rsid w:val="001A6785"/>
    <w:rsid w:val="001A67A8"/>
    <w:rsid w:val="001A67E2"/>
    <w:rsid w:val="001A684F"/>
    <w:rsid w:val="001A6872"/>
    <w:rsid w:val="001A68F2"/>
    <w:rsid w:val="001A693C"/>
    <w:rsid w:val="001A695F"/>
    <w:rsid w:val="001A6961"/>
    <w:rsid w:val="001A6990"/>
    <w:rsid w:val="001A69FC"/>
    <w:rsid w:val="001A6A72"/>
    <w:rsid w:val="001A6A8D"/>
    <w:rsid w:val="001A6AF6"/>
    <w:rsid w:val="001A6B9A"/>
    <w:rsid w:val="001A6BB2"/>
    <w:rsid w:val="001A6BCC"/>
    <w:rsid w:val="001A6C1F"/>
    <w:rsid w:val="001A6C38"/>
    <w:rsid w:val="001A6C80"/>
    <w:rsid w:val="001A6CC8"/>
    <w:rsid w:val="001A6CF7"/>
    <w:rsid w:val="001A6CFA"/>
    <w:rsid w:val="001A6CFE"/>
    <w:rsid w:val="001A6D27"/>
    <w:rsid w:val="001A6D71"/>
    <w:rsid w:val="001A6D7D"/>
    <w:rsid w:val="001A6DB3"/>
    <w:rsid w:val="001A6DB9"/>
    <w:rsid w:val="001A6DC7"/>
    <w:rsid w:val="001A6DD2"/>
    <w:rsid w:val="001A6DEA"/>
    <w:rsid w:val="001A6E33"/>
    <w:rsid w:val="001A6E35"/>
    <w:rsid w:val="001A6E3F"/>
    <w:rsid w:val="001A6E48"/>
    <w:rsid w:val="001A6E8A"/>
    <w:rsid w:val="001A6EA0"/>
    <w:rsid w:val="001A6EAE"/>
    <w:rsid w:val="001A6EBD"/>
    <w:rsid w:val="001A6ED7"/>
    <w:rsid w:val="001A6EF1"/>
    <w:rsid w:val="001A6F18"/>
    <w:rsid w:val="001A6F53"/>
    <w:rsid w:val="001A6F65"/>
    <w:rsid w:val="001A6F7E"/>
    <w:rsid w:val="001A6FAB"/>
    <w:rsid w:val="001A6FCB"/>
    <w:rsid w:val="001A6FED"/>
    <w:rsid w:val="001A6FFA"/>
    <w:rsid w:val="001A709B"/>
    <w:rsid w:val="001A70A5"/>
    <w:rsid w:val="001A70DE"/>
    <w:rsid w:val="001A70E3"/>
    <w:rsid w:val="001A70F1"/>
    <w:rsid w:val="001A716E"/>
    <w:rsid w:val="001A7181"/>
    <w:rsid w:val="001A7184"/>
    <w:rsid w:val="001A71A2"/>
    <w:rsid w:val="001A71C2"/>
    <w:rsid w:val="001A7201"/>
    <w:rsid w:val="001A7216"/>
    <w:rsid w:val="001A7229"/>
    <w:rsid w:val="001A7238"/>
    <w:rsid w:val="001A723F"/>
    <w:rsid w:val="001A72B2"/>
    <w:rsid w:val="001A72E7"/>
    <w:rsid w:val="001A72EC"/>
    <w:rsid w:val="001A7302"/>
    <w:rsid w:val="001A7325"/>
    <w:rsid w:val="001A7385"/>
    <w:rsid w:val="001A738A"/>
    <w:rsid w:val="001A73A5"/>
    <w:rsid w:val="001A73A7"/>
    <w:rsid w:val="001A73BF"/>
    <w:rsid w:val="001A744B"/>
    <w:rsid w:val="001A7458"/>
    <w:rsid w:val="001A7489"/>
    <w:rsid w:val="001A749C"/>
    <w:rsid w:val="001A74D8"/>
    <w:rsid w:val="001A74F5"/>
    <w:rsid w:val="001A74F8"/>
    <w:rsid w:val="001A752B"/>
    <w:rsid w:val="001A7546"/>
    <w:rsid w:val="001A754A"/>
    <w:rsid w:val="001A756D"/>
    <w:rsid w:val="001A7598"/>
    <w:rsid w:val="001A75AE"/>
    <w:rsid w:val="001A75C3"/>
    <w:rsid w:val="001A75CC"/>
    <w:rsid w:val="001A75D7"/>
    <w:rsid w:val="001A75E0"/>
    <w:rsid w:val="001A7609"/>
    <w:rsid w:val="001A761E"/>
    <w:rsid w:val="001A7645"/>
    <w:rsid w:val="001A7647"/>
    <w:rsid w:val="001A7694"/>
    <w:rsid w:val="001A76D0"/>
    <w:rsid w:val="001A76D9"/>
    <w:rsid w:val="001A76EA"/>
    <w:rsid w:val="001A770D"/>
    <w:rsid w:val="001A774A"/>
    <w:rsid w:val="001A7759"/>
    <w:rsid w:val="001A77D3"/>
    <w:rsid w:val="001A7825"/>
    <w:rsid w:val="001A78AB"/>
    <w:rsid w:val="001A78B2"/>
    <w:rsid w:val="001A78BF"/>
    <w:rsid w:val="001A790A"/>
    <w:rsid w:val="001A791F"/>
    <w:rsid w:val="001A7925"/>
    <w:rsid w:val="001A7996"/>
    <w:rsid w:val="001A79AF"/>
    <w:rsid w:val="001A79B9"/>
    <w:rsid w:val="001A79BA"/>
    <w:rsid w:val="001A79ED"/>
    <w:rsid w:val="001A79F1"/>
    <w:rsid w:val="001A7A01"/>
    <w:rsid w:val="001A7A0F"/>
    <w:rsid w:val="001A7A29"/>
    <w:rsid w:val="001A7A64"/>
    <w:rsid w:val="001A7AC2"/>
    <w:rsid w:val="001A7ADE"/>
    <w:rsid w:val="001A7B20"/>
    <w:rsid w:val="001A7B23"/>
    <w:rsid w:val="001A7B2C"/>
    <w:rsid w:val="001A7B5C"/>
    <w:rsid w:val="001A7B9A"/>
    <w:rsid w:val="001A7BA8"/>
    <w:rsid w:val="001A7BC3"/>
    <w:rsid w:val="001A7BE9"/>
    <w:rsid w:val="001A7C24"/>
    <w:rsid w:val="001A7C51"/>
    <w:rsid w:val="001A7C88"/>
    <w:rsid w:val="001A7C90"/>
    <w:rsid w:val="001A7CB3"/>
    <w:rsid w:val="001A7CC1"/>
    <w:rsid w:val="001A7CD3"/>
    <w:rsid w:val="001A7D21"/>
    <w:rsid w:val="001A7D73"/>
    <w:rsid w:val="001A7D90"/>
    <w:rsid w:val="001A7DA9"/>
    <w:rsid w:val="001A7E47"/>
    <w:rsid w:val="001A7EA5"/>
    <w:rsid w:val="001A7F4A"/>
    <w:rsid w:val="001A7F93"/>
    <w:rsid w:val="001A7FE4"/>
    <w:rsid w:val="001A7FE6"/>
    <w:rsid w:val="001B0059"/>
    <w:rsid w:val="001B0061"/>
    <w:rsid w:val="001B006D"/>
    <w:rsid w:val="001B008A"/>
    <w:rsid w:val="001B009A"/>
    <w:rsid w:val="001B00AA"/>
    <w:rsid w:val="001B00B7"/>
    <w:rsid w:val="001B00F6"/>
    <w:rsid w:val="001B00FB"/>
    <w:rsid w:val="001B011D"/>
    <w:rsid w:val="001B0134"/>
    <w:rsid w:val="001B0148"/>
    <w:rsid w:val="001B0161"/>
    <w:rsid w:val="001B0164"/>
    <w:rsid w:val="001B019D"/>
    <w:rsid w:val="001B01CE"/>
    <w:rsid w:val="001B020A"/>
    <w:rsid w:val="001B0211"/>
    <w:rsid w:val="001B0253"/>
    <w:rsid w:val="001B0259"/>
    <w:rsid w:val="001B02A1"/>
    <w:rsid w:val="001B02A9"/>
    <w:rsid w:val="001B02C5"/>
    <w:rsid w:val="001B02E6"/>
    <w:rsid w:val="001B035E"/>
    <w:rsid w:val="001B038F"/>
    <w:rsid w:val="001B03A1"/>
    <w:rsid w:val="001B03AE"/>
    <w:rsid w:val="001B03BD"/>
    <w:rsid w:val="001B03F8"/>
    <w:rsid w:val="001B040F"/>
    <w:rsid w:val="001B0430"/>
    <w:rsid w:val="001B044A"/>
    <w:rsid w:val="001B0487"/>
    <w:rsid w:val="001B049F"/>
    <w:rsid w:val="001B04CC"/>
    <w:rsid w:val="001B0502"/>
    <w:rsid w:val="001B051A"/>
    <w:rsid w:val="001B0520"/>
    <w:rsid w:val="001B053E"/>
    <w:rsid w:val="001B0545"/>
    <w:rsid w:val="001B057A"/>
    <w:rsid w:val="001B0612"/>
    <w:rsid w:val="001B061B"/>
    <w:rsid w:val="001B062F"/>
    <w:rsid w:val="001B065B"/>
    <w:rsid w:val="001B0661"/>
    <w:rsid w:val="001B066A"/>
    <w:rsid w:val="001B0673"/>
    <w:rsid w:val="001B06DC"/>
    <w:rsid w:val="001B06F8"/>
    <w:rsid w:val="001B0706"/>
    <w:rsid w:val="001B0707"/>
    <w:rsid w:val="001B070C"/>
    <w:rsid w:val="001B0718"/>
    <w:rsid w:val="001B0739"/>
    <w:rsid w:val="001B0752"/>
    <w:rsid w:val="001B077C"/>
    <w:rsid w:val="001B078A"/>
    <w:rsid w:val="001B0791"/>
    <w:rsid w:val="001B07B7"/>
    <w:rsid w:val="001B07C5"/>
    <w:rsid w:val="001B07D9"/>
    <w:rsid w:val="001B07FC"/>
    <w:rsid w:val="001B07FF"/>
    <w:rsid w:val="001B088D"/>
    <w:rsid w:val="001B088F"/>
    <w:rsid w:val="001B08BE"/>
    <w:rsid w:val="001B08C7"/>
    <w:rsid w:val="001B08D0"/>
    <w:rsid w:val="001B090B"/>
    <w:rsid w:val="001B0913"/>
    <w:rsid w:val="001B0921"/>
    <w:rsid w:val="001B094D"/>
    <w:rsid w:val="001B09B2"/>
    <w:rsid w:val="001B09F6"/>
    <w:rsid w:val="001B0A39"/>
    <w:rsid w:val="001B0A48"/>
    <w:rsid w:val="001B0A4C"/>
    <w:rsid w:val="001B0A9F"/>
    <w:rsid w:val="001B0AB8"/>
    <w:rsid w:val="001B0AE8"/>
    <w:rsid w:val="001B0AED"/>
    <w:rsid w:val="001B0BA8"/>
    <w:rsid w:val="001B0BAE"/>
    <w:rsid w:val="001B0BF4"/>
    <w:rsid w:val="001B0C06"/>
    <w:rsid w:val="001B0C0F"/>
    <w:rsid w:val="001B0C45"/>
    <w:rsid w:val="001B0C6E"/>
    <w:rsid w:val="001B0C85"/>
    <w:rsid w:val="001B0C9F"/>
    <w:rsid w:val="001B0CA0"/>
    <w:rsid w:val="001B0CD6"/>
    <w:rsid w:val="001B0DBE"/>
    <w:rsid w:val="001B0DCF"/>
    <w:rsid w:val="001B0DDB"/>
    <w:rsid w:val="001B0E18"/>
    <w:rsid w:val="001B0E30"/>
    <w:rsid w:val="001B0E6C"/>
    <w:rsid w:val="001B0E8D"/>
    <w:rsid w:val="001B0E97"/>
    <w:rsid w:val="001B0EE1"/>
    <w:rsid w:val="001B0F53"/>
    <w:rsid w:val="001B0F81"/>
    <w:rsid w:val="001B0F83"/>
    <w:rsid w:val="001B0FD3"/>
    <w:rsid w:val="001B0FF5"/>
    <w:rsid w:val="001B102D"/>
    <w:rsid w:val="001B1037"/>
    <w:rsid w:val="001B103B"/>
    <w:rsid w:val="001B104A"/>
    <w:rsid w:val="001B1063"/>
    <w:rsid w:val="001B1064"/>
    <w:rsid w:val="001B109C"/>
    <w:rsid w:val="001B10A8"/>
    <w:rsid w:val="001B1102"/>
    <w:rsid w:val="001B113D"/>
    <w:rsid w:val="001B11E8"/>
    <w:rsid w:val="001B1202"/>
    <w:rsid w:val="001B128B"/>
    <w:rsid w:val="001B12F1"/>
    <w:rsid w:val="001B12FF"/>
    <w:rsid w:val="001B13DE"/>
    <w:rsid w:val="001B13E5"/>
    <w:rsid w:val="001B1446"/>
    <w:rsid w:val="001B148B"/>
    <w:rsid w:val="001B1492"/>
    <w:rsid w:val="001B14F6"/>
    <w:rsid w:val="001B1574"/>
    <w:rsid w:val="001B15B8"/>
    <w:rsid w:val="001B15DF"/>
    <w:rsid w:val="001B1677"/>
    <w:rsid w:val="001B167B"/>
    <w:rsid w:val="001B16B4"/>
    <w:rsid w:val="001B16B6"/>
    <w:rsid w:val="001B16F5"/>
    <w:rsid w:val="001B16F7"/>
    <w:rsid w:val="001B1731"/>
    <w:rsid w:val="001B1738"/>
    <w:rsid w:val="001B1760"/>
    <w:rsid w:val="001B1786"/>
    <w:rsid w:val="001B17A9"/>
    <w:rsid w:val="001B183A"/>
    <w:rsid w:val="001B1842"/>
    <w:rsid w:val="001B1846"/>
    <w:rsid w:val="001B1865"/>
    <w:rsid w:val="001B18A6"/>
    <w:rsid w:val="001B18BC"/>
    <w:rsid w:val="001B18BD"/>
    <w:rsid w:val="001B18CD"/>
    <w:rsid w:val="001B18ED"/>
    <w:rsid w:val="001B18EE"/>
    <w:rsid w:val="001B1924"/>
    <w:rsid w:val="001B194C"/>
    <w:rsid w:val="001B196F"/>
    <w:rsid w:val="001B19E8"/>
    <w:rsid w:val="001B1A06"/>
    <w:rsid w:val="001B1A68"/>
    <w:rsid w:val="001B1A79"/>
    <w:rsid w:val="001B1AE6"/>
    <w:rsid w:val="001B1AF2"/>
    <w:rsid w:val="001B1B3D"/>
    <w:rsid w:val="001B1B7F"/>
    <w:rsid w:val="001B1B81"/>
    <w:rsid w:val="001B1C30"/>
    <w:rsid w:val="001B1C4C"/>
    <w:rsid w:val="001B1CF5"/>
    <w:rsid w:val="001B1CFC"/>
    <w:rsid w:val="001B1D1A"/>
    <w:rsid w:val="001B1D60"/>
    <w:rsid w:val="001B1D98"/>
    <w:rsid w:val="001B1DA8"/>
    <w:rsid w:val="001B1DAC"/>
    <w:rsid w:val="001B1DBE"/>
    <w:rsid w:val="001B1DF4"/>
    <w:rsid w:val="001B1E34"/>
    <w:rsid w:val="001B1E53"/>
    <w:rsid w:val="001B1E67"/>
    <w:rsid w:val="001B1E6F"/>
    <w:rsid w:val="001B1E9D"/>
    <w:rsid w:val="001B1EAB"/>
    <w:rsid w:val="001B1EBA"/>
    <w:rsid w:val="001B1EC4"/>
    <w:rsid w:val="001B1F30"/>
    <w:rsid w:val="001B1F3E"/>
    <w:rsid w:val="001B1F4E"/>
    <w:rsid w:val="001B1F8E"/>
    <w:rsid w:val="001B1FFA"/>
    <w:rsid w:val="001B2008"/>
    <w:rsid w:val="001B2022"/>
    <w:rsid w:val="001B2068"/>
    <w:rsid w:val="001B20A0"/>
    <w:rsid w:val="001B2142"/>
    <w:rsid w:val="001B2167"/>
    <w:rsid w:val="001B217E"/>
    <w:rsid w:val="001B2195"/>
    <w:rsid w:val="001B21AC"/>
    <w:rsid w:val="001B21E9"/>
    <w:rsid w:val="001B2233"/>
    <w:rsid w:val="001B2243"/>
    <w:rsid w:val="001B225B"/>
    <w:rsid w:val="001B2266"/>
    <w:rsid w:val="001B226A"/>
    <w:rsid w:val="001B229C"/>
    <w:rsid w:val="001B22C0"/>
    <w:rsid w:val="001B22F1"/>
    <w:rsid w:val="001B231B"/>
    <w:rsid w:val="001B2412"/>
    <w:rsid w:val="001B2431"/>
    <w:rsid w:val="001B246E"/>
    <w:rsid w:val="001B2482"/>
    <w:rsid w:val="001B249D"/>
    <w:rsid w:val="001B24E2"/>
    <w:rsid w:val="001B24E8"/>
    <w:rsid w:val="001B251F"/>
    <w:rsid w:val="001B2532"/>
    <w:rsid w:val="001B253D"/>
    <w:rsid w:val="001B2596"/>
    <w:rsid w:val="001B25A1"/>
    <w:rsid w:val="001B25D2"/>
    <w:rsid w:val="001B25ED"/>
    <w:rsid w:val="001B25EF"/>
    <w:rsid w:val="001B2608"/>
    <w:rsid w:val="001B2623"/>
    <w:rsid w:val="001B263D"/>
    <w:rsid w:val="001B263E"/>
    <w:rsid w:val="001B2642"/>
    <w:rsid w:val="001B267D"/>
    <w:rsid w:val="001B26EA"/>
    <w:rsid w:val="001B272F"/>
    <w:rsid w:val="001B2740"/>
    <w:rsid w:val="001B274F"/>
    <w:rsid w:val="001B2771"/>
    <w:rsid w:val="001B27A1"/>
    <w:rsid w:val="001B27A8"/>
    <w:rsid w:val="001B27E5"/>
    <w:rsid w:val="001B27F3"/>
    <w:rsid w:val="001B27FB"/>
    <w:rsid w:val="001B2806"/>
    <w:rsid w:val="001B2812"/>
    <w:rsid w:val="001B288A"/>
    <w:rsid w:val="001B28B0"/>
    <w:rsid w:val="001B28BF"/>
    <w:rsid w:val="001B28C5"/>
    <w:rsid w:val="001B290E"/>
    <w:rsid w:val="001B295A"/>
    <w:rsid w:val="001B296F"/>
    <w:rsid w:val="001B299A"/>
    <w:rsid w:val="001B29AE"/>
    <w:rsid w:val="001B29B0"/>
    <w:rsid w:val="001B29BD"/>
    <w:rsid w:val="001B29EF"/>
    <w:rsid w:val="001B2A0A"/>
    <w:rsid w:val="001B2A4D"/>
    <w:rsid w:val="001B2A5F"/>
    <w:rsid w:val="001B2A7A"/>
    <w:rsid w:val="001B2A9B"/>
    <w:rsid w:val="001B2AA5"/>
    <w:rsid w:val="001B2AC3"/>
    <w:rsid w:val="001B2AE4"/>
    <w:rsid w:val="001B2AE9"/>
    <w:rsid w:val="001B2AED"/>
    <w:rsid w:val="001B2B5D"/>
    <w:rsid w:val="001B2BA2"/>
    <w:rsid w:val="001B2BAB"/>
    <w:rsid w:val="001B2C59"/>
    <w:rsid w:val="001B2CBD"/>
    <w:rsid w:val="001B2CC0"/>
    <w:rsid w:val="001B2CC1"/>
    <w:rsid w:val="001B2CD5"/>
    <w:rsid w:val="001B2D2F"/>
    <w:rsid w:val="001B2D54"/>
    <w:rsid w:val="001B2E19"/>
    <w:rsid w:val="001B2E4B"/>
    <w:rsid w:val="001B2E7E"/>
    <w:rsid w:val="001B2E7F"/>
    <w:rsid w:val="001B2E83"/>
    <w:rsid w:val="001B2E90"/>
    <w:rsid w:val="001B2EC2"/>
    <w:rsid w:val="001B2EC9"/>
    <w:rsid w:val="001B2EE5"/>
    <w:rsid w:val="001B2EEA"/>
    <w:rsid w:val="001B2EF1"/>
    <w:rsid w:val="001B2EF8"/>
    <w:rsid w:val="001B2F56"/>
    <w:rsid w:val="001B2F68"/>
    <w:rsid w:val="001B2F73"/>
    <w:rsid w:val="001B2F80"/>
    <w:rsid w:val="001B2FB7"/>
    <w:rsid w:val="001B2FD6"/>
    <w:rsid w:val="001B2FF7"/>
    <w:rsid w:val="001B3009"/>
    <w:rsid w:val="001B3028"/>
    <w:rsid w:val="001B3076"/>
    <w:rsid w:val="001B308B"/>
    <w:rsid w:val="001B30B7"/>
    <w:rsid w:val="001B30E5"/>
    <w:rsid w:val="001B30E9"/>
    <w:rsid w:val="001B30FD"/>
    <w:rsid w:val="001B312F"/>
    <w:rsid w:val="001B316B"/>
    <w:rsid w:val="001B319F"/>
    <w:rsid w:val="001B31A2"/>
    <w:rsid w:val="001B31B9"/>
    <w:rsid w:val="001B3203"/>
    <w:rsid w:val="001B3204"/>
    <w:rsid w:val="001B320C"/>
    <w:rsid w:val="001B321C"/>
    <w:rsid w:val="001B322E"/>
    <w:rsid w:val="001B325B"/>
    <w:rsid w:val="001B325F"/>
    <w:rsid w:val="001B3286"/>
    <w:rsid w:val="001B32FA"/>
    <w:rsid w:val="001B3303"/>
    <w:rsid w:val="001B33CF"/>
    <w:rsid w:val="001B33D9"/>
    <w:rsid w:val="001B33EB"/>
    <w:rsid w:val="001B33ED"/>
    <w:rsid w:val="001B3437"/>
    <w:rsid w:val="001B3458"/>
    <w:rsid w:val="001B3486"/>
    <w:rsid w:val="001B34E2"/>
    <w:rsid w:val="001B34F5"/>
    <w:rsid w:val="001B34F6"/>
    <w:rsid w:val="001B354E"/>
    <w:rsid w:val="001B3570"/>
    <w:rsid w:val="001B358E"/>
    <w:rsid w:val="001B358F"/>
    <w:rsid w:val="001B3596"/>
    <w:rsid w:val="001B35A8"/>
    <w:rsid w:val="001B35C7"/>
    <w:rsid w:val="001B3608"/>
    <w:rsid w:val="001B372A"/>
    <w:rsid w:val="001B3778"/>
    <w:rsid w:val="001B3781"/>
    <w:rsid w:val="001B37B3"/>
    <w:rsid w:val="001B37C0"/>
    <w:rsid w:val="001B37D1"/>
    <w:rsid w:val="001B37E9"/>
    <w:rsid w:val="001B3817"/>
    <w:rsid w:val="001B3825"/>
    <w:rsid w:val="001B3835"/>
    <w:rsid w:val="001B3836"/>
    <w:rsid w:val="001B3844"/>
    <w:rsid w:val="001B388D"/>
    <w:rsid w:val="001B38DE"/>
    <w:rsid w:val="001B38FF"/>
    <w:rsid w:val="001B3919"/>
    <w:rsid w:val="001B3926"/>
    <w:rsid w:val="001B3937"/>
    <w:rsid w:val="001B3944"/>
    <w:rsid w:val="001B395D"/>
    <w:rsid w:val="001B398B"/>
    <w:rsid w:val="001B3993"/>
    <w:rsid w:val="001B39B1"/>
    <w:rsid w:val="001B39B6"/>
    <w:rsid w:val="001B39EB"/>
    <w:rsid w:val="001B3A01"/>
    <w:rsid w:val="001B3A1F"/>
    <w:rsid w:val="001B3A35"/>
    <w:rsid w:val="001B3A99"/>
    <w:rsid w:val="001B3A9A"/>
    <w:rsid w:val="001B3B76"/>
    <w:rsid w:val="001B3B89"/>
    <w:rsid w:val="001B3BB6"/>
    <w:rsid w:val="001B3BD4"/>
    <w:rsid w:val="001B3C3B"/>
    <w:rsid w:val="001B3C5E"/>
    <w:rsid w:val="001B3CBD"/>
    <w:rsid w:val="001B3CD7"/>
    <w:rsid w:val="001B3D03"/>
    <w:rsid w:val="001B3D30"/>
    <w:rsid w:val="001B3D89"/>
    <w:rsid w:val="001B3D95"/>
    <w:rsid w:val="001B3DAB"/>
    <w:rsid w:val="001B3DB8"/>
    <w:rsid w:val="001B3DC5"/>
    <w:rsid w:val="001B3DCB"/>
    <w:rsid w:val="001B3DCC"/>
    <w:rsid w:val="001B3DF9"/>
    <w:rsid w:val="001B3E0E"/>
    <w:rsid w:val="001B3E2F"/>
    <w:rsid w:val="001B3E3C"/>
    <w:rsid w:val="001B3E4E"/>
    <w:rsid w:val="001B3E51"/>
    <w:rsid w:val="001B3EFB"/>
    <w:rsid w:val="001B3F0A"/>
    <w:rsid w:val="001B3F41"/>
    <w:rsid w:val="001B3F57"/>
    <w:rsid w:val="001B3F5A"/>
    <w:rsid w:val="001B3F70"/>
    <w:rsid w:val="001B3F9B"/>
    <w:rsid w:val="001B3F9C"/>
    <w:rsid w:val="001B3FBC"/>
    <w:rsid w:val="001B3FCB"/>
    <w:rsid w:val="001B3FCF"/>
    <w:rsid w:val="001B3FD3"/>
    <w:rsid w:val="001B4017"/>
    <w:rsid w:val="001B402D"/>
    <w:rsid w:val="001B4084"/>
    <w:rsid w:val="001B4097"/>
    <w:rsid w:val="001B40D5"/>
    <w:rsid w:val="001B4148"/>
    <w:rsid w:val="001B4152"/>
    <w:rsid w:val="001B416C"/>
    <w:rsid w:val="001B41A4"/>
    <w:rsid w:val="001B41A8"/>
    <w:rsid w:val="001B4203"/>
    <w:rsid w:val="001B4243"/>
    <w:rsid w:val="001B4245"/>
    <w:rsid w:val="001B4259"/>
    <w:rsid w:val="001B4284"/>
    <w:rsid w:val="001B429A"/>
    <w:rsid w:val="001B429D"/>
    <w:rsid w:val="001B42E4"/>
    <w:rsid w:val="001B42FE"/>
    <w:rsid w:val="001B4309"/>
    <w:rsid w:val="001B4314"/>
    <w:rsid w:val="001B4322"/>
    <w:rsid w:val="001B433D"/>
    <w:rsid w:val="001B4368"/>
    <w:rsid w:val="001B4370"/>
    <w:rsid w:val="001B43BB"/>
    <w:rsid w:val="001B43EE"/>
    <w:rsid w:val="001B4401"/>
    <w:rsid w:val="001B443C"/>
    <w:rsid w:val="001B4448"/>
    <w:rsid w:val="001B4450"/>
    <w:rsid w:val="001B4485"/>
    <w:rsid w:val="001B4488"/>
    <w:rsid w:val="001B44E6"/>
    <w:rsid w:val="001B4521"/>
    <w:rsid w:val="001B453D"/>
    <w:rsid w:val="001B453E"/>
    <w:rsid w:val="001B45CE"/>
    <w:rsid w:val="001B45E6"/>
    <w:rsid w:val="001B45EF"/>
    <w:rsid w:val="001B460E"/>
    <w:rsid w:val="001B463E"/>
    <w:rsid w:val="001B465E"/>
    <w:rsid w:val="001B467B"/>
    <w:rsid w:val="001B46BC"/>
    <w:rsid w:val="001B46BD"/>
    <w:rsid w:val="001B475A"/>
    <w:rsid w:val="001B476F"/>
    <w:rsid w:val="001B478D"/>
    <w:rsid w:val="001B47A2"/>
    <w:rsid w:val="001B47E5"/>
    <w:rsid w:val="001B47F6"/>
    <w:rsid w:val="001B480B"/>
    <w:rsid w:val="001B481D"/>
    <w:rsid w:val="001B481F"/>
    <w:rsid w:val="001B4820"/>
    <w:rsid w:val="001B485C"/>
    <w:rsid w:val="001B48B2"/>
    <w:rsid w:val="001B4923"/>
    <w:rsid w:val="001B496F"/>
    <w:rsid w:val="001B497B"/>
    <w:rsid w:val="001B49E5"/>
    <w:rsid w:val="001B4A0F"/>
    <w:rsid w:val="001B4A3F"/>
    <w:rsid w:val="001B4A6C"/>
    <w:rsid w:val="001B4A8F"/>
    <w:rsid w:val="001B4A9B"/>
    <w:rsid w:val="001B4AE1"/>
    <w:rsid w:val="001B4AF8"/>
    <w:rsid w:val="001B4B2C"/>
    <w:rsid w:val="001B4B34"/>
    <w:rsid w:val="001B4BEC"/>
    <w:rsid w:val="001B4BFC"/>
    <w:rsid w:val="001B4C07"/>
    <w:rsid w:val="001B4C4C"/>
    <w:rsid w:val="001B4C4E"/>
    <w:rsid w:val="001B4CB2"/>
    <w:rsid w:val="001B4CC1"/>
    <w:rsid w:val="001B4D5A"/>
    <w:rsid w:val="001B4D8B"/>
    <w:rsid w:val="001B4DA3"/>
    <w:rsid w:val="001B4DD8"/>
    <w:rsid w:val="001B4E7A"/>
    <w:rsid w:val="001B4E7D"/>
    <w:rsid w:val="001B4E86"/>
    <w:rsid w:val="001B4E8F"/>
    <w:rsid w:val="001B4E9D"/>
    <w:rsid w:val="001B4ECD"/>
    <w:rsid w:val="001B4F2A"/>
    <w:rsid w:val="001B4F30"/>
    <w:rsid w:val="001B4F67"/>
    <w:rsid w:val="001B4FA9"/>
    <w:rsid w:val="001B4FD5"/>
    <w:rsid w:val="001B5021"/>
    <w:rsid w:val="001B502C"/>
    <w:rsid w:val="001B5041"/>
    <w:rsid w:val="001B5064"/>
    <w:rsid w:val="001B5081"/>
    <w:rsid w:val="001B50B1"/>
    <w:rsid w:val="001B50BB"/>
    <w:rsid w:val="001B50C1"/>
    <w:rsid w:val="001B50E4"/>
    <w:rsid w:val="001B513C"/>
    <w:rsid w:val="001B51E8"/>
    <w:rsid w:val="001B5213"/>
    <w:rsid w:val="001B521E"/>
    <w:rsid w:val="001B523D"/>
    <w:rsid w:val="001B52EE"/>
    <w:rsid w:val="001B52F2"/>
    <w:rsid w:val="001B533C"/>
    <w:rsid w:val="001B5349"/>
    <w:rsid w:val="001B5361"/>
    <w:rsid w:val="001B53C8"/>
    <w:rsid w:val="001B53E6"/>
    <w:rsid w:val="001B5463"/>
    <w:rsid w:val="001B548A"/>
    <w:rsid w:val="001B54E4"/>
    <w:rsid w:val="001B54EB"/>
    <w:rsid w:val="001B54F6"/>
    <w:rsid w:val="001B54F9"/>
    <w:rsid w:val="001B5503"/>
    <w:rsid w:val="001B5517"/>
    <w:rsid w:val="001B552B"/>
    <w:rsid w:val="001B554A"/>
    <w:rsid w:val="001B5555"/>
    <w:rsid w:val="001B5559"/>
    <w:rsid w:val="001B557E"/>
    <w:rsid w:val="001B5595"/>
    <w:rsid w:val="001B55A4"/>
    <w:rsid w:val="001B55A5"/>
    <w:rsid w:val="001B55EA"/>
    <w:rsid w:val="001B55F4"/>
    <w:rsid w:val="001B5643"/>
    <w:rsid w:val="001B5652"/>
    <w:rsid w:val="001B5685"/>
    <w:rsid w:val="001B56A1"/>
    <w:rsid w:val="001B56B5"/>
    <w:rsid w:val="001B56B8"/>
    <w:rsid w:val="001B56BB"/>
    <w:rsid w:val="001B56CB"/>
    <w:rsid w:val="001B56E4"/>
    <w:rsid w:val="001B56F7"/>
    <w:rsid w:val="001B5712"/>
    <w:rsid w:val="001B576A"/>
    <w:rsid w:val="001B57AC"/>
    <w:rsid w:val="001B57B6"/>
    <w:rsid w:val="001B57F3"/>
    <w:rsid w:val="001B5801"/>
    <w:rsid w:val="001B581E"/>
    <w:rsid w:val="001B5860"/>
    <w:rsid w:val="001B5865"/>
    <w:rsid w:val="001B588F"/>
    <w:rsid w:val="001B5920"/>
    <w:rsid w:val="001B5930"/>
    <w:rsid w:val="001B594B"/>
    <w:rsid w:val="001B596D"/>
    <w:rsid w:val="001B596F"/>
    <w:rsid w:val="001B5987"/>
    <w:rsid w:val="001B59E9"/>
    <w:rsid w:val="001B5A4E"/>
    <w:rsid w:val="001B5A9D"/>
    <w:rsid w:val="001B5AB7"/>
    <w:rsid w:val="001B5AEB"/>
    <w:rsid w:val="001B5B04"/>
    <w:rsid w:val="001B5B61"/>
    <w:rsid w:val="001B5B97"/>
    <w:rsid w:val="001B5B9A"/>
    <w:rsid w:val="001B5BC6"/>
    <w:rsid w:val="001B5C02"/>
    <w:rsid w:val="001B5C12"/>
    <w:rsid w:val="001B5C43"/>
    <w:rsid w:val="001B5C4B"/>
    <w:rsid w:val="001B5CC1"/>
    <w:rsid w:val="001B5CEC"/>
    <w:rsid w:val="001B5D0C"/>
    <w:rsid w:val="001B5D12"/>
    <w:rsid w:val="001B5D81"/>
    <w:rsid w:val="001B5D89"/>
    <w:rsid w:val="001B5E0E"/>
    <w:rsid w:val="001B5E1E"/>
    <w:rsid w:val="001B5E32"/>
    <w:rsid w:val="001B5E37"/>
    <w:rsid w:val="001B5E98"/>
    <w:rsid w:val="001B5ECC"/>
    <w:rsid w:val="001B5EEC"/>
    <w:rsid w:val="001B5F1F"/>
    <w:rsid w:val="001B5F3A"/>
    <w:rsid w:val="001B5F62"/>
    <w:rsid w:val="001B5F6D"/>
    <w:rsid w:val="001B5F70"/>
    <w:rsid w:val="001B5F89"/>
    <w:rsid w:val="001B5F94"/>
    <w:rsid w:val="001B5F95"/>
    <w:rsid w:val="001B5F96"/>
    <w:rsid w:val="001B5FA3"/>
    <w:rsid w:val="001B6053"/>
    <w:rsid w:val="001B607B"/>
    <w:rsid w:val="001B60BD"/>
    <w:rsid w:val="001B60F5"/>
    <w:rsid w:val="001B613C"/>
    <w:rsid w:val="001B6144"/>
    <w:rsid w:val="001B6180"/>
    <w:rsid w:val="001B61C8"/>
    <w:rsid w:val="001B61DB"/>
    <w:rsid w:val="001B6228"/>
    <w:rsid w:val="001B6286"/>
    <w:rsid w:val="001B62A3"/>
    <w:rsid w:val="001B62A8"/>
    <w:rsid w:val="001B636A"/>
    <w:rsid w:val="001B63AE"/>
    <w:rsid w:val="001B63AF"/>
    <w:rsid w:val="001B6422"/>
    <w:rsid w:val="001B6433"/>
    <w:rsid w:val="001B6435"/>
    <w:rsid w:val="001B645A"/>
    <w:rsid w:val="001B6497"/>
    <w:rsid w:val="001B64AA"/>
    <w:rsid w:val="001B64BB"/>
    <w:rsid w:val="001B64D3"/>
    <w:rsid w:val="001B650D"/>
    <w:rsid w:val="001B650F"/>
    <w:rsid w:val="001B6526"/>
    <w:rsid w:val="001B652E"/>
    <w:rsid w:val="001B656D"/>
    <w:rsid w:val="001B658B"/>
    <w:rsid w:val="001B658C"/>
    <w:rsid w:val="001B6598"/>
    <w:rsid w:val="001B6610"/>
    <w:rsid w:val="001B6619"/>
    <w:rsid w:val="001B6654"/>
    <w:rsid w:val="001B6662"/>
    <w:rsid w:val="001B669E"/>
    <w:rsid w:val="001B66A1"/>
    <w:rsid w:val="001B67C4"/>
    <w:rsid w:val="001B67C9"/>
    <w:rsid w:val="001B67DC"/>
    <w:rsid w:val="001B6800"/>
    <w:rsid w:val="001B686D"/>
    <w:rsid w:val="001B6886"/>
    <w:rsid w:val="001B689E"/>
    <w:rsid w:val="001B68DA"/>
    <w:rsid w:val="001B68F2"/>
    <w:rsid w:val="001B6924"/>
    <w:rsid w:val="001B69C6"/>
    <w:rsid w:val="001B69F4"/>
    <w:rsid w:val="001B6A4A"/>
    <w:rsid w:val="001B6A57"/>
    <w:rsid w:val="001B6ADE"/>
    <w:rsid w:val="001B6B07"/>
    <w:rsid w:val="001B6B0E"/>
    <w:rsid w:val="001B6B13"/>
    <w:rsid w:val="001B6B2B"/>
    <w:rsid w:val="001B6B3F"/>
    <w:rsid w:val="001B6B47"/>
    <w:rsid w:val="001B6B80"/>
    <w:rsid w:val="001B6B8A"/>
    <w:rsid w:val="001B6B97"/>
    <w:rsid w:val="001B6BB6"/>
    <w:rsid w:val="001B6BCC"/>
    <w:rsid w:val="001B6BE5"/>
    <w:rsid w:val="001B6BF3"/>
    <w:rsid w:val="001B6C6C"/>
    <w:rsid w:val="001B6CE3"/>
    <w:rsid w:val="001B6CE4"/>
    <w:rsid w:val="001B6D6A"/>
    <w:rsid w:val="001B6D87"/>
    <w:rsid w:val="001B6D8C"/>
    <w:rsid w:val="001B6D9D"/>
    <w:rsid w:val="001B6DB0"/>
    <w:rsid w:val="001B6DB4"/>
    <w:rsid w:val="001B6DFB"/>
    <w:rsid w:val="001B6E19"/>
    <w:rsid w:val="001B6E28"/>
    <w:rsid w:val="001B6EA3"/>
    <w:rsid w:val="001B6EB9"/>
    <w:rsid w:val="001B6EDF"/>
    <w:rsid w:val="001B6F03"/>
    <w:rsid w:val="001B6F1B"/>
    <w:rsid w:val="001B6F34"/>
    <w:rsid w:val="001B6F35"/>
    <w:rsid w:val="001B6F3E"/>
    <w:rsid w:val="001B6F45"/>
    <w:rsid w:val="001B6F4F"/>
    <w:rsid w:val="001B6F5A"/>
    <w:rsid w:val="001B6F9B"/>
    <w:rsid w:val="001B6FBC"/>
    <w:rsid w:val="001B6FD2"/>
    <w:rsid w:val="001B6FED"/>
    <w:rsid w:val="001B701A"/>
    <w:rsid w:val="001B701C"/>
    <w:rsid w:val="001B7025"/>
    <w:rsid w:val="001B7053"/>
    <w:rsid w:val="001B707D"/>
    <w:rsid w:val="001B70D6"/>
    <w:rsid w:val="001B7103"/>
    <w:rsid w:val="001B7147"/>
    <w:rsid w:val="001B7159"/>
    <w:rsid w:val="001B7169"/>
    <w:rsid w:val="001B717D"/>
    <w:rsid w:val="001B71FD"/>
    <w:rsid w:val="001B7209"/>
    <w:rsid w:val="001B7219"/>
    <w:rsid w:val="001B727F"/>
    <w:rsid w:val="001B72B3"/>
    <w:rsid w:val="001B72EC"/>
    <w:rsid w:val="001B7308"/>
    <w:rsid w:val="001B731F"/>
    <w:rsid w:val="001B7351"/>
    <w:rsid w:val="001B7352"/>
    <w:rsid w:val="001B73BE"/>
    <w:rsid w:val="001B73E0"/>
    <w:rsid w:val="001B73EF"/>
    <w:rsid w:val="001B743E"/>
    <w:rsid w:val="001B745D"/>
    <w:rsid w:val="001B7478"/>
    <w:rsid w:val="001B7479"/>
    <w:rsid w:val="001B74BB"/>
    <w:rsid w:val="001B74ED"/>
    <w:rsid w:val="001B74FE"/>
    <w:rsid w:val="001B7509"/>
    <w:rsid w:val="001B7520"/>
    <w:rsid w:val="001B754A"/>
    <w:rsid w:val="001B7581"/>
    <w:rsid w:val="001B758A"/>
    <w:rsid w:val="001B7593"/>
    <w:rsid w:val="001B75A5"/>
    <w:rsid w:val="001B75BD"/>
    <w:rsid w:val="001B762A"/>
    <w:rsid w:val="001B7659"/>
    <w:rsid w:val="001B769C"/>
    <w:rsid w:val="001B76B4"/>
    <w:rsid w:val="001B76B5"/>
    <w:rsid w:val="001B76ED"/>
    <w:rsid w:val="001B7752"/>
    <w:rsid w:val="001B776B"/>
    <w:rsid w:val="001B77BA"/>
    <w:rsid w:val="001B786A"/>
    <w:rsid w:val="001B7888"/>
    <w:rsid w:val="001B78AF"/>
    <w:rsid w:val="001B78E5"/>
    <w:rsid w:val="001B78FA"/>
    <w:rsid w:val="001B791D"/>
    <w:rsid w:val="001B7923"/>
    <w:rsid w:val="001B798C"/>
    <w:rsid w:val="001B79E1"/>
    <w:rsid w:val="001B79E9"/>
    <w:rsid w:val="001B7A14"/>
    <w:rsid w:val="001B7A26"/>
    <w:rsid w:val="001B7A32"/>
    <w:rsid w:val="001B7A34"/>
    <w:rsid w:val="001B7AF9"/>
    <w:rsid w:val="001B7B0A"/>
    <w:rsid w:val="001B7B48"/>
    <w:rsid w:val="001B7B5A"/>
    <w:rsid w:val="001B7B92"/>
    <w:rsid w:val="001B7BB3"/>
    <w:rsid w:val="001B7BD9"/>
    <w:rsid w:val="001B7BF7"/>
    <w:rsid w:val="001B7C01"/>
    <w:rsid w:val="001B7C04"/>
    <w:rsid w:val="001B7C24"/>
    <w:rsid w:val="001B7C29"/>
    <w:rsid w:val="001B7C56"/>
    <w:rsid w:val="001B7C72"/>
    <w:rsid w:val="001B7C88"/>
    <w:rsid w:val="001B7C9E"/>
    <w:rsid w:val="001B7CA7"/>
    <w:rsid w:val="001B7D34"/>
    <w:rsid w:val="001B7D59"/>
    <w:rsid w:val="001B7D5C"/>
    <w:rsid w:val="001B7DA0"/>
    <w:rsid w:val="001B7DA7"/>
    <w:rsid w:val="001B7DE0"/>
    <w:rsid w:val="001B7DE6"/>
    <w:rsid w:val="001B7E4A"/>
    <w:rsid w:val="001B7E61"/>
    <w:rsid w:val="001B7E87"/>
    <w:rsid w:val="001B7EB1"/>
    <w:rsid w:val="001B7EC8"/>
    <w:rsid w:val="001B7ED2"/>
    <w:rsid w:val="001B7F03"/>
    <w:rsid w:val="001B7F2C"/>
    <w:rsid w:val="001B7F2E"/>
    <w:rsid w:val="001B7F3C"/>
    <w:rsid w:val="001B7F75"/>
    <w:rsid w:val="001B7F7E"/>
    <w:rsid w:val="001B7F8D"/>
    <w:rsid w:val="001C0027"/>
    <w:rsid w:val="001C00B3"/>
    <w:rsid w:val="001C00C9"/>
    <w:rsid w:val="001C00CE"/>
    <w:rsid w:val="001C00E2"/>
    <w:rsid w:val="001C00E3"/>
    <w:rsid w:val="001C0186"/>
    <w:rsid w:val="001C018E"/>
    <w:rsid w:val="001C0191"/>
    <w:rsid w:val="001C01AF"/>
    <w:rsid w:val="001C01E6"/>
    <w:rsid w:val="001C01EF"/>
    <w:rsid w:val="001C0249"/>
    <w:rsid w:val="001C0255"/>
    <w:rsid w:val="001C027F"/>
    <w:rsid w:val="001C0292"/>
    <w:rsid w:val="001C02E3"/>
    <w:rsid w:val="001C0303"/>
    <w:rsid w:val="001C0309"/>
    <w:rsid w:val="001C0370"/>
    <w:rsid w:val="001C0377"/>
    <w:rsid w:val="001C0393"/>
    <w:rsid w:val="001C039A"/>
    <w:rsid w:val="001C03C9"/>
    <w:rsid w:val="001C03FB"/>
    <w:rsid w:val="001C0415"/>
    <w:rsid w:val="001C0446"/>
    <w:rsid w:val="001C0458"/>
    <w:rsid w:val="001C045B"/>
    <w:rsid w:val="001C047D"/>
    <w:rsid w:val="001C047F"/>
    <w:rsid w:val="001C048C"/>
    <w:rsid w:val="001C0493"/>
    <w:rsid w:val="001C0496"/>
    <w:rsid w:val="001C04CA"/>
    <w:rsid w:val="001C04F3"/>
    <w:rsid w:val="001C0509"/>
    <w:rsid w:val="001C0525"/>
    <w:rsid w:val="001C0575"/>
    <w:rsid w:val="001C05C5"/>
    <w:rsid w:val="001C060B"/>
    <w:rsid w:val="001C0622"/>
    <w:rsid w:val="001C0683"/>
    <w:rsid w:val="001C068B"/>
    <w:rsid w:val="001C0700"/>
    <w:rsid w:val="001C0711"/>
    <w:rsid w:val="001C0732"/>
    <w:rsid w:val="001C0754"/>
    <w:rsid w:val="001C0757"/>
    <w:rsid w:val="001C0770"/>
    <w:rsid w:val="001C078D"/>
    <w:rsid w:val="001C07C1"/>
    <w:rsid w:val="001C0801"/>
    <w:rsid w:val="001C081B"/>
    <w:rsid w:val="001C084A"/>
    <w:rsid w:val="001C084E"/>
    <w:rsid w:val="001C08A6"/>
    <w:rsid w:val="001C08BC"/>
    <w:rsid w:val="001C08BF"/>
    <w:rsid w:val="001C08F1"/>
    <w:rsid w:val="001C08FF"/>
    <w:rsid w:val="001C0918"/>
    <w:rsid w:val="001C093A"/>
    <w:rsid w:val="001C097C"/>
    <w:rsid w:val="001C0999"/>
    <w:rsid w:val="001C09C6"/>
    <w:rsid w:val="001C09DC"/>
    <w:rsid w:val="001C0A04"/>
    <w:rsid w:val="001C0A25"/>
    <w:rsid w:val="001C0A2F"/>
    <w:rsid w:val="001C0A36"/>
    <w:rsid w:val="001C0A39"/>
    <w:rsid w:val="001C0A4B"/>
    <w:rsid w:val="001C0A5B"/>
    <w:rsid w:val="001C0AC9"/>
    <w:rsid w:val="001C0AEA"/>
    <w:rsid w:val="001C0AF5"/>
    <w:rsid w:val="001C0B42"/>
    <w:rsid w:val="001C0B47"/>
    <w:rsid w:val="001C0B90"/>
    <w:rsid w:val="001C0BA5"/>
    <w:rsid w:val="001C0C3B"/>
    <w:rsid w:val="001C0C40"/>
    <w:rsid w:val="001C0C63"/>
    <w:rsid w:val="001C0CCE"/>
    <w:rsid w:val="001C0CED"/>
    <w:rsid w:val="001C0D5C"/>
    <w:rsid w:val="001C0D60"/>
    <w:rsid w:val="001C0D70"/>
    <w:rsid w:val="001C0D79"/>
    <w:rsid w:val="001C0D7A"/>
    <w:rsid w:val="001C0DA4"/>
    <w:rsid w:val="001C0DD4"/>
    <w:rsid w:val="001C0DE3"/>
    <w:rsid w:val="001C0DEA"/>
    <w:rsid w:val="001C0DFB"/>
    <w:rsid w:val="001C0E7A"/>
    <w:rsid w:val="001C0EB5"/>
    <w:rsid w:val="001C0EC6"/>
    <w:rsid w:val="001C0EDB"/>
    <w:rsid w:val="001C0EE0"/>
    <w:rsid w:val="001C0F01"/>
    <w:rsid w:val="001C0F2C"/>
    <w:rsid w:val="001C0F42"/>
    <w:rsid w:val="001C0F7C"/>
    <w:rsid w:val="001C0F7E"/>
    <w:rsid w:val="001C0FA0"/>
    <w:rsid w:val="001C0FAF"/>
    <w:rsid w:val="001C0FC9"/>
    <w:rsid w:val="001C0FCB"/>
    <w:rsid w:val="001C0FDC"/>
    <w:rsid w:val="001C0FE6"/>
    <w:rsid w:val="001C0FED"/>
    <w:rsid w:val="001C1047"/>
    <w:rsid w:val="001C1058"/>
    <w:rsid w:val="001C106E"/>
    <w:rsid w:val="001C10A4"/>
    <w:rsid w:val="001C10B3"/>
    <w:rsid w:val="001C110D"/>
    <w:rsid w:val="001C1194"/>
    <w:rsid w:val="001C11DB"/>
    <w:rsid w:val="001C11FE"/>
    <w:rsid w:val="001C1208"/>
    <w:rsid w:val="001C1223"/>
    <w:rsid w:val="001C1250"/>
    <w:rsid w:val="001C1260"/>
    <w:rsid w:val="001C1281"/>
    <w:rsid w:val="001C12AC"/>
    <w:rsid w:val="001C12F6"/>
    <w:rsid w:val="001C1327"/>
    <w:rsid w:val="001C1371"/>
    <w:rsid w:val="001C13D4"/>
    <w:rsid w:val="001C13F9"/>
    <w:rsid w:val="001C1401"/>
    <w:rsid w:val="001C1416"/>
    <w:rsid w:val="001C1422"/>
    <w:rsid w:val="001C1486"/>
    <w:rsid w:val="001C14C4"/>
    <w:rsid w:val="001C14CB"/>
    <w:rsid w:val="001C1552"/>
    <w:rsid w:val="001C1572"/>
    <w:rsid w:val="001C1581"/>
    <w:rsid w:val="001C15AC"/>
    <w:rsid w:val="001C15EF"/>
    <w:rsid w:val="001C1639"/>
    <w:rsid w:val="001C1648"/>
    <w:rsid w:val="001C164E"/>
    <w:rsid w:val="001C16B7"/>
    <w:rsid w:val="001C1719"/>
    <w:rsid w:val="001C1727"/>
    <w:rsid w:val="001C1773"/>
    <w:rsid w:val="001C1781"/>
    <w:rsid w:val="001C1786"/>
    <w:rsid w:val="001C17A6"/>
    <w:rsid w:val="001C17B7"/>
    <w:rsid w:val="001C17BB"/>
    <w:rsid w:val="001C17F9"/>
    <w:rsid w:val="001C181E"/>
    <w:rsid w:val="001C1853"/>
    <w:rsid w:val="001C1865"/>
    <w:rsid w:val="001C186D"/>
    <w:rsid w:val="001C1907"/>
    <w:rsid w:val="001C199A"/>
    <w:rsid w:val="001C1A07"/>
    <w:rsid w:val="001C1AD7"/>
    <w:rsid w:val="001C1B12"/>
    <w:rsid w:val="001C1B13"/>
    <w:rsid w:val="001C1B5D"/>
    <w:rsid w:val="001C1B74"/>
    <w:rsid w:val="001C1C52"/>
    <w:rsid w:val="001C1CA5"/>
    <w:rsid w:val="001C1CC4"/>
    <w:rsid w:val="001C1D11"/>
    <w:rsid w:val="001C1D1B"/>
    <w:rsid w:val="001C1D23"/>
    <w:rsid w:val="001C1D34"/>
    <w:rsid w:val="001C1D4B"/>
    <w:rsid w:val="001C1D51"/>
    <w:rsid w:val="001C1E0B"/>
    <w:rsid w:val="001C1E17"/>
    <w:rsid w:val="001C1E25"/>
    <w:rsid w:val="001C1E6F"/>
    <w:rsid w:val="001C1E8D"/>
    <w:rsid w:val="001C1EC9"/>
    <w:rsid w:val="001C1ED1"/>
    <w:rsid w:val="001C1F16"/>
    <w:rsid w:val="001C1F40"/>
    <w:rsid w:val="001C1F66"/>
    <w:rsid w:val="001C1F6C"/>
    <w:rsid w:val="001C1F8A"/>
    <w:rsid w:val="001C1F8D"/>
    <w:rsid w:val="001C1FF7"/>
    <w:rsid w:val="001C200E"/>
    <w:rsid w:val="001C2094"/>
    <w:rsid w:val="001C20BC"/>
    <w:rsid w:val="001C20DA"/>
    <w:rsid w:val="001C211B"/>
    <w:rsid w:val="001C2125"/>
    <w:rsid w:val="001C213D"/>
    <w:rsid w:val="001C2141"/>
    <w:rsid w:val="001C21B0"/>
    <w:rsid w:val="001C21DB"/>
    <w:rsid w:val="001C21DD"/>
    <w:rsid w:val="001C21DF"/>
    <w:rsid w:val="001C2276"/>
    <w:rsid w:val="001C227D"/>
    <w:rsid w:val="001C22AE"/>
    <w:rsid w:val="001C22E0"/>
    <w:rsid w:val="001C2324"/>
    <w:rsid w:val="001C2341"/>
    <w:rsid w:val="001C2346"/>
    <w:rsid w:val="001C237C"/>
    <w:rsid w:val="001C239C"/>
    <w:rsid w:val="001C23A3"/>
    <w:rsid w:val="001C23A6"/>
    <w:rsid w:val="001C23DB"/>
    <w:rsid w:val="001C23E1"/>
    <w:rsid w:val="001C23E5"/>
    <w:rsid w:val="001C23F7"/>
    <w:rsid w:val="001C2405"/>
    <w:rsid w:val="001C2421"/>
    <w:rsid w:val="001C2456"/>
    <w:rsid w:val="001C245A"/>
    <w:rsid w:val="001C2473"/>
    <w:rsid w:val="001C24E4"/>
    <w:rsid w:val="001C24E8"/>
    <w:rsid w:val="001C255E"/>
    <w:rsid w:val="001C2582"/>
    <w:rsid w:val="001C2584"/>
    <w:rsid w:val="001C25BB"/>
    <w:rsid w:val="001C25BC"/>
    <w:rsid w:val="001C25CE"/>
    <w:rsid w:val="001C25D2"/>
    <w:rsid w:val="001C25FE"/>
    <w:rsid w:val="001C2609"/>
    <w:rsid w:val="001C2630"/>
    <w:rsid w:val="001C2643"/>
    <w:rsid w:val="001C2649"/>
    <w:rsid w:val="001C26EA"/>
    <w:rsid w:val="001C26F7"/>
    <w:rsid w:val="001C26F9"/>
    <w:rsid w:val="001C2748"/>
    <w:rsid w:val="001C276F"/>
    <w:rsid w:val="001C2798"/>
    <w:rsid w:val="001C27C0"/>
    <w:rsid w:val="001C27F1"/>
    <w:rsid w:val="001C27FC"/>
    <w:rsid w:val="001C282A"/>
    <w:rsid w:val="001C2854"/>
    <w:rsid w:val="001C2861"/>
    <w:rsid w:val="001C287A"/>
    <w:rsid w:val="001C28BF"/>
    <w:rsid w:val="001C28D4"/>
    <w:rsid w:val="001C28DC"/>
    <w:rsid w:val="001C298B"/>
    <w:rsid w:val="001C29F2"/>
    <w:rsid w:val="001C2A2D"/>
    <w:rsid w:val="001C2A97"/>
    <w:rsid w:val="001C2AFD"/>
    <w:rsid w:val="001C2B25"/>
    <w:rsid w:val="001C2B3F"/>
    <w:rsid w:val="001C2B48"/>
    <w:rsid w:val="001C2B5F"/>
    <w:rsid w:val="001C2B8A"/>
    <w:rsid w:val="001C2B8E"/>
    <w:rsid w:val="001C2BAF"/>
    <w:rsid w:val="001C2C26"/>
    <w:rsid w:val="001C2C2A"/>
    <w:rsid w:val="001C2C34"/>
    <w:rsid w:val="001C2C39"/>
    <w:rsid w:val="001C2C44"/>
    <w:rsid w:val="001C2C47"/>
    <w:rsid w:val="001C2C78"/>
    <w:rsid w:val="001C2CA6"/>
    <w:rsid w:val="001C2CD1"/>
    <w:rsid w:val="001C2CDD"/>
    <w:rsid w:val="001C2D23"/>
    <w:rsid w:val="001C2D69"/>
    <w:rsid w:val="001C2D89"/>
    <w:rsid w:val="001C2D8B"/>
    <w:rsid w:val="001C2D93"/>
    <w:rsid w:val="001C2DA0"/>
    <w:rsid w:val="001C2DB1"/>
    <w:rsid w:val="001C2DD2"/>
    <w:rsid w:val="001C2DD6"/>
    <w:rsid w:val="001C2DE8"/>
    <w:rsid w:val="001C2E54"/>
    <w:rsid w:val="001C2E92"/>
    <w:rsid w:val="001C2E9D"/>
    <w:rsid w:val="001C2EB6"/>
    <w:rsid w:val="001C2EBC"/>
    <w:rsid w:val="001C2EC9"/>
    <w:rsid w:val="001C2EDC"/>
    <w:rsid w:val="001C2EF4"/>
    <w:rsid w:val="001C2F62"/>
    <w:rsid w:val="001C2F91"/>
    <w:rsid w:val="001C2FA1"/>
    <w:rsid w:val="001C2FAA"/>
    <w:rsid w:val="001C2FAB"/>
    <w:rsid w:val="001C2FDC"/>
    <w:rsid w:val="001C3002"/>
    <w:rsid w:val="001C301B"/>
    <w:rsid w:val="001C3041"/>
    <w:rsid w:val="001C3064"/>
    <w:rsid w:val="001C308B"/>
    <w:rsid w:val="001C3096"/>
    <w:rsid w:val="001C30A5"/>
    <w:rsid w:val="001C30B2"/>
    <w:rsid w:val="001C30EF"/>
    <w:rsid w:val="001C3105"/>
    <w:rsid w:val="001C3120"/>
    <w:rsid w:val="001C312C"/>
    <w:rsid w:val="001C312E"/>
    <w:rsid w:val="001C3139"/>
    <w:rsid w:val="001C313A"/>
    <w:rsid w:val="001C3181"/>
    <w:rsid w:val="001C319F"/>
    <w:rsid w:val="001C31A4"/>
    <w:rsid w:val="001C31F7"/>
    <w:rsid w:val="001C32A7"/>
    <w:rsid w:val="001C32AD"/>
    <w:rsid w:val="001C3334"/>
    <w:rsid w:val="001C335F"/>
    <w:rsid w:val="001C3396"/>
    <w:rsid w:val="001C33BD"/>
    <w:rsid w:val="001C33F4"/>
    <w:rsid w:val="001C3416"/>
    <w:rsid w:val="001C3439"/>
    <w:rsid w:val="001C3468"/>
    <w:rsid w:val="001C34D5"/>
    <w:rsid w:val="001C352C"/>
    <w:rsid w:val="001C352E"/>
    <w:rsid w:val="001C354A"/>
    <w:rsid w:val="001C354B"/>
    <w:rsid w:val="001C3563"/>
    <w:rsid w:val="001C359C"/>
    <w:rsid w:val="001C3643"/>
    <w:rsid w:val="001C3653"/>
    <w:rsid w:val="001C36A2"/>
    <w:rsid w:val="001C36BE"/>
    <w:rsid w:val="001C36EA"/>
    <w:rsid w:val="001C370B"/>
    <w:rsid w:val="001C3734"/>
    <w:rsid w:val="001C3752"/>
    <w:rsid w:val="001C3754"/>
    <w:rsid w:val="001C37A5"/>
    <w:rsid w:val="001C37BA"/>
    <w:rsid w:val="001C37C8"/>
    <w:rsid w:val="001C37F0"/>
    <w:rsid w:val="001C3811"/>
    <w:rsid w:val="001C3822"/>
    <w:rsid w:val="001C383C"/>
    <w:rsid w:val="001C3841"/>
    <w:rsid w:val="001C3845"/>
    <w:rsid w:val="001C384E"/>
    <w:rsid w:val="001C387F"/>
    <w:rsid w:val="001C3889"/>
    <w:rsid w:val="001C38A7"/>
    <w:rsid w:val="001C3905"/>
    <w:rsid w:val="001C3907"/>
    <w:rsid w:val="001C391C"/>
    <w:rsid w:val="001C393F"/>
    <w:rsid w:val="001C3953"/>
    <w:rsid w:val="001C3965"/>
    <w:rsid w:val="001C3973"/>
    <w:rsid w:val="001C39C2"/>
    <w:rsid w:val="001C39E3"/>
    <w:rsid w:val="001C39FA"/>
    <w:rsid w:val="001C3A3F"/>
    <w:rsid w:val="001C3AEB"/>
    <w:rsid w:val="001C3AF6"/>
    <w:rsid w:val="001C3AFF"/>
    <w:rsid w:val="001C3B01"/>
    <w:rsid w:val="001C3B0C"/>
    <w:rsid w:val="001C3B70"/>
    <w:rsid w:val="001C3B83"/>
    <w:rsid w:val="001C3B91"/>
    <w:rsid w:val="001C3BAE"/>
    <w:rsid w:val="001C3C3D"/>
    <w:rsid w:val="001C3C87"/>
    <w:rsid w:val="001C3CAD"/>
    <w:rsid w:val="001C3CC9"/>
    <w:rsid w:val="001C3CCB"/>
    <w:rsid w:val="001C3D0C"/>
    <w:rsid w:val="001C3D2E"/>
    <w:rsid w:val="001C3D5C"/>
    <w:rsid w:val="001C3D5F"/>
    <w:rsid w:val="001C3D69"/>
    <w:rsid w:val="001C3D8A"/>
    <w:rsid w:val="001C3DFE"/>
    <w:rsid w:val="001C3E88"/>
    <w:rsid w:val="001C3E8C"/>
    <w:rsid w:val="001C3EE8"/>
    <w:rsid w:val="001C3F1A"/>
    <w:rsid w:val="001C3F40"/>
    <w:rsid w:val="001C3F45"/>
    <w:rsid w:val="001C3F93"/>
    <w:rsid w:val="001C400A"/>
    <w:rsid w:val="001C40B6"/>
    <w:rsid w:val="001C40E8"/>
    <w:rsid w:val="001C40EF"/>
    <w:rsid w:val="001C4105"/>
    <w:rsid w:val="001C4155"/>
    <w:rsid w:val="001C41A8"/>
    <w:rsid w:val="001C4264"/>
    <w:rsid w:val="001C426A"/>
    <w:rsid w:val="001C4270"/>
    <w:rsid w:val="001C4276"/>
    <w:rsid w:val="001C4279"/>
    <w:rsid w:val="001C427A"/>
    <w:rsid w:val="001C4283"/>
    <w:rsid w:val="001C428A"/>
    <w:rsid w:val="001C4293"/>
    <w:rsid w:val="001C42A7"/>
    <w:rsid w:val="001C42B1"/>
    <w:rsid w:val="001C42C7"/>
    <w:rsid w:val="001C42E3"/>
    <w:rsid w:val="001C42E5"/>
    <w:rsid w:val="001C431E"/>
    <w:rsid w:val="001C432D"/>
    <w:rsid w:val="001C434D"/>
    <w:rsid w:val="001C437D"/>
    <w:rsid w:val="001C438A"/>
    <w:rsid w:val="001C43A6"/>
    <w:rsid w:val="001C43B3"/>
    <w:rsid w:val="001C43C9"/>
    <w:rsid w:val="001C43CD"/>
    <w:rsid w:val="001C4402"/>
    <w:rsid w:val="001C4407"/>
    <w:rsid w:val="001C440E"/>
    <w:rsid w:val="001C4426"/>
    <w:rsid w:val="001C442A"/>
    <w:rsid w:val="001C446D"/>
    <w:rsid w:val="001C4524"/>
    <w:rsid w:val="001C4537"/>
    <w:rsid w:val="001C4557"/>
    <w:rsid w:val="001C457F"/>
    <w:rsid w:val="001C45BF"/>
    <w:rsid w:val="001C461F"/>
    <w:rsid w:val="001C4625"/>
    <w:rsid w:val="001C462D"/>
    <w:rsid w:val="001C4643"/>
    <w:rsid w:val="001C4657"/>
    <w:rsid w:val="001C466A"/>
    <w:rsid w:val="001C466B"/>
    <w:rsid w:val="001C4684"/>
    <w:rsid w:val="001C4698"/>
    <w:rsid w:val="001C46A0"/>
    <w:rsid w:val="001C46EF"/>
    <w:rsid w:val="001C46FD"/>
    <w:rsid w:val="001C4709"/>
    <w:rsid w:val="001C4717"/>
    <w:rsid w:val="001C4730"/>
    <w:rsid w:val="001C4745"/>
    <w:rsid w:val="001C4763"/>
    <w:rsid w:val="001C4766"/>
    <w:rsid w:val="001C476F"/>
    <w:rsid w:val="001C478B"/>
    <w:rsid w:val="001C478E"/>
    <w:rsid w:val="001C4797"/>
    <w:rsid w:val="001C47AA"/>
    <w:rsid w:val="001C47DA"/>
    <w:rsid w:val="001C47E7"/>
    <w:rsid w:val="001C47EB"/>
    <w:rsid w:val="001C47EC"/>
    <w:rsid w:val="001C47FF"/>
    <w:rsid w:val="001C4829"/>
    <w:rsid w:val="001C483C"/>
    <w:rsid w:val="001C48AC"/>
    <w:rsid w:val="001C48B5"/>
    <w:rsid w:val="001C48E3"/>
    <w:rsid w:val="001C4901"/>
    <w:rsid w:val="001C4913"/>
    <w:rsid w:val="001C4977"/>
    <w:rsid w:val="001C498F"/>
    <w:rsid w:val="001C49D6"/>
    <w:rsid w:val="001C4A13"/>
    <w:rsid w:val="001C4A4F"/>
    <w:rsid w:val="001C4A54"/>
    <w:rsid w:val="001C4A76"/>
    <w:rsid w:val="001C4A8A"/>
    <w:rsid w:val="001C4A8C"/>
    <w:rsid w:val="001C4AC2"/>
    <w:rsid w:val="001C4AD0"/>
    <w:rsid w:val="001C4B4B"/>
    <w:rsid w:val="001C4B5A"/>
    <w:rsid w:val="001C4B7F"/>
    <w:rsid w:val="001C4BED"/>
    <w:rsid w:val="001C4C03"/>
    <w:rsid w:val="001C4C4B"/>
    <w:rsid w:val="001C4C54"/>
    <w:rsid w:val="001C4C9D"/>
    <w:rsid w:val="001C4CFE"/>
    <w:rsid w:val="001C4D00"/>
    <w:rsid w:val="001C4D31"/>
    <w:rsid w:val="001C4D55"/>
    <w:rsid w:val="001C4E5A"/>
    <w:rsid w:val="001C4E6C"/>
    <w:rsid w:val="001C4ED3"/>
    <w:rsid w:val="001C4EF8"/>
    <w:rsid w:val="001C4F12"/>
    <w:rsid w:val="001C4F34"/>
    <w:rsid w:val="001C4F4C"/>
    <w:rsid w:val="001C4F9B"/>
    <w:rsid w:val="001C4FB5"/>
    <w:rsid w:val="001C5003"/>
    <w:rsid w:val="001C5009"/>
    <w:rsid w:val="001C5012"/>
    <w:rsid w:val="001C5020"/>
    <w:rsid w:val="001C5026"/>
    <w:rsid w:val="001C503D"/>
    <w:rsid w:val="001C504B"/>
    <w:rsid w:val="001C50AD"/>
    <w:rsid w:val="001C50C3"/>
    <w:rsid w:val="001C50D3"/>
    <w:rsid w:val="001C50D4"/>
    <w:rsid w:val="001C5105"/>
    <w:rsid w:val="001C510D"/>
    <w:rsid w:val="001C5116"/>
    <w:rsid w:val="001C512D"/>
    <w:rsid w:val="001C512E"/>
    <w:rsid w:val="001C5199"/>
    <w:rsid w:val="001C51A2"/>
    <w:rsid w:val="001C51A7"/>
    <w:rsid w:val="001C5242"/>
    <w:rsid w:val="001C5292"/>
    <w:rsid w:val="001C52A1"/>
    <w:rsid w:val="001C52BF"/>
    <w:rsid w:val="001C52C5"/>
    <w:rsid w:val="001C52F4"/>
    <w:rsid w:val="001C5306"/>
    <w:rsid w:val="001C532B"/>
    <w:rsid w:val="001C5344"/>
    <w:rsid w:val="001C534F"/>
    <w:rsid w:val="001C539D"/>
    <w:rsid w:val="001C53F0"/>
    <w:rsid w:val="001C53F7"/>
    <w:rsid w:val="001C5444"/>
    <w:rsid w:val="001C5547"/>
    <w:rsid w:val="001C554E"/>
    <w:rsid w:val="001C5556"/>
    <w:rsid w:val="001C5562"/>
    <w:rsid w:val="001C556E"/>
    <w:rsid w:val="001C55D5"/>
    <w:rsid w:val="001C5627"/>
    <w:rsid w:val="001C5640"/>
    <w:rsid w:val="001C5696"/>
    <w:rsid w:val="001C5697"/>
    <w:rsid w:val="001C56BF"/>
    <w:rsid w:val="001C56C8"/>
    <w:rsid w:val="001C56F1"/>
    <w:rsid w:val="001C56FD"/>
    <w:rsid w:val="001C573A"/>
    <w:rsid w:val="001C57FC"/>
    <w:rsid w:val="001C580C"/>
    <w:rsid w:val="001C5853"/>
    <w:rsid w:val="001C5883"/>
    <w:rsid w:val="001C58A4"/>
    <w:rsid w:val="001C58AE"/>
    <w:rsid w:val="001C58C9"/>
    <w:rsid w:val="001C58CD"/>
    <w:rsid w:val="001C590A"/>
    <w:rsid w:val="001C590E"/>
    <w:rsid w:val="001C5924"/>
    <w:rsid w:val="001C5998"/>
    <w:rsid w:val="001C59B2"/>
    <w:rsid w:val="001C5A0C"/>
    <w:rsid w:val="001C5A8B"/>
    <w:rsid w:val="001C5ACE"/>
    <w:rsid w:val="001C5B37"/>
    <w:rsid w:val="001C5B55"/>
    <w:rsid w:val="001C5B75"/>
    <w:rsid w:val="001C5B80"/>
    <w:rsid w:val="001C5B98"/>
    <w:rsid w:val="001C5BA1"/>
    <w:rsid w:val="001C5BAA"/>
    <w:rsid w:val="001C5C23"/>
    <w:rsid w:val="001C5C34"/>
    <w:rsid w:val="001C5C3B"/>
    <w:rsid w:val="001C5C68"/>
    <w:rsid w:val="001C5C7A"/>
    <w:rsid w:val="001C5CA3"/>
    <w:rsid w:val="001C5CF8"/>
    <w:rsid w:val="001C5D18"/>
    <w:rsid w:val="001C5D67"/>
    <w:rsid w:val="001C5D95"/>
    <w:rsid w:val="001C5DBE"/>
    <w:rsid w:val="001C5DD8"/>
    <w:rsid w:val="001C5DF6"/>
    <w:rsid w:val="001C5DF7"/>
    <w:rsid w:val="001C5E11"/>
    <w:rsid w:val="001C5E3F"/>
    <w:rsid w:val="001C5E6D"/>
    <w:rsid w:val="001C5E90"/>
    <w:rsid w:val="001C5EC8"/>
    <w:rsid w:val="001C5F17"/>
    <w:rsid w:val="001C5F31"/>
    <w:rsid w:val="001C5F54"/>
    <w:rsid w:val="001C5FE1"/>
    <w:rsid w:val="001C5FE8"/>
    <w:rsid w:val="001C5FED"/>
    <w:rsid w:val="001C602C"/>
    <w:rsid w:val="001C604B"/>
    <w:rsid w:val="001C607B"/>
    <w:rsid w:val="001C60C5"/>
    <w:rsid w:val="001C60CB"/>
    <w:rsid w:val="001C60D5"/>
    <w:rsid w:val="001C60E7"/>
    <w:rsid w:val="001C60EC"/>
    <w:rsid w:val="001C6108"/>
    <w:rsid w:val="001C6166"/>
    <w:rsid w:val="001C617E"/>
    <w:rsid w:val="001C61AE"/>
    <w:rsid w:val="001C61B4"/>
    <w:rsid w:val="001C61D6"/>
    <w:rsid w:val="001C61F3"/>
    <w:rsid w:val="001C6250"/>
    <w:rsid w:val="001C62B4"/>
    <w:rsid w:val="001C630F"/>
    <w:rsid w:val="001C6335"/>
    <w:rsid w:val="001C638C"/>
    <w:rsid w:val="001C63FA"/>
    <w:rsid w:val="001C642B"/>
    <w:rsid w:val="001C6450"/>
    <w:rsid w:val="001C6490"/>
    <w:rsid w:val="001C64BF"/>
    <w:rsid w:val="001C653C"/>
    <w:rsid w:val="001C6540"/>
    <w:rsid w:val="001C6546"/>
    <w:rsid w:val="001C654B"/>
    <w:rsid w:val="001C65C3"/>
    <w:rsid w:val="001C663F"/>
    <w:rsid w:val="001C6655"/>
    <w:rsid w:val="001C6662"/>
    <w:rsid w:val="001C6679"/>
    <w:rsid w:val="001C66E6"/>
    <w:rsid w:val="001C670C"/>
    <w:rsid w:val="001C6734"/>
    <w:rsid w:val="001C6764"/>
    <w:rsid w:val="001C6765"/>
    <w:rsid w:val="001C682D"/>
    <w:rsid w:val="001C6854"/>
    <w:rsid w:val="001C6862"/>
    <w:rsid w:val="001C6869"/>
    <w:rsid w:val="001C6880"/>
    <w:rsid w:val="001C68D5"/>
    <w:rsid w:val="001C6908"/>
    <w:rsid w:val="001C6926"/>
    <w:rsid w:val="001C6928"/>
    <w:rsid w:val="001C6934"/>
    <w:rsid w:val="001C697C"/>
    <w:rsid w:val="001C69A2"/>
    <w:rsid w:val="001C69D1"/>
    <w:rsid w:val="001C69E0"/>
    <w:rsid w:val="001C6AC7"/>
    <w:rsid w:val="001C6B23"/>
    <w:rsid w:val="001C6B39"/>
    <w:rsid w:val="001C6B3A"/>
    <w:rsid w:val="001C6B3B"/>
    <w:rsid w:val="001C6BDF"/>
    <w:rsid w:val="001C6BE7"/>
    <w:rsid w:val="001C6BFC"/>
    <w:rsid w:val="001C6C07"/>
    <w:rsid w:val="001C6C13"/>
    <w:rsid w:val="001C6C3E"/>
    <w:rsid w:val="001C6C51"/>
    <w:rsid w:val="001C6C53"/>
    <w:rsid w:val="001C6C80"/>
    <w:rsid w:val="001C6CB4"/>
    <w:rsid w:val="001C6D25"/>
    <w:rsid w:val="001C6D77"/>
    <w:rsid w:val="001C6D8A"/>
    <w:rsid w:val="001C6DDD"/>
    <w:rsid w:val="001C6E12"/>
    <w:rsid w:val="001C6E3A"/>
    <w:rsid w:val="001C6E46"/>
    <w:rsid w:val="001C6E7E"/>
    <w:rsid w:val="001C6E87"/>
    <w:rsid w:val="001C6EC7"/>
    <w:rsid w:val="001C6F30"/>
    <w:rsid w:val="001C6F5C"/>
    <w:rsid w:val="001C6F6A"/>
    <w:rsid w:val="001C6FA6"/>
    <w:rsid w:val="001C6FD2"/>
    <w:rsid w:val="001C6FEA"/>
    <w:rsid w:val="001C6FFC"/>
    <w:rsid w:val="001C7039"/>
    <w:rsid w:val="001C703C"/>
    <w:rsid w:val="001C7051"/>
    <w:rsid w:val="001C7064"/>
    <w:rsid w:val="001C7074"/>
    <w:rsid w:val="001C70D5"/>
    <w:rsid w:val="001C7113"/>
    <w:rsid w:val="001C7126"/>
    <w:rsid w:val="001C7155"/>
    <w:rsid w:val="001C716F"/>
    <w:rsid w:val="001C7186"/>
    <w:rsid w:val="001C7194"/>
    <w:rsid w:val="001C71CA"/>
    <w:rsid w:val="001C71F7"/>
    <w:rsid w:val="001C721C"/>
    <w:rsid w:val="001C722C"/>
    <w:rsid w:val="001C725E"/>
    <w:rsid w:val="001C72FA"/>
    <w:rsid w:val="001C730F"/>
    <w:rsid w:val="001C732E"/>
    <w:rsid w:val="001C733E"/>
    <w:rsid w:val="001C7351"/>
    <w:rsid w:val="001C7359"/>
    <w:rsid w:val="001C7363"/>
    <w:rsid w:val="001C7369"/>
    <w:rsid w:val="001C737C"/>
    <w:rsid w:val="001C738B"/>
    <w:rsid w:val="001C73AB"/>
    <w:rsid w:val="001C7415"/>
    <w:rsid w:val="001C746E"/>
    <w:rsid w:val="001C74D6"/>
    <w:rsid w:val="001C74E6"/>
    <w:rsid w:val="001C7530"/>
    <w:rsid w:val="001C7532"/>
    <w:rsid w:val="001C755D"/>
    <w:rsid w:val="001C7566"/>
    <w:rsid w:val="001C7575"/>
    <w:rsid w:val="001C7578"/>
    <w:rsid w:val="001C757B"/>
    <w:rsid w:val="001C7588"/>
    <w:rsid w:val="001C75B7"/>
    <w:rsid w:val="001C75D9"/>
    <w:rsid w:val="001C75E5"/>
    <w:rsid w:val="001C75E8"/>
    <w:rsid w:val="001C75EA"/>
    <w:rsid w:val="001C762D"/>
    <w:rsid w:val="001C7663"/>
    <w:rsid w:val="001C76D1"/>
    <w:rsid w:val="001C76EB"/>
    <w:rsid w:val="001C7738"/>
    <w:rsid w:val="001C7774"/>
    <w:rsid w:val="001C77AE"/>
    <w:rsid w:val="001C77E4"/>
    <w:rsid w:val="001C77EF"/>
    <w:rsid w:val="001C7804"/>
    <w:rsid w:val="001C7822"/>
    <w:rsid w:val="001C7841"/>
    <w:rsid w:val="001C7847"/>
    <w:rsid w:val="001C7850"/>
    <w:rsid w:val="001C7854"/>
    <w:rsid w:val="001C785D"/>
    <w:rsid w:val="001C7861"/>
    <w:rsid w:val="001C7866"/>
    <w:rsid w:val="001C789D"/>
    <w:rsid w:val="001C78A7"/>
    <w:rsid w:val="001C78C9"/>
    <w:rsid w:val="001C78D3"/>
    <w:rsid w:val="001C78F0"/>
    <w:rsid w:val="001C7909"/>
    <w:rsid w:val="001C791D"/>
    <w:rsid w:val="001C796E"/>
    <w:rsid w:val="001C7985"/>
    <w:rsid w:val="001C7995"/>
    <w:rsid w:val="001C79D4"/>
    <w:rsid w:val="001C79EA"/>
    <w:rsid w:val="001C79EE"/>
    <w:rsid w:val="001C7A2D"/>
    <w:rsid w:val="001C7A40"/>
    <w:rsid w:val="001C7A43"/>
    <w:rsid w:val="001C7A8F"/>
    <w:rsid w:val="001C7A9D"/>
    <w:rsid w:val="001C7AE6"/>
    <w:rsid w:val="001C7AF4"/>
    <w:rsid w:val="001C7B16"/>
    <w:rsid w:val="001C7B43"/>
    <w:rsid w:val="001C7B52"/>
    <w:rsid w:val="001C7B8D"/>
    <w:rsid w:val="001C7BF6"/>
    <w:rsid w:val="001C7C2F"/>
    <w:rsid w:val="001C7C43"/>
    <w:rsid w:val="001C7CFE"/>
    <w:rsid w:val="001C7D1C"/>
    <w:rsid w:val="001C7D2C"/>
    <w:rsid w:val="001C7D43"/>
    <w:rsid w:val="001C7D4E"/>
    <w:rsid w:val="001C7D4F"/>
    <w:rsid w:val="001C7D5E"/>
    <w:rsid w:val="001C7D65"/>
    <w:rsid w:val="001C7D89"/>
    <w:rsid w:val="001C7E6B"/>
    <w:rsid w:val="001C7ED7"/>
    <w:rsid w:val="001C7EE5"/>
    <w:rsid w:val="001C7F0F"/>
    <w:rsid w:val="001C7F18"/>
    <w:rsid w:val="001C7F25"/>
    <w:rsid w:val="001C7F46"/>
    <w:rsid w:val="001C7F6A"/>
    <w:rsid w:val="001C7F7C"/>
    <w:rsid w:val="001C7F87"/>
    <w:rsid w:val="001C7F8A"/>
    <w:rsid w:val="001C7F9B"/>
    <w:rsid w:val="001C7FC2"/>
    <w:rsid w:val="001CFD6B"/>
    <w:rsid w:val="001D000D"/>
    <w:rsid w:val="001D0013"/>
    <w:rsid w:val="001D0023"/>
    <w:rsid w:val="001D0031"/>
    <w:rsid w:val="001D0036"/>
    <w:rsid w:val="001D005A"/>
    <w:rsid w:val="001D00D8"/>
    <w:rsid w:val="001D019A"/>
    <w:rsid w:val="001D019F"/>
    <w:rsid w:val="001D01CD"/>
    <w:rsid w:val="001D01D4"/>
    <w:rsid w:val="001D01FF"/>
    <w:rsid w:val="001D0221"/>
    <w:rsid w:val="001D0227"/>
    <w:rsid w:val="001D0228"/>
    <w:rsid w:val="001D0236"/>
    <w:rsid w:val="001D023C"/>
    <w:rsid w:val="001D026E"/>
    <w:rsid w:val="001D0274"/>
    <w:rsid w:val="001D028C"/>
    <w:rsid w:val="001D02E6"/>
    <w:rsid w:val="001D02EA"/>
    <w:rsid w:val="001D0308"/>
    <w:rsid w:val="001D0317"/>
    <w:rsid w:val="001D0348"/>
    <w:rsid w:val="001D034C"/>
    <w:rsid w:val="001D0360"/>
    <w:rsid w:val="001D0399"/>
    <w:rsid w:val="001D03A2"/>
    <w:rsid w:val="001D03CA"/>
    <w:rsid w:val="001D03F5"/>
    <w:rsid w:val="001D03FE"/>
    <w:rsid w:val="001D04CF"/>
    <w:rsid w:val="001D04E4"/>
    <w:rsid w:val="001D04EE"/>
    <w:rsid w:val="001D0538"/>
    <w:rsid w:val="001D053A"/>
    <w:rsid w:val="001D055E"/>
    <w:rsid w:val="001D0583"/>
    <w:rsid w:val="001D064D"/>
    <w:rsid w:val="001D0684"/>
    <w:rsid w:val="001D06C8"/>
    <w:rsid w:val="001D06DB"/>
    <w:rsid w:val="001D06DF"/>
    <w:rsid w:val="001D06EC"/>
    <w:rsid w:val="001D06FA"/>
    <w:rsid w:val="001D0701"/>
    <w:rsid w:val="001D0721"/>
    <w:rsid w:val="001D0727"/>
    <w:rsid w:val="001D0757"/>
    <w:rsid w:val="001D07A9"/>
    <w:rsid w:val="001D07D4"/>
    <w:rsid w:val="001D07D6"/>
    <w:rsid w:val="001D07EA"/>
    <w:rsid w:val="001D07FC"/>
    <w:rsid w:val="001D0834"/>
    <w:rsid w:val="001D08B7"/>
    <w:rsid w:val="001D08C4"/>
    <w:rsid w:val="001D0934"/>
    <w:rsid w:val="001D093D"/>
    <w:rsid w:val="001D096E"/>
    <w:rsid w:val="001D096F"/>
    <w:rsid w:val="001D09A0"/>
    <w:rsid w:val="001D09E2"/>
    <w:rsid w:val="001D0A00"/>
    <w:rsid w:val="001D0A6F"/>
    <w:rsid w:val="001D0A84"/>
    <w:rsid w:val="001D0A86"/>
    <w:rsid w:val="001D0AA0"/>
    <w:rsid w:val="001D0ADA"/>
    <w:rsid w:val="001D0B08"/>
    <w:rsid w:val="001D0B15"/>
    <w:rsid w:val="001D0B57"/>
    <w:rsid w:val="001D0B99"/>
    <w:rsid w:val="001D0C30"/>
    <w:rsid w:val="001D0CAE"/>
    <w:rsid w:val="001D0CC4"/>
    <w:rsid w:val="001D0CCB"/>
    <w:rsid w:val="001D0CDD"/>
    <w:rsid w:val="001D0D10"/>
    <w:rsid w:val="001D0D18"/>
    <w:rsid w:val="001D0D1D"/>
    <w:rsid w:val="001D0D2B"/>
    <w:rsid w:val="001D0D3A"/>
    <w:rsid w:val="001D0D5E"/>
    <w:rsid w:val="001D0D70"/>
    <w:rsid w:val="001D0D82"/>
    <w:rsid w:val="001D0DEB"/>
    <w:rsid w:val="001D0DFE"/>
    <w:rsid w:val="001D0E02"/>
    <w:rsid w:val="001D0E33"/>
    <w:rsid w:val="001D0E40"/>
    <w:rsid w:val="001D0E5E"/>
    <w:rsid w:val="001D0E7D"/>
    <w:rsid w:val="001D0E83"/>
    <w:rsid w:val="001D0EF7"/>
    <w:rsid w:val="001D0F7B"/>
    <w:rsid w:val="001D0FA3"/>
    <w:rsid w:val="001D0FC5"/>
    <w:rsid w:val="001D1006"/>
    <w:rsid w:val="001D1064"/>
    <w:rsid w:val="001D1076"/>
    <w:rsid w:val="001D1097"/>
    <w:rsid w:val="001D10FD"/>
    <w:rsid w:val="001D1101"/>
    <w:rsid w:val="001D1104"/>
    <w:rsid w:val="001D1133"/>
    <w:rsid w:val="001D1163"/>
    <w:rsid w:val="001D11B8"/>
    <w:rsid w:val="001D11EB"/>
    <w:rsid w:val="001D123F"/>
    <w:rsid w:val="001D125E"/>
    <w:rsid w:val="001D1281"/>
    <w:rsid w:val="001D1288"/>
    <w:rsid w:val="001D12A5"/>
    <w:rsid w:val="001D12BC"/>
    <w:rsid w:val="001D12ED"/>
    <w:rsid w:val="001D12FD"/>
    <w:rsid w:val="001D12FE"/>
    <w:rsid w:val="001D133A"/>
    <w:rsid w:val="001D1341"/>
    <w:rsid w:val="001D1349"/>
    <w:rsid w:val="001D1392"/>
    <w:rsid w:val="001D13A0"/>
    <w:rsid w:val="001D13F7"/>
    <w:rsid w:val="001D13FB"/>
    <w:rsid w:val="001D1413"/>
    <w:rsid w:val="001D1471"/>
    <w:rsid w:val="001D14B9"/>
    <w:rsid w:val="001D14C4"/>
    <w:rsid w:val="001D14E8"/>
    <w:rsid w:val="001D1524"/>
    <w:rsid w:val="001D1548"/>
    <w:rsid w:val="001D1595"/>
    <w:rsid w:val="001D15D9"/>
    <w:rsid w:val="001D1622"/>
    <w:rsid w:val="001D1630"/>
    <w:rsid w:val="001D163B"/>
    <w:rsid w:val="001D1642"/>
    <w:rsid w:val="001D1713"/>
    <w:rsid w:val="001D17BD"/>
    <w:rsid w:val="001D17BF"/>
    <w:rsid w:val="001D182A"/>
    <w:rsid w:val="001D185B"/>
    <w:rsid w:val="001D1883"/>
    <w:rsid w:val="001D18ED"/>
    <w:rsid w:val="001D190B"/>
    <w:rsid w:val="001D190C"/>
    <w:rsid w:val="001D190F"/>
    <w:rsid w:val="001D19EF"/>
    <w:rsid w:val="001D1A1F"/>
    <w:rsid w:val="001D1A4E"/>
    <w:rsid w:val="001D1AD0"/>
    <w:rsid w:val="001D1B14"/>
    <w:rsid w:val="001D1B33"/>
    <w:rsid w:val="001D1B47"/>
    <w:rsid w:val="001D1B7C"/>
    <w:rsid w:val="001D1BE0"/>
    <w:rsid w:val="001D1BE8"/>
    <w:rsid w:val="001D1BEE"/>
    <w:rsid w:val="001D1BEF"/>
    <w:rsid w:val="001D1C06"/>
    <w:rsid w:val="001D1C21"/>
    <w:rsid w:val="001D1C5C"/>
    <w:rsid w:val="001D1C70"/>
    <w:rsid w:val="001D1C86"/>
    <w:rsid w:val="001D1CF9"/>
    <w:rsid w:val="001D1D0B"/>
    <w:rsid w:val="001D1D1A"/>
    <w:rsid w:val="001D1D55"/>
    <w:rsid w:val="001D1D5C"/>
    <w:rsid w:val="001D1D6C"/>
    <w:rsid w:val="001D1D7E"/>
    <w:rsid w:val="001D1DA6"/>
    <w:rsid w:val="001D1DAC"/>
    <w:rsid w:val="001D1E00"/>
    <w:rsid w:val="001D1E11"/>
    <w:rsid w:val="001D1E13"/>
    <w:rsid w:val="001D1E67"/>
    <w:rsid w:val="001D1E75"/>
    <w:rsid w:val="001D1F06"/>
    <w:rsid w:val="001D1F3D"/>
    <w:rsid w:val="001D1F87"/>
    <w:rsid w:val="001D1F9E"/>
    <w:rsid w:val="001D1FA3"/>
    <w:rsid w:val="001D1FBD"/>
    <w:rsid w:val="001D1FE8"/>
    <w:rsid w:val="001D1FFB"/>
    <w:rsid w:val="001D2009"/>
    <w:rsid w:val="001D201E"/>
    <w:rsid w:val="001D2028"/>
    <w:rsid w:val="001D20F8"/>
    <w:rsid w:val="001D210A"/>
    <w:rsid w:val="001D2170"/>
    <w:rsid w:val="001D2187"/>
    <w:rsid w:val="001D2189"/>
    <w:rsid w:val="001D2194"/>
    <w:rsid w:val="001D21C4"/>
    <w:rsid w:val="001D2211"/>
    <w:rsid w:val="001D2237"/>
    <w:rsid w:val="001D2258"/>
    <w:rsid w:val="001D22A0"/>
    <w:rsid w:val="001D22AB"/>
    <w:rsid w:val="001D22FC"/>
    <w:rsid w:val="001D235A"/>
    <w:rsid w:val="001D237C"/>
    <w:rsid w:val="001D23FA"/>
    <w:rsid w:val="001D2404"/>
    <w:rsid w:val="001D244B"/>
    <w:rsid w:val="001D246F"/>
    <w:rsid w:val="001D24A2"/>
    <w:rsid w:val="001D24CC"/>
    <w:rsid w:val="001D2515"/>
    <w:rsid w:val="001D252F"/>
    <w:rsid w:val="001D255E"/>
    <w:rsid w:val="001D2577"/>
    <w:rsid w:val="001D25A7"/>
    <w:rsid w:val="001D25AB"/>
    <w:rsid w:val="001D25CA"/>
    <w:rsid w:val="001D2616"/>
    <w:rsid w:val="001D2637"/>
    <w:rsid w:val="001D2657"/>
    <w:rsid w:val="001D2680"/>
    <w:rsid w:val="001D2683"/>
    <w:rsid w:val="001D268A"/>
    <w:rsid w:val="001D26A9"/>
    <w:rsid w:val="001D26B9"/>
    <w:rsid w:val="001D26BF"/>
    <w:rsid w:val="001D26C8"/>
    <w:rsid w:val="001D277B"/>
    <w:rsid w:val="001D277D"/>
    <w:rsid w:val="001D2784"/>
    <w:rsid w:val="001D27F3"/>
    <w:rsid w:val="001D2807"/>
    <w:rsid w:val="001D2840"/>
    <w:rsid w:val="001D2862"/>
    <w:rsid w:val="001D28A9"/>
    <w:rsid w:val="001D28BA"/>
    <w:rsid w:val="001D28E2"/>
    <w:rsid w:val="001D28E9"/>
    <w:rsid w:val="001D28FE"/>
    <w:rsid w:val="001D2929"/>
    <w:rsid w:val="001D2955"/>
    <w:rsid w:val="001D29D9"/>
    <w:rsid w:val="001D29E8"/>
    <w:rsid w:val="001D29F6"/>
    <w:rsid w:val="001D29F9"/>
    <w:rsid w:val="001D29FF"/>
    <w:rsid w:val="001D2A23"/>
    <w:rsid w:val="001D2A3A"/>
    <w:rsid w:val="001D2A4A"/>
    <w:rsid w:val="001D2A9A"/>
    <w:rsid w:val="001D2AAF"/>
    <w:rsid w:val="001D2AC3"/>
    <w:rsid w:val="001D2AF6"/>
    <w:rsid w:val="001D2B00"/>
    <w:rsid w:val="001D2B17"/>
    <w:rsid w:val="001D2B1B"/>
    <w:rsid w:val="001D2B29"/>
    <w:rsid w:val="001D2B6B"/>
    <w:rsid w:val="001D2BD8"/>
    <w:rsid w:val="001D2BF1"/>
    <w:rsid w:val="001D2C16"/>
    <w:rsid w:val="001D2C36"/>
    <w:rsid w:val="001D2C53"/>
    <w:rsid w:val="001D2C5B"/>
    <w:rsid w:val="001D2C94"/>
    <w:rsid w:val="001D2D07"/>
    <w:rsid w:val="001D2D0B"/>
    <w:rsid w:val="001D2D68"/>
    <w:rsid w:val="001D2D6F"/>
    <w:rsid w:val="001D2D77"/>
    <w:rsid w:val="001D2D78"/>
    <w:rsid w:val="001D2D82"/>
    <w:rsid w:val="001D2DA2"/>
    <w:rsid w:val="001D2DAD"/>
    <w:rsid w:val="001D2DC7"/>
    <w:rsid w:val="001D2DE1"/>
    <w:rsid w:val="001D2DEF"/>
    <w:rsid w:val="001D2DFF"/>
    <w:rsid w:val="001D2E19"/>
    <w:rsid w:val="001D2E22"/>
    <w:rsid w:val="001D2E65"/>
    <w:rsid w:val="001D2EB0"/>
    <w:rsid w:val="001D2EDB"/>
    <w:rsid w:val="001D2EDE"/>
    <w:rsid w:val="001D2F25"/>
    <w:rsid w:val="001D2FA7"/>
    <w:rsid w:val="001D2FC4"/>
    <w:rsid w:val="001D2FC5"/>
    <w:rsid w:val="001D2FCB"/>
    <w:rsid w:val="001D2FDC"/>
    <w:rsid w:val="001D301E"/>
    <w:rsid w:val="001D3023"/>
    <w:rsid w:val="001D3067"/>
    <w:rsid w:val="001D311F"/>
    <w:rsid w:val="001D3133"/>
    <w:rsid w:val="001D315C"/>
    <w:rsid w:val="001D3163"/>
    <w:rsid w:val="001D3167"/>
    <w:rsid w:val="001D317C"/>
    <w:rsid w:val="001D3188"/>
    <w:rsid w:val="001D31BE"/>
    <w:rsid w:val="001D3209"/>
    <w:rsid w:val="001D3218"/>
    <w:rsid w:val="001D327F"/>
    <w:rsid w:val="001D32B0"/>
    <w:rsid w:val="001D3313"/>
    <w:rsid w:val="001D3330"/>
    <w:rsid w:val="001D338C"/>
    <w:rsid w:val="001D338F"/>
    <w:rsid w:val="001D3395"/>
    <w:rsid w:val="001D33A6"/>
    <w:rsid w:val="001D33F3"/>
    <w:rsid w:val="001D3407"/>
    <w:rsid w:val="001D34A8"/>
    <w:rsid w:val="001D350D"/>
    <w:rsid w:val="001D3527"/>
    <w:rsid w:val="001D352D"/>
    <w:rsid w:val="001D3530"/>
    <w:rsid w:val="001D3542"/>
    <w:rsid w:val="001D3552"/>
    <w:rsid w:val="001D3564"/>
    <w:rsid w:val="001D359E"/>
    <w:rsid w:val="001D35E2"/>
    <w:rsid w:val="001D3639"/>
    <w:rsid w:val="001D36B1"/>
    <w:rsid w:val="001D374C"/>
    <w:rsid w:val="001D3786"/>
    <w:rsid w:val="001D379F"/>
    <w:rsid w:val="001D37B4"/>
    <w:rsid w:val="001D37C3"/>
    <w:rsid w:val="001D37C6"/>
    <w:rsid w:val="001D3804"/>
    <w:rsid w:val="001D3811"/>
    <w:rsid w:val="001D3855"/>
    <w:rsid w:val="001D3864"/>
    <w:rsid w:val="001D3869"/>
    <w:rsid w:val="001D386C"/>
    <w:rsid w:val="001D38A8"/>
    <w:rsid w:val="001D38AD"/>
    <w:rsid w:val="001D38AF"/>
    <w:rsid w:val="001D38DB"/>
    <w:rsid w:val="001D38E9"/>
    <w:rsid w:val="001D3910"/>
    <w:rsid w:val="001D394E"/>
    <w:rsid w:val="001D39AE"/>
    <w:rsid w:val="001D39B1"/>
    <w:rsid w:val="001D39DE"/>
    <w:rsid w:val="001D39E5"/>
    <w:rsid w:val="001D3A3D"/>
    <w:rsid w:val="001D3AA5"/>
    <w:rsid w:val="001D3ACE"/>
    <w:rsid w:val="001D3AFD"/>
    <w:rsid w:val="001D3B06"/>
    <w:rsid w:val="001D3B3A"/>
    <w:rsid w:val="001D3B48"/>
    <w:rsid w:val="001D3B97"/>
    <w:rsid w:val="001D3BB5"/>
    <w:rsid w:val="001D3BC6"/>
    <w:rsid w:val="001D3BCC"/>
    <w:rsid w:val="001D3C0B"/>
    <w:rsid w:val="001D3C2A"/>
    <w:rsid w:val="001D3C46"/>
    <w:rsid w:val="001D3C92"/>
    <w:rsid w:val="001D3D04"/>
    <w:rsid w:val="001D3D45"/>
    <w:rsid w:val="001D3D55"/>
    <w:rsid w:val="001D3D60"/>
    <w:rsid w:val="001D3D87"/>
    <w:rsid w:val="001D3D89"/>
    <w:rsid w:val="001D3DA3"/>
    <w:rsid w:val="001D3DAC"/>
    <w:rsid w:val="001D3DC9"/>
    <w:rsid w:val="001D3DED"/>
    <w:rsid w:val="001D3DF8"/>
    <w:rsid w:val="001D3E35"/>
    <w:rsid w:val="001D3E39"/>
    <w:rsid w:val="001D3ED6"/>
    <w:rsid w:val="001D3EE0"/>
    <w:rsid w:val="001D3F04"/>
    <w:rsid w:val="001D3F3F"/>
    <w:rsid w:val="001D3F4E"/>
    <w:rsid w:val="001D3F68"/>
    <w:rsid w:val="001D3F75"/>
    <w:rsid w:val="001D3F94"/>
    <w:rsid w:val="001D3FC8"/>
    <w:rsid w:val="001D3FCA"/>
    <w:rsid w:val="001D3FEB"/>
    <w:rsid w:val="001D4023"/>
    <w:rsid w:val="001D406F"/>
    <w:rsid w:val="001D4080"/>
    <w:rsid w:val="001D40C1"/>
    <w:rsid w:val="001D40D4"/>
    <w:rsid w:val="001D4103"/>
    <w:rsid w:val="001D4122"/>
    <w:rsid w:val="001D4142"/>
    <w:rsid w:val="001D4170"/>
    <w:rsid w:val="001D418E"/>
    <w:rsid w:val="001D41AD"/>
    <w:rsid w:val="001D41E6"/>
    <w:rsid w:val="001D41F5"/>
    <w:rsid w:val="001D4212"/>
    <w:rsid w:val="001D4218"/>
    <w:rsid w:val="001D423E"/>
    <w:rsid w:val="001D4298"/>
    <w:rsid w:val="001D42FF"/>
    <w:rsid w:val="001D4315"/>
    <w:rsid w:val="001D43FA"/>
    <w:rsid w:val="001D43FB"/>
    <w:rsid w:val="001D4404"/>
    <w:rsid w:val="001D440D"/>
    <w:rsid w:val="001D445C"/>
    <w:rsid w:val="001D4470"/>
    <w:rsid w:val="001D447D"/>
    <w:rsid w:val="001D4485"/>
    <w:rsid w:val="001D44C1"/>
    <w:rsid w:val="001D44C5"/>
    <w:rsid w:val="001D44E6"/>
    <w:rsid w:val="001D44E7"/>
    <w:rsid w:val="001D44F2"/>
    <w:rsid w:val="001D4512"/>
    <w:rsid w:val="001D4515"/>
    <w:rsid w:val="001D4521"/>
    <w:rsid w:val="001D4522"/>
    <w:rsid w:val="001D452C"/>
    <w:rsid w:val="001D4532"/>
    <w:rsid w:val="001D4563"/>
    <w:rsid w:val="001D4577"/>
    <w:rsid w:val="001D458C"/>
    <w:rsid w:val="001D45B9"/>
    <w:rsid w:val="001D45FF"/>
    <w:rsid w:val="001D461B"/>
    <w:rsid w:val="001D4646"/>
    <w:rsid w:val="001D4664"/>
    <w:rsid w:val="001D47B6"/>
    <w:rsid w:val="001D47BA"/>
    <w:rsid w:val="001D47E7"/>
    <w:rsid w:val="001D4809"/>
    <w:rsid w:val="001D485B"/>
    <w:rsid w:val="001D485D"/>
    <w:rsid w:val="001D4867"/>
    <w:rsid w:val="001D4890"/>
    <w:rsid w:val="001D48A9"/>
    <w:rsid w:val="001D48C9"/>
    <w:rsid w:val="001D48EF"/>
    <w:rsid w:val="001D4950"/>
    <w:rsid w:val="001D499D"/>
    <w:rsid w:val="001D4A11"/>
    <w:rsid w:val="001D4A55"/>
    <w:rsid w:val="001D4AD3"/>
    <w:rsid w:val="001D4ADF"/>
    <w:rsid w:val="001D4B1B"/>
    <w:rsid w:val="001D4B48"/>
    <w:rsid w:val="001D4B4E"/>
    <w:rsid w:val="001D4B69"/>
    <w:rsid w:val="001D4BBA"/>
    <w:rsid w:val="001D4BC8"/>
    <w:rsid w:val="001D4BDD"/>
    <w:rsid w:val="001D4C0A"/>
    <w:rsid w:val="001D4C42"/>
    <w:rsid w:val="001D4C4B"/>
    <w:rsid w:val="001D4CD3"/>
    <w:rsid w:val="001D4D4A"/>
    <w:rsid w:val="001D4D4F"/>
    <w:rsid w:val="001D4D9D"/>
    <w:rsid w:val="001D4DD8"/>
    <w:rsid w:val="001D4DDC"/>
    <w:rsid w:val="001D4E19"/>
    <w:rsid w:val="001D4E2B"/>
    <w:rsid w:val="001D4E92"/>
    <w:rsid w:val="001D4EB9"/>
    <w:rsid w:val="001D4EE7"/>
    <w:rsid w:val="001D4F3A"/>
    <w:rsid w:val="001D4F54"/>
    <w:rsid w:val="001D4F59"/>
    <w:rsid w:val="001D4F63"/>
    <w:rsid w:val="001D4F87"/>
    <w:rsid w:val="001D4F95"/>
    <w:rsid w:val="001D5000"/>
    <w:rsid w:val="001D505D"/>
    <w:rsid w:val="001D50F1"/>
    <w:rsid w:val="001D50F5"/>
    <w:rsid w:val="001D5111"/>
    <w:rsid w:val="001D5116"/>
    <w:rsid w:val="001D51B9"/>
    <w:rsid w:val="001D5218"/>
    <w:rsid w:val="001D521A"/>
    <w:rsid w:val="001D521C"/>
    <w:rsid w:val="001D5253"/>
    <w:rsid w:val="001D528E"/>
    <w:rsid w:val="001D529F"/>
    <w:rsid w:val="001D5374"/>
    <w:rsid w:val="001D5444"/>
    <w:rsid w:val="001D54BE"/>
    <w:rsid w:val="001D54DA"/>
    <w:rsid w:val="001D5506"/>
    <w:rsid w:val="001D5529"/>
    <w:rsid w:val="001D552F"/>
    <w:rsid w:val="001D5578"/>
    <w:rsid w:val="001D5582"/>
    <w:rsid w:val="001D559A"/>
    <w:rsid w:val="001D559E"/>
    <w:rsid w:val="001D55D3"/>
    <w:rsid w:val="001D55F1"/>
    <w:rsid w:val="001D55FA"/>
    <w:rsid w:val="001D5647"/>
    <w:rsid w:val="001D564D"/>
    <w:rsid w:val="001D565E"/>
    <w:rsid w:val="001D5661"/>
    <w:rsid w:val="001D5666"/>
    <w:rsid w:val="001D5675"/>
    <w:rsid w:val="001D567C"/>
    <w:rsid w:val="001D5693"/>
    <w:rsid w:val="001D56B1"/>
    <w:rsid w:val="001D56C5"/>
    <w:rsid w:val="001D56D0"/>
    <w:rsid w:val="001D5751"/>
    <w:rsid w:val="001D5807"/>
    <w:rsid w:val="001D580A"/>
    <w:rsid w:val="001D582A"/>
    <w:rsid w:val="001D5852"/>
    <w:rsid w:val="001D5870"/>
    <w:rsid w:val="001D5887"/>
    <w:rsid w:val="001D5901"/>
    <w:rsid w:val="001D5915"/>
    <w:rsid w:val="001D5939"/>
    <w:rsid w:val="001D5971"/>
    <w:rsid w:val="001D5994"/>
    <w:rsid w:val="001D59CB"/>
    <w:rsid w:val="001D5A3E"/>
    <w:rsid w:val="001D5A80"/>
    <w:rsid w:val="001D5A8A"/>
    <w:rsid w:val="001D5AC5"/>
    <w:rsid w:val="001D5ADA"/>
    <w:rsid w:val="001D5AE1"/>
    <w:rsid w:val="001D5B16"/>
    <w:rsid w:val="001D5B19"/>
    <w:rsid w:val="001D5B47"/>
    <w:rsid w:val="001D5B6C"/>
    <w:rsid w:val="001D5B87"/>
    <w:rsid w:val="001D5BBE"/>
    <w:rsid w:val="001D5BC8"/>
    <w:rsid w:val="001D5BEA"/>
    <w:rsid w:val="001D5C27"/>
    <w:rsid w:val="001D5C48"/>
    <w:rsid w:val="001D5C53"/>
    <w:rsid w:val="001D5CCE"/>
    <w:rsid w:val="001D5CD7"/>
    <w:rsid w:val="001D5CDC"/>
    <w:rsid w:val="001D5CE9"/>
    <w:rsid w:val="001D5D0D"/>
    <w:rsid w:val="001D5D0F"/>
    <w:rsid w:val="001D5D1F"/>
    <w:rsid w:val="001D5D38"/>
    <w:rsid w:val="001D5D4C"/>
    <w:rsid w:val="001D5DC2"/>
    <w:rsid w:val="001D5DD3"/>
    <w:rsid w:val="001D5DE8"/>
    <w:rsid w:val="001D5DF0"/>
    <w:rsid w:val="001D5DF2"/>
    <w:rsid w:val="001D5E04"/>
    <w:rsid w:val="001D5E08"/>
    <w:rsid w:val="001D5E32"/>
    <w:rsid w:val="001D5E61"/>
    <w:rsid w:val="001D5E65"/>
    <w:rsid w:val="001D5E85"/>
    <w:rsid w:val="001D5E90"/>
    <w:rsid w:val="001D5ED8"/>
    <w:rsid w:val="001D5FA1"/>
    <w:rsid w:val="001D601D"/>
    <w:rsid w:val="001D6088"/>
    <w:rsid w:val="001D60B0"/>
    <w:rsid w:val="001D60B8"/>
    <w:rsid w:val="001D60C1"/>
    <w:rsid w:val="001D6105"/>
    <w:rsid w:val="001D6128"/>
    <w:rsid w:val="001D612F"/>
    <w:rsid w:val="001D616D"/>
    <w:rsid w:val="001D6177"/>
    <w:rsid w:val="001D61FA"/>
    <w:rsid w:val="001D620C"/>
    <w:rsid w:val="001D621E"/>
    <w:rsid w:val="001D6226"/>
    <w:rsid w:val="001D6230"/>
    <w:rsid w:val="001D6295"/>
    <w:rsid w:val="001D62D4"/>
    <w:rsid w:val="001D62E8"/>
    <w:rsid w:val="001D630C"/>
    <w:rsid w:val="001D6331"/>
    <w:rsid w:val="001D6342"/>
    <w:rsid w:val="001D634F"/>
    <w:rsid w:val="001D6382"/>
    <w:rsid w:val="001D639D"/>
    <w:rsid w:val="001D63AB"/>
    <w:rsid w:val="001D63AD"/>
    <w:rsid w:val="001D63C3"/>
    <w:rsid w:val="001D63ED"/>
    <w:rsid w:val="001D6420"/>
    <w:rsid w:val="001D6428"/>
    <w:rsid w:val="001D642B"/>
    <w:rsid w:val="001D6440"/>
    <w:rsid w:val="001D648F"/>
    <w:rsid w:val="001D6495"/>
    <w:rsid w:val="001D64AB"/>
    <w:rsid w:val="001D64B5"/>
    <w:rsid w:val="001D64BB"/>
    <w:rsid w:val="001D64C3"/>
    <w:rsid w:val="001D64FD"/>
    <w:rsid w:val="001D6506"/>
    <w:rsid w:val="001D654D"/>
    <w:rsid w:val="001D6565"/>
    <w:rsid w:val="001D656A"/>
    <w:rsid w:val="001D6587"/>
    <w:rsid w:val="001D65AC"/>
    <w:rsid w:val="001D65FE"/>
    <w:rsid w:val="001D663A"/>
    <w:rsid w:val="001D665D"/>
    <w:rsid w:val="001D6675"/>
    <w:rsid w:val="001D670C"/>
    <w:rsid w:val="001D674F"/>
    <w:rsid w:val="001D6757"/>
    <w:rsid w:val="001D678F"/>
    <w:rsid w:val="001D67C5"/>
    <w:rsid w:val="001D67DC"/>
    <w:rsid w:val="001D6818"/>
    <w:rsid w:val="001D6833"/>
    <w:rsid w:val="001D6865"/>
    <w:rsid w:val="001D6872"/>
    <w:rsid w:val="001D6873"/>
    <w:rsid w:val="001D68A5"/>
    <w:rsid w:val="001D68B0"/>
    <w:rsid w:val="001D6905"/>
    <w:rsid w:val="001D693F"/>
    <w:rsid w:val="001D699B"/>
    <w:rsid w:val="001D69A6"/>
    <w:rsid w:val="001D69C0"/>
    <w:rsid w:val="001D69F3"/>
    <w:rsid w:val="001D6A12"/>
    <w:rsid w:val="001D6A17"/>
    <w:rsid w:val="001D6A39"/>
    <w:rsid w:val="001D6A72"/>
    <w:rsid w:val="001D6A8E"/>
    <w:rsid w:val="001D6AA9"/>
    <w:rsid w:val="001D6AAA"/>
    <w:rsid w:val="001D6AD0"/>
    <w:rsid w:val="001D6AFB"/>
    <w:rsid w:val="001D6B19"/>
    <w:rsid w:val="001D6B25"/>
    <w:rsid w:val="001D6B3F"/>
    <w:rsid w:val="001D6B98"/>
    <w:rsid w:val="001D6BC1"/>
    <w:rsid w:val="001D6BC3"/>
    <w:rsid w:val="001D6C0F"/>
    <w:rsid w:val="001D6C72"/>
    <w:rsid w:val="001D6C97"/>
    <w:rsid w:val="001D6D0A"/>
    <w:rsid w:val="001D6D0C"/>
    <w:rsid w:val="001D6D2F"/>
    <w:rsid w:val="001D6D36"/>
    <w:rsid w:val="001D6D5C"/>
    <w:rsid w:val="001D6DA1"/>
    <w:rsid w:val="001D6DDE"/>
    <w:rsid w:val="001D6DFB"/>
    <w:rsid w:val="001D6E07"/>
    <w:rsid w:val="001D6E09"/>
    <w:rsid w:val="001D6E1E"/>
    <w:rsid w:val="001D6E39"/>
    <w:rsid w:val="001D6E76"/>
    <w:rsid w:val="001D6EF1"/>
    <w:rsid w:val="001D6F10"/>
    <w:rsid w:val="001D6F1B"/>
    <w:rsid w:val="001D6FB4"/>
    <w:rsid w:val="001D6FB5"/>
    <w:rsid w:val="001D7093"/>
    <w:rsid w:val="001D70A4"/>
    <w:rsid w:val="001D70C1"/>
    <w:rsid w:val="001D70D8"/>
    <w:rsid w:val="001D70DC"/>
    <w:rsid w:val="001D70F9"/>
    <w:rsid w:val="001D710E"/>
    <w:rsid w:val="001D711F"/>
    <w:rsid w:val="001D714E"/>
    <w:rsid w:val="001D7155"/>
    <w:rsid w:val="001D7165"/>
    <w:rsid w:val="001D7169"/>
    <w:rsid w:val="001D7177"/>
    <w:rsid w:val="001D7190"/>
    <w:rsid w:val="001D71A0"/>
    <w:rsid w:val="001D71A3"/>
    <w:rsid w:val="001D7218"/>
    <w:rsid w:val="001D722F"/>
    <w:rsid w:val="001D7242"/>
    <w:rsid w:val="001D7277"/>
    <w:rsid w:val="001D72B0"/>
    <w:rsid w:val="001D72E9"/>
    <w:rsid w:val="001D734F"/>
    <w:rsid w:val="001D7377"/>
    <w:rsid w:val="001D73CD"/>
    <w:rsid w:val="001D747F"/>
    <w:rsid w:val="001D749F"/>
    <w:rsid w:val="001D74A7"/>
    <w:rsid w:val="001D74C3"/>
    <w:rsid w:val="001D74DC"/>
    <w:rsid w:val="001D74F2"/>
    <w:rsid w:val="001D752B"/>
    <w:rsid w:val="001D7541"/>
    <w:rsid w:val="001D75B7"/>
    <w:rsid w:val="001D7649"/>
    <w:rsid w:val="001D764A"/>
    <w:rsid w:val="001D7666"/>
    <w:rsid w:val="001D76CE"/>
    <w:rsid w:val="001D76CF"/>
    <w:rsid w:val="001D76D5"/>
    <w:rsid w:val="001D7713"/>
    <w:rsid w:val="001D7717"/>
    <w:rsid w:val="001D772F"/>
    <w:rsid w:val="001D77A6"/>
    <w:rsid w:val="001D77BD"/>
    <w:rsid w:val="001D77EE"/>
    <w:rsid w:val="001D7878"/>
    <w:rsid w:val="001D7889"/>
    <w:rsid w:val="001D78B2"/>
    <w:rsid w:val="001D78CD"/>
    <w:rsid w:val="001D7915"/>
    <w:rsid w:val="001D791B"/>
    <w:rsid w:val="001D7938"/>
    <w:rsid w:val="001D793F"/>
    <w:rsid w:val="001D7974"/>
    <w:rsid w:val="001D79D3"/>
    <w:rsid w:val="001D7A20"/>
    <w:rsid w:val="001D7A32"/>
    <w:rsid w:val="001D7A56"/>
    <w:rsid w:val="001D7A99"/>
    <w:rsid w:val="001D7AB0"/>
    <w:rsid w:val="001D7AD5"/>
    <w:rsid w:val="001D7B0C"/>
    <w:rsid w:val="001D7B15"/>
    <w:rsid w:val="001D7B1B"/>
    <w:rsid w:val="001D7B38"/>
    <w:rsid w:val="001D7B5E"/>
    <w:rsid w:val="001D7B91"/>
    <w:rsid w:val="001D7BA9"/>
    <w:rsid w:val="001D7BE6"/>
    <w:rsid w:val="001D7C23"/>
    <w:rsid w:val="001D7C55"/>
    <w:rsid w:val="001D7C61"/>
    <w:rsid w:val="001D7C74"/>
    <w:rsid w:val="001D7CAA"/>
    <w:rsid w:val="001D7CDA"/>
    <w:rsid w:val="001D7CEF"/>
    <w:rsid w:val="001D7D0A"/>
    <w:rsid w:val="001D7D61"/>
    <w:rsid w:val="001D7D62"/>
    <w:rsid w:val="001D7D6C"/>
    <w:rsid w:val="001D7DBF"/>
    <w:rsid w:val="001D7DC6"/>
    <w:rsid w:val="001D7DEB"/>
    <w:rsid w:val="001D7E22"/>
    <w:rsid w:val="001D7E4A"/>
    <w:rsid w:val="001D7EA9"/>
    <w:rsid w:val="001D7EBF"/>
    <w:rsid w:val="001D7ED9"/>
    <w:rsid w:val="001D7EF8"/>
    <w:rsid w:val="001D7F49"/>
    <w:rsid w:val="001E000E"/>
    <w:rsid w:val="001E0020"/>
    <w:rsid w:val="001E005E"/>
    <w:rsid w:val="001E0064"/>
    <w:rsid w:val="001E0074"/>
    <w:rsid w:val="001E007C"/>
    <w:rsid w:val="001E00CA"/>
    <w:rsid w:val="001E00CE"/>
    <w:rsid w:val="001E00E4"/>
    <w:rsid w:val="001E00E7"/>
    <w:rsid w:val="001E011B"/>
    <w:rsid w:val="001E011F"/>
    <w:rsid w:val="001E016D"/>
    <w:rsid w:val="001E01B6"/>
    <w:rsid w:val="001E01D5"/>
    <w:rsid w:val="001E0210"/>
    <w:rsid w:val="001E022B"/>
    <w:rsid w:val="001E0277"/>
    <w:rsid w:val="001E02B8"/>
    <w:rsid w:val="001E0302"/>
    <w:rsid w:val="001E0326"/>
    <w:rsid w:val="001E03B6"/>
    <w:rsid w:val="001E03B8"/>
    <w:rsid w:val="001E03E4"/>
    <w:rsid w:val="001E0420"/>
    <w:rsid w:val="001E0429"/>
    <w:rsid w:val="001E0430"/>
    <w:rsid w:val="001E04B6"/>
    <w:rsid w:val="001E04CA"/>
    <w:rsid w:val="001E04F7"/>
    <w:rsid w:val="001E0515"/>
    <w:rsid w:val="001E0527"/>
    <w:rsid w:val="001E0536"/>
    <w:rsid w:val="001E055A"/>
    <w:rsid w:val="001E0567"/>
    <w:rsid w:val="001E056E"/>
    <w:rsid w:val="001E059C"/>
    <w:rsid w:val="001E05CD"/>
    <w:rsid w:val="001E05D6"/>
    <w:rsid w:val="001E05EA"/>
    <w:rsid w:val="001E05FA"/>
    <w:rsid w:val="001E0633"/>
    <w:rsid w:val="001E0643"/>
    <w:rsid w:val="001E0660"/>
    <w:rsid w:val="001E0681"/>
    <w:rsid w:val="001E0684"/>
    <w:rsid w:val="001E069F"/>
    <w:rsid w:val="001E06BA"/>
    <w:rsid w:val="001E06D2"/>
    <w:rsid w:val="001E06EC"/>
    <w:rsid w:val="001E06FC"/>
    <w:rsid w:val="001E0717"/>
    <w:rsid w:val="001E075A"/>
    <w:rsid w:val="001E0774"/>
    <w:rsid w:val="001E07E3"/>
    <w:rsid w:val="001E085C"/>
    <w:rsid w:val="001E085F"/>
    <w:rsid w:val="001E08A6"/>
    <w:rsid w:val="001E08B7"/>
    <w:rsid w:val="001E08CD"/>
    <w:rsid w:val="001E091A"/>
    <w:rsid w:val="001E0926"/>
    <w:rsid w:val="001E0956"/>
    <w:rsid w:val="001E095A"/>
    <w:rsid w:val="001E0972"/>
    <w:rsid w:val="001E0980"/>
    <w:rsid w:val="001E0992"/>
    <w:rsid w:val="001E09AC"/>
    <w:rsid w:val="001E09C9"/>
    <w:rsid w:val="001E09EE"/>
    <w:rsid w:val="001E0A09"/>
    <w:rsid w:val="001E0A3B"/>
    <w:rsid w:val="001E0A47"/>
    <w:rsid w:val="001E0A60"/>
    <w:rsid w:val="001E0AF5"/>
    <w:rsid w:val="001E0AF9"/>
    <w:rsid w:val="001E0B43"/>
    <w:rsid w:val="001E0B5C"/>
    <w:rsid w:val="001E0B5D"/>
    <w:rsid w:val="001E0B7C"/>
    <w:rsid w:val="001E0BF1"/>
    <w:rsid w:val="001E0C0E"/>
    <w:rsid w:val="001E0C38"/>
    <w:rsid w:val="001E0C39"/>
    <w:rsid w:val="001E0C4F"/>
    <w:rsid w:val="001E0C7F"/>
    <w:rsid w:val="001E0C80"/>
    <w:rsid w:val="001E0CD7"/>
    <w:rsid w:val="001E0CD8"/>
    <w:rsid w:val="001E0D38"/>
    <w:rsid w:val="001E0D56"/>
    <w:rsid w:val="001E0D87"/>
    <w:rsid w:val="001E0D95"/>
    <w:rsid w:val="001E0DCA"/>
    <w:rsid w:val="001E0DFE"/>
    <w:rsid w:val="001E0E54"/>
    <w:rsid w:val="001E0E59"/>
    <w:rsid w:val="001E0EC1"/>
    <w:rsid w:val="001E0EF0"/>
    <w:rsid w:val="001E0EFB"/>
    <w:rsid w:val="001E0F34"/>
    <w:rsid w:val="001E0F98"/>
    <w:rsid w:val="001E0F9C"/>
    <w:rsid w:val="001E0FBF"/>
    <w:rsid w:val="001E0FC1"/>
    <w:rsid w:val="001E0FEC"/>
    <w:rsid w:val="001E0FFD"/>
    <w:rsid w:val="001E100A"/>
    <w:rsid w:val="001E1065"/>
    <w:rsid w:val="001E10BB"/>
    <w:rsid w:val="001E10C8"/>
    <w:rsid w:val="001E10CE"/>
    <w:rsid w:val="001E10E0"/>
    <w:rsid w:val="001E10E7"/>
    <w:rsid w:val="001E110A"/>
    <w:rsid w:val="001E1113"/>
    <w:rsid w:val="001E1120"/>
    <w:rsid w:val="001E1138"/>
    <w:rsid w:val="001E1155"/>
    <w:rsid w:val="001E115E"/>
    <w:rsid w:val="001E1207"/>
    <w:rsid w:val="001E122F"/>
    <w:rsid w:val="001E126E"/>
    <w:rsid w:val="001E1289"/>
    <w:rsid w:val="001E1299"/>
    <w:rsid w:val="001E12B6"/>
    <w:rsid w:val="001E12E6"/>
    <w:rsid w:val="001E131B"/>
    <w:rsid w:val="001E1366"/>
    <w:rsid w:val="001E1389"/>
    <w:rsid w:val="001E139F"/>
    <w:rsid w:val="001E13A4"/>
    <w:rsid w:val="001E142D"/>
    <w:rsid w:val="001E147F"/>
    <w:rsid w:val="001E14AC"/>
    <w:rsid w:val="001E14B3"/>
    <w:rsid w:val="001E14CD"/>
    <w:rsid w:val="001E14DF"/>
    <w:rsid w:val="001E14EF"/>
    <w:rsid w:val="001E152B"/>
    <w:rsid w:val="001E1535"/>
    <w:rsid w:val="001E1566"/>
    <w:rsid w:val="001E159E"/>
    <w:rsid w:val="001E15B5"/>
    <w:rsid w:val="001E160E"/>
    <w:rsid w:val="001E1682"/>
    <w:rsid w:val="001E1687"/>
    <w:rsid w:val="001E1697"/>
    <w:rsid w:val="001E16AD"/>
    <w:rsid w:val="001E1760"/>
    <w:rsid w:val="001E177D"/>
    <w:rsid w:val="001E1791"/>
    <w:rsid w:val="001E1811"/>
    <w:rsid w:val="001E1841"/>
    <w:rsid w:val="001E1857"/>
    <w:rsid w:val="001E1864"/>
    <w:rsid w:val="001E1870"/>
    <w:rsid w:val="001E18AB"/>
    <w:rsid w:val="001E193B"/>
    <w:rsid w:val="001E1974"/>
    <w:rsid w:val="001E19C5"/>
    <w:rsid w:val="001E1A1A"/>
    <w:rsid w:val="001E1A54"/>
    <w:rsid w:val="001E1A5F"/>
    <w:rsid w:val="001E1A67"/>
    <w:rsid w:val="001E1B13"/>
    <w:rsid w:val="001E1B18"/>
    <w:rsid w:val="001E1B1A"/>
    <w:rsid w:val="001E1B6C"/>
    <w:rsid w:val="001E1B9D"/>
    <w:rsid w:val="001E1BC7"/>
    <w:rsid w:val="001E1BF2"/>
    <w:rsid w:val="001E1C70"/>
    <w:rsid w:val="001E1D32"/>
    <w:rsid w:val="001E1D58"/>
    <w:rsid w:val="001E1D7E"/>
    <w:rsid w:val="001E1D91"/>
    <w:rsid w:val="001E1DA1"/>
    <w:rsid w:val="001E1DA6"/>
    <w:rsid w:val="001E1DB7"/>
    <w:rsid w:val="001E1DD8"/>
    <w:rsid w:val="001E1DE9"/>
    <w:rsid w:val="001E1E37"/>
    <w:rsid w:val="001E1E73"/>
    <w:rsid w:val="001E1EB6"/>
    <w:rsid w:val="001E1ED8"/>
    <w:rsid w:val="001E1EE0"/>
    <w:rsid w:val="001E1EEC"/>
    <w:rsid w:val="001E1F27"/>
    <w:rsid w:val="001E1F4F"/>
    <w:rsid w:val="001E1F56"/>
    <w:rsid w:val="001E1FD1"/>
    <w:rsid w:val="001E1FDF"/>
    <w:rsid w:val="001E2003"/>
    <w:rsid w:val="001E2049"/>
    <w:rsid w:val="001E2068"/>
    <w:rsid w:val="001E20BE"/>
    <w:rsid w:val="001E20DD"/>
    <w:rsid w:val="001E2112"/>
    <w:rsid w:val="001E2116"/>
    <w:rsid w:val="001E211D"/>
    <w:rsid w:val="001E2160"/>
    <w:rsid w:val="001E2163"/>
    <w:rsid w:val="001E2192"/>
    <w:rsid w:val="001E21B9"/>
    <w:rsid w:val="001E227B"/>
    <w:rsid w:val="001E2281"/>
    <w:rsid w:val="001E2287"/>
    <w:rsid w:val="001E2293"/>
    <w:rsid w:val="001E22D3"/>
    <w:rsid w:val="001E2375"/>
    <w:rsid w:val="001E23B1"/>
    <w:rsid w:val="001E23B9"/>
    <w:rsid w:val="001E2428"/>
    <w:rsid w:val="001E2436"/>
    <w:rsid w:val="001E244F"/>
    <w:rsid w:val="001E24F0"/>
    <w:rsid w:val="001E24F2"/>
    <w:rsid w:val="001E2530"/>
    <w:rsid w:val="001E253E"/>
    <w:rsid w:val="001E2551"/>
    <w:rsid w:val="001E2564"/>
    <w:rsid w:val="001E2586"/>
    <w:rsid w:val="001E2598"/>
    <w:rsid w:val="001E25CC"/>
    <w:rsid w:val="001E25D0"/>
    <w:rsid w:val="001E25D8"/>
    <w:rsid w:val="001E2638"/>
    <w:rsid w:val="001E2673"/>
    <w:rsid w:val="001E2684"/>
    <w:rsid w:val="001E268E"/>
    <w:rsid w:val="001E26E1"/>
    <w:rsid w:val="001E271A"/>
    <w:rsid w:val="001E2738"/>
    <w:rsid w:val="001E2756"/>
    <w:rsid w:val="001E2758"/>
    <w:rsid w:val="001E2776"/>
    <w:rsid w:val="001E278D"/>
    <w:rsid w:val="001E2793"/>
    <w:rsid w:val="001E279F"/>
    <w:rsid w:val="001E27B4"/>
    <w:rsid w:val="001E27B9"/>
    <w:rsid w:val="001E2815"/>
    <w:rsid w:val="001E281E"/>
    <w:rsid w:val="001E2833"/>
    <w:rsid w:val="001E2840"/>
    <w:rsid w:val="001E2857"/>
    <w:rsid w:val="001E28D2"/>
    <w:rsid w:val="001E28E1"/>
    <w:rsid w:val="001E28E8"/>
    <w:rsid w:val="001E2912"/>
    <w:rsid w:val="001E2947"/>
    <w:rsid w:val="001E2975"/>
    <w:rsid w:val="001E2988"/>
    <w:rsid w:val="001E298E"/>
    <w:rsid w:val="001E29B4"/>
    <w:rsid w:val="001E2A0C"/>
    <w:rsid w:val="001E2A29"/>
    <w:rsid w:val="001E2A57"/>
    <w:rsid w:val="001E2A95"/>
    <w:rsid w:val="001E2AD1"/>
    <w:rsid w:val="001E2AD6"/>
    <w:rsid w:val="001E2B5C"/>
    <w:rsid w:val="001E2BBA"/>
    <w:rsid w:val="001E2BE2"/>
    <w:rsid w:val="001E2BE9"/>
    <w:rsid w:val="001E2C1A"/>
    <w:rsid w:val="001E2C3D"/>
    <w:rsid w:val="001E2C46"/>
    <w:rsid w:val="001E2C58"/>
    <w:rsid w:val="001E2C5D"/>
    <w:rsid w:val="001E2CD9"/>
    <w:rsid w:val="001E2D5F"/>
    <w:rsid w:val="001E2D78"/>
    <w:rsid w:val="001E2D7A"/>
    <w:rsid w:val="001E2DC6"/>
    <w:rsid w:val="001E2E60"/>
    <w:rsid w:val="001E2E72"/>
    <w:rsid w:val="001E2EA2"/>
    <w:rsid w:val="001E2F1C"/>
    <w:rsid w:val="001E2F40"/>
    <w:rsid w:val="001E2F65"/>
    <w:rsid w:val="001E2FEF"/>
    <w:rsid w:val="001E2FF6"/>
    <w:rsid w:val="001E306C"/>
    <w:rsid w:val="001E3090"/>
    <w:rsid w:val="001E3095"/>
    <w:rsid w:val="001E30A0"/>
    <w:rsid w:val="001E30B4"/>
    <w:rsid w:val="001E30FC"/>
    <w:rsid w:val="001E3128"/>
    <w:rsid w:val="001E3144"/>
    <w:rsid w:val="001E3155"/>
    <w:rsid w:val="001E3170"/>
    <w:rsid w:val="001E3172"/>
    <w:rsid w:val="001E317D"/>
    <w:rsid w:val="001E31C9"/>
    <w:rsid w:val="001E31CC"/>
    <w:rsid w:val="001E3249"/>
    <w:rsid w:val="001E3291"/>
    <w:rsid w:val="001E32B8"/>
    <w:rsid w:val="001E32D1"/>
    <w:rsid w:val="001E334C"/>
    <w:rsid w:val="001E3360"/>
    <w:rsid w:val="001E3361"/>
    <w:rsid w:val="001E3392"/>
    <w:rsid w:val="001E33C0"/>
    <w:rsid w:val="001E33F3"/>
    <w:rsid w:val="001E342A"/>
    <w:rsid w:val="001E3448"/>
    <w:rsid w:val="001E3460"/>
    <w:rsid w:val="001E3469"/>
    <w:rsid w:val="001E34BE"/>
    <w:rsid w:val="001E34D9"/>
    <w:rsid w:val="001E3521"/>
    <w:rsid w:val="001E3583"/>
    <w:rsid w:val="001E359B"/>
    <w:rsid w:val="001E35A2"/>
    <w:rsid w:val="001E35A5"/>
    <w:rsid w:val="001E35B2"/>
    <w:rsid w:val="001E35EB"/>
    <w:rsid w:val="001E361B"/>
    <w:rsid w:val="001E36A5"/>
    <w:rsid w:val="001E36C0"/>
    <w:rsid w:val="001E36D1"/>
    <w:rsid w:val="001E36D6"/>
    <w:rsid w:val="001E36EE"/>
    <w:rsid w:val="001E3720"/>
    <w:rsid w:val="001E373F"/>
    <w:rsid w:val="001E3750"/>
    <w:rsid w:val="001E375D"/>
    <w:rsid w:val="001E377D"/>
    <w:rsid w:val="001E37A1"/>
    <w:rsid w:val="001E37C8"/>
    <w:rsid w:val="001E385C"/>
    <w:rsid w:val="001E3899"/>
    <w:rsid w:val="001E38A5"/>
    <w:rsid w:val="001E38D5"/>
    <w:rsid w:val="001E38DA"/>
    <w:rsid w:val="001E3935"/>
    <w:rsid w:val="001E394A"/>
    <w:rsid w:val="001E395D"/>
    <w:rsid w:val="001E398A"/>
    <w:rsid w:val="001E39A3"/>
    <w:rsid w:val="001E39DF"/>
    <w:rsid w:val="001E3A13"/>
    <w:rsid w:val="001E3A1E"/>
    <w:rsid w:val="001E3A47"/>
    <w:rsid w:val="001E3A69"/>
    <w:rsid w:val="001E3B14"/>
    <w:rsid w:val="001E3B1B"/>
    <w:rsid w:val="001E3B32"/>
    <w:rsid w:val="001E3BB6"/>
    <w:rsid w:val="001E3BC2"/>
    <w:rsid w:val="001E3C0E"/>
    <w:rsid w:val="001E3C27"/>
    <w:rsid w:val="001E3C36"/>
    <w:rsid w:val="001E3C5D"/>
    <w:rsid w:val="001E3C6C"/>
    <w:rsid w:val="001E3C8C"/>
    <w:rsid w:val="001E3C90"/>
    <w:rsid w:val="001E3CA0"/>
    <w:rsid w:val="001E3CBE"/>
    <w:rsid w:val="001E3CC7"/>
    <w:rsid w:val="001E3CDC"/>
    <w:rsid w:val="001E3D48"/>
    <w:rsid w:val="001E3D4B"/>
    <w:rsid w:val="001E3D51"/>
    <w:rsid w:val="001E3D86"/>
    <w:rsid w:val="001E3D94"/>
    <w:rsid w:val="001E3D99"/>
    <w:rsid w:val="001E3DBB"/>
    <w:rsid w:val="001E3DED"/>
    <w:rsid w:val="001E3E17"/>
    <w:rsid w:val="001E3E1D"/>
    <w:rsid w:val="001E3E25"/>
    <w:rsid w:val="001E3E7D"/>
    <w:rsid w:val="001E3E95"/>
    <w:rsid w:val="001E3E9D"/>
    <w:rsid w:val="001E3EA4"/>
    <w:rsid w:val="001E3EC1"/>
    <w:rsid w:val="001E3EFC"/>
    <w:rsid w:val="001E3F04"/>
    <w:rsid w:val="001E3F61"/>
    <w:rsid w:val="001E3F66"/>
    <w:rsid w:val="001E3F69"/>
    <w:rsid w:val="001E3F6A"/>
    <w:rsid w:val="001E3FA1"/>
    <w:rsid w:val="001E3FDB"/>
    <w:rsid w:val="001E3FF9"/>
    <w:rsid w:val="001E400F"/>
    <w:rsid w:val="001E402B"/>
    <w:rsid w:val="001E404B"/>
    <w:rsid w:val="001E405C"/>
    <w:rsid w:val="001E4075"/>
    <w:rsid w:val="001E4084"/>
    <w:rsid w:val="001E40E0"/>
    <w:rsid w:val="001E40E5"/>
    <w:rsid w:val="001E40F7"/>
    <w:rsid w:val="001E40F8"/>
    <w:rsid w:val="001E40F9"/>
    <w:rsid w:val="001E411C"/>
    <w:rsid w:val="001E413B"/>
    <w:rsid w:val="001E414A"/>
    <w:rsid w:val="001E414D"/>
    <w:rsid w:val="001E41B9"/>
    <w:rsid w:val="001E41CB"/>
    <w:rsid w:val="001E4206"/>
    <w:rsid w:val="001E4229"/>
    <w:rsid w:val="001E4287"/>
    <w:rsid w:val="001E4298"/>
    <w:rsid w:val="001E42A7"/>
    <w:rsid w:val="001E42AB"/>
    <w:rsid w:val="001E42CB"/>
    <w:rsid w:val="001E42D1"/>
    <w:rsid w:val="001E42EF"/>
    <w:rsid w:val="001E4328"/>
    <w:rsid w:val="001E4331"/>
    <w:rsid w:val="001E4350"/>
    <w:rsid w:val="001E43EF"/>
    <w:rsid w:val="001E441B"/>
    <w:rsid w:val="001E4444"/>
    <w:rsid w:val="001E447A"/>
    <w:rsid w:val="001E44D6"/>
    <w:rsid w:val="001E44FD"/>
    <w:rsid w:val="001E4515"/>
    <w:rsid w:val="001E4529"/>
    <w:rsid w:val="001E4547"/>
    <w:rsid w:val="001E4560"/>
    <w:rsid w:val="001E4576"/>
    <w:rsid w:val="001E45AE"/>
    <w:rsid w:val="001E45D6"/>
    <w:rsid w:val="001E45FA"/>
    <w:rsid w:val="001E4615"/>
    <w:rsid w:val="001E4618"/>
    <w:rsid w:val="001E4662"/>
    <w:rsid w:val="001E4672"/>
    <w:rsid w:val="001E46AE"/>
    <w:rsid w:val="001E46AF"/>
    <w:rsid w:val="001E473B"/>
    <w:rsid w:val="001E4762"/>
    <w:rsid w:val="001E47B7"/>
    <w:rsid w:val="001E47C1"/>
    <w:rsid w:val="001E4855"/>
    <w:rsid w:val="001E4868"/>
    <w:rsid w:val="001E4875"/>
    <w:rsid w:val="001E48A5"/>
    <w:rsid w:val="001E48DF"/>
    <w:rsid w:val="001E4951"/>
    <w:rsid w:val="001E495E"/>
    <w:rsid w:val="001E49A9"/>
    <w:rsid w:val="001E49DF"/>
    <w:rsid w:val="001E4A06"/>
    <w:rsid w:val="001E4A13"/>
    <w:rsid w:val="001E4A14"/>
    <w:rsid w:val="001E4A72"/>
    <w:rsid w:val="001E4A7E"/>
    <w:rsid w:val="001E4AC3"/>
    <w:rsid w:val="001E4AD2"/>
    <w:rsid w:val="001E4ADC"/>
    <w:rsid w:val="001E4B0C"/>
    <w:rsid w:val="001E4B1D"/>
    <w:rsid w:val="001E4B70"/>
    <w:rsid w:val="001E4B74"/>
    <w:rsid w:val="001E4B8A"/>
    <w:rsid w:val="001E4BB1"/>
    <w:rsid w:val="001E4BBC"/>
    <w:rsid w:val="001E4BC0"/>
    <w:rsid w:val="001E4BD5"/>
    <w:rsid w:val="001E4BDA"/>
    <w:rsid w:val="001E4C2D"/>
    <w:rsid w:val="001E4C43"/>
    <w:rsid w:val="001E4C58"/>
    <w:rsid w:val="001E4C6C"/>
    <w:rsid w:val="001E4C8F"/>
    <w:rsid w:val="001E4C92"/>
    <w:rsid w:val="001E4CBD"/>
    <w:rsid w:val="001E4CBF"/>
    <w:rsid w:val="001E4CC7"/>
    <w:rsid w:val="001E4CE4"/>
    <w:rsid w:val="001E4CFD"/>
    <w:rsid w:val="001E4D4A"/>
    <w:rsid w:val="001E4DD4"/>
    <w:rsid w:val="001E4E06"/>
    <w:rsid w:val="001E4E52"/>
    <w:rsid w:val="001E4E94"/>
    <w:rsid w:val="001E4EE9"/>
    <w:rsid w:val="001E4EF0"/>
    <w:rsid w:val="001E4EFF"/>
    <w:rsid w:val="001E4F19"/>
    <w:rsid w:val="001E4F57"/>
    <w:rsid w:val="001E4F61"/>
    <w:rsid w:val="001E4FAE"/>
    <w:rsid w:val="001E4FE3"/>
    <w:rsid w:val="001E4FF5"/>
    <w:rsid w:val="001E503E"/>
    <w:rsid w:val="001E51E1"/>
    <w:rsid w:val="001E51EF"/>
    <w:rsid w:val="001E51F4"/>
    <w:rsid w:val="001E51F5"/>
    <w:rsid w:val="001E5201"/>
    <w:rsid w:val="001E520C"/>
    <w:rsid w:val="001E5217"/>
    <w:rsid w:val="001E5233"/>
    <w:rsid w:val="001E52C9"/>
    <w:rsid w:val="001E534C"/>
    <w:rsid w:val="001E534D"/>
    <w:rsid w:val="001E5358"/>
    <w:rsid w:val="001E5361"/>
    <w:rsid w:val="001E5363"/>
    <w:rsid w:val="001E5370"/>
    <w:rsid w:val="001E5371"/>
    <w:rsid w:val="001E5381"/>
    <w:rsid w:val="001E53A3"/>
    <w:rsid w:val="001E53DA"/>
    <w:rsid w:val="001E53E7"/>
    <w:rsid w:val="001E5458"/>
    <w:rsid w:val="001E54D7"/>
    <w:rsid w:val="001E54E3"/>
    <w:rsid w:val="001E54EA"/>
    <w:rsid w:val="001E551A"/>
    <w:rsid w:val="001E5520"/>
    <w:rsid w:val="001E552B"/>
    <w:rsid w:val="001E553D"/>
    <w:rsid w:val="001E5541"/>
    <w:rsid w:val="001E554E"/>
    <w:rsid w:val="001E555F"/>
    <w:rsid w:val="001E558D"/>
    <w:rsid w:val="001E55AF"/>
    <w:rsid w:val="001E5606"/>
    <w:rsid w:val="001E5639"/>
    <w:rsid w:val="001E563B"/>
    <w:rsid w:val="001E564B"/>
    <w:rsid w:val="001E5651"/>
    <w:rsid w:val="001E565F"/>
    <w:rsid w:val="001E567F"/>
    <w:rsid w:val="001E568B"/>
    <w:rsid w:val="001E5690"/>
    <w:rsid w:val="001E5699"/>
    <w:rsid w:val="001E56B9"/>
    <w:rsid w:val="001E5730"/>
    <w:rsid w:val="001E5772"/>
    <w:rsid w:val="001E583D"/>
    <w:rsid w:val="001E583E"/>
    <w:rsid w:val="001E5842"/>
    <w:rsid w:val="001E586A"/>
    <w:rsid w:val="001E586F"/>
    <w:rsid w:val="001E587E"/>
    <w:rsid w:val="001E588E"/>
    <w:rsid w:val="001E58DD"/>
    <w:rsid w:val="001E590E"/>
    <w:rsid w:val="001E591A"/>
    <w:rsid w:val="001E5922"/>
    <w:rsid w:val="001E593E"/>
    <w:rsid w:val="001E5949"/>
    <w:rsid w:val="001E5967"/>
    <w:rsid w:val="001E59C1"/>
    <w:rsid w:val="001E5A03"/>
    <w:rsid w:val="001E5A3A"/>
    <w:rsid w:val="001E5A92"/>
    <w:rsid w:val="001E5A93"/>
    <w:rsid w:val="001E5ADE"/>
    <w:rsid w:val="001E5AFD"/>
    <w:rsid w:val="001E5B00"/>
    <w:rsid w:val="001E5B2A"/>
    <w:rsid w:val="001E5B9A"/>
    <w:rsid w:val="001E5BAF"/>
    <w:rsid w:val="001E5BC3"/>
    <w:rsid w:val="001E5BCE"/>
    <w:rsid w:val="001E5BE3"/>
    <w:rsid w:val="001E5C0A"/>
    <w:rsid w:val="001E5C40"/>
    <w:rsid w:val="001E5C4D"/>
    <w:rsid w:val="001E5C97"/>
    <w:rsid w:val="001E5CB7"/>
    <w:rsid w:val="001E5CC8"/>
    <w:rsid w:val="001E5CCD"/>
    <w:rsid w:val="001E5D12"/>
    <w:rsid w:val="001E5D33"/>
    <w:rsid w:val="001E5D34"/>
    <w:rsid w:val="001E5D7B"/>
    <w:rsid w:val="001E5DFF"/>
    <w:rsid w:val="001E5E00"/>
    <w:rsid w:val="001E5E44"/>
    <w:rsid w:val="001E5E5D"/>
    <w:rsid w:val="001E5E9A"/>
    <w:rsid w:val="001E5ED5"/>
    <w:rsid w:val="001E5F2A"/>
    <w:rsid w:val="001E5F4D"/>
    <w:rsid w:val="001E5F82"/>
    <w:rsid w:val="001E5F90"/>
    <w:rsid w:val="001E5F9A"/>
    <w:rsid w:val="001E5FB5"/>
    <w:rsid w:val="001E6067"/>
    <w:rsid w:val="001E6096"/>
    <w:rsid w:val="001E610A"/>
    <w:rsid w:val="001E611A"/>
    <w:rsid w:val="001E6155"/>
    <w:rsid w:val="001E6161"/>
    <w:rsid w:val="001E618A"/>
    <w:rsid w:val="001E61A8"/>
    <w:rsid w:val="001E61B8"/>
    <w:rsid w:val="001E61C9"/>
    <w:rsid w:val="001E61CE"/>
    <w:rsid w:val="001E61F4"/>
    <w:rsid w:val="001E6208"/>
    <w:rsid w:val="001E621C"/>
    <w:rsid w:val="001E6229"/>
    <w:rsid w:val="001E6251"/>
    <w:rsid w:val="001E6253"/>
    <w:rsid w:val="001E6280"/>
    <w:rsid w:val="001E629B"/>
    <w:rsid w:val="001E62BA"/>
    <w:rsid w:val="001E62D2"/>
    <w:rsid w:val="001E62F3"/>
    <w:rsid w:val="001E62F7"/>
    <w:rsid w:val="001E62F8"/>
    <w:rsid w:val="001E62FE"/>
    <w:rsid w:val="001E6309"/>
    <w:rsid w:val="001E632D"/>
    <w:rsid w:val="001E6369"/>
    <w:rsid w:val="001E6389"/>
    <w:rsid w:val="001E638C"/>
    <w:rsid w:val="001E63A1"/>
    <w:rsid w:val="001E63CE"/>
    <w:rsid w:val="001E63E4"/>
    <w:rsid w:val="001E640B"/>
    <w:rsid w:val="001E6450"/>
    <w:rsid w:val="001E6473"/>
    <w:rsid w:val="001E649D"/>
    <w:rsid w:val="001E6508"/>
    <w:rsid w:val="001E652E"/>
    <w:rsid w:val="001E6538"/>
    <w:rsid w:val="001E656F"/>
    <w:rsid w:val="001E65DD"/>
    <w:rsid w:val="001E65EF"/>
    <w:rsid w:val="001E65F8"/>
    <w:rsid w:val="001E65FB"/>
    <w:rsid w:val="001E6641"/>
    <w:rsid w:val="001E6658"/>
    <w:rsid w:val="001E66BA"/>
    <w:rsid w:val="001E6713"/>
    <w:rsid w:val="001E6733"/>
    <w:rsid w:val="001E6735"/>
    <w:rsid w:val="001E674E"/>
    <w:rsid w:val="001E6771"/>
    <w:rsid w:val="001E678B"/>
    <w:rsid w:val="001E6796"/>
    <w:rsid w:val="001E6807"/>
    <w:rsid w:val="001E6856"/>
    <w:rsid w:val="001E68F5"/>
    <w:rsid w:val="001E692D"/>
    <w:rsid w:val="001E6933"/>
    <w:rsid w:val="001E69C9"/>
    <w:rsid w:val="001E69FA"/>
    <w:rsid w:val="001E6A6B"/>
    <w:rsid w:val="001E6A9E"/>
    <w:rsid w:val="001E6ACB"/>
    <w:rsid w:val="001E6AD3"/>
    <w:rsid w:val="001E6B08"/>
    <w:rsid w:val="001E6B19"/>
    <w:rsid w:val="001E6BE2"/>
    <w:rsid w:val="001E6C01"/>
    <w:rsid w:val="001E6C4E"/>
    <w:rsid w:val="001E6C9C"/>
    <w:rsid w:val="001E6D12"/>
    <w:rsid w:val="001E6D32"/>
    <w:rsid w:val="001E6D92"/>
    <w:rsid w:val="001E6DAA"/>
    <w:rsid w:val="001E6DE0"/>
    <w:rsid w:val="001E6E10"/>
    <w:rsid w:val="001E6E12"/>
    <w:rsid w:val="001E6E1B"/>
    <w:rsid w:val="001E6E38"/>
    <w:rsid w:val="001E6E62"/>
    <w:rsid w:val="001E6E70"/>
    <w:rsid w:val="001E6EA5"/>
    <w:rsid w:val="001E6EA7"/>
    <w:rsid w:val="001E6ED7"/>
    <w:rsid w:val="001E6EE3"/>
    <w:rsid w:val="001E6F03"/>
    <w:rsid w:val="001E6F20"/>
    <w:rsid w:val="001E6F89"/>
    <w:rsid w:val="001E6FB3"/>
    <w:rsid w:val="001E6FD6"/>
    <w:rsid w:val="001E6FDB"/>
    <w:rsid w:val="001E6FFA"/>
    <w:rsid w:val="001E7020"/>
    <w:rsid w:val="001E702A"/>
    <w:rsid w:val="001E706F"/>
    <w:rsid w:val="001E7099"/>
    <w:rsid w:val="001E709D"/>
    <w:rsid w:val="001E70C5"/>
    <w:rsid w:val="001E70E8"/>
    <w:rsid w:val="001E7107"/>
    <w:rsid w:val="001E712B"/>
    <w:rsid w:val="001E7178"/>
    <w:rsid w:val="001E7187"/>
    <w:rsid w:val="001E718D"/>
    <w:rsid w:val="001E71A7"/>
    <w:rsid w:val="001E71BC"/>
    <w:rsid w:val="001E71EB"/>
    <w:rsid w:val="001E7203"/>
    <w:rsid w:val="001E7253"/>
    <w:rsid w:val="001E72C7"/>
    <w:rsid w:val="001E72D3"/>
    <w:rsid w:val="001E72D9"/>
    <w:rsid w:val="001E731A"/>
    <w:rsid w:val="001E731E"/>
    <w:rsid w:val="001E734E"/>
    <w:rsid w:val="001E73BC"/>
    <w:rsid w:val="001E73DB"/>
    <w:rsid w:val="001E73E9"/>
    <w:rsid w:val="001E7400"/>
    <w:rsid w:val="001E746E"/>
    <w:rsid w:val="001E74B1"/>
    <w:rsid w:val="001E74CE"/>
    <w:rsid w:val="001E74DC"/>
    <w:rsid w:val="001E74E0"/>
    <w:rsid w:val="001E74ED"/>
    <w:rsid w:val="001E753D"/>
    <w:rsid w:val="001E7577"/>
    <w:rsid w:val="001E75AC"/>
    <w:rsid w:val="001E75B9"/>
    <w:rsid w:val="001E761E"/>
    <w:rsid w:val="001E7623"/>
    <w:rsid w:val="001E7624"/>
    <w:rsid w:val="001E7652"/>
    <w:rsid w:val="001E7671"/>
    <w:rsid w:val="001E7687"/>
    <w:rsid w:val="001E7698"/>
    <w:rsid w:val="001E76BA"/>
    <w:rsid w:val="001E76D3"/>
    <w:rsid w:val="001E76D9"/>
    <w:rsid w:val="001E76DB"/>
    <w:rsid w:val="001E76F6"/>
    <w:rsid w:val="001E7725"/>
    <w:rsid w:val="001E775F"/>
    <w:rsid w:val="001E7764"/>
    <w:rsid w:val="001E7774"/>
    <w:rsid w:val="001E77AD"/>
    <w:rsid w:val="001E77C1"/>
    <w:rsid w:val="001E77EF"/>
    <w:rsid w:val="001E7824"/>
    <w:rsid w:val="001E782D"/>
    <w:rsid w:val="001E7849"/>
    <w:rsid w:val="001E7864"/>
    <w:rsid w:val="001E787D"/>
    <w:rsid w:val="001E7910"/>
    <w:rsid w:val="001E7917"/>
    <w:rsid w:val="001E7944"/>
    <w:rsid w:val="001E7958"/>
    <w:rsid w:val="001E798A"/>
    <w:rsid w:val="001E79B3"/>
    <w:rsid w:val="001E79D4"/>
    <w:rsid w:val="001E79F9"/>
    <w:rsid w:val="001E7A1B"/>
    <w:rsid w:val="001E7A26"/>
    <w:rsid w:val="001E7A69"/>
    <w:rsid w:val="001E7A91"/>
    <w:rsid w:val="001E7AE4"/>
    <w:rsid w:val="001E7B30"/>
    <w:rsid w:val="001E7B4E"/>
    <w:rsid w:val="001E7B73"/>
    <w:rsid w:val="001E7BB9"/>
    <w:rsid w:val="001E7BE0"/>
    <w:rsid w:val="001E7BFF"/>
    <w:rsid w:val="001E7C10"/>
    <w:rsid w:val="001E7C60"/>
    <w:rsid w:val="001E7CA0"/>
    <w:rsid w:val="001E7CAE"/>
    <w:rsid w:val="001E7CC1"/>
    <w:rsid w:val="001E7CC7"/>
    <w:rsid w:val="001E7CD2"/>
    <w:rsid w:val="001E7CF1"/>
    <w:rsid w:val="001E7D18"/>
    <w:rsid w:val="001E7D2A"/>
    <w:rsid w:val="001E7D4E"/>
    <w:rsid w:val="001E7D6B"/>
    <w:rsid w:val="001E7D9C"/>
    <w:rsid w:val="001E7DB0"/>
    <w:rsid w:val="001E7DE3"/>
    <w:rsid w:val="001E7DEA"/>
    <w:rsid w:val="001E7DEF"/>
    <w:rsid w:val="001E7DFB"/>
    <w:rsid w:val="001E7E61"/>
    <w:rsid w:val="001E7E6D"/>
    <w:rsid w:val="001E7E73"/>
    <w:rsid w:val="001E7E92"/>
    <w:rsid w:val="001E7E95"/>
    <w:rsid w:val="001E7EDC"/>
    <w:rsid w:val="001E7EDE"/>
    <w:rsid w:val="001E7EE3"/>
    <w:rsid w:val="001E7F33"/>
    <w:rsid w:val="001E7F79"/>
    <w:rsid w:val="001E7FB9"/>
    <w:rsid w:val="001E7FC7"/>
    <w:rsid w:val="001F004A"/>
    <w:rsid w:val="001F004C"/>
    <w:rsid w:val="001F00AF"/>
    <w:rsid w:val="001F0114"/>
    <w:rsid w:val="001F0132"/>
    <w:rsid w:val="001F0134"/>
    <w:rsid w:val="001F0152"/>
    <w:rsid w:val="001F0171"/>
    <w:rsid w:val="001F017C"/>
    <w:rsid w:val="001F017D"/>
    <w:rsid w:val="001F0185"/>
    <w:rsid w:val="001F0218"/>
    <w:rsid w:val="001F022A"/>
    <w:rsid w:val="001F0235"/>
    <w:rsid w:val="001F0281"/>
    <w:rsid w:val="001F02BB"/>
    <w:rsid w:val="001F02C8"/>
    <w:rsid w:val="001F02F0"/>
    <w:rsid w:val="001F039D"/>
    <w:rsid w:val="001F0404"/>
    <w:rsid w:val="001F040C"/>
    <w:rsid w:val="001F0479"/>
    <w:rsid w:val="001F0493"/>
    <w:rsid w:val="001F04AC"/>
    <w:rsid w:val="001F04B6"/>
    <w:rsid w:val="001F0568"/>
    <w:rsid w:val="001F056C"/>
    <w:rsid w:val="001F0572"/>
    <w:rsid w:val="001F0576"/>
    <w:rsid w:val="001F0589"/>
    <w:rsid w:val="001F05B2"/>
    <w:rsid w:val="001F05EB"/>
    <w:rsid w:val="001F05FD"/>
    <w:rsid w:val="001F063B"/>
    <w:rsid w:val="001F0665"/>
    <w:rsid w:val="001F066B"/>
    <w:rsid w:val="001F069C"/>
    <w:rsid w:val="001F06A1"/>
    <w:rsid w:val="001F06A8"/>
    <w:rsid w:val="001F06C1"/>
    <w:rsid w:val="001F06E6"/>
    <w:rsid w:val="001F0714"/>
    <w:rsid w:val="001F073F"/>
    <w:rsid w:val="001F076B"/>
    <w:rsid w:val="001F077F"/>
    <w:rsid w:val="001F0786"/>
    <w:rsid w:val="001F0788"/>
    <w:rsid w:val="001F07A8"/>
    <w:rsid w:val="001F07C0"/>
    <w:rsid w:val="001F07DB"/>
    <w:rsid w:val="001F07DF"/>
    <w:rsid w:val="001F085E"/>
    <w:rsid w:val="001F087B"/>
    <w:rsid w:val="001F088A"/>
    <w:rsid w:val="001F0903"/>
    <w:rsid w:val="001F0904"/>
    <w:rsid w:val="001F0934"/>
    <w:rsid w:val="001F0946"/>
    <w:rsid w:val="001F094B"/>
    <w:rsid w:val="001F0A02"/>
    <w:rsid w:val="001F0A08"/>
    <w:rsid w:val="001F0A20"/>
    <w:rsid w:val="001F0A4E"/>
    <w:rsid w:val="001F0A75"/>
    <w:rsid w:val="001F0A96"/>
    <w:rsid w:val="001F0AE6"/>
    <w:rsid w:val="001F0B12"/>
    <w:rsid w:val="001F0B1A"/>
    <w:rsid w:val="001F0B32"/>
    <w:rsid w:val="001F0B6B"/>
    <w:rsid w:val="001F0B7F"/>
    <w:rsid w:val="001F0B9D"/>
    <w:rsid w:val="001F0BD0"/>
    <w:rsid w:val="001F0BE2"/>
    <w:rsid w:val="001F0C31"/>
    <w:rsid w:val="001F0C69"/>
    <w:rsid w:val="001F0CBC"/>
    <w:rsid w:val="001F0CF0"/>
    <w:rsid w:val="001F0D1F"/>
    <w:rsid w:val="001F0D45"/>
    <w:rsid w:val="001F0D67"/>
    <w:rsid w:val="001F0D6D"/>
    <w:rsid w:val="001F0DA6"/>
    <w:rsid w:val="001F0E10"/>
    <w:rsid w:val="001F0E1D"/>
    <w:rsid w:val="001F0E2D"/>
    <w:rsid w:val="001F0E4C"/>
    <w:rsid w:val="001F0E7F"/>
    <w:rsid w:val="001F0EE0"/>
    <w:rsid w:val="001F0F01"/>
    <w:rsid w:val="001F0F04"/>
    <w:rsid w:val="001F0FBA"/>
    <w:rsid w:val="001F100D"/>
    <w:rsid w:val="001F108A"/>
    <w:rsid w:val="001F10BF"/>
    <w:rsid w:val="001F10D0"/>
    <w:rsid w:val="001F1101"/>
    <w:rsid w:val="001F110C"/>
    <w:rsid w:val="001F110E"/>
    <w:rsid w:val="001F1165"/>
    <w:rsid w:val="001F1187"/>
    <w:rsid w:val="001F1190"/>
    <w:rsid w:val="001F11BC"/>
    <w:rsid w:val="001F1221"/>
    <w:rsid w:val="001F1229"/>
    <w:rsid w:val="001F1252"/>
    <w:rsid w:val="001F126F"/>
    <w:rsid w:val="001F128A"/>
    <w:rsid w:val="001F12DB"/>
    <w:rsid w:val="001F12F4"/>
    <w:rsid w:val="001F1304"/>
    <w:rsid w:val="001F1325"/>
    <w:rsid w:val="001F13AF"/>
    <w:rsid w:val="001F13B9"/>
    <w:rsid w:val="001F13C2"/>
    <w:rsid w:val="001F13D1"/>
    <w:rsid w:val="001F13D5"/>
    <w:rsid w:val="001F1417"/>
    <w:rsid w:val="001F1478"/>
    <w:rsid w:val="001F14F6"/>
    <w:rsid w:val="001F150E"/>
    <w:rsid w:val="001F1517"/>
    <w:rsid w:val="001F152A"/>
    <w:rsid w:val="001F15BD"/>
    <w:rsid w:val="001F15C4"/>
    <w:rsid w:val="001F15EE"/>
    <w:rsid w:val="001F1609"/>
    <w:rsid w:val="001F1663"/>
    <w:rsid w:val="001F166E"/>
    <w:rsid w:val="001F16A1"/>
    <w:rsid w:val="001F16BD"/>
    <w:rsid w:val="001F16BF"/>
    <w:rsid w:val="001F16C3"/>
    <w:rsid w:val="001F16D2"/>
    <w:rsid w:val="001F16DD"/>
    <w:rsid w:val="001F16F0"/>
    <w:rsid w:val="001F1746"/>
    <w:rsid w:val="001F1747"/>
    <w:rsid w:val="001F1790"/>
    <w:rsid w:val="001F179F"/>
    <w:rsid w:val="001F17A8"/>
    <w:rsid w:val="001F1865"/>
    <w:rsid w:val="001F18BA"/>
    <w:rsid w:val="001F18CE"/>
    <w:rsid w:val="001F18D1"/>
    <w:rsid w:val="001F1904"/>
    <w:rsid w:val="001F1921"/>
    <w:rsid w:val="001F1931"/>
    <w:rsid w:val="001F1A20"/>
    <w:rsid w:val="001F1A4D"/>
    <w:rsid w:val="001F1AA7"/>
    <w:rsid w:val="001F1AE5"/>
    <w:rsid w:val="001F1AF2"/>
    <w:rsid w:val="001F1B29"/>
    <w:rsid w:val="001F1B31"/>
    <w:rsid w:val="001F1BBD"/>
    <w:rsid w:val="001F1BD5"/>
    <w:rsid w:val="001F1C18"/>
    <w:rsid w:val="001F1C3B"/>
    <w:rsid w:val="001F1C3F"/>
    <w:rsid w:val="001F1C9C"/>
    <w:rsid w:val="001F1CAF"/>
    <w:rsid w:val="001F1CCE"/>
    <w:rsid w:val="001F1CDB"/>
    <w:rsid w:val="001F1CE6"/>
    <w:rsid w:val="001F1D03"/>
    <w:rsid w:val="001F1D28"/>
    <w:rsid w:val="001F1D67"/>
    <w:rsid w:val="001F1D7D"/>
    <w:rsid w:val="001F1D93"/>
    <w:rsid w:val="001F1DDF"/>
    <w:rsid w:val="001F1E08"/>
    <w:rsid w:val="001F1E20"/>
    <w:rsid w:val="001F1E36"/>
    <w:rsid w:val="001F1E41"/>
    <w:rsid w:val="001F1E5D"/>
    <w:rsid w:val="001F1E6C"/>
    <w:rsid w:val="001F1E75"/>
    <w:rsid w:val="001F1ECC"/>
    <w:rsid w:val="001F1F4B"/>
    <w:rsid w:val="001F1F60"/>
    <w:rsid w:val="001F1F78"/>
    <w:rsid w:val="001F1F96"/>
    <w:rsid w:val="001F1FFE"/>
    <w:rsid w:val="001F2033"/>
    <w:rsid w:val="001F2077"/>
    <w:rsid w:val="001F20F3"/>
    <w:rsid w:val="001F212F"/>
    <w:rsid w:val="001F2180"/>
    <w:rsid w:val="001F2196"/>
    <w:rsid w:val="001F21C2"/>
    <w:rsid w:val="001F21C6"/>
    <w:rsid w:val="001F21E7"/>
    <w:rsid w:val="001F21EE"/>
    <w:rsid w:val="001F2208"/>
    <w:rsid w:val="001F222B"/>
    <w:rsid w:val="001F222D"/>
    <w:rsid w:val="001F226A"/>
    <w:rsid w:val="001F228A"/>
    <w:rsid w:val="001F22CB"/>
    <w:rsid w:val="001F231A"/>
    <w:rsid w:val="001F233E"/>
    <w:rsid w:val="001F2349"/>
    <w:rsid w:val="001F2365"/>
    <w:rsid w:val="001F238F"/>
    <w:rsid w:val="001F23B4"/>
    <w:rsid w:val="001F23B9"/>
    <w:rsid w:val="001F23DB"/>
    <w:rsid w:val="001F23DE"/>
    <w:rsid w:val="001F23FE"/>
    <w:rsid w:val="001F2404"/>
    <w:rsid w:val="001F2465"/>
    <w:rsid w:val="001F24C7"/>
    <w:rsid w:val="001F2502"/>
    <w:rsid w:val="001F2538"/>
    <w:rsid w:val="001F2549"/>
    <w:rsid w:val="001F256C"/>
    <w:rsid w:val="001F2577"/>
    <w:rsid w:val="001F2591"/>
    <w:rsid w:val="001F2596"/>
    <w:rsid w:val="001F25AB"/>
    <w:rsid w:val="001F25B1"/>
    <w:rsid w:val="001F25B3"/>
    <w:rsid w:val="001F260B"/>
    <w:rsid w:val="001F2623"/>
    <w:rsid w:val="001F2627"/>
    <w:rsid w:val="001F266A"/>
    <w:rsid w:val="001F26CF"/>
    <w:rsid w:val="001F2704"/>
    <w:rsid w:val="001F27A2"/>
    <w:rsid w:val="001F27D3"/>
    <w:rsid w:val="001F2835"/>
    <w:rsid w:val="001F284F"/>
    <w:rsid w:val="001F2869"/>
    <w:rsid w:val="001F2872"/>
    <w:rsid w:val="001F28C8"/>
    <w:rsid w:val="001F28CD"/>
    <w:rsid w:val="001F28D5"/>
    <w:rsid w:val="001F2918"/>
    <w:rsid w:val="001F293D"/>
    <w:rsid w:val="001F2943"/>
    <w:rsid w:val="001F295E"/>
    <w:rsid w:val="001F2967"/>
    <w:rsid w:val="001F29A6"/>
    <w:rsid w:val="001F29B1"/>
    <w:rsid w:val="001F29CC"/>
    <w:rsid w:val="001F29CD"/>
    <w:rsid w:val="001F29D3"/>
    <w:rsid w:val="001F29D7"/>
    <w:rsid w:val="001F29D8"/>
    <w:rsid w:val="001F29ED"/>
    <w:rsid w:val="001F2A14"/>
    <w:rsid w:val="001F2A3B"/>
    <w:rsid w:val="001F2A60"/>
    <w:rsid w:val="001F2A7C"/>
    <w:rsid w:val="001F2AB3"/>
    <w:rsid w:val="001F2AC2"/>
    <w:rsid w:val="001F2AD3"/>
    <w:rsid w:val="001F2ADC"/>
    <w:rsid w:val="001F2B19"/>
    <w:rsid w:val="001F2B36"/>
    <w:rsid w:val="001F2BBB"/>
    <w:rsid w:val="001F2BF7"/>
    <w:rsid w:val="001F2BFA"/>
    <w:rsid w:val="001F2C42"/>
    <w:rsid w:val="001F2C51"/>
    <w:rsid w:val="001F2C8F"/>
    <w:rsid w:val="001F2C91"/>
    <w:rsid w:val="001F2CA0"/>
    <w:rsid w:val="001F2CB8"/>
    <w:rsid w:val="001F2CC5"/>
    <w:rsid w:val="001F2CED"/>
    <w:rsid w:val="001F2CF0"/>
    <w:rsid w:val="001F2CF5"/>
    <w:rsid w:val="001F2D13"/>
    <w:rsid w:val="001F2D40"/>
    <w:rsid w:val="001F2D67"/>
    <w:rsid w:val="001F2D8C"/>
    <w:rsid w:val="001F2DD5"/>
    <w:rsid w:val="001F2DE2"/>
    <w:rsid w:val="001F2E0E"/>
    <w:rsid w:val="001F2E4A"/>
    <w:rsid w:val="001F2E5B"/>
    <w:rsid w:val="001F2EC6"/>
    <w:rsid w:val="001F2ECF"/>
    <w:rsid w:val="001F2EE1"/>
    <w:rsid w:val="001F2F0F"/>
    <w:rsid w:val="001F2F59"/>
    <w:rsid w:val="001F2F63"/>
    <w:rsid w:val="001F2FA3"/>
    <w:rsid w:val="001F2FBA"/>
    <w:rsid w:val="001F2FC0"/>
    <w:rsid w:val="001F2FCD"/>
    <w:rsid w:val="001F2FE6"/>
    <w:rsid w:val="001F3044"/>
    <w:rsid w:val="001F3062"/>
    <w:rsid w:val="001F3078"/>
    <w:rsid w:val="001F30A6"/>
    <w:rsid w:val="001F30CD"/>
    <w:rsid w:val="001F30E2"/>
    <w:rsid w:val="001F30F0"/>
    <w:rsid w:val="001F311D"/>
    <w:rsid w:val="001F3134"/>
    <w:rsid w:val="001F31C8"/>
    <w:rsid w:val="001F3267"/>
    <w:rsid w:val="001F32A1"/>
    <w:rsid w:val="001F32CE"/>
    <w:rsid w:val="001F32FA"/>
    <w:rsid w:val="001F3389"/>
    <w:rsid w:val="001F33E2"/>
    <w:rsid w:val="001F3409"/>
    <w:rsid w:val="001F340B"/>
    <w:rsid w:val="001F3430"/>
    <w:rsid w:val="001F3474"/>
    <w:rsid w:val="001F34E2"/>
    <w:rsid w:val="001F34E6"/>
    <w:rsid w:val="001F34F3"/>
    <w:rsid w:val="001F34F5"/>
    <w:rsid w:val="001F3510"/>
    <w:rsid w:val="001F3545"/>
    <w:rsid w:val="001F354F"/>
    <w:rsid w:val="001F3574"/>
    <w:rsid w:val="001F359B"/>
    <w:rsid w:val="001F35A7"/>
    <w:rsid w:val="001F35EA"/>
    <w:rsid w:val="001F35F1"/>
    <w:rsid w:val="001F3602"/>
    <w:rsid w:val="001F3610"/>
    <w:rsid w:val="001F366A"/>
    <w:rsid w:val="001F368C"/>
    <w:rsid w:val="001F36A7"/>
    <w:rsid w:val="001F36C5"/>
    <w:rsid w:val="001F36DE"/>
    <w:rsid w:val="001F36F3"/>
    <w:rsid w:val="001F36FC"/>
    <w:rsid w:val="001F3718"/>
    <w:rsid w:val="001F372A"/>
    <w:rsid w:val="001F372C"/>
    <w:rsid w:val="001F375F"/>
    <w:rsid w:val="001F3786"/>
    <w:rsid w:val="001F37A4"/>
    <w:rsid w:val="001F37D0"/>
    <w:rsid w:val="001F37F6"/>
    <w:rsid w:val="001F3842"/>
    <w:rsid w:val="001F3858"/>
    <w:rsid w:val="001F3877"/>
    <w:rsid w:val="001F3879"/>
    <w:rsid w:val="001F388C"/>
    <w:rsid w:val="001F3898"/>
    <w:rsid w:val="001F38C6"/>
    <w:rsid w:val="001F38C9"/>
    <w:rsid w:val="001F3952"/>
    <w:rsid w:val="001F396A"/>
    <w:rsid w:val="001F3987"/>
    <w:rsid w:val="001F3996"/>
    <w:rsid w:val="001F39A7"/>
    <w:rsid w:val="001F39AD"/>
    <w:rsid w:val="001F39C3"/>
    <w:rsid w:val="001F39C8"/>
    <w:rsid w:val="001F39DE"/>
    <w:rsid w:val="001F3A2B"/>
    <w:rsid w:val="001F3A56"/>
    <w:rsid w:val="001F3A5E"/>
    <w:rsid w:val="001F3A8F"/>
    <w:rsid w:val="001F3A9C"/>
    <w:rsid w:val="001F3AAE"/>
    <w:rsid w:val="001F3AAF"/>
    <w:rsid w:val="001F3AC3"/>
    <w:rsid w:val="001F3ACE"/>
    <w:rsid w:val="001F3AF5"/>
    <w:rsid w:val="001F3B29"/>
    <w:rsid w:val="001F3B2D"/>
    <w:rsid w:val="001F3B63"/>
    <w:rsid w:val="001F3B70"/>
    <w:rsid w:val="001F3BD5"/>
    <w:rsid w:val="001F3BE6"/>
    <w:rsid w:val="001F3BFF"/>
    <w:rsid w:val="001F3C04"/>
    <w:rsid w:val="001F3C1D"/>
    <w:rsid w:val="001F3C5C"/>
    <w:rsid w:val="001F3CAD"/>
    <w:rsid w:val="001F3CD4"/>
    <w:rsid w:val="001F3CE9"/>
    <w:rsid w:val="001F3D15"/>
    <w:rsid w:val="001F3D1A"/>
    <w:rsid w:val="001F3D5D"/>
    <w:rsid w:val="001F3D70"/>
    <w:rsid w:val="001F3D71"/>
    <w:rsid w:val="001F3D8E"/>
    <w:rsid w:val="001F3DBC"/>
    <w:rsid w:val="001F3E43"/>
    <w:rsid w:val="001F3E62"/>
    <w:rsid w:val="001F3E83"/>
    <w:rsid w:val="001F3E85"/>
    <w:rsid w:val="001F3EA3"/>
    <w:rsid w:val="001F3EC8"/>
    <w:rsid w:val="001F3ED4"/>
    <w:rsid w:val="001F3EF9"/>
    <w:rsid w:val="001F3F71"/>
    <w:rsid w:val="001F3F78"/>
    <w:rsid w:val="001F3F7F"/>
    <w:rsid w:val="001F3F80"/>
    <w:rsid w:val="001F3FBD"/>
    <w:rsid w:val="001F3FDC"/>
    <w:rsid w:val="001F401B"/>
    <w:rsid w:val="001F4047"/>
    <w:rsid w:val="001F4095"/>
    <w:rsid w:val="001F4098"/>
    <w:rsid w:val="001F411E"/>
    <w:rsid w:val="001F4139"/>
    <w:rsid w:val="001F4145"/>
    <w:rsid w:val="001F4163"/>
    <w:rsid w:val="001F41EF"/>
    <w:rsid w:val="001F421F"/>
    <w:rsid w:val="001F422B"/>
    <w:rsid w:val="001F423E"/>
    <w:rsid w:val="001F428A"/>
    <w:rsid w:val="001F429F"/>
    <w:rsid w:val="001F42AC"/>
    <w:rsid w:val="001F42B4"/>
    <w:rsid w:val="001F4306"/>
    <w:rsid w:val="001F433E"/>
    <w:rsid w:val="001F4369"/>
    <w:rsid w:val="001F436D"/>
    <w:rsid w:val="001F4382"/>
    <w:rsid w:val="001F43DF"/>
    <w:rsid w:val="001F43FB"/>
    <w:rsid w:val="001F4403"/>
    <w:rsid w:val="001F440A"/>
    <w:rsid w:val="001F4411"/>
    <w:rsid w:val="001F4431"/>
    <w:rsid w:val="001F4455"/>
    <w:rsid w:val="001F4467"/>
    <w:rsid w:val="001F4483"/>
    <w:rsid w:val="001F4495"/>
    <w:rsid w:val="001F44CA"/>
    <w:rsid w:val="001F452B"/>
    <w:rsid w:val="001F4555"/>
    <w:rsid w:val="001F4568"/>
    <w:rsid w:val="001F45A0"/>
    <w:rsid w:val="001F45B3"/>
    <w:rsid w:val="001F45E9"/>
    <w:rsid w:val="001F45FD"/>
    <w:rsid w:val="001F4608"/>
    <w:rsid w:val="001F4651"/>
    <w:rsid w:val="001F46AD"/>
    <w:rsid w:val="001F46D1"/>
    <w:rsid w:val="001F46E4"/>
    <w:rsid w:val="001F46F1"/>
    <w:rsid w:val="001F471C"/>
    <w:rsid w:val="001F4722"/>
    <w:rsid w:val="001F4764"/>
    <w:rsid w:val="001F479C"/>
    <w:rsid w:val="001F47BC"/>
    <w:rsid w:val="001F47D0"/>
    <w:rsid w:val="001F482B"/>
    <w:rsid w:val="001F483D"/>
    <w:rsid w:val="001F483F"/>
    <w:rsid w:val="001F4867"/>
    <w:rsid w:val="001F4895"/>
    <w:rsid w:val="001F48C6"/>
    <w:rsid w:val="001F4905"/>
    <w:rsid w:val="001F492A"/>
    <w:rsid w:val="001F498B"/>
    <w:rsid w:val="001F49C2"/>
    <w:rsid w:val="001F49F3"/>
    <w:rsid w:val="001F4A07"/>
    <w:rsid w:val="001F4A2E"/>
    <w:rsid w:val="001F4A36"/>
    <w:rsid w:val="001F4A71"/>
    <w:rsid w:val="001F4ABE"/>
    <w:rsid w:val="001F4ACB"/>
    <w:rsid w:val="001F4ACE"/>
    <w:rsid w:val="001F4B1D"/>
    <w:rsid w:val="001F4B25"/>
    <w:rsid w:val="001F4B30"/>
    <w:rsid w:val="001F4B48"/>
    <w:rsid w:val="001F4B6C"/>
    <w:rsid w:val="001F4B7D"/>
    <w:rsid w:val="001F4BE0"/>
    <w:rsid w:val="001F4BEB"/>
    <w:rsid w:val="001F4BEC"/>
    <w:rsid w:val="001F4C3E"/>
    <w:rsid w:val="001F4C41"/>
    <w:rsid w:val="001F4C7C"/>
    <w:rsid w:val="001F4C7D"/>
    <w:rsid w:val="001F4C91"/>
    <w:rsid w:val="001F4C98"/>
    <w:rsid w:val="001F4D11"/>
    <w:rsid w:val="001F4D18"/>
    <w:rsid w:val="001F4D3E"/>
    <w:rsid w:val="001F4D45"/>
    <w:rsid w:val="001F4D4B"/>
    <w:rsid w:val="001F4D78"/>
    <w:rsid w:val="001F4D96"/>
    <w:rsid w:val="001F4DB9"/>
    <w:rsid w:val="001F4DBC"/>
    <w:rsid w:val="001F4DD6"/>
    <w:rsid w:val="001F4DE3"/>
    <w:rsid w:val="001F4E47"/>
    <w:rsid w:val="001F4EAF"/>
    <w:rsid w:val="001F4ECD"/>
    <w:rsid w:val="001F4EDB"/>
    <w:rsid w:val="001F4EE7"/>
    <w:rsid w:val="001F4F2E"/>
    <w:rsid w:val="001F4F36"/>
    <w:rsid w:val="001F4F47"/>
    <w:rsid w:val="001F4F4A"/>
    <w:rsid w:val="001F508D"/>
    <w:rsid w:val="001F50A3"/>
    <w:rsid w:val="001F5117"/>
    <w:rsid w:val="001F5129"/>
    <w:rsid w:val="001F5199"/>
    <w:rsid w:val="001F51F6"/>
    <w:rsid w:val="001F51FF"/>
    <w:rsid w:val="001F5211"/>
    <w:rsid w:val="001F5263"/>
    <w:rsid w:val="001F5273"/>
    <w:rsid w:val="001F5289"/>
    <w:rsid w:val="001F52AE"/>
    <w:rsid w:val="001F52C9"/>
    <w:rsid w:val="001F5331"/>
    <w:rsid w:val="001F536F"/>
    <w:rsid w:val="001F5389"/>
    <w:rsid w:val="001F5399"/>
    <w:rsid w:val="001F53A6"/>
    <w:rsid w:val="001F53B5"/>
    <w:rsid w:val="001F53E1"/>
    <w:rsid w:val="001F53FC"/>
    <w:rsid w:val="001F540C"/>
    <w:rsid w:val="001F546D"/>
    <w:rsid w:val="001F548F"/>
    <w:rsid w:val="001F54DF"/>
    <w:rsid w:val="001F54EB"/>
    <w:rsid w:val="001F54F0"/>
    <w:rsid w:val="001F551E"/>
    <w:rsid w:val="001F552D"/>
    <w:rsid w:val="001F5533"/>
    <w:rsid w:val="001F553D"/>
    <w:rsid w:val="001F5599"/>
    <w:rsid w:val="001F5603"/>
    <w:rsid w:val="001F5680"/>
    <w:rsid w:val="001F56FC"/>
    <w:rsid w:val="001F573A"/>
    <w:rsid w:val="001F5752"/>
    <w:rsid w:val="001F575C"/>
    <w:rsid w:val="001F5774"/>
    <w:rsid w:val="001F57AB"/>
    <w:rsid w:val="001F57B8"/>
    <w:rsid w:val="001F57E0"/>
    <w:rsid w:val="001F57EC"/>
    <w:rsid w:val="001F5845"/>
    <w:rsid w:val="001F5851"/>
    <w:rsid w:val="001F5858"/>
    <w:rsid w:val="001F58F3"/>
    <w:rsid w:val="001F58F4"/>
    <w:rsid w:val="001F591A"/>
    <w:rsid w:val="001F597F"/>
    <w:rsid w:val="001F59AA"/>
    <w:rsid w:val="001F59BA"/>
    <w:rsid w:val="001F59C4"/>
    <w:rsid w:val="001F59F6"/>
    <w:rsid w:val="001F59F9"/>
    <w:rsid w:val="001F5A12"/>
    <w:rsid w:val="001F5A41"/>
    <w:rsid w:val="001F5A44"/>
    <w:rsid w:val="001F5A4F"/>
    <w:rsid w:val="001F5A7A"/>
    <w:rsid w:val="001F5ADA"/>
    <w:rsid w:val="001F5AF5"/>
    <w:rsid w:val="001F5B15"/>
    <w:rsid w:val="001F5B4B"/>
    <w:rsid w:val="001F5B4D"/>
    <w:rsid w:val="001F5B61"/>
    <w:rsid w:val="001F5B6B"/>
    <w:rsid w:val="001F5B7B"/>
    <w:rsid w:val="001F5B7C"/>
    <w:rsid w:val="001F5BBF"/>
    <w:rsid w:val="001F5BD1"/>
    <w:rsid w:val="001F5BE2"/>
    <w:rsid w:val="001F5BFE"/>
    <w:rsid w:val="001F5C9A"/>
    <w:rsid w:val="001F5CF0"/>
    <w:rsid w:val="001F5CF3"/>
    <w:rsid w:val="001F5D31"/>
    <w:rsid w:val="001F5D49"/>
    <w:rsid w:val="001F5D66"/>
    <w:rsid w:val="001F5DC3"/>
    <w:rsid w:val="001F5E17"/>
    <w:rsid w:val="001F5E30"/>
    <w:rsid w:val="001F5E47"/>
    <w:rsid w:val="001F5E4D"/>
    <w:rsid w:val="001F5E7D"/>
    <w:rsid w:val="001F5EA4"/>
    <w:rsid w:val="001F5EF4"/>
    <w:rsid w:val="001F5EF9"/>
    <w:rsid w:val="001F5F03"/>
    <w:rsid w:val="001F5F40"/>
    <w:rsid w:val="001F5F67"/>
    <w:rsid w:val="001F5F6F"/>
    <w:rsid w:val="001F5FAE"/>
    <w:rsid w:val="001F5FAF"/>
    <w:rsid w:val="001F5FD6"/>
    <w:rsid w:val="001F5FE1"/>
    <w:rsid w:val="001F5FEE"/>
    <w:rsid w:val="001F5FFC"/>
    <w:rsid w:val="001F6035"/>
    <w:rsid w:val="001F604D"/>
    <w:rsid w:val="001F6068"/>
    <w:rsid w:val="001F606E"/>
    <w:rsid w:val="001F6083"/>
    <w:rsid w:val="001F6147"/>
    <w:rsid w:val="001F619D"/>
    <w:rsid w:val="001F61C0"/>
    <w:rsid w:val="001F61C5"/>
    <w:rsid w:val="001F6240"/>
    <w:rsid w:val="001F626E"/>
    <w:rsid w:val="001F62CF"/>
    <w:rsid w:val="001F6305"/>
    <w:rsid w:val="001F6309"/>
    <w:rsid w:val="001F632E"/>
    <w:rsid w:val="001F633D"/>
    <w:rsid w:val="001F6381"/>
    <w:rsid w:val="001F639D"/>
    <w:rsid w:val="001F63E6"/>
    <w:rsid w:val="001F63FD"/>
    <w:rsid w:val="001F641B"/>
    <w:rsid w:val="001F6423"/>
    <w:rsid w:val="001F642F"/>
    <w:rsid w:val="001F643D"/>
    <w:rsid w:val="001F6445"/>
    <w:rsid w:val="001F648A"/>
    <w:rsid w:val="001F6499"/>
    <w:rsid w:val="001F64C1"/>
    <w:rsid w:val="001F64DE"/>
    <w:rsid w:val="001F64FB"/>
    <w:rsid w:val="001F65AB"/>
    <w:rsid w:val="001F65CA"/>
    <w:rsid w:val="001F6621"/>
    <w:rsid w:val="001F6624"/>
    <w:rsid w:val="001F6626"/>
    <w:rsid w:val="001F664C"/>
    <w:rsid w:val="001F6692"/>
    <w:rsid w:val="001F66BF"/>
    <w:rsid w:val="001F6715"/>
    <w:rsid w:val="001F67A4"/>
    <w:rsid w:val="001F67F0"/>
    <w:rsid w:val="001F6803"/>
    <w:rsid w:val="001F6846"/>
    <w:rsid w:val="001F687C"/>
    <w:rsid w:val="001F68CB"/>
    <w:rsid w:val="001F68DD"/>
    <w:rsid w:val="001F68EB"/>
    <w:rsid w:val="001F68FE"/>
    <w:rsid w:val="001F6914"/>
    <w:rsid w:val="001F6959"/>
    <w:rsid w:val="001F6965"/>
    <w:rsid w:val="001F6986"/>
    <w:rsid w:val="001F69B6"/>
    <w:rsid w:val="001F69FB"/>
    <w:rsid w:val="001F6A55"/>
    <w:rsid w:val="001F6A64"/>
    <w:rsid w:val="001F6A95"/>
    <w:rsid w:val="001F6AA4"/>
    <w:rsid w:val="001F6AE6"/>
    <w:rsid w:val="001F6B1F"/>
    <w:rsid w:val="001F6B22"/>
    <w:rsid w:val="001F6B32"/>
    <w:rsid w:val="001F6B8E"/>
    <w:rsid w:val="001F6BBC"/>
    <w:rsid w:val="001F6C79"/>
    <w:rsid w:val="001F6CB9"/>
    <w:rsid w:val="001F6CD5"/>
    <w:rsid w:val="001F6CDA"/>
    <w:rsid w:val="001F6CE3"/>
    <w:rsid w:val="001F6CF8"/>
    <w:rsid w:val="001F6D26"/>
    <w:rsid w:val="001F6D3C"/>
    <w:rsid w:val="001F6D4F"/>
    <w:rsid w:val="001F6D75"/>
    <w:rsid w:val="001F6D9C"/>
    <w:rsid w:val="001F6DDE"/>
    <w:rsid w:val="001F6E0E"/>
    <w:rsid w:val="001F6E22"/>
    <w:rsid w:val="001F6E63"/>
    <w:rsid w:val="001F6E9F"/>
    <w:rsid w:val="001F6EA3"/>
    <w:rsid w:val="001F6EC3"/>
    <w:rsid w:val="001F6ECC"/>
    <w:rsid w:val="001F6EE7"/>
    <w:rsid w:val="001F6F1F"/>
    <w:rsid w:val="001F6F40"/>
    <w:rsid w:val="001F6F46"/>
    <w:rsid w:val="001F6FB3"/>
    <w:rsid w:val="001F6FC3"/>
    <w:rsid w:val="001F6FE2"/>
    <w:rsid w:val="001F7013"/>
    <w:rsid w:val="001F703E"/>
    <w:rsid w:val="001F7081"/>
    <w:rsid w:val="001F7091"/>
    <w:rsid w:val="001F70C7"/>
    <w:rsid w:val="001F70C9"/>
    <w:rsid w:val="001F70E3"/>
    <w:rsid w:val="001F70E5"/>
    <w:rsid w:val="001F7104"/>
    <w:rsid w:val="001F7146"/>
    <w:rsid w:val="001F71FA"/>
    <w:rsid w:val="001F7236"/>
    <w:rsid w:val="001F7265"/>
    <w:rsid w:val="001F7277"/>
    <w:rsid w:val="001F727E"/>
    <w:rsid w:val="001F7297"/>
    <w:rsid w:val="001F72A4"/>
    <w:rsid w:val="001F72B7"/>
    <w:rsid w:val="001F72C8"/>
    <w:rsid w:val="001F72CB"/>
    <w:rsid w:val="001F731E"/>
    <w:rsid w:val="001F7336"/>
    <w:rsid w:val="001F735F"/>
    <w:rsid w:val="001F7370"/>
    <w:rsid w:val="001F73B3"/>
    <w:rsid w:val="001F73C8"/>
    <w:rsid w:val="001F742F"/>
    <w:rsid w:val="001F745F"/>
    <w:rsid w:val="001F74D4"/>
    <w:rsid w:val="001F7508"/>
    <w:rsid w:val="001F753A"/>
    <w:rsid w:val="001F7554"/>
    <w:rsid w:val="001F758A"/>
    <w:rsid w:val="001F75BC"/>
    <w:rsid w:val="001F760D"/>
    <w:rsid w:val="001F7618"/>
    <w:rsid w:val="001F763D"/>
    <w:rsid w:val="001F7691"/>
    <w:rsid w:val="001F76AC"/>
    <w:rsid w:val="001F76E1"/>
    <w:rsid w:val="001F76FB"/>
    <w:rsid w:val="001F7737"/>
    <w:rsid w:val="001F7752"/>
    <w:rsid w:val="001F7758"/>
    <w:rsid w:val="001F7774"/>
    <w:rsid w:val="001F7789"/>
    <w:rsid w:val="001F77C1"/>
    <w:rsid w:val="001F77D5"/>
    <w:rsid w:val="001F788F"/>
    <w:rsid w:val="001F78A4"/>
    <w:rsid w:val="001F78B3"/>
    <w:rsid w:val="001F791F"/>
    <w:rsid w:val="001F7942"/>
    <w:rsid w:val="001F796F"/>
    <w:rsid w:val="001F7974"/>
    <w:rsid w:val="001F7987"/>
    <w:rsid w:val="001F79A9"/>
    <w:rsid w:val="001F79B2"/>
    <w:rsid w:val="001F79CE"/>
    <w:rsid w:val="001F7A3C"/>
    <w:rsid w:val="001F7A4B"/>
    <w:rsid w:val="001F7A89"/>
    <w:rsid w:val="001F7A8D"/>
    <w:rsid w:val="001F7B15"/>
    <w:rsid w:val="001F7B4C"/>
    <w:rsid w:val="001F7B97"/>
    <w:rsid w:val="001F7B9A"/>
    <w:rsid w:val="001F7BB6"/>
    <w:rsid w:val="001F7BD8"/>
    <w:rsid w:val="001F7BE5"/>
    <w:rsid w:val="001F7C95"/>
    <w:rsid w:val="001F7CB1"/>
    <w:rsid w:val="001F7CD6"/>
    <w:rsid w:val="001F7D55"/>
    <w:rsid w:val="001F7D92"/>
    <w:rsid w:val="001F7DDD"/>
    <w:rsid w:val="001F7DF7"/>
    <w:rsid w:val="001F7E2A"/>
    <w:rsid w:val="001F7E49"/>
    <w:rsid w:val="001F7E54"/>
    <w:rsid w:val="001F7E6E"/>
    <w:rsid w:val="001F7EA7"/>
    <w:rsid w:val="001F7F4A"/>
    <w:rsid w:val="001F7F5F"/>
    <w:rsid w:val="001F7FAA"/>
    <w:rsid w:val="001F7FB2"/>
    <w:rsid w:val="00200041"/>
    <w:rsid w:val="0020005C"/>
    <w:rsid w:val="00200071"/>
    <w:rsid w:val="00200081"/>
    <w:rsid w:val="002000C3"/>
    <w:rsid w:val="00200131"/>
    <w:rsid w:val="00200150"/>
    <w:rsid w:val="00200175"/>
    <w:rsid w:val="0020019A"/>
    <w:rsid w:val="002001A7"/>
    <w:rsid w:val="002001B8"/>
    <w:rsid w:val="002001BE"/>
    <w:rsid w:val="002001C3"/>
    <w:rsid w:val="0020020D"/>
    <w:rsid w:val="00200213"/>
    <w:rsid w:val="00200216"/>
    <w:rsid w:val="00200234"/>
    <w:rsid w:val="00200272"/>
    <w:rsid w:val="00200292"/>
    <w:rsid w:val="0020029D"/>
    <w:rsid w:val="002002AC"/>
    <w:rsid w:val="002002CC"/>
    <w:rsid w:val="002002D9"/>
    <w:rsid w:val="002002F0"/>
    <w:rsid w:val="0020030C"/>
    <w:rsid w:val="00200320"/>
    <w:rsid w:val="00200399"/>
    <w:rsid w:val="002003C5"/>
    <w:rsid w:val="002003C8"/>
    <w:rsid w:val="002003D4"/>
    <w:rsid w:val="0020041A"/>
    <w:rsid w:val="00200430"/>
    <w:rsid w:val="00200465"/>
    <w:rsid w:val="00200503"/>
    <w:rsid w:val="00200520"/>
    <w:rsid w:val="00200530"/>
    <w:rsid w:val="00200533"/>
    <w:rsid w:val="0020053A"/>
    <w:rsid w:val="00200569"/>
    <w:rsid w:val="0020058F"/>
    <w:rsid w:val="002005FE"/>
    <w:rsid w:val="0020061E"/>
    <w:rsid w:val="00200629"/>
    <w:rsid w:val="0020062B"/>
    <w:rsid w:val="002006A6"/>
    <w:rsid w:val="002006C1"/>
    <w:rsid w:val="002006CF"/>
    <w:rsid w:val="002006D3"/>
    <w:rsid w:val="002006D4"/>
    <w:rsid w:val="0020074B"/>
    <w:rsid w:val="0020076E"/>
    <w:rsid w:val="00200790"/>
    <w:rsid w:val="002007A2"/>
    <w:rsid w:val="002007B5"/>
    <w:rsid w:val="0020083C"/>
    <w:rsid w:val="00200847"/>
    <w:rsid w:val="00200873"/>
    <w:rsid w:val="0020089A"/>
    <w:rsid w:val="002008F0"/>
    <w:rsid w:val="002008F7"/>
    <w:rsid w:val="00200905"/>
    <w:rsid w:val="0020095C"/>
    <w:rsid w:val="0020096A"/>
    <w:rsid w:val="002009B8"/>
    <w:rsid w:val="002009D0"/>
    <w:rsid w:val="002009E5"/>
    <w:rsid w:val="00200A15"/>
    <w:rsid w:val="00200A36"/>
    <w:rsid w:val="00200A4C"/>
    <w:rsid w:val="00200A7D"/>
    <w:rsid w:val="00200A80"/>
    <w:rsid w:val="00200A9E"/>
    <w:rsid w:val="00200AF6"/>
    <w:rsid w:val="00200B0A"/>
    <w:rsid w:val="00200B2F"/>
    <w:rsid w:val="00200B6B"/>
    <w:rsid w:val="00200BA2"/>
    <w:rsid w:val="00200BD5"/>
    <w:rsid w:val="00200BDC"/>
    <w:rsid w:val="00200BFF"/>
    <w:rsid w:val="00200C37"/>
    <w:rsid w:val="00200C46"/>
    <w:rsid w:val="00200C60"/>
    <w:rsid w:val="00200CDD"/>
    <w:rsid w:val="00200D38"/>
    <w:rsid w:val="00200D5E"/>
    <w:rsid w:val="00200D68"/>
    <w:rsid w:val="00200D81"/>
    <w:rsid w:val="00200DEC"/>
    <w:rsid w:val="00200E27"/>
    <w:rsid w:val="00200EB3"/>
    <w:rsid w:val="00200ED9"/>
    <w:rsid w:val="00200EE7"/>
    <w:rsid w:val="00200EE8"/>
    <w:rsid w:val="00200F03"/>
    <w:rsid w:val="00200F0E"/>
    <w:rsid w:val="00200F10"/>
    <w:rsid w:val="00200F76"/>
    <w:rsid w:val="00200F83"/>
    <w:rsid w:val="00200FBB"/>
    <w:rsid w:val="00201002"/>
    <w:rsid w:val="00201017"/>
    <w:rsid w:val="00201024"/>
    <w:rsid w:val="00201035"/>
    <w:rsid w:val="00201046"/>
    <w:rsid w:val="0020105C"/>
    <w:rsid w:val="002010AA"/>
    <w:rsid w:val="002010DE"/>
    <w:rsid w:val="002010EB"/>
    <w:rsid w:val="002010F4"/>
    <w:rsid w:val="00201102"/>
    <w:rsid w:val="00201108"/>
    <w:rsid w:val="00201114"/>
    <w:rsid w:val="00201156"/>
    <w:rsid w:val="002011BE"/>
    <w:rsid w:val="00201207"/>
    <w:rsid w:val="0020125C"/>
    <w:rsid w:val="0020125D"/>
    <w:rsid w:val="0020129A"/>
    <w:rsid w:val="002012FE"/>
    <w:rsid w:val="0020130C"/>
    <w:rsid w:val="00201332"/>
    <w:rsid w:val="0020135A"/>
    <w:rsid w:val="0020136F"/>
    <w:rsid w:val="0020137F"/>
    <w:rsid w:val="002013A3"/>
    <w:rsid w:val="00201425"/>
    <w:rsid w:val="0020142C"/>
    <w:rsid w:val="00201441"/>
    <w:rsid w:val="0020148B"/>
    <w:rsid w:val="002014B9"/>
    <w:rsid w:val="002014DF"/>
    <w:rsid w:val="00201501"/>
    <w:rsid w:val="00201512"/>
    <w:rsid w:val="0020152A"/>
    <w:rsid w:val="00201556"/>
    <w:rsid w:val="002015BF"/>
    <w:rsid w:val="002015FE"/>
    <w:rsid w:val="00201675"/>
    <w:rsid w:val="00201695"/>
    <w:rsid w:val="00201698"/>
    <w:rsid w:val="002016A9"/>
    <w:rsid w:val="002016BC"/>
    <w:rsid w:val="0020174A"/>
    <w:rsid w:val="00201761"/>
    <w:rsid w:val="002017D1"/>
    <w:rsid w:val="00201823"/>
    <w:rsid w:val="00201829"/>
    <w:rsid w:val="00201830"/>
    <w:rsid w:val="00201836"/>
    <w:rsid w:val="0020188C"/>
    <w:rsid w:val="0020188E"/>
    <w:rsid w:val="0020188F"/>
    <w:rsid w:val="002018BD"/>
    <w:rsid w:val="002018E1"/>
    <w:rsid w:val="002018FD"/>
    <w:rsid w:val="00201909"/>
    <w:rsid w:val="0020192F"/>
    <w:rsid w:val="0020193C"/>
    <w:rsid w:val="00201946"/>
    <w:rsid w:val="00201996"/>
    <w:rsid w:val="002019EE"/>
    <w:rsid w:val="00201A93"/>
    <w:rsid w:val="00201AC0"/>
    <w:rsid w:val="00201AE3"/>
    <w:rsid w:val="00201B0E"/>
    <w:rsid w:val="00201B2B"/>
    <w:rsid w:val="00201B30"/>
    <w:rsid w:val="00201B9A"/>
    <w:rsid w:val="00201BB4"/>
    <w:rsid w:val="00201BD6"/>
    <w:rsid w:val="00201BDE"/>
    <w:rsid w:val="00201BF7"/>
    <w:rsid w:val="00201C0A"/>
    <w:rsid w:val="00201C17"/>
    <w:rsid w:val="00201C20"/>
    <w:rsid w:val="00201C2C"/>
    <w:rsid w:val="00201C47"/>
    <w:rsid w:val="00201C94"/>
    <w:rsid w:val="00201C9D"/>
    <w:rsid w:val="00201D03"/>
    <w:rsid w:val="00201D24"/>
    <w:rsid w:val="00201D76"/>
    <w:rsid w:val="00201D9D"/>
    <w:rsid w:val="00201DF1"/>
    <w:rsid w:val="00201DF2"/>
    <w:rsid w:val="00201E0C"/>
    <w:rsid w:val="00201E1D"/>
    <w:rsid w:val="00201E30"/>
    <w:rsid w:val="00201E54"/>
    <w:rsid w:val="00201E79"/>
    <w:rsid w:val="00201E92"/>
    <w:rsid w:val="00201EA1"/>
    <w:rsid w:val="00201EA7"/>
    <w:rsid w:val="00201EAB"/>
    <w:rsid w:val="00201EE8"/>
    <w:rsid w:val="00201EF9"/>
    <w:rsid w:val="00201F21"/>
    <w:rsid w:val="00201F2F"/>
    <w:rsid w:val="00201F43"/>
    <w:rsid w:val="00201FB0"/>
    <w:rsid w:val="00201FBE"/>
    <w:rsid w:val="00201FC9"/>
    <w:rsid w:val="0020201A"/>
    <w:rsid w:val="00202026"/>
    <w:rsid w:val="0020202B"/>
    <w:rsid w:val="0020202C"/>
    <w:rsid w:val="00202058"/>
    <w:rsid w:val="00202068"/>
    <w:rsid w:val="00202074"/>
    <w:rsid w:val="0020207D"/>
    <w:rsid w:val="00202092"/>
    <w:rsid w:val="00202099"/>
    <w:rsid w:val="002020B3"/>
    <w:rsid w:val="002020D1"/>
    <w:rsid w:val="00202104"/>
    <w:rsid w:val="0020211E"/>
    <w:rsid w:val="0020214C"/>
    <w:rsid w:val="0020215D"/>
    <w:rsid w:val="0020215E"/>
    <w:rsid w:val="00202165"/>
    <w:rsid w:val="00202178"/>
    <w:rsid w:val="0020218D"/>
    <w:rsid w:val="002021A3"/>
    <w:rsid w:val="002021E4"/>
    <w:rsid w:val="0020221A"/>
    <w:rsid w:val="00202226"/>
    <w:rsid w:val="00202274"/>
    <w:rsid w:val="00202276"/>
    <w:rsid w:val="002022C3"/>
    <w:rsid w:val="002022CB"/>
    <w:rsid w:val="002022D1"/>
    <w:rsid w:val="00202302"/>
    <w:rsid w:val="0020230E"/>
    <w:rsid w:val="0020232C"/>
    <w:rsid w:val="0020233F"/>
    <w:rsid w:val="00202375"/>
    <w:rsid w:val="002023BA"/>
    <w:rsid w:val="00202430"/>
    <w:rsid w:val="00202436"/>
    <w:rsid w:val="00202443"/>
    <w:rsid w:val="00202452"/>
    <w:rsid w:val="0020246C"/>
    <w:rsid w:val="0020247E"/>
    <w:rsid w:val="00202491"/>
    <w:rsid w:val="002024A9"/>
    <w:rsid w:val="002024AE"/>
    <w:rsid w:val="002024DB"/>
    <w:rsid w:val="002024EF"/>
    <w:rsid w:val="00202537"/>
    <w:rsid w:val="00202543"/>
    <w:rsid w:val="0020255A"/>
    <w:rsid w:val="002025A7"/>
    <w:rsid w:val="002025E5"/>
    <w:rsid w:val="0020260E"/>
    <w:rsid w:val="0020263E"/>
    <w:rsid w:val="00202666"/>
    <w:rsid w:val="00202667"/>
    <w:rsid w:val="00202681"/>
    <w:rsid w:val="00202689"/>
    <w:rsid w:val="002026A4"/>
    <w:rsid w:val="002026A6"/>
    <w:rsid w:val="002026B0"/>
    <w:rsid w:val="002026E8"/>
    <w:rsid w:val="00202706"/>
    <w:rsid w:val="0020271B"/>
    <w:rsid w:val="0020272C"/>
    <w:rsid w:val="0020285B"/>
    <w:rsid w:val="0020287D"/>
    <w:rsid w:val="002028D4"/>
    <w:rsid w:val="0020290D"/>
    <w:rsid w:val="00202997"/>
    <w:rsid w:val="002029A2"/>
    <w:rsid w:val="002029C6"/>
    <w:rsid w:val="00202A29"/>
    <w:rsid w:val="00202A3B"/>
    <w:rsid w:val="00202A80"/>
    <w:rsid w:val="00202AA5"/>
    <w:rsid w:val="00202AB6"/>
    <w:rsid w:val="00202AC2"/>
    <w:rsid w:val="00202AE9"/>
    <w:rsid w:val="00202B03"/>
    <w:rsid w:val="00202B3B"/>
    <w:rsid w:val="00202BA0"/>
    <w:rsid w:val="00202BCB"/>
    <w:rsid w:val="00202BE7"/>
    <w:rsid w:val="00202C4D"/>
    <w:rsid w:val="00202C4F"/>
    <w:rsid w:val="00202D0C"/>
    <w:rsid w:val="00202D2B"/>
    <w:rsid w:val="00202D4B"/>
    <w:rsid w:val="00202D6F"/>
    <w:rsid w:val="00202D70"/>
    <w:rsid w:val="00202D80"/>
    <w:rsid w:val="00202D9E"/>
    <w:rsid w:val="00202DA2"/>
    <w:rsid w:val="00202DF0"/>
    <w:rsid w:val="00202E01"/>
    <w:rsid w:val="00202E4B"/>
    <w:rsid w:val="00202E59"/>
    <w:rsid w:val="00202E71"/>
    <w:rsid w:val="00202EB7"/>
    <w:rsid w:val="00202F15"/>
    <w:rsid w:val="00202F18"/>
    <w:rsid w:val="00202F1B"/>
    <w:rsid w:val="00202F36"/>
    <w:rsid w:val="00202F51"/>
    <w:rsid w:val="00202F5C"/>
    <w:rsid w:val="00203036"/>
    <w:rsid w:val="0020306E"/>
    <w:rsid w:val="00203087"/>
    <w:rsid w:val="002030A9"/>
    <w:rsid w:val="002030D3"/>
    <w:rsid w:val="002030E4"/>
    <w:rsid w:val="00203157"/>
    <w:rsid w:val="00203164"/>
    <w:rsid w:val="002031C3"/>
    <w:rsid w:val="002031ED"/>
    <w:rsid w:val="002031F8"/>
    <w:rsid w:val="00203204"/>
    <w:rsid w:val="0020320C"/>
    <w:rsid w:val="00203240"/>
    <w:rsid w:val="002032CA"/>
    <w:rsid w:val="002032E7"/>
    <w:rsid w:val="002032E9"/>
    <w:rsid w:val="002032FB"/>
    <w:rsid w:val="00203321"/>
    <w:rsid w:val="0020332E"/>
    <w:rsid w:val="00203357"/>
    <w:rsid w:val="00203381"/>
    <w:rsid w:val="0020339C"/>
    <w:rsid w:val="002033B4"/>
    <w:rsid w:val="002033DA"/>
    <w:rsid w:val="002033EF"/>
    <w:rsid w:val="0020340F"/>
    <w:rsid w:val="00203428"/>
    <w:rsid w:val="002034E7"/>
    <w:rsid w:val="002034EB"/>
    <w:rsid w:val="002034F4"/>
    <w:rsid w:val="00203542"/>
    <w:rsid w:val="00203557"/>
    <w:rsid w:val="00203568"/>
    <w:rsid w:val="002035B1"/>
    <w:rsid w:val="002035B5"/>
    <w:rsid w:val="002035D6"/>
    <w:rsid w:val="00203624"/>
    <w:rsid w:val="0020362D"/>
    <w:rsid w:val="0020363E"/>
    <w:rsid w:val="0020367C"/>
    <w:rsid w:val="0020369C"/>
    <w:rsid w:val="002036A3"/>
    <w:rsid w:val="002036B5"/>
    <w:rsid w:val="00203740"/>
    <w:rsid w:val="0020374E"/>
    <w:rsid w:val="002037AF"/>
    <w:rsid w:val="002037D5"/>
    <w:rsid w:val="002037ED"/>
    <w:rsid w:val="00203811"/>
    <w:rsid w:val="00203831"/>
    <w:rsid w:val="00203859"/>
    <w:rsid w:val="00203869"/>
    <w:rsid w:val="00203874"/>
    <w:rsid w:val="00203884"/>
    <w:rsid w:val="0020389F"/>
    <w:rsid w:val="002038B3"/>
    <w:rsid w:val="002038D9"/>
    <w:rsid w:val="00203935"/>
    <w:rsid w:val="0020394C"/>
    <w:rsid w:val="00203970"/>
    <w:rsid w:val="0020397E"/>
    <w:rsid w:val="00203982"/>
    <w:rsid w:val="002039B2"/>
    <w:rsid w:val="002039B3"/>
    <w:rsid w:val="002039D3"/>
    <w:rsid w:val="00203A03"/>
    <w:rsid w:val="00203A17"/>
    <w:rsid w:val="00203A21"/>
    <w:rsid w:val="00203A45"/>
    <w:rsid w:val="00203A6F"/>
    <w:rsid w:val="00203A8C"/>
    <w:rsid w:val="00203A91"/>
    <w:rsid w:val="00203A9B"/>
    <w:rsid w:val="00203B04"/>
    <w:rsid w:val="00203B4C"/>
    <w:rsid w:val="00203B60"/>
    <w:rsid w:val="00203B89"/>
    <w:rsid w:val="00203BF5"/>
    <w:rsid w:val="00203C7A"/>
    <w:rsid w:val="00203C92"/>
    <w:rsid w:val="00203CF3"/>
    <w:rsid w:val="00203D0A"/>
    <w:rsid w:val="00203D16"/>
    <w:rsid w:val="00203D32"/>
    <w:rsid w:val="00203D7D"/>
    <w:rsid w:val="00203D98"/>
    <w:rsid w:val="00203DCF"/>
    <w:rsid w:val="00203DD4"/>
    <w:rsid w:val="00203E7C"/>
    <w:rsid w:val="00203E7D"/>
    <w:rsid w:val="00203E88"/>
    <w:rsid w:val="00203EA6"/>
    <w:rsid w:val="00203EC4"/>
    <w:rsid w:val="00203ED2"/>
    <w:rsid w:val="00203F12"/>
    <w:rsid w:val="00203F22"/>
    <w:rsid w:val="00203F26"/>
    <w:rsid w:val="00203F62"/>
    <w:rsid w:val="00203FB8"/>
    <w:rsid w:val="00204005"/>
    <w:rsid w:val="0020404C"/>
    <w:rsid w:val="00204083"/>
    <w:rsid w:val="002040EA"/>
    <w:rsid w:val="002040FC"/>
    <w:rsid w:val="00204139"/>
    <w:rsid w:val="00204160"/>
    <w:rsid w:val="00204182"/>
    <w:rsid w:val="002041D8"/>
    <w:rsid w:val="002041F0"/>
    <w:rsid w:val="002041F7"/>
    <w:rsid w:val="00204216"/>
    <w:rsid w:val="00204240"/>
    <w:rsid w:val="00204286"/>
    <w:rsid w:val="00204297"/>
    <w:rsid w:val="002042BD"/>
    <w:rsid w:val="0020430F"/>
    <w:rsid w:val="0020442A"/>
    <w:rsid w:val="0020445C"/>
    <w:rsid w:val="00204471"/>
    <w:rsid w:val="00204492"/>
    <w:rsid w:val="00204494"/>
    <w:rsid w:val="002044A3"/>
    <w:rsid w:val="002044E2"/>
    <w:rsid w:val="002044EC"/>
    <w:rsid w:val="00204500"/>
    <w:rsid w:val="00204529"/>
    <w:rsid w:val="0020459A"/>
    <w:rsid w:val="002045A0"/>
    <w:rsid w:val="002045BD"/>
    <w:rsid w:val="002045D6"/>
    <w:rsid w:val="0020460B"/>
    <w:rsid w:val="00204631"/>
    <w:rsid w:val="0020464F"/>
    <w:rsid w:val="00204678"/>
    <w:rsid w:val="0020467F"/>
    <w:rsid w:val="00204700"/>
    <w:rsid w:val="00204704"/>
    <w:rsid w:val="0020471B"/>
    <w:rsid w:val="00204745"/>
    <w:rsid w:val="002047DC"/>
    <w:rsid w:val="0020488C"/>
    <w:rsid w:val="002048E8"/>
    <w:rsid w:val="002048F5"/>
    <w:rsid w:val="0020490D"/>
    <w:rsid w:val="0020492C"/>
    <w:rsid w:val="00204948"/>
    <w:rsid w:val="0020494A"/>
    <w:rsid w:val="0020497B"/>
    <w:rsid w:val="00204993"/>
    <w:rsid w:val="002049A0"/>
    <w:rsid w:val="002049E5"/>
    <w:rsid w:val="00204A17"/>
    <w:rsid w:val="00204A54"/>
    <w:rsid w:val="00204A87"/>
    <w:rsid w:val="00204AC6"/>
    <w:rsid w:val="00204B02"/>
    <w:rsid w:val="00204B07"/>
    <w:rsid w:val="00204B27"/>
    <w:rsid w:val="00204B4F"/>
    <w:rsid w:val="00204B58"/>
    <w:rsid w:val="00204B72"/>
    <w:rsid w:val="00204B9A"/>
    <w:rsid w:val="00204BA2"/>
    <w:rsid w:val="00204BFC"/>
    <w:rsid w:val="00204C00"/>
    <w:rsid w:val="00204C69"/>
    <w:rsid w:val="00204C72"/>
    <w:rsid w:val="00204C87"/>
    <w:rsid w:val="00204CA7"/>
    <w:rsid w:val="00204CAC"/>
    <w:rsid w:val="00204CC7"/>
    <w:rsid w:val="00204CC9"/>
    <w:rsid w:val="00204CDB"/>
    <w:rsid w:val="00204D14"/>
    <w:rsid w:val="00204D21"/>
    <w:rsid w:val="00204D7D"/>
    <w:rsid w:val="00204D83"/>
    <w:rsid w:val="00204E1D"/>
    <w:rsid w:val="00204E1F"/>
    <w:rsid w:val="00204E8C"/>
    <w:rsid w:val="00204EB4"/>
    <w:rsid w:val="00204EBE"/>
    <w:rsid w:val="00204ECA"/>
    <w:rsid w:val="00204ED0"/>
    <w:rsid w:val="00204EE7"/>
    <w:rsid w:val="00204EE8"/>
    <w:rsid w:val="00204F1D"/>
    <w:rsid w:val="00204F46"/>
    <w:rsid w:val="00204F83"/>
    <w:rsid w:val="00204FC8"/>
    <w:rsid w:val="00205047"/>
    <w:rsid w:val="002050B2"/>
    <w:rsid w:val="002050BB"/>
    <w:rsid w:val="0020510A"/>
    <w:rsid w:val="00205124"/>
    <w:rsid w:val="002051F0"/>
    <w:rsid w:val="00205208"/>
    <w:rsid w:val="00205239"/>
    <w:rsid w:val="0020524E"/>
    <w:rsid w:val="0020529D"/>
    <w:rsid w:val="002052A8"/>
    <w:rsid w:val="002052D0"/>
    <w:rsid w:val="002052D7"/>
    <w:rsid w:val="00205305"/>
    <w:rsid w:val="0020530D"/>
    <w:rsid w:val="00205387"/>
    <w:rsid w:val="002053AC"/>
    <w:rsid w:val="002053C2"/>
    <w:rsid w:val="002053CC"/>
    <w:rsid w:val="002053DC"/>
    <w:rsid w:val="002053E7"/>
    <w:rsid w:val="0020543C"/>
    <w:rsid w:val="002054E2"/>
    <w:rsid w:val="00205501"/>
    <w:rsid w:val="00205511"/>
    <w:rsid w:val="00205544"/>
    <w:rsid w:val="00205545"/>
    <w:rsid w:val="00205584"/>
    <w:rsid w:val="0020559B"/>
    <w:rsid w:val="0020559C"/>
    <w:rsid w:val="002055C9"/>
    <w:rsid w:val="002055FC"/>
    <w:rsid w:val="0020560A"/>
    <w:rsid w:val="00205646"/>
    <w:rsid w:val="00205648"/>
    <w:rsid w:val="0020564C"/>
    <w:rsid w:val="00205650"/>
    <w:rsid w:val="00205673"/>
    <w:rsid w:val="002056BF"/>
    <w:rsid w:val="002056F3"/>
    <w:rsid w:val="00205721"/>
    <w:rsid w:val="00205772"/>
    <w:rsid w:val="0020579F"/>
    <w:rsid w:val="002057CE"/>
    <w:rsid w:val="002057F8"/>
    <w:rsid w:val="00205821"/>
    <w:rsid w:val="00205838"/>
    <w:rsid w:val="00205844"/>
    <w:rsid w:val="00205863"/>
    <w:rsid w:val="00205875"/>
    <w:rsid w:val="002058B1"/>
    <w:rsid w:val="002058C5"/>
    <w:rsid w:val="002058F5"/>
    <w:rsid w:val="00205905"/>
    <w:rsid w:val="00205907"/>
    <w:rsid w:val="0020590F"/>
    <w:rsid w:val="00205911"/>
    <w:rsid w:val="00205916"/>
    <w:rsid w:val="0020592D"/>
    <w:rsid w:val="002059A9"/>
    <w:rsid w:val="002059AD"/>
    <w:rsid w:val="002059E3"/>
    <w:rsid w:val="00205A21"/>
    <w:rsid w:val="00205A2A"/>
    <w:rsid w:val="00205A50"/>
    <w:rsid w:val="00205A64"/>
    <w:rsid w:val="00205A88"/>
    <w:rsid w:val="00205ADD"/>
    <w:rsid w:val="00205B6B"/>
    <w:rsid w:val="00205BB3"/>
    <w:rsid w:val="00205BB6"/>
    <w:rsid w:val="00205BC6"/>
    <w:rsid w:val="00205C03"/>
    <w:rsid w:val="00205C2C"/>
    <w:rsid w:val="00205C42"/>
    <w:rsid w:val="00205C88"/>
    <w:rsid w:val="00205C8C"/>
    <w:rsid w:val="00205C9A"/>
    <w:rsid w:val="00205CA1"/>
    <w:rsid w:val="00205CAE"/>
    <w:rsid w:val="00205CCD"/>
    <w:rsid w:val="00205CD5"/>
    <w:rsid w:val="00205D09"/>
    <w:rsid w:val="00205D11"/>
    <w:rsid w:val="00205D4D"/>
    <w:rsid w:val="00205DA8"/>
    <w:rsid w:val="00205DC7"/>
    <w:rsid w:val="00205DEE"/>
    <w:rsid w:val="00205DEF"/>
    <w:rsid w:val="00205DF7"/>
    <w:rsid w:val="00205E0B"/>
    <w:rsid w:val="00205E14"/>
    <w:rsid w:val="00205E72"/>
    <w:rsid w:val="00205E8A"/>
    <w:rsid w:val="00205EA0"/>
    <w:rsid w:val="00205F16"/>
    <w:rsid w:val="00205F3B"/>
    <w:rsid w:val="00205F63"/>
    <w:rsid w:val="00205F87"/>
    <w:rsid w:val="00205FA3"/>
    <w:rsid w:val="00205FB1"/>
    <w:rsid w:val="00205FD7"/>
    <w:rsid w:val="00205FD9"/>
    <w:rsid w:val="00206008"/>
    <w:rsid w:val="00206011"/>
    <w:rsid w:val="0020602F"/>
    <w:rsid w:val="00206039"/>
    <w:rsid w:val="0020605C"/>
    <w:rsid w:val="0020606A"/>
    <w:rsid w:val="00206083"/>
    <w:rsid w:val="002060D8"/>
    <w:rsid w:val="002060EB"/>
    <w:rsid w:val="00206143"/>
    <w:rsid w:val="0020617B"/>
    <w:rsid w:val="002061B7"/>
    <w:rsid w:val="002061D3"/>
    <w:rsid w:val="002061E6"/>
    <w:rsid w:val="0020625B"/>
    <w:rsid w:val="00206267"/>
    <w:rsid w:val="00206286"/>
    <w:rsid w:val="0020628D"/>
    <w:rsid w:val="00206291"/>
    <w:rsid w:val="002062E4"/>
    <w:rsid w:val="00206317"/>
    <w:rsid w:val="00206347"/>
    <w:rsid w:val="002063AE"/>
    <w:rsid w:val="002063E6"/>
    <w:rsid w:val="00206417"/>
    <w:rsid w:val="0020643F"/>
    <w:rsid w:val="00206483"/>
    <w:rsid w:val="0020648B"/>
    <w:rsid w:val="0020648F"/>
    <w:rsid w:val="0020649C"/>
    <w:rsid w:val="002064A8"/>
    <w:rsid w:val="002064B0"/>
    <w:rsid w:val="002064E2"/>
    <w:rsid w:val="00206504"/>
    <w:rsid w:val="0020652C"/>
    <w:rsid w:val="002065B7"/>
    <w:rsid w:val="002065DE"/>
    <w:rsid w:val="00206618"/>
    <w:rsid w:val="00206663"/>
    <w:rsid w:val="0020666A"/>
    <w:rsid w:val="00206736"/>
    <w:rsid w:val="00206757"/>
    <w:rsid w:val="00206773"/>
    <w:rsid w:val="00206781"/>
    <w:rsid w:val="00206783"/>
    <w:rsid w:val="0020679C"/>
    <w:rsid w:val="002067BC"/>
    <w:rsid w:val="002067EF"/>
    <w:rsid w:val="00206810"/>
    <w:rsid w:val="00206824"/>
    <w:rsid w:val="0020684F"/>
    <w:rsid w:val="002068AB"/>
    <w:rsid w:val="002068C3"/>
    <w:rsid w:val="002068C4"/>
    <w:rsid w:val="002068C8"/>
    <w:rsid w:val="002068CC"/>
    <w:rsid w:val="002068CE"/>
    <w:rsid w:val="00206915"/>
    <w:rsid w:val="0020699B"/>
    <w:rsid w:val="00206A8D"/>
    <w:rsid w:val="00206AD8"/>
    <w:rsid w:val="00206AE3"/>
    <w:rsid w:val="00206B0B"/>
    <w:rsid w:val="00206B21"/>
    <w:rsid w:val="00206B38"/>
    <w:rsid w:val="00206B3B"/>
    <w:rsid w:val="00206B4C"/>
    <w:rsid w:val="00206BAA"/>
    <w:rsid w:val="00206C26"/>
    <w:rsid w:val="00206C33"/>
    <w:rsid w:val="00206C53"/>
    <w:rsid w:val="00206D47"/>
    <w:rsid w:val="00206D81"/>
    <w:rsid w:val="00206D9F"/>
    <w:rsid w:val="00206DA6"/>
    <w:rsid w:val="00206DCB"/>
    <w:rsid w:val="00206DF0"/>
    <w:rsid w:val="00206E15"/>
    <w:rsid w:val="00206EA6"/>
    <w:rsid w:val="00206ED7"/>
    <w:rsid w:val="00206F00"/>
    <w:rsid w:val="00206F7B"/>
    <w:rsid w:val="00206F8B"/>
    <w:rsid w:val="00206F97"/>
    <w:rsid w:val="00206FB1"/>
    <w:rsid w:val="00206FD9"/>
    <w:rsid w:val="00206FE9"/>
    <w:rsid w:val="00206FFD"/>
    <w:rsid w:val="00207022"/>
    <w:rsid w:val="0020702D"/>
    <w:rsid w:val="0020702F"/>
    <w:rsid w:val="002070BC"/>
    <w:rsid w:val="002070D2"/>
    <w:rsid w:val="0020710F"/>
    <w:rsid w:val="00207129"/>
    <w:rsid w:val="00207172"/>
    <w:rsid w:val="0020718A"/>
    <w:rsid w:val="0020718F"/>
    <w:rsid w:val="002071DC"/>
    <w:rsid w:val="002071F5"/>
    <w:rsid w:val="00207202"/>
    <w:rsid w:val="0020722C"/>
    <w:rsid w:val="00207254"/>
    <w:rsid w:val="0020726F"/>
    <w:rsid w:val="002072AB"/>
    <w:rsid w:val="002072B9"/>
    <w:rsid w:val="002072C9"/>
    <w:rsid w:val="002072D8"/>
    <w:rsid w:val="002072EE"/>
    <w:rsid w:val="00207303"/>
    <w:rsid w:val="0020734E"/>
    <w:rsid w:val="00207373"/>
    <w:rsid w:val="00207375"/>
    <w:rsid w:val="00207378"/>
    <w:rsid w:val="00207380"/>
    <w:rsid w:val="002073E5"/>
    <w:rsid w:val="00207428"/>
    <w:rsid w:val="0020746A"/>
    <w:rsid w:val="00207489"/>
    <w:rsid w:val="002074B4"/>
    <w:rsid w:val="002074D7"/>
    <w:rsid w:val="002074D8"/>
    <w:rsid w:val="002074E4"/>
    <w:rsid w:val="0020751A"/>
    <w:rsid w:val="00207521"/>
    <w:rsid w:val="00207569"/>
    <w:rsid w:val="00207598"/>
    <w:rsid w:val="002075EF"/>
    <w:rsid w:val="002075FC"/>
    <w:rsid w:val="00207628"/>
    <w:rsid w:val="00207630"/>
    <w:rsid w:val="0020764E"/>
    <w:rsid w:val="0020766F"/>
    <w:rsid w:val="002076DD"/>
    <w:rsid w:val="00207721"/>
    <w:rsid w:val="00207798"/>
    <w:rsid w:val="00207799"/>
    <w:rsid w:val="002077A7"/>
    <w:rsid w:val="002077C7"/>
    <w:rsid w:val="002077CA"/>
    <w:rsid w:val="002077D2"/>
    <w:rsid w:val="002077E2"/>
    <w:rsid w:val="002077E3"/>
    <w:rsid w:val="002077EA"/>
    <w:rsid w:val="002077EE"/>
    <w:rsid w:val="00207801"/>
    <w:rsid w:val="00207816"/>
    <w:rsid w:val="00207836"/>
    <w:rsid w:val="0020784B"/>
    <w:rsid w:val="00207870"/>
    <w:rsid w:val="0020787A"/>
    <w:rsid w:val="00207882"/>
    <w:rsid w:val="00207883"/>
    <w:rsid w:val="002078AA"/>
    <w:rsid w:val="002078E2"/>
    <w:rsid w:val="00207912"/>
    <w:rsid w:val="00207954"/>
    <w:rsid w:val="00207958"/>
    <w:rsid w:val="002079C7"/>
    <w:rsid w:val="00207A01"/>
    <w:rsid w:val="00207A27"/>
    <w:rsid w:val="00207A4F"/>
    <w:rsid w:val="00207A92"/>
    <w:rsid w:val="00207AFB"/>
    <w:rsid w:val="00207B07"/>
    <w:rsid w:val="00207B43"/>
    <w:rsid w:val="00207B60"/>
    <w:rsid w:val="00207B62"/>
    <w:rsid w:val="00207B66"/>
    <w:rsid w:val="00207BBE"/>
    <w:rsid w:val="00207BD3"/>
    <w:rsid w:val="00207C38"/>
    <w:rsid w:val="00207C3F"/>
    <w:rsid w:val="00207C89"/>
    <w:rsid w:val="00207C8B"/>
    <w:rsid w:val="00207CB4"/>
    <w:rsid w:val="00207CEA"/>
    <w:rsid w:val="00207D9F"/>
    <w:rsid w:val="00207DE6"/>
    <w:rsid w:val="00207E0B"/>
    <w:rsid w:val="00207E21"/>
    <w:rsid w:val="00207E5B"/>
    <w:rsid w:val="00207EAC"/>
    <w:rsid w:val="00207EAE"/>
    <w:rsid w:val="00207EB8"/>
    <w:rsid w:val="00207EFA"/>
    <w:rsid w:val="00207F01"/>
    <w:rsid w:val="00207F12"/>
    <w:rsid w:val="00207F2E"/>
    <w:rsid w:val="00207F95"/>
    <w:rsid w:val="00207FC2"/>
    <w:rsid w:val="00207FC3"/>
    <w:rsid w:val="00207FCB"/>
    <w:rsid w:val="00207FD7"/>
    <w:rsid w:val="0020D227"/>
    <w:rsid w:val="0021000F"/>
    <w:rsid w:val="00210042"/>
    <w:rsid w:val="00210069"/>
    <w:rsid w:val="00210098"/>
    <w:rsid w:val="002100A9"/>
    <w:rsid w:val="002100AD"/>
    <w:rsid w:val="002100C4"/>
    <w:rsid w:val="00210117"/>
    <w:rsid w:val="0021012B"/>
    <w:rsid w:val="00210145"/>
    <w:rsid w:val="00210155"/>
    <w:rsid w:val="00210156"/>
    <w:rsid w:val="00210160"/>
    <w:rsid w:val="0021016E"/>
    <w:rsid w:val="002101D5"/>
    <w:rsid w:val="002101F5"/>
    <w:rsid w:val="002101FE"/>
    <w:rsid w:val="00210283"/>
    <w:rsid w:val="00210290"/>
    <w:rsid w:val="002102E2"/>
    <w:rsid w:val="00210318"/>
    <w:rsid w:val="0021033E"/>
    <w:rsid w:val="002103A2"/>
    <w:rsid w:val="002103CB"/>
    <w:rsid w:val="002103CE"/>
    <w:rsid w:val="002103E9"/>
    <w:rsid w:val="002103F0"/>
    <w:rsid w:val="002103F9"/>
    <w:rsid w:val="0021040C"/>
    <w:rsid w:val="0021040D"/>
    <w:rsid w:val="00210429"/>
    <w:rsid w:val="00210464"/>
    <w:rsid w:val="00210476"/>
    <w:rsid w:val="0021047E"/>
    <w:rsid w:val="002104B7"/>
    <w:rsid w:val="002104C5"/>
    <w:rsid w:val="002104D9"/>
    <w:rsid w:val="002104DE"/>
    <w:rsid w:val="00210540"/>
    <w:rsid w:val="00210560"/>
    <w:rsid w:val="0021057F"/>
    <w:rsid w:val="002105F4"/>
    <w:rsid w:val="00210656"/>
    <w:rsid w:val="0021065A"/>
    <w:rsid w:val="00210678"/>
    <w:rsid w:val="00210696"/>
    <w:rsid w:val="002106AB"/>
    <w:rsid w:val="002106CF"/>
    <w:rsid w:val="00210723"/>
    <w:rsid w:val="0021078F"/>
    <w:rsid w:val="002107B0"/>
    <w:rsid w:val="00210833"/>
    <w:rsid w:val="0021084C"/>
    <w:rsid w:val="0021084E"/>
    <w:rsid w:val="0021085C"/>
    <w:rsid w:val="0021086F"/>
    <w:rsid w:val="002108A6"/>
    <w:rsid w:val="002108E2"/>
    <w:rsid w:val="002108F8"/>
    <w:rsid w:val="00210966"/>
    <w:rsid w:val="0021096B"/>
    <w:rsid w:val="00210991"/>
    <w:rsid w:val="002109BA"/>
    <w:rsid w:val="002109CA"/>
    <w:rsid w:val="002109F2"/>
    <w:rsid w:val="002109F9"/>
    <w:rsid w:val="002109FF"/>
    <w:rsid w:val="00210A5C"/>
    <w:rsid w:val="00210A6A"/>
    <w:rsid w:val="00210AA9"/>
    <w:rsid w:val="00210B06"/>
    <w:rsid w:val="00210B40"/>
    <w:rsid w:val="00210B4A"/>
    <w:rsid w:val="00210B57"/>
    <w:rsid w:val="00210BAC"/>
    <w:rsid w:val="00210C01"/>
    <w:rsid w:val="00210C22"/>
    <w:rsid w:val="00210C27"/>
    <w:rsid w:val="00210C46"/>
    <w:rsid w:val="00210C50"/>
    <w:rsid w:val="00210CB8"/>
    <w:rsid w:val="00210CD7"/>
    <w:rsid w:val="00210D07"/>
    <w:rsid w:val="00210D0A"/>
    <w:rsid w:val="00210D14"/>
    <w:rsid w:val="00210D40"/>
    <w:rsid w:val="00210D43"/>
    <w:rsid w:val="00210D7A"/>
    <w:rsid w:val="00210DA9"/>
    <w:rsid w:val="00210DB4"/>
    <w:rsid w:val="00210DD1"/>
    <w:rsid w:val="00210E11"/>
    <w:rsid w:val="00210E13"/>
    <w:rsid w:val="00210EE8"/>
    <w:rsid w:val="00210F12"/>
    <w:rsid w:val="00210FE9"/>
    <w:rsid w:val="0021102D"/>
    <w:rsid w:val="0021102F"/>
    <w:rsid w:val="002110A5"/>
    <w:rsid w:val="002110B2"/>
    <w:rsid w:val="002110F7"/>
    <w:rsid w:val="002110FB"/>
    <w:rsid w:val="0021112F"/>
    <w:rsid w:val="00211139"/>
    <w:rsid w:val="002111A0"/>
    <w:rsid w:val="002111BF"/>
    <w:rsid w:val="002111DB"/>
    <w:rsid w:val="00211271"/>
    <w:rsid w:val="00211295"/>
    <w:rsid w:val="002112CF"/>
    <w:rsid w:val="002112D2"/>
    <w:rsid w:val="00211307"/>
    <w:rsid w:val="002113B2"/>
    <w:rsid w:val="002113B5"/>
    <w:rsid w:val="002113C0"/>
    <w:rsid w:val="0021146B"/>
    <w:rsid w:val="00211474"/>
    <w:rsid w:val="00211475"/>
    <w:rsid w:val="00211484"/>
    <w:rsid w:val="002114AD"/>
    <w:rsid w:val="002114B0"/>
    <w:rsid w:val="0021150D"/>
    <w:rsid w:val="00211513"/>
    <w:rsid w:val="00211518"/>
    <w:rsid w:val="0021154A"/>
    <w:rsid w:val="00211574"/>
    <w:rsid w:val="002115EE"/>
    <w:rsid w:val="0021161E"/>
    <w:rsid w:val="0021165E"/>
    <w:rsid w:val="0021166E"/>
    <w:rsid w:val="00211695"/>
    <w:rsid w:val="002116B2"/>
    <w:rsid w:val="002116EB"/>
    <w:rsid w:val="00211772"/>
    <w:rsid w:val="00211791"/>
    <w:rsid w:val="002117B5"/>
    <w:rsid w:val="0021181E"/>
    <w:rsid w:val="00211849"/>
    <w:rsid w:val="00211857"/>
    <w:rsid w:val="00211859"/>
    <w:rsid w:val="00211867"/>
    <w:rsid w:val="00211883"/>
    <w:rsid w:val="00211885"/>
    <w:rsid w:val="0021189E"/>
    <w:rsid w:val="002118B3"/>
    <w:rsid w:val="002118E7"/>
    <w:rsid w:val="00211973"/>
    <w:rsid w:val="002119A5"/>
    <w:rsid w:val="002119A7"/>
    <w:rsid w:val="002119EC"/>
    <w:rsid w:val="00211A06"/>
    <w:rsid w:val="00211A18"/>
    <w:rsid w:val="00211A42"/>
    <w:rsid w:val="00211A52"/>
    <w:rsid w:val="00211AA1"/>
    <w:rsid w:val="00211AB7"/>
    <w:rsid w:val="00211ABC"/>
    <w:rsid w:val="00211ACF"/>
    <w:rsid w:val="00211B03"/>
    <w:rsid w:val="00211B1C"/>
    <w:rsid w:val="00211B9F"/>
    <w:rsid w:val="00211BBE"/>
    <w:rsid w:val="00211BC7"/>
    <w:rsid w:val="00211BD0"/>
    <w:rsid w:val="00211BF5"/>
    <w:rsid w:val="00211BFC"/>
    <w:rsid w:val="00211C04"/>
    <w:rsid w:val="00211C1F"/>
    <w:rsid w:val="00211C22"/>
    <w:rsid w:val="00211C51"/>
    <w:rsid w:val="00211C52"/>
    <w:rsid w:val="00211C59"/>
    <w:rsid w:val="00211C63"/>
    <w:rsid w:val="00211C6F"/>
    <w:rsid w:val="00211C8C"/>
    <w:rsid w:val="00211CA7"/>
    <w:rsid w:val="00211CC9"/>
    <w:rsid w:val="00211CD3"/>
    <w:rsid w:val="00211D06"/>
    <w:rsid w:val="00211D1F"/>
    <w:rsid w:val="00211D21"/>
    <w:rsid w:val="00211E14"/>
    <w:rsid w:val="00211E1B"/>
    <w:rsid w:val="00211E38"/>
    <w:rsid w:val="00211E3C"/>
    <w:rsid w:val="00211E65"/>
    <w:rsid w:val="00211EE0"/>
    <w:rsid w:val="00211EFB"/>
    <w:rsid w:val="00211F40"/>
    <w:rsid w:val="00211F8C"/>
    <w:rsid w:val="00211F92"/>
    <w:rsid w:val="00211FAA"/>
    <w:rsid w:val="00211FD1"/>
    <w:rsid w:val="00211FD3"/>
    <w:rsid w:val="00211FEA"/>
    <w:rsid w:val="00211FF8"/>
    <w:rsid w:val="00212025"/>
    <w:rsid w:val="0021202D"/>
    <w:rsid w:val="0021203B"/>
    <w:rsid w:val="00212046"/>
    <w:rsid w:val="00212047"/>
    <w:rsid w:val="00212049"/>
    <w:rsid w:val="0021204C"/>
    <w:rsid w:val="00212051"/>
    <w:rsid w:val="00212054"/>
    <w:rsid w:val="0021209A"/>
    <w:rsid w:val="002120BE"/>
    <w:rsid w:val="002120E8"/>
    <w:rsid w:val="00212104"/>
    <w:rsid w:val="00212114"/>
    <w:rsid w:val="00212143"/>
    <w:rsid w:val="00212144"/>
    <w:rsid w:val="00212165"/>
    <w:rsid w:val="002121B3"/>
    <w:rsid w:val="00212209"/>
    <w:rsid w:val="00212251"/>
    <w:rsid w:val="00212253"/>
    <w:rsid w:val="0021225F"/>
    <w:rsid w:val="00212261"/>
    <w:rsid w:val="0021226E"/>
    <w:rsid w:val="0021228C"/>
    <w:rsid w:val="002122C1"/>
    <w:rsid w:val="002122DA"/>
    <w:rsid w:val="00212312"/>
    <w:rsid w:val="0021235A"/>
    <w:rsid w:val="00212387"/>
    <w:rsid w:val="002123CF"/>
    <w:rsid w:val="002123D0"/>
    <w:rsid w:val="002123E5"/>
    <w:rsid w:val="002123E9"/>
    <w:rsid w:val="002123F8"/>
    <w:rsid w:val="00212406"/>
    <w:rsid w:val="0021240F"/>
    <w:rsid w:val="0021242A"/>
    <w:rsid w:val="00212457"/>
    <w:rsid w:val="0021246F"/>
    <w:rsid w:val="002124B5"/>
    <w:rsid w:val="002124BC"/>
    <w:rsid w:val="0021251B"/>
    <w:rsid w:val="00212541"/>
    <w:rsid w:val="00212559"/>
    <w:rsid w:val="00212577"/>
    <w:rsid w:val="0021258F"/>
    <w:rsid w:val="002125A5"/>
    <w:rsid w:val="002125A9"/>
    <w:rsid w:val="002125B9"/>
    <w:rsid w:val="00212607"/>
    <w:rsid w:val="0021266E"/>
    <w:rsid w:val="00212690"/>
    <w:rsid w:val="00212699"/>
    <w:rsid w:val="00212705"/>
    <w:rsid w:val="00212714"/>
    <w:rsid w:val="00212726"/>
    <w:rsid w:val="0021272C"/>
    <w:rsid w:val="00212751"/>
    <w:rsid w:val="002127A2"/>
    <w:rsid w:val="002127DC"/>
    <w:rsid w:val="002127E3"/>
    <w:rsid w:val="00212807"/>
    <w:rsid w:val="00212830"/>
    <w:rsid w:val="0021285F"/>
    <w:rsid w:val="00212893"/>
    <w:rsid w:val="002128B9"/>
    <w:rsid w:val="002128D1"/>
    <w:rsid w:val="002128F7"/>
    <w:rsid w:val="00212977"/>
    <w:rsid w:val="0021297C"/>
    <w:rsid w:val="0021297E"/>
    <w:rsid w:val="00212984"/>
    <w:rsid w:val="002129A9"/>
    <w:rsid w:val="002129E3"/>
    <w:rsid w:val="00212A0B"/>
    <w:rsid w:val="00212A27"/>
    <w:rsid w:val="00212A7D"/>
    <w:rsid w:val="00212A98"/>
    <w:rsid w:val="00212B0E"/>
    <w:rsid w:val="00212B37"/>
    <w:rsid w:val="00212B51"/>
    <w:rsid w:val="00212B59"/>
    <w:rsid w:val="00212B82"/>
    <w:rsid w:val="00212C0D"/>
    <w:rsid w:val="00212C15"/>
    <w:rsid w:val="00212C29"/>
    <w:rsid w:val="00212C2E"/>
    <w:rsid w:val="00212CB1"/>
    <w:rsid w:val="00212CD1"/>
    <w:rsid w:val="00212CFD"/>
    <w:rsid w:val="00212D0C"/>
    <w:rsid w:val="00212D4F"/>
    <w:rsid w:val="00212D65"/>
    <w:rsid w:val="00212D8A"/>
    <w:rsid w:val="00212DAC"/>
    <w:rsid w:val="00212DB6"/>
    <w:rsid w:val="00212DF5"/>
    <w:rsid w:val="00212E00"/>
    <w:rsid w:val="00212E17"/>
    <w:rsid w:val="00212E5F"/>
    <w:rsid w:val="00212E6F"/>
    <w:rsid w:val="00212ED4"/>
    <w:rsid w:val="00212F52"/>
    <w:rsid w:val="00212F5A"/>
    <w:rsid w:val="00212F81"/>
    <w:rsid w:val="00212FB2"/>
    <w:rsid w:val="00212FB5"/>
    <w:rsid w:val="0021304C"/>
    <w:rsid w:val="00213076"/>
    <w:rsid w:val="002130A9"/>
    <w:rsid w:val="002130BE"/>
    <w:rsid w:val="002130DD"/>
    <w:rsid w:val="00213116"/>
    <w:rsid w:val="00213150"/>
    <w:rsid w:val="00213195"/>
    <w:rsid w:val="00213197"/>
    <w:rsid w:val="002131E4"/>
    <w:rsid w:val="00213252"/>
    <w:rsid w:val="0021328F"/>
    <w:rsid w:val="00213297"/>
    <w:rsid w:val="00213305"/>
    <w:rsid w:val="00213331"/>
    <w:rsid w:val="0021338E"/>
    <w:rsid w:val="00213390"/>
    <w:rsid w:val="002133B5"/>
    <w:rsid w:val="002133BC"/>
    <w:rsid w:val="002133D3"/>
    <w:rsid w:val="002133D7"/>
    <w:rsid w:val="00213405"/>
    <w:rsid w:val="00213406"/>
    <w:rsid w:val="00213470"/>
    <w:rsid w:val="0021347D"/>
    <w:rsid w:val="002134B9"/>
    <w:rsid w:val="002134E4"/>
    <w:rsid w:val="00213519"/>
    <w:rsid w:val="0021353B"/>
    <w:rsid w:val="00213622"/>
    <w:rsid w:val="0021362E"/>
    <w:rsid w:val="0021365C"/>
    <w:rsid w:val="0021368B"/>
    <w:rsid w:val="0021368F"/>
    <w:rsid w:val="00213697"/>
    <w:rsid w:val="002136C9"/>
    <w:rsid w:val="002136FE"/>
    <w:rsid w:val="00213705"/>
    <w:rsid w:val="00213715"/>
    <w:rsid w:val="00213767"/>
    <w:rsid w:val="00213779"/>
    <w:rsid w:val="00213792"/>
    <w:rsid w:val="002137BF"/>
    <w:rsid w:val="00213824"/>
    <w:rsid w:val="0021383B"/>
    <w:rsid w:val="0021383E"/>
    <w:rsid w:val="0021385A"/>
    <w:rsid w:val="00213892"/>
    <w:rsid w:val="002138AD"/>
    <w:rsid w:val="002138CB"/>
    <w:rsid w:val="002138E0"/>
    <w:rsid w:val="00213910"/>
    <w:rsid w:val="00213920"/>
    <w:rsid w:val="00213928"/>
    <w:rsid w:val="00213948"/>
    <w:rsid w:val="00213959"/>
    <w:rsid w:val="00213988"/>
    <w:rsid w:val="002139AC"/>
    <w:rsid w:val="002139EA"/>
    <w:rsid w:val="00213A03"/>
    <w:rsid w:val="00213A17"/>
    <w:rsid w:val="00213A24"/>
    <w:rsid w:val="00213A55"/>
    <w:rsid w:val="00213A5F"/>
    <w:rsid w:val="00213A9A"/>
    <w:rsid w:val="00213AC8"/>
    <w:rsid w:val="00213ADA"/>
    <w:rsid w:val="00213AF1"/>
    <w:rsid w:val="00213AF7"/>
    <w:rsid w:val="00213B03"/>
    <w:rsid w:val="00213B39"/>
    <w:rsid w:val="00213B3C"/>
    <w:rsid w:val="00213BBA"/>
    <w:rsid w:val="00213C5E"/>
    <w:rsid w:val="00213C7F"/>
    <w:rsid w:val="00213C88"/>
    <w:rsid w:val="00213C96"/>
    <w:rsid w:val="00213CB2"/>
    <w:rsid w:val="00213CC5"/>
    <w:rsid w:val="00213D42"/>
    <w:rsid w:val="00213D45"/>
    <w:rsid w:val="00213D6C"/>
    <w:rsid w:val="00213D80"/>
    <w:rsid w:val="00213D9B"/>
    <w:rsid w:val="00213D9E"/>
    <w:rsid w:val="00213DB6"/>
    <w:rsid w:val="00213DE4"/>
    <w:rsid w:val="00213E19"/>
    <w:rsid w:val="00213E2D"/>
    <w:rsid w:val="00213E35"/>
    <w:rsid w:val="00213E59"/>
    <w:rsid w:val="00213E85"/>
    <w:rsid w:val="00213E9E"/>
    <w:rsid w:val="00213EFD"/>
    <w:rsid w:val="00213F00"/>
    <w:rsid w:val="00213F0E"/>
    <w:rsid w:val="00213F4E"/>
    <w:rsid w:val="00213F60"/>
    <w:rsid w:val="00213F6D"/>
    <w:rsid w:val="00213F74"/>
    <w:rsid w:val="00213F83"/>
    <w:rsid w:val="00214007"/>
    <w:rsid w:val="0021409A"/>
    <w:rsid w:val="002140A6"/>
    <w:rsid w:val="002140AD"/>
    <w:rsid w:val="002140B4"/>
    <w:rsid w:val="00214166"/>
    <w:rsid w:val="002141AB"/>
    <w:rsid w:val="002141AC"/>
    <w:rsid w:val="0021423B"/>
    <w:rsid w:val="0021425C"/>
    <w:rsid w:val="00214293"/>
    <w:rsid w:val="002142A5"/>
    <w:rsid w:val="002142DC"/>
    <w:rsid w:val="0021432D"/>
    <w:rsid w:val="00214350"/>
    <w:rsid w:val="00214359"/>
    <w:rsid w:val="0021436B"/>
    <w:rsid w:val="00214375"/>
    <w:rsid w:val="002143A5"/>
    <w:rsid w:val="002143A8"/>
    <w:rsid w:val="002143F7"/>
    <w:rsid w:val="002143FD"/>
    <w:rsid w:val="00214431"/>
    <w:rsid w:val="0021444E"/>
    <w:rsid w:val="002144A2"/>
    <w:rsid w:val="002144AD"/>
    <w:rsid w:val="002144B2"/>
    <w:rsid w:val="002144B4"/>
    <w:rsid w:val="002144CC"/>
    <w:rsid w:val="002144D0"/>
    <w:rsid w:val="002144EC"/>
    <w:rsid w:val="002144FE"/>
    <w:rsid w:val="00214511"/>
    <w:rsid w:val="00214543"/>
    <w:rsid w:val="00214584"/>
    <w:rsid w:val="00214585"/>
    <w:rsid w:val="00214594"/>
    <w:rsid w:val="002145B2"/>
    <w:rsid w:val="0021464F"/>
    <w:rsid w:val="0021465D"/>
    <w:rsid w:val="00214688"/>
    <w:rsid w:val="00214691"/>
    <w:rsid w:val="002146DC"/>
    <w:rsid w:val="002146E9"/>
    <w:rsid w:val="002146F8"/>
    <w:rsid w:val="00214716"/>
    <w:rsid w:val="0021475B"/>
    <w:rsid w:val="00214787"/>
    <w:rsid w:val="002147A2"/>
    <w:rsid w:val="002147E5"/>
    <w:rsid w:val="00214824"/>
    <w:rsid w:val="00214877"/>
    <w:rsid w:val="002148A9"/>
    <w:rsid w:val="002148CB"/>
    <w:rsid w:val="002148D9"/>
    <w:rsid w:val="002148DD"/>
    <w:rsid w:val="002148F2"/>
    <w:rsid w:val="0021490B"/>
    <w:rsid w:val="00214938"/>
    <w:rsid w:val="00214942"/>
    <w:rsid w:val="00214950"/>
    <w:rsid w:val="0021498D"/>
    <w:rsid w:val="00214996"/>
    <w:rsid w:val="002149DE"/>
    <w:rsid w:val="00214A02"/>
    <w:rsid w:val="00214A40"/>
    <w:rsid w:val="00214A8F"/>
    <w:rsid w:val="00214AAC"/>
    <w:rsid w:val="00214AB7"/>
    <w:rsid w:val="00214ADE"/>
    <w:rsid w:val="00214AEC"/>
    <w:rsid w:val="00214B29"/>
    <w:rsid w:val="00214BBE"/>
    <w:rsid w:val="00214BCE"/>
    <w:rsid w:val="00214BD8"/>
    <w:rsid w:val="00214C18"/>
    <w:rsid w:val="00214C57"/>
    <w:rsid w:val="00214C68"/>
    <w:rsid w:val="00214C96"/>
    <w:rsid w:val="00214CB4"/>
    <w:rsid w:val="00214CEF"/>
    <w:rsid w:val="00214D44"/>
    <w:rsid w:val="00214D55"/>
    <w:rsid w:val="00214D5C"/>
    <w:rsid w:val="00214D61"/>
    <w:rsid w:val="00214D6E"/>
    <w:rsid w:val="00214D76"/>
    <w:rsid w:val="00214DAB"/>
    <w:rsid w:val="00214DBB"/>
    <w:rsid w:val="00214DDA"/>
    <w:rsid w:val="00214DE6"/>
    <w:rsid w:val="00214E20"/>
    <w:rsid w:val="00214E2A"/>
    <w:rsid w:val="00214E4B"/>
    <w:rsid w:val="00214E4F"/>
    <w:rsid w:val="00214E88"/>
    <w:rsid w:val="00214F09"/>
    <w:rsid w:val="00214F0B"/>
    <w:rsid w:val="00214F50"/>
    <w:rsid w:val="00214F55"/>
    <w:rsid w:val="00214F7C"/>
    <w:rsid w:val="00214F96"/>
    <w:rsid w:val="00214FCF"/>
    <w:rsid w:val="00214FF8"/>
    <w:rsid w:val="0021506A"/>
    <w:rsid w:val="00215081"/>
    <w:rsid w:val="00215090"/>
    <w:rsid w:val="00215097"/>
    <w:rsid w:val="002150AF"/>
    <w:rsid w:val="00215142"/>
    <w:rsid w:val="0021514C"/>
    <w:rsid w:val="00215196"/>
    <w:rsid w:val="002151C3"/>
    <w:rsid w:val="002151F3"/>
    <w:rsid w:val="00215206"/>
    <w:rsid w:val="00215251"/>
    <w:rsid w:val="00215255"/>
    <w:rsid w:val="00215259"/>
    <w:rsid w:val="00215262"/>
    <w:rsid w:val="0021527D"/>
    <w:rsid w:val="0021529C"/>
    <w:rsid w:val="002152B9"/>
    <w:rsid w:val="002152D6"/>
    <w:rsid w:val="002152F2"/>
    <w:rsid w:val="002152FB"/>
    <w:rsid w:val="00215344"/>
    <w:rsid w:val="00215351"/>
    <w:rsid w:val="00215386"/>
    <w:rsid w:val="002153A3"/>
    <w:rsid w:val="002153B0"/>
    <w:rsid w:val="002153B8"/>
    <w:rsid w:val="0021543A"/>
    <w:rsid w:val="00215470"/>
    <w:rsid w:val="00215477"/>
    <w:rsid w:val="00215495"/>
    <w:rsid w:val="002154F6"/>
    <w:rsid w:val="00215538"/>
    <w:rsid w:val="00215563"/>
    <w:rsid w:val="002155B9"/>
    <w:rsid w:val="002155D8"/>
    <w:rsid w:val="002155E3"/>
    <w:rsid w:val="002155ED"/>
    <w:rsid w:val="00215607"/>
    <w:rsid w:val="0021560C"/>
    <w:rsid w:val="0021560F"/>
    <w:rsid w:val="00215646"/>
    <w:rsid w:val="0021565C"/>
    <w:rsid w:val="00215664"/>
    <w:rsid w:val="0021566D"/>
    <w:rsid w:val="00215677"/>
    <w:rsid w:val="00215683"/>
    <w:rsid w:val="002156D6"/>
    <w:rsid w:val="00215700"/>
    <w:rsid w:val="0021570E"/>
    <w:rsid w:val="00215758"/>
    <w:rsid w:val="002157A4"/>
    <w:rsid w:val="002157C2"/>
    <w:rsid w:val="002157C4"/>
    <w:rsid w:val="002157EC"/>
    <w:rsid w:val="002157FD"/>
    <w:rsid w:val="00215821"/>
    <w:rsid w:val="00215833"/>
    <w:rsid w:val="00215868"/>
    <w:rsid w:val="00215895"/>
    <w:rsid w:val="00215905"/>
    <w:rsid w:val="00215930"/>
    <w:rsid w:val="002159A3"/>
    <w:rsid w:val="002159B5"/>
    <w:rsid w:val="00215A37"/>
    <w:rsid w:val="00215A48"/>
    <w:rsid w:val="00215A53"/>
    <w:rsid w:val="00215A72"/>
    <w:rsid w:val="00215A8E"/>
    <w:rsid w:val="00215ABF"/>
    <w:rsid w:val="00215AFE"/>
    <w:rsid w:val="00215B1B"/>
    <w:rsid w:val="00215B1C"/>
    <w:rsid w:val="00215B2F"/>
    <w:rsid w:val="00215B4F"/>
    <w:rsid w:val="00215B74"/>
    <w:rsid w:val="00215BAC"/>
    <w:rsid w:val="00215BFA"/>
    <w:rsid w:val="00215C02"/>
    <w:rsid w:val="00215C0D"/>
    <w:rsid w:val="00215C66"/>
    <w:rsid w:val="00215C81"/>
    <w:rsid w:val="00215C9E"/>
    <w:rsid w:val="00215CAA"/>
    <w:rsid w:val="00215CEF"/>
    <w:rsid w:val="00215D8B"/>
    <w:rsid w:val="00215DA2"/>
    <w:rsid w:val="00215DD6"/>
    <w:rsid w:val="00215DFC"/>
    <w:rsid w:val="00215E7C"/>
    <w:rsid w:val="00215E86"/>
    <w:rsid w:val="00215EAD"/>
    <w:rsid w:val="00215EB2"/>
    <w:rsid w:val="00215EC0"/>
    <w:rsid w:val="00215ED5"/>
    <w:rsid w:val="00215F06"/>
    <w:rsid w:val="00215F07"/>
    <w:rsid w:val="00215F09"/>
    <w:rsid w:val="00215F0E"/>
    <w:rsid w:val="00215F34"/>
    <w:rsid w:val="00215FBC"/>
    <w:rsid w:val="00215FC1"/>
    <w:rsid w:val="00215FC2"/>
    <w:rsid w:val="00215FFD"/>
    <w:rsid w:val="00216009"/>
    <w:rsid w:val="00216036"/>
    <w:rsid w:val="0021605E"/>
    <w:rsid w:val="00216079"/>
    <w:rsid w:val="0021607D"/>
    <w:rsid w:val="0021607F"/>
    <w:rsid w:val="002160C0"/>
    <w:rsid w:val="00216106"/>
    <w:rsid w:val="00216134"/>
    <w:rsid w:val="002161A0"/>
    <w:rsid w:val="002161C4"/>
    <w:rsid w:val="002161D7"/>
    <w:rsid w:val="002161D9"/>
    <w:rsid w:val="002161ED"/>
    <w:rsid w:val="00216211"/>
    <w:rsid w:val="00216238"/>
    <w:rsid w:val="002162D9"/>
    <w:rsid w:val="00216305"/>
    <w:rsid w:val="00216310"/>
    <w:rsid w:val="00216352"/>
    <w:rsid w:val="00216362"/>
    <w:rsid w:val="00216375"/>
    <w:rsid w:val="00216391"/>
    <w:rsid w:val="002163A5"/>
    <w:rsid w:val="0021641D"/>
    <w:rsid w:val="00216474"/>
    <w:rsid w:val="002164C9"/>
    <w:rsid w:val="002164D9"/>
    <w:rsid w:val="002164DA"/>
    <w:rsid w:val="002164DE"/>
    <w:rsid w:val="002164F8"/>
    <w:rsid w:val="00216551"/>
    <w:rsid w:val="0021657C"/>
    <w:rsid w:val="0021658F"/>
    <w:rsid w:val="0021663C"/>
    <w:rsid w:val="0021664D"/>
    <w:rsid w:val="00216671"/>
    <w:rsid w:val="00216679"/>
    <w:rsid w:val="0021667E"/>
    <w:rsid w:val="002166B3"/>
    <w:rsid w:val="002166B7"/>
    <w:rsid w:val="002166DC"/>
    <w:rsid w:val="00216779"/>
    <w:rsid w:val="0021677A"/>
    <w:rsid w:val="0021678F"/>
    <w:rsid w:val="00216796"/>
    <w:rsid w:val="0021679D"/>
    <w:rsid w:val="002167AF"/>
    <w:rsid w:val="002167E3"/>
    <w:rsid w:val="00216851"/>
    <w:rsid w:val="00216859"/>
    <w:rsid w:val="00216876"/>
    <w:rsid w:val="00216887"/>
    <w:rsid w:val="002168CB"/>
    <w:rsid w:val="002168D9"/>
    <w:rsid w:val="00216939"/>
    <w:rsid w:val="00216967"/>
    <w:rsid w:val="00216987"/>
    <w:rsid w:val="00216990"/>
    <w:rsid w:val="002169A3"/>
    <w:rsid w:val="002169D6"/>
    <w:rsid w:val="002169EC"/>
    <w:rsid w:val="00216A01"/>
    <w:rsid w:val="00216A6F"/>
    <w:rsid w:val="00216A97"/>
    <w:rsid w:val="00216B86"/>
    <w:rsid w:val="00216BE6"/>
    <w:rsid w:val="00216C2C"/>
    <w:rsid w:val="00216CC3"/>
    <w:rsid w:val="00216D4C"/>
    <w:rsid w:val="00216D96"/>
    <w:rsid w:val="00216DA7"/>
    <w:rsid w:val="00216E50"/>
    <w:rsid w:val="00216E56"/>
    <w:rsid w:val="00216EF7"/>
    <w:rsid w:val="00216F05"/>
    <w:rsid w:val="00216F40"/>
    <w:rsid w:val="00216F7C"/>
    <w:rsid w:val="00216FA3"/>
    <w:rsid w:val="00216FA5"/>
    <w:rsid w:val="0021700E"/>
    <w:rsid w:val="00217042"/>
    <w:rsid w:val="0021704E"/>
    <w:rsid w:val="00217098"/>
    <w:rsid w:val="002170BD"/>
    <w:rsid w:val="00217101"/>
    <w:rsid w:val="00217149"/>
    <w:rsid w:val="002171BD"/>
    <w:rsid w:val="002171C4"/>
    <w:rsid w:val="002171CF"/>
    <w:rsid w:val="002171E3"/>
    <w:rsid w:val="0021720B"/>
    <w:rsid w:val="00217245"/>
    <w:rsid w:val="00217255"/>
    <w:rsid w:val="00217285"/>
    <w:rsid w:val="002172E0"/>
    <w:rsid w:val="002172F7"/>
    <w:rsid w:val="00217321"/>
    <w:rsid w:val="00217379"/>
    <w:rsid w:val="0021738B"/>
    <w:rsid w:val="002173AC"/>
    <w:rsid w:val="002173B0"/>
    <w:rsid w:val="002173C8"/>
    <w:rsid w:val="00217464"/>
    <w:rsid w:val="00217467"/>
    <w:rsid w:val="0021748C"/>
    <w:rsid w:val="00217491"/>
    <w:rsid w:val="002174A5"/>
    <w:rsid w:val="002174C8"/>
    <w:rsid w:val="002174E1"/>
    <w:rsid w:val="002174E9"/>
    <w:rsid w:val="002174FC"/>
    <w:rsid w:val="00217580"/>
    <w:rsid w:val="002175A6"/>
    <w:rsid w:val="002175D6"/>
    <w:rsid w:val="002175FD"/>
    <w:rsid w:val="00217601"/>
    <w:rsid w:val="0021765A"/>
    <w:rsid w:val="0021765B"/>
    <w:rsid w:val="00217664"/>
    <w:rsid w:val="002176B1"/>
    <w:rsid w:val="002176FD"/>
    <w:rsid w:val="0021770A"/>
    <w:rsid w:val="00217714"/>
    <w:rsid w:val="00217732"/>
    <w:rsid w:val="00217743"/>
    <w:rsid w:val="0021774C"/>
    <w:rsid w:val="00217763"/>
    <w:rsid w:val="00217779"/>
    <w:rsid w:val="00217798"/>
    <w:rsid w:val="0021779C"/>
    <w:rsid w:val="002177D7"/>
    <w:rsid w:val="002177D8"/>
    <w:rsid w:val="002177DF"/>
    <w:rsid w:val="002177F3"/>
    <w:rsid w:val="00217802"/>
    <w:rsid w:val="00217809"/>
    <w:rsid w:val="0021782B"/>
    <w:rsid w:val="0021784A"/>
    <w:rsid w:val="0021785C"/>
    <w:rsid w:val="00217866"/>
    <w:rsid w:val="0021788A"/>
    <w:rsid w:val="002178B4"/>
    <w:rsid w:val="002178BA"/>
    <w:rsid w:val="002178C7"/>
    <w:rsid w:val="002178C8"/>
    <w:rsid w:val="002178F5"/>
    <w:rsid w:val="00217906"/>
    <w:rsid w:val="0021790B"/>
    <w:rsid w:val="00217919"/>
    <w:rsid w:val="00217946"/>
    <w:rsid w:val="00217951"/>
    <w:rsid w:val="0021797C"/>
    <w:rsid w:val="00217A06"/>
    <w:rsid w:val="00217A07"/>
    <w:rsid w:val="00217A08"/>
    <w:rsid w:val="00217AB1"/>
    <w:rsid w:val="00217AE1"/>
    <w:rsid w:val="00217B29"/>
    <w:rsid w:val="00217B31"/>
    <w:rsid w:val="00217B42"/>
    <w:rsid w:val="00217B6E"/>
    <w:rsid w:val="00217B85"/>
    <w:rsid w:val="00217B89"/>
    <w:rsid w:val="00217BB9"/>
    <w:rsid w:val="00217BCE"/>
    <w:rsid w:val="00217BCF"/>
    <w:rsid w:val="00217BD1"/>
    <w:rsid w:val="00217BDD"/>
    <w:rsid w:val="00217BE8"/>
    <w:rsid w:val="00217BEC"/>
    <w:rsid w:val="00217C4A"/>
    <w:rsid w:val="00217C63"/>
    <w:rsid w:val="00217C86"/>
    <w:rsid w:val="00217C93"/>
    <w:rsid w:val="00217CAF"/>
    <w:rsid w:val="00217CC7"/>
    <w:rsid w:val="00217CF0"/>
    <w:rsid w:val="00217D3C"/>
    <w:rsid w:val="00217D5F"/>
    <w:rsid w:val="00217D71"/>
    <w:rsid w:val="00217DB2"/>
    <w:rsid w:val="00217E18"/>
    <w:rsid w:val="00217E1C"/>
    <w:rsid w:val="00217E22"/>
    <w:rsid w:val="00217E5A"/>
    <w:rsid w:val="00217E95"/>
    <w:rsid w:val="00217EBF"/>
    <w:rsid w:val="00217EDA"/>
    <w:rsid w:val="00217EFF"/>
    <w:rsid w:val="00217F22"/>
    <w:rsid w:val="00217F27"/>
    <w:rsid w:val="0022001B"/>
    <w:rsid w:val="00220036"/>
    <w:rsid w:val="0022005E"/>
    <w:rsid w:val="002200A5"/>
    <w:rsid w:val="002200D2"/>
    <w:rsid w:val="002200D6"/>
    <w:rsid w:val="0022013A"/>
    <w:rsid w:val="00220146"/>
    <w:rsid w:val="00220152"/>
    <w:rsid w:val="00220173"/>
    <w:rsid w:val="00220179"/>
    <w:rsid w:val="002201AE"/>
    <w:rsid w:val="002201FC"/>
    <w:rsid w:val="0022023A"/>
    <w:rsid w:val="00220243"/>
    <w:rsid w:val="00220261"/>
    <w:rsid w:val="00220270"/>
    <w:rsid w:val="00220292"/>
    <w:rsid w:val="00220299"/>
    <w:rsid w:val="0022029B"/>
    <w:rsid w:val="002202BB"/>
    <w:rsid w:val="002202D0"/>
    <w:rsid w:val="00220359"/>
    <w:rsid w:val="00220399"/>
    <w:rsid w:val="002203E7"/>
    <w:rsid w:val="0022041E"/>
    <w:rsid w:val="002204A0"/>
    <w:rsid w:val="002204B6"/>
    <w:rsid w:val="002204B8"/>
    <w:rsid w:val="002204C1"/>
    <w:rsid w:val="002204CC"/>
    <w:rsid w:val="002204D6"/>
    <w:rsid w:val="002204E9"/>
    <w:rsid w:val="0022053D"/>
    <w:rsid w:val="00220546"/>
    <w:rsid w:val="00220548"/>
    <w:rsid w:val="00220561"/>
    <w:rsid w:val="00220577"/>
    <w:rsid w:val="0022057D"/>
    <w:rsid w:val="0022057F"/>
    <w:rsid w:val="002205A8"/>
    <w:rsid w:val="002205B7"/>
    <w:rsid w:val="002205D6"/>
    <w:rsid w:val="00220605"/>
    <w:rsid w:val="0022062D"/>
    <w:rsid w:val="0022062E"/>
    <w:rsid w:val="00220634"/>
    <w:rsid w:val="0022064E"/>
    <w:rsid w:val="00220653"/>
    <w:rsid w:val="0022068B"/>
    <w:rsid w:val="002206D7"/>
    <w:rsid w:val="002206F7"/>
    <w:rsid w:val="002206F8"/>
    <w:rsid w:val="00220704"/>
    <w:rsid w:val="0022070F"/>
    <w:rsid w:val="00220752"/>
    <w:rsid w:val="00220783"/>
    <w:rsid w:val="002207AD"/>
    <w:rsid w:val="002207BF"/>
    <w:rsid w:val="00220819"/>
    <w:rsid w:val="00220844"/>
    <w:rsid w:val="00220872"/>
    <w:rsid w:val="002208A9"/>
    <w:rsid w:val="002208B0"/>
    <w:rsid w:val="002208BF"/>
    <w:rsid w:val="002208CF"/>
    <w:rsid w:val="002208F3"/>
    <w:rsid w:val="00220909"/>
    <w:rsid w:val="0022092A"/>
    <w:rsid w:val="0022097B"/>
    <w:rsid w:val="002209A7"/>
    <w:rsid w:val="002209D3"/>
    <w:rsid w:val="002209FD"/>
    <w:rsid w:val="00220A03"/>
    <w:rsid w:val="00220A2D"/>
    <w:rsid w:val="00220AD2"/>
    <w:rsid w:val="00220AD7"/>
    <w:rsid w:val="00220AF4"/>
    <w:rsid w:val="00220AF7"/>
    <w:rsid w:val="00220B17"/>
    <w:rsid w:val="00220B6A"/>
    <w:rsid w:val="00220B88"/>
    <w:rsid w:val="00220BA1"/>
    <w:rsid w:val="00220BC6"/>
    <w:rsid w:val="00220BCA"/>
    <w:rsid w:val="00220C21"/>
    <w:rsid w:val="00220CDA"/>
    <w:rsid w:val="00220CE9"/>
    <w:rsid w:val="00220D09"/>
    <w:rsid w:val="00220D18"/>
    <w:rsid w:val="00220D46"/>
    <w:rsid w:val="00220D5F"/>
    <w:rsid w:val="00220D87"/>
    <w:rsid w:val="00220D90"/>
    <w:rsid w:val="00220D99"/>
    <w:rsid w:val="00220DDC"/>
    <w:rsid w:val="00220DE0"/>
    <w:rsid w:val="00220E26"/>
    <w:rsid w:val="00220E4B"/>
    <w:rsid w:val="00220E60"/>
    <w:rsid w:val="00220E7C"/>
    <w:rsid w:val="00220E81"/>
    <w:rsid w:val="00220E8C"/>
    <w:rsid w:val="00220EF6"/>
    <w:rsid w:val="00220F0F"/>
    <w:rsid w:val="00220F7B"/>
    <w:rsid w:val="00220FF9"/>
    <w:rsid w:val="00220FFC"/>
    <w:rsid w:val="00221028"/>
    <w:rsid w:val="00221041"/>
    <w:rsid w:val="00221071"/>
    <w:rsid w:val="0022107C"/>
    <w:rsid w:val="002210A8"/>
    <w:rsid w:val="002210AC"/>
    <w:rsid w:val="002210D8"/>
    <w:rsid w:val="002210E8"/>
    <w:rsid w:val="0022115C"/>
    <w:rsid w:val="002211B8"/>
    <w:rsid w:val="002211D9"/>
    <w:rsid w:val="002211ED"/>
    <w:rsid w:val="002211F0"/>
    <w:rsid w:val="00221214"/>
    <w:rsid w:val="00221247"/>
    <w:rsid w:val="002212CD"/>
    <w:rsid w:val="002212ED"/>
    <w:rsid w:val="00221325"/>
    <w:rsid w:val="00221331"/>
    <w:rsid w:val="00221347"/>
    <w:rsid w:val="00221396"/>
    <w:rsid w:val="002213A0"/>
    <w:rsid w:val="002213C2"/>
    <w:rsid w:val="002213FF"/>
    <w:rsid w:val="00221413"/>
    <w:rsid w:val="0022141A"/>
    <w:rsid w:val="002214EF"/>
    <w:rsid w:val="002214F4"/>
    <w:rsid w:val="002214F8"/>
    <w:rsid w:val="0022151F"/>
    <w:rsid w:val="00221545"/>
    <w:rsid w:val="00221563"/>
    <w:rsid w:val="0022158B"/>
    <w:rsid w:val="002215A8"/>
    <w:rsid w:val="002215D7"/>
    <w:rsid w:val="002215F5"/>
    <w:rsid w:val="00221605"/>
    <w:rsid w:val="0022163C"/>
    <w:rsid w:val="00221671"/>
    <w:rsid w:val="002216A3"/>
    <w:rsid w:val="00221723"/>
    <w:rsid w:val="0022175E"/>
    <w:rsid w:val="0022177B"/>
    <w:rsid w:val="00221791"/>
    <w:rsid w:val="00221793"/>
    <w:rsid w:val="0022179C"/>
    <w:rsid w:val="0022181A"/>
    <w:rsid w:val="00221837"/>
    <w:rsid w:val="0022189D"/>
    <w:rsid w:val="002218BF"/>
    <w:rsid w:val="002218C6"/>
    <w:rsid w:val="0022192A"/>
    <w:rsid w:val="00221975"/>
    <w:rsid w:val="002219B4"/>
    <w:rsid w:val="002219E5"/>
    <w:rsid w:val="00221A66"/>
    <w:rsid w:val="00221AA7"/>
    <w:rsid w:val="00221ACC"/>
    <w:rsid w:val="00221B03"/>
    <w:rsid w:val="00221B24"/>
    <w:rsid w:val="00221B25"/>
    <w:rsid w:val="00221B4D"/>
    <w:rsid w:val="00221B63"/>
    <w:rsid w:val="00221B83"/>
    <w:rsid w:val="00221BE6"/>
    <w:rsid w:val="00221C1E"/>
    <w:rsid w:val="00221C7F"/>
    <w:rsid w:val="00221C8D"/>
    <w:rsid w:val="00221CAB"/>
    <w:rsid w:val="00221CE8"/>
    <w:rsid w:val="00221D1F"/>
    <w:rsid w:val="00221D20"/>
    <w:rsid w:val="00221D3E"/>
    <w:rsid w:val="00221D58"/>
    <w:rsid w:val="00221DBE"/>
    <w:rsid w:val="00221DD6"/>
    <w:rsid w:val="00221DE3"/>
    <w:rsid w:val="00221DF3"/>
    <w:rsid w:val="00221E10"/>
    <w:rsid w:val="00221E29"/>
    <w:rsid w:val="00221E40"/>
    <w:rsid w:val="00221E86"/>
    <w:rsid w:val="00221E9E"/>
    <w:rsid w:val="00221EAF"/>
    <w:rsid w:val="00221EED"/>
    <w:rsid w:val="00221F27"/>
    <w:rsid w:val="00221F53"/>
    <w:rsid w:val="00221F71"/>
    <w:rsid w:val="00221F80"/>
    <w:rsid w:val="00221F9B"/>
    <w:rsid w:val="00221FA2"/>
    <w:rsid w:val="00221FE4"/>
    <w:rsid w:val="00222006"/>
    <w:rsid w:val="0022201A"/>
    <w:rsid w:val="00222056"/>
    <w:rsid w:val="00222057"/>
    <w:rsid w:val="00222058"/>
    <w:rsid w:val="0022208C"/>
    <w:rsid w:val="002220C7"/>
    <w:rsid w:val="002220CA"/>
    <w:rsid w:val="002220D0"/>
    <w:rsid w:val="0022211A"/>
    <w:rsid w:val="0022213F"/>
    <w:rsid w:val="0022214A"/>
    <w:rsid w:val="002221F4"/>
    <w:rsid w:val="0022226D"/>
    <w:rsid w:val="002222AE"/>
    <w:rsid w:val="002222D8"/>
    <w:rsid w:val="00222323"/>
    <w:rsid w:val="0022232B"/>
    <w:rsid w:val="00222332"/>
    <w:rsid w:val="0022234E"/>
    <w:rsid w:val="00222354"/>
    <w:rsid w:val="0022238E"/>
    <w:rsid w:val="00222397"/>
    <w:rsid w:val="002223A0"/>
    <w:rsid w:val="002223DF"/>
    <w:rsid w:val="002223EB"/>
    <w:rsid w:val="002223F1"/>
    <w:rsid w:val="002223FF"/>
    <w:rsid w:val="00222400"/>
    <w:rsid w:val="0022247A"/>
    <w:rsid w:val="00222499"/>
    <w:rsid w:val="0022250F"/>
    <w:rsid w:val="00222527"/>
    <w:rsid w:val="00222576"/>
    <w:rsid w:val="002225C4"/>
    <w:rsid w:val="002225EE"/>
    <w:rsid w:val="00222618"/>
    <w:rsid w:val="0022261E"/>
    <w:rsid w:val="00222647"/>
    <w:rsid w:val="0022264C"/>
    <w:rsid w:val="00222662"/>
    <w:rsid w:val="00222692"/>
    <w:rsid w:val="00222704"/>
    <w:rsid w:val="00222756"/>
    <w:rsid w:val="002227C1"/>
    <w:rsid w:val="0022282B"/>
    <w:rsid w:val="00222861"/>
    <w:rsid w:val="0022286D"/>
    <w:rsid w:val="0022288E"/>
    <w:rsid w:val="0022289B"/>
    <w:rsid w:val="002228AF"/>
    <w:rsid w:val="00222909"/>
    <w:rsid w:val="0022292C"/>
    <w:rsid w:val="00222943"/>
    <w:rsid w:val="00222959"/>
    <w:rsid w:val="002229EB"/>
    <w:rsid w:val="00222A27"/>
    <w:rsid w:val="00222A3F"/>
    <w:rsid w:val="00222A55"/>
    <w:rsid w:val="00222A62"/>
    <w:rsid w:val="00222AA3"/>
    <w:rsid w:val="00222AA8"/>
    <w:rsid w:val="00222AAE"/>
    <w:rsid w:val="00222AB4"/>
    <w:rsid w:val="00222AF7"/>
    <w:rsid w:val="00222B19"/>
    <w:rsid w:val="00222B25"/>
    <w:rsid w:val="00222B31"/>
    <w:rsid w:val="00222B61"/>
    <w:rsid w:val="00222B8F"/>
    <w:rsid w:val="00222B90"/>
    <w:rsid w:val="00222B9D"/>
    <w:rsid w:val="00222BB7"/>
    <w:rsid w:val="00222BC1"/>
    <w:rsid w:val="00222BD9"/>
    <w:rsid w:val="00222BE1"/>
    <w:rsid w:val="00222C31"/>
    <w:rsid w:val="00222C6C"/>
    <w:rsid w:val="00222C7B"/>
    <w:rsid w:val="00222C8E"/>
    <w:rsid w:val="00222C95"/>
    <w:rsid w:val="00222CB5"/>
    <w:rsid w:val="00222D0B"/>
    <w:rsid w:val="00222D35"/>
    <w:rsid w:val="00222D42"/>
    <w:rsid w:val="00222D5A"/>
    <w:rsid w:val="00222D74"/>
    <w:rsid w:val="00222DE1"/>
    <w:rsid w:val="00222E2E"/>
    <w:rsid w:val="00222E50"/>
    <w:rsid w:val="00222E6B"/>
    <w:rsid w:val="00222EE1"/>
    <w:rsid w:val="00222EEE"/>
    <w:rsid w:val="00222F18"/>
    <w:rsid w:val="00222F60"/>
    <w:rsid w:val="00222F69"/>
    <w:rsid w:val="00222F75"/>
    <w:rsid w:val="00222FBC"/>
    <w:rsid w:val="00222FF1"/>
    <w:rsid w:val="0022302E"/>
    <w:rsid w:val="00223034"/>
    <w:rsid w:val="0022303B"/>
    <w:rsid w:val="00223093"/>
    <w:rsid w:val="002230A9"/>
    <w:rsid w:val="002230B1"/>
    <w:rsid w:val="00223147"/>
    <w:rsid w:val="002231A4"/>
    <w:rsid w:val="00223299"/>
    <w:rsid w:val="002232A2"/>
    <w:rsid w:val="002232C2"/>
    <w:rsid w:val="0022331D"/>
    <w:rsid w:val="0022336A"/>
    <w:rsid w:val="00223398"/>
    <w:rsid w:val="00223401"/>
    <w:rsid w:val="00223405"/>
    <w:rsid w:val="00223406"/>
    <w:rsid w:val="0022343F"/>
    <w:rsid w:val="0022345C"/>
    <w:rsid w:val="0022347B"/>
    <w:rsid w:val="0022349F"/>
    <w:rsid w:val="002234A4"/>
    <w:rsid w:val="002234A6"/>
    <w:rsid w:val="002234B6"/>
    <w:rsid w:val="002234D0"/>
    <w:rsid w:val="002234D8"/>
    <w:rsid w:val="0022354F"/>
    <w:rsid w:val="0022355D"/>
    <w:rsid w:val="00223575"/>
    <w:rsid w:val="002235A1"/>
    <w:rsid w:val="00223601"/>
    <w:rsid w:val="00223606"/>
    <w:rsid w:val="00223612"/>
    <w:rsid w:val="00223649"/>
    <w:rsid w:val="0022364D"/>
    <w:rsid w:val="00223655"/>
    <w:rsid w:val="0022367C"/>
    <w:rsid w:val="002236F2"/>
    <w:rsid w:val="002236FA"/>
    <w:rsid w:val="00223703"/>
    <w:rsid w:val="00223731"/>
    <w:rsid w:val="0022374E"/>
    <w:rsid w:val="00223765"/>
    <w:rsid w:val="00223795"/>
    <w:rsid w:val="002237AD"/>
    <w:rsid w:val="002237C6"/>
    <w:rsid w:val="00223858"/>
    <w:rsid w:val="002238BB"/>
    <w:rsid w:val="002238BD"/>
    <w:rsid w:val="002238DF"/>
    <w:rsid w:val="002238FC"/>
    <w:rsid w:val="00223926"/>
    <w:rsid w:val="00223951"/>
    <w:rsid w:val="0022395A"/>
    <w:rsid w:val="00223988"/>
    <w:rsid w:val="002239CD"/>
    <w:rsid w:val="002239DE"/>
    <w:rsid w:val="002239E9"/>
    <w:rsid w:val="00223A0F"/>
    <w:rsid w:val="00223AAF"/>
    <w:rsid w:val="00223AE8"/>
    <w:rsid w:val="00223AF2"/>
    <w:rsid w:val="00223AFA"/>
    <w:rsid w:val="00223B28"/>
    <w:rsid w:val="00223B2C"/>
    <w:rsid w:val="00223B57"/>
    <w:rsid w:val="00223B8F"/>
    <w:rsid w:val="00223BAF"/>
    <w:rsid w:val="00223BB8"/>
    <w:rsid w:val="00223BBE"/>
    <w:rsid w:val="00223BF2"/>
    <w:rsid w:val="00223BFA"/>
    <w:rsid w:val="00223C3F"/>
    <w:rsid w:val="00223C57"/>
    <w:rsid w:val="00223C65"/>
    <w:rsid w:val="00223CA5"/>
    <w:rsid w:val="00223CB6"/>
    <w:rsid w:val="00223CB9"/>
    <w:rsid w:val="00223CCA"/>
    <w:rsid w:val="00223D1D"/>
    <w:rsid w:val="00223D55"/>
    <w:rsid w:val="00223D5A"/>
    <w:rsid w:val="00223D7A"/>
    <w:rsid w:val="00223D95"/>
    <w:rsid w:val="00223DA8"/>
    <w:rsid w:val="00223DD5"/>
    <w:rsid w:val="00223DE1"/>
    <w:rsid w:val="00223DED"/>
    <w:rsid w:val="00223DF1"/>
    <w:rsid w:val="00223E02"/>
    <w:rsid w:val="00223E1D"/>
    <w:rsid w:val="00223E38"/>
    <w:rsid w:val="00223E82"/>
    <w:rsid w:val="00223E85"/>
    <w:rsid w:val="00223F48"/>
    <w:rsid w:val="00223F63"/>
    <w:rsid w:val="00223FB6"/>
    <w:rsid w:val="00223FD8"/>
    <w:rsid w:val="00223FE9"/>
    <w:rsid w:val="00223FEC"/>
    <w:rsid w:val="00223FF0"/>
    <w:rsid w:val="0022400B"/>
    <w:rsid w:val="00224067"/>
    <w:rsid w:val="00224098"/>
    <w:rsid w:val="002240CE"/>
    <w:rsid w:val="002240E1"/>
    <w:rsid w:val="002240F6"/>
    <w:rsid w:val="00224127"/>
    <w:rsid w:val="0022413C"/>
    <w:rsid w:val="00224171"/>
    <w:rsid w:val="002241C9"/>
    <w:rsid w:val="002241DE"/>
    <w:rsid w:val="002241ED"/>
    <w:rsid w:val="00224228"/>
    <w:rsid w:val="00224247"/>
    <w:rsid w:val="0022424F"/>
    <w:rsid w:val="0022428E"/>
    <w:rsid w:val="002242A9"/>
    <w:rsid w:val="002242B3"/>
    <w:rsid w:val="002242D6"/>
    <w:rsid w:val="002242E3"/>
    <w:rsid w:val="0022432C"/>
    <w:rsid w:val="00224335"/>
    <w:rsid w:val="00224339"/>
    <w:rsid w:val="002243B0"/>
    <w:rsid w:val="002243CD"/>
    <w:rsid w:val="002243D5"/>
    <w:rsid w:val="00224419"/>
    <w:rsid w:val="0022441E"/>
    <w:rsid w:val="00224475"/>
    <w:rsid w:val="0022448F"/>
    <w:rsid w:val="0022449F"/>
    <w:rsid w:val="002244BC"/>
    <w:rsid w:val="002244CE"/>
    <w:rsid w:val="0022452D"/>
    <w:rsid w:val="0022453E"/>
    <w:rsid w:val="0022454D"/>
    <w:rsid w:val="0022457B"/>
    <w:rsid w:val="002245B7"/>
    <w:rsid w:val="002245EF"/>
    <w:rsid w:val="00224609"/>
    <w:rsid w:val="00224657"/>
    <w:rsid w:val="00224682"/>
    <w:rsid w:val="002246C7"/>
    <w:rsid w:val="002246F0"/>
    <w:rsid w:val="00224747"/>
    <w:rsid w:val="002247CF"/>
    <w:rsid w:val="00224830"/>
    <w:rsid w:val="00224836"/>
    <w:rsid w:val="00224888"/>
    <w:rsid w:val="002248BA"/>
    <w:rsid w:val="002248EF"/>
    <w:rsid w:val="002248FC"/>
    <w:rsid w:val="0022498F"/>
    <w:rsid w:val="00224A18"/>
    <w:rsid w:val="00224A24"/>
    <w:rsid w:val="00224A39"/>
    <w:rsid w:val="00224A47"/>
    <w:rsid w:val="00224A52"/>
    <w:rsid w:val="00224A5A"/>
    <w:rsid w:val="00224B1D"/>
    <w:rsid w:val="00224B3A"/>
    <w:rsid w:val="00224B74"/>
    <w:rsid w:val="00224B78"/>
    <w:rsid w:val="00224B87"/>
    <w:rsid w:val="00224B8F"/>
    <w:rsid w:val="00224B99"/>
    <w:rsid w:val="00224BB5"/>
    <w:rsid w:val="00224BE7"/>
    <w:rsid w:val="00224BEF"/>
    <w:rsid w:val="00224C09"/>
    <w:rsid w:val="00224C10"/>
    <w:rsid w:val="00224C94"/>
    <w:rsid w:val="00224C9A"/>
    <w:rsid w:val="00224CD5"/>
    <w:rsid w:val="00224CE6"/>
    <w:rsid w:val="00224CF1"/>
    <w:rsid w:val="00224D3E"/>
    <w:rsid w:val="00224D90"/>
    <w:rsid w:val="00224DBB"/>
    <w:rsid w:val="00224DBC"/>
    <w:rsid w:val="00224E13"/>
    <w:rsid w:val="00224E84"/>
    <w:rsid w:val="00224E8A"/>
    <w:rsid w:val="00224E9D"/>
    <w:rsid w:val="00224EB1"/>
    <w:rsid w:val="00224EBA"/>
    <w:rsid w:val="00224EE8"/>
    <w:rsid w:val="00224EEA"/>
    <w:rsid w:val="00224F1B"/>
    <w:rsid w:val="00224F37"/>
    <w:rsid w:val="00224F68"/>
    <w:rsid w:val="00224F86"/>
    <w:rsid w:val="00224FC3"/>
    <w:rsid w:val="00225098"/>
    <w:rsid w:val="002250A5"/>
    <w:rsid w:val="0022511C"/>
    <w:rsid w:val="0022511E"/>
    <w:rsid w:val="00225151"/>
    <w:rsid w:val="0022515B"/>
    <w:rsid w:val="002251AC"/>
    <w:rsid w:val="002251B5"/>
    <w:rsid w:val="00225205"/>
    <w:rsid w:val="00225237"/>
    <w:rsid w:val="00225250"/>
    <w:rsid w:val="0022528D"/>
    <w:rsid w:val="002252CF"/>
    <w:rsid w:val="002252FB"/>
    <w:rsid w:val="00225317"/>
    <w:rsid w:val="0022532E"/>
    <w:rsid w:val="00225333"/>
    <w:rsid w:val="00225392"/>
    <w:rsid w:val="002253B5"/>
    <w:rsid w:val="002253D7"/>
    <w:rsid w:val="0022540F"/>
    <w:rsid w:val="0022542A"/>
    <w:rsid w:val="00225442"/>
    <w:rsid w:val="00225464"/>
    <w:rsid w:val="002254A7"/>
    <w:rsid w:val="00225500"/>
    <w:rsid w:val="0022554C"/>
    <w:rsid w:val="0022555C"/>
    <w:rsid w:val="0022556B"/>
    <w:rsid w:val="002255BC"/>
    <w:rsid w:val="002255F0"/>
    <w:rsid w:val="00225624"/>
    <w:rsid w:val="00225630"/>
    <w:rsid w:val="0022565F"/>
    <w:rsid w:val="002256A9"/>
    <w:rsid w:val="002256AF"/>
    <w:rsid w:val="002256F2"/>
    <w:rsid w:val="00225793"/>
    <w:rsid w:val="002257AB"/>
    <w:rsid w:val="002257BD"/>
    <w:rsid w:val="00225813"/>
    <w:rsid w:val="00225835"/>
    <w:rsid w:val="00225841"/>
    <w:rsid w:val="00225856"/>
    <w:rsid w:val="00225857"/>
    <w:rsid w:val="002258F0"/>
    <w:rsid w:val="002258F2"/>
    <w:rsid w:val="002258F3"/>
    <w:rsid w:val="00225930"/>
    <w:rsid w:val="00225956"/>
    <w:rsid w:val="0022595C"/>
    <w:rsid w:val="00225962"/>
    <w:rsid w:val="0022598D"/>
    <w:rsid w:val="002259B6"/>
    <w:rsid w:val="002259FB"/>
    <w:rsid w:val="00225AD0"/>
    <w:rsid w:val="00225AE0"/>
    <w:rsid w:val="00225AFA"/>
    <w:rsid w:val="00225B0C"/>
    <w:rsid w:val="00225B52"/>
    <w:rsid w:val="00225B53"/>
    <w:rsid w:val="00225B62"/>
    <w:rsid w:val="00225B71"/>
    <w:rsid w:val="00225B94"/>
    <w:rsid w:val="00225BF7"/>
    <w:rsid w:val="00225C74"/>
    <w:rsid w:val="00225C76"/>
    <w:rsid w:val="00225C93"/>
    <w:rsid w:val="00225CA8"/>
    <w:rsid w:val="00225CB1"/>
    <w:rsid w:val="00225D0A"/>
    <w:rsid w:val="00225D15"/>
    <w:rsid w:val="00225D62"/>
    <w:rsid w:val="00225DA5"/>
    <w:rsid w:val="00225DD5"/>
    <w:rsid w:val="00225DE4"/>
    <w:rsid w:val="00225DF8"/>
    <w:rsid w:val="00225E03"/>
    <w:rsid w:val="00225E0C"/>
    <w:rsid w:val="00225E76"/>
    <w:rsid w:val="00225E9C"/>
    <w:rsid w:val="00225EA0"/>
    <w:rsid w:val="00225EAC"/>
    <w:rsid w:val="00225EBE"/>
    <w:rsid w:val="00225ED6"/>
    <w:rsid w:val="00225F0F"/>
    <w:rsid w:val="00225F13"/>
    <w:rsid w:val="00225F71"/>
    <w:rsid w:val="00225F9F"/>
    <w:rsid w:val="00225FA0"/>
    <w:rsid w:val="00225FC3"/>
    <w:rsid w:val="00225FC9"/>
    <w:rsid w:val="00225FD6"/>
    <w:rsid w:val="00226009"/>
    <w:rsid w:val="00226012"/>
    <w:rsid w:val="0022608C"/>
    <w:rsid w:val="00226092"/>
    <w:rsid w:val="002260A3"/>
    <w:rsid w:val="00226156"/>
    <w:rsid w:val="0022619A"/>
    <w:rsid w:val="0022619B"/>
    <w:rsid w:val="0022619D"/>
    <w:rsid w:val="002261D8"/>
    <w:rsid w:val="00226208"/>
    <w:rsid w:val="0022621D"/>
    <w:rsid w:val="00226240"/>
    <w:rsid w:val="0022624D"/>
    <w:rsid w:val="00226262"/>
    <w:rsid w:val="002262A9"/>
    <w:rsid w:val="002262AF"/>
    <w:rsid w:val="002262DA"/>
    <w:rsid w:val="002262DC"/>
    <w:rsid w:val="002262FE"/>
    <w:rsid w:val="00226319"/>
    <w:rsid w:val="00226329"/>
    <w:rsid w:val="00226340"/>
    <w:rsid w:val="00226377"/>
    <w:rsid w:val="0022639E"/>
    <w:rsid w:val="002263DD"/>
    <w:rsid w:val="002263F3"/>
    <w:rsid w:val="002263FE"/>
    <w:rsid w:val="00226406"/>
    <w:rsid w:val="00226443"/>
    <w:rsid w:val="0022648F"/>
    <w:rsid w:val="002264A3"/>
    <w:rsid w:val="0022652A"/>
    <w:rsid w:val="00226557"/>
    <w:rsid w:val="00226565"/>
    <w:rsid w:val="002265AA"/>
    <w:rsid w:val="002265B2"/>
    <w:rsid w:val="002265B5"/>
    <w:rsid w:val="0022661A"/>
    <w:rsid w:val="0022662A"/>
    <w:rsid w:val="0022662F"/>
    <w:rsid w:val="00226633"/>
    <w:rsid w:val="00226656"/>
    <w:rsid w:val="002266B7"/>
    <w:rsid w:val="002266CC"/>
    <w:rsid w:val="002266D8"/>
    <w:rsid w:val="00226701"/>
    <w:rsid w:val="00226702"/>
    <w:rsid w:val="00226712"/>
    <w:rsid w:val="002267A0"/>
    <w:rsid w:val="00226802"/>
    <w:rsid w:val="00226805"/>
    <w:rsid w:val="0022683B"/>
    <w:rsid w:val="0022686C"/>
    <w:rsid w:val="00226891"/>
    <w:rsid w:val="00226899"/>
    <w:rsid w:val="002268A4"/>
    <w:rsid w:val="002268E1"/>
    <w:rsid w:val="002268ED"/>
    <w:rsid w:val="002268EF"/>
    <w:rsid w:val="00226920"/>
    <w:rsid w:val="00226956"/>
    <w:rsid w:val="00226969"/>
    <w:rsid w:val="002269A7"/>
    <w:rsid w:val="002269BE"/>
    <w:rsid w:val="002269CA"/>
    <w:rsid w:val="002269E1"/>
    <w:rsid w:val="002269EC"/>
    <w:rsid w:val="00226A2E"/>
    <w:rsid w:val="00226AB6"/>
    <w:rsid w:val="00226B05"/>
    <w:rsid w:val="00226B13"/>
    <w:rsid w:val="00226B5D"/>
    <w:rsid w:val="00226BB4"/>
    <w:rsid w:val="00226BD0"/>
    <w:rsid w:val="00226BD9"/>
    <w:rsid w:val="00226C37"/>
    <w:rsid w:val="00226C52"/>
    <w:rsid w:val="00226C5B"/>
    <w:rsid w:val="00226C71"/>
    <w:rsid w:val="00226D31"/>
    <w:rsid w:val="00226D43"/>
    <w:rsid w:val="00226D4E"/>
    <w:rsid w:val="00226D5F"/>
    <w:rsid w:val="00226D64"/>
    <w:rsid w:val="00226D96"/>
    <w:rsid w:val="00226DA2"/>
    <w:rsid w:val="00226E10"/>
    <w:rsid w:val="00226E13"/>
    <w:rsid w:val="00226E26"/>
    <w:rsid w:val="00226E82"/>
    <w:rsid w:val="00226EA1"/>
    <w:rsid w:val="00226F08"/>
    <w:rsid w:val="00226F1F"/>
    <w:rsid w:val="00226F3C"/>
    <w:rsid w:val="00226F4E"/>
    <w:rsid w:val="00226F57"/>
    <w:rsid w:val="00226F7F"/>
    <w:rsid w:val="00226FDD"/>
    <w:rsid w:val="00226FF1"/>
    <w:rsid w:val="0022701E"/>
    <w:rsid w:val="002270AE"/>
    <w:rsid w:val="002270C4"/>
    <w:rsid w:val="00227136"/>
    <w:rsid w:val="0022719F"/>
    <w:rsid w:val="002271B4"/>
    <w:rsid w:val="002271DC"/>
    <w:rsid w:val="0022720E"/>
    <w:rsid w:val="00227231"/>
    <w:rsid w:val="0022724B"/>
    <w:rsid w:val="00227258"/>
    <w:rsid w:val="00227267"/>
    <w:rsid w:val="002272A3"/>
    <w:rsid w:val="002272BF"/>
    <w:rsid w:val="00227376"/>
    <w:rsid w:val="0022737C"/>
    <w:rsid w:val="002273A0"/>
    <w:rsid w:val="002273AA"/>
    <w:rsid w:val="002273B8"/>
    <w:rsid w:val="00227406"/>
    <w:rsid w:val="00227420"/>
    <w:rsid w:val="00227430"/>
    <w:rsid w:val="00227462"/>
    <w:rsid w:val="00227496"/>
    <w:rsid w:val="00227497"/>
    <w:rsid w:val="002274A1"/>
    <w:rsid w:val="002274A6"/>
    <w:rsid w:val="002274B4"/>
    <w:rsid w:val="002274E9"/>
    <w:rsid w:val="00227523"/>
    <w:rsid w:val="0022753F"/>
    <w:rsid w:val="0022754B"/>
    <w:rsid w:val="0022755C"/>
    <w:rsid w:val="002275AE"/>
    <w:rsid w:val="0022762B"/>
    <w:rsid w:val="00227666"/>
    <w:rsid w:val="00227682"/>
    <w:rsid w:val="002276B0"/>
    <w:rsid w:val="002276D4"/>
    <w:rsid w:val="002276F0"/>
    <w:rsid w:val="002276F5"/>
    <w:rsid w:val="00227726"/>
    <w:rsid w:val="0022774A"/>
    <w:rsid w:val="0022774E"/>
    <w:rsid w:val="00227782"/>
    <w:rsid w:val="002277B4"/>
    <w:rsid w:val="00227822"/>
    <w:rsid w:val="00227847"/>
    <w:rsid w:val="00227876"/>
    <w:rsid w:val="0022788B"/>
    <w:rsid w:val="002278CB"/>
    <w:rsid w:val="002278D8"/>
    <w:rsid w:val="002278ED"/>
    <w:rsid w:val="00227911"/>
    <w:rsid w:val="00227932"/>
    <w:rsid w:val="00227953"/>
    <w:rsid w:val="00227976"/>
    <w:rsid w:val="002279A4"/>
    <w:rsid w:val="002279D5"/>
    <w:rsid w:val="002279ED"/>
    <w:rsid w:val="00227A0D"/>
    <w:rsid w:val="00227A40"/>
    <w:rsid w:val="00227A5A"/>
    <w:rsid w:val="00227A6B"/>
    <w:rsid w:val="00227A78"/>
    <w:rsid w:val="00227A91"/>
    <w:rsid w:val="00227A9F"/>
    <w:rsid w:val="00227AA9"/>
    <w:rsid w:val="00227AD1"/>
    <w:rsid w:val="00227B1A"/>
    <w:rsid w:val="00227B97"/>
    <w:rsid w:val="00227B9A"/>
    <w:rsid w:val="00227BDA"/>
    <w:rsid w:val="00227BE4"/>
    <w:rsid w:val="00227BEA"/>
    <w:rsid w:val="00227C08"/>
    <w:rsid w:val="00227C27"/>
    <w:rsid w:val="00227C8B"/>
    <w:rsid w:val="00227CAF"/>
    <w:rsid w:val="00227CC5"/>
    <w:rsid w:val="00227CDF"/>
    <w:rsid w:val="00227D10"/>
    <w:rsid w:val="00227D26"/>
    <w:rsid w:val="00227D33"/>
    <w:rsid w:val="00227D36"/>
    <w:rsid w:val="00227D4C"/>
    <w:rsid w:val="00227E03"/>
    <w:rsid w:val="00227E31"/>
    <w:rsid w:val="00227E63"/>
    <w:rsid w:val="00227E67"/>
    <w:rsid w:val="00227EE0"/>
    <w:rsid w:val="00227EEC"/>
    <w:rsid w:val="00227EFC"/>
    <w:rsid w:val="00227F08"/>
    <w:rsid w:val="00227F12"/>
    <w:rsid w:val="00227F15"/>
    <w:rsid w:val="00227F52"/>
    <w:rsid w:val="00227F95"/>
    <w:rsid w:val="00227FD5"/>
    <w:rsid w:val="00227FDB"/>
    <w:rsid w:val="00227FE5"/>
    <w:rsid w:val="00227FF5"/>
    <w:rsid w:val="0023001B"/>
    <w:rsid w:val="0023004C"/>
    <w:rsid w:val="0023005B"/>
    <w:rsid w:val="0023006C"/>
    <w:rsid w:val="00230074"/>
    <w:rsid w:val="002300A5"/>
    <w:rsid w:val="002300AB"/>
    <w:rsid w:val="002300CB"/>
    <w:rsid w:val="002300CC"/>
    <w:rsid w:val="002300D1"/>
    <w:rsid w:val="0023011B"/>
    <w:rsid w:val="00230124"/>
    <w:rsid w:val="00230145"/>
    <w:rsid w:val="00230146"/>
    <w:rsid w:val="00230149"/>
    <w:rsid w:val="00230180"/>
    <w:rsid w:val="00230196"/>
    <w:rsid w:val="0023019A"/>
    <w:rsid w:val="00230252"/>
    <w:rsid w:val="0023026A"/>
    <w:rsid w:val="00230305"/>
    <w:rsid w:val="0023030B"/>
    <w:rsid w:val="00230316"/>
    <w:rsid w:val="00230327"/>
    <w:rsid w:val="0023034A"/>
    <w:rsid w:val="0023034B"/>
    <w:rsid w:val="0023037E"/>
    <w:rsid w:val="0023038F"/>
    <w:rsid w:val="002303A0"/>
    <w:rsid w:val="002303A5"/>
    <w:rsid w:val="002303AB"/>
    <w:rsid w:val="002303AC"/>
    <w:rsid w:val="002303D5"/>
    <w:rsid w:val="002303D7"/>
    <w:rsid w:val="002303DA"/>
    <w:rsid w:val="002303E4"/>
    <w:rsid w:val="00230409"/>
    <w:rsid w:val="00230421"/>
    <w:rsid w:val="00230437"/>
    <w:rsid w:val="0023043D"/>
    <w:rsid w:val="00230474"/>
    <w:rsid w:val="00230483"/>
    <w:rsid w:val="00230485"/>
    <w:rsid w:val="00230486"/>
    <w:rsid w:val="002304E7"/>
    <w:rsid w:val="00230537"/>
    <w:rsid w:val="00230548"/>
    <w:rsid w:val="00230599"/>
    <w:rsid w:val="002305E8"/>
    <w:rsid w:val="002305EB"/>
    <w:rsid w:val="0023060A"/>
    <w:rsid w:val="00230610"/>
    <w:rsid w:val="00230618"/>
    <w:rsid w:val="00230637"/>
    <w:rsid w:val="00230674"/>
    <w:rsid w:val="002306D7"/>
    <w:rsid w:val="00230730"/>
    <w:rsid w:val="00230731"/>
    <w:rsid w:val="00230745"/>
    <w:rsid w:val="00230757"/>
    <w:rsid w:val="00230786"/>
    <w:rsid w:val="0023079D"/>
    <w:rsid w:val="00230887"/>
    <w:rsid w:val="002308A0"/>
    <w:rsid w:val="0023090C"/>
    <w:rsid w:val="00230914"/>
    <w:rsid w:val="00230924"/>
    <w:rsid w:val="00230931"/>
    <w:rsid w:val="00230938"/>
    <w:rsid w:val="0023094C"/>
    <w:rsid w:val="002309D3"/>
    <w:rsid w:val="00230A53"/>
    <w:rsid w:val="00230A91"/>
    <w:rsid w:val="00230A93"/>
    <w:rsid w:val="00230AB6"/>
    <w:rsid w:val="00230AD6"/>
    <w:rsid w:val="00230B81"/>
    <w:rsid w:val="00230BB4"/>
    <w:rsid w:val="00230BD4"/>
    <w:rsid w:val="00230C19"/>
    <w:rsid w:val="00230C22"/>
    <w:rsid w:val="00230C5E"/>
    <w:rsid w:val="00230C78"/>
    <w:rsid w:val="00230C97"/>
    <w:rsid w:val="00230C9B"/>
    <w:rsid w:val="00230CB0"/>
    <w:rsid w:val="00230CBB"/>
    <w:rsid w:val="00230CEE"/>
    <w:rsid w:val="00230D60"/>
    <w:rsid w:val="00230DD0"/>
    <w:rsid w:val="00230E61"/>
    <w:rsid w:val="00230E96"/>
    <w:rsid w:val="00230F19"/>
    <w:rsid w:val="00230F81"/>
    <w:rsid w:val="00230F89"/>
    <w:rsid w:val="00230FB4"/>
    <w:rsid w:val="00230FDD"/>
    <w:rsid w:val="0023102A"/>
    <w:rsid w:val="00231060"/>
    <w:rsid w:val="0023107D"/>
    <w:rsid w:val="002310A4"/>
    <w:rsid w:val="002310EE"/>
    <w:rsid w:val="00231100"/>
    <w:rsid w:val="00231110"/>
    <w:rsid w:val="00231193"/>
    <w:rsid w:val="0023119B"/>
    <w:rsid w:val="0023119E"/>
    <w:rsid w:val="002311F0"/>
    <w:rsid w:val="0023120F"/>
    <w:rsid w:val="00231225"/>
    <w:rsid w:val="0023123B"/>
    <w:rsid w:val="00231269"/>
    <w:rsid w:val="002312A5"/>
    <w:rsid w:val="002312D6"/>
    <w:rsid w:val="00231317"/>
    <w:rsid w:val="00231323"/>
    <w:rsid w:val="0023134B"/>
    <w:rsid w:val="00231369"/>
    <w:rsid w:val="0023136B"/>
    <w:rsid w:val="0023136D"/>
    <w:rsid w:val="002313A7"/>
    <w:rsid w:val="002313BB"/>
    <w:rsid w:val="002313CB"/>
    <w:rsid w:val="00231450"/>
    <w:rsid w:val="0023146E"/>
    <w:rsid w:val="00231497"/>
    <w:rsid w:val="002314C2"/>
    <w:rsid w:val="002314CF"/>
    <w:rsid w:val="002314EC"/>
    <w:rsid w:val="002314F4"/>
    <w:rsid w:val="00231516"/>
    <w:rsid w:val="00231520"/>
    <w:rsid w:val="00231529"/>
    <w:rsid w:val="00231539"/>
    <w:rsid w:val="0023153D"/>
    <w:rsid w:val="00231547"/>
    <w:rsid w:val="0023154E"/>
    <w:rsid w:val="00231554"/>
    <w:rsid w:val="0023155C"/>
    <w:rsid w:val="00231587"/>
    <w:rsid w:val="00231597"/>
    <w:rsid w:val="0023159F"/>
    <w:rsid w:val="002315ED"/>
    <w:rsid w:val="002315F7"/>
    <w:rsid w:val="00231637"/>
    <w:rsid w:val="00231640"/>
    <w:rsid w:val="0023164E"/>
    <w:rsid w:val="00231653"/>
    <w:rsid w:val="0023166E"/>
    <w:rsid w:val="002316B9"/>
    <w:rsid w:val="002316E3"/>
    <w:rsid w:val="002316EC"/>
    <w:rsid w:val="00231715"/>
    <w:rsid w:val="0023172E"/>
    <w:rsid w:val="00231782"/>
    <w:rsid w:val="002317A0"/>
    <w:rsid w:val="002317FC"/>
    <w:rsid w:val="00231807"/>
    <w:rsid w:val="0023183E"/>
    <w:rsid w:val="0023193C"/>
    <w:rsid w:val="00231948"/>
    <w:rsid w:val="0023195C"/>
    <w:rsid w:val="00231964"/>
    <w:rsid w:val="0023198B"/>
    <w:rsid w:val="00231A3C"/>
    <w:rsid w:val="00231A43"/>
    <w:rsid w:val="00231A69"/>
    <w:rsid w:val="00231A6C"/>
    <w:rsid w:val="00231A7F"/>
    <w:rsid w:val="00231A82"/>
    <w:rsid w:val="00231A95"/>
    <w:rsid w:val="00231AC1"/>
    <w:rsid w:val="00231AE2"/>
    <w:rsid w:val="00231AEE"/>
    <w:rsid w:val="00231B28"/>
    <w:rsid w:val="00231B4B"/>
    <w:rsid w:val="00231B5C"/>
    <w:rsid w:val="00231B7C"/>
    <w:rsid w:val="00231BD5"/>
    <w:rsid w:val="00231BE8"/>
    <w:rsid w:val="00231C2A"/>
    <w:rsid w:val="00231C2B"/>
    <w:rsid w:val="00231C4E"/>
    <w:rsid w:val="00231C64"/>
    <w:rsid w:val="00231CC8"/>
    <w:rsid w:val="00231D03"/>
    <w:rsid w:val="00231D04"/>
    <w:rsid w:val="00231D0B"/>
    <w:rsid w:val="00231D11"/>
    <w:rsid w:val="00231D2E"/>
    <w:rsid w:val="00231D5B"/>
    <w:rsid w:val="00231D71"/>
    <w:rsid w:val="00231D9E"/>
    <w:rsid w:val="00231DA8"/>
    <w:rsid w:val="00231DAC"/>
    <w:rsid w:val="00231DF2"/>
    <w:rsid w:val="00231E2F"/>
    <w:rsid w:val="00231E71"/>
    <w:rsid w:val="00231E8C"/>
    <w:rsid w:val="00231EE3"/>
    <w:rsid w:val="00231F0A"/>
    <w:rsid w:val="00231F1C"/>
    <w:rsid w:val="00231F23"/>
    <w:rsid w:val="00231F2C"/>
    <w:rsid w:val="00231F8D"/>
    <w:rsid w:val="00231FB3"/>
    <w:rsid w:val="00231FBF"/>
    <w:rsid w:val="00231FCC"/>
    <w:rsid w:val="00231FE0"/>
    <w:rsid w:val="00232015"/>
    <w:rsid w:val="00232026"/>
    <w:rsid w:val="0023208F"/>
    <w:rsid w:val="002320AA"/>
    <w:rsid w:val="002320CC"/>
    <w:rsid w:val="00232105"/>
    <w:rsid w:val="00232131"/>
    <w:rsid w:val="0023213C"/>
    <w:rsid w:val="00232150"/>
    <w:rsid w:val="00232167"/>
    <w:rsid w:val="00232180"/>
    <w:rsid w:val="0023219C"/>
    <w:rsid w:val="002321C3"/>
    <w:rsid w:val="002321F3"/>
    <w:rsid w:val="00232204"/>
    <w:rsid w:val="00232245"/>
    <w:rsid w:val="00232264"/>
    <w:rsid w:val="0023227A"/>
    <w:rsid w:val="00232288"/>
    <w:rsid w:val="00232298"/>
    <w:rsid w:val="002322B1"/>
    <w:rsid w:val="002322B5"/>
    <w:rsid w:val="002322D4"/>
    <w:rsid w:val="002322E0"/>
    <w:rsid w:val="002322ED"/>
    <w:rsid w:val="002322F2"/>
    <w:rsid w:val="00232312"/>
    <w:rsid w:val="00232326"/>
    <w:rsid w:val="0023232B"/>
    <w:rsid w:val="0023232C"/>
    <w:rsid w:val="0023235F"/>
    <w:rsid w:val="0023237F"/>
    <w:rsid w:val="00232417"/>
    <w:rsid w:val="002324AF"/>
    <w:rsid w:val="002324BA"/>
    <w:rsid w:val="0023251A"/>
    <w:rsid w:val="00232530"/>
    <w:rsid w:val="002325AE"/>
    <w:rsid w:val="002325CF"/>
    <w:rsid w:val="0023260A"/>
    <w:rsid w:val="00232662"/>
    <w:rsid w:val="0023266D"/>
    <w:rsid w:val="002326E1"/>
    <w:rsid w:val="00232743"/>
    <w:rsid w:val="0023274D"/>
    <w:rsid w:val="00232754"/>
    <w:rsid w:val="0023275A"/>
    <w:rsid w:val="0023278A"/>
    <w:rsid w:val="00232792"/>
    <w:rsid w:val="002327A9"/>
    <w:rsid w:val="002327DF"/>
    <w:rsid w:val="002327F3"/>
    <w:rsid w:val="00232827"/>
    <w:rsid w:val="0023283C"/>
    <w:rsid w:val="00232871"/>
    <w:rsid w:val="00232919"/>
    <w:rsid w:val="0023294F"/>
    <w:rsid w:val="00232964"/>
    <w:rsid w:val="00232966"/>
    <w:rsid w:val="0023297B"/>
    <w:rsid w:val="0023297D"/>
    <w:rsid w:val="0023298C"/>
    <w:rsid w:val="002329D5"/>
    <w:rsid w:val="002329F9"/>
    <w:rsid w:val="00232A33"/>
    <w:rsid w:val="00232A5D"/>
    <w:rsid w:val="00232A76"/>
    <w:rsid w:val="00232AD4"/>
    <w:rsid w:val="00232AE1"/>
    <w:rsid w:val="00232AF1"/>
    <w:rsid w:val="00232AFA"/>
    <w:rsid w:val="00232B08"/>
    <w:rsid w:val="00232B2D"/>
    <w:rsid w:val="00232B3A"/>
    <w:rsid w:val="00232B70"/>
    <w:rsid w:val="00232B81"/>
    <w:rsid w:val="00232BE2"/>
    <w:rsid w:val="00232C52"/>
    <w:rsid w:val="00232C61"/>
    <w:rsid w:val="00232CF6"/>
    <w:rsid w:val="00232D44"/>
    <w:rsid w:val="00232D46"/>
    <w:rsid w:val="00232D72"/>
    <w:rsid w:val="00232DAE"/>
    <w:rsid w:val="00232E6E"/>
    <w:rsid w:val="00232E75"/>
    <w:rsid w:val="00232E77"/>
    <w:rsid w:val="00232E82"/>
    <w:rsid w:val="00232E9E"/>
    <w:rsid w:val="00232EDB"/>
    <w:rsid w:val="00232EE9"/>
    <w:rsid w:val="00232F13"/>
    <w:rsid w:val="00232FAF"/>
    <w:rsid w:val="00232FBF"/>
    <w:rsid w:val="00232FC6"/>
    <w:rsid w:val="00232FD8"/>
    <w:rsid w:val="00232FDC"/>
    <w:rsid w:val="00232FF2"/>
    <w:rsid w:val="00233010"/>
    <w:rsid w:val="00233070"/>
    <w:rsid w:val="0023311F"/>
    <w:rsid w:val="00233121"/>
    <w:rsid w:val="00233130"/>
    <w:rsid w:val="0023316F"/>
    <w:rsid w:val="0023317D"/>
    <w:rsid w:val="002331CE"/>
    <w:rsid w:val="002331CF"/>
    <w:rsid w:val="00233208"/>
    <w:rsid w:val="0023320F"/>
    <w:rsid w:val="0023323B"/>
    <w:rsid w:val="0023324B"/>
    <w:rsid w:val="002332EC"/>
    <w:rsid w:val="0023333D"/>
    <w:rsid w:val="00233368"/>
    <w:rsid w:val="0023336D"/>
    <w:rsid w:val="0023336F"/>
    <w:rsid w:val="002333A0"/>
    <w:rsid w:val="002333C5"/>
    <w:rsid w:val="002333D7"/>
    <w:rsid w:val="002333E5"/>
    <w:rsid w:val="002333EB"/>
    <w:rsid w:val="00233429"/>
    <w:rsid w:val="0023343B"/>
    <w:rsid w:val="0023344C"/>
    <w:rsid w:val="0023347E"/>
    <w:rsid w:val="0023352B"/>
    <w:rsid w:val="00233534"/>
    <w:rsid w:val="00233561"/>
    <w:rsid w:val="002335FF"/>
    <w:rsid w:val="0023368A"/>
    <w:rsid w:val="00233717"/>
    <w:rsid w:val="0023373E"/>
    <w:rsid w:val="00233757"/>
    <w:rsid w:val="0023377C"/>
    <w:rsid w:val="002337B1"/>
    <w:rsid w:val="002337D7"/>
    <w:rsid w:val="002337E1"/>
    <w:rsid w:val="00233819"/>
    <w:rsid w:val="0023383F"/>
    <w:rsid w:val="0023385D"/>
    <w:rsid w:val="0023387E"/>
    <w:rsid w:val="002338AD"/>
    <w:rsid w:val="002338B3"/>
    <w:rsid w:val="002338EB"/>
    <w:rsid w:val="00233949"/>
    <w:rsid w:val="00233975"/>
    <w:rsid w:val="00233989"/>
    <w:rsid w:val="002339C3"/>
    <w:rsid w:val="002339DB"/>
    <w:rsid w:val="002339FF"/>
    <w:rsid w:val="00233A3B"/>
    <w:rsid w:val="00233A3E"/>
    <w:rsid w:val="00233A40"/>
    <w:rsid w:val="00233A7E"/>
    <w:rsid w:val="00233A80"/>
    <w:rsid w:val="00233AE7"/>
    <w:rsid w:val="00233AF4"/>
    <w:rsid w:val="00233AFA"/>
    <w:rsid w:val="00233B04"/>
    <w:rsid w:val="00233BFD"/>
    <w:rsid w:val="00233C56"/>
    <w:rsid w:val="00233CA1"/>
    <w:rsid w:val="00233CB9"/>
    <w:rsid w:val="00233CC1"/>
    <w:rsid w:val="00233CCA"/>
    <w:rsid w:val="00233CDB"/>
    <w:rsid w:val="00233D08"/>
    <w:rsid w:val="00233D1C"/>
    <w:rsid w:val="00233D32"/>
    <w:rsid w:val="00233D4A"/>
    <w:rsid w:val="00233D7C"/>
    <w:rsid w:val="00233D90"/>
    <w:rsid w:val="00233E44"/>
    <w:rsid w:val="00233E54"/>
    <w:rsid w:val="00233E61"/>
    <w:rsid w:val="00233E62"/>
    <w:rsid w:val="00233E64"/>
    <w:rsid w:val="00233E84"/>
    <w:rsid w:val="00233EB9"/>
    <w:rsid w:val="00233ED4"/>
    <w:rsid w:val="00233EFF"/>
    <w:rsid w:val="00233F07"/>
    <w:rsid w:val="00233F13"/>
    <w:rsid w:val="00233F25"/>
    <w:rsid w:val="00233F26"/>
    <w:rsid w:val="00233F2A"/>
    <w:rsid w:val="00233FA1"/>
    <w:rsid w:val="00233FC0"/>
    <w:rsid w:val="00233FC1"/>
    <w:rsid w:val="00234048"/>
    <w:rsid w:val="00234084"/>
    <w:rsid w:val="00234099"/>
    <w:rsid w:val="002340A4"/>
    <w:rsid w:val="002340A8"/>
    <w:rsid w:val="002340ED"/>
    <w:rsid w:val="00234108"/>
    <w:rsid w:val="0023413B"/>
    <w:rsid w:val="00234143"/>
    <w:rsid w:val="00234185"/>
    <w:rsid w:val="002341B7"/>
    <w:rsid w:val="002341B9"/>
    <w:rsid w:val="002341C0"/>
    <w:rsid w:val="0023420F"/>
    <w:rsid w:val="00234214"/>
    <w:rsid w:val="00234228"/>
    <w:rsid w:val="002342D6"/>
    <w:rsid w:val="002342E3"/>
    <w:rsid w:val="002342EA"/>
    <w:rsid w:val="002342FC"/>
    <w:rsid w:val="002342FF"/>
    <w:rsid w:val="0023430C"/>
    <w:rsid w:val="00234377"/>
    <w:rsid w:val="00234393"/>
    <w:rsid w:val="0023439C"/>
    <w:rsid w:val="002343A2"/>
    <w:rsid w:val="002343C8"/>
    <w:rsid w:val="002343E9"/>
    <w:rsid w:val="00234412"/>
    <w:rsid w:val="00234427"/>
    <w:rsid w:val="0023446A"/>
    <w:rsid w:val="00234470"/>
    <w:rsid w:val="00234519"/>
    <w:rsid w:val="00234527"/>
    <w:rsid w:val="002345BA"/>
    <w:rsid w:val="002345D1"/>
    <w:rsid w:val="002345D5"/>
    <w:rsid w:val="002345F5"/>
    <w:rsid w:val="00234628"/>
    <w:rsid w:val="00234639"/>
    <w:rsid w:val="0023463D"/>
    <w:rsid w:val="002346A8"/>
    <w:rsid w:val="002346BF"/>
    <w:rsid w:val="0023470B"/>
    <w:rsid w:val="0023473D"/>
    <w:rsid w:val="00234753"/>
    <w:rsid w:val="00234756"/>
    <w:rsid w:val="00234764"/>
    <w:rsid w:val="0023476F"/>
    <w:rsid w:val="002347A0"/>
    <w:rsid w:val="002347DE"/>
    <w:rsid w:val="002347F0"/>
    <w:rsid w:val="002347FC"/>
    <w:rsid w:val="00234843"/>
    <w:rsid w:val="00234899"/>
    <w:rsid w:val="002348A7"/>
    <w:rsid w:val="002348B6"/>
    <w:rsid w:val="002348DD"/>
    <w:rsid w:val="002348EC"/>
    <w:rsid w:val="002348FB"/>
    <w:rsid w:val="00234935"/>
    <w:rsid w:val="0023493F"/>
    <w:rsid w:val="00234960"/>
    <w:rsid w:val="00234982"/>
    <w:rsid w:val="002349AC"/>
    <w:rsid w:val="002349E7"/>
    <w:rsid w:val="00234A01"/>
    <w:rsid w:val="00234A52"/>
    <w:rsid w:val="00234A99"/>
    <w:rsid w:val="00234AE2"/>
    <w:rsid w:val="00234AFB"/>
    <w:rsid w:val="00234B2A"/>
    <w:rsid w:val="00234B55"/>
    <w:rsid w:val="00234BCB"/>
    <w:rsid w:val="00234C01"/>
    <w:rsid w:val="00234C0D"/>
    <w:rsid w:val="00234C23"/>
    <w:rsid w:val="00234C3C"/>
    <w:rsid w:val="00234C59"/>
    <w:rsid w:val="00234C5B"/>
    <w:rsid w:val="00234C89"/>
    <w:rsid w:val="00234C9E"/>
    <w:rsid w:val="00234CA6"/>
    <w:rsid w:val="00234CB6"/>
    <w:rsid w:val="00234CEA"/>
    <w:rsid w:val="00234D17"/>
    <w:rsid w:val="00234D1E"/>
    <w:rsid w:val="00234D61"/>
    <w:rsid w:val="00234D6D"/>
    <w:rsid w:val="00234D73"/>
    <w:rsid w:val="00234DF4"/>
    <w:rsid w:val="00234E00"/>
    <w:rsid w:val="00234E21"/>
    <w:rsid w:val="00234E30"/>
    <w:rsid w:val="00234E88"/>
    <w:rsid w:val="00234E96"/>
    <w:rsid w:val="00234E99"/>
    <w:rsid w:val="00234EBA"/>
    <w:rsid w:val="00234EBB"/>
    <w:rsid w:val="00234EDD"/>
    <w:rsid w:val="00234EE2"/>
    <w:rsid w:val="00234EEC"/>
    <w:rsid w:val="00234F03"/>
    <w:rsid w:val="00234F66"/>
    <w:rsid w:val="00234FC2"/>
    <w:rsid w:val="00234FCF"/>
    <w:rsid w:val="00234FD6"/>
    <w:rsid w:val="00234FF1"/>
    <w:rsid w:val="00235002"/>
    <w:rsid w:val="0023506C"/>
    <w:rsid w:val="00235078"/>
    <w:rsid w:val="00235088"/>
    <w:rsid w:val="00235089"/>
    <w:rsid w:val="002350A8"/>
    <w:rsid w:val="002350B7"/>
    <w:rsid w:val="00235157"/>
    <w:rsid w:val="0023519C"/>
    <w:rsid w:val="002351D7"/>
    <w:rsid w:val="002351F9"/>
    <w:rsid w:val="00235233"/>
    <w:rsid w:val="00235267"/>
    <w:rsid w:val="002352D8"/>
    <w:rsid w:val="002352EA"/>
    <w:rsid w:val="002352EC"/>
    <w:rsid w:val="00235300"/>
    <w:rsid w:val="0023531D"/>
    <w:rsid w:val="00235330"/>
    <w:rsid w:val="00235341"/>
    <w:rsid w:val="0023534F"/>
    <w:rsid w:val="00235366"/>
    <w:rsid w:val="002353B8"/>
    <w:rsid w:val="002353D8"/>
    <w:rsid w:val="002353DA"/>
    <w:rsid w:val="00235442"/>
    <w:rsid w:val="00235483"/>
    <w:rsid w:val="002354C5"/>
    <w:rsid w:val="002354E4"/>
    <w:rsid w:val="00235526"/>
    <w:rsid w:val="0023552E"/>
    <w:rsid w:val="0023553A"/>
    <w:rsid w:val="00235552"/>
    <w:rsid w:val="0023556A"/>
    <w:rsid w:val="002355BB"/>
    <w:rsid w:val="002355BC"/>
    <w:rsid w:val="00235609"/>
    <w:rsid w:val="0023560E"/>
    <w:rsid w:val="00235610"/>
    <w:rsid w:val="00235641"/>
    <w:rsid w:val="00235648"/>
    <w:rsid w:val="002356A8"/>
    <w:rsid w:val="002356AF"/>
    <w:rsid w:val="002356EB"/>
    <w:rsid w:val="00235732"/>
    <w:rsid w:val="0023576A"/>
    <w:rsid w:val="002357EC"/>
    <w:rsid w:val="00235802"/>
    <w:rsid w:val="0023583F"/>
    <w:rsid w:val="00235844"/>
    <w:rsid w:val="00235847"/>
    <w:rsid w:val="0023584F"/>
    <w:rsid w:val="00235882"/>
    <w:rsid w:val="002358CB"/>
    <w:rsid w:val="002358FD"/>
    <w:rsid w:val="002358FE"/>
    <w:rsid w:val="0023591B"/>
    <w:rsid w:val="00235934"/>
    <w:rsid w:val="00235936"/>
    <w:rsid w:val="00235969"/>
    <w:rsid w:val="0023599D"/>
    <w:rsid w:val="002359A8"/>
    <w:rsid w:val="002359AD"/>
    <w:rsid w:val="002359DF"/>
    <w:rsid w:val="00235A17"/>
    <w:rsid w:val="00235A21"/>
    <w:rsid w:val="00235A22"/>
    <w:rsid w:val="00235A9B"/>
    <w:rsid w:val="00235AC0"/>
    <w:rsid w:val="00235AE6"/>
    <w:rsid w:val="00235B1C"/>
    <w:rsid w:val="00235B2F"/>
    <w:rsid w:val="00235B46"/>
    <w:rsid w:val="00235B73"/>
    <w:rsid w:val="00235B81"/>
    <w:rsid w:val="00235B84"/>
    <w:rsid w:val="00235BF7"/>
    <w:rsid w:val="00235C0C"/>
    <w:rsid w:val="00235C39"/>
    <w:rsid w:val="00235C46"/>
    <w:rsid w:val="00235C5C"/>
    <w:rsid w:val="00235C84"/>
    <w:rsid w:val="00235C9C"/>
    <w:rsid w:val="00235CD3"/>
    <w:rsid w:val="00235D28"/>
    <w:rsid w:val="00235D59"/>
    <w:rsid w:val="00235D67"/>
    <w:rsid w:val="00235E7B"/>
    <w:rsid w:val="00235E7F"/>
    <w:rsid w:val="00235E97"/>
    <w:rsid w:val="00235E98"/>
    <w:rsid w:val="00235EBE"/>
    <w:rsid w:val="00235F44"/>
    <w:rsid w:val="00235F57"/>
    <w:rsid w:val="00235F59"/>
    <w:rsid w:val="00235F8A"/>
    <w:rsid w:val="00235FB1"/>
    <w:rsid w:val="00235FCD"/>
    <w:rsid w:val="00236011"/>
    <w:rsid w:val="0023601F"/>
    <w:rsid w:val="00236050"/>
    <w:rsid w:val="00236067"/>
    <w:rsid w:val="002360C8"/>
    <w:rsid w:val="002360E6"/>
    <w:rsid w:val="002360FB"/>
    <w:rsid w:val="00236142"/>
    <w:rsid w:val="0023615A"/>
    <w:rsid w:val="00236163"/>
    <w:rsid w:val="0023616E"/>
    <w:rsid w:val="0023621E"/>
    <w:rsid w:val="00236252"/>
    <w:rsid w:val="00236255"/>
    <w:rsid w:val="00236262"/>
    <w:rsid w:val="00236272"/>
    <w:rsid w:val="002362C2"/>
    <w:rsid w:val="00236305"/>
    <w:rsid w:val="00236308"/>
    <w:rsid w:val="0023638A"/>
    <w:rsid w:val="0023638F"/>
    <w:rsid w:val="002363B3"/>
    <w:rsid w:val="002363E9"/>
    <w:rsid w:val="002363EE"/>
    <w:rsid w:val="0023645E"/>
    <w:rsid w:val="0023650C"/>
    <w:rsid w:val="00236535"/>
    <w:rsid w:val="002365DD"/>
    <w:rsid w:val="002365EA"/>
    <w:rsid w:val="002365EF"/>
    <w:rsid w:val="00236630"/>
    <w:rsid w:val="00236636"/>
    <w:rsid w:val="00236662"/>
    <w:rsid w:val="0023666B"/>
    <w:rsid w:val="0023666D"/>
    <w:rsid w:val="0023668A"/>
    <w:rsid w:val="002366A9"/>
    <w:rsid w:val="002366AB"/>
    <w:rsid w:val="002366FF"/>
    <w:rsid w:val="00236731"/>
    <w:rsid w:val="0023677B"/>
    <w:rsid w:val="00236793"/>
    <w:rsid w:val="002367A8"/>
    <w:rsid w:val="002367DC"/>
    <w:rsid w:val="002367EF"/>
    <w:rsid w:val="002367FF"/>
    <w:rsid w:val="00236839"/>
    <w:rsid w:val="0023685A"/>
    <w:rsid w:val="00236874"/>
    <w:rsid w:val="00236884"/>
    <w:rsid w:val="002368BE"/>
    <w:rsid w:val="002368E3"/>
    <w:rsid w:val="0023690C"/>
    <w:rsid w:val="00236927"/>
    <w:rsid w:val="0023695C"/>
    <w:rsid w:val="00236965"/>
    <w:rsid w:val="0023699F"/>
    <w:rsid w:val="00236A11"/>
    <w:rsid w:val="00236AD4"/>
    <w:rsid w:val="00236AFC"/>
    <w:rsid w:val="00236AFD"/>
    <w:rsid w:val="00236B39"/>
    <w:rsid w:val="00236B5B"/>
    <w:rsid w:val="00236B5D"/>
    <w:rsid w:val="00236B5F"/>
    <w:rsid w:val="00236B68"/>
    <w:rsid w:val="00236B90"/>
    <w:rsid w:val="00236C4E"/>
    <w:rsid w:val="00236C9C"/>
    <w:rsid w:val="00236CD4"/>
    <w:rsid w:val="00236CD9"/>
    <w:rsid w:val="00236D09"/>
    <w:rsid w:val="00236D0B"/>
    <w:rsid w:val="00236D2F"/>
    <w:rsid w:val="00236D4F"/>
    <w:rsid w:val="00236D88"/>
    <w:rsid w:val="00236D8D"/>
    <w:rsid w:val="00236DB0"/>
    <w:rsid w:val="00236DCA"/>
    <w:rsid w:val="00236DDC"/>
    <w:rsid w:val="00236E0F"/>
    <w:rsid w:val="00236E33"/>
    <w:rsid w:val="00236EA0"/>
    <w:rsid w:val="00236EA6"/>
    <w:rsid w:val="00236EC7"/>
    <w:rsid w:val="00236EE9"/>
    <w:rsid w:val="00236F2F"/>
    <w:rsid w:val="00236F3E"/>
    <w:rsid w:val="00236F4E"/>
    <w:rsid w:val="00236F55"/>
    <w:rsid w:val="00236F5F"/>
    <w:rsid w:val="00236F68"/>
    <w:rsid w:val="00236F9C"/>
    <w:rsid w:val="00236FAC"/>
    <w:rsid w:val="00236FD9"/>
    <w:rsid w:val="00236FF1"/>
    <w:rsid w:val="00237019"/>
    <w:rsid w:val="0023701F"/>
    <w:rsid w:val="00237073"/>
    <w:rsid w:val="0023707C"/>
    <w:rsid w:val="00237081"/>
    <w:rsid w:val="00237087"/>
    <w:rsid w:val="002370EE"/>
    <w:rsid w:val="0023717D"/>
    <w:rsid w:val="00237191"/>
    <w:rsid w:val="002371A7"/>
    <w:rsid w:val="002371C3"/>
    <w:rsid w:val="002371FF"/>
    <w:rsid w:val="00237219"/>
    <w:rsid w:val="0023723C"/>
    <w:rsid w:val="0023723E"/>
    <w:rsid w:val="00237243"/>
    <w:rsid w:val="0023724D"/>
    <w:rsid w:val="0023725E"/>
    <w:rsid w:val="00237281"/>
    <w:rsid w:val="00237294"/>
    <w:rsid w:val="002372C3"/>
    <w:rsid w:val="002372D1"/>
    <w:rsid w:val="002372E1"/>
    <w:rsid w:val="002372E6"/>
    <w:rsid w:val="0023730C"/>
    <w:rsid w:val="0023732A"/>
    <w:rsid w:val="00237339"/>
    <w:rsid w:val="00237360"/>
    <w:rsid w:val="0023736A"/>
    <w:rsid w:val="002373AA"/>
    <w:rsid w:val="002373DD"/>
    <w:rsid w:val="002374EE"/>
    <w:rsid w:val="00237509"/>
    <w:rsid w:val="00237514"/>
    <w:rsid w:val="00237524"/>
    <w:rsid w:val="00237545"/>
    <w:rsid w:val="00237554"/>
    <w:rsid w:val="00237567"/>
    <w:rsid w:val="00237584"/>
    <w:rsid w:val="00237585"/>
    <w:rsid w:val="002375EE"/>
    <w:rsid w:val="0023760A"/>
    <w:rsid w:val="00237644"/>
    <w:rsid w:val="00237646"/>
    <w:rsid w:val="002376AE"/>
    <w:rsid w:val="002376D1"/>
    <w:rsid w:val="002376DA"/>
    <w:rsid w:val="002376FC"/>
    <w:rsid w:val="00237718"/>
    <w:rsid w:val="00237750"/>
    <w:rsid w:val="002377CE"/>
    <w:rsid w:val="002377D3"/>
    <w:rsid w:val="0023784A"/>
    <w:rsid w:val="0023785A"/>
    <w:rsid w:val="0023787D"/>
    <w:rsid w:val="002378DD"/>
    <w:rsid w:val="00237900"/>
    <w:rsid w:val="00237904"/>
    <w:rsid w:val="0023792C"/>
    <w:rsid w:val="00237941"/>
    <w:rsid w:val="00237947"/>
    <w:rsid w:val="00237956"/>
    <w:rsid w:val="0023797D"/>
    <w:rsid w:val="00237998"/>
    <w:rsid w:val="002379A1"/>
    <w:rsid w:val="002379DD"/>
    <w:rsid w:val="002379E3"/>
    <w:rsid w:val="00237A03"/>
    <w:rsid w:val="00237A95"/>
    <w:rsid w:val="00237ABE"/>
    <w:rsid w:val="00237AD6"/>
    <w:rsid w:val="00237B89"/>
    <w:rsid w:val="00237BE2"/>
    <w:rsid w:val="00237BEF"/>
    <w:rsid w:val="00237BFC"/>
    <w:rsid w:val="00237C00"/>
    <w:rsid w:val="00237C60"/>
    <w:rsid w:val="00237C69"/>
    <w:rsid w:val="00237C6B"/>
    <w:rsid w:val="00237C8D"/>
    <w:rsid w:val="00237CA3"/>
    <w:rsid w:val="00237CBE"/>
    <w:rsid w:val="00237CDE"/>
    <w:rsid w:val="00237CF9"/>
    <w:rsid w:val="00237D94"/>
    <w:rsid w:val="00237DBC"/>
    <w:rsid w:val="00237E1A"/>
    <w:rsid w:val="00237E6C"/>
    <w:rsid w:val="00237E6D"/>
    <w:rsid w:val="00237E76"/>
    <w:rsid w:val="00237E78"/>
    <w:rsid w:val="00237F04"/>
    <w:rsid w:val="00237F18"/>
    <w:rsid w:val="00237F50"/>
    <w:rsid w:val="00237F60"/>
    <w:rsid w:val="00237F6C"/>
    <w:rsid w:val="00237F74"/>
    <w:rsid w:val="00237F88"/>
    <w:rsid w:val="00237F9C"/>
    <w:rsid w:val="00237FA1"/>
    <w:rsid w:val="00237FB3"/>
    <w:rsid w:val="00237FCB"/>
    <w:rsid w:val="00237FD4"/>
    <w:rsid w:val="00237FEF"/>
    <w:rsid w:val="00240028"/>
    <w:rsid w:val="00240067"/>
    <w:rsid w:val="0024006D"/>
    <w:rsid w:val="002400AD"/>
    <w:rsid w:val="002400D2"/>
    <w:rsid w:val="002400F0"/>
    <w:rsid w:val="002400F4"/>
    <w:rsid w:val="00240119"/>
    <w:rsid w:val="00240129"/>
    <w:rsid w:val="0024012F"/>
    <w:rsid w:val="00240133"/>
    <w:rsid w:val="00240155"/>
    <w:rsid w:val="002401B7"/>
    <w:rsid w:val="002401BF"/>
    <w:rsid w:val="002401C9"/>
    <w:rsid w:val="002401CE"/>
    <w:rsid w:val="002401E8"/>
    <w:rsid w:val="0024021B"/>
    <w:rsid w:val="0024023F"/>
    <w:rsid w:val="00240249"/>
    <w:rsid w:val="0024025D"/>
    <w:rsid w:val="00240291"/>
    <w:rsid w:val="0024029B"/>
    <w:rsid w:val="002402D7"/>
    <w:rsid w:val="00240323"/>
    <w:rsid w:val="0024033F"/>
    <w:rsid w:val="0024034D"/>
    <w:rsid w:val="002403C0"/>
    <w:rsid w:val="002403C2"/>
    <w:rsid w:val="002403D6"/>
    <w:rsid w:val="0024041D"/>
    <w:rsid w:val="002404A1"/>
    <w:rsid w:val="002404C9"/>
    <w:rsid w:val="002404F7"/>
    <w:rsid w:val="00240570"/>
    <w:rsid w:val="00240599"/>
    <w:rsid w:val="002405B1"/>
    <w:rsid w:val="00240602"/>
    <w:rsid w:val="00240688"/>
    <w:rsid w:val="002406B2"/>
    <w:rsid w:val="00240718"/>
    <w:rsid w:val="0024072E"/>
    <w:rsid w:val="0024076A"/>
    <w:rsid w:val="00240785"/>
    <w:rsid w:val="002407FF"/>
    <w:rsid w:val="0024080F"/>
    <w:rsid w:val="0024082A"/>
    <w:rsid w:val="00240855"/>
    <w:rsid w:val="00240856"/>
    <w:rsid w:val="00240867"/>
    <w:rsid w:val="002408C4"/>
    <w:rsid w:val="002408D5"/>
    <w:rsid w:val="002408DE"/>
    <w:rsid w:val="002408E5"/>
    <w:rsid w:val="00240935"/>
    <w:rsid w:val="0024096C"/>
    <w:rsid w:val="00240975"/>
    <w:rsid w:val="00240982"/>
    <w:rsid w:val="002409D4"/>
    <w:rsid w:val="002409D5"/>
    <w:rsid w:val="002409E4"/>
    <w:rsid w:val="00240A09"/>
    <w:rsid w:val="00240A18"/>
    <w:rsid w:val="00240A22"/>
    <w:rsid w:val="00240A45"/>
    <w:rsid w:val="00240ABA"/>
    <w:rsid w:val="00240AF6"/>
    <w:rsid w:val="00240B1A"/>
    <w:rsid w:val="00240B20"/>
    <w:rsid w:val="00240B60"/>
    <w:rsid w:val="00240B63"/>
    <w:rsid w:val="00240B7E"/>
    <w:rsid w:val="00240BBD"/>
    <w:rsid w:val="00240BCD"/>
    <w:rsid w:val="00240BF1"/>
    <w:rsid w:val="00240C3B"/>
    <w:rsid w:val="00240C81"/>
    <w:rsid w:val="00240CAD"/>
    <w:rsid w:val="00240CB3"/>
    <w:rsid w:val="00240D0A"/>
    <w:rsid w:val="00240D47"/>
    <w:rsid w:val="00240D50"/>
    <w:rsid w:val="00240D63"/>
    <w:rsid w:val="00240D69"/>
    <w:rsid w:val="00240D93"/>
    <w:rsid w:val="00240DA6"/>
    <w:rsid w:val="00240DFE"/>
    <w:rsid w:val="00240E77"/>
    <w:rsid w:val="00240EAE"/>
    <w:rsid w:val="00240EB2"/>
    <w:rsid w:val="00240EC0"/>
    <w:rsid w:val="00240EEB"/>
    <w:rsid w:val="00240EF6"/>
    <w:rsid w:val="00240F07"/>
    <w:rsid w:val="00240F27"/>
    <w:rsid w:val="00240F6D"/>
    <w:rsid w:val="00240F73"/>
    <w:rsid w:val="00240F74"/>
    <w:rsid w:val="00240FE4"/>
    <w:rsid w:val="00241022"/>
    <w:rsid w:val="00241046"/>
    <w:rsid w:val="0024105B"/>
    <w:rsid w:val="00241067"/>
    <w:rsid w:val="00241073"/>
    <w:rsid w:val="002410A3"/>
    <w:rsid w:val="002410A7"/>
    <w:rsid w:val="002410C2"/>
    <w:rsid w:val="002410C6"/>
    <w:rsid w:val="002410CF"/>
    <w:rsid w:val="002410D6"/>
    <w:rsid w:val="002410FC"/>
    <w:rsid w:val="00241133"/>
    <w:rsid w:val="00241177"/>
    <w:rsid w:val="00241195"/>
    <w:rsid w:val="0024119C"/>
    <w:rsid w:val="002411D1"/>
    <w:rsid w:val="0024121B"/>
    <w:rsid w:val="00241267"/>
    <w:rsid w:val="002412B3"/>
    <w:rsid w:val="002412E4"/>
    <w:rsid w:val="002412F4"/>
    <w:rsid w:val="00241301"/>
    <w:rsid w:val="00241311"/>
    <w:rsid w:val="00241317"/>
    <w:rsid w:val="0024132B"/>
    <w:rsid w:val="0024139D"/>
    <w:rsid w:val="002413C1"/>
    <w:rsid w:val="002413C8"/>
    <w:rsid w:val="002413DA"/>
    <w:rsid w:val="00241418"/>
    <w:rsid w:val="00241428"/>
    <w:rsid w:val="00241431"/>
    <w:rsid w:val="00241485"/>
    <w:rsid w:val="0024148D"/>
    <w:rsid w:val="002414B8"/>
    <w:rsid w:val="002414F2"/>
    <w:rsid w:val="002414FD"/>
    <w:rsid w:val="0024150B"/>
    <w:rsid w:val="00241514"/>
    <w:rsid w:val="00241519"/>
    <w:rsid w:val="0024154A"/>
    <w:rsid w:val="00241569"/>
    <w:rsid w:val="00241570"/>
    <w:rsid w:val="002415BD"/>
    <w:rsid w:val="002415E9"/>
    <w:rsid w:val="002415FA"/>
    <w:rsid w:val="00241623"/>
    <w:rsid w:val="00241624"/>
    <w:rsid w:val="0024169F"/>
    <w:rsid w:val="002416CD"/>
    <w:rsid w:val="00241711"/>
    <w:rsid w:val="00241720"/>
    <w:rsid w:val="00241745"/>
    <w:rsid w:val="002417D8"/>
    <w:rsid w:val="00241809"/>
    <w:rsid w:val="00241812"/>
    <w:rsid w:val="0024184F"/>
    <w:rsid w:val="0024187E"/>
    <w:rsid w:val="0024189A"/>
    <w:rsid w:val="002418AF"/>
    <w:rsid w:val="002418BD"/>
    <w:rsid w:val="002418C6"/>
    <w:rsid w:val="0024191C"/>
    <w:rsid w:val="0024198A"/>
    <w:rsid w:val="002419A2"/>
    <w:rsid w:val="002419D2"/>
    <w:rsid w:val="00241A10"/>
    <w:rsid w:val="00241A30"/>
    <w:rsid w:val="00241AA2"/>
    <w:rsid w:val="00241AA9"/>
    <w:rsid w:val="00241ADB"/>
    <w:rsid w:val="00241AE8"/>
    <w:rsid w:val="00241B37"/>
    <w:rsid w:val="00241B50"/>
    <w:rsid w:val="00241B71"/>
    <w:rsid w:val="00241BC4"/>
    <w:rsid w:val="00241C14"/>
    <w:rsid w:val="00241CC9"/>
    <w:rsid w:val="00241CCF"/>
    <w:rsid w:val="00241CD9"/>
    <w:rsid w:val="00241CE1"/>
    <w:rsid w:val="00241CEA"/>
    <w:rsid w:val="00241CF7"/>
    <w:rsid w:val="00241D35"/>
    <w:rsid w:val="00241D46"/>
    <w:rsid w:val="00241D4C"/>
    <w:rsid w:val="00241D50"/>
    <w:rsid w:val="00241D68"/>
    <w:rsid w:val="00241D8C"/>
    <w:rsid w:val="00241DA8"/>
    <w:rsid w:val="00241DC8"/>
    <w:rsid w:val="00241E1D"/>
    <w:rsid w:val="00241E36"/>
    <w:rsid w:val="00241E8C"/>
    <w:rsid w:val="00241EBC"/>
    <w:rsid w:val="00241F0D"/>
    <w:rsid w:val="00241F14"/>
    <w:rsid w:val="00241F93"/>
    <w:rsid w:val="00241FB4"/>
    <w:rsid w:val="00241FD0"/>
    <w:rsid w:val="00241FFC"/>
    <w:rsid w:val="00242041"/>
    <w:rsid w:val="00242080"/>
    <w:rsid w:val="002420A1"/>
    <w:rsid w:val="002420BA"/>
    <w:rsid w:val="002420C4"/>
    <w:rsid w:val="002420D8"/>
    <w:rsid w:val="002420DC"/>
    <w:rsid w:val="0024212E"/>
    <w:rsid w:val="00242179"/>
    <w:rsid w:val="0024219D"/>
    <w:rsid w:val="0024219E"/>
    <w:rsid w:val="002421C2"/>
    <w:rsid w:val="002421DF"/>
    <w:rsid w:val="002421F3"/>
    <w:rsid w:val="00242203"/>
    <w:rsid w:val="00242223"/>
    <w:rsid w:val="00242239"/>
    <w:rsid w:val="00242252"/>
    <w:rsid w:val="002422B8"/>
    <w:rsid w:val="002422E4"/>
    <w:rsid w:val="002422F7"/>
    <w:rsid w:val="0024232B"/>
    <w:rsid w:val="00242380"/>
    <w:rsid w:val="0024238B"/>
    <w:rsid w:val="00242397"/>
    <w:rsid w:val="002423CF"/>
    <w:rsid w:val="00242419"/>
    <w:rsid w:val="00242437"/>
    <w:rsid w:val="0024245B"/>
    <w:rsid w:val="00242468"/>
    <w:rsid w:val="00242475"/>
    <w:rsid w:val="002424FD"/>
    <w:rsid w:val="00242538"/>
    <w:rsid w:val="0024253D"/>
    <w:rsid w:val="00242576"/>
    <w:rsid w:val="002425DB"/>
    <w:rsid w:val="002425E3"/>
    <w:rsid w:val="00242613"/>
    <w:rsid w:val="00242632"/>
    <w:rsid w:val="00242634"/>
    <w:rsid w:val="00242651"/>
    <w:rsid w:val="0024268C"/>
    <w:rsid w:val="002426CA"/>
    <w:rsid w:val="0024270A"/>
    <w:rsid w:val="0024272A"/>
    <w:rsid w:val="0024272E"/>
    <w:rsid w:val="00242743"/>
    <w:rsid w:val="00242749"/>
    <w:rsid w:val="00242769"/>
    <w:rsid w:val="00242783"/>
    <w:rsid w:val="002427E1"/>
    <w:rsid w:val="00242827"/>
    <w:rsid w:val="00242833"/>
    <w:rsid w:val="00242838"/>
    <w:rsid w:val="0024283D"/>
    <w:rsid w:val="00242854"/>
    <w:rsid w:val="002428CA"/>
    <w:rsid w:val="002428E9"/>
    <w:rsid w:val="00242926"/>
    <w:rsid w:val="0024297C"/>
    <w:rsid w:val="00242986"/>
    <w:rsid w:val="00242A19"/>
    <w:rsid w:val="00242A20"/>
    <w:rsid w:val="00242A65"/>
    <w:rsid w:val="00242A6B"/>
    <w:rsid w:val="00242A71"/>
    <w:rsid w:val="00242AA7"/>
    <w:rsid w:val="00242AA9"/>
    <w:rsid w:val="00242AE8"/>
    <w:rsid w:val="00242B03"/>
    <w:rsid w:val="00242B0D"/>
    <w:rsid w:val="00242B2E"/>
    <w:rsid w:val="00242B52"/>
    <w:rsid w:val="00242B7D"/>
    <w:rsid w:val="00242B84"/>
    <w:rsid w:val="00242BA1"/>
    <w:rsid w:val="00242C03"/>
    <w:rsid w:val="00242C06"/>
    <w:rsid w:val="00242C28"/>
    <w:rsid w:val="00242C2F"/>
    <w:rsid w:val="00242C3D"/>
    <w:rsid w:val="00242C88"/>
    <w:rsid w:val="00242C9D"/>
    <w:rsid w:val="00242CC9"/>
    <w:rsid w:val="00242D03"/>
    <w:rsid w:val="00242D05"/>
    <w:rsid w:val="00242D16"/>
    <w:rsid w:val="00242D57"/>
    <w:rsid w:val="00242D76"/>
    <w:rsid w:val="00242D92"/>
    <w:rsid w:val="00242DA2"/>
    <w:rsid w:val="00242DC5"/>
    <w:rsid w:val="00242E25"/>
    <w:rsid w:val="00242E5E"/>
    <w:rsid w:val="00242E62"/>
    <w:rsid w:val="00242E78"/>
    <w:rsid w:val="00242ED7"/>
    <w:rsid w:val="00242EE6"/>
    <w:rsid w:val="00242F89"/>
    <w:rsid w:val="00242F97"/>
    <w:rsid w:val="00242FB3"/>
    <w:rsid w:val="0024300F"/>
    <w:rsid w:val="00243018"/>
    <w:rsid w:val="0024301E"/>
    <w:rsid w:val="00243081"/>
    <w:rsid w:val="00243086"/>
    <w:rsid w:val="002430A7"/>
    <w:rsid w:val="002430E5"/>
    <w:rsid w:val="002430EE"/>
    <w:rsid w:val="00243105"/>
    <w:rsid w:val="00243116"/>
    <w:rsid w:val="00243122"/>
    <w:rsid w:val="00243158"/>
    <w:rsid w:val="002431A3"/>
    <w:rsid w:val="002431AA"/>
    <w:rsid w:val="002431C7"/>
    <w:rsid w:val="002431FA"/>
    <w:rsid w:val="00243201"/>
    <w:rsid w:val="00243210"/>
    <w:rsid w:val="00243218"/>
    <w:rsid w:val="0024322A"/>
    <w:rsid w:val="0024324B"/>
    <w:rsid w:val="00243264"/>
    <w:rsid w:val="0024329C"/>
    <w:rsid w:val="0024335C"/>
    <w:rsid w:val="0024336C"/>
    <w:rsid w:val="00243393"/>
    <w:rsid w:val="002433B6"/>
    <w:rsid w:val="002433DB"/>
    <w:rsid w:val="002433FE"/>
    <w:rsid w:val="00243421"/>
    <w:rsid w:val="00243429"/>
    <w:rsid w:val="0024342D"/>
    <w:rsid w:val="00243450"/>
    <w:rsid w:val="0024345C"/>
    <w:rsid w:val="00243489"/>
    <w:rsid w:val="002434AF"/>
    <w:rsid w:val="002434D9"/>
    <w:rsid w:val="002434E8"/>
    <w:rsid w:val="002434FA"/>
    <w:rsid w:val="0024357A"/>
    <w:rsid w:val="002435AC"/>
    <w:rsid w:val="002435AD"/>
    <w:rsid w:val="002435C3"/>
    <w:rsid w:val="002435DB"/>
    <w:rsid w:val="0024360E"/>
    <w:rsid w:val="0024360F"/>
    <w:rsid w:val="00243624"/>
    <w:rsid w:val="0024362E"/>
    <w:rsid w:val="00243663"/>
    <w:rsid w:val="00243675"/>
    <w:rsid w:val="002436A7"/>
    <w:rsid w:val="002436C3"/>
    <w:rsid w:val="002436DB"/>
    <w:rsid w:val="0024371F"/>
    <w:rsid w:val="00243738"/>
    <w:rsid w:val="00243796"/>
    <w:rsid w:val="0024379E"/>
    <w:rsid w:val="002437A1"/>
    <w:rsid w:val="0024384B"/>
    <w:rsid w:val="00243852"/>
    <w:rsid w:val="002438A2"/>
    <w:rsid w:val="002438AF"/>
    <w:rsid w:val="002438BF"/>
    <w:rsid w:val="002438D9"/>
    <w:rsid w:val="002438E9"/>
    <w:rsid w:val="002438EF"/>
    <w:rsid w:val="00243911"/>
    <w:rsid w:val="0024393E"/>
    <w:rsid w:val="00243969"/>
    <w:rsid w:val="00243973"/>
    <w:rsid w:val="0024397D"/>
    <w:rsid w:val="0024398D"/>
    <w:rsid w:val="0024399C"/>
    <w:rsid w:val="002439AB"/>
    <w:rsid w:val="002439FD"/>
    <w:rsid w:val="00243A42"/>
    <w:rsid w:val="00243A62"/>
    <w:rsid w:val="00243AA3"/>
    <w:rsid w:val="00243AA6"/>
    <w:rsid w:val="00243AC8"/>
    <w:rsid w:val="00243B30"/>
    <w:rsid w:val="00243B6C"/>
    <w:rsid w:val="00243B82"/>
    <w:rsid w:val="00243B85"/>
    <w:rsid w:val="00243B9A"/>
    <w:rsid w:val="00243BC3"/>
    <w:rsid w:val="00243BC4"/>
    <w:rsid w:val="00243BF1"/>
    <w:rsid w:val="00243C27"/>
    <w:rsid w:val="00243C70"/>
    <w:rsid w:val="00243C78"/>
    <w:rsid w:val="00243CA7"/>
    <w:rsid w:val="00243CAD"/>
    <w:rsid w:val="00243CBA"/>
    <w:rsid w:val="00243CED"/>
    <w:rsid w:val="00243D32"/>
    <w:rsid w:val="00243D89"/>
    <w:rsid w:val="00243DB1"/>
    <w:rsid w:val="00243DEA"/>
    <w:rsid w:val="00243DEB"/>
    <w:rsid w:val="00243E0C"/>
    <w:rsid w:val="00243E1D"/>
    <w:rsid w:val="00243E39"/>
    <w:rsid w:val="00243E4A"/>
    <w:rsid w:val="00243E74"/>
    <w:rsid w:val="00243E96"/>
    <w:rsid w:val="00243EAC"/>
    <w:rsid w:val="00243EAD"/>
    <w:rsid w:val="00243EE7"/>
    <w:rsid w:val="00243F09"/>
    <w:rsid w:val="00243F3A"/>
    <w:rsid w:val="00243F5D"/>
    <w:rsid w:val="00243F9E"/>
    <w:rsid w:val="00243FC8"/>
    <w:rsid w:val="00243FD3"/>
    <w:rsid w:val="00243FE7"/>
    <w:rsid w:val="00244073"/>
    <w:rsid w:val="0024409E"/>
    <w:rsid w:val="0024411E"/>
    <w:rsid w:val="00244164"/>
    <w:rsid w:val="0024419F"/>
    <w:rsid w:val="002441AC"/>
    <w:rsid w:val="002441E6"/>
    <w:rsid w:val="00244225"/>
    <w:rsid w:val="00244226"/>
    <w:rsid w:val="002442BF"/>
    <w:rsid w:val="002442C0"/>
    <w:rsid w:val="002442DA"/>
    <w:rsid w:val="00244357"/>
    <w:rsid w:val="00244363"/>
    <w:rsid w:val="0024441E"/>
    <w:rsid w:val="00244428"/>
    <w:rsid w:val="00244436"/>
    <w:rsid w:val="00244467"/>
    <w:rsid w:val="00244514"/>
    <w:rsid w:val="0024452A"/>
    <w:rsid w:val="00244533"/>
    <w:rsid w:val="002445C4"/>
    <w:rsid w:val="002445D6"/>
    <w:rsid w:val="0024462E"/>
    <w:rsid w:val="00244657"/>
    <w:rsid w:val="00244672"/>
    <w:rsid w:val="002446A0"/>
    <w:rsid w:val="002446AB"/>
    <w:rsid w:val="002446DB"/>
    <w:rsid w:val="00244734"/>
    <w:rsid w:val="00244760"/>
    <w:rsid w:val="00244763"/>
    <w:rsid w:val="00244786"/>
    <w:rsid w:val="002447A8"/>
    <w:rsid w:val="002447D0"/>
    <w:rsid w:val="0024480A"/>
    <w:rsid w:val="0024489B"/>
    <w:rsid w:val="002448B6"/>
    <w:rsid w:val="002448B7"/>
    <w:rsid w:val="002448B9"/>
    <w:rsid w:val="00244928"/>
    <w:rsid w:val="002449A5"/>
    <w:rsid w:val="002449AE"/>
    <w:rsid w:val="002449CD"/>
    <w:rsid w:val="002449CF"/>
    <w:rsid w:val="002449E5"/>
    <w:rsid w:val="002449EC"/>
    <w:rsid w:val="00244A7D"/>
    <w:rsid w:val="00244A7E"/>
    <w:rsid w:val="00244A91"/>
    <w:rsid w:val="00244B3C"/>
    <w:rsid w:val="00244B49"/>
    <w:rsid w:val="00244B4E"/>
    <w:rsid w:val="00244B5D"/>
    <w:rsid w:val="00244B83"/>
    <w:rsid w:val="00244B8D"/>
    <w:rsid w:val="00244BCB"/>
    <w:rsid w:val="00244C11"/>
    <w:rsid w:val="00244C2F"/>
    <w:rsid w:val="00244C32"/>
    <w:rsid w:val="00244C34"/>
    <w:rsid w:val="00244C4E"/>
    <w:rsid w:val="00244C6F"/>
    <w:rsid w:val="00244C8E"/>
    <w:rsid w:val="00244C9D"/>
    <w:rsid w:val="00244CA4"/>
    <w:rsid w:val="00244CB1"/>
    <w:rsid w:val="00244CB7"/>
    <w:rsid w:val="00244CE4"/>
    <w:rsid w:val="00244D05"/>
    <w:rsid w:val="00244D0C"/>
    <w:rsid w:val="00244D1D"/>
    <w:rsid w:val="00244D39"/>
    <w:rsid w:val="00244D8F"/>
    <w:rsid w:val="00244D9D"/>
    <w:rsid w:val="00244DD5"/>
    <w:rsid w:val="00244DFD"/>
    <w:rsid w:val="00244E12"/>
    <w:rsid w:val="00244E19"/>
    <w:rsid w:val="00244E35"/>
    <w:rsid w:val="00244EB8"/>
    <w:rsid w:val="00244EBA"/>
    <w:rsid w:val="00244EC1"/>
    <w:rsid w:val="00244ED4"/>
    <w:rsid w:val="00244EF8"/>
    <w:rsid w:val="00244EFC"/>
    <w:rsid w:val="00244F03"/>
    <w:rsid w:val="00244F4D"/>
    <w:rsid w:val="00244F93"/>
    <w:rsid w:val="00244FB9"/>
    <w:rsid w:val="00244FBC"/>
    <w:rsid w:val="00244FCD"/>
    <w:rsid w:val="00245025"/>
    <w:rsid w:val="00245094"/>
    <w:rsid w:val="002450AB"/>
    <w:rsid w:val="002450C2"/>
    <w:rsid w:val="002450D1"/>
    <w:rsid w:val="002450ED"/>
    <w:rsid w:val="00245119"/>
    <w:rsid w:val="0024511A"/>
    <w:rsid w:val="0024516A"/>
    <w:rsid w:val="002451DC"/>
    <w:rsid w:val="002451E4"/>
    <w:rsid w:val="002451F4"/>
    <w:rsid w:val="00245221"/>
    <w:rsid w:val="00245223"/>
    <w:rsid w:val="0024522F"/>
    <w:rsid w:val="00245257"/>
    <w:rsid w:val="002452CB"/>
    <w:rsid w:val="00245348"/>
    <w:rsid w:val="00245361"/>
    <w:rsid w:val="00245369"/>
    <w:rsid w:val="0024536B"/>
    <w:rsid w:val="00245371"/>
    <w:rsid w:val="0024538B"/>
    <w:rsid w:val="0024538E"/>
    <w:rsid w:val="002453B6"/>
    <w:rsid w:val="002453BB"/>
    <w:rsid w:val="002453C8"/>
    <w:rsid w:val="002453CE"/>
    <w:rsid w:val="002453D6"/>
    <w:rsid w:val="002453E0"/>
    <w:rsid w:val="002453EE"/>
    <w:rsid w:val="0024542C"/>
    <w:rsid w:val="00245449"/>
    <w:rsid w:val="0024544D"/>
    <w:rsid w:val="00245471"/>
    <w:rsid w:val="002454BB"/>
    <w:rsid w:val="002454F4"/>
    <w:rsid w:val="0024553E"/>
    <w:rsid w:val="00245570"/>
    <w:rsid w:val="00245572"/>
    <w:rsid w:val="002455B4"/>
    <w:rsid w:val="00245636"/>
    <w:rsid w:val="00245657"/>
    <w:rsid w:val="00245664"/>
    <w:rsid w:val="00245675"/>
    <w:rsid w:val="00245682"/>
    <w:rsid w:val="0024569D"/>
    <w:rsid w:val="002456AF"/>
    <w:rsid w:val="002456B3"/>
    <w:rsid w:val="002456D3"/>
    <w:rsid w:val="00245762"/>
    <w:rsid w:val="002457D8"/>
    <w:rsid w:val="00245811"/>
    <w:rsid w:val="0024582A"/>
    <w:rsid w:val="00245866"/>
    <w:rsid w:val="00245869"/>
    <w:rsid w:val="002458C7"/>
    <w:rsid w:val="002458DB"/>
    <w:rsid w:val="002458E3"/>
    <w:rsid w:val="00245910"/>
    <w:rsid w:val="0024591A"/>
    <w:rsid w:val="00245943"/>
    <w:rsid w:val="00245984"/>
    <w:rsid w:val="002459B0"/>
    <w:rsid w:val="002459C4"/>
    <w:rsid w:val="002459DA"/>
    <w:rsid w:val="00245A0B"/>
    <w:rsid w:val="00245A54"/>
    <w:rsid w:val="00245A6C"/>
    <w:rsid w:val="00245A9F"/>
    <w:rsid w:val="00245AB5"/>
    <w:rsid w:val="00245B10"/>
    <w:rsid w:val="00245B29"/>
    <w:rsid w:val="00245B4A"/>
    <w:rsid w:val="00245B76"/>
    <w:rsid w:val="00245B82"/>
    <w:rsid w:val="00245B96"/>
    <w:rsid w:val="00245BAD"/>
    <w:rsid w:val="00245BFF"/>
    <w:rsid w:val="00245CFA"/>
    <w:rsid w:val="00245D17"/>
    <w:rsid w:val="00245DC6"/>
    <w:rsid w:val="00245DC9"/>
    <w:rsid w:val="00245DE4"/>
    <w:rsid w:val="00245DEB"/>
    <w:rsid w:val="00245DF4"/>
    <w:rsid w:val="00245E09"/>
    <w:rsid w:val="00245E86"/>
    <w:rsid w:val="00245E92"/>
    <w:rsid w:val="00245EFF"/>
    <w:rsid w:val="00245F11"/>
    <w:rsid w:val="00245F16"/>
    <w:rsid w:val="00245F2B"/>
    <w:rsid w:val="00245F63"/>
    <w:rsid w:val="00245F7A"/>
    <w:rsid w:val="00245FA1"/>
    <w:rsid w:val="00245FBF"/>
    <w:rsid w:val="00245FD1"/>
    <w:rsid w:val="00245FF5"/>
    <w:rsid w:val="00246000"/>
    <w:rsid w:val="00246009"/>
    <w:rsid w:val="0024600A"/>
    <w:rsid w:val="00246025"/>
    <w:rsid w:val="0024605F"/>
    <w:rsid w:val="00246062"/>
    <w:rsid w:val="00246079"/>
    <w:rsid w:val="0024613A"/>
    <w:rsid w:val="002461B0"/>
    <w:rsid w:val="002461EE"/>
    <w:rsid w:val="0024620E"/>
    <w:rsid w:val="00246220"/>
    <w:rsid w:val="00246224"/>
    <w:rsid w:val="00246259"/>
    <w:rsid w:val="002462A4"/>
    <w:rsid w:val="002462AD"/>
    <w:rsid w:val="002462BD"/>
    <w:rsid w:val="002462C7"/>
    <w:rsid w:val="00246309"/>
    <w:rsid w:val="00246315"/>
    <w:rsid w:val="0024632B"/>
    <w:rsid w:val="0024637B"/>
    <w:rsid w:val="002463B6"/>
    <w:rsid w:val="002463BE"/>
    <w:rsid w:val="002463BF"/>
    <w:rsid w:val="002463CF"/>
    <w:rsid w:val="00246407"/>
    <w:rsid w:val="00246414"/>
    <w:rsid w:val="00246453"/>
    <w:rsid w:val="0024646F"/>
    <w:rsid w:val="0024647B"/>
    <w:rsid w:val="0024649E"/>
    <w:rsid w:val="00246502"/>
    <w:rsid w:val="0024650E"/>
    <w:rsid w:val="0024651F"/>
    <w:rsid w:val="00246522"/>
    <w:rsid w:val="0024654A"/>
    <w:rsid w:val="0024654D"/>
    <w:rsid w:val="00246563"/>
    <w:rsid w:val="002466BD"/>
    <w:rsid w:val="002466EA"/>
    <w:rsid w:val="002466F0"/>
    <w:rsid w:val="002466F5"/>
    <w:rsid w:val="0024673C"/>
    <w:rsid w:val="0024674D"/>
    <w:rsid w:val="0024677B"/>
    <w:rsid w:val="00246797"/>
    <w:rsid w:val="0024679B"/>
    <w:rsid w:val="002467C2"/>
    <w:rsid w:val="00246818"/>
    <w:rsid w:val="00246824"/>
    <w:rsid w:val="0024687E"/>
    <w:rsid w:val="00246886"/>
    <w:rsid w:val="002468EF"/>
    <w:rsid w:val="00246910"/>
    <w:rsid w:val="0024696F"/>
    <w:rsid w:val="00246973"/>
    <w:rsid w:val="0024697E"/>
    <w:rsid w:val="002469D8"/>
    <w:rsid w:val="002469F5"/>
    <w:rsid w:val="00246AED"/>
    <w:rsid w:val="00246AF6"/>
    <w:rsid w:val="00246B3B"/>
    <w:rsid w:val="00246B45"/>
    <w:rsid w:val="00246B74"/>
    <w:rsid w:val="00246BA8"/>
    <w:rsid w:val="00246BC1"/>
    <w:rsid w:val="00246C0C"/>
    <w:rsid w:val="00246C13"/>
    <w:rsid w:val="00246C21"/>
    <w:rsid w:val="00246C22"/>
    <w:rsid w:val="00246C47"/>
    <w:rsid w:val="00246C75"/>
    <w:rsid w:val="00246CA7"/>
    <w:rsid w:val="00246CCD"/>
    <w:rsid w:val="00246CE1"/>
    <w:rsid w:val="00246D52"/>
    <w:rsid w:val="00246DAC"/>
    <w:rsid w:val="00246DE0"/>
    <w:rsid w:val="00246E0B"/>
    <w:rsid w:val="00246E39"/>
    <w:rsid w:val="00246EC2"/>
    <w:rsid w:val="00246EDC"/>
    <w:rsid w:val="00246EEA"/>
    <w:rsid w:val="00246F09"/>
    <w:rsid w:val="00246F11"/>
    <w:rsid w:val="00246F45"/>
    <w:rsid w:val="00246FAD"/>
    <w:rsid w:val="00246FDA"/>
    <w:rsid w:val="00247005"/>
    <w:rsid w:val="0024704C"/>
    <w:rsid w:val="0024704F"/>
    <w:rsid w:val="0024709D"/>
    <w:rsid w:val="002470A3"/>
    <w:rsid w:val="00247117"/>
    <w:rsid w:val="0024713A"/>
    <w:rsid w:val="0024713D"/>
    <w:rsid w:val="0024713E"/>
    <w:rsid w:val="00247153"/>
    <w:rsid w:val="00247172"/>
    <w:rsid w:val="002471BF"/>
    <w:rsid w:val="002471C4"/>
    <w:rsid w:val="002471C7"/>
    <w:rsid w:val="002471CE"/>
    <w:rsid w:val="002471D3"/>
    <w:rsid w:val="0024724E"/>
    <w:rsid w:val="0024726F"/>
    <w:rsid w:val="00247299"/>
    <w:rsid w:val="002472C4"/>
    <w:rsid w:val="002472D6"/>
    <w:rsid w:val="002472DC"/>
    <w:rsid w:val="002472DF"/>
    <w:rsid w:val="002472E6"/>
    <w:rsid w:val="00247336"/>
    <w:rsid w:val="00247343"/>
    <w:rsid w:val="00247399"/>
    <w:rsid w:val="002473D4"/>
    <w:rsid w:val="002473F8"/>
    <w:rsid w:val="0024741C"/>
    <w:rsid w:val="00247456"/>
    <w:rsid w:val="00247486"/>
    <w:rsid w:val="002474DD"/>
    <w:rsid w:val="002474F5"/>
    <w:rsid w:val="002474F7"/>
    <w:rsid w:val="00247531"/>
    <w:rsid w:val="00247536"/>
    <w:rsid w:val="0024753A"/>
    <w:rsid w:val="0024759C"/>
    <w:rsid w:val="002475AD"/>
    <w:rsid w:val="00247674"/>
    <w:rsid w:val="00247681"/>
    <w:rsid w:val="0024769C"/>
    <w:rsid w:val="002476A5"/>
    <w:rsid w:val="002476C1"/>
    <w:rsid w:val="002476D1"/>
    <w:rsid w:val="002476F2"/>
    <w:rsid w:val="002476FA"/>
    <w:rsid w:val="0024772C"/>
    <w:rsid w:val="0024773F"/>
    <w:rsid w:val="00247749"/>
    <w:rsid w:val="0024775A"/>
    <w:rsid w:val="0024776B"/>
    <w:rsid w:val="00247793"/>
    <w:rsid w:val="002477A4"/>
    <w:rsid w:val="002477B7"/>
    <w:rsid w:val="002477F0"/>
    <w:rsid w:val="002477F6"/>
    <w:rsid w:val="002477FA"/>
    <w:rsid w:val="002477FB"/>
    <w:rsid w:val="00247808"/>
    <w:rsid w:val="00247825"/>
    <w:rsid w:val="00247867"/>
    <w:rsid w:val="00247890"/>
    <w:rsid w:val="0024789B"/>
    <w:rsid w:val="002478B9"/>
    <w:rsid w:val="002478CE"/>
    <w:rsid w:val="002478F4"/>
    <w:rsid w:val="002478FA"/>
    <w:rsid w:val="00247901"/>
    <w:rsid w:val="0024794E"/>
    <w:rsid w:val="00247970"/>
    <w:rsid w:val="0024799D"/>
    <w:rsid w:val="002479A0"/>
    <w:rsid w:val="002479D0"/>
    <w:rsid w:val="00247A6F"/>
    <w:rsid w:val="00247AA5"/>
    <w:rsid w:val="00247B6A"/>
    <w:rsid w:val="00247B84"/>
    <w:rsid w:val="00247BB8"/>
    <w:rsid w:val="00247BD7"/>
    <w:rsid w:val="00247BE4"/>
    <w:rsid w:val="00247C46"/>
    <w:rsid w:val="00247C74"/>
    <w:rsid w:val="00247C7B"/>
    <w:rsid w:val="00247C97"/>
    <w:rsid w:val="00247C9B"/>
    <w:rsid w:val="00247CB1"/>
    <w:rsid w:val="00247CDE"/>
    <w:rsid w:val="00247CFD"/>
    <w:rsid w:val="00247CFE"/>
    <w:rsid w:val="00247D19"/>
    <w:rsid w:val="00247D1E"/>
    <w:rsid w:val="00247D4D"/>
    <w:rsid w:val="00247D7A"/>
    <w:rsid w:val="00247D98"/>
    <w:rsid w:val="00247E31"/>
    <w:rsid w:val="00247E49"/>
    <w:rsid w:val="00247E88"/>
    <w:rsid w:val="00247EC1"/>
    <w:rsid w:val="00247ED3"/>
    <w:rsid w:val="00247F02"/>
    <w:rsid w:val="00247F05"/>
    <w:rsid w:val="00247F5A"/>
    <w:rsid w:val="00247F7C"/>
    <w:rsid w:val="00247F8A"/>
    <w:rsid w:val="00247FD7"/>
    <w:rsid w:val="00247FE0"/>
    <w:rsid w:val="00250000"/>
    <w:rsid w:val="00250025"/>
    <w:rsid w:val="0025003C"/>
    <w:rsid w:val="00250043"/>
    <w:rsid w:val="0025005B"/>
    <w:rsid w:val="0025007B"/>
    <w:rsid w:val="002500AF"/>
    <w:rsid w:val="002500DB"/>
    <w:rsid w:val="002500EA"/>
    <w:rsid w:val="00250100"/>
    <w:rsid w:val="00250186"/>
    <w:rsid w:val="00250195"/>
    <w:rsid w:val="00250198"/>
    <w:rsid w:val="00250199"/>
    <w:rsid w:val="002501A0"/>
    <w:rsid w:val="002501E8"/>
    <w:rsid w:val="0025022B"/>
    <w:rsid w:val="0025024E"/>
    <w:rsid w:val="00250256"/>
    <w:rsid w:val="00250275"/>
    <w:rsid w:val="0025027F"/>
    <w:rsid w:val="002502CC"/>
    <w:rsid w:val="002502D7"/>
    <w:rsid w:val="002502EA"/>
    <w:rsid w:val="00250301"/>
    <w:rsid w:val="0025031A"/>
    <w:rsid w:val="00250327"/>
    <w:rsid w:val="00250393"/>
    <w:rsid w:val="002503E1"/>
    <w:rsid w:val="00250418"/>
    <w:rsid w:val="0025041A"/>
    <w:rsid w:val="00250449"/>
    <w:rsid w:val="00250450"/>
    <w:rsid w:val="00250478"/>
    <w:rsid w:val="002504CF"/>
    <w:rsid w:val="00250517"/>
    <w:rsid w:val="00250566"/>
    <w:rsid w:val="00250593"/>
    <w:rsid w:val="002505A5"/>
    <w:rsid w:val="002505AB"/>
    <w:rsid w:val="002505BF"/>
    <w:rsid w:val="00250616"/>
    <w:rsid w:val="00250626"/>
    <w:rsid w:val="0025062F"/>
    <w:rsid w:val="0025065D"/>
    <w:rsid w:val="00250674"/>
    <w:rsid w:val="00250694"/>
    <w:rsid w:val="002506B6"/>
    <w:rsid w:val="002506CC"/>
    <w:rsid w:val="002506E6"/>
    <w:rsid w:val="002506F6"/>
    <w:rsid w:val="00250781"/>
    <w:rsid w:val="002507AD"/>
    <w:rsid w:val="002507B7"/>
    <w:rsid w:val="002507DC"/>
    <w:rsid w:val="002507FC"/>
    <w:rsid w:val="00250843"/>
    <w:rsid w:val="00250860"/>
    <w:rsid w:val="0025086F"/>
    <w:rsid w:val="002508A2"/>
    <w:rsid w:val="002508A8"/>
    <w:rsid w:val="002508E1"/>
    <w:rsid w:val="0025090A"/>
    <w:rsid w:val="00250941"/>
    <w:rsid w:val="0025096B"/>
    <w:rsid w:val="002509F4"/>
    <w:rsid w:val="00250A46"/>
    <w:rsid w:val="00250A68"/>
    <w:rsid w:val="00250A71"/>
    <w:rsid w:val="00250A7B"/>
    <w:rsid w:val="00250AE8"/>
    <w:rsid w:val="00250AEC"/>
    <w:rsid w:val="00250B05"/>
    <w:rsid w:val="00250B06"/>
    <w:rsid w:val="00250B1A"/>
    <w:rsid w:val="00250B41"/>
    <w:rsid w:val="00250B45"/>
    <w:rsid w:val="00250BD5"/>
    <w:rsid w:val="00250BEE"/>
    <w:rsid w:val="00250BF4"/>
    <w:rsid w:val="00250C06"/>
    <w:rsid w:val="00250C22"/>
    <w:rsid w:val="00250C27"/>
    <w:rsid w:val="00250C56"/>
    <w:rsid w:val="00250CBF"/>
    <w:rsid w:val="00250CC0"/>
    <w:rsid w:val="00250CF8"/>
    <w:rsid w:val="00250D1B"/>
    <w:rsid w:val="00250D39"/>
    <w:rsid w:val="00250D42"/>
    <w:rsid w:val="00250D6D"/>
    <w:rsid w:val="00250D87"/>
    <w:rsid w:val="00250D97"/>
    <w:rsid w:val="00250DB5"/>
    <w:rsid w:val="00250E00"/>
    <w:rsid w:val="00250E4E"/>
    <w:rsid w:val="00250E83"/>
    <w:rsid w:val="00250E87"/>
    <w:rsid w:val="00250E99"/>
    <w:rsid w:val="00250ECA"/>
    <w:rsid w:val="00250F10"/>
    <w:rsid w:val="00250F17"/>
    <w:rsid w:val="00250F3D"/>
    <w:rsid w:val="00250F52"/>
    <w:rsid w:val="00250F62"/>
    <w:rsid w:val="00250FA2"/>
    <w:rsid w:val="00251014"/>
    <w:rsid w:val="00251025"/>
    <w:rsid w:val="0025103C"/>
    <w:rsid w:val="00251097"/>
    <w:rsid w:val="002510A2"/>
    <w:rsid w:val="002510AB"/>
    <w:rsid w:val="00251136"/>
    <w:rsid w:val="00251180"/>
    <w:rsid w:val="002511BD"/>
    <w:rsid w:val="002511C0"/>
    <w:rsid w:val="00251222"/>
    <w:rsid w:val="00251236"/>
    <w:rsid w:val="00251241"/>
    <w:rsid w:val="00251258"/>
    <w:rsid w:val="00251342"/>
    <w:rsid w:val="0025134B"/>
    <w:rsid w:val="00251356"/>
    <w:rsid w:val="00251358"/>
    <w:rsid w:val="0025136E"/>
    <w:rsid w:val="00251376"/>
    <w:rsid w:val="00251379"/>
    <w:rsid w:val="002513A4"/>
    <w:rsid w:val="002513A9"/>
    <w:rsid w:val="00251414"/>
    <w:rsid w:val="0025141E"/>
    <w:rsid w:val="00251430"/>
    <w:rsid w:val="00251462"/>
    <w:rsid w:val="002514A2"/>
    <w:rsid w:val="002514CD"/>
    <w:rsid w:val="002514D2"/>
    <w:rsid w:val="00251504"/>
    <w:rsid w:val="0025152E"/>
    <w:rsid w:val="0025154B"/>
    <w:rsid w:val="002515C8"/>
    <w:rsid w:val="002515CD"/>
    <w:rsid w:val="002515F1"/>
    <w:rsid w:val="00251640"/>
    <w:rsid w:val="0025165D"/>
    <w:rsid w:val="0025166C"/>
    <w:rsid w:val="00251684"/>
    <w:rsid w:val="00251690"/>
    <w:rsid w:val="002516B0"/>
    <w:rsid w:val="002516B1"/>
    <w:rsid w:val="002516B3"/>
    <w:rsid w:val="002516E6"/>
    <w:rsid w:val="00251707"/>
    <w:rsid w:val="00251765"/>
    <w:rsid w:val="00251791"/>
    <w:rsid w:val="00251843"/>
    <w:rsid w:val="00251848"/>
    <w:rsid w:val="00251887"/>
    <w:rsid w:val="002518B7"/>
    <w:rsid w:val="002518D5"/>
    <w:rsid w:val="002518F4"/>
    <w:rsid w:val="0025190A"/>
    <w:rsid w:val="00251914"/>
    <w:rsid w:val="0025191E"/>
    <w:rsid w:val="0025192E"/>
    <w:rsid w:val="00251939"/>
    <w:rsid w:val="002519BB"/>
    <w:rsid w:val="00251A00"/>
    <w:rsid w:val="00251A09"/>
    <w:rsid w:val="00251A2D"/>
    <w:rsid w:val="00251A49"/>
    <w:rsid w:val="00251A55"/>
    <w:rsid w:val="00251A5E"/>
    <w:rsid w:val="00251ABA"/>
    <w:rsid w:val="00251AE4"/>
    <w:rsid w:val="00251AE7"/>
    <w:rsid w:val="00251AF5"/>
    <w:rsid w:val="00251AFA"/>
    <w:rsid w:val="00251B43"/>
    <w:rsid w:val="00251BC2"/>
    <w:rsid w:val="00251C02"/>
    <w:rsid w:val="00251C31"/>
    <w:rsid w:val="00251C3C"/>
    <w:rsid w:val="00251D38"/>
    <w:rsid w:val="00251D73"/>
    <w:rsid w:val="00251DEB"/>
    <w:rsid w:val="00251E46"/>
    <w:rsid w:val="00251E4B"/>
    <w:rsid w:val="00251E56"/>
    <w:rsid w:val="00251EA7"/>
    <w:rsid w:val="00251EB0"/>
    <w:rsid w:val="00251EB8"/>
    <w:rsid w:val="00251ECD"/>
    <w:rsid w:val="00251EE3"/>
    <w:rsid w:val="00251EF4"/>
    <w:rsid w:val="00251F15"/>
    <w:rsid w:val="00251F18"/>
    <w:rsid w:val="00251F44"/>
    <w:rsid w:val="00251F46"/>
    <w:rsid w:val="00251F4E"/>
    <w:rsid w:val="00251F76"/>
    <w:rsid w:val="00251F8D"/>
    <w:rsid w:val="00251F98"/>
    <w:rsid w:val="00251FA0"/>
    <w:rsid w:val="00251FE1"/>
    <w:rsid w:val="00251FF1"/>
    <w:rsid w:val="00251FFD"/>
    <w:rsid w:val="00252003"/>
    <w:rsid w:val="00252009"/>
    <w:rsid w:val="0025204D"/>
    <w:rsid w:val="00252072"/>
    <w:rsid w:val="0025208C"/>
    <w:rsid w:val="0025208F"/>
    <w:rsid w:val="002520E1"/>
    <w:rsid w:val="00252118"/>
    <w:rsid w:val="0025211D"/>
    <w:rsid w:val="00252174"/>
    <w:rsid w:val="00252199"/>
    <w:rsid w:val="002521AC"/>
    <w:rsid w:val="002521E7"/>
    <w:rsid w:val="002521FE"/>
    <w:rsid w:val="0025220C"/>
    <w:rsid w:val="0025220E"/>
    <w:rsid w:val="00252219"/>
    <w:rsid w:val="0025224D"/>
    <w:rsid w:val="00252287"/>
    <w:rsid w:val="00252304"/>
    <w:rsid w:val="0025230A"/>
    <w:rsid w:val="0025232C"/>
    <w:rsid w:val="00252364"/>
    <w:rsid w:val="002523B8"/>
    <w:rsid w:val="00252407"/>
    <w:rsid w:val="00252422"/>
    <w:rsid w:val="00252441"/>
    <w:rsid w:val="00252446"/>
    <w:rsid w:val="00252466"/>
    <w:rsid w:val="00252491"/>
    <w:rsid w:val="00252495"/>
    <w:rsid w:val="002524ED"/>
    <w:rsid w:val="0025250A"/>
    <w:rsid w:val="00252531"/>
    <w:rsid w:val="00252562"/>
    <w:rsid w:val="002525A0"/>
    <w:rsid w:val="002525A2"/>
    <w:rsid w:val="002525E4"/>
    <w:rsid w:val="00252655"/>
    <w:rsid w:val="00252666"/>
    <w:rsid w:val="00252669"/>
    <w:rsid w:val="00252675"/>
    <w:rsid w:val="00252699"/>
    <w:rsid w:val="0025269F"/>
    <w:rsid w:val="002526A7"/>
    <w:rsid w:val="002526D8"/>
    <w:rsid w:val="00252712"/>
    <w:rsid w:val="00252772"/>
    <w:rsid w:val="0025277F"/>
    <w:rsid w:val="002527DB"/>
    <w:rsid w:val="00252843"/>
    <w:rsid w:val="0025288F"/>
    <w:rsid w:val="00252890"/>
    <w:rsid w:val="002528A8"/>
    <w:rsid w:val="002528AF"/>
    <w:rsid w:val="002528E5"/>
    <w:rsid w:val="002528FC"/>
    <w:rsid w:val="00252903"/>
    <w:rsid w:val="0025290C"/>
    <w:rsid w:val="00252948"/>
    <w:rsid w:val="00252961"/>
    <w:rsid w:val="002529CE"/>
    <w:rsid w:val="002529DF"/>
    <w:rsid w:val="002529E0"/>
    <w:rsid w:val="002529E3"/>
    <w:rsid w:val="002529E8"/>
    <w:rsid w:val="002529E9"/>
    <w:rsid w:val="00252ADC"/>
    <w:rsid w:val="00252AE6"/>
    <w:rsid w:val="00252AF4"/>
    <w:rsid w:val="00252B0D"/>
    <w:rsid w:val="00252B5F"/>
    <w:rsid w:val="00252B60"/>
    <w:rsid w:val="00252B7D"/>
    <w:rsid w:val="00252B97"/>
    <w:rsid w:val="00252BE7"/>
    <w:rsid w:val="00252BEC"/>
    <w:rsid w:val="00252C18"/>
    <w:rsid w:val="00252C2A"/>
    <w:rsid w:val="00252C3C"/>
    <w:rsid w:val="00252C64"/>
    <w:rsid w:val="00252C7B"/>
    <w:rsid w:val="00252CDA"/>
    <w:rsid w:val="00252D3C"/>
    <w:rsid w:val="00252D55"/>
    <w:rsid w:val="00252D6F"/>
    <w:rsid w:val="00252D96"/>
    <w:rsid w:val="00252DAB"/>
    <w:rsid w:val="00252DC1"/>
    <w:rsid w:val="00252E36"/>
    <w:rsid w:val="00252E57"/>
    <w:rsid w:val="00252E68"/>
    <w:rsid w:val="00252E69"/>
    <w:rsid w:val="00252ECA"/>
    <w:rsid w:val="00252ECD"/>
    <w:rsid w:val="00252EDF"/>
    <w:rsid w:val="00252F2C"/>
    <w:rsid w:val="00252F34"/>
    <w:rsid w:val="00252F35"/>
    <w:rsid w:val="00252F4F"/>
    <w:rsid w:val="00252F5E"/>
    <w:rsid w:val="00252F63"/>
    <w:rsid w:val="00252F6D"/>
    <w:rsid w:val="00252FC8"/>
    <w:rsid w:val="00252FCA"/>
    <w:rsid w:val="00253049"/>
    <w:rsid w:val="00253088"/>
    <w:rsid w:val="00253099"/>
    <w:rsid w:val="002530B5"/>
    <w:rsid w:val="002530C7"/>
    <w:rsid w:val="002530C8"/>
    <w:rsid w:val="002530D5"/>
    <w:rsid w:val="002530FE"/>
    <w:rsid w:val="0025312F"/>
    <w:rsid w:val="00253141"/>
    <w:rsid w:val="0025314A"/>
    <w:rsid w:val="0025314F"/>
    <w:rsid w:val="002531D0"/>
    <w:rsid w:val="00253288"/>
    <w:rsid w:val="002532A5"/>
    <w:rsid w:val="002532EC"/>
    <w:rsid w:val="002532FB"/>
    <w:rsid w:val="0025334B"/>
    <w:rsid w:val="0025334C"/>
    <w:rsid w:val="00253392"/>
    <w:rsid w:val="002533C8"/>
    <w:rsid w:val="002533CB"/>
    <w:rsid w:val="002533D8"/>
    <w:rsid w:val="002533E3"/>
    <w:rsid w:val="00253424"/>
    <w:rsid w:val="0025343C"/>
    <w:rsid w:val="00253498"/>
    <w:rsid w:val="002534AE"/>
    <w:rsid w:val="002534E8"/>
    <w:rsid w:val="002534F4"/>
    <w:rsid w:val="002534FC"/>
    <w:rsid w:val="0025353F"/>
    <w:rsid w:val="00253557"/>
    <w:rsid w:val="00253563"/>
    <w:rsid w:val="0025356D"/>
    <w:rsid w:val="0025357A"/>
    <w:rsid w:val="00253585"/>
    <w:rsid w:val="002535EB"/>
    <w:rsid w:val="002535F8"/>
    <w:rsid w:val="00253654"/>
    <w:rsid w:val="00253659"/>
    <w:rsid w:val="0025365E"/>
    <w:rsid w:val="0025367F"/>
    <w:rsid w:val="002536F0"/>
    <w:rsid w:val="00253717"/>
    <w:rsid w:val="0025375A"/>
    <w:rsid w:val="0025376B"/>
    <w:rsid w:val="002537A5"/>
    <w:rsid w:val="002537D6"/>
    <w:rsid w:val="002537FD"/>
    <w:rsid w:val="00253812"/>
    <w:rsid w:val="00253896"/>
    <w:rsid w:val="0025389A"/>
    <w:rsid w:val="002538C8"/>
    <w:rsid w:val="002538D6"/>
    <w:rsid w:val="002538E5"/>
    <w:rsid w:val="00253925"/>
    <w:rsid w:val="00253926"/>
    <w:rsid w:val="0025394B"/>
    <w:rsid w:val="0025396C"/>
    <w:rsid w:val="00253985"/>
    <w:rsid w:val="0025398B"/>
    <w:rsid w:val="002539E3"/>
    <w:rsid w:val="002539E6"/>
    <w:rsid w:val="00253A33"/>
    <w:rsid w:val="00253A3D"/>
    <w:rsid w:val="00253A62"/>
    <w:rsid w:val="00253A6C"/>
    <w:rsid w:val="00253A9B"/>
    <w:rsid w:val="00253AEC"/>
    <w:rsid w:val="00253B78"/>
    <w:rsid w:val="00253B94"/>
    <w:rsid w:val="00253B98"/>
    <w:rsid w:val="00253BA7"/>
    <w:rsid w:val="00253BC5"/>
    <w:rsid w:val="00253C06"/>
    <w:rsid w:val="00253C09"/>
    <w:rsid w:val="00253C27"/>
    <w:rsid w:val="00253C47"/>
    <w:rsid w:val="00253C7D"/>
    <w:rsid w:val="00253CD1"/>
    <w:rsid w:val="00253CD5"/>
    <w:rsid w:val="00253CEB"/>
    <w:rsid w:val="00253D18"/>
    <w:rsid w:val="00253D36"/>
    <w:rsid w:val="00253D4B"/>
    <w:rsid w:val="00253D8E"/>
    <w:rsid w:val="00253E24"/>
    <w:rsid w:val="00253E33"/>
    <w:rsid w:val="00253E56"/>
    <w:rsid w:val="00253E61"/>
    <w:rsid w:val="00253EA6"/>
    <w:rsid w:val="00253EBA"/>
    <w:rsid w:val="00253ECD"/>
    <w:rsid w:val="00253EE2"/>
    <w:rsid w:val="00253EFD"/>
    <w:rsid w:val="00253F3A"/>
    <w:rsid w:val="00253F53"/>
    <w:rsid w:val="00253F71"/>
    <w:rsid w:val="00253FBC"/>
    <w:rsid w:val="00253FD0"/>
    <w:rsid w:val="00253FE2"/>
    <w:rsid w:val="00254008"/>
    <w:rsid w:val="0025401C"/>
    <w:rsid w:val="0025402B"/>
    <w:rsid w:val="00254042"/>
    <w:rsid w:val="0025406B"/>
    <w:rsid w:val="002540BE"/>
    <w:rsid w:val="002540C3"/>
    <w:rsid w:val="002540DA"/>
    <w:rsid w:val="00254158"/>
    <w:rsid w:val="002541B6"/>
    <w:rsid w:val="002541BA"/>
    <w:rsid w:val="00254219"/>
    <w:rsid w:val="0025421C"/>
    <w:rsid w:val="00254231"/>
    <w:rsid w:val="00254254"/>
    <w:rsid w:val="00254256"/>
    <w:rsid w:val="0025427B"/>
    <w:rsid w:val="0025427F"/>
    <w:rsid w:val="0025428D"/>
    <w:rsid w:val="00254331"/>
    <w:rsid w:val="002543CF"/>
    <w:rsid w:val="002543EB"/>
    <w:rsid w:val="002543FE"/>
    <w:rsid w:val="0025440B"/>
    <w:rsid w:val="00254428"/>
    <w:rsid w:val="0025446E"/>
    <w:rsid w:val="00254480"/>
    <w:rsid w:val="002544E4"/>
    <w:rsid w:val="002544FF"/>
    <w:rsid w:val="00254507"/>
    <w:rsid w:val="00254516"/>
    <w:rsid w:val="00254538"/>
    <w:rsid w:val="0025456D"/>
    <w:rsid w:val="00254579"/>
    <w:rsid w:val="0025457C"/>
    <w:rsid w:val="002545B4"/>
    <w:rsid w:val="002545C2"/>
    <w:rsid w:val="00254614"/>
    <w:rsid w:val="00254621"/>
    <w:rsid w:val="00254632"/>
    <w:rsid w:val="00254671"/>
    <w:rsid w:val="0025468A"/>
    <w:rsid w:val="002546A3"/>
    <w:rsid w:val="002546FE"/>
    <w:rsid w:val="0025470A"/>
    <w:rsid w:val="00254744"/>
    <w:rsid w:val="002547A5"/>
    <w:rsid w:val="002547C3"/>
    <w:rsid w:val="002547DE"/>
    <w:rsid w:val="002547F2"/>
    <w:rsid w:val="0025480E"/>
    <w:rsid w:val="0025482C"/>
    <w:rsid w:val="00254847"/>
    <w:rsid w:val="0025485D"/>
    <w:rsid w:val="0025490D"/>
    <w:rsid w:val="00254913"/>
    <w:rsid w:val="00254933"/>
    <w:rsid w:val="0025495F"/>
    <w:rsid w:val="00254960"/>
    <w:rsid w:val="00254995"/>
    <w:rsid w:val="00254A0F"/>
    <w:rsid w:val="00254A19"/>
    <w:rsid w:val="00254A48"/>
    <w:rsid w:val="00254A4C"/>
    <w:rsid w:val="00254A6A"/>
    <w:rsid w:val="00254ABA"/>
    <w:rsid w:val="00254AD2"/>
    <w:rsid w:val="00254AE4"/>
    <w:rsid w:val="00254B6C"/>
    <w:rsid w:val="00254B76"/>
    <w:rsid w:val="00254B78"/>
    <w:rsid w:val="00254BBD"/>
    <w:rsid w:val="00254BE9"/>
    <w:rsid w:val="00254C0C"/>
    <w:rsid w:val="00254C1B"/>
    <w:rsid w:val="00254C23"/>
    <w:rsid w:val="00254C30"/>
    <w:rsid w:val="00254C82"/>
    <w:rsid w:val="00254D0F"/>
    <w:rsid w:val="00254D39"/>
    <w:rsid w:val="00254D65"/>
    <w:rsid w:val="00254DD8"/>
    <w:rsid w:val="00254DF1"/>
    <w:rsid w:val="00254DFE"/>
    <w:rsid w:val="00254EF7"/>
    <w:rsid w:val="00254EFF"/>
    <w:rsid w:val="00254F2B"/>
    <w:rsid w:val="00254F44"/>
    <w:rsid w:val="00254F5E"/>
    <w:rsid w:val="00254F69"/>
    <w:rsid w:val="00254F8F"/>
    <w:rsid w:val="00254FB1"/>
    <w:rsid w:val="00254FB6"/>
    <w:rsid w:val="00255029"/>
    <w:rsid w:val="00255043"/>
    <w:rsid w:val="0025509F"/>
    <w:rsid w:val="002550BE"/>
    <w:rsid w:val="002550DB"/>
    <w:rsid w:val="0025516F"/>
    <w:rsid w:val="00255172"/>
    <w:rsid w:val="00255174"/>
    <w:rsid w:val="0025518C"/>
    <w:rsid w:val="002551A2"/>
    <w:rsid w:val="00255219"/>
    <w:rsid w:val="00255224"/>
    <w:rsid w:val="0025523E"/>
    <w:rsid w:val="0025523F"/>
    <w:rsid w:val="0025524B"/>
    <w:rsid w:val="00255290"/>
    <w:rsid w:val="00255297"/>
    <w:rsid w:val="002552BC"/>
    <w:rsid w:val="002552CF"/>
    <w:rsid w:val="002552DA"/>
    <w:rsid w:val="00255313"/>
    <w:rsid w:val="00255375"/>
    <w:rsid w:val="00255378"/>
    <w:rsid w:val="00255379"/>
    <w:rsid w:val="002553C8"/>
    <w:rsid w:val="002553EB"/>
    <w:rsid w:val="00255414"/>
    <w:rsid w:val="0025541E"/>
    <w:rsid w:val="0025543C"/>
    <w:rsid w:val="00255469"/>
    <w:rsid w:val="002554A2"/>
    <w:rsid w:val="002554CF"/>
    <w:rsid w:val="002554EA"/>
    <w:rsid w:val="0025550E"/>
    <w:rsid w:val="0025551F"/>
    <w:rsid w:val="00255527"/>
    <w:rsid w:val="0025553C"/>
    <w:rsid w:val="00255544"/>
    <w:rsid w:val="0025556E"/>
    <w:rsid w:val="00255594"/>
    <w:rsid w:val="002555BF"/>
    <w:rsid w:val="0025563E"/>
    <w:rsid w:val="00255643"/>
    <w:rsid w:val="0025568A"/>
    <w:rsid w:val="002556A8"/>
    <w:rsid w:val="002556D2"/>
    <w:rsid w:val="002556E9"/>
    <w:rsid w:val="002556F8"/>
    <w:rsid w:val="0025570B"/>
    <w:rsid w:val="00255716"/>
    <w:rsid w:val="00255735"/>
    <w:rsid w:val="00255740"/>
    <w:rsid w:val="0025574B"/>
    <w:rsid w:val="0025575D"/>
    <w:rsid w:val="00255794"/>
    <w:rsid w:val="002557DD"/>
    <w:rsid w:val="00255837"/>
    <w:rsid w:val="00255871"/>
    <w:rsid w:val="00255890"/>
    <w:rsid w:val="00255891"/>
    <w:rsid w:val="00255898"/>
    <w:rsid w:val="002558B5"/>
    <w:rsid w:val="00255909"/>
    <w:rsid w:val="00255916"/>
    <w:rsid w:val="00255935"/>
    <w:rsid w:val="00255944"/>
    <w:rsid w:val="002559C1"/>
    <w:rsid w:val="002559EE"/>
    <w:rsid w:val="00255A2B"/>
    <w:rsid w:val="00255A3E"/>
    <w:rsid w:val="00255A3F"/>
    <w:rsid w:val="00255A4B"/>
    <w:rsid w:val="00255A8E"/>
    <w:rsid w:val="00255AAD"/>
    <w:rsid w:val="00255AEE"/>
    <w:rsid w:val="00255AF1"/>
    <w:rsid w:val="00255B3A"/>
    <w:rsid w:val="00255B60"/>
    <w:rsid w:val="00255B61"/>
    <w:rsid w:val="00255B96"/>
    <w:rsid w:val="00255BA0"/>
    <w:rsid w:val="00255BEE"/>
    <w:rsid w:val="00255C18"/>
    <w:rsid w:val="00255C41"/>
    <w:rsid w:val="00255CC4"/>
    <w:rsid w:val="00255CCB"/>
    <w:rsid w:val="00255D02"/>
    <w:rsid w:val="00255D11"/>
    <w:rsid w:val="00255D14"/>
    <w:rsid w:val="00255D34"/>
    <w:rsid w:val="00255D50"/>
    <w:rsid w:val="00255D60"/>
    <w:rsid w:val="00255D8C"/>
    <w:rsid w:val="00255DE0"/>
    <w:rsid w:val="00255DE2"/>
    <w:rsid w:val="00255E5D"/>
    <w:rsid w:val="00255E70"/>
    <w:rsid w:val="00255E97"/>
    <w:rsid w:val="00255EA4"/>
    <w:rsid w:val="00255EB9"/>
    <w:rsid w:val="00255EC4"/>
    <w:rsid w:val="00255EE4"/>
    <w:rsid w:val="00255F27"/>
    <w:rsid w:val="0025602B"/>
    <w:rsid w:val="0025606A"/>
    <w:rsid w:val="0025609A"/>
    <w:rsid w:val="002560AB"/>
    <w:rsid w:val="002560B4"/>
    <w:rsid w:val="002560D2"/>
    <w:rsid w:val="002560F0"/>
    <w:rsid w:val="00256101"/>
    <w:rsid w:val="0025612F"/>
    <w:rsid w:val="00256130"/>
    <w:rsid w:val="00256139"/>
    <w:rsid w:val="00256163"/>
    <w:rsid w:val="00256206"/>
    <w:rsid w:val="00256213"/>
    <w:rsid w:val="0025621D"/>
    <w:rsid w:val="00256254"/>
    <w:rsid w:val="002562C8"/>
    <w:rsid w:val="0025631A"/>
    <w:rsid w:val="0025632F"/>
    <w:rsid w:val="0025635E"/>
    <w:rsid w:val="00256388"/>
    <w:rsid w:val="00256398"/>
    <w:rsid w:val="002563B4"/>
    <w:rsid w:val="002563DB"/>
    <w:rsid w:val="00256444"/>
    <w:rsid w:val="00256456"/>
    <w:rsid w:val="00256464"/>
    <w:rsid w:val="00256465"/>
    <w:rsid w:val="002564C7"/>
    <w:rsid w:val="002564DE"/>
    <w:rsid w:val="002564E4"/>
    <w:rsid w:val="002564F9"/>
    <w:rsid w:val="002565A9"/>
    <w:rsid w:val="002565AB"/>
    <w:rsid w:val="002565D3"/>
    <w:rsid w:val="0025660E"/>
    <w:rsid w:val="0025664E"/>
    <w:rsid w:val="002566B1"/>
    <w:rsid w:val="002566B8"/>
    <w:rsid w:val="002566DA"/>
    <w:rsid w:val="002566FE"/>
    <w:rsid w:val="00256701"/>
    <w:rsid w:val="0025670A"/>
    <w:rsid w:val="00256710"/>
    <w:rsid w:val="00256790"/>
    <w:rsid w:val="002567D2"/>
    <w:rsid w:val="002567E7"/>
    <w:rsid w:val="002567EC"/>
    <w:rsid w:val="002567F9"/>
    <w:rsid w:val="0025688B"/>
    <w:rsid w:val="002568B9"/>
    <w:rsid w:val="002568C0"/>
    <w:rsid w:val="002568CC"/>
    <w:rsid w:val="002568E3"/>
    <w:rsid w:val="0025694F"/>
    <w:rsid w:val="00256987"/>
    <w:rsid w:val="00256994"/>
    <w:rsid w:val="0025699D"/>
    <w:rsid w:val="002569B9"/>
    <w:rsid w:val="002569BB"/>
    <w:rsid w:val="002569C3"/>
    <w:rsid w:val="002569CA"/>
    <w:rsid w:val="00256A3C"/>
    <w:rsid w:val="00256A4F"/>
    <w:rsid w:val="00256A55"/>
    <w:rsid w:val="00256A7F"/>
    <w:rsid w:val="00256A99"/>
    <w:rsid w:val="00256AA3"/>
    <w:rsid w:val="00256ABF"/>
    <w:rsid w:val="00256ADA"/>
    <w:rsid w:val="00256AE1"/>
    <w:rsid w:val="00256AE9"/>
    <w:rsid w:val="00256AF2"/>
    <w:rsid w:val="00256B24"/>
    <w:rsid w:val="00256B62"/>
    <w:rsid w:val="00256C31"/>
    <w:rsid w:val="00256C3A"/>
    <w:rsid w:val="00256C53"/>
    <w:rsid w:val="00256C66"/>
    <w:rsid w:val="00256C8B"/>
    <w:rsid w:val="00256CE1"/>
    <w:rsid w:val="00256D4E"/>
    <w:rsid w:val="00256D7F"/>
    <w:rsid w:val="00256D88"/>
    <w:rsid w:val="00256DEE"/>
    <w:rsid w:val="00256E25"/>
    <w:rsid w:val="00256E27"/>
    <w:rsid w:val="00256E53"/>
    <w:rsid w:val="00256E67"/>
    <w:rsid w:val="00256EB9"/>
    <w:rsid w:val="00256EE6"/>
    <w:rsid w:val="00256F15"/>
    <w:rsid w:val="00256F2B"/>
    <w:rsid w:val="00256F32"/>
    <w:rsid w:val="00256F8F"/>
    <w:rsid w:val="00256FA4"/>
    <w:rsid w:val="00256FEA"/>
    <w:rsid w:val="00257013"/>
    <w:rsid w:val="0025701A"/>
    <w:rsid w:val="00257039"/>
    <w:rsid w:val="0025708A"/>
    <w:rsid w:val="002570A1"/>
    <w:rsid w:val="002570D4"/>
    <w:rsid w:val="002570F7"/>
    <w:rsid w:val="00257141"/>
    <w:rsid w:val="0025714F"/>
    <w:rsid w:val="00257157"/>
    <w:rsid w:val="00257163"/>
    <w:rsid w:val="00257174"/>
    <w:rsid w:val="00257175"/>
    <w:rsid w:val="0025717E"/>
    <w:rsid w:val="002571B8"/>
    <w:rsid w:val="002571DE"/>
    <w:rsid w:val="002571EE"/>
    <w:rsid w:val="002571EF"/>
    <w:rsid w:val="002571FF"/>
    <w:rsid w:val="00257218"/>
    <w:rsid w:val="00257238"/>
    <w:rsid w:val="0025725B"/>
    <w:rsid w:val="002572F0"/>
    <w:rsid w:val="002572FE"/>
    <w:rsid w:val="00257316"/>
    <w:rsid w:val="00257332"/>
    <w:rsid w:val="00257396"/>
    <w:rsid w:val="002573D8"/>
    <w:rsid w:val="002573FF"/>
    <w:rsid w:val="0025741E"/>
    <w:rsid w:val="00257454"/>
    <w:rsid w:val="00257467"/>
    <w:rsid w:val="00257490"/>
    <w:rsid w:val="002574AC"/>
    <w:rsid w:val="00257522"/>
    <w:rsid w:val="00257537"/>
    <w:rsid w:val="00257560"/>
    <w:rsid w:val="002575A6"/>
    <w:rsid w:val="002575C6"/>
    <w:rsid w:val="0025767F"/>
    <w:rsid w:val="002576C3"/>
    <w:rsid w:val="00257706"/>
    <w:rsid w:val="0025772C"/>
    <w:rsid w:val="00257794"/>
    <w:rsid w:val="002577B1"/>
    <w:rsid w:val="00257840"/>
    <w:rsid w:val="00257859"/>
    <w:rsid w:val="0025786F"/>
    <w:rsid w:val="00257891"/>
    <w:rsid w:val="0025789E"/>
    <w:rsid w:val="002578A2"/>
    <w:rsid w:val="002578B7"/>
    <w:rsid w:val="002578BF"/>
    <w:rsid w:val="0025790E"/>
    <w:rsid w:val="00257938"/>
    <w:rsid w:val="00257974"/>
    <w:rsid w:val="00257989"/>
    <w:rsid w:val="0025799D"/>
    <w:rsid w:val="002579B0"/>
    <w:rsid w:val="002579BC"/>
    <w:rsid w:val="002579ED"/>
    <w:rsid w:val="002579FD"/>
    <w:rsid w:val="00257A14"/>
    <w:rsid w:val="00257A1E"/>
    <w:rsid w:val="00257A56"/>
    <w:rsid w:val="00257A6E"/>
    <w:rsid w:val="00257AF2"/>
    <w:rsid w:val="00257AF5"/>
    <w:rsid w:val="00257B10"/>
    <w:rsid w:val="00257B19"/>
    <w:rsid w:val="00257B38"/>
    <w:rsid w:val="00257B3C"/>
    <w:rsid w:val="00257B43"/>
    <w:rsid w:val="00257B52"/>
    <w:rsid w:val="00257B54"/>
    <w:rsid w:val="00257BAA"/>
    <w:rsid w:val="00257BAD"/>
    <w:rsid w:val="00257BC3"/>
    <w:rsid w:val="00257BD3"/>
    <w:rsid w:val="00257C03"/>
    <w:rsid w:val="00257C27"/>
    <w:rsid w:val="00257C88"/>
    <w:rsid w:val="00257CC5"/>
    <w:rsid w:val="00257CCC"/>
    <w:rsid w:val="00257CD2"/>
    <w:rsid w:val="00257CE1"/>
    <w:rsid w:val="00257CFD"/>
    <w:rsid w:val="00257D2F"/>
    <w:rsid w:val="00257D6F"/>
    <w:rsid w:val="00257D7B"/>
    <w:rsid w:val="00257DED"/>
    <w:rsid w:val="00257DF5"/>
    <w:rsid w:val="00257E2D"/>
    <w:rsid w:val="00257E32"/>
    <w:rsid w:val="00257E51"/>
    <w:rsid w:val="00257E5E"/>
    <w:rsid w:val="00257E67"/>
    <w:rsid w:val="00257E7A"/>
    <w:rsid w:val="00257E7E"/>
    <w:rsid w:val="00257E84"/>
    <w:rsid w:val="00257E8A"/>
    <w:rsid w:val="00257F2B"/>
    <w:rsid w:val="00257F4C"/>
    <w:rsid w:val="00257F9F"/>
    <w:rsid w:val="0025A0A0"/>
    <w:rsid w:val="00260008"/>
    <w:rsid w:val="00260038"/>
    <w:rsid w:val="00260048"/>
    <w:rsid w:val="0026005E"/>
    <w:rsid w:val="0026007A"/>
    <w:rsid w:val="002600BE"/>
    <w:rsid w:val="002600DE"/>
    <w:rsid w:val="0026011A"/>
    <w:rsid w:val="0026017C"/>
    <w:rsid w:val="00260185"/>
    <w:rsid w:val="002601A3"/>
    <w:rsid w:val="002601D1"/>
    <w:rsid w:val="002601DA"/>
    <w:rsid w:val="002601E9"/>
    <w:rsid w:val="00260256"/>
    <w:rsid w:val="00260292"/>
    <w:rsid w:val="002602BC"/>
    <w:rsid w:val="002602D5"/>
    <w:rsid w:val="00260300"/>
    <w:rsid w:val="00260343"/>
    <w:rsid w:val="00260349"/>
    <w:rsid w:val="0026036D"/>
    <w:rsid w:val="00260407"/>
    <w:rsid w:val="0026042A"/>
    <w:rsid w:val="0026045D"/>
    <w:rsid w:val="00260473"/>
    <w:rsid w:val="002604A3"/>
    <w:rsid w:val="002604CE"/>
    <w:rsid w:val="00260527"/>
    <w:rsid w:val="0026055D"/>
    <w:rsid w:val="00260572"/>
    <w:rsid w:val="00260587"/>
    <w:rsid w:val="002605AB"/>
    <w:rsid w:val="002605BE"/>
    <w:rsid w:val="002605D6"/>
    <w:rsid w:val="00260634"/>
    <w:rsid w:val="0026064E"/>
    <w:rsid w:val="00260658"/>
    <w:rsid w:val="002606EA"/>
    <w:rsid w:val="002606F8"/>
    <w:rsid w:val="00260704"/>
    <w:rsid w:val="0026073E"/>
    <w:rsid w:val="00260744"/>
    <w:rsid w:val="00260761"/>
    <w:rsid w:val="00260789"/>
    <w:rsid w:val="002607B1"/>
    <w:rsid w:val="00260800"/>
    <w:rsid w:val="00260851"/>
    <w:rsid w:val="00260893"/>
    <w:rsid w:val="0026090D"/>
    <w:rsid w:val="00260941"/>
    <w:rsid w:val="00260963"/>
    <w:rsid w:val="0026097B"/>
    <w:rsid w:val="00260983"/>
    <w:rsid w:val="0026099D"/>
    <w:rsid w:val="002609A8"/>
    <w:rsid w:val="002609B6"/>
    <w:rsid w:val="002609BD"/>
    <w:rsid w:val="002609E2"/>
    <w:rsid w:val="002609FC"/>
    <w:rsid w:val="00260A12"/>
    <w:rsid w:val="00260A17"/>
    <w:rsid w:val="00260A33"/>
    <w:rsid w:val="00260AA5"/>
    <w:rsid w:val="00260AB1"/>
    <w:rsid w:val="00260AB5"/>
    <w:rsid w:val="00260AC5"/>
    <w:rsid w:val="00260B02"/>
    <w:rsid w:val="00260B1E"/>
    <w:rsid w:val="00260B61"/>
    <w:rsid w:val="00260BCE"/>
    <w:rsid w:val="00260BF0"/>
    <w:rsid w:val="00260C13"/>
    <w:rsid w:val="00260C69"/>
    <w:rsid w:val="00260CC5"/>
    <w:rsid w:val="00260CD8"/>
    <w:rsid w:val="00260CED"/>
    <w:rsid w:val="00260D31"/>
    <w:rsid w:val="00260D37"/>
    <w:rsid w:val="00260D5E"/>
    <w:rsid w:val="00260D91"/>
    <w:rsid w:val="00260DC5"/>
    <w:rsid w:val="00260DC7"/>
    <w:rsid w:val="00260DE4"/>
    <w:rsid w:val="00260DE9"/>
    <w:rsid w:val="00260E27"/>
    <w:rsid w:val="00260E43"/>
    <w:rsid w:val="00260ED7"/>
    <w:rsid w:val="00260EE7"/>
    <w:rsid w:val="00260EFA"/>
    <w:rsid w:val="00260F1F"/>
    <w:rsid w:val="00260F4A"/>
    <w:rsid w:val="00260FAB"/>
    <w:rsid w:val="00261005"/>
    <w:rsid w:val="00261038"/>
    <w:rsid w:val="00261068"/>
    <w:rsid w:val="00261092"/>
    <w:rsid w:val="00261097"/>
    <w:rsid w:val="0026109B"/>
    <w:rsid w:val="002610BA"/>
    <w:rsid w:val="002610C9"/>
    <w:rsid w:val="0026112B"/>
    <w:rsid w:val="00261162"/>
    <w:rsid w:val="00261165"/>
    <w:rsid w:val="00261170"/>
    <w:rsid w:val="00261177"/>
    <w:rsid w:val="00261179"/>
    <w:rsid w:val="0026118B"/>
    <w:rsid w:val="002611C4"/>
    <w:rsid w:val="00261261"/>
    <w:rsid w:val="00261282"/>
    <w:rsid w:val="002612C0"/>
    <w:rsid w:val="002612FD"/>
    <w:rsid w:val="00261363"/>
    <w:rsid w:val="002613BA"/>
    <w:rsid w:val="002613FC"/>
    <w:rsid w:val="002613FF"/>
    <w:rsid w:val="00261401"/>
    <w:rsid w:val="0026144A"/>
    <w:rsid w:val="00261483"/>
    <w:rsid w:val="002614B5"/>
    <w:rsid w:val="002614E2"/>
    <w:rsid w:val="002614F9"/>
    <w:rsid w:val="002614FC"/>
    <w:rsid w:val="00261501"/>
    <w:rsid w:val="00261504"/>
    <w:rsid w:val="0026152E"/>
    <w:rsid w:val="00261540"/>
    <w:rsid w:val="00261541"/>
    <w:rsid w:val="0026156A"/>
    <w:rsid w:val="00261583"/>
    <w:rsid w:val="0026158F"/>
    <w:rsid w:val="002615AD"/>
    <w:rsid w:val="002615BD"/>
    <w:rsid w:val="00261612"/>
    <w:rsid w:val="0026161D"/>
    <w:rsid w:val="00261653"/>
    <w:rsid w:val="002616E9"/>
    <w:rsid w:val="0026170E"/>
    <w:rsid w:val="00261719"/>
    <w:rsid w:val="00261720"/>
    <w:rsid w:val="00261728"/>
    <w:rsid w:val="00261781"/>
    <w:rsid w:val="0026178F"/>
    <w:rsid w:val="002617F7"/>
    <w:rsid w:val="00261841"/>
    <w:rsid w:val="0026186A"/>
    <w:rsid w:val="00261879"/>
    <w:rsid w:val="0026187D"/>
    <w:rsid w:val="002618B0"/>
    <w:rsid w:val="0026193F"/>
    <w:rsid w:val="00261961"/>
    <w:rsid w:val="002619D3"/>
    <w:rsid w:val="002619DD"/>
    <w:rsid w:val="00261A1A"/>
    <w:rsid w:val="00261A35"/>
    <w:rsid w:val="00261A65"/>
    <w:rsid w:val="00261A67"/>
    <w:rsid w:val="00261A7F"/>
    <w:rsid w:val="00261A86"/>
    <w:rsid w:val="00261A88"/>
    <w:rsid w:val="00261AC7"/>
    <w:rsid w:val="00261AEA"/>
    <w:rsid w:val="00261B03"/>
    <w:rsid w:val="00261B0D"/>
    <w:rsid w:val="00261B14"/>
    <w:rsid w:val="00261BAC"/>
    <w:rsid w:val="00261BC9"/>
    <w:rsid w:val="00261C2B"/>
    <w:rsid w:val="00261C32"/>
    <w:rsid w:val="00261C4D"/>
    <w:rsid w:val="00261C90"/>
    <w:rsid w:val="00261CBF"/>
    <w:rsid w:val="00261CE4"/>
    <w:rsid w:val="00261CF3"/>
    <w:rsid w:val="00261D02"/>
    <w:rsid w:val="00261D05"/>
    <w:rsid w:val="00261D57"/>
    <w:rsid w:val="00261DA8"/>
    <w:rsid w:val="00261DBE"/>
    <w:rsid w:val="00261DDE"/>
    <w:rsid w:val="00261E3E"/>
    <w:rsid w:val="00261E42"/>
    <w:rsid w:val="00261E5F"/>
    <w:rsid w:val="00261E71"/>
    <w:rsid w:val="00261E94"/>
    <w:rsid w:val="00261E9B"/>
    <w:rsid w:val="00261F12"/>
    <w:rsid w:val="00261F16"/>
    <w:rsid w:val="00261F26"/>
    <w:rsid w:val="00261F31"/>
    <w:rsid w:val="00261F3C"/>
    <w:rsid w:val="00261F66"/>
    <w:rsid w:val="00261F7A"/>
    <w:rsid w:val="00261FA1"/>
    <w:rsid w:val="00261FAD"/>
    <w:rsid w:val="00261FCC"/>
    <w:rsid w:val="00261FCF"/>
    <w:rsid w:val="00261FDC"/>
    <w:rsid w:val="00261FDD"/>
    <w:rsid w:val="00261FE3"/>
    <w:rsid w:val="00262088"/>
    <w:rsid w:val="00262136"/>
    <w:rsid w:val="00262162"/>
    <w:rsid w:val="00262191"/>
    <w:rsid w:val="002621B4"/>
    <w:rsid w:val="002621FB"/>
    <w:rsid w:val="00262204"/>
    <w:rsid w:val="00262208"/>
    <w:rsid w:val="0026226D"/>
    <w:rsid w:val="002622AF"/>
    <w:rsid w:val="002622D0"/>
    <w:rsid w:val="002622D7"/>
    <w:rsid w:val="0026231B"/>
    <w:rsid w:val="0026233E"/>
    <w:rsid w:val="00262359"/>
    <w:rsid w:val="0026235A"/>
    <w:rsid w:val="00262389"/>
    <w:rsid w:val="002623BA"/>
    <w:rsid w:val="002623C7"/>
    <w:rsid w:val="002623E7"/>
    <w:rsid w:val="002623F7"/>
    <w:rsid w:val="0026245A"/>
    <w:rsid w:val="00262474"/>
    <w:rsid w:val="0026247F"/>
    <w:rsid w:val="0026248E"/>
    <w:rsid w:val="00262529"/>
    <w:rsid w:val="00262572"/>
    <w:rsid w:val="0026258B"/>
    <w:rsid w:val="002625C9"/>
    <w:rsid w:val="002625D2"/>
    <w:rsid w:val="00262601"/>
    <w:rsid w:val="00262620"/>
    <w:rsid w:val="00262643"/>
    <w:rsid w:val="0026266D"/>
    <w:rsid w:val="00262699"/>
    <w:rsid w:val="002626DF"/>
    <w:rsid w:val="00262703"/>
    <w:rsid w:val="0026270F"/>
    <w:rsid w:val="0026279B"/>
    <w:rsid w:val="002627C2"/>
    <w:rsid w:val="002627C8"/>
    <w:rsid w:val="002627DD"/>
    <w:rsid w:val="00262804"/>
    <w:rsid w:val="0026285B"/>
    <w:rsid w:val="00262867"/>
    <w:rsid w:val="002628B2"/>
    <w:rsid w:val="002628F1"/>
    <w:rsid w:val="002628F6"/>
    <w:rsid w:val="0026296A"/>
    <w:rsid w:val="002629AD"/>
    <w:rsid w:val="002629F3"/>
    <w:rsid w:val="00262A3E"/>
    <w:rsid w:val="00262A6B"/>
    <w:rsid w:val="00262A9E"/>
    <w:rsid w:val="00262AA2"/>
    <w:rsid w:val="00262ACF"/>
    <w:rsid w:val="00262ADB"/>
    <w:rsid w:val="00262B17"/>
    <w:rsid w:val="00262B56"/>
    <w:rsid w:val="00262B62"/>
    <w:rsid w:val="00262B81"/>
    <w:rsid w:val="00262BC9"/>
    <w:rsid w:val="00262C3C"/>
    <w:rsid w:val="00262C77"/>
    <w:rsid w:val="00262C90"/>
    <w:rsid w:val="00262C9B"/>
    <w:rsid w:val="00262D22"/>
    <w:rsid w:val="00262D42"/>
    <w:rsid w:val="00262D4A"/>
    <w:rsid w:val="00262D6C"/>
    <w:rsid w:val="00262D8B"/>
    <w:rsid w:val="00262D8C"/>
    <w:rsid w:val="00262E41"/>
    <w:rsid w:val="00262E46"/>
    <w:rsid w:val="00262EFA"/>
    <w:rsid w:val="00262F0A"/>
    <w:rsid w:val="00262F19"/>
    <w:rsid w:val="00262F23"/>
    <w:rsid w:val="00262F71"/>
    <w:rsid w:val="00262F9B"/>
    <w:rsid w:val="00262F9F"/>
    <w:rsid w:val="00262FE2"/>
    <w:rsid w:val="00262FF5"/>
    <w:rsid w:val="00262FFE"/>
    <w:rsid w:val="00263045"/>
    <w:rsid w:val="0026306C"/>
    <w:rsid w:val="00263071"/>
    <w:rsid w:val="00263092"/>
    <w:rsid w:val="002630AB"/>
    <w:rsid w:val="002630BF"/>
    <w:rsid w:val="002630F5"/>
    <w:rsid w:val="00263127"/>
    <w:rsid w:val="0026314E"/>
    <w:rsid w:val="0026316B"/>
    <w:rsid w:val="002631A9"/>
    <w:rsid w:val="002631AA"/>
    <w:rsid w:val="002631B0"/>
    <w:rsid w:val="002631C5"/>
    <w:rsid w:val="002631E4"/>
    <w:rsid w:val="0026320B"/>
    <w:rsid w:val="00263219"/>
    <w:rsid w:val="0026321A"/>
    <w:rsid w:val="00263254"/>
    <w:rsid w:val="0026327D"/>
    <w:rsid w:val="00263294"/>
    <w:rsid w:val="00263296"/>
    <w:rsid w:val="002632B1"/>
    <w:rsid w:val="002632E1"/>
    <w:rsid w:val="00263328"/>
    <w:rsid w:val="00263362"/>
    <w:rsid w:val="00263374"/>
    <w:rsid w:val="002633CB"/>
    <w:rsid w:val="002633D7"/>
    <w:rsid w:val="002633F3"/>
    <w:rsid w:val="0026340B"/>
    <w:rsid w:val="00263413"/>
    <w:rsid w:val="00263437"/>
    <w:rsid w:val="00263462"/>
    <w:rsid w:val="002634A8"/>
    <w:rsid w:val="002634AE"/>
    <w:rsid w:val="002634BE"/>
    <w:rsid w:val="002634DA"/>
    <w:rsid w:val="002634F3"/>
    <w:rsid w:val="0026352E"/>
    <w:rsid w:val="00263588"/>
    <w:rsid w:val="002635E8"/>
    <w:rsid w:val="00263604"/>
    <w:rsid w:val="00263646"/>
    <w:rsid w:val="0026367C"/>
    <w:rsid w:val="00263682"/>
    <w:rsid w:val="00263684"/>
    <w:rsid w:val="002636EA"/>
    <w:rsid w:val="00263719"/>
    <w:rsid w:val="00263766"/>
    <w:rsid w:val="002637A5"/>
    <w:rsid w:val="002637DF"/>
    <w:rsid w:val="002637E0"/>
    <w:rsid w:val="002637F2"/>
    <w:rsid w:val="002637F7"/>
    <w:rsid w:val="002637FD"/>
    <w:rsid w:val="00263821"/>
    <w:rsid w:val="00263854"/>
    <w:rsid w:val="00263855"/>
    <w:rsid w:val="0026387B"/>
    <w:rsid w:val="00263898"/>
    <w:rsid w:val="002638AF"/>
    <w:rsid w:val="002638DB"/>
    <w:rsid w:val="002638EA"/>
    <w:rsid w:val="0026393B"/>
    <w:rsid w:val="0026396B"/>
    <w:rsid w:val="0026396E"/>
    <w:rsid w:val="002639CB"/>
    <w:rsid w:val="002639D6"/>
    <w:rsid w:val="00263A5E"/>
    <w:rsid w:val="00263A7D"/>
    <w:rsid w:val="00263AB6"/>
    <w:rsid w:val="00263AB8"/>
    <w:rsid w:val="00263ACC"/>
    <w:rsid w:val="00263ADB"/>
    <w:rsid w:val="00263AE1"/>
    <w:rsid w:val="00263AEA"/>
    <w:rsid w:val="00263AEC"/>
    <w:rsid w:val="00263B15"/>
    <w:rsid w:val="00263B31"/>
    <w:rsid w:val="00263B4A"/>
    <w:rsid w:val="00263B5F"/>
    <w:rsid w:val="00263B61"/>
    <w:rsid w:val="00263B7B"/>
    <w:rsid w:val="00263B8A"/>
    <w:rsid w:val="00263B8D"/>
    <w:rsid w:val="00263C07"/>
    <w:rsid w:val="00263C11"/>
    <w:rsid w:val="00263C22"/>
    <w:rsid w:val="00263C27"/>
    <w:rsid w:val="00263C3A"/>
    <w:rsid w:val="00263C52"/>
    <w:rsid w:val="00263C7D"/>
    <w:rsid w:val="00263CC6"/>
    <w:rsid w:val="00263D2D"/>
    <w:rsid w:val="00263DA5"/>
    <w:rsid w:val="00263DD5"/>
    <w:rsid w:val="00263DEB"/>
    <w:rsid w:val="00263DF0"/>
    <w:rsid w:val="00263DFC"/>
    <w:rsid w:val="00263E25"/>
    <w:rsid w:val="00263E27"/>
    <w:rsid w:val="00263E54"/>
    <w:rsid w:val="00263E55"/>
    <w:rsid w:val="00263E89"/>
    <w:rsid w:val="00263E8F"/>
    <w:rsid w:val="00263F0E"/>
    <w:rsid w:val="00263F52"/>
    <w:rsid w:val="00263FB0"/>
    <w:rsid w:val="00263FCE"/>
    <w:rsid w:val="00263FDE"/>
    <w:rsid w:val="00263FE0"/>
    <w:rsid w:val="00263FF3"/>
    <w:rsid w:val="00264002"/>
    <w:rsid w:val="00264015"/>
    <w:rsid w:val="0026403D"/>
    <w:rsid w:val="00264066"/>
    <w:rsid w:val="00264078"/>
    <w:rsid w:val="002640A1"/>
    <w:rsid w:val="002640B5"/>
    <w:rsid w:val="002640B9"/>
    <w:rsid w:val="002640E4"/>
    <w:rsid w:val="002640F7"/>
    <w:rsid w:val="002640FD"/>
    <w:rsid w:val="0026411F"/>
    <w:rsid w:val="00264132"/>
    <w:rsid w:val="00264137"/>
    <w:rsid w:val="0026417D"/>
    <w:rsid w:val="00264188"/>
    <w:rsid w:val="0026418D"/>
    <w:rsid w:val="0026418E"/>
    <w:rsid w:val="002641D9"/>
    <w:rsid w:val="002641FF"/>
    <w:rsid w:val="00264203"/>
    <w:rsid w:val="00264284"/>
    <w:rsid w:val="0026428B"/>
    <w:rsid w:val="002642A3"/>
    <w:rsid w:val="002642C5"/>
    <w:rsid w:val="0026432A"/>
    <w:rsid w:val="0026434D"/>
    <w:rsid w:val="0026435B"/>
    <w:rsid w:val="00264369"/>
    <w:rsid w:val="002643B9"/>
    <w:rsid w:val="002643C3"/>
    <w:rsid w:val="002643EA"/>
    <w:rsid w:val="002643EF"/>
    <w:rsid w:val="00264436"/>
    <w:rsid w:val="00264484"/>
    <w:rsid w:val="00264494"/>
    <w:rsid w:val="0026449D"/>
    <w:rsid w:val="002644C7"/>
    <w:rsid w:val="00264500"/>
    <w:rsid w:val="00264532"/>
    <w:rsid w:val="002645AD"/>
    <w:rsid w:val="002645D3"/>
    <w:rsid w:val="002645E5"/>
    <w:rsid w:val="002645E7"/>
    <w:rsid w:val="0026463A"/>
    <w:rsid w:val="0026464F"/>
    <w:rsid w:val="00264653"/>
    <w:rsid w:val="0026467A"/>
    <w:rsid w:val="00264695"/>
    <w:rsid w:val="002646F6"/>
    <w:rsid w:val="002646FB"/>
    <w:rsid w:val="00264700"/>
    <w:rsid w:val="00264724"/>
    <w:rsid w:val="00264771"/>
    <w:rsid w:val="00264772"/>
    <w:rsid w:val="002647E8"/>
    <w:rsid w:val="002647FA"/>
    <w:rsid w:val="00264806"/>
    <w:rsid w:val="0026480F"/>
    <w:rsid w:val="00264811"/>
    <w:rsid w:val="00264826"/>
    <w:rsid w:val="00264898"/>
    <w:rsid w:val="0026489F"/>
    <w:rsid w:val="002648D5"/>
    <w:rsid w:val="002648E5"/>
    <w:rsid w:val="0026492E"/>
    <w:rsid w:val="0026492F"/>
    <w:rsid w:val="0026495D"/>
    <w:rsid w:val="00264969"/>
    <w:rsid w:val="002649A2"/>
    <w:rsid w:val="002649BF"/>
    <w:rsid w:val="002649F7"/>
    <w:rsid w:val="002649FB"/>
    <w:rsid w:val="002649FE"/>
    <w:rsid w:val="00264A1D"/>
    <w:rsid w:val="00264A22"/>
    <w:rsid w:val="00264A6E"/>
    <w:rsid w:val="00264AB6"/>
    <w:rsid w:val="00264AB7"/>
    <w:rsid w:val="00264AEA"/>
    <w:rsid w:val="00264AF7"/>
    <w:rsid w:val="00264B5C"/>
    <w:rsid w:val="00264B65"/>
    <w:rsid w:val="00264B8E"/>
    <w:rsid w:val="00264BBF"/>
    <w:rsid w:val="00264BCC"/>
    <w:rsid w:val="00264BD7"/>
    <w:rsid w:val="00264C43"/>
    <w:rsid w:val="00264C47"/>
    <w:rsid w:val="00264C7E"/>
    <w:rsid w:val="00264CB6"/>
    <w:rsid w:val="00264CC6"/>
    <w:rsid w:val="00264D06"/>
    <w:rsid w:val="00264D14"/>
    <w:rsid w:val="00264D1B"/>
    <w:rsid w:val="00264D3C"/>
    <w:rsid w:val="00264D55"/>
    <w:rsid w:val="00264D5C"/>
    <w:rsid w:val="00264D74"/>
    <w:rsid w:val="00264DB1"/>
    <w:rsid w:val="00264DB2"/>
    <w:rsid w:val="00264DBA"/>
    <w:rsid w:val="00264DED"/>
    <w:rsid w:val="00264E23"/>
    <w:rsid w:val="00264E70"/>
    <w:rsid w:val="00264E75"/>
    <w:rsid w:val="00264E95"/>
    <w:rsid w:val="00264EAC"/>
    <w:rsid w:val="00264EB3"/>
    <w:rsid w:val="00264EE3"/>
    <w:rsid w:val="00264F19"/>
    <w:rsid w:val="00264F20"/>
    <w:rsid w:val="00264F25"/>
    <w:rsid w:val="00264F63"/>
    <w:rsid w:val="00264F71"/>
    <w:rsid w:val="00264F91"/>
    <w:rsid w:val="00264FAF"/>
    <w:rsid w:val="00264FEF"/>
    <w:rsid w:val="0026502A"/>
    <w:rsid w:val="0026502B"/>
    <w:rsid w:val="0026502D"/>
    <w:rsid w:val="00265037"/>
    <w:rsid w:val="00265048"/>
    <w:rsid w:val="0026505F"/>
    <w:rsid w:val="002650A7"/>
    <w:rsid w:val="002650D5"/>
    <w:rsid w:val="002650E2"/>
    <w:rsid w:val="002651B2"/>
    <w:rsid w:val="002651B9"/>
    <w:rsid w:val="002651BC"/>
    <w:rsid w:val="002651DC"/>
    <w:rsid w:val="0026520A"/>
    <w:rsid w:val="00265292"/>
    <w:rsid w:val="002652BD"/>
    <w:rsid w:val="00265300"/>
    <w:rsid w:val="00265302"/>
    <w:rsid w:val="00265371"/>
    <w:rsid w:val="0026538C"/>
    <w:rsid w:val="0026539B"/>
    <w:rsid w:val="002653D7"/>
    <w:rsid w:val="00265416"/>
    <w:rsid w:val="00265424"/>
    <w:rsid w:val="0026543C"/>
    <w:rsid w:val="0026543F"/>
    <w:rsid w:val="0026545F"/>
    <w:rsid w:val="0026549C"/>
    <w:rsid w:val="002654A5"/>
    <w:rsid w:val="002654C2"/>
    <w:rsid w:val="002654F4"/>
    <w:rsid w:val="0026550C"/>
    <w:rsid w:val="00265528"/>
    <w:rsid w:val="0026558A"/>
    <w:rsid w:val="00265642"/>
    <w:rsid w:val="00265683"/>
    <w:rsid w:val="0026568D"/>
    <w:rsid w:val="002656A0"/>
    <w:rsid w:val="002656A2"/>
    <w:rsid w:val="00265723"/>
    <w:rsid w:val="00265734"/>
    <w:rsid w:val="00265760"/>
    <w:rsid w:val="00265783"/>
    <w:rsid w:val="002657B8"/>
    <w:rsid w:val="00265843"/>
    <w:rsid w:val="00265856"/>
    <w:rsid w:val="00265865"/>
    <w:rsid w:val="0026586C"/>
    <w:rsid w:val="00265879"/>
    <w:rsid w:val="00265880"/>
    <w:rsid w:val="002658B2"/>
    <w:rsid w:val="002658DE"/>
    <w:rsid w:val="00265907"/>
    <w:rsid w:val="0026590D"/>
    <w:rsid w:val="0026591A"/>
    <w:rsid w:val="00265927"/>
    <w:rsid w:val="0026597B"/>
    <w:rsid w:val="00265989"/>
    <w:rsid w:val="00265A39"/>
    <w:rsid w:val="00265A94"/>
    <w:rsid w:val="00265B05"/>
    <w:rsid w:val="00265B5A"/>
    <w:rsid w:val="00265C03"/>
    <w:rsid w:val="00265C1A"/>
    <w:rsid w:val="00265C30"/>
    <w:rsid w:val="00265C85"/>
    <w:rsid w:val="00265C8A"/>
    <w:rsid w:val="00265C94"/>
    <w:rsid w:val="00265CFC"/>
    <w:rsid w:val="00265D10"/>
    <w:rsid w:val="00265D5F"/>
    <w:rsid w:val="00265D6D"/>
    <w:rsid w:val="00265D8A"/>
    <w:rsid w:val="00265E1C"/>
    <w:rsid w:val="00265E7F"/>
    <w:rsid w:val="00265E8A"/>
    <w:rsid w:val="00265EA1"/>
    <w:rsid w:val="00265EA4"/>
    <w:rsid w:val="00265EAF"/>
    <w:rsid w:val="00265EDD"/>
    <w:rsid w:val="00265F18"/>
    <w:rsid w:val="00265F87"/>
    <w:rsid w:val="00265F8A"/>
    <w:rsid w:val="00265FB7"/>
    <w:rsid w:val="00265FF3"/>
    <w:rsid w:val="0026606D"/>
    <w:rsid w:val="00266070"/>
    <w:rsid w:val="0026607C"/>
    <w:rsid w:val="00266137"/>
    <w:rsid w:val="0026613C"/>
    <w:rsid w:val="00266151"/>
    <w:rsid w:val="0026618A"/>
    <w:rsid w:val="002661E7"/>
    <w:rsid w:val="002661F7"/>
    <w:rsid w:val="00266209"/>
    <w:rsid w:val="00266238"/>
    <w:rsid w:val="0026629C"/>
    <w:rsid w:val="002662A4"/>
    <w:rsid w:val="002662AE"/>
    <w:rsid w:val="002662CE"/>
    <w:rsid w:val="00266304"/>
    <w:rsid w:val="00266326"/>
    <w:rsid w:val="00266373"/>
    <w:rsid w:val="002663C6"/>
    <w:rsid w:val="002663DE"/>
    <w:rsid w:val="002663EC"/>
    <w:rsid w:val="0026641F"/>
    <w:rsid w:val="00266422"/>
    <w:rsid w:val="0026643F"/>
    <w:rsid w:val="00266454"/>
    <w:rsid w:val="0026648C"/>
    <w:rsid w:val="002664AF"/>
    <w:rsid w:val="00266535"/>
    <w:rsid w:val="00266544"/>
    <w:rsid w:val="00266546"/>
    <w:rsid w:val="00266555"/>
    <w:rsid w:val="00266558"/>
    <w:rsid w:val="002665A2"/>
    <w:rsid w:val="002665DE"/>
    <w:rsid w:val="00266613"/>
    <w:rsid w:val="0026666F"/>
    <w:rsid w:val="0026667A"/>
    <w:rsid w:val="002666B7"/>
    <w:rsid w:val="002666F3"/>
    <w:rsid w:val="00266727"/>
    <w:rsid w:val="00266769"/>
    <w:rsid w:val="0026676F"/>
    <w:rsid w:val="0026678E"/>
    <w:rsid w:val="00266799"/>
    <w:rsid w:val="002667B3"/>
    <w:rsid w:val="002667F4"/>
    <w:rsid w:val="0026680B"/>
    <w:rsid w:val="00266817"/>
    <w:rsid w:val="00266820"/>
    <w:rsid w:val="00266842"/>
    <w:rsid w:val="00266883"/>
    <w:rsid w:val="00266898"/>
    <w:rsid w:val="0026689E"/>
    <w:rsid w:val="002668DA"/>
    <w:rsid w:val="00266914"/>
    <w:rsid w:val="00266919"/>
    <w:rsid w:val="00266920"/>
    <w:rsid w:val="00266926"/>
    <w:rsid w:val="00266928"/>
    <w:rsid w:val="00266940"/>
    <w:rsid w:val="00266952"/>
    <w:rsid w:val="00266998"/>
    <w:rsid w:val="002669C3"/>
    <w:rsid w:val="002669DE"/>
    <w:rsid w:val="002669EF"/>
    <w:rsid w:val="00266A0C"/>
    <w:rsid w:val="00266A0F"/>
    <w:rsid w:val="00266A2A"/>
    <w:rsid w:val="00266A7D"/>
    <w:rsid w:val="00266AA7"/>
    <w:rsid w:val="00266ACB"/>
    <w:rsid w:val="00266B21"/>
    <w:rsid w:val="00266B4F"/>
    <w:rsid w:val="00266B5F"/>
    <w:rsid w:val="00266B7B"/>
    <w:rsid w:val="00266B92"/>
    <w:rsid w:val="00266BC3"/>
    <w:rsid w:val="00266BC7"/>
    <w:rsid w:val="00266BDB"/>
    <w:rsid w:val="00266C4B"/>
    <w:rsid w:val="00266C53"/>
    <w:rsid w:val="00266C6C"/>
    <w:rsid w:val="00266CA9"/>
    <w:rsid w:val="00266CBA"/>
    <w:rsid w:val="00266D1E"/>
    <w:rsid w:val="00266D5D"/>
    <w:rsid w:val="00266D63"/>
    <w:rsid w:val="00266D7E"/>
    <w:rsid w:val="00266D8C"/>
    <w:rsid w:val="00266D95"/>
    <w:rsid w:val="00266D96"/>
    <w:rsid w:val="00266DAE"/>
    <w:rsid w:val="00266DB8"/>
    <w:rsid w:val="00266DF0"/>
    <w:rsid w:val="00266E0F"/>
    <w:rsid w:val="00266E15"/>
    <w:rsid w:val="00266E55"/>
    <w:rsid w:val="00266EC2"/>
    <w:rsid w:val="00266EFF"/>
    <w:rsid w:val="00266F29"/>
    <w:rsid w:val="00266F93"/>
    <w:rsid w:val="00266FA1"/>
    <w:rsid w:val="00266FA7"/>
    <w:rsid w:val="00266FCF"/>
    <w:rsid w:val="00266FF3"/>
    <w:rsid w:val="0026702B"/>
    <w:rsid w:val="00267061"/>
    <w:rsid w:val="0026709F"/>
    <w:rsid w:val="00267149"/>
    <w:rsid w:val="00267164"/>
    <w:rsid w:val="00267165"/>
    <w:rsid w:val="00267173"/>
    <w:rsid w:val="00267174"/>
    <w:rsid w:val="0026717A"/>
    <w:rsid w:val="002671A8"/>
    <w:rsid w:val="002671AE"/>
    <w:rsid w:val="002671BA"/>
    <w:rsid w:val="002671C0"/>
    <w:rsid w:val="002671F0"/>
    <w:rsid w:val="00267215"/>
    <w:rsid w:val="00267261"/>
    <w:rsid w:val="0026727F"/>
    <w:rsid w:val="0026729D"/>
    <w:rsid w:val="002672CA"/>
    <w:rsid w:val="002672DC"/>
    <w:rsid w:val="002672E9"/>
    <w:rsid w:val="00267361"/>
    <w:rsid w:val="00267393"/>
    <w:rsid w:val="002673BC"/>
    <w:rsid w:val="0026746E"/>
    <w:rsid w:val="00267487"/>
    <w:rsid w:val="002674A0"/>
    <w:rsid w:val="002674FC"/>
    <w:rsid w:val="0026759D"/>
    <w:rsid w:val="002675B4"/>
    <w:rsid w:val="002675B6"/>
    <w:rsid w:val="002675BC"/>
    <w:rsid w:val="002675C2"/>
    <w:rsid w:val="00267615"/>
    <w:rsid w:val="00267619"/>
    <w:rsid w:val="0026761D"/>
    <w:rsid w:val="00267642"/>
    <w:rsid w:val="00267660"/>
    <w:rsid w:val="00267673"/>
    <w:rsid w:val="00267680"/>
    <w:rsid w:val="0026768E"/>
    <w:rsid w:val="002676FF"/>
    <w:rsid w:val="0026770C"/>
    <w:rsid w:val="00267731"/>
    <w:rsid w:val="0026773F"/>
    <w:rsid w:val="00267745"/>
    <w:rsid w:val="0026775A"/>
    <w:rsid w:val="002677AD"/>
    <w:rsid w:val="002677C7"/>
    <w:rsid w:val="002677D5"/>
    <w:rsid w:val="002677DC"/>
    <w:rsid w:val="00267812"/>
    <w:rsid w:val="00267827"/>
    <w:rsid w:val="0026786E"/>
    <w:rsid w:val="0026789C"/>
    <w:rsid w:val="002678C4"/>
    <w:rsid w:val="0026790A"/>
    <w:rsid w:val="00267917"/>
    <w:rsid w:val="00267921"/>
    <w:rsid w:val="00267941"/>
    <w:rsid w:val="00267979"/>
    <w:rsid w:val="00267980"/>
    <w:rsid w:val="002679A5"/>
    <w:rsid w:val="002679A7"/>
    <w:rsid w:val="002679F5"/>
    <w:rsid w:val="00267A05"/>
    <w:rsid w:val="00267A5D"/>
    <w:rsid w:val="00267AB9"/>
    <w:rsid w:val="00267ACA"/>
    <w:rsid w:val="00267AF8"/>
    <w:rsid w:val="00267B98"/>
    <w:rsid w:val="00267BEE"/>
    <w:rsid w:val="00267C39"/>
    <w:rsid w:val="00267C49"/>
    <w:rsid w:val="00267C68"/>
    <w:rsid w:val="00267C6F"/>
    <w:rsid w:val="00267C71"/>
    <w:rsid w:val="00267C7C"/>
    <w:rsid w:val="00267C95"/>
    <w:rsid w:val="00267CE2"/>
    <w:rsid w:val="00267D06"/>
    <w:rsid w:val="00267D29"/>
    <w:rsid w:val="00267D2C"/>
    <w:rsid w:val="00267DB3"/>
    <w:rsid w:val="00267DD7"/>
    <w:rsid w:val="00267E4C"/>
    <w:rsid w:val="00267EC5"/>
    <w:rsid w:val="00267F07"/>
    <w:rsid w:val="00267F08"/>
    <w:rsid w:val="00267F20"/>
    <w:rsid w:val="00267F3B"/>
    <w:rsid w:val="00267F46"/>
    <w:rsid w:val="00267F55"/>
    <w:rsid w:val="00267F5D"/>
    <w:rsid w:val="00267F68"/>
    <w:rsid w:val="00267F7B"/>
    <w:rsid w:val="00267F8C"/>
    <w:rsid w:val="00267FDB"/>
    <w:rsid w:val="00270009"/>
    <w:rsid w:val="00270027"/>
    <w:rsid w:val="00270080"/>
    <w:rsid w:val="0027009A"/>
    <w:rsid w:val="002700B5"/>
    <w:rsid w:val="002700B7"/>
    <w:rsid w:val="002700C9"/>
    <w:rsid w:val="002700D1"/>
    <w:rsid w:val="002700D3"/>
    <w:rsid w:val="002700DF"/>
    <w:rsid w:val="00270103"/>
    <w:rsid w:val="00270109"/>
    <w:rsid w:val="0027011A"/>
    <w:rsid w:val="00270127"/>
    <w:rsid w:val="0027012B"/>
    <w:rsid w:val="00270140"/>
    <w:rsid w:val="0027015A"/>
    <w:rsid w:val="00270173"/>
    <w:rsid w:val="00270193"/>
    <w:rsid w:val="002701A6"/>
    <w:rsid w:val="002701DE"/>
    <w:rsid w:val="0027020A"/>
    <w:rsid w:val="0027020B"/>
    <w:rsid w:val="00270224"/>
    <w:rsid w:val="00270246"/>
    <w:rsid w:val="002702A5"/>
    <w:rsid w:val="002702D0"/>
    <w:rsid w:val="0027030B"/>
    <w:rsid w:val="00270328"/>
    <w:rsid w:val="00270336"/>
    <w:rsid w:val="00270391"/>
    <w:rsid w:val="002703C7"/>
    <w:rsid w:val="002703DA"/>
    <w:rsid w:val="002703ED"/>
    <w:rsid w:val="002703F4"/>
    <w:rsid w:val="00270414"/>
    <w:rsid w:val="00270444"/>
    <w:rsid w:val="00270458"/>
    <w:rsid w:val="00270479"/>
    <w:rsid w:val="002704B4"/>
    <w:rsid w:val="002704C4"/>
    <w:rsid w:val="002704E6"/>
    <w:rsid w:val="0027054F"/>
    <w:rsid w:val="00270558"/>
    <w:rsid w:val="002705EF"/>
    <w:rsid w:val="00270602"/>
    <w:rsid w:val="00270608"/>
    <w:rsid w:val="0027064C"/>
    <w:rsid w:val="0027064D"/>
    <w:rsid w:val="00270650"/>
    <w:rsid w:val="00270658"/>
    <w:rsid w:val="0027065B"/>
    <w:rsid w:val="002706DD"/>
    <w:rsid w:val="002706E4"/>
    <w:rsid w:val="0027070F"/>
    <w:rsid w:val="00270721"/>
    <w:rsid w:val="0027072A"/>
    <w:rsid w:val="00270759"/>
    <w:rsid w:val="00270772"/>
    <w:rsid w:val="002707AB"/>
    <w:rsid w:val="002707C1"/>
    <w:rsid w:val="002707C4"/>
    <w:rsid w:val="002707E6"/>
    <w:rsid w:val="00270818"/>
    <w:rsid w:val="00270824"/>
    <w:rsid w:val="0027083C"/>
    <w:rsid w:val="00270868"/>
    <w:rsid w:val="002708C8"/>
    <w:rsid w:val="002708EA"/>
    <w:rsid w:val="0027093D"/>
    <w:rsid w:val="00270944"/>
    <w:rsid w:val="0027094D"/>
    <w:rsid w:val="00270956"/>
    <w:rsid w:val="00270996"/>
    <w:rsid w:val="002709AE"/>
    <w:rsid w:val="00270A27"/>
    <w:rsid w:val="00270A57"/>
    <w:rsid w:val="00270A82"/>
    <w:rsid w:val="00270A95"/>
    <w:rsid w:val="00270ABA"/>
    <w:rsid w:val="00270B2D"/>
    <w:rsid w:val="00270B37"/>
    <w:rsid w:val="00270B39"/>
    <w:rsid w:val="00270B47"/>
    <w:rsid w:val="00270B49"/>
    <w:rsid w:val="00270B5A"/>
    <w:rsid w:val="00270BE2"/>
    <w:rsid w:val="00270BFB"/>
    <w:rsid w:val="00270C22"/>
    <w:rsid w:val="00270C66"/>
    <w:rsid w:val="00270C76"/>
    <w:rsid w:val="00270CA2"/>
    <w:rsid w:val="00270CB6"/>
    <w:rsid w:val="00270CB8"/>
    <w:rsid w:val="00270CCB"/>
    <w:rsid w:val="00270D15"/>
    <w:rsid w:val="00270D3A"/>
    <w:rsid w:val="00270D47"/>
    <w:rsid w:val="00270D52"/>
    <w:rsid w:val="00270E25"/>
    <w:rsid w:val="00270E6B"/>
    <w:rsid w:val="00270E8A"/>
    <w:rsid w:val="00270E8B"/>
    <w:rsid w:val="00270E99"/>
    <w:rsid w:val="00270EBF"/>
    <w:rsid w:val="00270F85"/>
    <w:rsid w:val="00270FDA"/>
    <w:rsid w:val="00270FE4"/>
    <w:rsid w:val="00270FF2"/>
    <w:rsid w:val="00271040"/>
    <w:rsid w:val="00271042"/>
    <w:rsid w:val="0027105B"/>
    <w:rsid w:val="00271065"/>
    <w:rsid w:val="00271078"/>
    <w:rsid w:val="002710BB"/>
    <w:rsid w:val="002710CF"/>
    <w:rsid w:val="0027110A"/>
    <w:rsid w:val="0027110F"/>
    <w:rsid w:val="00271128"/>
    <w:rsid w:val="0027114A"/>
    <w:rsid w:val="0027117D"/>
    <w:rsid w:val="002711CC"/>
    <w:rsid w:val="002711E7"/>
    <w:rsid w:val="002711FC"/>
    <w:rsid w:val="0027121D"/>
    <w:rsid w:val="00271229"/>
    <w:rsid w:val="00271247"/>
    <w:rsid w:val="00271259"/>
    <w:rsid w:val="0027125A"/>
    <w:rsid w:val="00271293"/>
    <w:rsid w:val="0027129F"/>
    <w:rsid w:val="002712D1"/>
    <w:rsid w:val="00271305"/>
    <w:rsid w:val="00271368"/>
    <w:rsid w:val="0027136D"/>
    <w:rsid w:val="00271378"/>
    <w:rsid w:val="00271386"/>
    <w:rsid w:val="0027144D"/>
    <w:rsid w:val="00271462"/>
    <w:rsid w:val="002714CB"/>
    <w:rsid w:val="002714D5"/>
    <w:rsid w:val="002714E8"/>
    <w:rsid w:val="002714EF"/>
    <w:rsid w:val="002714F2"/>
    <w:rsid w:val="00271505"/>
    <w:rsid w:val="00271522"/>
    <w:rsid w:val="0027152C"/>
    <w:rsid w:val="00271570"/>
    <w:rsid w:val="002715A5"/>
    <w:rsid w:val="002715AA"/>
    <w:rsid w:val="002715B2"/>
    <w:rsid w:val="00271600"/>
    <w:rsid w:val="00271607"/>
    <w:rsid w:val="00271636"/>
    <w:rsid w:val="0027163F"/>
    <w:rsid w:val="00271640"/>
    <w:rsid w:val="0027169C"/>
    <w:rsid w:val="002716A6"/>
    <w:rsid w:val="002716D8"/>
    <w:rsid w:val="002716F0"/>
    <w:rsid w:val="002716F7"/>
    <w:rsid w:val="00271701"/>
    <w:rsid w:val="00271757"/>
    <w:rsid w:val="0027175C"/>
    <w:rsid w:val="00271765"/>
    <w:rsid w:val="00271798"/>
    <w:rsid w:val="002717CE"/>
    <w:rsid w:val="0027180A"/>
    <w:rsid w:val="0027184C"/>
    <w:rsid w:val="002718EA"/>
    <w:rsid w:val="002718EC"/>
    <w:rsid w:val="00271910"/>
    <w:rsid w:val="00271932"/>
    <w:rsid w:val="00271940"/>
    <w:rsid w:val="00271946"/>
    <w:rsid w:val="0027194F"/>
    <w:rsid w:val="0027197B"/>
    <w:rsid w:val="0027197D"/>
    <w:rsid w:val="00271992"/>
    <w:rsid w:val="002719D9"/>
    <w:rsid w:val="00271A11"/>
    <w:rsid w:val="00271A2D"/>
    <w:rsid w:val="00271A55"/>
    <w:rsid w:val="00271A62"/>
    <w:rsid w:val="00271A6F"/>
    <w:rsid w:val="00271A72"/>
    <w:rsid w:val="00271A91"/>
    <w:rsid w:val="00271AE3"/>
    <w:rsid w:val="00271AF2"/>
    <w:rsid w:val="00271AFE"/>
    <w:rsid w:val="00271B35"/>
    <w:rsid w:val="00271B54"/>
    <w:rsid w:val="00271B85"/>
    <w:rsid w:val="00271B8C"/>
    <w:rsid w:val="00271BAA"/>
    <w:rsid w:val="00271BC1"/>
    <w:rsid w:val="00271BD5"/>
    <w:rsid w:val="00271C55"/>
    <w:rsid w:val="00271C5B"/>
    <w:rsid w:val="00271CCE"/>
    <w:rsid w:val="00271D17"/>
    <w:rsid w:val="00271D1D"/>
    <w:rsid w:val="00271D4E"/>
    <w:rsid w:val="00271D54"/>
    <w:rsid w:val="00271D74"/>
    <w:rsid w:val="00271D93"/>
    <w:rsid w:val="00271D96"/>
    <w:rsid w:val="00271D9F"/>
    <w:rsid w:val="00271DBA"/>
    <w:rsid w:val="00271E1B"/>
    <w:rsid w:val="00271E2C"/>
    <w:rsid w:val="00271E85"/>
    <w:rsid w:val="00271E8F"/>
    <w:rsid w:val="00271E96"/>
    <w:rsid w:val="00271EA1"/>
    <w:rsid w:val="00271EC1"/>
    <w:rsid w:val="00271EC5"/>
    <w:rsid w:val="00271EF5"/>
    <w:rsid w:val="00271EFE"/>
    <w:rsid w:val="00271F82"/>
    <w:rsid w:val="00271FB7"/>
    <w:rsid w:val="0027201A"/>
    <w:rsid w:val="00272059"/>
    <w:rsid w:val="0027205A"/>
    <w:rsid w:val="00272092"/>
    <w:rsid w:val="002720B6"/>
    <w:rsid w:val="00272142"/>
    <w:rsid w:val="0027216D"/>
    <w:rsid w:val="00272174"/>
    <w:rsid w:val="002721F7"/>
    <w:rsid w:val="00272255"/>
    <w:rsid w:val="0027225E"/>
    <w:rsid w:val="0027228C"/>
    <w:rsid w:val="0027231D"/>
    <w:rsid w:val="00272322"/>
    <w:rsid w:val="00272409"/>
    <w:rsid w:val="00272442"/>
    <w:rsid w:val="0027244D"/>
    <w:rsid w:val="0027247D"/>
    <w:rsid w:val="002724D1"/>
    <w:rsid w:val="002724E0"/>
    <w:rsid w:val="00272536"/>
    <w:rsid w:val="002725C3"/>
    <w:rsid w:val="002725CF"/>
    <w:rsid w:val="002725D0"/>
    <w:rsid w:val="002725E6"/>
    <w:rsid w:val="0027260B"/>
    <w:rsid w:val="00272637"/>
    <w:rsid w:val="00272649"/>
    <w:rsid w:val="00272652"/>
    <w:rsid w:val="002726A5"/>
    <w:rsid w:val="0027276A"/>
    <w:rsid w:val="00272809"/>
    <w:rsid w:val="0027282D"/>
    <w:rsid w:val="00272833"/>
    <w:rsid w:val="00272859"/>
    <w:rsid w:val="00272882"/>
    <w:rsid w:val="00272889"/>
    <w:rsid w:val="00272945"/>
    <w:rsid w:val="0027296A"/>
    <w:rsid w:val="00272987"/>
    <w:rsid w:val="002729D7"/>
    <w:rsid w:val="00272A1D"/>
    <w:rsid w:val="00272A22"/>
    <w:rsid w:val="00272A6B"/>
    <w:rsid w:val="00272A7D"/>
    <w:rsid w:val="00272A98"/>
    <w:rsid w:val="00272AEC"/>
    <w:rsid w:val="00272AF5"/>
    <w:rsid w:val="00272B02"/>
    <w:rsid w:val="00272B8E"/>
    <w:rsid w:val="00272BA4"/>
    <w:rsid w:val="00272C0A"/>
    <w:rsid w:val="00272C3B"/>
    <w:rsid w:val="00272C4F"/>
    <w:rsid w:val="00272C6C"/>
    <w:rsid w:val="00272CA8"/>
    <w:rsid w:val="00272CC8"/>
    <w:rsid w:val="00272CCB"/>
    <w:rsid w:val="00272CF7"/>
    <w:rsid w:val="00272D06"/>
    <w:rsid w:val="00272D3E"/>
    <w:rsid w:val="00272D64"/>
    <w:rsid w:val="00272D7B"/>
    <w:rsid w:val="00272D7C"/>
    <w:rsid w:val="00272D9B"/>
    <w:rsid w:val="00272DA9"/>
    <w:rsid w:val="00272DF5"/>
    <w:rsid w:val="00272E08"/>
    <w:rsid w:val="00272E2C"/>
    <w:rsid w:val="00272E30"/>
    <w:rsid w:val="00272E64"/>
    <w:rsid w:val="00272E71"/>
    <w:rsid w:val="00272EA1"/>
    <w:rsid w:val="00272EB8"/>
    <w:rsid w:val="00272EB9"/>
    <w:rsid w:val="00272EBB"/>
    <w:rsid w:val="00272EC7"/>
    <w:rsid w:val="00272F03"/>
    <w:rsid w:val="00272F3F"/>
    <w:rsid w:val="00272F7B"/>
    <w:rsid w:val="00272F91"/>
    <w:rsid w:val="00272F94"/>
    <w:rsid w:val="00272FC4"/>
    <w:rsid w:val="00272FF4"/>
    <w:rsid w:val="00273005"/>
    <w:rsid w:val="00273038"/>
    <w:rsid w:val="00273058"/>
    <w:rsid w:val="002730BD"/>
    <w:rsid w:val="002730BF"/>
    <w:rsid w:val="002730C3"/>
    <w:rsid w:val="002730E0"/>
    <w:rsid w:val="0027311F"/>
    <w:rsid w:val="0027316E"/>
    <w:rsid w:val="00273194"/>
    <w:rsid w:val="002731A8"/>
    <w:rsid w:val="002731AB"/>
    <w:rsid w:val="002731B7"/>
    <w:rsid w:val="002731FA"/>
    <w:rsid w:val="0027320C"/>
    <w:rsid w:val="00273276"/>
    <w:rsid w:val="00273291"/>
    <w:rsid w:val="0027329A"/>
    <w:rsid w:val="0027329D"/>
    <w:rsid w:val="00273342"/>
    <w:rsid w:val="00273357"/>
    <w:rsid w:val="0027336F"/>
    <w:rsid w:val="002733BB"/>
    <w:rsid w:val="002733DB"/>
    <w:rsid w:val="002733FB"/>
    <w:rsid w:val="0027342B"/>
    <w:rsid w:val="00273464"/>
    <w:rsid w:val="002734B2"/>
    <w:rsid w:val="002734BE"/>
    <w:rsid w:val="002734CC"/>
    <w:rsid w:val="002734FA"/>
    <w:rsid w:val="00273518"/>
    <w:rsid w:val="00273529"/>
    <w:rsid w:val="00273536"/>
    <w:rsid w:val="00273558"/>
    <w:rsid w:val="0027356E"/>
    <w:rsid w:val="002735A3"/>
    <w:rsid w:val="002735B2"/>
    <w:rsid w:val="002735FF"/>
    <w:rsid w:val="0027360E"/>
    <w:rsid w:val="0027368B"/>
    <w:rsid w:val="002736B1"/>
    <w:rsid w:val="002736B4"/>
    <w:rsid w:val="00273705"/>
    <w:rsid w:val="00273714"/>
    <w:rsid w:val="0027376F"/>
    <w:rsid w:val="002737C5"/>
    <w:rsid w:val="002737ED"/>
    <w:rsid w:val="00273810"/>
    <w:rsid w:val="00273819"/>
    <w:rsid w:val="00273827"/>
    <w:rsid w:val="00273896"/>
    <w:rsid w:val="002738A7"/>
    <w:rsid w:val="002738CC"/>
    <w:rsid w:val="0027394B"/>
    <w:rsid w:val="00273964"/>
    <w:rsid w:val="002739AE"/>
    <w:rsid w:val="002739CB"/>
    <w:rsid w:val="002739F4"/>
    <w:rsid w:val="00273A5E"/>
    <w:rsid w:val="00273A66"/>
    <w:rsid w:val="00273A6B"/>
    <w:rsid w:val="00273AAC"/>
    <w:rsid w:val="00273AD0"/>
    <w:rsid w:val="00273AD2"/>
    <w:rsid w:val="00273AE7"/>
    <w:rsid w:val="00273B02"/>
    <w:rsid w:val="00273BD9"/>
    <w:rsid w:val="00273BE1"/>
    <w:rsid w:val="00273C02"/>
    <w:rsid w:val="00273C21"/>
    <w:rsid w:val="00273C2F"/>
    <w:rsid w:val="00273C64"/>
    <w:rsid w:val="00273C77"/>
    <w:rsid w:val="00273C7E"/>
    <w:rsid w:val="00273C80"/>
    <w:rsid w:val="00273CA9"/>
    <w:rsid w:val="00273CDD"/>
    <w:rsid w:val="00273CFF"/>
    <w:rsid w:val="00273D01"/>
    <w:rsid w:val="00273D0F"/>
    <w:rsid w:val="00273D21"/>
    <w:rsid w:val="00273D7B"/>
    <w:rsid w:val="00273D9F"/>
    <w:rsid w:val="00273DD5"/>
    <w:rsid w:val="00273DDD"/>
    <w:rsid w:val="00273DF8"/>
    <w:rsid w:val="00273E47"/>
    <w:rsid w:val="00273EA5"/>
    <w:rsid w:val="00273EF1"/>
    <w:rsid w:val="00273EFE"/>
    <w:rsid w:val="00273F02"/>
    <w:rsid w:val="00273F05"/>
    <w:rsid w:val="00273F09"/>
    <w:rsid w:val="00273F5F"/>
    <w:rsid w:val="00273FCA"/>
    <w:rsid w:val="00273FDB"/>
    <w:rsid w:val="00273FE2"/>
    <w:rsid w:val="00274017"/>
    <w:rsid w:val="0027402F"/>
    <w:rsid w:val="002740C7"/>
    <w:rsid w:val="0027415C"/>
    <w:rsid w:val="00274172"/>
    <w:rsid w:val="0027417D"/>
    <w:rsid w:val="002741BF"/>
    <w:rsid w:val="002742CE"/>
    <w:rsid w:val="0027432E"/>
    <w:rsid w:val="0027434C"/>
    <w:rsid w:val="00274380"/>
    <w:rsid w:val="002743A1"/>
    <w:rsid w:val="002743B3"/>
    <w:rsid w:val="002743C7"/>
    <w:rsid w:val="002743CB"/>
    <w:rsid w:val="002743F1"/>
    <w:rsid w:val="00274424"/>
    <w:rsid w:val="0027443D"/>
    <w:rsid w:val="00274440"/>
    <w:rsid w:val="0027447B"/>
    <w:rsid w:val="0027449D"/>
    <w:rsid w:val="002744A2"/>
    <w:rsid w:val="002744A5"/>
    <w:rsid w:val="002744DE"/>
    <w:rsid w:val="002744EC"/>
    <w:rsid w:val="002744F9"/>
    <w:rsid w:val="002744FC"/>
    <w:rsid w:val="00274516"/>
    <w:rsid w:val="0027452B"/>
    <w:rsid w:val="00274557"/>
    <w:rsid w:val="00274574"/>
    <w:rsid w:val="00274597"/>
    <w:rsid w:val="002745A3"/>
    <w:rsid w:val="002745EA"/>
    <w:rsid w:val="002745F2"/>
    <w:rsid w:val="00274645"/>
    <w:rsid w:val="0027467E"/>
    <w:rsid w:val="002746BB"/>
    <w:rsid w:val="002746E3"/>
    <w:rsid w:val="00274732"/>
    <w:rsid w:val="0027474D"/>
    <w:rsid w:val="00274777"/>
    <w:rsid w:val="002747A3"/>
    <w:rsid w:val="002747AA"/>
    <w:rsid w:val="002747B4"/>
    <w:rsid w:val="00274815"/>
    <w:rsid w:val="00274836"/>
    <w:rsid w:val="0027483F"/>
    <w:rsid w:val="0027485E"/>
    <w:rsid w:val="002748A4"/>
    <w:rsid w:val="002748C7"/>
    <w:rsid w:val="002748E9"/>
    <w:rsid w:val="00274906"/>
    <w:rsid w:val="00274953"/>
    <w:rsid w:val="00274996"/>
    <w:rsid w:val="002749A8"/>
    <w:rsid w:val="002749DD"/>
    <w:rsid w:val="002749E0"/>
    <w:rsid w:val="00274A0A"/>
    <w:rsid w:val="00274A4B"/>
    <w:rsid w:val="00274A9E"/>
    <w:rsid w:val="00274AA5"/>
    <w:rsid w:val="00274ABD"/>
    <w:rsid w:val="00274AE7"/>
    <w:rsid w:val="00274AFB"/>
    <w:rsid w:val="00274B93"/>
    <w:rsid w:val="00274BAD"/>
    <w:rsid w:val="00274BEC"/>
    <w:rsid w:val="00274C09"/>
    <w:rsid w:val="00274C1C"/>
    <w:rsid w:val="00274C1F"/>
    <w:rsid w:val="00274C2D"/>
    <w:rsid w:val="00274C5A"/>
    <w:rsid w:val="00274C75"/>
    <w:rsid w:val="00274C77"/>
    <w:rsid w:val="00274C95"/>
    <w:rsid w:val="00274CA1"/>
    <w:rsid w:val="00274CCE"/>
    <w:rsid w:val="00274CD7"/>
    <w:rsid w:val="00274CEB"/>
    <w:rsid w:val="00274CF7"/>
    <w:rsid w:val="00274D07"/>
    <w:rsid w:val="00274D3C"/>
    <w:rsid w:val="00274D50"/>
    <w:rsid w:val="00274DBF"/>
    <w:rsid w:val="00274DFE"/>
    <w:rsid w:val="00274E43"/>
    <w:rsid w:val="00274E6D"/>
    <w:rsid w:val="00274E9E"/>
    <w:rsid w:val="00274EAC"/>
    <w:rsid w:val="00274EDD"/>
    <w:rsid w:val="00274F41"/>
    <w:rsid w:val="00274F50"/>
    <w:rsid w:val="00274F94"/>
    <w:rsid w:val="00274FA0"/>
    <w:rsid w:val="00274FC1"/>
    <w:rsid w:val="00274FDD"/>
    <w:rsid w:val="00274FEB"/>
    <w:rsid w:val="0027504A"/>
    <w:rsid w:val="00275067"/>
    <w:rsid w:val="00275075"/>
    <w:rsid w:val="002750BF"/>
    <w:rsid w:val="00275105"/>
    <w:rsid w:val="0027510B"/>
    <w:rsid w:val="00275121"/>
    <w:rsid w:val="00275140"/>
    <w:rsid w:val="00275151"/>
    <w:rsid w:val="0027517C"/>
    <w:rsid w:val="00275187"/>
    <w:rsid w:val="00275230"/>
    <w:rsid w:val="00275231"/>
    <w:rsid w:val="0027526C"/>
    <w:rsid w:val="0027528D"/>
    <w:rsid w:val="002752AE"/>
    <w:rsid w:val="002752FD"/>
    <w:rsid w:val="00275302"/>
    <w:rsid w:val="00275320"/>
    <w:rsid w:val="00275327"/>
    <w:rsid w:val="00275333"/>
    <w:rsid w:val="0027534B"/>
    <w:rsid w:val="0027535B"/>
    <w:rsid w:val="00275391"/>
    <w:rsid w:val="002753BA"/>
    <w:rsid w:val="002753EC"/>
    <w:rsid w:val="00275489"/>
    <w:rsid w:val="0027549C"/>
    <w:rsid w:val="002754B0"/>
    <w:rsid w:val="00275529"/>
    <w:rsid w:val="00275540"/>
    <w:rsid w:val="00275562"/>
    <w:rsid w:val="0027568E"/>
    <w:rsid w:val="00275697"/>
    <w:rsid w:val="002756A8"/>
    <w:rsid w:val="002756DD"/>
    <w:rsid w:val="002756F5"/>
    <w:rsid w:val="00275702"/>
    <w:rsid w:val="00275747"/>
    <w:rsid w:val="00275774"/>
    <w:rsid w:val="002757FF"/>
    <w:rsid w:val="00275807"/>
    <w:rsid w:val="00275830"/>
    <w:rsid w:val="0027585F"/>
    <w:rsid w:val="00275862"/>
    <w:rsid w:val="002758D9"/>
    <w:rsid w:val="002758E0"/>
    <w:rsid w:val="002758FE"/>
    <w:rsid w:val="00275934"/>
    <w:rsid w:val="0027597C"/>
    <w:rsid w:val="002759B9"/>
    <w:rsid w:val="002759F0"/>
    <w:rsid w:val="00275A10"/>
    <w:rsid w:val="00275A44"/>
    <w:rsid w:val="00275A99"/>
    <w:rsid w:val="00275A9D"/>
    <w:rsid w:val="00275B2A"/>
    <w:rsid w:val="00275B60"/>
    <w:rsid w:val="00275B93"/>
    <w:rsid w:val="00275B9D"/>
    <w:rsid w:val="00275BF7"/>
    <w:rsid w:val="00275C85"/>
    <w:rsid w:val="00275C9A"/>
    <w:rsid w:val="00275CB3"/>
    <w:rsid w:val="00275CCD"/>
    <w:rsid w:val="00275CF1"/>
    <w:rsid w:val="00275D04"/>
    <w:rsid w:val="00275D11"/>
    <w:rsid w:val="00275D59"/>
    <w:rsid w:val="00275D63"/>
    <w:rsid w:val="00275D85"/>
    <w:rsid w:val="00275D87"/>
    <w:rsid w:val="00275D89"/>
    <w:rsid w:val="00275D9B"/>
    <w:rsid w:val="00275E1D"/>
    <w:rsid w:val="00275E2F"/>
    <w:rsid w:val="00275E61"/>
    <w:rsid w:val="00275EAC"/>
    <w:rsid w:val="00275EAE"/>
    <w:rsid w:val="00275EBC"/>
    <w:rsid w:val="00275ECE"/>
    <w:rsid w:val="00275ED9"/>
    <w:rsid w:val="00275EF3"/>
    <w:rsid w:val="00275F3B"/>
    <w:rsid w:val="00275F6D"/>
    <w:rsid w:val="00275F78"/>
    <w:rsid w:val="00275F8A"/>
    <w:rsid w:val="00275FC3"/>
    <w:rsid w:val="00275FDA"/>
    <w:rsid w:val="00276036"/>
    <w:rsid w:val="0027603D"/>
    <w:rsid w:val="0027604E"/>
    <w:rsid w:val="00276051"/>
    <w:rsid w:val="00276075"/>
    <w:rsid w:val="00276098"/>
    <w:rsid w:val="0027615B"/>
    <w:rsid w:val="00276184"/>
    <w:rsid w:val="002761A0"/>
    <w:rsid w:val="002761E3"/>
    <w:rsid w:val="0027620B"/>
    <w:rsid w:val="00276231"/>
    <w:rsid w:val="00276273"/>
    <w:rsid w:val="00276291"/>
    <w:rsid w:val="00276292"/>
    <w:rsid w:val="002762B9"/>
    <w:rsid w:val="002762BF"/>
    <w:rsid w:val="002762C2"/>
    <w:rsid w:val="002762D2"/>
    <w:rsid w:val="002762E0"/>
    <w:rsid w:val="002762EE"/>
    <w:rsid w:val="00276301"/>
    <w:rsid w:val="00276311"/>
    <w:rsid w:val="0027632B"/>
    <w:rsid w:val="00276345"/>
    <w:rsid w:val="00276373"/>
    <w:rsid w:val="00276389"/>
    <w:rsid w:val="00276391"/>
    <w:rsid w:val="002763AB"/>
    <w:rsid w:val="002763BF"/>
    <w:rsid w:val="002763E7"/>
    <w:rsid w:val="002763F9"/>
    <w:rsid w:val="0027644D"/>
    <w:rsid w:val="0027645C"/>
    <w:rsid w:val="0027646E"/>
    <w:rsid w:val="002764AE"/>
    <w:rsid w:val="002764C7"/>
    <w:rsid w:val="002764CF"/>
    <w:rsid w:val="002764E4"/>
    <w:rsid w:val="00276505"/>
    <w:rsid w:val="0027653A"/>
    <w:rsid w:val="00276592"/>
    <w:rsid w:val="002765F9"/>
    <w:rsid w:val="00276603"/>
    <w:rsid w:val="00276625"/>
    <w:rsid w:val="0027665B"/>
    <w:rsid w:val="0027666F"/>
    <w:rsid w:val="00276698"/>
    <w:rsid w:val="002766C0"/>
    <w:rsid w:val="002766C9"/>
    <w:rsid w:val="002766D3"/>
    <w:rsid w:val="00276710"/>
    <w:rsid w:val="0027674A"/>
    <w:rsid w:val="00276755"/>
    <w:rsid w:val="00276772"/>
    <w:rsid w:val="00276775"/>
    <w:rsid w:val="00276780"/>
    <w:rsid w:val="00276789"/>
    <w:rsid w:val="00276794"/>
    <w:rsid w:val="00276838"/>
    <w:rsid w:val="0027687F"/>
    <w:rsid w:val="002768CE"/>
    <w:rsid w:val="002768E5"/>
    <w:rsid w:val="002768ED"/>
    <w:rsid w:val="0027691A"/>
    <w:rsid w:val="0027692F"/>
    <w:rsid w:val="0027693E"/>
    <w:rsid w:val="00276948"/>
    <w:rsid w:val="00276956"/>
    <w:rsid w:val="0027699D"/>
    <w:rsid w:val="002769F4"/>
    <w:rsid w:val="00276A33"/>
    <w:rsid w:val="00276A8C"/>
    <w:rsid w:val="00276B25"/>
    <w:rsid w:val="00276B34"/>
    <w:rsid w:val="00276B61"/>
    <w:rsid w:val="00276B72"/>
    <w:rsid w:val="00276B80"/>
    <w:rsid w:val="00276B82"/>
    <w:rsid w:val="00276BD8"/>
    <w:rsid w:val="00276C22"/>
    <w:rsid w:val="00276C35"/>
    <w:rsid w:val="00276CE1"/>
    <w:rsid w:val="00276D1F"/>
    <w:rsid w:val="00276D2F"/>
    <w:rsid w:val="00276D3C"/>
    <w:rsid w:val="00276D44"/>
    <w:rsid w:val="00276D48"/>
    <w:rsid w:val="00276D4F"/>
    <w:rsid w:val="00276D7F"/>
    <w:rsid w:val="00276D97"/>
    <w:rsid w:val="00276D9B"/>
    <w:rsid w:val="00276E2E"/>
    <w:rsid w:val="00276E51"/>
    <w:rsid w:val="00276E79"/>
    <w:rsid w:val="00276EA1"/>
    <w:rsid w:val="00276EAE"/>
    <w:rsid w:val="00276EBE"/>
    <w:rsid w:val="00276ECE"/>
    <w:rsid w:val="00276ED4"/>
    <w:rsid w:val="00276F41"/>
    <w:rsid w:val="00276F49"/>
    <w:rsid w:val="00276FA7"/>
    <w:rsid w:val="0027701A"/>
    <w:rsid w:val="0027702A"/>
    <w:rsid w:val="0027702C"/>
    <w:rsid w:val="00277060"/>
    <w:rsid w:val="00277062"/>
    <w:rsid w:val="0027706D"/>
    <w:rsid w:val="002770B0"/>
    <w:rsid w:val="002770B9"/>
    <w:rsid w:val="002770CA"/>
    <w:rsid w:val="002770CC"/>
    <w:rsid w:val="002770E5"/>
    <w:rsid w:val="00277118"/>
    <w:rsid w:val="00277163"/>
    <w:rsid w:val="00277171"/>
    <w:rsid w:val="00277172"/>
    <w:rsid w:val="002771AE"/>
    <w:rsid w:val="002771D7"/>
    <w:rsid w:val="002771DC"/>
    <w:rsid w:val="002771E0"/>
    <w:rsid w:val="00277212"/>
    <w:rsid w:val="00277231"/>
    <w:rsid w:val="0027723D"/>
    <w:rsid w:val="00277292"/>
    <w:rsid w:val="002772A4"/>
    <w:rsid w:val="002772B5"/>
    <w:rsid w:val="002772CD"/>
    <w:rsid w:val="002772E4"/>
    <w:rsid w:val="002772EE"/>
    <w:rsid w:val="0027731F"/>
    <w:rsid w:val="0027733C"/>
    <w:rsid w:val="00277365"/>
    <w:rsid w:val="00277397"/>
    <w:rsid w:val="002773A1"/>
    <w:rsid w:val="00277413"/>
    <w:rsid w:val="00277438"/>
    <w:rsid w:val="00277476"/>
    <w:rsid w:val="00277544"/>
    <w:rsid w:val="0027756B"/>
    <w:rsid w:val="00277571"/>
    <w:rsid w:val="00277585"/>
    <w:rsid w:val="002775BE"/>
    <w:rsid w:val="0027764C"/>
    <w:rsid w:val="00277687"/>
    <w:rsid w:val="0027768C"/>
    <w:rsid w:val="002776FC"/>
    <w:rsid w:val="00277736"/>
    <w:rsid w:val="0027773D"/>
    <w:rsid w:val="00277760"/>
    <w:rsid w:val="00277774"/>
    <w:rsid w:val="0027777D"/>
    <w:rsid w:val="002777DC"/>
    <w:rsid w:val="002777FB"/>
    <w:rsid w:val="00277825"/>
    <w:rsid w:val="00277829"/>
    <w:rsid w:val="0027782F"/>
    <w:rsid w:val="00277869"/>
    <w:rsid w:val="00277886"/>
    <w:rsid w:val="00277893"/>
    <w:rsid w:val="0027789A"/>
    <w:rsid w:val="002778AE"/>
    <w:rsid w:val="002778E8"/>
    <w:rsid w:val="002778F9"/>
    <w:rsid w:val="00277922"/>
    <w:rsid w:val="00277986"/>
    <w:rsid w:val="0027799D"/>
    <w:rsid w:val="002779BC"/>
    <w:rsid w:val="002779C9"/>
    <w:rsid w:val="002779FB"/>
    <w:rsid w:val="00277A1B"/>
    <w:rsid w:val="00277A77"/>
    <w:rsid w:val="00277A9E"/>
    <w:rsid w:val="00277AD2"/>
    <w:rsid w:val="00277AE9"/>
    <w:rsid w:val="00277B01"/>
    <w:rsid w:val="00277B13"/>
    <w:rsid w:val="00277B4B"/>
    <w:rsid w:val="00277B5C"/>
    <w:rsid w:val="00277B86"/>
    <w:rsid w:val="00277BAD"/>
    <w:rsid w:val="00277C25"/>
    <w:rsid w:val="00277C26"/>
    <w:rsid w:val="00277C47"/>
    <w:rsid w:val="00277C66"/>
    <w:rsid w:val="00277CA4"/>
    <w:rsid w:val="00277CD1"/>
    <w:rsid w:val="00277CF2"/>
    <w:rsid w:val="00277D18"/>
    <w:rsid w:val="00277D3F"/>
    <w:rsid w:val="00277D42"/>
    <w:rsid w:val="00277D51"/>
    <w:rsid w:val="00277D66"/>
    <w:rsid w:val="00277D99"/>
    <w:rsid w:val="00277DA2"/>
    <w:rsid w:val="00277E23"/>
    <w:rsid w:val="00277E2A"/>
    <w:rsid w:val="00277E8B"/>
    <w:rsid w:val="00277EB9"/>
    <w:rsid w:val="00277EDF"/>
    <w:rsid w:val="00277EF6"/>
    <w:rsid w:val="00277F09"/>
    <w:rsid w:val="00277F45"/>
    <w:rsid w:val="00277F6B"/>
    <w:rsid w:val="00280054"/>
    <w:rsid w:val="002800AB"/>
    <w:rsid w:val="002800D6"/>
    <w:rsid w:val="00280136"/>
    <w:rsid w:val="00280179"/>
    <w:rsid w:val="0028019F"/>
    <w:rsid w:val="002801AD"/>
    <w:rsid w:val="002801C7"/>
    <w:rsid w:val="00280205"/>
    <w:rsid w:val="0028021D"/>
    <w:rsid w:val="0028024E"/>
    <w:rsid w:val="00280253"/>
    <w:rsid w:val="00280298"/>
    <w:rsid w:val="002802F5"/>
    <w:rsid w:val="002802F9"/>
    <w:rsid w:val="00280325"/>
    <w:rsid w:val="0028037D"/>
    <w:rsid w:val="0028037F"/>
    <w:rsid w:val="00280380"/>
    <w:rsid w:val="00280382"/>
    <w:rsid w:val="0028038D"/>
    <w:rsid w:val="0028039A"/>
    <w:rsid w:val="002803B6"/>
    <w:rsid w:val="002803BC"/>
    <w:rsid w:val="0028040B"/>
    <w:rsid w:val="00280466"/>
    <w:rsid w:val="002804B8"/>
    <w:rsid w:val="002804DC"/>
    <w:rsid w:val="002804FE"/>
    <w:rsid w:val="00280578"/>
    <w:rsid w:val="00280584"/>
    <w:rsid w:val="00280587"/>
    <w:rsid w:val="00280597"/>
    <w:rsid w:val="002805C6"/>
    <w:rsid w:val="00280602"/>
    <w:rsid w:val="0028062F"/>
    <w:rsid w:val="0028067C"/>
    <w:rsid w:val="002806A8"/>
    <w:rsid w:val="002806B0"/>
    <w:rsid w:val="002806BA"/>
    <w:rsid w:val="00280706"/>
    <w:rsid w:val="00280738"/>
    <w:rsid w:val="0028074E"/>
    <w:rsid w:val="00280759"/>
    <w:rsid w:val="00280767"/>
    <w:rsid w:val="002807A3"/>
    <w:rsid w:val="002807AC"/>
    <w:rsid w:val="002807EB"/>
    <w:rsid w:val="00280822"/>
    <w:rsid w:val="00280824"/>
    <w:rsid w:val="0028082E"/>
    <w:rsid w:val="00280846"/>
    <w:rsid w:val="00280854"/>
    <w:rsid w:val="00280859"/>
    <w:rsid w:val="00280884"/>
    <w:rsid w:val="00280892"/>
    <w:rsid w:val="002808A1"/>
    <w:rsid w:val="002808E7"/>
    <w:rsid w:val="002808FA"/>
    <w:rsid w:val="0028096D"/>
    <w:rsid w:val="00280981"/>
    <w:rsid w:val="002809AA"/>
    <w:rsid w:val="002809B4"/>
    <w:rsid w:val="002809EA"/>
    <w:rsid w:val="00280A74"/>
    <w:rsid w:val="00280A88"/>
    <w:rsid w:val="00280AB5"/>
    <w:rsid w:val="00280AE8"/>
    <w:rsid w:val="00280B00"/>
    <w:rsid w:val="00280B09"/>
    <w:rsid w:val="00280B18"/>
    <w:rsid w:val="00280B20"/>
    <w:rsid w:val="00280B4A"/>
    <w:rsid w:val="00280B99"/>
    <w:rsid w:val="00280BCC"/>
    <w:rsid w:val="00280BDF"/>
    <w:rsid w:val="00280BE7"/>
    <w:rsid w:val="00280C0C"/>
    <w:rsid w:val="00280C2B"/>
    <w:rsid w:val="00280C79"/>
    <w:rsid w:val="00280C80"/>
    <w:rsid w:val="00280C8F"/>
    <w:rsid w:val="00280CA6"/>
    <w:rsid w:val="00280D4D"/>
    <w:rsid w:val="00280DCA"/>
    <w:rsid w:val="00280DE6"/>
    <w:rsid w:val="00280E3C"/>
    <w:rsid w:val="00280E43"/>
    <w:rsid w:val="00280E64"/>
    <w:rsid w:val="00280E71"/>
    <w:rsid w:val="00280E82"/>
    <w:rsid w:val="00280EAA"/>
    <w:rsid w:val="00280EC7"/>
    <w:rsid w:val="00280F1D"/>
    <w:rsid w:val="00280F5A"/>
    <w:rsid w:val="00280F78"/>
    <w:rsid w:val="00280FB9"/>
    <w:rsid w:val="00280FC3"/>
    <w:rsid w:val="00280FED"/>
    <w:rsid w:val="0028100F"/>
    <w:rsid w:val="00281049"/>
    <w:rsid w:val="0028104B"/>
    <w:rsid w:val="002810A2"/>
    <w:rsid w:val="002810A8"/>
    <w:rsid w:val="002810FD"/>
    <w:rsid w:val="00281120"/>
    <w:rsid w:val="00281175"/>
    <w:rsid w:val="00281192"/>
    <w:rsid w:val="002811A2"/>
    <w:rsid w:val="002811AF"/>
    <w:rsid w:val="002811C2"/>
    <w:rsid w:val="002811C8"/>
    <w:rsid w:val="002811CA"/>
    <w:rsid w:val="002811E2"/>
    <w:rsid w:val="002811F2"/>
    <w:rsid w:val="00281222"/>
    <w:rsid w:val="00281224"/>
    <w:rsid w:val="00281245"/>
    <w:rsid w:val="00281247"/>
    <w:rsid w:val="0028126E"/>
    <w:rsid w:val="00281286"/>
    <w:rsid w:val="00281294"/>
    <w:rsid w:val="0028129C"/>
    <w:rsid w:val="002812D9"/>
    <w:rsid w:val="002812EE"/>
    <w:rsid w:val="00281311"/>
    <w:rsid w:val="0028132F"/>
    <w:rsid w:val="0028134F"/>
    <w:rsid w:val="00281354"/>
    <w:rsid w:val="0028136D"/>
    <w:rsid w:val="002813BD"/>
    <w:rsid w:val="002813D0"/>
    <w:rsid w:val="002813E4"/>
    <w:rsid w:val="002813E8"/>
    <w:rsid w:val="002813F9"/>
    <w:rsid w:val="00281436"/>
    <w:rsid w:val="0028144C"/>
    <w:rsid w:val="0028147D"/>
    <w:rsid w:val="0028147F"/>
    <w:rsid w:val="002814BE"/>
    <w:rsid w:val="00281504"/>
    <w:rsid w:val="00281527"/>
    <w:rsid w:val="00281532"/>
    <w:rsid w:val="00281568"/>
    <w:rsid w:val="00281573"/>
    <w:rsid w:val="00281652"/>
    <w:rsid w:val="00281672"/>
    <w:rsid w:val="002816C2"/>
    <w:rsid w:val="002816EF"/>
    <w:rsid w:val="002816F3"/>
    <w:rsid w:val="00281708"/>
    <w:rsid w:val="0028175D"/>
    <w:rsid w:val="002817D3"/>
    <w:rsid w:val="0028182A"/>
    <w:rsid w:val="00281865"/>
    <w:rsid w:val="00281876"/>
    <w:rsid w:val="002818B2"/>
    <w:rsid w:val="002818BC"/>
    <w:rsid w:val="00281924"/>
    <w:rsid w:val="00281958"/>
    <w:rsid w:val="002819AF"/>
    <w:rsid w:val="002819B3"/>
    <w:rsid w:val="00281A29"/>
    <w:rsid w:val="00281A5D"/>
    <w:rsid w:val="00281A6C"/>
    <w:rsid w:val="00281AF2"/>
    <w:rsid w:val="00281B0B"/>
    <w:rsid w:val="00281B4C"/>
    <w:rsid w:val="00281B63"/>
    <w:rsid w:val="00281B64"/>
    <w:rsid w:val="00281B6F"/>
    <w:rsid w:val="00281B8A"/>
    <w:rsid w:val="00281BC2"/>
    <w:rsid w:val="00281C1A"/>
    <w:rsid w:val="00281C2C"/>
    <w:rsid w:val="00281C82"/>
    <w:rsid w:val="00281C89"/>
    <w:rsid w:val="00281CBC"/>
    <w:rsid w:val="00281D20"/>
    <w:rsid w:val="00281D26"/>
    <w:rsid w:val="00281D46"/>
    <w:rsid w:val="00281DAE"/>
    <w:rsid w:val="00281DF5"/>
    <w:rsid w:val="00281E01"/>
    <w:rsid w:val="00281E19"/>
    <w:rsid w:val="00281E23"/>
    <w:rsid w:val="00281E41"/>
    <w:rsid w:val="00281E9A"/>
    <w:rsid w:val="00281E9B"/>
    <w:rsid w:val="00281EAE"/>
    <w:rsid w:val="00281EEE"/>
    <w:rsid w:val="00281F15"/>
    <w:rsid w:val="00281F1E"/>
    <w:rsid w:val="00281F32"/>
    <w:rsid w:val="00281F97"/>
    <w:rsid w:val="00282017"/>
    <w:rsid w:val="00282021"/>
    <w:rsid w:val="0028202F"/>
    <w:rsid w:val="00282032"/>
    <w:rsid w:val="0028206F"/>
    <w:rsid w:val="002820EA"/>
    <w:rsid w:val="0028215F"/>
    <w:rsid w:val="0028218E"/>
    <w:rsid w:val="002821A1"/>
    <w:rsid w:val="002821A9"/>
    <w:rsid w:val="002821C0"/>
    <w:rsid w:val="002821D8"/>
    <w:rsid w:val="002821DD"/>
    <w:rsid w:val="00282221"/>
    <w:rsid w:val="00282243"/>
    <w:rsid w:val="00282259"/>
    <w:rsid w:val="0028226C"/>
    <w:rsid w:val="002822AF"/>
    <w:rsid w:val="002822C0"/>
    <w:rsid w:val="002822EF"/>
    <w:rsid w:val="00282386"/>
    <w:rsid w:val="002823D7"/>
    <w:rsid w:val="00282480"/>
    <w:rsid w:val="002824A0"/>
    <w:rsid w:val="002824C5"/>
    <w:rsid w:val="002824FB"/>
    <w:rsid w:val="00282510"/>
    <w:rsid w:val="00282512"/>
    <w:rsid w:val="00282559"/>
    <w:rsid w:val="0028257A"/>
    <w:rsid w:val="002825FB"/>
    <w:rsid w:val="0028261B"/>
    <w:rsid w:val="00282620"/>
    <w:rsid w:val="00282630"/>
    <w:rsid w:val="00282634"/>
    <w:rsid w:val="00282678"/>
    <w:rsid w:val="0028268A"/>
    <w:rsid w:val="00282696"/>
    <w:rsid w:val="002826B9"/>
    <w:rsid w:val="002826BB"/>
    <w:rsid w:val="002826D3"/>
    <w:rsid w:val="00282710"/>
    <w:rsid w:val="00282717"/>
    <w:rsid w:val="00282733"/>
    <w:rsid w:val="0028277F"/>
    <w:rsid w:val="0028278B"/>
    <w:rsid w:val="002827C1"/>
    <w:rsid w:val="00282819"/>
    <w:rsid w:val="0028284D"/>
    <w:rsid w:val="0028288B"/>
    <w:rsid w:val="00282890"/>
    <w:rsid w:val="002828C3"/>
    <w:rsid w:val="002828EA"/>
    <w:rsid w:val="0028290C"/>
    <w:rsid w:val="00282920"/>
    <w:rsid w:val="00282922"/>
    <w:rsid w:val="00282935"/>
    <w:rsid w:val="0028293B"/>
    <w:rsid w:val="00282940"/>
    <w:rsid w:val="00282981"/>
    <w:rsid w:val="002829A3"/>
    <w:rsid w:val="002829D2"/>
    <w:rsid w:val="002829D6"/>
    <w:rsid w:val="00282A6F"/>
    <w:rsid w:val="00282A8B"/>
    <w:rsid w:val="00282AAD"/>
    <w:rsid w:val="00282ABA"/>
    <w:rsid w:val="00282AC0"/>
    <w:rsid w:val="00282AD2"/>
    <w:rsid w:val="00282B41"/>
    <w:rsid w:val="00282B9C"/>
    <w:rsid w:val="00282BB7"/>
    <w:rsid w:val="00282BCC"/>
    <w:rsid w:val="00282BF2"/>
    <w:rsid w:val="00282BF4"/>
    <w:rsid w:val="00282C01"/>
    <w:rsid w:val="00282C20"/>
    <w:rsid w:val="00282C2F"/>
    <w:rsid w:val="00282C35"/>
    <w:rsid w:val="00282C62"/>
    <w:rsid w:val="00282C7D"/>
    <w:rsid w:val="00282C88"/>
    <w:rsid w:val="00282C92"/>
    <w:rsid w:val="00282CE3"/>
    <w:rsid w:val="00282CE5"/>
    <w:rsid w:val="00282CF3"/>
    <w:rsid w:val="00282CF5"/>
    <w:rsid w:val="00282CFB"/>
    <w:rsid w:val="00282D7E"/>
    <w:rsid w:val="00282D92"/>
    <w:rsid w:val="00282DB1"/>
    <w:rsid w:val="00282DC8"/>
    <w:rsid w:val="00282DDB"/>
    <w:rsid w:val="00282DF5"/>
    <w:rsid w:val="00282EAE"/>
    <w:rsid w:val="00282EB8"/>
    <w:rsid w:val="00282ED9"/>
    <w:rsid w:val="00282EF6"/>
    <w:rsid w:val="00282F59"/>
    <w:rsid w:val="00282F71"/>
    <w:rsid w:val="00282FF1"/>
    <w:rsid w:val="00282FF6"/>
    <w:rsid w:val="00283002"/>
    <w:rsid w:val="00283019"/>
    <w:rsid w:val="00283046"/>
    <w:rsid w:val="0028305C"/>
    <w:rsid w:val="00283064"/>
    <w:rsid w:val="002830EA"/>
    <w:rsid w:val="002830FC"/>
    <w:rsid w:val="00283133"/>
    <w:rsid w:val="00283138"/>
    <w:rsid w:val="002831B6"/>
    <w:rsid w:val="002831E0"/>
    <w:rsid w:val="00283201"/>
    <w:rsid w:val="0028321E"/>
    <w:rsid w:val="00283244"/>
    <w:rsid w:val="0028328F"/>
    <w:rsid w:val="002832C3"/>
    <w:rsid w:val="002832F0"/>
    <w:rsid w:val="00283358"/>
    <w:rsid w:val="00283384"/>
    <w:rsid w:val="0028338E"/>
    <w:rsid w:val="00283399"/>
    <w:rsid w:val="002833ED"/>
    <w:rsid w:val="0028347A"/>
    <w:rsid w:val="002834AC"/>
    <w:rsid w:val="002834C5"/>
    <w:rsid w:val="002834D4"/>
    <w:rsid w:val="00283507"/>
    <w:rsid w:val="0028350F"/>
    <w:rsid w:val="0028352F"/>
    <w:rsid w:val="00283544"/>
    <w:rsid w:val="00283574"/>
    <w:rsid w:val="002835DA"/>
    <w:rsid w:val="002835EF"/>
    <w:rsid w:val="0028362E"/>
    <w:rsid w:val="0028371A"/>
    <w:rsid w:val="0028377C"/>
    <w:rsid w:val="00283784"/>
    <w:rsid w:val="002837B2"/>
    <w:rsid w:val="002837BE"/>
    <w:rsid w:val="002837CA"/>
    <w:rsid w:val="002837DB"/>
    <w:rsid w:val="0028380E"/>
    <w:rsid w:val="0028382E"/>
    <w:rsid w:val="00283875"/>
    <w:rsid w:val="00283947"/>
    <w:rsid w:val="00283997"/>
    <w:rsid w:val="002839A8"/>
    <w:rsid w:val="002839BD"/>
    <w:rsid w:val="002839D2"/>
    <w:rsid w:val="002839F3"/>
    <w:rsid w:val="00283A01"/>
    <w:rsid w:val="00283A10"/>
    <w:rsid w:val="00283A3C"/>
    <w:rsid w:val="00283A88"/>
    <w:rsid w:val="00283A8F"/>
    <w:rsid w:val="00283AB0"/>
    <w:rsid w:val="00283AB3"/>
    <w:rsid w:val="00283AE9"/>
    <w:rsid w:val="00283AFA"/>
    <w:rsid w:val="00283B09"/>
    <w:rsid w:val="00283B49"/>
    <w:rsid w:val="00283B4B"/>
    <w:rsid w:val="00283B6A"/>
    <w:rsid w:val="00283B7B"/>
    <w:rsid w:val="00283B81"/>
    <w:rsid w:val="00283BA6"/>
    <w:rsid w:val="00283BCD"/>
    <w:rsid w:val="00283BD6"/>
    <w:rsid w:val="00283C00"/>
    <w:rsid w:val="00283C17"/>
    <w:rsid w:val="00283C65"/>
    <w:rsid w:val="00283C79"/>
    <w:rsid w:val="00283CB5"/>
    <w:rsid w:val="00283CB6"/>
    <w:rsid w:val="00283CD0"/>
    <w:rsid w:val="00283CDF"/>
    <w:rsid w:val="00283D1A"/>
    <w:rsid w:val="00283D3C"/>
    <w:rsid w:val="00283D58"/>
    <w:rsid w:val="00283DB1"/>
    <w:rsid w:val="00283DBE"/>
    <w:rsid w:val="00283DC7"/>
    <w:rsid w:val="00283DD5"/>
    <w:rsid w:val="00283DFF"/>
    <w:rsid w:val="00283E91"/>
    <w:rsid w:val="00283E96"/>
    <w:rsid w:val="00283EAB"/>
    <w:rsid w:val="00283EC2"/>
    <w:rsid w:val="00283EFC"/>
    <w:rsid w:val="00283F21"/>
    <w:rsid w:val="00283F4F"/>
    <w:rsid w:val="00283F5E"/>
    <w:rsid w:val="00283FEB"/>
    <w:rsid w:val="00283FF2"/>
    <w:rsid w:val="00283FF6"/>
    <w:rsid w:val="00284045"/>
    <w:rsid w:val="0028406E"/>
    <w:rsid w:val="00284094"/>
    <w:rsid w:val="002840E1"/>
    <w:rsid w:val="002840E2"/>
    <w:rsid w:val="0028411D"/>
    <w:rsid w:val="00284122"/>
    <w:rsid w:val="00284127"/>
    <w:rsid w:val="0028416A"/>
    <w:rsid w:val="0028419B"/>
    <w:rsid w:val="002841CC"/>
    <w:rsid w:val="002841F8"/>
    <w:rsid w:val="00284221"/>
    <w:rsid w:val="00284232"/>
    <w:rsid w:val="00284242"/>
    <w:rsid w:val="00284257"/>
    <w:rsid w:val="00284284"/>
    <w:rsid w:val="002842B2"/>
    <w:rsid w:val="00284348"/>
    <w:rsid w:val="00284373"/>
    <w:rsid w:val="002843A8"/>
    <w:rsid w:val="002843CB"/>
    <w:rsid w:val="002843D2"/>
    <w:rsid w:val="002843E7"/>
    <w:rsid w:val="002843E8"/>
    <w:rsid w:val="00284409"/>
    <w:rsid w:val="00284473"/>
    <w:rsid w:val="002844C5"/>
    <w:rsid w:val="002844C9"/>
    <w:rsid w:val="002844D8"/>
    <w:rsid w:val="00284596"/>
    <w:rsid w:val="002845C2"/>
    <w:rsid w:val="002845EE"/>
    <w:rsid w:val="00284602"/>
    <w:rsid w:val="0028460F"/>
    <w:rsid w:val="00284625"/>
    <w:rsid w:val="00284655"/>
    <w:rsid w:val="00284661"/>
    <w:rsid w:val="0028467F"/>
    <w:rsid w:val="002846D2"/>
    <w:rsid w:val="002846FC"/>
    <w:rsid w:val="00284754"/>
    <w:rsid w:val="002847D7"/>
    <w:rsid w:val="002847F4"/>
    <w:rsid w:val="0028480D"/>
    <w:rsid w:val="0028481C"/>
    <w:rsid w:val="00284836"/>
    <w:rsid w:val="00284841"/>
    <w:rsid w:val="0028485D"/>
    <w:rsid w:val="00284860"/>
    <w:rsid w:val="00284875"/>
    <w:rsid w:val="00284892"/>
    <w:rsid w:val="002848A1"/>
    <w:rsid w:val="0028490B"/>
    <w:rsid w:val="00284936"/>
    <w:rsid w:val="00284999"/>
    <w:rsid w:val="002849AA"/>
    <w:rsid w:val="002849F9"/>
    <w:rsid w:val="00284A9A"/>
    <w:rsid w:val="00284AFB"/>
    <w:rsid w:val="00284B0D"/>
    <w:rsid w:val="00284B29"/>
    <w:rsid w:val="00284B2E"/>
    <w:rsid w:val="00284B35"/>
    <w:rsid w:val="00284B67"/>
    <w:rsid w:val="00284C05"/>
    <w:rsid w:val="00284C3B"/>
    <w:rsid w:val="00284C64"/>
    <w:rsid w:val="00284C69"/>
    <w:rsid w:val="00284CBD"/>
    <w:rsid w:val="00284CCB"/>
    <w:rsid w:val="00284CF6"/>
    <w:rsid w:val="00284CF9"/>
    <w:rsid w:val="00284D24"/>
    <w:rsid w:val="00284D37"/>
    <w:rsid w:val="00284D44"/>
    <w:rsid w:val="00284D70"/>
    <w:rsid w:val="00284D8D"/>
    <w:rsid w:val="00284DC7"/>
    <w:rsid w:val="00284E42"/>
    <w:rsid w:val="00284EA4"/>
    <w:rsid w:val="00284EAE"/>
    <w:rsid w:val="00284EC0"/>
    <w:rsid w:val="00284EE3"/>
    <w:rsid w:val="00284EFA"/>
    <w:rsid w:val="00284F14"/>
    <w:rsid w:val="00284F80"/>
    <w:rsid w:val="00284F9A"/>
    <w:rsid w:val="00284F9E"/>
    <w:rsid w:val="0028500F"/>
    <w:rsid w:val="0028501E"/>
    <w:rsid w:val="0028504B"/>
    <w:rsid w:val="0028505F"/>
    <w:rsid w:val="002850B3"/>
    <w:rsid w:val="0028515A"/>
    <w:rsid w:val="00285186"/>
    <w:rsid w:val="0028519E"/>
    <w:rsid w:val="002851FF"/>
    <w:rsid w:val="00285220"/>
    <w:rsid w:val="0028522A"/>
    <w:rsid w:val="0028523F"/>
    <w:rsid w:val="0028524E"/>
    <w:rsid w:val="00285306"/>
    <w:rsid w:val="0028537E"/>
    <w:rsid w:val="002853DE"/>
    <w:rsid w:val="00285415"/>
    <w:rsid w:val="00285444"/>
    <w:rsid w:val="00285499"/>
    <w:rsid w:val="002854B1"/>
    <w:rsid w:val="00285519"/>
    <w:rsid w:val="00285529"/>
    <w:rsid w:val="0028555A"/>
    <w:rsid w:val="00285568"/>
    <w:rsid w:val="0028557D"/>
    <w:rsid w:val="00285583"/>
    <w:rsid w:val="002855B1"/>
    <w:rsid w:val="002855C5"/>
    <w:rsid w:val="002855F5"/>
    <w:rsid w:val="0028561B"/>
    <w:rsid w:val="00285661"/>
    <w:rsid w:val="00285665"/>
    <w:rsid w:val="002856A2"/>
    <w:rsid w:val="002856FC"/>
    <w:rsid w:val="0028570C"/>
    <w:rsid w:val="00285724"/>
    <w:rsid w:val="0028576F"/>
    <w:rsid w:val="00285793"/>
    <w:rsid w:val="002857D2"/>
    <w:rsid w:val="002857ED"/>
    <w:rsid w:val="002857F5"/>
    <w:rsid w:val="002857FC"/>
    <w:rsid w:val="0028580E"/>
    <w:rsid w:val="00285871"/>
    <w:rsid w:val="0028588F"/>
    <w:rsid w:val="002858DC"/>
    <w:rsid w:val="002858E2"/>
    <w:rsid w:val="0028590A"/>
    <w:rsid w:val="0028596B"/>
    <w:rsid w:val="002859C5"/>
    <w:rsid w:val="002859E5"/>
    <w:rsid w:val="00285A5A"/>
    <w:rsid w:val="00285A5F"/>
    <w:rsid w:val="00285A97"/>
    <w:rsid w:val="00285B6D"/>
    <w:rsid w:val="00285B8A"/>
    <w:rsid w:val="00285BAA"/>
    <w:rsid w:val="00285BEB"/>
    <w:rsid w:val="00285CE1"/>
    <w:rsid w:val="00285CE5"/>
    <w:rsid w:val="00285D82"/>
    <w:rsid w:val="00285D85"/>
    <w:rsid w:val="00285D8E"/>
    <w:rsid w:val="00285DD3"/>
    <w:rsid w:val="00285DD5"/>
    <w:rsid w:val="00285E14"/>
    <w:rsid w:val="00285E1B"/>
    <w:rsid w:val="00285E24"/>
    <w:rsid w:val="00285EAD"/>
    <w:rsid w:val="00285EB7"/>
    <w:rsid w:val="00285EEB"/>
    <w:rsid w:val="00285EF3"/>
    <w:rsid w:val="00285F15"/>
    <w:rsid w:val="00285F1A"/>
    <w:rsid w:val="00285F1B"/>
    <w:rsid w:val="00285F1F"/>
    <w:rsid w:val="00285F21"/>
    <w:rsid w:val="00285F24"/>
    <w:rsid w:val="00285F7A"/>
    <w:rsid w:val="00285FB7"/>
    <w:rsid w:val="00285FBB"/>
    <w:rsid w:val="00285FBE"/>
    <w:rsid w:val="00285FC0"/>
    <w:rsid w:val="00285FE1"/>
    <w:rsid w:val="00286011"/>
    <w:rsid w:val="00286065"/>
    <w:rsid w:val="002860A8"/>
    <w:rsid w:val="002860B1"/>
    <w:rsid w:val="002860BC"/>
    <w:rsid w:val="002860C0"/>
    <w:rsid w:val="002860EA"/>
    <w:rsid w:val="002860FE"/>
    <w:rsid w:val="00286104"/>
    <w:rsid w:val="00286120"/>
    <w:rsid w:val="00286191"/>
    <w:rsid w:val="002861A3"/>
    <w:rsid w:val="002861EC"/>
    <w:rsid w:val="00286213"/>
    <w:rsid w:val="002862A7"/>
    <w:rsid w:val="002862D2"/>
    <w:rsid w:val="002862F8"/>
    <w:rsid w:val="00286327"/>
    <w:rsid w:val="0028638F"/>
    <w:rsid w:val="002863B9"/>
    <w:rsid w:val="002863C5"/>
    <w:rsid w:val="002863EB"/>
    <w:rsid w:val="002863F9"/>
    <w:rsid w:val="00286439"/>
    <w:rsid w:val="0028644C"/>
    <w:rsid w:val="0028646D"/>
    <w:rsid w:val="00286484"/>
    <w:rsid w:val="0028648A"/>
    <w:rsid w:val="002864AC"/>
    <w:rsid w:val="002864DC"/>
    <w:rsid w:val="002864F6"/>
    <w:rsid w:val="00286515"/>
    <w:rsid w:val="0028653D"/>
    <w:rsid w:val="00286591"/>
    <w:rsid w:val="002865B6"/>
    <w:rsid w:val="0028665F"/>
    <w:rsid w:val="00286674"/>
    <w:rsid w:val="0028669F"/>
    <w:rsid w:val="002866B6"/>
    <w:rsid w:val="002866D2"/>
    <w:rsid w:val="002866DF"/>
    <w:rsid w:val="002866FC"/>
    <w:rsid w:val="0028670C"/>
    <w:rsid w:val="00286711"/>
    <w:rsid w:val="00286714"/>
    <w:rsid w:val="00286725"/>
    <w:rsid w:val="00286734"/>
    <w:rsid w:val="0028679E"/>
    <w:rsid w:val="002867B1"/>
    <w:rsid w:val="002867D4"/>
    <w:rsid w:val="0028682C"/>
    <w:rsid w:val="00286856"/>
    <w:rsid w:val="002868E8"/>
    <w:rsid w:val="002868EA"/>
    <w:rsid w:val="002868F0"/>
    <w:rsid w:val="0028690F"/>
    <w:rsid w:val="00286965"/>
    <w:rsid w:val="002869B9"/>
    <w:rsid w:val="00286A0E"/>
    <w:rsid w:val="00286A14"/>
    <w:rsid w:val="00286A1F"/>
    <w:rsid w:val="00286A8C"/>
    <w:rsid w:val="00286A8D"/>
    <w:rsid w:val="00286AA9"/>
    <w:rsid w:val="00286ACA"/>
    <w:rsid w:val="00286B36"/>
    <w:rsid w:val="00286B6F"/>
    <w:rsid w:val="00286B77"/>
    <w:rsid w:val="00286B84"/>
    <w:rsid w:val="00286BC8"/>
    <w:rsid w:val="00286BD7"/>
    <w:rsid w:val="00286BDA"/>
    <w:rsid w:val="00286BEA"/>
    <w:rsid w:val="00286C01"/>
    <w:rsid w:val="00286C18"/>
    <w:rsid w:val="00286C48"/>
    <w:rsid w:val="00286CB7"/>
    <w:rsid w:val="00286CBD"/>
    <w:rsid w:val="00286CBE"/>
    <w:rsid w:val="00286CF8"/>
    <w:rsid w:val="00286D69"/>
    <w:rsid w:val="00286DA4"/>
    <w:rsid w:val="00286E00"/>
    <w:rsid w:val="00286E08"/>
    <w:rsid w:val="00286E70"/>
    <w:rsid w:val="00286E77"/>
    <w:rsid w:val="00286E9D"/>
    <w:rsid w:val="00286F19"/>
    <w:rsid w:val="00286F2E"/>
    <w:rsid w:val="00286F46"/>
    <w:rsid w:val="00286F54"/>
    <w:rsid w:val="00286F75"/>
    <w:rsid w:val="00286FA9"/>
    <w:rsid w:val="00286FAD"/>
    <w:rsid w:val="00287001"/>
    <w:rsid w:val="00287016"/>
    <w:rsid w:val="00287048"/>
    <w:rsid w:val="0028704C"/>
    <w:rsid w:val="00287081"/>
    <w:rsid w:val="00287092"/>
    <w:rsid w:val="002870A6"/>
    <w:rsid w:val="002870C6"/>
    <w:rsid w:val="00287114"/>
    <w:rsid w:val="00287134"/>
    <w:rsid w:val="0028715C"/>
    <w:rsid w:val="00287163"/>
    <w:rsid w:val="002871F2"/>
    <w:rsid w:val="00287217"/>
    <w:rsid w:val="0028723B"/>
    <w:rsid w:val="00287245"/>
    <w:rsid w:val="0028728E"/>
    <w:rsid w:val="002872D2"/>
    <w:rsid w:val="002872D8"/>
    <w:rsid w:val="002872E4"/>
    <w:rsid w:val="0028737F"/>
    <w:rsid w:val="0028739C"/>
    <w:rsid w:val="002873A4"/>
    <w:rsid w:val="002873B7"/>
    <w:rsid w:val="002873CF"/>
    <w:rsid w:val="002873DE"/>
    <w:rsid w:val="00287420"/>
    <w:rsid w:val="00287427"/>
    <w:rsid w:val="00287432"/>
    <w:rsid w:val="00287454"/>
    <w:rsid w:val="00287474"/>
    <w:rsid w:val="00287484"/>
    <w:rsid w:val="00287498"/>
    <w:rsid w:val="002874DD"/>
    <w:rsid w:val="002874DE"/>
    <w:rsid w:val="00287508"/>
    <w:rsid w:val="0028750A"/>
    <w:rsid w:val="0028754B"/>
    <w:rsid w:val="00287563"/>
    <w:rsid w:val="00287572"/>
    <w:rsid w:val="00287580"/>
    <w:rsid w:val="0028758A"/>
    <w:rsid w:val="0028758F"/>
    <w:rsid w:val="002875E3"/>
    <w:rsid w:val="002875E4"/>
    <w:rsid w:val="0028760E"/>
    <w:rsid w:val="00287656"/>
    <w:rsid w:val="002876A9"/>
    <w:rsid w:val="002876CE"/>
    <w:rsid w:val="002876D6"/>
    <w:rsid w:val="00287742"/>
    <w:rsid w:val="00287756"/>
    <w:rsid w:val="00287765"/>
    <w:rsid w:val="00287787"/>
    <w:rsid w:val="0028778E"/>
    <w:rsid w:val="002877CD"/>
    <w:rsid w:val="002877DC"/>
    <w:rsid w:val="002877F9"/>
    <w:rsid w:val="00287824"/>
    <w:rsid w:val="00287835"/>
    <w:rsid w:val="00287845"/>
    <w:rsid w:val="00287870"/>
    <w:rsid w:val="002878C7"/>
    <w:rsid w:val="002878CF"/>
    <w:rsid w:val="002878D4"/>
    <w:rsid w:val="002878DF"/>
    <w:rsid w:val="002878E9"/>
    <w:rsid w:val="00287921"/>
    <w:rsid w:val="0028792D"/>
    <w:rsid w:val="00287933"/>
    <w:rsid w:val="00287941"/>
    <w:rsid w:val="0028795D"/>
    <w:rsid w:val="0028797E"/>
    <w:rsid w:val="00287981"/>
    <w:rsid w:val="002879F2"/>
    <w:rsid w:val="00287A21"/>
    <w:rsid w:val="00287A37"/>
    <w:rsid w:val="00287A4A"/>
    <w:rsid w:val="00287A96"/>
    <w:rsid w:val="00287ACD"/>
    <w:rsid w:val="00287AF1"/>
    <w:rsid w:val="00287AFD"/>
    <w:rsid w:val="00287B21"/>
    <w:rsid w:val="00287B42"/>
    <w:rsid w:val="00287B94"/>
    <w:rsid w:val="00287BAB"/>
    <w:rsid w:val="00287BCB"/>
    <w:rsid w:val="00287BD0"/>
    <w:rsid w:val="00287BE9"/>
    <w:rsid w:val="00287C04"/>
    <w:rsid w:val="00287C05"/>
    <w:rsid w:val="00287C0F"/>
    <w:rsid w:val="00287C19"/>
    <w:rsid w:val="00287C3C"/>
    <w:rsid w:val="00287CB3"/>
    <w:rsid w:val="00287CDB"/>
    <w:rsid w:val="00287CE5"/>
    <w:rsid w:val="00287D41"/>
    <w:rsid w:val="00287D47"/>
    <w:rsid w:val="00287D6B"/>
    <w:rsid w:val="00287D6F"/>
    <w:rsid w:val="00287DFE"/>
    <w:rsid w:val="00287E6D"/>
    <w:rsid w:val="00287E9A"/>
    <w:rsid w:val="00287EB7"/>
    <w:rsid w:val="00287ECA"/>
    <w:rsid w:val="00287ED7"/>
    <w:rsid w:val="00287EE3"/>
    <w:rsid w:val="00287EE4"/>
    <w:rsid w:val="00287EE5"/>
    <w:rsid w:val="00287F0B"/>
    <w:rsid w:val="00287F28"/>
    <w:rsid w:val="00287F2B"/>
    <w:rsid w:val="00287F3B"/>
    <w:rsid w:val="00287F90"/>
    <w:rsid w:val="00287F96"/>
    <w:rsid w:val="00287F97"/>
    <w:rsid w:val="00287FC1"/>
    <w:rsid w:val="00287FE5"/>
    <w:rsid w:val="0029000C"/>
    <w:rsid w:val="0029001A"/>
    <w:rsid w:val="0029005B"/>
    <w:rsid w:val="00290071"/>
    <w:rsid w:val="00290076"/>
    <w:rsid w:val="0029008A"/>
    <w:rsid w:val="002900AE"/>
    <w:rsid w:val="002900B8"/>
    <w:rsid w:val="002900BE"/>
    <w:rsid w:val="002900C4"/>
    <w:rsid w:val="002900C6"/>
    <w:rsid w:val="002900CA"/>
    <w:rsid w:val="00290136"/>
    <w:rsid w:val="00290174"/>
    <w:rsid w:val="00290176"/>
    <w:rsid w:val="002901B3"/>
    <w:rsid w:val="002901D4"/>
    <w:rsid w:val="002901EC"/>
    <w:rsid w:val="002901F7"/>
    <w:rsid w:val="0029022A"/>
    <w:rsid w:val="00290239"/>
    <w:rsid w:val="0029023D"/>
    <w:rsid w:val="0029027F"/>
    <w:rsid w:val="002902C3"/>
    <w:rsid w:val="002902D8"/>
    <w:rsid w:val="002902E3"/>
    <w:rsid w:val="0029030C"/>
    <w:rsid w:val="00290323"/>
    <w:rsid w:val="0029035B"/>
    <w:rsid w:val="002903D4"/>
    <w:rsid w:val="00290460"/>
    <w:rsid w:val="00290461"/>
    <w:rsid w:val="0029046C"/>
    <w:rsid w:val="00290476"/>
    <w:rsid w:val="00290484"/>
    <w:rsid w:val="0029048B"/>
    <w:rsid w:val="002904E7"/>
    <w:rsid w:val="002904FD"/>
    <w:rsid w:val="00290521"/>
    <w:rsid w:val="00290560"/>
    <w:rsid w:val="002905C4"/>
    <w:rsid w:val="0029060E"/>
    <w:rsid w:val="00290610"/>
    <w:rsid w:val="0029061B"/>
    <w:rsid w:val="002906DB"/>
    <w:rsid w:val="00290737"/>
    <w:rsid w:val="00290765"/>
    <w:rsid w:val="0029079B"/>
    <w:rsid w:val="002907A2"/>
    <w:rsid w:val="002907A7"/>
    <w:rsid w:val="002907C0"/>
    <w:rsid w:val="002907FC"/>
    <w:rsid w:val="0029082D"/>
    <w:rsid w:val="00290844"/>
    <w:rsid w:val="00290877"/>
    <w:rsid w:val="002908B1"/>
    <w:rsid w:val="002908C4"/>
    <w:rsid w:val="002908E2"/>
    <w:rsid w:val="002908F6"/>
    <w:rsid w:val="00290901"/>
    <w:rsid w:val="00290930"/>
    <w:rsid w:val="0029098F"/>
    <w:rsid w:val="00290993"/>
    <w:rsid w:val="002909A6"/>
    <w:rsid w:val="002909AE"/>
    <w:rsid w:val="002909C8"/>
    <w:rsid w:val="002909D4"/>
    <w:rsid w:val="002909DC"/>
    <w:rsid w:val="002909F3"/>
    <w:rsid w:val="002909FC"/>
    <w:rsid w:val="00290A06"/>
    <w:rsid w:val="00290A0D"/>
    <w:rsid w:val="00290A42"/>
    <w:rsid w:val="00290A52"/>
    <w:rsid w:val="00290A69"/>
    <w:rsid w:val="00290AD5"/>
    <w:rsid w:val="00290B07"/>
    <w:rsid w:val="00290B77"/>
    <w:rsid w:val="00290BAB"/>
    <w:rsid w:val="00290BB7"/>
    <w:rsid w:val="00290BBB"/>
    <w:rsid w:val="00290BDB"/>
    <w:rsid w:val="00290C1C"/>
    <w:rsid w:val="00290C69"/>
    <w:rsid w:val="00290C6C"/>
    <w:rsid w:val="00290C6F"/>
    <w:rsid w:val="00290C85"/>
    <w:rsid w:val="00290C93"/>
    <w:rsid w:val="00290CDD"/>
    <w:rsid w:val="00290D4A"/>
    <w:rsid w:val="00290D67"/>
    <w:rsid w:val="00290D7F"/>
    <w:rsid w:val="00290DC8"/>
    <w:rsid w:val="00290DCE"/>
    <w:rsid w:val="00290DEF"/>
    <w:rsid w:val="00290E0C"/>
    <w:rsid w:val="00290E25"/>
    <w:rsid w:val="00290E35"/>
    <w:rsid w:val="00290E5F"/>
    <w:rsid w:val="00290E68"/>
    <w:rsid w:val="00290E6F"/>
    <w:rsid w:val="00290ED5"/>
    <w:rsid w:val="00290EE9"/>
    <w:rsid w:val="00290F3F"/>
    <w:rsid w:val="00290F70"/>
    <w:rsid w:val="00290F72"/>
    <w:rsid w:val="00290FE4"/>
    <w:rsid w:val="00290FFD"/>
    <w:rsid w:val="00291006"/>
    <w:rsid w:val="0029101E"/>
    <w:rsid w:val="002910B7"/>
    <w:rsid w:val="002910CB"/>
    <w:rsid w:val="002910D4"/>
    <w:rsid w:val="002910ED"/>
    <w:rsid w:val="00291135"/>
    <w:rsid w:val="00291158"/>
    <w:rsid w:val="0029115F"/>
    <w:rsid w:val="00291166"/>
    <w:rsid w:val="0029116C"/>
    <w:rsid w:val="00291174"/>
    <w:rsid w:val="002911A4"/>
    <w:rsid w:val="002911BB"/>
    <w:rsid w:val="002911BE"/>
    <w:rsid w:val="002911DC"/>
    <w:rsid w:val="002911F7"/>
    <w:rsid w:val="00291200"/>
    <w:rsid w:val="00291208"/>
    <w:rsid w:val="00291255"/>
    <w:rsid w:val="00291299"/>
    <w:rsid w:val="002912A2"/>
    <w:rsid w:val="002912D2"/>
    <w:rsid w:val="00291333"/>
    <w:rsid w:val="00291362"/>
    <w:rsid w:val="002913B8"/>
    <w:rsid w:val="002913D4"/>
    <w:rsid w:val="002913DC"/>
    <w:rsid w:val="002913E0"/>
    <w:rsid w:val="002913EB"/>
    <w:rsid w:val="002913F2"/>
    <w:rsid w:val="002913FE"/>
    <w:rsid w:val="0029143D"/>
    <w:rsid w:val="00291495"/>
    <w:rsid w:val="002914A8"/>
    <w:rsid w:val="002914D1"/>
    <w:rsid w:val="002914E5"/>
    <w:rsid w:val="00291503"/>
    <w:rsid w:val="00291543"/>
    <w:rsid w:val="00291574"/>
    <w:rsid w:val="0029159F"/>
    <w:rsid w:val="002915A8"/>
    <w:rsid w:val="002915AC"/>
    <w:rsid w:val="0029160C"/>
    <w:rsid w:val="00291616"/>
    <w:rsid w:val="00291656"/>
    <w:rsid w:val="0029167F"/>
    <w:rsid w:val="002916A6"/>
    <w:rsid w:val="00291720"/>
    <w:rsid w:val="00291759"/>
    <w:rsid w:val="00291795"/>
    <w:rsid w:val="002917C8"/>
    <w:rsid w:val="0029183E"/>
    <w:rsid w:val="0029184D"/>
    <w:rsid w:val="00291872"/>
    <w:rsid w:val="00291886"/>
    <w:rsid w:val="002919A0"/>
    <w:rsid w:val="002919D7"/>
    <w:rsid w:val="002919F7"/>
    <w:rsid w:val="002919FA"/>
    <w:rsid w:val="00291A1C"/>
    <w:rsid w:val="00291A5E"/>
    <w:rsid w:val="00291A7C"/>
    <w:rsid w:val="00291AB2"/>
    <w:rsid w:val="00291ABF"/>
    <w:rsid w:val="00291ADF"/>
    <w:rsid w:val="00291B01"/>
    <w:rsid w:val="00291B1E"/>
    <w:rsid w:val="00291B20"/>
    <w:rsid w:val="00291B2B"/>
    <w:rsid w:val="00291B3C"/>
    <w:rsid w:val="00291BA2"/>
    <w:rsid w:val="00291BBF"/>
    <w:rsid w:val="00291BFB"/>
    <w:rsid w:val="00291BFC"/>
    <w:rsid w:val="00291C0E"/>
    <w:rsid w:val="00291C3F"/>
    <w:rsid w:val="00291C4F"/>
    <w:rsid w:val="00291C76"/>
    <w:rsid w:val="00291C8F"/>
    <w:rsid w:val="00291CA0"/>
    <w:rsid w:val="00291CFC"/>
    <w:rsid w:val="00291D19"/>
    <w:rsid w:val="00291D38"/>
    <w:rsid w:val="00291D8F"/>
    <w:rsid w:val="00291DAF"/>
    <w:rsid w:val="00291DE0"/>
    <w:rsid w:val="00291E14"/>
    <w:rsid w:val="00291E26"/>
    <w:rsid w:val="00291EDC"/>
    <w:rsid w:val="00291F32"/>
    <w:rsid w:val="00291F66"/>
    <w:rsid w:val="00291F86"/>
    <w:rsid w:val="00291FA0"/>
    <w:rsid w:val="00291FC9"/>
    <w:rsid w:val="00291FEF"/>
    <w:rsid w:val="00291FF2"/>
    <w:rsid w:val="0029202B"/>
    <w:rsid w:val="00292043"/>
    <w:rsid w:val="0029204B"/>
    <w:rsid w:val="00292060"/>
    <w:rsid w:val="0029206B"/>
    <w:rsid w:val="00292075"/>
    <w:rsid w:val="00292098"/>
    <w:rsid w:val="002920C5"/>
    <w:rsid w:val="002920F1"/>
    <w:rsid w:val="002920FA"/>
    <w:rsid w:val="00292135"/>
    <w:rsid w:val="0029213B"/>
    <w:rsid w:val="002921DF"/>
    <w:rsid w:val="002921E1"/>
    <w:rsid w:val="002921EE"/>
    <w:rsid w:val="002921FA"/>
    <w:rsid w:val="00292233"/>
    <w:rsid w:val="0029227B"/>
    <w:rsid w:val="00292291"/>
    <w:rsid w:val="0029229B"/>
    <w:rsid w:val="002922BD"/>
    <w:rsid w:val="002922FB"/>
    <w:rsid w:val="00292322"/>
    <w:rsid w:val="0029235D"/>
    <w:rsid w:val="00292361"/>
    <w:rsid w:val="002923CB"/>
    <w:rsid w:val="002923CD"/>
    <w:rsid w:val="002923D3"/>
    <w:rsid w:val="002923E7"/>
    <w:rsid w:val="002923FA"/>
    <w:rsid w:val="00292450"/>
    <w:rsid w:val="00292486"/>
    <w:rsid w:val="002924B9"/>
    <w:rsid w:val="002924C4"/>
    <w:rsid w:val="002924E2"/>
    <w:rsid w:val="002924F6"/>
    <w:rsid w:val="002924FF"/>
    <w:rsid w:val="0029250D"/>
    <w:rsid w:val="00292542"/>
    <w:rsid w:val="00292552"/>
    <w:rsid w:val="00292594"/>
    <w:rsid w:val="00292662"/>
    <w:rsid w:val="0029270C"/>
    <w:rsid w:val="00292712"/>
    <w:rsid w:val="00292750"/>
    <w:rsid w:val="00292788"/>
    <w:rsid w:val="002927F2"/>
    <w:rsid w:val="00292816"/>
    <w:rsid w:val="00292822"/>
    <w:rsid w:val="00292830"/>
    <w:rsid w:val="00292840"/>
    <w:rsid w:val="00292842"/>
    <w:rsid w:val="00292887"/>
    <w:rsid w:val="002928A0"/>
    <w:rsid w:val="002928BA"/>
    <w:rsid w:val="002928C9"/>
    <w:rsid w:val="002928D1"/>
    <w:rsid w:val="0029292C"/>
    <w:rsid w:val="00292942"/>
    <w:rsid w:val="00292960"/>
    <w:rsid w:val="00292964"/>
    <w:rsid w:val="00292987"/>
    <w:rsid w:val="0029298A"/>
    <w:rsid w:val="00292A25"/>
    <w:rsid w:val="00292A56"/>
    <w:rsid w:val="00292A78"/>
    <w:rsid w:val="00292A8C"/>
    <w:rsid w:val="00292AB7"/>
    <w:rsid w:val="00292ACF"/>
    <w:rsid w:val="00292AD7"/>
    <w:rsid w:val="00292B28"/>
    <w:rsid w:val="00292B30"/>
    <w:rsid w:val="00292B54"/>
    <w:rsid w:val="00292B77"/>
    <w:rsid w:val="00292BE6"/>
    <w:rsid w:val="00292BF4"/>
    <w:rsid w:val="00292C06"/>
    <w:rsid w:val="00292C08"/>
    <w:rsid w:val="00292C0F"/>
    <w:rsid w:val="00292C1C"/>
    <w:rsid w:val="00292C32"/>
    <w:rsid w:val="00292C65"/>
    <w:rsid w:val="00292CCA"/>
    <w:rsid w:val="00292CD9"/>
    <w:rsid w:val="00292D1B"/>
    <w:rsid w:val="00292D2F"/>
    <w:rsid w:val="00292D48"/>
    <w:rsid w:val="00292D4B"/>
    <w:rsid w:val="00292D6A"/>
    <w:rsid w:val="00292D6D"/>
    <w:rsid w:val="00292D73"/>
    <w:rsid w:val="00292D8E"/>
    <w:rsid w:val="00292E02"/>
    <w:rsid w:val="00292E4A"/>
    <w:rsid w:val="00292E4F"/>
    <w:rsid w:val="00292E85"/>
    <w:rsid w:val="00292EC2"/>
    <w:rsid w:val="00292F30"/>
    <w:rsid w:val="00292F47"/>
    <w:rsid w:val="00292F72"/>
    <w:rsid w:val="00292FA4"/>
    <w:rsid w:val="00293008"/>
    <w:rsid w:val="00293011"/>
    <w:rsid w:val="0029301C"/>
    <w:rsid w:val="0029304D"/>
    <w:rsid w:val="00293051"/>
    <w:rsid w:val="00293054"/>
    <w:rsid w:val="0029308E"/>
    <w:rsid w:val="0029309E"/>
    <w:rsid w:val="002930CF"/>
    <w:rsid w:val="00293121"/>
    <w:rsid w:val="0029312A"/>
    <w:rsid w:val="0029313A"/>
    <w:rsid w:val="0029314D"/>
    <w:rsid w:val="00293150"/>
    <w:rsid w:val="002931A7"/>
    <w:rsid w:val="002931B4"/>
    <w:rsid w:val="002931F3"/>
    <w:rsid w:val="0029327E"/>
    <w:rsid w:val="002932D1"/>
    <w:rsid w:val="0029330C"/>
    <w:rsid w:val="0029332D"/>
    <w:rsid w:val="00293347"/>
    <w:rsid w:val="00293372"/>
    <w:rsid w:val="00293383"/>
    <w:rsid w:val="002933F2"/>
    <w:rsid w:val="00293418"/>
    <w:rsid w:val="00293421"/>
    <w:rsid w:val="00293448"/>
    <w:rsid w:val="0029348D"/>
    <w:rsid w:val="002934C4"/>
    <w:rsid w:val="002934CC"/>
    <w:rsid w:val="002934E9"/>
    <w:rsid w:val="002934FB"/>
    <w:rsid w:val="00293501"/>
    <w:rsid w:val="0029350F"/>
    <w:rsid w:val="0029352B"/>
    <w:rsid w:val="00293552"/>
    <w:rsid w:val="00293575"/>
    <w:rsid w:val="0029358B"/>
    <w:rsid w:val="002935A4"/>
    <w:rsid w:val="002935AD"/>
    <w:rsid w:val="00293617"/>
    <w:rsid w:val="0029362F"/>
    <w:rsid w:val="0029364D"/>
    <w:rsid w:val="0029365A"/>
    <w:rsid w:val="0029366B"/>
    <w:rsid w:val="00293690"/>
    <w:rsid w:val="002936A9"/>
    <w:rsid w:val="002936D3"/>
    <w:rsid w:val="002936E7"/>
    <w:rsid w:val="00293724"/>
    <w:rsid w:val="00293763"/>
    <w:rsid w:val="00293768"/>
    <w:rsid w:val="00293786"/>
    <w:rsid w:val="002937AD"/>
    <w:rsid w:val="002937DA"/>
    <w:rsid w:val="002937DB"/>
    <w:rsid w:val="002937EE"/>
    <w:rsid w:val="00293854"/>
    <w:rsid w:val="00293873"/>
    <w:rsid w:val="002938CC"/>
    <w:rsid w:val="002938D0"/>
    <w:rsid w:val="002938E0"/>
    <w:rsid w:val="002938E6"/>
    <w:rsid w:val="002938EE"/>
    <w:rsid w:val="00293907"/>
    <w:rsid w:val="0029397E"/>
    <w:rsid w:val="002939A2"/>
    <w:rsid w:val="002939AE"/>
    <w:rsid w:val="00293A35"/>
    <w:rsid w:val="00293A3A"/>
    <w:rsid w:val="00293A3D"/>
    <w:rsid w:val="00293A41"/>
    <w:rsid w:val="00293A9B"/>
    <w:rsid w:val="00293AB9"/>
    <w:rsid w:val="00293ABB"/>
    <w:rsid w:val="00293ABD"/>
    <w:rsid w:val="00293B18"/>
    <w:rsid w:val="00293B2C"/>
    <w:rsid w:val="00293B4E"/>
    <w:rsid w:val="00293B92"/>
    <w:rsid w:val="00293BAE"/>
    <w:rsid w:val="00293BC0"/>
    <w:rsid w:val="00293BC9"/>
    <w:rsid w:val="00293C0C"/>
    <w:rsid w:val="00293C1D"/>
    <w:rsid w:val="00293C40"/>
    <w:rsid w:val="00293C4D"/>
    <w:rsid w:val="00293C7C"/>
    <w:rsid w:val="00293C8F"/>
    <w:rsid w:val="00293CA7"/>
    <w:rsid w:val="00293D12"/>
    <w:rsid w:val="00293D6C"/>
    <w:rsid w:val="00293D74"/>
    <w:rsid w:val="00293D92"/>
    <w:rsid w:val="00293DDD"/>
    <w:rsid w:val="00293DED"/>
    <w:rsid w:val="00293E29"/>
    <w:rsid w:val="00293E32"/>
    <w:rsid w:val="00293E41"/>
    <w:rsid w:val="00293E5F"/>
    <w:rsid w:val="00293E6F"/>
    <w:rsid w:val="00293E97"/>
    <w:rsid w:val="00293EC8"/>
    <w:rsid w:val="00293ED4"/>
    <w:rsid w:val="00293EDD"/>
    <w:rsid w:val="00293F32"/>
    <w:rsid w:val="00293F58"/>
    <w:rsid w:val="00293F5F"/>
    <w:rsid w:val="00293F67"/>
    <w:rsid w:val="00293F6C"/>
    <w:rsid w:val="00293F76"/>
    <w:rsid w:val="00293F8C"/>
    <w:rsid w:val="00293FC7"/>
    <w:rsid w:val="00294018"/>
    <w:rsid w:val="0029403C"/>
    <w:rsid w:val="0029406A"/>
    <w:rsid w:val="0029407A"/>
    <w:rsid w:val="00294083"/>
    <w:rsid w:val="002940B1"/>
    <w:rsid w:val="002940B3"/>
    <w:rsid w:val="002940D0"/>
    <w:rsid w:val="00294116"/>
    <w:rsid w:val="0029412D"/>
    <w:rsid w:val="00294172"/>
    <w:rsid w:val="002941A3"/>
    <w:rsid w:val="002941F4"/>
    <w:rsid w:val="00294211"/>
    <w:rsid w:val="00294222"/>
    <w:rsid w:val="00294224"/>
    <w:rsid w:val="00294253"/>
    <w:rsid w:val="00294256"/>
    <w:rsid w:val="002942C0"/>
    <w:rsid w:val="00294357"/>
    <w:rsid w:val="00294401"/>
    <w:rsid w:val="0029447D"/>
    <w:rsid w:val="00294480"/>
    <w:rsid w:val="002944F9"/>
    <w:rsid w:val="00294538"/>
    <w:rsid w:val="00294554"/>
    <w:rsid w:val="0029457B"/>
    <w:rsid w:val="00294584"/>
    <w:rsid w:val="0029459A"/>
    <w:rsid w:val="00294604"/>
    <w:rsid w:val="0029460C"/>
    <w:rsid w:val="00294656"/>
    <w:rsid w:val="0029465A"/>
    <w:rsid w:val="002946A8"/>
    <w:rsid w:val="002946CC"/>
    <w:rsid w:val="002946D5"/>
    <w:rsid w:val="002946DF"/>
    <w:rsid w:val="002946F1"/>
    <w:rsid w:val="00294701"/>
    <w:rsid w:val="0029470D"/>
    <w:rsid w:val="0029472D"/>
    <w:rsid w:val="0029475A"/>
    <w:rsid w:val="0029478D"/>
    <w:rsid w:val="002947A3"/>
    <w:rsid w:val="002947A9"/>
    <w:rsid w:val="002947B1"/>
    <w:rsid w:val="002947B2"/>
    <w:rsid w:val="002947DF"/>
    <w:rsid w:val="002947EF"/>
    <w:rsid w:val="00294849"/>
    <w:rsid w:val="00294868"/>
    <w:rsid w:val="00294891"/>
    <w:rsid w:val="00294897"/>
    <w:rsid w:val="002948A4"/>
    <w:rsid w:val="002948B3"/>
    <w:rsid w:val="002948BB"/>
    <w:rsid w:val="002948DC"/>
    <w:rsid w:val="002948EE"/>
    <w:rsid w:val="002948F0"/>
    <w:rsid w:val="00294906"/>
    <w:rsid w:val="0029495B"/>
    <w:rsid w:val="00294968"/>
    <w:rsid w:val="002949D1"/>
    <w:rsid w:val="00294A10"/>
    <w:rsid w:val="00294A3D"/>
    <w:rsid w:val="00294A49"/>
    <w:rsid w:val="00294A4E"/>
    <w:rsid w:val="00294A67"/>
    <w:rsid w:val="00294A89"/>
    <w:rsid w:val="00294ABB"/>
    <w:rsid w:val="00294B09"/>
    <w:rsid w:val="00294B34"/>
    <w:rsid w:val="00294B69"/>
    <w:rsid w:val="00294B7D"/>
    <w:rsid w:val="00294B99"/>
    <w:rsid w:val="00294BAB"/>
    <w:rsid w:val="00294BBF"/>
    <w:rsid w:val="00294BC4"/>
    <w:rsid w:val="00294BCF"/>
    <w:rsid w:val="00294BF4"/>
    <w:rsid w:val="00294BF8"/>
    <w:rsid w:val="00294C3C"/>
    <w:rsid w:val="00294C54"/>
    <w:rsid w:val="00294C77"/>
    <w:rsid w:val="00294C92"/>
    <w:rsid w:val="00294CAA"/>
    <w:rsid w:val="00294CC8"/>
    <w:rsid w:val="00294CF1"/>
    <w:rsid w:val="00294CF8"/>
    <w:rsid w:val="00294D41"/>
    <w:rsid w:val="00294D53"/>
    <w:rsid w:val="00294D7D"/>
    <w:rsid w:val="00294D7E"/>
    <w:rsid w:val="00294E44"/>
    <w:rsid w:val="00294E74"/>
    <w:rsid w:val="00294E75"/>
    <w:rsid w:val="00294E9C"/>
    <w:rsid w:val="00294F2C"/>
    <w:rsid w:val="00294F32"/>
    <w:rsid w:val="00294F7D"/>
    <w:rsid w:val="00294F9F"/>
    <w:rsid w:val="00294FE4"/>
    <w:rsid w:val="00294FF0"/>
    <w:rsid w:val="00295027"/>
    <w:rsid w:val="00295042"/>
    <w:rsid w:val="00295065"/>
    <w:rsid w:val="00295071"/>
    <w:rsid w:val="00295075"/>
    <w:rsid w:val="0029508B"/>
    <w:rsid w:val="002950B6"/>
    <w:rsid w:val="002950CA"/>
    <w:rsid w:val="0029510B"/>
    <w:rsid w:val="00295144"/>
    <w:rsid w:val="00295181"/>
    <w:rsid w:val="0029518A"/>
    <w:rsid w:val="0029518B"/>
    <w:rsid w:val="002951A6"/>
    <w:rsid w:val="002951DA"/>
    <w:rsid w:val="00295200"/>
    <w:rsid w:val="002952A2"/>
    <w:rsid w:val="00295383"/>
    <w:rsid w:val="002953DB"/>
    <w:rsid w:val="002953DC"/>
    <w:rsid w:val="002953DE"/>
    <w:rsid w:val="002953EB"/>
    <w:rsid w:val="0029540D"/>
    <w:rsid w:val="00295488"/>
    <w:rsid w:val="00295492"/>
    <w:rsid w:val="002954F2"/>
    <w:rsid w:val="0029550B"/>
    <w:rsid w:val="0029555B"/>
    <w:rsid w:val="0029556B"/>
    <w:rsid w:val="00295577"/>
    <w:rsid w:val="0029559E"/>
    <w:rsid w:val="002955A0"/>
    <w:rsid w:val="0029561F"/>
    <w:rsid w:val="00295644"/>
    <w:rsid w:val="00295687"/>
    <w:rsid w:val="00295695"/>
    <w:rsid w:val="002956A2"/>
    <w:rsid w:val="002956AA"/>
    <w:rsid w:val="002956AE"/>
    <w:rsid w:val="002956BD"/>
    <w:rsid w:val="0029573D"/>
    <w:rsid w:val="0029574C"/>
    <w:rsid w:val="0029575E"/>
    <w:rsid w:val="00295777"/>
    <w:rsid w:val="002957B6"/>
    <w:rsid w:val="002957C1"/>
    <w:rsid w:val="002957DE"/>
    <w:rsid w:val="002957EE"/>
    <w:rsid w:val="00295897"/>
    <w:rsid w:val="002958A1"/>
    <w:rsid w:val="002958B4"/>
    <w:rsid w:val="002958C4"/>
    <w:rsid w:val="002958E3"/>
    <w:rsid w:val="0029598B"/>
    <w:rsid w:val="002959B1"/>
    <w:rsid w:val="002959D4"/>
    <w:rsid w:val="002959E5"/>
    <w:rsid w:val="002959F9"/>
    <w:rsid w:val="00295A4C"/>
    <w:rsid w:val="00295A80"/>
    <w:rsid w:val="00295AAF"/>
    <w:rsid w:val="00295AB4"/>
    <w:rsid w:val="00295ADD"/>
    <w:rsid w:val="00295AEE"/>
    <w:rsid w:val="00295B03"/>
    <w:rsid w:val="00295B13"/>
    <w:rsid w:val="00295B43"/>
    <w:rsid w:val="00295B69"/>
    <w:rsid w:val="00295BB8"/>
    <w:rsid w:val="00295BF5"/>
    <w:rsid w:val="00295C01"/>
    <w:rsid w:val="00295C31"/>
    <w:rsid w:val="00295C67"/>
    <w:rsid w:val="00295C6C"/>
    <w:rsid w:val="00295C7D"/>
    <w:rsid w:val="00295C83"/>
    <w:rsid w:val="00295C8A"/>
    <w:rsid w:val="00295CB3"/>
    <w:rsid w:val="00295CCF"/>
    <w:rsid w:val="00295CE6"/>
    <w:rsid w:val="00295CE7"/>
    <w:rsid w:val="00295D0F"/>
    <w:rsid w:val="00295D3D"/>
    <w:rsid w:val="00295D87"/>
    <w:rsid w:val="00295DE5"/>
    <w:rsid w:val="00295DF1"/>
    <w:rsid w:val="00295DFE"/>
    <w:rsid w:val="00295E55"/>
    <w:rsid w:val="00295EF3"/>
    <w:rsid w:val="00295F14"/>
    <w:rsid w:val="00295F63"/>
    <w:rsid w:val="00295F79"/>
    <w:rsid w:val="00295F7E"/>
    <w:rsid w:val="00295F85"/>
    <w:rsid w:val="00295F8B"/>
    <w:rsid w:val="00295FAC"/>
    <w:rsid w:val="00295FF6"/>
    <w:rsid w:val="0029601C"/>
    <w:rsid w:val="00296039"/>
    <w:rsid w:val="00296040"/>
    <w:rsid w:val="00296054"/>
    <w:rsid w:val="0029608F"/>
    <w:rsid w:val="002960C5"/>
    <w:rsid w:val="002960F8"/>
    <w:rsid w:val="00296145"/>
    <w:rsid w:val="00296178"/>
    <w:rsid w:val="002961A0"/>
    <w:rsid w:val="002961BC"/>
    <w:rsid w:val="0029625C"/>
    <w:rsid w:val="0029626C"/>
    <w:rsid w:val="002962E7"/>
    <w:rsid w:val="002962F6"/>
    <w:rsid w:val="002962FD"/>
    <w:rsid w:val="00296305"/>
    <w:rsid w:val="0029630B"/>
    <w:rsid w:val="00296343"/>
    <w:rsid w:val="00296381"/>
    <w:rsid w:val="002963E2"/>
    <w:rsid w:val="00296418"/>
    <w:rsid w:val="0029641F"/>
    <w:rsid w:val="0029646F"/>
    <w:rsid w:val="002964AE"/>
    <w:rsid w:val="002964B2"/>
    <w:rsid w:val="002964EE"/>
    <w:rsid w:val="002964EF"/>
    <w:rsid w:val="0029650B"/>
    <w:rsid w:val="00296510"/>
    <w:rsid w:val="00296531"/>
    <w:rsid w:val="00296550"/>
    <w:rsid w:val="00296574"/>
    <w:rsid w:val="0029658F"/>
    <w:rsid w:val="0029659B"/>
    <w:rsid w:val="002965B0"/>
    <w:rsid w:val="002965C0"/>
    <w:rsid w:val="002965D5"/>
    <w:rsid w:val="00296626"/>
    <w:rsid w:val="0029662E"/>
    <w:rsid w:val="002966C4"/>
    <w:rsid w:val="002966D1"/>
    <w:rsid w:val="002966DD"/>
    <w:rsid w:val="00296723"/>
    <w:rsid w:val="00296728"/>
    <w:rsid w:val="0029674C"/>
    <w:rsid w:val="00296772"/>
    <w:rsid w:val="0029679C"/>
    <w:rsid w:val="002967AC"/>
    <w:rsid w:val="002967BB"/>
    <w:rsid w:val="002967CA"/>
    <w:rsid w:val="002967CE"/>
    <w:rsid w:val="002967FE"/>
    <w:rsid w:val="00296826"/>
    <w:rsid w:val="00296837"/>
    <w:rsid w:val="0029683B"/>
    <w:rsid w:val="00296848"/>
    <w:rsid w:val="00296867"/>
    <w:rsid w:val="0029686D"/>
    <w:rsid w:val="0029686E"/>
    <w:rsid w:val="00296880"/>
    <w:rsid w:val="00296881"/>
    <w:rsid w:val="002968EF"/>
    <w:rsid w:val="0029691E"/>
    <w:rsid w:val="002969A6"/>
    <w:rsid w:val="002969DB"/>
    <w:rsid w:val="002969F2"/>
    <w:rsid w:val="00296A4E"/>
    <w:rsid w:val="00296AAE"/>
    <w:rsid w:val="00296AD3"/>
    <w:rsid w:val="00296AE4"/>
    <w:rsid w:val="00296AE8"/>
    <w:rsid w:val="00296B0F"/>
    <w:rsid w:val="00296B19"/>
    <w:rsid w:val="00296B28"/>
    <w:rsid w:val="00296B63"/>
    <w:rsid w:val="00296B79"/>
    <w:rsid w:val="00296B89"/>
    <w:rsid w:val="00296B8B"/>
    <w:rsid w:val="00296BB3"/>
    <w:rsid w:val="00296BC5"/>
    <w:rsid w:val="00296BFB"/>
    <w:rsid w:val="00296C89"/>
    <w:rsid w:val="00296CA8"/>
    <w:rsid w:val="00296CE5"/>
    <w:rsid w:val="00296CE7"/>
    <w:rsid w:val="00296DAC"/>
    <w:rsid w:val="00296DC6"/>
    <w:rsid w:val="00296DEC"/>
    <w:rsid w:val="00296E33"/>
    <w:rsid w:val="00296EC1"/>
    <w:rsid w:val="00296EFF"/>
    <w:rsid w:val="00296F30"/>
    <w:rsid w:val="00296F3F"/>
    <w:rsid w:val="00296F7A"/>
    <w:rsid w:val="00296FAE"/>
    <w:rsid w:val="00296FD7"/>
    <w:rsid w:val="00296FF1"/>
    <w:rsid w:val="0029700A"/>
    <w:rsid w:val="00297021"/>
    <w:rsid w:val="00297069"/>
    <w:rsid w:val="00297071"/>
    <w:rsid w:val="0029708B"/>
    <w:rsid w:val="002970C1"/>
    <w:rsid w:val="002970E2"/>
    <w:rsid w:val="002970EA"/>
    <w:rsid w:val="00297118"/>
    <w:rsid w:val="00297174"/>
    <w:rsid w:val="00297188"/>
    <w:rsid w:val="002971C8"/>
    <w:rsid w:val="002971CE"/>
    <w:rsid w:val="002971E6"/>
    <w:rsid w:val="002971F9"/>
    <w:rsid w:val="0029722D"/>
    <w:rsid w:val="0029724E"/>
    <w:rsid w:val="00297286"/>
    <w:rsid w:val="002972C3"/>
    <w:rsid w:val="002972C4"/>
    <w:rsid w:val="002972FF"/>
    <w:rsid w:val="0029731B"/>
    <w:rsid w:val="00297330"/>
    <w:rsid w:val="00297347"/>
    <w:rsid w:val="00297348"/>
    <w:rsid w:val="002973E1"/>
    <w:rsid w:val="002973E3"/>
    <w:rsid w:val="002973E5"/>
    <w:rsid w:val="002973F8"/>
    <w:rsid w:val="00297400"/>
    <w:rsid w:val="0029740C"/>
    <w:rsid w:val="00297460"/>
    <w:rsid w:val="002974B7"/>
    <w:rsid w:val="002974C3"/>
    <w:rsid w:val="002974D6"/>
    <w:rsid w:val="002974E1"/>
    <w:rsid w:val="00297502"/>
    <w:rsid w:val="00297526"/>
    <w:rsid w:val="00297557"/>
    <w:rsid w:val="00297574"/>
    <w:rsid w:val="00297580"/>
    <w:rsid w:val="002975AC"/>
    <w:rsid w:val="002975C9"/>
    <w:rsid w:val="002975D6"/>
    <w:rsid w:val="002975DD"/>
    <w:rsid w:val="00297602"/>
    <w:rsid w:val="0029763B"/>
    <w:rsid w:val="0029764E"/>
    <w:rsid w:val="00297661"/>
    <w:rsid w:val="002976B9"/>
    <w:rsid w:val="002976C3"/>
    <w:rsid w:val="002976E5"/>
    <w:rsid w:val="00297733"/>
    <w:rsid w:val="00297752"/>
    <w:rsid w:val="00297756"/>
    <w:rsid w:val="0029781D"/>
    <w:rsid w:val="0029781F"/>
    <w:rsid w:val="00297824"/>
    <w:rsid w:val="0029786F"/>
    <w:rsid w:val="00297873"/>
    <w:rsid w:val="00297889"/>
    <w:rsid w:val="0029793E"/>
    <w:rsid w:val="00297954"/>
    <w:rsid w:val="0029796E"/>
    <w:rsid w:val="00297988"/>
    <w:rsid w:val="00297998"/>
    <w:rsid w:val="002979E5"/>
    <w:rsid w:val="00297A0A"/>
    <w:rsid w:val="00297A1A"/>
    <w:rsid w:val="00297A38"/>
    <w:rsid w:val="00297A44"/>
    <w:rsid w:val="00297A69"/>
    <w:rsid w:val="00297A6E"/>
    <w:rsid w:val="00297A72"/>
    <w:rsid w:val="00297A79"/>
    <w:rsid w:val="00297ABC"/>
    <w:rsid w:val="00297AC6"/>
    <w:rsid w:val="00297B05"/>
    <w:rsid w:val="00297B1B"/>
    <w:rsid w:val="00297B22"/>
    <w:rsid w:val="00297B5D"/>
    <w:rsid w:val="00297B64"/>
    <w:rsid w:val="00297B7F"/>
    <w:rsid w:val="00297B93"/>
    <w:rsid w:val="00297B98"/>
    <w:rsid w:val="00297BDF"/>
    <w:rsid w:val="00297BED"/>
    <w:rsid w:val="00297C25"/>
    <w:rsid w:val="00297C35"/>
    <w:rsid w:val="00297C65"/>
    <w:rsid w:val="00297C76"/>
    <w:rsid w:val="00297CD4"/>
    <w:rsid w:val="00297CFB"/>
    <w:rsid w:val="00297CFF"/>
    <w:rsid w:val="00297D39"/>
    <w:rsid w:val="00297D59"/>
    <w:rsid w:val="00297D62"/>
    <w:rsid w:val="00297DA4"/>
    <w:rsid w:val="00297DB7"/>
    <w:rsid w:val="00297DC8"/>
    <w:rsid w:val="00297E1C"/>
    <w:rsid w:val="00297E36"/>
    <w:rsid w:val="00297E62"/>
    <w:rsid w:val="00297E71"/>
    <w:rsid w:val="00297E74"/>
    <w:rsid w:val="00297E7A"/>
    <w:rsid w:val="00297E9E"/>
    <w:rsid w:val="00297EBB"/>
    <w:rsid w:val="00297EC4"/>
    <w:rsid w:val="00297EF8"/>
    <w:rsid w:val="00297F13"/>
    <w:rsid w:val="00297F32"/>
    <w:rsid w:val="002A0024"/>
    <w:rsid w:val="002A0054"/>
    <w:rsid w:val="002A0084"/>
    <w:rsid w:val="002A00A1"/>
    <w:rsid w:val="002A00D0"/>
    <w:rsid w:val="002A00F3"/>
    <w:rsid w:val="002A0107"/>
    <w:rsid w:val="002A0116"/>
    <w:rsid w:val="002A011C"/>
    <w:rsid w:val="002A0126"/>
    <w:rsid w:val="002A0137"/>
    <w:rsid w:val="002A0150"/>
    <w:rsid w:val="002A025B"/>
    <w:rsid w:val="002A02C6"/>
    <w:rsid w:val="002A02D7"/>
    <w:rsid w:val="002A032B"/>
    <w:rsid w:val="002A034C"/>
    <w:rsid w:val="002A0363"/>
    <w:rsid w:val="002A0381"/>
    <w:rsid w:val="002A039C"/>
    <w:rsid w:val="002A03B6"/>
    <w:rsid w:val="002A03BD"/>
    <w:rsid w:val="002A03F7"/>
    <w:rsid w:val="002A0410"/>
    <w:rsid w:val="002A0411"/>
    <w:rsid w:val="002A041D"/>
    <w:rsid w:val="002A0444"/>
    <w:rsid w:val="002A046C"/>
    <w:rsid w:val="002A0470"/>
    <w:rsid w:val="002A0490"/>
    <w:rsid w:val="002A04A2"/>
    <w:rsid w:val="002A04AB"/>
    <w:rsid w:val="002A04BC"/>
    <w:rsid w:val="002A051F"/>
    <w:rsid w:val="002A0528"/>
    <w:rsid w:val="002A054B"/>
    <w:rsid w:val="002A054E"/>
    <w:rsid w:val="002A0587"/>
    <w:rsid w:val="002A05A5"/>
    <w:rsid w:val="002A0617"/>
    <w:rsid w:val="002A0626"/>
    <w:rsid w:val="002A0637"/>
    <w:rsid w:val="002A0677"/>
    <w:rsid w:val="002A06DF"/>
    <w:rsid w:val="002A0756"/>
    <w:rsid w:val="002A077F"/>
    <w:rsid w:val="002A07C0"/>
    <w:rsid w:val="002A082D"/>
    <w:rsid w:val="002A0867"/>
    <w:rsid w:val="002A0892"/>
    <w:rsid w:val="002A08BC"/>
    <w:rsid w:val="002A091A"/>
    <w:rsid w:val="002A09FB"/>
    <w:rsid w:val="002A09FC"/>
    <w:rsid w:val="002A0A97"/>
    <w:rsid w:val="002A0AC3"/>
    <w:rsid w:val="002A0B34"/>
    <w:rsid w:val="002A0B8A"/>
    <w:rsid w:val="002A0BC4"/>
    <w:rsid w:val="002A0BCA"/>
    <w:rsid w:val="002A0BEE"/>
    <w:rsid w:val="002A0BFF"/>
    <w:rsid w:val="002A0C18"/>
    <w:rsid w:val="002A0C46"/>
    <w:rsid w:val="002A0C5F"/>
    <w:rsid w:val="002A0C8B"/>
    <w:rsid w:val="002A0D12"/>
    <w:rsid w:val="002A0D20"/>
    <w:rsid w:val="002A0D25"/>
    <w:rsid w:val="002A0D31"/>
    <w:rsid w:val="002A0DA1"/>
    <w:rsid w:val="002A0DD6"/>
    <w:rsid w:val="002A0DDB"/>
    <w:rsid w:val="002A0E13"/>
    <w:rsid w:val="002A0E15"/>
    <w:rsid w:val="002A0E2D"/>
    <w:rsid w:val="002A0ECD"/>
    <w:rsid w:val="002A0ECF"/>
    <w:rsid w:val="002A0F6C"/>
    <w:rsid w:val="002A0F6F"/>
    <w:rsid w:val="002A0F8F"/>
    <w:rsid w:val="002A0FF8"/>
    <w:rsid w:val="002A1079"/>
    <w:rsid w:val="002A1091"/>
    <w:rsid w:val="002A112C"/>
    <w:rsid w:val="002A116B"/>
    <w:rsid w:val="002A11AD"/>
    <w:rsid w:val="002A11BF"/>
    <w:rsid w:val="002A11CA"/>
    <w:rsid w:val="002A11D6"/>
    <w:rsid w:val="002A1205"/>
    <w:rsid w:val="002A1255"/>
    <w:rsid w:val="002A1265"/>
    <w:rsid w:val="002A1297"/>
    <w:rsid w:val="002A1319"/>
    <w:rsid w:val="002A1328"/>
    <w:rsid w:val="002A1372"/>
    <w:rsid w:val="002A1376"/>
    <w:rsid w:val="002A13AA"/>
    <w:rsid w:val="002A13B4"/>
    <w:rsid w:val="002A1408"/>
    <w:rsid w:val="002A1427"/>
    <w:rsid w:val="002A1435"/>
    <w:rsid w:val="002A1466"/>
    <w:rsid w:val="002A14A4"/>
    <w:rsid w:val="002A14FA"/>
    <w:rsid w:val="002A1568"/>
    <w:rsid w:val="002A15A5"/>
    <w:rsid w:val="002A15EC"/>
    <w:rsid w:val="002A15F7"/>
    <w:rsid w:val="002A1628"/>
    <w:rsid w:val="002A165E"/>
    <w:rsid w:val="002A169C"/>
    <w:rsid w:val="002A16B3"/>
    <w:rsid w:val="002A16DB"/>
    <w:rsid w:val="002A1795"/>
    <w:rsid w:val="002A17EB"/>
    <w:rsid w:val="002A184B"/>
    <w:rsid w:val="002A1859"/>
    <w:rsid w:val="002A1879"/>
    <w:rsid w:val="002A1886"/>
    <w:rsid w:val="002A189E"/>
    <w:rsid w:val="002A18C0"/>
    <w:rsid w:val="002A18C2"/>
    <w:rsid w:val="002A18E9"/>
    <w:rsid w:val="002A18F8"/>
    <w:rsid w:val="002A1931"/>
    <w:rsid w:val="002A1937"/>
    <w:rsid w:val="002A194F"/>
    <w:rsid w:val="002A19B5"/>
    <w:rsid w:val="002A19C8"/>
    <w:rsid w:val="002A19EC"/>
    <w:rsid w:val="002A1A26"/>
    <w:rsid w:val="002A1A59"/>
    <w:rsid w:val="002A1A65"/>
    <w:rsid w:val="002A1A90"/>
    <w:rsid w:val="002A1AA2"/>
    <w:rsid w:val="002A1AA4"/>
    <w:rsid w:val="002A1AB4"/>
    <w:rsid w:val="002A1AC7"/>
    <w:rsid w:val="002A1AF8"/>
    <w:rsid w:val="002A1B30"/>
    <w:rsid w:val="002A1B65"/>
    <w:rsid w:val="002A1BA7"/>
    <w:rsid w:val="002A1BC0"/>
    <w:rsid w:val="002A1BFF"/>
    <w:rsid w:val="002A1C16"/>
    <w:rsid w:val="002A1C41"/>
    <w:rsid w:val="002A1C73"/>
    <w:rsid w:val="002A1C8E"/>
    <w:rsid w:val="002A1C95"/>
    <w:rsid w:val="002A1D03"/>
    <w:rsid w:val="002A1D70"/>
    <w:rsid w:val="002A1D7B"/>
    <w:rsid w:val="002A1D88"/>
    <w:rsid w:val="002A1D9E"/>
    <w:rsid w:val="002A1DA0"/>
    <w:rsid w:val="002A1DF2"/>
    <w:rsid w:val="002A1DF7"/>
    <w:rsid w:val="002A1E27"/>
    <w:rsid w:val="002A1E2A"/>
    <w:rsid w:val="002A1E34"/>
    <w:rsid w:val="002A1E56"/>
    <w:rsid w:val="002A1E71"/>
    <w:rsid w:val="002A1E74"/>
    <w:rsid w:val="002A1ECA"/>
    <w:rsid w:val="002A1EFD"/>
    <w:rsid w:val="002A1F60"/>
    <w:rsid w:val="002A1F6D"/>
    <w:rsid w:val="002A1F72"/>
    <w:rsid w:val="002A1F77"/>
    <w:rsid w:val="002A1FC4"/>
    <w:rsid w:val="002A201A"/>
    <w:rsid w:val="002A201C"/>
    <w:rsid w:val="002A2026"/>
    <w:rsid w:val="002A2062"/>
    <w:rsid w:val="002A20A0"/>
    <w:rsid w:val="002A20DF"/>
    <w:rsid w:val="002A2107"/>
    <w:rsid w:val="002A2127"/>
    <w:rsid w:val="002A21B3"/>
    <w:rsid w:val="002A21BE"/>
    <w:rsid w:val="002A21DC"/>
    <w:rsid w:val="002A21E8"/>
    <w:rsid w:val="002A223B"/>
    <w:rsid w:val="002A2244"/>
    <w:rsid w:val="002A226D"/>
    <w:rsid w:val="002A22AB"/>
    <w:rsid w:val="002A22D9"/>
    <w:rsid w:val="002A22DB"/>
    <w:rsid w:val="002A22E9"/>
    <w:rsid w:val="002A22FE"/>
    <w:rsid w:val="002A231C"/>
    <w:rsid w:val="002A23BE"/>
    <w:rsid w:val="002A23C1"/>
    <w:rsid w:val="002A23DB"/>
    <w:rsid w:val="002A242D"/>
    <w:rsid w:val="002A24BC"/>
    <w:rsid w:val="002A2510"/>
    <w:rsid w:val="002A252D"/>
    <w:rsid w:val="002A253F"/>
    <w:rsid w:val="002A25C9"/>
    <w:rsid w:val="002A25EF"/>
    <w:rsid w:val="002A261B"/>
    <w:rsid w:val="002A263D"/>
    <w:rsid w:val="002A265D"/>
    <w:rsid w:val="002A26A0"/>
    <w:rsid w:val="002A26A7"/>
    <w:rsid w:val="002A26AA"/>
    <w:rsid w:val="002A279C"/>
    <w:rsid w:val="002A27D5"/>
    <w:rsid w:val="002A27FE"/>
    <w:rsid w:val="002A280C"/>
    <w:rsid w:val="002A2862"/>
    <w:rsid w:val="002A2874"/>
    <w:rsid w:val="002A288D"/>
    <w:rsid w:val="002A2906"/>
    <w:rsid w:val="002A2913"/>
    <w:rsid w:val="002A2955"/>
    <w:rsid w:val="002A295E"/>
    <w:rsid w:val="002A2968"/>
    <w:rsid w:val="002A2988"/>
    <w:rsid w:val="002A298A"/>
    <w:rsid w:val="002A298F"/>
    <w:rsid w:val="002A29A5"/>
    <w:rsid w:val="002A2A34"/>
    <w:rsid w:val="002A2A63"/>
    <w:rsid w:val="002A2A9F"/>
    <w:rsid w:val="002A2AAA"/>
    <w:rsid w:val="002A2AAC"/>
    <w:rsid w:val="002A2AAD"/>
    <w:rsid w:val="002A2AAF"/>
    <w:rsid w:val="002A2AC0"/>
    <w:rsid w:val="002A2ACE"/>
    <w:rsid w:val="002A2ACF"/>
    <w:rsid w:val="002A2ADE"/>
    <w:rsid w:val="002A2B10"/>
    <w:rsid w:val="002A2B4B"/>
    <w:rsid w:val="002A2B53"/>
    <w:rsid w:val="002A2B59"/>
    <w:rsid w:val="002A2B5A"/>
    <w:rsid w:val="002A2B6E"/>
    <w:rsid w:val="002A2BF6"/>
    <w:rsid w:val="002A2C81"/>
    <w:rsid w:val="002A2C93"/>
    <w:rsid w:val="002A2CA2"/>
    <w:rsid w:val="002A2D2F"/>
    <w:rsid w:val="002A2D4A"/>
    <w:rsid w:val="002A2D55"/>
    <w:rsid w:val="002A2DB5"/>
    <w:rsid w:val="002A2DDE"/>
    <w:rsid w:val="002A2DEA"/>
    <w:rsid w:val="002A2E0A"/>
    <w:rsid w:val="002A2E58"/>
    <w:rsid w:val="002A2EF7"/>
    <w:rsid w:val="002A2F31"/>
    <w:rsid w:val="002A2F34"/>
    <w:rsid w:val="002A2F70"/>
    <w:rsid w:val="002A2FC9"/>
    <w:rsid w:val="002A2FD4"/>
    <w:rsid w:val="002A2FFD"/>
    <w:rsid w:val="002A2FFE"/>
    <w:rsid w:val="002A3002"/>
    <w:rsid w:val="002A3033"/>
    <w:rsid w:val="002A304F"/>
    <w:rsid w:val="002A3070"/>
    <w:rsid w:val="002A3096"/>
    <w:rsid w:val="002A30CD"/>
    <w:rsid w:val="002A30D6"/>
    <w:rsid w:val="002A30E9"/>
    <w:rsid w:val="002A30F1"/>
    <w:rsid w:val="002A30F2"/>
    <w:rsid w:val="002A30FD"/>
    <w:rsid w:val="002A3138"/>
    <w:rsid w:val="002A31C1"/>
    <w:rsid w:val="002A31E3"/>
    <w:rsid w:val="002A3210"/>
    <w:rsid w:val="002A3250"/>
    <w:rsid w:val="002A3261"/>
    <w:rsid w:val="002A3274"/>
    <w:rsid w:val="002A327C"/>
    <w:rsid w:val="002A32CC"/>
    <w:rsid w:val="002A3315"/>
    <w:rsid w:val="002A332D"/>
    <w:rsid w:val="002A334F"/>
    <w:rsid w:val="002A3370"/>
    <w:rsid w:val="002A3371"/>
    <w:rsid w:val="002A3383"/>
    <w:rsid w:val="002A339D"/>
    <w:rsid w:val="002A33E7"/>
    <w:rsid w:val="002A342B"/>
    <w:rsid w:val="002A3443"/>
    <w:rsid w:val="002A34AC"/>
    <w:rsid w:val="002A353F"/>
    <w:rsid w:val="002A3581"/>
    <w:rsid w:val="002A3585"/>
    <w:rsid w:val="002A3599"/>
    <w:rsid w:val="002A35D5"/>
    <w:rsid w:val="002A35DA"/>
    <w:rsid w:val="002A368E"/>
    <w:rsid w:val="002A36A9"/>
    <w:rsid w:val="002A36AC"/>
    <w:rsid w:val="002A3711"/>
    <w:rsid w:val="002A372D"/>
    <w:rsid w:val="002A3732"/>
    <w:rsid w:val="002A3752"/>
    <w:rsid w:val="002A376C"/>
    <w:rsid w:val="002A37A6"/>
    <w:rsid w:val="002A37B6"/>
    <w:rsid w:val="002A37BE"/>
    <w:rsid w:val="002A37DB"/>
    <w:rsid w:val="002A37E9"/>
    <w:rsid w:val="002A3822"/>
    <w:rsid w:val="002A382D"/>
    <w:rsid w:val="002A3846"/>
    <w:rsid w:val="002A388A"/>
    <w:rsid w:val="002A388B"/>
    <w:rsid w:val="002A38E4"/>
    <w:rsid w:val="002A3900"/>
    <w:rsid w:val="002A3943"/>
    <w:rsid w:val="002A3986"/>
    <w:rsid w:val="002A3988"/>
    <w:rsid w:val="002A39C3"/>
    <w:rsid w:val="002A3A14"/>
    <w:rsid w:val="002A3A68"/>
    <w:rsid w:val="002A3A93"/>
    <w:rsid w:val="002A3A9B"/>
    <w:rsid w:val="002A3AB6"/>
    <w:rsid w:val="002A3B1F"/>
    <w:rsid w:val="002A3B36"/>
    <w:rsid w:val="002A3B37"/>
    <w:rsid w:val="002A3B76"/>
    <w:rsid w:val="002A3B9F"/>
    <w:rsid w:val="002A3BC6"/>
    <w:rsid w:val="002A3C22"/>
    <w:rsid w:val="002A3C38"/>
    <w:rsid w:val="002A3C57"/>
    <w:rsid w:val="002A3C6B"/>
    <w:rsid w:val="002A3C97"/>
    <w:rsid w:val="002A3CAC"/>
    <w:rsid w:val="002A3CB8"/>
    <w:rsid w:val="002A3CDD"/>
    <w:rsid w:val="002A3CE4"/>
    <w:rsid w:val="002A3D2B"/>
    <w:rsid w:val="002A3D31"/>
    <w:rsid w:val="002A3D3B"/>
    <w:rsid w:val="002A3D57"/>
    <w:rsid w:val="002A3D66"/>
    <w:rsid w:val="002A3D6F"/>
    <w:rsid w:val="002A3D73"/>
    <w:rsid w:val="002A3D86"/>
    <w:rsid w:val="002A3D90"/>
    <w:rsid w:val="002A3DAF"/>
    <w:rsid w:val="002A3DBA"/>
    <w:rsid w:val="002A3DD6"/>
    <w:rsid w:val="002A3DE3"/>
    <w:rsid w:val="002A3DFE"/>
    <w:rsid w:val="002A3E29"/>
    <w:rsid w:val="002A3E6C"/>
    <w:rsid w:val="002A3E8C"/>
    <w:rsid w:val="002A3E9C"/>
    <w:rsid w:val="002A3EC1"/>
    <w:rsid w:val="002A3F4B"/>
    <w:rsid w:val="002A3F84"/>
    <w:rsid w:val="002A3F95"/>
    <w:rsid w:val="002A3FB1"/>
    <w:rsid w:val="002A3FB3"/>
    <w:rsid w:val="002A3FBD"/>
    <w:rsid w:val="002A3FC5"/>
    <w:rsid w:val="002A4067"/>
    <w:rsid w:val="002A406F"/>
    <w:rsid w:val="002A4083"/>
    <w:rsid w:val="002A40D3"/>
    <w:rsid w:val="002A40F8"/>
    <w:rsid w:val="002A4129"/>
    <w:rsid w:val="002A4152"/>
    <w:rsid w:val="002A4199"/>
    <w:rsid w:val="002A41B2"/>
    <w:rsid w:val="002A41BC"/>
    <w:rsid w:val="002A41D7"/>
    <w:rsid w:val="002A41EA"/>
    <w:rsid w:val="002A422B"/>
    <w:rsid w:val="002A4235"/>
    <w:rsid w:val="002A4258"/>
    <w:rsid w:val="002A427D"/>
    <w:rsid w:val="002A42A0"/>
    <w:rsid w:val="002A42A5"/>
    <w:rsid w:val="002A42C3"/>
    <w:rsid w:val="002A4336"/>
    <w:rsid w:val="002A4348"/>
    <w:rsid w:val="002A4353"/>
    <w:rsid w:val="002A436A"/>
    <w:rsid w:val="002A439C"/>
    <w:rsid w:val="002A43B6"/>
    <w:rsid w:val="002A43CA"/>
    <w:rsid w:val="002A43EE"/>
    <w:rsid w:val="002A43F1"/>
    <w:rsid w:val="002A43FC"/>
    <w:rsid w:val="002A4436"/>
    <w:rsid w:val="002A445F"/>
    <w:rsid w:val="002A448D"/>
    <w:rsid w:val="002A44A6"/>
    <w:rsid w:val="002A44B2"/>
    <w:rsid w:val="002A44C8"/>
    <w:rsid w:val="002A44D7"/>
    <w:rsid w:val="002A44DC"/>
    <w:rsid w:val="002A4536"/>
    <w:rsid w:val="002A4537"/>
    <w:rsid w:val="002A4543"/>
    <w:rsid w:val="002A457A"/>
    <w:rsid w:val="002A45AE"/>
    <w:rsid w:val="002A45B9"/>
    <w:rsid w:val="002A45D1"/>
    <w:rsid w:val="002A4687"/>
    <w:rsid w:val="002A46D2"/>
    <w:rsid w:val="002A46F3"/>
    <w:rsid w:val="002A46FA"/>
    <w:rsid w:val="002A473F"/>
    <w:rsid w:val="002A474D"/>
    <w:rsid w:val="002A475D"/>
    <w:rsid w:val="002A476D"/>
    <w:rsid w:val="002A477E"/>
    <w:rsid w:val="002A4780"/>
    <w:rsid w:val="002A4786"/>
    <w:rsid w:val="002A4800"/>
    <w:rsid w:val="002A484C"/>
    <w:rsid w:val="002A48A2"/>
    <w:rsid w:val="002A48CC"/>
    <w:rsid w:val="002A48DB"/>
    <w:rsid w:val="002A48E1"/>
    <w:rsid w:val="002A491F"/>
    <w:rsid w:val="002A4962"/>
    <w:rsid w:val="002A499D"/>
    <w:rsid w:val="002A49A0"/>
    <w:rsid w:val="002A49B8"/>
    <w:rsid w:val="002A49BC"/>
    <w:rsid w:val="002A49ED"/>
    <w:rsid w:val="002A4A1A"/>
    <w:rsid w:val="002A4A44"/>
    <w:rsid w:val="002A4A47"/>
    <w:rsid w:val="002A4A96"/>
    <w:rsid w:val="002A4AB0"/>
    <w:rsid w:val="002A4AB7"/>
    <w:rsid w:val="002A4AC3"/>
    <w:rsid w:val="002A4B19"/>
    <w:rsid w:val="002A4B1E"/>
    <w:rsid w:val="002A4B27"/>
    <w:rsid w:val="002A4B2E"/>
    <w:rsid w:val="002A4B35"/>
    <w:rsid w:val="002A4B38"/>
    <w:rsid w:val="002A4B4F"/>
    <w:rsid w:val="002A4B81"/>
    <w:rsid w:val="002A4B95"/>
    <w:rsid w:val="002A4BAC"/>
    <w:rsid w:val="002A4BE7"/>
    <w:rsid w:val="002A4BED"/>
    <w:rsid w:val="002A4C1F"/>
    <w:rsid w:val="002A4C49"/>
    <w:rsid w:val="002A4C8B"/>
    <w:rsid w:val="002A4CA6"/>
    <w:rsid w:val="002A4D08"/>
    <w:rsid w:val="002A4D19"/>
    <w:rsid w:val="002A4D43"/>
    <w:rsid w:val="002A4DB6"/>
    <w:rsid w:val="002A4DC7"/>
    <w:rsid w:val="002A4E21"/>
    <w:rsid w:val="002A4E2C"/>
    <w:rsid w:val="002A4EE4"/>
    <w:rsid w:val="002A4F16"/>
    <w:rsid w:val="002A4F6F"/>
    <w:rsid w:val="002A4F76"/>
    <w:rsid w:val="002A4F8A"/>
    <w:rsid w:val="002A4FBD"/>
    <w:rsid w:val="002A4FD4"/>
    <w:rsid w:val="002A4FEB"/>
    <w:rsid w:val="002A4FF2"/>
    <w:rsid w:val="002A5071"/>
    <w:rsid w:val="002A5097"/>
    <w:rsid w:val="002A511E"/>
    <w:rsid w:val="002A5154"/>
    <w:rsid w:val="002A515E"/>
    <w:rsid w:val="002A51DD"/>
    <w:rsid w:val="002A51E5"/>
    <w:rsid w:val="002A5256"/>
    <w:rsid w:val="002A525A"/>
    <w:rsid w:val="002A5267"/>
    <w:rsid w:val="002A5295"/>
    <w:rsid w:val="002A52CF"/>
    <w:rsid w:val="002A52F5"/>
    <w:rsid w:val="002A532D"/>
    <w:rsid w:val="002A5332"/>
    <w:rsid w:val="002A535A"/>
    <w:rsid w:val="002A5363"/>
    <w:rsid w:val="002A5366"/>
    <w:rsid w:val="002A539F"/>
    <w:rsid w:val="002A53CC"/>
    <w:rsid w:val="002A53F7"/>
    <w:rsid w:val="002A541A"/>
    <w:rsid w:val="002A5440"/>
    <w:rsid w:val="002A5442"/>
    <w:rsid w:val="002A544B"/>
    <w:rsid w:val="002A546E"/>
    <w:rsid w:val="002A54EA"/>
    <w:rsid w:val="002A54F3"/>
    <w:rsid w:val="002A5522"/>
    <w:rsid w:val="002A5546"/>
    <w:rsid w:val="002A5560"/>
    <w:rsid w:val="002A5670"/>
    <w:rsid w:val="002A5685"/>
    <w:rsid w:val="002A5697"/>
    <w:rsid w:val="002A569B"/>
    <w:rsid w:val="002A56A2"/>
    <w:rsid w:val="002A56A4"/>
    <w:rsid w:val="002A56B0"/>
    <w:rsid w:val="002A56C1"/>
    <w:rsid w:val="002A56E3"/>
    <w:rsid w:val="002A56FD"/>
    <w:rsid w:val="002A5722"/>
    <w:rsid w:val="002A572C"/>
    <w:rsid w:val="002A574E"/>
    <w:rsid w:val="002A5789"/>
    <w:rsid w:val="002A57D5"/>
    <w:rsid w:val="002A57F1"/>
    <w:rsid w:val="002A5806"/>
    <w:rsid w:val="002A5821"/>
    <w:rsid w:val="002A5831"/>
    <w:rsid w:val="002A5897"/>
    <w:rsid w:val="002A58A2"/>
    <w:rsid w:val="002A58DA"/>
    <w:rsid w:val="002A58E0"/>
    <w:rsid w:val="002A5900"/>
    <w:rsid w:val="002A592A"/>
    <w:rsid w:val="002A59BA"/>
    <w:rsid w:val="002A59CA"/>
    <w:rsid w:val="002A59D0"/>
    <w:rsid w:val="002A59F7"/>
    <w:rsid w:val="002A59FB"/>
    <w:rsid w:val="002A5A05"/>
    <w:rsid w:val="002A5A2D"/>
    <w:rsid w:val="002A5A32"/>
    <w:rsid w:val="002A5A59"/>
    <w:rsid w:val="002A5A5A"/>
    <w:rsid w:val="002A5A7B"/>
    <w:rsid w:val="002A5AD0"/>
    <w:rsid w:val="002A5ADE"/>
    <w:rsid w:val="002A5B0D"/>
    <w:rsid w:val="002A5B11"/>
    <w:rsid w:val="002A5B18"/>
    <w:rsid w:val="002A5B24"/>
    <w:rsid w:val="002A5B45"/>
    <w:rsid w:val="002A5B88"/>
    <w:rsid w:val="002A5BAC"/>
    <w:rsid w:val="002A5C11"/>
    <w:rsid w:val="002A5C7F"/>
    <w:rsid w:val="002A5CA3"/>
    <w:rsid w:val="002A5CDB"/>
    <w:rsid w:val="002A5D34"/>
    <w:rsid w:val="002A5D6A"/>
    <w:rsid w:val="002A5D7C"/>
    <w:rsid w:val="002A5DA5"/>
    <w:rsid w:val="002A5DEF"/>
    <w:rsid w:val="002A5E67"/>
    <w:rsid w:val="002A5E93"/>
    <w:rsid w:val="002A5E9B"/>
    <w:rsid w:val="002A5EA4"/>
    <w:rsid w:val="002A5F01"/>
    <w:rsid w:val="002A5F09"/>
    <w:rsid w:val="002A5F11"/>
    <w:rsid w:val="002A5F15"/>
    <w:rsid w:val="002A5F4C"/>
    <w:rsid w:val="002A5F9F"/>
    <w:rsid w:val="002A5FAE"/>
    <w:rsid w:val="002A6000"/>
    <w:rsid w:val="002A6010"/>
    <w:rsid w:val="002A6071"/>
    <w:rsid w:val="002A6092"/>
    <w:rsid w:val="002A60B3"/>
    <w:rsid w:val="002A60C2"/>
    <w:rsid w:val="002A60E3"/>
    <w:rsid w:val="002A610A"/>
    <w:rsid w:val="002A6110"/>
    <w:rsid w:val="002A619A"/>
    <w:rsid w:val="002A61B9"/>
    <w:rsid w:val="002A61EE"/>
    <w:rsid w:val="002A6200"/>
    <w:rsid w:val="002A6258"/>
    <w:rsid w:val="002A62BE"/>
    <w:rsid w:val="002A62C7"/>
    <w:rsid w:val="002A62EA"/>
    <w:rsid w:val="002A6362"/>
    <w:rsid w:val="002A6369"/>
    <w:rsid w:val="002A63D4"/>
    <w:rsid w:val="002A63D8"/>
    <w:rsid w:val="002A63E3"/>
    <w:rsid w:val="002A63FD"/>
    <w:rsid w:val="002A646D"/>
    <w:rsid w:val="002A64D3"/>
    <w:rsid w:val="002A64E2"/>
    <w:rsid w:val="002A655F"/>
    <w:rsid w:val="002A659D"/>
    <w:rsid w:val="002A65CB"/>
    <w:rsid w:val="002A65E2"/>
    <w:rsid w:val="002A65E3"/>
    <w:rsid w:val="002A65EE"/>
    <w:rsid w:val="002A665D"/>
    <w:rsid w:val="002A6660"/>
    <w:rsid w:val="002A6685"/>
    <w:rsid w:val="002A66B2"/>
    <w:rsid w:val="002A66B4"/>
    <w:rsid w:val="002A66D6"/>
    <w:rsid w:val="002A66E8"/>
    <w:rsid w:val="002A6708"/>
    <w:rsid w:val="002A670D"/>
    <w:rsid w:val="002A6717"/>
    <w:rsid w:val="002A6765"/>
    <w:rsid w:val="002A677C"/>
    <w:rsid w:val="002A677F"/>
    <w:rsid w:val="002A6780"/>
    <w:rsid w:val="002A6794"/>
    <w:rsid w:val="002A67D8"/>
    <w:rsid w:val="002A67E5"/>
    <w:rsid w:val="002A683E"/>
    <w:rsid w:val="002A6862"/>
    <w:rsid w:val="002A68B3"/>
    <w:rsid w:val="002A68BA"/>
    <w:rsid w:val="002A68C8"/>
    <w:rsid w:val="002A68D7"/>
    <w:rsid w:val="002A68E8"/>
    <w:rsid w:val="002A690C"/>
    <w:rsid w:val="002A6959"/>
    <w:rsid w:val="002A6970"/>
    <w:rsid w:val="002A69D3"/>
    <w:rsid w:val="002A69E6"/>
    <w:rsid w:val="002A69F0"/>
    <w:rsid w:val="002A6A0B"/>
    <w:rsid w:val="002A6A2F"/>
    <w:rsid w:val="002A6A78"/>
    <w:rsid w:val="002A6ACA"/>
    <w:rsid w:val="002A6AD0"/>
    <w:rsid w:val="002A6AF0"/>
    <w:rsid w:val="002A6B39"/>
    <w:rsid w:val="002A6B46"/>
    <w:rsid w:val="002A6B50"/>
    <w:rsid w:val="002A6B55"/>
    <w:rsid w:val="002A6B5E"/>
    <w:rsid w:val="002A6BB5"/>
    <w:rsid w:val="002A6BB6"/>
    <w:rsid w:val="002A6BC5"/>
    <w:rsid w:val="002A6BE1"/>
    <w:rsid w:val="002A6BF9"/>
    <w:rsid w:val="002A6BFB"/>
    <w:rsid w:val="002A6CA2"/>
    <w:rsid w:val="002A6CB0"/>
    <w:rsid w:val="002A6CC8"/>
    <w:rsid w:val="002A6CE6"/>
    <w:rsid w:val="002A6D49"/>
    <w:rsid w:val="002A6D50"/>
    <w:rsid w:val="002A6D78"/>
    <w:rsid w:val="002A6DBD"/>
    <w:rsid w:val="002A6DC6"/>
    <w:rsid w:val="002A6E0C"/>
    <w:rsid w:val="002A6EA0"/>
    <w:rsid w:val="002A6EC5"/>
    <w:rsid w:val="002A6F24"/>
    <w:rsid w:val="002A6F25"/>
    <w:rsid w:val="002A6F3F"/>
    <w:rsid w:val="002A6FC6"/>
    <w:rsid w:val="002A6FF7"/>
    <w:rsid w:val="002A7002"/>
    <w:rsid w:val="002A7008"/>
    <w:rsid w:val="002A702A"/>
    <w:rsid w:val="002A7031"/>
    <w:rsid w:val="002A7051"/>
    <w:rsid w:val="002A7078"/>
    <w:rsid w:val="002A70B3"/>
    <w:rsid w:val="002A7105"/>
    <w:rsid w:val="002A7137"/>
    <w:rsid w:val="002A7161"/>
    <w:rsid w:val="002A716C"/>
    <w:rsid w:val="002A717E"/>
    <w:rsid w:val="002A7192"/>
    <w:rsid w:val="002A71C4"/>
    <w:rsid w:val="002A71C6"/>
    <w:rsid w:val="002A71D4"/>
    <w:rsid w:val="002A71FB"/>
    <w:rsid w:val="002A7200"/>
    <w:rsid w:val="002A7202"/>
    <w:rsid w:val="002A7207"/>
    <w:rsid w:val="002A7213"/>
    <w:rsid w:val="002A726C"/>
    <w:rsid w:val="002A7278"/>
    <w:rsid w:val="002A728A"/>
    <w:rsid w:val="002A7319"/>
    <w:rsid w:val="002A736A"/>
    <w:rsid w:val="002A7374"/>
    <w:rsid w:val="002A7383"/>
    <w:rsid w:val="002A739E"/>
    <w:rsid w:val="002A73F2"/>
    <w:rsid w:val="002A73F6"/>
    <w:rsid w:val="002A7420"/>
    <w:rsid w:val="002A7425"/>
    <w:rsid w:val="002A746A"/>
    <w:rsid w:val="002A7483"/>
    <w:rsid w:val="002A7486"/>
    <w:rsid w:val="002A74B3"/>
    <w:rsid w:val="002A74E8"/>
    <w:rsid w:val="002A7509"/>
    <w:rsid w:val="002A750A"/>
    <w:rsid w:val="002A751A"/>
    <w:rsid w:val="002A7535"/>
    <w:rsid w:val="002A7582"/>
    <w:rsid w:val="002A7587"/>
    <w:rsid w:val="002A75B8"/>
    <w:rsid w:val="002A75C7"/>
    <w:rsid w:val="002A75DA"/>
    <w:rsid w:val="002A75EE"/>
    <w:rsid w:val="002A75F0"/>
    <w:rsid w:val="002A761A"/>
    <w:rsid w:val="002A7644"/>
    <w:rsid w:val="002A7645"/>
    <w:rsid w:val="002A766A"/>
    <w:rsid w:val="002A76BE"/>
    <w:rsid w:val="002A7710"/>
    <w:rsid w:val="002A774C"/>
    <w:rsid w:val="002A77A3"/>
    <w:rsid w:val="002A782E"/>
    <w:rsid w:val="002A78FF"/>
    <w:rsid w:val="002A7949"/>
    <w:rsid w:val="002A794F"/>
    <w:rsid w:val="002A79C7"/>
    <w:rsid w:val="002A79CD"/>
    <w:rsid w:val="002A79F2"/>
    <w:rsid w:val="002A7A44"/>
    <w:rsid w:val="002A7A97"/>
    <w:rsid w:val="002A7AB5"/>
    <w:rsid w:val="002A7AD5"/>
    <w:rsid w:val="002A7B34"/>
    <w:rsid w:val="002A7B49"/>
    <w:rsid w:val="002A7B4E"/>
    <w:rsid w:val="002A7BC7"/>
    <w:rsid w:val="002A7BD1"/>
    <w:rsid w:val="002A7BE2"/>
    <w:rsid w:val="002A7BE4"/>
    <w:rsid w:val="002A7C05"/>
    <w:rsid w:val="002A7C0F"/>
    <w:rsid w:val="002A7C44"/>
    <w:rsid w:val="002A7C60"/>
    <w:rsid w:val="002A7C6F"/>
    <w:rsid w:val="002A7CB2"/>
    <w:rsid w:val="002A7CE5"/>
    <w:rsid w:val="002A7D58"/>
    <w:rsid w:val="002A7DA9"/>
    <w:rsid w:val="002A7DE7"/>
    <w:rsid w:val="002A7DE9"/>
    <w:rsid w:val="002A7E0E"/>
    <w:rsid w:val="002A7E13"/>
    <w:rsid w:val="002A7E44"/>
    <w:rsid w:val="002A7E48"/>
    <w:rsid w:val="002A7E58"/>
    <w:rsid w:val="002A7E9B"/>
    <w:rsid w:val="002A7EE2"/>
    <w:rsid w:val="002A7EF8"/>
    <w:rsid w:val="002A7EFD"/>
    <w:rsid w:val="002A7F19"/>
    <w:rsid w:val="002A7F2A"/>
    <w:rsid w:val="002A7F3E"/>
    <w:rsid w:val="002A7F50"/>
    <w:rsid w:val="002A7F68"/>
    <w:rsid w:val="002A7F81"/>
    <w:rsid w:val="002A7FD0"/>
    <w:rsid w:val="002A7FE6"/>
    <w:rsid w:val="002B001A"/>
    <w:rsid w:val="002B0039"/>
    <w:rsid w:val="002B0069"/>
    <w:rsid w:val="002B00C1"/>
    <w:rsid w:val="002B00C8"/>
    <w:rsid w:val="002B016E"/>
    <w:rsid w:val="002B0181"/>
    <w:rsid w:val="002B01CC"/>
    <w:rsid w:val="002B0211"/>
    <w:rsid w:val="002B0253"/>
    <w:rsid w:val="002B025F"/>
    <w:rsid w:val="002B029D"/>
    <w:rsid w:val="002B02B8"/>
    <w:rsid w:val="002B02BE"/>
    <w:rsid w:val="002B02D8"/>
    <w:rsid w:val="002B02DD"/>
    <w:rsid w:val="002B034D"/>
    <w:rsid w:val="002B036C"/>
    <w:rsid w:val="002B03A1"/>
    <w:rsid w:val="002B03B5"/>
    <w:rsid w:val="002B03EF"/>
    <w:rsid w:val="002B040D"/>
    <w:rsid w:val="002B041D"/>
    <w:rsid w:val="002B0449"/>
    <w:rsid w:val="002B048E"/>
    <w:rsid w:val="002B04CA"/>
    <w:rsid w:val="002B0517"/>
    <w:rsid w:val="002B0562"/>
    <w:rsid w:val="002B05E8"/>
    <w:rsid w:val="002B05FA"/>
    <w:rsid w:val="002B05FB"/>
    <w:rsid w:val="002B063F"/>
    <w:rsid w:val="002B06D4"/>
    <w:rsid w:val="002B06DC"/>
    <w:rsid w:val="002B06DD"/>
    <w:rsid w:val="002B06DF"/>
    <w:rsid w:val="002B06F9"/>
    <w:rsid w:val="002B0749"/>
    <w:rsid w:val="002B075B"/>
    <w:rsid w:val="002B0786"/>
    <w:rsid w:val="002B07AC"/>
    <w:rsid w:val="002B07FD"/>
    <w:rsid w:val="002B0866"/>
    <w:rsid w:val="002B0869"/>
    <w:rsid w:val="002B08E0"/>
    <w:rsid w:val="002B0906"/>
    <w:rsid w:val="002B0973"/>
    <w:rsid w:val="002B099B"/>
    <w:rsid w:val="002B09A0"/>
    <w:rsid w:val="002B09BC"/>
    <w:rsid w:val="002B09FE"/>
    <w:rsid w:val="002B0A29"/>
    <w:rsid w:val="002B0A35"/>
    <w:rsid w:val="002B0A5D"/>
    <w:rsid w:val="002B0A63"/>
    <w:rsid w:val="002B0A78"/>
    <w:rsid w:val="002B0AD2"/>
    <w:rsid w:val="002B0AF4"/>
    <w:rsid w:val="002B0B92"/>
    <w:rsid w:val="002B0BEE"/>
    <w:rsid w:val="002B0C66"/>
    <w:rsid w:val="002B0C7B"/>
    <w:rsid w:val="002B0C99"/>
    <w:rsid w:val="002B0CA9"/>
    <w:rsid w:val="002B0CCA"/>
    <w:rsid w:val="002B0CEF"/>
    <w:rsid w:val="002B0D15"/>
    <w:rsid w:val="002B0D26"/>
    <w:rsid w:val="002B0D95"/>
    <w:rsid w:val="002B0DC1"/>
    <w:rsid w:val="002B0DCF"/>
    <w:rsid w:val="002B0DF3"/>
    <w:rsid w:val="002B0DF8"/>
    <w:rsid w:val="002B0E2E"/>
    <w:rsid w:val="002B0E39"/>
    <w:rsid w:val="002B0E45"/>
    <w:rsid w:val="002B0E46"/>
    <w:rsid w:val="002B0E94"/>
    <w:rsid w:val="002B0EA3"/>
    <w:rsid w:val="002B0EDA"/>
    <w:rsid w:val="002B0F00"/>
    <w:rsid w:val="002B0F4E"/>
    <w:rsid w:val="002B0F67"/>
    <w:rsid w:val="002B0F88"/>
    <w:rsid w:val="002B1012"/>
    <w:rsid w:val="002B103B"/>
    <w:rsid w:val="002B106F"/>
    <w:rsid w:val="002B1070"/>
    <w:rsid w:val="002B1075"/>
    <w:rsid w:val="002B1077"/>
    <w:rsid w:val="002B108E"/>
    <w:rsid w:val="002B10BD"/>
    <w:rsid w:val="002B10CB"/>
    <w:rsid w:val="002B1139"/>
    <w:rsid w:val="002B115F"/>
    <w:rsid w:val="002B1163"/>
    <w:rsid w:val="002B1196"/>
    <w:rsid w:val="002B11AB"/>
    <w:rsid w:val="002B11C8"/>
    <w:rsid w:val="002B1206"/>
    <w:rsid w:val="002B1236"/>
    <w:rsid w:val="002B1246"/>
    <w:rsid w:val="002B128C"/>
    <w:rsid w:val="002B1291"/>
    <w:rsid w:val="002B12AD"/>
    <w:rsid w:val="002B12C6"/>
    <w:rsid w:val="002B12D8"/>
    <w:rsid w:val="002B12F9"/>
    <w:rsid w:val="002B12FB"/>
    <w:rsid w:val="002B1334"/>
    <w:rsid w:val="002B1338"/>
    <w:rsid w:val="002B1365"/>
    <w:rsid w:val="002B137F"/>
    <w:rsid w:val="002B13DC"/>
    <w:rsid w:val="002B13E1"/>
    <w:rsid w:val="002B13EF"/>
    <w:rsid w:val="002B1446"/>
    <w:rsid w:val="002B1456"/>
    <w:rsid w:val="002B1479"/>
    <w:rsid w:val="002B1489"/>
    <w:rsid w:val="002B14BA"/>
    <w:rsid w:val="002B14BC"/>
    <w:rsid w:val="002B14C5"/>
    <w:rsid w:val="002B14D6"/>
    <w:rsid w:val="002B14E5"/>
    <w:rsid w:val="002B15CC"/>
    <w:rsid w:val="002B15CE"/>
    <w:rsid w:val="002B160A"/>
    <w:rsid w:val="002B1614"/>
    <w:rsid w:val="002B1625"/>
    <w:rsid w:val="002B1669"/>
    <w:rsid w:val="002B16EE"/>
    <w:rsid w:val="002B1730"/>
    <w:rsid w:val="002B1753"/>
    <w:rsid w:val="002B1773"/>
    <w:rsid w:val="002B1779"/>
    <w:rsid w:val="002B178A"/>
    <w:rsid w:val="002B17A0"/>
    <w:rsid w:val="002B17AB"/>
    <w:rsid w:val="002B17AD"/>
    <w:rsid w:val="002B17DC"/>
    <w:rsid w:val="002B17DE"/>
    <w:rsid w:val="002B1801"/>
    <w:rsid w:val="002B1816"/>
    <w:rsid w:val="002B181C"/>
    <w:rsid w:val="002B1824"/>
    <w:rsid w:val="002B1827"/>
    <w:rsid w:val="002B184B"/>
    <w:rsid w:val="002B1870"/>
    <w:rsid w:val="002B1893"/>
    <w:rsid w:val="002B1901"/>
    <w:rsid w:val="002B1938"/>
    <w:rsid w:val="002B1951"/>
    <w:rsid w:val="002B1979"/>
    <w:rsid w:val="002B19B2"/>
    <w:rsid w:val="002B19C7"/>
    <w:rsid w:val="002B19E6"/>
    <w:rsid w:val="002B1A08"/>
    <w:rsid w:val="002B1A0B"/>
    <w:rsid w:val="002B1A10"/>
    <w:rsid w:val="002B1A4B"/>
    <w:rsid w:val="002B1A9B"/>
    <w:rsid w:val="002B1AA0"/>
    <w:rsid w:val="002B1AAC"/>
    <w:rsid w:val="002B1AAD"/>
    <w:rsid w:val="002B1AB2"/>
    <w:rsid w:val="002B1AB8"/>
    <w:rsid w:val="002B1B3B"/>
    <w:rsid w:val="002B1B44"/>
    <w:rsid w:val="002B1B6E"/>
    <w:rsid w:val="002B1BBC"/>
    <w:rsid w:val="002B1BCB"/>
    <w:rsid w:val="002B1BF3"/>
    <w:rsid w:val="002B1C41"/>
    <w:rsid w:val="002B1C4D"/>
    <w:rsid w:val="002B1C59"/>
    <w:rsid w:val="002B1C65"/>
    <w:rsid w:val="002B1C91"/>
    <w:rsid w:val="002B1C92"/>
    <w:rsid w:val="002B1D19"/>
    <w:rsid w:val="002B1D30"/>
    <w:rsid w:val="002B1D48"/>
    <w:rsid w:val="002B1D86"/>
    <w:rsid w:val="002B1D9A"/>
    <w:rsid w:val="002B1DC9"/>
    <w:rsid w:val="002B1E34"/>
    <w:rsid w:val="002B1E3B"/>
    <w:rsid w:val="002B1E4C"/>
    <w:rsid w:val="002B1EC8"/>
    <w:rsid w:val="002B1EDA"/>
    <w:rsid w:val="002B1EE0"/>
    <w:rsid w:val="002B1EF5"/>
    <w:rsid w:val="002B1EFC"/>
    <w:rsid w:val="002B1F0E"/>
    <w:rsid w:val="002B1F2F"/>
    <w:rsid w:val="002B1F44"/>
    <w:rsid w:val="002B1F57"/>
    <w:rsid w:val="002B1FA2"/>
    <w:rsid w:val="002B1FE9"/>
    <w:rsid w:val="002B205C"/>
    <w:rsid w:val="002B2060"/>
    <w:rsid w:val="002B206E"/>
    <w:rsid w:val="002B20A4"/>
    <w:rsid w:val="002B20B8"/>
    <w:rsid w:val="002B20C9"/>
    <w:rsid w:val="002B20D3"/>
    <w:rsid w:val="002B20DB"/>
    <w:rsid w:val="002B20FE"/>
    <w:rsid w:val="002B2107"/>
    <w:rsid w:val="002B2112"/>
    <w:rsid w:val="002B212D"/>
    <w:rsid w:val="002B213D"/>
    <w:rsid w:val="002B2179"/>
    <w:rsid w:val="002B2198"/>
    <w:rsid w:val="002B21EB"/>
    <w:rsid w:val="002B2227"/>
    <w:rsid w:val="002B2261"/>
    <w:rsid w:val="002B2278"/>
    <w:rsid w:val="002B229E"/>
    <w:rsid w:val="002B22DF"/>
    <w:rsid w:val="002B231D"/>
    <w:rsid w:val="002B2343"/>
    <w:rsid w:val="002B2368"/>
    <w:rsid w:val="002B236D"/>
    <w:rsid w:val="002B23AB"/>
    <w:rsid w:val="002B23B9"/>
    <w:rsid w:val="002B2400"/>
    <w:rsid w:val="002B2419"/>
    <w:rsid w:val="002B24E6"/>
    <w:rsid w:val="002B2571"/>
    <w:rsid w:val="002B25A6"/>
    <w:rsid w:val="002B25B6"/>
    <w:rsid w:val="002B25B8"/>
    <w:rsid w:val="002B25C7"/>
    <w:rsid w:val="002B2618"/>
    <w:rsid w:val="002B262C"/>
    <w:rsid w:val="002B2643"/>
    <w:rsid w:val="002B2681"/>
    <w:rsid w:val="002B26D3"/>
    <w:rsid w:val="002B26DC"/>
    <w:rsid w:val="002B26E3"/>
    <w:rsid w:val="002B26F4"/>
    <w:rsid w:val="002B26F5"/>
    <w:rsid w:val="002B2714"/>
    <w:rsid w:val="002B2721"/>
    <w:rsid w:val="002B274A"/>
    <w:rsid w:val="002B2762"/>
    <w:rsid w:val="002B2764"/>
    <w:rsid w:val="002B2792"/>
    <w:rsid w:val="002B2797"/>
    <w:rsid w:val="002B27C3"/>
    <w:rsid w:val="002B27CE"/>
    <w:rsid w:val="002B281F"/>
    <w:rsid w:val="002B283A"/>
    <w:rsid w:val="002B2864"/>
    <w:rsid w:val="002B286F"/>
    <w:rsid w:val="002B2878"/>
    <w:rsid w:val="002B287F"/>
    <w:rsid w:val="002B28E4"/>
    <w:rsid w:val="002B2916"/>
    <w:rsid w:val="002B2937"/>
    <w:rsid w:val="002B294C"/>
    <w:rsid w:val="002B295A"/>
    <w:rsid w:val="002B29DA"/>
    <w:rsid w:val="002B2A35"/>
    <w:rsid w:val="002B2A3D"/>
    <w:rsid w:val="002B2A68"/>
    <w:rsid w:val="002B2A92"/>
    <w:rsid w:val="002B2AE0"/>
    <w:rsid w:val="002B2AE4"/>
    <w:rsid w:val="002B2B23"/>
    <w:rsid w:val="002B2B39"/>
    <w:rsid w:val="002B2B5F"/>
    <w:rsid w:val="002B2BEF"/>
    <w:rsid w:val="002B2C12"/>
    <w:rsid w:val="002B2C48"/>
    <w:rsid w:val="002B2C4E"/>
    <w:rsid w:val="002B2C51"/>
    <w:rsid w:val="002B2C6C"/>
    <w:rsid w:val="002B2C7B"/>
    <w:rsid w:val="002B2CBE"/>
    <w:rsid w:val="002B2CE8"/>
    <w:rsid w:val="002B2DA8"/>
    <w:rsid w:val="002B2DA9"/>
    <w:rsid w:val="002B2DC5"/>
    <w:rsid w:val="002B2E6C"/>
    <w:rsid w:val="002B2E73"/>
    <w:rsid w:val="002B2EA3"/>
    <w:rsid w:val="002B2F11"/>
    <w:rsid w:val="002B2F55"/>
    <w:rsid w:val="002B2F5E"/>
    <w:rsid w:val="002B2F75"/>
    <w:rsid w:val="002B2FAA"/>
    <w:rsid w:val="002B2FD3"/>
    <w:rsid w:val="002B302E"/>
    <w:rsid w:val="002B3037"/>
    <w:rsid w:val="002B3044"/>
    <w:rsid w:val="002B3076"/>
    <w:rsid w:val="002B30BF"/>
    <w:rsid w:val="002B30CC"/>
    <w:rsid w:val="002B30E6"/>
    <w:rsid w:val="002B30F2"/>
    <w:rsid w:val="002B3119"/>
    <w:rsid w:val="002B3135"/>
    <w:rsid w:val="002B316F"/>
    <w:rsid w:val="002B3170"/>
    <w:rsid w:val="002B3198"/>
    <w:rsid w:val="002B3230"/>
    <w:rsid w:val="002B323B"/>
    <w:rsid w:val="002B326A"/>
    <w:rsid w:val="002B3280"/>
    <w:rsid w:val="002B32A2"/>
    <w:rsid w:val="002B32A4"/>
    <w:rsid w:val="002B32AC"/>
    <w:rsid w:val="002B32B7"/>
    <w:rsid w:val="002B32D6"/>
    <w:rsid w:val="002B32D8"/>
    <w:rsid w:val="002B32E9"/>
    <w:rsid w:val="002B32F9"/>
    <w:rsid w:val="002B3320"/>
    <w:rsid w:val="002B3327"/>
    <w:rsid w:val="002B333C"/>
    <w:rsid w:val="002B3377"/>
    <w:rsid w:val="002B338A"/>
    <w:rsid w:val="002B33AA"/>
    <w:rsid w:val="002B33BB"/>
    <w:rsid w:val="002B33FA"/>
    <w:rsid w:val="002B342B"/>
    <w:rsid w:val="002B3458"/>
    <w:rsid w:val="002B345A"/>
    <w:rsid w:val="002B3498"/>
    <w:rsid w:val="002B34B0"/>
    <w:rsid w:val="002B34C2"/>
    <w:rsid w:val="002B34D4"/>
    <w:rsid w:val="002B34D7"/>
    <w:rsid w:val="002B34E9"/>
    <w:rsid w:val="002B3536"/>
    <w:rsid w:val="002B35B5"/>
    <w:rsid w:val="002B35CC"/>
    <w:rsid w:val="002B35CF"/>
    <w:rsid w:val="002B35FE"/>
    <w:rsid w:val="002B3622"/>
    <w:rsid w:val="002B3650"/>
    <w:rsid w:val="002B3690"/>
    <w:rsid w:val="002B36AD"/>
    <w:rsid w:val="002B36D1"/>
    <w:rsid w:val="002B3751"/>
    <w:rsid w:val="002B3766"/>
    <w:rsid w:val="002B376C"/>
    <w:rsid w:val="002B37C5"/>
    <w:rsid w:val="002B37DC"/>
    <w:rsid w:val="002B37EA"/>
    <w:rsid w:val="002B37EF"/>
    <w:rsid w:val="002B380F"/>
    <w:rsid w:val="002B384D"/>
    <w:rsid w:val="002B3875"/>
    <w:rsid w:val="002B3884"/>
    <w:rsid w:val="002B3895"/>
    <w:rsid w:val="002B389B"/>
    <w:rsid w:val="002B38A8"/>
    <w:rsid w:val="002B38C5"/>
    <w:rsid w:val="002B38CF"/>
    <w:rsid w:val="002B38E2"/>
    <w:rsid w:val="002B3931"/>
    <w:rsid w:val="002B3938"/>
    <w:rsid w:val="002B3968"/>
    <w:rsid w:val="002B3984"/>
    <w:rsid w:val="002B39C3"/>
    <w:rsid w:val="002B39CA"/>
    <w:rsid w:val="002B3A15"/>
    <w:rsid w:val="002B3A34"/>
    <w:rsid w:val="002B3A8E"/>
    <w:rsid w:val="002B3AF6"/>
    <w:rsid w:val="002B3B39"/>
    <w:rsid w:val="002B3B3A"/>
    <w:rsid w:val="002B3B42"/>
    <w:rsid w:val="002B3B45"/>
    <w:rsid w:val="002B3B83"/>
    <w:rsid w:val="002B3B94"/>
    <w:rsid w:val="002B3BFF"/>
    <w:rsid w:val="002B3C27"/>
    <w:rsid w:val="002B3C63"/>
    <w:rsid w:val="002B3C81"/>
    <w:rsid w:val="002B3C8D"/>
    <w:rsid w:val="002B3CB8"/>
    <w:rsid w:val="002B3CC0"/>
    <w:rsid w:val="002B3CF2"/>
    <w:rsid w:val="002B3CFC"/>
    <w:rsid w:val="002B3D5F"/>
    <w:rsid w:val="002B3DC7"/>
    <w:rsid w:val="002B3DF1"/>
    <w:rsid w:val="002B3E19"/>
    <w:rsid w:val="002B3E22"/>
    <w:rsid w:val="002B3E9E"/>
    <w:rsid w:val="002B3EBD"/>
    <w:rsid w:val="002B3F5B"/>
    <w:rsid w:val="002B3FB8"/>
    <w:rsid w:val="002B3FD2"/>
    <w:rsid w:val="002B3FD7"/>
    <w:rsid w:val="002B3FF8"/>
    <w:rsid w:val="002B4025"/>
    <w:rsid w:val="002B4086"/>
    <w:rsid w:val="002B417B"/>
    <w:rsid w:val="002B417C"/>
    <w:rsid w:val="002B419C"/>
    <w:rsid w:val="002B41BD"/>
    <w:rsid w:val="002B41DF"/>
    <w:rsid w:val="002B41E1"/>
    <w:rsid w:val="002B4212"/>
    <w:rsid w:val="002B4249"/>
    <w:rsid w:val="002B424A"/>
    <w:rsid w:val="002B429E"/>
    <w:rsid w:val="002B42A7"/>
    <w:rsid w:val="002B42AA"/>
    <w:rsid w:val="002B42E8"/>
    <w:rsid w:val="002B4381"/>
    <w:rsid w:val="002B43B3"/>
    <w:rsid w:val="002B43CF"/>
    <w:rsid w:val="002B43D6"/>
    <w:rsid w:val="002B43E7"/>
    <w:rsid w:val="002B447B"/>
    <w:rsid w:val="002B44C2"/>
    <w:rsid w:val="002B44C4"/>
    <w:rsid w:val="002B44D1"/>
    <w:rsid w:val="002B44ED"/>
    <w:rsid w:val="002B4533"/>
    <w:rsid w:val="002B454D"/>
    <w:rsid w:val="002B4550"/>
    <w:rsid w:val="002B457C"/>
    <w:rsid w:val="002B4584"/>
    <w:rsid w:val="002B4596"/>
    <w:rsid w:val="002B459C"/>
    <w:rsid w:val="002B45BF"/>
    <w:rsid w:val="002B45CE"/>
    <w:rsid w:val="002B45D4"/>
    <w:rsid w:val="002B460A"/>
    <w:rsid w:val="002B4663"/>
    <w:rsid w:val="002B4664"/>
    <w:rsid w:val="002B4678"/>
    <w:rsid w:val="002B467B"/>
    <w:rsid w:val="002B46A5"/>
    <w:rsid w:val="002B46AD"/>
    <w:rsid w:val="002B46CC"/>
    <w:rsid w:val="002B46D7"/>
    <w:rsid w:val="002B4734"/>
    <w:rsid w:val="002B4737"/>
    <w:rsid w:val="002B47DF"/>
    <w:rsid w:val="002B47E3"/>
    <w:rsid w:val="002B4887"/>
    <w:rsid w:val="002B48FA"/>
    <w:rsid w:val="002B491B"/>
    <w:rsid w:val="002B4949"/>
    <w:rsid w:val="002B496C"/>
    <w:rsid w:val="002B4973"/>
    <w:rsid w:val="002B49EE"/>
    <w:rsid w:val="002B4A4C"/>
    <w:rsid w:val="002B4ACF"/>
    <w:rsid w:val="002B4B4F"/>
    <w:rsid w:val="002B4B73"/>
    <w:rsid w:val="002B4BBF"/>
    <w:rsid w:val="002B4BD0"/>
    <w:rsid w:val="002B4BD4"/>
    <w:rsid w:val="002B4BF3"/>
    <w:rsid w:val="002B4C06"/>
    <w:rsid w:val="002B4C16"/>
    <w:rsid w:val="002B4C7D"/>
    <w:rsid w:val="002B4CB0"/>
    <w:rsid w:val="002B4CB4"/>
    <w:rsid w:val="002B4CC1"/>
    <w:rsid w:val="002B4CCA"/>
    <w:rsid w:val="002B4CE5"/>
    <w:rsid w:val="002B4CF8"/>
    <w:rsid w:val="002B4D23"/>
    <w:rsid w:val="002B4D3A"/>
    <w:rsid w:val="002B4D55"/>
    <w:rsid w:val="002B4D69"/>
    <w:rsid w:val="002B4D75"/>
    <w:rsid w:val="002B4D8F"/>
    <w:rsid w:val="002B4D95"/>
    <w:rsid w:val="002B4D9B"/>
    <w:rsid w:val="002B4DA0"/>
    <w:rsid w:val="002B4DA8"/>
    <w:rsid w:val="002B4DBC"/>
    <w:rsid w:val="002B4DDE"/>
    <w:rsid w:val="002B4E11"/>
    <w:rsid w:val="002B4E1E"/>
    <w:rsid w:val="002B4F0A"/>
    <w:rsid w:val="002B4F10"/>
    <w:rsid w:val="002B4FB2"/>
    <w:rsid w:val="002B4FD9"/>
    <w:rsid w:val="002B4FDD"/>
    <w:rsid w:val="002B4FDF"/>
    <w:rsid w:val="002B5025"/>
    <w:rsid w:val="002B5028"/>
    <w:rsid w:val="002B503A"/>
    <w:rsid w:val="002B5052"/>
    <w:rsid w:val="002B5060"/>
    <w:rsid w:val="002B5062"/>
    <w:rsid w:val="002B5063"/>
    <w:rsid w:val="002B509A"/>
    <w:rsid w:val="002B50D5"/>
    <w:rsid w:val="002B5180"/>
    <w:rsid w:val="002B520B"/>
    <w:rsid w:val="002B5211"/>
    <w:rsid w:val="002B5294"/>
    <w:rsid w:val="002B52C5"/>
    <w:rsid w:val="002B5320"/>
    <w:rsid w:val="002B5343"/>
    <w:rsid w:val="002B534F"/>
    <w:rsid w:val="002B538F"/>
    <w:rsid w:val="002B5399"/>
    <w:rsid w:val="002B53BE"/>
    <w:rsid w:val="002B5424"/>
    <w:rsid w:val="002B5490"/>
    <w:rsid w:val="002B5492"/>
    <w:rsid w:val="002B549F"/>
    <w:rsid w:val="002B54AB"/>
    <w:rsid w:val="002B54B3"/>
    <w:rsid w:val="002B54B6"/>
    <w:rsid w:val="002B5503"/>
    <w:rsid w:val="002B5538"/>
    <w:rsid w:val="002B554C"/>
    <w:rsid w:val="002B558F"/>
    <w:rsid w:val="002B55A4"/>
    <w:rsid w:val="002B55AC"/>
    <w:rsid w:val="002B55B6"/>
    <w:rsid w:val="002B55BA"/>
    <w:rsid w:val="002B55E2"/>
    <w:rsid w:val="002B55F4"/>
    <w:rsid w:val="002B562D"/>
    <w:rsid w:val="002B564D"/>
    <w:rsid w:val="002B566A"/>
    <w:rsid w:val="002B5679"/>
    <w:rsid w:val="002B56C2"/>
    <w:rsid w:val="002B5709"/>
    <w:rsid w:val="002B570D"/>
    <w:rsid w:val="002B5726"/>
    <w:rsid w:val="002B572C"/>
    <w:rsid w:val="002B578A"/>
    <w:rsid w:val="002B57ED"/>
    <w:rsid w:val="002B5839"/>
    <w:rsid w:val="002B587C"/>
    <w:rsid w:val="002B5898"/>
    <w:rsid w:val="002B589B"/>
    <w:rsid w:val="002B58A9"/>
    <w:rsid w:val="002B58B8"/>
    <w:rsid w:val="002B58BA"/>
    <w:rsid w:val="002B5906"/>
    <w:rsid w:val="002B596F"/>
    <w:rsid w:val="002B5974"/>
    <w:rsid w:val="002B599D"/>
    <w:rsid w:val="002B59B3"/>
    <w:rsid w:val="002B59B4"/>
    <w:rsid w:val="002B5A54"/>
    <w:rsid w:val="002B5A68"/>
    <w:rsid w:val="002B5AF5"/>
    <w:rsid w:val="002B5B0B"/>
    <w:rsid w:val="002B5B25"/>
    <w:rsid w:val="002B5B2C"/>
    <w:rsid w:val="002B5B38"/>
    <w:rsid w:val="002B5B50"/>
    <w:rsid w:val="002B5B7C"/>
    <w:rsid w:val="002B5BDE"/>
    <w:rsid w:val="002B5C00"/>
    <w:rsid w:val="002B5C2D"/>
    <w:rsid w:val="002B5C2F"/>
    <w:rsid w:val="002B5C43"/>
    <w:rsid w:val="002B5C49"/>
    <w:rsid w:val="002B5C5B"/>
    <w:rsid w:val="002B5C87"/>
    <w:rsid w:val="002B5CC2"/>
    <w:rsid w:val="002B5CC7"/>
    <w:rsid w:val="002B5CE9"/>
    <w:rsid w:val="002B5CEA"/>
    <w:rsid w:val="002B5D5B"/>
    <w:rsid w:val="002B5D8E"/>
    <w:rsid w:val="002B5D92"/>
    <w:rsid w:val="002B5DA3"/>
    <w:rsid w:val="002B5DBC"/>
    <w:rsid w:val="002B5E03"/>
    <w:rsid w:val="002B5E06"/>
    <w:rsid w:val="002B5E64"/>
    <w:rsid w:val="002B5E66"/>
    <w:rsid w:val="002B5E77"/>
    <w:rsid w:val="002B5EE7"/>
    <w:rsid w:val="002B5F0C"/>
    <w:rsid w:val="002B5F0E"/>
    <w:rsid w:val="002B5F10"/>
    <w:rsid w:val="002B5F28"/>
    <w:rsid w:val="002B5F4F"/>
    <w:rsid w:val="002B5F57"/>
    <w:rsid w:val="002B5F94"/>
    <w:rsid w:val="002B5FDF"/>
    <w:rsid w:val="002B601D"/>
    <w:rsid w:val="002B6025"/>
    <w:rsid w:val="002B6026"/>
    <w:rsid w:val="002B6030"/>
    <w:rsid w:val="002B605C"/>
    <w:rsid w:val="002B6088"/>
    <w:rsid w:val="002B60F0"/>
    <w:rsid w:val="002B60F1"/>
    <w:rsid w:val="002B60FA"/>
    <w:rsid w:val="002B6121"/>
    <w:rsid w:val="002B6146"/>
    <w:rsid w:val="002B61A2"/>
    <w:rsid w:val="002B61D8"/>
    <w:rsid w:val="002B6234"/>
    <w:rsid w:val="002B62BC"/>
    <w:rsid w:val="002B62C0"/>
    <w:rsid w:val="002B62E1"/>
    <w:rsid w:val="002B62E2"/>
    <w:rsid w:val="002B62E3"/>
    <w:rsid w:val="002B62FC"/>
    <w:rsid w:val="002B6304"/>
    <w:rsid w:val="002B6382"/>
    <w:rsid w:val="002B6388"/>
    <w:rsid w:val="002B6391"/>
    <w:rsid w:val="002B63A4"/>
    <w:rsid w:val="002B63E9"/>
    <w:rsid w:val="002B63EA"/>
    <w:rsid w:val="002B642C"/>
    <w:rsid w:val="002B644B"/>
    <w:rsid w:val="002B647C"/>
    <w:rsid w:val="002B64BF"/>
    <w:rsid w:val="002B64D9"/>
    <w:rsid w:val="002B650E"/>
    <w:rsid w:val="002B651E"/>
    <w:rsid w:val="002B6540"/>
    <w:rsid w:val="002B6576"/>
    <w:rsid w:val="002B65B0"/>
    <w:rsid w:val="002B65CD"/>
    <w:rsid w:val="002B65F8"/>
    <w:rsid w:val="002B6622"/>
    <w:rsid w:val="002B6695"/>
    <w:rsid w:val="002B66D1"/>
    <w:rsid w:val="002B670C"/>
    <w:rsid w:val="002B6718"/>
    <w:rsid w:val="002B6754"/>
    <w:rsid w:val="002B6764"/>
    <w:rsid w:val="002B6799"/>
    <w:rsid w:val="002B67BF"/>
    <w:rsid w:val="002B67C4"/>
    <w:rsid w:val="002B67CB"/>
    <w:rsid w:val="002B67D6"/>
    <w:rsid w:val="002B67EE"/>
    <w:rsid w:val="002B67F4"/>
    <w:rsid w:val="002B6849"/>
    <w:rsid w:val="002B6857"/>
    <w:rsid w:val="002B6863"/>
    <w:rsid w:val="002B687F"/>
    <w:rsid w:val="002B68E9"/>
    <w:rsid w:val="002B68F4"/>
    <w:rsid w:val="002B6954"/>
    <w:rsid w:val="002B6969"/>
    <w:rsid w:val="002B6974"/>
    <w:rsid w:val="002B6975"/>
    <w:rsid w:val="002B698A"/>
    <w:rsid w:val="002B69E3"/>
    <w:rsid w:val="002B69F1"/>
    <w:rsid w:val="002B69F4"/>
    <w:rsid w:val="002B6A0B"/>
    <w:rsid w:val="002B6A1F"/>
    <w:rsid w:val="002B6A34"/>
    <w:rsid w:val="002B6A93"/>
    <w:rsid w:val="002B6A9C"/>
    <w:rsid w:val="002B6AF4"/>
    <w:rsid w:val="002B6B19"/>
    <w:rsid w:val="002B6B21"/>
    <w:rsid w:val="002B6B2B"/>
    <w:rsid w:val="002B6B3C"/>
    <w:rsid w:val="002B6B7F"/>
    <w:rsid w:val="002B6B8E"/>
    <w:rsid w:val="002B6BB3"/>
    <w:rsid w:val="002B6BFA"/>
    <w:rsid w:val="002B6C01"/>
    <w:rsid w:val="002B6C10"/>
    <w:rsid w:val="002B6C91"/>
    <w:rsid w:val="002B6CB0"/>
    <w:rsid w:val="002B6CD8"/>
    <w:rsid w:val="002B6D0F"/>
    <w:rsid w:val="002B6D12"/>
    <w:rsid w:val="002B6D1D"/>
    <w:rsid w:val="002B6D74"/>
    <w:rsid w:val="002B6D8F"/>
    <w:rsid w:val="002B6E3C"/>
    <w:rsid w:val="002B6E69"/>
    <w:rsid w:val="002B6E6B"/>
    <w:rsid w:val="002B6E8A"/>
    <w:rsid w:val="002B6EB4"/>
    <w:rsid w:val="002B6ED6"/>
    <w:rsid w:val="002B6EF6"/>
    <w:rsid w:val="002B6F15"/>
    <w:rsid w:val="002B7014"/>
    <w:rsid w:val="002B7022"/>
    <w:rsid w:val="002B7023"/>
    <w:rsid w:val="002B7024"/>
    <w:rsid w:val="002B7093"/>
    <w:rsid w:val="002B70E4"/>
    <w:rsid w:val="002B711D"/>
    <w:rsid w:val="002B7149"/>
    <w:rsid w:val="002B717A"/>
    <w:rsid w:val="002B7180"/>
    <w:rsid w:val="002B71A5"/>
    <w:rsid w:val="002B71D7"/>
    <w:rsid w:val="002B72BA"/>
    <w:rsid w:val="002B72C7"/>
    <w:rsid w:val="002B72E3"/>
    <w:rsid w:val="002B72FD"/>
    <w:rsid w:val="002B7319"/>
    <w:rsid w:val="002B7323"/>
    <w:rsid w:val="002B7389"/>
    <w:rsid w:val="002B739E"/>
    <w:rsid w:val="002B73BB"/>
    <w:rsid w:val="002B73FC"/>
    <w:rsid w:val="002B7425"/>
    <w:rsid w:val="002B7434"/>
    <w:rsid w:val="002B7437"/>
    <w:rsid w:val="002B7492"/>
    <w:rsid w:val="002B74CE"/>
    <w:rsid w:val="002B74DB"/>
    <w:rsid w:val="002B74F8"/>
    <w:rsid w:val="002B7521"/>
    <w:rsid w:val="002B754A"/>
    <w:rsid w:val="002B7557"/>
    <w:rsid w:val="002B755A"/>
    <w:rsid w:val="002B7575"/>
    <w:rsid w:val="002B7598"/>
    <w:rsid w:val="002B759A"/>
    <w:rsid w:val="002B75C4"/>
    <w:rsid w:val="002B75CC"/>
    <w:rsid w:val="002B762F"/>
    <w:rsid w:val="002B7638"/>
    <w:rsid w:val="002B7663"/>
    <w:rsid w:val="002B76A8"/>
    <w:rsid w:val="002B76B1"/>
    <w:rsid w:val="002B76B8"/>
    <w:rsid w:val="002B76EA"/>
    <w:rsid w:val="002B77C5"/>
    <w:rsid w:val="002B77CC"/>
    <w:rsid w:val="002B77D5"/>
    <w:rsid w:val="002B77FC"/>
    <w:rsid w:val="002B7809"/>
    <w:rsid w:val="002B7835"/>
    <w:rsid w:val="002B785D"/>
    <w:rsid w:val="002B7875"/>
    <w:rsid w:val="002B7887"/>
    <w:rsid w:val="002B7897"/>
    <w:rsid w:val="002B78D2"/>
    <w:rsid w:val="002B78D5"/>
    <w:rsid w:val="002B78E8"/>
    <w:rsid w:val="002B78F4"/>
    <w:rsid w:val="002B790E"/>
    <w:rsid w:val="002B791A"/>
    <w:rsid w:val="002B7984"/>
    <w:rsid w:val="002B79C1"/>
    <w:rsid w:val="002B79C2"/>
    <w:rsid w:val="002B79CB"/>
    <w:rsid w:val="002B79CF"/>
    <w:rsid w:val="002B79D2"/>
    <w:rsid w:val="002B79E8"/>
    <w:rsid w:val="002B7A20"/>
    <w:rsid w:val="002B7A24"/>
    <w:rsid w:val="002B7A3C"/>
    <w:rsid w:val="002B7A60"/>
    <w:rsid w:val="002B7AFC"/>
    <w:rsid w:val="002B7B10"/>
    <w:rsid w:val="002B7B26"/>
    <w:rsid w:val="002B7B29"/>
    <w:rsid w:val="002B7B2B"/>
    <w:rsid w:val="002B7B2F"/>
    <w:rsid w:val="002B7B68"/>
    <w:rsid w:val="002B7B98"/>
    <w:rsid w:val="002B7BAD"/>
    <w:rsid w:val="002B7BC8"/>
    <w:rsid w:val="002B7C83"/>
    <w:rsid w:val="002B7CD4"/>
    <w:rsid w:val="002B7CF6"/>
    <w:rsid w:val="002B7D02"/>
    <w:rsid w:val="002B7D5A"/>
    <w:rsid w:val="002B7D75"/>
    <w:rsid w:val="002B7DAC"/>
    <w:rsid w:val="002B7DE4"/>
    <w:rsid w:val="002B7DFF"/>
    <w:rsid w:val="002B7E3D"/>
    <w:rsid w:val="002B7E6B"/>
    <w:rsid w:val="002B7E70"/>
    <w:rsid w:val="002B7E78"/>
    <w:rsid w:val="002B7EDC"/>
    <w:rsid w:val="002B7F28"/>
    <w:rsid w:val="002B7F49"/>
    <w:rsid w:val="002B7F53"/>
    <w:rsid w:val="002B7F56"/>
    <w:rsid w:val="002B7F61"/>
    <w:rsid w:val="002B7F72"/>
    <w:rsid w:val="002B7F95"/>
    <w:rsid w:val="002B7FA6"/>
    <w:rsid w:val="002B7FB5"/>
    <w:rsid w:val="002BB742"/>
    <w:rsid w:val="002C0008"/>
    <w:rsid w:val="002C000A"/>
    <w:rsid w:val="002C000C"/>
    <w:rsid w:val="002C0024"/>
    <w:rsid w:val="002C0029"/>
    <w:rsid w:val="002C0079"/>
    <w:rsid w:val="002C009E"/>
    <w:rsid w:val="002C00A7"/>
    <w:rsid w:val="002C00B4"/>
    <w:rsid w:val="002C00B6"/>
    <w:rsid w:val="002C00EF"/>
    <w:rsid w:val="002C00F5"/>
    <w:rsid w:val="002C0114"/>
    <w:rsid w:val="002C0116"/>
    <w:rsid w:val="002C011A"/>
    <w:rsid w:val="002C011E"/>
    <w:rsid w:val="002C012B"/>
    <w:rsid w:val="002C0166"/>
    <w:rsid w:val="002C018A"/>
    <w:rsid w:val="002C01AD"/>
    <w:rsid w:val="002C01AE"/>
    <w:rsid w:val="002C01C2"/>
    <w:rsid w:val="002C01D8"/>
    <w:rsid w:val="002C0230"/>
    <w:rsid w:val="002C0250"/>
    <w:rsid w:val="002C030B"/>
    <w:rsid w:val="002C0314"/>
    <w:rsid w:val="002C03D8"/>
    <w:rsid w:val="002C03F7"/>
    <w:rsid w:val="002C03FE"/>
    <w:rsid w:val="002C0429"/>
    <w:rsid w:val="002C044B"/>
    <w:rsid w:val="002C0476"/>
    <w:rsid w:val="002C0499"/>
    <w:rsid w:val="002C04FF"/>
    <w:rsid w:val="002C0507"/>
    <w:rsid w:val="002C051A"/>
    <w:rsid w:val="002C051B"/>
    <w:rsid w:val="002C051D"/>
    <w:rsid w:val="002C054D"/>
    <w:rsid w:val="002C0566"/>
    <w:rsid w:val="002C056A"/>
    <w:rsid w:val="002C0588"/>
    <w:rsid w:val="002C05A4"/>
    <w:rsid w:val="002C05AD"/>
    <w:rsid w:val="002C05B7"/>
    <w:rsid w:val="002C05CD"/>
    <w:rsid w:val="002C05D4"/>
    <w:rsid w:val="002C05DF"/>
    <w:rsid w:val="002C0606"/>
    <w:rsid w:val="002C061F"/>
    <w:rsid w:val="002C063E"/>
    <w:rsid w:val="002C0689"/>
    <w:rsid w:val="002C06BA"/>
    <w:rsid w:val="002C06F8"/>
    <w:rsid w:val="002C072E"/>
    <w:rsid w:val="002C0759"/>
    <w:rsid w:val="002C075D"/>
    <w:rsid w:val="002C0770"/>
    <w:rsid w:val="002C07A3"/>
    <w:rsid w:val="002C07A9"/>
    <w:rsid w:val="002C07EA"/>
    <w:rsid w:val="002C081D"/>
    <w:rsid w:val="002C082F"/>
    <w:rsid w:val="002C0859"/>
    <w:rsid w:val="002C0884"/>
    <w:rsid w:val="002C089D"/>
    <w:rsid w:val="002C08A7"/>
    <w:rsid w:val="002C08B3"/>
    <w:rsid w:val="002C08E6"/>
    <w:rsid w:val="002C092E"/>
    <w:rsid w:val="002C0938"/>
    <w:rsid w:val="002C094D"/>
    <w:rsid w:val="002C096D"/>
    <w:rsid w:val="002C099F"/>
    <w:rsid w:val="002C09DA"/>
    <w:rsid w:val="002C09E5"/>
    <w:rsid w:val="002C0A04"/>
    <w:rsid w:val="002C0A23"/>
    <w:rsid w:val="002C0A2B"/>
    <w:rsid w:val="002C0A36"/>
    <w:rsid w:val="002C0A66"/>
    <w:rsid w:val="002C0A76"/>
    <w:rsid w:val="002C0A94"/>
    <w:rsid w:val="002C0AD2"/>
    <w:rsid w:val="002C0AEC"/>
    <w:rsid w:val="002C0AEF"/>
    <w:rsid w:val="002C0AF2"/>
    <w:rsid w:val="002C0B02"/>
    <w:rsid w:val="002C0B51"/>
    <w:rsid w:val="002C0B60"/>
    <w:rsid w:val="002C0B62"/>
    <w:rsid w:val="002C0B63"/>
    <w:rsid w:val="002C0B9C"/>
    <w:rsid w:val="002C0BA5"/>
    <w:rsid w:val="002C0BAF"/>
    <w:rsid w:val="002C0BDA"/>
    <w:rsid w:val="002C0C4C"/>
    <w:rsid w:val="002C0C8B"/>
    <w:rsid w:val="002C0CAF"/>
    <w:rsid w:val="002C0CDF"/>
    <w:rsid w:val="002C0D13"/>
    <w:rsid w:val="002C0D44"/>
    <w:rsid w:val="002C0D4F"/>
    <w:rsid w:val="002C0D60"/>
    <w:rsid w:val="002C0D75"/>
    <w:rsid w:val="002C0D80"/>
    <w:rsid w:val="002C0DAC"/>
    <w:rsid w:val="002C0DE0"/>
    <w:rsid w:val="002C0DE7"/>
    <w:rsid w:val="002C0E1B"/>
    <w:rsid w:val="002C0E22"/>
    <w:rsid w:val="002C0E43"/>
    <w:rsid w:val="002C0E50"/>
    <w:rsid w:val="002C0EB2"/>
    <w:rsid w:val="002C0ED4"/>
    <w:rsid w:val="002C0F32"/>
    <w:rsid w:val="002C0F3F"/>
    <w:rsid w:val="002C0F4E"/>
    <w:rsid w:val="002C0F90"/>
    <w:rsid w:val="002C0FB9"/>
    <w:rsid w:val="002C0FD7"/>
    <w:rsid w:val="002C0FEB"/>
    <w:rsid w:val="002C0FF3"/>
    <w:rsid w:val="002C101C"/>
    <w:rsid w:val="002C101D"/>
    <w:rsid w:val="002C107C"/>
    <w:rsid w:val="002C1085"/>
    <w:rsid w:val="002C10C6"/>
    <w:rsid w:val="002C112E"/>
    <w:rsid w:val="002C1147"/>
    <w:rsid w:val="002C116B"/>
    <w:rsid w:val="002C117C"/>
    <w:rsid w:val="002C11A8"/>
    <w:rsid w:val="002C122B"/>
    <w:rsid w:val="002C124E"/>
    <w:rsid w:val="002C1296"/>
    <w:rsid w:val="002C129D"/>
    <w:rsid w:val="002C12EF"/>
    <w:rsid w:val="002C1330"/>
    <w:rsid w:val="002C13CE"/>
    <w:rsid w:val="002C1406"/>
    <w:rsid w:val="002C148B"/>
    <w:rsid w:val="002C14A0"/>
    <w:rsid w:val="002C14AC"/>
    <w:rsid w:val="002C14B9"/>
    <w:rsid w:val="002C1501"/>
    <w:rsid w:val="002C1508"/>
    <w:rsid w:val="002C1536"/>
    <w:rsid w:val="002C154B"/>
    <w:rsid w:val="002C156B"/>
    <w:rsid w:val="002C157D"/>
    <w:rsid w:val="002C15B5"/>
    <w:rsid w:val="002C15BC"/>
    <w:rsid w:val="002C15D9"/>
    <w:rsid w:val="002C15EE"/>
    <w:rsid w:val="002C1610"/>
    <w:rsid w:val="002C163A"/>
    <w:rsid w:val="002C1685"/>
    <w:rsid w:val="002C1699"/>
    <w:rsid w:val="002C16A8"/>
    <w:rsid w:val="002C16ED"/>
    <w:rsid w:val="002C1787"/>
    <w:rsid w:val="002C181B"/>
    <w:rsid w:val="002C1820"/>
    <w:rsid w:val="002C1831"/>
    <w:rsid w:val="002C185C"/>
    <w:rsid w:val="002C188A"/>
    <w:rsid w:val="002C18A8"/>
    <w:rsid w:val="002C18AD"/>
    <w:rsid w:val="002C18DA"/>
    <w:rsid w:val="002C18F1"/>
    <w:rsid w:val="002C1929"/>
    <w:rsid w:val="002C1943"/>
    <w:rsid w:val="002C1985"/>
    <w:rsid w:val="002C198D"/>
    <w:rsid w:val="002C1993"/>
    <w:rsid w:val="002C19AA"/>
    <w:rsid w:val="002C19ED"/>
    <w:rsid w:val="002C1A36"/>
    <w:rsid w:val="002C1A40"/>
    <w:rsid w:val="002C1A63"/>
    <w:rsid w:val="002C1A8F"/>
    <w:rsid w:val="002C1A9D"/>
    <w:rsid w:val="002C1AAD"/>
    <w:rsid w:val="002C1B34"/>
    <w:rsid w:val="002C1B57"/>
    <w:rsid w:val="002C1B83"/>
    <w:rsid w:val="002C1BCA"/>
    <w:rsid w:val="002C1BCD"/>
    <w:rsid w:val="002C1C1B"/>
    <w:rsid w:val="002C1C37"/>
    <w:rsid w:val="002C1C9D"/>
    <w:rsid w:val="002C1CAA"/>
    <w:rsid w:val="002C1CD1"/>
    <w:rsid w:val="002C1D02"/>
    <w:rsid w:val="002C1D1D"/>
    <w:rsid w:val="002C1D53"/>
    <w:rsid w:val="002C1D6C"/>
    <w:rsid w:val="002C1DA9"/>
    <w:rsid w:val="002C1DB6"/>
    <w:rsid w:val="002C1E28"/>
    <w:rsid w:val="002C1E2D"/>
    <w:rsid w:val="002C1E43"/>
    <w:rsid w:val="002C1E83"/>
    <w:rsid w:val="002C1E87"/>
    <w:rsid w:val="002C1E9C"/>
    <w:rsid w:val="002C1EB6"/>
    <w:rsid w:val="002C1EDE"/>
    <w:rsid w:val="002C1EEF"/>
    <w:rsid w:val="002C1F18"/>
    <w:rsid w:val="002C1F4A"/>
    <w:rsid w:val="002C1F8D"/>
    <w:rsid w:val="002C1F9D"/>
    <w:rsid w:val="002C201A"/>
    <w:rsid w:val="002C201F"/>
    <w:rsid w:val="002C204D"/>
    <w:rsid w:val="002C20A8"/>
    <w:rsid w:val="002C20DE"/>
    <w:rsid w:val="002C2113"/>
    <w:rsid w:val="002C211B"/>
    <w:rsid w:val="002C212E"/>
    <w:rsid w:val="002C215D"/>
    <w:rsid w:val="002C2173"/>
    <w:rsid w:val="002C2183"/>
    <w:rsid w:val="002C21A1"/>
    <w:rsid w:val="002C21AA"/>
    <w:rsid w:val="002C21B7"/>
    <w:rsid w:val="002C21FB"/>
    <w:rsid w:val="002C2201"/>
    <w:rsid w:val="002C2206"/>
    <w:rsid w:val="002C2250"/>
    <w:rsid w:val="002C2253"/>
    <w:rsid w:val="002C225F"/>
    <w:rsid w:val="002C2272"/>
    <w:rsid w:val="002C2299"/>
    <w:rsid w:val="002C22B6"/>
    <w:rsid w:val="002C22F9"/>
    <w:rsid w:val="002C2328"/>
    <w:rsid w:val="002C2336"/>
    <w:rsid w:val="002C233C"/>
    <w:rsid w:val="002C2349"/>
    <w:rsid w:val="002C2352"/>
    <w:rsid w:val="002C2357"/>
    <w:rsid w:val="002C236D"/>
    <w:rsid w:val="002C23E5"/>
    <w:rsid w:val="002C23E9"/>
    <w:rsid w:val="002C243C"/>
    <w:rsid w:val="002C247F"/>
    <w:rsid w:val="002C2486"/>
    <w:rsid w:val="002C248E"/>
    <w:rsid w:val="002C24B1"/>
    <w:rsid w:val="002C24B8"/>
    <w:rsid w:val="002C24BB"/>
    <w:rsid w:val="002C24C7"/>
    <w:rsid w:val="002C251E"/>
    <w:rsid w:val="002C2529"/>
    <w:rsid w:val="002C2539"/>
    <w:rsid w:val="002C2554"/>
    <w:rsid w:val="002C2571"/>
    <w:rsid w:val="002C2573"/>
    <w:rsid w:val="002C25BE"/>
    <w:rsid w:val="002C25BF"/>
    <w:rsid w:val="002C2608"/>
    <w:rsid w:val="002C262D"/>
    <w:rsid w:val="002C264B"/>
    <w:rsid w:val="002C2674"/>
    <w:rsid w:val="002C26A7"/>
    <w:rsid w:val="002C26B3"/>
    <w:rsid w:val="002C26F0"/>
    <w:rsid w:val="002C275F"/>
    <w:rsid w:val="002C27FD"/>
    <w:rsid w:val="002C282D"/>
    <w:rsid w:val="002C2837"/>
    <w:rsid w:val="002C28C6"/>
    <w:rsid w:val="002C28CE"/>
    <w:rsid w:val="002C28D0"/>
    <w:rsid w:val="002C291F"/>
    <w:rsid w:val="002C293C"/>
    <w:rsid w:val="002C2940"/>
    <w:rsid w:val="002C2957"/>
    <w:rsid w:val="002C2973"/>
    <w:rsid w:val="002C29EF"/>
    <w:rsid w:val="002C2A25"/>
    <w:rsid w:val="002C2A3A"/>
    <w:rsid w:val="002C2A79"/>
    <w:rsid w:val="002C2AAA"/>
    <w:rsid w:val="002C2ADB"/>
    <w:rsid w:val="002C2ADF"/>
    <w:rsid w:val="002C2AE1"/>
    <w:rsid w:val="002C2B36"/>
    <w:rsid w:val="002C2B3A"/>
    <w:rsid w:val="002C2B87"/>
    <w:rsid w:val="002C2B90"/>
    <w:rsid w:val="002C2B9A"/>
    <w:rsid w:val="002C2BA8"/>
    <w:rsid w:val="002C2C04"/>
    <w:rsid w:val="002C2C20"/>
    <w:rsid w:val="002C2C3F"/>
    <w:rsid w:val="002C2C47"/>
    <w:rsid w:val="002C2C53"/>
    <w:rsid w:val="002C2C57"/>
    <w:rsid w:val="002C2C5E"/>
    <w:rsid w:val="002C2C78"/>
    <w:rsid w:val="002C2C85"/>
    <w:rsid w:val="002C2CBF"/>
    <w:rsid w:val="002C2D23"/>
    <w:rsid w:val="002C2D66"/>
    <w:rsid w:val="002C2D71"/>
    <w:rsid w:val="002C2D93"/>
    <w:rsid w:val="002C2DA6"/>
    <w:rsid w:val="002C2DBB"/>
    <w:rsid w:val="002C2DEC"/>
    <w:rsid w:val="002C2E1D"/>
    <w:rsid w:val="002C2E4A"/>
    <w:rsid w:val="002C2E80"/>
    <w:rsid w:val="002C2E98"/>
    <w:rsid w:val="002C2EC4"/>
    <w:rsid w:val="002C2ECE"/>
    <w:rsid w:val="002C2EE1"/>
    <w:rsid w:val="002C2F0F"/>
    <w:rsid w:val="002C2F6A"/>
    <w:rsid w:val="002C2F84"/>
    <w:rsid w:val="002C2F95"/>
    <w:rsid w:val="002C2FA5"/>
    <w:rsid w:val="002C2FDE"/>
    <w:rsid w:val="002C3016"/>
    <w:rsid w:val="002C302B"/>
    <w:rsid w:val="002C304B"/>
    <w:rsid w:val="002C3072"/>
    <w:rsid w:val="002C30D0"/>
    <w:rsid w:val="002C30F3"/>
    <w:rsid w:val="002C310A"/>
    <w:rsid w:val="002C31C6"/>
    <w:rsid w:val="002C31E5"/>
    <w:rsid w:val="002C31EA"/>
    <w:rsid w:val="002C3215"/>
    <w:rsid w:val="002C323A"/>
    <w:rsid w:val="002C3262"/>
    <w:rsid w:val="002C3265"/>
    <w:rsid w:val="002C3297"/>
    <w:rsid w:val="002C32B5"/>
    <w:rsid w:val="002C32BE"/>
    <w:rsid w:val="002C32DE"/>
    <w:rsid w:val="002C32E0"/>
    <w:rsid w:val="002C32EE"/>
    <w:rsid w:val="002C331F"/>
    <w:rsid w:val="002C3354"/>
    <w:rsid w:val="002C33B6"/>
    <w:rsid w:val="002C34A4"/>
    <w:rsid w:val="002C3516"/>
    <w:rsid w:val="002C3517"/>
    <w:rsid w:val="002C352B"/>
    <w:rsid w:val="002C3552"/>
    <w:rsid w:val="002C3579"/>
    <w:rsid w:val="002C3599"/>
    <w:rsid w:val="002C35A4"/>
    <w:rsid w:val="002C35CE"/>
    <w:rsid w:val="002C3608"/>
    <w:rsid w:val="002C363B"/>
    <w:rsid w:val="002C3640"/>
    <w:rsid w:val="002C3685"/>
    <w:rsid w:val="002C36A1"/>
    <w:rsid w:val="002C36CF"/>
    <w:rsid w:val="002C36E3"/>
    <w:rsid w:val="002C3712"/>
    <w:rsid w:val="002C3713"/>
    <w:rsid w:val="002C3745"/>
    <w:rsid w:val="002C3748"/>
    <w:rsid w:val="002C3770"/>
    <w:rsid w:val="002C3771"/>
    <w:rsid w:val="002C37B6"/>
    <w:rsid w:val="002C37D6"/>
    <w:rsid w:val="002C37D9"/>
    <w:rsid w:val="002C37F7"/>
    <w:rsid w:val="002C3800"/>
    <w:rsid w:val="002C3816"/>
    <w:rsid w:val="002C388E"/>
    <w:rsid w:val="002C3899"/>
    <w:rsid w:val="002C389C"/>
    <w:rsid w:val="002C3942"/>
    <w:rsid w:val="002C398B"/>
    <w:rsid w:val="002C39A1"/>
    <w:rsid w:val="002C39B3"/>
    <w:rsid w:val="002C39E9"/>
    <w:rsid w:val="002C39EF"/>
    <w:rsid w:val="002C3A03"/>
    <w:rsid w:val="002C3A12"/>
    <w:rsid w:val="002C3A74"/>
    <w:rsid w:val="002C3AB4"/>
    <w:rsid w:val="002C3AD3"/>
    <w:rsid w:val="002C3AEA"/>
    <w:rsid w:val="002C3AEB"/>
    <w:rsid w:val="002C3B09"/>
    <w:rsid w:val="002C3B8F"/>
    <w:rsid w:val="002C3BB4"/>
    <w:rsid w:val="002C3BCA"/>
    <w:rsid w:val="002C3CB4"/>
    <w:rsid w:val="002C3D0E"/>
    <w:rsid w:val="002C3D55"/>
    <w:rsid w:val="002C3DAD"/>
    <w:rsid w:val="002C3DB2"/>
    <w:rsid w:val="002C3DC8"/>
    <w:rsid w:val="002C3E03"/>
    <w:rsid w:val="002C3E0F"/>
    <w:rsid w:val="002C3E1C"/>
    <w:rsid w:val="002C3E57"/>
    <w:rsid w:val="002C3EC3"/>
    <w:rsid w:val="002C3EC4"/>
    <w:rsid w:val="002C3EEA"/>
    <w:rsid w:val="002C3EFE"/>
    <w:rsid w:val="002C3F0B"/>
    <w:rsid w:val="002C3F2C"/>
    <w:rsid w:val="002C3F5E"/>
    <w:rsid w:val="002C3F75"/>
    <w:rsid w:val="002C3FD1"/>
    <w:rsid w:val="002C3FF6"/>
    <w:rsid w:val="002C4000"/>
    <w:rsid w:val="002C4020"/>
    <w:rsid w:val="002C404A"/>
    <w:rsid w:val="002C404F"/>
    <w:rsid w:val="002C4054"/>
    <w:rsid w:val="002C40A4"/>
    <w:rsid w:val="002C40D5"/>
    <w:rsid w:val="002C411D"/>
    <w:rsid w:val="002C4122"/>
    <w:rsid w:val="002C412B"/>
    <w:rsid w:val="002C414B"/>
    <w:rsid w:val="002C416E"/>
    <w:rsid w:val="002C41A9"/>
    <w:rsid w:val="002C41D9"/>
    <w:rsid w:val="002C4209"/>
    <w:rsid w:val="002C421F"/>
    <w:rsid w:val="002C42A7"/>
    <w:rsid w:val="002C42B3"/>
    <w:rsid w:val="002C42C0"/>
    <w:rsid w:val="002C4356"/>
    <w:rsid w:val="002C435E"/>
    <w:rsid w:val="002C4381"/>
    <w:rsid w:val="002C43A4"/>
    <w:rsid w:val="002C43E4"/>
    <w:rsid w:val="002C442E"/>
    <w:rsid w:val="002C4458"/>
    <w:rsid w:val="002C4474"/>
    <w:rsid w:val="002C4496"/>
    <w:rsid w:val="002C44F1"/>
    <w:rsid w:val="002C44FB"/>
    <w:rsid w:val="002C4509"/>
    <w:rsid w:val="002C4520"/>
    <w:rsid w:val="002C4528"/>
    <w:rsid w:val="002C452B"/>
    <w:rsid w:val="002C455C"/>
    <w:rsid w:val="002C4562"/>
    <w:rsid w:val="002C45AA"/>
    <w:rsid w:val="002C45B4"/>
    <w:rsid w:val="002C45D7"/>
    <w:rsid w:val="002C45DC"/>
    <w:rsid w:val="002C45F0"/>
    <w:rsid w:val="002C4616"/>
    <w:rsid w:val="002C462D"/>
    <w:rsid w:val="002C4652"/>
    <w:rsid w:val="002C4670"/>
    <w:rsid w:val="002C4677"/>
    <w:rsid w:val="002C468F"/>
    <w:rsid w:val="002C4691"/>
    <w:rsid w:val="002C4698"/>
    <w:rsid w:val="002C46A7"/>
    <w:rsid w:val="002C46BB"/>
    <w:rsid w:val="002C4757"/>
    <w:rsid w:val="002C4761"/>
    <w:rsid w:val="002C4765"/>
    <w:rsid w:val="002C478D"/>
    <w:rsid w:val="002C4798"/>
    <w:rsid w:val="002C47D1"/>
    <w:rsid w:val="002C47FC"/>
    <w:rsid w:val="002C4812"/>
    <w:rsid w:val="002C4888"/>
    <w:rsid w:val="002C4892"/>
    <w:rsid w:val="002C48A4"/>
    <w:rsid w:val="002C48E4"/>
    <w:rsid w:val="002C497D"/>
    <w:rsid w:val="002C4997"/>
    <w:rsid w:val="002C49C4"/>
    <w:rsid w:val="002C49C9"/>
    <w:rsid w:val="002C49F6"/>
    <w:rsid w:val="002C49F7"/>
    <w:rsid w:val="002C4A0D"/>
    <w:rsid w:val="002C4A0F"/>
    <w:rsid w:val="002C4A51"/>
    <w:rsid w:val="002C4A6F"/>
    <w:rsid w:val="002C4A90"/>
    <w:rsid w:val="002C4A9E"/>
    <w:rsid w:val="002C4AB9"/>
    <w:rsid w:val="002C4AC6"/>
    <w:rsid w:val="002C4ADF"/>
    <w:rsid w:val="002C4AF0"/>
    <w:rsid w:val="002C4AFD"/>
    <w:rsid w:val="002C4B0C"/>
    <w:rsid w:val="002C4B11"/>
    <w:rsid w:val="002C4B16"/>
    <w:rsid w:val="002C4B24"/>
    <w:rsid w:val="002C4B31"/>
    <w:rsid w:val="002C4B56"/>
    <w:rsid w:val="002C4B63"/>
    <w:rsid w:val="002C4B74"/>
    <w:rsid w:val="002C4B95"/>
    <w:rsid w:val="002C4BBA"/>
    <w:rsid w:val="002C4BE6"/>
    <w:rsid w:val="002C4C51"/>
    <w:rsid w:val="002C4CA8"/>
    <w:rsid w:val="002C4CBF"/>
    <w:rsid w:val="002C4CD0"/>
    <w:rsid w:val="002C4CED"/>
    <w:rsid w:val="002C4CFC"/>
    <w:rsid w:val="002C4D2A"/>
    <w:rsid w:val="002C4D64"/>
    <w:rsid w:val="002C4D93"/>
    <w:rsid w:val="002C4D9E"/>
    <w:rsid w:val="002C4DC3"/>
    <w:rsid w:val="002C4DD1"/>
    <w:rsid w:val="002C4E27"/>
    <w:rsid w:val="002C4E3A"/>
    <w:rsid w:val="002C4E46"/>
    <w:rsid w:val="002C4E70"/>
    <w:rsid w:val="002C4EFC"/>
    <w:rsid w:val="002C4F06"/>
    <w:rsid w:val="002C4F28"/>
    <w:rsid w:val="002C4FB4"/>
    <w:rsid w:val="002C4FC8"/>
    <w:rsid w:val="002C4FD0"/>
    <w:rsid w:val="002C4FDA"/>
    <w:rsid w:val="002C4FEA"/>
    <w:rsid w:val="002C5009"/>
    <w:rsid w:val="002C500A"/>
    <w:rsid w:val="002C500C"/>
    <w:rsid w:val="002C503D"/>
    <w:rsid w:val="002C5060"/>
    <w:rsid w:val="002C5068"/>
    <w:rsid w:val="002C5095"/>
    <w:rsid w:val="002C50D1"/>
    <w:rsid w:val="002C50E6"/>
    <w:rsid w:val="002C513B"/>
    <w:rsid w:val="002C5148"/>
    <w:rsid w:val="002C517A"/>
    <w:rsid w:val="002C519A"/>
    <w:rsid w:val="002C51C9"/>
    <w:rsid w:val="002C5266"/>
    <w:rsid w:val="002C52D1"/>
    <w:rsid w:val="002C531D"/>
    <w:rsid w:val="002C5331"/>
    <w:rsid w:val="002C5395"/>
    <w:rsid w:val="002C53ED"/>
    <w:rsid w:val="002C54AD"/>
    <w:rsid w:val="002C55A0"/>
    <w:rsid w:val="002C55D6"/>
    <w:rsid w:val="002C55D7"/>
    <w:rsid w:val="002C566B"/>
    <w:rsid w:val="002C5699"/>
    <w:rsid w:val="002C56D4"/>
    <w:rsid w:val="002C56F5"/>
    <w:rsid w:val="002C570C"/>
    <w:rsid w:val="002C571A"/>
    <w:rsid w:val="002C5724"/>
    <w:rsid w:val="002C573A"/>
    <w:rsid w:val="002C5774"/>
    <w:rsid w:val="002C579F"/>
    <w:rsid w:val="002C57A8"/>
    <w:rsid w:val="002C57AF"/>
    <w:rsid w:val="002C57C9"/>
    <w:rsid w:val="002C57E9"/>
    <w:rsid w:val="002C57F1"/>
    <w:rsid w:val="002C57F7"/>
    <w:rsid w:val="002C581A"/>
    <w:rsid w:val="002C5821"/>
    <w:rsid w:val="002C5830"/>
    <w:rsid w:val="002C584E"/>
    <w:rsid w:val="002C5861"/>
    <w:rsid w:val="002C5872"/>
    <w:rsid w:val="002C58A7"/>
    <w:rsid w:val="002C58E7"/>
    <w:rsid w:val="002C58EF"/>
    <w:rsid w:val="002C58FE"/>
    <w:rsid w:val="002C590C"/>
    <w:rsid w:val="002C5915"/>
    <w:rsid w:val="002C591D"/>
    <w:rsid w:val="002C5935"/>
    <w:rsid w:val="002C5945"/>
    <w:rsid w:val="002C597E"/>
    <w:rsid w:val="002C59B5"/>
    <w:rsid w:val="002C59C0"/>
    <w:rsid w:val="002C5A01"/>
    <w:rsid w:val="002C5A17"/>
    <w:rsid w:val="002C5A39"/>
    <w:rsid w:val="002C5A7B"/>
    <w:rsid w:val="002C5AC2"/>
    <w:rsid w:val="002C5AC5"/>
    <w:rsid w:val="002C5ACB"/>
    <w:rsid w:val="002C5AFE"/>
    <w:rsid w:val="002C5B0A"/>
    <w:rsid w:val="002C5B1C"/>
    <w:rsid w:val="002C5B57"/>
    <w:rsid w:val="002C5B5E"/>
    <w:rsid w:val="002C5BA1"/>
    <w:rsid w:val="002C5BF2"/>
    <w:rsid w:val="002C5C4C"/>
    <w:rsid w:val="002C5C5D"/>
    <w:rsid w:val="002C5CAD"/>
    <w:rsid w:val="002C5CBF"/>
    <w:rsid w:val="002C5CD5"/>
    <w:rsid w:val="002C5D0D"/>
    <w:rsid w:val="002C5D5D"/>
    <w:rsid w:val="002C5DC3"/>
    <w:rsid w:val="002C5DF1"/>
    <w:rsid w:val="002C5E02"/>
    <w:rsid w:val="002C5E10"/>
    <w:rsid w:val="002C5E29"/>
    <w:rsid w:val="002C5E3D"/>
    <w:rsid w:val="002C5E78"/>
    <w:rsid w:val="002C5E9B"/>
    <w:rsid w:val="002C5EA0"/>
    <w:rsid w:val="002C5EA2"/>
    <w:rsid w:val="002C5ECF"/>
    <w:rsid w:val="002C5F34"/>
    <w:rsid w:val="002C5F3D"/>
    <w:rsid w:val="002C5F60"/>
    <w:rsid w:val="002C5F69"/>
    <w:rsid w:val="002C5FA6"/>
    <w:rsid w:val="002C5FEF"/>
    <w:rsid w:val="002C5FFD"/>
    <w:rsid w:val="002C602B"/>
    <w:rsid w:val="002C602E"/>
    <w:rsid w:val="002C6057"/>
    <w:rsid w:val="002C609A"/>
    <w:rsid w:val="002C60BB"/>
    <w:rsid w:val="002C60E9"/>
    <w:rsid w:val="002C60EF"/>
    <w:rsid w:val="002C60FA"/>
    <w:rsid w:val="002C6102"/>
    <w:rsid w:val="002C611A"/>
    <w:rsid w:val="002C611F"/>
    <w:rsid w:val="002C6138"/>
    <w:rsid w:val="002C613F"/>
    <w:rsid w:val="002C614A"/>
    <w:rsid w:val="002C615A"/>
    <w:rsid w:val="002C6162"/>
    <w:rsid w:val="002C6173"/>
    <w:rsid w:val="002C6184"/>
    <w:rsid w:val="002C618E"/>
    <w:rsid w:val="002C61B2"/>
    <w:rsid w:val="002C61DA"/>
    <w:rsid w:val="002C61E8"/>
    <w:rsid w:val="002C6277"/>
    <w:rsid w:val="002C6294"/>
    <w:rsid w:val="002C6301"/>
    <w:rsid w:val="002C6318"/>
    <w:rsid w:val="002C6328"/>
    <w:rsid w:val="002C634F"/>
    <w:rsid w:val="002C6352"/>
    <w:rsid w:val="002C635B"/>
    <w:rsid w:val="002C637C"/>
    <w:rsid w:val="002C638D"/>
    <w:rsid w:val="002C63AE"/>
    <w:rsid w:val="002C63D4"/>
    <w:rsid w:val="002C6419"/>
    <w:rsid w:val="002C6434"/>
    <w:rsid w:val="002C647E"/>
    <w:rsid w:val="002C648F"/>
    <w:rsid w:val="002C6494"/>
    <w:rsid w:val="002C64AE"/>
    <w:rsid w:val="002C64B3"/>
    <w:rsid w:val="002C64D1"/>
    <w:rsid w:val="002C64EF"/>
    <w:rsid w:val="002C6539"/>
    <w:rsid w:val="002C65B0"/>
    <w:rsid w:val="002C65F9"/>
    <w:rsid w:val="002C65FD"/>
    <w:rsid w:val="002C6639"/>
    <w:rsid w:val="002C6643"/>
    <w:rsid w:val="002C666B"/>
    <w:rsid w:val="002C6671"/>
    <w:rsid w:val="002C66DF"/>
    <w:rsid w:val="002C66F6"/>
    <w:rsid w:val="002C66FA"/>
    <w:rsid w:val="002C6710"/>
    <w:rsid w:val="002C6744"/>
    <w:rsid w:val="002C675D"/>
    <w:rsid w:val="002C6776"/>
    <w:rsid w:val="002C677B"/>
    <w:rsid w:val="002C6788"/>
    <w:rsid w:val="002C680C"/>
    <w:rsid w:val="002C681B"/>
    <w:rsid w:val="002C6839"/>
    <w:rsid w:val="002C683E"/>
    <w:rsid w:val="002C687D"/>
    <w:rsid w:val="002C68C4"/>
    <w:rsid w:val="002C6918"/>
    <w:rsid w:val="002C691C"/>
    <w:rsid w:val="002C6926"/>
    <w:rsid w:val="002C695E"/>
    <w:rsid w:val="002C6968"/>
    <w:rsid w:val="002C6969"/>
    <w:rsid w:val="002C697E"/>
    <w:rsid w:val="002C69DB"/>
    <w:rsid w:val="002C6A28"/>
    <w:rsid w:val="002C6A2F"/>
    <w:rsid w:val="002C6A45"/>
    <w:rsid w:val="002C6A4D"/>
    <w:rsid w:val="002C6A5D"/>
    <w:rsid w:val="002C6A6E"/>
    <w:rsid w:val="002C6A74"/>
    <w:rsid w:val="002C6A77"/>
    <w:rsid w:val="002C6A9B"/>
    <w:rsid w:val="002C6AC5"/>
    <w:rsid w:val="002C6B97"/>
    <w:rsid w:val="002C6BEE"/>
    <w:rsid w:val="002C6C1A"/>
    <w:rsid w:val="002C6C38"/>
    <w:rsid w:val="002C6C73"/>
    <w:rsid w:val="002C6C7F"/>
    <w:rsid w:val="002C6C8F"/>
    <w:rsid w:val="002C6C9F"/>
    <w:rsid w:val="002C6CA8"/>
    <w:rsid w:val="002C6CF3"/>
    <w:rsid w:val="002C6D17"/>
    <w:rsid w:val="002C6D6E"/>
    <w:rsid w:val="002C6D90"/>
    <w:rsid w:val="002C6D91"/>
    <w:rsid w:val="002C6DB2"/>
    <w:rsid w:val="002C6E2F"/>
    <w:rsid w:val="002C6E85"/>
    <w:rsid w:val="002C6ED5"/>
    <w:rsid w:val="002C6EFD"/>
    <w:rsid w:val="002C6F5A"/>
    <w:rsid w:val="002C6F5C"/>
    <w:rsid w:val="002C6FB7"/>
    <w:rsid w:val="002C6FDF"/>
    <w:rsid w:val="002C7008"/>
    <w:rsid w:val="002C706F"/>
    <w:rsid w:val="002C7073"/>
    <w:rsid w:val="002C70B2"/>
    <w:rsid w:val="002C70B5"/>
    <w:rsid w:val="002C70E9"/>
    <w:rsid w:val="002C70EF"/>
    <w:rsid w:val="002C70FC"/>
    <w:rsid w:val="002C711B"/>
    <w:rsid w:val="002C7169"/>
    <w:rsid w:val="002C71A5"/>
    <w:rsid w:val="002C71E0"/>
    <w:rsid w:val="002C71FE"/>
    <w:rsid w:val="002C722E"/>
    <w:rsid w:val="002C72B6"/>
    <w:rsid w:val="002C72D3"/>
    <w:rsid w:val="002C72ED"/>
    <w:rsid w:val="002C7307"/>
    <w:rsid w:val="002C7341"/>
    <w:rsid w:val="002C735C"/>
    <w:rsid w:val="002C7368"/>
    <w:rsid w:val="002C736C"/>
    <w:rsid w:val="002C737B"/>
    <w:rsid w:val="002C739D"/>
    <w:rsid w:val="002C73C1"/>
    <w:rsid w:val="002C73CA"/>
    <w:rsid w:val="002C73D0"/>
    <w:rsid w:val="002C73E1"/>
    <w:rsid w:val="002C73E2"/>
    <w:rsid w:val="002C7406"/>
    <w:rsid w:val="002C7426"/>
    <w:rsid w:val="002C7433"/>
    <w:rsid w:val="002C744C"/>
    <w:rsid w:val="002C7453"/>
    <w:rsid w:val="002C7467"/>
    <w:rsid w:val="002C74CC"/>
    <w:rsid w:val="002C74E0"/>
    <w:rsid w:val="002C74ED"/>
    <w:rsid w:val="002C7529"/>
    <w:rsid w:val="002C7583"/>
    <w:rsid w:val="002C7599"/>
    <w:rsid w:val="002C75DA"/>
    <w:rsid w:val="002C761F"/>
    <w:rsid w:val="002C7635"/>
    <w:rsid w:val="002C7639"/>
    <w:rsid w:val="002C764C"/>
    <w:rsid w:val="002C7718"/>
    <w:rsid w:val="002C7721"/>
    <w:rsid w:val="002C7732"/>
    <w:rsid w:val="002C7741"/>
    <w:rsid w:val="002C7776"/>
    <w:rsid w:val="002C77CF"/>
    <w:rsid w:val="002C77DC"/>
    <w:rsid w:val="002C77F4"/>
    <w:rsid w:val="002C7811"/>
    <w:rsid w:val="002C7829"/>
    <w:rsid w:val="002C7836"/>
    <w:rsid w:val="002C789C"/>
    <w:rsid w:val="002C78D0"/>
    <w:rsid w:val="002C7931"/>
    <w:rsid w:val="002C793E"/>
    <w:rsid w:val="002C794D"/>
    <w:rsid w:val="002C7951"/>
    <w:rsid w:val="002C796B"/>
    <w:rsid w:val="002C796D"/>
    <w:rsid w:val="002C7983"/>
    <w:rsid w:val="002C79CE"/>
    <w:rsid w:val="002C79F7"/>
    <w:rsid w:val="002C79FF"/>
    <w:rsid w:val="002C7A47"/>
    <w:rsid w:val="002C7A4D"/>
    <w:rsid w:val="002C7AD5"/>
    <w:rsid w:val="002C7B09"/>
    <w:rsid w:val="002C7B4B"/>
    <w:rsid w:val="002C7BA4"/>
    <w:rsid w:val="002C7BAF"/>
    <w:rsid w:val="002C7BC1"/>
    <w:rsid w:val="002C7BCE"/>
    <w:rsid w:val="002C7BFB"/>
    <w:rsid w:val="002C7C2A"/>
    <w:rsid w:val="002C7C44"/>
    <w:rsid w:val="002C7C87"/>
    <w:rsid w:val="002C7C8C"/>
    <w:rsid w:val="002C7CA9"/>
    <w:rsid w:val="002C7D03"/>
    <w:rsid w:val="002C7D2E"/>
    <w:rsid w:val="002C7D46"/>
    <w:rsid w:val="002C7D52"/>
    <w:rsid w:val="002C7DA2"/>
    <w:rsid w:val="002C7DA5"/>
    <w:rsid w:val="002C7DA9"/>
    <w:rsid w:val="002C7DDB"/>
    <w:rsid w:val="002C7DDE"/>
    <w:rsid w:val="002C7DEF"/>
    <w:rsid w:val="002C7E04"/>
    <w:rsid w:val="002C7E11"/>
    <w:rsid w:val="002C7E21"/>
    <w:rsid w:val="002C7E27"/>
    <w:rsid w:val="002C7E53"/>
    <w:rsid w:val="002C7E56"/>
    <w:rsid w:val="002C7E7B"/>
    <w:rsid w:val="002C7EAE"/>
    <w:rsid w:val="002C7EB2"/>
    <w:rsid w:val="002C7ECD"/>
    <w:rsid w:val="002C7ED2"/>
    <w:rsid w:val="002C7EEB"/>
    <w:rsid w:val="002C7EEF"/>
    <w:rsid w:val="002C7EF0"/>
    <w:rsid w:val="002C7EF7"/>
    <w:rsid w:val="002C7EFA"/>
    <w:rsid w:val="002C7F2D"/>
    <w:rsid w:val="002C7F31"/>
    <w:rsid w:val="002C7F3D"/>
    <w:rsid w:val="002C7FDF"/>
    <w:rsid w:val="002D0012"/>
    <w:rsid w:val="002D0042"/>
    <w:rsid w:val="002D0065"/>
    <w:rsid w:val="002D0068"/>
    <w:rsid w:val="002D0086"/>
    <w:rsid w:val="002D008D"/>
    <w:rsid w:val="002D00B3"/>
    <w:rsid w:val="002D00B4"/>
    <w:rsid w:val="002D00D4"/>
    <w:rsid w:val="002D010C"/>
    <w:rsid w:val="002D011B"/>
    <w:rsid w:val="002D0158"/>
    <w:rsid w:val="002D0166"/>
    <w:rsid w:val="002D0187"/>
    <w:rsid w:val="002D01AA"/>
    <w:rsid w:val="002D01B3"/>
    <w:rsid w:val="002D02C3"/>
    <w:rsid w:val="002D02D9"/>
    <w:rsid w:val="002D02FF"/>
    <w:rsid w:val="002D033A"/>
    <w:rsid w:val="002D0347"/>
    <w:rsid w:val="002D036D"/>
    <w:rsid w:val="002D038A"/>
    <w:rsid w:val="002D03A0"/>
    <w:rsid w:val="002D03AD"/>
    <w:rsid w:val="002D03D6"/>
    <w:rsid w:val="002D03ED"/>
    <w:rsid w:val="002D0413"/>
    <w:rsid w:val="002D0458"/>
    <w:rsid w:val="002D0467"/>
    <w:rsid w:val="002D0490"/>
    <w:rsid w:val="002D04BA"/>
    <w:rsid w:val="002D04C1"/>
    <w:rsid w:val="002D04D1"/>
    <w:rsid w:val="002D0507"/>
    <w:rsid w:val="002D050C"/>
    <w:rsid w:val="002D052F"/>
    <w:rsid w:val="002D0575"/>
    <w:rsid w:val="002D05B3"/>
    <w:rsid w:val="002D05D4"/>
    <w:rsid w:val="002D05F0"/>
    <w:rsid w:val="002D05F1"/>
    <w:rsid w:val="002D05FE"/>
    <w:rsid w:val="002D06E6"/>
    <w:rsid w:val="002D06F3"/>
    <w:rsid w:val="002D0723"/>
    <w:rsid w:val="002D0737"/>
    <w:rsid w:val="002D07A8"/>
    <w:rsid w:val="002D07B5"/>
    <w:rsid w:val="002D081E"/>
    <w:rsid w:val="002D083E"/>
    <w:rsid w:val="002D085D"/>
    <w:rsid w:val="002D0888"/>
    <w:rsid w:val="002D08F8"/>
    <w:rsid w:val="002D0902"/>
    <w:rsid w:val="002D09A0"/>
    <w:rsid w:val="002D09D5"/>
    <w:rsid w:val="002D09EE"/>
    <w:rsid w:val="002D0A10"/>
    <w:rsid w:val="002D0A19"/>
    <w:rsid w:val="002D0A60"/>
    <w:rsid w:val="002D0A67"/>
    <w:rsid w:val="002D0A88"/>
    <w:rsid w:val="002D0A96"/>
    <w:rsid w:val="002D0A99"/>
    <w:rsid w:val="002D0AAA"/>
    <w:rsid w:val="002D0AE0"/>
    <w:rsid w:val="002D0AF3"/>
    <w:rsid w:val="002D0B1B"/>
    <w:rsid w:val="002D0B2F"/>
    <w:rsid w:val="002D0B60"/>
    <w:rsid w:val="002D0BC7"/>
    <w:rsid w:val="002D0C4D"/>
    <w:rsid w:val="002D0CC6"/>
    <w:rsid w:val="002D0D05"/>
    <w:rsid w:val="002D0D34"/>
    <w:rsid w:val="002D0DC3"/>
    <w:rsid w:val="002D0DD5"/>
    <w:rsid w:val="002D0E38"/>
    <w:rsid w:val="002D0E7A"/>
    <w:rsid w:val="002D0E9E"/>
    <w:rsid w:val="002D0EBF"/>
    <w:rsid w:val="002D0ECE"/>
    <w:rsid w:val="002D0EDB"/>
    <w:rsid w:val="002D0F0C"/>
    <w:rsid w:val="002D0F4C"/>
    <w:rsid w:val="002D0F67"/>
    <w:rsid w:val="002D0F79"/>
    <w:rsid w:val="002D0FA7"/>
    <w:rsid w:val="002D0FD9"/>
    <w:rsid w:val="002D0FF1"/>
    <w:rsid w:val="002D0FF4"/>
    <w:rsid w:val="002D1074"/>
    <w:rsid w:val="002D1096"/>
    <w:rsid w:val="002D10A5"/>
    <w:rsid w:val="002D11B2"/>
    <w:rsid w:val="002D11B5"/>
    <w:rsid w:val="002D1243"/>
    <w:rsid w:val="002D126B"/>
    <w:rsid w:val="002D128A"/>
    <w:rsid w:val="002D1291"/>
    <w:rsid w:val="002D12C1"/>
    <w:rsid w:val="002D1333"/>
    <w:rsid w:val="002D1341"/>
    <w:rsid w:val="002D1350"/>
    <w:rsid w:val="002D136E"/>
    <w:rsid w:val="002D13CF"/>
    <w:rsid w:val="002D141B"/>
    <w:rsid w:val="002D1428"/>
    <w:rsid w:val="002D1436"/>
    <w:rsid w:val="002D1449"/>
    <w:rsid w:val="002D1461"/>
    <w:rsid w:val="002D1463"/>
    <w:rsid w:val="002D1475"/>
    <w:rsid w:val="002D14B3"/>
    <w:rsid w:val="002D14E3"/>
    <w:rsid w:val="002D152C"/>
    <w:rsid w:val="002D1541"/>
    <w:rsid w:val="002D156B"/>
    <w:rsid w:val="002D15D5"/>
    <w:rsid w:val="002D15DC"/>
    <w:rsid w:val="002D1651"/>
    <w:rsid w:val="002D166E"/>
    <w:rsid w:val="002D16A4"/>
    <w:rsid w:val="002D16B8"/>
    <w:rsid w:val="002D16F1"/>
    <w:rsid w:val="002D175A"/>
    <w:rsid w:val="002D1761"/>
    <w:rsid w:val="002D1764"/>
    <w:rsid w:val="002D1769"/>
    <w:rsid w:val="002D1787"/>
    <w:rsid w:val="002D17B8"/>
    <w:rsid w:val="002D17F3"/>
    <w:rsid w:val="002D1846"/>
    <w:rsid w:val="002D1858"/>
    <w:rsid w:val="002D188C"/>
    <w:rsid w:val="002D18A6"/>
    <w:rsid w:val="002D18E3"/>
    <w:rsid w:val="002D18F5"/>
    <w:rsid w:val="002D190D"/>
    <w:rsid w:val="002D1939"/>
    <w:rsid w:val="002D193E"/>
    <w:rsid w:val="002D196E"/>
    <w:rsid w:val="002D19E1"/>
    <w:rsid w:val="002D19EB"/>
    <w:rsid w:val="002D1A0C"/>
    <w:rsid w:val="002D1A5B"/>
    <w:rsid w:val="002D1ABA"/>
    <w:rsid w:val="002D1B06"/>
    <w:rsid w:val="002D1B6D"/>
    <w:rsid w:val="002D1BA2"/>
    <w:rsid w:val="002D1BC3"/>
    <w:rsid w:val="002D1BCB"/>
    <w:rsid w:val="002D1BDB"/>
    <w:rsid w:val="002D1C1D"/>
    <w:rsid w:val="002D1C26"/>
    <w:rsid w:val="002D1C2E"/>
    <w:rsid w:val="002D1C63"/>
    <w:rsid w:val="002D1C68"/>
    <w:rsid w:val="002D1C79"/>
    <w:rsid w:val="002D1CBD"/>
    <w:rsid w:val="002D1CC1"/>
    <w:rsid w:val="002D1CE8"/>
    <w:rsid w:val="002D1CF2"/>
    <w:rsid w:val="002D1D20"/>
    <w:rsid w:val="002D1D38"/>
    <w:rsid w:val="002D1D4B"/>
    <w:rsid w:val="002D1D4D"/>
    <w:rsid w:val="002D1DD4"/>
    <w:rsid w:val="002D1DE7"/>
    <w:rsid w:val="002D1E50"/>
    <w:rsid w:val="002D1E5C"/>
    <w:rsid w:val="002D1E84"/>
    <w:rsid w:val="002D1E87"/>
    <w:rsid w:val="002D1EA0"/>
    <w:rsid w:val="002D1EA3"/>
    <w:rsid w:val="002D1F2E"/>
    <w:rsid w:val="002D1F30"/>
    <w:rsid w:val="002D1F63"/>
    <w:rsid w:val="002D1F76"/>
    <w:rsid w:val="002D1F97"/>
    <w:rsid w:val="002D1F9A"/>
    <w:rsid w:val="002D1FC7"/>
    <w:rsid w:val="002D2024"/>
    <w:rsid w:val="002D2059"/>
    <w:rsid w:val="002D2091"/>
    <w:rsid w:val="002D20A5"/>
    <w:rsid w:val="002D20BA"/>
    <w:rsid w:val="002D20C5"/>
    <w:rsid w:val="002D210E"/>
    <w:rsid w:val="002D2111"/>
    <w:rsid w:val="002D2153"/>
    <w:rsid w:val="002D215B"/>
    <w:rsid w:val="002D2189"/>
    <w:rsid w:val="002D21C6"/>
    <w:rsid w:val="002D21E6"/>
    <w:rsid w:val="002D2208"/>
    <w:rsid w:val="002D221F"/>
    <w:rsid w:val="002D2274"/>
    <w:rsid w:val="002D2297"/>
    <w:rsid w:val="002D22C8"/>
    <w:rsid w:val="002D22D5"/>
    <w:rsid w:val="002D2335"/>
    <w:rsid w:val="002D234D"/>
    <w:rsid w:val="002D2356"/>
    <w:rsid w:val="002D2374"/>
    <w:rsid w:val="002D23DC"/>
    <w:rsid w:val="002D2413"/>
    <w:rsid w:val="002D247A"/>
    <w:rsid w:val="002D24A8"/>
    <w:rsid w:val="002D24E8"/>
    <w:rsid w:val="002D254E"/>
    <w:rsid w:val="002D25A0"/>
    <w:rsid w:val="002D25A8"/>
    <w:rsid w:val="002D25B3"/>
    <w:rsid w:val="002D25D3"/>
    <w:rsid w:val="002D25DF"/>
    <w:rsid w:val="002D260A"/>
    <w:rsid w:val="002D2687"/>
    <w:rsid w:val="002D26BA"/>
    <w:rsid w:val="002D26DB"/>
    <w:rsid w:val="002D2721"/>
    <w:rsid w:val="002D272D"/>
    <w:rsid w:val="002D276F"/>
    <w:rsid w:val="002D27AF"/>
    <w:rsid w:val="002D27CE"/>
    <w:rsid w:val="002D2810"/>
    <w:rsid w:val="002D2813"/>
    <w:rsid w:val="002D2826"/>
    <w:rsid w:val="002D2842"/>
    <w:rsid w:val="002D2863"/>
    <w:rsid w:val="002D28CE"/>
    <w:rsid w:val="002D2924"/>
    <w:rsid w:val="002D2950"/>
    <w:rsid w:val="002D2991"/>
    <w:rsid w:val="002D29A1"/>
    <w:rsid w:val="002D29A8"/>
    <w:rsid w:val="002D29AB"/>
    <w:rsid w:val="002D29CE"/>
    <w:rsid w:val="002D2A4B"/>
    <w:rsid w:val="002D2A78"/>
    <w:rsid w:val="002D2A88"/>
    <w:rsid w:val="002D2A8A"/>
    <w:rsid w:val="002D2A9C"/>
    <w:rsid w:val="002D2B3C"/>
    <w:rsid w:val="002D2B45"/>
    <w:rsid w:val="002D2B81"/>
    <w:rsid w:val="002D2BB5"/>
    <w:rsid w:val="002D2BEB"/>
    <w:rsid w:val="002D2C2F"/>
    <w:rsid w:val="002D2C79"/>
    <w:rsid w:val="002D2C88"/>
    <w:rsid w:val="002D2CD0"/>
    <w:rsid w:val="002D2CDE"/>
    <w:rsid w:val="002D2CF1"/>
    <w:rsid w:val="002D2D24"/>
    <w:rsid w:val="002D2D2C"/>
    <w:rsid w:val="002D2D2F"/>
    <w:rsid w:val="002D2D6B"/>
    <w:rsid w:val="002D2D7E"/>
    <w:rsid w:val="002D2D85"/>
    <w:rsid w:val="002D2D95"/>
    <w:rsid w:val="002D2D9D"/>
    <w:rsid w:val="002D2DDC"/>
    <w:rsid w:val="002D2E12"/>
    <w:rsid w:val="002D2E3B"/>
    <w:rsid w:val="002D2E9A"/>
    <w:rsid w:val="002D2ED5"/>
    <w:rsid w:val="002D2F10"/>
    <w:rsid w:val="002D2F2E"/>
    <w:rsid w:val="002D2F58"/>
    <w:rsid w:val="002D2FA5"/>
    <w:rsid w:val="002D2FBF"/>
    <w:rsid w:val="002D2FCA"/>
    <w:rsid w:val="002D2FE1"/>
    <w:rsid w:val="002D3053"/>
    <w:rsid w:val="002D3071"/>
    <w:rsid w:val="002D3098"/>
    <w:rsid w:val="002D30AF"/>
    <w:rsid w:val="002D30B5"/>
    <w:rsid w:val="002D30CA"/>
    <w:rsid w:val="002D3122"/>
    <w:rsid w:val="002D313A"/>
    <w:rsid w:val="002D3159"/>
    <w:rsid w:val="002D3164"/>
    <w:rsid w:val="002D316E"/>
    <w:rsid w:val="002D3181"/>
    <w:rsid w:val="002D31C4"/>
    <w:rsid w:val="002D31C8"/>
    <w:rsid w:val="002D31C9"/>
    <w:rsid w:val="002D3216"/>
    <w:rsid w:val="002D3267"/>
    <w:rsid w:val="002D3268"/>
    <w:rsid w:val="002D3270"/>
    <w:rsid w:val="002D32AD"/>
    <w:rsid w:val="002D32C3"/>
    <w:rsid w:val="002D32DD"/>
    <w:rsid w:val="002D32F9"/>
    <w:rsid w:val="002D3386"/>
    <w:rsid w:val="002D338E"/>
    <w:rsid w:val="002D3397"/>
    <w:rsid w:val="002D33DB"/>
    <w:rsid w:val="002D3451"/>
    <w:rsid w:val="002D346A"/>
    <w:rsid w:val="002D348F"/>
    <w:rsid w:val="002D34A9"/>
    <w:rsid w:val="002D34B1"/>
    <w:rsid w:val="002D351A"/>
    <w:rsid w:val="002D3523"/>
    <w:rsid w:val="002D3533"/>
    <w:rsid w:val="002D3587"/>
    <w:rsid w:val="002D35AB"/>
    <w:rsid w:val="002D35F0"/>
    <w:rsid w:val="002D3623"/>
    <w:rsid w:val="002D362D"/>
    <w:rsid w:val="002D365B"/>
    <w:rsid w:val="002D3670"/>
    <w:rsid w:val="002D3694"/>
    <w:rsid w:val="002D36BB"/>
    <w:rsid w:val="002D36F7"/>
    <w:rsid w:val="002D3703"/>
    <w:rsid w:val="002D370C"/>
    <w:rsid w:val="002D3726"/>
    <w:rsid w:val="002D373D"/>
    <w:rsid w:val="002D373E"/>
    <w:rsid w:val="002D374C"/>
    <w:rsid w:val="002D378F"/>
    <w:rsid w:val="002D37A6"/>
    <w:rsid w:val="002D37CA"/>
    <w:rsid w:val="002D37D2"/>
    <w:rsid w:val="002D3801"/>
    <w:rsid w:val="002D38AB"/>
    <w:rsid w:val="002D38D3"/>
    <w:rsid w:val="002D38ED"/>
    <w:rsid w:val="002D38F4"/>
    <w:rsid w:val="002D3937"/>
    <w:rsid w:val="002D393F"/>
    <w:rsid w:val="002D3971"/>
    <w:rsid w:val="002D3975"/>
    <w:rsid w:val="002D3989"/>
    <w:rsid w:val="002D3996"/>
    <w:rsid w:val="002D39BA"/>
    <w:rsid w:val="002D3A1C"/>
    <w:rsid w:val="002D3A47"/>
    <w:rsid w:val="002D3A68"/>
    <w:rsid w:val="002D3AD3"/>
    <w:rsid w:val="002D3AEB"/>
    <w:rsid w:val="002D3AEF"/>
    <w:rsid w:val="002D3B53"/>
    <w:rsid w:val="002D3BAD"/>
    <w:rsid w:val="002D3C09"/>
    <w:rsid w:val="002D3C0A"/>
    <w:rsid w:val="002D3C13"/>
    <w:rsid w:val="002D3C22"/>
    <w:rsid w:val="002D3C38"/>
    <w:rsid w:val="002D3C7B"/>
    <w:rsid w:val="002D3D10"/>
    <w:rsid w:val="002D3D3E"/>
    <w:rsid w:val="002D3D92"/>
    <w:rsid w:val="002D3DCA"/>
    <w:rsid w:val="002D3E0F"/>
    <w:rsid w:val="002D3E9B"/>
    <w:rsid w:val="002D3ECD"/>
    <w:rsid w:val="002D3ECF"/>
    <w:rsid w:val="002D3F2A"/>
    <w:rsid w:val="002D3F5F"/>
    <w:rsid w:val="002D3FAA"/>
    <w:rsid w:val="002D400D"/>
    <w:rsid w:val="002D400E"/>
    <w:rsid w:val="002D4018"/>
    <w:rsid w:val="002D4022"/>
    <w:rsid w:val="002D402A"/>
    <w:rsid w:val="002D4059"/>
    <w:rsid w:val="002D4075"/>
    <w:rsid w:val="002D407A"/>
    <w:rsid w:val="002D407C"/>
    <w:rsid w:val="002D40D7"/>
    <w:rsid w:val="002D40E6"/>
    <w:rsid w:val="002D4100"/>
    <w:rsid w:val="002D4128"/>
    <w:rsid w:val="002D414E"/>
    <w:rsid w:val="002D4165"/>
    <w:rsid w:val="002D4184"/>
    <w:rsid w:val="002D41E3"/>
    <w:rsid w:val="002D4213"/>
    <w:rsid w:val="002D4222"/>
    <w:rsid w:val="002D42D2"/>
    <w:rsid w:val="002D42E6"/>
    <w:rsid w:val="002D42F0"/>
    <w:rsid w:val="002D42F8"/>
    <w:rsid w:val="002D4300"/>
    <w:rsid w:val="002D4313"/>
    <w:rsid w:val="002D4322"/>
    <w:rsid w:val="002D4370"/>
    <w:rsid w:val="002D43C7"/>
    <w:rsid w:val="002D43DA"/>
    <w:rsid w:val="002D43FF"/>
    <w:rsid w:val="002D442E"/>
    <w:rsid w:val="002D4450"/>
    <w:rsid w:val="002D44B0"/>
    <w:rsid w:val="002D44B2"/>
    <w:rsid w:val="002D4533"/>
    <w:rsid w:val="002D4542"/>
    <w:rsid w:val="002D4573"/>
    <w:rsid w:val="002D457B"/>
    <w:rsid w:val="002D4588"/>
    <w:rsid w:val="002D45A7"/>
    <w:rsid w:val="002D45C7"/>
    <w:rsid w:val="002D45D1"/>
    <w:rsid w:val="002D45EF"/>
    <w:rsid w:val="002D45F0"/>
    <w:rsid w:val="002D4677"/>
    <w:rsid w:val="002D467D"/>
    <w:rsid w:val="002D468D"/>
    <w:rsid w:val="002D46AE"/>
    <w:rsid w:val="002D46BF"/>
    <w:rsid w:val="002D46DE"/>
    <w:rsid w:val="002D4709"/>
    <w:rsid w:val="002D4749"/>
    <w:rsid w:val="002D47D2"/>
    <w:rsid w:val="002D47F4"/>
    <w:rsid w:val="002D47F9"/>
    <w:rsid w:val="002D4845"/>
    <w:rsid w:val="002D488B"/>
    <w:rsid w:val="002D4891"/>
    <w:rsid w:val="002D48E7"/>
    <w:rsid w:val="002D48E9"/>
    <w:rsid w:val="002D48FD"/>
    <w:rsid w:val="002D4929"/>
    <w:rsid w:val="002D497F"/>
    <w:rsid w:val="002D49C0"/>
    <w:rsid w:val="002D49F8"/>
    <w:rsid w:val="002D4A33"/>
    <w:rsid w:val="002D4A51"/>
    <w:rsid w:val="002D4A56"/>
    <w:rsid w:val="002D4A7E"/>
    <w:rsid w:val="002D4A98"/>
    <w:rsid w:val="002D4B60"/>
    <w:rsid w:val="002D4B89"/>
    <w:rsid w:val="002D4BB3"/>
    <w:rsid w:val="002D4BB5"/>
    <w:rsid w:val="002D4BCC"/>
    <w:rsid w:val="002D4BF4"/>
    <w:rsid w:val="002D4C30"/>
    <w:rsid w:val="002D4C51"/>
    <w:rsid w:val="002D4C98"/>
    <w:rsid w:val="002D4C9C"/>
    <w:rsid w:val="002D4CA3"/>
    <w:rsid w:val="002D4CE0"/>
    <w:rsid w:val="002D4CE8"/>
    <w:rsid w:val="002D4D1B"/>
    <w:rsid w:val="002D4D2A"/>
    <w:rsid w:val="002D4D2B"/>
    <w:rsid w:val="002D4D37"/>
    <w:rsid w:val="002D4D64"/>
    <w:rsid w:val="002D4D6B"/>
    <w:rsid w:val="002D4D7C"/>
    <w:rsid w:val="002D4D84"/>
    <w:rsid w:val="002D4D95"/>
    <w:rsid w:val="002D4DA5"/>
    <w:rsid w:val="002D4DEE"/>
    <w:rsid w:val="002D4DFC"/>
    <w:rsid w:val="002D4E14"/>
    <w:rsid w:val="002D4E15"/>
    <w:rsid w:val="002D4E1A"/>
    <w:rsid w:val="002D4E84"/>
    <w:rsid w:val="002D4E9F"/>
    <w:rsid w:val="002D4EE2"/>
    <w:rsid w:val="002D4EF5"/>
    <w:rsid w:val="002D4F20"/>
    <w:rsid w:val="002D4F2D"/>
    <w:rsid w:val="002D4F43"/>
    <w:rsid w:val="002D4F68"/>
    <w:rsid w:val="002D4F85"/>
    <w:rsid w:val="002D4FAD"/>
    <w:rsid w:val="002D4FB7"/>
    <w:rsid w:val="002D4FE0"/>
    <w:rsid w:val="002D4FF9"/>
    <w:rsid w:val="002D5011"/>
    <w:rsid w:val="002D5059"/>
    <w:rsid w:val="002D508C"/>
    <w:rsid w:val="002D5120"/>
    <w:rsid w:val="002D512F"/>
    <w:rsid w:val="002D5133"/>
    <w:rsid w:val="002D5136"/>
    <w:rsid w:val="002D516F"/>
    <w:rsid w:val="002D51AE"/>
    <w:rsid w:val="002D51B2"/>
    <w:rsid w:val="002D51B8"/>
    <w:rsid w:val="002D5263"/>
    <w:rsid w:val="002D527D"/>
    <w:rsid w:val="002D5283"/>
    <w:rsid w:val="002D52BA"/>
    <w:rsid w:val="002D52BD"/>
    <w:rsid w:val="002D52DE"/>
    <w:rsid w:val="002D5358"/>
    <w:rsid w:val="002D53F5"/>
    <w:rsid w:val="002D53F7"/>
    <w:rsid w:val="002D543A"/>
    <w:rsid w:val="002D5446"/>
    <w:rsid w:val="002D5463"/>
    <w:rsid w:val="002D5497"/>
    <w:rsid w:val="002D54AF"/>
    <w:rsid w:val="002D54DD"/>
    <w:rsid w:val="002D5500"/>
    <w:rsid w:val="002D5529"/>
    <w:rsid w:val="002D5533"/>
    <w:rsid w:val="002D5553"/>
    <w:rsid w:val="002D5573"/>
    <w:rsid w:val="002D5595"/>
    <w:rsid w:val="002D55A4"/>
    <w:rsid w:val="002D55D2"/>
    <w:rsid w:val="002D55E3"/>
    <w:rsid w:val="002D55EA"/>
    <w:rsid w:val="002D55F9"/>
    <w:rsid w:val="002D5612"/>
    <w:rsid w:val="002D5695"/>
    <w:rsid w:val="002D56BF"/>
    <w:rsid w:val="002D56DF"/>
    <w:rsid w:val="002D5764"/>
    <w:rsid w:val="002D5786"/>
    <w:rsid w:val="002D579C"/>
    <w:rsid w:val="002D57E3"/>
    <w:rsid w:val="002D57EA"/>
    <w:rsid w:val="002D57F7"/>
    <w:rsid w:val="002D582C"/>
    <w:rsid w:val="002D582F"/>
    <w:rsid w:val="002D588A"/>
    <w:rsid w:val="002D58B1"/>
    <w:rsid w:val="002D58B8"/>
    <w:rsid w:val="002D58E6"/>
    <w:rsid w:val="002D58E7"/>
    <w:rsid w:val="002D5903"/>
    <w:rsid w:val="002D5919"/>
    <w:rsid w:val="002D5928"/>
    <w:rsid w:val="002D5931"/>
    <w:rsid w:val="002D59AD"/>
    <w:rsid w:val="002D5A23"/>
    <w:rsid w:val="002D5A6E"/>
    <w:rsid w:val="002D5AA7"/>
    <w:rsid w:val="002D5AB7"/>
    <w:rsid w:val="002D5AE2"/>
    <w:rsid w:val="002D5AED"/>
    <w:rsid w:val="002D5AF5"/>
    <w:rsid w:val="002D5B62"/>
    <w:rsid w:val="002D5B81"/>
    <w:rsid w:val="002D5BD4"/>
    <w:rsid w:val="002D5C1A"/>
    <w:rsid w:val="002D5C27"/>
    <w:rsid w:val="002D5C86"/>
    <w:rsid w:val="002D5CC6"/>
    <w:rsid w:val="002D5CD0"/>
    <w:rsid w:val="002D5CFC"/>
    <w:rsid w:val="002D5D14"/>
    <w:rsid w:val="002D5D5A"/>
    <w:rsid w:val="002D5D5C"/>
    <w:rsid w:val="002D5E04"/>
    <w:rsid w:val="002D5E21"/>
    <w:rsid w:val="002D5E29"/>
    <w:rsid w:val="002D5E4A"/>
    <w:rsid w:val="002D5E65"/>
    <w:rsid w:val="002D5E84"/>
    <w:rsid w:val="002D5E90"/>
    <w:rsid w:val="002D5EA2"/>
    <w:rsid w:val="002D5F27"/>
    <w:rsid w:val="002D5F3E"/>
    <w:rsid w:val="002D5F43"/>
    <w:rsid w:val="002D5F75"/>
    <w:rsid w:val="002D5F7B"/>
    <w:rsid w:val="002D5FB6"/>
    <w:rsid w:val="002D6005"/>
    <w:rsid w:val="002D6029"/>
    <w:rsid w:val="002D603D"/>
    <w:rsid w:val="002D6040"/>
    <w:rsid w:val="002D6045"/>
    <w:rsid w:val="002D6087"/>
    <w:rsid w:val="002D6098"/>
    <w:rsid w:val="002D60AD"/>
    <w:rsid w:val="002D60B9"/>
    <w:rsid w:val="002D60D0"/>
    <w:rsid w:val="002D6112"/>
    <w:rsid w:val="002D615F"/>
    <w:rsid w:val="002D6175"/>
    <w:rsid w:val="002D61A1"/>
    <w:rsid w:val="002D61A2"/>
    <w:rsid w:val="002D61BA"/>
    <w:rsid w:val="002D61BD"/>
    <w:rsid w:val="002D62B2"/>
    <w:rsid w:val="002D62C8"/>
    <w:rsid w:val="002D62E4"/>
    <w:rsid w:val="002D635C"/>
    <w:rsid w:val="002D63BE"/>
    <w:rsid w:val="002D6408"/>
    <w:rsid w:val="002D644E"/>
    <w:rsid w:val="002D645A"/>
    <w:rsid w:val="002D6475"/>
    <w:rsid w:val="002D649A"/>
    <w:rsid w:val="002D64D6"/>
    <w:rsid w:val="002D6507"/>
    <w:rsid w:val="002D650D"/>
    <w:rsid w:val="002D6517"/>
    <w:rsid w:val="002D651E"/>
    <w:rsid w:val="002D6534"/>
    <w:rsid w:val="002D6539"/>
    <w:rsid w:val="002D655B"/>
    <w:rsid w:val="002D6568"/>
    <w:rsid w:val="002D65A4"/>
    <w:rsid w:val="002D65AD"/>
    <w:rsid w:val="002D65CF"/>
    <w:rsid w:val="002D661B"/>
    <w:rsid w:val="002D663C"/>
    <w:rsid w:val="002D6651"/>
    <w:rsid w:val="002D6655"/>
    <w:rsid w:val="002D668B"/>
    <w:rsid w:val="002D6698"/>
    <w:rsid w:val="002D66A5"/>
    <w:rsid w:val="002D66E1"/>
    <w:rsid w:val="002D6715"/>
    <w:rsid w:val="002D676C"/>
    <w:rsid w:val="002D67E6"/>
    <w:rsid w:val="002D6825"/>
    <w:rsid w:val="002D6838"/>
    <w:rsid w:val="002D6879"/>
    <w:rsid w:val="002D692E"/>
    <w:rsid w:val="002D6985"/>
    <w:rsid w:val="002D6988"/>
    <w:rsid w:val="002D6A17"/>
    <w:rsid w:val="002D6A1F"/>
    <w:rsid w:val="002D6A6A"/>
    <w:rsid w:val="002D6AA1"/>
    <w:rsid w:val="002D6AF9"/>
    <w:rsid w:val="002D6B49"/>
    <w:rsid w:val="002D6B51"/>
    <w:rsid w:val="002D6B5A"/>
    <w:rsid w:val="002D6B63"/>
    <w:rsid w:val="002D6B82"/>
    <w:rsid w:val="002D6B84"/>
    <w:rsid w:val="002D6B88"/>
    <w:rsid w:val="002D6BDC"/>
    <w:rsid w:val="002D6BF6"/>
    <w:rsid w:val="002D6C0B"/>
    <w:rsid w:val="002D6C19"/>
    <w:rsid w:val="002D6CAB"/>
    <w:rsid w:val="002D6CBF"/>
    <w:rsid w:val="002D6CCB"/>
    <w:rsid w:val="002D6CFF"/>
    <w:rsid w:val="002D6D12"/>
    <w:rsid w:val="002D6D4D"/>
    <w:rsid w:val="002D6D4F"/>
    <w:rsid w:val="002D6D61"/>
    <w:rsid w:val="002D6D75"/>
    <w:rsid w:val="002D6D86"/>
    <w:rsid w:val="002D6D8A"/>
    <w:rsid w:val="002D6DAE"/>
    <w:rsid w:val="002D6DBE"/>
    <w:rsid w:val="002D6DCA"/>
    <w:rsid w:val="002D6DE5"/>
    <w:rsid w:val="002D6DF2"/>
    <w:rsid w:val="002D6E0B"/>
    <w:rsid w:val="002D6EA8"/>
    <w:rsid w:val="002D6EBF"/>
    <w:rsid w:val="002D6EC3"/>
    <w:rsid w:val="002D6F3B"/>
    <w:rsid w:val="002D6F4A"/>
    <w:rsid w:val="002D6F6B"/>
    <w:rsid w:val="002D6F7B"/>
    <w:rsid w:val="002D6FBF"/>
    <w:rsid w:val="002D6FF1"/>
    <w:rsid w:val="002D6FF5"/>
    <w:rsid w:val="002D7064"/>
    <w:rsid w:val="002D70A0"/>
    <w:rsid w:val="002D70A1"/>
    <w:rsid w:val="002D70C6"/>
    <w:rsid w:val="002D70E8"/>
    <w:rsid w:val="002D7103"/>
    <w:rsid w:val="002D7113"/>
    <w:rsid w:val="002D7120"/>
    <w:rsid w:val="002D7152"/>
    <w:rsid w:val="002D715F"/>
    <w:rsid w:val="002D7164"/>
    <w:rsid w:val="002D7169"/>
    <w:rsid w:val="002D716E"/>
    <w:rsid w:val="002D718A"/>
    <w:rsid w:val="002D71BC"/>
    <w:rsid w:val="002D7227"/>
    <w:rsid w:val="002D722F"/>
    <w:rsid w:val="002D72AA"/>
    <w:rsid w:val="002D72BC"/>
    <w:rsid w:val="002D72D3"/>
    <w:rsid w:val="002D72FD"/>
    <w:rsid w:val="002D7303"/>
    <w:rsid w:val="002D733A"/>
    <w:rsid w:val="002D7342"/>
    <w:rsid w:val="002D7363"/>
    <w:rsid w:val="002D736E"/>
    <w:rsid w:val="002D73A7"/>
    <w:rsid w:val="002D73C5"/>
    <w:rsid w:val="002D73C9"/>
    <w:rsid w:val="002D73EA"/>
    <w:rsid w:val="002D73ED"/>
    <w:rsid w:val="002D7414"/>
    <w:rsid w:val="002D7472"/>
    <w:rsid w:val="002D74B9"/>
    <w:rsid w:val="002D74DC"/>
    <w:rsid w:val="002D74EE"/>
    <w:rsid w:val="002D7548"/>
    <w:rsid w:val="002D754C"/>
    <w:rsid w:val="002D7564"/>
    <w:rsid w:val="002D7572"/>
    <w:rsid w:val="002D75DB"/>
    <w:rsid w:val="002D75E1"/>
    <w:rsid w:val="002D75E4"/>
    <w:rsid w:val="002D7613"/>
    <w:rsid w:val="002D763F"/>
    <w:rsid w:val="002D764F"/>
    <w:rsid w:val="002D765F"/>
    <w:rsid w:val="002D767A"/>
    <w:rsid w:val="002D7693"/>
    <w:rsid w:val="002D76BF"/>
    <w:rsid w:val="002D76F7"/>
    <w:rsid w:val="002D7702"/>
    <w:rsid w:val="002D774B"/>
    <w:rsid w:val="002D77B2"/>
    <w:rsid w:val="002D77CB"/>
    <w:rsid w:val="002D77D0"/>
    <w:rsid w:val="002D77DF"/>
    <w:rsid w:val="002D780B"/>
    <w:rsid w:val="002D785A"/>
    <w:rsid w:val="002D789F"/>
    <w:rsid w:val="002D78B7"/>
    <w:rsid w:val="002D78F6"/>
    <w:rsid w:val="002D7916"/>
    <w:rsid w:val="002D7926"/>
    <w:rsid w:val="002D797F"/>
    <w:rsid w:val="002D7991"/>
    <w:rsid w:val="002D79B3"/>
    <w:rsid w:val="002D79B5"/>
    <w:rsid w:val="002D79C6"/>
    <w:rsid w:val="002D79CD"/>
    <w:rsid w:val="002D79D0"/>
    <w:rsid w:val="002D79D2"/>
    <w:rsid w:val="002D7A18"/>
    <w:rsid w:val="002D7A1A"/>
    <w:rsid w:val="002D7A22"/>
    <w:rsid w:val="002D7A59"/>
    <w:rsid w:val="002D7A5C"/>
    <w:rsid w:val="002D7A9E"/>
    <w:rsid w:val="002D7AFC"/>
    <w:rsid w:val="002D7AFD"/>
    <w:rsid w:val="002D7B11"/>
    <w:rsid w:val="002D7B29"/>
    <w:rsid w:val="002D7B71"/>
    <w:rsid w:val="002D7B75"/>
    <w:rsid w:val="002D7B84"/>
    <w:rsid w:val="002D7BA7"/>
    <w:rsid w:val="002D7BA9"/>
    <w:rsid w:val="002D7BBD"/>
    <w:rsid w:val="002D7BD6"/>
    <w:rsid w:val="002D7C31"/>
    <w:rsid w:val="002D7C53"/>
    <w:rsid w:val="002D7C57"/>
    <w:rsid w:val="002D7C60"/>
    <w:rsid w:val="002D7C69"/>
    <w:rsid w:val="002D7CE0"/>
    <w:rsid w:val="002D7DF6"/>
    <w:rsid w:val="002D7DF7"/>
    <w:rsid w:val="002D7E1E"/>
    <w:rsid w:val="002D7E33"/>
    <w:rsid w:val="002D7E59"/>
    <w:rsid w:val="002D7E90"/>
    <w:rsid w:val="002D7EC2"/>
    <w:rsid w:val="002D7ED9"/>
    <w:rsid w:val="002D7EFB"/>
    <w:rsid w:val="002D7F02"/>
    <w:rsid w:val="002D7F2F"/>
    <w:rsid w:val="002D7F30"/>
    <w:rsid w:val="002D7F5A"/>
    <w:rsid w:val="002D7F83"/>
    <w:rsid w:val="002E00DD"/>
    <w:rsid w:val="002E00EC"/>
    <w:rsid w:val="002E011D"/>
    <w:rsid w:val="002E01B2"/>
    <w:rsid w:val="002E01D1"/>
    <w:rsid w:val="002E01DE"/>
    <w:rsid w:val="002E01E3"/>
    <w:rsid w:val="002E01FE"/>
    <w:rsid w:val="002E0256"/>
    <w:rsid w:val="002E0267"/>
    <w:rsid w:val="002E0290"/>
    <w:rsid w:val="002E02D4"/>
    <w:rsid w:val="002E036E"/>
    <w:rsid w:val="002E03A2"/>
    <w:rsid w:val="002E03FE"/>
    <w:rsid w:val="002E0452"/>
    <w:rsid w:val="002E0455"/>
    <w:rsid w:val="002E0484"/>
    <w:rsid w:val="002E0492"/>
    <w:rsid w:val="002E04BB"/>
    <w:rsid w:val="002E0514"/>
    <w:rsid w:val="002E0548"/>
    <w:rsid w:val="002E0568"/>
    <w:rsid w:val="002E059E"/>
    <w:rsid w:val="002E05E3"/>
    <w:rsid w:val="002E062B"/>
    <w:rsid w:val="002E066B"/>
    <w:rsid w:val="002E0692"/>
    <w:rsid w:val="002E06C8"/>
    <w:rsid w:val="002E0719"/>
    <w:rsid w:val="002E0726"/>
    <w:rsid w:val="002E0770"/>
    <w:rsid w:val="002E078E"/>
    <w:rsid w:val="002E07B8"/>
    <w:rsid w:val="002E07DE"/>
    <w:rsid w:val="002E081A"/>
    <w:rsid w:val="002E0824"/>
    <w:rsid w:val="002E0826"/>
    <w:rsid w:val="002E0837"/>
    <w:rsid w:val="002E086C"/>
    <w:rsid w:val="002E0870"/>
    <w:rsid w:val="002E08B0"/>
    <w:rsid w:val="002E08E7"/>
    <w:rsid w:val="002E0906"/>
    <w:rsid w:val="002E090C"/>
    <w:rsid w:val="002E093D"/>
    <w:rsid w:val="002E0945"/>
    <w:rsid w:val="002E094D"/>
    <w:rsid w:val="002E0959"/>
    <w:rsid w:val="002E099A"/>
    <w:rsid w:val="002E09D0"/>
    <w:rsid w:val="002E09D8"/>
    <w:rsid w:val="002E09D9"/>
    <w:rsid w:val="002E09E1"/>
    <w:rsid w:val="002E0A04"/>
    <w:rsid w:val="002E0ACE"/>
    <w:rsid w:val="002E0AD7"/>
    <w:rsid w:val="002E0AD9"/>
    <w:rsid w:val="002E0B04"/>
    <w:rsid w:val="002E0B84"/>
    <w:rsid w:val="002E0B88"/>
    <w:rsid w:val="002E0B8C"/>
    <w:rsid w:val="002E0BAF"/>
    <w:rsid w:val="002E0BCD"/>
    <w:rsid w:val="002E0BE9"/>
    <w:rsid w:val="002E0BF9"/>
    <w:rsid w:val="002E0BFA"/>
    <w:rsid w:val="002E0C18"/>
    <w:rsid w:val="002E0C4C"/>
    <w:rsid w:val="002E0C88"/>
    <w:rsid w:val="002E0CB5"/>
    <w:rsid w:val="002E0CF2"/>
    <w:rsid w:val="002E0D19"/>
    <w:rsid w:val="002E0D84"/>
    <w:rsid w:val="002E0D97"/>
    <w:rsid w:val="002E0DE5"/>
    <w:rsid w:val="002E0DEB"/>
    <w:rsid w:val="002E0E38"/>
    <w:rsid w:val="002E0E6D"/>
    <w:rsid w:val="002E0F44"/>
    <w:rsid w:val="002E0F83"/>
    <w:rsid w:val="002E0FD1"/>
    <w:rsid w:val="002E0FDC"/>
    <w:rsid w:val="002E0FF7"/>
    <w:rsid w:val="002E0FF8"/>
    <w:rsid w:val="002E102F"/>
    <w:rsid w:val="002E10A4"/>
    <w:rsid w:val="002E10B2"/>
    <w:rsid w:val="002E10CC"/>
    <w:rsid w:val="002E10E8"/>
    <w:rsid w:val="002E10EA"/>
    <w:rsid w:val="002E111F"/>
    <w:rsid w:val="002E112C"/>
    <w:rsid w:val="002E1133"/>
    <w:rsid w:val="002E1148"/>
    <w:rsid w:val="002E115D"/>
    <w:rsid w:val="002E1197"/>
    <w:rsid w:val="002E11EC"/>
    <w:rsid w:val="002E11FA"/>
    <w:rsid w:val="002E1201"/>
    <w:rsid w:val="002E1231"/>
    <w:rsid w:val="002E1244"/>
    <w:rsid w:val="002E1263"/>
    <w:rsid w:val="002E1281"/>
    <w:rsid w:val="002E1287"/>
    <w:rsid w:val="002E12AB"/>
    <w:rsid w:val="002E12C2"/>
    <w:rsid w:val="002E1322"/>
    <w:rsid w:val="002E132D"/>
    <w:rsid w:val="002E133B"/>
    <w:rsid w:val="002E137E"/>
    <w:rsid w:val="002E13A3"/>
    <w:rsid w:val="002E13B8"/>
    <w:rsid w:val="002E13DE"/>
    <w:rsid w:val="002E13F8"/>
    <w:rsid w:val="002E1400"/>
    <w:rsid w:val="002E1414"/>
    <w:rsid w:val="002E1420"/>
    <w:rsid w:val="002E1456"/>
    <w:rsid w:val="002E1458"/>
    <w:rsid w:val="002E1473"/>
    <w:rsid w:val="002E14F1"/>
    <w:rsid w:val="002E1554"/>
    <w:rsid w:val="002E15B4"/>
    <w:rsid w:val="002E15D1"/>
    <w:rsid w:val="002E15D5"/>
    <w:rsid w:val="002E15EB"/>
    <w:rsid w:val="002E15EE"/>
    <w:rsid w:val="002E160E"/>
    <w:rsid w:val="002E1621"/>
    <w:rsid w:val="002E1624"/>
    <w:rsid w:val="002E165F"/>
    <w:rsid w:val="002E166E"/>
    <w:rsid w:val="002E1691"/>
    <w:rsid w:val="002E16A9"/>
    <w:rsid w:val="002E16D6"/>
    <w:rsid w:val="002E1718"/>
    <w:rsid w:val="002E171D"/>
    <w:rsid w:val="002E1723"/>
    <w:rsid w:val="002E1731"/>
    <w:rsid w:val="002E174C"/>
    <w:rsid w:val="002E174F"/>
    <w:rsid w:val="002E1779"/>
    <w:rsid w:val="002E1794"/>
    <w:rsid w:val="002E17B7"/>
    <w:rsid w:val="002E17CE"/>
    <w:rsid w:val="002E17E2"/>
    <w:rsid w:val="002E17EB"/>
    <w:rsid w:val="002E1818"/>
    <w:rsid w:val="002E1834"/>
    <w:rsid w:val="002E185A"/>
    <w:rsid w:val="002E18A0"/>
    <w:rsid w:val="002E18C1"/>
    <w:rsid w:val="002E18F0"/>
    <w:rsid w:val="002E18F8"/>
    <w:rsid w:val="002E18FB"/>
    <w:rsid w:val="002E1901"/>
    <w:rsid w:val="002E192D"/>
    <w:rsid w:val="002E1993"/>
    <w:rsid w:val="002E1998"/>
    <w:rsid w:val="002E199A"/>
    <w:rsid w:val="002E19AD"/>
    <w:rsid w:val="002E19C9"/>
    <w:rsid w:val="002E19FF"/>
    <w:rsid w:val="002E1A03"/>
    <w:rsid w:val="002E1A14"/>
    <w:rsid w:val="002E1A18"/>
    <w:rsid w:val="002E1A4F"/>
    <w:rsid w:val="002E1A5E"/>
    <w:rsid w:val="002E1A6B"/>
    <w:rsid w:val="002E1B00"/>
    <w:rsid w:val="002E1B9F"/>
    <w:rsid w:val="002E1BC0"/>
    <w:rsid w:val="002E1C35"/>
    <w:rsid w:val="002E1C5C"/>
    <w:rsid w:val="002E1CC0"/>
    <w:rsid w:val="002E1CC8"/>
    <w:rsid w:val="002E1CDE"/>
    <w:rsid w:val="002E1CE6"/>
    <w:rsid w:val="002E1D0A"/>
    <w:rsid w:val="002E1D4D"/>
    <w:rsid w:val="002E1D62"/>
    <w:rsid w:val="002E1D6A"/>
    <w:rsid w:val="002E1D84"/>
    <w:rsid w:val="002E1D9D"/>
    <w:rsid w:val="002E1DC6"/>
    <w:rsid w:val="002E1DCF"/>
    <w:rsid w:val="002E1DD4"/>
    <w:rsid w:val="002E1DF0"/>
    <w:rsid w:val="002E1E66"/>
    <w:rsid w:val="002E1E70"/>
    <w:rsid w:val="002E1E95"/>
    <w:rsid w:val="002E1F00"/>
    <w:rsid w:val="002E1F2B"/>
    <w:rsid w:val="002E1F48"/>
    <w:rsid w:val="002E1FAB"/>
    <w:rsid w:val="002E2071"/>
    <w:rsid w:val="002E20A0"/>
    <w:rsid w:val="002E20B4"/>
    <w:rsid w:val="002E20B9"/>
    <w:rsid w:val="002E20FF"/>
    <w:rsid w:val="002E212D"/>
    <w:rsid w:val="002E2157"/>
    <w:rsid w:val="002E21A6"/>
    <w:rsid w:val="002E21C8"/>
    <w:rsid w:val="002E225D"/>
    <w:rsid w:val="002E225F"/>
    <w:rsid w:val="002E227A"/>
    <w:rsid w:val="002E22EA"/>
    <w:rsid w:val="002E22EF"/>
    <w:rsid w:val="002E22F0"/>
    <w:rsid w:val="002E232F"/>
    <w:rsid w:val="002E2359"/>
    <w:rsid w:val="002E237C"/>
    <w:rsid w:val="002E2383"/>
    <w:rsid w:val="002E240E"/>
    <w:rsid w:val="002E2418"/>
    <w:rsid w:val="002E241E"/>
    <w:rsid w:val="002E2464"/>
    <w:rsid w:val="002E246E"/>
    <w:rsid w:val="002E2475"/>
    <w:rsid w:val="002E247D"/>
    <w:rsid w:val="002E24C0"/>
    <w:rsid w:val="002E24D1"/>
    <w:rsid w:val="002E24EB"/>
    <w:rsid w:val="002E24F4"/>
    <w:rsid w:val="002E24FD"/>
    <w:rsid w:val="002E2517"/>
    <w:rsid w:val="002E2539"/>
    <w:rsid w:val="002E2546"/>
    <w:rsid w:val="002E254B"/>
    <w:rsid w:val="002E256F"/>
    <w:rsid w:val="002E25C8"/>
    <w:rsid w:val="002E25DC"/>
    <w:rsid w:val="002E25EB"/>
    <w:rsid w:val="002E2612"/>
    <w:rsid w:val="002E2617"/>
    <w:rsid w:val="002E263E"/>
    <w:rsid w:val="002E26A6"/>
    <w:rsid w:val="002E26BE"/>
    <w:rsid w:val="002E26F8"/>
    <w:rsid w:val="002E2749"/>
    <w:rsid w:val="002E2777"/>
    <w:rsid w:val="002E2808"/>
    <w:rsid w:val="002E280C"/>
    <w:rsid w:val="002E2818"/>
    <w:rsid w:val="002E286B"/>
    <w:rsid w:val="002E28B7"/>
    <w:rsid w:val="002E28B8"/>
    <w:rsid w:val="002E28DA"/>
    <w:rsid w:val="002E28F5"/>
    <w:rsid w:val="002E2903"/>
    <w:rsid w:val="002E294E"/>
    <w:rsid w:val="002E295B"/>
    <w:rsid w:val="002E29AA"/>
    <w:rsid w:val="002E29AF"/>
    <w:rsid w:val="002E29EB"/>
    <w:rsid w:val="002E2A19"/>
    <w:rsid w:val="002E2A48"/>
    <w:rsid w:val="002E2A4E"/>
    <w:rsid w:val="002E2AB8"/>
    <w:rsid w:val="002E2B7A"/>
    <w:rsid w:val="002E2BDC"/>
    <w:rsid w:val="002E2BEE"/>
    <w:rsid w:val="002E2C11"/>
    <w:rsid w:val="002E2C14"/>
    <w:rsid w:val="002E2C39"/>
    <w:rsid w:val="002E2C8E"/>
    <w:rsid w:val="002E2CAC"/>
    <w:rsid w:val="002E2CB2"/>
    <w:rsid w:val="002E2CCD"/>
    <w:rsid w:val="002E2CD2"/>
    <w:rsid w:val="002E2CD4"/>
    <w:rsid w:val="002E2CE0"/>
    <w:rsid w:val="002E2D02"/>
    <w:rsid w:val="002E2D0D"/>
    <w:rsid w:val="002E2D1A"/>
    <w:rsid w:val="002E2D26"/>
    <w:rsid w:val="002E2D71"/>
    <w:rsid w:val="002E2D7F"/>
    <w:rsid w:val="002E2D89"/>
    <w:rsid w:val="002E2DB8"/>
    <w:rsid w:val="002E2DE1"/>
    <w:rsid w:val="002E2E2D"/>
    <w:rsid w:val="002E2E2E"/>
    <w:rsid w:val="002E2E62"/>
    <w:rsid w:val="002E2E83"/>
    <w:rsid w:val="002E2EA5"/>
    <w:rsid w:val="002E2EB4"/>
    <w:rsid w:val="002E2EB5"/>
    <w:rsid w:val="002E2EF1"/>
    <w:rsid w:val="002E2F1C"/>
    <w:rsid w:val="002E2F1D"/>
    <w:rsid w:val="002E2F42"/>
    <w:rsid w:val="002E2F8D"/>
    <w:rsid w:val="002E2FEA"/>
    <w:rsid w:val="002E2FF9"/>
    <w:rsid w:val="002E2FFA"/>
    <w:rsid w:val="002E301B"/>
    <w:rsid w:val="002E308C"/>
    <w:rsid w:val="002E3092"/>
    <w:rsid w:val="002E30A8"/>
    <w:rsid w:val="002E30BA"/>
    <w:rsid w:val="002E30BD"/>
    <w:rsid w:val="002E30C9"/>
    <w:rsid w:val="002E30F9"/>
    <w:rsid w:val="002E310A"/>
    <w:rsid w:val="002E3156"/>
    <w:rsid w:val="002E315F"/>
    <w:rsid w:val="002E319B"/>
    <w:rsid w:val="002E31B8"/>
    <w:rsid w:val="002E31D8"/>
    <w:rsid w:val="002E3212"/>
    <w:rsid w:val="002E3228"/>
    <w:rsid w:val="002E3240"/>
    <w:rsid w:val="002E327C"/>
    <w:rsid w:val="002E3283"/>
    <w:rsid w:val="002E32A9"/>
    <w:rsid w:val="002E32E6"/>
    <w:rsid w:val="002E3381"/>
    <w:rsid w:val="002E33A5"/>
    <w:rsid w:val="002E33E8"/>
    <w:rsid w:val="002E345E"/>
    <w:rsid w:val="002E3465"/>
    <w:rsid w:val="002E348B"/>
    <w:rsid w:val="002E34A5"/>
    <w:rsid w:val="002E34C3"/>
    <w:rsid w:val="002E3579"/>
    <w:rsid w:val="002E35B1"/>
    <w:rsid w:val="002E35B6"/>
    <w:rsid w:val="002E3625"/>
    <w:rsid w:val="002E3630"/>
    <w:rsid w:val="002E3644"/>
    <w:rsid w:val="002E36B5"/>
    <w:rsid w:val="002E36BC"/>
    <w:rsid w:val="002E36D6"/>
    <w:rsid w:val="002E372D"/>
    <w:rsid w:val="002E3743"/>
    <w:rsid w:val="002E3749"/>
    <w:rsid w:val="002E3767"/>
    <w:rsid w:val="002E37D9"/>
    <w:rsid w:val="002E37EE"/>
    <w:rsid w:val="002E3800"/>
    <w:rsid w:val="002E3806"/>
    <w:rsid w:val="002E380E"/>
    <w:rsid w:val="002E3837"/>
    <w:rsid w:val="002E3846"/>
    <w:rsid w:val="002E384A"/>
    <w:rsid w:val="002E3852"/>
    <w:rsid w:val="002E387B"/>
    <w:rsid w:val="002E3885"/>
    <w:rsid w:val="002E38E8"/>
    <w:rsid w:val="002E3938"/>
    <w:rsid w:val="002E397E"/>
    <w:rsid w:val="002E39AE"/>
    <w:rsid w:val="002E39C7"/>
    <w:rsid w:val="002E39C8"/>
    <w:rsid w:val="002E39D3"/>
    <w:rsid w:val="002E39F3"/>
    <w:rsid w:val="002E3A7F"/>
    <w:rsid w:val="002E3AC5"/>
    <w:rsid w:val="002E3AD9"/>
    <w:rsid w:val="002E3AFC"/>
    <w:rsid w:val="002E3B2C"/>
    <w:rsid w:val="002E3B3A"/>
    <w:rsid w:val="002E3B47"/>
    <w:rsid w:val="002E3B6A"/>
    <w:rsid w:val="002E3B7E"/>
    <w:rsid w:val="002E3BF1"/>
    <w:rsid w:val="002E3C00"/>
    <w:rsid w:val="002E3C1C"/>
    <w:rsid w:val="002E3C97"/>
    <w:rsid w:val="002E3CDB"/>
    <w:rsid w:val="002E3CF7"/>
    <w:rsid w:val="002E3D48"/>
    <w:rsid w:val="002E3D62"/>
    <w:rsid w:val="002E3D6F"/>
    <w:rsid w:val="002E3D7E"/>
    <w:rsid w:val="002E3D8F"/>
    <w:rsid w:val="002E3D9C"/>
    <w:rsid w:val="002E3DE0"/>
    <w:rsid w:val="002E3DEA"/>
    <w:rsid w:val="002E3E9E"/>
    <w:rsid w:val="002E3EC6"/>
    <w:rsid w:val="002E3ED7"/>
    <w:rsid w:val="002E3EF7"/>
    <w:rsid w:val="002E3EFA"/>
    <w:rsid w:val="002E3F12"/>
    <w:rsid w:val="002E3F43"/>
    <w:rsid w:val="002E3F55"/>
    <w:rsid w:val="002E3F81"/>
    <w:rsid w:val="002E3F89"/>
    <w:rsid w:val="002E3FB2"/>
    <w:rsid w:val="002E3FCB"/>
    <w:rsid w:val="002E3FD5"/>
    <w:rsid w:val="002E3FEC"/>
    <w:rsid w:val="002E4087"/>
    <w:rsid w:val="002E40EB"/>
    <w:rsid w:val="002E413E"/>
    <w:rsid w:val="002E4179"/>
    <w:rsid w:val="002E420F"/>
    <w:rsid w:val="002E4237"/>
    <w:rsid w:val="002E4238"/>
    <w:rsid w:val="002E4257"/>
    <w:rsid w:val="002E4258"/>
    <w:rsid w:val="002E4279"/>
    <w:rsid w:val="002E4288"/>
    <w:rsid w:val="002E4298"/>
    <w:rsid w:val="002E42B9"/>
    <w:rsid w:val="002E42BB"/>
    <w:rsid w:val="002E42EA"/>
    <w:rsid w:val="002E4324"/>
    <w:rsid w:val="002E434B"/>
    <w:rsid w:val="002E438F"/>
    <w:rsid w:val="002E4398"/>
    <w:rsid w:val="002E43A4"/>
    <w:rsid w:val="002E43D6"/>
    <w:rsid w:val="002E43EE"/>
    <w:rsid w:val="002E4439"/>
    <w:rsid w:val="002E4471"/>
    <w:rsid w:val="002E447C"/>
    <w:rsid w:val="002E44F0"/>
    <w:rsid w:val="002E4510"/>
    <w:rsid w:val="002E45B4"/>
    <w:rsid w:val="002E45E0"/>
    <w:rsid w:val="002E45F8"/>
    <w:rsid w:val="002E4678"/>
    <w:rsid w:val="002E468D"/>
    <w:rsid w:val="002E468E"/>
    <w:rsid w:val="002E4696"/>
    <w:rsid w:val="002E46B9"/>
    <w:rsid w:val="002E46FE"/>
    <w:rsid w:val="002E4736"/>
    <w:rsid w:val="002E47C6"/>
    <w:rsid w:val="002E47D5"/>
    <w:rsid w:val="002E4823"/>
    <w:rsid w:val="002E482E"/>
    <w:rsid w:val="002E483C"/>
    <w:rsid w:val="002E48BB"/>
    <w:rsid w:val="002E491B"/>
    <w:rsid w:val="002E491F"/>
    <w:rsid w:val="002E493C"/>
    <w:rsid w:val="002E493F"/>
    <w:rsid w:val="002E494A"/>
    <w:rsid w:val="002E4957"/>
    <w:rsid w:val="002E495D"/>
    <w:rsid w:val="002E496D"/>
    <w:rsid w:val="002E4A40"/>
    <w:rsid w:val="002E4A97"/>
    <w:rsid w:val="002E4AC2"/>
    <w:rsid w:val="002E4AC8"/>
    <w:rsid w:val="002E4B00"/>
    <w:rsid w:val="002E4B36"/>
    <w:rsid w:val="002E4BAE"/>
    <w:rsid w:val="002E4BB1"/>
    <w:rsid w:val="002E4BFA"/>
    <w:rsid w:val="002E4C11"/>
    <w:rsid w:val="002E4C29"/>
    <w:rsid w:val="002E4C3B"/>
    <w:rsid w:val="002E4C46"/>
    <w:rsid w:val="002E4CD8"/>
    <w:rsid w:val="002E4CFE"/>
    <w:rsid w:val="002E4D2C"/>
    <w:rsid w:val="002E4D44"/>
    <w:rsid w:val="002E4DAE"/>
    <w:rsid w:val="002E4DD1"/>
    <w:rsid w:val="002E4DFA"/>
    <w:rsid w:val="002E4E39"/>
    <w:rsid w:val="002E4E4B"/>
    <w:rsid w:val="002E4E88"/>
    <w:rsid w:val="002E4EBD"/>
    <w:rsid w:val="002E4F05"/>
    <w:rsid w:val="002E4F3A"/>
    <w:rsid w:val="002E4F57"/>
    <w:rsid w:val="002E4F5B"/>
    <w:rsid w:val="002E4F63"/>
    <w:rsid w:val="002E4F81"/>
    <w:rsid w:val="002E4FA9"/>
    <w:rsid w:val="002E4FB7"/>
    <w:rsid w:val="002E500E"/>
    <w:rsid w:val="002E5022"/>
    <w:rsid w:val="002E502C"/>
    <w:rsid w:val="002E5063"/>
    <w:rsid w:val="002E5074"/>
    <w:rsid w:val="002E5075"/>
    <w:rsid w:val="002E5077"/>
    <w:rsid w:val="002E50CB"/>
    <w:rsid w:val="002E5128"/>
    <w:rsid w:val="002E5142"/>
    <w:rsid w:val="002E514B"/>
    <w:rsid w:val="002E517C"/>
    <w:rsid w:val="002E51B5"/>
    <w:rsid w:val="002E51D0"/>
    <w:rsid w:val="002E51FC"/>
    <w:rsid w:val="002E51FE"/>
    <w:rsid w:val="002E5243"/>
    <w:rsid w:val="002E5321"/>
    <w:rsid w:val="002E5323"/>
    <w:rsid w:val="002E532C"/>
    <w:rsid w:val="002E5355"/>
    <w:rsid w:val="002E538E"/>
    <w:rsid w:val="002E53B2"/>
    <w:rsid w:val="002E53D9"/>
    <w:rsid w:val="002E540C"/>
    <w:rsid w:val="002E541E"/>
    <w:rsid w:val="002E542E"/>
    <w:rsid w:val="002E542F"/>
    <w:rsid w:val="002E543B"/>
    <w:rsid w:val="002E54BB"/>
    <w:rsid w:val="002E54F9"/>
    <w:rsid w:val="002E554C"/>
    <w:rsid w:val="002E5577"/>
    <w:rsid w:val="002E557B"/>
    <w:rsid w:val="002E55A5"/>
    <w:rsid w:val="002E55A9"/>
    <w:rsid w:val="002E55BF"/>
    <w:rsid w:val="002E55D5"/>
    <w:rsid w:val="002E55E3"/>
    <w:rsid w:val="002E55E5"/>
    <w:rsid w:val="002E5616"/>
    <w:rsid w:val="002E5617"/>
    <w:rsid w:val="002E565A"/>
    <w:rsid w:val="002E56C7"/>
    <w:rsid w:val="002E56D0"/>
    <w:rsid w:val="002E5702"/>
    <w:rsid w:val="002E5704"/>
    <w:rsid w:val="002E5727"/>
    <w:rsid w:val="002E5736"/>
    <w:rsid w:val="002E5752"/>
    <w:rsid w:val="002E576E"/>
    <w:rsid w:val="002E57AC"/>
    <w:rsid w:val="002E57F4"/>
    <w:rsid w:val="002E580E"/>
    <w:rsid w:val="002E5966"/>
    <w:rsid w:val="002E59D8"/>
    <w:rsid w:val="002E5A05"/>
    <w:rsid w:val="002E5A32"/>
    <w:rsid w:val="002E5A33"/>
    <w:rsid w:val="002E5A4F"/>
    <w:rsid w:val="002E5AB0"/>
    <w:rsid w:val="002E5AB8"/>
    <w:rsid w:val="002E5AC6"/>
    <w:rsid w:val="002E5B33"/>
    <w:rsid w:val="002E5B5F"/>
    <w:rsid w:val="002E5B76"/>
    <w:rsid w:val="002E5B7B"/>
    <w:rsid w:val="002E5BC0"/>
    <w:rsid w:val="002E5BD0"/>
    <w:rsid w:val="002E5C0C"/>
    <w:rsid w:val="002E5C43"/>
    <w:rsid w:val="002E5C46"/>
    <w:rsid w:val="002E5C58"/>
    <w:rsid w:val="002E5C66"/>
    <w:rsid w:val="002E5C80"/>
    <w:rsid w:val="002E5D0C"/>
    <w:rsid w:val="002E5D33"/>
    <w:rsid w:val="002E5D42"/>
    <w:rsid w:val="002E5D6C"/>
    <w:rsid w:val="002E5D81"/>
    <w:rsid w:val="002E5DA2"/>
    <w:rsid w:val="002E5E43"/>
    <w:rsid w:val="002E5E46"/>
    <w:rsid w:val="002E5E84"/>
    <w:rsid w:val="002E5E8D"/>
    <w:rsid w:val="002E5F2A"/>
    <w:rsid w:val="002E5F35"/>
    <w:rsid w:val="002E5F52"/>
    <w:rsid w:val="002E5F6C"/>
    <w:rsid w:val="002E5F6E"/>
    <w:rsid w:val="002E5F85"/>
    <w:rsid w:val="002E5F8D"/>
    <w:rsid w:val="002E5FA4"/>
    <w:rsid w:val="002E5FBE"/>
    <w:rsid w:val="002E5FC7"/>
    <w:rsid w:val="002E5FF2"/>
    <w:rsid w:val="002E6014"/>
    <w:rsid w:val="002E6075"/>
    <w:rsid w:val="002E6082"/>
    <w:rsid w:val="002E6089"/>
    <w:rsid w:val="002E60D7"/>
    <w:rsid w:val="002E6150"/>
    <w:rsid w:val="002E617F"/>
    <w:rsid w:val="002E6190"/>
    <w:rsid w:val="002E6193"/>
    <w:rsid w:val="002E61BA"/>
    <w:rsid w:val="002E61D1"/>
    <w:rsid w:val="002E6200"/>
    <w:rsid w:val="002E6215"/>
    <w:rsid w:val="002E6237"/>
    <w:rsid w:val="002E6242"/>
    <w:rsid w:val="002E626C"/>
    <w:rsid w:val="002E6272"/>
    <w:rsid w:val="002E6286"/>
    <w:rsid w:val="002E62AC"/>
    <w:rsid w:val="002E62EA"/>
    <w:rsid w:val="002E62EE"/>
    <w:rsid w:val="002E632C"/>
    <w:rsid w:val="002E636B"/>
    <w:rsid w:val="002E63B3"/>
    <w:rsid w:val="002E63BC"/>
    <w:rsid w:val="002E641C"/>
    <w:rsid w:val="002E643C"/>
    <w:rsid w:val="002E6457"/>
    <w:rsid w:val="002E64A0"/>
    <w:rsid w:val="002E64B1"/>
    <w:rsid w:val="002E650A"/>
    <w:rsid w:val="002E6530"/>
    <w:rsid w:val="002E6559"/>
    <w:rsid w:val="002E6584"/>
    <w:rsid w:val="002E6597"/>
    <w:rsid w:val="002E65C4"/>
    <w:rsid w:val="002E65C5"/>
    <w:rsid w:val="002E65F7"/>
    <w:rsid w:val="002E6621"/>
    <w:rsid w:val="002E6651"/>
    <w:rsid w:val="002E6665"/>
    <w:rsid w:val="002E666E"/>
    <w:rsid w:val="002E66DE"/>
    <w:rsid w:val="002E66F0"/>
    <w:rsid w:val="002E670E"/>
    <w:rsid w:val="002E6740"/>
    <w:rsid w:val="002E6753"/>
    <w:rsid w:val="002E6772"/>
    <w:rsid w:val="002E67D6"/>
    <w:rsid w:val="002E6816"/>
    <w:rsid w:val="002E6822"/>
    <w:rsid w:val="002E682F"/>
    <w:rsid w:val="002E683E"/>
    <w:rsid w:val="002E6848"/>
    <w:rsid w:val="002E685B"/>
    <w:rsid w:val="002E68C6"/>
    <w:rsid w:val="002E68F4"/>
    <w:rsid w:val="002E691A"/>
    <w:rsid w:val="002E694C"/>
    <w:rsid w:val="002E6966"/>
    <w:rsid w:val="002E6977"/>
    <w:rsid w:val="002E6995"/>
    <w:rsid w:val="002E69C4"/>
    <w:rsid w:val="002E6A07"/>
    <w:rsid w:val="002E6A0B"/>
    <w:rsid w:val="002E6A15"/>
    <w:rsid w:val="002E6A9A"/>
    <w:rsid w:val="002E6AE0"/>
    <w:rsid w:val="002E6AF4"/>
    <w:rsid w:val="002E6B2F"/>
    <w:rsid w:val="002E6B5D"/>
    <w:rsid w:val="002E6B69"/>
    <w:rsid w:val="002E6B71"/>
    <w:rsid w:val="002E6B77"/>
    <w:rsid w:val="002E6C11"/>
    <w:rsid w:val="002E6C41"/>
    <w:rsid w:val="002E6C8C"/>
    <w:rsid w:val="002E6C99"/>
    <w:rsid w:val="002E6CE2"/>
    <w:rsid w:val="002E6D19"/>
    <w:rsid w:val="002E6D2E"/>
    <w:rsid w:val="002E6D4B"/>
    <w:rsid w:val="002E6D4E"/>
    <w:rsid w:val="002E6D50"/>
    <w:rsid w:val="002E6DA1"/>
    <w:rsid w:val="002E6DB2"/>
    <w:rsid w:val="002E6DD5"/>
    <w:rsid w:val="002E6E12"/>
    <w:rsid w:val="002E6E6E"/>
    <w:rsid w:val="002E6E90"/>
    <w:rsid w:val="002E6EA8"/>
    <w:rsid w:val="002E6F32"/>
    <w:rsid w:val="002E6F43"/>
    <w:rsid w:val="002E6F55"/>
    <w:rsid w:val="002E6FD3"/>
    <w:rsid w:val="002E6FE1"/>
    <w:rsid w:val="002E6FF0"/>
    <w:rsid w:val="002E6FF1"/>
    <w:rsid w:val="002E7020"/>
    <w:rsid w:val="002E702B"/>
    <w:rsid w:val="002E7096"/>
    <w:rsid w:val="002E70B8"/>
    <w:rsid w:val="002E70C9"/>
    <w:rsid w:val="002E7103"/>
    <w:rsid w:val="002E712E"/>
    <w:rsid w:val="002E7133"/>
    <w:rsid w:val="002E71D5"/>
    <w:rsid w:val="002E71D8"/>
    <w:rsid w:val="002E7208"/>
    <w:rsid w:val="002E7209"/>
    <w:rsid w:val="002E720A"/>
    <w:rsid w:val="002E7294"/>
    <w:rsid w:val="002E72A4"/>
    <w:rsid w:val="002E72C1"/>
    <w:rsid w:val="002E72D0"/>
    <w:rsid w:val="002E72FA"/>
    <w:rsid w:val="002E731C"/>
    <w:rsid w:val="002E7341"/>
    <w:rsid w:val="002E736C"/>
    <w:rsid w:val="002E73F1"/>
    <w:rsid w:val="002E7421"/>
    <w:rsid w:val="002E742E"/>
    <w:rsid w:val="002E7434"/>
    <w:rsid w:val="002E743F"/>
    <w:rsid w:val="002E7470"/>
    <w:rsid w:val="002E747B"/>
    <w:rsid w:val="002E748F"/>
    <w:rsid w:val="002E7517"/>
    <w:rsid w:val="002E7520"/>
    <w:rsid w:val="002E7562"/>
    <w:rsid w:val="002E7583"/>
    <w:rsid w:val="002E75B9"/>
    <w:rsid w:val="002E75BB"/>
    <w:rsid w:val="002E75C2"/>
    <w:rsid w:val="002E75C9"/>
    <w:rsid w:val="002E75E0"/>
    <w:rsid w:val="002E7607"/>
    <w:rsid w:val="002E7646"/>
    <w:rsid w:val="002E765B"/>
    <w:rsid w:val="002E767B"/>
    <w:rsid w:val="002E767E"/>
    <w:rsid w:val="002E76B9"/>
    <w:rsid w:val="002E77DE"/>
    <w:rsid w:val="002E77F4"/>
    <w:rsid w:val="002E781E"/>
    <w:rsid w:val="002E782D"/>
    <w:rsid w:val="002E7874"/>
    <w:rsid w:val="002E78A5"/>
    <w:rsid w:val="002E78A7"/>
    <w:rsid w:val="002E78D1"/>
    <w:rsid w:val="002E7975"/>
    <w:rsid w:val="002E797B"/>
    <w:rsid w:val="002E797E"/>
    <w:rsid w:val="002E79AA"/>
    <w:rsid w:val="002E79C1"/>
    <w:rsid w:val="002E79CE"/>
    <w:rsid w:val="002E7A10"/>
    <w:rsid w:val="002E7A32"/>
    <w:rsid w:val="002E7A3D"/>
    <w:rsid w:val="002E7AA6"/>
    <w:rsid w:val="002E7AC2"/>
    <w:rsid w:val="002E7AE0"/>
    <w:rsid w:val="002E7AE9"/>
    <w:rsid w:val="002E7B4B"/>
    <w:rsid w:val="002E7B72"/>
    <w:rsid w:val="002E7B8D"/>
    <w:rsid w:val="002E7B9B"/>
    <w:rsid w:val="002E7BB1"/>
    <w:rsid w:val="002E7BB3"/>
    <w:rsid w:val="002E7BF4"/>
    <w:rsid w:val="002E7BF5"/>
    <w:rsid w:val="002E7C08"/>
    <w:rsid w:val="002E7C37"/>
    <w:rsid w:val="002E7C51"/>
    <w:rsid w:val="002E7C87"/>
    <w:rsid w:val="002E7CB9"/>
    <w:rsid w:val="002E7CC7"/>
    <w:rsid w:val="002E7CD5"/>
    <w:rsid w:val="002E7CF3"/>
    <w:rsid w:val="002E7D0E"/>
    <w:rsid w:val="002E7D11"/>
    <w:rsid w:val="002E7D62"/>
    <w:rsid w:val="002E7D68"/>
    <w:rsid w:val="002E7D79"/>
    <w:rsid w:val="002E7DF8"/>
    <w:rsid w:val="002E7E7A"/>
    <w:rsid w:val="002E7E7D"/>
    <w:rsid w:val="002E7E7F"/>
    <w:rsid w:val="002E7EB5"/>
    <w:rsid w:val="002E7EBD"/>
    <w:rsid w:val="002E7EDC"/>
    <w:rsid w:val="002E7FB8"/>
    <w:rsid w:val="002F000B"/>
    <w:rsid w:val="002F002E"/>
    <w:rsid w:val="002F005C"/>
    <w:rsid w:val="002F0085"/>
    <w:rsid w:val="002F00B7"/>
    <w:rsid w:val="002F00BC"/>
    <w:rsid w:val="002F00BE"/>
    <w:rsid w:val="002F0103"/>
    <w:rsid w:val="002F011A"/>
    <w:rsid w:val="002F0132"/>
    <w:rsid w:val="002F0158"/>
    <w:rsid w:val="002F01FB"/>
    <w:rsid w:val="002F0261"/>
    <w:rsid w:val="002F0286"/>
    <w:rsid w:val="002F028C"/>
    <w:rsid w:val="002F02AC"/>
    <w:rsid w:val="002F02C2"/>
    <w:rsid w:val="002F035E"/>
    <w:rsid w:val="002F03B8"/>
    <w:rsid w:val="002F03C0"/>
    <w:rsid w:val="002F041F"/>
    <w:rsid w:val="002F042E"/>
    <w:rsid w:val="002F042F"/>
    <w:rsid w:val="002F0465"/>
    <w:rsid w:val="002F0500"/>
    <w:rsid w:val="002F053D"/>
    <w:rsid w:val="002F0543"/>
    <w:rsid w:val="002F0562"/>
    <w:rsid w:val="002F0576"/>
    <w:rsid w:val="002F05DD"/>
    <w:rsid w:val="002F05EE"/>
    <w:rsid w:val="002F0637"/>
    <w:rsid w:val="002F0672"/>
    <w:rsid w:val="002F0699"/>
    <w:rsid w:val="002F06B1"/>
    <w:rsid w:val="002F06B5"/>
    <w:rsid w:val="002F06CA"/>
    <w:rsid w:val="002F06DD"/>
    <w:rsid w:val="002F0757"/>
    <w:rsid w:val="002F0778"/>
    <w:rsid w:val="002F07C2"/>
    <w:rsid w:val="002F07CD"/>
    <w:rsid w:val="002F07F0"/>
    <w:rsid w:val="002F07FF"/>
    <w:rsid w:val="002F081B"/>
    <w:rsid w:val="002F0834"/>
    <w:rsid w:val="002F087D"/>
    <w:rsid w:val="002F0885"/>
    <w:rsid w:val="002F089B"/>
    <w:rsid w:val="002F08A2"/>
    <w:rsid w:val="002F08BF"/>
    <w:rsid w:val="002F08CF"/>
    <w:rsid w:val="002F0913"/>
    <w:rsid w:val="002F0928"/>
    <w:rsid w:val="002F096A"/>
    <w:rsid w:val="002F09BA"/>
    <w:rsid w:val="002F09EE"/>
    <w:rsid w:val="002F09F8"/>
    <w:rsid w:val="002F0A14"/>
    <w:rsid w:val="002F0A3B"/>
    <w:rsid w:val="002F0A52"/>
    <w:rsid w:val="002F0ABD"/>
    <w:rsid w:val="002F0AEF"/>
    <w:rsid w:val="002F0B3C"/>
    <w:rsid w:val="002F0B3F"/>
    <w:rsid w:val="002F0B46"/>
    <w:rsid w:val="002F0BB3"/>
    <w:rsid w:val="002F0BF7"/>
    <w:rsid w:val="002F0BFF"/>
    <w:rsid w:val="002F0C10"/>
    <w:rsid w:val="002F0C2B"/>
    <w:rsid w:val="002F0C91"/>
    <w:rsid w:val="002F0CA9"/>
    <w:rsid w:val="002F0CFC"/>
    <w:rsid w:val="002F0D05"/>
    <w:rsid w:val="002F0D25"/>
    <w:rsid w:val="002F0D3D"/>
    <w:rsid w:val="002F0D61"/>
    <w:rsid w:val="002F0D63"/>
    <w:rsid w:val="002F0D6E"/>
    <w:rsid w:val="002F0D87"/>
    <w:rsid w:val="002F0D8E"/>
    <w:rsid w:val="002F0DCA"/>
    <w:rsid w:val="002F0E49"/>
    <w:rsid w:val="002F0E56"/>
    <w:rsid w:val="002F0E6D"/>
    <w:rsid w:val="002F0EB5"/>
    <w:rsid w:val="002F0F18"/>
    <w:rsid w:val="002F0F62"/>
    <w:rsid w:val="002F0F74"/>
    <w:rsid w:val="002F0F78"/>
    <w:rsid w:val="002F0FB3"/>
    <w:rsid w:val="002F0FB6"/>
    <w:rsid w:val="002F0FFF"/>
    <w:rsid w:val="002F1001"/>
    <w:rsid w:val="002F1055"/>
    <w:rsid w:val="002F105A"/>
    <w:rsid w:val="002F108A"/>
    <w:rsid w:val="002F10B3"/>
    <w:rsid w:val="002F10E8"/>
    <w:rsid w:val="002F1106"/>
    <w:rsid w:val="002F1116"/>
    <w:rsid w:val="002F112B"/>
    <w:rsid w:val="002F1160"/>
    <w:rsid w:val="002F119E"/>
    <w:rsid w:val="002F11AE"/>
    <w:rsid w:val="002F11F2"/>
    <w:rsid w:val="002F1207"/>
    <w:rsid w:val="002F1208"/>
    <w:rsid w:val="002F122E"/>
    <w:rsid w:val="002F1265"/>
    <w:rsid w:val="002F128E"/>
    <w:rsid w:val="002F12B0"/>
    <w:rsid w:val="002F12B8"/>
    <w:rsid w:val="002F12E6"/>
    <w:rsid w:val="002F12F6"/>
    <w:rsid w:val="002F12FF"/>
    <w:rsid w:val="002F1334"/>
    <w:rsid w:val="002F134A"/>
    <w:rsid w:val="002F135B"/>
    <w:rsid w:val="002F137F"/>
    <w:rsid w:val="002F1389"/>
    <w:rsid w:val="002F1391"/>
    <w:rsid w:val="002F13D4"/>
    <w:rsid w:val="002F1415"/>
    <w:rsid w:val="002F141A"/>
    <w:rsid w:val="002F1420"/>
    <w:rsid w:val="002F142E"/>
    <w:rsid w:val="002F143B"/>
    <w:rsid w:val="002F1473"/>
    <w:rsid w:val="002F1493"/>
    <w:rsid w:val="002F149F"/>
    <w:rsid w:val="002F14B7"/>
    <w:rsid w:val="002F14CF"/>
    <w:rsid w:val="002F1588"/>
    <w:rsid w:val="002F15BD"/>
    <w:rsid w:val="002F15E0"/>
    <w:rsid w:val="002F1627"/>
    <w:rsid w:val="002F162A"/>
    <w:rsid w:val="002F1668"/>
    <w:rsid w:val="002F16B5"/>
    <w:rsid w:val="002F16E1"/>
    <w:rsid w:val="002F16F6"/>
    <w:rsid w:val="002F1717"/>
    <w:rsid w:val="002F1733"/>
    <w:rsid w:val="002F1759"/>
    <w:rsid w:val="002F176C"/>
    <w:rsid w:val="002F179F"/>
    <w:rsid w:val="002F17BE"/>
    <w:rsid w:val="002F17E1"/>
    <w:rsid w:val="002F1802"/>
    <w:rsid w:val="002F180B"/>
    <w:rsid w:val="002F181C"/>
    <w:rsid w:val="002F1876"/>
    <w:rsid w:val="002F1911"/>
    <w:rsid w:val="002F1944"/>
    <w:rsid w:val="002F19F3"/>
    <w:rsid w:val="002F19FA"/>
    <w:rsid w:val="002F19FF"/>
    <w:rsid w:val="002F1A73"/>
    <w:rsid w:val="002F1AB3"/>
    <w:rsid w:val="002F1AB9"/>
    <w:rsid w:val="002F1AE4"/>
    <w:rsid w:val="002F1AEB"/>
    <w:rsid w:val="002F1AF5"/>
    <w:rsid w:val="002F1AFD"/>
    <w:rsid w:val="002F1B13"/>
    <w:rsid w:val="002F1B73"/>
    <w:rsid w:val="002F1B8E"/>
    <w:rsid w:val="002F1B95"/>
    <w:rsid w:val="002F1BAF"/>
    <w:rsid w:val="002F1BFE"/>
    <w:rsid w:val="002F1C04"/>
    <w:rsid w:val="002F1C27"/>
    <w:rsid w:val="002F1C46"/>
    <w:rsid w:val="002F1C5A"/>
    <w:rsid w:val="002F1CA8"/>
    <w:rsid w:val="002F1CE7"/>
    <w:rsid w:val="002F1D01"/>
    <w:rsid w:val="002F1D38"/>
    <w:rsid w:val="002F1D3D"/>
    <w:rsid w:val="002F1D43"/>
    <w:rsid w:val="002F1D57"/>
    <w:rsid w:val="002F1D88"/>
    <w:rsid w:val="002F1D8F"/>
    <w:rsid w:val="002F1D91"/>
    <w:rsid w:val="002F1D93"/>
    <w:rsid w:val="002F1DFD"/>
    <w:rsid w:val="002F1E19"/>
    <w:rsid w:val="002F1E3E"/>
    <w:rsid w:val="002F1E49"/>
    <w:rsid w:val="002F1EC8"/>
    <w:rsid w:val="002F1EDD"/>
    <w:rsid w:val="002F1EE9"/>
    <w:rsid w:val="002F1F85"/>
    <w:rsid w:val="002F1FD2"/>
    <w:rsid w:val="002F1FE0"/>
    <w:rsid w:val="002F2000"/>
    <w:rsid w:val="002F204A"/>
    <w:rsid w:val="002F204F"/>
    <w:rsid w:val="002F205E"/>
    <w:rsid w:val="002F2085"/>
    <w:rsid w:val="002F209D"/>
    <w:rsid w:val="002F211A"/>
    <w:rsid w:val="002F217A"/>
    <w:rsid w:val="002F218B"/>
    <w:rsid w:val="002F219E"/>
    <w:rsid w:val="002F21E9"/>
    <w:rsid w:val="002F223E"/>
    <w:rsid w:val="002F225A"/>
    <w:rsid w:val="002F22A4"/>
    <w:rsid w:val="002F22AE"/>
    <w:rsid w:val="002F22ED"/>
    <w:rsid w:val="002F231F"/>
    <w:rsid w:val="002F2341"/>
    <w:rsid w:val="002F23D0"/>
    <w:rsid w:val="002F23E4"/>
    <w:rsid w:val="002F23E7"/>
    <w:rsid w:val="002F2405"/>
    <w:rsid w:val="002F2416"/>
    <w:rsid w:val="002F2464"/>
    <w:rsid w:val="002F249C"/>
    <w:rsid w:val="002F24F0"/>
    <w:rsid w:val="002F2508"/>
    <w:rsid w:val="002F250E"/>
    <w:rsid w:val="002F2528"/>
    <w:rsid w:val="002F2574"/>
    <w:rsid w:val="002F25AD"/>
    <w:rsid w:val="002F25B6"/>
    <w:rsid w:val="002F25B8"/>
    <w:rsid w:val="002F2613"/>
    <w:rsid w:val="002F2644"/>
    <w:rsid w:val="002F2647"/>
    <w:rsid w:val="002F2690"/>
    <w:rsid w:val="002F26A7"/>
    <w:rsid w:val="002F26D9"/>
    <w:rsid w:val="002F2767"/>
    <w:rsid w:val="002F27A5"/>
    <w:rsid w:val="002F27BE"/>
    <w:rsid w:val="002F27E9"/>
    <w:rsid w:val="002F27F6"/>
    <w:rsid w:val="002F2803"/>
    <w:rsid w:val="002F2843"/>
    <w:rsid w:val="002F2878"/>
    <w:rsid w:val="002F2885"/>
    <w:rsid w:val="002F28D2"/>
    <w:rsid w:val="002F28D9"/>
    <w:rsid w:val="002F29A8"/>
    <w:rsid w:val="002F29EE"/>
    <w:rsid w:val="002F2A44"/>
    <w:rsid w:val="002F2A57"/>
    <w:rsid w:val="002F2A7B"/>
    <w:rsid w:val="002F2AAA"/>
    <w:rsid w:val="002F2AB4"/>
    <w:rsid w:val="002F2B11"/>
    <w:rsid w:val="002F2B40"/>
    <w:rsid w:val="002F2B4C"/>
    <w:rsid w:val="002F2B8E"/>
    <w:rsid w:val="002F2BB7"/>
    <w:rsid w:val="002F2BCA"/>
    <w:rsid w:val="002F2BE3"/>
    <w:rsid w:val="002F2C22"/>
    <w:rsid w:val="002F2C75"/>
    <w:rsid w:val="002F2C78"/>
    <w:rsid w:val="002F2C9D"/>
    <w:rsid w:val="002F2CCA"/>
    <w:rsid w:val="002F2D00"/>
    <w:rsid w:val="002F2D06"/>
    <w:rsid w:val="002F2D63"/>
    <w:rsid w:val="002F2D71"/>
    <w:rsid w:val="002F2D72"/>
    <w:rsid w:val="002F2D90"/>
    <w:rsid w:val="002F2DC9"/>
    <w:rsid w:val="002F2E04"/>
    <w:rsid w:val="002F2E34"/>
    <w:rsid w:val="002F2E48"/>
    <w:rsid w:val="002F2E57"/>
    <w:rsid w:val="002F2E60"/>
    <w:rsid w:val="002F2E69"/>
    <w:rsid w:val="002F2E7A"/>
    <w:rsid w:val="002F2EC5"/>
    <w:rsid w:val="002F2EDB"/>
    <w:rsid w:val="002F2EEA"/>
    <w:rsid w:val="002F2EFD"/>
    <w:rsid w:val="002F2F31"/>
    <w:rsid w:val="002F2F3E"/>
    <w:rsid w:val="002F2F40"/>
    <w:rsid w:val="002F2F4C"/>
    <w:rsid w:val="002F2F7F"/>
    <w:rsid w:val="002F2F80"/>
    <w:rsid w:val="002F2FAD"/>
    <w:rsid w:val="002F2FD3"/>
    <w:rsid w:val="002F2FED"/>
    <w:rsid w:val="002F2FF4"/>
    <w:rsid w:val="002F3014"/>
    <w:rsid w:val="002F3015"/>
    <w:rsid w:val="002F3023"/>
    <w:rsid w:val="002F302D"/>
    <w:rsid w:val="002F3037"/>
    <w:rsid w:val="002F303B"/>
    <w:rsid w:val="002F303D"/>
    <w:rsid w:val="002F3071"/>
    <w:rsid w:val="002F3080"/>
    <w:rsid w:val="002F311F"/>
    <w:rsid w:val="002F313D"/>
    <w:rsid w:val="002F317D"/>
    <w:rsid w:val="002F31CD"/>
    <w:rsid w:val="002F31F7"/>
    <w:rsid w:val="002F321F"/>
    <w:rsid w:val="002F323C"/>
    <w:rsid w:val="002F32A5"/>
    <w:rsid w:val="002F32B6"/>
    <w:rsid w:val="002F32BD"/>
    <w:rsid w:val="002F32C1"/>
    <w:rsid w:val="002F32E3"/>
    <w:rsid w:val="002F32E6"/>
    <w:rsid w:val="002F32EF"/>
    <w:rsid w:val="002F32FA"/>
    <w:rsid w:val="002F32FF"/>
    <w:rsid w:val="002F331F"/>
    <w:rsid w:val="002F3346"/>
    <w:rsid w:val="002F3363"/>
    <w:rsid w:val="002F336B"/>
    <w:rsid w:val="002F3378"/>
    <w:rsid w:val="002F33A8"/>
    <w:rsid w:val="002F33B2"/>
    <w:rsid w:val="002F341E"/>
    <w:rsid w:val="002F345F"/>
    <w:rsid w:val="002F3486"/>
    <w:rsid w:val="002F348E"/>
    <w:rsid w:val="002F34E0"/>
    <w:rsid w:val="002F34FF"/>
    <w:rsid w:val="002F3560"/>
    <w:rsid w:val="002F3584"/>
    <w:rsid w:val="002F35AC"/>
    <w:rsid w:val="002F3624"/>
    <w:rsid w:val="002F3658"/>
    <w:rsid w:val="002F3690"/>
    <w:rsid w:val="002F371B"/>
    <w:rsid w:val="002F3726"/>
    <w:rsid w:val="002F3792"/>
    <w:rsid w:val="002F379A"/>
    <w:rsid w:val="002F37A6"/>
    <w:rsid w:val="002F37AB"/>
    <w:rsid w:val="002F37DB"/>
    <w:rsid w:val="002F3805"/>
    <w:rsid w:val="002F380F"/>
    <w:rsid w:val="002F3827"/>
    <w:rsid w:val="002F3830"/>
    <w:rsid w:val="002F3855"/>
    <w:rsid w:val="002F387E"/>
    <w:rsid w:val="002F38AF"/>
    <w:rsid w:val="002F38C0"/>
    <w:rsid w:val="002F38D0"/>
    <w:rsid w:val="002F38E6"/>
    <w:rsid w:val="002F391C"/>
    <w:rsid w:val="002F3966"/>
    <w:rsid w:val="002F39A7"/>
    <w:rsid w:val="002F39AF"/>
    <w:rsid w:val="002F39E6"/>
    <w:rsid w:val="002F39F4"/>
    <w:rsid w:val="002F39F9"/>
    <w:rsid w:val="002F3A08"/>
    <w:rsid w:val="002F3A0F"/>
    <w:rsid w:val="002F3A11"/>
    <w:rsid w:val="002F3A18"/>
    <w:rsid w:val="002F3A2A"/>
    <w:rsid w:val="002F3A5F"/>
    <w:rsid w:val="002F3A6F"/>
    <w:rsid w:val="002F3AA8"/>
    <w:rsid w:val="002F3AC2"/>
    <w:rsid w:val="002F3AD7"/>
    <w:rsid w:val="002F3AFA"/>
    <w:rsid w:val="002F3B06"/>
    <w:rsid w:val="002F3B1D"/>
    <w:rsid w:val="002F3B2D"/>
    <w:rsid w:val="002F3BBB"/>
    <w:rsid w:val="002F3BBE"/>
    <w:rsid w:val="002F3C66"/>
    <w:rsid w:val="002F3C72"/>
    <w:rsid w:val="002F3CB5"/>
    <w:rsid w:val="002F3CFE"/>
    <w:rsid w:val="002F3D02"/>
    <w:rsid w:val="002F3D74"/>
    <w:rsid w:val="002F3DEA"/>
    <w:rsid w:val="002F3DFE"/>
    <w:rsid w:val="002F3E39"/>
    <w:rsid w:val="002F3E9B"/>
    <w:rsid w:val="002F3F5C"/>
    <w:rsid w:val="002F3FEF"/>
    <w:rsid w:val="002F3FF4"/>
    <w:rsid w:val="002F3FFC"/>
    <w:rsid w:val="002F3FFF"/>
    <w:rsid w:val="002F400C"/>
    <w:rsid w:val="002F4025"/>
    <w:rsid w:val="002F4026"/>
    <w:rsid w:val="002F4027"/>
    <w:rsid w:val="002F403E"/>
    <w:rsid w:val="002F4064"/>
    <w:rsid w:val="002F4070"/>
    <w:rsid w:val="002F40B2"/>
    <w:rsid w:val="002F40E7"/>
    <w:rsid w:val="002F40E8"/>
    <w:rsid w:val="002F40F3"/>
    <w:rsid w:val="002F4116"/>
    <w:rsid w:val="002F4119"/>
    <w:rsid w:val="002F41AF"/>
    <w:rsid w:val="002F41DC"/>
    <w:rsid w:val="002F41F7"/>
    <w:rsid w:val="002F4253"/>
    <w:rsid w:val="002F4266"/>
    <w:rsid w:val="002F4293"/>
    <w:rsid w:val="002F4296"/>
    <w:rsid w:val="002F42A4"/>
    <w:rsid w:val="002F42F0"/>
    <w:rsid w:val="002F437E"/>
    <w:rsid w:val="002F4387"/>
    <w:rsid w:val="002F4397"/>
    <w:rsid w:val="002F43A1"/>
    <w:rsid w:val="002F43E3"/>
    <w:rsid w:val="002F4408"/>
    <w:rsid w:val="002F4424"/>
    <w:rsid w:val="002F4429"/>
    <w:rsid w:val="002F4447"/>
    <w:rsid w:val="002F44A0"/>
    <w:rsid w:val="002F44BD"/>
    <w:rsid w:val="002F44BE"/>
    <w:rsid w:val="002F44C5"/>
    <w:rsid w:val="002F44CF"/>
    <w:rsid w:val="002F4534"/>
    <w:rsid w:val="002F4592"/>
    <w:rsid w:val="002F459A"/>
    <w:rsid w:val="002F45AB"/>
    <w:rsid w:val="002F45D0"/>
    <w:rsid w:val="002F462B"/>
    <w:rsid w:val="002F4679"/>
    <w:rsid w:val="002F4686"/>
    <w:rsid w:val="002F46CD"/>
    <w:rsid w:val="002F46F3"/>
    <w:rsid w:val="002F4722"/>
    <w:rsid w:val="002F47C0"/>
    <w:rsid w:val="002F47F7"/>
    <w:rsid w:val="002F47FA"/>
    <w:rsid w:val="002F4810"/>
    <w:rsid w:val="002F481E"/>
    <w:rsid w:val="002F4867"/>
    <w:rsid w:val="002F487E"/>
    <w:rsid w:val="002F48AD"/>
    <w:rsid w:val="002F48F8"/>
    <w:rsid w:val="002F4904"/>
    <w:rsid w:val="002F4916"/>
    <w:rsid w:val="002F493F"/>
    <w:rsid w:val="002F49D6"/>
    <w:rsid w:val="002F4A1C"/>
    <w:rsid w:val="002F4A1D"/>
    <w:rsid w:val="002F4A23"/>
    <w:rsid w:val="002F4A4A"/>
    <w:rsid w:val="002F4A4C"/>
    <w:rsid w:val="002F4A73"/>
    <w:rsid w:val="002F4A81"/>
    <w:rsid w:val="002F4A97"/>
    <w:rsid w:val="002F4AC6"/>
    <w:rsid w:val="002F4AD9"/>
    <w:rsid w:val="002F4ADF"/>
    <w:rsid w:val="002F4B11"/>
    <w:rsid w:val="002F4B1E"/>
    <w:rsid w:val="002F4B3E"/>
    <w:rsid w:val="002F4B48"/>
    <w:rsid w:val="002F4B82"/>
    <w:rsid w:val="002F4B96"/>
    <w:rsid w:val="002F4BB1"/>
    <w:rsid w:val="002F4BDB"/>
    <w:rsid w:val="002F4C04"/>
    <w:rsid w:val="002F4C7B"/>
    <w:rsid w:val="002F4CC8"/>
    <w:rsid w:val="002F4D0D"/>
    <w:rsid w:val="002F4D2C"/>
    <w:rsid w:val="002F4D8C"/>
    <w:rsid w:val="002F4D9C"/>
    <w:rsid w:val="002F4DAE"/>
    <w:rsid w:val="002F4DBC"/>
    <w:rsid w:val="002F4DE8"/>
    <w:rsid w:val="002F4E09"/>
    <w:rsid w:val="002F4E13"/>
    <w:rsid w:val="002F4E1C"/>
    <w:rsid w:val="002F4E21"/>
    <w:rsid w:val="002F4E38"/>
    <w:rsid w:val="002F4E3F"/>
    <w:rsid w:val="002F4E50"/>
    <w:rsid w:val="002F4E75"/>
    <w:rsid w:val="002F4E78"/>
    <w:rsid w:val="002F4E82"/>
    <w:rsid w:val="002F4E8E"/>
    <w:rsid w:val="002F4EE0"/>
    <w:rsid w:val="002F4F1B"/>
    <w:rsid w:val="002F4F72"/>
    <w:rsid w:val="002F4F8E"/>
    <w:rsid w:val="002F4FAB"/>
    <w:rsid w:val="002F4FF1"/>
    <w:rsid w:val="002F5026"/>
    <w:rsid w:val="002F5035"/>
    <w:rsid w:val="002F5043"/>
    <w:rsid w:val="002F5050"/>
    <w:rsid w:val="002F50A7"/>
    <w:rsid w:val="002F50B9"/>
    <w:rsid w:val="002F50D1"/>
    <w:rsid w:val="002F5125"/>
    <w:rsid w:val="002F512E"/>
    <w:rsid w:val="002F513B"/>
    <w:rsid w:val="002F51A8"/>
    <w:rsid w:val="002F51B5"/>
    <w:rsid w:val="002F51F1"/>
    <w:rsid w:val="002F521C"/>
    <w:rsid w:val="002F5257"/>
    <w:rsid w:val="002F5262"/>
    <w:rsid w:val="002F5268"/>
    <w:rsid w:val="002F526F"/>
    <w:rsid w:val="002F527A"/>
    <w:rsid w:val="002F5284"/>
    <w:rsid w:val="002F5291"/>
    <w:rsid w:val="002F5293"/>
    <w:rsid w:val="002F529B"/>
    <w:rsid w:val="002F52AA"/>
    <w:rsid w:val="002F52C4"/>
    <w:rsid w:val="002F52CD"/>
    <w:rsid w:val="002F52DA"/>
    <w:rsid w:val="002F52DF"/>
    <w:rsid w:val="002F52FA"/>
    <w:rsid w:val="002F5340"/>
    <w:rsid w:val="002F5343"/>
    <w:rsid w:val="002F542E"/>
    <w:rsid w:val="002F5434"/>
    <w:rsid w:val="002F5455"/>
    <w:rsid w:val="002F54A1"/>
    <w:rsid w:val="002F54DA"/>
    <w:rsid w:val="002F550B"/>
    <w:rsid w:val="002F5514"/>
    <w:rsid w:val="002F5531"/>
    <w:rsid w:val="002F554B"/>
    <w:rsid w:val="002F556D"/>
    <w:rsid w:val="002F557B"/>
    <w:rsid w:val="002F558F"/>
    <w:rsid w:val="002F559C"/>
    <w:rsid w:val="002F55BA"/>
    <w:rsid w:val="002F55DE"/>
    <w:rsid w:val="002F5607"/>
    <w:rsid w:val="002F5658"/>
    <w:rsid w:val="002F5663"/>
    <w:rsid w:val="002F56ED"/>
    <w:rsid w:val="002F56F0"/>
    <w:rsid w:val="002F5710"/>
    <w:rsid w:val="002F572D"/>
    <w:rsid w:val="002F5733"/>
    <w:rsid w:val="002F5738"/>
    <w:rsid w:val="002F5752"/>
    <w:rsid w:val="002F575C"/>
    <w:rsid w:val="002F5764"/>
    <w:rsid w:val="002F577F"/>
    <w:rsid w:val="002F5794"/>
    <w:rsid w:val="002F580C"/>
    <w:rsid w:val="002F5816"/>
    <w:rsid w:val="002F583D"/>
    <w:rsid w:val="002F588E"/>
    <w:rsid w:val="002F58B9"/>
    <w:rsid w:val="002F58FF"/>
    <w:rsid w:val="002F592B"/>
    <w:rsid w:val="002F5961"/>
    <w:rsid w:val="002F5977"/>
    <w:rsid w:val="002F597F"/>
    <w:rsid w:val="002F59B3"/>
    <w:rsid w:val="002F59F2"/>
    <w:rsid w:val="002F59F7"/>
    <w:rsid w:val="002F5A12"/>
    <w:rsid w:val="002F5A2E"/>
    <w:rsid w:val="002F5A3F"/>
    <w:rsid w:val="002F5A54"/>
    <w:rsid w:val="002F5A61"/>
    <w:rsid w:val="002F5A65"/>
    <w:rsid w:val="002F5A7C"/>
    <w:rsid w:val="002F5A98"/>
    <w:rsid w:val="002F5AD8"/>
    <w:rsid w:val="002F5AE7"/>
    <w:rsid w:val="002F5B05"/>
    <w:rsid w:val="002F5B20"/>
    <w:rsid w:val="002F5B38"/>
    <w:rsid w:val="002F5B57"/>
    <w:rsid w:val="002F5B60"/>
    <w:rsid w:val="002F5B61"/>
    <w:rsid w:val="002F5B85"/>
    <w:rsid w:val="002F5B94"/>
    <w:rsid w:val="002F5B9B"/>
    <w:rsid w:val="002F5BBA"/>
    <w:rsid w:val="002F5C65"/>
    <w:rsid w:val="002F5C88"/>
    <w:rsid w:val="002F5C91"/>
    <w:rsid w:val="002F5C94"/>
    <w:rsid w:val="002F5C99"/>
    <w:rsid w:val="002F5D06"/>
    <w:rsid w:val="002F5D19"/>
    <w:rsid w:val="002F5D1F"/>
    <w:rsid w:val="002F5D35"/>
    <w:rsid w:val="002F5D46"/>
    <w:rsid w:val="002F5D64"/>
    <w:rsid w:val="002F5DA4"/>
    <w:rsid w:val="002F5DAD"/>
    <w:rsid w:val="002F5DB6"/>
    <w:rsid w:val="002F5DCD"/>
    <w:rsid w:val="002F5DCE"/>
    <w:rsid w:val="002F5DEA"/>
    <w:rsid w:val="002F5E34"/>
    <w:rsid w:val="002F5E47"/>
    <w:rsid w:val="002F5E95"/>
    <w:rsid w:val="002F5EC0"/>
    <w:rsid w:val="002F5F2E"/>
    <w:rsid w:val="002F5F2F"/>
    <w:rsid w:val="002F5F5A"/>
    <w:rsid w:val="002F5F88"/>
    <w:rsid w:val="002F5FA5"/>
    <w:rsid w:val="002F5FBE"/>
    <w:rsid w:val="002F5FC5"/>
    <w:rsid w:val="002F600C"/>
    <w:rsid w:val="002F6067"/>
    <w:rsid w:val="002F60A8"/>
    <w:rsid w:val="002F60EA"/>
    <w:rsid w:val="002F60F1"/>
    <w:rsid w:val="002F6131"/>
    <w:rsid w:val="002F6166"/>
    <w:rsid w:val="002F6171"/>
    <w:rsid w:val="002F61A0"/>
    <w:rsid w:val="002F61E5"/>
    <w:rsid w:val="002F6253"/>
    <w:rsid w:val="002F628A"/>
    <w:rsid w:val="002F6290"/>
    <w:rsid w:val="002F62AD"/>
    <w:rsid w:val="002F62DC"/>
    <w:rsid w:val="002F6312"/>
    <w:rsid w:val="002F632F"/>
    <w:rsid w:val="002F6333"/>
    <w:rsid w:val="002F637A"/>
    <w:rsid w:val="002F6486"/>
    <w:rsid w:val="002F648C"/>
    <w:rsid w:val="002F6515"/>
    <w:rsid w:val="002F6516"/>
    <w:rsid w:val="002F658A"/>
    <w:rsid w:val="002F6593"/>
    <w:rsid w:val="002F65AF"/>
    <w:rsid w:val="002F65B3"/>
    <w:rsid w:val="002F65C1"/>
    <w:rsid w:val="002F65C2"/>
    <w:rsid w:val="002F65DE"/>
    <w:rsid w:val="002F65F5"/>
    <w:rsid w:val="002F6641"/>
    <w:rsid w:val="002F66A8"/>
    <w:rsid w:val="002F66AE"/>
    <w:rsid w:val="002F66E5"/>
    <w:rsid w:val="002F66F2"/>
    <w:rsid w:val="002F672B"/>
    <w:rsid w:val="002F672D"/>
    <w:rsid w:val="002F6768"/>
    <w:rsid w:val="002F6773"/>
    <w:rsid w:val="002F6785"/>
    <w:rsid w:val="002F6786"/>
    <w:rsid w:val="002F67A7"/>
    <w:rsid w:val="002F67BE"/>
    <w:rsid w:val="002F6833"/>
    <w:rsid w:val="002F68CE"/>
    <w:rsid w:val="002F691D"/>
    <w:rsid w:val="002F692D"/>
    <w:rsid w:val="002F694A"/>
    <w:rsid w:val="002F69E7"/>
    <w:rsid w:val="002F69FE"/>
    <w:rsid w:val="002F6A31"/>
    <w:rsid w:val="002F6A3D"/>
    <w:rsid w:val="002F6A71"/>
    <w:rsid w:val="002F6A7E"/>
    <w:rsid w:val="002F6ACC"/>
    <w:rsid w:val="002F6AD4"/>
    <w:rsid w:val="002F6AE6"/>
    <w:rsid w:val="002F6B06"/>
    <w:rsid w:val="002F6B58"/>
    <w:rsid w:val="002F6B70"/>
    <w:rsid w:val="002F6B7E"/>
    <w:rsid w:val="002F6BBC"/>
    <w:rsid w:val="002F6BD4"/>
    <w:rsid w:val="002F6BF3"/>
    <w:rsid w:val="002F6CA1"/>
    <w:rsid w:val="002F6CE0"/>
    <w:rsid w:val="002F6CE3"/>
    <w:rsid w:val="002F6CF7"/>
    <w:rsid w:val="002F6D12"/>
    <w:rsid w:val="002F6D15"/>
    <w:rsid w:val="002F6D56"/>
    <w:rsid w:val="002F6D5D"/>
    <w:rsid w:val="002F6DC0"/>
    <w:rsid w:val="002F6DD9"/>
    <w:rsid w:val="002F6DDD"/>
    <w:rsid w:val="002F6DE3"/>
    <w:rsid w:val="002F6E0D"/>
    <w:rsid w:val="002F6E63"/>
    <w:rsid w:val="002F6E7C"/>
    <w:rsid w:val="002F6F1D"/>
    <w:rsid w:val="002F6F1F"/>
    <w:rsid w:val="002F6F36"/>
    <w:rsid w:val="002F6F47"/>
    <w:rsid w:val="002F6F7C"/>
    <w:rsid w:val="002F6F82"/>
    <w:rsid w:val="002F6FBF"/>
    <w:rsid w:val="002F6FC7"/>
    <w:rsid w:val="002F6FD7"/>
    <w:rsid w:val="002F6FDE"/>
    <w:rsid w:val="002F6FFD"/>
    <w:rsid w:val="002F701A"/>
    <w:rsid w:val="002F702C"/>
    <w:rsid w:val="002F704F"/>
    <w:rsid w:val="002F7071"/>
    <w:rsid w:val="002F7086"/>
    <w:rsid w:val="002F70B8"/>
    <w:rsid w:val="002F70BA"/>
    <w:rsid w:val="002F70D3"/>
    <w:rsid w:val="002F70D6"/>
    <w:rsid w:val="002F7100"/>
    <w:rsid w:val="002F7135"/>
    <w:rsid w:val="002F7141"/>
    <w:rsid w:val="002F7158"/>
    <w:rsid w:val="002F7195"/>
    <w:rsid w:val="002F719A"/>
    <w:rsid w:val="002F71A1"/>
    <w:rsid w:val="002F71BE"/>
    <w:rsid w:val="002F71EF"/>
    <w:rsid w:val="002F721D"/>
    <w:rsid w:val="002F7223"/>
    <w:rsid w:val="002F7235"/>
    <w:rsid w:val="002F7273"/>
    <w:rsid w:val="002F727F"/>
    <w:rsid w:val="002F7290"/>
    <w:rsid w:val="002F72AB"/>
    <w:rsid w:val="002F72CF"/>
    <w:rsid w:val="002F7313"/>
    <w:rsid w:val="002F7365"/>
    <w:rsid w:val="002F73C3"/>
    <w:rsid w:val="002F73C7"/>
    <w:rsid w:val="002F73FA"/>
    <w:rsid w:val="002F7423"/>
    <w:rsid w:val="002F7445"/>
    <w:rsid w:val="002F746C"/>
    <w:rsid w:val="002F7486"/>
    <w:rsid w:val="002F74AD"/>
    <w:rsid w:val="002F74EB"/>
    <w:rsid w:val="002F74F7"/>
    <w:rsid w:val="002F7519"/>
    <w:rsid w:val="002F7530"/>
    <w:rsid w:val="002F753E"/>
    <w:rsid w:val="002F755D"/>
    <w:rsid w:val="002F756D"/>
    <w:rsid w:val="002F7587"/>
    <w:rsid w:val="002F75C1"/>
    <w:rsid w:val="002F75DF"/>
    <w:rsid w:val="002F75F0"/>
    <w:rsid w:val="002F7606"/>
    <w:rsid w:val="002F7671"/>
    <w:rsid w:val="002F76B1"/>
    <w:rsid w:val="002F76DA"/>
    <w:rsid w:val="002F7715"/>
    <w:rsid w:val="002F772F"/>
    <w:rsid w:val="002F775A"/>
    <w:rsid w:val="002F7788"/>
    <w:rsid w:val="002F77DA"/>
    <w:rsid w:val="002F77DB"/>
    <w:rsid w:val="002F7804"/>
    <w:rsid w:val="002F7807"/>
    <w:rsid w:val="002F7832"/>
    <w:rsid w:val="002F7863"/>
    <w:rsid w:val="002F7889"/>
    <w:rsid w:val="002F78B5"/>
    <w:rsid w:val="002F792A"/>
    <w:rsid w:val="002F7962"/>
    <w:rsid w:val="002F7A3F"/>
    <w:rsid w:val="002F7A45"/>
    <w:rsid w:val="002F7A79"/>
    <w:rsid w:val="002F7A7C"/>
    <w:rsid w:val="002F7A9C"/>
    <w:rsid w:val="002F7AF7"/>
    <w:rsid w:val="002F7B09"/>
    <w:rsid w:val="002F7B3F"/>
    <w:rsid w:val="002F7B61"/>
    <w:rsid w:val="002F7B7E"/>
    <w:rsid w:val="002F7BB2"/>
    <w:rsid w:val="002F7C1C"/>
    <w:rsid w:val="002F7C44"/>
    <w:rsid w:val="002F7C79"/>
    <w:rsid w:val="002F7C91"/>
    <w:rsid w:val="002F7CAF"/>
    <w:rsid w:val="002F7CB0"/>
    <w:rsid w:val="002F7CC1"/>
    <w:rsid w:val="002F7CC9"/>
    <w:rsid w:val="002F7D09"/>
    <w:rsid w:val="002F7D0E"/>
    <w:rsid w:val="002F7D1E"/>
    <w:rsid w:val="002F7D2A"/>
    <w:rsid w:val="002F7D2D"/>
    <w:rsid w:val="002F7D5A"/>
    <w:rsid w:val="002F7D9A"/>
    <w:rsid w:val="002F7DFB"/>
    <w:rsid w:val="002F7E2D"/>
    <w:rsid w:val="002F7EB5"/>
    <w:rsid w:val="002F7EBA"/>
    <w:rsid w:val="002F7EBC"/>
    <w:rsid w:val="002F7EEB"/>
    <w:rsid w:val="002F7F06"/>
    <w:rsid w:val="002F7F0E"/>
    <w:rsid w:val="002F7F16"/>
    <w:rsid w:val="002F7F2E"/>
    <w:rsid w:val="002F7F52"/>
    <w:rsid w:val="002F7F70"/>
    <w:rsid w:val="002F7FC5"/>
    <w:rsid w:val="00300021"/>
    <w:rsid w:val="0030002C"/>
    <w:rsid w:val="0030004D"/>
    <w:rsid w:val="00300050"/>
    <w:rsid w:val="00300117"/>
    <w:rsid w:val="00300131"/>
    <w:rsid w:val="00300198"/>
    <w:rsid w:val="003001A4"/>
    <w:rsid w:val="003001A6"/>
    <w:rsid w:val="00300227"/>
    <w:rsid w:val="00300229"/>
    <w:rsid w:val="00300241"/>
    <w:rsid w:val="00300249"/>
    <w:rsid w:val="003002C2"/>
    <w:rsid w:val="00300302"/>
    <w:rsid w:val="00300307"/>
    <w:rsid w:val="00300368"/>
    <w:rsid w:val="00300380"/>
    <w:rsid w:val="003003D7"/>
    <w:rsid w:val="003003E2"/>
    <w:rsid w:val="003003E5"/>
    <w:rsid w:val="00300406"/>
    <w:rsid w:val="00300407"/>
    <w:rsid w:val="0030041C"/>
    <w:rsid w:val="00300430"/>
    <w:rsid w:val="00300455"/>
    <w:rsid w:val="0030046F"/>
    <w:rsid w:val="003004ED"/>
    <w:rsid w:val="00300540"/>
    <w:rsid w:val="0030054E"/>
    <w:rsid w:val="0030056E"/>
    <w:rsid w:val="00300595"/>
    <w:rsid w:val="003005B1"/>
    <w:rsid w:val="003005DD"/>
    <w:rsid w:val="0030063D"/>
    <w:rsid w:val="00300650"/>
    <w:rsid w:val="00300659"/>
    <w:rsid w:val="0030065F"/>
    <w:rsid w:val="00300672"/>
    <w:rsid w:val="00300673"/>
    <w:rsid w:val="0030068D"/>
    <w:rsid w:val="003006A3"/>
    <w:rsid w:val="003006B7"/>
    <w:rsid w:val="003006F7"/>
    <w:rsid w:val="00300713"/>
    <w:rsid w:val="00300737"/>
    <w:rsid w:val="00300794"/>
    <w:rsid w:val="003007C5"/>
    <w:rsid w:val="003007D2"/>
    <w:rsid w:val="003007D7"/>
    <w:rsid w:val="00300811"/>
    <w:rsid w:val="00300825"/>
    <w:rsid w:val="0030085D"/>
    <w:rsid w:val="00300864"/>
    <w:rsid w:val="00300893"/>
    <w:rsid w:val="0030089B"/>
    <w:rsid w:val="003008B9"/>
    <w:rsid w:val="003008C2"/>
    <w:rsid w:val="003008D2"/>
    <w:rsid w:val="003008EC"/>
    <w:rsid w:val="003008FF"/>
    <w:rsid w:val="00300930"/>
    <w:rsid w:val="00300976"/>
    <w:rsid w:val="003009AB"/>
    <w:rsid w:val="003009BE"/>
    <w:rsid w:val="00300A75"/>
    <w:rsid w:val="00300A86"/>
    <w:rsid w:val="00300A9B"/>
    <w:rsid w:val="00300AE8"/>
    <w:rsid w:val="00300B17"/>
    <w:rsid w:val="00300B1C"/>
    <w:rsid w:val="00300B25"/>
    <w:rsid w:val="00300B31"/>
    <w:rsid w:val="00300B4A"/>
    <w:rsid w:val="00300B55"/>
    <w:rsid w:val="00300B60"/>
    <w:rsid w:val="00300B7C"/>
    <w:rsid w:val="00300B87"/>
    <w:rsid w:val="00300BA0"/>
    <w:rsid w:val="00300BA2"/>
    <w:rsid w:val="00300BF7"/>
    <w:rsid w:val="00300C5C"/>
    <w:rsid w:val="00300CEC"/>
    <w:rsid w:val="00300D2E"/>
    <w:rsid w:val="00300D3B"/>
    <w:rsid w:val="00300D70"/>
    <w:rsid w:val="00300D7F"/>
    <w:rsid w:val="00300D9A"/>
    <w:rsid w:val="00300DAD"/>
    <w:rsid w:val="00300DB2"/>
    <w:rsid w:val="00300DE0"/>
    <w:rsid w:val="00300DFF"/>
    <w:rsid w:val="00300E3E"/>
    <w:rsid w:val="00300E4E"/>
    <w:rsid w:val="00300E55"/>
    <w:rsid w:val="00300E79"/>
    <w:rsid w:val="00300E7C"/>
    <w:rsid w:val="00300EF0"/>
    <w:rsid w:val="00300F10"/>
    <w:rsid w:val="00300F48"/>
    <w:rsid w:val="00300F5C"/>
    <w:rsid w:val="00300FA7"/>
    <w:rsid w:val="00300FE1"/>
    <w:rsid w:val="00301043"/>
    <w:rsid w:val="00301053"/>
    <w:rsid w:val="0030107F"/>
    <w:rsid w:val="003010B2"/>
    <w:rsid w:val="003010E2"/>
    <w:rsid w:val="003010F3"/>
    <w:rsid w:val="00301130"/>
    <w:rsid w:val="003011A9"/>
    <w:rsid w:val="003011D1"/>
    <w:rsid w:val="00301200"/>
    <w:rsid w:val="00301211"/>
    <w:rsid w:val="00301221"/>
    <w:rsid w:val="0030122E"/>
    <w:rsid w:val="003012A3"/>
    <w:rsid w:val="003012AA"/>
    <w:rsid w:val="00301302"/>
    <w:rsid w:val="00301311"/>
    <w:rsid w:val="0030131D"/>
    <w:rsid w:val="00301336"/>
    <w:rsid w:val="00301338"/>
    <w:rsid w:val="00301384"/>
    <w:rsid w:val="003013AB"/>
    <w:rsid w:val="003013B4"/>
    <w:rsid w:val="003013CE"/>
    <w:rsid w:val="003013E6"/>
    <w:rsid w:val="00301409"/>
    <w:rsid w:val="00301453"/>
    <w:rsid w:val="003014CA"/>
    <w:rsid w:val="003014FE"/>
    <w:rsid w:val="00301575"/>
    <w:rsid w:val="003015E1"/>
    <w:rsid w:val="00301631"/>
    <w:rsid w:val="00301659"/>
    <w:rsid w:val="0030165B"/>
    <w:rsid w:val="00301673"/>
    <w:rsid w:val="00301674"/>
    <w:rsid w:val="00301689"/>
    <w:rsid w:val="003016B1"/>
    <w:rsid w:val="003016D4"/>
    <w:rsid w:val="0030170A"/>
    <w:rsid w:val="0030172F"/>
    <w:rsid w:val="00301745"/>
    <w:rsid w:val="0030178A"/>
    <w:rsid w:val="0030181C"/>
    <w:rsid w:val="0030183B"/>
    <w:rsid w:val="00301867"/>
    <w:rsid w:val="0030189F"/>
    <w:rsid w:val="003018E7"/>
    <w:rsid w:val="003018F6"/>
    <w:rsid w:val="003018F9"/>
    <w:rsid w:val="0030192A"/>
    <w:rsid w:val="0030193E"/>
    <w:rsid w:val="003019B2"/>
    <w:rsid w:val="003019F4"/>
    <w:rsid w:val="00301A10"/>
    <w:rsid w:val="00301A30"/>
    <w:rsid w:val="00301A34"/>
    <w:rsid w:val="00301A41"/>
    <w:rsid w:val="00301A57"/>
    <w:rsid w:val="00301A78"/>
    <w:rsid w:val="00301A81"/>
    <w:rsid w:val="00301B00"/>
    <w:rsid w:val="00301B0C"/>
    <w:rsid w:val="00301B51"/>
    <w:rsid w:val="00301B54"/>
    <w:rsid w:val="00301B63"/>
    <w:rsid w:val="00301B65"/>
    <w:rsid w:val="00301B7C"/>
    <w:rsid w:val="00301B82"/>
    <w:rsid w:val="00301BA3"/>
    <w:rsid w:val="00301C1C"/>
    <w:rsid w:val="00301C55"/>
    <w:rsid w:val="00301CA9"/>
    <w:rsid w:val="00301CCB"/>
    <w:rsid w:val="00301CCE"/>
    <w:rsid w:val="00301CDD"/>
    <w:rsid w:val="00301D0D"/>
    <w:rsid w:val="00301D38"/>
    <w:rsid w:val="00301D6D"/>
    <w:rsid w:val="00301D82"/>
    <w:rsid w:val="00301D8A"/>
    <w:rsid w:val="00301DE6"/>
    <w:rsid w:val="00301E20"/>
    <w:rsid w:val="00301E8A"/>
    <w:rsid w:val="00301E98"/>
    <w:rsid w:val="00301EE3"/>
    <w:rsid w:val="00301EEE"/>
    <w:rsid w:val="00301F04"/>
    <w:rsid w:val="00301F38"/>
    <w:rsid w:val="00301F40"/>
    <w:rsid w:val="00301F63"/>
    <w:rsid w:val="00301F82"/>
    <w:rsid w:val="00301FA9"/>
    <w:rsid w:val="00301FD6"/>
    <w:rsid w:val="00301FE5"/>
    <w:rsid w:val="0030206D"/>
    <w:rsid w:val="00302084"/>
    <w:rsid w:val="00302100"/>
    <w:rsid w:val="00302145"/>
    <w:rsid w:val="003021B1"/>
    <w:rsid w:val="003021D6"/>
    <w:rsid w:val="003021FD"/>
    <w:rsid w:val="00302221"/>
    <w:rsid w:val="00302227"/>
    <w:rsid w:val="00302300"/>
    <w:rsid w:val="00302303"/>
    <w:rsid w:val="0030235F"/>
    <w:rsid w:val="00302376"/>
    <w:rsid w:val="003023B3"/>
    <w:rsid w:val="00302469"/>
    <w:rsid w:val="00302483"/>
    <w:rsid w:val="0030248F"/>
    <w:rsid w:val="0030249C"/>
    <w:rsid w:val="003024F2"/>
    <w:rsid w:val="0030254F"/>
    <w:rsid w:val="0030255B"/>
    <w:rsid w:val="003025CD"/>
    <w:rsid w:val="003025E1"/>
    <w:rsid w:val="00302614"/>
    <w:rsid w:val="00302622"/>
    <w:rsid w:val="0030263F"/>
    <w:rsid w:val="0030264E"/>
    <w:rsid w:val="00302654"/>
    <w:rsid w:val="00302667"/>
    <w:rsid w:val="00302689"/>
    <w:rsid w:val="00302743"/>
    <w:rsid w:val="0030274C"/>
    <w:rsid w:val="003027B0"/>
    <w:rsid w:val="003027B9"/>
    <w:rsid w:val="003027CE"/>
    <w:rsid w:val="003027D3"/>
    <w:rsid w:val="003027E0"/>
    <w:rsid w:val="00302801"/>
    <w:rsid w:val="00302810"/>
    <w:rsid w:val="00302867"/>
    <w:rsid w:val="00302868"/>
    <w:rsid w:val="0030287C"/>
    <w:rsid w:val="00302930"/>
    <w:rsid w:val="0030294C"/>
    <w:rsid w:val="00302957"/>
    <w:rsid w:val="00302986"/>
    <w:rsid w:val="003029F0"/>
    <w:rsid w:val="00302A02"/>
    <w:rsid w:val="00302A5D"/>
    <w:rsid w:val="00302A78"/>
    <w:rsid w:val="00302A7F"/>
    <w:rsid w:val="00302AA8"/>
    <w:rsid w:val="00302AB5"/>
    <w:rsid w:val="00302AF7"/>
    <w:rsid w:val="00302B3B"/>
    <w:rsid w:val="00302B86"/>
    <w:rsid w:val="00302BB7"/>
    <w:rsid w:val="00302BBC"/>
    <w:rsid w:val="00302BBE"/>
    <w:rsid w:val="00302BEC"/>
    <w:rsid w:val="00302C3B"/>
    <w:rsid w:val="00302C4D"/>
    <w:rsid w:val="00302C9B"/>
    <w:rsid w:val="00302CE8"/>
    <w:rsid w:val="00302D12"/>
    <w:rsid w:val="00302D16"/>
    <w:rsid w:val="00302D6D"/>
    <w:rsid w:val="00302D7B"/>
    <w:rsid w:val="00302D7F"/>
    <w:rsid w:val="00302D94"/>
    <w:rsid w:val="00302D9D"/>
    <w:rsid w:val="00302DD8"/>
    <w:rsid w:val="00302DF8"/>
    <w:rsid w:val="00302E54"/>
    <w:rsid w:val="00302E91"/>
    <w:rsid w:val="00302E98"/>
    <w:rsid w:val="00302EF1"/>
    <w:rsid w:val="00302F2C"/>
    <w:rsid w:val="00302F40"/>
    <w:rsid w:val="00302F61"/>
    <w:rsid w:val="00302F6F"/>
    <w:rsid w:val="00302F85"/>
    <w:rsid w:val="00302FF9"/>
    <w:rsid w:val="00302FFA"/>
    <w:rsid w:val="00303012"/>
    <w:rsid w:val="0030301E"/>
    <w:rsid w:val="00303028"/>
    <w:rsid w:val="0030303C"/>
    <w:rsid w:val="0030304B"/>
    <w:rsid w:val="0030304F"/>
    <w:rsid w:val="00303094"/>
    <w:rsid w:val="0030312D"/>
    <w:rsid w:val="00303150"/>
    <w:rsid w:val="00303159"/>
    <w:rsid w:val="00303161"/>
    <w:rsid w:val="0030317C"/>
    <w:rsid w:val="00303184"/>
    <w:rsid w:val="003031F5"/>
    <w:rsid w:val="00303204"/>
    <w:rsid w:val="0030320E"/>
    <w:rsid w:val="00303222"/>
    <w:rsid w:val="00303256"/>
    <w:rsid w:val="00303268"/>
    <w:rsid w:val="003032E0"/>
    <w:rsid w:val="00303339"/>
    <w:rsid w:val="0030333F"/>
    <w:rsid w:val="0030339D"/>
    <w:rsid w:val="003033A0"/>
    <w:rsid w:val="003033B7"/>
    <w:rsid w:val="003033BC"/>
    <w:rsid w:val="003033BD"/>
    <w:rsid w:val="003033C9"/>
    <w:rsid w:val="0030343B"/>
    <w:rsid w:val="00303440"/>
    <w:rsid w:val="0030345D"/>
    <w:rsid w:val="003034E9"/>
    <w:rsid w:val="003034FA"/>
    <w:rsid w:val="00303522"/>
    <w:rsid w:val="00303596"/>
    <w:rsid w:val="0030359C"/>
    <w:rsid w:val="003035B6"/>
    <w:rsid w:val="003035E1"/>
    <w:rsid w:val="0030360E"/>
    <w:rsid w:val="00303632"/>
    <w:rsid w:val="00303636"/>
    <w:rsid w:val="003036B6"/>
    <w:rsid w:val="003036C3"/>
    <w:rsid w:val="003036DD"/>
    <w:rsid w:val="003036E7"/>
    <w:rsid w:val="0030371C"/>
    <w:rsid w:val="00303726"/>
    <w:rsid w:val="00303741"/>
    <w:rsid w:val="00303748"/>
    <w:rsid w:val="0030377B"/>
    <w:rsid w:val="00303794"/>
    <w:rsid w:val="003037D8"/>
    <w:rsid w:val="003037F3"/>
    <w:rsid w:val="003037FC"/>
    <w:rsid w:val="0030380C"/>
    <w:rsid w:val="0030382F"/>
    <w:rsid w:val="00303831"/>
    <w:rsid w:val="00303881"/>
    <w:rsid w:val="00303896"/>
    <w:rsid w:val="003038C4"/>
    <w:rsid w:val="003038E3"/>
    <w:rsid w:val="003038F3"/>
    <w:rsid w:val="0030390C"/>
    <w:rsid w:val="00303916"/>
    <w:rsid w:val="00303931"/>
    <w:rsid w:val="00303991"/>
    <w:rsid w:val="003039AC"/>
    <w:rsid w:val="003039E9"/>
    <w:rsid w:val="00303A24"/>
    <w:rsid w:val="00303A2E"/>
    <w:rsid w:val="00303A68"/>
    <w:rsid w:val="00303A8A"/>
    <w:rsid w:val="00303AD0"/>
    <w:rsid w:val="00303B69"/>
    <w:rsid w:val="00303B8A"/>
    <w:rsid w:val="00303BC0"/>
    <w:rsid w:val="00303BC3"/>
    <w:rsid w:val="00303BD0"/>
    <w:rsid w:val="00303BE7"/>
    <w:rsid w:val="00303BF7"/>
    <w:rsid w:val="00303C0C"/>
    <w:rsid w:val="00303C14"/>
    <w:rsid w:val="00303C49"/>
    <w:rsid w:val="00303C79"/>
    <w:rsid w:val="00303C9B"/>
    <w:rsid w:val="00303CA5"/>
    <w:rsid w:val="00303CB9"/>
    <w:rsid w:val="00303CC6"/>
    <w:rsid w:val="00303CCF"/>
    <w:rsid w:val="00303CEA"/>
    <w:rsid w:val="00303CF3"/>
    <w:rsid w:val="00303D00"/>
    <w:rsid w:val="00303D0B"/>
    <w:rsid w:val="00303D29"/>
    <w:rsid w:val="00303D59"/>
    <w:rsid w:val="00303DA5"/>
    <w:rsid w:val="00303DD6"/>
    <w:rsid w:val="00303E00"/>
    <w:rsid w:val="00303E39"/>
    <w:rsid w:val="00303E77"/>
    <w:rsid w:val="00303EAC"/>
    <w:rsid w:val="00303ED9"/>
    <w:rsid w:val="00303EEC"/>
    <w:rsid w:val="00303F13"/>
    <w:rsid w:val="00303F54"/>
    <w:rsid w:val="00303F68"/>
    <w:rsid w:val="00303F6F"/>
    <w:rsid w:val="00303F7A"/>
    <w:rsid w:val="00303FF1"/>
    <w:rsid w:val="00304026"/>
    <w:rsid w:val="0030402A"/>
    <w:rsid w:val="003040BD"/>
    <w:rsid w:val="003040E6"/>
    <w:rsid w:val="0030414E"/>
    <w:rsid w:val="00304171"/>
    <w:rsid w:val="00304205"/>
    <w:rsid w:val="003042B2"/>
    <w:rsid w:val="003042CC"/>
    <w:rsid w:val="0030430A"/>
    <w:rsid w:val="0030434E"/>
    <w:rsid w:val="00304524"/>
    <w:rsid w:val="0030456E"/>
    <w:rsid w:val="0030458C"/>
    <w:rsid w:val="003045A1"/>
    <w:rsid w:val="003045BB"/>
    <w:rsid w:val="00304604"/>
    <w:rsid w:val="00304649"/>
    <w:rsid w:val="00304661"/>
    <w:rsid w:val="003046B6"/>
    <w:rsid w:val="003046CD"/>
    <w:rsid w:val="003046D3"/>
    <w:rsid w:val="003046F5"/>
    <w:rsid w:val="00304705"/>
    <w:rsid w:val="00304738"/>
    <w:rsid w:val="003047A5"/>
    <w:rsid w:val="003047C8"/>
    <w:rsid w:val="0030480C"/>
    <w:rsid w:val="00304813"/>
    <w:rsid w:val="0030485C"/>
    <w:rsid w:val="00304863"/>
    <w:rsid w:val="0030488F"/>
    <w:rsid w:val="003048DB"/>
    <w:rsid w:val="003048F6"/>
    <w:rsid w:val="003048FF"/>
    <w:rsid w:val="0030493A"/>
    <w:rsid w:val="0030495F"/>
    <w:rsid w:val="00304984"/>
    <w:rsid w:val="003049C6"/>
    <w:rsid w:val="003049DF"/>
    <w:rsid w:val="003049E7"/>
    <w:rsid w:val="00304A09"/>
    <w:rsid w:val="00304A1D"/>
    <w:rsid w:val="00304A2F"/>
    <w:rsid w:val="00304A42"/>
    <w:rsid w:val="00304A59"/>
    <w:rsid w:val="00304A5B"/>
    <w:rsid w:val="00304A61"/>
    <w:rsid w:val="00304A86"/>
    <w:rsid w:val="00304AA2"/>
    <w:rsid w:val="00304AA9"/>
    <w:rsid w:val="00304AB8"/>
    <w:rsid w:val="00304AD4"/>
    <w:rsid w:val="00304AE7"/>
    <w:rsid w:val="00304AF5"/>
    <w:rsid w:val="00304B1A"/>
    <w:rsid w:val="00304B61"/>
    <w:rsid w:val="00304B82"/>
    <w:rsid w:val="00304B99"/>
    <w:rsid w:val="00304BBF"/>
    <w:rsid w:val="00304BF0"/>
    <w:rsid w:val="00304C2D"/>
    <w:rsid w:val="00304C99"/>
    <w:rsid w:val="00304CFF"/>
    <w:rsid w:val="00304D06"/>
    <w:rsid w:val="00304D51"/>
    <w:rsid w:val="00304D81"/>
    <w:rsid w:val="00304D89"/>
    <w:rsid w:val="00304DAF"/>
    <w:rsid w:val="00304DE1"/>
    <w:rsid w:val="00304E43"/>
    <w:rsid w:val="00304E45"/>
    <w:rsid w:val="00304E58"/>
    <w:rsid w:val="00304E79"/>
    <w:rsid w:val="00304E7E"/>
    <w:rsid w:val="00304E99"/>
    <w:rsid w:val="00304F0B"/>
    <w:rsid w:val="00304F1B"/>
    <w:rsid w:val="00304F42"/>
    <w:rsid w:val="00304F4D"/>
    <w:rsid w:val="00305001"/>
    <w:rsid w:val="00305017"/>
    <w:rsid w:val="0030502A"/>
    <w:rsid w:val="0030502C"/>
    <w:rsid w:val="00305056"/>
    <w:rsid w:val="0030506B"/>
    <w:rsid w:val="0030506C"/>
    <w:rsid w:val="00305091"/>
    <w:rsid w:val="003050E5"/>
    <w:rsid w:val="00305100"/>
    <w:rsid w:val="00305159"/>
    <w:rsid w:val="00305179"/>
    <w:rsid w:val="003051B4"/>
    <w:rsid w:val="003051BB"/>
    <w:rsid w:val="003051DB"/>
    <w:rsid w:val="003051E6"/>
    <w:rsid w:val="0030520F"/>
    <w:rsid w:val="0030522B"/>
    <w:rsid w:val="0030524C"/>
    <w:rsid w:val="00305257"/>
    <w:rsid w:val="003052B2"/>
    <w:rsid w:val="003052E0"/>
    <w:rsid w:val="003052EA"/>
    <w:rsid w:val="00305360"/>
    <w:rsid w:val="003053D2"/>
    <w:rsid w:val="003053DE"/>
    <w:rsid w:val="00305404"/>
    <w:rsid w:val="0030540D"/>
    <w:rsid w:val="00305454"/>
    <w:rsid w:val="0030545F"/>
    <w:rsid w:val="0030548B"/>
    <w:rsid w:val="003054CE"/>
    <w:rsid w:val="003054DC"/>
    <w:rsid w:val="0030554A"/>
    <w:rsid w:val="00305554"/>
    <w:rsid w:val="00305562"/>
    <w:rsid w:val="0030557F"/>
    <w:rsid w:val="003055AA"/>
    <w:rsid w:val="003055C7"/>
    <w:rsid w:val="003055C8"/>
    <w:rsid w:val="003055CB"/>
    <w:rsid w:val="003055D4"/>
    <w:rsid w:val="003055DB"/>
    <w:rsid w:val="003055E6"/>
    <w:rsid w:val="00305617"/>
    <w:rsid w:val="00305618"/>
    <w:rsid w:val="0030566B"/>
    <w:rsid w:val="00305683"/>
    <w:rsid w:val="003056C9"/>
    <w:rsid w:val="003056DB"/>
    <w:rsid w:val="003056F0"/>
    <w:rsid w:val="00305711"/>
    <w:rsid w:val="00305720"/>
    <w:rsid w:val="00305733"/>
    <w:rsid w:val="00305777"/>
    <w:rsid w:val="0030578A"/>
    <w:rsid w:val="00305797"/>
    <w:rsid w:val="003057B8"/>
    <w:rsid w:val="003057C2"/>
    <w:rsid w:val="00305817"/>
    <w:rsid w:val="0030584F"/>
    <w:rsid w:val="0030585C"/>
    <w:rsid w:val="00305862"/>
    <w:rsid w:val="00305863"/>
    <w:rsid w:val="003058A5"/>
    <w:rsid w:val="003058A8"/>
    <w:rsid w:val="003058C2"/>
    <w:rsid w:val="003058DB"/>
    <w:rsid w:val="00305978"/>
    <w:rsid w:val="003059AE"/>
    <w:rsid w:val="003059C7"/>
    <w:rsid w:val="003059E0"/>
    <w:rsid w:val="003059E2"/>
    <w:rsid w:val="003059E6"/>
    <w:rsid w:val="00305A54"/>
    <w:rsid w:val="00305A89"/>
    <w:rsid w:val="00305A9F"/>
    <w:rsid w:val="00305AA4"/>
    <w:rsid w:val="00305AD4"/>
    <w:rsid w:val="00305B0B"/>
    <w:rsid w:val="00305B2D"/>
    <w:rsid w:val="00305B4C"/>
    <w:rsid w:val="00305B6F"/>
    <w:rsid w:val="00305B74"/>
    <w:rsid w:val="00305B7C"/>
    <w:rsid w:val="00305B86"/>
    <w:rsid w:val="00305B8B"/>
    <w:rsid w:val="00305BC9"/>
    <w:rsid w:val="00305BD7"/>
    <w:rsid w:val="00305C18"/>
    <w:rsid w:val="00305C4C"/>
    <w:rsid w:val="00305C4E"/>
    <w:rsid w:val="00305C66"/>
    <w:rsid w:val="00305C6B"/>
    <w:rsid w:val="00305C72"/>
    <w:rsid w:val="00305CAF"/>
    <w:rsid w:val="00305CBF"/>
    <w:rsid w:val="00305CC7"/>
    <w:rsid w:val="00305CDA"/>
    <w:rsid w:val="00305D05"/>
    <w:rsid w:val="00305D25"/>
    <w:rsid w:val="00305DB5"/>
    <w:rsid w:val="00305DCE"/>
    <w:rsid w:val="00305E00"/>
    <w:rsid w:val="00305E7C"/>
    <w:rsid w:val="00305F79"/>
    <w:rsid w:val="00305F7F"/>
    <w:rsid w:val="00305FAE"/>
    <w:rsid w:val="00305FB0"/>
    <w:rsid w:val="00305FB5"/>
    <w:rsid w:val="00305FC6"/>
    <w:rsid w:val="00305FD1"/>
    <w:rsid w:val="00305FE9"/>
    <w:rsid w:val="00306025"/>
    <w:rsid w:val="0030602C"/>
    <w:rsid w:val="0030607A"/>
    <w:rsid w:val="003060CD"/>
    <w:rsid w:val="003060D8"/>
    <w:rsid w:val="003060FB"/>
    <w:rsid w:val="0030612D"/>
    <w:rsid w:val="00306156"/>
    <w:rsid w:val="00306178"/>
    <w:rsid w:val="0030617B"/>
    <w:rsid w:val="00306180"/>
    <w:rsid w:val="00306265"/>
    <w:rsid w:val="003062A5"/>
    <w:rsid w:val="003062D7"/>
    <w:rsid w:val="00306303"/>
    <w:rsid w:val="0030632C"/>
    <w:rsid w:val="00306377"/>
    <w:rsid w:val="00306403"/>
    <w:rsid w:val="0030645B"/>
    <w:rsid w:val="0030646E"/>
    <w:rsid w:val="0030647B"/>
    <w:rsid w:val="003064B6"/>
    <w:rsid w:val="003064C8"/>
    <w:rsid w:val="003064D0"/>
    <w:rsid w:val="003064F6"/>
    <w:rsid w:val="00306557"/>
    <w:rsid w:val="0030658B"/>
    <w:rsid w:val="003065CB"/>
    <w:rsid w:val="0030665D"/>
    <w:rsid w:val="003066A0"/>
    <w:rsid w:val="003066BC"/>
    <w:rsid w:val="00306777"/>
    <w:rsid w:val="0030678C"/>
    <w:rsid w:val="0030678D"/>
    <w:rsid w:val="0030678F"/>
    <w:rsid w:val="003067C0"/>
    <w:rsid w:val="003067CB"/>
    <w:rsid w:val="00306842"/>
    <w:rsid w:val="0030685B"/>
    <w:rsid w:val="00306863"/>
    <w:rsid w:val="0030686C"/>
    <w:rsid w:val="0030687D"/>
    <w:rsid w:val="00306892"/>
    <w:rsid w:val="003068C6"/>
    <w:rsid w:val="003068D6"/>
    <w:rsid w:val="003068ED"/>
    <w:rsid w:val="003068F1"/>
    <w:rsid w:val="00306905"/>
    <w:rsid w:val="00306984"/>
    <w:rsid w:val="003069DB"/>
    <w:rsid w:val="003069F0"/>
    <w:rsid w:val="00306A35"/>
    <w:rsid w:val="00306A4E"/>
    <w:rsid w:val="00306A5B"/>
    <w:rsid w:val="00306A66"/>
    <w:rsid w:val="00306ABC"/>
    <w:rsid w:val="00306AFD"/>
    <w:rsid w:val="00306B15"/>
    <w:rsid w:val="00306B1D"/>
    <w:rsid w:val="00306B3C"/>
    <w:rsid w:val="00306B7F"/>
    <w:rsid w:val="00306BDD"/>
    <w:rsid w:val="00306C2F"/>
    <w:rsid w:val="00306C3A"/>
    <w:rsid w:val="00306C82"/>
    <w:rsid w:val="00306C84"/>
    <w:rsid w:val="00306C8C"/>
    <w:rsid w:val="00306CBD"/>
    <w:rsid w:val="00306CE1"/>
    <w:rsid w:val="00306D0A"/>
    <w:rsid w:val="00306D27"/>
    <w:rsid w:val="00306D31"/>
    <w:rsid w:val="00306D6E"/>
    <w:rsid w:val="00306D75"/>
    <w:rsid w:val="00306D7C"/>
    <w:rsid w:val="00306DAC"/>
    <w:rsid w:val="00306DB6"/>
    <w:rsid w:val="00306DCA"/>
    <w:rsid w:val="00306E1B"/>
    <w:rsid w:val="00306E62"/>
    <w:rsid w:val="00306E95"/>
    <w:rsid w:val="00306E9F"/>
    <w:rsid w:val="00306EBF"/>
    <w:rsid w:val="00306EE6"/>
    <w:rsid w:val="00306F0E"/>
    <w:rsid w:val="00306F75"/>
    <w:rsid w:val="00306FC8"/>
    <w:rsid w:val="00306FDF"/>
    <w:rsid w:val="00307094"/>
    <w:rsid w:val="0030709A"/>
    <w:rsid w:val="003070A3"/>
    <w:rsid w:val="003070B3"/>
    <w:rsid w:val="0030712B"/>
    <w:rsid w:val="0030712C"/>
    <w:rsid w:val="0030717A"/>
    <w:rsid w:val="0030719C"/>
    <w:rsid w:val="003071BF"/>
    <w:rsid w:val="003071C5"/>
    <w:rsid w:val="003071DC"/>
    <w:rsid w:val="0030720D"/>
    <w:rsid w:val="00307238"/>
    <w:rsid w:val="003072D8"/>
    <w:rsid w:val="00307318"/>
    <w:rsid w:val="00307388"/>
    <w:rsid w:val="003073DD"/>
    <w:rsid w:val="003073FC"/>
    <w:rsid w:val="0030740A"/>
    <w:rsid w:val="00307424"/>
    <w:rsid w:val="00307445"/>
    <w:rsid w:val="003074AD"/>
    <w:rsid w:val="003074D4"/>
    <w:rsid w:val="003074D7"/>
    <w:rsid w:val="003074F9"/>
    <w:rsid w:val="0030755D"/>
    <w:rsid w:val="00307567"/>
    <w:rsid w:val="00307582"/>
    <w:rsid w:val="00307588"/>
    <w:rsid w:val="00307640"/>
    <w:rsid w:val="0030764D"/>
    <w:rsid w:val="0030765D"/>
    <w:rsid w:val="0030766C"/>
    <w:rsid w:val="00307699"/>
    <w:rsid w:val="0030769E"/>
    <w:rsid w:val="003076A2"/>
    <w:rsid w:val="003076CE"/>
    <w:rsid w:val="003076DB"/>
    <w:rsid w:val="003076E6"/>
    <w:rsid w:val="0030770E"/>
    <w:rsid w:val="0030774A"/>
    <w:rsid w:val="0030775F"/>
    <w:rsid w:val="00307766"/>
    <w:rsid w:val="003077A4"/>
    <w:rsid w:val="00307800"/>
    <w:rsid w:val="00307801"/>
    <w:rsid w:val="00307859"/>
    <w:rsid w:val="0030787E"/>
    <w:rsid w:val="003078E8"/>
    <w:rsid w:val="003078EE"/>
    <w:rsid w:val="00307906"/>
    <w:rsid w:val="00307936"/>
    <w:rsid w:val="00307944"/>
    <w:rsid w:val="0030796A"/>
    <w:rsid w:val="003079A7"/>
    <w:rsid w:val="003079B3"/>
    <w:rsid w:val="003079DE"/>
    <w:rsid w:val="003079F7"/>
    <w:rsid w:val="00307A21"/>
    <w:rsid w:val="00307A33"/>
    <w:rsid w:val="00307A38"/>
    <w:rsid w:val="00307A51"/>
    <w:rsid w:val="00307A69"/>
    <w:rsid w:val="00307AAC"/>
    <w:rsid w:val="00307ABD"/>
    <w:rsid w:val="00307AC2"/>
    <w:rsid w:val="00307AD3"/>
    <w:rsid w:val="00307AF9"/>
    <w:rsid w:val="00307B42"/>
    <w:rsid w:val="00307B7E"/>
    <w:rsid w:val="00307C65"/>
    <w:rsid w:val="00307C67"/>
    <w:rsid w:val="00307CE5"/>
    <w:rsid w:val="00307D0A"/>
    <w:rsid w:val="00307D0E"/>
    <w:rsid w:val="00307D1A"/>
    <w:rsid w:val="00307D97"/>
    <w:rsid w:val="00307DA8"/>
    <w:rsid w:val="00307DE1"/>
    <w:rsid w:val="00307E32"/>
    <w:rsid w:val="00307E35"/>
    <w:rsid w:val="00307E4B"/>
    <w:rsid w:val="00307E66"/>
    <w:rsid w:val="00307E69"/>
    <w:rsid w:val="00307E71"/>
    <w:rsid w:val="00307E9D"/>
    <w:rsid w:val="00307EBA"/>
    <w:rsid w:val="00307F0B"/>
    <w:rsid w:val="00307F11"/>
    <w:rsid w:val="00307F3D"/>
    <w:rsid w:val="00307F56"/>
    <w:rsid w:val="00310020"/>
    <w:rsid w:val="0031004E"/>
    <w:rsid w:val="00310059"/>
    <w:rsid w:val="0031007F"/>
    <w:rsid w:val="0031008F"/>
    <w:rsid w:val="003100AE"/>
    <w:rsid w:val="003100CA"/>
    <w:rsid w:val="003100D3"/>
    <w:rsid w:val="003100DD"/>
    <w:rsid w:val="00310101"/>
    <w:rsid w:val="0031012B"/>
    <w:rsid w:val="00310156"/>
    <w:rsid w:val="00310158"/>
    <w:rsid w:val="00310177"/>
    <w:rsid w:val="0031018E"/>
    <w:rsid w:val="00310190"/>
    <w:rsid w:val="003101E0"/>
    <w:rsid w:val="003101EC"/>
    <w:rsid w:val="00310204"/>
    <w:rsid w:val="00310217"/>
    <w:rsid w:val="0031021A"/>
    <w:rsid w:val="00310247"/>
    <w:rsid w:val="00310272"/>
    <w:rsid w:val="0031027F"/>
    <w:rsid w:val="00310293"/>
    <w:rsid w:val="003102DE"/>
    <w:rsid w:val="00310320"/>
    <w:rsid w:val="00310344"/>
    <w:rsid w:val="0031034D"/>
    <w:rsid w:val="00310367"/>
    <w:rsid w:val="00310377"/>
    <w:rsid w:val="0031037A"/>
    <w:rsid w:val="0031038E"/>
    <w:rsid w:val="003103BD"/>
    <w:rsid w:val="003103D9"/>
    <w:rsid w:val="00310473"/>
    <w:rsid w:val="0031047A"/>
    <w:rsid w:val="003104C8"/>
    <w:rsid w:val="003104CA"/>
    <w:rsid w:val="0031050D"/>
    <w:rsid w:val="0031052B"/>
    <w:rsid w:val="00310561"/>
    <w:rsid w:val="00310576"/>
    <w:rsid w:val="003105A9"/>
    <w:rsid w:val="003105DD"/>
    <w:rsid w:val="003105F1"/>
    <w:rsid w:val="003105FF"/>
    <w:rsid w:val="00310623"/>
    <w:rsid w:val="00310631"/>
    <w:rsid w:val="0031063D"/>
    <w:rsid w:val="00310647"/>
    <w:rsid w:val="0031066C"/>
    <w:rsid w:val="003106B1"/>
    <w:rsid w:val="003106E5"/>
    <w:rsid w:val="00310736"/>
    <w:rsid w:val="003107EE"/>
    <w:rsid w:val="00310803"/>
    <w:rsid w:val="00310846"/>
    <w:rsid w:val="0031084A"/>
    <w:rsid w:val="00310861"/>
    <w:rsid w:val="00310884"/>
    <w:rsid w:val="003108AE"/>
    <w:rsid w:val="003108C2"/>
    <w:rsid w:val="003108CB"/>
    <w:rsid w:val="003108D8"/>
    <w:rsid w:val="0031098E"/>
    <w:rsid w:val="003109DF"/>
    <w:rsid w:val="00310A70"/>
    <w:rsid w:val="00310A77"/>
    <w:rsid w:val="00310A9D"/>
    <w:rsid w:val="00310AAA"/>
    <w:rsid w:val="00310ABD"/>
    <w:rsid w:val="00310AC5"/>
    <w:rsid w:val="00310ACA"/>
    <w:rsid w:val="00310ACC"/>
    <w:rsid w:val="00310AD0"/>
    <w:rsid w:val="00310AD9"/>
    <w:rsid w:val="00310AE3"/>
    <w:rsid w:val="00310B0E"/>
    <w:rsid w:val="00310B17"/>
    <w:rsid w:val="00310B34"/>
    <w:rsid w:val="00310B51"/>
    <w:rsid w:val="00310B93"/>
    <w:rsid w:val="00310B99"/>
    <w:rsid w:val="00310BA5"/>
    <w:rsid w:val="00310BB6"/>
    <w:rsid w:val="00310BEE"/>
    <w:rsid w:val="00310C36"/>
    <w:rsid w:val="00310C55"/>
    <w:rsid w:val="00310C7F"/>
    <w:rsid w:val="00310C96"/>
    <w:rsid w:val="00310CC8"/>
    <w:rsid w:val="00310D3E"/>
    <w:rsid w:val="00310D62"/>
    <w:rsid w:val="00310D7B"/>
    <w:rsid w:val="00310DA5"/>
    <w:rsid w:val="00310DD5"/>
    <w:rsid w:val="00310DD7"/>
    <w:rsid w:val="00310DDF"/>
    <w:rsid w:val="00310DF4"/>
    <w:rsid w:val="00310DFE"/>
    <w:rsid w:val="00310E05"/>
    <w:rsid w:val="00310E1D"/>
    <w:rsid w:val="00310E24"/>
    <w:rsid w:val="00310E31"/>
    <w:rsid w:val="00310E51"/>
    <w:rsid w:val="00310E8B"/>
    <w:rsid w:val="00310E98"/>
    <w:rsid w:val="00310EAB"/>
    <w:rsid w:val="00310EDE"/>
    <w:rsid w:val="00310EF4"/>
    <w:rsid w:val="00310EFE"/>
    <w:rsid w:val="00310F1F"/>
    <w:rsid w:val="00310F20"/>
    <w:rsid w:val="00310F2A"/>
    <w:rsid w:val="00310F93"/>
    <w:rsid w:val="00310FD0"/>
    <w:rsid w:val="00311097"/>
    <w:rsid w:val="003110AF"/>
    <w:rsid w:val="003110BD"/>
    <w:rsid w:val="003110D8"/>
    <w:rsid w:val="003110E2"/>
    <w:rsid w:val="003110F2"/>
    <w:rsid w:val="0031116C"/>
    <w:rsid w:val="00311181"/>
    <w:rsid w:val="003111B5"/>
    <w:rsid w:val="003111B8"/>
    <w:rsid w:val="003111EA"/>
    <w:rsid w:val="003111EE"/>
    <w:rsid w:val="003111FC"/>
    <w:rsid w:val="00311220"/>
    <w:rsid w:val="00311260"/>
    <w:rsid w:val="00311267"/>
    <w:rsid w:val="003112A0"/>
    <w:rsid w:val="003112A2"/>
    <w:rsid w:val="003112C2"/>
    <w:rsid w:val="0031130D"/>
    <w:rsid w:val="00311324"/>
    <w:rsid w:val="00311333"/>
    <w:rsid w:val="0031134C"/>
    <w:rsid w:val="003113A5"/>
    <w:rsid w:val="003113D8"/>
    <w:rsid w:val="003113E4"/>
    <w:rsid w:val="0031140C"/>
    <w:rsid w:val="0031142B"/>
    <w:rsid w:val="00311436"/>
    <w:rsid w:val="00311447"/>
    <w:rsid w:val="00311480"/>
    <w:rsid w:val="003114B4"/>
    <w:rsid w:val="00311558"/>
    <w:rsid w:val="00311586"/>
    <w:rsid w:val="00311588"/>
    <w:rsid w:val="0031159E"/>
    <w:rsid w:val="003115D6"/>
    <w:rsid w:val="003115E2"/>
    <w:rsid w:val="003115F5"/>
    <w:rsid w:val="0031160E"/>
    <w:rsid w:val="00311641"/>
    <w:rsid w:val="0031164F"/>
    <w:rsid w:val="003116A3"/>
    <w:rsid w:val="003116A9"/>
    <w:rsid w:val="003116BC"/>
    <w:rsid w:val="00311738"/>
    <w:rsid w:val="00311799"/>
    <w:rsid w:val="003117B2"/>
    <w:rsid w:val="00311810"/>
    <w:rsid w:val="00311815"/>
    <w:rsid w:val="0031181A"/>
    <w:rsid w:val="00311842"/>
    <w:rsid w:val="00311849"/>
    <w:rsid w:val="00311873"/>
    <w:rsid w:val="00311876"/>
    <w:rsid w:val="00311890"/>
    <w:rsid w:val="003118A6"/>
    <w:rsid w:val="003118C6"/>
    <w:rsid w:val="003118F2"/>
    <w:rsid w:val="00311900"/>
    <w:rsid w:val="00311917"/>
    <w:rsid w:val="00311919"/>
    <w:rsid w:val="003119D5"/>
    <w:rsid w:val="003119DA"/>
    <w:rsid w:val="003119E1"/>
    <w:rsid w:val="003119E9"/>
    <w:rsid w:val="00311A2B"/>
    <w:rsid w:val="00311A76"/>
    <w:rsid w:val="00311A9D"/>
    <w:rsid w:val="00311B16"/>
    <w:rsid w:val="00311B86"/>
    <w:rsid w:val="00311B88"/>
    <w:rsid w:val="00311C5E"/>
    <w:rsid w:val="00311C7A"/>
    <w:rsid w:val="00311CA3"/>
    <w:rsid w:val="00311CC1"/>
    <w:rsid w:val="00311CEE"/>
    <w:rsid w:val="00311D05"/>
    <w:rsid w:val="00311D4C"/>
    <w:rsid w:val="00311D65"/>
    <w:rsid w:val="00311D9A"/>
    <w:rsid w:val="00311DAB"/>
    <w:rsid w:val="00311E24"/>
    <w:rsid w:val="00311EC2"/>
    <w:rsid w:val="00311F1E"/>
    <w:rsid w:val="00311F35"/>
    <w:rsid w:val="00311F78"/>
    <w:rsid w:val="00311FC0"/>
    <w:rsid w:val="00311FCD"/>
    <w:rsid w:val="00311FFA"/>
    <w:rsid w:val="0031202B"/>
    <w:rsid w:val="00312032"/>
    <w:rsid w:val="00312043"/>
    <w:rsid w:val="0031204C"/>
    <w:rsid w:val="0031206A"/>
    <w:rsid w:val="00312085"/>
    <w:rsid w:val="003120C5"/>
    <w:rsid w:val="00312105"/>
    <w:rsid w:val="00312112"/>
    <w:rsid w:val="0031212A"/>
    <w:rsid w:val="003121D8"/>
    <w:rsid w:val="0031220F"/>
    <w:rsid w:val="0031223A"/>
    <w:rsid w:val="00312247"/>
    <w:rsid w:val="00312267"/>
    <w:rsid w:val="0031226D"/>
    <w:rsid w:val="003122C5"/>
    <w:rsid w:val="003122CC"/>
    <w:rsid w:val="003122D8"/>
    <w:rsid w:val="00312325"/>
    <w:rsid w:val="0031232C"/>
    <w:rsid w:val="00312330"/>
    <w:rsid w:val="0031234F"/>
    <w:rsid w:val="00312359"/>
    <w:rsid w:val="0031237E"/>
    <w:rsid w:val="003123C2"/>
    <w:rsid w:val="003123CD"/>
    <w:rsid w:val="0031246D"/>
    <w:rsid w:val="00312471"/>
    <w:rsid w:val="003124A7"/>
    <w:rsid w:val="003124C2"/>
    <w:rsid w:val="003124CA"/>
    <w:rsid w:val="003124CD"/>
    <w:rsid w:val="00312516"/>
    <w:rsid w:val="00312558"/>
    <w:rsid w:val="0031256A"/>
    <w:rsid w:val="00312594"/>
    <w:rsid w:val="003125D3"/>
    <w:rsid w:val="003125D9"/>
    <w:rsid w:val="003125FF"/>
    <w:rsid w:val="00312608"/>
    <w:rsid w:val="003126A9"/>
    <w:rsid w:val="003126DB"/>
    <w:rsid w:val="003126E0"/>
    <w:rsid w:val="003126E4"/>
    <w:rsid w:val="00312718"/>
    <w:rsid w:val="0031271F"/>
    <w:rsid w:val="0031272B"/>
    <w:rsid w:val="0031273A"/>
    <w:rsid w:val="00312761"/>
    <w:rsid w:val="00312764"/>
    <w:rsid w:val="00312775"/>
    <w:rsid w:val="00312800"/>
    <w:rsid w:val="00312802"/>
    <w:rsid w:val="00312804"/>
    <w:rsid w:val="00312814"/>
    <w:rsid w:val="00312878"/>
    <w:rsid w:val="003128AE"/>
    <w:rsid w:val="0031292A"/>
    <w:rsid w:val="00312952"/>
    <w:rsid w:val="0031295C"/>
    <w:rsid w:val="00312974"/>
    <w:rsid w:val="00312982"/>
    <w:rsid w:val="003129AA"/>
    <w:rsid w:val="003129B5"/>
    <w:rsid w:val="003129F1"/>
    <w:rsid w:val="00312A2A"/>
    <w:rsid w:val="00312A30"/>
    <w:rsid w:val="00312A65"/>
    <w:rsid w:val="00312A97"/>
    <w:rsid w:val="00312ADC"/>
    <w:rsid w:val="00312B2F"/>
    <w:rsid w:val="00312B36"/>
    <w:rsid w:val="00312B51"/>
    <w:rsid w:val="00312B57"/>
    <w:rsid w:val="00312B68"/>
    <w:rsid w:val="00312B76"/>
    <w:rsid w:val="00312BC6"/>
    <w:rsid w:val="00312BD1"/>
    <w:rsid w:val="00312BEC"/>
    <w:rsid w:val="00312C24"/>
    <w:rsid w:val="00312C56"/>
    <w:rsid w:val="00312C66"/>
    <w:rsid w:val="00312C6D"/>
    <w:rsid w:val="00312CAF"/>
    <w:rsid w:val="00312D26"/>
    <w:rsid w:val="00312D39"/>
    <w:rsid w:val="00312D48"/>
    <w:rsid w:val="00312DA9"/>
    <w:rsid w:val="00312DBB"/>
    <w:rsid w:val="00312DFB"/>
    <w:rsid w:val="00312E23"/>
    <w:rsid w:val="00312E3C"/>
    <w:rsid w:val="00312E65"/>
    <w:rsid w:val="00312E69"/>
    <w:rsid w:val="00312E93"/>
    <w:rsid w:val="00312E9A"/>
    <w:rsid w:val="00312ECF"/>
    <w:rsid w:val="00312EF8"/>
    <w:rsid w:val="00312F1A"/>
    <w:rsid w:val="00312F4C"/>
    <w:rsid w:val="00312F6E"/>
    <w:rsid w:val="00312FC8"/>
    <w:rsid w:val="00312FE9"/>
    <w:rsid w:val="00313003"/>
    <w:rsid w:val="00313009"/>
    <w:rsid w:val="0031300B"/>
    <w:rsid w:val="00313014"/>
    <w:rsid w:val="0031302F"/>
    <w:rsid w:val="00313043"/>
    <w:rsid w:val="0031304E"/>
    <w:rsid w:val="00313057"/>
    <w:rsid w:val="0031306C"/>
    <w:rsid w:val="0031308C"/>
    <w:rsid w:val="003130BF"/>
    <w:rsid w:val="003130CE"/>
    <w:rsid w:val="003130F3"/>
    <w:rsid w:val="003130F6"/>
    <w:rsid w:val="00313128"/>
    <w:rsid w:val="00313137"/>
    <w:rsid w:val="00313166"/>
    <w:rsid w:val="003131D0"/>
    <w:rsid w:val="003131F2"/>
    <w:rsid w:val="00313205"/>
    <w:rsid w:val="0031327C"/>
    <w:rsid w:val="003132BA"/>
    <w:rsid w:val="003132BE"/>
    <w:rsid w:val="003132CF"/>
    <w:rsid w:val="003132F8"/>
    <w:rsid w:val="003132FA"/>
    <w:rsid w:val="00313310"/>
    <w:rsid w:val="0031331E"/>
    <w:rsid w:val="0031335A"/>
    <w:rsid w:val="00313364"/>
    <w:rsid w:val="0031338E"/>
    <w:rsid w:val="003133CD"/>
    <w:rsid w:val="003133E9"/>
    <w:rsid w:val="00313408"/>
    <w:rsid w:val="00313472"/>
    <w:rsid w:val="0031347F"/>
    <w:rsid w:val="0031348F"/>
    <w:rsid w:val="003134AA"/>
    <w:rsid w:val="003134D5"/>
    <w:rsid w:val="003134DE"/>
    <w:rsid w:val="003134DF"/>
    <w:rsid w:val="003134F0"/>
    <w:rsid w:val="003134FF"/>
    <w:rsid w:val="00313505"/>
    <w:rsid w:val="00313543"/>
    <w:rsid w:val="003135AC"/>
    <w:rsid w:val="003135ED"/>
    <w:rsid w:val="003135F8"/>
    <w:rsid w:val="00313623"/>
    <w:rsid w:val="00313638"/>
    <w:rsid w:val="00313642"/>
    <w:rsid w:val="00313691"/>
    <w:rsid w:val="003136A9"/>
    <w:rsid w:val="003136B4"/>
    <w:rsid w:val="00313717"/>
    <w:rsid w:val="0031371B"/>
    <w:rsid w:val="0031373F"/>
    <w:rsid w:val="00313747"/>
    <w:rsid w:val="0031374A"/>
    <w:rsid w:val="0031376E"/>
    <w:rsid w:val="003137A9"/>
    <w:rsid w:val="003137AD"/>
    <w:rsid w:val="003137D9"/>
    <w:rsid w:val="003137DB"/>
    <w:rsid w:val="003137E0"/>
    <w:rsid w:val="0031385B"/>
    <w:rsid w:val="003138DF"/>
    <w:rsid w:val="00313918"/>
    <w:rsid w:val="00313932"/>
    <w:rsid w:val="0031394D"/>
    <w:rsid w:val="0031394F"/>
    <w:rsid w:val="00313951"/>
    <w:rsid w:val="00313983"/>
    <w:rsid w:val="003139C0"/>
    <w:rsid w:val="003139FB"/>
    <w:rsid w:val="00313A07"/>
    <w:rsid w:val="00313A7D"/>
    <w:rsid w:val="00313B2A"/>
    <w:rsid w:val="00313B36"/>
    <w:rsid w:val="00313B42"/>
    <w:rsid w:val="00313B7C"/>
    <w:rsid w:val="00313BDE"/>
    <w:rsid w:val="00313BFA"/>
    <w:rsid w:val="00313C26"/>
    <w:rsid w:val="00313C76"/>
    <w:rsid w:val="00313CA3"/>
    <w:rsid w:val="00313D58"/>
    <w:rsid w:val="00313D5D"/>
    <w:rsid w:val="00313D65"/>
    <w:rsid w:val="00313DBC"/>
    <w:rsid w:val="00313DF2"/>
    <w:rsid w:val="00313E57"/>
    <w:rsid w:val="00313E8E"/>
    <w:rsid w:val="00313E9A"/>
    <w:rsid w:val="00313EA1"/>
    <w:rsid w:val="00313EF4"/>
    <w:rsid w:val="00313F6C"/>
    <w:rsid w:val="00313FC9"/>
    <w:rsid w:val="00313FDC"/>
    <w:rsid w:val="00313FDD"/>
    <w:rsid w:val="00313FF0"/>
    <w:rsid w:val="00313FF7"/>
    <w:rsid w:val="0031400C"/>
    <w:rsid w:val="0031401C"/>
    <w:rsid w:val="00314064"/>
    <w:rsid w:val="0031406B"/>
    <w:rsid w:val="0031406D"/>
    <w:rsid w:val="00314088"/>
    <w:rsid w:val="003140CF"/>
    <w:rsid w:val="003141F7"/>
    <w:rsid w:val="00314219"/>
    <w:rsid w:val="0031423A"/>
    <w:rsid w:val="00314263"/>
    <w:rsid w:val="00314268"/>
    <w:rsid w:val="0031426C"/>
    <w:rsid w:val="00314280"/>
    <w:rsid w:val="003142BC"/>
    <w:rsid w:val="003142C5"/>
    <w:rsid w:val="003142EE"/>
    <w:rsid w:val="003142EF"/>
    <w:rsid w:val="003142F0"/>
    <w:rsid w:val="00314333"/>
    <w:rsid w:val="0031434A"/>
    <w:rsid w:val="00314378"/>
    <w:rsid w:val="003143A2"/>
    <w:rsid w:val="003143AF"/>
    <w:rsid w:val="003143C2"/>
    <w:rsid w:val="003143F3"/>
    <w:rsid w:val="00314407"/>
    <w:rsid w:val="0031442B"/>
    <w:rsid w:val="0031443A"/>
    <w:rsid w:val="00314440"/>
    <w:rsid w:val="00314441"/>
    <w:rsid w:val="0031445B"/>
    <w:rsid w:val="00314480"/>
    <w:rsid w:val="00314486"/>
    <w:rsid w:val="003144AC"/>
    <w:rsid w:val="003144B5"/>
    <w:rsid w:val="003144EC"/>
    <w:rsid w:val="0031455E"/>
    <w:rsid w:val="00314587"/>
    <w:rsid w:val="0031459D"/>
    <w:rsid w:val="0031459E"/>
    <w:rsid w:val="003145A8"/>
    <w:rsid w:val="003145F8"/>
    <w:rsid w:val="00314615"/>
    <w:rsid w:val="0031461E"/>
    <w:rsid w:val="00314640"/>
    <w:rsid w:val="003146AF"/>
    <w:rsid w:val="003146EF"/>
    <w:rsid w:val="00314794"/>
    <w:rsid w:val="003147B0"/>
    <w:rsid w:val="003147BB"/>
    <w:rsid w:val="003147E5"/>
    <w:rsid w:val="00314805"/>
    <w:rsid w:val="0031486C"/>
    <w:rsid w:val="003148DF"/>
    <w:rsid w:val="003148ED"/>
    <w:rsid w:val="00314929"/>
    <w:rsid w:val="00314942"/>
    <w:rsid w:val="00314943"/>
    <w:rsid w:val="0031496E"/>
    <w:rsid w:val="00314996"/>
    <w:rsid w:val="003149A2"/>
    <w:rsid w:val="003149C1"/>
    <w:rsid w:val="003149D0"/>
    <w:rsid w:val="003149EC"/>
    <w:rsid w:val="00314A0C"/>
    <w:rsid w:val="00314A1F"/>
    <w:rsid w:val="00314A51"/>
    <w:rsid w:val="00314A7D"/>
    <w:rsid w:val="00314A85"/>
    <w:rsid w:val="00314AC1"/>
    <w:rsid w:val="00314ACB"/>
    <w:rsid w:val="00314B2E"/>
    <w:rsid w:val="00314B42"/>
    <w:rsid w:val="00314BF0"/>
    <w:rsid w:val="00314BF3"/>
    <w:rsid w:val="00314C1C"/>
    <w:rsid w:val="00314C35"/>
    <w:rsid w:val="00314CF5"/>
    <w:rsid w:val="00314D08"/>
    <w:rsid w:val="00314D26"/>
    <w:rsid w:val="00314D8D"/>
    <w:rsid w:val="00314E3B"/>
    <w:rsid w:val="00314E5C"/>
    <w:rsid w:val="00314E7B"/>
    <w:rsid w:val="00314F21"/>
    <w:rsid w:val="00314F9C"/>
    <w:rsid w:val="00314FE9"/>
    <w:rsid w:val="00314FFD"/>
    <w:rsid w:val="0031503C"/>
    <w:rsid w:val="00315042"/>
    <w:rsid w:val="00315096"/>
    <w:rsid w:val="003150A9"/>
    <w:rsid w:val="003150BF"/>
    <w:rsid w:val="00315106"/>
    <w:rsid w:val="00315137"/>
    <w:rsid w:val="00315143"/>
    <w:rsid w:val="00315157"/>
    <w:rsid w:val="00315159"/>
    <w:rsid w:val="00315167"/>
    <w:rsid w:val="003151AD"/>
    <w:rsid w:val="003151B0"/>
    <w:rsid w:val="003151E3"/>
    <w:rsid w:val="00315226"/>
    <w:rsid w:val="0031526C"/>
    <w:rsid w:val="003152A9"/>
    <w:rsid w:val="003152B9"/>
    <w:rsid w:val="003152BA"/>
    <w:rsid w:val="003152E4"/>
    <w:rsid w:val="00315327"/>
    <w:rsid w:val="0031535E"/>
    <w:rsid w:val="00315396"/>
    <w:rsid w:val="003153D6"/>
    <w:rsid w:val="003153FD"/>
    <w:rsid w:val="0031542A"/>
    <w:rsid w:val="0031544A"/>
    <w:rsid w:val="0031545A"/>
    <w:rsid w:val="00315466"/>
    <w:rsid w:val="00315473"/>
    <w:rsid w:val="0031548B"/>
    <w:rsid w:val="0031550E"/>
    <w:rsid w:val="00315510"/>
    <w:rsid w:val="00315520"/>
    <w:rsid w:val="00315522"/>
    <w:rsid w:val="00315524"/>
    <w:rsid w:val="0031562B"/>
    <w:rsid w:val="00315655"/>
    <w:rsid w:val="00315726"/>
    <w:rsid w:val="00315729"/>
    <w:rsid w:val="00315733"/>
    <w:rsid w:val="00315736"/>
    <w:rsid w:val="0031573C"/>
    <w:rsid w:val="00315774"/>
    <w:rsid w:val="00315793"/>
    <w:rsid w:val="003157C7"/>
    <w:rsid w:val="00315805"/>
    <w:rsid w:val="00315832"/>
    <w:rsid w:val="00315841"/>
    <w:rsid w:val="0031587D"/>
    <w:rsid w:val="0031588D"/>
    <w:rsid w:val="003158B5"/>
    <w:rsid w:val="003158D2"/>
    <w:rsid w:val="003158D7"/>
    <w:rsid w:val="003158DE"/>
    <w:rsid w:val="003158E6"/>
    <w:rsid w:val="0031590D"/>
    <w:rsid w:val="00315980"/>
    <w:rsid w:val="00315992"/>
    <w:rsid w:val="003159F1"/>
    <w:rsid w:val="00315A21"/>
    <w:rsid w:val="00315A63"/>
    <w:rsid w:val="00315A88"/>
    <w:rsid w:val="00315AAB"/>
    <w:rsid w:val="00315AAC"/>
    <w:rsid w:val="00315ABE"/>
    <w:rsid w:val="00315AD1"/>
    <w:rsid w:val="00315ADD"/>
    <w:rsid w:val="00315AE8"/>
    <w:rsid w:val="00315B1F"/>
    <w:rsid w:val="00315B43"/>
    <w:rsid w:val="00315B87"/>
    <w:rsid w:val="00315B94"/>
    <w:rsid w:val="00315BC6"/>
    <w:rsid w:val="00315BE1"/>
    <w:rsid w:val="00315C28"/>
    <w:rsid w:val="00315C74"/>
    <w:rsid w:val="00315CE4"/>
    <w:rsid w:val="00315D17"/>
    <w:rsid w:val="00315D2E"/>
    <w:rsid w:val="00315D37"/>
    <w:rsid w:val="00315D54"/>
    <w:rsid w:val="00315D74"/>
    <w:rsid w:val="00315D77"/>
    <w:rsid w:val="00315D7B"/>
    <w:rsid w:val="00315DAE"/>
    <w:rsid w:val="00315DBF"/>
    <w:rsid w:val="00315DCF"/>
    <w:rsid w:val="00315DDA"/>
    <w:rsid w:val="00315DFF"/>
    <w:rsid w:val="00315E56"/>
    <w:rsid w:val="00315EDD"/>
    <w:rsid w:val="00315F3A"/>
    <w:rsid w:val="00315F77"/>
    <w:rsid w:val="00315F78"/>
    <w:rsid w:val="00316007"/>
    <w:rsid w:val="0031601B"/>
    <w:rsid w:val="00316049"/>
    <w:rsid w:val="0031604B"/>
    <w:rsid w:val="00316056"/>
    <w:rsid w:val="0031605D"/>
    <w:rsid w:val="003160A2"/>
    <w:rsid w:val="003160BF"/>
    <w:rsid w:val="003160D4"/>
    <w:rsid w:val="00316112"/>
    <w:rsid w:val="003161A9"/>
    <w:rsid w:val="003161D8"/>
    <w:rsid w:val="003161ED"/>
    <w:rsid w:val="00316212"/>
    <w:rsid w:val="0031624C"/>
    <w:rsid w:val="00316250"/>
    <w:rsid w:val="0031627E"/>
    <w:rsid w:val="003162B1"/>
    <w:rsid w:val="003162C8"/>
    <w:rsid w:val="003162DF"/>
    <w:rsid w:val="00316301"/>
    <w:rsid w:val="0031630B"/>
    <w:rsid w:val="0031632D"/>
    <w:rsid w:val="00316335"/>
    <w:rsid w:val="00316338"/>
    <w:rsid w:val="00316368"/>
    <w:rsid w:val="00316383"/>
    <w:rsid w:val="00316399"/>
    <w:rsid w:val="0031639C"/>
    <w:rsid w:val="0031639E"/>
    <w:rsid w:val="003163AD"/>
    <w:rsid w:val="003163B6"/>
    <w:rsid w:val="003163C9"/>
    <w:rsid w:val="003163CB"/>
    <w:rsid w:val="003163E7"/>
    <w:rsid w:val="00316434"/>
    <w:rsid w:val="00316435"/>
    <w:rsid w:val="00316456"/>
    <w:rsid w:val="00316475"/>
    <w:rsid w:val="0031649F"/>
    <w:rsid w:val="003164F5"/>
    <w:rsid w:val="00316553"/>
    <w:rsid w:val="0031656E"/>
    <w:rsid w:val="0031657F"/>
    <w:rsid w:val="00316599"/>
    <w:rsid w:val="003165BB"/>
    <w:rsid w:val="003165E6"/>
    <w:rsid w:val="0031662B"/>
    <w:rsid w:val="00316689"/>
    <w:rsid w:val="003166ED"/>
    <w:rsid w:val="00316702"/>
    <w:rsid w:val="00316704"/>
    <w:rsid w:val="0031671B"/>
    <w:rsid w:val="0031672B"/>
    <w:rsid w:val="0031676B"/>
    <w:rsid w:val="003167CF"/>
    <w:rsid w:val="003167E9"/>
    <w:rsid w:val="003167EF"/>
    <w:rsid w:val="0031682D"/>
    <w:rsid w:val="00316839"/>
    <w:rsid w:val="003168A3"/>
    <w:rsid w:val="003168DF"/>
    <w:rsid w:val="003168EE"/>
    <w:rsid w:val="0031691B"/>
    <w:rsid w:val="0031694C"/>
    <w:rsid w:val="0031694F"/>
    <w:rsid w:val="00316979"/>
    <w:rsid w:val="00316997"/>
    <w:rsid w:val="003169F0"/>
    <w:rsid w:val="00316A03"/>
    <w:rsid w:val="00316A38"/>
    <w:rsid w:val="00316A55"/>
    <w:rsid w:val="00316A8F"/>
    <w:rsid w:val="00316B36"/>
    <w:rsid w:val="00316B49"/>
    <w:rsid w:val="00316B56"/>
    <w:rsid w:val="00316B7B"/>
    <w:rsid w:val="00316BCF"/>
    <w:rsid w:val="00316BE0"/>
    <w:rsid w:val="00316BEA"/>
    <w:rsid w:val="00316C2B"/>
    <w:rsid w:val="00316C3C"/>
    <w:rsid w:val="00316C89"/>
    <w:rsid w:val="00316C8C"/>
    <w:rsid w:val="00316CA8"/>
    <w:rsid w:val="00316CD7"/>
    <w:rsid w:val="00316CEF"/>
    <w:rsid w:val="00316CF0"/>
    <w:rsid w:val="00316D5D"/>
    <w:rsid w:val="00316D97"/>
    <w:rsid w:val="00316DCA"/>
    <w:rsid w:val="00316DE1"/>
    <w:rsid w:val="00316E17"/>
    <w:rsid w:val="00316E1C"/>
    <w:rsid w:val="00316E53"/>
    <w:rsid w:val="00316E83"/>
    <w:rsid w:val="00316E89"/>
    <w:rsid w:val="00316E9E"/>
    <w:rsid w:val="00316EE4"/>
    <w:rsid w:val="00316F54"/>
    <w:rsid w:val="00316F5E"/>
    <w:rsid w:val="00316F7D"/>
    <w:rsid w:val="00316FAF"/>
    <w:rsid w:val="0031706D"/>
    <w:rsid w:val="00317071"/>
    <w:rsid w:val="00317077"/>
    <w:rsid w:val="003170A5"/>
    <w:rsid w:val="003170EA"/>
    <w:rsid w:val="003170FA"/>
    <w:rsid w:val="003171BF"/>
    <w:rsid w:val="003171E2"/>
    <w:rsid w:val="003171F2"/>
    <w:rsid w:val="0031721E"/>
    <w:rsid w:val="00317230"/>
    <w:rsid w:val="0031724C"/>
    <w:rsid w:val="00317251"/>
    <w:rsid w:val="00317278"/>
    <w:rsid w:val="003172CF"/>
    <w:rsid w:val="00317314"/>
    <w:rsid w:val="00317326"/>
    <w:rsid w:val="0031732B"/>
    <w:rsid w:val="0031738F"/>
    <w:rsid w:val="003173B4"/>
    <w:rsid w:val="003173D0"/>
    <w:rsid w:val="003173F8"/>
    <w:rsid w:val="0031740C"/>
    <w:rsid w:val="0031741B"/>
    <w:rsid w:val="00317432"/>
    <w:rsid w:val="0031746E"/>
    <w:rsid w:val="003174E0"/>
    <w:rsid w:val="003174E6"/>
    <w:rsid w:val="00317556"/>
    <w:rsid w:val="003175A1"/>
    <w:rsid w:val="003175B7"/>
    <w:rsid w:val="003175F5"/>
    <w:rsid w:val="00317620"/>
    <w:rsid w:val="0031762D"/>
    <w:rsid w:val="0031762F"/>
    <w:rsid w:val="00317647"/>
    <w:rsid w:val="00317651"/>
    <w:rsid w:val="0031768E"/>
    <w:rsid w:val="003176C7"/>
    <w:rsid w:val="003176CC"/>
    <w:rsid w:val="003176D3"/>
    <w:rsid w:val="00317765"/>
    <w:rsid w:val="00317775"/>
    <w:rsid w:val="00317779"/>
    <w:rsid w:val="003177A9"/>
    <w:rsid w:val="003177D7"/>
    <w:rsid w:val="003177EF"/>
    <w:rsid w:val="003178DE"/>
    <w:rsid w:val="0031790F"/>
    <w:rsid w:val="00317926"/>
    <w:rsid w:val="00317959"/>
    <w:rsid w:val="003179CA"/>
    <w:rsid w:val="003179D7"/>
    <w:rsid w:val="003179F9"/>
    <w:rsid w:val="003179FA"/>
    <w:rsid w:val="00317A0C"/>
    <w:rsid w:val="00317A33"/>
    <w:rsid w:val="00317A62"/>
    <w:rsid w:val="00317A96"/>
    <w:rsid w:val="00317AE7"/>
    <w:rsid w:val="00317B05"/>
    <w:rsid w:val="00317B92"/>
    <w:rsid w:val="00317B98"/>
    <w:rsid w:val="00317BA0"/>
    <w:rsid w:val="00317BA8"/>
    <w:rsid w:val="00317BE3"/>
    <w:rsid w:val="00317C19"/>
    <w:rsid w:val="00317C39"/>
    <w:rsid w:val="00317C50"/>
    <w:rsid w:val="00317C62"/>
    <w:rsid w:val="00317C87"/>
    <w:rsid w:val="00317C8F"/>
    <w:rsid w:val="00317D26"/>
    <w:rsid w:val="00317D29"/>
    <w:rsid w:val="00317D6D"/>
    <w:rsid w:val="00317D88"/>
    <w:rsid w:val="00317D9F"/>
    <w:rsid w:val="00317DE1"/>
    <w:rsid w:val="00317DE3"/>
    <w:rsid w:val="00317DF9"/>
    <w:rsid w:val="00317E02"/>
    <w:rsid w:val="00317EA5"/>
    <w:rsid w:val="00317EBC"/>
    <w:rsid w:val="00317EDB"/>
    <w:rsid w:val="00317EEC"/>
    <w:rsid w:val="00317F08"/>
    <w:rsid w:val="00317F51"/>
    <w:rsid w:val="00317F5F"/>
    <w:rsid w:val="00317FAC"/>
    <w:rsid w:val="00317FBF"/>
    <w:rsid w:val="00317FF2"/>
    <w:rsid w:val="0032004A"/>
    <w:rsid w:val="0032007F"/>
    <w:rsid w:val="00320080"/>
    <w:rsid w:val="0032008A"/>
    <w:rsid w:val="00320097"/>
    <w:rsid w:val="003200B2"/>
    <w:rsid w:val="003200F5"/>
    <w:rsid w:val="003200F7"/>
    <w:rsid w:val="00320102"/>
    <w:rsid w:val="0032012D"/>
    <w:rsid w:val="003201CC"/>
    <w:rsid w:val="003201D7"/>
    <w:rsid w:val="00320223"/>
    <w:rsid w:val="0032026C"/>
    <w:rsid w:val="003202B4"/>
    <w:rsid w:val="0032033A"/>
    <w:rsid w:val="00320371"/>
    <w:rsid w:val="00320382"/>
    <w:rsid w:val="003203B1"/>
    <w:rsid w:val="00320417"/>
    <w:rsid w:val="00320443"/>
    <w:rsid w:val="0032045F"/>
    <w:rsid w:val="00320563"/>
    <w:rsid w:val="00320585"/>
    <w:rsid w:val="003205BA"/>
    <w:rsid w:val="003205BD"/>
    <w:rsid w:val="003205F2"/>
    <w:rsid w:val="00320663"/>
    <w:rsid w:val="003206F7"/>
    <w:rsid w:val="00320710"/>
    <w:rsid w:val="0032071E"/>
    <w:rsid w:val="00320727"/>
    <w:rsid w:val="0032076F"/>
    <w:rsid w:val="0032077D"/>
    <w:rsid w:val="00320786"/>
    <w:rsid w:val="0032079A"/>
    <w:rsid w:val="003207C7"/>
    <w:rsid w:val="003207DF"/>
    <w:rsid w:val="00320807"/>
    <w:rsid w:val="00320816"/>
    <w:rsid w:val="0032084F"/>
    <w:rsid w:val="003208DB"/>
    <w:rsid w:val="0032092E"/>
    <w:rsid w:val="00320967"/>
    <w:rsid w:val="003209A5"/>
    <w:rsid w:val="003209C6"/>
    <w:rsid w:val="003209CB"/>
    <w:rsid w:val="003209E4"/>
    <w:rsid w:val="003209E5"/>
    <w:rsid w:val="00320A2D"/>
    <w:rsid w:val="00320A43"/>
    <w:rsid w:val="00320A48"/>
    <w:rsid w:val="00320A7D"/>
    <w:rsid w:val="00320A8D"/>
    <w:rsid w:val="00320AA3"/>
    <w:rsid w:val="00320AD6"/>
    <w:rsid w:val="00320ADB"/>
    <w:rsid w:val="00320AE4"/>
    <w:rsid w:val="00320AEC"/>
    <w:rsid w:val="00320B15"/>
    <w:rsid w:val="00320B22"/>
    <w:rsid w:val="00320B34"/>
    <w:rsid w:val="00320B9C"/>
    <w:rsid w:val="00320BF3"/>
    <w:rsid w:val="00320C3C"/>
    <w:rsid w:val="00320C53"/>
    <w:rsid w:val="00320C5B"/>
    <w:rsid w:val="00320C6C"/>
    <w:rsid w:val="00320C6F"/>
    <w:rsid w:val="00320CA4"/>
    <w:rsid w:val="00320CDB"/>
    <w:rsid w:val="00320CE3"/>
    <w:rsid w:val="00320CF2"/>
    <w:rsid w:val="00320D3B"/>
    <w:rsid w:val="00320D56"/>
    <w:rsid w:val="00320D69"/>
    <w:rsid w:val="00320DB9"/>
    <w:rsid w:val="00320DC6"/>
    <w:rsid w:val="00320E04"/>
    <w:rsid w:val="00320E05"/>
    <w:rsid w:val="00320E2E"/>
    <w:rsid w:val="00320E38"/>
    <w:rsid w:val="00320E49"/>
    <w:rsid w:val="00320E89"/>
    <w:rsid w:val="00320E96"/>
    <w:rsid w:val="00320EA5"/>
    <w:rsid w:val="00320EBC"/>
    <w:rsid w:val="00320EBD"/>
    <w:rsid w:val="00320EC7"/>
    <w:rsid w:val="00320ECA"/>
    <w:rsid w:val="00320F10"/>
    <w:rsid w:val="00320F3B"/>
    <w:rsid w:val="00320F43"/>
    <w:rsid w:val="00320F7F"/>
    <w:rsid w:val="00320F8F"/>
    <w:rsid w:val="00320F9D"/>
    <w:rsid w:val="00320FA2"/>
    <w:rsid w:val="00320FAC"/>
    <w:rsid w:val="00320FBE"/>
    <w:rsid w:val="00320FBF"/>
    <w:rsid w:val="00320FC7"/>
    <w:rsid w:val="00320FD3"/>
    <w:rsid w:val="00320FF0"/>
    <w:rsid w:val="00321054"/>
    <w:rsid w:val="0032105F"/>
    <w:rsid w:val="00321080"/>
    <w:rsid w:val="003210A7"/>
    <w:rsid w:val="0032110F"/>
    <w:rsid w:val="00321112"/>
    <w:rsid w:val="00321125"/>
    <w:rsid w:val="00321140"/>
    <w:rsid w:val="00321149"/>
    <w:rsid w:val="00321157"/>
    <w:rsid w:val="003211A2"/>
    <w:rsid w:val="003211B5"/>
    <w:rsid w:val="003211DB"/>
    <w:rsid w:val="0032121E"/>
    <w:rsid w:val="00321236"/>
    <w:rsid w:val="00321240"/>
    <w:rsid w:val="0032128D"/>
    <w:rsid w:val="003212B9"/>
    <w:rsid w:val="003212C3"/>
    <w:rsid w:val="003212F8"/>
    <w:rsid w:val="00321313"/>
    <w:rsid w:val="00321317"/>
    <w:rsid w:val="0032132C"/>
    <w:rsid w:val="0032132D"/>
    <w:rsid w:val="00321342"/>
    <w:rsid w:val="00321362"/>
    <w:rsid w:val="0032137F"/>
    <w:rsid w:val="00321391"/>
    <w:rsid w:val="0032139A"/>
    <w:rsid w:val="003213B4"/>
    <w:rsid w:val="003213CC"/>
    <w:rsid w:val="003213EA"/>
    <w:rsid w:val="00321428"/>
    <w:rsid w:val="00321447"/>
    <w:rsid w:val="00321450"/>
    <w:rsid w:val="00321474"/>
    <w:rsid w:val="003214A1"/>
    <w:rsid w:val="003214A3"/>
    <w:rsid w:val="003214A6"/>
    <w:rsid w:val="003214AC"/>
    <w:rsid w:val="00321536"/>
    <w:rsid w:val="0032155C"/>
    <w:rsid w:val="0032155F"/>
    <w:rsid w:val="0032156A"/>
    <w:rsid w:val="003215A2"/>
    <w:rsid w:val="003215DB"/>
    <w:rsid w:val="003216BE"/>
    <w:rsid w:val="003216EF"/>
    <w:rsid w:val="00321704"/>
    <w:rsid w:val="00321722"/>
    <w:rsid w:val="00321741"/>
    <w:rsid w:val="00321747"/>
    <w:rsid w:val="00321790"/>
    <w:rsid w:val="0032179C"/>
    <w:rsid w:val="003217B0"/>
    <w:rsid w:val="003217C9"/>
    <w:rsid w:val="0032180E"/>
    <w:rsid w:val="00321823"/>
    <w:rsid w:val="00321840"/>
    <w:rsid w:val="00321846"/>
    <w:rsid w:val="00321899"/>
    <w:rsid w:val="003218A7"/>
    <w:rsid w:val="003218FF"/>
    <w:rsid w:val="0032190E"/>
    <w:rsid w:val="0032192A"/>
    <w:rsid w:val="00321953"/>
    <w:rsid w:val="003219A8"/>
    <w:rsid w:val="00321A0A"/>
    <w:rsid w:val="00321A0D"/>
    <w:rsid w:val="00321A1F"/>
    <w:rsid w:val="00321A22"/>
    <w:rsid w:val="00321AA4"/>
    <w:rsid w:val="00321AF6"/>
    <w:rsid w:val="00321BDD"/>
    <w:rsid w:val="00321BE9"/>
    <w:rsid w:val="00321BF0"/>
    <w:rsid w:val="00321C38"/>
    <w:rsid w:val="00321C80"/>
    <w:rsid w:val="00321CBE"/>
    <w:rsid w:val="00321CD8"/>
    <w:rsid w:val="00321D5C"/>
    <w:rsid w:val="00321D6E"/>
    <w:rsid w:val="00321D82"/>
    <w:rsid w:val="00321DAB"/>
    <w:rsid w:val="00321DC1"/>
    <w:rsid w:val="00321DCA"/>
    <w:rsid w:val="00321E30"/>
    <w:rsid w:val="00321E3E"/>
    <w:rsid w:val="00321E87"/>
    <w:rsid w:val="00321EAA"/>
    <w:rsid w:val="00321EC1"/>
    <w:rsid w:val="00321EFE"/>
    <w:rsid w:val="00321F1D"/>
    <w:rsid w:val="00321FE4"/>
    <w:rsid w:val="0032200D"/>
    <w:rsid w:val="00322043"/>
    <w:rsid w:val="00322064"/>
    <w:rsid w:val="0032207D"/>
    <w:rsid w:val="00322093"/>
    <w:rsid w:val="00322095"/>
    <w:rsid w:val="0032209A"/>
    <w:rsid w:val="003220A2"/>
    <w:rsid w:val="003220CC"/>
    <w:rsid w:val="003220EB"/>
    <w:rsid w:val="003220F1"/>
    <w:rsid w:val="00322132"/>
    <w:rsid w:val="00322133"/>
    <w:rsid w:val="0032213E"/>
    <w:rsid w:val="00322150"/>
    <w:rsid w:val="00322160"/>
    <w:rsid w:val="0032216D"/>
    <w:rsid w:val="003221AC"/>
    <w:rsid w:val="003221D4"/>
    <w:rsid w:val="003221D6"/>
    <w:rsid w:val="00322211"/>
    <w:rsid w:val="0032222D"/>
    <w:rsid w:val="00322287"/>
    <w:rsid w:val="003222AD"/>
    <w:rsid w:val="003222AF"/>
    <w:rsid w:val="003222B4"/>
    <w:rsid w:val="003222E6"/>
    <w:rsid w:val="003222F1"/>
    <w:rsid w:val="00322361"/>
    <w:rsid w:val="00322372"/>
    <w:rsid w:val="0032237F"/>
    <w:rsid w:val="00322386"/>
    <w:rsid w:val="00322395"/>
    <w:rsid w:val="0032239B"/>
    <w:rsid w:val="003223B9"/>
    <w:rsid w:val="003223BC"/>
    <w:rsid w:val="00322455"/>
    <w:rsid w:val="00322470"/>
    <w:rsid w:val="00322480"/>
    <w:rsid w:val="003224B3"/>
    <w:rsid w:val="003224CE"/>
    <w:rsid w:val="003224D7"/>
    <w:rsid w:val="003224E1"/>
    <w:rsid w:val="00322526"/>
    <w:rsid w:val="0032254C"/>
    <w:rsid w:val="00322565"/>
    <w:rsid w:val="00322575"/>
    <w:rsid w:val="003225C0"/>
    <w:rsid w:val="003225DA"/>
    <w:rsid w:val="003225E2"/>
    <w:rsid w:val="0032260C"/>
    <w:rsid w:val="00322643"/>
    <w:rsid w:val="0032267B"/>
    <w:rsid w:val="0032268A"/>
    <w:rsid w:val="003226A7"/>
    <w:rsid w:val="0032279B"/>
    <w:rsid w:val="003227BA"/>
    <w:rsid w:val="003227C0"/>
    <w:rsid w:val="003227E8"/>
    <w:rsid w:val="003227ED"/>
    <w:rsid w:val="003227F7"/>
    <w:rsid w:val="00322818"/>
    <w:rsid w:val="00322845"/>
    <w:rsid w:val="00322847"/>
    <w:rsid w:val="0032288C"/>
    <w:rsid w:val="003228CE"/>
    <w:rsid w:val="00322929"/>
    <w:rsid w:val="00322941"/>
    <w:rsid w:val="003229EF"/>
    <w:rsid w:val="003229F8"/>
    <w:rsid w:val="00322A33"/>
    <w:rsid w:val="00322A57"/>
    <w:rsid w:val="00322A7C"/>
    <w:rsid w:val="00322A86"/>
    <w:rsid w:val="00322A89"/>
    <w:rsid w:val="00322ABD"/>
    <w:rsid w:val="00322AEC"/>
    <w:rsid w:val="00322B05"/>
    <w:rsid w:val="00322B0F"/>
    <w:rsid w:val="00322B7A"/>
    <w:rsid w:val="00322C16"/>
    <w:rsid w:val="00322C5E"/>
    <w:rsid w:val="00322C7D"/>
    <w:rsid w:val="00322C96"/>
    <w:rsid w:val="00322CCA"/>
    <w:rsid w:val="00322CD8"/>
    <w:rsid w:val="00322CDC"/>
    <w:rsid w:val="00322D4F"/>
    <w:rsid w:val="00322D6F"/>
    <w:rsid w:val="00322DAF"/>
    <w:rsid w:val="00322DF9"/>
    <w:rsid w:val="00322E11"/>
    <w:rsid w:val="00322E83"/>
    <w:rsid w:val="00322E91"/>
    <w:rsid w:val="00322EA9"/>
    <w:rsid w:val="00322EBE"/>
    <w:rsid w:val="00322ECC"/>
    <w:rsid w:val="00322F2A"/>
    <w:rsid w:val="00322F41"/>
    <w:rsid w:val="00322F65"/>
    <w:rsid w:val="00322FD1"/>
    <w:rsid w:val="0032301E"/>
    <w:rsid w:val="00323050"/>
    <w:rsid w:val="0032308B"/>
    <w:rsid w:val="0032308F"/>
    <w:rsid w:val="003230B8"/>
    <w:rsid w:val="003230D2"/>
    <w:rsid w:val="003230F2"/>
    <w:rsid w:val="00323122"/>
    <w:rsid w:val="00323179"/>
    <w:rsid w:val="0032319A"/>
    <w:rsid w:val="003231C6"/>
    <w:rsid w:val="003231C9"/>
    <w:rsid w:val="003231D6"/>
    <w:rsid w:val="003231E6"/>
    <w:rsid w:val="003231FB"/>
    <w:rsid w:val="0032320C"/>
    <w:rsid w:val="00323224"/>
    <w:rsid w:val="00323252"/>
    <w:rsid w:val="00323263"/>
    <w:rsid w:val="0032327B"/>
    <w:rsid w:val="00323280"/>
    <w:rsid w:val="0032329F"/>
    <w:rsid w:val="003232E0"/>
    <w:rsid w:val="003233AC"/>
    <w:rsid w:val="003233AD"/>
    <w:rsid w:val="003233BD"/>
    <w:rsid w:val="003233C8"/>
    <w:rsid w:val="003233CB"/>
    <w:rsid w:val="003233CF"/>
    <w:rsid w:val="003233E8"/>
    <w:rsid w:val="003233FE"/>
    <w:rsid w:val="00323417"/>
    <w:rsid w:val="0032343E"/>
    <w:rsid w:val="00323467"/>
    <w:rsid w:val="00323476"/>
    <w:rsid w:val="0032348C"/>
    <w:rsid w:val="0032353D"/>
    <w:rsid w:val="0032353F"/>
    <w:rsid w:val="0032355E"/>
    <w:rsid w:val="00323563"/>
    <w:rsid w:val="00323588"/>
    <w:rsid w:val="003235A7"/>
    <w:rsid w:val="003235CB"/>
    <w:rsid w:val="003235DA"/>
    <w:rsid w:val="0032361C"/>
    <w:rsid w:val="00323626"/>
    <w:rsid w:val="00323678"/>
    <w:rsid w:val="00323694"/>
    <w:rsid w:val="003236AD"/>
    <w:rsid w:val="00323719"/>
    <w:rsid w:val="0032373B"/>
    <w:rsid w:val="00323771"/>
    <w:rsid w:val="00323788"/>
    <w:rsid w:val="003237C2"/>
    <w:rsid w:val="003237D2"/>
    <w:rsid w:val="003237F2"/>
    <w:rsid w:val="0032380B"/>
    <w:rsid w:val="0032381E"/>
    <w:rsid w:val="00323844"/>
    <w:rsid w:val="00323853"/>
    <w:rsid w:val="00323877"/>
    <w:rsid w:val="003238B2"/>
    <w:rsid w:val="003238BD"/>
    <w:rsid w:val="003238FA"/>
    <w:rsid w:val="00323901"/>
    <w:rsid w:val="0032391F"/>
    <w:rsid w:val="00323920"/>
    <w:rsid w:val="00323946"/>
    <w:rsid w:val="00323949"/>
    <w:rsid w:val="00323968"/>
    <w:rsid w:val="00323969"/>
    <w:rsid w:val="0032396F"/>
    <w:rsid w:val="0032397B"/>
    <w:rsid w:val="003239A4"/>
    <w:rsid w:val="003239F7"/>
    <w:rsid w:val="003239FA"/>
    <w:rsid w:val="00323A2D"/>
    <w:rsid w:val="00323A30"/>
    <w:rsid w:val="00323A41"/>
    <w:rsid w:val="00323A64"/>
    <w:rsid w:val="00323A94"/>
    <w:rsid w:val="00323AB8"/>
    <w:rsid w:val="00323ABE"/>
    <w:rsid w:val="00323AC6"/>
    <w:rsid w:val="00323AD4"/>
    <w:rsid w:val="00323B18"/>
    <w:rsid w:val="00323B25"/>
    <w:rsid w:val="00323B39"/>
    <w:rsid w:val="00323B50"/>
    <w:rsid w:val="00323B72"/>
    <w:rsid w:val="00323B73"/>
    <w:rsid w:val="00323B7E"/>
    <w:rsid w:val="00323B7F"/>
    <w:rsid w:val="00323B8C"/>
    <w:rsid w:val="00323BD3"/>
    <w:rsid w:val="00323C07"/>
    <w:rsid w:val="00323C0E"/>
    <w:rsid w:val="00323C1D"/>
    <w:rsid w:val="00323C38"/>
    <w:rsid w:val="00323C5E"/>
    <w:rsid w:val="00323CB3"/>
    <w:rsid w:val="00323CE3"/>
    <w:rsid w:val="00323D2B"/>
    <w:rsid w:val="00323D3E"/>
    <w:rsid w:val="00323D65"/>
    <w:rsid w:val="00323D8B"/>
    <w:rsid w:val="00323DE5"/>
    <w:rsid w:val="00323DF7"/>
    <w:rsid w:val="00323E24"/>
    <w:rsid w:val="00323E2C"/>
    <w:rsid w:val="00323E38"/>
    <w:rsid w:val="00323E5D"/>
    <w:rsid w:val="00323EF3"/>
    <w:rsid w:val="00323EFE"/>
    <w:rsid w:val="00323F02"/>
    <w:rsid w:val="00323F2D"/>
    <w:rsid w:val="00323F5E"/>
    <w:rsid w:val="00323F6C"/>
    <w:rsid w:val="00323F96"/>
    <w:rsid w:val="00323FA7"/>
    <w:rsid w:val="00323FD0"/>
    <w:rsid w:val="00323FFC"/>
    <w:rsid w:val="0032409D"/>
    <w:rsid w:val="0032412B"/>
    <w:rsid w:val="0032412C"/>
    <w:rsid w:val="0032415E"/>
    <w:rsid w:val="00324164"/>
    <w:rsid w:val="00324172"/>
    <w:rsid w:val="00324176"/>
    <w:rsid w:val="003241B7"/>
    <w:rsid w:val="003241CC"/>
    <w:rsid w:val="00324233"/>
    <w:rsid w:val="0032427F"/>
    <w:rsid w:val="003242FD"/>
    <w:rsid w:val="00324335"/>
    <w:rsid w:val="00324342"/>
    <w:rsid w:val="00324345"/>
    <w:rsid w:val="00324348"/>
    <w:rsid w:val="0032436E"/>
    <w:rsid w:val="003243DE"/>
    <w:rsid w:val="00324401"/>
    <w:rsid w:val="00324453"/>
    <w:rsid w:val="00324454"/>
    <w:rsid w:val="00324468"/>
    <w:rsid w:val="00324482"/>
    <w:rsid w:val="00324484"/>
    <w:rsid w:val="00324509"/>
    <w:rsid w:val="00324525"/>
    <w:rsid w:val="00324563"/>
    <w:rsid w:val="0032458F"/>
    <w:rsid w:val="003245A0"/>
    <w:rsid w:val="003245A4"/>
    <w:rsid w:val="003245D5"/>
    <w:rsid w:val="003245E7"/>
    <w:rsid w:val="00324608"/>
    <w:rsid w:val="00324617"/>
    <w:rsid w:val="0032462F"/>
    <w:rsid w:val="00324630"/>
    <w:rsid w:val="00324696"/>
    <w:rsid w:val="003246A2"/>
    <w:rsid w:val="003246C5"/>
    <w:rsid w:val="003246C8"/>
    <w:rsid w:val="003246DF"/>
    <w:rsid w:val="003246F0"/>
    <w:rsid w:val="0032471D"/>
    <w:rsid w:val="00324767"/>
    <w:rsid w:val="00324772"/>
    <w:rsid w:val="00324775"/>
    <w:rsid w:val="0032477A"/>
    <w:rsid w:val="00324799"/>
    <w:rsid w:val="0032479B"/>
    <w:rsid w:val="003247AB"/>
    <w:rsid w:val="003247AC"/>
    <w:rsid w:val="003247F3"/>
    <w:rsid w:val="00324810"/>
    <w:rsid w:val="00324825"/>
    <w:rsid w:val="00324875"/>
    <w:rsid w:val="003248A8"/>
    <w:rsid w:val="003248FA"/>
    <w:rsid w:val="00324923"/>
    <w:rsid w:val="0032492D"/>
    <w:rsid w:val="0032492E"/>
    <w:rsid w:val="0032492F"/>
    <w:rsid w:val="00324934"/>
    <w:rsid w:val="00324940"/>
    <w:rsid w:val="00324985"/>
    <w:rsid w:val="003249C7"/>
    <w:rsid w:val="00324A20"/>
    <w:rsid w:val="00324A2A"/>
    <w:rsid w:val="00324A3B"/>
    <w:rsid w:val="00324A42"/>
    <w:rsid w:val="00324A5A"/>
    <w:rsid w:val="00324A64"/>
    <w:rsid w:val="00324A85"/>
    <w:rsid w:val="00324A95"/>
    <w:rsid w:val="00324AA1"/>
    <w:rsid w:val="00324AB6"/>
    <w:rsid w:val="00324AD8"/>
    <w:rsid w:val="00324ADF"/>
    <w:rsid w:val="00324B3F"/>
    <w:rsid w:val="00324B7D"/>
    <w:rsid w:val="00324BD0"/>
    <w:rsid w:val="00324BFC"/>
    <w:rsid w:val="00324C20"/>
    <w:rsid w:val="00324C96"/>
    <w:rsid w:val="00324CDA"/>
    <w:rsid w:val="00324CF6"/>
    <w:rsid w:val="00324D1F"/>
    <w:rsid w:val="00324D27"/>
    <w:rsid w:val="00324D98"/>
    <w:rsid w:val="00324DA7"/>
    <w:rsid w:val="00324DD5"/>
    <w:rsid w:val="00324DDD"/>
    <w:rsid w:val="00324DF1"/>
    <w:rsid w:val="00324DF3"/>
    <w:rsid w:val="00324E04"/>
    <w:rsid w:val="00324E1B"/>
    <w:rsid w:val="00324E79"/>
    <w:rsid w:val="00324E7C"/>
    <w:rsid w:val="00324E8B"/>
    <w:rsid w:val="00324EAE"/>
    <w:rsid w:val="00324EC7"/>
    <w:rsid w:val="00324F07"/>
    <w:rsid w:val="00324F20"/>
    <w:rsid w:val="00324F2F"/>
    <w:rsid w:val="00324F6C"/>
    <w:rsid w:val="00324FBD"/>
    <w:rsid w:val="00324FCC"/>
    <w:rsid w:val="00325055"/>
    <w:rsid w:val="0032505C"/>
    <w:rsid w:val="00325083"/>
    <w:rsid w:val="00325086"/>
    <w:rsid w:val="003250C6"/>
    <w:rsid w:val="003250E4"/>
    <w:rsid w:val="003250EE"/>
    <w:rsid w:val="0032513B"/>
    <w:rsid w:val="0032514A"/>
    <w:rsid w:val="0032515B"/>
    <w:rsid w:val="00325204"/>
    <w:rsid w:val="00325210"/>
    <w:rsid w:val="00325222"/>
    <w:rsid w:val="0032524E"/>
    <w:rsid w:val="00325255"/>
    <w:rsid w:val="0032525A"/>
    <w:rsid w:val="003252E2"/>
    <w:rsid w:val="003252FB"/>
    <w:rsid w:val="0032536E"/>
    <w:rsid w:val="00325375"/>
    <w:rsid w:val="00325377"/>
    <w:rsid w:val="00325383"/>
    <w:rsid w:val="0032539F"/>
    <w:rsid w:val="003253B5"/>
    <w:rsid w:val="003253E1"/>
    <w:rsid w:val="003253FC"/>
    <w:rsid w:val="00325425"/>
    <w:rsid w:val="003254AB"/>
    <w:rsid w:val="003254DC"/>
    <w:rsid w:val="003254DF"/>
    <w:rsid w:val="00325502"/>
    <w:rsid w:val="0032553E"/>
    <w:rsid w:val="00325547"/>
    <w:rsid w:val="00325584"/>
    <w:rsid w:val="003255A1"/>
    <w:rsid w:val="003255C7"/>
    <w:rsid w:val="003255DA"/>
    <w:rsid w:val="0032561C"/>
    <w:rsid w:val="00325622"/>
    <w:rsid w:val="00325628"/>
    <w:rsid w:val="003256A2"/>
    <w:rsid w:val="003256F0"/>
    <w:rsid w:val="00325727"/>
    <w:rsid w:val="00325748"/>
    <w:rsid w:val="003257F2"/>
    <w:rsid w:val="0032586A"/>
    <w:rsid w:val="003258B9"/>
    <w:rsid w:val="003258CD"/>
    <w:rsid w:val="003258FE"/>
    <w:rsid w:val="0032592E"/>
    <w:rsid w:val="0032595E"/>
    <w:rsid w:val="00325986"/>
    <w:rsid w:val="003259A5"/>
    <w:rsid w:val="003259E0"/>
    <w:rsid w:val="003259FC"/>
    <w:rsid w:val="00325A0A"/>
    <w:rsid w:val="00325A33"/>
    <w:rsid w:val="00325A4C"/>
    <w:rsid w:val="00325AA9"/>
    <w:rsid w:val="00325AC1"/>
    <w:rsid w:val="00325AF7"/>
    <w:rsid w:val="00325B39"/>
    <w:rsid w:val="00325B42"/>
    <w:rsid w:val="00325B54"/>
    <w:rsid w:val="00325B93"/>
    <w:rsid w:val="00325BF7"/>
    <w:rsid w:val="00325C0C"/>
    <w:rsid w:val="00325C12"/>
    <w:rsid w:val="00325C20"/>
    <w:rsid w:val="00325C38"/>
    <w:rsid w:val="00325C59"/>
    <w:rsid w:val="00325C6F"/>
    <w:rsid w:val="00325C81"/>
    <w:rsid w:val="00325C96"/>
    <w:rsid w:val="00325CA2"/>
    <w:rsid w:val="00325CDD"/>
    <w:rsid w:val="00325D2D"/>
    <w:rsid w:val="00325D64"/>
    <w:rsid w:val="00325DF8"/>
    <w:rsid w:val="00325E00"/>
    <w:rsid w:val="00325E08"/>
    <w:rsid w:val="00325E0C"/>
    <w:rsid w:val="00325E4A"/>
    <w:rsid w:val="00325E9E"/>
    <w:rsid w:val="00325EC8"/>
    <w:rsid w:val="00325ED4"/>
    <w:rsid w:val="00325EF8"/>
    <w:rsid w:val="00325F05"/>
    <w:rsid w:val="00325F39"/>
    <w:rsid w:val="00325F69"/>
    <w:rsid w:val="00325F6B"/>
    <w:rsid w:val="00325F95"/>
    <w:rsid w:val="00325FDB"/>
    <w:rsid w:val="00325FEF"/>
    <w:rsid w:val="00326013"/>
    <w:rsid w:val="0032604C"/>
    <w:rsid w:val="00326071"/>
    <w:rsid w:val="003260BC"/>
    <w:rsid w:val="003260C9"/>
    <w:rsid w:val="003260D1"/>
    <w:rsid w:val="003260E0"/>
    <w:rsid w:val="003260E3"/>
    <w:rsid w:val="003260ED"/>
    <w:rsid w:val="003260F5"/>
    <w:rsid w:val="00326105"/>
    <w:rsid w:val="00326116"/>
    <w:rsid w:val="00326126"/>
    <w:rsid w:val="0032614A"/>
    <w:rsid w:val="00326169"/>
    <w:rsid w:val="00326196"/>
    <w:rsid w:val="003261D5"/>
    <w:rsid w:val="0032620A"/>
    <w:rsid w:val="0032621F"/>
    <w:rsid w:val="00326220"/>
    <w:rsid w:val="00326224"/>
    <w:rsid w:val="00326230"/>
    <w:rsid w:val="00326244"/>
    <w:rsid w:val="00326255"/>
    <w:rsid w:val="0032628B"/>
    <w:rsid w:val="00326298"/>
    <w:rsid w:val="0032629F"/>
    <w:rsid w:val="003262AC"/>
    <w:rsid w:val="003262BC"/>
    <w:rsid w:val="00326317"/>
    <w:rsid w:val="00326324"/>
    <w:rsid w:val="003263C4"/>
    <w:rsid w:val="003263C6"/>
    <w:rsid w:val="00326405"/>
    <w:rsid w:val="00326407"/>
    <w:rsid w:val="00326419"/>
    <w:rsid w:val="00326428"/>
    <w:rsid w:val="00326475"/>
    <w:rsid w:val="00326481"/>
    <w:rsid w:val="003264D3"/>
    <w:rsid w:val="003264DF"/>
    <w:rsid w:val="003264FF"/>
    <w:rsid w:val="00326510"/>
    <w:rsid w:val="003265C5"/>
    <w:rsid w:val="003265E3"/>
    <w:rsid w:val="00326606"/>
    <w:rsid w:val="00326620"/>
    <w:rsid w:val="00326623"/>
    <w:rsid w:val="0032665A"/>
    <w:rsid w:val="00326678"/>
    <w:rsid w:val="00326679"/>
    <w:rsid w:val="003266BF"/>
    <w:rsid w:val="003266E6"/>
    <w:rsid w:val="003266E8"/>
    <w:rsid w:val="00326725"/>
    <w:rsid w:val="003267A6"/>
    <w:rsid w:val="003267B9"/>
    <w:rsid w:val="003267C1"/>
    <w:rsid w:val="003267DB"/>
    <w:rsid w:val="00326862"/>
    <w:rsid w:val="00326879"/>
    <w:rsid w:val="00326881"/>
    <w:rsid w:val="00326885"/>
    <w:rsid w:val="003268A3"/>
    <w:rsid w:val="003268D9"/>
    <w:rsid w:val="003268F8"/>
    <w:rsid w:val="0032691C"/>
    <w:rsid w:val="00326928"/>
    <w:rsid w:val="00326939"/>
    <w:rsid w:val="00326950"/>
    <w:rsid w:val="00326992"/>
    <w:rsid w:val="00326997"/>
    <w:rsid w:val="003269BC"/>
    <w:rsid w:val="003269DE"/>
    <w:rsid w:val="00326A04"/>
    <w:rsid w:val="00326A30"/>
    <w:rsid w:val="00326A43"/>
    <w:rsid w:val="00326A48"/>
    <w:rsid w:val="00326A5C"/>
    <w:rsid w:val="00326A85"/>
    <w:rsid w:val="00326B4B"/>
    <w:rsid w:val="00326B9B"/>
    <w:rsid w:val="00326BAD"/>
    <w:rsid w:val="00326BBC"/>
    <w:rsid w:val="00326BE1"/>
    <w:rsid w:val="00326BE6"/>
    <w:rsid w:val="00326BE9"/>
    <w:rsid w:val="00326BFA"/>
    <w:rsid w:val="00326C5A"/>
    <w:rsid w:val="00326C92"/>
    <w:rsid w:val="00326D0D"/>
    <w:rsid w:val="00326D20"/>
    <w:rsid w:val="00326D3C"/>
    <w:rsid w:val="00326D46"/>
    <w:rsid w:val="00326D48"/>
    <w:rsid w:val="00326D54"/>
    <w:rsid w:val="00326D60"/>
    <w:rsid w:val="00326D68"/>
    <w:rsid w:val="00326D86"/>
    <w:rsid w:val="00326D9D"/>
    <w:rsid w:val="00326DA8"/>
    <w:rsid w:val="00326DD6"/>
    <w:rsid w:val="00326DEF"/>
    <w:rsid w:val="00326E0F"/>
    <w:rsid w:val="00326E95"/>
    <w:rsid w:val="00326EA4"/>
    <w:rsid w:val="00326EAA"/>
    <w:rsid w:val="00326EC3"/>
    <w:rsid w:val="00326EE3"/>
    <w:rsid w:val="00326EED"/>
    <w:rsid w:val="00326EFB"/>
    <w:rsid w:val="00326F0C"/>
    <w:rsid w:val="00326F25"/>
    <w:rsid w:val="00326F2B"/>
    <w:rsid w:val="00326F75"/>
    <w:rsid w:val="00326F77"/>
    <w:rsid w:val="00326F86"/>
    <w:rsid w:val="00326F9A"/>
    <w:rsid w:val="00326FDE"/>
    <w:rsid w:val="0032705C"/>
    <w:rsid w:val="003270D3"/>
    <w:rsid w:val="003270F3"/>
    <w:rsid w:val="003270F8"/>
    <w:rsid w:val="00327109"/>
    <w:rsid w:val="00327126"/>
    <w:rsid w:val="00327143"/>
    <w:rsid w:val="00327162"/>
    <w:rsid w:val="0032716D"/>
    <w:rsid w:val="00327182"/>
    <w:rsid w:val="00327192"/>
    <w:rsid w:val="003271A2"/>
    <w:rsid w:val="003271AB"/>
    <w:rsid w:val="003271B6"/>
    <w:rsid w:val="003271E3"/>
    <w:rsid w:val="003271EA"/>
    <w:rsid w:val="003271EB"/>
    <w:rsid w:val="003271FD"/>
    <w:rsid w:val="00327213"/>
    <w:rsid w:val="00327220"/>
    <w:rsid w:val="00327265"/>
    <w:rsid w:val="0032733D"/>
    <w:rsid w:val="00327358"/>
    <w:rsid w:val="003273C4"/>
    <w:rsid w:val="003273EE"/>
    <w:rsid w:val="00327407"/>
    <w:rsid w:val="00327425"/>
    <w:rsid w:val="00327470"/>
    <w:rsid w:val="003274BE"/>
    <w:rsid w:val="00327500"/>
    <w:rsid w:val="0032753E"/>
    <w:rsid w:val="0032755C"/>
    <w:rsid w:val="0032757B"/>
    <w:rsid w:val="0032757C"/>
    <w:rsid w:val="00327590"/>
    <w:rsid w:val="00327593"/>
    <w:rsid w:val="003275DD"/>
    <w:rsid w:val="00327609"/>
    <w:rsid w:val="00327630"/>
    <w:rsid w:val="00327650"/>
    <w:rsid w:val="00327698"/>
    <w:rsid w:val="003276B5"/>
    <w:rsid w:val="003276B9"/>
    <w:rsid w:val="003276CB"/>
    <w:rsid w:val="0032771E"/>
    <w:rsid w:val="00327720"/>
    <w:rsid w:val="00327736"/>
    <w:rsid w:val="0032773D"/>
    <w:rsid w:val="00327780"/>
    <w:rsid w:val="003277B6"/>
    <w:rsid w:val="00327823"/>
    <w:rsid w:val="00327848"/>
    <w:rsid w:val="00327871"/>
    <w:rsid w:val="00327880"/>
    <w:rsid w:val="003278AB"/>
    <w:rsid w:val="003278BC"/>
    <w:rsid w:val="00327908"/>
    <w:rsid w:val="0032790D"/>
    <w:rsid w:val="0032792F"/>
    <w:rsid w:val="00327939"/>
    <w:rsid w:val="0032793B"/>
    <w:rsid w:val="00327954"/>
    <w:rsid w:val="0032797F"/>
    <w:rsid w:val="00327982"/>
    <w:rsid w:val="0032798F"/>
    <w:rsid w:val="003279D3"/>
    <w:rsid w:val="003279DD"/>
    <w:rsid w:val="003279E5"/>
    <w:rsid w:val="003279EE"/>
    <w:rsid w:val="00327A16"/>
    <w:rsid w:val="00327A21"/>
    <w:rsid w:val="00327A24"/>
    <w:rsid w:val="00327A2D"/>
    <w:rsid w:val="00327A6A"/>
    <w:rsid w:val="00327A74"/>
    <w:rsid w:val="00327A7B"/>
    <w:rsid w:val="00327A9A"/>
    <w:rsid w:val="00327AE9"/>
    <w:rsid w:val="00327AFC"/>
    <w:rsid w:val="00327B85"/>
    <w:rsid w:val="00327BE7"/>
    <w:rsid w:val="00327BE9"/>
    <w:rsid w:val="00327BF0"/>
    <w:rsid w:val="00327C1A"/>
    <w:rsid w:val="00327C1C"/>
    <w:rsid w:val="00327CA1"/>
    <w:rsid w:val="00327CB2"/>
    <w:rsid w:val="00327CB4"/>
    <w:rsid w:val="00327CC4"/>
    <w:rsid w:val="00327CD5"/>
    <w:rsid w:val="00327CF0"/>
    <w:rsid w:val="00327CFE"/>
    <w:rsid w:val="00327D4F"/>
    <w:rsid w:val="00327D88"/>
    <w:rsid w:val="00327D99"/>
    <w:rsid w:val="00327DCA"/>
    <w:rsid w:val="00327DD3"/>
    <w:rsid w:val="00327DE0"/>
    <w:rsid w:val="00327E1E"/>
    <w:rsid w:val="00327E24"/>
    <w:rsid w:val="00327E3A"/>
    <w:rsid w:val="00327E7E"/>
    <w:rsid w:val="00327EBB"/>
    <w:rsid w:val="00327EBC"/>
    <w:rsid w:val="00327EC3"/>
    <w:rsid w:val="00327EDE"/>
    <w:rsid w:val="00327EDF"/>
    <w:rsid w:val="00327EFD"/>
    <w:rsid w:val="00327EFF"/>
    <w:rsid w:val="00327F01"/>
    <w:rsid w:val="00327F1D"/>
    <w:rsid w:val="00327FA6"/>
    <w:rsid w:val="00327FBB"/>
    <w:rsid w:val="00327FC6"/>
    <w:rsid w:val="00327FE1"/>
    <w:rsid w:val="00327FF5"/>
    <w:rsid w:val="00327FFA"/>
    <w:rsid w:val="0033002E"/>
    <w:rsid w:val="0033003E"/>
    <w:rsid w:val="00330075"/>
    <w:rsid w:val="003300AA"/>
    <w:rsid w:val="003300D2"/>
    <w:rsid w:val="00330125"/>
    <w:rsid w:val="0033017A"/>
    <w:rsid w:val="003301B6"/>
    <w:rsid w:val="003301CB"/>
    <w:rsid w:val="003301FE"/>
    <w:rsid w:val="0033021E"/>
    <w:rsid w:val="0033022D"/>
    <w:rsid w:val="0033023B"/>
    <w:rsid w:val="00330254"/>
    <w:rsid w:val="0033025D"/>
    <w:rsid w:val="00330262"/>
    <w:rsid w:val="00330266"/>
    <w:rsid w:val="00330270"/>
    <w:rsid w:val="00330317"/>
    <w:rsid w:val="0033038C"/>
    <w:rsid w:val="003303FD"/>
    <w:rsid w:val="00330405"/>
    <w:rsid w:val="0033042D"/>
    <w:rsid w:val="00330463"/>
    <w:rsid w:val="00330473"/>
    <w:rsid w:val="00330474"/>
    <w:rsid w:val="00330487"/>
    <w:rsid w:val="00330497"/>
    <w:rsid w:val="003304A4"/>
    <w:rsid w:val="003304CC"/>
    <w:rsid w:val="003304D6"/>
    <w:rsid w:val="0033051F"/>
    <w:rsid w:val="0033055D"/>
    <w:rsid w:val="00330571"/>
    <w:rsid w:val="0033059C"/>
    <w:rsid w:val="003305CB"/>
    <w:rsid w:val="003305F1"/>
    <w:rsid w:val="0033061C"/>
    <w:rsid w:val="0033066D"/>
    <w:rsid w:val="00330712"/>
    <w:rsid w:val="00330734"/>
    <w:rsid w:val="00330752"/>
    <w:rsid w:val="003307A9"/>
    <w:rsid w:val="003307AF"/>
    <w:rsid w:val="003307FB"/>
    <w:rsid w:val="00330830"/>
    <w:rsid w:val="0033083D"/>
    <w:rsid w:val="0033086B"/>
    <w:rsid w:val="003308D6"/>
    <w:rsid w:val="00330915"/>
    <w:rsid w:val="0033091A"/>
    <w:rsid w:val="00330929"/>
    <w:rsid w:val="0033093F"/>
    <w:rsid w:val="0033096F"/>
    <w:rsid w:val="0033098F"/>
    <w:rsid w:val="0033099E"/>
    <w:rsid w:val="003309DE"/>
    <w:rsid w:val="00330A30"/>
    <w:rsid w:val="00330A5F"/>
    <w:rsid w:val="00330A64"/>
    <w:rsid w:val="00330A95"/>
    <w:rsid w:val="00330A9B"/>
    <w:rsid w:val="00330AE9"/>
    <w:rsid w:val="00330B24"/>
    <w:rsid w:val="00330B2B"/>
    <w:rsid w:val="00330B6C"/>
    <w:rsid w:val="00330B99"/>
    <w:rsid w:val="00330BB4"/>
    <w:rsid w:val="00330BF5"/>
    <w:rsid w:val="00330C0B"/>
    <w:rsid w:val="00330C5F"/>
    <w:rsid w:val="00330CD1"/>
    <w:rsid w:val="00330D3C"/>
    <w:rsid w:val="00330D40"/>
    <w:rsid w:val="00330DBE"/>
    <w:rsid w:val="00330DCE"/>
    <w:rsid w:val="00330DF0"/>
    <w:rsid w:val="00330E0D"/>
    <w:rsid w:val="00330E9D"/>
    <w:rsid w:val="00330ED5"/>
    <w:rsid w:val="00330EF8"/>
    <w:rsid w:val="00330F12"/>
    <w:rsid w:val="00330F1E"/>
    <w:rsid w:val="00330F80"/>
    <w:rsid w:val="00330FA6"/>
    <w:rsid w:val="00330FF6"/>
    <w:rsid w:val="00330FF9"/>
    <w:rsid w:val="0033102B"/>
    <w:rsid w:val="00331030"/>
    <w:rsid w:val="00331053"/>
    <w:rsid w:val="00331091"/>
    <w:rsid w:val="0033109B"/>
    <w:rsid w:val="003310B6"/>
    <w:rsid w:val="003310F5"/>
    <w:rsid w:val="0033113D"/>
    <w:rsid w:val="0033114E"/>
    <w:rsid w:val="0033116C"/>
    <w:rsid w:val="0033118A"/>
    <w:rsid w:val="003311BA"/>
    <w:rsid w:val="003311C4"/>
    <w:rsid w:val="003311CD"/>
    <w:rsid w:val="003311EA"/>
    <w:rsid w:val="003311FF"/>
    <w:rsid w:val="00331247"/>
    <w:rsid w:val="00331263"/>
    <w:rsid w:val="0033128F"/>
    <w:rsid w:val="003312B2"/>
    <w:rsid w:val="00331368"/>
    <w:rsid w:val="0033136B"/>
    <w:rsid w:val="00331391"/>
    <w:rsid w:val="003313AB"/>
    <w:rsid w:val="003313F9"/>
    <w:rsid w:val="003313FA"/>
    <w:rsid w:val="00331402"/>
    <w:rsid w:val="00331403"/>
    <w:rsid w:val="00331405"/>
    <w:rsid w:val="00331456"/>
    <w:rsid w:val="0033146F"/>
    <w:rsid w:val="00331472"/>
    <w:rsid w:val="00331486"/>
    <w:rsid w:val="003314B6"/>
    <w:rsid w:val="0033150A"/>
    <w:rsid w:val="0033151D"/>
    <w:rsid w:val="00331588"/>
    <w:rsid w:val="0033158B"/>
    <w:rsid w:val="003315AB"/>
    <w:rsid w:val="003315AF"/>
    <w:rsid w:val="003315C7"/>
    <w:rsid w:val="003315CE"/>
    <w:rsid w:val="003315D0"/>
    <w:rsid w:val="003315F5"/>
    <w:rsid w:val="00331606"/>
    <w:rsid w:val="0033166F"/>
    <w:rsid w:val="0033168A"/>
    <w:rsid w:val="003316B7"/>
    <w:rsid w:val="003316FD"/>
    <w:rsid w:val="0033173D"/>
    <w:rsid w:val="0033176E"/>
    <w:rsid w:val="003317E1"/>
    <w:rsid w:val="00331826"/>
    <w:rsid w:val="00331842"/>
    <w:rsid w:val="00331846"/>
    <w:rsid w:val="0033188E"/>
    <w:rsid w:val="003318C9"/>
    <w:rsid w:val="003318CF"/>
    <w:rsid w:val="00331922"/>
    <w:rsid w:val="00331962"/>
    <w:rsid w:val="00331965"/>
    <w:rsid w:val="0033197E"/>
    <w:rsid w:val="00331993"/>
    <w:rsid w:val="003319AE"/>
    <w:rsid w:val="003319BE"/>
    <w:rsid w:val="003319DC"/>
    <w:rsid w:val="003319FC"/>
    <w:rsid w:val="00331A06"/>
    <w:rsid w:val="00331A9A"/>
    <w:rsid w:val="00331ABC"/>
    <w:rsid w:val="00331AE3"/>
    <w:rsid w:val="00331AEF"/>
    <w:rsid w:val="00331AFF"/>
    <w:rsid w:val="00331B34"/>
    <w:rsid w:val="00331B3C"/>
    <w:rsid w:val="00331B5C"/>
    <w:rsid w:val="00331B6A"/>
    <w:rsid w:val="00331BBF"/>
    <w:rsid w:val="00331BC6"/>
    <w:rsid w:val="00331BE3"/>
    <w:rsid w:val="00331BF6"/>
    <w:rsid w:val="00331BFE"/>
    <w:rsid w:val="00331C22"/>
    <w:rsid w:val="00331C7F"/>
    <w:rsid w:val="00331CA3"/>
    <w:rsid w:val="00331CFB"/>
    <w:rsid w:val="00331D0F"/>
    <w:rsid w:val="00331D44"/>
    <w:rsid w:val="00331D62"/>
    <w:rsid w:val="00331DD7"/>
    <w:rsid w:val="00331DE9"/>
    <w:rsid w:val="00331E0B"/>
    <w:rsid w:val="00331E1F"/>
    <w:rsid w:val="00331E40"/>
    <w:rsid w:val="00331E79"/>
    <w:rsid w:val="00331EB7"/>
    <w:rsid w:val="00331EE3"/>
    <w:rsid w:val="00331F03"/>
    <w:rsid w:val="00331F5D"/>
    <w:rsid w:val="00331FAE"/>
    <w:rsid w:val="00331FBC"/>
    <w:rsid w:val="00331FC5"/>
    <w:rsid w:val="00331FFA"/>
    <w:rsid w:val="003320B7"/>
    <w:rsid w:val="003320BE"/>
    <w:rsid w:val="003320CD"/>
    <w:rsid w:val="003320FE"/>
    <w:rsid w:val="00332123"/>
    <w:rsid w:val="00332142"/>
    <w:rsid w:val="0033214B"/>
    <w:rsid w:val="0033214F"/>
    <w:rsid w:val="0033215D"/>
    <w:rsid w:val="00332164"/>
    <w:rsid w:val="0033216D"/>
    <w:rsid w:val="003321C1"/>
    <w:rsid w:val="003321FA"/>
    <w:rsid w:val="0033220A"/>
    <w:rsid w:val="0033220C"/>
    <w:rsid w:val="0033221A"/>
    <w:rsid w:val="00332236"/>
    <w:rsid w:val="00332246"/>
    <w:rsid w:val="00332286"/>
    <w:rsid w:val="003322B0"/>
    <w:rsid w:val="003322FF"/>
    <w:rsid w:val="00332385"/>
    <w:rsid w:val="00332460"/>
    <w:rsid w:val="003324C9"/>
    <w:rsid w:val="003324EA"/>
    <w:rsid w:val="00332509"/>
    <w:rsid w:val="0033250A"/>
    <w:rsid w:val="00332531"/>
    <w:rsid w:val="00332545"/>
    <w:rsid w:val="00332563"/>
    <w:rsid w:val="0033258F"/>
    <w:rsid w:val="00332595"/>
    <w:rsid w:val="003325A7"/>
    <w:rsid w:val="003325B7"/>
    <w:rsid w:val="003326D1"/>
    <w:rsid w:val="003326EB"/>
    <w:rsid w:val="0033273D"/>
    <w:rsid w:val="00332756"/>
    <w:rsid w:val="0033275C"/>
    <w:rsid w:val="00332767"/>
    <w:rsid w:val="00332787"/>
    <w:rsid w:val="0033278F"/>
    <w:rsid w:val="003327B1"/>
    <w:rsid w:val="003327B8"/>
    <w:rsid w:val="00332805"/>
    <w:rsid w:val="00332808"/>
    <w:rsid w:val="00332811"/>
    <w:rsid w:val="00332818"/>
    <w:rsid w:val="0033281D"/>
    <w:rsid w:val="00332830"/>
    <w:rsid w:val="00332847"/>
    <w:rsid w:val="00332856"/>
    <w:rsid w:val="00332858"/>
    <w:rsid w:val="00332881"/>
    <w:rsid w:val="003328AB"/>
    <w:rsid w:val="003328B9"/>
    <w:rsid w:val="003328BD"/>
    <w:rsid w:val="003328FE"/>
    <w:rsid w:val="00332983"/>
    <w:rsid w:val="00332986"/>
    <w:rsid w:val="0033298B"/>
    <w:rsid w:val="0033298E"/>
    <w:rsid w:val="003329B9"/>
    <w:rsid w:val="003329BA"/>
    <w:rsid w:val="003329E6"/>
    <w:rsid w:val="003329F8"/>
    <w:rsid w:val="00332A07"/>
    <w:rsid w:val="00332A0A"/>
    <w:rsid w:val="00332A35"/>
    <w:rsid w:val="00332AC2"/>
    <w:rsid w:val="00332ACC"/>
    <w:rsid w:val="00332AF6"/>
    <w:rsid w:val="00332B2E"/>
    <w:rsid w:val="00332B46"/>
    <w:rsid w:val="00332B49"/>
    <w:rsid w:val="00332B6C"/>
    <w:rsid w:val="00332B72"/>
    <w:rsid w:val="00332C11"/>
    <w:rsid w:val="00332C2C"/>
    <w:rsid w:val="00332C65"/>
    <w:rsid w:val="00332C6F"/>
    <w:rsid w:val="00332C72"/>
    <w:rsid w:val="00332CA6"/>
    <w:rsid w:val="00332CAC"/>
    <w:rsid w:val="00332CCD"/>
    <w:rsid w:val="00332D08"/>
    <w:rsid w:val="00332D49"/>
    <w:rsid w:val="00332D4B"/>
    <w:rsid w:val="00332D4E"/>
    <w:rsid w:val="00332D59"/>
    <w:rsid w:val="00332D70"/>
    <w:rsid w:val="00332D84"/>
    <w:rsid w:val="00332DB3"/>
    <w:rsid w:val="00332DBD"/>
    <w:rsid w:val="00332DD0"/>
    <w:rsid w:val="00332E6F"/>
    <w:rsid w:val="00332E74"/>
    <w:rsid w:val="00332EC1"/>
    <w:rsid w:val="00332F2B"/>
    <w:rsid w:val="00332F52"/>
    <w:rsid w:val="00332F77"/>
    <w:rsid w:val="00332F79"/>
    <w:rsid w:val="00332FA4"/>
    <w:rsid w:val="00332FBC"/>
    <w:rsid w:val="00332FE4"/>
    <w:rsid w:val="00332FE8"/>
    <w:rsid w:val="0033301B"/>
    <w:rsid w:val="00333070"/>
    <w:rsid w:val="0033308B"/>
    <w:rsid w:val="003330C4"/>
    <w:rsid w:val="003330DA"/>
    <w:rsid w:val="0033312B"/>
    <w:rsid w:val="0033314B"/>
    <w:rsid w:val="0033315D"/>
    <w:rsid w:val="00333178"/>
    <w:rsid w:val="003331B7"/>
    <w:rsid w:val="0033320A"/>
    <w:rsid w:val="00333213"/>
    <w:rsid w:val="00333216"/>
    <w:rsid w:val="00333224"/>
    <w:rsid w:val="00333238"/>
    <w:rsid w:val="00333273"/>
    <w:rsid w:val="00333283"/>
    <w:rsid w:val="00333296"/>
    <w:rsid w:val="003332AF"/>
    <w:rsid w:val="003332CC"/>
    <w:rsid w:val="003332D1"/>
    <w:rsid w:val="00333303"/>
    <w:rsid w:val="00333318"/>
    <w:rsid w:val="00333322"/>
    <w:rsid w:val="0033332B"/>
    <w:rsid w:val="00333339"/>
    <w:rsid w:val="00333365"/>
    <w:rsid w:val="00333375"/>
    <w:rsid w:val="00333391"/>
    <w:rsid w:val="003333A3"/>
    <w:rsid w:val="003333D9"/>
    <w:rsid w:val="003333EB"/>
    <w:rsid w:val="00333406"/>
    <w:rsid w:val="00333434"/>
    <w:rsid w:val="00333440"/>
    <w:rsid w:val="00333447"/>
    <w:rsid w:val="0033349E"/>
    <w:rsid w:val="003334F0"/>
    <w:rsid w:val="00333510"/>
    <w:rsid w:val="00333541"/>
    <w:rsid w:val="00333595"/>
    <w:rsid w:val="0033359A"/>
    <w:rsid w:val="0033361B"/>
    <w:rsid w:val="00333631"/>
    <w:rsid w:val="00333680"/>
    <w:rsid w:val="0033368D"/>
    <w:rsid w:val="003336B3"/>
    <w:rsid w:val="003336C8"/>
    <w:rsid w:val="003336D0"/>
    <w:rsid w:val="003336D8"/>
    <w:rsid w:val="003336E1"/>
    <w:rsid w:val="003336F0"/>
    <w:rsid w:val="00333789"/>
    <w:rsid w:val="003337C3"/>
    <w:rsid w:val="003337E2"/>
    <w:rsid w:val="003337ED"/>
    <w:rsid w:val="00333804"/>
    <w:rsid w:val="00333899"/>
    <w:rsid w:val="003338A1"/>
    <w:rsid w:val="003338C9"/>
    <w:rsid w:val="00333922"/>
    <w:rsid w:val="00333927"/>
    <w:rsid w:val="00333963"/>
    <w:rsid w:val="00333982"/>
    <w:rsid w:val="0033398E"/>
    <w:rsid w:val="003339A5"/>
    <w:rsid w:val="003339BF"/>
    <w:rsid w:val="003339ED"/>
    <w:rsid w:val="003339EE"/>
    <w:rsid w:val="003339FD"/>
    <w:rsid w:val="00333A75"/>
    <w:rsid w:val="00333AAD"/>
    <w:rsid w:val="00333AB2"/>
    <w:rsid w:val="00333AD1"/>
    <w:rsid w:val="00333AE9"/>
    <w:rsid w:val="00333B0A"/>
    <w:rsid w:val="00333B6B"/>
    <w:rsid w:val="00333B73"/>
    <w:rsid w:val="00333C0E"/>
    <w:rsid w:val="00333C40"/>
    <w:rsid w:val="00333C42"/>
    <w:rsid w:val="00333C66"/>
    <w:rsid w:val="00333C74"/>
    <w:rsid w:val="00333CB2"/>
    <w:rsid w:val="00333CE2"/>
    <w:rsid w:val="00333CE4"/>
    <w:rsid w:val="00333CF3"/>
    <w:rsid w:val="00333D03"/>
    <w:rsid w:val="00333D24"/>
    <w:rsid w:val="00333D27"/>
    <w:rsid w:val="00333D29"/>
    <w:rsid w:val="00333D2D"/>
    <w:rsid w:val="00333DA7"/>
    <w:rsid w:val="00333DCC"/>
    <w:rsid w:val="00333DF8"/>
    <w:rsid w:val="00333E3C"/>
    <w:rsid w:val="00333E75"/>
    <w:rsid w:val="00333E88"/>
    <w:rsid w:val="00333EC4"/>
    <w:rsid w:val="00333F3E"/>
    <w:rsid w:val="00333FC9"/>
    <w:rsid w:val="00334038"/>
    <w:rsid w:val="0033403D"/>
    <w:rsid w:val="0033404F"/>
    <w:rsid w:val="00334091"/>
    <w:rsid w:val="003340AA"/>
    <w:rsid w:val="00334112"/>
    <w:rsid w:val="00334118"/>
    <w:rsid w:val="0033413E"/>
    <w:rsid w:val="00334160"/>
    <w:rsid w:val="0033419C"/>
    <w:rsid w:val="0033420A"/>
    <w:rsid w:val="0033421E"/>
    <w:rsid w:val="00334228"/>
    <w:rsid w:val="00334245"/>
    <w:rsid w:val="0033425C"/>
    <w:rsid w:val="00334261"/>
    <w:rsid w:val="00334272"/>
    <w:rsid w:val="00334293"/>
    <w:rsid w:val="003342CD"/>
    <w:rsid w:val="003342E9"/>
    <w:rsid w:val="003342F7"/>
    <w:rsid w:val="00334359"/>
    <w:rsid w:val="0033437D"/>
    <w:rsid w:val="0033439D"/>
    <w:rsid w:val="0033439F"/>
    <w:rsid w:val="003343B2"/>
    <w:rsid w:val="003343C5"/>
    <w:rsid w:val="003343DD"/>
    <w:rsid w:val="0033447E"/>
    <w:rsid w:val="0033448B"/>
    <w:rsid w:val="0033448D"/>
    <w:rsid w:val="00334557"/>
    <w:rsid w:val="003345C5"/>
    <w:rsid w:val="003345CA"/>
    <w:rsid w:val="00334622"/>
    <w:rsid w:val="0033462F"/>
    <w:rsid w:val="00334643"/>
    <w:rsid w:val="0033469A"/>
    <w:rsid w:val="0033469F"/>
    <w:rsid w:val="003346EC"/>
    <w:rsid w:val="00334770"/>
    <w:rsid w:val="003347C6"/>
    <w:rsid w:val="003347CE"/>
    <w:rsid w:val="003347F4"/>
    <w:rsid w:val="0033481B"/>
    <w:rsid w:val="0033482B"/>
    <w:rsid w:val="00334831"/>
    <w:rsid w:val="0033483D"/>
    <w:rsid w:val="00334880"/>
    <w:rsid w:val="0033488D"/>
    <w:rsid w:val="003348BF"/>
    <w:rsid w:val="003348EC"/>
    <w:rsid w:val="0033490B"/>
    <w:rsid w:val="0033491A"/>
    <w:rsid w:val="0033491F"/>
    <w:rsid w:val="0033492F"/>
    <w:rsid w:val="0033496E"/>
    <w:rsid w:val="003349B7"/>
    <w:rsid w:val="003349D2"/>
    <w:rsid w:val="003349DF"/>
    <w:rsid w:val="00334A8D"/>
    <w:rsid w:val="00334A94"/>
    <w:rsid w:val="00334A96"/>
    <w:rsid w:val="00334AB1"/>
    <w:rsid w:val="00334AC1"/>
    <w:rsid w:val="00334AC3"/>
    <w:rsid w:val="00334AC7"/>
    <w:rsid w:val="00334AD4"/>
    <w:rsid w:val="00334B01"/>
    <w:rsid w:val="00334B76"/>
    <w:rsid w:val="00334B90"/>
    <w:rsid w:val="00334BAA"/>
    <w:rsid w:val="00334BDE"/>
    <w:rsid w:val="00334C00"/>
    <w:rsid w:val="00334C0D"/>
    <w:rsid w:val="00334C50"/>
    <w:rsid w:val="00334C56"/>
    <w:rsid w:val="00334C8A"/>
    <w:rsid w:val="00334C9E"/>
    <w:rsid w:val="00334CD0"/>
    <w:rsid w:val="00334CD2"/>
    <w:rsid w:val="00334D72"/>
    <w:rsid w:val="00334D75"/>
    <w:rsid w:val="00334D7C"/>
    <w:rsid w:val="00334DAB"/>
    <w:rsid w:val="00334DB8"/>
    <w:rsid w:val="00334DD3"/>
    <w:rsid w:val="00334E32"/>
    <w:rsid w:val="00334E3D"/>
    <w:rsid w:val="00334E4F"/>
    <w:rsid w:val="00334E57"/>
    <w:rsid w:val="00334E69"/>
    <w:rsid w:val="00334E89"/>
    <w:rsid w:val="00334EAE"/>
    <w:rsid w:val="00334ECC"/>
    <w:rsid w:val="00334EFD"/>
    <w:rsid w:val="00334F0D"/>
    <w:rsid w:val="00334F12"/>
    <w:rsid w:val="00334F24"/>
    <w:rsid w:val="00334FB1"/>
    <w:rsid w:val="00334FEF"/>
    <w:rsid w:val="00334FF0"/>
    <w:rsid w:val="0033503F"/>
    <w:rsid w:val="00335054"/>
    <w:rsid w:val="00335055"/>
    <w:rsid w:val="00335071"/>
    <w:rsid w:val="0033508E"/>
    <w:rsid w:val="003350EC"/>
    <w:rsid w:val="003350F2"/>
    <w:rsid w:val="0033510D"/>
    <w:rsid w:val="00335116"/>
    <w:rsid w:val="003351B0"/>
    <w:rsid w:val="003351FE"/>
    <w:rsid w:val="00335204"/>
    <w:rsid w:val="00335239"/>
    <w:rsid w:val="00335284"/>
    <w:rsid w:val="00335297"/>
    <w:rsid w:val="0033529E"/>
    <w:rsid w:val="003352BF"/>
    <w:rsid w:val="003352E3"/>
    <w:rsid w:val="00335313"/>
    <w:rsid w:val="0033532F"/>
    <w:rsid w:val="0033537E"/>
    <w:rsid w:val="00335383"/>
    <w:rsid w:val="0033538F"/>
    <w:rsid w:val="00335392"/>
    <w:rsid w:val="003353A0"/>
    <w:rsid w:val="003353C5"/>
    <w:rsid w:val="003353DF"/>
    <w:rsid w:val="003353E7"/>
    <w:rsid w:val="00335415"/>
    <w:rsid w:val="0033545C"/>
    <w:rsid w:val="00335484"/>
    <w:rsid w:val="00335488"/>
    <w:rsid w:val="003354A0"/>
    <w:rsid w:val="003354AD"/>
    <w:rsid w:val="003354CC"/>
    <w:rsid w:val="003354D1"/>
    <w:rsid w:val="003354E1"/>
    <w:rsid w:val="00335501"/>
    <w:rsid w:val="0033551B"/>
    <w:rsid w:val="0033551D"/>
    <w:rsid w:val="00335551"/>
    <w:rsid w:val="00335552"/>
    <w:rsid w:val="0033556F"/>
    <w:rsid w:val="00335582"/>
    <w:rsid w:val="003355A9"/>
    <w:rsid w:val="003355B1"/>
    <w:rsid w:val="003355C7"/>
    <w:rsid w:val="003355D1"/>
    <w:rsid w:val="0033566A"/>
    <w:rsid w:val="00335686"/>
    <w:rsid w:val="00335691"/>
    <w:rsid w:val="003356B5"/>
    <w:rsid w:val="003356B7"/>
    <w:rsid w:val="003356B9"/>
    <w:rsid w:val="003356E2"/>
    <w:rsid w:val="00335702"/>
    <w:rsid w:val="00335714"/>
    <w:rsid w:val="00335796"/>
    <w:rsid w:val="003357BB"/>
    <w:rsid w:val="00335861"/>
    <w:rsid w:val="00335894"/>
    <w:rsid w:val="00335897"/>
    <w:rsid w:val="003358A5"/>
    <w:rsid w:val="003358A7"/>
    <w:rsid w:val="003358D7"/>
    <w:rsid w:val="003358FA"/>
    <w:rsid w:val="00335912"/>
    <w:rsid w:val="0033594A"/>
    <w:rsid w:val="0033596B"/>
    <w:rsid w:val="0033596F"/>
    <w:rsid w:val="003359B6"/>
    <w:rsid w:val="00335A28"/>
    <w:rsid w:val="00335A5D"/>
    <w:rsid w:val="00335A99"/>
    <w:rsid w:val="00335ABB"/>
    <w:rsid w:val="00335AC7"/>
    <w:rsid w:val="00335ACF"/>
    <w:rsid w:val="00335AD2"/>
    <w:rsid w:val="00335AE4"/>
    <w:rsid w:val="00335B10"/>
    <w:rsid w:val="00335B32"/>
    <w:rsid w:val="00335B8B"/>
    <w:rsid w:val="00335B8C"/>
    <w:rsid w:val="00335BBE"/>
    <w:rsid w:val="00335C09"/>
    <w:rsid w:val="00335C19"/>
    <w:rsid w:val="00335C1B"/>
    <w:rsid w:val="00335C41"/>
    <w:rsid w:val="00335C53"/>
    <w:rsid w:val="00335CBE"/>
    <w:rsid w:val="00335CE5"/>
    <w:rsid w:val="00335D43"/>
    <w:rsid w:val="00335D8D"/>
    <w:rsid w:val="00335DE9"/>
    <w:rsid w:val="00335E11"/>
    <w:rsid w:val="00335E6C"/>
    <w:rsid w:val="00335E78"/>
    <w:rsid w:val="00335F92"/>
    <w:rsid w:val="00335FAB"/>
    <w:rsid w:val="00335FDE"/>
    <w:rsid w:val="00335FF2"/>
    <w:rsid w:val="00336000"/>
    <w:rsid w:val="0033602C"/>
    <w:rsid w:val="00336044"/>
    <w:rsid w:val="003360A2"/>
    <w:rsid w:val="00336165"/>
    <w:rsid w:val="00336176"/>
    <w:rsid w:val="003361B9"/>
    <w:rsid w:val="00336229"/>
    <w:rsid w:val="00336233"/>
    <w:rsid w:val="0033623C"/>
    <w:rsid w:val="0033625F"/>
    <w:rsid w:val="003362CC"/>
    <w:rsid w:val="003362D0"/>
    <w:rsid w:val="003362E6"/>
    <w:rsid w:val="0033630C"/>
    <w:rsid w:val="00336327"/>
    <w:rsid w:val="00336335"/>
    <w:rsid w:val="00336339"/>
    <w:rsid w:val="00336353"/>
    <w:rsid w:val="0033635B"/>
    <w:rsid w:val="003363DE"/>
    <w:rsid w:val="003363E9"/>
    <w:rsid w:val="00336450"/>
    <w:rsid w:val="00336463"/>
    <w:rsid w:val="00336487"/>
    <w:rsid w:val="003364DA"/>
    <w:rsid w:val="00336509"/>
    <w:rsid w:val="00336564"/>
    <w:rsid w:val="00336583"/>
    <w:rsid w:val="003365F4"/>
    <w:rsid w:val="00336607"/>
    <w:rsid w:val="00336626"/>
    <w:rsid w:val="00336659"/>
    <w:rsid w:val="0033665C"/>
    <w:rsid w:val="00336699"/>
    <w:rsid w:val="0033671B"/>
    <w:rsid w:val="00336747"/>
    <w:rsid w:val="00336765"/>
    <w:rsid w:val="00336780"/>
    <w:rsid w:val="00336798"/>
    <w:rsid w:val="0033679D"/>
    <w:rsid w:val="003367A3"/>
    <w:rsid w:val="003367B0"/>
    <w:rsid w:val="003367BC"/>
    <w:rsid w:val="003367BE"/>
    <w:rsid w:val="00336822"/>
    <w:rsid w:val="00336827"/>
    <w:rsid w:val="00336834"/>
    <w:rsid w:val="0033683E"/>
    <w:rsid w:val="0033687D"/>
    <w:rsid w:val="003368A0"/>
    <w:rsid w:val="003368B3"/>
    <w:rsid w:val="003368E5"/>
    <w:rsid w:val="003368EF"/>
    <w:rsid w:val="00336914"/>
    <w:rsid w:val="00336919"/>
    <w:rsid w:val="0033691C"/>
    <w:rsid w:val="0033692C"/>
    <w:rsid w:val="00336934"/>
    <w:rsid w:val="00336989"/>
    <w:rsid w:val="00336998"/>
    <w:rsid w:val="00336A42"/>
    <w:rsid w:val="00336A58"/>
    <w:rsid w:val="00336A68"/>
    <w:rsid w:val="00336A77"/>
    <w:rsid w:val="00336A9D"/>
    <w:rsid w:val="00336AAD"/>
    <w:rsid w:val="00336ABE"/>
    <w:rsid w:val="00336B27"/>
    <w:rsid w:val="00336B36"/>
    <w:rsid w:val="00336B54"/>
    <w:rsid w:val="00336B66"/>
    <w:rsid w:val="00336C14"/>
    <w:rsid w:val="00336C3B"/>
    <w:rsid w:val="00336C3D"/>
    <w:rsid w:val="00336C41"/>
    <w:rsid w:val="00336C4C"/>
    <w:rsid w:val="00336C50"/>
    <w:rsid w:val="00336CE7"/>
    <w:rsid w:val="00336D61"/>
    <w:rsid w:val="00336D6A"/>
    <w:rsid w:val="00336D72"/>
    <w:rsid w:val="00336E03"/>
    <w:rsid w:val="00336E84"/>
    <w:rsid w:val="00336E86"/>
    <w:rsid w:val="00336EC3"/>
    <w:rsid w:val="00336EDC"/>
    <w:rsid w:val="00336F07"/>
    <w:rsid w:val="00336F51"/>
    <w:rsid w:val="00336F6A"/>
    <w:rsid w:val="00336F78"/>
    <w:rsid w:val="00336F7D"/>
    <w:rsid w:val="00336F80"/>
    <w:rsid w:val="00336FD3"/>
    <w:rsid w:val="00337027"/>
    <w:rsid w:val="00337040"/>
    <w:rsid w:val="00337045"/>
    <w:rsid w:val="00337062"/>
    <w:rsid w:val="00337070"/>
    <w:rsid w:val="0033707F"/>
    <w:rsid w:val="00337081"/>
    <w:rsid w:val="003370A0"/>
    <w:rsid w:val="003370B2"/>
    <w:rsid w:val="00337100"/>
    <w:rsid w:val="0033711B"/>
    <w:rsid w:val="00337125"/>
    <w:rsid w:val="00337166"/>
    <w:rsid w:val="003371E8"/>
    <w:rsid w:val="00337227"/>
    <w:rsid w:val="00337257"/>
    <w:rsid w:val="0033725C"/>
    <w:rsid w:val="0033729E"/>
    <w:rsid w:val="003372AA"/>
    <w:rsid w:val="003372BB"/>
    <w:rsid w:val="00337334"/>
    <w:rsid w:val="00337353"/>
    <w:rsid w:val="0033736C"/>
    <w:rsid w:val="00337410"/>
    <w:rsid w:val="0033741E"/>
    <w:rsid w:val="00337507"/>
    <w:rsid w:val="00337512"/>
    <w:rsid w:val="0033752F"/>
    <w:rsid w:val="0033753F"/>
    <w:rsid w:val="00337546"/>
    <w:rsid w:val="0033757F"/>
    <w:rsid w:val="00337582"/>
    <w:rsid w:val="00337591"/>
    <w:rsid w:val="003375D3"/>
    <w:rsid w:val="003375F1"/>
    <w:rsid w:val="00337631"/>
    <w:rsid w:val="00337648"/>
    <w:rsid w:val="00337681"/>
    <w:rsid w:val="003376B1"/>
    <w:rsid w:val="003376BB"/>
    <w:rsid w:val="003376BF"/>
    <w:rsid w:val="003376E7"/>
    <w:rsid w:val="003376F3"/>
    <w:rsid w:val="003376FD"/>
    <w:rsid w:val="00337737"/>
    <w:rsid w:val="00337749"/>
    <w:rsid w:val="00337760"/>
    <w:rsid w:val="00337786"/>
    <w:rsid w:val="0033778C"/>
    <w:rsid w:val="003377B1"/>
    <w:rsid w:val="003377B6"/>
    <w:rsid w:val="003377E5"/>
    <w:rsid w:val="003377F6"/>
    <w:rsid w:val="00337817"/>
    <w:rsid w:val="00337864"/>
    <w:rsid w:val="00337867"/>
    <w:rsid w:val="00337898"/>
    <w:rsid w:val="0033789A"/>
    <w:rsid w:val="003378C2"/>
    <w:rsid w:val="00337932"/>
    <w:rsid w:val="00337986"/>
    <w:rsid w:val="0033799B"/>
    <w:rsid w:val="003379D2"/>
    <w:rsid w:val="00337A19"/>
    <w:rsid w:val="00337A4E"/>
    <w:rsid w:val="00337A53"/>
    <w:rsid w:val="00337A75"/>
    <w:rsid w:val="00337AF5"/>
    <w:rsid w:val="00337B23"/>
    <w:rsid w:val="00337B6E"/>
    <w:rsid w:val="00337B70"/>
    <w:rsid w:val="00337C41"/>
    <w:rsid w:val="00337C58"/>
    <w:rsid w:val="00337C78"/>
    <w:rsid w:val="00337C88"/>
    <w:rsid w:val="00337C8E"/>
    <w:rsid w:val="00337CD2"/>
    <w:rsid w:val="00337CD3"/>
    <w:rsid w:val="00337D0F"/>
    <w:rsid w:val="00337D48"/>
    <w:rsid w:val="00337D4B"/>
    <w:rsid w:val="00337D8D"/>
    <w:rsid w:val="00337E2A"/>
    <w:rsid w:val="00337E34"/>
    <w:rsid w:val="00337E9B"/>
    <w:rsid w:val="00337E9F"/>
    <w:rsid w:val="00337EC0"/>
    <w:rsid w:val="00337ECD"/>
    <w:rsid w:val="00337EF3"/>
    <w:rsid w:val="00337F11"/>
    <w:rsid w:val="00337F3B"/>
    <w:rsid w:val="00337FC0"/>
    <w:rsid w:val="00337FC6"/>
    <w:rsid w:val="00337FE6"/>
    <w:rsid w:val="0034002E"/>
    <w:rsid w:val="00340090"/>
    <w:rsid w:val="003400E3"/>
    <w:rsid w:val="00340100"/>
    <w:rsid w:val="0034012D"/>
    <w:rsid w:val="0034014D"/>
    <w:rsid w:val="00340168"/>
    <w:rsid w:val="003401BC"/>
    <w:rsid w:val="003401C1"/>
    <w:rsid w:val="003401F2"/>
    <w:rsid w:val="00340214"/>
    <w:rsid w:val="003402B5"/>
    <w:rsid w:val="003402D0"/>
    <w:rsid w:val="00340330"/>
    <w:rsid w:val="00340334"/>
    <w:rsid w:val="00340357"/>
    <w:rsid w:val="003403DF"/>
    <w:rsid w:val="003403EF"/>
    <w:rsid w:val="0034042A"/>
    <w:rsid w:val="00340436"/>
    <w:rsid w:val="0034044D"/>
    <w:rsid w:val="00340483"/>
    <w:rsid w:val="003404B8"/>
    <w:rsid w:val="003404CC"/>
    <w:rsid w:val="0034052C"/>
    <w:rsid w:val="0034053D"/>
    <w:rsid w:val="00340570"/>
    <w:rsid w:val="00340575"/>
    <w:rsid w:val="0034059B"/>
    <w:rsid w:val="003405D5"/>
    <w:rsid w:val="00340605"/>
    <w:rsid w:val="0034060A"/>
    <w:rsid w:val="00340615"/>
    <w:rsid w:val="00340639"/>
    <w:rsid w:val="0034064A"/>
    <w:rsid w:val="00340683"/>
    <w:rsid w:val="003406E6"/>
    <w:rsid w:val="003406F9"/>
    <w:rsid w:val="00340722"/>
    <w:rsid w:val="0034076D"/>
    <w:rsid w:val="00340773"/>
    <w:rsid w:val="0034077C"/>
    <w:rsid w:val="003407A0"/>
    <w:rsid w:val="003407A2"/>
    <w:rsid w:val="003407EF"/>
    <w:rsid w:val="00340821"/>
    <w:rsid w:val="00340828"/>
    <w:rsid w:val="0034082E"/>
    <w:rsid w:val="00340837"/>
    <w:rsid w:val="00340868"/>
    <w:rsid w:val="0034091C"/>
    <w:rsid w:val="0034093E"/>
    <w:rsid w:val="0034094A"/>
    <w:rsid w:val="0034096D"/>
    <w:rsid w:val="003409DD"/>
    <w:rsid w:val="003409EE"/>
    <w:rsid w:val="00340A00"/>
    <w:rsid w:val="00340A22"/>
    <w:rsid w:val="00340A30"/>
    <w:rsid w:val="00340A38"/>
    <w:rsid w:val="00340A50"/>
    <w:rsid w:val="00340A6F"/>
    <w:rsid w:val="00340A92"/>
    <w:rsid w:val="00340A97"/>
    <w:rsid w:val="00340AB4"/>
    <w:rsid w:val="00340AC8"/>
    <w:rsid w:val="00340AFD"/>
    <w:rsid w:val="00340B0E"/>
    <w:rsid w:val="00340B21"/>
    <w:rsid w:val="00340B60"/>
    <w:rsid w:val="00340BA4"/>
    <w:rsid w:val="00340BB5"/>
    <w:rsid w:val="00340BFA"/>
    <w:rsid w:val="00340C0E"/>
    <w:rsid w:val="00340C22"/>
    <w:rsid w:val="00340C2F"/>
    <w:rsid w:val="00340C3D"/>
    <w:rsid w:val="00340C42"/>
    <w:rsid w:val="00340C7E"/>
    <w:rsid w:val="00340C82"/>
    <w:rsid w:val="00340C91"/>
    <w:rsid w:val="00340CC0"/>
    <w:rsid w:val="00340CC6"/>
    <w:rsid w:val="00340CC9"/>
    <w:rsid w:val="00340D01"/>
    <w:rsid w:val="00340D16"/>
    <w:rsid w:val="00340D8E"/>
    <w:rsid w:val="00340DA9"/>
    <w:rsid w:val="00340E05"/>
    <w:rsid w:val="00340E5D"/>
    <w:rsid w:val="00340E96"/>
    <w:rsid w:val="00340EB2"/>
    <w:rsid w:val="00340F5C"/>
    <w:rsid w:val="00340F6C"/>
    <w:rsid w:val="00340F81"/>
    <w:rsid w:val="00340FDC"/>
    <w:rsid w:val="0034104A"/>
    <w:rsid w:val="0034104D"/>
    <w:rsid w:val="00341051"/>
    <w:rsid w:val="00341072"/>
    <w:rsid w:val="00341082"/>
    <w:rsid w:val="0034109C"/>
    <w:rsid w:val="003410AE"/>
    <w:rsid w:val="003410B8"/>
    <w:rsid w:val="003410BB"/>
    <w:rsid w:val="003410DA"/>
    <w:rsid w:val="003410FC"/>
    <w:rsid w:val="00341107"/>
    <w:rsid w:val="00341116"/>
    <w:rsid w:val="00341134"/>
    <w:rsid w:val="00341147"/>
    <w:rsid w:val="00341155"/>
    <w:rsid w:val="0034115A"/>
    <w:rsid w:val="0034115B"/>
    <w:rsid w:val="003411AB"/>
    <w:rsid w:val="003411C3"/>
    <w:rsid w:val="00341216"/>
    <w:rsid w:val="00341232"/>
    <w:rsid w:val="0034124A"/>
    <w:rsid w:val="00341268"/>
    <w:rsid w:val="003412FC"/>
    <w:rsid w:val="0034133A"/>
    <w:rsid w:val="00341385"/>
    <w:rsid w:val="003413C4"/>
    <w:rsid w:val="003413FC"/>
    <w:rsid w:val="003413FF"/>
    <w:rsid w:val="00341426"/>
    <w:rsid w:val="00341437"/>
    <w:rsid w:val="003414A8"/>
    <w:rsid w:val="00341514"/>
    <w:rsid w:val="0034152E"/>
    <w:rsid w:val="00341566"/>
    <w:rsid w:val="00341590"/>
    <w:rsid w:val="003415AB"/>
    <w:rsid w:val="003415F6"/>
    <w:rsid w:val="00341604"/>
    <w:rsid w:val="0034161C"/>
    <w:rsid w:val="00341658"/>
    <w:rsid w:val="003416E4"/>
    <w:rsid w:val="00341705"/>
    <w:rsid w:val="00341766"/>
    <w:rsid w:val="003417AC"/>
    <w:rsid w:val="00341810"/>
    <w:rsid w:val="00341845"/>
    <w:rsid w:val="00341891"/>
    <w:rsid w:val="003418A4"/>
    <w:rsid w:val="003418BF"/>
    <w:rsid w:val="0034192A"/>
    <w:rsid w:val="00341951"/>
    <w:rsid w:val="0034196D"/>
    <w:rsid w:val="0034197B"/>
    <w:rsid w:val="00341985"/>
    <w:rsid w:val="0034198F"/>
    <w:rsid w:val="0034199F"/>
    <w:rsid w:val="003419CE"/>
    <w:rsid w:val="00341A05"/>
    <w:rsid w:val="00341A14"/>
    <w:rsid w:val="00341A26"/>
    <w:rsid w:val="00341A31"/>
    <w:rsid w:val="00341A32"/>
    <w:rsid w:val="00341A3F"/>
    <w:rsid w:val="00341A78"/>
    <w:rsid w:val="00341A7A"/>
    <w:rsid w:val="00341AC9"/>
    <w:rsid w:val="00341AD2"/>
    <w:rsid w:val="00341B43"/>
    <w:rsid w:val="00341B67"/>
    <w:rsid w:val="00341B6F"/>
    <w:rsid w:val="00341B80"/>
    <w:rsid w:val="00341BA8"/>
    <w:rsid w:val="00341BCC"/>
    <w:rsid w:val="00341BE5"/>
    <w:rsid w:val="00341C0F"/>
    <w:rsid w:val="00341C19"/>
    <w:rsid w:val="00341C61"/>
    <w:rsid w:val="00341C84"/>
    <w:rsid w:val="00341C86"/>
    <w:rsid w:val="00341C8E"/>
    <w:rsid w:val="00341CA9"/>
    <w:rsid w:val="00341CF0"/>
    <w:rsid w:val="00341CFD"/>
    <w:rsid w:val="00341D18"/>
    <w:rsid w:val="00341D35"/>
    <w:rsid w:val="00341D4D"/>
    <w:rsid w:val="00341D69"/>
    <w:rsid w:val="00341D82"/>
    <w:rsid w:val="00341DD8"/>
    <w:rsid w:val="00341DF7"/>
    <w:rsid w:val="00341E4A"/>
    <w:rsid w:val="00341E50"/>
    <w:rsid w:val="00341E90"/>
    <w:rsid w:val="00341E9C"/>
    <w:rsid w:val="00341EA4"/>
    <w:rsid w:val="00341F01"/>
    <w:rsid w:val="00341F21"/>
    <w:rsid w:val="00341F5A"/>
    <w:rsid w:val="00341F70"/>
    <w:rsid w:val="00341F84"/>
    <w:rsid w:val="00341F86"/>
    <w:rsid w:val="00341FDB"/>
    <w:rsid w:val="00341FF1"/>
    <w:rsid w:val="0034201D"/>
    <w:rsid w:val="00342044"/>
    <w:rsid w:val="00342052"/>
    <w:rsid w:val="00342057"/>
    <w:rsid w:val="003420DB"/>
    <w:rsid w:val="003420F8"/>
    <w:rsid w:val="00342104"/>
    <w:rsid w:val="0034210F"/>
    <w:rsid w:val="00342136"/>
    <w:rsid w:val="00342152"/>
    <w:rsid w:val="0034215C"/>
    <w:rsid w:val="00342173"/>
    <w:rsid w:val="003421EC"/>
    <w:rsid w:val="00342232"/>
    <w:rsid w:val="0034224A"/>
    <w:rsid w:val="00342260"/>
    <w:rsid w:val="00342278"/>
    <w:rsid w:val="0034228D"/>
    <w:rsid w:val="003422A4"/>
    <w:rsid w:val="003422C7"/>
    <w:rsid w:val="00342313"/>
    <w:rsid w:val="0034233F"/>
    <w:rsid w:val="00342348"/>
    <w:rsid w:val="00342388"/>
    <w:rsid w:val="003423AF"/>
    <w:rsid w:val="003423B9"/>
    <w:rsid w:val="003423D7"/>
    <w:rsid w:val="003423D9"/>
    <w:rsid w:val="00342403"/>
    <w:rsid w:val="0034240A"/>
    <w:rsid w:val="00342419"/>
    <w:rsid w:val="00342427"/>
    <w:rsid w:val="00342428"/>
    <w:rsid w:val="00342431"/>
    <w:rsid w:val="0034243C"/>
    <w:rsid w:val="0034245D"/>
    <w:rsid w:val="00342481"/>
    <w:rsid w:val="003424B5"/>
    <w:rsid w:val="00342548"/>
    <w:rsid w:val="0034254B"/>
    <w:rsid w:val="00342565"/>
    <w:rsid w:val="003425EA"/>
    <w:rsid w:val="0034262E"/>
    <w:rsid w:val="003426B0"/>
    <w:rsid w:val="003426C0"/>
    <w:rsid w:val="003426C9"/>
    <w:rsid w:val="003426D1"/>
    <w:rsid w:val="00342739"/>
    <w:rsid w:val="0034279F"/>
    <w:rsid w:val="003427A1"/>
    <w:rsid w:val="003427C7"/>
    <w:rsid w:val="003427D9"/>
    <w:rsid w:val="0034281A"/>
    <w:rsid w:val="0034281E"/>
    <w:rsid w:val="00342850"/>
    <w:rsid w:val="0034287B"/>
    <w:rsid w:val="003428AF"/>
    <w:rsid w:val="0034290B"/>
    <w:rsid w:val="00342971"/>
    <w:rsid w:val="0034299E"/>
    <w:rsid w:val="003429B7"/>
    <w:rsid w:val="003429ED"/>
    <w:rsid w:val="00342A4E"/>
    <w:rsid w:val="00342A56"/>
    <w:rsid w:val="00342A57"/>
    <w:rsid w:val="00342ABE"/>
    <w:rsid w:val="00342AD3"/>
    <w:rsid w:val="00342AF2"/>
    <w:rsid w:val="00342B11"/>
    <w:rsid w:val="00342B1E"/>
    <w:rsid w:val="00342B2A"/>
    <w:rsid w:val="00342B2F"/>
    <w:rsid w:val="00342B37"/>
    <w:rsid w:val="00342B44"/>
    <w:rsid w:val="00342B58"/>
    <w:rsid w:val="00342B73"/>
    <w:rsid w:val="00342BA5"/>
    <w:rsid w:val="00342BAB"/>
    <w:rsid w:val="00342BAD"/>
    <w:rsid w:val="00342C46"/>
    <w:rsid w:val="00342C4F"/>
    <w:rsid w:val="00342C6B"/>
    <w:rsid w:val="00342C76"/>
    <w:rsid w:val="00342C86"/>
    <w:rsid w:val="00342C91"/>
    <w:rsid w:val="00342CAA"/>
    <w:rsid w:val="00342CBE"/>
    <w:rsid w:val="00342D8A"/>
    <w:rsid w:val="00342D94"/>
    <w:rsid w:val="00342DBD"/>
    <w:rsid w:val="00342DC0"/>
    <w:rsid w:val="00342DD8"/>
    <w:rsid w:val="00342DDF"/>
    <w:rsid w:val="00342E29"/>
    <w:rsid w:val="00342E2E"/>
    <w:rsid w:val="00342E49"/>
    <w:rsid w:val="00342E69"/>
    <w:rsid w:val="00342E6A"/>
    <w:rsid w:val="00342EA9"/>
    <w:rsid w:val="00342EB8"/>
    <w:rsid w:val="00342EF9"/>
    <w:rsid w:val="00342EFE"/>
    <w:rsid w:val="00342F2B"/>
    <w:rsid w:val="00342F3D"/>
    <w:rsid w:val="00342F41"/>
    <w:rsid w:val="00342F43"/>
    <w:rsid w:val="00342FDB"/>
    <w:rsid w:val="00343004"/>
    <w:rsid w:val="0034303E"/>
    <w:rsid w:val="00343068"/>
    <w:rsid w:val="00343071"/>
    <w:rsid w:val="00343079"/>
    <w:rsid w:val="0034307E"/>
    <w:rsid w:val="003430B1"/>
    <w:rsid w:val="00343147"/>
    <w:rsid w:val="0034315E"/>
    <w:rsid w:val="00343183"/>
    <w:rsid w:val="003431D9"/>
    <w:rsid w:val="003431F3"/>
    <w:rsid w:val="00343217"/>
    <w:rsid w:val="003432A1"/>
    <w:rsid w:val="003432B4"/>
    <w:rsid w:val="003432DC"/>
    <w:rsid w:val="003432F3"/>
    <w:rsid w:val="003432FC"/>
    <w:rsid w:val="003432FE"/>
    <w:rsid w:val="00343311"/>
    <w:rsid w:val="00343366"/>
    <w:rsid w:val="0034338E"/>
    <w:rsid w:val="00343394"/>
    <w:rsid w:val="003433C0"/>
    <w:rsid w:val="003433DD"/>
    <w:rsid w:val="003433F9"/>
    <w:rsid w:val="00343422"/>
    <w:rsid w:val="0034346E"/>
    <w:rsid w:val="00343492"/>
    <w:rsid w:val="003434AD"/>
    <w:rsid w:val="003434B9"/>
    <w:rsid w:val="003434E5"/>
    <w:rsid w:val="0034350A"/>
    <w:rsid w:val="00343529"/>
    <w:rsid w:val="0034352B"/>
    <w:rsid w:val="00343578"/>
    <w:rsid w:val="0034357B"/>
    <w:rsid w:val="00343622"/>
    <w:rsid w:val="00343629"/>
    <w:rsid w:val="003436A4"/>
    <w:rsid w:val="003436A9"/>
    <w:rsid w:val="003436CB"/>
    <w:rsid w:val="00343771"/>
    <w:rsid w:val="003437B0"/>
    <w:rsid w:val="003437B5"/>
    <w:rsid w:val="003437CE"/>
    <w:rsid w:val="003437DA"/>
    <w:rsid w:val="003437EC"/>
    <w:rsid w:val="003437F8"/>
    <w:rsid w:val="00343802"/>
    <w:rsid w:val="00343823"/>
    <w:rsid w:val="0034383D"/>
    <w:rsid w:val="00343852"/>
    <w:rsid w:val="00343853"/>
    <w:rsid w:val="00343863"/>
    <w:rsid w:val="003438AC"/>
    <w:rsid w:val="003438B2"/>
    <w:rsid w:val="003438B4"/>
    <w:rsid w:val="003438B5"/>
    <w:rsid w:val="003438B9"/>
    <w:rsid w:val="0034390D"/>
    <w:rsid w:val="00343940"/>
    <w:rsid w:val="00343995"/>
    <w:rsid w:val="003439CD"/>
    <w:rsid w:val="003439FD"/>
    <w:rsid w:val="00343A06"/>
    <w:rsid w:val="00343A22"/>
    <w:rsid w:val="00343A27"/>
    <w:rsid w:val="00343A2A"/>
    <w:rsid w:val="00343A69"/>
    <w:rsid w:val="00343AAB"/>
    <w:rsid w:val="00343AAD"/>
    <w:rsid w:val="00343AC3"/>
    <w:rsid w:val="00343B46"/>
    <w:rsid w:val="00343B49"/>
    <w:rsid w:val="00343B93"/>
    <w:rsid w:val="00343BC7"/>
    <w:rsid w:val="00343BD8"/>
    <w:rsid w:val="00343C16"/>
    <w:rsid w:val="00343C5E"/>
    <w:rsid w:val="00343C65"/>
    <w:rsid w:val="00343D05"/>
    <w:rsid w:val="00343D31"/>
    <w:rsid w:val="00343D8D"/>
    <w:rsid w:val="00343DA3"/>
    <w:rsid w:val="00343DCC"/>
    <w:rsid w:val="00343DE2"/>
    <w:rsid w:val="00343DEB"/>
    <w:rsid w:val="00343DFD"/>
    <w:rsid w:val="00343E05"/>
    <w:rsid w:val="00343E13"/>
    <w:rsid w:val="00343E35"/>
    <w:rsid w:val="00343E4B"/>
    <w:rsid w:val="00343E9F"/>
    <w:rsid w:val="00343EB4"/>
    <w:rsid w:val="00343EC5"/>
    <w:rsid w:val="00343ECC"/>
    <w:rsid w:val="00343F08"/>
    <w:rsid w:val="00343F0E"/>
    <w:rsid w:val="00343F9A"/>
    <w:rsid w:val="00344006"/>
    <w:rsid w:val="0034403C"/>
    <w:rsid w:val="003440B7"/>
    <w:rsid w:val="003440D2"/>
    <w:rsid w:val="003440DA"/>
    <w:rsid w:val="00344105"/>
    <w:rsid w:val="00344136"/>
    <w:rsid w:val="00344143"/>
    <w:rsid w:val="00344173"/>
    <w:rsid w:val="00344188"/>
    <w:rsid w:val="00344190"/>
    <w:rsid w:val="003441AE"/>
    <w:rsid w:val="003441CA"/>
    <w:rsid w:val="003441F0"/>
    <w:rsid w:val="00344266"/>
    <w:rsid w:val="00344285"/>
    <w:rsid w:val="003442C4"/>
    <w:rsid w:val="00344356"/>
    <w:rsid w:val="0034435C"/>
    <w:rsid w:val="003443A4"/>
    <w:rsid w:val="003443C8"/>
    <w:rsid w:val="003443E2"/>
    <w:rsid w:val="0034445E"/>
    <w:rsid w:val="003444A0"/>
    <w:rsid w:val="003444AC"/>
    <w:rsid w:val="0034450D"/>
    <w:rsid w:val="003445D2"/>
    <w:rsid w:val="003445D3"/>
    <w:rsid w:val="003445FD"/>
    <w:rsid w:val="00344607"/>
    <w:rsid w:val="0034465D"/>
    <w:rsid w:val="00344690"/>
    <w:rsid w:val="003446A2"/>
    <w:rsid w:val="0034473D"/>
    <w:rsid w:val="00344799"/>
    <w:rsid w:val="003447FA"/>
    <w:rsid w:val="00344809"/>
    <w:rsid w:val="003448EE"/>
    <w:rsid w:val="00344955"/>
    <w:rsid w:val="003449AE"/>
    <w:rsid w:val="003449B1"/>
    <w:rsid w:val="003449E5"/>
    <w:rsid w:val="003449F9"/>
    <w:rsid w:val="00344A14"/>
    <w:rsid w:val="00344A25"/>
    <w:rsid w:val="00344A51"/>
    <w:rsid w:val="00344A65"/>
    <w:rsid w:val="00344A92"/>
    <w:rsid w:val="00344A9C"/>
    <w:rsid w:val="00344ADA"/>
    <w:rsid w:val="00344AFF"/>
    <w:rsid w:val="00344B0E"/>
    <w:rsid w:val="00344B19"/>
    <w:rsid w:val="00344B49"/>
    <w:rsid w:val="00344BBD"/>
    <w:rsid w:val="00344C01"/>
    <w:rsid w:val="00344C12"/>
    <w:rsid w:val="00344C13"/>
    <w:rsid w:val="00344C43"/>
    <w:rsid w:val="00344C54"/>
    <w:rsid w:val="00344CB7"/>
    <w:rsid w:val="00344CCF"/>
    <w:rsid w:val="00344CDF"/>
    <w:rsid w:val="00344CEF"/>
    <w:rsid w:val="00344CF9"/>
    <w:rsid w:val="00344D05"/>
    <w:rsid w:val="00344D1F"/>
    <w:rsid w:val="00344D38"/>
    <w:rsid w:val="00344D5D"/>
    <w:rsid w:val="00344D64"/>
    <w:rsid w:val="00344D65"/>
    <w:rsid w:val="00344D99"/>
    <w:rsid w:val="00344DBA"/>
    <w:rsid w:val="00344DC0"/>
    <w:rsid w:val="00344DF5"/>
    <w:rsid w:val="00344DF8"/>
    <w:rsid w:val="00344E1C"/>
    <w:rsid w:val="00344E1E"/>
    <w:rsid w:val="00344E1F"/>
    <w:rsid w:val="00344E56"/>
    <w:rsid w:val="00344E5B"/>
    <w:rsid w:val="00344E9C"/>
    <w:rsid w:val="00344EFF"/>
    <w:rsid w:val="00344F0B"/>
    <w:rsid w:val="00344F0F"/>
    <w:rsid w:val="00344F18"/>
    <w:rsid w:val="00344F24"/>
    <w:rsid w:val="00344F98"/>
    <w:rsid w:val="0034504A"/>
    <w:rsid w:val="00345062"/>
    <w:rsid w:val="00345072"/>
    <w:rsid w:val="00345073"/>
    <w:rsid w:val="00345079"/>
    <w:rsid w:val="003450A0"/>
    <w:rsid w:val="00345133"/>
    <w:rsid w:val="00345152"/>
    <w:rsid w:val="0034515C"/>
    <w:rsid w:val="00345165"/>
    <w:rsid w:val="0034518B"/>
    <w:rsid w:val="003451AE"/>
    <w:rsid w:val="003451BE"/>
    <w:rsid w:val="003451CC"/>
    <w:rsid w:val="00345250"/>
    <w:rsid w:val="003452A6"/>
    <w:rsid w:val="003452B1"/>
    <w:rsid w:val="003452B6"/>
    <w:rsid w:val="003452E5"/>
    <w:rsid w:val="003452EE"/>
    <w:rsid w:val="00345318"/>
    <w:rsid w:val="00345320"/>
    <w:rsid w:val="00345398"/>
    <w:rsid w:val="0034539E"/>
    <w:rsid w:val="003453A9"/>
    <w:rsid w:val="003453C8"/>
    <w:rsid w:val="003453EB"/>
    <w:rsid w:val="00345411"/>
    <w:rsid w:val="003454C2"/>
    <w:rsid w:val="003454CC"/>
    <w:rsid w:val="003454CE"/>
    <w:rsid w:val="003454D2"/>
    <w:rsid w:val="003454E1"/>
    <w:rsid w:val="003454FB"/>
    <w:rsid w:val="00345508"/>
    <w:rsid w:val="0034550F"/>
    <w:rsid w:val="0034556D"/>
    <w:rsid w:val="0034557A"/>
    <w:rsid w:val="003455AB"/>
    <w:rsid w:val="003455BA"/>
    <w:rsid w:val="003455CD"/>
    <w:rsid w:val="003455FC"/>
    <w:rsid w:val="00345623"/>
    <w:rsid w:val="00345629"/>
    <w:rsid w:val="00345654"/>
    <w:rsid w:val="003456AC"/>
    <w:rsid w:val="003456CB"/>
    <w:rsid w:val="003456FB"/>
    <w:rsid w:val="00345703"/>
    <w:rsid w:val="0034571D"/>
    <w:rsid w:val="0034573A"/>
    <w:rsid w:val="00345758"/>
    <w:rsid w:val="00345762"/>
    <w:rsid w:val="00345792"/>
    <w:rsid w:val="003457C4"/>
    <w:rsid w:val="003457FA"/>
    <w:rsid w:val="0034580A"/>
    <w:rsid w:val="00345852"/>
    <w:rsid w:val="00345878"/>
    <w:rsid w:val="003458AD"/>
    <w:rsid w:val="0034591A"/>
    <w:rsid w:val="00345952"/>
    <w:rsid w:val="00345A0E"/>
    <w:rsid w:val="00345A27"/>
    <w:rsid w:val="00345A2B"/>
    <w:rsid w:val="00345A35"/>
    <w:rsid w:val="00345A87"/>
    <w:rsid w:val="00345AD4"/>
    <w:rsid w:val="00345AE2"/>
    <w:rsid w:val="00345AE4"/>
    <w:rsid w:val="00345AF5"/>
    <w:rsid w:val="00345B1D"/>
    <w:rsid w:val="00345B26"/>
    <w:rsid w:val="00345B27"/>
    <w:rsid w:val="00345B2E"/>
    <w:rsid w:val="00345B36"/>
    <w:rsid w:val="00345B43"/>
    <w:rsid w:val="00345B60"/>
    <w:rsid w:val="00345B61"/>
    <w:rsid w:val="00345B6A"/>
    <w:rsid w:val="00345B7B"/>
    <w:rsid w:val="00345B91"/>
    <w:rsid w:val="00345B9C"/>
    <w:rsid w:val="00345BB8"/>
    <w:rsid w:val="00345BBA"/>
    <w:rsid w:val="00345BDF"/>
    <w:rsid w:val="00345C01"/>
    <w:rsid w:val="00345C19"/>
    <w:rsid w:val="00345C8F"/>
    <w:rsid w:val="00345C9B"/>
    <w:rsid w:val="00345CE4"/>
    <w:rsid w:val="00345D41"/>
    <w:rsid w:val="00345D66"/>
    <w:rsid w:val="00345D92"/>
    <w:rsid w:val="00345D98"/>
    <w:rsid w:val="00345DD4"/>
    <w:rsid w:val="00345E1A"/>
    <w:rsid w:val="00345E23"/>
    <w:rsid w:val="00345E30"/>
    <w:rsid w:val="00345E3E"/>
    <w:rsid w:val="00345F1F"/>
    <w:rsid w:val="00345F38"/>
    <w:rsid w:val="00345F81"/>
    <w:rsid w:val="00345F90"/>
    <w:rsid w:val="00345FC1"/>
    <w:rsid w:val="00345FE7"/>
    <w:rsid w:val="00345FEB"/>
    <w:rsid w:val="00345FEE"/>
    <w:rsid w:val="00346000"/>
    <w:rsid w:val="00346021"/>
    <w:rsid w:val="0034602F"/>
    <w:rsid w:val="003460A8"/>
    <w:rsid w:val="00346103"/>
    <w:rsid w:val="00346177"/>
    <w:rsid w:val="003461E6"/>
    <w:rsid w:val="00346248"/>
    <w:rsid w:val="00346261"/>
    <w:rsid w:val="003462E6"/>
    <w:rsid w:val="003462FB"/>
    <w:rsid w:val="00346313"/>
    <w:rsid w:val="00346314"/>
    <w:rsid w:val="0034631B"/>
    <w:rsid w:val="00346336"/>
    <w:rsid w:val="0034636A"/>
    <w:rsid w:val="0034637C"/>
    <w:rsid w:val="003463A6"/>
    <w:rsid w:val="0034640D"/>
    <w:rsid w:val="0034642D"/>
    <w:rsid w:val="0034642E"/>
    <w:rsid w:val="0034644C"/>
    <w:rsid w:val="003464A2"/>
    <w:rsid w:val="003464D1"/>
    <w:rsid w:val="003464E9"/>
    <w:rsid w:val="003464F9"/>
    <w:rsid w:val="00346506"/>
    <w:rsid w:val="00346533"/>
    <w:rsid w:val="0034656B"/>
    <w:rsid w:val="00346575"/>
    <w:rsid w:val="00346587"/>
    <w:rsid w:val="00346592"/>
    <w:rsid w:val="0034659B"/>
    <w:rsid w:val="00346639"/>
    <w:rsid w:val="00346653"/>
    <w:rsid w:val="00346675"/>
    <w:rsid w:val="003466BC"/>
    <w:rsid w:val="003466CE"/>
    <w:rsid w:val="003466D4"/>
    <w:rsid w:val="003466F1"/>
    <w:rsid w:val="0034672A"/>
    <w:rsid w:val="0034673D"/>
    <w:rsid w:val="0034673E"/>
    <w:rsid w:val="00346771"/>
    <w:rsid w:val="0034679E"/>
    <w:rsid w:val="003467AE"/>
    <w:rsid w:val="003467C6"/>
    <w:rsid w:val="003467D2"/>
    <w:rsid w:val="0034680B"/>
    <w:rsid w:val="00346861"/>
    <w:rsid w:val="003468A6"/>
    <w:rsid w:val="003468B7"/>
    <w:rsid w:val="003468E3"/>
    <w:rsid w:val="003468EB"/>
    <w:rsid w:val="003468F8"/>
    <w:rsid w:val="00346901"/>
    <w:rsid w:val="00346902"/>
    <w:rsid w:val="0034692A"/>
    <w:rsid w:val="003469B6"/>
    <w:rsid w:val="00346A12"/>
    <w:rsid w:val="00346A13"/>
    <w:rsid w:val="00346A21"/>
    <w:rsid w:val="00346A2D"/>
    <w:rsid w:val="00346A3F"/>
    <w:rsid w:val="00346A52"/>
    <w:rsid w:val="00346A7E"/>
    <w:rsid w:val="00346A8F"/>
    <w:rsid w:val="00346AAE"/>
    <w:rsid w:val="00346B1E"/>
    <w:rsid w:val="00346B28"/>
    <w:rsid w:val="00346B6C"/>
    <w:rsid w:val="00346B86"/>
    <w:rsid w:val="00346B8D"/>
    <w:rsid w:val="00346B9B"/>
    <w:rsid w:val="00346BD6"/>
    <w:rsid w:val="00346BE2"/>
    <w:rsid w:val="00346C11"/>
    <w:rsid w:val="00346C1A"/>
    <w:rsid w:val="00346C25"/>
    <w:rsid w:val="00346C8E"/>
    <w:rsid w:val="00346CA0"/>
    <w:rsid w:val="00346D1C"/>
    <w:rsid w:val="00346DD6"/>
    <w:rsid w:val="00346DE4"/>
    <w:rsid w:val="00346DE5"/>
    <w:rsid w:val="00346E05"/>
    <w:rsid w:val="00346E13"/>
    <w:rsid w:val="00346E1E"/>
    <w:rsid w:val="00346E2F"/>
    <w:rsid w:val="00346E68"/>
    <w:rsid w:val="00346E7A"/>
    <w:rsid w:val="00346EA7"/>
    <w:rsid w:val="00346EE1"/>
    <w:rsid w:val="00346F11"/>
    <w:rsid w:val="00346F23"/>
    <w:rsid w:val="00346F3F"/>
    <w:rsid w:val="00346F5E"/>
    <w:rsid w:val="00346FA1"/>
    <w:rsid w:val="00346FC0"/>
    <w:rsid w:val="00347036"/>
    <w:rsid w:val="0034708A"/>
    <w:rsid w:val="003470C6"/>
    <w:rsid w:val="003470EB"/>
    <w:rsid w:val="003470F3"/>
    <w:rsid w:val="00347115"/>
    <w:rsid w:val="00347128"/>
    <w:rsid w:val="00347195"/>
    <w:rsid w:val="00347211"/>
    <w:rsid w:val="00347213"/>
    <w:rsid w:val="00347216"/>
    <w:rsid w:val="0034721E"/>
    <w:rsid w:val="003472BC"/>
    <w:rsid w:val="003472EC"/>
    <w:rsid w:val="00347307"/>
    <w:rsid w:val="003473D8"/>
    <w:rsid w:val="003473E7"/>
    <w:rsid w:val="00347407"/>
    <w:rsid w:val="00347457"/>
    <w:rsid w:val="0034745B"/>
    <w:rsid w:val="00347489"/>
    <w:rsid w:val="003474A4"/>
    <w:rsid w:val="003474E5"/>
    <w:rsid w:val="003474F7"/>
    <w:rsid w:val="00347507"/>
    <w:rsid w:val="00347530"/>
    <w:rsid w:val="00347543"/>
    <w:rsid w:val="00347571"/>
    <w:rsid w:val="00347580"/>
    <w:rsid w:val="003475AD"/>
    <w:rsid w:val="003475D1"/>
    <w:rsid w:val="003475E6"/>
    <w:rsid w:val="00347638"/>
    <w:rsid w:val="0034763D"/>
    <w:rsid w:val="00347641"/>
    <w:rsid w:val="00347687"/>
    <w:rsid w:val="0034769F"/>
    <w:rsid w:val="003476CB"/>
    <w:rsid w:val="003476DC"/>
    <w:rsid w:val="00347760"/>
    <w:rsid w:val="003477A8"/>
    <w:rsid w:val="003477D2"/>
    <w:rsid w:val="00347805"/>
    <w:rsid w:val="0034784F"/>
    <w:rsid w:val="00347877"/>
    <w:rsid w:val="00347899"/>
    <w:rsid w:val="003478A4"/>
    <w:rsid w:val="00347939"/>
    <w:rsid w:val="0034797C"/>
    <w:rsid w:val="003479BC"/>
    <w:rsid w:val="00347A09"/>
    <w:rsid w:val="00347A2A"/>
    <w:rsid w:val="00347A47"/>
    <w:rsid w:val="00347A6B"/>
    <w:rsid w:val="00347A90"/>
    <w:rsid w:val="00347AD0"/>
    <w:rsid w:val="00347B27"/>
    <w:rsid w:val="00347BB1"/>
    <w:rsid w:val="00347BD4"/>
    <w:rsid w:val="00347BD7"/>
    <w:rsid w:val="00347C2A"/>
    <w:rsid w:val="00347C69"/>
    <w:rsid w:val="00347C90"/>
    <w:rsid w:val="00347C96"/>
    <w:rsid w:val="00347CA7"/>
    <w:rsid w:val="00347CBC"/>
    <w:rsid w:val="00347CC0"/>
    <w:rsid w:val="00347CE0"/>
    <w:rsid w:val="00347CFD"/>
    <w:rsid w:val="00347D30"/>
    <w:rsid w:val="00347D4D"/>
    <w:rsid w:val="00347E00"/>
    <w:rsid w:val="00347E03"/>
    <w:rsid w:val="00347E11"/>
    <w:rsid w:val="00347E29"/>
    <w:rsid w:val="00347E64"/>
    <w:rsid w:val="00347E6D"/>
    <w:rsid w:val="00347E8A"/>
    <w:rsid w:val="00347E9A"/>
    <w:rsid w:val="00347EA6"/>
    <w:rsid w:val="00347EEA"/>
    <w:rsid w:val="00347EF7"/>
    <w:rsid w:val="00347F0E"/>
    <w:rsid w:val="00347F1A"/>
    <w:rsid w:val="00347F1F"/>
    <w:rsid w:val="00347F20"/>
    <w:rsid w:val="00347F4D"/>
    <w:rsid w:val="00347F53"/>
    <w:rsid w:val="00347F6D"/>
    <w:rsid w:val="00347F84"/>
    <w:rsid w:val="00347F94"/>
    <w:rsid w:val="00347FB4"/>
    <w:rsid w:val="00347FEA"/>
    <w:rsid w:val="00350007"/>
    <w:rsid w:val="0035001E"/>
    <w:rsid w:val="00350039"/>
    <w:rsid w:val="0035006A"/>
    <w:rsid w:val="00350078"/>
    <w:rsid w:val="00350093"/>
    <w:rsid w:val="003500A1"/>
    <w:rsid w:val="003500D5"/>
    <w:rsid w:val="0035014C"/>
    <w:rsid w:val="0035015A"/>
    <w:rsid w:val="00350179"/>
    <w:rsid w:val="003501FC"/>
    <w:rsid w:val="00350246"/>
    <w:rsid w:val="0035024D"/>
    <w:rsid w:val="0035025C"/>
    <w:rsid w:val="00350270"/>
    <w:rsid w:val="00350306"/>
    <w:rsid w:val="00350332"/>
    <w:rsid w:val="0035037A"/>
    <w:rsid w:val="003503AC"/>
    <w:rsid w:val="003503F0"/>
    <w:rsid w:val="003503FA"/>
    <w:rsid w:val="00350476"/>
    <w:rsid w:val="00350477"/>
    <w:rsid w:val="003504B4"/>
    <w:rsid w:val="0035051B"/>
    <w:rsid w:val="003505F0"/>
    <w:rsid w:val="003505F4"/>
    <w:rsid w:val="0035061C"/>
    <w:rsid w:val="00350627"/>
    <w:rsid w:val="00350658"/>
    <w:rsid w:val="00350679"/>
    <w:rsid w:val="00350683"/>
    <w:rsid w:val="003506A0"/>
    <w:rsid w:val="003506D0"/>
    <w:rsid w:val="00350724"/>
    <w:rsid w:val="0035075A"/>
    <w:rsid w:val="003507D4"/>
    <w:rsid w:val="003507FA"/>
    <w:rsid w:val="00350802"/>
    <w:rsid w:val="0035081E"/>
    <w:rsid w:val="0035086F"/>
    <w:rsid w:val="00350884"/>
    <w:rsid w:val="0035088D"/>
    <w:rsid w:val="00350910"/>
    <w:rsid w:val="00350929"/>
    <w:rsid w:val="00350939"/>
    <w:rsid w:val="0035094A"/>
    <w:rsid w:val="0035096A"/>
    <w:rsid w:val="00350979"/>
    <w:rsid w:val="0035097E"/>
    <w:rsid w:val="00350999"/>
    <w:rsid w:val="003509E9"/>
    <w:rsid w:val="003509EB"/>
    <w:rsid w:val="003509FD"/>
    <w:rsid w:val="00350A07"/>
    <w:rsid w:val="00350A0C"/>
    <w:rsid w:val="00350A5B"/>
    <w:rsid w:val="00350A5D"/>
    <w:rsid w:val="00350A61"/>
    <w:rsid w:val="00350ADB"/>
    <w:rsid w:val="00350B42"/>
    <w:rsid w:val="00350BC8"/>
    <w:rsid w:val="00350BCA"/>
    <w:rsid w:val="00350BDE"/>
    <w:rsid w:val="00350BE8"/>
    <w:rsid w:val="00350C2C"/>
    <w:rsid w:val="00350C2F"/>
    <w:rsid w:val="00350C38"/>
    <w:rsid w:val="00350C63"/>
    <w:rsid w:val="00350C99"/>
    <w:rsid w:val="00350CBC"/>
    <w:rsid w:val="00350DD0"/>
    <w:rsid w:val="00350DE1"/>
    <w:rsid w:val="00350DEE"/>
    <w:rsid w:val="00350E63"/>
    <w:rsid w:val="00350E65"/>
    <w:rsid w:val="00350E75"/>
    <w:rsid w:val="00350E76"/>
    <w:rsid w:val="00350E84"/>
    <w:rsid w:val="00350EDF"/>
    <w:rsid w:val="00350F07"/>
    <w:rsid w:val="00350F14"/>
    <w:rsid w:val="00350F39"/>
    <w:rsid w:val="00350F8F"/>
    <w:rsid w:val="00350F9B"/>
    <w:rsid w:val="0035102D"/>
    <w:rsid w:val="0035103A"/>
    <w:rsid w:val="00351086"/>
    <w:rsid w:val="003510D1"/>
    <w:rsid w:val="00351186"/>
    <w:rsid w:val="003511FC"/>
    <w:rsid w:val="0035120B"/>
    <w:rsid w:val="00351270"/>
    <w:rsid w:val="00351297"/>
    <w:rsid w:val="003512A1"/>
    <w:rsid w:val="003512DE"/>
    <w:rsid w:val="003512EB"/>
    <w:rsid w:val="00351303"/>
    <w:rsid w:val="0035132C"/>
    <w:rsid w:val="00351377"/>
    <w:rsid w:val="00351378"/>
    <w:rsid w:val="00351379"/>
    <w:rsid w:val="00351396"/>
    <w:rsid w:val="003513AD"/>
    <w:rsid w:val="003513BE"/>
    <w:rsid w:val="003514C1"/>
    <w:rsid w:val="003514D6"/>
    <w:rsid w:val="003514D7"/>
    <w:rsid w:val="003514F3"/>
    <w:rsid w:val="0035150B"/>
    <w:rsid w:val="00351526"/>
    <w:rsid w:val="00351576"/>
    <w:rsid w:val="003515C6"/>
    <w:rsid w:val="003515E0"/>
    <w:rsid w:val="003515EA"/>
    <w:rsid w:val="00351648"/>
    <w:rsid w:val="0035168A"/>
    <w:rsid w:val="00351690"/>
    <w:rsid w:val="003516AE"/>
    <w:rsid w:val="003516E4"/>
    <w:rsid w:val="00351731"/>
    <w:rsid w:val="00351736"/>
    <w:rsid w:val="00351786"/>
    <w:rsid w:val="003517AB"/>
    <w:rsid w:val="003517D0"/>
    <w:rsid w:val="003517EB"/>
    <w:rsid w:val="0035184C"/>
    <w:rsid w:val="00351873"/>
    <w:rsid w:val="00351885"/>
    <w:rsid w:val="00351898"/>
    <w:rsid w:val="003518BD"/>
    <w:rsid w:val="003518D8"/>
    <w:rsid w:val="003518DE"/>
    <w:rsid w:val="003518E6"/>
    <w:rsid w:val="003518F0"/>
    <w:rsid w:val="00351931"/>
    <w:rsid w:val="0035194D"/>
    <w:rsid w:val="00351961"/>
    <w:rsid w:val="003519AD"/>
    <w:rsid w:val="003519C7"/>
    <w:rsid w:val="003519CC"/>
    <w:rsid w:val="003519F3"/>
    <w:rsid w:val="003519FD"/>
    <w:rsid w:val="00351A02"/>
    <w:rsid w:val="00351AB9"/>
    <w:rsid w:val="00351AF8"/>
    <w:rsid w:val="00351B5E"/>
    <w:rsid w:val="00351B85"/>
    <w:rsid w:val="00351BA2"/>
    <w:rsid w:val="00351BB6"/>
    <w:rsid w:val="00351C28"/>
    <w:rsid w:val="00351C35"/>
    <w:rsid w:val="00351C66"/>
    <w:rsid w:val="00351C72"/>
    <w:rsid w:val="00351CBF"/>
    <w:rsid w:val="00351CD9"/>
    <w:rsid w:val="00351CEB"/>
    <w:rsid w:val="00351D00"/>
    <w:rsid w:val="00351D08"/>
    <w:rsid w:val="00351D13"/>
    <w:rsid w:val="00351D31"/>
    <w:rsid w:val="00351D6D"/>
    <w:rsid w:val="00351DE6"/>
    <w:rsid w:val="00351E5D"/>
    <w:rsid w:val="00351E8E"/>
    <w:rsid w:val="00351EA1"/>
    <w:rsid w:val="00351EA9"/>
    <w:rsid w:val="00351EAB"/>
    <w:rsid w:val="00351EB2"/>
    <w:rsid w:val="00351ECF"/>
    <w:rsid w:val="00351F0B"/>
    <w:rsid w:val="00351F54"/>
    <w:rsid w:val="00351F56"/>
    <w:rsid w:val="00351F76"/>
    <w:rsid w:val="00351F83"/>
    <w:rsid w:val="00351F99"/>
    <w:rsid w:val="00351FBE"/>
    <w:rsid w:val="00351FBF"/>
    <w:rsid w:val="00351FDF"/>
    <w:rsid w:val="0035204B"/>
    <w:rsid w:val="00352057"/>
    <w:rsid w:val="0035206D"/>
    <w:rsid w:val="00352073"/>
    <w:rsid w:val="003520B1"/>
    <w:rsid w:val="003520D4"/>
    <w:rsid w:val="00352120"/>
    <w:rsid w:val="00352135"/>
    <w:rsid w:val="00352136"/>
    <w:rsid w:val="00352154"/>
    <w:rsid w:val="00352175"/>
    <w:rsid w:val="003521B2"/>
    <w:rsid w:val="003521C2"/>
    <w:rsid w:val="00352205"/>
    <w:rsid w:val="00352213"/>
    <w:rsid w:val="0035221B"/>
    <w:rsid w:val="00352221"/>
    <w:rsid w:val="00352247"/>
    <w:rsid w:val="00352266"/>
    <w:rsid w:val="00352274"/>
    <w:rsid w:val="0035227E"/>
    <w:rsid w:val="00352291"/>
    <w:rsid w:val="003522C2"/>
    <w:rsid w:val="003522E5"/>
    <w:rsid w:val="0035236D"/>
    <w:rsid w:val="00352372"/>
    <w:rsid w:val="0035237A"/>
    <w:rsid w:val="0035237C"/>
    <w:rsid w:val="00352389"/>
    <w:rsid w:val="00352417"/>
    <w:rsid w:val="00352421"/>
    <w:rsid w:val="0035245D"/>
    <w:rsid w:val="0035246F"/>
    <w:rsid w:val="003524B5"/>
    <w:rsid w:val="00352517"/>
    <w:rsid w:val="0035256C"/>
    <w:rsid w:val="003525D6"/>
    <w:rsid w:val="003525DB"/>
    <w:rsid w:val="003525FC"/>
    <w:rsid w:val="0035269E"/>
    <w:rsid w:val="003526CE"/>
    <w:rsid w:val="003526E9"/>
    <w:rsid w:val="00352700"/>
    <w:rsid w:val="00352735"/>
    <w:rsid w:val="00352762"/>
    <w:rsid w:val="00352785"/>
    <w:rsid w:val="003527A6"/>
    <w:rsid w:val="003527C3"/>
    <w:rsid w:val="0035280D"/>
    <w:rsid w:val="00352829"/>
    <w:rsid w:val="0035282F"/>
    <w:rsid w:val="00352830"/>
    <w:rsid w:val="00352843"/>
    <w:rsid w:val="0035286C"/>
    <w:rsid w:val="00352876"/>
    <w:rsid w:val="00352883"/>
    <w:rsid w:val="003528DE"/>
    <w:rsid w:val="0035294E"/>
    <w:rsid w:val="00352970"/>
    <w:rsid w:val="00352984"/>
    <w:rsid w:val="00352987"/>
    <w:rsid w:val="00352993"/>
    <w:rsid w:val="003529BC"/>
    <w:rsid w:val="003529BE"/>
    <w:rsid w:val="003529DE"/>
    <w:rsid w:val="003529E1"/>
    <w:rsid w:val="003529EB"/>
    <w:rsid w:val="003529FA"/>
    <w:rsid w:val="00352A74"/>
    <w:rsid w:val="00352A9E"/>
    <w:rsid w:val="00352ABB"/>
    <w:rsid w:val="00352ABD"/>
    <w:rsid w:val="00352AE9"/>
    <w:rsid w:val="00352AF4"/>
    <w:rsid w:val="00352AFB"/>
    <w:rsid w:val="00352B13"/>
    <w:rsid w:val="00352B55"/>
    <w:rsid w:val="00352B5F"/>
    <w:rsid w:val="00352B73"/>
    <w:rsid w:val="00352B7B"/>
    <w:rsid w:val="00352BF2"/>
    <w:rsid w:val="00352C03"/>
    <w:rsid w:val="00352C48"/>
    <w:rsid w:val="00352C7A"/>
    <w:rsid w:val="00352C85"/>
    <w:rsid w:val="00352C9A"/>
    <w:rsid w:val="00352C9E"/>
    <w:rsid w:val="00352D8C"/>
    <w:rsid w:val="00352DCA"/>
    <w:rsid w:val="00352DCC"/>
    <w:rsid w:val="00352DEC"/>
    <w:rsid w:val="00352E39"/>
    <w:rsid w:val="00352E5F"/>
    <w:rsid w:val="00352E78"/>
    <w:rsid w:val="00352EA2"/>
    <w:rsid w:val="00352EC6"/>
    <w:rsid w:val="00352EFA"/>
    <w:rsid w:val="00352F06"/>
    <w:rsid w:val="00352F0C"/>
    <w:rsid w:val="00352F0D"/>
    <w:rsid w:val="00352F12"/>
    <w:rsid w:val="00352FC6"/>
    <w:rsid w:val="00353002"/>
    <w:rsid w:val="00353011"/>
    <w:rsid w:val="00353038"/>
    <w:rsid w:val="00353039"/>
    <w:rsid w:val="00353041"/>
    <w:rsid w:val="00353042"/>
    <w:rsid w:val="00353051"/>
    <w:rsid w:val="00353057"/>
    <w:rsid w:val="0035305D"/>
    <w:rsid w:val="00353090"/>
    <w:rsid w:val="003530AB"/>
    <w:rsid w:val="003530C0"/>
    <w:rsid w:val="003530F5"/>
    <w:rsid w:val="0035312F"/>
    <w:rsid w:val="00353131"/>
    <w:rsid w:val="00353146"/>
    <w:rsid w:val="00353153"/>
    <w:rsid w:val="003531D9"/>
    <w:rsid w:val="00353229"/>
    <w:rsid w:val="00353254"/>
    <w:rsid w:val="00353263"/>
    <w:rsid w:val="0035329C"/>
    <w:rsid w:val="003532B1"/>
    <w:rsid w:val="003532CB"/>
    <w:rsid w:val="003532D0"/>
    <w:rsid w:val="003532E2"/>
    <w:rsid w:val="00353300"/>
    <w:rsid w:val="00353344"/>
    <w:rsid w:val="0035335E"/>
    <w:rsid w:val="00353365"/>
    <w:rsid w:val="00353382"/>
    <w:rsid w:val="0035338B"/>
    <w:rsid w:val="0035339A"/>
    <w:rsid w:val="0035342F"/>
    <w:rsid w:val="00353465"/>
    <w:rsid w:val="00353476"/>
    <w:rsid w:val="0035349B"/>
    <w:rsid w:val="003534A1"/>
    <w:rsid w:val="003534F5"/>
    <w:rsid w:val="00353506"/>
    <w:rsid w:val="00353596"/>
    <w:rsid w:val="003535CC"/>
    <w:rsid w:val="003535DB"/>
    <w:rsid w:val="0035360A"/>
    <w:rsid w:val="00353618"/>
    <w:rsid w:val="00353636"/>
    <w:rsid w:val="00353647"/>
    <w:rsid w:val="0035368D"/>
    <w:rsid w:val="003536A4"/>
    <w:rsid w:val="003536EA"/>
    <w:rsid w:val="00353730"/>
    <w:rsid w:val="0035379E"/>
    <w:rsid w:val="003537B1"/>
    <w:rsid w:val="003537D6"/>
    <w:rsid w:val="003537E7"/>
    <w:rsid w:val="0035380D"/>
    <w:rsid w:val="0035383D"/>
    <w:rsid w:val="00353862"/>
    <w:rsid w:val="00353886"/>
    <w:rsid w:val="003538AD"/>
    <w:rsid w:val="003538D0"/>
    <w:rsid w:val="00353914"/>
    <w:rsid w:val="00353985"/>
    <w:rsid w:val="003539A2"/>
    <w:rsid w:val="003539B8"/>
    <w:rsid w:val="003539ED"/>
    <w:rsid w:val="00353A06"/>
    <w:rsid w:val="00353A0B"/>
    <w:rsid w:val="00353A2B"/>
    <w:rsid w:val="00353A42"/>
    <w:rsid w:val="00353A64"/>
    <w:rsid w:val="00353AB7"/>
    <w:rsid w:val="00353AB9"/>
    <w:rsid w:val="00353ABC"/>
    <w:rsid w:val="00353AD0"/>
    <w:rsid w:val="00353AEB"/>
    <w:rsid w:val="00353B0B"/>
    <w:rsid w:val="00353B27"/>
    <w:rsid w:val="00353B41"/>
    <w:rsid w:val="00353B85"/>
    <w:rsid w:val="00353B8B"/>
    <w:rsid w:val="00353B9A"/>
    <w:rsid w:val="00353BB9"/>
    <w:rsid w:val="00353BDB"/>
    <w:rsid w:val="00353BFE"/>
    <w:rsid w:val="00353C1A"/>
    <w:rsid w:val="00353C23"/>
    <w:rsid w:val="00353C2C"/>
    <w:rsid w:val="00353C31"/>
    <w:rsid w:val="00353C50"/>
    <w:rsid w:val="00353C74"/>
    <w:rsid w:val="00353C81"/>
    <w:rsid w:val="00353C96"/>
    <w:rsid w:val="00353D17"/>
    <w:rsid w:val="00353D2D"/>
    <w:rsid w:val="00353DC5"/>
    <w:rsid w:val="00353E0F"/>
    <w:rsid w:val="00353E20"/>
    <w:rsid w:val="00353E21"/>
    <w:rsid w:val="00353E93"/>
    <w:rsid w:val="00353F04"/>
    <w:rsid w:val="00353F0C"/>
    <w:rsid w:val="00353F0E"/>
    <w:rsid w:val="00353F3F"/>
    <w:rsid w:val="00353FB0"/>
    <w:rsid w:val="00353FB1"/>
    <w:rsid w:val="00353FB3"/>
    <w:rsid w:val="00353FB4"/>
    <w:rsid w:val="00353FCD"/>
    <w:rsid w:val="00353FE4"/>
    <w:rsid w:val="00354104"/>
    <w:rsid w:val="00354136"/>
    <w:rsid w:val="0035417C"/>
    <w:rsid w:val="00354197"/>
    <w:rsid w:val="0035419A"/>
    <w:rsid w:val="003541C1"/>
    <w:rsid w:val="003541FF"/>
    <w:rsid w:val="0035422F"/>
    <w:rsid w:val="00354247"/>
    <w:rsid w:val="0035425A"/>
    <w:rsid w:val="00354273"/>
    <w:rsid w:val="0035427B"/>
    <w:rsid w:val="0035429A"/>
    <w:rsid w:val="003542B3"/>
    <w:rsid w:val="003542D5"/>
    <w:rsid w:val="003542FA"/>
    <w:rsid w:val="0035430F"/>
    <w:rsid w:val="00354312"/>
    <w:rsid w:val="00354315"/>
    <w:rsid w:val="00354354"/>
    <w:rsid w:val="00354360"/>
    <w:rsid w:val="00354375"/>
    <w:rsid w:val="003543CE"/>
    <w:rsid w:val="00354416"/>
    <w:rsid w:val="00354424"/>
    <w:rsid w:val="00354429"/>
    <w:rsid w:val="00354438"/>
    <w:rsid w:val="00354439"/>
    <w:rsid w:val="003544B6"/>
    <w:rsid w:val="003544B9"/>
    <w:rsid w:val="003544D0"/>
    <w:rsid w:val="003544E4"/>
    <w:rsid w:val="0035451E"/>
    <w:rsid w:val="00354524"/>
    <w:rsid w:val="0035452A"/>
    <w:rsid w:val="00354532"/>
    <w:rsid w:val="00354569"/>
    <w:rsid w:val="00354586"/>
    <w:rsid w:val="003545B2"/>
    <w:rsid w:val="003545C2"/>
    <w:rsid w:val="00354613"/>
    <w:rsid w:val="0035464C"/>
    <w:rsid w:val="0035466D"/>
    <w:rsid w:val="00354672"/>
    <w:rsid w:val="00354674"/>
    <w:rsid w:val="00354764"/>
    <w:rsid w:val="0035477A"/>
    <w:rsid w:val="0035477E"/>
    <w:rsid w:val="00354786"/>
    <w:rsid w:val="0035478B"/>
    <w:rsid w:val="00354791"/>
    <w:rsid w:val="00354793"/>
    <w:rsid w:val="003547D7"/>
    <w:rsid w:val="0035481E"/>
    <w:rsid w:val="00354830"/>
    <w:rsid w:val="00354847"/>
    <w:rsid w:val="00354857"/>
    <w:rsid w:val="00354859"/>
    <w:rsid w:val="0035486D"/>
    <w:rsid w:val="00354889"/>
    <w:rsid w:val="0035488D"/>
    <w:rsid w:val="003548C9"/>
    <w:rsid w:val="003548D4"/>
    <w:rsid w:val="003548E8"/>
    <w:rsid w:val="00354900"/>
    <w:rsid w:val="00354917"/>
    <w:rsid w:val="0035493B"/>
    <w:rsid w:val="0035496A"/>
    <w:rsid w:val="003549D3"/>
    <w:rsid w:val="003549D4"/>
    <w:rsid w:val="003549D8"/>
    <w:rsid w:val="00354A87"/>
    <w:rsid w:val="00354AC9"/>
    <w:rsid w:val="00354B00"/>
    <w:rsid w:val="00354B2B"/>
    <w:rsid w:val="00354B3E"/>
    <w:rsid w:val="00354B41"/>
    <w:rsid w:val="00354BAA"/>
    <w:rsid w:val="00354BD1"/>
    <w:rsid w:val="00354BE6"/>
    <w:rsid w:val="00354CF0"/>
    <w:rsid w:val="00354D30"/>
    <w:rsid w:val="00354D46"/>
    <w:rsid w:val="00354DC6"/>
    <w:rsid w:val="00354DD9"/>
    <w:rsid w:val="00354DFD"/>
    <w:rsid w:val="00354E24"/>
    <w:rsid w:val="00354E54"/>
    <w:rsid w:val="00354E65"/>
    <w:rsid w:val="00354EF3"/>
    <w:rsid w:val="00354F5B"/>
    <w:rsid w:val="00354F83"/>
    <w:rsid w:val="00354F93"/>
    <w:rsid w:val="00354FB6"/>
    <w:rsid w:val="00354FB7"/>
    <w:rsid w:val="00354FBE"/>
    <w:rsid w:val="0035501A"/>
    <w:rsid w:val="00355033"/>
    <w:rsid w:val="003550BE"/>
    <w:rsid w:val="00355102"/>
    <w:rsid w:val="00355146"/>
    <w:rsid w:val="003551B3"/>
    <w:rsid w:val="003551CC"/>
    <w:rsid w:val="003551E6"/>
    <w:rsid w:val="00355226"/>
    <w:rsid w:val="00355232"/>
    <w:rsid w:val="00355246"/>
    <w:rsid w:val="003552BA"/>
    <w:rsid w:val="003552D8"/>
    <w:rsid w:val="0035531D"/>
    <w:rsid w:val="00355339"/>
    <w:rsid w:val="00355353"/>
    <w:rsid w:val="00355354"/>
    <w:rsid w:val="00355371"/>
    <w:rsid w:val="0035537B"/>
    <w:rsid w:val="003553A0"/>
    <w:rsid w:val="003553CD"/>
    <w:rsid w:val="003553ED"/>
    <w:rsid w:val="00355429"/>
    <w:rsid w:val="0035542F"/>
    <w:rsid w:val="0035548B"/>
    <w:rsid w:val="003554A8"/>
    <w:rsid w:val="003554C9"/>
    <w:rsid w:val="003554FB"/>
    <w:rsid w:val="00355526"/>
    <w:rsid w:val="00355559"/>
    <w:rsid w:val="003555C3"/>
    <w:rsid w:val="00355608"/>
    <w:rsid w:val="00355671"/>
    <w:rsid w:val="003556C0"/>
    <w:rsid w:val="003556CE"/>
    <w:rsid w:val="00355700"/>
    <w:rsid w:val="00355715"/>
    <w:rsid w:val="00355772"/>
    <w:rsid w:val="003557AA"/>
    <w:rsid w:val="003557DD"/>
    <w:rsid w:val="0035587C"/>
    <w:rsid w:val="003558D6"/>
    <w:rsid w:val="003558F9"/>
    <w:rsid w:val="0035590F"/>
    <w:rsid w:val="00355915"/>
    <w:rsid w:val="00355932"/>
    <w:rsid w:val="0035594C"/>
    <w:rsid w:val="00355989"/>
    <w:rsid w:val="003559AF"/>
    <w:rsid w:val="003559B0"/>
    <w:rsid w:val="003559CC"/>
    <w:rsid w:val="003559F0"/>
    <w:rsid w:val="003559F9"/>
    <w:rsid w:val="00355A17"/>
    <w:rsid w:val="00355A19"/>
    <w:rsid w:val="00355A6F"/>
    <w:rsid w:val="00355A72"/>
    <w:rsid w:val="00355A9C"/>
    <w:rsid w:val="00355AAF"/>
    <w:rsid w:val="00355B02"/>
    <w:rsid w:val="00355B34"/>
    <w:rsid w:val="00355B4C"/>
    <w:rsid w:val="00355B9A"/>
    <w:rsid w:val="00355BE5"/>
    <w:rsid w:val="00355C84"/>
    <w:rsid w:val="00355CB7"/>
    <w:rsid w:val="00355CCC"/>
    <w:rsid w:val="00355CD3"/>
    <w:rsid w:val="00355CDB"/>
    <w:rsid w:val="00355D4B"/>
    <w:rsid w:val="00355D5D"/>
    <w:rsid w:val="00355D5F"/>
    <w:rsid w:val="00355D68"/>
    <w:rsid w:val="00355DCD"/>
    <w:rsid w:val="00355DFA"/>
    <w:rsid w:val="00355E06"/>
    <w:rsid w:val="00355E0D"/>
    <w:rsid w:val="00355E13"/>
    <w:rsid w:val="00355E48"/>
    <w:rsid w:val="00355E58"/>
    <w:rsid w:val="00355ED9"/>
    <w:rsid w:val="00355EE2"/>
    <w:rsid w:val="00355EE4"/>
    <w:rsid w:val="00355EFD"/>
    <w:rsid w:val="00355F11"/>
    <w:rsid w:val="00355F23"/>
    <w:rsid w:val="00355F2F"/>
    <w:rsid w:val="00355F75"/>
    <w:rsid w:val="00355F7A"/>
    <w:rsid w:val="00355FDE"/>
    <w:rsid w:val="00356068"/>
    <w:rsid w:val="003560B6"/>
    <w:rsid w:val="003560FC"/>
    <w:rsid w:val="003560FF"/>
    <w:rsid w:val="0035613C"/>
    <w:rsid w:val="00356152"/>
    <w:rsid w:val="0035616D"/>
    <w:rsid w:val="00356191"/>
    <w:rsid w:val="003561A2"/>
    <w:rsid w:val="00356201"/>
    <w:rsid w:val="00356202"/>
    <w:rsid w:val="003562B4"/>
    <w:rsid w:val="00356388"/>
    <w:rsid w:val="0035639F"/>
    <w:rsid w:val="003563E4"/>
    <w:rsid w:val="003563F2"/>
    <w:rsid w:val="003563FD"/>
    <w:rsid w:val="00356408"/>
    <w:rsid w:val="00356414"/>
    <w:rsid w:val="00356460"/>
    <w:rsid w:val="00356478"/>
    <w:rsid w:val="0035647A"/>
    <w:rsid w:val="0035647B"/>
    <w:rsid w:val="00356484"/>
    <w:rsid w:val="0035650D"/>
    <w:rsid w:val="00356545"/>
    <w:rsid w:val="00356575"/>
    <w:rsid w:val="003565C1"/>
    <w:rsid w:val="003565E4"/>
    <w:rsid w:val="00356610"/>
    <w:rsid w:val="00356624"/>
    <w:rsid w:val="00356628"/>
    <w:rsid w:val="0035665B"/>
    <w:rsid w:val="00356699"/>
    <w:rsid w:val="003566D7"/>
    <w:rsid w:val="003566DC"/>
    <w:rsid w:val="003566E6"/>
    <w:rsid w:val="0035670F"/>
    <w:rsid w:val="00356732"/>
    <w:rsid w:val="0035674E"/>
    <w:rsid w:val="0035679C"/>
    <w:rsid w:val="003567D0"/>
    <w:rsid w:val="003567E7"/>
    <w:rsid w:val="003567ED"/>
    <w:rsid w:val="003567F1"/>
    <w:rsid w:val="003567F2"/>
    <w:rsid w:val="00356843"/>
    <w:rsid w:val="00356879"/>
    <w:rsid w:val="00356893"/>
    <w:rsid w:val="00356919"/>
    <w:rsid w:val="00356923"/>
    <w:rsid w:val="00356931"/>
    <w:rsid w:val="0035694C"/>
    <w:rsid w:val="003569C0"/>
    <w:rsid w:val="003569EC"/>
    <w:rsid w:val="003569F2"/>
    <w:rsid w:val="00356A26"/>
    <w:rsid w:val="00356A4E"/>
    <w:rsid w:val="00356A55"/>
    <w:rsid w:val="00356A68"/>
    <w:rsid w:val="00356A94"/>
    <w:rsid w:val="00356AC6"/>
    <w:rsid w:val="00356B3C"/>
    <w:rsid w:val="00356B45"/>
    <w:rsid w:val="00356B47"/>
    <w:rsid w:val="00356BD8"/>
    <w:rsid w:val="00356BE8"/>
    <w:rsid w:val="00356C28"/>
    <w:rsid w:val="00356C38"/>
    <w:rsid w:val="00356C4E"/>
    <w:rsid w:val="00356C9D"/>
    <w:rsid w:val="00356CBA"/>
    <w:rsid w:val="00356D99"/>
    <w:rsid w:val="00356DC7"/>
    <w:rsid w:val="00356DDF"/>
    <w:rsid w:val="00356DF2"/>
    <w:rsid w:val="00356E0F"/>
    <w:rsid w:val="00356E57"/>
    <w:rsid w:val="00356EF5"/>
    <w:rsid w:val="00356EFF"/>
    <w:rsid w:val="00356F1A"/>
    <w:rsid w:val="00356F1E"/>
    <w:rsid w:val="00356F40"/>
    <w:rsid w:val="00356F45"/>
    <w:rsid w:val="00356F4E"/>
    <w:rsid w:val="00356F70"/>
    <w:rsid w:val="00356FB8"/>
    <w:rsid w:val="00356FBC"/>
    <w:rsid w:val="00357017"/>
    <w:rsid w:val="00357042"/>
    <w:rsid w:val="0035705F"/>
    <w:rsid w:val="0035708B"/>
    <w:rsid w:val="003570CC"/>
    <w:rsid w:val="003570DE"/>
    <w:rsid w:val="003570E3"/>
    <w:rsid w:val="00357126"/>
    <w:rsid w:val="0035712B"/>
    <w:rsid w:val="00357142"/>
    <w:rsid w:val="00357174"/>
    <w:rsid w:val="003571B2"/>
    <w:rsid w:val="003571C8"/>
    <w:rsid w:val="003571D6"/>
    <w:rsid w:val="00357246"/>
    <w:rsid w:val="00357298"/>
    <w:rsid w:val="003572A1"/>
    <w:rsid w:val="003572A5"/>
    <w:rsid w:val="003572B1"/>
    <w:rsid w:val="003572B4"/>
    <w:rsid w:val="003572C1"/>
    <w:rsid w:val="003572F9"/>
    <w:rsid w:val="0035730C"/>
    <w:rsid w:val="00357325"/>
    <w:rsid w:val="0035733E"/>
    <w:rsid w:val="0035734E"/>
    <w:rsid w:val="003573B4"/>
    <w:rsid w:val="003573B9"/>
    <w:rsid w:val="003573BE"/>
    <w:rsid w:val="003573E9"/>
    <w:rsid w:val="003573FB"/>
    <w:rsid w:val="0035741A"/>
    <w:rsid w:val="00357421"/>
    <w:rsid w:val="00357447"/>
    <w:rsid w:val="0035746B"/>
    <w:rsid w:val="00357491"/>
    <w:rsid w:val="00357495"/>
    <w:rsid w:val="00357496"/>
    <w:rsid w:val="0035749C"/>
    <w:rsid w:val="00357518"/>
    <w:rsid w:val="0035752C"/>
    <w:rsid w:val="003575B4"/>
    <w:rsid w:val="003575BF"/>
    <w:rsid w:val="003575CF"/>
    <w:rsid w:val="003575DB"/>
    <w:rsid w:val="003575F7"/>
    <w:rsid w:val="0035760E"/>
    <w:rsid w:val="00357619"/>
    <w:rsid w:val="0035762F"/>
    <w:rsid w:val="00357699"/>
    <w:rsid w:val="003576B3"/>
    <w:rsid w:val="003576EE"/>
    <w:rsid w:val="0035770A"/>
    <w:rsid w:val="00357727"/>
    <w:rsid w:val="0035774C"/>
    <w:rsid w:val="0035775B"/>
    <w:rsid w:val="00357762"/>
    <w:rsid w:val="0035779F"/>
    <w:rsid w:val="003577AF"/>
    <w:rsid w:val="003577DF"/>
    <w:rsid w:val="00357844"/>
    <w:rsid w:val="00357847"/>
    <w:rsid w:val="0035785D"/>
    <w:rsid w:val="0035789A"/>
    <w:rsid w:val="003578F9"/>
    <w:rsid w:val="00357924"/>
    <w:rsid w:val="0035798C"/>
    <w:rsid w:val="003579E1"/>
    <w:rsid w:val="00357A00"/>
    <w:rsid w:val="00357A14"/>
    <w:rsid w:val="00357A16"/>
    <w:rsid w:val="00357A28"/>
    <w:rsid w:val="00357A36"/>
    <w:rsid w:val="00357AB1"/>
    <w:rsid w:val="00357AD6"/>
    <w:rsid w:val="00357ADC"/>
    <w:rsid w:val="00357AFF"/>
    <w:rsid w:val="00357B08"/>
    <w:rsid w:val="00357B15"/>
    <w:rsid w:val="00357B7E"/>
    <w:rsid w:val="00357B9B"/>
    <w:rsid w:val="00357BAB"/>
    <w:rsid w:val="00357BE1"/>
    <w:rsid w:val="00357BE3"/>
    <w:rsid w:val="00357C0F"/>
    <w:rsid w:val="00357C5C"/>
    <w:rsid w:val="00357C6A"/>
    <w:rsid w:val="00357C70"/>
    <w:rsid w:val="00357CD9"/>
    <w:rsid w:val="00357CDB"/>
    <w:rsid w:val="00357CDD"/>
    <w:rsid w:val="00357D1F"/>
    <w:rsid w:val="00357D8C"/>
    <w:rsid w:val="00357DF0"/>
    <w:rsid w:val="00357E47"/>
    <w:rsid w:val="00357E5F"/>
    <w:rsid w:val="00357E64"/>
    <w:rsid w:val="00357EC7"/>
    <w:rsid w:val="00357ED2"/>
    <w:rsid w:val="00357F02"/>
    <w:rsid w:val="00357F4C"/>
    <w:rsid w:val="00357F60"/>
    <w:rsid w:val="00357F86"/>
    <w:rsid w:val="00357FD7"/>
    <w:rsid w:val="00357FE9"/>
    <w:rsid w:val="00360024"/>
    <w:rsid w:val="003600A8"/>
    <w:rsid w:val="003600AD"/>
    <w:rsid w:val="003600C9"/>
    <w:rsid w:val="003600EF"/>
    <w:rsid w:val="00360118"/>
    <w:rsid w:val="00360122"/>
    <w:rsid w:val="00360134"/>
    <w:rsid w:val="00360166"/>
    <w:rsid w:val="003601C7"/>
    <w:rsid w:val="00360205"/>
    <w:rsid w:val="00360235"/>
    <w:rsid w:val="0036024B"/>
    <w:rsid w:val="00360299"/>
    <w:rsid w:val="0036029D"/>
    <w:rsid w:val="003602CD"/>
    <w:rsid w:val="00360310"/>
    <w:rsid w:val="0036035A"/>
    <w:rsid w:val="0036036B"/>
    <w:rsid w:val="003603E2"/>
    <w:rsid w:val="00360406"/>
    <w:rsid w:val="0036041F"/>
    <w:rsid w:val="00360425"/>
    <w:rsid w:val="0036048D"/>
    <w:rsid w:val="003604C3"/>
    <w:rsid w:val="003604C6"/>
    <w:rsid w:val="00360509"/>
    <w:rsid w:val="00360521"/>
    <w:rsid w:val="00360549"/>
    <w:rsid w:val="00360579"/>
    <w:rsid w:val="0036057B"/>
    <w:rsid w:val="00360580"/>
    <w:rsid w:val="00360612"/>
    <w:rsid w:val="0036063D"/>
    <w:rsid w:val="0036063F"/>
    <w:rsid w:val="00360646"/>
    <w:rsid w:val="003606F3"/>
    <w:rsid w:val="00360703"/>
    <w:rsid w:val="00360708"/>
    <w:rsid w:val="00360716"/>
    <w:rsid w:val="00360724"/>
    <w:rsid w:val="00360726"/>
    <w:rsid w:val="0036076E"/>
    <w:rsid w:val="003607A5"/>
    <w:rsid w:val="003607DD"/>
    <w:rsid w:val="0036085F"/>
    <w:rsid w:val="0036088B"/>
    <w:rsid w:val="0036088E"/>
    <w:rsid w:val="0036089C"/>
    <w:rsid w:val="003608A7"/>
    <w:rsid w:val="003608D3"/>
    <w:rsid w:val="003608E1"/>
    <w:rsid w:val="00360904"/>
    <w:rsid w:val="0036096C"/>
    <w:rsid w:val="003609BA"/>
    <w:rsid w:val="003609BE"/>
    <w:rsid w:val="003609DB"/>
    <w:rsid w:val="003609FC"/>
    <w:rsid w:val="00360A30"/>
    <w:rsid w:val="00360A31"/>
    <w:rsid w:val="00360A34"/>
    <w:rsid w:val="00360AAD"/>
    <w:rsid w:val="00360B17"/>
    <w:rsid w:val="00360B1C"/>
    <w:rsid w:val="00360B33"/>
    <w:rsid w:val="00360B51"/>
    <w:rsid w:val="00360B57"/>
    <w:rsid w:val="00360B72"/>
    <w:rsid w:val="00360BDA"/>
    <w:rsid w:val="00360BDD"/>
    <w:rsid w:val="00360C14"/>
    <w:rsid w:val="00360C79"/>
    <w:rsid w:val="00360C82"/>
    <w:rsid w:val="00360C8C"/>
    <w:rsid w:val="00360CD1"/>
    <w:rsid w:val="00360D37"/>
    <w:rsid w:val="00360D6A"/>
    <w:rsid w:val="00360D7B"/>
    <w:rsid w:val="00360DA5"/>
    <w:rsid w:val="00360DAB"/>
    <w:rsid w:val="00360DD1"/>
    <w:rsid w:val="00360E0A"/>
    <w:rsid w:val="00360E11"/>
    <w:rsid w:val="00360E2C"/>
    <w:rsid w:val="00360E3A"/>
    <w:rsid w:val="00360E59"/>
    <w:rsid w:val="00360E70"/>
    <w:rsid w:val="00360EBB"/>
    <w:rsid w:val="00360ECC"/>
    <w:rsid w:val="00360F34"/>
    <w:rsid w:val="00360F51"/>
    <w:rsid w:val="00360FD7"/>
    <w:rsid w:val="00361016"/>
    <w:rsid w:val="00361020"/>
    <w:rsid w:val="00361024"/>
    <w:rsid w:val="0036102D"/>
    <w:rsid w:val="00361040"/>
    <w:rsid w:val="00361049"/>
    <w:rsid w:val="0036104A"/>
    <w:rsid w:val="00361065"/>
    <w:rsid w:val="0036106B"/>
    <w:rsid w:val="003610A8"/>
    <w:rsid w:val="003610B8"/>
    <w:rsid w:val="003610D3"/>
    <w:rsid w:val="003610F1"/>
    <w:rsid w:val="003610F6"/>
    <w:rsid w:val="00361117"/>
    <w:rsid w:val="0036116E"/>
    <w:rsid w:val="003611FE"/>
    <w:rsid w:val="00361202"/>
    <w:rsid w:val="00361227"/>
    <w:rsid w:val="00361230"/>
    <w:rsid w:val="00361240"/>
    <w:rsid w:val="00361245"/>
    <w:rsid w:val="0036125C"/>
    <w:rsid w:val="0036126B"/>
    <w:rsid w:val="003612A3"/>
    <w:rsid w:val="003612BE"/>
    <w:rsid w:val="00361305"/>
    <w:rsid w:val="00361333"/>
    <w:rsid w:val="00361370"/>
    <w:rsid w:val="00361373"/>
    <w:rsid w:val="0036138B"/>
    <w:rsid w:val="003613E9"/>
    <w:rsid w:val="003613EA"/>
    <w:rsid w:val="00361403"/>
    <w:rsid w:val="00361423"/>
    <w:rsid w:val="0036143B"/>
    <w:rsid w:val="0036146E"/>
    <w:rsid w:val="00361475"/>
    <w:rsid w:val="00361480"/>
    <w:rsid w:val="003614C5"/>
    <w:rsid w:val="003614FD"/>
    <w:rsid w:val="003614FF"/>
    <w:rsid w:val="00361504"/>
    <w:rsid w:val="0036150D"/>
    <w:rsid w:val="00361515"/>
    <w:rsid w:val="0036154E"/>
    <w:rsid w:val="0036155A"/>
    <w:rsid w:val="003615BB"/>
    <w:rsid w:val="003615CB"/>
    <w:rsid w:val="003615DB"/>
    <w:rsid w:val="003615EA"/>
    <w:rsid w:val="00361630"/>
    <w:rsid w:val="00361665"/>
    <w:rsid w:val="003616A9"/>
    <w:rsid w:val="003616CA"/>
    <w:rsid w:val="00361706"/>
    <w:rsid w:val="0036170C"/>
    <w:rsid w:val="003617A3"/>
    <w:rsid w:val="00361829"/>
    <w:rsid w:val="0036183A"/>
    <w:rsid w:val="00361840"/>
    <w:rsid w:val="00361848"/>
    <w:rsid w:val="003618B9"/>
    <w:rsid w:val="003618DA"/>
    <w:rsid w:val="00361901"/>
    <w:rsid w:val="00361908"/>
    <w:rsid w:val="0036193C"/>
    <w:rsid w:val="00361944"/>
    <w:rsid w:val="00361964"/>
    <w:rsid w:val="0036196B"/>
    <w:rsid w:val="0036197A"/>
    <w:rsid w:val="003619A5"/>
    <w:rsid w:val="003619BA"/>
    <w:rsid w:val="003619D7"/>
    <w:rsid w:val="00361A19"/>
    <w:rsid w:val="00361A35"/>
    <w:rsid w:val="00361A4A"/>
    <w:rsid w:val="00361AF2"/>
    <w:rsid w:val="00361B1A"/>
    <w:rsid w:val="00361B47"/>
    <w:rsid w:val="00361B6E"/>
    <w:rsid w:val="00361B79"/>
    <w:rsid w:val="00361B9F"/>
    <w:rsid w:val="00361BF5"/>
    <w:rsid w:val="00361C2C"/>
    <w:rsid w:val="00361C3D"/>
    <w:rsid w:val="00361C48"/>
    <w:rsid w:val="00361C53"/>
    <w:rsid w:val="00361C82"/>
    <w:rsid w:val="00361CC2"/>
    <w:rsid w:val="00361CF3"/>
    <w:rsid w:val="00361D07"/>
    <w:rsid w:val="00361D0A"/>
    <w:rsid w:val="00361D2E"/>
    <w:rsid w:val="00361D30"/>
    <w:rsid w:val="00361D3F"/>
    <w:rsid w:val="00361D46"/>
    <w:rsid w:val="00361D67"/>
    <w:rsid w:val="00361D79"/>
    <w:rsid w:val="00361D88"/>
    <w:rsid w:val="00361DD6"/>
    <w:rsid w:val="00361E0F"/>
    <w:rsid w:val="00361E14"/>
    <w:rsid w:val="00361E24"/>
    <w:rsid w:val="00361E43"/>
    <w:rsid w:val="00361E7C"/>
    <w:rsid w:val="00361EBF"/>
    <w:rsid w:val="00361ED7"/>
    <w:rsid w:val="00361EDC"/>
    <w:rsid w:val="00361EF9"/>
    <w:rsid w:val="00361F6A"/>
    <w:rsid w:val="00361F72"/>
    <w:rsid w:val="00361F7D"/>
    <w:rsid w:val="00361FA4"/>
    <w:rsid w:val="00361FB1"/>
    <w:rsid w:val="00361FE8"/>
    <w:rsid w:val="00362051"/>
    <w:rsid w:val="00362053"/>
    <w:rsid w:val="0036207E"/>
    <w:rsid w:val="003620D0"/>
    <w:rsid w:val="003620FB"/>
    <w:rsid w:val="00362134"/>
    <w:rsid w:val="0036214A"/>
    <w:rsid w:val="0036218E"/>
    <w:rsid w:val="003621BF"/>
    <w:rsid w:val="00362203"/>
    <w:rsid w:val="0036221F"/>
    <w:rsid w:val="00362222"/>
    <w:rsid w:val="0036224F"/>
    <w:rsid w:val="00362263"/>
    <w:rsid w:val="00362283"/>
    <w:rsid w:val="003622AC"/>
    <w:rsid w:val="003622B7"/>
    <w:rsid w:val="003622C9"/>
    <w:rsid w:val="003622E9"/>
    <w:rsid w:val="003622EE"/>
    <w:rsid w:val="00362311"/>
    <w:rsid w:val="0036234A"/>
    <w:rsid w:val="0036237F"/>
    <w:rsid w:val="0036239E"/>
    <w:rsid w:val="003623A7"/>
    <w:rsid w:val="003623B1"/>
    <w:rsid w:val="00362407"/>
    <w:rsid w:val="00362439"/>
    <w:rsid w:val="003624D7"/>
    <w:rsid w:val="0036250B"/>
    <w:rsid w:val="0036253F"/>
    <w:rsid w:val="00362554"/>
    <w:rsid w:val="0036257B"/>
    <w:rsid w:val="003625C3"/>
    <w:rsid w:val="00362626"/>
    <w:rsid w:val="0036264D"/>
    <w:rsid w:val="0036265E"/>
    <w:rsid w:val="003626A7"/>
    <w:rsid w:val="003626D7"/>
    <w:rsid w:val="003626E7"/>
    <w:rsid w:val="003626F8"/>
    <w:rsid w:val="003626FB"/>
    <w:rsid w:val="0036275F"/>
    <w:rsid w:val="00362775"/>
    <w:rsid w:val="003627A1"/>
    <w:rsid w:val="003627A5"/>
    <w:rsid w:val="003627AD"/>
    <w:rsid w:val="003627BB"/>
    <w:rsid w:val="003627F4"/>
    <w:rsid w:val="003627F7"/>
    <w:rsid w:val="0036281C"/>
    <w:rsid w:val="00362842"/>
    <w:rsid w:val="00362867"/>
    <w:rsid w:val="0036286A"/>
    <w:rsid w:val="00362871"/>
    <w:rsid w:val="00362913"/>
    <w:rsid w:val="00362918"/>
    <w:rsid w:val="00362933"/>
    <w:rsid w:val="00362939"/>
    <w:rsid w:val="0036294C"/>
    <w:rsid w:val="00362955"/>
    <w:rsid w:val="0036295E"/>
    <w:rsid w:val="00362981"/>
    <w:rsid w:val="003629EA"/>
    <w:rsid w:val="00362A18"/>
    <w:rsid w:val="00362A25"/>
    <w:rsid w:val="00362A57"/>
    <w:rsid w:val="00362AC0"/>
    <w:rsid w:val="00362B56"/>
    <w:rsid w:val="00362B60"/>
    <w:rsid w:val="00362B7B"/>
    <w:rsid w:val="00362B86"/>
    <w:rsid w:val="00362B94"/>
    <w:rsid w:val="00362B9C"/>
    <w:rsid w:val="00362C0F"/>
    <w:rsid w:val="00362C6D"/>
    <w:rsid w:val="00362C71"/>
    <w:rsid w:val="00362C80"/>
    <w:rsid w:val="00362C95"/>
    <w:rsid w:val="00362C9A"/>
    <w:rsid w:val="00362CCD"/>
    <w:rsid w:val="00362CD6"/>
    <w:rsid w:val="00362CE9"/>
    <w:rsid w:val="00362D29"/>
    <w:rsid w:val="00362D4A"/>
    <w:rsid w:val="00362DA2"/>
    <w:rsid w:val="00362DE5"/>
    <w:rsid w:val="00362E2D"/>
    <w:rsid w:val="00362E60"/>
    <w:rsid w:val="00362E66"/>
    <w:rsid w:val="00362E70"/>
    <w:rsid w:val="00362E74"/>
    <w:rsid w:val="00362F27"/>
    <w:rsid w:val="00362F35"/>
    <w:rsid w:val="00362F43"/>
    <w:rsid w:val="00362F4A"/>
    <w:rsid w:val="00362FF5"/>
    <w:rsid w:val="00363034"/>
    <w:rsid w:val="0036303A"/>
    <w:rsid w:val="00363042"/>
    <w:rsid w:val="00363060"/>
    <w:rsid w:val="003630AF"/>
    <w:rsid w:val="003630CF"/>
    <w:rsid w:val="003630D3"/>
    <w:rsid w:val="003630E5"/>
    <w:rsid w:val="003630F3"/>
    <w:rsid w:val="003630F7"/>
    <w:rsid w:val="0036313C"/>
    <w:rsid w:val="0036314E"/>
    <w:rsid w:val="00363156"/>
    <w:rsid w:val="0036315E"/>
    <w:rsid w:val="00363164"/>
    <w:rsid w:val="00363194"/>
    <w:rsid w:val="003631AB"/>
    <w:rsid w:val="003631AF"/>
    <w:rsid w:val="003631BB"/>
    <w:rsid w:val="003631E6"/>
    <w:rsid w:val="00363296"/>
    <w:rsid w:val="003632A2"/>
    <w:rsid w:val="003632A8"/>
    <w:rsid w:val="00363341"/>
    <w:rsid w:val="0036337D"/>
    <w:rsid w:val="003633A5"/>
    <w:rsid w:val="003633C1"/>
    <w:rsid w:val="003633ED"/>
    <w:rsid w:val="0036340F"/>
    <w:rsid w:val="00363410"/>
    <w:rsid w:val="00363423"/>
    <w:rsid w:val="0036342A"/>
    <w:rsid w:val="00363432"/>
    <w:rsid w:val="00363454"/>
    <w:rsid w:val="0036347C"/>
    <w:rsid w:val="003634A2"/>
    <w:rsid w:val="0036350D"/>
    <w:rsid w:val="00363543"/>
    <w:rsid w:val="003635D9"/>
    <w:rsid w:val="003635F9"/>
    <w:rsid w:val="003635FC"/>
    <w:rsid w:val="00363630"/>
    <w:rsid w:val="00363634"/>
    <w:rsid w:val="003636B8"/>
    <w:rsid w:val="003636BA"/>
    <w:rsid w:val="003636CE"/>
    <w:rsid w:val="00363726"/>
    <w:rsid w:val="0036375F"/>
    <w:rsid w:val="00363779"/>
    <w:rsid w:val="0036379A"/>
    <w:rsid w:val="0036383E"/>
    <w:rsid w:val="00363856"/>
    <w:rsid w:val="0036386D"/>
    <w:rsid w:val="003638C3"/>
    <w:rsid w:val="003638C8"/>
    <w:rsid w:val="003638D7"/>
    <w:rsid w:val="003638E7"/>
    <w:rsid w:val="00363919"/>
    <w:rsid w:val="0036393C"/>
    <w:rsid w:val="00363959"/>
    <w:rsid w:val="0036398A"/>
    <w:rsid w:val="003639A2"/>
    <w:rsid w:val="003639B9"/>
    <w:rsid w:val="003639DA"/>
    <w:rsid w:val="00363A39"/>
    <w:rsid w:val="00363A57"/>
    <w:rsid w:val="00363A59"/>
    <w:rsid w:val="00363A8B"/>
    <w:rsid w:val="00363AA0"/>
    <w:rsid w:val="00363AB1"/>
    <w:rsid w:val="00363AC0"/>
    <w:rsid w:val="00363ADF"/>
    <w:rsid w:val="00363AE9"/>
    <w:rsid w:val="00363AEA"/>
    <w:rsid w:val="00363AF3"/>
    <w:rsid w:val="00363B30"/>
    <w:rsid w:val="00363B50"/>
    <w:rsid w:val="00363B85"/>
    <w:rsid w:val="00363B8A"/>
    <w:rsid w:val="00363B8B"/>
    <w:rsid w:val="00363C0E"/>
    <w:rsid w:val="00363C1E"/>
    <w:rsid w:val="00363C62"/>
    <w:rsid w:val="00363C7F"/>
    <w:rsid w:val="00363CA0"/>
    <w:rsid w:val="00363D8D"/>
    <w:rsid w:val="00363D96"/>
    <w:rsid w:val="00363DD2"/>
    <w:rsid w:val="00363E42"/>
    <w:rsid w:val="00363E8E"/>
    <w:rsid w:val="00363EAD"/>
    <w:rsid w:val="00363EBC"/>
    <w:rsid w:val="00363ECA"/>
    <w:rsid w:val="00363EDE"/>
    <w:rsid w:val="00363EE8"/>
    <w:rsid w:val="00363EF8"/>
    <w:rsid w:val="00363F46"/>
    <w:rsid w:val="00363F4E"/>
    <w:rsid w:val="00363F54"/>
    <w:rsid w:val="00363F67"/>
    <w:rsid w:val="00363F90"/>
    <w:rsid w:val="00363FEB"/>
    <w:rsid w:val="00364030"/>
    <w:rsid w:val="00364035"/>
    <w:rsid w:val="00364040"/>
    <w:rsid w:val="0036407E"/>
    <w:rsid w:val="003640B1"/>
    <w:rsid w:val="003640C9"/>
    <w:rsid w:val="003640CB"/>
    <w:rsid w:val="003640FD"/>
    <w:rsid w:val="0036413A"/>
    <w:rsid w:val="00364180"/>
    <w:rsid w:val="00364190"/>
    <w:rsid w:val="003641F7"/>
    <w:rsid w:val="003641FC"/>
    <w:rsid w:val="00364205"/>
    <w:rsid w:val="00364211"/>
    <w:rsid w:val="0036423C"/>
    <w:rsid w:val="0036427D"/>
    <w:rsid w:val="00364294"/>
    <w:rsid w:val="00364298"/>
    <w:rsid w:val="0036432B"/>
    <w:rsid w:val="00364366"/>
    <w:rsid w:val="00364373"/>
    <w:rsid w:val="00364374"/>
    <w:rsid w:val="003643A9"/>
    <w:rsid w:val="003643C7"/>
    <w:rsid w:val="003643D9"/>
    <w:rsid w:val="003643DE"/>
    <w:rsid w:val="003643E4"/>
    <w:rsid w:val="0036448C"/>
    <w:rsid w:val="00364520"/>
    <w:rsid w:val="00364571"/>
    <w:rsid w:val="00364589"/>
    <w:rsid w:val="003645AE"/>
    <w:rsid w:val="003645B4"/>
    <w:rsid w:val="003645D8"/>
    <w:rsid w:val="003645FE"/>
    <w:rsid w:val="0036460D"/>
    <w:rsid w:val="00364613"/>
    <w:rsid w:val="00364673"/>
    <w:rsid w:val="00364677"/>
    <w:rsid w:val="00364682"/>
    <w:rsid w:val="0036469F"/>
    <w:rsid w:val="003646B7"/>
    <w:rsid w:val="003646E2"/>
    <w:rsid w:val="00364717"/>
    <w:rsid w:val="0036472F"/>
    <w:rsid w:val="0036479B"/>
    <w:rsid w:val="003647A8"/>
    <w:rsid w:val="003647D2"/>
    <w:rsid w:val="0036485F"/>
    <w:rsid w:val="00364864"/>
    <w:rsid w:val="00364869"/>
    <w:rsid w:val="003648A0"/>
    <w:rsid w:val="003648A7"/>
    <w:rsid w:val="003648C1"/>
    <w:rsid w:val="003648E3"/>
    <w:rsid w:val="003648E9"/>
    <w:rsid w:val="003648EC"/>
    <w:rsid w:val="00364931"/>
    <w:rsid w:val="00364941"/>
    <w:rsid w:val="0036495F"/>
    <w:rsid w:val="00364977"/>
    <w:rsid w:val="0036498E"/>
    <w:rsid w:val="003649CB"/>
    <w:rsid w:val="003649D1"/>
    <w:rsid w:val="003649E5"/>
    <w:rsid w:val="003649FB"/>
    <w:rsid w:val="00364A17"/>
    <w:rsid w:val="00364A36"/>
    <w:rsid w:val="00364A41"/>
    <w:rsid w:val="00364A7E"/>
    <w:rsid w:val="00364AB3"/>
    <w:rsid w:val="00364B32"/>
    <w:rsid w:val="00364B3F"/>
    <w:rsid w:val="00364B59"/>
    <w:rsid w:val="00364B81"/>
    <w:rsid w:val="00364BCD"/>
    <w:rsid w:val="00364BFC"/>
    <w:rsid w:val="00364C67"/>
    <w:rsid w:val="00364C6E"/>
    <w:rsid w:val="00364C76"/>
    <w:rsid w:val="00364CC4"/>
    <w:rsid w:val="00364CE3"/>
    <w:rsid w:val="00364D04"/>
    <w:rsid w:val="00364D05"/>
    <w:rsid w:val="00364D87"/>
    <w:rsid w:val="00364D8A"/>
    <w:rsid w:val="00364DBC"/>
    <w:rsid w:val="00364DDA"/>
    <w:rsid w:val="00364E0A"/>
    <w:rsid w:val="00364E43"/>
    <w:rsid w:val="00364EA1"/>
    <w:rsid w:val="00364ED7"/>
    <w:rsid w:val="00364EDD"/>
    <w:rsid w:val="00364F65"/>
    <w:rsid w:val="00364F78"/>
    <w:rsid w:val="00364FA8"/>
    <w:rsid w:val="00364FEE"/>
    <w:rsid w:val="00365015"/>
    <w:rsid w:val="00365092"/>
    <w:rsid w:val="003650C1"/>
    <w:rsid w:val="003650EC"/>
    <w:rsid w:val="0036512F"/>
    <w:rsid w:val="0036514C"/>
    <w:rsid w:val="003651B8"/>
    <w:rsid w:val="003651F6"/>
    <w:rsid w:val="0036521B"/>
    <w:rsid w:val="00365237"/>
    <w:rsid w:val="0036528F"/>
    <w:rsid w:val="003652B5"/>
    <w:rsid w:val="003652B6"/>
    <w:rsid w:val="003652D7"/>
    <w:rsid w:val="003652FA"/>
    <w:rsid w:val="0036531A"/>
    <w:rsid w:val="00365322"/>
    <w:rsid w:val="003653A8"/>
    <w:rsid w:val="00365472"/>
    <w:rsid w:val="003654A4"/>
    <w:rsid w:val="003654D4"/>
    <w:rsid w:val="003654EF"/>
    <w:rsid w:val="00365547"/>
    <w:rsid w:val="00365549"/>
    <w:rsid w:val="00365590"/>
    <w:rsid w:val="00365597"/>
    <w:rsid w:val="003655CE"/>
    <w:rsid w:val="003655D6"/>
    <w:rsid w:val="00365616"/>
    <w:rsid w:val="0036561B"/>
    <w:rsid w:val="00365652"/>
    <w:rsid w:val="0036569E"/>
    <w:rsid w:val="003656E6"/>
    <w:rsid w:val="003656EA"/>
    <w:rsid w:val="0036573A"/>
    <w:rsid w:val="00365757"/>
    <w:rsid w:val="0036575C"/>
    <w:rsid w:val="0036579B"/>
    <w:rsid w:val="003657E2"/>
    <w:rsid w:val="00365812"/>
    <w:rsid w:val="00365824"/>
    <w:rsid w:val="0036586C"/>
    <w:rsid w:val="00365958"/>
    <w:rsid w:val="00365965"/>
    <w:rsid w:val="0036596B"/>
    <w:rsid w:val="0036596C"/>
    <w:rsid w:val="0036598F"/>
    <w:rsid w:val="003659C9"/>
    <w:rsid w:val="003659D8"/>
    <w:rsid w:val="00365A16"/>
    <w:rsid w:val="00365A2C"/>
    <w:rsid w:val="00365A61"/>
    <w:rsid w:val="00365A89"/>
    <w:rsid w:val="00365AA1"/>
    <w:rsid w:val="00365AC8"/>
    <w:rsid w:val="00365ACD"/>
    <w:rsid w:val="00365AD3"/>
    <w:rsid w:val="00365B46"/>
    <w:rsid w:val="00365B4E"/>
    <w:rsid w:val="00365B61"/>
    <w:rsid w:val="00365B82"/>
    <w:rsid w:val="00365C08"/>
    <w:rsid w:val="00365C20"/>
    <w:rsid w:val="00365C5D"/>
    <w:rsid w:val="00365CA3"/>
    <w:rsid w:val="00365CC1"/>
    <w:rsid w:val="00365CC7"/>
    <w:rsid w:val="00365CC8"/>
    <w:rsid w:val="00365D33"/>
    <w:rsid w:val="00365D45"/>
    <w:rsid w:val="00365D46"/>
    <w:rsid w:val="00365D62"/>
    <w:rsid w:val="00365D6B"/>
    <w:rsid w:val="00365D97"/>
    <w:rsid w:val="00365DAA"/>
    <w:rsid w:val="00365DC7"/>
    <w:rsid w:val="00365E16"/>
    <w:rsid w:val="00365E7A"/>
    <w:rsid w:val="00365E93"/>
    <w:rsid w:val="00365E94"/>
    <w:rsid w:val="00365EEF"/>
    <w:rsid w:val="00365F0E"/>
    <w:rsid w:val="00365F36"/>
    <w:rsid w:val="00365F3B"/>
    <w:rsid w:val="00365F6B"/>
    <w:rsid w:val="00365F76"/>
    <w:rsid w:val="00365F98"/>
    <w:rsid w:val="00365FFB"/>
    <w:rsid w:val="0036602D"/>
    <w:rsid w:val="0036604F"/>
    <w:rsid w:val="0036605E"/>
    <w:rsid w:val="00366069"/>
    <w:rsid w:val="003660C0"/>
    <w:rsid w:val="0036610C"/>
    <w:rsid w:val="00366124"/>
    <w:rsid w:val="00366176"/>
    <w:rsid w:val="00366180"/>
    <w:rsid w:val="00366293"/>
    <w:rsid w:val="0036629D"/>
    <w:rsid w:val="003662A1"/>
    <w:rsid w:val="003662DC"/>
    <w:rsid w:val="003662F4"/>
    <w:rsid w:val="003662FB"/>
    <w:rsid w:val="00366304"/>
    <w:rsid w:val="00366313"/>
    <w:rsid w:val="0036631B"/>
    <w:rsid w:val="0036633D"/>
    <w:rsid w:val="0036633F"/>
    <w:rsid w:val="00366345"/>
    <w:rsid w:val="00366349"/>
    <w:rsid w:val="003663AD"/>
    <w:rsid w:val="003663C1"/>
    <w:rsid w:val="003663F4"/>
    <w:rsid w:val="003663F7"/>
    <w:rsid w:val="00366441"/>
    <w:rsid w:val="0036644F"/>
    <w:rsid w:val="00366487"/>
    <w:rsid w:val="00366499"/>
    <w:rsid w:val="003664D0"/>
    <w:rsid w:val="003664EF"/>
    <w:rsid w:val="0036657F"/>
    <w:rsid w:val="0036659A"/>
    <w:rsid w:val="003665D8"/>
    <w:rsid w:val="003666DC"/>
    <w:rsid w:val="00366706"/>
    <w:rsid w:val="0036672D"/>
    <w:rsid w:val="00366765"/>
    <w:rsid w:val="0036679C"/>
    <w:rsid w:val="003667B4"/>
    <w:rsid w:val="003667BF"/>
    <w:rsid w:val="003667E0"/>
    <w:rsid w:val="003667ED"/>
    <w:rsid w:val="00366825"/>
    <w:rsid w:val="00366856"/>
    <w:rsid w:val="003668CD"/>
    <w:rsid w:val="003668EF"/>
    <w:rsid w:val="00366908"/>
    <w:rsid w:val="00366926"/>
    <w:rsid w:val="0036692C"/>
    <w:rsid w:val="0036695A"/>
    <w:rsid w:val="0036695C"/>
    <w:rsid w:val="00366960"/>
    <w:rsid w:val="003669C3"/>
    <w:rsid w:val="003669CA"/>
    <w:rsid w:val="003669D4"/>
    <w:rsid w:val="00366A5D"/>
    <w:rsid w:val="00366A68"/>
    <w:rsid w:val="00366A75"/>
    <w:rsid w:val="00366AC3"/>
    <w:rsid w:val="00366ADC"/>
    <w:rsid w:val="00366AED"/>
    <w:rsid w:val="00366B42"/>
    <w:rsid w:val="00366B55"/>
    <w:rsid w:val="00366B6D"/>
    <w:rsid w:val="00366B92"/>
    <w:rsid w:val="00366B99"/>
    <w:rsid w:val="00366BB0"/>
    <w:rsid w:val="00366C10"/>
    <w:rsid w:val="00366C4D"/>
    <w:rsid w:val="00366CC5"/>
    <w:rsid w:val="00366CCE"/>
    <w:rsid w:val="00366D22"/>
    <w:rsid w:val="00366D87"/>
    <w:rsid w:val="00366D8B"/>
    <w:rsid w:val="00366E9E"/>
    <w:rsid w:val="00366EC7"/>
    <w:rsid w:val="00366ECC"/>
    <w:rsid w:val="00366F12"/>
    <w:rsid w:val="00366FC7"/>
    <w:rsid w:val="00366FF0"/>
    <w:rsid w:val="00366FF4"/>
    <w:rsid w:val="00367001"/>
    <w:rsid w:val="0036700C"/>
    <w:rsid w:val="00367016"/>
    <w:rsid w:val="00367052"/>
    <w:rsid w:val="0036708D"/>
    <w:rsid w:val="00367093"/>
    <w:rsid w:val="003670C4"/>
    <w:rsid w:val="003670D9"/>
    <w:rsid w:val="003670E2"/>
    <w:rsid w:val="0036715A"/>
    <w:rsid w:val="0036716E"/>
    <w:rsid w:val="003671AB"/>
    <w:rsid w:val="003671C8"/>
    <w:rsid w:val="003671F7"/>
    <w:rsid w:val="00367226"/>
    <w:rsid w:val="0036726E"/>
    <w:rsid w:val="003672C8"/>
    <w:rsid w:val="003672EB"/>
    <w:rsid w:val="00367310"/>
    <w:rsid w:val="00367318"/>
    <w:rsid w:val="00367334"/>
    <w:rsid w:val="00367344"/>
    <w:rsid w:val="003673B5"/>
    <w:rsid w:val="00367416"/>
    <w:rsid w:val="0036743B"/>
    <w:rsid w:val="00367447"/>
    <w:rsid w:val="0036745F"/>
    <w:rsid w:val="00367481"/>
    <w:rsid w:val="003674D1"/>
    <w:rsid w:val="003674EC"/>
    <w:rsid w:val="00367547"/>
    <w:rsid w:val="00367571"/>
    <w:rsid w:val="003675A4"/>
    <w:rsid w:val="003675A5"/>
    <w:rsid w:val="003675B2"/>
    <w:rsid w:val="003675C5"/>
    <w:rsid w:val="003675D6"/>
    <w:rsid w:val="00367637"/>
    <w:rsid w:val="003676B6"/>
    <w:rsid w:val="003676D7"/>
    <w:rsid w:val="003676EA"/>
    <w:rsid w:val="00367700"/>
    <w:rsid w:val="00367701"/>
    <w:rsid w:val="0036777A"/>
    <w:rsid w:val="0036779B"/>
    <w:rsid w:val="003677A7"/>
    <w:rsid w:val="003677B9"/>
    <w:rsid w:val="003677E4"/>
    <w:rsid w:val="003677EF"/>
    <w:rsid w:val="00367824"/>
    <w:rsid w:val="003678B1"/>
    <w:rsid w:val="003678CE"/>
    <w:rsid w:val="0036790C"/>
    <w:rsid w:val="0036793B"/>
    <w:rsid w:val="00367946"/>
    <w:rsid w:val="0036795C"/>
    <w:rsid w:val="0036795E"/>
    <w:rsid w:val="00367960"/>
    <w:rsid w:val="00367966"/>
    <w:rsid w:val="00367A12"/>
    <w:rsid w:val="00367A80"/>
    <w:rsid w:val="00367A82"/>
    <w:rsid w:val="00367A83"/>
    <w:rsid w:val="00367A8E"/>
    <w:rsid w:val="00367AA7"/>
    <w:rsid w:val="00367AAA"/>
    <w:rsid w:val="00367ACF"/>
    <w:rsid w:val="00367AEC"/>
    <w:rsid w:val="00367B75"/>
    <w:rsid w:val="00367B7D"/>
    <w:rsid w:val="00367BD3"/>
    <w:rsid w:val="00367BE1"/>
    <w:rsid w:val="00367BE2"/>
    <w:rsid w:val="00367C50"/>
    <w:rsid w:val="00367C58"/>
    <w:rsid w:val="00367C99"/>
    <w:rsid w:val="00367C9B"/>
    <w:rsid w:val="00367CB6"/>
    <w:rsid w:val="00367CDC"/>
    <w:rsid w:val="00367D5E"/>
    <w:rsid w:val="00367D68"/>
    <w:rsid w:val="00367D81"/>
    <w:rsid w:val="00367D8A"/>
    <w:rsid w:val="00367DAE"/>
    <w:rsid w:val="00367DDF"/>
    <w:rsid w:val="00367DE0"/>
    <w:rsid w:val="00367E3B"/>
    <w:rsid w:val="00367E40"/>
    <w:rsid w:val="00367E50"/>
    <w:rsid w:val="00367E9E"/>
    <w:rsid w:val="00367F45"/>
    <w:rsid w:val="00367F49"/>
    <w:rsid w:val="00367F60"/>
    <w:rsid w:val="00367F82"/>
    <w:rsid w:val="00367FB3"/>
    <w:rsid w:val="00367FF4"/>
    <w:rsid w:val="0036942B"/>
    <w:rsid w:val="0036B943"/>
    <w:rsid w:val="0037002A"/>
    <w:rsid w:val="00370055"/>
    <w:rsid w:val="00370081"/>
    <w:rsid w:val="0037008B"/>
    <w:rsid w:val="0037009C"/>
    <w:rsid w:val="003700B9"/>
    <w:rsid w:val="0037010A"/>
    <w:rsid w:val="00370131"/>
    <w:rsid w:val="00370143"/>
    <w:rsid w:val="00370144"/>
    <w:rsid w:val="0037015C"/>
    <w:rsid w:val="00370162"/>
    <w:rsid w:val="0037017B"/>
    <w:rsid w:val="003701BD"/>
    <w:rsid w:val="003701EC"/>
    <w:rsid w:val="003701FD"/>
    <w:rsid w:val="00370238"/>
    <w:rsid w:val="00370247"/>
    <w:rsid w:val="0037024B"/>
    <w:rsid w:val="0037028D"/>
    <w:rsid w:val="0037031F"/>
    <w:rsid w:val="00370374"/>
    <w:rsid w:val="003703DA"/>
    <w:rsid w:val="003703F3"/>
    <w:rsid w:val="003703FE"/>
    <w:rsid w:val="00370454"/>
    <w:rsid w:val="0037045D"/>
    <w:rsid w:val="00370466"/>
    <w:rsid w:val="00370467"/>
    <w:rsid w:val="0037047F"/>
    <w:rsid w:val="003704FF"/>
    <w:rsid w:val="0037056D"/>
    <w:rsid w:val="0037059E"/>
    <w:rsid w:val="003705AA"/>
    <w:rsid w:val="003705BA"/>
    <w:rsid w:val="003705D0"/>
    <w:rsid w:val="00370632"/>
    <w:rsid w:val="00370651"/>
    <w:rsid w:val="00370712"/>
    <w:rsid w:val="00370742"/>
    <w:rsid w:val="00370758"/>
    <w:rsid w:val="00370780"/>
    <w:rsid w:val="00370781"/>
    <w:rsid w:val="003707B6"/>
    <w:rsid w:val="003707BC"/>
    <w:rsid w:val="00370823"/>
    <w:rsid w:val="0037088C"/>
    <w:rsid w:val="003708D7"/>
    <w:rsid w:val="003708DC"/>
    <w:rsid w:val="00370932"/>
    <w:rsid w:val="00370965"/>
    <w:rsid w:val="00370994"/>
    <w:rsid w:val="003709A2"/>
    <w:rsid w:val="00370A23"/>
    <w:rsid w:val="00370A4A"/>
    <w:rsid w:val="00370A65"/>
    <w:rsid w:val="00370A6C"/>
    <w:rsid w:val="00370A93"/>
    <w:rsid w:val="00370AA5"/>
    <w:rsid w:val="00370B29"/>
    <w:rsid w:val="00370B2C"/>
    <w:rsid w:val="00370B61"/>
    <w:rsid w:val="00370B69"/>
    <w:rsid w:val="00370B80"/>
    <w:rsid w:val="00370B83"/>
    <w:rsid w:val="00370C1A"/>
    <w:rsid w:val="00370C28"/>
    <w:rsid w:val="00370C34"/>
    <w:rsid w:val="00370C48"/>
    <w:rsid w:val="00370C7E"/>
    <w:rsid w:val="00370C7F"/>
    <w:rsid w:val="00370C8B"/>
    <w:rsid w:val="00370C9A"/>
    <w:rsid w:val="00370CBD"/>
    <w:rsid w:val="00370CC4"/>
    <w:rsid w:val="00370CED"/>
    <w:rsid w:val="00370D0C"/>
    <w:rsid w:val="00370D37"/>
    <w:rsid w:val="00370D39"/>
    <w:rsid w:val="00370D80"/>
    <w:rsid w:val="00370DEF"/>
    <w:rsid w:val="00370E09"/>
    <w:rsid w:val="00370E11"/>
    <w:rsid w:val="00370E12"/>
    <w:rsid w:val="00370E2B"/>
    <w:rsid w:val="00370E61"/>
    <w:rsid w:val="00370EBC"/>
    <w:rsid w:val="00370EE5"/>
    <w:rsid w:val="00370EF0"/>
    <w:rsid w:val="00370F27"/>
    <w:rsid w:val="00370F2C"/>
    <w:rsid w:val="00370F41"/>
    <w:rsid w:val="00370F65"/>
    <w:rsid w:val="00370F95"/>
    <w:rsid w:val="00370F98"/>
    <w:rsid w:val="00370FE0"/>
    <w:rsid w:val="00370FE5"/>
    <w:rsid w:val="00370FFA"/>
    <w:rsid w:val="00371002"/>
    <w:rsid w:val="00371042"/>
    <w:rsid w:val="0037106D"/>
    <w:rsid w:val="003710C6"/>
    <w:rsid w:val="003710FF"/>
    <w:rsid w:val="00371104"/>
    <w:rsid w:val="00371169"/>
    <w:rsid w:val="00371174"/>
    <w:rsid w:val="0037117E"/>
    <w:rsid w:val="003711AA"/>
    <w:rsid w:val="003711D8"/>
    <w:rsid w:val="0037121F"/>
    <w:rsid w:val="00371223"/>
    <w:rsid w:val="00371228"/>
    <w:rsid w:val="00371247"/>
    <w:rsid w:val="00371278"/>
    <w:rsid w:val="00371308"/>
    <w:rsid w:val="00371358"/>
    <w:rsid w:val="003713A7"/>
    <w:rsid w:val="003713AC"/>
    <w:rsid w:val="00371497"/>
    <w:rsid w:val="003714C6"/>
    <w:rsid w:val="003714D9"/>
    <w:rsid w:val="0037150B"/>
    <w:rsid w:val="00371512"/>
    <w:rsid w:val="00371587"/>
    <w:rsid w:val="003715E7"/>
    <w:rsid w:val="003715F8"/>
    <w:rsid w:val="0037167B"/>
    <w:rsid w:val="0037167D"/>
    <w:rsid w:val="003716CC"/>
    <w:rsid w:val="003716D4"/>
    <w:rsid w:val="003716DF"/>
    <w:rsid w:val="00371768"/>
    <w:rsid w:val="0037176A"/>
    <w:rsid w:val="00371782"/>
    <w:rsid w:val="00371789"/>
    <w:rsid w:val="00371791"/>
    <w:rsid w:val="003717F1"/>
    <w:rsid w:val="00371835"/>
    <w:rsid w:val="0037186A"/>
    <w:rsid w:val="00371880"/>
    <w:rsid w:val="0037189F"/>
    <w:rsid w:val="003718C9"/>
    <w:rsid w:val="003718E9"/>
    <w:rsid w:val="003718ED"/>
    <w:rsid w:val="003718F8"/>
    <w:rsid w:val="00371919"/>
    <w:rsid w:val="0037196B"/>
    <w:rsid w:val="0037197E"/>
    <w:rsid w:val="00371982"/>
    <w:rsid w:val="003719B7"/>
    <w:rsid w:val="00371A3A"/>
    <w:rsid w:val="00371A63"/>
    <w:rsid w:val="00371A7B"/>
    <w:rsid w:val="00371A8A"/>
    <w:rsid w:val="00371AB0"/>
    <w:rsid w:val="00371AB4"/>
    <w:rsid w:val="00371AD9"/>
    <w:rsid w:val="00371AF5"/>
    <w:rsid w:val="00371AFC"/>
    <w:rsid w:val="00371B0F"/>
    <w:rsid w:val="00371B1B"/>
    <w:rsid w:val="00371B2B"/>
    <w:rsid w:val="00371B39"/>
    <w:rsid w:val="00371B6D"/>
    <w:rsid w:val="00371B7F"/>
    <w:rsid w:val="00371BF1"/>
    <w:rsid w:val="00371BFE"/>
    <w:rsid w:val="00371C11"/>
    <w:rsid w:val="00371C61"/>
    <w:rsid w:val="00371C74"/>
    <w:rsid w:val="00371CA8"/>
    <w:rsid w:val="00371CD5"/>
    <w:rsid w:val="00371D60"/>
    <w:rsid w:val="00371D84"/>
    <w:rsid w:val="00371D95"/>
    <w:rsid w:val="00371D9D"/>
    <w:rsid w:val="00371DB8"/>
    <w:rsid w:val="00371E00"/>
    <w:rsid w:val="00371E02"/>
    <w:rsid w:val="00371E07"/>
    <w:rsid w:val="00371E34"/>
    <w:rsid w:val="00371E35"/>
    <w:rsid w:val="00371E4A"/>
    <w:rsid w:val="00371E4F"/>
    <w:rsid w:val="00371E67"/>
    <w:rsid w:val="00371E80"/>
    <w:rsid w:val="00371E99"/>
    <w:rsid w:val="00371EA7"/>
    <w:rsid w:val="00371EAC"/>
    <w:rsid w:val="00371EBB"/>
    <w:rsid w:val="00371EF4"/>
    <w:rsid w:val="00371F0D"/>
    <w:rsid w:val="00371F23"/>
    <w:rsid w:val="00371F50"/>
    <w:rsid w:val="00371F8D"/>
    <w:rsid w:val="00371F9A"/>
    <w:rsid w:val="00371FC0"/>
    <w:rsid w:val="00371FFD"/>
    <w:rsid w:val="00372002"/>
    <w:rsid w:val="00372023"/>
    <w:rsid w:val="0037206C"/>
    <w:rsid w:val="003720C5"/>
    <w:rsid w:val="003720D0"/>
    <w:rsid w:val="003720D8"/>
    <w:rsid w:val="003720DF"/>
    <w:rsid w:val="003721DA"/>
    <w:rsid w:val="003721EB"/>
    <w:rsid w:val="00372231"/>
    <w:rsid w:val="00372264"/>
    <w:rsid w:val="003722B9"/>
    <w:rsid w:val="003722D2"/>
    <w:rsid w:val="0037232B"/>
    <w:rsid w:val="0037234B"/>
    <w:rsid w:val="0037234D"/>
    <w:rsid w:val="0037234E"/>
    <w:rsid w:val="00372369"/>
    <w:rsid w:val="0037236B"/>
    <w:rsid w:val="003723D6"/>
    <w:rsid w:val="003723EE"/>
    <w:rsid w:val="003723FD"/>
    <w:rsid w:val="00372427"/>
    <w:rsid w:val="00372467"/>
    <w:rsid w:val="003724C2"/>
    <w:rsid w:val="003724D3"/>
    <w:rsid w:val="003724E2"/>
    <w:rsid w:val="003724E8"/>
    <w:rsid w:val="00372538"/>
    <w:rsid w:val="0037253A"/>
    <w:rsid w:val="00372549"/>
    <w:rsid w:val="00372583"/>
    <w:rsid w:val="003725B6"/>
    <w:rsid w:val="003725B9"/>
    <w:rsid w:val="003725EB"/>
    <w:rsid w:val="00372606"/>
    <w:rsid w:val="00372609"/>
    <w:rsid w:val="0037262E"/>
    <w:rsid w:val="00372652"/>
    <w:rsid w:val="00372681"/>
    <w:rsid w:val="003726A2"/>
    <w:rsid w:val="003726B7"/>
    <w:rsid w:val="003726D0"/>
    <w:rsid w:val="00372733"/>
    <w:rsid w:val="003727CC"/>
    <w:rsid w:val="003727EF"/>
    <w:rsid w:val="003727FF"/>
    <w:rsid w:val="00372809"/>
    <w:rsid w:val="00372822"/>
    <w:rsid w:val="0037282A"/>
    <w:rsid w:val="00372882"/>
    <w:rsid w:val="00372885"/>
    <w:rsid w:val="003728AE"/>
    <w:rsid w:val="003728FB"/>
    <w:rsid w:val="003728FE"/>
    <w:rsid w:val="00372900"/>
    <w:rsid w:val="00372903"/>
    <w:rsid w:val="00372943"/>
    <w:rsid w:val="0037294B"/>
    <w:rsid w:val="00372989"/>
    <w:rsid w:val="00372995"/>
    <w:rsid w:val="003729AB"/>
    <w:rsid w:val="003729CB"/>
    <w:rsid w:val="003729D4"/>
    <w:rsid w:val="003729E7"/>
    <w:rsid w:val="00372A01"/>
    <w:rsid w:val="00372A12"/>
    <w:rsid w:val="00372A28"/>
    <w:rsid w:val="00372A63"/>
    <w:rsid w:val="00372A66"/>
    <w:rsid w:val="00372A6A"/>
    <w:rsid w:val="00372A96"/>
    <w:rsid w:val="00372AC0"/>
    <w:rsid w:val="00372AD3"/>
    <w:rsid w:val="00372AEB"/>
    <w:rsid w:val="00372B2E"/>
    <w:rsid w:val="00372B3C"/>
    <w:rsid w:val="00372B99"/>
    <w:rsid w:val="00372BD6"/>
    <w:rsid w:val="00372BE3"/>
    <w:rsid w:val="00372C01"/>
    <w:rsid w:val="00372C05"/>
    <w:rsid w:val="00372C11"/>
    <w:rsid w:val="00372C13"/>
    <w:rsid w:val="00372C6C"/>
    <w:rsid w:val="00372C97"/>
    <w:rsid w:val="00372CBD"/>
    <w:rsid w:val="00372CE1"/>
    <w:rsid w:val="00372CE5"/>
    <w:rsid w:val="00372CF4"/>
    <w:rsid w:val="00372CFD"/>
    <w:rsid w:val="00372D3F"/>
    <w:rsid w:val="00372D76"/>
    <w:rsid w:val="00372D77"/>
    <w:rsid w:val="00372D99"/>
    <w:rsid w:val="00372DCD"/>
    <w:rsid w:val="00372EE6"/>
    <w:rsid w:val="00372F03"/>
    <w:rsid w:val="00372F38"/>
    <w:rsid w:val="00372F45"/>
    <w:rsid w:val="00372F4D"/>
    <w:rsid w:val="00372F5E"/>
    <w:rsid w:val="00372F7F"/>
    <w:rsid w:val="00372F9D"/>
    <w:rsid w:val="00372FA2"/>
    <w:rsid w:val="00373059"/>
    <w:rsid w:val="00373067"/>
    <w:rsid w:val="003730BA"/>
    <w:rsid w:val="003730D0"/>
    <w:rsid w:val="003730D9"/>
    <w:rsid w:val="003730DF"/>
    <w:rsid w:val="003730E8"/>
    <w:rsid w:val="003730ED"/>
    <w:rsid w:val="00373148"/>
    <w:rsid w:val="00373192"/>
    <w:rsid w:val="0037319A"/>
    <w:rsid w:val="003731D7"/>
    <w:rsid w:val="0037322E"/>
    <w:rsid w:val="00373278"/>
    <w:rsid w:val="003732D8"/>
    <w:rsid w:val="003732FB"/>
    <w:rsid w:val="00373306"/>
    <w:rsid w:val="00373370"/>
    <w:rsid w:val="00373380"/>
    <w:rsid w:val="00373386"/>
    <w:rsid w:val="00373395"/>
    <w:rsid w:val="003733B2"/>
    <w:rsid w:val="003733C9"/>
    <w:rsid w:val="00373437"/>
    <w:rsid w:val="00373447"/>
    <w:rsid w:val="00373485"/>
    <w:rsid w:val="003734C6"/>
    <w:rsid w:val="003734F4"/>
    <w:rsid w:val="003734F9"/>
    <w:rsid w:val="0037350C"/>
    <w:rsid w:val="0037352C"/>
    <w:rsid w:val="0037356E"/>
    <w:rsid w:val="003735AF"/>
    <w:rsid w:val="003735B7"/>
    <w:rsid w:val="003735C9"/>
    <w:rsid w:val="003735D4"/>
    <w:rsid w:val="003735F3"/>
    <w:rsid w:val="00373609"/>
    <w:rsid w:val="00373611"/>
    <w:rsid w:val="0037363E"/>
    <w:rsid w:val="0037364E"/>
    <w:rsid w:val="00373665"/>
    <w:rsid w:val="0037366B"/>
    <w:rsid w:val="00373693"/>
    <w:rsid w:val="0037369D"/>
    <w:rsid w:val="003736A5"/>
    <w:rsid w:val="003736B0"/>
    <w:rsid w:val="003736E5"/>
    <w:rsid w:val="00373744"/>
    <w:rsid w:val="0037376D"/>
    <w:rsid w:val="0037379A"/>
    <w:rsid w:val="003737AC"/>
    <w:rsid w:val="003737E3"/>
    <w:rsid w:val="003737F1"/>
    <w:rsid w:val="00373816"/>
    <w:rsid w:val="0037382C"/>
    <w:rsid w:val="00373865"/>
    <w:rsid w:val="003738B3"/>
    <w:rsid w:val="003738C1"/>
    <w:rsid w:val="003738DC"/>
    <w:rsid w:val="003739F4"/>
    <w:rsid w:val="003739FF"/>
    <w:rsid w:val="00373A94"/>
    <w:rsid w:val="00373A98"/>
    <w:rsid w:val="00373AAF"/>
    <w:rsid w:val="00373AC3"/>
    <w:rsid w:val="00373AD4"/>
    <w:rsid w:val="00373B44"/>
    <w:rsid w:val="00373B4A"/>
    <w:rsid w:val="00373B67"/>
    <w:rsid w:val="00373B76"/>
    <w:rsid w:val="00373C3A"/>
    <w:rsid w:val="00373C67"/>
    <w:rsid w:val="00373C84"/>
    <w:rsid w:val="00373CCB"/>
    <w:rsid w:val="00373D01"/>
    <w:rsid w:val="00373D11"/>
    <w:rsid w:val="00373D1E"/>
    <w:rsid w:val="00373D3C"/>
    <w:rsid w:val="00373D86"/>
    <w:rsid w:val="00373DF0"/>
    <w:rsid w:val="00373DFC"/>
    <w:rsid w:val="00373E0F"/>
    <w:rsid w:val="00373E74"/>
    <w:rsid w:val="00373E7E"/>
    <w:rsid w:val="00373E89"/>
    <w:rsid w:val="00373EA4"/>
    <w:rsid w:val="00373EB1"/>
    <w:rsid w:val="00373EF1"/>
    <w:rsid w:val="00373F11"/>
    <w:rsid w:val="00373F62"/>
    <w:rsid w:val="00373F73"/>
    <w:rsid w:val="00373F9D"/>
    <w:rsid w:val="00373FA2"/>
    <w:rsid w:val="00373FA3"/>
    <w:rsid w:val="00373FAC"/>
    <w:rsid w:val="00373FAF"/>
    <w:rsid w:val="00373FB3"/>
    <w:rsid w:val="00373FFF"/>
    <w:rsid w:val="00374002"/>
    <w:rsid w:val="00374004"/>
    <w:rsid w:val="00374035"/>
    <w:rsid w:val="00374065"/>
    <w:rsid w:val="00374089"/>
    <w:rsid w:val="003740AB"/>
    <w:rsid w:val="003740C2"/>
    <w:rsid w:val="003740FB"/>
    <w:rsid w:val="00374112"/>
    <w:rsid w:val="0037411E"/>
    <w:rsid w:val="00374194"/>
    <w:rsid w:val="003741A8"/>
    <w:rsid w:val="003741C6"/>
    <w:rsid w:val="003741E6"/>
    <w:rsid w:val="00374212"/>
    <w:rsid w:val="00374257"/>
    <w:rsid w:val="00374292"/>
    <w:rsid w:val="003742F4"/>
    <w:rsid w:val="003742F7"/>
    <w:rsid w:val="0037434F"/>
    <w:rsid w:val="00374373"/>
    <w:rsid w:val="003743BE"/>
    <w:rsid w:val="00374410"/>
    <w:rsid w:val="00374490"/>
    <w:rsid w:val="00374499"/>
    <w:rsid w:val="003744A1"/>
    <w:rsid w:val="00374509"/>
    <w:rsid w:val="00374519"/>
    <w:rsid w:val="0037453C"/>
    <w:rsid w:val="00374560"/>
    <w:rsid w:val="003745CB"/>
    <w:rsid w:val="003745DD"/>
    <w:rsid w:val="00374621"/>
    <w:rsid w:val="00374653"/>
    <w:rsid w:val="0037465D"/>
    <w:rsid w:val="003746A3"/>
    <w:rsid w:val="003746D4"/>
    <w:rsid w:val="003746E3"/>
    <w:rsid w:val="0037474A"/>
    <w:rsid w:val="00374763"/>
    <w:rsid w:val="00374784"/>
    <w:rsid w:val="0037478E"/>
    <w:rsid w:val="00374826"/>
    <w:rsid w:val="00374866"/>
    <w:rsid w:val="0037486B"/>
    <w:rsid w:val="00374872"/>
    <w:rsid w:val="003748AF"/>
    <w:rsid w:val="003748C0"/>
    <w:rsid w:val="003748C3"/>
    <w:rsid w:val="0037490C"/>
    <w:rsid w:val="00374945"/>
    <w:rsid w:val="00374965"/>
    <w:rsid w:val="0037497C"/>
    <w:rsid w:val="003749B1"/>
    <w:rsid w:val="003749F6"/>
    <w:rsid w:val="003749FF"/>
    <w:rsid w:val="00374A38"/>
    <w:rsid w:val="00374AC0"/>
    <w:rsid w:val="00374AD2"/>
    <w:rsid w:val="00374B28"/>
    <w:rsid w:val="00374B34"/>
    <w:rsid w:val="00374B3E"/>
    <w:rsid w:val="00374B53"/>
    <w:rsid w:val="00374B61"/>
    <w:rsid w:val="00374B8E"/>
    <w:rsid w:val="00374BD0"/>
    <w:rsid w:val="00374C60"/>
    <w:rsid w:val="00374C74"/>
    <w:rsid w:val="00374C80"/>
    <w:rsid w:val="00374C9D"/>
    <w:rsid w:val="00374CAE"/>
    <w:rsid w:val="00374CB7"/>
    <w:rsid w:val="00374D20"/>
    <w:rsid w:val="00374D5C"/>
    <w:rsid w:val="00374D8B"/>
    <w:rsid w:val="00374D97"/>
    <w:rsid w:val="00374DB1"/>
    <w:rsid w:val="00374DFC"/>
    <w:rsid w:val="00374E04"/>
    <w:rsid w:val="00374E7B"/>
    <w:rsid w:val="00374E95"/>
    <w:rsid w:val="00374E96"/>
    <w:rsid w:val="00374E97"/>
    <w:rsid w:val="00374EAF"/>
    <w:rsid w:val="00374EC8"/>
    <w:rsid w:val="00374EE6"/>
    <w:rsid w:val="00374FC5"/>
    <w:rsid w:val="00374FD0"/>
    <w:rsid w:val="00374FDC"/>
    <w:rsid w:val="00375032"/>
    <w:rsid w:val="0037506B"/>
    <w:rsid w:val="003750CF"/>
    <w:rsid w:val="00375106"/>
    <w:rsid w:val="00375121"/>
    <w:rsid w:val="003751EE"/>
    <w:rsid w:val="00375207"/>
    <w:rsid w:val="0037520A"/>
    <w:rsid w:val="00375240"/>
    <w:rsid w:val="0037526F"/>
    <w:rsid w:val="00375272"/>
    <w:rsid w:val="00375293"/>
    <w:rsid w:val="003752A2"/>
    <w:rsid w:val="003752B2"/>
    <w:rsid w:val="003752CD"/>
    <w:rsid w:val="003752FC"/>
    <w:rsid w:val="00375319"/>
    <w:rsid w:val="0037532D"/>
    <w:rsid w:val="00375346"/>
    <w:rsid w:val="00375362"/>
    <w:rsid w:val="003753D4"/>
    <w:rsid w:val="003753E9"/>
    <w:rsid w:val="00375411"/>
    <w:rsid w:val="00375459"/>
    <w:rsid w:val="0037546F"/>
    <w:rsid w:val="003754B7"/>
    <w:rsid w:val="003754D6"/>
    <w:rsid w:val="003754DC"/>
    <w:rsid w:val="003754F5"/>
    <w:rsid w:val="00375538"/>
    <w:rsid w:val="0037554C"/>
    <w:rsid w:val="00375562"/>
    <w:rsid w:val="00375599"/>
    <w:rsid w:val="003755C5"/>
    <w:rsid w:val="003755D4"/>
    <w:rsid w:val="003755F1"/>
    <w:rsid w:val="0037560C"/>
    <w:rsid w:val="0037560F"/>
    <w:rsid w:val="0037565A"/>
    <w:rsid w:val="0037569C"/>
    <w:rsid w:val="003756A4"/>
    <w:rsid w:val="003756D1"/>
    <w:rsid w:val="00375771"/>
    <w:rsid w:val="00375783"/>
    <w:rsid w:val="003757A6"/>
    <w:rsid w:val="003757AB"/>
    <w:rsid w:val="003757BB"/>
    <w:rsid w:val="00375836"/>
    <w:rsid w:val="00375863"/>
    <w:rsid w:val="00375885"/>
    <w:rsid w:val="00375888"/>
    <w:rsid w:val="00375897"/>
    <w:rsid w:val="003758A1"/>
    <w:rsid w:val="003758D8"/>
    <w:rsid w:val="00375927"/>
    <w:rsid w:val="0037596B"/>
    <w:rsid w:val="003759D7"/>
    <w:rsid w:val="003759ED"/>
    <w:rsid w:val="00375A08"/>
    <w:rsid w:val="00375A40"/>
    <w:rsid w:val="00375A48"/>
    <w:rsid w:val="00375A4C"/>
    <w:rsid w:val="00375A65"/>
    <w:rsid w:val="00375A83"/>
    <w:rsid w:val="00375AA2"/>
    <w:rsid w:val="00375ADF"/>
    <w:rsid w:val="00375AEF"/>
    <w:rsid w:val="00375B0A"/>
    <w:rsid w:val="00375B38"/>
    <w:rsid w:val="00375B3B"/>
    <w:rsid w:val="00375B45"/>
    <w:rsid w:val="00375B54"/>
    <w:rsid w:val="00375B6A"/>
    <w:rsid w:val="00375B7B"/>
    <w:rsid w:val="00375B7D"/>
    <w:rsid w:val="00375B97"/>
    <w:rsid w:val="00375BE6"/>
    <w:rsid w:val="00375C58"/>
    <w:rsid w:val="00375C64"/>
    <w:rsid w:val="00375CAC"/>
    <w:rsid w:val="00375CF2"/>
    <w:rsid w:val="00375D12"/>
    <w:rsid w:val="00375D1C"/>
    <w:rsid w:val="00375D1F"/>
    <w:rsid w:val="00375D43"/>
    <w:rsid w:val="00375D99"/>
    <w:rsid w:val="00375DD1"/>
    <w:rsid w:val="00375DE3"/>
    <w:rsid w:val="00375E00"/>
    <w:rsid w:val="00375E08"/>
    <w:rsid w:val="00375E35"/>
    <w:rsid w:val="00375E46"/>
    <w:rsid w:val="00375E7B"/>
    <w:rsid w:val="00375EC2"/>
    <w:rsid w:val="00375ECD"/>
    <w:rsid w:val="00375F02"/>
    <w:rsid w:val="00375F10"/>
    <w:rsid w:val="00375F12"/>
    <w:rsid w:val="00375F2E"/>
    <w:rsid w:val="00375F30"/>
    <w:rsid w:val="00375F37"/>
    <w:rsid w:val="00375F98"/>
    <w:rsid w:val="00375FCF"/>
    <w:rsid w:val="00375FD0"/>
    <w:rsid w:val="00375FF1"/>
    <w:rsid w:val="0037602B"/>
    <w:rsid w:val="00376050"/>
    <w:rsid w:val="00376067"/>
    <w:rsid w:val="0037609A"/>
    <w:rsid w:val="003760BA"/>
    <w:rsid w:val="003760C0"/>
    <w:rsid w:val="003760C5"/>
    <w:rsid w:val="00376116"/>
    <w:rsid w:val="0037617A"/>
    <w:rsid w:val="003761B6"/>
    <w:rsid w:val="003761E8"/>
    <w:rsid w:val="003761F1"/>
    <w:rsid w:val="00376262"/>
    <w:rsid w:val="00376276"/>
    <w:rsid w:val="0037629D"/>
    <w:rsid w:val="003762E3"/>
    <w:rsid w:val="003762ED"/>
    <w:rsid w:val="00376308"/>
    <w:rsid w:val="00376312"/>
    <w:rsid w:val="00376343"/>
    <w:rsid w:val="00376403"/>
    <w:rsid w:val="00376428"/>
    <w:rsid w:val="00376457"/>
    <w:rsid w:val="00376471"/>
    <w:rsid w:val="00376494"/>
    <w:rsid w:val="003764CB"/>
    <w:rsid w:val="003764FE"/>
    <w:rsid w:val="00376511"/>
    <w:rsid w:val="00376575"/>
    <w:rsid w:val="003765BE"/>
    <w:rsid w:val="003765D0"/>
    <w:rsid w:val="003765DE"/>
    <w:rsid w:val="00376600"/>
    <w:rsid w:val="0037664D"/>
    <w:rsid w:val="00376686"/>
    <w:rsid w:val="0037669D"/>
    <w:rsid w:val="00376746"/>
    <w:rsid w:val="0037674C"/>
    <w:rsid w:val="00376785"/>
    <w:rsid w:val="00376788"/>
    <w:rsid w:val="003767E4"/>
    <w:rsid w:val="00376805"/>
    <w:rsid w:val="00376844"/>
    <w:rsid w:val="00376846"/>
    <w:rsid w:val="0037684D"/>
    <w:rsid w:val="00376853"/>
    <w:rsid w:val="0037685F"/>
    <w:rsid w:val="003768B9"/>
    <w:rsid w:val="003768CB"/>
    <w:rsid w:val="003768F3"/>
    <w:rsid w:val="00376910"/>
    <w:rsid w:val="00376929"/>
    <w:rsid w:val="00376931"/>
    <w:rsid w:val="00376948"/>
    <w:rsid w:val="0037694B"/>
    <w:rsid w:val="0037695C"/>
    <w:rsid w:val="00376971"/>
    <w:rsid w:val="0037698D"/>
    <w:rsid w:val="003769C0"/>
    <w:rsid w:val="003769C6"/>
    <w:rsid w:val="003769E8"/>
    <w:rsid w:val="00376A13"/>
    <w:rsid w:val="00376A49"/>
    <w:rsid w:val="00376A84"/>
    <w:rsid w:val="00376A96"/>
    <w:rsid w:val="00376AD9"/>
    <w:rsid w:val="00376AE3"/>
    <w:rsid w:val="00376B6C"/>
    <w:rsid w:val="00376B74"/>
    <w:rsid w:val="00376BAB"/>
    <w:rsid w:val="00376BC3"/>
    <w:rsid w:val="00376BD0"/>
    <w:rsid w:val="00376BF0"/>
    <w:rsid w:val="00376C06"/>
    <w:rsid w:val="00376C10"/>
    <w:rsid w:val="00376C3F"/>
    <w:rsid w:val="00376C50"/>
    <w:rsid w:val="00376C54"/>
    <w:rsid w:val="00376C90"/>
    <w:rsid w:val="00376C99"/>
    <w:rsid w:val="00376CA1"/>
    <w:rsid w:val="00376CED"/>
    <w:rsid w:val="00376D0F"/>
    <w:rsid w:val="00376D19"/>
    <w:rsid w:val="00376D4F"/>
    <w:rsid w:val="00376D85"/>
    <w:rsid w:val="00376D88"/>
    <w:rsid w:val="00376DBF"/>
    <w:rsid w:val="00376E69"/>
    <w:rsid w:val="00376EAF"/>
    <w:rsid w:val="00376EB9"/>
    <w:rsid w:val="00376F5C"/>
    <w:rsid w:val="00376FF0"/>
    <w:rsid w:val="00376FF1"/>
    <w:rsid w:val="00376FF8"/>
    <w:rsid w:val="00377017"/>
    <w:rsid w:val="00377044"/>
    <w:rsid w:val="00377059"/>
    <w:rsid w:val="003770C0"/>
    <w:rsid w:val="003770D4"/>
    <w:rsid w:val="003770FB"/>
    <w:rsid w:val="003770FE"/>
    <w:rsid w:val="0037714E"/>
    <w:rsid w:val="00377173"/>
    <w:rsid w:val="00377187"/>
    <w:rsid w:val="003771A1"/>
    <w:rsid w:val="00377291"/>
    <w:rsid w:val="00377301"/>
    <w:rsid w:val="00377336"/>
    <w:rsid w:val="00377357"/>
    <w:rsid w:val="00377377"/>
    <w:rsid w:val="00377396"/>
    <w:rsid w:val="0037739B"/>
    <w:rsid w:val="003773A8"/>
    <w:rsid w:val="003773C5"/>
    <w:rsid w:val="003773C6"/>
    <w:rsid w:val="003773E6"/>
    <w:rsid w:val="003773F2"/>
    <w:rsid w:val="00377407"/>
    <w:rsid w:val="00377420"/>
    <w:rsid w:val="00377447"/>
    <w:rsid w:val="0037745D"/>
    <w:rsid w:val="00377471"/>
    <w:rsid w:val="00377480"/>
    <w:rsid w:val="0037748B"/>
    <w:rsid w:val="00377501"/>
    <w:rsid w:val="0037752F"/>
    <w:rsid w:val="0037755B"/>
    <w:rsid w:val="00377593"/>
    <w:rsid w:val="00377676"/>
    <w:rsid w:val="00377681"/>
    <w:rsid w:val="0037771B"/>
    <w:rsid w:val="00377721"/>
    <w:rsid w:val="00377747"/>
    <w:rsid w:val="00377751"/>
    <w:rsid w:val="00377753"/>
    <w:rsid w:val="0037776D"/>
    <w:rsid w:val="00377780"/>
    <w:rsid w:val="003777B7"/>
    <w:rsid w:val="003777D8"/>
    <w:rsid w:val="00377841"/>
    <w:rsid w:val="00377846"/>
    <w:rsid w:val="00377853"/>
    <w:rsid w:val="0037785B"/>
    <w:rsid w:val="00377891"/>
    <w:rsid w:val="003778AD"/>
    <w:rsid w:val="003778C5"/>
    <w:rsid w:val="003778CC"/>
    <w:rsid w:val="003778E2"/>
    <w:rsid w:val="003778F0"/>
    <w:rsid w:val="00377937"/>
    <w:rsid w:val="0037797F"/>
    <w:rsid w:val="0037798E"/>
    <w:rsid w:val="003779F7"/>
    <w:rsid w:val="00377A69"/>
    <w:rsid w:val="00377A78"/>
    <w:rsid w:val="00377A87"/>
    <w:rsid w:val="00377A8F"/>
    <w:rsid w:val="00377B65"/>
    <w:rsid w:val="00377B7A"/>
    <w:rsid w:val="00377B9C"/>
    <w:rsid w:val="00377BBE"/>
    <w:rsid w:val="00377C1B"/>
    <w:rsid w:val="00377C1E"/>
    <w:rsid w:val="00377C23"/>
    <w:rsid w:val="00377C2B"/>
    <w:rsid w:val="00377C84"/>
    <w:rsid w:val="00377C91"/>
    <w:rsid w:val="00377CA4"/>
    <w:rsid w:val="00377CA8"/>
    <w:rsid w:val="00377CCC"/>
    <w:rsid w:val="00377CE9"/>
    <w:rsid w:val="00377D1C"/>
    <w:rsid w:val="00377D2D"/>
    <w:rsid w:val="00377D33"/>
    <w:rsid w:val="00377D94"/>
    <w:rsid w:val="00377D99"/>
    <w:rsid w:val="00377DAE"/>
    <w:rsid w:val="00377DB3"/>
    <w:rsid w:val="00377DB5"/>
    <w:rsid w:val="00377DCA"/>
    <w:rsid w:val="00377DDC"/>
    <w:rsid w:val="00377E45"/>
    <w:rsid w:val="00377E67"/>
    <w:rsid w:val="00377E81"/>
    <w:rsid w:val="00377E82"/>
    <w:rsid w:val="00377EA5"/>
    <w:rsid w:val="00377EDA"/>
    <w:rsid w:val="00377EEA"/>
    <w:rsid w:val="00377F1D"/>
    <w:rsid w:val="00377F42"/>
    <w:rsid w:val="00377F74"/>
    <w:rsid w:val="00377F91"/>
    <w:rsid w:val="00377FB1"/>
    <w:rsid w:val="00377FFB"/>
    <w:rsid w:val="00380011"/>
    <w:rsid w:val="00380014"/>
    <w:rsid w:val="00380055"/>
    <w:rsid w:val="0038007B"/>
    <w:rsid w:val="0038009C"/>
    <w:rsid w:val="003800E8"/>
    <w:rsid w:val="003800F8"/>
    <w:rsid w:val="0038012C"/>
    <w:rsid w:val="003801DA"/>
    <w:rsid w:val="003801F5"/>
    <w:rsid w:val="00380225"/>
    <w:rsid w:val="00380286"/>
    <w:rsid w:val="00380289"/>
    <w:rsid w:val="003802C7"/>
    <w:rsid w:val="003802F6"/>
    <w:rsid w:val="00380375"/>
    <w:rsid w:val="003803B2"/>
    <w:rsid w:val="003803BA"/>
    <w:rsid w:val="00380454"/>
    <w:rsid w:val="00380462"/>
    <w:rsid w:val="00380463"/>
    <w:rsid w:val="0038046D"/>
    <w:rsid w:val="00380480"/>
    <w:rsid w:val="003804EA"/>
    <w:rsid w:val="00380506"/>
    <w:rsid w:val="00380514"/>
    <w:rsid w:val="00380546"/>
    <w:rsid w:val="0038055A"/>
    <w:rsid w:val="003805C0"/>
    <w:rsid w:val="00380629"/>
    <w:rsid w:val="00380668"/>
    <w:rsid w:val="00380683"/>
    <w:rsid w:val="003806A5"/>
    <w:rsid w:val="003806B1"/>
    <w:rsid w:val="003806BC"/>
    <w:rsid w:val="003806CC"/>
    <w:rsid w:val="003806EC"/>
    <w:rsid w:val="003806F6"/>
    <w:rsid w:val="00380723"/>
    <w:rsid w:val="00380724"/>
    <w:rsid w:val="00380725"/>
    <w:rsid w:val="00380748"/>
    <w:rsid w:val="0038074E"/>
    <w:rsid w:val="00380750"/>
    <w:rsid w:val="0038078E"/>
    <w:rsid w:val="003807C0"/>
    <w:rsid w:val="003807F4"/>
    <w:rsid w:val="00380811"/>
    <w:rsid w:val="00380841"/>
    <w:rsid w:val="00380861"/>
    <w:rsid w:val="003808C2"/>
    <w:rsid w:val="003808F9"/>
    <w:rsid w:val="00380906"/>
    <w:rsid w:val="00380920"/>
    <w:rsid w:val="0038094F"/>
    <w:rsid w:val="0038095C"/>
    <w:rsid w:val="00380964"/>
    <w:rsid w:val="00380980"/>
    <w:rsid w:val="003809AD"/>
    <w:rsid w:val="003809D2"/>
    <w:rsid w:val="003809D7"/>
    <w:rsid w:val="003809E2"/>
    <w:rsid w:val="00380A8E"/>
    <w:rsid w:val="00380AF2"/>
    <w:rsid w:val="00380B12"/>
    <w:rsid w:val="00380B20"/>
    <w:rsid w:val="00380B5E"/>
    <w:rsid w:val="00380B66"/>
    <w:rsid w:val="00380B82"/>
    <w:rsid w:val="00380B9B"/>
    <w:rsid w:val="00380BC0"/>
    <w:rsid w:val="00380BD0"/>
    <w:rsid w:val="00380C02"/>
    <w:rsid w:val="00380C0C"/>
    <w:rsid w:val="00380C0D"/>
    <w:rsid w:val="00380C1C"/>
    <w:rsid w:val="00380C55"/>
    <w:rsid w:val="00380CE8"/>
    <w:rsid w:val="00380D7C"/>
    <w:rsid w:val="00380DE1"/>
    <w:rsid w:val="00380E1B"/>
    <w:rsid w:val="00380E41"/>
    <w:rsid w:val="00380E55"/>
    <w:rsid w:val="00380EC6"/>
    <w:rsid w:val="00380EFF"/>
    <w:rsid w:val="00380F1D"/>
    <w:rsid w:val="00380F3A"/>
    <w:rsid w:val="00380F6C"/>
    <w:rsid w:val="00380FC1"/>
    <w:rsid w:val="00380FD6"/>
    <w:rsid w:val="00380FEF"/>
    <w:rsid w:val="00380FF9"/>
    <w:rsid w:val="00380FFB"/>
    <w:rsid w:val="00381009"/>
    <w:rsid w:val="00381020"/>
    <w:rsid w:val="0038106A"/>
    <w:rsid w:val="003810B7"/>
    <w:rsid w:val="003810DF"/>
    <w:rsid w:val="003810EA"/>
    <w:rsid w:val="003810F9"/>
    <w:rsid w:val="00381115"/>
    <w:rsid w:val="00381125"/>
    <w:rsid w:val="0038114A"/>
    <w:rsid w:val="0038117C"/>
    <w:rsid w:val="00381182"/>
    <w:rsid w:val="00381193"/>
    <w:rsid w:val="00381196"/>
    <w:rsid w:val="00381198"/>
    <w:rsid w:val="00381232"/>
    <w:rsid w:val="0038125A"/>
    <w:rsid w:val="0038129D"/>
    <w:rsid w:val="003812BB"/>
    <w:rsid w:val="003812D9"/>
    <w:rsid w:val="003812F6"/>
    <w:rsid w:val="00381308"/>
    <w:rsid w:val="00381317"/>
    <w:rsid w:val="00381318"/>
    <w:rsid w:val="00381338"/>
    <w:rsid w:val="00381344"/>
    <w:rsid w:val="0038137B"/>
    <w:rsid w:val="00381392"/>
    <w:rsid w:val="0038139A"/>
    <w:rsid w:val="00381422"/>
    <w:rsid w:val="00381426"/>
    <w:rsid w:val="0038142D"/>
    <w:rsid w:val="00381443"/>
    <w:rsid w:val="00381452"/>
    <w:rsid w:val="0038145D"/>
    <w:rsid w:val="00381490"/>
    <w:rsid w:val="003814A4"/>
    <w:rsid w:val="003814B0"/>
    <w:rsid w:val="003814B5"/>
    <w:rsid w:val="003814B9"/>
    <w:rsid w:val="003814FD"/>
    <w:rsid w:val="00381543"/>
    <w:rsid w:val="0038156C"/>
    <w:rsid w:val="00381597"/>
    <w:rsid w:val="00381599"/>
    <w:rsid w:val="0038159A"/>
    <w:rsid w:val="003815D5"/>
    <w:rsid w:val="00381602"/>
    <w:rsid w:val="00381604"/>
    <w:rsid w:val="00381623"/>
    <w:rsid w:val="0038162A"/>
    <w:rsid w:val="0038162F"/>
    <w:rsid w:val="0038163D"/>
    <w:rsid w:val="00381702"/>
    <w:rsid w:val="00381738"/>
    <w:rsid w:val="0038178B"/>
    <w:rsid w:val="003817C7"/>
    <w:rsid w:val="00381848"/>
    <w:rsid w:val="00381851"/>
    <w:rsid w:val="00381866"/>
    <w:rsid w:val="00381884"/>
    <w:rsid w:val="00381888"/>
    <w:rsid w:val="0038188A"/>
    <w:rsid w:val="003818D4"/>
    <w:rsid w:val="003818EB"/>
    <w:rsid w:val="00381912"/>
    <w:rsid w:val="0038191F"/>
    <w:rsid w:val="0038194A"/>
    <w:rsid w:val="00381962"/>
    <w:rsid w:val="0038197A"/>
    <w:rsid w:val="003819A7"/>
    <w:rsid w:val="003819C0"/>
    <w:rsid w:val="003819C3"/>
    <w:rsid w:val="003819E3"/>
    <w:rsid w:val="003819F4"/>
    <w:rsid w:val="00381A00"/>
    <w:rsid w:val="00381A19"/>
    <w:rsid w:val="00381A38"/>
    <w:rsid w:val="00381A70"/>
    <w:rsid w:val="00381AD9"/>
    <w:rsid w:val="00381B0E"/>
    <w:rsid w:val="00381B8D"/>
    <w:rsid w:val="00381BAB"/>
    <w:rsid w:val="00381BB3"/>
    <w:rsid w:val="00381BC2"/>
    <w:rsid w:val="00381BD2"/>
    <w:rsid w:val="00381C5C"/>
    <w:rsid w:val="00381C9B"/>
    <w:rsid w:val="00381CCF"/>
    <w:rsid w:val="00381CFC"/>
    <w:rsid w:val="00381D5F"/>
    <w:rsid w:val="00381D6B"/>
    <w:rsid w:val="00381D79"/>
    <w:rsid w:val="00381D8B"/>
    <w:rsid w:val="00381D9B"/>
    <w:rsid w:val="00381DB3"/>
    <w:rsid w:val="00381DC7"/>
    <w:rsid w:val="00381DF7"/>
    <w:rsid w:val="00381E22"/>
    <w:rsid w:val="00381E97"/>
    <w:rsid w:val="00381F2E"/>
    <w:rsid w:val="00381F3A"/>
    <w:rsid w:val="00381F8B"/>
    <w:rsid w:val="00381F98"/>
    <w:rsid w:val="00381FBE"/>
    <w:rsid w:val="00381FD3"/>
    <w:rsid w:val="00381FE2"/>
    <w:rsid w:val="00381FEA"/>
    <w:rsid w:val="0038201A"/>
    <w:rsid w:val="0038201E"/>
    <w:rsid w:val="00382038"/>
    <w:rsid w:val="0038206E"/>
    <w:rsid w:val="00382071"/>
    <w:rsid w:val="003820A0"/>
    <w:rsid w:val="003820AC"/>
    <w:rsid w:val="003820AF"/>
    <w:rsid w:val="003820D6"/>
    <w:rsid w:val="003820E0"/>
    <w:rsid w:val="00382117"/>
    <w:rsid w:val="0038212D"/>
    <w:rsid w:val="00382135"/>
    <w:rsid w:val="00382152"/>
    <w:rsid w:val="0038216A"/>
    <w:rsid w:val="003821AC"/>
    <w:rsid w:val="003821E4"/>
    <w:rsid w:val="00382264"/>
    <w:rsid w:val="0038226A"/>
    <w:rsid w:val="003822C2"/>
    <w:rsid w:val="003822C6"/>
    <w:rsid w:val="003822DA"/>
    <w:rsid w:val="0038230D"/>
    <w:rsid w:val="00382317"/>
    <w:rsid w:val="0038231C"/>
    <w:rsid w:val="00382343"/>
    <w:rsid w:val="00382349"/>
    <w:rsid w:val="00382353"/>
    <w:rsid w:val="00382407"/>
    <w:rsid w:val="00382454"/>
    <w:rsid w:val="00382463"/>
    <w:rsid w:val="00382482"/>
    <w:rsid w:val="003824FB"/>
    <w:rsid w:val="00382502"/>
    <w:rsid w:val="00382504"/>
    <w:rsid w:val="00382522"/>
    <w:rsid w:val="00382538"/>
    <w:rsid w:val="00382541"/>
    <w:rsid w:val="00382576"/>
    <w:rsid w:val="00382582"/>
    <w:rsid w:val="00382608"/>
    <w:rsid w:val="0038262C"/>
    <w:rsid w:val="003826F5"/>
    <w:rsid w:val="0038271E"/>
    <w:rsid w:val="00382722"/>
    <w:rsid w:val="00382734"/>
    <w:rsid w:val="00382770"/>
    <w:rsid w:val="0038278C"/>
    <w:rsid w:val="003827C2"/>
    <w:rsid w:val="003827EE"/>
    <w:rsid w:val="0038283A"/>
    <w:rsid w:val="0038288F"/>
    <w:rsid w:val="0038289D"/>
    <w:rsid w:val="003828E4"/>
    <w:rsid w:val="003828FE"/>
    <w:rsid w:val="0038292C"/>
    <w:rsid w:val="00382945"/>
    <w:rsid w:val="00382950"/>
    <w:rsid w:val="00382959"/>
    <w:rsid w:val="00382986"/>
    <w:rsid w:val="00382988"/>
    <w:rsid w:val="00382994"/>
    <w:rsid w:val="00382A23"/>
    <w:rsid w:val="00382A2A"/>
    <w:rsid w:val="00382A92"/>
    <w:rsid w:val="00382A9D"/>
    <w:rsid w:val="00382ADC"/>
    <w:rsid w:val="00382B01"/>
    <w:rsid w:val="00382B23"/>
    <w:rsid w:val="00382B45"/>
    <w:rsid w:val="00382B5D"/>
    <w:rsid w:val="00382B60"/>
    <w:rsid w:val="00382B8E"/>
    <w:rsid w:val="00382B8F"/>
    <w:rsid w:val="00382BB7"/>
    <w:rsid w:val="00382BB9"/>
    <w:rsid w:val="00382BE7"/>
    <w:rsid w:val="00382C17"/>
    <w:rsid w:val="00382C42"/>
    <w:rsid w:val="00382CFB"/>
    <w:rsid w:val="00382CFD"/>
    <w:rsid w:val="00382D32"/>
    <w:rsid w:val="00382D79"/>
    <w:rsid w:val="00382DFD"/>
    <w:rsid w:val="00382E4B"/>
    <w:rsid w:val="00382E66"/>
    <w:rsid w:val="00382F00"/>
    <w:rsid w:val="00382F01"/>
    <w:rsid w:val="00382F77"/>
    <w:rsid w:val="00382FD2"/>
    <w:rsid w:val="00383011"/>
    <w:rsid w:val="00383014"/>
    <w:rsid w:val="0038308F"/>
    <w:rsid w:val="0038309F"/>
    <w:rsid w:val="003830A8"/>
    <w:rsid w:val="003830B0"/>
    <w:rsid w:val="003830F4"/>
    <w:rsid w:val="00383159"/>
    <w:rsid w:val="00383161"/>
    <w:rsid w:val="003831F0"/>
    <w:rsid w:val="0038321E"/>
    <w:rsid w:val="00383222"/>
    <w:rsid w:val="00383240"/>
    <w:rsid w:val="00383249"/>
    <w:rsid w:val="00383253"/>
    <w:rsid w:val="0038328D"/>
    <w:rsid w:val="00383292"/>
    <w:rsid w:val="003832C3"/>
    <w:rsid w:val="003832E6"/>
    <w:rsid w:val="003832F2"/>
    <w:rsid w:val="003832F3"/>
    <w:rsid w:val="0038331A"/>
    <w:rsid w:val="00383362"/>
    <w:rsid w:val="00383363"/>
    <w:rsid w:val="00383384"/>
    <w:rsid w:val="003833C0"/>
    <w:rsid w:val="003833C9"/>
    <w:rsid w:val="003833CC"/>
    <w:rsid w:val="003833CD"/>
    <w:rsid w:val="003833F0"/>
    <w:rsid w:val="003833F4"/>
    <w:rsid w:val="003833F9"/>
    <w:rsid w:val="003833FE"/>
    <w:rsid w:val="0038341D"/>
    <w:rsid w:val="00383434"/>
    <w:rsid w:val="00383459"/>
    <w:rsid w:val="00383488"/>
    <w:rsid w:val="003834EF"/>
    <w:rsid w:val="00383504"/>
    <w:rsid w:val="00383549"/>
    <w:rsid w:val="00383573"/>
    <w:rsid w:val="0038359B"/>
    <w:rsid w:val="003835DF"/>
    <w:rsid w:val="00383609"/>
    <w:rsid w:val="00383659"/>
    <w:rsid w:val="00383670"/>
    <w:rsid w:val="003836B6"/>
    <w:rsid w:val="003836D5"/>
    <w:rsid w:val="00383701"/>
    <w:rsid w:val="00383717"/>
    <w:rsid w:val="00383729"/>
    <w:rsid w:val="00383763"/>
    <w:rsid w:val="0038376B"/>
    <w:rsid w:val="003837FB"/>
    <w:rsid w:val="00383827"/>
    <w:rsid w:val="00383837"/>
    <w:rsid w:val="0038383A"/>
    <w:rsid w:val="003838EF"/>
    <w:rsid w:val="0038396B"/>
    <w:rsid w:val="0038399D"/>
    <w:rsid w:val="003839C5"/>
    <w:rsid w:val="003839E3"/>
    <w:rsid w:val="00383A9D"/>
    <w:rsid w:val="00383AB3"/>
    <w:rsid w:val="00383AF5"/>
    <w:rsid w:val="00383B06"/>
    <w:rsid w:val="00383B0F"/>
    <w:rsid w:val="00383B44"/>
    <w:rsid w:val="00383B9A"/>
    <w:rsid w:val="00383BB1"/>
    <w:rsid w:val="00383BD0"/>
    <w:rsid w:val="00383C92"/>
    <w:rsid w:val="00383CA5"/>
    <w:rsid w:val="00383CC2"/>
    <w:rsid w:val="00383CC6"/>
    <w:rsid w:val="00383CEB"/>
    <w:rsid w:val="00383DB1"/>
    <w:rsid w:val="00383DB8"/>
    <w:rsid w:val="00383E1C"/>
    <w:rsid w:val="00383E2C"/>
    <w:rsid w:val="00383E8A"/>
    <w:rsid w:val="00383F0B"/>
    <w:rsid w:val="00383F0C"/>
    <w:rsid w:val="00383F28"/>
    <w:rsid w:val="00383F2E"/>
    <w:rsid w:val="00383F6A"/>
    <w:rsid w:val="00383FB9"/>
    <w:rsid w:val="00383FBC"/>
    <w:rsid w:val="00383FD6"/>
    <w:rsid w:val="00383FF7"/>
    <w:rsid w:val="00384003"/>
    <w:rsid w:val="0038407D"/>
    <w:rsid w:val="00384086"/>
    <w:rsid w:val="00384092"/>
    <w:rsid w:val="003840C9"/>
    <w:rsid w:val="003840DD"/>
    <w:rsid w:val="003840F3"/>
    <w:rsid w:val="00384109"/>
    <w:rsid w:val="0038410A"/>
    <w:rsid w:val="003841AE"/>
    <w:rsid w:val="003841C4"/>
    <w:rsid w:val="003841DE"/>
    <w:rsid w:val="00384258"/>
    <w:rsid w:val="0038425B"/>
    <w:rsid w:val="0038426B"/>
    <w:rsid w:val="00384279"/>
    <w:rsid w:val="003842DD"/>
    <w:rsid w:val="00384304"/>
    <w:rsid w:val="00384333"/>
    <w:rsid w:val="0038438E"/>
    <w:rsid w:val="00384390"/>
    <w:rsid w:val="00384391"/>
    <w:rsid w:val="003843AF"/>
    <w:rsid w:val="003843B1"/>
    <w:rsid w:val="003843DA"/>
    <w:rsid w:val="00384403"/>
    <w:rsid w:val="0038440C"/>
    <w:rsid w:val="0038440E"/>
    <w:rsid w:val="00384439"/>
    <w:rsid w:val="00384442"/>
    <w:rsid w:val="00384459"/>
    <w:rsid w:val="00384492"/>
    <w:rsid w:val="003844A2"/>
    <w:rsid w:val="0038450A"/>
    <w:rsid w:val="0038452B"/>
    <w:rsid w:val="003845A3"/>
    <w:rsid w:val="003845B0"/>
    <w:rsid w:val="003845BB"/>
    <w:rsid w:val="003845C6"/>
    <w:rsid w:val="003845D2"/>
    <w:rsid w:val="003845EF"/>
    <w:rsid w:val="0038461E"/>
    <w:rsid w:val="00384624"/>
    <w:rsid w:val="00384639"/>
    <w:rsid w:val="00384648"/>
    <w:rsid w:val="00384654"/>
    <w:rsid w:val="00384682"/>
    <w:rsid w:val="003846A6"/>
    <w:rsid w:val="003846C6"/>
    <w:rsid w:val="00384703"/>
    <w:rsid w:val="00384704"/>
    <w:rsid w:val="00384746"/>
    <w:rsid w:val="0038478F"/>
    <w:rsid w:val="00384855"/>
    <w:rsid w:val="0038485F"/>
    <w:rsid w:val="00384881"/>
    <w:rsid w:val="00384884"/>
    <w:rsid w:val="003848D1"/>
    <w:rsid w:val="0038490F"/>
    <w:rsid w:val="00384916"/>
    <w:rsid w:val="0038492E"/>
    <w:rsid w:val="0038493A"/>
    <w:rsid w:val="0038494A"/>
    <w:rsid w:val="0038494F"/>
    <w:rsid w:val="00384985"/>
    <w:rsid w:val="003849B4"/>
    <w:rsid w:val="003849B8"/>
    <w:rsid w:val="003849BC"/>
    <w:rsid w:val="003849EB"/>
    <w:rsid w:val="003849F8"/>
    <w:rsid w:val="00384A59"/>
    <w:rsid w:val="00384A83"/>
    <w:rsid w:val="00384A9A"/>
    <w:rsid w:val="00384AA5"/>
    <w:rsid w:val="00384AA9"/>
    <w:rsid w:val="00384ABD"/>
    <w:rsid w:val="00384AF1"/>
    <w:rsid w:val="00384B05"/>
    <w:rsid w:val="00384B7B"/>
    <w:rsid w:val="00384B90"/>
    <w:rsid w:val="00384BAA"/>
    <w:rsid w:val="00384BE8"/>
    <w:rsid w:val="00384BF1"/>
    <w:rsid w:val="00384C02"/>
    <w:rsid w:val="00384C42"/>
    <w:rsid w:val="00384C4B"/>
    <w:rsid w:val="00384C75"/>
    <w:rsid w:val="00384CBF"/>
    <w:rsid w:val="00384D36"/>
    <w:rsid w:val="00384D42"/>
    <w:rsid w:val="00384D4B"/>
    <w:rsid w:val="00384D4C"/>
    <w:rsid w:val="00384D6D"/>
    <w:rsid w:val="00384D7F"/>
    <w:rsid w:val="00384D9B"/>
    <w:rsid w:val="00384D9C"/>
    <w:rsid w:val="00384DA2"/>
    <w:rsid w:val="00384E02"/>
    <w:rsid w:val="00384E39"/>
    <w:rsid w:val="00384E7E"/>
    <w:rsid w:val="00384E88"/>
    <w:rsid w:val="00384EA1"/>
    <w:rsid w:val="00384EDC"/>
    <w:rsid w:val="00384EE4"/>
    <w:rsid w:val="00384F6C"/>
    <w:rsid w:val="00384F78"/>
    <w:rsid w:val="00384F83"/>
    <w:rsid w:val="00384FAE"/>
    <w:rsid w:val="00384FF8"/>
    <w:rsid w:val="00384FFD"/>
    <w:rsid w:val="0038502C"/>
    <w:rsid w:val="0038503A"/>
    <w:rsid w:val="0038506F"/>
    <w:rsid w:val="00385071"/>
    <w:rsid w:val="003850FC"/>
    <w:rsid w:val="00385159"/>
    <w:rsid w:val="003851AC"/>
    <w:rsid w:val="00385202"/>
    <w:rsid w:val="00385224"/>
    <w:rsid w:val="00385246"/>
    <w:rsid w:val="0038524B"/>
    <w:rsid w:val="0038527F"/>
    <w:rsid w:val="003852D4"/>
    <w:rsid w:val="003852DD"/>
    <w:rsid w:val="003852E2"/>
    <w:rsid w:val="003852E4"/>
    <w:rsid w:val="003852FA"/>
    <w:rsid w:val="0038530A"/>
    <w:rsid w:val="00385338"/>
    <w:rsid w:val="0038535F"/>
    <w:rsid w:val="00385390"/>
    <w:rsid w:val="003853B7"/>
    <w:rsid w:val="003853C6"/>
    <w:rsid w:val="003853C7"/>
    <w:rsid w:val="003853F6"/>
    <w:rsid w:val="00385410"/>
    <w:rsid w:val="00385427"/>
    <w:rsid w:val="0038543B"/>
    <w:rsid w:val="00385451"/>
    <w:rsid w:val="00385457"/>
    <w:rsid w:val="0038546E"/>
    <w:rsid w:val="0038549D"/>
    <w:rsid w:val="003854D0"/>
    <w:rsid w:val="003854DF"/>
    <w:rsid w:val="00385555"/>
    <w:rsid w:val="003855A8"/>
    <w:rsid w:val="003855AF"/>
    <w:rsid w:val="003855DC"/>
    <w:rsid w:val="003855FA"/>
    <w:rsid w:val="0038561E"/>
    <w:rsid w:val="0038562B"/>
    <w:rsid w:val="00385639"/>
    <w:rsid w:val="0038565B"/>
    <w:rsid w:val="0038567B"/>
    <w:rsid w:val="003856A6"/>
    <w:rsid w:val="003856CC"/>
    <w:rsid w:val="003856D2"/>
    <w:rsid w:val="003856E2"/>
    <w:rsid w:val="003856F2"/>
    <w:rsid w:val="003856FF"/>
    <w:rsid w:val="0038575D"/>
    <w:rsid w:val="003857AB"/>
    <w:rsid w:val="003857E7"/>
    <w:rsid w:val="00385830"/>
    <w:rsid w:val="00385831"/>
    <w:rsid w:val="0038583A"/>
    <w:rsid w:val="0038584D"/>
    <w:rsid w:val="00385872"/>
    <w:rsid w:val="00385892"/>
    <w:rsid w:val="003858CB"/>
    <w:rsid w:val="00385924"/>
    <w:rsid w:val="0038594C"/>
    <w:rsid w:val="0038595D"/>
    <w:rsid w:val="00385996"/>
    <w:rsid w:val="00385998"/>
    <w:rsid w:val="003859D5"/>
    <w:rsid w:val="003859E1"/>
    <w:rsid w:val="00385A0B"/>
    <w:rsid w:val="00385A0C"/>
    <w:rsid w:val="00385A3E"/>
    <w:rsid w:val="00385A9A"/>
    <w:rsid w:val="00385AC2"/>
    <w:rsid w:val="00385ACE"/>
    <w:rsid w:val="00385B12"/>
    <w:rsid w:val="00385B1F"/>
    <w:rsid w:val="00385B5D"/>
    <w:rsid w:val="00385B6B"/>
    <w:rsid w:val="00385B89"/>
    <w:rsid w:val="00385B8A"/>
    <w:rsid w:val="00385BF1"/>
    <w:rsid w:val="00385C54"/>
    <w:rsid w:val="00385C56"/>
    <w:rsid w:val="00385C7B"/>
    <w:rsid w:val="00385C81"/>
    <w:rsid w:val="00385CBF"/>
    <w:rsid w:val="00385CEA"/>
    <w:rsid w:val="00385CEE"/>
    <w:rsid w:val="00385CF2"/>
    <w:rsid w:val="00385D1B"/>
    <w:rsid w:val="00385D71"/>
    <w:rsid w:val="00385DA7"/>
    <w:rsid w:val="00385DA9"/>
    <w:rsid w:val="00385DD5"/>
    <w:rsid w:val="00385DE4"/>
    <w:rsid w:val="00385E02"/>
    <w:rsid w:val="00385E2C"/>
    <w:rsid w:val="00385E44"/>
    <w:rsid w:val="00385E7E"/>
    <w:rsid w:val="00385E86"/>
    <w:rsid w:val="00385ED1"/>
    <w:rsid w:val="00385EE2"/>
    <w:rsid w:val="00385EFD"/>
    <w:rsid w:val="00385F3D"/>
    <w:rsid w:val="00385F8F"/>
    <w:rsid w:val="00385FC8"/>
    <w:rsid w:val="00385FCB"/>
    <w:rsid w:val="00385FD2"/>
    <w:rsid w:val="00385FDA"/>
    <w:rsid w:val="0038601F"/>
    <w:rsid w:val="00386045"/>
    <w:rsid w:val="0038604A"/>
    <w:rsid w:val="00386054"/>
    <w:rsid w:val="00386069"/>
    <w:rsid w:val="00386097"/>
    <w:rsid w:val="0038609C"/>
    <w:rsid w:val="003860B1"/>
    <w:rsid w:val="003860B6"/>
    <w:rsid w:val="003860FF"/>
    <w:rsid w:val="0038611E"/>
    <w:rsid w:val="00386146"/>
    <w:rsid w:val="0038614B"/>
    <w:rsid w:val="0038615E"/>
    <w:rsid w:val="0038616B"/>
    <w:rsid w:val="00386185"/>
    <w:rsid w:val="00386192"/>
    <w:rsid w:val="003861A6"/>
    <w:rsid w:val="003861BE"/>
    <w:rsid w:val="003861CE"/>
    <w:rsid w:val="003861F2"/>
    <w:rsid w:val="00386206"/>
    <w:rsid w:val="0038622B"/>
    <w:rsid w:val="0038623C"/>
    <w:rsid w:val="0038624E"/>
    <w:rsid w:val="003862C0"/>
    <w:rsid w:val="003862EA"/>
    <w:rsid w:val="003862EC"/>
    <w:rsid w:val="00386308"/>
    <w:rsid w:val="00386312"/>
    <w:rsid w:val="00386380"/>
    <w:rsid w:val="003863AA"/>
    <w:rsid w:val="003863AF"/>
    <w:rsid w:val="003863BA"/>
    <w:rsid w:val="0038643F"/>
    <w:rsid w:val="00386444"/>
    <w:rsid w:val="00386497"/>
    <w:rsid w:val="00386499"/>
    <w:rsid w:val="00386511"/>
    <w:rsid w:val="00386543"/>
    <w:rsid w:val="003865C4"/>
    <w:rsid w:val="003865C7"/>
    <w:rsid w:val="003865D0"/>
    <w:rsid w:val="003865D1"/>
    <w:rsid w:val="003865E2"/>
    <w:rsid w:val="0038660F"/>
    <w:rsid w:val="00386683"/>
    <w:rsid w:val="0038668F"/>
    <w:rsid w:val="003866AF"/>
    <w:rsid w:val="00386740"/>
    <w:rsid w:val="00386762"/>
    <w:rsid w:val="0038677D"/>
    <w:rsid w:val="0038678D"/>
    <w:rsid w:val="003867A6"/>
    <w:rsid w:val="003867C7"/>
    <w:rsid w:val="003867D4"/>
    <w:rsid w:val="0038685C"/>
    <w:rsid w:val="0038685E"/>
    <w:rsid w:val="00386895"/>
    <w:rsid w:val="00386896"/>
    <w:rsid w:val="003868B0"/>
    <w:rsid w:val="003868F2"/>
    <w:rsid w:val="0038691E"/>
    <w:rsid w:val="00386920"/>
    <w:rsid w:val="0038697A"/>
    <w:rsid w:val="00386A31"/>
    <w:rsid w:val="00386A35"/>
    <w:rsid w:val="00386A49"/>
    <w:rsid w:val="00386A65"/>
    <w:rsid w:val="00386A69"/>
    <w:rsid w:val="00386A84"/>
    <w:rsid w:val="00386A90"/>
    <w:rsid w:val="00386AF1"/>
    <w:rsid w:val="00386AFC"/>
    <w:rsid w:val="00386AFD"/>
    <w:rsid w:val="00386B24"/>
    <w:rsid w:val="00386B47"/>
    <w:rsid w:val="00386B50"/>
    <w:rsid w:val="00386BC3"/>
    <w:rsid w:val="00386BDA"/>
    <w:rsid w:val="00386BFA"/>
    <w:rsid w:val="00386C2F"/>
    <w:rsid w:val="00386C57"/>
    <w:rsid w:val="00386C8F"/>
    <w:rsid w:val="00386D08"/>
    <w:rsid w:val="00386D14"/>
    <w:rsid w:val="00386D30"/>
    <w:rsid w:val="00386D64"/>
    <w:rsid w:val="00386D66"/>
    <w:rsid w:val="00386DDD"/>
    <w:rsid w:val="00386E02"/>
    <w:rsid w:val="00386E90"/>
    <w:rsid w:val="00386EDA"/>
    <w:rsid w:val="00386EE5"/>
    <w:rsid w:val="00386F34"/>
    <w:rsid w:val="00386F4C"/>
    <w:rsid w:val="00386F70"/>
    <w:rsid w:val="00386F96"/>
    <w:rsid w:val="00386FB1"/>
    <w:rsid w:val="00386FFE"/>
    <w:rsid w:val="00387013"/>
    <w:rsid w:val="00387089"/>
    <w:rsid w:val="003870A0"/>
    <w:rsid w:val="003870B2"/>
    <w:rsid w:val="003870B9"/>
    <w:rsid w:val="00387111"/>
    <w:rsid w:val="0038711D"/>
    <w:rsid w:val="00387195"/>
    <w:rsid w:val="00387199"/>
    <w:rsid w:val="003871B6"/>
    <w:rsid w:val="003871CB"/>
    <w:rsid w:val="00387201"/>
    <w:rsid w:val="0038725A"/>
    <w:rsid w:val="003872DC"/>
    <w:rsid w:val="00387322"/>
    <w:rsid w:val="00387345"/>
    <w:rsid w:val="003873AE"/>
    <w:rsid w:val="003873B9"/>
    <w:rsid w:val="003873C7"/>
    <w:rsid w:val="0038742D"/>
    <w:rsid w:val="00387442"/>
    <w:rsid w:val="003874CD"/>
    <w:rsid w:val="00387540"/>
    <w:rsid w:val="00387560"/>
    <w:rsid w:val="00387565"/>
    <w:rsid w:val="003875AF"/>
    <w:rsid w:val="0038760E"/>
    <w:rsid w:val="0038763B"/>
    <w:rsid w:val="00387664"/>
    <w:rsid w:val="00387693"/>
    <w:rsid w:val="003876A5"/>
    <w:rsid w:val="003876DB"/>
    <w:rsid w:val="003876E9"/>
    <w:rsid w:val="00387701"/>
    <w:rsid w:val="00387767"/>
    <w:rsid w:val="0038777D"/>
    <w:rsid w:val="003877CE"/>
    <w:rsid w:val="003877E9"/>
    <w:rsid w:val="00387807"/>
    <w:rsid w:val="0038781B"/>
    <w:rsid w:val="00387822"/>
    <w:rsid w:val="0038783A"/>
    <w:rsid w:val="0038783C"/>
    <w:rsid w:val="00387852"/>
    <w:rsid w:val="003878DF"/>
    <w:rsid w:val="0038791B"/>
    <w:rsid w:val="00387929"/>
    <w:rsid w:val="00387931"/>
    <w:rsid w:val="0038796C"/>
    <w:rsid w:val="00387978"/>
    <w:rsid w:val="00387996"/>
    <w:rsid w:val="003879A1"/>
    <w:rsid w:val="003879AC"/>
    <w:rsid w:val="003879CA"/>
    <w:rsid w:val="003879D3"/>
    <w:rsid w:val="003879D8"/>
    <w:rsid w:val="003879E2"/>
    <w:rsid w:val="00387A01"/>
    <w:rsid w:val="00387A37"/>
    <w:rsid w:val="00387A3B"/>
    <w:rsid w:val="00387AB9"/>
    <w:rsid w:val="00387AC0"/>
    <w:rsid w:val="00387B07"/>
    <w:rsid w:val="00387B1A"/>
    <w:rsid w:val="00387B28"/>
    <w:rsid w:val="00387B69"/>
    <w:rsid w:val="00387B8E"/>
    <w:rsid w:val="00387BAF"/>
    <w:rsid w:val="00387BB3"/>
    <w:rsid w:val="00387BE7"/>
    <w:rsid w:val="00387C07"/>
    <w:rsid w:val="00387C13"/>
    <w:rsid w:val="00387C22"/>
    <w:rsid w:val="00387C97"/>
    <w:rsid w:val="00387CD2"/>
    <w:rsid w:val="00387CEB"/>
    <w:rsid w:val="00387CF2"/>
    <w:rsid w:val="00387D1F"/>
    <w:rsid w:val="00387D26"/>
    <w:rsid w:val="00387D3B"/>
    <w:rsid w:val="00387D5F"/>
    <w:rsid w:val="00387DB0"/>
    <w:rsid w:val="00387DB1"/>
    <w:rsid w:val="00387DC7"/>
    <w:rsid w:val="00387DD3"/>
    <w:rsid w:val="00387DE9"/>
    <w:rsid w:val="00387DF9"/>
    <w:rsid w:val="00387E0C"/>
    <w:rsid w:val="00387E0D"/>
    <w:rsid w:val="00387E11"/>
    <w:rsid w:val="00387E28"/>
    <w:rsid w:val="00387E3E"/>
    <w:rsid w:val="00387E5E"/>
    <w:rsid w:val="00387E66"/>
    <w:rsid w:val="00387E6B"/>
    <w:rsid w:val="00387E98"/>
    <w:rsid w:val="00387F04"/>
    <w:rsid w:val="00387F2F"/>
    <w:rsid w:val="00387F33"/>
    <w:rsid w:val="00387F6D"/>
    <w:rsid w:val="00387F82"/>
    <w:rsid w:val="00387FAD"/>
    <w:rsid w:val="003900C3"/>
    <w:rsid w:val="003900E9"/>
    <w:rsid w:val="00390156"/>
    <w:rsid w:val="00390157"/>
    <w:rsid w:val="00390171"/>
    <w:rsid w:val="003901C3"/>
    <w:rsid w:val="003901E4"/>
    <w:rsid w:val="00390207"/>
    <w:rsid w:val="00390216"/>
    <w:rsid w:val="00390219"/>
    <w:rsid w:val="0039024D"/>
    <w:rsid w:val="0039028B"/>
    <w:rsid w:val="00390291"/>
    <w:rsid w:val="00390296"/>
    <w:rsid w:val="003902C9"/>
    <w:rsid w:val="003902F1"/>
    <w:rsid w:val="003902F6"/>
    <w:rsid w:val="003902FB"/>
    <w:rsid w:val="00390308"/>
    <w:rsid w:val="0039030C"/>
    <w:rsid w:val="00390327"/>
    <w:rsid w:val="00390358"/>
    <w:rsid w:val="00390377"/>
    <w:rsid w:val="00390385"/>
    <w:rsid w:val="003903BF"/>
    <w:rsid w:val="003903C9"/>
    <w:rsid w:val="003903F0"/>
    <w:rsid w:val="00390430"/>
    <w:rsid w:val="00390433"/>
    <w:rsid w:val="00390465"/>
    <w:rsid w:val="0039046E"/>
    <w:rsid w:val="0039047E"/>
    <w:rsid w:val="003904A0"/>
    <w:rsid w:val="003904C6"/>
    <w:rsid w:val="003904D5"/>
    <w:rsid w:val="003904DC"/>
    <w:rsid w:val="00390547"/>
    <w:rsid w:val="0039054A"/>
    <w:rsid w:val="0039055C"/>
    <w:rsid w:val="0039059D"/>
    <w:rsid w:val="003905BC"/>
    <w:rsid w:val="003905D6"/>
    <w:rsid w:val="003905F4"/>
    <w:rsid w:val="003905FB"/>
    <w:rsid w:val="0039060F"/>
    <w:rsid w:val="00390642"/>
    <w:rsid w:val="0039064D"/>
    <w:rsid w:val="00390663"/>
    <w:rsid w:val="003906CC"/>
    <w:rsid w:val="00390701"/>
    <w:rsid w:val="0039070D"/>
    <w:rsid w:val="00390713"/>
    <w:rsid w:val="0039072B"/>
    <w:rsid w:val="00390746"/>
    <w:rsid w:val="00390771"/>
    <w:rsid w:val="003907B8"/>
    <w:rsid w:val="003907BE"/>
    <w:rsid w:val="003907ED"/>
    <w:rsid w:val="003907FE"/>
    <w:rsid w:val="00390803"/>
    <w:rsid w:val="0039083D"/>
    <w:rsid w:val="00390890"/>
    <w:rsid w:val="003908FC"/>
    <w:rsid w:val="00390945"/>
    <w:rsid w:val="00390947"/>
    <w:rsid w:val="00390979"/>
    <w:rsid w:val="003909B7"/>
    <w:rsid w:val="003909EB"/>
    <w:rsid w:val="003909EC"/>
    <w:rsid w:val="00390A1E"/>
    <w:rsid w:val="00390A81"/>
    <w:rsid w:val="00390A82"/>
    <w:rsid w:val="00390A8E"/>
    <w:rsid w:val="00390AC4"/>
    <w:rsid w:val="00390AE5"/>
    <w:rsid w:val="00390B08"/>
    <w:rsid w:val="00390B30"/>
    <w:rsid w:val="00390B3A"/>
    <w:rsid w:val="00390B47"/>
    <w:rsid w:val="00390BB8"/>
    <w:rsid w:val="00390BC0"/>
    <w:rsid w:val="00390BC3"/>
    <w:rsid w:val="00390BFA"/>
    <w:rsid w:val="00390C03"/>
    <w:rsid w:val="00390C17"/>
    <w:rsid w:val="00390C21"/>
    <w:rsid w:val="00390C60"/>
    <w:rsid w:val="00390C6C"/>
    <w:rsid w:val="00390C86"/>
    <w:rsid w:val="00390CA6"/>
    <w:rsid w:val="00390CC5"/>
    <w:rsid w:val="00390CD5"/>
    <w:rsid w:val="00390D05"/>
    <w:rsid w:val="00390D58"/>
    <w:rsid w:val="00390DAA"/>
    <w:rsid w:val="00390DAB"/>
    <w:rsid w:val="00390DDE"/>
    <w:rsid w:val="00390E05"/>
    <w:rsid w:val="00390E0E"/>
    <w:rsid w:val="00390E1D"/>
    <w:rsid w:val="00390E59"/>
    <w:rsid w:val="00390E83"/>
    <w:rsid w:val="00390ECB"/>
    <w:rsid w:val="00390EFE"/>
    <w:rsid w:val="00390F6E"/>
    <w:rsid w:val="00390F7A"/>
    <w:rsid w:val="00390F95"/>
    <w:rsid w:val="00390FE0"/>
    <w:rsid w:val="00390FED"/>
    <w:rsid w:val="00391058"/>
    <w:rsid w:val="0039106F"/>
    <w:rsid w:val="00391088"/>
    <w:rsid w:val="00391089"/>
    <w:rsid w:val="0039108C"/>
    <w:rsid w:val="003910B4"/>
    <w:rsid w:val="003910B9"/>
    <w:rsid w:val="003910E0"/>
    <w:rsid w:val="003910E5"/>
    <w:rsid w:val="00391104"/>
    <w:rsid w:val="00391132"/>
    <w:rsid w:val="00391141"/>
    <w:rsid w:val="0039117A"/>
    <w:rsid w:val="0039117E"/>
    <w:rsid w:val="003911B6"/>
    <w:rsid w:val="003911B7"/>
    <w:rsid w:val="003911C4"/>
    <w:rsid w:val="0039121E"/>
    <w:rsid w:val="00391233"/>
    <w:rsid w:val="00391242"/>
    <w:rsid w:val="0039129F"/>
    <w:rsid w:val="0039130D"/>
    <w:rsid w:val="00391329"/>
    <w:rsid w:val="00391354"/>
    <w:rsid w:val="0039139F"/>
    <w:rsid w:val="003913B3"/>
    <w:rsid w:val="003913BE"/>
    <w:rsid w:val="003913EA"/>
    <w:rsid w:val="00391415"/>
    <w:rsid w:val="0039141A"/>
    <w:rsid w:val="00391441"/>
    <w:rsid w:val="0039145A"/>
    <w:rsid w:val="00391466"/>
    <w:rsid w:val="003914B0"/>
    <w:rsid w:val="003914CE"/>
    <w:rsid w:val="003914E1"/>
    <w:rsid w:val="003914E7"/>
    <w:rsid w:val="0039157A"/>
    <w:rsid w:val="003915BF"/>
    <w:rsid w:val="003915CC"/>
    <w:rsid w:val="003915EB"/>
    <w:rsid w:val="003915EC"/>
    <w:rsid w:val="003915F8"/>
    <w:rsid w:val="00391606"/>
    <w:rsid w:val="00391616"/>
    <w:rsid w:val="0039169E"/>
    <w:rsid w:val="003916CB"/>
    <w:rsid w:val="003916DF"/>
    <w:rsid w:val="0039171E"/>
    <w:rsid w:val="00391754"/>
    <w:rsid w:val="0039175A"/>
    <w:rsid w:val="00391778"/>
    <w:rsid w:val="0039177D"/>
    <w:rsid w:val="00391783"/>
    <w:rsid w:val="003917CA"/>
    <w:rsid w:val="003917DD"/>
    <w:rsid w:val="00391810"/>
    <w:rsid w:val="00391822"/>
    <w:rsid w:val="00391844"/>
    <w:rsid w:val="00391876"/>
    <w:rsid w:val="003918D7"/>
    <w:rsid w:val="003918D9"/>
    <w:rsid w:val="003918DF"/>
    <w:rsid w:val="00391928"/>
    <w:rsid w:val="00391936"/>
    <w:rsid w:val="0039194F"/>
    <w:rsid w:val="00391975"/>
    <w:rsid w:val="003919A5"/>
    <w:rsid w:val="003919B5"/>
    <w:rsid w:val="003919D0"/>
    <w:rsid w:val="003919D3"/>
    <w:rsid w:val="003919DC"/>
    <w:rsid w:val="00391A33"/>
    <w:rsid w:val="00391A38"/>
    <w:rsid w:val="00391A46"/>
    <w:rsid w:val="00391A8E"/>
    <w:rsid w:val="00391A90"/>
    <w:rsid w:val="00391AA3"/>
    <w:rsid w:val="00391B07"/>
    <w:rsid w:val="00391B7B"/>
    <w:rsid w:val="00391B83"/>
    <w:rsid w:val="00391B97"/>
    <w:rsid w:val="00391C68"/>
    <w:rsid w:val="00391CA4"/>
    <w:rsid w:val="00391CDA"/>
    <w:rsid w:val="00391CE1"/>
    <w:rsid w:val="00391D12"/>
    <w:rsid w:val="00391D15"/>
    <w:rsid w:val="00391D1B"/>
    <w:rsid w:val="00391D55"/>
    <w:rsid w:val="00391D80"/>
    <w:rsid w:val="00391D96"/>
    <w:rsid w:val="00391D99"/>
    <w:rsid w:val="00391E4B"/>
    <w:rsid w:val="00391EE1"/>
    <w:rsid w:val="00391F7B"/>
    <w:rsid w:val="00391F90"/>
    <w:rsid w:val="00391FB4"/>
    <w:rsid w:val="00391FC7"/>
    <w:rsid w:val="00392009"/>
    <w:rsid w:val="00392030"/>
    <w:rsid w:val="00392052"/>
    <w:rsid w:val="00392053"/>
    <w:rsid w:val="0039209F"/>
    <w:rsid w:val="003920AD"/>
    <w:rsid w:val="003920DA"/>
    <w:rsid w:val="003920E9"/>
    <w:rsid w:val="00392109"/>
    <w:rsid w:val="00392119"/>
    <w:rsid w:val="00392148"/>
    <w:rsid w:val="00392157"/>
    <w:rsid w:val="00392216"/>
    <w:rsid w:val="00392224"/>
    <w:rsid w:val="00392253"/>
    <w:rsid w:val="003922DD"/>
    <w:rsid w:val="003922E2"/>
    <w:rsid w:val="003923A4"/>
    <w:rsid w:val="00392406"/>
    <w:rsid w:val="00392423"/>
    <w:rsid w:val="00392460"/>
    <w:rsid w:val="0039247E"/>
    <w:rsid w:val="00392494"/>
    <w:rsid w:val="003924B4"/>
    <w:rsid w:val="003924D3"/>
    <w:rsid w:val="003924EE"/>
    <w:rsid w:val="0039254D"/>
    <w:rsid w:val="00392554"/>
    <w:rsid w:val="00392579"/>
    <w:rsid w:val="003925AF"/>
    <w:rsid w:val="003925B4"/>
    <w:rsid w:val="003925E5"/>
    <w:rsid w:val="0039261B"/>
    <w:rsid w:val="00392644"/>
    <w:rsid w:val="00392648"/>
    <w:rsid w:val="0039269F"/>
    <w:rsid w:val="0039271F"/>
    <w:rsid w:val="00392753"/>
    <w:rsid w:val="003927C3"/>
    <w:rsid w:val="003927C9"/>
    <w:rsid w:val="00392811"/>
    <w:rsid w:val="0039285E"/>
    <w:rsid w:val="0039288E"/>
    <w:rsid w:val="003928E1"/>
    <w:rsid w:val="003928F0"/>
    <w:rsid w:val="00392943"/>
    <w:rsid w:val="00392994"/>
    <w:rsid w:val="003929DF"/>
    <w:rsid w:val="003929F2"/>
    <w:rsid w:val="00392A04"/>
    <w:rsid w:val="00392A16"/>
    <w:rsid w:val="00392A55"/>
    <w:rsid w:val="00392A88"/>
    <w:rsid w:val="00392AB9"/>
    <w:rsid w:val="00392AD6"/>
    <w:rsid w:val="00392ADE"/>
    <w:rsid w:val="00392B1A"/>
    <w:rsid w:val="00392B45"/>
    <w:rsid w:val="00392B46"/>
    <w:rsid w:val="00392B5C"/>
    <w:rsid w:val="00392B63"/>
    <w:rsid w:val="00392B68"/>
    <w:rsid w:val="00392BF9"/>
    <w:rsid w:val="00392C3F"/>
    <w:rsid w:val="00392C75"/>
    <w:rsid w:val="00392C9F"/>
    <w:rsid w:val="00392CB7"/>
    <w:rsid w:val="00392D26"/>
    <w:rsid w:val="00392D3A"/>
    <w:rsid w:val="00392DA9"/>
    <w:rsid w:val="00392DCD"/>
    <w:rsid w:val="00392E34"/>
    <w:rsid w:val="00392E3A"/>
    <w:rsid w:val="00392E5E"/>
    <w:rsid w:val="00392EFB"/>
    <w:rsid w:val="00392F0F"/>
    <w:rsid w:val="00392F8F"/>
    <w:rsid w:val="00392FE0"/>
    <w:rsid w:val="0039300B"/>
    <w:rsid w:val="0039302D"/>
    <w:rsid w:val="00393034"/>
    <w:rsid w:val="00393051"/>
    <w:rsid w:val="0039305F"/>
    <w:rsid w:val="00393060"/>
    <w:rsid w:val="00393097"/>
    <w:rsid w:val="003930AC"/>
    <w:rsid w:val="003930BB"/>
    <w:rsid w:val="0039313B"/>
    <w:rsid w:val="00393191"/>
    <w:rsid w:val="00393198"/>
    <w:rsid w:val="003931AD"/>
    <w:rsid w:val="003932EA"/>
    <w:rsid w:val="0039332B"/>
    <w:rsid w:val="0039333A"/>
    <w:rsid w:val="0039333B"/>
    <w:rsid w:val="003933A3"/>
    <w:rsid w:val="003933FA"/>
    <w:rsid w:val="00393425"/>
    <w:rsid w:val="00393426"/>
    <w:rsid w:val="0039342D"/>
    <w:rsid w:val="00393442"/>
    <w:rsid w:val="0039349C"/>
    <w:rsid w:val="003934B2"/>
    <w:rsid w:val="003934CC"/>
    <w:rsid w:val="003934FD"/>
    <w:rsid w:val="00393511"/>
    <w:rsid w:val="00393536"/>
    <w:rsid w:val="00393571"/>
    <w:rsid w:val="003935CE"/>
    <w:rsid w:val="0039360E"/>
    <w:rsid w:val="00393631"/>
    <w:rsid w:val="00393659"/>
    <w:rsid w:val="00393664"/>
    <w:rsid w:val="00393665"/>
    <w:rsid w:val="003936B4"/>
    <w:rsid w:val="003936BA"/>
    <w:rsid w:val="00393708"/>
    <w:rsid w:val="0039372A"/>
    <w:rsid w:val="0039372B"/>
    <w:rsid w:val="0039372C"/>
    <w:rsid w:val="00393759"/>
    <w:rsid w:val="00393771"/>
    <w:rsid w:val="00393785"/>
    <w:rsid w:val="00393792"/>
    <w:rsid w:val="003937F6"/>
    <w:rsid w:val="0039382B"/>
    <w:rsid w:val="00393839"/>
    <w:rsid w:val="0039383D"/>
    <w:rsid w:val="0039388D"/>
    <w:rsid w:val="0039389B"/>
    <w:rsid w:val="003938DB"/>
    <w:rsid w:val="003938E6"/>
    <w:rsid w:val="0039390B"/>
    <w:rsid w:val="0039396A"/>
    <w:rsid w:val="00393970"/>
    <w:rsid w:val="00393985"/>
    <w:rsid w:val="003939B6"/>
    <w:rsid w:val="003939B9"/>
    <w:rsid w:val="003939BB"/>
    <w:rsid w:val="003939C5"/>
    <w:rsid w:val="003939F7"/>
    <w:rsid w:val="003939FD"/>
    <w:rsid w:val="00393A06"/>
    <w:rsid w:val="00393A3A"/>
    <w:rsid w:val="00393A4B"/>
    <w:rsid w:val="00393A7E"/>
    <w:rsid w:val="00393ABA"/>
    <w:rsid w:val="00393B4D"/>
    <w:rsid w:val="00393B50"/>
    <w:rsid w:val="00393B6D"/>
    <w:rsid w:val="00393BA1"/>
    <w:rsid w:val="00393BC8"/>
    <w:rsid w:val="00393BD0"/>
    <w:rsid w:val="00393BD9"/>
    <w:rsid w:val="00393BDF"/>
    <w:rsid w:val="00393BF0"/>
    <w:rsid w:val="00393BF9"/>
    <w:rsid w:val="00393BFF"/>
    <w:rsid w:val="00393C16"/>
    <w:rsid w:val="00393C23"/>
    <w:rsid w:val="00393C37"/>
    <w:rsid w:val="00393CB0"/>
    <w:rsid w:val="00393CE2"/>
    <w:rsid w:val="00393CEE"/>
    <w:rsid w:val="00393D38"/>
    <w:rsid w:val="00393D4D"/>
    <w:rsid w:val="00393D54"/>
    <w:rsid w:val="00393D76"/>
    <w:rsid w:val="00393D9A"/>
    <w:rsid w:val="00393DB0"/>
    <w:rsid w:val="00393DF9"/>
    <w:rsid w:val="00393E13"/>
    <w:rsid w:val="00393E1F"/>
    <w:rsid w:val="00393E35"/>
    <w:rsid w:val="00393E8D"/>
    <w:rsid w:val="00393E9F"/>
    <w:rsid w:val="00393EAE"/>
    <w:rsid w:val="00393EB3"/>
    <w:rsid w:val="00393F21"/>
    <w:rsid w:val="00393F49"/>
    <w:rsid w:val="00393F50"/>
    <w:rsid w:val="00393F9F"/>
    <w:rsid w:val="00393FA1"/>
    <w:rsid w:val="00394044"/>
    <w:rsid w:val="0039404E"/>
    <w:rsid w:val="00394059"/>
    <w:rsid w:val="00394068"/>
    <w:rsid w:val="00394075"/>
    <w:rsid w:val="0039407F"/>
    <w:rsid w:val="00394095"/>
    <w:rsid w:val="0039409D"/>
    <w:rsid w:val="003940DA"/>
    <w:rsid w:val="0039410E"/>
    <w:rsid w:val="0039414D"/>
    <w:rsid w:val="003941B6"/>
    <w:rsid w:val="003941B8"/>
    <w:rsid w:val="003941C3"/>
    <w:rsid w:val="00394228"/>
    <w:rsid w:val="0039422C"/>
    <w:rsid w:val="00394247"/>
    <w:rsid w:val="00394252"/>
    <w:rsid w:val="0039428A"/>
    <w:rsid w:val="0039429E"/>
    <w:rsid w:val="003942DA"/>
    <w:rsid w:val="0039430B"/>
    <w:rsid w:val="00394336"/>
    <w:rsid w:val="0039434E"/>
    <w:rsid w:val="0039437F"/>
    <w:rsid w:val="003943B5"/>
    <w:rsid w:val="003943C9"/>
    <w:rsid w:val="003943CA"/>
    <w:rsid w:val="003943D3"/>
    <w:rsid w:val="00394492"/>
    <w:rsid w:val="003944B8"/>
    <w:rsid w:val="003944FF"/>
    <w:rsid w:val="00394514"/>
    <w:rsid w:val="0039453B"/>
    <w:rsid w:val="0039456F"/>
    <w:rsid w:val="00394580"/>
    <w:rsid w:val="003945A9"/>
    <w:rsid w:val="003945B9"/>
    <w:rsid w:val="003945BF"/>
    <w:rsid w:val="00394621"/>
    <w:rsid w:val="0039465C"/>
    <w:rsid w:val="0039467C"/>
    <w:rsid w:val="00394683"/>
    <w:rsid w:val="003946AF"/>
    <w:rsid w:val="00394706"/>
    <w:rsid w:val="00394757"/>
    <w:rsid w:val="00394760"/>
    <w:rsid w:val="00394785"/>
    <w:rsid w:val="003947A5"/>
    <w:rsid w:val="003947CE"/>
    <w:rsid w:val="003947D5"/>
    <w:rsid w:val="0039481C"/>
    <w:rsid w:val="003948C9"/>
    <w:rsid w:val="003948DA"/>
    <w:rsid w:val="003948EB"/>
    <w:rsid w:val="003948F8"/>
    <w:rsid w:val="0039491D"/>
    <w:rsid w:val="00394971"/>
    <w:rsid w:val="0039497B"/>
    <w:rsid w:val="00394985"/>
    <w:rsid w:val="003949D4"/>
    <w:rsid w:val="003949E4"/>
    <w:rsid w:val="003949E8"/>
    <w:rsid w:val="00394A25"/>
    <w:rsid w:val="00394AA6"/>
    <w:rsid w:val="00394AF6"/>
    <w:rsid w:val="00394B3C"/>
    <w:rsid w:val="00394B4A"/>
    <w:rsid w:val="00394B61"/>
    <w:rsid w:val="00394B79"/>
    <w:rsid w:val="00394C0F"/>
    <w:rsid w:val="00394C22"/>
    <w:rsid w:val="00394C6E"/>
    <w:rsid w:val="00394C91"/>
    <w:rsid w:val="00394CA3"/>
    <w:rsid w:val="00394CCB"/>
    <w:rsid w:val="00394CD3"/>
    <w:rsid w:val="00394CF4"/>
    <w:rsid w:val="00394D43"/>
    <w:rsid w:val="00394D67"/>
    <w:rsid w:val="00394D6D"/>
    <w:rsid w:val="00394DBF"/>
    <w:rsid w:val="00394DC0"/>
    <w:rsid w:val="00394DC1"/>
    <w:rsid w:val="00394DD1"/>
    <w:rsid w:val="00394DD4"/>
    <w:rsid w:val="00394DFA"/>
    <w:rsid w:val="00394E44"/>
    <w:rsid w:val="00394E60"/>
    <w:rsid w:val="00394EE4"/>
    <w:rsid w:val="00394F06"/>
    <w:rsid w:val="00394F0F"/>
    <w:rsid w:val="00394F20"/>
    <w:rsid w:val="00394F21"/>
    <w:rsid w:val="00394FED"/>
    <w:rsid w:val="00395017"/>
    <w:rsid w:val="0039501C"/>
    <w:rsid w:val="003950A5"/>
    <w:rsid w:val="003950A9"/>
    <w:rsid w:val="003950FA"/>
    <w:rsid w:val="00395128"/>
    <w:rsid w:val="00395145"/>
    <w:rsid w:val="00395188"/>
    <w:rsid w:val="00395199"/>
    <w:rsid w:val="003951AE"/>
    <w:rsid w:val="003951B9"/>
    <w:rsid w:val="003951C5"/>
    <w:rsid w:val="003951DA"/>
    <w:rsid w:val="003951E9"/>
    <w:rsid w:val="003951F7"/>
    <w:rsid w:val="00395215"/>
    <w:rsid w:val="0039521F"/>
    <w:rsid w:val="0039522D"/>
    <w:rsid w:val="00395230"/>
    <w:rsid w:val="00395251"/>
    <w:rsid w:val="00395257"/>
    <w:rsid w:val="00395259"/>
    <w:rsid w:val="00395262"/>
    <w:rsid w:val="00395266"/>
    <w:rsid w:val="00395282"/>
    <w:rsid w:val="0039528C"/>
    <w:rsid w:val="0039528E"/>
    <w:rsid w:val="003952BD"/>
    <w:rsid w:val="003952CE"/>
    <w:rsid w:val="0039530B"/>
    <w:rsid w:val="00395331"/>
    <w:rsid w:val="00395359"/>
    <w:rsid w:val="0039536F"/>
    <w:rsid w:val="0039538D"/>
    <w:rsid w:val="003953D6"/>
    <w:rsid w:val="003953E0"/>
    <w:rsid w:val="00395418"/>
    <w:rsid w:val="00395453"/>
    <w:rsid w:val="00395499"/>
    <w:rsid w:val="003954DC"/>
    <w:rsid w:val="003954E0"/>
    <w:rsid w:val="003954F7"/>
    <w:rsid w:val="00395503"/>
    <w:rsid w:val="0039550A"/>
    <w:rsid w:val="003955F8"/>
    <w:rsid w:val="003955F9"/>
    <w:rsid w:val="00395621"/>
    <w:rsid w:val="00395631"/>
    <w:rsid w:val="00395674"/>
    <w:rsid w:val="0039569C"/>
    <w:rsid w:val="003956C3"/>
    <w:rsid w:val="003956C5"/>
    <w:rsid w:val="003956E9"/>
    <w:rsid w:val="00395737"/>
    <w:rsid w:val="00395739"/>
    <w:rsid w:val="003957BD"/>
    <w:rsid w:val="00395808"/>
    <w:rsid w:val="00395822"/>
    <w:rsid w:val="00395836"/>
    <w:rsid w:val="00395855"/>
    <w:rsid w:val="0039586F"/>
    <w:rsid w:val="00395874"/>
    <w:rsid w:val="00395898"/>
    <w:rsid w:val="003958AD"/>
    <w:rsid w:val="003958C3"/>
    <w:rsid w:val="003958D4"/>
    <w:rsid w:val="003958E6"/>
    <w:rsid w:val="0039591F"/>
    <w:rsid w:val="00395922"/>
    <w:rsid w:val="00395926"/>
    <w:rsid w:val="0039592E"/>
    <w:rsid w:val="0039595D"/>
    <w:rsid w:val="00395979"/>
    <w:rsid w:val="00395986"/>
    <w:rsid w:val="003959C9"/>
    <w:rsid w:val="003959D0"/>
    <w:rsid w:val="003959D5"/>
    <w:rsid w:val="00395A08"/>
    <w:rsid w:val="00395A14"/>
    <w:rsid w:val="00395A19"/>
    <w:rsid w:val="00395A1F"/>
    <w:rsid w:val="00395A4A"/>
    <w:rsid w:val="00395A65"/>
    <w:rsid w:val="00395A83"/>
    <w:rsid w:val="00395AA7"/>
    <w:rsid w:val="00395AFB"/>
    <w:rsid w:val="00395B05"/>
    <w:rsid w:val="00395B4B"/>
    <w:rsid w:val="00395B77"/>
    <w:rsid w:val="00395B8A"/>
    <w:rsid w:val="00395BCB"/>
    <w:rsid w:val="00395BF9"/>
    <w:rsid w:val="00395CA1"/>
    <w:rsid w:val="00395CA5"/>
    <w:rsid w:val="00395CA9"/>
    <w:rsid w:val="00395CAA"/>
    <w:rsid w:val="00395CB9"/>
    <w:rsid w:val="00395CC3"/>
    <w:rsid w:val="00395D00"/>
    <w:rsid w:val="00395D01"/>
    <w:rsid w:val="00395D1E"/>
    <w:rsid w:val="00395D3A"/>
    <w:rsid w:val="00395D3B"/>
    <w:rsid w:val="00395D78"/>
    <w:rsid w:val="00395D8B"/>
    <w:rsid w:val="00395DA9"/>
    <w:rsid w:val="00395DB0"/>
    <w:rsid w:val="00395DDB"/>
    <w:rsid w:val="00395DE6"/>
    <w:rsid w:val="00395E7A"/>
    <w:rsid w:val="00395E8F"/>
    <w:rsid w:val="00395EDA"/>
    <w:rsid w:val="00395EFB"/>
    <w:rsid w:val="00395F00"/>
    <w:rsid w:val="00395F16"/>
    <w:rsid w:val="00395F5A"/>
    <w:rsid w:val="00395F73"/>
    <w:rsid w:val="00395F9A"/>
    <w:rsid w:val="00395FD8"/>
    <w:rsid w:val="00395FF1"/>
    <w:rsid w:val="0039601F"/>
    <w:rsid w:val="00396030"/>
    <w:rsid w:val="0039607B"/>
    <w:rsid w:val="003960C6"/>
    <w:rsid w:val="0039610C"/>
    <w:rsid w:val="00396124"/>
    <w:rsid w:val="00396145"/>
    <w:rsid w:val="00396155"/>
    <w:rsid w:val="003961B2"/>
    <w:rsid w:val="003961B5"/>
    <w:rsid w:val="0039620B"/>
    <w:rsid w:val="00396226"/>
    <w:rsid w:val="00396245"/>
    <w:rsid w:val="0039624D"/>
    <w:rsid w:val="00396260"/>
    <w:rsid w:val="00396266"/>
    <w:rsid w:val="00396280"/>
    <w:rsid w:val="003962DD"/>
    <w:rsid w:val="003962E7"/>
    <w:rsid w:val="003962EC"/>
    <w:rsid w:val="00396312"/>
    <w:rsid w:val="00396322"/>
    <w:rsid w:val="00396356"/>
    <w:rsid w:val="00396375"/>
    <w:rsid w:val="0039637A"/>
    <w:rsid w:val="00396385"/>
    <w:rsid w:val="003963B8"/>
    <w:rsid w:val="003963C9"/>
    <w:rsid w:val="003963F9"/>
    <w:rsid w:val="0039640C"/>
    <w:rsid w:val="0039641D"/>
    <w:rsid w:val="00396447"/>
    <w:rsid w:val="0039648A"/>
    <w:rsid w:val="003964AB"/>
    <w:rsid w:val="003964C8"/>
    <w:rsid w:val="003964E3"/>
    <w:rsid w:val="0039659E"/>
    <w:rsid w:val="003965DE"/>
    <w:rsid w:val="003965E2"/>
    <w:rsid w:val="003965F0"/>
    <w:rsid w:val="003965F6"/>
    <w:rsid w:val="0039663A"/>
    <w:rsid w:val="00396641"/>
    <w:rsid w:val="0039669D"/>
    <w:rsid w:val="003966C7"/>
    <w:rsid w:val="003966D5"/>
    <w:rsid w:val="003966FE"/>
    <w:rsid w:val="00396782"/>
    <w:rsid w:val="003967D1"/>
    <w:rsid w:val="00396847"/>
    <w:rsid w:val="00396882"/>
    <w:rsid w:val="003968C0"/>
    <w:rsid w:val="003968EC"/>
    <w:rsid w:val="00396924"/>
    <w:rsid w:val="0039694E"/>
    <w:rsid w:val="00396A40"/>
    <w:rsid w:val="00396ABB"/>
    <w:rsid w:val="00396ACA"/>
    <w:rsid w:val="00396AD4"/>
    <w:rsid w:val="00396B1D"/>
    <w:rsid w:val="00396B3D"/>
    <w:rsid w:val="00396B43"/>
    <w:rsid w:val="00396B8E"/>
    <w:rsid w:val="00396BA0"/>
    <w:rsid w:val="00396BC5"/>
    <w:rsid w:val="00396BD0"/>
    <w:rsid w:val="00396BD8"/>
    <w:rsid w:val="00396BE9"/>
    <w:rsid w:val="00396BFA"/>
    <w:rsid w:val="00396C7A"/>
    <w:rsid w:val="00396C85"/>
    <w:rsid w:val="00396D16"/>
    <w:rsid w:val="00396D6E"/>
    <w:rsid w:val="00396D7F"/>
    <w:rsid w:val="00396D91"/>
    <w:rsid w:val="00396DB4"/>
    <w:rsid w:val="00396DD2"/>
    <w:rsid w:val="00396DE1"/>
    <w:rsid w:val="00396E01"/>
    <w:rsid w:val="00396E26"/>
    <w:rsid w:val="00396E3D"/>
    <w:rsid w:val="00396E44"/>
    <w:rsid w:val="00396E4B"/>
    <w:rsid w:val="00396E6B"/>
    <w:rsid w:val="00396E7A"/>
    <w:rsid w:val="00396E98"/>
    <w:rsid w:val="00396EB8"/>
    <w:rsid w:val="00396EF7"/>
    <w:rsid w:val="00396EFA"/>
    <w:rsid w:val="00396F14"/>
    <w:rsid w:val="00396F6C"/>
    <w:rsid w:val="00396F7D"/>
    <w:rsid w:val="00396FCF"/>
    <w:rsid w:val="00396FDC"/>
    <w:rsid w:val="00396FF2"/>
    <w:rsid w:val="00396FF3"/>
    <w:rsid w:val="00396FFA"/>
    <w:rsid w:val="0039700A"/>
    <w:rsid w:val="0039701B"/>
    <w:rsid w:val="00397020"/>
    <w:rsid w:val="003970B5"/>
    <w:rsid w:val="0039715B"/>
    <w:rsid w:val="00397165"/>
    <w:rsid w:val="00397166"/>
    <w:rsid w:val="003971A5"/>
    <w:rsid w:val="003971CA"/>
    <w:rsid w:val="003971FC"/>
    <w:rsid w:val="00397203"/>
    <w:rsid w:val="0039721F"/>
    <w:rsid w:val="0039724A"/>
    <w:rsid w:val="00397253"/>
    <w:rsid w:val="00397254"/>
    <w:rsid w:val="00397272"/>
    <w:rsid w:val="0039727B"/>
    <w:rsid w:val="00397287"/>
    <w:rsid w:val="0039733A"/>
    <w:rsid w:val="00397349"/>
    <w:rsid w:val="00397393"/>
    <w:rsid w:val="003973B6"/>
    <w:rsid w:val="003973BC"/>
    <w:rsid w:val="003973FF"/>
    <w:rsid w:val="0039741C"/>
    <w:rsid w:val="00397429"/>
    <w:rsid w:val="00397435"/>
    <w:rsid w:val="00397449"/>
    <w:rsid w:val="00397493"/>
    <w:rsid w:val="0039749B"/>
    <w:rsid w:val="003974C0"/>
    <w:rsid w:val="003974CA"/>
    <w:rsid w:val="003974D7"/>
    <w:rsid w:val="003974DA"/>
    <w:rsid w:val="0039750C"/>
    <w:rsid w:val="00397544"/>
    <w:rsid w:val="00397557"/>
    <w:rsid w:val="00397566"/>
    <w:rsid w:val="0039758A"/>
    <w:rsid w:val="003975A9"/>
    <w:rsid w:val="003975AB"/>
    <w:rsid w:val="003975B7"/>
    <w:rsid w:val="003975D7"/>
    <w:rsid w:val="00397608"/>
    <w:rsid w:val="00397610"/>
    <w:rsid w:val="0039765C"/>
    <w:rsid w:val="00397664"/>
    <w:rsid w:val="003976B4"/>
    <w:rsid w:val="003976BA"/>
    <w:rsid w:val="003976D8"/>
    <w:rsid w:val="003976E1"/>
    <w:rsid w:val="003976F5"/>
    <w:rsid w:val="0039773D"/>
    <w:rsid w:val="003977C7"/>
    <w:rsid w:val="003977CF"/>
    <w:rsid w:val="003977E7"/>
    <w:rsid w:val="003977EB"/>
    <w:rsid w:val="003977FD"/>
    <w:rsid w:val="00397827"/>
    <w:rsid w:val="00397840"/>
    <w:rsid w:val="00397841"/>
    <w:rsid w:val="00397865"/>
    <w:rsid w:val="003978DD"/>
    <w:rsid w:val="003978EA"/>
    <w:rsid w:val="003978F0"/>
    <w:rsid w:val="00397923"/>
    <w:rsid w:val="00397934"/>
    <w:rsid w:val="00397947"/>
    <w:rsid w:val="0039797C"/>
    <w:rsid w:val="0039799D"/>
    <w:rsid w:val="00397A10"/>
    <w:rsid w:val="00397A29"/>
    <w:rsid w:val="00397A64"/>
    <w:rsid w:val="00397A6C"/>
    <w:rsid w:val="00397AA8"/>
    <w:rsid w:val="00397B83"/>
    <w:rsid w:val="00397B84"/>
    <w:rsid w:val="00397B8A"/>
    <w:rsid w:val="00397BD1"/>
    <w:rsid w:val="00397C07"/>
    <w:rsid w:val="00397C24"/>
    <w:rsid w:val="00397C26"/>
    <w:rsid w:val="00397C53"/>
    <w:rsid w:val="00397C78"/>
    <w:rsid w:val="00397C90"/>
    <w:rsid w:val="00397CDE"/>
    <w:rsid w:val="00397CEA"/>
    <w:rsid w:val="00397D0E"/>
    <w:rsid w:val="00397D14"/>
    <w:rsid w:val="00397D42"/>
    <w:rsid w:val="00397E16"/>
    <w:rsid w:val="00397E19"/>
    <w:rsid w:val="00397EA2"/>
    <w:rsid w:val="00397EF0"/>
    <w:rsid w:val="00397F02"/>
    <w:rsid w:val="00397F33"/>
    <w:rsid w:val="00397F79"/>
    <w:rsid w:val="00397F7F"/>
    <w:rsid w:val="00397FAF"/>
    <w:rsid w:val="00397FC8"/>
    <w:rsid w:val="00397FE6"/>
    <w:rsid w:val="00397FF9"/>
    <w:rsid w:val="003A0006"/>
    <w:rsid w:val="003A0051"/>
    <w:rsid w:val="003A0075"/>
    <w:rsid w:val="003A007A"/>
    <w:rsid w:val="003A00B7"/>
    <w:rsid w:val="003A00CB"/>
    <w:rsid w:val="003A00DC"/>
    <w:rsid w:val="003A00DE"/>
    <w:rsid w:val="003A017B"/>
    <w:rsid w:val="003A0189"/>
    <w:rsid w:val="003A0209"/>
    <w:rsid w:val="003A0249"/>
    <w:rsid w:val="003A0257"/>
    <w:rsid w:val="003A029A"/>
    <w:rsid w:val="003A02A2"/>
    <w:rsid w:val="003A02BD"/>
    <w:rsid w:val="003A02D5"/>
    <w:rsid w:val="003A02F1"/>
    <w:rsid w:val="003A0315"/>
    <w:rsid w:val="003A0386"/>
    <w:rsid w:val="003A0390"/>
    <w:rsid w:val="003A039B"/>
    <w:rsid w:val="003A039F"/>
    <w:rsid w:val="003A03C2"/>
    <w:rsid w:val="003A03D9"/>
    <w:rsid w:val="003A03EF"/>
    <w:rsid w:val="003A03F5"/>
    <w:rsid w:val="003A040F"/>
    <w:rsid w:val="003A0487"/>
    <w:rsid w:val="003A0545"/>
    <w:rsid w:val="003A054D"/>
    <w:rsid w:val="003A057D"/>
    <w:rsid w:val="003A05B0"/>
    <w:rsid w:val="003A05B7"/>
    <w:rsid w:val="003A05BB"/>
    <w:rsid w:val="003A05DC"/>
    <w:rsid w:val="003A0628"/>
    <w:rsid w:val="003A0647"/>
    <w:rsid w:val="003A0674"/>
    <w:rsid w:val="003A069A"/>
    <w:rsid w:val="003A06A0"/>
    <w:rsid w:val="003A06D2"/>
    <w:rsid w:val="003A06F9"/>
    <w:rsid w:val="003A0708"/>
    <w:rsid w:val="003A0730"/>
    <w:rsid w:val="003A0743"/>
    <w:rsid w:val="003A0752"/>
    <w:rsid w:val="003A077D"/>
    <w:rsid w:val="003A07AC"/>
    <w:rsid w:val="003A07E2"/>
    <w:rsid w:val="003A084F"/>
    <w:rsid w:val="003A085C"/>
    <w:rsid w:val="003A088A"/>
    <w:rsid w:val="003A0891"/>
    <w:rsid w:val="003A08C1"/>
    <w:rsid w:val="003A08C8"/>
    <w:rsid w:val="003A08FF"/>
    <w:rsid w:val="003A0911"/>
    <w:rsid w:val="003A091F"/>
    <w:rsid w:val="003A092A"/>
    <w:rsid w:val="003A0938"/>
    <w:rsid w:val="003A09DC"/>
    <w:rsid w:val="003A0A32"/>
    <w:rsid w:val="003A0A50"/>
    <w:rsid w:val="003A0A58"/>
    <w:rsid w:val="003A0A71"/>
    <w:rsid w:val="003A0AB8"/>
    <w:rsid w:val="003A0B0E"/>
    <w:rsid w:val="003A0B1B"/>
    <w:rsid w:val="003A0B33"/>
    <w:rsid w:val="003A0B67"/>
    <w:rsid w:val="003A0BA1"/>
    <w:rsid w:val="003A0C33"/>
    <w:rsid w:val="003A0C7C"/>
    <w:rsid w:val="003A0CEF"/>
    <w:rsid w:val="003A0D13"/>
    <w:rsid w:val="003A0D3E"/>
    <w:rsid w:val="003A0D93"/>
    <w:rsid w:val="003A0D9C"/>
    <w:rsid w:val="003A0DA3"/>
    <w:rsid w:val="003A0DD5"/>
    <w:rsid w:val="003A0DDD"/>
    <w:rsid w:val="003A0DE9"/>
    <w:rsid w:val="003A0E49"/>
    <w:rsid w:val="003A0EE2"/>
    <w:rsid w:val="003A0F04"/>
    <w:rsid w:val="003A0F36"/>
    <w:rsid w:val="003A0F45"/>
    <w:rsid w:val="003A0F4F"/>
    <w:rsid w:val="003A0F62"/>
    <w:rsid w:val="003A0F74"/>
    <w:rsid w:val="003A0FBB"/>
    <w:rsid w:val="003A0FD6"/>
    <w:rsid w:val="003A0FE1"/>
    <w:rsid w:val="003A1035"/>
    <w:rsid w:val="003A104A"/>
    <w:rsid w:val="003A1065"/>
    <w:rsid w:val="003A1138"/>
    <w:rsid w:val="003A1182"/>
    <w:rsid w:val="003A11BF"/>
    <w:rsid w:val="003A11D3"/>
    <w:rsid w:val="003A1208"/>
    <w:rsid w:val="003A120C"/>
    <w:rsid w:val="003A122C"/>
    <w:rsid w:val="003A1255"/>
    <w:rsid w:val="003A1257"/>
    <w:rsid w:val="003A12A1"/>
    <w:rsid w:val="003A12B8"/>
    <w:rsid w:val="003A12C2"/>
    <w:rsid w:val="003A12EA"/>
    <w:rsid w:val="003A134B"/>
    <w:rsid w:val="003A137E"/>
    <w:rsid w:val="003A13E0"/>
    <w:rsid w:val="003A1415"/>
    <w:rsid w:val="003A142B"/>
    <w:rsid w:val="003A148D"/>
    <w:rsid w:val="003A149C"/>
    <w:rsid w:val="003A14CA"/>
    <w:rsid w:val="003A14E7"/>
    <w:rsid w:val="003A14EA"/>
    <w:rsid w:val="003A14F4"/>
    <w:rsid w:val="003A14FF"/>
    <w:rsid w:val="003A1547"/>
    <w:rsid w:val="003A15A2"/>
    <w:rsid w:val="003A15C1"/>
    <w:rsid w:val="003A15D3"/>
    <w:rsid w:val="003A15D8"/>
    <w:rsid w:val="003A1618"/>
    <w:rsid w:val="003A167F"/>
    <w:rsid w:val="003A16E6"/>
    <w:rsid w:val="003A16EF"/>
    <w:rsid w:val="003A1735"/>
    <w:rsid w:val="003A17A5"/>
    <w:rsid w:val="003A17C9"/>
    <w:rsid w:val="003A17DA"/>
    <w:rsid w:val="003A17DE"/>
    <w:rsid w:val="003A17E4"/>
    <w:rsid w:val="003A17E7"/>
    <w:rsid w:val="003A182A"/>
    <w:rsid w:val="003A189B"/>
    <w:rsid w:val="003A18B2"/>
    <w:rsid w:val="003A192A"/>
    <w:rsid w:val="003A193B"/>
    <w:rsid w:val="003A193E"/>
    <w:rsid w:val="003A1968"/>
    <w:rsid w:val="003A197F"/>
    <w:rsid w:val="003A1980"/>
    <w:rsid w:val="003A1987"/>
    <w:rsid w:val="003A1989"/>
    <w:rsid w:val="003A1A0C"/>
    <w:rsid w:val="003A1A19"/>
    <w:rsid w:val="003A1A32"/>
    <w:rsid w:val="003A1A3D"/>
    <w:rsid w:val="003A1A47"/>
    <w:rsid w:val="003A1A6B"/>
    <w:rsid w:val="003A1A7D"/>
    <w:rsid w:val="003A1AA9"/>
    <w:rsid w:val="003A1ADC"/>
    <w:rsid w:val="003A1AE8"/>
    <w:rsid w:val="003A1B41"/>
    <w:rsid w:val="003A1B50"/>
    <w:rsid w:val="003A1B7F"/>
    <w:rsid w:val="003A1B84"/>
    <w:rsid w:val="003A1B8F"/>
    <w:rsid w:val="003A1BD7"/>
    <w:rsid w:val="003A1BEA"/>
    <w:rsid w:val="003A1C31"/>
    <w:rsid w:val="003A1C34"/>
    <w:rsid w:val="003A1C6E"/>
    <w:rsid w:val="003A1C98"/>
    <w:rsid w:val="003A1D0E"/>
    <w:rsid w:val="003A1D25"/>
    <w:rsid w:val="003A1D4D"/>
    <w:rsid w:val="003A1D93"/>
    <w:rsid w:val="003A1D9A"/>
    <w:rsid w:val="003A1DC3"/>
    <w:rsid w:val="003A1DC4"/>
    <w:rsid w:val="003A1E4F"/>
    <w:rsid w:val="003A1E62"/>
    <w:rsid w:val="003A1E91"/>
    <w:rsid w:val="003A1EBF"/>
    <w:rsid w:val="003A1ED8"/>
    <w:rsid w:val="003A1EE6"/>
    <w:rsid w:val="003A1EED"/>
    <w:rsid w:val="003A1F22"/>
    <w:rsid w:val="003A1F34"/>
    <w:rsid w:val="003A1F81"/>
    <w:rsid w:val="003A1F83"/>
    <w:rsid w:val="003A1FBF"/>
    <w:rsid w:val="003A1FE8"/>
    <w:rsid w:val="003A2017"/>
    <w:rsid w:val="003A2038"/>
    <w:rsid w:val="003A2044"/>
    <w:rsid w:val="003A208A"/>
    <w:rsid w:val="003A20BB"/>
    <w:rsid w:val="003A20D8"/>
    <w:rsid w:val="003A2104"/>
    <w:rsid w:val="003A215A"/>
    <w:rsid w:val="003A2168"/>
    <w:rsid w:val="003A2179"/>
    <w:rsid w:val="003A2197"/>
    <w:rsid w:val="003A21A6"/>
    <w:rsid w:val="003A2220"/>
    <w:rsid w:val="003A225E"/>
    <w:rsid w:val="003A2279"/>
    <w:rsid w:val="003A2292"/>
    <w:rsid w:val="003A22A8"/>
    <w:rsid w:val="003A22B7"/>
    <w:rsid w:val="003A22F4"/>
    <w:rsid w:val="003A230C"/>
    <w:rsid w:val="003A2324"/>
    <w:rsid w:val="003A2335"/>
    <w:rsid w:val="003A2337"/>
    <w:rsid w:val="003A2382"/>
    <w:rsid w:val="003A238E"/>
    <w:rsid w:val="003A23DB"/>
    <w:rsid w:val="003A2403"/>
    <w:rsid w:val="003A241B"/>
    <w:rsid w:val="003A2451"/>
    <w:rsid w:val="003A2483"/>
    <w:rsid w:val="003A24C2"/>
    <w:rsid w:val="003A24DC"/>
    <w:rsid w:val="003A24F1"/>
    <w:rsid w:val="003A250D"/>
    <w:rsid w:val="003A2524"/>
    <w:rsid w:val="003A255A"/>
    <w:rsid w:val="003A2566"/>
    <w:rsid w:val="003A2571"/>
    <w:rsid w:val="003A25DC"/>
    <w:rsid w:val="003A2603"/>
    <w:rsid w:val="003A260B"/>
    <w:rsid w:val="003A2693"/>
    <w:rsid w:val="003A269B"/>
    <w:rsid w:val="003A26A6"/>
    <w:rsid w:val="003A26CD"/>
    <w:rsid w:val="003A26F6"/>
    <w:rsid w:val="003A26FE"/>
    <w:rsid w:val="003A2715"/>
    <w:rsid w:val="003A2734"/>
    <w:rsid w:val="003A275B"/>
    <w:rsid w:val="003A27A5"/>
    <w:rsid w:val="003A27C0"/>
    <w:rsid w:val="003A27C7"/>
    <w:rsid w:val="003A2805"/>
    <w:rsid w:val="003A2831"/>
    <w:rsid w:val="003A287A"/>
    <w:rsid w:val="003A28DA"/>
    <w:rsid w:val="003A2924"/>
    <w:rsid w:val="003A292A"/>
    <w:rsid w:val="003A294C"/>
    <w:rsid w:val="003A297D"/>
    <w:rsid w:val="003A2983"/>
    <w:rsid w:val="003A29E2"/>
    <w:rsid w:val="003A2A00"/>
    <w:rsid w:val="003A2A2A"/>
    <w:rsid w:val="003A2A47"/>
    <w:rsid w:val="003A2AA2"/>
    <w:rsid w:val="003A2AE2"/>
    <w:rsid w:val="003A2AF0"/>
    <w:rsid w:val="003A2B59"/>
    <w:rsid w:val="003A2B9C"/>
    <w:rsid w:val="003A2BBF"/>
    <w:rsid w:val="003A2C02"/>
    <w:rsid w:val="003A2CA6"/>
    <w:rsid w:val="003A2CA8"/>
    <w:rsid w:val="003A2CBE"/>
    <w:rsid w:val="003A2D0D"/>
    <w:rsid w:val="003A2D39"/>
    <w:rsid w:val="003A2D7B"/>
    <w:rsid w:val="003A2D95"/>
    <w:rsid w:val="003A2DB2"/>
    <w:rsid w:val="003A2DB5"/>
    <w:rsid w:val="003A2DBF"/>
    <w:rsid w:val="003A2DF9"/>
    <w:rsid w:val="003A2E19"/>
    <w:rsid w:val="003A2E1F"/>
    <w:rsid w:val="003A2E45"/>
    <w:rsid w:val="003A2E6D"/>
    <w:rsid w:val="003A2E7F"/>
    <w:rsid w:val="003A2EA3"/>
    <w:rsid w:val="003A2F0D"/>
    <w:rsid w:val="003A2F34"/>
    <w:rsid w:val="003A2F39"/>
    <w:rsid w:val="003A2F5A"/>
    <w:rsid w:val="003A2F72"/>
    <w:rsid w:val="003A2FA5"/>
    <w:rsid w:val="003A2FDD"/>
    <w:rsid w:val="003A3016"/>
    <w:rsid w:val="003A303C"/>
    <w:rsid w:val="003A3064"/>
    <w:rsid w:val="003A306D"/>
    <w:rsid w:val="003A30A6"/>
    <w:rsid w:val="003A30AD"/>
    <w:rsid w:val="003A30D2"/>
    <w:rsid w:val="003A30DE"/>
    <w:rsid w:val="003A30E5"/>
    <w:rsid w:val="003A312F"/>
    <w:rsid w:val="003A3131"/>
    <w:rsid w:val="003A3139"/>
    <w:rsid w:val="003A313A"/>
    <w:rsid w:val="003A314D"/>
    <w:rsid w:val="003A31C4"/>
    <w:rsid w:val="003A31CA"/>
    <w:rsid w:val="003A3206"/>
    <w:rsid w:val="003A3227"/>
    <w:rsid w:val="003A326D"/>
    <w:rsid w:val="003A32ED"/>
    <w:rsid w:val="003A333E"/>
    <w:rsid w:val="003A338F"/>
    <w:rsid w:val="003A33AF"/>
    <w:rsid w:val="003A33CC"/>
    <w:rsid w:val="003A33D2"/>
    <w:rsid w:val="003A33E1"/>
    <w:rsid w:val="003A3423"/>
    <w:rsid w:val="003A3471"/>
    <w:rsid w:val="003A3479"/>
    <w:rsid w:val="003A3505"/>
    <w:rsid w:val="003A3592"/>
    <w:rsid w:val="003A35B8"/>
    <w:rsid w:val="003A3624"/>
    <w:rsid w:val="003A3628"/>
    <w:rsid w:val="003A363A"/>
    <w:rsid w:val="003A364D"/>
    <w:rsid w:val="003A365E"/>
    <w:rsid w:val="003A3672"/>
    <w:rsid w:val="003A36EC"/>
    <w:rsid w:val="003A36F1"/>
    <w:rsid w:val="003A3718"/>
    <w:rsid w:val="003A3755"/>
    <w:rsid w:val="003A37A0"/>
    <w:rsid w:val="003A37E3"/>
    <w:rsid w:val="003A37E9"/>
    <w:rsid w:val="003A381D"/>
    <w:rsid w:val="003A385D"/>
    <w:rsid w:val="003A3887"/>
    <w:rsid w:val="003A38C7"/>
    <w:rsid w:val="003A390B"/>
    <w:rsid w:val="003A3923"/>
    <w:rsid w:val="003A3950"/>
    <w:rsid w:val="003A3968"/>
    <w:rsid w:val="003A39B6"/>
    <w:rsid w:val="003A39E0"/>
    <w:rsid w:val="003A39FA"/>
    <w:rsid w:val="003A3A13"/>
    <w:rsid w:val="003A3A22"/>
    <w:rsid w:val="003A3A78"/>
    <w:rsid w:val="003A3A79"/>
    <w:rsid w:val="003A3A90"/>
    <w:rsid w:val="003A3AE3"/>
    <w:rsid w:val="003A3AEA"/>
    <w:rsid w:val="003A3B61"/>
    <w:rsid w:val="003A3B74"/>
    <w:rsid w:val="003A3BB0"/>
    <w:rsid w:val="003A3BE7"/>
    <w:rsid w:val="003A3C07"/>
    <w:rsid w:val="003A3C0D"/>
    <w:rsid w:val="003A3C39"/>
    <w:rsid w:val="003A3C83"/>
    <w:rsid w:val="003A3CBB"/>
    <w:rsid w:val="003A3CC5"/>
    <w:rsid w:val="003A3CF8"/>
    <w:rsid w:val="003A3CFA"/>
    <w:rsid w:val="003A3D1E"/>
    <w:rsid w:val="003A3D21"/>
    <w:rsid w:val="003A3D92"/>
    <w:rsid w:val="003A3D96"/>
    <w:rsid w:val="003A3DBC"/>
    <w:rsid w:val="003A3DC1"/>
    <w:rsid w:val="003A3DE5"/>
    <w:rsid w:val="003A3DEA"/>
    <w:rsid w:val="003A3E62"/>
    <w:rsid w:val="003A3EA1"/>
    <w:rsid w:val="003A3ED1"/>
    <w:rsid w:val="003A3EFA"/>
    <w:rsid w:val="003A3F25"/>
    <w:rsid w:val="003A3F4A"/>
    <w:rsid w:val="003A3F8F"/>
    <w:rsid w:val="003A3FF4"/>
    <w:rsid w:val="003A3FFA"/>
    <w:rsid w:val="003A4010"/>
    <w:rsid w:val="003A4047"/>
    <w:rsid w:val="003A4052"/>
    <w:rsid w:val="003A40FF"/>
    <w:rsid w:val="003A410C"/>
    <w:rsid w:val="003A413E"/>
    <w:rsid w:val="003A4143"/>
    <w:rsid w:val="003A4172"/>
    <w:rsid w:val="003A4187"/>
    <w:rsid w:val="003A41A6"/>
    <w:rsid w:val="003A41B7"/>
    <w:rsid w:val="003A41DF"/>
    <w:rsid w:val="003A41E5"/>
    <w:rsid w:val="003A41E8"/>
    <w:rsid w:val="003A425C"/>
    <w:rsid w:val="003A4260"/>
    <w:rsid w:val="003A4270"/>
    <w:rsid w:val="003A42A0"/>
    <w:rsid w:val="003A42D8"/>
    <w:rsid w:val="003A430B"/>
    <w:rsid w:val="003A436A"/>
    <w:rsid w:val="003A4498"/>
    <w:rsid w:val="003A449C"/>
    <w:rsid w:val="003A44F7"/>
    <w:rsid w:val="003A4507"/>
    <w:rsid w:val="003A453B"/>
    <w:rsid w:val="003A453D"/>
    <w:rsid w:val="003A457E"/>
    <w:rsid w:val="003A45AF"/>
    <w:rsid w:val="003A4605"/>
    <w:rsid w:val="003A462F"/>
    <w:rsid w:val="003A464C"/>
    <w:rsid w:val="003A464F"/>
    <w:rsid w:val="003A468B"/>
    <w:rsid w:val="003A46B4"/>
    <w:rsid w:val="003A46D8"/>
    <w:rsid w:val="003A46D9"/>
    <w:rsid w:val="003A4720"/>
    <w:rsid w:val="003A473E"/>
    <w:rsid w:val="003A479F"/>
    <w:rsid w:val="003A47AF"/>
    <w:rsid w:val="003A47B8"/>
    <w:rsid w:val="003A47CB"/>
    <w:rsid w:val="003A47EC"/>
    <w:rsid w:val="003A4851"/>
    <w:rsid w:val="003A485D"/>
    <w:rsid w:val="003A4865"/>
    <w:rsid w:val="003A486F"/>
    <w:rsid w:val="003A487E"/>
    <w:rsid w:val="003A48F9"/>
    <w:rsid w:val="003A4906"/>
    <w:rsid w:val="003A4910"/>
    <w:rsid w:val="003A4911"/>
    <w:rsid w:val="003A4919"/>
    <w:rsid w:val="003A491A"/>
    <w:rsid w:val="003A4932"/>
    <w:rsid w:val="003A4935"/>
    <w:rsid w:val="003A4950"/>
    <w:rsid w:val="003A4969"/>
    <w:rsid w:val="003A496D"/>
    <w:rsid w:val="003A49BE"/>
    <w:rsid w:val="003A49C4"/>
    <w:rsid w:val="003A49ED"/>
    <w:rsid w:val="003A4A05"/>
    <w:rsid w:val="003A4A1A"/>
    <w:rsid w:val="003A4A32"/>
    <w:rsid w:val="003A4A3B"/>
    <w:rsid w:val="003A4A68"/>
    <w:rsid w:val="003A4AAA"/>
    <w:rsid w:val="003A4AC2"/>
    <w:rsid w:val="003A4AC9"/>
    <w:rsid w:val="003A4ACD"/>
    <w:rsid w:val="003A4B59"/>
    <w:rsid w:val="003A4B7E"/>
    <w:rsid w:val="003A4BD1"/>
    <w:rsid w:val="003A4C00"/>
    <w:rsid w:val="003A4C22"/>
    <w:rsid w:val="003A4C5B"/>
    <w:rsid w:val="003A4C7F"/>
    <w:rsid w:val="003A4D01"/>
    <w:rsid w:val="003A4D8F"/>
    <w:rsid w:val="003A4DAA"/>
    <w:rsid w:val="003A4E44"/>
    <w:rsid w:val="003A4E7E"/>
    <w:rsid w:val="003A4E87"/>
    <w:rsid w:val="003A4EA3"/>
    <w:rsid w:val="003A4EBC"/>
    <w:rsid w:val="003A4EC9"/>
    <w:rsid w:val="003A4ED3"/>
    <w:rsid w:val="003A4EDE"/>
    <w:rsid w:val="003A4EED"/>
    <w:rsid w:val="003A4EF7"/>
    <w:rsid w:val="003A4F12"/>
    <w:rsid w:val="003A4F29"/>
    <w:rsid w:val="003A4F41"/>
    <w:rsid w:val="003A4F49"/>
    <w:rsid w:val="003A4F6E"/>
    <w:rsid w:val="003A4F82"/>
    <w:rsid w:val="003A4F9D"/>
    <w:rsid w:val="003A4FA7"/>
    <w:rsid w:val="003A4FAC"/>
    <w:rsid w:val="003A4FC0"/>
    <w:rsid w:val="003A5026"/>
    <w:rsid w:val="003A5057"/>
    <w:rsid w:val="003A5061"/>
    <w:rsid w:val="003A50A4"/>
    <w:rsid w:val="003A50A8"/>
    <w:rsid w:val="003A50AF"/>
    <w:rsid w:val="003A50BA"/>
    <w:rsid w:val="003A51F2"/>
    <w:rsid w:val="003A5243"/>
    <w:rsid w:val="003A5287"/>
    <w:rsid w:val="003A52A7"/>
    <w:rsid w:val="003A5302"/>
    <w:rsid w:val="003A5304"/>
    <w:rsid w:val="003A5350"/>
    <w:rsid w:val="003A5352"/>
    <w:rsid w:val="003A53AE"/>
    <w:rsid w:val="003A53D2"/>
    <w:rsid w:val="003A53D5"/>
    <w:rsid w:val="003A5407"/>
    <w:rsid w:val="003A545E"/>
    <w:rsid w:val="003A54A2"/>
    <w:rsid w:val="003A54FC"/>
    <w:rsid w:val="003A555C"/>
    <w:rsid w:val="003A5561"/>
    <w:rsid w:val="003A5578"/>
    <w:rsid w:val="003A55B9"/>
    <w:rsid w:val="003A55BE"/>
    <w:rsid w:val="003A55CA"/>
    <w:rsid w:val="003A5607"/>
    <w:rsid w:val="003A560E"/>
    <w:rsid w:val="003A5645"/>
    <w:rsid w:val="003A5698"/>
    <w:rsid w:val="003A56DB"/>
    <w:rsid w:val="003A570D"/>
    <w:rsid w:val="003A5787"/>
    <w:rsid w:val="003A57B1"/>
    <w:rsid w:val="003A57C0"/>
    <w:rsid w:val="003A57C8"/>
    <w:rsid w:val="003A57DB"/>
    <w:rsid w:val="003A57DF"/>
    <w:rsid w:val="003A57ED"/>
    <w:rsid w:val="003A5817"/>
    <w:rsid w:val="003A5829"/>
    <w:rsid w:val="003A589E"/>
    <w:rsid w:val="003A58A4"/>
    <w:rsid w:val="003A5937"/>
    <w:rsid w:val="003A5941"/>
    <w:rsid w:val="003A5949"/>
    <w:rsid w:val="003A59A5"/>
    <w:rsid w:val="003A5A01"/>
    <w:rsid w:val="003A5A1F"/>
    <w:rsid w:val="003A5A4A"/>
    <w:rsid w:val="003A5A8F"/>
    <w:rsid w:val="003A5AA0"/>
    <w:rsid w:val="003A5B23"/>
    <w:rsid w:val="003A5BA0"/>
    <w:rsid w:val="003A5BEC"/>
    <w:rsid w:val="003A5BFD"/>
    <w:rsid w:val="003A5BFE"/>
    <w:rsid w:val="003A5C1D"/>
    <w:rsid w:val="003A5C34"/>
    <w:rsid w:val="003A5C3D"/>
    <w:rsid w:val="003A5C4D"/>
    <w:rsid w:val="003A5C6A"/>
    <w:rsid w:val="003A5C8D"/>
    <w:rsid w:val="003A5CF1"/>
    <w:rsid w:val="003A5D14"/>
    <w:rsid w:val="003A5D26"/>
    <w:rsid w:val="003A5D2A"/>
    <w:rsid w:val="003A5D61"/>
    <w:rsid w:val="003A5DD1"/>
    <w:rsid w:val="003A5DE7"/>
    <w:rsid w:val="003A5E10"/>
    <w:rsid w:val="003A5E23"/>
    <w:rsid w:val="003A5E53"/>
    <w:rsid w:val="003A5E6E"/>
    <w:rsid w:val="003A5E89"/>
    <w:rsid w:val="003A5EB7"/>
    <w:rsid w:val="003A5F0C"/>
    <w:rsid w:val="003A5F41"/>
    <w:rsid w:val="003A5F7B"/>
    <w:rsid w:val="003A5FBD"/>
    <w:rsid w:val="003A6029"/>
    <w:rsid w:val="003A602A"/>
    <w:rsid w:val="003A6041"/>
    <w:rsid w:val="003A604C"/>
    <w:rsid w:val="003A6062"/>
    <w:rsid w:val="003A6078"/>
    <w:rsid w:val="003A609D"/>
    <w:rsid w:val="003A611D"/>
    <w:rsid w:val="003A613F"/>
    <w:rsid w:val="003A61B4"/>
    <w:rsid w:val="003A61F9"/>
    <w:rsid w:val="003A6248"/>
    <w:rsid w:val="003A62AC"/>
    <w:rsid w:val="003A62AE"/>
    <w:rsid w:val="003A62B9"/>
    <w:rsid w:val="003A62C6"/>
    <w:rsid w:val="003A62C9"/>
    <w:rsid w:val="003A6328"/>
    <w:rsid w:val="003A6395"/>
    <w:rsid w:val="003A639E"/>
    <w:rsid w:val="003A63EE"/>
    <w:rsid w:val="003A644E"/>
    <w:rsid w:val="003A6465"/>
    <w:rsid w:val="003A6468"/>
    <w:rsid w:val="003A64F3"/>
    <w:rsid w:val="003A650B"/>
    <w:rsid w:val="003A6558"/>
    <w:rsid w:val="003A6590"/>
    <w:rsid w:val="003A65E8"/>
    <w:rsid w:val="003A65F0"/>
    <w:rsid w:val="003A6610"/>
    <w:rsid w:val="003A6633"/>
    <w:rsid w:val="003A664F"/>
    <w:rsid w:val="003A6655"/>
    <w:rsid w:val="003A665C"/>
    <w:rsid w:val="003A669D"/>
    <w:rsid w:val="003A66CC"/>
    <w:rsid w:val="003A66DC"/>
    <w:rsid w:val="003A66DD"/>
    <w:rsid w:val="003A66E3"/>
    <w:rsid w:val="003A66EB"/>
    <w:rsid w:val="003A672A"/>
    <w:rsid w:val="003A674F"/>
    <w:rsid w:val="003A6755"/>
    <w:rsid w:val="003A6772"/>
    <w:rsid w:val="003A679B"/>
    <w:rsid w:val="003A67B4"/>
    <w:rsid w:val="003A67C0"/>
    <w:rsid w:val="003A67DD"/>
    <w:rsid w:val="003A680A"/>
    <w:rsid w:val="003A684D"/>
    <w:rsid w:val="003A68A0"/>
    <w:rsid w:val="003A68B6"/>
    <w:rsid w:val="003A68B8"/>
    <w:rsid w:val="003A68D1"/>
    <w:rsid w:val="003A68D8"/>
    <w:rsid w:val="003A68E3"/>
    <w:rsid w:val="003A6919"/>
    <w:rsid w:val="003A696B"/>
    <w:rsid w:val="003A697A"/>
    <w:rsid w:val="003A69B2"/>
    <w:rsid w:val="003A69F5"/>
    <w:rsid w:val="003A69FA"/>
    <w:rsid w:val="003A6A3B"/>
    <w:rsid w:val="003A6AB9"/>
    <w:rsid w:val="003A6AD0"/>
    <w:rsid w:val="003A6AED"/>
    <w:rsid w:val="003A6B47"/>
    <w:rsid w:val="003A6B78"/>
    <w:rsid w:val="003A6BAB"/>
    <w:rsid w:val="003A6BAD"/>
    <w:rsid w:val="003A6C06"/>
    <w:rsid w:val="003A6C5B"/>
    <w:rsid w:val="003A6CD1"/>
    <w:rsid w:val="003A6D32"/>
    <w:rsid w:val="003A6E53"/>
    <w:rsid w:val="003A6E6D"/>
    <w:rsid w:val="003A6E81"/>
    <w:rsid w:val="003A6EB8"/>
    <w:rsid w:val="003A6ED1"/>
    <w:rsid w:val="003A6ED3"/>
    <w:rsid w:val="003A6EFE"/>
    <w:rsid w:val="003A6F33"/>
    <w:rsid w:val="003A6F8D"/>
    <w:rsid w:val="003A6FB9"/>
    <w:rsid w:val="003A6FE8"/>
    <w:rsid w:val="003A7008"/>
    <w:rsid w:val="003A707F"/>
    <w:rsid w:val="003A7097"/>
    <w:rsid w:val="003A70AF"/>
    <w:rsid w:val="003A70CB"/>
    <w:rsid w:val="003A7131"/>
    <w:rsid w:val="003A7161"/>
    <w:rsid w:val="003A7189"/>
    <w:rsid w:val="003A719E"/>
    <w:rsid w:val="003A71F8"/>
    <w:rsid w:val="003A71FD"/>
    <w:rsid w:val="003A7218"/>
    <w:rsid w:val="003A7229"/>
    <w:rsid w:val="003A7246"/>
    <w:rsid w:val="003A730F"/>
    <w:rsid w:val="003A737A"/>
    <w:rsid w:val="003A738A"/>
    <w:rsid w:val="003A73AF"/>
    <w:rsid w:val="003A73D2"/>
    <w:rsid w:val="003A740D"/>
    <w:rsid w:val="003A7454"/>
    <w:rsid w:val="003A746A"/>
    <w:rsid w:val="003A7487"/>
    <w:rsid w:val="003A74B8"/>
    <w:rsid w:val="003A7516"/>
    <w:rsid w:val="003A7521"/>
    <w:rsid w:val="003A753A"/>
    <w:rsid w:val="003A7583"/>
    <w:rsid w:val="003A75AB"/>
    <w:rsid w:val="003A75AC"/>
    <w:rsid w:val="003A75CE"/>
    <w:rsid w:val="003A7650"/>
    <w:rsid w:val="003A7651"/>
    <w:rsid w:val="003A765B"/>
    <w:rsid w:val="003A7668"/>
    <w:rsid w:val="003A7673"/>
    <w:rsid w:val="003A7713"/>
    <w:rsid w:val="003A7723"/>
    <w:rsid w:val="003A7760"/>
    <w:rsid w:val="003A7761"/>
    <w:rsid w:val="003A77E1"/>
    <w:rsid w:val="003A77E2"/>
    <w:rsid w:val="003A77E9"/>
    <w:rsid w:val="003A77F1"/>
    <w:rsid w:val="003A77F2"/>
    <w:rsid w:val="003A786D"/>
    <w:rsid w:val="003A787B"/>
    <w:rsid w:val="003A78C3"/>
    <w:rsid w:val="003A78EF"/>
    <w:rsid w:val="003A790E"/>
    <w:rsid w:val="003A7968"/>
    <w:rsid w:val="003A799A"/>
    <w:rsid w:val="003A799B"/>
    <w:rsid w:val="003A79AE"/>
    <w:rsid w:val="003A79B5"/>
    <w:rsid w:val="003A79D4"/>
    <w:rsid w:val="003A79FD"/>
    <w:rsid w:val="003A7A1A"/>
    <w:rsid w:val="003A7A5E"/>
    <w:rsid w:val="003A7AAB"/>
    <w:rsid w:val="003A7AB7"/>
    <w:rsid w:val="003A7AC2"/>
    <w:rsid w:val="003A7AE3"/>
    <w:rsid w:val="003A7B11"/>
    <w:rsid w:val="003A7B3C"/>
    <w:rsid w:val="003A7B53"/>
    <w:rsid w:val="003A7B82"/>
    <w:rsid w:val="003A7BB8"/>
    <w:rsid w:val="003A7BCB"/>
    <w:rsid w:val="003A7BF2"/>
    <w:rsid w:val="003A7C0F"/>
    <w:rsid w:val="003A7C5A"/>
    <w:rsid w:val="003A7C6E"/>
    <w:rsid w:val="003A7C71"/>
    <w:rsid w:val="003A7CB6"/>
    <w:rsid w:val="003A7CB9"/>
    <w:rsid w:val="003A7CE3"/>
    <w:rsid w:val="003A7D44"/>
    <w:rsid w:val="003A7D73"/>
    <w:rsid w:val="003A7DAB"/>
    <w:rsid w:val="003A7DF5"/>
    <w:rsid w:val="003A7E8D"/>
    <w:rsid w:val="003A7ED1"/>
    <w:rsid w:val="003A7F06"/>
    <w:rsid w:val="003A7F13"/>
    <w:rsid w:val="003A7F3F"/>
    <w:rsid w:val="003A7F5F"/>
    <w:rsid w:val="003A7F93"/>
    <w:rsid w:val="003A7F96"/>
    <w:rsid w:val="003A7FC6"/>
    <w:rsid w:val="003A7FCC"/>
    <w:rsid w:val="003A7FEB"/>
    <w:rsid w:val="003B000D"/>
    <w:rsid w:val="003B0055"/>
    <w:rsid w:val="003B0062"/>
    <w:rsid w:val="003B008B"/>
    <w:rsid w:val="003B008F"/>
    <w:rsid w:val="003B00A5"/>
    <w:rsid w:val="003B00AC"/>
    <w:rsid w:val="003B00C9"/>
    <w:rsid w:val="003B00D4"/>
    <w:rsid w:val="003B010A"/>
    <w:rsid w:val="003B0117"/>
    <w:rsid w:val="003B01D2"/>
    <w:rsid w:val="003B01F6"/>
    <w:rsid w:val="003B0237"/>
    <w:rsid w:val="003B0247"/>
    <w:rsid w:val="003B024D"/>
    <w:rsid w:val="003B025C"/>
    <w:rsid w:val="003B0338"/>
    <w:rsid w:val="003B0344"/>
    <w:rsid w:val="003B0370"/>
    <w:rsid w:val="003B0394"/>
    <w:rsid w:val="003B03A6"/>
    <w:rsid w:val="003B03B5"/>
    <w:rsid w:val="003B0434"/>
    <w:rsid w:val="003B0489"/>
    <w:rsid w:val="003B0498"/>
    <w:rsid w:val="003B04A0"/>
    <w:rsid w:val="003B04FC"/>
    <w:rsid w:val="003B0524"/>
    <w:rsid w:val="003B0548"/>
    <w:rsid w:val="003B0556"/>
    <w:rsid w:val="003B0570"/>
    <w:rsid w:val="003B0586"/>
    <w:rsid w:val="003B05C6"/>
    <w:rsid w:val="003B05CA"/>
    <w:rsid w:val="003B05CE"/>
    <w:rsid w:val="003B05D5"/>
    <w:rsid w:val="003B060C"/>
    <w:rsid w:val="003B0662"/>
    <w:rsid w:val="003B0673"/>
    <w:rsid w:val="003B0688"/>
    <w:rsid w:val="003B068D"/>
    <w:rsid w:val="003B069B"/>
    <w:rsid w:val="003B06AD"/>
    <w:rsid w:val="003B06CC"/>
    <w:rsid w:val="003B06F2"/>
    <w:rsid w:val="003B0768"/>
    <w:rsid w:val="003B07FC"/>
    <w:rsid w:val="003B07FF"/>
    <w:rsid w:val="003B0832"/>
    <w:rsid w:val="003B0845"/>
    <w:rsid w:val="003B084D"/>
    <w:rsid w:val="003B085D"/>
    <w:rsid w:val="003B0860"/>
    <w:rsid w:val="003B0873"/>
    <w:rsid w:val="003B0897"/>
    <w:rsid w:val="003B0899"/>
    <w:rsid w:val="003B089D"/>
    <w:rsid w:val="003B08A5"/>
    <w:rsid w:val="003B08CA"/>
    <w:rsid w:val="003B08EF"/>
    <w:rsid w:val="003B0915"/>
    <w:rsid w:val="003B0935"/>
    <w:rsid w:val="003B0993"/>
    <w:rsid w:val="003B09A5"/>
    <w:rsid w:val="003B09D1"/>
    <w:rsid w:val="003B0A15"/>
    <w:rsid w:val="003B0A3E"/>
    <w:rsid w:val="003B0A40"/>
    <w:rsid w:val="003B0A57"/>
    <w:rsid w:val="003B0AAD"/>
    <w:rsid w:val="003B0AF8"/>
    <w:rsid w:val="003B0B26"/>
    <w:rsid w:val="003B0B35"/>
    <w:rsid w:val="003B0B55"/>
    <w:rsid w:val="003B0B92"/>
    <w:rsid w:val="003B0BC4"/>
    <w:rsid w:val="003B0BEE"/>
    <w:rsid w:val="003B0BF1"/>
    <w:rsid w:val="003B0C3A"/>
    <w:rsid w:val="003B0C5E"/>
    <w:rsid w:val="003B0C86"/>
    <w:rsid w:val="003B0C8F"/>
    <w:rsid w:val="003B0CB0"/>
    <w:rsid w:val="003B0CB2"/>
    <w:rsid w:val="003B0D0F"/>
    <w:rsid w:val="003B0D2B"/>
    <w:rsid w:val="003B0D96"/>
    <w:rsid w:val="003B0DBC"/>
    <w:rsid w:val="003B0DCD"/>
    <w:rsid w:val="003B0E01"/>
    <w:rsid w:val="003B0E6B"/>
    <w:rsid w:val="003B0E83"/>
    <w:rsid w:val="003B0E98"/>
    <w:rsid w:val="003B0F20"/>
    <w:rsid w:val="003B0F2E"/>
    <w:rsid w:val="003B0F57"/>
    <w:rsid w:val="003B0F7D"/>
    <w:rsid w:val="003B0FAC"/>
    <w:rsid w:val="003B0FF8"/>
    <w:rsid w:val="003B1034"/>
    <w:rsid w:val="003B1038"/>
    <w:rsid w:val="003B10AC"/>
    <w:rsid w:val="003B10E6"/>
    <w:rsid w:val="003B1109"/>
    <w:rsid w:val="003B1126"/>
    <w:rsid w:val="003B1145"/>
    <w:rsid w:val="003B115C"/>
    <w:rsid w:val="003B118A"/>
    <w:rsid w:val="003B1192"/>
    <w:rsid w:val="003B119B"/>
    <w:rsid w:val="003B11AC"/>
    <w:rsid w:val="003B11FA"/>
    <w:rsid w:val="003B120E"/>
    <w:rsid w:val="003B1254"/>
    <w:rsid w:val="003B1290"/>
    <w:rsid w:val="003B12B5"/>
    <w:rsid w:val="003B12BF"/>
    <w:rsid w:val="003B1316"/>
    <w:rsid w:val="003B1335"/>
    <w:rsid w:val="003B1381"/>
    <w:rsid w:val="003B138F"/>
    <w:rsid w:val="003B13A7"/>
    <w:rsid w:val="003B13E6"/>
    <w:rsid w:val="003B13EC"/>
    <w:rsid w:val="003B1401"/>
    <w:rsid w:val="003B142F"/>
    <w:rsid w:val="003B1433"/>
    <w:rsid w:val="003B144A"/>
    <w:rsid w:val="003B14C7"/>
    <w:rsid w:val="003B14DB"/>
    <w:rsid w:val="003B14EB"/>
    <w:rsid w:val="003B14F8"/>
    <w:rsid w:val="003B14FA"/>
    <w:rsid w:val="003B1507"/>
    <w:rsid w:val="003B1563"/>
    <w:rsid w:val="003B156E"/>
    <w:rsid w:val="003B15C8"/>
    <w:rsid w:val="003B15CD"/>
    <w:rsid w:val="003B15CF"/>
    <w:rsid w:val="003B15E0"/>
    <w:rsid w:val="003B15E1"/>
    <w:rsid w:val="003B1600"/>
    <w:rsid w:val="003B1611"/>
    <w:rsid w:val="003B161F"/>
    <w:rsid w:val="003B1637"/>
    <w:rsid w:val="003B16C0"/>
    <w:rsid w:val="003B16E2"/>
    <w:rsid w:val="003B1704"/>
    <w:rsid w:val="003B1722"/>
    <w:rsid w:val="003B1797"/>
    <w:rsid w:val="003B17CD"/>
    <w:rsid w:val="003B17ED"/>
    <w:rsid w:val="003B1807"/>
    <w:rsid w:val="003B180F"/>
    <w:rsid w:val="003B1844"/>
    <w:rsid w:val="003B1868"/>
    <w:rsid w:val="003B18A8"/>
    <w:rsid w:val="003B18EF"/>
    <w:rsid w:val="003B18FA"/>
    <w:rsid w:val="003B1922"/>
    <w:rsid w:val="003B192F"/>
    <w:rsid w:val="003B193D"/>
    <w:rsid w:val="003B1955"/>
    <w:rsid w:val="003B1961"/>
    <w:rsid w:val="003B19BE"/>
    <w:rsid w:val="003B1A14"/>
    <w:rsid w:val="003B1A5B"/>
    <w:rsid w:val="003B1A72"/>
    <w:rsid w:val="003B1A76"/>
    <w:rsid w:val="003B1ACC"/>
    <w:rsid w:val="003B1AD2"/>
    <w:rsid w:val="003B1B10"/>
    <w:rsid w:val="003B1B7A"/>
    <w:rsid w:val="003B1B90"/>
    <w:rsid w:val="003B1BBE"/>
    <w:rsid w:val="003B1BD6"/>
    <w:rsid w:val="003B1BE5"/>
    <w:rsid w:val="003B1C98"/>
    <w:rsid w:val="003B1CB7"/>
    <w:rsid w:val="003B1CBA"/>
    <w:rsid w:val="003B1CF3"/>
    <w:rsid w:val="003B1CF9"/>
    <w:rsid w:val="003B1D04"/>
    <w:rsid w:val="003B1D36"/>
    <w:rsid w:val="003B1D41"/>
    <w:rsid w:val="003B1D59"/>
    <w:rsid w:val="003B1D63"/>
    <w:rsid w:val="003B1D65"/>
    <w:rsid w:val="003B1D81"/>
    <w:rsid w:val="003B1DEE"/>
    <w:rsid w:val="003B1DFE"/>
    <w:rsid w:val="003B1E27"/>
    <w:rsid w:val="003B1E83"/>
    <w:rsid w:val="003B1E95"/>
    <w:rsid w:val="003B1F1C"/>
    <w:rsid w:val="003B1F32"/>
    <w:rsid w:val="003B1F86"/>
    <w:rsid w:val="003B1FEC"/>
    <w:rsid w:val="003B2027"/>
    <w:rsid w:val="003B2031"/>
    <w:rsid w:val="003B205D"/>
    <w:rsid w:val="003B207F"/>
    <w:rsid w:val="003B20B1"/>
    <w:rsid w:val="003B20B5"/>
    <w:rsid w:val="003B20BD"/>
    <w:rsid w:val="003B20C2"/>
    <w:rsid w:val="003B20C4"/>
    <w:rsid w:val="003B20C8"/>
    <w:rsid w:val="003B20CB"/>
    <w:rsid w:val="003B20FA"/>
    <w:rsid w:val="003B211A"/>
    <w:rsid w:val="003B215D"/>
    <w:rsid w:val="003B2187"/>
    <w:rsid w:val="003B2199"/>
    <w:rsid w:val="003B21B1"/>
    <w:rsid w:val="003B2205"/>
    <w:rsid w:val="003B220A"/>
    <w:rsid w:val="003B225A"/>
    <w:rsid w:val="003B227C"/>
    <w:rsid w:val="003B2290"/>
    <w:rsid w:val="003B231B"/>
    <w:rsid w:val="003B2322"/>
    <w:rsid w:val="003B234B"/>
    <w:rsid w:val="003B235E"/>
    <w:rsid w:val="003B2363"/>
    <w:rsid w:val="003B237A"/>
    <w:rsid w:val="003B2387"/>
    <w:rsid w:val="003B23B1"/>
    <w:rsid w:val="003B23B7"/>
    <w:rsid w:val="003B23BC"/>
    <w:rsid w:val="003B23CC"/>
    <w:rsid w:val="003B23EC"/>
    <w:rsid w:val="003B23EE"/>
    <w:rsid w:val="003B23F9"/>
    <w:rsid w:val="003B2417"/>
    <w:rsid w:val="003B2432"/>
    <w:rsid w:val="003B249A"/>
    <w:rsid w:val="003B24AA"/>
    <w:rsid w:val="003B24BB"/>
    <w:rsid w:val="003B24C7"/>
    <w:rsid w:val="003B24F9"/>
    <w:rsid w:val="003B2555"/>
    <w:rsid w:val="003B2571"/>
    <w:rsid w:val="003B2579"/>
    <w:rsid w:val="003B25D4"/>
    <w:rsid w:val="003B2619"/>
    <w:rsid w:val="003B2650"/>
    <w:rsid w:val="003B272D"/>
    <w:rsid w:val="003B273A"/>
    <w:rsid w:val="003B273D"/>
    <w:rsid w:val="003B274D"/>
    <w:rsid w:val="003B27EA"/>
    <w:rsid w:val="003B27FD"/>
    <w:rsid w:val="003B282D"/>
    <w:rsid w:val="003B282F"/>
    <w:rsid w:val="003B2833"/>
    <w:rsid w:val="003B286A"/>
    <w:rsid w:val="003B2898"/>
    <w:rsid w:val="003B28B6"/>
    <w:rsid w:val="003B28BA"/>
    <w:rsid w:val="003B28DA"/>
    <w:rsid w:val="003B28E3"/>
    <w:rsid w:val="003B292A"/>
    <w:rsid w:val="003B294F"/>
    <w:rsid w:val="003B2971"/>
    <w:rsid w:val="003B2982"/>
    <w:rsid w:val="003B29B4"/>
    <w:rsid w:val="003B29DA"/>
    <w:rsid w:val="003B2A08"/>
    <w:rsid w:val="003B2A29"/>
    <w:rsid w:val="003B2A4C"/>
    <w:rsid w:val="003B2A53"/>
    <w:rsid w:val="003B2A60"/>
    <w:rsid w:val="003B2A8C"/>
    <w:rsid w:val="003B2AB8"/>
    <w:rsid w:val="003B2AC0"/>
    <w:rsid w:val="003B2B52"/>
    <w:rsid w:val="003B2B71"/>
    <w:rsid w:val="003B2B98"/>
    <w:rsid w:val="003B2BA5"/>
    <w:rsid w:val="003B2BAA"/>
    <w:rsid w:val="003B2BC6"/>
    <w:rsid w:val="003B2BCA"/>
    <w:rsid w:val="003B2BFF"/>
    <w:rsid w:val="003B2C1D"/>
    <w:rsid w:val="003B2C3B"/>
    <w:rsid w:val="003B2CA1"/>
    <w:rsid w:val="003B2CA6"/>
    <w:rsid w:val="003B2CE4"/>
    <w:rsid w:val="003B2D1F"/>
    <w:rsid w:val="003B2D68"/>
    <w:rsid w:val="003B2DD5"/>
    <w:rsid w:val="003B2DEC"/>
    <w:rsid w:val="003B2E16"/>
    <w:rsid w:val="003B2E2A"/>
    <w:rsid w:val="003B2E7A"/>
    <w:rsid w:val="003B2E83"/>
    <w:rsid w:val="003B2ED2"/>
    <w:rsid w:val="003B2EE7"/>
    <w:rsid w:val="003B2F79"/>
    <w:rsid w:val="003B2F7A"/>
    <w:rsid w:val="003B2F86"/>
    <w:rsid w:val="003B2F94"/>
    <w:rsid w:val="003B2F9B"/>
    <w:rsid w:val="003B2FA1"/>
    <w:rsid w:val="003B2FAD"/>
    <w:rsid w:val="003B2FBB"/>
    <w:rsid w:val="003B2FC1"/>
    <w:rsid w:val="003B300F"/>
    <w:rsid w:val="003B3037"/>
    <w:rsid w:val="003B30A4"/>
    <w:rsid w:val="003B30AE"/>
    <w:rsid w:val="003B30B0"/>
    <w:rsid w:val="003B30E9"/>
    <w:rsid w:val="003B30F7"/>
    <w:rsid w:val="003B3106"/>
    <w:rsid w:val="003B311A"/>
    <w:rsid w:val="003B3126"/>
    <w:rsid w:val="003B3129"/>
    <w:rsid w:val="003B3141"/>
    <w:rsid w:val="003B3161"/>
    <w:rsid w:val="003B3164"/>
    <w:rsid w:val="003B31B6"/>
    <w:rsid w:val="003B31BF"/>
    <w:rsid w:val="003B31F5"/>
    <w:rsid w:val="003B324A"/>
    <w:rsid w:val="003B3271"/>
    <w:rsid w:val="003B32B9"/>
    <w:rsid w:val="003B338D"/>
    <w:rsid w:val="003B3394"/>
    <w:rsid w:val="003B34D3"/>
    <w:rsid w:val="003B3535"/>
    <w:rsid w:val="003B354C"/>
    <w:rsid w:val="003B3551"/>
    <w:rsid w:val="003B3560"/>
    <w:rsid w:val="003B3582"/>
    <w:rsid w:val="003B3583"/>
    <w:rsid w:val="003B3593"/>
    <w:rsid w:val="003B35F0"/>
    <w:rsid w:val="003B35F7"/>
    <w:rsid w:val="003B365F"/>
    <w:rsid w:val="003B3672"/>
    <w:rsid w:val="003B368E"/>
    <w:rsid w:val="003B36C5"/>
    <w:rsid w:val="003B3709"/>
    <w:rsid w:val="003B370D"/>
    <w:rsid w:val="003B372C"/>
    <w:rsid w:val="003B377B"/>
    <w:rsid w:val="003B3788"/>
    <w:rsid w:val="003B37B7"/>
    <w:rsid w:val="003B37BE"/>
    <w:rsid w:val="003B3818"/>
    <w:rsid w:val="003B381B"/>
    <w:rsid w:val="003B382C"/>
    <w:rsid w:val="003B3831"/>
    <w:rsid w:val="003B3855"/>
    <w:rsid w:val="003B3877"/>
    <w:rsid w:val="003B3879"/>
    <w:rsid w:val="003B3893"/>
    <w:rsid w:val="003B38AF"/>
    <w:rsid w:val="003B3937"/>
    <w:rsid w:val="003B3943"/>
    <w:rsid w:val="003B397B"/>
    <w:rsid w:val="003B3980"/>
    <w:rsid w:val="003B39BD"/>
    <w:rsid w:val="003B39CA"/>
    <w:rsid w:val="003B39EA"/>
    <w:rsid w:val="003B3A08"/>
    <w:rsid w:val="003B3A24"/>
    <w:rsid w:val="003B3A4C"/>
    <w:rsid w:val="003B3A6B"/>
    <w:rsid w:val="003B3A84"/>
    <w:rsid w:val="003B3B51"/>
    <w:rsid w:val="003B3B55"/>
    <w:rsid w:val="003B3B7C"/>
    <w:rsid w:val="003B3B83"/>
    <w:rsid w:val="003B3BB0"/>
    <w:rsid w:val="003B3BB3"/>
    <w:rsid w:val="003B3BE8"/>
    <w:rsid w:val="003B3C24"/>
    <w:rsid w:val="003B3D05"/>
    <w:rsid w:val="003B3D33"/>
    <w:rsid w:val="003B3D34"/>
    <w:rsid w:val="003B3D44"/>
    <w:rsid w:val="003B3D83"/>
    <w:rsid w:val="003B3DD2"/>
    <w:rsid w:val="003B3E7F"/>
    <w:rsid w:val="003B3EB7"/>
    <w:rsid w:val="003B3EF3"/>
    <w:rsid w:val="003B3EF8"/>
    <w:rsid w:val="003B3F60"/>
    <w:rsid w:val="003B3F92"/>
    <w:rsid w:val="003B3F9B"/>
    <w:rsid w:val="003B3FC5"/>
    <w:rsid w:val="003B3FD2"/>
    <w:rsid w:val="003B3FD8"/>
    <w:rsid w:val="003B4007"/>
    <w:rsid w:val="003B4025"/>
    <w:rsid w:val="003B4038"/>
    <w:rsid w:val="003B403A"/>
    <w:rsid w:val="003B403C"/>
    <w:rsid w:val="003B4069"/>
    <w:rsid w:val="003B4091"/>
    <w:rsid w:val="003B40DE"/>
    <w:rsid w:val="003B4102"/>
    <w:rsid w:val="003B410D"/>
    <w:rsid w:val="003B4120"/>
    <w:rsid w:val="003B4134"/>
    <w:rsid w:val="003B4144"/>
    <w:rsid w:val="003B416D"/>
    <w:rsid w:val="003B4194"/>
    <w:rsid w:val="003B41B0"/>
    <w:rsid w:val="003B41C7"/>
    <w:rsid w:val="003B41EF"/>
    <w:rsid w:val="003B41F4"/>
    <w:rsid w:val="003B4202"/>
    <w:rsid w:val="003B4203"/>
    <w:rsid w:val="003B42DC"/>
    <w:rsid w:val="003B42E1"/>
    <w:rsid w:val="003B42F5"/>
    <w:rsid w:val="003B4312"/>
    <w:rsid w:val="003B431E"/>
    <w:rsid w:val="003B4356"/>
    <w:rsid w:val="003B438C"/>
    <w:rsid w:val="003B439C"/>
    <w:rsid w:val="003B439F"/>
    <w:rsid w:val="003B43FE"/>
    <w:rsid w:val="003B4401"/>
    <w:rsid w:val="003B4402"/>
    <w:rsid w:val="003B4463"/>
    <w:rsid w:val="003B452F"/>
    <w:rsid w:val="003B4532"/>
    <w:rsid w:val="003B4547"/>
    <w:rsid w:val="003B4557"/>
    <w:rsid w:val="003B4569"/>
    <w:rsid w:val="003B45C4"/>
    <w:rsid w:val="003B45DB"/>
    <w:rsid w:val="003B45E6"/>
    <w:rsid w:val="003B460B"/>
    <w:rsid w:val="003B4647"/>
    <w:rsid w:val="003B469C"/>
    <w:rsid w:val="003B46B8"/>
    <w:rsid w:val="003B46BB"/>
    <w:rsid w:val="003B46D2"/>
    <w:rsid w:val="003B46EC"/>
    <w:rsid w:val="003B475E"/>
    <w:rsid w:val="003B480A"/>
    <w:rsid w:val="003B4810"/>
    <w:rsid w:val="003B481C"/>
    <w:rsid w:val="003B4838"/>
    <w:rsid w:val="003B4846"/>
    <w:rsid w:val="003B4850"/>
    <w:rsid w:val="003B485A"/>
    <w:rsid w:val="003B4880"/>
    <w:rsid w:val="003B4896"/>
    <w:rsid w:val="003B4913"/>
    <w:rsid w:val="003B4978"/>
    <w:rsid w:val="003B49A1"/>
    <w:rsid w:val="003B49AC"/>
    <w:rsid w:val="003B49F3"/>
    <w:rsid w:val="003B4A14"/>
    <w:rsid w:val="003B4A77"/>
    <w:rsid w:val="003B4A7C"/>
    <w:rsid w:val="003B4AB2"/>
    <w:rsid w:val="003B4ABC"/>
    <w:rsid w:val="003B4ABD"/>
    <w:rsid w:val="003B4B21"/>
    <w:rsid w:val="003B4B36"/>
    <w:rsid w:val="003B4B52"/>
    <w:rsid w:val="003B4B9C"/>
    <w:rsid w:val="003B4C00"/>
    <w:rsid w:val="003B4C34"/>
    <w:rsid w:val="003B4C49"/>
    <w:rsid w:val="003B4C5D"/>
    <w:rsid w:val="003B4C6C"/>
    <w:rsid w:val="003B4CB3"/>
    <w:rsid w:val="003B4CBC"/>
    <w:rsid w:val="003B4CCC"/>
    <w:rsid w:val="003B4D1A"/>
    <w:rsid w:val="003B4D49"/>
    <w:rsid w:val="003B4D56"/>
    <w:rsid w:val="003B4D5E"/>
    <w:rsid w:val="003B4D88"/>
    <w:rsid w:val="003B4DC4"/>
    <w:rsid w:val="003B4E47"/>
    <w:rsid w:val="003B4E4C"/>
    <w:rsid w:val="003B4ED3"/>
    <w:rsid w:val="003B4EE1"/>
    <w:rsid w:val="003B4EEB"/>
    <w:rsid w:val="003B4F48"/>
    <w:rsid w:val="003B4F6B"/>
    <w:rsid w:val="003B4F6F"/>
    <w:rsid w:val="003B4FDD"/>
    <w:rsid w:val="003B4FE9"/>
    <w:rsid w:val="003B4FEF"/>
    <w:rsid w:val="003B5040"/>
    <w:rsid w:val="003B504E"/>
    <w:rsid w:val="003B506B"/>
    <w:rsid w:val="003B5083"/>
    <w:rsid w:val="003B5090"/>
    <w:rsid w:val="003B5091"/>
    <w:rsid w:val="003B50DC"/>
    <w:rsid w:val="003B5126"/>
    <w:rsid w:val="003B515A"/>
    <w:rsid w:val="003B51AE"/>
    <w:rsid w:val="003B51CF"/>
    <w:rsid w:val="003B5202"/>
    <w:rsid w:val="003B5212"/>
    <w:rsid w:val="003B5218"/>
    <w:rsid w:val="003B522D"/>
    <w:rsid w:val="003B5290"/>
    <w:rsid w:val="003B52DF"/>
    <w:rsid w:val="003B52F5"/>
    <w:rsid w:val="003B5335"/>
    <w:rsid w:val="003B534E"/>
    <w:rsid w:val="003B5365"/>
    <w:rsid w:val="003B537A"/>
    <w:rsid w:val="003B53EB"/>
    <w:rsid w:val="003B541C"/>
    <w:rsid w:val="003B54FB"/>
    <w:rsid w:val="003B5516"/>
    <w:rsid w:val="003B5532"/>
    <w:rsid w:val="003B5547"/>
    <w:rsid w:val="003B554B"/>
    <w:rsid w:val="003B556E"/>
    <w:rsid w:val="003B558E"/>
    <w:rsid w:val="003B5598"/>
    <w:rsid w:val="003B55B6"/>
    <w:rsid w:val="003B55D6"/>
    <w:rsid w:val="003B55DA"/>
    <w:rsid w:val="003B55FD"/>
    <w:rsid w:val="003B5604"/>
    <w:rsid w:val="003B5653"/>
    <w:rsid w:val="003B566F"/>
    <w:rsid w:val="003B568A"/>
    <w:rsid w:val="003B56CC"/>
    <w:rsid w:val="003B56E6"/>
    <w:rsid w:val="003B5704"/>
    <w:rsid w:val="003B5706"/>
    <w:rsid w:val="003B572B"/>
    <w:rsid w:val="003B5749"/>
    <w:rsid w:val="003B5753"/>
    <w:rsid w:val="003B57A4"/>
    <w:rsid w:val="003B57AF"/>
    <w:rsid w:val="003B5800"/>
    <w:rsid w:val="003B5805"/>
    <w:rsid w:val="003B580C"/>
    <w:rsid w:val="003B5821"/>
    <w:rsid w:val="003B5855"/>
    <w:rsid w:val="003B5869"/>
    <w:rsid w:val="003B5900"/>
    <w:rsid w:val="003B5915"/>
    <w:rsid w:val="003B5932"/>
    <w:rsid w:val="003B595D"/>
    <w:rsid w:val="003B5964"/>
    <w:rsid w:val="003B596E"/>
    <w:rsid w:val="003B598E"/>
    <w:rsid w:val="003B59CD"/>
    <w:rsid w:val="003B59FE"/>
    <w:rsid w:val="003B5A3D"/>
    <w:rsid w:val="003B5A4A"/>
    <w:rsid w:val="003B5A65"/>
    <w:rsid w:val="003B5A86"/>
    <w:rsid w:val="003B5A92"/>
    <w:rsid w:val="003B5AA4"/>
    <w:rsid w:val="003B5AAF"/>
    <w:rsid w:val="003B5AB7"/>
    <w:rsid w:val="003B5B08"/>
    <w:rsid w:val="003B5B13"/>
    <w:rsid w:val="003B5B1A"/>
    <w:rsid w:val="003B5B26"/>
    <w:rsid w:val="003B5B5C"/>
    <w:rsid w:val="003B5B6C"/>
    <w:rsid w:val="003B5BBF"/>
    <w:rsid w:val="003B5BD0"/>
    <w:rsid w:val="003B5C19"/>
    <w:rsid w:val="003B5C6F"/>
    <w:rsid w:val="003B5CBC"/>
    <w:rsid w:val="003B5CC0"/>
    <w:rsid w:val="003B5CCF"/>
    <w:rsid w:val="003B5CD4"/>
    <w:rsid w:val="003B5CE5"/>
    <w:rsid w:val="003B5CFC"/>
    <w:rsid w:val="003B5D0A"/>
    <w:rsid w:val="003B5D15"/>
    <w:rsid w:val="003B5D29"/>
    <w:rsid w:val="003B5D40"/>
    <w:rsid w:val="003B5D44"/>
    <w:rsid w:val="003B5D61"/>
    <w:rsid w:val="003B5D72"/>
    <w:rsid w:val="003B5D81"/>
    <w:rsid w:val="003B5D86"/>
    <w:rsid w:val="003B5DD2"/>
    <w:rsid w:val="003B5DD4"/>
    <w:rsid w:val="003B5DF4"/>
    <w:rsid w:val="003B5E01"/>
    <w:rsid w:val="003B5E2B"/>
    <w:rsid w:val="003B5E35"/>
    <w:rsid w:val="003B5EDF"/>
    <w:rsid w:val="003B5F13"/>
    <w:rsid w:val="003B5F22"/>
    <w:rsid w:val="003B5F33"/>
    <w:rsid w:val="003B5F4D"/>
    <w:rsid w:val="003B5F55"/>
    <w:rsid w:val="003B5F6A"/>
    <w:rsid w:val="003B5FB6"/>
    <w:rsid w:val="003B5FBC"/>
    <w:rsid w:val="003B5FC1"/>
    <w:rsid w:val="003B5FEA"/>
    <w:rsid w:val="003B600E"/>
    <w:rsid w:val="003B6054"/>
    <w:rsid w:val="003B607A"/>
    <w:rsid w:val="003B609A"/>
    <w:rsid w:val="003B60E3"/>
    <w:rsid w:val="003B6126"/>
    <w:rsid w:val="003B612C"/>
    <w:rsid w:val="003B6139"/>
    <w:rsid w:val="003B613D"/>
    <w:rsid w:val="003B613E"/>
    <w:rsid w:val="003B6144"/>
    <w:rsid w:val="003B6168"/>
    <w:rsid w:val="003B617E"/>
    <w:rsid w:val="003B61BE"/>
    <w:rsid w:val="003B61D4"/>
    <w:rsid w:val="003B61D6"/>
    <w:rsid w:val="003B6217"/>
    <w:rsid w:val="003B6220"/>
    <w:rsid w:val="003B624F"/>
    <w:rsid w:val="003B626E"/>
    <w:rsid w:val="003B62A1"/>
    <w:rsid w:val="003B62A8"/>
    <w:rsid w:val="003B62B5"/>
    <w:rsid w:val="003B62FB"/>
    <w:rsid w:val="003B631C"/>
    <w:rsid w:val="003B632D"/>
    <w:rsid w:val="003B6332"/>
    <w:rsid w:val="003B636F"/>
    <w:rsid w:val="003B637F"/>
    <w:rsid w:val="003B63C1"/>
    <w:rsid w:val="003B644E"/>
    <w:rsid w:val="003B6494"/>
    <w:rsid w:val="003B64A7"/>
    <w:rsid w:val="003B64B7"/>
    <w:rsid w:val="003B64BF"/>
    <w:rsid w:val="003B64D6"/>
    <w:rsid w:val="003B6509"/>
    <w:rsid w:val="003B650E"/>
    <w:rsid w:val="003B651F"/>
    <w:rsid w:val="003B6549"/>
    <w:rsid w:val="003B6560"/>
    <w:rsid w:val="003B6591"/>
    <w:rsid w:val="003B65B7"/>
    <w:rsid w:val="003B65C3"/>
    <w:rsid w:val="003B65C5"/>
    <w:rsid w:val="003B65E3"/>
    <w:rsid w:val="003B6616"/>
    <w:rsid w:val="003B6656"/>
    <w:rsid w:val="003B6685"/>
    <w:rsid w:val="003B669D"/>
    <w:rsid w:val="003B66A8"/>
    <w:rsid w:val="003B66B9"/>
    <w:rsid w:val="003B66DF"/>
    <w:rsid w:val="003B66E0"/>
    <w:rsid w:val="003B66E5"/>
    <w:rsid w:val="003B66EB"/>
    <w:rsid w:val="003B66F9"/>
    <w:rsid w:val="003B6724"/>
    <w:rsid w:val="003B6739"/>
    <w:rsid w:val="003B673E"/>
    <w:rsid w:val="003B674D"/>
    <w:rsid w:val="003B6751"/>
    <w:rsid w:val="003B6758"/>
    <w:rsid w:val="003B675A"/>
    <w:rsid w:val="003B6771"/>
    <w:rsid w:val="003B6779"/>
    <w:rsid w:val="003B678A"/>
    <w:rsid w:val="003B679F"/>
    <w:rsid w:val="003B67D7"/>
    <w:rsid w:val="003B67E4"/>
    <w:rsid w:val="003B6837"/>
    <w:rsid w:val="003B6862"/>
    <w:rsid w:val="003B688D"/>
    <w:rsid w:val="003B68A4"/>
    <w:rsid w:val="003B68CF"/>
    <w:rsid w:val="003B6938"/>
    <w:rsid w:val="003B6947"/>
    <w:rsid w:val="003B698D"/>
    <w:rsid w:val="003B69A5"/>
    <w:rsid w:val="003B69F3"/>
    <w:rsid w:val="003B6A0E"/>
    <w:rsid w:val="003B6A56"/>
    <w:rsid w:val="003B6AB3"/>
    <w:rsid w:val="003B6AC9"/>
    <w:rsid w:val="003B6AD5"/>
    <w:rsid w:val="003B6ADD"/>
    <w:rsid w:val="003B6B44"/>
    <w:rsid w:val="003B6B4C"/>
    <w:rsid w:val="003B6B7B"/>
    <w:rsid w:val="003B6BA2"/>
    <w:rsid w:val="003B6BA4"/>
    <w:rsid w:val="003B6BB4"/>
    <w:rsid w:val="003B6BBC"/>
    <w:rsid w:val="003B6BE5"/>
    <w:rsid w:val="003B6C0D"/>
    <w:rsid w:val="003B6C20"/>
    <w:rsid w:val="003B6C35"/>
    <w:rsid w:val="003B6C6E"/>
    <w:rsid w:val="003B6C78"/>
    <w:rsid w:val="003B6C83"/>
    <w:rsid w:val="003B6CB2"/>
    <w:rsid w:val="003B6CD0"/>
    <w:rsid w:val="003B6D08"/>
    <w:rsid w:val="003B6D4C"/>
    <w:rsid w:val="003B6D94"/>
    <w:rsid w:val="003B6DAD"/>
    <w:rsid w:val="003B6DB8"/>
    <w:rsid w:val="003B6DCD"/>
    <w:rsid w:val="003B6DD9"/>
    <w:rsid w:val="003B6DF1"/>
    <w:rsid w:val="003B6E0D"/>
    <w:rsid w:val="003B6EAD"/>
    <w:rsid w:val="003B6EAE"/>
    <w:rsid w:val="003B6EBF"/>
    <w:rsid w:val="003B6EF8"/>
    <w:rsid w:val="003B6F0E"/>
    <w:rsid w:val="003B6F20"/>
    <w:rsid w:val="003B6F25"/>
    <w:rsid w:val="003B6F5D"/>
    <w:rsid w:val="003B6F93"/>
    <w:rsid w:val="003B6F9B"/>
    <w:rsid w:val="003B6F9D"/>
    <w:rsid w:val="003B6FA6"/>
    <w:rsid w:val="003B6FD4"/>
    <w:rsid w:val="003B6FE6"/>
    <w:rsid w:val="003B6FEA"/>
    <w:rsid w:val="003B6FEF"/>
    <w:rsid w:val="003B701C"/>
    <w:rsid w:val="003B7045"/>
    <w:rsid w:val="003B7061"/>
    <w:rsid w:val="003B7062"/>
    <w:rsid w:val="003B7065"/>
    <w:rsid w:val="003B7078"/>
    <w:rsid w:val="003B7080"/>
    <w:rsid w:val="003B7083"/>
    <w:rsid w:val="003B7084"/>
    <w:rsid w:val="003B7085"/>
    <w:rsid w:val="003B708D"/>
    <w:rsid w:val="003B709D"/>
    <w:rsid w:val="003B70E0"/>
    <w:rsid w:val="003B710D"/>
    <w:rsid w:val="003B713A"/>
    <w:rsid w:val="003B714C"/>
    <w:rsid w:val="003B7158"/>
    <w:rsid w:val="003B715A"/>
    <w:rsid w:val="003B7167"/>
    <w:rsid w:val="003B7179"/>
    <w:rsid w:val="003B7189"/>
    <w:rsid w:val="003B71C0"/>
    <w:rsid w:val="003B71C4"/>
    <w:rsid w:val="003B71F6"/>
    <w:rsid w:val="003B7209"/>
    <w:rsid w:val="003B7213"/>
    <w:rsid w:val="003B7225"/>
    <w:rsid w:val="003B7236"/>
    <w:rsid w:val="003B7277"/>
    <w:rsid w:val="003B7297"/>
    <w:rsid w:val="003B72B1"/>
    <w:rsid w:val="003B72D8"/>
    <w:rsid w:val="003B72F0"/>
    <w:rsid w:val="003B72FC"/>
    <w:rsid w:val="003B7310"/>
    <w:rsid w:val="003B734D"/>
    <w:rsid w:val="003B7428"/>
    <w:rsid w:val="003B744D"/>
    <w:rsid w:val="003B749F"/>
    <w:rsid w:val="003B74AC"/>
    <w:rsid w:val="003B74FC"/>
    <w:rsid w:val="003B753C"/>
    <w:rsid w:val="003B75A9"/>
    <w:rsid w:val="003B75BD"/>
    <w:rsid w:val="003B75EE"/>
    <w:rsid w:val="003B7617"/>
    <w:rsid w:val="003B7626"/>
    <w:rsid w:val="003B763F"/>
    <w:rsid w:val="003B7646"/>
    <w:rsid w:val="003B7711"/>
    <w:rsid w:val="003B7756"/>
    <w:rsid w:val="003B7764"/>
    <w:rsid w:val="003B7765"/>
    <w:rsid w:val="003B7775"/>
    <w:rsid w:val="003B77C9"/>
    <w:rsid w:val="003B77D7"/>
    <w:rsid w:val="003B77E7"/>
    <w:rsid w:val="003B7834"/>
    <w:rsid w:val="003B787E"/>
    <w:rsid w:val="003B7896"/>
    <w:rsid w:val="003B78A4"/>
    <w:rsid w:val="003B78A7"/>
    <w:rsid w:val="003B78EA"/>
    <w:rsid w:val="003B791D"/>
    <w:rsid w:val="003B7926"/>
    <w:rsid w:val="003B7973"/>
    <w:rsid w:val="003B7994"/>
    <w:rsid w:val="003B7997"/>
    <w:rsid w:val="003B7A12"/>
    <w:rsid w:val="003B7A43"/>
    <w:rsid w:val="003B7A51"/>
    <w:rsid w:val="003B7A5F"/>
    <w:rsid w:val="003B7A79"/>
    <w:rsid w:val="003B7A90"/>
    <w:rsid w:val="003B7AAA"/>
    <w:rsid w:val="003B7AD5"/>
    <w:rsid w:val="003B7B1C"/>
    <w:rsid w:val="003B7BA8"/>
    <w:rsid w:val="003B7BE2"/>
    <w:rsid w:val="003B7C06"/>
    <w:rsid w:val="003B7C1F"/>
    <w:rsid w:val="003B7C3B"/>
    <w:rsid w:val="003B7C3E"/>
    <w:rsid w:val="003B7CA3"/>
    <w:rsid w:val="003B7CBD"/>
    <w:rsid w:val="003B7CBF"/>
    <w:rsid w:val="003B7CD8"/>
    <w:rsid w:val="003B7CF1"/>
    <w:rsid w:val="003B7CF5"/>
    <w:rsid w:val="003B7D06"/>
    <w:rsid w:val="003B7D11"/>
    <w:rsid w:val="003B7D17"/>
    <w:rsid w:val="003B7D87"/>
    <w:rsid w:val="003B7DA4"/>
    <w:rsid w:val="003B7DF7"/>
    <w:rsid w:val="003B7E11"/>
    <w:rsid w:val="003B7E2B"/>
    <w:rsid w:val="003B7E2D"/>
    <w:rsid w:val="003B7E38"/>
    <w:rsid w:val="003B7E3B"/>
    <w:rsid w:val="003B7E7B"/>
    <w:rsid w:val="003B7E80"/>
    <w:rsid w:val="003B7E8F"/>
    <w:rsid w:val="003B7E90"/>
    <w:rsid w:val="003B7ECC"/>
    <w:rsid w:val="003B7ED7"/>
    <w:rsid w:val="003B7EFF"/>
    <w:rsid w:val="003B7F3A"/>
    <w:rsid w:val="003B7F44"/>
    <w:rsid w:val="003B7FBF"/>
    <w:rsid w:val="003B7FC9"/>
    <w:rsid w:val="003B7FDA"/>
    <w:rsid w:val="003B7FE3"/>
    <w:rsid w:val="003C002F"/>
    <w:rsid w:val="003C0031"/>
    <w:rsid w:val="003C006E"/>
    <w:rsid w:val="003C0077"/>
    <w:rsid w:val="003C00A0"/>
    <w:rsid w:val="003C00A7"/>
    <w:rsid w:val="003C00A9"/>
    <w:rsid w:val="003C00BB"/>
    <w:rsid w:val="003C00F9"/>
    <w:rsid w:val="003C00FD"/>
    <w:rsid w:val="003C00FF"/>
    <w:rsid w:val="003C011C"/>
    <w:rsid w:val="003C0144"/>
    <w:rsid w:val="003C0158"/>
    <w:rsid w:val="003C01E1"/>
    <w:rsid w:val="003C01F8"/>
    <w:rsid w:val="003C01FB"/>
    <w:rsid w:val="003C024C"/>
    <w:rsid w:val="003C0266"/>
    <w:rsid w:val="003C02BF"/>
    <w:rsid w:val="003C02C4"/>
    <w:rsid w:val="003C02D3"/>
    <w:rsid w:val="003C02F3"/>
    <w:rsid w:val="003C0334"/>
    <w:rsid w:val="003C033C"/>
    <w:rsid w:val="003C0352"/>
    <w:rsid w:val="003C0390"/>
    <w:rsid w:val="003C03B2"/>
    <w:rsid w:val="003C03C4"/>
    <w:rsid w:val="003C0408"/>
    <w:rsid w:val="003C0424"/>
    <w:rsid w:val="003C045A"/>
    <w:rsid w:val="003C047F"/>
    <w:rsid w:val="003C0485"/>
    <w:rsid w:val="003C0492"/>
    <w:rsid w:val="003C04C7"/>
    <w:rsid w:val="003C04DE"/>
    <w:rsid w:val="003C0500"/>
    <w:rsid w:val="003C0520"/>
    <w:rsid w:val="003C056D"/>
    <w:rsid w:val="003C0598"/>
    <w:rsid w:val="003C0599"/>
    <w:rsid w:val="003C05A1"/>
    <w:rsid w:val="003C05B0"/>
    <w:rsid w:val="003C05D5"/>
    <w:rsid w:val="003C05FA"/>
    <w:rsid w:val="003C0621"/>
    <w:rsid w:val="003C067F"/>
    <w:rsid w:val="003C06B5"/>
    <w:rsid w:val="003C06F8"/>
    <w:rsid w:val="003C071F"/>
    <w:rsid w:val="003C073A"/>
    <w:rsid w:val="003C073E"/>
    <w:rsid w:val="003C0741"/>
    <w:rsid w:val="003C0763"/>
    <w:rsid w:val="003C0776"/>
    <w:rsid w:val="003C0794"/>
    <w:rsid w:val="003C07B7"/>
    <w:rsid w:val="003C07DE"/>
    <w:rsid w:val="003C0803"/>
    <w:rsid w:val="003C0809"/>
    <w:rsid w:val="003C082B"/>
    <w:rsid w:val="003C0864"/>
    <w:rsid w:val="003C088F"/>
    <w:rsid w:val="003C0891"/>
    <w:rsid w:val="003C0896"/>
    <w:rsid w:val="003C08A0"/>
    <w:rsid w:val="003C08C7"/>
    <w:rsid w:val="003C08D1"/>
    <w:rsid w:val="003C08E8"/>
    <w:rsid w:val="003C08F9"/>
    <w:rsid w:val="003C0925"/>
    <w:rsid w:val="003C0952"/>
    <w:rsid w:val="003C099F"/>
    <w:rsid w:val="003C09C3"/>
    <w:rsid w:val="003C09F4"/>
    <w:rsid w:val="003C0A5C"/>
    <w:rsid w:val="003C0A5E"/>
    <w:rsid w:val="003C0AF0"/>
    <w:rsid w:val="003C0B89"/>
    <w:rsid w:val="003C0BBB"/>
    <w:rsid w:val="003C0BCA"/>
    <w:rsid w:val="003C0C04"/>
    <w:rsid w:val="003C0C2D"/>
    <w:rsid w:val="003C0C37"/>
    <w:rsid w:val="003C0C95"/>
    <w:rsid w:val="003C0CAC"/>
    <w:rsid w:val="003C0CC5"/>
    <w:rsid w:val="003C0CD2"/>
    <w:rsid w:val="003C0CDF"/>
    <w:rsid w:val="003C0CFE"/>
    <w:rsid w:val="003C0D12"/>
    <w:rsid w:val="003C0D39"/>
    <w:rsid w:val="003C0D43"/>
    <w:rsid w:val="003C0D7D"/>
    <w:rsid w:val="003C0DB9"/>
    <w:rsid w:val="003C0DBA"/>
    <w:rsid w:val="003C0DCD"/>
    <w:rsid w:val="003C0DE8"/>
    <w:rsid w:val="003C0E04"/>
    <w:rsid w:val="003C0E48"/>
    <w:rsid w:val="003C0E83"/>
    <w:rsid w:val="003C0E90"/>
    <w:rsid w:val="003C0EB2"/>
    <w:rsid w:val="003C0EB8"/>
    <w:rsid w:val="003C0EBD"/>
    <w:rsid w:val="003C0EF2"/>
    <w:rsid w:val="003C0F35"/>
    <w:rsid w:val="003C0F6D"/>
    <w:rsid w:val="003C0F74"/>
    <w:rsid w:val="003C0FBA"/>
    <w:rsid w:val="003C0FC7"/>
    <w:rsid w:val="003C0FF7"/>
    <w:rsid w:val="003C0FFC"/>
    <w:rsid w:val="003C101F"/>
    <w:rsid w:val="003C1090"/>
    <w:rsid w:val="003C10BB"/>
    <w:rsid w:val="003C1131"/>
    <w:rsid w:val="003C1139"/>
    <w:rsid w:val="003C1159"/>
    <w:rsid w:val="003C1180"/>
    <w:rsid w:val="003C11CB"/>
    <w:rsid w:val="003C11D6"/>
    <w:rsid w:val="003C11FE"/>
    <w:rsid w:val="003C120D"/>
    <w:rsid w:val="003C1218"/>
    <w:rsid w:val="003C121D"/>
    <w:rsid w:val="003C1229"/>
    <w:rsid w:val="003C123C"/>
    <w:rsid w:val="003C1257"/>
    <w:rsid w:val="003C12BB"/>
    <w:rsid w:val="003C12C8"/>
    <w:rsid w:val="003C12C9"/>
    <w:rsid w:val="003C12CD"/>
    <w:rsid w:val="003C1304"/>
    <w:rsid w:val="003C1339"/>
    <w:rsid w:val="003C1355"/>
    <w:rsid w:val="003C1364"/>
    <w:rsid w:val="003C136A"/>
    <w:rsid w:val="003C13BE"/>
    <w:rsid w:val="003C13C4"/>
    <w:rsid w:val="003C1413"/>
    <w:rsid w:val="003C1418"/>
    <w:rsid w:val="003C1426"/>
    <w:rsid w:val="003C144E"/>
    <w:rsid w:val="003C148C"/>
    <w:rsid w:val="003C14AB"/>
    <w:rsid w:val="003C1517"/>
    <w:rsid w:val="003C1539"/>
    <w:rsid w:val="003C1593"/>
    <w:rsid w:val="003C15E9"/>
    <w:rsid w:val="003C15F5"/>
    <w:rsid w:val="003C1639"/>
    <w:rsid w:val="003C164C"/>
    <w:rsid w:val="003C1662"/>
    <w:rsid w:val="003C1669"/>
    <w:rsid w:val="003C168D"/>
    <w:rsid w:val="003C16C6"/>
    <w:rsid w:val="003C16CD"/>
    <w:rsid w:val="003C16D4"/>
    <w:rsid w:val="003C1731"/>
    <w:rsid w:val="003C1789"/>
    <w:rsid w:val="003C17AC"/>
    <w:rsid w:val="003C180E"/>
    <w:rsid w:val="003C183D"/>
    <w:rsid w:val="003C189B"/>
    <w:rsid w:val="003C18AF"/>
    <w:rsid w:val="003C18E2"/>
    <w:rsid w:val="003C18E9"/>
    <w:rsid w:val="003C1956"/>
    <w:rsid w:val="003C1961"/>
    <w:rsid w:val="003C1970"/>
    <w:rsid w:val="003C19AD"/>
    <w:rsid w:val="003C19B5"/>
    <w:rsid w:val="003C19DF"/>
    <w:rsid w:val="003C1A0A"/>
    <w:rsid w:val="003C1A14"/>
    <w:rsid w:val="003C1A41"/>
    <w:rsid w:val="003C1A4A"/>
    <w:rsid w:val="003C1AFF"/>
    <w:rsid w:val="003C1B14"/>
    <w:rsid w:val="003C1B22"/>
    <w:rsid w:val="003C1B5B"/>
    <w:rsid w:val="003C1B67"/>
    <w:rsid w:val="003C1B6E"/>
    <w:rsid w:val="003C1B75"/>
    <w:rsid w:val="003C1BC7"/>
    <w:rsid w:val="003C1BC8"/>
    <w:rsid w:val="003C1BD7"/>
    <w:rsid w:val="003C1BDF"/>
    <w:rsid w:val="003C1BE5"/>
    <w:rsid w:val="003C1BED"/>
    <w:rsid w:val="003C1C3D"/>
    <w:rsid w:val="003C1C4B"/>
    <w:rsid w:val="003C1C98"/>
    <w:rsid w:val="003C1CA3"/>
    <w:rsid w:val="003C1CCF"/>
    <w:rsid w:val="003C1CDB"/>
    <w:rsid w:val="003C1CEB"/>
    <w:rsid w:val="003C1D5F"/>
    <w:rsid w:val="003C1D6E"/>
    <w:rsid w:val="003C1D73"/>
    <w:rsid w:val="003C1D76"/>
    <w:rsid w:val="003C1D7B"/>
    <w:rsid w:val="003C1D81"/>
    <w:rsid w:val="003C1DB7"/>
    <w:rsid w:val="003C1DBE"/>
    <w:rsid w:val="003C1DF9"/>
    <w:rsid w:val="003C1E06"/>
    <w:rsid w:val="003C1E2C"/>
    <w:rsid w:val="003C1E2D"/>
    <w:rsid w:val="003C1E34"/>
    <w:rsid w:val="003C1E59"/>
    <w:rsid w:val="003C1EB5"/>
    <w:rsid w:val="003C1ED2"/>
    <w:rsid w:val="003C1EEC"/>
    <w:rsid w:val="003C1F01"/>
    <w:rsid w:val="003C1F06"/>
    <w:rsid w:val="003C1F1A"/>
    <w:rsid w:val="003C1F22"/>
    <w:rsid w:val="003C1F51"/>
    <w:rsid w:val="003C1F83"/>
    <w:rsid w:val="003C1F92"/>
    <w:rsid w:val="003C1FAF"/>
    <w:rsid w:val="003C1FDE"/>
    <w:rsid w:val="003C2012"/>
    <w:rsid w:val="003C2041"/>
    <w:rsid w:val="003C208C"/>
    <w:rsid w:val="003C208E"/>
    <w:rsid w:val="003C20B4"/>
    <w:rsid w:val="003C20CF"/>
    <w:rsid w:val="003C20F9"/>
    <w:rsid w:val="003C2160"/>
    <w:rsid w:val="003C2168"/>
    <w:rsid w:val="003C2190"/>
    <w:rsid w:val="003C2194"/>
    <w:rsid w:val="003C219E"/>
    <w:rsid w:val="003C21B9"/>
    <w:rsid w:val="003C21D8"/>
    <w:rsid w:val="003C21FE"/>
    <w:rsid w:val="003C2231"/>
    <w:rsid w:val="003C2245"/>
    <w:rsid w:val="003C2252"/>
    <w:rsid w:val="003C227B"/>
    <w:rsid w:val="003C22A7"/>
    <w:rsid w:val="003C22C8"/>
    <w:rsid w:val="003C22CA"/>
    <w:rsid w:val="003C22EC"/>
    <w:rsid w:val="003C22F6"/>
    <w:rsid w:val="003C22FE"/>
    <w:rsid w:val="003C2333"/>
    <w:rsid w:val="003C236B"/>
    <w:rsid w:val="003C23A2"/>
    <w:rsid w:val="003C23AA"/>
    <w:rsid w:val="003C23B4"/>
    <w:rsid w:val="003C23F7"/>
    <w:rsid w:val="003C23FE"/>
    <w:rsid w:val="003C2407"/>
    <w:rsid w:val="003C2415"/>
    <w:rsid w:val="003C242A"/>
    <w:rsid w:val="003C242E"/>
    <w:rsid w:val="003C2463"/>
    <w:rsid w:val="003C247B"/>
    <w:rsid w:val="003C24A7"/>
    <w:rsid w:val="003C24B7"/>
    <w:rsid w:val="003C253D"/>
    <w:rsid w:val="003C2541"/>
    <w:rsid w:val="003C254B"/>
    <w:rsid w:val="003C255A"/>
    <w:rsid w:val="003C25F8"/>
    <w:rsid w:val="003C260D"/>
    <w:rsid w:val="003C261B"/>
    <w:rsid w:val="003C261C"/>
    <w:rsid w:val="003C262F"/>
    <w:rsid w:val="003C2674"/>
    <w:rsid w:val="003C2676"/>
    <w:rsid w:val="003C26B9"/>
    <w:rsid w:val="003C26BB"/>
    <w:rsid w:val="003C26E6"/>
    <w:rsid w:val="003C2735"/>
    <w:rsid w:val="003C273D"/>
    <w:rsid w:val="003C2742"/>
    <w:rsid w:val="003C276D"/>
    <w:rsid w:val="003C277D"/>
    <w:rsid w:val="003C278E"/>
    <w:rsid w:val="003C2799"/>
    <w:rsid w:val="003C27C1"/>
    <w:rsid w:val="003C27D1"/>
    <w:rsid w:val="003C27D2"/>
    <w:rsid w:val="003C27D8"/>
    <w:rsid w:val="003C2853"/>
    <w:rsid w:val="003C2855"/>
    <w:rsid w:val="003C285C"/>
    <w:rsid w:val="003C288D"/>
    <w:rsid w:val="003C2892"/>
    <w:rsid w:val="003C28A7"/>
    <w:rsid w:val="003C291E"/>
    <w:rsid w:val="003C2928"/>
    <w:rsid w:val="003C29B3"/>
    <w:rsid w:val="003C29DE"/>
    <w:rsid w:val="003C29FA"/>
    <w:rsid w:val="003C2A0C"/>
    <w:rsid w:val="003C2A19"/>
    <w:rsid w:val="003C2A1D"/>
    <w:rsid w:val="003C2A2B"/>
    <w:rsid w:val="003C2A35"/>
    <w:rsid w:val="003C2A3C"/>
    <w:rsid w:val="003C2A4B"/>
    <w:rsid w:val="003C2A54"/>
    <w:rsid w:val="003C2A5C"/>
    <w:rsid w:val="003C2A73"/>
    <w:rsid w:val="003C2A88"/>
    <w:rsid w:val="003C2A96"/>
    <w:rsid w:val="003C2AB3"/>
    <w:rsid w:val="003C2B06"/>
    <w:rsid w:val="003C2B3B"/>
    <w:rsid w:val="003C2B3D"/>
    <w:rsid w:val="003C2B9F"/>
    <w:rsid w:val="003C2C18"/>
    <w:rsid w:val="003C2C23"/>
    <w:rsid w:val="003C2C54"/>
    <w:rsid w:val="003C2C65"/>
    <w:rsid w:val="003C2C71"/>
    <w:rsid w:val="003C2C75"/>
    <w:rsid w:val="003C2CA0"/>
    <w:rsid w:val="003C2CA7"/>
    <w:rsid w:val="003C2CB3"/>
    <w:rsid w:val="003C2CB9"/>
    <w:rsid w:val="003C2D2D"/>
    <w:rsid w:val="003C2D52"/>
    <w:rsid w:val="003C2D71"/>
    <w:rsid w:val="003C2D91"/>
    <w:rsid w:val="003C2D9C"/>
    <w:rsid w:val="003C2E26"/>
    <w:rsid w:val="003C2E2D"/>
    <w:rsid w:val="003C2E57"/>
    <w:rsid w:val="003C2E82"/>
    <w:rsid w:val="003C2EB4"/>
    <w:rsid w:val="003C2EB6"/>
    <w:rsid w:val="003C2ECD"/>
    <w:rsid w:val="003C2EDB"/>
    <w:rsid w:val="003C2F21"/>
    <w:rsid w:val="003C2F23"/>
    <w:rsid w:val="003C2F36"/>
    <w:rsid w:val="003C2F61"/>
    <w:rsid w:val="003C2FBC"/>
    <w:rsid w:val="003C2FD7"/>
    <w:rsid w:val="003C2FD9"/>
    <w:rsid w:val="003C3013"/>
    <w:rsid w:val="003C304C"/>
    <w:rsid w:val="003C307D"/>
    <w:rsid w:val="003C308A"/>
    <w:rsid w:val="003C30A8"/>
    <w:rsid w:val="003C3112"/>
    <w:rsid w:val="003C3145"/>
    <w:rsid w:val="003C314A"/>
    <w:rsid w:val="003C317C"/>
    <w:rsid w:val="003C31CE"/>
    <w:rsid w:val="003C31D2"/>
    <w:rsid w:val="003C3205"/>
    <w:rsid w:val="003C321B"/>
    <w:rsid w:val="003C3237"/>
    <w:rsid w:val="003C3252"/>
    <w:rsid w:val="003C326E"/>
    <w:rsid w:val="003C3282"/>
    <w:rsid w:val="003C32AE"/>
    <w:rsid w:val="003C32BC"/>
    <w:rsid w:val="003C32E5"/>
    <w:rsid w:val="003C32E6"/>
    <w:rsid w:val="003C32ED"/>
    <w:rsid w:val="003C32F5"/>
    <w:rsid w:val="003C335F"/>
    <w:rsid w:val="003C3396"/>
    <w:rsid w:val="003C3398"/>
    <w:rsid w:val="003C33C1"/>
    <w:rsid w:val="003C33C7"/>
    <w:rsid w:val="003C33E3"/>
    <w:rsid w:val="003C3413"/>
    <w:rsid w:val="003C3476"/>
    <w:rsid w:val="003C3480"/>
    <w:rsid w:val="003C34AD"/>
    <w:rsid w:val="003C34EC"/>
    <w:rsid w:val="003C34ED"/>
    <w:rsid w:val="003C3509"/>
    <w:rsid w:val="003C3522"/>
    <w:rsid w:val="003C3527"/>
    <w:rsid w:val="003C352C"/>
    <w:rsid w:val="003C3530"/>
    <w:rsid w:val="003C3551"/>
    <w:rsid w:val="003C3585"/>
    <w:rsid w:val="003C365E"/>
    <w:rsid w:val="003C3692"/>
    <w:rsid w:val="003C3700"/>
    <w:rsid w:val="003C372E"/>
    <w:rsid w:val="003C372F"/>
    <w:rsid w:val="003C3733"/>
    <w:rsid w:val="003C3739"/>
    <w:rsid w:val="003C3749"/>
    <w:rsid w:val="003C3775"/>
    <w:rsid w:val="003C3789"/>
    <w:rsid w:val="003C3798"/>
    <w:rsid w:val="003C37D2"/>
    <w:rsid w:val="003C37FB"/>
    <w:rsid w:val="003C3876"/>
    <w:rsid w:val="003C388D"/>
    <w:rsid w:val="003C38A3"/>
    <w:rsid w:val="003C38AE"/>
    <w:rsid w:val="003C38D0"/>
    <w:rsid w:val="003C38E6"/>
    <w:rsid w:val="003C38EC"/>
    <w:rsid w:val="003C3903"/>
    <w:rsid w:val="003C3911"/>
    <w:rsid w:val="003C39BD"/>
    <w:rsid w:val="003C39CA"/>
    <w:rsid w:val="003C39D0"/>
    <w:rsid w:val="003C39D3"/>
    <w:rsid w:val="003C39D8"/>
    <w:rsid w:val="003C39F0"/>
    <w:rsid w:val="003C39F6"/>
    <w:rsid w:val="003C3A1C"/>
    <w:rsid w:val="003C3A1F"/>
    <w:rsid w:val="003C3A4E"/>
    <w:rsid w:val="003C3A68"/>
    <w:rsid w:val="003C3A69"/>
    <w:rsid w:val="003C3A6A"/>
    <w:rsid w:val="003C3AC7"/>
    <w:rsid w:val="003C3AC8"/>
    <w:rsid w:val="003C3ACB"/>
    <w:rsid w:val="003C3AD8"/>
    <w:rsid w:val="003C3B68"/>
    <w:rsid w:val="003C3B8E"/>
    <w:rsid w:val="003C3B91"/>
    <w:rsid w:val="003C3BA4"/>
    <w:rsid w:val="003C3BF5"/>
    <w:rsid w:val="003C3C4B"/>
    <w:rsid w:val="003C3C7E"/>
    <w:rsid w:val="003C3C9F"/>
    <w:rsid w:val="003C3CA4"/>
    <w:rsid w:val="003C3CCF"/>
    <w:rsid w:val="003C3CE9"/>
    <w:rsid w:val="003C3D10"/>
    <w:rsid w:val="003C3D1B"/>
    <w:rsid w:val="003C3D26"/>
    <w:rsid w:val="003C3D36"/>
    <w:rsid w:val="003C3D63"/>
    <w:rsid w:val="003C3D6D"/>
    <w:rsid w:val="003C3D78"/>
    <w:rsid w:val="003C3DA6"/>
    <w:rsid w:val="003C3DB8"/>
    <w:rsid w:val="003C3DE0"/>
    <w:rsid w:val="003C3E42"/>
    <w:rsid w:val="003C3E84"/>
    <w:rsid w:val="003C3E98"/>
    <w:rsid w:val="003C3EB3"/>
    <w:rsid w:val="003C3EE1"/>
    <w:rsid w:val="003C3F0D"/>
    <w:rsid w:val="003C3F27"/>
    <w:rsid w:val="003C3F45"/>
    <w:rsid w:val="003C3F5F"/>
    <w:rsid w:val="003C3F9E"/>
    <w:rsid w:val="003C3FD9"/>
    <w:rsid w:val="003C400A"/>
    <w:rsid w:val="003C407E"/>
    <w:rsid w:val="003C40E9"/>
    <w:rsid w:val="003C40EE"/>
    <w:rsid w:val="003C40FD"/>
    <w:rsid w:val="003C4137"/>
    <w:rsid w:val="003C415A"/>
    <w:rsid w:val="003C416B"/>
    <w:rsid w:val="003C4173"/>
    <w:rsid w:val="003C41EC"/>
    <w:rsid w:val="003C4225"/>
    <w:rsid w:val="003C4246"/>
    <w:rsid w:val="003C424F"/>
    <w:rsid w:val="003C4281"/>
    <w:rsid w:val="003C42C6"/>
    <w:rsid w:val="003C42E2"/>
    <w:rsid w:val="003C4326"/>
    <w:rsid w:val="003C432C"/>
    <w:rsid w:val="003C4356"/>
    <w:rsid w:val="003C4357"/>
    <w:rsid w:val="003C435E"/>
    <w:rsid w:val="003C4377"/>
    <w:rsid w:val="003C437A"/>
    <w:rsid w:val="003C438A"/>
    <w:rsid w:val="003C43C8"/>
    <w:rsid w:val="003C43E3"/>
    <w:rsid w:val="003C43FE"/>
    <w:rsid w:val="003C446B"/>
    <w:rsid w:val="003C44A8"/>
    <w:rsid w:val="003C44CD"/>
    <w:rsid w:val="003C44D6"/>
    <w:rsid w:val="003C4507"/>
    <w:rsid w:val="003C4581"/>
    <w:rsid w:val="003C45A8"/>
    <w:rsid w:val="003C45AC"/>
    <w:rsid w:val="003C45B6"/>
    <w:rsid w:val="003C45DC"/>
    <w:rsid w:val="003C4632"/>
    <w:rsid w:val="003C466B"/>
    <w:rsid w:val="003C4679"/>
    <w:rsid w:val="003C46CE"/>
    <w:rsid w:val="003C4734"/>
    <w:rsid w:val="003C47A5"/>
    <w:rsid w:val="003C4828"/>
    <w:rsid w:val="003C484E"/>
    <w:rsid w:val="003C485A"/>
    <w:rsid w:val="003C48A1"/>
    <w:rsid w:val="003C48BA"/>
    <w:rsid w:val="003C48E6"/>
    <w:rsid w:val="003C491F"/>
    <w:rsid w:val="003C4923"/>
    <w:rsid w:val="003C4927"/>
    <w:rsid w:val="003C4939"/>
    <w:rsid w:val="003C497D"/>
    <w:rsid w:val="003C4993"/>
    <w:rsid w:val="003C49C7"/>
    <w:rsid w:val="003C49CC"/>
    <w:rsid w:val="003C49ED"/>
    <w:rsid w:val="003C4A17"/>
    <w:rsid w:val="003C4A42"/>
    <w:rsid w:val="003C4A74"/>
    <w:rsid w:val="003C4A84"/>
    <w:rsid w:val="003C4A88"/>
    <w:rsid w:val="003C4A9E"/>
    <w:rsid w:val="003C4ABB"/>
    <w:rsid w:val="003C4AC7"/>
    <w:rsid w:val="003C4B5C"/>
    <w:rsid w:val="003C4B82"/>
    <w:rsid w:val="003C4B93"/>
    <w:rsid w:val="003C4BBC"/>
    <w:rsid w:val="003C4BD7"/>
    <w:rsid w:val="003C4BE7"/>
    <w:rsid w:val="003C4C07"/>
    <w:rsid w:val="003C4C42"/>
    <w:rsid w:val="003C4C58"/>
    <w:rsid w:val="003C4CBA"/>
    <w:rsid w:val="003C4CE7"/>
    <w:rsid w:val="003C4D26"/>
    <w:rsid w:val="003C4D37"/>
    <w:rsid w:val="003C4D64"/>
    <w:rsid w:val="003C4D83"/>
    <w:rsid w:val="003C4DAD"/>
    <w:rsid w:val="003C4DCC"/>
    <w:rsid w:val="003C4DCF"/>
    <w:rsid w:val="003C4E30"/>
    <w:rsid w:val="003C4E31"/>
    <w:rsid w:val="003C4E74"/>
    <w:rsid w:val="003C4E83"/>
    <w:rsid w:val="003C4E87"/>
    <w:rsid w:val="003C4EA3"/>
    <w:rsid w:val="003C4EC2"/>
    <w:rsid w:val="003C4ECA"/>
    <w:rsid w:val="003C4ECC"/>
    <w:rsid w:val="003C4F01"/>
    <w:rsid w:val="003C4F07"/>
    <w:rsid w:val="003C4F19"/>
    <w:rsid w:val="003C4F24"/>
    <w:rsid w:val="003C4F80"/>
    <w:rsid w:val="003C5000"/>
    <w:rsid w:val="003C5009"/>
    <w:rsid w:val="003C5013"/>
    <w:rsid w:val="003C502E"/>
    <w:rsid w:val="003C50B1"/>
    <w:rsid w:val="003C50D6"/>
    <w:rsid w:val="003C50EE"/>
    <w:rsid w:val="003C5103"/>
    <w:rsid w:val="003C5126"/>
    <w:rsid w:val="003C5230"/>
    <w:rsid w:val="003C5238"/>
    <w:rsid w:val="003C526E"/>
    <w:rsid w:val="003C52EA"/>
    <w:rsid w:val="003C5335"/>
    <w:rsid w:val="003C5336"/>
    <w:rsid w:val="003C535C"/>
    <w:rsid w:val="003C5394"/>
    <w:rsid w:val="003C539E"/>
    <w:rsid w:val="003C5424"/>
    <w:rsid w:val="003C5443"/>
    <w:rsid w:val="003C5453"/>
    <w:rsid w:val="003C5468"/>
    <w:rsid w:val="003C5484"/>
    <w:rsid w:val="003C54B3"/>
    <w:rsid w:val="003C54CB"/>
    <w:rsid w:val="003C54D4"/>
    <w:rsid w:val="003C54E6"/>
    <w:rsid w:val="003C554A"/>
    <w:rsid w:val="003C554F"/>
    <w:rsid w:val="003C5567"/>
    <w:rsid w:val="003C557E"/>
    <w:rsid w:val="003C559D"/>
    <w:rsid w:val="003C55B6"/>
    <w:rsid w:val="003C55D2"/>
    <w:rsid w:val="003C55F4"/>
    <w:rsid w:val="003C563E"/>
    <w:rsid w:val="003C5651"/>
    <w:rsid w:val="003C566B"/>
    <w:rsid w:val="003C56BC"/>
    <w:rsid w:val="003C56E7"/>
    <w:rsid w:val="003C56FE"/>
    <w:rsid w:val="003C5709"/>
    <w:rsid w:val="003C571F"/>
    <w:rsid w:val="003C5748"/>
    <w:rsid w:val="003C5755"/>
    <w:rsid w:val="003C5758"/>
    <w:rsid w:val="003C578C"/>
    <w:rsid w:val="003C5797"/>
    <w:rsid w:val="003C57D0"/>
    <w:rsid w:val="003C580B"/>
    <w:rsid w:val="003C5839"/>
    <w:rsid w:val="003C5851"/>
    <w:rsid w:val="003C5865"/>
    <w:rsid w:val="003C589A"/>
    <w:rsid w:val="003C58D0"/>
    <w:rsid w:val="003C58DC"/>
    <w:rsid w:val="003C58F6"/>
    <w:rsid w:val="003C58FA"/>
    <w:rsid w:val="003C58FC"/>
    <w:rsid w:val="003C5979"/>
    <w:rsid w:val="003C59B3"/>
    <w:rsid w:val="003C59C1"/>
    <w:rsid w:val="003C59FF"/>
    <w:rsid w:val="003C5A12"/>
    <w:rsid w:val="003C5A2A"/>
    <w:rsid w:val="003C5A59"/>
    <w:rsid w:val="003C5A5A"/>
    <w:rsid w:val="003C5AB8"/>
    <w:rsid w:val="003C5ADC"/>
    <w:rsid w:val="003C5ADE"/>
    <w:rsid w:val="003C5AFD"/>
    <w:rsid w:val="003C5B02"/>
    <w:rsid w:val="003C5B1C"/>
    <w:rsid w:val="003C5B2B"/>
    <w:rsid w:val="003C5B8C"/>
    <w:rsid w:val="003C5B94"/>
    <w:rsid w:val="003C5C08"/>
    <w:rsid w:val="003C5C1C"/>
    <w:rsid w:val="003C5C92"/>
    <w:rsid w:val="003C5CE8"/>
    <w:rsid w:val="003C5D21"/>
    <w:rsid w:val="003C5D33"/>
    <w:rsid w:val="003C5D9D"/>
    <w:rsid w:val="003C5DB9"/>
    <w:rsid w:val="003C5DCC"/>
    <w:rsid w:val="003C5DDA"/>
    <w:rsid w:val="003C5DE2"/>
    <w:rsid w:val="003C5DEF"/>
    <w:rsid w:val="003C5E11"/>
    <w:rsid w:val="003C5E3C"/>
    <w:rsid w:val="003C5E52"/>
    <w:rsid w:val="003C5E87"/>
    <w:rsid w:val="003C5EC8"/>
    <w:rsid w:val="003C5F00"/>
    <w:rsid w:val="003C5F2C"/>
    <w:rsid w:val="003C5F34"/>
    <w:rsid w:val="003C5F46"/>
    <w:rsid w:val="003C5FF2"/>
    <w:rsid w:val="003C5FFB"/>
    <w:rsid w:val="003C6001"/>
    <w:rsid w:val="003C6022"/>
    <w:rsid w:val="003C602E"/>
    <w:rsid w:val="003C604D"/>
    <w:rsid w:val="003C6080"/>
    <w:rsid w:val="003C6093"/>
    <w:rsid w:val="003C60E8"/>
    <w:rsid w:val="003C6107"/>
    <w:rsid w:val="003C6130"/>
    <w:rsid w:val="003C614F"/>
    <w:rsid w:val="003C6174"/>
    <w:rsid w:val="003C617D"/>
    <w:rsid w:val="003C617F"/>
    <w:rsid w:val="003C6187"/>
    <w:rsid w:val="003C618B"/>
    <w:rsid w:val="003C6202"/>
    <w:rsid w:val="003C6203"/>
    <w:rsid w:val="003C6235"/>
    <w:rsid w:val="003C624E"/>
    <w:rsid w:val="003C626C"/>
    <w:rsid w:val="003C627D"/>
    <w:rsid w:val="003C628E"/>
    <w:rsid w:val="003C62FB"/>
    <w:rsid w:val="003C6305"/>
    <w:rsid w:val="003C630D"/>
    <w:rsid w:val="003C6311"/>
    <w:rsid w:val="003C6317"/>
    <w:rsid w:val="003C636D"/>
    <w:rsid w:val="003C639B"/>
    <w:rsid w:val="003C63AC"/>
    <w:rsid w:val="003C63B7"/>
    <w:rsid w:val="003C63E9"/>
    <w:rsid w:val="003C63EA"/>
    <w:rsid w:val="003C6429"/>
    <w:rsid w:val="003C6460"/>
    <w:rsid w:val="003C648E"/>
    <w:rsid w:val="003C64A8"/>
    <w:rsid w:val="003C650E"/>
    <w:rsid w:val="003C6526"/>
    <w:rsid w:val="003C6528"/>
    <w:rsid w:val="003C6582"/>
    <w:rsid w:val="003C6584"/>
    <w:rsid w:val="003C65A2"/>
    <w:rsid w:val="003C6611"/>
    <w:rsid w:val="003C6614"/>
    <w:rsid w:val="003C661E"/>
    <w:rsid w:val="003C6638"/>
    <w:rsid w:val="003C6646"/>
    <w:rsid w:val="003C66AB"/>
    <w:rsid w:val="003C66B1"/>
    <w:rsid w:val="003C66C2"/>
    <w:rsid w:val="003C670C"/>
    <w:rsid w:val="003C67AD"/>
    <w:rsid w:val="003C67E5"/>
    <w:rsid w:val="003C686C"/>
    <w:rsid w:val="003C687A"/>
    <w:rsid w:val="003C6886"/>
    <w:rsid w:val="003C688F"/>
    <w:rsid w:val="003C68C7"/>
    <w:rsid w:val="003C68CF"/>
    <w:rsid w:val="003C68D0"/>
    <w:rsid w:val="003C68D3"/>
    <w:rsid w:val="003C68D6"/>
    <w:rsid w:val="003C68DB"/>
    <w:rsid w:val="003C690B"/>
    <w:rsid w:val="003C6912"/>
    <w:rsid w:val="003C6918"/>
    <w:rsid w:val="003C691F"/>
    <w:rsid w:val="003C692C"/>
    <w:rsid w:val="003C6959"/>
    <w:rsid w:val="003C6967"/>
    <w:rsid w:val="003C696C"/>
    <w:rsid w:val="003C69C6"/>
    <w:rsid w:val="003C6A09"/>
    <w:rsid w:val="003C6A0B"/>
    <w:rsid w:val="003C6A14"/>
    <w:rsid w:val="003C6A70"/>
    <w:rsid w:val="003C6AB1"/>
    <w:rsid w:val="003C6AC3"/>
    <w:rsid w:val="003C6ACB"/>
    <w:rsid w:val="003C6B50"/>
    <w:rsid w:val="003C6B87"/>
    <w:rsid w:val="003C6BC2"/>
    <w:rsid w:val="003C6BDD"/>
    <w:rsid w:val="003C6C1A"/>
    <w:rsid w:val="003C6C8D"/>
    <w:rsid w:val="003C6CB7"/>
    <w:rsid w:val="003C6CB9"/>
    <w:rsid w:val="003C6CDE"/>
    <w:rsid w:val="003C6D25"/>
    <w:rsid w:val="003C6D69"/>
    <w:rsid w:val="003C6DA4"/>
    <w:rsid w:val="003C6DB9"/>
    <w:rsid w:val="003C6DC7"/>
    <w:rsid w:val="003C6DD0"/>
    <w:rsid w:val="003C6E26"/>
    <w:rsid w:val="003C6E32"/>
    <w:rsid w:val="003C6E4E"/>
    <w:rsid w:val="003C6E5B"/>
    <w:rsid w:val="003C6ECE"/>
    <w:rsid w:val="003C6EEC"/>
    <w:rsid w:val="003C6EF4"/>
    <w:rsid w:val="003C6EF7"/>
    <w:rsid w:val="003C6F3F"/>
    <w:rsid w:val="003C6F5F"/>
    <w:rsid w:val="003C6FEC"/>
    <w:rsid w:val="003C6FEE"/>
    <w:rsid w:val="003C6FF3"/>
    <w:rsid w:val="003C7025"/>
    <w:rsid w:val="003C7029"/>
    <w:rsid w:val="003C7037"/>
    <w:rsid w:val="003C703E"/>
    <w:rsid w:val="003C7082"/>
    <w:rsid w:val="003C70C9"/>
    <w:rsid w:val="003C70EC"/>
    <w:rsid w:val="003C70FF"/>
    <w:rsid w:val="003C711C"/>
    <w:rsid w:val="003C714E"/>
    <w:rsid w:val="003C7187"/>
    <w:rsid w:val="003C7188"/>
    <w:rsid w:val="003C71C5"/>
    <w:rsid w:val="003C71E5"/>
    <w:rsid w:val="003C71E9"/>
    <w:rsid w:val="003C7239"/>
    <w:rsid w:val="003C724A"/>
    <w:rsid w:val="003C724C"/>
    <w:rsid w:val="003C725E"/>
    <w:rsid w:val="003C72C3"/>
    <w:rsid w:val="003C739B"/>
    <w:rsid w:val="003C73AA"/>
    <w:rsid w:val="003C73B5"/>
    <w:rsid w:val="003C73E4"/>
    <w:rsid w:val="003C73E7"/>
    <w:rsid w:val="003C748B"/>
    <w:rsid w:val="003C74B2"/>
    <w:rsid w:val="003C74C4"/>
    <w:rsid w:val="003C74E6"/>
    <w:rsid w:val="003C7514"/>
    <w:rsid w:val="003C755B"/>
    <w:rsid w:val="003C7570"/>
    <w:rsid w:val="003C7577"/>
    <w:rsid w:val="003C75C7"/>
    <w:rsid w:val="003C7610"/>
    <w:rsid w:val="003C7627"/>
    <w:rsid w:val="003C7633"/>
    <w:rsid w:val="003C763A"/>
    <w:rsid w:val="003C7640"/>
    <w:rsid w:val="003C7650"/>
    <w:rsid w:val="003C76C3"/>
    <w:rsid w:val="003C76EF"/>
    <w:rsid w:val="003C76FF"/>
    <w:rsid w:val="003C7713"/>
    <w:rsid w:val="003C771B"/>
    <w:rsid w:val="003C7721"/>
    <w:rsid w:val="003C773B"/>
    <w:rsid w:val="003C7760"/>
    <w:rsid w:val="003C77A9"/>
    <w:rsid w:val="003C77BD"/>
    <w:rsid w:val="003C77BE"/>
    <w:rsid w:val="003C77C4"/>
    <w:rsid w:val="003C7852"/>
    <w:rsid w:val="003C787A"/>
    <w:rsid w:val="003C787F"/>
    <w:rsid w:val="003C78B0"/>
    <w:rsid w:val="003C7963"/>
    <w:rsid w:val="003C798E"/>
    <w:rsid w:val="003C79A4"/>
    <w:rsid w:val="003C7A08"/>
    <w:rsid w:val="003C7A16"/>
    <w:rsid w:val="003C7A4C"/>
    <w:rsid w:val="003C7A60"/>
    <w:rsid w:val="003C7A91"/>
    <w:rsid w:val="003C7AEF"/>
    <w:rsid w:val="003C7AFD"/>
    <w:rsid w:val="003C7B47"/>
    <w:rsid w:val="003C7B59"/>
    <w:rsid w:val="003C7BE8"/>
    <w:rsid w:val="003C7C07"/>
    <w:rsid w:val="003C7C14"/>
    <w:rsid w:val="003C7C47"/>
    <w:rsid w:val="003C7C4B"/>
    <w:rsid w:val="003C7C50"/>
    <w:rsid w:val="003C7C5E"/>
    <w:rsid w:val="003C7C9F"/>
    <w:rsid w:val="003C7CDF"/>
    <w:rsid w:val="003C7CF3"/>
    <w:rsid w:val="003C7D46"/>
    <w:rsid w:val="003C7DE6"/>
    <w:rsid w:val="003C7DF2"/>
    <w:rsid w:val="003C7E47"/>
    <w:rsid w:val="003C7E9C"/>
    <w:rsid w:val="003C7EDC"/>
    <w:rsid w:val="003C7EEB"/>
    <w:rsid w:val="003C7F0F"/>
    <w:rsid w:val="003C7F1D"/>
    <w:rsid w:val="003C7F33"/>
    <w:rsid w:val="003C7F84"/>
    <w:rsid w:val="003C7FC3"/>
    <w:rsid w:val="003D000C"/>
    <w:rsid w:val="003D002B"/>
    <w:rsid w:val="003D008C"/>
    <w:rsid w:val="003D0094"/>
    <w:rsid w:val="003D0097"/>
    <w:rsid w:val="003D00D6"/>
    <w:rsid w:val="003D015A"/>
    <w:rsid w:val="003D01A1"/>
    <w:rsid w:val="003D01BC"/>
    <w:rsid w:val="003D01BF"/>
    <w:rsid w:val="003D01CD"/>
    <w:rsid w:val="003D01CF"/>
    <w:rsid w:val="003D01D3"/>
    <w:rsid w:val="003D01F7"/>
    <w:rsid w:val="003D01FF"/>
    <w:rsid w:val="003D0201"/>
    <w:rsid w:val="003D020A"/>
    <w:rsid w:val="003D0211"/>
    <w:rsid w:val="003D021D"/>
    <w:rsid w:val="003D0285"/>
    <w:rsid w:val="003D0287"/>
    <w:rsid w:val="003D02C2"/>
    <w:rsid w:val="003D02E3"/>
    <w:rsid w:val="003D0317"/>
    <w:rsid w:val="003D0326"/>
    <w:rsid w:val="003D0350"/>
    <w:rsid w:val="003D0357"/>
    <w:rsid w:val="003D0376"/>
    <w:rsid w:val="003D03DD"/>
    <w:rsid w:val="003D03DE"/>
    <w:rsid w:val="003D0445"/>
    <w:rsid w:val="003D04E9"/>
    <w:rsid w:val="003D04FD"/>
    <w:rsid w:val="003D050A"/>
    <w:rsid w:val="003D051F"/>
    <w:rsid w:val="003D0521"/>
    <w:rsid w:val="003D0524"/>
    <w:rsid w:val="003D056B"/>
    <w:rsid w:val="003D0581"/>
    <w:rsid w:val="003D058B"/>
    <w:rsid w:val="003D05A3"/>
    <w:rsid w:val="003D05E9"/>
    <w:rsid w:val="003D05EC"/>
    <w:rsid w:val="003D064A"/>
    <w:rsid w:val="003D0654"/>
    <w:rsid w:val="003D0674"/>
    <w:rsid w:val="003D0695"/>
    <w:rsid w:val="003D0699"/>
    <w:rsid w:val="003D06BE"/>
    <w:rsid w:val="003D06E9"/>
    <w:rsid w:val="003D072F"/>
    <w:rsid w:val="003D074A"/>
    <w:rsid w:val="003D0756"/>
    <w:rsid w:val="003D077E"/>
    <w:rsid w:val="003D0790"/>
    <w:rsid w:val="003D07EE"/>
    <w:rsid w:val="003D0843"/>
    <w:rsid w:val="003D084C"/>
    <w:rsid w:val="003D0892"/>
    <w:rsid w:val="003D08B3"/>
    <w:rsid w:val="003D08B9"/>
    <w:rsid w:val="003D08BB"/>
    <w:rsid w:val="003D08C6"/>
    <w:rsid w:val="003D0910"/>
    <w:rsid w:val="003D0914"/>
    <w:rsid w:val="003D091C"/>
    <w:rsid w:val="003D0932"/>
    <w:rsid w:val="003D094A"/>
    <w:rsid w:val="003D0952"/>
    <w:rsid w:val="003D0957"/>
    <w:rsid w:val="003D0976"/>
    <w:rsid w:val="003D09B2"/>
    <w:rsid w:val="003D09C6"/>
    <w:rsid w:val="003D09DE"/>
    <w:rsid w:val="003D09F7"/>
    <w:rsid w:val="003D09FA"/>
    <w:rsid w:val="003D0A30"/>
    <w:rsid w:val="003D0A4A"/>
    <w:rsid w:val="003D0A72"/>
    <w:rsid w:val="003D0A77"/>
    <w:rsid w:val="003D0A7B"/>
    <w:rsid w:val="003D0ACB"/>
    <w:rsid w:val="003D0AD9"/>
    <w:rsid w:val="003D0AE9"/>
    <w:rsid w:val="003D0AFB"/>
    <w:rsid w:val="003D0B22"/>
    <w:rsid w:val="003D0B24"/>
    <w:rsid w:val="003D0B3E"/>
    <w:rsid w:val="003D0B5F"/>
    <w:rsid w:val="003D0BBF"/>
    <w:rsid w:val="003D0C11"/>
    <w:rsid w:val="003D0C19"/>
    <w:rsid w:val="003D0C1E"/>
    <w:rsid w:val="003D0C45"/>
    <w:rsid w:val="003D0C96"/>
    <w:rsid w:val="003D0C98"/>
    <w:rsid w:val="003D0C9C"/>
    <w:rsid w:val="003D0CB9"/>
    <w:rsid w:val="003D0CC5"/>
    <w:rsid w:val="003D0CD2"/>
    <w:rsid w:val="003D0CE4"/>
    <w:rsid w:val="003D0D2E"/>
    <w:rsid w:val="003D0D38"/>
    <w:rsid w:val="003D0D60"/>
    <w:rsid w:val="003D0D66"/>
    <w:rsid w:val="003D0D85"/>
    <w:rsid w:val="003D0D92"/>
    <w:rsid w:val="003D0D97"/>
    <w:rsid w:val="003D0DB6"/>
    <w:rsid w:val="003D0DB9"/>
    <w:rsid w:val="003D0DC8"/>
    <w:rsid w:val="003D0E03"/>
    <w:rsid w:val="003D0E33"/>
    <w:rsid w:val="003D0E4C"/>
    <w:rsid w:val="003D0E58"/>
    <w:rsid w:val="003D0E61"/>
    <w:rsid w:val="003D0E77"/>
    <w:rsid w:val="003D0EB9"/>
    <w:rsid w:val="003D0ECE"/>
    <w:rsid w:val="003D0F17"/>
    <w:rsid w:val="003D0F5D"/>
    <w:rsid w:val="003D0F96"/>
    <w:rsid w:val="003D0FAF"/>
    <w:rsid w:val="003D0FD5"/>
    <w:rsid w:val="003D0FE5"/>
    <w:rsid w:val="003D0FED"/>
    <w:rsid w:val="003D1052"/>
    <w:rsid w:val="003D10DB"/>
    <w:rsid w:val="003D10F8"/>
    <w:rsid w:val="003D1102"/>
    <w:rsid w:val="003D1119"/>
    <w:rsid w:val="003D112B"/>
    <w:rsid w:val="003D115C"/>
    <w:rsid w:val="003D1160"/>
    <w:rsid w:val="003D1167"/>
    <w:rsid w:val="003D11A8"/>
    <w:rsid w:val="003D11AB"/>
    <w:rsid w:val="003D11B4"/>
    <w:rsid w:val="003D11C3"/>
    <w:rsid w:val="003D11ED"/>
    <w:rsid w:val="003D1265"/>
    <w:rsid w:val="003D1266"/>
    <w:rsid w:val="003D129C"/>
    <w:rsid w:val="003D12A1"/>
    <w:rsid w:val="003D12A5"/>
    <w:rsid w:val="003D12D3"/>
    <w:rsid w:val="003D1334"/>
    <w:rsid w:val="003D1366"/>
    <w:rsid w:val="003D136E"/>
    <w:rsid w:val="003D1371"/>
    <w:rsid w:val="003D1398"/>
    <w:rsid w:val="003D13BD"/>
    <w:rsid w:val="003D140C"/>
    <w:rsid w:val="003D143F"/>
    <w:rsid w:val="003D1440"/>
    <w:rsid w:val="003D145E"/>
    <w:rsid w:val="003D147B"/>
    <w:rsid w:val="003D1485"/>
    <w:rsid w:val="003D1496"/>
    <w:rsid w:val="003D14A1"/>
    <w:rsid w:val="003D14A4"/>
    <w:rsid w:val="003D14AF"/>
    <w:rsid w:val="003D14D5"/>
    <w:rsid w:val="003D14DD"/>
    <w:rsid w:val="003D14F0"/>
    <w:rsid w:val="003D1536"/>
    <w:rsid w:val="003D154A"/>
    <w:rsid w:val="003D1570"/>
    <w:rsid w:val="003D1577"/>
    <w:rsid w:val="003D158A"/>
    <w:rsid w:val="003D15BE"/>
    <w:rsid w:val="003D15D9"/>
    <w:rsid w:val="003D15EC"/>
    <w:rsid w:val="003D1616"/>
    <w:rsid w:val="003D1617"/>
    <w:rsid w:val="003D1636"/>
    <w:rsid w:val="003D164C"/>
    <w:rsid w:val="003D165B"/>
    <w:rsid w:val="003D166B"/>
    <w:rsid w:val="003D168B"/>
    <w:rsid w:val="003D168F"/>
    <w:rsid w:val="003D16B0"/>
    <w:rsid w:val="003D16E5"/>
    <w:rsid w:val="003D16F5"/>
    <w:rsid w:val="003D1732"/>
    <w:rsid w:val="003D1826"/>
    <w:rsid w:val="003D1880"/>
    <w:rsid w:val="003D18AB"/>
    <w:rsid w:val="003D18E0"/>
    <w:rsid w:val="003D18E2"/>
    <w:rsid w:val="003D18F3"/>
    <w:rsid w:val="003D18F4"/>
    <w:rsid w:val="003D190D"/>
    <w:rsid w:val="003D1919"/>
    <w:rsid w:val="003D1944"/>
    <w:rsid w:val="003D195E"/>
    <w:rsid w:val="003D19A5"/>
    <w:rsid w:val="003D19BA"/>
    <w:rsid w:val="003D19FC"/>
    <w:rsid w:val="003D1A02"/>
    <w:rsid w:val="003D1A72"/>
    <w:rsid w:val="003D1B36"/>
    <w:rsid w:val="003D1B3F"/>
    <w:rsid w:val="003D1B72"/>
    <w:rsid w:val="003D1B9F"/>
    <w:rsid w:val="003D1BDD"/>
    <w:rsid w:val="003D1C37"/>
    <w:rsid w:val="003D1C5A"/>
    <w:rsid w:val="003D1C5F"/>
    <w:rsid w:val="003D1C6A"/>
    <w:rsid w:val="003D1C89"/>
    <w:rsid w:val="003D1C8E"/>
    <w:rsid w:val="003D1CBF"/>
    <w:rsid w:val="003D1CD3"/>
    <w:rsid w:val="003D1CF1"/>
    <w:rsid w:val="003D1CF2"/>
    <w:rsid w:val="003D1D2C"/>
    <w:rsid w:val="003D1DD0"/>
    <w:rsid w:val="003D1DD9"/>
    <w:rsid w:val="003D1DE3"/>
    <w:rsid w:val="003D1DFD"/>
    <w:rsid w:val="003D1E20"/>
    <w:rsid w:val="003D1E24"/>
    <w:rsid w:val="003D1E36"/>
    <w:rsid w:val="003D1E39"/>
    <w:rsid w:val="003D1E42"/>
    <w:rsid w:val="003D1E44"/>
    <w:rsid w:val="003D1E45"/>
    <w:rsid w:val="003D1E54"/>
    <w:rsid w:val="003D1E93"/>
    <w:rsid w:val="003D1ED7"/>
    <w:rsid w:val="003D1EEE"/>
    <w:rsid w:val="003D1F62"/>
    <w:rsid w:val="003D1FCF"/>
    <w:rsid w:val="003D2006"/>
    <w:rsid w:val="003D2014"/>
    <w:rsid w:val="003D20BF"/>
    <w:rsid w:val="003D20ED"/>
    <w:rsid w:val="003D20F4"/>
    <w:rsid w:val="003D20FC"/>
    <w:rsid w:val="003D20FE"/>
    <w:rsid w:val="003D2112"/>
    <w:rsid w:val="003D2182"/>
    <w:rsid w:val="003D218A"/>
    <w:rsid w:val="003D2209"/>
    <w:rsid w:val="003D2232"/>
    <w:rsid w:val="003D224D"/>
    <w:rsid w:val="003D225F"/>
    <w:rsid w:val="003D226F"/>
    <w:rsid w:val="003D228D"/>
    <w:rsid w:val="003D2297"/>
    <w:rsid w:val="003D22AF"/>
    <w:rsid w:val="003D22FA"/>
    <w:rsid w:val="003D232B"/>
    <w:rsid w:val="003D2330"/>
    <w:rsid w:val="003D2336"/>
    <w:rsid w:val="003D23B8"/>
    <w:rsid w:val="003D2475"/>
    <w:rsid w:val="003D248F"/>
    <w:rsid w:val="003D249D"/>
    <w:rsid w:val="003D24B2"/>
    <w:rsid w:val="003D24C1"/>
    <w:rsid w:val="003D24CC"/>
    <w:rsid w:val="003D24CE"/>
    <w:rsid w:val="003D2566"/>
    <w:rsid w:val="003D257E"/>
    <w:rsid w:val="003D258E"/>
    <w:rsid w:val="003D259C"/>
    <w:rsid w:val="003D25B3"/>
    <w:rsid w:val="003D25C2"/>
    <w:rsid w:val="003D2608"/>
    <w:rsid w:val="003D2627"/>
    <w:rsid w:val="003D2631"/>
    <w:rsid w:val="003D2635"/>
    <w:rsid w:val="003D2693"/>
    <w:rsid w:val="003D26E0"/>
    <w:rsid w:val="003D26F5"/>
    <w:rsid w:val="003D275B"/>
    <w:rsid w:val="003D2773"/>
    <w:rsid w:val="003D2775"/>
    <w:rsid w:val="003D27A5"/>
    <w:rsid w:val="003D2806"/>
    <w:rsid w:val="003D2836"/>
    <w:rsid w:val="003D2841"/>
    <w:rsid w:val="003D284C"/>
    <w:rsid w:val="003D28B2"/>
    <w:rsid w:val="003D28D6"/>
    <w:rsid w:val="003D297C"/>
    <w:rsid w:val="003D2998"/>
    <w:rsid w:val="003D29A7"/>
    <w:rsid w:val="003D29B6"/>
    <w:rsid w:val="003D29DC"/>
    <w:rsid w:val="003D29EC"/>
    <w:rsid w:val="003D2A10"/>
    <w:rsid w:val="003D2A32"/>
    <w:rsid w:val="003D2A44"/>
    <w:rsid w:val="003D2A9E"/>
    <w:rsid w:val="003D2AD5"/>
    <w:rsid w:val="003D2ADB"/>
    <w:rsid w:val="003D2AEC"/>
    <w:rsid w:val="003D2AF2"/>
    <w:rsid w:val="003D2B42"/>
    <w:rsid w:val="003D2B4F"/>
    <w:rsid w:val="003D2B96"/>
    <w:rsid w:val="003D2BC7"/>
    <w:rsid w:val="003D2BCA"/>
    <w:rsid w:val="003D2C6B"/>
    <w:rsid w:val="003D2CA3"/>
    <w:rsid w:val="003D2CE8"/>
    <w:rsid w:val="003D2CF6"/>
    <w:rsid w:val="003D2CFF"/>
    <w:rsid w:val="003D2D2D"/>
    <w:rsid w:val="003D2D2F"/>
    <w:rsid w:val="003D2D50"/>
    <w:rsid w:val="003D2D5E"/>
    <w:rsid w:val="003D2D6A"/>
    <w:rsid w:val="003D2E10"/>
    <w:rsid w:val="003D2E14"/>
    <w:rsid w:val="003D2E68"/>
    <w:rsid w:val="003D2E98"/>
    <w:rsid w:val="003D2EAE"/>
    <w:rsid w:val="003D2EB5"/>
    <w:rsid w:val="003D2ED3"/>
    <w:rsid w:val="003D2F0B"/>
    <w:rsid w:val="003D2F36"/>
    <w:rsid w:val="003D2F37"/>
    <w:rsid w:val="003D2F3F"/>
    <w:rsid w:val="003D2F4E"/>
    <w:rsid w:val="003D2F85"/>
    <w:rsid w:val="003D2F93"/>
    <w:rsid w:val="003D2FD8"/>
    <w:rsid w:val="003D2FDA"/>
    <w:rsid w:val="003D3005"/>
    <w:rsid w:val="003D303C"/>
    <w:rsid w:val="003D3055"/>
    <w:rsid w:val="003D3098"/>
    <w:rsid w:val="003D30CC"/>
    <w:rsid w:val="003D310D"/>
    <w:rsid w:val="003D310F"/>
    <w:rsid w:val="003D3184"/>
    <w:rsid w:val="003D31C6"/>
    <w:rsid w:val="003D31E0"/>
    <w:rsid w:val="003D31F8"/>
    <w:rsid w:val="003D323B"/>
    <w:rsid w:val="003D3250"/>
    <w:rsid w:val="003D3268"/>
    <w:rsid w:val="003D326A"/>
    <w:rsid w:val="003D326C"/>
    <w:rsid w:val="003D32C8"/>
    <w:rsid w:val="003D32F8"/>
    <w:rsid w:val="003D3314"/>
    <w:rsid w:val="003D334C"/>
    <w:rsid w:val="003D335C"/>
    <w:rsid w:val="003D337C"/>
    <w:rsid w:val="003D33D2"/>
    <w:rsid w:val="003D33EF"/>
    <w:rsid w:val="003D33F4"/>
    <w:rsid w:val="003D3413"/>
    <w:rsid w:val="003D342B"/>
    <w:rsid w:val="003D3458"/>
    <w:rsid w:val="003D3486"/>
    <w:rsid w:val="003D34AA"/>
    <w:rsid w:val="003D34B6"/>
    <w:rsid w:val="003D34BC"/>
    <w:rsid w:val="003D34DC"/>
    <w:rsid w:val="003D34FC"/>
    <w:rsid w:val="003D3509"/>
    <w:rsid w:val="003D3523"/>
    <w:rsid w:val="003D353E"/>
    <w:rsid w:val="003D3550"/>
    <w:rsid w:val="003D357C"/>
    <w:rsid w:val="003D3584"/>
    <w:rsid w:val="003D35A1"/>
    <w:rsid w:val="003D35D7"/>
    <w:rsid w:val="003D35E9"/>
    <w:rsid w:val="003D360C"/>
    <w:rsid w:val="003D360D"/>
    <w:rsid w:val="003D3637"/>
    <w:rsid w:val="003D363C"/>
    <w:rsid w:val="003D365E"/>
    <w:rsid w:val="003D3664"/>
    <w:rsid w:val="003D367A"/>
    <w:rsid w:val="003D3695"/>
    <w:rsid w:val="003D369C"/>
    <w:rsid w:val="003D36C1"/>
    <w:rsid w:val="003D36D0"/>
    <w:rsid w:val="003D36E3"/>
    <w:rsid w:val="003D36F0"/>
    <w:rsid w:val="003D3727"/>
    <w:rsid w:val="003D378B"/>
    <w:rsid w:val="003D37AF"/>
    <w:rsid w:val="003D37D1"/>
    <w:rsid w:val="003D37EF"/>
    <w:rsid w:val="003D383E"/>
    <w:rsid w:val="003D3877"/>
    <w:rsid w:val="003D38CF"/>
    <w:rsid w:val="003D38DE"/>
    <w:rsid w:val="003D38E5"/>
    <w:rsid w:val="003D391A"/>
    <w:rsid w:val="003D3934"/>
    <w:rsid w:val="003D393E"/>
    <w:rsid w:val="003D3945"/>
    <w:rsid w:val="003D3953"/>
    <w:rsid w:val="003D3960"/>
    <w:rsid w:val="003D3962"/>
    <w:rsid w:val="003D3987"/>
    <w:rsid w:val="003D398B"/>
    <w:rsid w:val="003D39B7"/>
    <w:rsid w:val="003D39B8"/>
    <w:rsid w:val="003D3A23"/>
    <w:rsid w:val="003D3A40"/>
    <w:rsid w:val="003D3A4D"/>
    <w:rsid w:val="003D3A6E"/>
    <w:rsid w:val="003D3A7E"/>
    <w:rsid w:val="003D3A81"/>
    <w:rsid w:val="003D3AB3"/>
    <w:rsid w:val="003D3AB8"/>
    <w:rsid w:val="003D3ACC"/>
    <w:rsid w:val="003D3B0F"/>
    <w:rsid w:val="003D3B39"/>
    <w:rsid w:val="003D3B93"/>
    <w:rsid w:val="003D3B97"/>
    <w:rsid w:val="003D3BD1"/>
    <w:rsid w:val="003D3BF1"/>
    <w:rsid w:val="003D3C1C"/>
    <w:rsid w:val="003D3C93"/>
    <w:rsid w:val="003D3CA6"/>
    <w:rsid w:val="003D3D1F"/>
    <w:rsid w:val="003D3D86"/>
    <w:rsid w:val="003D3D99"/>
    <w:rsid w:val="003D3DAB"/>
    <w:rsid w:val="003D3DDD"/>
    <w:rsid w:val="003D3E60"/>
    <w:rsid w:val="003D3EB7"/>
    <w:rsid w:val="003D3EF6"/>
    <w:rsid w:val="003D3F25"/>
    <w:rsid w:val="003D3F39"/>
    <w:rsid w:val="003D3F58"/>
    <w:rsid w:val="003D3FA0"/>
    <w:rsid w:val="003D3FB3"/>
    <w:rsid w:val="003D3FB7"/>
    <w:rsid w:val="003D3FC9"/>
    <w:rsid w:val="003D3FEC"/>
    <w:rsid w:val="003D4007"/>
    <w:rsid w:val="003D400D"/>
    <w:rsid w:val="003D4033"/>
    <w:rsid w:val="003D405F"/>
    <w:rsid w:val="003D4085"/>
    <w:rsid w:val="003D40E1"/>
    <w:rsid w:val="003D40EA"/>
    <w:rsid w:val="003D40EE"/>
    <w:rsid w:val="003D41C5"/>
    <w:rsid w:val="003D422D"/>
    <w:rsid w:val="003D4248"/>
    <w:rsid w:val="003D4262"/>
    <w:rsid w:val="003D4293"/>
    <w:rsid w:val="003D432E"/>
    <w:rsid w:val="003D4335"/>
    <w:rsid w:val="003D4351"/>
    <w:rsid w:val="003D4376"/>
    <w:rsid w:val="003D43AA"/>
    <w:rsid w:val="003D43BF"/>
    <w:rsid w:val="003D43CA"/>
    <w:rsid w:val="003D4419"/>
    <w:rsid w:val="003D442B"/>
    <w:rsid w:val="003D444F"/>
    <w:rsid w:val="003D4462"/>
    <w:rsid w:val="003D44B4"/>
    <w:rsid w:val="003D44BC"/>
    <w:rsid w:val="003D44EB"/>
    <w:rsid w:val="003D452F"/>
    <w:rsid w:val="003D4558"/>
    <w:rsid w:val="003D4588"/>
    <w:rsid w:val="003D45C4"/>
    <w:rsid w:val="003D45DC"/>
    <w:rsid w:val="003D4600"/>
    <w:rsid w:val="003D4605"/>
    <w:rsid w:val="003D4606"/>
    <w:rsid w:val="003D462C"/>
    <w:rsid w:val="003D466F"/>
    <w:rsid w:val="003D4687"/>
    <w:rsid w:val="003D46B1"/>
    <w:rsid w:val="003D46DB"/>
    <w:rsid w:val="003D472D"/>
    <w:rsid w:val="003D4762"/>
    <w:rsid w:val="003D4771"/>
    <w:rsid w:val="003D47C1"/>
    <w:rsid w:val="003D47DD"/>
    <w:rsid w:val="003D47E5"/>
    <w:rsid w:val="003D47E9"/>
    <w:rsid w:val="003D47F1"/>
    <w:rsid w:val="003D47F8"/>
    <w:rsid w:val="003D4803"/>
    <w:rsid w:val="003D4806"/>
    <w:rsid w:val="003D481B"/>
    <w:rsid w:val="003D4832"/>
    <w:rsid w:val="003D484A"/>
    <w:rsid w:val="003D484F"/>
    <w:rsid w:val="003D485F"/>
    <w:rsid w:val="003D4868"/>
    <w:rsid w:val="003D487F"/>
    <w:rsid w:val="003D4890"/>
    <w:rsid w:val="003D48BC"/>
    <w:rsid w:val="003D48D9"/>
    <w:rsid w:val="003D48E4"/>
    <w:rsid w:val="003D48F6"/>
    <w:rsid w:val="003D4958"/>
    <w:rsid w:val="003D495E"/>
    <w:rsid w:val="003D49D7"/>
    <w:rsid w:val="003D4A1B"/>
    <w:rsid w:val="003D4A50"/>
    <w:rsid w:val="003D4A73"/>
    <w:rsid w:val="003D4A97"/>
    <w:rsid w:val="003D4ACE"/>
    <w:rsid w:val="003D4B57"/>
    <w:rsid w:val="003D4B74"/>
    <w:rsid w:val="003D4BF2"/>
    <w:rsid w:val="003D4C07"/>
    <w:rsid w:val="003D4C55"/>
    <w:rsid w:val="003D4C96"/>
    <w:rsid w:val="003D4D82"/>
    <w:rsid w:val="003D4D96"/>
    <w:rsid w:val="003D4DA7"/>
    <w:rsid w:val="003D4DBD"/>
    <w:rsid w:val="003D4E02"/>
    <w:rsid w:val="003D4E6C"/>
    <w:rsid w:val="003D4F21"/>
    <w:rsid w:val="003D4F4B"/>
    <w:rsid w:val="003D4F63"/>
    <w:rsid w:val="003D4F67"/>
    <w:rsid w:val="003D4F70"/>
    <w:rsid w:val="003D4FAB"/>
    <w:rsid w:val="003D4FB6"/>
    <w:rsid w:val="003D4FE1"/>
    <w:rsid w:val="003D5045"/>
    <w:rsid w:val="003D5062"/>
    <w:rsid w:val="003D50A8"/>
    <w:rsid w:val="003D50B8"/>
    <w:rsid w:val="003D50ED"/>
    <w:rsid w:val="003D5134"/>
    <w:rsid w:val="003D5138"/>
    <w:rsid w:val="003D5141"/>
    <w:rsid w:val="003D5197"/>
    <w:rsid w:val="003D5198"/>
    <w:rsid w:val="003D519E"/>
    <w:rsid w:val="003D51AA"/>
    <w:rsid w:val="003D51EF"/>
    <w:rsid w:val="003D520B"/>
    <w:rsid w:val="003D5213"/>
    <w:rsid w:val="003D5255"/>
    <w:rsid w:val="003D525E"/>
    <w:rsid w:val="003D526E"/>
    <w:rsid w:val="003D52AA"/>
    <w:rsid w:val="003D535D"/>
    <w:rsid w:val="003D5385"/>
    <w:rsid w:val="003D5407"/>
    <w:rsid w:val="003D5410"/>
    <w:rsid w:val="003D5431"/>
    <w:rsid w:val="003D549C"/>
    <w:rsid w:val="003D54A7"/>
    <w:rsid w:val="003D54BC"/>
    <w:rsid w:val="003D54BF"/>
    <w:rsid w:val="003D5505"/>
    <w:rsid w:val="003D5562"/>
    <w:rsid w:val="003D55A5"/>
    <w:rsid w:val="003D55AE"/>
    <w:rsid w:val="003D5642"/>
    <w:rsid w:val="003D564F"/>
    <w:rsid w:val="003D5655"/>
    <w:rsid w:val="003D56CA"/>
    <w:rsid w:val="003D56F4"/>
    <w:rsid w:val="003D56F6"/>
    <w:rsid w:val="003D5728"/>
    <w:rsid w:val="003D573A"/>
    <w:rsid w:val="003D5746"/>
    <w:rsid w:val="003D57E5"/>
    <w:rsid w:val="003D58D0"/>
    <w:rsid w:val="003D58DA"/>
    <w:rsid w:val="003D58E5"/>
    <w:rsid w:val="003D58F6"/>
    <w:rsid w:val="003D59B8"/>
    <w:rsid w:val="003D59C1"/>
    <w:rsid w:val="003D59D4"/>
    <w:rsid w:val="003D5A03"/>
    <w:rsid w:val="003D5B06"/>
    <w:rsid w:val="003D5B0B"/>
    <w:rsid w:val="003D5B0C"/>
    <w:rsid w:val="003D5B75"/>
    <w:rsid w:val="003D5BB0"/>
    <w:rsid w:val="003D5BCB"/>
    <w:rsid w:val="003D5C0D"/>
    <w:rsid w:val="003D5C30"/>
    <w:rsid w:val="003D5C56"/>
    <w:rsid w:val="003D5CA4"/>
    <w:rsid w:val="003D5CC0"/>
    <w:rsid w:val="003D5D1D"/>
    <w:rsid w:val="003D5D34"/>
    <w:rsid w:val="003D5D6E"/>
    <w:rsid w:val="003D5DD9"/>
    <w:rsid w:val="003D5E39"/>
    <w:rsid w:val="003D5E99"/>
    <w:rsid w:val="003D5EAB"/>
    <w:rsid w:val="003D5EAD"/>
    <w:rsid w:val="003D5F22"/>
    <w:rsid w:val="003D5F26"/>
    <w:rsid w:val="003D5F46"/>
    <w:rsid w:val="003D5FA1"/>
    <w:rsid w:val="003D5FC0"/>
    <w:rsid w:val="003D5FFA"/>
    <w:rsid w:val="003D604D"/>
    <w:rsid w:val="003D608C"/>
    <w:rsid w:val="003D60B3"/>
    <w:rsid w:val="003D611C"/>
    <w:rsid w:val="003D6175"/>
    <w:rsid w:val="003D619C"/>
    <w:rsid w:val="003D61B4"/>
    <w:rsid w:val="003D61FD"/>
    <w:rsid w:val="003D6203"/>
    <w:rsid w:val="003D621E"/>
    <w:rsid w:val="003D6229"/>
    <w:rsid w:val="003D6237"/>
    <w:rsid w:val="003D626C"/>
    <w:rsid w:val="003D62AF"/>
    <w:rsid w:val="003D6301"/>
    <w:rsid w:val="003D631E"/>
    <w:rsid w:val="003D6367"/>
    <w:rsid w:val="003D6381"/>
    <w:rsid w:val="003D6398"/>
    <w:rsid w:val="003D63B2"/>
    <w:rsid w:val="003D640A"/>
    <w:rsid w:val="003D6454"/>
    <w:rsid w:val="003D6466"/>
    <w:rsid w:val="003D6485"/>
    <w:rsid w:val="003D6486"/>
    <w:rsid w:val="003D64F7"/>
    <w:rsid w:val="003D64FC"/>
    <w:rsid w:val="003D6523"/>
    <w:rsid w:val="003D6524"/>
    <w:rsid w:val="003D6527"/>
    <w:rsid w:val="003D6535"/>
    <w:rsid w:val="003D6550"/>
    <w:rsid w:val="003D65BD"/>
    <w:rsid w:val="003D65DC"/>
    <w:rsid w:val="003D6603"/>
    <w:rsid w:val="003D662E"/>
    <w:rsid w:val="003D6642"/>
    <w:rsid w:val="003D664B"/>
    <w:rsid w:val="003D6661"/>
    <w:rsid w:val="003D6676"/>
    <w:rsid w:val="003D6681"/>
    <w:rsid w:val="003D668E"/>
    <w:rsid w:val="003D66DE"/>
    <w:rsid w:val="003D66FF"/>
    <w:rsid w:val="003D6709"/>
    <w:rsid w:val="003D673A"/>
    <w:rsid w:val="003D6753"/>
    <w:rsid w:val="003D6771"/>
    <w:rsid w:val="003D679A"/>
    <w:rsid w:val="003D679D"/>
    <w:rsid w:val="003D67B9"/>
    <w:rsid w:val="003D67FC"/>
    <w:rsid w:val="003D67FE"/>
    <w:rsid w:val="003D680F"/>
    <w:rsid w:val="003D6864"/>
    <w:rsid w:val="003D68C4"/>
    <w:rsid w:val="003D68FD"/>
    <w:rsid w:val="003D690D"/>
    <w:rsid w:val="003D6910"/>
    <w:rsid w:val="003D6928"/>
    <w:rsid w:val="003D6932"/>
    <w:rsid w:val="003D6944"/>
    <w:rsid w:val="003D6953"/>
    <w:rsid w:val="003D695F"/>
    <w:rsid w:val="003D69B6"/>
    <w:rsid w:val="003D69EB"/>
    <w:rsid w:val="003D6A0D"/>
    <w:rsid w:val="003D6A97"/>
    <w:rsid w:val="003D6AA2"/>
    <w:rsid w:val="003D6AB7"/>
    <w:rsid w:val="003D6AC7"/>
    <w:rsid w:val="003D6AE1"/>
    <w:rsid w:val="003D6AFC"/>
    <w:rsid w:val="003D6B6D"/>
    <w:rsid w:val="003D6BA2"/>
    <w:rsid w:val="003D6BBA"/>
    <w:rsid w:val="003D6BE3"/>
    <w:rsid w:val="003D6C26"/>
    <w:rsid w:val="003D6C2D"/>
    <w:rsid w:val="003D6C44"/>
    <w:rsid w:val="003D6C84"/>
    <w:rsid w:val="003D6CD0"/>
    <w:rsid w:val="003D6CD3"/>
    <w:rsid w:val="003D6CD9"/>
    <w:rsid w:val="003D6D69"/>
    <w:rsid w:val="003D6D6C"/>
    <w:rsid w:val="003D6DBA"/>
    <w:rsid w:val="003D6E21"/>
    <w:rsid w:val="003D6E33"/>
    <w:rsid w:val="003D6E55"/>
    <w:rsid w:val="003D6E5A"/>
    <w:rsid w:val="003D6E64"/>
    <w:rsid w:val="003D6E6D"/>
    <w:rsid w:val="003D6E98"/>
    <w:rsid w:val="003D6EB1"/>
    <w:rsid w:val="003D6F10"/>
    <w:rsid w:val="003D6F24"/>
    <w:rsid w:val="003D6F3C"/>
    <w:rsid w:val="003D6F85"/>
    <w:rsid w:val="003D6FD7"/>
    <w:rsid w:val="003D6FF1"/>
    <w:rsid w:val="003D700A"/>
    <w:rsid w:val="003D700C"/>
    <w:rsid w:val="003D701F"/>
    <w:rsid w:val="003D7040"/>
    <w:rsid w:val="003D7046"/>
    <w:rsid w:val="003D7076"/>
    <w:rsid w:val="003D707D"/>
    <w:rsid w:val="003D7084"/>
    <w:rsid w:val="003D70E8"/>
    <w:rsid w:val="003D70F5"/>
    <w:rsid w:val="003D7107"/>
    <w:rsid w:val="003D7120"/>
    <w:rsid w:val="003D712F"/>
    <w:rsid w:val="003D7161"/>
    <w:rsid w:val="003D71A7"/>
    <w:rsid w:val="003D71C7"/>
    <w:rsid w:val="003D71EC"/>
    <w:rsid w:val="003D71F2"/>
    <w:rsid w:val="003D7200"/>
    <w:rsid w:val="003D720C"/>
    <w:rsid w:val="003D7231"/>
    <w:rsid w:val="003D723A"/>
    <w:rsid w:val="003D725F"/>
    <w:rsid w:val="003D726B"/>
    <w:rsid w:val="003D7290"/>
    <w:rsid w:val="003D729D"/>
    <w:rsid w:val="003D729F"/>
    <w:rsid w:val="003D72B7"/>
    <w:rsid w:val="003D72D3"/>
    <w:rsid w:val="003D72EA"/>
    <w:rsid w:val="003D72EE"/>
    <w:rsid w:val="003D7317"/>
    <w:rsid w:val="003D734A"/>
    <w:rsid w:val="003D7360"/>
    <w:rsid w:val="003D7367"/>
    <w:rsid w:val="003D736C"/>
    <w:rsid w:val="003D7376"/>
    <w:rsid w:val="003D73A2"/>
    <w:rsid w:val="003D73AC"/>
    <w:rsid w:val="003D73C1"/>
    <w:rsid w:val="003D73E6"/>
    <w:rsid w:val="003D73F5"/>
    <w:rsid w:val="003D7439"/>
    <w:rsid w:val="003D746D"/>
    <w:rsid w:val="003D7476"/>
    <w:rsid w:val="003D748A"/>
    <w:rsid w:val="003D750F"/>
    <w:rsid w:val="003D7527"/>
    <w:rsid w:val="003D7576"/>
    <w:rsid w:val="003D7577"/>
    <w:rsid w:val="003D75C3"/>
    <w:rsid w:val="003D762F"/>
    <w:rsid w:val="003D7686"/>
    <w:rsid w:val="003D76E8"/>
    <w:rsid w:val="003D770C"/>
    <w:rsid w:val="003D7751"/>
    <w:rsid w:val="003D7775"/>
    <w:rsid w:val="003D77AB"/>
    <w:rsid w:val="003D77AF"/>
    <w:rsid w:val="003D7802"/>
    <w:rsid w:val="003D7828"/>
    <w:rsid w:val="003D7852"/>
    <w:rsid w:val="003D7893"/>
    <w:rsid w:val="003D78B4"/>
    <w:rsid w:val="003D78BC"/>
    <w:rsid w:val="003D78C2"/>
    <w:rsid w:val="003D78FD"/>
    <w:rsid w:val="003D792B"/>
    <w:rsid w:val="003D799A"/>
    <w:rsid w:val="003D79A6"/>
    <w:rsid w:val="003D7A19"/>
    <w:rsid w:val="003D7A2A"/>
    <w:rsid w:val="003D7A63"/>
    <w:rsid w:val="003D7A90"/>
    <w:rsid w:val="003D7AB8"/>
    <w:rsid w:val="003D7ACD"/>
    <w:rsid w:val="003D7AE6"/>
    <w:rsid w:val="003D7B08"/>
    <w:rsid w:val="003D7B21"/>
    <w:rsid w:val="003D7B3B"/>
    <w:rsid w:val="003D7B8D"/>
    <w:rsid w:val="003D7B8F"/>
    <w:rsid w:val="003D7BF0"/>
    <w:rsid w:val="003D7C03"/>
    <w:rsid w:val="003D7C67"/>
    <w:rsid w:val="003D7CA3"/>
    <w:rsid w:val="003D7CD6"/>
    <w:rsid w:val="003D7CED"/>
    <w:rsid w:val="003D7D23"/>
    <w:rsid w:val="003D7D38"/>
    <w:rsid w:val="003D7D3C"/>
    <w:rsid w:val="003D7D3D"/>
    <w:rsid w:val="003D7D64"/>
    <w:rsid w:val="003D7D70"/>
    <w:rsid w:val="003D7D7D"/>
    <w:rsid w:val="003D7D8A"/>
    <w:rsid w:val="003D7E05"/>
    <w:rsid w:val="003D7E95"/>
    <w:rsid w:val="003D7EE5"/>
    <w:rsid w:val="003D7F7C"/>
    <w:rsid w:val="003D7FB0"/>
    <w:rsid w:val="003D7FCA"/>
    <w:rsid w:val="003D7FE1"/>
    <w:rsid w:val="003D7FEC"/>
    <w:rsid w:val="003D7FFE"/>
    <w:rsid w:val="003E0029"/>
    <w:rsid w:val="003E007F"/>
    <w:rsid w:val="003E00A1"/>
    <w:rsid w:val="003E00AD"/>
    <w:rsid w:val="003E00C7"/>
    <w:rsid w:val="003E00E3"/>
    <w:rsid w:val="003E00F7"/>
    <w:rsid w:val="003E0133"/>
    <w:rsid w:val="003E014E"/>
    <w:rsid w:val="003E0165"/>
    <w:rsid w:val="003E017A"/>
    <w:rsid w:val="003E0196"/>
    <w:rsid w:val="003E0197"/>
    <w:rsid w:val="003E01CA"/>
    <w:rsid w:val="003E01D4"/>
    <w:rsid w:val="003E01E2"/>
    <w:rsid w:val="003E0248"/>
    <w:rsid w:val="003E0259"/>
    <w:rsid w:val="003E0267"/>
    <w:rsid w:val="003E02DB"/>
    <w:rsid w:val="003E0310"/>
    <w:rsid w:val="003E0312"/>
    <w:rsid w:val="003E0329"/>
    <w:rsid w:val="003E0348"/>
    <w:rsid w:val="003E034B"/>
    <w:rsid w:val="003E0354"/>
    <w:rsid w:val="003E0413"/>
    <w:rsid w:val="003E0421"/>
    <w:rsid w:val="003E04B8"/>
    <w:rsid w:val="003E0508"/>
    <w:rsid w:val="003E052D"/>
    <w:rsid w:val="003E0533"/>
    <w:rsid w:val="003E0564"/>
    <w:rsid w:val="003E05A8"/>
    <w:rsid w:val="003E05BE"/>
    <w:rsid w:val="003E05CD"/>
    <w:rsid w:val="003E05E4"/>
    <w:rsid w:val="003E061A"/>
    <w:rsid w:val="003E0620"/>
    <w:rsid w:val="003E0633"/>
    <w:rsid w:val="003E0638"/>
    <w:rsid w:val="003E066C"/>
    <w:rsid w:val="003E067A"/>
    <w:rsid w:val="003E0684"/>
    <w:rsid w:val="003E069D"/>
    <w:rsid w:val="003E06C9"/>
    <w:rsid w:val="003E06F2"/>
    <w:rsid w:val="003E06FC"/>
    <w:rsid w:val="003E073C"/>
    <w:rsid w:val="003E0740"/>
    <w:rsid w:val="003E075B"/>
    <w:rsid w:val="003E075F"/>
    <w:rsid w:val="003E0774"/>
    <w:rsid w:val="003E0785"/>
    <w:rsid w:val="003E07C3"/>
    <w:rsid w:val="003E07D4"/>
    <w:rsid w:val="003E07EB"/>
    <w:rsid w:val="003E07ED"/>
    <w:rsid w:val="003E082F"/>
    <w:rsid w:val="003E0860"/>
    <w:rsid w:val="003E0980"/>
    <w:rsid w:val="003E09A0"/>
    <w:rsid w:val="003E0A5A"/>
    <w:rsid w:val="003E0A68"/>
    <w:rsid w:val="003E0A78"/>
    <w:rsid w:val="003E0A7E"/>
    <w:rsid w:val="003E0AAB"/>
    <w:rsid w:val="003E0AFE"/>
    <w:rsid w:val="003E0B16"/>
    <w:rsid w:val="003E0B24"/>
    <w:rsid w:val="003E0B4B"/>
    <w:rsid w:val="003E0B5C"/>
    <w:rsid w:val="003E0B81"/>
    <w:rsid w:val="003E0B94"/>
    <w:rsid w:val="003E0BA1"/>
    <w:rsid w:val="003E0BA4"/>
    <w:rsid w:val="003E0C27"/>
    <w:rsid w:val="003E0C30"/>
    <w:rsid w:val="003E0C37"/>
    <w:rsid w:val="003E0C58"/>
    <w:rsid w:val="003E0C5B"/>
    <w:rsid w:val="003E0C98"/>
    <w:rsid w:val="003E0CC7"/>
    <w:rsid w:val="003E0CC9"/>
    <w:rsid w:val="003E0D30"/>
    <w:rsid w:val="003E0D5D"/>
    <w:rsid w:val="003E0D74"/>
    <w:rsid w:val="003E0E04"/>
    <w:rsid w:val="003E0E36"/>
    <w:rsid w:val="003E0E49"/>
    <w:rsid w:val="003E0E8B"/>
    <w:rsid w:val="003E0EE8"/>
    <w:rsid w:val="003E0EFC"/>
    <w:rsid w:val="003E0F05"/>
    <w:rsid w:val="003E0F96"/>
    <w:rsid w:val="003E0FC6"/>
    <w:rsid w:val="003E0FE2"/>
    <w:rsid w:val="003E1003"/>
    <w:rsid w:val="003E1036"/>
    <w:rsid w:val="003E1073"/>
    <w:rsid w:val="003E1080"/>
    <w:rsid w:val="003E1084"/>
    <w:rsid w:val="003E10C2"/>
    <w:rsid w:val="003E10D7"/>
    <w:rsid w:val="003E1136"/>
    <w:rsid w:val="003E114D"/>
    <w:rsid w:val="003E115D"/>
    <w:rsid w:val="003E1174"/>
    <w:rsid w:val="003E11C7"/>
    <w:rsid w:val="003E1210"/>
    <w:rsid w:val="003E1214"/>
    <w:rsid w:val="003E12C1"/>
    <w:rsid w:val="003E12C7"/>
    <w:rsid w:val="003E12CD"/>
    <w:rsid w:val="003E12CF"/>
    <w:rsid w:val="003E12E1"/>
    <w:rsid w:val="003E132E"/>
    <w:rsid w:val="003E133D"/>
    <w:rsid w:val="003E134E"/>
    <w:rsid w:val="003E1390"/>
    <w:rsid w:val="003E13E4"/>
    <w:rsid w:val="003E1406"/>
    <w:rsid w:val="003E1409"/>
    <w:rsid w:val="003E1441"/>
    <w:rsid w:val="003E1448"/>
    <w:rsid w:val="003E1460"/>
    <w:rsid w:val="003E1476"/>
    <w:rsid w:val="003E149A"/>
    <w:rsid w:val="003E14B0"/>
    <w:rsid w:val="003E14BF"/>
    <w:rsid w:val="003E14D2"/>
    <w:rsid w:val="003E1505"/>
    <w:rsid w:val="003E1516"/>
    <w:rsid w:val="003E1532"/>
    <w:rsid w:val="003E1542"/>
    <w:rsid w:val="003E15B1"/>
    <w:rsid w:val="003E15E5"/>
    <w:rsid w:val="003E1628"/>
    <w:rsid w:val="003E1683"/>
    <w:rsid w:val="003E16AE"/>
    <w:rsid w:val="003E16E2"/>
    <w:rsid w:val="003E171F"/>
    <w:rsid w:val="003E172A"/>
    <w:rsid w:val="003E1742"/>
    <w:rsid w:val="003E1744"/>
    <w:rsid w:val="003E17AE"/>
    <w:rsid w:val="003E17FB"/>
    <w:rsid w:val="003E1824"/>
    <w:rsid w:val="003E1838"/>
    <w:rsid w:val="003E1856"/>
    <w:rsid w:val="003E18D1"/>
    <w:rsid w:val="003E18E0"/>
    <w:rsid w:val="003E18E6"/>
    <w:rsid w:val="003E1902"/>
    <w:rsid w:val="003E1905"/>
    <w:rsid w:val="003E192E"/>
    <w:rsid w:val="003E195C"/>
    <w:rsid w:val="003E1966"/>
    <w:rsid w:val="003E1969"/>
    <w:rsid w:val="003E19EE"/>
    <w:rsid w:val="003E1A4A"/>
    <w:rsid w:val="003E1A5D"/>
    <w:rsid w:val="003E1A8D"/>
    <w:rsid w:val="003E1AAB"/>
    <w:rsid w:val="003E1AC8"/>
    <w:rsid w:val="003E1AD2"/>
    <w:rsid w:val="003E1AE9"/>
    <w:rsid w:val="003E1AF7"/>
    <w:rsid w:val="003E1B17"/>
    <w:rsid w:val="003E1BE2"/>
    <w:rsid w:val="003E1BFB"/>
    <w:rsid w:val="003E1C19"/>
    <w:rsid w:val="003E1C31"/>
    <w:rsid w:val="003E1C4C"/>
    <w:rsid w:val="003E1C93"/>
    <w:rsid w:val="003E1CBD"/>
    <w:rsid w:val="003E1CEE"/>
    <w:rsid w:val="003E1D65"/>
    <w:rsid w:val="003E1D66"/>
    <w:rsid w:val="003E1D6F"/>
    <w:rsid w:val="003E1D72"/>
    <w:rsid w:val="003E1D76"/>
    <w:rsid w:val="003E1D7D"/>
    <w:rsid w:val="003E1D9E"/>
    <w:rsid w:val="003E1DA9"/>
    <w:rsid w:val="003E1DB1"/>
    <w:rsid w:val="003E1E13"/>
    <w:rsid w:val="003E1E1D"/>
    <w:rsid w:val="003E1E27"/>
    <w:rsid w:val="003E1E6E"/>
    <w:rsid w:val="003E1F38"/>
    <w:rsid w:val="003E1F5D"/>
    <w:rsid w:val="003E1F70"/>
    <w:rsid w:val="003E1F80"/>
    <w:rsid w:val="003E1F92"/>
    <w:rsid w:val="003E1FA2"/>
    <w:rsid w:val="003E1FB7"/>
    <w:rsid w:val="003E1FBA"/>
    <w:rsid w:val="003E1FDD"/>
    <w:rsid w:val="003E1FEA"/>
    <w:rsid w:val="003E1FEB"/>
    <w:rsid w:val="003E2013"/>
    <w:rsid w:val="003E201D"/>
    <w:rsid w:val="003E2098"/>
    <w:rsid w:val="003E20B7"/>
    <w:rsid w:val="003E20D5"/>
    <w:rsid w:val="003E2103"/>
    <w:rsid w:val="003E21F2"/>
    <w:rsid w:val="003E21F9"/>
    <w:rsid w:val="003E2242"/>
    <w:rsid w:val="003E2246"/>
    <w:rsid w:val="003E224C"/>
    <w:rsid w:val="003E226B"/>
    <w:rsid w:val="003E2286"/>
    <w:rsid w:val="003E2288"/>
    <w:rsid w:val="003E22C3"/>
    <w:rsid w:val="003E22D7"/>
    <w:rsid w:val="003E22DD"/>
    <w:rsid w:val="003E22F9"/>
    <w:rsid w:val="003E22FF"/>
    <w:rsid w:val="003E2315"/>
    <w:rsid w:val="003E2390"/>
    <w:rsid w:val="003E2417"/>
    <w:rsid w:val="003E244C"/>
    <w:rsid w:val="003E2498"/>
    <w:rsid w:val="003E24CF"/>
    <w:rsid w:val="003E2529"/>
    <w:rsid w:val="003E256B"/>
    <w:rsid w:val="003E25DD"/>
    <w:rsid w:val="003E2604"/>
    <w:rsid w:val="003E265F"/>
    <w:rsid w:val="003E2672"/>
    <w:rsid w:val="003E2681"/>
    <w:rsid w:val="003E2699"/>
    <w:rsid w:val="003E26AE"/>
    <w:rsid w:val="003E26D9"/>
    <w:rsid w:val="003E26E7"/>
    <w:rsid w:val="003E2709"/>
    <w:rsid w:val="003E270A"/>
    <w:rsid w:val="003E276B"/>
    <w:rsid w:val="003E277A"/>
    <w:rsid w:val="003E27B1"/>
    <w:rsid w:val="003E27CB"/>
    <w:rsid w:val="003E27D1"/>
    <w:rsid w:val="003E2806"/>
    <w:rsid w:val="003E2876"/>
    <w:rsid w:val="003E28D6"/>
    <w:rsid w:val="003E28F0"/>
    <w:rsid w:val="003E28FB"/>
    <w:rsid w:val="003E2951"/>
    <w:rsid w:val="003E2983"/>
    <w:rsid w:val="003E29E3"/>
    <w:rsid w:val="003E29FA"/>
    <w:rsid w:val="003E29FF"/>
    <w:rsid w:val="003E2A04"/>
    <w:rsid w:val="003E2A16"/>
    <w:rsid w:val="003E2A49"/>
    <w:rsid w:val="003E2A4C"/>
    <w:rsid w:val="003E2A4D"/>
    <w:rsid w:val="003E2A64"/>
    <w:rsid w:val="003E2AAC"/>
    <w:rsid w:val="003E2AD1"/>
    <w:rsid w:val="003E2AD5"/>
    <w:rsid w:val="003E2ADA"/>
    <w:rsid w:val="003E2AE0"/>
    <w:rsid w:val="003E2AE8"/>
    <w:rsid w:val="003E2AF6"/>
    <w:rsid w:val="003E2B09"/>
    <w:rsid w:val="003E2B17"/>
    <w:rsid w:val="003E2B49"/>
    <w:rsid w:val="003E2B50"/>
    <w:rsid w:val="003E2B56"/>
    <w:rsid w:val="003E2B5F"/>
    <w:rsid w:val="003E2B6C"/>
    <w:rsid w:val="003E2B80"/>
    <w:rsid w:val="003E2BAA"/>
    <w:rsid w:val="003E2BAB"/>
    <w:rsid w:val="003E2BC0"/>
    <w:rsid w:val="003E2BE9"/>
    <w:rsid w:val="003E2C3D"/>
    <w:rsid w:val="003E2C8F"/>
    <w:rsid w:val="003E2CBE"/>
    <w:rsid w:val="003E2D0F"/>
    <w:rsid w:val="003E2D51"/>
    <w:rsid w:val="003E2D6E"/>
    <w:rsid w:val="003E2D90"/>
    <w:rsid w:val="003E2D93"/>
    <w:rsid w:val="003E2DAD"/>
    <w:rsid w:val="003E2DB2"/>
    <w:rsid w:val="003E2DC3"/>
    <w:rsid w:val="003E2DDF"/>
    <w:rsid w:val="003E2E0F"/>
    <w:rsid w:val="003E2E1C"/>
    <w:rsid w:val="003E2E1D"/>
    <w:rsid w:val="003E2E30"/>
    <w:rsid w:val="003E2E57"/>
    <w:rsid w:val="003E2E64"/>
    <w:rsid w:val="003E2E7B"/>
    <w:rsid w:val="003E2ED4"/>
    <w:rsid w:val="003E2ED9"/>
    <w:rsid w:val="003E2EE9"/>
    <w:rsid w:val="003E2F0E"/>
    <w:rsid w:val="003E2F78"/>
    <w:rsid w:val="003E2F7F"/>
    <w:rsid w:val="003E2F88"/>
    <w:rsid w:val="003E2FA5"/>
    <w:rsid w:val="003E2FCA"/>
    <w:rsid w:val="003E2FD4"/>
    <w:rsid w:val="003E2FD6"/>
    <w:rsid w:val="003E3023"/>
    <w:rsid w:val="003E3031"/>
    <w:rsid w:val="003E306C"/>
    <w:rsid w:val="003E30AC"/>
    <w:rsid w:val="003E30D7"/>
    <w:rsid w:val="003E30FF"/>
    <w:rsid w:val="003E3106"/>
    <w:rsid w:val="003E3147"/>
    <w:rsid w:val="003E316D"/>
    <w:rsid w:val="003E31F8"/>
    <w:rsid w:val="003E3204"/>
    <w:rsid w:val="003E320B"/>
    <w:rsid w:val="003E321F"/>
    <w:rsid w:val="003E3265"/>
    <w:rsid w:val="003E3297"/>
    <w:rsid w:val="003E3298"/>
    <w:rsid w:val="003E32B6"/>
    <w:rsid w:val="003E336E"/>
    <w:rsid w:val="003E3372"/>
    <w:rsid w:val="003E3390"/>
    <w:rsid w:val="003E3396"/>
    <w:rsid w:val="003E33A3"/>
    <w:rsid w:val="003E33B5"/>
    <w:rsid w:val="003E33D2"/>
    <w:rsid w:val="003E3402"/>
    <w:rsid w:val="003E3429"/>
    <w:rsid w:val="003E346F"/>
    <w:rsid w:val="003E3482"/>
    <w:rsid w:val="003E34A7"/>
    <w:rsid w:val="003E34B4"/>
    <w:rsid w:val="003E34BC"/>
    <w:rsid w:val="003E34CA"/>
    <w:rsid w:val="003E34CB"/>
    <w:rsid w:val="003E34EE"/>
    <w:rsid w:val="003E34F7"/>
    <w:rsid w:val="003E3519"/>
    <w:rsid w:val="003E3520"/>
    <w:rsid w:val="003E352C"/>
    <w:rsid w:val="003E3540"/>
    <w:rsid w:val="003E357E"/>
    <w:rsid w:val="003E3590"/>
    <w:rsid w:val="003E35A6"/>
    <w:rsid w:val="003E35AA"/>
    <w:rsid w:val="003E35EB"/>
    <w:rsid w:val="003E35FF"/>
    <w:rsid w:val="003E3656"/>
    <w:rsid w:val="003E367D"/>
    <w:rsid w:val="003E368A"/>
    <w:rsid w:val="003E370D"/>
    <w:rsid w:val="003E3749"/>
    <w:rsid w:val="003E3751"/>
    <w:rsid w:val="003E3774"/>
    <w:rsid w:val="003E3797"/>
    <w:rsid w:val="003E37B9"/>
    <w:rsid w:val="003E386B"/>
    <w:rsid w:val="003E38D3"/>
    <w:rsid w:val="003E38EE"/>
    <w:rsid w:val="003E3921"/>
    <w:rsid w:val="003E3946"/>
    <w:rsid w:val="003E397B"/>
    <w:rsid w:val="003E39AB"/>
    <w:rsid w:val="003E39C2"/>
    <w:rsid w:val="003E39D3"/>
    <w:rsid w:val="003E39F6"/>
    <w:rsid w:val="003E39F8"/>
    <w:rsid w:val="003E3A14"/>
    <w:rsid w:val="003E3A41"/>
    <w:rsid w:val="003E3A6E"/>
    <w:rsid w:val="003E3A92"/>
    <w:rsid w:val="003E3ABD"/>
    <w:rsid w:val="003E3B02"/>
    <w:rsid w:val="003E3B25"/>
    <w:rsid w:val="003E3B39"/>
    <w:rsid w:val="003E3B45"/>
    <w:rsid w:val="003E3BD1"/>
    <w:rsid w:val="003E3BD6"/>
    <w:rsid w:val="003E3C15"/>
    <w:rsid w:val="003E3CCB"/>
    <w:rsid w:val="003E3CD8"/>
    <w:rsid w:val="003E3D6E"/>
    <w:rsid w:val="003E3DAA"/>
    <w:rsid w:val="003E3DC2"/>
    <w:rsid w:val="003E3DE4"/>
    <w:rsid w:val="003E3E3D"/>
    <w:rsid w:val="003E3E7B"/>
    <w:rsid w:val="003E3EA5"/>
    <w:rsid w:val="003E3ECA"/>
    <w:rsid w:val="003E3EDD"/>
    <w:rsid w:val="003E3F13"/>
    <w:rsid w:val="003E3F20"/>
    <w:rsid w:val="003E3F3A"/>
    <w:rsid w:val="003E3F63"/>
    <w:rsid w:val="003E3F65"/>
    <w:rsid w:val="003E3F6E"/>
    <w:rsid w:val="003E3F8D"/>
    <w:rsid w:val="003E3F90"/>
    <w:rsid w:val="003E3FA1"/>
    <w:rsid w:val="003E3FC4"/>
    <w:rsid w:val="003E3FDA"/>
    <w:rsid w:val="003E4000"/>
    <w:rsid w:val="003E4014"/>
    <w:rsid w:val="003E4019"/>
    <w:rsid w:val="003E405E"/>
    <w:rsid w:val="003E40BA"/>
    <w:rsid w:val="003E40C4"/>
    <w:rsid w:val="003E40ED"/>
    <w:rsid w:val="003E4134"/>
    <w:rsid w:val="003E4160"/>
    <w:rsid w:val="003E4185"/>
    <w:rsid w:val="003E4188"/>
    <w:rsid w:val="003E419D"/>
    <w:rsid w:val="003E41AD"/>
    <w:rsid w:val="003E4258"/>
    <w:rsid w:val="003E426B"/>
    <w:rsid w:val="003E42B7"/>
    <w:rsid w:val="003E42C2"/>
    <w:rsid w:val="003E430D"/>
    <w:rsid w:val="003E432B"/>
    <w:rsid w:val="003E4358"/>
    <w:rsid w:val="003E437E"/>
    <w:rsid w:val="003E4392"/>
    <w:rsid w:val="003E43B2"/>
    <w:rsid w:val="003E43C8"/>
    <w:rsid w:val="003E43D2"/>
    <w:rsid w:val="003E43E0"/>
    <w:rsid w:val="003E43E7"/>
    <w:rsid w:val="003E4424"/>
    <w:rsid w:val="003E447E"/>
    <w:rsid w:val="003E447F"/>
    <w:rsid w:val="003E448A"/>
    <w:rsid w:val="003E44E7"/>
    <w:rsid w:val="003E4506"/>
    <w:rsid w:val="003E4517"/>
    <w:rsid w:val="003E4519"/>
    <w:rsid w:val="003E451D"/>
    <w:rsid w:val="003E4525"/>
    <w:rsid w:val="003E4530"/>
    <w:rsid w:val="003E454E"/>
    <w:rsid w:val="003E456D"/>
    <w:rsid w:val="003E4576"/>
    <w:rsid w:val="003E4578"/>
    <w:rsid w:val="003E460A"/>
    <w:rsid w:val="003E460C"/>
    <w:rsid w:val="003E465F"/>
    <w:rsid w:val="003E469B"/>
    <w:rsid w:val="003E46A8"/>
    <w:rsid w:val="003E46BF"/>
    <w:rsid w:val="003E46C5"/>
    <w:rsid w:val="003E46EF"/>
    <w:rsid w:val="003E4705"/>
    <w:rsid w:val="003E4718"/>
    <w:rsid w:val="003E4725"/>
    <w:rsid w:val="003E472E"/>
    <w:rsid w:val="003E475D"/>
    <w:rsid w:val="003E4775"/>
    <w:rsid w:val="003E47D0"/>
    <w:rsid w:val="003E4800"/>
    <w:rsid w:val="003E4828"/>
    <w:rsid w:val="003E4838"/>
    <w:rsid w:val="003E4840"/>
    <w:rsid w:val="003E485A"/>
    <w:rsid w:val="003E485E"/>
    <w:rsid w:val="003E488E"/>
    <w:rsid w:val="003E48B9"/>
    <w:rsid w:val="003E48C7"/>
    <w:rsid w:val="003E48DD"/>
    <w:rsid w:val="003E48E6"/>
    <w:rsid w:val="003E48F9"/>
    <w:rsid w:val="003E4904"/>
    <w:rsid w:val="003E4916"/>
    <w:rsid w:val="003E494E"/>
    <w:rsid w:val="003E494F"/>
    <w:rsid w:val="003E4987"/>
    <w:rsid w:val="003E49AE"/>
    <w:rsid w:val="003E49BB"/>
    <w:rsid w:val="003E49C2"/>
    <w:rsid w:val="003E49D1"/>
    <w:rsid w:val="003E4A15"/>
    <w:rsid w:val="003E4A26"/>
    <w:rsid w:val="003E4AD2"/>
    <w:rsid w:val="003E4ADB"/>
    <w:rsid w:val="003E4B02"/>
    <w:rsid w:val="003E4B46"/>
    <w:rsid w:val="003E4B51"/>
    <w:rsid w:val="003E4B82"/>
    <w:rsid w:val="003E4BBF"/>
    <w:rsid w:val="003E4BF6"/>
    <w:rsid w:val="003E4C8B"/>
    <w:rsid w:val="003E4CE6"/>
    <w:rsid w:val="003E4D47"/>
    <w:rsid w:val="003E4D52"/>
    <w:rsid w:val="003E4D54"/>
    <w:rsid w:val="003E4DAF"/>
    <w:rsid w:val="003E4DDF"/>
    <w:rsid w:val="003E4E49"/>
    <w:rsid w:val="003E4E71"/>
    <w:rsid w:val="003E4F2A"/>
    <w:rsid w:val="003E4F79"/>
    <w:rsid w:val="003E4FA6"/>
    <w:rsid w:val="003E4FA9"/>
    <w:rsid w:val="003E4FAF"/>
    <w:rsid w:val="003E4FE1"/>
    <w:rsid w:val="003E501A"/>
    <w:rsid w:val="003E5044"/>
    <w:rsid w:val="003E5061"/>
    <w:rsid w:val="003E506F"/>
    <w:rsid w:val="003E508A"/>
    <w:rsid w:val="003E5097"/>
    <w:rsid w:val="003E50D2"/>
    <w:rsid w:val="003E50F6"/>
    <w:rsid w:val="003E514B"/>
    <w:rsid w:val="003E517A"/>
    <w:rsid w:val="003E5188"/>
    <w:rsid w:val="003E518D"/>
    <w:rsid w:val="003E519F"/>
    <w:rsid w:val="003E51E5"/>
    <w:rsid w:val="003E520B"/>
    <w:rsid w:val="003E521C"/>
    <w:rsid w:val="003E5258"/>
    <w:rsid w:val="003E5266"/>
    <w:rsid w:val="003E526F"/>
    <w:rsid w:val="003E527E"/>
    <w:rsid w:val="003E52A2"/>
    <w:rsid w:val="003E52C5"/>
    <w:rsid w:val="003E52E2"/>
    <w:rsid w:val="003E52E3"/>
    <w:rsid w:val="003E52EE"/>
    <w:rsid w:val="003E5300"/>
    <w:rsid w:val="003E530D"/>
    <w:rsid w:val="003E5314"/>
    <w:rsid w:val="003E5329"/>
    <w:rsid w:val="003E533A"/>
    <w:rsid w:val="003E5383"/>
    <w:rsid w:val="003E540C"/>
    <w:rsid w:val="003E5426"/>
    <w:rsid w:val="003E542B"/>
    <w:rsid w:val="003E545F"/>
    <w:rsid w:val="003E5462"/>
    <w:rsid w:val="003E5465"/>
    <w:rsid w:val="003E546C"/>
    <w:rsid w:val="003E54A8"/>
    <w:rsid w:val="003E54B5"/>
    <w:rsid w:val="003E54BF"/>
    <w:rsid w:val="003E54D2"/>
    <w:rsid w:val="003E54DC"/>
    <w:rsid w:val="003E54FD"/>
    <w:rsid w:val="003E5512"/>
    <w:rsid w:val="003E5532"/>
    <w:rsid w:val="003E557F"/>
    <w:rsid w:val="003E55DD"/>
    <w:rsid w:val="003E55DF"/>
    <w:rsid w:val="003E56B1"/>
    <w:rsid w:val="003E56B5"/>
    <w:rsid w:val="003E56F1"/>
    <w:rsid w:val="003E5716"/>
    <w:rsid w:val="003E5731"/>
    <w:rsid w:val="003E5753"/>
    <w:rsid w:val="003E57D5"/>
    <w:rsid w:val="003E5831"/>
    <w:rsid w:val="003E5832"/>
    <w:rsid w:val="003E5857"/>
    <w:rsid w:val="003E586D"/>
    <w:rsid w:val="003E5887"/>
    <w:rsid w:val="003E58A9"/>
    <w:rsid w:val="003E58BD"/>
    <w:rsid w:val="003E58D9"/>
    <w:rsid w:val="003E58EA"/>
    <w:rsid w:val="003E58F0"/>
    <w:rsid w:val="003E58F5"/>
    <w:rsid w:val="003E5947"/>
    <w:rsid w:val="003E5958"/>
    <w:rsid w:val="003E597B"/>
    <w:rsid w:val="003E599A"/>
    <w:rsid w:val="003E59BD"/>
    <w:rsid w:val="003E59C1"/>
    <w:rsid w:val="003E59C9"/>
    <w:rsid w:val="003E59CA"/>
    <w:rsid w:val="003E59D6"/>
    <w:rsid w:val="003E59F2"/>
    <w:rsid w:val="003E59FA"/>
    <w:rsid w:val="003E5A04"/>
    <w:rsid w:val="003E5A6A"/>
    <w:rsid w:val="003E5A9E"/>
    <w:rsid w:val="003E5ACB"/>
    <w:rsid w:val="003E5AE9"/>
    <w:rsid w:val="003E5AF2"/>
    <w:rsid w:val="003E5B20"/>
    <w:rsid w:val="003E5B31"/>
    <w:rsid w:val="003E5B36"/>
    <w:rsid w:val="003E5B79"/>
    <w:rsid w:val="003E5B95"/>
    <w:rsid w:val="003E5BD7"/>
    <w:rsid w:val="003E5C1B"/>
    <w:rsid w:val="003E5C41"/>
    <w:rsid w:val="003E5C6C"/>
    <w:rsid w:val="003E5C77"/>
    <w:rsid w:val="003E5C92"/>
    <w:rsid w:val="003E5CDF"/>
    <w:rsid w:val="003E5D4B"/>
    <w:rsid w:val="003E5D50"/>
    <w:rsid w:val="003E5D56"/>
    <w:rsid w:val="003E5DBA"/>
    <w:rsid w:val="003E5DCB"/>
    <w:rsid w:val="003E5DE8"/>
    <w:rsid w:val="003E5E08"/>
    <w:rsid w:val="003E5E75"/>
    <w:rsid w:val="003E5E8B"/>
    <w:rsid w:val="003E5EC6"/>
    <w:rsid w:val="003E5ED5"/>
    <w:rsid w:val="003E5ED7"/>
    <w:rsid w:val="003E5EF5"/>
    <w:rsid w:val="003E5EF8"/>
    <w:rsid w:val="003E5EFA"/>
    <w:rsid w:val="003E5F03"/>
    <w:rsid w:val="003E5F2E"/>
    <w:rsid w:val="003E5F5F"/>
    <w:rsid w:val="003E5F61"/>
    <w:rsid w:val="003E5FA2"/>
    <w:rsid w:val="003E5FD2"/>
    <w:rsid w:val="003E5FE0"/>
    <w:rsid w:val="003E5FE2"/>
    <w:rsid w:val="003E604F"/>
    <w:rsid w:val="003E60B4"/>
    <w:rsid w:val="003E60CD"/>
    <w:rsid w:val="003E612D"/>
    <w:rsid w:val="003E613D"/>
    <w:rsid w:val="003E622E"/>
    <w:rsid w:val="003E624A"/>
    <w:rsid w:val="003E6253"/>
    <w:rsid w:val="003E6277"/>
    <w:rsid w:val="003E62AA"/>
    <w:rsid w:val="003E62CE"/>
    <w:rsid w:val="003E62DA"/>
    <w:rsid w:val="003E62F4"/>
    <w:rsid w:val="003E62F7"/>
    <w:rsid w:val="003E6330"/>
    <w:rsid w:val="003E6336"/>
    <w:rsid w:val="003E634A"/>
    <w:rsid w:val="003E635E"/>
    <w:rsid w:val="003E6361"/>
    <w:rsid w:val="003E636F"/>
    <w:rsid w:val="003E6380"/>
    <w:rsid w:val="003E6387"/>
    <w:rsid w:val="003E6392"/>
    <w:rsid w:val="003E639C"/>
    <w:rsid w:val="003E63B9"/>
    <w:rsid w:val="003E63FF"/>
    <w:rsid w:val="003E6414"/>
    <w:rsid w:val="003E6426"/>
    <w:rsid w:val="003E642D"/>
    <w:rsid w:val="003E6452"/>
    <w:rsid w:val="003E645F"/>
    <w:rsid w:val="003E64A2"/>
    <w:rsid w:val="003E64E2"/>
    <w:rsid w:val="003E651E"/>
    <w:rsid w:val="003E6530"/>
    <w:rsid w:val="003E655D"/>
    <w:rsid w:val="003E6564"/>
    <w:rsid w:val="003E6579"/>
    <w:rsid w:val="003E65AF"/>
    <w:rsid w:val="003E65D3"/>
    <w:rsid w:val="003E65E5"/>
    <w:rsid w:val="003E65E6"/>
    <w:rsid w:val="003E6611"/>
    <w:rsid w:val="003E669C"/>
    <w:rsid w:val="003E66DA"/>
    <w:rsid w:val="003E66E7"/>
    <w:rsid w:val="003E6712"/>
    <w:rsid w:val="003E6715"/>
    <w:rsid w:val="003E6726"/>
    <w:rsid w:val="003E6746"/>
    <w:rsid w:val="003E678C"/>
    <w:rsid w:val="003E679F"/>
    <w:rsid w:val="003E67F0"/>
    <w:rsid w:val="003E67F3"/>
    <w:rsid w:val="003E6804"/>
    <w:rsid w:val="003E6813"/>
    <w:rsid w:val="003E6814"/>
    <w:rsid w:val="003E683F"/>
    <w:rsid w:val="003E6874"/>
    <w:rsid w:val="003E6878"/>
    <w:rsid w:val="003E68B2"/>
    <w:rsid w:val="003E6933"/>
    <w:rsid w:val="003E697A"/>
    <w:rsid w:val="003E697B"/>
    <w:rsid w:val="003E6982"/>
    <w:rsid w:val="003E698D"/>
    <w:rsid w:val="003E69B1"/>
    <w:rsid w:val="003E69CC"/>
    <w:rsid w:val="003E6A00"/>
    <w:rsid w:val="003E6A10"/>
    <w:rsid w:val="003E6A73"/>
    <w:rsid w:val="003E6A7F"/>
    <w:rsid w:val="003E6A96"/>
    <w:rsid w:val="003E6AB6"/>
    <w:rsid w:val="003E6ACD"/>
    <w:rsid w:val="003E6AFB"/>
    <w:rsid w:val="003E6AFD"/>
    <w:rsid w:val="003E6B00"/>
    <w:rsid w:val="003E6B07"/>
    <w:rsid w:val="003E6B0D"/>
    <w:rsid w:val="003E6B56"/>
    <w:rsid w:val="003E6B7D"/>
    <w:rsid w:val="003E6BA2"/>
    <w:rsid w:val="003E6BA9"/>
    <w:rsid w:val="003E6BAE"/>
    <w:rsid w:val="003E6BFC"/>
    <w:rsid w:val="003E6C3C"/>
    <w:rsid w:val="003E6C5E"/>
    <w:rsid w:val="003E6C7C"/>
    <w:rsid w:val="003E6CDD"/>
    <w:rsid w:val="003E6D7D"/>
    <w:rsid w:val="003E6DD8"/>
    <w:rsid w:val="003E6DE5"/>
    <w:rsid w:val="003E6E18"/>
    <w:rsid w:val="003E6E85"/>
    <w:rsid w:val="003E6E99"/>
    <w:rsid w:val="003E6E9E"/>
    <w:rsid w:val="003E6EB7"/>
    <w:rsid w:val="003E6EDA"/>
    <w:rsid w:val="003E6F45"/>
    <w:rsid w:val="003E6F46"/>
    <w:rsid w:val="003E6F74"/>
    <w:rsid w:val="003E6F8A"/>
    <w:rsid w:val="003E6F9B"/>
    <w:rsid w:val="003E6FB3"/>
    <w:rsid w:val="003E6FCA"/>
    <w:rsid w:val="003E6FE8"/>
    <w:rsid w:val="003E6FF5"/>
    <w:rsid w:val="003E6FFC"/>
    <w:rsid w:val="003E7035"/>
    <w:rsid w:val="003E706A"/>
    <w:rsid w:val="003E707A"/>
    <w:rsid w:val="003E7081"/>
    <w:rsid w:val="003E709D"/>
    <w:rsid w:val="003E70A1"/>
    <w:rsid w:val="003E70C8"/>
    <w:rsid w:val="003E70D1"/>
    <w:rsid w:val="003E70E4"/>
    <w:rsid w:val="003E7114"/>
    <w:rsid w:val="003E7136"/>
    <w:rsid w:val="003E7148"/>
    <w:rsid w:val="003E71D4"/>
    <w:rsid w:val="003E71ED"/>
    <w:rsid w:val="003E7228"/>
    <w:rsid w:val="003E7265"/>
    <w:rsid w:val="003E7279"/>
    <w:rsid w:val="003E7294"/>
    <w:rsid w:val="003E72A1"/>
    <w:rsid w:val="003E72F2"/>
    <w:rsid w:val="003E7333"/>
    <w:rsid w:val="003E7362"/>
    <w:rsid w:val="003E7366"/>
    <w:rsid w:val="003E7399"/>
    <w:rsid w:val="003E73A9"/>
    <w:rsid w:val="003E73B0"/>
    <w:rsid w:val="003E740B"/>
    <w:rsid w:val="003E7441"/>
    <w:rsid w:val="003E7461"/>
    <w:rsid w:val="003E749F"/>
    <w:rsid w:val="003E74A4"/>
    <w:rsid w:val="003E74FF"/>
    <w:rsid w:val="003E751E"/>
    <w:rsid w:val="003E752C"/>
    <w:rsid w:val="003E756E"/>
    <w:rsid w:val="003E75CB"/>
    <w:rsid w:val="003E75EC"/>
    <w:rsid w:val="003E761A"/>
    <w:rsid w:val="003E7635"/>
    <w:rsid w:val="003E7640"/>
    <w:rsid w:val="003E7667"/>
    <w:rsid w:val="003E7683"/>
    <w:rsid w:val="003E7701"/>
    <w:rsid w:val="003E7722"/>
    <w:rsid w:val="003E7724"/>
    <w:rsid w:val="003E775C"/>
    <w:rsid w:val="003E7799"/>
    <w:rsid w:val="003E77BC"/>
    <w:rsid w:val="003E77CB"/>
    <w:rsid w:val="003E77E5"/>
    <w:rsid w:val="003E7830"/>
    <w:rsid w:val="003E7832"/>
    <w:rsid w:val="003E7842"/>
    <w:rsid w:val="003E7843"/>
    <w:rsid w:val="003E7856"/>
    <w:rsid w:val="003E785D"/>
    <w:rsid w:val="003E7860"/>
    <w:rsid w:val="003E787B"/>
    <w:rsid w:val="003E7880"/>
    <w:rsid w:val="003E788D"/>
    <w:rsid w:val="003E7891"/>
    <w:rsid w:val="003E789B"/>
    <w:rsid w:val="003E78B6"/>
    <w:rsid w:val="003E790E"/>
    <w:rsid w:val="003E7955"/>
    <w:rsid w:val="003E7959"/>
    <w:rsid w:val="003E7983"/>
    <w:rsid w:val="003E7991"/>
    <w:rsid w:val="003E79D6"/>
    <w:rsid w:val="003E79E0"/>
    <w:rsid w:val="003E7A5E"/>
    <w:rsid w:val="003E7A81"/>
    <w:rsid w:val="003E7A98"/>
    <w:rsid w:val="003E7AB9"/>
    <w:rsid w:val="003E7B27"/>
    <w:rsid w:val="003E7B2E"/>
    <w:rsid w:val="003E7B34"/>
    <w:rsid w:val="003E7B4F"/>
    <w:rsid w:val="003E7B5D"/>
    <w:rsid w:val="003E7BAA"/>
    <w:rsid w:val="003E7BAF"/>
    <w:rsid w:val="003E7BC7"/>
    <w:rsid w:val="003E7BD3"/>
    <w:rsid w:val="003E7BD7"/>
    <w:rsid w:val="003E7C43"/>
    <w:rsid w:val="003E7C4F"/>
    <w:rsid w:val="003E7C8C"/>
    <w:rsid w:val="003E7CC2"/>
    <w:rsid w:val="003E7CE4"/>
    <w:rsid w:val="003E7CED"/>
    <w:rsid w:val="003E7D00"/>
    <w:rsid w:val="003E7D26"/>
    <w:rsid w:val="003E7D5A"/>
    <w:rsid w:val="003E7D7E"/>
    <w:rsid w:val="003E7DF8"/>
    <w:rsid w:val="003E7E17"/>
    <w:rsid w:val="003E7E39"/>
    <w:rsid w:val="003E7E72"/>
    <w:rsid w:val="003E7E74"/>
    <w:rsid w:val="003E7EA4"/>
    <w:rsid w:val="003E7EC9"/>
    <w:rsid w:val="003E7F4F"/>
    <w:rsid w:val="003E7FA5"/>
    <w:rsid w:val="003E7FC1"/>
    <w:rsid w:val="003E7FD4"/>
    <w:rsid w:val="003E7FE9"/>
    <w:rsid w:val="003F0028"/>
    <w:rsid w:val="003F004D"/>
    <w:rsid w:val="003F005C"/>
    <w:rsid w:val="003F0069"/>
    <w:rsid w:val="003F00A4"/>
    <w:rsid w:val="003F00CA"/>
    <w:rsid w:val="003F00D4"/>
    <w:rsid w:val="003F00F3"/>
    <w:rsid w:val="003F0106"/>
    <w:rsid w:val="003F0136"/>
    <w:rsid w:val="003F01A0"/>
    <w:rsid w:val="003F01DD"/>
    <w:rsid w:val="003F01E8"/>
    <w:rsid w:val="003F01E9"/>
    <w:rsid w:val="003F0213"/>
    <w:rsid w:val="003F0247"/>
    <w:rsid w:val="003F0261"/>
    <w:rsid w:val="003F0309"/>
    <w:rsid w:val="003F0346"/>
    <w:rsid w:val="003F0351"/>
    <w:rsid w:val="003F0387"/>
    <w:rsid w:val="003F03A1"/>
    <w:rsid w:val="003F03BD"/>
    <w:rsid w:val="003F0402"/>
    <w:rsid w:val="003F040D"/>
    <w:rsid w:val="003F0455"/>
    <w:rsid w:val="003F046B"/>
    <w:rsid w:val="003F0487"/>
    <w:rsid w:val="003F04AB"/>
    <w:rsid w:val="003F04B4"/>
    <w:rsid w:val="003F04D6"/>
    <w:rsid w:val="003F04DC"/>
    <w:rsid w:val="003F04E0"/>
    <w:rsid w:val="003F0525"/>
    <w:rsid w:val="003F0531"/>
    <w:rsid w:val="003F054E"/>
    <w:rsid w:val="003F05E1"/>
    <w:rsid w:val="003F060A"/>
    <w:rsid w:val="003F061C"/>
    <w:rsid w:val="003F06E0"/>
    <w:rsid w:val="003F071F"/>
    <w:rsid w:val="003F0722"/>
    <w:rsid w:val="003F0732"/>
    <w:rsid w:val="003F0772"/>
    <w:rsid w:val="003F078D"/>
    <w:rsid w:val="003F07B1"/>
    <w:rsid w:val="003F07D3"/>
    <w:rsid w:val="003F07D5"/>
    <w:rsid w:val="003F085E"/>
    <w:rsid w:val="003F0883"/>
    <w:rsid w:val="003F0899"/>
    <w:rsid w:val="003F08A1"/>
    <w:rsid w:val="003F09C3"/>
    <w:rsid w:val="003F09C4"/>
    <w:rsid w:val="003F09D0"/>
    <w:rsid w:val="003F0A49"/>
    <w:rsid w:val="003F0A67"/>
    <w:rsid w:val="003F0A69"/>
    <w:rsid w:val="003F0AD8"/>
    <w:rsid w:val="003F0ADA"/>
    <w:rsid w:val="003F0AEE"/>
    <w:rsid w:val="003F0B01"/>
    <w:rsid w:val="003F0B4C"/>
    <w:rsid w:val="003F0B63"/>
    <w:rsid w:val="003F0B6E"/>
    <w:rsid w:val="003F0BD7"/>
    <w:rsid w:val="003F0BEE"/>
    <w:rsid w:val="003F0C78"/>
    <w:rsid w:val="003F0C79"/>
    <w:rsid w:val="003F0CB0"/>
    <w:rsid w:val="003F0CBA"/>
    <w:rsid w:val="003F0CBD"/>
    <w:rsid w:val="003F0CF0"/>
    <w:rsid w:val="003F0CFB"/>
    <w:rsid w:val="003F0D0F"/>
    <w:rsid w:val="003F0D33"/>
    <w:rsid w:val="003F0D4B"/>
    <w:rsid w:val="003F0D6E"/>
    <w:rsid w:val="003F0DC6"/>
    <w:rsid w:val="003F0DDC"/>
    <w:rsid w:val="003F0DE3"/>
    <w:rsid w:val="003F0DF4"/>
    <w:rsid w:val="003F0DF5"/>
    <w:rsid w:val="003F0E13"/>
    <w:rsid w:val="003F0E1E"/>
    <w:rsid w:val="003F0E2A"/>
    <w:rsid w:val="003F0E50"/>
    <w:rsid w:val="003F0E51"/>
    <w:rsid w:val="003F0E5F"/>
    <w:rsid w:val="003F0E7E"/>
    <w:rsid w:val="003F0EA5"/>
    <w:rsid w:val="003F0EAC"/>
    <w:rsid w:val="003F0EBD"/>
    <w:rsid w:val="003F0F0C"/>
    <w:rsid w:val="003F0FFF"/>
    <w:rsid w:val="003F100C"/>
    <w:rsid w:val="003F101E"/>
    <w:rsid w:val="003F1045"/>
    <w:rsid w:val="003F1079"/>
    <w:rsid w:val="003F107A"/>
    <w:rsid w:val="003F1088"/>
    <w:rsid w:val="003F10B3"/>
    <w:rsid w:val="003F10D3"/>
    <w:rsid w:val="003F10E8"/>
    <w:rsid w:val="003F10EA"/>
    <w:rsid w:val="003F10FE"/>
    <w:rsid w:val="003F113A"/>
    <w:rsid w:val="003F1190"/>
    <w:rsid w:val="003F11AB"/>
    <w:rsid w:val="003F11B2"/>
    <w:rsid w:val="003F11E5"/>
    <w:rsid w:val="003F11FD"/>
    <w:rsid w:val="003F1209"/>
    <w:rsid w:val="003F124E"/>
    <w:rsid w:val="003F1269"/>
    <w:rsid w:val="003F126B"/>
    <w:rsid w:val="003F1295"/>
    <w:rsid w:val="003F129A"/>
    <w:rsid w:val="003F12AD"/>
    <w:rsid w:val="003F12D9"/>
    <w:rsid w:val="003F12E5"/>
    <w:rsid w:val="003F136F"/>
    <w:rsid w:val="003F137D"/>
    <w:rsid w:val="003F13B7"/>
    <w:rsid w:val="003F13B8"/>
    <w:rsid w:val="003F13C3"/>
    <w:rsid w:val="003F13DD"/>
    <w:rsid w:val="003F13EF"/>
    <w:rsid w:val="003F13F8"/>
    <w:rsid w:val="003F1440"/>
    <w:rsid w:val="003F14FF"/>
    <w:rsid w:val="003F150F"/>
    <w:rsid w:val="003F1556"/>
    <w:rsid w:val="003F156D"/>
    <w:rsid w:val="003F1581"/>
    <w:rsid w:val="003F15D7"/>
    <w:rsid w:val="003F160B"/>
    <w:rsid w:val="003F1633"/>
    <w:rsid w:val="003F163D"/>
    <w:rsid w:val="003F1655"/>
    <w:rsid w:val="003F166B"/>
    <w:rsid w:val="003F16A4"/>
    <w:rsid w:val="003F16AC"/>
    <w:rsid w:val="003F16ED"/>
    <w:rsid w:val="003F1703"/>
    <w:rsid w:val="003F172F"/>
    <w:rsid w:val="003F173F"/>
    <w:rsid w:val="003F1783"/>
    <w:rsid w:val="003F1787"/>
    <w:rsid w:val="003F1797"/>
    <w:rsid w:val="003F17DE"/>
    <w:rsid w:val="003F1815"/>
    <w:rsid w:val="003F181B"/>
    <w:rsid w:val="003F184B"/>
    <w:rsid w:val="003F1887"/>
    <w:rsid w:val="003F18BC"/>
    <w:rsid w:val="003F18C1"/>
    <w:rsid w:val="003F190D"/>
    <w:rsid w:val="003F193A"/>
    <w:rsid w:val="003F193F"/>
    <w:rsid w:val="003F1960"/>
    <w:rsid w:val="003F198F"/>
    <w:rsid w:val="003F19AE"/>
    <w:rsid w:val="003F19CE"/>
    <w:rsid w:val="003F1A35"/>
    <w:rsid w:val="003F1A37"/>
    <w:rsid w:val="003F1A3D"/>
    <w:rsid w:val="003F1A4E"/>
    <w:rsid w:val="003F1A82"/>
    <w:rsid w:val="003F1A9A"/>
    <w:rsid w:val="003F1AA6"/>
    <w:rsid w:val="003F1B2D"/>
    <w:rsid w:val="003F1B44"/>
    <w:rsid w:val="003F1B95"/>
    <w:rsid w:val="003F1C01"/>
    <w:rsid w:val="003F1C11"/>
    <w:rsid w:val="003F1C2C"/>
    <w:rsid w:val="003F1C46"/>
    <w:rsid w:val="003F1C6A"/>
    <w:rsid w:val="003F1C90"/>
    <w:rsid w:val="003F1CAE"/>
    <w:rsid w:val="003F1CBF"/>
    <w:rsid w:val="003F1CE0"/>
    <w:rsid w:val="003F1CF6"/>
    <w:rsid w:val="003F1D58"/>
    <w:rsid w:val="003F1D9F"/>
    <w:rsid w:val="003F1DC8"/>
    <w:rsid w:val="003F1E42"/>
    <w:rsid w:val="003F1E6B"/>
    <w:rsid w:val="003F1E99"/>
    <w:rsid w:val="003F1ECF"/>
    <w:rsid w:val="003F1EF2"/>
    <w:rsid w:val="003F1EFD"/>
    <w:rsid w:val="003F1F00"/>
    <w:rsid w:val="003F1F1C"/>
    <w:rsid w:val="003F1F87"/>
    <w:rsid w:val="003F1FED"/>
    <w:rsid w:val="003F2008"/>
    <w:rsid w:val="003F2034"/>
    <w:rsid w:val="003F2074"/>
    <w:rsid w:val="003F2083"/>
    <w:rsid w:val="003F20C3"/>
    <w:rsid w:val="003F20DC"/>
    <w:rsid w:val="003F20E7"/>
    <w:rsid w:val="003F20EE"/>
    <w:rsid w:val="003F2111"/>
    <w:rsid w:val="003F2141"/>
    <w:rsid w:val="003F2146"/>
    <w:rsid w:val="003F21A8"/>
    <w:rsid w:val="003F21B7"/>
    <w:rsid w:val="003F21EC"/>
    <w:rsid w:val="003F21F3"/>
    <w:rsid w:val="003F21F9"/>
    <w:rsid w:val="003F2222"/>
    <w:rsid w:val="003F222E"/>
    <w:rsid w:val="003F223B"/>
    <w:rsid w:val="003F229E"/>
    <w:rsid w:val="003F22B4"/>
    <w:rsid w:val="003F22ED"/>
    <w:rsid w:val="003F2362"/>
    <w:rsid w:val="003F2365"/>
    <w:rsid w:val="003F23B7"/>
    <w:rsid w:val="003F240E"/>
    <w:rsid w:val="003F2423"/>
    <w:rsid w:val="003F242C"/>
    <w:rsid w:val="003F24CA"/>
    <w:rsid w:val="003F24D5"/>
    <w:rsid w:val="003F24EE"/>
    <w:rsid w:val="003F24F3"/>
    <w:rsid w:val="003F2507"/>
    <w:rsid w:val="003F252B"/>
    <w:rsid w:val="003F2548"/>
    <w:rsid w:val="003F256C"/>
    <w:rsid w:val="003F25DE"/>
    <w:rsid w:val="003F25F4"/>
    <w:rsid w:val="003F2615"/>
    <w:rsid w:val="003F2617"/>
    <w:rsid w:val="003F263F"/>
    <w:rsid w:val="003F2646"/>
    <w:rsid w:val="003F26E8"/>
    <w:rsid w:val="003F2710"/>
    <w:rsid w:val="003F272C"/>
    <w:rsid w:val="003F2741"/>
    <w:rsid w:val="003F2754"/>
    <w:rsid w:val="003F2764"/>
    <w:rsid w:val="003F2775"/>
    <w:rsid w:val="003F2790"/>
    <w:rsid w:val="003F2794"/>
    <w:rsid w:val="003F27BA"/>
    <w:rsid w:val="003F27DC"/>
    <w:rsid w:val="003F27ED"/>
    <w:rsid w:val="003F280D"/>
    <w:rsid w:val="003F2825"/>
    <w:rsid w:val="003F284F"/>
    <w:rsid w:val="003F286E"/>
    <w:rsid w:val="003F2883"/>
    <w:rsid w:val="003F28B3"/>
    <w:rsid w:val="003F28E3"/>
    <w:rsid w:val="003F2911"/>
    <w:rsid w:val="003F2917"/>
    <w:rsid w:val="003F294C"/>
    <w:rsid w:val="003F2955"/>
    <w:rsid w:val="003F2967"/>
    <w:rsid w:val="003F2973"/>
    <w:rsid w:val="003F299F"/>
    <w:rsid w:val="003F29A6"/>
    <w:rsid w:val="003F29B4"/>
    <w:rsid w:val="003F29C5"/>
    <w:rsid w:val="003F29F6"/>
    <w:rsid w:val="003F2A71"/>
    <w:rsid w:val="003F2ABD"/>
    <w:rsid w:val="003F2AC8"/>
    <w:rsid w:val="003F2AFA"/>
    <w:rsid w:val="003F2B2C"/>
    <w:rsid w:val="003F2B4A"/>
    <w:rsid w:val="003F2B6A"/>
    <w:rsid w:val="003F2B83"/>
    <w:rsid w:val="003F2B8F"/>
    <w:rsid w:val="003F2BDB"/>
    <w:rsid w:val="003F2C5E"/>
    <w:rsid w:val="003F2C85"/>
    <w:rsid w:val="003F2CD9"/>
    <w:rsid w:val="003F2D24"/>
    <w:rsid w:val="003F2D25"/>
    <w:rsid w:val="003F2D66"/>
    <w:rsid w:val="003F2D6C"/>
    <w:rsid w:val="003F2D74"/>
    <w:rsid w:val="003F2D95"/>
    <w:rsid w:val="003F2DBE"/>
    <w:rsid w:val="003F2DD0"/>
    <w:rsid w:val="003F2DEE"/>
    <w:rsid w:val="003F2E04"/>
    <w:rsid w:val="003F2E0D"/>
    <w:rsid w:val="003F2E18"/>
    <w:rsid w:val="003F2E1B"/>
    <w:rsid w:val="003F2E1D"/>
    <w:rsid w:val="003F2E46"/>
    <w:rsid w:val="003F2EE5"/>
    <w:rsid w:val="003F2EFD"/>
    <w:rsid w:val="003F2F72"/>
    <w:rsid w:val="003F2FB4"/>
    <w:rsid w:val="003F2FDA"/>
    <w:rsid w:val="003F3010"/>
    <w:rsid w:val="003F3056"/>
    <w:rsid w:val="003F307D"/>
    <w:rsid w:val="003F3095"/>
    <w:rsid w:val="003F3099"/>
    <w:rsid w:val="003F30A4"/>
    <w:rsid w:val="003F30CF"/>
    <w:rsid w:val="003F30D7"/>
    <w:rsid w:val="003F3143"/>
    <w:rsid w:val="003F3152"/>
    <w:rsid w:val="003F3166"/>
    <w:rsid w:val="003F3176"/>
    <w:rsid w:val="003F319D"/>
    <w:rsid w:val="003F31A0"/>
    <w:rsid w:val="003F3245"/>
    <w:rsid w:val="003F3252"/>
    <w:rsid w:val="003F3272"/>
    <w:rsid w:val="003F32A1"/>
    <w:rsid w:val="003F32A9"/>
    <w:rsid w:val="003F32B7"/>
    <w:rsid w:val="003F3319"/>
    <w:rsid w:val="003F336A"/>
    <w:rsid w:val="003F3383"/>
    <w:rsid w:val="003F3386"/>
    <w:rsid w:val="003F338F"/>
    <w:rsid w:val="003F33DC"/>
    <w:rsid w:val="003F33DF"/>
    <w:rsid w:val="003F33F0"/>
    <w:rsid w:val="003F340D"/>
    <w:rsid w:val="003F3427"/>
    <w:rsid w:val="003F344C"/>
    <w:rsid w:val="003F3470"/>
    <w:rsid w:val="003F347B"/>
    <w:rsid w:val="003F3509"/>
    <w:rsid w:val="003F3535"/>
    <w:rsid w:val="003F354F"/>
    <w:rsid w:val="003F3591"/>
    <w:rsid w:val="003F35C6"/>
    <w:rsid w:val="003F3608"/>
    <w:rsid w:val="003F362A"/>
    <w:rsid w:val="003F3738"/>
    <w:rsid w:val="003F379C"/>
    <w:rsid w:val="003F37BB"/>
    <w:rsid w:val="003F37C6"/>
    <w:rsid w:val="003F37F1"/>
    <w:rsid w:val="003F384A"/>
    <w:rsid w:val="003F3856"/>
    <w:rsid w:val="003F3867"/>
    <w:rsid w:val="003F38D9"/>
    <w:rsid w:val="003F38FB"/>
    <w:rsid w:val="003F3909"/>
    <w:rsid w:val="003F3921"/>
    <w:rsid w:val="003F3927"/>
    <w:rsid w:val="003F3928"/>
    <w:rsid w:val="003F3955"/>
    <w:rsid w:val="003F3963"/>
    <w:rsid w:val="003F398E"/>
    <w:rsid w:val="003F39E4"/>
    <w:rsid w:val="003F3A14"/>
    <w:rsid w:val="003F3A4A"/>
    <w:rsid w:val="003F3A70"/>
    <w:rsid w:val="003F3A93"/>
    <w:rsid w:val="003F3AB0"/>
    <w:rsid w:val="003F3ABF"/>
    <w:rsid w:val="003F3AEA"/>
    <w:rsid w:val="003F3B11"/>
    <w:rsid w:val="003F3B2B"/>
    <w:rsid w:val="003F3B57"/>
    <w:rsid w:val="003F3B72"/>
    <w:rsid w:val="003F3BC0"/>
    <w:rsid w:val="003F3C4A"/>
    <w:rsid w:val="003F3C59"/>
    <w:rsid w:val="003F3CB2"/>
    <w:rsid w:val="003F3CE5"/>
    <w:rsid w:val="003F3D0A"/>
    <w:rsid w:val="003F3D23"/>
    <w:rsid w:val="003F3D58"/>
    <w:rsid w:val="003F3D79"/>
    <w:rsid w:val="003F3D84"/>
    <w:rsid w:val="003F3D90"/>
    <w:rsid w:val="003F3DBE"/>
    <w:rsid w:val="003F3DDF"/>
    <w:rsid w:val="003F3DE2"/>
    <w:rsid w:val="003F3E0E"/>
    <w:rsid w:val="003F3E11"/>
    <w:rsid w:val="003F3E1C"/>
    <w:rsid w:val="003F3E5D"/>
    <w:rsid w:val="003F3E74"/>
    <w:rsid w:val="003F3E9C"/>
    <w:rsid w:val="003F3EB8"/>
    <w:rsid w:val="003F3EC0"/>
    <w:rsid w:val="003F3EE1"/>
    <w:rsid w:val="003F3EFD"/>
    <w:rsid w:val="003F3F09"/>
    <w:rsid w:val="003F3F33"/>
    <w:rsid w:val="003F3F4C"/>
    <w:rsid w:val="003F3FA5"/>
    <w:rsid w:val="003F4009"/>
    <w:rsid w:val="003F4034"/>
    <w:rsid w:val="003F4057"/>
    <w:rsid w:val="003F4092"/>
    <w:rsid w:val="003F40AB"/>
    <w:rsid w:val="003F40CC"/>
    <w:rsid w:val="003F40CD"/>
    <w:rsid w:val="003F416E"/>
    <w:rsid w:val="003F4187"/>
    <w:rsid w:val="003F4189"/>
    <w:rsid w:val="003F41BB"/>
    <w:rsid w:val="003F41BF"/>
    <w:rsid w:val="003F41D5"/>
    <w:rsid w:val="003F421C"/>
    <w:rsid w:val="003F4235"/>
    <w:rsid w:val="003F4242"/>
    <w:rsid w:val="003F4246"/>
    <w:rsid w:val="003F42AC"/>
    <w:rsid w:val="003F42B7"/>
    <w:rsid w:val="003F42E9"/>
    <w:rsid w:val="003F42F2"/>
    <w:rsid w:val="003F432B"/>
    <w:rsid w:val="003F433E"/>
    <w:rsid w:val="003F4347"/>
    <w:rsid w:val="003F4361"/>
    <w:rsid w:val="003F4365"/>
    <w:rsid w:val="003F4370"/>
    <w:rsid w:val="003F4389"/>
    <w:rsid w:val="003F43D0"/>
    <w:rsid w:val="003F4476"/>
    <w:rsid w:val="003F4482"/>
    <w:rsid w:val="003F44DB"/>
    <w:rsid w:val="003F4506"/>
    <w:rsid w:val="003F4522"/>
    <w:rsid w:val="003F4580"/>
    <w:rsid w:val="003F45ED"/>
    <w:rsid w:val="003F4601"/>
    <w:rsid w:val="003F4602"/>
    <w:rsid w:val="003F4607"/>
    <w:rsid w:val="003F4654"/>
    <w:rsid w:val="003F4695"/>
    <w:rsid w:val="003F46BF"/>
    <w:rsid w:val="003F46CF"/>
    <w:rsid w:val="003F470F"/>
    <w:rsid w:val="003F471F"/>
    <w:rsid w:val="003F472A"/>
    <w:rsid w:val="003F4746"/>
    <w:rsid w:val="003F4774"/>
    <w:rsid w:val="003F479E"/>
    <w:rsid w:val="003F4838"/>
    <w:rsid w:val="003F4897"/>
    <w:rsid w:val="003F48AF"/>
    <w:rsid w:val="003F48CB"/>
    <w:rsid w:val="003F48D0"/>
    <w:rsid w:val="003F48F6"/>
    <w:rsid w:val="003F4913"/>
    <w:rsid w:val="003F4943"/>
    <w:rsid w:val="003F4957"/>
    <w:rsid w:val="003F4970"/>
    <w:rsid w:val="003F4982"/>
    <w:rsid w:val="003F4A04"/>
    <w:rsid w:val="003F4A15"/>
    <w:rsid w:val="003F4A16"/>
    <w:rsid w:val="003F4A48"/>
    <w:rsid w:val="003F4A81"/>
    <w:rsid w:val="003F4AA6"/>
    <w:rsid w:val="003F4AB0"/>
    <w:rsid w:val="003F4ADA"/>
    <w:rsid w:val="003F4B09"/>
    <w:rsid w:val="003F4B35"/>
    <w:rsid w:val="003F4B3B"/>
    <w:rsid w:val="003F4B4A"/>
    <w:rsid w:val="003F4B5D"/>
    <w:rsid w:val="003F4B77"/>
    <w:rsid w:val="003F4B78"/>
    <w:rsid w:val="003F4B91"/>
    <w:rsid w:val="003F4BB8"/>
    <w:rsid w:val="003F4BEE"/>
    <w:rsid w:val="003F4C43"/>
    <w:rsid w:val="003F4C45"/>
    <w:rsid w:val="003F4C56"/>
    <w:rsid w:val="003F4CBC"/>
    <w:rsid w:val="003F4D31"/>
    <w:rsid w:val="003F4D53"/>
    <w:rsid w:val="003F4D5A"/>
    <w:rsid w:val="003F4D74"/>
    <w:rsid w:val="003F4DCD"/>
    <w:rsid w:val="003F4DEC"/>
    <w:rsid w:val="003F4E04"/>
    <w:rsid w:val="003F4E15"/>
    <w:rsid w:val="003F4E3B"/>
    <w:rsid w:val="003F4EAA"/>
    <w:rsid w:val="003F4ECA"/>
    <w:rsid w:val="003F4EDC"/>
    <w:rsid w:val="003F4F2C"/>
    <w:rsid w:val="003F4F88"/>
    <w:rsid w:val="003F4FC8"/>
    <w:rsid w:val="003F4FD3"/>
    <w:rsid w:val="003F4FD8"/>
    <w:rsid w:val="003F4FF4"/>
    <w:rsid w:val="003F502B"/>
    <w:rsid w:val="003F506E"/>
    <w:rsid w:val="003F50AA"/>
    <w:rsid w:val="003F50DF"/>
    <w:rsid w:val="003F50FD"/>
    <w:rsid w:val="003F514E"/>
    <w:rsid w:val="003F5156"/>
    <w:rsid w:val="003F5171"/>
    <w:rsid w:val="003F51D9"/>
    <w:rsid w:val="003F5203"/>
    <w:rsid w:val="003F5254"/>
    <w:rsid w:val="003F529E"/>
    <w:rsid w:val="003F52B4"/>
    <w:rsid w:val="003F52FE"/>
    <w:rsid w:val="003F5384"/>
    <w:rsid w:val="003F5388"/>
    <w:rsid w:val="003F5389"/>
    <w:rsid w:val="003F53CA"/>
    <w:rsid w:val="003F53E3"/>
    <w:rsid w:val="003F53F6"/>
    <w:rsid w:val="003F540F"/>
    <w:rsid w:val="003F542A"/>
    <w:rsid w:val="003F542E"/>
    <w:rsid w:val="003F548F"/>
    <w:rsid w:val="003F5490"/>
    <w:rsid w:val="003F54C8"/>
    <w:rsid w:val="003F5534"/>
    <w:rsid w:val="003F5567"/>
    <w:rsid w:val="003F5598"/>
    <w:rsid w:val="003F55AE"/>
    <w:rsid w:val="003F55C8"/>
    <w:rsid w:val="003F5607"/>
    <w:rsid w:val="003F5610"/>
    <w:rsid w:val="003F5625"/>
    <w:rsid w:val="003F562B"/>
    <w:rsid w:val="003F565D"/>
    <w:rsid w:val="003F56C4"/>
    <w:rsid w:val="003F56CE"/>
    <w:rsid w:val="003F56F7"/>
    <w:rsid w:val="003F5722"/>
    <w:rsid w:val="003F575C"/>
    <w:rsid w:val="003F5816"/>
    <w:rsid w:val="003F5818"/>
    <w:rsid w:val="003F5830"/>
    <w:rsid w:val="003F586C"/>
    <w:rsid w:val="003F586F"/>
    <w:rsid w:val="003F5894"/>
    <w:rsid w:val="003F589E"/>
    <w:rsid w:val="003F58F4"/>
    <w:rsid w:val="003F5901"/>
    <w:rsid w:val="003F5951"/>
    <w:rsid w:val="003F59FE"/>
    <w:rsid w:val="003F5A07"/>
    <w:rsid w:val="003F5A39"/>
    <w:rsid w:val="003F5A7C"/>
    <w:rsid w:val="003F5ABF"/>
    <w:rsid w:val="003F5ADD"/>
    <w:rsid w:val="003F5AFE"/>
    <w:rsid w:val="003F5B08"/>
    <w:rsid w:val="003F5B54"/>
    <w:rsid w:val="003F5B87"/>
    <w:rsid w:val="003F5BD6"/>
    <w:rsid w:val="003F5BD8"/>
    <w:rsid w:val="003F5C1F"/>
    <w:rsid w:val="003F5C3A"/>
    <w:rsid w:val="003F5C48"/>
    <w:rsid w:val="003F5C4C"/>
    <w:rsid w:val="003F5C7F"/>
    <w:rsid w:val="003F5CA9"/>
    <w:rsid w:val="003F5CFB"/>
    <w:rsid w:val="003F5D44"/>
    <w:rsid w:val="003F5D7D"/>
    <w:rsid w:val="003F5D8B"/>
    <w:rsid w:val="003F5DB8"/>
    <w:rsid w:val="003F5DED"/>
    <w:rsid w:val="003F5DF8"/>
    <w:rsid w:val="003F5DFD"/>
    <w:rsid w:val="003F5E09"/>
    <w:rsid w:val="003F5E0C"/>
    <w:rsid w:val="003F5E7E"/>
    <w:rsid w:val="003F5E98"/>
    <w:rsid w:val="003F5E9F"/>
    <w:rsid w:val="003F5EDA"/>
    <w:rsid w:val="003F5F0C"/>
    <w:rsid w:val="003F5F2C"/>
    <w:rsid w:val="003F5F53"/>
    <w:rsid w:val="003F5F74"/>
    <w:rsid w:val="003F5F84"/>
    <w:rsid w:val="003F5FB3"/>
    <w:rsid w:val="003F6027"/>
    <w:rsid w:val="003F604A"/>
    <w:rsid w:val="003F6065"/>
    <w:rsid w:val="003F607C"/>
    <w:rsid w:val="003F60BD"/>
    <w:rsid w:val="003F60CB"/>
    <w:rsid w:val="003F60F2"/>
    <w:rsid w:val="003F6124"/>
    <w:rsid w:val="003F6147"/>
    <w:rsid w:val="003F616C"/>
    <w:rsid w:val="003F6174"/>
    <w:rsid w:val="003F6184"/>
    <w:rsid w:val="003F61BE"/>
    <w:rsid w:val="003F61DA"/>
    <w:rsid w:val="003F61FE"/>
    <w:rsid w:val="003F6246"/>
    <w:rsid w:val="003F6253"/>
    <w:rsid w:val="003F6268"/>
    <w:rsid w:val="003F626E"/>
    <w:rsid w:val="003F6270"/>
    <w:rsid w:val="003F62A8"/>
    <w:rsid w:val="003F62D2"/>
    <w:rsid w:val="003F62DE"/>
    <w:rsid w:val="003F635A"/>
    <w:rsid w:val="003F6393"/>
    <w:rsid w:val="003F63B6"/>
    <w:rsid w:val="003F63D9"/>
    <w:rsid w:val="003F641C"/>
    <w:rsid w:val="003F6434"/>
    <w:rsid w:val="003F6471"/>
    <w:rsid w:val="003F649E"/>
    <w:rsid w:val="003F6508"/>
    <w:rsid w:val="003F65E3"/>
    <w:rsid w:val="003F65F3"/>
    <w:rsid w:val="003F6635"/>
    <w:rsid w:val="003F6639"/>
    <w:rsid w:val="003F663B"/>
    <w:rsid w:val="003F6668"/>
    <w:rsid w:val="003F666F"/>
    <w:rsid w:val="003F6670"/>
    <w:rsid w:val="003F6699"/>
    <w:rsid w:val="003F66A0"/>
    <w:rsid w:val="003F66A2"/>
    <w:rsid w:val="003F66E2"/>
    <w:rsid w:val="003F6731"/>
    <w:rsid w:val="003F674B"/>
    <w:rsid w:val="003F676F"/>
    <w:rsid w:val="003F67BE"/>
    <w:rsid w:val="003F6845"/>
    <w:rsid w:val="003F6872"/>
    <w:rsid w:val="003F6887"/>
    <w:rsid w:val="003F689B"/>
    <w:rsid w:val="003F68A2"/>
    <w:rsid w:val="003F68AD"/>
    <w:rsid w:val="003F6904"/>
    <w:rsid w:val="003F6917"/>
    <w:rsid w:val="003F6940"/>
    <w:rsid w:val="003F6998"/>
    <w:rsid w:val="003F69E2"/>
    <w:rsid w:val="003F69FA"/>
    <w:rsid w:val="003F6A0F"/>
    <w:rsid w:val="003F6A1F"/>
    <w:rsid w:val="003F6A38"/>
    <w:rsid w:val="003F6A3B"/>
    <w:rsid w:val="003F6A41"/>
    <w:rsid w:val="003F6A4C"/>
    <w:rsid w:val="003F6AC8"/>
    <w:rsid w:val="003F6AE0"/>
    <w:rsid w:val="003F6AF0"/>
    <w:rsid w:val="003F6B54"/>
    <w:rsid w:val="003F6B63"/>
    <w:rsid w:val="003F6B69"/>
    <w:rsid w:val="003F6CBD"/>
    <w:rsid w:val="003F6CE9"/>
    <w:rsid w:val="003F6CF7"/>
    <w:rsid w:val="003F6D37"/>
    <w:rsid w:val="003F6D67"/>
    <w:rsid w:val="003F6D9C"/>
    <w:rsid w:val="003F6DA8"/>
    <w:rsid w:val="003F6DAD"/>
    <w:rsid w:val="003F6DAE"/>
    <w:rsid w:val="003F6EB0"/>
    <w:rsid w:val="003F6EB2"/>
    <w:rsid w:val="003F6ECC"/>
    <w:rsid w:val="003F6EE3"/>
    <w:rsid w:val="003F6EEF"/>
    <w:rsid w:val="003F6F06"/>
    <w:rsid w:val="003F6F1B"/>
    <w:rsid w:val="003F6F2D"/>
    <w:rsid w:val="003F6FAA"/>
    <w:rsid w:val="003F6FD4"/>
    <w:rsid w:val="003F6FD8"/>
    <w:rsid w:val="003F70BB"/>
    <w:rsid w:val="003F70C1"/>
    <w:rsid w:val="003F70F0"/>
    <w:rsid w:val="003F7110"/>
    <w:rsid w:val="003F720F"/>
    <w:rsid w:val="003F7233"/>
    <w:rsid w:val="003F7235"/>
    <w:rsid w:val="003F723C"/>
    <w:rsid w:val="003F7257"/>
    <w:rsid w:val="003F728B"/>
    <w:rsid w:val="003F72A3"/>
    <w:rsid w:val="003F72D6"/>
    <w:rsid w:val="003F72E1"/>
    <w:rsid w:val="003F72FC"/>
    <w:rsid w:val="003F7341"/>
    <w:rsid w:val="003F7355"/>
    <w:rsid w:val="003F73B1"/>
    <w:rsid w:val="003F73DA"/>
    <w:rsid w:val="003F73E0"/>
    <w:rsid w:val="003F744C"/>
    <w:rsid w:val="003F7473"/>
    <w:rsid w:val="003F747B"/>
    <w:rsid w:val="003F74A0"/>
    <w:rsid w:val="003F74A4"/>
    <w:rsid w:val="003F74D2"/>
    <w:rsid w:val="003F74ED"/>
    <w:rsid w:val="003F7552"/>
    <w:rsid w:val="003F7553"/>
    <w:rsid w:val="003F7584"/>
    <w:rsid w:val="003F75B8"/>
    <w:rsid w:val="003F75BF"/>
    <w:rsid w:val="003F75D1"/>
    <w:rsid w:val="003F75FE"/>
    <w:rsid w:val="003F75FF"/>
    <w:rsid w:val="003F7642"/>
    <w:rsid w:val="003F7657"/>
    <w:rsid w:val="003F767D"/>
    <w:rsid w:val="003F768A"/>
    <w:rsid w:val="003F7698"/>
    <w:rsid w:val="003F778B"/>
    <w:rsid w:val="003F77C4"/>
    <w:rsid w:val="003F77C6"/>
    <w:rsid w:val="003F77E2"/>
    <w:rsid w:val="003F77EA"/>
    <w:rsid w:val="003F77F2"/>
    <w:rsid w:val="003F781A"/>
    <w:rsid w:val="003F7846"/>
    <w:rsid w:val="003F7849"/>
    <w:rsid w:val="003F7854"/>
    <w:rsid w:val="003F7885"/>
    <w:rsid w:val="003F7903"/>
    <w:rsid w:val="003F793C"/>
    <w:rsid w:val="003F796F"/>
    <w:rsid w:val="003F799D"/>
    <w:rsid w:val="003F79BF"/>
    <w:rsid w:val="003F79CA"/>
    <w:rsid w:val="003F79E0"/>
    <w:rsid w:val="003F7A52"/>
    <w:rsid w:val="003F7A6D"/>
    <w:rsid w:val="003F7A82"/>
    <w:rsid w:val="003F7AC6"/>
    <w:rsid w:val="003F7B08"/>
    <w:rsid w:val="003F7B34"/>
    <w:rsid w:val="003F7B35"/>
    <w:rsid w:val="003F7B37"/>
    <w:rsid w:val="003F7BA3"/>
    <w:rsid w:val="003F7BBA"/>
    <w:rsid w:val="003F7BC8"/>
    <w:rsid w:val="003F7BE9"/>
    <w:rsid w:val="003F7C0F"/>
    <w:rsid w:val="003F7C2B"/>
    <w:rsid w:val="003F7C33"/>
    <w:rsid w:val="003F7C6A"/>
    <w:rsid w:val="003F7C74"/>
    <w:rsid w:val="003F7CCB"/>
    <w:rsid w:val="003F7CDD"/>
    <w:rsid w:val="003F7D02"/>
    <w:rsid w:val="003F7D04"/>
    <w:rsid w:val="003F7D5F"/>
    <w:rsid w:val="003F7D91"/>
    <w:rsid w:val="003F7D96"/>
    <w:rsid w:val="003F7E17"/>
    <w:rsid w:val="003F7E1D"/>
    <w:rsid w:val="003F7E98"/>
    <w:rsid w:val="003F7E9C"/>
    <w:rsid w:val="003F7EA0"/>
    <w:rsid w:val="003F7EAE"/>
    <w:rsid w:val="003F7EBB"/>
    <w:rsid w:val="003F7EFC"/>
    <w:rsid w:val="003F7F06"/>
    <w:rsid w:val="003F7F0D"/>
    <w:rsid w:val="003F7F2F"/>
    <w:rsid w:val="003F7F67"/>
    <w:rsid w:val="003F7F78"/>
    <w:rsid w:val="003F7F84"/>
    <w:rsid w:val="003F7F8C"/>
    <w:rsid w:val="003F7FCE"/>
    <w:rsid w:val="003F7FE8"/>
    <w:rsid w:val="0040000E"/>
    <w:rsid w:val="00400019"/>
    <w:rsid w:val="00400046"/>
    <w:rsid w:val="004000EB"/>
    <w:rsid w:val="0040010D"/>
    <w:rsid w:val="00400138"/>
    <w:rsid w:val="00400143"/>
    <w:rsid w:val="00400178"/>
    <w:rsid w:val="004001C4"/>
    <w:rsid w:val="004001EF"/>
    <w:rsid w:val="0040020A"/>
    <w:rsid w:val="00400229"/>
    <w:rsid w:val="00400268"/>
    <w:rsid w:val="00400294"/>
    <w:rsid w:val="004002AA"/>
    <w:rsid w:val="004002B5"/>
    <w:rsid w:val="004002FA"/>
    <w:rsid w:val="004002FC"/>
    <w:rsid w:val="004002FD"/>
    <w:rsid w:val="0040030F"/>
    <w:rsid w:val="0040032A"/>
    <w:rsid w:val="00400380"/>
    <w:rsid w:val="004003A7"/>
    <w:rsid w:val="004003A8"/>
    <w:rsid w:val="004003EE"/>
    <w:rsid w:val="004003F4"/>
    <w:rsid w:val="00400406"/>
    <w:rsid w:val="00400409"/>
    <w:rsid w:val="0040041F"/>
    <w:rsid w:val="0040045B"/>
    <w:rsid w:val="004004E5"/>
    <w:rsid w:val="004004E7"/>
    <w:rsid w:val="004004EB"/>
    <w:rsid w:val="004004F4"/>
    <w:rsid w:val="00400515"/>
    <w:rsid w:val="00400532"/>
    <w:rsid w:val="00400579"/>
    <w:rsid w:val="00400597"/>
    <w:rsid w:val="004005CB"/>
    <w:rsid w:val="004005F3"/>
    <w:rsid w:val="0040067B"/>
    <w:rsid w:val="00400697"/>
    <w:rsid w:val="0040069D"/>
    <w:rsid w:val="00400714"/>
    <w:rsid w:val="00400745"/>
    <w:rsid w:val="0040077B"/>
    <w:rsid w:val="004007A2"/>
    <w:rsid w:val="004007B0"/>
    <w:rsid w:val="004007B4"/>
    <w:rsid w:val="0040080E"/>
    <w:rsid w:val="00400813"/>
    <w:rsid w:val="00400879"/>
    <w:rsid w:val="0040088D"/>
    <w:rsid w:val="00400894"/>
    <w:rsid w:val="004008A3"/>
    <w:rsid w:val="004008A9"/>
    <w:rsid w:val="004008F2"/>
    <w:rsid w:val="004008FE"/>
    <w:rsid w:val="004008FF"/>
    <w:rsid w:val="00400901"/>
    <w:rsid w:val="0040092C"/>
    <w:rsid w:val="004009A7"/>
    <w:rsid w:val="004009CE"/>
    <w:rsid w:val="00400A29"/>
    <w:rsid w:val="00400A41"/>
    <w:rsid w:val="00400A58"/>
    <w:rsid w:val="00400A71"/>
    <w:rsid w:val="00400AB1"/>
    <w:rsid w:val="00400AC2"/>
    <w:rsid w:val="00400B01"/>
    <w:rsid w:val="00400B17"/>
    <w:rsid w:val="00400B1E"/>
    <w:rsid w:val="00400B2C"/>
    <w:rsid w:val="00400B48"/>
    <w:rsid w:val="00400B50"/>
    <w:rsid w:val="00400BC3"/>
    <w:rsid w:val="00400C0E"/>
    <w:rsid w:val="00400C22"/>
    <w:rsid w:val="00400C43"/>
    <w:rsid w:val="00400C5A"/>
    <w:rsid w:val="00400C6C"/>
    <w:rsid w:val="00400C88"/>
    <w:rsid w:val="00400C8A"/>
    <w:rsid w:val="00400C9D"/>
    <w:rsid w:val="00400CBA"/>
    <w:rsid w:val="00400CC6"/>
    <w:rsid w:val="00400CCA"/>
    <w:rsid w:val="00400CEF"/>
    <w:rsid w:val="00400D25"/>
    <w:rsid w:val="00400D63"/>
    <w:rsid w:val="00400D7D"/>
    <w:rsid w:val="00400DAF"/>
    <w:rsid w:val="00400DB5"/>
    <w:rsid w:val="00400DFB"/>
    <w:rsid w:val="00400E1C"/>
    <w:rsid w:val="00400E64"/>
    <w:rsid w:val="00400E76"/>
    <w:rsid w:val="00400EBE"/>
    <w:rsid w:val="00400ED5"/>
    <w:rsid w:val="00400F0E"/>
    <w:rsid w:val="00400F27"/>
    <w:rsid w:val="00400F49"/>
    <w:rsid w:val="00400F71"/>
    <w:rsid w:val="00400F7A"/>
    <w:rsid w:val="00400F82"/>
    <w:rsid w:val="00400F9F"/>
    <w:rsid w:val="00401037"/>
    <w:rsid w:val="00401053"/>
    <w:rsid w:val="00401065"/>
    <w:rsid w:val="00401074"/>
    <w:rsid w:val="0040107D"/>
    <w:rsid w:val="00401088"/>
    <w:rsid w:val="004010C7"/>
    <w:rsid w:val="004010CE"/>
    <w:rsid w:val="004010D0"/>
    <w:rsid w:val="004010FC"/>
    <w:rsid w:val="00401126"/>
    <w:rsid w:val="00401138"/>
    <w:rsid w:val="00401155"/>
    <w:rsid w:val="00401157"/>
    <w:rsid w:val="004011E9"/>
    <w:rsid w:val="004011EC"/>
    <w:rsid w:val="00401218"/>
    <w:rsid w:val="0040123D"/>
    <w:rsid w:val="00401252"/>
    <w:rsid w:val="0040128D"/>
    <w:rsid w:val="00401293"/>
    <w:rsid w:val="004012B2"/>
    <w:rsid w:val="004012F5"/>
    <w:rsid w:val="00401309"/>
    <w:rsid w:val="00401315"/>
    <w:rsid w:val="004013B3"/>
    <w:rsid w:val="004013D1"/>
    <w:rsid w:val="00401417"/>
    <w:rsid w:val="00401422"/>
    <w:rsid w:val="00401428"/>
    <w:rsid w:val="0040146B"/>
    <w:rsid w:val="004014C5"/>
    <w:rsid w:val="004014EA"/>
    <w:rsid w:val="004014F9"/>
    <w:rsid w:val="00401510"/>
    <w:rsid w:val="00401515"/>
    <w:rsid w:val="0040157F"/>
    <w:rsid w:val="004015F5"/>
    <w:rsid w:val="00401661"/>
    <w:rsid w:val="0040166B"/>
    <w:rsid w:val="004016A2"/>
    <w:rsid w:val="004016C6"/>
    <w:rsid w:val="004016CC"/>
    <w:rsid w:val="004016DE"/>
    <w:rsid w:val="004016F0"/>
    <w:rsid w:val="00401751"/>
    <w:rsid w:val="0040176C"/>
    <w:rsid w:val="00401774"/>
    <w:rsid w:val="00401783"/>
    <w:rsid w:val="004017BB"/>
    <w:rsid w:val="004017BF"/>
    <w:rsid w:val="004017C8"/>
    <w:rsid w:val="004017CE"/>
    <w:rsid w:val="00401802"/>
    <w:rsid w:val="00401827"/>
    <w:rsid w:val="00401829"/>
    <w:rsid w:val="0040182E"/>
    <w:rsid w:val="00401839"/>
    <w:rsid w:val="00401849"/>
    <w:rsid w:val="00401873"/>
    <w:rsid w:val="00401874"/>
    <w:rsid w:val="00401878"/>
    <w:rsid w:val="004018A0"/>
    <w:rsid w:val="004018B9"/>
    <w:rsid w:val="00401914"/>
    <w:rsid w:val="0040191D"/>
    <w:rsid w:val="0040191F"/>
    <w:rsid w:val="00401927"/>
    <w:rsid w:val="00401947"/>
    <w:rsid w:val="004019B8"/>
    <w:rsid w:val="004019CD"/>
    <w:rsid w:val="004019DF"/>
    <w:rsid w:val="00401A09"/>
    <w:rsid w:val="00401A2E"/>
    <w:rsid w:val="00401A35"/>
    <w:rsid w:val="00401A74"/>
    <w:rsid w:val="00401ABB"/>
    <w:rsid w:val="00401ADE"/>
    <w:rsid w:val="00401B02"/>
    <w:rsid w:val="00401B58"/>
    <w:rsid w:val="00401B64"/>
    <w:rsid w:val="00401B77"/>
    <w:rsid w:val="00401B79"/>
    <w:rsid w:val="00401B82"/>
    <w:rsid w:val="00401BD8"/>
    <w:rsid w:val="00401C14"/>
    <w:rsid w:val="00401C57"/>
    <w:rsid w:val="00401C60"/>
    <w:rsid w:val="00401C8C"/>
    <w:rsid w:val="00401CB2"/>
    <w:rsid w:val="00401CB3"/>
    <w:rsid w:val="00401CCA"/>
    <w:rsid w:val="00401CCC"/>
    <w:rsid w:val="00401CD9"/>
    <w:rsid w:val="00401D01"/>
    <w:rsid w:val="00401D7C"/>
    <w:rsid w:val="00401DA9"/>
    <w:rsid w:val="00401E0A"/>
    <w:rsid w:val="00401E25"/>
    <w:rsid w:val="00401E66"/>
    <w:rsid w:val="00401E69"/>
    <w:rsid w:val="00401E99"/>
    <w:rsid w:val="00401EBB"/>
    <w:rsid w:val="00401ED6"/>
    <w:rsid w:val="00401ED8"/>
    <w:rsid w:val="00401F34"/>
    <w:rsid w:val="00401F7A"/>
    <w:rsid w:val="00401F97"/>
    <w:rsid w:val="00401FA7"/>
    <w:rsid w:val="00401FB7"/>
    <w:rsid w:val="00401FD6"/>
    <w:rsid w:val="0040200C"/>
    <w:rsid w:val="0040201D"/>
    <w:rsid w:val="00402023"/>
    <w:rsid w:val="0040207F"/>
    <w:rsid w:val="00402093"/>
    <w:rsid w:val="004020A6"/>
    <w:rsid w:val="004020E6"/>
    <w:rsid w:val="004020F9"/>
    <w:rsid w:val="00402108"/>
    <w:rsid w:val="00402119"/>
    <w:rsid w:val="0040213B"/>
    <w:rsid w:val="00402148"/>
    <w:rsid w:val="00402183"/>
    <w:rsid w:val="0040218A"/>
    <w:rsid w:val="004021A6"/>
    <w:rsid w:val="004021AD"/>
    <w:rsid w:val="004021D0"/>
    <w:rsid w:val="004021DD"/>
    <w:rsid w:val="00402205"/>
    <w:rsid w:val="004022A7"/>
    <w:rsid w:val="004022D8"/>
    <w:rsid w:val="0040230F"/>
    <w:rsid w:val="00402328"/>
    <w:rsid w:val="00402333"/>
    <w:rsid w:val="00402349"/>
    <w:rsid w:val="0040236D"/>
    <w:rsid w:val="004023CC"/>
    <w:rsid w:val="004023E4"/>
    <w:rsid w:val="00402409"/>
    <w:rsid w:val="0040241A"/>
    <w:rsid w:val="00402440"/>
    <w:rsid w:val="00402485"/>
    <w:rsid w:val="004024EB"/>
    <w:rsid w:val="0040251C"/>
    <w:rsid w:val="0040252F"/>
    <w:rsid w:val="00402540"/>
    <w:rsid w:val="00402574"/>
    <w:rsid w:val="00402594"/>
    <w:rsid w:val="004025B4"/>
    <w:rsid w:val="004025E5"/>
    <w:rsid w:val="00402601"/>
    <w:rsid w:val="00402627"/>
    <w:rsid w:val="0040264C"/>
    <w:rsid w:val="00402669"/>
    <w:rsid w:val="00402675"/>
    <w:rsid w:val="004026BF"/>
    <w:rsid w:val="004026CA"/>
    <w:rsid w:val="004026D8"/>
    <w:rsid w:val="004026F1"/>
    <w:rsid w:val="0040270C"/>
    <w:rsid w:val="0040271D"/>
    <w:rsid w:val="00402732"/>
    <w:rsid w:val="00402748"/>
    <w:rsid w:val="00402758"/>
    <w:rsid w:val="0040277C"/>
    <w:rsid w:val="004027A3"/>
    <w:rsid w:val="004027BE"/>
    <w:rsid w:val="00402826"/>
    <w:rsid w:val="00402893"/>
    <w:rsid w:val="004028AE"/>
    <w:rsid w:val="004028B1"/>
    <w:rsid w:val="00402909"/>
    <w:rsid w:val="00402917"/>
    <w:rsid w:val="00402926"/>
    <w:rsid w:val="0040293A"/>
    <w:rsid w:val="00402956"/>
    <w:rsid w:val="004029F4"/>
    <w:rsid w:val="004029F8"/>
    <w:rsid w:val="004029F9"/>
    <w:rsid w:val="00402A3D"/>
    <w:rsid w:val="00402A5E"/>
    <w:rsid w:val="00402A69"/>
    <w:rsid w:val="00402A77"/>
    <w:rsid w:val="00402AAA"/>
    <w:rsid w:val="00402B36"/>
    <w:rsid w:val="00402B67"/>
    <w:rsid w:val="00402B90"/>
    <w:rsid w:val="00402B98"/>
    <w:rsid w:val="00402BB8"/>
    <w:rsid w:val="00402BC2"/>
    <w:rsid w:val="00402C14"/>
    <w:rsid w:val="00402C4C"/>
    <w:rsid w:val="00402C87"/>
    <w:rsid w:val="00402CF6"/>
    <w:rsid w:val="00402CFA"/>
    <w:rsid w:val="00402CFC"/>
    <w:rsid w:val="00402D29"/>
    <w:rsid w:val="00402D32"/>
    <w:rsid w:val="00402D39"/>
    <w:rsid w:val="00402D3B"/>
    <w:rsid w:val="00402D4E"/>
    <w:rsid w:val="00402D9C"/>
    <w:rsid w:val="00402DA1"/>
    <w:rsid w:val="00402DE0"/>
    <w:rsid w:val="00402E28"/>
    <w:rsid w:val="00402E58"/>
    <w:rsid w:val="00402EA9"/>
    <w:rsid w:val="00402EF9"/>
    <w:rsid w:val="00402F61"/>
    <w:rsid w:val="00402F97"/>
    <w:rsid w:val="00402FA4"/>
    <w:rsid w:val="00402FA7"/>
    <w:rsid w:val="00402FAB"/>
    <w:rsid w:val="00403002"/>
    <w:rsid w:val="00403027"/>
    <w:rsid w:val="00403095"/>
    <w:rsid w:val="004030CB"/>
    <w:rsid w:val="004030DA"/>
    <w:rsid w:val="004030F6"/>
    <w:rsid w:val="00403120"/>
    <w:rsid w:val="00403136"/>
    <w:rsid w:val="004031EC"/>
    <w:rsid w:val="0040320C"/>
    <w:rsid w:val="00403212"/>
    <w:rsid w:val="0040321F"/>
    <w:rsid w:val="0040325E"/>
    <w:rsid w:val="0040325F"/>
    <w:rsid w:val="004032C1"/>
    <w:rsid w:val="004032E5"/>
    <w:rsid w:val="004032FA"/>
    <w:rsid w:val="0040334B"/>
    <w:rsid w:val="004033D6"/>
    <w:rsid w:val="004033E0"/>
    <w:rsid w:val="004033E3"/>
    <w:rsid w:val="00403440"/>
    <w:rsid w:val="00403478"/>
    <w:rsid w:val="004034B4"/>
    <w:rsid w:val="004034E9"/>
    <w:rsid w:val="004034FB"/>
    <w:rsid w:val="0040351D"/>
    <w:rsid w:val="0040352D"/>
    <w:rsid w:val="00403539"/>
    <w:rsid w:val="00403555"/>
    <w:rsid w:val="00403567"/>
    <w:rsid w:val="00403585"/>
    <w:rsid w:val="00403586"/>
    <w:rsid w:val="00403598"/>
    <w:rsid w:val="004035AF"/>
    <w:rsid w:val="004035C3"/>
    <w:rsid w:val="004035C7"/>
    <w:rsid w:val="004035CB"/>
    <w:rsid w:val="00403634"/>
    <w:rsid w:val="00403649"/>
    <w:rsid w:val="00403656"/>
    <w:rsid w:val="00403660"/>
    <w:rsid w:val="004036B1"/>
    <w:rsid w:val="0040372F"/>
    <w:rsid w:val="00403730"/>
    <w:rsid w:val="00403758"/>
    <w:rsid w:val="0040379C"/>
    <w:rsid w:val="004037C8"/>
    <w:rsid w:val="004037F6"/>
    <w:rsid w:val="004037FA"/>
    <w:rsid w:val="0040380B"/>
    <w:rsid w:val="00403843"/>
    <w:rsid w:val="00403871"/>
    <w:rsid w:val="00403897"/>
    <w:rsid w:val="0040389C"/>
    <w:rsid w:val="004038A9"/>
    <w:rsid w:val="004038C8"/>
    <w:rsid w:val="004038CC"/>
    <w:rsid w:val="004038DC"/>
    <w:rsid w:val="004038F1"/>
    <w:rsid w:val="00403913"/>
    <w:rsid w:val="0040391C"/>
    <w:rsid w:val="00403925"/>
    <w:rsid w:val="0040392A"/>
    <w:rsid w:val="00403998"/>
    <w:rsid w:val="004039BA"/>
    <w:rsid w:val="004039FE"/>
    <w:rsid w:val="00403A28"/>
    <w:rsid w:val="00403A30"/>
    <w:rsid w:val="00403A33"/>
    <w:rsid w:val="00403A45"/>
    <w:rsid w:val="00403A47"/>
    <w:rsid w:val="00403A57"/>
    <w:rsid w:val="00403ABC"/>
    <w:rsid w:val="00403ADE"/>
    <w:rsid w:val="00403AF4"/>
    <w:rsid w:val="00403B0D"/>
    <w:rsid w:val="00403B6F"/>
    <w:rsid w:val="00403BC0"/>
    <w:rsid w:val="00403BF0"/>
    <w:rsid w:val="00403CB0"/>
    <w:rsid w:val="00403CD7"/>
    <w:rsid w:val="00403D05"/>
    <w:rsid w:val="00403D77"/>
    <w:rsid w:val="00403D8D"/>
    <w:rsid w:val="00403E04"/>
    <w:rsid w:val="00403E2E"/>
    <w:rsid w:val="00403E6E"/>
    <w:rsid w:val="00403E7D"/>
    <w:rsid w:val="00403E88"/>
    <w:rsid w:val="00403EC4"/>
    <w:rsid w:val="00403ED5"/>
    <w:rsid w:val="00403F35"/>
    <w:rsid w:val="00403F37"/>
    <w:rsid w:val="00403F46"/>
    <w:rsid w:val="00403F84"/>
    <w:rsid w:val="00403F87"/>
    <w:rsid w:val="00403FAA"/>
    <w:rsid w:val="00403FB1"/>
    <w:rsid w:val="00404002"/>
    <w:rsid w:val="00404003"/>
    <w:rsid w:val="0040400B"/>
    <w:rsid w:val="00404019"/>
    <w:rsid w:val="0040402F"/>
    <w:rsid w:val="0040404A"/>
    <w:rsid w:val="00404072"/>
    <w:rsid w:val="00404088"/>
    <w:rsid w:val="0040410A"/>
    <w:rsid w:val="0040414F"/>
    <w:rsid w:val="0040416D"/>
    <w:rsid w:val="0040416F"/>
    <w:rsid w:val="0040419A"/>
    <w:rsid w:val="004041A1"/>
    <w:rsid w:val="004041A9"/>
    <w:rsid w:val="004041AF"/>
    <w:rsid w:val="00404202"/>
    <w:rsid w:val="0040420B"/>
    <w:rsid w:val="0040420C"/>
    <w:rsid w:val="00404222"/>
    <w:rsid w:val="0040429A"/>
    <w:rsid w:val="0040429C"/>
    <w:rsid w:val="004042E7"/>
    <w:rsid w:val="00404319"/>
    <w:rsid w:val="00404329"/>
    <w:rsid w:val="0040435C"/>
    <w:rsid w:val="00404368"/>
    <w:rsid w:val="004043BE"/>
    <w:rsid w:val="004043C6"/>
    <w:rsid w:val="004043CF"/>
    <w:rsid w:val="004043E9"/>
    <w:rsid w:val="0040456A"/>
    <w:rsid w:val="00404577"/>
    <w:rsid w:val="00404580"/>
    <w:rsid w:val="004045D7"/>
    <w:rsid w:val="0040460C"/>
    <w:rsid w:val="00404642"/>
    <w:rsid w:val="004046B9"/>
    <w:rsid w:val="004046C4"/>
    <w:rsid w:val="004046DD"/>
    <w:rsid w:val="00404703"/>
    <w:rsid w:val="0040474E"/>
    <w:rsid w:val="004047BB"/>
    <w:rsid w:val="004047D5"/>
    <w:rsid w:val="00404807"/>
    <w:rsid w:val="00404821"/>
    <w:rsid w:val="00404891"/>
    <w:rsid w:val="004048AF"/>
    <w:rsid w:val="00404941"/>
    <w:rsid w:val="0040498F"/>
    <w:rsid w:val="0040499B"/>
    <w:rsid w:val="004049E7"/>
    <w:rsid w:val="00404A23"/>
    <w:rsid w:val="00404A5C"/>
    <w:rsid w:val="00404A6F"/>
    <w:rsid w:val="00404A71"/>
    <w:rsid w:val="00404A90"/>
    <w:rsid w:val="00404AEA"/>
    <w:rsid w:val="00404AEC"/>
    <w:rsid w:val="00404AF8"/>
    <w:rsid w:val="00404B25"/>
    <w:rsid w:val="00404B6D"/>
    <w:rsid w:val="00404B85"/>
    <w:rsid w:val="00404BAA"/>
    <w:rsid w:val="00404BEE"/>
    <w:rsid w:val="00404BFD"/>
    <w:rsid w:val="00404C48"/>
    <w:rsid w:val="00404C4A"/>
    <w:rsid w:val="00404C77"/>
    <w:rsid w:val="00404C7C"/>
    <w:rsid w:val="00404C7E"/>
    <w:rsid w:val="00404C98"/>
    <w:rsid w:val="00404CAE"/>
    <w:rsid w:val="00404CD9"/>
    <w:rsid w:val="00404D4F"/>
    <w:rsid w:val="00404D77"/>
    <w:rsid w:val="00404D80"/>
    <w:rsid w:val="00404D9A"/>
    <w:rsid w:val="00404DF4"/>
    <w:rsid w:val="00404E1B"/>
    <w:rsid w:val="00404E32"/>
    <w:rsid w:val="00404E97"/>
    <w:rsid w:val="00404F46"/>
    <w:rsid w:val="00404FA8"/>
    <w:rsid w:val="00404FAA"/>
    <w:rsid w:val="00404FB5"/>
    <w:rsid w:val="00404FBC"/>
    <w:rsid w:val="00405038"/>
    <w:rsid w:val="00405045"/>
    <w:rsid w:val="004050B7"/>
    <w:rsid w:val="004050D4"/>
    <w:rsid w:val="004050E9"/>
    <w:rsid w:val="00405107"/>
    <w:rsid w:val="00405175"/>
    <w:rsid w:val="0040517B"/>
    <w:rsid w:val="004051AA"/>
    <w:rsid w:val="004051B9"/>
    <w:rsid w:val="00405203"/>
    <w:rsid w:val="00405243"/>
    <w:rsid w:val="0040526A"/>
    <w:rsid w:val="004052A0"/>
    <w:rsid w:val="004052CC"/>
    <w:rsid w:val="004052E6"/>
    <w:rsid w:val="0040538E"/>
    <w:rsid w:val="004053BB"/>
    <w:rsid w:val="00405411"/>
    <w:rsid w:val="00405416"/>
    <w:rsid w:val="0040543C"/>
    <w:rsid w:val="0040546D"/>
    <w:rsid w:val="0040548C"/>
    <w:rsid w:val="004054A7"/>
    <w:rsid w:val="004054DB"/>
    <w:rsid w:val="00405519"/>
    <w:rsid w:val="0040551B"/>
    <w:rsid w:val="00405579"/>
    <w:rsid w:val="004055DE"/>
    <w:rsid w:val="004055EA"/>
    <w:rsid w:val="00405612"/>
    <w:rsid w:val="00405666"/>
    <w:rsid w:val="00405701"/>
    <w:rsid w:val="0040574A"/>
    <w:rsid w:val="00405769"/>
    <w:rsid w:val="00405799"/>
    <w:rsid w:val="004057FD"/>
    <w:rsid w:val="00405809"/>
    <w:rsid w:val="0040580F"/>
    <w:rsid w:val="0040581D"/>
    <w:rsid w:val="0040581F"/>
    <w:rsid w:val="00405834"/>
    <w:rsid w:val="0040583A"/>
    <w:rsid w:val="00405863"/>
    <w:rsid w:val="00405870"/>
    <w:rsid w:val="004058DA"/>
    <w:rsid w:val="00405902"/>
    <w:rsid w:val="0040591C"/>
    <w:rsid w:val="0040591D"/>
    <w:rsid w:val="0040593B"/>
    <w:rsid w:val="00405949"/>
    <w:rsid w:val="0040594C"/>
    <w:rsid w:val="0040594F"/>
    <w:rsid w:val="00405973"/>
    <w:rsid w:val="004059C5"/>
    <w:rsid w:val="004059C9"/>
    <w:rsid w:val="00405A7D"/>
    <w:rsid w:val="00405AB7"/>
    <w:rsid w:val="00405AC8"/>
    <w:rsid w:val="00405B21"/>
    <w:rsid w:val="00405B23"/>
    <w:rsid w:val="00405BC8"/>
    <w:rsid w:val="00405C53"/>
    <w:rsid w:val="00405C56"/>
    <w:rsid w:val="00405C5D"/>
    <w:rsid w:val="00405CB5"/>
    <w:rsid w:val="00405CB9"/>
    <w:rsid w:val="00405CE3"/>
    <w:rsid w:val="00405D06"/>
    <w:rsid w:val="00405D10"/>
    <w:rsid w:val="00405D3A"/>
    <w:rsid w:val="00405D42"/>
    <w:rsid w:val="00405D48"/>
    <w:rsid w:val="00405D52"/>
    <w:rsid w:val="00405D6C"/>
    <w:rsid w:val="00405D84"/>
    <w:rsid w:val="00405D98"/>
    <w:rsid w:val="00405DA1"/>
    <w:rsid w:val="00405E20"/>
    <w:rsid w:val="00405E48"/>
    <w:rsid w:val="00405EA0"/>
    <w:rsid w:val="00405EB6"/>
    <w:rsid w:val="00405EE3"/>
    <w:rsid w:val="00405F03"/>
    <w:rsid w:val="00405F07"/>
    <w:rsid w:val="00405F17"/>
    <w:rsid w:val="00405F84"/>
    <w:rsid w:val="00405FF5"/>
    <w:rsid w:val="0040600C"/>
    <w:rsid w:val="00406022"/>
    <w:rsid w:val="00406045"/>
    <w:rsid w:val="00406070"/>
    <w:rsid w:val="0040607C"/>
    <w:rsid w:val="00406081"/>
    <w:rsid w:val="004060BF"/>
    <w:rsid w:val="004060F8"/>
    <w:rsid w:val="0040615A"/>
    <w:rsid w:val="00406193"/>
    <w:rsid w:val="004061A9"/>
    <w:rsid w:val="004061D6"/>
    <w:rsid w:val="004061E2"/>
    <w:rsid w:val="00406226"/>
    <w:rsid w:val="00406267"/>
    <w:rsid w:val="00406290"/>
    <w:rsid w:val="004062A0"/>
    <w:rsid w:val="004062FE"/>
    <w:rsid w:val="00406315"/>
    <w:rsid w:val="0040631A"/>
    <w:rsid w:val="0040634E"/>
    <w:rsid w:val="00406375"/>
    <w:rsid w:val="00406421"/>
    <w:rsid w:val="00406490"/>
    <w:rsid w:val="00406497"/>
    <w:rsid w:val="004064A0"/>
    <w:rsid w:val="004064B9"/>
    <w:rsid w:val="004064DF"/>
    <w:rsid w:val="004064E5"/>
    <w:rsid w:val="004064F1"/>
    <w:rsid w:val="00406508"/>
    <w:rsid w:val="0040650C"/>
    <w:rsid w:val="0040653D"/>
    <w:rsid w:val="0040655F"/>
    <w:rsid w:val="004065A2"/>
    <w:rsid w:val="004065A4"/>
    <w:rsid w:val="004065F7"/>
    <w:rsid w:val="0040664D"/>
    <w:rsid w:val="0040670F"/>
    <w:rsid w:val="0040672D"/>
    <w:rsid w:val="0040674B"/>
    <w:rsid w:val="00406773"/>
    <w:rsid w:val="00406783"/>
    <w:rsid w:val="0040678F"/>
    <w:rsid w:val="00406799"/>
    <w:rsid w:val="004067AE"/>
    <w:rsid w:val="004067DD"/>
    <w:rsid w:val="00406860"/>
    <w:rsid w:val="0040688B"/>
    <w:rsid w:val="00406892"/>
    <w:rsid w:val="00406900"/>
    <w:rsid w:val="0040691C"/>
    <w:rsid w:val="0040692B"/>
    <w:rsid w:val="00406942"/>
    <w:rsid w:val="004069BC"/>
    <w:rsid w:val="004069E3"/>
    <w:rsid w:val="004069FA"/>
    <w:rsid w:val="00406A14"/>
    <w:rsid w:val="00406A24"/>
    <w:rsid w:val="00406A31"/>
    <w:rsid w:val="00406A32"/>
    <w:rsid w:val="00406A4E"/>
    <w:rsid w:val="00406AB2"/>
    <w:rsid w:val="00406AB9"/>
    <w:rsid w:val="00406AC2"/>
    <w:rsid w:val="00406B36"/>
    <w:rsid w:val="00406B3E"/>
    <w:rsid w:val="00406C21"/>
    <w:rsid w:val="00406C66"/>
    <w:rsid w:val="00406CAF"/>
    <w:rsid w:val="00406CC7"/>
    <w:rsid w:val="00406CCC"/>
    <w:rsid w:val="00406CFD"/>
    <w:rsid w:val="00406D14"/>
    <w:rsid w:val="00406D22"/>
    <w:rsid w:val="00406DB6"/>
    <w:rsid w:val="00406DEE"/>
    <w:rsid w:val="00406E00"/>
    <w:rsid w:val="00406EC6"/>
    <w:rsid w:val="00406EE2"/>
    <w:rsid w:val="00406F1A"/>
    <w:rsid w:val="00406F22"/>
    <w:rsid w:val="00406FBC"/>
    <w:rsid w:val="00406FCA"/>
    <w:rsid w:val="00406FD4"/>
    <w:rsid w:val="00406FEA"/>
    <w:rsid w:val="00406FF9"/>
    <w:rsid w:val="00407020"/>
    <w:rsid w:val="00407023"/>
    <w:rsid w:val="00407037"/>
    <w:rsid w:val="0040704C"/>
    <w:rsid w:val="004070B9"/>
    <w:rsid w:val="004070D5"/>
    <w:rsid w:val="004070E0"/>
    <w:rsid w:val="00407180"/>
    <w:rsid w:val="00407219"/>
    <w:rsid w:val="0040721D"/>
    <w:rsid w:val="00407225"/>
    <w:rsid w:val="00407262"/>
    <w:rsid w:val="0040727E"/>
    <w:rsid w:val="004072E0"/>
    <w:rsid w:val="00407321"/>
    <w:rsid w:val="00407332"/>
    <w:rsid w:val="00407339"/>
    <w:rsid w:val="0040735C"/>
    <w:rsid w:val="00407381"/>
    <w:rsid w:val="004073E0"/>
    <w:rsid w:val="00407466"/>
    <w:rsid w:val="004074B1"/>
    <w:rsid w:val="004074DF"/>
    <w:rsid w:val="004074E1"/>
    <w:rsid w:val="004074F1"/>
    <w:rsid w:val="004075AA"/>
    <w:rsid w:val="004075D1"/>
    <w:rsid w:val="00407609"/>
    <w:rsid w:val="0040760A"/>
    <w:rsid w:val="00407623"/>
    <w:rsid w:val="00407646"/>
    <w:rsid w:val="0040766C"/>
    <w:rsid w:val="00407670"/>
    <w:rsid w:val="004076A7"/>
    <w:rsid w:val="004076E5"/>
    <w:rsid w:val="004076E9"/>
    <w:rsid w:val="00407744"/>
    <w:rsid w:val="0040774A"/>
    <w:rsid w:val="00407766"/>
    <w:rsid w:val="0040776C"/>
    <w:rsid w:val="00407774"/>
    <w:rsid w:val="00407792"/>
    <w:rsid w:val="004077BA"/>
    <w:rsid w:val="004077EB"/>
    <w:rsid w:val="004077F2"/>
    <w:rsid w:val="0040781C"/>
    <w:rsid w:val="00407839"/>
    <w:rsid w:val="0040785F"/>
    <w:rsid w:val="004078A8"/>
    <w:rsid w:val="004078D6"/>
    <w:rsid w:val="004078F9"/>
    <w:rsid w:val="004078FB"/>
    <w:rsid w:val="00407905"/>
    <w:rsid w:val="0040790D"/>
    <w:rsid w:val="00407923"/>
    <w:rsid w:val="004079DA"/>
    <w:rsid w:val="00407A21"/>
    <w:rsid w:val="00407A37"/>
    <w:rsid w:val="00407A39"/>
    <w:rsid w:val="00407A7C"/>
    <w:rsid w:val="00407A9B"/>
    <w:rsid w:val="00407AC1"/>
    <w:rsid w:val="00407AD0"/>
    <w:rsid w:val="00407AEF"/>
    <w:rsid w:val="00407AF6"/>
    <w:rsid w:val="00407B07"/>
    <w:rsid w:val="00407B19"/>
    <w:rsid w:val="00407B2A"/>
    <w:rsid w:val="00407B3B"/>
    <w:rsid w:val="00407B48"/>
    <w:rsid w:val="00407BA7"/>
    <w:rsid w:val="00407BA9"/>
    <w:rsid w:val="00407BBC"/>
    <w:rsid w:val="00407BF0"/>
    <w:rsid w:val="00407C0E"/>
    <w:rsid w:val="00407C30"/>
    <w:rsid w:val="00407CA6"/>
    <w:rsid w:val="00407CB2"/>
    <w:rsid w:val="00407CBE"/>
    <w:rsid w:val="00407CCF"/>
    <w:rsid w:val="00407CE2"/>
    <w:rsid w:val="00407CE4"/>
    <w:rsid w:val="00407D02"/>
    <w:rsid w:val="00407D19"/>
    <w:rsid w:val="00407D1A"/>
    <w:rsid w:val="00407D37"/>
    <w:rsid w:val="00407D66"/>
    <w:rsid w:val="00407D87"/>
    <w:rsid w:val="00407D9B"/>
    <w:rsid w:val="00407DDA"/>
    <w:rsid w:val="00407E51"/>
    <w:rsid w:val="00407E66"/>
    <w:rsid w:val="00407E82"/>
    <w:rsid w:val="00407EB2"/>
    <w:rsid w:val="00407EF9"/>
    <w:rsid w:val="00407F16"/>
    <w:rsid w:val="00407F17"/>
    <w:rsid w:val="00407F32"/>
    <w:rsid w:val="00407F7A"/>
    <w:rsid w:val="00407FE6"/>
    <w:rsid w:val="00410000"/>
    <w:rsid w:val="00410005"/>
    <w:rsid w:val="0041000B"/>
    <w:rsid w:val="0041002B"/>
    <w:rsid w:val="0041003E"/>
    <w:rsid w:val="0041014C"/>
    <w:rsid w:val="00410177"/>
    <w:rsid w:val="004101CD"/>
    <w:rsid w:val="004101F9"/>
    <w:rsid w:val="004101FC"/>
    <w:rsid w:val="00410215"/>
    <w:rsid w:val="00410229"/>
    <w:rsid w:val="00410251"/>
    <w:rsid w:val="00410293"/>
    <w:rsid w:val="004102B8"/>
    <w:rsid w:val="004102C6"/>
    <w:rsid w:val="004102C8"/>
    <w:rsid w:val="00410321"/>
    <w:rsid w:val="00410348"/>
    <w:rsid w:val="0041035A"/>
    <w:rsid w:val="00410367"/>
    <w:rsid w:val="004103C7"/>
    <w:rsid w:val="004103E5"/>
    <w:rsid w:val="0041040D"/>
    <w:rsid w:val="0041046F"/>
    <w:rsid w:val="0041047A"/>
    <w:rsid w:val="004104CC"/>
    <w:rsid w:val="004104E8"/>
    <w:rsid w:val="0041050C"/>
    <w:rsid w:val="00410521"/>
    <w:rsid w:val="00410539"/>
    <w:rsid w:val="0041053B"/>
    <w:rsid w:val="00410559"/>
    <w:rsid w:val="0041055B"/>
    <w:rsid w:val="0041059A"/>
    <w:rsid w:val="004105B7"/>
    <w:rsid w:val="004105E2"/>
    <w:rsid w:val="004105FE"/>
    <w:rsid w:val="0041060D"/>
    <w:rsid w:val="0041060E"/>
    <w:rsid w:val="00410629"/>
    <w:rsid w:val="00410642"/>
    <w:rsid w:val="00410654"/>
    <w:rsid w:val="0041067B"/>
    <w:rsid w:val="00410680"/>
    <w:rsid w:val="0041069C"/>
    <w:rsid w:val="004106D8"/>
    <w:rsid w:val="0041070E"/>
    <w:rsid w:val="00410736"/>
    <w:rsid w:val="0041073A"/>
    <w:rsid w:val="0041073C"/>
    <w:rsid w:val="004107D4"/>
    <w:rsid w:val="004107F4"/>
    <w:rsid w:val="0041082A"/>
    <w:rsid w:val="0041083C"/>
    <w:rsid w:val="0041085E"/>
    <w:rsid w:val="00410868"/>
    <w:rsid w:val="00410887"/>
    <w:rsid w:val="00410892"/>
    <w:rsid w:val="004108C7"/>
    <w:rsid w:val="004108E8"/>
    <w:rsid w:val="0041093F"/>
    <w:rsid w:val="00410978"/>
    <w:rsid w:val="00410981"/>
    <w:rsid w:val="004109BB"/>
    <w:rsid w:val="004109EE"/>
    <w:rsid w:val="004109F1"/>
    <w:rsid w:val="004109F3"/>
    <w:rsid w:val="00410A3A"/>
    <w:rsid w:val="00410A3C"/>
    <w:rsid w:val="00410A41"/>
    <w:rsid w:val="00410A4A"/>
    <w:rsid w:val="00410A4F"/>
    <w:rsid w:val="00410AB4"/>
    <w:rsid w:val="00410AB8"/>
    <w:rsid w:val="00410B05"/>
    <w:rsid w:val="00410B09"/>
    <w:rsid w:val="00410B21"/>
    <w:rsid w:val="00410B3D"/>
    <w:rsid w:val="00410B3F"/>
    <w:rsid w:val="00410B43"/>
    <w:rsid w:val="00410B48"/>
    <w:rsid w:val="00410B4E"/>
    <w:rsid w:val="00410B8A"/>
    <w:rsid w:val="00410BAB"/>
    <w:rsid w:val="00410BDB"/>
    <w:rsid w:val="00410BEE"/>
    <w:rsid w:val="00410C1B"/>
    <w:rsid w:val="00410C51"/>
    <w:rsid w:val="00410C67"/>
    <w:rsid w:val="00410C70"/>
    <w:rsid w:val="00410C72"/>
    <w:rsid w:val="00410C92"/>
    <w:rsid w:val="00410CA1"/>
    <w:rsid w:val="00410CBC"/>
    <w:rsid w:val="00410D29"/>
    <w:rsid w:val="00410D79"/>
    <w:rsid w:val="00410E04"/>
    <w:rsid w:val="00410E37"/>
    <w:rsid w:val="00410E59"/>
    <w:rsid w:val="00410EC9"/>
    <w:rsid w:val="00410EF6"/>
    <w:rsid w:val="00410F29"/>
    <w:rsid w:val="00410F45"/>
    <w:rsid w:val="00410F50"/>
    <w:rsid w:val="00410FCB"/>
    <w:rsid w:val="00411017"/>
    <w:rsid w:val="00411043"/>
    <w:rsid w:val="00411074"/>
    <w:rsid w:val="004110CE"/>
    <w:rsid w:val="00411120"/>
    <w:rsid w:val="0041112B"/>
    <w:rsid w:val="00411147"/>
    <w:rsid w:val="00411149"/>
    <w:rsid w:val="00411152"/>
    <w:rsid w:val="00411178"/>
    <w:rsid w:val="0041118D"/>
    <w:rsid w:val="004111DB"/>
    <w:rsid w:val="004111FD"/>
    <w:rsid w:val="0041121D"/>
    <w:rsid w:val="00411235"/>
    <w:rsid w:val="00411241"/>
    <w:rsid w:val="00411276"/>
    <w:rsid w:val="0041127E"/>
    <w:rsid w:val="00411295"/>
    <w:rsid w:val="004112BA"/>
    <w:rsid w:val="00411306"/>
    <w:rsid w:val="0041138B"/>
    <w:rsid w:val="004113AC"/>
    <w:rsid w:val="004113C1"/>
    <w:rsid w:val="004113DC"/>
    <w:rsid w:val="0041143F"/>
    <w:rsid w:val="0041144A"/>
    <w:rsid w:val="00411466"/>
    <w:rsid w:val="00411477"/>
    <w:rsid w:val="00411480"/>
    <w:rsid w:val="0041148C"/>
    <w:rsid w:val="0041148D"/>
    <w:rsid w:val="0041148F"/>
    <w:rsid w:val="00411497"/>
    <w:rsid w:val="004114CB"/>
    <w:rsid w:val="004114D6"/>
    <w:rsid w:val="004114FC"/>
    <w:rsid w:val="0041151B"/>
    <w:rsid w:val="0041157E"/>
    <w:rsid w:val="004115C1"/>
    <w:rsid w:val="00411601"/>
    <w:rsid w:val="0041161B"/>
    <w:rsid w:val="004116A9"/>
    <w:rsid w:val="004116B1"/>
    <w:rsid w:val="004116B3"/>
    <w:rsid w:val="004116C1"/>
    <w:rsid w:val="004116CD"/>
    <w:rsid w:val="004116D2"/>
    <w:rsid w:val="004116E2"/>
    <w:rsid w:val="004116F0"/>
    <w:rsid w:val="004116F3"/>
    <w:rsid w:val="00411726"/>
    <w:rsid w:val="0041172C"/>
    <w:rsid w:val="00411777"/>
    <w:rsid w:val="00411796"/>
    <w:rsid w:val="0041179D"/>
    <w:rsid w:val="004117C3"/>
    <w:rsid w:val="004117DB"/>
    <w:rsid w:val="00411842"/>
    <w:rsid w:val="00411852"/>
    <w:rsid w:val="0041186B"/>
    <w:rsid w:val="00411896"/>
    <w:rsid w:val="004118AA"/>
    <w:rsid w:val="004118C7"/>
    <w:rsid w:val="004118E0"/>
    <w:rsid w:val="00411993"/>
    <w:rsid w:val="004119A5"/>
    <w:rsid w:val="004119B1"/>
    <w:rsid w:val="004119F9"/>
    <w:rsid w:val="00411A0E"/>
    <w:rsid w:val="00411A3E"/>
    <w:rsid w:val="00411ACF"/>
    <w:rsid w:val="00411ADD"/>
    <w:rsid w:val="00411B2D"/>
    <w:rsid w:val="00411B74"/>
    <w:rsid w:val="00411B9B"/>
    <w:rsid w:val="00411BC4"/>
    <w:rsid w:val="00411BE9"/>
    <w:rsid w:val="00411BFB"/>
    <w:rsid w:val="00411C06"/>
    <w:rsid w:val="00411C21"/>
    <w:rsid w:val="00411C85"/>
    <w:rsid w:val="00411CC0"/>
    <w:rsid w:val="00411CC9"/>
    <w:rsid w:val="00411CD8"/>
    <w:rsid w:val="00411CE0"/>
    <w:rsid w:val="00411CEF"/>
    <w:rsid w:val="00411D3B"/>
    <w:rsid w:val="00411D58"/>
    <w:rsid w:val="00411D79"/>
    <w:rsid w:val="00411D80"/>
    <w:rsid w:val="00411DAB"/>
    <w:rsid w:val="00411DF2"/>
    <w:rsid w:val="00411DFD"/>
    <w:rsid w:val="00411E05"/>
    <w:rsid w:val="00411E08"/>
    <w:rsid w:val="00411E7F"/>
    <w:rsid w:val="00411EB9"/>
    <w:rsid w:val="00411EC4"/>
    <w:rsid w:val="00411ECC"/>
    <w:rsid w:val="00411F1D"/>
    <w:rsid w:val="00411F2D"/>
    <w:rsid w:val="00411F6E"/>
    <w:rsid w:val="00411F7F"/>
    <w:rsid w:val="00411FB3"/>
    <w:rsid w:val="00411FB5"/>
    <w:rsid w:val="00411FDB"/>
    <w:rsid w:val="00411FEC"/>
    <w:rsid w:val="00412007"/>
    <w:rsid w:val="00412046"/>
    <w:rsid w:val="0041207C"/>
    <w:rsid w:val="0041209C"/>
    <w:rsid w:val="004120A3"/>
    <w:rsid w:val="004120DE"/>
    <w:rsid w:val="004120EA"/>
    <w:rsid w:val="00412121"/>
    <w:rsid w:val="00412155"/>
    <w:rsid w:val="00412174"/>
    <w:rsid w:val="004121A1"/>
    <w:rsid w:val="004121AF"/>
    <w:rsid w:val="004121B5"/>
    <w:rsid w:val="00412201"/>
    <w:rsid w:val="00412205"/>
    <w:rsid w:val="00412233"/>
    <w:rsid w:val="00412239"/>
    <w:rsid w:val="00412254"/>
    <w:rsid w:val="004122EA"/>
    <w:rsid w:val="00412336"/>
    <w:rsid w:val="00412370"/>
    <w:rsid w:val="004123E4"/>
    <w:rsid w:val="004123F7"/>
    <w:rsid w:val="004123FD"/>
    <w:rsid w:val="00412406"/>
    <w:rsid w:val="00412428"/>
    <w:rsid w:val="0041249A"/>
    <w:rsid w:val="004124D1"/>
    <w:rsid w:val="00412503"/>
    <w:rsid w:val="0041253F"/>
    <w:rsid w:val="00412555"/>
    <w:rsid w:val="00412565"/>
    <w:rsid w:val="00412581"/>
    <w:rsid w:val="00412595"/>
    <w:rsid w:val="00412599"/>
    <w:rsid w:val="004125B1"/>
    <w:rsid w:val="004125C8"/>
    <w:rsid w:val="004125CC"/>
    <w:rsid w:val="004125FC"/>
    <w:rsid w:val="004125FE"/>
    <w:rsid w:val="00412605"/>
    <w:rsid w:val="00412612"/>
    <w:rsid w:val="0041266A"/>
    <w:rsid w:val="00412697"/>
    <w:rsid w:val="004126C4"/>
    <w:rsid w:val="00412733"/>
    <w:rsid w:val="00412742"/>
    <w:rsid w:val="0041275A"/>
    <w:rsid w:val="00412775"/>
    <w:rsid w:val="0041277A"/>
    <w:rsid w:val="0041277B"/>
    <w:rsid w:val="00412867"/>
    <w:rsid w:val="0041288C"/>
    <w:rsid w:val="004128CD"/>
    <w:rsid w:val="004128F3"/>
    <w:rsid w:val="00412943"/>
    <w:rsid w:val="00412956"/>
    <w:rsid w:val="0041295C"/>
    <w:rsid w:val="00412989"/>
    <w:rsid w:val="00412A5C"/>
    <w:rsid w:val="00412A6F"/>
    <w:rsid w:val="00412A79"/>
    <w:rsid w:val="00412A88"/>
    <w:rsid w:val="00412A8B"/>
    <w:rsid w:val="00412A9F"/>
    <w:rsid w:val="00412AE0"/>
    <w:rsid w:val="00412B1B"/>
    <w:rsid w:val="00412B2C"/>
    <w:rsid w:val="00412B3F"/>
    <w:rsid w:val="00412BA5"/>
    <w:rsid w:val="00412BE4"/>
    <w:rsid w:val="00412BF5"/>
    <w:rsid w:val="00412C1D"/>
    <w:rsid w:val="00412CA8"/>
    <w:rsid w:val="00412D6A"/>
    <w:rsid w:val="00412DA0"/>
    <w:rsid w:val="00412DA4"/>
    <w:rsid w:val="00412DE2"/>
    <w:rsid w:val="00412E17"/>
    <w:rsid w:val="00412E73"/>
    <w:rsid w:val="00412E80"/>
    <w:rsid w:val="00412ECE"/>
    <w:rsid w:val="00412ED8"/>
    <w:rsid w:val="00412F1A"/>
    <w:rsid w:val="00412F36"/>
    <w:rsid w:val="00412F54"/>
    <w:rsid w:val="00412F67"/>
    <w:rsid w:val="00412F91"/>
    <w:rsid w:val="00412FAB"/>
    <w:rsid w:val="00412FC1"/>
    <w:rsid w:val="00412FE0"/>
    <w:rsid w:val="0041300E"/>
    <w:rsid w:val="00413013"/>
    <w:rsid w:val="0041301A"/>
    <w:rsid w:val="00413061"/>
    <w:rsid w:val="00413111"/>
    <w:rsid w:val="004131DB"/>
    <w:rsid w:val="004131F4"/>
    <w:rsid w:val="004131F6"/>
    <w:rsid w:val="00413230"/>
    <w:rsid w:val="00413259"/>
    <w:rsid w:val="00413285"/>
    <w:rsid w:val="00413297"/>
    <w:rsid w:val="004132A5"/>
    <w:rsid w:val="004132E6"/>
    <w:rsid w:val="0041330E"/>
    <w:rsid w:val="0041336F"/>
    <w:rsid w:val="004133EA"/>
    <w:rsid w:val="00413402"/>
    <w:rsid w:val="0041340C"/>
    <w:rsid w:val="00413427"/>
    <w:rsid w:val="00413439"/>
    <w:rsid w:val="00413444"/>
    <w:rsid w:val="00413464"/>
    <w:rsid w:val="0041348C"/>
    <w:rsid w:val="0041349A"/>
    <w:rsid w:val="004134A0"/>
    <w:rsid w:val="00413563"/>
    <w:rsid w:val="004135D2"/>
    <w:rsid w:val="004135D4"/>
    <w:rsid w:val="004135E4"/>
    <w:rsid w:val="00413602"/>
    <w:rsid w:val="00413624"/>
    <w:rsid w:val="00413660"/>
    <w:rsid w:val="00413676"/>
    <w:rsid w:val="0041367F"/>
    <w:rsid w:val="004136CC"/>
    <w:rsid w:val="00413700"/>
    <w:rsid w:val="0041371C"/>
    <w:rsid w:val="00413742"/>
    <w:rsid w:val="0041374D"/>
    <w:rsid w:val="00413762"/>
    <w:rsid w:val="00413801"/>
    <w:rsid w:val="0041381D"/>
    <w:rsid w:val="00413843"/>
    <w:rsid w:val="00413879"/>
    <w:rsid w:val="004138A2"/>
    <w:rsid w:val="004138B2"/>
    <w:rsid w:val="004138C1"/>
    <w:rsid w:val="0041390D"/>
    <w:rsid w:val="0041392A"/>
    <w:rsid w:val="00413939"/>
    <w:rsid w:val="00413944"/>
    <w:rsid w:val="00413960"/>
    <w:rsid w:val="00413968"/>
    <w:rsid w:val="004139E5"/>
    <w:rsid w:val="00413A21"/>
    <w:rsid w:val="00413A47"/>
    <w:rsid w:val="00413A72"/>
    <w:rsid w:val="00413A87"/>
    <w:rsid w:val="00413B53"/>
    <w:rsid w:val="00413B61"/>
    <w:rsid w:val="00413B70"/>
    <w:rsid w:val="00413BAE"/>
    <w:rsid w:val="00413BCB"/>
    <w:rsid w:val="00413C0B"/>
    <w:rsid w:val="00413C27"/>
    <w:rsid w:val="00413C2C"/>
    <w:rsid w:val="00413C41"/>
    <w:rsid w:val="00413C65"/>
    <w:rsid w:val="00413CAB"/>
    <w:rsid w:val="00413CE1"/>
    <w:rsid w:val="00413CEC"/>
    <w:rsid w:val="00413CFE"/>
    <w:rsid w:val="00413D49"/>
    <w:rsid w:val="00413D6A"/>
    <w:rsid w:val="00413D6B"/>
    <w:rsid w:val="00413DAF"/>
    <w:rsid w:val="00413DD5"/>
    <w:rsid w:val="00413DF6"/>
    <w:rsid w:val="00413E47"/>
    <w:rsid w:val="00413E59"/>
    <w:rsid w:val="00413E65"/>
    <w:rsid w:val="00413EDA"/>
    <w:rsid w:val="00413F2A"/>
    <w:rsid w:val="00413F30"/>
    <w:rsid w:val="00413F38"/>
    <w:rsid w:val="00413F5D"/>
    <w:rsid w:val="00413F6F"/>
    <w:rsid w:val="00413F72"/>
    <w:rsid w:val="00413F74"/>
    <w:rsid w:val="00413FF1"/>
    <w:rsid w:val="0041401D"/>
    <w:rsid w:val="0041403B"/>
    <w:rsid w:val="0041404B"/>
    <w:rsid w:val="00414052"/>
    <w:rsid w:val="00414067"/>
    <w:rsid w:val="004140EE"/>
    <w:rsid w:val="00414125"/>
    <w:rsid w:val="00414169"/>
    <w:rsid w:val="0041416C"/>
    <w:rsid w:val="0041418E"/>
    <w:rsid w:val="00414192"/>
    <w:rsid w:val="004141AA"/>
    <w:rsid w:val="00414207"/>
    <w:rsid w:val="0041420C"/>
    <w:rsid w:val="00414216"/>
    <w:rsid w:val="00414241"/>
    <w:rsid w:val="00414266"/>
    <w:rsid w:val="004142D2"/>
    <w:rsid w:val="00414315"/>
    <w:rsid w:val="00414342"/>
    <w:rsid w:val="00414380"/>
    <w:rsid w:val="0041439B"/>
    <w:rsid w:val="004143E4"/>
    <w:rsid w:val="00414407"/>
    <w:rsid w:val="00414431"/>
    <w:rsid w:val="00414437"/>
    <w:rsid w:val="004144A0"/>
    <w:rsid w:val="004144C1"/>
    <w:rsid w:val="004144C3"/>
    <w:rsid w:val="004144C4"/>
    <w:rsid w:val="004144C8"/>
    <w:rsid w:val="0041456A"/>
    <w:rsid w:val="00414586"/>
    <w:rsid w:val="004145C0"/>
    <w:rsid w:val="004145F7"/>
    <w:rsid w:val="00414600"/>
    <w:rsid w:val="00414611"/>
    <w:rsid w:val="00414652"/>
    <w:rsid w:val="004146DF"/>
    <w:rsid w:val="004146F1"/>
    <w:rsid w:val="00414771"/>
    <w:rsid w:val="00414785"/>
    <w:rsid w:val="004147A1"/>
    <w:rsid w:val="004147B2"/>
    <w:rsid w:val="004147C2"/>
    <w:rsid w:val="004147D0"/>
    <w:rsid w:val="0041487A"/>
    <w:rsid w:val="0041487C"/>
    <w:rsid w:val="0041488D"/>
    <w:rsid w:val="004148B1"/>
    <w:rsid w:val="004148C6"/>
    <w:rsid w:val="00414929"/>
    <w:rsid w:val="0041493F"/>
    <w:rsid w:val="0041494B"/>
    <w:rsid w:val="00414950"/>
    <w:rsid w:val="0041497A"/>
    <w:rsid w:val="00414984"/>
    <w:rsid w:val="004149A2"/>
    <w:rsid w:val="004149D4"/>
    <w:rsid w:val="004149EC"/>
    <w:rsid w:val="00414A08"/>
    <w:rsid w:val="00414A33"/>
    <w:rsid w:val="00414AB6"/>
    <w:rsid w:val="00414ABF"/>
    <w:rsid w:val="00414AC9"/>
    <w:rsid w:val="00414B37"/>
    <w:rsid w:val="00414B4B"/>
    <w:rsid w:val="00414B87"/>
    <w:rsid w:val="00414B9B"/>
    <w:rsid w:val="00414BF2"/>
    <w:rsid w:val="00414C07"/>
    <w:rsid w:val="00414C62"/>
    <w:rsid w:val="00414CA7"/>
    <w:rsid w:val="00414CA9"/>
    <w:rsid w:val="00414CAC"/>
    <w:rsid w:val="00414CAE"/>
    <w:rsid w:val="00414CC6"/>
    <w:rsid w:val="00414CD8"/>
    <w:rsid w:val="00414CE8"/>
    <w:rsid w:val="00414D46"/>
    <w:rsid w:val="00414D7A"/>
    <w:rsid w:val="00414D7B"/>
    <w:rsid w:val="00414E27"/>
    <w:rsid w:val="00414E3A"/>
    <w:rsid w:val="00414E86"/>
    <w:rsid w:val="00414E96"/>
    <w:rsid w:val="00414E97"/>
    <w:rsid w:val="00414E9A"/>
    <w:rsid w:val="00414EF7"/>
    <w:rsid w:val="00414F36"/>
    <w:rsid w:val="00414F48"/>
    <w:rsid w:val="00414F91"/>
    <w:rsid w:val="00414FBB"/>
    <w:rsid w:val="00414FDB"/>
    <w:rsid w:val="00414FE3"/>
    <w:rsid w:val="00414FF3"/>
    <w:rsid w:val="00414FF6"/>
    <w:rsid w:val="00414FFB"/>
    <w:rsid w:val="0041505B"/>
    <w:rsid w:val="004150AB"/>
    <w:rsid w:val="004150BB"/>
    <w:rsid w:val="004150F2"/>
    <w:rsid w:val="00415126"/>
    <w:rsid w:val="004151BA"/>
    <w:rsid w:val="004151E7"/>
    <w:rsid w:val="00415256"/>
    <w:rsid w:val="004152D0"/>
    <w:rsid w:val="004152E0"/>
    <w:rsid w:val="0041531B"/>
    <w:rsid w:val="00415334"/>
    <w:rsid w:val="00415348"/>
    <w:rsid w:val="00415367"/>
    <w:rsid w:val="00415387"/>
    <w:rsid w:val="00415399"/>
    <w:rsid w:val="0041539D"/>
    <w:rsid w:val="004153B6"/>
    <w:rsid w:val="004153BA"/>
    <w:rsid w:val="004153BB"/>
    <w:rsid w:val="004153C7"/>
    <w:rsid w:val="004153E3"/>
    <w:rsid w:val="0041540C"/>
    <w:rsid w:val="004154A7"/>
    <w:rsid w:val="00415527"/>
    <w:rsid w:val="004155C9"/>
    <w:rsid w:val="00415616"/>
    <w:rsid w:val="00415633"/>
    <w:rsid w:val="0041563E"/>
    <w:rsid w:val="0041567E"/>
    <w:rsid w:val="0041569D"/>
    <w:rsid w:val="004156EC"/>
    <w:rsid w:val="00415706"/>
    <w:rsid w:val="00415773"/>
    <w:rsid w:val="0041579C"/>
    <w:rsid w:val="004157AF"/>
    <w:rsid w:val="004157B9"/>
    <w:rsid w:val="004157E0"/>
    <w:rsid w:val="004157EE"/>
    <w:rsid w:val="004157FD"/>
    <w:rsid w:val="00415804"/>
    <w:rsid w:val="00415828"/>
    <w:rsid w:val="0041583E"/>
    <w:rsid w:val="00415855"/>
    <w:rsid w:val="00415863"/>
    <w:rsid w:val="004158AD"/>
    <w:rsid w:val="004158AF"/>
    <w:rsid w:val="004158D9"/>
    <w:rsid w:val="004158F1"/>
    <w:rsid w:val="004158F7"/>
    <w:rsid w:val="00415911"/>
    <w:rsid w:val="00415924"/>
    <w:rsid w:val="00415945"/>
    <w:rsid w:val="0041597C"/>
    <w:rsid w:val="0041597D"/>
    <w:rsid w:val="00415990"/>
    <w:rsid w:val="004159A6"/>
    <w:rsid w:val="004159B2"/>
    <w:rsid w:val="004159F7"/>
    <w:rsid w:val="00415A19"/>
    <w:rsid w:val="00415A3A"/>
    <w:rsid w:val="00415A59"/>
    <w:rsid w:val="00415A7A"/>
    <w:rsid w:val="00415ADD"/>
    <w:rsid w:val="00415AEE"/>
    <w:rsid w:val="00415AEF"/>
    <w:rsid w:val="00415AFA"/>
    <w:rsid w:val="00415B4F"/>
    <w:rsid w:val="00415B69"/>
    <w:rsid w:val="00415C1C"/>
    <w:rsid w:val="00415C37"/>
    <w:rsid w:val="00415C3B"/>
    <w:rsid w:val="00415C46"/>
    <w:rsid w:val="00415C4A"/>
    <w:rsid w:val="00415C9F"/>
    <w:rsid w:val="00415CD3"/>
    <w:rsid w:val="00415CE9"/>
    <w:rsid w:val="00415CF6"/>
    <w:rsid w:val="00415D01"/>
    <w:rsid w:val="00415D22"/>
    <w:rsid w:val="00415D2B"/>
    <w:rsid w:val="00415D31"/>
    <w:rsid w:val="00415D5B"/>
    <w:rsid w:val="00415D64"/>
    <w:rsid w:val="00415DAB"/>
    <w:rsid w:val="00415E14"/>
    <w:rsid w:val="00415E1F"/>
    <w:rsid w:val="00415E94"/>
    <w:rsid w:val="00415E99"/>
    <w:rsid w:val="00415EB6"/>
    <w:rsid w:val="00415EC2"/>
    <w:rsid w:val="00415EDE"/>
    <w:rsid w:val="00415F10"/>
    <w:rsid w:val="00415F1A"/>
    <w:rsid w:val="00415F32"/>
    <w:rsid w:val="00415F37"/>
    <w:rsid w:val="00415F4D"/>
    <w:rsid w:val="00415F77"/>
    <w:rsid w:val="00415F7E"/>
    <w:rsid w:val="00415F9B"/>
    <w:rsid w:val="00415FCA"/>
    <w:rsid w:val="00415FE3"/>
    <w:rsid w:val="00416022"/>
    <w:rsid w:val="00416028"/>
    <w:rsid w:val="0041602B"/>
    <w:rsid w:val="00416036"/>
    <w:rsid w:val="0041605F"/>
    <w:rsid w:val="00416084"/>
    <w:rsid w:val="004160B0"/>
    <w:rsid w:val="004160E7"/>
    <w:rsid w:val="004160F7"/>
    <w:rsid w:val="00416140"/>
    <w:rsid w:val="00416157"/>
    <w:rsid w:val="00416162"/>
    <w:rsid w:val="0041617F"/>
    <w:rsid w:val="00416182"/>
    <w:rsid w:val="00416194"/>
    <w:rsid w:val="0041624B"/>
    <w:rsid w:val="0041627D"/>
    <w:rsid w:val="00416291"/>
    <w:rsid w:val="0041629F"/>
    <w:rsid w:val="004162CB"/>
    <w:rsid w:val="004162E2"/>
    <w:rsid w:val="00416322"/>
    <w:rsid w:val="00416360"/>
    <w:rsid w:val="0041637C"/>
    <w:rsid w:val="0041645B"/>
    <w:rsid w:val="0041646B"/>
    <w:rsid w:val="0041647D"/>
    <w:rsid w:val="00416495"/>
    <w:rsid w:val="0041649D"/>
    <w:rsid w:val="00416501"/>
    <w:rsid w:val="0041650C"/>
    <w:rsid w:val="00416518"/>
    <w:rsid w:val="00416598"/>
    <w:rsid w:val="0041659E"/>
    <w:rsid w:val="004165B4"/>
    <w:rsid w:val="004165B6"/>
    <w:rsid w:val="004165CC"/>
    <w:rsid w:val="004165DB"/>
    <w:rsid w:val="00416650"/>
    <w:rsid w:val="00416655"/>
    <w:rsid w:val="004166A3"/>
    <w:rsid w:val="004166BE"/>
    <w:rsid w:val="004166F0"/>
    <w:rsid w:val="00416701"/>
    <w:rsid w:val="0041671C"/>
    <w:rsid w:val="0041676E"/>
    <w:rsid w:val="00416783"/>
    <w:rsid w:val="00416792"/>
    <w:rsid w:val="004167A3"/>
    <w:rsid w:val="004167A6"/>
    <w:rsid w:val="004167B3"/>
    <w:rsid w:val="004167B6"/>
    <w:rsid w:val="004167E5"/>
    <w:rsid w:val="00416801"/>
    <w:rsid w:val="00416805"/>
    <w:rsid w:val="00416865"/>
    <w:rsid w:val="0041686A"/>
    <w:rsid w:val="004168D0"/>
    <w:rsid w:val="00416902"/>
    <w:rsid w:val="0041691F"/>
    <w:rsid w:val="00416922"/>
    <w:rsid w:val="0041695E"/>
    <w:rsid w:val="00416996"/>
    <w:rsid w:val="0041699A"/>
    <w:rsid w:val="004169C5"/>
    <w:rsid w:val="004169C6"/>
    <w:rsid w:val="004169FF"/>
    <w:rsid w:val="00416AA4"/>
    <w:rsid w:val="00416AA9"/>
    <w:rsid w:val="00416B39"/>
    <w:rsid w:val="00416B85"/>
    <w:rsid w:val="00416BC1"/>
    <w:rsid w:val="00416BDC"/>
    <w:rsid w:val="00416BFD"/>
    <w:rsid w:val="00416C06"/>
    <w:rsid w:val="00416C09"/>
    <w:rsid w:val="00416CB0"/>
    <w:rsid w:val="00416CB1"/>
    <w:rsid w:val="00416D55"/>
    <w:rsid w:val="00416D6D"/>
    <w:rsid w:val="00416D8E"/>
    <w:rsid w:val="00416DE0"/>
    <w:rsid w:val="00416E26"/>
    <w:rsid w:val="00416E3A"/>
    <w:rsid w:val="00416E54"/>
    <w:rsid w:val="00416E7C"/>
    <w:rsid w:val="00416E8D"/>
    <w:rsid w:val="00416EF6"/>
    <w:rsid w:val="00416F17"/>
    <w:rsid w:val="00416F47"/>
    <w:rsid w:val="00416F59"/>
    <w:rsid w:val="00416FD0"/>
    <w:rsid w:val="00416FDD"/>
    <w:rsid w:val="00416FEC"/>
    <w:rsid w:val="0041706A"/>
    <w:rsid w:val="0041707C"/>
    <w:rsid w:val="004170A7"/>
    <w:rsid w:val="004170B1"/>
    <w:rsid w:val="004170D2"/>
    <w:rsid w:val="004170DB"/>
    <w:rsid w:val="004170F7"/>
    <w:rsid w:val="00417121"/>
    <w:rsid w:val="0041714E"/>
    <w:rsid w:val="004171BE"/>
    <w:rsid w:val="004171DD"/>
    <w:rsid w:val="004171DE"/>
    <w:rsid w:val="00417226"/>
    <w:rsid w:val="00417260"/>
    <w:rsid w:val="00417279"/>
    <w:rsid w:val="004172B6"/>
    <w:rsid w:val="004172B9"/>
    <w:rsid w:val="004172CD"/>
    <w:rsid w:val="004172EF"/>
    <w:rsid w:val="00417302"/>
    <w:rsid w:val="0041741D"/>
    <w:rsid w:val="0041742D"/>
    <w:rsid w:val="00417474"/>
    <w:rsid w:val="00417507"/>
    <w:rsid w:val="00417509"/>
    <w:rsid w:val="0041750A"/>
    <w:rsid w:val="0041753A"/>
    <w:rsid w:val="00417572"/>
    <w:rsid w:val="004175C3"/>
    <w:rsid w:val="00417616"/>
    <w:rsid w:val="00417668"/>
    <w:rsid w:val="004176BC"/>
    <w:rsid w:val="00417735"/>
    <w:rsid w:val="00417774"/>
    <w:rsid w:val="00417777"/>
    <w:rsid w:val="00417788"/>
    <w:rsid w:val="004177AD"/>
    <w:rsid w:val="004177BB"/>
    <w:rsid w:val="004177D6"/>
    <w:rsid w:val="00417816"/>
    <w:rsid w:val="00417824"/>
    <w:rsid w:val="00417828"/>
    <w:rsid w:val="0041782B"/>
    <w:rsid w:val="00417839"/>
    <w:rsid w:val="0041785C"/>
    <w:rsid w:val="004178CF"/>
    <w:rsid w:val="0041790F"/>
    <w:rsid w:val="00417982"/>
    <w:rsid w:val="004179C1"/>
    <w:rsid w:val="004179D4"/>
    <w:rsid w:val="004179DF"/>
    <w:rsid w:val="004179E4"/>
    <w:rsid w:val="00417A11"/>
    <w:rsid w:val="00417A52"/>
    <w:rsid w:val="00417A6C"/>
    <w:rsid w:val="00417A84"/>
    <w:rsid w:val="00417A98"/>
    <w:rsid w:val="00417AA3"/>
    <w:rsid w:val="00417AA6"/>
    <w:rsid w:val="00417B22"/>
    <w:rsid w:val="00417B89"/>
    <w:rsid w:val="00417BC0"/>
    <w:rsid w:val="00417C33"/>
    <w:rsid w:val="00417C3F"/>
    <w:rsid w:val="00417C44"/>
    <w:rsid w:val="00417C4E"/>
    <w:rsid w:val="00417C5A"/>
    <w:rsid w:val="00417CA3"/>
    <w:rsid w:val="00417CAC"/>
    <w:rsid w:val="00417CDB"/>
    <w:rsid w:val="00417CFF"/>
    <w:rsid w:val="00417D18"/>
    <w:rsid w:val="00417D2E"/>
    <w:rsid w:val="00417D8C"/>
    <w:rsid w:val="00417DBF"/>
    <w:rsid w:val="00417DC3"/>
    <w:rsid w:val="00417E82"/>
    <w:rsid w:val="00417F0A"/>
    <w:rsid w:val="00417F33"/>
    <w:rsid w:val="00417F36"/>
    <w:rsid w:val="00417F92"/>
    <w:rsid w:val="00417F99"/>
    <w:rsid w:val="00417FB7"/>
    <w:rsid w:val="00417FCD"/>
    <w:rsid w:val="00417FDC"/>
    <w:rsid w:val="00420006"/>
    <w:rsid w:val="00420012"/>
    <w:rsid w:val="00420056"/>
    <w:rsid w:val="00420057"/>
    <w:rsid w:val="00420062"/>
    <w:rsid w:val="00420077"/>
    <w:rsid w:val="00420079"/>
    <w:rsid w:val="004200CE"/>
    <w:rsid w:val="00420105"/>
    <w:rsid w:val="004201AB"/>
    <w:rsid w:val="004201CC"/>
    <w:rsid w:val="004201F0"/>
    <w:rsid w:val="00420204"/>
    <w:rsid w:val="0042021A"/>
    <w:rsid w:val="00420225"/>
    <w:rsid w:val="00420227"/>
    <w:rsid w:val="00420231"/>
    <w:rsid w:val="00420244"/>
    <w:rsid w:val="00420248"/>
    <w:rsid w:val="0042028B"/>
    <w:rsid w:val="00420290"/>
    <w:rsid w:val="004202D5"/>
    <w:rsid w:val="004202E0"/>
    <w:rsid w:val="0042033D"/>
    <w:rsid w:val="004203C1"/>
    <w:rsid w:val="00420415"/>
    <w:rsid w:val="00420466"/>
    <w:rsid w:val="00420471"/>
    <w:rsid w:val="004204AD"/>
    <w:rsid w:val="004204C1"/>
    <w:rsid w:val="00420533"/>
    <w:rsid w:val="004205B5"/>
    <w:rsid w:val="004205C5"/>
    <w:rsid w:val="004205C6"/>
    <w:rsid w:val="004205ED"/>
    <w:rsid w:val="00420629"/>
    <w:rsid w:val="00420635"/>
    <w:rsid w:val="00420645"/>
    <w:rsid w:val="0042065E"/>
    <w:rsid w:val="00420660"/>
    <w:rsid w:val="004206C5"/>
    <w:rsid w:val="004206E1"/>
    <w:rsid w:val="0042075E"/>
    <w:rsid w:val="00420760"/>
    <w:rsid w:val="00420771"/>
    <w:rsid w:val="0042077B"/>
    <w:rsid w:val="004207A4"/>
    <w:rsid w:val="004207C3"/>
    <w:rsid w:val="004207F1"/>
    <w:rsid w:val="00420800"/>
    <w:rsid w:val="00420828"/>
    <w:rsid w:val="00420868"/>
    <w:rsid w:val="0042087C"/>
    <w:rsid w:val="00420904"/>
    <w:rsid w:val="0042099B"/>
    <w:rsid w:val="004209B5"/>
    <w:rsid w:val="00420A11"/>
    <w:rsid w:val="00420A3A"/>
    <w:rsid w:val="00420A53"/>
    <w:rsid w:val="00420A7D"/>
    <w:rsid w:val="00420A86"/>
    <w:rsid w:val="00420A97"/>
    <w:rsid w:val="00420B43"/>
    <w:rsid w:val="00420B75"/>
    <w:rsid w:val="00420B99"/>
    <w:rsid w:val="00420BA1"/>
    <w:rsid w:val="00420BC5"/>
    <w:rsid w:val="00420BD3"/>
    <w:rsid w:val="00420BDA"/>
    <w:rsid w:val="00420C0B"/>
    <w:rsid w:val="00420C25"/>
    <w:rsid w:val="00420C4B"/>
    <w:rsid w:val="00420C62"/>
    <w:rsid w:val="00420C79"/>
    <w:rsid w:val="00420C9A"/>
    <w:rsid w:val="00420CD6"/>
    <w:rsid w:val="00420CF0"/>
    <w:rsid w:val="00420D3E"/>
    <w:rsid w:val="00420D84"/>
    <w:rsid w:val="00420DC6"/>
    <w:rsid w:val="00420DDE"/>
    <w:rsid w:val="00420DDF"/>
    <w:rsid w:val="00420DE5"/>
    <w:rsid w:val="00420E0D"/>
    <w:rsid w:val="00420E61"/>
    <w:rsid w:val="00420EC2"/>
    <w:rsid w:val="00420EDF"/>
    <w:rsid w:val="00420EE9"/>
    <w:rsid w:val="00420F04"/>
    <w:rsid w:val="00420F34"/>
    <w:rsid w:val="00420F40"/>
    <w:rsid w:val="00420FA4"/>
    <w:rsid w:val="00420FBA"/>
    <w:rsid w:val="00420FCF"/>
    <w:rsid w:val="00420FEB"/>
    <w:rsid w:val="0042102C"/>
    <w:rsid w:val="00421080"/>
    <w:rsid w:val="00421084"/>
    <w:rsid w:val="004210A6"/>
    <w:rsid w:val="00421106"/>
    <w:rsid w:val="00421111"/>
    <w:rsid w:val="0042115B"/>
    <w:rsid w:val="00421160"/>
    <w:rsid w:val="0042116A"/>
    <w:rsid w:val="004211B4"/>
    <w:rsid w:val="004211F7"/>
    <w:rsid w:val="004211FC"/>
    <w:rsid w:val="00421211"/>
    <w:rsid w:val="00421291"/>
    <w:rsid w:val="004212CB"/>
    <w:rsid w:val="004212D3"/>
    <w:rsid w:val="00421305"/>
    <w:rsid w:val="00421318"/>
    <w:rsid w:val="0042132B"/>
    <w:rsid w:val="00421348"/>
    <w:rsid w:val="004213C7"/>
    <w:rsid w:val="004213CD"/>
    <w:rsid w:val="004213FD"/>
    <w:rsid w:val="00421400"/>
    <w:rsid w:val="00421404"/>
    <w:rsid w:val="0042140E"/>
    <w:rsid w:val="0042142D"/>
    <w:rsid w:val="0042143A"/>
    <w:rsid w:val="0042144C"/>
    <w:rsid w:val="00421456"/>
    <w:rsid w:val="00421477"/>
    <w:rsid w:val="004214A0"/>
    <w:rsid w:val="004214C2"/>
    <w:rsid w:val="004214C8"/>
    <w:rsid w:val="004214FE"/>
    <w:rsid w:val="0042150A"/>
    <w:rsid w:val="00421511"/>
    <w:rsid w:val="00421583"/>
    <w:rsid w:val="0042159E"/>
    <w:rsid w:val="004215A2"/>
    <w:rsid w:val="004215B1"/>
    <w:rsid w:val="00421603"/>
    <w:rsid w:val="00421605"/>
    <w:rsid w:val="00421619"/>
    <w:rsid w:val="0042162B"/>
    <w:rsid w:val="00421661"/>
    <w:rsid w:val="0042166C"/>
    <w:rsid w:val="0042168A"/>
    <w:rsid w:val="0042169F"/>
    <w:rsid w:val="004216B8"/>
    <w:rsid w:val="004216CD"/>
    <w:rsid w:val="00421755"/>
    <w:rsid w:val="00421760"/>
    <w:rsid w:val="00421794"/>
    <w:rsid w:val="004217FB"/>
    <w:rsid w:val="004217FF"/>
    <w:rsid w:val="00421816"/>
    <w:rsid w:val="00421835"/>
    <w:rsid w:val="0042183E"/>
    <w:rsid w:val="0042183F"/>
    <w:rsid w:val="0042187F"/>
    <w:rsid w:val="00421954"/>
    <w:rsid w:val="00421984"/>
    <w:rsid w:val="004219BC"/>
    <w:rsid w:val="004219D8"/>
    <w:rsid w:val="00421A2B"/>
    <w:rsid w:val="00421A36"/>
    <w:rsid w:val="00421A49"/>
    <w:rsid w:val="00421A59"/>
    <w:rsid w:val="00421A9B"/>
    <w:rsid w:val="00421B1C"/>
    <w:rsid w:val="00421B25"/>
    <w:rsid w:val="00421B32"/>
    <w:rsid w:val="00421B5E"/>
    <w:rsid w:val="00421B73"/>
    <w:rsid w:val="00421B81"/>
    <w:rsid w:val="00421B90"/>
    <w:rsid w:val="00421BBE"/>
    <w:rsid w:val="00421BC5"/>
    <w:rsid w:val="00421BD9"/>
    <w:rsid w:val="00421BFF"/>
    <w:rsid w:val="00421C22"/>
    <w:rsid w:val="00421C35"/>
    <w:rsid w:val="00421C50"/>
    <w:rsid w:val="00421C74"/>
    <w:rsid w:val="00421CA8"/>
    <w:rsid w:val="00421CB9"/>
    <w:rsid w:val="00421CD6"/>
    <w:rsid w:val="00421D3B"/>
    <w:rsid w:val="00421D82"/>
    <w:rsid w:val="00421DE3"/>
    <w:rsid w:val="00421DF7"/>
    <w:rsid w:val="00421E3E"/>
    <w:rsid w:val="00421E79"/>
    <w:rsid w:val="00421EA5"/>
    <w:rsid w:val="00421EB3"/>
    <w:rsid w:val="00421EFB"/>
    <w:rsid w:val="00421F46"/>
    <w:rsid w:val="00421F5E"/>
    <w:rsid w:val="00421F7A"/>
    <w:rsid w:val="00421F95"/>
    <w:rsid w:val="00421F9C"/>
    <w:rsid w:val="00421FB7"/>
    <w:rsid w:val="00421FC7"/>
    <w:rsid w:val="00421FF2"/>
    <w:rsid w:val="00421FFF"/>
    <w:rsid w:val="00422008"/>
    <w:rsid w:val="00422014"/>
    <w:rsid w:val="00422017"/>
    <w:rsid w:val="0042203E"/>
    <w:rsid w:val="00422060"/>
    <w:rsid w:val="0042209C"/>
    <w:rsid w:val="004220CB"/>
    <w:rsid w:val="004220EF"/>
    <w:rsid w:val="0042210E"/>
    <w:rsid w:val="0042211D"/>
    <w:rsid w:val="0042216E"/>
    <w:rsid w:val="0042217A"/>
    <w:rsid w:val="0042217C"/>
    <w:rsid w:val="00422187"/>
    <w:rsid w:val="004221AB"/>
    <w:rsid w:val="004221D0"/>
    <w:rsid w:val="004221F7"/>
    <w:rsid w:val="00422250"/>
    <w:rsid w:val="004222E1"/>
    <w:rsid w:val="004222FA"/>
    <w:rsid w:val="00422301"/>
    <w:rsid w:val="00422325"/>
    <w:rsid w:val="00422334"/>
    <w:rsid w:val="0042234B"/>
    <w:rsid w:val="0042234D"/>
    <w:rsid w:val="0042238B"/>
    <w:rsid w:val="004223AD"/>
    <w:rsid w:val="004223C4"/>
    <w:rsid w:val="004223C5"/>
    <w:rsid w:val="004223CA"/>
    <w:rsid w:val="004223EE"/>
    <w:rsid w:val="004223F3"/>
    <w:rsid w:val="0042241F"/>
    <w:rsid w:val="00422429"/>
    <w:rsid w:val="00422447"/>
    <w:rsid w:val="00422474"/>
    <w:rsid w:val="004224E6"/>
    <w:rsid w:val="00422564"/>
    <w:rsid w:val="00422566"/>
    <w:rsid w:val="0042257E"/>
    <w:rsid w:val="00422591"/>
    <w:rsid w:val="004225BE"/>
    <w:rsid w:val="004225E2"/>
    <w:rsid w:val="0042260C"/>
    <w:rsid w:val="00422632"/>
    <w:rsid w:val="0042264A"/>
    <w:rsid w:val="0042264B"/>
    <w:rsid w:val="00422655"/>
    <w:rsid w:val="00422697"/>
    <w:rsid w:val="004226B8"/>
    <w:rsid w:val="004226D6"/>
    <w:rsid w:val="004226E4"/>
    <w:rsid w:val="004226EA"/>
    <w:rsid w:val="004226F2"/>
    <w:rsid w:val="004226FB"/>
    <w:rsid w:val="00422705"/>
    <w:rsid w:val="0042272A"/>
    <w:rsid w:val="00422769"/>
    <w:rsid w:val="00422774"/>
    <w:rsid w:val="0042277A"/>
    <w:rsid w:val="00422788"/>
    <w:rsid w:val="00422793"/>
    <w:rsid w:val="004227C0"/>
    <w:rsid w:val="00422846"/>
    <w:rsid w:val="004228DE"/>
    <w:rsid w:val="00422900"/>
    <w:rsid w:val="0042290E"/>
    <w:rsid w:val="00422919"/>
    <w:rsid w:val="00422947"/>
    <w:rsid w:val="00422953"/>
    <w:rsid w:val="0042295B"/>
    <w:rsid w:val="00422974"/>
    <w:rsid w:val="0042298D"/>
    <w:rsid w:val="004229A8"/>
    <w:rsid w:val="004229C1"/>
    <w:rsid w:val="00422A64"/>
    <w:rsid w:val="00422A65"/>
    <w:rsid w:val="00422A74"/>
    <w:rsid w:val="00422B17"/>
    <w:rsid w:val="00422B3A"/>
    <w:rsid w:val="00422B65"/>
    <w:rsid w:val="00422B99"/>
    <w:rsid w:val="00422BDF"/>
    <w:rsid w:val="00422BF1"/>
    <w:rsid w:val="00422C0B"/>
    <w:rsid w:val="00422C1D"/>
    <w:rsid w:val="00422C47"/>
    <w:rsid w:val="00422C9E"/>
    <w:rsid w:val="00422CAC"/>
    <w:rsid w:val="00422CC8"/>
    <w:rsid w:val="00422CF1"/>
    <w:rsid w:val="00422D08"/>
    <w:rsid w:val="00422D0D"/>
    <w:rsid w:val="00422D88"/>
    <w:rsid w:val="00422DBD"/>
    <w:rsid w:val="00422DC4"/>
    <w:rsid w:val="00422DD8"/>
    <w:rsid w:val="00422DEA"/>
    <w:rsid w:val="00422DF6"/>
    <w:rsid w:val="00422E07"/>
    <w:rsid w:val="00422E84"/>
    <w:rsid w:val="00422E8E"/>
    <w:rsid w:val="00422E9D"/>
    <w:rsid w:val="00422F17"/>
    <w:rsid w:val="00422F27"/>
    <w:rsid w:val="00422F40"/>
    <w:rsid w:val="00422F46"/>
    <w:rsid w:val="00422F95"/>
    <w:rsid w:val="00422FAB"/>
    <w:rsid w:val="00422FD3"/>
    <w:rsid w:val="00423004"/>
    <w:rsid w:val="0042302E"/>
    <w:rsid w:val="00423054"/>
    <w:rsid w:val="0042305F"/>
    <w:rsid w:val="0042306D"/>
    <w:rsid w:val="004230B2"/>
    <w:rsid w:val="004230B3"/>
    <w:rsid w:val="004230BE"/>
    <w:rsid w:val="004230C4"/>
    <w:rsid w:val="0042311F"/>
    <w:rsid w:val="00423138"/>
    <w:rsid w:val="00423193"/>
    <w:rsid w:val="004231DF"/>
    <w:rsid w:val="004231E3"/>
    <w:rsid w:val="004231EA"/>
    <w:rsid w:val="0042324C"/>
    <w:rsid w:val="00423260"/>
    <w:rsid w:val="004232AA"/>
    <w:rsid w:val="004232AC"/>
    <w:rsid w:val="004232C6"/>
    <w:rsid w:val="0042333B"/>
    <w:rsid w:val="00423344"/>
    <w:rsid w:val="00423399"/>
    <w:rsid w:val="004233E6"/>
    <w:rsid w:val="004233ED"/>
    <w:rsid w:val="004233F6"/>
    <w:rsid w:val="0042345F"/>
    <w:rsid w:val="00423482"/>
    <w:rsid w:val="004234C0"/>
    <w:rsid w:val="004234E0"/>
    <w:rsid w:val="00423514"/>
    <w:rsid w:val="00423521"/>
    <w:rsid w:val="00423538"/>
    <w:rsid w:val="00423552"/>
    <w:rsid w:val="0042356F"/>
    <w:rsid w:val="00423570"/>
    <w:rsid w:val="004235AB"/>
    <w:rsid w:val="004235B5"/>
    <w:rsid w:val="0042360A"/>
    <w:rsid w:val="0042362B"/>
    <w:rsid w:val="0042362F"/>
    <w:rsid w:val="00423665"/>
    <w:rsid w:val="00423673"/>
    <w:rsid w:val="00423698"/>
    <w:rsid w:val="004236C8"/>
    <w:rsid w:val="004236D1"/>
    <w:rsid w:val="004236F9"/>
    <w:rsid w:val="004236FB"/>
    <w:rsid w:val="0042372C"/>
    <w:rsid w:val="00423751"/>
    <w:rsid w:val="00423760"/>
    <w:rsid w:val="004237B7"/>
    <w:rsid w:val="004237E0"/>
    <w:rsid w:val="004237E7"/>
    <w:rsid w:val="004237FF"/>
    <w:rsid w:val="0042383F"/>
    <w:rsid w:val="00423842"/>
    <w:rsid w:val="0042384F"/>
    <w:rsid w:val="00423893"/>
    <w:rsid w:val="004238A4"/>
    <w:rsid w:val="004238FB"/>
    <w:rsid w:val="00423906"/>
    <w:rsid w:val="0042390C"/>
    <w:rsid w:val="0042393D"/>
    <w:rsid w:val="0042396D"/>
    <w:rsid w:val="004239FD"/>
    <w:rsid w:val="00423A0F"/>
    <w:rsid w:val="00423A4A"/>
    <w:rsid w:val="00423AA2"/>
    <w:rsid w:val="00423AA5"/>
    <w:rsid w:val="00423ABB"/>
    <w:rsid w:val="00423AFB"/>
    <w:rsid w:val="00423B0F"/>
    <w:rsid w:val="00423B4E"/>
    <w:rsid w:val="00423B5B"/>
    <w:rsid w:val="00423B85"/>
    <w:rsid w:val="00423B9C"/>
    <w:rsid w:val="00423BA2"/>
    <w:rsid w:val="00423BB9"/>
    <w:rsid w:val="00423C57"/>
    <w:rsid w:val="00423C65"/>
    <w:rsid w:val="00423CF4"/>
    <w:rsid w:val="00423D1F"/>
    <w:rsid w:val="00423D53"/>
    <w:rsid w:val="00423D7E"/>
    <w:rsid w:val="00423D9E"/>
    <w:rsid w:val="00423E0A"/>
    <w:rsid w:val="00423E30"/>
    <w:rsid w:val="00423E56"/>
    <w:rsid w:val="00423E81"/>
    <w:rsid w:val="00423E88"/>
    <w:rsid w:val="00423E8F"/>
    <w:rsid w:val="00423EA5"/>
    <w:rsid w:val="00423EBA"/>
    <w:rsid w:val="00423EDE"/>
    <w:rsid w:val="00423F01"/>
    <w:rsid w:val="00423F48"/>
    <w:rsid w:val="00423F55"/>
    <w:rsid w:val="00423F64"/>
    <w:rsid w:val="00423F82"/>
    <w:rsid w:val="00423F8C"/>
    <w:rsid w:val="00423FD0"/>
    <w:rsid w:val="00423FDD"/>
    <w:rsid w:val="00423FF7"/>
    <w:rsid w:val="00424068"/>
    <w:rsid w:val="0042406C"/>
    <w:rsid w:val="00424093"/>
    <w:rsid w:val="00424095"/>
    <w:rsid w:val="004240A6"/>
    <w:rsid w:val="004240A7"/>
    <w:rsid w:val="004240C4"/>
    <w:rsid w:val="004240D5"/>
    <w:rsid w:val="004240ED"/>
    <w:rsid w:val="004240F7"/>
    <w:rsid w:val="004240FB"/>
    <w:rsid w:val="0042411B"/>
    <w:rsid w:val="0042413B"/>
    <w:rsid w:val="00424140"/>
    <w:rsid w:val="0042414E"/>
    <w:rsid w:val="0042415D"/>
    <w:rsid w:val="0042417E"/>
    <w:rsid w:val="004241C8"/>
    <w:rsid w:val="004241EB"/>
    <w:rsid w:val="004241F8"/>
    <w:rsid w:val="00424221"/>
    <w:rsid w:val="00424243"/>
    <w:rsid w:val="0042424C"/>
    <w:rsid w:val="00424270"/>
    <w:rsid w:val="00424275"/>
    <w:rsid w:val="0042429F"/>
    <w:rsid w:val="004242C4"/>
    <w:rsid w:val="004242D3"/>
    <w:rsid w:val="004242DC"/>
    <w:rsid w:val="00424304"/>
    <w:rsid w:val="00424316"/>
    <w:rsid w:val="00424359"/>
    <w:rsid w:val="0042439D"/>
    <w:rsid w:val="004243ED"/>
    <w:rsid w:val="004243F1"/>
    <w:rsid w:val="00424415"/>
    <w:rsid w:val="00424458"/>
    <w:rsid w:val="0042445E"/>
    <w:rsid w:val="00424464"/>
    <w:rsid w:val="00424475"/>
    <w:rsid w:val="00424498"/>
    <w:rsid w:val="004244BA"/>
    <w:rsid w:val="004244E9"/>
    <w:rsid w:val="004244FA"/>
    <w:rsid w:val="00424584"/>
    <w:rsid w:val="00424594"/>
    <w:rsid w:val="004245C3"/>
    <w:rsid w:val="004245D2"/>
    <w:rsid w:val="00424621"/>
    <w:rsid w:val="00424634"/>
    <w:rsid w:val="00424641"/>
    <w:rsid w:val="00424669"/>
    <w:rsid w:val="0042467A"/>
    <w:rsid w:val="00424685"/>
    <w:rsid w:val="004246A9"/>
    <w:rsid w:val="004246D4"/>
    <w:rsid w:val="004246DE"/>
    <w:rsid w:val="004246F1"/>
    <w:rsid w:val="0042472A"/>
    <w:rsid w:val="00424769"/>
    <w:rsid w:val="004247CD"/>
    <w:rsid w:val="004247D4"/>
    <w:rsid w:val="004247EA"/>
    <w:rsid w:val="00424805"/>
    <w:rsid w:val="00424851"/>
    <w:rsid w:val="00424872"/>
    <w:rsid w:val="00424885"/>
    <w:rsid w:val="0042488A"/>
    <w:rsid w:val="004248B6"/>
    <w:rsid w:val="004248C2"/>
    <w:rsid w:val="004248CF"/>
    <w:rsid w:val="00424917"/>
    <w:rsid w:val="0042492A"/>
    <w:rsid w:val="0042498F"/>
    <w:rsid w:val="004249AB"/>
    <w:rsid w:val="004249BA"/>
    <w:rsid w:val="004249F8"/>
    <w:rsid w:val="00424A0C"/>
    <w:rsid w:val="00424A6D"/>
    <w:rsid w:val="00424AAF"/>
    <w:rsid w:val="00424B11"/>
    <w:rsid w:val="00424B23"/>
    <w:rsid w:val="00424B4D"/>
    <w:rsid w:val="00424B88"/>
    <w:rsid w:val="00424B94"/>
    <w:rsid w:val="00424BC4"/>
    <w:rsid w:val="00424C0A"/>
    <w:rsid w:val="00424C31"/>
    <w:rsid w:val="00424C3E"/>
    <w:rsid w:val="00424C49"/>
    <w:rsid w:val="00424C4A"/>
    <w:rsid w:val="00424C57"/>
    <w:rsid w:val="00424C62"/>
    <w:rsid w:val="00424C67"/>
    <w:rsid w:val="00424C6F"/>
    <w:rsid w:val="00424C7D"/>
    <w:rsid w:val="00424C84"/>
    <w:rsid w:val="00424C96"/>
    <w:rsid w:val="00424CBE"/>
    <w:rsid w:val="00424D39"/>
    <w:rsid w:val="00424D62"/>
    <w:rsid w:val="00424D79"/>
    <w:rsid w:val="00424E3E"/>
    <w:rsid w:val="00424E50"/>
    <w:rsid w:val="00424E7F"/>
    <w:rsid w:val="00424F37"/>
    <w:rsid w:val="00424F62"/>
    <w:rsid w:val="00424F68"/>
    <w:rsid w:val="00424F8D"/>
    <w:rsid w:val="00424F99"/>
    <w:rsid w:val="00424FB5"/>
    <w:rsid w:val="00424FBE"/>
    <w:rsid w:val="00424FDD"/>
    <w:rsid w:val="00424FE4"/>
    <w:rsid w:val="00425004"/>
    <w:rsid w:val="00425018"/>
    <w:rsid w:val="0042501C"/>
    <w:rsid w:val="0042507B"/>
    <w:rsid w:val="00425081"/>
    <w:rsid w:val="0042509D"/>
    <w:rsid w:val="004250BD"/>
    <w:rsid w:val="004250DA"/>
    <w:rsid w:val="004250F4"/>
    <w:rsid w:val="0042514F"/>
    <w:rsid w:val="00425188"/>
    <w:rsid w:val="0042518E"/>
    <w:rsid w:val="00425199"/>
    <w:rsid w:val="0042519F"/>
    <w:rsid w:val="004251AF"/>
    <w:rsid w:val="004251DF"/>
    <w:rsid w:val="004251EA"/>
    <w:rsid w:val="0042523B"/>
    <w:rsid w:val="00425256"/>
    <w:rsid w:val="00425266"/>
    <w:rsid w:val="004252E9"/>
    <w:rsid w:val="004252F6"/>
    <w:rsid w:val="0042534B"/>
    <w:rsid w:val="00425370"/>
    <w:rsid w:val="004253A1"/>
    <w:rsid w:val="004253A3"/>
    <w:rsid w:val="004253A6"/>
    <w:rsid w:val="004253EC"/>
    <w:rsid w:val="004253F0"/>
    <w:rsid w:val="0042544F"/>
    <w:rsid w:val="00425464"/>
    <w:rsid w:val="00425479"/>
    <w:rsid w:val="004254E3"/>
    <w:rsid w:val="004254F6"/>
    <w:rsid w:val="00425514"/>
    <w:rsid w:val="00425574"/>
    <w:rsid w:val="004255CF"/>
    <w:rsid w:val="00425620"/>
    <w:rsid w:val="00425667"/>
    <w:rsid w:val="0042566B"/>
    <w:rsid w:val="00425677"/>
    <w:rsid w:val="00425683"/>
    <w:rsid w:val="004256B9"/>
    <w:rsid w:val="0042573D"/>
    <w:rsid w:val="0042573F"/>
    <w:rsid w:val="00425757"/>
    <w:rsid w:val="00425763"/>
    <w:rsid w:val="00425771"/>
    <w:rsid w:val="00425775"/>
    <w:rsid w:val="004257A8"/>
    <w:rsid w:val="004257B2"/>
    <w:rsid w:val="004257B9"/>
    <w:rsid w:val="0042583D"/>
    <w:rsid w:val="0042585A"/>
    <w:rsid w:val="0042586D"/>
    <w:rsid w:val="004258A2"/>
    <w:rsid w:val="004258EF"/>
    <w:rsid w:val="004258FE"/>
    <w:rsid w:val="0042593A"/>
    <w:rsid w:val="00425979"/>
    <w:rsid w:val="0042598B"/>
    <w:rsid w:val="004259B9"/>
    <w:rsid w:val="004259BB"/>
    <w:rsid w:val="004259C5"/>
    <w:rsid w:val="004259C8"/>
    <w:rsid w:val="00425A1E"/>
    <w:rsid w:val="00425A7D"/>
    <w:rsid w:val="00425AB2"/>
    <w:rsid w:val="00425ABB"/>
    <w:rsid w:val="00425ADF"/>
    <w:rsid w:val="00425BB7"/>
    <w:rsid w:val="00425BC7"/>
    <w:rsid w:val="00425BD2"/>
    <w:rsid w:val="00425C72"/>
    <w:rsid w:val="00425CB8"/>
    <w:rsid w:val="00425CBD"/>
    <w:rsid w:val="00425D2C"/>
    <w:rsid w:val="00425D72"/>
    <w:rsid w:val="00425D7B"/>
    <w:rsid w:val="00425DC8"/>
    <w:rsid w:val="00425DE5"/>
    <w:rsid w:val="00425E19"/>
    <w:rsid w:val="00425E20"/>
    <w:rsid w:val="00425E2C"/>
    <w:rsid w:val="00425E49"/>
    <w:rsid w:val="00425E5E"/>
    <w:rsid w:val="00425E80"/>
    <w:rsid w:val="00425E98"/>
    <w:rsid w:val="00425EAD"/>
    <w:rsid w:val="00425EF0"/>
    <w:rsid w:val="00425F37"/>
    <w:rsid w:val="00425F39"/>
    <w:rsid w:val="00425FA7"/>
    <w:rsid w:val="00425FAE"/>
    <w:rsid w:val="00426010"/>
    <w:rsid w:val="00426034"/>
    <w:rsid w:val="0042605A"/>
    <w:rsid w:val="0042609E"/>
    <w:rsid w:val="004260EA"/>
    <w:rsid w:val="00426110"/>
    <w:rsid w:val="00426131"/>
    <w:rsid w:val="00426148"/>
    <w:rsid w:val="00426165"/>
    <w:rsid w:val="0042618D"/>
    <w:rsid w:val="004261A3"/>
    <w:rsid w:val="004261A8"/>
    <w:rsid w:val="004261BC"/>
    <w:rsid w:val="004261C6"/>
    <w:rsid w:val="0042622B"/>
    <w:rsid w:val="00426255"/>
    <w:rsid w:val="0042626E"/>
    <w:rsid w:val="00426271"/>
    <w:rsid w:val="00426273"/>
    <w:rsid w:val="00426287"/>
    <w:rsid w:val="0042629A"/>
    <w:rsid w:val="004262B9"/>
    <w:rsid w:val="004262E8"/>
    <w:rsid w:val="004262FD"/>
    <w:rsid w:val="0042630B"/>
    <w:rsid w:val="00426315"/>
    <w:rsid w:val="0042637C"/>
    <w:rsid w:val="00426384"/>
    <w:rsid w:val="00426385"/>
    <w:rsid w:val="004263AA"/>
    <w:rsid w:val="00426412"/>
    <w:rsid w:val="00426423"/>
    <w:rsid w:val="00426446"/>
    <w:rsid w:val="00426486"/>
    <w:rsid w:val="00426494"/>
    <w:rsid w:val="0042649E"/>
    <w:rsid w:val="004264A4"/>
    <w:rsid w:val="0042658B"/>
    <w:rsid w:val="00426596"/>
    <w:rsid w:val="00426598"/>
    <w:rsid w:val="004265C1"/>
    <w:rsid w:val="004265FC"/>
    <w:rsid w:val="0042662A"/>
    <w:rsid w:val="00426650"/>
    <w:rsid w:val="0042666A"/>
    <w:rsid w:val="004266AD"/>
    <w:rsid w:val="004266F0"/>
    <w:rsid w:val="00426725"/>
    <w:rsid w:val="00426738"/>
    <w:rsid w:val="0042675A"/>
    <w:rsid w:val="004267A4"/>
    <w:rsid w:val="004267E1"/>
    <w:rsid w:val="004267F7"/>
    <w:rsid w:val="0042680C"/>
    <w:rsid w:val="004268A2"/>
    <w:rsid w:val="004268BC"/>
    <w:rsid w:val="004268E9"/>
    <w:rsid w:val="00426950"/>
    <w:rsid w:val="00426989"/>
    <w:rsid w:val="004269D0"/>
    <w:rsid w:val="004269EE"/>
    <w:rsid w:val="00426A89"/>
    <w:rsid w:val="00426A8F"/>
    <w:rsid w:val="00426AD1"/>
    <w:rsid w:val="00426AE8"/>
    <w:rsid w:val="00426B09"/>
    <w:rsid w:val="00426B18"/>
    <w:rsid w:val="00426B36"/>
    <w:rsid w:val="00426B3B"/>
    <w:rsid w:val="00426B68"/>
    <w:rsid w:val="00426B84"/>
    <w:rsid w:val="00426BA3"/>
    <w:rsid w:val="00426BCB"/>
    <w:rsid w:val="00426BDC"/>
    <w:rsid w:val="00426C0A"/>
    <w:rsid w:val="00426C14"/>
    <w:rsid w:val="00426C36"/>
    <w:rsid w:val="00426C4C"/>
    <w:rsid w:val="00426C8D"/>
    <w:rsid w:val="00426C90"/>
    <w:rsid w:val="00426CC2"/>
    <w:rsid w:val="00426CE2"/>
    <w:rsid w:val="00426D0E"/>
    <w:rsid w:val="00426D22"/>
    <w:rsid w:val="00426D39"/>
    <w:rsid w:val="00426D4D"/>
    <w:rsid w:val="00426D77"/>
    <w:rsid w:val="00426D97"/>
    <w:rsid w:val="00426DB9"/>
    <w:rsid w:val="00426DC8"/>
    <w:rsid w:val="00426E8B"/>
    <w:rsid w:val="00426EBD"/>
    <w:rsid w:val="00426EF9"/>
    <w:rsid w:val="00426F30"/>
    <w:rsid w:val="00426FDE"/>
    <w:rsid w:val="00427019"/>
    <w:rsid w:val="00427029"/>
    <w:rsid w:val="0042706A"/>
    <w:rsid w:val="0042707C"/>
    <w:rsid w:val="0042709C"/>
    <w:rsid w:val="00427103"/>
    <w:rsid w:val="0042710D"/>
    <w:rsid w:val="00427166"/>
    <w:rsid w:val="00427170"/>
    <w:rsid w:val="0042717A"/>
    <w:rsid w:val="004271A7"/>
    <w:rsid w:val="004271E3"/>
    <w:rsid w:val="0042722A"/>
    <w:rsid w:val="00427231"/>
    <w:rsid w:val="00427232"/>
    <w:rsid w:val="00427285"/>
    <w:rsid w:val="004272A2"/>
    <w:rsid w:val="004272B9"/>
    <w:rsid w:val="004272BE"/>
    <w:rsid w:val="00427317"/>
    <w:rsid w:val="00427367"/>
    <w:rsid w:val="00427368"/>
    <w:rsid w:val="00427379"/>
    <w:rsid w:val="0042738B"/>
    <w:rsid w:val="00427395"/>
    <w:rsid w:val="004273C3"/>
    <w:rsid w:val="004273D7"/>
    <w:rsid w:val="004273DD"/>
    <w:rsid w:val="004273F9"/>
    <w:rsid w:val="004273FC"/>
    <w:rsid w:val="00427402"/>
    <w:rsid w:val="0042740A"/>
    <w:rsid w:val="0042741D"/>
    <w:rsid w:val="00427429"/>
    <w:rsid w:val="00427458"/>
    <w:rsid w:val="004274B2"/>
    <w:rsid w:val="004274EC"/>
    <w:rsid w:val="00427506"/>
    <w:rsid w:val="00427519"/>
    <w:rsid w:val="00427540"/>
    <w:rsid w:val="0042755B"/>
    <w:rsid w:val="00427572"/>
    <w:rsid w:val="004275B8"/>
    <w:rsid w:val="004275ED"/>
    <w:rsid w:val="00427616"/>
    <w:rsid w:val="0042761F"/>
    <w:rsid w:val="0042762F"/>
    <w:rsid w:val="0042765C"/>
    <w:rsid w:val="004276B7"/>
    <w:rsid w:val="004276C9"/>
    <w:rsid w:val="0042771C"/>
    <w:rsid w:val="00427728"/>
    <w:rsid w:val="0042774C"/>
    <w:rsid w:val="00427750"/>
    <w:rsid w:val="0042778E"/>
    <w:rsid w:val="004277DF"/>
    <w:rsid w:val="0042780F"/>
    <w:rsid w:val="00427812"/>
    <w:rsid w:val="00427826"/>
    <w:rsid w:val="00427885"/>
    <w:rsid w:val="004278BD"/>
    <w:rsid w:val="004278DD"/>
    <w:rsid w:val="0042790F"/>
    <w:rsid w:val="00427942"/>
    <w:rsid w:val="004279A4"/>
    <w:rsid w:val="00427A1F"/>
    <w:rsid w:val="00427A3F"/>
    <w:rsid w:val="00427A46"/>
    <w:rsid w:val="00427A5B"/>
    <w:rsid w:val="00427A66"/>
    <w:rsid w:val="00427A6E"/>
    <w:rsid w:val="00427A81"/>
    <w:rsid w:val="00427A8D"/>
    <w:rsid w:val="00427A90"/>
    <w:rsid w:val="00427A98"/>
    <w:rsid w:val="00427AAD"/>
    <w:rsid w:val="00427AC5"/>
    <w:rsid w:val="00427AE0"/>
    <w:rsid w:val="00427B0E"/>
    <w:rsid w:val="00427B41"/>
    <w:rsid w:val="00427B5A"/>
    <w:rsid w:val="00427B92"/>
    <w:rsid w:val="00427B93"/>
    <w:rsid w:val="00427BA6"/>
    <w:rsid w:val="00427BE1"/>
    <w:rsid w:val="00427BEE"/>
    <w:rsid w:val="00427BF6"/>
    <w:rsid w:val="00427C0E"/>
    <w:rsid w:val="00427C12"/>
    <w:rsid w:val="00427C13"/>
    <w:rsid w:val="00427C41"/>
    <w:rsid w:val="00427C5B"/>
    <w:rsid w:val="00427C77"/>
    <w:rsid w:val="00427C83"/>
    <w:rsid w:val="00427CB7"/>
    <w:rsid w:val="00427CCA"/>
    <w:rsid w:val="00427D4E"/>
    <w:rsid w:val="00427DAF"/>
    <w:rsid w:val="00427DCC"/>
    <w:rsid w:val="00427DCE"/>
    <w:rsid w:val="00427E0C"/>
    <w:rsid w:val="00427E90"/>
    <w:rsid w:val="00427EAA"/>
    <w:rsid w:val="00427EEC"/>
    <w:rsid w:val="00427F23"/>
    <w:rsid w:val="00427F7F"/>
    <w:rsid w:val="00427F90"/>
    <w:rsid w:val="00427FAF"/>
    <w:rsid w:val="00427FBB"/>
    <w:rsid w:val="00427FCC"/>
    <w:rsid w:val="00427FE6"/>
    <w:rsid w:val="0043003B"/>
    <w:rsid w:val="0043003D"/>
    <w:rsid w:val="0043005C"/>
    <w:rsid w:val="00430077"/>
    <w:rsid w:val="004300B7"/>
    <w:rsid w:val="004300B9"/>
    <w:rsid w:val="004300DE"/>
    <w:rsid w:val="004300DF"/>
    <w:rsid w:val="00430117"/>
    <w:rsid w:val="0043011A"/>
    <w:rsid w:val="0043011D"/>
    <w:rsid w:val="00430120"/>
    <w:rsid w:val="00430121"/>
    <w:rsid w:val="0043014F"/>
    <w:rsid w:val="0043015E"/>
    <w:rsid w:val="0043015F"/>
    <w:rsid w:val="0043016E"/>
    <w:rsid w:val="00430180"/>
    <w:rsid w:val="00430183"/>
    <w:rsid w:val="004301A6"/>
    <w:rsid w:val="004301B3"/>
    <w:rsid w:val="00430286"/>
    <w:rsid w:val="004302C6"/>
    <w:rsid w:val="0043037A"/>
    <w:rsid w:val="00430390"/>
    <w:rsid w:val="004303B6"/>
    <w:rsid w:val="004303C2"/>
    <w:rsid w:val="004303DD"/>
    <w:rsid w:val="00430440"/>
    <w:rsid w:val="00430471"/>
    <w:rsid w:val="0043047C"/>
    <w:rsid w:val="004304C9"/>
    <w:rsid w:val="004304D4"/>
    <w:rsid w:val="004304E9"/>
    <w:rsid w:val="0043051C"/>
    <w:rsid w:val="0043052C"/>
    <w:rsid w:val="00430545"/>
    <w:rsid w:val="00430576"/>
    <w:rsid w:val="00430640"/>
    <w:rsid w:val="0043066F"/>
    <w:rsid w:val="004306A1"/>
    <w:rsid w:val="004306E1"/>
    <w:rsid w:val="004306E7"/>
    <w:rsid w:val="004306E9"/>
    <w:rsid w:val="004306F9"/>
    <w:rsid w:val="0043070C"/>
    <w:rsid w:val="00430720"/>
    <w:rsid w:val="00430729"/>
    <w:rsid w:val="0043072A"/>
    <w:rsid w:val="00430743"/>
    <w:rsid w:val="00430780"/>
    <w:rsid w:val="00430782"/>
    <w:rsid w:val="00430791"/>
    <w:rsid w:val="004307EC"/>
    <w:rsid w:val="004307EF"/>
    <w:rsid w:val="0043080E"/>
    <w:rsid w:val="0043081D"/>
    <w:rsid w:val="0043086A"/>
    <w:rsid w:val="00430877"/>
    <w:rsid w:val="00430892"/>
    <w:rsid w:val="004308B4"/>
    <w:rsid w:val="004308D1"/>
    <w:rsid w:val="0043090F"/>
    <w:rsid w:val="00430914"/>
    <w:rsid w:val="00430922"/>
    <w:rsid w:val="0043092D"/>
    <w:rsid w:val="0043093A"/>
    <w:rsid w:val="0043093D"/>
    <w:rsid w:val="004309A6"/>
    <w:rsid w:val="004309B7"/>
    <w:rsid w:val="004309CC"/>
    <w:rsid w:val="00430A24"/>
    <w:rsid w:val="00430A31"/>
    <w:rsid w:val="00430A63"/>
    <w:rsid w:val="00430A70"/>
    <w:rsid w:val="00430AB8"/>
    <w:rsid w:val="00430B0C"/>
    <w:rsid w:val="00430B22"/>
    <w:rsid w:val="00430BDD"/>
    <w:rsid w:val="00430C10"/>
    <w:rsid w:val="00430C1A"/>
    <w:rsid w:val="00430C52"/>
    <w:rsid w:val="00430C5E"/>
    <w:rsid w:val="00430C7F"/>
    <w:rsid w:val="00430CA9"/>
    <w:rsid w:val="00430CBF"/>
    <w:rsid w:val="00430CCC"/>
    <w:rsid w:val="00430CCE"/>
    <w:rsid w:val="00430CEF"/>
    <w:rsid w:val="00430D09"/>
    <w:rsid w:val="00430D2C"/>
    <w:rsid w:val="00430D52"/>
    <w:rsid w:val="00430D75"/>
    <w:rsid w:val="00430D88"/>
    <w:rsid w:val="00430DC2"/>
    <w:rsid w:val="00430DD9"/>
    <w:rsid w:val="00430DFE"/>
    <w:rsid w:val="00430E27"/>
    <w:rsid w:val="00430E51"/>
    <w:rsid w:val="00430E65"/>
    <w:rsid w:val="00430E6D"/>
    <w:rsid w:val="00430E8F"/>
    <w:rsid w:val="00430E9F"/>
    <w:rsid w:val="00430EDC"/>
    <w:rsid w:val="00430F0E"/>
    <w:rsid w:val="00430F30"/>
    <w:rsid w:val="00430F7E"/>
    <w:rsid w:val="00430F9C"/>
    <w:rsid w:val="00431082"/>
    <w:rsid w:val="004310B4"/>
    <w:rsid w:val="004310CA"/>
    <w:rsid w:val="004310E9"/>
    <w:rsid w:val="004310FF"/>
    <w:rsid w:val="00431116"/>
    <w:rsid w:val="0043113A"/>
    <w:rsid w:val="0043114B"/>
    <w:rsid w:val="00431165"/>
    <w:rsid w:val="004311BF"/>
    <w:rsid w:val="004311CD"/>
    <w:rsid w:val="0043121E"/>
    <w:rsid w:val="004312A5"/>
    <w:rsid w:val="004312CF"/>
    <w:rsid w:val="004312D9"/>
    <w:rsid w:val="004312E9"/>
    <w:rsid w:val="00431331"/>
    <w:rsid w:val="00431378"/>
    <w:rsid w:val="004313ED"/>
    <w:rsid w:val="004313FB"/>
    <w:rsid w:val="00431401"/>
    <w:rsid w:val="00431497"/>
    <w:rsid w:val="0043149A"/>
    <w:rsid w:val="004314A0"/>
    <w:rsid w:val="004314DB"/>
    <w:rsid w:val="004314E3"/>
    <w:rsid w:val="004314F8"/>
    <w:rsid w:val="00431515"/>
    <w:rsid w:val="0043159F"/>
    <w:rsid w:val="004315B4"/>
    <w:rsid w:val="0043160C"/>
    <w:rsid w:val="0043169A"/>
    <w:rsid w:val="004316A4"/>
    <w:rsid w:val="004316C2"/>
    <w:rsid w:val="004316E5"/>
    <w:rsid w:val="00431701"/>
    <w:rsid w:val="00431720"/>
    <w:rsid w:val="00431731"/>
    <w:rsid w:val="0043178C"/>
    <w:rsid w:val="004317A5"/>
    <w:rsid w:val="00431813"/>
    <w:rsid w:val="0043183F"/>
    <w:rsid w:val="004318E1"/>
    <w:rsid w:val="004318EB"/>
    <w:rsid w:val="00431932"/>
    <w:rsid w:val="00431984"/>
    <w:rsid w:val="004319AD"/>
    <w:rsid w:val="004319B6"/>
    <w:rsid w:val="004319C0"/>
    <w:rsid w:val="00431A32"/>
    <w:rsid w:val="00431A58"/>
    <w:rsid w:val="00431A86"/>
    <w:rsid w:val="00431A87"/>
    <w:rsid w:val="00431AA3"/>
    <w:rsid w:val="00431AE3"/>
    <w:rsid w:val="00431AFE"/>
    <w:rsid w:val="00431B1D"/>
    <w:rsid w:val="00431B24"/>
    <w:rsid w:val="00431B53"/>
    <w:rsid w:val="00431B72"/>
    <w:rsid w:val="00431B74"/>
    <w:rsid w:val="00431BAB"/>
    <w:rsid w:val="00431C00"/>
    <w:rsid w:val="00431C2D"/>
    <w:rsid w:val="00431C57"/>
    <w:rsid w:val="00431C5D"/>
    <w:rsid w:val="00431C7A"/>
    <w:rsid w:val="00431CDD"/>
    <w:rsid w:val="00431CE6"/>
    <w:rsid w:val="00431CEC"/>
    <w:rsid w:val="00431CF0"/>
    <w:rsid w:val="00431D0B"/>
    <w:rsid w:val="00431D6B"/>
    <w:rsid w:val="00431D7F"/>
    <w:rsid w:val="00431D98"/>
    <w:rsid w:val="00431D9F"/>
    <w:rsid w:val="00431DF5"/>
    <w:rsid w:val="00431E37"/>
    <w:rsid w:val="00431E5D"/>
    <w:rsid w:val="00431E7D"/>
    <w:rsid w:val="00431E82"/>
    <w:rsid w:val="00431E83"/>
    <w:rsid w:val="00431ECE"/>
    <w:rsid w:val="00431F0C"/>
    <w:rsid w:val="00431F33"/>
    <w:rsid w:val="00431FC5"/>
    <w:rsid w:val="00431FCC"/>
    <w:rsid w:val="00431FD4"/>
    <w:rsid w:val="0043201D"/>
    <w:rsid w:val="00432054"/>
    <w:rsid w:val="004320A7"/>
    <w:rsid w:val="004320E1"/>
    <w:rsid w:val="00432120"/>
    <w:rsid w:val="00432122"/>
    <w:rsid w:val="0043212A"/>
    <w:rsid w:val="00432134"/>
    <w:rsid w:val="00432149"/>
    <w:rsid w:val="0043214C"/>
    <w:rsid w:val="00432196"/>
    <w:rsid w:val="004321A5"/>
    <w:rsid w:val="004321B8"/>
    <w:rsid w:val="004321C2"/>
    <w:rsid w:val="004321F4"/>
    <w:rsid w:val="004321F5"/>
    <w:rsid w:val="00432254"/>
    <w:rsid w:val="0043225B"/>
    <w:rsid w:val="0043226B"/>
    <w:rsid w:val="00432276"/>
    <w:rsid w:val="0043228D"/>
    <w:rsid w:val="004322BD"/>
    <w:rsid w:val="0043230F"/>
    <w:rsid w:val="0043231D"/>
    <w:rsid w:val="0043233D"/>
    <w:rsid w:val="00432349"/>
    <w:rsid w:val="0043235B"/>
    <w:rsid w:val="0043237B"/>
    <w:rsid w:val="00432387"/>
    <w:rsid w:val="004323B3"/>
    <w:rsid w:val="004323CA"/>
    <w:rsid w:val="00432426"/>
    <w:rsid w:val="0043242B"/>
    <w:rsid w:val="00432486"/>
    <w:rsid w:val="0043250D"/>
    <w:rsid w:val="0043253E"/>
    <w:rsid w:val="00432540"/>
    <w:rsid w:val="00432564"/>
    <w:rsid w:val="00432647"/>
    <w:rsid w:val="00432690"/>
    <w:rsid w:val="004326C6"/>
    <w:rsid w:val="004326FE"/>
    <w:rsid w:val="00432725"/>
    <w:rsid w:val="00432774"/>
    <w:rsid w:val="00432780"/>
    <w:rsid w:val="00432795"/>
    <w:rsid w:val="00432796"/>
    <w:rsid w:val="0043279B"/>
    <w:rsid w:val="004327A5"/>
    <w:rsid w:val="004327EA"/>
    <w:rsid w:val="00432848"/>
    <w:rsid w:val="0043284F"/>
    <w:rsid w:val="00432889"/>
    <w:rsid w:val="0043288E"/>
    <w:rsid w:val="004328B7"/>
    <w:rsid w:val="00432921"/>
    <w:rsid w:val="00432928"/>
    <w:rsid w:val="0043292E"/>
    <w:rsid w:val="00432935"/>
    <w:rsid w:val="00432949"/>
    <w:rsid w:val="00432954"/>
    <w:rsid w:val="0043298B"/>
    <w:rsid w:val="00432A16"/>
    <w:rsid w:val="00432A3B"/>
    <w:rsid w:val="00432A56"/>
    <w:rsid w:val="00432A6B"/>
    <w:rsid w:val="00432A8E"/>
    <w:rsid w:val="00432ACE"/>
    <w:rsid w:val="00432B5D"/>
    <w:rsid w:val="00432B74"/>
    <w:rsid w:val="00432B7E"/>
    <w:rsid w:val="00432BA0"/>
    <w:rsid w:val="00432BBB"/>
    <w:rsid w:val="00432BE4"/>
    <w:rsid w:val="00432BF6"/>
    <w:rsid w:val="00432C55"/>
    <w:rsid w:val="00432C5C"/>
    <w:rsid w:val="00432C78"/>
    <w:rsid w:val="00432C94"/>
    <w:rsid w:val="00432D49"/>
    <w:rsid w:val="00432D5C"/>
    <w:rsid w:val="00432D5F"/>
    <w:rsid w:val="00432D78"/>
    <w:rsid w:val="00432D82"/>
    <w:rsid w:val="00432D97"/>
    <w:rsid w:val="00432DF6"/>
    <w:rsid w:val="00432E0A"/>
    <w:rsid w:val="00432E5D"/>
    <w:rsid w:val="00432E6C"/>
    <w:rsid w:val="00432E6E"/>
    <w:rsid w:val="00432E88"/>
    <w:rsid w:val="00432EE2"/>
    <w:rsid w:val="00432F23"/>
    <w:rsid w:val="00432F45"/>
    <w:rsid w:val="00432FEE"/>
    <w:rsid w:val="0043300A"/>
    <w:rsid w:val="0043300B"/>
    <w:rsid w:val="0043301E"/>
    <w:rsid w:val="00433053"/>
    <w:rsid w:val="00433059"/>
    <w:rsid w:val="00433067"/>
    <w:rsid w:val="0043309E"/>
    <w:rsid w:val="004330B8"/>
    <w:rsid w:val="00433131"/>
    <w:rsid w:val="0043317B"/>
    <w:rsid w:val="0043319F"/>
    <w:rsid w:val="004331C9"/>
    <w:rsid w:val="004331FD"/>
    <w:rsid w:val="00433218"/>
    <w:rsid w:val="0043321C"/>
    <w:rsid w:val="00433229"/>
    <w:rsid w:val="00433236"/>
    <w:rsid w:val="0043326C"/>
    <w:rsid w:val="0043327C"/>
    <w:rsid w:val="00433298"/>
    <w:rsid w:val="004332A0"/>
    <w:rsid w:val="004332AA"/>
    <w:rsid w:val="004332C8"/>
    <w:rsid w:val="0043332D"/>
    <w:rsid w:val="0043333B"/>
    <w:rsid w:val="0043335C"/>
    <w:rsid w:val="0043338A"/>
    <w:rsid w:val="0043339D"/>
    <w:rsid w:val="004333D4"/>
    <w:rsid w:val="00433403"/>
    <w:rsid w:val="00433457"/>
    <w:rsid w:val="00433471"/>
    <w:rsid w:val="004334AB"/>
    <w:rsid w:val="0043350E"/>
    <w:rsid w:val="00433518"/>
    <w:rsid w:val="00433572"/>
    <w:rsid w:val="004335A9"/>
    <w:rsid w:val="00433611"/>
    <w:rsid w:val="00433689"/>
    <w:rsid w:val="004336B4"/>
    <w:rsid w:val="00433743"/>
    <w:rsid w:val="0043374C"/>
    <w:rsid w:val="00433753"/>
    <w:rsid w:val="0043377C"/>
    <w:rsid w:val="0043378A"/>
    <w:rsid w:val="00433819"/>
    <w:rsid w:val="0043382A"/>
    <w:rsid w:val="00433855"/>
    <w:rsid w:val="00433870"/>
    <w:rsid w:val="00433901"/>
    <w:rsid w:val="00433902"/>
    <w:rsid w:val="00433975"/>
    <w:rsid w:val="004339AB"/>
    <w:rsid w:val="004339B4"/>
    <w:rsid w:val="004339F7"/>
    <w:rsid w:val="00433A0D"/>
    <w:rsid w:val="00433A3A"/>
    <w:rsid w:val="00433A87"/>
    <w:rsid w:val="00433A98"/>
    <w:rsid w:val="00433AC3"/>
    <w:rsid w:val="00433ADB"/>
    <w:rsid w:val="00433AE3"/>
    <w:rsid w:val="00433AF6"/>
    <w:rsid w:val="00433B45"/>
    <w:rsid w:val="00433B46"/>
    <w:rsid w:val="00433B52"/>
    <w:rsid w:val="00433B6C"/>
    <w:rsid w:val="00433B7F"/>
    <w:rsid w:val="00433B8D"/>
    <w:rsid w:val="00433BC1"/>
    <w:rsid w:val="00433C13"/>
    <w:rsid w:val="00433C63"/>
    <w:rsid w:val="00433C65"/>
    <w:rsid w:val="00433C97"/>
    <w:rsid w:val="00433CAA"/>
    <w:rsid w:val="00433CCC"/>
    <w:rsid w:val="00433D14"/>
    <w:rsid w:val="00433D1E"/>
    <w:rsid w:val="00433D3D"/>
    <w:rsid w:val="00433D62"/>
    <w:rsid w:val="00433D78"/>
    <w:rsid w:val="00433D8A"/>
    <w:rsid w:val="00433DA3"/>
    <w:rsid w:val="00433DA9"/>
    <w:rsid w:val="00433DE2"/>
    <w:rsid w:val="00433DEE"/>
    <w:rsid w:val="00433DEF"/>
    <w:rsid w:val="00433ED0"/>
    <w:rsid w:val="00433EFA"/>
    <w:rsid w:val="00433F1C"/>
    <w:rsid w:val="00433F27"/>
    <w:rsid w:val="00433F55"/>
    <w:rsid w:val="00433F93"/>
    <w:rsid w:val="00433FC6"/>
    <w:rsid w:val="00434014"/>
    <w:rsid w:val="00434075"/>
    <w:rsid w:val="00434086"/>
    <w:rsid w:val="004340BB"/>
    <w:rsid w:val="004340BE"/>
    <w:rsid w:val="00434115"/>
    <w:rsid w:val="00434155"/>
    <w:rsid w:val="00434191"/>
    <w:rsid w:val="004341A9"/>
    <w:rsid w:val="00434210"/>
    <w:rsid w:val="00434214"/>
    <w:rsid w:val="0043425A"/>
    <w:rsid w:val="00434274"/>
    <w:rsid w:val="00434290"/>
    <w:rsid w:val="004342A1"/>
    <w:rsid w:val="004342E4"/>
    <w:rsid w:val="0043430E"/>
    <w:rsid w:val="00434324"/>
    <w:rsid w:val="00434331"/>
    <w:rsid w:val="00434336"/>
    <w:rsid w:val="00434364"/>
    <w:rsid w:val="004343A7"/>
    <w:rsid w:val="004343A9"/>
    <w:rsid w:val="004343AA"/>
    <w:rsid w:val="004343C7"/>
    <w:rsid w:val="004343E2"/>
    <w:rsid w:val="004343F2"/>
    <w:rsid w:val="00434410"/>
    <w:rsid w:val="00434492"/>
    <w:rsid w:val="004344A0"/>
    <w:rsid w:val="00434586"/>
    <w:rsid w:val="00434594"/>
    <w:rsid w:val="004345F8"/>
    <w:rsid w:val="00434655"/>
    <w:rsid w:val="0043466E"/>
    <w:rsid w:val="004346CB"/>
    <w:rsid w:val="004346EA"/>
    <w:rsid w:val="00434769"/>
    <w:rsid w:val="00434786"/>
    <w:rsid w:val="00434794"/>
    <w:rsid w:val="004347D7"/>
    <w:rsid w:val="004347EB"/>
    <w:rsid w:val="004347FE"/>
    <w:rsid w:val="0043483D"/>
    <w:rsid w:val="0043484F"/>
    <w:rsid w:val="00434858"/>
    <w:rsid w:val="0043486F"/>
    <w:rsid w:val="004348AC"/>
    <w:rsid w:val="004348D1"/>
    <w:rsid w:val="0043492B"/>
    <w:rsid w:val="00434974"/>
    <w:rsid w:val="0043498F"/>
    <w:rsid w:val="004349AF"/>
    <w:rsid w:val="004349D8"/>
    <w:rsid w:val="004349E0"/>
    <w:rsid w:val="004349EC"/>
    <w:rsid w:val="00434A04"/>
    <w:rsid w:val="00434A17"/>
    <w:rsid w:val="00434A19"/>
    <w:rsid w:val="00434A1B"/>
    <w:rsid w:val="00434A2B"/>
    <w:rsid w:val="00434A36"/>
    <w:rsid w:val="00434A49"/>
    <w:rsid w:val="00434A5F"/>
    <w:rsid w:val="00434A6E"/>
    <w:rsid w:val="00434AAA"/>
    <w:rsid w:val="00434AAB"/>
    <w:rsid w:val="00434AAE"/>
    <w:rsid w:val="00434AD1"/>
    <w:rsid w:val="00434AD5"/>
    <w:rsid w:val="00434AD6"/>
    <w:rsid w:val="00434B8F"/>
    <w:rsid w:val="00434B9F"/>
    <w:rsid w:val="00434BDF"/>
    <w:rsid w:val="00434BE8"/>
    <w:rsid w:val="00434BEC"/>
    <w:rsid w:val="00434C09"/>
    <w:rsid w:val="00434C4F"/>
    <w:rsid w:val="00434C77"/>
    <w:rsid w:val="00434CC7"/>
    <w:rsid w:val="00434CCC"/>
    <w:rsid w:val="00434D07"/>
    <w:rsid w:val="00434D26"/>
    <w:rsid w:val="00434D6A"/>
    <w:rsid w:val="00434D6C"/>
    <w:rsid w:val="00434DB3"/>
    <w:rsid w:val="00434DD0"/>
    <w:rsid w:val="00434DDC"/>
    <w:rsid w:val="00434E4B"/>
    <w:rsid w:val="00434E68"/>
    <w:rsid w:val="00434EB9"/>
    <w:rsid w:val="00434EBC"/>
    <w:rsid w:val="00434EED"/>
    <w:rsid w:val="00434EF5"/>
    <w:rsid w:val="00434F92"/>
    <w:rsid w:val="00434FA2"/>
    <w:rsid w:val="00434FCE"/>
    <w:rsid w:val="00434FD0"/>
    <w:rsid w:val="00434FE1"/>
    <w:rsid w:val="00435053"/>
    <w:rsid w:val="00435063"/>
    <w:rsid w:val="004350C4"/>
    <w:rsid w:val="004350C6"/>
    <w:rsid w:val="004350D1"/>
    <w:rsid w:val="004350DC"/>
    <w:rsid w:val="004350F2"/>
    <w:rsid w:val="004350FA"/>
    <w:rsid w:val="0043511E"/>
    <w:rsid w:val="00435138"/>
    <w:rsid w:val="00435142"/>
    <w:rsid w:val="00435145"/>
    <w:rsid w:val="0043515F"/>
    <w:rsid w:val="00435166"/>
    <w:rsid w:val="00435190"/>
    <w:rsid w:val="004351C4"/>
    <w:rsid w:val="004351D0"/>
    <w:rsid w:val="00435212"/>
    <w:rsid w:val="00435216"/>
    <w:rsid w:val="0043525F"/>
    <w:rsid w:val="00435269"/>
    <w:rsid w:val="00435290"/>
    <w:rsid w:val="004352B9"/>
    <w:rsid w:val="004352CA"/>
    <w:rsid w:val="004352E2"/>
    <w:rsid w:val="0043534C"/>
    <w:rsid w:val="0043535A"/>
    <w:rsid w:val="00435361"/>
    <w:rsid w:val="004353BE"/>
    <w:rsid w:val="004353E1"/>
    <w:rsid w:val="004353EE"/>
    <w:rsid w:val="00435490"/>
    <w:rsid w:val="004354C5"/>
    <w:rsid w:val="004354D7"/>
    <w:rsid w:val="004354D8"/>
    <w:rsid w:val="004354E4"/>
    <w:rsid w:val="00435534"/>
    <w:rsid w:val="0043555D"/>
    <w:rsid w:val="004355AE"/>
    <w:rsid w:val="004355B3"/>
    <w:rsid w:val="0043561D"/>
    <w:rsid w:val="00435631"/>
    <w:rsid w:val="00435664"/>
    <w:rsid w:val="00435666"/>
    <w:rsid w:val="00435673"/>
    <w:rsid w:val="004356CF"/>
    <w:rsid w:val="004356D7"/>
    <w:rsid w:val="004356DA"/>
    <w:rsid w:val="004356F6"/>
    <w:rsid w:val="00435716"/>
    <w:rsid w:val="00435724"/>
    <w:rsid w:val="0043574B"/>
    <w:rsid w:val="0043576E"/>
    <w:rsid w:val="00435788"/>
    <w:rsid w:val="004357A2"/>
    <w:rsid w:val="004357AC"/>
    <w:rsid w:val="004357CE"/>
    <w:rsid w:val="004357DE"/>
    <w:rsid w:val="0043582D"/>
    <w:rsid w:val="0043585F"/>
    <w:rsid w:val="004358C1"/>
    <w:rsid w:val="004358C8"/>
    <w:rsid w:val="0043590D"/>
    <w:rsid w:val="00435911"/>
    <w:rsid w:val="00435936"/>
    <w:rsid w:val="004359C9"/>
    <w:rsid w:val="004359F0"/>
    <w:rsid w:val="00435A81"/>
    <w:rsid w:val="00435A87"/>
    <w:rsid w:val="00435A91"/>
    <w:rsid w:val="00435B18"/>
    <w:rsid w:val="00435B56"/>
    <w:rsid w:val="00435B5E"/>
    <w:rsid w:val="00435B6B"/>
    <w:rsid w:val="00435BA9"/>
    <w:rsid w:val="00435BC9"/>
    <w:rsid w:val="00435BE9"/>
    <w:rsid w:val="00435C02"/>
    <w:rsid w:val="00435C41"/>
    <w:rsid w:val="00435C94"/>
    <w:rsid w:val="00435D41"/>
    <w:rsid w:val="00435D50"/>
    <w:rsid w:val="00435D8A"/>
    <w:rsid w:val="00435DAF"/>
    <w:rsid w:val="00435DD6"/>
    <w:rsid w:val="00435E22"/>
    <w:rsid w:val="00435E44"/>
    <w:rsid w:val="00435E91"/>
    <w:rsid w:val="00435E99"/>
    <w:rsid w:val="00435E9D"/>
    <w:rsid w:val="00435EB2"/>
    <w:rsid w:val="00435ECC"/>
    <w:rsid w:val="00435EF0"/>
    <w:rsid w:val="00435EF8"/>
    <w:rsid w:val="00435EFA"/>
    <w:rsid w:val="00435F0C"/>
    <w:rsid w:val="00435F18"/>
    <w:rsid w:val="00435F21"/>
    <w:rsid w:val="00435F24"/>
    <w:rsid w:val="00435F60"/>
    <w:rsid w:val="00435F67"/>
    <w:rsid w:val="00435FA6"/>
    <w:rsid w:val="00435FFC"/>
    <w:rsid w:val="00436009"/>
    <w:rsid w:val="00436012"/>
    <w:rsid w:val="00436013"/>
    <w:rsid w:val="0043609F"/>
    <w:rsid w:val="004360E7"/>
    <w:rsid w:val="004360F0"/>
    <w:rsid w:val="00436106"/>
    <w:rsid w:val="00436195"/>
    <w:rsid w:val="0043619F"/>
    <w:rsid w:val="004361FD"/>
    <w:rsid w:val="0043620A"/>
    <w:rsid w:val="0043623B"/>
    <w:rsid w:val="00436250"/>
    <w:rsid w:val="00436268"/>
    <w:rsid w:val="00436270"/>
    <w:rsid w:val="00436280"/>
    <w:rsid w:val="00436294"/>
    <w:rsid w:val="004362B5"/>
    <w:rsid w:val="004362B6"/>
    <w:rsid w:val="004362C5"/>
    <w:rsid w:val="004362EF"/>
    <w:rsid w:val="00436362"/>
    <w:rsid w:val="00436392"/>
    <w:rsid w:val="004363BB"/>
    <w:rsid w:val="004363BC"/>
    <w:rsid w:val="004363DB"/>
    <w:rsid w:val="00436402"/>
    <w:rsid w:val="00436427"/>
    <w:rsid w:val="00436495"/>
    <w:rsid w:val="004364DD"/>
    <w:rsid w:val="00436506"/>
    <w:rsid w:val="0043650A"/>
    <w:rsid w:val="00436511"/>
    <w:rsid w:val="00436514"/>
    <w:rsid w:val="0043651D"/>
    <w:rsid w:val="0043652D"/>
    <w:rsid w:val="00436539"/>
    <w:rsid w:val="00436558"/>
    <w:rsid w:val="00436571"/>
    <w:rsid w:val="00436577"/>
    <w:rsid w:val="0043657B"/>
    <w:rsid w:val="0043658A"/>
    <w:rsid w:val="00436595"/>
    <w:rsid w:val="0043659C"/>
    <w:rsid w:val="004365D5"/>
    <w:rsid w:val="00436603"/>
    <w:rsid w:val="0043660E"/>
    <w:rsid w:val="00436656"/>
    <w:rsid w:val="0043665D"/>
    <w:rsid w:val="004366E1"/>
    <w:rsid w:val="004366E7"/>
    <w:rsid w:val="0043670C"/>
    <w:rsid w:val="00436712"/>
    <w:rsid w:val="004367D4"/>
    <w:rsid w:val="00436804"/>
    <w:rsid w:val="0043680A"/>
    <w:rsid w:val="0043680C"/>
    <w:rsid w:val="0043684F"/>
    <w:rsid w:val="004368DE"/>
    <w:rsid w:val="00436924"/>
    <w:rsid w:val="00436929"/>
    <w:rsid w:val="0043693B"/>
    <w:rsid w:val="004369DB"/>
    <w:rsid w:val="004369F5"/>
    <w:rsid w:val="00436A57"/>
    <w:rsid w:val="00436ADB"/>
    <w:rsid w:val="00436B18"/>
    <w:rsid w:val="00436B2F"/>
    <w:rsid w:val="00436B3B"/>
    <w:rsid w:val="00436B42"/>
    <w:rsid w:val="00436B57"/>
    <w:rsid w:val="00436B9E"/>
    <w:rsid w:val="00436BE8"/>
    <w:rsid w:val="00436CB7"/>
    <w:rsid w:val="00436CB9"/>
    <w:rsid w:val="00436CC1"/>
    <w:rsid w:val="00436CC3"/>
    <w:rsid w:val="00436CC7"/>
    <w:rsid w:val="00436CFF"/>
    <w:rsid w:val="00436D34"/>
    <w:rsid w:val="00436D93"/>
    <w:rsid w:val="00436DBE"/>
    <w:rsid w:val="00436EA1"/>
    <w:rsid w:val="00436EB4"/>
    <w:rsid w:val="00436ECE"/>
    <w:rsid w:val="00436F0A"/>
    <w:rsid w:val="00436F13"/>
    <w:rsid w:val="00436F86"/>
    <w:rsid w:val="00436F8D"/>
    <w:rsid w:val="00436FBD"/>
    <w:rsid w:val="00436FC4"/>
    <w:rsid w:val="00436FDB"/>
    <w:rsid w:val="0043700C"/>
    <w:rsid w:val="00437018"/>
    <w:rsid w:val="0043702D"/>
    <w:rsid w:val="0043705A"/>
    <w:rsid w:val="0043709E"/>
    <w:rsid w:val="004370A3"/>
    <w:rsid w:val="004370BB"/>
    <w:rsid w:val="004370BE"/>
    <w:rsid w:val="004370C7"/>
    <w:rsid w:val="004370C8"/>
    <w:rsid w:val="00437137"/>
    <w:rsid w:val="0043715A"/>
    <w:rsid w:val="00437161"/>
    <w:rsid w:val="00437172"/>
    <w:rsid w:val="004371D3"/>
    <w:rsid w:val="00437208"/>
    <w:rsid w:val="00437211"/>
    <w:rsid w:val="0043722D"/>
    <w:rsid w:val="00437235"/>
    <w:rsid w:val="00437267"/>
    <w:rsid w:val="00437269"/>
    <w:rsid w:val="0043726C"/>
    <w:rsid w:val="00437286"/>
    <w:rsid w:val="0043729D"/>
    <w:rsid w:val="004372B1"/>
    <w:rsid w:val="004372E4"/>
    <w:rsid w:val="00437306"/>
    <w:rsid w:val="00437398"/>
    <w:rsid w:val="004373A1"/>
    <w:rsid w:val="004373A5"/>
    <w:rsid w:val="004373AD"/>
    <w:rsid w:val="0043740A"/>
    <w:rsid w:val="00437462"/>
    <w:rsid w:val="00437464"/>
    <w:rsid w:val="0043746E"/>
    <w:rsid w:val="00437488"/>
    <w:rsid w:val="0043748D"/>
    <w:rsid w:val="00437492"/>
    <w:rsid w:val="004374F4"/>
    <w:rsid w:val="00437507"/>
    <w:rsid w:val="0043751F"/>
    <w:rsid w:val="00437521"/>
    <w:rsid w:val="00437541"/>
    <w:rsid w:val="0043757D"/>
    <w:rsid w:val="004375C2"/>
    <w:rsid w:val="004375EC"/>
    <w:rsid w:val="00437608"/>
    <w:rsid w:val="00437620"/>
    <w:rsid w:val="00437639"/>
    <w:rsid w:val="0043763B"/>
    <w:rsid w:val="00437692"/>
    <w:rsid w:val="004376BD"/>
    <w:rsid w:val="004376F9"/>
    <w:rsid w:val="0043771D"/>
    <w:rsid w:val="00437720"/>
    <w:rsid w:val="0043775C"/>
    <w:rsid w:val="00437782"/>
    <w:rsid w:val="00437803"/>
    <w:rsid w:val="00437844"/>
    <w:rsid w:val="00437884"/>
    <w:rsid w:val="0043788F"/>
    <w:rsid w:val="004378A0"/>
    <w:rsid w:val="004378A1"/>
    <w:rsid w:val="004378C7"/>
    <w:rsid w:val="0043798F"/>
    <w:rsid w:val="004379A7"/>
    <w:rsid w:val="004379AD"/>
    <w:rsid w:val="00437A1C"/>
    <w:rsid w:val="00437A28"/>
    <w:rsid w:val="00437A4C"/>
    <w:rsid w:val="00437A59"/>
    <w:rsid w:val="00437ABA"/>
    <w:rsid w:val="00437B1A"/>
    <w:rsid w:val="00437B22"/>
    <w:rsid w:val="00437B75"/>
    <w:rsid w:val="00437BA9"/>
    <w:rsid w:val="00437BDD"/>
    <w:rsid w:val="00437C13"/>
    <w:rsid w:val="00437C35"/>
    <w:rsid w:val="00437C3C"/>
    <w:rsid w:val="00437C49"/>
    <w:rsid w:val="00437C58"/>
    <w:rsid w:val="00437C85"/>
    <w:rsid w:val="00437C92"/>
    <w:rsid w:val="00437C9F"/>
    <w:rsid w:val="00437CD4"/>
    <w:rsid w:val="00437CDA"/>
    <w:rsid w:val="00437CF2"/>
    <w:rsid w:val="00437D2F"/>
    <w:rsid w:val="00437D44"/>
    <w:rsid w:val="00437DD6"/>
    <w:rsid w:val="00437E15"/>
    <w:rsid w:val="00437E16"/>
    <w:rsid w:val="00437E17"/>
    <w:rsid w:val="00437E77"/>
    <w:rsid w:val="00437E8F"/>
    <w:rsid w:val="00437EA4"/>
    <w:rsid w:val="00437EA6"/>
    <w:rsid w:val="00437EE4"/>
    <w:rsid w:val="00437F2E"/>
    <w:rsid w:val="00437F34"/>
    <w:rsid w:val="00437FBB"/>
    <w:rsid w:val="00437FDC"/>
    <w:rsid w:val="0044000D"/>
    <w:rsid w:val="0044004B"/>
    <w:rsid w:val="00440060"/>
    <w:rsid w:val="004400B8"/>
    <w:rsid w:val="004400E2"/>
    <w:rsid w:val="004400FD"/>
    <w:rsid w:val="00440155"/>
    <w:rsid w:val="0044016F"/>
    <w:rsid w:val="0044017C"/>
    <w:rsid w:val="0044019A"/>
    <w:rsid w:val="004401B0"/>
    <w:rsid w:val="004401CF"/>
    <w:rsid w:val="004401F5"/>
    <w:rsid w:val="00440227"/>
    <w:rsid w:val="0044026F"/>
    <w:rsid w:val="004402B7"/>
    <w:rsid w:val="004402C3"/>
    <w:rsid w:val="004402E6"/>
    <w:rsid w:val="00440330"/>
    <w:rsid w:val="0044036C"/>
    <w:rsid w:val="00440373"/>
    <w:rsid w:val="0044037A"/>
    <w:rsid w:val="004403B2"/>
    <w:rsid w:val="004403B4"/>
    <w:rsid w:val="004403D0"/>
    <w:rsid w:val="004403D5"/>
    <w:rsid w:val="00440408"/>
    <w:rsid w:val="00440426"/>
    <w:rsid w:val="0044046D"/>
    <w:rsid w:val="00440511"/>
    <w:rsid w:val="0044053F"/>
    <w:rsid w:val="00440541"/>
    <w:rsid w:val="004405BF"/>
    <w:rsid w:val="004405E1"/>
    <w:rsid w:val="0044064B"/>
    <w:rsid w:val="00440668"/>
    <w:rsid w:val="0044067C"/>
    <w:rsid w:val="00440685"/>
    <w:rsid w:val="00440689"/>
    <w:rsid w:val="004406B4"/>
    <w:rsid w:val="004406DB"/>
    <w:rsid w:val="0044073A"/>
    <w:rsid w:val="00440759"/>
    <w:rsid w:val="00440781"/>
    <w:rsid w:val="004407AE"/>
    <w:rsid w:val="004407CE"/>
    <w:rsid w:val="004407CF"/>
    <w:rsid w:val="0044085C"/>
    <w:rsid w:val="00440876"/>
    <w:rsid w:val="004408F5"/>
    <w:rsid w:val="0044090D"/>
    <w:rsid w:val="00440922"/>
    <w:rsid w:val="00440932"/>
    <w:rsid w:val="00440946"/>
    <w:rsid w:val="00440950"/>
    <w:rsid w:val="00440965"/>
    <w:rsid w:val="00440986"/>
    <w:rsid w:val="004409CD"/>
    <w:rsid w:val="004409E2"/>
    <w:rsid w:val="004409E3"/>
    <w:rsid w:val="004409FB"/>
    <w:rsid w:val="00440A86"/>
    <w:rsid w:val="00440AAA"/>
    <w:rsid w:val="00440AEB"/>
    <w:rsid w:val="00440B04"/>
    <w:rsid w:val="00440B08"/>
    <w:rsid w:val="00440B1A"/>
    <w:rsid w:val="00440B27"/>
    <w:rsid w:val="00440B29"/>
    <w:rsid w:val="00440B46"/>
    <w:rsid w:val="00440B94"/>
    <w:rsid w:val="00440B95"/>
    <w:rsid w:val="00440B9A"/>
    <w:rsid w:val="00440BBE"/>
    <w:rsid w:val="00440BCA"/>
    <w:rsid w:val="00440C23"/>
    <w:rsid w:val="00440C32"/>
    <w:rsid w:val="00440C37"/>
    <w:rsid w:val="00440C7A"/>
    <w:rsid w:val="00440C7E"/>
    <w:rsid w:val="00440CA0"/>
    <w:rsid w:val="00440CB5"/>
    <w:rsid w:val="00440CCA"/>
    <w:rsid w:val="00440CE3"/>
    <w:rsid w:val="00440D1D"/>
    <w:rsid w:val="00440D25"/>
    <w:rsid w:val="00440D93"/>
    <w:rsid w:val="00440DB8"/>
    <w:rsid w:val="00440DBA"/>
    <w:rsid w:val="00440DF6"/>
    <w:rsid w:val="00440E5A"/>
    <w:rsid w:val="00440E7F"/>
    <w:rsid w:val="00440E8D"/>
    <w:rsid w:val="00440EAC"/>
    <w:rsid w:val="00440EC5"/>
    <w:rsid w:val="00440EFA"/>
    <w:rsid w:val="00440F01"/>
    <w:rsid w:val="00440F30"/>
    <w:rsid w:val="00440F70"/>
    <w:rsid w:val="00440FDC"/>
    <w:rsid w:val="00440FED"/>
    <w:rsid w:val="0044101F"/>
    <w:rsid w:val="00441027"/>
    <w:rsid w:val="00441063"/>
    <w:rsid w:val="00441081"/>
    <w:rsid w:val="004410C3"/>
    <w:rsid w:val="00441100"/>
    <w:rsid w:val="00441111"/>
    <w:rsid w:val="0044112F"/>
    <w:rsid w:val="00441145"/>
    <w:rsid w:val="0044114E"/>
    <w:rsid w:val="0044116B"/>
    <w:rsid w:val="0044116F"/>
    <w:rsid w:val="00441197"/>
    <w:rsid w:val="004411A4"/>
    <w:rsid w:val="004411B8"/>
    <w:rsid w:val="004411CC"/>
    <w:rsid w:val="004411E9"/>
    <w:rsid w:val="0044124C"/>
    <w:rsid w:val="0044125C"/>
    <w:rsid w:val="00441265"/>
    <w:rsid w:val="00441300"/>
    <w:rsid w:val="0044132D"/>
    <w:rsid w:val="0044132F"/>
    <w:rsid w:val="00441353"/>
    <w:rsid w:val="00441388"/>
    <w:rsid w:val="004413A9"/>
    <w:rsid w:val="004413AD"/>
    <w:rsid w:val="00441440"/>
    <w:rsid w:val="00441463"/>
    <w:rsid w:val="0044146D"/>
    <w:rsid w:val="0044147C"/>
    <w:rsid w:val="004414AB"/>
    <w:rsid w:val="004414AD"/>
    <w:rsid w:val="004414F7"/>
    <w:rsid w:val="00441567"/>
    <w:rsid w:val="004415B8"/>
    <w:rsid w:val="0044163C"/>
    <w:rsid w:val="0044168F"/>
    <w:rsid w:val="004416B3"/>
    <w:rsid w:val="00441719"/>
    <w:rsid w:val="0044176A"/>
    <w:rsid w:val="0044177D"/>
    <w:rsid w:val="004417CA"/>
    <w:rsid w:val="004417DF"/>
    <w:rsid w:val="004417EE"/>
    <w:rsid w:val="004417FA"/>
    <w:rsid w:val="00441817"/>
    <w:rsid w:val="0044183D"/>
    <w:rsid w:val="00441849"/>
    <w:rsid w:val="00441850"/>
    <w:rsid w:val="00441867"/>
    <w:rsid w:val="00441869"/>
    <w:rsid w:val="004418F0"/>
    <w:rsid w:val="0044194C"/>
    <w:rsid w:val="0044195F"/>
    <w:rsid w:val="00441979"/>
    <w:rsid w:val="00441994"/>
    <w:rsid w:val="004419E2"/>
    <w:rsid w:val="00441A04"/>
    <w:rsid w:val="00441A05"/>
    <w:rsid w:val="00441A51"/>
    <w:rsid w:val="00441A58"/>
    <w:rsid w:val="00441A64"/>
    <w:rsid w:val="00441A66"/>
    <w:rsid w:val="00441A68"/>
    <w:rsid w:val="00441AE2"/>
    <w:rsid w:val="00441B19"/>
    <w:rsid w:val="00441B78"/>
    <w:rsid w:val="00441B83"/>
    <w:rsid w:val="00441B86"/>
    <w:rsid w:val="00441B8C"/>
    <w:rsid w:val="00441B9D"/>
    <w:rsid w:val="00441BC8"/>
    <w:rsid w:val="00441BCD"/>
    <w:rsid w:val="00441C12"/>
    <w:rsid w:val="00441CBA"/>
    <w:rsid w:val="00441CDD"/>
    <w:rsid w:val="00441CE1"/>
    <w:rsid w:val="00441D03"/>
    <w:rsid w:val="00441D15"/>
    <w:rsid w:val="00441D1D"/>
    <w:rsid w:val="00441D2F"/>
    <w:rsid w:val="00441D37"/>
    <w:rsid w:val="00441D74"/>
    <w:rsid w:val="00441D8C"/>
    <w:rsid w:val="00441D90"/>
    <w:rsid w:val="00441DCA"/>
    <w:rsid w:val="00441DDE"/>
    <w:rsid w:val="00441E37"/>
    <w:rsid w:val="00441E46"/>
    <w:rsid w:val="00441ED1"/>
    <w:rsid w:val="00441ED8"/>
    <w:rsid w:val="00441EE9"/>
    <w:rsid w:val="00441F30"/>
    <w:rsid w:val="00441F4A"/>
    <w:rsid w:val="00441FA9"/>
    <w:rsid w:val="00441FAD"/>
    <w:rsid w:val="00442017"/>
    <w:rsid w:val="0044204D"/>
    <w:rsid w:val="00442072"/>
    <w:rsid w:val="00442093"/>
    <w:rsid w:val="004420BA"/>
    <w:rsid w:val="004420D9"/>
    <w:rsid w:val="004420DF"/>
    <w:rsid w:val="004420E4"/>
    <w:rsid w:val="00442111"/>
    <w:rsid w:val="00442148"/>
    <w:rsid w:val="0044214F"/>
    <w:rsid w:val="004421B3"/>
    <w:rsid w:val="004421C9"/>
    <w:rsid w:val="004421EC"/>
    <w:rsid w:val="0044220A"/>
    <w:rsid w:val="0044221C"/>
    <w:rsid w:val="00442229"/>
    <w:rsid w:val="00442237"/>
    <w:rsid w:val="00442265"/>
    <w:rsid w:val="0044227B"/>
    <w:rsid w:val="00442281"/>
    <w:rsid w:val="004422A2"/>
    <w:rsid w:val="004422D6"/>
    <w:rsid w:val="00442312"/>
    <w:rsid w:val="0044235A"/>
    <w:rsid w:val="00442394"/>
    <w:rsid w:val="004423B6"/>
    <w:rsid w:val="004423CF"/>
    <w:rsid w:val="004423D7"/>
    <w:rsid w:val="004423FA"/>
    <w:rsid w:val="0044240B"/>
    <w:rsid w:val="00442437"/>
    <w:rsid w:val="00442494"/>
    <w:rsid w:val="004424A8"/>
    <w:rsid w:val="004424FF"/>
    <w:rsid w:val="0044250F"/>
    <w:rsid w:val="0044257C"/>
    <w:rsid w:val="0044257F"/>
    <w:rsid w:val="004425A7"/>
    <w:rsid w:val="004425F3"/>
    <w:rsid w:val="00442618"/>
    <w:rsid w:val="0044268C"/>
    <w:rsid w:val="004426A9"/>
    <w:rsid w:val="004426C1"/>
    <w:rsid w:val="00442740"/>
    <w:rsid w:val="00442786"/>
    <w:rsid w:val="00442796"/>
    <w:rsid w:val="004427A0"/>
    <w:rsid w:val="004427D2"/>
    <w:rsid w:val="004427E6"/>
    <w:rsid w:val="004427EC"/>
    <w:rsid w:val="0044281E"/>
    <w:rsid w:val="00442822"/>
    <w:rsid w:val="004428A3"/>
    <w:rsid w:val="004428A8"/>
    <w:rsid w:val="004428C7"/>
    <w:rsid w:val="004428CE"/>
    <w:rsid w:val="004428E9"/>
    <w:rsid w:val="00442996"/>
    <w:rsid w:val="004429AC"/>
    <w:rsid w:val="004429ED"/>
    <w:rsid w:val="00442A0A"/>
    <w:rsid w:val="00442A13"/>
    <w:rsid w:val="00442A1C"/>
    <w:rsid w:val="00442A9F"/>
    <w:rsid w:val="00442ADA"/>
    <w:rsid w:val="00442AF8"/>
    <w:rsid w:val="00442B24"/>
    <w:rsid w:val="00442B82"/>
    <w:rsid w:val="00442BF5"/>
    <w:rsid w:val="00442C08"/>
    <w:rsid w:val="00442C50"/>
    <w:rsid w:val="00442C60"/>
    <w:rsid w:val="00442C87"/>
    <w:rsid w:val="00442C8F"/>
    <w:rsid w:val="00442CBB"/>
    <w:rsid w:val="00442D0D"/>
    <w:rsid w:val="00442D28"/>
    <w:rsid w:val="00442D58"/>
    <w:rsid w:val="00442D74"/>
    <w:rsid w:val="00442DE0"/>
    <w:rsid w:val="00442DEE"/>
    <w:rsid w:val="00442DF6"/>
    <w:rsid w:val="00442E3A"/>
    <w:rsid w:val="00442E61"/>
    <w:rsid w:val="00442F02"/>
    <w:rsid w:val="00442F04"/>
    <w:rsid w:val="00442F3D"/>
    <w:rsid w:val="00442F8E"/>
    <w:rsid w:val="00442F9A"/>
    <w:rsid w:val="00443012"/>
    <w:rsid w:val="00443045"/>
    <w:rsid w:val="0044304F"/>
    <w:rsid w:val="00443053"/>
    <w:rsid w:val="0044308D"/>
    <w:rsid w:val="00443092"/>
    <w:rsid w:val="004430AA"/>
    <w:rsid w:val="0044310A"/>
    <w:rsid w:val="0044310B"/>
    <w:rsid w:val="0044315A"/>
    <w:rsid w:val="0044315B"/>
    <w:rsid w:val="00443182"/>
    <w:rsid w:val="004431BC"/>
    <w:rsid w:val="004431C0"/>
    <w:rsid w:val="004431EA"/>
    <w:rsid w:val="004431F0"/>
    <w:rsid w:val="0044325C"/>
    <w:rsid w:val="004432CF"/>
    <w:rsid w:val="004432E7"/>
    <w:rsid w:val="004432E8"/>
    <w:rsid w:val="00443308"/>
    <w:rsid w:val="00443311"/>
    <w:rsid w:val="00443340"/>
    <w:rsid w:val="00443360"/>
    <w:rsid w:val="0044339B"/>
    <w:rsid w:val="0044341F"/>
    <w:rsid w:val="004434AA"/>
    <w:rsid w:val="004434DB"/>
    <w:rsid w:val="00443503"/>
    <w:rsid w:val="00443520"/>
    <w:rsid w:val="00443582"/>
    <w:rsid w:val="00443597"/>
    <w:rsid w:val="004435DA"/>
    <w:rsid w:val="004435EB"/>
    <w:rsid w:val="00443642"/>
    <w:rsid w:val="0044368D"/>
    <w:rsid w:val="004436C1"/>
    <w:rsid w:val="00443706"/>
    <w:rsid w:val="0044370B"/>
    <w:rsid w:val="0044372F"/>
    <w:rsid w:val="0044375C"/>
    <w:rsid w:val="0044378D"/>
    <w:rsid w:val="00443793"/>
    <w:rsid w:val="004437C4"/>
    <w:rsid w:val="0044388C"/>
    <w:rsid w:val="004438B1"/>
    <w:rsid w:val="004438E7"/>
    <w:rsid w:val="004438F7"/>
    <w:rsid w:val="00443907"/>
    <w:rsid w:val="00443923"/>
    <w:rsid w:val="00443932"/>
    <w:rsid w:val="00443977"/>
    <w:rsid w:val="00443985"/>
    <w:rsid w:val="004439A4"/>
    <w:rsid w:val="004439AA"/>
    <w:rsid w:val="00443A00"/>
    <w:rsid w:val="00443A17"/>
    <w:rsid w:val="00443A2E"/>
    <w:rsid w:val="00443A52"/>
    <w:rsid w:val="00443A56"/>
    <w:rsid w:val="00443A57"/>
    <w:rsid w:val="00443AB0"/>
    <w:rsid w:val="00443ADA"/>
    <w:rsid w:val="00443B0A"/>
    <w:rsid w:val="00443B11"/>
    <w:rsid w:val="00443B2B"/>
    <w:rsid w:val="00443B3D"/>
    <w:rsid w:val="00443B4C"/>
    <w:rsid w:val="00443B68"/>
    <w:rsid w:val="00443B72"/>
    <w:rsid w:val="00443BA9"/>
    <w:rsid w:val="00443BB0"/>
    <w:rsid w:val="00443BD4"/>
    <w:rsid w:val="00443BDE"/>
    <w:rsid w:val="00443BE3"/>
    <w:rsid w:val="00443C28"/>
    <w:rsid w:val="00443C6C"/>
    <w:rsid w:val="00443C7B"/>
    <w:rsid w:val="00443C81"/>
    <w:rsid w:val="00443C94"/>
    <w:rsid w:val="00443CA0"/>
    <w:rsid w:val="00443CFF"/>
    <w:rsid w:val="00443D00"/>
    <w:rsid w:val="00443D02"/>
    <w:rsid w:val="00443D57"/>
    <w:rsid w:val="00443D9D"/>
    <w:rsid w:val="00443DA2"/>
    <w:rsid w:val="00443E08"/>
    <w:rsid w:val="00443E1C"/>
    <w:rsid w:val="00443E72"/>
    <w:rsid w:val="00443EB6"/>
    <w:rsid w:val="00443EC9"/>
    <w:rsid w:val="00443ED5"/>
    <w:rsid w:val="00443EE6"/>
    <w:rsid w:val="00443EEA"/>
    <w:rsid w:val="00443EEF"/>
    <w:rsid w:val="00443F5C"/>
    <w:rsid w:val="00443F63"/>
    <w:rsid w:val="00443F8D"/>
    <w:rsid w:val="00443FA6"/>
    <w:rsid w:val="00443FBD"/>
    <w:rsid w:val="00443FD3"/>
    <w:rsid w:val="004440A8"/>
    <w:rsid w:val="004440AE"/>
    <w:rsid w:val="004440CB"/>
    <w:rsid w:val="004440DA"/>
    <w:rsid w:val="004440DE"/>
    <w:rsid w:val="0044410B"/>
    <w:rsid w:val="00444129"/>
    <w:rsid w:val="0044415E"/>
    <w:rsid w:val="004441A2"/>
    <w:rsid w:val="004441A5"/>
    <w:rsid w:val="004441CD"/>
    <w:rsid w:val="0044423C"/>
    <w:rsid w:val="00444274"/>
    <w:rsid w:val="00444283"/>
    <w:rsid w:val="004442E4"/>
    <w:rsid w:val="0044433B"/>
    <w:rsid w:val="004443AE"/>
    <w:rsid w:val="004443B2"/>
    <w:rsid w:val="004443CA"/>
    <w:rsid w:val="00444405"/>
    <w:rsid w:val="0044443F"/>
    <w:rsid w:val="00444481"/>
    <w:rsid w:val="0044448F"/>
    <w:rsid w:val="0044454F"/>
    <w:rsid w:val="00444552"/>
    <w:rsid w:val="0044456F"/>
    <w:rsid w:val="00444591"/>
    <w:rsid w:val="004445A2"/>
    <w:rsid w:val="004445E4"/>
    <w:rsid w:val="00444643"/>
    <w:rsid w:val="00444666"/>
    <w:rsid w:val="00444668"/>
    <w:rsid w:val="0044467C"/>
    <w:rsid w:val="004446C7"/>
    <w:rsid w:val="004446EB"/>
    <w:rsid w:val="0044470C"/>
    <w:rsid w:val="00444777"/>
    <w:rsid w:val="004447E9"/>
    <w:rsid w:val="0044480F"/>
    <w:rsid w:val="00444811"/>
    <w:rsid w:val="00444844"/>
    <w:rsid w:val="00444851"/>
    <w:rsid w:val="00444874"/>
    <w:rsid w:val="004448AF"/>
    <w:rsid w:val="004448CA"/>
    <w:rsid w:val="004448E8"/>
    <w:rsid w:val="00444909"/>
    <w:rsid w:val="00444941"/>
    <w:rsid w:val="00444980"/>
    <w:rsid w:val="004449D8"/>
    <w:rsid w:val="004449F0"/>
    <w:rsid w:val="00444A11"/>
    <w:rsid w:val="00444A17"/>
    <w:rsid w:val="00444A36"/>
    <w:rsid w:val="00444A39"/>
    <w:rsid w:val="00444A83"/>
    <w:rsid w:val="00444AA8"/>
    <w:rsid w:val="00444AE5"/>
    <w:rsid w:val="00444B2B"/>
    <w:rsid w:val="00444B5C"/>
    <w:rsid w:val="00444B81"/>
    <w:rsid w:val="00444BA2"/>
    <w:rsid w:val="00444BB8"/>
    <w:rsid w:val="00444C0D"/>
    <w:rsid w:val="00444C29"/>
    <w:rsid w:val="00444C48"/>
    <w:rsid w:val="00444C50"/>
    <w:rsid w:val="00444C62"/>
    <w:rsid w:val="00444C64"/>
    <w:rsid w:val="00444C72"/>
    <w:rsid w:val="00444CBD"/>
    <w:rsid w:val="00444D01"/>
    <w:rsid w:val="00444D07"/>
    <w:rsid w:val="00444D11"/>
    <w:rsid w:val="00444D46"/>
    <w:rsid w:val="00444D6B"/>
    <w:rsid w:val="00444D82"/>
    <w:rsid w:val="00444D92"/>
    <w:rsid w:val="00444DB0"/>
    <w:rsid w:val="00444DFE"/>
    <w:rsid w:val="00444E03"/>
    <w:rsid w:val="00444E46"/>
    <w:rsid w:val="00444E6E"/>
    <w:rsid w:val="00444E88"/>
    <w:rsid w:val="00444EBE"/>
    <w:rsid w:val="00444F1A"/>
    <w:rsid w:val="00444F1D"/>
    <w:rsid w:val="00444F3F"/>
    <w:rsid w:val="00444FC6"/>
    <w:rsid w:val="00444FD3"/>
    <w:rsid w:val="00445010"/>
    <w:rsid w:val="0044502E"/>
    <w:rsid w:val="0044504C"/>
    <w:rsid w:val="00445054"/>
    <w:rsid w:val="0044505D"/>
    <w:rsid w:val="00445092"/>
    <w:rsid w:val="00445098"/>
    <w:rsid w:val="004450E8"/>
    <w:rsid w:val="00445109"/>
    <w:rsid w:val="0044517A"/>
    <w:rsid w:val="00445180"/>
    <w:rsid w:val="00445193"/>
    <w:rsid w:val="0044527D"/>
    <w:rsid w:val="0044528A"/>
    <w:rsid w:val="00445341"/>
    <w:rsid w:val="0044535C"/>
    <w:rsid w:val="00445388"/>
    <w:rsid w:val="004453DE"/>
    <w:rsid w:val="004453E9"/>
    <w:rsid w:val="004453F9"/>
    <w:rsid w:val="004453FA"/>
    <w:rsid w:val="00445410"/>
    <w:rsid w:val="004454CA"/>
    <w:rsid w:val="004454E5"/>
    <w:rsid w:val="004455FC"/>
    <w:rsid w:val="00445609"/>
    <w:rsid w:val="00445622"/>
    <w:rsid w:val="0044571E"/>
    <w:rsid w:val="0044571F"/>
    <w:rsid w:val="00445730"/>
    <w:rsid w:val="0044573A"/>
    <w:rsid w:val="00445770"/>
    <w:rsid w:val="004457F1"/>
    <w:rsid w:val="0044580B"/>
    <w:rsid w:val="004458A0"/>
    <w:rsid w:val="0044590C"/>
    <w:rsid w:val="0044590F"/>
    <w:rsid w:val="00445927"/>
    <w:rsid w:val="0044593E"/>
    <w:rsid w:val="00445955"/>
    <w:rsid w:val="0044596B"/>
    <w:rsid w:val="0044597C"/>
    <w:rsid w:val="0044598D"/>
    <w:rsid w:val="004459D9"/>
    <w:rsid w:val="00445A0A"/>
    <w:rsid w:val="00445A42"/>
    <w:rsid w:val="00445A6E"/>
    <w:rsid w:val="00445B59"/>
    <w:rsid w:val="00445B62"/>
    <w:rsid w:val="00445BBF"/>
    <w:rsid w:val="00445BFB"/>
    <w:rsid w:val="00445C04"/>
    <w:rsid w:val="00445C2C"/>
    <w:rsid w:val="00445C3C"/>
    <w:rsid w:val="00445C88"/>
    <w:rsid w:val="00445C8F"/>
    <w:rsid w:val="00445CA5"/>
    <w:rsid w:val="00445CBA"/>
    <w:rsid w:val="00445CCA"/>
    <w:rsid w:val="00445D12"/>
    <w:rsid w:val="00445D6E"/>
    <w:rsid w:val="00445DBC"/>
    <w:rsid w:val="00445DDE"/>
    <w:rsid w:val="00445E03"/>
    <w:rsid w:val="00445E05"/>
    <w:rsid w:val="00445E10"/>
    <w:rsid w:val="00445E2C"/>
    <w:rsid w:val="00445E2D"/>
    <w:rsid w:val="00445E77"/>
    <w:rsid w:val="00445E7C"/>
    <w:rsid w:val="00445EE0"/>
    <w:rsid w:val="00445F22"/>
    <w:rsid w:val="00445F3A"/>
    <w:rsid w:val="00445F50"/>
    <w:rsid w:val="00445FA3"/>
    <w:rsid w:val="00445FD1"/>
    <w:rsid w:val="00445FDF"/>
    <w:rsid w:val="00445FE9"/>
    <w:rsid w:val="0044600E"/>
    <w:rsid w:val="0044601C"/>
    <w:rsid w:val="00446059"/>
    <w:rsid w:val="004460AC"/>
    <w:rsid w:val="004460B5"/>
    <w:rsid w:val="004460D5"/>
    <w:rsid w:val="004460DB"/>
    <w:rsid w:val="00446143"/>
    <w:rsid w:val="00446152"/>
    <w:rsid w:val="00446184"/>
    <w:rsid w:val="004461A6"/>
    <w:rsid w:val="004461BC"/>
    <w:rsid w:val="004461C2"/>
    <w:rsid w:val="0044622A"/>
    <w:rsid w:val="00446245"/>
    <w:rsid w:val="0044624E"/>
    <w:rsid w:val="00446254"/>
    <w:rsid w:val="00446275"/>
    <w:rsid w:val="00446294"/>
    <w:rsid w:val="004462BB"/>
    <w:rsid w:val="004462C4"/>
    <w:rsid w:val="004462C7"/>
    <w:rsid w:val="004462D9"/>
    <w:rsid w:val="004462DB"/>
    <w:rsid w:val="0044631E"/>
    <w:rsid w:val="0044633F"/>
    <w:rsid w:val="00446342"/>
    <w:rsid w:val="0044634F"/>
    <w:rsid w:val="0044635B"/>
    <w:rsid w:val="0044637C"/>
    <w:rsid w:val="004463A7"/>
    <w:rsid w:val="004463AC"/>
    <w:rsid w:val="004463B4"/>
    <w:rsid w:val="004463FC"/>
    <w:rsid w:val="00446411"/>
    <w:rsid w:val="00446419"/>
    <w:rsid w:val="00446446"/>
    <w:rsid w:val="00446472"/>
    <w:rsid w:val="00446477"/>
    <w:rsid w:val="004464ED"/>
    <w:rsid w:val="00446504"/>
    <w:rsid w:val="00446509"/>
    <w:rsid w:val="00446518"/>
    <w:rsid w:val="0044653D"/>
    <w:rsid w:val="00446572"/>
    <w:rsid w:val="00446590"/>
    <w:rsid w:val="00446599"/>
    <w:rsid w:val="0044659D"/>
    <w:rsid w:val="00446650"/>
    <w:rsid w:val="0044666C"/>
    <w:rsid w:val="0044667A"/>
    <w:rsid w:val="004466AF"/>
    <w:rsid w:val="004466BC"/>
    <w:rsid w:val="004466EB"/>
    <w:rsid w:val="0044670E"/>
    <w:rsid w:val="00446765"/>
    <w:rsid w:val="004467C5"/>
    <w:rsid w:val="004467C9"/>
    <w:rsid w:val="004467D5"/>
    <w:rsid w:val="004467FF"/>
    <w:rsid w:val="00446819"/>
    <w:rsid w:val="0044686E"/>
    <w:rsid w:val="00446891"/>
    <w:rsid w:val="004468A7"/>
    <w:rsid w:val="004468C3"/>
    <w:rsid w:val="00446903"/>
    <w:rsid w:val="0044691C"/>
    <w:rsid w:val="00446959"/>
    <w:rsid w:val="0044696F"/>
    <w:rsid w:val="0044697C"/>
    <w:rsid w:val="0044698A"/>
    <w:rsid w:val="004469D1"/>
    <w:rsid w:val="004469DA"/>
    <w:rsid w:val="00446A2C"/>
    <w:rsid w:val="00446A57"/>
    <w:rsid w:val="00446B17"/>
    <w:rsid w:val="00446B31"/>
    <w:rsid w:val="00446B40"/>
    <w:rsid w:val="00446B43"/>
    <w:rsid w:val="00446B66"/>
    <w:rsid w:val="00446B7D"/>
    <w:rsid w:val="00446B80"/>
    <w:rsid w:val="00446B8A"/>
    <w:rsid w:val="00446BF6"/>
    <w:rsid w:val="00446C3C"/>
    <w:rsid w:val="00446CEF"/>
    <w:rsid w:val="00446D2E"/>
    <w:rsid w:val="00446D75"/>
    <w:rsid w:val="00446D99"/>
    <w:rsid w:val="00446DB0"/>
    <w:rsid w:val="00446DF6"/>
    <w:rsid w:val="00446E25"/>
    <w:rsid w:val="00446E58"/>
    <w:rsid w:val="00446EB1"/>
    <w:rsid w:val="00446F76"/>
    <w:rsid w:val="00446FD9"/>
    <w:rsid w:val="00446FE5"/>
    <w:rsid w:val="00447010"/>
    <w:rsid w:val="00447032"/>
    <w:rsid w:val="00447040"/>
    <w:rsid w:val="0044704F"/>
    <w:rsid w:val="004470DF"/>
    <w:rsid w:val="004471A8"/>
    <w:rsid w:val="004471AA"/>
    <w:rsid w:val="004471B3"/>
    <w:rsid w:val="004471BD"/>
    <w:rsid w:val="004471BF"/>
    <w:rsid w:val="004471DD"/>
    <w:rsid w:val="004471F7"/>
    <w:rsid w:val="004472AC"/>
    <w:rsid w:val="004472D0"/>
    <w:rsid w:val="004472DC"/>
    <w:rsid w:val="004472F4"/>
    <w:rsid w:val="0044732F"/>
    <w:rsid w:val="0044733A"/>
    <w:rsid w:val="00447380"/>
    <w:rsid w:val="004473C0"/>
    <w:rsid w:val="004473C9"/>
    <w:rsid w:val="004473D6"/>
    <w:rsid w:val="00447403"/>
    <w:rsid w:val="0044740A"/>
    <w:rsid w:val="0044745B"/>
    <w:rsid w:val="00447487"/>
    <w:rsid w:val="004474AD"/>
    <w:rsid w:val="00447507"/>
    <w:rsid w:val="00447516"/>
    <w:rsid w:val="00447528"/>
    <w:rsid w:val="00447578"/>
    <w:rsid w:val="00447601"/>
    <w:rsid w:val="00447678"/>
    <w:rsid w:val="00447680"/>
    <w:rsid w:val="00447684"/>
    <w:rsid w:val="00447696"/>
    <w:rsid w:val="004476B0"/>
    <w:rsid w:val="0044771B"/>
    <w:rsid w:val="0044772D"/>
    <w:rsid w:val="0044772E"/>
    <w:rsid w:val="00447743"/>
    <w:rsid w:val="0044778B"/>
    <w:rsid w:val="004477E6"/>
    <w:rsid w:val="00447827"/>
    <w:rsid w:val="00447846"/>
    <w:rsid w:val="00447866"/>
    <w:rsid w:val="0044789D"/>
    <w:rsid w:val="004478BD"/>
    <w:rsid w:val="004478C6"/>
    <w:rsid w:val="004478E9"/>
    <w:rsid w:val="00447914"/>
    <w:rsid w:val="0044793A"/>
    <w:rsid w:val="0044793E"/>
    <w:rsid w:val="0044798F"/>
    <w:rsid w:val="0044799D"/>
    <w:rsid w:val="004479A5"/>
    <w:rsid w:val="004479DE"/>
    <w:rsid w:val="00447A0C"/>
    <w:rsid w:val="00447A27"/>
    <w:rsid w:val="00447A51"/>
    <w:rsid w:val="00447ABA"/>
    <w:rsid w:val="00447AEA"/>
    <w:rsid w:val="00447AFC"/>
    <w:rsid w:val="00447B01"/>
    <w:rsid w:val="00447B33"/>
    <w:rsid w:val="00447B7F"/>
    <w:rsid w:val="00447B9B"/>
    <w:rsid w:val="00447BAA"/>
    <w:rsid w:val="00447BE5"/>
    <w:rsid w:val="00447C0D"/>
    <w:rsid w:val="00447C3D"/>
    <w:rsid w:val="00447C4E"/>
    <w:rsid w:val="00447C4F"/>
    <w:rsid w:val="00447C93"/>
    <w:rsid w:val="00447CA6"/>
    <w:rsid w:val="00447CAD"/>
    <w:rsid w:val="00447CAF"/>
    <w:rsid w:val="00447D0C"/>
    <w:rsid w:val="00447D86"/>
    <w:rsid w:val="00447DAC"/>
    <w:rsid w:val="00447E01"/>
    <w:rsid w:val="00447E1A"/>
    <w:rsid w:val="00447E30"/>
    <w:rsid w:val="00447E47"/>
    <w:rsid w:val="00447EBA"/>
    <w:rsid w:val="00447EC0"/>
    <w:rsid w:val="00447ECA"/>
    <w:rsid w:val="00447EE6"/>
    <w:rsid w:val="00447EE7"/>
    <w:rsid w:val="00447F28"/>
    <w:rsid w:val="00447F38"/>
    <w:rsid w:val="00447F5A"/>
    <w:rsid w:val="00447FAA"/>
    <w:rsid w:val="00447FB1"/>
    <w:rsid w:val="0045000B"/>
    <w:rsid w:val="0045005A"/>
    <w:rsid w:val="0045006B"/>
    <w:rsid w:val="00450073"/>
    <w:rsid w:val="0045009B"/>
    <w:rsid w:val="004500AB"/>
    <w:rsid w:val="004500BC"/>
    <w:rsid w:val="004500C1"/>
    <w:rsid w:val="004500D0"/>
    <w:rsid w:val="004500E4"/>
    <w:rsid w:val="004500F5"/>
    <w:rsid w:val="00450143"/>
    <w:rsid w:val="00450193"/>
    <w:rsid w:val="0045019E"/>
    <w:rsid w:val="004501CD"/>
    <w:rsid w:val="004501D6"/>
    <w:rsid w:val="004501DB"/>
    <w:rsid w:val="004501DD"/>
    <w:rsid w:val="004502A0"/>
    <w:rsid w:val="00450304"/>
    <w:rsid w:val="00450318"/>
    <w:rsid w:val="0045037E"/>
    <w:rsid w:val="004503FC"/>
    <w:rsid w:val="004503FF"/>
    <w:rsid w:val="0045044B"/>
    <w:rsid w:val="0045046F"/>
    <w:rsid w:val="00450474"/>
    <w:rsid w:val="004504CE"/>
    <w:rsid w:val="004504DD"/>
    <w:rsid w:val="004504E9"/>
    <w:rsid w:val="0045050D"/>
    <w:rsid w:val="00450542"/>
    <w:rsid w:val="00450549"/>
    <w:rsid w:val="0045054D"/>
    <w:rsid w:val="00450575"/>
    <w:rsid w:val="0045058D"/>
    <w:rsid w:val="00450595"/>
    <w:rsid w:val="0045059C"/>
    <w:rsid w:val="004505B7"/>
    <w:rsid w:val="004505C0"/>
    <w:rsid w:val="00450655"/>
    <w:rsid w:val="00450666"/>
    <w:rsid w:val="0045066D"/>
    <w:rsid w:val="00450673"/>
    <w:rsid w:val="004506BA"/>
    <w:rsid w:val="004506CB"/>
    <w:rsid w:val="0045073D"/>
    <w:rsid w:val="00450740"/>
    <w:rsid w:val="0045075B"/>
    <w:rsid w:val="00450768"/>
    <w:rsid w:val="00450777"/>
    <w:rsid w:val="00450780"/>
    <w:rsid w:val="00450793"/>
    <w:rsid w:val="004507C6"/>
    <w:rsid w:val="004507C9"/>
    <w:rsid w:val="0045084C"/>
    <w:rsid w:val="0045087E"/>
    <w:rsid w:val="004508A4"/>
    <w:rsid w:val="004508A7"/>
    <w:rsid w:val="004508C1"/>
    <w:rsid w:val="004508C6"/>
    <w:rsid w:val="004508DE"/>
    <w:rsid w:val="0045091F"/>
    <w:rsid w:val="00450941"/>
    <w:rsid w:val="0045094C"/>
    <w:rsid w:val="0045095C"/>
    <w:rsid w:val="00450A02"/>
    <w:rsid w:val="00450A19"/>
    <w:rsid w:val="00450A25"/>
    <w:rsid w:val="00450A2D"/>
    <w:rsid w:val="00450A35"/>
    <w:rsid w:val="00450A70"/>
    <w:rsid w:val="00450A91"/>
    <w:rsid w:val="00450AA4"/>
    <w:rsid w:val="00450AA9"/>
    <w:rsid w:val="00450ABE"/>
    <w:rsid w:val="00450AC7"/>
    <w:rsid w:val="00450ADA"/>
    <w:rsid w:val="00450B03"/>
    <w:rsid w:val="00450B05"/>
    <w:rsid w:val="00450B21"/>
    <w:rsid w:val="00450B2C"/>
    <w:rsid w:val="00450B43"/>
    <w:rsid w:val="00450B57"/>
    <w:rsid w:val="00450BD6"/>
    <w:rsid w:val="00450BF1"/>
    <w:rsid w:val="00450BF2"/>
    <w:rsid w:val="00450C45"/>
    <w:rsid w:val="00450C5F"/>
    <w:rsid w:val="00450C98"/>
    <w:rsid w:val="00450CFC"/>
    <w:rsid w:val="00450D04"/>
    <w:rsid w:val="00450D13"/>
    <w:rsid w:val="00450D3A"/>
    <w:rsid w:val="00450D59"/>
    <w:rsid w:val="00450DF4"/>
    <w:rsid w:val="00450E44"/>
    <w:rsid w:val="00450E64"/>
    <w:rsid w:val="00450E80"/>
    <w:rsid w:val="00450E98"/>
    <w:rsid w:val="00450EC5"/>
    <w:rsid w:val="00450EE5"/>
    <w:rsid w:val="00450F08"/>
    <w:rsid w:val="00450F26"/>
    <w:rsid w:val="00450F59"/>
    <w:rsid w:val="00450F7D"/>
    <w:rsid w:val="00450FCF"/>
    <w:rsid w:val="00451012"/>
    <w:rsid w:val="00451016"/>
    <w:rsid w:val="00451026"/>
    <w:rsid w:val="0045105A"/>
    <w:rsid w:val="00451071"/>
    <w:rsid w:val="00451084"/>
    <w:rsid w:val="00451085"/>
    <w:rsid w:val="00451092"/>
    <w:rsid w:val="004510A8"/>
    <w:rsid w:val="004510BD"/>
    <w:rsid w:val="004510F8"/>
    <w:rsid w:val="00451135"/>
    <w:rsid w:val="00451167"/>
    <w:rsid w:val="00451170"/>
    <w:rsid w:val="004511B4"/>
    <w:rsid w:val="0045120B"/>
    <w:rsid w:val="00451212"/>
    <w:rsid w:val="0045128B"/>
    <w:rsid w:val="0045128C"/>
    <w:rsid w:val="00451291"/>
    <w:rsid w:val="004512AE"/>
    <w:rsid w:val="004512D5"/>
    <w:rsid w:val="004512F3"/>
    <w:rsid w:val="0045132A"/>
    <w:rsid w:val="00451347"/>
    <w:rsid w:val="0045137F"/>
    <w:rsid w:val="00451384"/>
    <w:rsid w:val="004513C3"/>
    <w:rsid w:val="004513E2"/>
    <w:rsid w:val="004513E8"/>
    <w:rsid w:val="0045140B"/>
    <w:rsid w:val="00451424"/>
    <w:rsid w:val="0045142D"/>
    <w:rsid w:val="00451473"/>
    <w:rsid w:val="004514C5"/>
    <w:rsid w:val="004514C8"/>
    <w:rsid w:val="004514D5"/>
    <w:rsid w:val="0045151B"/>
    <w:rsid w:val="00451525"/>
    <w:rsid w:val="00451563"/>
    <w:rsid w:val="00451570"/>
    <w:rsid w:val="004515B0"/>
    <w:rsid w:val="004515E1"/>
    <w:rsid w:val="004515EF"/>
    <w:rsid w:val="004515FB"/>
    <w:rsid w:val="00451613"/>
    <w:rsid w:val="00451615"/>
    <w:rsid w:val="00451631"/>
    <w:rsid w:val="0045165E"/>
    <w:rsid w:val="004516B5"/>
    <w:rsid w:val="004516C3"/>
    <w:rsid w:val="0045174C"/>
    <w:rsid w:val="004517EB"/>
    <w:rsid w:val="00451807"/>
    <w:rsid w:val="00451862"/>
    <w:rsid w:val="0045186C"/>
    <w:rsid w:val="0045189C"/>
    <w:rsid w:val="004518B0"/>
    <w:rsid w:val="004518B4"/>
    <w:rsid w:val="004518B6"/>
    <w:rsid w:val="00451902"/>
    <w:rsid w:val="00451981"/>
    <w:rsid w:val="0045199D"/>
    <w:rsid w:val="004519BF"/>
    <w:rsid w:val="004519E0"/>
    <w:rsid w:val="004519F1"/>
    <w:rsid w:val="004519FE"/>
    <w:rsid w:val="00451A17"/>
    <w:rsid w:val="00451A4A"/>
    <w:rsid w:val="00451A7F"/>
    <w:rsid w:val="00451A89"/>
    <w:rsid w:val="00451AE5"/>
    <w:rsid w:val="00451AF1"/>
    <w:rsid w:val="00451B18"/>
    <w:rsid w:val="00451B30"/>
    <w:rsid w:val="00451B64"/>
    <w:rsid w:val="00451B6C"/>
    <w:rsid w:val="00451B81"/>
    <w:rsid w:val="00451BA2"/>
    <w:rsid w:val="00451BA8"/>
    <w:rsid w:val="00451BBD"/>
    <w:rsid w:val="00451BF0"/>
    <w:rsid w:val="00451C03"/>
    <w:rsid w:val="00451C8E"/>
    <w:rsid w:val="00451CE6"/>
    <w:rsid w:val="00451CFA"/>
    <w:rsid w:val="00451D3C"/>
    <w:rsid w:val="00451D44"/>
    <w:rsid w:val="00451DBD"/>
    <w:rsid w:val="00451DDA"/>
    <w:rsid w:val="00451DE8"/>
    <w:rsid w:val="00451DED"/>
    <w:rsid w:val="00451DF5"/>
    <w:rsid w:val="00451E0A"/>
    <w:rsid w:val="00451E31"/>
    <w:rsid w:val="00451E3B"/>
    <w:rsid w:val="00451E67"/>
    <w:rsid w:val="00451EA6"/>
    <w:rsid w:val="00451EA8"/>
    <w:rsid w:val="00451EB8"/>
    <w:rsid w:val="00451EBC"/>
    <w:rsid w:val="00451EC7"/>
    <w:rsid w:val="00451EDC"/>
    <w:rsid w:val="00451EFE"/>
    <w:rsid w:val="00451F1C"/>
    <w:rsid w:val="00451F67"/>
    <w:rsid w:val="00451F6A"/>
    <w:rsid w:val="00451F88"/>
    <w:rsid w:val="00451FCC"/>
    <w:rsid w:val="00451FF8"/>
    <w:rsid w:val="00452029"/>
    <w:rsid w:val="004520A0"/>
    <w:rsid w:val="004520AA"/>
    <w:rsid w:val="0045212B"/>
    <w:rsid w:val="00452151"/>
    <w:rsid w:val="00452176"/>
    <w:rsid w:val="004521B1"/>
    <w:rsid w:val="004521B5"/>
    <w:rsid w:val="00452215"/>
    <w:rsid w:val="004522C8"/>
    <w:rsid w:val="004522D9"/>
    <w:rsid w:val="004522F7"/>
    <w:rsid w:val="004522FD"/>
    <w:rsid w:val="00452321"/>
    <w:rsid w:val="00452330"/>
    <w:rsid w:val="0045233C"/>
    <w:rsid w:val="004523AF"/>
    <w:rsid w:val="004523B1"/>
    <w:rsid w:val="004523E1"/>
    <w:rsid w:val="00452421"/>
    <w:rsid w:val="00452431"/>
    <w:rsid w:val="00452469"/>
    <w:rsid w:val="00452474"/>
    <w:rsid w:val="004524AD"/>
    <w:rsid w:val="004524F2"/>
    <w:rsid w:val="004525E5"/>
    <w:rsid w:val="00452635"/>
    <w:rsid w:val="00452642"/>
    <w:rsid w:val="0045265C"/>
    <w:rsid w:val="0045268C"/>
    <w:rsid w:val="004526B5"/>
    <w:rsid w:val="00452783"/>
    <w:rsid w:val="00452811"/>
    <w:rsid w:val="00452832"/>
    <w:rsid w:val="0045284B"/>
    <w:rsid w:val="0045285B"/>
    <w:rsid w:val="00452879"/>
    <w:rsid w:val="0045289B"/>
    <w:rsid w:val="004528BC"/>
    <w:rsid w:val="004528C8"/>
    <w:rsid w:val="004528EB"/>
    <w:rsid w:val="00452932"/>
    <w:rsid w:val="0045293F"/>
    <w:rsid w:val="004529D3"/>
    <w:rsid w:val="004529D4"/>
    <w:rsid w:val="004529DB"/>
    <w:rsid w:val="00452A05"/>
    <w:rsid w:val="00452A42"/>
    <w:rsid w:val="00452A4E"/>
    <w:rsid w:val="00452ABB"/>
    <w:rsid w:val="00452AE7"/>
    <w:rsid w:val="00452AF1"/>
    <w:rsid w:val="00452B11"/>
    <w:rsid w:val="00452B37"/>
    <w:rsid w:val="00452BB3"/>
    <w:rsid w:val="00452BDC"/>
    <w:rsid w:val="00452BDF"/>
    <w:rsid w:val="00452C19"/>
    <w:rsid w:val="00452C25"/>
    <w:rsid w:val="00452C44"/>
    <w:rsid w:val="00452C8C"/>
    <w:rsid w:val="00452CAE"/>
    <w:rsid w:val="00452CCE"/>
    <w:rsid w:val="00452D2E"/>
    <w:rsid w:val="00452D31"/>
    <w:rsid w:val="00452D6C"/>
    <w:rsid w:val="00452DAD"/>
    <w:rsid w:val="00452DB0"/>
    <w:rsid w:val="00452DF7"/>
    <w:rsid w:val="00452E0A"/>
    <w:rsid w:val="00452E34"/>
    <w:rsid w:val="00452E49"/>
    <w:rsid w:val="00452ECC"/>
    <w:rsid w:val="00452F6B"/>
    <w:rsid w:val="00452FC2"/>
    <w:rsid w:val="00452FF5"/>
    <w:rsid w:val="00453025"/>
    <w:rsid w:val="0045303A"/>
    <w:rsid w:val="0045303C"/>
    <w:rsid w:val="00453062"/>
    <w:rsid w:val="004530AB"/>
    <w:rsid w:val="004530BE"/>
    <w:rsid w:val="004530D6"/>
    <w:rsid w:val="00453149"/>
    <w:rsid w:val="00453156"/>
    <w:rsid w:val="00453159"/>
    <w:rsid w:val="00453196"/>
    <w:rsid w:val="004531C2"/>
    <w:rsid w:val="004531E6"/>
    <w:rsid w:val="004531F2"/>
    <w:rsid w:val="00453202"/>
    <w:rsid w:val="0045323D"/>
    <w:rsid w:val="00453269"/>
    <w:rsid w:val="00453272"/>
    <w:rsid w:val="00453287"/>
    <w:rsid w:val="00453291"/>
    <w:rsid w:val="00453367"/>
    <w:rsid w:val="00453368"/>
    <w:rsid w:val="004533AF"/>
    <w:rsid w:val="004533F4"/>
    <w:rsid w:val="00453402"/>
    <w:rsid w:val="00453430"/>
    <w:rsid w:val="00453446"/>
    <w:rsid w:val="0045347A"/>
    <w:rsid w:val="0045348E"/>
    <w:rsid w:val="00453497"/>
    <w:rsid w:val="004534A9"/>
    <w:rsid w:val="004534D1"/>
    <w:rsid w:val="00453516"/>
    <w:rsid w:val="00453525"/>
    <w:rsid w:val="0045355C"/>
    <w:rsid w:val="00453567"/>
    <w:rsid w:val="00453595"/>
    <w:rsid w:val="004535AA"/>
    <w:rsid w:val="004535CE"/>
    <w:rsid w:val="004535CF"/>
    <w:rsid w:val="004535F9"/>
    <w:rsid w:val="00453631"/>
    <w:rsid w:val="00453646"/>
    <w:rsid w:val="0045368B"/>
    <w:rsid w:val="004536E3"/>
    <w:rsid w:val="004536F3"/>
    <w:rsid w:val="00453715"/>
    <w:rsid w:val="0045376B"/>
    <w:rsid w:val="00453781"/>
    <w:rsid w:val="004537EA"/>
    <w:rsid w:val="0045381E"/>
    <w:rsid w:val="00453822"/>
    <w:rsid w:val="0045383D"/>
    <w:rsid w:val="00453872"/>
    <w:rsid w:val="00453893"/>
    <w:rsid w:val="004538FC"/>
    <w:rsid w:val="0045392C"/>
    <w:rsid w:val="0045397B"/>
    <w:rsid w:val="0045397C"/>
    <w:rsid w:val="004539F9"/>
    <w:rsid w:val="00453A09"/>
    <w:rsid w:val="00453AEC"/>
    <w:rsid w:val="00453B00"/>
    <w:rsid w:val="00453B36"/>
    <w:rsid w:val="00453B47"/>
    <w:rsid w:val="00453B50"/>
    <w:rsid w:val="00453B58"/>
    <w:rsid w:val="00453B8B"/>
    <w:rsid w:val="00453BC6"/>
    <w:rsid w:val="00453BCC"/>
    <w:rsid w:val="00453BEB"/>
    <w:rsid w:val="00453BFA"/>
    <w:rsid w:val="00453BFC"/>
    <w:rsid w:val="00453C50"/>
    <w:rsid w:val="00453C85"/>
    <w:rsid w:val="00453CDA"/>
    <w:rsid w:val="00453D5A"/>
    <w:rsid w:val="00453D89"/>
    <w:rsid w:val="00453D96"/>
    <w:rsid w:val="00453E03"/>
    <w:rsid w:val="00453E45"/>
    <w:rsid w:val="00453E55"/>
    <w:rsid w:val="00453E62"/>
    <w:rsid w:val="00453E74"/>
    <w:rsid w:val="00453EAC"/>
    <w:rsid w:val="00453ECE"/>
    <w:rsid w:val="00453EF6"/>
    <w:rsid w:val="00453F08"/>
    <w:rsid w:val="00453F20"/>
    <w:rsid w:val="00453F62"/>
    <w:rsid w:val="00453F65"/>
    <w:rsid w:val="00453F6B"/>
    <w:rsid w:val="00453F82"/>
    <w:rsid w:val="00453F9B"/>
    <w:rsid w:val="0045404F"/>
    <w:rsid w:val="0045406A"/>
    <w:rsid w:val="004540D3"/>
    <w:rsid w:val="0045410A"/>
    <w:rsid w:val="00454126"/>
    <w:rsid w:val="0045412A"/>
    <w:rsid w:val="0045413E"/>
    <w:rsid w:val="004541AD"/>
    <w:rsid w:val="004541DF"/>
    <w:rsid w:val="004541FA"/>
    <w:rsid w:val="00454238"/>
    <w:rsid w:val="0045425A"/>
    <w:rsid w:val="00454280"/>
    <w:rsid w:val="00454301"/>
    <w:rsid w:val="00454304"/>
    <w:rsid w:val="00454310"/>
    <w:rsid w:val="0045435F"/>
    <w:rsid w:val="00454360"/>
    <w:rsid w:val="00454362"/>
    <w:rsid w:val="00454366"/>
    <w:rsid w:val="004543AB"/>
    <w:rsid w:val="004543B1"/>
    <w:rsid w:val="0045442F"/>
    <w:rsid w:val="00454434"/>
    <w:rsid w:val="00454438"/>
    <w:rsid w:val="00454444"/>
    <w:rsid w:val="00454493"/>
    <w:rsid w:val="00454549"/>
    <w:rsid w:val="00454574"/>
    <w:rsid w:val="004545A5"/>
    <w:rsid w:val="004545C5"/>
    <w:rsid w:val="004545EB"/>
    <w:rsid w:val="00454602"/>
    <w:rsid w:val="00454616"/>
    <w:rsid w:val="0045463B"/>
    <w:rsid w:val="00454658"/>
    <w:rsid w:val="00454667"/>
    <w:rsid w:val="00454676"/>
    <w:rsid w:val="004546E1"/>
    <w:rsid w:val="0045471A"/>
    <w:rsid w:val="0045472C"/>
    <w:rsid w:val="00454753"/>
    <w:rsid w:val="00454754"/>
    <w:rsid w:val="0045476D"/>
    <w:rsid w:val="0045478F"/>
    <w:rsid w:val="00454790"/>
    <w:rsid w:val="00454794"/>
    <w:rsid w:val="004547C4"/>
    <w:rsid w:val="004547CA"/>
    <w:rsid w:val="004547FE"/>
    <w:rsid w:val="0045481B"/>
    <w:rsid w:val="0045482F"/>
    <w:rsid w:val="0045488B"/>
    <w:rsid w:val="00454891"/>
    <w:rsid w:val="00454892"/>
    <w:rsid w:val="00454899"/>
    <w:rsid w:val="0045489B"/>
    <w:rsid w:val="004548B8"/>
    <w:rsid w:val="00454915"/>
    <w:rsid w:val="00454949"/>
    <w:rsid w:val="0045494E"/>
    <w:rsid w:val="00454953"/>
    <w:rsid w:val="0045496D"/>
    <w:rsid w:val="00454983"/>
    <w:rsid w:val="004549C4"/>
    <w:rsid w:val="004549D7"/>
    <w:rsid w:val="004549D8"/>
    <w:rsid w:val="00454A26"/>
    <w:rsid w:val="00454A58"/>
    <w:rsid w:val="00454A6C"/>
    <w:rsid w:val="00454A6D"/>
    <w:rsid w:val="00454AE2"/>
    <w:rsid w:val="00454B23"/>
    <w:rsid w:val="00454B5F"/>
    <w:rsid w:val="00454B71"/>
    <w:rsid w:val="00454B7D"/>
    <w:rsid w:val="00454BAF"/>
    <w:rsid w:val="00454BB6"/>
    <w:rsid w:val="00454BD2"/>
    <w:rsid w:val="00454C18"/>
    <w:rsid w:val="00454C3A"/>
    <w:rsid w:val="00454C49"/>
    <w:rsid w:val="00454C64"/>
    <w:rsid w:val="00454C8A"/>
    <w:rsid w:val="00454CA8"/>
    <w:rsid w:val="00454CAF"/>
    <w:rsid w:val="00454CD1"/>
    <w:rsid w:val="00454CFA"/>
    <w:rsid w:val="00454CFE"/>
    <w:rsid w:val="00454D0B"/>
    <w:rsid w:val="00454D27"/>
    <w:rsid w:val="00454D3C"/>
    <w:rsid w:val="00454D71"/>
    <w:rsid w:val="00454D88"/>
    <w:rsid w:val="00454E00"/>
    <w:rsid w:val="00454E69"/>
    <w:rsid w:val="00454E9B"/>
    <w:rsid w:val="00454EC1"/>
    <w:rsid w:val="00454F08"/>
    <w:rsid w:val="00454F3F"/>
    <w:rsid w:val="00454F86"/>
    <w:rsid w:val="00454F88"/>
    <w:rsid w:val="00454FBD"/>
    <w:rsid w:val="00454FC3"/>
    <w:rsid w:val="00454FCD"/>
    <w:rsid w:val="0045501F"/>
    <w:rsid w:val="0045503B"/>
    <w:rsid w:val="00455067"/>
    <w:rsid w:val="00455088"/>
    <w:rsid w:val="0045509A"/>
    <w:rsid w:val="004550A1"/>
    <w:rsid w:val="004550A7"/>
    <w:rsid w:val="004550C3"/>
    <w:rsid w:val="004550F7"/>
    <w:rsid w:val="004550FF"/>
    <w:rsid w:val="00455102"/>
    <w:rsid w:val="0045517B"/>
    <w:rsid w:val="00455181"/>
    <w:rsid w:val="004551F8"/>
    <w:rsid w:val="00455233"/>
    <w:rsid w:val="004552FE"/>
    <w:rsid w:val="00455311"/>
    <w:rsid w:val="00455335"/>
    <w:rsid w:val="0045535B"/>
    <w:rsid w:val="0045537A"/>
    <w:rsid w:val="004553BA"/>
    <w:rsid w:val="004553D5"/>
    <w:rsid w:val="0045540A"/>
    <w:rsid w:val="0045541B"/>
    <w:rsid w:val="00455444"/>
    <w:rsid w:val="00455472"/>
    <w:rsid w:val="004554DE"/>
    <w:rsid w:val="0045550E"/>
    <w:rsid w:val="0045550F"/>
    <w:rsid w:val="0045554A"/>
    <w:rsid w:val="0045559E"/>
    <w:rsid w:val="004555E0"/>
    <w:rsid w:val="004555E8"/>
    <w:rsid w:val="00455642"/>
    <w:rsid w:val="004556A4"/>
    <w:rsid w:val="004556B1"/>
    <w:rsid w:val="004556BD"/>
    <w:rsid w:val="004556EC"/>
    <w:rsid w:val="00455719"/>
    <w:rsid w:val="0045571F"/>
    <w:rsid w:val="004557A8"/>
    <w:rsid w:val="004557AC"/>
    <w:rsid w:val="004557E5"/>
    <w:rsid w:val="0045580B"/>
    <w:rsid w:val="0045582E"/>
    <w:rsid w:val="00455877"/>
    <w:rsid w:val="00455896"/>
    <w:rsid w:val="004558D3"/>
    <w:rsid w:val="004558E3"/>
    <w:rsid w:val="004558F8"/>
    <w:rsid w:val="0045590F"/>
    <w:rsid w:val="00455931"/>
    <w:rsid w:val="0045596F"/>
    <w:rsid w:val="0045598C"/>
    <w:rsid w:val="004559BB"/>
    <w:rsid w:val="004559C9"/>
    <w:rsid w:val="004559F7"/>
    <w:rsid w:val="00455A00"/>
    <w:rsid w:val="00455A06"/>
    <w:rsid w:val="00455A0B"/>
    <w:rsid w:val="00455A62"/>
    <w:rsid w:val="00455AA3"/>
    <w:rsid w:val="00455AF7"/>
    <w:rsid w:val="00455B90"/>
    <w:rsid w:val="00455B94"/>
    <w:rsid w:val="00455BA5"/>
    <w:rsid w:val="00455BB4"/>
    <w:rsid w:val="00455BB9"/>
    <w:rsid w:val="00455BF6"/>
    <w:rsid w:val="00455C1A"/>
    <w:rsid w:val="00455C35"/>
    <w:rsid w:val="00455C40"/>
    <w:rsid w:val="00455C6F"/>
    <w:rsid w:val="00455C84"/>
    <w:rsid w:val="00455C8E"/>
    <w:rsid w:val="00455CB2"/>
    <w:rsid w:val="00455CC5"/>
    <w:rsid w:val="00455CE4"/>
    <w:rsid w:val="00455CE5"/>
    <w:rsid w:val="00455CF2"/>
    <w:rsid w:val="00455D41"/>
    <w:rsid w:val="00455D53"/>
    <w:rsid w:val="00455D64"/>
    <w:rsid w:val="00455D72"/>
    <w:rsid w:val="00455D7B"/>
    <w:rsid w:val="00455E14"/>
    <w:rsid w:val="00455E22"/>
    <w:rsid w:val="00455E29"/>
    <w:rsid w:val="00455EAD"/>
    <w:rsid w:val="00455EB0"/>
    <w:rsid w:val="00455F23"/>
    <w:rsid w:val="00455F3E"/>
    <w:rsid w:val="00455F60"/>
    <w:rsid w:val="00455F69"/>
    <w:rsid w:val="00455F71"/>
    <w:rsid w:val="00455F8C"/>
    <w:rsid w:val="00455F95"/>
    <w:rsid w:val="00455FB1"/>
    <w:rsid w:val="00455FD9"/>
    <w:rsid w:val="00455FFE"/>
    <w:rsid w:val="0045601C"/>
    <w:rsid w:val="0045605A"/>
    <w:rsid w:val="0045605F"/>
    <w:rsid w:val="0045606F"/>
    <w:rsid w:val="004560AD"/>
    <w:rsid w:val="004560DC"/>
    <w:rsid w:val="00456109"/>
    <w:rsid w:val="00456151"/>
    <w:rsid w:val="004561B4"/>
    <w:rsid w:val="004561FE"/>
    <w:rsid w:val="00456226"/>
    <w:rsid w:val="00456282"/>
    <w:rsid w:val="004562A4"/>
    <w:rsid w:val="004562B2"/>
    <w:rsid w:val="004562EB"/>
    <w:rsid w:val="004562F8"/>
    <w:rsid w:val="00456307"/>
    <w:rsid w:val="0045634E"/>
    <w:rsid w:val="004563BB"/>
    <w:rsid w:val="0045640F"/>
    <w:rsid w:val="00456416"/>
    <w:rsid w:val="0045641D"/>
    <w:rsid w:val="00456428"/>
    <w:rsid w:val="004564A7"/>
    <w:rsid w:val="004564CB"/>
    <w:rsid w:val="004564EF"/>
    <w:rsid w:val="0045651C"/>
    <w:rsid w:val="00456542"/>
    <w:rsid w:val="00456546"/>
    <w:rsid w:val="00456577"/>
    <w:rsid w:val="004565A1"/>
    <w:rsid w:val="004565F1"/>
    <w:rsid w:val="00456615"/>
    <w:rsid w:val="0045661B"/>
    <w:rsid w:val="00456656"/>
    <w:rsid w:val="00456661"/>
    <w:rsid w:val="004566A3"/>
    <w:rsid w:val="004566D0"/>
    <w:rsid w:val="004566FE"/>
    <w:rsid w:val="00456710"/>
    <w:rsid w:val="00456711"/>
    <w:rsid w:val="00456720"/>
    <w:rsid w:val="00456795"/>
    <w:rsid w:val="004567EC"/>
    <w:rsid w:val="0045681A"/>
    <w:rsid w:val="00456856"/>
    <w:rsid w:val="00456857"/>
    <w:rsid w:val="00456877"/>
    <w:rsid w:val="004568AE"/>
    <w:rsid w:val="004568B2"/>
    <w:rsid w:val="004568DA"/>
    <w:rsid w:val="004568F5"/>
    <w:rsid w:val="0045693C"/>
    <w:rsid w:val="00456985"/>
    <w:rsid w:val="0045698C"/>
    <w:rsid w:val="0045699D"/>
    <w:rsid w:val="004569C0"/>
    <w:rsid w:val="004569EC"/>
    <w:rsid w:val="00456A03"/>
    <w:rsid w:val="00456A48"/>
    <w:rsid w:val="00456A49"/>
    <w:rsid w:val="00456AA3"/>
    <w:rsid w:val="00456AB4"/>
    <w:rsid w:val="00456AE7"/>
    <w:rsid w:val="00456AF2"/>
    <w:rsid w:val="00456B1B"/>
    <w:rsid w:val="00456B32"/>
    <w:rsid w:val="00456B35"/>
    <w:rsid w:val="00456B44"/>
    <w:rsid w:val="00456B96"/>
    <w:rsid w:val="00456BA5"/>
    <w:rsid w:val="00456C3F"/>
    <w:rsid w:val="00456C6C"/>
    <w:rsid w:val="00456CA9"/>
    <w:rsid w:val="00456CB3"/>
    <w:rsid w:val="00456CF7"/>
    <w:rsid w:val="00456D34"/>
    <w:rsid w:val="00456D49"/>
    <w:rsid w:val="00456D84"/>
    <w:rsid w:val="00456D8C"/>
    <w:rsid w:val="00456DA4"/>
    <w:rsid w:val="00456DC9"/>
    <w:rsid w:val="00456DE4"/>
    <w:rsid w:val="00456E26"/>
    <w:rsid w:val="00456E2E"/>
    <w:rsid w:val="00456E56"/>
    <w:rsid w:val="00456E62"/>
    <w:rsid w:val="00456E86"/>
    <w:rsid w:val="00456E9A"/>
    <w:rsid w:val="00456EBA"/>
    <w:rsid w:val="00456EBE"/>
    <w:rsid w:val="00456EFA"/>
    <w:rsid w:val="00456EFF"/>
    <w:rsid w:val="00456F0C"/>
    <w:rsid w:val="00456F44"/>
    <w:rsid w:val="00456F4E"/>
    <w:rsid w:val="00456F5E"/>
    <w:rsid w:val="00456F69"/>
    <w:rsid w:val="00456FB7"/>
    <w:rsid w:val="00456FB8"/>
    <w:rsid w:val="00457000"/>
    <w:rsid w:val="0045701A"/>
    <w:rsid w:val="00457032"/>
    <w:rsid w:val="0045705B"/>
    <w:rsid w:val="0045708C"/>
    <w:rsid w:val="004570EF"/>
    <w:rsid w:val="004571B0"/>
    <w:rsid w:val="004571D9"/>
    <w:rsid w:val="004571E8"/>
    <w:rsid w:val="00457210"/>
    <w:rsid w:val="004572FB"/>
    <w:rsid w:val="0045730A"/>
    <w:rsid w:val="00457313"/>
    <w:rsid w:val="00457316"/>
    <w:rsid w:val="00457333"/>
    <w:rsid w:val="00457337"/>
    <w:rsid w:val="00457386"/>
    <w:rsid w:val="0045738F"/>
    <w:rsid w:val="0045739A"/>
    <w:rsid w:val="0045739B"/>
    <w:rsid w:val="004573C8"/>
    <w:rsid w:val="004573FE"/>
    <w:rsid w:val="0045741A"/>
    <w:rsid w:val="0045744F"/>
    <w:rsid w:val="004574CF"/>
    <w:rsid w:val="004574D5"/>
    <w:rsid w:val="004574DB"/>
    <w:rsid w:val="004574E4"/>
    <w:rsid w:val="00457535"/>
    <w:rsid w:val="0045753F"/>
    <w:rsid w:val="00457587"/>
    <w:rsid w:val="00457592"/>
    <w:rsid w:val="004575E4"/>
    <w:rsid w:val="00457652"/>
    <w:rsid w:val="004576C5"/>
    <w:rsid w:val="004576CC"/>
    <w:rsid w:val="004576CF"/>
    <w:rsid w:val="004576D6"/>
    <w:rsid w:val="004576EA"/>
    <w:rsid w:val="0045770B"/>
    <w:rsid w:val="0045771C"/>
    <w:rsid w:val="00457734"/>
    <w:rsid w:val="0045773A"/>
    <w:rsid w:val="0045774F"/>
    <w:rsid w:val="0045777C"/>
    <w:rsid w:val="004577CE"/>
    <w:rsid w:val="004577DA"/>
    <w:rsid w:val="004577E9"/>
    <w:rsid w:val="00457809"/>
    <w:rsid w:val="00457874"/>
    <w:rsid w:val="004578A1"/>
    <w:rsid w:val="004578D3"/>
    <w:rsid w:val="004578D6"/>
    <w:rsid w:val="004578E8"/>
    <w:rsid w:val="00457904"/>
    <w:rsid w:val="0045796C"/>
    <w:rsid w:val="004579D0"/>
    <w:rsid w:val="00457A07"/>
    <w:rsid w:val="00457A08"/>
    <w:rsid w:val="00457A17"/>
    <w:rsid w:val="00457A1F"/>
    <w:rsid w:val="00457A56"/>
    <w:rsid w:val="00457A5D"/>
    <w:rsid w:val="00457A71"/>
    <w:rsid w:val="00457AA7"/>
    <w:rsid w:val="00457AE0"/>
    <w:rsid w:val="00457AE4"/>
    <w:rsid w:val="00457AFF"/>
    <w:rsid w:val="00457B33"/>
    <w:rsid w:val="00457B65"/>
    <w:rsid w:val="00457B75"/>
    <w:rsid w:val="00457B8B"/>
    <w:rsid w:val="00457BC2"/>
    <w:rsid w:val="00457BDD"/>
    <w:rsid w:val="00457C0B"/>
    <w:rsid w:val="00457C1C"/>
    <w:rsid w:val="00457C6A"/>
    <w:rsid w:val="00457CFD"/>
    <w:rsid w:val="00457D37"/>
    <w:rsid w:val="00457D60"/>
    <w:rsid w:val="00457D88"/>
    <w:rsid w:val="00457DA8"/>
    <w:rsid w:val="00457DFC"/>
    <w:rsid w:val="00457E23"/>
    <w:rsid w:val="00457E38"/>
    <w:rsid w:val="00457E59"/>
    <w:rsid w:val="00457E5D"/>
    <w:rsid w:val="00457E69"/>
    <w:rsid w:val="00457E85"/>
    <w:rsid w:val="00457E8C"/>
    <w:rsid w:val="00457EAE"/>
    <w:rsid w:val="00457EAF"/>
    <w:rsid w:val="00457F18"/>
    <w:rsid w:val="00457F1A"/>
    <w:rsid w:val="00457F25"/>
    <w:rsid w:val="00457F2F"/>
    <w:rsid w:val="00457F48"/>
    <w:rsid w:val="00457FCB"/>
    <w:rsid w:val="00457FCF"/>
    <w:rsid w:val="00457FE3"/>
    <w:rsid w:val="00460000"/>
    <w:rsid w:val="00460003"/>
    <w:rsid w:val="00460021"/>
    <w:rsid w:val="00460034"/>
    <w:rsid w:val="004600A6"/>
    <w:rsid w:val="004600C8"/>
    <w:rsid w:val="00460127"/>
    <w:rsid w:val="00460175"/>
    <w:rsid w:val="0046019D"/>
    <w:rsid w:val="004601A6"/>
    <w:rsid w:val="004601DF"/>
    <w:rsid w:val="00460200"/>
    <w:rsid w:val="00460251"/>
    <w:rsid w:val="0046026E"/>
    <w:rsid w:val="004602CC"/>
    <w:rsid w:val="004602D4"/>
    <w:rsid w:val="00460307"/>
    <w:rsid w:val="00460309"/>
    <w:rsid w:val="00460322"/>
    <w:rsid w:val="0046033A"/>
    <w:rsid w:val="0046035A"/>
    <w:rsid w:val="0046036F"/>
    <w:rsid w:val="0046039A"/>
    <w:rsid w:val="004603AA"/>
    <w:rsid w:val="00460402"/>
    <w:rsid w:val="0046041A"/>
    <w:rsid w:val="00460495"/>
    <w:rsid w:val="004604C0"/>
    <w:rsid w:val="00460539"/>
    <w:rsid w:val="004605BD"/>
    <w:rsid w:val="004605EA"/>
    <w:rsid w:val="00460605"/>
    <w:rsid w:val="0046062F"/>
    <w:rsid w:val="0046066E"/>
    <w:rsid w:val="00460675"/>
    <w:rsid w:val="004606D1"/>
    <w:rsid w:val="004606E5"/>
    <w:rsid w:val="0046070B"/>
    <w:rsid w:val="00460759"/>
    <w:rsid w:val="00460770"/>
    <w:rsid w:val="004607E0"/>
    <w:rsid w:val="004607E8"/>
    <w:rsid w:val="004607F0"/>
    <w:rsid w:val="00460849"/>
    <w:rsid w:val="00460863"/>
    <w:rsid w:val="004608A4"/>
    <w:rsid w:val="004608A8"/>
    <w:rsid w:val="004608AF"/>
    <w:rsid w:val="004608F9"/>
    <w:rsid w:val="004608FA"/>
    <w:rsid w:val="00460900"/>
    <w:rsid w:val="00460906"/>
    <w:rsid w:val="00460926"/>
    <w:rsid w:val="00460949"/>
    <w:rsid w:val="0046094F"/>
    <w:rsid w:val="004609C5"/>
    <w:rsid w:val="004609D4"/>
    <w:rsid w:val="00460A00"/>
    <w:rsid w:val="00460A01"/>
    <w:rsid w:val="00460A0C"/>
    <w:rsid w:val="00460A0D"/>
    <w:rsid w:val="00460A47"/>
    <w:rsid w:val="00460A76"/>
    <w:rsid w:val="00460AFE"/>
    <w:rsid w:val="00460B6B"/>
    <w:rsid w:val="00460B83"/>
    <w:rsid w:val="00460BD2"/>
    <w:rsid w:val="00460C27"/>
    <w:rsid w:val="00460C39"/>
    <w:rsid w:val="00460C5D"/>
    <w:rsid w:val="00460C7F"/>
    <w:rsid w:val="00460C8C"/>
    <w:rsid w:val="00460CD1"/>
    <w:rsid w:val="00460CEC"/>
    <w:rsid w:val="00460CF7"/>
    <w:rsid w:val="00460D25"/>
    <w:rsid w:val="00460D5D"/>
    <w:rsid w:val="00460E0B"/>
    <w:rsid w:val="00460E28"/>
    <w:rsid w:val="00460E39"/>
    <w:rsid w:val="00460E3F"/>
    <w:rsid w:val="00460E73"/>
    <w:rsid w:val="00460E94"/>
    <w:rsid w:val="00460EB6"/>
    <w:rsid w:val="00460EEC"/>
    <w:rsid w:val="00460F3D"/>
    <w:rsid w:val="00460FBC"/>
    <w:rsid w:val="00460FC3"/>
    <w:rsid w:val="00460FFC"/>
    <w:rsid w:val="0046102E"/>
    <w:rsid w:val="0046103F"/>
    <w:rsid w:val="00461043"/>
    <w:rsid w:val="004610AF"/>
    <w:rsid w:val="004610EE"/>
    <w:rsid w:val="00461108"/>
    <w:rsid w:val="00461162"/>
    <w:rsid w:val="0046116B"/>
    <w:rsid w:val="0046118B"/>
    <w:rsid w:val="0046118F"/>
    <w:rsid w:val="00461191"/>
    <w:rsid w:val="004611B6"/>
    <w:rsid w:val="004611E0"/>
    <w:rsid w:val="004611E9"/>
    <w:rsid w:val="00461253"/>
    <w:rsid w:val="00461262"/>
    <w:rsid w:val="00461293"/>
    <w:rsid w:val="004612B1"/>
    <w:rsid w:val="004612D7"/>
    <w:rsid w:val="004612EA"/>
    <w:rsid w:val="0046130E"/>
    <w:rsid w:val="00461327"/>
    <w:rsid w:val="00461335"/>
    <w:rsid w:val="00461360"/>
    <w:rsid w:val="0046138E"/>
    <w:rsid w:val="00461390"/>
    <w:rsid w:val="00461395"/>
    <w:rsid w:val="004613A2"/>
    <w:rsid w:val="004613B4"/>
    <w:rsid w:val="004613C7"/>
    <w:rsid w:val="004613D4"/>
    <w:rsid w:val="004613EF"/>
    <w:rsid w:val="00461402"/>
    <w:rsid w:val="00461433"/>
    <w:rsid w:val="00461475"/>
    <w:rsid w:val="0046148A"/>
    <w:rsid w:val="004614CB"/>
    <w:rsid w:val="004614CF"/>
    <w:rsid w:val="00461506"/>
    <w:rsid w:val="0046150B"/>
    <w:rsid w:val="00461517"/>
    <w:rsid w:val="00461530"/>
    <w:rsid w:val="004615A7"/>
    <w:rsid w:val="004615AF"/>
    <w:rsid w:val="004615BD"/>
    <w:rsid w:val="0046161C"/>
    <w:rsid w:val="00461657"/>
    <w:rsid w:val="0046167A"/>
    <w:rsid w:val="00461696"/>
    <w:rsid w:val="004616B4"/>
    <w:rsid w:val="004616D1"/>
    <w:rsid w:val="004616E6"/>
    <w:rsid w:val="0046171B"/>
    <w:rsid w:val="0046172D"/>
    <w:rsid w:val="00461732"/>
    <w:rsid w:val="00461742"/>
    <w:rsid w:val="004617A7"/>
    <w:rsid w:val="004617CB"/>
    <w:rsid w:val="00461812"/>
    <w:rsid w:val="00461822"/>
    <w:rsid w:val="00461850"/>
    <w:rsid w:val="004618C2"/>
    <w:rsid w:val="004618DA"/>
    <w:rsid w:val="004618E2"/>
    <w:rsid w:val="00461914"/>
    <w:rsid w:val="00461931"/>
    <w:rsid w:val="00461956"/>
    <w:rsid w:val="00461965"/>
    <w:rsid w:val="00461A20"/>
    <w:rsid w:val="00461A5A"/>
    <w:rsid w:val="00461A5E"/>
    <w:rsid w:val="00461A8E"/>
    <w:rsid w:val="00461A9D"/>
    <w:rsid w:val="00461AC1"/>
    <w:rsid w:val="00461ACA"/>
    <w:rsid w:val="00461AE9"/>
    <w:rsid w:val="00461B6B"/>
    <w:rsid w:val="00461B70"/>
    <w:rsid w:val="00461B85"/>
    <w:rsid w:val="00461B8E"/>
    <w:rsid w:val="00461BA1"/>
    <w:rsid w:val="00461BC2"/>
    <w:rsid w:val="00461BE7"/>
    <w:rsid w:val="00461C18"/>
    <w:rsid w:val="00461C23"/>
    <w:rsid w:val="00461C3C"/>
    <w:rsid w:val="00461C5A"/>
    <w:rsid w:val="00461C8A"/>
    <w:rsid w:val="00461CB3"/>
    <w:rsid w:val="00461D1F"/>
    <w:rsid w:val="00461D49"/>
    <w:rsid w:val="00461DB5"/>
    <w:rsid w:val="00461DC0"/>
    <w:rsid w:val="00461E39"/>
    <w:rsid w:val="00461E8E"/>
    <w:rsid w:val="00461ED2"/>
    <w:rsid w:val="00461EDB"/>
    <w:rsid w:val="00461EE1"/>
    <w:rsid w:val="00461EEC"/>
    <w:rsid w:val="00461EEE"/>
    <w:rsid w:val="00461F45"/>
    <w:rsid w:val="00461F46"/>
    <w:rsid w:val="00461F7A"/>
    <w:rsid w:val="00461FC2"/>
    <w:rsid w:val="00461FD8"/>
    <w:rsid w:val="00461FDF"/>
    <w:rsid w:val="00461FFE"/>
    <w:rsid w:val="0046202A"/>
    <w:rsid w:val="00462039"/>
    <w:rsid w:val="00462052"/>
    <w:rsid w:val="00462098"/>
    <w:rsid w:val="004620C7"/>
    <w:rsid w:val="00462127"/>
    <w:rsid w:val="0046212B"/>
    <w:rsid w:val="00462145"/>
    <w:rsid w:val="00462163"/>
    <w:rsid w:val="00462188"/>
    <w:rsid w:val="00462194"/>
    <w:rsid w:val="004621CE"/>
    <w:rsid w:val="004621DF"/>
    <w:rsid w:val="004621FC"/>
    <w:rsid w:val="00462220"/>
    <w:rsid w:val="00462222"/>
    <w:rsid w:val="0046223D"/>
    <w:rsid w:val="00462274"/>
    <w:rsid w:val="004622B0"/>
    <w:rsid w:val="004622E3"/>
    <w:rsid w:val="00462344"/>
    <w:rsid w:val="0046238D"/>
    <w:rsid w:val="004623AA"/>
    <w:rsid w:val="004623B3"/>
    <w:rsid w:val="0046244D"/>
    <w:rsid w:val="0046246E"/>
    <w:rsid w:val="0046247C"/>
    <w:rsid w:val="0046247D"/>
    <w:rsid w:val="00462488"/>
    <w:rsid w:val="00462492"/>
    <w:rsid w:val="0046249F"/>
    <w:rsid w:val="0046251E"/>
    <w:rsid w:val="00462529"/>
    <w:rsid w:val="0046252C"/>
    <w:rsid w:val="00462556"/>
    <w:rsid w:val="00462569"/>
    <w:rsid w:val="00462596"/>
    <w:rsid w:val="004625A9"/>
    <w:rsid w:val="004625C6"/>
    <w:rsid w:val="004625C9"/>
    <w:rsid w:val="004625E5"/>
    <w:rsid w:val="004625E6"/>
    <w:rsid w:val="004626D2"/>
    <w:rsid w:val="004626D9"/>
    <w:rsid w:val="004626EA"/>
    <w:rsid w:val="00462744"/>
    <w:rsid w:val="00462787"/>
    <w:rsid w:val="004627B1"/>
    <w:rsid w:val="00462818"/>
    <w:rsid w:val="00462819"/>
    <w:rsid w:val="00462857"/>
    <w:rsid w:val="0046285D"/>
    <w:rsid w:val="004628A9"/>
    <w:rsid w:val="004628CD"/>
    <w:rsid w:val="004628EF"/>
    <w:rsid w:val="0046291A"/>
    <w:rsid w:val="00462930"/>
    <w:rsid w:val="00462936"/>
    <w:rsid w:val="00462939"/>
    <w:rsid w:val="0046293B"/>
    <w:rsid w:val="00462941"/>
    <w:rsid w:val="00462988"/>
    <w:rsid w:val="004629AE"/>
    <w:rsid w:val="004629B1"/>
    <w:rsid w:val="00462A24"/>
    <w:rsid w:val="00462A51"/>
    <w:rsid w:val="00462A80"/>
    <w:rsid w:val="00462A82"/>
    <w:rsid w:val="00462A84"/>
    <w:rsid w:val="00462AA6"/>
    <w:rsid w:val="00462AAF"/>
    <w:rsid w:val="00462AC6"/>
    <w:rsid w:val="00462AF3"/>
    <w:rsid w:val="00462B0A"/>
    <w:rsid w:val="00462B1F"/>
    <w:rsid w:val="00462B3E"/>
    <w:rsid w:val="00462BB0"/>
    <w:rsid w:val="00462BE6"/>
    <w:rsid w:val="00462C07"/>
    <w:rsid w:val="00462C08"/>
    <w:rsid w:val="00462C47"/>
    <w:rsid w:val="00462C73"/>
    <w:rsid w:val="00462C94"/>
    <w:rsid w:val="00462CEE"/>
    <w:rsid w:val="00462D2A"/>
    <w:rsid w:val="00462D9A"/>
    <w:rsid w:val="00462DE1"/>
    <w:rsid w:val="00462DFC"/>
    <w:rsid w:val="00462E2D"/>
    <w:rsid w:val="00462EA2"/>
    <w:rsid w:val="00462EC4"/>
    <w:rsid w:val="00462F0E"/>
    <w:rsid w:val="00462F63"/>
    <w:rsid w:val="00462F85"/>
    <w:rsid w:val="00462F86"/>
    <w:rsid w:val="00462FB8"/>
    <w:rsid w:val="00462FCC"/>
    <w:rsid w:val="00462FD9"/>
    <w:rsid w:val="00462FDB"/>
    <w:rsid w:val="0046300A"/>
    <w:rsid w:val="00463049"/>
    <w:rsid w:val="00463059"/>
    <w:rsid w:val="0046305E"/>
    <w:rsid w:val="00463068"/>
    <w:rsid w:val="004630BA"/>
    <w:rsid w:val="004630C2"/>
    <w:rsid w:val="0046311C"/>
    <w:rsid w:val="0046314C"/>
    <w:rsid w:val="0046319C"/>
    <w:rsid w:val="004631A6"/>
    <w:rsid w:val="004631B9"/>
    <w:rsid w:val="004631C2"/>
    <w:rsid w:val="004631EB"/>
    <w:rsid w:val="00463212"/>
    <w:rsid w:val="00463230"/>
    <w:rsid w:val="00463232"/>
    <w:rsid w:val="0046323E"/>
    <w:rsid w:val="0046324A"/>
    <w:rsid w:val="00463271"/>
    <w:rsid w:val="00463292"/>
    <w:rsid w:val="004632D3"/>
    <w:rsid w:val="004632E0"/>
    <w:rsid w:val="004632F1"/>
    <w:rsid w:val="004632FE"/>
    <w:rsid w:val="00463317"/>
    <w:rsid w:val="00463335"/>
    <w:rsid w:val="00463338"/>
    <w:rsid w:val="00463345"/>
    <w:rsid w:val="0046334D"/>
    <w:rsid w:val="0046335E"/>
    <w:rsid w:val="00463363"/>
    <w:rsid w:val="0046338A"/>
    <w:rsid w:val="00463396"/>
    <w:rsid w:val="004633AF"/>
    <w:rsid w:val="004633C0"/>
    <w:rsid w:val="004633C7"/>
    <w:rsid w:val="004633E4"/>
    <w:rsid w:val="004634A7"/>
    <w:rsid w:val="004634A8"/>
    <w:rsid w:val="004634E5"/>
    <w:rsid w:val="004634E6"/>
    <w:rsid w:val="00463501"/>
    <w:rsid w:val="00463550"/>
    <w:rsid w:val="0046356E"/>
    <w:rsid w:val="0046357D"/>
    <w:rsid w:val="00463593"/>
    <w:rsid w:val="004635B0"/>
    <w:rsid w:val="004635BB"/>
    <w:rsid w:val="004635D3"/>
    <w:rsid w:val="00463627"/>
    <w:rsid w:val="00463645"/>
    <w:rsid w:val="00463683"/>
    <w:rsid w:val="004636B2"/>
    <w:rsid w:val="004636BC"/>
    <w:rsid w:val="004636C2"/>
    <w:rsid w:val="004636CE"/>
    <w:rsid w:val="004636D3"/>
    <w:rsid w:val="00463700"/>
    <w:rsid w:val="0046371F"/>
    <w:rsid w:val="0046373B"/>
    <w:rsid w:val="00463748"/>
    <w:rsid w:val="0046374C"/>
    <w:rsid w:val="0046374D"/>
    <w:rsid w:val="0046375F"/>
    <w:rsid w:val="0046376F"/>
    <w:rsid w:val="00463791"/>
    <w:rsid w:val="00463804"/>
    <w:rsid w:val="0046384F"/>
    <w:rsid w:val="00463857"/>
    <w:rsid w:val="0046385B"/>
    <w:rsid w:val="00463886"/>
    <w:rsid w:val="004638B6"/>
    <w:rsid w:val="00463946"/>
    <w:rsid w:val="00463970"/>
    <w:rsid w:val="00463978"/>
    <w:rsid w:val="00463981"/>
    <w:rsid w:val="00463993"/>
    <w:rsid w:val="004639EE"/>
    <w:rsid w:val="004639FF"/>
    <w:rsid w:val="00463A09"/>
    <w:rsid w:val="00463A0D"/>
    <w:rsid w:val="00463A11"/>
    <w:rsid w:val="00463A34"/>
    <w:rsid w:val="00463A4F"/>
    <w:rsid w:val="00463A6E"/>
    <w:rsid w:val="00463AA3"/>
    <w:rsid w:val="00463ACE"/>
    <w:rsid w:val="00463ADA"/>
    <w:rsid w:val="00463AEC"/>
    <w:rsid w:val="00463AF2"/>
    <w:rsid w:val="00463B12"/>
    <w:rsid w:val="00463B4A"/>
    <w:rsid w:val="00463B55"/>
    <w:rsid w:val="00463BCB"/>
    <w:rsid w:val="00463C5A"/>
    <w:rsid w:val="00463C6F"/>
    <w:rsid w:val="00463CA3"/>
    <w:rsid w:val="00463CB1"/>
    <w:rsid w:val="00463CCE"/>
    <w:rsid w:val="00463CE4"/>
    <w:rsid w:val="00463D27"/>
    <w:rsid w:val="00463D3E"/>
    <w:rsid w:val="00463DA2"/>
    <w:rsid w:val="00463DA8"/>
    <w:rsid w:val="00463E05"/>
    <w:rsid w:val="00463E1B"/>
    <w:rsid w:val="00463EBA"/>
    <w:rsid w:val="00463EEC"/>
    <w:rsid w:val="00463F0C"/>
    <w:rsid w:val="00463F29"/>
    <w:rsid w:val="00463F5F"/>
    <w:rsid w:val="00463F78"/>
    <w:rsid w:val="00463FA9"/>
    <w:rsid w:val="00463FD2"/>
    <w:rsid w:val="00464006"/>
    <w:rsid w:val="0046405A"/>
    <w:rsid w:val="00464096"/>
    <w:rsid w:val="004640AE"/>
    <w:rsid w:val="004640C7"/>
    <w:rsid w:val="004640DD"/>
    <w:rsid w:val="00464110"/>
    <w:rsid w:val="00464125"/>
    <w:rsid w:val="00464157"/>
    <w:rsid w:val="00464171"/>
    <w:rsid w:val="004641D6"/>
    <w:rsid w:val="004641FF"/>
    <w:rsid w:val="00464224"/>
    <w:rsid w:val="0046422A"/>
    <w:rsid w:val="0046423D"/>
    <w:rsid w:val="00464267"/>
    <w:rsid w:val="004642DD"/>
    <w:rsid w:val="004642FB"/>
    <w:rsid w:val="0046431A"/>
    <w:rsid w:val="00464331"/>
    <w:rsid w:val="0046438C"/>
    <w:rsid w:val="004643A9"/>
    <w:rsid w:val="004643E0"/>
    <w:rsid w:val="004643FB"/>
    <w:rsid w:val="00464409"/>
    <w:rsid w:val="00464422"/>
    <w:rsid w:val="0046444D"/>
    <w:rsid w:val="0046447E"/>
    <w:rsid w:val="004644F6"/>
    <w:rsid w:val="00464527"/>
    <w:rsid w:val="00464551"/>
    <w:rsid w:val="00464593"/>
    <w:rsid w:val="004645A4"/>
    <w:rsid w:val="004645E2"/>
    <w:rsid w:val="0046461F"/>
    <w:rsid w:val="00464651"/>
    <w:rsid w:val="004646AA"/>
    <w:rsid w:val="004646AD"/>
    <w:rsid w:val="004646E4"/>
    <w:rsid w:val="004646E9"/>
    <w:rsid w:val="004646FD"/>
    <w:rsid w:val="00464747"/>
    <w:rsid w:val="0046478A"/>
    <w:rsid w:val="004647B0"/>
    <w:rsid w:val="004647D0"/>
    <w:rsid w:val="00464805"/>
    <w:rsid w:val="0046483C"/>
    <w:rsid w:val="00464873"/>
    <w:rsid w:val="004648E5"/>
    <w:rsid w:val="0046490E"/>
    <w:rsid w:val="0046496D"/>
    <w:rsid w:val="0046497D"/>
    <w:rsid w:val="004649B2"/>
    <w:rsid w:val="004649D1"/>
    <w:rsid w:val="004649E2"/>
    <w:rsid w:val="004649ED"/>
    <w:rsid w:val="00464A1B"/>
    <w:rsid w:val="00464A3A"/>
    <w:rsid w:val="00464A7D"/>
    <w:rsid w:val="00464AB3"/>
    <w:rsid w:val="00464B54"/>
    <w:rsid w:val="00464B62"/>
    <w:rsid w:val="00464B6E"/>
    <w:rsid w:val="00464B8B"/>
    <w:rsid w:val="00464BC9"/>
    <w:rsid w:val="00464BCF"/>
    <w:rsid w:val="00464BEC"/>
    <w:rsid w:val="00464C33"/>
    <w:rsid w:val="00464C35"/>
    <w:rsid w:val="00464C42"/>
    <w:rsid w:val="00464C54"/>
    <w:rsid w:val="00464C60"/>
    <w:rsid w:val="00464C67"/>
    <w:rsid w:val="00464C76"/>
    <w:rsid w:val="00464C9C"/>
    <w:rsid w:val="00464CBC"/>
    <w:rsid w:val="00464CDE"/>
    <w:rsid w:val="00464CEA"/>
    <w:rsid w:val="00464CF5"/>
    <w:rsid w:val="00464D02"/>
    <w:rsid w:val="00464D55"/>
    <w:rsid w:val="00464D6E"/>
    <w:rsid w:val="00464D71"/>
    <w:rsid w:val="00464DA2"/>
    <w:rsid w:val="00464DBF"/>
    <w:rsid w:val="00464DC4"/>
    <w:rsid w:val="00464DF0"/>
    <w:rsid w:val="00464EB6"/>
    <w:rsid w:val="00464EF8"/>
    <w:rsid w:val="00464F13"/>
    <w:rsid w:val="00464F5B"/>
    <w:rsid w:val="00464FA1"/>
    <w:rsid w:val="00464FC6"/>
    <w:rsid w:val="00464FCC"/>
    <w:rsid w:val="00465054"/>
    <w:rsid w:val="00465073"/>
    <w:rsid w:val="0046507B"/>
    <w:rsid w:val="004650D7"/>
    <w:rsid w:val="00465119"/>
    <w:rsid w:val="0046513C"/>
    <w:rsid w:val="0046513E"/>
    <w:rsid w:val="0046516F"/>
    <w:rsid w:val="004651AB"/>
    <w:rsid w:val="004651CD"/>
    <w:rsid w:val="0046522B"/>
    <w:rsid w:val="004652BC"/>
    <w:rsid w:val="004652ED"/>
    <w:rsid w:val="004652F1"/>
    <w:rsid w:val="0046533D"/>
    <w:rsid w:val="00465345"/>
    <w:rsid w:val="0046536C"/>
    <w:rsid w:val="004653BD"/>
    <w:rsid w:val="004653E4"/>
    <w:rsid w:val="004653EC"/>
    <w:rsid w:val="0046544C"/>
    <w:rsid w:val="004654BD"/>
    <w:rsid w:val="0046550C"/>
    <w:rsid w:val="0046555E"/>
    <w:rsid w:val="00465579"/>
    <w:rsid w:val="0046559E"/>
    <w:rsid w:val="004655D5"/>
    <w:rsid w:val="004656B7"/>
    <w:rsid w:val="004656EA"/>
    <w:rsid w:val="004656FB"/>
    <w:rsid w:val="00465710"/>
    <w:rsid w:val="00465716"/>
    <w:rsid w:val="00465723"/>
    <w:rsid w:val="00465738"/>
    <w:rsid w:val="004657AE"/>
    <w:rsid w:val="004657C2"/>
    <w:rsid w:val="00465809"/>
    <w:rsid w:val="00465839"/>
    <w:rsid w:val="00465849"/>
    <w:rsid w:val="004658A2"/>
    <w:rsid w:val="004658A7"/>
    <w:rsid w:val="004658BE"/>
    <w:rsid w:val="004658EA"/>
    <w:rsid w:val="00465940"/>
    <w:rsid w:val="00465947"/>
    <w:rsid w:val="0046598B"/>
    <w:rsid w:val="00465996"/>
    <w:rsid w:val="004659D4"/>
    <w:rsid w:val="00465A0D"/>
    <w:rsid w:val="00465A34"/>
    <w:rsid w:val="00465A35"/>
    <w:rsid w:val="00465A75"/>
    <w:rsid w:val="00465A7C"/>
    <w:rsid w:val="00465A8E"/>
    <w:rsid w:val="00465A97"/>
    <w:rsid w:val="00465AAA"/>
    <w:rsid w:val="00465AAC"/>
    <w:rsid w:val="00465ADB"/>
    <w:rsid w:val="00465AF5"/>
    <w:rsid w:val="00465B32"/>
    <w:rsid w:val="00465B77"/>
    <w:rsid w:val="00465B7F"/>
    <w:rsid w:val="00465B92"/>
    <w:rsid w:val="00465BA8"/>
    <w:rsid w:val="00465BFC"/>
    <w:rsid w:val="00465BFE"/>
    <w:rsid w:val="00465C88"/>
    <w:rsid w:val="00465C8E"/>
    <w:rsid w:val="00465C9C"/>
    <w:rsid w:val="00465CF1"/>
    <w:rsid w:val="00465CFD"/>
    <w:rsid w:val="00465CFE"/>
    <w:rsid w:val="00465D5C"/>
    <w:rsid w:val="00465D5D"/>
    <w:rsid w:val="00465D7D"/>
    <w:rsid w:val="00465D8E"/>
    <w:rsid w:val="00465D91"/>
    <w:rsid w:val="00465DF3"/>
    <w:rsid w:val="00465DF9"/>
    <w:rsid w:val="00465E09"/>
    <w:rsid w:val="00465E0D"/>
    <w:rsid w:val="00465E8F"/>
    <w:rsid w:val="00465E9A"/>
    <w:rsid w:val="00465EA4"/>
    <w:rsid w:val="00465EC2"/>
    <w:rsid w:val="00465ED3"/>
    <w:rsid w:val="00465F23"/>
    <w:rsid w:val="00465F29"/>
    <w:rsid w:val="00465F50"/>
    <w:rsid w:val="00465F58"/>
    <w:rsid w:val="00465F98"/>
    <w:rsid w:val="00465F9D"/>
    <w:rsid w:val="00465FA1"/>
    <w:rsid w:val="00465FF0"/>
    <w:rsid w:val="00465FF9"/>
    <w:rsid w:val="0046602A"/>
    <w:rsid w:val="00466087"/>
    <w:rsid w:val="00466160"/>
    <w:rsid w:val="0046616D"/>
    <w:rsid w:val="004661EC"/>
    <w:rsid w:val="004661FF"/>
    <w:rsid w:val="00466285"/>
    <w:rsid w:val="0046628A"/>
    <w:rsid w:val="0046628D"/>
    <w:rsid w:val="004662C6"/>
    <w:rsid w:val="004662E4"/>
    <w:rsid w:val="00466308"/>
    <w:rsid w:val="00466309"/>
    <w:rsid w:val="00466353"/>
    <w:rsid w:val="0046635A"/>
    <w:rsid w:val="00466386"/>
    <w:rsid w:val="0046638E"/>
    <w:rsid w:val="004663FF"/>
    <w:rsid w:val="00466407"/>
    <w:rsid w:val="00466479"/>
    <w:rsid w:val="00466482"/>
    <w:rsid w:val="00466488"/>
    <w:rsid w:val="004664FA"/>
    <w:rsid w:val="00466505"/>
    <w:rsid w:val="0046650D"/>
    <w:rsid w:val="00466534"/>
    <w:rsid w:val="00466541"/>
    <w:rsid w:val="00466542"/>
    <w:rsid w:val="004665A5"/>
    <w:rsid w:val="004665B9"/>
    <w:rsid w:val="004665E3"/>
    <w:rsid w:val="004665EF"/>
    <w:rsid w:val="004665F0"/>
    <w:rsid w:val="00466658"/>
    <w:rsid w:val="00466679"/>
    <w:rsid w:val="004666AD"/>
    <w:rsid w:val="004666CD"/>
    <w:rsid w:val="004666D2"/>
    <w:rsid w:val="004666D9"/>
    <w:rsid w:val="0046673B"/>
    <w:rsid w:val="0046673E"/>
    <w:rsid w:val="004667B1"/>
    <w:rsid w:val="004667E2"/>
    <w:rsid w:val="0046685B"/>
    <w:rsid w:val="004668A3"/>
    <w:rsid w:val="004668B2"/>
    <w:rsid w:val="004668B4"/>
    <w:rsid w:val="004668D9"/>
    <w:rsid w:val="004668E3"/>
    <w:rsid w:val="0046691B"/>
    <w:rsid w:val="004669B7"/>
    <w:rsid w:val="004669C9"/>
    <w:rsid w:val="004669D8"/>
    <w:rsid w:val="00466AA1"/>
    <w:rsid w:val="00466AD7"/>
    <w:rsid w:val="00466B33"/>
    <w:rsid w:val="00466B5D"/>
    <w:rsid w:val="00466B6B"/>
    <w:rsid w:val="00466B89"/>
    <w:rsid w:val="00466BDC"/>
    <w:rsid w:val="00466C03"/>
    <w:rsid w:val="00466C17"/>
    <w:rsid w:val="00466C36"/>
    <w:rsid w:val="00466C4F"/>
    <w:rsid w:val="00466C86"/>
    <w:rsid w:val="00466CA6"/>
    <w:rsid w:val="00466CB3"/>
    <w:rsid w:val="00466CCD"/>
    <w:rsid w:val="00466CD8"/>
    <w:rsid w:val="00466D17"/>
    <w:rsid w:val="00466D4F"/>
    <w:rsid w:val="00466D57"/>
    <w:rsid w:val="00466D5D"/>
    <w:rsid w:val="00466D74"/>
    <w:rsid w:val="00466DA4"/>
    <w:rsid w:val="00466DAA"/>
    <w:rsid w:val="00466E00"/>
    <w:rsid w:val="00466E15"/>
    <w:rsid w:val="00466E58"/>
    <w:rsid w:val="00466E61"/>
    <w:rsid w:val="00466EB8"/>
    <w:rsid w:val="00466ED2"/>
    <w:rsid w:val="00466EFC"/>
    <w:rsid w:val="00466F17"/>
    <w:rsid w:val="00466F2D"/>
    <w:rsid w:val="00466F51"/>
    <w:rsid w:val="00466FD6"/>
    <w:rsid w:val="00466FF8"/>
    <w:rsid w:val="00467009"/>
    <w:rsid w:val="00467043"/>
    <w:rsid w:val="00467044"/>
    <w:rsid w:val="00467069"/>
    <w:rsid w:val="004670D8"/>
    <w:rsid w:val="00467116"/>
    <w:rsid w:val="0046715C"/>
    <w:rsid w:val="00467190"/>
    <w:rsid w:val="004671EC"/>
    <w:rsid w:val="0046720F"/>
    <w:rsid w:val="00467228"/>
    <w:rsid w:val="00467242"/>
    <w:rsid w:val="00467289"/>
    <w:rsid w:val="0046728F"/>
    <w:rsid w:val="004672B5"/>
    <w:rsid w:val="004672C8"/>
    <w:rsid w:val="004672D4"/>
    <w:rsid w:val="004672D9"/>
    <w:rsid w:val="004672EB"/>
    <w:rsid w:val="0046732C"/>
    <w:rsid w:val="0046739B"/>
    <w:rsid w:val="004673EB"/>
    <w:rsid w:val="0046741C"/>
    <w:rsid w:val="00467460"/>
    <w:rsid w:val="0046746E"/>
    <w:rsid w:val="004674C2"/>
    <w:rsid w:val="004674D5"/>
    <w:rsid w:val="00467535"/>
    <w:rsid w:val="00467540"/>
    <w:rsid w:val="00467546"/>
    <w:rsid w:val="00467575"/>
    <w:rsid w:val="00467585"/>
    <w:rsid w:val="004675D0"/>
    <w:rsid w:val="004675DF"/>
    <w:rsid w:val="00467652"/>
    <w:rsid w:val="00467670"/>
    <w:rsid w:val="004676D4"/>
    <w:rsid w:val="004676E0"/>
    <w:rsid w:val="004676F9"/>
    <w:rsid w:val="00467714"/>
    <w:rsid w:val="00467727"/>
    <w:rsid w:val="0046773E"/>
    <w:rsid w:val="0046775A"/>
    <w:rsid w:val="0046776B"/>
    <w:rsid w:val="00467772"/>
    <w:rsid w:val="0046777C"/>
    <w:rsid w:val="00467813"/>
    <w:rsid w:val="00467858"/>
    <w:rsid w:val="00467888"/>
    <w:rsid w:val="00467896"/>
    <w:rsid w:val="004678A0"/>
    <w:rsid w:val="004678AE"/>
    <w:rsid w:val="004678B3"/>
    <w:rsid w:val="004678CC"/>
    <w:rsid w:val="004678E2"/>
    <w:rsid w:val="004678FB"/>
    <w:rsid w:val="00467903"/>
    <w:rsid w:val="0046790C"/>
    <w:rsid w:val="00467930"/>
    <w:rsid w:val="00467968"/>
    <w:rsid w:val="004679B9"/>
    <w:rsid w:val="004679F1"/>
    <w:rsid w:val="00467A06"/>
    <w:rsid w:val="00467A0C"/>
    <w:rsid w:val="00467A55"/>
    <w:rsid w:val="00467B14"/>
    <w:rsid w:val="00467B9A"/>
    <w:rsid w:val="00467BA9"/>
    <w:rsid w:val="00467BD3"/>
    <w:rsid w:val="00467BDC"/>
    <w:rsid w:val="00467BFD"/>
    <w:rsid w:val="00467C5F"/>
    <w:rsid w:val="00467C6B"/>
    <w:rsid w:val="00467C7E"/>
    <w:rsid w:val="00467C8F"/>
    <w:rsid w:val="00467CCD"/>
    <w:rsid w:val="00467CE1"/>
    <w:rsid w:val="00467D0D"/>
    <w:rsid w:val="00467D21"/>
    <w:rsid w:val="00467D97"/>
    <w:rsid w:val="00467DA1"/>
    <w:rsid w:val="00467DEF"/>
    <w:rsid w:val="00467E02"/>
    <w:rsid w:val="00467E0E"/>
    <w:rsid w:val="00467E35"/>
    <w:rsid w:val="00467E64"/>
    <w:rsid w:val="00467EAC"/>
    <w:rsid w:val="00467EB6"/>
    <w:rsid w:val="00467EFE"/>
    <w:rsid w:val="00467F5F"/>
    <w:rsid w:val="00467F60"/>
    <w:rsid w:val="00467F62"/>
    <w:rsid w:val="0047000B"/>
    <w:rsid w:val="0047003B"/>
    <w:rsid w:val="0047003C"/>
    <w:rsid w:val="004700DF"/>
    <w:rsid w:val="00470110"/>
    <w:rsid w:val="00470132"/>
    <w:rsid w:val="004701A0"/>
    <w:rsid w:val="004701A3"/>
    <w:rsid w:val="004701AE"/>
    <w:rsid w:val="004701B2"/>
    <w:rsid w:val="004701C3"/>
    <w:rsid w:val="00470220"/>
    <w:rsid w:val="00470249"/>
    <w:rsid w:val="0047024E"/>
    <w:rsid w:val="00470270"/>
    <w:rsid w:val="0047029C"/>
    <w:rsid w:val="004702A4"/>
    <w:rsid w:val="004702B8"/>
    <w:rsid w:val="004702BE"/>
    <w:rsid w:val="004702DE"/>
    <w:rsid w:val="004702E8"/>
    <w:rsid w:val="004702F6"/>
    <w:rsid w:val="004702FC"/>
    <w:rsid w:val="0047033E"/>
    <w:rsid w:val="00470342"/>
    <w:rsid w:val="00470351"/>
    <w:rsid w:val="00470366"/>
    <w:rsid w:val="004703EB"/>
    <w:rsid w:val="00470415"/>
    <w:rsid w:val="00470432"/>
    <w:rsid w:val="00470443"/>
    <w:rsid w:val="00470450"/>
    <w:rsid w:val="00470453"/>
    <w:rsid w:val="00470473"/>
    <w:rsid w:val="00470474"/>
    <w:rsid w:val="0047047A"/>
    <w:rsid w:val="004704B5"/>
    <w:rsid w:val="004704C0"/>
    <w:rsid w:val="004704CC"/>
    <w:rsid w:val="0047052B"/>
    <w:rsid w:val="00470534"/>
    <w:rsid w:val="0047055C"/>
    <w:rsid w:val="0047059E"/>
    <w:rsid w:val="004705C4"/>
    <w:rsid w:val="004705DD"/>
    <w:rsid w:val="00470614"/>
    <w:rsid w:val="00470634"/>
    <w:rsid w:val="00470640"/>
    <w:rsid w:val="00470674"/>
    <w:rsid w:val="0047068C"/>
    <w:rsid w:val="004706A2"/>
    <w:rsid w:val="004706A9"/>
    <w:rsid w:val="004706B4"/>
    <w:rsid w:val="00470703"/>
    <w:rsid w:val="00470706"/>
    <w:rsid w:val="00470714"/>
    <w:rsid w:val="0047071C"/>
    <w:rsid w:val="00470747"/>
    <w:rsid w:val="00470763"/>
    <w:rsid w:val="00470774"/>
    <w:rsid w:val="00470776"/>
    <w:rsid w:val="00470792"/>
    <w:rsid w:val="004707B7"/>
    <w:rsid w:val="004707FB"/>
    <w:rsid w:val="0047080C"/>
    <w:rsid w:val="0047084B"/>
    <w:rsid w:val="00470860"/>
    <w:rsid w:val="00470881"/>
    <w:rsid w:val="00470884"/>
    <w:rsid w:val="00470888"/>
    <w:rsid w:val="004708FE"/>
    <w:rsid w:val="00470906"/>
    <w:rsid w:val="00470907"/>
    <w:rsid w:val="00470911"/>
    <w:rsid w:val="0047094A"/>
    <w:rsid w:val="00470987"/>
    <w:rsid w:val="004709D6"/>
    <w:rsid w:val="004709DB"/>
    <w:rsid w:val="004709E8"/>
    <w:rsid w:val="00470A81"/>
    <w:rsid w:val="00470AA8"/>
    <w:rsid w:val="00470B09"/>
    <w:rsid w:val="00470B17"/>
    <w:rsid w:val="00470B29"/>
    <w:rsid w:val="00470B39"/>
    <w:rsid w:val="00470B7A"/>
    <w:rsid w:val="00470B9A"/>
    <w:rsid w:val="00470BB1"/>
    <w:rsid w:val="00470BC4"/>
    <w:rsid w:val="00470C10"/>
    <w:rsid w:val="00470C12"/>
    <w:rsid w:val="00470C57"/>
    <w:rsid w:val="00470CF2"/>
    <w:rsid w:val="00470CF3"/>
    <w:rsid w:val="00470D09"/>
    <w:rsid w:val="00470D43"/>
    <w:rsid w:val="00470D4F"/>
    <w:rsid w:val="00470D8F"/>
    <w:rsid w:val="00470DC7"/>
    <w:rsid w:val="00470DF5"/>
    <w:rsid w:val="00470E1F"/>
    <w:rsid w:val="00470E70"/>
    <w:rsid w:val="00470E88"/>
    <w:rsid w:val="00470EC2"/>
    <w:rsid w:val="00470F26"/>
    <w:rsid w:val="00470F3B"/>
    <w:rsid w:val="00470F40"/>
    <w:rsid w:val="00470F46"/>
    <w:rsid w:val="00471032"/>
    <w:rsid w:val="0047109B"/>
    <w:rsid w:val="004710AA"/>
    <w:rsid w:val="004710C1"/>
    <w:rsid w:val="004710E8"/>
    <w:rsid w:val="00471106"/>
    <w:rsid w:val="0047110D"/>
    <w:rsid w:val="00471140"/>
    <w:rsid w:val="0047114A"/>
    <w:rsid w:val="004711D1"/>
    <w:rsid w:val="004711E9"/>
    <w:rsid w:val="00471210"/>
    <w:rsid w:val="00471241"/>
    <w:rsid w:val="00471242"/>
    <w:rsid w:val="004712C4"/>
    <w:rsid w:val="004712F5"/>
    <w:rsid w:val="00471322"/>
    <w:rsid w:val="00471325"/>
    <w:rsid w:val="00471327"/>
    <w:rsid w:val="00471366"/>
    <w:rsid w:val="004713C1"/>
    <w:rsid w:val="004713CF"/>
    <w:rsid w:val="004713D7"/>
    <w:rsid w:val="004713EF"/>
    <w:rsid w:val="004713F1"/>
    <w:rsid w:val="00471417"/>
    <w:rsid w:val="00471421"/>
    <w:rsid w:val="00471429"/>
    <w:rsid w:val="00471487"/>
    <w:rsid w:val="004714D8"/>
    <w:rsid w:val="004714DF"/>
    <w:rsid w:val="004714F8"/>
    <w:rsid w:val="00471519"/>
    <w:rsid w:val="0047152F"/>
    <w:rsid w:val="00471551"/>
    <w:rsid w:val="004715C7"/>
    <w:rsid w:val="004715EC"/>
    <w:rsid w:val="0047161A"/>
    <w:rsid w:val="0047161E"/>
    <w:rsid w:val="00471663"/>
    <w:rsid w:val="0047166E"/>
    <w:rsid w:val="00471676"/>
    <w:rsid w:val="004716A5"/>
    <w:rsid w:val="004716B8"/>
    <w:rsid w:val="004716BF"/>
    <w:rsid w:val="004716E7"/>
    <w:rsid w:val="00471729"/>
    <w:rsid w:val="0047176F"/>
    <w:rsid w:val="00471782"/>
    <w:rsid w:val="0047178D"/>
    <w:rsid w:val="004717A7"/>
    <w:rsid w:val="004717AA"/>
    <w:rsid w:val="00471822"/>
    <w:rsid w:val="00471825"/>
    <w:rsid w:val="00471860"/>
    <w:rsid w:val="00471919"/>
    <w:rsid w:val="0047194D"/>
    <w:rsid w:val="0047195C"/>
    <w:rsid w:val="0047196A"/>
    <w:rsid w:val="0047199D"/>
    <w:rsid w:val="004719CE"/>
    <w:rsid w:val="00471A09"/>
    <w:rsid w:val="00471A4A"/>
    <w:rsid w:val="00471A60"/>
    <w:rsid w:val="00471A63"/>
    <w:rsid w:val="00471A6C"/>
    <w:rsid w:val="00471AB6"/>
    <w:rsid w:val="00471ACF"/>
    <w:rsid w:val="00471AF3"/>
    <w:rsid w:val="00471B1F"/>
    <w:rsid w:val="00471B21"/>
    <w:rsid w:val="00471B54"/>
    <w:rsid w:val="00471BB1"/>
    <w:rsid w:val="00471BD1"/>
    <w:rsid w:val="00471BF6"/>
    <w:rsid w:val="00471C06"/>
    <w:rsid w:val="00471C15"/>
    <w:rsid w:val="00471C61"/>
    <w:rsid w:val="00471C90"/>
    <w:rsid w:val="00471C95"/>
    <w:rsid w:val="00471CA4"/>
    <w:rsid w:val="00471CDA"/>
    <w:rsid w:val="00471D09"/>
    <w:rsid w:val="00471D0A"/>
    <w:rsid w:val="00471D2D"/>
    <w:rsid w:val="00471D62"/>
    <w:rsid w:val="00471D68"/>
    <w:rsid w:val="00471D77"/>
    <w:rsid w:val="00471E18"/>
    <w:rsid w:val="00471E2B"/>
    <w:rsid w:val="00471E31"/>
    <w:rsid w:val="00471E67"/>
    <w:rsid w:val="00471EAD"/>
    <w:rsid w:val="00471EC2"/>
    <w:rsid w:val="00471F0A"/>
    <w:rsid w:val="00471F4F"/>
    <w:rsid w:val="00471F9F"/>
    <w:rsid w:val="00472003"/>
    <w:rsid w:val="00472065"/>
    <w:rsid w:val="004720A0"/>
    <w:rsid w:val="004720B5"/>
    <w:rsid w:val="004720E0"/>
    <w:rsid w:val="00472160"/>
    <w:rsid w:val="00472176"/>
    <w:rsid w:val="0047217D"/>
    <w:rsid w:val="004721A8"/>
    <w:rsid w:val="004721E7"/>
    <w:rsid w:val="004721FA"/>
    <w:rsid w:val="00472205"/>
    <w:rsid w:val="00472233"/>
    <w:rsid w:val="00472238"/>
    <w:rsid w:val="00472265"/>
    <w:rsid w:val="0047227A"/>
    <w:rsid w:val="004722B5"/>
    <w:rsid w:val="00472334"/>
    <w:rsid w:val="00472395"/>
    <w:rsid w:val="00472399"/>
    <w:rsid w:val="00472471"/>
    <w:rsid w:val="00472486"/>
    <w:rsid w:val="004724DF"/>
    <w:rsid w:val="004724F1"/>
    <w:rsid w:val="0047257E"/>
    <w:rsid w:val="0047259C"/>
    <w:rsid w:val="004725A4"/>
    <w:rsid w:val="004725B8"/>
    <w:rsid w:val="004725C0"/>
    <w:rsid w:val="004725EB"/>
    <w:rsid w:val="004725F2"/>
    <w:rsid w:val="00472693"/>
    <w:rsid w:val="004726CC"/>
    <w:rsid w:val="004726D2"/>
    <w:rsid w:val="004726FD"/>
    <w:rsid w:val="00472720"/>
    <w:rsid w:val="0047272F"/>
    <w:rsid w:val="00472748"/>
    <w:rsid w:val="00472752"/>
    <w:rsid w:val="0047275D"/>
    <w:rsid w:val="00472808"/>
    <w:rsid w:val="0047283D"/>
    <w:rsid w:val="00472869"/>
    <w:rsid w:val="00472872"/>
    <w:rsid w:val="004728A7"/>
    <w:rsid w:val="004728E0"/>
    <w:rsid w:val="004728E4"/>
    <w:rsid w:val="004728E8"/>
    <w:rsid w:val="00472904"/>
    <w:rsid w:val="00472908"/>
    <w:rsid w:val="00472926"/>
    <w:rsid w:val="00472944"/>
    <w:rsid w:val="00472984"/>
    <w:rsid w:val="00472986"/>
    <w:rsid w:val="00472996"/>
    <w:rsid w:val="004729EA"/>
    <w:rsid w:val="004729F7"/>
    <w:rsid w:val="00472A42"/>
    <w:rsid w:val="00472A70"/>
    <w:rsid w:val="00472AAC"/>
    <w:rsid w:val="00472AAD"/>
    <w:rsid w:val="00472ABE"/>
    <w:rsid w:val="00472AC0"/>
    <w:rsid w:val="00472B66"/>
    <w:rsid w:val="00472B7A"/>
    <w:rsid w:val="00472BDB"/>
    <w:rsid w:val="00472C0B"/>
    <w:rsid w:val="00472C3B"/>
    <w:rsid w:val="00472C3D"/>
    <w:rsid w:val="00472C43"/>
    <w:rsid w:val="00472CBD"/>
    <w:rsid w:val="00472CF4"/>
    <w:rsid w:val="00472D3A"/>
    <w:rsid w:val="00472D4F"/>
    <w:rsid w:val="00472D5F"/>
    <w:rsid w:val="00472D71"/>
    <w:rsid w:val="00472DA8"/>
    <w:rsid w:val="00472DD3"/>
    <w:rsid w:val="00472DF8"/>
    <w:rsid w:val="00472DFB"/>
    <w:rsid w:val="00472E07"/>
    <w:rsid w:val="00472E39"/>
    <w:rsid w:val="00472EA7"/>
    <w:rsid w:val="00472EF3"/>
    <w:rsid w:val="00472F4D"/>
    <w:rsid w:val="00472FC5"/>
    <w:rsid w:val="00472FEA"/>
    <w:rsid w:val="00473009"/>
    <w:rsid w:val="00473019"/>
    <w:rsid w:val="00473041"/>
    <w:rsid w:val="0047305B"/>
    <w:rsid w:val="00473076"/>
    <w:rsid w:val="004730C0"/>
    <w:rsid w:val="004730C5"/>
    <w:rsid w:val="004730DC"/>
    <w:rsid w:val="0047313D"/>
    <w:rsid w:val="00473153"/>
    <w:rsid w:val="00473254"/>
    <w:rsid w:val="00473285"/>
    <w:rsid w:val="00473296"/>
    <w:rsid w:val="004732C2"/>
    <w:rsid w:val="004732F6"/>
    <w:rsid w:val="00473349"/>
    <w:rsid w:val="0047335F"/>
    <w:rsid w:val="00473372"/>
    <w:rsid w:val="00473374"/>
    <w:rsid w:val="0047339B"/>
    <w:rsid w:val="004733AA"/>
    <w:rsid w:val="00473406"/>
    <w:rsid w:val="00473408"/>
    <w:rsid w:val="0047343F"/>
    <w:rsid w:val="00473446"/>
    <w:rsid w:val="0047346C"/>
    <w:rsid w:val="00473477"/>
    <w:rsid w:val="0047349D"/>
    <w:rsid w:val="0047351F"/>
    <w:rsid w:val="00473538"/>
    <w:rsid w:val="0047356B"/>
    <w:rsid w:val="00473598"/>
    <w:rsid w:val="004735F2"/>
    <w:rsid w:val="00473620"/>
    <w:rsid w:val="00473636"/>
    <w:rsid w:val="00473654"/>
    <w:rsid w:val="00473669"/>
    <w:rsid w:val="004736C3"/>
    <w:rsid w:val="004736CA"/>
    <w:rsid w:val="004736D7"/>
    <w:rsid w:val="004736E2"/>
    <w:rsid w:val="004736FA"/>
    <w:rsid w:val="0047374D"/>
    <w:rsid w:val="00473778"/>
    <w:rsid w:val="004737A0"/>
    <w:rsid w:val="004737A8"/>
    <w:rsid w:val="004737BB"/>
    <w:rsid w:val="004737CB"/>
    <w:rsid w:val="0047384F"/>
    <w:rsid w:val="0047385B"/>
    <w:rsid w:val="00473886"/>
    <w:rsid w:val="004738A0"/>
    <w:rsid w:val="004738D0"/>
    <w:rsid w:val="0047391B"/>
    <w:rsid w:val="0047394C"/>
    <w:rsid w:val="00473950"/>
    <w:rsid w:val="004739F9"/>
    <w:rsid w:val="00473A15"/>
    <w:rsid w:val="00473A90"/>
    <w:rsid w:val="00473A95"/>
    <w:rsid w:val="00473AF5"/>
    <w:rsid w:val="00473AFE"/>
    <w:rsid w:val="00473B48"/>
    <w:rsid w:val="00473B8B"/>
    <w:rsid w:val="00473B8E"/>
    <w:rsid w:val="00473B91"/>
    <w:rsid w:val="00473BB0"/>
    <w:rsid w:val="00473BB9"/>
    <w:rsid w:val="00473BBC"/>
    <w:rsid w:val="00473BBF"/>
    <w:rsid w:val="00473C09"/>
    <w:rsid w:val="00473C13"/>
    <w:rsid w:val="00473C77"/>
    <w:rsid w:val="00473C91"/>
    <w:rsid w:val="00473CA4"/>
    <w:rsid w:val="00473CCC"/>
    <w:rsid w:val="00473CF8"/>
    <w:rsid w:val="00473D1A"/>
    <w:rsid w:val="00473D2C"/>
    <w:rsid w:val="00473D39"/>
    <w:rsid w:val="00473D3D"/>
    <w:rsid w:val="00473D5D"/>
    <w:rsid w:val="00473D90"/>
    <w:rsid w:val="00473DF1"/>
    <w:rsid w:val="00473E05"/>
    <w:rsid w:val="00473E28"/>
    <w:rsid w:val="00473EAB"/>
    <w:rsid w:val="00473EB1"/>
    <w:rsid w:val="00473EC7"/>
    <w:rsid w:val="00473EE0"/>
    <w:rsid w:val="00473EE1"/>
    <w:rsid w:val="00473F20"/>
    <w:rsid w:val="00473F51"/>
    <w:rsid w:val="00473F5B"/>
    <w:rsid w:val="00473F7A"/>
    <w:rsid w:val="00473FA0"/>
    <w:rsid w:val="00473FB8"/>
    <w:rsid w:val="00473FC3"/>
    <w:rsid w:val="00473FD6"/>
    <w:rsid w:val="00474010"/>
    <w:rsid w:val="0047404F"/>
    <w:rsid w:val="00474069"/>
    <w:rsid w:val="0047408E"/>
    <w:rsid w:val="004740A8"/>
    <w:rsid w:val="004740D3"/>
    <w:rsid w:val="004740D4"/>
    <w:rsid w:val="004740F1"/>
    <w:rsid w:val="00474121"/>
    <w:rsid w:val="0047412F"/>
    <w:rsid w:val="00474139"/>
    <w:rsid w:val="00474165"/>
    <w:rsid w:val="0047416E"/>
    <w:rsid w:val="004741D9"/>
    <w:rsid w:val="00474211"/>
    <w:rsid w:val="00474266"/>
    <w:rsid w:val="00474284"/>
    <w:rsid w:val="004742C5"/>
    <w:rsid w:val="004742D3"/>
    <w:rsid w:val="004742E7"/>
    <w:rsid w:val="00474315"/>
    <w:rsid w:val="00474366"/>
    <w:rsid w:val="004743B6"/>
    <w:rsid w:val="004743C8"/>
    <w:rsid w:val="00474442"/>
    <w:rsid w:val="0047447A"/>
    <w:rsid w:val="004744AF"/>
    <w:rsid w:val="004744D2"/>
    <w:rsid w:val="004744EA"/>
    <w:rsid w:val="004744EF"/>
    <w:rsid w:val="00474527"/>
    <w:rsid w:val="0047453F"/>
    <w:rsid w:val="00474559"/>
    <w:rsid w:val="004745D7"/>
    <w:rsid w:val="004745DB"/>
    <w:rsid w:val="00474621"/>
    <w:rsid w:val="00474650"/>
    <w:rsid w:val="004746AE"/>
    <w:rsid w:val="004746C2"/>
    <w:rsid w:val="004746CA"/>
    <w:rsid w:val="00474758"/>
    <w:rsid w:val="0047475A"/>
    <w:rsid w:val="00474762"/>
    <w:rsid w:val="0047476B"/>
    <w:rsid w:val="004747A4"/>
    <w:rsid w:val="004747AF"/>
    <w:rsid w:val="004747B3"/>
    <w:rsid w:val="0047482D"/>
    <w:rsid w:val="004748D6"/>
    <w:rsid w:val="0047491D"/>
    <w:rsid w:val="0047492B"/>
    <w:rsid w:val="0047496D"/>
    <w:rsid w:val="0047496F"/>
    <w:rsid w:val="004749A5"/>
    <w:rsid w:val="004749A6"/>
    <w:rsid w:val="004749B5"/>
    <w:rsid w:val="004749BC"/>
    <w:rsid w:val="004749D6"/>
    <w:rsid w:val="004749FD"/>
    <w:rsid w:val="00474A15"/>
    <w:rsid w:val="00474A16"/>
    <w:rsid w:val="00474A60"/>
    <w:rsid w:val="00474A61"/>
    <w:rsid w:val="00474A74"/>
    <w:rsid w:val="00474A9E"/>
    <w:rsid w:val="00474AE2"/>
    <w:rsid w:val="00474B1A"/>
    <w:rsid w:val="00474B2F"/>
    <w:rsid w:val="00474B6A"/>
    <w:rsid w:val="00474B8E"/>
    <w:rsid w:val="00474BDE"/>
    <w:rsid w:val="00474BE9"/>
    <w:rsid w:val="00474BF9"/>
    <w:rsid w:val="00474BFE"/>
    <w:rsid w:val="00474C07"/>
    <w:rsid w:val="00474C10"/>
    <w:rsid w:val="00474C1C"/>
    <w:rsid w:val="00474C3B"/>
    <w:rsid w:val="00474C3E"/>
    <w:rsid w:val="00474C43"/>
    <w:rsid w:val="00474C71"/>
    <w:rsid w:val="00474C81"/>
    <w:rsid w:val="00474C94"/>
    <w:rsid w:val="00474CC7"/>
    <w:rsid w:val="00474CCF"/>
    <w:rsid w:val="00474CD7"/>
    <w:rsid w:val="00474CE8"/>
    <w:rsid w:val="00474D7D"/>
    <w:rsid w:val="00474DB2"/>
    <w:rsid w:val="00474DC4"/>
    <w:rsid w:val="00474E25"/>
    <w:rsid w:val="00474E32"/>
    <w:rsid w:val="00474E3A"/>
    <w:rsid w:val="00474E4A"/>
    <w:rsid w:val="00474E9E"/>
    <w:rsid w:val="00474EB2"/>
    <w:rsid w:val="00474EE7"/>
    <w:rsid w:val="00474EF3"/>
    <w:rsid w:val="00474F22"/>
    <w:rsid w:val="00474F4C"/>
    <w:rsid w:val="00474F64"/>
    <w:rsid w:val="00474F79"/>
    <w:rsid w:val="00474F99"/>
    <w:rsid w:val="00474FB1"/>
    <w:rsid w:val="00474FE7"/>
    <w:rsid w:val="00474FEF"/>
    <w:rsid w:val="0047501C"/>
    <w:rsid w:val="0047506A"/>
    <w:rsid w:val="00475082"/>
    <w:rsid w:val="004750C5"/>
    <w:rsid w:val="004750CC"/>
    <w:rsid w:val="004750E0"/>
    <w:rsid w:val="004750F3"/>
    <w:rsid w:val="004750F7"/>
    <w:rsid w:val="00475108"/>
    <w:rsid w:val="00475152"/>
    <w:rsid w:val="004751B3"/>
    <w:rsid w:val="004751B5"/>
    <w:rsid w:val="004751E9"/>
    <w:rsid w:val="004751EE"/>
    <w:rsid w:val="0047523F"/>
    <w:rsid w:val="0047528E"/>
    <w:rsid w:val="004752A9"/>
    <w:rsid w:val="00475313"/>
    <w:rsid w:val="00475320"/>
    <w:rsid w:val="00475335"/>
    <w:rsid w:val="0047534E"/>
    <w:rsid w:val="00475367"/>
    <w:rsid w:val="004753A6"/>
    <w:rsid w:val="004753D8"/>
    <w:rsid w:val="004753DB"/>
    <w:rsid w:val="00475416"/>
    <w:rsid w:val="00475463"/>
    <w:rsid w:val="00475485"/>
    <w:rsid w:val="0047549D"/>
    <w:rsid w:val="004754C0"/>
    <w:rsid w:val="004754FE"/>
    <w:rsid w:val="00475538"/>
    <w:rsid w:val="00475564"/>
    <w:rsid w:val="0047559C"/>
    <w:rsid w:val="004755C4"/>
    <w:rsid w:val="00475602"/>
    <w:rsid w:val="0047561B"/>
    <w:rsid w:val="00475661"/>
    <w:rsid w:val="00475671"/>
    <w:rsid w:val="0047567F"/>
    <w:rsid w:val="0047568E"/>
    <w:rsid w:val="004756A9"/>
    <w:rsid w:val="004756BD"/>
    <w:rsid w:val="004756BF"/>
    <w:rsid w:val="004756D8"/>
    <w:rsid w:val="004756FF"/>
    <w:rsid w:val="00475705"/>
    <w:rsid w:val="0047570A"/>
    <w:rsid w:val="0047577F"/>
    <w:rsid w:val="004757A4"/>
    <w:rsid w:val="004757AE"/>
    <w:rsid w:val="004757CA"/>
    <w:rsid w:val="00475847"/>
    <w:rsid w:val="00475888"/>
    <w:rsid w:val="004758B6"/>
    <w:rsid w:val="0047591F"/>
    <w:rsid w:val="00475938"/>
    <w:rsid w:val="00475939"/>
    <w:rsid w:val="0047593D"/>
    <w:rsid w:val="0047596E"/>
    <w:rsid w:val="0047598E"/>
    <w:rsid w:val="00475990"/>
    <w:rsid w:val="004759C0"/>
    <w:rsid w:val="004759D7"/>
    <w:rsid w:val="004759E4"/>
    <w:rsid w:val="004759F9"/>
    <w:rsid w:val="00475A2E"/>
    <w:rsid w:val="00475A64"/>
    <w:rsid w:val="00475A75"/>
    <w:rsid w:val="00475A81"/>
    <w:rsid w:val="00475A87"/>
    <w:rsid w:val="00475AAE"/>
    <w:rsid w:val="00475AD7"/>
    <w:rsid w:val="00475B0D"/>
    <w:rsid w:val="00475B16"/>
    <w:rsid w:val="00475B27"/>
    <w:rsid w:val="00475BCC"/>
    <w:rsid w:val="00475C1B"/>
    <w:rsid w:val="00475C4C"/>
    <w:rsid w:val="00475C5C"/>
    <w:rsid w:val="00475CA5"/>
    <w:rsid w:val="00475CA6"/>
    <w:rsid w:val="00475CAD"/>
    <w:rsid w:val="00475CF0"/>
    <w:rsid w:val="00475CF5"/>
    <w:rsid w:val="00475D33"/>
    <w:rsid w:val="00475D6C"/>
    <w:rsid w:val="00475DE0"/>
    <w:rsid w:val="00475E02"/>
    <w:rsid w:val="00475E62"/>
    <w:rsid w:val="00475EC3"/>
    <w:rsid w:val="00475ED4"/>
    <w:rsid w:val="00475EFA"/>
    <w:rsid w:val="00475F07"/>
    <w:rsid w:val="00475F1E"/>
    <w:rsid w:val="00475F2A"/>
    <w:rsid w:val="00475F7D"/>
    <w:rsid w:val="00475FC0"/>
    <w:rsid w:val="00475FDF"/>
    <w:rsid w:val="00475FE4"/>
    <w:rsid w:val="00475FF4"/>
    <w:rsid w:val="00476006"/>
    <w:rsid w:val="00476015"/>
    <w:rsid w:val="00476032"/>
    <w:rsid w:val="0047603B"/>
    <w:rsid w:val="00476072"/>
    <w:rsid w:val="0047607F"/>
    <w:rsid w:val="0047609F"/>
    <w:rsid w:val="004760ED"/>
    <w:rsid w:val="00476102"/>
    <w:rsid w:val="0047611C"/>
    <w:rsid w:val="0047611F"/>
    <w:rsid w:val="00476132"/>
    <w:rsid w:val="00476139"/>
    <w:rsid w:val="00476153"/>
    <w:rsid w:val="004761B9"/>
    <w:rsid w:val="004761D3"/>
    <w:rsid w:val="0047622D"/>
    <w:rsid w:val="00476241"/>
    <w:rsid w:val="00476245"/>
    <w:rsid w:val="00476289"/>
    <w:rsid w:val="004762AB"/>
    <w:rsid w:val="004762B6"/>
    <w:rsid w:val="004762D1"/>
    <w:rsid w:val="00476311"/>
    <w:rsid w:val="00476340"/>
    <w:rsid w:val="0047636E"/>
    <w:rsid w:val="00476391"/>
    <w:rsid w:val="004763D3"/>
    <w:rsid w:val="00476412"/>
    <w:rsid w:val="00476416"/>
    <w:rsid w:val="0047643F"/>
    <w:rsid w:val="004764A3"/>
    <w:rsid w:val="004764A7"/>
    <w:rsid w:val="004764F2"/>
    <w:rsid w:val="00476521"/>
    <w:rsid w:val="0047653B"/>
    <w:rsid w:val="0047654A"/>
    <w:rsid w:val="0047655C"/>
    <w:rsid w:val="00476588"/>
    <w:rsid w:val="004765D2"/>
    <w:rsid w:val="00476621"/>
    <w:rsid w:val="0047663D"/>
    <w:rsid w:val="00476686"/>
    <w:rsid w:val="00476690"/>
    <w:rsid w:val="004766E3"/>
    <w:rsid w:val="004766FE"/>
    <w:rsid w:val="00476706"/>
    <w:rsid w:val="00476720"/>
    <w:rsid w:val="0047678A"/>
    <w:rsid w:val="00476794"/>
    <w:rsid w:val="004767CA"/>
    <w:rsid w:val="00476807"/>
    <w:rsid w:val="0047684B"/>
    <w:rsid w:val="0047684C"/>
    <w:rsid w:val="00476857"/>
    <w:rsid w:val="0047687C"/>
    <w:rsid w:val="004768BE"/>
    <w:rsid w:val="004768CB"/>
    <w:rsid w:val="004768D8"/>
    <w:rsid w:val="00476904"/>
    <w:rsid w:val="0047697B"/>
    <w:rsid w:val="004769A6"/>
    <w:rsid w:val="004769C6"/>
    <w:rsid w:val="004769F7"/>
    <w:rsid w:val="00476A81"/>
    <w:rsid w:val="00476AA2"/>
    <w:rsid w:val="00476AA4"/>
    <w:rsid w:val="00476AD5"/>
    <w:rsid w:val="00476AE8"/>
    <w:rsid w:val="00476B1F"/>
    <w:rsid w:val="00476B37"/>
    <w:rsid w:val="00476B40"/>
    <w:rsid w:val="00476B6A"/>
    <w:rsid w:val="00476BE8"/>
    <w:rsid w:val="00476C3D"/>
    <w:rsid w:val="00476C4D"/>
    <w:rsid w:val="00476CDA"/>
    <w:rsid w:val="00476D31"/>
    <w:rsid w:val="00476DA3"/>
    <w:rsid w:val="00476DB9"/>
    <w:rsid w:val="00476DC6"/>
    <w:rsid w:val="00476DED"/>
    <w:rsid w:val="00476DF2"/>
    <w:rsid w:val="00476EA0"/>
    <w:rsid w:val="00476EC2"/>
    <w:rsid w:val="00476EDD"/>
    <w:rsid w:val="00476F11"/>
    <w:rsid w:val="00476F28"/>
    <w:rsid w:val="00476F3F"/>
    <w:rsid w:val="00476FB3"/>
    <w:rsid w:val="00476FCD"/>
    <w:rsid w:val="00476FEF"/>
    <w:rsid w:val="00477016"/>
    <w:rsid w:val="0047704C"/>
    <w:rsid w:val="00477077"/>
    <w:rsid w:val="004770BC"/>
    <w:rsid w:val="00477106"/>
    <w:rsid w:val="00477107"/>
    <w:rsid w:val="00477116"/>
    <w:rsid w:val="00477121"/>
    <w:rsid w:val="00477133"/>
    <w:rsid w:val="0047713B"/>
    <w:rsid w:val="00477166"/>
    <w:rsid w:val="0047719A"/>
    <w:rsid w:val="0047719C"/>
    <w:rsid w:val="004771E4"/>
    <w:rsid w:val="00477200"/>
    <w:rsid w:val="00477239"/>
    <w:rsid w:val="00477247"/>
    <w:rsid w:val="0047725F"/>
    <w:rsid w:val="00477260"/>
    <w:rsid w:val="00477280"/>
    <w:rsid w:val="0047728A"/>
    <w:rsid w:val="004772A0"/>
    <w:rsid w:val="004772D3"/>
    <w:rsid w:val="0047731E"/>
    <w:rsid w:val="00477376"/>
    <w:rsid w:val="0047739F"/>
    <w:rsid w:val="004773AC"/>
    <w:rsid w:val="004773DE"/>
    <w:rsid w:val="004773F4"/>
    <w:rsid w:val="004773FA"/>
    <w:rsid w:val="004773FD"/>
    <w:rsid w:val="00477447"/>
    <w:rsid w:val="00477483"/>
    <w:rsid w:val="0047749F"/>
    <w:rsid w:val="004774B2"/>
    <w:rsid w:val="004774D9"/>
    <w:rsid w:val="004774F8"/>
    <w:rsid w:val="00477512"/>
    <w:rsid w:val="00477515"/>
    <w:rsid w:val="00477527"/>
    <w:rsid w:val="00477528"/>
    <w:rsid w:val="00477568"/>
    <w:rsid w:val="00477597"/>
    <w:rsid w:val="004775DD"/>
    <w:rsid w:val="004775E6"/>
    <w:rsid w:val="004775EF"/>
    <w:rsid w:val="004775F3"/>
    <w:rsid w:val="00477621"/>
    <w:rsid w:val="0047762D"/>
    <w:rsid w:val="0047767C"/>
    <w:rsid w:val="00477717"/>
    <w:rsid w:val="00477749"/>
    <w:rsid w:val="0047777C"/>
    <w:rsid w:val="00477780"/>
    <w:rsid w:val="004777B4"/>
    <w:rsid w:val="004777C2"/>
    <w:rsid w:val="004777C7"/>
    <w:rsid w:val="004777D8"/>
    <w:rsid w:val="00477825"/>
    <w:rsid w:val="0047782A"/>
    <w:rsid w:val="00477835"/>
    <w:rsid w:val="0047787C"/>
    <w:rsid w:val="004778AF"/>
    <w:rsid w:val="004778C4"/>
    <w:rsid w:val="00477963"/>
    <w:rsid w:val="00477971"/>
    <w:rsid w:val="00477980"/>
    <w:rsid w:val="004779AC"/>
    <w:rsid w:val="004779E7"/>
    <w:rsid w:val="004779F2"/>
    <w:rsid w:val="004779F8"/>
    <w:rsid w:val="00477A03"/>
    <w:rsid w:val="00477A12"/>
    <w:rsid w:val="00477A24"/>
    <w:rsid w:val="00477A6F"/>
    <w:rsid w:val="00477ABA"/>
    <w:rsid w:val="00477AEE"/>
    <w:rsid w:val="00477B20"/>
    <w:rsid w:val="00477BCA"/>
    <w:rsid w:val="00477BEA"/>
    <w:rsid w:val="00477C33"/>
    <w:rsid w:val="00477C77"/>
    <w:rsid w:val="00477C7A"/>
    <w:rsid w:val="00477C7C"/>
    <w:rsid w:val="00477C8E"/>
    <w:rsid w:val="00477CD3"/>
    <w:rsid w:val="00477CD9"/>
    <w:rsid w:val="00477CF9"/>
    <w:rsid w:val="00477D40"/>
    <w:rsid w:val="00477DAE"/>
    <w:rsid w:val="00477DB8"/>
    <w:rsid w:val="00477E01"/>
    <w:rsid w:val="00477E24"/>
    <w:rsid w:val="00477E37"/>
    <w:rsid w:val="00477E57"/>
    <w:rsid w:val="00477EA6"/>
    <w:rsid w:val="00477EC7"/>
    <w:rsid w:val="00477EF5"/>
    <w:rsid w:val="00477F80"/>
    <w:rsid w:val="00477F84"/>
    <w:rsid w:val="00477F89"/>
    <w:rsid w:val="00477FF7"/>
    <w:rsid w:val="00477FF8"/>
    <w:rsid w:val="0047FE51"/>
    <w:rsid w:val="0048000C"/>
    <w:rsid w:val="0048000E"/>
    <w:rsid w:val="00480058"/>
    <w:rsid w:val="00480068"/>
    <w:rsid w:val="004800DF"/>
    <w:rsid w:val="004800FF"/>
    <w:rsid w:val="00480109"/>
    <w:rsid w:val="00480112"/>
    <w:rsid w:val="0048011E"/>
    <w:rsid w:val="0048012C"/>
    <w:rsid w:val="00480133"/>
    <w:rsid w:val="0048019E"/>
    <w:rsid w:val="004801BE"/>
    <w:rsid w:val="004801EF"/>
    <w:rsid w:val="004801F9"/>
    <w:rsid w:val="0048020B"/>
    <w:rsid w:val="0048020E"/>
    <w:rsid w:val="00480233"/>
    <w:rsid w:val="00480238"/>
    <w:rsid w:val="0048027C"/>
    <w:rsid w:val="0048028C"/>
    <w:rsid w:val="004802AB"/>
    <w:rsid w:val="004802B8"/>
    <w:rsid w:val="004802BB"/>
    <w:rsid w:val="004802ED"/>
    <w:rsid w:val="00480309"/>
    <w:rsid w:val="0048031D"/>
    <w:rsid w:val="004803B7"/>
    <w:rsid w:val="004803D5"/>
    <w:rsid w:val="004803FB"/>
    <w:rsid w:val="00480408"/>
    <w:rsid w:val="0048041B"/>
    <w:rsid w:val="00480434"/>
    <w:rsid w:val="0048044C"/>
    <w:rsid w:val="004804CD"/>
    <w:rsid w:val="004804DB"/>
    <w:rsid w:val="004804F1"/>
    <w:rsid w:val="00480516"/>
    <w:rsid w:val="0048051D"/>
    <w:rsid w:val="0048055A"/>
    <w:rsid w:val="00480566"/>
    <w:rsid w:val="00480595"/>
    <w:rsid w:val="004805DE"/>
    <w:rsid w:val="004805DF"/>
    <w:rsid w:val="004805EA"/>
    <w:rsid w:val="004805F2"/>
    <w:rsid w:val="004805FB"/>
    <w:rsid w:val="00480627"/>
    <w:rsid w:val="0048064D"/>
    <w:rsid w:val="00480655"/>
    <w:rsid w:val="004806A0"/>
    <w:rsid w:val="004806A3"/>
    <w:rsid w:val="004806B5"/>
    <w:rsid w:val="004806CF"/>
    <w:rsid w:val="004806D3"/>
    <w:rsid w:val="004806DE"/>
    <w:rsid w:val="004806FC"/>
    <w:rsid w:val="0048076F"/>
    <w:rsid w:val="00480791"/>
    <w:rsid w:val="004807D6"/>
    <w:rsid w:val="004807F7"/>
    <w:rsid w:val="00480826"/>
    <w:rsid w:val="004808A5"/>
    <w:rsid w:val="004808E0"/>
    <w:rsid w:val="004808F2"/>
    <w:rsid w:val="00480908"/>
    <w:rsid w:val="00480956"/>
    <w:rsid w:val="0048096E"/>
    <w:rsid w:val="0048097D"/>
    <w:rsid w:val="004809A5"/>
    <w:rsid w:val="004809CA"/>
    <w:rsid w:val="004809EB"/>
    <w:rsid w:val="004809F1"/>
    <w:rsid w:val="00480A09"/>
    <w:rsid w:val="00480A3F"/>
    <w:rsid w:val="00480A41"/>
    <w:rsid w:val="00480ACB"/>
    <w:rsid w:val="00480B0C"/>
    <w:rsid w:val="00480B45"/>
    <w:rsid w:val="00480B65"/>
    <w:rsid w:val="00480B6D"/>
    <w:rsid w:val="00480B85"/>
    <w:rsid w:val="00480BAC"/>
    <w:rsid w:val="00480BAF"/>
    <w:rsid w:val="00480C1C"/>
    <w:rsid w:val="00480C4F"/>
    <w:rsid w:val="00480C65"/>
    <w:rsid w:val="00480C83"/>
    <w:rsid w:val="00480C9F"/>
    <w:rsid w:val="00480CEC"/>
    <w:rsid w:val="00480D72"/>
    <w:rsid w:val="00480D9B"/>
    <w:rsid w:val="00480D9F"/>
    <w:rsid w:val="00480DC6"/>
    <w:rsid w:val="00480DCE"/>
    <w:rsid w:val="00480DE5"/>
    <w:rsid w:val="00480DF8"/>
    <w:rsid w:val="00480E16"/>
    <w:rsid w:val="00480E1D"/>
    <w:rsid w:val="00480E8F"/>
    <w:rsid w:val="00480EA8"/>
    <w:rsid w:val="00480ED9"/>
    <w:rsid w:val="00480EE0"/>
    <w:rsid w:val="00480F1E"/>
    <w:rsid w:val="00480F43"/>
    <w:rsid w:val="00480F45"/>
    <w:rsid w:val="00480F7E"/>
    <w:rsid w:val="00480FCE"/>
    <w:rsid w:val="00480FF6"/>
    <w:rsid w:val="0048102B"/>
    <w:rsid w:val="00481058"/>
    <w:rsid w:val="0048107B"/>
    <w:rsid w:val="00481108"/>
    <w:rsid w:val="00481170"/>
    <w:rsid w:val="00481198"/>
    <w:rsid w:val="004811E1"/>
    <w:rsid w:val="00481205"/>
    <w:rsid w:val="0048123A"/>
    <w:rsid w:val="00481269"/>
    <w:rsid w:val="00481289"/>
    <w:rsid w:val="004812F7"/>
    <w:rsid w:val="00481301"/>
    <w:rsid w:val="00481331"/>
    <w:rsid w:val="00481383"/>
    <w:rsid w:val="0048139A"/>
    <w:rsid w:val="00481421"/>
    <w:rsid w:val="00481478"/>
    <w:rsid w:val="004814A7"/>
    <w:rsid w:val="0048154D"/>
    <w:rsid w:val="0048158E"/>
    <w:rsid w:val="004815CD"/>
    <w:rsid w:val="004815CF"/>
    <w:rsid w:val="004815E3"/>
    <w:rsid w:val="004815E5"/>
    <w:rsid w:val="004815F5"/>
    <w:rsid w:val="00481629"/>
    <w:rsid w:val="0048167B"/>
    <w:rsid w:val="004816AD"/>
    <w:rsid w:val="004816BF"/>
    <w:rsid w:val="004816C0"/>
    <w:rsid w:val="004816EE"/>
    <w:rsid w:val="00481748"/>
    <w:rsid w:val="00481773"/>
    <w:rsid w:val="0048178A"/>
    <w:rsid w:val="004817EF"/>
    <w:rsid w:val="004817F0"/>
    <w:rsid w:val="0048180A"/>
    <w:rsid w:val="0048182D"/>
    <w:rsid w:val="0048184E"/>
    <w:rsid w:val="00481888"/>
    <w:rsid w:val="00481896"/>
    <w:rsid w:val="004818A4"/>
    <w:rsid w:val="004818EC"/>
    <w:rsid w:val="00481958"/>
    <w:rsid w:val="00481982"/>
    <w:rsid w:val="004819C0"/>
    <w:rsid w:val="004819EA"/>
    <w:rsid w:val="004819FD"/>
    <w:rsid w:val="00481A41"/>
    <w:rsid w:val="00481AC0"/>
    <w:rsid w:val="00481AD0"/>
    <w:rsid w:val="00481ADE"/>
    <w:rsid w:val="00481B13"/>
    <w:rsid w:val="00481B4F"/>
    <w:rsid w:val="00481B59"/>
    <w:rsid w:val="00481B86"/>
    <w:rsid w:val="00481B95"/>
    <w:rsid w:val="00481BBA"/>
    <w:rsid w:val="00481BBC"/>
    <w:rsid w:val="00481BFF"/>
    <w:rsid w:val="00481C2E"/>
    <w:rsid w:val="00481C44"/>
    <w:rsid w:val="00481C5B"/>
    <w:rsid w:val="00481C88"/>
    <w:rsid w:val="00481C91"/>
    <w:rsid w:val="00481CAC"/>
    <w:rsid w:val="00481CFF"/>
    <w:rsid w:val="00481D18"/>
    <w:rsid w:val="00481D2D"/>
    <w:rsid w:val="00481D9A"/>
    <w:rsid w:val="00481DAC"/>
    <w:rsid w:val="00481E00"/>
    <w:rsid w:val="00481E1E"/>
    <w:rsid w:val="00481E3B"/>
    <w:rsid w:val="00481E76"/>
    <w:rsid w:val="00481E8C"/>
    <w:rsid w:val="00481F07"/>
    <w:rsid w:val="00481F3B"/>
    <w:rsid w:val="00481F48"/>
    <w:rsid w:val="00481F4F"/>
    <w:rsid w:val="00481FEA"/>
    <w:rsid w:val="00481FF6"/>
    <w:rsid w:val="00481FFB"/>
    <w:rsid w:val="00482001"/>
    <w:rsid w:val="0048200E"/>
    <w:rsid w:val="00482011"/>
    <w:rsid w:val="0048201C"/>
    <w:rsid w:val="004820C2"/>
    <w:rsid w:val="004820CD"/>
    <w:rsid w:val="004820DE"/>
    <w:rsid w:val="004820DF"/>
    <w:rsid w:val="004820E4"/>
    <w:rsid w:val="00482177"/>
    <w:rsid w:val="00482193"/>
    <w:rsid w:val="004821AE"/>
    <w:rsid w:val="004821B3"/>
    <w:rsid w:val="004821EB"/>
    <w:rsid w:val="00482238"/>
    <w:rsid w:val="004822AA"/>
    <w:rsid w:val="004822AD"/>
    <w:rsid w:val="004822EB"/>
    <w:rsid w:val="00482320"/>
    <w:rsid w:val="0048235F"/>
    <w:rsid w:val="00482365"/>
    <w:rsid w:val="00482391"/>
    <w:rsid w:val="004823B5"/>
    <w:rsid w:val="004823CE"/>
    <w:rsid w:val="004823D9"/>
    <w:rsid w:val="004823E5"/>
    <w:rsid w:val="0048244F"/>
    <w:rsid w:val="00482492"/>
    <w:rsid w:val="0048249D"/>
    <w:rsid w:val="004824C0"/>
    <w:rsid w:val="004824CE"/>
    <w:rsid w:val="00482522"/>
    <w:rsid w:val="0048253D"/>
    <w:rsid w:val="00482551"/>
    <w:rsid w:val="004825AA"/>
    <w:rsid w:val="004825B5"/>
    <w:rsid w:val="004825C3"/>
    <w:rsid w:val="00482634"/>
    <w:rsid w:val="00482676"/>
    <w:rsid w:val="0048267D"/>
    <w:rsid w:val="00482704"/>
    <w:rsid w:val="00482728"/>
    <w:rsid w:val="00482746"/>
    <w:rsid w:val="00482767"/>
    <w:rsid w:val="004827A2"/>
    <w:rsid w:val="004827AD"/>
    <w:rsid w:val="004827BA"/>
    <w:rsid w:val="004827F6"/>
    <w:rsid w:val="0048280E"/>
    <w:rsid w:val="00482824"/>
    <w:rsid w:val="0048289A"/>
    <w:rsid w:val="004828A6"/>
    <w:rsid w:val="004828AA"/>
    <w:rsid w:val="00482925"/>
    <w:rsid w:val="00482952"/>
    <w:rsid w:val="004829B1"/>
    <w:rsid w:val="004829D3"/>
    <w:rsid w:val="004829E1"/>
    <w:rsid w:val="00482A23"/>
    <w:rsid w:val="00482A27"/>
    <w:rsid w:val="00482A89"/>
    <w:rsid w:val="00482ABD"/>
    <w:rsid w:val="00482AE6"/>
    <w:rsid w:val="00482B00"/>
    <w:rsid w:val="00482B36"/>
    <w:rsid w:val="00482B52"/>
    <w:rsid w:val="00482B63"/>
    <w:rsid w:val="00482B88"/>
    <w:rsid w:val="00482BB9"/>
    <w:rsid w:val="00482BCA"/>
    <w:rsid w:val="00482BFE"/>
    <w:rsid w:val="00482C1D"/>
    <w:rsid w:val="00482C37"/>
    <w:rsid w:val="00482C92"/>
    <w:rsid w:val="00482CC2"/>
    <w:rsid w:val="00482CC5"/>
    <w:rsid w:val="00482CC9"/>
    <w:rsid w:val="00482D04"/>
    <w:rsid w:val="00482D0E"/>
    <w:rsid w:val="00482D30"/>
    <w:rsid w:val="00482D71"/>
    <w:rsid w:val="00482D9B"/>
    <w:rsid w:val="00482DA0"/>
    <w:rsid w:val="00482DA2"/>
    <w:rsid w:val="00482DBA"/>
    <w:rsid w:val="00482DC3"/>
    <w:rsid w:val="00482DEB"/>
    <w:rsid w:val="00482E0F"/>
    <w:rsid w:val="00482E19"/>
    <w:rsid w:val="00482E34"/>
    <w:rsid w:val="00482E9C"/>
    <w:rsid w:val="00482EA2"/>
    <w:rsid w:val="00482EF9"/>
    <w:rsid w:val="00482F11"/>
    <w:rsid w:val="00482F39"/>
    <w:rsid w:val="00482F4B"/>
    <w:rsid w:val="00482F51"/>
    <w:rsid w:val="00483012"/>
    <w:rsid w:val="00483036"/>
    <w:rsid w:val="00483052"/>
    <w:rsid w:val="0048305C"/>
    <w:rsid w:val="00483069"/>
    <w:rsid w:val="00483086"/>
    <w:rsid w:val="00483088"/>
    <w:rsid w:val="0048309D"/>
    <w:rsid w:val="004830AF"/>
    <w:rsid w:val="004830B3"/>
    <w:rsid w:val="004830D0"/>
    <w:rsid w:val="0048311D"/>
    <w:rsid w:val="00483143"/>
    <w:rsid w:val="00483199"/>
    <w:rsid w:val="0048320A"/>
    <w:rsid w:val="00483216"/>
    <w:rsid w:val="00483228"/>
    <w:rsid w:val="0048322C"/>
    <w:rsid w:val="0048322E"/>
    <w:rsid w:val="0048328E"/>
    <w:rsid w:val="00483296"/>
    <w:rsid w:val="004832A3"/>
    <w:rsid w:val="004832B2"/>
    <w:rsid w:val="0048331F"/>
    <w:rsid w:val="00483398"/>
    <w:rsid w:val="0048339B"/>
    <w:rsid w:val="004833BD"/>
    <w:rsid w:val="004833C0"/>
    <w:rsid w:val="004833EC"/>
    <w:rsid w:val="0048345F"/>
    <w:rsid w:val="0048346C"/>
    <w:rsid w:val="004834E3"/>
    <w:rsid w:val="00483532"/>
    <w:rsid w:val="0048358B"/>
    <w:rsid w:val="004835A0"/>
    <w:rsid w:val="004835F0"/>
    <w:rsid w:val="0048362D"/>
    <w:rsid w:val="0048363D"/>
    <w:rsid w:val="00483673"/>
    <w:rsid w:val="004836EC"/>
    <w:rsid w:val="004836F6"/>
    <w:rsid w:val="0048370F"/>
    <w:rsid w:val="00483731"/>
    <w:rsid w:val="00483748"/>
    <w:rsid w:val="00483779"/>
    <w:rsid w:val="00483793"/>
    <w:rsid w:val="00483794"/>
    <w:rsid w:val="0048379D"/>
    <w:rsid w:val="004837C9"/>
    <w:rsid w:val="004837F7"/>
    <w:rsid w:val="00483809"/>
    <w:rsid w:val="00483857"/>
    <w:rsid w:val="00483859"/>
    <w:rsid w:val="0048389A"/>
    <w:rsid w:val="004838DC"/>
    <w:rsid w:val="004838F3"/>
    <w:rsid w:val="00483917"/>
    <w:rsid w:val="00483922"/>
    <w:rsid w:val="0048392B"/>
    <w:rsid w:val="00483933"/>
    <w:rsid w:val="004839B5"/>
    <w:rsid w:val="004839E9"/>
    <w:rsid w:val="00483A08"/>
    <w:rsid w:val="00483A1D"/>
    <w:rsid w:val="00483A4D"/>
    <w:rsid w:val="00483A62"/>
    <w:rsid w:val="00483A72"/>
    <w:rsid w:val="00483A73"/>
    <w:rsid w:val="00483A8B"/>
    <w:rsid w:val="00483AF6"/>
    <w:rsid w:val="00483B31"/>
    <w:rsid w:val="00483B43"/>
    <w:rsid w:val="00483B72"/>
    <w:rsid w:val="00483B79"/>
    <w:rsid w:val="00483B86"/>
    <w:rsid w:val="00483B8B"/>
    <w:rsid w:val="00483BB7"/>
    <w:rsid w:val="00483BD8"/>
    <w:rsid w:val="00483C20"/>
    <w:rsid w:val="00483C5A"/>
    <w:rsid w:val="00483C5C"/>
    <w:rsid w:val="00483CB9"/>
    <w:rsid w:val="00483CE5"/>
    <w:rsid w:val="00483D12"/>
    <w:rsid w:val="00483D24"/>
    <w:rsid w:val="00483D28"/>
    <w:rsid w:val="00483D31"/>
    <w:rsid w:val="00483D76"/>
    <w:rsid w:val="00483D96"/>
    <w:rsid w:val="00483D9F"/>
    <w:rsid w:val="00483DDA"/>
    <w:rsid w:val="00483DDE"/>
    <w:rsid w:val="00483DEB"/>
    <w:rsid w:val="00483E00"/>
    <w:rsid w:val="00483E28"/>
    <w:rsid w:val="00483E43"/>
    <w:rsid w:val="00483E5D"/>
    <w:rsid w:val="00483E85"/>
    <w:rsid w:val="00483E97"/>
    <w:rsid w:val="00483ED2"/>
    <w:rsid w:val="00483EEE"/>
    <w:rsid w:val="00483F19"/>
    <w:rsid w:val="00483F51"/>
    <w:rsid w:val="00483FC6"/>
    <w:rsid w:val="00484005"/>
    <w:rsid w:val="00484033"/>
    <w:rsid w:val="004840B8"/>
    <w:rsid w:val="004840CF"/>
    <w:rsid w:val="004840FD"/>
    <w:rsid w:val="0048414D"/>
    <w:rsid w:val="00484160"/>
    <w:rsid w:val="00484166"/>
    <w:rsid w:val="00484191"/>
    <w:rsid w:val="004841BF"/>
    <w:rsid w:val="004841D9"/>
    <w:rsid w:val="004841E8"/>
    <w:rsid w:val="00484206"/>
    <w:rsid w:val="00484210"/>
    <w:rsid w:val="0048421F"/>
    <w:rsid w:val="00484239"/>
    <w:rsid w:val="00484253"/>
    <w:rsid w:val="0048426B"/>
    <w:rsid w:val="00484299"/>
    <w:rsid w:val="004842C6"/>
    <w:rsid w:val="00484373"/>
    <w:rsid w:val="004843B4"/>
    <w:rsid w:val="004843B5"/>
    <w:rsid w:val="004843D0"/>
    <w:rsid w:val="004843F8"/>
    <w:rsid w:val="0048441D"/>
    <w:rsid w:val="0048442D"/>
    <w:rsid w:val="00484446"/>
    <w:rsid w:val="004844AF"/>
    <w:rsid w:val="004844EA"/>
    <w:rsid w:val="0048450C"/>
    <w:rsid w:val="00484532"/>
    <w:rsid w:val="00484557"/>
    <w:rsid w:val="00484560"/>
    <w:rsid w:val="004845A2"/>
    <w:rsid w:val="004845B0"/>
    <w:rsid w:val="0048460A"/>
    <w:rsid w:val="0048460F"/>
    <w:rsid w:val="004846A6"/>
    <w:rsid w:val="004846FB"/>
    <w:rsid w:val="00484702"/>
    <w:rsid w:val="00484717"/>
    <w:rsid w:val="00484728"/>
    <w:rsid w:val="00484743"/>
    <w:rsid w:val="0048475F"/>
    <w:rsid w:val="0048477F"/>
    <w:rsid w:val="004847D0"/>
    <w:rsid w:val="004847E8"/>
    <w:rsid w:val="0048480B"/>
    <w:rsid w:val="00484810"/>
    <w:rsid w:val="00484828"/>
    <w:rsid w:val="00484852"/>
    <w:rsid w:val="0048486E"/>
    <w:rsid w:val="00484880"/>
    <w:rsid w:val="0048488B"/>
    <w:rsid w:val="004848B1"/>
    <w:rsid w:val="004848B6"/>
    <w:rsid w:val="004848E5"/>
    <w:rsid w:val="0048491E"/>
    <w:rsid w:val="00484A07"/>
    <w:rsid w:val="00484A56"/>
    <w:rsid w:val="00484A65"/>
    <w:rsid w:val="00484A6E"/>
    <w:rsid w:val="00484A7C"/>
    <w:rsid w:val="00484ADA"/>
    <w:rsid w:val="00484AFD"/>
    <w:rsid w:val="00484B22"/>
    <w:rsid w:val="00484B3D"/>
    <w:rsid w:val="00484B56"/>
    <w:rsid w:val="00484B66"/>
    <w:rsid w:val="00484B68"/>
    <w:rsid w:val="00484B9B"/>
    <w:rsid w:val="00484BFC"/>
    <w:rsid w:val="00484C37"/>
    <w:rsid w:val="00484C80"/>
    <w:rsid w:val="00484CB2"/>
    <w:rsid w:val="00484CC1"/>
    <w:rsid w:val="00484CC7"/>
    <w:rsid w:val="00484D04"/>
    <w:rsid w:val="00484D1B"/>
    <w:rsid w:val="00484D1C"/>
    <w:rsid w:val="00484D2F"/>
    <w:rsid w:val="00484D43"/>
    <w:rsid w:val="00484D45"/>
    <w:rsid w:val="00484D60"/>
    <w:rsid w:val="00484D62"/>
    <w:rsid w:val="00484DA9"/>
    <w:rsid w:val="00484DAF"/>
    <w:rsid w:val="00484DD1"/>
    <w:rsid w:val="00484E3D"/>
    <w:rsid w:val="00484EBF"/>
    <w:rsid w:val="00484ECC"/>
    <w:rsid w:val="00484EE4"/>
    <w:rsid w:val="00484EFA"/>
    <w:rsid w:val="00484F77"/>
    <w:rsid w:val="00484FBF"/>
    <w:rsid w:val="00484FE8"/>
    <w:rsid w:val="00484FEF"/>
    <w:rsid w:val="00485003"/>
    <w:rsid w:val="00485019"/>
    <w:rsid w:val="0048501D"/>
    <w:rsid w:val="00485024"/>
    <w:rsid w:val="0048509A"/>
    <w:rsid w:val="004850A5"/>
    <w:rsid w:val="00485137"/>
    <w:rsid w:val="00485142"/>
    <w:rsid w:val="0048514A"/>
    <w:rsid w:val="0048519B"/>
    <w:rsid w:val="004851BC"/>
    <w:rsid w:val="004851E2"/>
    <w:rsid w:val="004851ED"/>
    <w:rsid w:val="00485204"/>
    <w:rsid w:val="00485210"/>
    <w:rsid w:val="00485220"/>
    <w:rsid w:val="00485234"/>
    <w:rsid w:val="0048525C"/>
    <w:rsid w:val="00485265"/>
    <w:rsid w:val="0048526F"/>
    <w:rsid w:val="00485272"/>
    <w:rsid w:val="0048529A"/>
    <w:rsid w:val="004852ED"/>
    <w:rsid w:val="00485329"/>
    <w:rsid w:val="00485349"/>
    <w:rsid w:val="0048539A"/>
    <w:rsid w:val="004853DC"/>
    <w:rsid w:val="00485453"/>
    <w:rsid w:val="00485494"/>
    <w:rsid w:val="004854BF"/>
    <w:rsid w:val="004854E6"/>
    <w:rsid w:val="00485517"/>
    <w:rsid w:val="00485550"/>
    <w:rsid w:val="0048557A"/>
    <w:rsid w:val="00485586"/>
    <w:rsid w:val="0048559B"/>
    <w:rsid w:val="004855FD"/>
    <w:rsid w:val="004856F3"/>
    <w:rsid w:val="00485704"/>
    <w:rsid w:val="00485722"/>
    <w:rsid w:val="00485731"/>
    <w:rsid w:val="00485742"/>
    <w:rsid w:val="00485745"/>
    <w:rsid w:val="00485764"/>
    <w:rsid w:val="00485775"/>
    <w:rsid w:val="00485788"/>
    <w:rsid w:val="004857D8"/>
    <w:rsid w:val="004857EA"/>
    <w:rsid w:val="004857F0"/>
    <w:rsid w:val="00485827"/>
    <w:rsid w:val="0048582B"/>
    <w:rsid w:val="00485860"/>
    <w:rsid w:val="00485864"/>
    <w:rsid w:val="004858CB"/>
    <w:rsid w:val="004858D3"/>
    <w:rsid w:val="004858E9"/>
    <w:rsid w:val="004858F0"/>
    <w:rsid w:val="004858F7"/>
    <w:rsid w:val="004858FA"/>
    <w:rsid w:val="004858FB"/>
    <w:rsid w:val="00485903"/>
    <w:rsid w:val="004859B2"/>
    <w:rsid w:val="004859C7"/>
    <w:rsid w:val="004859DB"/>
    <w:rsid w:val="00485A0D"/>
    <w:rsid w:val="00485A12"/>
    <w:rsid w:val="00485A1B"/>
    <w:rsid w:val="00485A23"/>
    <w:rsid w:val="00485A2E"/>
    <w:rsid w:val="00485A99"/>
    <w:rsid w:val="00485A9A"/>
    <w:rsid w:val="00485A9F"/>
    <w:rsid w:val="00485AB9"/>
    <w:rsid w:val="00485B4D"/>
    <w:rsid w:val="00485B70"/>
    <w:rsid w:val="00485B89"/>
    <w:rsid w:val="00485BC1"/>
    <w:rsid w:val="00485BE8"/>
    <w:rsid w:val="00485BEC"/>
    <w:rsid w:val="00485BF4"/>
    <w:rsid w:val="00485BF8"/>
    <w:rsid w:val="00485C0D"/>
    <w:rsid w:val="00485C8E"/>
    <w:rsid w:val="00485C8F"/>
    <w:rsid w:val="00485CA7"/>
    <w:rsid w:val="00485CBA"/>
    <w:rsid w:val="00485CC5"/>
    <w:rsid w:val="00485CD3"/>
    <w:rsid w:val="00485CE4"/>
    <w:rsid w:val="00485CEA"/>
    <w:rsid w:val="00485CEF"/>
    <w:rsid w:val="00485CF6"/>
    <w:rsid w:val="00485CFA"/>
    <w:rsid w:val="00485D12"/>
    <w:rsid w:val="00485D2A"/>
    <w:rsid w:val="00485D3D"/>
    <w:rsid w:val="00485E02"/>
    <w:rsid w:val="00485E08"/>
    <w:rsid w:val="00485E1E"/>
    <w:rsid w:val="00485EAA"/>
    <w:rsid w:val="00485F00"/>
    <w:rsid w:val="00485F45"/>
    <w:rsid w:val="00485F64"/>
    <w:rsid w:val="00486027"/>
    <w:rsid w:val="00486098"/>
    <w:rsid w:val="004860A5"/>
    <w:rsid w:val="004860D6"/>
    <w:rsid w:val="004860D9"/>
    <w:rsid w:val="00486111"/>
    <w:rsid w:val="0048613B"/>
    <w:rsid w:val="00486176"/>
    <w:rsid w:val="00486185"/>
    <w:rsid w:val="0048619A"/>
    <w:rsid w:val="004861B2"/>
    <w:rsid w:val="004861E0"/>
    <w:rsid w:val="00486220"/>
    <w:rsid w:val="0048622C"/>
    <w:rsid w:val="0048623B"/>
    <w:rsid w:val="00486265"/>
    <w:rsid w:val="0048628A"/>
    <w:rsid w:val="004862EC"/>
    <w:rsid w:val="004862FB"/>
    <w:rsid w:val="00486300"/>
    <w:rsid w:val="0048632B"/>
    <w:rsid w:val="00486338"/>
    <w:rsid w:val="004863A3"/>
    <w:rsid w:val="00486404"/>
    <w:rsid w:val="0048642E"/>
    <w:rsid w:val="00486476"/>
    <w:rsid w:val="00486492"/>
    <w:rsid w:val="004864BD"/>
    <w:rsid w:val="004864D7"/>
    <w:rsid w:val="004864EC"/>
    <w:rsid w:val="00486522"/>
    <w:rsid w:val="00486539"/>
    <w:rsid w:val="00486547"/>
    <w:rsid w:val="004865FF"/>
    <w:rsid w:val="00486608"/>
    <w:rsid w:val="00486651"/>
    <w:rsid w:val="00486655"/>
    <w:rsid w:val="00486697"/>
    <w:rsid w:val="0048669C"/>
    <w:rsid w:val="004866E8"/>
    <w:rsid w:val="004866FA"/>
    <w:rsid w:val="00486733"/>
    <w:rsid w:val="00486743"/>
    <w:rsid w:val="00486745"/>
    <w:rsid w:val="00486763"/>
    <w:rsid w:val="0048677C"/>
    <w:rsid w:val="0048678B"/>
    <w:rsid w:val="0048678C"/>
    <w:rsid w:val="004867C7"/>
    <w:rsid w:val="004867D5"/>
    <w:rsid w:val="004867DF"/>
    <w:rsid w:val="004867FA"/>
    <w:rsid w:val="00486847"/>
    <w:rsid w:val="00486851"/>
    <w:rsid w:val="00486861"/>
    <w:rsid w:val="00486896"/>
    <w:rsid w:val="004868CE"/>
    <w:rsid w:val="004868D1"/>
    <w:rsid w:val="004868F0"/>
    <w:rsid w:val="004868FB"/>
    <w:rsid w:val="00486929"/>
    <w:rsid w:val="00486935"/>
    <w:rsid w:val="0048693A"/>
    <w:rsid w:val="00486941"/>
    <w:rsid w:val="0048695B"/>
    <w:rsid w:val="004869B6"/>
    <w:rsid w:val="004869D5"/>
    <w:rsid w:val="00486A04"/>
    <w:rsid w:val="00486A06"/>
    <w:rsid w:val="00486A1A"/>
    <w:rsid w:val="00486A28"/>
    <w:rsid w:val="00486A7B"/>
    <w:rsid w:val="00486A9C"/>
    <w:rsid w:val="00486B04"/>
    <w:rsid w:val="00486B13"/>
    <w:rsid w:val="00486B47"/>
    <w:rsid w:val="00486B57"/>
    <w:rsid w:val="00486B7C"/>
    <w:rsid w:val="00486B7E"/>
    <w:rsid w:val="00486BEA"/>
    <w:rsid w:val="00486C0F"/>
    <w:rsid w:val="00486C18"/>
    <w:rsid w:val="00486C30"/>
    <w:rsid w:val="00486C62"/>
    <w:rsid w:val="00486C76"/>
    <w:rsid w:val="00486C81"/>
    <w:rsid w:val="00486CCF"/>
    <w:rsid w:val="00486CE2"/>
    <w:rsid w:val="00486CE4"/>
    <w:rsid w:val="00486D02"/>
    <w:rsid w:val="00486D04"/>
    <w:rsid w:val="00486D25"/>
    <w:rsid w:val="00486D7F"/>
    <w:rsid w:val="00486D87"/>
    <w:rsid w:val="00486D96"/>
    <w:rsid w:val="00486DA4"/>
    <w:rsid w:val="00486DC4"/>
    <w:rsid w:val="00486DD4"/>
    <w:rsid w:val="00486DF9"/>
    <w:rsid w:val="00486E5B"/>
    <w:rsid w:val="00486E99"/>
    <w:rsid w:val="00486EBD"/>
    <w:rsid w:val="00486EDF"/>
    <w:rsid w:val="00486EE4"/>
    <w:rsid w:val="00486EE5"/>
    <w:rsid w:val="00486EFF"/>
    <w:rsid w:val="00486F29"/>
    <w:rsid w:val="00486F76"/>
    <w:rsid w:val="00486F77"/>
    <w:rsid w:val="00486F92"/>
    <w:rsid w:val="00486F96"/>
    <w:rsid w:val="00486FFB"/>
    <w:rsid w:val="0048700E"/>
    <w:rsid w:val="0048701A"/>
    <w:rsid w:val="0048702D"/>
    <w:rsid w:val="0048703D"/>
    <w:rsid w:val="00487113"/>
    <w:rsid w:val="0048713C"/>
    <w:rsid w:val="00487197"/>
    <w:rsid w:val="00487199"/>
    <w:rsid w:val="0048719A"/>
    <w:rsid w:val="004871B7"/>
    <w:rsid w:val="0048726C"/>
    <w:rsid w:val="00487284"/>
    <w:rsid w:val="00487294"/>
    <w:rsid w:val="004872C9"/>
    <w:rsid w:val="00487314"/>
    <w:rsid w:val="00487361"/>
    <w:rsid w:val="00487367"/>
    <w:rsid w:val="00487393"/>
    <w:rsid w:val="004873A5"/>
    <w:rsid w:val="004873AA"/>
    <w:rsid w:val="004873F7"/>
    <w:rsid w:val="00487407"/>
    <w:rsid w:val="00487434"/>
    <w:rsid w:val="00487445"/>
    <w:rsid w:val="0048744D"/>
    <w:rsid w:val="00487452"/>
    <w:rsid w:val="0048745B"/>
    <w:rsid w:val="0048746E"/>
    <w:rsid w:val="004874C5"/>
    <w:rsid w:val="004874D3"/>
    <w:rsid w:val="004874DE"/>
    <w:rsid w:val="004874ED"/>
    <w:rsid w:val="004874F0"/>
    <w:rsid w:val="004874FA"/>
    <w:rsid w:val="00487523"/>
    <w:rsid w:val="0048753D"/>
    <w:rsid w:val="00487544"/>
    <w:rsid w:val="00487570"/>
    <w:rsid w:val="00487579"/>
    <w:rsid w:val="00487583"/>
    <w:rsid w:val="004875B3"/>
    <w:rsid w:val="004875E5"/>
    <w:rsid w:val="004876BE"/>
    <w:rsid w:val="00487724"/>
    <w:rsid w:val="00487764"/>
    <w:rsid w:val="0048776F"/>
    <w:rsid w:val="00487777"/>
    <w:rsid w:val="004877C4"/>
    <w:rsid w:val="00487862"/>
    <w:rsid w:val="0048786C"/>
    <w:rsid w:val="0048787E"/>
    <w:rsid w:val="0048789E"/>
    <w:rsid w:val="004878DC"/>
    <w:rsid w:val="00487906"/>
    <w:rsid w:val="0048791C"/>
    <w:rsid w:val="00487920"/>
    <w:rsid w:val="00487931"/>
    <w:rsid w:val="004879BF"/>
    <w:rsid w:val="004879CC"/>
    <w:rsid w:val="004879F3"/>
    <w:rsid w:val="004879FD"/>
    <w:rsid w:val="00487A17"/>
    <w:rsid w:val="00487A18"/>
    <w:rsid w:val="00487A27"/>
    <w:rsid w:val="00487A41"/>
    <w:rsid w:val="00487A4B"/>
    <w:rsid w:val="00487A66"/>
    <w:rsid w:val="00487A6B"/>
    <w:rsid w:val="00487A6E"/>
    <w:rsid w:val="00487A9D"/>
    <w:rsid w:val="00487AA3"/>
    <w:rsid w:val="00487AA5"/>
    <w:rsid w:val="00487ABC"/>
    <w:rsid w:val="00487AF1"/>
    <w:rsid w:val="00487B96"/>
    <w:rsid w:val="00487BBA"/>
    <w:rsid w:val="00487BBB"/>
    <w:rsid w:val="00487C49"/>
    <w:rsid w:val="00487C5A"/>
    <w:rsid w:val="00487CBB"/>
    <w:rsid w:val="00487CC9"/>
    <w:rsid w:val="00487D34"/>
    <w:rsid w:val="00487D40"/>
    <w:rsid w:val="00487D50"/>
    <w:rsid w:val="00487D81"/>
    <w:rsid w:val="00487DEF"/>
    <w:rsid w:val="00487E1F"/>
    <w:rsid w:val="00487E54"/>
    <w:rsid w:val="00487E63"/>
    <w:rsid w:val="00487E76"/>
    <w:rsid w:val="00487E93"/>
    <w:rsid w:val="00487EA8"/>
    <w:rsid w:val="00487EB3"/>
    <w:rsid w:val="00487EC0"/>
    <w:rsid w:val="00487EE7"/>
    <w:rsid w:val="00487F04"/>
    <w:rsid w:val="00487F53"/>
    <w:rsid w:val="0049006E"/>
    <w:rsid w:val="00490086"/>
    <w:rsid w:val="004900D6"/>
    <w:rsid w:val="004900F6"/>
    <w:rsid w:val="0049011F"/>
    <w:rsid w:val="0049012E"/>
    <w:rsid w:val="0049015F"/>
    <w:rsid w:val="004901B2"/>
    <w:rsid w:val="004901ED"/>
    <w:rsid w:val="00490204"/>
    <w:rsid w:val="00490263"/>
    <w:rsid w:val="0049028F"/>
    <w:rsid w:val="004902A6"/>
    <w:rsid w:val="004902C0"/>
    <w:rsid w:val="004902C5"/>
    <w:rsid w:val="00490321"/>
    <w:rsid w:val="0049038A"/>
    <w:rsid w:val="004903D0"/>
    <w:rsid w:val="004903EE"/>
    <w:rsid w:val="00490404"/>
    <w:rsid w:val="00490432"/>
    <w:rsid w:val="00490455"/>
    <w:rsid w:val="0049045A"/>
    <w:rsid w:val="004904CA"/>
    <w:rsid w:val="004904DB"/>
    <w:rsid w:val="004904DE"/>
    <w:rsid w:val="00490504"/>
    <w:rsid w:val="0049050B"/>
    <w:rsid w:val="00490561"/>
    <w:rsid w:val="0049057E"/>
    <w:rsid w:val="00490589"/>
    <w:rsid w:val="004905AF"/>
    <w:rsid w:val="004905BE"/>
    <w:rsid w:val="004905CE"/>
    <w:rsid w:val="004905CF"/>
    <w:rsid w:val="00490644"/>
    <w:rsid w:val="00490672"/>
    <w:rsid w:val="00490685"/>
    <w:rsid w:val="004906F2"/>
    <w:rsid w:val="004906F4"/>
    <w:rsid w:val="0049071D"/>
    <w:rsid w:val="0049076E"/>
    <w:rsid w:val="00490773"/>
    <w:rsid w:val="00490779"/>
    <w:rsid w:val="004907A8"/>
    <w:rsid w:val="004907AE"/>
    <w:rsid w:val="004907CF"/>
    <w:rsid w:val="004907F8"/>
    <w:rsid w:val="004907FD"/>
    <w:rsid w:val="004908BF"/>
    <w:rsid w:val="004908C1"/>
    <w:rsid w:val="004908F2"/>
    <w:rsid w:val="0049091D"/>
    <w:rsid w:val="0049093E"/>
    <w:rsid w:val="00490953"/>
    <w:rsid w:val="00490969"/>
    <w:rsid w:val="0049096C"/>
    <w:rsid w:val="00490980"/>
    <w:rsid w:val="0049099C"/>
    <w:rsid w:val="00490A38"/>
    <w:rsid w:val="00490A6C"/>
    <w:rsid w:val="00490A88"/>
    <w:rsid w:val="00490AD4"/>
    <w:rsid w:val="00490AED"/>
    <w:rsid w:val="00490B47"/>
    <w:rsid w:val="00490BE6"/>
    <w:rsid w:val="00490BF7"/>
    <w:rsid w:val="00490C34"/>
    <w:rsid w:val="00490C78"/>
    <w:rsid w:val="00490CD4"/>
    <w:rsid w:val="00490CF4"/>
    <w:rsid w:val="00490CF5"/>
    <w:rsid w:val="00490D03"/>
    <w:rsid w:val="00490D4D"/>
    <w:rsid w:val="00490D8B"/>
    <w:rsid w:val="00490DB9"/>
    <w:rsid w:val="00490DBC"/>
    <w:rsid w:val="00490DC5"/>
    <w:rsid w:val="00490DD5"/>
    <w:rsid w:val="00490E03"/>
    <w:rsid w:val="00490E12"/>
    <w:rsid w:val="00490E2F"/>
    <w:rsid w:val="00490E55"/>
    <w:rsid w:val="00490E82"/>
    <w:rsid w:val="00490E83"/>
    <w:rsid w:val="00490E85"/>
    <w:rsid w:val="00490EA5"/>
    <w:rsid w:val="00490EA6"/>
    <w:rsid w:val="00490F44"/>
    <w:rsid w:val="00490F4F"/>
    <w:rsid w:val="00490F5F"/>
    <w:rsid w:val="00490F70"/>
    <w:rsid w:val="00490F85"/>
    <w:rsid w:val="00490F8E"/>
    <w:rsid w:val="00490FC3"/>
    <w:rsid w:val="00490FF7"/>
    <w:rsid w:val="0049100A"/>
    <w:rsid w:val="00491012"/>
    <w:rsid w:val="0049102B"/>
    <w:rsid w:val="00491051"/>
    <w:rsid w:val="00491067"/>
    <w:rsid w:val="0049107D"/>
    <w:rsid w:val="004910D8"/>
    <w:rsid w:val="004910E0"/>
    <w:rsid w:val="004910EE"/>
    <w:rsid w:val="004910F2"/>
    <w:rsid w:val="00491118"/>
    <w:rsid w:val="00491147"/>
    <w:rsid w:val="00491152"/>
    <w:rsid w:val="00491158"/>
    <w:rsid w:val="00491175"/>
    <w:rsid w:val="004911EB"/>
    <w:rsid w:val="0049122E"/>
    <w:rsid w:val="00491238"/>
    <w:rsid w:val="00491258"/>
    <w:rsid w:val="0049128C"/>
    <w:rsid w:val="0049130A"/>
    <w:rsid w:val="0049131B"/>
    <w:rsid w:val="0049133A"/>
    <w:rsid w:val="0049136E"/>
    <w:rsid w:val="004913A0"/>
    <w:rsid w:val="004913C5"/>
    <w:rsid w:val="004913E9"/>
    <w:rsid w:val="004913EA"/>
    <w:rsid w:val="0049141C"/>
    <w:rsid w:val="00491436"/>
    <w:rsid w:val="00491446"/>
    <w:rsid w:val="00491494"/>
    <w:rsid w:val="004914BA"/>
    <w:rsid w:val="00491504"/>
    <w:rsid w:val="00491512"/>
    <w:rsid w:val="00491571"/>
    <w:rsid w:val="0049157D"/>
    <w:rsid w:val="004915E0"/>
    <w:rsid w:val="004915EE"/>
    <w:rsid w:val="004915F3"/>
    <w:rsid w:val="00491638"/>
    <w:rsid w:val="00491657"/>
    <w:rsid w:val="0049169F"/>
    <w:rsid w:val="00491725"/>
    <w:rsid w:val="00491748"/>
    <w:rsid w:val="00491774"/>
    <w:rsid w:val="00491784"/>
    <w:rsid w:val="00491794"/>
    <w:rsid w:val="004917B2"/>
    <w:rsid w:val="004917D8"/>
    <w:rsid w:val="004917ED"/>
    <w:rsid w:val="004917F4"/>
    <w:rsid w:val="004917F6"/>
    <w:rsid w:val="004917FE"/>
    <w:rsid w:val="00491811"/>
    <w:rsid w:val="0049182D"/>
    <w:rsid w:val="00491848"/>
    <w:rsid w:val="004918A8"/>
    <w:rsid w:val="004918DF"/>
    <w:rsid w:val="004918E4"/>
    <w:rsid w:val="004918E8"/>
    <w:rsid w:val="0049197E"/>
    <w:rsid w:val="0049198E"/>
    <w:rsid w:val="004919DF"/>
    <w:rsid w:val="00491A3A"/>
    <w:rsid w:val="00491A4A"/>
    <w:rsid w:val="00491AC2"/>
    <w:rsid w:val="00491B1A"/>
    <w:rsid w:val="00491B2E"/>
    <w:rsid w:val="00491B44"/>
    <w:rsid w:val="00491B60"/>
    <w:rsid w:val="00491B84"/>
    <w:rsid w:val="00491BE3"/>
    <w:rsid w:val="00491C1E"/>
    <w:rsid w:val="00491C3F"/>
    <w:rsid w:val="00491C74"/>
    <w:rsid w:val="00491C83"/>
    <w:rsid w:val="00491C84"/>
    <w:rsid w:val="00491CAC"/>
    <w:rsid w:val="00491CC8"/>
    <w:rsid w:val="00491CDA"/>
    <w:rsid w:val="00491D38"/>
    <w:rsid w:val="00491D3C"/>
    <w:rsid w:val="00491D84"/>
    <w:rsid w:val="00491D9C"/>
    <w:rsid w:val="00491DAB"/>
    <w:rsid w:val="00491DB8"/>
    <w:rsid w:val="00491DBB"/>
    <w:rsid w:val="00491DC1"/>
    <w:rsid w:val="00491DE9"/>
    <w:rsid w:val="00491E43"/>
    <w:rsid w:val="00491E95"/>
    <w:rsid w:val="00491E9E"/>
    <w:rsid w:val="00491EEF"/>
    <w:rsid w:val="00491F02"/>
    <w:rsid w:val="00491F06"/>
    <w:rsid w:val="00491F09"/>
    <w:rsid w:val="00491F17"/>
    <w:rsid w:val="00491F23"/>
    <w:rsid w:val="00491FCB"/>
    <w:rsid w:val="00491FD8"/>
    <w:rsid w:val="00491FD9"/>
    <w:rsid w:val="00492036"/>
    <w:rsid w:val="00492069"/>
    <w:rsid w:val="004920BC"/>
    <w:rsid w:val="004920C3"/>
    <w:rsid w:val="00492169"/>
    <w:rsid w:val="004921B9"/>
    <w:rsid w:val="004921D0"/>
    <w:rsid w:val="004921DC"/>
    <w:rsid w:val="004921DD"/>
    <w:rsid w:val="00492218"/>
    <w:rsid w:val="00492246"/>
    <w:rsid w:val="0049225F"/>
    <w:rsid w:val="0049226E"/>
    <w:rsid w:val="00492289"/>
    <w:rsid w:val="004922B8"/>
    <w:rsid w:val="004922BA"/>
    <w:rsid w:val="00492310"/>
    <w:rsid w:val="00492324"/>
    <w:rsid w:val="00492333"/>
    <w:rsid w:val="00492342"/>
    <w:rsid w:val="0049234B"/>
    <w:rsid w:val="00492363"/>
    <w:rsid w:val="00492376"/>
    <w:rsid w:val="0049237C"/>
    <w:rsid w:val="00492382"/>
    <w:rsid w:val="0049238A"/>
    <w:rsid w:val="00492482"/>
    <w:rsid w:val="00492492"/>
    <w:rsid w:val="004924E7"/>
    <w:rsid w:val="004924FE"/>
    <w:rsid w:val="0049253B"/>
    <w:rsid w:val="00492541"/>
    <w:rsid w:val="00492552"/>
    <w:rsid w:val="0049257B"/>
    <w:rsid w:val="004925D3"/>
    <w:rsid w:val="0049261A"/>
    <w:rsid w:val="00492650"/>
    <w:rsid w:val="00492656"/>
    <w:rsid w:val="0049268E"/>
    <w:rsid w:val="004926AA"/>
    <w:rsid w:val="004926CA"/>
    <w:rsid w:val="004926F2"/>
    <w:rsid w:val="0049270F"/>
    <w:rsid w:val="00492762"/>
    <w:rsid w:val="0049277F"/>
    <w:rsid w:val="004927AC"/>
    <w:rsid w:val="004927C9"/>
    <w:rsid w:val="004927E6"/>
    <w:rsid w:val="0049285B"/>
    <w:rsid w:val="00492860"/>
    <w:rsid w:val="00492880"/>
    <w:rsid w:val="00492889"/>
    <w:rsid w:val="00492894"/>
    <w:rsid w:val="0049289B"/>
    <w:rsid w:val="00492908"/>
    <w:rsid w:val="00492925"/>
    <w:rsid w:val="00492954"/>
    <w:rsid w:val="00492963"/>
    <w:rsid w:val="00492972"/>
    <w:rsid w:val="0049297B"/>
    <w:rsid w:val="00492980"/>
    <w:rsid w:val="004929D8"/>
    <w:rsid w:val="00492A4E"/>
    <w:rsid w:val="00492AD8"/>
    <w:rsid w:val="00492B09"/>
    <w:rsid w:val="00492B2A"/>
    <w:rsid w:val="00492B32"/>
    <w:rsid w:val="00492B3B"/>
    <w:rsid w:val="00492B45"/>
    <w:rsid w:val="00492BC8"/>
    <w:rsid w:val="00492BC9"/>
    <w:rsid w:val="00492BEA"/>
    <w:rsid w:val="00492C0F"/>
    <w:rsid w:val="00492C31"/>
    <w:rsid w:val="00492C84"/>
    <w:rsid w:val="00492CCE"/>
    <w:rsid w:val="00492CDB"/>
    <w:rsid w:val="00492CE6"/>
    <w:rsid w:val="00492D29"/>
    <w:rsid w:val="00492D88"/>
    <w:rsid w:val="00492DC5"/>
    <w:rsid w:val="00492DEB"/>
    <w:rsid w:val="00492E3F"/>
    <w:rsid w:val="00492E45"/>
    <w:rsid w:val="00492E6C"/>
    <w:rsid w:val="00492E82"/>
    <w:rsid w:val="00492E90"/>
    <w:rsid w:val="00492F29"/>
    <w:rsid w:val="00492F4F"/>
    <w:rsid w:val="00492F55"/>
    <w:rsid w:val="00492F79"/>
    <w:rsid w:val="00492F9E"/>
    <w:rsid w:val="00492FA0"/>
    <w:rsid w:val="00492FA7"/>
    <w:rsid w:val="00493046"/>
    <w:rsid w:val="0049304D"/>
    <w:rsid w:val="0049307C"/>
    <w:rsid w:val="0049308B"/>
    <w:rsid w:val="004930A3"/>
    <w:rsid w:val="004930AA"/>
    <w:rsid w:val="004930D2"/>
    <w:rsid w:val="004930F5"/>
    <w:rsid w:val="00493197"/>
    <w:rsid w:val="0049319F"/>
    <w:rsid w:val="004931AF"/>
    <w:rsid w:val="004931DF"/>
    <w:rsid w:val="00493259"/>
    <w:rsid w:val="00493272"/>
    <w:rsid w:val="004932B5"/>
    <w:rsid w:val="004932BB"/>
    <w:rsid w:val="004932C7"/>
    <w:rsid w:val="004932E0"/>
    <w:rsid w:val="004932EA"/>
    <w:rsid w:val="0049330D"/>
    <w:rsid w:val="00493321"/>
    <w:rsid w:val="0049333A"/>
    <w:rsid w:val="0049333B"/>
    <w:rsid w:val="00493364"/>
    <w:rsid w:val="00493371"/>
    <w:rsid w:val="0049337E"/>
    <w:rsid w:val="00493380"/>
    <w:rsid w:val="0049339F"/>
    <w:rsid w:val="004933A2"/>
    <w:rsid w:val="004933A4"/>
    <w:rsid w:val="004933C7"/>
    <w:rsid w:val="0049342B"/>
    <w:rsid w:val="00493433"/>
    <w:rsid w:val="00493443"/>
    <w:rsid w:val="00493467"/>
    <w:rsid w:val="004934A9"/>
    <w:rsid w:val="004934B4"/>
    <w:rsid w:val="004934D8"/>
    <w:rsid w:val="004934E8"/>
    <w:rsid w:val="00493547"/>
    <w:rsid w:val="0049356D"/>
    <w:rsid w:val="00493576"/>
    <w:rsid w:val="0049358B"/>
    <w:rsid w:val="004935C7"/>
    <w:rsid w:val="004935FF"/>
    <w:rsid w:val="00493695"/>
    <w:rsid w:val="004936B8"/>
    <w:rsid w:val="004936E4"/>
    <w:rsid w:val="004936FF"/>
    <w:rsid w:val="0049370B"/>
    <w:rsid w:val="0049371E"/>
    <w:rsid w:val="004937B3"/>
    <w:rsid w:val="004937D1"/>
    <w:rsid w:val="004937FB"/>
    <w:rsid w:val="00493854"/>
    <w:rsid w:val="004938C2"/>
    <w:rsid w:val="004938F3"/>
    <w:rsid w:val="00493908"/>
    <w:rsid w:val="00493991"/>
    <w:rsid w:val="004939A5"/>
    <w:rsid w:val="004939B6"/>
    <w:rsid w:val="004939DF"/>
    <w:rsid w:val="00493A04"/>
    <w:rsid w:val="00493A24"/>
    <w:rsid w:val="00493A8C"/>
    <w:rsid w:val="00493A9F"/>
    <w:rsid w:val="00493AFB"/>
    <w:rsid w:val="00493B12"/>
    <w:rsid w:val="00493B19"/>
    <w:rsid w:val="00493B37"/>
    <w:rsid w:val="00493B53"/>
    <w:rsid w:val="00493B61"/>
    <w:rsid w:val="00493B75"/>
    <w:rsid w:val="00493BE0"/>
    <w:rsid w:val="00493BF1"/>
    <w:rsid w:val="00493C53"/>
    <w:rsid w:val="00493C56"/>
    <w:rsid w:val="00493C5C"/>
    <w:rsid w:val="00493C74"/>
    <w:rsid w:val="00493CBB"/>
    <w:rsid w:val="00493D45"/>
    <w:rsid w:val="00493D6B"/>
    <w:rsid w:val="00493DA3"/>
    <w:rsid w:val="00493DEC"/>
    <w:rsid w:val="00493E12"/>
    <w:rsid w:val="00493E3D"/>
    <w:rsid w:val="00493E59"/>
    <w:rsid w:val="00493E7A"/>
    <w:rsid w:val="00493EFC"/>
    <w:rsid w:val="00493EFD"/>
    <w:rsid w:val="00493F8F"/>
    <w:rsid w:val="00493FBC"/>
    <w:rsid w:val="00493FE8"/>
    <w:rsid w:val="00493FFF"/>
    <w:rsid w:val="0049401C"/>
    <w:rsid w:val="00494075"/>
    <w:rsid w:val="004940B0"/>
    <w:rsid w:val="004940DC"/>
    <w:rsid w:val="0049410F"/>
    <w:rsid w:val="00494179"/>
    <w:rsid w:val="00494180"/>
    <w:rsid w:val="004941C9"/>
    <w:rsid w:val="004941F3"/>
    <w:rsid w:val="004941F4"/>
    <w:rsid w:val="00494230"/>
    <w:rsid w:val="00494238"/>
    <w:rsid w:val="00494285"/>
    <w:rsid w:val="004942AD"/>
    <w:rsid w:val="004942C1"/>
    <w:rsid w:val="004942C4"/>
    <w:rsid w:val="004942F3"/>
    <w:rsid w:val="00494310"/>
    <w:rsid w:val="00494351"/>
    <w:rsid w:val="0049437E"/>
    <w:rsid w:val="004943D1"/>
    <w:rsid w:val="004943DD"/>
    <w:rsid w:val="004943F5"/>
    <w:rsid w:val="0049445E"/>
    <w:rsid w:val="00494471"/>
    <w:rsid w:val="0049448B"/>
    <w:rsid w:val="00494492"/>
    <w:rsid w:val="00494497"/>
    <w:rsid w:val="004944A4"/>
    <w:rsid w:val="004944AB"/>
    <w:rsid w:val="00494512"/>
    <w:rsid w:val="0049451F"/>
    <w:rsid w:val="004945A1"/>
    <w:rsid w:val="004945D9"/>
    <w:rsid w:val="004945DA"/>
    <w:rsid w:val="0049463A"/>
    <w:rsid w:val="004946EB"/>
    <w:rsid w:val="004946ED"/>
    <w:rsid w:val="004946EE"/>
    <w:rsid w:val="004946FC"/>
    <w:rsid w:val="004946FE"/>
    <w:rsid w:val="00494772"/>
    <w:rsid w:val="00494787"/>
    <w:rsid w:val="00494799"/>
    <w:rsid w:val="004947A9"/>
    <w:rsid w:val="004947B1"/>
    <w:rsid w:val="004947CC"/>
    <w:rsid w:val="004947FD"/>
    <w:rsid w:val="00494812"/>
    <w:rsid w:val="0049485E"/>
    <w:rsid w:val="00494867"/>
    <w:rsid w:val="00494886"/>
    <w:rsid w:val="004948F5"/>
    <w:rsid w:val="0049495E"/>
    <w:rsid w:val="004949E4"/>
    <w:rsid w:val="00494A57"/>
    <w:rsid w:val="00494A70"/>
    <w:rsid w:val="00494A85"/>
    <w:rsid w:val="00494AC9"/>
    <w:rsid w:val="00494AD0"/>
    <w:rsid w:val="00494B13"/>
    <w:rsid w:val="00494B26"/>
    <w:rsid w:val="00494B4E"/>
    <w:rsid w:val="00494B57"/>
    <w:rsid w:val="00494B62"/>
    <w:rsid w:val="00494BBB"/>
    <w:rsid w:val="00494C06"/>
    <w:rsid w:val="00494C0A"/>
    <w:rsid w:val="00494C0C"/>
    <w:rsid w:val="00494C28"/>
    <w:rsid w:val="00494C37"/>
    <w:rsid w:val="00494C51"/>
    <w:rsid w:val="00494C8E"/>
    <w:rsid w:val="00494CB7"/>
    <w:rsid w:val="00494CDF"/>
    <w:rsid w:val="00494D48"/>
    <w:rsid w:val="00494D4B"/>
    <w:rsid w:val="00494DA6"/>
    <w:rsid w:val="00494DE8"/>
    <w:rsid w:val="00494E0C"/>
    <w:rsid w:val="00494E39"/>
    <w:rsid w:val="00494EDF"/>
    <w:rsid w:val="00494FCA"/>
    <w:rsid w:val="00495035"/>
    <w:rsid w:val="004950E9"/>
    <w:rsid w:val="004950FD"/>
    <w:rsid w:val="00495105"/>
    <w:rsid w:val="0049517A"/>
    <w:rsid w:val="004951C5"/>
    <w:rsid w:val="004951F8"/>
    <w:rsid w:val="0049521E"/>
    <w:rsid w:val="00495242"/>
    <w:rsid w:val="00495243"/>
    <w:rsid w:val="0049524E"/>
    <w:rsid w:val="0049526C"/>
    <w:rsid w:val="0049526E"/>
    <w:rsid w:val="00495290"/>
    <w:rsid w:val="004952D3"/>
    <w:rsid w:val="004952DC"/>
    <w:rsid w:val="004952F0"/>
    <w:rsid w:val="0049531D"/>
    <w:rsid w:val="00495353"/>
    <w:rsid w:val="0049536A"/>
    <w:rsid w:val="00495397"/>
    <w:rsid w:val="00495429"/>
    <w:rsid w:val="0049545B"/>
    <w:rsid w:val="004954AC"/>
    <w:rsid w:val="004954B8"/>
    <w:rsid w:val="004954CD"/>
    <w:rsid w:val="004954EF"/>
    <w:rsid w:val="004954F3"/>
    <w:rsid w:val="00495523"/>
    <w:rsid w:val="0049553D"/>
    <w:rsid w:val="00495581"/>
    <w:rsid w:val="00495589"/>
    <w:rsid w:val="004955AA"/>
    <w:rsid w:val="004955CF"/>
    <w:rsid w:val="004955EA"/>
    <w:rsid w:val="00495603"/>
    <w:rsid w:val="0049561C"/>
    <w:rsid w:val="0049565C"/>
    <w:rsid w:val="0049567D"/>
    <w:rsid w:val="004956B0"/>
    <w:rsid w:val="004956ED"/>
    <w:rsid w:val="004956F4"/>
    <w:rsid w:val="004956FA"/>
    <w:rsid w:val="00495708"/>
    <w:rsid w:val="0049576A"/>
    <w:rsid w:val="0049577C"/>
    <w:rsid w:val="004957B0"/>
    <w:rsid w:val="004957C4"/>
    <w:rsid w:val="004957C9"/>
    <w:rsid w:val="004957D9"/>
    <w:rsid w:val="004957EA"/>
    <w:rsid w:val="004957FC"/>
    <w:rsid w:val="00495840"/>
    <w:rsid w:val="00495849"/>
    <w:rsid w:val="00495866"/>
    <w:rsid w:val="0049586B"/>
    <w:rsid w:val="004958CB"/>
    <w:rsid w:val="00495946"/>
    <w:rsid w:val="00495961"/>
    <w:rsid w:val="0049599F"/>
    <w:rsid w:val="004959E5"/>
    <w:rsid w:val="004959E7"/>
    <w:rsid w:val="00495A44"/>
    <w:rsid w:val="00495A97"/>
    <w:rsid w:val="00495AA1"/>
    <w:rsid w:val="00495ADF"/>
    <w:rsid w:val="00495AF5"/>
    <w:rsid w:val="00495B2D"/>
    <w:rsid w:val="00495BA9"/>
    <w:rsid w:val="00495BE1"/>
    <w:rsid w:val="00495BE9"/>
    <w:rsid w:val="00495BF5"/>
    <w:rsid w:val="00495C49"/>
    <w:rsid w:val="00495CD8"/>
    <w:rsid w:val="00495CF8"/>
    <w:rsid w:val="00495D15"/>
    <w:rsid w:val="00495D24"/>
    <w:rsid w:val="00495D32"/>
    <w:rsid w:val="00495D56"/>
    <w:rsid w:val="00495D79"/>
    <w:rsid w:val="00495DB3"/>
    <w:rsid w:val="00495DC6"/>
    <w:rsid w:val="00495E0F"/>
    <w:rsid w:val="00495E17"/>
    <w:rsid w:val="00495E5E"/>
    <w:rsid w:val="00495E62"/>
    <w:rsid w:val="00495E73"/>
    <w:rsid w:val="00495E8D"/>
    <w:rsid w:val="00495E9A"/>
    <w:rsid w:val="00495EB3"/>
    <w:rsid w:val="00495EBF"/>
    <w:rsid w:val="00495EE0"/>
    <w:rsid w:val="00495F1C"/>
    <w:rsid w:val="00495F8A"/>
    <w:rsid w:val="00495F99"/>
    <w:rsid w:val="00495FC2"/>
    <w:rsid w:val="0049602B"/>
    <w:rsid w:val="00496039"/>
    <w:rsid w:val="00496075"/>
    <w:rsid w:val="004960CC"/>
    <w:rsid w:val="004960E1"/>
    <w:rsid w:val="0049611D"/>
    <w:rsid w:val="00496138"/>
    <w:rsid w:val="00496150"/>
    <w:rsid w:val="00496159"/>
    <w:rsid w:val="004961B1"/>
    <w:rsid w:val="004961EF"/>
    <w:rsid w:val="0049624D"/>
    <w:rsid w:val="0049627D"/>
    <w:rsid w:val="004962BD"/>
    <w:rsid w:val="00496309"/>
    <w:rsid w:val="0049631E"/>
    <w:rsid w:val="00496348"/>
    <w:rsid w:val="00496391"/>
    <w:rsid w:val="004963AE"/>
    <w:rsid w:val="004963F7"/>
    <w:rsid w:val="00496409"/>
    <w:rsid w:val="0049640E"/>
    <w:rsid w:val="00496443"/>
    <w:rsid w:val="00496464"/>
    <w:rsid w:val="0049647F"/>
    <w:rsid w:val="0049651C"/>
    <w:rsid w:val="00496527"/>
    <w:rsid w:val="0049654A"/>
    <w:rsid w:val="00496556"/>
    <w:rsid w:val="00496572"/>
    <w:rsid w:val="0049658A"/>
    <w:rsid w:val="004965D1"/>
    <w:rsid w:val="004965F2"/>
    <w:rsid w:val="0049663A"/>
    <w:rsid w:val="00496642"/>
    <w:rsid w:val="004966B9"/>
    <w:rsid w:val="004966CB"/>
    <w:rsid w:val="004966DE"/>
    <w:rsid w:val="00496708"/>
    <w:rsid w:val="0049676B"/>
    <w:rsid w:val="00496785"/>
    <w:rsid w:val="004967BD"/>
    <w:rsid w:val="004967CA"/>
    <w:rsid w:val="004967CD"/>
    <w:rsid w:val="00496807"/>
    <w:rsid w:val="0049683A"/>
    <w:rsid w:val="0049687B"/>
    <w:rsid w:val="0049687D"/>
    <w:rsid w:val="004968C6"/>
    <w:rsid w:val="0049690B"/>
    <w:rsid w:val="00496967"/>
    <w:rsid w:val="00496968"/>
    <w:rsid w:val="00496990"/>
    <w:rsid w:val="004969B9"/>
    <w:rsid w:val="004969BA"/>
    <w:rsid w:val="004969E5"/>
    <w:rsid w:val="00496A29"/>
    <w:rsid w:val="00496A4F"/>
    <w:rsid w:val="00496A75"/>
    <w:rsid w:val="00496AC5"/>
    <w:rsid w:val="00496ADE"/>
    <w:rsid w:val="00496AFA"/>
    <w:rsid w:val="00496B33"/>
    <w:rsid w:val="00496B9B"/>
    <w:rsid w:val="00496BD0"/>
    <w:rsid w:val="00496BFF"/>
    <w:rsid w:val="00496C00"/>
    <w:rsid w:val="00496C14"/>
    <w:rsid w:val="00496C1A"/>
    <w:rsid w:val="00496C25"/>
    <w:rsid w:val="00496C3D"/>
    <w:rsid w:val="00496CB7"/>
    <w:rsid w:val="00496CBF"/>
    <w:rsid w:val="00496CE2"/>
    <w:rsid w:val="00496CE9"/>
    <w:rsid w:val="00496CEE"/>
    <w:rsid w:val="00496D22"/>
    <w:rsid w:val="00496D8D"/>
    <w:rsid w:val="00496DB7"/>
    <w:rsid w:val="00496DDE"/>
    <w:rsid w:val="00496DE1"/>
    <w:rsid w:val="00496E02"/>
    <w:rsid w:val="00496E31"/>
    <w:rsid w:val="00496E65"/>
    <w:rsid w:val="00496E6C"/>
    <w:rsid w:val="00496E93"/>
    <w:rsid w:val="00496EC1"/>
    <w:rsid w:val="00496ED5"/>
    <w:rsid w:val="00496EDD"/>
    <w:rsid w:val="00496EFB"/>
    <w:rsid w:val="00496F82"/>
    <w:rsid w:val="00496F8D"/>
    <w:rsid w:val="0049702F"/>
    <w:rsid w:val="004970B0"/>
    <w:rsid w:val="004970B1"/>
    <w:rsid w:val="004970E6"/>
    <w:rsid w:val="004970EC"/>
    <w:rsid w:val="004970F4"/>
    <w:rsid w:val="00497107"/>
    <w:rsid w:val="0049715D"/>
    <w:rsid w:val="0049716D"/>
    <w:rsid w:val="00497171"/>
    <w:rsid w:val="00497188"/>
    <w:rsid w:val="004971B5"/>
    <w:rsid w:val="004971B7"/>
    <w:rsid w:val="0049724C"/>
    <w:rsid w:val="004972A0"/>
    <w:rsid w:val="004972A3"/>
    <w:rsid w:val="004972B0"/>
    <w:rsid w:val="004972BA"/>
    <w:rsid w:val="004972FA"/>
    <w:rsid w:val="00497333"/>
    <w:rsid w:val="00497392"/>
    <w:rsid w:val="004973CF"/>
    <w:rsid w:val="004973DA"/>
    <w:rsid w:val="004973F3"/>
    <w:rsid w:val="004973F8"/>
    <w:rsid w:val="00497422"/>
    <w:rsid w:val="00497426"/>
    <w:rsid w:val="00497483"/>
    <w:rsid w:val="00497494"/>
    <w:rsid w:val="004974A8"/>
    <w:rsid w:val="004974CC"/>
    <w:rsid w:val="004974DF"/>
    <w:rsid w:val="004974E6"/>
    <w:rsid w:val="0049750F"/>
    <w:rsid w:val="0049751C"/>
    <w:rsid w:val="0049752C"/>
    <w:rsid w:val="00497566"/>
    <w:rsid w:val="0049757F"/>
    <w:rsid w:val="0049759F"/>
    <w:rsid w:val="004975A6"/>
    <w:rsid w:val="004975EA"/>
    <w:rsid w:val="00497605"/>
    <w:rsid w:val="00497631"/>
    <w:rsid w:val="00497637"/>
    <w:rsid w:val="0049764B"/>
    <w:rsid w:val="004976D5"/>
    <w:rsid w:val="004976DC"/>
    <w:rsid w:val="00497726"/>
    <w:rsid w:val="00497760"/>
    <w:rsid w:val="0049777A"/>
    <w:rsid w:val="004977A2"/>
    <w:rsid w:val="004977C2"/>
    <w:rsid w:val="004977D2"/>
    <w:rsid w:val="004977DB"/>
    <w:rsid w:val="0049785C"/>
    <w:rsid w:val="0049786D"/>
    <w:rsid w:val="004978CF"/>
    <w:rsid w:val="004978F3"/>
    <w:rsid w:val="00497983"/>
    <w:rsid w:val="0049798B"/>
    <w:rsid w:val="004979A2"/>
    <w:rsid w:val="004979C8"/>
    <w:rsid w:val="00497A15"/>
    <w:rsid w:val="00497A59"/>
    <w:rsid w:val="00497AEF"/>
    <w:rsid w:val="00497B0E"/>
    <w:rsid w:val="00497B11"/>
    <w:rsid w:val="00497B15"/>
    <w:rsid w:val="00497B2D"/>
    <w:rsid w:val="00497B79"/>
    <w:rsid w:val="00497B9F"/>
    <w:rsid w:val="00497BA5"/>
    <w:rsid w:val="00497BD2"/>
    <w:rsid w:val="00497BD9"/>
    <w:rsid w:val="00497BE9"/>
    <w:rsid w:val="00497BEC"/>
    <w:rsid w:val="00497BFA"/>
    <w:rsid w:val="00497C30"/>
    <w:rsid w:val="00497C51"/>
    <w:rsid w:val="00497D10"/>
    <w:rsid w:val="00497D1C"/>
    <w:rsid w:val="00497D24"/>
    <w:rsid w:val="00497D42"/>
    <w:rsid w:val="00497D67"/>
    <w:rsid w:val="00497D89"/>
    <w:rsid w:val="00497D9A"/>
    <w:rsid w:val="00497DC5"/>
    <w:rsid w:val="00497DC6"/>
    <w:rsid w:val="00497DD9"/>
    <w:rsid w:val="00497DEE"/>
    <w:rsid w:val="00497E03"/>
    <w:rsid w:val="00497E20"/>
    <w:rsid w:val="00497E5C"/>
    <w:rsid w:val="00497E63"/>
    <w:rsid w:val="00497E74"/>
    <w:rsid w:val="00497E88"/>
    <w:rsid w:val="00497E95"/>
    <w:rsid w:val="00497EB5"/>
    <w:rsid w:val="00497EF8"/>
    <w:rsid w:val="00497EFF"/>
    <w:rsid w:val="00497F43"/>
    <w:rsid w:val="00497F67"/>
    <w:rsid w:val="00497F97"/>
    <w:rsid w:val="00497FA4"/>
    <w:rsid w:val="00497FD2"/>
    <w:rsid w:val="00497FF5"/>
    <w:rsid w:val="004A0029"/>
    <w:rsid w:val="004A005F"/>
    <w:rsid w:val="004A01DC"/>
    <w:rsid w:val="004A01DD"/>
    <w:rsid w:val="004A022F"/>
    <w:rsid w:val="004A027B"/>
    <w:rsid w:val="004A0285"/>
    <w:rsid w:val="004A0297"/>
    <w:rsid w:val="004A0299"/>
    <w:rsid w:val="004A02C0"/>
    <w:rsid w:val="004A02D3"/>
    <w:rsid w:val="004A02F1"/>
    <w:rsid w:val="004A033E"/>
    <w:rsid w:val="004A03A5"/>
    <w:rsid w:val="004A03C2"/>
    <w:rsid w:val="004A03C5"/>
    <w:rsid w:val="004A03E3"/>
    <w:rsid w:val="004A040B"/>
    <w:rsid w:val="004A041B"/>
    <w:rsid w:val="004A0429"/>
    <w:rsid w:val="004A0437"/>
    <w:rsid w:val="004A0462"/>
    <w:rsid w:val="004A0473"/>
    <w:rsid w:val="004A04E0"/>
    <w:rsid w:val="004A0520"/>
    <w:rsid w:val="004A0532"/>
    <w:rsid w:val="004A0533"/>
    <w:rsid w:val="004A0560"/>
    <w:rsid w:val="004A05A0"/>
    <w:rsid w:val="004A05CF"/>
    <w:rsid w:val="004A0644"/>
    <w:rsid w:val="004A066D"/>
    <w:rsid w:val="004A0674"/>
    <w:rsid w:val="004A067B"/>
    <w:rsid w:val="004A06BD"/>
    <w:rsid w:val="004A06F9"/>
    <w:rsid w:val="004A070D"/>
    <w:rsid w:val="004A0719"/>
    <w:rsid w:val="004A072A"/>
    <w:rsid w:val="004A073F"/>
    <w:rsid w:val="004A0779"/>
    <w:rsid w:val="004A078F"/>
    <w:rsid w:val="004A07C8"/>
    <w:rsid w:val="004A07CD"/>
    <w:rsid w:val="004A0855"/>
    <w:rsid w:val="004A087C"/>
    <w:rsid w:val="004A08A2"/>
    <w:rsid w:val="004A08A9"/>
    <w:rsid w:val="004A08B8"/>
    <w:rsid w:val="004A08C7"/>
    <w:rsid w:val="004A0906"/>
    <w:rsid w:val="004A0910"/>
    <w:rsid w:val="004A0936"/>
    <w:rsid w:val="004A093D"/>
    <w:rsid w:val="004A097A"/>
    <w:rsid w:val="004A099C"/>
    <w:rsid w:val="004A09A2"/>
    <w:rsid w:val="004A09A9"/>
    <w:rsid w:val="004A09C8"/>
    <w:rsid w:val="004A09E9"/>
    <w:rsid w:val="004A09FA"/>
    <w:rsid w:val="004A0A01"/>
    <w:rsid w:val="004A0A7A"/>
    <w:rsid w:val="004A0A90"/>
    <w:rsid w:val="004A0AB2"/>
    <w:rsid w:val="004A0AE2"/>
    <w:rsid w:val="004A0AF8"/>
    <w:rsid w:val="004A0AFE"/>
    <w:rsid w:val="004A0B0A"/>
    <w:rsid w:val="004A0B75"/>
    <w:rsid w:val="004A0BAC"/>
    <w:rsid w:val="004A0BB2"/>
    <w:rsid w:val="004A0BCC"/>
    <w:rsid w:val="004A0BE2"/>
    <w:rsid w:val="004A0C4F"/>
    <w:rsid w:val="004A0C8C"/>
    <w:rsid w:val="004A0C97"/>
    <w:rsid w:val="004A0D0D"/>
    <w:rsid w:val="004A0D12"/>
    <w:rsid w:val="004A0D19"/>
    <w:rsid w:val="004A0D2D"/>
    <w:rsid w:val="004A0D3F"/>
    <w:rsid w:val="004A0D51"/>
    <w:rsid w:val="004A0D70"/>
    <w:rsid w:val="004A0E22"/>
    <w:rsid w:val="004A0E27"/>
    <w:rsid w:val="004A0E95"/>
    <w:rsid w:val="004A0E9A"/>
    <w:rsid w:val="004A0EB7"/>
    <w:rsid w:val="004A0EC5"/>
    <w:rsid w:val="004A0ECA"/>
    <w:rsid w:val="004A0ED2"/>
    <w:rsid w:val="004A0F28"/>
    <w:rsid w:val="004A0F3F"/>
    <w:rsid w:val="004A0F4A"/>
    <w:rsid w:val="004A0F4D"/>
    <w:rsid w:val="004A0F5C"/>
    <w:rsid w:val="004A0FA2"/>
    <w:rsid w:val="004A0FB5"/>
    <w:rsid w:val="004A0FC4"/>
    <w:rsid w:val="004A0FF5"/>
    <w:rsid w:val="004A1012"/>
    <w:rsid w:val="004A101E"/>
    <w:rsid w:val="004A1026"/>
    <w:rsid w:val="004A102C"/>
    <w:rsid w:val="004A103D"/>
    <w:rsid w:val="004A108B"/>
    <w:rsid w:val="004A10F2"/>
    <w:rsid w:val="004A1120"/>
    <w:rsid w:val="004A1173"/>
    <w:rsid w:val="004A117F"/>
    <w:rsid w:val="004A119A"/>
    <w:rsid w:val="004A11A9"/>
    <w:rsid w:val="004A11EF"/>
    <w:rsid w:val="004A11F3"/>
    <w:rsid w:val="004A1210"/>
    <w:rsid w:val="004A1234"/>
    <w:rsid w:val="004A1274"/>
    <w:rsid w:val="004A1289"/>
    <w:rsid w:val="004A140C"/>
    <w:rsid w:val="004A1437"/>
    <w:rsid w:val="004A1446"/>
    <w:rsid w:val="004A1455"/>
    <w:rsid w:val="004A1457"/>
    <w:rsid w:val="004A1472"/>
    <w:rsid w:val="004A14CB"/>
    <w:rsid w:val="004A14D4"/>
    <w:rsid w:val="004A1512"/>
    <w:rsid w:val="004A1579"/>
    <w:rsid w:val="004A158D"/>
    <w:rsid w:val="004A15A7"/>
    <w:rsid w:val="004A15AE"/>
    <w:rsid w:val="004A161D"/>
    <w:rsid w:val="004A1620"/>
    <w:rsid w:val="004A1624"/>
    <w:rsid w:val="004A1632"/>
    <w:rsid w:val="004A1693"/>
    <w:rsid w:val="004A1694"/>
    <w:rsid w:val="004A16B8"/>
    <w:rsid w:val="004A16C5"/>
    <w:rsid w:val="004A16ED"/>
    <w:rsid w:val="004A1726"/>
    <w:rsid w:val="004A174C"/>
    <w:rsid w:val="004A1758"/>
    <w:rsid w:val="004A177C"/>
    <w:rsid w:val="004A17A5"/>
    <w:rsid w:val="004A17F9"/>
    <w:rsid w:val="004A188D"/>
    <w:rsid w:val="004A18C1"/>
    <w:rsid w:val="004A18F5"/>
    <w:rsid w:val="004A190C"/>
    <w:rsid w:val="004A1958"/>
    <w:rsid w:val="004A1994"/>
    <w:rsid w:val="004A1995"/>
    <w:rsid w:val="004A19E5"/>
    <w:rsid w:val="004A1A1A"/>
    <w:rsid w:val="004A1A3B"/>
    <w:rsid w:val="004A1A63"/>
    <w:rsid w:val="004A1A6F"/>
    <w:rsid w:val="004A1A9F"/>
    <w:rsid w:val="004A1B1F"/>
    <w:rsid w:val="004A1B57"/>
    <w:rsid w:val="004A1B59"/>
    <w:rsid w:val="004A1B68"/>
    <w:rsid w:val="004A1B89"/>
    <w:rsid w:val="004A1B8E"/>
    <w:rsid w:val="004A1BA4"/>
    <w:rsid w:val="004A1BA5"/>
    <w:rsid w:val="004A1BB5"/>
    <w:rsid w:val="004A1BF8"/>
    <w:rsid w:val="004A1C2E"/>
    <w:rsid w:val="004A1CA7"/>
    <w:rsid w:val="004A1D21"/>
    <w:rsid w:val="004A1D24"/>
    <w:rsid w:val="004A1D25"/>
    <w:rsid w:val="004A1D2C"/>
    <w:rsid w:val="004A1DBB"/>
    <w:rsid w:val="004A1DD5"/>
    <w:rsid w:val="004A1DE1"/>
    <w:rsid w:val="004A1DF9"/>
    <w:rsid w:val="004A1E73"/>
    <w:rsid w:val="004A1EBB"/>
    <w:rsid w:val="004A1ECD"/>
    <w:rsid w:val="004A1EDB"/>
    <w:rsid w:val="004A1F5D"/>
    <w:rsid w:val="004A1F85"/>
    <w:rsid w:val="004A2007"/>
    <w:rsid w:val="004A204F"/>
    <w:rsid w:val="004A205E"/>
    <w:rsid w:val="004A2080"/>
    <w:rsid w:val="004A209F"/>
    <w:rsid w:val="004A20DE"/>
    <w:rsid w:val="004A20E4"/>
    <w:rsid w:val="004A2105"/>
    <w:rsid w:val="004A211F"/>
    <w:rsid w:val="004A2124"/>
    <w:rsid w:val="004A2138"/>
    <w:rsid w:val="004A2189"/>
    <w:rsid w:val="004A2191"/>
    <w:rsid w:val="004A219F"/>
    <w:rsid w:val="004A21CA"/>
    <w:rsid w:val="004A2206"/>
    <w:rsid w:val="004A2215"/>
    <w:rsid w:val="004A222A"/>
    <w:rsid w:val="004A225E"/>
    <w:rsid w:val="004A2279"/>
    <w:rsid w:val="004A2298"/>
    <w:rsid w:val="004A230C"/>
    <w:rsid w:val="004A235A"/>
    <w:rsid w:val="004A238F"/>
    <w:rsid w:val="004A23AA"/>
    <w:rsid w:val="004A23D4"/>
    <w:rsid w:val="004A240E"/>
    <w:rsid w:val="004A2414"/>
    <w:rsid w:val="004A242F"/>
    <w:rsid w:val="004A2438"/>
    <w:rsid w:val="004A248C"/>
    <w:rsid w:val="004A24B0"/>
    <w:rsid w:val="004A24C8"/>
    <w:rsid w:val="004A24E4"/>
    <w:rsid w:val="004A2507"/>
    <w:rsid w:val="004A2550"/>
    <w:rsid w:val="004A257A"/>
    <w:rsid w:val="004A2595"/>
    <w:rsid w:val="004A25A4"/>
    <w:rsid w:val="004A25BB"/>
    <w:rsid w:val="004A25F3"/>
    <w:rsid w:val="004A2656"/>
    <w:rsid w:val="004A266C"/>
    <w:rsid w:val="004A2671"/>
    <w:rsid w:val="004A2697"/>
    <w:rsid w:val="004A26C3"/>
    <w:rsid w:val="004A26CF"/>
    <w:rsid w:val="004A26DE"/>
    <w:rsid w:val="004A26E1"/>
    <w:rsid w:val="004A2741"/>
    <w:rsid w:val="004A27C0"/>
    <w:rsid w:val="004A27FA"/>
    <w:rsid w:val="004A2805"/>
    <w:rsid w:val="004A2821"/>
    <w:rsid w:val="004A282D"/>
    <w:rsid w:val="004A284D"/>
    <w:rsid w:val="004A286C"/>
    <w:rsid w:val="004A28C2"/>
    <w:rsid w:val="004A28E2"/>
    <w:rsid w:val="004A28F2"/>
    <w:rsid w:val="004A2934"/>
    <w:rsid w:val="004A295D"/>
    <w:rsid w:val="004A2988"/>
    <w:rsid w:val="004A2993"/>
    <w:rsid w:val="004A29A4"/>
    <w:rsid w:val="004A29E4"/>
    <w:rsid w:val="004A2A03"/>
    <w:rsid w:val="004A2A62"/>
    <w:rsid w:val="004A2A6E"/>
    <w:rsid w:val="004A2AA1"/>
    <w:rsid w:val="004A2B25"/>
    <w:rsid w:val="004A2B34"/>
    <w:rsid w:val="004A2B3A"/>
    <w:rsid w:val="004A2B5E"/>
    <w:rsid w:val="004A2B97"/>
    <w:rsid w:val="004A2BE2"/>
    <w:rsid w:val="004A2BF2"/>
    <w:rsid w:val="004A2C16"/>
    <w:rsid w:val="004A2C44"/>
    <w:rsid w:val="004A2CC0"/>
    <w:rsid w:val="004A2CED"/>
    <w:rsid w:val="004A2D0D"/>
    <w:rsid w:val="004A2D1C"/>
    <w:rsid w:val="004A2D27"/>
    <w:rsid w:val="004A2D32"/>
    <w:rsid w:val="004A2D37"/>
    <w:rsid w:val="004A2D38"/>
    <w:rsid w:val="004A2D56"/>
    <w:rsid w:val="004A2D69"/>
    <w:rsid w:val="004A2DAB"/>
    <w:rsid w:val="004A2DE6"/>
    <w:rsid w:val="004A2E16"/>
    <w:rsid w:val="004A2E18"/>
    <w:rsid w:val="004A2E57"/>
    <w:rsid w:val="004A2E70"/>
    <w:rsid w:val="004A2E95"/>
    <w:rsid w:val="004A2EAB"/>
    <w:rsid w:val="004A2EBD"/>
    <w:rsid w:val="004A2EC4"/>
    <w:rsid w:val="004A2EF9"/>
    <w:rsid w:val="004A2F1B"/>
    <w:rsid w:val="004A2F34"/>
    <w:rsid w:val="004A2F47"/>
    <w:rsid w:val="004A2F50"/>
    <w:rsid w:val="004A2F5E"/>
    <w:rsid w:val="004A2F8C"/>
    <w:rsid w:val="004A2FAD"/>
    <w:rsid w:val="004A2FC0"/>
    <w:rsid w:val="004A2FC7"/>
    <w:rsid w:val="004A2FFC"/>
    <w:rsid w:val="004A2FFE"/>
    <w:rsid w:val="004A3098"/>
    <w:rsid w:val="004A309C"/>
    <w:rsid w:val="004A30A7"/>
    <w:rsid w:val="004A3130"/>
    <w:rsid w:val="004A3138"/>
    <w:rsid w:val="004A3208"/>
    <w:rsid w:val="004A3219"/>
    <w:rsid w:val="004A321F"/>
    <w:rsid w:val="004A3238"/>
    <w:rsid w:val="004A3240"/>
    <w:rsid w:val="004A324F"/>
    <w:rsid w:val="004A32B8"/>
    <w:rsid w:val="004A32C3"/>
    <w:rsid w:val="004A32D0"/>
    <w:rsid w:val="004A32F3"/>
    <w:rsid w:val="004A3310"/>
    <w:rsid w:val="004A331A"/>
    <w:rsid w:val="004A3323"/>
    <w:rsid w:val="004A3337"/>
    <w:rsid w:val="004A3350"/>
    <w:rsid w:val="004A33AE"/>
    <w:rsid w:val="004A33EF"/>
    <w:rsid w:val="004A3405"/>
    <w:rsid w:val="004A3439"/>
    <w:rsid w:val="004A3441"/>
    <w:rsid w:val="004A345B"/>
    <w:rsid w:val="004A345F"/>
    <w:rsid w:val="004A346F"/>
    <w:rsid w:val="004A34B0"/>
    <w:rsid w:val="004A3512"/>
    <w:rsid w:val="004A3513"/>
    <w:rsid w:val="004A354F"/>
    <w:rsid w:val="004A355C"/>
    <w:rsid w:val="004A35C5"/>
    <w:rsid w:val="004A35CD"/>
    <w:rsid w:val="004A35CF"/>
    <w:rsid w:val="004A35D2"/>
    <w:rsid w:val="004A35FA"/>
    <w:rsid w:val="004A3622"/>
    <w:rsid w:val="004A368D"/>
    <w:rsid w:val="004A369B"/>
    <w:rsid w:val="004A36DA"/>
    <w:rsid w:val="004A3702"/>
    <w:rsid w:val="004A3747"/>
    <w:rsid w:val="004A374B"/>
    <w:rsid w:val="004A379E"/>
    <w:rsid w:val="004A37A5"/>
    <w:rsid w:val="004A37AA"/>
    <w:rsid w:val="004A37BF"/>
    <w:rsid w:val="004A37E2"/>
    <w:rsid w:val="004A381A"/>
    <w:rsid w:val="004A3833"/>
    <w:rsid w:val="004A3868"/>
    <w:rsid w:val="004A3881"/>
    <w:rsid w:val="004A38F4"/>
    <w:rsid w:val="004A3986"/>
    <w:rsid w:val="004A3999"/>
    <w:rsid w:val="004A39A8"/>
    <w:rsid w:val="004A39AD"/>
    <w:rsid w:val="004A39BD"/>
    <w:rsid w:val="004A39F4"/>
    <w:rsid w:val="004A3A0D"/>
    <w:rsid w:val="004A3A0F"/>
    <w:rsid w:val="004A3A14"/>
    <w:rsid w:val="004A3A36"/>
    <w:rsid w:val="004A3A48"/>
    <w:rsid w:val="004A3AD8"/>
    <w:rsid w:val="004A3B0B"/>
    <w:rsid w:val="004A3B0D"/>
    <w:rsid w:val="004A3B1A"/>
    <w:rsid w:val="004A3B27"/>
    <w:rsid w:val="004A3B38"/>
    <w:rsid w:val="004A3B63"/>
    <w:rsid w:val="004A3B6C"/>
    <w:rsid w:val="004A3B8B"/>
    <w:rsid w:val="004A3BA4"/>
    <w:rsid w:val="004A3BB9"/>
    <w:rsid w:val="004A3BE2"/>
    <w:rsid w:val="004A3C59"/>
    <w:rsid w:val="004A3C67"/>
    <w:rsid w:val="004A3C7C"/>
    <w:rsid w:val="004A3CB4"/>
    <w:rsid w:val="004A3D16"/>
    <w:rsid w:val="004A3D20"/>
    <w:rsid w:val="004A3D2D"/>
    <w:rsid w:val="004A3D31"/>
    <w:rsid w:val="004A3D3E"/>
    <w:rsid w:val="004A3D8D"/>
    <w:rsid w:val="004A3D8E"/>
    <w:rsid w:val="004A3E5E"/>
    <w:rsid w:val="004A3E8C"/>
    <w:rsid w:val="004A3EEC"/>
    <w:rsid w:val="004A3F94"/>
    <w:rsid w:val="004A3FB7"/>
    <w:rsid w:val="004A3FBC"/>
    <w:rsid w:val="004A3FBF"/>
    <w:rsid w:val="004A3FCA"/>
    <w:rsid w:val="004A3FCB"/>
    <w:rsid w:val="004A3FD8"/>
    <w:rsid w:val="004A3FDD"/>
    <w:rsid w:val="004A3FEE"/>
    <w:rsid w:val="004A400B"/>
    <w:rsid w:val="004A4032"/>
    <w:rsid w:val="004A4040"/>
    <w:rsid w:val="004A405D"/>
    <w:rsid w:val="004A4066"/>
    <w:rsid w:val="004A4078"/>
    <w:rsid w:val="004A4083"/>
    <w:rsid w:val="004A4093"/>
    <w:rsid w:val="004A40FE"/>
    <w:rsid w:val="004A4101"/>
    <w:rsid w:val="004A4187"/>
    <w:rsid w:val="004A4192"/>
    <w:rsid w:val="004A41A2"/>
    <w:rsid w:val="004A41C2"/>
    <w:rsid w:val="004A41DD"/>
    <w:rsid w:val="004A4224"/>
    <w:rsid w:val="004A4231"/>
    <w:rsid w:val="004A423B"/>
    <w:rsid w:val="004A4274"/>
    <w:rsid w:val="004A42B1"/>
    <w:rsid w:val="004A42FC"/>
    <w:rsid w:val="004A4304"/>
    <w:rsid w:val="004A431F"/>
    <w:rsid w:val="004A432E"/>
    <w:rsid w:val="004A4343"/>
    <w:rsid w:val="004A435A"/>
    <w:rsid w:val="004A435E"/>
    <w:rsid w:val="004A4361"/>
    <w:rsid w:val="004A436F"/>
    <w:rsid w:val="004A4397"/>
    <w:rsid w:val="004A43D8"/>
    <w:rsid w:val="004A43E6"/>
    <w:rsid w:val="004A43E7"/>
    <w:rsid w:val="004A43F4"/>
    <w:rsid w:val="004A4411"/>
    <w:rsid w:val="004A442C"/>
    <w:rsid w:val="004A4431"/>
    <w:rsid w:val="004A4459"/>
    <w:rsid w:val="004A4474"/>
    <w:rsid w:val="004A4487"/>
    <w:rsid w:val="004A4496"/>
    <w:rsid w:val="004A44FC"/>
    <w:rsid w:val="004A4526"/>
    <w:rsid w:val="004A4566"/>
    <w:rsid w:val="004A4580"/>
    <w:rsid w:val="004A4597"/>
    <w:rsid w:val="004A459B"/>
    <w:rsid w:val="004A45F1"/>
    <w:rsid w:val="004A45F9"/>
    <w:rsid w:val="004A4613"/>
    <w:rsid w:val="004A4628"/>
    <w:rsid w:val="004A4673"/>
    <w:rsid w:val="004A4681"/>
    <w:rsid w:val="004A4683"/>
    <w:rsid w:val="004A4688"/>
    <w:rsid w:val="004A468C"/>
    <w:rsid w:val="004A46A4"/>
    <w:rsid w:val="004A46B7"/>
    <w:rsid w:val="004A46C9"/>
    <w:rsid w:val="004A4728"/>
    <w:rsid w:val="004A477A"/>
    <w:rsid w:val="004A4799"/>
    <w:rsid w:val="004A47D6"/>
    <w:rsid w:val="004A47E8"/>
    <w:rsid w:val="004A47F6"/>
    <w:rsid w:val="004A47FD"/>
    <w:rsid w:val="004A4806"/>
    <w:rsid w:val="004A4884"/>
    <w:rsid w:val="004A48AC"/>
    <w:rsid w:val="004A48B1"/>
    <w:rsid w:val="004A48ED"/>
    <w:rsid w:val="004A4905"/>
    <w:rsid w:val="004A491B"/>
    <w:rsid w:val="004A4925"/>
    <w:rsid w:val="004A493C"/>
    <w:rsid w:val="004A4940"/>
    <w:rsid w:val="004A495D"/>
    <w:rsid w:val="004A496E"/>
    <w:rsid w:val="004A497C"/>
    <w:rsid w:val="004A49A4"/>
    <w:rsid w:val="004A49E8"/>
    <w:rsid w:val="004A49FB"/>
    <w:rsid w:val="004A4A17"/>
    <w:rsid w:val="004A4A43"/>
    <w:rsid w:val="004A4A49"/>
    <w:rsid w:val="004A4A60"/>
    <w:rsid w:val="004A4A6D"/>
    <w:rsid w:val="004A4A70"/>
    <w:rsid w:val="004A4A84"/>
    <w:rsid w:val="004A4AB4"/>
    <w:rsid w:val="004A4AD0"/>
    <w:rsid w:val="004A4AD1"/>
    <w:rsid w:val="004A4B2E"/>
    <w:rsid w:val="004A4B66"/>
    <w:rsid w:val="004A4B90"/>
    <w:rsid w:val="004A4BA7"/>
    <w:rsid w:val="004A4BDE"/>
    <w:rsid w:val="004A4BE6"/>
    <w:rsid w:val="004A4BF0"/>
    <w:rsid w:val="004A4C0F"/>
    <w:rsid w:val="004A4C10"/>
    <w:rsid w:val="004A4C12"/>
    <w:rsid w:val="004A4C15"/>
    <w:rsid w:val="004A4C18"/>
    <w:rsid w:val="004A4C61"/>
    <w:rsid w:val="004A4C65"/>
    <w:rsid w:val="004A4C80"/>
    <w:rsid w:val="004A4CF3"/>
    <w:rsid w:val="004A4D47"/>
    <w:rsid w:val="004A4D5A"/>
    <w:rsid w:val="004A4D9D"/>
    <w:rsid w:val="004A4DA5"/>
    <w:rsid w:val="004A4DA6"/>
    <w:rsid w:val="004A4DAA"/>
    <w:rsid w:val="004A4E39"/>
    <w:rsid w:val="004A4E3C"/>
    <w:rsid w:val="004A4E6C"/>
    <w:rsid w:val="004A4E8C"/>
    <w:rsid w:val="004A4EF0"/>
    <w:rsid w:val="004A4F0D"/>
    <w:rsid w:val="004A4F14"/>
    <w:rsid w:val="004A4FA5"/>
    <w:rsid w:val="004A4FAC"/>
    <w:rsid w:val="004A501B"/>
    <w:rsid w:val="004A5052"/>
    <w:rsid w:val="004A5147"/>
    <w:rsid w:val="004A5166"/>
    <w:rsid w:val="004A517D"/>
    <w:rsid w:val="004A5184"/>
    <w:rsid w:val="004A518B"/>
    <w:rsid w:val="004A5191"/>
    <w:rsid w:val="004A51F1"/>
    <w:rsid w:val="004A51F9"/>
    <w:rsid w:val="004A51FE"/>
    <w:rsid w:val="004A520F"/>
    <w:rsid w:val="004A5226"/>
    <w:rsid w:val="004A5238"/>
    <w:rsid w:val="004A525C"/>
    <w:rsid w:val="004A52A9"/>
    <w:rsid w:val="004A52CE"/>
    <w:rsid w:val="004A52E1"/>
    <w:rsid w:val="004A52FA"/>
    <w:rsid w:val="004A5303"/>
    <w:rsid w:val="004A5357"/>
    <w:rsid w:val="004A535C"/>
    <w:rsid w:val="004A5362"/>
    <w:rsid w:val="004A537E"/>
    <w:rsid w:val="004A539B"/>
    <w:rsid w:val="004A53DD"/>
    <w:rsid w:val="004A53E3"/>
    <w:rsid w:val="004A53F9"/>
    <w:rsid w:val="004A541E"/>
    <w:rsid w:val="004A542D"/>
    <w:rsid w:val="004A5431"/>
    <w:rsid w:val="004A5487"/>
    <w:rsid w:val="004A5498"/>
    <w:rsid w:val="004A54BD"/>
    <w:rsid w:val="004A54E0"/>
    <w:rsid w:val="004A554D"/>
    <w:rsid w:val="004A555C"/>
    <w:rsid w:val="004A5561"/>
    <w:rsid w:val="004A556E"/>
    <w:rsid w:val="004A5584"/>
    <w:rsid w:val="004A5588"/>
    <w:rsid w:val="004A55E2"/>
    <w:rsid w:val="004A55F3"/>
    <w:rsid w:val="004A561D"/>
    <w:rsid w:val="004A562B"/>
    <w:rsid w:val="004A562E"/>
    <w:rsid w:val="004A5658"/>
    <w:rsid w:val="004A5687"/>
    <w:rsid w:val="004A568E"/>
    <w:rsid w:val="004A56D8"/>
    <w:rsid w:val="004A56DA"/>
    <w:rsid w:val="004A56E6"/>
    <w:rsid w:val="004A56ED"/>
    <w:rsid w:val="004A56F2"/>
    <w:rsid w:val="004A5776"/>
    <w:rsid w:val="004A5777"/>
    <w:rsid w:val="004A57A2"/>
    <w:rsid w:val="004A57E1"/>
    <w:rsid w:val="004A5847"/>
    <w:rsid w:val="004A5880"/>
    <w:rsid w:val="004A5882"/>
    <w:rsid w:val="004A58B4"/>
    <w:rsid w:val="004A58D0"/>
    <w:rsid w:val="004A58ED"/>
    <w:rsid w:val="004A5924"/>
    <w:rsid w:val="004A593A"/>
    <w:rsid w:val="004A5955"/>
    <w:rsid w:val="004A595D"/>
    <w:rsid w:val="004A5983"/>
    <w:rsid w:val="004A598E"/>
    <w:rsid w:val="004A59A5"/>
    <w:rsid w:val="004A59A9"/>
    <w:rsid w:val="004A5A0C"/>
    <w:rsid w:val="004A5A35"/>
    <w:rsid w:val="004A5A3E"/>
    <w:rsid w:val="004A5A4D"/>
    <w:rsid w:val="004A5A5F"/>
    <w:rsid w:val="004A5A66"/>
    <w:rsid w:val="004A5A75"/>
    <w:rsid w:val="004A5A7A"/>
    <w:rsid w:val="004A5A87"/>
    <w:rsid w:val="004A5A8C"/>
    <w:rsid w:val="004A5A91"/>
    <w:rsid w:val="004A5AA0"/>
    <w:rsid w:val="004A5AAF"/>
    <w:rsid w:val="004A5AC3"/>
    <w:rsid w:val="004A5ACB"/>
    <w:rsid w:val="004A5ADF"/>
    <w:rsid w:val="004A5B19"/>
    <w:rsid w:val="004A5B48"/>
    <w:rsid w:val="004A5B49"/>
    <w:rsid w:val="004A5B7E"/>
    <w:rsid w:val="004A5BAD"/>
    <w:rsid w:val="004A5BF1"/>
    <w:rsid w:val="004A5C25"/>
    <w:rsid w:val="004A5C80"/>
    <w:rsid w:val="004A5CA8"/>
    <w:rsid w:val="004A5D3B"/>
    <w:rsid w:val="004A5D53"/>
    <w:rsid w:val="004A5D56"/>
    <w:rsid w:val="004A5D6E"/>
    <w:rsid w:val="004A5D81"/>
    <w:rsid w:val="004A5D8B"/>
    <w:rsid w:val="004A5DCA"/>
    <w:rsid w:val="004A5E01"/>
    <w:rsid w:val="004A5E0D"/>
    <w:rsid w:val="004A5E5F"/>
    <w:rsid w:val="004A5E65"/>
    <w:rsid w:val="004A5E6C"/>
    <w:rsid w:val="004A5EA4"/>
    <w:rsid w:val="004A5EB4"/>
    <w:rsid w:val="004A5ECB"/>
    <w:rsid w:val="004A5ED2"/>
    <w:rsid w:val="004A5EE2"/>
    <w:rsid w:val="004A5EF5"/>
    <w:rsid w:val="004A5F0D"/>
    <w:rsid w:val="004A5F26"/>
    <w:rsid w:val="004A5F5E"/>
    <w:rsid w:val="004A5F85"/>
    <w:rsid w:val="004A5F8C"/>
    <w:rsid w:val="004A5FAB"/>
    <w:rsid w:val="004A5FB3"/>
    <w:rsid w:val="004A5FDC"/>
    <w:rsid w:val="004A5FDE"/>
    <w:rsid w:val="004A600D"/>
    <w:rsid w:val="004A6020"/>
    <w:rsid w:val="004A60F2"/>
    <w:rsid w:val="004A60FF"/>
    <w:rsid w:val="004A6142"/>
    <w:rsid w:val="004A6171"/>
    <w:rsid w:val="004A6176"/>
    <w:rsid w:val="004A618D"/>
    <w:rsid w:val="004A61AD"/>
    <w:rsid w:val="004A6202"/>
    <w:rsid w:val="004A624C"/>
    <w:rsid w:val="004A6286"/>
    <w:rsid w:val="004A6303"/>
    <w:rsid w:val="004A6346"/>
    <w:rsid w:val="004A63CA"/>
    <w:rsid w:val="004A63CF"/>
    <w:rsid w:val="004A6405"/>
    <w:rsid w:val="004A640C"/>
    <w:rsid w:val="004A641D"/>
    <w:rsid w:val="004A6432"/>
    <w:rsid w:val="004A646E"/>
    <w:rsid w:val="004A651B"/>
    <w:rsid w:val="004A6571"/>
    <w:rsid w:val="004A6578"/>
    <w:rsid w:val="004A657B"/>
    <w:rsid w:val="004A6587"/>
    <w:rsid w:val="004A661A"/>
    <w:rsid w:val="004A6652"/>
    <w:rsid w:val="004A6700"/>
    <w:rsid w:val="004A6711"/>
    <w:rsid w:val="004A672A"/>
    <w:rsid w:val="004A6734"/>
    <w:rsid w:val="004A6741"/>
    <w:rsid w:val="004A6750"/>
    <w:rsid w:val="004A6786"/>
    <w:rsid w:val="004A6791"/>
    <w:rsid w:val="004A67B0"/>
    <w:rsid w:val="004A67DD"/>
    <w:rsid w:val="004A6820"/>
    <w:rsid w:val="004A687E"/>
    <w:rsid w:val="004A6918"/>
    <w:rsid w:val="004A694D"/>
    <w:rsid w:val="004A6971"/>
    <w:rsid w:val="004A6A06"/>
    <w:rsid w:val="004A6A49"/>
    <w:rsid w:val="004A6A82"/>
    <w:rsid w:val="004A6A87"/>
    <w:rsid w:val="004A6A94"/>
    <w:rsid w:val="004A6AD0"/>
    <w:rsid w:val="004A6AE6"/>
    <w:rsid w:val="004A6B0C"/>
    <w:rsid w:val="004A6B16"/>
    <w:rsid w:val="004A6B29"/>
    <w:rsid w:val="004A6B9B"/>
    <w:rsid w:val="004A6BCE"/>
    <w:rsid w:val="004A6BFE"/>
    <w:rsid w:val="004A6C02"/>
    <w:rsid w:val="004A6C2B"/>
    <w:rsid w:val="004A6C81"/>
    <w:rsid w:val="004A6C91"/>
    <w:rsid w:val="004A6D46"/>
    <w:rsid w:val="004A6D48"/>
    <w:rsid w:val="004A6D8A"/>
    <w:rsid w:val="004A6DE9"/>
    <w:rsid w:val="004A6E49"/>
    <w:rsid w:val="004A6E54"/>
    <w:rsid w:val="004A6E64"/>
    <w:rsid w:val="004A6E92"/>
    <w:rsid w:val="004A6EAB"/>
    <w:rsid w:val="004A6EC1"/>
    <w:rsid w:val="004A6EFE"/>
    <w:rsid w:val="004A6F05"/>
    <w:rsid w:val="004A6F52"/>
    <w:rsid w:val="004A6F5A"/>
    <w:rsid w:val="004A6F7F"/>
    <w:rsid w:val="004A6FCC"/>
    <w:rsid w:val="004A6FE3"/>
    <w:rsid w:val="004A7017"/>
    <w:rsid w:val="004A701D"/>
    <w:rsid w:val="004A7049"/>
    <w:rsid w:val="004A7074"/>
    <w:rsid w:val="004A7078"/>
    <w:rsid w:val="004A70FA"/>
    <w:rsid w:val="004A7148"/>
    <w:rsid w:val="004A714D"/>
    <w:rsid w:val="004A7156"/>
    <w:rsid w:val="004A7159"/>
    <w:rsid w:val="004A715C"/>
    <w:rsid w:val="004A717F"/>
    <w:rsid w:val="004A7182"/>
    <w:rsid w:val="004A7193"/>
    <w:rsid w:val="004A7195"/>
    <w:rsid w:val="004A71D1"/>
    <w:rsid w:val="004A71F9"/>
    <w:rsid w:val="004A7227"/>
    <w:rsid w:val="004A722E"/>
    <w:rsid w:val="004A7237"/>
    <w:rsid w:val="004A728C"/>
    <w:rsid w:val="004A72AF"/>
    <w:rsid w:val="004A72CC"/>
    <w:rsid w:val="004A72EC"/>
    <w:rsid w:val="004A72F1"/>
    <w:rsid w:val="004A73BE"/>
    <w:rsid w:val="004A73E0"/>
    <w:rsid w:val="004A73FD"/>
    <w:rsid w:val="004A741D"/>
    <w:rsid w:val="004A7455"/>
    <w:rsid w:val="004A7457"/>
    <w:rsid w:val="004A7475"/>
    <w:rsid w:val="004A7483"/>
    <w:rsid w:val="004A7484"/>
    <w:rsid w:val="004A74AC"/>
    <w:rsid w:val="004A74D5"/>
    <w:rsid w:val="004A74DC"/>
    <w:rsid w:val="004A74E4"/>
    <w:rsid w:val="004A74FA"/>
    <w:rsid w:val="004A7512"/>
    <w:rsid w:val="004A7565"/>
    <w:rsid w:val="004A75F8"/>
    <w:rsid w:val="004A7615"/>
    <w:rsid w:val="004A7621"/>
    <w:rsid w:val="004A762D"/>
    <w:rsid w:val="004A767B"/>
    <w:rsid w:val="004A7691"/>
    <w:rsid w:val="004A76A5"/>
    <w:rsid w:val="004A76BD"/>
    <w:rsid w:val="004A76BF"/>
    <w:rsid w:val="004A76FF"/>
    <w:rsid w:val="004A7701"/>
    <w:rsid w:val="004A7773"/>
    <w:rsid w:val="004A7782"/>
    <w:rsid w:val="004A77C0"/>
    <w:rsid w:val="004A782B"/>
    <w:rsid w:val="004A783B"/>
    <w:rsid w:val="004A783D"/>
    <w:rsid w:val="004A7890"/>
    <w:rsid w:val="004A78A6"/>
    <w:rsid w:val="004A78BE"/>
    <w:rsid w:val="004A78FA"/>
    <w:rsid w:val="004A796C"/>
    <w:rsid w:val="004A7981"/>
    <w:rsid w:val="004A798A"/>
    <w:rsid w:val="004A7999"/>
    <w:rsid w:val="004A79BE"/>
    <w:rsid w:val="004A79CA"/>
    <w:rsid w:val="004A79DC"/>
    <w:rsid w:val="004A7A08"/>
    <w:rsid w:val="004A7A0A"/>
    <w:rsid w:val="004A7A36"/>
    <w:rsid w:val="004A7A3B"/>
    <w:rsid w:val="004A7A75"/>
    <w:rsid w:val="004A7AA1"/>
    <w:rsid w:val="004A7B10"/>
    <w:rsid w:val="004A7B2C"/>
    <w:rsid w:val="004A7B5B"/>
    <w:rsid w:val="004A7BE2"/>
    <w:rsid w:val="004A7BF1"/>
    <w:rsid w:val="004A7C02"/>
    <w:rsid w:val="004A7C05"/>
    <w:rsid w:val="004A7C0A"/>
    <w:rsid w:val="004A7C92"/>
    <w:rsid w:val="004A7CC6"/>
    <w:rsid w:val="004A7CD1"/>
    <w:rsid w:val="004A7CE1"/>
    <w:rsid w:val="004A7CEA"/>
    <w:rsid w:val="004A7D4F"/>
    <w:rsid w:val="004A7D68"/>
    <w:rsid w:val="004A7D87"/>
    <w:rsid w:val="004A7DA5"/>
    <w:rsid w:val="004A7DEF"/>
    <w:rsid w:val="004A7E12"/>
    <w:rsid w:val="004A7E1F"/>
    <w:rsid w:val="004A7E43"/>
    <w:rsid w:val="004A7E8F"/>
    <w:rsid w:val="004A7EC3"/>
    <w:rsid w:val="004A7EF3"/>
    <w:rsid w:val="004A7F0E"/>
    <w:rsid w:val="004A7F47"/>
    <w:rsid w:val="004A7FEE"/>
    <w:rsid w:val="004A7FF0"/>
    <w:rsid w:val="004B0056"/>
    <w:rsid w:val="004B0058"/>
    <w:rsid w:val="004B005B"/>
    <w:rsid w:val="004B0089"/>
    <w:rsid w:val="004B00C1"/>
    <w:rsid w:val="004B00D8"/>
    <w:rsid w:val="004B0112"/>
    <w:rsid w:val="004B0151"/>
    <w:rsid w:val="004B0164"/>
    <w:rsid w:val="004B01D6"/>
    <w:rsid w:val="004B01F9"/>
    <w:rsid w:val="004B0212"/>
    <w:rsid w:val="004B0261"/>
    <w:rsid w:val="004B0280"/>
    <w:rsid w:val="004B0283"/>
    <w:rsid w:val="004B0287"/>
    <w:rsid w:val="004B02DA"/>
    <w:rsid w:val="004B0309"/>
    <w:rsid w:val="004B0317"/>
    <w:rsid w:val="004B031A"/>
    <w:rsid w:val="004B0322"/>
    <w:rsid w:val="004B0362"/>
    <w:rsid w:val="004B0398"/>
    <w:rsid w:val="004B03D8"/>
    <w:rsid w:val="004B03E1"/>
    <w:rsid w:val="004B03F1"/>
    <w:rsid w:val="004B042B"/>
    <w:rsid w:val="004B0487"/>
    <w:rsid w:val="004B049F"/>
    <w:rsid w:val="004B04F7"/>
    <w:rsid w:val="004B051B"/>
    <w:rsid w:val="004B0520"/>
    <w:rsid w:val="004B053E"/>
    <w:rsid w:val="004B05A0"/>
    <w:rsid w:val="004B05AC"/>
    <w:rsid w:val="004B05D9"/>
    <w:rsid w:val="004B05FC"/>
    <w:rsid w:val="004B05FE"/>
    <w:rsid w:val="004B062B"/>
    <w:rsid w:val="004B0670"/>
    <w:rsid w:val="004B0722"/>
    <w:rsid w:val="004B073E"/>
    <w:rsid w:val="004B0742"/>
    <w:rsid w:val="004B07C9"/>
    <w:rsid w:val="004B07CD"/>
    <w:rsid w:val="004B07D7"/>
    <w:rsid w:val="004B081F"/>
    <w:rsid w:val="004B0870"/>
    <w:rsid w:val="004B08C1"/>
    <w:rsid w:val="004B08E0"/>
    <w:rsid w:val="004B0900"/>
    <w:rsid w:val="004B0916"/>
    <w:rsid w:val="004B0948"/>
    <w:rsid w:val="004B09AD"/>
    <w:rsid w:val="004B09B1"/>
    <w:rsid w:val="004B09BD"/>
    <w:rsid w:val="004B0A11"/>
    <w:rsid w:val="004B0A1C"/>
    <w:rsid w:val="004B0A3E"/>
    <w:rsid w:val="004B0A90"/>
    <w:rsid w:val="004B0AA6"/>
    <w:rsid w:val="004B0AFE"/>
    <w:rsid w:val="004B0B00"/>
    <w:rsid w:val="004B0B10"/>
    <w:rsid w:val="004B0B42"/>
    <w:rsid w:val="004B0B71"/>
    <w:rsid w:val="004B0B8E"/>
    <w:rsid w:val="004B0BCB"/>
    <w:rsid w:val="004B0BD0"/>
    <w:rsid w:val="004B0BE0"/>
    <w:rsid w:val="004B0BE6"/>
    <w:rsid w:val="004B0BFA"/>
    <w:rsid w:val="004B0C15"/>
    <w:rsid w:val="004B0C25"/>
    <w:rsid w:val="004B0C84"/>
    <w:rsid w:val="004B0C99"/>
    <w:rsid w:val="004B0C9E"/>
    <w:rsid w:val="004B0CDF"/>
    <w:rsid w:val="004B0CED"/>
    <w:rsid w:val="004B0D76"/>
    <w:rsid w:val="004B0D89"/>
    <w:rsid w:val="004B0DB5"/>
    <w:rsid w:val="004B0DEC"/>
    <w:rsid w:val="004B0E07"/>
    <w:rsid w:val="004B0E1A"/>
    <w:rsid w:val="004B0E52"/>
    <w:rsid w:val="004B0E5F"/>
    <w:rsid w:val="004B0E7B"/>
    <w:rsid w:val="004B0E81"/>
    <w:rsid w:val="004B0E98"/>
    <w:rsid w:val="004B0EA8"/>
    <w:rsid w:val="004B0EB1"/>
    <w:rsid w:val="004B0EF8"/>
    <w:rsid w:val="004B0F48"/>
    <w:rsid w:val="004B0FAB"/>
    <w:rsid w:val="004B0FBE"/>
    <w:rsid w:val="004B0FC3"/>
    <w:rsid w:val="004B0FCA"/>
    <w:rsid w:val="004B101E"/>
    <w:rsid w:val="004B1090"/>
    <w:rsid w:val="004B10C8"/>
    <w:rsid w:val="004B10CC"/>
    <w:rsid w:val="004B1120"/>
    <w:rsid w:val="004B114C"/>
    <w:rsid w:val="004B1156"/>
    <w:rsid w:val="004B119E"/>
    <w:rsid w:val="004B11E0"/>
    <w:rsid w:val="004B1216"/>
    <w:rsid w:val="004B126B"/>
    <w:rsid w:val="004B1271"/>
    <w:rsid w:val="004B127F"/>
    <w:rsid w:val="004B129B"/>
    <w:rsid w:val="004B12A4"/>
    <w:rsid w:val="004B1306"/>
    <w:rsid w:val="004B132E"/>
    <w:rsid w:val="004B136C"/>
    <w:rsid w:val="004B139A"/>
    <w:rsid w:val="004B139C"/>
    <w:rsid w:val="004B13DF"/>
    <w:rsid w:val="004B1407"/>
    <w:rsid w:val="004B141F"/>
    <w:rsid w:val="004B14B0"/>
    <w:rsid w:val="004B14B8"/>
    <w:rsid w:val="004B14C9"/>
    <w:rsid w:val="004B14ED"/>
    <w:rsid w:val="004B14F1"/>
    <w:rsid w:val="004B14FE"/>
    <w:rsid w:val="004B1540"/>
    <w:rsid w:val="004B1557"/>
    <w:rsid w:val="004B1584"/>
    <w:rsid w:val="004B1593"/>
    <w:rsid w:val="004B15D0"/>
    <w:rsid w:val="004B15F5"/>
    <w:rsid w:val="004B1648"/>
    <w:rsid w:val="004B1688"/>
    <w:rsid w:val="004B1692"/>
    <w:rsid w:val="004B16EE"/>
    <w:rsid w:val="004B1735"/>
    <w:rsid w:val="004B1789"/>
    <w:rsid w:val="004B178C"/>
    <w:rsid w:val="004B1790"/>
    <w:rsid w:val="004B1794"/>
    <w:rsid w:val="004B17BA"/>
    <w:rsid w:val="004B17DF"/>
    <w:rsid w:val="004B17FC"/>
    <w:rsid w:val="004B183E"/>
    <w:rsid w:val="004B1854"/>
    <w:rsid w:val="004B18F0"/>
    <w:rsid w:val="004B190E"/>
    <w:rsid w:val="004B1930"/>
    <w:rsid w:val="004B19DA"/>
    <w:rsid w:val="004B1A00"/>
    <w:rsid w:val="004B1A12"/>
    <w:rsid w:val="004B1A16"/>
    <w:rsid w:val="004B1A2F"/>
    <w:rsid w:val="004B1A35"/>
    <w:rsid w:val="004B1A3A"/>
    <w:rsid w:val="004B1A42"/>
    <w:rsid w:val="004B1A45"/>
    <w:rsid w:val="004B1A46"/>
    <w:rsid w:val="004B1A99"/>
    <w:rsid w:val="004B1ADF"/>
    <w:rsid w:val="004B1B44"/>
    <w:rsid w:val="004B1B51"/>
    <w:rsid w:val="004B1B72"/>
    <w:rsid w:val="004B1B9D"/>
    <w:rsid w:val="004B1BC6"/>
    <w:rsid w:val="004B1C06"/>
    <w:rsid w:val="004B1C76"/>
    <w:rsid w:val="004B1C8E"/>
    <w:rsid w:val="004B1CB3"/>
    <w:rsid w:val="004B1CD4"/>
    <w:rsid w:val="004B1D4F"/>
    <w:rsid w:val="004B1D6A"/>
    <w:rsid w:val="004B1DB5"/>
    <w:rsid w:val="004B1DCB"/>
    <w:rsid w:val="004B1DE3"/>
    <w:rsid w:val="004B1DED"/>
    <w:rsid w:val="004B1DF5"/>
    <w:rsid w:val="004B1E1B"/>
    <w:rsid w:val="004B1E49"/>
    <w:rsid w:val="004B1E53"/>
    <w:rsid w:val="004B1F05"/>
    <w:rsid w:val="004B1F36"/>
    <w:rsid w:val="004B1F62"/>
    <w:rsid w:val="004B1FA5"/>
    <w:rsid w:val="004B1FB1"/>
    <w:rsid w:val="004B200D"/>
    <w:rsid w:val="004B2050"/>
    <w:rsid w:val="004B205D"/>
    <w:rsid w:val="004B207A"/>
    <w:rsid w:val="004B208D"/>
    <w:rsid w:val="004B20BE"/>
    <w:rsid w:val="004B213A"/>
    <w:rsid w:val="004B21A3"/>
    <w:rsid w:val="004B21EE"/>
    <w:rsid w:val="004B21F5"/>
    <w:rsid w:val="004B2203"/>
    <w:rsid w:val="004B220C"/>
    <w:rsid w:val="004B221C"/>
    <w:rsid w:val="004B2230"/>
    <w:rsid w:val="004B2253"/>
    <w:rsid w:val="004B22A5"/>
    <w:rsid w:val="004B22EF"/>
    <w:rsid w:val="004B2323"/>
    <w:rsid w:val="004B2324"/>
    <w:rsid w:val="004B234B"/>
    <w:rsid w:val="004B2368"/>
    <w:rsid w:val="004B2376"/>
    <w:rsid w:val="004B238D"/>
    <w:rsid w:val="004B23B3"/>
    <w:rsid w:val="004B23E7"/>
    <w:rsid w:val="004B23E9"/>
    <w:rsid w:val="004B241C"/>
    <w:rsid w:val="004B2447"/>
    <w:rsid w:val="004B2478"/>
    <w:rsid w:val="004B24D5"/>
    <w:rsid w:val="004B24D7"/>
    <w:rsid w:val="004B24DE"/>
    <w:rsid w:val="004B24EC"/>
    <w:rsid w:val="004B2506"/>
    <w:rsid w:val="004B2509"/>
    <w:rsid w:val="004B252A"/>
    <w:rsid w:val="004B2535"/>
    <w:rsid w:val="004B256B"/>
    <w:rsid w:val="004B25A9"/>
    <w:rsid w:val="004B2626"/>
    <w:rsid w:val="004B2658"/>
    <w:rsid w:val="004B2668"/>
    <w:rsid w:val="004B266C"/>
    <w:rsid w:val="004B2769"/>
    <w:rsid w:val="004B27CD"/>
    <w:rsid w:val="004B27DA"/>
    <w:rsid w:val="004B27F2"/>
    <w:rsid w:val="004B280D"/>
    <w:rsid w:val="004B28E0"/>
    <w:rsid w:val="004B2903"/>
    <w:rsid w:val="004B291F"/>
    <w:rsid w:val="004B2941"/>
    <w:rsid w:val="004B2985"/>
    <w:rsid w:val="004B2987"/>
    <w:rsid w:val="004B29AE"/>
    <w:rsid w:val="004B2A09"/>
    <w:rsid w:val="004B2A68"/>
    <w:rsid w:val="004B2A75"/>
    <w:rsid w:val="004B2A7B"/>
    <w:rsid w:val="004B2B02"/>
    <w:rsid w:val="004B2B9E"/>
    <w:rsid w:val="004B2BC8"/>
    <w:rsid w:val="004B2BDD"/>
    <w:rsid w:val="004B2C12"/>
    <w:rsid w:val="004B2C49"/>
    <w:rsid w:val="004B2C70"/>
    <w:rsid w:val="004B2C8B"/>
    <w:rsid w:val="004B2CF8"/>
    <w:rsid w:val="004B2D05"/>
    <w:rsid w:val="004B2D25"/>
    <w:rsid w:val="004B2D30"/>
    <w:rsid w:val="004B2D8B"/>
    <w:rsid w:val="004B2D95"/>
    <w:rsid w:val="004B2DC7"/>
    <w:rsid w:val="004B2E74"/>
    <w:rsid w:val="004B2EB4"/>
    <w:rsid w:val="004B2EBD"/>
    <w:rsid w:val="004B2EC6"/>
    <w:rsid w:val="004B2EC7"/>
    <w:rsid w:val="004B2F10"/>
    <w:rsid w:val="004B2F14"/>
    <w:rsid w:val="004B2F19"/>
    <w:rsid w:val="004B2F6E"/>
    <w:rsid w:val="004B2F87"/>
    <w:rsid w:val="004B2F8B"/>
    <w:rsid w:val="004B2FA0"/>
    <w:rsid w:val="004B304A"/>
    <w:rsid w:val="004B3083"/>
    <w:rsid w:val="004B30A0"/>
    <w:rsid w:val="004B30BD"/>
    <w:rsid w:val="004B30E8"/>
    <w:rsid w:val="004B30F0"/>
    <w:rsid w:val="004B3128"/>
    <w:rsid w:val="004B314E"/>
    <w:rsid w:val="004B3184"/>
    <w:rsid w:val="004B3185"/>
    <w:rsid w:val="004B318B"/>
    <w:rsid w:val="004B3194"/>
    <w:rsid w:val="004B31AA"/>
    <w:rsid w:val="004B323E"/>
    <w:rsid w:val="004B3248"/>
    <w:rsid w:val="004B3249"/>
    <w:rsid w:val="004B32B3"/>
    <w:rsid w:val="004B32C4"/>
    <w:rsid w:val="004B32DF"/>
    <w:rsid w:val="004B32E4"/>
    <w:rsid w:val="004B32E9"/>
    <w:rsid w:val="004B32FA"/>
    <w:rsid w:val="004B332D"/>
    <w:rsid w:val="004B3339"/>
    <w:rsid w:val="004B3343"/>
    <w:rsid w:val="004B3353"/>
    <w:rsid w:val="004B3383"/>
    <w:rsid w:val="004B33B3"/>
    <w:rsid w:val="004B33DE"/>
    <w:rsid w:val="004B33E0"/>
    <w:rsid w:val="004B33E9"/>
    <w:rsid w:val="004B33EB"/>
    <w:rsid w:val="004B33EF"/>
    <w:rsid w:val="004B3411"/>
    <w:rsid w:val="004B3418"/>
    <w:rsid w:val="004B3443"/>
    <w:rsid w:val="004B3493"/>
    <w:rsid w:val="004B349D"/>
    <w:rsid w:val="004B34A4"/>
    <w:rsid w:val="004B34A6"/>
    <w:rsid w:val="004B34CA"/>
    <w:rsid w:val="004B3504"/>
    <w:rsid w:val="004B3542"/>
    <w:rsid w:val="004B3565"/>
    <w:rsid w:val="004B35A7"/>
    <w:rsid w:val="004B35AA"/>
    <w:rsid w:val="004B35AD"/>
    <w:rsid w:val="004B35C1"/>
    <w:rsid w:val="004B35C4"/>
    <w:rsid w:val="004B35D9"/>
    <w:rsid w:val="004B366E"/>
    <w:rsid w:val="004B36E0"/>
    <w:rsid w:val="004B36FA"/>
    <w:rsid w:val="004B36FB"/>
    <w:rsid w:val="004B36FE"/>
    <w:rsid w:val="004B36FF"/>
    <w:rsid w:val="004B371A"/>
    <w:rsid w:val="004B372F"/>
    <w:rsid w:val="004B37A8"/>
    <w:rsid w:val="004B380E"/>
    <w:rsid w:val="004B3833"/>
    <w:rsid w:val="004B3846"/>
    <w:rsid w:val="004B385A"/>
    <w:rsid w:val="004B38AD"/>
    <w:rsid w:val="004B38BA"/>
    <w:rsid w:val="004B3906"/>
    <w:rsid w:val="004B3924"/>
    <w:rsid w:val="004B395D"/>
    <w:rsid w:val="004B398B"/>
    <w:rsid w:val="004B39D0"/>
    <w:rsid w:val="004B3A10"/>
    <w:rsid w:val="004B3A28"/>
    <w:rsid w:val="004B3A6C"/>
    <w:rsid w:val="004B3A83"/>
    <w:rsid w:val="004B3ABF"/>
    <w:rsid w:val="004B3AD3"/>
    <w:rsid w:val="004B3B10"/>
    <w:rsid w:val="004B3B56"/>
    <w:rsid w:val="004B3B6B"/>
    <w:rsid w:val="004B3BD1"/>
    <w:rsid w:val="004B3C46"/>
    <w:rsid w:val="004B3C90"/>
    <w:rsid w:val="004B3D3D"/>
    <w:rsid w:val="004B3D7E"/>
    <w:rsid w:val="004B3D94"/>
    <w:rsid w:val="004B3DE8"/>
    <w:rsid w:val="004B3DE9"/>
    <w:rsid w:val="004B3DEF"/>
    <w:rsid w:val="004B3E05"/>
    <w:rsid w:val="004B3E41"/>
    <w:rsid w:val="004B3E4F"/>
    <w:rsid w:val="004B3EBC"/>
    <w:rsid w:val="004B3F2B"/>
    <w:rsid w:val="004B3F44"/>
    <w:rsid w:val="004B3F5F"/>
    <w:rsid w:val="004B3F70"/>
    <w:rsid w:val="004B400D"/>
    <w:rsid w:val="004B401D"/>
    <w:rsid w:val="004B4035"/>
    <w:rsid w:val="004B4040"/>
    <w:rsid w:val="004B407D"/>
    <w:rsid w:val="004B40CC"/>
    <w:rsid w:val="004B411D"/>
    <w:rsid w:val="004B413B"/>
    <w:rsid w:val="004B4141"/>
    <w:rsid w:val="004B419A"/>
    <w:rsid w:val="004B41EB"/>
    <w:rsid w:val="004B4207"/>
    <w:rsid w:val="004B4224"/>
    <w:rsid w:val="004B4243"/>
    <w:rsid w:val="004B428E"/>
    <w:rsid w:val="004B4291"/>
    <w:rsid w:val="004B42A3"/>
    <w:rsid w:val="004B42BF"/>
    <w:rsid w:val="004B42C1"/>
    <w:rsid w:val="004B42C3"/>
    <w:rsid w:val="004B42E9"/>
    <w:rsid w:val="004B4320"/>
    <w:rsid w:val="004B436D"/>
    <w:rsid w:val="004B43A4"/>
    <w:rsid w:val="004B43A7"/>
    <w:rsid w:val="004B43C1"/>
    <w:rsid w:val="004B43E4"/>
    <w:rsid w:val="004B43E9"/>
    <w:rsid w:val="004B4442"/>
    <w:rsid w:val="004B4463"/>
    <w:rsid w:val="004B4468"/>
    <w:rsid w:val="004B448B"/>
    <w:rsid w:val="004B44BF"/>
    <w:rsid w:val="004B454A"/>
    <w:rsid w:val="004B455C"/>
    <w:rsid w:val="004B4586"/>
    <w:rsid w:val="004B45E1"/>
    <w:rsid w:val="004B45EC"/>
    <w:rsid w:val="004B45FB"/>
    <w:rsid w:val="004B4612"/>
    <w:rsid w:val="004B461C"/>
    <w:rsid w:val="004B4671"/>
    <w:rsid w:val="004B4672"/>
    <w:rsid w:val="004B46CD"/>
    <w:rsid w:val="004B46D1"/>
    <w:rsid w:val="004B46FA"/>
    <w:rsid w:val="004B470F"/>
    <w:rsid w:val="004B4717"/>
    <w:rsid w:val="004B4726"/>
    <w:rsid w:val="004B4755"/>
    <w:rsid w:val="004B4764"/>
    <w:rsid w:val="004B476F"/>
    <w:rsid w:val="004B4789"/>
    <w:rsid w:val="004B47AD"/>
    <w:rsid w:val="004B47B0"/>
    <w:rsid w:val="004B47B8"/>
    <w:rsid w:val="004B47E5"/>
    <w:rsid w:val="004B47F4"/>
    <w:rsid w:val="004B47FA"/>
    <w:rsid w:val="004B481A"/>
    <w:rsid w:val="004B4840"/>
    <w:rsid w:val="004B485B"/>
    <w:rsid w:val="004B4883"/>
    <w:rsid w:val="004B488A"/>
    <w:rsid w:val="004B4896"/>
    <w:rsid w:val="004B489C"/>
    <w:rsid w:val="004B48B6"/>
    <w:rsid w:val="004B48BB"/>
    <w:rsid w:val="004B48D6"/>
    <w:rsid w:val="004B48D7"/>
    <w:rsid w:val="004B494C"/>
    <w:rsid w:val="004B4957"/>
    <w:rsid w:val="004B499F"/>
    <w:rsid w:val="004B49A5"/>
    <w:rsid w:val="004B49B6"/>
    <w:rsid w:val="004B49DF"/>
    <w:rsid w:val="004B49E9"/>
    <w:rsid w:val="004B4A62"/>
    <w:rsid w:val="004B4A6B"/>
    <w:rsid w:val="004B4AAE"/>
    <w:rsid w:val="004B4AFD"/>
    <w:rsid w:val="004B4B0D"/>
    <w:rsid w:val="004B4B1B"/>
    <w:rsid w:val="004B4B55"/>
    <w:rsid w:val="004B4B57"/>
    <w:rsid w:val="004B4B6B"/>
    <w:rsid w:val="004B4B7D"/>
    <w:rsid w:val="004B4B90"/>
    <w:rsid w:val="004B4BD7"/>
    <w:rsid w:val="004B4BFB"/>
    <w:rsid w:val="004B4C06"/>
    <w:rsid w:val="004B4C17"/>
    <w:rsid w:val="004B4C1E"/>
    <w:rsid w:val="004B4C1F"/>
    <w:rsid w:val="004B4C34"/>
    <w:rsid w:val="004B4C62"/>
    <w:rsid w:val="004B4C77"/>
    <w:rsid w:val="004B4C85"/>
    <w:rsid w:val="004B4CB5"/>
    <w:rsid w:val="004B4CCC"/>
    <w:rsid w:val="004B4CD0"/>
    <w:rsid w:val="004B4D09"/>
    <w:rsid w:val="004B4D12"/>
    <w:rsid w:val="004B4D1F"/>
    <w:rsid w:val="004B4D22"/>
    <w:rsid w:val="004B4D4F"/>
    <w:rsid w:val="004B4D51"/>
    <w:rsid w:val="004B4DAD"/>
    <w:rsid w:val="004B4DBD"/>
    <w:rsid w:val="004B4DEC"/>
    <w:rsid w:val="004B4E0D"/>
    <w:rsid w:val="004B4E4E"/>
    <w:rsid w:val="004B4E76"/>
    <w:rsid w:val="004B4EB4"/>
    <w:rsid w:val="004B4ED4"/>
    <w:rsid w:val="004B4EDD"/>
    <w:rsid w:val="004B4F34"/>
    <w:rsid w:val="004B4F45"/>
    <w:rsid w:val="004B4F56"/>
    <w:rsid w:val="004B4F6D"/>
    <w:rsid w:val="004B4F80"/>
    <w:rsid w:val="004B4F92"/>
    <w:rsid w:val="004B4F96"/>
    <w:rsid w:val="004B4FAA"/>
    <w:rsid w:val="004B5064"/>
    <w:rsid w:val="004B508B"/>
    <w:rsid w:val="004B508D"/>
    <w:rsid w:val="004B50A2"/>
    <w:rsid w:val="004B50E2"/>
    <w:rsid w:val="004B50EE"/>
    <w:rsid w:val="004B5187"/>
    <w:rsid w:val="004B5195"/>
    <w:rsid w:val="004B51CD"/>
    <w:rsid w:val="004B51D4"/>
    <w:rsid w:val="004B51E1"/>
    <w:rsid w:val="004B5219"/>
    <w:rsid w:val="004B524B"/>
    <w:rsid w:val="004B5268"/>
    <w:rsid w:val="004B531A"/>
    <w:rsid w:val="004B533A"/>
    <w:rsid w:val="004B535B"/>
    <w:rsid w:val="004B537B"/>
    <w:rsid w:val="004B53B5"/>
    <w:rsid w:val="004B53B7"/>
    <w:rsid w:val="004B53C0"/>
    <w:rsid w:val="004B53D8"/>
    <w:rsid w:val="004B53EA"/>
    <w:rsid w:val="004B53F1"/>
    <w:rsid w:val="004B53FA"/>
    <w:rsid w:val="004B541C"/>
    <w:rsid w:val="004B5429"/>
    <w:rsid w:val="004B545F"/>
    <w:rsid w:val="004B5502"/>
    <w:rsid w:val="004B5509"/>
    <w:rsid w:val="004B5514"/>
    <w:rsid w:val="004B5550"/>
    <w:rsid w:val="004B5564"/>
    <w:rsid w:val="004B5570"/>
    <w:rsid w:val="004B557C"/>
    <w:rsid w:val="004B55AA"/>
    <w:rsid w:val="004B55BE"/>
    <w:rsid w:val="004B55CB"/>
    <w:rsid w:val="004B55D6"/>
    <w:rsid w:val="004B5608"/>
    <w:rsid w:val="004B5609"/>
    <w:rsid w:val="004B563D"/>
    <w:rsid w:val="004B565E"/>
    <w:rsid w:val="004B5665"/>
    <w:rsid w:val="004B5669"/>
    <w:rsid w:val="004B5688"/>
    <w:rsid w:val="004B56A8"/>
    <w:rsid w:val="004B56E1"/>
    <w:rsid w:val="004B576D"/>
    <w:rsid w:val="004B5770"/>
    <w:rsid w:val="004B5783"/>
    <w:rsid w:val="004B57DD"/>
    <w:rsid w:val="004B581E"/>
    <w:rsid w:val="004B584B"/>
    <w:rsid w:val="004B587A"/>
    <w:rsid w:val="004B58C0"/>
    <w:rsid w:val="004B58C4"/>
    <w:rsid w:val="004B5912"/>
    <w:rsid w:val="004B5927"/>
    <w:rsid w:val="004B596B"/>
    <w:rsid w:val="004B5987"/>
    <w:rsid w:val="004B59D1"/>
    <w:rsid w:val="004B5A05"/>
    <w:rsid w:val="004B5A17"/>
    <w:rsid w:val="004B5A1E"/>
    <w:rsid w:val="004B5A22"/>
    <w:rsid w:val="004B5A9D"/>
    <w:rsid w:val="004B5ADF"/>
    <w:rsid w:val="004B5B34"/>
    <w:rsid w:val="004B5B58"/>
    <w:rsid w:val="004B5B87"/>
    <w:rsid w:val="004B5B95"/>
    <w:rsid w:val="004B5BF4"/>
    <w:rsid w:val="004B5C1B"/>
    <w:rsid w:val="004B5C21"/>
    <w:rsid w:val="004B5C3D"/>
    <w:rsid w:val="004B5C55"/>
    <w:rsid w:val="004B5C5A"/>
    <w:rsid w:val="004B5C6D"/>
    <w:rsid w:val="004B5C72"/>
    <w:rsid w:val="004B5CB9"/>
    <w:rsid w:val="004B5CC1"/>
    <w:rsid w:val="004B5CC7"/>
    <w:rsid w:val="004B5CFA"/>
    <w:rsid w:val="004B5D00"/>
    <w:rsid w:val="004B5D19"/>
    <w:rsid w:val="004B5D3B"/>
    <w:rsid w:val="004B5D43"/>
    <w:rsid w:val="004B5D44"/>
    <w:rsid w:val="004B5D55"/>
    <w:rsid w:val="004B5D94"/>
    <w:rsid w:val="004B5D95"/>
    <w:rsid w:val="004B5DBA"/>
    <w:rsid w:val="004B5DFB"/>
    <w:rsid w:val="004B5E00"/>
    <w:rsid w:val="004B5E0D"/>
    <w:rsid w:val="004B5E64"/>
    <w:rsid w:val="004B5E84"/>
    <w:rsid w:val="004B5E8E"/>
    <w:rsid w:val="004B5E9A"/>
    <w:rsid w:val="004B5F0E"/>
    <w:rsid w:val="004B5F9C"/>
    <w:rsid w:val="004B5FA7"/>
    <w:rsid w:val="004B5FB1"/>
    <w:rsid w:val="004B5FE5"/>
    <w:rsid w:val="004B6028"/>
    <w:rsid w:val="004B604B"/>
    <w:rsid w:val="004B6054"/>
    <w:rsid w:val="004B6058"/>
    <w:rsid w:val="004B6092"/>
    <w:rsid w:val="004B60C2"/>
    <w:rsid w:val="004B60EA"/>
    <w:rsid w:val="004B6101"/>
    <w:rsid w:val="004B61A9"/>
    <w:rsid w:val="004B61BF"/>
    <w:rsid w:val="004B61CE"/>
    <w:rsid w:val="004B6207"/>
    <w:rsid w:val="004B625C"/>
    <w:rsid w:val="004B628E"/>
    <w:rsid w:val="004B62B2"/>
    <w:rsid w:val="004B62C8"/>
    <w:rsid w:val="004B62F3"/>
    <w:rsid w:val="004B632D"/>
    <w:rsid w:val="004B633A"/>
    <w:rsid w:val="004B6362"/>
    <w:rsid w:val="004B636C"/>
    <w:rsid w:val="004B6381"/>
    <w:rsid w:val="004B6393"/>
    <w:rsid w:val="004B63B1"/>
    <w:rsid w:val="004B63C3"/>
    <w:rsid w:val="004B63D3"/>
    <w:rsid w:val="004B6416"/>
    <w:rsid w:val="004B6432"/>
    <w:rsid w:val="004B6482"/>
    <w:rsid w:val="004B6499"/>
    <w:rsid w:val="004B64B8"/>
    <w:rsid w:val="004B6509"/>
    <w:rsid w:val="004B657F"/>
    <w:rsid w:val="004B6593"/>
    <w:rsid w:val="004B65A0"/>
    <w:rsid w:val="004B65BC"/>
    <w:rsid w:val="004B65C3"/>
    <w:rsid w:val="004B65EF"/>
    <w:rsid w:val="004B65F7"/>
    <w:rsid w:val="004B65FD"/>
    <w:rsid w:val="004B6601"/>
    <w:rsid w:val="004B6622"/>
    <w:rsid w:val="004B665B"/>
    <w:rsid w:val="004B6676"/>
    <w:rsid w:val="004B66E2"/>
    <w:rsid w:val="004B672F"/>
    <w:rsid w:val="004B6751"/>
    <w:rsid w:val="004B675C"/>
    <w:rsid w:val="004B675D"/>
    <w:rsid w:val="004B67B8"/>
    <w:rsid w:val="004B67D4"/>
    <w:rsid w:val="004B6814"/>
    <w:rsid w:val="004B6815"/>
    <w:rsid w:val="004B6877"/>
    <w:rsid w:val="004B6894"/>
    <w:rsid w:val="004B68CD"/>
    <w:rsid w:val="004B68D7"/>
    <w:rsid w:val="004B6919"/>
    <w:rsid w:val="004B6945"/>
    <w:rsid w:val="004B69B3"/>
    <w:rsid w:val="004B6A39"/>
    <w:rsid w:val="004B6A8C"/>
    <w:rsid w:val="004B6A91"/>
    <w:rsid w:val="004B6A97"/>
    <w:rsid w:val="004B6AAA"/>
    <w:rsid w:val="004B6ABB"/>
    <w:rsid w:val="004B6AD2"/>
    <w:rsid w:val="004B6B1E"/>
    <w:rsid w:val="004B6B2E"/>
    <w:rsid w:val="004B6B63"/>
    <w:rsid w:val="004B6B95"/>
    <w:rsid w:val="004B6B9A"/>
    <w:rsid w:val="004B6BF1"/>
    <w:rsid w:val="004B6BF8"/>
    <w:rsid w:val="004B6C02"/>
    <w:rsid w:val="004B6C33"/>
    <w:rsid w:val="004B6C71"/>
    <w:rsid w:val="004B6C83"/>
    <w:rsid w:val="004B6CC0"/>
    <w:rsid w:val="004B6D15"/>
    <w:rsid w:val="004B6D21"/>
    <w:rsid w:val="004B6D3F"/>
    <w:rsid w:val="004B6D47"/>
    <w:rsid w:val="004B6D56"/>
    <w:rsid w:val="004B6D60"/>
    <w:rsid w:val="004B6D71"/>
    <w:rsid w:val="004B6D86"/>
    <w:rsid w:val="004B6DA0"/>
    <w:rsid w:val="004B6DB8"/>
    <w:rsid w:val="004B6DF2"/>
    <w:rsid w:val="004B6E23"/>
    <w:rsid w:val="004B6EA0"/>
    <w:rsid w:val="004B6EB2"/>
    <w:rsid w:val="004B6F9C"/>
    <w:rsid w:val="004B6FB6"/>
    <w:rsid w:val="004B6FC6"/>
    <w:rsid w:val="004B6FDA"/>
    <w:rsid w:val="004B6FDF"/>
    <w:rsid w:val="004B6FF5"/>
    <w:rsid w:val="004B7000"/>
    <w:rsid w:val="004B7092"/>
    <w:rsid w:val="004B70D6"/>
    <w:rsid w:val="004B712A"/>
    <w:rsid w:val="004B715B"/>
    <w:rsid w:val="004B719A"/>
    <w:rsid w:val="004B719F"/>
    <w:rsid w:val="004B71F1"/>
    <w:rsid w:val="004B71FB"/>
    <w:rsid w:val="004B726B"/>
    <w:rsid w:val="004B72AA"/>
    <w:rsid w:val="004B72CA"/>
    <w:rsid w:val="004B72E1"/>
    <w:rsid w:val="004B72F1"/>
    <w:rsid w:val="004B730F"/>
    <w:rsid w:val="004B7343"/>
    <w:rsid w:val="004B7375"/>
    <w:rsid w:val="004B739C"/>
    <w:rsid w:val="004B73A3"/>
    <w:rsid w:val="004B73A7"/>
    <w:rsid w:val="004B73B4"/>
    <w:rsid w:val="004B73B7"/>
    <w:rsid w:val="004B73D9"/>
    <w:rsid w:val="004B7446"/>
    <w:rsid w:val="004B7482"/>
    <w:rsid w:val="004B74A4"/>
    <w:rsid w:val="004B74C0"/>
    <w:rsid w:val="004B74C7"/>
    <w:rsid w:val="004B74E1"/>
    <w:rsid w:val="004B74E8"/>
    <w:rsid w:val="004B7518"/>
    <w:rsid w:val="004B752A"/>
    <w:rsid w:val="004B7555"/>
    <w:rsid w:val="004B759F"/>
    <w:rsid w:val="004B75AC"/>
    <w:rsid w:val="004B75E0"/>
    <w:rsid w:val="004B75F3"/>
    <w:rsid w:val="004B761F"/>
    <w:rsid w:val="004B766E"/>
    <w:rsid w:val="004B76D0"/>
    <w:rsid w:val="004B76E9"/>
    <w:rsid w:val="004B7759"/>
    <w:rsid w:val="004B776E"/>
    <w:rsid w:val="004B7797"/>
    <w:rsid w:val="004B77B6"/>
    <w:rsid w:val="004B77D4"/>
    <w:rsid w:val="004B77DD"/>
    <w:rsid w:val="004B7846"/>
    <w:rsid w:val="004B7852"/>
    <w:rsid w:val="004B7878"/>
    <w:rsid w:val="004B78B3"/>
    <w:rsid w:val="004B78BD"/>
    <w:rsid w:val="004B78F4"/>
    <w:rsid w:val="004B78FC"/>
    <w:rsid w:val="004B790E"/>
    <w:rsid w:val="004B7972"/>
    <w:rsid w:val="004B79A7"/>
    <w:rsid w:val="004B79A8"/>
    <w:rsid w:val="004B79FF"/>
    <w:rsid w:val="004B7A0C"/>
    <w:rsid w:val="004B7A48"/>
    <w:rsid w:val="004B7A67"/>
    <w:rsid w:val="004B7AC1"/>
    <w:rsid w:val="004B7B03"/>
    <w:rsid w:val="004B7B1F"/>
    <w:rsid w:val="004B7B28"/>
    <w:rsid w:val="004B7B60"/>
    <w:rsid w:val="004B7B76"/>
    <w:rsid w:val="004B7B8A"/>
    <w:rsid w:val="004B7BDB"/>
    <w:rsid w:val="004B7BF7"/>
    <w:rsid w:val="004B7C07"/>
    <w:rsid w:val="004B7C30"/>
    <w:rsid w:val="004B7CBA"/>
    <w:rsid w:val="004B7CBC"/>
    <w:rsid w:val="004B7D2D"/>
    <w:rsid w:val="004B7D32"/>
    <w:rsid w:val="004B7D33"/>
    <w:rsid w:val="004B7D71"/>
    <w:rsid w:val="004B7D9D"/>
    <w:rsid w:val="004B7DED"/>
    <w:rsid w:val="004B7E11"/>
    <w:rsid w:val="004B7E20"/>
    <w:rsid w:val="004B7E2A"/>
    <w:rsid w:val="004B7E32"/>
    <w:rsid w:val="004B7E3B"/>
    <w:rsid w:val="004B7E57"/>
    <w:rsid w:val="004B7E59"/>
    <w:rsid w:val="004B7E62"/>
    <w:rsid w:val="004B7E7D"/>
    <w:rsid w:val="004B7E8D"/>
    <w:rsid w:val="004B7EA6"/>
    <w:rsid w:val="004B7EC2"/>
    <w:rsid w:val="004B7EC7"/>
    <w:rsid w:val="004B7F2F"/>
    <w:rsid w:val="004B7F33"/>
    <w:rsid w:val="004B7F50"/>
    <w:rsid w:val="004B7F81"/>
    <w:rsid w:val="004B7FB7"/>
    <w:rsid w:val="004B7FD3"/>
    <w:rsid w:val="004B7FFA"/>
    <w:rsid w:val="004BE9A3"/>
    <w:rsid w:val="004C0021"/>
    <w:rsid w:val="004C0070"/>
    <w:rsid w:val="004C00F8"/>
    <w:rsid w:val="004C010C"/>
    <w:rsid w:val="004C0111"/>
    <w:rsid w:val="004C011D"/>
    <w:rsid w:val="004C01AB"/>
    <w:rsid w:val="004C01FD"/>
    <w:rsid w:val="004C0216"/>
    <w:rsid w:val="004C0219"/>
    <w:rsid w:val="004C025E"/>
    <w:rsid w:val="004C02BB"/>
    <w:rsid w:val="004C02BD"/>
    <w:rsid w:val="004C02F0"/>
    <w:rsid w:val="004C02FF"/>
    <w:rsid w:val="004C030F"/>
    <w:rsid w:val="004C031E"/>
    <w:rsid w:val="004C0324"/>
    <w:rsid w:val="004C033A"/>
    <w:rsid w:val="004C035F"/>
    <w:rsid w:val="004C037B"/>
    <w:rsid w:val="004C0394"/>
    <w:rsid w:val="004C03D8"/>
    <w:rsid w:val="004C0437"/>
    <w:rsid w:val="004C0498"/>
    <w:rsid w:val="004C04F1"/>
    <w:rsid w:val="004C0507"/>
    <w:rsid w:val="004C0511"/>
    <w:rsid w:val="004C0524"/>
    <w:rsid w:val="004C0529"/>
    <w:rsid w:val="004C0547"/>
    <w:rsid w:val="004C0549"/>
    <w:rsid w:val="004C0579"/>
    <w:rsid w:val="004C05B8"/>
    <w:rsid w:val="004C05CD"/>
    <w:rsid w:val="004C0603"/>
    <w:rsid w:val="004C061E"/>
    <w:rsid w:val="004C0634"/>
    <w:rsid w:val="004C06B2"/>
    <w:rsid w:val="004C0707"/>
    <w:rsid w:val="004C0708"/>
    <w:rsid w:val="004C0742"/>
    <w:rsid w:val="004C074C"/>
    <w:rsid w:val="004C07B9"/>
    <w:rsid w:val="004C07BC"/>
    <w:rsid w:val="004C0802"/>
    <w:rsid w:val="004C081F"/>
    <w:rsid w:val="004C0886"/>
    <w:rsid w:val="004C092A"/>
    <w:rsid w:val="004C094C"/>
    <w:rsid w:val="004C094D"/>
    <w:rsid w:val="004C09E2"/>
    <w:rsid w:val="004C09F1"/>
    <w:rsid w:val="004C09F6"/>
    <w:rsid w:val="004C0A51"/>
    <w:rsid w:val="004C0A5C"/>
    <w:rsid w:val="004C0A78"/>
    <w:rsid w:val="004C0A9D"/>
    <w:rsid w:val="004C0AC6"/>
    <w:rsid w:val="004C0ADA"/>
    <w:rsid w:val="004C0AF1"/>
    <w:rsid w:val="004C0B0D"/>
    <w:rsid w:val="004C0B31"/>
    <w:rsid w:val="004C0B33"/>
    <w:rsid w:val="004C0B4E"/>
    <w:rsid w:val="004C0B65"/>
    <w:rsid w:val="004C0BDC"/>
    <w:rsid w:val="004C0BE0"/>
    <w:rsid w:val="004C0BEF"/>
    <w:rsid w:val="004C0C0B"/>
    <w:rsid w:val="004C0C4B"/>
    <w:rsid w:val="004C0C4E"/>
    <w:rsid w:val="004C0C69"/>
    <w:rsid w:val="004C0CAE"/>
    <w:rsid w:val="004C0CB3"/>
    <w:rsid w:val="004C0CB9"/>
    <w:rsid w:val="004C0CBD"/>
    <w:rsid w:val="004C0CC1"/>
    <w:rsid w:val="004C0D0E"/>
    <w:rsid w:val="004C0D1B"/>
    <w:rsid w:val="004C0D1D"/>
    <w:rsid w:val="004C0D31"/>
    <w:rsid w:val="004C0D5C"/>
    <w:rsid w:val="004C0D6D"/>
    <w:rsid w:val="004C0D84"/>
    <w:rsid w:val="004C0DAA"/>
    <w:rsid w:val="004C0DB7"/>
    <w:rsid w:val="004C0DED"/>
    <w:rsid w:val="004C0DFC"/>
    <w:rsid w:val="004C0E1B"/>
    <w:rsid w:val="004C0E51"/>
    <w:rsid w:val="004C0E5B"/>
    <w:rsid w:val="004C0E7B"/>
    <w:rsid w:val="004C0E7E"/>
    <w:rsid w:val="004C0E92"/>
    <w:rsid w:val="004C0EAC"/>
    <w:rsid w:val="004C0EDF"/>
    <w:rsid w:val="004C0F01"/>
    <w:rsid w:val="004C0F9B"/>
    <w:rsid w:val="004C0FA3"/>
    <w:rsid w:val="004C0FAC"/>
    <w:rsid w:val="004C0FF3"/>
    <w:rsid w:val="004C0FFF"/>
    <w:rsid w:val="004C1006"/>
    <w:rsid w:val="004C1019"/>
    <w:rsid w:val="004C1035"/>
    <w:rsid w:val="004C105C"/>
    <w:rsid w:val="004C10A7"/>
    <w:rsid w:val="004C10D3"/>
    <w:rsid w:val="004C10DC"/>
    <w:rsid w:val="004C1104"/>
    <w:rsid w:val="004C111E"/>
    <w:rsid w:val="004C1150"/>
    <w:rsid w:val="004C119C"/>
    <w:rsid w:val="004C11B1"/>
    <w:rsid w:val="004C1205"/>
    <w:rsid w:val="004C1206"/>
    <w:rsid w:val="004C1217"/>
    <w:rsid w:val="004C1247"/>
    <w:rsid w:val="004C1287"/>
    <w:rsid w:val="004C129D"/>
    <w:rsid w:val="004C12B0"/>
    <w:rsid w:val="004C12E6"/>
    <w:rsid w:val="004C1304"/>
    <w:rsid w:val="004C1327"/>
    <w:rsid w:val="004C13AD"/>
    <w:rsid w:val="004C141F"/>
    <w:rsid w:val="004C1444"/>
    <w:rsid w:val="004C145E"/>
    <w:rsid w:val="004C1484"/>
    <w:rsid w:val="004C14AF"/>
    <w:rsid w:val="004C14C6"/>
    <w:rsid w:val="004C14C9"/>
    <w:rsid w:val="004C1504"/>
    <w:rsid w:val="004C1511"/>
    <w:rsid w:val="004C1527"/>
    <w:rsid w:val="004C1540"/>
    <w:rsid w:val="004C155E"/>
    <w:rsid w:val="004C1597"/>
    <w:rsid w:val="004C15AD"/>
    <w:rsid w:val="004C15D5"/>
    <w:rsid w:val="004C15E6"/>
    <w:rsid w:val="004C1614"/>
    <w:rsid w:val="004C1643"/>
    <w:rsid w:val="004C1662"/>
    <w:rsid w:val="004C166F"/>
    <w:rsid w:val="004C1670"/>
    <w:rsid w:val="004C1694"/>
    <w:rsid w:val="004C1702"/>
    <w:rsid w:val="004C172D"/>
    <w:rsid w:val="004C1756"/>
    <w:rsid w:val="004C17BB"/>
    <w:rsid w:val="004C17D3"/>
    <w:rsid w:val="004C17DB"/>
    <w:rsid w:val="004C1817"/>
    <w:rsid w:val="004C1843"/>
    <w:rsid w:val="004C1847"/>
    <w:rsid w:val="004C1875"/>
    <w:rsid w:val="004C18D4"/>
    <w:rsid w:val="004C18F2"/>
    <w:rsid w:val="004C18FB"/>
    <w:rsid w:val="004C1928"/>
    <w:rsid w:val="004C1937"/>
    <w:rsid w:val="004C1947"/>
    <w:rsid w:val="004C1952"/>
    <w:rsid w:val="004C1958"/>
    <w:rsid w:val="004C1959"/>
    <w:rsid w:val="004C198A"/>
    <w:rsid w:val="004C198C"/>
    <w:rsid w:val="004C19B6"/>
    <w:rsid w:val="004C19CD"/>
    <w:rsid w:val="004C19E0"/>
    <w:rsid w:val="004C19E7"/>
    <w:rsid w:val="004C19FD"/>
    <w:rsid w:val="004C1A4D"/>
    <w:rsid w:val="004C1A89"/>
    <w:rsid w:val="004C1A8B"/>
    <w:rsid w:val="004C1AC2"/>
    <w:rsid w:val="004C1AFC"/>
    <w:rsid w:val="004C1B43"/>
    <w:rsid w:val="004C1B88"/>
    <w:rsid w:val="004C1BAF"/>
    <w:rsid w:val="004C1BBA"/>
    <w:rsid w:val="004C1BC6"/>
    <w:rsid w:val="004C1BE7"/>
    <w:rsid w:val="004C1C18"/>
    <w:rsid w:val="004C1C1E"/>
    <w:rsid w:val="004C1C21"/>
    <w:rsid w:val="004C1C40"/>
    <w:rsid w:val="004C1C4C"/>
    <w:rsid w:val="004C1CF1"/>
    <w:rsid w:val="004C1CFA"/>
    <w:rsid w:val="004C1D1A"/>
    <w:rsid w:val="004C1D1D"/>
    <w:rsid w:val="004C1D9A"/>
    <w:rsid w:val="004C1DAF"/>
    <w:rsid w:val="004C1DB4"/>
    <w:rsid w:val="004C1DBF"/>
    <w:rsid w:val="004C1E38"/>
    <w:rsid w:val="004C1E94"/>
    <w:rsid w:val="004C1EBB"/>
    <w:rsid w:val="004C1EBE"/>
    <w:rsid w:val="004C1EC3"/>
    <w:rsid w:val="004C1F26"/>
    <w:rsid w:val="004C1F49"/>
    <w:rsid w:val="004C1FA9"/>
    <w:rsid w:val="004C1FB7"/>
    <w:rsid w:val="004C1FD9"/>
    <w:rsid w:val="004C1FDD"/>
    <w:rsid w:val="004C200C"/>
    <w:rsid w:val="004C201D"/>
    <w:rsid w:val="004C2035"/>
    <w:rsid w:val="004C2070"/>
    <w:rsid w:val="004C2095"/>
    <w:rsid w:val="004C20EC"/>
    <w:rsid w:val="004C2157"/>
    <w:rsid w:val="004C21BC"/>
    <w:rsid w:val="004C223E"/>
    <w:rsid w:val="004C225A"/>
    <w:rsid w:val="004C2270"/>
    <w:rsid w:val="004C2281"/>
    <w:rsid w:val="004C228F"/>
    <w:rsid w:val="004C22A6"/>
    <w:rsid w:val="004C22C2"/>
    <w:rsid w:val="004C22C6"/>
    <w:rsid w:val="004C22D8"/>
    <w:rsid w:val="004C2306"/>
    <w:rsid w:val="004C2348"/>
    <w:rsid w:val="004C2359"/>
    <w:rsid w:val="004C235C"/>
    <w:rsid w:val="004C23D7"/>
    <w:rsid w:val="004C23D9"/>
    <w:rsid w:val="004C241E"/>
    <w:rsid w:val="004C2433"/>
    <w:rsid w:val="004C24A9"/>
    <w:rsid w:val="004C24BB"/>
    <w:rsid w:val="004C24CF"/>
    <w:rsid w:val="004C24EE"/>
    <w:rsid w:val="004C250E"/>
    <w:rsid w:val="004C252A"/>
    <w:rsid w:val="004C255E"/>
    <w:rsid w:val="004C2583"/>
    <w:rsid w:val="004C2611"/>
    <w:rsid w:val="004C263A"/>
    <w:rsid w:val="004C265E"/>
    <w:rsid w:val="004C2682"/>
    <w:rsid w:val="004C2698"/>
    <w:rsid w:val="004C26A0"/>
    <w:rsid w:val="004C26C0"/>
    <w:rsid w:val="004C26C7"/>
    <w:rsid w:val="004C26D3"/>
    <w:rsid w:val="004C26ED"/>
    <w:rsid w:val="004C2735"/>
    <w:rsid w:val="004C276C"/>
    <w:rsid w:val="004C279D"/>
    <w:rsid w:val="004C280B"/>
    <w:rsid w:val="004C2856"/>
    <w:rsid w:val="004C288D"/>
    <w:rsid w:val="004C28AD"/>
    <w:rsid w:val="004C28C0"/>
    <w:rsid w:val="004C2901"/>
    <w:rsid w:val="004C2907"/>
    <w:rsid w:val="004C292A"/>
    <w:rsid w:val="004C29C1"/>
    <w:rsid w:val="004C29E0"/>
    <w:rsid w:val="004C2A16"/>
    <w:rsid w:val="004C2A1B"/>
    <w:rsid w:val="004C2A4C"/>
    <w:rsid w:val="004C2A6B"/>
    <w:rsid w:val="004C2A7C"/>
    <w:rsid w:val="004C2A9F"/>
    <w:rsid w:val="004C2AA1"/>
    <w:rsid w:val="004C2ADA"/>
    <w:rsid w:val="004C2AFD"/>
    <w:rsid w:val="004C2B1A"/>
    <w:rsid w:val="004C2B30"/>
    <w:rsid w:val="004C2B48"/>
    <w:rsid w:val="004C2B72"/>
    <w:rsid w:val="004C2BAF"/>
    <w:rsid w:val="004C2BB3"/>
    <w:rsid w:val="004C2BD8"/>
    <w:rsid w:val="004C2BE6"/>
    <w:rsid w:val="004C2BF6"/>
    <w:rsid w:val="004C2C01"/>
    <w:rsid w:val="004C2CE5"/>
    <w:rsid w:val="004C2D2F"/>
    <w:rsid w:val="004C2D36"/>
    <w:rsid w:val="004C2D6C"/>
    <w:rsid w:val="004C2DA6"/>
    <w:rsid w:val="004C2DF0"/>
    <w:rsid w:val="004C2DFF"/>
    <w:rsid w:val="004C2E51"/>
    <w:rsid w:val="004C2E87"/>
    <w:rsid w:val="004C2E91"/>
    <w:rsid w:val="004C2EA2"/>
    <w:rsid w:val="004C2EA9"/>
    <w:rsid w:val="004C2ECC"/>
    <w:rsid w:val="004C2F13"/>
    <w:rsid w:val="004C2F32"/>
    <w:rsid w:val="004C2F3E"/>
    <w:rsid w:val="004C2F49"/>
    <w:rsid w:val="004C2F4A"/>
    <w:rsid w:val="004C2F4E"/>
    <w:rsid w:val="004C2FC5"/>
    <w:rsid w:val="004C2FD1"/>
    <w:rsid w:val="004C2FED"/>
    <w:rsid w:val="004C2FF0"/>
    <w:rsid w:val="004C3010"/>
    <w:rsid w:val="004C30CB"/>
    <w:rsid w:val="004C30F8"/>
    <w:rsid w:val="004C3130"/>
    <w:rsid w:val="004C3139"/>
    <w:rsid w:val="004C3169"/>
    <w:rsid w:val="004C3199"/>
    <w:rsid w:val="004C31D9"/>
    <w:rsid w:val="004C3218"/>
    <w:rsid w:val="004C3219"/>
    <w:rsid w:val="004C323A"/>
    <w:rsid w:val="004C3270"/>
    <w:rsid w:val="004C32B0"/>
    <w:rsid w:val="004C3307"/>
    <w:rsid w:val="004C3357"/>
    <w:rsid w:val="004C336B"/>
    <w:rsid w:val="004C336D"/>
    <w:rsid w:val="004C33B8"/>
    <w:rsid w:val="004C33BD"/>
    <w:rsid w:val="004C33D9"/>
    <w:rsid w:val="004C3479"/>
    <w:rsid w:val="004C34BA"/>
    <w:rsid w:val="004C34DE"/>
    <w:rsid w:val="004C34E8"/>
    <w:rsid w:val="004C34F6"/>
    <w:rsid w:val="004C3533"/>
    <w:rsid w:val="004C356E"/>
    <w:rsid w:val="004C3573"/>
    <w:rsid w:val="004C3595"/>
    <w:rsid w:val="004C35EA"/>
    <w:rsid w:val="004C35EB"/>
    <w:rsid w:val="004C3602"/>
    <w:rsid w:val="004C3633"/>
    <w:rsid w:val="004C3689"/>
    <w:rsid w:val="004C36C8"/>
    <w:rsid w:val="004C36DC"/>
    <w:rsid w:val="004C36EA"/>
    <w:rsid w:val="004C36F5"/>
    <w:rsid w:val="004C372B"/>
    <w:rsid w:val="004C375D"/>
    <w:rsid w:val="004C378F"/>
    <w:rsid w:val="004C37AB"/>
    <w:rsid w:val="004C37AD"/>
    <w:rsid w:val="004C37C3"/>
    <w:rsid w:val="004C37DC"/>
    <w:rsid w:val="004C37F4"/>
    <w:rsid w:val="004C3813"/>
    <w:rsid w:val="004C389B"/>
    <w:rsid w:val="004C38CD"/>
    <w:rsid w:val="004C38DC"/>
    <w:rsid w:val="004C38E2"/>
    <w:rsid w:val="004C38FD"/>
    <w:rsid w:val="004C3922"/>
    <w:rsid w:val="004C3923"/>
    <w:rsid w:val="004C3998"/>
    <w:rsid w:val="004C39A8"/>
    <w:rsid w:val="004C39B4"/>
    <w:rsid w:val="004C39D1"/>
    <w:rsid w:val="004C3A0D"/>
    <w:rsid w:val="004C3A16"/>
    <w:rsid w:val="004C3A5F"/>
    <w:rsid w:val="004C3A75"/>
    <w:rsid w:val="004C3A77"/>
    <w:rsid w:val="004C3A9A"/>
    <w:rsid w:val="004C3ABB"/>
    <w:rsid w:val="004C3B17"/>
    <w:rsid w:val="004C3B4D"/>
    <w:rsid w:val="004C3B61"/>
    <w:rsid w:val="004C3B79"/>
    <w:rsid w:val="004C3B7B"/>
    <w:rsid w:val="004C3B81"/>
    <w:rsid w:val="004C3BAB"/>
    <w:rsid w:val="004C3BCC"/>
    <w:rsid w:val="004C3BD3"/>
    <w:rsid w:val="004C3BEB"/>
    <w:rsid w:val="004C3BF6"/>
    <w:rsid w:val="004C3C7B"/>
    <w:rsid w:val="004C3CA3"/>
    <w:rsid w:val="004C3CBD"/>
    <w:rsid w:val="004C3CC2"/>
    <w:rsid w:val="004C3CF9"/>
    <w:rsid w:val="004C3D1E"/>
    <w:rsid w:val="004C3D31"/>
    <w:rsid w:val="004C3D3B"/>
    <w:rsid w:val="004C3D4D"/>
    <w:rsid w:val="004C3D8D"/>
    <w:rsid w:val="004C3DA3"/>
    <w:rsid w:val="004C3DB1"/>
    <w:rsid w:val="004C3DCC"/>
    <w:rsid w:val="004C3E16"/>
    <w:rsid w:val="004C3E27"/>
    <w:rsid w:val="004C3E30"/>
    <w:rsid w:val="004C3EBC"/>
    <w:rsid w:val="004C3F0B"/>
    <w:rsid w:val="004C3F11"/>
    <w:rsid w:val="004C3F83"/>
    <w:rsid w:val="004C3F88"/>
    <w:rsid w:val="004C3FCF"/>
    <w:rsid w:val="004C3FD8"/>
    <w:rsid w:val="004C4043"/>
    <w:rsid w:val="004C4086"/>
    <w:rsid w:val="004C4095"/>
    <w:rsid w:val="004C40B3"/>
    <w:rsid w:val="004C40E0"/>
    <w:rsid w:val="004C40EB"/>
    <w:rsid w:val="004C410E"/>
    <w:rsid w:val="004C410F"/>
    <w:rsid w:val="004C4132"/>
    <w:rsid w:val="004C419D"/>
    <w:rsid w:val="004C41CC"/>
    <w:rsid w:val="004C420B"/>
    <w:rsid w:val="004C4216"/>
    <w:rsid w:val="004C4235"/>
    <w:rsid w:val="004C4255"/>
    <w:rsid w:val="004C4256"/>
    <w:rsid w:val="004C428E"/>
    <w:rsid w:val="004C42F7"/>
    <w:rsid w:val="004C4326"/>
    <w:rsid w:val="004C4381"/>
    <w:rsid w:val="004C4386"/>
    <w:rsid w:val="004C43A9"/>
    <w:rsid w:val="004C43FA"/>
    <w:rsid w:val="004C4408"/>
    <w:rsid w:val="004C4410"/>
    <w:rsid w:val="004C4411"/>
    <w:rsid w:val="004C4431"/>
    <w:rsid w:val="004C4432"/>
    <w:rsid w:val="004C4443"/>
    <w:rsid w:val="004C4445"/>
    <w:rsid w:val="004C445F"/>
    <w:rsid w:val="004C4463"/>
    <w:rsid w:val="004C449E"/>
    <w:rsid w:val="004C44CC"/>
    <w:rsid w:val="004C44E6"/>
    <w:rsid w:val="004C4508"/>
    <w:rsid w:val="004C455D"/>
    <w:rsid w:val="004C4589"/>
    <w:rsid w:val="004C458E"/>
    <w:rsid w:val="004C459A"/>
    <w:rsid w:val="004C45B6"/>
    <w:rsid w:val="004C45ED"/>
    <w:rsid w:val="004C45FA"/>
    <w:rsid w:val="004C4616"/>
    <w:rsid w:val="004C4630"/>
    <w:rsid w:val="004C464B"/>
    <w:rsid w:val="004C46C0"/>
    <w:rsid w:val="004C46E6"/>
    <w:rsid w:val="004C46E9"/>
    <w:rsid w:val="004C4715"/>
    <w:rsid w:val="004C472C"/>
    <w:rsid w:val="004C4735"/>
    <w:rsid w:val="004C476B"/>
    <w:rsid w:val="004C4779"/>
    <w:rsid w:val="004C47A3"/>
    <w:rsid w:val="004C47DB"/>
    <w:rsid w:val="004C4803"/>
    <w:rsid w:val="004C4805"/>
    <w:rsid w:val="004C482F"/>
    <w:rsid w:val="004C4846"/>
    <w:rsid w:val="004C4879"/>
    <w:rsid w:val="004C48D7"/>
    <w:rsid w:val="004C4911"/>
    <w:rsid w:val="004C4914"/>
    <w:rsid w:val="004C4964"/>
    <w:rsid w:val="004C49A0"/>
    <w:rsid w:val="004C49A6"/>
    <w:rsid w:val="004C49ED"/>
    <w:rsid w:val="004C49EF"/>
    <w:rsid w:val="004C4A1F"/>
    <w:rsid w:val="004C4A26"/>
    <w:rsid w:val="004C4A4B"/>
    <w:rsid w:val="004C4A78"/>
    <w:rsid w:val="004C4AE8"/>
    <w:rsid w:val="004C4B04"/>
    <w:rsid w:val="004C4B82"/>
    <w:rsid w:val="004C4B87"/>
    <w:rsid w:val="004C4B97"/>
    <w:rsid w:val="004C4BE1"/>
    <w:rsid w:val="004C4BE7"/>
    <w:rsid w:val="004C4BF2"/>
    <w:rsid w:val="004C4BFB"/>
    <w:rsid w:val="004C4C19"/>
    <w:rsid w:val="004C4C62"/>
    <w:rsid w:val="004C4C9A"/>
    <w:rsid w:val="004C4CA4"/>
    <w:rsid w:val="004C4CB0"/>
    <w:rsid w:val="004C4CDF"/>
    <w:rsid w:val="004C4D4A"/>
    <w:rsid w:val="004C4D5D"/>
    <w:rsid w:val="004C4D79"/>
    <w:rsid w:val="004C4D7C"/>
    <w:rsid w:val="004C4DD3"/>
    <w:rsid w:val="004C4E50"/>
    <w:rsid w:val="004C4E56"/>
    <w:rsid w:val="004C4E77"/>
    <w:rsid w:val="004C4E7E"/>
    <w:rsid w:val="004C4EA5"/>
    <w:rsid w:val="004C4EEE"/>
    <w:rsid w:val="004C4F26"/>
    <w:rsid w:val="004C4F39"/>
    <w:rsid w:val="004C4F6E"/>
    <w:rsid w:val="004C4FC2"/>
    <w:rsid w:val="004C4FC7"/>
    <w:rsid w:val="004C4FF9"/>
    <w:rsid w:val="004C5039"/>
    <w:rsid w:val="004C50AB"/>
    <w:rsid w:val="004C5117"/>
    <w:rsid w:val="004C5196"/>
    <w:rsid w:val="004C51BD"/>
    <w:rsid w:val="004C51E1"/>
    <w:rsid w:val="004C5221"/>
    <w:rsid w:val="004C5229"/>
    <w:rsid w:val="004C5241"/>
    <w:rsid w:val="004C5244"/>
    <w:rsid w:val="004C5266"/>
    <w:rsid w:val="004C52B6"/>
    <w:rsid w:val="004C52DA"/>
    <w:rsid w:val="004C5334"/>
    <w:rsid w:val="004C5379"/>
    <w:rsid w:val="004C538E"/>
    <w:rsid w:val="004C5393"/>
    <w:rsid w:val="004C53CE"/>
    <w:rsid w:val="004C53D4"/>
    <w:rsid w:val="004C541A"/>
    <w:rsid w:val="004C5435"/>
    <w:rsid w:val="004C5449"/>
    <w:rsid w:val="004C5479"/>
    <w:rsid w:val="004C54A0"/>
    <w:rsid w:val="004C54A3"/>
    <w:rsid w:val="004C554E"/>
    <w:rsid w:val="004C5562"/>
    <w:rsid w:val="004C5571"/>
    <w:rsid w:val="004C55C5"/>
    <w:rsid w:val="004C55EA"/>
    <w:rsid w:val="004C560E"/>
    <w:rsid w:val="004C561D"/>
    <w:rsid w:val="004C5646"/>
    <w:rsid w:val="004C567B"/>
    <w:rsid w:val="004C56A1"/>
    <w:rsid w:val="004C56A7"/>
    <w:rsid w:val="004C56EF"/>
    <w:rsid w:val="004C5702"/>
    <w:rsid w:val="004C571E"/>
    <w:rsid w:val="004C573C"/>
    <w:rsid w:val="004C573D"/>
    <w:rsid w:val="004C574E"/>
    <w:rsid w:val="004C5787"/>
    <w:rsid w:val="004C57A1"/>
    <w:rsid w:val="004C5862"/>
    <w:rsid w:val="004C5907"/>
    <w:rsid w:val="004C5919"/>
    <w:rsid w:val="004C593B"/>
    <w:rsid w:val="004C594B"/>
    <w:rsid w:val="004C594E"/>
    <w:rsid w:val="004C5972"/>
    <w:rsid w:val="004C5A11"/>
    <w:rsid w:val="004C5A1F"/>
    <w:rsid w:val="004C5A54"/>
    <w:rsid w:val="004C5A77"/>
    <w:rsid w:val="004C5A8B"/>
    <w:rsid w:val="004C5B19"/>
    <w:rsid w:val="004C5B5D"/>
    <w:rsid w:val="004C5B74"/>
    <w:rsid w:val="004C5B78"/>
    <w:rsid w:val="004C5B79"/>
    <w:rsid w:val="004C5B81"/>
    <w:rsid w:val="004C5BB8"/>
    <w:rsid w:val="004C5BD6"/>
    <w:rsid w:val="004C5BED"/>
    <w:rsid w:val="004C5BF4"/>
    <w:rsid w:val="004C5BF6"/>
    <w:rsid w:val="004C5C09"/>
    <w:rsid w:val="004C5C35"/>
    <w:rsid w:val="004C5C43"/>
    <w:rsid w:val="004C5C44"/>
    <w:rsid w:val="004C5C7F"/>
    <w:rsid w:val="004C5CB5"/>
    <w:rsid w:val="004C5CF5"/>
    <w:rsid w:val="004C5D98"/>
    <w:rsid w:val="004C5DA6"/>
    <w:rsid w:val="004C5DB2"/>
    <w:rsid w:val="004C5DDD"/>
    <w:rsid w:val="004C5DDE"/>
    <w:rsid w:val="004C5DF2"/>
    <w:rsid w:val="004C5DF4"/>
    <w:rsid w:val="004C5DF9"/>
    <w:rsid w:val="004C5E10"/>
    <w:rsid w:val="004C5E11"/>
    <w:rsid w:val="004C5E25"/>
    <w:rsid w:val="004C5E3E"/>
    <w:rsid w:val="004C5E60"/>
    <w:rsid w:val="004C5E68"/>
    <w:rsid w:val="004C5E77"/>
    <w:rsid w:val="004C5EB9"/>
    <w:rsid w:val="004C5EDB"/>
    <w:rsid w:val="004C5EF8"/>
    <w:rsid w:val="004C5F22"/>
    <w:rsid w:val="004C5F2A"/>
    <w:rsid w:val="004C5F40"/>
    <w:rsid w:val="004C5FF2"/>
    <w:rsid w:val="004C6025"/>
    <w:rsid w:val="004C602E"/>
    <w:rsid w:val="004C6047"/>
    <w:rsid w:val="004C6074"/>
    <w:rsid w:val="004C60F2"/>
    <w:rsid w:val="004C6103"/>
    <w:rsid w:val="004C6119"/>
    <w:rsid w:val="004C61DD"/>
    <w:rsid w:val="004C620C"/>
    <w:rsid w:val="004C6212"/>
    <w:rsid w:val="004C6221"/>
    <w:rsid w:val="004C6229"/>
    <w:rsid w:val="004C62AE"/>
    <w:rsid w:val="004C62EA"/>
    <w:rsid w:val="004C6349"/>
    <w:rsid w:val="004C636A"/>
    <w:rsid w:val="004C6373"/>
    <w:rsid w:val="004C6389"/>
    <w:rsid w:val="004C641F"/>
    <w:rsid w:val="004C64CB"/>
    <w:rsid w:val="004C64CD"/>
    <w:rsid w:val="004C650C"/>
    <w:rsid w:val="004C6512"/>
    <w:rsid w:val="004C657F"/>
    <w:rsid w:val="004C6594"/>
    <w:rsid w:val="004C65AA"/>
    <w:rsid w:val="004C65C4"/>
    <w:rsid w:val="004C65E8"/>
    <w:rsid w:val="004C660B"/>
    <w:rsid w:val="004C6624"/>
    <w:rsid w:val="004C6637"/>
    <w:rsid w:val="004C6652"/>
    <w:rsid w:val="004C665A"/>
    <w:rsid w:val="004C6679"/>
    <w:rsid w:val="004C66D0"/>
    <w:rsid w:val="004C66E5"/>
    <w:rsid w:val="004C6731"/>
    <w:rsid w:val="004C6742"/>
    <w:rsid w:val="004C6747"/>
    <w:rsid w:val="004C6762"/>
    <w:rsid w:val="004C67E3"/>
    <w:rsid w:val="004C682E"/>
    <w:rsid w:val="004C6889"/>
    <w:rsid w:val="004C688E"/>
    <w:rsid w:val="004C68D9"/>
    <w:rsid w:val="004C6920"/>
    <w:rsid w:val="004C6963"/>
    <w:rsid w:val="004C6980"/>
    <w:rsid w:val="004C699A"/>
    <w:rsid w:val="004C69A3"/>
    <w:rsid w:val="004C69DC"/>
    <w:rsid w:val="004C6A0C"/>
    <w:rsid w:val="004C6A36"/>
    <w:rsid w:val="004C6A6C"/>
    <w:rsid w:val="004C6AD3"/>
    <w:rsid w:val="004C6B43"/>
    <w:rsid w:val="004C6B44"/>
    <w:rsid w:val="004C6B4E"/>
    <w:rsid w:val="004C6BB9"/>
    <w:rsid w:val="004C6BD0"/>
    <w:rsid w:val="004C6BDF"/>
    <w:rsid w:val="004C6BEB"/>
    <w:rsid w:val="004C6C18"/>
    <w:rsid w:val="004C6C27"/>
    <w:rsid w:val="004C6C58"/>
    <w:rsid w:val="004C6C59"/>
    <w:rsid w:val="004C6C70"/>
    <w:rsid w:val="004C6C73"/>
    <w:rsid w:val="004C6C7D"/>
    <w:rsid w:val="004C6D06"/>
    <w:rsid w:val="004C6D13"/>
    <w:rsid w:val="004C6D52"/>
    <w:rsid w:val="004C6D58"/>
    <w:rsid w:val="004C6D7B"/>
    <w:rsid w:val="004C6D87"/>
    <w:rsid w:val="004C6D8F"/>
    <w:rsid w:val="004C6DB1"/>
    <w:rsid w:val="004C6DC2"/>
    <w:rsid w:val="004C6E04"/>
    <w:rsid w:val="004C6E1D"/>
    <w:rsid w:val="004C6E20"/>
    <w:rsid w:val="004C6E2A"/>
    <w:rsid w:val="004C6EBD"/>
    <w:rsid w:val="004C6EBF"/>
    <w:rsid w:val="004C6ECF"/>
    <w:rsid w:val="004C6EE0"/>
    <w:rsid w:val="004C6EE6"/>
    <w:rsid w:val="004C6F07"/>
    <w:rsid w:val="004C6F29"/>
    <w:rsid w:val="004C6F3E"/>
    <w:rsid w:val="004C6FCC"/>
    <w:rsid w:val="004C6FE0"/>
    <w:rsid w:val="004C6FF6"/>
    <w:rsid w:val="004C7045"/>
    <w:rsid w:val="004C709C"/>
    <w:rsid w:val="004C70A0"/>
    <w:rsid w:val="004C70B0"/>
    <w:rsid w:val="004C70ED"/>
    <w:rsid w:val="004C70F0"/>
    <w:rsid w:val="004C710C"/>
    <w:rsid w:val="004C7110"/>
    <w:rsid w:val="004C7130"/>
    <w:rsid w:val="004C7136"/>
    <w:rsid w:val="004C7177"/>
    <w:rsid w:val="004C7185"/>
    <w:rsid w:val="004C7205"/>
    <w:rsid w:val="004C7211"/>
    <w:rsid w:val="004C723B"/>
    <w:rsid w:val="004C7253"/>
    <w:rsid w:val="004C72F3"/>
    <w:rsid w:val="004C735C"/>
    <w:rsid w:val="004C73F4"/>
    <w:rsid w:val="004C7423"/>
    <w:rsid w:val="004C7453"/>
    <w:rsid w:val="004C745C"/>
    <w:rsid w:val="004C747D"/>
    <w:rsid w:val="004C74AD"/>
    <w:rsid w:val="004C750E"/>
    <w:rsid w:val="004C7523"/>
    <w:rsid w:val="004C755F"/>
    <w:rsid w:val="004C75A1"/>
    <w:rsid w:val="004C75AC"/>
    <w:rsid w:val="004C75EA"/>
    <w:rsid w:val="004C75FE"/>
    <w:rsid w:val="004C763F"/>
    <w:rsid w:val="004C76A2"/>
    <w:rsid w:val="004C76B4"/>
    <w:rsid w:val="004C7761"/>
    <w:rsid w:val="004C7796"/>
    <w:rsid w:val="004C77A3"/>
    <w:rsid w:val="004C77AD"/>
    <w:rsid w:val="004C77AE"/>
    <w:rsid w:val="004C77B2"/>
    <w:rsid w:val="004C7821"/>
    <w:rsid w:val="004C7829"/>
    <w:rsid w:val="004C782A"/>
    <w:rsid w:val="004C782E"/>
    <w:rsid w:val="004C7875"/>
    <w:rsid w:val="004C7895"/>
    <w:rsid w:val="004C78BD"/>
    <w:rsid w:val="004C78E7"/>
    <w:rsid w:val="004C7914"/>
    <w:rsid w:val="004C793B"/>
    <w:rsid w:val="004C795B"/>
    <w:rsid w:val="004C7966"/>
    <w:rsid w:val="004C7970"/>
    <w:rsid w:val="004C79B4"/>
    <w:rsid w:val="004C79CD"/>
    <w:rsid w:val="004C79D4"/>
    <w:rsid w:val="004C79EF"/>
    <w:rsid w:val="004C7A46"/>
    <w:rsid w:val="004C7A70"/>
    <w:rsid w:val="004C7A9E"/>
    <w:rsid w:val="004C7AE7"/>
    <w:rsid w:val="004C7AE9"/>
    <w:rsid w:val="004C7AF2"/>
    <w:rsid w:val="004C7AF5"/>
    <w:rsid w:val="004C7AFF"/>
    <w:rsid w:val="004C7B0C"/>
    <w:rsid w:val="004C7B1E"/>
    <w:rsid w:val="004C7B7E"/>
    <w:rsid w:val="004C7B97"/>
    <w:rsid w:val="004C7BED"/>
    <w:rsid w:val="004C7BF3"/>
    <w:rsid w:val="004C7C2C"/>
    <w:rsid w:val="004C7C71"/>
    <w:rsid w:val="004C7CB9"/>
    <w:rsid w:val="004C7CD9"/>
    <w:rsid w:val="004C7CF8"/>
    <w:rsid w:val="004C7D42"/>
    <w:rsid w:val="004C7D6B"/>
    <w:rsid w:val="004C7D79"/>
    <w:rsid w:val="004C7D7E"/>
    <w:rsid w:val="004C7D8A"/>
    <w:rsid w:val="004C7D9F"/>
    <w:rsid w:val="004C7E11"/>
    <w:rsid w:val="004C7E32"/>
    <w:rsid w:val="004C7E3F"/>
    <w:rsid w:val="004C7E9E"/>
    <w:rsid w:val="004C7EA9"/>
    <w:rsid w:val="004C7ECE"/>
    <w:rsid w:val="004C7ED0"/>
    <w:rsid w:val="004C7ED9"/>
    <w:rsid w:val="004C7F2E"/>
    <w:rsid w:val="004C7F8E"/>
    <w:rsid w:val="004C7FDE"/>
    <w:rsid w:val="004C7FE6"/>
    <w:rsid w:val="004D0025"/>
    <w:rsid w:val="004D002C"/>
    <w:rsid w:val="004D004B"/>
    <w:rsid w:val="004D0079"/>
    <w:rsid w:val="004D011F"/>
    <w:rsid w:val="004D012B"/>
    <w:rsid w:val="004D014D"/>
    <w:rsid w:val="004D016B"/>
    <w:rsid w:val="004D01A9"/>
    <w:rsid w:val="004D0201"/>
    <w:rsid w:val="004D0232"/>
    <w:rsid w:val="004D0347"/>
    <w:rsid w:val="004D03E5"/>
    <w:rsid w:val="004D0441"/>
    <w:rsid w:val="004D0483"/>
    <w:rsid w:val="004D0501"/>
    <w:rsid w:val="004D0512"/>
    <w:rsid w:val="004D0523"/>
    <w:rsid w:val="004D0599"/>
    <w:rsid w:val="004D05B5"/>
    <w:rsid w:val="004D05C2"/>
    <w:rsid w:val="004D0615"/>
    <w:rsid w:val="004D067D"/>
    <w:rsid w:val="004D067E"/>
    <w:rsid w:val="004D0681"/>
    <w:rsid w:val="004D069F"/>
    <w:rsid w:val="004D06B3"/>
    <w:rsid w:val="004D06DE"/>
    <w:rsid w:val="004D06FA"/>
    <w:rsid w:val="004D0702"/>
    <w:rsid w:val="004D072E"/>
    <w:rsid w:val="004D079D"/>
    <w:rsid w:val="004D07A9"/>
    <w:rsid w:val="004D07AE"/>
    <w:rsid w:val="004D07C9"/>
    <w:rsid w:val="004D0803"/>
    <w:rsid w:val="004D0811"/>
    <w:rsid w:val="004D0812"/>
    <w:rsid w:val="004D0853"/>
    <w:rsid w:val="004D0892"/>
    <w:rsid w:val="004D0896"/>
    <w:rsid w:val="004D0938"/>
    <w:rsid w:val="004D0966"/>
    <w:rsid w:val="004D0977"/>
    <w:rsid w:val="004D098C"/>
    <w:rsid w:val="004D09BE"/>
    <w:rsid w:val="004D09E3"/>
    <w:rsid w:val="004D0A2E"/>
    <w:rsid w:val="004D0A42"/>
    <w:rsid w:val="004D0A68"/>
    <w:rsid w:val="004D0B28"/>
    <w:rsid w:val="004D0B36"/>
    <w:rsid w:val="004D0B3D"/>
    <w:rsid w:val="004D0B44"/>
    <w:rsid w:val="004D0B47"/>
    <w:rsid w:val="004D0B8C"/>
    <w:rsid w:val="004D0BB6"/>
    <w:rsid w:val="004D0BB7"/>
    <w:rsid w:val="004D0BE2"/>
    <w:rsid w:val="004D0BF1"/>
    <w:rsid w:val="004D0C13"/>
    <w:rsid w:val="004D0C30"/>
    <w:rsid w:val="004D0C56"/>
    <w:rsid w:val="004D0C63"/>
    <w:rsid w:val="004D0C6D"/>
    <w:rsid w:val="004D0C6E"/>
    <w:rsid w:val="004D0C79"/>
    <w:rsid w:val="004D0C7C"/>
    <w:rsid w:val="004D0D04"/>
    <w:rsid w:val="004D0D3D"/>
    <w:rsid w:val="004D0D4F"/>
    <w:rsid w:val="004D0D5A"/>
    <w:rsid w:val="004D0D98"/>
    <w:rsid w:val="004D0DA5"/>
    <w:rsid w:val="004D0DCB"/>
    <w:rsid w:val="004D0DD1"/>
    <w:rsid w:val="004D0DED"/>
    <w:rsid w:val="004D0DEF"/>
    <w:rsid w:val="004D0DF0"/>
    <w:rsid w:val="004D0E3E"/>
    <w:rsid w:val="004D0E4C"/>
    <w:rsid w:val="004D0E4F"/>
    <w:rsid w:val="004D0EAA"/>
    <w:rsid w:val="004D0EB5"/>
    <w:rsid w:val="004D0F1A"/>
    <w:rsid w:val="004D0F2E"/>
    <w:rsid w:val="004D0F40"/>
    <w:rsid w:val="004D0F69"/>
    <w:rsid w:val="004D0FB1"/>
    <w:rsid w:val="004D0FB5"/>
    <w:rsid w:val="004D0FBE"/>
    <w:rsid w:val="004D0FE6"/>
    <w:rsid w:val="004D1023"/>
    <w:rsid w:val="004D103D"/>
    <w:rsid w:val="004D1043"/>
    <w:rsid w:val="004D1082"/>
    <w:rsid w:val="004D109E"/>
    <w:rsid w:val="004D10BB"/>
    <w:rsid w:val="004D10BE"/>
    <w:rsid w:val="004D10CD"/>
    <w:rsid w:val="004D1119"/>
    <w:rsid w:val="004D1155"/>
    <w:rsid w:val="004D11A8"/>
    <w:rsid w:val="004D11EB"/>
    <w:rsid w:val="004D1218"/>
    <w:rsid w:val="004D1232"/>
    <w:rsid w:val="004D1269"/>
    <w:rsid w:val="004D127C"/>
    <w:rsid w:val="004D12C5"/>
    <w:rsid w:val="004D12D8"/>
    <w:rsid w:val="004D12D9"/>
    <w:rsid w:val="004D12FE"/>
    <w:rsid w:val="004D1312"/>
    <w:rsid w:val="004D1356"/>
    <w:rsid w:val="004D135B"/>
    <w:rsid w:val="004D138A"/>
    <w:rsid w:val="004D13BA"/>
    <w:rsid w:val="004D13C6"/>
    <w:rsid w:val="004D1435"/>
    <w:rsid w:val="004D147D"/>
    <w:rsid w:val="004D1484"/>
    <w:rsid w:val="004D148F"/>
    <w:rsid w:val="004D14CD"/>
    <w:rsid w:val="004D14DB"/>
    <w:rsid w:val="004D14E8"/>
    <w:rsid w:val="004D14EE"/>
    <w:rsid w:val="004D153A"/>
    <w:rsid w:val="004D156F"/>
    <w:rsid w:val="004D158B"/>
    <w:rsid w:val="004D159A"/>
    <w:rsid w:val="004D15C1"/>
    <w:rsid w:val="004D15CC"/>
    <w:rsid w:val="004D15EE"/>
    <w:rsid w:val="004D15F5"/>
    <w:rsid w:val="004D1610"/>
    <w:rsid w:val="004D162B"/>
    <w:rsid w:val="004D165B"/>
    <w:rsid w:val="004D166B"/>
    <w:rsid w:val="004D1675"/>
    <w:rsid w:val="004D168A"/>
    <w:rsid w:val="004D16BD"/>
    <w:rsid w:val="004D16DF"/>
    <w:rsid w:val="004D1709"/>
    <w:rsid w:val="004D1721"/>
    <w:rsid w:val="004D1755"/>
    <w:rsid w:val="004D178E"/>
    <w:rsid w:val="004D1797"/>
    <w:rsid w:val="004D17C1"/>
    <w:rsid w:val="004D17E6"/>
    <w:rsid w:val="004D17F7"/>
    <w:rsid w:val="004D1862"/>
    <w:rsid w:val="004D18DB"/>
    <w:rsid w:val="004D18DF"/>
    <w:rsid w:val="004D18F4"/>
    <w:rsid w:val="004D1903"/>
    <w:rsid w:val="004D193E"/>
    <w:rsid w:val="004D1949"/>
    <w:rsid w:val="004D195A"/>
    <w:rsid w:val="004D1987"/>
    <w:rsid w:val="004D19B6"/>
    <w:rsid w:val="004D19C0"/>
    <w:rsid w:val="004D19E1"/>
    <w:rsid w:val="004D1A86"/>
    <w:rsid w:val="004D1AAD"/>
    <w:rsid w:val="004D1AAF"/>
    <w:rsid w:val="004D1AB4"/>
    <w:rsid w:val="004D1AE5"/>
    <w:rsid w:val="004D1B06"/>
    <w:rsid w:val="004D1B41"/>
    <w:rsid w:val="004D1B56"/>
    <w:rsid w:val="004D1B79"/>
    <w:rsid w:val="004D1B9E"/>
    <w:rsid w:val="004D1BA5"/>
    <w:rsid w:val="004D1BAC"/>
    <w:rsid w:val="004D1BD2"/>
    <w:rsid w:val="004D1BD3"/>
    <w:rsid w:val="004D1BEE"/>
    <w:rsid w:val="004D1C19"/>
    <w:rsid w:val="004D1C1B"/>
    <w:rsid w:val="004D1C7F"/>
    <w:rsid w:val="004D1C8A"/>
    <w:rsid w:val="004D1C96"/>
    <w:rsid w:val="004D1CA5"/>
    <w:rsid w:val="004D1CCE"/>
    <w:rsid w:val="004D1CED"/>
    <w:rsid w:val="004D1CFA"/>
    <w:rsid w:val="004D1D10"/>
    <w:rsid w:val="004D1D1F"/>
    <w:rsid w:val="004D1D30"/>
    <w:rsid w:val="004D1D4E"/>
    <w:rsid w:val="004D1D52"/>
    <w:rsid w:val="004D1D69"/>
    <w:rsid w:val="004D1D90"/>
    <w:rsid w:val="004D1DC3"/>
    <w:rsid w:val="004D1E50"/>
    <w:rsid w:val="004D1E57"/>
    <w:rsid w:val="004D1E70"/>
    <w:rsid w:val="004D1E9D"/>
    <w:rsid w:val="004D1EA7"/>
    <w:rsid w:val="004D1EBA"/>
    <w:rsid w:val="004D1EF4"/>
    <w:rsid w:val="004D1F21"/>
    <w:rsid w:val="004D1F73"/>
    <w:rsid w:val="004D1F80"/>
    <w:rsid w:val="004D1FB9"/>
    <w:rsid w:val="004D1FBC"/>
    <w:rsid w:val="004D1FC3"/>
    <w:rsid w:val="004D1FD5"/>
    <w:rsid w:val="004D1FE1"/>
    <w:rsid w:val="004D2018"/>
    <w:rsid w:val="004D2063"/>
    <w:rsid w:val="004D2066"/>
    <w:rsid w:val="004D2095"/>
    <w:rsid w:val="004D20D0"/>
    <w:rsid w:val="004D2109"/>
    <w:rsid w:val="004D210D"/>
    <w:rsid w:val="004D2132"/>
    <w:rsid w:val="004D216D"/>
    <w:rsid w:val="004D21A8"/>
    <w:rsid w:val="004D21AC"/>
    <w:rsid w:val="004D224C"/>
    <w:rsid w:val="004D226F"/>
    <w:rsid w:val="004D228D"/>
    <w:rsid w:val="004D229D"/>
    <w:rsid w:val="004D22B3"/>
    <w:rsid w:val="004D22BF"/>
    <w:rsid w:val="004D22DF"/>
    <w:rsid w:val="004D2321"/>
    <w:rsid w:val="004D2331"/>
    <w:rsid w:val="004D233C"/>
    <w:rsid w:val="004D2392"/>
    <w:rsid w:val="004D2393"/>
    <w:rsid w:val="004D239C"/>
    <w:rsid w:val="004D23AB"/>
    <w:rsid w:val="004D23E3"/>
    <w:rsid w:val="004D2448"/>
    <w:rsid w:val="004D2485"/>
    <w:rsid w:val="004D24E4"/>
    <w:rsid w:val="004D253D"/>
    <w:rsid w:val="004D2561"/>
    <w:rsid w:val="004D2572"/>
    <w:rsid w:val="004D2577"/>
    <w:rsid w:val="004D2583"/>
    <w:rsid w:val="004D25A2"/>
    <w:rsid w:val="004D25A8"/>
    <w:rsid w:val="004D25C6"/>
    <w:rsid w:val="004D2615"/>
    <w:rsid w:val="004D2647"/>
    <w:rsid w:val="004D266D"/>
    <w:rsid w:val="004D26DE"/>
    <w:rsid w:val="004D2709"/>
    <w:rsid w:val="004D271E"/>
    <w:rsid w:val="004D272E"/>
    <w:rsid w:val="004D273A"/>
    <w:rsid w:val="004D2752"/>
    <w:rsid w:val="004D2753"/>
    <w:rsid w:val="004D279C"/>
    <w:rsid w:val="004D27B0"/>
    <w:rsid w:val="004D27FE"/>
    <w:rsid w:val="004D2800"/>
    <w:rsid w:val="004D2831"/>
    <w:rsid w:val="004D2881"/>
    <w:rsid w:val="004D28BB"/>
    <w:rsid w:val="004D2925"/>
    <w:rsid w:val="004D296C"/>
    <w:rsid w:val="004D298D"/>
    <w:rsid w:val="004D29D1"/>
    <w:rsid w:val="004D29EE"/>
    <w:rsid w:val="004D29F0"/>
    <w:rsid w:val="004D2A1B"/>
    <w:rsid w:val="004D2A49"/>
    <w:rsid w:val="004D2A85"/>
    <w:rsid w:val="004D2AA3"/>
    <w:rsid w:val="004D2AA4"/>
    <w:rsid w:val="004D2AB7"/>
    <w:rsid w:val="004D2AD9"/>
    <w:rsid w:val="004D2B00"/>
    <w:rsid w:val="004D2B05"/>
    <w:rsid w:val="004D2B14"/>
    <w:rsid w:val="004D2B1C"/>
    <w:rsid w:val="004D2B21"/>
    <w:rsid w:val="004D2B4C"/>
    <w:rsid w:val="004D2B8E"/>
    <w:rsid w:val="004D2B9B"/>
    <w:rsid w:val="004D2BAC"/>
    <w:rsid w:val="004D2BC5"/>
    <w:rsid w:val="004D2BCC"/>
    <w:rsid w:val="004D2C3B"/>
    <w:rsid w:val="004D2C92"/>
    <w:rsid w:val="004D2C98"/>
    <w:rsid w:val="004D2D61"/>
    <w:rsid w:val="004D2D86"/>
    <w:rsid w:val="004D2D8D"/>
    <w:rsid w:val="004D2D92"/>
    <w:rsid w:val="004D2DC1"/>
    <w:rsid w:val="004D2DCA"/>
    <w:rsid w:val="004D2DF0"/>
    <w:rsid w:val="004D2DFA"/>
    <w:rsid w:val="004D2E13"/>
    <w:rsid w:val="004D2EAD"/>
    <w:rsid w:val="004D2ECD"/>
    <w:rsid w:val="004D2EDB"/>
    <w:rsid w:val="004D2EF9"/>
    <w:rsid w:val="004D2F2A"/>
    <w:rsid w:val="004D2F44"/>
    <w:rsid w:val="004D2F53"/>
    <w:rsid w:val="004D2F5D"/>
    <w:rsid w:val="004D2F73"/>
    <w:rsid w:val="004D2F81"/>
    <w:rsid w:val="004D2FB0"/>
    <w:rsid w:val="004D2FCC"/>
    <w:rsid w:val="004D2FD2"/>
    <w:rsid w:val="004D2FFD"/>
    <w:rsid w:val="004D302D"/>
    <w:rsid w:val="004D304B"/>
    <w:rsid w:val="004D304C"/>
    <w:rsid w:val="004D304F"/>
    <w:rsid w:val="004D3077"/>
    <w:rsid w:val="004D3099"/>
    <w:rsid w:val="004D30CD"/>
    <w:rsid w:val="004D30F1"/>
    <w:rsid w:val="004D30F8"/>
    <w:rsid w:val="004D3117"/>
    <w:rsid w:val="004D313A"/>
    <w:rsid w:val="004D3188"/>
    <w:rsid w:val="004D318A"/>
    <w:rsid w:val="004D319E"/>
    <w:rsid w:val="004D31A2"/>
    <w:rsid w:val="004D31FE"/>
    <w:rsid w:val="004D3210"/>
    <w:rsid w:val="004D3211"/>
    <w:rsid w:val="004D321F"/>
    <w:rsid w:val="004D3268"/>
    <w:rsid w:val="004D3296"/>
    <w:rsid w:val="004D32D5"/>
    <w:rsid w:val="004D32E8"/>
    <w:rsid w:val="004D3318"/>
    <w:rsid w:val="004D331A"/>
    <w:rsid w:val="004D3333"/>
    <w:rsid w:val="004D3338"/>
    <w:rsid w:val="004D336E"/>
    <w:rsid w:val="004D3421"/>
    <w:rsid w:val="004D3438"/>
    <w:rsid w:val="004D3440"/>
    <w:rsid w:val="004D3454"/>
    <w:rsid w:val="004D34B1"/>
    <w:rsid w:val="004D3511"/>
    <w:rsid w:val="004D3520"/>
    <w:rsid w:val="004D353E"/>
    <w:rsid w:val="004D357E"/>
    <w:rsid w:val="004D3587"/>
    <w:rsid w:val="004D35C4"/>
    <w:rsid w:val="004D35D5"/>
    <w:rsid w:val="004D3645"/>
    <w:rsid w:val="004D364E"/>
    <w:rsid w:val="004D3669"/>
    <w:rsid w:val="004D367A"/>
    <w:rsid w:val="004D36E7"/>
    <w:rsid w:val="004D3700"/>
    <w:rsid w:val="004D371D"/>
    <w:rsid w:val="004D375A"/>
    <w:rsid w:val="004D3772"/>
    <w:rsid w:val="004D3782"/>
    <w:rsid w:val="004D378B"/>
    <w:rsid w:val="004D378F"/>
    <w:rsid w:val="004D37DE"/>
    <w:rsid w:val="004D37F2"/>
    <w:rsid w:val="004D380E"/>
    <w:rsid w:val="004D383F"/>
    <w:rsid w:val="004D3846"/>
    <w:rsid w:val="004D386B"/>
    <w:rsid w:val="004D386C"/>
    <w:rsid w:val="004D386F"/>
    <w:rsid w:val="004D3877"/>
    <w:rsid w:val="004D3881"/>
    <w:rsid w:val="004D38A4"/>
    <w:rsid w:val="004D3914"/>
    <w:rsid w:val="004D3951"/>
    <w:rsid w:val="004D39AE"/>
    <w:rsid w:val="004D39D7"/>
    <w:rsid w:val="004D3A73"/>
    <w:rsid w:val="004D3A94"/>
    <w:rsid w:val="004D3ABA"/>
    <w:rsid w:val="004D3BC5"/>
    <w:rsid w:val="004D3BDC"/>
    <w:rsid w:val="004D3C03"/>
    <w:rsid w:val="004D3C19"/>
    <w:rsid w:val="004D3C23"/>
    <w:rsid w:val="004D3C34"/>
    <w:rsid w:val="004D3C4B"/>
    <w:rsid w:val="004D3C5F"/>
    <w:rsid w:val="004D3C9A"/>
    <w:rsid w:val="004D3CA8"/>
    <w:rsid w:val="004D3CD7"/>
    <w:rsid w:val="004D3D1A"/>
    <w:rsid w:val="004D3D26"/>
    <w:rsid w:val="004D3D5D"/>
    <w:rsid w:val="004D3D8B"/>
    <w:rsid w:val="004D3DA6"/>
    <w:rsid w:val="004D3DE5"/>
    <w:rsid w:val="004D3DFE"/>
    <w:rsid w:val="004D3E15"/>
    <w:rsid w:val="004D3E18"/>
    <w:rsid w:val="004D3E72"/>
    <w:rsid w:val="004D3E9D"/>
    <w:rsid w:val="004D3EA9"/>
    <w:rsid w:val="004D3EC5"/>
    <w:rsid w:val="004D3EF3"/>
    <w:rsid w:val="004D3F0B"/>
    <w:rsid w:val="004D3F56"/>
    <w:rsid w:val="004D3F94"/>
    <w:rsid w:val="004D4002"/>
    <w:rsid w:val="004D4008"/>
    <w:rsid w:val="004D400C"/>
    <w:rsid w:val="004D401E"/>
    <w:rsid w:val="004D4034"/>
    <w:rsid w:val="004D4044"/>
    <w:rsid w:val="004D405C"/>
    <w:rsid w:val="004D40AD"/>
    <w:rsid w:val="004D40D2"/>
    <w:rsid w:val="004D40D9"/>
    <w:rsid w:val="004D4110"/>
    <w:rsid w:val="004D4118"/>
    <w:rsid w:val="004D4161"/>
    <w:rsid w:val="004D4187"/>
    <w:rsid w:val="004D418E"/>
    <w:rsid w:val="004D4195"/>
    <w:rsid w:val="004D41DF"/>
    <w:rsid w:val="004D41E5"/>
    <w:rsid w:val="004D41F8"/>
    <w:rsid w:val="004D4209"/>
    <w:rsid w:val="004D420C"/>
    <w:rsid w:val="004D4255"/>
    <w:rsid w:val="004D4265"/>
    <w:rsid w:val="004D42C0"/>
    <w:rsid w:val="004D42EC"/>
    <w:rsid w:val="004D4334"/>
    <w:rsid w:val="004D433F"/>
    <w:rsid w:val="004D434A"/>
    <w:rsid w:val="004D43B7"/>
    <w:rsid w:val="004D43EB"/>
    <w:rsid w:val="004D43EC"/>
    <w:rsid w:val="004D43F0"/>
    <w:rsid w:val="004D4424"/>
    <w:rsid w:val="004D443A"/>
    <w:rsid w:val="004D4455"/>
    <w:rsid w:val="004D447D"/>
    <w:rsid w:val="004D44B0"/>
    <w:rsid w:val="004D44BD"/>
    <w:rsid w:val="004D44CD"/>
    <w:rsid w:val="004D44F1"/>
    <w:rsid w:val="004D4574"/>
    <w:rsid w:val="004D4593"/>
    <w:rsid w:val="004D45C8"/>
    <w:rsid w:val="004D45E2"/>
    <w:rsid w:val="004D45F2"/>
    <w:rsid w:val="004D460C"/>
    <w:rsid w:val="004D464C"/>
    <w:rsid w:val="004D46AD"/>
    <w:rsid w:val="004D4733"/>
    <w:rsid w:val="004D476C"/>
    <w:rsid w:val="004D4773"/>
    <w:rsid w:val="004D477D"/>
    <w:rsid w:val="004D4796"/>
    <w:rsid w:val="004D47A9"/>
    <w:rsid w:val="004D4818"/>
    <w:rsid w:val="004D4857"/>
    <w:rsid w:val="004D4868"/>
    <w:rsid w:val="004D48D4"/>
    <w:rsid w:val="004D48E5"/>
    <w:rsid w:val="004D48F3"/>
    <w:rsid w:val="004D4932"/>
    <w:rsid w:val="004D4952"/>
    <w:rsid w:val="004D495F"/>
    <w:rsid w:val="004D496A"/>
    <w:rsid w:val="004D4998"/>
    <w:rsid w:val="004D4AA9"/>
    <w:rsid w:val="004D4ABA"/>
    <w:rsid w:val="004D4AD6"/>
    <w:rsid w:val="004D4B26"/>
    <w:rsid w:val="004D4B40"/>
    <w:rsid w:val="004D4B63"/>
    <w:rsid w:val="004D4B66"/>
    <w:rsid w:val="004D4B87"/>
    <w:rsid w:val="004D4BFB"/>
    <w:rsid w:val="004D4C08"/>
    <w:rsid w:val="004D4C12"/>
    <w:rsid w:val="004D4C67"/>
    <w:rsid w:val="004D4C7D"/>
    <w:rsid w:val="004D4CD8"/>
    <w:rsid w:val="004D4CE2"/>
    <w:rsid w:val="004D4D10"/>
    <w:rsid w:val="004D4D6A"/>
    <w:rsid w:val="004D4D7F"/>
    <w:rsid w:val="004D4D83"/>
    <w:rsid w:val="004D4D92"/>
    <w:rsid w:val="004D4D9C"/>
    <w:rsid w:val="004D4DA7"/>
    <w:rsid w:val="004D4DA8"/>
    <w:rsid w:val="004D4DCE"/>
    <w:rsid w:val="004D4E0E"/>
    <w:rsid w:val="004D4E13"/>
    <w:rsid w:val="004D4E55"/>
    <w:rsid w:val="004D4E5B"/>
    <w:rsid w:val="004D4EA7"/>
    <w:rsid w:val="004D4EB7"/>
    <w:rsid w:val="004D4EEB"/>
    <w:rsid w:val="004D4EFB"/>
    <w:rsid w:val="004D4F0E"/>
    <w:rsid w:val="004D4F10"/>
    <w:rsid w:val="004D4F68"/>
    <w:rsid w:val="004D4F97"/>
    <w:rsid w:val="004D4FA2"/>
    <w:rsid w:val="004D5032"/>
    <w:rsid w:val="004D5055"/>
    <w:rsid w:val="004D509B"/>
    <w:rsid w:val="004D50A6"/>
    <w:rsid w:val="004D50BF"/>
    <w:rsid w:val="004D5124"/>
    <w:rsid w:val="004D5132"/>
    <w:rsid w:val="004D514C"/>
    <w:rsid w:val="004D51B3"/>
    <w:rsid w:val="004D521D"/>
    <w:rsid w:val="004D5225"/>
    <w:rsid w:val="004D528C"/>
    <w:rsid w:val="004D52BF"/>
    <w:rsid w:val="004D52C6"/>
    <w:rsid w:val="004D52C8"/>
    <w:rsid w:val="004D52C9"/>
    <w:rsid w:val="004D52E6"/>
    <w:rsid w:val="004D52F7"/>
    <w:rsid w:val="004D5341"/>
    <w:rsid w:val="004D5361"/>
    <w:rsid w:val="004D5362"/>
    <w:rsid w:val="004D5363"/>
    <w:rsid w:val="004D538D"/>
    <w:rsid w:val="004D53BC"/>
    <w:rsid w:val="004D53C1"/>
    <w:rsid w:val="004D53CB"/>
    <w:rsid w:val="004D53E2"/>
    <w:rsid w:val="004D53EF"/>
    <w:rsid w:val="004D5412"/>
    <w:rsid w:val="004D5417"/>
    <w:rsid w:val="004D5443"/>
    <w:rsid w:val="004D544A"/>
    <w:rsid w:val="004D548A"/>
    <w:rsid w:val="004D549B"/>
    <w:rsid w:val="004D54F0"/>
    <w:rsid w:val="004D5504"/>
    <w:rsid w:val="004D5524"/>
    <w:rsid w:val="004D5541"/>
    <w:rsid w:val="004D5562"/>
    <w:rsid w:val="004D55F5"/>
    <w:rsid w:val="004D55FB"/>
    <w:rsid w:val="004D569E"/>
    <w:rsid w:val="004D56F0"/>
    <w:rsid w:val="004D5718"/>
    <w:rsid w:val="004D572C"/>
    <w:rsid w:val="004D5744"/>
    <w:rsid w:val="004D579D"/>
    <w:rsid w:val="004D57A3"/>
    <w:rsid w:val="004D584F"/>
    <w:rsid w:val="004D5862"/>
    <w:rsid w:val="004D5874"/>
    <w:rsid w:val="004D587E"/>
    <w:rsid w:val="004D58A0"/>
    <w:rsid w:val="004D58C1"/>
    <w:rsid w:val="004D58DD"/>
    <w:rsid w:val="004D58E4"/>
    <w:rsid w:val="004D58EA"/>
    <w:rsid w:val="004D58EE"/>
    <w:rsid w:val="004D5911"/>
    <w:rsid w:val="004D5966"/>
    <w:rsid w:val="004D59A6"/>
    <w:rsid w:val="004D5A01"/>
    <w:rsid w:val="004D5A48"/>
    <w:rsid w:val="004D5A4A"/>
    <w:rsid w:val="004D5A56"/>
    <w:rsid w:val="004D5A75"/>
    <w:rsid w:val="004D5A95"/>
    <w:rsid w:val="004D5A98"/>
    <w:rsid w:val="004D5B28"/>
    <w:rsid w:val="004D5B52"/>
    <w:rsid w:val="004D5BBC"/>
    <w:rsid w:val="004D5C45"/>
    <w:rsid w:val="004D5C5E"/>
    <w:rsid w:val="004D5CF0"/>
    <w:rsid w:val="004D5D4B"/>
    <w:rsid w:val="004D5D4F"/>
    <w:rsid w:val="004D5D53"/>
    <w:rsid w:val="004D5D71"/>
    <w:rsid w:val="004D5D90"/>
    <w:rsid w:val="004D5DC8"/>
    <w:rsid w:val="004D5E1D"/>
    <w:rsid w:val="004D5E33"/>
    <w:rsid w:val="004D5E9D"/>
    <w:rsid w:val="004D5F08"/>
    <w:rsid w:val="004D5F30"/>
    <w:rsid w:val="004D5F3F"/>
    <w:rsid w:val="004D5F64"/>
    <w:rsid w:val="004D5F6E"/>
    <w:rsid w:val="004D5F7B"/>
    <w:rsid w:val="004D5FA3"/>
    <w:rsid w:val="004D5FC7"/>
    <w:rsid w:val="004D5FE9"/>
    <w:rsid w:val="004D6044"/>
    <w:rsid w:val="004D6047"/>
    <w:rsid w:val="004D606D"/>
    <w:rsid w:val="004D6072"/>
    <w:rsid w:val="004D6075"/>
    <w:rsid w:val="004D60D5"/>
    <w:rsid w:val="004D612F"/>
    <w:rsid w:val="004D6166"/>
    <w:rsid w:val="004D61DD"/>
    <w:rsid w:val="004D61EA"/>
    <w:rsid w:val="004D620D"/>
    <w:rsid w:val="004D6231"/>
    <w:rsid w:val="004D6247"/>
    <w:rsid w:val="004D6268"/>
    <w:rsid w:val="004D62A9"/>
    <w:rsid w:val="004D62C7"/>
    <w:rsid w:val="004D62E0"/>
    <w:rsid w:val="004D630D"/>
    <w:rsid w:val="004D6333"/>
    <w:rsid w:val="004D638D"/>
    <w:rsid w:val="004D639A"/>
    <w:rsid w:val="004D63EE"/>
    <w:rsid w:val="004D6411"/>
    <w:rsid w:val="004D6430"/>
    <w:rsid w:val="004D6431"/>
    <w:rsid w:val="004D6435"/>
    <w:rsid w:val="004D6474"/>
    <w:rsid w:val="004D64C0"/>
    <w:rsid w:val="004D64E9"/>
    <w:rsid w:val="004D6535"/>
    <w:rsid w:val="004D655A"/>
    <w:rsid w:val="004D6562"/>
    <w:rsid w:val="004D6581"/>
    <w:rsid w:val="004D65F5"/>
    <w:rsid w:val="004D660C"/>
    <w:rsid w:val="004D6627"/>
    <w:rsid w:val="004D665F"/>
    <w:rsid w:val="004D666E"/>
    <w:rsid w:val="004D66C9"/>
    <w:rsid w:val="004D66E2"/>
    <w:rsid w:val="004D66FF"/>
    <w:rsid w:val="004D671C"/>
    <w:rsid w:val="004D6757"/>
    <w:rsid w:val="004D6773"/>
    <w:rsid w:val="004D6783"/>
    <w:rsid w:val="004D67CC"/>
    <w:rsid w:val="004D67E6"/>
    <w:rsid w:val="004D67ED"/>
    <w:rsid w:val="004D6819"/>
    <w:rsid w:val="004D6833"/>
    <w:rsid w:val="004D6865"/>
    <w:rsid w:val="004D68B8"/>
    <w:rsid w:val="004D6907"/>
    <w:rsid w:val="004D697E"/>
    <w:rsid w:val="004D69A9"/>
    <w:rsid w:val="004D69BA"/>
    <w:rsid w:val="004D69BB"/>
    <w:rsid w:val="004D6A00"/>
    <w:rsid w:val="004D6A30"/>
    <w:rsid w:val="004D6A57"/>
    <w:rsid w:val="004D6A7F"/>
    <w:rsid w:val="004D6AB0"/>
    <w:rsid w:val="004D6ACB"/>
    <w:rsid w:val="004D6B0C"/>
    <w:rsid w:val="004D6B12"/>
    <w:rsid w:val="004D6B90"/>
    <w:rsid w:val="004D6BA2"/>
    <w:rsid w:val="004D6BD3"/>
    <w:rsid w:val="004D6C58"/>
    <w:rsid w:val="004D6C5A"/>
    <w:rsid w:val="004D6C67"/>
    <w:rsid w:val="004D6CC4"/>
    <w:rsid w:val="004D6CD8"/>
    <w:rsid w:val="004D6CE6"/>
    <w:rsid w:val="004D6D0C"/>
    <w:rsid w:val="004D6D3B"/>
    <w:rsid w:val="004D6D6D"/>
    <w:rsid w:val="004D6D84"/>
    <w:rsid w:val="004D6D8F"/>
    <w:rsid w:val="004D6DA5"/>
    <w:rsid w:val="004D6DAD"/>
    <w:rsid w:val="004D6DF9"/>
    <w:rsid w:val="004D6E39"/>
    <w:rsid w:val="004D6EEC"/>
    <w:rsid w:val="004D6F28"/>
    <w:rsid w:val="004D6F36"/>
    <w:rsid w:val="004D6F52"/>
    <w:rsid w:val="004D6F58"/>
    <w:rsid w:val="004D6F6C"/>
    <w:rsid w:val="004D6F7C"/>
    <w:rsid w:val="004D6F7D"/>
    <w:rsid w:val="004D6F8B"/>
    <w:rsid w:val="004D6FE4"/>
    <w:rsid w:val="004D6FEA"/>
    <w:rsid w:val="004D6FFD"/>
    <w:rsid w:val="004D7017"/>
    <w:rsid w:val="004D7044"/>
    <w:rsid w:val="004D7053"/>
    <w:rsid w:val="004D70B9"/>
    <w:rsid w:val="004D7105"/>
    <w:rsid w:val="004D7106"/>
    <w:rsid w:val="004D7115"/>
    <w:rsid w:val="004D7116"/>
    <w:rsid w:val="004D7118"/>
    <w:rsid w:val="004D7133"/>
    <w:rsid w:val="004D7158"/>
    <w:rsid w:val="004D71A5"/>
    <w:rsid w:val="004D71B0"/>
    <w:rsid w:val="004D71D2"/>
    <w:rsid w:val="004D7206"/>
    <w:rsid w:val="004D728C"/>
    <w:rsid w:val="004D728E"/>
    <w:rsid w:val="004D72C7"/>
    <w:rsid w:val="004D72CB"/>
    <w:rsid w:val="004D72CF"/>
    <w:rsid w:val="004D72E3"/>
    <w:rsid w:val="004D72EA"/>
    <w:rsid w:val="004D7353"/>
    <w:rsid w:val="004D7389"/>
    <w:rsid w:val="004D73C7"/>
    <w:rsid w:val="004D73FE"/>
    <w:rsid w:val="004D740A"/>
    <w:rsid w:val="004D7424"/>
    <w:rsid w:val="004D742A"/>
    <w:rsid w:val="004D7432"/>
    <w:rsid w:val="004D743B"/>
    <w:rsid w:val="004D743E"/>
    <w:rsid w:val="004D744F"/>
    <w:rsid w:val="004D7478"/>
    <w:rsid w:val="004D74A0"/>
    <w:rsid w:val="004D74AD"/>
    <w:rsid w:val="004D74FC"/>
    <w:rsid w:val="004D7501"/>
    <w:rsid w:val="004D751C"/>
    <w:rsid w:val="004D7536"/>
    <w:rsid w:val="004D753B"/>
    <w:rsid w:val="004D7547"/>
    <w:rsid w:val="004D7572"/>
    <w:rsid w:val="004D757B"/>
    <w:rsid w:val="004D75B3"/>
    <w:rsid w:val="004D75B9"/>
    <w:rsid w:val="004D75D6"/>
    <w:rsid w:val="004D75F7"/>
    <w:rsid w:val="004D7608"/>
    <w:rsid w:val="004D7615"/>
    <w:rsid w:val="004D7647"/>
    <w:rsid w:val="004D7663"/>
    <w:rsid w:val="004D767D"/>
    <w:rsid w:val="004D76D6"/>
    <w:rsid w:val="004D76FD"/>
    <w:rsid w:val="004D7719"/>
    <w:rsid w:val="004D7762"/>
    <w:rsid w:val="004D778E"/>
    <w:rsid w:val="004D7807"/>
    <w:rsid w:val="004D781D"/>
    <w:rsid w:val="004D782A"/>
    <w:rsid w:val="004D782B"/>
    <w:rsid w:val="004D7845"/>
    <w:rsid w:val="004D787E"/>
    <w:rsid w:val="004D7896"/>
    <w:rsid w:val="004D78CB"/>
    <w:rsid w:val="004D78E0"/>
    <w:rsid w:val="004D78F9"/>
    <w:rsid w:val="004D796B"/>
    <w:rsid w:val="004D796E"/>
    <w:rsid w:val="004D79E0"/>
    <w:rsid w:val="004D79F4"/>
    <w:rsid w:val="004D79FC"/>
    <w:rsid w:val="004D7A27"/>
    <w:rsid w:val="004D7A78"/>
    <w:rsid w:val="004D7A84"/>
    <w:rsid w:val="004D7AD9"/>
    <w:rsid w:val="004D7B2E"/>
    <w:rsid w:val="004D7B6A"/>
    <w:rsid w:val="004D7B93"/>
    <w:rsid w:val="004D7B9E"/>
    <w:rsid w:val="004D7BA8"/>
    <w:rsid w:val="004D7BDE"/>
    <w:rsid w:val="004D7C4D"/>
    <w:rsid w:val="004D7C65"/>
    <w:rsid w:val="004D7C9A"/>
    <w:rsid w:val="004D7CCA"/>
    <w:rsid w:val="004D7CE7"/>
    <w:rsid w:val="004D7D6D"/>
    <w:rsid w:val="004D7D77"/>
    <w:rsid w:val="004D7D96"/>
    <w:rsid w:val="004D7DCD"/>
    <w:rsid w:val="004D7E12"/>
    <w:rsid w:val="004D7E18"/>
    <w:rsid w:val="004D7E1E"/>
    <w:rsid w:val="004D7E28"/>
    <w:rsid w:val="004D7E40"/>
    <w:rsid w:val="004D7E65"/>
    <w:rsid w:val="004D7E93"/>
    <w:rsid w:val="004D7EBC"/>
    <w:rsid w:val="004D7EC4"/>
    <w:rsid w:val="004D7EDD"/>
    <w:rsid w:val="004D7EF3"/>
    <w:rsid w:val="004D7F3F"/>
    <w:rsid w:val="004D7F89"/>
    <w:rsid w:val="004D7F96"/>
    <w:rsid w:val="004E0000"/>
    <w:rsid w:val="004E0019"/>
    <w:rsid w:val="004E004D"/>
    <w:rsid w:val="004E004E"/>
    <w:rsid w:val="004E0059"/>
    <w:rsid w:val="004E009C"/>
    <w:rsid w:val="004E00A7"/>
    <w:rsid w:val="004E00AC"/>
    <w:rsid w:val="004E00E6"/>
    <w:rsid w:val="004E00F8"/>
    <w:rsid w:val="004E0106"/>
    <w:rsid w:val="004E010A"/>
    <w:rsid w:val="004E0162"/>
    <w:rsid w:val="004E017F"/>
    <w:rsid w:val="004E0184"/>
    <w:rsid w:val="004E018C"/>
    <w:rsid w:val="004E019B"/>
    <w:rsid w:val="004E01E4"/>
    <w:rsid w:val="004E0219"/>
    <w:rsid w:val="004E022F"/>
    <w:rsid w:val="004E0249"/>
    <w:rsid w:val="004E029C"/>
    <w:rsid w:val="004E034E"/>
    <w:rsid w:val="004E0391"/>
    <w:rsid w:val="004E03D0"/>
    <w:rsid w:val="004E0401"/>
    <w:rsid w:val="004E043F"/>
    <w:rsid w:val="004E04A9"/>
    <w:rsid w:val="004E04C7"/>
    <w:rsid w:val="004E0504"/>
    <w:rsid w:val="004E0510"/>
    <w:rsid w:val="004E053D"/>
    <w:rsid w:val="004E054E"/>
    <w:rsid w:val="004E05A6"/>
    <w:rsid w:val="004E05B1"/>
    <w:rsid w:val="004E0615"/>
    <w:rsid w:val="004E0631"/>
    <w:rsid w:val="004E0642"/>
    <w:rsid w:val="004E067C"/>
    <w:rsid w:val="004E0692"/>
    <w:rsid w:val="004E0695"/>
    <w:rsid w:val="004E069A"/>
    <w:rsid w:val="004E0749"/>
    <w:rsid w:val="004E0751"/>
    <w:rsid w:val="004E0784"/>
    <w:rsid w:val="004E07F1"/>
    <w:rsid w:val="004E088B"/>
    <w:rsid w:val="004E08B3"/>
    <w:rsid w:val="004E0907"/>
    <w:rsid w:val="004E0919"/>
    <w:rsid w:val="004E099B"/>
    <w:rsid w:val="004E09DB"/>
    <w:rsid w:val="004E09E9"/>
    <w:rsid w:val="004E09F6"/>
    <w:rsid w:val="004E0A3F"/>
    <w:rsid w:val="004E0A46"/>
    <w:rsid w:val="004E0A59"/>
    <w:rsid w:val="004E0A61"/>
    <w:rsid w:val="004E0A72"/>
    <w:rsid w:val="004E0A77"/>
    <w:rsid w:val="004E0AC3"/>
    <w:rsid w:val="004E0AC6"/>
    <w:rsid w:val="004E0AD7"/>
    <w:rsid w:val="004E0AF5"/>
    <w:rsid w:val="004E0B0D"/>
    <w:rsid w:val="004E0B74"/>
    <w:rsid w:val="004E0B8D"/>
    <w:rsid w:val="004E0BC5"/>
    <w:rsid w:val="004E0BCA"/>
    <w:rsid w:val="004E0BE2"/>
    <w:rsid w:val="004E0BEB"/>
    <w:rsid w:val="004E0C09"/>
    <w:rsid w:val="004E0C14"/>
    <w:rsid w:val="004E0C3D"/>
    <w:rsid w:val="004E0C58"/>
    <w:rsid w:val="004E0C84"/>
    <w:rsid w:val="004E0C96"/>
    <w:rsid w:val="004E0CAC"/>
    <w:rsid w:val="004E0CDE"/>
    <w:rsid w:val="004E0CFE"/>
    <w:rsid w:val="004E0D40"/>
    <w:rsid w:val="004E0D76"/>
    <w:rsid w:val="004E0DB6"/>
    <w:rsid w:val="004E0DE7"/>
    <w:rsid w:val="004E0DF5"/>
    <w:rsid w:val="004E0E43"/>
    <w:rsid w:val="004E0E6C"/>
    <w:rsid w:val="004E0EDE"/>
    <w:rsid w:val="004E0EFF"/>
    <w:rsid w:val="004E0F03"/>
    <w:rsid w:val="004E0F08"/>
    <w:rsid w:val="004E0F37"/>
    <w:rsid w:val="004E0F48"/>
    <w:rsid w:val="004E0F8E"/>
    <w:rsid w:val="004E1061"/>
    <w:rsid w:val="004E10CC"/>
    <w:rsid w:val="004E10DF"/>
    <w:rsid w:val="004E11A1"/>
    <w:rsid w:val="004E11BE"/>
    <w:rsid w:val="004E11CA"/>
    <w:rsid w:val="004E11D5"/>
    <w:rsid w:val="004E1236"/>
    <w:rsid w:val="004E1241"/>
    <w:rsid w:val="004E1275"/>
    <w:rsid w:val="004E128A"/>
    <w:rsid w:val="004E12AD"/>
    <w:rsid w:val="004E12C9"/>
    <w:rsid w:val="004E12F9"/>
    <w:rsid w:val="004E12FA"/>
    <w:rsid w:val="004E12FD"/>
    <w:rsid w:val="004E132B"/>
    <w:rsid w:val="004E1369"/>
    <w:rsid w:val="004E136A"/>
    <w:rsid w:val="004E1376"/>
    <w:rsid w:val="004E13B1"/>
    <w:rsid w:val="004E1426"/>
    <w:rsid w:val="004E151B"/>
    <w:rsid w:val="004E1537"/>
    <w:rsid w:val="004E157A"/>
    <w:rsid w:val="004E1585"/>
    <w:rsid w:val="004E15B8"/>
    <w:rsid w:val="004E15D7"/>
    <w:rsid w:val="004E15E6"/>
    <w:rsid w:val="004E15F3"/>
    <w:rsid w:val="004E1615"/>
    <w:rsid w:val="004E1654"/>
    <w:rsid w:val="004E169E"/>
    <w:rsid w:val="004E16DA"/>
    <w:rsid w:val="004E170D"/>
    <w:rsid w:val="004E1729"/>
    <w:rsid w:val="004E1775"/>
    <w:rsid w:val="004E177A"/>
    <w:rsid w:val="004E17BE"/>
    <w:rsid w:val="004E1831"/>
    <w:rsid w:val="004E183E"/>
    <w:rsid w:val="004E184F"/>
    <w:rsid w:val="004E1859"/>
    <w:rsid w:val="004E1867"/>
    <w:rsid w:val="004E187E"/>
    <w:rsid w:val="004E1914"/>
    <w:rsid w:val="004E1920"/>
    <w:rsid w:val="004E1935"/>
    <w:rsid w:val="004E1962"/>
    <w:rsid w:val="004E197D"/>
    <w:rsid w:val="004E19A8"/>
    <w:rsid w:val="004E19B9"/>
    <w:rsid w:val="004E19E7"/>
    <w:rsid w:val="004E19EB"/>
    <w:rsid w:val="004E1A29"/>
    <w:rsid w:val="004E1A36"/>
    <w:rsid w:val="004E1A67"/>
    <w:rsid w:val="004E1AF8"/>
    <w:rsid w:val="004E1B2D"/>
    <w:rsid w:val="004E1B39"/>
    <w:rsid w:val="004E1B47"/>
    <w:rsid w:val="004E1B79"/>
    <w:rsid w:val="004E1B83"/>
    <w:rsid w:val="004E1B97"/>
    <w:rsid w:val="004E1BAE"/>
    <w:rsid w:val="004E1BB7"/>
    <w:rsid w:val="004E1BE6"/>
    <w:rsid w:val="004E1C10"/>
    <w:rsid w:val="004E1C17"/>
    <w:rsid w:val="004E1C34"/>
    <w:rsid w:val="004E1C61"/>
    <w:rsid w:val="004E1CA5"/>
    <w:rsid w:val="004E1D05"/>
    <w:rsid w:val="004E1D31"/>
    <w:rsid w:val="004E1D3D"/>
    <w:rsid w:val="004E1D44"/>
    <w:rsid w:val="004E1DA3"/>
    <w:rsid w:val="004E1DE3"/>
    <w:rsid w:val="004E1E20"/>
    <w:rsid w:val="004E1E22"/>
    <w:rsid w:val="004E1E51"/>
    <w:rsid w:val="004E1EF1"/>
    <w:rsid w:val="004E1F2A"/>
    <w:rsid w:val="004E1F3D"/>
    <w:rsid w:val="004E1F45"/>
    <w:rsid w:val="004E1F66"/>
    <w:rsid w:val="004E1F87"/>
    <w:rsid w:val="004E1F93"/>
    <w:rsid w:val="004E1FB4"/>
    <w:rsid w:val="004E2014"/>
    <w:rsid w:val="004E2016"/>
    <w:rsid w:val="004E2052"/>
    <w:rsid w:val="004E206B"/>
    <w:rsid w:val="004E206C"/>
    <w:rsid w:val="004E208C"/>
    <w:rsid w:val="004E210C"/>
    <w:rsid w:val="004E211D"/>
    <w:rsid w:val="004E213C"/>
    <w:rsid w:val="004E217A"/>
    <w:rsid w:val="004E2193"/>
    <w:rsid w:val="004E21C0"/>
    <w:rsid w:val="004E2227"/>
    <w:rsid w:val="004E22A8"/>
    <w:rsid w:val="004E22EB"/>
    <w:rsid w:val="004E22FE"/>
    <w:rsid w:val="004E234F"/>
    <w:rsid w:val="004E2350"/>
    <w:rsid w:val="004E2366"/>
    <w:rsid w:val="004E2380"/>
    <w:rsid w:val="004E23C3"/>
    <w:rsid w:val="004E23D5"/>
    <w:rsid w:val="004E23E2"/>
    <w:rsid w:val="004E23E5"/>
    <w:rsid w:val="004E23F1"/>
    <w:rsid w:val="004E241F"/>
    <w:rsid w:val="004E2466"/>
    <w:rsid w:val="004E24A6"/>
    <w:rsid w:val="004E24A8"/>
    <w:rsid w:val="004E24AC"/>
    <w:rsid w:val="004E24D1"/>
    <w:rsid w:val="004E2502"/>
    <w:rsid w:val="004E2524"/>
    <w:rsid w:val="004E254A"/>
    <w:rsid w:val="004E254D"/>
    <w:rsid w:val="004E2573"/>
    <w:rsid w:val="004E2581"/>
    <w:rsid w:val="004E258F"/>
    <w:rsid w:val="004E25C3"/>
    <w:rsid w:val="004E2609"/>
    <w:rsid w:val="004E2623"/>
    <w:rsid w:val="004E263E"/>
    <w:rsid w:val="004E2653"/>
    <w:rsid w:val="004E2680"/>
    <w:rsid w:val="004E26A6"/>
    <w:rsid w:val="004E2708"/>
    <w:rsid w:val="004E271D"/>
    <w:rsid w:val="004E274F"/>
    <w:rsid w:val="004E2760"/>
    <w:rsid w:val="004E27D6"/>
    <w:rsid w:val="004E27FE"/>
    <w:rsid w:val="004E2807"/>
    <w:rsid w:val="004E2857"/>
    <w:rsid w:val="004E28B8"/>
    <w:rsid w:val="004E28BD"/>
    <w:rsid w:val="004E28FC"/>
    <w:rsid w:val="004E2904"/>
    <w:rsid w:val="004E2924"/>
    <w:rsid w:val="004E292E"/>
    <w:rsid w:val="004E2937"/>
    <w:rsid w:val="004E2980"/>
    <w:rsid w:val="004E298C"/>
    <w:rsid w:val="004E2993"/>
    <w:rsid w:val="004E29CB"/>
    <w:rsid w:val="004E29CE"/>
    <w:rsid w:val="004E29EF"/>
    <w:rsid w:val="004E29F6"/>
    <w:rsid w:val="004E2A08"/>
    <w:rsid w:val="004E2A16"/>
    <w:rsid w:val="004E2A22"/>
    <w:rsid w:val="004E2A2E"/>
    <w:rsid w:val="004E2A47"/>
    <w:rsid w:val="004E2A5A"/>
    <w:rsid w:val="004E2AAF"/>
    <w:rsid w:val="004E2AC3"/>
    <w:rsid w:val="004E2B29"/>
    <w:rsid w:val="004E2B38"/>
    <w:rsid w:val="004E2B4C"/>
    <w:rsid w:val="004E2B6A"/>
    <w:rsid w:val="004E2B83"/>
    <w:rsid w:val="004E2BBC"/>
    <w:rsid w:val="004E2BCD"/>
    <w:rsid w:val="004E2BE0"/>
    <w:rsid w:val="004E2BE1"/>
    <w:rsid w:val="004E2C25"/>
    <w:rsid w:val="004E2C4B"/>
    <w:rsid w:val="004E2C69"/>
    <w:rsid w:val="004E2C8C"/>
    <w:rsid w:val="004E2C98"/>
    <w:rsid w:val="004E2CCE"/>
    <w:rsid w:val="004E2D06"/>
    <w:rsid w:val="004E2D1C"/>
    <w:rsid w:val="004E2D20"/>
    <w:rsid w:val="004E2D7B"/>
    <w:rsid w:val="004E2D99"/>
    <w:rsid w:val="004E2DE1"/>
    <w:rsid w:val="004E2E24"/>
    <w:rsid w:val="004E2E3F"/>
    <w:rsid w:val="004E2E7B"/>
    <w:rsid w:val="004E2EAC"/>
    <w:rsid w:val="004E2F41"/>
    <w:rsid w:val="004E2F4F"/>
    <w:rsid w:val="004E2F55"/>
    <w:rsid w:val="004E2F56"/>
    <w:rsid w:val="004E2F77"/>
    <w:rsid w:val="004E2FBA"/>
    <w:rsid w:val="004E2FE8"/>
    <w:rsid w:val="004E2FF1"/>
    <w:rsid w:val="004E3088"/>
    <w:rsid w:val="004E308B"/>
    <w:rsid w:val="004E30BE"/>
    <w:rsid w:val="004E30D8"/>
    <w:rsid w:val="004E3113"/>
    <w:rsid w:val="004E313C"/>
    <w:rsid w:val="004E3144"/>
    <w:rsid w:val="004E3150"/>
    <w:rsid w:val="004E3161"/>
    <w:rsid w:val="004E316C"/>
    <w:rsid w:val="004E3193"/>
    <w:rsid w:val="004E319D"/>
    <w:rsid w:val="004E31AA"/>
    <w:rsid w:val="004E31AB"/>
    <w:rsid w:val="004E31C6"/>
    <w:rsid w:val="004E322A"/>
    <w:rsid w:val="004E323D"/>
    <w:rsid w:val="004E3254"/>
    <w:rsid w:val="004E3264"/>
    <w:rsid w:val="004E3277"/>
    <w:rsid w:val="004E3279"/>
    <w:rsid w:val="004E3286"/>
    <w:rsid w:val="004E3295"/>
    <w:rsid w:val="004E32B9"/>
    <w:rsid w:val="004E330B"/>
    <w:rsid w:val="004E331D"/>
    <w:rsid w:val="004E334D"/>
    <w:rsid w:val="004E3351"/>
    <w:rsid w:val="004E3357"/>
    <w:rsid w:val="004E3383"/>
    <w:rsid w:val="004E33EC"/>
    <w:rsid w:val="004E33EE"/>
    <w:rsid w:val="004E3413"/>
    <w:rsid w:val="004E341A"/>
    <w:rsid w:val="004E343E"/>
    <w:rsid w:val="004E343F"/>
    <w:rsid w:val="004E3447"/>
    <w:rsid w:val="004E3449"/>
    <w:rsid w:val="004E3464"/>
    <w:rsid w:val="004E3468"/>
    <w:rsid w:val="004E347A"/>
    <w:rsid w:val="004E3482"/>
    <w:rsid w:val="004E3483"/>
    <w:rsid w:val="004E34AE"/>
    <w:rsid w:val="004E350A"/>
    <w:rsid w:val="004E35C8"/>
    <w:rsid w:val="004E35FD"/>
    <w:rsid w:val="004E369C"/>
    <w:rsid w:val="004E36AA"/>
    <w:rsid w:val="004E36D0"/>
    <w:rsid w:val="004E3722"/>
    <w:rsid w:val="004E3732"/>
    <w:rsid w:val="004E3758"/>
    <w:rsid w:val="004E3763"/>
    <w:rsid w:val="004E377A"/>
    <w:rsid w:val="004E37A4"/>
    <w:rsid w:val="004E37BF"/>
    <w:rsid w:val="004E37FB"/>
    <w:rsid w:val="004E3824"/>
    <w:rsid w:val="004E382F"/>
    <w:rsid w:val="004E3871"/>
    <w:rsid w:val="004E38C5"/>
    <w:rsid w:val="004E38DC"/>
    <w:rsid w:val="004E3902"/>
    <w:rsid w:val="004E392E"/>
    <w:rsid w:val="004E395E"/>
    <w:rsid w:val="004E3964"/>
    <w:rsid w:val="004E396C"/>
    <w:rsid w:val="004E39CC"/>
    <w:rsid w:val="004E3A0C"/>
    <w:rsid w:val="004E3A40"/>
    <w:rsid w:val="004E3AB6"/>
    <w:rsid w:val="004E3B3A"/>
    <w:rsid w:val="004E3B4C"/>
    <w:rsid w:val="004E3B59"/>
    <w:rsid w:val="004E3B8C"/>
    <w:rsid w:val="004E3B9A"/>
    <w:rsid w:val="004E3BA0"/>
    <w:rsid w:val="004E3BA1"/>
    <w:rsid w:val="004E3BCC"/>
    <w:rsid w:val="004E3C64"/>
    <w:rsid w:val="004E3C66"/>
    <w:rsid w:val="004E3CA8"/>
    <w:rsid w:val="004E3CDC"/>
    <w:rsid w:val="004E3CE6"/>
    <w:rsid w:val="004E3D9E"/>
    <w:rsid w:val="004E3E11"/>
    <w:rsid w:val="004E3E15"/>
    <w:rsid w:val="004E3E4B"/>
    <w:rsid w:val="004E3E8A"/>
    <w:rsid w:val="004E3EA1"/>
    <w:rsid w:val="004E3EA2"/>
    <w:rsid w:val="004E3EDA"/>
    <w:rsid w:val="004E3F10"/>
    <w:rsid w:val="004E3F4A"/>
    <w:rsid w:val="004E3F6A"/>
    <w:rsid w:val="004E3F8D"/>
    <w:rsid w:val="004E3F94"/>
    <w:rsid w:val="004E3FE3"/>
    <w:rsid w:val="004E4007"/>
    <w:rsid w:val="004E4070"/>
    <w:rsid w:val="004E407E"/>
    <w:rsid w:val="004E4085"/>
    <w:rsid w:val="004E4095"/>
    <w:rsid w:val="004E40E4"/>
    <w:rsid w:val="004E40E8"/>
    <w:rsid w:val="004E4149"/>
    <w:rsid w:val="004E4164"/>
    <w:rsid w:val="004E41AE"/>
    <w:rsid w:val="004E41B7"/>
    <w:rsid w:val="004E41BC"/>
    <w:rsid w:val="004E41CE"/>
    <w:rsid w:val="004E41DD"/>
    <w:rsid w:val="004E4253"/>
    <w:rsid w:val="004E4264"/>
    <w:rsid w:val="004E4283"/>
    <w:rsid w:val="004E429B"/>
    <w:rsid w:val="004E42B6"/>
    <w:rsid w:val="004E42C1"/>
    <w:rsid w:val="004E42EE"/>
    <w:rsid w:val="004E42FE"/>
    <w:rsid w:val="004E434C"/>
    <w:rsid w:val="004E4386"/>
    <w:rsid w:val="004E438C"/>
    <w:rsid w:val="004E4392"/>
    <w:rsid w:val="004E43A6"/>
    <w:rsid w:val="004E43DD"/>
    <w:rsid w:val="004E443E"/>
    <w:rsid w:val="004E444B"/>
    <w:rsid w:val="004E446C"/>
    <w:rsid w:val="004E44F0"/>
    <w:rsid w:val="004E44FD"/>
    <w:rsid w:val="004E450E"/>
    <w:rsid w:val="004E4517"/>
    <w:rsid w:val="004E454F"/>
    <w:rsid w:val="004E4568"/>
    <w:rsid w:val="004E4580"/>
    <w:rsid w:val="004E4605"/>
    <w:rsid w:val="004E4645"/>
    <w:rsid w:val="004E4675"/>
    <w:rsid w:val="004E4693"/>
    <w:rsid w:val="004E46D3"/>
    <w:rsid w:val="004E46E6"/>
    <w:rsid w:val="004E46FD"/>
    <w:rsid w:val="004E46FE"/>
    <w:rsid w:val="004E4746"/>
    <w:rsid w:val="004E475A"/>
    <w:rsid w:val="004E4792"/>
    <w:rsid w:val="004E479C"/>
    <w:rsid w:val="004E47E9"/>
    <w:rsid w:val="004E4802"/>
    <w:rsid w:val="004E480F"/>
    <w:rsid w:val="004E4848"/>
    <w:rsid w:val="004E4849"/>
    <w:rsid w:val="004E4878"/>
    <w:rsid w:val="004E48A5"/>
    <w:rsid w:val="004E48B7"/>
    <w:rsid w:val="004E48FD"/>
    <w:rsid w:val="004E4941"/>
    <w:rsid w:val="004E4944"/>
    <w:rsid w:val="004E4962"/>
    <w:rsid w:val="004E4980"/>
    <w:rsid w:val="004E49A8"/>
    <w:rsid w:val="004E49C8"/>
    <w:rsid w:val="004E49F3"/>
    <w:rsid w:val="004E4A0D"/>
    <w:rsid w:val="004E4A6F"/>
    <w:rsid w:val="004E4A75"/>
    <w:rsid w:val="004E4A97"/>
    <w:rsid w:val="004E4AB1"/>
    <w:rsid w:val="004E4ABC"/>
    <w:rsid w:val="004E4AD2"/>
    <w:rsid w:val="004E4AE7"/>
    <w:rsid w:val="004E4AEC"/>
    <w:rsid w:val="004E4B0C"/>
    <w:rsid w:val="004E4B10"/>
    <w:rsid w:val="004E4B2E"/>
    <w:rsid w:val="004E4B4B"/>
    <w:rsid w:val="004E4B5F"/>
    <w:rsid w:val="004E4B91"/>
    <w:rsid w:val="004E4BA6"/>
    <w:rsid w:val="004E4BB6"/>
    <w:rsid w:val="004E4BCE"/>
    <w:rsid w:val="004E4BF1"/>
    <w:rsid w:val="004E4BF7"/>
    <w:rsid w:val="004E4C06"/>
    <w:rsid w:val="004E4C25"/>
    <w:rsid w:val="004E4C3E"/>
    <w:rsid w:val="004E4C71"/>
    <w:rsid w:val="004E4C7F"/>
    <w:rsid w:val="004E4CA7"/>
    <w:rsid w:val="004E4CDA"/>
    <w:rsid w:val="004E4D9B"/>
    <w:rsid w:val="004E4DD6"/>
    <w:rsid w:val="004E4E2F"/>
    <w:rsid w:val="004E4E55"/>
    <w:rsid w:val="004E4E7D"/>
    <w:rsid w:val="004E4E90"/>
    <w:rsid w:val="004E4E92"/>
    <w:rsid w:val="004E4EF1"/>
    <w:rsid w:val="004E4F64"/>
    <w:rsid w:val="004E4F65"/>
    <w:rsid w:val="004E4F8F"/>
    <w:rsid w:val="004E4F98"/>
    <w:rsid w:val="004E4F9D"/>
    <w:rsid w:val="004E5033"/>
    <w:rsid w:val="004E5086"/>
    <w:rsid w:val="004E50B0"/>
    <w:rsid w:val="004E50B1"/>
    <w:rsid w:val="004E50E9"/>
    <w:rsid w:val="004E50EC"/>
    <w:rsid w:val="004E5128"/>
    <w:rsid w:val="004E5144"/>
    <w:rsid w:val="004E5184"/>
    <w:rsid w:val="004E51A3"/>
    <w:rsid w:val="004E51F3"/>
    <w:rsid w:val="004E52C2"/>
    <w:rsid w:val="004E5301"/>
    <w:rsid w:val="004E5318"/>
    <w:rsid w:val="004E531D"/>
    <w:rsid w:val="004E536F"/>
    <w:rsid w:val="004E53A8"/>
    <w:rsid w:val="004E53AB"/>
    <w:rsid w:val="004E53F6"/>
    <w:rsid w:val="004E540F"/>
    <w:rsid w:val="004E542F"/>
    <w:rsid w:val="004E5431"/>
    <w:rsid w:val="004E5475"/>
    <w:rsid w:val="004E5529"/>
    <w:rsid w:val="004E5555"/>
    <w:rsid w:val="004E559A"/>
    <w:rsid w:val="004E55B5"/>
    <w:rsid w:val="004E55BA"/>
    <w:rsid w:val="004E55F0"/>
    <w:rsid w:val="004E55F9"/>
    <w:rsid w:val="004E55FF"/>
    <w:rsid w:val="004E561E"/>
    <w:rsid w:val="004E5622"/>
    <w:rsid w:val="004E562B"/>
    <w:rsid w:val="004E562E"/>
    <w:rsid w:val="004E5641"/>
    <w:rsid w:val="004E5674"/>
    <w:rsid w:val="004E567C"/>
    <w:rsid w:val="004E5684"/>
    <w:rsid w:val="004E56AC"/>
    <w:rsid w:val="004E56C4"/>
    <w:rsid w:val="004E56EA"/>
    <w:rsid w:val="004E570C"/>
    <w:rsid w:val="004E5759"/>
    <w:rsid w:val="004E575B"/>
    <w:rsid w:val="004E582A"/>
    <w:rsid w:val="004E58D4"/>
    <w:rsid w:val="004E58D5"/>
    <w:rsid w:val="004E58DD"/>
    <w:rsid w:val="004E58E1"/>
    <w:rsid w:val="004E58E7"/>
    <w:rsid w:val="004E590C"/>
    <w:rsid w:val="004E5932"/>
    <w:rsid w:val="004E5941"/>
    <w:rsid w:val="004E5980"/>
    <w:rsid w:val="004E5991"/>
    <w:rsid w:val="004E59C8"/>
    <w:rsid w:val="004E59E8"/>
    <w:rsid w:val="004E59F9"/>
    <w:rsid w:val="004E5A0D"/>
    <w:rsid w:val="004E5A12"/>
    <w:rsid w:val="004E5A3D"/>
    <w:rsid w:val="004E5A5B"/>
    <w:rsid w:val="004E5A75"/>
    <w:rsid w:val="004E5A81"/>
    <w:rsid w:val="004E5A8A"/>
    <w:rsid w:val="004E5AE1"/>
    <w:rsid w:val="004E5AFD"/>
    <w:rsid w:val="004E5B8F"/>
    <w:rsid w:val="004E5B9C"/>
    <w:rsid w:val="004E5BAF"/>
    <w:rsid w:val="004E5C10"/>
    <w:rsid w:val="004E5C4E"/>
    <w:rsid w:val="004E5CA0"/>
    <w:rsid w:val="004E5CA7"/>
    <w:rsid w:val="004E5CD6"/>
    <w:rsid w:val="004E5CF9"/>
    <w:rsid w:val="004E5D01"/>
    <w:rsid w:val="004E5D07"/>
    <w:rsid w:val="004E5D29"/>
    <w:rsid w:val="004E5D68"/>
    <w:rsid w:val="004E5D6F"/>
    <w:rsid w:val="004E5D8C"/>
    <w:rsid w:val="004E5DB4"/>
    <w:rsid w:val="004E5E05"/>
    <w:rsid w:val="004E5E2C"/>
    <w:rsid w:val="004E5E42"/>
    <w:rsid w:val="004E5E68"/>
    <w:rsid w:val="004E5E9F"/>
    <w:rsid w:val="004E5ED8"/>
    <w:rsid w:val="004E5F29"/>
    <w:rsid w:val="004E5F86"/>
    <w:rsid w:val="004E5F8B"/>
    <w:rsid w:val="004E5FAC"/>
    <w:rsid w:val="004E5FF3"/>
    <w:rsid w:val="004E6002"/>
    <w:rsid w:val="004E6078"/>
    <w:rsid w:val="004E609A"/>
    <w:rsid w:val="004E60B0"/>
    <w:rsid w:val="004E60F6"/>
    <w:rsid w:val="004E6108"/>
    <w:rsid w:val="004E6116"/>
    <w:rsid w:val="004E612C"/>
    <w:rsid w:val="004E6168"/>
    <w:rsid w:val="004E61D6"/>
    <w:rsid w:val="004E61D7"/>
    <w:rsid w:val="004E61FE"/>
    <w:rsid w:val="004E6262"/>
    <w:rsid w:val="004E6292"/>
    <w:rsid w:val="004E62D4"/>
    <w:rsid w:val="004E6300"/>
    <w:rsid w:val="004E6363"/>
    <w:rsid w:val="004E63C0"/>
    <w:rsid w:val="004E63DF"/>
    <w:rsid w:val="004E63E6"/>
    <w:rsid w:val="004E6451"/>
    <w:rsid w:val="004E6493"/>
    <w:rsid w:val="004E64E1"/>
    <w:rsid w:val="004E6501"/>
    <w:rsid w:val="004E6513"/>
    <w:rsid w:val="004E6597"/>
    <w:rsid w:val="004E65A4"/>
    <w:rsid w:val="004E65C1"/>
    <w:rsid w:val="004E65E7"/>
    <w:rsid w:val="004E6649"/>
    <w:rsid w:val="004E6666"/>
    <w:rsid w:val="004E666C"/>
    <w:rsid w:val="004E66AE"/>
    <w:rsid w:val="004E66CC"/>
    <w:rsid w:val="004E66E1"/>
    <w:rsid w:val="004E66F2"/>
    <w:rsid w:val="004E66F8"/>
    <w:rsid w:val="004E673A"/>
    <w:rsid w:val="004E6748"/>
    <w:rsid w:val="004E67C4"/>
    <w:rsid w:val="004E67C7"/>
    <w:rsid w:val="004E67C9"/>
    <w:rsid w:val="004E67D1"/>
    <w:rsid w:val="004E6806"/>
    <w:rsid w:val="004E6808"/>
    <w:rsid w:val="004E682F"/>
    <w:rsid w:val="004E687D"/>
    <w:rsid w:val="004E6889"/>
    <w:rsid w:val="004E68C7"/>
    <w:rsid w:val="004E68CB"/>
    <w:rsid w:val="004E68DD"/>
    <w:rsid w:val="004E6912"/>
    <w:rsid w:val="004E6929"/>
    <w:rsid w:val="004E693B"/>
    <w:rsid w:val="004E6977"/>
    <w:rsid w:val="004E6A1D"/>
    <w:rsid w:val="004E6A49"/>
    <w:rsid w:val="004E6A9D"/>
    <w:rsid w:val="004E6AAC"/>
    <w:rsid w:val="004E6AAD"/>
    <w:rsid w:val="004E6AC0"/>
    <w:rsid w:val="004E6B2B"/>
    <w:rsid w:val="004E6B51"/>
    <w:rsid w:val="004E6B81"/>
    <w:rsid w:val="004E6BA2"/>
    <w:rsid w:val="004E6BA7"/>
    <w:rsid w:val="004E6BD4"/>
    <w:rsid w:val="004E6C2F"/>
    <w:rsid w:val="004E6C40"/>
    <w:rsid w:val="004E6C46"/>
    <w:rsid w:val="004E6C64"/>
    <w:rsid w:val="004E6C6D"/>
    <w:rsid w:val="004E6C82"/>
    <w:rsid w:val="004E6CA0"/>
    <w:rsid w:val="004E6CD2"/>
    <w:rsid w:val="004E6CE3"/>
    <w:rsid w:val="004E6CEC"/>
    <w:rsid w:val="004E6D07"/>
    <w:rsid w:val="004E6D13"/>
    <w:rsid w:val="004E6D73"/>
    <w:rsid w:val="004E6D7E"/>
    <w:rsid w:val="004E6DDD"/>
    <w:rsid w:val="004E6E36"/>
    <w:rsid w:val="004E6E3E"/>
    <w:rsid w:val="004E6E43"/>
    <w:rsid w:val="004E6EA3"/>
    <w:rsid w:val="004E6EC7"/>
    <w:rsid w:val="004E6F4D"/>
    <w:rsid w:val="004E6F72"/>
    <w:rsid w:val="004E6FA4"/>
    <w:rsid w:val="004E6FD8"/>
    <w:rsid w:val="004E6FDB"/>
    <w:rsid w:val="004E700F"/>
    <w:rsid w:val="004E701F"/>
    <w:rsid w:val="004E7047"/>
    <w:rsid w:val="004E7079"/>
    <w:rsid w:val="004E70BF"/>
    <w:rsid w:val="004E713F"/>
    <w:rsid w:val="004E714C"/>
    <w:rsid w:val="004E7176"/>
    <w:rsid w:val="004E7187"/>
    <w:rsid w:val="004E71AC"/>
    <w:rsid w:val="004E71BE"/>
    <w:rsid w:val="004E71D7"/>
    <w:rsid w:val="004E71EB"/>
    <w:rsid w:val="004E7223"/>
    <w:rsid w:val="004E7233"/>
    <w:rsid w:val="004E7234"/>
    <w:rsid w:val="004E7242"/>
    <w:rsid w:val="004E7271"/>
    <w:rsid w:val="004E7278"/>
    <w:rsid w:val="004E728E"/>
    <w:rsid w:val="004E72DC"/>
    <w:rsid w:val="004E72E9"/>
    <w:rsid w:val="004E7301"/>
    <w:rsid w:val="004E7303"/>
    <w:rsid w:val="004E7357"/>
    <w:rsid w:val="004E73E2"/>
    <w:rsid w:val="004E7417"/>
    <w:rsid w:val="004E745B"/>
    <w:rsid w:val="004E746C"/>
    <w:rsid w:val="004E747D"/>
    <w:rsid w:val="004E7484"/>
    <w:rsid w:val="004E7487"/>
    <w:rsid w:val="004E749B"/>
    <w:rsid w:val="004E74B5"/>
    <w:rsid w:val="004E74CD"/>
    <w:rsid w:val="004E74ED"/>
    <w:rsid w:val="004E756A"/>
    <w:rsid w:val="004E759E"/>
    <w:rsid w:val="004E759F"/>
    <w:rsid w:val="004E7604"/>
    <w:rsid w:val="004E7612"/>
    <w:rsid w:val="004E7646"/>
    <w:rsid w:val="004E7671"/>
    <w:rsid w:val="004E76C8"/>
    <w:rsid w:val="004E7703"/>
    <w:rsid w:val="004E7728"/>
    <w:rsid w:val="004E7753"/>
    <w:rsid w:val="004E77A0"/>
    <w:rsid w:val="004E77B6"/>
    <w:rsid w:val="004E77CA"/>
    <w:rsid w:val="004E77DE"/>
    <w:rsid w:val="004E77E2"/>
    <w:rsid w:val="004E77F1"/>
    <w:rsid w:val="004E7802"/>
    <w:rsid w:val="004E787A"/>
    <w:rsid w:val="004E78A9"/>
    <w:rsid w:val="004E78E0"/>
    <w:rsid w:val="004E78E3"/>
    <w:rsid w:val="004E7908"/>
    <w:rsid w:val="004E791B"/>
    <w:rsid w:val="004E7936"/>
    <w:rsid w:val="004E793A"/>
    <w:rsid w:val="004E7958"/>
    <w:rsid w:val="004E79BB"/>
    <w:rsid w:val="004E79C2"/>
    <w:rsid w:val="004E79D9"/>
    <w:rsid w:val="004E7A09"/>
    <w:rsid w:val="004E7A37"/>
    <w:rsid w:val="004E7A43"/>
    <w:rsid w:val="004E7A4D"/>
    <w:rsid w:val="004E7A56"/>
    <w:rsid w:val="004E7AB7"/>
    <w:rsid w:val="004E7AE3"/>
    <w:rsid w:val="004E7B36"/>
    <w:rsid w:val="004E7B97"/>
    <w:rsid w:val="004E7BC0"/>
    <w:rsid w:val="004E7C24"/>
    <w:rsid w:val="004E7C29"/>
    <w:rsid w:val="004E7C86"/>
    <w:rsid w:val="004E7CA4"/>
    <w:rsid w:val="004E7CAB"/>
    <w:rsid w:val="004E7CB4"/>
    <w:rsid w:val="004E7CD1"/>
    <w:rsid w:val="004E7CDC"/>
    <w:rsid w:val="004E7CEB"/>
    <w:rsid w:val="004E7CED"/>
    <w:rsid w:val="004E7D2D"/>
    <w:rsid w:val="004E7D61"/>
    <w:rsid w:val="004E7D94"/>
    <w:rsid w:val="004E7DF2"/>
    <w:rsid w:val="004E7E15"/>
    <w:rsid w:val="004E7E19"/>
    <w:rsid w:val="004E7E31"/>
    <w:rsid w:val="004E7E3D"/>
    <w:rsid w:val="004E7E69"/>
    <w:rsid w:val="004E7E88"/>
    <w:rsid w:val="004E7E8B"/>
    <w:rsid w:val="004E7EAA"/>
    <w:rsid w:val="004E7ED4"/>
    <w:rsid w:val="004E7F34"/>
    <w:rsid w:val="004E7F44"/>
    <w:rsid w:val="004E7F71"/>
    <w:rsid w:val="004E7F75"/>
    <w:rsid w:val="004E7FA1"/>
    <w:rsid w:val="004E7FA7"/>
    <w:rsid w:val="004E7FB1"/>
    <w:rsid w:val="004E7FCF"/>
    <w:rsid w:val="004F0041"/>
    <w:rsid w:val="004F0048"/>
    <w:rsid w:val="004F004C"/>
    <w:rsid w:val="004F0058"/>
    <w:rsid w:val="004F006D"/>
    <w:rsid w:val="004F00BD"/>
    <w:rsid w:val="004F00FE"/>
    <w:rsid w:val="004F0123"/>
    <w:rsid w:val="004F0147"/>
    <w:rsid w:val="004F0158"/>
    <w:rsid w:val="004F015A"/>
    <w:rsid w:val="004F0180"/>
    <w:rsid w:val="004F01BD"/>
    <w:rsid w:val="004F0231"/>
    <w:rsid w:val="004F0246"/>
    <w:rsid w:val="004F027D"/>
    <w:rsid w:val="004F0294"/>
    <w:rsid w:val="004F029D"/>
    <w:rsid w:val="004F02B8"/>
    <w:rsid w:val="004F02C9"/>
    <w:rsid w:val="004F02DA"/>
    <w:rsid w:val="004F0302"/>
    <w:rsid w:val="004F032C"/>
    <w:rsid w:val="004F0359"/>
    <w:rsid w:val="004F037D"/>
    <w:rsid w:val="004F0385"/>
    <w:rsid w:val="004F03AF"/>
    <w:rsid w:val="004F03B6"/>
    <w:rsid w:val="004F03D7"/>
    <w:rsid w:val="004F0404"/>
    <w:rsid w:val="004F0407"/>
    <w:rsid w:val="004F0424"/>
    <w:rsid w:val="004F0435"/>
    <w:rsid w:val="004F0442"/>
    <w:rsid w:val="004F0464"/>
    <w:rsid w:val="004F04E4"/>
    <w:rsid w:val="004F0508"/>
    <w:rsid w:val="004F052E"/>
    <w:rsid w:val="004F053D"/>
    <w:rsid w:val="004F057A"/>
    <w:rsid w:val="004F0593"/>
    <w:rsid w:val="004F05CB"/>
    <w:rsid w:val="004F0631"/>
    <w:rsid w:val="004F06CD"/>
    <w:rsid w:val="004F06DD"/>
    <w:rsid w:val="004F075C"/>
    <w:rsid w:val="004F079C"/>
    <w:rsid w:val="004F07D3"/>
    <w:rsid w:val="004F0807"/>
    <w:rsid w:val="004F0817"/>
    <w:rsid w:val="004F0833"/>
    <w:rsid w:val="004F0898"/>
    <w:rsid w:val="004F08CE"/>
    <w:rsid w:val="004F093A"/>
    <w:rsid w:val="004F094D"/>
    <w:rsid w:val="004F0965"/>
    <w:rsid w:val="004F099B"/>
    <w:rsid w:val="004F09AB"/>
    <w:rsid w:val="004F09E1"/>
    <w:rsid w:val="004F09F5"/>
    <w:rsid w:val="004F0A3E"/>
    <w:rsid w:val="004F0A5A"/>
    <w:rsid w:val="004F0A64"/>
    <w:rsid w:val="004F0A81"/>
    <w:rsid w:val="004F0A8B"/>
    <w:rsid w:val="004F0A90"/>
    <w:rsid w:val="004F0AC0"/>
    <w:rsid w:val="004F0AE4"/>
    <w:rsid w:val="004F0AF3"/>
    <w:rsid w:val="004F0AF6"/>
    <w:rsid w:val="004F0AFF"/>
    <w:rsid w:val="004F0B68"/>
    <w:rsid w:val="004F0B7C"/>
    <w:rsid w:val="004F0BAE"/>
    <w:rsid w:val="004F0BE6"/>
    <w:rsid w:val="004F0BF3"/>
    <w:rsid w:val="004F0BF8"/>
    <w:rsid w:val="004F0C0A"/>
    <w:rsid w:val="004F0C2E"/>
    <w:rsid w:val="004F0C3A"/>
    <w:rsid w:val="004F0C7D"/>
    <w:rsid w:val="004F0C7F"/>
    <w:rsid w:val="004F0C98"/>
    <w:rsid w:val="004F0CA5"/>
    <w:rsid w:val="004F0CAE"/>
    <w:rsid w:val="004F0CE2"/>
    <w:rsid w:val="004F0D05"/>
    <w:rsid w:val="004F0D19"/>
    <w:rsid w:val="004F0D1B"/>
    <w:rsid w:val="004F0D2F"/>
    <w:rsid w:val="004F0D61"/>
    <w:rsid w:val="004F0D7C"/>
    <w:rsid w:val="004F0D90"/>
    <w:rsid w:val="004F0DA7"/>
    <w:rsid w:val="004F0DA8"/>
    <w:rsid w:val="004F0DCF"/>
    <w:rsid w:val="004F0DD6"/>
    <w:rsid w:val="004F0E0A"/>
    <w:rsid w:val="004F0E12"/>
    <w:rsid w:val="004F0E1A"/>
    <w:rsid w:val="004F0E1F"/>
    <w:rsid w:val="004F0E2C"/>
    <w:rsid w:val="004F0E51"/>
    <w:rsid w:val="004F0E5E"/>
    <w:rsid w:val="004F0E76"/>
    <w:rsid w:val="004F0E77"/>
    <w:rsid w:val="004F0E7F"/>
    <w:rsid w:val="004F0E83"/>
    <w:rsid w:val="004F0E94"/>
    <w:rsid w:val="004F0EAC"/>
    <w:rsid w:val="004F0ED7"/>
    <w:rsid w:val="004F0EF2"/>
    <w:rsid w:val="004F0F34"/>
    <w:rsid w:val="004F0F77"/>
    <w:rsid w:val="004F0FA9"/>
    <w:rsid w:val="004F0FF0"/>
    <w:rsid w:val="004F1013"/>
    <w:rsid w:val="004F1061"/>
    <w:rsid w:val="004F1069"/>
    <w:rsid w:val="004F1095"/>
    <w:rsid w:val="004F10F9"/>
    <w:rsid w:val="004F110C"/>
    <w:rsid w:val="004F11E2"/>
    <w:rsid w:val="004F1229"/>
    <w:rsid w:val="004F122D"/>
    <w:rsid w:val="004F1231"/>
    <w:rsid w:val="004F1236"/>
    <w:rsid w:val="004F1257"/>
    <w:rsid w:val="004F127D"/>
    <w:rsid w:val="004F12FD"/>
    <w:rsid w:val="004F1316"/>
    <w:rsid w:val="004F131E"/>
    <w:rsid w:val="004F1357"/>
    <w:rsid w:val="004F137B"/>
    <w:rsid w:val="004F13A9"/>
    <w:rsid w:val="004F13CD"/>
    <w:rsid w:val="004F141E"/>
    <w:rsid w:val="004F1425"/>
    <w:rsid w:val="004F142B"/>
    <w:rsid w:val="004F1436"/>
    <w:rsid w:val="004F143D"/>
    <w:rsid w:val="004F145A"/>
    <w:rsid w:val="004F1475"/>
    <w:rsid w:val="004F14BA"/>
    <w:rsid w:val="004F14C5"/>
    <w:rsid w:val="004F14D9"/>
    <w:rsid w:val="004F1500"/>
    <w:rsid w:val="004F152D"/>
    <w:rsid w:val="004F1599"/>
    <w:rsid w:val="004F159F"/>
    <w:rsid w:val="004F15A6"/>
    <w:rsid w:val="004F15BB"/>
    <w:rsid w:val="004F1600"/>
    <w:rsid w:val="004F1610"/>
    <w:rsid w:val="004F1661"/>
    <w:rsid w:val="004F1678"/>
    <w:rsid w:val="004F16DF"/>
    <w:rsid w:val="004F16F9"/>
    <w:rsid w:val="004F1709"/>
    <w:rsid w:val="004F170B"/>
    <w:rsid w:val="004F1783"/>
    <w:rsid w:val="004F179B"/>
    <w:rsid w:val="004F17B0"/>
    <w:rsid w:val="004F17CC"/>
    <w:rsid w:val="004F17F4"/>
    <w:rsid w:val="004F1829"/>
    <w:rsid w:val="004F183D"/>
    <w:rsid w:val="004F1857"/>
    <w:rsid w:val="004F187A"/>
    <w:rsid w:val="004F1891"/>
    <w:rsid w:val="004F189A"/>
    <w:rsid w:val="004F18A1"/>
    <w:rsid w:val="004F18B2"/>
    <w:rsid w:val="004F18DF"/>
    <w:rsid w:val="004F198C"/>
    <w:rsid w:val="004F1992"/>
    <w:rsid w:val="004F1A36"/>
    <w:rsid w:val="004F1A37"/>
    <w:rsid w:val="004F1A6F"/>
    <w:rsid w:val="004F1ACA"/>
    <w:rsid w:val="004F1AD6"/>
    <w:rsid w:val="004F1ADF"/>
    <w:rsid w:val="004F1AEB"/>
    <w:rsid w:val="004F1AF7"/>
    <w:rsid w:val="004F1B02"/>
    <w:rsid w:val="004F1B0F"/>
    <w:rsid w:val="004F1B65"/>
    <w:rsid w:val="004F1B8A"/>
    <w:rsid w:val="004F1BAB"/>
    <w:rsid w:val="004F1BF3"/>
    <w:rsid w:val="004F1C06"/>
    <w:rsid w:val="004F1C22"/>
    <w:rsid w:val="004F1CD3"/>
    <w:rsid w:val="004F1CD6"/>
    <w:rsid w:val="004F1CE9"/>
    <w:rsid w:val="004F1CEA"/>
    <w:rsid w:val="004F1D2A"/>
    <w:rsid w:val="004F1D5B"/>
    <w:rsid w:val="004F1DF1"/>
    <w:rsid w:val="004F1E01"/>
    <w:rsid w:val="004F1E04"/>
    <w:rsid w:val="004F1E19"/>
    <w:rsid w:val="004F1E36"/>
    <w:rsid w:val="004F1E42"/>
    <w:rsid w:val="004F1F05"/>
    <w:rsid w:val="004F1F08"/>
    <w:rsid w:val="004F1F78"/>
    <w:rsid w:val="004F1F7D"/>
    <w:rsid w:val="004F1F7E"/>
    <w:rsid w:val="004F1FA4"/>
    <w:rsid w:val="004F1FB1"/>
    <w:rsid w:val="004F1FC7"/>
    <w:rsid w:val="004F1FDE"/>
    <w:rsid w:val="004F203F"/>
    <w:rsid w:val="004F2088"/>
    <w:rsid w:val="004F209D"/>
    <w:rsid w:val="004F20C8"/>
    <w:rsid w:val="004F20CE"/>
    <w:rsid w:val="004F2111"/>
    <w:rsid w:val="004F2113"/>
    <w:rsid w:val="004F212C"/>
    <w:rsid w:val="004F2182"/>
    <w:rsid w:val="004F2183"/>
    <w:rsid w:val="004F2187"/>
    <w:rsid w:val="004F21EE"/>
    <w:rsid w:val="004F21F0"/>
    <w:rsid w:val="004F2201"/>
    <w:rsid w:val="004F2208"/>
    <w:rsid w:val="004F2229"/>
    <w:rsid w:val="004F2239"/>
    <w:rsid w:val="004F2241"/>
    <w:rsid w:val="004F2257"/>
    <w:rsid w:val="004F22E9"/>
    <w:rsid w:val="004F2309"/>
    <w:rsid w:val="004F2328"/>
    <w:rsid w:val="004F2337"/>
    <w:rsid w:val="004F233B"/>
    <w:rsid w:val="004F2350"/>
    <w:rsid w:val="004F236B"/>
    <w:rsid w:val="004F2377"/>
    <w:rsid w:val="004F23C3"/>
    <w:rsid w:val="004F23F0"/>
    <w:rsid w:val="004F240F"/>
    <w:rsid w:val="004F2425"/>
    <w:rsid w:val="004F242F"/>
    <w:rsid w:val="004F2444"/>
    <w:rsid w:val="004F2461"/>
    <w:rsid w:val="004F24AF"/>
    <w:rsid w:val="004F24F6"/>
    <w:rsid w:val="004F2562"/>
    <w:rsid w:val="004F256D"/>
    <w:rsid w:val="004F2596"/>
    <w:rsid w:val="004F25C4"/>
    <w:rsid w:val="004F25CE"/>
    <w:rsid w:val="004F25E4"/>
    <w:rsid w:val="004F2643"/>
    <w:rsid w:val="004F2660"/>
    <w:rsid w:val="004F2675"/>
    <w:rsid w:val="004F2681"/>
    <w:rsid w:val="004F2695"/>
    <w:rsid w:val="004F273D"/>
    <w:rsid w:val="004F2746"/>
    <w:rsid w:val="004F2758"/>
    <w:rsid w:val="004F278D"/>
    <w:rsid w:val="004F27B0"/>
    <w:rsid w:val="004F27F0"/>
    <w:rsid w:val="004F27F5"/>
    <w:rsid w:val="004F285D"/>
    <w:rsid w:val="004F2895"/>
    <w:rsid w:val="004F28A8"/>
    <w:rsid w:val="004F28F3"/>
    <w:rsid w:val="004F2938"/>
    <w:rsid w:val="004F296E"/>
    <w:rsid w:val="004F2977"/>
    <w:rsid w:val="004F2989"/>
    <w:rsid w:val="004F2997"/>
    <w:rsid w:val="004F29C7"/>
    <w:rsid w:val="004F29F4"/>
    <w:rsid w:val="004F2A1F"/>
    <w:rsid w:val="004F2A32"/>
    <w:rsid w:val="004F2A3D"/>
    <w:rsid w:val="004F2A43"/>
    <w:rsid w:val="004F2A72"/>
    <w:rsid w:val="004F2A8A"/>
    <w:rsid w:val="004F2A99"/>
    <w:rsid w:val="004F2AB0"/>
    <w:rsid w:val="004F2AC6"/>
    <w:rsid w:val="004F2AF1"/>
    <w:rsid w:val="004F2B05"/>
    <w:rsid w:val="004F2B10"/>
    <w:rsid w:val="004F2B43"/>
    <w:rsid w:val="004F2B83"/>
    <w:rsid w:val="004F2B91"/>
    <w:rsid w:val="004F2B9D"/>
    <w:rsid w:val="004F2BB6"/>
    <w:rsid w:val="004F2BBE"/>
    <w:rsid w:val="004F2BC5"/>
    <w:rsid w:val="004F2BD1"/>
    <w:rsid w:val="004F2C34"/>
    <w:rsid w:val="004F2C7A"/>
    <w:rsid w:val="004F2C86"/>
    <w:rsid w:val="004F2CC1"/>
    <w:rsid w:val="004F2D33"/>
    <w:rsid w:val="004F2D35"/>
    <w:rsid w:val="004F2D3C"/>
    <w:rsid w:val="004F2D50"/>
    <w:rsid w:val="004F2D8B"/>
    <w:rsid w:val="004F2DA6"/>
    <w:rsid w:val="004F2DAA"/>
    <w:rsid w:val="004F2DAE"/>
    <w:rsid w:val="004F2DBA"/>
    <w:rsid w:val="004F2DCF"/>
    <w:rsid w:val="004F2DD9"/>
    <w:rsid w:val="004F2DF1"/>
    <w:rsid w:val="004F2E32"/>
    <w:rsid w:val="004F2E8D"/>
    <w:rsid w:val="004F2EAA"/>
    <w:rsid w:val="004F2F22"/>
    <w:rsid w:val="004F2F47"/>
    <w:rsid w:val="004F2F4A"/>
    <w:rsid w:val="004F2F67"/>
    <w:rsid w:val="004F2FA2"/>
    <w:rsid w:val="004F2FC9"/>
    <w:rsid w:val="004F2FD4"/>
    <w:rsid w:val="004F2FE1"/>
    <w:rsid w:val="004F3047"/>
    <w:rsid w:val="004F304A"/>
    <w:rsid w:val="004F3062"/>
    <w:rsid w:val="004F3085"/>
    <w:rsid w:val="004F3099"/>
    <w:rsid w:val="004F30BD"/>
    <w:rsid w:val="004F30FD"/>
    <w:rsid w:val="004F312A"/>
    <w:rsid w:val="004F3134"/>
    <w:rsid w:val="004F3141"/>
    <w:rsid w:val="004F3173"/>
    <w:rsid w:val="004F31DF"/>
    <w:rsid w:val="004F31E6"/>
    <w:rsid w:val="004F31F9"/>
    <w:rsid w:val="004F3203"/>
    <w:rsid w:val="004F3224"/>
    <w:rsid w:val="004F322E"/>
    <w:rsid w:val="004F3244"/>
    <w:rsid w:val="004F32A3"/>
    <w:rsid w:val="004F32F2"/>
    <w:rsid w:val="004F3351"/>
    <w:rsid w:val="004F3352"/>
    <w:rsid w:val="004F3365"/>
    <w:rsid w:val="004F338D"/>
    <w:rsid w:val="004F338F"/>
    <w:rsid w:val="004F3396"/>
    <w:rsid w:val="004F33A9"/>
    <w:rsid w:val="004F33B6"/>
    <w:rsid w:val="004F33B9"/>
    <w:rsid w:val="004F33D6"/>
    <w:rsid w:val="004F341B"/>
    <w:rsid w:val="004F3434"/>
    <w:rsid w:val="004F343E"/>
    <w:rsid w:val="004F347D"/>
    <w:rsid w:val="004F3502"/>
    <w:rsid w:val="004F3509"/>
    <w:rsid w:val="004F351A"/>
    <w:rsid w:val="004F359E"/>
    <w:rsid w:val="004F35A5"/>
    <w:rsid w:val="004F35B9"/>
    <w:rsid w:val="004F35FC"/>
    <w:rsid w:val="004F3645"/>
    <w:rsid w:val="004F3663"/>
    <w:rsid w:val="004F36FD"/>
    <w:rsid w:val="004F3701"/>
    <w:rsid w:val="004F374A"/>
    <w:rsid w:val="004F3770"/>
    <w:rsid w:val="004F3792"/>
    <w:rsid w:val="004F37EA"/>
    <w:rsid w:val="004F3808"/>
    <w:rsid w:val="004F398E"/>
    <w:rsid w:val="004F39D4"/>
    <w:rsid w:val="004F39E4"/>
    <w:rsid w:val="004F3A05"/>
    <w:rsid w:val="004F3A0E"/>
    <w:rsid w:val="004F3A20"/>
    <w:rsid w:val="004F3A32"/>
    <w:rsid w:val="004F3A8E"/>
    <w:rsid w:val="004F3ABE"/>
    <w:rsid w:val="004F3AD7"/>
    <w:rsid w:val="004F3AED"/>
    <w:rsid w:val="004F3B10"/>
    <w:rsid w:val="004F3B2E"/>
    <w:rsid w:val="004F3B4B"/>
    <w:rsid w:val="004F3BA3"/>
    <w:rsid w:val="004F3BBB"/>
    <w:rsid w:val="004F3BEB"/>
    <w:rsid w:val="004F3BEC"/>
    <w:rsid w:val="004F3BF5"/>
    <w:rsid w:val="004F3C3F"/>
    <w:rsid w:val="004F3CD3"/>
    <w:rsid w:val="004F3CE3"/>
    <w:rsid w:val="004F3D22"/>
    <w:rsid w:val="004F3D2F"/>
    <w:rsid w:val="004F3D75"/>
    <w:rsid w:val="004F3D8D"/>
    <w:rsid w:val="004F3DA4"/>
    <w:rsid w:val="004F3DB2"/>
    <w:rsid w:val="004F3DC0"/>
    <w:rsid w:val="004F3DC9"/>
    <w:rsid w:val="004F3DE5"/>
    <w:rsid w:val="004F3E1F"/>
    <w:rsid w:val="004F3E40"/>
    <w:rsid w:val="004F3EFB"/>
    <w:rsid w:val="004F3F18"/>
    <w:rsid w:val="004F3F1B"/>
    <w:rsid w:val="004F3F27"/>
    <w:rsid w:val="004F3F2A"/>
    <w:rsid w:val="004F3F2B"/>
    <w:rsid w:val="004F3F31"/>
    <w:rsid w:val="004F3F37"/>
    <w:rsid w:val="004F3FAE"/>
    <w:rsid w:val="004F3FEE"/>
    <w:rsid w:val="004F4002"/>
    <w:rsid w:val="004F4005"/>
    <w:rsid w:val="004F4041"/>
    <w:rsid w:val="004F4085"/>
    <w:rsid w:val="004F40AA"/>
    <w:rsid w:val="004F40EE"/>
    <w:rsid w:val="004F410F"/>
    <w:rsid w:val="004F4194"/>
    <w:rsid w:val="004F419D"/>
    <w:rsid w:val="004F41FF"/>
    <w:rsid w:val="004F4218"/>
    <w:rsid w:val="004F423F"/>
    <w:rsid w:val="004F4247"/>
    <w:rsid w:val="004F424F"/>
    <w:rsid w:val="004F4275"/>
    <w:rsid w:val="004F42F9"/>
    <w:rsid w:val="004F4342"/>
    <w:rsid w:val="004F4344"/>
    <w:rsid w:val="004F4359"/>
    <w:rsid w:val="004F436E"/>
    <w:rsid w:val="004F4384"/>
    <w:rsid w:val="004F43A4"/>
    <w:rsid w:val="004F43B9"/>
    <w:rsid w:val="004F447C"/>
    <w:rsid w:val="004F449E"/>
    <w:rsid w:val="004F44B4"/>
    <w:rsid w:val="004F4526"/>
    <w:rsid w:val="004F4570"/>
    <w:rsid w:val="004F4584"/>
    <w:rsid w:val="004F458C"/>
    <w:rsid w:val="004F458D"/>
    <w:rsid w:val="004F4592"/>
    <w:rsid w:val="004F45BA"/>
    <w:rsid w:val="004F45EA"/>
    <w:rsid w:val="004F45FC"/>
    <w:rsid w:val="004F4616"/>
    <w:rsid w:val="004F461D"/>
    <w:rsid w:val="004F463F"/>
    <w:rsid w:val="004F469F"/>
    <w:rsid w:val="004F46A6"/>
    <w:rsid w:val="004F46B9"/>
    <w:rsid w:val="004F471F"/>
    <w:rsid w:val="004F4730"/>
    <w:rsid w:val="004F4786"/>
    <w:rsid w:val="004F47B4"/>
    <w:rsid w:val="004F47DC"/>
    <w:rsid w:val="004F47FD"/>
    <w:rsid w:val="004F4804"/>
    <w:rsid w:val="004F4839"/>
    <w:rsid w:val="004F48C1"/>
    <w:rsid w:val="004F48E7"/>
    <w:rsid w:val="004F48FA"/>
    <w:rsid w:val="004F4949"/>
    <w:rsid w:val="004F494E"/>
    <w:rsid w:val="004F496A"/>
    <w:rsid w:val="004F497C"/>
    <w:rsid w:val="004F49A2"/>
    <w:rsid w:val="004F49C8"/>
    <w:rsid w:val="004F49E0"/>
    <w:rsid w:val="004F49F5"/>
    <w:rsid w:val="004F4A01"/>
    <w:rsid w:val="004F4A15"/>
    <w:rsid w:val="004F4A31"/>
    <w:rsid w:val="004F4A70"/>
    <w:rsid w:val="004F4ACC"/>
    <w:rsid w:val="004F4B68"/>
    <w:rsid w:val="004F4B7A"/>
    <w:rsid w:val="004F4BC1"/>
    <w:rsid w:val="004F4C3D"/>
    <w:rsid w:val="004F4C7A"/>
    <w:rsid w:val="004F4C8A"/>
    <w:rsid w:val="004F4C94"/>
    <w:rsid w:val="004F4C95"/>
    <w:rsid w:val="004F4D18"/>
    <w:rsid w:val="004F4D52"/>
    <w:rsid w:val="004F4D56"/>
    <w:rsid w:val="004F4D60"/>
    <w:rsid w:val="004F4D73"/>
    <w:rsid w:val="004F4D7D"/>
    <w:rsid w:val="004F4D92"/>
    <w:rsid w:val="004F4DA1"/>
    <w:rsid w:val="004F4E09"/>
    <w:rsid w:val="004F4E1D"/>
    <w:rsid w:val="004F4E2D"/>
    <w:rsid w:val="004F4E31"/>
    <w:rsid w:val="004F4E6C"/>
    <w:rsid w:val="004F4E75"/>
    <w:rsid w:val="004F4ED4"/>
    <w:rsid w:val="004F4EF2"/>
    <w:rsid w:val="004F4F16"/>
    <w:rsid w:val="004F4F1C"/>
    <w:rsid w:val="004F4F2C"/>
    <w:rsid w:val="004F4F6A"/>
    <w:rsid w:val="004F4F94"/>
    <w:rsid w:val="004F4FA8"/>
    <w:rsid w:val="004F4FD5"/>
    <w:rsid w:val="004F4FED"/>
    <w:rsid w:val="004F506F"/>
    <w:rsid w:val="004F5078"/>
    <w:rsid w:val="004F5095"/>
    <w:rsid w:val="004F50A6"/>
    <w:rsid w:val="004F50A8"/>
    <w:rsid w:val="004F50D9"/>
    <w:rsid w:val="004F511C"/>
    <w:rsid w:val="004F513A"/>
    <w:rsid w:val="004F5140"/>
    <w:rsid w:val="004F5170"/>
    <w:rsid w:val="004F5172"/>
    <w:rsid w:val="004F519D"/>
    <w:rsid w:val="004F51CF"/>
    <w:rsid w:val="004F51F0"/>
    <w:rsid w:val="004F51F3"/>
    <w:rsid w:val="004F5220"/>
    <w:rsid w:val="004F524E"/>
    <w:rsid w:val="004F5265"/>
    <w:rsid w:val="004F52BC"/>
    <w:rsid w:val="004F52C8"/>
    <w:rsid w:val="004F5347"/>
    <w:rsid w:val="004F5368"/>
    <w:rsid w:val="004F536F"/>
    <w:rsid w:val="004F5376"/>
    <w:rsid w:val="004F53C9"/>
    <w:rsid w:val="004F53EC"/>
    <w:rsid w:val="004F53F5"/>
    <w:rsid w:val="004F5402"/>
    <w:rsid w:val="004F5449"/>
    <w:rsid w:val="004F5476"/>
    <w:rsid w:val="004F547D"/>
    <w:rsid w:val="004F54A7"/>
    <w:rsid w:val="004F54C2"/>
    <w:rsid w:val="004F54F6"/>
    <w:rsid w:val="004F54FA"/>
    <w:rsid w:val="004F54FD"/>
    <w:rsid w:val="004F5527"/>
    <w:rsid w:val="004F553D"/>
    <w:rsid w:val="004F5546"/>
    <w:rsid w:val="004F555F"/>
    <w:rsid w:val="004F55BE"/>
    <w:rsid w:val="004F55EE"/>
    <w:rsid w:val="004F5616"/>
    <w:rsid w:val="004F5657"/>
    <w:rsid w:val="004F566C"/>
    <w:rsid w:val="004F56A1"/>
    <w:rsid w:val="004F56EC"/>
    <w:rsid w:val="004F5707"/>
    <w:rsid w:val="004F5714"/>
    <w:rsid w:val="004F573B"/>
    <w:rsid w:val="004F5760"/>
    <w:rsid w:val="004F576F"/>
    <w:rsid w:val="004F5790"/>
    <w:rsid w:val="004F579C"/>
    <w:rsid w:val="004F57A0"/>
    <w:rsid w:val="004F57B3"/>
    <w:rsid w:val="004F5804"/>
    <w:rsid w:val="004F5819"/>
    <w:rsid w:val="004F5823"/>
    <w:rsid w:val="004F583F"/>
    <w:rsid w:val="004F5875"/>
    <w:rsid w:val="004F58A3"/>
    <w:rsid w:val="004F58D9"/>
    <w:rsid w:val="004F58F8"/>
    <w:rsid w:val="004F5906"/>
    <w:rsid w:val="004F5948"/>
    <w:rsid w:val="004F59AA"/>
    <w:rsid w:val="004F59B0"/>
    <w:rsid w:val="004F59F9"/>
    <w:rsid w:val="004F5A80"/>
    <w:rsid w:val="004F5A8B"/>
    <w:rsid w:val="004F5AA9"/>
    <w:rsid w:val="004F5ABC"/>
    <w:rsid w:val="004F5B31"/>
    <w:rsid w:val="004F5B59"/>
    <w:rsid w:val="004F5B74"/>
    <w:rsid w:val="004F5BA3"/>
    <w:rsid w:val="004F5BBD"/>
    <w:rsid w:val="004F5BDC"/>
    <w:rsid w:val="004F5C05"/>
    <w:rsid w:val="004F5C08"/>
    <w:rsid w:val="004F5C29"/>
    <w:rsid w:val="004F5C55"/>
    <w:rsid w:val="004F5C6D"/>
    <w:rsid w:val="004F5CC1"/>
    <w:rsid w:val="004F5CE1"/>
    <w:rsid w:val="004F5CEA"/>
    <w:rsid w:val="004F5CEF"/>
    <w:rsid w:val="004F5CF0"/>
    <w:rsid w:val="004F5CF8"/>
    <w:rsid w:val="004F5D0F"/>
    <w:rsid w:val="004F5D61"/>
    <w:rsid w:val="004F5DCB"/>
    <w:rsid w:val="004F5E2F"/>
    <w:rsid w:val="004F5E55"/>
    <w:rsid w:val="004F5E7E"/>
    <w:rsid w:val="004F5E9F"/>
    <w:rsid w:val="004F5EA6"/>
    <w:rsid w:val="004F5EB2"/>
    <w:rsid w:val="004F5EBF"/>
    <w:rsid w:val="004F5EC0"/>
    <w:rsid w:val="004F5EEB"/>
    <w:rsid w:val="004F5EF7"/>
    <w:rsid w:val="004F5EFC"/>
    <w:rsid w:val="004F5F37"/>
    <w:rsid w:val="004F5F50"/>
    <w:rsid w:val="004F5F51"/>
    <w:rsid w:val="004F5F62"/>
    <w:rsid w:val="004F5F90"/>
    <w:rsid w:val="004F5FC1"/>
    <w:rsid w:val="004F5FC3"/>
    <w:rsid w:val="004F5FC6"/>
    <w:rsid w:val="004F5FDB"/>
    <w:rsid w:val="004F601A"/>
    <w:rsid w:val="004F6035"/>
    <w:rsid w:val="004F6056"/>
    <w:rsid w:val="004F609C"/>
    <w:rsid w:val="004F60B3"/>
    <w:rsid w:val="004F60DE"/>
    <w:rsid w:val="004F6104"/>
    <w:rsid w:val="004F6127"/>
    <w:rsid w:val="004F619B"/>
    <w:rsid w:val="004F61B1"/>
    <w:rsid w:val="004F61D4"/>
    <w:rsid w:val="004F6205"/>
    <w:rsid w:val="004F6234"/>
    <w:rsid w:val="004F6241"/>
    <w:rsid w:val="004F624E"/>
    <w:rsid w:val="004F6291"/>
    <w:rsid w:val="004F62A0"/>
    <w:rsid w:val="004F62A9"/>
    <w:rsid w:val="004F62AA"/>
    <w:rsid w:val="004F62F2"/>
    <w:rsid w:val="004F630B"/>
    <w:rsid w:val="004F6320"/>
    <w:rsid w:val="004F635A"/>
    <w:rsid w:val="004F63B4"/>
    <w:rsid w:val="004F63DF"/>
    <w:rsid w:val="004F6411"/>
    <w:rsid w:val="004F641A"/>
    <w:rsid w:val="004F644A"/>
    <w:rsid w:val="004F6459"/>
    <w:rsid w:val="004F6463"/>
    <w:rsid w:val="004F64C3"/>
    <w:rsid w:val="004F64C7"/>
    <w:rsid w:val="004F64CA"/>
    <w:rsid w:val="004F64CC"/>
    <w:rsid w:val="004F64D0"/>
    <w:rsid w:val="004F64D8"/>
    <w:rsid w:val="004F64F0"/>
    <w:rsid w:val="004F6507"/>
    <w:rsid w:val="004F658B"/>
    <w:rsid w:val="004F65C4"/>
    <w:rsid w:val="004F65C9"/>
    <w:rsid w:val="004F6600"/>
    <w:rsid w:val="004F6602"/>
    <w:rsid w:val="004F6605"/>
    <w:rsid w:val="004F6616"/>
    <w:rsid w:val="004F66BB"/>
    <w:rsid w:val="004F66BF"/>
    <w:rsid w:val="004F66C6"/>
    <w:rsid w:val="004F66CE"/>
    <w:rsid w:val="004F670E"/>
    <w:rsid w:val="004F6729"/>
    <w:rsid w:val="004F6758"/>
    <w:rsid w:val="004F678A"/>
    <w:rsid w:val="004F678C"/>
    <w:rsid w:val="004F67A2"/>
    <w:rsid w:val="004F67C3"/>
    <w:rsid w:val="004F67C5"/>
    <w:rsid w:val="004F67F6"/>
    <w:rsid w:val="004F687A"/>
    <w:rsid w:val="004F68B6"/>
    <w:rsid w:val="004F68F6"/>
    <w:rsid w:val="004F691D"/>
    <w:rsid w:val="004F6960"/>
    <w:rsid w:val="004F698F"/>
    <w:rsid w:val="004F699D"/>
    <w:rsid w:val="004F6A07"/>
    <w:rsid w:val="004F6A1A"/>
    <w:rsid w:val="004F6A2D"/>
    <w:rsid w:val="004F6A40"/>
    <w:rsid w:val="004F6A43"/>
    <w:rsid w:val="004F6B63"/>
    <w:rsid w:val="004F6B90"/>
    <w:rsid w:val="004F6BFC"/>
    <w:rsid w:val="004F6CF5"/>
    <w:rsid w:val="004F6D16"/>
    <w:rsid w:val="004F6D1C"/>
    <w:rsid w:val="004F6D27"/>
    <w:rsid w:val="004F6D40"/>
    <w:rsid w:val="004F6D89"/>
    <w:rsid w:val="004F6D9A"/>
    <w:rsid w:val="004F6DA1"/>
    <w:rsid w:val="004F6DA4"/>
    <w:rsid w:val="004F6E25"/>
    <w:rsid w:val="004F6E2D"/>
    <w:rsid w:val="004F6E75"/>
    <w:rsid w:val="004F6E76"/>
    <w:rsid w:val="004F6EA0"/>
    <w:rsid w:val="004F6EA9"/>
    <w:rsid w:val="004F6EAA"/>
    <w:rsid w:val="004F6ED6"/>
    <w:rsid w:val="004F6F38"/>
    <w:rsid w:val="004F6F83"/>
    <w:rsid w:val="004F6F8E"/>
    <w:rsid w:val="004F6F9A"/>
    <w:rsid w:val="004F6F9E"/>
    <w:rsid w:val="004F705F"/>
    <w:rsid w:val="004F7085"/>
    <w:rsid w:val="004F7088"/>
    <w:rsid w:val="004F7096"/>
    <w:rsid w:val="004F70A8"/>
    <w:rsid w:val="004F70DD"/>
    <w:rsid w:val="004F713A"/>
    <w:rsid w:val="004F717F"/>
    <w:rsid w:val="004F7195"/>
    <w:rsid w:val="004F71B7"/>
    <w:rsid w:val="004F71BC"/>
    <w:rsid w:val="004F71D0"/>
    <w:rsid w:val="004F7308"/>
    <w:rsid w:val="004F730F"/>
    <w:rsid w:val="004F7334"/>
    <w:rsid w:val="004F7339"/>
    <w:rsid w:val="004F7357"/>
    <w:rsid w:val="004F7361"/>
    <w:rsid w:val="004F736C"/>
    <w:rsid w:val="004F7394"/>
    <w:rsid w:val="004F73CD"/>
    <w:rsid w:val="004F73DB"/>
    <w:rsid w:val="004F73F5"/>
    <w:rsid w:val="004F7444"/>
    <w:rsid w:val="004F7462"/>
    <w:rsid w:val="004F7494"/>
    <w:rsid w:val="004F749D"/>
    <w:rsid w:val="004F74B4"/>
    <w:rsid w:val="004F74BB"/>
    <w:rsid w:val="004F74C6"/>
    <w:rsid w:val="004F74D7"/>
    <w:rsid w:val="004F751B"/>
    <w:rsid w:val="004F7571"/>
    <w:rsid w:val="004F758D"/>
    <w:rsid w:val="004F7596"/>
    <w:rsid w:val="004F75E4"/>
    <w:rsid w:val="004F75E6"/>
    <w:rsid w:val="004F75F2"/>
    <w:rsid w:val="004F7622"/>
    <w:rsid w:val="004F7640"/>
    <w:rsid w:val="004F7659"/>
    <w:rsid w:val="004F76C9"/>
    <w:rsid w:val="004F76E9"/>
    <w:rsid w:val="004F7701"/>
    <w:rsid w:val="004F771A"/>
    <w:rsid w:val="004F77B2"/>
    <w:rsid w:val="004F77BE"/>
    <w:rsid w:val="004F77C0"/>
    <w:rsid w:val="004F77C9"/>
    <w:rsid w:val="004F77CA"/>
    <w:rsid w:val="004F783A"/>
    <w:rsid w:val="004F7840"/>
    <w:rsid w:val="004F7845"/>
    <w:rsid w:val="004F784E"/>
    <w:rsid w:val="004F78B0"/>
    <w:rsid w:val="004F78B4"/>
    <w:rsid w:val="004F78EF"/>
    <w:rsid w:val="004F7949"/>
    <w:rsid w:val="004F794F"/>
    <w:rsid w:val="004F7975"/>
    <w:rsid w:val="004F7996"/>
    <w:rsid w:val="004F79B1"/>
    <w:rsid w:val="004F79DD"/>
    <w:rsid w:val="004F7A43"/>
    <w:rsid w:val="004F7A7E"/>
    <w:rsid w:val="004F7AC2"/>
    <w:rsid w:val="004F7AD9"/>
    <w:rsid w:val="004F7AE0"/>
    <w:rsid w:val="004F7B19"/>
    <w:rsid w:val="004F7B1E"/>
    <w:rsid w:val="004F7B26"/>
    <w:rsid w:val="004F7B33"/>
    <w:rsid w:val="004F7B97"/>
    <w:rsid w:val="004F7B98"/>
    <w:rsid w:val="004F7BC9"/>
    <w:rsid w:val="004F7BEF"/>
    <w:rsid w:val="004F7BF2"/>
    <w:rsid w:val="004F7C13"/>
    <w:rsid w:val="004F7C38"/>
    <w:rsid w:val="004F7C45"/>
    <w:rsid w:val="004F7CB7"/>
    <w:rsid w:val="004F7CB9"/>
    <w:rsid w:val="004F7CBC"/>
    <w:rsid w:val="004F7D07"/>
    <w:rsid w:val="004F7D26"/>
    <w:rsid w:val="004F7D34"/>
    <w:rsid w:val="004F7D54"/>
    <w:rsid w:val="004F7D74"/>
    <w:rsid w:val="004F7D92"/>
    <w:rsid w:val="004F7DAC"/>
    <w:rsid w:val="004F7DDB"/>
    <w:rsid w:val="004F7E17"/>
    <w:rsid w:val="004F7E1D"/>
    <w:rsid w:val="004F7E32"/>
    <w:rsid w:val="004F7E63"/>
    <w:rsid w:val="004F7EA6"/>
    <w:rsid w:val="004F7ED5"/>
    <w:rsid w:val="004F7EFD"/>
    <w:rsid w:val="004F7F04"/>
    <w:rsid w:val="004F7F10"/>
    <w:rsid w:val="004F7F40"/>
    <w:rsid w:val="004F7F7B"/>
    <w:rsid w:val="004F7FB1"/>
    <w:rsid w:val="00500011"/>
    <w:rsid w:val="00500092"/>
    <w:rsid w:val="005000A3"/>
    <w:rsid w:val="005000AB"/>
    <w:rsid w:val="005000AE"/>
    <w:rsid w:val="005000BF"/>
    <w:rsid w:val="005000C2"/>
    <w:rsid w:val="005000D4"/>
    <w:rsid w:val="005000DD"/>
    <w:rsid w:val="00500102"/>
    <w:rsid w:val="00500117"/>
    <w:rsid w:val="005001B4"/>
    <w:rsid w:val="005001DD"/>
    <w:rsid w:val="00500226"/>
    <w:rsid w:val="00500260"/>
    <w:rsid w:val="00500269"/>
    <w:rsid w:val="00500294"/>
    <w:rsid w:val="005002A9"/>
    <w:rsid w:val="005002AD"/>
    <w:rsid w:val="005002BB"/>
    <w:rsid w:val="005002E4"/>
    <w:rsid w:val="005002E7"/>
    <w:rsid w:val="005002EA"/>
    <w:rsid w:val="00500305"/>
    <w:rsid w:val="00500314"/>
    <w:rsid w:val="0050035B"/>
    <w:rsid w:val="0050039C"/>
    <w:rsid w:val="005003B8"/>
    <w:rsid w:val="005003D7"/>
    <w:rsid w:val="005003EC"/>
    <w:rsid w:val="005003FB"/>
    <w:rsid w:val="005003FE"/>
    <w:rsid w:val="0050041A"/>
    <w:rsid w:val="00500452"/>
    <w:rsid w:val="0050047B"/>
    <w:rsid w:val="00500496"/>
    <w:rsid w:val="00500499"/>
    <w:rsid w:val="005004B0"/>
    <w:rsid w:val="005004E0"/>
    <w:rsid w:val="0050050E"/>
    <w:rsid w:val="00500513"/>
    <w:rsid w:val="0050051A"/>
    <w:rsid w:val="0050053D"/>
    <w:rsid w:val="0050059B"/>
    <w:rsid w:val="005005E9"/>
    <w:rsid w:val="0050062D"/>
    <w:rsid w:val="00500634"/>
    <w:rsid w:val="00500675"/>
    <w:rsid w:val="005006B3"/>
    <w:rsid w:val="00500703"/>
    <w:rsid w:val="0050070E"/>
    <w:rsid w:val="0050071B"/>
    <w:rsid w:val="00500760"/>
    <w:rsid w:val="00500765"/>
    <w:rsid w:val="00500813"/>
    <w:rsid w:val="0050081C"/>
    <w:rsid w:val="00500842"/>
    <w:rsid w:val="005008AB"/>
    <w:rsid w:val="005008AD"/>
    <w:rsid w:val="005008CE"/>
    <w:rsid w:val="0050092E"/>
    <w:rsid w:val="00500939"/>
    <w:rsid w:val="0050094E"/>
    <w:rsid w:val="0050096B"/>
    <w:rsid w:val="00500978"/>
    <w:rsid w:val="0050097D"/>
    <w:rsid w:val="00500986"/>
    <w:rsid w:val="005009A5"/>
    <w:rsid w:val="005009E0"/>
    <w:rsid w:val="00500A45"/>
    <w:rsid w:val="00500A58"/>
    <w:rsid w:val="00500A70"/>
    <w:rsid w:val="00500AAC"/>
    <w:rsid w:val="00500AB2"/>
    <w:rsid w:val="00500AC4"/>
    <w:rsid w:val="00500AD7"/>
    <w:rsid w:val="00500B11"/>
    <w:rsid w:val="00500B49"/>
    <w:rsid w:val="00500BC3"/>
    <w:rsid w:val="00500BF9"/>
    <w:rsid w:val="00500C30"/>
    <w:rsid w:val="00500C95"/>
    <w:rsid w:val="00500CBC"/>
    <w:rsid w:val="00500CBE"/>
    <w:rsid w:val="00500CE3"/>
    <w:rsid w:val="00500D2C"/>
    <w:rsid w:val="00500D44"/>
    <w:rsid w:val="00500D8A"/>
    <w:rsid w:val="00500D8E"/>
    <w:rsid w:val="00500D9E"/>
    <w:rsid w:val="00500DC3"/>
    <w:rsid w:val="00500DCF"/>
    <w:rsid w:val="00500DD1"/>
    <w:rsid w:val="00500E02"/>
    <w:rsid w:val="00500E12"/>
    <w:rsid w:val="00500E27"/>
    <w:rsid w:val="00500E92"/>
    <w:rsid w:val="00500EC7"/>
    <w:rsid w:val="00500ED5"/>
    <w:rsid w:val="00500EE3"/>
    <w:rsid w:val="00500EEC"/>
    <w:rsid w:val="00500EF9"/>
    <w:rsid w:val="00500EFE"/>
    <w:rsid w:val="00500F0F"/>
    <w:rsid w:val="00500F44"/>
    <w:rsid w:val="00500F57"/>
    <w:rsid w:val="00500F82"/>
    <w:rsid w:val="00500FE9"/>
    <w:rsid w:val="00501003"/>
    <w:rsid w:val="0050100B"/>
    <w:rsid w:val="0050101D"/>
    <w:rsid w:val="00501067"/>
    <w:rsid w:val="00501068"/>
    <w:rsid w:val="00501087"/>
    <w:rsid w:val="005010A8"/>
    <w:rsid w:val="005010AF"/>
    <w:rsid w:val="005010B1"/>
    <w:rsid w:val="005010EA"/>
    <w:rsid w:val="005010FE"/>
    <w:rsid w:val="00501121"/>
    <w:rsid w:val="00501138"/>
    <w:rsid w:val="0050114A"/>
    <w:rsid w:val="00501163"/>
    <w:rsid w:val="00501184"/>
    <w:rsid w:val="00501195"/>
    <w:rsid w:val="005011DC"/>
    <w:rsid w:val="005011E0"/>
    <w:rsid w:val="0050120C"/>
    <w:rsid w:val="00501230"/>
    <w:rsid w:val="0050123B"/>
    <w:rsid w:val="00501263"/>
    <w:rsid w:val="0050127F"/>
    <w:rsid w:val="00501296"/>
    <w:rsid w:val="0050129B"/>
    <w:rsid w:val="005012C4"/>
    <w:rsid w:val="005012D4"/>
    <w:rsid w:val="005012FC"/>
    <w:rsid w:val="0050131D"/>
    <w:rsid w:val="0050132E"/>
    <w:rsid w:val="0050139D"/>
    <w:rsid w:val="005013A3"/>
    <w:rsid w:val="005013B5"/>
    <w:rsid w:val="00501404"/>
    <w:rsid w:val="0050141A"/>
    <w:rsid w:val="0050142A"/>
    <w:rsid w:val="0050142E"/>
    <w:rsid w:val="0050143F"/>
    <w:rsid w:val="00501450"/>
    <w:rsid w:val="00501464"/>
    <w:rsid w:val="0050147E"/>
    <w:rsid w:val="005014BD"/>
    <w:rsid w:val="005014C8"/>
    <w:rsid w:val="005014D4"/>
    <w:rsid w:val="005014DE"/>
    <w:rsid w:val="005014F1"/>
    <w:rsid w:val="005014FA"/>
    <w:rsid w:val="00501519"/>
    <w:rsid w:val="00501544"/>
    <w:rsid w:val="00501577"/>
    <w:rsid w:val="00501594"/>
    <w:rsid w:val="0050159B"/>
    <w:rsid w:val="005015A3"/>
    <w:rsid w:val="005015AF"/>
    <w:rsid w:val="005015BC"/>
    <w:rsid w:val="005015F9"/>
    <w:rsid w:val="00501605"/>
    <w:rsid w:val="0050161D"/>
    <w:rsid w:val="00501626"/>
    <w:rsid w:val="00501698"/>
    <w:rsid w:val="005016B5"/>
    <w:rsid w:val="005016D0"/>
    <w:rsid w:val="005016D5"/>
    <w:rsid w:val="005016D7"/>
    <w:rsid w:val="0050170A"/>
    <w:rsid w:val="0050171B"/>
    <w:rsid w:val="00501729"/>
    <w:rsid w:val="0050172A"/>
    <w:rsid w:val="0050173C"/>
    <w:rsid w:val="005017A4"/>
    <w:rsid w:val="00501817"/>
    <w:rsid w:val="00501856"/>
    <w:rsid w:val="00501870"/>
    <w:rsid w:val="00501871"/>
    <w:rsid w:val="0050190E"/>
    <w:rsid w:val="00501913"/>
    <w:rsid w:val="00501954"/>
    <w:rsid w:val="0050196A"/>
    <w:rsid w:val="0050196B"/>
    <w:rsid w:val="00501973"/>
    <w:rsid w:val="00501980"/>
    <w:rsid w:val="00501990"/>
    <w:rsid w:val="0050199A"/>
    <w:rsid w:val="005019DA"/>
    <w:rsid w:val="00501A00"/>
    <w:rsid w:val="00501A13"/>
    <w:rsid w:val="00501AB9"/>
    <w:rsid w:val="00501AD0"/>
    <w:rsid w:val="00501B46"/>
    <w:rsid w:val="00501B75"/>
    <w:rsid w:val="00501B97"/>
    <w:rsid w:val="00501BAA"/>
    <w:rsid w:val="00501BB2"/>
    <w:rsid w:val="00501BDB"/>
    <w:rsid w:val="00501BFF"/>
    <w:rsid w:val="00501C3A"/>
    <w:rsid w:val="00501C6F"/>
    <w:rsid w:val="00501C79"/>
    <w:rsid w:val="00501C7E"/>
    <w:rsid w:val="00501C8A"/>
    <w:rsid w:val="00501CBB"/>
    <w:rsid w:val="00501D0E"/>
    <w:rsid w:val="00501D49"/>
    <w:rsid w:val="00501D5A"/>
    <w:rsid w:val="00501D67"/>
    <w:rsid w:val="00501D7D"/>
    <w:rsid w:val="00501DA2"/>
    <w:rsid w:val="00501DAA"/>
    <w:rsid w:val="00501DB0"/>
    <w:rsid w:val="00501DF1"/>
    <w:rsid w:val="00501DF7"/>
    <w:rsid w:val="00501E13"/>
    <w:rsid w:val="00501E17"/>
    <w:rsid w:val="00501E3D"/>
    <w:rsid w:val="00501E53"/>
    <w:rsid w:val="00501E6E"/>
    <w:rsid w:val="00501E74"/>
    <w:rsid w:val="00501EA7"/>
    <w:rsid w:val="00501EB7"/>
    <w:rsid w:val="00501EEB"/>
    <w:rsid w:val="00501F08"/>
    <w:rsid w:val="00501F26"/>
    <w:rsid w:val="00501FA2"/>
    <w:rsid w:val="00501FAF"/>
    <w:rsid w:val="00501FC0"/>
    <w:rsid w:val="00501FC4"/>
    <w:rsid w:val="00502013"/>
    <w:rsid w:val="0050201D"/>
    <w:rsid w:val="00502065"/>
    <w:rsid w:val="0050208E"/>
    <w:rsid w:val="005020A5"/>
    <w:rsid w:val="005020B9"/>
    <w:rsid w:val="005020F5"/>
    <w:rsid w:val="0050211B"/>
    <w:rsid w:val="00502124"/>
    <w:rsid w:val="0050214F"/>
    <w:rsid w:val="0050215B"/>
    <w:rsid w:val="0050219D"/>
    <w:rsid w:val="005021A6"/>
    <w:rsid w:val="005021D3"/>
    <w:rsid w:val="0050220A"/>
    <w:rsid w:val="0050221A"/>
    <w:rsid w:val="0050221F"/>
    <w:rsid w:val="00502269"/>
    <w:rsid w:val="00502280"/>
    <w:rsid w:val="0050229F"/>
    <w:rsid w:val="005022B5"/>
    <w:rsid w:val="005022B7"/>
    <w:rsid w:val="005022E5"/>
    <w:rsid w:val="00502309"/>
    <w:rsid w:val="00502314"/>
    <w:rsid w:val="00502318"/>
    <w:rsid w:val="00502322"/>
    <w:rsid w:val="00502336"/>
    <w:rsid w:val="0050238A"/>
    <w:rsid w:val="005023A3"/>
    <w:rsid w:val="005023EC"/>
    <w:rsid w:val="005023FB"/>
    <w:rsid w:val="00502411"/>
    <w:rsid w:val="00502413"/>
    <w:rsid w:val="0050241E"/>
    <w:rsid w:val="00502459"/>
    <w:rsid w:val="0050246C"/>
    <w:rsid w:val="00502473"/>
    <w:rsid w:val="005024AA"/>
    <w:rsid w:val="005024EC"/>
    <w:rsid w:val="0050251F"/>
    <w:rsid w:val="00502536"/>
    <w:rsid w:val="00502546"/>
    <w:rsid w:val="00502555"/>
    <w:rsid w:val="00502591"/>
    <w:rsid w:val="005025BE"/>
    <w:rsid w:val="00502638"/>
    <w:rsid w:val="0050264C"/>
    <w:rsid w:val="00502654"/>
    <w:rsid w:val="00502683"/>
    <w:rsid w:val="00502702"/>
    <w:rsid w:val="00502725"/>
    <w:rsid w:val="00502729"/>
    <w:rsid w:val="0050272A"/>
    <w:rsid w:val="0050273F"/>
    <w:rsid w:val="0050274F"/>
    <w:rsid w:val="00502767"/>
    <w:rsid w:val="0050277B"/>
    <w:rsid w:val="005027B6"/>
    <w:rsid w:val="0050287A"/>
    <w:rsid w:val="005028A3"/>
    <w:rsid w:val="005028B7"/>
    <w:rsid w:val="00502927"/>
    <w:rsid w:val="00502934"/>
    <w:rsid w:val="0050293A"/>
    <w:rsid w:val="0050297C"/>
    <w:rsid w:val="00502984"/>
    <w:rsid w:val="005029D5"/>
    <w:rsid w:val="00502A2D"/>
    <w:rsid w:val="00502A78"/>
    <w:rsid w:val="00502A82"/>
    <w:rsid w:val="00502B12"/>
    <w:rsid w:val="00502B36"/>
    <w:rsid w:val="00502B3C"/>
    <w:rsid w:val="00502B45"/>
    <w:rsid w:val="00502B66"/>
    <w:rsid w:val="00502B67"/>
    <w:rsid w:val="00502BA0"/>
    <w:rsid w:val="00502BB2"/>
    <w:rsid w:val="00502BCB"/>
    <w:rsid w:val="00502C56"/>
    <w:rsid w:val="00502C66"/>
    <w:rsid w:val="00502C6C"/>
    <w:rsid w:val="00502C79"/>
    <w:rsid w:val="00502C8A"/>
    <w:rsid w:val="00502C8F"/>
    <w:rsid w:val="00502CE6"/>
    <w:rsid w:val="00502D11"/>
    <w:rsid w:val="00502D1F"/>
    <w:rsid w:val="00502D32"/>
    <w:rsid w:val="00502D71"/>
    <w:rsid w:val="00502D94"/>
    <w:rsid w:val="00502D97"/>
    <w:rsid w:val="00502DA8"/>
    <w:rsid w:val="00502DEA"/>
    <w:rsid w:val="00502DFC"/>
    <w:rsid w:val="00502DFE"/>
    <w:rsid w:val="00502E2D"/>
    <w:rsid w:val="00502E64"/>
    <w:rsid w:val="00502E7C"/>
    <w:rsid w:val="00502E91"/>
    <w:rsid w:val="00502E96"/>
    <w:rsid w:val="00502EEE"/>
    <w:rsid w:val="00502EF9"/>
    <w:rsid w:val="00502F0B"/>
    <w:rsid w:val="00502F1C"/>
    <w:rsid w:val="00502F4D"/>
    <w:rsid w:val="00502F53"/>
    <w:rsid w:val="00502F77"/>
    <w:rsid w:val="00502FBC"/>
    <w:rsid w:val="00502FDA"/>
    <w:rsid w:val="00502FF5"/>
    <w:rsid w:val="00503007"/>
    <w:rsid w:val="0050300F"/>
    <w:rsid w:val="00503082"/>
    <w:rsid w:val="0050308F"/>
    <w:rsid w:val="00503096"/>
    <w:rsid w:val="005030AC"/>
    <w:rsid w:val="005030B1"/>
    <w:rsid w:val="005030BD"/>
    <w:rsid w:val="005030BE"/>
    <w:rsid w:val="0050311B"/>
    <w:rsid w:val="00503132"/>
    <w:rsid w:val="0050313F"/>
    <w:rsid w:val="00503148"/>
    <w:rsid w:val="0050315A"/>
    <w:rsid w:val="0050316F"/>
    <w:rsid w:val="005031A5"/>
    <w:rsid w:val="005031AF"/>
    <w:rsid w:val="005031B3"/>
    <w:rsid w:val="00503203"/>
    <w:rsid w:val="0050324A"/>
    <w:rsid w:val="0050325C"/>
    <w:rsid w:val="00503278"/>
    <w:rsid w:val="00503282"/>
    <w:rsid w:val="0050328E"/>
    <w:rsid w:val="005032D4"/>
    <w:rsid w:val="00503305"/>
    <w:rsid w:val="0050332C"/>
    <w:rsid w:val="00503339"/>
    <w:rsid w:val="0050336B"/>
    <w:rsid w:val="0050336C"/>
    <w:rsid w:val="00503374"/>
    <w:rsid w:val="00503404"/>
    <w:rsid w:val="00503453"/>
    <w:rsid w:val="0050347B"/>
    <w:rsid w:val="0050349A"/>
    <w:rsid w:val="005034C6"/>
    <w:rsid w:val="005034CE"/>
    <w:rsid w:val="00503513"/>
    <w:rsid w:val="00503514"/>
    <w:rsid w:val="00503555"/>
    <w:rsid w:val="00503574"/>
    <w:rsid w:val="0050359B"/>
    <w:rsid w:val="005035B1"/>
    <w:rsid w:val="005035D6"/>
    <w:rsid w:val="00503659"/>
    <w:rsid w:val="00503691"/>
    <w:rsid w:val="0050369A"/>
    <w:rsid w:val="005036A9"/>
    <w:rsid w:val="005036BE"/>
    <w:rsid w:val="005036D0"/>
    <w:rsid w:val="005036D3"/>
    <w:rsid w:val="005036F6"/>
    <w:rsid w:val="0050371E"/>
    <w:rsid w:val="00503772"/>
    <w:rsid w:val="00503778"/>
    <w:rsid w:val="005037D5"/>
    <w:rsid w:val="005037D8"/>
    <w:rsid w:val="005037F5"/>
    <w:rsid w:val="00503802"/>
    <w:rsid w:val="00503821"/>
    <w:rsid w:val="00503827"/>
    <w:rsid w:val="0050386A"/>
    <w:rsid w:val="00503884"/>
    <w:rsid w:val="0050388E"/>
    <w:rsid w:val="005038EF"/>
    <w:rsid w:val="005038FE"/>
    <w:rsid w:val="0050390A"/>
    <w:rsid w:val="0050391F"/>
    <w:rsid w:val="00503962"/>
    <w:rsid w:val="005039CF"/>
    <w:rsid w:val="005039D2"/>
    <w:rsid w:val="005039DE"/>
    <w:rsid w:val="005039F1"/>
    <w:rsid w:val="00503A00"/>
    <w:rsid w:val="00503A12"/>
    <w:rsid w:val="00503A73"/>
    <w:rsid w:val="00503A91"/>
    <w:rsid w:val="00503AFC"/>
    <w:rsid w:val="00503B00"/>
    <w:rsid w:val="00503B3E"/>
    <w:rsid w:val="00503B52"/>
    <w:rsid w:val="00503B56"/>
    <w:rsid w:val="00503BBA"/>
    <w:rsid w:val="00503BC4"/>
    <w:rsid w:val="00503BF9"/>
    <w:rsid w:val="00503C1F"/>
    <w:rsid w:val="00503C22"/>
    <w:rsid w:val="00503C32"/>
    <w:rsid w:val="00503C48"/>
    <w:rsid w:val="00503C62"/>
    <w:rsid w:val="00503C76"/>
    <w:rsid w:val="00503CC2"/>
    <w:rsid w:val="00503CE5"/>
    <w:rsid w:val="00503CF2"/>
    <w:rsid w:val="00503CFD"/>
    <w:rsid w:val="00503D0A"/>
    <w:rsid w:val="00503D29"/>
    <w:rsid w:val="00503D38"/>
    <w:rsid w:val="00503D51"/>
    <w:rsid w:val="00503D7D"/>
    <w:rsid w:val="00503DB2"/>
    <w:rsid w:val="00503DB6"/>
    <w:rsid w:val="00503E09"/>
    <w:rsid w:val="00503E24"/>
    <w:rsid w:val="00503E36"/>
    <w:rsid w:val="00503E46"/>
    <w:rsid w:val="00503E55"/>
    <w:rsid w:val="00503E76"/>
    <w:rsid w:val="00503E92"/>
    <w:rsid w:val="00503EAD"/>
    <w:rsid w:val="00503EB7"/>
    <w:rsid w:val="00503EBE"/>
    <w:rsid w:val="00503EC6"/>
    <w:rsid w:val="00503EE0"/>
    <w:rsid w:val="00503EEF"/>
    <w:rsid w:val="00503EFA"/>
    <w:rsid w:val="00503EFD"/>
    <w:rsid w:val="00503F03"/>
    <w:rsid w:val="00503F07"/>
    <w:rsid w:val="00503F1A"/>
    <w:rsid w:val="00503F24"/>
    <w:rsid w:val="00503F36"/>
    <w:rsid w:val="00503F60"/>
    <w:rsid w:val="00503F80"/>
    <w:rsid w:val="00503F88"/>
    <w:rsid w:val="00503F91"/>
    <w:rsid w:val="00503FC6"/>
    <w:rsid w:val="00503FF0"/>
    <w:rsid w:val="0050402D"/>
    <w:rsid w:val="0050403A"/>
    <w:rsid w:val="0050403B"/>
    <w:rsid w:val="00504076"/>
    <w:rsid w:val="005040CF"/>
    <w:rsid w:val="005040D3"/>
    <w:rsid w:val="005040DF"/>
    <w:rsid w:val="00504103"/>
    <w:rsid w:val="00504124"/>
    <w:rsid w:val="00504151"/>
    <w:rsid w:val="0050415A"/>
    <w:rsid w:val="005041BE"/>
    <w:rsid w:val="005041C1"/>
    <w:rsid w:val="005041D3"/>
    <w:rsid w:val="005041D6"/>
    <w:rsid w:val="005041EB"/>
    <w:rsid w:val="00504226"/>
    <w:rsid w:val="0050423C"/>
    <w:rsid w:val="0050424E"/>
    <w:rsid w:val="00504251"/>
    <w:rsid w:val="00504258"/>
    <w:rsid w:val="0050425E"/>
    <w:rsid w:val="005042D6"/>
    <w:rsid w:val="005042E9"/>
    <w:rsid w:val="00504318"/>
    <w:rsid w:val="0050433C"/>
    <w:rsid w:val="00504430"/>
    <w:rsid w:val="00504433"/>
    <w:rsid w:val="0050443E"/>
    <w:rsid w:val="0050446B"/>
    <w:rsid w:val="00504474"/>
    <w:rsid w:val="005044EE"/>
    <w:rsid w:val="00504505"/>
    <w:rsid w:val="0050452E"/>
    <w:rsid w:val="00504533"/>
    <w:rsid w:val="0050459A"/>
    <w:rsid w:val="005045B6"/>
    <w:rsid w:val="005045FF"/>
    <w:rsid w:val="0050469A"/>
    <w:rsid w:val="005046A0"/>
    <w:rsid w:val="005046E2"/>
    <w:rsid w:val="0050471E"/>
    <w:rsid w:val="0050479A"/>
    <w:rsid w:val="005047A9"/>
    <w:rsid w:val="005047B3"/>
    <w:rsid w:val="005047EF"/>
    <w:rsid w:val="00504887"/>
    <w:rsid w:val="005048A4"/>
    <w:rsid w:val="005048E5"/>
    <w:rsid w:val="005048EF"/>
    <w:rsid w:val="0050493A"/>
    <w:rsid w:val="0050496C"/>
    <w:rsid w:val="005049BB"/>
    <w:rsid w:val="005049D3"/>
    <w:rsid w:val="005049F7"/>
    <w:rsid w:val="00504A29"/>
    <w:rsid w:val="00504A7B"/>
    <w:rsid w:val="00504AEE"/>
    <w:rsid w:val="00504AF4"/>
    <w:rsid w:val="00504AF8"/>
    <w:rsid w:val="00504B14"/>
    <w:rsid w:val="00504B3A"/>
    <w:rsid w:val="00504BBC"/>
    <w:rsid w:val="00504BBF"/>
    <w:rsid w:val="00504BEB"/>
    <w:rsid w:val="00504BF1"/>
    <w:rsid w:val="00504BFD"/>
    <w:rsid w:val="00504BFE"/>
    <w:rsid w:val="00504C5A"/>
    <w:rsid w:val="00504C5E"/>
    <w:rsid w:val="00504C84"/>
    <w:rsid w:val="00504CA3"/>
    <w:rsid w:val="00504CC1"/>
    <w:rsid w:val="00504CC4"/>
    <w:rsid w:val="00504CCE"/>
    <w:rsid w:val="00504D0D"/>
    <w:rsid w:val="00504D23"/>
    <w:rsid w:val="00504D76"/>
    <w:rsid w:val="00504D9F"/>
    <w:rsid w:val="00504DA4"/>
    <w:rsid w:val="00504E21"/>
    <w:rsid w:val="00504E36"/>
    <w:rsid w:val="00504E3E"/>
    <w:rsid w:val="00504E6F"/>
    <w:rsid w:val="00504E79"/>
    <w:rsid w:val="00504EAB"/>
    <w:rsid w:val="00504EF2"/>
    <w:rsid w:val="00504F0B"/>
    <w:rsid w:val="00504F8D"/>
    <w:rsid w:val="00504FA9"/>
    <w:rsid w:val="0050507E"/>
    <w:rsid w:val="0050509A"/>
    <w:rsid w:val="005050CA"/>
    <w:rsid w:val="00505128"/>
    <w:rsid w:val="0050512D"/>
    <w:rsid w:val="0050517C"/>
    <w:rsid w:val="0050519E"/>
    <w:rsid w:val="005051BE"/>
    <w:rsid w:val="005051CD"/>
    <w:rsid w:val="00505216"/>
    <w:rsid w:val="0050521D"/>
    <w:rsid w:val="0050521F"/>
    <w:rsid w:val="00505285"/>
    <w:rsid w:val="00505288"/>
    <w:rsid w:val="0050528F"/>
    <w:rsid w:val="0050529D"/>
    <w:rsid w:val="005052A9"/>
    <w:rsid w:val="005052CD"/>
    <w:rsid w:val="0050533F"/>
    <w:rsid w:val="00505366"/>
    <w:rsid w:val="0050536E"/>
    <w:rsid w:val="0050538B"/>
    <w:rsid w:val="005053AC"/>
    <w:rsid w:val="005053E4"/>
    <w:rsid w:val="005053FE"/>
    <w:rsid w:val="0050541E"/>
    <w:rsid w:val="0050546A"/>
    <w:rsid w:val="0050547E"/>
    <w:rsid w:val="0050548B"/>
    <w:rsid w:val="005054F4"/>
    <w:rsid w:val="00505504"/>
    <w:rsid w:val="0050551A"/>
    <w:rsid w:val="00505532"/>
    <w:rsid w:val="00505583"/>
    <w:rsid w:val="00505585"/>
    <w:rsid w:val="0050558D"/>
    <w:rsid w:val="005055DA"/>
    <w:rsid w:val="00505620"/>
    <w:rsid w:val="00505634"/>
    <w:rsid w:val="00505635"/>
    <w:rsid w:val="005056BD"/>
    <w:rsid w:val="005056D2"/>
    <w:rsid w:val="005056E6"/>
    <w:rsid w:val="00505726"/>
    <w:rsid w:val="00505738"/>
    <w:rsid w:val="00505776"/>
    <w:rsid w:val="00505787"/>
    <w:rsid w:val="0050578B"/>
    <w:rsid w:val="0050578C"/>
    <w:rsid w:val="005057A0"/>
    <w:rsid w:val="005057C2"/>
    <w:rsid w:val="005057F2"/>
    <w:rsid w:val="0050580C"/>
    <w:rsid w:val="00505817"/>
    <w:rsid w:val="00505853"/>
    <w:rsid w:val="00505857"/>
    <w:rsid w:val="0050589C"/>
    <w:rsid w:val="0050591D"/>
    <w:rsid w:val="00505941"/>
    <w:rsid w:val="00505967"/>
    <w:rsid w:val="0050596E"/>
    <w:rsid w:val="005059E5"/>
    <w:rsid w:val="005059E8"/>
    <w:rsid w:val="005059F1"/>
    <w:rsid w:val="00505A1B"/>
    <w:rsid w:val="00505A3C"/>
    <w:rsid w:val="00505A46"/>
    <w:rsid w:val="00505A47"/>
    <w:rsid w:val="00505A73"/>
    <w:rsid w:val="00505AA3"/>
    <w:rsid w:val="00505AAF"/>
    <w:rsid w:val="00505ABE"/>
    <w:rsid w:val="00505AD4"/>
    <w:rsid w:val="00505ADC"/>
    <w:rsid w:val="00505AF3"/>
    <w:rsid w:val="00505B3F"/>
    <w:rsid w:val="00505B4E"/>
    <w:rsid w:val="00505B55"/>
    <w:rsid w:val="00505B6C"/>
    <w:rsid w:val="00505B93"/>
    <w:rsid w:val="00505B96"/>
    <w:rsid w:val="00505BC1"/>
    <w:rsid w:val="00505BF9"/>
    <w:rsid w:val="00505BFC"/>
    <w:rsid w:val="00505C47"/>
    <w:rsid w:val="00505C4F"/>
    <w:rsid w:val="00505C8D"/>
    <w:rsid w:val="00505CEE"/>
    <w:rsid w:val="00505D0E"/>
    <w:rsid w:val="00505D48"/>
    <w:rsid w:val="00505D4B"/>
    <w:rsid w:val="00505D52"/>
    <w:rsid w:val="00505D7E"/>
    <w:rsid w:val="00505DC9"/>
    <w:rsid w:val="00505DCA"/>
    <w:rsid w:val="00505E0D"/>
    <w:rsid w:val="00505E55"/>
    <w:rsid w:val="00505E8E"/>
    <w:rsid w:val="00505ECC"/>
    <w:rsid w:val="00505ED6"/>
    <w:rsid w:val="00505EEB"/>
    <w:rsid w:val="00505F0C"/>
    <w:rsid w:val="00505F2C"/>
    <w:rsid w:val="00505F67"/>
    <w:rsid w:val="00505F96"/>
    <w:rsid w:val="00505FAE"/>
    <w:rsid w:val="00505FC5"/>
    <w:rsid w:val="00505FE4"/>
    <w:rsid w:val="00505FE7"/>
    <w:rsid w:val="00505FE9"/>
    <w:rsid w:val="0050602E"/>
    <w:rsid w:val="00506097"/>
    <w:rsid w:val="0050609F"/>
    <w:rsid w:val="005060AD"/>
    <w:rsid w:val="005060B5"/>
    <w:rsid w:val="005060C7"/>
    <w:rsid w:val="005060E7"/>
    <w:rsid w:val="005060F4"/>
    <w:rsid w:val="0050616D"/>
    <w:rsid w:val="00506191"/>
    <w:rsid w:val="0050622E"/>
    <w:rsid w:val="0050624F"/>
    <w:rsid w:val="0050625A"/>
    <w:rsid w:val="00506281"/>
    <w:rsid w:val="005062B0"/>
    <w:rsid w:val="005062BF"/>
    <w:rsid w:val="005062D6"/>
    <w:rsid w:val="005062F7"/>
    <w:rsid w:val="005062FC"/>
    <w:rsid w:val="0050631A"/>
    <w:rsid w:val="0050636B"/>
    <w:rsid w:val="00506392"/>
    <w:rsid w:val="005063CD"/>
    <w:rsid w:val="00506400"/>
    <w:rsid w:val="00506435"/>
    <w:rsid w:val="00506475"/>
    <w:rsid w:val="005064BB"/>
    <w:rsid w:val="005064F9"/>
    <w:rsid w:val="00506505"/>
    <w:rsid w:val="00506556"/>
    <w:rsid w:val="0050656D"/>
    <w:rsid w:val="00506570"/>
    <w:rsid w:val="00506579"/>
    <w:rsid w:val="0050658B"/>
    <w:rsid w:val="00506596"/>
    <w:rsid w:val="0050659E"/>
    <w:rsid w:val="005065D3"/>
    <w:rsid w:val="005065F0"/>
    <w:rsid w:val="005065FE"/>
    <w:rsid w:val="0050662C"/>
    <w:rsid w:val="00506649"/>
    <w:rsid w:val="005066EB"/>
    <w:rsid w:val="00506715"/>
    <w:rsid w:val="00506771"/>
    <w:rsid w:val="0050677B"/>
    <w:rsid w:val="005067C0"/>
    <w:rsid w:val="00506805"/>
    <w:rsid w:val="0050680C"/>
    <w:rsid w:val="00506810"/>
    <w:rsid w:val="00506814"/>
    <w:rsid w:val="00506820"/>
    <w:rsid w:val="00506840"/>
    <w:rsid w:val="00506845"/>
    <w:rsid w:val="0050685B"/>
    <w:rsid w:val="0050686F"/>
    <w:rsid w:val="0050689E"/>
    <w:rsid w:val="005068AA"/>
    <w:rsid w:val="005068DD"/>
    <w:rsid w:val="005068DE"/>
    <w:rsid w:val="005068EB"/>
    <w:rsid w:val="005068FB"/>
    <w:rsid w:val="005068FE"/>
    <w:rsid w:val="00506919"/>
    <w:rsid w:val="00506968"/>
    <w:rsid w:val="00506975"/>
    <w:rsid w:val="005069BA"/>
    <w:rsid w:val="00506AFB"/>
    <w:rsid w:val="00506B11"/>
    <w:rsid w:val="00506B1C"/>
    <w:rsid w:val="00506B7E"/>
    <w:rsid w:val="00506BA9"/>
    <w:rsid w:val="00506BDB"/>
    <w:rsid w:val="00506C02"/>
    <w:rsid w:val="00506C2B"/>
    <w:rsid w:val="00506C36"/>
    <w:rsid w:val="00506C50"/>
    <w:rsid w:val="00506C77"/>
    <w:rsid w:val="00506C9C"/>
    <w:rsid w:val="00506CFB"/>
    <w:rsid w:val="00506D00"/>
    <w:rsid w:val="00506D2B"/>
    <w:rsid w:val="00506E1E"/>
    <w:rsid w:val="00506E3A"/>
    <w:rsid w:val="00506E99"/>
    <w:rsid w:val="00506EC4"/>
    <w:rsid w:val="00506EE2"/>
    <w:rsid w:val="00506F67"/>
    <w:rsid w:val="00506F94"/>
    <w:rsid w:val="00506FA9"/>
    <w:rsid w:val="00506FD1"/>
    <w:rsid w:val="00506FDB"/>
    <w:rsid w:val="00507002"/>
    <w:rsid w:val="00507007"/>
    <w:rsid w:val="00507011"/>
    <w:rsid w:val="00507041"/>
    <w:rsid w:val="0050704D"/>
    <w:rsid w:val="0050705E"/>
    <w:rsid w:val="00507082"/>
    <w:rsid w:val="0050708B"/>
    <w:rsid w:val="005070BF"/>
    <w:rsid w:val="005070D0"/>
    <w:rsid w:val="005070DC"/>
    <w:rsid w:val="00507130"/>
    <w:rsid w:val="00507135"/>
    <w:rsid w:val="00507145"/>
    <w:rsid w:val="00507146"/>
    <w:rsid w:val="0050716A"/>
    <w:rsid w:val="00507189"/>
    <w:rsid w:val="005071A0"/>
    <w:rsid w:val="005071FC"/>
    <w:rsid w:val="0050721C"/>
    <w:rsid w:val="00507238"/>
    <w:rsid w:val="00507270"/>
    <w:rsid w:val="0050728E"/>
    <w:rsid w:val="005072A0"/>
    <w:rsid w:val="005072A8"/>
    <w:rsid w:val="005072B9"/>
    <w:rsid w:val="005072BD"/>
    <w:rsid w:val="005072DC"/>
    <w:rsid w:val="005072E2"/>
    <w:rsid w:val="00507330"/>
    <w:rsid w:val="00507346"/>
    <w:rsid w:val="005073CA"/>
    <w:rsid w:val="00507427"/>
    <w:rsid w:val="0050745A"/>
    <w:rsid w:val="00507468"/>
    <w:rsid w:val="005074DC"/>
    <w:rsid w:val="00507517"/>
    <w:rsid w:val="0050753E"/>
    <w:rsid w:val="0050755C"/>
    <w:rsid w:val="0050759E"/>
    <w:rsid w:val="005075AE"/>
    <w:rsid w:val="005075CB"/>
    <w:rsid w:val="005075E2"/>
    <w:rsid w:val="005075FD"/>
    <w:rsid w:val="0050760C"/>
    <w:rsid w:val="00507617"/>
    <w:rsid w:val="005076B8"/>
    <w:rsid w:val="005076C8"/>
    <w:rsid w:val="00507708"/>
    <w:rsid w:val="00507745"/>
    <w:rsid w:val="00507750"/>
    <w:rsid w:val="00507760"/>
    <w:rsid w:val="0050777F"/>
    <w:rsid w:val="005077F2"/>
    <w:rsid w:val="00507864"/>
    <w:rsid w:val="00507877"/>
    <w:rsid w:val="00507878"/>
    <w:rsid w:val="005078FA"/>
    <w:rsid w:val="0050790F"/>
    <w:rsid w:val="00507924"/>
    <w:rsid w:val="00507941"/>
    <w:rsid w:val="005079AB"/>
    <w:rsid w:val="005079B0"/>
    <w:rsid w:val="005079D2"/>
    <w:rsid w:val="005079F5"/>
    <w:rsid w:val="00507A08"/>
    <w:rsid w:val="00507A37"/>
    <w:rsid w:val="00507A8D"/>
    <w:rsid w:val="00507ABC"/>
    <w:rsid w:val="00507B0B"/>
    <w:rsid w:val="00507B5F"/>
    <w:rsid w:val="00507B95"/>
    <w:rsid w:val="00507BA7"/>
    <w:rsid w:val="00507BB7"/>
    <w:rsid w:val="00507C04"/>
    <w:rsid w:val="00507C12"/>
    <w:rsid w:val="00507C1D"/>
    <w:rsid w:val="00507C2C"/>
    <w:rsid w:val="00507C30"/>
    <w:rsid w:val="00507C69"/>
    <w:rsid w:val="00507CEA"/>
    <w:rsid w:val="00507CF3"/>
    <w:rsid w:val="00507D20"/>
    <w:rsid w:val="00507D37"/>
    <w:rsid w:val="00507D4E"/>
    <w:rsid w:val="00507DB1"/>
    <w:rsid w:val="00507DCA"/>
    <w:rsid w:val="00507E2B"/>
    <w:rsid w:val="00507E42"/>
    <w:rsid w:val="00507E4A"/>
    <w:rsid w:val="00507E5C"/>
    <w:rsid w:val="00507EDD"/>
    <w:rsid w:val="00507F01"/>
    <w:rsid w:val="00507F6B"/>
    <w:rsid w:val="00510023"/>
    <w:rsid w:val="00510038"/>
    <w:rsid w:val="00510060"/>
    <w:rsid w:val="005100EB"/>
    <w:rsid w:val="005100F5"/>
    <w:rsid w:val="0051010B"/>
    <w:rsid w:val="0051010E"/>
    <w:rsid w:val="00510127"/>
    <w:rsid w:val="00510139"/>
    <w:rsid w:val="0051013C"/>
    <w:rsid w:val="00510235"/>
    <w:rsid w:val="0051024C"/>
    <w:rsid w:val="005102B1"/>
    <w:rsid w:val="005102B6"/>
    <w:rsid w:val="005102D5"/>
    <w:rsid w:val="005102D6"/>
    <w:rsid w:val="005102F1"/>
    <w:rsid w:val="00510310"/>
    <w:rsid w:val="00510320"/>
    <w:rsid w:val="0051035D"/>
    <w:rsid w:val="005103AA"/>
    <w:rsid w:val="005103C4"/>
    <w:rsid w:val="005103D9"/>
    <w:rsid w:val="0051040E"/>
    <w:rsid w:val="00510445"/>
    <w:rsid w:val="00510453"/>
    <w:rsid w:val="0051045C"/>
    <w:rsid w:val="0051049B"/>
    <w:rsid w:val="005104A3"/>
    <w:rsid w:val="00510507"/>
    <w:rsid w:val="0051052E"/>
    <w:rsid w:val="00510531"/>
    <w:rsid w:val="0051055F"/>
    <w:rsid w:val="005105A9"/>
    <w:rsid w:val="005105B8"/>
    <w:rsid w:val="005105BF"/>
    <w:rsid w:val="005105C0"/>
    <w:rsid w:val="005105C3"/>
    <w:rsid w:val="005105CF"/>
    <w:rsid w:val="005105E3"/>
    <w:rsid w:val="005105EF"/>
    <w:rsid w:val="00510600"/>
    <w:rsid w:val="00510604"/>
    <w:rsid w:val="00510622"/>
    <w:rsid w:val="00510678"/>
    <w:rsid w:val="00510683"/>
    <w:rsid w:val="00510716"/>
    <w:rsid w:val="00510726"/>
    <w:rsid w:val="00510729"/>
    <w:rsid w:val="00510731"/>
    <w:rsid w:val="00510742"/>
    <w:rsid w:val="00510744"/>
    <w:rsid w:val="00510751"/>
    <w:rsid w:val="00510781"/>
    <w:rsid w:val="00510795"/>
    <w:rsid w:val="005107DF"/>
    <w:rsid w:val="00510827"/>
    <w:rsid w:val="0051086B"/>
    <w:rsid w:val="00510874"/>
    <w:rsid w:val="0051087D"/>
    <w:rsid w:val="0051089B"/>
    <w:rsid w:val="005108AE"/>
    <w:rsid w:val="005108DB"/>
    <w:rsid w:val="005108F5"/>
    <w:rsid w:val="005108FF"/>
    <w:rsid w:val="00510906"/>
    <w:rsid w:val="00510933"/>
    <w:rsid w:val="0051093B"/>
    <w:rsid w:val="00510940"/>
    <w:rsid w:val="00510955"/>
    <w:rsid w:val="005109A0"/>
    <w:rsid w:val="005109C9"/>
    <w:rsid w:val="005109CA"/>
    <w:rsid w:val="00510A02"/>
    <w:rsid w:val="00510A05"/>
    <w:rsid w:val="00510A82"/>
    <w:rsid w:val="00510A8B"/>
    <w:rsid w:val="00510AAA"/>
    <w:rsid w:val="00510B01"/>
    <w:rsid w:val="00510B12"/>
    <w:rsid w:val="00510BB2"/>
    <w:rsid w:val="00510BCB"/>
    <w:rsid w:val="00510BCE"/>
    <w:rsid w:val="00510C00"/>
    <w:rsid w:val="00510C0C"/>
    <w:rsid w:val="00510C38"/>
    <w:rsid w:val="00510C41"/>
    <w:rsid w:val="00510C48"/>
    <w:rsid w:val="00510C49"/>
    <w:rsid w:val="00510C90"/>
    <w:rsid w:val="00510CAE"/>
    <w:rsid w:val="00510CF3"/>
    <w:rsid w:val="00510D15"/>
    <w:rsid w:val="00510D5C"/>
    <w:rsid w:val="00510D72"/>
    <w:rsid w:val="00510D73"/>
    <w:rsid w:val="00510D9A"/>
    <w:rsid w:val="00510DEF"/>
    <w:rsid w:val="00510E1B"/>
    <w:rsid w:val="00510E58"/>
    <w:rsid w:val="00510E5F"/>
    <w:rsid w:val="00510E62"/>
    <w:rsid w:val="00510E7C"/>
    <w:rsid w:val="00510EA1"/>
    <w:rsid w:val="00510EAE"/>
    <w:rsid w:val="00510EF6"/>
    <w:rsid w:val="00510F27"/>
    <w:rsid w:val="00510F2B"/>
    <w:rsid w:val="00510F58"/>
    <w:rsid w:val="00510FB5"/>
    <w:rsid w:val="00511003"/>
    <w:rsid w:val="0051101E"/>
    <w:rsid w:val="00511023"/>
    <w:rsid w:val="0051102D"/>
    <w:rsid w:val="00511051"/>
    <w:rsid w:val="00511077"/>
    <w:rsid w:val="0051107C"/>
    <w:rsid w:val="005110B2"/>
    <w:rsid w:val="00511106"/>
    <w:rsid w:val="00511114"/>
    <w:rsid w:val="00511115"/>
    <w:rsid w:val="00511120"/>
    <w:rsid w:val="00511174"/>
    <w:rsid w:val="0051119B"/>
    <w:rsid w:val="00511205"/>
    <w:rsid w:val="0051121F"/>
    <w:rsid w:val="0051122D"/>
    <w:rsid w:val="0051123A"/>
    <w:rsid w:val="0051123B"/>
    <w:rsid w:val="00511251"/>
    <w:rsid w:val="00511286"/>
    <w:rsid w:val="00511287"/>
    <w:rsid w:val="0051128C"/>
    <w:rsid w:val="0051128F"/>
    <w:rsid w:val="0051129F"/>
    <w:rsid w:val="005112E7"/>
    <w:rsid w:val="005112EB"/>
    <w:rsid w:val="005112F0"/>
    <w:rsid w:val="00511368"/>
    <w:rsid w:val="00511372"/>
    <w:rsid w:val="00511383"/>
    <w:rsid w:val="00511408"/>
    <w:rsid w:val="0051140A"/>
    <w:rsid w:val="00511414"/>
    <w:rsid w:val="0051141B"/>
    <w:rsid w:val="00511426"/>
    <w:rsid w:val="00511499"/>
    <w:rsid w:val="005114A3"/>
    <w:rsid w:val="005114A6"/>
    <w:rsid w:val="005114AF"/>
    <w:rsid w:val="005114EB"/>
    <w:rsid w:val="00511516"/>
    <w:rsid w:val="0051153D"/>
    <w:rsid w:val="00511575"/>
    <w:rsid w:val="005115A9"/>
    <w:rsid w:val="005115AB"/>
    <w:rsid w:val="0051161E"/>
    <w:rsid w:val="0051163C"/>
    <w:rsid w:val="0051163D"/>
    <w:rsid w:val="00511654"/>
    <w:rsid w:val="0051165A"/>
    <w:rsid w:val="00511677"/>
    <w:rsid w:val="00511679"/>
    <w:rsid w:val="00511692"/>
    <w:rsid w:val="00511695"/>
    <w:rsid w:val="005116BE"/>
    <w:rsid w:val="005116BF"/>
    <w:rsid w:val="005116E6"/>
    <w:rsid w:val="005116EC"/>
    <w:rsid w:val="00511702"/>
    <w:rsid w:val="00511704"/>
    <w:rsid w:val="00511707"/>
    <w:rsid w:val="00511759"/>
    <w:rsid w:val="00511808"/>
    <w:rsid w:val="00511811"/>
    <w:rsid w:val="00511821"/>
    <w:rsid w:val="00511868"/>
    <w:rsid w:val="0051189A"/>
    <w:rsid w:val="005118A0"/>
    <w:rsid w:val="005118B0"/>
    <w:rsid w:val="0051190E"/>
    <w:rsid w:val="0051191F"/>
    <w:rsid w:val="0051192F"/>
    <w:rsid w:val="0051193F"/>
    <w:rsid w:val="00511961"/>
    <w:rsid w:val="005119B5"/>
    <w:rsid w:val="005119B7"/>
    <w:rsid w:val="005119B9"/>
    <w:rsid w:val="005119EB"/>
    <w:rsid w:val="005119F4"/>
    <w:rsid w:val="00511A3E"/>
    <w:rsid w:val="00511AC2"/>
    <w:rsid w:val="00511B22"/>
    <w:rsid w:val="00511BF1"/>
    <w:rsid w:val="00511C1A"/>
    <w:rsid w:val="00511C7E"/>
    <w:rsid w:val="00511C95"/>
    <w:rsid w:val="00511CA4"/>
    <w:rsid w:val="00511CB2"/>
    <w:rsid w:val="00511CB6"/>
    <w:rsid w:val="00511CD8"/>
    <w:rsid w:val="00511D16"/>
    <w:rsid w:val="00511D17"/>
    <w:rsid w:val="00511D2F"/>
    <w:rsid w:val="00511D30"/>
    <w:rsid w:val="00511D3C"/>
    <w:rsid w:val="00511D40"/>
    <w:rsid w:val="00511D4A"/>
    <w:rsid w:val="00511D4D"/>
    <w:rsid w:val="00511DC9"/>
    <w:rsid w:val="00511DDD"/>
    <w:rsid w:val="00511E42"/>
    <w:rsid w:val="00511E45"/>
    <w:rsid w:val="00511E6C"/>
    <w:rsid w:val="00511E77"/>
    <w:rsid w:val="00511E8E"/>
    <w:rsid w:val="00511EA1"/>
    <w:rsid w:val="00511F3E"/>
    <w:rsid w:val="00511FA0"/>
    <w:rsid w:val="00511FBD"/>
    <w:rsid w:val="00511FE1"/>
    <w:rsid w:val="00512032"/>
    <w:rsid w:val="00512053"/>
    <w:rsid w:val="005120AF"/>
    <w:rsid w:val="0051215F"/>
    <w:rsid w:val="0051217E"/>
    <w:rsid w:val="00512194"/>
    <w:rsid w:val="005121CB"/>
    <w:rsid w:val="005121CC"/>
    <w:rsid w:val="005121E4"/>
    <w:rsid w:val="005121F6"/>
    <w:rsid w:val="0051220E"/>
    <w:rsid w:val="0051225E"/>
    <w:rsid w:val="0051233F"/>
    <w:rsid w:val="0051234B"/>
    <w:rsid w:val="0051235C"/>
    <w:rsid w:val="0051236F"/>
    <w:rsid w:val="0051237F"/>
    <w:rsid w:val="005123AB"/>
    <w:rsid w:val="0051242E"/>
    <w:rsid w:val="00512432"/>
    <w:rsid w:val="00512467"/>
    <w:rsid w:val="005124BE"/>
    <w:rsid w:val="005124D9"/>
    <w:rsid w:val="005124DA"/>
    <w:rsid w:val="005124E0"/>
    <w:rsid w:val="005124EC"/>
    <w:rsid w:val="0051258E"/>
    <w:rsid w:val="005125C1"/>
    <w:rsid w:val="005125D4"/>
    <w:rsid w:val="005125E3"/>
    <w:rsid w:val="005125F3"/>
    <w:rsid w:val="00512696"/>
    <w:rsid w:val="0051269E"/>
    <w:rsid w:val="005126AC"/>
    <w:rsid w:val="005126BB"/>
    <w:rsid w:val="005126E5"/>
    <w:rsid w:val="0051270B"/>
    <w:rsid w:val="00512711"/>
    <w:rsid w:val="0051275C"/>
    <w:rsid w:val="00512776"/>
    <w:rsid w:val="0051278A"/>
    <w:rsid w:val="0051278D"/>
    <w:rsid w:val="005127C1"/>
    <w:rsid w:val="005127D7"/>
    <w:rsid w:val="005127D9"/>
    <w:rsid w:val="005127EE"/>
    <w:rsid w:val="0051285C"/>
    <w:rsid w:val="00512864"/>
    <w:rsid w:val="00512873"/>
    <w:rsid w:val="0051287E"/>
    <w:rsid w:val="0051289A"/>
    <w:rsid w:val="005128AA"/>
    <w:rsid w:val="005128DC"/>
    <w:rsid w:val="0051290F"/>
    <w:rsid w:val="0051294A"/>
    <w:rsid w:val="0051294D"/>
    <w:rsid w:val="0051298B"/>
    <w:rsid w:val="0051299D"/>
    <w:rsid w:val="005129EF"/>
    <w:rsid w:val="005129F0"/>
    <w:rsid w:val="00512A01"/>
    <w:rsid w:val="00512A21"/>
    <w:rsid w:val="00512A27"/>
    <w:rsid w:val="00512A36"/>
    <w:rsid w:val="00512A69"/>
    <w:rsid w:val="00512A97"/>
    <w:rsid w:val="00512A99"/>
    <w:rsid w:val="00512A9A"/>
    <w:rsid w:val="00512AA2"/>
    <w:rsid w:val="00512AA3"/>
    <w:rsid w:val="00512B2A"/>
    <w:rsid w:val="00512B34"/>
    <w:rsid w:val="00512B56"/>
    <w:rsid w:val="00512BB2"/>
    <w:rsid w:val="00512BC8"/>
    <w:rsid w:val="00512BF0"/>
    <w:rsid w:val="00512C10"/>
    <w:rsid w:val="00512C97"/>
    <w:rsid w:val="00512D5E"/>
    <w:rsid w:val="00512D85"/>
    <w:rsid w:val="00512DAA"/>
    <w:rsid w:val="00512DB6"/>
    <w:rsid w:val="00512DBF"/>
    <w:rsid w:val="00512DC8"/>
    <w:rsid w:val="00512DC9"/>
    <w:rsid w:val="00512DD9"/>
    <w:rsid w:val="00512DDA"/>
    <w:rsid w:val="00512DDE"/>
    <w:rsid w:val="00512E15"/>
    <w:rsid w:val="00512E1D"/>
    <w:rsid w:val="00512E22"/>
    <w:rsid w:val="00512E56"/>
    <w:rsid w:val="00512EA8"/>
    <w:rsid w:val="00512EB5"/>
    <w:rsid w:val="00512EC3"/>
    <w:rsid w:val="00512ECE"/>
    <w:rsid w:val="00512EE0"/>
    <w:rsid w:val="00512EFF"/>
    <w:rsid w:val="00512F02"/>
    <w:rsid w:val="00512F18"/>
    <w:rsid w:val="00512F39"/>
    <w:rsid w:val="00512F44"/>
    <w:rsid w:val="00512F7A"/>
    <w:rsid w:val="00512F92"/>
    <w:rsid w:val="00512F94"/>
    <w:rsid w:val="00512F97"/>
    <w:rsid w:val="00512F98"/>
    <w:rsid w:val="00512FAA"/>
    <w:rsid w:val="00512FAB"/>
    <w:rsid w:val="00512FCE"/>
    <w:rsid w:val="00512FF7"/>
    <w:rsid w:val="00513009"/>
    <w:rsid w:val="00513017"/>
    <w:rsid w:val="0051301F"/>
    <w:rsid w:val="00513027"/>
    <w:rsid w:val="00513055"/>
    <w:rsid w:val="0051308D"/>
    <w:rsid w:val="005130C6"/>
    <w:rsid w:val="005130ED"/>
    <w:rsid w:val="00513108"/>
    <w:rsid w:val="00513164"/>
    <w:rsid w:val="005131B6"/>
    <w:rsid w:val="005131C5"/>
    <w:rsid w:val="00513253"/>
    <w:rsid w:val="0051327D"/>
    <w:rsid w:val="005132A2"/>
    <w:rsid w:val="005132AF"/>
    <w:rsid w:val="00513324"/>
    <w:rsid w:val="00513329"/>
    <w:rsid w:val="00513362"/>
    <w:rsid w:val="00513366"/>
    <w:rsid w:val="0051336C"/>
    <w:rsid w:val="00513375"/>
    <w:rsid w:val="00513386"/>
    <w:rsid w:val="005133B5"/>
    <w:rsid w:val="0051347F"/>
    <w:rsid w:val="00513486"/>
    <w:rsid w:val="005134A0"/>
    <w:rsid w:val="005134C3"/>
    <w:rsid w:val="005134C5"/>
    <w:rsid w:val="005134C9"/>
    <w:rsid w:val="0051350A"/>
    <w:rsid w:val="00513517"/>
    <w:rsid w:val="00513521"/>
    <w:rsid w:val="00513534"/>
    <w:rsid w:val="0051353C"/>
    <w:rsid w:val="00513547"/>
    <w:rsid w:val="005135BE"/>
    <w:rsid w:val="005135C3"/>
    <w:rsid w:val="005136BB"/>
    <w:rsid w:val="005136BD"/>
    <w:rsid w:val="0051370C"/>
    <w:rsid w:val="00513713"/>
    <w:rsid w:val="00513731"/>
    <w:rsid w:val="0051374A"/>
    <w:rsid w:val="0051375E"/>
    <w:rsid w:val="00513775"/>
    <w:rsid w:val="00513791"/>
    <w:rsid w:val="005137B3"/>
    <w:rsid w:val="005137BB"/>
    <w:rsid w:val="00513832"/>
    <w:rsid w:val="00513887"/>
    <w:rsid w:val="005138C0"/>
    <w:rsid w:val="005138E8"/>
    <w:rsid w:val="005138F7"/>
    <w:rsid w:val="00513903"/>
    <w:rsid w:val="00513909"/>
    <w:rsid w:val="00513977"/>
    <w:rsid w:val="00513A05"/>
    <w:rsid w:val="00513A2A"/>
    <w:rsid w:val="00513A46"/>
    <w:rsid w:val="00513A47"/>
    <w:rsid w:val="00513AA5"/>
    <w:rsid w:val="00513AD5"/>
    <w:rsid w:val="00513AF8"/>
    <w:rsid w:val="00513B59"/>
    <w:rsid w:val="00513B70"/>
    <w:rsid w:val="00513B85"/>
    <w:rsid w:val="00513B9D"/>
    <w:rsid w:val="00513BA6"/>
    <w:rsid w:val="00513BB1"/>
    <w:rsid w:val="00513BC9"/>
    <w:rsid w:val="00513BCB"/>
    <w:rsid w:val="00513C3D"/>
    <w:rsid w:val="00513C8E"/>
    <w:rsid w:val="00513CA1"/>
    <w:rsid w:val="00513CD4"/>
    <w:rsid w:val="00513D22"/>
    <w:rsid w:val="00513D2A"/>
    <w:rsid w:val="00513D34"/>
    <w:rsid w:val="00513D89"/>
    <w:rsid w:val="00513DB2"/>
    <w:rsid w:val="00513DB4"/>
    <w:rsid w:val="00513DC7"/>
    <w:rsid w:val="00513E01"/>
    <w:rsid w:val="00513E07"/>
    <w:rsid w:val="00513E2A"/>
    <w:rsid w:val="00513E81"/>
    <w:rsid w:val="00513E86"/>
    <w:rsid w:val="00513E89"/>
    <w:rsid w:val="00513E9B"/>
    <w:rsid w:val="00513EA3"/>
    <w:rsid w:val="00513EBC"/>
    <w:rsid w:val="00513EEF"/>
    <w:rsid w:val="00513F17"/>
    <w:rsid w:val="00513F45"/>
    <w:rsid w:val="00513F61"/>
    <w:rsid w:val="00513FC8"/>
    <w:rsid w:val="00514004"/>
    <w:rsid w:val="0051404A"/>
    <w:rsid w:val="00514091"/>
    <w:rsid w:val="00514094"/>
    <w:rsid w:val="005140AA"/>
    <w:rsid w:val="005140C8"/>
    <w:rsid w:val="005140D5"/>
    <w:rsid w:val="0051410B"/>
    <w:rsid w:val="00514142"/>
    <w:rsid w:val="00514155"/>
    <w:rsid w:val="00514171"/>
    <w:rsid w:val="00514190"/>
    <w:rsid w:val="005141A1"/>
    <w:rsid w:val="005141FF"/>
    <w:rsid w:val="00514214"/>
    <w:rsid w:val="00514246"/>
    <w:rsid w:val="0051426B"/>
    <w:rsid w:val="00514282"/>
    <w:rsid w:val="005142D0"/>
    <w:rsid w:val="005142F2"/>
    <w:rsid w:val="0051431A"/>
    <w:rsid w:val="0051431C"/>
    <w:rsid w:val="00514323"/>
    <w:rsid w:val="00514332"/>
    <w:rsid w:val="0051438A"/>
    <w:rsid w:val="00514440"/>
    <w:rsid w:val="005144BE"/>
    <w:rsid w:val="005144E2"/>
    <w:rsid w:val="005144ED"/>
    <w:rsid w:val="005144F6"/>
    <w:rsid w:val="0051454F"/>
    <w:rsid w:val="00514579"/>
    <w:rsid w:val="005145C5"/>
    <w:rsid w:val="005145D0"/>
    <w:rsid w:val="00514607"/>
    <w:rsid w:val="0051463B"/>
    <w:rsid w:val="00514640"/>
    <w:rsid w:val="00514666"/>
    <w:rsid w:val="005146BC"/>
    <w:rsid w:val="005146C7"/>
    <w:rsid w:val="00514710"/>
    <w:rsid w:val="00514727"/>
    <w:rsid w:val="00514736"/>
    <w:rsid w:val="00514747"/>
    <w:rsid w:val="0051476D"/>
    <w:rsid w:val="00514794"/>
    <w:rsid w:val="00514796"/>
    <w:rsid w:val="005147C5"/>
    <w:rsid w:val="005147C7"/>
    <w:rsid w:val="005147C8"/>
    <w:rsid w:val="005147D0"/>
    <w:rsid w:val="00514814"/>
    <w:rsid w:val="00514832"/>
    <w:rsid w:val="0051485C"/>
    <w:rsid w:val="00514861"/>
    <w:rsid w:val="00514880"/>
    <w:rsid w:val="0051488F"/>
    <w:rsid w:val="0051489B"/>
    <w:rsid w:val="0051494B"/>
    <w:rsid w:val="005149A1"/>
    <w:rsid w:val="00514A13"/>
    <w:rsid w:val="00514A24"/>
    <w:rsid w:val="00514A28"/>
    <w:rsid w:val="00514A47"/>
    <w:rsid w:val="00514A8A"/>
    <w:rsid w:val="00514AA4"/>
    <w:rsid w:val="00514AC9"/>
    <w:rsid w:val="00514AF0"/>
    <w:rsid w:val="00514B33"/>
    <w:rsid w:val="00514B78"/>
    <w:rsid w:val="00514B7B"/>
    <w:rsid w:val="00514B98"/>
    <w:rsid w:val="00514BBD"/>
    <w:rsid w:val="00514BCC"/>
    <w:rsid w:val="00514BF1"/>
    <w:rsid w:val="00514C11"/>
    <w:rsid w:val="00514C21"/>
    <w:rsid w:val="00514C30"/>
    <w:rsid w:val="00514C67"/>
    <w:rsid w:val="00514C6F"/>
    <w:rsid w:val="00514C7C"/>
    <w:rsid w:val="00514C82"/>
    <w:rsid w:val="00514C89"/>
    <w:rsid w:val="00514C98"/>
    <w:rsid w:val="00514CB3"/>
    <w:rsid w:val="00514CBD"/>
    <w:rsid w:val="00514CD0"/>
    <w:rsid w:val="00514CFB"/>
    <w:rsid w:val="00514D19"/>
    <w:rsid w:val="00514D52"/>
    <w:rsid w:val="00514D77"/>
    <w:rsid w:val="00514D93"/>
    <w:rsid w:val="00514D96"/>
    <w:rsid w:val="00514DAF"/>
    <w:rsid w:val="00514DB3"/>
    <w:rsid w:val="00514DCD"/>
    <w:rsid w:val="00514E38"/>
    <w:rsid w:val="00514E41"/>
    <w:rsid w:val="00514E6C"/>
    <w:rsid w:val="00514EDD"/>
    <w:rsid w:val="00514EF3"/>
    <w:rsid w:val="00514F50"/>
    <w:rsid w:val="00514F5A"/>
    <w:rsid w:val="00514F6E"/>
    <w:rsid w:val="00514F7F"/>
    <w:rsid w:val="00514F87"/>
    <w:rsid w:val="00514FFE"/>
    <w:rsid w:val="00515006"/>
    <w:rsid w:val="0051505B"/>
    <w:rsid w:val="005150C0"/>
    <w:rsid w:val="00515121"/>
    <w:rsid w:val="00515156"/>
    <w:rsid w:val="00515165"/>
    <w:rsid w:val="005151A7"/>
    <w:rsid w:val="005151F1"/>
    <w:rsid w:val="0051520C"/>
    <w:rsid w:val="00515211"/>
    <w:rsid w:val="00515219"/>
    <w:rsid w:val="00515240"/>
    <w:rsid w:val="00515247"/>
    <w:rsid w:val="00515266"/>
    <w:rsid w:val="00515270"/>
    <w:rsid w:val="00515277"/>
    <w:rsid w:val="00515287"/>
    <w:rsid w:val="005152BA"/>
    <w:rsid w:val="005152D8"/>
    <w:rsid w:val="005152DD"/>
    <w:rsid w:val="00515314"/>
    <w:rsid w:val="005153A3"/>
    <w:rsid w:val="005153A5"/>
    <w:rsid w:val="0051541F"/>
    <w:rsid w:val="00515420"/>
    <w:rsid w:val="00515435"/>
    <w:rsid w:val="00515489"/>
    <w:rsid w:val="00515495"/>
    <w:rsid w:val="005154E1"/>
    <w:rsid w:val="005154FA"/>
    <w:rsid w:val="0051551D"/>
    <w:rsid w:val="0051558C"/>
    <w:rsid w:val="0051559E"/>
    <w:rsid w:val="005155BD"/>
    <w:rsid w:val="0051566E"/>
    <w:rsid w:val="00515672"/>
    <w:rsid w:val="005156B8"/>
    <w:rsid w:val="005156C0"/>
    <w:rsid w:val="00515779"/>
    <w:rsid w:val="0051578C"/>
    <w:rsid w:val="0051580C"/>
    <w:rsid w:val="00515836"/>
    <w:rsid w:val="00515860"/>
    <w:rsid w:val="00515871"/>
    <w:rsid w:val="00515872"/>
    <w:rsid w:val="0051587D"/>
    <w:rsid w:val="005158BD"/>
    <w:rsid w:val="005158F5"/>
    <w:rsid w:val="00515902"/>
    <w:rsid w:val="0051592E"/>
    <w:rsid w:val="00515933"/>
    <w:rsid w:val="00515948"/>
    <w:rsid w:val="0051594B"/>
    <w:rsid w:val="0051595E"/>
    <w:rsid w:val="005159D0"/>
    <w:rsid w:val="005159FF"/>
    <w:rsid w:val="00515A1C"/>
    <w:rsid w:val="00515A1E"/>
    <w:rsid w:val="00515A32"/>
    <w:rsid w:val="00515A73"/>
    <w:rsid w:val="00515AA1"/>
    <w:rsid w:val="00515AD1"/>
    <w:rsid w:val="00515AF9"/>
    <w:rsid w:val="00515B29"/>
    <w:rsid w:val="00515B3F"/>
    <w:rsid w:val="00515B62"/>
    <w:rsid w:val="00515BA8"/>
    <w:rsid w:val="00515BC6"/>
    <w:rsid w:val="00515BFB"/>
    <w:rsid w:val="00515C02"/>
    <w:rsid w:val="00515C18"/>
    <w:rsid w:val="00515C3C"/>
    <w:rsid w:val="00515C92"/>
    <w:rsid w:val="00515C98"/>
    <w:rsid w:val="00515CB1"/>
    <w:rsid w:val="00515D35"/>
    <w:rsid w:val="00515D53"/>
    <w:rsid w:val="00515D7F"/>
    <w:rsid w:val="00515D91"/>
    <w:rsid w:val="00515DB9"/>
    <w:rsid w:val="00515DC5"/>
    <w:rsid w:val="00515DD9"/>
    <w:rsid w:val="00515DFC"/>
    <w:rsid w:val="00515E00"/>
    <w:rsid w:val="00515E48"/>
    <w:rsid w:val="00515E75"/>
    <w:rsid w:val="00515E83"/>
    <w:rsid w:val="00515EB1"/>
    <w:rsid w:val="00515EC4"/>
    <w:rsid w:val="00515EDB"/>
    <w:rsid w:val="00515EE2"/>
    <w:rsid w:val="00515EE7"/>
    <w:rsid w:val="00515F0C"/>
    <w:rsid w:val="00515F13"/>
    <w:rsid w:val="00515F3E"/>
    <w:rsid w:val="00515F46"/>
    <w:rsid w:val="00515F56"/>
    <w:rsid w:val="00515F8D"/>
    <w:rsid w:val="00515FB1"/>
    <w:rsid w:val="00515FF8"/>
    <w:rsid w:val="00516003"/>
    <w:rsid w:val="00516017"/>
    <w:rsid w:val="0051603B"/>
    <w:rsid w:val="0051605A"/>
    <w:rsid w:val="00516092"/>
    <w:rsid w:val="0051616A"/>
    <w:rsid w:val="005161B1"/>
    <w:rsid w:val="00516210"/>
    <w:rsid w:val="00516236"/>
    <w:rsid w:val="00516279"/>
    <w:rsid w:val="005162D1"/>
    <w:rsid w:val="005162E9"/>
    <w:rsid w:val="005162EC"/>
    <w:rsid w:val="005162FD"/>
    <w:rsid w:val="00516306"/>
    <w:rsid w:val="0051630B"/>
    <w:rsid w:val="00516342"/>
    <w:rsid w:val="0051638E"/>
    <w:rsid w:val="00516396"/>
    <w:rsid w:val="005163B5"/>
    <w:rsid w:val="005163C4"/>
    <w:rsid w:val="005163DD"/>
    <w:rsid w:val="00516488"/>
    <w:rsid w:val="00516494"/>
    <w:rsid w:val="0051649A"/>
    <w:rsid w:val="0051649B"/>
    <w:rsid w:val="005164BC"/>
    <w:rsid w:val="005164BF"/>
    <w:rsid w:val="005164CF"/>
    <w:rsid w:val="0051651F"/>
    <w:rsid w:val="00516529"/>
    <w:rsid w:val="00516564"/>
    <w:rsid w:val="005165AA"/>
    <w:rsid w:val="005165AF"/>
    <w:rsid w:val="005165D1"/>
    <w:rsid w:val="00516643"/>
    <w:rsid w:val="0051665D"/>
    <w:rsid w:val="005166A8"/>
    <w:rsid w:val="005166AC"/>
    <w:rsid w:val="005166FF"/>
    <w:rsid w:val="00516725"/>
    <w:rsid w:val="00516765"/>
    <w:rsid w:val="00516771"/>
    <w:rsid w:val="0051678F"/>
    <w:rsid w:val="005167AF"/>
    <w:rsid w:val="005167EF"/>
    <w:rsid w:val="005167FE"/>
    <w:rsid w:val="00516817"/>
    <w:rsid w:val="00516850"/>
    <w:rsid w:val="005168C1"/>
    <w:rsid w:val="005168D4"/>
    <w:rsid w:val="005168E6"/>
    <w:rsid w:val="005168F0"/>
    <w:rsid w:val="0051690C"/>
    <w:rsid w:val="0051692B"/>
    <w:rsid w:val="00516975"/>
    <w:rsid w:val="005169A7"/>
    <w:rsid w:val="005169CF"/>
    <w:rsid w:val="00516A28"/>
    <w:rsid w:val="00516A43"/>
    <w:rsid w:val="00516A5B"/>
    <w:rsid w:val="00516A68"/>
    <w:rsid w:val="00516AB9"/>
    <w:rsid w:val="00516AED"/>
    <w:rsid w:val="00516AFA"/>
    <w:rsid w:val="00516B02"/>
    <w:rsid w:val="00516B10"/>
    <w:rsid w:val="00516B5D"/>
    <w:rsid w:val="00516B6F"/>
    <w:rsid w:val="00516B91"/>
    <w:rsid w:val="00516BB2"/>
    <w:rsid w:val="00516BC5"/>
    <w:rsid w:val="00516C21"/>
    <w:rsid w:val="00516C33"/>
    <w:rsid w:val="00516CAF"/>
    <w:rsid w:val="00516CBA"/>
    <w:rsid w:val="00516CCD"/>
    <w:rsid w:val="00516D10"/>
    <w:rsid w:val="00516D13"/>
    <w:rsid w:val="00516D15"/>
    <w:rsid w:val="00516D24"/>
    <w:rsid w:val="00516DA2"/>
    <w:rsid w:val="00516DB6"/>
    <w:rsid w:val="00516DDD"/>
    <w:rsid w:val="00516E33"/>
    <w:rsid w:val="00516EAE"/>
    <w:rsid w:val="00516EAF"/>
    <w:rsid w:val="00516ECD"/>
    <w:rsid w:val="00516EFD"/>
    <w:rsid w:val="00516F0A"/>
    <w:rsid w:val="00516F30"/>
    <w:rsid w:val="00516F6C"/>
    <w:rsid w:val="00516F9A"/>
    <w:rsid w:val="00516FF3"/>
    <w:rsid w:val="00516FFD"/>
    <w:rsid w:val="00516FFF"/>
    <w:rsid w:val="00517033"/>
    <w:rsid w:val="0051705D"/>
    <w:rsid w:val="0051707A"/>
    <w:rsid w:val="00517090"/>
    <w:rsid w:val="005170A7"/>
    <w:rsid w:val="005170C0"/>
    <w:rsid w:val="005170DB"/>
    <w:rsid w:val="005170F9"/>
    <w:rsid w:val="00517106"/>
    <w:rsid w:val="00517116"/>
    <w:rsid w:val="00517127"/>
    <w:rsid w:val="0051715F"/>
    <w:rsid w:val="00517186"/>
    <w:rsid w:val="00517245"/>
    <w:rsid w:val="00517254"/>
    <w:rsid w:val="0051725B"/>
    <w:rsid w:val="005172A6"/>
    <w:rsid w:val="005172D5"/>
    <w:rsid w:val="005172E5"/>
    <w:rsid w:val="0051732C"/>
    <w:rsid w:val="0051735E"/>
    <w:rsid w:val="00517379"/>
    <w:rsid w:val="00517395"/>
    <w:rsid w:val="00517398"/>
    <w:rsid w:val="005173D7"/>
    <w:rsid w:val="0051740C"/>
    <w:rsid w:val="0051744A"/>
    <w:rsid w:val="00517471"/>
    <w:rsid w:val="005174A2"/>
    <w:rsid w:val="005174A4"/>
    <w:rsid w:val="005174DB"/>
    <w:rsid w:val="005174E1"/>
    <w:rsid w:val="0051750F"/>
    <w:rsid w:val="00517520"/>
    <w:rsid w:val="005175AC"/>
    <w:rsid w:val="005175EE"/>
    <w:rsid w:val="00517616"/>
    <w:rsid w:val="00517627"/>
    <w:rsid w:val="00517652"/>
    <w:rsid w:val="0051766A"/>
    <w:rsid w:val="0051766C"/>
    <w:rsid w:val="0051768B"/>
    <w:rsid w:val="005176AB"/>
    <w:rsid w:val="005176AE"/>
    <w:rsid w:val="005176B2"/>
    <w:rsid w:val="005176D1"/>
    <w:rsid w:val="00517735"/>
    <w:rsid w:val="00517753"/>
    <w:rsid w:val="0051776C"/>
    <w:rsid w:val="00517789"/>
    <w:rsid w:val="00517797"/>
    <w:rsid w:val="005177CD"/>
    <w:rsid w:val="005177F2"/>
    <w:rsid w:val="00517827"/>
    <w:rsid w:val="0051783F"/>
    <w:rsid w:val="00517850"/>
    <w:rsid w:val="005178A4"/>
    <w:rsid w:val="005178CD"/>
    <w:rsid w:val="005178D9"/>
    <w:rsid w:val="00517911"/>
    <w:rsid w:val="0051792F"/>
    <w:rsid w:val="00517942"/>
    <w:rsid w:val="00517946"/>
    <w:rsid w:val="0051794F"/>
    <w:rsid w:val="00517957"/>
    <w:rsid w:val="005179AA"/>
    <w:rsid w:val="005179EC"/>
    <w:rsid w:val="005179FA"/>
    <w:rsid w:val="00517A17"/>
    <w:rsid w:val="00517A18"/>
    <w:rsid w:val="00517A21"/>
    <w:rsid w:val="00517A2E"/>
    <w:rsid w:val="00517A47"/>
    <w:rsid w:val="00517A5A"/>
    <w:rsid w:val="00517A74"/>
    <w:rsid w:val="00517A81"/>
    <w:rsid w:val="00517A88"/>
    <w:rsid w:val="00517A8B"/>
    <w:rsid w:val="00517AAC"/>
    <w:rsid w:val="00517ABE"/>
    <w:rsid w:val="00517AF7"/>
    <w:rsid w:val="00517B02"/>
    <w:rsid w:val="00517B09"/>
    <w:rsid w:val="00517B0A"/>
    <w:rsid w:val="00517B15"/>
    <w:rsid w:val="00517B2C"/>
    <w:rsid w:val="00517B38"/>
    <w:rsid w:val="00517B51"/>
    <w:rsid w:val="00517B7B"/>
    <w:rsid w:val="00517BC3"/>
    <w:rsid w:val="00517BC8"/>
    <w:rsid w:val="00517BE8"/>
    <w:rsid w:val="00517C06"/>
    <w:rsid w:val="00517C16"/>
    <w:rsid w:val="00517C46"/>
    <w:rsid w:val="00517C66"/>
    <w:rsid w:val="00517D18"/>
    <w:rsid w:val="00517D1A"/>
    <w:rsid w:val="00517D4D"/>
    <w:rsid w:val="00517D51"/>
    <w:rsid w:val="00517D65"/>
    <w:rsid w:val="00517D7A"/>
    <w:rsid w:val="00517DD1"/>
    <w:rsid w:val="00517DD5"/>
    <w:rsid w:val="00517E09"/>
    <w:rsid w:val="00517E14"/>
    <w:rsid w:val="00517E1B"/>
    <w:rsid w:val="00517E44"/>
    <w:rsid w:val="00517E62"/>
    <w:rsid w:val="00517E69"/>
    <w:rsid w:val="00517E6F"/>
    <w:rsid w:val="00517E7B"/>
    <w:rsid w:val="00517EB4"/>
    <w:rsid w:val="00517EBD"/>
    <w:rsid w:val="00517EC1"/>
    <w:rsid w:val="00517ED3"/>
    <w:rsid w:val="00517F3C"/>
    <w:rsid w:val="00517F43"/>
    <w:rsid w:val="00517F84"/>
    <w:rsid w:val="00517F8A"/>
    <w:rsid w:val="00517FAE"/>
    <w:rsid w:val="00517FD0"/>
    <w:rsid w:val="00520014"/>
    <w:rsid w:val="0052007B"/>
    <w:rsid w:val="0052007F"/>
    <w:rsid w:val="0052014E"/>
    <w:rsid w:val="00520179"/>
    <w:rsid w:val="00520182"/>
    <w:rsid w:val="0052018D"/>
    <w:rsid w:val="005201E6"/>
    <w:rsid w:val="00520231"/>
    <w:rsid w:val="0052029F"/>
    <w:rsid w:val="005202BB"/>
    <w:rsid w:val="005202E4"/>
    <w:rsid w:val="0052031C"/>
    <w:rsid w:val="00520327"/>
    <w:rsid w:val="005203C2"/>
    <w:rsid w:val="005203C6"/>
    <w:rsid w:val="005203EE"/>
    <w:rsid w:val="00520431"/>
    <w:rsid w:val="005204BF"/>
    <w:rsid w:val="005204C8"/>
    <w:rsid w:val="005204CD"/>
    <w:rsid w:val="005204D8"/>
    <w:rsid w:val="005204F1"/>
    <w:rsid w:val="00520512"/>
    <w:rsid w:val="00520519"/>
    <w:rsid w:val="00520539"/>
    <w:rsid w:val="0052053E"/>
    <w:rsid w:val="0052057B"/>
    <w:rsid w:val="00520590"/>
    <w:rsid w:val="005205AC"/>
    <w:rsid w:val="005205B3"/>
    <w:rsid w:val="005205B7"/>
    <w:rsid w:val="005205C4"/>
    <w:rsid w:val="005205DD"/>
    <w:rsid w:val="00520601"/>
    <w:rsid w:val="00520606"/>
    <w:rsid w:val="00520616"/>
    <w:rsid w:val="00520618"/>
    <w:rsid w:val="00520642"/>
    <w:rsid w:val="0052064C"/>
    <w:rsid w:val="00520655"/>
    <w:rsid w:val="0052066E"/>
    <w:rsid w:val="005206BD"/>
    <w:rsid w:val="005206E3"/>
    <w:rsid w:val="0052070C"/>
    <w:rsid w:val="00520716"/>
    <w:rsid w:val="0052071C"/>
    <w:rsid w:val="00520757"/>
    <w:rsid w:val="00520762"/>
    <w:rsid w:val="00520767"/>
    <w:rsid w:val="00520786"/>
    <w:rsid w:val="005207C6"/>
    <w:rsid w:val="005207E1"/>
    <w:rsid w:val="005207F8"/>
    <w:rsid w:val="0052082F"/>
    <w:rsid w:val="00520832"/>
    <w:rsid w:val="0052084E"/>
    <w:rsid w:val="00520853"/>
    <w:rsid w:val="0052087D"/>
    <w:rsid w:val="00520893"/>
    <w:rsid w:val="005208F4"/>
    <w:rsid w:val="0052090F"/>
    <w:rsid w:val="00520921"/>
    <w:rsid w:val="00520963"/>
    <w:rsid w:val="0052096B"/>
    <w:rsid w:val="0052097F"/>
    <w:rsid w:val="00520987"/>
    <w:rsid w:val="005209AB"/>
    <w:rsid w:val="005209FC"/>
    <w:rsid w:val="00520A53"/>
    <w:rsid w:val="00520A5C"/>
    <w:rsid w:val="00520A66"/>
    <w:rsid w:val="00520AA8"/>
    <w:rsid w:val="00520B22"/>
    <w:rsid w:val="00520B2E"/>
    <w:rsid w:val="00520BFB"/>
    <w:rsid w:val="00520C10"/>
    <w:rsid w:val="00520C5C"/>
    <w:rsid w:val="00520C71"/>
    <w:rsid w:val="00520C7D"/>
    <w:rsid w:val="00520C89"/>
    <w:rsid w:val="00520C93"/>
    <w:rsid w:val="00520C9B"/>
    <w:rsid w:val="00520CD1"/>
    <w:rsid w:val="00520D41"/>
    <w:rsid w:val="00520D67"/>
    <w:rsid w:val="00520DA2"/>
    <w:rsid w:val="00520DBC"/>
    <w:rsid w:val="00520DF0"/>
    <w:rsid w:val="00520DF2"/>
    <w:rsid w:val="00520E11"/>
    <w:rsid w:val="00520E48"/>
    <w:rsid w:val="00520E5B"/>
    <w:rsid w:val="00520EA2"/>
    <w:rsid w:val="00520ED1"/>
    <w:rsid w:val="00520EF7"/>
    <w:rsid w:val="00520F14"/>
    <w:rsid w:val="00520F89"/>
    <w:rsid w:val="00520FCC"/>
    <w:rsid w:val="00520FF4"/>
    <w:rsid w:val="00521031"/>
    <w:rsid w:val="00521043"/>
    <w:rsid w:val="0052105A"/>
    <w:rsid w:val="00521082"/>
    <w:rsid w:val="00521099"/>
    <w:rsid w:val="0052109D"/>
    <w:rsid w:val="005210B7"/>
    <w:rsid w:val="005210CF"/>
    <w:rsid w:val="005210E3"/>
    <w:rsid w:val="0052117A"/>
    <w:rsid w:val="005211C9"/>
    <w:rsid w:val="005211E4"/>
    <w:rsid w:val="005211F8"/>
    <w:rsid w:val="0052121C"/>
    <w:rsid w:val="00521230"/>
    <w:rsid w:val="0052123F"/>
    <w:rsid w:val="0052127C"/>
    <w:rsid w:val="0052127D"/>
    <w:rsid w:val="00521281"/>
    <w:rsid w:val="00521286"/>
    <w:rsid w:val="0052129A"/>
    <w:rsid w:val="005212A3"/>
    <w:rsid w:val="005212A5"/>
    <w:rsid w:val="005212AD"/>
    <w:rsid w:val="005212CF"/>
    <w:rsid w:val="00521305"/>
    <w:rsid w:val="00521340"/>
    <w:rsid w:val="00521392"/>
    <w:rsid w:val="00521398"/>
    <w:rsid w:val="005213A7"/>
    <w:rsid w:val="005213AD"/>
    <w:rsid w:val="005213BE"/>
    <w:rsid w:val="005213CA"/>
    <w:rsid w:val="005213D9"/>
    <w:rsid w:val="005213DB"/>
    <w:rsid w:val="0052140E"/>
    <w:rsid w:val="0052143F"/>
    <w:rsid w:val="00521450"/>
    <w:rsid w:val="00521472"/>
    <w:rsid w:val="005214D5"/>
    <w:rsid w:val="005214E1"/>
    <w:rsid w:val="0052150E"/>
    <w:rsid w:val="0052152E"/>
    <w:rsid w:val="00521532"/>
    <w:rsid w:val="0052155E"/>
    <w:rsid w:val="00521583"/>
    <w:rsid w:val="005215B3"/>
    <w:rsid w:val="005215CE"/>
    <w:rsid w:val="005215E8"/>
    <w:rsid w:val="005216BE"/>
    <w:rsid w:val="005216EB"/>
    <w:rsid w:val="005216FB"/>
    <w:rsid w:val="005216FF"/>
    <w:rsid w:val="00521750"/>
    <w:rsid w:val="0052177C"/>
    <w:rsid w:val="0052178B"/>
    <w:rsid w:val="0052178C"/>
    <w:rsid w:val="005217FE"/>
    <w:rsid w:val="005217FF"/>
    <w:rsid w:val="00521820"/>
    <w:rsid w:val="0052182A"/>
    <w:rsid w:val="0052185B"/>
    <w:rsid w:val="0052186A"/>
    <w:rsid w:val="005218A6"/>
    <w:rsid w:val="005218CB"/>
    <w:rsid w:val="0052195C"/>
    <w:rsid w:val="005219AA"/>
    <w:rsid w:val="005219BE"/>
    <w:rsid w:val="005219C2"/>
    <w:rsid w:val="005219F0"/>
    <w:rsid w:val="00521A7C"/>
    <w:rsid w:val="00521A7E"/>
    <w:rsid w:val="00521AB7"/>
    <w:rsid w:val="00521AE4"/>
    <w:rsid w:val="00521B08"/>
    <w:rsid w:val="00521B2A"/>
    <w:rsid w:val="00521B5F"/>
    <w:rsid w:val="00521B95"/>
    <w:rsid w:val="00521BBA"/>
    <w:rsid w:val="00521BD7"/>
    <w:rsid w:val="00521C19"/>
    <w:rsid w:val="00521C20"/>
    <w:rsid w:val="00521C56"/>
    <w:rsid w:val="00521C91"/>
    <w:rsid w:val="00521CAB"/>
    <w:rsid w:val="00521CCD"/>
    <w:rsid w:val="00521CEE"/>
    <w:rsid w:val="00521D31"/>
    <w:rsid w:val="00521DC3"/>
    <w:rsid w:val="00521DC4"/>
    <w:rsid w:val="00521DE9"/>
    <w:rsid w:val="00521DFB"/>
    <w:rsid w:val="00521E2B"/>
    <w:rsid w:val="00521E41"/>
    <w:rsid w:val="00521E42"/>
    <w:rsid w:val="00521E90"/>
    <w:rsid w:val="00521ECC"/>
    <w:rsid w:val="00521F0C"/>
    <w:rsid w:val="00521F2C"/>
    <w:rsid w:val="00521F48"/>
    <w:rsid w:val="00521F4B"/>
    <w:rsid w:val="00521F5D"/>
    <w:rsid w:val="00521F66"/>
    <w:rsid w:val="00521F77"/>
    <w:rsid w:val="00521FA3"/>
    <w:rsid w:val="0052203E"/>
    <w:rsid w:val="00522043"/>
    <w:rsid w:val="005220DF"/>
    <w:rsid w:val="005220FC"/>
    <w:rsid w:val="00522101"/>
    <w:rsid w:val="00522138"/>
    <w:rsid w:val="0052213B"/>
    <w:rsid w:val="0052214E"/>
    <w:rsid w:val="0052216B"/>
    <w:rsid w:val="00522176"/>
    <w:rsid w:val="005221BA"/>
    <w:rsid w:val="005221E3"/>
    <w:rsid w:val="005221F5"/>
    <w:rsid w:val="00522223"/>
    <w:rsid w:val="00522225"/>
    <w:rsid w:val="005222C6"/>
    <w:rsid w:val="005222DA"/>
    <w:rsid w:val="005222ED"/>
    <w:rsid w:val="005222F9"/>
    <w:rsid w:val="00522337"/>
    <w:rsid w:val="0052233B"/>
    <w:rsid w:val="005223F1"/>
    <w:rsid w:val="00522426"/>
    <w:rsid w:val="0052242E"/>
    <w:rsid w:val="00522447"/>
    <w:rsid w:val="00522493"/>
    <w:rsid w:val="00522497"/>
    <w:rsid w:val="005224A0"/>
    <w:rsid w:val="0052250B"/>
    <w:rsid w:val="00522523"/>
    <w:rsid w:val="0052259E"/>
    <w:rsid w:val="005225AD"/>
    <w:rsid w:val="005225B2"/>
    <w:rsid w:val="005225BC"/>
    <w:rsid w:val="005225C7"/>
    <w:rsid w:val="00522601"/>
    <w:rsid w:val="00522641"/>
    <w:rsid w:val="00522644"/>
    <w:rsid w:val="00522646"/>
    <w:rsid w:val="00522656"/>
    <w:rsid w:val="00522680"/>
    <w:rsid w:val="00522684"/>
    <w:rsid w:val="005226A2"/>
    <w:rsid w:val="005226D5"/>
    <w:rsid w:val="005226F9"/>
    <w:rsid w:val="0052275A"/>
    <w:rsid w:val="00522764"/>
    <w:rsid w:val="0052276A"/>
    <w:rsid w:val="00522787"/>
    <w:rsid w:val="005227C4"/>
    <w:rsid w:val="005227C9"/>
    <w:rsid w:val="00522800"/>
    <w:rsid w:val="00522829"/>
    <w:rsid w:val="00522841"/>
    <w:rsid w:val="00522873"/>
    <w:rsid w:val="00522891"/>
    <w:rsid w:val="005228CB"/>
    <w:rsid w:val="005228DD"/>
    <w:rsid w:val="00522923"/>
    <w:rsid w:val="00522932"/>
    <w:rsid w:val="0052295B"/>
    <w:rsid w:val="0052295C"/>
    <w:rsid w:val="00522976"/>
    <w:rsid w:val="005229B4"/>
    <w:rsid w:val="00522A20"/>
    <w:rsid w:val="00522A77"/>
    <w:rsid w:val="00522AA2"/>
    <w:rsid w:val="00522ABD"/>
    <w:rsid w:val="00522AE8"/>
    <w:rsid w:val="00522B26"/>
    <w:rsid w:val="00522B67"/>
    <w:rsid w:val="00522B89"/>
    <w:rsid w:val="00522BDB"/>
    <w:rsid w:val="00522BF7"/>
    <w:rsid w:val="00522C2D"/>
    <w:rsid w:val="00522C31"/>
    <w:rsid w:val="00522C4D"/>
    <w:rsid w:val="00522C5B"/>
    <w:rsid w:val="00522C5D"/>
    <w:rsid w:val="00522CA4"/>
    <w:rsid w:val="00522CBB"/>
    <w:rsid w:val="00522CCC"/>
    <w:rsid w:val="00522D49"/>
    <w:rsid w:val="00522D75"/>
    <w:rsid w:val="00522DA7"/>
    <w:rsid w:val="00522DB1"/>
    <w:rsid w:val="00522DEE"/>
    <w:rsid w:val="00522E33"/>
    <w:rsid w:val="00522E34"/>
    <w:rsid w:val="00522E73"/>
    <w:rsid w:val="00522EA1"/>
    <w:rsid w:val="00522EC9"/>
    <w:rsid w:val="00522EE4"/>
    <w:rsid w:val="00522F0D"/>
    <w:rsid w:val="00522F13"/>
    <w:rsid w:val="00522F36"/>
    <w:rsid w:val="00522F3E"/>
    <w:rsid w:val="00522F64"/>
    <w:rsid w:val="00522FB6"/>
    <w:rsid w:val="00522FFE"/>
    <w:rsid w:val="005230BB"/>
    <w:rsid w:val="005230F1"/>
    <w:rsid w:val="00523103"/>
    <w:rsid w:val="0052312B"/>
    <w:rsid w:val="0052317A"/>
    <w:rsid w:val="00523187"/>
    <w:rsid w:val="0052320C"/>
    <w:rsid w:val="00523272"/>
    <w:rsid w:val="00523295"/>
    <w:rsid w:val="005232A6"/>
    <w:rsid w:val="005232FE"/>
    <w:rsid w:val="00523328"/>
    <w:rsid w:val="0052334D"/>
    <w:rsid w:val="00523394"/>
    <w:rsid w:val="005233A3"/>
    <w:rsid w:val="0052342B"/>
    <w:rsid w:val="0052344E"/>
    <w:rsid w:val="0052346A"/>
    <w:rsid w:val="00523485"/>
    <w:rsid w:val="00523487"/>
    <w:rsid w:val="005234B4"/>
    <w:rsid w:val="005234D6"/>
    <w:rsid w:val="005234EB"/>
    <w:rsid w:val="00523506"/>
    <w:rsid w:val="0052350B"/>
    <w:rsid w:val="00523522"/>
    <w:rsid w:val="0052355A"/>
    <w:rsid w:val="00523593"/>
    <w:rsid w:val="005235D7"/>
    <w:rsid w:val="00523600"/>
    <w:rsid w:val="0052360A"/>
    <w:rsid w:val="00523628"/>
    <w:rsid w:val="00523636"/>
    <w:rsid w:val="0052365A"/>
    <w:rsid w:val="005236A4"/>
    <w:rsid w:val="005236D0"/>
    <w:rsid w:val="005236D5"/>
    <w:rsid w:val="005236E1"/>
    <w:rsid w:val="005237AD"/>
    <w:rsid w:val="005237CE"/>
    <w:rsid w:val="00523820"/>
    <w:rsid w:val="00523855"/>
    <w:rsid w:val="0052387A"/>
    <w:rsid w:val="005238B5"/>
    <w:rsid w:val="005238BB"/>
    <w:rsid w:val="005238FB"/>
    <w:rsid w:val="00523901"/>
    <w:rsid w:val="00523976"/>
    <w:rsid w:val="00523978"/>
    <w:rsid w:val="00523994"/>
    <w:rsid w:val="005239D5"/>
    <w:rsid w:val="00523A16"/>
    <w:rsid w:val="00523A33"/>
    <w:rsid w:val="00523A9E"/>
    <w:rsid w:val="00523AA3"/>
    <w:rsid w:val="00523AC6"/>
    <w:rsid w:val="00523ACA"/>
    <w:rsid w:val="00523B44"/>
    <w:rsid w:val="00523B51"/>
    <w:rsid w:val="00523B5B"/>
    <w:rsid w:val="00523B77"/>
    <w:rsid w:val="00523B83"/>
    <w:rsid w:val="00523BC3"/>
    <w:rsid w:val="00523C1C"/>
    <w:rsid w:val="00523CF7"/>
    <w:rsid w:val="00523D09"/>
    <w:rsid w:val="00523D28"/>
    <w:rsid w:val="00523D4D"/>
    <w:rsid w:val="00523D72"/>
    <w:rsid w:val="00523D7C"/>
    <w:rsid w:val="00523DE4"/>
    <w:rsid w:val="00523E08"/>
    <w:rsid w:val="00523EA6"/>
    <w:rsid w:val="00523F31"/>
    <w:rsid w:val="00523F3E"/>
    <w:rsid w:val="00523F49"/>
    <w:rsid w:val="00523F50"/>
    <w:rsid w:val="00523FAE"/>
    <w:rsid w:val="00523FD8"/>
    <w:rsid w:val="0052400C"/>
    <w:rsid w:val="00524097"/>
    <w:rsid w:val="0052410D"/>
    <w:rsid w:val="0052411C"/>
    <w:rsid w:val="0052416D"/>
    <w:rsid w:val="0052416F"/>
    <w:rsid w:val="00524198"/>
    <w:rsid w:val="005241CA"/>
    <w:rsid w:val="005241DF"/>
    <w:rsid w:val="005241FB"/>
    <w:rsid w:val="00524217"/>
    <w:rsid w:val="0052421E"/>
    <w:rsid w:val="00524246"/>
    <w:rsid w:val="00524299"/>
    <w:rsid w:val="005242B2"/>
    <w:rsid w:val="005242C2"/>
    <w:rsid w:val="005242E0"/>
    <w:rsid w:val="00524362"/>
    <w:rsid w:val="005243B8"/>
    <w:rsid w:val="005243E4"/>
    <w:rsid w:val="00524412"/>
    <w:rsid w:val="00524428"/>
    <w:rsid w:val="00524448"/>
    <w:rsid w:val="00524464"/>
    <w:rsid w:val="0052447C"/>
    <w:rsid w:val="00524484"/>
    <w:rsid w:val="00524489"/>
    <w:rsid w:val="005244A7"/>
    <w:rsid w:val="00524542"/>
    <w:rsid w:val="0052455A"/>
    <w:rsid w:val="00524596"/>
    <w:rsid w:val="0052459E"/>
    <w:rsid w:val="005245A8"/>
    <w:rsid w:val="005245CB"/>
    <w:rsid w:val="005245D5"/>
    <w:rsid w:val="005245D8"/>
    <w:rsid w:val="005245E5"/>
    <w:rsid w:val="0052460C"/>
    <w:rsid w:val="00524610"/>
    <w:rsid w:val="0052465F"/>
    <w:rsid w:val="00524669"/>
    <w:rsid w:val="0052466A"/>
    <w:rsid w:val="005246B7"/>
    <w:rsid w:val="005246C7"/>
    <w:rsid w:val="005246DC"/>
    <w:rsid w:val="005246DD"/>
    <w:rsid w:val="0052476D"/>
    <w:rsid w:val="00524775"/>
    <w:rsid w:val="00524780"/>
    <w:rsid w:val="0052479E"/>
    <w:rsid w:val="005247A7"/>
    <w:rsid w:val="005247C4"/>
    <w:rsid w:val="005247C5"/>
    <w:rsid w:val="005247CE"/>
    <w:rsid w:val="0052480E"/>
    <w:rsid w:val="0052482F"/>
    <w:rsid w:val="00524841"/>
    <w:rsid w:val="00524872"/>
    <w:rsid w:val="00524877"/>
    <w:rsid w:val="005248E6"/>
    <w:rsid w:val="005248E9"/>
    <w:rsid w:val="005248FB"/>
    <w:rsid w:val="0052494B"/>
    <w:rsid w:val="00524974"/>
    <w:rsid w:val="005249A1"/>
    <w:rsid w:val="00524A0B"/>
    <w:rsid w:val="00524A3B"/>
    <w:rsid w:val="00524A3F"/>
    <w:rsid w:val="00524A73"/>
    <w:rsid w:val="00524A79"/>
    <w:rsid w:val="00524B01"/>
    <w:rsid w:val="00524B39"/>
    <w:rsid w:val="00524B60"/>
    <w:rsid w:val="00524B8A"/>
    <w:rsid w:val="00524BAF"/>
    <w:rsid w:val="00524BB0"/>
    <w:rsid w:val="00524BBC"/>
    <w:rsid w:val="00524BBE"/>
    <w:rsid w:val="00524BC5"/>
    <w:rsid w:val="00524BEC"/>
    <w:rsid w:val="00524BFB"/>
    <w:rsid w:val="00524C61"/>
    <w:rsid w:val="00524C77"/>
    <w:rsid w:val="00524C97"/>
    <w:rsid w:val="00524CF1"/>
    <w:rsid w:val="00524D37"/>
    <w:rsid w:val="00524D3C"/>
    <w:rsid w:val="00524DB1"/>
    <w:rsid w:val="00524DC1"/>
    <w:rsid w:val="00524DCD"/>
    <w:rsid w:val="00524E06"/>
    <w:rsid w:val="00524E24"/>
    <w:rsid w:val="00524ECB"/>
    <w:rsid w:val="00524ED2"/>
    <w:rsid w:val="00524EE2"/>
    <w:rsid w:val="00524EE7"/>
    <w:rsid w:val="00524EF7"/>
    <w:rsid w:val="00524F25"/>
    <w:rsid w:val="00524F30"/>
    <w:rsid w:val="00524F96"/>
    <w:rsid w:val="0052502D"/>
    <w:rsid w:val="00525036"/>
    <w:rsid w:val="005250A4"/>
    <w:rsid w:val="005250A5"/>
    <w:rsid w:val="005250BA"/>
    <w:rsid w:val="005250E2"/>
    <w:rsid w:val="00525112"/>
    <w:rsid w:val="0052511E"/>
    <w:rsid w:val="0052513B"/>
    <w:rsid w:val="00525152"/>
    <w:rsid w:val="0052515B"/>
    <w:rsid w:val="0052515E"/>
    <w:rsid w:val="005251C9"/>
    <w:rsid w:val="005251EE"/>
    <w:rsid w:val="005251F0"/>
    <w:rsid w:val="005251F9"/>
    <w:rsid w:val="00525248"/>
    <w:rsid w:val="00525281"/>
    <w:rsid w:val="00525283"/>
    <w:rsid w:val="005252A8"/>
    <w:rsid w:val="005252EE"/>
    <w:rsid w:val="00525328"/>
    <w:rsid w:val="00525339"/>
    <w:rsid w:val="00525347"/>
    <w:rsid w:val="00525375"/>
    <w:rsid w:val="005253B2"/>
    <w:rsid w:val="00525426"/>
    <w:rsid w:val="0052542B"/>
    <w:rsid w:val="0052542C"/>
    <w:rsid w:val="00525459"/>
    <w:rsid w:val="00525496"/>
    <w:rsid w:val="005254EC"/>
    <w:rsid w:val="00525512"/>
    <w:rsid w:val="0052552D"/>
    <w:rsid w:val="0052553B"/>
    <w:rsid w:val="00525549"/>
    <w:rsid w:val="0052555C"/>
    <w:rsid w:val="0052556B"/>
    <w:rsid w:val="0052559E"/>
    <w:rsid w:val="005255A7"/>
    <w:rsid w:val="005255E1"/>
    <w:rsid w:val="00525640"/>
    <w:rsid w:val="00525656"/>
    <w:rsid w:val="00525667"/>
    <w:rsid w:val="0052568C"/>
    <w:rsid w:val="005256AC"/>
    <w:rsid w:val="005256AD"/>
    <w:rsid w:val="0052570E"/>
    <w:rsid w:val="0052576E"/>
    <w:rsid w:val="0052577F"/>
    <w:rsid w:val="00525786"/>
    <w:rsid w:val="0052579D"/>
    <w:rsid w:val="005257BE"/>
    <w:rsid w:val="005257D7"/>
    <w:rsid w:val="005257FC"/>
    <w:rsid w:val="00525864"/>
    <w:rsid w:val="00525884"/>
    <w:rsid w:val="0052588E"/>
    <w:rsid w:val="005258EE"/>
    <w:rsid w:val="005258F5"/>
    <w:rsid w:val="0052590E"/>
    <w:rsid w:val="0052592B"/>
    <w:rsid w:val="00525933"/>
    <w:rsid w:val="0052594B"/>
    <w:rsid w:val="0052594E"/>
    <w:rsid w:val="00525962"/>
    <w:rsid w:val="00525972"/>
    <w:rsid w:val="005259BF"/>
    <w:rsid w:val="005259D7"/>
    <w:rsid w:val="005259E0"/>
    <w:rsid w:val="005259FE"/>
    <w:rsid w:val="00525A41"/>
    <w:rsid w:val="00525A47"/>
    <w:rsid w:val="00525A75"/>
    <w:rsid w:val="00525A77"/>
    <w:rsid w:val="00525AA7"/>
    <w:rsid w:val="00525AB8"/>
    <w:rsid w:val="00525B15"/>
    <w:rsid w:val="00525B2E"/>
    <w:rsid w:val="00525B32"/>
    <w:rsid w:val="00525B34"/>
    <w:rsid w:val="00525B45"/>
    <w:rsid w:val="00525B72"/>
    <w:rsid w:val="00525BA3"/>
    <w:rsid w:val="00525C01"/>
    <w:rsid w:val="00525C31"/>
    <w:rsid w:val="00525C38"/>
    <w:rsid w:val="00525C3E"/>
    <w:rsid w:val="00525C45"/>
    <w:rsid w:val="00525D3E"/>
    <w:rsid w:val="00525D50"/>
    <w:rsid w:val="00525D6A"/>
    <w:rsid w:val="00525D6D"/>
    <w:rsid w:val="00525D80"/>
    <w:rsid w:val="00525D9B"/>
    <w:rsid w:val="00525DA2"/>
    <w:rsid w:val="00525E0E"/>
    <w:rsid w:val="00525E26"/>
    <w:rsid w:val="00525E85"/>
    <w:rsid w:val="00525E89"/>
    <w:rsid w:val="00525E8F"/>
    <w:rsid w:val="00525EA6"/>
    <w:rsid w:val="00525EB1"/>
    <w:rsid w:val="00525ED2"/>
    <w:rsid w:val="00525ED4"/>
    <w:rsid w:val="00525ED7"/>
    <w:rsid w:val="00525EE2"/>
    <w:rsid w:val="00525F06"/>
    <w:rsid w:val="00525F2C"/>
    <w:rsid w:val="00525F39"/>
    <w:rsid w:val="00525F3D"/>
    <w:rsid w:val="00525F46"/>
    <w:rsid w:val="00525F4D"/>
    <w:rsid w:val="00525F67"/>
    <w:rsid w:val="00525F82"/>
    <w:rsid w:val="00525FA0"/>
    <w:rsid w:val="00525FF2"/>
    <w:rsid w:val="00526031"/>
    <w:rsid w:val="0052604D"/>
    <w:rsid w:val="0052605F"/>
    <w:rsid w:val="005260C5"/>
    <w:rsid w:val="005260C6"/>
    <w:rsid w:val="005260E9"/>
    <w:rsid w:val="0052614C"/>
    <w:rsid w:val="0052618D"/>
    <w:rsid w:val="005261DC"/>
    <w:rsid w:val="005261EF"/>
    <w:rsid w:val="005261F4"/>
    <w:rsid w:val="00526227"/>
    <w:rsid w:val="00526261"/>
    <w:rsid w:val="0052626B"/>
    <w:rsid w:val="0052626D"/>
    <w:rsid w:val="00526273"/>
    <w:rsid w:val="005262B7"/>
    <w:rsid w:val="005262EB"/>
    <w:rsid w:val="005262F9"/>
    <w:rsid w:val="00526344"/>
    <w:rsid w:val="0052634C"/>
    <w:rsid w:val="00526368"/>
    <w:rsid w:val="005263CA"/>
    <w:rsid w:val="005263D6"/>
    <w:rsid w:val="005263E1"/>
    <w:rsid w:val="005264D8"/>
    <w:rsid w:val="005264E5"/>
    <w:rsid w:val="00526530"/>
    <w:rsid w:val="0052653F"/>
    <w:rsid w:val="0052656A"/>
    <w:rsid w:val="0052658A"/>
    <w:rsid w:val="005265D6"/>
    <w:rsid w:val="00526620"/>
    <w:rsid w:val="00526648"/>
    <w:rsid w:val="0052667E"/>
    <w:rsid w:val="005266A5"/>
    <w:rsid w:val="005266C2"/>
    <w:rsid w:val="005266D7"/>
    <w:rsid w:val="0052677D"/>
    <w:rsid w:val="00526838"/>
    <w:rsid w:val="00526861"/>
    <w:rsid w:val="0052688A"/>
    <w:rsid w:val="0052688D"/>
    <w:rsid w:val="0052688F"/>
    <w:rsid w:val="005268D0"/>
    <w:rsid w:val="005268D2"/>
    <w:rsid w:val="00526904"/>
    <w:rsid w:val="0052691D"/>
    <w:rsid w:val="00526925"/>
    <w:rsid w:val="00526948"/>
    <w:rsid w:val="0052694A"/>
    <w:rsid w:val="0052696B"/>
    <w:rsid w:val="00526991"/>
    <w:rsid w:val="005269A5"/>
    <w:rsid w:val="005269B3"/>
    <w:rsid w:val="005269CC"/>
    <w:rsid w:val="00526A48"/>
    <w:rsid w:val="00526A96"/>
    <w:rsid w:val="00526AC1"/>
    <w:rsid w:val="00526ACC"/>
    <w:rsid w:val="00526B13"/>
    <w:rsid w:val="00526B3E"/>
    <w:rsid w:val="00526B52"/>
    <w:rsid w:val="00526B83"/>
    <w:rsid w:val="00526B88"/>
    <w:rsid w:val="00526BA2"/>
    <w:rsid w:val="00526BB1"/>
    <w:rsid w:val="00526BBD"/>
    <w:rsid w:val="00526C20"/>
    <w:rsid w:val="00526C4E"/>
    <w:rsid w:val="00526C5F"/>
    <w:rsid w:val="00526C84"/>
    <w:rsid w:val="00526CF0"/>
    <w:rsid w:val="00526D4B"/>
    <w:rsid w:val="00526D58"/>
    <w:rsid w:val="00526D7A"/>
    <w:rsid w:val="00526DB8"/>
    <w:rsid w:val="00526DCA"/>
    <w:rsid w:val="00526E4C"/>
    <w:rsid w:val="00526EF6"/>
    <w:rsid w:val="00526F20"/>
    <w:rsid w:val="00526F3A"/>
    <w:rsid w:val="00526FB2"/>
    <w:rsid w:val="00526FF5"/>
    <w:rsid w:val="00527032"/>
    <w:rsid w:val="0052706A"/>
    <w:rsid w:val="00527084"/>
    <w:rsid w:val="00527096"/>
    <w:rsid w:val="00527101"/>
    <w:rsid w:val="00527142"/>
    <w:rsid w:val="0052714E"/>
    <w:rsid w:val="00527179"/>
    <w:rsid w:val="0052717A"/>
    <w:rsid w:val="0052717C"/>
    <w:rsid w:val="00527198"/>
    <w:rsid w:val="005271EA"/>
    <w:rsid w:val="0052720E"/>
    <w:rsid w:val="00527278"/>
    <w:rsid w:val="005272AE"/>
    <w:rsid w:val="005272BC"/>
    <w:rsid w:val="005272F8"/>
    <w:rsid w:val="00527318"/>
    <w:rsid w:val="00527331"/>
    <w:rsid w:val="0052736E"/>
    <w:rsid w:val="0052737B"/>
    <w:rsid w:val="005273A3"/>
    <w:rsid w:val="005273AC"/>
    <w:rsid w:val="005273AF"/>
    <w:rsid w:val="005273B5"/>
    <w:rsid w:val="005273C1"/>
    <w:rsid w:val="00527433"/>
    <w:rsid w:val="00527449"/>
    <w:rsid w:val="005274A3"/>
    <w:rsid w:val="005274AD"/>
    <w:rsid w:val="005274B4"/>
    <w:rsid w:val="005274DC"/>
    <w:rsid w:val="00527502"/>
    <w:rsid w:val="0052750F"/>
    <w:rsid w:val="0052752D"/>
    <w:rsid w:val="00527535"/>
    <w:rsid w:val="0052754E"/>
    <w:rsid w:val="00527584"/>
    <w:rsid w:val="005275AC"/>
    <w:rsid w:val="005275AD"/>
    <w:rsid w:val="005275E3"/>
    <w:rsid w:val="00527631"/>
    <w:rsid w:val="0052764E"/>
    <w:rsid w:val="005276C8"/>
    <w:rsid w:val="005276D3"/>
    <w:rsid w:val="00527713"/>
    <w:rsid w:val="0052771E"/>
    <w:rsid w:val="0052772D"/>
    <w:rsid w:val="0052772F"/>
    <w:rsid w:val="005277CA"/>
    <w:rsid w:val="00527802"/>
    <w:rsid w:val="00527808"/>
    <w:rsid w:val="005278CD"/>
    <w:rsid w:val="00527942"/>
    <w:rsid w:val="005279CF"/>
    <w:rsid w:val="005279DE"/>
    <w:rsid w:val="00527A00"/>
    <w:rsid w:val="00527A7A"/>
    <w:rsid w:val="00527AA6"/>
    <w:rsid w:val="00527ABF"/>
    <w:rsid w:val="00527ACB"/>
    <w:rsid w:val="00527ACF"/>
    <w:rsid w:val="00527AD0"/>
    <w:rsid w:val="00527ADB"/>
    <w:rsid w:val="00527ADF"/>
    <w:rsid w:val="00527AE4"/>
    <w:rsid w:val="00527B1D"/>
    <w:rsid w:val="00527B23"/>
    <w:rsid w:val="00527B33"/>
    <w:rsid w:val="00527B3B"/>
    <w:rsid w:val="00527B53"/>
    <w:rsid w:val="00527B6A"/>
    <w:rsid w:val="00527BA0"/>
    <w:rsid w:val="00527BF7"/>
    <w:rsid w:val="00527BFA"/>
    <w:rsid w:val="00527BFB"/>
    <w:rsid w:val="00527C64"/>
    <w:rsid w:val="00527C75"/>
    <w:rsid w:val="00527C8D"/>
    <w:rsid w:val="00527CAF"/>
    <w:rsid w:val="00527CB1"/>
    <w:rsid w:val="00527D5E"/>
    <w:rsid w:val="00527D6D"/>
    <w:rsid w:val="00527D7C"/>
    <w:rsid w:val="00527DA1"/>
    <w:rsid w:val="00527DD8"/>
    <w:rsid w:val="00527E02"/>
    <w:rsid w:val="00527E4E"/>
    <w:rsid w:val="00527E66"/>
    <w:rsid w:val="00527E77"/>
    <w:rsid w:val="00527EAB"/>
    <w:rsid w:val="00527EED"/>
    <w:rsid w:val="00527F0E"/>
    <w:rsid w:val="00527F1B"/>
    <w:rsid w:val="00527F1C"/>
    <w:rsid w:val="00527F45"/>
    <w:rsid w:val="00527F5A"/>
    <w:rsid w:val="00527F66"/>
    <w:rsid w:val="00527FA8"/>
    <w:rsid w:val="00527FC5"/>
    <w:rsid w:val="00527FCE"/>
    <w:rsid w:val="00527FD5"/>
    <w:rsid w:val="00530011"/>
    <w:rsid w:val="00530026"/>
    <w:rsid w:val="0053002D"/>
    <w:rsid w:val="00530035"/>
    <w:rsid w:val="00530096"/>
    <w:rsid w:val="005300D7"/>
    <w:rsid w:val="005300DC"/>
    <w:rsid w:val="0053010C"/>
    <w:rsid w:val="00530145"/>
    <w:rsid w:val="00530184"/>
    <w:rsid w:val="005301AE"/>
    <w:rsid w:val="005301BD"/>
    <w:rsid w:val="005301CF"/>
    <w:rsid w:val="00530230"/>
    <w:rsid w:val="0053027D"/>
    <w:rsid w:val="005302C7"/>
    <w:rsid w:val="005302EA"/>
    <w:rsid w:val="005302FC"/>
    <w:rsid w:val="0053030C"/>
    <w:rsid w:val="0053033E"/>
    <w:rsid w:val="00530340"/>
    <w:rsid w:val="00530347"/>
    <w:rsid w:val="0053034D"/>
    <w:rsid w:val="00530395"/>
    <w:rsid w:val="005303A5"/>
    <w:rsid w:val="005303BA"/>
    <w:rsid w:val="005303DB"/>
    <w:rsid w:val="00530409"/>
    <w:rsid w:val="0053043C"/>
    <w:rsid w:val="0053044A"/>
    <w:rsid w:val="0053044C"/>
    <w:rsid w:val="00530458"/>
    <w:rsid w:val="0053049F"/>
    <w:rsid w:val="005304A1"/>
    <w:rsid w:val="005304AF"/>
    <w:rsid w:val="005304B4"/>
    <w:rsid w:val="005304DC"/>
    <w:rsid w:val="005304F1"/>
    <w:rsid w:val="0053050C"/>
    <w:rsid w:val="00530526"/>
    <w:rsid w:val="0053053D"/>
    <w:rsid w:val="0053055D"/>
    <w:rsid w:val="00530563"/>
    <w:rsid w:val="00530573"/>
    <w:rsid w:val="005305A3"/>
    <w:rsid w:val="005305E2"/>
    <w:rsid w:val="0053061D"/>
    <w:rsid w:val="00530623"/>
    <w:rsid w:val="00530643"/>
    <w:rsid w:val="005306A5"/>
    <w:rsid w:val="005306F3"/>
    <w:rsid w:val="005306FE"/>
    <w:rsid w:val="00530717"/>
    <w:rsid w:val="00530744"/>
    <w:rsid w:val="0053075B"/>
    <w:rsid w:val="00530769"/>
    <w:rsid w:val="00530787"/>
    <w:rsid w:val="00530795"/>
    <w:rsid w:val="005307CB"/>
    <w:rsid w:val="005307E2"/>
    <w:rsid w:val="00530819"/>
    <w:rsid w:val="00530836"/>
    <w:rsid w:val="00530842"/>
    <w:rsid w:val="00530876"/>
    <w:rsid w:val="005308AE"/>
    <w:rsid w:val="00530924"/>
    <w:rsid w:val="00530939"/>
    <w:rsid w:val="00530940"/>
    <w:rsid w:val="0053094A"/>
    <w:rsid w:val="0053095B"/>
    <w:rsid w:val="005309B4"/>
    <w:rsid w:val="005309CF"/>
    <w:rsid w:val="005309E8"/>
    <w:rsid w:val="00530A9D"/>
    <w:rsid w:val="00530AE1"/>
    <w:rsid w:val="00530AEB"/>
    <w:rsid w:val="00530B4F"/>
    <w:rsid w:val="00530B63"/>
    <w:rsid w:val="00530B74"/>
    <w:rsid w:val="00530BE1"/>
    <w:rsid w:val="00530BED"/>
    <w:rsid w:val="00530C21"/>
    <w:rsid w:val="00530C2E"/>
    <w:rsid w:val="00530C52"/>
    <w:rsid w:val="00530C85"/>
    <w:rsid w:val="00530CA3"/>
    <w:rsid w:val="00530CDC"/>
    <w:rsid w:val="00530D20"/>
    <w:rsid w:val="00530D39"/>
    <w:rsid w:val="00530D7B"/>
    <w:rsid w:val="00530DC8"/>
    <w:rsid w:val="00530DD1"/>
    <w:rsid w:val="00530DEE"/>
    <w:rsid w:val="00530E35"/>
    <w:rsid w:val="00530E39"/>
    <w:rsid w:val="00530E75"/>
    <w:rsid w:val="00530E7E"/>
    <w:rsid w:val="00530E82"/>
    <w:rsid w:val="00530EC8"/>
    <w:rsid w:val="00530ED8"/>
    <w:rsid w:val="00530ED9"/>
    <w:rsid w:val="00530EE6"/>
    <w:rsid w:val="00530F00"/>
    <w:rsid w:val="00530F19"/>
    <w:rsid w:val="00530F7F"/>
    <w:rsid w:val="00530FA3"/>
    <w:rsid w:val="00530FDC"/>
    <w:rsid w:val="00530FDE"/>
    <w:rsid w:val="00530FE0"/>
    <w:rsid w:val="00531008"/>
    <w:rsid w:val="00531075"/>
    <w:rsid w:val="005310A8"/>
    <w:rsid w:val="005310CD"/>
    <w:rsid w:val="00531123"/>
    <w:rsid w:val="00531154"/>
    <w:rsid w:val="00531155"/>
    <w:rsid w:val="00531191"/>
    <w:rsid w:val="005311B8"/>
    <w:rsid w:val="005311E5"/>
    <w:rsid w:val="00531203"/>
    <w:rsid w:val="0053122F"/>
    <w:rsid w:val="0053126E"/>
    <w:rsid w:val="0053128C"/>
    <w:rsid w:val="00531292"/>
    <w:rsid w:val="005312AE"/>
    <w:rsid w:val="00531301"/>
    <w:rsid w:val="00531332"/>
    <w:rsid w:val="005313BD"/>
    <w:rsid w:val="005313DA"/>
    <w:rsid w:val="005313DF"/>
    <w:rsid w:val="005313EB"/>
    <w:rsid w:val="00531420"/>
    <w:rsid w:val="00531458"/>
    <w:rsid w:val="005314A4"/>
    <w:rsid w:val="005314A6"/>
    <w:rsid w:val="005314C5"/>
    <w:rsid w:val="005314D6"/>
    <w:rsid w:val="005314F1"/>
    <w:rsid w:val="005314F5"/>
    <w:rsid w:val="00531537"/>
    <w:rsid w:val="00531540"/>
    <w:rsid w:val="00531588"/>
    <w:rsid w:val="005315A3"/>
    <w:rsid w:val="005315AE"/>
    <w:rsid w:val="005315ED"/>
    <w:rsid w:val="005315FD"/>
    <w:rsid w:val="00531697"/>
    <w:rsid w:val="005316A9"/>
    <w:rsid w:val="005316B9"/>
    <w:rsid w:val="005316F5"/>
    <w:rsid w:val="0053171F"/>
    <w:rsid w:val="00531725"/>
    <w:rsid w:val="00531735"/>
    <w:rsid w:val="0053174D"/>
    <w:rsid w:val="0053175A"/>
    <w:rsid w:val="00531773"/>
    <w:rsid w:val="00531777"/>
    <w:rsid w:val="00531788"/>
    <w:rsid w:val="0053179D"/>
    <w:rsid w:val="00531830"/>
    <w:rsid w:val="0053183D"/>
    <w:rsid w:val="0053189E"/>
    <w:rsid w:val="00531922"/>
    <w:rsid w:val="00531950"/>
    <w:rsid w:val="0053199A"/>
    <w:rsid w:val="005319B9"/>
    <w:rsid w:val="005319D4"/>
    <w:rsid w:val="00531A35"/>
    <w:rsid w:val="00531A39"/>
    <w:rsid w:val="00531A48"/>
    <w:rsid w:val="00531A6C"/>
    <w:rsid w:val="00531A6D"/>
    <w:rsid w:val="00531B24"/>
    <w:rsid w:val="00531B25"/>
    <w:rsid w:val="00531B67"/>
    <w:rsid w:val="00531BB9"/>
    <w:rsid w:val="00531C15"/>
    <w:rsid w:val="00531C19"/>
    <w:rsid w:val="00531C2C"/>
    <w:rsid w:val="00531C38"/>
    <w:rsid w:val="00531C81"/>
    <w:rsid w:val="00531CC4"/>
    <w:rsid w:val="00531D28"/>
    <w:rsid w:val="00531D4C"/>
    <w:rsid w:val="00531D7A"/>
    <w:rsid w:val="00531D8C"/>
    <w:rsid w:val="00531DAE"/>
    <w:rsid w:val="00531DB8"/>
    <w:rsid w:val="00531DD3"/>
    <w:rsid w:val="00531DF7"/>
    <w:rsid w:val="00531E11"/>
    <w:rsid w:val="00531E91"/>
    <w:rsid w:val="00531EAA"/>
    <w:rsid w:val="00531EFC"/>
    <w:rsid w:val="00531EFE"/>
    <w:rsid w:val="00531F48"/>
    <w:rsid w:val="00531F5B"/>
    <w:rsid w:val="00531F88"/>
    <w:rsid w:val="00531FEB"/>
    <w:rsid w:val="00532065"/>
    <w:rsid w:val="005320AC"/>
    <w:rsid w:val="005320E6"/>
    <w:rsid w:val="005320FD"/>
    <w:rsid w:val="005321FD"/>
    <w:rsid w:val="00532211"/>
    <w:rsid w:val="00532247"/>
    <w:rsid w:val="00532270"/>
    <w:rsid w:val="0053228C"/>
    <w:rsid w:val="0053229E"/>
    <w:rsid w:val="005322AA"/>
    <w:rsid w:val="005322AC"/>
    <w:rsid w:val="005322AE"/>
    <w:rsid w:val="005322C2"/>
    <w:rsid w:val="00532314"/>
    <w:rsid w:val="00532332"/>
    <w:rsid w:val="00532347"/>
    <w:rsid w:val="0053237A"/>
    <w:rsid w:val="00532391"/>
    <w:rsid w:val="00532395"/>
    <w:rsid w:val="005323BB"/>
    <w:rsid w:val="005323BD"/>
    <w:rsid w:val="005323D7"/>
    <w:rsid w:val="00532476"/>
    <w:rsid w:val="005324B9"/>
    <w:rsid w:val="005325C7"/>
    <w:rsid w:val="005325D3"/>
    <w:rsid w:val="005325DF"/>
    <w:rsid w:val="0053260F"/>
    <w:rsid w:val="00532615"/>
    <w:rsid w:val="0053262D"/>
    <w:rsid w:val="00532653"/>
    <w:rsid w:val="0053267D"/>
    <w:rsid w:val="00532726"/>
    <w:rsid w:val="0053272D"/>
    <w:rsid w:val="00532749"/>
    <w:rsid w:val="00532761"/>
    <w:rsid w:val="0053277C"/>
    <w:rsid w:val="005327CF"/>
    <w:rsid w:val="005327F0"/>
    <w:rsid w:val="005327F3"/>
    <w:rsid w:val="005327FB"/>
    <w:rsid w:val="005328BE"/>
    <w:rsid w:val="005328FA"/>
    <w:rsid w:val="00532930"/>
    <w:rsid w:val="00532943"/>
    <w:rsid w:val="00532979"/>
    <w:rsid w:val="0053298C"/>
    <w:rsid w:val="005329C8"/>
    <w:rsid w:val="005329F3"/>
    <w:rsid w:val="00532A0A"/>
    <w:rsid w:val="00532A49"/>
    <w:rsid w:val="00532A74"/>
    <w:rsid w:val="00532AAB"/>
    <w:rsid w:val="00532AC5"/>
    <w:rsid w:val="00532AFF"/>
    <w:rsid w:val="00532B02"/>
    <w:rsid w:val="00532B5F"/>
    <w:rsid w:val="00532B71"/>
    <w:rsid w:val="00532BA5"/>
    <w:rsid w:val="00532BC8"/>
    <w:rsid w:val="00532BE2"/>
    <w:rsid w:val="00532C4B"/>
    <w:rsid w:val="00532C72"/>
    <w:rsid w:val="00532C9F"/>
    <w:rsid w:val="00532CC9"/>
    <w:rsid w:val="00532CE6"/>
    <w:rsid w:val="00532D49"/>
    <w:rsid w:val="00532DBA"/>
    <w:rsid w:val="00532DC1"/>
    <w:rsid w:val="00532DDA"/>
    <w:rsid w:val="00532DEF"/>
    <w:rsid w:val="00532E2D"/>
    <w:rsid w:val="00532E50"/>
    <w:rsid w:val="00532ED6"/>
    <w:rsid w:val="00532EE8"/>
    <w:rsid w:val="00532F22"/>
    <w:rsid w:val="00532F72"/>
    <w:rsid w:val="00532F8C"/>
    <w:rsid w:val="00532FE3"/>
    <w:rsid w:val="00532FFF"/>
    <w:rsid w:val="0053303D"/>
    <w:rsid w:val="005330B3"/>
    <w:rsid w:val="005330E8"/>
    <w:rsid w:val="0053312B"/>
    <w:rsid w:val="00533142"/>
    <w:rsid w:val="0053316B"/>
    <w:rsid w:val="0053317D"/>
    <w:rsid w:val="005331C4"/>
    <w:rsid w:val="005331CA"/>
    <w:rsid w:val="00533259"/>
    <w:rsid w:val="005332FE"/>
    <w:rsid w:val="0053330F"/>
    <w:rsid w:val="0053332E"/>
    <w:rsid w:val="00533358"/>
    <w:rsid w:val="00533439"/>
    <w:rsid w:val="00533451"/>
    <w:rsid w:val="005334AC"/>
    <w:rsid w:val="005334BC"/>
    <w:rsid w:val="005334D1"/>
    <w:rsid w:val="00533567"/>
    <w:rsid w:val="00533595"/>
    <w:rsid w:val="005335D1"/>
    <w:rsid w:val="005335DD"/>
    <w:rsid w:val="005335F4"/>
    <w:rsid w:val="00533602"/>
    <w:rsid w:val="0053363A"/>
    <w:rsid w:val="00533645"/>
    <w:rsid w:val="0053368A"/>
    <w:rsid w:val="0053368F"/>
    <w:rsid w:val="00533694"/>
    <w:rsid w:val="005336A4"/>
    <w:rsid w:val="005336B7"/>
    <w:rsid w:val="005336D4"/>
    <w:rsid w:val="00533723"/>
    <w:rsid w:val="0053374C"/>
    <w:rsid w:val="0053375B"/>
    <w:rsid w:val="00533789"/>
    <w:rsid w:val="005337C7"/>
    <w:rsid w:val="00533816"/>
    <w:rsid w:val="00533818"/>
    <w:rsid w:val="0053381B"/>
    <w:rsid w:val="0053382B"/>
    <w:rsid w:val="005338AF"/>
    <w:rsid w:val="005338C9"/>
    <w:rsid w:val="00533976"/>
    <w:rsid w:val="005339BB"/>
    <w:rsid w:val="005339C5"/>
    <w:rsid w:val="005339F8"/>
    <w:rsid w:val="00533A68"/>
    <w:rsid w:val="00533A88"/>
    <w:rsid w:val="00533A93"/>
    <w:rsid w:val="00533A9B"/>
    <w:rsid w:val="00533AA8"/>
    <w:rsid w:val="00533ABD"/>
    <w:rsid w:val="00533AC4"/>
    <w:rsid w:val="00533AD4"/>
    <w:rsid w:val="00533B60"/>
    <w:rsid w:val="00533B66"/>
    <w:rsid w:val="00533B7C"/>
    <w:rsid w:val="00533B8D"/>
    <w:rsid w:val="00533BCF"/>
    <w:rsid w:val="00533BD9"/>
    <w:rsid w:val="00533BE8"/>
    <w:rsid w:val="00533BF6"/>
    <w:rsid w:val="00533C35"/>
    <w:rsid w:val="00533C43"/>
    <w:rsid w:val="00533C44"/>
    <w:rsid w:val="00533C54"/>
    <w:rsid w:val="00533C70"/>
    <w:rsid w:val="00533C8A"/>
    <w:rsid w:val="00533C9A"/>
    <w:rsid w:val="00533D56"/>
    <w:rsid w:val="00533D5A"/>
    <w:rsid w:val="00533DBD"/>
    <w:rsid w:val="00533DD7"/>
    <w:rsid w:val="00533E1D"/>
    <w:rsid w:val="00533E20"/>
    <w:rsid w:val="00533E66"/>
    <w:rsid w:val="00533E7B"/>
    <w:rsid w:val="00533E87"/>
    <w:rsid w:val="00533EB9"/>
    <w:rsid w:val="00533EF9"/>
    <w:rsid w:val="00533F1D"/>
    <w:rsid w:val="00533F4C"/>
    <w:rsid w:val="00533F54"/>
    <w:rsid w:val="00533F58"/>
    <w:rsid w:val="00533F73"/>
    <w:rsid w:val="00533F89"/>
    <w:rsid w:val="00533FB0"/>
    <w:rsid w:val="00533FDF"/>
    <w:rsid w:val="00533FE7"/>
    <w:rsid w:val="00534001"/>
    <w:rsid w:val="00534027"/>
    <w:rsid w:val="00534054"/>
    <w:rsid w:val="00534067"/>
    <w:rsid w:val="005340C5"/>
    <w:rsid w:val="005340C6"/>
    <w:rsid w:val="005340F2"/>
    <w:rsid w:val="00534106"/>
    <w:rsid w:val="00534128"/>
    <w:rsid w:val="0053414F"/>
    <w:rsid w:val="0053417B"/>
    <w:rsid w:val="0053417F"/>
    <w:rsid w:val="005341E4"/>
    <w:rsid w:val="005341E5"/>
    <w:rsid w:val="005341F2"/>
    <w:rsid w:val="00534213"/>
    <w:rsid w:val="00534214"/>
    <w:rsid w:val="0053422A"/>
    <w:rsid w:val="00534239"/>
    <w:rsid w:val="0053425D"/>
    <w:rsid w:val="00534277"/>
    <w:rsid w:val="005342CD"/>
    <w:rsid w:val="005342EB"/>
    <w:rsid w:val="00534319"/>
    <w:rsid w:val="00534322"/>
    <w:rsid w:val="00534330"/>
    <w:rsid w:val="005343A8"/>
    <w:rsid w:val="005343F3"/>
    <w:rsid w:val="00534410"/>
    <w:rsid w:val="0053441D"/>
    <w:rsid w:val="00534422"/>
    <w:rsid w:val="00534449"/>
    <w:rsid w:val="0053445A"/>
    <w:rsid w:val="00534482"/>
    <w:rsid w:val="00534499"/>
    <w:rsid w:val="005344C6"/>
    <w:rsid w:val="005344D9"/>
    <w:rsid w:val="005344DA"/>
    <w:rsid w:val="005344FE"/>
    <w:rsid w:val="00534502"/>
    <w:rsid w:val="00534512"/>
    <w:rsid w:val="00534546"/>
    <w:rsid w:val="0053454C"/>
    <w:rsid w:val="00534599"/>
    <w:rsid w:val="005345A9"/>
    <w:rsid w:val="005345BD"/>
    <w:rsid w:val="005345F5"/>
    <w:rsid w:val="0053460D"/>
    <w:rsid w:val="00534638"/>
    <w:rsid w:val="0053468B"/>
    <w:rsid w:val="005346CD"/>
    <w:rsid w:val="005346E6"/>
    <w:rsid w:val="0053470C"/>
    <w:rsid w:val="00534761"/>
    <w:rsid w:val="00534776"/>
    <w:rsid w:val="00534782"/>
    <w:rsid w:val="005347C7"/>
    <w:rsid w:val="005347F3"/>
    <w:rsid w:val="00534800"/>
    <w:rsid w:val="0053485A"/>
    <w:rsid w:val="00534883"/>
    <w:rsid w:val="0053489D"/>
    <w:rsid w:val="0053495B"/>
    <w:rsid w:val="00534967"/>
    <w:rsid w:val="00534987"/>
    <w:rsid w:val="005349AC"/>
    <w:rsid w:val="005349C6"/>
    <w:rsid w:val="005349D6"/>
    <w:rsid w:val="005349F0"/>
    <w:rsid w:val="00534A01"/>
    <w:rsid w:val="00534A43"/>
    <w:rsid w:val="00534A6F"/>
    <w:rsid w:val="00534A90"/>
    <w:rsid w:val="00534B25"/>
    <w:rsid w:val="00534B78"/>
    <w:rsid w:val="00534BF0"/>
    <w:rsid w:val="00534C03"/>
    <w:rsid w:val="00534C42"/>
    <w:rsid w:val="00534D45"/>
    <w:rsid w:val="00534D89"/>
    <w:rsid w:val="00534D8F"/>
    <w:rsid w:val="00534DA1"/>
    <w:rsid w:val="00534DC3"/>
    <w:rsid w:val="00534E2F"/>
    <w:rsid w:val="00534E3E"/>
    <w:rsid w:val="00534E6E"/>
    <w:rsid w:val="00534E71"/>
    <w:rsid w:val="00534E9B"/>
    <w:rsid w:val="00534F2B"/>
    <w:rsid w:val="00534F53"/>
    <w:rsid w:val="00534FBF"/>
    <w:rsid w:val="00534FE2"/>
    <w:rsid w:val="00535051"/>
    <w:rsid w:val="0053505B"/>
    <w:rsid w:val="0053508A"/>
    <w:rsid w:val="00535099"/>
    <w:rsid w:val="005350E9"/>
    <w:rsid w:val="00535101"/>
    <w:rsid w:val="0053510C"/>
    <w:rsid w:val="00535114"/>
    <w:rsid w:val="0053513E"/>
    <w:rsid w:val="00535148"/>
    <w:rsid w:val="00535184"/>
    <w:rsid w:val="005351B7"/>
    <w:rsid w:val="005351B8"/>
    <w:rsid w:val="0053520B"/>
    <w:rsid w:val="00535241"/>
    <w:rsid w:val="0053524B"/>
    <w:rsid w:val="00535284"/>
    <w:rsid w:val="0053528A"/>
    <w:rsid w:val="0053528B"/>
    <w:rsid w:val="00535292"/>
    <w:rsid w:val="0053529A"/>
    <w:rsid w:val="005352AB"/>
    <w:rsid w:val="005352CF"/>
    <w:rsid w:val="00535394"/>
    <w:rsid w:val="005353BA"/>
    <w:rsid w:val="005353F4"/>
    <w:rsid w:val="00535417"/>
    <w:rsid w:val="0053543D"/>
    <w:rsid w:val="00535456"/>
    <w:rsid w:val="005354C8"/>
    <w:rsid w:val="005354EF"/>
    <w:rsid w:val="005354F6"/>
    <w:rsid w:val="005354FF"/>
    <w:rsid w:val="00535549"/>
    <w:rsid w:val="00535595"/>
    <w:rsid w:val="00535596"/>
    <w:rsid w:val="005355C7"/>
    <w:rsid w:val="005355D1"/>
    <w:rsid w:val="005355E7"/>
    <w:rsid w:val="00535641"/>
    <w:rsid w:val="00535645"/>
    <w:rsid w:val="00535654"/>
    <w:rsid w:val="00535688"/>
    <w:rsid w:val="00535706"/>
    <w:rsid w:val="00535721"/>
    <w:rsid w:val="00535744"/>
    <w:rsid w:val="0053576D"/>
    <w:rsid w:val="005357BF"/>
    <w:rsid w:val="005357E3"/>
    <w:rsid w:val="005357F0"/>
    <w:rsid w:val="00535812"/>
    <w:rsid w:val="00535850"/>
    <w:rsid w:val="005358AC"/>
    <w:rsid w:val="005358B6"/>
    <w:rsid w:val="005358E2"/>
    <w:rsid w:val="005358F8"/>
    <w:rsid w:val="00535964"/>
    <w:rsid w:val="00535993"/>
    <w:rsid w:val="0053599A"/>
    <w:rsid w:val="0053599D"/>
    <w:rsid w:val="005359B3"/>
    <w:rsid w:val="005359ED"/>
    <w:rsid w:val="005359F9"/>
    <w:rsid w:val="00535A16"/>
    <w:rsid w:val="00535A9C"/>
    <w:rsid w:val="00535AE3"/>
    <w:rsid w:val="00535AF3"/>
    <w:rsid w:val="00535AFB"/>
    <w:rsid w:val="00535B2B"/>
    <w:rsid w:val="00535B74"/>
    <w:rsid w:val="00535BA5"/>
    <w:rsid w:val="00535BCA"/>
    <w:rsid w:val="00535BCC"/>
    <w:rsid w:val="00535BD6"/>
    <w:rsid w:val="00535CE1"/>
    <w:rsid w:val="00535CE6"/>
    <w:rsid w:val="00535D38"/>
    <w:rsid w:val="00535D4F"/>
    <w:rsid w:val="00535D76"/>
    <w:rsid w:val="00535DEE"/>
    <w:rsid w:val="00535E06"/>
    <w:rsid w:val="00535E0A"/>
    <w:rsid w:val="00535E2A"/>
    <w:rsid w:val="00535E89"/>
    <w:rsid w:val="00535E8D"/>
    <w:rsid w:val="00535EAA"/>
    <w:rsid w:val="00535EAC"/>
    <w:rsid w:val="00535EEF"/>
    <w:rsid w:val="00535F4B"/>
    <w:rsid w:val="00535F8D"/>
    <w:rsid w:val="00535F9D"/>
    <w:rsid w:val="00535FA1"/>
    <w:rsid w:val="00535FAF"/>
    <w:rsid w:val="00535FD1"/>
    <w:rsid w:val="0053600C"/>
    <w:rsid w:val="0053604B"/>
    <w:rsid w:val="0053607E"/>
    <w:rsid w:val="00536088"/>
    <w:rsid w:val="005360A0"/>
    <w:rsid w:val="005360BD"/>
    <w:rsid w:val="005360C4"/>
    <w:rsid w:val="005360CE"/>
    <w:rsid w:val="005360F7"/>
    <w:rsid w:val="00536106"/>
    <w:rsid w:val="0053610F"/>
    <w:rsid w:val="00536171"/>
    <w:rsid w:val="00536182"/>
    <w:rsid w:val="0053618D"/>
    <w:rsid w:val="005361AE"/>
    <w:rsid w:val="005361CD"/>
    <w:rsid w:val="005361D5"/>
    <w:rsid w:val="005361EC"/>
    <w:rsid w:val="0053623B"/>
    <w:rsid w:val="00536274"/>
    <w:rsid w:val="005362A5"/>
    <w:rsid w:val="005362B1"/>
    <w:rsid w:val="005362B7"/>
    <w:rsid w:val="005362F4"/>
    <w:rsid w:val="00536304"/>
    <w:rsid w:val="00536343"/>
    <w:rsid w:val="0053635C"/>
    <w:rsid w:val="00536376"/>
    <w:rsid w:val="00536378"/>
    <w:rsid w:val="005363A0"/>
    <w:rsid w:val="005363B0"/>
    <w:rsid w:val="005363CD"/>
    <w:rsid w:val="005363D6"/>
    <w:rsid w:val="00536472"/>
    <w:rsid w:val="0053648D"/>
    <w:rsid w:val="005364C3"/>
    <w:rsid w:val="005364CD"/>
    <w:rsid w:val="005364DD"/>
    <w:rsid w:val="005364E2"/>
    <w:rsid w:val="00536519"/>
    <w:rsid w:val="00536541"/>
    <w:rsid w:val="00536544"/>
    <w:rsid w:val="0053655A"/>
    <w:rsid w:val="00536565"/>
    <w:rsid w:val="0053657E"/>
    <w:rsid w:val="005365A2"/>
    <w:rsid w:val="005365AB"/>
    <w:rsid w:val="005365E5"/>
    <w:rsid w:val="00536625"/>
    <w:rsid w:val="00536632"/>
    <w:rsid w:val="0053663A"/>
    <w:rsid w:val="00536664"/>
    <w:rsid w:val="005366A2"/>
    <w:rsid w:val="005366A4"/>
    <w:rsid w:val="005366BB"/>
    <w:rsid w:val="005366CD"/>
    <w:rsid w:val="005366F7"/>
    <w:rsid w:val="00536704"/>
    <w:rsid w:val="00536712"/>
    <w:rsid w:val="00536748"/>
    <w:rsid w:val="00536763"/>
    <w:rsid w:val="00536784"/>
    <w:rsid w:val="0053679C"/>
    <w:rsid w:val="005367CC"/>
    <w:rsid w:val="005367DE"/>
    <w:rsid w:val="005367DF"/>
    <w:rsid w:val="005367EE"/>
    <w:rsid w:val="00536801"/>
    <w:rsid w:val="00536803"/>
    <w:rsid w:val="0053681A"/>
    <w:rsid w:val="00536837"/>
    <w:rsid w:val="0053684E"/>
    <w:rsid w:val="00536894"/>
    <w:rsid w:val="005368B5"/>
    <w:rsid w:val="005368CF"/>
    <w:rsid w:val="00536904"/>
    <w:rsid w:val="0053693E"/>
    <w:rsid w:val="00536966"/>
    <w:rsid w:val="0053696B"/>
    <w:rsid w:val="0053699E"/>
    <w:rsid w:val="005369E3"/>
    <w:rsid w:val="005369FB"/>
    <w:rsid w:val="00536A43"/>
    <w:rsid w:val="00536A8B"/>
    <w:rsid w:val="00536A98"/>
    <w:rsid w:val="00536AD8"/>
    <w:rsid w:val="00536B54"/>
    <w:rsid w:val="00536B5D"/>
    <w:rsid w:val="00536B67"/>
    <w:rsid w:val="00536BDE"/>
    <w:rsid w:val="00536BF3"/>
    <w:rsid w:val="00536BF6"/>
    <w:rsid w:val="00536C4A"/>
    <w:rsid w:val="00536C5D"/>
    <w:rsid w:val="00536C6E"/>
    <w:rsid w:val="00536C88"/>
    <w:rsid w:val="00536CAB"/>
    <w:rsid w:val="00536CB8"/>
    <w:rsid w:val="00536CD7"/>
    <w:rsid w:val="00536D07"/>
    <w:rsid w:val="00536D2A"/>
    <w:rsid w:val="00536D32"/>
    <w:rsid w:val="00536D48"/>
    <w:rsid w:val="00536DA6"/>
    <w:rsid w:val="00536DE8"/>
    <w:rsid w:val="00536E1D"/>
    <w:rsid w:val="00536E1E"/>
    <w:rsid w:val="00536E62"/>
    <w:rsid w:val="00536EDF"/>
    <w:rsid w:val="00536EE1"/>
    <w:rsid w:val="00536EF4"/>
    <w:rsid w:val="00536F12"/>
    <w:rsid w:val="00536F13"/>
    <w:rsid w:val="00536F6C"/>
    <w:rsid w:val="00536FB1"/>
    <w:rsid w:val="00536FD6"/>
    <w:rsid w:val="00536FEB"/>
    <w:rsid w:val="00536FFE"/>
    <w:rsid w:val="0053700B"/>
    <w:rsid w:val="00537025"/>
    <w:rsid w:val="00537050"/>
    <w:rsid w:val="0053706D"/>
    <w:rsid w:val="0053708B"/>
    <w:rsid w:val="00537129"/>
    <w:rsid w:val="0053712E"/>
    <w:rsid w:val="0053712F"/>
    <w:rsid w:val="005371CA"/>
    <w:rsid w:val="005371EB"/>
    <w:rsid w:val="005371F3"/>
    <w:rsid w:val="005371F8"/>
    <w:rsid w:val="00537212"/>
    <w:rsid w:val="00537244"/>
    <w:rsid w:val="0053726D"/>
    <w:rsid w:val="0053727E"/>
    <w:rsid w:val="0053728E"/>
    <w:rsid w:val="005372DD"/>
    <w:rsid w:val="005372E1"/>
    <w:rsid w:val="00537388"/>
    <w:rsid w:val="005373A1"/>
    <w:rsid w:val="005373EA"/>
    <w:rsid w:val="005373F7"/>
    <w:rsid w:val="0053749D"/>
    <w:rsid w:val="005374D7"/>
    <w:rsid w:val="00537589"/>
    <w:rsid w:val="0053759C"/>
    <w:rsid w:val="005375E1"/>
    <w:rsid w:val="005375F8"/>
    <w:rsid w:val="0053764B"/>
    <w:rsid w:val="00537665"/>
    <w:rsid w:val="00537666"/>
    <w:rsid w:val="0053766B"/>
    <w:rsid w:val="00537674"/>
    <w:rsid w:val="005376F7"/>
    <w:rsid w:val="005377F4"/>
    <w:rsid w:val="00537807"/>
    <w:rsid w:val="00537823"/>
    <w:rsid w:val="00537919"/>
    <w:rsid w:val="005379AB"/>
    <w:rsid w:val="005379CF"/>
    <w:rsid w:val="005379EC"/>
    <w:rsid w:val="00537A2E"/>
    <w:rsid w:val="00537A4C"/>
    <w:rsid w:val="00537A60"/>
    <w:rsid w:val="00537A90"/>
    <w:rsid w:val="00537AA9"/>
    <w:rsid w:val="00537AF9"/>
    <w:rsid w:val="00537B38"/>
    <w:rsid w:val="00537B87"/>
    <w:rsid w:val="00537BDD"/>
    <w:rsid w:val="00537BEC"/>
    <w:rsid w:val="00537C48"/>
    <w:rsid w:val="00537C7C"/>
    <w:rsid w:val="00537CBA"/>
    <w:rsid w:val="00537CFD"/>
    <w:rsid w:val="00537D21"/>
    <w:rsid w:val="00537D3E"/>
    <w:rsid w:val="00537D4D"/>
    <w:rsid w:val="00537D96"/>
    <w:rsid w:val="00537D9E"/>
    <w:rsid w:val="00537DE5"/>
    <w:rsid w:val="00537E57"/>
    <w:rsid w:val="00537EA4"/>
    <w:rsid w:val="00537ED0"/>
    <w:rsid w:val="00537EEE"/>
    <w:rsid w:val="00537EFB"/>
    <w:rsid w:val="00537EFE"/>
    <w:rsid w:val="00537EFF"/>
    <w:rsid w:val="00537F27"/>
    <w:rsid w:val="00537F3D"/>
    <w:rsid w:val="00537F58"/>
    <w:rsid w:val="00537F7D"/>
    <w:rsid w:val="00537F97"/>
    <w:rsid w:val="00537F9E"/>
    <w:rsid w:val="00537FCF"/>
    <w:rsid w:val="00537FE0"/>
    <w:rsid w:val="0054002D"/>
    <w:rsid w:val="0054002F"/>
    <w:rsid w:val="00540050"/>
    <w:rsid w:val="00540076"/>
    <w:rsid w:val="00540089"/>
    <w:rsid w:val="0054008A"/>
    <w:rsid w:val="00540091"/>
    <w:rsid w:val="0054009A"/>
    <w:rsid w:val="005400B1"/>
    <w:rsid w:val="005400DD"/>
    <w:rsid w:val="00540130"/>
    <w:rsid w:val="00540132"/>
    <w:rsid w:val="00540184"/>
    <w:rsid w:val="00540205"/>
    <w:rsid w:val="0054020E"/>
    <w:rsid w:val="00540237"/>
    <w:rsid w:val="00540283"/>
    <w:rsid w:val="0054028D"/>
    <w:rsid w:val="005402B2"/>
    <w:rsid w:val="0054032F"/>
    <w:rsid w:val="00540374"/>
    <w:rsid w:val="005403A1"/>
    <w:rsid w:val="005403B9"/>
    <w:rsid w:val="005403D9"/>
    <w:rsid w:val="005403E3"/>
    <w:rsid w:val="005403E9"/>
    <w:rsid w:val="0054040B"/>
    <w:rsid w:val="00540425"/>
    <w:rsid w:val="00540463"/>
    <w:rsid w:val="0054047D"/>
    <w:rsid w:val="005404B9"/>
    <w:rsid w:val="005404CB"/>
    <w:rsid w:val="005404FA"/>
    <w:rsid w:val="00540522"/>
    <w:rsid w:val="00540536"/>
    <w:rsid w:val="00540539"/>
    <w:rsid w:val="0054053A"/>
    <w:rsid w:val="0054056E"/>
    <w:rsid w:val="00540575"/>
    <w:rsid w:val="005405AD"/>
    <w:rsid w:val="005405CE"/>
    <w:rsid w:val="005405DD"/>
    <w:rsid w:val="0054062B"/>
    <w:rsid w:val="0054063D"/>
    <w:rsid w:val="00540667"/>
    <w:rsid w:val="005406A4"/>
    <w:rsid w:val="005406C3"/>
    <w:rsid w:val="005406C6"/>
    <w:rsid w:val="005406DC"/>
    <w:rsid w:val="005406DF"/>
    <w:rsid w:val="00540724"/>
    <w:rsid w:val="0054072E"/>
    <w:rsid w:val="00540761"/>
    <w:rsid w:val="005407A9"/>
    <w:rsid w:val="005407F3"/>
    <w:rsid w:val="0054089E"/>
    <w:rsid w:val="005408E4"/>
    <w:rsid w:val="00540943"/>
    <w:rsid w:val="0054097B"/>
    <w:rsid w:val="0054098C"/>
    <w:rsid w:val="0054099B"/>
    <w:rsid w:val="005409BC"/>
    <w:rsid w:val="005409C8"/>
    <w:rsid w:val="00540A09"/>
    <w:rsid w:val="00540A4A"/>
    <w:rsid w:val="00540A80"/>
    <w:rsid w:val="00540AB0"/>
    <w:rsid w:val="00540ABA"/>
    <w:rsid w:val="00540B2D"/>
    <w:rsid w:val="00540B2E"/>
    <w:rsid w:val="00540B60"/>
    <w:rsid w:val="00540B8D"/>
    <w:rsid w:val="00540B9F"/>
    <w:rsid w:val="00540BDB"/>
    <w:rsid w:val="00540C07"/>
    <w:rsid w:val="00540C44"/>
    <w:rsid w:val="00540C4B"/>
    <w:rsid w:val="00540C89"/>
    <w:rsid w:val="00540CDB"/>
    <w:rsid w:val="00540CE3"/>
    <w:rsid w:val="00540CEF"/>
    <w:rsid w:val="00540CFC"/>
    <w:rsid w:val="00540CFF"/>
    <w:rsid w:val="00540D04"/>
    <w:rsid w:val="00540D0F"/>
    <w:rsid w:val="00540D5C"/>
    <w:rsid w:val="00540D68"/>
    <w:rsid w:val="00540D8F"/>
    <w:rsid w:val="00540DA9"/>
    <w:rsid w:val="00540DC0"/>
    <w:rsid w:val="00540DC1"/>
    <w:rsid w:val="00540DE5"/>
    <w:rsid w:val="00540E05"/>
    <w:rsid w:val="00540E0C"/>
    <w:rsid w:val="00540E1A"/>
    <w:rsid w:val="00540E1E"/>
    <w:rsid w:val="00540E23"/>
    <w:rsid w:val="00540E57"/>
    <w:rsid w:val="00540E72"/>
    <w:rsid w:val="00540E7C"/>
    <w:rsid w:val="00540E98"/>
    <w:rsid w:val="00540ED2"/>
    <w:rsid w:val="00540ED7"/>
    <w:rsid w:val="00540EE2"/>
    <w:rsid w:val="00540EE5"/>
    <w:rsid w:val="00540F6D"/>
    <w:rsid w:val="00540F7F"/>
    <w:rsid w:val="00540FF9"/>
    <w:rsid w:val="00541046"/>
    <w:rsid w:val="00541052"/>
    <w:rsid w:val="00541054"/>
    <w:rsid w:val="00541076"/>
    <w:rsid w:val="00541080"/>
    <w:rsid w:val="0054110B"/>
    <w:rsid w:val="0054111B"/>
    <w:rsid w:val="00541145"/>
    <w:rsid w:val="0054114D"/>
    <w:rsid w:val="005411AC"/>
    <w:rsid w:val="005411B8"/>
    <w:rsid w:val="00541200"/>
    <w:rsid w:val="0054123B"/>
    <w:rsid w:val="0054125A"/>
    <w:rsid w:val="00541281"/>
    <w:rsid w:val="005412E1"/>
    <w:rsid w:val="005412F5"/>
    <w:rsid w:val="0054130F"/>
    <w:rsid w:val="00541359"/>
    <w:rsid w:val="00541364"/>
    <w:rsid w:val="00541382"/>
    <w:rsid w:val="005413D8"/>
    <w:rsid w:val="005413E2"/>
    <w:rsid w:val="00541415"/>
    <w:rsid w:val="0054143C"/>
    <w:rsid w:val="00541460"/>
    <w:rsid w:val="00541473"/>
    <w:rsid w:val="00541476"/>
    <w:rsid w:val="0054147F"/>
    <w:rsid w:val="00541483"/>
    <w:rsid w:val="0054148D"/>
    <w:rsid w:val="005414EB"/>
    <w:rsid w:val="005414F0"/>
    <w:rsid w:val="00541563"/>
    <w:rsid w:val="0054156F"/>
    <w:rsid w:val="0054158D"/>
    <w:rsid w:val="005415D0"/>
    <w:rsid w:val="005415FA"/>
    <w:rsid w:val="005415FF"/>
    <w:rsid w:val="00541624"/>
    <w:rsid w:val="00541630"/>
    <w:rsid w:val="0054164F"/>
    <w:rsid w:val="00541678"/>
    <w:rsid w:val="005416CA"/>
    <w:rsid w:val="005416EC"/>
    <w:rsid w:val="00541752"/>
    <w:rsid w:val="00541758"/>
    <w:rsid w:val="005417C6"/>
    <w:rsid w:val="005417C9"/>
    <w:rsid w:val="005417E6"/>
    <w:rsid w:val="00541811"/>
    <w:rsid w:val="00541858"/>
    <w:rsid w:val="005418C7"/>
    <w:rsid w:val="005418DA"/>
    <w:rsid w:val="005418E5"/>
    <w:rsid w:val="005418FA"/>
    <w:rsid w:val="00541953"/>
    <w:rsid w:val="0054195C"/>
    <w:rsid w:val="00541A1F"/>
    <w:rsid w:val="00541A30"/>
    <w:rsid w:val="00541AB6"/>
    <w:rsid w:val="00541AC6"/>
    <w:rsid w:val="00541B44"/>
    <w:rsid w:val="00541B91"/>
    <w:rsid w:val="00541BBD"/>
    <w:rsid w:val="00541BDA"/>
    <w:rsid w:val="00541C4C"/>
    <w:rsid w:val="00541C4D"/>
    <w:rsid w:val="00541C89"/>
    <w:rsid w:val="00541CC0"/>
    <w:rsid w:val="00541CE1"/>
    <w:rsid w:val="00541CEB"/>
    <w:rsid w:val="00541D4B"/>
    <w:rsid w:val="00541D4F"/>
    <w:rsid w:val="00541D7D"/>
    <w:rsid w:val="00541D9C"/>
    <w:rsid w:val="00541E16"/>
    <w:rsid w:val="00541E3B"/>
    <w:rsid w:val="00541ED1"/>
    <w:rsid w:val="00541F3E"/>
    <w:rsid w:val="00541F5B"/>
    <w:rsid w:val="00541F67"/>
    <w:rsid w:val="00541F7D"/>
    <w:rsid w:val="00541FA2"/>
    <w:rsid w:val="00541FAF"/>
    <w:rsid w:val="00541FD6"/>
    <w:rsid w:val="00541FF0"/>
    <w:rsid w:val="0054200C"/>
    <w:rsid w:val="00542031"/>
    <w:rsid w:val="00542093"/>
    <w:rsid w:val="0054209E"/>
    <w:rsid w:val="005420AA"/>
    <w:rsid w:val="005420C5"/>
    <w:rsid w:val="005420D9"/>
    <w:rsid w:val="00542103"/>
    <w:rsid w:val="00542128"/>
    <w:rsid w:val="0054213B"/>
    <w:rsid w:val="0054214D"/>
    <w:rsid w:val="00542179"/>
    <w:rsid w:val="0054218B"/>
    <w:rsid w:val="005421D7"/>
    <w:rsid w:val="00542204"/>
    <w:rsid w:val="0054220D"/>
    <w:rsid w:val="0054223D"/>
    <w:rsid w:val="005422E3"/>
    <w:rsid w:val="005422FA"/>
    <w:rsid w:val="00542332"/>
    <w:rsid w:val="00542350"/>
    <w:rsid w:val="005423AA"/>
    <w:rsid w:val="00542426"/>
    <w:rsid w:val="0054243E"/>
    <w:rsid w:val="00542482"/>
    <w:rsid w:val="00542494"/>
    <w:rsid w:val="00542495"/>
    <w:rsid w:val="005424B5"/>
    <w:rsid w:val="005424CD"/>
    <w:rsid w:val="005424DD"/>
    <w:rsid w:val="00542519"/>
    <w:rsid w:val="00542553"/>
    <w:rsid w:val="00542581"/>
    <w:rsid w:val="005425AA"/>
    <w:rsid w:val="005425AE"/>
    <w:rsid w:val="005425C4"/>
    <w:rsid w:val="005425D2"/>
    <w:rsid w:val="005425DB"/>
    <w:rsid w:val="00542604"/>
    <w:rsid w:val="0054266E"/>
    <w:rsid w:val="0054267D"/>
    <w:rsid w:val="005426D0"/>
    <w:rsid w:val="00542702"/>
    <w:rsid w:val="00542757"/>
    <w:rsid w:val="0054278D"/>
    <w:rsid w:val="005427A4"/>
    <w:rsid w:val="005427A6"/>
    <w:rsid w:val="005427CF"/>
    <w:rsid w:val="005427DF"/>
    <w:rsid w:val="0054280E"/>
    <w:rsid w:val="0054281D"/>
    <w:rsid w:val="00542879"/>
    <w:rsid w:val="005428AC"/>
    <w:rsid w:val="00542907"/>
    <w:rsid w:val="0054290A"/>
    <w:rsid w:val="00542919"/>
    <w:rsid w:val="0054292F"/>
    <w:rsid w:val="0054293B"/>
    <w:rsid w:val="0054293E"/>
    <w:rsid w:val="0054294F"/>
    <w:rsid w:val="005429BC"/>
    <w:rsid w:val="005429C0"/>
    <w:rsid w:val="005429D0"/>
    <w:rsid w:val="005429E8"/>
    <w:rsid w:val="00542A0B"/>
    <w:rsid w:val="00542A2D"/>
    <w:rsid w:val="00542A55"/>
    <w:rsid w:val="00542A5F"/>
    <w:rsid w:val="00542A84"/>
    <w:rsid w:val="00542ADC"/>
    <w:rsid w:val="00542B51"/>
    <w:rsid w:val="00542B5A"/>
    <w:rsid w:val="00542B9B"/>
    <w:rsid w:val="00542BA3"/>
    <w:rsid w:val="00542BAB"/>
    <w:rsid w:val="00542BBC"/>
    <w:rsid w:val="00542BF8"/>
    <w:rsid w:val="00542C02"/>
    <w:rsid w:val="00542C09"/>
    <w:rsid w:val="00542C0B"/>
    <w:rsid w:val="00542C2A"/>
    <w:rsid w:val="00542C74"/>
    <w:rsid w:val="00542C96"/>
    <w:rsid w:val="00542C99"/>
    <w:rsid w:val="00542CA1"/>
    <w:rsid w:val="00542CB3"/>
    <w:rsid w:val="00542D58"/>
    <w:rsid w:val="00542D60"/>
    <w:rsid w:val="00542D6D"/>
    <w:rsid w:val="00542D85"/>
    <w:rsid w:val="00542DA5"/>
    <w:rsid w:val="00542DE4"/>
    <w:rsid w:val="00542DF0"/>
    <w:rsid w:val="00542E03"/>
    <w:rsid w:val="00542E61"/>
    <w:rsid w:val="00542E73"/>
    <w:rsid w:val="00542E96"/>
    <w:rsid w:val="00542ED0"/>
    <w:rsid w:val="00542ED3"/>
    <w:rsid w:val="00542F1F"/>
    <w:rsid w:val="00542F28"/>
    <w:rsid w:val="00542F32"/>
    <w:rsid w:val="00542F34"/>
    <w:rsid w:val="00542F3F"/>
    <w:rsid w:val="00542F43"/>
    <w:rsid w:val="00542F49"/>
    <w:rsid w:val="00542F5C"/>
    <w:rsid w:val="00542F6A"/>
    <w:rsid w:val="00542F6C"/>
    <w:rsid w:val="00542F7E"/>
    <w:rsid w:val="00542FA1"/>
    <w:rsid w:val="00542FF5"/>
    <w:rsid w:val="00543007"/>
    <w:rsid w:val="0054300E"/>
    <w:rsid w:val="00543099"/>
    <w:rsid w:val="005430A6"/>
    <w:rsid w:val="005430B6"/>
    <w:rsid w:val="005430CE"/>
    <w:rsid w:val="005430D8"/>
    <w:rsid w:val="00543111"/>
    <w:rsid w:val="00543116"/>
    <w:rsid w:val="0054312B"/>
    <w:rsid w:val="00543152"/>
    <w:rsid w:val="00543191"/>
    <w:rsid w:val="005431CE"/>
    <w:rsid w:val="005431E2"/>
    <w:rsid w:val="005431F9"/>
    <w:rsid w:val="005431FA"/>
    <w:rsid w:val="0054322C"/>
    <w:rsid w:val="0054325F"/>
    <w:rsid w:val="005432AC"/>
    <w:rsid w:val="005432E5"/>
    <w:rsid w:val="00543335"/>
    <w:rsid w:val="00543354"/>
    <w:rsid w:val="0054337C"/>
    <w:rsid w:val="00543392"/>
    <w:rsid w:val="00543397"/>
    <w:rsid w:val="0054339C"/>
    <w:rsid w:val="005433A3"/>
    <w:rsid w:val="00543400"/>
    <w:rsid w:val="0054345A"/>
    <w:rsid w:val="00543474"/>
    <w:rsid w:val="005434B9"/>
    <w:rsid w:val="005434C6"/>
    <w:rsid w:val="005434C7"/>
    <w:rsid w:val="005434C8"/>
    <w:rsid w:val="005434D9"/>
    <w:rsid w:val="005434EE"/>
    <w:rsid w:val="00543549"/>
    <w:rsid w:val="00543553"/>
    <w:rsid w:val="00543567"/>
    <w:rsid w:val="00543572"/>
    <w:rsid w:val="0054358E"/>
    <w:rsid w:val="00543594"/>
    <w:rsid w:val="0054359F"/>
    <w:rsid w:val="005435E1"/>
    <w:rsid w:val="005435F5"/>
    <w:rsid w:val="00543615"/>
    <w:rsid w:val="0054362C"/>
    <w:rsid w:val="00543639"/>
    <w:rsid w:val="00543680"/>
    <w:rsid w:val="005436D8"/>
    <w:rsid w:val="005436D9"/>
    <w:rsid w:val="005436E7"/>
    <w:rsid w:val="0054372B"/>
    <w:rsid w:val="0054373F"/>
    <w:rsid w:val="00543758"/>
    <w:rsid w:val="00543767"/>
    <w:rsid w:val="005437AB"/>
    <w:rsid w:val="005437C1"/>
    <w:rsid w:val="005437CC"/>
    <w:rsid w:val="005437F8"/>
    <w:rsid w:val="00543823"/>
    <w:rsid w:val="00543833"/>
    <w:rsid w:val="00543860"/>
    <w:rsid w:val="00543876"/>
    <w:rsid w:val="005438AD"/>
    <w:rsid w:val="005438C1"/>
    <w:rsid w:val="005438C2"/>
    <w:rsid w:val="005438FE"/>
    <w:rsid w:val="00543958"/>
    <w:rsid w:val="0054395A"/>
    <w:rsid w:val="00543979"/>
    <w:rsid w:val="005439A3"/>
    <w:rsid w:val="005439B5"/>
    <w:rsid w:val="005439BA"/>
    <w:rsid w:val="005439D5"/>
    <w:rsid w:val="00543AA7"/>
    <w:rsid w:val="00543AB5"/>
    <w:rsid w:val="00543B0D"/>
    <w:rsid w:val="00543B38"/>
    <w:rsid w:val="00543B71"/>
    <w:rsid w:val="00543B88"/>
    <w:rsid w:val="00543B89"/>
    <w:rsid w:val="00543B95"/>
    <w:rsid w:val="00543BA9"/>
    <w:rsid w:val="00543BF1"/>
    <w:rsid w:val="00543BFE"/>
    <w:rsid w:val="00543C17"/>
    <w:rsid w:val="00543C21"/>
    <w:rsid w:val="00543C25"/>
    <w:rsid w:val="00543C8A"/>
    <w:rsid w:val="00543C9B"/>
    <w:rsid w:val="00543CC8"/>
    <w:rsid w:val="00543CDD"/>
    <w:rsid w:val="00543CE2"/>
    <w:rsid w:val="00543CF6"/>
    <w:rsid w:val="00543CFC"/>
    <w:rsid w:val="00543D0B"/>
    <w:rsid w:val="00543D0E"/>
    <w:rsid w:val="00543D13"/>
    <w:rsid w:val="00543DA9"/>
    <w:rsid w:val="00543DC4"/>
    <w:rsid w:val="00543DF4"/>
    <w:rsid w:val="00543DF7"/>
    <w:rsid w:val="00543E1B"/>
    <w:rsid w:val="00543E2D"/>
    <w:rsid w:val="00543E5C"/>
    <w:rsid w:val="00543EB0"/>
    <w:rsid w:val="00543F18"/>
    <w:rsid w:val="00543F44"/>
    <w:rsid w:val="00543F84"/>
    <w:rsid w:val="00543F89"/>
    <w:rsid w:val="00543F9B"/>
    <w:rsid w:val="00543FAD"/>
    <w:rsid w:val="00543FFA"/>
    <w:rsid w:val="0054402E"/>
    <w:rsid w:val="0054403C"/>
    <w:rsid w:val="00544041"/>
    <w:rsid w:val="00544050"/>
    <w:rsid w:val="00544051"/>
    <w:rsid w:val="0054408C"/>
    <w:rsid w:val="0054409B"/>
    <w:rsid w:val="005440A0"/>
    <w:rsid w:val="005440C2"/>
    <w:rsid w:val="005440D0"/>
    <w:rsid w:val="005440E5"/>
    <w:rsid w:val="005440FD"/>
    <w:rsid w:val="0054411E"/>
    <w:rsid w:val="0054411F"/>
    <w:rsid w:val="00544198"/>
    <w:rsid w:val="005441C3"/>
    <w:rsid w:val="00544244"/>
    <w:rsid w:val="00544275"/>
    <w:rsid w:val="005442A0"/>
    <w:rsid w:val="005442DE"/>
    <w:rsid w:val="0054436A"/>
    <w:rsid w:val="00544381"/>
    <w:rsid w:val="00544382"/>
    <w:rsid w:val="0054439F"/>
    <w:rsid w:val="005443B1"/>
    <w:rsid w:val="005443E0"/>
    <w:rsid w:val="0054444F"/>
    <w:rsid w:val="0054446D"/>
    <w:rsid w:val="0054447D"/>
    <w:rsid w:val="005444A8"/>
    <w:rsid w:val="005444D0"/>
    <w:rsid w:val="00544520"/>
    <w:rsid w:val="00544535"/>
    <w:rsid w:val="00544545"/>
    <w:rsid w:val="00544551"/>
    <w:rsid w:val="0054458C"/>
    <w:rsid w:val="00544590"/>
    <w:rsid w:val="005445BA"/>
    <w:rsid w:val="005445BE"/>
    <w:rsid w:val="005445E8"/>
    <w:rsid w:val="005445EA"/>
    <w:rsid w:val="005445F4"/>
    <w:rsid w:val="00544612"/>
    <w:rsid w:val="00544622"/>
    <w:rsid w:val="00544661"/>
    <w:rsid w:val="00544675"/>
    <w:rsid w:val="00544683"/>
    <w:rsid w:val="005446E5"/>
    <w:rsid w:val="0054479D"/>
    <w:rsid w:val="005447F7"/>
    <w:rsid w:val="0054481F"/>
    <w:rsid w:val="005448D7"/>
    <w:rsid w:val="005448F2"/>
    <w:rsid w:val="00544913"/>
    <w:rsid w:val="00544928"/>
    <w:rsid w:val="00544938"/>
    <w:rsid w:val="0054493D"/>
    <w:rsid w:val="0054495C"/>
    <w:rsid w:val="00544988"/>
    <w:rsid w:val="005449E2"/>
    <w:rsid w:val="005449F5"/>
    <w:rsid w:val="00544A29"/>
    <w:rsid w:val="00544A48"/>
    <w:rsid w:val="00544A4D"/>
    <w:rsid w:val="00544A70"/>
    <w:rsid w:val="00544AB6"/>
    <w:rsid w:val="00544AD0"/>
    <w:rsid w:val="00544AFC"/>
    <w:rsid w:val="00544B39"/>
    <w:rsid w:val="00544B50"/>
    <w:rsid w:val="00544B54"/>
    <w:rsid w:val="00544B77"/>
    <w:rsid w:val="00544B9F"/>
    <w:rsid w:val="00544BDF"/>
    <w:rsid w:val="00544BE0"/>
    <w:rsid w:val="00544C18"/>
    <w:rsid w:val="00544CD0"/>
    <w:rsid w:val="00544CD4"/>
    <w:rsid w:val="00544D44"/>
    <w:rsid w:val="00544DA2"/>
    <w:rsid w:val="00544DC5"/>
    <w:rsid w:val="00544E45"/>
    <w:rsid w:val="00544E49"/>
    <w:rsid w:val="00544E79"/>
    <w:rsid w:val="00544EB1"/>
    <w:rsid w:val="00544EDE"/>
    <w:rsid w:val="00544EE6"/>
    <w:rsid w:val="00544F0F"/>
    <w:rsid w:val="00544F21"/>
    <w:rsid w:val="00544F94"/>
    <w:rsid w:val="00544FF4"/>
    <w:rsid w:val="00545015"/>
    <w:rsid w:val="00545029"/>
    <w:rsid w:val="0054506C"/>
    <w:rsid w:val="005450A6"/>
    <w:rsid w:val="005450B2"/>
    <w:rsid w:val="005450E1"/>
    <w:rsid w:val="005450EB"/>
    <w:rsid w:val="0054510E"/>
    <w:rsid w:val="0054513A"/>
    <w:rsid w:val="005451AE"/>
    <w:rsid w:val="005451CD"/>
    <w:rsid w:val="005451F9"/>
    <w:rsid w:val="00545203"/>
    <w:rsid w:val="00545246"/>
    <w:rsid w:val="00545282"/>
    <w:rsid w:val="005452D2"/>
    <w:rsid w:val="00545324"/>
    <w:rsid w:val="0054533B"/>
    <w:rsid w:val="0054539E"/>
    <w:rsid w:val="0054539F"/>
    <w:rsid w:val="005453BF"/>
    <w:rsid w:val="005453D7"/>
    <w:rsid w:val="0054540E"/>
    <w:rsid w:val="00545425"/>
    <w:rsid w:val="0054542B"/>
    <w:rsid w:val="00545487"/>
    <w:rsid w:val="0054549D"/>
    <w:rsid w:val="005454A4"/>
    <w:rsid w:val="005454D6"/>
    <w:rsid w:val="00545553"/>
    <w:rsid w:val="0054556D"/>
    <w:rsid w:val="0054558B"/>
    <w:rsid w:val="0054558C"/>
    <w:rsid w:val="0054559B"/>
    <w:rsid w:val="0054559F"/>
    <w:rsid w:val="005455D7"/>
    <w:rsid w:val="005455E6"/>
    <w:rsid w:val="005455F1"/>
    <w:rsid w:val="00545630"/>
    <w:rsid w:val="0054564E"/>
    <w:rsid w:val="00545663"/>
    <w:rsid w:val="005456C2"/>
    <w:rsid w:val="005456E4"/>
    <w:rsid w:val="0054572E"/>
    <w:rsid w:val="00545738"/>
    <w:rsid w:val="0054573E"/>
    <w:rsid w:val="00545760"/>
    <w:rsid w:val="00545777"/>
    <w:rsid w:val="00545803"/>
    <w:rsid w:val="00545819"/>
    <w:rsid w:val="00545857"/>
    <w:rsid w:val="00545868"/>
    <w:rsid w:val="00545881"/>
    <w:rsid w:val="00545882"/>
    <w:rsid w:val="00545904"/>
    <w:rsid w:val="00545905"/>
    <w:rsid w:val="00545945"/>
    <w:rsid w:val="00545977"/>
    <w:rsid w:val="0054598C"/>
    <w:rsid w:val="0054598F"/>
    <w:rsid w:val="005459C2"/>
    <w:rsid w:val="00545A02"/>
    <w:rsid w:val="00545B59"/>
    <w:rsid w:val="00545BE6"/>
    <w:rsid w:val="00545BE8"/>
    <w:rsid w:val="00545C0B"/>
    <w:rsid w:val="00545C16"/>
    <w:rsid w:val="00545C41"/>
    <w:rsid w:val="00545C4C"/>
    <w:rsid w:val="00545C4F"/>
    <w:rsid w:val="00545C74"/>
    <w:rsid w:val="00545C9C"/>
    <w:rsid w:val="00545CFD"/>
    <w:rsid w:val="00545D4B"/>
    <w:rsid w:val="00545D4F"/>
    <w:rsid w:val="00545D50"/>
    <w:rsid w:val="00545D76"/>
    <w:rsid w:val="00545E06"/>
    <w:rsid w:val="00545E17"/>
    <w:rsid w:val="00545E62"/>
    <w:rsid w:val="00545E6F"/>
    <w:rsid w:val="00545ED9"/>
    <w:rsid w:val="00545F5C"/>
    <w:rsid w:val="00545F5D"/>
    <w:rsid w:val="00545F72"/>
    <w:rsid w:val="00545F98"/>
    <w:rsid w:val="00545FBE"/>
    <w:rsid w:val="00545FEE"/>
    <w:rsid w:val="00546012"/>
    <w:rsid w:val="00546029"/>
    <w:rsid w:val="005460FE"/>
    <w:rsid w:val="00546138"/>
    <w:rsid w:val="00546150"/>
    <w:rsid w:val="00546167"/>
    <w:rsid w:val="00546170"/>
    <w:rsid w:val="005461D7"/>
    <w:rsid w:val="005461FB"/>
    <w:rsid w:val="00546209"/>
    <w:rsid w:val="0054624F"/>
    <w:rsid w:val="0054625A"/>
    <w:rsid w:val="0054626B"/>
    <w:rsid w:val="005462C2"/>
    <w:rsid w:val="005462CA"/>
    <w:rsid w:val="005462CB"/>
    <w:rsid w:val="005462FF"/>
    <w:rsid w:val="00546310"/>
    <w:rsid w:val="0054632A"/>
    <w:rsid w:val="0054632C"/>
    <w:rsid w:val="0054636F"/>
    <w:rsid w:val="00546375"/>
    <w:rsid w:val="0054637B"/>
    <w:rsid w:val="0054638E"/>
    <w:rsid w:val="005463ED"/>
    <w:rsid w:val="00546433"/>
    <w:rsid w:val="00546434"/>
    <w:rsid w:val="0054643C"/>
    <w:rsid w:val="0054643E"/>
    <w:rsid w:val="0054643F"/>
    <w:rsid w:val="00546482"/>
    <w:rsid w:val="005464ED"/>
    <w:rsid w:val="005464FA"/>
    <w:rsid w:val="00546506"/>
    <w:rsid w:val="0054650E"/>
    <w:rsid w:val="00546559"/>
    <w:rsid w:val="0054659B"/>
    <w:rsid w:val="005465CB"/>
    <w:rsid w:val="005465CF"/>
    <w:rsid w:val="0054662C"/>
    <w:rsid w:val="0054668C"/>
    <w:rsid w:val="005466A1"/>
    <w:rsid w:val="005466C6"/>
    <w:rsid w:val="0054670B"/>
    <w:rsid w:val="00546719"/>
    <w:rsid w:val="00546722"/>
    <w:rsid w:val="00546753"/>
    <w:rsid w:val="00546756"/>
    <w:rsid w:val="00546769"/>
    <w:rsid w:val="0054677F"/>
    <w:rsid w:val="005467C9"/>
    <w:rsid w:val="005467CE"/>
    <w:rsid w:val="005467D6"/>
    <w:rsid w:val="00546840"/>
    <w:rsid w:val="005468AF"/>
    <w:rsid w:val="005468B5"/>
    <w:rsid w:val="005468B9"/>
    <w:rsid w:val="005468BE"/>
    <w:rsid w:val="0054690F"/>
    <w:rsid w:val="00546921"/>
    <w:rsid w:val="0054693D"/>
    <w:rsid w:val="00546941"/>
    <w:rsid w:val="00546984"/>
    <w:rsid w:val="0054698A"/>
    <w:rsid w:val="005469A8"/>
    <w:rsid w:val="005469F8"/>
    <w:rsid w:val="005469FB"/>
    <w:rsid w:val="00546A0C"/>
    <w:rsid w:val="00546A49"/>
    <w:rsid w:val="00546A53"/>
    <w:rsid w:val="00546AB0"/>
    <w:rsid w:val="00546B0A"/>
    <w:rsid w:val="00546B24"/>
    <w:rsid w:val="00546B9D"/>
    <w:rsid w:val="00546BA5"/>
    <w:rsid w:val="00546BD0"/>
    <w:rsid w:val="00546BD7"/>
    <w:rsid w:val="00546C01"/>
    <w:rsid w:val="00546C03"/>
    <w:rsid w:val="00546C04"/>
    <w:rsid w:val="00546C1E"/>
    <w:rsid w:val="00546C51"/>
    <w:rsid w:val="00546CB1"/>
    <w:rsid w:val="00546CEB"/>
    <w:rsid w:val="00546CF3"/>
    <w:rsid w:val="00546D14"/>
    <w:rsid w:val="00546D77"/>
    <w:rsid w:val="00546D84"/>
    <w:rsid w:val="00546DB8"/>
    <w:rsid w:val="00546DBB"/>
    <w:rsid w:val="00546DC7"/>
    <w:rsid w:val="00546DDC"/>
    <w:rsid w:val="00546E0B"/>
    <w:rsid w:val="00546E19"/>
    <w:rsid w:val="00546E4A"/>
    <w:rsid w:val="00546E8D"/>
    <w:rsid w:val="00546E9B"/>
    <w:rsid w:val="00546EA9"/>
    <w:rsid w:val="00546EB6"/>
    <w:rsid w:val="00546EC4"/>
    <w:rsid w:val="00546EC8"/>
    <w:rsid w:val="00546ED1"/>
    <w:rsid w:val="00546F14"/>
    <w:rsid w:val="00546F24"/>
    <w:rsid w:val="00546F35"/>
    <w:rsid w:val="0054702A"/>
    <w:rsid w:val="0054704F"/>
    <w:rsid w:val="00547077"/>
    <w:rsid w:val="00547094"/>
    <w:rsid w:val="005470D0"/>
    <w:rsid w:val="005470E4"/>
    <w:rsid w:val="00547113"/>
    <w:rsid w:val="00547162"/>
    <w:rsid w:val="0054719B"/>
    <w:rsid w:val="0054728C"/>
    <w:rsid w:val="005472AE"/>
    <w:rsid w:val="005472DA"/>
    <w:rsid w:val="005472F9"/>
    <w:rsid w:val="0054734C"/>
    <w:rsid w:val="00547394"/>
    <w:rsid w:val="005473AB"/>
    <w:rsid w:val="005473FF"/>
    <w:rsid w:val="00547406"/>
    <w:rsid w:val="00547428"/>
    <w:rsid w:val="0054744C"/>
    <w:rsid w:val="00547459"/>
    <w:rsid w:val="005474B5"/>
    <w:rsid w:val="005474B9"/>
    <w:rsid w:val="00547572"/>
    <w:rsid w:val="00547581"/>
    <w:rsid w:val="00547587"/>
    <w:rsid w:val="005475A2"/>
    <w:rsid w:val="005475BD"/>
    <w:rsid w:val="00547617"/>
    <w:rsid w:val="00547620"/>
    <w:rsid w:val="00547621"/>
    <w:rsid w:val="00547649"/>
    <w:rsid w:val="00547663"/>
    <w:rsid w:val="00547665"/>
    <w:rsid w:val="005476A0"/>
    <w:rsid w:val="005476A4"/>
    <w:rsid w:val="00547716"/>
    <w:rsid w:val="00547731"/>
    <w:rsid w:val="0054779F"/>
    <w:rsid w:val="005477A5"/>
    <w:rsid w:val="005477C4"/>
    <w:rsid w:val="005477FD"/>
    <w:rsid w:val="0054781C"/>
    <w:rsid w:val="0054783B"/>
    <w:rsid w:val="005478A7"/>
    <w:rsid w:val="005478AF"/>
    <w:rsid w:val="005478C7"/>
    <w:rsid w:val="005478DB"/>
    <w:rsid w:val="005478F4"/>
    <w:rsid w:val="005478F7"/>
    <w:rsid w:val="00547901"/>
    <w:rsid w:val="0054791E"/>
    <w:rsid w:val="00547969"/>
    <w:rsid w:val="00547987"/>
    <w:rsid w:val="005479BC"/>
    <w:rsid w:val="005479D1"/>
    <w:rsid w:val="005479EC"/>
    <w:rsid w:val="005479F2"/>
    <w:rsid w:val="00547A21"/>
    <w:rsid w:val="00547A37"/>
    <w:rsid w:val="00547A3B"/>
    <w:rsid w:val="00547A48"/>
    <w:rsid w:val="00547A79"/>
    <w:rsid w:val="00547A92"/>
    <w:rsid w:val="00547ABB"/>
    <w:rsid w:val="00547AF1"/>
    <w:rsid w:val="00547AFC"/>
    <w:rsid w:val="00547B0A"/>
    <w:rsid w:val="00547B2D"/>
    <w:rsid w:val="00547B4F"/>
    <w:rsid w:val="00547B85"/>
    <w:rsid w:val="00547BCF"/>
    <w:rsid w:val="00547BDE"/>
    <w:rsid w:val="00547BF0"/>
    <w:rsid w:val="00547C7C"/>
    <w:rsid w:val="00547C8C"/>
    <w:rsid w:val="00547C9B"/>
    <w:rsid w:val="00547CC2"/>
    <w:rsid w:val="00547CF3"/>
    <w:rsid w:val="00547D34"/>
    <w:rsid w:val="00547D3F"/>
    <w:rsid w:val="00547D8F"/>
    <w:rsid w:val="00547D92"/>
    <w:rsid w:val="00547DA0"/>
    <w:rsid w:val="00547DD8"/>
    <w:rsid w:val="00547DF6"/>
    <w:rsid w:val="00547E04"/>
    <w:rsid w:val="00547E13"/>
    <w:rsid w:val="00547E20"/>
    <w:rsid w:val="00547E34"/>
    <w:rsid w:val="00547E5B"/>
    <w:rsid w:val="00547EAB"/>
    <w:rsid w:val="00547EE5"/>
    <w:rsid w:val="00547EFB"/>
    <w:rsid w:val="00547F03"/>
    <w:rsid w:val="00547F06"/>
    <w:rsid w:val="00547F6E"/>
    <w:rsid w:val="00547FAC"/>
    <w:rsid w:val="00547FBE"/>
    <w:rsid w:val="00547FCD"/>
    <w:rsid w:val="0054A823"/>
    <w:rsid w:val="00550000"/>
    <w:rsid w:val="0055000E"/>
    <w:rsid w:val="0055001B"/>
    <w:rsid w:val="0055004F"/>
    <w:rsid w:val="00550079"/>
    <w:rsid w:val="00550080"/>
    <w:rsid w:val="00550087"/>
    <w:rsid w:val="00550088"/>
    <w:rsid w:val="00550147"/>
    <w:rsid w:val="00550195"/>
    <w:rsid w:val="005501BF"/>
    <w:rsid w:val="005501CC"/>
    <w:rsid w:val="005501D4"/>
    <w:rsid w:val="005501D9"/>
    <w:rsid w:val="005501DF"/>
    <w:rsid w:val="00550229"/>
    <w:rsid w:val="0055022F"/>
    <w:rsid w:val="00550280"/>
    <w:rsid w:val="00550336"/>
    <w:rsid w:val="00550343"/>
    <w:rsid w:val="0055034B"/>
    <w:rsid w:val="005503C0"/>
    <w:rsid w:val="005503E8"/>
    <w:rsid w:val="005503EE"/>
    <w:rsid w:val="005503F1"/>
    <w:rsid w:val="0055041F"/>
    <w:rsid w:val="00550481"/>
    <w:rsid w:val="005504A9"/>
    <w:rsid w:val="005504B6"/>
    <w:rsid w:val="005504BA"/>
    <w:rsid w:val="005504CB"/>
    <w:rsid w:val="005504D8"/>
    <w:rsid w:val="005504F7"/>
    <w:rsid w:val="00550504"/>
    <w:rsid w:val="00550531"/>
    <w:rsid w:val="0055054C"/>
    <w:rsid w:val="00550588"/>
    <w:rsid w:val="005505AF"/>
    <w:rsid w:val="005505B5"/>
    <w:rsid w:val="005505C8"/>
    <w:rsid w:val="005505D7"/>
    <w:rsid w:val="005505DC"/>
    <w:rsid w:val="005505DF"/>
    <w:rsid w:val="0055069B"/>
    <w:rsid w:val="005506F3"/>
    <w:rsid w:val="0055070B"/>
    <w:rsid w:val="0055072F"/>
    <w:rsid w:val="0055073E"/>
    <w:rsid w:val="005507AC"/>
    <w:rsid w:val="005507BA"/>
    <w:rsid w:val="005507F8"/>
    <w:rsid w:val="00550833"/>
    <w:rsid w:val="00550843"/>
    <w:rsid w:val="0055084B"/>
    <w:rsid w:val="00550878"/>
    <w:rsid w:val="00550888"/>
    <w:rsid w:val="005508CA"/>
    <w:rsid w:val="005508E3"/>
    <w:rsid w:val="00550924"/>
    <w:rsid w:val="00550947"/>
    <w:rsid w:val="00550967"/>
    <w:rsid w:val="0055099D"/>
    <w:rsid w:val="005509A3"/>
    <w:rsid w:val="005509B0"/>
    <w:rsid w:val="005509C8"/>
    <w:rsid w:val="005509E4"/>
    <w:rsid w:val="00550A01"/>
    <w:rsid w:val="00550A12"/>
    <w:rsid w:val="00550A23"/>
    <w:rsid w:val="00550A28"/>
    <w:rsid w:val="00550A55"/>
    <w:rsid w:val="00550A60"/>
    <w:rsid w:val="00550A67"/>
    <w:rsid w:val="00550B01"/>
    <w:rsid w:val="00550B71"/>
    <w:rsid w:val="00550B96"/>
    <w:rsid w:val="00550BAA"/>
    <w:rsid w:val="00550BC1"/>
    <w:rsid w:val="00550C0A"/>
    <w:rsid w:val="00550C3B"/>
    <w:rsid w:val="00550C44"/>
    <w:rsid w:val="00550C98"/>
    <w:rsid w:val="00550CAC"/>
    <w:rsid w:val="00550CAF"/>
    <w:rsid w:val="00550CFD"/>
    <w:rsid w:val="00550D68"/>
    <w:rsid w:val="00550D7F"/>
    <w:rsid w:val="00550DCB"/>
    <w:rsid w:val="00550DD5"/>
    <w:rsid w:val="00550DE6"/>
    <w:rsid w:val="00550E43"/>
    <w:rsid w:val="00550E8A"/>
    <w:rsid w:val="00550EBF"/>
    <w:rsid w:val="00550ED4"/>
    <w:rsid w:val="00550EEC"/>
    <w:rsid w:val="00550F4B"/>
    <w:rsid w:val="00550F76"/>
    <w:rsid w:val="00550FDE"/>
    <w:rsid w:val="0055110C"/>
    <w:rsid w:val="0055112B"/>
    <w:rsid w:val="005511A0"/>
    <w:rsid w:val="005511C5"/>
    <w:rsid w:val="005511E9"/>
    <w:rsid w:val="005511EA"/>
    <w:rsid w:val="005511F3"/>
    <w:rsid w:val="00551219"/>
    <w:rsid w:val="00551238"/>
    <w:rsid w:val="00551245"/>
    <w:rsid w:val="00551267"/>
    <w:rsid w:val="0055126C"/>
    <w:rsid w:val="00551273"/>
    <w:rsid w:val="0055129D"/>
    <w:rsid w:val="005512F7"/>
    <w:rsid w:val="00551304"/>
    <w:rsid w:val="0055131B"/>
    <w:rsid w:val="00551357"/>
    <w:rsid w:val="005513B6"/>
    <w:rsid w:val="005513C1"/>
    <w:rsid w:val="005513D0"/>
    <w:rsid w:val="0055143C"/>
    <w:rsid w:val="00551450"/>
    <w:rsid w:val="00551468"/>
    <w:rsid w:val="00551479"/>
    <w:rsid w:val="00551496"/>
    <w:rsid w:val="005514B6"/>
    <w:rsid w:val="005514BB"/>
    <w:rsid w:val="005514D7"/>
    <w:rsid w:val="0055151E"/>
    <w:rsid w:val="00551520"/>
    <w:rsid w:val="00551580"/>
    <w:rsid w:val="0055158A"/>
    <w:rsid w:val="005515A2"/>
    <w:rsid w:val="005515A9"/>
    <w:rsid w:val="005515D7"/>
    <w:rsid w:val="00551605"/>
    <w:rsid w:val="00551620"/>
    <w:rsid w:val="0055163A"/>
    <w:rsid w:val="0055166A"/>
    <w:rsid w:val="00551670"/>
    <w:rsid w:val="00551695"/>
    <w:rsid w:val="005516ED"/>
    <w:rsid w:val="005516F1"/>
    <w:rsid w:val="0055170C"/>
    <w:rsid w:val="00551720"/>
    <w:rsid w:val="0055173D"/>
    <w:rsid w:val="0055176B"/>
    <w:rsid w:val="00551773"/>
    <w:rsid w:val="0055177D"/>
    <w:rsid w:val="005517B8"/>
    <w:rsid w:val="005517C5"/>
    <w:rsid w:val="005517E7"/>
    <w:rsid w:val="005517F3"/>
    <w:rsid w:val="00551804"/>
    <w:rsid w:val="00551806"/>
    <w:rsid w:val="00551852"/>
    <w:rsid w:val="0055189E"/>
    <w:rsid w:val="005518BD"/>
    <w:rsid w:val="00551926"/>
    <w:rsid w:val="00551977"/>
    <w:rsid w:val="00551995"/>
    <w:rsid w:val="005519DB"/>
    <w:rsid w:val="005519EF"/>
    <w:rsid w:val="005519F5"/>
    <w:rsid w:val="00551A01"/>
    <w:rsid w:val="00551A28"/>
    <w:rsid w:val="00551A47"/>
    <w:rsid w:val="00551A74"/>
    <w:rsid w:val="00551A88"/>
    <w:rsid w:val="00551A8D"/>
    <w:rsid w:val="00551A8E"/>
    <w:rsid w:val="00551AB4"/>
    <w:rsid w:val="00551ADC"/>
    <w:rsid w:val="00551AE4"/>
    <w:rsid w:val="00551AE8"/>
    <w:rsid w:val="00551B0C"/>
    <w:rsid w:val="00551B39"/>
    <w:rsid w:val="00551BB0"/>
    <w:rsid w:val="00551BCE"/>
    <w:rsid w:val="00551BEA"/>
    <w:rsid w:val="00551C20"/>
    <w:rsid w:val="00551C91"/>
    <w:rsid w:val="00551C93"/>
    <w:rsid w:val="00551CB1"/>
    <w:rsid w:val="00551CD5"/>
    <w:rsid w:val="00551D1C"/>
    <w:rsid w:val="00551D2C"/>
    <w:rsid w:val="00551D36"/>
    <w:rsid w:val="00551D46"/>
    <w:rsid w:val="00551D83"/>
    <w:rsid w:val="00551D89"/>
    <w:rsid w:val="00551DE4"/>
    <w:rsid w:val="00551E2D"/>
    <w:rsid w:val="00551E5F"/>
    <w:rsid w:val="00551E80"/>
    <w:rsid w:val="00551E84"/>
    <w:rsid w:val="00551E88"/>
    <w:rsid w:val="00551ED6"/>
    <w:rsid w:val="00551F14"/>
    <w:rsid w:val="00551F16"/>
    <w:rsid w:val="00551F51"/>
    <w:rsid w:val="00551F6E"/>
    <w:rsid w:val="00551F7E"/>
    <w:rsid w:val="00551FD0"/>
    <w:rsid w:val="00551FF7"/>
    <w:rsid w:val="00552021"/>
    <w:rsid w:val="0055204E"/>
    <w:rsid w:val="0055207B"/>
    <w:rsid w:val="005520B4"/>
    <w:rsid w:val="005520CE"/>
    <w:rsid w:val="005520EF"/>
    <w:rsid w:val="0055211F"/>
    <w:rsid w:val="0055214F"/>
    <w:rsid w:val="00552162"/>
    <w:rsid w:val="0055216B"/>
    <w:rsid w:val="0055216E"/>
    <w:rsid w:val="005521AA"/>
    <w:rsid w:val="005521CB"/>
    <w:rsid w:val="005521E3"/>
    <w:rsid w:val="0055226D"/>
    <w:rsid w:val="005522B3"/>
    <w:rsid w:val="005522C8"/>
    <w:rsid w:val="005522CD"/>
    <w:rsid w:val="005522D1"/>
    <w:rsid w:val="0055231F"/>
    <w:rsid w:val="00552325"/>
    <w:rsid w:val="00552395"/>
    <w:rsid w:val="0055239B"/>
    <w:rsid w:val="005523C9"/>
    <w:rsid w:val="005523DE"/>
    <w:rsid w:val="005523F4"/>
    <w:rsid w:val="00552471"/>
    <w:rsid w:val="0055248B"/>
    <w:rsid w:val="0055249B"/>
    <w:rsid w:val="0055249F"/>
    <w:rsid w:val="005524B9"/>
    <w:rsid w:val="005524BC"/>
    <w:rsid w:val="005524E3"/>
    <w:rsid w:val="0055253A"/>
    <w:rsid w:val="00552543"/>
    <w:rsid w:val="0055254E"/>
    <w:rsid w:val="00552562"/>
    <w:rsid w:val="0055256D"/>
    <w:rsid w:val="0055259A"/>
    <w:rsid w:val="005525C6"/>
    <w:rsid w:val="00552649"/>
    <w:rsid w:val="00552685"/>
    <w:rsid w:val="005526A9"/>
    <w:rsid w:val="005526D6"/>
    <w:rsid w:val="005526E0"/>
    <w:rsid w:val="0055276E"/>
    <w:rsid w:val="0055279B"/>
    <w:rsid w:val="005527AA"/>
    <w:rsid w:val="005527C6"/>
    <w:rsid w:val="005527D2"/>
    <w:rsid w:val="005527E4"/>
    <w:rsid w:val="005527FF"/>
    <w:rsid w:val="00552818"/>
    <w:rsid w:val="0055284B"/>
    <w:rsid w:val="0055284D"/>
    <w:rsid w:val="005528A6"/>
    <w:rsid w:val="005528B0"/>
    <w:rsid w:val="005528B3"/>
    <w:rsid w:val="005528E7"/>
    <w:rsid w:val="00552923"/>
    <w:rsid w:val="0055292C"/>
    <w:rsid w:val="00552982"/>
    <w:rsid w:val="005529AA"/>
    <w:rsid w:val="005529AE"/>
    <w:rsid w:val="00552A84"/>
    <w:rsid w:val="00552A96"/>
    <w:rsid w:val="00552AB1"/>
    <w:rsid w:val="00552AC6"/>
    <w:rsid w:val="00552AE8"/>
    <w:rsid w:val="00552B1C"/>
    <w:rsid w:val="00552B26"/>
    <w:rsid w:val="00552B53"/>
    <w:rsid w:val="00552B58"/>
    <w:rsid w:val="00552B70"/>
    <w:rsid w:val="00552B73"/>
    <w:rsid w:val="00552BAA"/>
    <w:rsid w:val="00552BE8"/>
    <w:rsid w:val="00552C0D"/>
    <w:rsid w:val="00552C89"/>
    <w:rsid w:val="00552C93"/>
    <w:rsid w:val="00552C9F"/>
    <w:rsid w:val="00552CB8"/>
    <w:rsid w:val="00552CBB"/>
    <w:rsid w:val="00552CFB"/>
    <w:rsid w:val="00552CFF"/>
    <w:rsid w:val="00552D40"/>
    <w:rsid w:val="00552DC0"/>
    <w:rsid w:val="00552DCD"/>
    <w:rsid w:val="00552E3D"/>
    <w:rsid w:val="00552E4F"/>
    <w:rsid w:val="00552E67"/>
    <w:rsid w:val="00552E91"/>
    <w:rsid w:val="00552EBF"/>
    <w:rsid w:val="00552EC0"/>
    <w:rsid w:val="00552ECB"/>
    <w:rsid w:val="00552EE5"/>
    <w:rsid w:val="00552F68"/>
    <w:rsid w:val="00552F8B"/>
    <w:rsid w:val="00552FC6"/>
    <w:rsid w:val="00552FCE"/>
    <w:rsid w:val="00553012"/>
    <w:rsid w:val="0055302D"/>
    <w:rsid w:val="00553053"/>
    <w:rsid w:val="005530B1"/>
    <w:rsid w:val="005530DD"/>
    <w:rsid w:val="0055311C"/>
    <w:rsid w:val="005531A1"/>
    <w:rsid w:val="005531D3"/>
    <w:rsid w:val="005531D8"/>
    <w:rsid w:val="00553232"/>
    <w:rsid w:val="00553233"/>
    <w:rsid w:val="0055323D"/>
    <w:rsid w:val="00553241"/>
    <w:rsid w:val="0055325D"/>
    <w:rsid w:val="0055327D"/>
    <w:rsid w:val="005532B0"/>
    <w:rsid w:val="00553305"/>
    <w:rsid w:val="00553337"/>
    <w:rsid w:val="0055337E"/>
    <w:rsid w:val="00553384"/>
    <w:rsid w:val="00553386"/>
    <w:rsid w:val="005533D0"/>
    <w:rsid w:val="005533E4"/>
    <w:rsid w:val="00553410"/>
    <w:rsid w:val="00553415"/>
    <w:rsid w:val="00553420"/>
    <w:rsid w:val="0055349D"/>
    <w:rsid w:val="005534CE"/>
    <w:rsid w:val="0055351C"/>
    <w:rsid w:val="00553552"/>
    <w:rsid w:val="0055356A"/>
    <w:rsid w:val="00553572"/>
    <w:rsid w:val="005535AE"/>
    <w:rsid w:val="005535B7"/>
    <w:rsid w:val="005535E8"/>
    <w:rsid w:val="00553609"/>
    <w:rsid w:val="0055361B"/>
    <w:rsid w:val="00553627"/>
    <w:rsid w:val="00553671"/>
    <w:rsid w:val="005536A5"/>
    <w:rsid w:val="005536B4"/>
    <w:rsid w:val="005536CF"/>
    <w:rsid w:val="0055373D"/>
    <w:rsid w:val="00553743"/>
    <w:rsid w:val="0055374C"/>
    <w:rsid w:val="00553750"/>
    <w:rsid w:val="005537C8"/>
    <w:rsid w:val="005537D3"/>
    <w:rsid w:val="005537D9"/>
    <w:rsid w:val="0055381C"/>
    <w:rsid w:val="0055386A"/>
    <w:rsid w:val="0055387F"/>
    <w:rsid w:val="00553884"/>
    <w:rsid w:val="0055388D"/>
    <w:rsid w:val="005538A1"/>
    <w:rsid w:val="005538D0"/>
    <w:rsid w:val="005538F9"/>
    <w:rsid w:val="00553944"/>
    <w:rsid w:val="0055394B"/>
    <w:rsid w:val="0055398F"/>
    <w:rsid w:val="005539A7"/>
    <w:rsid w:val="005539FF"/>
    <w:rsid w:val="00553A0A"/>
    <w:rsid w:val="00553A36"/>
    <w:rsid w:val="00553AAC"/>
    <w:rsid w:val="00553B1B"/>
    <w:rsid w:val="00553B1C"/>
    <w:rsid w:val="00553B6C"/>
    <w:rsid w:val="00553BA9"/>
    <w:rsid w:val="00553BAA"/>
    <w:rsid w:val="00553BC8"/>
    <w:rsid w:val="00553C8B"/>
    <w:rsid w:val="00553CB3"/>
    <w:rsid w:val="00553CF3"/>
    <w:rsid w:val="00553D59"/>
    <w:rsid w:val="00553D92"/>
    <w:rsid w:val="00553E11"/>
    <w:rsid w:val="00553E28"/>
    <w:rsid w:val="00553E72"/>
    <w:rsid w:val="00553E79"/>
    <w:rsid w:val="00553EDD"/>
    <w:rsid w:val="00553EDF"/>
    <w:rsid w:val="00553EE2"/>
    <w:rsid w:val="00553F15"/>
    <w:rsid w:val="00553F30"/>
    <w:rsid w:val="00553F89"/>
    <w:rsid w:val="00553F96"/>
    <w:rsid w:val="00553FA8"/>
    <w:rsid w:val="00553FE7"/>
    <w:rsid w:val="00554175"/>
    <w:rsid w:val="005541EE"/>
    <w:rsid w:val="005541F6"/>
    <w:rsid w:val="00554204"/>
    <w:rsid w:val="00554219"/>
    <w:rsid w:val="00554232"/>
    <w:rsid w:val="00554234"/>
    <w:rsid w:val="0055425A"/>
    <w:rsid w:val="00554270"/>
    <w:rsid w:val="0055428F"/>
    <w:rsid w:val="005542AB"/>
    <w:rsid w:val="005542CA"/>
    <w:rsid w:val="005542E1"/>
    <w:rsid w:val="005542E6"/>
    <w:rsid w:val="005542FF"/>
    <w:rsid w:val="00554312"/>
    <w:rsid w:val="0055436C"/>
    <w:rsid w:val="00554397"/>
    <w:rsid w:val="005543B6"/>
    <w:rsid w:val="005543E4"/>
    <w:rsid w:val="0055441E"/>
    <w:rsid w:val="00554442"/>
    <w:rsid w:val="00554480"/>
    <w:rsid w:val="0055448D"/>
    <w:rsid w:val="0055448F"/>
    <w:rsid w:val="005544B6"/>
    <w:rsid w:val="005544BD"/>
    <w:rsid w:val="005544CD"/>
    <w:rsid w:val="005544DC"/>
    <w:rsid w:val="0055450D"/>
    <w:rsid w:val="00554521"/>
    <w:rsid w:val="00554563"/>
    <w:rsid w:val="00554566"/>
    <w:rsid w:val="00554567"/>
    <w:rsid w:val="0055456D"/>
    <w:rsid w:val="00554584"/>
    <w:rsid w:val="0055458A"/>
    <w:rsid w:val="005545AE"/>
    <w:rsid w:val="00554630"/>
    <w:rsid w:val="00554634"/>
    <w:rsid w:val="0055464E"/>
    <w:rsid w:val="00554675"/>
    <w:rsid w:val="005546A2"/>
    <w:rsid w:val="005546A3"/>
    <w:rsid w:val="005546C1"/>
    <w:rsid w:val="0055470D"/>
    <w:rsid w:val="00554729"/>
    <w:rsid w:val="00554891"/>
    <w:rsid w:val="00554903"/>
    <w:rsid w:val="00554909"/>
    <w:rsid w:val="00554914"/>
    <w:rsid w:val="0055496A"/>
    <w:rsid w:val="0055496F"/>
    <w:rsid w:val="0055498D"/>
    <w:rsid w:val="005549BA"/>
    <w:rsid w:val="00554A3F"/>
    <w:rsid w:val="00554A64"/>
    <w:rsid w:val="00554AAB"/>
    <w:rsid w:val="00554AD5"/>
    <w:rsid w:val="00554B1F"/>
    <w:rsid w:val="00554B53"/>
    <w:rsid w:val="00554BAD"/>
    <w:rsid w:val="00554BBA"/>
    <w:rsid w:val="00554BBC"/>
    <w:rsid w:val="00554BC5"/>
    <w:rsid w:val="00554BCB"/>
    <w:rsid w:val="00554BD3"/>
    <w:rsid w:val="00554C48"/>
    <w:rsid w:val="00554C4C"/>
    <w:rsid w:val="00554C5F"/>
    <w:rsid w:val="00554C80"/>
    <w:rsid w:val="00554C94"/>
    <w:rsid w:val="00554CC4"/>
    <w:rsid w:val="00554D00"/>
    <w:rsid w:val="00554D08"/>
    <w:rsid w:val="00554D11"/>
    <w:rsid w:val="00554D2D"/>
    <w:rsid w:val="00554D5B"/>
    <w:rsid w:val="00554D5F"/>
    <w:rsid w:val="00554D6C"/>
    <w:rsid w:val="00554E30"/>
    <w:rsid w:val="00554E3D"/>
    <w:rsid w:val="00554E79"/>
    <w:rsid w:val="00554ED9"/>
    <w:rsid w:val="00554EEC"/>
    <w:rsid w:val="00554F08"/>
    <w:rsid w:val="00554F1E"/>
    <w:rsid w:val="00554F9F"/>
    <w:rsid w:val="00554FA6"/>
    <w:rsid w:val="00554FBE"/>
    <w:rsid w:val="00554FC1"/>
    <w:rsid w:val="00554FC8"/>
    <w:rsid w:val="00554FCC"/>
    <w:rsid w:val="00554FF1"/>
    <w:rsid w:val="00554FFD"/>
    <w:rsid w:val="00555010"/>
    <w:rsid w:val="00555036"/>
    <w:rsid w:val="00555041"/>
    <w:rsid w:val="0055505C"/>
    <w:rsid w:val="0055506C"/>
    <w:rsid w:val="005550B4"/>
    <w:rsid w:val="005550F0"/>
    <w:rsid w:val="00555104"/>
    <w:rsid w:val="00555107"/>
    <w:rsid w:val="00555108"/>
    <w:rsid w:val="00555155"/>
    <w:rsid w:val="00555189"/>
    <w:rsid w:val="005551D2"/>
    <w:rsid w:val="0055520E"/>
    <w:rsid w:val="00555264"/>
    <w:rsid w:val="0055529F"/>
    <w:rsid w:val="0055538C"/>
    <w:rsid w:val="00555390"/>
    <w:rsid w:val="00555391"/>
    <w:rsid w:val="00555394"/>
    <w:rsid w:val="005553C8"/>
    <w:rsid w:val="0055541F"/>
    <w:rsid w:val="00555479"/>
    <w:rsid w:val="0055549E"/>
    <w:rsid w:val="005554BF"/>
    <w:rsid w:val="005554CC"/>
    <w:rsid w:val="00555571"/>
    <w:rsid w:val="00555575"/>
    <w:rsid w:val="005555D7"/>
    <w:rsid w:val="005555E2"/>
    <w:rsid w:val="005556A2"/>
    <w:rsid w:val="005556F2"/>
    <w:rsid w:val="00555708"/>
    <w:rsid w:val="00555744"/>
    <w:rsid w:val="00555747"/>
    <w:rsid w:val="00555769"/>
    <w:rsid w:val="00555787"/>
    <w:rsid w:val="0055579A"/>
    <w:rsid w:val="005557C4"/>
    <w:rsid w:val="005557E2"/>
    <w:rsid w:val="0055580C"/>
    <w:rsid w:val="0055585B"/>
    <w:rsid w:val="0055586B"/>
    <w:rsid w:val="00555879"/>
    <w:rsid w:val="005558BE"/>
    <w:rsid w:val="005558D2"/>
    <w:rsid w:val="005558D7"/>
    <w:rsid w:val="005558F4"/>
    <w:rsid w:val="005558FC"/>
    <w:rsid w:val="00555924"/>
    <w:rsid w:val="00555998"/>
    <w:rsid w:val="005559D4"/>
    <w:rsid w:val="005559F1"/>
    <w:rsid w:val="005559FC"/>
    <w:rsid w:val="00555A05"/>
    <w:rsid w:val="00555A36"/>
    <w:rsid w:val="00555A38"/>
    <w:rsid w:val="00555A5B"/>
    <w:rsid w:val="00555A5F"/>
    <w:rsid w:val="00555A64"/>
    <w:rsid w:val="00555A7A"/>
    <w:rsid w:val="00555A8E"/>
    <w:rsid w:val="00555B05"/>
    <w:rsid w:val="00555B32"/>
    <w:rsid w:val="00555B3C"/>
    <w:rsid w:val="00555B4D"/>
    <w:rsid w:val="00555B5F"/>
    <w:rsid w:val="00555B7C"/>
    <w:rsid w:val="00555B9D"/>
    <w:rsid w:val="00555BA1"/>
    <w:rsid w:val="00555BB3"/>
    <w:rsid w:val="00555BC2"/>
    <w:rsid w:val="00555C58"/>
    <w:rsid w:val="00555C6B"/>
    <w:rsid w:val="00555D10"/>
    <w:rsid w:val="00555D1E"/>
    <w:rsid w:val="00555D52"/>
    <w:rsid w:val="00555D62"/>
    <w:rsid w:val="00555D71"/>
    <w:rsid w:val="00555D9A"/>
    <w:rsid w:val="00555DD2"/>
    <w:rsid w:val="00555DF3"/>
    <w:rsid w:val="00555E2C"/>
    <w:rsid w:val="00555E32"/>
    <w:rsid w:val="00555E33"/>
    <w:rsid w:val="00555E5B"/>
    <w:rsid w:val="00555E6B"/>
    <w:rsid w:val="00555E71"/>
    <w:rsid w:val="00555ED2"/>
    <w:rsid w:val="00555F15"/>
    <w:rsid w:val="00555F22"/>
    <w:rsid w:val="00555F25"/>
    <w:rsid w:val="00555F8B"/>
    <w:rsid w:val="00555F96"/>
    <w:rsid w:val="00555FCC"/>
    <w:rsid w:val="00555FDA"/>
    <w:rsid w:val="00556036"/>
    <w:rsid w:val="00556076"/>
    <w:rsid w:val="00556091"/>
    <w:rsid w:val="0055609B"/>
    <w:rsid w:val="005560D3"/>
    <w:rsid w:val="005560FA"/>
    <w:rsid w:val="0055611A"/>
    <w:rsid w:val="0055612C"/>
    <w:rsid w:val="00556148"/>
    <w:rsid w:val="005561EE"/>
    <w:rsid w:val="0055620F"/>
    <w:rsid w:val="00556259"/>
    <w:rsid w:val="00556272"/>
    <w:rsid w:val="00556288"/>
    <w:rsid w:val="005562D3"/>
    <w:rsid w:val="005562F6"/>
    <w:rsid w:val="00556310"/>
    <w:rsid w:val="00556342"/>
    <w:rsid w:val="0055635E"/>
    <w:rsid w:val="005563CD"/>
    <w:rsid w:val="005563D2"/>
    <w:rsid w:val="005563E0"/>
    <w:rsid w:val="00556408"/>
    <w:rsid w:val="00556434"/>
    <w:rsid w:val="00556445"/>
    <w:rsid w:val="0055646C"/>
    <w:rsid w:val="005564B0"/>
    <w:rsid w:val="0055655F"/>
    <w:rsid w:val="005565EB"/>
    <w:rsid w:val="005565F9"/>
    <w:rsid w:val="00556607"/>
    <w:rsid w:val="00556615"/>
    <w:rsid w:val="00556634"/>
    <w:rsid w:val="00556651"/>
    <w:rsid w:val="005566A2"/>
    <w:rsid w:val="005566CC"/>
    <w:rsid w:val="005566EB"/>
    <w:rsid w:val="0055679F"/>
    <w:rsid w:val="005567A0"/>
    <w:rsid w:val="005567B9"/>
    <w:rsid w:val="005567D1"/>
    <w:rsid w:val="00556884"/>
    <w:rsid w:val="00556899"/>
    <w:rsid w:val="005568D7"/>
    <w:rsid w:val="0055690A"/>
    <w:rsid w:val="0055694A"/>
    <w:rsid w:val="00556976"/>
    <w:rsid w:val="00556978"/>
    <w:rsid w:val="00556993"/>
    <w:rsid w:val="00556994"/>
    <w:rsid w:val="0055699D"/>
    <w:rsid w:val="005569A8"/>
    <w:rsid w:val="005569C3"/>
    <w:rsid w:val="005569C5"/>
    <w:rsid w:val="005569FA"/>
    <w:rsid w:val="005569FE"/>
    <w:rsid w:val="00556A00"/>
    <w:rsid w:val="00556A05"/>
    <w:rsid w:val="00556A45"/>
    <w:rsid w:val="00556A46"/>
    <w:rsid w:val="00556A6F"/>
    <w:rsid w:val="00556A7F"/>
    <w:rsid w:val="00556AD6"/>
    <w:rsid w:val="00556AFA"/>
    <w:rsid w:val="00556B0D"/>
    <w:rsid w:val="00556B64"/>
    <w:rsid w:val="00556B7C"/>
    <w:rsid w:val="00556B92"/>
    <w:rsid w:val="00556BC2"/>
    <w:rsid w:val="00556BD2"/>
    <w:rsid w:val="00556CB5"/>
    <w:rsid w:val="00556CC9"/>
    <w:rsid w:val="00556D2B"/>
    <w:rsid w:val="00556D30"/>
    <w:rsid w:val="00556D55"/>
    <w:rsid w:val="00556D6D"/>
    <w:rsid w:val="00556D77"/>
    <w:rsid w:val="00556DCB"/>
    <w:rsid w:val="00556DDD"/>
    <w:rsid w:val="00556DE9"/>
    <w:rsid w:val="00556DF1"/>
    <w:rsid w:val="00556E10"/>
    <w:rsid w:val="00556E11"/>
    <w:rsid w:val="00556E1B"/>
    <w:rsid w:val="00556E25"/>
    <w:rsid w:val="00556E55"/>
    <w:rsid w:val="00556EAA"/>
    <w:rsid w:val="00556EAB"/>
    <w:rsid w:val="00556ED0"/>
    <w:rsid w:val="00556EE1"/>
    <w:rsid w:val="00556F06"/>
    <w:rsid w:val="00556F27"/>
    <w:rsid w:val="00556F5C"/>
    <w:rsid w:val="00556FE1"/>
    <w:rsid w:val="00556FE4"/>
    <w:rsid w:val="00556FEF"/>
    <w:rsid w:val="00557021"/>
    <w:rsid w:val="00557061"/>
    <w:rsid w:val="00557068"/>
    <w:rsid w:val="0055706B"/>
    <w:rsid w:val="005570A8"/>
    <w:rsid w:val="005570B7"/>
    <w:rsid w:val="00557117"/>
    <w:rsid w:val="0055712C"/>
    <w:rsid w:val="00557141"/>
    <w:rsid w:val="00557160"/>
    <w:rsid w:val="005571B0"/>
    <w:rsid w:val="005571BB"/>
    <w:rsid w:val="005571C9"/>
    <w:rsid w:val="005571D4"/>
    <w:rsid w:val="0055720E"/>
    <w:rsid w:val="00557279"/>
    <w:rsid w:val="005572D3"/>
    <w:rsid w:val="00557335"/>
    <w:rsid w:val="0055735A"/>
    <w:rsid w:val="00557361"/>
    <w:rsid w:val="00557374"/>
    <w:rsid w:val="005573CC"/>
    <w:rsid w:val="00557427"/>
    <w:rsid w:val="00557455"/>
    <w:rsid w:val="0055745F"/>
    <w:rsid w:val="00557493"/>
    <w:rsid w:val="005574F7"/>
    <w:rsid w:val="0055752E"/>
    <w:rsid w:val="0055759C"/>
    <w:rsid w:val="005575AC"/>
    <w:rsid w:val="005575AF"/>
    <w:rsid w:val="005575CD"/>
    <w:rsid w:val="005575D9"/>
    <w:rsid w:val="005575EC"/>
    <w:rsid w:val="00557659"/>
    <w:rsid w:val="0055765B"/>
    <w:rsid w:val="005576D7"/>
    <w:rsid w:val="005576DD"/>
    <w:rsid w:val="005576F3"/>
    <w:rsid w:val="005576F9"/>
    <w:rsid w:val="005576FC"/>
    <w:rsid w:val="00557742"/>
    <w:rsid w:val="00557746"/>
    <w:rsid w:val="005577E8"/>
    <w:rsid w:val="00557899"/>
    <w:rsid w:val="005578A8"/>
    <w:rsid w:val="005578AB"/>
    <w:rsid w:val="005578DD"/>
    <w:rsid w:val="005578EF"/>
    <w:rsid w:val="00557926"/>
    <w:rsid w:val="00557997"/>
    <w:rsid w:val="005579A4"/>
    <w:rsid w:val="005579B5"/>
    <w:rsid w:val="00557A53"/>
    <w:rsid w:val="00557A59"/>
    <w:rsid w:val="00557AB8"/>
    <w:rsid w:val="00557AC5"/>
    <w:rsid w:val="00557AD0"/>
    <w:rsid w:val="00557AD2"/>
    <w:rsid w:val="00557AE3"/>
    <w:rsid w:val="00557B13"/>
    <w:rsid w:val="00557B3D"/>
    <w:rsid w:val="00557B5A"/>
    <w:rsid w:val="00557B70"/>
    <w:rsid w:val="00557B97"/>
    <w:rsid w:val="00557BCB"/>
    <w:rsid w:val="00557BCF"/>
    <w:rsid w:val="00557BE7"/>
    <w:rsid w:val="00557C11"/>
    <w:rsid w:val="00557C34"/>
    <w:rsid w:val="00557C47"/>
    <w:rsid w:val="00557CAD"/>
    <w:rsid w:val="00557CE7"/>
    <w:rsid w:val="00557D03"/>
    <w:rsid w:val="00557D26"/>
    <w:rsid w:val="00557D36"/>
    <w:rsid w:val="00557DBA"/>
    <w:rsid w:val="00557DCF"/>
    <w:rsid w:val="00557E22"/>
    <w:rsid w:val="00557E28"/>
    <w:rsid w:val="00557E3C"/>
    <w:rsid w:val="00557E4B"/>
    <w:rsid w:val="00557E82"/>
    <w:rsid w:val="00557E84"/>
    <w:rsid w:val="00557EB1"/>
    <w:rsid w:val="00557F1C"/>
    <w:rsid w:val="00557F50"/>
    <w:rsid w:val="00557F7F"/>
    <w:rsid w:val="00557FCC"/>
    <w:rsid w:val="00557FD6"/>
    <w:rsid w:val="0055C055"/>
    <w:rsid w:val="0055EDAD"/>
    <w:rsid w:val="00560002"/>
    <w:rsid w:val="00560013"/>
    <w:rsid w:val="0056006C"/>
    <w:rsid w:val="0056009E"/>
    <w:rsid w:val="005600BB"/>
    <w:rsid w:val="005600D5"/>
    <w:rsid w:val="00560109"/>
    <w:rsid w:val="00560174"/>
    <w:rsid w:val="005601AA"/>
    <w:rsid w:val="005601C2"/>
    <w:rsid w:val="005601C4"/>
    <w:rsid w:val="005601C8"/>
    <w:rsid w:val="00560208"/>
    <w:rsid w:val="00560219"/>
    <w:rsid w:val="00560240"/>
    <w:rsid w:val="00560264"/>
    <w:rsid w:val="00560287"/>
    <w:rsid w:val="0056028C"/>
    <w:rsid w:val="00560297"/>
    <w:rsid w:val="005602D6"/>
    <w:rsid w:val="005602DB"/>
    <w:rsid w:val="005602E2"/>
    <w:rsid w:val="005602EE"/>
    <w:rsid w:val="0056030F"/>
    <w:rsid w:val="00560385"/>
    <w:rsid w:val="005603D3"/>
    <w:rsid w:val="0056040A"/>
    <w:rsid w:val="00560437"/>
    <w:rsid w:val="0056044F"/>
    <w:rsid w:val="00560482"/>
    <w:rsid w:val="00560486"/>
    <w:rsid w:val="00560492"/>
    <w:rsid w:val="005604FD"/>
    <w:rsid w:val="00560513"/>
    <w:rsid w:val="00560539"/>
    <w:rsid w:val="0056053E"/>
    <w:rsid w:val="0056054C"/>
    <w:rsid w:val="00560572"/>
    <w:rsid w:val="005605A9"/>
    <w:rsid w:val="005605DD"/>
    <w:rsid w:val="005605E5"/>
    <w:rsid w:val="005605EE"/>
    <w:rsid w:val="00560627"/>
    <w:rsid w:val="00560633"/>
    <w:rsid w:val="0056065A"/>
    <w:rsid w:val="00560660"/>
    <w:rsid w:val="005606D9"/>
    <w:rsid w:val="005606E5"/>
    <w:rsid w:val="00560704"/>
    <w:rsid w:val="00560737"/>
    <w:rsid w:val="0056073E"/>
    <w:rsid w:val="00560765"/>
    <w:rsid w:val="005607A3"/>
    <w:rsid w:val="00560824"/>
    <w:rsid w:val="00560833"/>
    <w:rsid w:val="00560871"/>
    <w:rsid w:val="005608AE"/>
    <w:rsid w:val="005608C3"/>
    <w:rsid w:val="005608CF"/>
    <w:rsid w:val="0056090D"/>
    <w:rsid w:val="0056091D"/>
    <w:rsid w:val="0056093A"/>
    <w:rsid w:val="00560998"/>
    <w:rsid w:val="005609DC"/>
    <w:rsid w:val="00560A2B"/>
    <w:rsid w:val="00560A37"/>
    <w:rsid w:val="00560A98"/>
    <w:rsid w:val="00560A9D"/>
    <w:rsid w:val="00560AA3"/>
    <w:rsid w:val="00560AF0"/>
    <w:rsid w:val="00560B11"/>
    <w:rsid w:val="00560B14"/>
    <w:rsid w:val="00560B25"/>
    <w:rsid w:val="00560B39"/>
    <w:rsid w:val="00560B48"/>
    <w:rsid w:val="00560BA1"/>
    <w:rsid w:val="00560BAA"/>
    <w:rsid w:val="00560BAE"/>
    <w:rsid w:val="00560BB8"/>
    <w:rsid w:val="00560BD4"/>
    <w:rsid w:val="00560C06"/>
    <w:rsid w:val="00560C32"/>
    <w:rsid w:val="00560C37"/>
    <w:rsid w:val="00560C70"/>
    <w:rsid w:val="00560C8F"/>
    <w:rsid w:val="00560C9D"/>
    <w:rsid w:val="00560CAC"/>
    <w:rsid w:val="00560CB4"/>
    <w:rsid w:val="00560CC1"/>
    <w:rsid w:val="00560CEB"/>
    <w:rsid w:val="00560CF1"/>
    <w:rsid w:val="00560CF9"/>
    <w:rsid w:val="00560CFB"/>
    <w:rsid w:val="00560D38"/>
    <w:rsid w:val="00560DA4"/>
    <w:rsid w:val="00560DBB"/>
    <w:rsid w:val="00560DCC"/>
    <w:rsid w:val="00560DE7"/>
    <w:rsid w:val="00560E22"/>
    <w:rsid w:val="00560E27"/>
    <w:rsid w:val="00560E4C"/>
    <w:rsid w:val="00560E61"/>
    <w:rsid w:val="00560E7C"/>
    <w:rsid w:val="00560EAE"/>
    <w:rsid w:val="00560EB7"/>
    <w:rsid w:val="00560EBF"/>
    <w:rsid w:val="00560EC0"/>
    <w:rsid w:val="00560EC5"/>
    <w:rsid w:val="00560ECE"/>
    <w:rsid w:val="00560EE9"/>
    <w:rsid w:val="00560EF6"/>
    <w:rsid w:val="00560F19"/>
    <w:rsid w:val="00560F59"/>
    <w:rsid w:val="00560F80"/>
    <w:rsid w:val="00560FAD"/>
    <w:rsid w:val="00560FD3"/>
    <w:rsid w:val="00560FE3"/>
    <w:rsid w:val="0056104F"/>
    <w:rsid w:val="005610B4"/>
    <w:rsid w:val="005610B8"/>
    <w:rsid w:val="005610C7"/>
    <w:rsid w:val="005611A3"/>
    <w:rsid w:val="005611CB"/>
    <w:rsid w:val="005611F3"/>
    <w:rsid w:val="0056120A"/>
    <w:rsid w:val="0056122F"/>
    <w:rsid w:val="00561239"/>
    <w:rsid w:val="00561320"/>
    <w:rsid w:val="0056139F"/>
    <w:rsid w:val="005613E4"/>
    <w:rsid w:val="0056142D"/>
    <w:rsid w:val="0056148D"/>
    <w:rsid w:val="005614A1"/>
    <w:rsid w:val="0056150C"/>
    <w:rsid w:val="00561540"/>
    <w:rsid w:val="00561567"/>
    <w:rsid w:val="00561583"/>
    <w:rsid w:val="0056159C"/>
    <w:rsid w:val="005615C6"/>
    <w:rsid w:val="005615F3"/>
    <w:rsid w:val="0056160D"/>
    <w:rsid w:val="00561619"/>
    <w:rsid w:val="0056163E"/>
    <w:rsid w:val="00561784"/>
    <w:rsid w:val="0056178F"/>
    <w:rsid w:val="005617A8"/>
    <w:rsid w:val="005617BA"/>
    <w:rsid w:val="005617E5"/>
    <w:rsid w:val="00561801"/>
    <w:rsid w:val="00561839"/>
    <w:rsid w:val="0056183C"/>
    <w:rsid w:val="0056187E"/>
    <w:rsid w:val="0056189F"/>
    <w:rsid w:val="005618A5"/>
    <w:rsid w:val="005618A7"/>
    <w:rsid w:val="005618AF"/>
    <w:rsid w:val="005618BC"/>
    <w:rsid w:val="005618DB"/>
    <w:rsid w:val="005618E0"/>
    <w:rsid w:val="0056193D"/>
    <w:rsid w:val="0056194A"/>
    <w:rsid w:val="00561953"/>
    <w:rsid w:val="00561966"/>
    <w:rsid w:val="00561972"/>
    <w:rsid w:val="005619E8"/>
    <w:rsid w:val="00561A1C"/>
    <w:rsid w:val="00561A20"/>
    <w:rsid w:val="00561A5A"/>
    <w:rsid w:val="00561ABB"/>
    <w:rsid w:val="00561ACF"/>
    <w:rsid w:val="00561AF6"/>
    <w:rsid w:val="00561AFC"/>
    <w:rsid w:val="00561B0D"/>
    <w:rsid w:val="00561B0E"/>
    <w:rsid w:val="00561B29"/>
    <w:rsid w:val="00561B2B"/>
    <w:rsid w:val="00561B58"/>
    <w:rsid w:val="00561B66"/>
    <w:rsid w:val="00561B71"/>
    <w:rsid w:val="00561B7E"/>
    <w:rsid w:val="00561B8A"/>
    <w:rsid w:val="00561B8E"/>
    <w:rsid w:val="00561B8F"/>
    <w:rsid w:val="00561BC7"/>
    <w:rsid w:val="00561BE8"/>
    <w:rsid w:val="00561C53"/>
    <w:rsid w:val="00561C7C"/>
    <w:rsid w:val="00561C81"/>
    <w:rsid w:val="00561C98"/>
    <w:rsid w:val="00561CA4"/>
    <w:rsid w:val="00561CCF"/>
    <w:rsid w:val="00561D14"/>
    <w:rsid w:val="00561D54"/>
    <w:rsid w:val="00561D7A"/>
    <w:rsid w:val="00561D9D"/>
    <w:rsid w:val="00561DBE"/>
    <w:rsid w:val="00561DF0"/>
    <w:rsid w:val="00561E01"/>
    <w:rsid w:val="00561E12"/>
    <w:rsid w:val="00561E18"/>
    <w:rsid w:val="00561E22"/>
    <w:rsid w:val="00561E47"/>
    <w:rsid w:val="00561E80"/>
    <w:rsid w:val="00561E87"/>
    <w:rsid w:val="00561EAA"/>
    <w:rsid w:val="00561EDB"/>
    <w:rsid w:val="00561F08"/>
    <w:rsid w:val="00561F2B"/>
    <w:rsid w:val="00561F56"/>
    <w:rsid w:val="00561FB6"/>
    <w:rsid w:val="00561FE3"/>
    <w:rsid w:val="00562044"/>
    <w:rsid w:val="0056206E"/>
    <w:rsid w:val="0056208B"/>
    <w:rsid w:val="005620C0"/>
    <w:rsid w:val="005620E4"/>
    <w:rsid w:val="005620E5"/>
    <w:rsid w:val="00562103"/>
    <w:rsid w:val="0056215B"/>
    <w:rsid w:val="00562162"/>
    <w:rsid w:val="00562164"/>
    <w:rsid w:val="0056216A"/>
    <w:rsid w:val="00562191"/>
    <w:rsid w:val="005621FC"/>
    <w:rsid w:val="00562211"/>
    <w:rsid w:val="00562213"/>
    <w:rsid w:val="00562238"/>
    <w:rsid w:val="00562272"/>
    <w:rsid w:val="005622DC"/>
    <w:rsid w:val="005622E4"/>
    <w:rsid w:val="005622F0"/>
    <w:rsid w:val="00562321"/>
    <w:rsid w:val="00562357"/>
    <w:rsid w:val="0056235A"/>
    <w:rsid w:val="00562371"/>
    <w:rsid w:val="0056237C"/>
    <w:rsid w:val="00562402"/>
    <w:rsid w:val="0056240E"/>
    <w:rsid w:val="00562440"/>
    <w:rsid w:val="00562451"/>
    <w:rsid w:val="00562467"/>
    <w:rsid w:val="0056246B"/>
    <w:rsid w:val="0056248A"/>
    <w:rsid w:val="0056249A"/>
    <w:rsid w:val="005624B3"/>
    <w:rsid w:val="005624D0"/>
    <w:rsid w:val="005624D1"/>
    <w:rsid w:val="005624DF"/>
    <w:rsid w:val="0056255D"/>
    <w:rsid w:val="005625A8"/>
    <w:rsid w:val="005625CB"/>
    <w:rsid w:val="005625E9"/>
    <w:rsid w:val="0056260C"/>
    <w:rsid w:val="00562612"/>
    <w:rsid w:val="0056262C"/>
    <w:rsid w:val="00562651"/>
    <w:rsid w:val="005626AD"/>
    <w:rsid w:val="005626D4"/>
    <w:rsid w:val="005626F5"/>
    <w:rsid w:val="0056270E"/>
    <w:rsid w:val="00562728"/>
    <w:rsid w:val="00562734"/>
    <w:rsid w:val="00562798"/>
    <w:rsid w:val="005627B9"/>
    <w:rsid w:val="005627C7"/>
    <w:rsid w:val="005627E3"/>
    <w:rsid w:val="00562822"/>
    <w:rsid w:val="00562843"/>
    <w:rsid w:val="00562853"/>
    <w:rsid w:val="00562879"/>
    <w:rsid w:val="005628B1"/>
    <w:rsid w:val="005628BD"/>
    <w:rsid w:val="0056292B"/>
    <w:rsid w:val="0056295C"/>
    <w:rsid w:val="0056295F"/>
    <w:rsid w:val="0056297C"/>
    <w:rsid w:val="0056298F"/>
    <w:rsid w:val="005629A9"/>
    <w:rsid w:val="005629D8"/>
    <w:rsid w:val="00562A2A"/>
    <w:rsid w:val="00562A4C"/>
    <w:rsid w:val="00562A5A"/>
    <w:rsid w:val="00562A90"/>
    <w:rsid w:val="00562B03"/>
    <w:rsid w:val="00562B39"/>
    <w:rsid w:val="00562B3C"/>
    <w:rsid w:val="00562B81"/>
    <w:rsid w:val="00562BA0"/>
    <w:rsid w:val="00562BD7"/>
    <w:rsid w:val="00562BE0"/>
    <w:rsid w:val="00562BFC"/>
    <w:rsid w:val="00562C18"/>
    <w:rsid w:val="00562C35"/>
    <w:rsid w:val="00562C48"/>
    <w:rsid w:val="00562C53"/>
    <w:rsid w:val="00562C9E"/>
    <w:rsid w:val="00562CAF"/>
    <w:rsid w:val="00562CB0"/>
    <w:rsid w:val="00562CBB"/>
    <w:rsid w:val="00562CD6"/>
    <w:rsid w:val="00562CF3"/>
    <w:rsid w:val="00562CF8"/>
    <w:rsid w:val="00562D45"/>
    <w:rsid w:val="00562D7A"/>
    <w:rsid w:val="00562DA8"/>
    <w:rsid w:val="00562DD7"/>
    <w:rsid w:val="00562DF6"/>
    <w:rsid w:val="00562E3F"/>
    <w:rsid w:val="00562E4A"/>
    <w:rsid w:val="00562EA7"/>
    <w:rsid w:val="00562EC1"/>
    <w:rsid w:val="00562ED9"/>
    <w:rsid w:val="00562F26"/>
    <w:rsid w:val="00562F40"/>
    <w:rsid w:val="00562F79"/>
    <w:rsid w:val="00562F88"/>
    <w:rsid w:val="00562FE3"/>
    <w:rsid w:val="00562FEA"/>
    <w:rsid w:val="00562FEE"/>
    <w:rsid w:val="0056301B"/>
    <w:rsid w:val="00563061"/>
    <w:rsid w:val="00563082"/>
    <w:rsid w:val="005630E7"/>
    <w:rsid w:val="005630F0"/>
    <w:rsid w:val="00563120"/>
    <w:rsid w:val="005631E2"/>
    <w:rsid w:val="005631F2"/>
    <w:rsid w:val="0056321E"/>
    <w:rsid w:val="0056322D"/>
    <w:rsid w:val="0056329B"/>
    <w:rsid w:val="00563319"/>
    <w:rsid w:val="00563325"/>
    <w:rsid w:val="00563327"/>
    <w:rsid w:val="005633CC"/>
    <w:rsid w:val="005633D2"/>
    <w:rsid w:val="005633D7"/>
    <w:rsid w:val="00563441"/>
    <w:rsid w:val="005634C3"/>
    <w:rsid w:val="005634DA"/>
    <w:rsid w:val="00563507"/>
    <w:rsid w:val="005635B0"/>
    <w:rsid w:val="005635C2"/>
    <w:rsid w:val="005635F1"/>
    <w:rsid w:val="00563605"/>
    <w:rsid w:val="00563622"/>
    <w:rsid w:val="00563640"/>
    <w:rsid w:val="005636A4"/>
    <w:rsid w:val="005636B9"/>
    <w:rsid w:val="0056370A"/>
    <w:rsid w:val="0056371C"/>
    <w:rsid w:val="00563728"/>
    <w:rsid w:val="00563783"/>
    <w:rsid w:val="00563799"/>
    <w:rsid w:val="0056379C"/>
    <w:rsid w:val="005637CA"/>
    <w:rsid w:val="00563815"/>
    <w:rsid w:val="00563833"/>
    <w:rsid w:val="00563879"/>
    <w:rsid w:val="0056387D"/>
    <w:rsid w:val="0056388C"/>
    <w:rsid w:val="005638D5"/>
    <w:rsid w:val="0056397D"/>
    <w:rsid w:val="005639D6"/>
    <w:rsid w:val="005639E3"/>
    <w:rsid w:val="005639FF"/>
    <w:rsid w:val="00563A0E"/>
    <w:rsid w:val="00563A4D"/>
    <w:rsid w:val="00563A69"/>
    <w:rsid w:val="00563A6C"/>
    <w:rsid w:val="00563AD3"/>
    <w:rsid w:val="00563AFD"/>
    <w:rsid w:val="00563B36"/>
    <w:rsid w:val="00563BE7"/>
    <w:rsid w:val="00563C18"/>
    <w:rsid w:val="00563C25"/>
    <w:rsid w:val="00563C41"/>
    <w:rsid w:val="00563C59"/>
    <w:rsid w:val="00563C74"/>
    <w:rsid w:val="00563CAF"/>
    <w:rsid w:val="00563CC1"/>
    <w:rsid w:val="00563D10"/>
    <w:rsid w:val="00563D5F"/>
    <w:rsid w:val="00563D6E"/>
    <w:rsid w:val="00563DBD"/>
    <w:rsid w:val="00563DCC"/>
    <w:rsid w:val="00563E0B"/>
    <w:rsid w:val="00563E1E"/>
    <w:rsid w:val="00563E3D"/>
    <w:rsid w:val="00563E47"/>
    <w:rsid w:val="00563E6C"/>
    <w:rsid w:val="00563F17"/>
    <w:rsid w:val="00563F2B"/>
    <w:rsid w:val="00563F39"/>
    <w:rsid w:val="00563F43"/>
    <w:rsid w:val="00563FD7"/>
    <w:rsid w:val="00563FED"/>
    <w:rsid w:val="00563FFC"/>
    <w:rsid w:val="00564014"/>
    <w:rsid w:val="0056402B"/>
    <w:rsid w:val="00564059"/>
    <w:rsid w:val="00564069"/>
    <w:rsid w:val="00564089"/>
    <w:rsid w:val="00564092"/>
    <w:rsid w:val="005640BA"/>
    <w:rsid w:val="00564163"/>
    <w:rsid w:val="00564190"/>
    <w:rsid w:val="00564192"/>
    <w:rsid w:val="005641BC"/>
    <w:rsid w:val="00564203"/>
    <w:rsid w:val="0056428F"/>
    <w:rsid w:val="005642DF"/>
    <w:rsid w:val="00564322"/>
    <w:rsid w:val="00564342"/>
    <w:rsid w:val="00564361"/>
    <w:rsid w:val="0056436F"/>
    <w:rsid w:val="0056439C"/>
    <w:rsid w:val="005643BB"/>
    <w:rsid w:val="0056440B"/>
    <w:rsid w:val="00564438"/>
    <w:rsid w:val="00564444"/>
    <w:rsid w:val="0056444E"/>
    <w:rsid w:val="00564456"/>
    <w:rsid w:val="0056451A"/>
    <w:rsid w:val="0056452D"/>
    <w:rsid w:val="0056453E"/>
    <w:rsid w:val="00564583"/>
    <w:rsid w:val="00564655"/>
    <w:rsid w:val="00564680"/>
    <w:rsid w:val="00564693"/>
    <w:rsid w:val="005646ED"/>
    <w:rsid w:val="00564706"/>
    <w:rsid w:val="00564738"/>
    <w:rsid w:val="0056474F"/>
    <w:rsid w:val="0056478C"/>
    <w:rsid w:val="005647D4"/>
    <w:rsid w:val="005647E7"/>
    <w:rsid w:val="005647EA"/>
    <w:rsid w:val="005647F7"/>
    <w:rsid w:val="0056486B"/>
    <w:rsid w:val="005648FB"/>
    <w:rsid w:val="00564916"/>
    <w:rsid w:val="0056492F"/>
    <w:rsid w:val="00564959"/>
    <w:rsid w:val="0056496B"/>
    <w:rsid w:val="0056498B"/>
    <w:rsid w:val="005649C5"/>
    <w:rsid w:val="00564A46"/>
    <w:rsid w:val="00564A60"/>
    <w:rsid w:val="00564A7A"/>
    <w:rsid w:val="00564A84"/>
    <w:rsid w:val="00564A90"/>
    <w:rsid w:val="00564AA2"/>
    <w:rsid w:val="00564ACE"/>
    <w:rsid w:val="00564ADE"/>
    <w:rsid w:val="00564BC9"/>
    <w:rsid w:val="00564C08"/>
    <w:rsid w:val="00564C16"/>
    <w:rsid w:val="00564C1B"/>
    <w:rsid w:val="00564C80"/>
    <w:rsid w:val="00564D2A"/>
    <w:rsid w:val="00564D65"/>
    <w:rsid w:val="00564D96"/>
    <w:rsid w:val="00564DE4"/>
    <w:rsid w:val="00564E4A"/>
    <w:rsid w:val="00564EF6"/>
    <w:rsid w:val="00564F45"/>
    <w:rsid w:val="00564F85"/>
    <w:rsid w:val="00564FA8"/>
    <w:rsid w:val="00564FFC"/>
    <w:rsid w:val="00565077"/>
    <w:rsid w:val="0056507C"/>
    <w:rsid w:val="005650DC"/>
    <w:rsid w:val="00565130"/>
    <w:rsid w:val="00565139"/>
    <w:rsid w:val="005651A0"/>
    <w:rsid w:val="005651B2"/>
    <w:rsid w:val="005651E4"/>
    <w:rsid w:val="005651F4"/>
    <w:rsid w:val="00565220"/>
    <w:rsid w:val="00565225"/>
    <w:rsid w:val="00565241"/>
    <w:rsid w:val="00565246"/>
    <w:rsid w:val="0056525D"/>
    <w:rsid w:val="00565261"/>
    <w:rsid w:val="0056526A"/>
    <w:rsid w:val="00565279"/>
    <w:rsid w:val="00565281"/>
    <w:rsid w:val="005652A7"/>
    <w:rsid w:val="005652C5"/>
    <w:rsid w:val="005652E2"/>
    <w:rsid w:val="00565307"/>
    <w:rsid w:val="00565355"/>
    <w:rsid w:val="0056537B"/>
    <w:rsid w:val="00565384"/>
    <w:rsid w:val="005653CB"/>
    <w:rsid w:val="005653D9"/>
    <w:rsid w:val="00565403"/>
    <w:rsid w:val="0056540F"/>
    <w:rsid w:val="00565413"/>
    <w:rsid w:val="00565435"/>
    <w:rsid w:val="005654A9"/>
    <w:rsid w:val="005654CE"/>
    <w:rsid w:val="00565541"/>
    <w:rsid w:val="00565583"/>
    <w:rsid w:val="005655DD"/>
    <w:rsid w:val="00565620"/>
    <w:rsid w:val="00565629"/>
    <w:rsid w:val="00565654"/>
    <w:rsid w:val="00565663"/>
    <w:rsid w:val="0056567C"/>
    <w:rsid w:val="0056568A"/>
    <w:rsid w:val="0056569A"/>
    <w:rsid w:val="005656B6"/>
    <w:rsid w:val="005656BA"/>
    <w:rsid w:val="005656DD"/>
    <w:rsid w:val="005656E3"/>
    <w:rsid w:val="005656EB"/>
    <w:rsid w:val="0056570A"/>
    <w:rsid w:val="00565719"/>
    <w:rsid w:val="00565760"/>
    <w:rsid w:val="00565781"/>
    <w:rsid w:val="005657CB"/>
    <w:rsid w:val="005657D7"/>
    <w:rsid w:val="00565804"/>
    <w:rsid w:val="0056583E"/>
    <w:rsid w:val="00565883"/>
    <w:rsid w:val="00565890"/>
    <w:rsid w:val="005658EF"/>
    <w:rsid w:val="00565918"/>
    <w:rsid w:val="00565936"/>
    <w:rsid w:val="00565964"/>
    <w:rsid w:val="005659B3"/>
    <w:rsid w:val="005659DF"/>
    <w:rsid w:val="005659E8"/>
    <w:rsid w:val="005659EA"/>
    <w:rsid w:val="00565A08"/>
    <w:rsid w:val="00565A12"/>
    <w:rsid w:val="00565A86"/>
    <w:rsid w:val="00565A8F"/>
    <w:rsid w:val="00565A9C"/>
    <w:rsid w:val="00565AA7"/>
    <w:rsid w:val="00565ABB"/>
    <w:rsid w:val="00565AC9"/>
    <w:rsid w:val="00565AD3"/>
    <w:rsid w:val="00565AED"/>
    <w:rsid w:val="00565B0F"/>
    <w:rsid w:val="00565B79"/>
    <w:rsid w:val="00565BA9"/>
    <w:rsid w:val="00565BAA"/>
    <w:rsid w:val="00565BEC"/>
    <w:rsid w:val="00565C5C"/>
    <w:rsid w:val="00565C6C"/>
    <w:rsid w:val="00565CEB"/>
    <w:rsid w:val="00565D5A"/>
    <w:rsid w:val="00565D5B"/>
    <w:rsid w:val="00565DA4"/>
    <w:rsid w:val="00565DB3"/>
    <w:rsid w:val="00565E19"/>
    <w:rsid w:val="00565E2C"/>
    <w:rsid w:val="00565E2E"/>
    <w:rsid w:val="00565E36"/>
    <w:rsid w:val="00565E43"/>
    <w:rsid w:val="00565E4B"/>
    <w:rsid w:val="00565E7A"/>
    <w:rsid w:val="00565E7C"/>
    <w:rsid w:val="00565E7D"/>
    <w:rsid w:val="00565EDF"/>
    <w:rsid w:val="00565EF0"/>
    <w:rsid w:val="00565EF8"/>
    <w:rsid w:val="00565F1F"/>
    <w:rsid w:val="00565F84"/>
    <w:rsid w:val="00565FB6"/>
    <w:rsid w:val="00566037"/>
    <w:rsid w:val="00566052"/>
    <w:rsid w:val="0056606C"/>
    <w:rsid w:val="0056607C"/>
    <w:rsid w:val="005660B5"/>
    <w:rsid w:val="005660BD"/>
    <w:rsid w:val="0056611E"/>
    <w:rsid w:val="00566145"/>
    <w:rsid w:val="00566154"/>
    <w:rsid w:val="00566197"/>
    <w:rsid w:val="005661DE"/>
    <w:rsid w:val="005661FF"/>
    <w:rsid w:val="00566209"/>
    <w:rsid w:val="0056621D"/>
    <w:rsid w:val="00566220"/>
    <w:rsid w:val="00566237"/>
    <w:rsid w:val="00566282"/>
    <w:rsid w:val="005662DB"/>
    <w:rsid w:val="0056630D"/>
    <w:rsid w:val="0056636E"/>
    <w:rsid w:val="00566371"/>
    <w:rsid w:val="00566374"/>
    <w:rsid w:val="005663E6"/>
    <w:rsid w:val="0056644C"/>
    <w:rsid w:val="00566464"/>
    <w:rsid w:val="00566476"/>
    <w:rsid w:val="0056647D"/>
    <w:rsid w:val="005664B9"/>
    <w:rsid w:val="005664FF"/>
    <w:rsid w:val="0056650A"/>
    <w:rsid w:val="0056651E"/>
    <w:rsid w:val="0056657E"/>
    <w:rsid w:val="005665AB"/>
    <w:rsid w:val="005665DF"/>
    <w:rsid w:val="00566600"/>
    <w:rsid w:val="0056660A"/>
    <w:rsid w:val="0056660B"/>
    <w:rsid w:val="0056663C"/>
    <w:rsid w:val="005666D1"/>
    <w:rsid w:val="005666D2"/>
    <w:rsid w:val="005666F7"/>
    <w:rsid w:val="0056670A"/>
    <w:rsid w:val="00566739"/>
    <w:rsid w:val="005667AF"/>
    <w:rsid w:val="005667CC"/>
    <w:rsid w:val="005667CF"/>
    <w:rsid w:val="005667E6"/>
    <w:rsid w:val="005667F1"/>
    <w:rsid w:val="0056681C"/>
    <w:rsid w:val="00566832"/>
    <w:rsid w:val="0056684F"/>
    <w:rsid w:val="00566890"/>
    <w:rsid w:val="005668DC"/>
    <w:rsid w:val="005668DF"/>
    <w:rsid w:val="005668E5"/>
    <w:rsid w:val="005668F3"/>
    <w:rsid w:val="005669B0"/>
    <w:rsid w:val="005669D7"/>
    <w:rsid w:val="005669E0"/>
    <w:rsid w:val="005669E4"/>
    <w:rsid w:val="00566A20"/>
    <w:rsid w:val="00566A76"/>
    <w:rsid w:val="00566AFD"/>
    <w:rsid w:val="00566B13"/>
    <w:rsid w:val="00566B16"/>
    <w:rsid w:val="00566B64"/>
    <w:rsid w:val="00566B6C"/>
    <w:rsid w:val="00566B7C"/>
    <w:rsid w:val="00566BBC"/>
    <w:rsid w:val="00566BD6"/>
    <w:rsid w:val="00566CB4"/>
    <w:rsid w:val="00566CEF"/>
    <w:rsid w:val="00566CFF"/>
    <w:rsid w:val="00566D36"/>
    <w:rsid w:val="00566D3C"/>
    <w:rsid w:val="00566D85"/>
    <w:rsid w:val="00566D93"/>
    <w:rsid w:val="00566DAC"/>
    <w:rsid w:val="00566DB1"/>
    <w:rsid w:val="00566DBB"/>
    <w:rsid w:val="00566DBD"/>
    <w:rsid w:val="00566E04"/>
    <w:rsid w:val="00566E05"/>
    <w:rsid w:val="00566E41"/>
    <w:rsid w:val="00566E4F"/>
    <w:rsid w:val="00566E63"/>
    <w:rsid w:val="00566E65"/>
    <w:rsid w:val="00566EB6"/>
    <w:rsid w:val="00566ED5"/>
    <w:rsid w:val="00566EF9"/>
    <w:rsid w:val="00566F03"/>
    <w:rsid w:val="00566F14"/>
    <w:rsid w:val="00566F53"/>
    <w:rsid w:val="00566F63"/>
    <w:rsid w:val="00566FC5"/>
    <w:rsid w:val="00566FC8"/>
    <w:rsid w:val="00566FF2"/>
    <w:rsid w:val="00567010"/>
    <w:rsid w:val="00567019"/>
    <w:rsid w:val="00567028"/>
    <w:rsid w:val="00567048"/>
    <w:rsid w:val="00567069"/>
    <w:rsid w:val="0056706C"/>
    <w:rsid w:val="00567081"/>
    <w:rsid w:val="00567094"/>
    <w:rsid w:val="0056709E"/>
    <w:rsid w:val="005670B6"/>
    <w:rsid w:val="005670D3"/>
    <w:rsid w:val="005670E3"/>
    <w:rsid w:val="005670E4"/>
    <w:rsid w:val="00567122"/>
    <w:rsid w:val="0056718F"/>
    <w:rsid w:val="005671A1"/>
    <w:rsid w:val="005671CC"/>
    <w:rsid w:val="005671DF"/>
    <w:rsid w:val="005671E4"/>
    <w:rsid w:val="00567208"/>
    <w:rsid w:val="00567219"/>
    <w:rsid w:val="0056721F"/>
    <w:rsid w:val="00567221"/>
    <w:rsid w:val="0056727B"/>
    <w:rsid w:val="0056729E"/>
    <w:rsid w:val="005672AA"/>
    <w:rsid w:val="005672B7"/>
    <w:rsid w:val="005672BE"/>
    <w:rsid w:val="005672C2"/>
    <w:rsid w:val="005672EE"/>
    <w:rsid w:val="005672F5"/>
    <w:rsid w:val="00567306"/>
    <w:rsid w:val="00567339"/>
    <w:rsid w:val="0056734B"/>
    <w:rsid w:val="00567386"/>
    <w:rsid w:val="00567390"/>
    <w:rsid w:val="0056740A"/>
    <w:rsid w:val="00567439"/>
    <w:rsid w:val="0056745A"/>
    <w:rsid w:val="00567461"/>
    <w:rsid w:val="0056747F"/>
    <w:rsid w:val="00567480"/>
    <w:rsid w:val="00567481"/>
    <w:rsid w:val="00567515"/>
    <w:rsid w:val="00567516"/>
    <w:rsid w:val="00567522"/>
    <w:rsid w:val="0056752B"/>
    <w:rsid w:val="005675A6"/>
    <w:rsid w:val="005675AA"/>
    <w:rsid w:val="005675D5"/>
    <w:rsid w:val="00567600"/>
    <w:rsid w:val="00567623"/>
    <w:rsid w:val="0056767F"/>
    <w:rsid w:val="005676A0"/>
    <w:rsid w:val="005676BD"/>
    <w:rsid w:val="005676DE"/>
    <w:rsid w:val="005676E5"/>
    <w:rsid w:val="00567712"/>
    <w:rsid w:val="0056772E"/>
    <w:rsid w:val="00567751"/>
    <w:rsid w:val="00567765"/>
    <w:rsid w:val="0056779F"/>
    <w:rsid w:val="005677A7"/>
    <w:rsid w:val="005677BB"/>
    <w:rsid w:val="0056781C"/>
    <w:rsid w:val="00567841"/>
    <w:rsid w:val="0056784A"/>
    <w:rsid w:val="00567850"/>
    <w:rsid w:val="0056788C"/>
    <w:rsid w:val="005678D0"/>
    <w:rsid w:val="005678EE"/>
    <w:rsid w:val="005678F1"/>
    <w:rsid w:val="00567921"/>
    <w:rsid w:val="00567922"/>
    <w:rsid w:val="00567955"/>
    <w:rsid w:val="0056795D"/>
    <w:rsid w:val="00567989"/>
    <w:rsid w:val="00567998"/>
    <w:rsid w:val="005679D5"/>
    <w:rsid w:val="00567A12"/>
    <w:rsid w:val="00567A13"/>
    <w:rsid w:val="00567A57"/>
    <w:rsid w:val="00567A6A"/>
    <w:rsid w:val="00567A72"/>
    <w:rsid w:val="00567B16"/>
    <w:rsid w:val="00567B30"/>
    <w:rsid w:val="00567B3B"/>
    <w:rsid w:val="00567B40"/>
    <w:rsid w:val="00567B55"/>
    <w:rsid w:val="00567B75"/>
    <w:rsid w:val="00567BA6"/>
    <w:rsid w:val="00567BE1"/>
    <w:rsid w:val="00567C1C"/>
    <w:rsid w:val="00567C29"/>
    <w:rsid w:val="00567C6E"/>
    <w:rsid w:val="00567C80"/>
    <w:rsid w:val="00567C88"/>
    <w:rsid w:val="00567C9D"/>
    <w:rsid w:val="00567CB2"/>
    <w:rsid w:val="00567CFC"/>
    <w:rsid w:val="00567D15"/>
    <w:rsid w:val="00567D42"/>
    <w:rsid w:val="00567D6D"/>
    <w:rsid w:val="00567DAE"/>
    <w:rsid w:val="00567DCE"/>
    <w:rsid w:val="00567DEA"/>
    <w:rsid w:val="00567DFE"/>
    <w:rsid w:val="00567E4B"/>
    <w:rsid w:val="00567E5C"/>
    <w:rsid w:val="00567E69"/>
    <w:rsid w:val="00567E7D"/>
    <w:rsid w:val="00567E7F"/>
    <w:rsid w:val="00567E8F"/>
    <w:rsid w:val="00567E94"/>
    <w:rsid w:val="00567EB1"/>
    <w:rsid w:val="00567EC9"/>
    <w:rsid w:val="00567EEE"/>
    <w:rsid w:val="00567EF2"/>
    <w:rsid w:val="00567F2C"/>
    <w:rsid w:val="00567F3E"/>
    <w:rsid w:val="00567F60"/>
    <w:rsid w:val="00567FC1"/>
    <w:rsid w:val="00567FD6"/>
    <w:rsid w:val="0056B38C"/>
    <w:rsid w:val="00570020"/>
    <w:rsid w:val="00570031"/>
    <w:rsid w:val="0057006C"/>
    <w:rsid w:val="00570091"/>
    <w:rsid w:val="00570097"/>
    <w:rsid w:val="005700A4"/>
    <w:rsid w:val="005700A7"/>
    <w:rsid w:val="00570100"/>
    <w:rsid w:val="00570115"/>
    <w:rsid w:val="0057012D"/>
    <w:rsid w:val="005701E0"/>
    <w:rsid w:val="005701E2"/>
    <w:rsid w:val="005701E3"/>
    <w:rsid w:val="005701F4"/>
    <w:rsid w:val="0057020D"/>
    <w:rsid w:val="00570226"/>
    <w:rsid w:val="00570244"/>
    <w:rsid w:val="005702A7"/>
    <w:rsid w:val="005702AB"/>
    <w:rsid w:val="005702D9"/>
    <w:rsid w:val="005702E6"/>
    <w:rsid w:val="0057030C"/>
    <w:rsid w:val="00570310"/>
    <w:rsid w:val="00570311"/>
    <w:rsid w:val="0057031E"/>
    <w:rsid w:val="005703A5"/>
    <w:rsid w:val="005703AF"/>
    <w:rsid w:val="00570460"/>
    <w:rsid w:val="0057046E"/>
    <w:rsid w:val="005704AD"/>
    <w:rsid w:val="005704BC"/>
    <w:rsid w:val="005704E5"/>
    <w:rsid w:val="005704F7"/>
    <w:rsid w:val="00570500"/>
    <w:rsid w:val="00570524"/>
    <w:rsid w:val="0057055A"/>
    <w:rsid w:val="00570564"/>
    <w:rsid w:val="00570598"/>
    <w:rsid w:val="005705D7"/>
    <w:rsid w:val="005705DC"/>
    <w:rsid w:val="005705FE"/>
    <w:rsid w:val="0057064A"/>
    <w:rsid w:val="0057068B"/>
    <w:rsid w:val="005706BC"/>
    <w:rsid w:val="00570702"/>
    <w:rsid w:val="00570735"/>
    <w:rsid w:val="00570749"/>
    <w:rsid w:val="0057075C"/>
    <w:rsid w:val="00570779"/>
    <w:rsid w:val="005707B2"/>
    <w:rsid w:val="00570804"/>
    <w:rsid w:val="0057081A"/>
    <w:rsid w:val="00570825"/>
    <w:rsid w:val="00570852"/>
    <w:rsid w:val="005708A1"/>
    <w:rsid w:val="005708BF"/>
    <w:rsid w:val="005709A7"/>
    <w:rsid w:val="005709C8"/>
    <w:rsid w:val="005709D4"/>
    <w:rsid w:val="005709D7"/>
    <w:rsid w:val="005709E6"/>
    <w:rsid w:val="00570A42"/>
    <w:rsid w:val="00570A49"/>
    <w:rsid w:val="00570A77"/>
    <w:rsid w:val="00570A85"/>
    <w:rsid w:val="00570A8B"/>
    <w:rsid w:val="00570A97"/>
    <w:rsid w:val="00570A9D"/>
    <w:rsid w:val="00570AA6"/>
    <w:rsid w:val="00570AE4"/>
    <w:rsid w:val="00570AE5"/>
    <w:rsid w:val="00570AFC"/>
    <w:rsid w:val="00570B6E"/>
    <w:rsid w:val="00570BB7"/>
    <w:rsid w:val="00570BDB"/>
    <w:rsid w:val="00570C45"/>
    <w:rsid w:val="00570C8D"/>
    <w:rsid w:val="00570C94"/>
    <w:rsid w:val="00570CAE"/>
    <w:rsid w:val="00570CF6"/>
    <w:rsid w:val="00570D00"/>
    <w:rsid w:val="00570D2E"/>
    <w:rsid w:val="00570D7F"/>
    <w:rsid w:val="00570DBF"/>
    <w:rsid w:val="00570E1D"/>
    <w:rsid w:val="00570E22"/>
    <w:rsid w:val="00570EDF"/>
    <w:rsid w:val="00570EF5"/>
    <w:rsid w:val="00570F42"/>
    <w:rsid w:val="00570F55"/>
    <w:rsid w:val="00570FDA"/>
    <w:rsid w:val="00570FE9"/>
    <w:rsid w:val="00571004"/>
    <w:rsid w:val="00571016"/>
    <w:rsid w:val="00571033"/>
    <w:rsid w:val="0057103A"/>
    <w:rsid w:val="00571085"/>
    <w:rsid w:val="005710D8"/>
    <w:rsid w:val="00571127"/>
    <w:rsid w:val="00571175"/>
    <w:rsid w:val="005711A7"/>
    <w:rsid w:val="005711BC"/>
    <w:rsid w:val="005711E3"/>
    <w:rsid w:val="005711EF"/>
    <w:rsid w:val="00571200"/>
    <w:rsid w:val="0057120C"/>
    <w:rsid w:val="00571211"/>
    <w:rsid w:val="00571231"/>
    <w:rsid w:val="0057123A"/>
    <w:rsid w:val="00571248"/>
    <w:rsid w:val="0057124A"/>
    <w:rsid w:val="00571255"/>
    <w:rsid w:val="00571265"/>
    <w:rsid w:val="0057128C"/>
    <w:rsid w:val="005712A0"/>
    <w:rsid w:val="005712EA"/>
    <w:rsid w:val="00571301"/>
    <w:rsid w:val="00571317"/>
    <w:rsid w:val="00571336"/>
    <w:rsid w:val="0057133F"/>
    <w:rsid w:val="0057138B"/>
    <w:rsid w:val="00571398"/>
    <w:rsid w:val="005713B3"/>
    <w:rsid w:val="005713B6"/>
    <w:rsid w:val="005713CB"/>
    <w:rsid w:val="005713FC"/>
    <w:rsid w:val="005713FF"/>
    <w:rsid w:val="00571413"/>
    <w:rsid w:val="005714C5"/>
    <w:rsid w:val="005714DA"/>
    <w:rsid w:val="005714F6"/>
    <w:rsid w:val="0057150A"/>
    <w:rsid w:val="00571526"/>
    <w:rsid w:val="00571541"/>
    <w:rsid w:val="0057154F"/>
    <w:rsid w:val="0057158B"/>
    <w:rsid w:val="005715C0"/>
    <w:rsid w:val="005715DF"/>
    <w:rsid w:val="005715E9"/>
    <w:rsid w:val="0057165E"/>
    <w:rsid w:val="005716A8"/>
    <w:rsid w:val="005716B0"/>
    <w:rsid w:val="00571704"/>
    <w:rsid w:val="00571730"/>
    <w:rsid w:val="00571757"/>
    <w:rsid w:val="00571761"/>
    <w:rsid w:val="00571762"/>
    <w:rsid w:val="00571795"/>
    <w:rsid w:val="0057179E"/>
    <w:rsid w:val="005717E0"/>
    <w:rsid w:val="005717E8"/>
    <w:rsid w:val="005717F5"/>
    <w:rsid w:val="0057182F"/>
    <w:rsid w:val="00571877"/>
    <w:rsid w:val="00571878"/>
    <w:rsid w:val="00571881"/>
    <w:rsid w:val="005718E6"/>
    <w:rsid w:val="00571940"/>
    <w:rsid w:val="00571990"/>
    <w:rsid w:val="005719FB"/>
    <w:rsid w:val="005719FF"/>
    <w:rsid w:val="00571A3A"/>
    <w:rsid w:val="00571A43"/>
    <w:rsid w:val="00571B34"/>
    <w:rsid w:val="00571B41"/>
    <w:rsid w:val="00571B6E"/>
    <w:rsid w:val="00571B83"/>
    <w:rsid w:val="00571B9C"/>
    <w:rsid w:val="00571BAA"/>
    <w:rsid w:val="00571C60"/>
    <w:rsid w:val="00571C91"/>
    <w:rsid w:val="00571C9A"/>
    <w:rsid w:val="00571CA7"/>
    <w:rsid w:val="00571CBA"/>
    <w:rsid w:val="00571CC2"/>
    <w:rsid w:val="00571CDC"/>
    <w:rsid w:val="00571D0C"/>
    <w:rsid w:val="00571D5C"/>
    <w:rsid w:val="00571D70"/>
    <w:rsid w:val="00571D7B"/>
    <w:rsid w:val="00571D8F"/>
    <w:rsid w:val="00571D9A"/>
    <w:rsid w:val="00571DEB"/>
    <w:rsid w:val="00571E12"/>
    <w:rsid w:val="00571E33"/>
    <w:rsid w:val="00571EA0"/>
    <w:rsid w:val="00571EA4"/>
    <w:rsid w:val="00571EC3"/>
    <w:rsid w:val="00571ED6"/>
    <w:rsid w:val="00571EE4"/>
    <w:rsid w:val="00571F28"/>
    <w:rsid w:val="00571F3A"/>
    <w:rsid w:val="00571F91"/>
    <w:rsid w:val="00571F9B"/>
    <w:rsid w:val="00571FC7"/>
    <w:rsid w:val="00571FCA"/>
    <w:rsid w:val="00571FD6"/>
    <w:rsid w:val="00571FEB"/>
    <w:rsid w:val="0057202F"/>
    <w:rsid w:val="00572036"/>
    <w:rsid w:val="00572053"/>
    <w:rsid w:val="00572058"/>
    <w:rsid w:val="00572074"/>
    <w:rsid w:val="00572082"/>
    <w:rsid w:val="00572087"/>
    <w:rsid w:val="0057209D"/>
    <w:rsid w:val="005720D3"/>
    <w:rsid w:val="005720E1"/>
    <w:rsid w:val="00572133"/>
    <w:rsid w:val="00572151"/>
    <w:rsid w:val="0057216C"/>
    <w:rsid w:val="005721C3"/>
    <w:rsid w:val="00572206"/>
    <w:rsid w:val="0057224B"/>
    <w:rsid w:val="0057224C"/>
    <w:rsid w:val="00572251"/>
    <w:rsid w:val="00572256"/>
    <w:rsid w:val="00572291"/>
    <w:rsid w:val="005722B5"/>
    <w:rsid w:val="005722D9"/>
    <w:rsid w:val="005722E7"/>
    <w:rsid w:val="005722E8"/>
    <w:rsid w:val="005722EF"/>
    <w:rsid w:val="0057231C"/>
    <w:rsid w:val="005723A9"/>
    <w:rsid w:val="00572438"/>
    <w:rsid w:val="00572484"/>
    <w:rsid w:val="00572499"/>
    <w:rsid w:val="005724A8"/>
    <w:rsid w:val="005724E5"/>
    <w:rsid w:val="005724EA"/>
    <w:rsid w:val="005724FA"/>
    <w:rsid w:val="00572531"/>
    <w:rsid w:val="005725B5"/>
    <w:rsid w:val="005725E2"/>
    <w:rsid w:val="005725FC"/>
    <w:rsid w:val="0057262A"/>
    <w:rsid w:val="0057262C"/>
    <w:rsid w:val="00572658"/>
    <w:rsid w:val="0057265F"/>
    <w:rsid w:val="0057266F"/>
    <w:rsid w:val="005726A2"/>
    <w:rsid w:val="00572733"/>
    <w:rsid w:val="00572750"/>
    <w:rsid w:val="00572789"/>
    <w:rsid w:val="005727BF"/>
    <w:rsid w:val="005727C6"/>
    <w:rsid w:val="005727E6"/>
    <w:rsid w:val="00572805"/>
    <w:rsid w:val="00572868"/>
    <w:rsid w:val="0057286C"/>
    <w:rsid w:val="00572892"/>
    <w:rsid w:val="00572897"/>
    <w:rsid w:val="005728BC"/>
    <w:rsid w:val="005728D6"/>
    <w:rsid w:val="00572918"/>
    <w:rsid w:val="0057293A"/>
    <w:rsid w:val="0057295D"/>
    <w:rsid w:val="005729BB"/>
    <w:rsid w:val="005729C7"/>
    <w:rsid w:val="005729CF"/>
    <w:rsid w:val="005729D9"/>
    <w:rsid w:val="005729FF"/>
    <w:rsid w:val="00572A00"/>
    <w:rsid w:val="00572A23"/>
    <w:rsid w:val="00572A2F"/>
    <w:rsid w:val="00572A84"/>
    <w:rsid w:val="00572A91"/>
    <w:rsid w:val="00572ABA"/>
    <w:rsid w:val="00572AD0"/>
    <w:rsid w:val="00572B04"/>
    <w:rsid w:val="00572B0A"/>
    <w:rsid w:val="00572B0F"/>
    <w:rsid w:val="00572BCB"/>
    <w:rsid w:val="00572BDE"/>
    <w:rsid w:val="00572C1B"/>
    <w:rsid w:val="00572C30"/>
    <w:rsid w:val="00572C58"/>
    <w:rsid w:val="00572CE5"/>
    <w:rsid w:val="00572CEF"/>
    <w:rsid w:val="00572D0F"/>
    <w:rsid w:val="00572E0B"/>
    <w:rsid w:val="00572E31"/>
    <w:rsid w:val="00572E57"/>
    <w:rsid w:val="00572E59"/>
    <w:rsid w:val="00572E8E"/>
    <w:rsid w:val="00572E9B"/>
    <w:rsid w:val="00572E9F"/>
    <w:rsid w:val="00572EF8"/>
    <w:rsid w:val="00572F2B"/>
    <w:rsid w:val="00572F7A"/>
    <w:rsid w:val="00572FA6"/>
    <w:rsid w:val="00572FAD"/>
    <w:rsid w:val="00572FE2"/>
    <w:rsid w:val="0057302E"/>
    <w:rsid w:val="00573044"/>
    <w:rsid w:val="00573049"/>
    <w:rsid w:val="00573059"/>
    <w:rsid w:val="0057305B"/>
    <w:rsid w:val="00573084"/>
    <w:rsid w:val="005730A2"/>
    <w:rsid w:val="005730C9"/>
    <w:rsid w:val="005730E6"/>
    <w:rsid w:val="005730F8"/>
    <w:rsid w:val="0057313E"/>
    <w:rsid w:val="005731B4"/>
    <w:rsid w:val="005731F3"/>
    <w:rsid w:val="005731F6"/>
    <w:rsid w:val="0057321B"/>
    <w:rsid w:val="00573249"/>
    <w:rsid w:val="00573256"/>
    <w:rsid w:val="0057326B"/>
    <w:rsid w:val="0057329D"/>
    <w:rsid w:val="005732B1"/>
    <w:rsid w:val="005732B3"/>
    <w:rsid w:val="0057330A"/>
    <w:rsid w:val="00573342"/>
    <w:rsid w:val="00573347"/>
    <w:rsid w:val="00573350"/>
    <w:rsid w:val="0057338E"/>
    <w:rsid w:val="005733AC"/>
    <w:rsid w:val="005733D5"/>
    <w:rsid w:val="00573402"/>
    <w:rsid w:val="00573445"/>
    <w:rsid w:val="00573474"/>
    <w:rsid w:val="0057348F"/>
    <w:rsid w:val="00573494"/>
    <w:rsid w:val="005734B1"/>
    <w:rsid w:val="005734CA"/>
    <w:rsid w:val="00573552"/>
    <w:rsid w:val="0057359B"/>
    <w:rsid w:val="005735DA"/>
    <w:rsid w:val="0057363C"/>
    <w:rsid w:val="0057367C"/>
    <w:rsid w:val="0057369F"/>
    <w:rsid w:val="005736C5"/>
    <w:rsid w:val="005736CE"/>
    <w:rsid w:val="0057375A"/>
    <w:rsid w:val="00573763"/>
    <w:rsid w:val="005737C9"/>
    <w:rsid w:val="005737D3"/>
    <w:rsid w:val="005737D9"/>
    <w:rsid w:val="00573839"/>
    <w:rsid w:val="0057383B"/>
    <w:rsid w:val="00573847"/>
    <w:rsid w:val="005738C7"/>
    <w:rsid w:val="005738DD"/>
    <w:rsid w:val="005738E1"/>
    <w:rsid w:val="005738EB"/>
    <w:rsid w:val="00573914"/>
    <w:rsid w:val="00573958"/>
    <w:rsid w:val="00573972"/>
    <w:rsid w:val="00573983"/>
    <w:rsid w:val="005739A9"/>
    <w:rsid w:val="005739D4"/>
    <w:rsid w:val="00573A03"/>
    <w:rsid w:val="00573A15"/>
    <w:rsid w:val="00573A34"/>
    <w:rsid w:val="00573A47"/>
    <w:rsid w:val="00573A67"/>
    <w:rsid w:val="00573A68"/>
    <w:rsid w:val="00573A81"/>
    <w:rsid w:val="00573AA5"/>
    <w:rsid w:val="00573ABB"/>
    <w:rsid w:val="00573ABF"/>
    <w:rsid w:val="00573AC4"/>
    <w:rsid w:val="00573AE0"/>
    <w:rsid w:val="00573AF7"/>
    <w:rsid w:val="00573B42"/>
    <w:rsid w:val="00573B44"/>
    <w:rsid w:val="00573B69"/>
    <w:rsid w:val="00573B7E"/>
    <w:rsid w:val="00573B8B"/>
    <w:rsid w:val="00573BB5"/>
    <w:rsid w:val="00573BCA"/>
    <w:rsid w:val="00573BF3"/>
    <w:rsid w:val="00573BF8"/>
    <w:rsid w:val="00573C7D"/>
    <w:rsid w:val="00573D1C"/>
    <w:rsid w:val="00573D5C"/>
    <w:rsid w:val="00573DBD"/>
    <w:rsid w:val="00573DCD"/>
    <w:rsid w:val="00573E1E"/>
    <w:rsid w:val="00573E3B"/>
    <w:rsid w:val="00573E43"/>
    <w:rsid w:val="00573E76"/>
    <w:rsid w:val="00573EB2"/>
    <w:rsid w:val="00573EB9"/>
    <w:rsid w:val="00573EFD"/>
    <w:rsid w:val="00573F0E"/>
    <w:rsid w:val="00573F36"/>
    <w:rsid w:val="00573F80"/>
    <w:rsid w:val="00573FB7"/>
    <w:rsid w:val="00573FF6"/>
    <w:rsid w:val="00573FFF"/>
    <w:rsid w:val="0057401F"/>
    <w:rsid w:val="0057404C"/>
    <w:rsid w:val="0057406E"/>
    <w:rsid w:val="005740CF"/>
    <w:rsid w:val="00574117"/>
    <w:rsid w:val="00574119"/>
    <w:rsid w:val="0057411B"/>
    <w:rsid w:val="0057411F"/>
    <w:rsid w:val="0057413B"/>
    <w:rsid w:val="00574141"/>
    <w:rsid w:val="00574143"/>
    <w:rsid w:val="005741BF"/>
    <w:rsid w:val="005741E6"/>
    <w:rsid w:val="00574207"/>
    <w:rsid w:val="00574253"/>
    <w:rsid w:val="00574265"/>
    <w:rsid w:val="005742C4"/>
    <w:rsid w:val="005742D2"/>
    <w:rsid w:val="00574358"/>
    <w:rsid w:val="0057436B"/>
    <w:rsid w:val="0057436F"/>
    <w:rsid w:val="00574396"/>
    <w:rsid w:val="005743AB"/>
    <w:rsid w:val="005743B0"/>
    <w:rsid w:val="005743CB"/>
    <w:rsid w:val="005743E5"/>
    <w:rsid w:val="00574436"/>
    <w:rsid w:val="005744CD"/>
    <w:rsid w:val="005744DD"/>
    <w:rsid w:val="005744EE"/>
    <w:rsid w:val="005744F2"/>
    <w:rsid w:val="0057456A"/>
    <w:rsid w:val="00574570"/>
    <w:rsid w:val="00574595"/>
    <w:rsid w:val="005745A2"/>
    <w:rsid w:val="005745A4"/>
    <w:rsid w:val="005745EA"/>
    <w:rsid w:val="005745FC"/>
    <w:rsid w:val="00574624"/>
    <w:rsid w:val="0057465B"/>
    <w:rsid w:val="0057468E"/>
    <w:rsid w:val="005746A6"/>
    <w:rsid w:val="0057473B"/>
    <w:rsid w:val="0057475E"/>
    <w:rsid w:val="00574762"/>
    <w:rsid w:val="0057478C"/>
    <w:rsid w:val="005747A0"/>
    <w:rsid w:val="005747DB"/>
    <w:rsid w:val="005747E5"/>
    <w:rsid w:val="0057481D"/>
    <w:rsid w:val="00574867"/>
    <w:rsid w:val="0057489D"/>
    <w:rsid w:val="0057489F"/>
    <w:rsid w:val="00574934"/>
    <w:rsid w:val="00574972"/>
    <w:rsid w:val="005749D4"/>
    <w:rsid w:val="005749D6"/>
    <w:rsid w:val="005749F1"/>
    <w:rsid w:val="00574A08"/>
    <w:rsid w:val="00574A50"/>
    <w:rsid w:val="00574A93"/>
    <w:rsid w:val="00574AB3"/>
    <w:rsid w:val="00574ACB"/>
    <w:rsid w:val="00574B69"/>
    <w:rsid w:val="00574BAC"/>
    <w:rsid w:val="00574BC1"/>
    <w:rsid w:val="00574BD9"/>
    <w:rsid w:val="00574BE1"/>
    <w:rsid w:val="00574BFD"/>
    <w:rsid w:val="00574CAC"/>
    <w:rsid w:val="00574CDB"/>
    <w:rsid w:val="00574CE1"/>
    <w:rsid w:val="00574CF0"/>
    <w:rsid w:val="00574CF6"/>
    <w:rsid w:val="00574CF9"/>
    <w:rsid w:val="00574D19"/>
    <w:rsid w:val="00574D5A"/>
    <w:rsid w:val="00574DC0"/>
    <w:rsid w:val="00574DD9"/>
    <w:rsid w:val="00574ED5"/>
    <w:rsid w:val="00574EE9"/>
    <w:rsid w:val="00574EF5"/>
    <w:rsid w:val="00574F27"/>
    <w:rsid w:val="00574F40"/>
    <w:rsid w:val="00574F4B"/>
    <w:rsid w:val="00574F94"/>
    <w:rsid w:val="00574F96"/>
    <w:rsid w:val="00574FBB"/>
    <w:rsid w:val="00574FCD"/>
    <w:rsid w:val="0057501C"/>
    <w:rsid w:val="005750BF"/>
    <w:rsid w:val="005750D5"/>
    <w:rsid w:val="005750EB"/>
    <w:rsid w:val="00575123"/>
    <w:rsid w:val="005751B8"/>
    <w:rsid w:val="005751D5"/>
    <w:rsid w:val="005751DA"/>
    <w:rsid w:val="00575217"/>
    <w:rsid w:val="00575245"/>
    <w:rsid w:val="0057526B"/>
    <w:rsid w:val="00575279"/>
    <w:rsid w:val="0057529C"/>
    <w:rsid w:val="0057529E"/>
    <w:rsid w:val="00575301"/>
    <w:rsid w:val="00575314"/>
    <w:rsid w:val="0057537D"/>
    <w:rsid w:val="005753BB"/>
    <w:rsid w:val="00575439"/>
    <w:rsid w:val="00575440"/>
    <w:rsid w:val="00575482"/>
    <w:rsid w:val="005754BA"/>
    <w:rsid w:val="005754D1"/>
    <w:rsid w:val="005754D3"/>
    <w:rsid w:val="005754E0"/>
    <w:rsid w:val="0057557B"/>
    <w:rsid w:val="0057558B"/>
    <w:rsid w:val="005755B8"/>
    <w:rsid w:val="005755BF"/>
    <w:rsid w:val="005755DB"/>
    <w:rsid w:val="005755E8"/>
    <w:rsid w:val="005755F5"/>
    <w:rsid w:val="0057569F"/>
    <w:rsid w:val="005756A8"/>
    <w:rsid w:val="005756B9"/>
    <w:rsid w:val="005756CE"/>
    <w:rsid w:val="005756DD"/>
    <w:rsid w:val="00575711"/>
    <w:rsid w:val="00575731"/>
    <w:rsid w:val="0057574A"/>
    <w:rsid w:val="00575776"/>
    <w:rsid w:val="005757B3"/>
    <w:rsid w:val="005757F3"/>
    <w:rsid w:val="0057580D"/>
    <w:rsid w:val="0057581C"/>
    <w:rsid w:val="0057581E"/>
    <w:rsid w:val="00575872"/>
    <w:rsid w:val="005758A2"/>
    <w:rsid w:val="005758A8"/>
    <w:rsid w:val="005758C1"/>
    <w:rsid w:val="005758E7"/>
    <w:rsid w:val="005758FC"/>
    <w:rsid w:val="0057591E"/>
    <w:rsid w:val="0057593E"/>
    <w:rsid w:val="0057596B"/>
    <w:rsid w:val="005759DF"/>
    <w:rsid w:val="005759F6"/>
    <w:rsid w:val="00575A3C"/>
    <w:rsid w:val="00575A5C"/>
    <w:rsid w:val="00575A68"/>
    <w:rsid w:val="00575A6A"/>
    <w:rsid w:val="00575A7D"/>
    <w:rsid w:val="00575A89"/>
    <w:rsid w:val="00575A8F"/>
    <w:rsid w:val="00575A9C"/>
    <w:rsid w:val="00575AD6"/>
    <w:rsid w:val="00575AEA"/>
    <w:rsid w:val="00575B53"/>
    <w:rsid w:val="00575B6B"/>
    <w:rsid w:val="00575BB5"/>
    <w:rsid w:val="00575BD2"/>
    <w:rsid w:val="00575C21"/>
    <w:rsid w:val="00575C4B"/>
    <w:rsid w:val="00575C54"/>
    <w:rsid w:val="00575C8A"/>
    <w:rsid w:val="00575CB6"/>
    <w:rsid w:val="00575CE7"/>
    <w:rsid w:val="00575CF5"/>
    <w:rsid w:val="00575D97"/>
    <w:rsid w:val="00575DC4"/>
    <w:rsid w:val="00575E00"/>
    <w:rsid w:val="00575E01"/>
    <w:rsid w:val="00575E12"/>
    <w:rsid w:val="00575E29"/>
    <w:rsid w:val="00575E3F"/>
    <w:rsid w:val="00575E55"/>
    <w:rsid w:val="00575E5C"/>
    <w:rsid w:val="00575E73"/>
    <w:rsid w:val="00575E94"/>
    <w:rsid w:val="00575EAD"/>
    <w:rsid w:val="00575ED7"/>
    <w:rsid w:val="00575F14"/>
    <w:rsid w:val="00575F29"/>
    <w:rsid w:val="00575FA1"/>
    <w:rsid w:val="00575FB0"/>
    <w:rsid w:val="00576020"/>
    <w:rsid w:val="00576027"/>
    <w:rsid w:val="00576037"/>
    <w:rsid w:val="00576084"/>
    <w:rsid w:val="005760C4"/>
    <w:rsid w:val="005760E2"/>
    <w:rsid w:val="00576107"/>
    <w:rsid w:val="00576188"/>
    <w:rsid w:val="0057618B"/>
    <w:rsid w:val="0057619C"/>
    <w:rsid w:val="005761AB"/>
    <w:rsid w:val="005761CA"/>
    <w:rsid w:val="005761FC"/>
    <w:rsid w:val="0057621B"/>
    <w:rsid w:val="00576221"/>
    <w:rsid w:val="0057624E"/>
    <w:rsid w:val="0057627B"/>
    <w:rsid w:val="0057628B"/>
    <w:rsid w:val="005762BA"/>
    <w:rsid w:val="005762BE"/>
    <w:rsid w:val="00576383"/>
    <w:rsid w:val="005763AC"/>
    <w:rsid w:val="005763C0"/>
    <w:rsid w:val="005763DB"/>
    <w:rsid w:val="005763EF"/>
    <w:rsid w:val="005764AD"/>
    <w:rsid w:val="005764B0"/>
    <w:rsid w:val="005764C5"/>
    <w:rsid w:val="0057655C"/>
    <w:rsid w:val="0057658B"/>
    <w:rsid w:val="005765BA"/>
    <w:rsid w:val="005765D3"/>
    <w:rsid w:val="005765EB"/>
    <w:rsid w:val="005765EF"/>
    <w:rsid w:val="005765FF"/>
    <w:rsid w:val="00576608"/>
    <w:rsid w:val="0057660B"/>
    <w:rsid w:val="00576655"/>
    <w:rsid w:val="0057665A"/>
    <w:rsid w:val="0057666C"/>
    <w:rsid w:val="0057669C"/>
    <w:rsid w:val="005766B0"/>
    <w:rsid w:val="005766B4"/>
    <w:rsid w:val="005766BC"/>
    <w:rsid w:val="005766E6"/>
    <w:rsid w:val="005766ED"/>
    <w:rsid w:val="0057670C"/>
    <w:rsid w:val="0057678F"/>
    <w:rsid w:val="005767A0"/>
    <w:rsid w:val="005767A2"/>
    <w:rsid w:val="005767C3"/>
    <w:rsid w:val="005767E9"/>
    <w:rsid w:val="005768CC"/>
    <w:rsid w:val="005768DA"/>
    <w:rsid w:val="00576917"/>
    <w:rsid w:val="00576948"/>
    <w:rsid w:val="00576984"/>
    <w:rsid w:val="00576991"/>
    <w:rsid w:val="005769BB"/>
    <w:rsid w:val="00576A09"/>
    <w:rsid w:val="00576A77"/>
    <w:rsid w:val="00576ABF"/>
    <w:rsid w:val="00576AC5"/>
    <w:rsid w:val="00576B08"/>
    <w:rsid w:val="00576B0C"/>
    <w:rsid w:val="00576B25"/>
    <w:rsid w:val="00576B4F"/>
    <w:rsid w:val="00576B50"/>
    <w:rsid w:val="00576B6C"/>
    <w:rsid w:val="00576B78"/>
    <w:rsid w:val="00576B7E"/>
    <w:rsid w:val="00576B99"/>
    <w:rsid w:val="00576B9F"/>
    <w:rsid w:val="00576BA7"/>
    <w:rsid w:val="00576C3B"/>
    <w:rsid w:val="00576CB1"/>
    <w:rsid w:val="00576CB6"/>
    <w:rsid w:val="00576CC1"/>
    <w:rsid w:val="00576CD2"/>
    <w:rsid w:val="00576CD6"/>
    <w:rsid w:val="00576CDE"/>
    <w:rsid w:val="00576D0E"/>
    <w:rsid w:val="00576D1C"/>
    <w:rsid w:val="00576D62"/>
    <w:rsid w:val="00576DAB"/>
    <w:rsid w:val="00576DB4"/>
    <w:rsid w:val="00576E14"/>
    <w:rsid w:val="00576E1B"/>
    <w:rsid w:val="00576E44"/>
    <w:rsid w:val="00576E70"/>
    <w:rsid w:val="00576F41"/>
    <w:rsid w:val="00576F45"/>
    <w:rsid w:val="00576F46"/>
    <w:rsid w:val="00576F83"/>
    <w:rsid w:val="00576F9A"/>
    <w:rsid w:val="00576FA8"/>
    <w:rsid w:val="00576FA9"/>
    <w:rsid w:val="00576FDB"/>
    <w:rsid w:val="00576FDE"/>
    <w:rsid w:val="00576FF9"/>
    <w:rsid w:val="0057701A"/>
    <w:rsid w:val="005770A1"/>
    <w:rsid w:val="005770C6"/>
    <w:rsid w:val="005770FA"/>
    <w:rsid w:val="005770FE"/>
    <w:rsid w:val="0057710F"/>
    <w:rsid w:val="0057713E"/>
    <w:rsid w:val="0057716F"/>
    <w:rsid w:val="00577188"/>
    <w:rsid w:val="00577194"/>
    <w:rsid w:val="005771B7"/>
    <w:rsid w:val="005771B9"/>
    <w:rsid w:val="005771C9"/>
    <w:rsid w:val="005771CB"/>
    <w:rsid w:val="005771D6"/>
    <w:rsid w:val="00577231"/>
    <w:rsid w:val="00577246"/>
    <w:rsid w:val="00577270"/>
    <w:rsid w:val="005772CE"/>
    <w:rsid w:val="005772E1"/>
    <w:rsid w:val="005772FB"/>
    <w:rsid w:val="0057733B"/>
    <w:rsid w:val="00577346"/>
    <w:rsid w:val="0057737E"/>
    <w:rsid w:val="0057738E"/>
    <w:rsid w:val="005773A3"/>
    <w:rsid w:val="005773BD"/>
    <w:rsid w:val="005773CA"/>
    <w:rsid w:val="005773EC"/>
    <w:rsid w:val="0057746A"/>
    <w:rsid w:val="0057746C"/>
    <w:rsid w:val="00577488"/>
    <w:rsid w:val="00577499"/>
    <w:rsid w:val="005774C1"/>
    <w:rsid w:val="005774EF"/>
    <w:rsid w:val="00577525"/>
    <w:rsid w:val="0057754E"/>
    <w:rsid w:val="00577552"/>
    <w:rsid w:val="00577558"/>
    <w:rsid w:val="0057755B"/>
    <w:rsid w:val="005775A5"/>
    <w:rsid w:val="005775C1"/>
    <w:rsid w:val="005775C5"/>
    <w:rsid w:val="00577638"/>
    <w:rsid w:val="00577681"/>
    <w:rsid w:val="00577691"/>
    <w:rsid w:val="005776A4"/>
    <w:rsid w:val="005776AE"/>
    <w:rsid w:val="005776D6"/>
    <w:rsid w:val="005776DE"/>
    <w:rsid w:val="00577726"/>
    <w:rsid w:val="0057776B"/>
    <w:rsid w:val="0057779B"/>
    <w:rsid w:val="005777A7"/>
    <w:rsid w:val="005777B1"/>
    <w:rsid w:val="005777C4"/>
    <w:rsid w:val="00577807"/>
    <w:rsid w:val="0057783E"/>
    <w:rsid w:val="00577856"/>
    <w:rsid w:val="005778C0"/>
    <w:rsid w:val="005778D2"/>
    <w:rsid w:val="005778F8"/>
    <w:rsid w:val="00577951"/>
    <w:rsid w:val="0057798B"/>
    <w:rsid w:val="005779F2"/>
    <w:rsid w:val="00577A05"/>
    <w:rsid w:val="00577A26"/>
    <w:rsid w:val="00577A5C"/>
    <w:rsid w:val="00577A69"/>
    <w:rsid w:val="00577A6D"/>
    <w:rsid w:val="00577AA7"/>
    <w:rsid w:val="00577ABD"/>
    <w:rsid w:val="00577ADE"/>
    <w:rsid w:val="00577B2D"/>
    <w:rsid w:val="00577B80"/>
    <w:rsid w:val="00577B83"/>
    <w:rsid w:val="00577B85"/>
    <w:rsid w:val="00577B88"/>
    <w:rsid w:val="00577BBC"/>
    <w:rsid w:val="00577C5B"/>
    <w:rsid w:val="00577CB8"/>
    <w:rsid w:val="00577CCD"/>
    <w:rsid w:val="00577CE5"/>
    <w:rsid w:val="00577D05"/>
    <w:rsid w:val="00577D10"/>
    <w:rsid w:val="00577D14"/>
    <w:rsid w:val="00577D34"/>
    <w:rsid w:val="00577DBF"/>
    <w:rsid w:val="00577DEC"/>
    <w:rsid w:val="00577E18"/>
    <w:rsid w:val="00577E57"/>
    <w:rsid w:val="00577E85"/>
    <w:rsid w:val="00577EE6"/>
    <w:rsid w:val="00577F21"/>
    <w:rsid w:val="00577F34"/>
    <w:rsid w:val="00577F65"/>
    <w:rsid w:val="00577F66"/>
    <w:rsid w:val="00577F97"/>
    <w:rsid w:val="00577FB2"/>
    <w:rsid w:val="00577FE0"/>
    <w:rsid w:val="00577FE7"/>
    <w:rsid w:val="00577FFC"/>
    <w:rsid w:val="00578793"/>
    <w:rsid w:val="0058002D"/>
    <w:rsid w:val="0058004C"/>
    <w:rsid w:val="00580064"/>
    <w:rsid w:val="0058006C"/>
    <w:rsid w:val="0058008D"/>
    <w:rsid w:val="00580096"/>
    <w:rsid w:val="005800A6"/>
    <w:rsid w:val="005800E4"/>
    <w:rsid w:val="0058010D"/>
    <w:rsid w:val="00580170"/>
    <w:rsid w:val="00580187"/>
    <w:rsid w:val="0058019B"/>
    <w:rsid w:val="005801EA"/>
    <w:rsid w:val="00580203"/>
    <w:rsid w:val="00580265"/>
    <w:rsid w:val="0058028A"/>
    <w:rsid w:val="005802B0"/>
    <w:rsid w:val="005802C4"/>
    <w:rsid w:val="00580303"/>
    <w:rsid w:val="0058030A"/>
    <w:rsid w:val="00580312"/>
    <w:rsid w:val="00580363"/>
    <w:rsid w:val="0058039D"/>
    <w:rsid w:val="005803AA"/>
    <w:rsid w:val="005803C3"/>
    <w:rsid w:val="005803F5"/>
    <w:rsid w:val="00580429"/>
    <w:rsid w:val="0058042B"/>
    <w:rsid w:val="00580448"/>
    <w:rsid w:val="0058047D"/>
    <w:rsid w:val="00580496"/>
    <w:rsid w:val="005804B3"/>
    <w:rsid w:val="005804D3"/>
    <w:rsid w:val="005804F1"/>
    <w:rsid w:val="005804F2"/>
    <w:rsid w:val="005804F5"/>
    <w:rsid w:val="00580523"/>
    <w:rsid w:val="005805C3"/>
    <w:rsid w:val="005805DD"/>
    <w:rsid w:val="0058064B"/>
    <w:rsid w:val="00580659"/>
    <w:rsid w:val="005806ED"/>
    <w:rsid w:val="00580717"/>
    <w:rsid w:val="00580718"/>
    <w:rsid w:val="00580756"/>
    <w:rsid w:val="00580769"/>
    <w:rsid w:val="0058078F"/>
    <w:rsid w:val="0058079D"/>
    <w:rsid w:val="00580837"/>
    <w:rsid w:val="00580870"/>
    <w:rsid w:val="00580897"/>
    <w:rsid w:val="005808A8"/>
    <w:rsid w:val="005808BE"/>
    <w:rsid w:val="00580918"/>
    <w:rsid w:val="0058091C"/>
    <w:rsid w:val="0058091F"/>
    <w:rsid w:val="0058097C"/>
    <w:rsid w:val="005809DF"/>
    <w:rsid w:val="00580A02"/>
    <w:rsid w:val="00580A0B"/>
    <w:rsid w:val="00580A1C"/>
    <w:rsid w:val="00580A94"/>
    <w:rsid w:val="00580A9C"/>
    <w:rsid w:val="00580AA6"/>
    <w:rsid w:val="00580AB1"/>
    <w:rsid w:val="00580ABF"/>
    <w:rsid w:val="00580AD5"/>
    <w:rsid w:val="00580AE5"/>
    <w:rsid w:val="00580B0F"/>
    <w:rsid w:val="00580B7F"/>
    <w:rsid w:val="00580B85"/>
    <w:rsid w:val="00580B8C"/>
    <w:rsid w:val="00580BB3"/>
    <w:rsid w:val="00580BBA"/>
    <w:rsid w:val="00580BBE"/>
    <w:rsid w:val="00580BBF"/>
    <w:rsid w:val="00580BD4"/>
    <w:rsid w:val="00580BDB"/>
    <w:rsid w:val="00580BF8"/>
    <w:rsid w:val="00580C33"/>
    <w:rsid w:val="00580C36"/>
    <w:rsid w:val="00580C3C"/>
    <w:rsid w:val="00580C4B"/>
    <w:rsid w:val="00580CB5"/>
    <w:rsid w:val="00580CBC"/>
    <w:rsid w:val="00580CF3"/>
    <w:rsid w:val="00580CFB"/>
    <w:rsid w:val="00580D0C"/>
    <w:rsid w:val="00580D5F"/>
    <w:rsid w:val="00580DAD"/>
    <w:rsid w:val="00580DD4"/>
    <w:rsid w:val="00580E05"/>
    <w:rsid w:val="00580E3E"/>
    <w:rsid w:val="00580E5E"/>
    <w:rsid w:val="00580E93"/>
    <w:rsid w:val="00580EAA"/>
    <w:rsid w:val="00580F06"/>
    <w:rsid w:val="00580F8C"/>
    <w:rsid w:val="00580FEE"/>
    <w:rsid w:val="00580FF3"/>
    <w:rsid w:val="0058100F"/>
    <w:rsid w:val="00581011"/>
    <w:rsid w:val="00581077"/>
    <w:rsid w:val="005810BA"/>
    <w:rsid w:val="005810CA"/>
    <w:rsid w:val="005810CB"/>
    <w:rsid w:val="0058110C"/>
    <w:rsid w:val="00581123"/>
    <w:rsid w:val="0058115A"/>
    <w:rsid w:val="00581170"/>
    <w:rsid w:val="00581174"/>
    <w:rsid w:val="00581191"/>
    <w:rsid w:val="005811BF"/>
    <w:rsid w:val="005811E9"/>
    <w:rsid w:val="005811F9"/>
    <w:rsid w:val="00581243"/>
    <w:rsid w:val="00581280"/>
    <w:rsid w:val="00581291"/>
    <w:rsid w:val="005812AE"/>
    <w:rsid w:val="005812CC"/>
    <w:rsid w:val="005812E7"/>
    <w:rsid w:val="0058130F"/>
    <w:rsid w:val="00581316"/>
    <w:rsid w:val="005813F3"/>
    <w:rsid w:val="00581420"/>
    <w:rsid w:val="0058144B"/>
    <w:rsid w:val="00581450"/>
    <w:rsid w:val="00581451"/>
    <w:rsid w:val="0058145A"/>
    <w:rsid w:val="005814A1"/>
    <w:rsid w:val="005814EC"/>
    <w:rsid w:val="005814EE"/>
    <w:rsid w:val="00581555"/>
    <w:rsid w:val="00581598"/>
    <w:rsid w:val="005815B7"/>
    <w:rsid w:val="005815BC"/>
    <w:rsid w:val="005815D5"/>
    <w:rsid w:val="005815EE"/>
    <w:rsid w:val="005815F3"/>
    <w:rsid w:val="0058163B"/>
    <w:rsid w:val="0058163E"/>
    <w:rsid w:val="0058169A"/>
    <w:rsid w:val="005816C6"/>
    <w:rsid w:val="005816EB"/>
    <w:rsid w:val="005816FB"/>
    <w:rsid w:val="005816FD"/>
    <w:rsid w:val="00581721"/>
    <w:rsid w:val="00581757"/>
    <w:rsid w:val="00581787"/>
    <w:rsid w:val="00581790"/>
    <w:rsid w:val="00581791"/>
    <w:rsid w:val="005817A4"/>
    <w:rsid w:val="005817A8"/>
    <w:rsid w:val="005817AC"/>
    <w:rsid w:val="005817F3"/>
    <w:rsid w:val="00581828"/>
    <w:rsid w:val="00581852"/>
    <w:rsid w:val="00581863"/>
    <w:rsid w:val="00581890"/>
    <w:rsid w:val="005818A4"/>
    <w:rsid w:val="005818DB"/>
    <w:rsid w:val="005818F4"/>
    <w:rsid w:val="00581900"/>
    <w:rsid w:val="00581926"/>
    <w:rsid w:val="00581968"/>
    <w:rsid w:val="00581A1D"/>
    <w:rsid w:val="00581A4E"/>
    <w:rsid w:val="00581A53"/>
    <w:rsid w:val="00581A59"/>
    <w:rsid w:val="00581A73"/>
    <w:rsid w:val="00581A74"/>
    <w:rsid w:val="00581A76"/>
    <w:rsid w:val="00581A79"/>
    <w:rsid w:val="00581AD0"/>
    <w:rsid w:val="00581AD7"/>
    <w:rsid w:val="00581AEA"/>
    <w:rsid w:val="00581AFE"/>
    <w:rsid w:val="00581B15"/>
    <w:rsid w:val="00581B22"/>
    <w:rsid w:val="00581B60"/>
    <w:rsid w:val="00581B76"/>
    <w:rsid w:val="00581B82"/>
    <w:rsid w:val="00581B9D"/>
    <w:rsid w:val="00581BBF"/>
    <w:rsid w:val="00581BD8"/>
    <w:rsid w:val="00581C20"/>
    <w:rsid w:val="00581C23"/>
    <w:rsid w:val="00581C2A"/>
    <w:rsid w:val="00581C96"/>
    <w:rsid w:val="00581CA5"/>
    <w:rsid w:val="00581D06"/>
    <w:rsid w:val="00581D49"/>
    <w:rsid w:val="00581D5C"/>
    <w:rsid w:val="00581D7C"/>
    <w:rsid w:val="00581D88"/>
    <w:rsid w:val="00581D92"/>
    <w:rsid w:val="00581DE8"/>
    <w:rsid w:val="00581E1B"/>
    <w:rsid w:val="00581E33"/>
    <w:rsid w:val="00581E36"/>
    <w:rsid w:val="00581E66"/>
    <w:rsid w:val="00581E7A"/>
    <w:rsid w:val="00581EFA"/>
    <w:rsid w:val="00581FB1"/>
    <w:rsid w:val="00581FB9"/>
    <w:rsid w:val="00582031"/>
    <w:rsid w:val="00582036"/>
    <w:rsid w:val="0058207D"/>
    <w:rsid w:val="00582093"/>
    <w:rsid w:val="005820E9"/>
    <w:rsid w:val="005820FA"/>
    <w:rsid w:val="00582160"/>
    <w:rsid w:val="005821AB"/>
    <w:rsid w:val="005821C0"/>
    <w:rsid w:val="005821F8"/>
    <w:rsid w:val="0058221C"/>
    <w:rsid w:val="00582239"/>
    <w:rsid w:val="00582245"/>
    <w:rsid w:val="0058224C"/>
    <w:rsid w:val="0058224E"/>
    <w:rsid w:val="00582290"/>
    <w:rsid w:val="005822BB"/>
    <w:rsid w:val="005822F3"/>
    <w:rsid w:val="00582391"/>
    <w:rsid w:val="0058239F"/>
    <w:rsid w:val="005823B8"/>
    <w:rsid w:val="005823D5"/>
    <w:rsid w:val="005823DB"/>
    <w:rsid w:val="00582401"/>
    <w:rsid w:val="0058244C"/>
    <w:rsid w:val="00582464"/>
    <w:rsid w:val="00582466"/>
    <w:rsid w:val="00582482"/>
    <w:rsid w:val="005824A3"/>
    <w:rsid w:val="00582522"/>
    <w:rsid w:val="005825D0"/>
    <w:rsid w:val="005825DE"/>
    <w:rsid w:val="005825F0"/>
    <w:rsid w:val="00582655"/>
    <w:rsid w:val="00582669"/>
    <w:rsid w:val="005826E7"/>
    <w:rsid w:val="0058273C"/>
    <w:rsid w:val="0058277D"/>
    <w:rsid w:val="00582786"/>
    <w:rsid w:val="005827D5"/>
    <w:rsid w:val="00582807"/>
    <w:rsid w:val="00582816"/>
    <w:rsid w:val="00582824"/>
    <w:rsid w:val="00582860"/>
    <w:rsid w:val="0058288B"/>
    <w:rsid w:val="005828B6"/>
    <w:rsid w:val="005828C1"/>
    <w:rsid w:val="005828C3"/>
    <w:rsid w:val="005828F1"/>
    <w:rsid w:val="0058291C"/>
    <w:rsid w:val="00582920"/>
    <w:rsid w:val="00582936"/>
    <w:rsid w:val="0058293B"/>
    <w:rsid w:val="0058294B"/>
    <w:rsid w:val="00582979"/>
    <w:rsid w:val="00582980"/>
    <w:rsid w:val="0058298E"/>
    <w:rsid w:val="00582991"/>
    <w:rsid w:val="0058299B"/>
    <w:rsid w:val="005829BC"/>
    <w:rsid w:val="005829EF"/>
    <w:rsid w:val="00582A24"/>
    <w:rsid w:val="00582A2E"/>
    <w:rsid w:val="00582A70"/>
    <w:rsid w:val="00582A79"/>
    <w:rsid w:val="00582A7A"/>
    <w:rsid w:val="00582ABE"/>
    <w:rsid w:val="00582AD7"/>
    <w:rsid w:val="00582B00"/>
    <w:rsid w:val="00582B02"/>
    <w:rsid w:val="00582B05"/>
    <w:rsid w:val="00582B19"/>
    <w:rsid w:val="00582B58"/>
    <w:rsid w:val="00582B9E"/>
    <w:rsid w:val="00582BFC"/>
    <w:rsid w:val="00582C05"/>
    <w:rsid w:val="00582C20"/>
    <w:rsid w:val="00582C81"/>
    <w:rsid w:val="00582CC4"/>
    <w:rsid w:val="00582CD0"/>
    <w:rsid w:val="00582CF5"/>
    <w:rsid w:val="00582D43"/>
    <w:rsid w:val="00582D4D"/>
    <w:rsid w:val="00582D5A"/>
    <w:rsid w:val="00582D90"/>
    <w:rsid w:val="00582DB0"/>
    <w:rsid w:val="00582DC7"/>
    <w:rsid w:val="00582DFB"/>
    <w:rsid w:val="00582E15"/>
    <w:rsid w:val="00582E29"/>
    <w:rsid w:val="00582E6E"/>
    <w:rsid w:val="00582E78"/>
    <w:rsid w:val="00582EA0"/>
    <w:rsid w:val="00582EAB"/>
    <w:rsid w:val="00582ED4"/>
    <w:rsid w:val="00582ED5"/>
    <w:rsid w:val="00582EF7"/>
    <w:rsid w:val="00582F00"/>
    <w:rsid w:val="00582F42"/>
    <w:rsid w:val="00582FBD"/>
    <w:rsid w:val="00582FE6"/>
    <w:rsid w:val="00582FFD"/>
    <w:rsid w:val="00582FFF"/>
    <w:rsid w:val="00583068"/>
    <w:rsid w:val="005830B6"/>
    <w:rsid w:val="005830FF"/>
    <w:rsid w:val="0058312C"/>
    <w:rsid w:val="0058315B"/>
    <w:rsid w:val="0058316F"/>
    <w:rsid w:val="005831C5"/>
    <w:rsid w:val="00583208"/>
    <w:rsid w:val="005832A7"/>
    <w:rsid w:val="005832B2"/>
    <w:rsid w:val="005832C5"/>
    <w:rsid w:val="005832CA"/>
    <w:rsid w:val="005832DB"/>
    <w:rsid w:val="005832E7"/>
    <w:rsid w:val="005832F0"/>
    <w:rsid w:val="005832F7"/>
    <w:rsid w:val="00583304"/>
    <w:rsid w:val="0058332F"/>
    <w:rsid w:val="00583336"/>
    <w:rsid w:val="00583338"/>
    <w:rsid w:val="0058338E"/>
    <w:rsid w:val="005833DB"/>
    <w:rsid w:val="005833E8"/>
    <w:rsid w:val="00583430"/>
    <w:rsid w:val="0058344A"/>
    <w:rsid w:val="00583471"/>
    <w:rsid w:val="00583473"/>
    <w:rsid w:val="0058349A"/>
    <w:rsid w:val="0058349B"/>
    <w:rsid w:val="005834A2"/>
    <w:rsid w:val="005834EE"/>
    <w:rsid w:val="00583506"/>
    <w:rsid w:val="00583522"/>
    <w:rsid w:val="00583530"/>
    <w:rsid w:val="00583537"/>
    <w:rsid w:val="0058356C"/>
    <w:rsid w:val="00583577"/>
    <w:rsid w:val="005835A4"/>
    <w:rsid w:val="005835CD"/>
    <w:rsid w:val="005835E3"/>
    <w:rsid w:val="00583662"/>
    <w:rsid w:val="00583676"/>
    <w:rsid w:val="0058368E"/>
    <w:rsid w:val="005836A4"/>
    <w:rsid w:val="005836E3"/>
    <w:rsid w:val="00583749"/>
    <w:rsid w:val="00583752"/>
    <w:rsid w:val="0058376F"/>
    <w:rsid w:val="00583791"/>
    <w:rsid w:val="005837A0"/>
    <w:rsid w:val="005837A7"/>
    <w:rsid w:val="005837B7"/>
    <w:rsid w:val="005837BB"/>
    <w:rsid w:val="005837BD"/>
    <w:rsid w:val="005837DF"/>
    <w:rsid w:val="005837F2"/>
    <w:rsid w:val="00583800"/>
    <w:rsid w:val="00583809"/>
    <w:rsid w:val="0058380E"/>
    <w:rsid w:val="00583814"/>
    <w:rsid w:val="0058383F"/>
    <w:rsid w:val="00583853"/>
    <w:rsid w:val="0058388C"/>
    <w:rsid w:val="005838BC"/>
    <w:rsid w:val="00583917"/>
    <w:rsid w:val="0058391A"/>
    <w:rsid w:val="00583943"/>
    <w:rsid w:val="0058394C"/>
    <w:rsid w:val="00583962"/>
    <w:rsid w:val="00583992"/>
    <w:rsid w:val="005839E8"/>
    <w:rsid w:val="005839F9"/>
    <w:rsid w:val="00583A0F"/>
    <w:rsid w:val="00583A60"/>
    <w:rsid w:val="00583A67"/>
    <w:rsid w:val="00583AB7"/>
    <w:rsid w:val="00583AE0"/>
    <w:rsid w:val="00583AEE"/>
    <w:rsid w:val="00583BF4"/>
    <w:rsid w:val="00583C26"/>
    <w:rsid w:val="00583C8D"/>
    <w:rsid w:val="00583CA0"/>
    <w:rsid w:val="00583D21"/>
    <w:rsid w:val="00583D2F"/>
    <w:rsid w:val="00583D4C"/>
    <w:rsid w:val="00583D76"/>
    <w:rsid w:val="00583DB2"/>
    <w:rsid w:val="00583DBA"/>
    <w:rsid w:val="00583DD4"/>
    <w:rsid w:val="00583E09"/>
    <w:rsid w:val="00583E0F"/>
    <w:rsid w:val="00583E91"/>
    <w:rsid w:val="00583EA2"/>
    <w:rsid w:val="00583EB0"/>
    <w:rsid w:val="00583F81"/>
    <w:rsid w:val="00583FEF"/>
    <w:rsid w:val="00584049"/>
    <w:rsid w:val="00584056"/>
    <w:rsid w:val="00584067"/>
    <w:rsid w:val="005840DE"/>
    <w:rsid w:val="00584157"/>
    <w:rsid w:val="0058415F"/>
    <w:rsid w:val="0058416C"/>
    <w:rsid w:val="0058416E"/>
    <w:rsid w:val="00584173"/>
    <w:rsid w:val="00584178"/>
    <w:rsid w:val="00584179"/>
    <w:rsid w:val="0058417C"/>
    <w:rsid w:val="0058417F"/>
    <w:rsid w:val="005841A6"/>
    <w:rsid w:val="005841AE"/>
    <w:rsid w:val="005841D7"/>
    <w:rsid w:val="00584227"/>
    <w:rsid w:val="00584242"/>
    <w:rsid w:val="00584248"/>
    <w:rsid w:val="0058424F"/>
    <w:rsid w:val="0058429B"/>
    <w:rsid w:val="005842CC"/>
    <w:rsid w:val="005842D0"/>
    <w:rsid w:val="00584309"/>
    <w:rsid w:val="00584327"/>
    <w:rsid w:val="0058432D"/>
    <w:rsid w:val="00584389"/>
    <w:rsid w:val="005843AB"/>
    <w:rsid w:val="005843D0"/>
    <w:rsid w:val="005843EE"/>
    <w:rsid w:val="00584400"/>
    <w:rsid w:val="00584403"/>
    <w:rsid w:val="00584428"/>
    <w:rsid w:val="005844B6"/>
    <w:rsid w:val="005844B9"/>
    <w:rsid w:val="0058452F"/>
    <w:rsid w:val="005845B1"/>
    <w:rsid w:val="005845D9"/>
    <w:rsid w:val="005845E0"/>
    <w:rsid w:val="00584612"/>
    <w:rsid w:val="00584653"/>
    <w:rsid w:val="005846B1"/>
    <w:rsid w:val="00584749"/>
    <w:rsid w:val="0058476B"/>
    <w:rsid w:val="0058476E"/>
    <w:rsid w:val="005847F8"/>
    <w:rsid w:val="00584817"/>
    <w:rsid w:val="0058481C"/>
    <w:rsid w:val="00584833"/>
    <w:rsid w:val="005848D1"/>
    <w:rsid w:val="005848F9"/>
    <w:rsid w:val="005848FB"/>
    <w:rsid w:val="00584904"/>
    <w:rsid w:val="0058492A"/>
    <w:rsid w:val="0058492F"/>
    <w:rsid w:val="00584951"/>
    <w:rsid w:val="00584977"/>
    <w:rsid w:val="00584988"/>
    <w:rsid w:val="005849D1"/>
    <w:rsid w:val="00584A4C"/>
    <w:rsid w:val="00584A96"/>
    <w:rsid w:val="00584AA0"/>
    <w:rsid w:val="00584AB1"/>
    <w:rsid w:val="00584AD3"/>
    <w:rsid w:val="00584AEE"/>
    <w:rsid w:val="00584B03"/>
    <w:rsid w:val="00584B3E"/>
    <w:rsid w:val="00584BA8"/>
    <w:rsid w:val="00584BC5"/>
    <w:rsid w:val="00584BC6"/>
    <w:rsid w:val="00584BC7"/>
    <w:rsid w:val="00584BEE"/>
    <w:rsid w:val="00584BEF"/>
    <w:rsid w:val="00584C0D"/>
    <w:rsid w:val="00584C35"/>
    <w:rsid w:val="00584C59"/>
    <w:rsid w:val="00584C85"/>
    <w:rsid w:val="00584C99"/>
    <w:rsid w:val="00584CA9"/>
    <w:rsid w:val="00584D31"/>
    <w:rsid w:val="00584D38"/>
    <w:rsid w:val="00584D40"/>
    <w:rsid w:val="00584D43"/>
    <w:rsid w:val="00584D62"/>
    <w:rsid w:val="00584D99"/>
    <w:rsid w:val="00584DA4"/>
    <w:rsid w:val="00584DE0"/>
    <w:rsid w:val="00584E3C"/>
    <w:rsid w:val="00584E45"/>
    <w:rsid w:val="00584E48"/>
    <w:rsid w:val="00584EB4"/>
    <w:rsid w:val="00584ED7"/>
    <w:rsid w:val="00584EF2"/>
    <w:rsid w:val="00584F07"/>
    <w:rsid w:val="00584F31"/>
    <w:rsid w:val="00584F7F"/>
    <w:rsid w:val="00584F88"/>
    <w:rsid w:val="00585020"/>
    <w:rsid w:val="0058505C"/>
    <w:rsid w:val="00585072"/>
    <w:rsid w:val="00585093"/>
    <w:rsid w:val="00585124"/>
    <w:rsid w:val="00585146"/>
    <w:rsid w:val="00585226"/>
    <w:rsid w:val="00585250"/>
    <w:rsid w:val="0058529A"/>
    <w:rsid w:val="005852CE"/>
    <w:rsid w:val="005852E5"/>
    <w:rsid w:val="005852FA"/>
    <w:rsid w:val="00585359"/>
    <w:rsid w:val="00585383"/>
    <w:rsid w:val="005853BB"/>
    <w:rsid w:val="00585429"/>
    <w:rsid w:val="00585473"/>
    <w:rsid w:val="00585474"/>
    <w:rsid w:val="0058547A"/>
    <w:rsid w:val="00585496"/>
    <w:rsid w:val="0058549D"/>
    <w:rsid w:val="005854E3"/>
    <w:rsid w:val="005854F7"/>
    <w:rsid w:val="0058550E"/>
    <w:rsid w:val="00585510"/>
    <w:rsid w:val="0058555C"/>
    <w:rsid w:val="00585572"/>
    <w:rsid w:val="005855CB"/>
    <w:rsid w:val="00585617"/>
    <w:rsid w:val="00585643"/>
    <w:rsid w:val="0058565B"/>
    <w:rsid w:val="00585687"/>
    <w:rsid w:val="005856B8"/>
    <w:rsid w:val="005856D4"/>
    <w:rsid w:val="005856E2"/>
    <w:rsid w:val="005856E8"/>
    <w:rsid w:val="0058572B"/>
    <w:rsid w:val="00585736"/>
    <w:rsid w:val="0058575F"/>
    <w:rsid w:val="0058576B"/>
    <w:rsid w:val="00585771"/>
    <w:rsid w:val="005857A4"/>
    <w:rsid w:val="005857C1"/>
    <w:rsid w:val="005857C3"/>
    <w:rsid w:val="005857D0"/>
    <w:rsid w:val="005857D9"/>
    <w:rsid w:val="005857E5"/>
    <w:rsid w:val="005857E9"/>
    <w:rsid w:val="00585816"/>
    <w:rsid w:val="0058581E"/>
    <w:rsid w:val="00585841"/>
    <w:rsid w:val="00585862"/>
    <w:rsid w:val="00585889"/>
    <w:rsid w:val="0058589B"/>
    <w:rsid w:val="005858AA"/>
    <w:rsid w:val="0058591D"/>
    <w:rsid w:val="00585923"/>
    <w:rsid w:val="00585925"/>
    <w:rsid w:val="00585951"/>
    <w:rsid w:val="00585971"/>
    <w:rsid w:val="00585990"/>
    <w:rsid w:val="005859DB"/>
    <w:rsid w:val="00585A23"/>
    <w:rsid w:val="00585A52"/>
    <w:rsid w:val="00585A5F"/>
    <w:rsid w:val="00585AA9"/>
    <w:rsid w:val="00585AC8"/>
    <w:rsid w:val="00585B55"/>
    <w:rsid w:val="00585B5A"/>
    <w:rsid w:val="00585B75"/>
    <w:rsid w:val="00585B7B"/>
    <w:rsid w:val="00585B9D"/>
    <w:rsid w:val="00585C02"/>
    <w:rsid w:val="00585CB5"/>
    <w:rsid w:val="00585D02"/>
    <w:rsid w:val="00585D03"/>
    <w:rsid w:val="00585D28"/>
    <w:rsid w:val="00585D4E"/>
    <w:rsid w:val="00585D5F"/>
    <w:rsid w:val="00585D6B"/>
    <w:rsid w:val="00585D72"/>
    <w:rsid w:val="00585DDB"/>
    <w:rsid w:val="00585DE7"/>
    <w:rsid w:val="00585E12"/>
    <w:rsid w:val="00585E67"/>
    <w:rsid w:val="00585EBF"/>
    <w:rsid w:val="00585ECC"/>
    <w:rsid w:val="00585F70"/>
    <w:rsid w:val="00585F90"/>
    <w:rsid w:val="00585FBD"/>
    <w:rsid w:val="00585FCB"/>
    <w:rsid w:val="00585FCF"/>
    <w:rsid w:val="00586028"/>
    <w:rsid w:val="0058605E"/>
    <w:rsid w:val="005860AB"/>
    <w:rsid w:val="00586139"/>
    <w:rsid w:val="0058619B"/>
    <w:rsid w:val="005861A6"/>
    <w:rsid w:val="005861C0"/>
    <w:rsid w:val="0058620F"/>
    <w:rsid w:val="00586225"/>
    <w:rsid w:val="00586289"/>
    <w:rsid w:val="005862C9"/>
    <w:rsid w:val="005862DF"/>
    <w:rsid w:val="005862E9"/>
    <w:rsid w:val="0058631A"/>
    <w:rsid w:val="005863E8"/>
    <w:rsid w:val="005863F2"/>
    <w:rsid w:val="005863FD"/>
    <w:rsid w:val="0058642A"/>
    <w:rsid w:val="00586437"/>
    <w:rsid w:val="00586442"/>
    <w:rsid w:val="0058654E"/>
    <w:rsid w:val="0058655A"/>
    <w:rsid w:val="0058655B"/>
    <w:rsid w:val="00586583"/>
    <w:rsid w:val="00586589"/>
    <w:rsid w:val="0058660D"/>
    <w:rsid w:val="0058664F"/>
    <w:rsid w:val="0058667B"/>
    <w:rsid w:val="0058667C"/>
    <w:rsid w:val="005866AE"/>
    <w:rsid w:val="005866BB"/>
    <w:rsid w:val="00586721"/>
    <w:rsid w:val="00586725"/>
    <w:rsid w:val="005867A5"/>
    <w:rsid w:val="005867C3"/>
    <w:rsid w:val="005867DB"/>
    <w:rsid w:val="005867F4"/>
    <w:rsid w:val="00586842"/>
    <w:rsid w:val="005868A1"/>
    <w:rsid w:val="005868A9"/>
    <w:rsid w:val="005868D2"/>
    <w:rsid w:val="005868DC"/>
    <w:rsid w:val="005868F8"/>
    <w:rsid w:val="00586917"/>
    <w:rsid w:val="005869AB"/>
    <w:rsid w:val="005869B4"/>
    <w:rsid w:val="005869BC"/>
    <w:rsid w:val="005869C5"/>
    <w:rsid w:val="005869D2"/>
    <w:rsid w:val="005869E9"/>
    <w:rsid w:val="00586A08"/>
    <w:rsid w:val="00586A19"/>
    <w:rsid w:val="00586A5C"/>
    <w:rsid w:val="00586AAE"/>
    <w:rsid w:val="00586AD9"/>
    <w:rsid w:val="00586AE1"/>
    <w:rsid w:val="00586B21"/>
    <w:rsid w:val="00586B40"/>
    <w:rsid w:val="00586B71"/>
    <w:rsid w:val="00586B86"/>
    <w:rsid w:val="00586B8C"/>
    <w:rsid w:val="00586B8F"/>
    <w:rsid w:val="00586BB5"/>
    <w:rsid w:val="00586BF0"/>
    <w:rsid w:val="00586C06"/>
    <w:rsid w:val="00586C1B"/>
    <w:rsid w:val="00586C94"/>
    <w:rsid w:val="00586CDD"/>
    <w:rsid w:val="00586CEE"/>
    <w:rsid w:val="00586D68"/>
    <w:rsid w:val="00586DA6"/>
    <w:rsid w:val="00586DB9"/>
    <w:rsid w:val="00586E33"/>
    <w:rsid w:val="00586E4B"/>
    <w:rsid w:val="00586E60"/>
    <w:rsid w:val="00586EE0"/>
    <w:rsid w:val="00586F06"/>
    <w:rsid w:val="00586F35"/>
    <w:rsid w:val="00586F82"/>
    <w:rsid w:val="00586FC7"/>
    <w:rsid w:val="00586FCC"/>
    <w:rsid w:val="00586FFF"/>
    <w:rsid w:val="00587003"/>
    <w:rsid w:val="0058700B"/>
    <w:rsid w:val="00587020"/>
    <w:rsid w:val="0058702A"/>
    <w:rsid w:val="00587050"/>
    <w:rsid w:val="00587053"/>
    <w:rsid w:val="00587076"/>
    <w:rsid w:val="0058707C"/>
    <w:rsid w:val="0058709B"/>
    <w:rsid w:val="005870A8"/>
    <w:rsid w:val="005870AD"/>
    <w:rsid w:val="005870B3"/>
    <w:rsid w:val="005870B8"/>
    <w:rsid w:val="005870C9"/>
    <w:rsid w:val="005870D0"/>
    <w:rsid w:val="00587105"/>
    <w:rsid w:val="00587111"/>
    <w:rsid w:val="00587133"/>
    <w:rsid w:val="00587135"/>
    <w:rsid w:val="0058719A"/>
    <w:rsid w:val="005871A6"/>
    <w:rsid w:val="005871C4"/>
    <w:rsid w:val="005871D8"/>
    <w:rsid w:val="005871EC"/>
    <w:rsid w:val="00587226"/>
    <w:rsid w:val="00587246"/>
    <w:rsid w:val="0058726D"/>
    <w:rsid w:val="005872A5"/>
    <w:rsid w:val="005872A9"/>
    <w:rsid w:val="005872AF"/>
    <w:rsid w:val="00587312"/>
    <w:rsid w:val="00587324"/>
    <w:rsid w:val="00587362"/>
    <w:rsid w:val="00587397"/>
    <w:rsid w:val="005873A3"/>
    <w:rsid w:val="00587413"/>
    <w:rsid w:val="00587453"/>
    <w:rsid w:val="00587467"/>
    <w:rsid w:val="00587496"/>
    <w:rsid w:val="005874DB"/>
    <w:rsid w:val="005874E1"/>
    <w:rsid w:val="005874EF"/>
    <w:rsid w:val="005874FB"/>
    <w:rsid w:val="0058752C"/>
    <w:rsid w:val="00587575"/>
    <w:rsid w:val="00587583"/>
    <w:rsid w:val="005875E4"/>
    <w:rsid w:val="00587624"/>
    <w:rsid w:val="00587632"/>
    <w:rsid w:val="00587660"/>
    <w:rsid w:val="00587676"/>
    <w:rsid w:val="0058769B"/>
    <w:rsid w:val="0058769F"/>
    <w:rsid w:val="005876D0"/>
    <w:rsid w:val="005876F8"/>
    <w:rsid w:val="00587725"/>
    <w:rsid w:val="0058772B"/>
    <w:rsid w:val="0058777D"/>
    <w:rsid w:val="00587789"/>
    <w:rsid w:val="005877A8"/>
    <w:rsid w:val="005877B6"/>
    <w:rsid w:val="005877EB"/>
    <w:rsid w:val="005877F5"/>
    <w:rsid w:val="00587811"/>
    <w:rsid w:val="00587813"/>
    <w:rsid w:val="0058786A"/>
    <w:rsid w:val="0058787A"/>
    <w:rsid w:val="00587897"/>
    <w:rsid w:val="005878A2"/>
    <w:rsid w:val="005878AA"/>
    <w:rsid w:val="005878B2"/>
    <w:rsid w:val="0058795B"/>
    <w:rsid w:val="00587975"/>
    <w:rsid w:val="0058798D"/>
    <w:rsid w:val="005879AC"/>
    <w:rsid w:val="005879CA"/>
    <w:rsid w:val="005879D4"/>
    <w:rsid w:val="00587A4B"/>
    <w:rsid w:val="00587A54"/>
    <w:rsid w:val="00587A74"/>
    <w:rsid w:val="00587A8F"/>
    <w:rsid w:val="00587A91"/>
    <w:rsid w:val="00587A95"/>
    <w:rsid w:val="00587AB0"/>
    <w:rsid w:val="00587ABA"/>
    <w:rsid w:val="00587AFC"/>
    <w:rsid w:val="00587B1F"/>
    <w:rsid w:val="00587B3B"/>
    <w:rsid w:val="00587BB8"/>
    <w:rsid w:val="00587C0A"/>
    <w:rsid w:val="00587C23"/>
    <w:rsid w:val="00587C3B"/>
    <w:rsid w:val="00587C54"/>
    <w:rsid w:val="00587C66"/>
    <w:rsid w:val="00587C7B"/>
    <w:rsid w:val="00587C8E"/>
    <w:rsid w:val="00587CE6"/>
    <w:rsid w:val="00587CF4"/>
    <w:rsid w:val="00587D3C"/>
    <w:rsid w:val="00587D6A"/>
    <w:rsid w:val="00587DAD"/>
    <w:rsid w:val="00587DD4"/>
    <w:rsid w:val="00587DD5"/>
    <w:rsid w:val="00587E00"/>
    <w:rsid w:val="00587E19"/>
    <w:rsid w:val="00587E1C"/>
    <w:rsid w:val="00587E28"/>
    <w:rsid w:val="00587E6B"/>
    <w:rsid w:val="00587EB4"/>
    <w:rsid w:val="00587F14"/>
    <w:rsid w:val="00587F29"/>
    <w:rsid w:val="00587F33"/>
    <w:rsid w:val="00587F5F"/>
    <w:rsid w:val="00587FA0"/>
    <w:rsid w:val="00587FF1"/>
    <w:rsid w:val="0058A912"/>
    <w:rsid w:val="00590042"/>
    <w:rsid w:val="0059006F"/>
    <w:rsid w:val="005900E7"/>
    <w:rsid w:val="005900F1"/>
    <w:rsid w:val="00590105"/>
    <w:rsid w:val="00590127"/>
    <w:rsid w:val="0059015D"/>
    <w:rsid w:val="005901B8"/>
    <w:rsid w:val="005902AA"/>
    <w:rsid w:val="005902F9"/>
    <w:rsid w:val="0059037B"/>
    <w:rsid w:val="005903AD"/>
    <w:rsid w:val="00590406"/>
    <w:rsid w:val="00590431"/>
    <w:rsid w:val="0059045A"/>
    <w:rsid w:val="0059047E"/>
    <w:rsid w:val="005904AA"/>
    <w:rsid w:val="005904CE"/>
    <w:rsid w:val="005904EB"/>
    <w:rsid w:val="00590529"/>
    <w:rsid w:val="00590547"/>
    <w:rsid w:val="00590576"/>
    <w:rsid w:val="0059057F"/>
    <w:rsid w:val="00590583"/>
    <w:rsid w:val="005905EB"/>
    <w:rsid w:val="005905FC"/>
    <w:rsid w:val="00590621"/>
    <w:rsid w:val="00590630"/>
    <w:rsid w:val="0059064B"/>
    <w:rsid w:val="0059068F"/>
    <w:rsid w:val="005906AF"/>
    <w:rsid w:val="005906C8"/>
    <w:rsid w:val="005906D3"/>
    <w:rsid w:val="00590740"/>
    <w:rsid w:val="00590745"/>
    <w:rsid w:val="0059074B"/>
    <w:rsid w:val="0059075D"/>
    <w:rsid w:val="00590792"/>
    <w:rsid w:val="005907C2"/>
    <w:rsid w:val="005907CE"/>
    <w:rsid w:val="005907F8"/>
    <w:rsid w:val="005907FE"/>
    <w:rsid w:val="00590810"/>
    <w:rsid w:val="00590814"/>
    <w:rsid w:val="00590832"/>
    <w:rsid w:val="00590855"/>
    <w:rsid w:val="00590876"/>
    <w:rsid w:val="0059087E"/>
    <w:rsid w:val="00590885"/>
    <w:rsid w:val="005908C1"/>
    <w:rsid w:val="00590900"/>
    <w:rsid w:val="0059090C"/>
    <w:rsid w:val="0059098F"/>
    <w:rsid w:val="0059099E"/>
    <w:rsid w:val="005909A0"/>
    <w:rsid w:val="005909C3"/>
    <w:rsid w:val="00590A24"/>
    <w:rsid w:val="00590A70"/>
    <w:rsid w:val="00590A74"/>
    <w:rsid w:val="00590A9D"/>
    <w:rsid w:val="00590ACB"/>
    <w:rsid w:val="00590AE9"/>
    <w:rsid w:val="00590B05"/>
    <w:rsid w:val="00590B35"/>
    <w:rsid w:val="00590B59"/>
    <w:rsid w:val="00590B7C"/>
    <w:rsid w:val="00590BC7"/>
    <w:rsid w:val="00590BE3"/>
    <w:rsid w:val="00590BF4"/>
    <w:rsid w:val="00590BFE"/>
    <w:rsid w:val="00590C3A"/>
    <w:rsid w:val="00590CAE"/>
    <w:rsid w:val="00590CB3"/>
    <w:rsid w:val="00590D0E"/>
    <w:rsid w:val="00590D15"/>
    <w:rsid w:val="00590D20"/>
    <w:rsid w:val="00590D7E"/>
    <w:rsid w:val="00590D8D"/>
    <w:rsid w:val="00590D90"/>
    <w:rsid w:val="00590DE4"/>
    <w:rsid w:val="00590DEB"/>
    <w:rsid w:val="00590DF2"/>
    <w:rsid w:val="00590E3B"/>
    <w:rsid w:val="00590EAB"/>
    <w:rsid w:val="00590ECB"/>
    <w:rsid w:val="00590EDD"/>
    <w:rsid w:val="00590F00"/>
    <w:rsid w:val="00590F1D"/>
    <w:rsid w:val="00591006"/>
    <w:rsid w:val="0059101C"/>
    <w:rsid w:val="0059101E"/>
    <w:rsid w:val="00591066"/>
    <w:rsid w:val="00591135"/>
    <w:rsid w:val="00591167"/>
    <w:rsid w:val="005911C2"/>
    <w:rsid w:val="005911CC"/>
    <w:rsid w:val="00591236"/>
    <w:rsid w:val="00591256"/>
    <w:rsid w:val="00591292"/>
    <w:rsid w:val="005912AB"/>
    <w:rsid w:val="005912E6"/>
    <w:rsid w:val="005912F5"/>
    <w:rsid w:val="005912F7"/>
    <w:rsid w:val="00591317"/>
    <w:rsid w:val="00591368"/>
    <w:rsid w:val="005913A0"/>
    <w:rsid w:val="005913BD"/>
    <w:rsid w:val="005913C8"/>
    <w:rsid w:val="005913CF"/>
    <w:rsid w:val="005913E7"/>
    <w:rsid w:val="00591416"/>
    <w:rsid w:val="00591440"/>
    <w:rsid w:val="00591478"/>
    <w:rsid w:val="00591491"/>
    <w:rsid w:val="005914D5"/>
    <w:rsid w:val="005914E5"/>
    <w:rsid w:val="00591500"/>
    <w:rsid w:val="00591508"/>
    <w:rsid w:val="0059156B"/>
    <w:rsid w:val="00591594"/>
    <w:rsid w:val="005915C9"/>
    <w:rsid w:val="005915EA"/>
    <w:rsid w:val="005915FB"/>
    <w:rsid w:val="005915FD"/>
    <w:rsid w:val="00591612"/>
    <w:rsid w:val="0059162D"/>
    <w:rsid w:val="00591639"/>
    <w:rsid w:val="0059163E"/>
    <w:rsid w:val="00591678"/>
    <w:rsid w:val="005916FE"/>
    <w:rsid w:val="00591729"/>
    <w:rsid w:val="00591758"/>
    <w:rsid w:val="0059177C"/>
    <w:rsid w:val="005917E2"/>
    <w:rsid w:val="005917FE"/>
    <w:rsid w:val="00591838"/>
    <w:rsid w:val="0059186B"/>
    <w:rsid w:val="005918DB"/>
    <w:rsid w:val="00591946"/>
    <w:rsid w:val="00591962"/>
    <w:rsid w:val="005919B9"/>
    <w:rsid w:val="005919C0"/>
    <w:rsid w:val="005919E2"/>
    <w:rsid w:val="005919FE"/>
    <w:rsid w:val="00591A17"/>
    <w:rsid w:val="00591A5D"/>
    <w:rsid w:val="00591A69"/>
    <w:rsid w:val="00591A6C"/>
    <w:rsid w:val="00591AAE"/>
    <w:rsid w:val="00591AB0"/>
    <w:rsid w:val="00591ABF"/>
    <w:rsid w:val="00591B56"/>
    <w:rsid w:val="00591B66"/>
    <w:rsid w:val="00591B74"/>
    <w:rsid w:val="00591C27"/>
    <w:rsid w:val="00591CBD"/>
    <w:rsid w:val="00591CC8"/>
    <w:rsid w:val="00591CCC"/>
    <w:rsid w:val="00591D05"/>
    <w:rsid w:val="00591D13"/>
    <w:rsid w:val="00591D31"/>
    <w:rsid w:val="00591D6C"/>
    <w:rsid w:val="00591D6E"/>
    <w:rsid w:val="00591DBB"/>
    <w:rsid w:val="00591DD6"/>
    <w:rsid w:val="00591DE7"/>
    <w:rsid w:val="00591DEC"/>
    <w:rsid w:val="00591DEE"/>
    <w:rsid w:val="00591E5D"/>
    <w:rsid w:val="00591E63"/>
    <w:rsid w:val="00591EA8"/>
    <w:rsid w:val="00591EAC"/>
    <w:rsid w:val="00591EFD"/>
    <w:rsid w:val="00591F2A"/>
    <w:rsid w:val="00591F58"/>
    <w:rsid w:val="00591F62"/>
    <w:rsid w:val="00591F71"/>
    <w:rsid w:val="00591F8F"/>
    <w:rsid w:val="00591F91"/>
    <w:rsid w:val="00591F9D"/>
    <w:rsid w:val="00591FA3"/>
    <w:rsid w:val="00591FBD"/>
    <w:rsid w:val="005920CB"/>
    <w:rsid w:val="005920D9"/>
    <w:rsid w:val="005920E0"/>
    <w:rsid w:val="005920FD"/>
    <w:rsid w:val="00592138"/>
    <w:rsid w:val="0059215E"/>
    <w:rsid w:val="0059216F"/>
    <w:rsid w:val="0059217C"/>
    <w:rsid w:val="0059219E"/>
    <w:rsid w:val="005921DA"/>
    <w:rsid w:val="005921EB"/>
    <w:rsid w:val="005921ED"/>
    <w:rsid w:val="005921FA"/>
    <w:rsid w:val="00592248"/>
    <w:rsid w:val="00592285"/>
    <w:rsid w:val="005922DC"/>
    <w:rsid w:val="00592358"/>
    <w:rsid w:val="00592366"/>
    <w:rsid w:val="00592368"/>
    <w:rsid w:val="00592375"/>
    <w:rsid w:val="0059237A"/>
    <w:rsid w:val="005923C2"/>
    <w:rsid w:val="005923C5"/>
    <w:rsid w:val="005923D0"/>
    <w:rsid w:val="005923DA"/>
    <w:rsid w:val="005923F3"/>
    <w:rsid w:val="00592412"/>
    <w:rsid w:val="0059241E"/>
    <w:rsid w:val="00592424"/>
    <w:rsid w:val="00592443"/>
    <w:rsid w:val="005924AD"/>
    <w:rsid w:val="005924E9"/>
    <w:rsid w:val="00592518"/>
    <w:rsid w:val="0059252B"/>
    <w:rsid w:val="005925D0"/>
    <w:rsid w:val="005925F9"/>
    <w:rsid w:val="00592600"/>
    <w:rsid w:val="0059260E"/>
    <w:rsid w:val="0059261A"/>
    <w:rsid w:val="00592667"/>
    <w:rsid w:val="0059266E"/>
    <w:rsid w:val="0059266F"/>
    <w:rsid w:val="00592670"/>
    <w:rsid w:val="0059267C"/>
    <w:rsid w:val="00592681"/>
    <w:rsid w:val="0059268F"/>
    <w:rsid w:val="005926D2"/>
    <w:rsid w:val="00592724"/>
    <w:rsid w:val="00592774"/>
    <w:rsid w:val="00592788"/>
    <w:rsid w:val="005927D7"/>
    <w:rsid w:val="005927DF"/>
    <w:rsid w:val="005927F4"/>
    <w:rsid w:val="00592856"/>
    <w:rsid w:val="00592873"/>
    <w:rsid w:val="0059288A"/>
    <w:rsid w:val="005928AB"/>
    <w:rsid w:val="00592901"/>
    <w:rsid w:val="00592915"/>
    <w:rsid w:val="00592926"/>
    <w:rsid w:val="005929A1"/>
    <w:rsid w:val="005929B1"/>
    <w:rsid w:val="005929C6"/>
    <w:rsid w:val="005929E4"/>
    <w:rsid w:val="00592A41"/>
    <w:rsid w:val="00592A4B"/>
    <w:rsid w:val="00592A5A"/>
    <w:rsid w:val="00592AA1"/>
    <w:rsid w:val="00592ADE"/>
    <w:rsid w:val="00592B08"/>
    <w:rsid w:val="00592B28"/>
    <w:rsid w:val="00592B80"/>
    <w:rsid w:val="00592BA5"/>
    <w:rsid w:val="00592BAD"/>
    <w:rsid w:val="00592BC2"/>
    <w:rsid w:val="00592BE9"/>
    <w:rsid w:val="00592BF3"/>
    <w:rsid w:val="00592BF4"/>
    <w:rsid w:val="00592C0C"/>
    <w:rsid w:val="00592C2B"/>
    <w:rsid w:val="00592C42"/>
    <w:rsid w:val="00592C79"/>
    <w:rsid w:val="00592C8F"/>
    <w:rsid w:val="00592CE0"/>
    <w:rsid w:val="00592CEE"/>
    <w:rsid w:val="00592D27"/>
    <w:rsid w:val="00592D2C"/>
    <w:rsid w:val="00592DD6"/>
    <w:rsid w:val="00592DFB"/>
    <w:rsid w:val="00592E18"/>
    <w:rsid w:val="00592E3A"/>
    <w:rsid w:val="00592E67"/>
    <w:rsid w:val="00592E8B"/>
    <w:rsid w:val="00592EA5"/>
    <w:rsid w:val="00592EDA"/>
    <w:rsid w:val="00592F0B"/>
    <w:rsid w:val="00592F38"/>
    <w:rsid w:val="00592F63"/>
    <w:rsid w:val="00592F95"/>
    <w:rsid w:val="00592F97"/>
    <w:rsid w:val="00592FA8"/>
    <w:rsid w:val="00592FD0"/>
    <w:rsid w:val="0059300C"/>
    <w:rsid w:val="0059303A"/>
    <w:rsid w:val="00593052"/>
    <w:rsid w:val="00593057"/>
    <w:rsid w:val="005930A5"/>
    <w:rsid w:val="005930B4"/>
    <w:rsid w:val="005930C6"/>
    <w:rsid w:val="005930D2"/>
    <w:rsid w:val="005930ED"/>
    <w:rsid w:val="005930F5"/>
    <w:rsid w:val="00593133"/>
    <w:rsid w:val="00593148"/>
    <w:rsid w:val="0059314A"/>
    <w:rsid w:val="00593158"/>
    <w:rsid w:val="0059315B"/>
    <w:rsid w:val="00593169"/>
    <w:rsid w:val="0059318C"/>
    <w:rsid w:val="005931B5"/>
    <w:rsid w:val="005931EB"/>
    <w:rsid w:val="005931F0"/>
    <w:rsid w:val="005931F2"/>
    <w:rsid w:val="0059321F"/>
    <w:rsid w:val="00593225"/>
    <w:rsid w:val="005932A3"/>
    <w:rsid w:val="005932AC"/>
    <w:rsid w:val="005932BF"/>
    <w:rsid w:val="005932D9"/>
    <w:rsid w:val="005932DF"/>
    <w:rsid w:val="005932EE"/>
    <w:rsid w:val="00593354"/>
    <w:rsid w:val="0059338E"/>
    <w:rsid w:val="00593398"/>
    <w:rsid w:val="0059339A"/>
    <w:rsid w:val="005933A6"/>
    <w:rsid w:val="005933B2"/>
    <w:rsid w:val="005933B3"/>
    <w:rsid w:val="005933BB"/>
    <w:rsid w:val="005933CC"/>
    <w:rsid w:val="00593462"/>
    <w:rsid w:val="00593476"/>
    <w:rsid w:val="00593482"/>
    <w:rsid w:val="00593483"/>
    <w:rsid w:val="005934CA"/>
    <w:rsid w:val="00593520"/>
    <w:rsid w:val="00593521"/>
    <w:rsid w:val="00593563"/>
    <w:rsid w:val="005935A4"/>
    <w:rsid w:val="005935B6"/>
    <w:rsid w:val="0059361A"/>
    <w:rsid w:val="00593621"/>
    <w:rsid w:val="00593647"/>
    <w:rsid w:val="0059365E"/>
    <w:rsid w:val="00593664"/>
    <w:rsid w:val="00593668"/>
    <w:rsid w:val="00593669"/>
    <w:rsid w:val="00593698"/>
    <w:rsid w:val="005936B3"/>
    <w:rsid w:val="005936E7"/>
    <w:rsid w:val="00593709"/>
    <w:rsid w:val="0059376E"/>
    <w:rsid w:val="00593772"/>
    <w:rsid w:val="005937B6"/>
    <w:rsid w:val="005937EB"/>
    <w:rsid w:val="005937ED"/>
    <w:rsid w:val="00593817"/>
    <w:rsid w:val="0059381C"/>
    <w:rsid w:val="00593822"/>
    <w:rsid w:val="0059382A"/>
    <w:rsid w:val="005938A4"/>
    <w:rsid w:val="0059390A"/>
    <w:rsid w:val="005939F4"/>
    <w:rsid w:val="00593A07"/>
    <w:rsid w:val="00593A13"/>
    <w:rsid w:val="00593A2B"/>
    <w:rsid w:val="00593A3E"/>
    <w:rsid w:val="00593A97"/>
    <w:rsid w:val="00593AD2"/>
    <w:rsid w:val="00593AE0"/>
    <w:rsid w:val="00593AF2"/>
    <w:rsid w:val="00593B11"/>
    <w:rsid w:val="00593B20"/>
    <w:rsid w:val="00593B57"/>
    <w:rsid w:val="00593B61"/>
    <w:rsid w:val="00593B75"/>
    <w:rsid w:val="00593B80"/>
    <w:rsid w:val="00593BB5"/>
    <w:rsid w:val="00593BF9"/>
    <w:rsid w:val="00593BFF"/>
    <w:rsid w:val="00593C1B"/>
    <w:rsid w:val="00593C33"/>
    <w:rsid w:val="00593C4D"/>
    <w:rsid w:val="00593C68"/>
    <w:rsid w:val="00593C71"/>
    <w:rsid w:val="00593C79"/>
    <w:rsid w:val="00593C84"/>
    <w:rsid w:val="00593CA4"/>
    <w:rsid w:val="00593CCB"/>
    <w:rsid w:val="00593D39"/>
    <w:rsid w:val="00593D60"/>
    <w:rsid w:val="00593D65"/>
    <w:rsid w:val="00593D69"/>
    <w:rsid w:val="00593D7C"/>
    <w:rsid w:val="00593DD8"/>
    <w:rsid w:val="00593DF9"/>
    <w:rsid w:val="00593E22"/>
    <w:rsid w:val="00593E70"/>
    <w:rsid w:val="00593E83"/>
    <w:rsid w:val="00593EDC"/>
    <w:rsid w:val="00593EFE"/>
    <w:rsid w:val="00593F47"/>
    <w:rsid w:val="00593F54"/>
    <w:rsid w:val="00593F6A"/>
    <w:rsid w:val="00593F8E"/>
    <w:rsid w:val="00593FB1"/>
    <w:rsid w:val="00593FE6"/>
    <w:rsid w:val="00593FFB"/>
    <w:rsid w:val="005940A9"/>
    <w:rsid w:val="005940AE"/>
    <w:rsid w:val="00594106"/>
    <w:rsid w:val="00594146"/>
    <w:rsid w:val="0059416D"/>
    <w:rsid w:val="00594173"/>
    <w:rsid w:val="005941B7"/>
    <w:rsid w:val="005941E3"/>
    <w:rsid w:val="00594213"/>
    <w:rsid w:val="0059421F"/>
    <w:rsid w:val="00594255"/>
    <w:rsid w:val="00594283"/>
    <w:rsid w:val="005942A2"/>
    <w:rsid w:val="005942F7"/>
    <w:rsid w:val="00594320"/>
    <w:rsid w:val="00594352"/>
    <w:rsid w:val="005943C0"/>
    <w:rsid w:val="00594401"/>
    <w:rsid w:val="00594428"/>
    <w:rsid w:val="00594444"/>
    <w:rsid w:val="0059445C"/>
    <w:rsid w:val="00594472"/>
    <w:rsid w:val="00594484"/>
    <w:rsid w:val="005944D8"/>
    <w:rsid w:val="00594504"/>
    <w:rsid w:val="0059458E"/>
    <w:rsid w:val="005945AC"/>
    <w:rsid w:val="005945AE"/>
    <w:rsid w:val="005945BB"/>
    <w:rsid w:val="005945BD"/>
    <w:rsid w:val="005945C3"/>
    <w:rsid w:val="0059461C"/>
    <w:rsid w:val="0059464C"/>
    <w:rsid w:val="0059466C"/>
    <w:rsid w:val="0059468B"/>
    <w:rsid w:val="005946E7"/>
    <w:rsid w:val="00594719"/>
    <w:rsid w:val="00594723"/>
    <w:rsid w:val="0059473C"/>
    <w:rsid w:val="0059476C"/>
    <w:rsid w:val="00594796"/>
    <w:rsid w:val="005947B8"/>
    <w:rsid w:val="005947DB"/>
    <w:rsid w:val="0059480B"/>
    <w:rsid w:val="00594811"/>
    <w:rsid w:val="00594874"/>
    <w:rsid w:val="005948A9"/>
    <w:rsid w:val="005948D1"/>
    <w:rsid w:val="005948D3"/>
    <w:rsid w:val="00594909"/>
    <w:rsid w:val="00594927"/>
    <w:rsid w:val="0059496E"/>
    <w:rsid w:val="00594971"/>
    <w:rsid w:val="00594989"/>
    <w:rsid w:val="005949BC"/>
    <w:rsid w:val="005949C9"/>
    <w:rsid w:val="00594A59"/>
    <w:rsid w:val="00594A82"/>
    <w:rsid w:val="00594A86"/>
    <w:rsid w:val="00594AA2"/>
    <w:rsid w:val="00594AC3"/>
    <w:rsid w:val="00594AC8"/>
    <w:rsid w:val="00594AE1"/>
    <w:rsid w:val="00594B4A"/>
    <w:rsid w:val="00594B80"/>
    <w:rsid w:val="00594BD9"/>
    <w:rsid w:val="00594BE4"/>
    <w:rsid w:val="00594C2E"/>
    <w:rsid w:val="00594C45"/>
    <w:rsid w:val="00594C6C"/>
    <w:rsid w:val="00594C76"/>
    <w:rsid w:val="00594CA8"/>
    <w:rsid w:val="00594D03"/>
    <w:rsid w:val="00594D33"/>
    <w:rsid w:val="00594D4D"/>
    <w:rsid w:val="00594D56"/>
    <w:rsid w:val="00594D79"/>
    <w:rsid w:val="00594D8C"/>
    <w:rsid w:val="00594E05"/>
    <w:rsid w:val="00594E06"/>
    <w:rsid w:val="00594E7D"/>
    <w:rsid w:val="00594E8F"/>
    <w:rsid w:val="00594EA9"/>
    <w:rsid w:val="00594EB5"/>
    <w:rsid w:val="00594EDF"/>
    <w:rsid w:val="00594EED"/>
    <w:rsid w:val="00594F53"/>
    <w:rsid w:val="00594F8B"/>
    <w:rsid w:val="00594F9A"/>
    <w:rsid w:val="00594FC8"/>
    <w:rsid w:val="00594FE4"/>
    <w:rsid w:val="00594FF3"/>
    <w:rsid w:val="00595021"/>
    <w:rsid w:val="0059502F"/>
    <w:rsid w:val="0059503D"/>
    <w:rsid w:val="0059506C"/>
    <w:rsid w:val="0059506D"/>
    <w:rsid w:val="0059507A"/>
    <w:rsid w:val="0059507F"/>
    <w:rsid w:val="0059508D"/>
    <w:rsid w:val="00595094"/>
    <w:rsid w:val="005950B0"/>
    <w:rsid w:val="005950B7"/>
    <w:rsid w:val="005950BE"/>
    <w:rsid w:val="005950F2"/>
    <w:rsid w:val="00595120"/>
    <w:rsid w:val="00595137"/>
    <w:rsid w:val="00595142"/>
    <w:rsid w:val="00595155"/>
    <w:rsid w:val="0059516B"/>
    <w:rsid w:val="0059516D"/>
    <w:rsid w:val="0059518C"/>
    <w:rsid w:val="00595194"/>
    <w:rsid w:val="005951CE"/>
    <w:rsid w:val="00595206"/>
    <w:rsid w:val="00595258"/>
    <w:rsid w:val="0059525A"/>
    <w:rsid w:val="00595299"/>
    <w:rsid w:val="005952BD"/>
    <w:rsid w:val="005952E4"/>
    <w:rsid w:val="0059535B"/>
    <w:rsid w:val="0059535D"/>
    <w:rsid w:val="00595376"/>
    <w:rsid w:val="005953A1"/>
    <w:rsid w:val="005953BF"/>
    <w:rsid w:val="005953CF"/>
    <w:rsid w:val="00595401"/>
    <w:rsid w:val="00595416"/>
    <w:rsid w:val="0059545F"/>
    <w:rsid w:val="00595484"/>
    <w:rsid w:val="00595488"/>
    <w:rsid w:val="005954E4"/>
    <w:rsid w:val="0059552A"/>
    <w:rsid w:val="0059553C"/>
    <w:rsid w:val="00595582"/>
    <w:rsid w:val="0059559B"/>
    <w:rsid w:val="005955BB"/>
    <w:rsid w:val="005955BF"/>
    <w:rsid w:val="005955C1"/>
    <w:rsid w:val="005955D4"/>
    <w:rsid w:val="005955D9"/>
    <w:rsid w:val="005955EF"/>
    <w:rsid w:val="005955F9"/>
    <w:rsid w:val="0059562B"/>
    <w:rsid w:val="0059563D"/>
    <w:rsid w:val="00595657"/>
    <w:rsid w:val="005956D9"/>
    <w:rsid w:val="005956EE"/>
    <w:rsid w:val="00595702"/>
    <w:rsid w:val="00595707"/>
    <w:rsid w:val="0059578C"/>
    <w:rsid w:val="00595794"/>
    <w:rsid w:val="005957A1"/>
    <w:rsid w:val="005957A7"/>
    <w:rsid w:val="005957D4"/>
    <w:rsid w:val="0059580C"/>
    <w:rsid w:val="00595815"/>
    <w:rsid w:val="0059582D"/>
    <w:rsid w:val="0059583E"/>
    <w:rsid w:val="005958AA"/>
    <w:rsid w:val="005958DB"/>
    <w:rsid w:val="00595900"/>
    <w:rsid w:val="0059590A"/>
    <w:rsid w:val="00595923"/>
    <w:rsid w:val="00595942"/>
    <w:rsid w:val="00595955"/>
    <w:rsid w:val="00595957"/>
    <w:rsid w:val="0059597C"/>
    <w:rsid w:val="005959BE"/>
    <w:rsid w:val="005959C4"/>
    <w:rsid w:val="005959E5"/>
    <w:rsid w:val="00595A10"/>
    <w:rsid w:val="00595A1B"/>
    <w:rsid w:val="00595A52"/>
    <w:rsid w:val="00595AAA"/>
    <w:rsid w:val="00595AB2"/>
    <w:rsid w:val="00595ABD"/>
    <w:rsid w:val="00595ABE"/>
    <w:rsid w:val="00595B4F"/>
    <w:rsid w:val="00595B5D"/>
    <w:rsid w:val="00595B95"/>
    <w:rsid w:val="00595BE4"/>
    <w:rsid w:val="00595C1D"/>
    <w:rsid w:val="00595C76"/>
    <w:rsid w:val="00595C95"/>
    <w:rsid w:val="00595CA4"/>
    <w:rsid w:val="00595CBC"/>
    <w:rsid w:val="00595CE0"/>
    <w:rsid w:val="00595D1E"/>
    <w:rsid w:val="00595D53"/>
    <w:rsid w:val="00595D8B"/>
    <w:rsid w:val="00595D93"/>
    <w:rsid w:val="00595DA4"/>
    <w:rsid w:val="00595DB2"/>
    <w:rsid w:val="00595DC0"/>
    <w:rsid w:val="00595DCB"/>
    <w:rsid w:val="00595DCD"/>
    <w:rsid w:val="00595E37"/>
    <w:rsid w:val="00595E41"/>
    <w:rsid w:val="00595E45"/>
    <w:rsid w:val="00595E58"/>
    <w:rsid w:val="00595E5E"/>
    <w:rsid w:val="00595E81"/>
    <w:rsid w:val="00595F03"/>
    <w:rsid w:val="00595F0E"/>
    <w:rsid w:val="00595F3F"/>
    <w:rsid w:val="00595F57"/>
    <w:rsid w:val="00595F84"/>
    <w:rsid w:val="00595F8D"/>
    <w:rsid w:val="00595F95"/>
    <w:rsid w:val="00595FA2"/>
    <w:rsid w:val="0059603D"/>
    <w:rsid w:val="00596046"/>
    <w:rsid w:val="0059604F"/>
    <w:rsid w:val="00596091"/>
    <w:rsid w:val="005960A7"/>
    <w:rsid w:val="005960F7"/>
    <w:rsid w:val="0059611F"/>
    <w:rsid w:val="00596132"/>
    <w:rsid w:val="0059617B"/>
    <w:rsid w:val="0059617C"/>
    <w:rsid w:val="00596196"/>
    <w:rsid w:val="00596199"/>
    <w:rsid w:val="0059619B"/>
    <w:rsid w:val="005961B4"/>
    <w:rsid w:val="005961B7"/>
    <w:rsid w:val="005961BA"/>
    <w:rsid w:val="0059621D"/>
    <w:rsid w:val="00596221"/>
    <w:rsid w:val="0059624F"/>
    <w:rsid w:val="00596276"/>
    <w:rsid w:val="00596292"/>
    <w:rsid w:val="005962C3"/>
    <w:rsid w:val="00596318"/>
    <w:rsid w:val="0059632B"/>
    <w:rsid w:val="0059639E"/>
    <w:rsid w:val="005963A3"/>
    <w:rsid w:val="005963AC"/>
    <w:rsid w:val="005963B1"/>
    <w:rsid w:val="00596417"/>
    <w:rsid w:val="0059641E"/>
    <w:rsid w:val="00596467"/>
    <w:rsid w:val="005964B2"/>
    <w:rsid w:val="0059650F"/>
    <w:rsid w:val="0059651D"/>
    <w:rsid w:val="00596566"/>
    <w:rsid w:val="0059657D"/>
    <w:rsid w:val="00596584"/>
    <w:rsid w:val="00596598"/>
    <w:rsid w:val="0059659D"/>
    <w:rsid w:val="005965DE"/>
    <w:rsid w:val="00596629"/>
    <w:rsid w:val="00596637"/>
    <w:rsid w:val="0059663A"/>
    <w:rsid w:val="0059667C"/>
    <w:rsid w:val="00596684"/>
    <w:rsid w:val="00596688"/>
    <w:rsid w:val="005966E4"/>
    <w:rsid w:val="005966EC"/>
    <w:rsid w:val="005966FB"/>
    <w:rsid w:val="00596746"/>
    <w:rsid w:val="00596748"/>
    <w:rsid w:val="00596755"/>
    <w:rsid w:val="00596771"/>
    <w:rsid w:val="005967B4"/>
    <w:rsid w:val="005967B5"/>
    <w:rsid w:val="00596819"/>
    <w:rsid w:val="00596833"/>
    <w:rsid w:val="00596859"/>
    <w:rsid w:val="00596869"/>
    <w:rsid w:val="0059688F"/>
    <w:rsid w:val="005968B0"/>
    <w:rsid w:val="005968C4"/>
    <w:rsid w:val="005968C5"/>
    <w:rsid w:val="005968D8"/>
    <w:rsid w:val="005968F0"/>
    <w:rsid w:val="005968F7"/>
    <w:rsid w:val="005969A6"/>
    <w:rsid w:val="005969AC"/>
    <w:rsid w:val="005969BC"/>
    <w:rsid w:val="005969CA"/>
    <w:rsid w:val="00596A0D"/>
    <w:rsid w:val="00596A17"/>
    <w:rsid w:val="00596A8D"/>
    <w:rsid w:val="00596AB7"/>
    <w:rsid w:val="00596AD2"/>
    <w:rsid w:val="00596AEE"/>
    <w:rsid w:val="00596B1C"/>
    <w:rsid w:val="00596B61"/>
    <w:rsid w:val="00596BB6"/>
    <w:rsid w:val="00596BD9"/>
    <w:rsid w:val="00596BE3"/>
    <w:rsid w:val="00596BF3"/>
    <w:rsid w:val="00596C13"/>
    <w:rsid w:val="00596C31"/>
    <w:rsid w:val="00596C7D"/>
    <w:rsid w:val="00596C85"/>
    <w:rsid w:val="00596C99"/>
    <w:rsid w:val="00596CC8"/>
    <w:rsid w:val="00596CD2"/>
    <w:rsid w:val="00596CD8"/>
    <w:rsid w:val="00596CF3"/>
    <w:rsid w:val="00596D43"/>
    <w:rsid w:val="00596D54"/>
    <w:rsid w:val="00596D7F"/>
    <w:rsid w:val="00596DAD"/>
    <w:rsid w:val="00596DB6"/>
    <w:rsid w:val="00596DE1"/>
    <w:rsid w:val="00596DED"/>
    <w:rsid w:val="00596DF9"/>
    <w:rsid w:val="00596E06"/>
    <w:rsid w:val="00596E0F"/>
    <w:rsid w:val="00596E4F"/>
    <w:rsid w:val="00596E6C"/>
    <w:rsid w:val="00596E94"/>
    <w:rsid w:val="00596EA0"/>
    <w:rsid w:val="00596EBE"/>
    <w:rsid w:val="00596EF4"/>
    <w:rsid w:val="00596F16"/>
    <w:rsid w:val="00596F24"/>
    <w:rsid w:val="00596F3A"/>
    <w:rsid w:val="00596F48"/>
    <w:rsid w:val="00596F76"/>
    <w:rsid w:val="00596F94"/>
    <w:rsid w:val="00596F98"/>
    <w:rsid w:val="00596FCF"/>
    <w:rsid w:val="00597007"/>
    <w:rsid w:val="00597086"/>
    <w:rsid w:val="005970AB"/>
    <w:rsid w:val="005970D9"/>
    <w:rsid w:val="0059711D"/>
    <w:rsid w:val="00597155"/>
    <w:rsid w:val="0059715A"/>
    <w:rsid w:val="005971CA"/>
    <w:rsid w:val="005971F6"/>
    <w:rsid w:val="005971FE"/>
    <w:rsid w:val="0059720C"/>
    <w:rsid w:val="0059722F"/>
    <w:rsid w:val="00597237"/>
    <w:rsid w:val="00597283"/>
    <w:rsid w:val="005972C8"/>
    <w:rsid w:val="005972D8"/>
    <w:rsid w:val="005972E5"/>
    <w:rsid w:val="005972F8"/>
    <w:rsid w:val="00597309"/>
    <w:rsid w:val="00597328"/>
    <w:rsid w:val="0059732B"/>
    <w:rsid w:val="00597344"/>
    <w:rsid w:val="00597348"/>
    <w:rsid w:val="00597349"/>
    <w:rsid w:val="0059737C"/>
    <w:rsid w:val="00597397"/>
    <w:rsid w:val="005973A0"/>
    <w:rsid w:val="005973C2"/>
    <w:rsid w:val="005973D5"/>
    <w:rsid w:val="005973D6"/>
    <w:rsid w:val="005973E6"/>
    <w:rsid w:val="005973F9"/>
    <w:rsid w:val="0059743D"/>
    <w:rsid w:val="0059744F"/>
    <w:rsid w:val="00597466"/>
    <w:rsid w:val="00597475"/>
    <w:rsid w:val="00597489"/>
    <w:rsid w:val="0059749D"/>
    <w:rsid w:val="005974D1"/>
    <w:rsid w:val="00597505"/>
    <w:rsid w:val="00597523"/>
    <w:rsid w:val="00597530"/>
    <w:rsid w:val="0059755F"/>
    <w:rsid w:val="005975B4"/>
    <w:rsid w:val="00597605"/>
    <w:rsid w:val="00597636"/>
    <w:rsid w:val="0059763D"/>
    <w:rsid w:val="00597643"/>
    <w:rsid w:val="00597660"/>
    <w:rsid w:val="00597662"/>
    <w:rsid w:val="005976A6"/>
    <w:rsid w:val="005976D7"/>
    <w:rsid w:val="005976E4"/>
    <w:rsid w:val="005976FE"/>
    <w:rsid w:val="00597714"/>
    <w:rsid w:val="00597725"/>
    <w:rsid w:val="00597745"/>
    <w:rsid w:val="00597788"/>
    <w:rsid w:val="005977B0"/>
    <w:rsid w:val="005977BD"/>
    <w:rsid w:val="0059780B"/>
    <w:rsid w:val="0059781B"/>
    <w:rsid w:val="0059781E"/>
    <w:rsid w:val="0059782F"/>
    <w:rsid w:val="0059785A"/>
    <w:rsid w:val="00597874"/>
    <w:rsid w:val="005978A7"/>
    <w:rsid w:val="005978BA"/>
    <w:rsid w:val="005978DA"/>
    <w:rsid w:val="00597979"/>
    <w:rsid w:val="00597985"/>
    <w:rsid w:val="00597999"/>
    <w:rsid w:val="005979C6"/>
    <w:rsid w:val="00597A74"/>
    <w:rsid w:val="00597AE7"/>
    <w:rsid w:val="00597AEE"/>
    <w:rsid w:val="00597AFD"/>
    <w:rsid w:val="00597B19"/>
    <w:rsid w:val="00597B2F"/>
    <w:rsid w:val="00597B4E"/>
    <w:rsid w:val="00597B58"/>
    <w:rsid w:val="00597B62"/>
    <w:rsid w:val="00597BA3"/>
    <w:rsid w:val="00597BA8"/>
    <w:rsid w:val="00597BC2"/>
    <w:rsid w:val="00597C0F"/>
    <w:rsid w:val="00597C2B"/>
    <w:rsid w:val="00597C90"/>
    <w:rsid w:val="00597CA2"/>
    <w:rsid w:val="00597CE6"/>
    <w:rsid w:val="00597CF1"/>
    <w:rsid w:val="00597D1C"/>
    <w:rsid w:val="00597D28"/>
    <w:rsid w:val="00597D40"/>
    <w:rsid w:val="00597D58"/>
    <w:rsid w:val="00597D6D"/>
    <w:rsid w:val="00597DBF"/>
    <w:rsid w:val="00597DC4"/>
    <w:rsid w:val="00597DC6"/>
    <w:rsid w:val="00597DDD"/>
    <w:rsid w:val="00597DEB"/>
    <w:rsid w:val="00597DF2"/>
    <w:rsid w:val="00597E04"/>
    <w:rsid w:val="00597E4D"/>
    <w:rsid w:val="00597E7B"/>
    <w:rsid w:val="00597EDD"/>
    <w:rsid w:val="00597EF9"/>
    <w:rsid w:val="00597F15"/>
    <w:rsid w:val="00597F19"/>
    <w:rsid w:val="00597F64"/>
    <w:rsid w:val="00597FA5"/>
    <w:rsid w:val="00597FB7"/>
    <w:rsid w:val="00597FF7"/>
    <w:rsid w:val="0059E747"/>
    <w:rsid w:val="005A000F"/>
    <w:rsid w:val="005A0027"/>
    <w:rsid w:val="005A003A"/>
    <w:rsid w:val="005A003B"/>
    <w:rsid w:val="005A00A7"/>
    <w:rsid w:val="005A00B5"/>
    <w:rsid w:val="005A00EA"/>
    <w:rsid w:val="005A00F0"/>
    <w:rsid w:val="005A013A"/>
    <w:rsid w:val="005A0162"/>
    <w:rsid w:val="005A0165"/>
    <w:rsid w:val="005A016B"/>
    <w:rsid w:val="005A019C"/>
    <w:rsid w:val="005A01A5"/>
    <w:rsid w:val="005A01AD"/>
    <w:rsid w:val="005A01B2"/>
    <w:rsid w:val="005A01C2"/>
    <w:rsid w:val="005A01EB"/>
    <w:rsid w:val="005A01FB"/>
    <w:rsid w:val="005A022F"/>
    <w:rsid w:val="005A02AE"/>
    <w:rsid w:val="005A02D4"/>
    <w:rsid w:val="005A0320"/>
    <w:rsid w:val="005A0334"/>
    <w:rsid w:val="005A0345"/>
    <w:rsid w:val="005A0355"/>
    <w:rsid w:val="005A0397"/>
    <w:rsid w:val="005A03B4"/>
    <w:rsid w:val="005A03B5"/>
    <w:rsid w:val="005A03E3"/>
    <w:rsid w:val="005A03EC"/>
    <w:rsid w:val="005A0403"/>
    <w:rsid w:val="005A0461"/>
    <w:rsid w:val="005A0467"/>
    <w:rsid w:val="005A04A8"/>
    <w:rsid w:val="005A04AF"/>
    <w:rsid w:val="005A04C0"/>
    <w:rsid w:val="005A04D8"/>
    <w:rsid w:val="005A04F0"/>
    <w:rsid w:val="005A0567"/>
    <w:rsid w:val="005A0569"/>
    <w:rsid w:val="005A0574"/>
    <w:rsid w:val="005A0587"/>
    <w:rsid w:val="005A05B6"/>
    <w:rsid w:val="005A05B7"/>
    <w:rsid w:val="005A05C8"/>
    <w:rsid w:val="005A05DD"/>
    <w:rsid w:val="005A0605"/>
    <w:rsid w:val="005A0622"/>
    <w:rsid w:val="005A063F"/>
    <w:rsid w:val="005A0651"/>
    <w:rsid w:val="005A0672"/>
    <w:rsid w:val="005A0675"/>
    <w:rsid w:val="005A06AF"/>
    <w:rsid w:val="005A06C9"/>
    <w:rsid w:val="005A06CB"/>
    <w:rsid w:val="005A06D0"/>
    <w:rsid w:val="005A0731"/>
    <w:rsid w:val="005A07A2"/>
    <w:rsid w:val="005A07A4"/>
    <w:rsid w:val="005A07CF"/>
    <w:rsid w:val="005A07FF"/>
    <w:rsid w:val="005A0852"/>
    <w:rsid w:val="005A0864"/>
    <w:rsid w:val="005A0884"/>
    <w:rsid w:val="005A08EA"/>
    <w:rsid w:val="005A0913"/>
    <w:rsid w:val="005A099C"/>
    <w:rsid w:val="005A09A0"/>
    <w:rsid w:val="005A09AA"/>
    <w:rsid w:val="005A0A02"/>
    <w:rsid w:val="005A0A67"/>
    <w:rsid w:val="005A0ABE"/>
    <w:rsid w:val="005A0AC7"/>
    <w:rsid w:val="005A0AE7"/>
    <w:rsid w:val="005A0B1B"/>
    <w:rsid w:val="005A0B32"/>
    <w:rsid w:val="005A0B4E"/>
    <w:rsid w:val="005A0BA5"/>
    <w:rsid w:val="005A0BD5"/>
    <w:rsid w:val="005A0BE3"/>
    <w:rsid w:val="005A0C35"/>
    <w:rsid w:val="005A0C40"/>
    <w:rsid w:val="005A0C60"/>
    <w:rsid w:val="005A0CEC"/>
    <w:rsid w:val="005A0D3E"/>
    <w:rsid w:val="005A0D50"/>
    <w:rsid w:val="005A0D53"/>
    <w:rsid w:val="005A0D66"/>
    <w:rsid w:val="005A0D80"/>
    <w:rsid w:val="005A0DCB"/>
    <w:rsid w:val="005A0E5E"/>
    <w:rsid w:val="005A0E6F"/>
    <w:rsid w:val="005A0E98"/>
    <w:rsid w:val="005A0EC2"/>
    <w:rsid w:val="005A0ECC"/>
    <w:rsid w:val="005A0EE2"/>
    <w:rsid w:val="005A0EEA"/>
    <w:rsid w:val="005A0EF5"/>
    <w:rsid w:val="005A0F09"/>
    <w:rsid w:val="005A0F0C"/>
    <w:rsid w:val="005A0F13"/>
    <w:rsid w:val="005A0F25"/>
    <w:rsid w:val="005A0F96"/>
    <w:rsid w:val="005A0FA7"/>
    <w:rsid w:val="005A0FB9"/>
    <w:rsid w:val="005A0FC8"/>
    <w:rsid w:val="005A0FF7"/>
    <w:rsid w:val="005A0FFE"/>
    <w:rsid w:val="005A1018"/>
    <w:rsid w:val="005A1023"/>
    <w:rsid w:val="005A103D"/>
    <w:rsid w:val="005A1070"/>
    <w:rsid w:val="005A108C"/>
    <w:rsid w:val="005A10A1"/>
    <w:rsid w:val="005A1100"/>
    <w:rsid w:val="005A1128"/>
    <w:rsid w:val="005A1133"/>
    <w:rsid w:val="005A1157"/>
    <w:rsid w:val="005A1194"/>
    <w:rsid w:val="005A11C0"/>
    <w:rsid w:val="005A120A"/>
    <w:rsid w:val="005A122A"/>
    <w:rsid w:val="005A1290"/>
    <w:rsid w:val="005A12BD"/>
    <w:rsid w:val="005A12E3"/>
    <w:rsid w:val="005A1344"/>
    <w:rsid w:val="005A1348"/>
    <w:rsid w:val="005A137B"/>
    <w:rsid w:val="005A1395"/>
    <w:rsid w:val="005A143C"/>
    <w:rsid w:val="005A1442"/>
    <w:rsid w:val="005A1483"/>
    <w:rsid w:val="005A14DD"/>
    <w:rsid w:val="005A1509"/>
    <w:rsid w:val="005A1527"/>
    <w:rsid w:val="005A1542"/>
    <w:rsid w:val="005A15B7"/>
    <w:rsid w:val="005A15F4"/>
    <w:rsid w:val="005A15F9"/>
    <w:rsid w:val="005A1616"/>
    <w:rsid w:val="005A16D5"/>
    <w:rsid w:val="005A1714"/>
    <w:rsid w:val="005A175F"/>
    <w:rsid w:val="005A176E"/>
    <w:rsid w:val="005A17B3"/>
    <w:rsid w:val="005A17C3"/>
    <w:rsid w:val="005A17CB"/>
    <w:rsid w:val="005A17F7"/>
    <w:rsid w:val="005A1812"/>
    <w:rsid w:val="005A1827"/>
    <w:rsid w:val="005A1857"/>
    <w:rsid w:val="005A188A"/>
    <w:rsid w:val="005A18FD"/>
    <w:rsid w:val="005A1947"/>
    <w:rsid w:val="005A194E"/>
    <w:rsid w:val="005A1968"/>
    <w:rsid w:val="005A19A2"/>
    <w:rsid w:val="005A1A1F"/>
    <w:rsid w:val="005A1A20"/>
    <w:rsid w:val="005A1A6D"/>
    <w:rsid w:val="005A1A8F"/>
    <w:rsid w:val="005A1B18"/>
    <w:rsid w:val="005A1B54"/>
    <w:rsid w:val="005A1B5B"/>
    <w:rsid w:val="005A1B5E"/>
    <w:rsid w:val="005A1B73"/>
    <w:rsid w:val="005A1B87"/>
    <w:rsid w:val="005A1C64"/>
    <w:rsid w:val="005A1C89"/>
    <w:rsid w:val="005A1C97"/>
    <w:rsid w:val="005A1C9C"/>
    <w:rsid w:val="005A1CA2"/>
    <w:rsid w:val="005A1CE6"/>
    <w:rsid w:val="005A1D01"/>
    <w:rsid w:val="005A1D37"/>
    <w:rsid w:val="005A1D3E"/>
    <w:rsid w:val="005A1D9E"/>
    <w:rsid w:val="005A1DDF"/>
    <w:rsid w:val="005A1E0C"/>
    <w:rsid w:val="005A1E10"/>
    <w:rsid w:val="005A1E11"/>
    <w:rsid w:val="005A1E4C"/>
    <w:rsid w:val="005A1E9A"/>
    <w:rsid w:val="005A1E9B"/>
    <w:rsid w:val="005A1ED4"/>
    <w:rsid w:val="005A1EE2"/>
    <w:rsid w:val="005A1F6D"/>
    <w:rsid w:val="005A1FA0"/>
    <w:rsid w:val="005A1FCC"/>
    <w:rsid w:val="005A1FDB"/>
    <w:rsid w:val="005A1FE8"/>
    <w:rsid w:val="005A2015"/>
    <w:rsid w:val="005A2019"/>
    <w:rsid w:val="005A2080"/>
    <w:rsid w:val="005A20A2"/>
    <w:rsid w:val="005A2107"/>
    <w:rsid w:val="005A2154"/>
    <w:rsid w:val="005A215A"/>
    <w:rsid w:val="005A2164"/>
    <w:rsid w:val="005A21AF"/>
    <w:rsid w:val="005A21DC"/>
    <w:rsid w:val="005A220F"/>
    <w:rsid w:val="005A2238"/>
    <w:rsid w:val="005A2252"/>
    <w:rsid w:val="005A229B"/>
    <w:rsid w:val="005A229F"/>
    <w:rsid w:val="005A2300"/>
    <w:rsid w:val="005A2318"/>
    <w:rsid w:val="005A231B"/>
    <w:rsid w:val="005A23FF"/>
    <w:rsid w:val="005A2466"/>
    <w:rsid w:val="005A24D7"/>
    <w:rsid w:val="005A24E7"/>
    <w:rsid w:val="005A250F"/>
    <w:rsid w:val="005A251E"/>
    <w:rsid w:val="005A253E"/>
    <w:rsid w:val="005A2540"/>
    <w:rsid w:val="005A2586"/>
    <w:rsid w:val="005A2587"/>
    <w:rsid w:val="005A25C7"/>
    <w:rsid w:val="005A25D2"/>
    <w:rsid w:val="005A2667"/>
    <w:rsid w:val="005A26D9"/>
    <w:rsid w:val="005A271E"/>
    <w:rsid w:val="005A2731"/>
    <w:rsid w:val="005A273C"/>
    <w:rsid w:val="005A2748"/>
    <w:rsid w:val="005A2765"/>
    <w:rsid w:val="005A278A"/>
    <w:rsid w:val="005A2794"/>
    <w:rsid w:val="005A27BA"/>
    <w:rsid w:val="005A27D7"/>
    <w:rsid w:val="005A27DB"/>
    <w:rsid w:val="005A2807"/>
    <w:rsid w:val="005A2818"/>
    <w:rsid w:val="005A28BC"/>
    <w:rsid w:val="005A28F9"/>
    <w:rsid w:val="005A2935"/>
    <w:rsid w:val="005A29AF"/>
    <w:rsid w:val="005A29B0"/>
    <w:rsid w:val="005A29B4"/>
    <w:rsid w:val="005A29DB"/>
    <w:rsid w:val="005A2A19"/>
    <w:rsid w:val="005A2A2C"/>
    <w:rsid w:val="005A2A41"/>
    <w:rsid w:val="005A2A71"/>
    <w:rsid w:val="005A2A98"/>
    <w:rsid w:val="005A2ABE"/>
    <w:rsid w:val="005A2AEC"/>
    <w:rsid w:val="005A2B0A"/>
    <w:rsid w:val="005A2B14"/>
    <w:rsid w:val="005A2B86"/>
    <w:rsid w:val="005A2C11"/>
    <w:rsid w:val="005A2C2D"/>
    <w:rsid w:val="005A2C2F"/>
    <w:rsid w:val="005A2C3E"/>
    <w:rsid w:val="005A2C6F"/>
    <w:rsid w:val="005A2C7F"/>
    <w:rsid w:val="005A2C86"/>
    <w:rsid w:val="005A2C92"/>
    <w:rsid w:val="005A2CAB"/>
    <w:rsid w:val="005A2CBE"/>
    <w:rsid w:val="005A2CE2"/>
    <w:rsid w:val="005A2D0F"/>
    <w:rsid w:val="005A2D27"/>
    <w:rsid w:val="005A2D35"/>
    <w:rsid w:val="005A2D4E"/>
    <w:rsid w:val="005A2D86"/>
    <w:rsid w:val="005A2D9A"/>
    <w:rsid w:val="005A2DC0"/>
    <w:rsid w:val="005A2DCD"/>
    <w:rsid w:val="005A2DDF"/>
    <w:rsid w:val="005A2DE9"/>
    <w:rsid w:val="005A2E12"/>
    <w:rsid w:val="005A2E1D"/>
    <w:rsid w:val="005A2E48"/>
    <w:rsid w:val="005A2EA9"/>
    <w:rsid w:val="005A2EB7"/>
    <w:rsid w:val="005A2EEA"/>
    <w:rsid w:val="005A2F0F"/>
    <w:rsid w:val="005A2F8E"/>
    <w:rsid w:val="005A2FA2"/>
    <w:rsid w:val="005A2FE7"/>
    <w:rsid w:val="005A3022"/>
    <w:rsid w:val="005A3083"/>
    <w:rsid w:val="005A30A9"/>
    <w:rsid w:val="005A30BF"/>
    <w:rsid w:val="005A30CC"/>
    <w:rsid w:val="005A30D4"/>
    <w:rsid w:val="005A310A"/>
    <w:rsid w:val="005A3117"/>
    <w:rsid w:val="005A3131"/>
    <w:rsid w:val="005A3164"/>
    <w:rsid w:val="005A3217"/>
    <w:rsid w:val="005A32C2"/>
    <w:rsid w:val="005A32C7"/>
    <w:rsid w:val="005A32EB"/>
    <w:rsid w:val="005A32FB"/>
    <w:rsid w:val="005A3310"/>
    <w:rsid w:val="005A3343"/>
    <w:rsid w:val="005A336E"/>
    <w:rsid w:val="005A3387"/>
    <w:rsid w:val="005A33C8"/>
    <w:rsid w:val="005A3413"/>
    <w:rsid w:val="005A3423"/>
    <w:rsid w:val="005A3438"/>
    <w:rsid w:val="005A3493"/>
    <w:rsid w:val="005A351F"/>
    <w:rsid w:val="005A353A"/>
    <w:rsid w:val="005A3563"/>
    <w:rsid w:val="005A3571"/>
    <w:rsid w:val="005A3582"/>
    <w:rsid w:val="005A35C5"/>
    <w:rsid w:val="005A35DF"/>
    <w:rsid w:val="005A35EB"/>
    <w:rsid w:val="005A35F2"/>
    <w:rsid w:val="005A35FB"/>
    <w:rsid w:val="005A361F"/>
    <w:rsid w:val="005A3629"/>
    <w:rsid w:val="005A3683"/>
    <w:rsid w:val="005A3694"/>
    <w:rsid w:val="005A3704"/>
    <w:rsid w:val="005A370B"/>
    <w:rsid w:val="005A3731"/>
    <w:rsid w:val="005A373D"/>
    <w:rsid w:val="005A3743"/>
    <w:rsid w:val="005A3787"/>
    <w:rsid w:val="005A37C8"/>
    <w:rsid w:val="005A37E5"/>
    <w:rsid w:val="005A3814"/>
    <w:rsid w:val="005A3830"/>
    <w:rsid w:val="005A38A9"/>
    <w:rsid w:val="005A38E0"/>
    <w:rsid w:val="005A3962"/>
    <w:rsid w:val="005A397D"/>
    <w:rsid w:val="005A3A11"/>
    <w:rsid w:val="005A3A13"/>
    <w:rsid w:val="005A3A25"/>
    <w:rsid w:val="005A3A3E"/>
    <w:rsid w:val="005A3A57"/>
    <w:rsid w:val="005A3AA2"/>
    <w:rsid w:val="005A3AA6"/>
    <w:rsid w:val="005A3B1D"/>
    <w:rsid w:val="005A3B1E"/>
    <w:rsid w:val="005A3B63"/>
    <w:rsid w:val="005A3B68"/>
    <w:rsid w:val="005A3B84"/>
    <w:rsid w:val="005A3B89"/>
    <w:rsid w:val="005A3B90"/>
    <w:rsid w:val="005A3BB5"/>
    <w:rsid w:val="005A3BC4"/>
    <w:rsid w:val="005A3C02"/>
    <w:rsid w:val="005A3C1E"/>
    <w:rsid w:val="005A3C26"/>
    <w:rsid w:val="005A3C2A"/>
    <w:rsid w:val="005A3C3F"/>
    <w:rsid w:val="005A3C58"/>
    <w:rsid w:val="005A3C6B"/>
    <w:rsid w:val="005A3C70"/>
    <w:rsid w:val="005A3C9F"/>
    <w:rsid w:val="005A3D4D"/>
    <w:rsid w:val="005A3DA2"/>
    <w:rsid w:val="005A3E19"/>
    <w:rsid w:val="005A3E87"/>
    <w:rsid w:val="005A3EDA"/>
    <w:rsid w:val="005A3F0F"/>
    <w:rsid w:val="005A3F6E"/>
    <w:rsid w:val="005A3F70"/>
    <w:rsid w:val="005A3F7F"/>
    <w:rsid w:val="005A3F82"/>
    <w:rsid w:val="005A3F8C"/>
    <w:rsid w:val="005A3FDC"/>
    <w:rsid w:val="005A3FE3"/>
    <w:rsid w:val="005A400A"/>
    <w:rsid w:val="005A4037"/>
    <w:rsid w:val="005A403F"/>
    <w:rsid w:val="005A4062"/>
    <w:rsid w:val="005A4094"/>
    <w:rsid w:val="005A40D8"/>
    <w:rsid w:val="005A4139"/>
    <w:rsid w:val="005A4143"/>
    <w:rsid w:val="005A4161"/>
    <w:rsid w:val="005A4163"/>
    <w:rsid w:val="005A4181"/>
    <w:rsid w:val="005A4191"/>
    <w:rsid w:val="005A41B8"/>
    <w:rsid w:val="005A4224"/>
    <w:rsid w:val="005A4228"/>
    <w:rsid w:val="005A4269"/>
    <w:rsid w:val="005A426A"/>
    <w:rsid w:val="005A4289"/>
    <w:rsid w:val="005A4298"/>
    <w:rsid w:val="005A429B"/>
    <w:rsid w:val="005A42AE"/>
    <w:rsid w:val="005A42E1"/>
    <w:rsid w:val="005A42E6"/>
    <w:rsid w:val="005A42F5"/>
    <w:rsid w:val="005A433E"/>
    <w:rsid w:val="005A4342"/>
    <w:rsid w:val="005A435B"/>
    <w:rsid w:val="005A442B"/>
    <w:rsid w:val="005A444E"/>
    <w:rsid w:val="005A447D"/>
    <w:rsid w:val="005A44B7"/>
    <w:rsid w:val="005A44EC"/>
    <w:rsid w:val="005A44F1"/>
    <w:rsid w:val="005A4582"/>
    <w:rsid w:val="005A45C0"/>
    <w:rsid w:val="005A45E4"/>
    <w:rsid w:val="005A45E7"/>
    <w:rsid w:val="005A45F3"/>
    <w:rsid w:val="005A4630"/>
    <w:rsid w:val="005A4637"/>
    <w:rsid w:val="005A464D"/>
    <w:rsid w:val="005A464E"/>
    <w:rsid w:val="005A4659"/>
    <w:rsid w:val="005A4666"/>
    <w:rsid w:val="005A4698"/>
    <w:rsid w:val="005A46AF"/>
    <w:rsid w:val="005A46BD"/>
    <w:rsid w:val="005A46D7"/>
    <w:rsid w:val="005A4700"/>
    <w:rsid w:val="005A470C"/>
    <w:rsid w:val="005A476F"/>
    <w:rsid w:val="005A47C2"/>
    <w:rsid w:val="005A47E1"/>
    <w:rsid w:val="005A47E4"/>
    <w:rsid w:val="005A4800"/>
    <w:rsid w:val="005A4855"/>
    <w:rsid w:val="005A4897"/>
    <w:rsid w:val="005A48A0"/>
    <w:rsid w:val="005A48DE"/>
    <w:rsid w:val="005A4917"/>
    <w:rsid w:val="005A4932"/>
    <w:rsid w:val="005A4994"/>
    <w:rsid w:val="005A49A4"/>
    <w:rsid w:val="005A49D6"/>
    <w:rsid w:val="005A4A3C"/>
    <w:rsid w:val="005A4A50"/>
    <w:rsid w:val="005A4A53"/>
    <w:rsid w:val="005A4A71"/>
    <w:rsid w:val="005A4A7B"/>
    <w:rsid w:val="005A4A94"/>
    <w:rsid w:val="005A4AAA"/>
    <w:rsid w:val="005A4AC5"/>
    <w:rsid w:val="005A4ACC"/>
    <w:rsid w:val="005A4B0A"/>
    <w:rsid w:val="005A4B60"/>
    <w:rsid w:val="005A4B82"/>
    <w:rsid w:val="005A4B8B"/>
    <w:rsid w:val="005A4BAA"/>
    <w:rsid w:val="005A4BC7"/>
    <w:rsid w:val="005A4BEC"/>
    <w:rsid w:val="005A4C16"/>
    <w:rsid w:val="005A4C31"/>
    <w:rsid w:val="005A4C52"/>
    <w:rsid w:val="005A4C7C"/>
    <w:rsid w:val="005A4C88"/>
    <w:rsid w:val="005A4CA7"/>
    <w:rsid w:val="005A4CF3"/>
    <w:rsid w:val="005A4D32"/>
    <w:rsid w:val="005A4D74"/>
    <w:rsid w:val="005A4D83"/>
    <w:rsid w:val="005A4D8D"/>
    <w:rsid w:val="005A4DFF"/>
    <w:rsid w:val="005A4E90"/>
    <w:rsid w:val="005A4E97"/>
    <w:rsid w:val="005A4F03"/>
    <w:rsid w:val="005A4F28"/>
    <w:rsid w:val="005A4F47"/>
    <w:rsid w:val="005A4F77"/>
    <w:rsid w:val="005A4FC1"/>
    <w:rsid w:val="005A4FEF"/>
    <w:rsid w:val="005A5069"/>
    <w:rsid w:val="005A50BD"/>
    <w:rsid w:val="005A50E3"/>
    <w:rsid w:val="005A50E7"/>
    <w:rsid w:val="005A50EF"/>
    <w:rsid w:val="005A5127"/>
    <w:rsid w:val="005A514C"/>
    <w:rsid w:val="005A5163"/>
    <w:rsid w:val="005A51AB"/>
    <w:rsid w:val="005A51B9"/>
    <w:rsid w:val="005A51C0"/>
    <w:rsid w:val="005A51D6"/>
    <w:rsid w:val="005A5265"/>
    <w:rsid w:val="005A5266"/>
    <w:rsid w:val="005A52D1"/>
    <w:rsid w:val="005A52E3"/>
    <w:rsid w:val="005A52E9"/>
    <w:rsid w:val="005A5314"/>
    <w:rsid w:val="005A531F"/>
    <w:rsid w:val="005A5322"/>
    <w:rsid w:val="005A5350"/>
    <w:rsid w:val="005A5387"/>
    <w:rsid w:val="005A53A1"/>
    <w:rsid w:val="005A53AB"/>
    <w:rsid w:val="005A53AE"/>
    <w:rsid w:val="005A5405"/>
    <w:rsid w:val="005A5452"/>
    <w:rsid w:val="005A5455"/>
    <w:rsid w:val="005A546B"/>
    <w:rsid w:val="005A5495"/>
    <w:rsid w:val="005A54F5"/>
    <w:rsid w:val="005A55C5"/>
    <w:rsid w:val="005A55D9"/>
    <w:rsid w:val="005A5628"/>
    <w:rsid w:val="005A564C"/>
    <w:rsid w:val="005A56B7"/>
    <w:rsid w:val="005A56BF"/>
    <w:rsid w:val="005A5715"/>
    <w:rsid w:val="005A571C"/>
    <w:rsid w:val="005A57B0"/>
    <w:rsid w:val="005A57B9"/>
    <w:rsid w:val="005A57D4"/>
    <w:rsid w:val="005A583D"/>
    <w:rsid w:val="005A5843"/>
    <w:rsid w:val="005A5866"/>
    <w:rsid w:val="005A588E"/>
    <w:rsid w:val="005A5919"/>
    <w:rsid w:val="005A591E"/>
    <w:rsid w:val="005A592F"/>
    <w:rsid w:val="005A5936"/>
    <w:rsid w:val="005A5964"/>
    <w:rsid w:val="005A5967"/>
    <w:rsid w:val="005A596D"/>
    <w:rsid w:val="005A5989"/>
    <w:rsid w:val="005A59D8"/>
    <w:rsid w:val="005A59DC"/>
    <w:rsid w:val="005A5A04"/>
    <w:rsid w:val="005A5A14"/>
    <w:rsid w:val="005A5A22"/>
    <w:rsid w:val="005A5A67"/>
    <w:rsid w:val="005A5A9C"/>
    <w:rsid w:val="005A5AB7"/>
    <w:rsid w:val="005A5AC3"/>
    <w:rsid w:val="005A5AFA"/>
    <w:rsid w:val="005A5B3D"/>
    <w:rsid w:val="005A5B62"/>
    <w:rsid w:val="005A5B74"/>
    <w:rsid w:val="005A5B87"/>
    <w:rsid w:val="005A5BCD"/>
    <w:rsid w:val="005A5BFC"/>
    <w:rsid w:val="005A5C0C"/>
    <w:rsid w:val="005A5D0C"/>
    <w:rsid w:val="005A5D0E"/>
    <w:rsid w:val="005A5DB2"/>
    <w:rsid w:val="005A5DD5"/>
    <w:rsid w:val="005A5DFE"/>
    <w:rsid w:val="005A5E13"/>
    <w:rsid w:val="005A5E5C"/>
    <w:rsid w:val="005A5E76"/>
    <w:rsid w:val="005A5E8A"/>
    <w:rsid w:val="005A5E99"/>
    <w:rsid w:val="005A5EBB"/>
    <w:rsid w:val="005A5ED1"/>
    <w:rsid w:val="005A5EE4"/>
    <w:rsid w:val="005A5F25"/>
    <w:rsid w:val="005A5F32"/>
    <w:rsid w:val="005A5FCD"/>
    <w:rsid w:val="005A5FE2"/>
    <w:rsid w:val="005A5FF5"/>
    <w:rsid w:val="005A6057"/>
    <w:rsid w:val="005A6078"/>
    <w:rsid w:val="005A60C4"/>
    <w:rsid w:val="005A60D4"/>
    <w:rsid w:val="005A60E8"/>
    <w:rsid w:val="005A60F8"/>
    <w:rsid w:val="005A6122"/>
    <w:rsid w:val="005A6158"/>
    <w:rsid w:val="005A616B"/>
    <w:rsid w:val="005A6171"/>
    <w:rsid w:val="005A61FC"/>
    <w:rsid w:val="005A6251"/>
    <w:rsid w:val="005A6256"/>
    <w:rsid w:val="005A625C"/>
    <w:rsid w:val="005A6262"/>
    <w:rsid w:val="005A62F8"/>
    <w:rsid w:val="005A630C"/>
    <w:rsid w:val="005A6322"/>
    <w:rsid w:val="005A632E"/>
    <w:rsid w:val="005A6338"/>
    <w:rsid w:val="005A6379"/>
    <w:rsid w:val="005A638B"/>
    <w:rsid w:val="005A63AA"/>
    <w:rsid w:val="005A63C1"/>
    <w:rsid w:val="005A63F0"/>
    <w:rsid w:val="005A6417"/>
    <w:rsid w:val="005A6444"/>
    <w:rsid w:val="005A644F"/>
    <w:rsid w:val="005A6453"/>
    <w:rsid w:val="005A6470"/>
    <w:rsid w:val="005A6498"/>
    <w:rsid w:val="005A64B3"/>
    <w:rsid w:val="005A6541"/>
    <w:rsid w:val="005A6568"/>
    <w:rsid w:val="005A656D"/>
    <w:rsid w:val="005A65E9"/>
    <w:rsid w:val="005A65ED"/>
    <w:rsid w:val="005A6634"/>
    <w:rsid w:val="005A66D1"/>
    <w:rsid w:val="005A66E1"/>
    <w:rsid w:val="005A66F0"/>
    <w:rsid w:val="005A6708"/>
    <w:rsid w:val="005A6733"/>
    <w:rsid w:val="005A6735"/>
    <w:rsid w:val="005A674D"/>
    <w:rsid w:val="005A674E"/>
    <w:rsid w:val="005A6770"/>
    <w:rsid w:val="005A6786"/>
    <w:rsid w:val="005A679E"/>
    <w:rsid w:val="005A67B3"/>
    <w:rsid w:val="005A67FE"/>
    <w:rsid w:val="005A67FF"/>
    <w:rsid w:val="005A684B"/>
    <w:rsid w:val="005A68A7"/>
    <w:rsid w:val="005A68D9"/>
    <w:rsid w:val="005A68EC"/>
    <w:rsid w:val="005A6920"/>
    <w:rsid w:val="005A6932"/>
    <w:rsid w:val="005A6998"/>
    <w:rsid w:val="005A69D9"/>
    <w:rsid w:val="005A69F7"/>
    <w:rsid w:val="005A6A03"/>
    <w:rsid w:val="005A6ACB"/>
    <w:rsid w:val="005A6B15"/>
    <w:rsid w:val="005A6B3E"/>
    <w:rsid w:val="005A6BB1"/>
    <w:rsid w:val="005A6BBE"/>
    <w:rsid w:val="005A6BCD"/>
    <w:rsid w:val="005A6BE7"/>
    <w:rsid w:val="005A6BFB"/>
    <w:rsid w:val="005A6C11"/>
    <w:rsid w:val="005A6C55"/>
    <w:rsid w:val="005A6C56"/>
    <w:rsid w:val="005A6CA7"/>
    <w:rsid w:val="005A6CAB"/>
    <w:rsid w:val="005A6CAF"/>
    <w:rsid w:val="005A6CBE"/>
    <w:rsid w:val="005A6CDB"/>
    <w:rsid w:val="005A6CEF"/>
    <w:rsid w:val="005A6D14"/>
    <w:rsid w:val="005A6D3C"/>
    <w:rsid w:val="005A6D7C"/>
    <w:rsid w:val="005A6DBA"/>
    <w:rsid w:val="005A6E0E"/>
    <w:rsid w:val="005A6E42"/>
    <w:rsid w:val="005A6E44"/>
    <w:rsid w:val="005A6E59"/>
    <w:rsid w:val="005A6E63"/>
    <w:rsid w:val="005A6E81"/>
    <w:rsid w:val="005A6E9D"/>
    <w:rsid w:val="005A6F26"/>
    <w:rsid w:val="005A6F35"/>
    <w:rsid w:val="005A6FAA"/>
    <w:rsid w:val="005A6FB5"/>
    <w:rsid w:val="005A6FDC"/>
    <w:rsid w:val="005A7027"/>
    <w:rsid w:val="005A7032"/>
    <w:rsid w:val="005A7039"/>
    <w:rsid w:val="005A7088"/>
    <w:rsid w:val="005A70DB"/>
    <w:rsid w:val="005A70EC"/>
    <w:rsid w:val="005A712E"/>
    <w:rsid w:val="005A7163"/>
    <w:rsid w:val="005A7176"/>
    <w:rsid w:val="005A720F"/>
    <w:rsid w:val="005A722C"/>
    <w:rsid w:val="005A724A"/>
    <w:rsid w:val="005A7288"/>
    <w:rsid w:val="005A728D"/>
    <w:rsid w:val="005A72C5"/>
    <w:rsid w:val="005A72E1"/>
    <w:rsid w:val="005A7307"/>
    <w:rsid w:val="005A7321"/>
    <w:rsid w:val="005A7357"/>
    <w:rsid w:val="005A736B"/>
    <w:rsid w:val="005A737C"/>
    <w:rsid w:val="005A739F"/>
    <w:rsid w:val="005A73B0"/>
    <w:rsid w:val="005A73E0"/>
    <w:rsid w:val="005A73F7"/>
    <w:rsid w:val="005A73FC"/>
    <w:rsid w:val="005A7458"/>
    <w:rsid w:val="005A747E"/>
    <w:rsid w:val="005A749E"/>
    <w:rsid w:val="005A74CE"/>
    <w:rsid w:val="005A74E2"/>
    <w:rsid w:val="005A74FF"/>
    <w:rsid w:val="005A7527"/>
    <w:rsid w:val="005A752E"/>
    <w:rsid w:val="005A7563"/>
    <w:rsid w:val="005A757F"/>
    <w:rsid w:val="005A75DB"/>
    <w:rsid w:val="005A761F"/>
    <w:rsid w:val="005A763D"/>
    <w:rsid w:val="005A7679"/>
    <w:rsid w:val="005A7687"/>
    <w:rsid w:val="005A76C8"/>
    <w:rsid w:val="005A76CB"/>
    <w:rsid w:val="005A76F1"/>
    <w:rsid w:val="005A76F8"/>
    <w:rsid w:val="005A7728"/>
    <w:rsid w:val="005A77D4"/>
    <w:rsid w:val="005A77E2"/>
    <w:rsid w:val="005A77EA"/>
    <w:rsid w:val="005A77EC"/>
    <w:rsid w:val="005A77FD"/>
    <w:rsid w:val="005A77FF"/>
    <w:rsid w:val="005A7850"/>
    <w:rsid w:val="005A785C"/>
    <w:rsid w:val="005A78DB"/>
    <w:rsid w:val="005A78DC"/>
    <w:rsid w:val="005A7903"/>
    <w:rsid w:val="005A7959"/>
    <w:rsid w:val="005A795A"/>
    <w:rsid w:val="005A7970"/>
    <w:rsid w:val="005A7979"/>
    <w:rsid w:val="005A7984"/>
    <w:rsid w:val="005A79B7"/>
    <w:rsid w:val="005A7A53"/>
    <w:rsid w:val="005A7A93"/>
    <w:rsid w:val="005A7AA9"/>
    <w:rsid w:val="005A7AC4"/>
    <w:rsid w:val="005A7AE4"/>
    <w:rsid w:val="005A7B47"/>
    <w:rsid w:val="005A7B50"/>
    <w:rsid w:val="005A7C0B"/>
    <w:rsid w:val="005A7C15"/>
    <w:rsid w:val="005A7C32"/>
    <w:rsid w:val="005A7C45"/>
    <w:rsid w:val="005A7C4E"/>
    <w:rsid w:val="005A7C5B"/>
    <w:rsid w:val="005A7C72"/>
    <w:rsid w:val="005A7CA9"/>
    <w:rsid w:val="005A7CAA"/>
    <w:rsid w:val="005A7CEE"/>
    <w:rsid w:val="005A7D02"/>
    <w:rsid w:val="005A7D09"/>
    <w:rsid w:val="005A7D76"/>
    <w:rsid w:val="005A7D8B"/>
    <w:rsid w:val="005A7DD6"/>
    <w:rsid w:val="005A7DD9"/>
    <w:rsid w:val="005A7DE2"/>
    <w:rsid w:val="005A7DF4"/>
    <w:rsid w:val="005A7E3A"/>
    <w:rsid w:val="005A7E40"/>
    <w:rsid w:val="005A7E7C"/>
    <w:rsid w:val="005A7E94"/>
    <w:rsid w:val="005A7EA0"/>
    <w:rsid w:val="005A7EDF"/>
    <w:rsid w:val="005A7EF6"/>
    <w:rsid w:val="005A7F24"/>
    <w:rsid w:val="005A7F8E"/>
    <w:rsid w:val="005A7FC8"/>
    <w:rsid w:val="005A7FE2"/>
    <w:rsid w:val="005A7FF6"/>
    <w:rsid w:val="005B0039"/>
    <w:rsid w:val="005B003B"/>
    <w:rsid w:val="005B004F"/>
    <w:rsid w:val="005B0064"/>
    <w:rsid w:val="005B008C"/>
    <w:rsid w:val="005B0099"/>
    <w:rsid w:val="005B0140"/>
    <w:rsid w:val="005B0198"/>
    <w:rsid w:val="005B01A9"/>
    <w:rsid w:val="005B01CE"/>
    <w:rsid w:val="005B0258"/>
    <w:rsid w:val="005B0293"/>
    <w:rsid w:val="005B02AC"/>
    <w:rsid w:val="005B0308"/>
    <w:rsid w:val="005B0329"/>
    <w:rsid w:val="005B0335"/>
    <w:rsid w:val="005B038E"/>
    <w:rsid w:val="005B03C6"/>
    <w:rsid w:val="005B03CC"/>
    <w:rsid w:val="005B03D2"/>
    <w:rsid w:val="005B03D9"/>
    <w:rsid w:val="005B03DE"/>
    <w:rsid w:val="005B0409"/>
    <w:rsid w:val="005B041F"/>
    <w:rsid w:val="005B0452"/>
    <w:rsid w:val="005B0464"/>
    <w:rsid w:val="005B04A2"/>
    <w:rsid w:val="005B04BE"/>
    <w:rsid w:val="005B04ED"/>
    <w:rsid w:val="005B04F4"/>
    <w:rsid w:val="005B0500"/>
    <w:rsid w:val="005B0534"/>
    <w:rsid w:val="005B056A"/>
    <w:rsid w:val="005B0578"/>
    <w:rsid w:val="005B0579"/>
    <w:rsid w:val="005B058F"/>
    <w:rsid w:val="005B05CE"/>
    <w:rsid w:val="005B05D6"/>
    <w:rsid w:val="005B05FC"/>
    <w:rsid w:val="005B05FF"/>
    <w:rsid w:val="005B0604"/>
    <w:rsid w:val="005B0651"/>
    <w:rsid w:val="005B068C"/>
    <w:rsid w:val="005B068F"/>
    <w:rsid w:val="005B06B6"/>
    <w:rsid w:val="005B06D2"/>
    <w:rsid w:val="005B06F4"/>
    <w:rsid w:val="005B06F5"/>
    <w:rsid w:val="005B072C"/>
    <w:rsid w:val="005B07A2"/>
    <w:rsid w:val="005B07A6"/>
    <w:rsid w:val="005B07CF"/>
    <w:rsid w:val="005B07D1"/>
    <w:rsid w:val="005B07FE"/>
    <w:rsid w:val="005B085F"/>
    <w:rsid w:val="005B08D5"/>
    <w:rsid w:val="005B090D"/>
    <w:rsid w:val="005B0939"/>
    <w:rsid w:val="005B095E"/>
    <w:rsid w:val="005B097B"/>
    <w:rsid w:val="005B097C"/>
    <w:rsid w:val="005B09B4"/>
    <w:rsid w:val="005B09E7"/>
    <w:rsid w:val="005B09F1"/>
    <w:rsid w:val="005B09F3"/>
    <w:rsid w:val="005B09FC"/>
    <w:rsid w:val="005B0A19"/>
    <w:rsid w:val="005B0A36"/>
    <w:rsid w:val="005B0A7B"/>
    <w:rsid w:val="005B0AF1"/>
    <w:rsid w:val="005B0AFF"/>
    <w:rsid w:val="005B0B26"/>
    <w:rsid w:val="005B0B5C"/>
    <w:rsid w:val="005B0B73"/>
    <w:rsid w:val="005B0B86"/>
    <w:rsid w:val="005B0BA7"/>
    <w:rsid w:val="005B0BAC"/>
    <w:rsid w:val="005B0BD7"/>
    <w:rsid w:val="005B0BEA"/>
    <w:rsid w:val="005B0C52"/>
    <w:rsid w:val="005B0C93"/>
    <w:rsid w:val="005B0CAA"/>
    <w:rsid w:val="005B0CFB"/>
    <w:rsid w:val="005B0CFF"/>
    <w:rsid w:val="005B0D07"/>
    <w:rsid w:val="005B0D35"/>
    <w:rsid w:val="005B0D3D"/>
    <w:rsid w:val="005B0D83"/>
    <w:rsid w:val="005B0DA4"/>
    <w:rsid w:val="005B0DB1"/>
    <w:rsid w:val="005B0DBB"/>
    <w:rsid w:val="005B0DD1"/>
    <w:rsid w:val="005B0DEE"/>
    <w:rsid w:val="005B0E36"/>
    <w:rsid w:val="005B0E38"/>
    <w:rsid w:val="005B0E94"/>
    <w:rsid w:val="005B0EC9"/>
    <w:rsid w:val="005B0ED5"/>
    <w:rsid w:val="005B0EDA"/>
    <w:rsid w:val="005B0F15"/>
    <w:rsid w:val="005B0F21"/>
    <w:rsid w:val="005B0F65"/>
    <w:rsid w:val="005B0F89"/>
    <w:rsid w:val="005B0FC3"/>
    <w:rsid w:val="005B102C"/>
    <w:rsid w:val="005B1076"/>
    <w:rsid w:val="005B1087"/>
    <w:rsid w:val="005B10A2"/>
    <w:rsid w:val="005B10BA"/>
    <w:rsid w:val="005B10EA"/>
    <w:rsid w:val="005B10F0"/>
    <w:rsid w:val="005B1106"/>
    <w:rsid w:val="005B1113"/>
    <w:rsid w:val="005B1116"/>
    <w:rsid w:val="005B116D"/>
    <w:rsid w:val="005B11A3"/>
    <w:rsid w:val="005B11BC"/>
    <w:rsid w:val="005B11C9"/>
    <w:rsid w:val="005B11D2"/>
    <w:rsid w:val="005B11D9"/>
    <w:rsid w:val="005B11E6"/>
    <w:rsid w:val="005B11FC"/>
    <w:rsid w:val="005B1211"/>
    <w:rsid w:val="005B1231"/>
    <w:rsid w:val="005B1248"/>
    <w:rsid w:val="005B1258"/>
    <w:rsid w:val="005B125C"/>
    <w:rsid w:val="005B1278"/>
    <w:rsid w:val="005B1289"/>
    <w:rsid w:val="005B129C"/>
    <w:rsid w:val="005B12A0"/>
    <w:rsid w:val="005B12B6"/>
    <w:rsid w:val="005B12F6"/>
    <w:rsid w:val="005B1308"/>
    <w:rsid w:val="005B130A"/>
    <w:rsid w:val="005B1346"/>
    <w:rsid w:val="005B1349"/>
    <w:rsid w:val="005B1351"/>
    <w:rsid w:val="005B1381"/>
    <w:rsid w:val="005B1386"/>
    <w:rsid w:val="005B13DB"/>
    <w:rsid w:val="005B1471"/>
    <w:rsid w:val="005B14E6"/>
    <w:rsid w:val="005B14FB"/>
    <w:rsid w:val="005B14FE"/>
    <w:rsid w:val="005B1510"/>
    <w:rsid w:val="005B1518"/>
    <w:rsid w:val="005B152D"/>
    <w:rsid w:val="005B1539"/>
    <w:rsid w:val="005B1553"/>
    <w:rsid w:val="005B159E"/>
    <w:rsid w:val="005B15E8"/>
    <w:rsid w:val="005B15EF"/>
    <w:rsid w:val="005B1607"/>
    <w:rsid w:val="005B162B"/>
    <w:rsid w:val="005B165E"/>
    <w:rsid w:val="005B168A"/>
    <w:rsid w:val="005B16A5"/>
    <w:rsid w:val="005B16D3"/>
    <w:rsid w:val="005B16E4"/>
    <w:rsid w:val="005B1710"/>
    <w:rsid w:val="005B172D"/>
    <w:rsid w:val="005B173F"/>
    <w:rsid w:val="005B17AE"/>
    <w:rsid w:val="005B17C0"/>
    <w:rsid w:val="005B17C8"/>
    <w:rsid w:val="005B17F3"/>
    <w:rsid w:val="005B17F6"/>
    <w:rsid w:val="005B17FA"/>
    <w:rsid w:val="005B1845"/>
    <w:rsid w:val="005B184A"/>
    <w:rsid w:val="005B187E"/>
    <w:rsid w:val="005B1898"/>
    <w:rsid w:val="005B18EB"/>
    <w:rsid w:val="005B1909"/>
    <w:rsid w:val="005B1919"/>
    <w:rsid w:val="005B19A7"/>
    <w:rsid w:val="005B1A01"/>
    <w:rsid w:val="005B1A61"/>
    <w:rsid w:val="005B1A6A"/>
    <w:rsid w:val="005B1A72"/>
    <w:rsid w:val="005B1A79"/>
    <w:rsid w:val="005B1AB2"/>
    <w:rsid w:val="005B1B02"/>
    <w:rsid w:val="005B1B14"/>
    <w:rsid w:val="005B1B23"/>
    <w:rsid w:val="005B1B4C"/>
    <w:rsid w:val="005B1B51"/>
    <w:rsid w:val="005B1B82"/>
    <w:rsid w:val="005B1B94"/>
    <w:rsid w:val="005B1B9F"/>
    <w:rsid w:val="005B1BAB"/>
    <w:rsid w:val="005B1BD9"/>
    <w:rsid w:val="005B1BE5"/>
    <w:rsid w:val="005B1BFC"/>
    <w:rsid w:val="005B1C20"/>
    <w:rsid w:val="005B1C45"/>
    <w:rsid w:val="005B1C73"/>
    <w:rsid w:val="005B1CA7"/>
    <w:rsid w:val="005B1CC6"/>
    <w:rsid w:val="005B1CE5"/>
    <w:rsid w:val="005B1CFD"/>
    <w:rsid w:val="005B1D06"/>
    <w:rsid w:val="005B1D09"/>
    <w:rsid w:val="005B1D8B"/>
    <w:rsid w:val="005B1D9F"/>
    <w:rsid w:val="005B1DBD"/>
    <w:rsid w:val="005B1DE5"/>
    <w:rsid w:val="005B1E04"/>
    <w:rsid w:val="005B1E3C"/>
    <w:rsid w:val="005B1E74"/>
    <w:rsid w:val="005B1FA8"/>
    <w:rsid w:val="005B1FB7"/>
    <w:rsid w:val="005B1FBF"/>
    <w:rsid w:val="005B1FCD"/>
    <w:rsid w:val="005B2098"/>
    <w:rsid w:val="005B20D2"/>
    <w:rsid w:val="005B20E7"/>
    <w:rsid w:val="005B20F4"/>
    <w:rsid w:val="005B2122"/>
    <w:rsid w:val="005B2124"/>
    <w:rsid w:val="005B2134"/>
    <w:rsid w:val="005B216F"/>
    <w:rsid w:val="005B2195"/>
    <w:rsid w:val="005B21AE"/>
    <w:rsid w:val="005B21F2"/>
    <w:rsid w:val="005B2205"/>
    <w:rsid w:val="005B220F"/>
    <w:rsid w:val="005B221E"/>
    <w:rsid w:val="005B2240"/>
    <w:rsid w:val="005B2244"/>
    <w:rsid w:val="005B2283"/>
    <w:rsid w:val="005B2285"/>
    <w:rsid w:val="005B229B"/>
    <w:rsid w:val="005B22B6"/>
    <w:rsid w:val="005B22BC"/>
    <w:rsid w:val="005B22DD"/>
    <w:rsid w:val="005B2351"/>
    <w:rsid w:val="005B2356"/>
    <w:rsid w:val="005B23BA"/>
    <w:rsid w:val="005B23E0"/>
    <w:rsid w:val="005B23F5"/>
    <w:rsid w:val="005B2415"/>
    <w:rsid w:val="005B2438"/>
    <w:rsid w:val="005B24F8"/>
    <w:rsid w:val="005B252B"/>
    <w:rsid w:val="005B2552"/>
    <w:rsid w:val="005B2592"/>
    <w:rsid w:val="005B25E8"/>
    <w:rsid w:val="005B262F"/>
    <w:rsid w:val="005B2633"/>
    <w:rsid w:val="005B264E"/>
    <w:rsid w:val="005B2670"/>
    <w:rsid w:val="005B2672"/>
    <w:rsid w:val="005B26AF"/>
    <w:rsid w:val="005B26D9"/>
    <w:rsid w:val="005B2720"/>
    <w:rsid w:val="005B2766"/>
    <w:rsid w:val="005B2768"/>
    <w:rsid w:val="005B2769"/>
    <w:rsid w:val="005B276C"/>
    <w:rsid w:val="005B278A"/>
    <w:rsid w:val="005B27A8"/>
    <w:rsid w:val="005B27AD"/>
    <w:rsid w:val="005B2882"/>
    <w:rsid w:val="005B28A5"/>
    <w:rsid w:val="005B28DD"/>
    <w:rsid w:val="005B28E3"/>
    <w:rsid w:val="005B294F"/>
    <w:rsid w:val="005B2952"/>
    <w:rsid w:val="005B295C"/>
    <w:rsid w:val="005B2979"/>
    <w:rsid w:val="005B29F0"/>
    <w:rsid w:val="005B2A25"/>
    <w:rsid w:val="005B2A2E"/>
    <w:rsid w:val="005B2A41"/>
    <w:rsid w:val="005B2AA2"/>
    <w:rsid w:val="005B2AA9"/>
    <w:rsid w:val="005B2B10"/>
    <w:rsid w:val="005B2BD0"/>
    <w:rsid w:val="005B2BD6"/>
    <w:rsid w:val="005B2C14"/>
    <w:rsid w:val="005B2C1F"/>
    <w:rsid w:val="005B2C2C"/>
    <w:rsid w:val="005B2C8A"/>
    <w:rsid w:val="005B2C96"/>
    <w:rsid w:val="005B2CA4"/>
    <w:rsid w:val="005B2CE2"/>
    <w:rsid w:val="005B2D2B"/>
    <w:rsid w:val="005B2D83"/>
    <w:rsid w:val="005B2DBC"/>
    <w:rsid w:val="005B2E0A"/>
    <w:rsid w:val="005B2E0D"/>
    <w:rsid w:val="005B2E38"/>
    <w:rsid w:val="005B2E40"/>
    <w:rsid w:val="005B2E49"/>
    <w:rsid w:val="005B2E7C"/>
    <w:rsid w:val="005B2E92"/>
    <w:rsid w:val="005B2EC4"/>
    <w:rsid w:val="005B2F10"/>
    <w:rsid w:val="005B2F1C"/>
    <w:rsid w:val="005B2F4B"/>
    <w:rsid w:val="005B2F76"/>
    <w:rsid w:val="005B2FDE"/>
    <w:rsid w:val="005B3003"/>
    <w:rsid w:val="005B3004"/>
    <w:rsid w:val="005B305A"/>
    <w:rsid w:val="005B308F"/>
    <w:rsid w:val="005B3096"/>
    <w:rsid w:val="005B30A1"/>
    <w:rsid w:val="005B30A6"/>
    <w:rsid w:val="005B30F3"/>
    <w:rsid w:val="005B3105"/>
    <w:rsid w:val="005B31E1"/>
    <w:rsid w:val="005B320C"/>
    <w:rsid w:val="005B321D"/>
    <w:rsid w:val="005B3229"/>
    <w:rsid w:val="005B32CF"/>
    <w:rsid w:val="005B32DD"/>
    <w:rsid w:val="005B32E7"/>
    <w:rsid w:val="005B3335"/>
    <w:rsid w:val="005B3360"/>
    <w:rsid w:val="005B3374"/>
    <w:rsid w:val="005B3399"/>
    <w:rsid w:val="005B33ED"/>
    <w:rsid w:val="005B3424"/>
    <w:rsid w:val="005B3437"/>
    <w:rsid w:val="005B3452"/>
    <w:rsid w:val="005B346C"/>
    <w:rsid w:val="005B34E0"/>
    <w:rsid w:val="005B34EF"/>
    <w:rsid w:val="005B34F6"/>
    <w:rsid w:val="005B3502"/>
    <w:rsid w:val="005B352D"/>
    <w:rsid w:val="005B3534"/>
    <w:rsid w:val="005B35A4"/>
    <w:rsid w:val="005B35B6"/>
    <w:rsid w:val="005B35BE"/>
    <w:rsid w:val="005B35C4"/>
    <w:rsid w:val="005B3607"/>
    <w:rsid w:val="005B3612"/>
    <w:rsid w:val="005B368A"/>
    <w:rsid w:val="005B368F"/>
    <w:rsid w:val="005B36BC"/>
    <w:rsid w:val="005B36D7"/>
    <w:rsid w:val="005B36F6"/>
    <w:rsid w:val="005B3704"/>
    <w:rsid w:val="005B3734"/>
    <w:rsid w:val="005B3736"/>
    <w:rsid w:val="005B3738"/>
    <w:rsid w:val="005B3784"/>
    <w:rsid w:val="005B379F"/>
    <w:rsid w:val="005B37AA"/>
    <w:rsid w:val="005B37B3"/>
    <w:rsid w:val="005B37CA"/>
    <w:rsid w:val="005B37DA"/>
    <w:rsid w:val="005B3815"/>
    <w:rsid w:val="005B3848"/>
    <w:rsid w:val="005B3850"/>
    <w:rsid w:val="005B3855"/>
    <w:rsid w:val="005B38D5"/>
    <w:rsid w:val="005B391D"/>
    <w:rsid w:val="005B3952"/>
    <w:rsid w:val="005B3963"/>
    <w:rsid w:val="005B39B2"/>
    <w:rsid w:val="005B39B7"/>
    <w:rsid w:val="005B39CA"/>
    <w:rsid w:val="005B39DA"/>
    <w:rsid w:val="005B39DE"/>
    <w:rsid w:val="005B3A3D"/>
    <w:rsid w:val="005B3A5A"/>
    <w:rsid w:val="005B3AB2"/>
    <w:rsid w:val="005B3ACD"/>
    <w:rsid w:val="005B3B0C"/>
    <w:rsid w:val="005B3B16"/>
    <w:rsid w:val="005B3B58"/>
    <w:rsid w:val="005B3B9A"/>
    <w:rsid w:val="005B3BA0"/>
    <w:rsid w:val="005B3C0A"/>
    <w:rsid w:val="005B3C35"/>
    <w:rsid w:val="005B3C3B"/>
    <w:rsid w:val="005B3C53"/>
    <w:rsid w:val="005B3C77"/>
    <w:rsid w:val="005B3C9D"/>
    <w:rsid w:val="005B3CA1"/>
    <w:rsid w:val="005B3CB0"/>
    <w:rsid w:val="005B3CCB"/>
    <w:rsid w:val="005B3CDA"/>
    <w:rsid w:val="005B3D16"/>
    <w:rsid w:val="005B3D6C"/>
    <w:rsid w:val="005B3D84"/>
    <w:rsid w:val="005B3DA7"/>
    <w:rsid w:val="005B3DBB"/>
    <w:rsid w:val="005B3DC8"/>
    <w:rsid w:val="005B3DC9"/>
    <w:rsid w:val="005B3DD6"/>
    <w:rsid w:val="005B3E01"/>
    <w:rsid w:val="005B3E05"/>
    <w:rsid w:val="005B3E16"/>
    <w:rsid w:val="005B3E17"/>
    <w:rsid w:val="005B3E1A"/>
    <w:rsid w:val="005B3E46"/>
    <w:rsid w:val="005B3E5D"/>
    <w:rsid w:val="005B3E84"/>
    <w:rsid w:val="005B3EAE"/>
    <w:rsid w:val="005B3ED0"/>
    <w:rsid w:val="005B3EE2"/>
    <w:rsid w:val="005B3F01"/>
    <w:rsid w:val="005B3F9D"/>
    <w:rsid w:val="005B3FD9"/>
    <w:rsid w:val="005B400A"/>
    <w:rsid w:val="005B4025"/>
    <w:rsid w:val="005B405A"/>
    <w:rsid w:val="005B406C"/>
    <w:rsid w:val="005B4074"/>
    <w:rsid w:val="005B40E1"/>
    <w:rsid w:val="005B40EC"/>
    <w:rsid w:val="005B411F"/>
    <w:rsid w:val="005B4132"/>
    <w:rsid w:val="005B4160"/>
    <w:rsid w:val="005B41CB"/>
    <w:rsid w:val="005B41E4"/>
    <w:rsid w:val="005B429A"/>
    <w:rsid w:val="005B42C7"/>
    <w:rsid w:val="005B42F1"/>
    <w:rsid w:val="005B42FB"/>
    <w:rsid w:val="005B4307"/>
    <w:rsid w:val="005B4311"/>
    <w:rsid w:val="005B4322"/>
    <w:rsid w:val="005B4328"/>
    <w:rsid w:val="005B4334"/>
    <w:rsid w:val="005B439A"/>
    <w:rsid w:val="005B43C2"/>
    <w:rsid w:val="005B43E5"/>
    <w:rsid w:val="005B4461"/>
    <w:rsid w:val="005B4493"/>
    <w:rsid w:val="005B44A0"/>
    <w:rsid w:val="005B44F6"/>
    <w:rsid w:val="005B4508"/>
    <w:rsid w:val="005B4510"/>
    <w:rsid w:val="005B451A"/>
    <w:rsid w:val="005B451E"/>
    <w:rsid w:val="005B4579"/>
    <w:rsid w:val="005B4600"/>
    <w:rsid w:val="005B4628"/>
    <w:rsid w:val="005B463A"/>
    <w:rsid w:val="005B46BD"/>
    <w:rsid w:val="005B471D"/>
    <w:rsid w:val="005B4725"/>
    <w:rsid w:val="005B4793"/>
    <w:rsid w:val="005B4796"/>
    <w:rsid w:val="005B47A3"/>
    <w:rsid w:val="005B47BA"/>
    <w:rsid w:val="005B47BC"/>
    <w:rsid w:val="005B47BF"/>
    <w:rsid w:val="005B4810"/>
    <w:rsid w:val="005B48A1"/>
    <w:rsid w:val="005B48FA"/>
    <w:rsid w:val="005B492C"/>
    <w:rsid w:val="005B4934"/>
    <w:rsid w:val="005B4969"/>
    <w:rsid w:val="005B496A"/>
    <w:rsid w:val="005B496F"/>
    <w:rsid w:val="005B4974"/>
    <w:rsid w:val="005B497F"/>
    <w:rsid w:val="005B49BC"/>
    <w:rsid w:val="005B4A1A"/>
    <w:rsid w:val="005B4A70"/>
    <w:rsid w:val="005B4AA7"/>
    <w:rsid w:val="005B4AC3"/>
    <w:rsid w:val="005B4B01"/>
    <w:rsid w:val="005B4B17"/>
    <w:rsid w:val="005B4B80"/>
    <w:rsid w:val="005B4BE8"/>
    <w:rsid w:val="005B4C12"/>
    <w:rsid w:val="005B4C38"/>
    <w:rsid w:val="005B4CE9"/>
    <w:rsid w:val="005B4D10"/>
    <w:rsid w:val="005B4D15"/>
    <w:rsid w:val="005B4D20"/>
    <w:rsid w:val="005B4D54"/>
    <w:rsid w:val="005B4D64"/>
    <w:rsid w:val="005B4D6E"/>
    <w:rsid w:val="005B4D7D"/>
    <w:rsid w:val="005B4D80"/>
    <w:rsid w:val="005B4DA1"/>
    <w:rsid w:val="005B4DA3"/>
    <w:rsid w:val="005B4DAA"/>
    <w:rsid w:val="005B4DF5"/>
    <w:rsid w:val="005B4E08"/>
    <w:rsid w:val="005B4E2C"/>
    <w:rsid w:val="005B4E3D"/>
    <w:rsid w:val="005B4E4D"/>
    <w:rsid w:val="005B4E82"/>
    <w:rsid w:val="005B4EA3"/>
    <w:rsid w:val="005B4EE2"/>
    <w:rsid w:val="005B4F33"/>
    <w:rsid w:val="005B4F3B"/>
    <w:rsid w:val="005B4F6C"/>
    <w:rsid w:val="005B4F6E"/>
    <w:rsid w:val="005B4F7D"/>
    <w:rsid w:val="005B4FAC"/>
    <w:rsid w:val="005B4FB0"/>
    <w:rsid w:val="005B509A"/>
    <w:rsid w:val="005B50BE"/>
    <w:rsid w:val="005B5143"/>
    <w:rsid w:val="005B5186"/>
    <w:rsid w:val="005B519B"/>
    <w:rsid w:val="005B51A1"/>
    <w:rsid w:val="005B51DA"/>
    <w:rsid w:val="005B5210"/>
    <w:rsid w:val="005B521B"/>
    <w:rsid w:val="005B528C"/>
    <w:rsid w:val="005B530B"/>
    <w:rsid w:val="005B5325"/>
    <w:rsid w:val="005B5341"/>
    <w:rsid w:val="005B539C"/>
    <w:rsid w:val="005B53E2"/>
    <w:rsid w:val="005B53ED"/>
    <w:rsid w:val="005B5444"/>
    <w:rsid w:val="005B5455"/>
    <w:rsid w:val="005B54A4"/>
    <w:rsid w:val="005B54AF"/>
    <w:rsid w:val="005B54D8"/>
    <w:rsid w:val="005B54ED"/>
    <w:rsid w:val="005B54F3"/>
    <w:rsid w:val="005B5518"/>
    <w:rsid w:val="005B5577"/>
    <w:rsid w:val="005B5586"/>
    <w:rsid w:val="005B55AD"/>
    <w:rsid w:val="005B55E2"/>
    <w:rsid w:val="005B55F4"/>
    <w:rsid w:val="005B5670"/>
    <w:rsid w:val="005B5698"/>
    <w:rsid w:val="005B56DC"/>
    <w:rsid w:val="005B5728"/>
    <w:rsid w:val="005B574B"/>
    <w:rsid w:val="005B576C"/>
    <w:rsid w:val="005B5775"/>
    <w:rsid w:val="005B5776"/>
    <w:rsid w:val="005B5777"/>
    <w:rsid w:val="005B577A"/>
    <w:rsid w:val="005B578F"/>
    <w:rsid w:val="005B5795"/>
    <w:rsid w:val="005B57DE"/>
    <w:rsid w:val="005B5831"/>
    <w:rsid w:val="005B586A"/>
    <w:rsid w:val="005B5885"/>
    <w:rsid w:val="005B58A8"/>
    <w:rsid w:val="005B5A1D"/>
    <w:rsid w:val="005B5A42"/>
    <w:rsid w:val="005B5A4C"/>
    <w:rsid w:val="005B5A6C"/>
    <w:rsid w:val="005B5ADC"/>
    <w:rsid w:val="005B5AFC"/>
    <w:rsid w:val="005B5B07"/>
    <w:rsid w:val="005B5B36"/>
    <w:rsid w:val="005B5B9C"/>
    <w:rsid w:val="005B5BAB"/>
    <w:rsid w:val="005B5BCA"/>
    <w:rsid w:val="005B5BCC"/>
    <w:rsid w:val="005B5BCD"/>
    <w:rsid w:val="005B5C39"/>
    <w:rsid w:val="005B5C70"/>
    <w:rsid w:val="005B5C71"/>
    <w:rsid w:val="005B5C78"/>
    <w:rsid w:val="005B5C7B"/>
    <w:rsid w:val="005B5C9C"/>
    <w:rsid w:val="005B5C9E"/>
    <w:rsid w:val="005B5CFA"/>
    <w:rsid w:val="005B5D6A"/>
    <w:rsid w:val="005B5D77"/>
    <w:rsid w:val="005B5DA4"/>
    <w:rsid w:val="005B5E56"/>
    <w:rsid w:val="005B5E66"/>
    <w:rsid w:val="005B5E79"/>
    <w:rsid w:val="005B5E83"/>
    <w:rsid w:val="005B5EAC"/>
    <w:rsid w:val="005B5F0B"/>
    <w:rsid w:val="005B5F24"/>
    <w:rsid w:val="005B5F3E"/>
    <w:rsid w:val="005B5F9B"/>
    <w:rsid w:val="005B5FAC"/>
    <w:rsid w:val="005B6010"/>
    <w:rsid w:val="005B6012"/>
    <w:rsid w:val="005B6018"/>
    <w:rsid w:val="005B6035"/>
    <w:rsid w:val="005B603D"/>
    <w:rsid w:val="005B6047"/>
    <w:rsid w:val="005B6071"/>
    <w:rsid w:val="005B6074"/>
    <w:rsid w:val="005B607B"/>
    <w:rsid w:val="005B60AE"/>
    <w:rsid w:val="005B60E7"/>
    <w:rsid w:val="005B60F2"/>
    <w:rsid w:val="005B60FD"/>
    <w:rsid w:val="005B6105"/>
    <w:rsid w:val="005B610D"/>
    <w:rsid w:val="005B6123"/>
    <w:rsid w:val="005B6130"/>
    <w:rsid w:val="005B6156"/>
    <w:rsid w:val="005B618C"/>
    <w:rsid w:val="005B618F"/>
    <w:rsid w:val="005B61FB"/>
    <w:rsid w:val="005B6213"/>
    <w:rsid w:val="005B6223"/>
    <w:rsid w:val="005B6247"/>
    <w:rsid w:val="005B6254"/>
    <w:rsid w:val="005B630C"/>
    <w:rsid w:val="005B6354"/>
    <w:rsid w:val="005B637F"/>
    <w:rsid w:val="005B639A"/>
    <w:rsid w:val="005B63E1"/>
    <w:rsid w:val="005B641C"/>
    <w:rsid w:val="005B6428"/>
    <w:rsid w:val="005B6451"/>
    <w:rsid w:val="005B646E"/>
    <w:rsid w:val="005B64B1"/>
    <w:rsid w:val="005B64CC"/>
    <w:rsid w:val="005B64DA"/>
    <w:rsid w:val="005B6505"/>
    <w:rsid w:val="005B6512"/>
    <w:rsid w:val="005B652A"/>
    <w:rsid w:val="005B652D"/>
    <w:rsid w:val="005B6543"/>
    <w:rsid w:val="005B6553"/>
    <w:rsid w:val="005B6568"/>
    <w:rsid w:val="005B6572"/>
    <w:rsid w:val="005B6589"/>
    <w:rsid w:val="005B65B6"/>
    <w:rsid w:val="005B6608"/>
    <w:rsid w:val="005B660C"/>
    <w:rsid w:val="005B6626"/>
    <w:rsid w:val="005B6640"/>
    <w:rsid w:val="005B664C"/>
    <w:rsid w:val="005B664E"/>
    <w:rsid w:val="005B665F"/>
    <w:rsid w:val="005B667B"/>
    <w:rsid w:val="005B6690"/>
    <w:rsid w:val="005B6694"/>
    <w:rsid w:val="005B6733"/>
    <w:rsid w:val="005B6766"/>
    <w:rsid w:val="005B67A0"/>
    <w:rsid w:val="005B67CB"/>
    <w:rsid w:val="005B67F3"/>
    <w:rsid w:val="005B6891"/>
    <w:rsid w:val="005B68BD"/>
    <w:rsid w:val="005B68C7"/>
    <w:rsid w:val="005B6933"/>
    <w:rsid w:val="005B6938"/>
    <w:rsid w:val="005B696A"/>
    <w:rsid w:val="005B69CD"/>
    <w:rsid w:val="005B69DE"/>
    <w:rsid w:val="005B69DF"/>
    <w:rsid w:val="005B6A0A"/>
    <w:rsid w:val="005B6A0E"/>
    <w:rsid w:val="005B6A22"/>
    <w:rsid w:val="005B6A4C"/>
    <w:rsid w:val="005B6A69"/>
    <w:rsid w:val="005B6ADD"/>
    <w:rsid w:val="005B6B35"/>
    <w:rsid w:val="005B6B61"/>
    <w:rsid w:val="005B6BBF"/>
    <w:rsid w:val="005B6BCC"/>
    <w:rsid w:val="005B6C0B"/>
    <w:rsid w:val="005B6C7D"/>
    <w:rsid w:val="005B6D00"/>
    <w:rsid w:val="005B6D36"/>
    <w:rsid w:val="005B6D45"/>
    <w:rsid w:val="005B6D53"/>
    <w:rsid w:val="005B6D8D"/>
    <w:rsid w:val="005B6DD2"/>
    <w:rsid w:val="005B6DF0"/>
    <w:rsid w:val="005B6E2D"/>
    <w:rsid w:val="005B6E46"/>
    <w:rsid w:val="005B6E69"/>
    <w:rsid w:val="005B6E6E"/>
    <w:rsid w:val="005B6EA0"/>
    <w:rsid w:val="005B6EEC"/>
    <w:rsid w:val="005B6F1A"/>
    <w:rsid w:val="005B6F30"/>
    <w:rsid w:val="005B6F33"/>
    <w:rsid w:val="005B6F6F"/>
    <w:rsid w:val="005B6F92"/>
    <w:rsid w:val="005B6FA5"/>
    <w:rsid w:val="005B6FAE"/>
    <w:rsid w:val="005B7032"/>
    <w:rsid w:val="005B7068"/>
    <w:rsid w:val="005B7075"/>
    <w:rsid w:val="005B709C"/>
    <w:rsid w:val="005B709D"/>
    <w:rsid w:val="005B70BE"/>
    <w:rsid w:val="005B70CD"/>
    <w:rsid w:val="005B70EC"/>
    <w:rsid w:val="005B7107"/>
    <w:rsid w:val="005B7154"/>
    <w:rsid w:val="005B7155"/>
    <w:rsid w:val="005B715A"/>
    <w:rsid w:val="005B7173"/>
    <w:rsid w:val="005B71CF"/>
    <w:rsid w:val="005B7229"/>
    <w:rsid w:val="005B7237"/>
    <w:rsid w:val="005B7257"/>
    <w:rsid w:val="005B7278"/>
    <w:rsid w:val="005B7290"/>
    <w:rsid w:val="005B72BC"/>
    <w:rsid w:val="005B72C2"/>
    <w:rsid w:val="005B72CB"/>
    <w:rsid w:val="005B72CD"/>
    <w:rsid w:val="005B730F"/>
    <w:rsid w:val="005B7339"/>
    <w:rsid w:val="005B7375"/>
    <w:rsid w:val="005B73A0"/>
    <w:rsid w:val="005B73D3"/>
    <w:rsid w:val="005B73D4"/>
    <w:rsid w:val="005B7444"/>
    <w:rsid w:val="005B74E9"/>
    <w:rsid w:val="005B751A"/>
    <w:rsid w:val="005B754D"/>
    <w:rsid w:val="005B7593"/>
    <w:rsid w:val="005B760B"/>
    <w:rsid w:val="005B7625"/>
    <w:rsid w:val="005B766A"/>
    <w:rsid w:val="005B7678"/>
    <w:rsid w:val="005B7731"/>
    <w:rsid w:val="005B7765"/>
    <w:rsid w:val="005B7786"/>
    <w:rsid w:val="005B778D"/>
    <w:rsid w:val="005B7795"/>
    <w:rsid w:val="005B77A7"/>
    <w:rsid w:val="005B77BD"/>
    <w:rsid w:val="005B77C7"/>
    <w:rsid w:val="005B77EA"/>
    <w:rsid w:val="005B780E"/>
    <w:rsid w:val="005B7826"/>
    <w:rsid w:val="005B7830"/>
    <w:rsid w:val="005B785A"/>
    <w:rsid w:val="005B78B1"/>
    <w:rsid w:val="005B78C3"/>
    <w:rsid w:val="005B790F"/>
    <w:rsid w:val="005B7929"/>
    <w:rsid w:val="005B7936"/>
    <w:rsid w:val="005B795C"/>
    <w:rsid w:val="005B7963"/>
    <w:rsid w:val="005B7997"/>
    <w:rsid w:val="005B79AF"/>
    <w:rsid w:val="005B79C9"/>
    <w:rsid w:val="005B79EA"/>
    <w:rsid w:val="005B7A0F"/>
    <w:rsid w:val="005B7A23"/>
    <w:rsid w:val="005B7A3C"/>
    <w:rsid w:val="005B7A4A"/>
    <w:rsid w:val="005B7A65"/>
    <w:rsid w:val="005B7A8E"/>
    <w:rsid w:val="005B7AC3"/>
    <w:rsid w:val="005B7ACB"/>
    <w:rsid w:val="005B7ACD"/>
    <w:rsid w:val="005B7AD7"/>
    <w:rsid w:val="005B7B48"/>
    <w:rsid w:val="005B7B66"/>
    <w:rsid w:val="005B7BA1"/>
    <w:rsid w:val="005B7BB2"/>
    <w:rsid w:val="005B7BB3"/>
    <w:rsid w:val="005B7BD9"/>
    <w:rsid w:val="005B7BDC"/>
    <w:rsid w:val="005B7BFE"/>
    <w:rsid w:val="005B7C04"/>
    <w:rsid w:val="005B7C1F"/>
    <w:rsid w:val="005B7D13"/>
    <w:rsid w:val="005B7D14"/>
    <w:rsid w:val="005B7D23"/>
    <w:rsid w:val="005B7D85"/>
    <w:rsid w:val="005B7DA1"/>
    <w:rsid w:val="005B7DF8"/>
    <w:rsid w:val="005B7E38"/>
    <w:rsid w:val="005B7E66"/>
    <w:rsid w:val="005B7EB8"/>
    <w:rsid w:val="005B7EF2"/>
    <w:rsid w:val="005B7EF4"/>
    <w:rsid w:val="005B7F0B"/>
    <w:rsid w:val="005B7F20"/>
    <w:rsid w:val="005B7F57"/>
    <w:rsid w:val="005B7F8A"/>
    <w:rsid w:val="005B7F9C"/>
    <w:rsid w:val="005B7F9F"/>
    <w:rsid w:val="005B7FB7"/>
    <w:rsid w:val="005B7FBA"/>
    <w:rsid w:val="005B7FCA"/>
    <w:rsid w:val="005C0033"/>
    <w:rsid w:val="005C0052"/>
    <w:rsid w:val="005C0089"/>
    <w:rsid w:val="005C0091"/>
    <w:rsid w:val="005C00F1"/>
    <w:rsid w:val="005C0152"/>
    <w:rsid w:val="005C016A"/>
    <w:rsid w:val="005C016B"/>
    <w:rsid w:val="005C017D"/>
    <w:rsid w:val="005C0197"/>
    <w:rsid w:val="005C01E7"/>
    <w:rsid w:val="005C01EC"/>
    <w:rsid w:val="005C020D"/>
    <w:rsid w:val="005C0257"/>
    <w:rsid w:val="005C0258"/>
    <w:rsid w:val="005C02A0"/>
    <w:rsid w:val="005C02B3"/>
    <w:rsid w:val="005C02BF"/>
    <w:rsid w:val="005C02E0"/>
    <w:rsid w:val="005C02FE"/>
    <w:rsid w:val="005C0324"/>
    <w:rsid w:val="005C0360"/>
    <w:rsid w:val="005C03C0"/>
    <w:rsid w:val="005C03F4"/>
    <w:rsid w:val="005C0406"/>
    <w:rsid w:val="005C0438"/>
    <w:rsid w:val="005C0485"/>
    <w:rsid w:val="005C0487"/>
    <w:rsid w:val="005C0497"/>
    <w:rsid w:val="005C049D"/>
    <w:rsid w:val="005C04B1"/>
    <w:rsid w:val="005C04D8"/>
    <w:rsid w:val="005C04E6"/>
    <w:rsid w:val="005C04F9"/>
    <w:rsid w:val="005C0527"/>
    <w:rsid w:val="005C0551"/>
    <w:rsid w:val="005C056D"/>
    <w:rsid w:val="005C0570"/>
    <w:rsid w:val="005C0582"/>
    <w:rsid w:val="005C0589"/>
    <w:rsid w:val="005C05B7"/>
    <w:rsid w:val="005C05D5"/>
    <w:rsid w:val="005C05E8"/>
    <w:rsid w:val="005C05F1"/>
    <w:rsid w:val="005C061D"/>
    <w:rsid w:val="005C061F"/>
    <w:rsid w:val="005C064F"/>
    <w:rsid w:val="005C065E"/>
    <w:rsid w:val="005C0669"/>
    <w:rsid w:val="005C068A"/>
    <w:rsid w:val="005C06D7"/>
    <w:rsid w:val="005C06EA"/>
    <w:rsid w:val="005C0707"/>
    <w:rsid w:val="005C07AD"/>
    <w:rsid w:val="005C07B8"/>
    <w:rsid w:val="005C07F7"/>
    <w:rsid w:val="005C083E"/>
    <w:rsid w:val="005C0874"/>
    <w:rsid w:val="005C0885"/>
    <w:rsid w:val="005C088C"/>
    <w:rsid w:val="005C08A1"/>
    <w:rsid w:val="005C08CA"/>
    <w:rsid w:val="005C08DB"/>
    <w:rsid w:val="005C08EA"/>
    <w:rsid w:val="005C08EF"/>
    <w:rsid w:val="005C0945"/>
    <w:rsid w:val="005C0969"/>
    <w:rsid w:val="005C096B"/>
    <w:rsid w:val="005C0977"/>
    <w:rsid w:val="005C0991"/>
    <w:rsid w:val="005C09A2"/>
    <w:rsid w:val="005C09AF"/>
    <w:rsid w:val="005C09D0"/>
    <w:rsid w:val="005C09E0"/>
    <w:rsid w:val="005C0A19"/>
    <w:rsid w:val="005C0AE8"/>
    <w:rsid w:val="005C0B0C"/>
    <w:rsid w:val="005C0B79"/>
    <w:rsid w:val="005C0BA9"/>
    <w:rsid w:val="005C0BBD"/>
    <w:rsid w:val="005C0BF7"/>
    <w:rsid w:val="005C0CC6"/>
    <w:rsid w:val="005C0CC7"/>
    <w:rsid w:val="005C0CE6"/>
    <w:rsid w:val="005C0DAC"/>
    <w:rsid w:val="005C0DC0"/>
    <w:rsid w:val="005C0DD3"/>
    <w:rsid w:val="005C0DD8"/>
    <w:rsid w:val="005C0E0E"/>
    <w:rsid w:val="005C0E3F"/>
    <w:rsid w:val="005C0EA5"/>
    <w:rsid w:val="005C0EB6"/>
    <w:rsid w:val="005C0EC8"/>
    <w:rsid w:val="005C0F0C"/>
    <w:rsid w:val="005C0F16"/>
    <w:rsid w:val="005C0F73"/>
    <w:rsid w:val="005C0F7E"/>
    <w:rsid w:val="005C0F9F"/>
    <w:rsid w:val="005C1018"/>
    <w:rsid w:val="005C101E"/>
    <w:rsid w:val="005C102B"/>
    <w:rsid w:val="005C104D"/>
    <w:rsid w:val="005C10B0"/>
    <w:rsid w:val="005C10B9"/>
    <w:rsid w:val="005C117D"/>
    <w:rsid w:val="005C1184"/>
    <w:rsid w:val="005C118A"/>
    <w:rsid w:val="005C11A5"/>
    <w:rsid w:val="005C11AC"/>
    <w:rsid w:val="005C11CF"/>
    <w:rsid w:val="005C11E0"/>
    <w:rsid w:val="005C11F9"/>
    <w:rsid w:val="005C127B"/>
    <w:rsid w:val="005C1293"/>
    <w:rsid w:val="005C1299"/>
    <w:rsid w:val="005C12B1"/>
    <w:rsid w:val="005C12C6"/>
    <w:rsid w:val="005C131F"/>
    <w:rsid w:val="005C132E"/>
    <w:rsid w:val="005C133F"/>
    <w:rsid w:val="005C134E"/>
    <w:rsid w:val="005C13A6"/>
    <w:rsid w:val="005C13D8"/>
    <w:rsid w:val="005C1421"/>
    <w:rsid w:val="005C143D"/>
    <w:rsid w:val="005C14AE"/>
    <w:rsid w:val="005C14DD"/>
    <w:rsid w:val="005C14DE"/>
    <w:rsid w:val="005C1522"/>
    <w:rsid w:val="005C1524"/>
    <w:rsid w:val="005C1555"/>
    <w:rsid w:val="005C1598"/>
    <w:rsid w:val="005C15EA"/>
    <w:rsid w:val="005C15F7"/>
    <w:rsid w:val="005C15FB"/>
    <w:rsid w:val="005C1623"/>
    <w:rsid w:val="005C1637"/>
    <w:rsid w:val="005C165B"/>
    <w:rsid w:val="005C165F"/>
    <w:rsid w:val="005C168B"/>
    <w:rsid w:val="005C16A3"/>
    <w:rsid w:val="005C16C5"/>
    <w:rsid w:val="005C172A"/>
    <w:rsid w:val="005C1784"/>
    <w:rsid w:val="005C17F0"/>
    <w:rsid w:val="005C17F1"/>
    <w:rsid w:val="005C1802"/>
    <w:rsid w:val="005C1806"/>
    <w:rsid w:val="005C1807"/>
    <w:rsid w:val="005C1853"/>
    <w:rsid w:val="005C1875"/>
    <w:rsid w:val="005C18D2"/>
    <w:rsid w:val="005C18F9"/>
    <w:rsid w:val="005C193D"/>
    <w:rsid w:val="005C1973"/>
    <w:rsid w:val="005C19C4"/>
    <w:rsid w:val="005C19D2"/>
    <w:rsid w:val="005C19F4"/>
    <w:rsid w:val="005C19F5"/>
    <w:rsid w:val="005C1A49"/>
    <w:rsid w:val="005C1A7F"/>
    <w:rsid w:val="005C1A86"/>
    <w:rsid w:val="005C1A9F"/>
    <w:rsid w:val="005C1AAE"/>
    <w:rsid w:val="005C1ADF"/>
    <w:rsid w:val="005C1B16"/>
    <w:rsid w:val="005C1B1C"/>
    <w:rsid w:val="005C1B7A"/>
    <w:rsid w:val="005C1BC0"/>
    <w:rsid w:val="005C1BE5"/>
    <w:rsid w:val="005C1BEF"/>
    <w:rsid w:val="005C1C3E"/>
    <w:rsid w:val="005C1C50"/>
    <w:rsid w:val="005C1C61"/>
    <w:rsid w:val="005C1C9D"/>
    <w:rsid w:val="005C1CD7"/>
    <w:rsid w:val="005C1D03"/>
    <w:rsid w:val="005C1D3D"/>
    <w:rsid w:val="005C1D7B"/>
    <w:rsid w:val="005C1D86"/>
    <w:rsid w:val="005C1DB9"/>
    <w:rsid w:val="005C1DC9"/>
    <w:rsid w:val="005C1E4B"/>
    <w:rsid w:val="005C1ECD"/>
    <w:rsid w:val="005C1EDD"/>
    <w:rsid w:val="005C1EE0"/>
    <w:rsid w:val="005C1F2A"/>
    <w:rsid w:val="005C1F48"/>
    <w:rsid w:val="005C1F49"/>
    <w:rsid w:val="005C1F4D"/>
    <w:rsid w:val="005C1F5B"/>
    <w:rsid w:val="005C1F5D"/>
    <w:rsid w:val="005C1FAB"/>
    <w:rsid w:val="005C1FB9"/>
    <w:rsid w:val="005C205C"/>
    <w:rsid w:val="005C2066"/>
    <w:rsid w:val="005C2070"/>
    <w:rsid w:val="005C20E2"/>
    <w:rsid w:val="005C2184"/>
    <w:rsid w:val="005C2199"/>
    <w:rsid w:val="005C21F7"/>
    <w:rsid w:val="005C21FB"/>
    <w:rsid w:val="005C220D"/>
    <w:rsid w:val="005C2226"/>
    <w:rsid w:val="005C2242"/>
    <w:rsid w:val="005C2276"/>
    <w:rsid w:val="005C228E"/>
    <w:rsid w:val="005C229A"/>
    <w:rsid w:val="005C22F8"/>
    <w:rsid w:val="005C2302"/>
    <w:rsid w:val="005C234C"/>
    <w:rsid w:val="005C2387"/>
    <w:rsid w:val="005C2407"/>
    <w:rsid w:val="005C244C"/>
    <w:rsid w:val="005C2488"/>
    <w:rsid w:val="005C24C7"/>
    <w:rsid w:val="005C24DA"/>
    <w:rsid w:val="005C2538"/>
    <w:rsid w:val="005C2572"/>
    <w:rsid w:val="005C25A3"/>
    <w:rsid w:val="005C25A9"/>
    <w:rsid w:val="005C25DF"/>
    <w:rsid w:val="005C2603"/>
    <w:rsid w:val="005C2627"/>
    <w:rsid w:val="005C262E"/>
    <w:rsid w:val="005C2652"/>
    <w:rsid w:val="005C26BA"/>
    <w:rsid w:val="005C26C7"/>
    <w:rsid w:val="005C26D6"/>
    <w:rsid w:val="005C26DC"/>
    <w:rsid w:val="005C27B0"/>
    <w:rsid w:val="005C27DA"/>
    <w:rsid w:val="005C27E1"/>
    <w:rsid w:val="005C2808"/>
    <w:rsid w:val="005C2881"/>
    <w:rsid w:val="005C28A1"/>
    <w:rsid w:val="005C28C4"/>
    <w:rsid w:val="005C2900"/>
    <w:rsid w:val="005C2912"/>
    <w:rsid w:val="005C2915"/>
    <w:rsid w:val="005C2927"/>
    <w:rsid w:val="005C2934"/>
    <w:rsid w:val="005C2957"/>
    <w:rsid w:val="005C295A"/>
    <w:rsid w:val="005C299F"/>
    <w:rsid w:val="005C2A38"/>
    <w:rsid w:val="005C2A98"/>
    <w:rsid w:val="005C2ABF"/>
    <w:rsid w:val="005C2AF6"/>
    <w:rsid w:val="005C2B86"/>
    <w:rsid w:val="005C2B8D"/>
    <w:rsid w:val="005C2B93"/>
    <w:rsid w:val="005C2BC1"/>
    <w:rsid w:val="005C2C0B"/>
    <w:rsid w:val="005C2C49"/>
    <w:rsid w:val="005C2C5D"/>
    <w:rsid w:val="005C2C8A"/>
    <w:rsid w:val="005C2C8F"/>
    <w:rsid w:val="005C2CC7"/>
    <w:rsid w:val="005C2CE1"/>
    <w:rsid w:val="005C2CFC"/>
    <w:rsid w:val="005C2D14"/>
    <w:rsid w:val="005C2D1C"/>
    <w:rsid w:val="005C2DD6"/>
    <w:rsid w:val="005C2DDD"/>
    <w:rsid w:val="005C2E0D"/>
    <w:rsid w:val="005C2E3D"/>
    <w:rsid w:val="005C2E93"/>
    <w:rsid w:val="005C2ED1"/>
    <w:rsid w:val="005C2F02"/>
    <w:rsid w:val="005C2F03"/>
    <w:rsid w:val="005C2F0C"/>
    <w:rsid w:val="005C2F2F"/>
    <w:rsid w:val="005C2F30"/>
    <w:rsid w:val="005C2F68"/>
    <w:rsid w:val="005C2F74"/>
    <w:rsid w:val="005C2F77"/>
    <w:rsid w:val="005C2FA8"/>
    <w:rsid w:val="005C2FFA"/>
    <w:rsid w:val="005C2FFC"/>
    <w:rsid w:val="005C300C"/>
    <w:rsid w:val="005C3034"/>
    <w:rsid w:val="005C305D"/>
    <w:rsid w:val="005C308A"/>
    <w:rsid w:val="005C30FB"/>
    <w:rsid w:val="005C312D"/>
    <w:rsid w:val="005C315B"/>
    <w:rsid w:val="005C31B9"/>
    <w:rsid w:val="005C31EF"/>
    <w:rsid w:val="005C3200"/>
    <w:rsid w:val="005C3219"/>
    <w:rsid w:val="005C32A7"/>
    <w:rsid w:val="005C32CD"/>
    <w:rsid w:val="005C3356"/>
    <w:rsid w:val="005C337B"/>
    <w:rsid w:val="005C3384"/>
    <w:rsid w:val="005C3389"/>
    <w:rsid w:val="005C3393"/>
    <w:rsid w:val="005C339A"/>
    <w:rsid w:val="005C33C4"/>
    <w:rsid w:val="005C33DA"/>
    <w:rsid w:val="005C340C"/>
    <w:rsid w:val="005C3440"/>
    <w:rsid w:val="005C3490"/>
    <w:rsid w:val="005C3496"/>
    <w:rsid w:val="005C34C3"/>
    <w:rsid w:val="005C34E1"/>
    <w:rsid w:val="005C34FC"/>
    <w:rsid w:val="005C3515"/>
    <w:rsid w:val="005C353E"/>
    <w:rsid w:val="005C3542"/>
    <w:rsid w:val="005C3578"/>
    <w:rsid w:val="005C3593"/>
    <w:rsid w:val="005C35A0"/>
    <w:rsid w:val="005C35E0"/>
    <w:rsid w:val="005C364D"/>
    <w:rsid w:val="005C3686"/>
    <w:rsid w:val="005C368E"/>
    <w:rsid w:val="005C36B4"/>
    <w:rsid w:val="005C36BD"/>
    <w:rsid w:val="005C374C"/>
    <w:rsid w:val="005C3787"/>
    <w:rsid w:val="005C378C"/>
    <w:rsid w:val="005C37A8"/>
    <w:rsid w:val="005C37E5"/>
    <w:rsid w:val="005C37E6"/>
    <w:rsid w:val="005C380B"/>
    <w:rsid w:val="005C381D"/>
    <w:rsid w:val="005C3834"/>
    <w:rsid w:val="005C3848"/>
    <w:rsid w:val="005C3853"/>
    <w:rsid w:val="005C385E"/>
    <w:rsid w:val="005C385F"/>
    <w:rsid w:val="005C386C"/>
    <w:rsid w:val="005C38A0"/>
    <w:rsid w:val="005C38C8"/>
    <w:rsid w:val="005C38FE"/>
    <w:rsid w:val="005C3921"/>
    <w:rsid w:val="005C3932"/>
    <w:rsid w:val="005C3962"/>
    <w:rsid w:val="005C396C"/>
    <w:rsid w:val="005C3971"/>
    <w:rsid w:val="005C3978"/>
    <w:rsid w:val="005C3980"/>
    <w:rsid w:val="005C39BB"/>
    <w:rsid w:val="005C39BC"/>
    <w:rsid w:val="005C39D1"/>
    <w:rsid w:val="005C3A0A"/>
    <w:rsid w:val="005C3A5E"/>
    <w:rsid w:val="005C3AB5"/>
    <w:rsid w:val="005C3ABD"/>
    <w:rsid w:val="005C3AD6"/>
    <w:rsid w:val="005C3B0A"/>
    <w:rsid w:val="005C3B0B"/>
    <w:rsid w:val="005C3B6C"/>
    <w:rsid w:val="005C3B77"/>
    <w:rsid w:val="005C3BBE"/>
    <w:rsid w:val="005C3C3A"/>
    <w:rsid w:val="005C3C68"/>
    <w:rsid w:val="005C3CB6"/>
    <w:rsid w:val="005C3CBE"/>
    <w:rsid w:val="005C3CC2"/>
    <w:rsid w:val="005C3D27"/>
    <w:rsid w:val="005C3D4B"/>
    <w:rsid w:val="005C3D89"/>
    <w:rsid w:val="005C3D9A"/>
    <w:rsid w:val="005C3DCC"/>
    <w:rsid w:val="005C3DF3"/>
    <w:rsid w:val="005C3E4F"/>
    <w:rsid w:val="005C3E75"/>
    <w:rsid w:val="005C3E82"/>
    <w:rsid w:val="005C3E93"/>
    <w:rsid w:val="005C3EAD"/>
    <w:rsid w:val="005C3EB7"/>
    <w:rsid w:val="005C3EC9"/>
    <w:rsid w:val="005C3ECB"/>
    <w:rsid w:val="005C3EE5"/>
    <w:rsid w:val="005C3EE8"/>
    <w:rsid w:val="005C3EE9"/>
    <w:rsid w:val="005C3F07"/>
    <w:rsid w:val="005C3F45"/>
    <w:rsid w:val="005C3FDA"/>
    <w:rsid w:val="005C3FDE"/>
    <w:rsid w:val="005C3FF2"/>
    <w:rsid w:val="005C4011"/>
    <w:rsid w:val="005C4034"/>
    <w:rsid w:val="005C4051"/>
    <w:rsid w:val="005C4076"/>
    <w:rsid w:val="005C407C"/>
    <w:rsid w:val="005C40A3"/>
    <w:rsid w:val="005C40C2"/>
    <w:rsid w:val="005C40CC"/>
    <w:rsid w:val="005C40CE"/>
    <w:rsid w:val="005C40CF"/>
    <w:rsid w:val="005C4101"/>
    <w:rsid w:val="005C410E"/>
    <w:rsid w:val="005C411A"/>
    <w:rsid w:val="005C4184"/>
    <w:rsid w:val="005C419B"/>
    <w:rsid w:val="005C41AA"/>
    <w:rsid w:val="005C41C2"/>
    <w:rsid w:val="005C4203"/>
    <w:rsid w:val="005C42BD"/>
    <w:rsid w:val="005C42E2"/>
    <w:rsid w:val="005C42ED"/>
    <w:rsid w:val="005C42F5"/>
    <w:rsid w:val="005C4304"/>
    <w:rsid w:val="005C4308"/>
    <w:rsid w:val="005C4336"/>
    <w:rsid w:val="005C4389"/>
    <w:rsid w:val="005C43A3"/>
    <w:rsid w:val="005C43FC"/>
    <w:rsid w:val="005C4427"/>
    <w:rsid w:val="005C442B"/>
    <w:rsid w:val="005C446C"/>
    <w:rsid w:val="005C4476"/>
    <w:rsid w:val="005C448F"/>
    <w:rsid w:val="005C44AF"/>
    <w:rsid w:val="005C453E"/>
    <w:rsid w:val="005C459B"/>
    <w:rsid w:val="005C45C0"/>
    <w:rsid w:val="005C45D2"/>
    <w:rsid w:val="005C45F5"/>
    <w:rsid w:val="005C460F"/>
    <w:rsid w:val="005C4628"/>
    <w:rsid w:val="005C463E"/>
    <w:rsid w:val="005C4666"/>
    <w:rsid w:val="005C4674"/>
    <w:rsid w:val="005C4676"/>
    <w:rsid w:val="005C4690"/>
    <w:rsid w:val="005C469A"/>
    <w:rsid w:val="005C46A2"/>
    <w:rsid w:val="005C46C5"/>
    <w:rsid w:val="005C46FA"/>
    <w:rsid w:val="005C4701"/>
    <w:rsid w:val="005C47A9"/>
    <w:rsid w:val="005C47AA"/>
    <w:rsid w:val="005C47AD"/>
    <w:rsid w:val="005C47C5"/>
    <w:rsid w:val="005C47C6"/>
    <w:rsid w:val="005C47D2"/>
    <w:rsid w:val="005C4822"/>
    <w:rsid w:val="005C482F"/>
    <w:rsid w:val="005C4831"/>
    <w:rsid w:val="005C4848"/>
    <w:rsid w:val="005C484C"/>
    <w:rsid w:val="005C4860"/>
    <w:rsid w:val="005C486E"/>
    <w:rsid w:val="005C4889"/>
    <w:rsid w:val="005C48AF"/>
    <w:rsid w:val="005C48DC"/>
    <w:rsid w:val="005C490A"/>
    <w:rsid w:val="005C495B"/>
    <w:rsid w:val="005C49E5"/>
    <w:rsid w:val="005C4A08"/>
    <w:rsid w:val="005C4A73"/>
    <w:rsid w:val="005C4AC0"/>
    <w:rsid w:val="005C4AC6"/>
    <w:rsid w:val="005C4ADA"/>
    <w:rsid w:val="005C4AE1"/>
    <w:rsid w:val="005C4B24"/>
    <w:rsid w:val="005C4B56"/>
    <w:rsid w:val="005C4B5C"/>
    <w:rsid w:val="005C4B62"/>
    <w:rsid w:val="005C4B6D"/>
    <w:rsid w:val="005C4B90"/>
    <w:rsid w:val="005C4BB5"/>
    <w:rsid w:val="005C4BC8"/>
    <w:rsid w:val="005C4BD2"/>
    <w:rsid w:val="005C4C01"/>
    <w:rsid w:val="005C4C11"/>
    <w:rsid w:val="005C4C47"/>
    <w:rsid w:val="005C4C57"/>
    <w:rsid w:val="005C4C61"/>
    <w:rsid w:val="005C4C69"/>
    <w:rsid w:val="005C4C84"/>
    <w:rsid w:val="005C4C85"/>
    <w:rsid w:val="005C4CBF"/>
    <w:rsid w:val="005C4CD0"/>
    <w:rsid w:val="005C4D60"/>
    <w:rsid w:val="005C4D67"/>
    <w:rsid w:val="005C4DC1"/>
    <w:rsid w:val="005C4DC6"/>
    <w:rsid w:val="005C4DDD"/>
    <w:rsid w:val="005C4DFD"/>
    <w:rsid w:val="005C4E0A"/>
    <w:rsid w:val="005C4E5F"/>
    <w:rsid w:val="005C4E6B"/>
    <w:rsid w:val="005C4E79"/>
    <w:rsid w:val="005C4EDD"/>
    <w:rsid w:val="005C4EE0"/>
    <w:rsid w:val="005C4F19"/>
    <w:rsid w:val="005C4F1D"/>
    <w:rsid w:val="005C4F30"/>
    <w:rsid w:val="005C4F3C"/>
    <w:rsid w:val="005C4F5D"/>
    <w:rsid w:val="005C4FB8"/>
    <w:rsid w:val="005C4FC1"/>
    <w:rsid w:val="005C4FD7"/>
    <w:rsid w:val="005C4FE3"/>
    <w:rsid w:val="005C503C"/>
    <w:rsid w:val="005C5075"/>
    <w:rsid w:val="005C5098"/>
    <w:rsid w:val="005C5104"/>
    <w:rsid w:val="005C5138"/>
    <w:rsid w:val="005C5142"/>
    <w:rsid w:val="005C51AD"/>
    <w:rsid w:val="005C5210"/>
    <w:rsid w:val="005C521B"/>
    <w:rsid w:val="005C5299"/>
    <w:rsid w:val="005C529D"/>
    <w:rsid w:val="005C52C1"/>
    <w:rsid w:val="005C52C7"/>
    <w:rsid w:val="005C52DC"/>
    <w:rsid w:val="005C52E4"/>
    <w:rsid w:val="005C52F5"/>
    <w:rsid w:val="005C531F"/>
    <w:rsid w:val="005C5345"/>
    <w:rsid w:val="005C5347"/>
    <w:rsid w:val="005C5368"/>
    <w:rsid w:val="005C5397"/>
    <w:rsid w:val="005C53D3"/>
    <w:rsid w:val="005C53D8"/>
    <w:rsid w:val="005C53E2"/>
    <w:rsid w:val="005C53F9"/>
    <w:rsid w:val="005C53FD"/>
    <w:rsid w:val="005C5415"/>
    <w:rsid w:val="005C5417"/>
    <w:rsid w:val="005C5438"/>
    <w:rsid w:val="005C54C9"/>
    <w:rsid w:val="005C54DC"/>
    <w:rsid w:val="005C54EA"/>
    <w:rsid w:val="005C5501"/>
    <w:rsid w:val="005C5518"/>
    <w:rsid w:val="005C5540"/>
    <w:rsid w:val="005C5561"/>
    <w:rsid w:val="005C5578"/>
    <w:rsid w:val="005C558D"/>
    <w:rsid w:val="005C55C2"/>
    <w:rsid w:val="005C55C5"/>
    <w:rsid w:val="005C55CC"/>
    <w:rsid w:val="005C55CD"/>
    <w:rsid w:val="005C55E3"/>
    <w:rsid w:val="005C560A"/>
    <w:rsid w:val="005C560F"/>
    <w:rsid w:val="005C5631"/>
    <w:rsid w:val="005C563E"/>
    <w:rsid w:val="005C5660"/>
    <w:rsid w:val="005C5667"/>
    <w:rsid w:val="005C568A"/>
    <w:rsid w:val="005C56A0"/>
    <w:rsid w:val="005C56B2"/>
    <w:rsid w:val="005C56D7"/>
    <w:rsid w:val="005C56DC"/>
    <w:rsid w:val="005C56F8"/>
    <w:rsid w:val="005C571B"/>
    <w:rsid w:val="005C571C"/>
    <w:rsid w:val="005C571F"/>
    <w:rsid w:val="005C578E"/>
    <w:rsid w:val="005C57BD"/>
    <w:rsid w:val="005C57C3"/>
    <w:rsid w:val="005C580B"/>
    <w:rsid w:val="005C585D"/>
    <w:rsid w:val="005C585F"/>
    <w:rsid w:val="005C589C"/>
    <w:rsid w:val="005C58CE"/>
    <w:rsid w:val="005C59D3"/>
    <w:rsid w:val="005C5A39"/>
    <w:rsid w:val="005C5A3C"/>
    <w:rsid w:val="005C5A47"/>
    <w:rsid w:val="005C5A79"/>
    <w:rsid w:val="005C5A90"/>
    <w:rsid w:val="005C5A93"/>
    <w:rsid w:val="005C5A9E"/>
    <w:rsid w:val="005C5AA4"/>
    <w:rsid w:val="005C5AB6"/>
    <w:rsid w:val="005C5AF6"/>
    <w:rsid w:val="005C5B24"/>
    <w:rsid w:val="005C5B55"/>
    <w:rsid w:val="005C5BB1"/>
    <w:rsid w:val="005C5BC1"/>
    <w:rsid w:val="005C5BC4"/>
    <w:rsid w:val="005C5BFE"/>
    <w:rsid w:val="005C5C0B"/>
    <w:rsid w:val="005C5C17"/>
    <w:rsid w:val="005C5C35"/>
    <w:rsid w:val="005C5C39"/>
    <w:rsid w:val="005C5C3B"/>
    <w:rsid w:val="005C5C65"/>
    <w:rsid w:val="005C5C8C"/>
    <w:rsid w:val="005C5CB2"/>
    <w:rsid w:val="005C5CD6"/>
    <w:rsid w:val="005C5CD7"/>
    <w:rsid w:val="005C5D18"/>
    <w:rsid w:val="005C5D20"/>
    <w:rsid w:val="005C5D8E"/>
    <w:rsid w:val="005C5D9E"/>
    <w:rsid w:val="005C5DB1"/>
    <w:rsid w:val="005C5E07"/>
    <w:rsid w:val="005C5E5A"/>
    <w:rsid w:val="005C5E84"/>
    <w:rsid w:val="005C5EA8"/>
    <w:rsid w:val="005C5EBA"/>
    <w:rsid w:val="005C5EDA"/>
    <w:rsid w:val="005C5EE3"/>
    <w:rsid w:val="005C5F4A"/>
    <w:rsid w:val="005C5F50"/>
    <w:rsid w:val="005C5F9C"/>
    <w:rsid w:val="005C5FA8"/>
    <w:rsid w:val="005C601A"/>
    <w:rsid w:val="005C60F0"/>
    <w:rsid w:val="005C6150"/>
    <w:rsid w:val="005C616D"/>
    <w:rsid w:val="005C6171"/>
    <w:rsid w:val="005C6195"/>
    <w:rsid w:val="005C61AC"/>
    <w:rsid w:val="005C625A"/>
    <w:rsid w:val="005C626A"/>
    <w:rsid w:val="005C6277"/>
    <w:rsid w:val="005C62C6"/>
    <w:rsid w:val="005C62DC"/>
    <w:rsid w:val="005C633F"/>
    <w:rsid w:val="005C634B"/>
    <w:rsid w:val="005C6357"/>
    <w:rsid w:val="005C636B"/>
    <w:rsid w:val="005C638D"/>
    <w:rsid w:val="005C639B"/>
    <w:rsid w:val="005C63AD"/>
    <w:rsid w:val="005C63E8"/>
    <w:rsid w:val="005C6428"/>
    <w:rsid w:val="005C6487"/>
    <w:rsid w:val="005C64B0"/>
    <w:rsid w:val="005C64FE"/>
    <w:rsid w:val="005C651A"/>
    <w:rsid w:val="005C653D"/>
    <w:rsid w:val="005C656B"/>
    <w:rsid w:val="005C657C"/>
    <w:rsid w:val="005C658B"/>
    <w:rsid w:val="005C6596"/>
    <w:rsid w:val="005C65C4"/>
    <w:rsid w:val="005C65D8"/>
    <w:rsid w:val="005C6614"/>
    <w:rsid w:val="005C6625"/>
    <w:rsid w:val="005C6627"/>
    <w:rsid w:val="005C6648"/>
    <w:rsid w:val="005C664E"/>
    <w:rsid w:val="005C666E"/>
    <w:rsid w:val="005C668A"/>
    <w:rsid w:val="005C669B"/>
    <w:rsid w:val="005C66C3"/>
    <w:rsid w:val="005C66DE"/>
    <w:rsid w:val="005C66F0"/>
    <w:rsid w:val="005C6709"/>
    <w:rsid w:val="005C6717"/>
    <w:rsid w:val="005C672E"/>
    <w:rsid w:val="005C673D"/>
    <w:rsid w:val="005C676B"/>
    <w:rsid w:val="005C677B"/>
    <w:rsid w:val="005C6799"/>
    <w:rsid w:val="005C67DC"/>
    <w:rsid w:val="005C67FD"/>
    <w:rsid w:val="005C6881"/>
    <w:rsid w:val="005C6889"/>
    <w:rsid w:val="005C6892"/>
    <w:rsid w:val="005C68A3"/>
    <w:rsid w:val="005C68AB"/>
    <w:rsid w:val="005C68AE"/>
    <w:rsid w:val="005C68C8"/>
    <w:rsid w:val="005C68D4"/>
    <w:rsid w:val="005C6915"/>
    <w:rsid w:val="005C691A"/>
    <w:rsid w:val="005C693F"/>
    <w:rsid w:val="005C6976"/>
    <w:rsid w:val="005C697B"/>
    <w:rsid w:val="005C6980"/>
    <w:rsid w:val="005C6984"/>
    <w:rsid w:val="005C698A"/>
    <w:rsid w:val="005C6992"/>
    <w:rsid w:val="005C6994"/>
    <w:rsid w:val="005C69E4"/>
    <w:rsid w:val="005C69F2"/>
    <w:rsid w:val="005C6A01"/>
    <w:rsid w:val="005C6A21"/>
    <w:rsid w:val="005C6A4C"/>
    <w:rsid w:val="005C6A63"/>
    <w:rsid w:val="005C6A93"/>
    <w:rsid w:val="005C6AB9"/>
    <w:rsid w:val="005C6B02"/>
    <w:rsid w:val="005C6B3F"/>
    <w:rsid w:val="005C6B99"/>
    <w:rsid w:val="005C6BC3"/>
    <w:rsid w:val="005C6BF5"/>
    <w:rsid w:val="005C6C4D"/>
    <w:rsid w:val="005C6C77"/>
    <w:rsid w:val="005C6C81"/>
    <w:rsid w:val="005C6CA2"/>
    <w:rsid w:val="005C6CA4"/>
    <w:rsid w:val="005C6CB6"/>
    <w:rsid w:val="005C6CE6"/>
    <w:rsid w:val="005C6D02"/>
    <w:rsid w:val="005C6D17"/>
    <w:rsid w:val="005C6D39"/>
    <w:rsid w:val="005C6D46"/>
    <w:rsid w:val="005C6D5F"/>
    <w:rsid w:val="005C6D95"/>
    <w:rsid w:val="005C6D9E"/>
    <w:rsid w:val="005C6DDE"/>
    <w:rsid w:val="005C6E18"/>
    <w:rsid w:val="005C6E20"/>
    <w:rsid w:val="005C6E2B"/>
    <w:rsid w:val="005C6E84"/>
    <w:rsid w:val="005C6E9F"/>
    <w:rsid w:val="005C6EF0"/>
    <w:rsid w:val="005C6F02"/>
    <w:rsid w:val="005C6F24"/>
    <w:rsid w:val="005C6F40"/>
    <w:rsid w:val="005C6F49"/>
    <w:rsid w:val="005C700E"/>
    <w:rsid w:val="005C705D"/>
    <w:rsid w:val="005C707D"/>
    <w:rsid w:val="005C70D3"/>
    <w:rsid w:val="005C70E1"/>
    <w:rsid w:val="005C70EE"/>
    <w:rsid w:val="005C7136"/>
    <w:rsid w:val="005C7145"/>
    <w:rsid w:val="005C717B"/>
    <w:rsid w:val="005C7199"/>
    <w:rsid w:val="005C71BD"/>
    <w:rsid w:val="005C71E0"/>
    <w:rsid w:val="005C71ED"/>
    <w:rsid w:val="005C71F5"/>
    <w:rsid w:val="005C7238"/>
    <w:rsid w:val="005C723A"/>
    <w:rsid w:val="005C7252"/>
    <w:rsid w:val="005C7283"/>
    <w:rsid w:val="005C728B"/>
    <w:rsid w:val="005C72B2"/>
    <w:rsid w:val="005C7309"/>
    <w:rsid w:val="005C7355"/>
    <w:rsid w:val="005C7360"/>
    <w:rsid w:val="005C7372"/>
    <w:rsid w:val="005C7377"/>
    <w:rsid w:val="005C737E"/>
    <w:rsid w:val="005C73D3"/>
    <w:rsid w:val="005C7409"/>
    <w:rsid w:val="005C740D"/>
    <w:rsid w:val="005C7411"/>
    <w:rsid w:val="005C7413"/>
    <w:rsid w:val="005C7444"/>
    <w:rsid w:val="005C744B"/>
    <w:rsid w:val="005C744F"/>
    <w:rsid w:val="005C745C"/>
    <w:rsid w:val="005C7480"/>
    <w:rsid w:val="005C74A6"/>
    <w:rsid w:val="005C74F3"/>
    <w:rsid w:val="005C7506"/>
    <w:rsid w:val="005C753F"/>
    <w:rsid w:val="005C7560"/>
    <w:rsid w:val="005C75ED"/>
    <w:rsid w:val="005C7614"/>
    <w:rsid w:val="005C766D"/>
    <w:rsid w:val="005C76AC"/>
    <w:rsid w:val="005C76D8"/>
    <w:rsid w:val="005C76F5"/>
    <w:rsid w:val="005C76FA"/>
    <w:rsid w:val="005C76FE"/>
    <w:rsid w:val="005C7727"/>
    <w:rsid w:val="005C7745"/>
    <w:rsid w:val="005C775C"/>
    <w:rsid w:val="005C7795"/>
    <w:rsid w:val="005C77FD"/>
    <w:rsid w:val="005C783D"/>
    <w:rsid w:val="005C785A"/>
    <w:rsid w:val="005C78A4"/>
    <w:rsid w:val="005C78A5"/>
    <w:rsid w:val="005C78C9"/>
    <w:rsid w:val="005C78CA"/>
    <w:rsid w:val="005C78D4"/>
    <w:rsid w:val="005C7923"/>
    <w:rsid w:val="005C7931"/>
    <w:rsid w:val="005C793B"/>
    <w:rsid w:val="005C795E"/>
    <w:rsid w:val="005C796D"/>
    <w:rsid w:val="005C799B"/>
    <w:rsid w:val="005C79B0"/>
    <w:rsid w:val="005C7A54"/>
    <w:rsid w:val="005C7A5F"/>
    <w:rsid w:val="005C7A6E"/>
    <w:rsid w:val="005C7A85"/>
    <w:rsid w:val="005C7AB1"/>
    <w:rsid w:val="005C7ADC"/>
    <w:rsid w:val="005C7AF9"/>
    <w:rsid w:val="005C7B36"/>
    <w:rsid w:val="005C7B47"/>
    <w:rsid w:val="005C7B4F"/>
    <w:rsid w:val="005C7B5D"/>
    <w:rsid w:val="005C7B67"/>
    <w:rsid w:val="005C7C00"/>
    <w:rsid w:val="005C7C1A"/>
    <w:rsid w:val="005C7C1E"/>
    <w:rsid w:val="005C7C5A"/>
    <w:rsid w:val="005C7C6C"/>
    <w:rsid w:val="005C7C71"/>
    <w:rsid w:val="005C7C89"/>
    <w:rsid w:val="005C7CB4"/>
    <w:rsid w:val="005C7CC8"/>
    <w:rsid w:val="005C7CDF"/>
    <w:rsid w:val="005C7CED"/>
    <w:rsid w:val="005C7D09"/>
    <w:rsid w:val="005C7D5C"/>
    <w:rsid w:val="005C7D7D"/>
    <w:rsid w:val="005C7D89"/>
    <w:rsid w:val="005C7D97"/>
    <w:rsid w:val="005C7DBA"/>
    <w:rsid w:val="005C7DCF"/>
    <w:rsid w:val="005C7E28"/>
    <w:rsid w:val="005C7E30"/>
    <w:rsid w:val="005C7E3D"/>
    <w:rsid w:val="005C7E3F"/>
    <w:rsid w:val="005C7E52"/>
    <w:rsid w:val="005C7E82"/>
    <w:rsid w:val="005C7ED2"/>
    <w:rsid w:val="005C7EDC"/>
    <w:rsid w:val="005C7EE3"/>
    <w:rsid w:val="005C7F77"/>
    <w:rsid w:val="005C7F9B"/>
    <w:rsid w:val="005C7FE6"/>
    <w:rsid w:val="005C7FEC"/>
    <w:rsid w:val="005CF4FA"/>
    <w:rsid w:val="005D0002"/>
    <w:rsid w:val="005D0018"/>
    <w:rsid w:val="005D001F"/>
    <w:rsid w:val="005D003B"/>
    <w:rsid w:val="005D0063"/>
    <w:rsid w:val="005D008D"/>
    <w:rsid w:val="005D00B7"/>
    <w:rsid w:val="005D00F7"/>
    <w:rsid w:val="005D0122"/>
    <w:rsid w:val="005D012D"/>
    <w:rsid w:val="005D0170"/>
    <w:rsid w:val="005D01F3"/>
    <w:rsid w:val="005D020E"/>
    <w:rsid w:val="005D0215"/>
    <w:rsid w:val="005D021E"/>
    <w:rsid w:val="005D0233"/>
    <w:rsid w:val="005D02E6"/>
    <w:rsid w:val="005D034C"/>
    <w:rsid w:val="005D0351"/>
    <w:rsid w:val="005D036F"/>
    <w:rsid w:val="005D03F6"/>
    <w:rsid w:val="005D03F9"/>
    <w:rsid w:val="005D0416"/>
    <w:rsid w:val="005D0431"/>
    <w:rsid w:val="005D0474"/>
    <w:rsid w:val="005D0478"/>
    <w:rsid w:val="005D04EA"/>
    <w:rsid w:val="005D04EC"/>
    <w:rsid w:val="005D04F6"/>
    <w:rsid w:val="005D055F"/>
    <w:rsid w:val="005D05EE"/>
    <w:rsid w:val="005D0627"/>
    <w:rsid w:val="005D0666"/>
    <w:rsid w:val="005D06C0"/>
    <w:rsid w:val="005D0727"/>
    <w:rsid w:val="005D072E"/>
    <w:rsid w:val="005D0762"/>
    <w:rsid w:val="005D0775"/>
    <w:rsid w:val="005D078E"/>
    <w:rsid w:val="005D07A0"/>
    <w:rsid w:val="005D0806"/>
    <w:rsid w:val="005D081D"/>
    <w:rsid w:val="005D0849"/>
    <w:rsid w:val="005D086B"/>
    <w:rsid w:val="005D087E"/>
    <w:rsid w:val="005D08C2"/>
    <w:rsid w:val="005D0908"/>
    <w:rsid w:val="005D0915"/>
    <w:rsid w:val="005D091F"/>
    <w:rsid w:val="005D096A"/>
    <w:rsid w:val="005D09B0"/>
    <w:rsid w:val="005D09B1"/>
    <w:rsid w:val="005D09BC"/>
    <w:rsid w:val="005D09E0"/>
    <w:rsid w:val="005D09F3"/>
    <w:rsid w:val="005D0A54"/>
    <w:rsid w:val="005D0A72"/>
    <w:rsid w:val="005D0A9C"/>
    <w:rsid w:val="005D0AA3"/>
    <w:rsid w:val="005D0AB2"/>
    <w:rsid w:val="005D0AB7"/>
    <w:rsid w:val="005D0AD0"/>
    <w:rsid w:val="005D0AFD"/>
    <w:rsid w:val="005D0B03"/>
    <w:rsid w:val="005D0B06"/>
    <w:rsid w:val="005D0B0A"/>
    <w:rsid w:val="005D0B10"/>
    <w:rsid w:val="005D0B14"/>
    <w:rsid w:val="005D0B1C"/>
    <w:rsid w:val="005D0B20"/>
    <w:rsid w:val="005D0B59"/>
    <w:rsid w:val="005D0B69"/>
    <w:rsid w:val="005D0B7B"/>
    <w:rsid w:val="005D0B95"/>
    <w:rsid w:val="005D0BC5"/>
    <w:rsid w:val="005D0BF5"/>
    <w:rsid w:val="005D0BFC"/>
    <w:rsid w:val="005D0C06"/>
    <w:rsid w:val="005D0C15"/>
    <w:rsid w:val="005D0C34"/>
    <w:rsid w:val="005D0C40"/>
    <w:rsid w:val="005D0C63"/>
    <w:rsid w:val="005D0C88"/>
    <w:rsid w:val="005D0C8A"/>
    <w:rsid w:val="005D0C97"/>
    <w:rsid w:val="005D0D36"/>
    <w:rsid w:val="005D0D60"/>
    <w:rsid w:val="005D0D75"/>
    <w:rsid w:val="005D0D98"/>
    <w:rsid w:val="005D0DA2"/>
    <w:rsid w:val="005D0E20"/>
    <w:rsid w:val="005D0E66"/>
    <w:rsid w:val="005D0EB6"/>
    <w:rsid w:val="005D0EC4"/>
    <w:rsid w:val="005D0F04"/>
    <w:rsid w:val="005D0FA8"/>
    <w:rsid w:val="005D0FC2"/>
    <w:rsid w:val="005D0FD1"/>
    <w:rsid w:val="005D0FE2"/>
    <w:rsid w:val="005D0FE7"/>
    <w:rsid w:val="005D105C"/>
    <w:rsid w:val="005D1070"/>
    <w:rsid w:val="005D10A9"/>
    <w:rsid w:val="005D10D4"/>
    <w:rsid w:val="005D10FB"/>
    <w:rsid w:val="005D1102"/>
    <w:rsid w:val="005D1127"/>
    <w:rsid w:val="005D118B"/>
    <w:rsid w:val="005D118E"/>
    <w:rsid w:val="005D11E1"/>
    <w:rsid w:val="005D11E3"/>
    <w:rsid w:val="005D11E6"/>
    <w:rsid w:val="005D1209"/>
    <w:rsid w:val="005D123F"/>
    <w:rsid w:val="005D1254"/>
    <w:rsid w:val="005D126F"/>
    <w:rsid w:val="005D12FC"/>
    <w:rsid w:val="005D1341"/>
    <w:rsid w:val="005D139A"/>
    <w:rsid w:val="005D1431"/>
    <w:rsid w:val="005D143C"/>
    <w:rsid w:val="005D145F"/>
    <w:rsid w:val="005D1471"/>
    <w:rsid w:val="005D1474"/>
    <w:rsid w:val="005D1498"/>
    <w:rsid w:val="005D14EA"/>
    <w:rsid w:val="005D1502"/>
    <w:rsid w:val="005D151A"/>
    <w:rsid w:val="005D152E"/>
    <w:rsid w:val="005D1540"/>
    <w:rsid w:val="005D1547"/>
    <w:rsid w:val="005D15A1"/>
    <w:rsid w:val="005D15D4"/>
    <w:rsid w:val="005D1618"/>
    <w:rsid w:val="005D1633"/>
    <w:rsid w:val="005D165C"/>
    <w:rsid w:val="005D169C"/>
    <w:rsid w:val="005D16B1"/>
    <w:rsid w:val="005D1710"/>
    <w:rsid w:val="005D171B"/>
    <w:rsid w:val="005D1727"/>
    <w:rsid w:val="005D173F"/>
    <w:rsid w:val="005D1774"/>
    <w:rsid w:val="005D1792"/>
    <w:rsid w:val="005D17E9"/>
    <w:rsid w:val="005D1817"/>
    <w:rsid w:val="005D182F"/>
    <w:rsid w:val="005D1844"/>
    <w:rsid w:val="005D1848"/>
    <w:rsid w:val="005D1851"/>
    <w:rsid w:val="005D1886"/>
    <w:rsid w:val="005D18B3"/>
    <w:rsid w:val="005D18B4"/>
    <w:rsid w:val="005D18D2"/>
    <w:rsid w:val="005D18EA"/>
    <w:rsid w:val="005D18EC"/>
    <w:rsid w:val="005D1906"/>
    <w:rsid w:val="005D1927"/>
    <w:rsid w:val="005D1969"/>
    <w:rsid w:val="005D1977"/>
    <w:rsid w:val="005D19D7"/>
    <w:rsid w:val="005D1A15"/>
    <w:rsid w:val="005D1A39"/>
    <w:rsid w:val="005D1A54"/>
    <w:rsid w:val="005D1A7F"/>
    <w:rsid w:val="005D1A80"/>
    <w:rsid w:val="005D1A85"/>
    <w:rsid w:val="005D1A8B"/>
    <w:rsid w:val="005D1ADE"/>
    <w:rsid w:val="005D1B3D"/>
    <w:rsid w:val="005D1B3F"/>
    <w:rsid w:val="005D1B41"/>
    <w:rsid w:val="005D1B47"/>
    <w:rsid w:val="005D1B5F"/>
    <w:rsid w:val="005D1B8D"/>
    <w:rsid w:val="005D1BAD"/>
    <w:rsid w:val="005D1BBF"/>
    <w:rsid w:val="005D1BED"/>
    <w:rsid w:val="005D1BF6"/>
    <w:rsid w:val="005D1C21"/>
    <w:rsid w:val="005D1C6D"/>
    <w:rsid w:val="005D1C82"/>
    <w:rsid w:val="005D1CA0"/>
    <w:rsid w:val="005D1CAB"/>
    <w:rsid w:val="005D1CB4"/>
    <w:rsid w:val="005D1CBE"/>
    <w:rsid w:val="005D1CD2"/>
    <w:rsid w:val="005D1CE5"/>
    <w:rsid w:val="005D1D60"/>
    <w:rsid w:val="005D1D73"/>
    <w:rsid w:val="005D1D9F"/>
    <w:rsid w:val="005D1DA4"/>
    <w:rsid w:val="005D1DF1"/>
    <w:rsid w:val="005D1DFD"/>
    <w:rsid w:val="005D1E0A"/>
    <w:rsid w:val="005D1E2D"/>
    <w:rsid w:val="005D1E65"/>
    <w:rsid w:val="005D1E70"/>
    <w:rsid w:val="005D1EBB"/>
    <w:rsid w:val="005D1ECF"/>
    <w:rsid w:val="005D1F05"/>
    <w:rsid w:val="005D1F07"/>
    <w:rsid w:val="005D1F22"/>
    <w:rsid w:val="005D1F50"/>
    <w:rsid w:val="005D1F63"/>
    <w:rsid w:val="005D1F73"/>
    <w:rsid w:val="005D1F8A"/>
    <w:rsid w:val="005D1FB9"/>
    <w:rsid w:val="005D1FD3"/>
    <w:rsid w:val="005D1FFD"/>
    <w:rsid w:val="005D2016"/>
    <w:rsid w:val="005D20C6"/>
    <w:rsid w:val="005D20F1"/>
    <w:rsid w:val="005D20F5"/>
    <w:rsid w:val="005D212A"/>
    <w:rsid w:val="005D213F"/>
    <w:rsid w:val="005D2164"/>
    <w:rsid w:val="005D217C"/>
    <w:rsid w:val="005D2187"/>
    <w:rsid w:val="005D21A8"/>
    <w:rsid w:val="005D21C6"/>
    <w:rsid w:val="005D21DD"/>
    <w:rsid w:val="005D21E9"/>
    <w:rsid w:val="005D21F6"/>
    <w:rsid w:val="005D2201"/>
    <w:rsid w:val="005D2202"/>
    <w:rsid w:val="005D220F"/>
    <w:rsid w:val="005D223A"/>
    <w:rsid w:val="005D22C7"/>
    <w:rsid w:val="005D22DF"/>
    <w:rsid w:val="005D22EF"/>
    <w:rsid w:val="005D232E"/>
    <w:rsid w:val="005D233F"/>
    <w:rsid w:val="005D235F"/>
    <w:rsid w:val="005D2395"/>
    <w:rsid w:val="005D23C8"/>
    <w:rsid w:val="005D23E3"/>
    <w:rsid w:val="005D23ED"/>
    <w:rsid w:val="005D240C"/>
    <w:rsid w:val="005D2440"/>
    <w:rsid w:val="005D2499"/>
    <w:rsid w:val="005D24A6"/>
    <w:rsid w:val="005D253B"/>
    <w:rsid w:val="005D258B"/>
    <w:rsid w:val="005D2634"/>
    <w:rsid w:val="005D2657"/>
    <w:rsid w:val="005D2662"/>
    <w:rsid w:val="005D266E"/>
    <w:rsid w:val="005D2693"/>
    <w:rsid w:val="005D26B2"/>
    <w:rsid w:val="005D26D9"/>
    <w:rsid w:val="005D2722"/>
    <w:rsid w:val="005D278A"/>
    <w:rsid w:val="005D2791"/>
    <w:rsid w:val="005D27AB"/>
    <w:rsid w:val="005D282A"/>
    <w:rsid w:val="005D28CB"/>
    <w:rsid w:val="005D29A8"/>
    <w:rsid w:val="005D29C5"/>
    <w:rsid w:val="005D29C8"/>
    <w:rsid w:val="005D29F6"/>
    <w:rsid w:val="005D2A3A"/>
    <w:rsid w:val="005D2A3B"/>
    <w:rsid w:val="005D2A93"/>
    <w:rsid w:val="005D2AB8"/>
    <w:rsid w:val="005D2ACF"/>
    <w:rsid w:val="005D2AF2"/>
    <w:rsid w:val="005D2B0F"/>
    <w:rsid w:val="005D2B2A"/>
    <w:rsid w:val="005D2B51"/>
    <w:rsid w:val="005D2BF5"/>
    <w:rsid w:val="005D2C3C"/>
    <w:rsid w:val="005D2C73"/>
    <w:rsid w:val="005D2C95"/>
    <w:rsid w:val="005D2D3D"/>
    <w:rsid w:val="005D2D64"/>
    <w:rsid w:val="005D2DB2"/>
    <w:rsid w:val="005D2DC7"/>
    <w:rsid w:val="005D2DD0"/>
    <w:rsid w:val="005D2E0F"/>
    <w:rsid w:val="005D2E23"/>
    <w:rsid w:val="005D2E30"/>
    <w:rsid w:val="005D2E64"/>
    <w:rsid w:val="005D2E9D"/>
    <w:rsid w:val="005D2EB0"/>
    <w:rsid w:val="005D2EF6"/>
    <w:rsid w:val="005D2F2E"/>
    <w:rsid w:val="005D2F7F"/>
    <w:rsid w:val="005D2F9B"/>
    <w:rsid w:val="005D2FCB"/>
    <w:rsid w:val="005D2FF9"/>
    <w:rsid w:val="005D3011"/>
    <w:rsid w:val="005D3023"/>
    <w:rsid w:val="005D3026"/>
    <w:rsid w:val="005D303B"/>
    <w:rsid w:val="005D3045"/>
    <w:rsid w:val="005D306A"/>
    <w:rsid w:val="005D3098"/>
    <w:rsid w:val="005D30C2"/>
    <w:rsid w:val="005D30F8"/>
    <w:rsid w:val="005D3102"/>
    <w:rsid w:val="005D310C"/>
    <w:rsid w:val="005D3135"/>
    <w:rsid w:val="005D3142"/>
    <w:rsid w:val="005D3178"/>
    <w:rsid w:val="005D31A0"/>
    <w:rsid w:val="005D31FA"/>
    <w:rsid w:val="005D3246"/>
    <w:rsid w:val="005D325A"/>
    <w:rsid w:val="005D3296"/>
    <w:rsid w:val="005D32B5"/>
    <w:rsid w:val="005D32C1"/>
    <w:rsid w:val="005D3311"/>
    <w:rsid w:val="005D331B"/>
    <w:rsid w:val="005D336E"/>
    <w:rsid w:val="005D33DD"/>
    <w:rsid w:val="005D33E3"/>
    <w:rsid w:val="005D3441"/>
    <w:rsid w:val="005D344A"/>
    <w:rsid w:val="005D348E"/>
    <w:rsid w:val="005D34CF"/>
    <w:rsid w:val="005D352C"/>
    <w:rsid w:val="005D3558"/>
    <w:rsid w:val="005D3626"/>
    <w:rsid w:val="005D3658"/>
    <w:rsid w:val="005D3668"/>
    <w:rsid w:val="005D369A"/>
    <w:rsid w:val="005D369D"/>
    <w:rsid w:val="005D36CC"/>
    <w:rsid w:val="005D3707"/>
    <w:rsid w:val="005D3737"/>
    <w:rsid w:val="005D3791"/>
    <w:rsid w:val="005D379A"/>
    <w:rsid w:val="005D37A0"/>
    <w:rsid w:val="005D37B6"/>
    <w:rsid w:val="005D37DD"/>
    <w:rsid w:val="005D37E5"/>
    <w:rsid w:val="005D3854"/>
    <w:rsid w:val="005D385F"/>
    <w:rsid w:val="005D38C2"/>
    <w:rsid w:val="005D38CB"/>
    <w:rsid w:val="005D38DC"/>
    <w:rsid w:val="005D3932"/>
    <w:rsid w:val="005D3946"/>
    <w:rsid w:val="005D3A11"/>
    <w:rsid w:val="005D3A1B"/>
    <w:rsid w:val="005D3A40"/>
    <w:rsid w:val="005D3A5C"/>
    <w:rsid w:val="005D3AAA"/>
    <w:rsid w:val="005D3AC5"/>
    <w:rsid w:val="005D3AC8"/>
    <w:rsid w:val="005D3B05"/>
    <w:rsid w:val="005D3B15"/>
    <w:rsid w:val="005D3B8D"/>
    <w:rsid w:val="005D3B9C"/>
    <w:rsid w:val="005D3BBE"/>
    <w:rsid w:val="005D3BDC"/>
    <w:rsid w:val="005D3BE7"/>
    <w:rsid w:val="005D3BFA"/>
    <w:rsid w:val="005D3C0C"/>
    <w:rsid w:val="005D3C36"/>
    <w:rsid w:val="005D3C4D"/>
    <w:rsid w:val="005D3C5B"/>
    <w:rsid w:val="005D3C5E"/>
    <w:rsid w:val="005D3C63"/>
    <w:rsid w:val="005D3C96"/>
    <w:rsid w:val="005D3C9B"/>
    <w:rsid w:val="005D3CA5"/>
    <w:rsid w:val="005D3CE1"/>
    <w:rsid w:val="005D3D24"/>
    <w:rsid w:val="005D3D39"/>
    <w:rsid w:val="005D3D52"/>
    <w:rsid w:val="005D3D7C"/>
    <w:rsid w:val="005D3D87"/>
    <w:rsid w:val="005D3DAD"/>
    <w:rsid w:val="005D3DC5"/>
    <w:rsid w:val="005D3E2B"/>
    <w:rsid w:val="005D3E4C"/>
    <w:rsid w:val="005D3E77"/>
    <w:rsid w:val="005D3ED7"/>
    <w:rsid w:val="005D3EE4"/>
    <w:rsid w:val="005D3F28"/>
    <w:rsid w:val="005D3F2A"/>
    <w:rsid w:val="005D3F44"/>
    <w:rsid w:val="005D3FCB"/>
    <w:rsid w:val="005D3FF5"/>
    <w:rsid w:val="005D3FFF"/>
    <w:rsid w:val="005D4046"/>
    <w:rsid w:val="005D4065"/>
    <w:rsid w:val="005D407A"/>
    <w:rsid w:val="005D40CE"/>
    <w:rsid w:val="005D40F8"/>
    <w:rsid w:val="005D4101"/>
    <w:rsid w:val="005D411A"/>
    <w:rsid w:val="005D4122"/>
    <w:rsid w:val="005D41A5"/>
    <w:rsid w:val="005D41D0"/>
    <w:rsid w:val="005D41DC"/>
    <w:rsid w:val="005D41FC"/>
    <w:rsid w:val="005D420B"/>
    <w:rsid w:val="005D420E"/>
    <w:rsid w:val="005D421F"/>
    <w:rsid w:val="005D425C"/>
    <w:rsid w:val="005D4285"/>
    <w:rsid w:val="005D428E"/>
    <w:rsid w:val="005D42A5"/>
    <w:rsid w:val="005D42BA"/>
    <w:rsid w:val="005D42D1"/>
    <w:rsid w:val="005D42E1"/>
    <w:rsid w:val="005D42F7"/>
    <w:rsid w:val="005D4302"/>
    <w:rsid w:val="005D4305"/>
    <w:rsid w:val="005D4307"/>
    <w:rsid w:val="005D4308"/>
    <w:rsid w:val="005D433D"/>
    <w:rsid w:val="005D4358"/>
    <w:rsid w:val="005D437E"/>
    <w:rsid w:val="005D438A"/>
    <w:rsid w:val="005D4396"/>
    <w:rsid w:val="005D440A"/>
    <w:rsid w:val="005D440C"/>
    <w:rsid w:val="005D441B"/>
    <w:rsid w:val="005D4428"/>
    <w:rsid w:val="005D44B9"/>
    <w:rsid w:val="005D44BD"/>
    <w:rsid w:val="005D44FA"/>
    <w:rsid w:val="005D452F"/>
    <w:rsid w:val="005D4553"/>
    <w:rsid w:val="005D4563"/>
    <w:rsid w:val="005D4577"/>
    <w:rsid w:val="005D4598"/>
    <w:rsid w:val="005D461C"/>
    <w:rsid w:val="005D465E"/>
    <w:rsid w:val="005D46A1"/>
    <w:rsid w:val="005D46B4"/>
    <w:rsid w:val="005D46B9"/>
    <w:rsid w:val="005D46D3"/>
    <w:rsid w:val="005D4741"/>
    <w:rsid w:val="005D4756"/>
    <w:rsid w:val="005D479A"/>
    <w:rsid w:val="005D479B"/>
    <w:rsid w:val="005D47F3"/>
    <w:rsid w:val="005D481B"/>
    <w:rsid w:val="005D4842"/>
    <w:rsid w:val="005D484F"/>
    <w:rsid w:val="005D4897"/>
    <w:rsid w:val="005D48A2"/>
    <w:rsid w:val="005D48FB"/>
    <w:rsid w:val="005D4904"/>
    <w:rsid w:val="005D492B"/>
    <w:rsid w:val="005D4936"/>
    <w:rsid w:val="005D4964"/>
    <w:rsid w:val="005D49A5"/>
    <w:rsid w:val="005D49AB"/>
    <w:rsid w:val="005D4A07"/>
    <w:rsid w:val="005D4A9C"/>
    <w:rsid w:val="005D4AB7"/>
    <w:rsid w:val="005D4ABF"/>
    <w:rsid w:val="005D4AC2"/>
    <w:rsid w:val="005D4ADD"/>
    <w:rsid w:val="005D4AE3"/>
    <w:rsid w:val="005D4B0C"/>
    <w:rsid w:val="005D4B0F"/>
    <w:rsid w:val="005D4B9E"/>
    <w:rsid w:val="005D4BB5"/>
    <w:rsid w:val="005D4BE8"/>
    <w:rsid w:val="005D4C11"/>
    <w:rsid w:val="005D4C7E"/>
    <w:rsid w:val="005D4CAC"/>
    <w:rsid w:val="005D4CC9"/>
    <w:rsid w:val="005D4CCA"/>
    <w:rsid w:val="005D4D3C"/>
    <w:rsid w:val="005D4D4A"/>
    <w:rsid w:val="005D4D4F"/>
    <w:rsid w:val="005D4D52"/>
    <w:rsid w:val="005D4D63"/>
    <w:rsid w:val="005D4D72"/>
    <w:rsid w:val="005D4D7D"/>
    <w:rsid w:val="005D4DA5"/>
    <w:rsid w:val="005D4DAC"/>
    <w:rsid w:val="005D4DEE"/>
    <w:rsid w:val="005D4E30"/>
    <w:rsid w:val="005D4E47"/>
    <w:rsid w:val="005D4E4B"/>
    <w:rsid w:val="005D4E7F"/>
    <w:rsid w:val="005D4E9E"/>
    <w:rsid w:val="005D4EAC"/>
    <w:rsid w:val="005D4EE6"/>
    <w:rsid w:val="005D4F47"/>
    <w:rsid w:val="005D4F57"/>
    <w:rsid w:val="005D4F6C"/>
    <w:rsid w:val="005D4FE9"/>
    <w:rsid w:val="005D4FF3"/>
    <w:rsid w:val="005D5021"/>
    <w:rsid w:val="005D502E"/>
    <w:rsid w:val="005D5030"/>
    <w:rsid w:val="005D509B"/>
    <w:rsid w:val="005D50A7"/>
    <w:rsid w:val="005D50C5"/>
    <w:rsid w:val="005D512A"/>
    <w:rsid w:val="005D5158"/>
    <w:rsid w:val="005D51CF"/>
    <w:rsid w:val="005D522A"/>
    <w:rsid w:val="005D5257"/>
    <w:rsid w:val="005D527A"/>
    <w:rsid w:val="005D52A7"/>
    <w:rsid w:val="005D52D1"/>
    <w:rsid w:val="005D53B6"/>
    <w:rsid w:val="005D53C9"/>
    <w:rsid w:val="005D53FF"/>
    <w:rsid w:val="005D5413"/>
    <w:rsid w:val="005D545D"/>
    <w:rsid w:val="005D5473"/>
    <w:rsid w:val="005D549D"/>
    <w:rsid w:val="005D54C1"/>
    <w:rsid w:val="005D550E"/>
    <w:rsid w:val="005D554B"/>
    <w:rsid w:val="005D5556"/>
    <w:rsid w:val="005D55A8"/>
    <w:rsid w:val="005D55A9"/>
    <w:rsid w:val="005D55E6"/>
    <w:rsid w:val="005D55F7"/>
    <w:rsid w:val="005D5602"/>
    <w:rsid w:val="005D5611"/>
    <w:rsid w:val="005D561C"/>
    <w:rsid w:val="005D5632"/>
    <w:rsid w:val="005D565D"/>
    <w:rsid w:val="005D5663"/>
    <w:rsid w:val="005D56D4"/>
    <w:rsid w:val="005D56E2"/>
    <w:rsid w:val="005D56F9"/>
    <w:rsid w:val="005D5715"/>
    <w:rsid w:val="005D5739"/>
    <w:rsid w:val="005D5757"/>
    <w:rsid w:val="005D5783"/>
    <w:rsid w:val="005D5792"/>
    <w:rsid w:val="005D57B6"/>
    <w:rsid w:val="005D57FF"/>
    <w:rsid w:val="005D5859"/>
    <w:rsid w:val="005D58B0"/>
    <w:rsid w:val="005D58BF"/>
    <w:rsid w:val="005D58FF"/>
    <w:rsid w:val="005D5908"/>
    <w:rsid w:val="005D5913"/>
    <w:rsid w:val="005D591B"/>
    <w:rsid w:val="005D5936"/>
    <w:rsid w:val="005D593C"/>
    <w:rsid w:val="005D59C4"/>
    <w:rsid w:val="005D59F2"/>
    <w:rsid w:val="005D5A0D"/>
    <w:rsid w:val="005D5A10"/>
    <w:rsid w:val="005D5A29"/>
    <w:rsid w:val="005D5A45"/>
    <w:rsid w:val="005D5A86"/>
    <w:rsid w:val="005D5AE0"/>
    <w:rsid w:val="005D5B05"/>
    <w:rsid w:val="005D5B06"/>
    <w:rsid w:val="005D5B21"/>
    <w:rsid w:val="005D5B24"/>
    <w:rsid w:val="005D5B42"/>
    <w:rsid w:val="005D5B46"/>
    <w:rsid w:val="005D5B81"/>
    <w:rsid w:val="005D5BA0"/>
    <w:rsid w:val="005D5C17"/>
    <w:rsid w:val="005D5C39"/>
    <w:rsid w:val="005D5C5C"/>
    <w:rsid w:val="005D5C6A"/>
    <w:rsid w:val="005D5C93"/>
    <w:rsid w:val="005D5CA3"/>
    <w:rsid w:val="005D5CB5"/>
    <w:rsid w:val="005D5D21"/>
    <w:rsid w:val="005D5D62"/>
    <w:rsid w:val="005D5DB3"/>
    <w:rsid w:val="005D5E18"/>
    <w:rsid w:val="005D5E61"/>
    <w:rsid w:val="005D5E6C"/>
    <w:rsid w:val="005D5E6F"/>
    <w:rsid w:val="005D5E73"/>
    <w:rsid w:val="005D5EA1"/>
    <w:rsid w:val="005D5ED8"/>
    <w:rsid w:val="005D5F12"/>
    <w:rsid w:val="005D5F53"/>
    <w:rsid w:val="005D5F5E"/>
    <w:rsid w:val="005D5F7D"/>
    <w:rsid w:val="005D5F7F"/>
    <w:rsid w:val="005D5FF3"/>
    <w:rsid w:val="005D6026"/>
    <w:rsid w:val="005D605B"/>
    <w:rsid w:val="005D6087"/>
    <w:rsid w:val="005D60AA"/>
    <w:rsid w:val="005D60E4"/>
    <w:rsid w:val="005D60E6"/>
    <w:rsid w:val="005D6179"/>
    <w:rsid w:val="005D61DC"/>
    <w:rsid w:val="005D61F9"/>
    <w:rsid w:val="005D621E"/>
    <w:rsid w:val="005D624B"/>
    <w:rsid w:val="005D62A5"/>
    <w:rsid w:val="005D62E5"/>
    <w:rsid w:val="005D631D"/>
    <w:rsid w:val="005D6383"/>
    <w:rsid w:val="005D63BC"/>
    <w:rsid w:val="005D649A"/>
    <w:rsid w:val="005D64AE"/>
    <w:rsid w:val="005D64C0"/>
    <w:rsid w:val="005D64EC"/>
    <w:rsid w:val="005D6561"/>
    <w:rsid w:val="005D6570"/>
    <w:rsid w:val="005D65AA"/>
    <w:rsid w:val="005D6602"/>
    <w:rsid w:val="005D6604"/>
    <w:rsid w:val="005D661B"/>
    <w:rsid w:val="005D6621"/>
    <w:rsid w:val="005D6636"/>
    <w:rsid w:val="005D665A"/>
    <w:rsid w:val="005D6688"/>
    <w:rsid w:val="005D66AB"/>
    <w:rsid w:val="005D66C9"/>
    <w:rsid w:val="005D66D8"/>
    <w:rsid w:val="005D6740"/>
    <w:rsid w:val="005D6748"/>
    <w:rsid w:val="005D6771"/>
    <w:rsid w:val="005D683B"/>
    <w:rsid w:val="005D6853"/>
    <w:rsid w:val="005D68AF"/>
    <w:rsid w:val="005D68B9"/>
    <w:rsid w:val="005D68E6"/>
    <w:rsid w:val="005D68EB"/>
    <w:rsid w:val="005D68FD"/>
    <w:rsid w:val="005D696A"/>
    <w:rsid w:val="005D69BA"/>
    <w:rsid w:val="005D69E2"/>
    <w:rsid w:val="005D69E3"/>
    <w:rsid w:val="005D6A2E"/>
    <w:rsid w:val="005D6A60"/>
    <w:rsid w:val="005D6A8D"/>
    <w:rsid w:val="005D6AB8"/>
    <w:rsid w:val="005D6AF1"/>
    <w:rsid w:val="005D6AF2"/>
    <w:rsid w:val="005D6B5B"/>
    <w:rsid w:val="005D6BCC"/>
    <w:rsid w:val="005D6BE9"/>
    <w:rsid w:val="005D6BF4"/>
    <w:rsid w:val="005D6BF7"/>
    <w:rsid w:val="005D6C59"/>
    <w:rsid w:val="005D6C65"/>
    <w:rsid w:val="005D6D14"/>
    <w:rsid w:val="005D6D3A"/>
    <w:rsid w:val="005D6D5C"/>
    <w:rsid w:val="005D6D6D"/>
    <w:rsid w:val="005D6D77"/>
    <w:rsid w:val="005D6D89"/>
    <w:rsid w:val="005D6D9C"/>
    <w:rsid w:val="005D6DD2"/>
    <w:rsid w:val="005D6E23"/>
    <w:rsid w:val="005D6E32"/>
    <w:rsid w:val="005D6E3C"/>
    <w:rsid w:val="005D6E65"/>
    <w:rsid w:val="005D6E95"/>
    <w:rsid w:val="005D6EA1"/>
    <w:rsid w:val="005D6EAB"/>
    <w:rsid w:val="005D6EEE"/>
    <w:rsid w:val="005D6F05"/>
    <w:rsid w:val="005D6F0F"/>
    <w:rsid w:val="005D6F10"/>
    <w:rsid w:val="005D6F4D"/>
    <w:rsid w:val="005D6F52"/>
    <w:rsid w:val="005D6F57"/>
    <w:rsid w:val="005D6F80"/>
    <w:rsid w:val="005D6FD1"/>
    <w:rsid w:val="005D6FD9"/>
    <w:rsid w:val="005D7006"/>
    <w:rsid w:val="005D700C"/>
    <w:rsid w:val="005D7068"/>
    <w:rsid w:val="005D7078"/>
    <w:rsid w:val="005D708D"/>
    <w:rsid w:val="005D709F"/>
    <w:rsid w:val="005D70E4"/>
    <w:rsid w:val="005D70F1"/>
    <w:rsid w:val="005D7101"/>
    <w:rsid w:val="005D7186"/>
    <w:rsid w:val="005D7188"/>
    <w:rsid w:val="005D71A0"/>
    <w:rsid w:val="005D71BD"/>
    <w:rsid w:val="005D71EB"/>
    <w:rsid w:val="005D71FD"/>
    <w:rsid w:val="005D720E"/>
    <w:rsid w:val="005D721E"/>
    <w:rsid w:val="005D7224"/>
    <w:rsid w:val="005D7233"/>
    <w:rsid w:val="005D726A"/>
    <w:rsid w:val="005D7277"/>
    <w:rsid w:val="005D7289"/>
    <w:rsid w:val="005D72C5"/>
    <w:rsid w:val="005D734F"/>
    <w:rsid w:val="005D737D"/>
    <w:rsid w:val="005D7388"/>
    <w:rsid w:val="005D739C"/>
    <w:rsid w:val="005D73A0"/>
    <w:rsid w:val="005D73AA"/>
    <w:rsid w:val="005D73D6"/>
    <w:rsid w:val="005D73DA"/>
    <w:rsid w:val="005D73F6"/>
    <w:rsid w:val="005D7415"/>
    <w:rsid w:val="005D742C"/>
    <w:rsid w:val="005D742F"/>
    <w:rsid w:val="005D7452"/>
    <w:rsid w:val="005D7461"/>
    <w:rsid w:val="005D746F"/>
    <w:rsid w:val="005D7531"/>
    <w:rsid w:val="005D758B"/>
    <w:rsid w:val="005D759E"/>
    <w:rsid w:val="005D75A8"/>
    <w:rsid w:val="005D75B8"/>
    <w:rsid w:val="005D75C1"/>
    <w:rsid w:val="005D7605"/>
    <w:rsid w:val="005D7611"/>
    <w:rsid w:val="005D7676"/>
    <w:rsid w:val="005D767C"/>
    <w:rsid w:val="005D76AD"/>
    <w:rsid w:val="005D76B7"/>
    <w:rsid w:val="005D76BE"/>
    <w:rsid w:val="005D7704"/>
    <w:rsid w:val="005D770A"/>
    <w:rsid w:val="005D7722"/>
    <w:rsid w:val="005D7794"/>
    <w:rsid w:val="005D77F4"/>
    <w:rsid w:val="005D784A"/>
    <w:rsid w:val="005D7868"/>
    <w:rsid w:val="005D7878"/>
    <w:rsid w:val="005D789C"/>
    <w:rsid w:val="005D78AA"/>
    <w:rsid w:val="005D78C8"/>
    <w:rsid w:val="005D78FD"/>
    <w:rsid w:val="005D7924"/>
    <w:rsid w:val="005D7927"/>
    <w:rsid w:val="005D7929"/>
    <w:rsid w:val="005D7937"/>
    <w:rsid w:val="005D7961"/>
    <w:rsid w:val="005D7964"/>
    <w:rsid w:val="005D796F"/>
    <w:rsid w:val="005D7970"/>
    <w:rsid w:val="005D7982"/>
    <w:rsid w:val="005D79C2"/>
    <w:rsid w:val="005D79D6"/>
    <w:rsid w:val="005D7A11"/>
    <w:rsid w:val="005D7A3D"/>
    <w:rsid w:val="005D7A83"/>
    <w:rsid w:val="005D7AC5"/>
    <w:rsid w:val="005D7AD2"/>
    <w:rsid w:val="005D7B13"/>
    <w:rsid w:val="005D7B92"/>
    <w:rsid w:val="005D7BC8"/>
    <w:rsid w:val="005D7BD1"/>
    <w:rsid w:val="005D7C27"/>
    <w:rsid w:val="005D7C79"/>
    <w:rsid w:val="005D7C87"/>
    <w:rsid w:val="005D7CA6"/>
    <w:rsid w:val="005D7CAD"/>
    <w:rsid w:val="005D7CB5"/>
    <w:rsid w:val="005D7CBD"/>
    <w:rsid w:val="005D7CCC"/>
    <w:rsid w:val="005D7CE6"/>
    <w:rsid w:val="005D7CE7"/>
    <w:rsid w:val="005D7CE9"/>
    <w:rsid w:val="005D7CF1"/>
    <w:rsid w:val="005D7D2B"/>
    <w:rsid w:val="005D7D41"/>
    <w:rsid w:val="005D7D66"/>
    <w:rsid w:val="005D7D9B"/>
    <w:rsid w:val="005D7DD2"/>
    <w:rsid w:val="005D7DE5"/>
    <w:rsid w:val="005D7DF5"/>
    <w:rsid w:val="005D7E3E"/>
    <w:rsid w:val="005D7E9D"/>
    <w:rsid w:val="005D7ECD"/>
    <w:rsid w:val="005D7EEC"/>
    <w:rsid w:val="005D7F59"/>
    <w:rsid w:val="005D7FA7"/>
    <w:rsid w:val="005D7FB1"/>
    <w:rsid w:val="005D7FDA"/>
    <w:rsid w:val="005D7FDC"/>
    <w:rsid w:val="005DAEC1"/>
    <w:rsid w:val="005E0034"/>
    <w:rsid w:val="005E0055"/>
    <w:rsid w:val="005E0087"/>
    <w:rsid w:val="005E0091"/>
    <w:rsid w:val="005E0095"/>
    <w:rsid w:val="005E009F"/>
    <w:rsid w:val="005E00E8"/>
    <w:rsid w:val="005E013E"/>
    <w:rsid w:val="005E0142"/>
    <w:rsid w:val="005E0150"/>
    <w:rsid w:val="005E018D"/>
    <w:rsid w:val="005E0199"/>
    <w:rsid w:val="005E0204"/>
    <w:rsid w:val="005E022C"/>
    <w:rsid w:val="005E0241"/>
    <w:rsid w:val="005E0243"/>
    <w:rsid w:val="005E0283"/>
    <w:rsid w:val="005E02C3"/>
    <w:rsid w:val="005E02CF"/>
    <w:rsid w:val="005E02D4"/>
    <w:rsid w:val="005E02D5"/>
    <w:rsid w:val="005E031F"/>
    <w:rsid w:val="005E0357"/>
    <w:rsid w:val="005E0379"/>
    <w:rsid w:val="005E038B"/>
    <w:rsid w:val="005E03A6"/>
    <w:rsid w:val="005E0407"/>
    <w:rsid w:val="005E041A"/>
    <w:rsid w:val="005E0470"/>
    <w:rsid w:val="005E0496"/>
    <w:rsid w:val="005E0499"/>
    <w:rsid w:val="005E04A6"/>
    <w:rsid w:val="005E0503"/>
    <w:rsid w:val="005E0530"/>
    <w:rsid w:val="005E056F"/>
    <w:rsid w:val="005E0580"/>
    <w:rsid w:val="005E058C"/>
    <w:rsid w:val="005E05C4"/>
    <w:rsid w:val="005E0618"/>
    <w:rsid w:val="005E0683"/>
    <w:rsid w:val="005E06C6"/>
    <w:rsid w:val="005E06D9"/>
    <w:rsid w:val="005E06E8"/>
    <w:rsid w:val="005E072B"/>
    <w:rsid w:val="005E0749"/>
    <w:rsid w:val="005E0768"/>
    <w:rsid w:val="005E0797"/>
    <w:rsid w:val="005E07A3"/>
    <w:rsid w:val="005E07AD"/>
    <w:rsid w:val="005E07B7"/>
    <w:rsid w:val="005E07C8"/>
    <w:rsid w:val="005E07FA"/>
    <w:rsid w:val="005E080D"/>
    <w:rsid w:val="005E0823"/>
    <w:rsid w:val="005E083E"/>
    <w:rsid w:val="005E0856"/>
    <w:rsid w:val="005E085B"/>
    <w:rsid w:val="005E0862"/>
    <w:rsid w:val="005E0870"/>
    <w:rsid w:val="005E08A5"/>
    <w:rsid w:val="005E08AF"/>
    <w:rsid w:val="005E08F3"/>
    <w:rsid w:val="005E0936"/>
    <w:rsid w:val="005E0966"/>
    <w:rsid w:val="005E09DC"/>
    <w:rsid w:val="005E0A0F"/>
    <w:rsid w:val="005E0A60"/>
    <w:rsid w:val="005E0A7F"/>
    <w:rsid w:val="005E0AEB"/>
    <w:rsid w:val="005E0AF8"/>
    <w:rsid w:val="005E0B0F"/>
    <w:rsid w:val="005E0B38"/>
    <w:rsid w:val="005E0B44"/>
    <w:rsid w:val="005E0B4C"/>
    <w:rsid w:val="005E0B4F"/>
    <w:rsid w:val="005E0B89"/>
    <w:rsid w:val="005E0B9F"/>
    <w:rsid w:val="005E0BA3"/>
    <w:rsid w:val="005E0BD4"/>
    <w:rsid w:val="005E0C51"/>
    <w:rsid w:val="005E0CA2"/>
    <w:rsid w:val="005E0CBC"/>
    <w:rsid w:val="005E0CD1"/>
    <w:rsid w:val="005E0D37"/>
    <w:rsid w:val="005E0D4D"/>
    <w:rsid w:val="005E0D56"/>
    <w:rsid w:val="005E0D5F"/>
    <w:rsid w:val="005E0D66"/>
    <w:rsid w:val="005E0DD2"/>
    <w:rsid w:val="005E0DD8"/>
    <w:rsid w:val="005E0DDC"/>
    <w:rsid w:val="005E0DFD"/>
    <w:rsid w:val="005E0E0F"/>
    <w:rsid w:val="005E0E29"/>
    <w:rsid w:val="005E0E72"/>
    <w:rsid w:val="005E0E74"/>
    <w:rsid w:val="005E0EC2"/>
    <w:rsid w:val="005E0ED1"/>
    <w:rsid w:val="005E0F2E"/>
    <w:rsid w:val="005E0F53"/>
    <w:rsid w:val="005E0F56"/>
    <w:rsid w:val="005E0F66"/>
    <w:rsid w:val="005E0F73"/>
    <w:rsid w:val="005E0F76"/>
    <w:rsid w:val="005E0F84"/>
    <w:rsid w:val="005E0FB3"/>
    <w:rsid w:val="005E0FD8"/>
    <w:rsid w:val="005E0FFC"/>
    <w:rsid w:val="005E1031"/>
    <w:rsid w:val="005E10B6"/>
    <w:rsid w:val="005E10C3"/>
    <w:rsid w:val="005E1106"/>
    <w:rsid w:val="005E1155"/>
    <w:rsid w:val="005E1156"/>
    <w:rsid w:val="005E1177"/>
    <w:rsid w:val="005E11C2"/>
    <w:rsid w:val="005E11F0"/>
    <w:rsid w:val="005E11F1"/>
    <w:rsid w:val="005E1204"/>
    <w:rsid w:val="005E1206"/>
    <w:rsid w:val="005E120E"/>
    <w:rsid w:val="005E122D"/>
    <w:rsid w:val="005E1232"/>
    <w:rsid w:val="005E1248"/>
    <w:rsid w:val="005E12A3"/>
    <w:rsid w:val="005E12A7"/>
    <w:rsid w:val="005E12B2"/>
    <w:rsid w:val="005E12EA"/>
    <w:rsid w:val="005E1331"/>
    <w:rsid w:val="005E1364"/>
    <w:rsid w:val="005E1368"/>
    <w:rsid w:val="005E1376"/>
    <w:rsid w:val="005E137D"/>
    <w:rsid w:val="005E138D"/>
    <w:rsid w:val="005E13D4"/>
    <w:rsid w:val="005E1455"/>
    <w:rsid w:val="005E14B6"/>
    <w:rsid w:val="005E14CD"/>
    <w:rsid w:val="005E1524"/>
    <w:rsid w:val="005E156B"/>
    <w:rsid w:val="005E1628"/>
    <w:rsid w:val="005E1629"/>
    <w:rsid w:val="005E1663"/>
    <w:rsid w:val="005E166E"/>
    <w:rsid w:val="005E1682"/>
    <w:rsid w:val="005E169C"/>
    <w:rsid w:val="005E16CD"/>
    <w:rsid w:val="005E171C"/>
    <w:rsid w:val="005E173D"/>
    <w:rsid w:val="005E1743"/>
    <w:rsid w:val="005E178A"/>
    <w:rsid w:val="005E179A"/>
    <w:rsid w:val="005E179E"/>
    <w:rsid w:val="005E1809"/>
    <w:rsid w:val="005E180F"/>
    <w:rsid w:val="005E1835"/>
    <w:rsid w:val="005E1847"/>
    <w:rsid w:val="005E1871"/>
    <w:rsid w:val="005E18C9"/>
    <w:rsid w:val="005E18CC"/>
    <w:rsid w:val="005E18F5"/>
    <w:rsid w:val="005E190A"/>
    <w:rsid w:val="005E1915"/>
    <w:rsid w:val="005E1944"/>
    <w:rsid w:val="005E1966"/>
    <w:rsid w:val="005E196B"/>
    <w:rsid w:val="005E19AF"/>
    <w:rsid w:val="005E19DC"/>
    <w:rsid w:val="005E1B36"/>
    <w:rsid w:val="005E1B9A"/>
    <w:rsid w:val="005E1BB0"/>
    <w:rsid w:val="005E1BFB"/>
    <w:rsid w:val="005E1C0E"/>
    <w:rsid w:val="005E1C53"/>
    <w:rsid w:val="005E1C56"/>
    <w:rsid w:val="005E1C5E"/>
    <w:rsid w:val="005E1D13"/>
    <w:rsid w:val="005E1D2B"/>
    <w:rsid w:val="005E1D2F"/>
    <w:rsid w:val="005E1D33"/>
    <w:rsid w:val="005E1D62"/>
    <w:rsid w:val="005E1D75"/>
    <w:rsid w:val="005E1DF6"/>
    <w:rsid w:val="005E1E20"/>
    <w:rsid w:val="005E1E2A"/>
    <w:rsid w:val="005E1E2D"/>
    <w:rsid w:val="005E1E41"/>
    <w:rsid w:val="005E1E6B"/>
    <w:rsid w:val="005E1E75"/>
    <w:rsid w:val="005E1EAE"/>
    <w:rsid w:val="005E1ED3"/>
    <w:rsid w:val="005E1F18"/>
    <w:rsid w:val="005E1F5D"/>
    <w:rsid w:val="005E1F6E"/>
    <w:rsid w:val="005E1F7B"/>
    <w:rsid w:val="005E1FBD"/>
    <w:rsid w:val="005E1FCE"/>
    <w:rsid w:val="005E1FDB"/>
    <w:rsid w:val="005E2048"/>
    <w:rsid w:val="005E20A5"/>
    <w:rsid w:val="005E20B0"/>
    <w:rsid w:val="005E211D"/>
    <w:rsid w:val="005E21BB"/>
    <w:rsid w:val="005E21EF"/>
    <w:rsid w:val="005E221E"/>
    <w:rsid w:val="005E2264"/>
    <w:rsid w:val="005E22A4"/>
    <w:rsid w:val="005E22A6"/>
    <w:rsid w:val="005E22EA"/>
    <w:rsid w:val="005E2335"/>
    <w:rsid w:val="005E2361"/>
    <w:rsid w:val="005E236C"/>
    <w:rsid w:val="005E23CC"/>
    <w:rsid w:val="005E2414"/>
    <w:rsid w:val="005E243D"/>
    <w:rsid w:val="005E2484"/>
    <w:rsid w:val="005E249F"/>
    <w:rsid w:val="005E24ED"/>
    <w:rsid w:val="005E2518"/>
    <w:rsid w:val="005E2534"/>
    <w:rsid w:val="005E2568"/>
    <w:rsid w:val="005E258E"/>
    <w:rsid w:val="005E258F"/>
    <w:rsid w:val="005E25D9"/>
    <w:rsid w:val="005E25DA"/>
    <w:rsid w:val="005E25F5"/>
    <w:rsid w:val="005E2609"/>
    <w:rsid w:val="005E2616"/>
    <w:rsid w:val="005E263F"/>
    <w:rsid w:val="005E26BE"/>
    <w:rsid w:val="005E26CC"/>
    <w:rsid w:val="005E26FD"/>
    <w:rsid w:val="005E2731"/>
    <w:rsid w:val="005E273A"/>
    <w:rsid w:val="005E273C"/>
    <w:rsid w:val="005E2754"/>
    <w:rsid w:val="005E2782"/>
    <w:rsid w:val="005E2797"/>
    <w:rsid w:val="005E27A3"/>
    <w:rsid w:val="005E27CB"/>
    <w:rsid w:val="005E2806"/>
    <w:rsid w:val="005E2854"/>
    <w:rsid w:val="005E28A3"/>
    <w:rsid w:val="005E2919"/>
    <w:rsid w:val="005E2941"/>
    <w:rsid w:val="005E2947"/>
    <w:rsid w:val="005E29FC"/>
    <w:rsid w:val="005E29FE"/>
    <w:rsid w:val="005E2A2D"/>
    <w:rsid w:val="005E2A3C"/>
    <w:rsid w:val="005E2A51"/>
    <w:rsid w:val="005E2A69"/>
    <w:rsid w:val="005E2A96"/>
    <w:rsid w:val="005E2AC1"/>
    <w:rsid w:val="005E2AD3"/>
    <w:rsid w:val="005E2AD5"/>
    <w:rsid w:val="005E2ADD"/>
    <w:rsid w:val="005E2AFA"/>
    <w:rsid w:val="005E2BA3"/>
    <w:rsid w:val="005E2BBC"/>
    <w:rsid w:val="005E2BDB"/>
    <w:rsid w:val="005E2BE3"/>
    <w:rsid w:val="005E2BEC"/>
    <w:rsid w:val="005E2C2E"/>
    <w:rsid w:val="005E2C36"/>
    <w:rsid w:val="005E2C5C"/>
    <w:rsid w:val="005E2C69"/>
    <w:rsid w:val="005E2C9F"/>
    <w:rsid w:val="005E2CBD"/>
    <w:rsid w:val="005E2CD6"/>
    <w:rsid w:val="005E2CE1"/>
    <w:rsid w:val="005E2D00"/>
    <w:rsid w:val="005E2D11"/>
    <w:rsid w:val="005E2D40"/>
    <w:rsid w:val="005E2DFC"/>
    <w:rsid w:val="005E2E91"/>
    <w:rsid w:val="005E2E9A"/>
    <w:rsid w:val="005E2EB4"/>
    <w:rsid w:val="005E2EF0"/>
    <w:rsid w:val="005E2F49"/>
    <w:rsid w:val="005E2F92"/>
    <w:rsid w:val="005E2F9F"/>
    <w:rsid w:val="005E2FA9"/>
    <w:rsid w:val="005E2FC2"/>
    <w:rsid w:val="005E2FCB"/>
    <w:rsid w:val="005E2FF6"/>
    <w:rsid w:val="005E2FF9"/>
    <w:rsid w:val="005E3049"/>
    <w:rsid w:val="005E3085"/>
    <w:rsid w:val="005E3091"/>
    <w:rsid w:val="005E3106"/>
    <w:rsid w:val="005E3118"/>
    <w:rsid w:val="005E312D"/>
    <w:rsid w:val="005E312E"/>
    <w:rsid w:val="005E3151"/>
    <w:rsid w:val="005E316D"/>
    <w:rsid w:val="005E3178"/>
    <w:rsid w:val="005E318D"/>
    <w:rsid w:val="005E31A6"/>
    <w:rsid w:val="005E31B4"/>
    <w:rsid w:val="005E3225"/>
    <w:rsid w:val="005E324F"/>
    <w:rsid w:val="005E3278"/>
    <w:rsid w:val="005E3283"/>
    <w:rsid w:val="005E32A0"/>
    <w:rsid w:val="005E32C1"/>
    <w:rsid w:val="005E32F9"/>
    <w:rsid w:val="005E332D"/>
    <w:rsid w:val="005E3351"/>
    <w:rsid w:val="005E336B"/>
    <w:rsid w:val="005E33CA"/>
    <w:rsid w:val="005E33D2"/>
    <w:rsid w:val="005E340A"/>
    <w:rsid w:val="005E3459"/>
    <w:rsid w:val="005E347A"/>
    <w:rsid w:val="005E348C"/>
    <w:rsid w:val="005E34B9"/>
    <w:rsid w:val="005E34CD"/>
    <w:rsid w:val="005E34E2"/>
    <w:rsid w:val="005E34E6"/>
    <w:rsid w:val="005E34F4"/>
    <w:rsid w:val="005E3521"/>
    <w:rsid w:val="005E3529"/>
    <w:rsid w:val="005E3531"/>
    <w:rsid w:val="005E3542"/>
    <w:rsid w:val="005E354D"/>
    <w:rsid w:val="005E367A"/>
    <w:rsid w:val="005E369B"/>
    <w:rsid w:val="005E36A2"/>
    <w:rsid w:val="005E36DA"/>
    <w:rsid w:val="005E36FC"/>
    <w:rsid w:val="005E3719"/>
    <w:rsid w:val="005E372D"/>
    <w:rsid w:val="005E3766"/>
    <w:rsid w:val="005E37A8"/>
    <w:rsid w:val="005E37D1"/>
    <w:rsid w:val="005E3823"/>
    <w:rsid w:val="005E3833"/>
    <w:rsid w:val="005E38A9"/>
    <w:rsid w:val="005E38D1"/>
    <w:rsid w:val="005E38EE"/>
    <w:rsid w:val="005E38F2"/>
    <w:rsid w:val="005E392D"/>
    <w:rsid w:val="005E393F"/>
    <w:rsid w:val="005E3964"/>
    <w:rsid w:val="005E3976"/>
    <w:rsid w:val="005E39B1"/>
    <w:rsid w:val="005E39B6"/>
    <w:rsid w:val="005E39D5"/>
    <w:rsid w:val="005E3A0B"/>
    <w:rsid w:val="005E3A45"/>
    <w:rsid w:val="005E3A4A"/>
    <w:rsid w:val="005E3A5E"/>
    <w:rsid w:val="005E3A65"/>
    <w:rsid w:val="005E3A7B"/>
    <w:rsid w:val="005E3A8B"/>
    <w:rsid w:val="005E3ADE"/>
    <w:rsid w:val="005E3B2F"/>
    <w:rsid w:val="005E3B50"/>
    <w:rsid w:val="005E3B52"/>
    <w:rsid w:val="005E3B7D"/>
    <w:rsid w:val="005E3BD0"/>
    <w:rsid w:val="005E3BD5"/>
    <w:rsid w:val="005E3BDF"/>
    <w:rsid w:val="005E3BE6"/>
    <w:rsid w:val="005E3C25"/>
    <w:rsid w:val="005E3C29"/>
    <w:rsid w:val="005E3C87"/>
    <w:rsid w:val="005E3C90"/>
    <w:rsid w:val="005E3CBB"/>
    <w:rsid w:val="005E3CD3"/>
    <w:rsid w:val="005E3D05"/>
    <w:rsid w:val="005E3D78"/>
    <w:rsid w:val="005E3DC5"/>
    <w:rsid w:val="005E3DF4"/>
    <w:rsid w:val="005E3DFD"/>
    <w:rsid w:val="005E3E40"/>
    <w:rsid w:val="005E3E42"/>
    <w:rsid w:val="005E3E4A"/>
    <w:rsid w:val="005E3E50"/>
    <w:rsid w:val="005E3E53"/>
    <w:rsid w:val="005E3E81"/>
    <w:rsid w:val="005E3E88"/>
    <w:rsid w:val="005E3EAA"/>
    <w:rsid w:val="005E3EAC"/>
    <w:rsid w:val="005E3ECE"/>
    <w:rsid w:val="005E3EDC"/>
    <w:rsid w:val="005E3EF8"/>
    <w:rsid w:val="005E3F12"/>
    <w:rsid w:val="005E3F2E"/>
    <w:rsid w:val="005E3F40"/>
    <w:rsid w:val="005E3FA5"/>
    <w:rsid w:val="005E3FF1"/>
    <w:rsid w:val="005E3FF6"/>
    <w:rsid w:val="005E4004"/>
    <w:rsid w:val="005E4015"/>
    <w:rsid w:val="005E4043"/>
    <w:rsid w:val="005E4054"/>
    <w:rsid w:val="005E4074"/>
    <w:rsid w:val="005E4099"/>
    <w:rsid w:val="005E40BE"/>
    <w:rsid w:val="005E40D6"/>
    <w:rsid w:val="005E411B"/>
    <w:rsid w:val="005E416F"/>
    <w:rsid w:val="005E4183"/>
    <w:rsid w:val="005E41A9"/>
    <w:rsid w:val="005E41B6"/>
    <w:rsid w:val="005E41C3"/>
    <w:rsid w:val="005E41F4"/>
    <w:rsid w:val="005E41F5"/>
    <w:rsid w:val="005E421D"/>
    <w:rsid w:val="005E4228"/>
    <w:rsid w:val="005E4255"/>
    <w:rsid w:val="005E425D"/>
    <w:rsid w:val="005E4272"/>
    <w:rsid w:val="005E4281"/>
    <w:rsid w:val="005E42A2"/>
    <w:rsid w:val="005E42AF"/>
    <w:rsid w:val="005E42DC"/>
    <w:rsid w:val="005E42F9"/>
    <w:rsid w:val="005E4300"/>
    <w:rsid w:val="005E4310"/>
    <w:rsid w:val="005E432B"/>
    <w:rsid w:val="005E433C"/>
    <w:rsid w:val="005E4345"/>
    <w:rsid w:val="005E434A"/>
    <w:rsid w:val="005E437C"/>
    <w:rsid w:val="005E43A8"/>
    <w:rsid w:val="005E43E3"/>
    <w:rsid w:val="005E43F6"/>
    <w:rsid w:val="005E43FC"/>
    <w:rsid w:val="005E43FD"/>
    <w:rsid w:val="005E4402"/>
    <w:rsid w:val="005E440D"/>
    <w:rsid w:val="005E4471"/>
    <w:rsid w:val="005E448F"/>
    <w:rsid w:val="005E449D"/>
    <w:rsid w:val="005E449F"/>
    <w:rsid w:val="005E4528"/>
    <w:rsid w:val="005E452B"/>
    <w:rsid w:val="005E4543"/>
    <w:rsid w:val="005E4557"/>
    <w:rsid w:val="005E4575"/>
    <w:rsid w:val="005E4595"/>
    <w:rsid w:val="005E459F"/>
    <w:rsid w:val="005E45E0"/>
    <w:rsid w:val="005E45E6"/>
    <w:rsid w:val="005E45F5"/>
    <w:rsid w:val="005E4609"/>
    <w:rsid w:val="005E4649"/>
    <w:rsid w:val="005E4676"/>
    <w:rsid w:val="005E467C"/>
    <w:rsid w:val="005E4694"/>
    <w:rsid w:val="005E4711"/>
    <w:rsid w:val="005E472A"/>
    <w:rsid w:val="005E4748"/>
    <w:rsid w:val="005E474E"/>
    <w:rsid w:val="005E478E"/>
    <w:rsid w:val="005E47A1"/>
    <w:rsid w:val="005E47A6"/>
    <w:rsid w:val="005E47D2"/>
    <w:rsid w:val="005E47D3"/>
    <w:rsid w:val="005E4802"/>
    <w:rsid w:val="005E482D"/>
    <w:rsid w:val="005E484D"/>
    <w:rsid w:val="005E487D"/>
    <w:rsid w:val="005E4885"/>
    <w:rsid w:val="005E48A4"/>
    <w:rsid w:val="005E48D2"/>
    <w:rsid w:val="005E48F8"/>
    <w:rsid w:val="005E48FF"/>
    <w:rsid w:val="005E4908"/>
    <w:rsid w:val="005E4930"/>
    <w:rsid w:val="005E4944"/>
    <w:rsid w:val="005E4949"/>
    <w:rsid w:val="005E495F"/>
    <w:rsid w:val="005E49A2"/>
    <w:rsid w:val="005E49A3"/>
    <w:rsid w:val="005E49CC"/>
    <w:rsid w:val="005E49D8"/>
    <w:rsid w:val="005E49F6"/>
    <w:rsid w:val="005E4A0C"/>
    <w:rsid w:val="005E4A2D"/>
    <w:rsid w:val="005E4A5B"/>
    <w:rsid w:val="005E4A89"/>
    <w:rsid w:val="005E4A9A"/>
    <w:rsid w:val="005E4AA6"/>
    <w:rsid w:val="005E4ABB"/>
    <w:rsid w:val="005E4AC4"/>
    <w:rsid w:val="005E4AD0"/>
    <w:rsid w:val="005E4B33"/>
    <w:rsid w:val="005E4B4C"/>
    <w:rsid w:val="005E4BB1"/>
    <w:rsid w:val="005E4BCB"/>
    <w:rsid w:val="005E4BD9"/>
    <w:rsid w:val="005E4C39"/>
    <w:rsid w:val="005E4C9E"/>
    <w:rsid w:val="005E4CB7"/>
    <w:rsid w:val="005E4CE1"/>
    <w:rsid w:val="005E4D4E"/>
    <w:rsid w:val="005E4D77"/>
    <w:rsid w:val="005E4DB8"/>
    <w:rsid w:val="005E4DBA"/>
    <w:rsid w:val="005E4DC4"/>
    <w:rsid w:val="005E4DD6"/>
    <w:rsid w:val="005E4E59"/>
    <w:rsid w:val="005E4E5A"/>
    <w:rsid w:val="005E4E6D"/>
    <w:rsid w:val="005E4E7C"/>
    <w:rsid w:val="005E4ED3"/>
    <w:rsid w:val="005E4EDA"/>
    <w:rsid w:val="005E4EDE"/>
    <w:rsid w:val="005E4EEB"/>
    <w:rsid w:val="005E4EF2"/>
    <w:rsid w:val="005E4F1C"/>
    <w:rsid w:val="005E4F25"/>
    <w:rsid w:val="005E4F4C"/>
    <w:rsid w:val="005E4F4D"/>
    <w:rsid w:val="005E4F7C"/>
    <w:rsid w:val="005E4F9A"/>
    <w:rsid w:val="005E5003"/>
    <w:rsid w:val="005E501B"/>
    <w:rsid w:val="005E5023"/>
    <w:rsid w:val="005E5040"/>
    <w:rsid w:val="005E5049"/>
    <w:rsid w:val="005E507F"/>
    <w:rsid w:val="005E50C8"/>
    <w:rsid w:val="005E50CB"/>
    <w:rsid w:val="005E50D9"/>
    <w:rsid w:val="005E5116"/>
    <w:rsid w:val="005E514F"/>
    <w:rsid w:val="005E515F"/>
    <w:rsid w:val="005E51BA"/>
    <w:rsid w:val="005E51C7"/>
    <w:rsid w:val="005E5202"/>
    <w:rsid w:val="005E521B"/>
    <w:rsid w:val="005E5282"/>
    <w:rsid w:val="005E52CF"/>
    <w:rsid w:val="005E52E3"/>
    <w:rsid w:val="005E5306"/>
    <w:rsid w:val="005E5371"/>
    <w:rsid w:val="005E5379"/>
    <w:rsid w:val="005E538A"/>
    <w:rsid w:val="005E53B9"/>
    <w:rsid w:val="005E53C1"/>
    <w:rsid w:val="005E5417"/>
    <w:rsid w:val="005E541F"/>
    <w:rsid w:val="005E5423"/>
    <w:rsid w:val="005E5434"/>
    <w:rsid w:val="005E5448"/>
    <w:rsid w:val="005E545C"/>
    <w:rsid w:val="005E5486"/>
    <w:rsid w:val="005E54AE"/>
    <w:rsid w:val="005E5536"/>
    <w:rsid w:val="005E55CB"/>
    <w:rsid w:val="005E55E9"/>
    <w:rsid w:val="005E55F1"/>
    <w:rsid w:val="005E5657"/>
    <w:rsid w:val="005E5697"/>
    <w:rsid w:val="005E56B5"/>
    <w:rsid w:val="005E56BB"/>
    <w:rsid w:val="005E570B"/>
    <w:rsid w:val="005E5742"/>
    <w:rsid w:val="005E575F"/>
    <w:rsid w:val="005E576A"/>
    <w:rsid w:val="005E5794"/>
    <w:rsid w:val="005E5799"/>
    <w:rsid w:val="005E57BF"/>
    <w:rsid w:val="005E57E8"/>
    <w:rsid w:val="005E582B"/>
    <w:rsid w:val="005E5850"/>
    <w:rsid w:val="005E585E"/>
    <w:rsid w:val="005E5878"/>
    <w:rsid w:val="005E5883"/>
    <w:rsid w:val="005E58BD"/>
    <w:rsid w:val="005E58EA"/>
    <w:rsid w:val="005E5928"/>
    <w:rsid w:val="005E5935"/>
    <w:rsid w:val="005E5960"/>
    <w:rsid w:val="005E5967"/>
    <w:rsid w:val="005E5994"/>
    <w:rsid w:val="005E59A9"/>
    <w:rsid w:val="005E59BD"/>
    <w:rsid w:val="005E59CC"/>
    <w:rsid w:val="005E59DA"/>
    <w:rsid w:val="005E59EE"/>
    <w:rsid w:val="005E5A04"/>
    <w:rsid w:val="005E5A33"/>
    <w:rsid w:val="005E5A42"/>
    <w:rsid w:val="005E5A48"/>
    <w:rsid w:val="005E5A66"/>
    <w:rsid w:val="005E5A97"/>
    <w:rsid w:val="005E5AA4"/>
    <w:rsid w:val="005E5AED"/>
    <w:rsid w:val="005E5B05"/>
    <w:rsid w:val="005E5B19"/>
    <w:rsid w:val="005E5B70"/>
    <w:rsid w:val="005E5B96"/>
    <w:rsid w:val="005E5BFC"/>
    <w:rsid w:val="005E5C2F"/>
    <w:rsid w:val="005E5C32"/>
    <w:rsid w:val="005E5C82"/>
    <w:rsid w:val="005E5CBA"/>
    <w:rsid w:val="005E5D33"/>
    <w:rsid w:val="005E5D37"/>
    <w:rsid w:val="005E5D45"/>
    <w:rsid w:val="005E5DB7"/>
    <w:rsid w:val="005E5E13"/>
    <w:rsid w:val="005E5E74"/>
    <w:rsid w:val="005E5E76"/>
    <w:rsid w:val="005E5EC7"/>
    <w:rsid w:val="005E5EE8"/>
    <w:rsid w:val="005E5F33"/>
    <w:rsid w:val="005E5F3A"/>
    <w:rsid w:val="005E5F89"/>
    <w:rsid w:val="005E5FA2"/>
    <w:rsid w:val="005E5FD3"/>
    <w:rsid w:val="005E6014"/>
    <w:rsid w:val="005E604C"/>
    <w:rsid w:val="005E606B"/>
    <w:rsid w:val="005E6082"/>
    <w:rsid w:val="005E60A3"/>
    <w:rsid w:val="005E60B5"/>
    <w:rsid w:val="005E60CF"/>
    <w:rsid w:val="005E6127"/>
    <w:rsid w:val="005E6149"/>
    <w:rsid w:val="005E6169"/>
    <w:rsid w:val="005E61E8"/>
    <w:rsid w:val="005E6200"/>
    <w:rsid w:val="005E621B"/>
    <w:rsid w:val="005E622C"/>
    <w:rsid w:val="005E6256"/>
    <w:rsid w:val="005E628B"/>
    <w:rsid w:val="005E62BA"/>
    <w:rsid w:val="005E62BB"/>
    <w:rsid w:val="005E62D0"/>
    <w:rsid w:val="005E6304"/>
    <w:rsid w:val="005E6311"/>
    <w:rsid w:val="005E631D"/>
    <w:rsid w:val="005E6324"/>
    <w:rsid w:val="005E633A"/>
    <w:rsid w:val="005E636F"/>
    <w:rsid w:val="005E6373"/>
    <w:rsid w:val="005E6388"/>
    <w:rsid w:val="005E63E5"/>
    <w:rsid w:val="005E64C4"/>
    <w:rsid w:val="005E64D6"/>
    <w:rsid w:val="005E64FA"/>
    <w:rsid w:val="005E6501"/>
    <w:rsid w:val="005E651B"/>
    <w:rsid w:val="005E653C"/>
    <w:rsid w:val="005E6575"/>
    <w:rsid w:val="005E657F"/>
    <w:rsid w:val="005E65A6"/>
    <w:rsid w:val="005E65AA"/>
    <w:rsid w:val="005E65E3"/>
    <w:rsid w:val="005E65E6"/>
    <w:rsid w:val="005E65F1"/>
    <w:rsid w:val="005E65F4"/>
    <w:rsid w:val="005E660C"/>
    <w:rsid w:val="005E660D"/>
    <w:rsid w:val="005E666B"/>
    <w:rsid w:val="005E6691"/>
    <w:rsid w:val="005E66AA"/>
    <w:rsid w:val="005E66AE"/>
    <w:rsid w:val="005E66BA"/>
    <w:rsid w:val="005E66D3"/>
    <w:rsid w:val="005E66DE"/>
    <w:rsid w:val="005E675C"/>
    <w:rsid w:val="005E675E"/>
    <w:rsid w:val="005E6763"/>
    <w:rsid w:val="005E6764"/>
    <w:rsid w:val="005E6771"/>
    <w:rsid w:val="005E6793"/>
    <w:rsid w:val="005E67AA"/>
    <w:rsid w:val="005E6824"/>
    <w:rsid w:val="005E682C"/>
    <w:rsid w:val="005E6835"/>
    <w:rsid w:val="005E68C4"/>
    <w:rsid w:val="005E68DE"/>
    <w:rsid w:val="005E68F3"/>
    <w:rsid w:val="005E6901"/>
    <w:rsid w:val="005E690A"/>
    <w:rsid w:val="005E6927"/>
    <w:rsid w:val="005E692E"/>
    <w:rsid w:val="005E6931"/>
    <w:rsid w:val="005E6945"/>
    <w:rsid w:val="005E694A"/>
    <w:rsid w:val="005E6998"/>
    <w:rsid w:val="005E69BE"/>
    <w:rsid w:val="005E69D4"/>
    <w:rsid w:val="005E69D8"/>
    <w:rsid w:val="005E6A0C"/>
    <w:rsid w:val="005E6A12"/>
    <w:rsid w:val="005E6A2F"/>
    <w:rsid w:val="005E6A66"/>
    <w:rsid w:val="005E6AFC"/>
    <w:rsid w:val="005E6B7E"/>
    <w:rsid w:val="005E6BB3"/>
    <w:rsid w:val="005E6C0D"/>
    <w:rsid w:val="005E6C4E"/>
    <w:rsid w:val="005E6C95"/>
    <w:rsid w:val="005E6CBC"/>
    <w:rsid w:val="005E6CF7"/>
    <w:rsid w:val="005E6CFC"/>
    <w:rsid w:val="005E6D19"/>
    <w:rsid w:val="005E6D3B"/>
    <w:rsid w:val="005E6DB6"/>
    <w:rsid w:val="005E6DC2"/>
    <w:rsid w:val="005E6DFC"/>
    <w:rsid w:val="005E6E06"/>
    <w:rsid w:val="005E6E1E"/>
    <w:rsid w:val="005E6E41"/>
    <w:rsid w:val="005E6E61"/>
    <w:rsid w:val="005E6E69"/>
    <w:rsid w:val="005E6EEC"/>
    <w:rsid w:val="005E6F1A"/>
    <w:rsid w:val="005E6F2B"/>
    <w:rsid w:val="005E6F34"/>
    <w:rsid w:val="005E6F51"/>
    <w:rsid w:val="005E6F90"/>
    <w:rsid w:val="005E6FAF"/>
    <w:rsid w:val="005E6FEC"/>
    <w:rsid w:val="005E6FF5"/>
    <w:rsid w:val="005E7037"/>
    <w:rsid w:val="005E703A"/>
    <w:rsid w:val="005E704A"/>
    <w:rsid w:val="005E70B9"/>
    <w:rsid w:val="005E70C5"/>
    <w:rsid w:val="005E70E1"/>
    <w:rsid w:val="005E7128"/>
    <w:rsid w:val="005E7143"/>
    <w:rsid w:val="005E7180"/>
    <w:rsid w:val="005E724E"/>
    <w:rsid w:val="005E7258"/>
    <w:rsid w:val="005E726F"/>
    <w:rsid w:val="005E7270"/>
    <w:rsid w:val="005E7285"/>
    <w:rsid w:val="005E7295"/>
    <w:rsid w:val="005E72A9"/>
    <w:rsid w:val="005E72B2"/>
    <w:rsid w:val="005E72DC"/>
    <w:rsid w:val="005E7301"/>
    <w:rsid w:val="005E7304"/>
    <w:rsid w:val="005E732B"/>
    <w:rsid w:val="005E7369"/>
    <w:rsid w:val="005E7389"/>
    <w:rsid w:val="005E73AB"/>
    <w:rsid w:val="005E73B2"/>
    <w:rsid w:val="005E7468"/>
    <w:rsid w:val="005E747F"/>
    <w:rsid w:val="005E749A"/>
    <w:rsid w:val="005E74BF"/>
    <w:rsid w:val="005E74E7"/>
    <w:rsid w:val="005E753D"/>
    <w:rsid w:val="005E754B"/>
    <w:rsid w:val="005E7557"/>
    <w:rsid w:val="005E7577"/>
    <w:rsid w:val="005E7582"/>
    <w:rsid w:val="005E7594"/>
    <w:rsid w:val="005E75C5"/>
    <w:rsid w:val="005E760A"/>
    <w:rsid w:val="005E763B"/>
    <w:rsid w:val="005E767F"/>
    <w:rsid w:val="005E7688"/>
    <w:rsid w:val="005E76A4"/>
    <w:rsid w:val="005E76DF"/>
    <w:rsid w:val="005E76EB"/>
    <w:rsid w:val="005E76FC"/>
    <w:rsid w:val="005E772B"/>
    <w:rsid w:val="005E77AE"/>
    <w:rsid w:val="005E77B7"/>
    <w:rsid w:val="005E77D0"/>
    <w:rsid w:val="005E77E2"/>
    <w:rsid w:val="005E77EB"/>
    <w:rsid w:val="005E77FE"/>
    <w:rsid w:val="005E781F"/>
    <w:rsid w:val="005E785D"/>
    <w:rsid w:val="005E7871"/>
    <w:rsid w:val="005E7885"/>
    <w:rsid w:val="005E788B"/>
    <w:rsid w:val="005E7895"/>
    <w:rsid w:val="005E789B"/>
    <w:rsid w:val="005E7926"/>
    <w:rsid w:val="005E7978"/>
    <w:rsid w:val="005E797F"/>
    <w:rsid w:val="005E7982"/>
    <w:rsid w:val="005E798E"/>
    <w:rsid w:val="005E79A0"/>
    <w:rsid w:val="005E7A07"/>
    <w:rsid w:val="005E7A39"/>
    <w:rsid w:val="005E7A4E"/>
    <w:rsid w:val="005E7A7D"/>
    <w:rsid w:val="005E7A8A"/>
    <w:rsid w:val="005E7AA0"/>
    <w:rsid w:val="005E7AD6"/>
    <w:rsid w:val="005E7ADC"/>
    <w:rsid w:val="005E7AFC"/>
    <w:rsid w:val="005E7AFD"/>
    <w:rsid w:val="005E7B5B"/>
    <w:rsid w:val="005E7B75"/>
    <w:rsid w:val="005E7B9E"/>
    <w:rsid w:val="005E7BD4"/>
    <w:rsid w:val="005E7BF4"/>
    <w:rsid w:val="005E7BFD"/>
    <w:rsid w:val="005E7C1E"/>
    <w:rsid w:val="005E7C83"/>
    <w:rsid w:val="005E7C89"/>
    <w:rsid w:val="005E7CF1"/>
    <w:rsid w:val="005E7D22"/>
    <w:rsid w:val="005E7D36"/>
    <w:rsid w:val="005E7D42"/>
    <w:rsid w:val="005E7D48"/>
    <w:rsid w:val="005E7D7E"/>
    <w:rsid w:val="005E7D83"/>
    <w:rsid w:val="005E7D8D"/>
    <w:rsid w:val="005E7DAC"/>
    <w:rsid w:val="005E7DF9"/>
    <w:rsid w:val="005E7E0F"/>
    <w:rsid w:val="005E7E21"/>
    <w:rsid w:val="005E7E82"/>
    <w:rsid w:val="005E7E83"/>
    <w:rsid w:val="005E7E85"/>
    <w:rsid w:val="005E7E8A"/>
    <w:rsid w:val="005E7E8B"/>
    <w:rsid w:val="005E7E95"/>
    <w:rsid w:val="005E7E9C"/>
    <w:rsid w:val="005E7EC4"/>
    <w:rsid w:val="005E7EC8"/>
    <w:rsid w:val="005E7ED0"/>
    <w:rsid w:val="005E7EF7"/>
    <w:rsid w:val="005E7F41"/>
    <w:rsid w:val="005E7F4F"/>
    <w:rsid w:val="005E7F72"/>
    <w:rsid w:val="005E7FC9"/>
    <w:rsid w:val="005E7FCC"/>
    <w:rsid w:val="005F0010"/>
    <w:rsid w:val="005F0013"/>
    <w:rsid w:val="005F004C"/>
    <w:rsid w:val="005F004D"/>
    <w:rsid w:val="005F0057"/>
    <w:rsid w:val="005F005D"/>
    <w:rsid w:val="005F0069"/>
    <w:rsid w:val="005F009A"/>
    <w:rsid w:val="005F00B6"/>
    <w:rsid w:val="005F0157"/>
    <w:rsid w:val="005F0158"/>
    <w:rsid w:val="005F0167"/>
    <w:rsid w:val="005F0192"/>
    <w:rsid w:val="005F0196"/>
    <w:rsid w:val="005F01AC"/>
    <w:rsid w:val="005F01AD"/>
    <w:rsid w:val="005F01C7"/>
    <w:rsid w:val="005F0208"/>
    <w:rsid w:val="005F022B"/>
    <w:rsid w:val="005F0232"/>
    <w:rsid w:val="005F025B"/>
    <w:rsid w:val="005F0279"/>
    <w:rsid w:val="005F0290"/>
    <w:rsid w:val="005F0330"/>
    <w:rsid w:val="005F0340"/>
    <w:rsid w:val="005F034A"/>
    <w:rsid w:val="005F0357"/>
    <w:rsid w:val="005F0383"/>
    <w:rsid w:val="005F03CE"/>
    <w:rsid w:val="005F03D8"/>
    <w:rsid w:val="005F03E4"/>
    <w:rsid w:val="005F03F4"/>
    <w:rsid w:val="005F044B"/>
    <w:rsid w:val="005F0457"/>
    <w:rsid w:val="005F0463"/>
    <w:rsid w:val="005F04AD"/>
    <w:rsid w:val="005F04C7"/>
    <w:rsid w:val="005F04D9"/>
    <w:rsid w:val="005F04EA"/>
    <w:rsid w:val="005F04FB"/>
    <w:rsid w:val="005F0554"/>
    <w:rsid w:val="005F0567"/>
    <w:rsid w:val="005F058E"/>
    <w:rsid w:val="005F0597"/>
    <w:rsid w:val="005F059F"/>
    <w:rsid w:val="005F05D3"/>
    <w:rsid w:val="005F05D7"/>
    <w:rsid w:val="005F061C"/>
    <w:rsid w:val="005F0634"/>
    <w:rsid w:val="005F06BE"/>
    <w:rsid w:val="005F06DB"/>
    <w:rsid w:val="005F06E2"/>
    <w:rsid w:val="005F06E5"/>
    <w:rsid w:val="005F06FC"/>
    <w:rsid w:val="005F0712"/>
    <w:rsid w:val="005F07B2"/>
    <w:rsid w:val="005F0820"/>
    <w:rsid w:val="005F083E"/>
    <w:rsid w:val="005F0842"/>
    <w:rsid w:val="005F0867"/>
    <w:rsid w:val="005F086C"/>
    <w:rsid w:val="005F0896"/>
    <w:rsid w:val="005F08AD"/>
    <w:rsid w:val="005F08D7"/>
    <w:rsid w:val="005F08E9"/>
    <w:rsid w:val="005F090F"/>
    <w:rsid w:val="005F0937"/>
    <w:rsid w:val="005F093D"/>
    <w:rsid w:val="005F09A4"/>
    <w:rsid w:val="005F09C5"/>
    <w:rsid w:val="005F09E1"/>
    <w:rsid w:val="005F09F4"/>
    <w:rsid w:val="005F09FF"/>
    <w:rsid w:val="005F0A05"/>
    <w:rsid w:val="005F0A07"/>
    <w:rsid w:val="005F0A23"/>
    <w:rsid w:val="005F0A44"/>
    <w:rsid w:val="005F0AA8"/>
    <w:rsid w:val="005F0AC8"/>
    <w:rsid w:val="005F0ADA"/>
    <w:rsid w:val="005F0AF7"/>
    <w:rsid w:val="005F0B42"/>
    <w:rsid w:val="005F0B80"/>
    <w:rsid w:val="005F0B87"/>
    <w:rsid w:val="005F0B88"/>
    <w:rsid w:val="005F0B97"/>
    <w:rsid w:val="005F0BB2"/>
    <w:rsid w:val="005F0BB7"/>
    <w:rsid w:val="005F0BB9"/>
    <w:rsid w:val="005F0BD0"/>
    <w:rsid w:val="005F0BD8"/>
    <w:rsid w:val="005F0C05"/>
    <w:rsid w:val="005F0C39"/>
    <w:rsid w:val="005F0C62"/>
    <w:rsid w:val="005F0C87"/>
    <w:rsid w:val="005F0CA2"/>
    <w:rsid w:val="005F0CED"/>
    <w:rsid w:val="005F0D29"/>
    <w:rsid w:val="005F0D46"/>
    <w:rsid w:val="005F0D54"/>
    <w:rsid w:val="005F0D5D"/>
    <w:rsid w:val="005F0D6D"/>
    <w:rsid w:val="005F0D75"/>
    <w:rsid w:val="005F0DAE"/>
    <w:rsid w:val="005F0DCC"/>
    <w:rsid w:val="005F0DCF"/>
    <w:rsid w:val="005F0E2D"/>
    <w:rsid w:val="005F0E93"/>
    <w:rsid w:val="005F0ECC"/>
    <w:rsid w:val="005F0F7A"/>
    <w:rsid w:val="005F0F94"/>
    <w:rsid w:val="005F0FC0"/>
    <w:rsid w:val="005F0FC4"/>
    <w:rsid w:val="005F0FC8"/>
    <w:rsid w:val="005F0FCB"/>
    <w:rsid w:val="005F0FCE"/>
    <w:rsid w:val="005F1012"/>
    <w:rsid w:val="005F1019"/>
    <w:rsid w:val="005F1060"/>
    <w:rsid w:val="005F1063"/>
    <w:rsid w:val="005F1068"/>
    <w:rsid w:val="005F1077"/>
    <w:rsid w:val="005F10E3"/>
    <w:rsid w:val="005F10FA"/>
    <w:rsid w:val="005F1106"/>
    <w:rsid w:val="005F111A"/>
    <w:rsid w:val="005F1149"/>
    <w:rsid w:val="005F1150"/>
    <w:rsid w:val="005F115C"/>
    <w:rsid w:val="005F1187"/>
    <w:rsid w:val="005F11B8"/>
    <w:rsid w:val="005F11FD"/>
    <w:rsid w:val="005F1200"/>
    <w:rsid w:val="005F1209"/>
    <w:rsid w:val="005F1245"/>
    <w:rsid w:val="005F1250"/>
    <w:rsid w:val="005F12AF"/>
    <w:rsid w:val="005F12B3"/>
    <w:rsid w:val="005F12C6"/>
    <w:rsid w:val="005F12D6"/>
    <w:rsid w:val="005F131D"/>
    <w:rsid w:val="005F1324"/>
    <w:rsid w:val="005F133F"/>
    <w:rsid w:val="005F1342"/>
    <w:rsid w:val="005F136A"/>
    <w:rsid w:val="005F138C"/>
    <w:rsid w:val="005F13D1"/>
    <w:rsid w:val="005F13EA"/>
    <w:rsid w:val="005F13ED"/>
    <w:rsid w:val="005F1431"/>
    <w:rsid w:val="005F1462"/>
    <w:rsid w:val="005F1487"/>
    <w:rsid w:val="005F14AE"/>
    <w:rsid w:val="005F14C5"/>
    <w:rsid w:val="005F14ED"/>
    <w:rsid w:val="005F14F4"/>
    <w:rsid w:val="005F150D"/>
    <w:rsid w:val="005F152B"/>
    <w:rsid w:val="005F15C0"/>
    <w:rsid w:val="005F15CF"/>
    <w:rsid w:val="005F1619"/>
    <w:rsid w:val="005F1647"/>
    <w:rsid w:val="005F1667"/>
    <w:rsid w:val="005F16E2"/>
    <w:rsid w:val="005F16F2"/>
    <w:rsid w:val="005F16FF"/>
    <w:rsid w:val="005F1700"/>
    <w:rsid w:val="005F1709"/>
    <w:rsid w:val="005F1726"/>
    <w:rsid w:val="005F1727"/>
    <w:rsid w:val="005F172B"/>
    <w:rsid w:val="005F1741"/>
    <w:rsid w:val="005F1751"/>
    <w:rsid w:val="005F1761"/>
    <w:rsid w:val="005F17DB"/>
    <w:rsid w:val="005F17F4"/>
    <w:rsid w:val="005F1816"/>
    <w:rsid w:val="005F1824"/>
    <w:rsid w:val="005F182D"/>
    <w:rsid w:val="005F186A"/>
    <w:rsid w:val="005F18BE"/>
    <w:rsid w:val="005F192C"/>
    <w:rsid w:val="005F1966"/>
    <w:rsid w:val="005F1984"/>
    <w:rsid w:val="005F19DA"/>
    <w:rsid w:val="005F19F0"/>
    <w:rsid w:val="005F1A4C"/>
    <w:rsid w:val="005F1A8C"/>
    <w:rsid w:val="005F1AE4"/>
    <w:rsid w:val="005F1AF0"/>
    <w:rsid w:val="005F1B0E"/>
    <w:rsid w:val="005F1B11"/>
    <w:rsid w:val="005F1B19"/>
    <w:rsid w:val="005F1B90"/>
    <w:rsid w:val="005F1BD0"/>
    <w:rsid w:val="005F1BE5"/>
    <w:rsid w:val="005F1C5F"/>
    <w:rsid w:val="005F1C98"/>
    <w:rsid w:val="005F1CED"/>
    <w:rsid w:val="005F1D0B"/>
    <w:rsid w:val="005F1D14"/>
    <w:rsid w:val="005F1D42"/>
    <w:rsid w:val="005F1D65"/>
    <w:rsid w:val="005F1E69"/>
    <w:rsid w:val="005F1E92"/>
    <w:rsid w:val="005F1EA4"/>
    <w:rsid w:val="005F1EAC"/>
    <w:rsid w:val="005F1ED2"/>
    <w:rsid w:val="005F1F08"/>
    <w:rsid w:val="005F1F76"/>
    <w:rsid w:val="005F1F78"/>
    <w:rsid w:val="005F1F8B"/>
    <w:rsid w:val="005F1FDD"/>
    <w:rsid w:val="005F1FE1"/>
    <w:rsid w:val="005F2047"/>
    <w:rsid w:val="005F2048"/>
    <w:rsid w:val="005F204E"/>
    <w:rsid w:val="005F2059"/>
    <w:rsid w:val="005F20DB"/>
    <w:rsid w:val="005F20E2"/>
    <w:rsid w:val="005F210B"/>
    <w:rsid w:val="005F2138"/>
    <w:rsid w:val="005F216D"/>
    <w:rsid w:val="005F2174"/>
    <w:rsid w:val="005F219F"/>
    <w:rsid w:val="005F21C9"/>
    <w:rsid w:val="005F21CB"/>
    <w:rsid w:val="005F21DF"/>
    <w:rsid w:val="005F220F"/>
    <w:rsid w:val="005F221C"/>
    <w:rsid w:val="005F222B"/>
    <w:rsid w:val="005F222D"/>
    <w:rsid w:val="005F2272"/>
    <w:rsid w:val="005F2279"/>
    <w:rsid w:val="005F22A9"/>
    <w:rsid w:val="005F22C2"/>
    <w:rsid w:val="005F22D0"/>
    <w:rsid w:val="005F22E3"/>
    <w:rsid w:val="005F231C"/>
    <w:rsid w:val="005F2321"/>
    <w:rsid w:val="005F2332"/>
    <w:rsid w:val="005F234C"/>
    <w:rsid w:val="005F2389"/>
    <w:rsid w:val="005F238B"/>
    <w:rsid w:val="005F23A7"/>
    <w:rsid w:val="005F2405"/>
    <w:rsid w:val="005F2430"/>
    <w:rsid w:val="005F2467"/>
    <w:rsid w:val="005F246A"/>
    <w:rsid w:val="005F2477"/>
    <w:rsid w:val="005F24CD"/>
    <w:rsid w:val="005F24D7"/>
    <w:rsid w:val="005F24E1"/>
    <w:rsid w:val="005F24E4"/>
    <w:rsid w:val="005F24F3"/>
    <w:rsid w:val="005F2523"/>
    <w:rsid w:val="005F252B"/>
    <w:rsid w:val="005F254C"/>
    <w:rsid w:val="005F25A2"/>
    <w:rsid w:val="005F25BB"/>
    <w:rsid w:val="005F25DC"/>
    <w:rsid w:val="005F2628"/>
    <w:rsid w:val="005F2667"/>
    <w:rsid w:val="005F267C"/>
    <w:rsid w:val="005F26A2"/>
    <w:rsid w:val="005F26FA"/>
    <w:rsid w:val="005F270C"/>
    <w:rsid w:val="005F2714"/>
    <w:rsid w:val="005F27AB"/>
    <w:rsid w:val="005F27C2"/>
    <w:rsid w:val="005F2821"/>
    <w:rsid w:val="005F283C"/>
    <w:rsid w:val="005F2885"/>
    <w:rsid w:val="005F288E"/>
    <w:rsid w:val="005F28D0"/>
    <w:rsid w:val="005F2905"/>
    <w:rsid w:val="005F290D"/>
    <w:rsid w:val="005F2910"/>
    <w:rsid w:val="005F291E"/>
    <w:rsid w:val="005F2941"/>
    <w:rsid w:val="005F2949"/>
    <w:rsid w:val="005F296C"/>
    <w:rsid w:val="005F2983"/>
    <w:rsid w:val="005F29B8"/>
    <w:rsid w:val="005F29BF"/>
    <w:rsid w:val="005F29DA"/>
    <w:rsid w:val="005F29F1"/>
    <w:rsid w:val="005F2A06"/>
    <w:rsid w:val="005F2A22"/>
    <w:rsid w:val="005F2A2D"/>
    <w:rsid w:val="005F2A5C"/>
    <w:rsid w:val="005F2B4C"/>
    <w:rsid w:val="005F2C02"/>
    <w:rsid w:val="005F2C07"/>
    <w:rsid w:val="005F2C42"/>
    <w:rsid w:val="005F2C53"/>
    <w:rsid w:val="005F2C8B"/>
    <w:rsid w:val="005F2CA6"/>
    <w:rsid w:val="005F2CED"/>
    <w:rsid w:val="005F2CF8"/>
    <w:rsid w:val="005F2D6E"/>
    <w:rsid w:val="005F2E28"/>
    <w:rsid w:val="005F2E55"/>
    <w:rsid w:val="005F2E7E"/>
    <w:rsid w:val="005F2E81"/>
    <w:rsid w:val="005F2EEC"/>
    <w:rsid w:val="005F2F1B"/>
    <w:rsid w:val="005F2F3D"/>
    <w:rsid w:val="005F2F6C"/>
    <w:rsid w:val="005F2FC8"/>
    <w:rsid w:val="005F2FD7"/>
    <w:rsid w:val="005F2FEF"/>
    <w:rsid w:val="005F3015"/>
    <w:rsid w:val="005F302D"/>
    <w:rsid w:val="005F306E"/>
    <w:rsid w:val="005F3071"/>
    <w:rsid w:val="005F3082"/>
    <w:rsid w:val="005F3093"/>
    <w:rsid w:val="005F30A9"/>
    <w:rsid w:val="005F30B6"/>
    <w:rsid w:val="005F30B9"/>
    <w:rsid w:val="005F30D6"/>
    <w:rsid w:val="005F30F7"/>
    <w:rsid w:val="005F30F8"/>
    <w:rsid w:val="005F3126"/>
    <w:rsid w:val="005F3142"/>
    <w:rsid w:val="005F31D5"/>
    <w:rsid w:val="005F31DE"/>
    <w:rsid w:val="005F321C"/>
    <w:rsid w:val="005F3240"/>
    <w:rsid w:val="005F3288"/>
    <w:rsid w:val="005F328C"/>
    <w:rsid w:val="005F32C7"/>
    <w:rsid w:val="005F32F8"/>
    <w:rsid w:val="005F3306"/>
    <w:rsid w:val="005F3315"/>
    <w:rsid w:val="005F332B"/>
    <w:rsid w:val="005F334A"/>
    <w:rsid w:val="005F339F"/>
    <w:rsid w:val="005F33B2"/>
    <w:rsid w:val="005F33E8"/>
    <w:rsid w:val="005F340B"/>
    <w:rsid w:val="005F3437"/>
    <w:rsid w:val="005F347A"/>
    <w:rsid w:val="005F3490"/>
    <w:rsid w:val="005F34DE"/>
    <w:rsid w:val="005F34E6"/>
    <w:rsid w:val="005F34F5"/>
    <w:rsid w:val="005F3524"/>
    <w:rsid w:val="005F3526"/>
    <w:rsid w:val="005F3543"/>
    <w:rsid w:val="005F3550"/>
    <w:rsid w:val="005F355E"/>
    <w:rsid w:val="005F35D8"/>
    <w:rsid w:val="005F35FB"/>
    <w:rsid w:val="005F35FC"/>
    <w:rsid w:val="005F365F"/>
    <w:rsid w:val="005F36AE"/>
    <w:rsid w:val="005F36D2"/>
    <w:rsid w:val="005F36F9"/>
    <w:rsid w:val="005F3709"/>
    <w:rsid w:val="005F370E"/>
    <w:rsid w:val="005F373F"/>
    <w:rsid w:val="005F3777"/>
    <w:rsid w:val="005F3794"/>
    <w:rsid w:val="005F3796"/>
    <w:rsid w:val="005F37B4"/>
    <w:rsid w:val="005F37D8"/>
    <w:rsid w:val="005F37ED"/>
    <w:rsid w:val="005F383B"/>
    <w:rsid w:val="005F388B"/>
    <w:rsid w:val="005F38BD"/>
    <w:rsid w:val="005F38D1"/>
    <w:rsid w:val="005F38D6"/>
    <w:rsid w:val="005F3927"/>
    <w:rsid w:val="005F3940"/>
    <w:rsid w:val="005F3955"/>
    <w:rsid w:val="005F398F"/>
    <w:rsid w:val="005F39E4"/>
    <w:rsid w:val="005F3A02"/>
    <w:rsid w:val="005F3A17"/>
    <w:rsid w:val="005F3A18"/>
    <w:rsid w:val="005F3A2D"/>
    <w:rsid w:val="005F3ABA"/>
    <w:rsid w:val="005F3ABF"/>
    <w:rsid w:val="005F3B1D"/>
    <w:rsid w:val="005F3B3D"/>
    <w:rsid w:val="005F3B51"/>
    <w:rsid w:val="005F3B5E"/>
    <w:rsid w:val="005F3B7A"/>
    <w:rsid w:val="005F3B8F"/>
    <w:rsid w:val="005F3B9A"/>
    <w:rsid w:val="005F3C60"/>
    <w:rsid w:val="005F3C69"/>
    <w:rsid w:val="005F3CBA"/>
    <w:rsid w:val="005F3D05"/>
    <w:rsid w:val="005F3D39"/>
    <w:rsid w:val="005F3D3F"/>
    <w:rsid w:val="005F3D74"/>
    <w:rsid w:val="005F3D83"/>
    <w:rsid w:val="005F3DAD"/>
    <w:rsid w:val="005F3DB7"/>
    <w:rsid w:val="005F3DF1"/>
    <w:rsid w:val="005F3E32"/>
    <w:rsid w:val="005F3E44"/>
    <w:rsid w:val="005F3E77"/>
    <w:rsid w:val="005F3E82"/>
    <w:rsid w:val="005F3EC4"/>
    <w:rsid w:val="005F3ECB"/>
    <w:rsid w:val="005F3EE0"/>
    <w:rsid w:val="005F3EE4"/>
    <w:rsid w:val="005F3EE6"/>
    <w:rsid w:val="005F3EFE"/>
    <w:rsid w:val="005F3F0A"/>
    <w:rsid w:val="005F3F26"/>
    <w:rsid w:val="005F3F52"/>
    <w:rsid w:val="005F3F85"/>
    <w:rsid w:val="005F3FAE"/>
    <w:rsid w:val="005F3FF9"/>
    <w:rsid w:val="005F403B"/>
    <w:rsid w:val="005F4057"/>
    <w:rsid w:val="005F4074"/>
    <w:rsid w:val="005F4085"/>
    <w:rsid w:val="005F41CD"/>
    <w:rsid w:val="005F41D0"/>
    <w:rsid w:val="005F4224"/>
    <w:rsid w:val="005F4229"/>
    <w:rsid w:val="005F422C"/>
    <w:rsid w:val="005F4269"/>
    <w:rsid w:val="005F4271"/>
    <w:rsid w:val="005F428C"/>
    <w:rsid w:val="005F42D4"/>
    <w:rsid w:val="005F435F"/>
    <w:rsid w:val="005F4367"/>
    <w:rsid w:val="005F4386"/>
    <w:rsid w:val="005F4392"/>
    <w:rsid w:val="005F43A6"/>
    <w:rsid w:val="005F43F6"/>
    <w:rsid w:val="005F440A"/>
    <w:rsid w:val="005F440D"/>
    <w:rsid w:val="005F442D"/>
    <w:rsid w:val="005F4476"/>
    <w:rsid w:val="005F4487"/>
    <w:rsid w:val="005F44E1"/>
    <w:rsid w:val="005F44F0"/>
    <w:rsid w:val="005F44F7"/>
    <w:rsid w:val="005F4554"/>
    <w:rsid w:val="005F455A"/>
    <w:rsid w:val="005F4560"/>
    <w:rsid w:val="005F45A1"/>
    <w:rsid w:val="005F45AC"/>
    <w:rsid w:val="005F45C1"/>
    <w:rsid w:val="005F45E0"/>
    <w:rsid w:val="005F45E5"/>
    <w:rsid w:val="005F45FB"/>
    <w:rsid w:val="005F4605"/>
    <w:rsid w:val="005F460B"/>
    <w:rsid w:val="005F460C"/>
    <w:rsid w:val="005F461F"/>
    <w:rsid w:val="005F4654"/>
    <w:rsid w:val="005F4660"/>
    <w:rsid w:val="005F4661"/>
    <w:rsid w:val="005F467E"/>
    <w:rsid w:val="005F46B7"/>
    <w:rsid w:val="005F46D2"/>
    <w:rsid w:val="005F46D3"/>
    <w:rsid w:val="005F46D7"/>
    <w:rsid w:val="005F471D"/>
    <w:rsid w:val="005F4722"/>
    <w:rsid w:val="005F477C"/>
    <w:rsid w:val="005F47C3"/>
    <w:rsid w:val="005F47C6"/>
    <w:rsid w:val="005F47C7"/>
    <w:rsid w:val="005F47D0"/>
    <w:rsid w:val="005F47E5"/>
    <w:rsid w:val="005F4818"/>
    <w:rsid w:val="005F482C"/>
    <w:rsid w:val="005F4842"/>
    <w:rsid w:val="005F487B"/>
    <w:rsid w:val="005F4885"/>
    <w:rsid w:val="005F488D"/>
    <w:rsid w:val="005F48A0"/>
    <w:rsid w:val="005F48EB"/>
    <w:rsid w:val="005F492C"/>
    <w:rsid w:val="005F4995"/>
    <w:rsid w:val="005F49EA"/>
    <w:rsid w:val="005F49F2"/>
    <w:rsid w:val="005F4A32"/>
    <w:rsid w:val="005F4A62"/>
    <w:rsid w:val="005F4AE6"/>
    <w:rsid w:val="005F4B92"/>
    <w:rsid w:val="005F4BB8"/>
    <w:rsid w:val="005F4C3E"/>
    <w:rsid w:val="005F4C58"/>
    <w:rsid w:val="005F4C79"/>
    <w:rsid w:val="005F4C81"/>
    <w:rsid w:val="005F4CEB"/>
    <w:rsid w:val="005F4D39"/>
    <w:rsid w:val="005F4D52"/>
    <w:rsid w:val="005F4D7E"/>
    <w:rsid w:val="005F4DB7"/>
    <w:rsid w:val="005F4DCF"/>
    <w:rsid w:val="005F4DE1"/>
    <w:rsid w:val="005F4E01"/>
    <w:rsid w:val="005F4E02"/>
    <w:rsid w:val="005F4E2E"/>
    <w:rsid w:val="005F4E4C"/>
    <w:rsid w:val="005F4E7C"/>
    <w:rsid w:val="005F4EAC"/>
    <w:rsid w:val="005F4F41"/>
    <w:rsid w:val="005F4FD0"/>
    <w:rsid w:val="005F4FF5"/>
    <w:rsid w:val="005F4FFB"/>
    <w:rsid w:val="005F5004"/>
    <w:rsid w:val="005F504F"/>
    <w:rsid w:val="005F5059"/>
    <w:rsid w:val="005F5061"/>
    <w:rsid w:val="005F506C"/>
    <w:rsid w:val="005F507F"/>
    <w:rsid w:val="005F50C9"/>
    <w:rsid w:val="005F5110"/>
    <w:rsid w:val="005F5117"/>
    <w:rsid w:val="005F5188"/>
    <w:rsid w:val="005F51CB"/>
    <w:rsid w:val="005F51F5"/>
    <w:rsid w:val="005F5227"/>
    <w:rsid w:val="005F52CA"/>
    <w:rsid w:val="005F52E1"/>
    <w:rsid w:val="005F5300"/>
    <w:rsid w:val="005F5314"/>
    <w:rsid w:val="005F5318"/>
    <w:rsid w:val="005F5334"/>
    <w:rsid w:val="005F5354"/>
    <w:rsid w:val="005F5395"/>
    <w:rsid w:val="005F53AF"/>
    <w:rsid w:val="005F53BC"/>
    <w:rsid w:val="005F53F4"/>
    <w:rsid w:val="005F549E"/>
    <w:rsid w:val="005F54A6"/>
    <w:rsid w:val="005F54F6"/>
    <w:rsid w:val="005F5500"/>
    <w:rsid w:val="005F5539"/>
    <w:rsid w:val="005F553E"/>
    <w:rsid w:val="005F556D"/>
    <w:rsid w:val="005F55A1"/>
    <w:rsid w:val="005F561F"/>
    <w:rsid w:val="005F5707"/>
    <w:rsid w:val="005F570C"/>
    <w:rsid w:val="005F5744"/>
    <w:rsid w:val="005F5766"/>
    <w:rsid w:val="005F576E"/>
    <w:rsid w:val="005F5783"/>
    <w:rsid w:val="005F57AD"/>
    <w:rsid w:val="005F57C4"/>
    <w:rsid w:val="005F57C5"/>
    <w:rsid w:val="005F57F9"/>
    <w:rsid w:val="005F57FB"/>
    <w:rsid w:val="005F5820"/>
    <w:rsid w:val="005F5873"/>
    <w:rsid w:val="005F587F"/>
    <w:rsid w:val="005F588D"/>
    <w:rsid w:val="005F58C6"/>
    <w:rsid w:val="005F58E8"/>
    <w:rsid w:val="005F58F4"/>
    <w:rsid w:val="005F5928"/>
    <w:rsid w:val="005F592D"/>
    <w:rsid w:val="005F5960"/>
    <w:rsid w:val="005F596A"/>
    <w:rsid w:val="005F5975"/>
    <w:rsid w:val="005F597B"/>
    <w:rsid w:val="005F599E"/>
    <w:rsid w:val="005F59D0"/>
    <w:rsid w:val="005F5A20"/>
    <w:rsid w:val="005F5A3F"/>
    <w:rsid w:val="005F5A63"/>
    <w:rsid w:val="005F5AA9"/>
    <w:rsid w:val="005F5AB2"/>
    <w:rsid w:val="005F5AE4"/>
    <w:rsid w:val="005F5AF3"/>
    <w:rsid w:val="005F5B45"/>
    <w:rsid w:val="005F5B9A"/>
    <w:rsid w:val="005F5B9E"/>
    <w:rsid w:val="005F5C01"/>
    <w:rsid w:val="005F5C2D"/>
    <w:rsid w:val="005F5C41"/>
    <w:rsid w:val="005F5C93"/>
    <w:rsid w:val="005F5D0C"/>
    <w:rsid w:val="005F5D0E"/>
    <w:rsid w:val="005F5D4F"/>
    <w:rsid w:val="005F5E4C"/>
    <w:rsid w:val="005F5E50"/>
    <w:rsid w:val="005F5E54"/>
    <w:rsid w:val="005F5EC0"/>
    <w:rsid w:val="005F5EE9"/>
    <w:rsid w:val="005F5F32"/>
    <w:rsid w:val="005F5F34"/>
    <w:rsid w:val="005F5F5D"/>
    <w:rsid w:val="005F5F86"/>
    <w:rsid w:val="005F5F8A"/>
    <w:rsid w:val="005F5F93"/>
    <w:rsid w:val="005F5FDF"/>
    <w:rsid w:val="005F5FFB"/>
    <w:rsid w:val="005F6016"/>
    <w:rsid w:val="005F601A"/>
    <w:rsid w:val="005F6025"/>
    <w:rsid w:val="005F6026"/>
    <w:rsid w:val="005F6042"/>
    <w:rsid w:val="005F60A1"/>
    <w:rsid w:val="005F60AF"/>
    <w:rsid w:val="005F60FD"/>
    <w:rsid w:val="005F6136"/>
    <w:rsid w:val="005F613C"/>
    <w:rsid w:val="005F6195"/>
    <w:rsid w:val="005F619D"/>
    <w:rsid w:val="005F61E9"/>
    <w:rsid w:val="005F61F0"/>
    <w:rsid w:val="005F6219"/>
    <w:rsid w:val="005F6283"/>
    <w:rsid w:val="005F6301"/>
    <w:rsid w:val="005F634A"/>
    <w:rsid w:val="005F6352"/>
    <w:rsid w:val="005F6373"/>
    <w:rsid w:val="005F638C"/>
    <w:rsid w:val="005F639D"/>
    <w:rsid w:val="005F63A6"/>
    <w:rsid w:val="005F63C8"/>
    <w:rsid w:val="005F63D5"/>
    <w:rsid w:val="005F6467"/>
    <w:rsid w:val="005F647A"/>
    <w:rsid w:val="005F64B7"/>
    <w:rsid w:val="005F6597"/>
    <w:rsid w:val="005F65A0"/>
    <w:rsid w:val="005F65CD"/>
    <w:rsid w:val="005F65D9"/>
    <w:rsid w:val="005F6620"/>
    <w:rsid w:val="005F665E"/>
    <w:rsid w:val="005F6679"/>
    <w:rsid w:val="005F66C3"/>
    <w:rsid w:val="005F671D"/>
    <w:rsid w:val="005F6733"/>
    <w:rsid w:val="005F67B8"/>
    <w:rsid w:val="005F6802"/>
    <w:rsid w:val="005F6808"/>
    <w:rsid w:val="005F6809"/>
    <w:rsid w:val="005F68BC"/>
    <w:rsid w:val="005F68BE"/>
    <w:rsid w:val="005F68D7"/>
    <w:rsid w:val="005F68DB"/>
    <w:rsid w:val="005F68E8"/>
    <w:rsid w:val="005F6917"/>
    <w:rsid w:val="005F693B"/>
    <w:rsid w:val="005F6975"/>
    <w:rsid w:val="005F69A1"/>
    <w:rsid w:val="005F69AD"/>
    <w:rsid w:val="005F6A05"/>
    <w:rsid w:val="005F6A32"/>
    <w:rsid w:val="005F6A37"/>
    <w:rsid w:val="005F6A46"/>
    <w:rsid w:val="005F6AF0"/>
    <w:rsid w:val="005F6AF3"/>
    <w:rsid w:val="005F6B26"/>
    <w:rsid w:val="005F6B86"/>
    <w:rsid w:val="005F6BA1"/>
    <w:rsid w:val="005F6C37"/>
    <w:rsid w:val="005F6C54"/>
    <w:rsid w:val="005F6CA5"/>
    <w:rsid w:val="005F6CB8"/>
    <w:rsid w:val="005F6CBC"/>
    <w:rsid w:val="005F6CE2"/>
    <w:rsid w:val="005F6D0B"/>
    <w:rsid w:val="005F6D1C"/>
    <w:rsid w:val="005F6D39"/>
    <w:rsid w:val="005F6D40"/>
    <w:rsid w:val="005F6D4C"/>
    <w:rsid w:val="005F6D59"/>
    <w:rsid w:val="005F6D6D"/>
    <w:rsid w:val="005F6D72"/>
    <w:rsid w:val="005F6DB3"/>
    <w:rsid w:val="005F6DCD"/>
    <w:rsid w:val="005F6DD3"/>
    <w:rsid w:val="005F6DF2"/>
    <w:rsid w:val="005F6E32"/>
    <w:rsid w:val="005F6E5E"/>
    <w:rsid w:val="005F6E85"/>
    <w:rsid w:val="005F6ED1"/>
    <w:rsid w:val="005F6EEA"/>
    <w:rsid w:val="005F6F39"/>
    <w:rsid w:val="005F6F42"/>
    <w:rsid w:val="005F6F51"/>
    <w:rsid w:val="005F6F61"/>
    <w:rsid w:val="005F6F62"/>
    <w:rsid w:val="005F6F77"/>
    <w:rsid w:val="005F6F88"/>
    <w:rsid w:val="005F7005"/>
    <w:rsid w:val="005F7056"/>
    <w:rsid w:val="005F70E5"/>
    <w:rsid w:val="005F70E7"/>
    <w:rsid w:val="005F70F5"/>
    <w:rsid w:val="005F7105"/>
    <w:rsid w:val="005F7106"/>
    <w:rsid w:val="005F7117"/>
    <w:rsid w:val="005F7119"/>
    <w:rsid w:val="005F715C"/>
    <w:rsid w:val="005F7168"/>
    <w:rsid w:val="005F7189"/>
    <w:rsid w:val="005F71AF"/>
    <w:rsid w:val="005F71B8"/>
    <w:rsid w:val="005F71F2"/>
    <w:rsid w:val="005F71F3"/>
    <w:rsid w:val="005F7209"/>
    <w:rsid w:val="005F720F"/>
    <w:rsid w:val="005F7210"/>
    <w:rsid w:val="005F722C"/>
    <w:rsid w:val="005F7242"/>
    <w:rsid w:val="005F725C"/>
    <w:rsid w:val="005F729F"/>
    <w:rsid w:val="005F72AF"/>
    <w:rsid w:val="005F72F6"/>
    <w:rsid w:val="005F734B"/>
    <w:rsid w:val="005F7364"/>
    <w:rsid w:val="005F7371"/>
    <w:rsid w:val="005F73AF"/>
    <w:rsid w:val="005F73F6"/>
    <w:rsid w:val="005F73F7"/>
    <w:rsid w:val="005F73FA"/>
    <w:rsid w:val="005F7441"/>
    <w:rsid w:val="005F7453"/>
    <w:rsid w:val="005F7461"/>
    <w:rsid w:val="005F7472"/>
    <w:rsid w:val="005F74C3"/>
    <w:rsid w:val="005F751E"/>
    <w:rsid w:val="005F7547"/>
    <w:rsid w:val="005F7571"/>
    <w:rsid w:val="005F757A"/>
    <w:rsid w:val="005F757D"/>
    <w:rsid w:val="005F7592"/>
    <w:rsid w:val="005F75D9"/>
    <w:rsid w:val="005F75DF"/>
    <w:rsid w:val="005F7609"/>
    <w:rsid w:val="005F7667"/>
    <w:rsid w:val="005F769A"/>
    <w:rsid w:val="005F76A1"/>
    <w:rsid w:val="005F76A8"/>
    <w:rsid w:val="005F76BE"/>
    <w:rsid w:val="005F76C5"/>
    <w:rsid w:val="005F7754"/>
    <w:rsid w:val="005F77DF"/>
    <w:rsid w:val="005F77FE"/>
    <w:rsid w:val="005F7803"/>
    <w:rsid w:val="005F7859"/>
    <w:rsid w:val="005F788D"/>
    <w:rsid w:val="005F78C7"/>
    <w:rsid w:val="005F78D8"/>
    <w:rsid w:val="005F78EE"/>
    <w:rsid w:val="005F7915"/>
    <w:rsid w:val="005F793D"/>
    <w:rsid w:val="005F7999"/>
    <w:rsid w:val="005F79AB"/>
    <w:rsid w:val="005F79D1"/>
    <w:rsid w:val="005F79E8"/>
    <w:rsid w:val="005F79F7"/>
    <w:rsid w:val="005F79FF"/>
    <w:rsid w:val="005F7A0C"/>
    <w:rsid w:val="005F7A29"/>
    <w:rsid w:val="005F7A55"/>
    <w:rsid w:val="005F7A77"/>
    <w:rsid w:val="005F7AB1"/>
    <w:rsid w:val="005F7AF7"/>
    <w:rsid w:val="005F7B0D"/>
    <w:rsid w:val="005F7B59"/>
    <w:rsid w:val="005F7B98"/>
    <w:rsid w:val="005F7BDE"/>
    <w:rsid w:val="005F7BEB"/>
    <w:rsid w:val="005F7BF8"/>
    <w:rsid w:val="005F7C01"/>
    <w:rsid w:val="005F7C11"/>
    <w:rsid w:val="005F7C1B"/>
    <w:rsid w:val="005F7C4E"/>
    <w:rsid w:val="005F7C63"/>
    <w:rsid w:val="005F7CB6"/>
    <w:rsid w:val="005F7D3C"/>
    <w:rsid w:val="005F7D5D"/>
    <w:rsid w:val="005F7D85"/>
    <w:rsid w:val="005F7DBB"/>
    <w:rsid w:val="005F7DBD"/>
    <w:rsid w:val="005F7DC8"/>
    <w:rsid w:val="005F7DDC"/>
    <w:rsid w:val="005F7DFD"/>
    <w:rsid w:val="005F7E28"/>
    <w:rsid w:val="005F7E48"/>
    <w:rsid w:val="005F7E6D"/>
    <w:rsid w:val="005F7EAC"/>
    <w:rsid w:val="005F7F11"/>
    <w:rsid w:val="005F7F1B"/>
    <w:rsid w:val="005F7F3D"/>
    <w:rsid w:val="005F7F87"/>
    <w:rsid w:val="005F7F8C"/>
    <w:rsid w:val="005F7FB3"/>
    <w:rsid w:val="005F7FDC"/>
    <w:rsid w:val="005F7FEA"/>
    <w:rsid w:val="0060001F"/>
    <w:rsid w:val="00600021"/>
    <w:rsid w:val="00600024"/>
    <w:rsid w:val="00600029"/>
    <w:rsid w:val="00600034"/>
    <w:rsid w:val="00600080"/>
    <w:rsid w:val="00600087"/>
    <w:rsid w:val="006000D8"/>
    <w:rsid w:val="006000EC"/>
    <w:rsid w:val="00600103"/>
    <w:rsid w:val="0060010B"/>
    <w:rsid w:val="00600141"/>
    <w:rsid w:val="006001BD"/>
    <w:rsid w:val="006001D3"/>
    <w:rsid w:val="006001F9"/>
    <w:rsid w:val="00600212"/>
    <w:rsid w:val="00600256"/>
    <w:rsid w:val="00600283"/>
    <w:rsid w:val="00600360"/>
    <w:rsid w:val="0060036E"/>
    <w:rsid w:val="006003BF"/>
    <w:rsid w:val="006003C2"/>
    <w:rsid w:val="00600407"/>
    <w:rsid w:val="00600442"/>
    <w:rsid w:val="0060044A"/>
    <w:rsid w:val="006004AC"/>
    <w:rsid w:val="006004C5"/>
    <w:rsid w:val="006004F7"/>
    <w:rsid w:val="00600507"/>
    <w:rsid w:val="0060053E"/>
    <w:rsid w:val="0060057A"/>
    <w:rsid w:val="006005CF"/>
    <w:rsid w:val="006005FC"/>
    <w:rsid w:val="00600627"/>
    <w:rsid w:val="0060063C"/>
    <w:rsid w:val="0060064A"/>
    <w:rsid w:val="00600665"/>
    <w:rsid w:val="00600672"/>
    <w:rsid w:val="0060068B"/>
    <w:rsid w:val="0060069A"/>
    <w:rsid w:val="006006F1"/>
    <w:rsid w:val="00600759"/>
    <w:rsid w:val="006007E8"/>
    <w:rsid w:val="0060085C"/>
    <w:rsid w:val="00600892"/>
    <w:rsid w:val="006008C5"/>
    <w:rsid w:val="006008D0"/>
    <w:rsid w:val="006008FB"/>
    <w:rsid w:val="00600904"/>
    <w:rsid w:val="00600906"/>
    <w:rsid w:val="00600990"/>
    <w:rsid w:val="006009BC"/>
    <w:rsid w:val="006009CF"/>
    <w:rsid w:val="00600A59"/>
    <w:rsid w:val="00600A62"/>
    <w:rsid w:val="00600A66"/>
    <w:rsid w:val="00600AE9"/>
    <w:rsid w:val="00600AF3"/>
    <w:rsid w:val="00600B2C"/>
    <w:rsid w:val="00600B6F"/>
    <w:rsid w:val="00600BD2"/>
    <w:rsid w:val="00600C18"/>
    <w:rsid w:val="00600C7A"/>
    <w:rsid w:val="00600CA3"/>
    <w:rsid w:val="00600CC3"/>
    <w:rsid w:val="00600CDD"/>
    <w:rsid w:val="00600CFE"/>
    <w:rsid w:val="00600D3E"/>
    <w:rsid w:val="00600DDE"/>
    <w:rsid w:val="00600E86"/>
    <w:rsid w:val="00600E93"/>
    <w:rsid w:val="00600EEB"/>
    <w:rsid w:val="00600F0D"/>
    <w:rsid w:val="00600F31"/>
    <w:rsid w:val="00600F4C"/>
    <w:rsid w:val="00600F51"/>
    <w:rsid w:val="00600F7A"/>
    <w:rsid w:val="00600FCD"/>
    <w:rsid w:val="0060101A"/>
    <w:rsid w:val="00601022"/>
    <w:rsid w:val="0060106B"/>
    <w:rsid w:val="00601082"/>
    <w:rsid w:val="006010A6"/>
    <w:rsid w:val="006010BB"/>
    <w:rsid w:val="006010D1"/>
    <w:rsid w:val="00601104"/>
    <w:rsid w:val="00601119"/>
    <w:rsid w:val="0060112E"/>
    <w:rsid w:val="00601152"/>
    <w:rsid w:val="00601189"/>
    <w:rsid w:val="00601197"/>
    <w:rsid w:val="0060119A"/>
    <w:rsid w:val="006011B5"/>
    <w:rsid w:val="006011B9"/>
    <w:rsid w:val="00601224"/>
    <w:rsid w:val="00601232"/>
    <w:rsid w:val="00601244"/>
    <w:rsid w:val="0060125E"/>
    <w:rsid w:val="00601261"/>
    <w:rsid w:val="0060127E"/>
    <w:rsid w:val="00601284"/>
    <w:rsid w:val="006012BC"/>
    <w:rsid w:val="006012BE"/>
    <w:rsid w:val="0060130E"/>
    <w:rsid w:val="0060132C"/>
    <w:rsid w:val="00601337"/>
    <w:rsid w:val="0060135C"/>
    <w:rsid w:val="00601384"/>
    <w:rsid w:val="006013AC"/>
    <w:rsid w:val="0060141D"/>
    <w:rsid w:val="00601428"/>
    <w:rsid w:val="0060142E"/>
    <w:rsid w:val="00601484"/>
    <w:rsid w:val="00601491"/>
    <w:rsid w:val="00601492"/>
    <w:rsid w:val="006014E4"/>
    <w:rsid w:val="00601505"/>
    <w:rsid w:val="0060150B"/>
    <w:rsid w:val="0060151D"/>
    <w:rsid w:val="0060155B"/>
    <w:rsid w:val="0060157D"/>
    <w:rsid w:val="006015E2"/>
    <w:rsid w:val="00601646"/>
    <w:rsid w:val="0060167A"/>
    <w:rsid w:val="006016CD"/>
    <w:rsid w:val="006016FF"/>
    <w:rsid w:val="0060172D"/>
    <w:rsid w:val="0060176D"/>
    <w:rsid w:val="00601774"/>
    <w:rsid w:val="00601793"/>
    <w:rsid w:val="006017AD"/>
    <w:rsid w:val="006017B7"/>
    <w:rsid w:val="006017F2"/>
    <w:rsid w:val="0060181C"/>
    <w:rsid w:val="0060189F"/>
    <w:rsid w:val="006018A2"/>
    <w:rsid w:val="006018B6"/>
    <w:rsid w:val="0060190E"/>
    <w:rsid w:val="00601950"/>
    <w:rsid w:val="00601980"/>
    <w:rsid w:val="00601991"/>
    <w:rsid w:val="00601999"/>
    <w:rsid w:val="006019E5"/>
    <w:rsid w:val="006019E6"/>
    <w:rsid w:val="006019F0"/>
    <w:rsid w:val="006019F4"/>
    <w:rsid w:val="006019FB"/>
    <w:rsid w:val="00601A77"/>
    <w:rsid w:val="00601A86"/>
    <w:rsid w:val="00601AF1"/>
    <w:rsid w:val="00601B25"/>
    <w:rsid w:val="00601B39"/>
    <w:rsid w:val="00601B52"/>
    <w:rsid w:val="00601B61"/>
    <w:rsid w:val="00601B69"/>
    <w:rsid w:val="00601B78"/>
    <w:rsid w:val="00601B91"/>
    <w:rsid w:val="00601BDC"/>
    <w:rsid w:val="00601BF9"/>
    <w:rsid w:val="00601C2E"/>
    <w:rsid w:val="00601C4D"/>
    <w:rsid w:val="00601C99"/>
    <w:rsid w:val="00601CE4"/>
    <w:rsid w:val="00601D52"/>
    <w:rsid w:val="00601D93"/>
    <w:rsid w:val="00601DA4"/>
    <w:rsid w:val="00601E16"/>
    <w:rsid w:val="00601E5E"/>
    <w:rsid w:val="00601E8C"/>
    <w:rsid w:val="00601E96"/>
    <w:rsid w:val="00601EBC"/>
    <w:rsid w:val="00601EC2"/>
    <w:rsid w:val="00601ED0"/>
    <w:rsid w:val="00601ED9"/>
    <w:rsid w:val="00601F00"/>
    <w:rsid w:val="00601F37"/>
    <w:rsid w:val="00601F8F"/>
    <w:rsid w:val="00601F9C"/>
    <w:rsid w:val="00601FE4"/>
    <w:rsid w:val="00602008"/>
    <w:rsid w:val="00602011"/>
    <w:rsid w:val="00602012"/>
    <w:rsid w:val="00602050"/>
    <w:rsid w:val="00602055"/>
    <w:rsid w:val="00602078"/>
    <w:rsid w:val="0060209B"/>
    <w:rsid w:val="00602102"/>
    <w:rsid w:val="00602143"/>
    <w:rsid w:val="00602158"/>
    <w:rsid w:val="006021AE"/>
    <w:rsid w:val="006021ED"/>
    <w:rsid w:val="00602204"/>
    <w:rsid w:val="00602215"/>
    <w:rsid w:val="0060223F"/>
    <w:rsid w:val="00602250"/>
    <w:rsid w:val="0060226D"/>
    <w:rsid w:val="00602293"/>
    <w:rsid w:val="006022A9"/>
    <w:rsid w:val="006022CF"/>
    <w:rsid w:val="006022D4"/>
    <w:rsid w:val="006022F3"/>
    <w:rsid w:val="0060232C"/>
    <w:rsid w:val="00602358"/>
    <w:rsid w:val="00602364"/>
    <w:rsid w:val="0060239E"/>
    <w:rsid w:val="006023A7"/>
    <w:rsid w:val="006023BE"/>
    <w:rsid w:val="006023BF"/>
    <w:rsid w:val="006023D3"/>
    <w:rsid w:val="0060241B"/>
    <w:rsid w:val="0060242A"/>
    <w:rsid w:val="00602442"/>
    <w:rsid w:val="00602448"/>
    <w:rsid w:val="00602462"/>
    <w:rsid w:val="0060246E"/>
    <w:rsid w:val="006024B1"/>
    <w:rsid w:val="006024BA"/>
    <w:rsid w:val="0060253E"/>
    <w:rsid w:val="006025A2"/>
    <w:rsid w:val="00602610"/>
    <w:rsid w:val="00602613"/>
    <w:rsid w:val="0060262C"/>
    <w:rsid w:val="00602651"/>
    <w:rsid w:val="0060268F"/>
    <w:rsid w:val="00602694"/>
    <w:rsid w:val="006026BA"/>
    <w:rsid w:val="006026E8"/>
    <w:rsid w:val="006026ED"/>
    <w:rsid w:val="006026EF"/>
    <w:rsid w:val="0060272A"/>
    <w:rsid w:val="0060272D"/>
    <w:rsid w:val="0060278B"/>
    <w:rsid w:val="006027C9"/>
    <w:rsid w:val="006027CE"/>
    <w:rsid w:val="006027DE"/>
    <w:rsid w:val="006027F3"/>
    <w:rsid w:val="00602838"/>
    <w:rsid w:val="0060285F"/>
    <w:rsid w:val="00602869"/>
    <w:rsid w:val="00602888"/>
    <w:rsid w:val="0060288F"/>
    <w:rsid w:val="006028EE"/>
    <w:rsid w:val="00602922"/>
    <w:rsid w:val="00602934"/>
    <w:rsid w:val="0060293C"/>
    <w:rsid w:val="00602942"/>
    <w:rsid w:val="00602995"/>
    <w:rsid w:val="0060299A"/>
    <w:rsid w:val="006029D3"/>
    <w:rsid w:val="00602A07"/>
    <w:rsid w:val="00602A2B"/>
    <w:rsid w:val="00602A2E"/>
    <w:rsid w:val="00602A47"/>
    <w:rsid w:val="00602A4C"/>
    <w:rsid w:val="00602A5C"/>
    <w:rsid w:val="00602A93"/>
    <w:rsid w:val="00602A9F"/>
    <w:rsid w:val="00602B02"/>
    <w:rsid w:val="00602B13"/>
    <w:rsid w:val="00602B5B"/>
    <w:rsid w:val="00602B8B"/>
    <w:rsid w:val="00602B94"/>
    <w:rsid w:val="00602BA5"/>
    <w:rsid w:val="00602BD6"/>
    <w:rsid w:val="00602C0D"/>
    <w:rsid w:val="00602C12"/>
    <w:rsid w:val="00602C25"/>
    <w:rsid w:val="00602C29"/>
    <w:rsid w:val="00602C9F"/>
    <w:rsid w:val="00602CA7"/>
    <w:rsid w:val="00602D92"/>
    <w:rsid w:val="00602DA0"/>
    <w:rsid w:val="00602DB0"/>
    <w:rsid w:val="00602DF6"/>
    <w:rsid w:val="00602E01"/>
    <w:rsid w:val="00602E3D"/>
    <w:rsid w:val="00602E6B"/>
    <w:rsid w:val="00602E74"/>
    <w:rsid w:val="00602E89"/>
    <w:rsid w:val="00602EA4"/>
    <w:rsid w:val="00602EA9"/>
    <w:rsid w:val="00602EB1"/>
    <w:rsid w:val="00602EEB"/>
    <w:rsid w:val="00602EF3"/>
    <w:rsid w:val="00602EF4"/>
    <w:rsid w:val="00602F34"/>
    <w:rsid w:val="00602F6D"/>
    <w:rsid w:val="00602FCC"/>
    <w:rsid w:val="00602FDD"/>
    <w:rsid w:val="00602FE3"/>
    <w:rsid w:val="0060305F"/>
    <w:rsid w:val="006030DB"/>
    <w:rsid w:val="0060316B"/>
    <w:rsid w:val="00603188"/>
    <w:rsid w:val="0060318A"/>
    <w:rsid w:val="006031C5"/>
    <w:rsid w:val="006031C8"/>
    <w:rsid w:val="006031E5"/>
    <w:rsid w:val="006031E7"/>
    <w:rsid w:val="0060321E"/>
    <w:rsid w:val="0060322E"/>
    <w:rsid w:val="0060325C"/>
    <w:rsid w:val="006032CB"/>
    <w:rsid w:val="0060330E"/>
    <w:rsid w:val="00603316"/>
    <w:rsid w:val="0060331A"/>
    <w:rsid w:val="0060335E"/>
    <w:rsid w:val="00603365"/>
    <w:rsid w:val="00603368"/>
    <w:rsid w:val="00603372"/>
    <w:rsid w:val="0060337F"/>
    <w:rsid w:val="0060338D"/>
    <w:rsid w:val="006033B0"/>
    <w:rsid w:val="006033C0"/>
    <w:rsid w:val="006033CC"/>
    <w:rsid w:val="006033DF"/>
    <w:rsid w:val="006033EF"/>
    <w:rsid w:val="0060343C"/>
    <w:rsid w:val="00603462"/>
    <w:rsid w:val="00603469"/>
    <w:rsid w:val="00603518"/>
    <w:rsid w:val="006035B0"/>
    <w:rsid w:val="006035B2"/>
    <w:rsid w:val="00603615"/>
    <w:rsid w:val="0060363F"/>
    <w:rsid w:val="00603653"/>
    <w:rsid w:val="00603657"/>
    <w:rsid w:val="00603676"/>
    <w:rsid w:val="00603689"/>
    <w:rsid w:val="006036C6"/>
    <w:rsid w:val="006036DA"/>
    <w:rsid w:val="006036EA"/>
    <w:rsid w:val="0060371A"/>
    <w:rsid w:val="0060372C"/>
    <w:rsid w:val="0060372E"/>
    <w:rsid w:val="0060373A"/>
    <w:rsid w:val="00603771"/>
    <w:rsid w:val="00603772"/>
    <w:rsid w:val="00603782"/>
    <w:rsid w:val="006037A8"/>
    <w:rsid w:val="006037C0"/>
    <w:rsid w:val="00603803"/>
    <w:rsid w:val="00603806"/>
    <w:rsid w:val="0060381D"/>
    <w:rsid w:val="00603844"/>
    <w:rsid w:val="00603884"/>
    <w:rsid w:val="0060388B"/>
    <w:rsid w:val="00603895"/>
    <w:rsid w:val="006038A8"/>
    <w:rsid w:val="006038CD"/>
    <w:rsid w:val="006038DE"/>
    <w:rsid w:val="006038EC"/>
    <w:rsid w:val="0060393B"/>
    <w:rsid w:val="00603941"/>
    <w:rsid w:val="0060396E"/>
    <w:rsid w:val="0060398C"/>
    <w:rsid w:val="006039D3"/>
    <w:rsid w:val="006039F6"/>
    <w:rsid w:val="00603A1D"/>
    <w:rsid w:val="00603A85"/>
    <w:rsid w:val="00603A87"/>
    <w:rsid w:val="00603A91"/>
    <w:rsid w:val="00603A9A"/>
    <w:rsid w:val="00603AA1"/>
    <w:rsid w:val="00603AC6"/>
    <w:rsid w:val="00603AE3"/>
    <w:rsid w:val="00603B67"/>
    <w:rsid w:val="00603B86"/>
    <w:rsid w:val="00603BA3"/>
    <w:rsid w:val="00603C51"/>
    <w:rsid w:val="00603CA8"/>
    <w:rsid w:val="00603CBA"/>
    <w:rsid w:val="00603CBF"/>
    <w:rsid w:val="00603D22"/>
    <w:rsid w:val="00603D31"/>
    <w:rsid w:val="00603D48"/>
    <w:rsid w:val="00603D63"/>
    <w:rsid w:val="00603D81"/>
    <w:rsid w:val="00603D90"/>
    <w:rsid w:val="00603D9F"/>
    <w:rsid w:val="00603DB0"/>
    <w:rsid w:val="00603E33"/>
    <w:rsid w:val="00603E4E"/>
    <w:rsid w:val="00603E65"/>
    <w:rsid w:val="00603E6D"/>
    <w:rsid w:val="00603EC2"/>
    <w:rsid w:val="00603EDA"/>
    <w:rsid w:val="00603F05"/>
    <w:rsid w:val="00603F1E"/>
    <w:rsid w:val="00603F5E"/>
    <w:rsid w:val="00603F91"/>
    <w:rsid w:val="00603FD8"/>
    <w:rsid w:val="00603FF9"/>
    <w:rsid w:val="00604018"/>
    <w:rsid w:val="00604030"/>
    <w:rsid w:val="00604041"/>
    <w:rsid w:val="00604067"/>
    <w:rsid w:val="00604072"/>
    <w:rsid w:val="006040A0"/>
    <w:rsid w:val="006040B2"/>
    <w:rsid w:val="0060410C"/>
    <w:rsid w:val="00604136"/>
    <w:rsid w:val="0060414B"/>
    <w:rsid w:val="0060416F"/>
    <w:rsid w:val="00604174"/>
    <w:rsid w:val="006041C0"/>
    <w:rsid w:val="006041C8"/>
    <w:rsid w:val="006041FC"/>
    <w:rsid w:val="00604225"/>
    <w:rsid w:val="0060426C"/>
    <w:rsid w:val="0060428A"/>
    <w:rsid w:val="006042BE"/>
    <w:rsid w:val="006042E4"/>
    <w:rsid w:val="006042E7"/>
    <w:rsid w:val="006043A3"/>
    <w:rsid w:val="006043CE"/>
    <w:rsid w:val="006043D1"/>
    <w:rsid w:val="006043F2"/>
    <w:rsid w:val="00604402"/>
    <w:rsid w:val="00604439"/>
    <w:rsid w:val="0060445B"/>
    <w:rsid w:val="0060445C"/>
    <w:rsid w:val="00604480"/>
    <w:rsid w:val="0060448C"/>
    <w:rsid w:val="0060448F"/>
    <w:rsid w:val="006044F4"/>
    <w:rsid w:val="0060450A"/>
    <w:rsid w:val="00604514"/>
    <w:rsid w:val="0060454D"/>
    <w:rsid w:val="006045D4"/>
    <w:rsid w:val="00604654"/>
    <w:rsid w:val="00604670"/>
    <w:rsid w:val="00604681"/>
    <w:rsid w:val="006046CE"/>
    <w:rsid w:val="006046DF"/>
    <w:rsid w:val="006046E8"/>
    <w:rsid w:val="006046FF"/>
    <w:rsid w:val="00604709"/>
    <w:rsid w:val="00604710"/>
    <w:rsid w:val="00604716"/>
    <w:rsid w:val="00604727"/>
    <w:rsid w:val="0060472C"/>
    <w:rsid w:val="0060472D"/>
    <w:rsid w:val="00604750"/>
    <w:rsid w:val="00604773"/>
    <w:rsid w:val="0060477D"/>
    <w:rsid w:val="0060481A"/>
    <w:rsid w:val="006048B5"/>
    <w:rsid w:val="006048D1"/>
    <w:rsid w:val="006048D6"/>
    <w:rsid w:val="006048F4"/>
    <w:rsid w:val="0060490A"/>
    <w:rsid w:val="00604941"/>
    <w:rsid w:val="0060495E"/>
    <w:rsid w:val="00604974"/>
    <w:rsid w:val="006049F5"/>
    <w:rsid w:val="00604A4E"/>
    <w:rsid w:val="00604A71"/>
    <w:rsid w:val="00604A82"/>
    <w:rsid w:val="00604A83"/>
    <w:rsid w:val="00604A93"/>
    <w:rsid w:val="00604AAF"/>
    <w:rsid w:val="00604ABC"/>
    <w:rsid w:val="00604ABD"/>
    <w:rsid w:val="00604AC7"/>
    <w:rsid w:val="00604AD2"/>
    <w:rsid w:val="00604ADF"/>
    <w:rsid w:val="00604AF6"/>
    <w:rsid w:val="00604B04"/>
    <w:rsid w:val="00604B2E"/>
    <w:rsid w:val="00604B32"/>
    <w:rsid w:val="00604B65"/>
    <w:rsid w:val="00604BAB"/>
    <w:rsid w:val="00604C3D"/>
    <w:rsid w:val="00604C4E"/>
    <w:rsid w:val="00604C75"/>
    <w:rsid w:val="00604CD0"/>
    <w:rsid w:val="00604CF6"/>
    <w:rsid w:val="00604D0E"/>
    <w:rsid w:val="00604D4D"/>
    <w:rsid w:val="00604D98"/>
    <w:rsid w:val="00604DB6"/>
    <w:rsid w:val="00604DE1"/>
    <w:rsid w:val="00604DE4"/>
    <w:rsid w:val="00604E4C"/>
    <w:rsid w:val="00604E51"/>
    <w:rsid w:val="00604ECE"/>
    <w:rsid w:val="00604F06"/>
    <w:rsid w:val="00604F56"/>
    <w:rsid w:val="00604F7B"/>
    <w:rsid w:val="00604F7D"/>
    <w:rsid w:val="00604FA9"/>
    <w:rsid w:val="00604FBE"/>
    <w:rsid w:val="00604FDD"/>
    <w:rsid w:val="00604FDE"/>
    <w:rsid w:val="00605032"/>
    <w:rsid w:val="00605065"/>
    <w:rsid w:val="0060506F"/>
    <w:rsid w:val="0060511A"/>
    <w:rsid w:val="0060518D"/>
    <w:rsid w:val="0060519B"/>
    <w:rsid w:val="006051BF"/>
    <w:rsid w:val="006051D1"/>
    <w:rsid w:val="006051EA"/>
    <w:rsid w:val="0060522D"/>
    <w:rsid w:val="00605238"/>
    <w:rsid w:val="0060523F"/>
    <w:rsid w:val="00605252"/>
    <w:rsid w:val="00605270"/>
    <w:rsid w:val="006052AA"/>
    <w:rsid w:val="006052AC"/>
    <w:rsid w:val="006052C4"/>
    <w:rsid w:val="006052DF"/>
    <w:rsid w:val="0060530D"/>
    <w:rsid w:val="00605316"/>
    <w:rsid w:val="00605388"/>
    <w:rsid w:val="0060538E"/>
    <w:rsid w:val="006053A5"/>
    <w:rsid w:val="0060541C"/>
    <w:rsid w:val="0060543D"/>
    <w:rsid w:val="00605441"/>
    <w:rsid w:val="00605447"/>
    <w:rsid w:val="0060544C"/>
    <w:rsid w:val="006054B3"/>
    <w:rsid w:val="006054BB"/>
    <w:rsid w:val="006054FE"/>
    <w:rsid w:val="00605504"/>
    <w:rsid w:val="00605522"/>
    <w:rsid w:val="00605571"/>
    <w:rsid w:val="00605580"/>
    <w:rsid w:val="00605593"/>
    <w:rsid w:val="006055B9"/>
    <w:rsid w:val="006055BC"/>
    <w:rsid w:val="006055F4"/>
    <w:rsid w:val="0060565D"/>
    <w:rsid w:val="00605663"/>
    <w:rsid w:val="00605696"/>
    <w:rsid w:val="006056AF"/>
    <w:rsid w:val="006056BE"/>
    <w:rsid w:val="006056CB"/>
    <w:rsid w:val="006056E0"/>
    <w:rsid w:val="006056F9"/>
    <w:rsid w:val="006056FB"/>
    <w:rsid w:val="00605705"/>
    <w:rsid w:val="00605764"/>
    <w:rsid w:val="00605767"/>
    <w:rsid w:val="006057C0"/>
    <w:rsid w:val="006057D7"/>
    <w:rsid w:val="006057FE"/>
    <w:rsid w:val="0060580E"/>
    <w:rsid w:val="0060585D"/>
    <w:rsid w:val="00605886"/>
    <w:rsid w:val="0060588B"/>
    <w:rsid w:val="006058AE"/>
    <w:rsid w:val="006058CD"/>
    <w:rsid w:val="00605913"/>
    <w:rsid w:val="0060592C"/>
    <w:rsid w:val="0060592D"/>
    <w:rsid w:val="00605942"/>
    <w:rsid w:val="0060596A"/>
    <w:rsid w:val="00605A47"/>
    <w:rsid w:val="00605A60"/>
    <w:rsid w:val="00605ADA"/>
    <w:rsid w:val="00605B3A"/>
    <w:rsid w:val="00605B86"/>
    <w:rsid w:val="00605B8C"/>
    <w:rsid w:val="00605BC1"/>
    <w:rsid w:val="00605BD2"/>
    <w:rsid w:val="00605BFB"/>
    <w:rsid w:val="00605C1B"/>
    <w:rsid w:val="00605C36"/>
    <w:rsid w:val="00605C85"/>
    <w:rsid w:val="00605CC7"/>
    <w:rsid w:val="00605CE5"/>
    <w:rsid w:val="00605D39"/>
    <w:rsid w:val="00605D42"/>
    <w:rsid w:val="00605DDE"/>
    <w:rsid w:val="00605E05"/>
    <w:rsid w:val="00605E08"/>
    <w:rsid w:val="00605E14"/>
    <w:rsid w:val="00605E97"/>
    <w:rsid w:val="00605E9D"/>
    <w:rsid w:val="00605EA1"/>
    <w:rsid w:val="00605EBD"/>
    <w:rsid w:val="00605ECA"/>
    <w:rsid w:val="00605F11"/>
    <w:rsid w:val="00605F79"/>
    <w:rsid w:val="00605F83"/>
    <w:rsid w:val="00605FF6"/>
    <w:rsid w:val="0060604B"/>
    <w:rsid w:val="006060C3"/>
    <w:rsid w:val="006060E2"/>
    <w:rsid w:val="00606140"/>
    <w:rsid w:val="00606175"/>
    <w:rsid w:val="0060617D"/>
    <w:rsid w:val="00606188"/>
    <w:rsid w:val="0060618C"/>
    <w:rsid w:val="00606192"/>
    <w:rsid w:val="006061B1"/>
    <w:rsid w:val="006061C8"/>
    <w:rsid w:val="006061CF"/>
    <w:rsid w:val="006061E9"/>
    <w:rsid w:val="006061EB"/>
    <w:rsid w:val="00606232"/>
    <w:rsid w:val="00606240"/>
    <w:rsid w:val="00606243"/>
    <w:rsid w:val="00606255"/>
    <w:rsid w:val="0060625C"/>
    <w:rsid w:val="0060626A"/>
    <w:rsid w:val="006062A5"/>
    <w:rsid w:val="006062D5"/>
    <w:rsid w:val="00606319"/>
    <w:rsid w:val="00606323"/>
    <w:rsid w:val="00606327"/>
    <w:rsid w:val="006063DB"/>
    <w:rsid w:val="006063E7"/>
    <w:rsid w:val="006063F3"/>
    <w:rsid w:val="00606405"/>
    <w:rsid w:val="00606406"/>
    <w:rsid w:val="00606414"/>
    <w:rsid w:val="00606415"/>
    <w:rsid w:val="0060641D"/>
    <w:rsid w:val="00606462"/>
    <w:rsid w:val="006064BB"/>
    <w:rsid w:val="006064C7"/>
    <w:rsid w:val="006064DD"/>
    <w:rsid w:val="006064FC"/>
    <w:rsid w:val="0060651F"/>
    <w:rsid w:val="00606543"/>
    <w:rsid w:val="0060654B"/>
    <w:rsid w:val="006065A0"/>
    <w:rsid w:val="00606671"/>
    <w:rsid w:val="0060668D"/>
    <w:rsid w:val="006066EA"/>
    <w:rsid w:val="006066FC"/>
    <w:rsid w:val="00606756"/>
    <w:rsid w:val="00606759"/>
    <w:rsid w:val="0060675E"/>
    <w:rsid w:val="00606773"/>
    <w:rsid w:val="006067A8"/>
    <w:rsid w:val="006067A9"/>
    <w:rsid w:val="006067C1"/>
    <w:rsid w:val="0060680B"/>
    <w:rsid w:val="00606823"/>
    <w:rsid w:val="00606852"/>
    <w:rsid w:val="00606858"/>
    <w:rsid w:val="00606872"/>
    <w:rsid w:val="00606880"/>
    <w:rsid w:val="00606886"/>
    <w:rsid w:val="00606889"/>
    <w:rsid w:val="0060688A"/>
    <w:rsid w:val="00606908"/>
    <w:rsid w:val="00606919"/>
    <w:rsid w:val="00606922"/>
    <w:rsid w:val="0060694E"/>
    <w:rsid w:val="00606979"/>
    <w:rsid w:val="0060697D"/>
    <w:rsid w:val="0060699D"/>
    <w:rsid w:val="006069B6"/>
    <w:rsid w:val="006069C7"/>
    <w:rsid w:val="00606A23"/>
    <w:rsid w:val="00606A80"/>
    <w:rsid w:val="00606B42"/>
    <w:rsid w:val="00606B94"/>
    <w:rsid w:val="00606BE6"/>
    <w:rsid w:val="00606C09"/>
    <w:rsid w:val="00606C36"/>
    <w:rsid w:val="00606C53"/>
    <w:rsid w:val="00606C79"/>
    <w:rsid w:val="00606C86"/>
    <w:rsid w:val="00606C9B"/>
    <w:rsid w:val="00606CB4"/>
    <w:rsid w:val="00606CF1"/>
    <w:rsid w:val="00606D07"/>
    <w:rsid w:val="00606D26"/>
    <w:rsid w:val="00606D4A"/>
    <w:rsid w:val="00606D67"/>
    <w:rsid w:val="00606D7E"/>
    <w:rsid w:val="00606D85"/>
    <w:rsid w:val="00606DD3"/>
    <w:rsid w:val="00606E20"/>
    <w:rsid w:val="00606E23"/>
    <w:rsid w:val="00606E4B"/>
    <w:rsid w:val="00606E53"/>
    <w:rsid w:val="00606E9D"/>
    <w:rsid w:val="00606EBB"/>
    <w:rsid w:val="00606EC9"/>
    <w:rsid w:val="00606EF3"/>
    <w:rsid w:val="00606EFD"/>
    <w:rsid w:val="00606F3A"/>
    <w:rsid w:val="00606F70"/>
    <w:rsid w:val="00606FBD"/>
    <w:rsid w:val="00606FE5"/>
    <w:rsid w:val="00606FE8"/>
    <w:rsid w:val="0060701A"/>
    <w:rsid w:val="0060702F"/>
    <w:rsid w:val="006070AA"/>
    <w:rsid w:val="006070C3"/>
    <w:rsid w:val="006070D1"/>
    <w:rsid w:val="006070F5"/>
    <w:rsid w:val="006070FA"/>
    <w:rsid w:val="006070FC"/>
    <w:rsid w:val="00607102"/>
    <w:rsid w:val="0060710D"/>
    <w:rsid w:val="00607149"/>
    <w:rsid w:val="0060721C"/>
    <w:rsid w:val="00607234"/>
    <w:rsid w:val="006072B4"/>
    <w:rsid w:val="006072DE"/>
    <w:rsid w:val="0060736A"/>
    <w:rsid w:val="006073C3"/>
    <w:rsid w:val="006073FA"/>
    <w:rsid w:val="0060740F"/>
    <w:rsid w:val="0060741F"/>
    <w:rsid w:val="0060743E"/>
    <w:rsid w:val="0060746D"/>
    <w:rsid w:val="00607537"/>
    <w:rsid w:val="0060754F"/>
    <w:rsid w:val="00607551"/>
    <w:rsid w:val="00607559"/>
    <w:rsid w:val="0060757F"/>
    <w:rsid w:val="00607603"/>
    <w:rsid w:val="00607636"/>
    <w:rsid w:val="0060764C"/>
    <w:rsid w:val="00607653"/>
    <w:rsid w:val="0060768A"/>
    <w:rsid w:val="00607703"/>
    <w:rsid w:val="00607775"/>
    <w:rsid w:val="00607785"/>
    <w:rsid w:val="00607797"/>
    <w:rsid w:val="006077CB"/>
    <w:rsid w:val="006077D4"/>
    <w:rsid w:val="0060780B"/>
    <w:rsid w:val="00607853"/>
    <w:rsid w:val="00607858"/>
    <w:rsid w:val="006078EE"/>
    <w:rsid w:val="006078F4"/>
    <w:rsid w:val="0060794A"/>
    <w:rsid w:val="00607972"/>
    <w:rsid w:val="0060797D"/>
    <w:rsid w:val="0060798D"/>
    <w:rsid w:val="006079B9"/>
    <w:rsid w:val="006079D6"/>
    <w:rsid w:val="006079EE"/>
    <w:rsid w:val="00607A24"/>
    <w:rsid w:val="00607A41"/>
    <w:rsid w:val="00607A4A"/>
    <w:rsid w:val="00607A7C"/>
    <w:rsid w:val="00607A87"/>
    <w:rsid w:val="00607A9A"/>
    <w:rsid w:val="00607AAF"/>
    <w:rsid w:val="00607B0F"/>
    <w:rsid w:val="00607B69"/>
    <w:rsid w:val="00607B98"/>
    <w:rsid w:val="00607BA0"/>
    <w:rsid w:val="00607BD2"/>
    <w:rsid w:val="00607BDE"/>
    <w:rsid w:val="00607C07"/>
    <w:rsid w:val="00607C1C"/>
    <w:rsid w:val="00607C38"/>
    <w:rsid w:val="00607C61"/>
    <w:rsid w:val="00607C63"/>
    <w:rsid w:val="00607CA8"/>
    <w:rsid w:val="00607CF6"/>
    <w:rsid w:val="00607D6A"/>
    <w:rsid w:val="00607D6B"/>
    <w:rsid w:val="00607D6F"/>
    <w:rsid w:val="00607D97"/>
    <w:rsid w:val="00607D9A"/>
    <w:rsid w:val="00607E0B"/>
    <w:rsid w:val="00607E42"/>
    <w:rsid w:val="00607E5D"/>
    <w:rsid w:val="00607E95"/>
    <w:rsid w:val="00607EA1"/>
    <w:rsid w:val="00607EC6"/>
    <w:rsid w:val="00607ED7"/>
    <w:rsid w:val="00607EF8"/>
    <w:rsid w:val="00607F12"/>
    <w:rsid w:val="00607F47"/>
    <w:rsid w:val="00607F59"/>
    <w:rsid w:val="00607F5C"/>
    <w:rsid w:val="00607F7A"/>
    <w:rsid w:val="00607FF5"/>
    <w:rsid w:val="00610080"/>
    <w:rsid w:val="0061008F"/>
    <w:rsid w:val="00610095"/>
    <w:rsid w:val="006100B6"/>
    <w:rsid w:val="006100BC"/>
    <w:rsid w:val="00610105"/>
    <w:rsid w:val="0061012F"/>
    <w:rsid w:val="00610189"/>
    <w:rsid w:val="0061019E"/>
    <w:rsid w:val="0061019F"/>
    <w:rsid w:val="006101ED"/>
    <w:rsid w:val="0061021E"/>
    <w:rsid w:val="00610241"/>
    <w:rsid w:val="0061024C"/>
    <w:rsid w:val="0061025C"/>
    <w:rsid w:val="0061027A"/>
    <w:rsid w:val="00610296"/>
    <w:rsid w:val="0061039B"/>
    <w:rsid w:val="006103A8"/>
    <w:rsid w:val="006103D2"/>
    <w:rsid w:val="006103EB"/>
    <w:rsid w:val="00610405"/>
    <w:rsid w:val="00610425"/>
    <w:rsid w:val="00610448"/>
    <w:rsid w:val="00610454"/>
    <w:rsid w:val="00610464"/>
    <w:rsid w:val="00610469"/>
    <w:rsid w:val="00610472"/>
    <w:rsid w:val="006104A1"/>
    <w:rsid w:val="006104BF"/>
    <w:rsid w:val="006104FA"/>
    <w:rsid w:val="00610500"/>
    <w:rsid w:val="00610509"/>
    <w:rsid w:val="0061050A"/>
    <w:rsid w:val="0061053A"/>
    <w:rsid w:val="0061053C"/>
    <w:rsid w:val="00610577"/>
    <w:rsid w:val="00610599"/>
    <w:rsid w:val="0061059B"/>
    <w:rsid w:val="0061059F"/>
    <w:rsid w:val="006105A2"/>
    <w:rsid w:val="00610638"/>
    <w:rsid w:val="00610652"/>
    <w:rsid w:val="00610671"/>
    <w:rsid w:val="006106D4"/>
    <w:rsid w:val="006106DE"/>
    <w:rsid w:val="006106E1"/>
    <w:rsid w:val="006106E3"/>
    <w:rsid w:val="00610742"/>
    <w:rsid w:val="00610753"/>
    <w:rsid w:val="006107B4"/>
    <w:rsid w:val="006107B7"/>
    <w:rsid w:val="00610801"/>
    <w:rsid w:val="00610810"/>
    <w:rsid w:val="00610862"/>
    <w:rsid w:val="0061088D"/>
    <w:rsid w:val="006108E8"/>
    <w:rsid w:val="00610912"/>
    <w:rsid w:val="0061091D"/>
    <w:rsid w:val="0061094A"/>
    <w:rsid w:val="0061098D"/>
    <w:rsid w:val="006109AB"/>
    <w:rsid w:val="006109CD"/>
    <w:rsid w:val="006109F3"/>
    <w:rsid w:val="00610A0E"/>
    <w:rsid w:val="00610A38"/>
    <w:rsid w:val="00610A3F"/>
    <w:rsid w:val="00610A64"/>
    <w:rsid w:val="00610A92"/>
    <w:rsid w:val="00610AFE"/>
    <w:rsid w:val="00610B55"/>
    <w:rsid w:val="00610B71"/>
    <w:rsid w:val="00610B91"/>
    <w:rsid w:val="00610BFA"/>
    <w:rsid w:val="00610C46"/>
    <w:rsid w:val="00610C5C"/>
    <w:rsid w:val="00610C6F"/>
    <w:rsid w:val="00610C9E"/>
    <w:rsid w:val="00610D53"/>
    <w:rsid w:val="00610D6D"/>
    <w:rsid w:val="00610D75"/>
    <w:rsid w:val="00610DD9"/>
    <w:rsid w:val="00610DFE"/>
    <w:rsid w:val="00610E14"/>
    <w:rsid w:val="00610E6C"/>
    <w:rsid w:val="00610E8C"/>
    <w:rsid w:val="00610E93"/>
    <w:rsid w:val="00610E9C"/>
    <w:rsid w:val="00610E9D"/>
    <w:rsid w:val="00610EA2"/>
    <w:rsid w:val="00610EA5"/>
    <w:rsid w:val="00610EE8"/>
    <w:rsid w:val="00610F33"/>
    <w:rsid w:val="00610F5D"/>
    <w:rsid w:val="00610F63"/>
    <w:rsid w:val="00610F6A"/>
    <w:rsid w:val="00610FC0"/>
    <w:rsid w:val="00610FE3"/>
    <w:rsid w:val="00610FEB"/>
    <w:rsid w:val="00610FF2"/>
    <w:rsid w:val="00611058"/>
    <w:rsid w:val="0061106F"/>
    <w:rsid w:val="00611070"/>
    <w:rsid w:val="00611079"/>
    <w:rsid w:val="006110F4"/>
    <w:rsid w:val="00611101"/>
    <w:rsid w:val="00611111"/>
    <w:rsid w:val="00611130"/>
    <w:rsid w:val="00611170"/>
    <w:rsid w:val="00611191"/>
    <w:rsid w:val="00611192"/>
    <w:rsid w:val="006111D0"/>
    <w:rsid w:val="006111E1"/>
    <w:rsid w:val="006111ED"/>
    <w:rsid w:val="006111F8"/>
    <w:rsid w:val="0061122E"/>
    <w:rsid w:val="0061123B"/>
    <w:rsid w:val="0061126E"/>
    <w:rsid w:val="0061127D"/>
    <w:rsid w:val="006112DB"/>
    <w:rsid w:val="006112FF"/>
    <w:rsid w:val="0061131F"/>
    <w:rsid w:val="00611384"/>
    <w:rsid w:val="006113F0"/>
    <w:rsid w:val="006113F9"/>
    <w:rsid w:val="0061147C"/>
    <w:rsid w:val="006114C2"/>
    <w:rsid w:val="006114D0"/>
    <w:rsid w:val="006114DB"/>
    <w:rsid w:val="006114F1"/>
    <w:rsid w:val="00611501"/>
    <w:rsid w:val="00611571"/>
    <w:rsid w:val="0061158D"/>
    <w:rsid w:val="00611598"/>
    <w:rsid w:val="006115A2"/>
    <w:rsid w:val="006115AD"/>
    <w:rsid w:val="006115C4"/>
    <w:rsid w:val="006115CE"/>
    <w:rsid w:val="006115F0"/>
    <w:rsid w:val="006115FE"/>
    <w:rsid w:val="00611653"/>
    <w:rsid w:val="00611676"/>
    <w:rsid w:val="0061167F"/>
    <w:rsid w:val="0061168F"/>
    <w:rsid w:val="0061169E"/>
    <w:rsid w:val="006116F9"/>
    <w:rsid w:val="00611715"/>
    <w:rsid w:val="00611755"/>
    <w:rsid w:val="0061176F"/>
    <w:rsid w:val="0061177E"/>
    <w:rsid w:val="006117B0"/>
    <w:rsid w:val="006117EB"/>
    <w:rsid w:val="00611824"/>
    <w:rsid w:val="00611858"/>
    <w:rsid w:val="006118C1"/>
    <w:rsid w:val="006118CB"/>
    <w:rsid w:val="006118DC"/>
    <w:rsid w:val="006118EE"/>
    <w:rsid w:val="006118F0"/>
    <w:rsid w:val="0061190E"/>
    <w:rsid w:val="00611934"/>
    <w:rsid w:val="00611942"/>
    <w:rsid w:val="00611955"/>
    <w:rsid w:val="00611966"/>
    <w:rsid w:val="00611971"/>
    <w:rsid w:val="0061197D"/>
    <w:rsid w:val="00611A00"/>
    <w:rsid w:val="00611A0F"/>
    <w:rsid w:val="00611A39"/>
    <w:rsid w:val="00611A41"/>
    <w:rsid w:val="00611ABE"/>
    <w:rsid w:val="00611AC7"/>
    <w:rsid w:val="00611B60"/>
    <w:rsid w:val="00611B6F"/>
    <w:rsid w:val="00611B9E"/>
    <w:rsid w:val="00611BDC"/>
    <w:rsid w:val="00611BE9"/>
    <w:rsid w:val="00611BEA"/>
    <w:rsid w:val="00611BFD"/>
    <w:rsid w:val="00611C35"/>
    <w:rsid w:val="00611C6F"/>
    <w:rsid w:val="00611C99"/>
    <w:rsid w:val="00611CA8"/>
    <w:rsid w:val="00611D4C"/>
    <w:rsid w:val="00611D59"/>
    <w:rsid w:val="00611D6B"/>
    <w:rsid w:val="00611D88"/>
    <w:rsid w:val="00611DF3"/>
    <w:rsid w:val="00611DFC"/>
    <w:rsid w:val="00611E21"/>
    <w:rsid w:val="00611E7F"/>
    <w:rsid w:val="00611EA9"/>
    <w:rsid w:val="00611EB0"/>
    <w:rsid w:val="00611EE7"/>
    <w:rsid w:val="00611F0D"/>
    <w:rsid w:val="00611F1C"/>
    <w:rsid w:val="00611F82"/>
    <w:rsid w:val="00611FA4"/>
    <w:rsid w:val="0061203D"/>
    <w:rsid w:val="00612074"/>
    <w:rsid w:val="006120BE"/>
    <w:rsid w:val="00612102"/>
    <w:rsid w:val="0061215C"/>
    <w:rsid w:val="006121C9"/>
    <w:rsid w:val="006121DB"/>
    <w:rsid w:val="006121E5"/>
    <w:rsid w:val="006121FE"/>
    <w:rsid w:val="00612225"/>
    <w:rsid w:val="00612245"/>
    <w:rsid w:val="00612276"/>
    <w:rsid w:val="006122B5"/>
    <w:rsid w:val="006122D1"/>
    <w:rsid w:val="006122F1"/>
    <w:rsid w:val="0061230F"/>
    <w:rsid w:val="0061231B"/>
    <w:rsid w:val="00612336"/>
    <w:rsid w:val="00612347"/>
    <w:rsid w:val="0061238C"/>
    <w:rsid w:val="00612396"/>
    <w:rsid w:val="0061239A"/>
    <w:rsid w:val="006123A8"/>
    <w:rsid w:val="006123FC"/>
    <w:rsid w:val="00612431"/>
    <w:rsid w:val="00612439"/>
    <w:rsid w:val="0061247D"/>
    <w:rsid w:val="00612490"/>
    <w:rsid w:val="00612494"/>
    <w:rsid w:val="00612499"/>
    <w:rsid w:val="006124A5"/>
    <w:rsid w:val="006124CE"/>
    <w:rsid w:val="006124D2"/>
    <w:rsid w:val="006124D9"/>
    <w:rsid w:val="006124E2"/>
    <w:rsid w:val="006124EE"/>
    <w:rsid w:val="00612536"/>
    <w:rsid w:val="00612537"/>
    <w:rsid w:val="0061253C"/>
    <w:rsid w:val="0061256A"/>
    <w:rsid w:val="0061256F"/>
    <w:rsid w:val="006125AB"/>
    <w:rsid w:val="006125D1"/>
    <w:rsid w:val="006125D2"/>
    <w:rsid w:val="006125ED"/>
    <w:rsid w:val="006125F1"/>
    <w:rsid w:val="00612610"/>
    <w:rsid w:val="00612648"/>
    <w:rsid w:val="0061265B"/>
    <w:rsid w:val="0061267F"/>
    <w:rsid w:val="00612702"/>
    <w:rsid w:val="00612714"/>
    <w:rsid w:val="0061271A"/>
    <w:rsid w:val="0061272C"/>
    <w:rsid w:val="00612730"/>
    <w:rsid w:val="006127B5"/>
    <w:rsid w:val="006127D0"/>
    <w:rsid w:val="006127D7"/>
    <w:rsid w:val="006127EB"/>
    <w:rsid w:val="006127FE"/>
    <w:rsid w:val="00612864"/>
    <w:rsid w:val="00612873"/>
    <w:rsid w:val="006128B3"/>
    <w:rsid w:val="006128FB"/>
    <w:rsid w:val="0061292C"/>
    <w:rsid w:val="00612934"/>
    <w:rsid w:val="0061295E"/>
    <w:rsid w:val="00612986"/>
    <w:rsid w:val="0061299B"/>
    <w:rsid w:val="006129B9"/>
    <w:rsid w:val="006129ED"/>
    <w:rsid w:val="006129F5"/>
    <w:rsid w:val="00612A3D"/>
    <w:rsid w:val="00612A56"/>
    <w:rsid w:val="00612A5B"/>
    <w:rsid w:val="00612AB4"/>
    <w:rsid w:val="00612AB8"/>
    <w:rsid w:val="00612ACD"/>
    <w:rsid w:val="00612B3C"/>
    <w:rsid w:val="00612B8B"/>
    <w:rsid w:val="00612BCD"/>
    <w:rsid w:val="00612BE0"/>
    <w:rsid w:val="00612C06"/>
    <w:rsid w:val="00612C24"/>
    <w:rsid w:val="00612C31"/>
    <w:rsid w:val="00612CAB"/>
    <w:rsid w:val="00612CD2"/>
    <w:rsid w:val="00612CE7"/>
    <w:rsid w:val="00612CF4"/>
    <w:rsid w:val="00612CFA"/>
    <w:rsid w:val="00612D55"/>
    <w:rsid w:val="00612D5E"/>
    <w:rsid w:val="00612D9F"/>
    <w:rsid w:val="00612DA6"/>
    <w:rsid w:val="00612DDB"/>
    <w:rsid w:val="00612DEF"/>
    <w:rsid w:val="00612E52"/>
    <w:rsid w:val="00612E63"/>
    <w:rsid w:val="00612E89"/>
    <w:rsid w:val="00612EBD"/>
    <w:rsid w:val="00612F02"/>
    <w:rsid w:val="00612F55"/>
    <w:rsid w:val="00612F9A"/>
    <w:rsid w:val="00612F9B"/>
    <w:rsid w:val="00612FB2"/>
    <w:rsid w:val="00612FC6"/>
    <w:rsid w:val="00612FCA"/>
    <w:rsid w:val="00612FDC"/>
    <w:rsid w:val="00612FE6"/>
    <w:rsid w:val="00613016"/>
    <w:rsid w:val="0061302C"/>
    <w:rsid w:val="00613049"/>
    <w:rsid w:val="00613059"/>
    <w:rsid w:val="0061305E"/>
    <w:rsid w:val="00613076"/>
    <w:rsid w:val="006130BD"/>
    <w:rsid w:val="006130C0"/>
    <w:rsid w:val="006130CF"/>
    <w:rsid w:val="006130D0"/>
    <w:rsid w:val="00613182"/>
    <w:rsid w:val="0061318C"/>
    <w:rsid w:val="00613195"/>
    <w:rsid w:val="006131F4"/>
    <w:rsid w:val="00613237"/>
    <w:rsid w:val="0061323B"/>
    <w:rsid w:val="0061325E"/>
    <w:rsid w:val="0061328E"/>
    <w:rsid w:val="006132AF"/>
    <w:rsid w:val="006132CE"/>
    <w:rsid w:val="00613300"/>
    <w:rsid w:val="0061330C"/>
    <w:rsid w:val="0061338C"/>
    <w:rsid w:val="00613390"/>
    <w:rsid w:val="006133BD"/>
    <w:rsid w:val="006133EB"/>
    <w:rsid w:val="006133EF"/>
    <w:rsid w:val="00613497"/>
    <w:rsid w:val="006134C9"/>
    <w:rsid w:val="006134E9"/>
    <w:rsid w:val="006134FD"/>
    <w:rsid w:val="006134FF"/>
    <w:rsid w:val="00613521"/>
    <w:rsid w:val="0061353A"/>
    <w:rsid w:val="00613544"/>
    <w:rsid w:val="0061357B"/>
    <w:rsid w:val="00613581"/>
    <w:rsid w:val="006135BE"/>
    <w:rsid w:val="006135DF"/>
    <w:rsid w:val="006135EF"/>
    <w:rsid w:val="006135F1"/>
    <w:rsid w:val="006135F5"/>
    <w:rsid w:val="00613618"/>
    <w:rsid w:val="006136B1"/>
    <w:rsid w:val="006136C9"/>
    <w:rsid w:val="006136CA"/>
    <w:rsid w:val="006136E2"/>
    <w:rsid w:val="00613795"/>
    <w:rsid w:val="006137A1"/>
    <w:rsid w:val="006137DE"/>
    <w:rsid w:val="00613827"/>
    <w:rsid w:val="00613898"/>
    <w:rsid w:val="0061389D"/>
    <w:rsid w:val="0061389F"/>
    <w:rsid w:val="006138B5"/>
    <w:rsid w:val="006138B7"/>
    <w:rsid w:val="006138E5"/>
    <w:rsid w:val="00613908"/>
    <w:rsid w:val="0061391C"/>
    <w:rsid w:val="0061391D"/>
    <w:rsid w:val="006139A3"/>
    <w:rsid w:val="006139B1"/>
    <w:rsid w:val="00613A44"/>
    <w:rsid w:val="00613A9F"/>
    <w:rsid w:val="00613AA5"/>
    <w:rsid w:val="00613AAA"/>
    <w:rsid w:val="00613B16"/>
    <w:rsid w:val="00613B43"/>
    <w:rsid w:val="00613BCD"/>
    <w:rsid w:val="00613C0D"/>
    <w:rsid w:val="00613C24"/>
    <w:rsid w:val="00613C2D"/>
    <w:rsid w:val="00613C55"/>
    <w:rsid w:val="00613CA6"/>
    <w:rsid w:val="00613CBE"/>
    <w:rsid w:val="00613CFA"/>
    <w:rsid w:val="00613D15"/>
    <w:rsid w:val="00613D34"/>
    <w:rsid w:val="00613D58"/>
    <w:rsid w:val="00613DB6"/>
    <w:rsid w:val="00613DC4"/>
    <w:rsid w:val="00613DCB"/>
    <w:rsid w:val="00613E0C"/>
    <w:rsid w:val="00613E14"/>
    <w:rsid w:val="00613E48"/>
    <w:rsid w:val="00613EB3"/>
    <w:rsid w:val="00613EBC"/>
    <w:rsid w:val="00613EE4"/>
    <w:rsid w:val="00613F59"/>
    <w:rsid w:val="00613F9C"/>
    <w:rsid w:val="00614006"/>
    <w:rsid w:val="00614009"/>
    <w:rsid w:val="0061401F"/>
    <w:rsid w:val="00614021"/>
    <w:rsid w:val="0061402F"/>
    <w:rsid w:val="00614073"/>
    <w:rsid w:val="006140B9"/>
    <w:rsid w:val="006140BE"/>
    <w:rsid w:val="006140BF"/>
    <w:rsid w:val="006140C2"/>
    <w:rsid w:val="006140D5"/>
    <w:rsid w:val="006140F0"/>
    <w:rsid w:val="00614124"/>
    <w:rsid w:val="006141D4"/>
    <w:rsid w:val="006141EF"/>
    <w:rsid w:val="00614218"/>
    <w:rsid w:val="0061422D"/>
    <w:rsid w:val="0061425A"/>
    <w:rsid w:val="00614278"/>
    <w:rsid w:val="00614373"/>
    <w:rsid w:val="006143A6"/>
    <w:rsid w:val="006143A7"/>
    <w:rsid w:val="006143BD"/>
    <w:rsid w:val="006143EF"/>
    <w:rsid w:val="006143F3"/>
    <w:rsid w:val="0061442F"/>
    <w:rsid w:val="00614495"/>
    <w:rsid w:val="006144B5"/>
    <w:rsid w:val="006144D3"/>
    <w:rsid w:val="00614504"/>
    <w:rsid w:val="0061458A"/>
    <w:rsid w:val="00614618"/>
    <w:rsid w:val="0061461F"/>
    <w:rsid w:val="00614628"/>
    <w:rsid w:val="0061463C"/>
    <w:rsid w:val="0061464D"/>
    <w:rsid w:val="00614684"/>
    <w:rsid w:val="006146BB"/>
    <w:rsid w:val="006146E4"/>
    <w:rsid w:val="006146E7"/>
    <w:rsid w:val="006146F1"/>
    <w:rsid w:val="006146FD"/>
    <w:rsid w:val="0061471B"/>
    <w:rsid w:val="0061472B"/>
    <w:rsid w:val="0061473F"/>
    <w:rsid w:val="0061478F"/>
    <w:rsid w:val="006147C6"/>
    <w:rsid w:val="006147D2"/>
    <w:rsid w:val="0061482E"/>
    <w:rsid w:val="00614858"/>
    <w:rsid w:val="00614876"/>
    <w:rsid w:val="006148D3"/>
    <w:rsid w:val="006148E2"/>
    <w:rsid w:val="006148F9"/>
    <w:rsid w:val="00614974"/>
    <w:rsid w:val="0061498B"/>
    <w:rsid w:val="006149A8"/>
    <w:rsid w:val="00614A45"/>
    <w:rsid w:val="00614A5C"/>
    <w:rsid w:val="00614A63"/>
    <w:rsid w:val="00614A68"/>
    <w:rsid w:val="00614A8A"/>
    <w:rsid w:val="00614A94"/>
    <w:rsid w:val="00614A9F"/>
    <w:rsid w:val="00614AA7"/>
    <w:rsid w:val="00614AEF"/>
    <w:rsid w:val="00614B24"/>
    <w:rsid w:val="00614B43"/>
    <w:rsid w:val="00614B99"/>
    <w:rsid w:val="00614BBB"/>
    <w:rsid w:val="00614BC6"/>
    <w:rsid w:val="00614BFA"/>
    <w:rsid w:val="00614C11"/>
    <w:rsid w:val="00614C99"/>
    <w:rsid w:val="00614CA7"/>
    <w:rsid w:val="00614CE9"/>
    <w:rsid w:val="00614D0A"/>
    <w:rsid w:val="00614D68"/>
    <w:rsid w:val="00614D76"/>
    <w:rsid w:val="00614D97"/>
    <w:rsid w:val="00614DDD"/>
    <w:rsid w:val="00614DE6"/>
    <w:rsid w:val="00614E1E"/>
    <w:rsid w:val="00614E21"/>
    <w:rsid w:val="00614E43"/>
    <w:rsid w:val="00614E5E"/>
    <w:rsid w:val="00614E70"/>
    <w:rsid w:val="00614E7F"/>
    <w:rsid w:val="00614EAE"/>
    <w:rsid w:val="00614ED2"/>
    <w:rsid w:val="00614EDA"/>
    <w:rsid w:val="00614EDC"/>
    <w:rsid w:val="00614EE5"/>
    <w:rsid w:val="00614EEB"/>
    <w:rsid w:val="00614EF8"/>
    <w:rsid w:val="00614F02"/>
    <w:rsid w:val="00614F0B"/>
    <w:rsid w:val="00614F19"/>
    <w:rsid w:val="00614F74"/>
    <w:rsid w:val="00614F90"/>
    <w:rsid w:val="00614FCC"/>
    <w:rsid w:val="006150B1"/>
    <w:rsid w:val="006150FF"/>
    <w:rsid w:val="00615117"/>
    <w:rsid w:val="00615128"/>
    <w:rsid w:val="00615151"/>
    <w:rsid w:val="00615173"/>
    <w:rsid w:val="00615186"/>
    <w:rsid w:val="00615192"/>
    <w:rsid w:val="006151CB"/>
    <w:rsid w:val="0061520A"/>
    <w:rsid w:val="0061520E"/>
    <w:rsid w:val="00615217"/>
    <w:rsid w:val="0061528B"/>
    <w:rsid w:val="006152C5"/>
    <w:rsid w:val="006153B5"/>
    <w:rsid w:val="006154CC"/>
    <w:rsid w:val="006154F9"/>
    <w:rsid w:val="00615528"/>
    <w:rsid w:val="00615532"/>
    <w:rsid w:val="00615564"/>
    <w:rsid w:val="00615576"/>
    <w:rsid w:val="00615580"/>
    <w:rsid w:val="0061559E"/>
    <w:rsid w:val="006155BB"/>
    <w:rsid w:val="006155DC"/>
    <w:rsid w:val="00615603"/>
    <w:rsid w:val="0061561B"/>
    <w:rsid w:val="006156AB"/>
    <w:rsid w:val="00615709"/>
    <w:rsid w:val="00615742"/>
    <w:rsid w:val="00615777"/>
    <w:rsid w:val="006157C1"/>
    <w:rsid w:val="006157C5"/>
    <w:rsid w:val="006157D7"/>
    <w:rsid w:val="006157E5"/>
    <w:rsid w:val="00615813"/>
    <w:rsid w:val="00615832"/>
    <w:rsid w:val="0061589A"/>
    <w:rsid w:val="006158BD"/>
    <w:rsid w:val="006158D3"/>
    <w:rsid w:val="006158DD"/>
    <w:rsid w:val="00615927"/>
    <w:rsid w:val="0061594F"/>
    <w:rsid w:val="00615980"/>
    <w:rsid w:val="00615989"/>
    <w:rsid w:val="006159D4"/>
    <w:rsid w:val="006159DB"/>
    <w:rsid w:val="00615A3B"/>
    <w:rsid w:val="00615A54"/>
    <w:rsid w:val="00615A60"/>
    <w:rsid w:val="00615A67"/>
    <w:rsid w:val="00615A6A"/>
    <w:rsid w:val="00615A7E"/>
    <w:rsid w:val="00615A81"/>
    <w:rsid w:val="00615A86"/>
    <w:rsid w:val="00615A9D"/>
    <w:rsid w:val="00615AAE"/>
    <w:rsid w:val="00615AB1"/>
    <w:rsid w:val="00615B44"/>
    <w:rsid w:val="00615B48"/>
    <w:rsid w:val="00615B5A"/>
    <w:rsid w:val="00615C3B"/>
    <w:rsid w:val="00615C94"/>
    <w:rsid w:val="00615CC5"/>
    <w:rsid w:val="00615D14"/>
    <w:rsid w:val="00615D54"/>
    <w:rsid w:val="00615D6B"/>
    <w:rsid w:val="00615D77"/>
    <w:rsid w:val="00615DFD"/>
    <w:rsid w:val="00615E45"/>
    <w:rsid w:val="00615EA8"/>
    <w:rsid w:val="00615EEA"/>
    <w:rsid w:val="00615FC8"/>
    <w:rsid w:val="00615FC9"/>
    <w:rsid w:val="00615FD9"/>
    <w:rsid w:val="00615FDA"/>
    <w:rsid w:val="00616040"/>
    <w:rsid w:val="00616044"/>
    <w:rsid w:val="0061604A"/>
    <w:rsid w:val="00616056"/>
    <w:rsid w:val="00616060"/>
    <w:rsid w:val="0061608D"/>
    <w:rsid w:val="006160A0"/>
    <w:rsid w:val="006160E2"/>
    <w:rsid w:val="00616131"/>
    <w:rsid w:val="00616170"/>
    <w:rsid w:val="00616182"/>
    <w:rsid w:val="006161A9"/>
    <w:rsid w:val="006161F9"/>
    <w:rsid w:val="00616224"/>
    <w:rsid w:val="0061622D"/>
    <w:rsid w:val="00616230"/>
    <w:rsid w:val="00616239"/>
    <w:rsid w:val="0061628C"/>
    <w:rsid w:val="006162BA"/>
    <w:rsid w:val="006162BF"/>
    <w:rsid w:val="00616318"/>
    <w:rsid w:val="0061631A"/>
    <w:rsid w:val="0061635D"/>
    <w:rsid w:val="00616363"/>
    <w:rsid w:val="00616376"/>
    <w:rsid w:val="006163C3"/>
    <w:rsid w:val="006163D4"/>
    <w:rsid w:val="006163FE"/>
    <w:rsid w:val="00616403"/>
    <w:rsid w:val="00616448"/>
    <w:rsid w:val="0061644E"/>
    <w:rsid w:val="006164F4"/>
    <w:rsid w:val="00616504"/>
    <w:rsid w:val="00616514"/>
    <w:rsid w:val="0061654A"/>
    <w:rsid w:val="00616564"/>
    <w:rsid w:val="006165AD"/>
    <w:rsid w:val="006165C7"/>
    <w:rsid w:val="006165CB"/>
    <w:rsid w:val="006165FF"/>
    <w:rsid w:val="00616616"/>
    <w:rsid w:val="00616634"/>
    <w:rsid w:val="00616639"/>
    <w:rsid w:val="0061665C"/>
    <w:rsid w:val="0061667F"/>
    <w:rsid w:val="00616688"/>
    <w:rsid w:val="00616691"/>
    <w:rsid w:val="006166B2"/>
    <w:rsid w:val="006166E9"/>
    <w:rsid w:val="006166EB"/>
    <w:rsid w:val="006166EC"/>
    <w:rsid w:val="006166FB"/>
    <w:rsid w:val="00616703"/>
    <w:rsid w:val="00616711"/>
    <w:rsid w:val="00616761"/>
    <w:rsid w:val="0061678A"/>
    <w:rsid w:val="00616795"/>
    <w:rsid w:val="006167F6"/>
    <w:rsid w:val="006168EB"/>
    <w:rsid w:val="006168FF"/>
    <w:rsid w:val="00616904"/>
    <w:rsid w:val="00616908"/>
    <w:rsid w:val="0061690D"/>
    <w:rsid w:val="00616919"/>
    <w:rsid w:val="0061692B"/>
    <w:rsid w:val="0061692E"/>
    <w:rsid w:val="0061693E"/>
    <w:rsid w:val="00616955"/>
    <w:rsid w:val="00616984"/>
    <w:rsid w:val="006169C8"/>
    <w:rsid w:val="006169F9"/>
    <w:rsid w:val="00616A03"/>
    <w:rsid w:val="00616A04"/>
    <w:rsid w:val="00616A0B"/>
    <w:rsid w:val="00616A0F"/>
    <w:rsid w:val="00616A2F"/>
    <w:rsid w:val="00616A38"/>
    <w:rsid w:val="00616A3C"/>
    <w:rsid w:val="00616A49"/>
    <w:rsid w:val="00616A4C"/>
    <w:rsid w:val="00616AA7"/>
    <w:rsid w:val="00616AE2"/>
    <w:rsid w:val="00616B13"/>
    <w:rsid w:val="00616B4A"/>
    <w:rsid w:val="00616B9B"/>
    <w:rsid w:val="00616B9D"/>
    <w:rsid w:val="00616BC0"/>
    <w:rsid w:val="00616BEE"/>
    <w:rsid w:val="00616C1B"/>
    <w:rsid w:val="00616C28"/>
    <w:rsid w:val="00616C2A"/>
    <w:rsid w:val="00616C38"/>
    <w:rsid w:val="00616C4E"/>
    <w:rsid w:val="00616C57"/>
    <w:rsid w:val="00616C71"/>
    <w:rsid w:val="00616C7A"/>
    <w:rsid w:val="00616C85"/>
    <w:rsid w:val="00616CA5"/>
    <w:rsid w:val="00616CB3"/>
    <w:rsid w:val="00616CB8"/>
    <w:rsid w:val="00616CC7"/>
    <w:rsid w:val="00616D1B"/>
    <w:rsid w:val="00616D23"/>
    <w:rsid w:val="00616D55"/>
    <w:rsid w:val="00616D74"/>
    <w:rsid w:val="00616D88"/>
    <w:rsid w:val="00616DB4"/>
    <w:rsid w:val="00616E54"/>
    <w:rsid w:val="00616E6F"/>
    <w:rsid w:val="00616E8D"/>
    <w:rsid w:val="00616ED9"/>
    <w:rsid w:val="00616EDC"/>
    <w:rsid w:val="00616EE1"/>
    <w:rsid w:val="00616EE8"/>
    <w:rsid w:val="00616EF3"/>
    <w:rsid w:val="00616F17"/>
    <w:rsid w:val="00616F37"/>
    <w:rsid w:val="00616F51"/>
    <w:rsid w:val="00616F87"/>
    <w:rsid w:val="00616F8F"/>
    <w:rsid w:val="00616FB3"/>
    <w:rsid w:val="00616FCE"/>
    <w:rsid w:val="00616FD9"/>
    <w:rsid w:val="00616FF2"/>
    <w:rsid w:val="00616FFD"/>
    <w:rsid w:val="00617040"/>
    <w:rsid w:val="00617078"/>
    <w:rsid w:val="006170A7"/>
    <w:rsid w:val="00617119"/>
    <w:rsid w:val="00617126"/>
    <w:rsid w:val="00617133"/>
    <w:rsid w:val="00617194"/>
    <w:rsid w:val="006171A4"/>
    <w:rsid w:val="006171CB"/>
    <w:rsid w:val="0061720B"/>
    <w:rsid w:val="00617211"/>
    <w:rsid w:val="0061725C"/>
    <w:rsid w:val="0061727D"/>
    <w:rsid w:val="006172B1"/>
    <w:rsid w:val="006172BD"/>
    <w:rsid w:val="00617335"/>
    <w:rsid w:val="00617341"/>
    <w:rsid w:val="00617357"/>
    <w:rsid w:val="0061735E"/>
    <w:rsid w:val="0061735F"/>
    <w:rsid w:val="00617369"/>
    <w:rsid w:val="0061736F"/>
    <w:rsid w:val="006173AA"/>
    <w:rsid w:val="006173B9"/>
    <w:rsid w:val="006173E6"/>
    <w:rsid w:val="006173F1"/>
    <w:rsid w:val="006173F3"/>
    <w:rsid w:val="006173FE"/>
    <w:rsid w:val="00617432"/>
    <w:rsid w:val="00617440"/>
    <w:rsid w:val="00617455"/>
    <w:rsid w:val="0061746A"/>
    <w:rsid w:val="006174A6"/>
    <w:rsid w:val="006174B0"/>
    <w:rsid w:val="006174C4"/>
    <w:rsid w:val="006174D0"/>
    <w:rsid w:val="006174DD"/>
    <w:rsid w:val="00617520"/>
    <w:rsid w:val="0061756F"/>
    <w:rsid w:val="006175C2"/>
    <w:rsid w:val="00617604"/>
    <w:rsid w:val="00617642"/>
    <w:rsid w:val="00617699"/>
    <w:rsid w:val="006176C9"/>
    <w:rsid w:val="0061770F"/>
    <w:rsid w:val="00617749"/>
    <w:rsid w:val="006177CE"/>
    <w:rsid w:val="006177D9"/>
    <w:rsid w:val="0061781F"/>
    <w:rsid w:val="0061785A"/>
    <w:rsid w:val="0061786F"/>
    <w:rsid w:val="00617871"/>
    <w:rsid w:val="0061788D"/>
    <w:rsid w:val="006178A1"/>
    <w:rsid w:val="006178AF"/>
    <w:rsid w:val="006178BC"/>
    <w:rsid w:val="006178C2"/>
    <w:rsid w:val="006178F4"/>
    <w:rsid w:val="00617976"/>
    <w:rsid w:val="006179A3"/>
    <w:rsid w:val="006179B2"/>
    <w:rsid w:val="00617A47"/>
    <w:rsid w:val="00617A4B"/>
    <w:rsid w:val="00617A73"/>
    <w:rsid w:val="00617A8F"/>
    <w:rsid w:val="00617ABF"/>
    <w:rsid w:val="00617B56"/>
    <w:rsid w:val="00617B9F"/>
    <w:rsid w:val="00617BA6"/>
    <w:rsid w:val="00617BA7"/>
    <w:rsid w:val="00617BCA"/>
    <w:rsid w:val="00617BD8"/>
    <w:rsid w:val="00617C20"/>
    <w:rsid w:val="00617C86"/>
    <w:rsid w:val="00617C8A"/>
    <w:rsid w:val="00617CB1"/>
    <w:rsid w:val="00617CC5"/>
    <w:rsid w:val="00617CCE"/>
    <w:rsid w:val="00617CFD"/>
    <w:rsid w:val="00617D2B"/>
    <w:rsid w:val="00617D2D"/>
    <w:rsid w:val="00617D79"/>
    <w:rsid w:val="00617DDD"/>
    <w:rsid w:val="00617DEC"/>
    <w:rsid w:val="00617DFB"/>
    <w:rsid w:val="00617E47"/>
    <w:rsid w:val="00617E98"/>
    <w:rsid w:val="00617EB5"/>
    <w:rsid w:val="00617F1C"/>
    <w:rsid w:val="00617F3B"/>
    <w:rsid w:val="00617F47"/>
    <w:rsid w:val="00617F8E"/>
    <w:rsid w:val="00617F92"/>
    <w:rsid w:val="00617FD7"/>
    <w:rsid w:val="0061C8F5"/>
    <w:rsid w:val="00620043"/>
    <w:rsid w:val="00620069"/>
    <w:rsid w:val="006200FC"/>
    <w:rsid w:val="0062013A"/>
    <w:rsid w:val="006201DD"/>
    <w:rsid w:val="006201E6"/>
    <w:rsid w:val="006201F8"/>
    <w:rsid w:val="00620225"/>
    <w:rsid w:val="0062022E"/>
    <w:rsid w:val="00620239"/>
    <w:rsid w:val="00620248"/>
    <w:rsid w:val="00620265"/>
    <w:rsid w:val="0062026C"/>
    <w:rsid w:val="0062027F"/>
    <w:rsid w:val="00620296"/>
    <w:rsid w:val="006202B6"/>
    <w:rsid w:val="006202C6"/>
    <w:rsid w:val="006202CB"/>
    <w:rsid w:val="006202D4"/>
    <w:rsid w:val="00620321"/>
    <w:rsid w:val="006203A1"/>
    <w:rsid w:val="006203A9"/>
    <w:rsid w:val="006203AB"/>
    <w:rsid w:val="006203BB"/>
    <w:rsid w:val="006203DA"/>
    <w:rsid w:val="006203FB"/>
    <w:rsid w:val="00620439"/>
    <w:rsid w:val="00620467"/>
    <w:rsid w:val="00620483"/>
    <w:rsid w:val="006204B0"/>
    <w:rsid w:val="006204E7"/>
    <w:rsid w:val="0062055B"/>
    <w:rsid w:val="00620592"/>
    <w:rsid w:val="0062059E"/>
    <w:rsid w:val="006205B9"/>
    <w:rsid w:val="006205CF"/>
    <w:rsid w:val="006205D4"/>
    <w:rsid w:val="00620618"/>
    <w:rsid w:val="00620619"/>
    <w:rsid w:val="00620621"/>
    <w:rsid w:val="0062065B"/>
    <w:rsid w:val="00620678"/>
    <w:rsid w:val="0062067C"/>
    <w:rsid w:val="006206A9"/>
    <w:rsid w:val="006206DA"/>
    <w:rsid w:val="006206FA"/>
    <w:rsid w:val="0062075E"/>
    <w:rsid w:val="0062077A"/>
    <w:rsid w:val="00620792"/>
    <w:rsid w:val="006207BE"/>
    <w:rsid w:val="006207C7"/>
    <w:rsid w:val="00620836"/>
    <w:rsid w:val="00620838"/>
    <w:rsid w:val="00620857"/>
    <w:rsid w:val="0062089C"/>
    <w:rsid w:val="006208A3"/>
    <w:rsid w:val="006208AC"/>
    <w:rsid w:val="0062090D"/>
    <w:rsid w:val="0062090E"/>
    <w:rsid w:val="00620955"/>
    <w:rsid w:val="00620961"/>
    <w:rsid w:val="00620980"/>
    <w:rsid w:val="00620993"/>
    <w:rsid w:val="006209D4"/>
    <w:rsid w:val="006209F6"/>
    <w:rsid w:val="006209FE"/>
    <w:rsid w:val="00620A08"/>
    <w:rsid w:val="00620A44"/>
    <w:rsid w:val="00620A83"/>
    <w:rsid w:val="00620AA0"/>
    <w:rsid w:val="00620B09"/>
    <w:rsid w:val="00620B58"/>
    <w:rsid w:val="00620B7E"/>
    <w:rsid w:val="00620B97"/>
    <w:rsid w:val="00620BC7"/>
    <w:rsid w:val="00620BFB"/>
    <w:rsid w:val="00620C24"/>
    <w:rsid w:val="00620C62"/>
    <w:rsid w:val="00620CB0"/>
    <w:rsid w:val="00620CC1"/>
    <w:rsid w:val="00620CC7"/>
    <w:rsid w:val="00620CD0"/>
    <w:rsid w:val="00620CE2"/>
    <w:rsid w:val="00620CF3"/>
    <w:rsid w:val="00620D48"/>
    <w:rsid w:val="00620D82"/>
    <w:rsid w:val="00620DF3"/>
    <w:rsid w:val="00620E0C"/>
    <w:rsid w:val="00620E34"/>
    <w:rsid w:val="00620E69"/>
    <w:rsid w:val="00620E6A"/>
    <w:rsid w:val="00620EA8"/>
    <w:rsid w:val="00620EBF"/>
    <w:rsid w:val="00620EF7"/>
    <w:rsid w:val="00620EFA"/>
    <w:rsid w:val="00620F7C"/>
    <w:rsid w:val="00620F8F"/>
    <w:rsid w:val="00620FB2"/>
    <w:rsid w:val="00620FB3"/>
    <w:rsid w:val="00620FD4"/>
    <w:rsid w:val="00620FDC"/>
    <w:rsid w:val="006210A0"/>
    <w:rsid w:val="006210AA"/>
    <w:rsid w:val="006210E2"/>
    <w:rsid w:val="006210FB"/>
    <w:rsid w:val="00621107"/>
    <w:rsid w:val="00621109"/>
    <w:rsid w:val="00621124"/>
    <w:rsid w:val="0062113B"/>
    <w:rsid w:val="0062118E"/>
    <w:rsid w:val="00621198"/>
    <w:rsid w:val="0062119F"/>
    <w:rsid w:val="006211C7"/>
    <w:rsid w:val="006211E6"/>
    <w:rsid w:val="00621241"/>
    <w:rsid w:val="00621244"/>
    <w:rsid w:val="0062124C"/>
    <w:rsid w:val="00621279"/>
    <w:rsid w:val="00621298"/>
    <w:rsid w:val="006212A6"/>
    <w:rsid w:val="006212A9"/>
    <w:rsid w:val="006212DE"/>
    <w:rsid w:val="006212E1"/>
    <w:rsid w:val="006212F5"/>
    <w:rsid w:val="0062137A"/>
    <w:rsid w:val="006213B4"/>
    <w:rsid w:val="006213CE"/>
    <w:rsid w:val="006213FF"/>
    <w:rsid w:val="00621427"/>
    <w:rsid w:val="0062142E"/>
    <w:rsid w:val="00621433"/>
    <w:rsid w:val="00621450"/>
    <w:rsid w:val="006214A1"/>
    <w:rsid w:val="006214EB"/>
    <w:rsid w:val="00621525"/>
    <w:rsid w:val="00621546"/>
    <w:rsid w:val="0062155E"/>
    <w:rsid w:val="0062155F"/>
    <w:rsid w:val="0062156B"/>
    <w:rsid w:val="006215A5"/>
    <w:rsid w:val="006215BF"/>
    <w:rsid w:val="006215CE"/>
    <w:rsid w:val="00621643"/>
    <w:rsid w:val="00621646"/>
    <w:rsid w:val="0062166B"/>
    <w:rsid w:val="00621676"/>
    <w:rsid w:val="006216D2"/>
    <w:rsid w:val="006216F6"/>
    <w:rsid w:val="006216FC"/>
    <w:rsid w:val="0062172B"/>
    <w:rsid w:val="00621741"/>
    <w:rsid w:val="00621744"/>
    <w:rsid w:val="00621758"/>
    <w:rsid w:val="00621795"/>
    <w:rsid w:val="006217A9"/>
    <w:rsid w:val="006217BF"/>
    <w:rsid w:val="006217CE"/>
    <w:rsid w:val="006217DB"/>
    <w:rsid w:val="006217DD"/>
    <w:rsid w:val="006217F9"/>
    <w:rsid w:val="006218AE"/>
    <w:rsid w:val="006218E9"/>
    <w:rsid w:val="00621903"/>
    <w:rsid w:val="0062190B"/>
    <w:rsid w:val="00621926"/>
    <w:rsid w:val="00621959"/>
    <w:rsid w:val="0062195B"/>
    <w:rsid w:val="00621999"/>
    <w:rsid w:val="006219B9"/>
    <w:rsid w:val="00621A3B"/>
    <w:rsid w:val="00621A4E"/>
    <w:rsid w:val="00621A4F"/>
    <w:rsid w:val="00621A52"/>
    <w:rsid w:val="00621A56"/>
    <w:rsid w:val="00621A87"/>
    <w:rsid w:val="00621AD0"/>
    <w:rsid w:val="00621ADE"/>
    <w:rsid w:val="00621AE2"/>
    <w:rsid w:val="00621AE8"/>
    <w:rsid w:val="00621AEF"/>
    <w:rsid w:val="00621B57"/>
    <w:rsid w:val="00621B97"/>
    <w:rsid w:val="00621BED"/>
    <w:rsid w:val="00621BF1"/>
    <w:rsid w:val="00621BF4"/>
    <w:rsid w:val="00621C0F"/>
    <w:rsid w:val="00621C2B"/>
    <w:rsid w:val="00621C39"/>
    <w:rsid w:val="00621C3F"/>
    <w:rsid w:val="00621C5B"/>
    <w:rsid w:val="00621C9A"/>
    <w:rsid w:val="00621C9E"/>
    <w:rsid w:val="00621CA0"/>
    <w:rsid w:val="00621CAD"/>
    <w:rsid w:val="00621CE2"/>
    <w:rsid w:val="00621D46"/>
    <w:rsid w:val="00621DA2"/>
    <w:rsid w:val="00621DC5"/>
    <w:rsid w:val="00621DDA"/>
    <w:rsid w:val="00621DFC"/>
    <w:rsid w:val="00621E07"/>
    <w:rsid w:val="00621E0B"/>
    <w:rsid w:val="00621E0D"/>
    <w:rsid w:val="00621E1D"/>
    <w:rsid w:val="00621E4A"/>
    <w:rsid w:val="00621E8C"/>
    <w:rsid w:val="00621E98"/>
    <w:rsid w:val="00621F04"/>
    <w:rsid w:val="00621F18"/>
    <w:rsid w:val="00621F23"/>
    <w:rsid w:val="00621F7D"/>
    <w:rsid w:val="0062202C"/>
    <w:rsid w:val="006220C9"/>
    <w:rsid w:val="006220F9"/>
    <w:rsid w:val="00622112"/>
    <w:rsid w:val="00622157"/>
    <w:rsid w:val="00622176"/>
    <w:rsid w:val="00622184"/>
    <w:rsid w:val="0062218B"/>
    <w:rsid w:val="006221B0"/>
    <w:rsid w:val="006221D2"/>
    <w:rsid w:val="006221E7"/>
    <w:rsid w:val="006221FF"/>
    <w:rsid w:val="00622233"/>
    <w:rsid w:val="00622245"/>
    <w:rsid w:val="00622273"/>
    <w:rsid w:val="00622275"/>
    <w:rsid w:val="00622299"/>
    <w:rsid w:val="006222AE"/>
    <w:rsid w:val="006222B0"/>
    <w:rsid w:val="00622332"/>
    <w:rsid w:val="0062233C"/>
    <w:rsid w:val="0062233D"/>
    <w:rsid w:val="00622342"/>
    <w:rsid w:val="00622398"/>
    <w:rsid w:val="0062239B"/>
    <w:rsid w:val="006223E9"/>
    <w:rsid w:val="0062242B"/>
    <w:rsid w:val="00622482"/>
    <w:rsid w:val="00622485"/>
    <w:rsid w:val="006224A6"/>
    <w:rsid w:val="006224F8"/>
    <w:rsid w:val="0062250E"/>
    <w:rsid w:val="0062252E"/>
    <w:rsid w:val="00622546"/>
    <w:rsid w:val="00622567"/>
    <w:rsid w:val="0062256D"/>
    <w:rsid w:val="006225A3"/>
    <w:rsid w:val="006225B2"/>
    <w:rsid w:val="006225D3"/>
    <w:rsid w:val="00622615"/>
    <w:rsid w:val="006226BD"/>
    <w:rsid w:val="006226DC"/>
    <w:rsid w:val="006226E6"/>
    <w:rsid w:val="00622785"/>
    <w:rsid w:val="006227A7"/>
    <w:rsid w:val="006227AF"/>
    <w:rsid w:val="006227C0"/>
    <w:rsid w:val="006227C3"/>
    <w:rsid w:val="006227F8"/>
    <w:rsid w:val="006227FD"/>
    <w:rsid w:val="00622859"/>
    <w:rsid w:val="00622888"/>
    <w:rsid w:val="006228B9"/>
    <w:rsid w:val="006228E6"/>
    <w:rsid w:val="0062290E"/>
    <w:rsid w:val="0062297E"/>
    <w:rsid w:val="00622997"/>
    <w:rsid w:val="006229BE"/>
    <w:rsid w:val="006229E2"/>
    <w:rsid w:val="00622A25"/>
    <w:rsid w:val="00622A3E"/>
    <w:rsid w:val="00622A71"/>
    <w:rsid w:val="00622A7E"/>
    <w:rsid w:val="00622A84"/>
    <w:rsid w:val="00622A88"/>
    <w:rsid w:val="00622ADA"/>
    <w:rsid w:val="00622B37"/>
    <w:rsid w:val="00622BA4"/>
    <w:rsid w:val="00622BC4"/>
    <w:rsid w:val="00622BCF"/>
    <w:rsid w:val="00622C5B"/>
    <w:rsid w:val="00622C80"/>
    <w:rsid w:val="00622C85"/>
    <w:rsid w:val="00622C8E"/>
    <w:rsid w:val="00622C8F"/>
    <w:rsid w:val="00622CE4"/>
    <w:rsid w:val="00622CFD"/>
    <w:rsid w:val="00622D09"/>
    <w:rsid w:val="00622D9B"/>
    <w:rsid w:val="00622D9D"/>
    <w:rsid w:val="00622DAA"/>
    <w:rsid w:val="00622DE6"/>
    <w:rsid w:val="00622DF0"/>
    <w:rsid w:val="00622E01"/>
    <w:rsid w:val="00622E2B"/>
    <w:rsid w:val="00622E3F"/>
    <w:rsid w:val="00622E50"/>
    <w:rsid w:val="00622E7E"/>
    <w:rsid w:val="00622F32"/>
    <w:rsid w:val="00622F56"/>
    <w:rsid w:val="00622F78"/>
    <w:rsid w:val="00622F83"/>
    <w:rsid w:val="00622F85"/>
    <w:rsid w:val="00623047"/>
    <w:rsid w:val="006230B5"/>
    <w:rsid w:val="006230D3"/>
    <w:rsid w:val="00623115"/>
    <w:rsid w:val="0062311A"/>
    <w:rsid w:val="0062318A"/>
    <w:rsid w:val="006231F9"/>
    <w:rsid w:val="00623255"/>
    <w:rsid w:val="00623260"/>
    <w:rsid w:val="006232F9"/>
    <w:rsid w:val="00623315"/>
    <w:rsid w:val="0062333E"/>
    <w:rsid w:val="0062335B"/>
    <w:rsid w:val="0062335C"/>
    <w:rsid w:val="0062337C"/>
    <w:rsid w:val="0062338F"/>
    <w:rsid w:val="006233A5"/>
    <w:rsid w:val="0062340D"/>
    <w:rsid w:val="00623425"/>
    <w:rsid w:val="00623456"/>
    <w:rsid w:val="00623471"/>
    <w:rsid w:val="006234C1"/>
    <w:rsid w:val="006234CC"/>
    <w:rsid w:val="006234F4"/>
    <w:rsid w:val="006234FA"/>
    <w:rsid w:val="00623558"/>
    <w:rsid w:val="006235BE"/>
    <w:rsid w:val="006235DE"/>
    <w:rsid w:val="006235FD"/>
    <w:rsid w:val="00623608"/>
    <w:rsid w:val="00623625"/>
    <w:rsid w:val="0062364B"/>
    <w:rsid w:val="00623674"/>
    <w:rsid w:val="0062367C"/>
    <w:rsid w:val="00623688"/>
    <w:rsid w:val="00623691"/>
    <w:rsid w:val="006236A9"/>
    <w:rsid w:val="006236C3"/>
    <w:rsid w:val="006236E0"/>
    <w:rsid w:val="0062370A"/>
    <w:rsid w:val="00623759"/>
    <w:rsid w:val="00623794"/>
    <w:rsid w:val="006237C7"/>
    <w:rsid w:val="006237CE"/>
    <w:rsid w:val="006237DC"/>
    <w:rsid w:val="00623854"/>
    <w:rsid w:val="0062385D"/>
    <w:rsid w:val="00623870"/>
    <w:rsid w:val="006238AF"/>
    <w:rsid w:val="006238EC"/>
    <w:rsid w:val="006238FC"/>
    <w:rsid w:val="0062390B"/>
    <w:rsid w:val="00623922"/>
    <w:rsid w:val="00623923"/>
    <w:rsid w:val="0062396A"/>
    <w:rsid w:val="00623975"/>
    <w:rsid w:val="006239B3"/>
    <w:rsid w:val="00623A3E"/>
    <w:rsid w:val="00623A5B"/>
    <w:rsid w:val="00623A84"/>
    <w:rsid w:val="00623A9F"/>
    <w:rsid w:val="00623AB2"/>
    <w:rsid w:val="00623ABF"/>
    <w:rsid w:val="00623AD1"/>
    <w:rsid w:val="00623AE5"/>
    <w:rsid w:val="00623B6B"/>
    <w:rsid w:val="00623B74"/>
    <w:rsid w:val="00623B92"/>
    <w:rsid w:val="00623BDD"/>
    <w:rsid w:val="00623BEB"/>
    <w:rsid w:val="00623C3D"/>
    <w:rsid w:val="00623C62"/>
    <w:rsid w:val="00623C72"/>
    <w:rsid w:val="00623CD0"/>
    <w:rsid w:val="00623CD1"/>
    <w:rsid w:val="00623CD6"/>
    <w:rsid w:val="00623CE5"/>
    <w:rsid w:val="00623D1A"/>
    <w:rsid w:val="00623D25"/>
    <w:rsid w:val="00623D79"/>
    <w:rsid w:val="00623D8B"/>
    <w:rsid w:val="00623D9E"/>
    <w:rsid w:val="00623DC6"/>
    <w:rsid w:val="00623DE3"/>
    <w:rsid w:val="00623DEF"/>
    <w:rsid w:val="00623E87"/>
    <w:rsid w:val="00623EAC"/>
    <w:rsid w:val="00623EBC"/>
    <w:rsid w:val="00623F37"/>
    <w:rsid w:val="00623F47"/>
    <w:rsid w:val="00623F6E"/>
    <w:rsid w:val="00623F70"/>
    <w:rsid w:val="00623F77"/>
    <w:rsid w:val="00623F82"/>
    <w:rsid w:val="00623F8B"/>
    <w:rsid w:val="00623F8C"/>
    <w:rsid w:val="00623FA0"/>
    <w:rsid w:val="00623FA3"/>
    <w:rsid w:val="00623FB9"/>
    <w:rsid w:val="00623FC7"/>
    <w:rsid w:val="0062400E"/>
    <w:rsid w:val="00624019"/>
    <w:rsid w:val="0062403B"/>
    <w:rsid w:val="00624058"/>
    <w:rsid w:val="0062405E"/>
    <w:rsid w:val="0062406F"/>
    <w:rsid w:val="0062409D"/>
    <w:rsid w:val="006240A4"/>
    <w:rsid w:val="006240A7"/>
    <w:rsid w:val="006240AB"/>
    <w:rsid w:val="006240BC"/>
    <w:rsid w:val="006240D8"/>
    <w:rsid w:val="006240DD"/>
    <w:rsid w:val="00624100"/>
    <w:rsid w:val="00624119"/>
    <w:rsid w:val="00624155"/>
    <w:rsid w:val="00624190"/>
    <w:rsid w:val="006241AA"/>
    <w:rsid w:val="0062421D"/>
    <w:rsid w:val="0062421E"/>
    <w:rsid w:val="00624269"/>
    <w:rsid w:val="0062426F"/>
    <w:rsid w:val="006242AA"/>
    <w:rsid w:val="006242CE"/>
    <w:rsid w:val="00624330"/>
    <w:rsid w:val="00624341"/>
    <w:rsid w:val="00624392"/>
    <w:rsid w:val="0062439C"/>
    <w:rsid w:val="006243A3"/>
    <w:rsid w:val="006243CA"/>
    <w:rsid w:val="006243E7"/>
    <w:rsid w:val="006243FA"/>
    <w:rsid w:val="00624408"/>
    <w:rsid w:val="00624412"/>
    <w:rsid w:val="0062443B"/>
    <w:rsid w:val="006244B1"/>
    <w:rsid w:val="006244E5"/>
    <w:rsid w:val="006244F0"/>
    <w:rsid w:val="00624525"/>
    <w:rsid w:val="00624534"/>
    <w:rsid w:val="0062456A"/>
    <w:rsid w:val="0062457E"/>
    <w:rsid w:val="0062458C"/>
    <w:rsid w:val="00624597"/>
    <w:rsid w:val="00624601"/>
    <w:rsid w:val="00624631"/>
    <w:rsid w:val="00624697"/>
    <w:rsid w:val="006246E2"/>
    <w:rsid w:val="006246E8"/>
    <w:rsid w:val="006246EB"/>
    <w:rsid w:val="006246F5"/>
    <w:rsid w:val="006246FE"/>
    <w:rsid w:val="0062471F"/>
    <w:rsid w:val="00624720"/>
    <w:rsid w:val="00624724"/>
    <w:rsid w:val="00624727"/>
    <w:rsid w:val="0062474D"/>
    <w:rsid w:val="0062476C"/>
    <w:rsid w:val="00624773"/>
    <w:rsid w:val="006247CE"/>
    <w:rsid w:val="006247D7"/>
    <w:rsid w:val="00624837"/>
    <w:rsid w:val="006248A7"/>
    <w:rsid w:val="006248BD"/>
    <w:rsid w:val="006248FF"/>
    <w:rsid w:val="0062493D"/>
    <w:rsid w:val="0062494C"/>
    <w:rsid w:val="00624959"/>
    <w:rsid w:val="0062499B"/>
    <w:rsid w:val="006249BE"/>
    <w:rsid w:val="006249CA"/>
    <w:rsid w:val="006249E5"/>
    <w:rsid w:val="006249EE"/>
    <w:rsid w:val="00624A13"/>
    <w:rsid w:val="00624A1E"/>
    <w:rsid w:val="00624A39"/>
    <w:rsid w:val="00624A59"/>
    <w:rsid w:val="00624A64"/>
    <w:rsid w:val="00624A6F"/>
    <w:rsid w:val="00624A89"/>
    <w:rsid w:val="00624B83"/>
    <w:rsid w:val="00624BB8"/>
    <w:rsid w:val="00624BC8"/>
    <w:rsid w:val="00624BE7"/>
    <w:rsid w:val="00624C1D"/>
    <w:rsid w:val="00624C26"/>
    <w:rsid w:val="00624C2E"/>
    <w:rsid w:val="00624C87"/>
    <w:rsid w:val="00624D06"/>
    <w:rsid w:val="00624D5C"/>
    <w:rsid w:val="00624D74"/>
    <w:rsid w:val="00624E29"/>
    <w:rsid w:val="00624EA1"/>
    <w:rsid w:val="00624EA6"/>
    <w:rsid w:val="00624ED1"/>
    <w:rsid w:val="00624F62"/>
    <w:rsid w:val="00624F7B"/>
    <w:rsid w:val="00624F85"/>
    <w:rsid w:val="00624F9D"/>
    <w:rsid w:val="00624FBF"/>
    <w:rsid w:val="00624FEE"/>
    <w:rsid w:val="0062500E"/>
    <w:rsid w:val="00625085"/>
    <w:rsid w:val="006250B0"/>
    <w:rsid w:val="006250D9"/>
    <w:rsid w:val="006250DE"/>
    <w:rsid w:val="00625110"/>
    <w:rsid w:val="00625119"/>
    <w:rsid w:val="00625123"/>
    <w:rsid w:val="00625126"/>
    <w:rsid w:val="00625169"/>
    <w:rsid w:val="00625187"/>
    <w:rsid w:val="00625189"/>
    <w:rsid w:val="006251EF"/>
    <w:rsid w:val="00625203"/>
    <w:rsid w:val="00625221"/>
    <w:rsid w:val="0062526E"/>
    <w:rsid w:val="006252C2"/>
    <w:rsid w:val="006252FC"/>
    <w:rsid w:val="00625304"/>
    <w:rsid w:val="00625324"/>
    <w:rsid w:val="00625377"/>
    <w:rsid w:val="00625397"/>
    <w:rsid w:val="006253A8"/>
    <w:rsid w:val="00625407"/>
    <w:rsid w:val="0062543E"/>
    <w:rsid w:val="0062545D"/>
    <w:rsid w:val="00625460"/>
    <w:rsid w:val="0062546C"/>
    <w:rsid w:val="0062546E"/>
    <w:rsid w:val="00625480"/>
    <w:rsid w:val="006254F0"/>
    <w:rsid w:val="00625502"/>
    <w:rsid w:val="0062552D"/>
    <w:rsid w:val="00625543"/>
    <w:rsid w:val="0062557D"/>
    <w:rsid w:val="00625589"/>
    <w:rsid w:val="0062559B"/>
    <w:rsid w:val="006255AF"/>
    <w:rsid w:val="0062563A"/>
    <w:rsid w:val="0062563B"/>
    <w:rsid w:val="0062564C"/>
    <w:rsid w:val="00625689"/>
    <w:rsid w:val="00625692"/>
    <w:rsid w:val="00625698"/>
    <w:rsid w:val="006256BE"/>
    <w:rsid w:val="006256DA"/>
    <w:rsid w:val="006256EB"/>
    <w:rsid w:val="00625706"/>
    <w:rsid w:val="0062575C"/>
    <w:rsid w:val="00625791"/>
    <w:rsid w:val="006257CF"/>
    <w:rsid w:val="006257EC"/>
    <w:rsid w:val="006257FE"/>
    <w:rsid w:val="00625808"/>
    <w:rsid w:val="00625852"/>
    <w:rsid w:val="0062589E"/>
    <w:rsid w:val="00625911"/>
    <w:rsid w:val="00625931"/>
    <w:rsid w:val="0062598B"/>
    <w:rsid w:val="00625992"/>
    <w:rsid w:val="0062599A"/>
    <w:rsid w:val="0062599C"/>
    <w:rsid w:val="0062599D"/>
    <w:rsid w:val="00625A45"/>
    <w:rsid w:val="00625A47"/>
    <w:rsid w:val="00625A99"/>
    <w:rsid w:val="00625AA0"/>
    <w:rsid w:val="00625AA4"/>
    <w:rsid w:val="00625AE9"/>
    <w:rsid w:val="00625B83"/>
    <w:rsid w:val="00625BA6"/>
    <w:rsid w:val="00625C1E"/>
    <w:rsid w:val="00625C39"/>
    <w:rsid w:val="00625C4C"/>
    <w:rsid w:val="00625C86"/>
    <w:rsid w:val="00625C96"/>
    <w:rsid w:val="00625CAF"/>
    <w:rsid w:val="00625CC7"/>
    <w:rsid w:val="00625CCA"/>
    <w:rsid w:val="00625CE0"/>
    <w:rsid w:val="00625CE1"/>
    <w:rsid w:val="00625CE7"/>
    <w:rsid w:val="00625D10"/>
    <w:rsid w:val="00625D26"/>
    <w:rsid w:val="00625D27"/>
    <w:rsid w:val="00625D29"/>
    <w:rsid w:val="00625D45"/>
    <w:rsid w:val="00625D58"/>
    <w:rsid w:val="00625D69"/>
    <w:rsid w:val="00625D70"/>
    <w:rsid w:val="00625DDD"/>
    <w:rsid w:val="00625E03"/>
    <w:rsid w:val="00625E37"/>
    <w:rsid w:val="00625E41"/>
    <w:rsid w:val="00625E4B"/>
    <w:rsid w:val="00625E51"/>
    <w:rsid w:val="00625E54"/>
    <w:rsid w:val="00625E6D"/>
    <w:rsid w:val="00625E88"/>
    <w:rsid w:val="00625EB0"/>
    <w:rsid w:val="00625EEB"/>
    <w:rsid w:val="00625EFF"/>
    <w:rsid w:val="00625F0D"/>
    <w:rsid w:val="00625F11"/>
    <w:rsid w:val="00625F18"/>
    <w:rsid w:val="00625F20"/>
    <w:rsid w:val="00625F2E"/>
    <w:rsid w:val="00625F5F"/>
    <w:rsid w:val="00625FD6"/>
    <w:rsid w:val="00625FE8"/>
    <w:rsid w:val="00626000"/>
    <w:rsid w:val="00626005"/>
    <w:rsid w:val="00626063"/>
    <w:rsid w:val="006260B3"/>
    <w:rsid w:val="006260F1"/>
    <w:rsid w:val="0062618D"/>
    <w:rsid w:val="006261C9"/>
    <w:rsid w:val="006261ED"/>
    <w:rsid w:val="00626228"/>
    <w:rsid w:val="00626250"/>
    <w:rsid w:val="00626290"/>
    <w:rsid w:val="006262C9"/>
    <w:rsid w:val="006262CD"/>
    <w:rsid w:val="006262EC"/>
    <w:rsid w:val="00626314"/>
    <w:rsid w:val="00626315"/>
    <w:rsid w:val="00626346"/>
    <w:rsid w:val="0062635C"/>
    <w:rsid w:val="00626386"/>
    <w:rsid w:val="0062639B"/>
    <w:rsid w:val="006263F7"/>
    <w:rsid w:val="00626416"/>
    <w:rsid w:val="00626446"/>
    <w:rsid w:val="0062644E"/>
    <w:rsid w:val="00626451"/>
    <w:rsid w:val="00626460"/>
    <w:rsid w:val="00626477"/>
    <w:rsid w:val="006264A4"/>
    <w:rsid w:val="006264AB"/>
    <w:rsid w:val="006264C5"/>
    <w:rsid w:val="006264CE"/>
    <w:rsid w:val="006264DB"/>
    <w:rsid w:val="006264ED"/>
    <w:rsid w:val="00626509"/>
    <w:rsid w:val="0062650B"/>
    <w:rsid w:val="0062651C"/>
    <w:rsid w:val="00626584"/>
    <w:rsid w:val="006265C3"/>
    <w:rsid w:val="006265EB"/>
    <w:rsid w:val="00626631"/>
    <w:rsid w:val="00626632"/>
    <w:rsid w:val="0062663A"/>
    <w:rsid w:val="00626654"/>
    <w:rsid w:val="0062668D"/>
    <w:rsid w:val="0062668F"/>
    <w:rsid w:val="00626690"/>
    <w:rsid w:val="0062669B"/>
    <w:rsid w:val="006266E8"/>
    <w:rsid w:val="00626763"/>
    <w:rsid w:val="00626783"/>
    <w:rsid w:val="00626786"/>
    <w:rsid w:val="006267DF"/>
    <w:rsid w:val="006267E0"/>
    <w:rsid w:val="006267ED"/>
    <w:rsid w:val="00626808"/>
    <w:rsid w:val="00626813"/>
    <w:rsid w:val="0062682F"/>
    <w:rsid w:val="00626857"/>
    <w:rsid w:val="0062686E"/>
    <w:rsid w:val="0062687E"/>
    <w:rsid w:val="00626880"/>
    <w:rsid w:val="00626895"/>
    <w:rsid w:val="006268F6"/>
    <w:rsid w:val="006268FB"/>
    <w:rsid w:val="0062691A"/>
    <w:rsid w:val="00626926"/>
    <w:rsid w:val="0062692D"/>
    <w:rsid w:val="00626939"/>
    <w:rsid w:val="0062695D"/>
    <w:rsid w:val="00626967"/>
    <w:rsid w:val="00626976"/>
    <w:rsid w:val="0062697C"/>
    <w:rsid w:val="00626984"/>
    <w:rsid w:val="006269A6"/>
    <w:rsid w:val="00626A0E"/>
    <w:rsid w:val="00626A2A"/>
    <w:rsid w:val="00626A7E"/>
    <w:rsid w:val="00626A96"/>
    <w:rsid w:val="00626A9A"/>
    <w:rsid w:val="00626AEC"/>
    <w:rsid w:val="00626B0C"/>
    <w:rsid w:val="00626B2A"/>
    <w:rsid w:val="00626B37"/>
    <w:rsid w:val="00626B52"/>
    <w:rsid w:val="00626B80"/>
    <w:rsid w:val="00626BB0"/>
    <w:rsid w:val="00626BB4"/>
    <w:rsid w:val="00626BC7"/>
    <w:rsid w:val="00626C35"/>
    <w:rsid w:val="00626CCA"/>
    <w:rsid w:val="00626D25"/>
    <w:rsid w:val="00626D40"/>
    <w:rsid w:val="00626DA5"/>
    <w:rsid w:val="00626DB9"/>
    <w:rsid w:val="00626DCD"/>
    <w:rsid w:val="00626DF1"/>
    <w:rsid w:val="00626E17"/>
    <w:rsid w:val="00626E84"/>
    <w:rsid w:val="00626EAA"/>
    <w:rsid w:val="00626EBB"/>
    <w:rsid w:val="00626ED1"/>
    <w:rsid w:val="00626ED2"/>
    <w:rsid w:val="00626EE9"/>
    <w:rsid w:val="00626F04"/>
    <w:rsid w:val="00626F1E"/>
    <w:rsid w:val="00626F23"/>
    <w:rsid w:val="00626F2B"/>
    <w:rsid w:val="00626F34"/>
    <w:rsid w:val="00626F5B"/>
    <w:rsid w:val="00626F5F"/>
    <w:rsid w:val="00626F6B"/>
    <w:rsid w:val="00626F6F"/>
    <w:rsid w:val="00626F78"/>
    <w:rsid w:val="00626F81"/>
    <w:rsid w:val="00626F89"/>
    <w:rsid w:val="00626F97"/>
    <w:rsid w:val="0062701C"/>
    <w:rsid w:val="00627044"/>
    <w:rsid w:val="0062704B"/>
    <w:rsid w:val="00627063"/>
    <w:rsid w:val="00627087"/>
    <w:rsid w:val="006270F5"/>
    <w:rsid w:val="00627114"/>
    <w:rsid w:val="00627118"/>
    <w:rsid w:val="00627125"/>
    <w:rsid w:val="0062716C"/>
    <w:rsid w:val="00627181"/>
    <w:rsid w:val="006271B7"/>
    <w:rsid w:val="006271D0"/>
    <w:rsid w:val="006271D5"/>
    <w:rsid w:val="0062721E"/>
    <w:rsid w:val="0062722D"/>
    <w:rsid w:val="00627274"/>
    <w:rsid w:val="00627293"/>
    <w:rsid w:val="00627298"/>
    <w:rsid w:val="006272D1"/>
    <w:rsid w:val="006272DA"/>
    <w:rsid w:val="006272EC"/>
    <w:rsid w:val="006272FF"/>
    <w:rsid w:val="00627317"/>
    <w:rsid w:val="00627337"/>
    <w:rsid w:val="0062733B"/>
    <w:rsid w:val="0062735E"/>
    <w:rsid w:val="00627383"/>
    <w:rsid w:val="006273A0"/>
    <w:rsid w:val="00627401"/>
    <w:rsid w:val="006274FA"/>
    <w:rsid w:val="006274FB"/>
    <w:rsid w:val="0062753C"/>
    <w:rsid w:val="0062755F"/>
    <w:rsid w:val="00627573"/>
    <w:rsid w:val="00627580"/>
    <w:rsid w:val="00627587"/>
    <w:rsid w:val="0062758C"/>
    <w:rsid w:val="0062759B"/>
    <w:rsid w:val="006275D0"/>
    <w:rsid w:val="00627646"/>
    <w:rsid w:val="00627689"/>
    <w:rsid w:val="00627691"/>
    <w:rsid w:val="006276AE"/>
    <w:rsid w:val="006276B3"/>
    <w:rsid w:val="006276EB"/>
    <w:rsid w:val="006276F4"/>
    <w:rsid w:val="0062772D"/>
    <w:rsid w:val="00627759"/>
    <w:rsid w:val="006277A4"/>
    <w:rsid w:val="006277CA"/>
    <w:rsid w:val="006277E8"/>
    <w:rsid w:val="006277EB"/>
    <w:rsid w:val="006277F2"/>
    <w:rsid w:val="00627817"/>
    <w:rsid w:val="00627869"/>
    <w:rsid w:val="0062788F"/>
    <w:rsid w:val="0062790D"/>
    <w:rsid w:val="00627936"/>
    <w:rsid w:val="00627948"/>
    <w:rsid w:val="00627951"/>
    <w:rsid w:val="00627966"/>
    <w:rsid w:val="006279DA"/>
    <w:rsid w:val="006279F8"/>
    <w:rsid w:val="00627A16"/>
    <w:rsid w:val="00627A27"/>
    <w:rsid w:val="00627A6F"/>
    <w:rsid w:val="00627A8E"/>
    <w:rsid w:val="00627AA2"/>
    <w:rsid w:val="00627AD0"/>
    <w:rsid w:val="00627AE3"/>
    <w:rsid w:val="00627AF7"/>
    <w:rsid w:val="00627B1C"/>
    <w:rsid w:val="00627B1E"/>
    <w:rsid w:val="00627B74"/>
    <w:rsid w:val="00627BC1"/>
    <w:rsid w:val="00627C46"/>
    <w:rsid w:val="00627C85"/>
    <w:rsid w:val="00627C9B"/>
    <w:rsid w:val="00627CAC"/>
    <w:rsid w:val="00627CD6"/>
    <w:rsid w:val="00627CD9"/>
    <w:rsid w:val="00627D02"/>
    <w:rsid w:val="00627D11"/>
    <w:rsid w:val="00627D14"/>
    <w:rsid w:val="00627D4A"/>
    <w:rsid w:val="00627D58"/>
    <w:rsid w:val="00627D71"/>
    <w:rsid w:val="00627D81"/>
    <w:rsid w:val="00627D9A"/>
    <w:rsid w:val="00627D9F"/>
    <w:rsid w:val="00627E10"/>
    <w:rsid w:val="00627E6F"/>
    <w:rsid w:val="00627EC5"/>
    <w:rsid w:val="00627ED6"/>
    <w:rsid w:val="00627F46"/>
    <w:rsid w:val="00627F49"/>
    <w:rsid w:val="00627F4C"/>
    <w:rsid w:val="00627F57"/>
    <w:rsid w:val="00627F91"/>
    <w:rsid w:val="00627FAB"/>
    <w:rsid w:val="00627FDB"/>
    <w:rsid w:val="00627FFC"/>
    <w:rsid w:val="0063003E"/>
    <w:rsid w:val="0063007C"/>
    <w:rsid w:val="0063008A"/>
    <w:rsid w:val="00630160"/>
    <w:rsid w:val="0063016B"/>
    <w:rsid w:val="00630182"/>
    <w:rsid w:val="006301A4"/>
    <w:rsid w:val="006301C9"/>
    <w:rsid w:val="006301CF"/>
    <w:rsid w:val="006301D6"/>
    <w:rsid w:val="006301DF"/>
    <w:rsid w:val="006301FB"/>
    <w:rsid w:val="0063020B"/>
    <w:rsid w:val="0063022B"/>
    <w:rsid w:val="00630269"/>
    <w:rsid w:val="00630294"/>
    <w:rsid w:val="0063030B"/>
    <w:rsid w:val="0063030D"/>
    <w:rsid w:val="00630372"/>
    <w:rsid w:val="00630383"/>
    <w:rsid w:val="006303A9"/>
    <w:rsid w:val="006303DA"/>
    <w:rsid w:val="006303ED"/>
    <w:rsid w:val="006303F7"/>
    <w:rsid w:val="006303FE"/>
    <w:rsid w:val="0063040C"/>
    <w:rsid w:val="00630433"/>
    <w:rsid w:val="006304F0"/>
    <w:rsid w:val="0063057E"/>
    <w:rsid w:val="006305DF"/>
    <w:rsid w:val="0063061E"/>
    <w:rsid w:val="0063061F"/>
    <w:rsid w:val="00630656"/>
    <w:rsid w:val="0063065F"/>
    <w:rsid w:val="00630686"/>
    <w:rsid w:val="00630689"/>
    <w:rsid w:val="006306EB"/>
    <w:rsid w:val="00630717"/>
    <w:rsid w:val="00630722"/>
    <w:rsid w:val="00630748"/>
    <w:rsid w:val="00630773"/>
    <w:rsid w:val="00630788"/>
    <w:rsid w:val="00630833"/>
    <w:rsid w:val="00630849"/>
    <w:rsid w:val="0063086A"/>
    <w:rsid w:val="00630890"/>
    <w:rsid w:val="0063089E"/>
    <w:rsid w:val="006308AA"/>
    <w:rsid w:val="006308B4"/>
    <w:rsid w:val="006308C0"/>
    <w:rsid w:val="006308C8"/>
    <w:rsid w:val="006308D8"/>
    <w:rsid w:val="006308EB"/>
    <w:rsid w:val="006308EF"/>
    <w:rsid w:val="006309E7"/>
    <w:rsid w:val="006309F9"/>
    <w:rsid w:val="006309FC"/>
    <w:rsid w:val="006309FF"/>
    <w:rsid w:val="00630A48"/>
    <w:rsid w:val="00630A49"/>
    <w:rsid w:val="00630A95"/>
    <w:rsid w:val="00630AAD"/>
    <w:rsid w:val="00630AB6"/>
    <w:rsid w:val="00630ADB"/>
    <w:rsid w:val="00630B61"/>
    <w:rsid w:val="00630B6D"/>
    <w:rsid w:val="00630BDA"/>
    <w:rsid w:val="00630BE9"/>
    <w:rsid w:val="00630C0B"/>
    <w:rsid w:val="00630C4F"/>
    <w:rsid w:val="00630C5D"/>
    <w:rsid w:val="00630C86"/>
    <w:rsid w:val="00630CA7"/>
    <w:rsid w:val="00630CD2"/>
    <w:rsid w:val="00630CD9"/>
    <w:rsid w:val="00630D57"/>
    <w:rsid w:val="00630DF7"/>
    <w:rsid w:val="00630E51"/>
    <w:rsid w:val="00630E73"/>
    <w:rsid w:val="00630E81"/>
    <w:rsid w:val="00630EBD"/>
    <w:rsid w:val="00630EF0"/>
    <w:rsid w:val="00630EF4"/>
    <w:rsid w:val="00630F2C"/>
    <w:rsid w:val="00630F64"/>
    <w:rsid w:val="00630FBB"/>
    <w:rsid w:val="00630FBD"/>
    <w:rsid w:val="00631027"/>
    <w:rsid w:val="0063102F"/>
    <w:rsid w:val="006310AD"/>
    <w:rsid w:val="006310F6"/>
    <w:rsid w:val="00631178"/>
    <w:rsid w:val="00631190"/>
    <w:rsid w:val="006311A5"/>
    <w:rsid w:val="006311E4"/>
    <w:rsid w:val="006311F7"/>
    <w:rsid w:val="00631208"/>
    <w:rsid w:val="00631210"/>
    <w:rsid w:val="00631225"/>
    <w:rsid w:val="00631226"/>
    <w:rsid w:val="00631227"/>
    <w:rsid w:val="00631257"/>
    <w:rsid w:val="006312D4"/>
    <w:rsid w:val="006312F6"/>
    <w:rsid w:val="00631329"/>
    <w:rsid w:val="00631387"/>
    <w:rsid w:val="00631405"/>
    <w:rsid w:val="0063142E"/>
    <w:rsid w:val="0063147B"/>
    <w:rsid w:val="0063148A"/>
    <w:rsid w:val="00631494"/>
    <w:rsid w:val="006314C6"/>
    <w:rsid w:val="0063150D"/>
    <w:rsid w:val="00631533"/>
    <w:rsid w:val="0063153E"/>
    <w:rsid w:val="0063155D"/>
    <w:rsid w:val="006315F1"/>
    <w:rsid w:val="0063165F"/>
    <w:rsid w:val="0063169A"/>
    <w:rsid w:val="006316B1"/>
    <w:rsid w:val="006316B5"/>
    <w:rsid w:val="006316D6"/>
    <w:rsid w:val="006316DE"/>
    <w:rsid w:val="0063171A"/>
    <w:rsid w:val="00631765"/>
    <w:rsid w:val="006317A5"/>
    <w:rsid w:val="006317C8"/>
    <w:rsid w:val="006317EE"/>
    <w:rsid w:val="00631809"/>
    <w:rsid w:val="00631868"/>
    <w:rsid w:val="0063188C"/>
    <w:rsid w:val="006318B1"/>
    <w:rsid w:val="006318C4"/>
    <w:rsid w:val="006318E0"/>
    <w:rsid w:val="006318E3"/>
    <w:rsid w:val="006318F2"/>
    <w:rsid w:val="00631916"/>
    <w:rsid w:val="0063195D"/>
    <w:rsid w:val="00631968"/>
    <w:rsid w:val="0063197E"/>
    <w:rsid w:val="006319F6"/>
    <w:rsid w:val="00631A76"/>
    <w:rsid w:val="00631A8B"/>
    <w:rsid w:val="00631A91"/>
    <w:rsid w:val="00631AD3"/>
    <w:rsid w:val="00631AD9"/>
    <w:rsid w:val="00631AF6"/>
    <w:rsid w:val="00631B1A"/>
    <w:rsid w:val="00631B2F"/>
    <w:rsid w:val="00631B35"/>
    <w:rsid w:val="00631B38"/>
    <w:rsid w:val="00631B44"/>
    <w:rsid w:val="00631B59"/>
    <w:rsid w:val="00631B71"/>
    <w:rsid w:val="00631B97"/>
    <w:rsid w:val="00631BA9"/>
    <w:rsid w:val="00631BBF"/>
    <w:rsid w:val="00631C06"/>
    <w:rsid w:val="00631C13"/>
    <w:rsid w:val="00631C54"/>
    <w:rsid w:val="00631C85"/>
    <w:rsid w:val="00631C90"/>
    <w:rsid w:val="00631CE0"/>
    <w:rsid w:val="00631CF8"/>
    <w:rsid w:val="00631D66"/>
    <w:rsid w:val="00631D87"/>
    <w:rsid w:val="00631DC0"/>
    <w:rsid w:val="00631DE1"/>
    <w:rsid w:val="00631DE9"/>
    <w:rsid w:val="00631E0A"/>
    <w:rsid w:val="00631E0B"/>
    <w:rsid w:val="00631E20"/>
    <w:rsid w:val="00631E49"/>
    <w:rsid w:val="00631E6C"/>
    <w:rsid w:val="00631E9D"/>
    <w:rsid w:val="00631EAF"/>
    <w:rsid w:val="00631EDC"/>
    <w:rsid w:val="00631EDF"/>
    <w:rsid w:val="00631F1A"/>
    <w:rsid w:val="00631F1C"/>
    <w:rsid w:val="00631F80"/>
    <w:rsid w:val="00631FC7"/>
    <w:rsid w:val="0063200E"/>
    <w:rsid w:val="00632036"/>
    <w:rsid w:val="0063205C"/>
    <w:rsid w:val="0063206C"/>
    <w:rsid w:val="006320C2"/>
    <w:rsid w:val="006320E0"/>
    <w:rsid w:val="0063213D"/>
    <w:rsid w:val="00632142"/>
    <w:rsid w:val="0063215C"/>
    <w:rsid w:val="0063216C"/>
    <w:rsid w:val="00632198"/>
    <w:rsid w:val="006321B8"/>
    <w:rsid w:val="006321BB"/>
    <w:rsid w:val="00632206"/>
    <w:rsid w:val="00632239"/>
    <w:rsid w:val="00632294"/>
    <w:rsid w:val="00632308"/>
    <w:rsid w:val="0063236E"/>
    <w:rsid w:val="006323A5"/>
    <w:rsid w:val="006323AF"/>
    <w:rsid w:val="006323B2"/>
    <w:rsid w:val="006323CD"/>
    <w:rsid w:val="0063240C"/>
    <w:rsid w:val="0063240E"/>
    <w:rsid w:val="00632481"/>
    <w:rsid w:val="006324A2"/>
    <w:rsid w:val="006324A3"/>
    <w:rsid w:val="006324D0"/>
    <w:rsid w:val="006324EA"/>
    <w:rsid w:val="006324ED"/>
    <w:rsid w:val="006324FA"/>
    <w:rsid w:val="00632502"/>
    <w:rsid w:val="00632543"/>
    <w:rsid w:val="0063256D"/>
    <w:rsid w:val="006325AF"/>
    <w:rsid w:val="006325B5"/>
    <w:rsid w:val="006325CF"/>
    <w:rsid w:val="00632612"/>
    <w:rsid w:val="00632614"/>
    <w:rsid w:val="00632635"/>
    <w:rsid w:val="00632685"/>
    <w:rsid w:val="006326D0"/>
    <w:rsid w:val="006326EB"/>
    <w:rsid w:val="0063275A"/>
    <w:rsid w:val="0063277D"/>
    <w:rsid w:val="00632780"/>
    <w:rsid w:val="0063278C"/>
    <w:rsid w:val="006327A5"/>
    <w:rsid w:val="006327AC"/>
    <w:rsid w:val="006327B8"/>
    <w:rsid w:val="006327E9"/>
    <w:rsid w:val="00632819"/>
    <w:rsid w:val="0063281E"/>
    <w:rsid w:val="00632833"/>
    <w:rsid w:val="00632853"/>
    <w:rsid w:val="00632861"/>
    <w:rsid w:val="0063289C"/>
    <w:rsid w:val="006328D7"/>
    <w:rsid w:val="0063298B"/>
    <w:rsid w:val="006329B3"/>
    <w:rsid w:val="006329C0"/>
    <w:rsid w:val="006329F2"/>
    <w:rsid w:val="006329F9"/>
    <w:rsid w:val="00632A1D"/>
    <w:rsid w:val="00632A3F"/>
    <w:rsid w:val="00632A51"/>
    <w:rsid w:val="00632A52"/>
    <w:rsid w:val="00632A69"/>
    <w:rsid w:val="00632A77"/>
    <w:rsid w:val="00632AB5"/>
    <w:rsid w:val="00632B18"/>
    <w:rsid w:val="00632B65"/>
    <w:rsid w:val="00632B78"/>
    <w:rsid w:val="00632B7D"/>
    <w:rsid w:val="00632C69"/>
    <w:rsid w:val="00632C90"/>
    <w:rsid w:val="00632CE6"/>
    <w:rsid w:val="00632D2E"/>
    <w:rsid w:val="00632D94"/>
    <w:rsid w:val="00632DB6"/>
    <w:rsid w:val="00632DD7"/>
    <w:rsid w:val="00632E02"/>
    <w:rsid w:val="00632EA4"/>
    <w:rsid w:val="00632EBC"/>
    <w:rsid w:val="00632ECB"/>
    <w:rsid w:val="00632F01"/>
    <w:rsid w:val="00632F25"/>
    <w:rsid w:val="00632F50"/>
    <w:rsid w:val="00632F51"/>
    <w:rsid w:val="00632F5F"/>
    <w:rsid w:val="00632F7A"/>
    <w:rsid w:val="00632FFE"/>
    <w:rsid w:val="00633014"/>
    <w:rsid w:val="00633024"/>
    <w:rsid w:val="00633077"/>
    <w:rsid w:val="006330AF"/>
    <w:rsid w:val="006330C7"/>
    <w:rsid w:val="006330F1"/>
    <w:rsid w:val="0063311E"/>
    <w:rsid w:val="00633170"/>
    <w:rsid w:val="0063319D"/>
    <w:rsid w:val="006331C0"/>
    <w:rsid w:val="006331D4"/>
    <w:rsid w:val="006331F3"/>
    <w:rsid w:val="00633220"/>
    <w:rsid w:val="006332A9"/>
    <w:rsid w:val="006332E0"/>
    <w:rsid w:val="006332F7"/>
    <w:rsid w:val="0063331C"/>
    <w:rsid w:val="0063331D"/>
    <w:rsid w:val="00633327"/>
    <w:rsid w:val="0063332A"/>
    <w:rsid w:val="0063333F"/>
    <w:rsid w:val="00633353"/>
    <w:rsid w:val="00633357"/>
    <w:rsid w:val="00633369"/>
    <w:rsid w:val="0063336C"/>
    <w:rsid w:val="0063339E"/>
    <w:rsid w:val="006333C0"/>
    <w:rsid w:val="006333E1"/>
    <w:rsid w:val="006333E7"/>
    <w:rsid w:val="00633406"/>
    <w:rsid w:val="0063341E"/>
    <w:rsid w:val="006334E2"/>
    <w:rsid w:val="00633509"/>
    <w:rsid w:val="0063356A"/>
    <w:rsid w:val="00633582"/>
    <w:rsid w:val="006335AA"/>
    <w:rsid w:val="006335E1"/>
    <w:rsid w:val="0063361E"/>
    <w:rsid w:val="00633624"/>
    <w:rsid w:val="0063362D"/>
    <w:rsid w:val="0063364C"/>
    <w:rsid w:val="00633653"/>
    <w:rsid w:val="0063365A"/>
    <w:rsid w:val="006336C5"/>
    <w:rsid w:val="006336D9"/>
    <w:rsid w:val="006336E6"/>
    <w:rsid w:val="0063371B"/>
    <w:rsid w:val="0063372A"/>
    <w:rsid w:val="00633732"/>
    <w:rsid w:val="0063375E"/>
    <w:rsid w:val="006337A8"/>
    <w:rsid w:val="006337B2"/>
    <w:rsid w:val="006337F9"/>
    <w:rsid w:val="00633815"/>
    <w:rsid w:val="00633822"/>
    <w:rsid w:val="0063385D"/>
    <w:rsid w:val="0063386E"/>
    <w:rsid w:val="0063386F"/>
    <w:rsid w:val="0063389C"/>
    <w:rsid w:val="006338D7"/>
    <w:rsid w:val="006338FC"/>
    <w:rsid w:val="00633903"/>
    <w:rsid w:val="00633939"/>
    <w:rsid w:val="0063393E"/>
    <w:rsid w:val="00633971"/>
    <w:rsid w:val="006339A5"/>
    <w:rsid w:val="006339AC"/>
    <w:rsid w:val="00633A16"/>
    <w:rsid w:val="00633A58"/>
    <w:rsid w:val="00633ACC"/>
    <w:rsid w:val="00633AE2"/>
    <w:rsid w:val="00633AE6"/>
    <w:rsid w:val="00633AEE"/>
    <w:rsid w:val="00633AF9"/>
    <w:rsid w:val="00633B14"/>
    <w:rsid w:val="00633B15"/>
    <w:rsid w:val="00633B31"/>
    <w:rsid w:val="00633B3D"/>
    <w:rsid w:val="00633B41"/>
    <w:rsid w:val="00633B92"/>
    <w:rsid w:val="00633BD0"/>
    <w:rsid w:val="00633BD6"/>
    <w:rsid w:val="00633C92"/>
    <w:rsid w:val="00633C96"/>
    <w:rsid w:val="00633CA3"/>
    <w:rsid w:val="00633CDC"/>
    <w:rsid w:val="00633D28"/>
    <w:rsid w:val="00633D2C"/>
    <w:rsid w:val="00633D74"/>
    <w:rsid w:val="00633D9D"/>
    <w:rsid w:val="00633DCB"/>
    <w:rsid w:val="00633DF7"/>
    <w:rsid w:val="00633E00"/>
    <w:rsid w:val="00633E39"/>
    <w:rsid w:val="00633E44"/>
    <w:rsid w:val="00633E63"/>
    <w:rsid w:val="00633E79"/>
    <w:rsid w:val="00633F6A"/>
    <w:rsid w:val="00633F7D"/>
    <w:rsid w:val="00634014"/>
    <w:rsid w:val="00634023"/>
    <w:rsid w:val="00634036"/>
    <w:rsid w:val="006340A2"/>
    <w:rsid w:val="006340D3"/>
    <w:rsid w:val="0063410E"/>
    <w:rsid w:val="00634165"/>
    <w:rsid w:val="006341F1"/>
    <w:rsid w:val="006341F2"/>
    <w:rsid w:val="0063421B"/>
    <w:rsid w:val="00634220"/>
    <w:rsid w:val="0063422E"/>
    <w:rsid w:val="006342D9"/>
    <w:rsid w:val="0063430C"/>
    <w:rsid w:val="00634340"/>
    <w:rsid w:val="00634352"/>
    <w:rsid w:val="00634367"/>
    <w:rsid w:val="0063437F"/>
    <w:rsid w:val="006343B9"/>
    <w:rsid w:val="006343F2"/>
    <w:rsid w:val="00634446"/>
    <w:rsid w:val="00634453"/>
    <w:rsid w:val="00634458"/>
    <w:rsid w:val="0063445B"/>
    <w:rsid w:val="0063446F"/>
    <w:rsid w:val="00634479"/>
    <w:rsid w:val="0063448C"/>
    <w:rsid w:val="006344AE"/>
    <w:rsid w:val="006344AF"/>
    <w:rsid w:val="006344D5"/>
    <w:rsid w:val="006344E2"/>
    <w:rsid w:val="006344FC"/>
    <w:rsid w:val="00634523"/>
    <w:rsid w:val="00634564"/>
    <w:rsid w:val="0063459A"/>
    <w:rsid w:val="0063459F"/>
    <w:rsid w:val="006345BE"/>
    <w:rsid w:val="006345C1"/>
    <w:rsid w:val="006345C3"/>
    <w:rsid w:val="006345CC"/>
    <w:rsid w:val="006345F7"/>
    <w:rsid w:val="00634670"/>
    <w:rsid w:val="0063467D"/>
    <w:rsid w:val="00634689"/>
    <w:rsid w:val="006346AB"/>
    <w:rsid w:val="006346C5"/>
    <w:rsid w:val="006346DA"/>
    <w:rsid w:val="006346ED"/>
    <w:rsid w:val="006346F6"/>
    <w:rsid w:val="00634747"/>
    <w:rsid w:val="00634779"/>
    <w:rsid w:val="00634795"/>
    <w:rsid w:val="006347AA"/>
    <w:rsid w:val="006347BE"/>
    <w:rsid w:val="006347E0"/>
    <w:rsid w:val="0063480B"/>
    <w:rsid w:val="00634829"/>
    <w:rsid w:val="00634846"/>
    <w:rsid w:val="00634892"/>
    <w:rsid w:val="00634896"/>
    <w:rsid w:val="006348DF"/>
    <w:rsid w:val="00634927"/>
    <w:rsid w:val="0063493B"/>
    <w:rsid w:val="00634943"/>
    <w:rsid w:val="00634987"/>
    <w:rsid w:val="0063498A"/>
    <w:rsid w:val="006349F0"/>
    <w:rsid w:val="00634A06"/>
    <w:rsid w:val="00634A15"/>
    <w:rsid w:val="00634A2B"/>
    <w:rsid w:val="00634A2C"/>
    <w:rsid w:val="00634A6F"/>
    <w:rsid w:val="00634A75"/>
    <w:rsid w:val="00634A85"/>
    <w:rsid w:val="00634B0D"/>
    <w:rsid w:val="00634B2B"/>
    <w:rsid w:val="00634B67"/>
    <w:rsid w:val="00634B87"/>
    <w:rsid w:val="00634BB0"/>
    <w:rsid w:val="00634BB2"/>
    <w:rsid w:val="00634BC7"/>
    <w:rsid w:val="00634BCA"/>
    <w:rsid w:val="00634BD6"/>
    <w:rsid w:val="00634BD9"/>
    <w:rsid w:val="00634C0E"/>
    <w:rsid w:val="00634C32"/>
    <w:rsid w:val="00634C49"/>
    <w:rsid w:val="00634C7A"/>
    <w:rsid w:val="00634CC5"/>
    <w:rsid w:val="00634CF5"/>
    <w:rsid w:val="00634D25"/>
    <w:rsid w:val="00634D55"/>
    <w:rsid w:val="00634D73"/>
    <w:rsid w:val="00634DB2"/>
    <w:rsid w:val="00634E19"/>
    <w:rsid w:val="00634E1C"/>
    <w:rsid w:val="00634E2E"/>
    <w:rsid w:val="00634E30"/>
    <w:rsid w:val="00634E6F"/>
    <w:rsid w:val="00634EDB"/>
    <w:rsid w:val="00634EEC"/>
    <w:rsid w:val="00634EFA"/>
    <w:rsid w:val="00634F15"/>
    <w:rsid w:val="00634F57"/>
    <w:rsid w:val="00634F63"/>
    <w:rsid w:val="00634FB5"/>
    <w:rsid w:val="00634FC7"/>
    <w:rsid w:val="00634FE4"/>
    <w:rsid w:val="00634FF7"/>
    <w:rsid w:val="00635076"/>
    <w:rsid w:val="00635089"/>
    <w:rsid w:val="006350C7"/>
    <w:rsid w:val="006350D5"/>
    <w:rsid w:val="00635100"/>
    <w:rsid w:val="00635161"/>
    <w:rsid w:val="0063516D"/>
    <w:rsid w:val="00635171"/>
    <w:rsid w:val="00635260"/>
    <w:rsid w:val="00635288"/>
    <w:rsid w:val="006352AB"/>
    <w:rsid w:val="0063532F"/>
    <w:rsid w:val="0063533A"/>
    <w:rsid w:val="0063533D"/>
    <w:rsid w:val="00635350"/>
    <w:rsid w:val="00635376"/>
    <w:rsid w:val="006353CF"/>
    <w:rsid w:val="006353D8"/>
    <w:rsid w:val="00635455"/>
    <w:rsid w:val="0063548C"/>
    <w:rsid w:val="006354CA"/>
    <w:rsid w:val="00635542"/>
    <w:rsid w:val="0063554A"/>
    <w:rsid w:val="00635551"/>
    <w:rsid w:val="00635561"/>
    <w:rsid w:val="00635562"/>
    <w:rsid w:val="0063556A"/>
    <w:rsid w:val="006355AC"/>
    <w:rsid w:val="006355C7"/>
    <w:rsid w:val="006355DB"/>
    <w:rsid w:val="006355EA"/>
    <w:rsid w:val="006355F7"/>
    <w:rsid w:val="0063561E"/>
    <w:rsid w:val="0063562D"/>
    <w:rsid w:val="00635649"/>
    <w:rsid w:val="0063564B"/>
    <w:rsid w:val="00635682"/>
    <w:rsid w:val="0063569D"/>
    <w:rsid w:val="0063569F"/>
    <w:rsid w:val="006356A9"/>
    <w:rsid w:val="006356C8"/>
    <w:rsid w:val="00635717"/>
    <w:rsid w:val="00635728"/>
    <w:rsid w:val="006357BE"/>
    <w:rsid w:val="006357D4"/>
    <w:rsid w:val="00635812"/>
    <w:rsid w:val="00635827"/>
    <w:rsid w:val="00635832"/>
    <w:rsid w:val="00635834"/>
    <w:rsid w:val="0063587E"/>
    <w:rsid w:val="00635882"/>
    <w:rsid w:val="00635886"/>
    <w:rsid w:val="0063588C"/>
    <w:rsid w:val="0063589F"/>
    <w:rsid w:val="006358AA"/>
    <w:rsid w:val="006358BA"/>
    <w:rsid w:val="006358F4"/>
    <w:rsid w:val="0063597A"/>
    <w:rsid w:val="00635990"/>
    <w:rsid w:val="006359AA"/>
    <w:rsid w:val="00635A27"/>
    <w:rsid w:val="00635A2F"/>
    <w:rsid w:val="00635A5E"/>
    <w:rsid w:val="00635A91"/>
    <w:rsid w:val="00635AA6"/>
    <w:rsid w:val="00635ADF"/>
    <w:rsid w:val="00635B06"/>
    <w:rsid w:val="00635B0D"/>
    <w:rsid w:val="00635B47"/>
    <w:rsid w:val="00635B67"/>
    <w:rsid w:val="00635B84"/>
    <w:rsid w:val="00635BDF"/>
    <w:rsid w:val="00635C19"/>
    <w:rsid w:val="00635C20"/>
    <w:rsid w:val="00635C29"/>
    <w:rsid w:val="00635C34"/>
    <w:rsid w:val="00635C5A"/>
    <w:rsid w:val="00635C7E"/>
    <w:rsid w:val="00635CA2"/>
    <w:rsid w:val="00635CAD"/>
    <w:rsid w:val="00635CC5"/>
    <w:rsid w:val="00635CDF"/>
    <w:rsid w:val="00635D16"/>
    <w:rsid w:val="00635D26"/>
    <w:rsid w:val="00635D67"/>
    <w:rsid w:val="00635D6B"/>
    <w:rsid w:val="00635E35"/>
    <w:rsid w:val="00635E76"/>
    <w:rsid w:val="00635E78"/>
    <w:rsid w:val="00635E8B"/>
    <w:rsid w:val="00635EA7"/>
    <w:rsid w:val="00635EA9"/>
    <w:rsid w:val="00635EAA"/>
    <w:rsid w:val="00635EB2"/>
    <w:rsid w:val="00635F19"/>
    <w:rsid w:val="00635F1B"/>
    <w:rsid w:val="00635F39"/>
    <w:rsid w:val="00635F84"/>
    <w:rsid w:val="00635F94"/>
    <w:rsid w:val="00635FB0"/>
    <w:rsid w:val="00635FBD"/>
    <w:rsid w:val="00635FE8"/>
    <w:rsid w:val="00636020"/>
    <w:rsid w:val="00636038"/>
    <w:rsid w:val="0063607D"/>
    <w:rsid w:val="00636085"/>
    <w:rsid w:val="00636087"/>
    <w:rsid w:val="006360B6"/>
    <w:rsid w:val="006360C9"/>
    <w:rsid w:val="006360EB"/>
    <w:rsid w:val="006360EE"/>
    <w:rsid w:val="00636117"/>
    <w:rsid w:val="00636123"/>
    <w:rsid w:val="00636174"/>
    <w:rsid w:val="0063619D"/>
    <w:rsid w:val="006361B1"/>
    <w:rsid w:val="00636225"/>
    <w:rsid w:val="00636228"/>
    <w:rsid w:val="00636251"/>
    <w:rsid w:val="00636274"/>
    <w:rsid w:val="006362A6"/>
    <w:rsid w:val="006362B1"/>
    <w:rsid w:val="006362DD"/>
    <w:rsid w:val="00636323"/>
    <w:rsid w:val="00636340"/>
    <w:rsid w:val="0063637D"/>
    <w:rsid w:val="0063638B"/>
    <w:rsid w:val="0063639F"/>
    <w:rsid w:val="006363B1"/>
    <w:rsid w:val="006363BB"/>
    <w:rsid w:val="006363C8"/>
    <w:rsid w:val="00636415"/>
    <w:rsid w:val="00636436"/>
    <w:rsid w:val="0063648C"/>
    <w:rsid w:val="0063648E"/>
    <w:rsid w:val="00636493"/>
    <w:rsid w:val="00636512"/>
    <w:rsid w:val="0063651F"/>
    <w:rsid w:val="00636548"/>
    <w:rsid w:val="006365AA"/>
    <w:rsid w:val="006365B1"/>
    <w:rsid w:val="006365BE"/>
    <w:rsid w:val="006365D4"/>
    <w:rsid w:val="00636635"/>
    <w:rsid w:val="0063663D"/>
    <w:rsid w:val="00636645"/>
    <w:rsid w:val="00636678"/>
    <w:rsid w:val="00636688"/>
    <w:rsid w:val="0063668D"/>
    <w:rsid w:val="006366CB"/>
    <w:rsid w:val="006366DD"/>
    <w:rsid w:val="0063672A"/>
    <w:rsid w:val="00636749"/>
    <w:rsid w:val="00636764"/>
    <w:rsid w:val="006367F9"/>
    <w:rsid w:val="00636816"/>
    <w:rsid w:val="00636823"/>
    <w:rsid w:val="0063686F"/>
    <w:rsid w:val="0063687F"/>
    <w:rsid w:val="0063688A"/>
    <w:rsid w:val="0063688C"/>
    <w:rsid w:val="006368C7"/>
    <w:rsid w:val="0063691D"/>
    <w:rsid w:val="006369B6"/>
    <w:rsid w:val="006369D7"/>
    <w:rsid w:val="00636A06"/>
    <w:rsid w:val="00636A1D"/>
    <w:rsid w:val="00636A21"/>
    <w:rsid w:val="00636A63"/>
    <w:rsid w:val="00636A99"/>
    <w:rsid w:val="00636AD9"/>
    <w:rsid w:val="00636AE3"/>
    <w:rsid w:val="00636AFE"/>
    <w:rsid w:val="00636B1B"/>
    <w:rsid w:val="00636B1D"/>
    <w:rsid w:val="00636B27"/>
    <w:rsid w:val="00636B2F"/>
    <w:rsid w:val="00636B4A"/>
    <w:rsid w:val="00636B73"/>
    <w:rsid w:val="00636BCF"/>
    <w:rsid w:val="00636C14"/>
    <w:rsid w:val="00636C24"/>
    <w:rsid w:val="00636C33"/>
    <w:rsid w:val="00636C8A"/>
    <w:rsid w:val="00636D34"/>
    <w:rsid w:val="00636D37"/>
    <w:rsid w:val="00636D3B"/>
    <w:rsid w:val="00636D88"/>
    <w:rsid w:val="00636D90"/>
    <w:rsid w:val="00636DB8"/>
    <w:rsid w:val="00636DF8"/>
    <w:rsid w:val="00636E09"/>
    <w:rsid w:val="00636E13"/>
    <w:rsid w:val="00636E63"/>
    <w:rsid w:val="00636E84"/>
    <w:rsid w:val="00636F08"/>
    <w:rsid w:val="00636F7D"/>
    <w:rsid w:val="00636FA8"/>
    <w:rsid w:val="00636FD0"/>
    <w:rsid w:val="00636FD2"/>
    <w:rsid w:val="00637000"/>
    <w:rsid w:val="00637003"/>
    <w:rsid w:val="0063702E"/>
    <w:rsid w:val="0063702F"/>
    <w:rsid w:val="0063704F"/>
    <w:rsid w:val="00637070"/>
    <w:rsid w:val="00637092"/>
    <w:rsid w:val="006370A0"/>
    <w:rsid w:val="006370B6"/>
    <w:rsid w:val="006370C7"/>
    <w:rsid w:val="006370CC"/>
    <w:rsid w:val="00637114"/>
    <w:rsid w:val="0063713C"/>
    <w:rsid w:val="0063714F"/>
    <w:rsid w:val="00637159"/>
    <w:rsid w:val="00637167"/>
    <w:rsid w:val="0063717A"/>
    <w:rsid w:val="00637180"/>
    <w:rsid w:val="006371AA"/>
    <w:rsid w:val="00637210"/>
    <w:rsid w:val="0063723D"/>
    <w:rsid w:val="0063728B"/>
    <w:rsid w:val="00637299"/>
    <w:rsid w:val="006372B1"/>
    <w:rsid w:val="006372D1"/>
    <w:rsid w:val="00637319"/>
    <w:rsid w:val="0063731E"/>
    <w:rsid w:val="00637347"/>
    <w:rsid w:val="00637360"/>
    <w:rsid w:val="00637448"/>
    <w:rsid w:val="0063746A"/>
    <w:rsid w:val="00637486"/>
    <w:rsid w:val="006374B5"/>
    <w:rsid w:val="006374B9"/>
    <w:rsid w:val="006374BD"/>
    <w:rsid w:val="006374BF"/>
    <w:rsid w:val="00637503"/>
    <w:rsid w:val="0063750A"/>
    <w:rsid w:val="0063753B"/>
    <w:rsid w:val="0063753D"/>
    <w:rsid w:val="00637540"/>
    <w:rsid w:val="00637546"/>
    <w:rsid w:val="0063757C"/>
    <w:rsid w:val="00637584"/>
    <w:rsid w:val="006375FB"/>
    <w:rsid w:val="006376A1"/>
    <w:rsid w:val="006376B5"/>
    <w:rsid w:val="006376C5"/>
    <w:rsid w:val="006376E1"/>
    <w:rsid w:val="006376EA"/>
    <w:rsid w:val="006376ED"/>
    <w:rsid w:val="006376FE"/>
    <w:rsid w:val="00637713"/>
    <w:rsid w:val="00637717"/>
    <w:rsid w:val="00637745"/>
    <w:rsid w:val="00637752"/>
    <w:rsid w:val="00637762"/>
    <w:rsid w:val="006377A3"/>
    <w:rsid w:val="006377A4"/>
    <w:rsid w:val="006377A9"/>
    <w:rsid w:val="006377B4"/>
    <w:rsid w:val="006377D7"/>
    <w:rsid w:val="006377E5"/>
    <w:rsid w:val="006377F1"/>
    <w:rsid w:val="00637802"/>
    <w:rsid w:val="0063781C"/>
    <w:rsid w:val="0063781E"/>
    <w:rsid w:val="00637828"/>
    <w:rsid w:val="00637840"/>
    <w:rsid w:val="00637863"/>
    <w:rsid w:val="00637878"/>
    <w:rsid w:val="00637896"/>
    <w:rsid w:val="0063796A"/>
    <w:rsid w:val="006379AD"/>
    <w:rsid w:val="006379D7"/>
    <w:rsid w:val="006379DD"/>
    <w:rsid w:val="00637A3C"/>
    <w:rsid w:val="00637AC3"/>
    <w:rsid w:val="00637AE9"/>
    <w:rsid w:val="00637B16"/>
    <w:rsid w:val="00637B2B"/>
    <w:rsid w:val="00637B33"/>
    <w:rsid w:val="00637B60"/>
    <w:rsid w:val="00637B98"/>
    <w:rsid w:val="00637BAE"/>
    <w:rsid w:val="00637BC3"/>
    <w:rsid w:val="00637BF0"/>
    <w:rsid w:val="00637C02"/>
    <w:rsid w:val="00637C29"/>
    <w:rsid w:val="00637C64"/>
    <w:rsid w:val="00637C76"/>
    <w:rsid w:val="00637C77"/>
    <w:rsid w:val="00637C8E"/>
    <w:rsid w:val="00637C9D"/>
    <w:rsid w:val="00637CC3"/>
    <w:rsid w:val="00637CE2"/>
    <w:rsid w:val="00637D2C"/>
    <w:rsid w:val="00637D35"/>
    <w:rsid w:val="00637D80"/>
    <w:rsid w:val="00637D9E"/>
    <w:rsid w:val="00637DA4"/>
    <w:rsid w:val="00637DAB"/>
    <w:rsid w:val="00637DB5"/>
    <w:rsid w:val="00637E30"/>
    <w:rsid w:val="00637E35"/>
    <w:rsid w:val="00637E91"/>
    <w:rsid w:val="00637ECF"/>
    <w:rsid w:val="00637EE4"/>
    <w:rsid w:val="00637F85"/>
    <w:rsid w:val="00637F86"/>
    <w:rsid w:val="00637F8E"/>
    <w:rsid w:val="00637F95"/>
    <w:rsid w:val="00637FA6"/>
    <w:rsid w:val="00637FCC"/>
    <w:rsid w:val="00637FCD"/>
    <w:rsid w:val="00637FD9"/>
    <w:rsid w:val="00637FDE"/>
    <w:rsid w:val="0063F949"/>
    <w:rsid w:val="00640022"/>
    <w:rsid w:val="0064002E"/>
    <w:rsid w:val="0064003B"/>
    <w:rsid w:val="00640052"/>
    <w:rsid w:val="00640088"/>
    <w:rsid w:val="006400D6"/>
    <w:rsid w:val="00640109"/>
    <w:rsid w:val="0064010D"/>
    <w:rsid w:val="00640117"/>
    <w:rsid w:val="0064014C"/>
    <w:rsid w:val="0064016D"/>
    <w:rsid w:val="00640195"/>
    <w:rsid w:val="006401CA"/>
    <w:rsid w:val="006401F3"/>
    <w:rsid w:val="00640224"/>
    <w:rsid w:val="00640239"/>
    <w:rsid w:val="0064023B"/>
    <w:rsid w:val="0064028F"/>
    <w:rsid w:val="00640290"/>
    <w:rsid w:val="006402B1"/>
    <w:rsid w:val="006402BB"/>
    <w:rsid w:val="006402BF"/>
    <w:rsid w:val="006402CD"/>
    <w:rsid w:val="006402D1"/>
    <w:rsid w:val="006402D2"/>
    <w:rsid w:val="006402DF"/>
    <w:rsid w:val="00640316"/>
    <w:rsid w:val="00640339"/>
    <w:rsid w:val="00640347"/>
    <w:rsid w:val="00640353"/>
    <w:rsid w:val="00640395"/>
    <w:rsid w:val="0064039C"/>
    <w:rsid w:val="006403CC"/>
    <w:rsid w:val="006403FC"/>
    <w:rsid w:val="00640419"/>
    <w:rsid w:val="00640430"/>
    <w:rsid w:val="00640461"/>
    <w:rsid w:val="0064046A"/>
    <w:rsid w:val="00640470"/>
    <w:rsid w:val="00640471"/>
    <w:rsid w:val="0064048A"/>
    <w:rsid w:val="006404D5"/>
    <w:rsid w:val="006404F6"/>
    <w:rsid w:val="00640557"/>
    <w:rsid w:val="00640565"/>
    <w:rsid w:val="0064056C"/>
    <w:rsid w:val="00640572"/>
    <w:rsid w:val="006405A6"/>
    <w:rsid w:val="006405AF"/>
    <w:rsid w:val="006405BC"/>
    <w:rsid w:val="006405EF"/>
    <w:rsid w:val="00640622"/>
    <w:rsid w:val="0064064F"/>
    <w:rsid w:val="0064066C"/>
    <w:rsid w:val="00640680"/>
    <w:rsid w:val="00640695"/>
    <w:rsid w:val="006406A6"/>
    <w:rsid w:val="006406E7"/>
    <w:rsid w:val="006406EE"/>
    <w:rsid w:val="006406FD"/>
    <w:rsid w:val="0064074D"/>
    <w:rsid w:val="0064074E"/>
    <w:rsid w:val="0064077C"/>
    <w:rsid w:val="00640787"/>
    <w:rsid w:val="006407A2"/>
    <w:rsid w:val="00640801"/>
    <w:rsid w:val="00640861"/>
    <w:rsid w:val="006408BE"/>
    <w:rsid w:val="006408CC"/>
    <w:rsid w:val="006408D1"/>
    <w:rsid w:val="006408DC"/>
    <w:rsid w:val="0064091C"/>
    <w:rsid w:val="00640968"/>
    <w:rsid w:val="00640974"/>
    <w:rsid w:val="00640991"/>
    <w:rsid w:val="006409FA"/>
    <w:rsid w:val="00640A0B"/>
    <w:rsid w:val="00640A1F"/>
    <w:rsid w:val="00640AA6"/>
    <w:rsid w:val="00640AAD"/>
    <w:rsid w:val="00640AB9"/>
    <w:rsid w:val="00640B4B"/>
    <w:rsid w:val="00640B84"/>
    <w:rsid w:val="00640BBA"/>
    <w:rsid w:val="00640BEA"/>
    <w:rsid w:val="00640C19"/>
    <w:rsid w:val="00640C59"/>
    <w:rsid w:val="00640C60"/>
    <w:rsid w:val="00640C99"/>
    <w:rsid w:val="00640CA2"/>
    <w:rsid w:val="00640CB4"/>
    <w:rsid w:val="00640CB7"/>
    <w:rsid w:val="00640D24"/>
    <w:rsid w:val="00640D67"/>
    <w:rsid w:val="00640D7C"/>
    <w:rsid w:val="00640DB1"/>
    <w:rsid w:val="00640DB7"/>
    <w:rsid w:val="00640DC7"/>
    <w:rsid w:val="00640E0D"/>
    <w:rsid w:val="00640E45"/>
    <w:rsid w:val="00640E59"/>
    <w:rsid w:val="00640EAA"/>
    <w:rsid w:val="00640EAB"/>
    <w:rsid w:val="00640EB1"/>
    <w:rsid w:val="00640EC1"/>
    <w:rsid w:val="00640EC9"/>
    <w:rsid w:val="00640F38"/>
    <w:rsid w:val="00640F56"/>
    <w:rsid w:val="00640F58"/>
    <w:rsid w:val="00641017"/>
    <w:rsid w:val="0064106D"/>
    <w:rsid w:val="0064107E"/>
    <w:rsid w:val="0064109F"/>
    <w:rsid w:val="006410B5"/>
    <w:rsid w:val="006410E8"/>
    <w:rsid w:val="0064112D"/>
    <w:rsid w:val="00641164"/>
    <w:rsid w:val="0064116F"/>
    <w:rsid w:val="00641171"/>
    <w:rsid w:val="00641185"/>
    <w:rsid w:val="00641191"/>
    <w:rsid w:val="006411DE"/>
    <w:rsid w:val="00641235"/>
    <w:rsid w:val="00641267"/>
    <w:rsid w:val="00641280"/>
    <w:rsid w:val="00641294"/>
    <w:rsid w:val="006412E3"/>
    <w:rsid w:val="00641316"/>
    <w:rsid w:val="00641371"/>
    <w:rsid w:val="006413DA"/>
    <w:rsid w:val="006413E5"/>
    <w:rsid w:val="0064145F"/>
    <w:rsid w:val="0064146E"/>
    <w:rsid w:val="0064149A"/>
    <w:rsid w:val="006414A2"/>
    <w:rsid w:val="006414F2"/>
    <w:rsid w:val="00641514"/>
    <w:rsid w:val="00641572"/>
    <w:rsid w:val="0064159E"/>
    <w:rsid w:val="006415A6"/>
    <w:rsid w:val="006415DC"/>
    <w:rsid w:val="006415E3"/>
    <w:rsid w:val="006415F5"/>
    <w:rsid w:val="00641617"/>
    <w:rsid w:val="0064163A"/>
    <w:rsid w:val="0064163D"/>
    <w:rsid w:val="0064163F"/>
    <w:rsid w:val="0064166C"/>
    <w:rsid w:val="006416A0"/>
    <w:rsid w:val="0064172B"/>
    <w:rsid w:val="0064175E"/>
    <w:rsid w:val="00641781"/>
    <w:rsid w:val="006417BF"/>
    <w:rsid w:val="006417CC"/>
    <w:rsid w:val="006417F2"/>
    <w:rsid w:val="0064181A"/>
    <w:rsid w:val="00641827"/>
    <w:rsid w:val="0064183D"/>
    <w:rsid w:val="00641874"/>
    <w:rsid w:val="006418D6"/>
    <w:rsid w:val="006418F9"/>
    <w:rsid w:val="00641928"/>
    <w:rsid w:val="00641937"/>
    <w:rsid w:val="0064193A"/>
    <w:rsid w:val="0064196C"/>
    <w:rsid w:val="006419AB"/>
    <w:rsid w:val="006419AD"/>
    <w:rsid w:val="00641A36"/>
    <w:rsid w:val="00641A4D"/>
    <w:rsid w:val="00641A52"/>
    <w:rsid w:val="00641A5B"/>
    <w:rsid w:val="00641A5C"/>
    <w:rsid w:val="00641A5D"/>
    <w:rsid w:val="00641A6D"/>
    <w:rsid w:val="00641A83"/>
    <w:rsid w:val="00641AC6"/>
    <w:rsid w:val="00641ADD"/>
    <w:rsid w:val="00641ADF"/>
    <w:rsid w:val="00641B22"/>
    <w:rsid w:val="00641B2B"/>
    <w:rsid w:val="00641B31"/>
    <w:rsid w:val="00641B32"/>
    <w:rsid w:val="00641BAE"/>
    <w:rsid w:val="00641BF5"/>
    <w:rsid w:val="00641C59"/>
    <w:rsid w:val="00641C66"/>
    <w:rsid w:val="00641C78"/>
    <w:rsid w:val="00641C87"/>
    <w:rsid w:val="00641CBD"/>
    <w:rsid w:val="00641CD1"/>
    <w:rsid w:val="00641D04"/>
    <w:rsid w:val="00641D33"/>
    <w:rsid w:val="00641D37"/>
    <w:rsid w:val="00641D4A"/>
    <w:rsid w:val="00641D7D"/>
    <w:rsid w:val="00641DDF"/>
    <w:rsid w:val="00641E10"/>
    <w:rsid w:val="00641E21"/>
    <w:rsid w:val="00641E24"/>
    <w:rsid w:val="00641E4B"/>
    <w:rsid w:val="00641E88"/>
    <w:rsid w:val="00641EC1"/>
    <w:rsid w:val="00641ED5"/>
    <w:rsid w:val="00641EF9"/>
    <w:rsid w:val="00641F03"/>
    <w:rsid w:val="00641F16"/>
    <w:rsid w:val="00641F3F"/>
    <w:rsid w:val="00641F6B"/>
    <w:rsid w:val="00641F8B"/>
    <w:rsid w:val="00641FCB"/>
    <w:rsid w:val="00642008"/>
    <w:rsid w:val="00642026"/>
    <w:rsid w:val="00642070"/>
    <w:rsid w:val="00642085"/>
    <w:rsid w:val="0064208D"/>
    <w:rsid w:val="0064209D"/>
    <w:rsid w:val="00642189"/>
    <w:rsid w:val="006421D3"/>
    <w:rsid w:val="006421D7"/>
    <w:rsid w:val="006421FC"/>
    <w:rsid w:val="0064221F"/>
    <w:rsid w:val="00642239"/>
    <w:rsid w:val="00642245"/>
    <w:rsid w:val="0064226D"/>
    <w:rsid w:val="00642299"/>
    <w:rsid w:val="006422E8"/>
    <w:rsid w:val="00642304"/>
    <w:rsid w:val="00642334"/>
    <w:rsid w:val="006423D3"/>
    <w:rsid w:val="006423DA"/>
    <w:rsid w:val="00642401"/>
    <w:rsid w:val="0064240E"/>
    <w:rsid w:val="00642418"/>
    <w:rsid w:val="0064246A"/>
    <w:rsid w:val="00642474"/>
    <w:rsid w:val="006424C5"/>
    <w:rsid w:val="00642510"/>
    <w:rsid w:val="0064251D"/>
    <w:rsid w:val="0064254B"/>
    <w:rsid w:val="0064254F"/>
    <w:rsid w:val="00642565"/>
    <w:rsid w:val="00642576"/>
    <w:rsid w:val="006425A6"/>
    <w:rsid w:val="006425C7"/>
    <w:rsid w:val="006425FC"/>
    <w:rsid w:val="00642624"/>
    <w:rsid w:val="00642662"/>
    <w:rsid w:val="0064268A"/>
    <w:rsid w:val="0064269B"/>
    <w:rsid w:val="0064269E"/>
    <w:rsid w:val="006426D0"/>
    <w:rsid w:val="006426D8"/>
    <w:rsid w:val="006426DF"/>
    <w:rsid w:val="00642759"/>
    <w:rsid w:val="0064277D"/>
    <w:rsid w:val="0064279D"/>
    <w:rsid w:val="006427B8"/>
    <w:rsid w:val="006427DC"/>
    <w:rsid w:val="00642814"/>
    <w:rsid w:val="00642835"/>
    <w:rsid w:val="0064285D"/>
    <w:rsid w:val="00642872"/>
    <w:rsid w:val="006428DF"/>
    <w:rsid w:val="0064291D"/>
    <w:rsid w:val="00642924"/>
    <w:rsid w:val="00642950"/>
    <w:rsid w:val="0064296B"/>
    <w:rsid w:val="006429BF"/>
    <w:rsid w:val="006429C6"/>
    <w:rsid w:val="006429E7"/>
    <w:rsid w:val="00642A16"/>
    <w:rsid w:val="00642A26"/>
    <w:rsid w:val="00642A2C"/>
    <w:rsid w:val="00642A7F"/>
    <w:rsid w:val="00642AAE"/>
    <w:rsid w:val="00642AF0"/>
    <w:rsid w:val="00642B00"/>
    <w:rsid w:val="00642BB5"/>
    <w:rsid w:val="00642C0F"/>
    <w:rsid w:val="00642C11"/>
    <w:rsid w:val="00642C4B"/>
    <w:rsid w:val="00642C91"/>
    <w:rsid w:val="00642CAA"/>
    <w:rsid w:val="00642CCF"/>
    <w:rsid w:val="00642CFA"/>
    <w:rsid w:val="00642D1E"/>
    <w:rsid w:val="00642D76"/>
    <w:rsid w:val="00642DDA"/>
    <w:rsid w:val="00642E20"/>
    <w:rsid w:val="00642E88"/>
    <w:rsid w:val="00642E91"/>
    <w:rsid w:val="00642E99"/>
    <w:rsid w:val="00642E9F"/>
    <w:rsid w:val="00642F39"/>
    <w:rsid w:val="00642F5B"/>
    <w:rsid w:val="00642F5E"/>
    <w:rsid w:val="00642F78"/>
    <w:rsid w:val="00642FA2"/>
    <w:rsid w:val="0064301B"/>
    <w:rsid w:val="00643064"/>
    <w:rsid w:val="00643072"/>
    <w:rsid w:val="006430E0"/>
    <w:rsid w:val="0064310F"/>
    <w:rsid w:val="00643114"/>
    <w:rsid w:val="0064312C"/>
    <w:rsid w:val="00643153"/>
    <w:rsid w:val="0064316B"/>
    <w:rsid w:val="0064316F"/>
    <w:rsid w:val="00643174"/>
    <w:rsid w:val="00643192"/>
    <w:rsid w:val="0064324B"/>
    <w:rsid w:val="00643269"/>
    <w:rsid w:val="0064326E"/>
    <w:rsid w:val="0064329A"/>
    <w:rsid w:val="006432A9"/>
    <w:rsid w:val="006432CF"/>
    <w:rsid w:val="006432D6"/>
    <w:rsid w:val="006432DA"/>
    <w:rsid w:val="00643300"/>
    <w:rsid w:val="0064335A"/>
    <w:rsid w:val="0064335B"/>
    <w:rsid w:val="00643360"/>
    <w:rsid w:val="00643378"/>
    <w:rsid w:val="0064338F"/>
    <w:rsid w:val="006433A9"/>
    <w:rsid w:val="006433B2"/>
    <w:rsid w:val="006433BC"/>
    <w:rsid w:val="00643405"/>
    <w:rsid w:val="0064349D"/>
    <w:rsid w:val="006434A6"/>
    <w:rsid w:val="006434AD"/>
    <w:rsid w:val="006434F3"/>
    <w:rsid w:val="006434FF"/>
    <w:rsid w:val="0064351B"/>
    <w:rsid w:val="00643535"/>
    <w:rsid w:val="00643537"/>
    <w:rsid w:val="00643569"/>
    <w:rsid w:val="006435A7"/>
    <w:rsid w:val="006435F3"/>
    <w:rsid w:val="0064367D"/>
    <w:rsid w:val="006436B1"/>
    <w:rsid w:val="006436D6"/>
    <w:rsid w:val="006436EB"/>
    <w:rsid w:val="0064373B"/>
    <w:rsid w:val="0064373C"/>
    <w:rsid w:val="0064375E"/>
    <w:rsid w:val="006437AB"/>
    <w:rsid w:val="00643812"/>
    <w:rsid w:val="00643874"/>
    <w:rsid w:val="00643896"/>
    <w:rsid w:val="006438E5"/>
    <w:rsid w:val="006438ED"/>
    <w:rsid w:val="006438F7"/>
    <w:rsid w:val="00643933"/>
    <w:rsid w:val="0064393E"/>
    <w:rsid w:val="0064393F"/>
    <w:rsid w:val="00643965"/>
    <w:rsid w:val="00643993"/>
    <w:rsid w:val="00643A21"/>
    <w:rsid w:val="00643AC2"/>
    <w:rsid w:val="00643B4C"/>
    <w:rsid w:val="00643B57"/>
    <w:rsid w:val="00643B5B"/>
    <w:rsid w:val="00643B84"/>
    <w:rsid w:val="00643B96"/>
    <w:rsid w:val="00643BA5"/>
    <w:rsid w:val="00643BAB"/>
    <w:rsid w:val="00643BB3"/>
    <w:rsid w:val="00643BD3"/>
    <w:rsid w:val="00643C30"/>
    <w:rsid w:val="00643C58"/>
    <w:rsid w:val="00643C6C"/>
    <w:rsid w:val="00643C8E"/>
    <w:rsid w:val="00643CF9"/>
    <w:rsid w:val="00643D0C"/>
    <w:rsid w:val="00643D39"/>
    <w:rsid w:val="00643D9C"/>
    <w:rsid w:val="00643DA9"/>
    <w:rsid w:val="00643DC8"/>
    <w:rsid w:val="00643DFE"/>
    <w:rsid w:val="00643E1E"/>
    <w:rsid w:val="00643E38"/>
    <w:rsid w:val="00643E70"/>
    <w:rsid w:val="00643EBD"/>
    <w:rsid w:val="00643EC8"/>
    <w:rsid w:val="00643F11"/>
    <w:rsid w:val="00643F57"/>
    <w:rsid w:val="00643F6D"/>
    <w:rsid w:val="0064400D"/>
    <w:rsid w:val="0064401C"/>
    <w:rsid w:val="00644072"/>
    <w:rsid w:val="006440C5"/>
    <w:rsid w:val="006440EF"/>
    <w:rsid w:val="006441B6"/>
    <w:rsid w:val="006441C4"/>
    <w:rsid w:val="00644211"/>
    <w:rsid w:val="0064425B"/>
    <w:rsid w:val="00644264"/>
    <w:rsid w:val="006442A0"/>
    <w:rsid w:val="006442B4"/>
    <w:rsid w:val="006442EC"/>
    <w:rsid w:val="006442EE"/>
    <w:rsid w:val="006442F5"/>
    <w:rsid w:val="006442FA"/>
    <w:rsid w:val="00644315"/>
    <w:rsid w:val="0064432C"/>
    <w:rsid w:val="00644380"/>
    <w:rsid w:val="006443A0"/>
    <w:rsid w:val="0064440B"/>
    <w:rsid w:val="0064441D"/>
    <w:rsid w:val="00644428"/>
    <w:rsid w:val="0064443C"/>
    <w:rsid w:val="00644450"/>
    <w:rsid w:val="00644451"/>
    <w:rsid w:val="0064445C"/>
    <w:rsid w:val="00644486"/>
    <w:rsid w:val="006444AA"/>
    <w:rsid w:val="006444BC"/>
    <w:rsid w:val="0064450C"/>
    <w:rsid w:val="00644518"/>
    <w:rsid w:val="00644577"/>
    <w:rsid w:val="0064459D"/>
    <w:rsid w:val="00644633"/>
    <w:rsid w:val="0064468D"/>
    <w:rsid w:val="006446C9"/>
    <w:rsid w:val="006446D7"/>
    <w:rsid w:val="00644783"/>
    <w:rsid w:val="00644788"/>
    <w:rsid w:val="0064478D"/>
    <w:rsid w:val="006447B9"/>
    <w:rsid w:val="006447BB"/>
    <w:rsid w:val="006447FF"/>
    <w:rsid w:val="00644874"/>
    <w:rsid w:val="0064487D"/>
    <w:rsid w:val="0064489D"/>
    <w:rsid w:val="006448A7"/>
    <w:rsid w:val="006448DB"/>
    <w:rsid w:val="006448E6"/>
    <w:rsid w:val="00644912"/>
    <w:rsid w:val="0064492C"/>
    <w:rsid w:val="0064493F"/>
    <w:rsid w:val="00644962"/>
    <w:rsid w:val="0064498B"/>
    <w:rsid w:val="0064499B"/>
    <w:rsid w:val="006449DE"/>
    <w:rsid w:val="006449EC"/>
    <w:rsid w:val="006449FF"/>
    <w:rsid w:val="00644A1E"/>
    <w:rsid w:val="00644A3F"/>
    <w:rsid w:val="00644A5D"/>
    <w:rsid w:val="00644A94"/>
    <w:rsid w:val="00644ABA"/>
    <w:rsid w:val="00644AD6"/>
    <w:rsid w:val="00644B45"/>
    <w:rsid w:val="00644B5F"/>
    <w:rsid w:val="00644B60"/>
    <w:rsid w:val="00644B66"/>
    <w:rsid w:val="00644B75"/>
    <w:rsid w:val="00644BC0"/>
    <w:rsid w:val="00644C32"/>
    <w:rsid w:val="00644C5F"/>
    <w:rsid w:val="00644C79"/>
    <w:rsid w:val="00644CB8"/>
    <w:rsid w:val="00644D07"/>
    <w:rsid w:val="00644D87"/>
    <w:rsid w:val="00644DBE"/>
    <w:rsid w:val="00644DD4"/>
    <w:rsid w:val="00644E0A"/>
    <w:rsid w:val="00644E8C"/>
    <w:rsid w:val="00644E99"/>
    <w:rsid w:val="00644E9C"/>
    <w:rsid w:val="00644EDC"/>
    <w:rsid w:val="00644EF0"/>
    <w:rsid w:val="00644EF9"/>
    <w:rsid w:val="00644F0C"/>
    <w:rsid w:val="00644F1A"/>
    <w:rsid w:val="00644F51"/>
    <w:rsid w:val="00644F6C"/>
    <w:rsid w:val="00644F6D"/>
    <w:rsid w:val="00644F99"/>
    <w:rsid w:val="00644FAA"/>
    <w:rsid w:val="00644FCC"/>
    <w:rsid w:val="00644FD2"/>
    <w:rsid w:val="00645026"/>
    <w:rsid w:val="0064502A"/>
    <w:rsid w:val="00645091"/>
    <w:rsid w:val="006450EC"/>
    <w:rsid w:val="006450F5"/>
    <w:rsid w:val="00645103"/>
    <w:rsid w:val="0064512D"/>
    <w:rsid w:val="00645159"/>
    <w:rsid w:val="00645164"/>
    <w:rsid w:val="00645167"/>
    <w:rsid w:val="00645188"/>
    <w:rsid w:val="006451CB"/>
    <w:rsid w:val="00645215"/>
    <w:rsid w:val="0064522C"/>
    <w:rsid w:val="0064525C"/>
    <w:rsid w:val="00645261"/>
    <w:rsid w:val="00645289"/>
    <w:rsid w:val="006452A7"/>
    <w:rsid w:val="0064532B"/>
    <w:rsid w:val="00645348"/>
    <w:rsid w:val="00645379"/>
    <w:rsid w:val="0064538F"/>
    <w:rsid w:val="006453A1"/>
    <w:rsid w:val="006453B2"/>
    <w:rsid w:val="006453D1"/>
    <w:rsid w:val="006453EF"/>
    <w:rsid w:val="006453F7"/>
    <w:rsid w:val="00645413"/>
    <w:rsid w:val="00645422"/>
    <w:rsid w:val="0064543C"/>
    <w:rsid w:val="00645471"/>
    <w:rsid w:val="0064549D"/>
    <w:rsid w:val="006454AF"/>
    <w:rsid w:val="006454C1"/>
    <w:rsid w:val="006454D8"/>
    <w:rsid w:val="00645505"/>
    <w:rsid w:val="00645546"/>
    <w:rsid w:val="00645554"/>
    <w:rsid w:val="00645558"/>
    <w:rsid w:val="00645583"/>
    <w:rsid w:val="00645599"/>
    <w:rsid w:val="006455B0"/>
    <w:rsid w:val="0064563F"/>
    <w:rsid w:val="0064564D"/>
    <w:rsid w:val="006456BF"/>
    <w:rsid w:val="006456CD"/>
    <w:rsid w:val="006456D8"/>
    <w:rsid w:val="006456EC"/>
    <w:rsid w:val="0064570E"/>
    <w:rsid w:val="00645787"/>
    <w:rsid w:val="006457C5"/>
    <w:rsid w:val="006457C7"/>
    <w:rsid w:val="006457C9"/>
    <w:rsid w:val="006457DD"/>
    <w:rsid w:val="006457EC"/>
    <w:rsid w:val="00645876"/>
    <w:rsid w:val="0064589A"/>
    <w:rsid w:val="006458C9"/>
    <w:rsid w:val="0064596D"/>
    <w:rsid w:val="0064597D"/>
    <w:rsid w:val="00645982"/>
    <w:rsid w:val="00645993"/>
    <w:rsid w:val="006459B2"/>
    <w:rsid w:val="006459C4"/>
    <w:rsid w:val="006459EE"/>
    <w:rsid w:val="00645A2D"/>
    <w:rsid w:val="00645AA0"/>
    <w:rsid w:val="00645B11"/>
    <w:rsid w:val="00645B29"/>
    <w:rsid w:val="00645B31"/>
    <w:rsid w:val="00645BAD"/>
    <w:rsid w:val="00645BC6"/>
    <w:rsid w:val="00645C2B"/>
    <w:rsid w:val="00645C49"/>
    <w:rsid w:val="00645C82"/>
    <w:rsid w:val="00645C9A"/>
    <w:rsid w:val="00645C9C"/>
    <w:rsid w:val="00645D6F"/>
    <w:rsid w:val="00645D98"/>
    <w:rsid w:val="00645DB1"/>
    <w:rsid w:val="00645DBF"/>
    <w:rsid w:val="00645E18"/>
    <w:rsid w:val="00645E34"/>
    <w:rsid w:val="00645E3A"/>
    <w:rsid w:val="00645E77"/>
    <w:rsid w:val="00645EE9"/>
    <w:rsid w:val="00645F82"/>
    <w:rsid w:val="00645FB0"/>
    <w:rsid w:val="00645FB4"/>
    <w:rsid w:val="00645FE5"/>
    <w:rsid w:val="00645FEC"/>
    <w:rsid w:val="00646006"/>
    <w:rsid w:val="0064601A"/>
    <w:rsid w:val="00646064"/>
    <w:rsid w:val="0064609C"/>
    <w:rsid w:val="006460BC"/>
    <w:rsid w:val="006460C1"/>
    <w:rsid w:val="006460C5"/>
    <w:rsid w:val="0064610A"/>
    <w:rsid w:val="00646122"/>
    <w:rsid w:val="0064616B"/>
    <w:rsid w:val="00646175"/>
    <w:rsid w:val="0064619B"/>
    <w:rsid w:val="006461A6"/>
    <w:rsid w:val="006461A7"/>
    <w:rsid w:val="006461AF"/>
    <w:rsid w:val="0064620E"/>
    <w:rsid w:val="00646224"/>
    <w:rsid w:val="00646248"/>
    <w:rsid w:val="00646255"/>
    <w:rsid w:val="00646273"/>
    <w:rsid w:val="006462D4"/>
    <w:rsid w:val="006462F3"/>
    <w:rsid w:val="0064631B"/>
    <w:rsid w:val="00646320"/>
    <w:rsid w:val="00646330"/>
    <w:rsid w:val="0064633F"/>
    <w:rsid w:val="00646480"/>
    <w:rsid w:val="00646496"/>
    <w:rsid w:val="006464E5"/>
    <w:rsid w:val="006464F3"/>
    <w:rsid w:val="00646588"/>
    <w:rsid w:val="0064658F"/>
    <w:rsid w:val="006465C1"/>
    <w:rsid w:val="006465C2"/>
    <w:rsid w:val="006465DC"/>
    <w:rsid w:val="0064662B"/>
    <w:rsid w:val="00646648"/>
    <w:rsid w:val="00646654"/>
    <w:rsid w:val="0064665B"/>
    <w:rsid w:val="00646661"/>
    <w:rsid w:val="00646672"/>
    <w:rsid w:val="00646685"/>
    <w:rsid w:val="006466C8"/>
    <w:rsid w:val="00646736"/>
    <w:rsid w:val="00646737"/>
    <w:rsid w:val="0064673A"/>
    <w:rsid w:val="00646749"/>
    <w:rsid w:val="00646752"/>
    <w:rsid w:val="00646775"/>
    <w:rsid w:val="006467A8"/>
    <w:rsid w:val="006467AF"/>
    <w:rsid w:val="006467FF"/>
    <w:rsid w:val="0064681C"/>
    <w:rsid w:val="00646832"/>
    <w:rsid w:val="0064685F"/>
    <w:rsid w:val="006468D7"/>
    <w:rsid w:val="006468DE"/>
    <w:rsid w:val="00646903"/>
    <w:rsid w:val="0064691D"/>
    <w:rsid w:val="0064692A"/>
    <w:rsid w:val="00646958"/>
    <w:rsid w:val="00646973"/>
    <w:rsid w:val="00646994"/>
    <w:rsid w:val="006469A5"/>
    <w:rsid w:val="00646A1A"/>
    <w:rsid w:val="00646A25"/>
    <w:rsid w:val="00646A62"/>
    <w:rsid w:val="00646A66"/>
    <w:rsid w:val="00646AAF"/>
    <w:rsid w:val="00646ABC"/>
    <w:rsid w:val="00646B03"/>
    <w:rsid w:val="00646B4C"/>
    <w:rsid w:val="00646B66"/>
    <w:rsid w:val="00646B7C"/>
    <w:rsid w:val="00646B99"/>
    <w:rsid w:val="00646BAA"/>
    <w:rsid w:val="00646BC0"/>
    <w:rsid w:val="00646BD8"/>
    <w:rsid w:val="00646BE9"/>
    <w:rsid w:val="00646BEE"/>
    <w:rsid w:val="00646BF6"/>
    <w:rsid w:val="00646BF8"/>
    <w:rsid w:val="00646C4A"/>
    <w:rsid w:val="00646C73"/>
    <w:rsid w:val="00646C83"/>
    <w:rsid w:val="00646C94"/>
    <w:rsid w:val="00646CED"/>
    <w:rsid w:val="00646D09"/>
    <w:rsid w:val="00646D24"/>
    <w:rsid w:val="00646DAB"/>
    <w:rsid w:val="00646DCD"/>
    <w:rsid w:val="00646E05"/>
    <w:rsid w:val="00646E1D"/>
    <w:rsid w:val="00646E25"/>
    <w:rsid w:val="00646E5B"/>
    <w:rsid w:val="00646E5C"/>
    <w:rsid w:val="00646E7E"/>
    <w:rsid w:val="00646EB1"/>
    <w:rsid w:val="00646F62"/>
    <w:rsid w:val="00646F71"/>
    <w:rsid w:val="00646F80"/>
    <w:rsid w:val="00646F86"/>
    <w:rsid w:val="00646FC6"/>
    <w:rsid w:val="00646FCE"/>
    <w:rsid w:val="0064700D"/>
    <w:rsid w:val="00647015"/>
    <w:rsid w:val="00647061"/>
    <w:rsid w:val="00647085"/>
    <w:rsid w:val="0064708F"/>
    <w:rsid w:val="006470A3"/>
    <w:rsid w:val="006470BF"/>
    <w:rsid w:val="006470F9"/>
    <w:rsid w:val="00647123"/>
    <w:rsid w:val="00647126"/>
    <w:rsid w:val="00647133"/>
    <w:rsid w:val="00647178"/>
    <w:rsid w:val="00647184"/>
    <w:rsid w:val="00647189"/>
    <w:rsid w:val="006471AF"/>
    <w:rsid w:val="006471C8"/>
    <w:rsid w:val="006471C9"/>
    <w:rsid w:val="006471FA"/>
    <w:rsid w:val="0064720A"/>
    <w:rsid w:val="00647217"/>
    <w:rsid w:val="0064723B"/>
    <w:rsid w:val="00647274"/>
    <w:rsid w:val="006472CD"/>
    <w:rsid w:val="006472F7"/>
    <w:rsid w:val="00647320"/>
    <w:rsid w:val="00647345"/>
    <w:rsid w:val="00647392"/>
    <w:rsid w:val="006473A4"/>
    <w:rsid w:val="006473AC"/>
    <w:rsid w:val="006473CC"/>
    <w:rsid w:val="00647495"/>
    <w:rsid w:val="006474DC"/>
    <w:rsid w:val="00647508"/>
    <w:rsid w:val="00647526"/>
    <w:rsid w:val="00647559"/>
    <w:rsid w:val="00647579"/>
    <w:rsid w:val="0064757B"/>
    <w:rsid w:val="006475A1"/>
    <w:rsid w:val="006475A7"/>
    <w:rsid w:val="006475B5"/>
    <w:rsid w:val="006475C1"/>
    <w:rsid w:val="006475D6"/>
    <w:rsid w:val="006475FC"/>
    <w:rsid w:val="00647676"/>
    <w:rsid w:val="0064767B"/>
    <w:rsid w:val="006476B5"/>
    <w:rsid w:val="006476C7"/>
    <w:rsid w:val="0064778F"/>
    <w:rsid w:val="00647790"/>
    <w:rsid w:val="006477D4"/>
    <w:rsid w:val="0064787A"/>
    <w:rsid w:val="00647886"/>
    <w:rsid w:val="00647897"/>
    <w:rsid w:val="00647899"/>
    <w:rsid w:val="0064789B"/>
    <w:rsid w:val="006478E0"/>
    <w:rsid w:val="006478FA"/>
    <w:rsid w:val="00647911"/>
    <w:rsid w:val="0064794B"/>
    <w:rsid w:val="0064798D"/>
    <w:rsid w:val="00647A02"/>
    <w:rsid w:val="00647A40"/>
    <w:rsid w:val="00647A46"/>
    <w:rsid w:val="00647A9B"/>
    <w:rsid w:val="00647A9C"/>
    <w:rsid w:val="00647AA3"/>
    <w:rsid w:val="00647ABD"/>
    <w:rsid w:val="00647B1A"/>
    <w:rsid w:val="00647B29"/>
    <w:rsid w:val="00647B9A"/>
    <w:rsid w:val="00647B9C"/>
    <w:rsid w:val="00647BAA"/>
    <w:rsid w:val="00647C73"/>
    <w:rsid w:val="00647C90"/>
    <w:rsid w:val="00647D1F"/>
    <w:rsid w:val="00647D37"/>
    <w:rsid w:val="00647D70"/>
    <w:rsid w:val="00647D74"/>
    <w:rsid w:val="00647D89"/>
    <w:rsid w:val="00647DAA"/>
    <w:rsid w:val="00647DB6"/>
    <w:rsid w:val="00647E02"/>
    <w:rsid w:val="00647E03"/>
    <w:rsid w:val="00647E45"/>
    <w:rsid w:val="00647E4D"/>
    <w:rsid w:val="00647ECF"/>
    <w:rsid w:val="00647F04"/>
    <w:rsid w:val="00647F09"/>
    <w:rsid w:val="00647F5A"/>
    <w:rsid w:val="00647FB6"/>
    <w:rsid w:val="00647FCE"/>
    <w:rsid w:val="00650042"/>
    <w:rsid w:val="00650058"/>
    <w:rsid w:val="0065006E"/>
    <w:rsid w:val="0065007B"/>
    <w:rsid w:val="006500FA"/>
    <w:rsid w:val="0065012F"/>
    <w:rsid w:val="00650183"/>
    <w:rsid w:val="006501A6"/>
    <w:rsid w:val="006501C3"/>
    <w:rsid w:val="006501C7"/>
    <w:rsid w:val="006501CB"/>
    <w:rsid w:val="006501CD"/>
    <w:rsid w:val="006501CF"/>
    <w:rsid w:val="006501D3"/>
    <w:rsid w:val="006501E9"/>
    <w:rsid w:val="00650209"/>
    <w:rsid w:val="00650212"/>
    <w:rsid w:val="00650234"/>
    <w:rsid w:val="0065023D"/>
    <w:rsid w:val="00650250"/>
    <w:rsid w:val="00650267"/>
    <w:rsid w:val="0065026A"/>
    <w:rsid w:val="00650341"/>
    <w:rsid w:val="00650350"/>
    <w:rsid w:val="00650351"/>
    <w:rsid w:val="00650368"/>
    <w:rsid w:val="0065036C"/>
    <w:rsid w:val="0065036E"/>
    <w:rsid w:val="006503C0"/>
    <w:rsid w:val="006503C9"/>
    <w:rsid w:val="006503D2"/>
    <w:rsid w:val="0065040C"/>
    <w:rsid w:val="00650449"/>
    <w:rsid w:val="0065047B"/>
    <w:rsid w:val="00650486"/>
    <w:rsid w:val="006504B1"/>
    <w:rsid w:val="006504C9"/>
    <w:rsid w:val="00650500"/>
    <w:rsid w:val="00650515"/>
    <w:rsid w:val="00650516"/>
    <w:rsid w:val="00650519"/>
    <w:rsid w:val="00650524"/>
    <w:rsid w:val="00650530"/>
    <w:rsid w:val="00650536"/>
    <w:rsid w:val="006505AD"/>
    <w:rsid w:val="0065061C"/>
    <w:rsid w:val="00650639"/>
    <w:rsid w:val="00650683"/>
    <w:rsid w:val="00650687"/>
    <w:rsid w:val="0065069B"/>
    <w:rsid w:val="006506CA"/>
    <w:rsid w:val="006506ED"/>
    <w:rsid w:val="00650731"/>
    <w:rsid w:val="0065074B"/>
    <w:rsid w:val="0065074C"/>
    <w:rsid w:val="0065079D"/>
    <w:rsid w:val="006507AD"/>
    <w:rsid w:val="006507BE"/>
    <w:rsid w:val="0065082A"/>
    <w:rsid w:val="00650865"/>
    <w:rsid w:val="006508E9"/>
    <w:rsid w:val="006509E9"/>
    <w:rsid w:val="00650A26"/>
    <w:rsid w:val="00650A27"/>
    <w:rsid w:val="00650A6D"/>
    <w:rsid w:val="00650A89"/>
    <w:rsid w:val="00650AB4"/>
    <w:rsid w:val="00650ABA"/>
    <w:rsid w:val="00650ABF"/>
    <w:rsid w:val="00650AC7"/>
    <w:rsid w:val="00650AD0"/>
    <w:rsid w:val="00650B6C"/>
    <w:rsid w:val="00650B8D"/>
    <w:rsid w:val="00650BE7"/>
    <w:rsid w:val="00650C92"/>
    <w:rsid w:val="00650CB9"/>
    <w:rsid w:val="00650CC7"/>
    <w:rsid w:val="00650CCF"/>
    <w:rsid w:val="00650CD0"/>
    <w:rsid w:val="00650CED"/>
    <w:rsid w:val="00650D36"/>
    <w:rsid w:val="00650D60"/>
    <w:rsid w:val="00650DBF"/>
    <w:rsid w:val="00650DC8"/>
    <w:rsid w:val="00650DFF"/>
    <w:rsid w:val="00650E19"/>
    <w:rsid w:val="00650E27"/>
    <w:rsid w:val="00650E38"/>
    <w:rsid w:val="00650F01"/>
    <w:rsid w:val="00650F0B"/>
    <w:rsid w:val="00650F0C"/>
    <w:rsid w:val="00650F16"/>
    <w:rsid w:val="00650F2E"/>
    <w:rsid w:val="00650F6F"/>
    <w:rsid w:val="00650F7C"/>
    <w:rsid w:val="00650FD8"/>
    <w:rsid w:val="00650FEB"/>
    <w:rsid w:val="0065103E"/>
    <w:rsid w:val="006510BF"/>
    <w:rsid w:val="006510E6"/>
    <w:rsid w:val="006510F0"/>
    <w:rsid w:val="0065110A"/>
    <w:rsid w:val="0065111F"/>
    <w:rsid w:val="00651149"/>
    <w:rsid w:val="00651161"/>
    <w:rsid w:val="006511A1"/>
    <w:rsid w:val="006511B0"/>
    <w:rsid w:val="006511CE"/>
    <w:rsid w:val="00651204"/>
    <w:rsid w:val="00651211"/>
    <w:rsid w:val="0065121C"/>
    <w:rsid w:val="00651222"/>
    <w:rsid w:val="0065122A"/>
    <w:rsid w:val="00651240"/>
    <w:rsid w:val="00651259"/>
    <w:rsid w:val="0065127F"/>
    <w:rsid w:val="006512BE"/>
    <w:rsid w:val="006512CF"/>
    <w:rsid w:val="006512DD"/>
    <w:rsid w:val="006512EF"/>
    <w:rsid w:val="0065132D"/>
    <w:rsid w:val="00651349"/>
    <w:rsid w:val="00651375"/>
    <w:rsid w:val="00651397"/>
    <w:rsid w:val="006513B6"/>
    <w:rsid w:val="006513E3"/>
    <w:rsid w:val="00651403"/>
    <w:rsid w:val="00651427"/>
    <w:rsid w:val="00651451"/>
    <w:rsid w:val="00651478"/>
    <w:rsid w:val="006514A0"/>
    <w:rsid w:val="006514A1"/>
    <w:rsid w:val="006514EE"/>
    <w:rsid w:val="00651503"/>
    <w:rsid w:val="0065156A"/>
    <w:rsid w:val="006515CB"/>
    <w:rsid w:val="006515D2"/>
    <w:rsid w:val="006515FD"/>
    <w:rsid w:val="0065160F"/>
    <w:rsid w:val="0065162D"/>
    <w:rsid w:val="0065165C"/>
    <w:rsid w:val="00651661"/>
    <w:rsid w:val="00651679"/>
    <w:rsid w:val="006516D9"/>
    <w:rsid w:val="006516E2"/>
    <w:rsid w:val="006516FB"/>
    <w:rsid w:val="0065170B"/>
    <w:rsid w:val="00651726"/>
    <w:rsid w:val="00651748"/>
    <w:rsid w:val="00651766"/>
    <w:rsid w:val="006517A3"/>
    <w:rsid w:val="006517D3"/>
    <w:rsid w:val="006517E5"/>
    <w:rsid w:val="00651808"/>
    <w:rsid w:val="00651825"/>
    <w:rsid w:val="00651832"/>
    <w:rsid w:val="006518A6"/>
    <w:rsid w:val="006518B4"/>
    <w:rsid w:val="006518FD"/>
    <w:rsid w:val="00651942"/>
    <w:rsid w:val="006519A5"/>
    <w:rsid w:val="006519C4"/>
    <w:rsid w:val="006519CE"/>
    <w:rsid w:val="006519FB"/>
    <w:rsid w:val="00651A2B"/>
    <w:rsid w:val="00651A3B"/>
    <w:rsid w:val="00651A42"/>
    <w:rsid w:val="00651A45"/>
    <w:rsid w:val="00651A76"/>
    <w:rsid w:val="00651AD3"/>
    <w:rsid w:val="00651B12"/>
    <w:rsid w:val="00651B28"/>
    <w:rsid w:val="00651B4B"/>
    <w:rsid w:val="00651BA0"/>
    <w:rsid w:val="00651BB2"/>
    <w:rsid w:val="00651BB4"/>
    <w:rsid w:val="00651BBA"/>
    <w:rsid w:val="00651BC2"/>
    <w:rsid w:val="00651BC9"/>
    <w:rsid w:val="00651BCD"/>
    <w:rsid w:val="00651C51"/>
    <w:rsid w:val="00651C5B"/>
    <w:rsid w:val="00651C89"/>
    <w:rsid w:val="00651C99"/>
    <w:rsid w:val="00651CD8"/>
    <w:rsid w:val="00651D12"/>
    <w:rsid w:val="00651D38"/>
    <w:rsid w:val="00651D39"/>
    <w:rsid w:val="00651D43"/>
    <w:rsid w:val="00651D5D"/>
    <w:rsid w:val="00651D7A"/>
    <w:rsid w:val="00651DA5"/>
    <w:rsid w:val="00651DC7"/>
    <w:rsid w:val="00651DDB"/>
    <w:rsid w:val="00651E26"/>
    <w:rsid w:val="00651E29"/>
    <w:rsid w:val="00651E69"/>
    <w:rsid w:val="00651E7C"/>
    <w:rsid w:val="00651E8B"/>
    <w:rsid w:val="00651EAA"/>
    <w:rsid w:val="00651EF5"/>
    <w:rsid w:val="00651F26"/>
    <w:rsid w:val="00651F71"/>
    <w:rsid w:val="00651FBB"/>
    <w:rsid w:val="00652004"/>
    <w:rsid w:val="0065201E"/>
    <w:rsid w:val="0065202C"/>
    <w:rsid w:val="00652051"/>
    <w:rsid w:val="00652053"/>
    <w:rsid w:val="006520D7"/>
    <w:rsid w:val="006520E2"/>
    <w:rsid w:val="006520E4"/>
    <w:rsid w:val="00652115"/>
    <w:rsid w:val="00652220"/>
    <w:rsid w:val="0065222E"/>
    <w:rsid w:val="00652246"/>
    <w:rsid w:val="006522B3"/>
    <w:rsid w:val="006522DD"/>
    <w:rsid w:val="0065230B"/>
    <w:rsid w:val="00652381"/>
    <w:rsid w:val="00652387"/>
    <w:rsid w:val="0065238B"/>
    <w:rsid w:val="006523A0"/>
    <w:rsid w:val="006523BD"/>
    <w:rsid w:val="006523D1"/>
    <w:rsid w:val="00652483"/>
    <w:rsid w:val="00652497"/>
    <w:rsid w:val="0065251B"/>
    <w:rsid w:val="0065257D"/>
    <w:rsid w:val="0065259E"/>
    <w:rsid w:val="006525B2"/>
    <w:rsid w:val="006525EC"/>
    <w:rsid w:val="00652616"/>
    <w:rsid w:val="00652690"/>
    <w:rsid w:val="00652692"/>
    <w:rsid w:val="00652693"/>
    <w:rsid w:val="006526A0"/>
    <w:rsid w:val="006526B5"/>
    <w:rsid w:val="006526C7"/>
    <w:rsid w:val="00652709"/>
    <w:rsid w:val="00652718"/>
    <w:rsid w:val="00652721"/>
    <w:rsid w:val="00652726"/>
    <w:rsid w:val="006527A1"/>
    <w:rsid w:val="006527FB"/>
    <w:rsid w:val="0065282A"/>
    <w:rsid w:val="0065282C"/>
    <w:rsid w:val="0065285E"/>
    <w:rsid w:val="0065288C"/>
    <w:rsid w:val="006528C7"/>
    <w:rsid w:val="006528F4"/>
    <w:rsid w:val="00652939"/>
    <w:rsid w:val="0065293B"/>
    <w:rsid w:val="00652991"/>
    <w:rsid w:val="00652994"/>
    <w:rsid w:val="006529C3"/>
    <w:rsid w:val="00652A06"/>
    <w:rsid w:val="00652A0D"/>
    <w:rsid w:val="00652AAA"/>
    <w:rsid w:val="00652ABD"/>
    <w:rsid w:val="00652B3B"/>
    <w:rsid w:val="00652B6E"/>
    <w:rsid w:val="00652B89"/>
    <w:rsid w:val="00652BD7"/>
    <w:rsid w:val="00652BDD"/>
    <w:rsid w:val="00652C1D"/>
    <w:rsid w:val="00652C1E"/>
    <w:rsid w:val="00652C5C"/>
    <w:rsid w:val="00652C5D"/>
    <w:rsid w:val="00652C85"/>
    <w:rsid w:val="00652C97"/>
    <w:rsid w:val="00652CC6"/>
    <w:rsid w:val="00652CCB"/>
    <w:rsid w:val="00652CCD"/>
    <w:rsid w:val="00652CCE"/>
    <w:rsid w:val="00652CF7"/>
    <w:rsid w:val="00652D2A"/>
    <w:rsid w:val="00652D3E"/>
    <w:rsid w:val="00652D46"/>
    <w:rsid w:val="00652D5A"/>
    <w:rsid w:val="00652D67"/>
    <w:rsid w:val="00652D68"/>
    <w:rsid w:val="00652DD5"/>
    <w:rsid w:val="00652E45"/>
    <w:rsid w:val="00652E54"/>
    <w:rsid w:val="00652E6D"/>
    <w:rsid w:val="00652E7B"/>
    <w:rsid w:val="00652E9B"/>
    <w:rsid w:val="00652EB3"/>
    <w:rsid w:val="00652EEE"/>
    <w:rsid w:val="00652F22"/>
    <w:rsid w:val="00652F6A"/>
    <w:rsid w:val="00652F6D"/>
    <w:rsid w:val="00652FC2"/>
    <w:rsid w:val="00652FFC"/>
    <w:rsid w:val="0065305E"/>
    <w:rsid w:val="00653069"/>
    <w:rsid w:val="00653092"/>
    <w:rsid w:val="006530C1"/>
    <w:rsid w:val="0065312D"/>
    <w:rsid w:val="00653148"/>
    <w:rsid w:val="00653168"/>
    <w:rsid w:val="0065317E"/>
    <w:rsid w:val="0065319A"/>
    <w:rsid w:val="006531C6"/>
    <w:rsid w:val="006531FA"/>
    <w:rsid w:val="0065320C"/>
    <w:rsid w:val="0065321E"/>
    <w:rsid w:val="0065322A"/>
    <w:rsid w:val="0065322E"/>
    <w:rsid w:val="0065327F"/>
    <w:rsid w:val="006532ED"/>
    <w:rsid w:val="0065337C"/>
    <w:rsid w:val="006533A1"/>
    <w:rsid w:val="006533D4"/>
    <w:rsid w:val="00653421"/>
    <w:rsid w:val="00653483"/>
    <w:rsid w:val="006534C9"/>
    <w:rsid w:val="006534E0"/>
    <w:rsid w:val="006534E3"/>
    <w:rsid w:val="006534F5"/>
    <w:rsid w:val="00653512"/>
    <w:rsid w:val="0065354D"/>
    <w:rsid w:val="0065358C"/>
    <w:rsid w:val="006535A2"/>
    <w:rsid w:val="006535BF"/>
    <w:rsid w:val="006535D3"/>
    <w:rsid w:val="006535F6"/>
    <w:rsid w:val="006535FA"/>
    <w:rsid w:val="00653602"/>
    <w:rsid w:val="0065360B"/>
    <w:rsid w:val="0065362E"/>
    <w:rsid w:val="00653649"/>
    <w:rsid w:val="0065365F"/>
    <w:rsid w:val="0065369C"/>
    <w:rsid w:val="006536C3"/>
    <w:rsid w:val="006536D1"/>
    <w:rsid w:val="006536FC"/>
    <w:rsid w:val="006536FF"/>
    <w:rsid w:val="00653704"/>
    <w:rsid w:val="00653792"/>
    <w:rsid w:val="006537C2"/>
    <w:rsid w:val="006537ED"/>
    <w:rsid w:val="00653812"/>
    <w:rsid w:val="006538DE"/>
    <w:rsid w:val="006538FD"/>
    <w:rsid w:val="0065395D"/>
    <w:rsid w:val="00653962"/>
    <w:rsid w:val="006539B7"/>
    <w:rsid w:val="006539C3"/>
    <w:rsid w:val="00653A2C"/>
    <w:rsid w:val="00653A48"/>
    <w:rsid w:val="00653A73"/>
    <w:rsid w:val="00653AAA"/>
    <w:rsid w:val="00653AEB"/>
    <w:rsid w:val="00653B76"/>
    <w:rsid w:val="00653B79"/>
    <w:rsid w:val="00653B7C"/>
    <w:rsid w:val="00653BBE"/>
    <w:rsid w:val="00653BF8"/>
    <w:rsid w:val="00653C21"/>
    <w:rsid w:val="00653C56"/>
    <w:rsid w:val="00653C81"/>
    <w:rsid w:val="00653C93"/>
    <w:rsid w:val="00653C9C"/>
    <w:rsid w:val="00653CCD"/>
    <w:rsid w:val="00653D01"/>
    <w:rsid w:val="00653D12"/>
    <w:rsid w:val="00653D1D"/>
    <w:rsid w:val="00653D38"/>
    <w:rsid w:val="00653D52"/>
    <w:rsid w:val="00653D78"/>
    <w:rsid w:val="00653DE1"/>
    <w:rsid w:val="00653DFA"/>
    <w:rsid w:val="00653E0B"/>
    <w:rsid w:val="00653E38"/>
    <w:rsid w:val="00653E3C"/>
    <w:rsid w:val="00653E4B"/>
    <w:rsid w:val="00653E54"/>
    <w:rsid w:val="00653E5B"/>
    <w:rsid w:val="00653E75"/>
    <w:rsid w:val="00653E82"/>
    <w:rsid w:val="00653E84"/>
    <w:rsid w:val="00653F17"/>
    <w:rsid w:val="00653F23"/>
    <w:rsid w:val="00653F5A"/>
    <w:rsid w:val="00653F6A"/>
    <w:rsid w:val="00653FB3"/>
    <w:rsid w:val="00653FD9"/>
    <w:rsid w:val="00654000"/>
    <w:rsid w:val="0065400B"/>
    <w:rsid w:val="00654016"/>
    <w:rsid w:val="0065402D"/>
    <w:rsid w:val="00654052"/>
    <w:rsid w:val="00654059"/>
    <w:rsid w:val="00654067"/>
    <w:rsid w:val="0065406C"/>
    <w:rsid w:val="006540E4"/>
    <w:rsid w:val="006540E6"/>
    <w:rsid w:val="006540F8"/>
    <w:rsid w:val="006540FB"/>
    <w:rsid w:val="00654112"/>
    <w:rsid w:val="00654127"/>
    <w:rsid w:val="0065415B"/>
    <w:rsid w:val="0065417B"/>
    <w:rsid w:val="00654188"/>
    <w:rsid w:val="006541E4"/>
    <w:rsid w:val="00654225"/>
    <w:rsid w:val="00654231"/>
    <w:rsid w:val="00654253"/>
    <w:rsid w:val="00654258"/>
    <w:rsid w:val="0065425D"/>
    <w:rsid w:val="0065427B"/>
    <w:rsid w:val="00654312"/>
    <w:rsid w:val="00654352"/>
    <w:rsid w:val="006543D0"/>
    <w:rsid w:val="0065445E"/>
    <w:rsid w:val="00654494"/>
    <w:rsid w:val="00654495"/>
    <w:rsid w:val="006544A1"/>
    <w:rsid w:val="006544AC"/>
    <w:rsid w:val="006544AF"/>
    <w:rsid w:val="006544C6"/>
    <w:rsid w:val="00654510"/>
    <w:rsid w:val="00654555"/>
    <w:rsid w:val="0065455B"/>
    <w:rsid w:val="0065456A"/>
    <w:rsid w:val="006545FB"/>
    <w:rsid w:val="00654648"/>
    <w:rsid w:val="0065464A"/>
    <w:rsid w:val="0065465E"/>
    <w:rsid w:val="00654675"/>
    <w:rsid w:val="00654697"/>
    <w:rsid w:val="006546A7"/>
    <w:rsid w:val="006546F7"/>
    <w:rsid w:val="00654749"/>
    <w:rsid w:val="006547AF"/>
    <w:rsid w:val="006547DF"/>
    <w:rsid w:val="006547F3"/>
    <w:rsid w:val="00654830"/>
    <w:rsid w:val="00654847"/>
    <w:rsid w:val="0065487C"/>
    <w:rsid w:val="006548B9"/>
    <w:rsid w:val="00654961"/>
    <w:rsid w:val="0065497A"/>
    <w:rsid w:val="0065498B"/>
    <w:rsid w:val="00654993"/>
    <w:rsid w:val="00654996"/>
    <w:rsid w:val="006549AF"/>
    <w:rsid w:val="006549E3"/>
    <w:rsid w:val="00654A19"/>
    <w:rsid w:val="00654A1D"/>
    <w:rsid w:val="00654A39"/>
    <w:rsid w:val="00654A46"/>
    <w:rsid w:val="00654A4B"/>
    <w:rsid w:val="00654A8E"/>
    <w:rsid w:val="00654AF4"/>
    <w:rsid w:val="00654B37"/>
    <w:rsid w:val="00654BF8"/>
    <w:rsid w:val="00654BF9"/>
    <w:rsid w:val="00654C2D"/>
    <w:rsid w:val="00654C62"/>
    <w:rsid w:val="00654C6A"/>
    <w:rsid w:val="00654C81"/>
    <w:rsid w:val="00654CD3"/>
    <w:rsid w:val="00654CE0"/>
    <w:rsid w:val="00654D5B"/>
    <w:rsid w:val="00654D63"/>
    <w:rsid w:val="00654D95"/>
    <w:rsid w:val="00654DB1"/>
    <w:rsid w:val="00654DE4"/>
    <w:rsid w:val="00654E1E"/>
    <w:rsid w:val="00654E3E"/>
    <w:rsid w:val="00654E44"/>
    <w:rsid w:val="00654E4D"/>
    <w:rsid w:val="00654E5A"/>
    <w:rsid w:val="00654EEB"/>
    <w:rsid w:val="00654F3F"/>
    <w:rsid w:val="00654F41"/>
    <w:rsid w:val="00654F71"/>
    <w:rsid w:val="00654FA5"/>
    <w:rsid w:val="00654FC5"/>
    <w:rsid w:val="00654FD0"/>
    <w:rsid w:val="00654FD1"/>
    <w:rsid w:val="00654FD2"/>
    <w:rsid w:val="00654FEC"/>
    <w:rsid w:val="00654FEE"/>
    <w:rsid w:val="00655017"/>
    <w:rsid w:val="00655019"/>
    <w:rsid w:val="0065501F"/>
    <w:rsid w:val="0065505A"/>
    <w:rsid w:val="006550E4"/>
    <w:rsid w:val="0065510A"/>
    <w:rsid w:val="0065511C"/>
    <w:rsid w:val="00655122"/>
    <w:rsid w:val="00655134"/>
    <w:rsid w:val="0065515E"/>
    <w:rsid w:val="0065519A"/>
    <w:rsid w:val="006551AD"/>
    <w:rsid w:val="006551B5"/>
    <w:rsid w:val="006551C3"/>
    <w:rsid w:val="006551DB"/>
    <w:rsid w:val="006551E0"/>
    <w:rsid w:val="006551F0"/>
    <w:rsid w:val="00655216"/>
    <w:rsid w:val="00655221"/>
    <w:rsid w:val="00655287"/>
    <w:rsid w:val="00655291"/>
    <w:rsid w:val="00655299"/>
    <w:rsid w:val="006552A5"/>
    <w:rsid w:val="006552D9"/>
    <w:rsid w:val="006552DD"/>
    <w:rsid w:val="0065530B"/>
    <w:rsid w:val="0065530F"/>
    <w:rsid w:val="00655335"/>
    <w:rsid w:val="00655336"/>
    <w:rsid w:val="00655377"/>
    <w:rsid w:val="0065537F"/>
    <w:rsid w:val="00655382"/>
    <w:rsid w:val="006553DE"/>
    <w:rsid w:val="0065547D"/>
    <w:rsid w:val="00655489"/>
    <w:rsid w:val="006554EB"/>
    <w:rsid w:val="00655544"/>
    <w:rsid w:val="0065557E"/>
    <w:rsid w:val="00655590"/>
    <w:rsid w:val="00655657"/>
    <w:rsid w:val="00655720"/>
    <w:rsid w:val="00655749"/>
    <w:rsid w:val="0065575A"/>
    <w:rsid w:val="0065575E"/>
    <w:rsid w:val="0065576E"/>
    <w:rsid w:val="0065579F"/>
    <w:rsid w:val="006557AC"/>
    <w:rsid w:val="006557AE"/>
    <w:rsid w:val="006557E8"/>
    <w:rsid w:val="006557F7"/>
    <w:rsid w:val="00655876"/>
    <w:rsid w:val="00655878"/>
    <w:rsid w:val="00655889"/>
    <w:rsid w:val="00655893"/>
    <w:rsid w:val="006558B2"/>
    <w:rsid w:val="006558B4"/>
    <w:rsid w:val="006558EA"/>
    <w:rsid w:val="006558F1"/>
    <w:rsid w:val="0065590A"/>
    <w:rsid w:val="0065590E"/>
    <w:rsid w:val="00655938"/>
    <w:rsid w:val="0065595C"/>
    <w:rsid w:val="00655972"/>
    <w:rsid w:val="00655993"/>
    <w:rsid w:val="006559FF"/>
    <w:rsid w:val="00655A07"/>
    <w:rsid w:val="00655A1C"/>
    <w:rsid w:val="00655A24"/>
    <w:rsid w:val="00655A55"/>
    <w:rsid w:val="00655AAE"/>
    <w:rsid w:val="00655AB7"/>
    <w:rsid w:val="00655ADC"/>
    <w:rsid w:val="00655AF5"/>
    <w:rsid w:val="00655AFC"/>
    <w:rsid w:val="00655B2D"/>
    <w:rsid w:val="00655B4C"/>
    <w:rsid w:val="00655BCC"/>
    <w:rsid w:val="00655BE2"/>
    <w:rsid w:val="00655C49"/>
    <w:rsid w:val="00655C4F"/>
    <w:rsid w:val="00655C7F"/>
    <w:rsid w:val="00655CC8"/>
    <w:rsid w:val="00655D08"/>
    <w:rsid w:val="00655D67"/>
    <w:rsid w:val="00655D6F"/>
    <w:rsid w:val="00655D70"/>
    <w:rsid w:val="00655D81"/>
    <w:rsid w:val="00655D8D"/>
    <w:rsid w:val="00655D91"/>
    <w:rsid w:val="00655DA3"/>
    <w:rsid w:val="00655DA8"/>
    <w:rsid w:val="00655DB2"/>
    <w:rsid w:val="00655DB6"/>
    <w:rsid w:val="00655DD9"/>
    <w:rsid w:val="00655DF7"/>
    <w:rsid w:val="00655EBE"/>
    <w:rsid w:val="00655EE0"/>
    <w:rsid w:val="00655F51"/>
    <w:rsid w:val="00655F5B"/>
    <w:rsid w:val="0065601E"/>
    <w:rsid w:val="00656033"/>
    <w:rsid w:val="00656064"/>
    <w:rsid w:val="00656086"/>
    <w:rsid w:val="00656089"/>
    <w:rsid w:val="00656099"/>
    <w:rsid w:val="006560B2"/>
    <w:rsid w:val="006560B9"/>
    <w:rsid w:val="006560BB"/>
    <w:rsid w:val="006560BE"/>
    <w:rsid w:val="006560D9"/>
    <w:rsid w:val="006560E4"/>
    <w:rsid w:val="006560EB"/>
    <w:rsid w:val="00656179"/>
    <w:rsid w:val="006561C2"/>
    <w:rsid w:val="006561CB"/>
    <w:rsid w:val="006561CC"/>
    <w:rsid w:val="006561E2"/>
    <w:rsid w:val="006561FB"/>
    <w:rsid w:val="00656204"/>
    <w:rsid w:val="0065620F"/>
    <w:rsid w:val="0065621B"/>
    <w:rsid w:val="00656259"/>
    <w:rsid w:val="00656283"/>
    <w:rsid w:val="0065628F"/>
    <w:rsid w:val="00656292"/>
    <w:rsid w:val="0065629B"/>
    <w:rsid w:val="006562D3"/>
    <w:rsid w:val="0065636F"/>
    <w:rsid w:val="006563C1"/>
    <w:rsid w:val="00656419"/>
    <w:rsid w:val="00656420"/>
    <w:rsid w:val="0065642D"/>
    <w:rsid w:val="0065649B"/>
    <w:rsid w:val="006564FE"/>
    <w:rsid w:val="00656503"/>
    <w:rsid w:val="0065654A"/>
    <w:rsid w:val="00656586"/>
    <w:rsid w:val="00656599"/>
    <w:rsid w:val="00656621"/>
    <w:rsid w:val="0065668F"/>
    <w:rsid w:val="00656724"/>
    <w:rsid w:val="00656752"/>
    <w:rsid w:val="00656774"/>
    <w:rsid w:val="0065678E"/>
    <w:rsid w:val="0065679E"/>
    <w:rsid w:val="006567DA"/>
    <w:rsid w:val="00656855"/>
    <w:rsid w:val="00656893"/>
    <w:rsid w:val="006568BA"/>
    <w:rsid w:val="006568C1"/>
    <w:rsid w:val="006568C4"/>
    <w:rsid w:val="00656907"/>
    <w:rsid w:val="00656941"/>
    <w:rsid w:val="006569BE"/>
    <w:rsid w:val="006569DE"/>
    <w:rsid w:val="00656A16"/>
    <w:rsid w:val="00656A35"/>
    <w:rsid w:val="00656AB3"/>
    <w:rsid w:val="00656AC4"/>
    <w:rsid w:val="00656AEF"/>
    <w:rsid w:val="00656AF1"/>
    <w:rsid w:val="00656B34"/>
    <w:rsid w:val="00656B60"/>
    <w:rsid w:val="00656BCC"/>
    <w:rsid w:val="00656BE7"/>
    <w:rsid w:val="00656C0A"/>
    <w:rsid w:val="00656C11"/>
    <w:rsid w:val="00656C1A"/>
    <w:rsid w:val="00656C2D"/>
    <w:rsid w:val="00656C43"/>
    <w:rsid w:val="00656C4E"/>
    <w:rsid w:val="00656C63"/>
    <w:rsid w:val="00656CE9"/>
    <w:rsid w:val="00656D27"/>
    <w:rsid w:val="00656D72"/>
    <w:rsid w:val="00656D7A"/>
    <w:rsid w:val="00656D9C"/>
    <w:rsid w:val="00656DA9"/>
    <w:rsid w:val="00656DAB"/>
    <w:rsid w:val="00656DBF"/>
    <w:rsid w:val="00656DD5"/>
    <w:rsid w:val="00656DDD"/>
    <w:rsid w:val="00656E14"/>
    <w:rsid w:val="00656E3B"/>
    <w:rsid w:val="00656E5E"/>
    <w:rsid w:val="00656E74"/>
    <w:rsid w:val="00656E81"/>
    <w:rsid w:val="00656EB4"/>
    <w:rsid w:val="00656EEB"/>
    <w:rsid w:val="00656F52"/>
    <w:rsid w:val="00656F59"/>
    <w:rsid w:val="00656FA4"/>
    <w:rsid w:val="00656FD8"/>
    <w:rsid w:val="00656FE7"/>
    <w:rsid w:val="00656FFE"/>
    <w:rsid w:val="00657012"/>
    <w:rsid w:val="00657028"/>
    <w:rsid w:val="0065703C"/>
    <w:rsid w:val="0065706B"/>
    <w:rsid w:val="0065708D"/>
    <w:rsid w:val="0065711C"/>
    <w:rsid w:val="006571B2"/>
    <w:rsid w:val="006571D5"/>
    <w:rsid w:val="006571E9"/>
    <w:rsid w:val="0065724E"/>
    <w:rsid w:val="00657290"/>
    <w:rsid w:val="006572A6"/>
    <w:rsid w:val="006572D1"/>
    <w:rsid w:val="006572D9"/>
    <w:rsid w:val="006572E0"/>
    <w:rsid w:val="006572E1"/>
    <w:rsid w:val="00657313"/>
    <w:rsid w:val="00657315"/>
    <w:rsid w:val="0065732F"/>
    <w:rsid w:val="00657355"/>
    <w:rsid w:val="0065735D"/>
    <w:rsid w:val="00657398"/>
    <w:rsid w:val="006573D9"/>
    <w:rsid w:val="006573F5"/>
    <w:rsid w:val="006573F6"/>
    <w:rsid w:val="0065746D"/>
    <w:rsid w:val="0065746E"/>
    <w:rsid w:val="006574AE"/>
    <w:rsid w:val="0065755F"/>
    <w:rsid w:val="00657565"/>
    <w:rsid w:val="0065757C"/>
    <w:rsid w:val="006575B1"/>
    <w:rsid w:val="006575D7"/>
    <w:rsid w:val="006575D8"/>
    <w:rsid w:val="006575F9"/>
    <w:rsid w:val="00657654"/>
    <w:rsid w:val="0065766F"/>
    <w:rsid w:val="00657692"/>
    <w:rsid w:val="00657694"/>
    <w:rsid w:val="006576A3"/>
    <w:rsid w:val="006576E0"/>
    <w:rsid w:val="006576E1"/>
    <w:rsid w:val="006576F6"/>
    <w:rsid w:val="006576FB"/>
    <w:rsid w:val="00657714"/>
    <w:rsid w:val="0065771F"/>
    <w:rsid w:val="0065777A"/>
    <w:rsid w:val="006577A5"/>
    <w:rsid w:val="006577C6"/>
    <w:rsid w:val="00657800"/>
    <w:rsid w:val="006578E5"/>
    <w:rsid w:val="00657912"/>
    <w:rsid w:val="0065794F"/>
    <w:rsid w:val="0065796C"/>
    <w:rsid w:val="00657995"/>
    <w:rsid w:val="006579E9"/>
    <w:rsid w:val="00657A0D"/>
    <w:rsid w:val="00657A28"/>
    <w:rsid w:val="00657A3A"/>
    <w:rsid w:val="00657AC0"/>
    <w:rsid w:val="00657AE5"/>
    <w:rsid w:val="00657AF1"/>
    <w:rsid w:val="00657B0B"/>
    <w:rsid w:val="00657B14"/>
    <w:rsid w:val="00657B4F"/>
    <w:rsid w:val="00657B9B"/>
    <w:rsid w:val="00657BB5"/>
    <w:rsid w:val="00657BF4"/>
    <w:rsid w:val="00657C03"/>
    <w:rsid w:val="00657C3C"/>
    <w:rsid w:val="00657C72"/>
    <w:rsid w:val="00657C92"/>
    <w:rsid w:val="00657C9E"/>
    <w:rsid w:val="00657CAF"/>
    <w:rsid w:val="00657CB7"/>
    <w:rsid w:val="00657CBE"/>
    <w:rsid w:val="00657D31"/>
    <w:rsid w:val="00657D4C"/>
    <w:rsid w:val="00657D9F"/>
    <w:rsid w:val="00657DB8"/>
    <w:rsid w:val="00657DC7"/>
    <w:rsid w:val="00657DE1"/>
    <w:rsid w:val="00657E06"/>
    <w:rsid w:val="00657E46"/>
    <w:rsid w:val="00657E56"/>
    <w:rsid w:val="00657E63"/>
    <w:rsid w:val="00657E84"/>
    <w:rsid w:val="00657EF5"/>
    <w:rsid w:val="00657F1E"/>
    <w:rsid w:val="00657F4D"/>
    <w:rsid w:val="00657F85"/>
    <w:rsid w:val="00657FA2"/>
    <w:rsid w:val="00657FA7"/>
    <w:rsid w:val="00657FBF"/>
    <w:rsid w:val="00660025"/>
    <w:rsid w:val="0066002E"/>
    <w:rsid w:val="00660055"/>
    <w:rsid w:val="0066008C"/>
    <w:rsid w:val="006600B2"/>
    <w:rsid w:val="006600DE"/>
    <w:rsid w:val="006600E3"/>
    <w:rsid w:val="00660145"/>
    <w:rsid w:val="006601B9"/>
    <w:rsid w:val="006601EE"/>
    <w:rsid w:val="00660293"/>
    <w:rsid w:val="006602B5"/>
    <w:rsid w:val="006602C1"/>
    <w:rsid w:val="00660319"/>
    <w:rsid w:val="00660324"/>
    <w:rsid w:val="0066033D"/>
    <w:rsid w:val="0066033F"/>
    <w:rsid w:val="00660366"/>
    <w:rsid w:val="0066036B"/>
    <w:rsid w:val="0066036C"/>
    <w:rsid w:val="006603B7"/>
    <w:rsid w:val="006603C8"/>
    <w:rsid w:val="006603D5"/>
    <w:rsid w:val="006603E1"/>
    <w:rsid w:val="00660446"/>
    <w:rsid w:val="00660448"/>
    <w:rsid w:val="0066044B"/>
    <w:rsid w:val="00660477"/>
    <w:rsid w:val="006604A3"/>
    <w:rsid w:val="006604BF"/>
    <w:rsid w:val="006604D0"/>
    <w:rsid w:val="006604D3"/>
    <w:rsid w:val="00660534"/>
    <w:rsid w:val="00660554"/>
    <w:rsid w:val="00660586"/>
    <w:rsid w:val="00660593"/>
    <w:rsid w:val="00660598"/>
    <w:rsid w:val="006605A3"/>
    <w:rsid w:val="006605B6"/>
    <w:rsid w:val="006605D3"/>
    <w:rsid w:val="0066060A"/>
    <w:rsid w:val="00660630"/>
    <w:rsid w:val="00660645"/>
    <w:rsid w:val="00660652"/>
    <w:rsid w:val="00660689"/>
    <w:rsid w:val="006606AE"/>
    <w:rsid w:val="006606B3"/>
    <w:rsid w:val="006606E1"/>
    <w:rsid w:val="0066071A"/>
    <w:rsid w:val="00660740"/>
    <w:rsid w:val="00660747"/>
    <w:rsid w:val="006607A3"/>
    <w:rsid w:val="006607DE"/>
    <w:rsid w:val="00660804"/>
    <w:rsid w:val="00660828"/>
    <w:rsid w:val="00660836"/>
    <w:rsid w:val="00660850"/>
    <w:rsid w:val="00660858"/>
    <w:rsid w:val="0066086A"/>
    <w:rsid w:val="0066086F"/>
    <w:rsid w:val="00660872"/>
    <w:rsid w:val="006608EE"/>
    <w:rsid w:val="00660911"/>
    <w:rsid w:val="0066092B"/>
    <w:rsid w:val="00660941"/>
    <w:rsid w:val="00660977"/>
    <w:rsid w:val="006609E2"/>
    <w:rsid w:val="00660A10"/>
    <w:rsid w:val="00660A5A"/>
    <w:rsid w:val="00660A8D"/>
    <w:rsid w:val="00660AB0"/>
    <w:rsid w:val="00660AC6"/>
    <w:rsid w:val="00660B7D"/>
    <w:rsid w:val="00660B8A"/>
    <w:rsid w:val="00660B98"/>
    <w:rsid w:val="00660BAB"/>
    <w:rsid w:val="00660BB4"/>
    <w:rsid w:val="00660BBC"/>
    <w:rsid w:val="00660BEE"/>
    <w:rsid w:val="00660BF8"/>
    <w:rsid w:val="00660BFF"/>
    <w:rsid w:val="00660C30"/>
    <w:rsid w:val="00660C38"/>
    <w:rsid w:val="00660CC0"/>
    <w:rsid w:val="00660CC2"/>
    <w:rsid w:val="00660D63"/>
    <w:rsid w:val="00660DBF"/>
    <w:rsid w:val="00660DDA"/>
    <w:rsid w:val="00660E09"/>
    <w:rsid w:val="00660E7F"/>
    <w:rsid w:val="00660ECC"/>
    <w:rsid w:val="00660ED0"/>
    <w:rsid w:val="00660F3B"/>
    <w:rsid w:val="00660F55"/>
    <w:rsid w:val="00660F69"/>
    <w:rsid w:val="00660F73"/>
    <w:rsid w:val="00660F7A"/>
    <w:rsid w:val="0066103B"/>
    <w:rsid w:val="0066103D"/>
    <w:rsid w:val="00661061"/>
    <w:rsid w:val="00661067"/>
    <w:rsid w:val="006610C6"/>
    <w:rsid w:val="006610D9"/>
    <w:rsid w:val="00661169"/>
    <w:rsid w:val="00661193"/>
    <w:rsid w:val="006611A5"/>
    <w:rsid w:val="006611DC"/>
    <w:rsid w:val="006611EA"/>
    <w:rsid w:val="0066121D"/>
    <w:rsid w:val="00661225"/>
    <w:rsid w:val="0066129A"/>
    <w:rsid w:val="006612A3"/>
    <w:rsid w:val="006612AE"/>
    <w:rsid w:val="006612AF"/>
    <w:rsid w:val="006612FD"/>
    <w:rsid w:val="0066130A"/>
    <w:rsid w:val="0066133E"/>
    <w:rsid w:val="00661372"/>
    <w:rsid w:val="00661379"/>
    <w:rsid w:val="00661388"/>
    <w:rsid w:val="0066138E"/>
    <w:rsid w:val="006613C0"/>
    <w:rsid w:val="006613E4"/>
    <w:rsid w:val="006613EF"/>
    <w:rsid w:val="0066141C"/>
    <w:rsid w:val="00661467"/>
    <w:rsid w:val="00661535"/>
    <w:rsid w:val="00661564"/>
    <w:rsid w:val="00661571"/>
    <w:rsid w:val="006615E9"/>
    <w:rsid w:val="0066160C"/>
    <w:rsid w:val="00661616"/>
    <w:rsid w:val="0066162F"/>
    <w:rsid w:val="00661649"/>
    <w:rsid w:val="00661676"/>
    <w:rsid w:val="006616AA"/>
    <w:rsid w:val="006616BB"/>
    <w:rsid w:val="00661712"/>
    <w:rsid w:val="00661723"/>
    <w:rsid w:val="0066175A"/>
    <w:rsid w:val="00661767"/>
    <w:rsid w:val="0066178F"/>
    <w:rsid w:val="006617A3"/>
    <w:rsid w:val="006617FE"/>
    <w:rsid w:val="00661841"/>
    <w:rsid w:val="00661855"/>
    <w:rsid w:val="006618F0"/>
    <w:rsid w:val="0066190B"/>
    <w:rsid w:val="0066192D"/>
    <w:rsid w:val="00661938"/>
    <w:rsid w:val="00661941"/>
    <w:rsid w:val="006619CC"/>
    <w:rsid w:val="006619E0"/>
    <w:rsid w:val="00661A03"/>
    <w:rsid w:val="00661A1F"/>
    <w:rsid w:val="00661A24"/>
    <w:rsid w:val="00661A32"/>
    <w:rsid w:val="00661A4D"/>
    <w:rsid w:val="00661A8C"/>
    <w:rsid w:val="00661A94"/>
    <w:rsid w:val="00661B00"/>
    <w:rsid w:val="00661B36"/>
    <w:rsid w:val="00661B7D"/>
    <w:rsid w:val="00661BDB"/>
    <w:rsid w:val="00661C84"/>
    <w:rsid w:val="00661CDB"/>
    <w:rsid w:val="00661D62"/>
    <w:rsid w:val="00661DA0"/>
    <w:rsid w:val="00661DA3"/>
    <w:rsid w:val="00661DB2"/>
    <w:rsid w:val="00661DB8"/>
    <w:rsid w:val="00661DC9"/>
    <w:rsid w:val="00661DF4"/>
    <w:rsid w:val="00661E03"/>
    <w:rsid w:val="00661E29"/>
    <w:rsid w:val="00661E42"/>
    <w:rsid w:val="00661E4F"/>
    <w:rsid w:val="00661E6E"/>
    <w:rsid w:val="00661E8C"/>
    <w:rsid w:val="00661E90"/>
    <w:rsid w:val="00661EB6"/>
    <w:rsid w:val="00661EE2"/>
    <w:rsid w:val="00661EE7"/>
    <w:rsid w:val="00661F14"/>
    <w:rsid w:val="00661F17"/>
    <w:rsid w:val="00661F84"/>
    <w:rsid w:val="00661F9A"/>
    <w:rsid w:val="00662007"/>
    <w:rsid w:val="0066201B"/>
    <w:rsid w:val="00662049"/>
    <w:rsid w:val="00662060"/>
    <w:rsid w:val="00662061"/>
    <w:rsid w:val="00662074"/>
    <w:rsid w:val="00662076"/>
    <w:rsid w:val="00662097"/>
    <w:rsid w:val="006620D2"/>
    <w:rsid w:val="006620FA"/>
    <w:rsid w:val="006620FD"/>
    <w:rsid w:val="0066210E"/>
    <w:rsid w:val="00662118"/>
    <w:rsid w:val="00662148"/>
    <w:rsid w:val="006621B0"/>
    <w:rsid w:val="006621BE"/>
    <w:rsid w:val="006621FD"/>
    <w:rsid w:val="00662240"/>
    <w:rsid w:val="00662242"/>
    <w:rsid w:val="00662257"/>
    <w:rsid w:val="0066226B"/>
    <w:rsid w:val="00662295"/>
    <w:rsid w:val="006622B8"/>
    <w:rsid w:val="006622B9"/>
    <w:rsid w:val="006622CD"/>
    <w:rsid w:val="006622F4"/>
    <w:rsid w:val="00662320"/>
    <w:rsid w:val="00662342"/>
    <w:rsid w:val="0066236B"/>
    <w:rsid w:val="006623A1"/>
    <w:rsid w:val="006623CF"/>
    <w:rsid w:val="006623D2"/>
    <w:rsid w:val="006623FF"/>
    <w:rsid w:val="00662421"/>
    <w:rsid w:val="0066246F"/>
    <w:rsid w:val="0066248B"/>
    <w:rsid w:val="0066249B"/>
    <w:rsid w:val="006624C2"/>
    <w:rsid w:val="00662524"/>
    <w:rsid w:val="00662549"/>
    <w:rsid w:val="0066256B"/>
    <w:rsid w:val="00662585"/>
    <w:rsid w:val="006625D5"/>
    <w:rsid w:val="006625F3"/>
    <w:rsid w:val="00662613"/>
    <w:rsid w:val="0066269F"/>
    <w:rsid w:val="006626B1"/>
    <w:rsid w:val="006626B7"/>
    <w:rsid w:val="006626C6"/>
    <w:rsid w:val="006626DB"/>
    <w:rsid w:val="006626ED"/>
    <w:rsid w:val="00662718"/>
    <w:rsid w:val="0066277E"/>
    <w:rsid w:val="00662799"/>
    <w:rsid w:val="006627D8"/>
    <w:rsid w:val="006627E6"/>
    <w:rsid w:val="006627FF"/>
    <w:rsid w:val="0066282A"/>
    <w:rsid w:val="00662830"/>
    <w:rsid w:val="0066286F"/>
    <w:rsid w:val="006628A5"/>
    <w:rsid w:val="006628A8"/>
    <w:rsid w:val="006628EB"/>
    <w:rsid w:val="006628F1"/>
    <w:rsid w:val="006628FA"/>
    <w:rsid w:val="00662919"/>
    <w:rsid w:val="0066293A"/>
    <w:rsid w:val="00662987"/>
    <w:rsid w:val="0066298B"/>
    <w:rsid w:val="006629AC"/>
    <w:rsid w:val="006629BA"/>
    <w:rsid w:val="006629C4"/>
    <w:rsid w:val="006629ED"/>
    <w:rsid w:val="00662A13"/>
    <w:rsid w:val="00662A95"/>
    <w:rsid w:val="00662AB7"/>
    <w:rsid w:val="00662AC7"/>
    <w:rsid w:val="00662ADC"/>
    <w:rsid w:val="00662B04"/>
    <w:rsid w:val="00662B3E"/>
    <w:rsid w:val="00662B51"/>
    <w:rsid w:val="00662B54"/>
    <w:rsid w:val="00662B73"/>
    <w:rsid w:val="00662B9D"/>
    <w:rsid w:val="00662BA7"/>
    <w:rsid w:val="00662BE8"/>
    <w:rsid w:val="00662BF3"/>
    <w:rsid w:val="00662CF8"/>
    <w:rsid w:val="00662D2C"/>
    <w:rsid w:val="00662D85"/>
    <w:rsid w:val="00662E69"/>
    <w:rsid w:val="00662E74"/>
    <w:rsid w:val="00662EA8"/>
    <w:rsid w:val="00662EE3"/>
    <w:rsid w:val="00662F03"/>
    <w:rsid w:val="00662F5D"/>
    <w:rsid w:val="00662F62"/>
    <w:rsid w:val="00662F7E"/>
    <w:rsid w:val="00662FD9"/>
    <w:rsid w:val="00663029"/>
    <w:rsid w:val="006630A0"/>
    <w:rsid w:val="006630B2"/>
    <w:rsid w:val="006630D6"/>
    <w:rsid w:val="00663116"/>
    <w:rsid w:val="00663150"/>
    <w:rsid w:val="00663163"/>
    <w:rsid w:val="0066317D"/>
    <w:rsid w:val="006631BC"/>
    <w:rsid w:val="006631C5"/>
    <w:rsid w:val="006631F5"/>
    <w:rsid w:val="006631F7"/>
    <w:rsid w:val="00663291"/>
    <w:rsid w:val="006632A2"/>
    <w:rsid w:val="006632B2"/>
    <w:rsid w:val="006632C3"/>
    <w:rsid w:val="006632F7"/>
    <w:rsid w:val="006632FD"/>
    <w:rsid w:val="00663313"/>
    <w:rsid w:val="00663325"/>
    <w:rsid w:val="00663337"/>
    <w:rsid w:val="0066338C"/>
    <w:rsid w:val="006633BD"/>
    <w:rsid w:val="0066341F"/>
    <w:rsid w:val="006634E5"/>
    <w:rsid w:val="006634FA"/>
    <w:rsid w:val="00663544"/>
    <w:rsid w:val="0066359B"/>
    <w:rsid w:val="006635C0"/>
    <w:rsid w:val="006635EF"/>
    <w:rsid w:val="00663606"/>
    <w:rsid w:val="00663644"/>
    <w:rsid w:val="00663655"/>
    <w:rsid w:val="00663657"/>
    <w:rsid w:val="00663676"/>
    <w:rsid w:val="006636CF"/>
    <w:rsid w:val="0066376F"/>
    <w:rsid w:val="00663780"/>
    <w:rsid w:val="00663783"/>
    <w:rsid w:val="0066378A"/>
    <w:rsid w:val="006637C6"/>
    <w:rsid w:val="006637EE"/>
    <w:rsid w:val="0066380F"/>
    <w:rsid w:val="00663847"/>
    <w:rsid w:val="0066386F"/>
    <w:rsid w:val="00663879"/>
    <w:rsid w:val="006638A5"/>
    <w:rsid w:val="006638C3"/>
    <w:rsid w:val="00663934"/>
    <w:rsid w:val="00663964"/>
    <w:rsid w:val="0066397D"/>
    <w:rsid w:val="00663986"/>
    <w:rsid w:val="006639F1"/>
    <w:rsid w:val="00663A06"/>
    <w:rsid w:val="00663A1B"/>
    <w:rsid w:val="00663A20"/>
    <w:rsid w:val="00663A90"/>
    <w:rsid w:val="00663AB0"/>
    <w:rsid w:val="00663ADA"/>
    <w:rsid w:val="00663B39"/>
    <w:rsid w:val="00663B67"/>
    <w:rsid w:val="00663C22"/>
    <w:rsid w:val="00663C2E"/>
    <w:rsid w:val="00663C3E"/>
    <w:rsid w:val="00663C4E"/>
    <w:rsid w:val="00663C86"/>
    <w:rsid w:val="00663C8F"/>
    <w:rsid w:val="00663CAE"/>
    <w:rsid w:val="00663CCC"/>
    <w:rsid w:val="00663CE9"/>
    <w:rsid w:val="00663CFA"/>
    <w:rsid w:val="00663D1B"/>
    <w:rsid w:val="00663D60"/>
    <w:rsid w:val="00663D84"/>
    <w:rsid w:val="00663DA9"/>
    <w:rsid w:val="00663DCF"/>
    <w:rsid w:val="00663E07"/>
    <w:rsid w:val="00663E13"/>
    <w:rsid w:val="00663E33"/>
    <w:rsid w:val="00663E49"/>
    <w:rsid w:val="00663E70"/>
    <w:rsid w:val="00663E76"/>
    <w:rsid w:val="00663E9C"/>
    <w:rsid w:val="00663EA3"/>
    <w:rsid w:val="00663F1A"/>
    <w:rsid w:val="00663F24"/>
    <w:rsid w:val="00663F48"/>
    <w:rsid w:val="00663F64"/>
    <w:rsid w:val="00663F7D"/>
    <w:rsid w:val="00663F98"/>
    <w:rsid w:val="00663F9B"/>
    <w:rsid w:val="00663F9D"/>
    <w:rsid w:val="00663FB0"/>
    <w:rsid w:val="00663FD7"/>
    <w:rsid w:val="00663FE5"/>
    <w:rsid w:val="00663FEF"/>
    <w:rsid w:val="00664011"/>
    <w:rsid w:val="0066405A"/>
    <w:rsid w:val="00664064"/>
    <w:rsid w:val="0066407D"/>
    <w:rsid w:val="00664081"/>
    <w:rsid w:val="00664086"/>
    <w:rsid w:val="006640A1"/>
    <w:rsid w:val="006640B0"/>
    <w:rsid w:val="0066410A"/>
    <w:rsid w:val="00664151"/>
    <w:rsid w:val="00664156"/>
    <w:rsid w:val="00664167"/>
    <w:rsid w:val="00664196"/>
    <w:rsid w:val="00664209"/>
    <w:rsid w:val="00664238"/>
    <w:rsid w:val="00664240"/>
    <w:rsid w:val="00664285"/>
    <w:rsid w:val="006642A7"/>
    <w:rsid w:val="006642C9"/>
    <w:rsid w:val="00664332"/>
    <w:rsid w:val="0066437A"/>
    <w:rsid w:val="0066438A"/>
    <w:rsid w:val="0066439C"/>
    <w:rsid w:val="006643AC"/>
    <w:rsid w:val="006643BC"/>
    <w:rsid w:val="006643E9"/>
    <w:rsid w:val="006643EA"/>
    <w:rsid w:val="00664405"/>
    <w:rsid w:val="00664407"/>
    <w:rsid w:val="0066445C"/>
    <w:rsid w:val="00664464"/>
    <w:rsid w:val="00664468"/>
    <w:rsid w:val="00664488"/>
    <w:rsid w:val="006644B1"/>
    <w:rsid w:val="00664525"/>
    <w:rsid w:val="0066452A"/>
    <w:rsid w:val="00664537"/>
    <w:rsid w:val="00664549"/>
    <w:rsid w:val="0066454D"/>
    <w:rsid w:val="00664557"/>
    <w:rsid w:val="0066458C"/>
    <w:rsid w:val="0066458E"/>
    <w:rsid w:val="006645A1"/>
    <w:rsid w:val="006645A3"/>
    <w:rsid w:val="006645D0"/>
    <w:rsid w:val="0066461A"/>
    <w:rsid w:val="00664629"/>
    <w:rsid w:val="00664659"/>
    <w:rsid w:val="00664664"/>
    <w:rsid w:val="0066466D"/>
    <w:rsid w:val="006646A5"/>
    <w:rsid w:val="006646D0"/>
    <w:rsid w:val="006646D3"/>
    <w:rsid w:val="00664707"/>
    <w:rsid w:val="0066472E"/>
    <w:rsid w:val="0066476F"/>
    <w:rsid w:val="006647EF"/>
    <w:rsid w:val="0066482A"/>
    <w:rsid w:val="00664889"/>
    <w:rsid w:val="006648BC"/>
    <w:rsid w:val="006648E1"/>
    <w:rsid w:val="00664945"/>
    <w:rsid w:val="00664971"/>
    <w:rsid w:val="006649CA"/>
    <w:rsid w:val="006649D5"/>
    <w:rsid w:val="00664A1E"/>
    <w:rsid w:val="00664A7B"/>
    <w:rsid w:val="00664A8A"/>
    <w:rsid w:val="00664AF5"/>
    <w:rsid w:val="00664B1F"/>
    <w:rsid w:val="00664B34"/>
    <w:rsid w:val="00664B70"/>
    <w:rsid w:val="00664B99"/>
    <w:rsid w:val="00664BB9"/>
    <w:rsid w:val="00664BC1"/>
    <w:rsid w:val="00664BD5"/>
    <w:rsid w:val="00664BFA"/>
    <w:rsid w:val="00664C69"/>
    <w:rsid w:val="00664C6C"/>
    <w:rsid w:val="00664CBB"/>
    <w:rsid w:val="00664CDA"/>
    <w:rsid w:val="00664D29"/>
    <w:rsid w:val="00664D3B"/>
    <w:rsid w:val="00664D8B"/>
    <w:rsid w:val="00664DA7"/>
    <w:rsid w:val="00664DAB"/>
    <w:rsid w:val="00664E4A"/>
    <w:rsid w:val="00664E51"/>
    <w:rsid w:val="00664EB4"/>
    <w:rsid w:val="00664F34"/>
    <w:rsid w:val="00664F3D"/>
    <w:rsid w:val="00664F50"/>
    <w:rsid w:val="00664FB9"/>
    <w:rsid w:val="00665008"/>
    <w:rsid w:val="00665015"/>
    <w:rsid w:val="00665033"/>
    <w:rsid w:val="00665055"/>
    <w:rsid w:val="006650A3"/>
    <w:rsid w:val="006650D1"/>
    <w:rsid w:val="0066510C"/>
    <w:rsid w:val="00665112"/>
    <w:rsid w:val="00665129"/>
    <w:rsid w:val="00665135"/>
    <w:rsid w:val="0066516E"/>
    <w:rsid w:val="00665196"/>
    <w:rsid w:val="006651A4"/>
    <w:rsid w:val="006651A8"/>
    <w:rsid w:val="00665262"/>
    <w:rsid w:val="00665266"/>
    <w:rsid w:val="0066527D"/>
    <w:rsid w:val="00665287"/>
    <w:rsid w:val="0066528A"/>
    <w:rsid w:val="006652A0"/>
    <w:rsid w:val="006652A7"/>
    <w:rsid w:val="0066532F"/>
    <w:rsid w:val="00665360"/>
    <w:rsid w:val="0066537B"/>
    <w:rsid w:val="006653D2"/>
    <w:rsid w:val="00665403"/>
    <w:rsid w:val="00665462"/>
    <w:rsid w:val="006654AE"/>
    <w:rsid w:val="006654CB"/>
    <w:rsid w:val="006654E0"/>
    <w:rsid w:val="006654EE"/>
    <w:rsid w:val="0066554E"/>
    <w:rsid w:val="006655BF"/>
    <w:rsid w:val="006655C6"/>
    <w:rsid w:val="006655D9"/>
    <w:rsid w:val="006655E0"/>
    <w:rsid w:val="0066560C"/>
    <w:rsid w:val="00665619"/>
    <w:rsid w:val="0066561D"/>
    <w:rsid w:val="0066566D"/>
    <w:rsid w:val="0066567C"/>
    <w:rsid w:val="0066569D"/>
    <w:rsid w:val="006656AC"/>
    <w:rsid w:val="006656C9"/>
    <w:rsid w:val="006656CB"/>
    <w:rsid w:val="00665702"/>
    <w:rsid w:val="00665705"/>
    <w:rsid w:val="0066575E"/>
    <w:rsid w:val="006657B4"/>
    <w:rsid w:val="006657B6"/>
    <w:rsid w:val="0066582A"/>
    <w:rsid w:val="00665830"/>
    <w:rsid w:val="00665842"/>
    <w:rsid w:val="0066587C"/>
    <w:rsid w:val="00665893"/>
    <w:rsid w:val="00665913"/>
    <w:rsid w:val="00665924"/>
    <w:rsid w:val="00665927"/>
    <w:rsid w:val="00665944"/>
    <w:rsid w:val="0066595B"/>
    <w:rsid w:val="00665981"/>
    <w:rsid w:val="006659AC"/>
    <w:rsid w:val="006659EB"/>
    <w:rsid w:val="00665A23"/>
    <w:rsid w:val="00665A24"/>
    <w:rsid w:val="00665A5D"/>
    <w:rsid w:val="00665AA1"/>
    <w:rsid w:val="00665AF5"/>
    <w:rsid w:val="00665B0C"/>
    <w:rsid w:val="00665B49"/>
    <w:rsid w:val="00665B89"/>
    <w:rsid w:val="00665C10"/>
    <w:rsid w:val="00665C24"/>
    <w:rsid w:val="00665C68"/>
    <w:rsid w:val="00665C70"/>
    <w:rsid w:val="00665C91"/>
    <w:rsid w:val="00665C9D"/>
    <w:rsid w:val="00665CA2"/>
    <w:rsid w:val="00665CD3"/>
    <w:rsid w:val="00665D21"/>
    <w:rsid w:val="00665D37"/>
    <w:rsid w:val="00665D6F"/>
    <w:rsid w:val="00665DE6"/>
    <w:rsid w:val="00665DF9"/>
    <w:rsid w:val="00665E05"/>
    <w:rsid w:val="00665E6D"/>
    <w:rsid w:val="00665E85"/>
    <w:rsid w:val="00665E9E"/>
    <w:rsid w:val="00665EA7"/>
    <w:rsid w:val="00665F3B"/>
    <w:rsid w:val="00665F45"/>
    <w:rsid w:val="00665F56"/>
    <w:rsid w:val="00665F5B"/>
    <w:rsid w:val="00665F9D"/>
    <w:rsid w:val="00665FA7"/>
    <w:rsid w:val="00665FCF"/>
    <w:rsid w:val="00665FDC"/>
    <w:rsid w:val="00665FE7"/>
    <w:rsid w:val="00665FEF"/>
    <w:rsid w:val="0066608A"/>
    <w:rsid w:val="006660F5"/>
    <w:rsid w:val="0066610E"/>
    <w:rsid w:val="00666126"/>
    <w:rsid w:val="00666131"/>
    <w:rsid w:val="00666144"/>
    <w:rsid w:val="00666164"/>
    <w:rsid w:val="0066616C"/>
    <w:rsid w:val="006661A1"/>
    <w:rsid w:val="006661A9"/>
    <w:rsid w:val="006661B8"/>
    <w:rsid w:val="006661C8"/>
    <w:rsid w:val="00666208"/>
    <w:rsid w:val="0066621D"/>
    <w:rsid w:val="00666238"/>
    <w:rsid w:val="0066624E"/>
    <w:rsid w:val="00666368"/>
    <w:rsid w:val="006663BA"/>
    <w:rsid w:val="006663E6"/>
    <w:rsid w:val="006663EA"/>
    <w:rsid w:val="00666433"/>
    <w:rsid w:val="0066646D"/>
    <w:rsid w:val="00666483"/>
    <w:rsid w:val="006664A3"/>
    <w:rsid w:val="006664A4"/>
    <w:rsid w:val="006664A5"/>
    <w:rsid w:val="006664B0"/>
    <w:rsid w:val="006664B1"/>
    <w:rsid w:val="00666572"/>
    <w:rsid w:val="0066657E"/>
    <w:rsid w:val="00666591"/>
    <w:rsid w:val="006665C7"/>
    <w:rsid w:val="00666637"/>
    <w:rsid w:val="0066666C"/>
    <w:rsid w:val="00666683"/>
    <w:rsid w:val="006666A7"/>
    <w:rsid w:val="006666C6"/>
    <w:rsid w:val="006666EC"/>
    <w:rsid w:val="006666F0"/>
    <w:rsid w:val="006666F4"/>
    <w:rsid w:val="00666706"/>
    <w:rsid w:val="0066670A"/>
    <w:rsid w:val="0066671A"/>
    <w:rsid w:val="00666739"/>
    <w:rsid w:val="00666779"/>
    <w:rsid w:val="00666796"/>
    <w:rsid w:val="006667B0"/>
    <w:rsid w:val="006667B5"/>
    <w:rsid w:val="006667D5"/>
    <w:rsid w:val="006667D6"/>
    <w:rsid w:val="006667DF"/>
    <w:rsid w:val="0066681C"/>
    <w:rsid w:val="0066682F"/>
    <w:rsid w:val="0066687F"/>
    <w:rsid w:val="00666886"/>
    <w:rsid w:val="00666899"/>
    <w:rsid w:val="006668A1"/>
    <w:rsid w:val="006668B5"/>
    <w:rsid w:val="006668CF"/>
    <w:rsid w:val="006668ED"/>
    <w:rsid w:val="0066690B"/>
    <w:rsid w:val="00666921"/>
    <w:rsid w:val="006669AE"/>
    <w:rsid w:val="006669C9"/>
    <w:rsid w:val="006669DE"/>
    <w:rsid w:val="00666A25"/>
    <w:rsid w:val="00666A62"/>
    <w:rsid w:val="00666A70"/>
    <w:rsid w:val="00666A7F"/>
    <w:rsid w:val="00666A8A"/>
    <w:rsid w:val="00666AAD"/>
    <w:rsid w:val="00666AB8"/>
    <w:rsid w:val="00666B79"/>
    <w:rsid w:val="00666B9C"/>
    <w:rsid w:val="00666BF1"/>
    <w:rsid w:val="00666C10"/>
    <w:rsid w:val="00666C6D"/>
    <w:rsid w:val="00666C6E"/>
    <w:rsid w:val="00666CAD"/>
    <w:rsid w:val="00666CB2"/>
    <w:rsid w:val="00666CCA"/>
    <w:rsid w:val="00666CD5"/>
    <w:rsid w:val="00666D40"/>
    <w:rsid w:val="00666D43"/>
    <w:rsid w:val="00666D49"/>
    <w:rsid w:val="00666D57"/>
    <w:rsid w:val="00666D74"/>
    <w:rsid w:val="00666D82"/>
    <w:rsid w:val="00666D9A"/>
    <w:rsid w:val="00666DBF"/>
    <w:rsid w:val="00666DE6"/>
    <w:rsid w:val="00666E18"/>
    <w:rsid w:val="00666E19"/>
    <w:rsid w:val="00666E51"/>
    <w:rsid w:val="00666E65"/>
    <w:rsid w:val="00666E7F"/>
    <w:rsid w:val="00666EF1"/>
    <w:rsid w:val="00666F17"/>
    <w:rsid w:val="00666F27"/>
    <w:rsid w:val="00666F7F"/>
    <w:rsid w:val="00666FA1"/>
    <w:rsid w:val="00666FBC"/>
    <w:rsid w:val="00666FFC"/>
    <w:rsid w:val="0066701C"/>
    <w:rsid w:val="00667067"/>
    <w:rsid w:val="00667083"/>
    <w:rsid w:val="006670DC"/>
    <w:rsid w:val="00667115"/>
    <w:rsid w:val="0066713B"/>
    <w:rsid w:val="00667163"/>
    <w:rsid w:val="00667177"/>
    <w:rsid w:val="00667185"/>
    <w:rsid w:val="006671B3"/>
    <w:rsid w:val="006671D2"/>
    <w:rsid w:val="006671D9"/>
    <w:rsid w:val="00667202"/>
    <w:rsid w:val="00667224"/>
    <w:rsid w:val="00667259"/>
    <w:rsid w:val="00667266"/>
    <w:rsid w:val="0066729A"/>
    <w:rsid w:val="006672B1"/>
    <w:rsid w:val="006672BF"/>
    <w:rsid w:val="006672E6"/>
    <w:rsid w:val="006672E8"/>
    <w:rsid w:val="006672E9"/>
    <w:rsid w:val="00667335"/>
    <w:rsid w:val="00667344"/>
    <w:rsid w:val="00667348"/>
    <w:rsid w:val="00667390"/>
    <w:rsid w:val="00667391"/>
    <w:rsid w:val="00667399"/>
    <w:rsid w:val="0066748C"/>
    <w:rsid w:val="00667496"/>
    <w:rsid w:val="006674A5"/>
    <w:rsid w:val="006674F0"/>
    <w:rsid w:val="0066751A"/>
    <w:rsid w:val="00667538"/>
    <w:rsid w:val="00667540"/>
    <w:rsid w:val="00667561"/>
    <w:rsid w:val="006675A6"/>
    <w:rsid w:val="00667612"/>
    <w:rsid w:val="00667641"/>
    <w:rsid w:val="00667670"/>
    <w:rsid w:val="00667697"/>
    <w:rsid w:val="00667698"/>
    <w:rsid w:val="006676AA"/>
    <w:rsid w:val="006676BC"/>
    <w:rsid w:val="006676DB"/>
    <w:rsid w:val="006676F1"/>
    <w:rsid w:val="00667700"/>
    <w:rsid w:val="00667708"/>
    <w:rsid w:val="0066772D"/>
    <w:rsid w:val="0066772E"/>
    <w:rsid w:val="006677AF"/>
    <w:rsid w:val="006677FA"/>
    <w:rsid w:val="00667864"/>
    <w:rsid w:val="0066786A"/>
    <w:rsid w:val="00667881"/>
    <w:rsid w:val="00667883"/>
    <w:rsid w:val="0066789A"/>
    <w:rsid w:val="006678D7"/>
    <w:rsid w:val="006678DA"/>
    <w:rsid w:val="006678E0"/>
    <w:rsid w:val="006678FC"/>
    <w:rsid w:val="00667930"/>
    <w:rsid w:val="00667948"/>
    <w:rsid w:val="0066795A"/>
    <w:rsid w:val="0066799F"/>
    <w:rsid w:val="006679B3"/>
    <w:rsid w:val="006679E5"/>
    <w:rsid w:val="00667A31"/>
    <w:rsid w:val="00667A97"/>
    <w:rsid w:val="00667AB2"/>
    <w:rsid w:val="00667AD5"/>
    <w:rsid w:val="00667AEF"/>
    <w:rsid w:val="00667AF7"/>
    <w:rsid w:val="00667B01"/>
    <w:rsid w:val="00667B25"/>
    <w:rsid w:val="00667B77"/>
    <w:rsid w:val="00667B88"/>
    <w:rsid w:val="00667B9B"/>
    <w:rsid w:val="00667BB2"/>
    <w:rsid w:val="00667BC2"/>
    <w:rsid w:val="00667C0C"/>
    <w:rsid w:val="00667C1F"/>
    <w:rsid w:val="00667C50"/>
    <w:rsid w:val="00667C87"/>
    <w:rsid w:val="00667C97"/>
    <w:rsid w:val="00667C99"/>
    <w:rsid w:val="00667CC1"/>
    <w:rsid w:val="00667CD0"/>
    <w:rsid w:val="00667D02"/>
    <w:rsid w:val="00667D03"/>
    <w:rsid w:val="00667D80"/>
    <w:rsid w:val="00667DC4"/>
    <w:rsid w:val="00667E18"/>
    <w:rsid w:val="00667E1B"/>
    <w:rsid w:val="00667E5C"/>
    <w:rsid w:val="00667E6F"/>
    <w:rsid w:val="00667E79"/>
    <w:rsid w:val="00667E7B"/>
    <w:rsid w:val="00667EA7"/>
    <w:rsid w:val="00667EB6"/>
    <w:rsid w:val="00667EDA"/>
    <w:rsid w:val="00667F1F"/>
    <w:rsid w:val="00667F37"/>
    <w:rsid w:val="00667F42"/>
    <w:rsid w:val="00667F47"/>
    <w:rsid w:val="00667F4F"/>
    <w:rsid w:val="00667FBF"/>
    <w:rsid w:val="0067001A"/>
    <w:rsid w:val="00670062"/>
    <w:rsid w:val="006700F9"/>
    <w:rsid w:val="00670109"/>
    <w:rsid w:val="00670110"/>
    <w:rsid w:val="00670118"/>
    <w:rsid w:val="00670146"/>
    <w:rsid w:val="0067020A"/>
    <w:rsid w:val="0067020D"/>
    <w:rsid w:val="00670251"/>
    <w:rsid w:val="00670254"/>
    <w:rsid w:val="00670276"/>
    <w:rsid w:val="00670284"/>
    <w:rsid w:val="00670296"/>
    <w:rsid w:val="006702AD"/>
    <w:rsid w:val="006702EF"/>
    <w:rsid w:val="0067032A"/>
    <w:rsid w:val="00670332"/>
    <w:rsid w:val="0067033B"/>
    <w:rsid w:val="00670356"/>
    <w:rsid w:val="00670359"/>
    <w:rsid w:val="006703AB"/>
    <w:rsid w:val="006703BB"/>
    <w:rsid w:val="006703CC"/>
    <w:rsid w:val="006703DD"/>
    <w:rsid w:val="006703F1"/>
    <w:rsid w:val="00670495"/>
    <w:rsid w:val="006704DF"/>
    <w:rsid w:val="006704FD"/>
    <w:rsid w:val="00670523"/>
    <w:rsid w:val="00670547"/>
    <w:rsid w:val="0067055A"/>
    <w:rsid w:val="006705F3"/>
    <w:rsid w:val="00670630"/>
    <w:rsid w:val="0067066E"/>
    <w:rsid w:val="00670708"/>
    <w:rsid w:val="00670719"/>
    <w:rsid w:val="00670742"/>
    <w:rsid w:val="00670749"/>
    <w:rsid w:val="0067077F"/>
    <w:rsid w:val="006707A1"/>
    <w:rsid w:val="006707B4"/>
    <w:rsid w:val="006707D3"/>
    <w:rsid w:val="006707F6"/>
    <w:rsid w:val="0067082D"/>
    <w:rsid w:val="0067086B"/>
    <w:rsid w:val="006708AE"/>
    <w:rsid w:val="006708B8"/>
    <w:rsid w:val="006708EF"/>
    <w:rsid w:val="00670944"/>
    <w:rsid w:val="0067099F"/>
    <w:rsid w:val="006709A3"/>
    <w:rsid w:val="006709AA"/>
    <w:rsid w:val="006709CE"/>
    <w:rsid w:val="006709D9"/>
    <w:rsid w:val="00670A03"/>
    <w:rsid w:val="00670A3C"/>
    <w:rsid w:val="00670AAC"/>
    <w:rsid w:val="00670AE8"/>
    <w:rsid w:val="00670AEF"/>
    <w:rsid w:val="00670AFF"/>
    <w:rsid w:val="00670B1B"/>
    <w:rsid w:val="00670B5F"/>
    <w:rsid w:val="00670B61"/>
    <w:rsid w:val="00670B85"/>
    <w:rsid w:val="00670B91"/>
    <w:rsid w:val="00670B98"/>
    <w:rsid w:val="00670BA8"/>
    <w:rsid w:val="00670BAC"/>
    <w:rsid w:val="00670BB6"/>
    <w:rsid w:val="00670BC7"/>
    <w:rsid w:val="00670BE8"/>
    <w:rsid w:val="00670BEF"/>
    <w:rsid w:val="00670C43"/>
    <w:rsid w:val="00670C52"/>
    <w:rsid w:val="00670CF7"/>
    <w:rsid w:val="00670D01"/>
    <w:rsid w:val="00670D0E"/>
    <w:rsid w:val="00670D1A"/>
    <w:rsid w:val="00670D33"/>
    <w:rsid w:val="00670D8D"/>
    <w:rsid w:val="00670DC5"/>
    <w:rsid w:val="00670DCD"/>
    <w:rsid w:val="00670DCE"/>
    <w:rsid w:val="00670E1E"/>
    <w:rsid w:val="00670E3B"/>
    <w:rsid w:val="00670E47"/>
    <w:rsid w:val="00670E68"/>
    <w:rsid w:val="00670E6F"/>
    <w:rsid w:val="00670E8F"/>
    <w:rsid w:val="00670EE7"/>
    <w:rsid w:val="00670EF3"/>
    <w:rsid w:val="00670F18"/>
    <w:rsid w:val="00670F22"/>
    <w:rsid w:val="00670F31"/>
    <w:rsid w:val="00670F36"/>
    <w:rsid w:val="00670F3A"/>
    <w:rsid w:val="00670F85"/>
    <w:rsid w:val="00670F97"/>
    <w:rsid w:val="00670F98"/>
    <w:rsid w:val="00670FA6"/>
    <w:rsid w:val="00670FC9"/>
    <w:rsid w:val="00670FD1"/>
    <w:rsid w:val="00670FE6"/>
    <w:rsid w:val="00670FE7"/>
    <w:rsid w:val="00670FF2"/>
    <w:rsid w:val="00671025"/>
    <w:rsid w:val="00671050"/>
    <w:rsid w:val="00671078"/>
    <w:rsid w:val="006710DA"/>
    <w:rsid w:val="006710EE"/>
    <w:rsid w:val="0067110E"/>
    <w:rsid w:val="00671143"/>
    <w:rsid w:val="00671152"/>
    <w:rsid w:val="00671184"/>
    <w:rsid w:val="00671198"/>
    <w:rsid w:val="006711BC"/>
    <w:rsid w:val="006711C0"/>
    <w:rsid w:val="006711C6"/>
    <w:rsid w:val="006711ED"/>
    <w:rsid w:val="0067122D"/>
    <w:rsid w:val="00671247"/>
    <w:rsid w:val="0067128D"/>
    <w:rsid w:val="00671314"/>
    <w:rsid w:val="0067137F"/>
    <w:rsid w:val="006713A2"/>
    <w:rsid w:val="006713A7"/>
    <w:rsid w:val="006713BA"/>
    <w:rsid w:val="006713D1"/>
    <w:rsid w:val="00671470"/>
    <w:rsid w:val="006714E5"/>
    <w:rsid w:val="0067156D"/>
    <w:rsid w:val="00671585"/>
    <w:rsid w:val="006715C7"/>
    <w:rsid w:val="0067161E"/>
    <w:rsid w:val="0067164C"/>
    <w:rsid w:val="00671672"/>
    <w:rsid w:val="00671689"/>
    <w:rsid w:val="006716A5"/>
    <w:rsid w:val="006716C8"/>
    <w:rsid w:val="006716EA"/>
    <w:rsid w:val="00671718"/>
    <w:rsid w:val="00671724"/>
    <w:rsid w:val="00671766"/>
    <w:rsid w:val="006717A2"/>
    <w:rsid w:val="006717A9"/>
    <w:rsid w:val="006717B2"/>
    <w:rsid w:val="006717E4"/>
    <w:rsid w:val="006717FC"/>
    <w:rsid w:val="0067180E"/>
    <w:rsid w:val="00671834"/>
    <w:rsid w:val="0067183E"/>
    <w:rsid w:val="0067184F"/>
    <w:rsid w:val="0067186E"/>
    <w:rsid w:val="006718AA"/>
    <w:rsid w:val="006718FC"/>
    <w:rsid w:val="00671900"/>
    <w:rsid w:val="0067191E"/>
    <w:rsid w:val="0067193C"/>
    <w:rsid w:val="00671945"/>
    <w:rsid w:val="0067199A"/>
    <w:rsid w:val="006719A2"/>
    <w:rsid w:val="00671A06"/>
    <w:rsid w:val="00671A15"/>
    <w:rsid w:val="00671A65"/>
    <w:rsid w:val="00671A68"/>
    <w:rsid w:val="00671B0D"/>
    <w:rsid w:val="00671B3B"/>
    <w:rsid w:val="00671B4C"/>
    <w:rsid w:val="00671B50"/>
    <w:rsid w:val="00671B59"/>
    <w:rsid w:val="00671B91"/>
    <w:rsid w:val="00671BCE"/>
    <w:rsid w:val="00671C17"/>
    <w:rsid w:val="00671C39"/>
    <w:rsid w:val="00671C4C"/>
    <w:rsid w:val="00671C99"/>
    <w:rsid w:val="00671CD2"/>
    <w:rsid w:val="00671D08"/>
    <w:rsid w:val="00671D28"/>
    <w:rsid w:val="00671D4A"/>
    <w:rsid w:val="00671D4E"/>
    <w:rsid w:val="00671D60"/>
    <w:rsid w:val="00671DA5"/>
    <w:rsid w:val="00671DE6"/>
    <w:rsid w:val="00671DE7"/>
    <w:rsid w:val="00671DF7"/>
    <w:rsid w:val="00671E29"/>
    <w:rsid w:val="00671F70"/>
    <w:rsid w:val="00671FE0"/>
    <w:rsid w:val="00672012"/>
    <w:rsid w:val="0067202A"/>
    <w:rsid w:val="00672081"/>
    <w:rsid w:val="006720C7"/>
    <w:rsid w:val="006720DE"/>
    <w:rsid w:val="006720FB"/>
    <w:rsid w:val="00672100"/>
    <w:rsid w:val="00672139"/>
    <w:rsid w:val="0067214A"/>
    <w:rsid w:val="0067217B"/>
    <w:rsid w:val="006721BF"/>
    <w:rsid w:val="006721FF"/>
    <w:rsid w:val="00672261"/>
    <w:rsid w:val="0067226A"/>
    <w:rsid w:val="0067226C"/>
    <w:rsid w:val="00672274"/>
    <w:rsid w:val="006722A6"/>
    <w:rsid w:val="006722C6"/>
    <w:rsid w:val="006722D0"/>
    <w:rsid w:val="006722EE"/>
    <w:rsid w:val="00672316"/>
    <w:rsid w:val="00672344"/>
    <w:rsid w:val="0067237F"/>
    <w:rsid w:val="00672392"/>
    <w:rsid w:val="00672397"/>
    <w:rsid w:val="006723AB"/>
    <w:rsid w:val="006723BE"/>
    <w:rsid w:val="006723FF"/>
    <w:rsid w:val="00672437"/>
    <w:rsid w:val="00672439"/>
    <w:rsid w:val="00672456"/>
    <w:rsid w:val="00672461"/>
    <w:rsid w:val="00672462"/>
    <w:rsid w:val="006724C4"/>
    <w:rsid w:val="006724D9"/>
    <w:rsid w:val="0067253A"/>
    <w:rsid w:val="00672546"/>
    <w:rsid w:val="00672565"/>
    <w:rsid w:val="0067256A"/>
    <w:rsid w:val="00672594"/>
    <w:rsid w:val="006725B1"/>
    <w:rsid w:val="006725F7"/>
    <w:rsid w:val="006725FD"/>
    <w:rsid w:val="006726A8"/>
    <w:rsid w:val="00672705"/>
    <w:rsid w:val="0067272E"/>
    <w:rsid w:val="0067273E"/>
    <w:rsid w:val="0067275E"/>
    <w:rsid w:val="0067277A"/>
    <w:rsid w:val="006727E8"/>
    <w:rsid w:val="006727F7"/>
    <w:rsid w:val="00672806"/>
    <w:rsid w:val="0067283B"/>
    <w:rsid w:val="00672840"/>
    <w:rsid w:val="0067288C"/>
    <w:rsid w:val="0067288D"/>
    <w:rsid w:val="006728AE"/>
    <w:rsid w:val="006728B9"/>
    <w:rsid w:val="006728BE"/>
    <w:rsid w:val="00672909"/>
    <w:rsid w:val="0067290E"/>
    <w:rsid w:val="00672948"/>
    <w:rsid w:val="0067294E"/>
    <w:rsid w:val="00672969"/>
    <w:rsid w:val="0067297D"/>
    <w:rsid w:val="0067298C"/>
    <w:rsid w:val="00672992"/>
    <w:rsid w:val="006729A3"/>
    <w:rsid w:val="006729ED"/>
    <w:rsid w:val="006729F1"/>
    <w:rsid w:val="00672A1C"/>
    <w:rsid w:val="00672A67"/>
    <w:rsid w:val="00672AC5"/>
    <w:rsid w:val="00672B24"/>
    <w:rsid w:val="00672B2C"/>
    <w:rsid w:val="00672B46"/>
    <w:rsid w:val="00672B4B"/>
    <w:rsid w:val="00672B8C"/>
    <w:rsid w:val="00672B99"/>
    <w:rsid w:val="00672BB5"/>
    <w:rsid w:val="00672BCA"/>
    <w:rsid w:val="00672BD6"/>
    <w:rsid w:val="00672BF7"/>
    <w:rsid w:val="00672C40"/>
    <w:rsid w:val="00672C42"/>
    <w:rsid w:val="00672C51"/>
    <w:rsid w:val="00672C53"/>
    <w:rsid w:val="00672C58"/>
    <w:rsid w:val="00672C70"/>
    <w:rsid w:val="00672C89"/>
    <w:rsid w:val="00672CF7"/>
    <w:rsid w:val="00672CF8"/>
    <w:rsid w:val="00672DB1"/>
    <w:rsid w:val="00672DD3"/>
    <w:rsid w:val="00672DD4"/>
    <w:rsid w:val="00672DD9"/>
    <w:rsid w:val="00672E23"/>
    <w:rsid w:val="00672E2C"/>
    <w:rsid w:val="00672E52"/>
    <w:rsid w:val="00672EDD"/>
    <w:rsid w:val="00672EF2"/>
    <w:rsid w:val="00672F3D"/>
    <w:rsid w:val="00672F73"/>
    <w:rsid w:val="00672F76"/>
    <w:rsid w:val="00672FC0"/>
    <w:rsid w:val="00672FC7"/>
    <w:rsid w:val="00672FE5"/>
    <w:rsid w:val="00673056"/>
    <w:rsid w:val="00673088"/>
    <w:rsid w:val="0067309F"/>
    <w:rsid w:val="006730CE"/>
    <w:rsid w:val="0067311F"/>
    <w:rsid w:val="0067312C"/>
    <w:rsid w:val="0067313B"/>
    <w:rsid w:val="00673153"/>
    <w:rsid w:val="00673181"/>
    <w:rsid w:val="00673196"/>
    <w:rsid w:val="0067319D"/>
    <w:rsid w:val="006731A3"/>
    <w:rsid w:val="006731BD"/>
    <w:rsid w:val="006731C6"/>
    <w:rsid w:val="006732A0"/>
    <w:rsid w:val="006732A9"/>
    <w:rsid w:val="006732B7"/>
    <w:rsid w:val="006732C6"/>
    <w:rsid w:val="0067330B"/>
    <w:rsid w:val="0067335E"/>
    <w:rsid w:val="0067337F"/>
    <w:rsid w:val="00673382"/>
    <w:rsid w:val="0067338B"/>
    <w:rsid w:val="0067338C"/>
    <w:rsid w:val="006733FD"/>
    <w:rsid w:val="0067341F"/>
    <w:rsid w:val="00673424"/>
    <w:rsid w:val="00673436"/>
    <w:rsid w:val="0067344B"/>
    <w:rsid w:val="00673471"/>
    <w:rsid w:val="006734F3"/>
    <w:rsid w:val="00673511"/>
    <w:rsid w:val="0067355D"/>
    <w:rsid w:val="00673589"/>
    <w:rsid w:val="00673599"/>
    <w:rsid w:val="006735BF"/>
    <w:rsid w:val="0067360C"/>
    <w:rsid w:val="0067363D"/>
    <w:rsid w:val="0067365B"/>
    <w:rsid w:val="00673699"/>
    <w:rsid w:val="006736A3"/>
    <w:rsid w:val="006736A9"/>
    <w:rsid w:val="00673717"/>
    <w:rsid w:val="006737D3"/>
    <w:rsid w:val="006737E0"/>
    <w:rsid w:val="00673800"/>
    <w:rsid w:val="00673804"/>
    <w:rsid w:val="00673846"/>
    <w:rsid w:val="00673864"/>
    <w:rsid w:val="00673889"/>
    <w:rsid w:val="0067388F"/>
    <w:rsid w:val="0067389E"/>
    <w:rsid w:val="0067393E"/>
    <w:rsid w:val="0067394F"/>
    <w:rsid w:val="0067397D"/>
    <w:rsid w:val="0067399E"/>
    <w:rsid w:val="006739A7"/>
    <w:rsid w:val="00673A0A"/>
    <w:rsid w:val="00673A11"/>
    <w:rsid w:val="00673A5D"/>
    <w:rsid w:val="00673A87"/>
    <w:rsid w:val="00673A8C"/>
    <w:rsid w:val="00673A92"/>
    <w:rsid w:val="00673A95"/>
    <w:rsid w:val="00673B29"/>
    <w:rsid w:val="00673B91"/>
    <w:rsid w:val="00673BD4"/>
    <w:rsid w:val="00673BDB"/>
    <w:rsid w:val="00673BF9"/>
    <w:rsid w:val="00673C01"/>
    <w:rsid w:val="00673C16"/>
    <w:rsid w:val="00673C2C"/>
    <w:rsid w:val="00673C58"/>
    <w:rsid w:val="00673CB8"/>
    <w:rsid w:val="00673D45"/>
    <w:rsid w:val="00673D6E"/>
    <w:rsid w:val="00673D91"/>
    <w:rsid w:val="00673D9A"/>
    <w:rsid w:val="00673DB7"/>
    <w:rsid w:val="00673DD0"/>
    <w:rsid w:val="00673E0F"/>
    <w:rsid w:val="00673E23"/>
    <w:rsid w:val="00673E2B"/>
    <w:rsid w:val="00673E39"/>
    <w:rsid w:val="00673E3C"/>
    <w:rsid w:val="00673EB8"/>
    <w:rsid w:val="00673EF0"/>
    <w:rsid w:val="00673F20"/>
    <w:rsid w:val="00673F21"/>
    <w:rsid w:val="00673FCF"/>
    <w:rsid w:val="006740AB"/>
    <w:rsid w:val="006740BD"/>
    <w:rsid w:val="006740C5"/>
    <w:rsid w:val="006740C9"/>
    <w:rsid w:val="00674102"/>
    <w:rsid w:val="00674105"/>
    <w:rsid w:val="00674143"/>
    <w:rsid w:val="00674150"/>
    <w:rsid w:val="00674153"/>
    <w:rsid w:val="00674162"/>
    <w:rsid w:val="00674165"/>
    <w:rsid w:val="0067417B"/>
    <w:rsid w:val="006741BA"/>
    <w:rsid w:val="00674202"/>
    <w:rsid w:val="00674205"/>
    <w:rsid w:val="00674221"/>
    <w:rsid w:val="00674254"/>
    <w:rsid w:val="00674256"/>
    <w:rsid w:val="0067425E"/>
    <w:rsid w:val="006742B5"/>
    <w:rsid w:val="006742DC"/>
    <w:rsid w:val="00674314"/>
    <w:rsid w:val="0067435C"/>
    <w:rsid w:val="006743B0"/>
    <w:rsid w:val="006743BF"/>
    <w:rsid w:val="006743FD"/>
    <w:rsid w:val="00674403"/>
    <w:rsid w:val="00674406"/>
    <w:rsid w:val="0067442E"/>
    <w:rsid w:val="00674446"/>
    <w:rsid w:val="00674455"/>
    <w:rsid w:val="00674461"/>
    <w:rsid w:val="00674485"/>
    <w:rsid w:val="00674490"/>
    <w:rsid w:val="006744A2"/>
    <w:rsid w:val="006744B8"/>
    <w:rsid w:val="006744C2"/>
    <w:rsid w:val="0067455A"/>
    <w:rsid w:val="00674571"/>
    <w:rsid w:val="0067459E"/>
    <w:rsid w:val="006745C9"/>
    <w:rsid w:val="006745D1"/>
    <w:rsid w:val="00674600"/>
    <w:rsid w:val="00674601"/>
    <w:rsid w:val="0067461F"/>
    <w:rsid w:val="00674685"/>
    <w:rsid w:val="006746A4"/>
    <w:rsid w:val="006746D5"/>
    <w:rsid w:val="00674723"/>
    <w:rsid w:val="006747A3"/>
    <w:rsid w:val="006747B3"/>
    <w:rsid w:val="006747B9"/>
    <w:rsid w:val="006747BB"/>
    <w:rsid w:val="006747CE"/>
    <w:rsid w:val="00674811"/>
    <w:rsid w:val="00674852"/>
    <w:rsid w:val="00674886"/>
    <w:rsid w:val="006748DE"/>
    <w:rsid w:val="006748E0"/>
    <w:rsid w:val="00674900"/>
    <w:rsid w:val="0067495B"/>
    <w:rsid w:val="0067496B"/>
    <w:rsid w:val="00674989"/>
    <w:rsid w:val="0067499B"/>
    <w:rsid w:val="006749A9"/>
    <w:rsid w:val="006749C6"/>
    <w:rsid w:val="00674A04"/>
    <w:rsid w:val="00674A23"/>
    <w:rsid w:val="00674A42"/>
    <w:rsid w:val="00674A56"/>
    <w:rsid w:val="00674A7D"/>
    <w:rsid w:val="00674A90"/>
    <w:rsid w:val="00674ABB"/>
    <w:rsid w:val="00674AE4"/>
    <w:rsid w:val="00674AF4"/>
    <w:rsid w:val="00674B19"/>
    <w:rsid w:val="00674B97"/>
    <w:rsid w:val="00674BCB"/>
    <w:rsid w:val="00674C4C"/>
    <w:rsid w:val="00674C51"/>
    <w:rsid w:val="00674C62"/>
    <w:rsid w:val="00674D11"/>
    <w:rsid w:val="00674D45"/>
    <w:rsid w:val="00674D4A"/>
    <w:rsid w:val="00674D4D"/>
    <w:rsid w:val="00674E4C"/>
    <w:rsid w:val="00674E52"/>
    <w:rsid w:val="00674E71"/>
    <w:rsid w:val="00674E85"/>
    <w:rsid w:val="00674E89"/>
    <w:rsid w:val="00674EB6"/>
    <w:rsid w:val="00674EF2"/>
    <w:rsid w:val="00674EFD"/>
    <w:rsid w:val="00674F46"/>
    <w:rsid w:val="00674F51"/>
    <w:rsid w:val="00675022"/>
    <w:rsid w:val="0067502E"/>
    <w:rsid w:val="00675091"/>
    <w:rsid w:val="006750B8"/>
    <w:rsid w:val="006750EA"/>
    <w:rsid w:val="0067518E"/>
    <w:rsid w:val="00675196"/>
    <w:rsid w:val="006751A7"/>
    <w:rsid w:val="006751C4"/>
    <w:rsid w:val="0067520C"/>
    <w:rsid w:val="0067520F"/>
    <w:rsid w:val="0067524E"/>
    <w:rsid w:val="00675253"/>
    <w:rsid w:val="006752A3"/>
    <w:rsid w:val="006752AF"/>
    <w:rsid w:val="006752CD"/>
    <w:rsid w:val="006752D8"/>
    <w:rsid w:val="006752E1"/>
    <w:rsid w:val="006752FB"/>
    <w:rsid w:val="00675326"/>
    <w:rsid w:val="0067534C"/>
    <w:rsid w:val="00675369"/>
    <w:rsid w:val="0067537C"/>
    <w:rsid w:val="0067537D"/>
    <w:rsid w:val="00675391"/>
    <w:rsid w:val="006753C0"/>
    <w:rsid w:val="00675431"/>
    <w:rsid w:val="00675436"/>
    <w:rsid w:val="0067545A"/>
    <w:rsid w:val="00675465"/>
    <w:rsid w:val="00675469"/>
    <w:rsid w:val="00675485"/>
    <w:rsid w:val="006754AA"/>
    <w:rsid w:val="006754DA"/>
    <w:rsid w:val="0067553A"/>
    <w:rsid w:val="0067553F"/>
    <w:rsid w:val="00675545"/>
    <w:rsid w:val="0067557E"/>
    <w:rsid w:val="006755AB"/>
    <w:rsid w:val="006755B9"/>
    <w:rsid w:val="006755F6"/>
    <w:rsid w:val="00675659"/>
    <w:rsid w:val="0067565A"/>
    <w:rsid w:val="0067565D"/>
    <w:rsid w:val="0067565E"/>
    <w:rsid w:val="00675671"/>
    <w:rsid w:val="0067569C"/>
    <w:rsid w:val="006756C0"/>
    <w:rsid w:val="006756C1"/>
    <w:rsid w:val="00675711"/>
    <w:rsid w:val="00675719"/>
    <w:rsid w:val="0067573B"/>
    <w:rsid w:val="006757AC"/>
    <w:rsid w:val="006757B9"/>
    <w:rsid w:val="0067587C"/>
    <w:rsid w:val="00675913"/>
    <w:rsid w:val="006759BD"/>
    <w:rsid w:val="00675A01"/>
    <w:rsid w:val="00675A03"/>
    <w:rsid w:val="00675A08"/>
    <w:rsid w:val="00675A53"/>
    <w:rsid w:val="00675AAD"/>
    <w:rsid w:val="00675B47"/>
    <w:rsid w:val="00675B96"/>
    <w:rsid w:val="00675C03"/>
    <w:rsid w:val="00675C40"/>
    <w:rsid w:val="00675C92"/>
    <w:rsid w:val="00675D51"/>
    <w:rsid w:val="00675D79"/>
    <w:rsid w:val="00675D91"/>
    <w:rsid w:val="00675DCE"/>
    <w:rsid w:val="00675DFE"/>
    <w:rsid w:val="00675E1F"/>
    <w:rsid w:val="00675E21"/>
    <w:rsid w:val="00675E3D"/>
    <w:rsid w:val="00675E42"/>
    <w:rsid w:val="00675E4A"/>
    <w:rsid w:val="00675E5D"/>
    <w:rsid w:val="00675E9E"/>
    <w:rsid w:val="00675EAB"/>
    <w:rsid w:val="00675ECA"/>
    <w:rsid w:val="00675ED9"/>
    <w:rsid w:val="00675FA3"/>
    <w:rsid w:val="00675FDD"/>
    <w:rsid w:val="00676015"/>
    <w:rsid w:val="00676025"/>
    <w:rsid w:val="00676034"/>
    <w:rsid w:val="0067608A"/>
    <w:rsid w:val="0067608F"/>
    <w:rsid w:val="006760B1"/>
    <w:rsid w:val="00676144"/>
    <w:rsid w:val="00676167"/>
    <w:rsid w:val="0067617F"/>
    <w:rsid w:val="006761FD"/>
    <w:rsid w:val="00676291"/>
    <w:rsid w:val="00676292"/>
    <w:rsid w:val="0067629F"/>
    <w:rsid w:val="006762A9"/>
    <w:rsid w:val="006762AB"/>
    <w:rsid w:val="006762B0"/>
    <w:rsid w:val="0067631C"/>
    <w:rsid w:val="0067631D"/>
    <w:rsid w:val="0067632B"/>
    <w:rsid w:val="0067632D"/>
    <w:rsid w:val="00676333"/>
    <w:rsid w:val="00676335"/>
    <w:rsid w:val="0067638A"/>
    <w:rsid w:val="006763B7"/>
    <w:rsid w:val="006763CB"/>
    <w:rsid w:val="006763DD"/>
    <w:rsid w:val="006763ED"/>
    <w:rsid w:val="006763EF"/>
    <w:rsid w:val="00676417"/>
    <w:rsid w:val="00676446"/>
    <w:rsid w:val="00676472"/>
    <w:rsid w:val="006764E2"/>
    <w:rsid w:val="006764F1"/>
    <w:rsid w:val="00676536"/>
    <w:rsid w:val="0067653F"/>
    <w:rsid w:val="00676540"/>
    <w:rsid w:val="00676547"/>
    <w:rsid w:val="0067657B"/>
    <w:rsid w:val="00676596"/>
    <w:rsid w:val="006765D6"/>
    <w:rsid w:val="00676600"/>
    <w:rsid w:val="00676611"/>
    <w:rsid w:val="0067661A"/>
    <w:rsid w:val="00676650"/>
    <w:rsid w:val="006766CC"/>
    <w:rsid w:val="006766E4"/>
    <w:rsid w:val="006766FE"/>
    <w:rsid w:val="0067676E"/>
    <w:rsid w:val="0067677C"/>
    <w:rsid w:val="0067677F"/>
    <w:rsid w:val="00676781"/>
    <w:rsid w:val="006767C2"/>
    <w:rsid w:val="006767D3"/>
    <w:rsid w:val="0067682A"/>
    <w:rsid w:val="0067682D"/>
    <w:rsid w:val="0067689C"/>
    <w:rsid w:val="006768A7"/>
    <w:rsid w:val="006768C7"/>
    <w:rsid w:val="00676909"/>
    <w:rsid w:val="00676918"/>
    <w:rsid w:val="0067692F"/>
    <w:rsid w:val="0067696B"/>
    <w:rsid w:val="00676975"/>
    <w:rsid w:val="0067699F"/>
    <w:rsid w:val="006769A4"/>
    <w:rsid w:val="006769B5"/>
    <w:rsid w:val="006769C0"/>
    <w:rsid w:val="006769E5"/>
    <w:rsid w:val="00676A7E"/>
    <w:rsid w:val="00676A89"/>
    <w:rsid w:val="00676A90"/>
    <w:rsid w:val="00676ADF"/>
    <w:rsid w:val="00676AEE"/>
    <w:rsid w:val="00676AF3"/>
    <w:rsid w:val="00676B2A"/>
    <w:rsid w:val="00676B40"/>
    <w:rsid w:val="00676B46"/>
    <w:rsid w:val="00676B65"/>
    <w:rsid w:val="00676B8E"/>
    <w:rsid w:val="00676BBA"/>
    <w:rsid w:val="00676BBC"/>
    <w:rsid w:val="00676BE0"/>
    <w:rsid w:val="00676BF5"/>
    <w:rsid w:val="00676C00"/>
    <w:rsid w:val="00676C28"/>
    <w:rsid w:val="00676C39"/>
    <w:rsid w:val="00676C84"/>
    <w:rsid w:val="00676C94"/>
    <w:rsid w:val="00676CCD"/>
    <w:rsid w:val="00676D0B"/>
    <w:rsid w:val="00676D12"/>
    <w:rsid w:val="00676DE0"/>
    <w:rsid w:val="00676E08"/>
    <w:rsid w:val="00676E0C"/>
    <w:rsid w:val="00676E67"/>
    <w:rsid w:val="00676ED4"/>
    <w:rsid w:val="00676EFD"/>
    <w:rsid w:val="00676F0B"/>
    <w:rsid w:val="00676F19"/>
    <w:rsid w:val="00676F37"/>
    <w:rsid w:val="00676F3D"/>
    <w:rsid w:val="00676F50"/>
    <w:rsid w:val="00676F9D"/>
    <w:rsid w:val="00676FBE"/>
    <w:rsid w:val="00676FC8"/>
    <w:rsid w:val="00676FF6"/>
    <w:rsid w:val="00677007"/>
    <w:rsid w:val="00677027"/>
    <w:rsid w:val="0067704E"/>
    <w:rsid w:val="0067709A"/>
    <w:rsid w:val="006770AD"/>
    <w:rsid w:val="006770D8"/>
    <w:rsid w:val="00677108"/>
    <w:rsid w:val="00677119"/>
    <w:rsid w:val="0067714B"/>
    <w:rsid w:val="00677153"/>
    <w:rsid w:val="00677176"/>
    <w:rsid w:val="006771C5"/>
    <w:rsid w:val="006771C6"/>
    <w:rsid w:val="006771EF"/>
    <w:rsid w:val="0067720C"/>
    <w:rsid w:val="00677231"/>
    <w:rsid w:val="00677240"/>
    <w:rsid w:val="0067727A"/>
    <w:rsid w:val="006772C8"/>
    <w:rsid w:val="006772E6"/>
    <w:rsid w:val="006772F6"/>
    <w:rsid w:val="00677324"/>
    <w:rsid w:val="00677327"/>
    <w:rsid w:val="00677363"/>
    <w:rsid w:val="00677367"/>
    <w:rsid w:val="00677397"/>
    <w:rsid w:val="0067739F"/>
    <w:rsid w:val="006773A7"/>
    <w:rsid w:val="006774AC"/>
    <w:rsid w:val="006774BD"/>
    <w:rsid w:val="006774C0"/>
    <w:rsid w:val="00677501"/>
    <w:rsid w:val="0067751F"/>
    <w:rsid w:val="00677533"/>
    <w:rsid w:val="00677540"/>
    <w:rsid w:val="00677557"/>
    <w:rsid w:val="0067755F"/>
    <w:rsid w:val="00677596"/>
    <w:rsid w:val="006775CB"/>
    <w:rsid w:val="006776B8"/>
    <w:rsid w:val="006776BC"/>
    <w:rsid w:val="006776D4"/>
    <w:rsid w:val="006776DF"/>
    <w:rsid w:val="00677728"/>
    <w:rsid w:val="00677762"/>
    <w:rsid w:val="00677780"/>
    <w:rsid w:val="006777B0"/>
    <w:rsid w:val="0067786B"/>
    <w:rsid w:val="006778EF"/>
    <w:rsid w:val="00677931"/>
    <w:rsid w:val="00677946"/>
    <w:rsid w:val="00677975"/>
    <w:rsid w:val="0067798F"/>
    <w:rsid w:val="00677994"/>
    <w:rsid w:val="006779DD"/>
    <w:rsid w:val="006779ED"/>
    <w:rsid w:val="006779F1"/>
    <w:rsid w:val="00677A14"/>
    <w:rsid w:val="00677A34"/>
    <w:rsid w:val="00677A38"/>
    <w:rsid w:val="00677A6C"/>
    <w:rsid w:val="00677ACE"/>
    <w:rsid w:val="00677AD7"/>
    <w:rsid w:val="00677B56"/>
    <w:rsid w:val="00677B6D"/>
    <w:rsid w:val="00677B93"/>
    <w:rsid w:val="00677BA0"/>
    <w:rsid w:val="00677BA1"/>
    <w:rsid w:val="00677BA4"/>
    <w:rsid w:val="00677BBD"/>
    <w:rsid w:val="00677BC0"/>
    <w:rsid w:val="00677BFC"/>
    <w:rsid w:val="00677C06"/>
    <w:rsid w:val="00677C0F"/>
    <w:rsid w:val="00677C15"/>
    <w:rsid w:val="00677C3D"/>
    <w:rsid w:val="00677C64"/>
    <w:rsid w:val="00677C9D"/>
    <w:rsid w:val="00677CE3"/>
    <w:rsid w:val="00677CEF"/>
    <w:rsid w:val="00677D16"/>
    <w:rsid w:val="00677D20"/>
    <w:rsid w:val="00677D30"/>
    <w:rsid w:val="00677D42"/>
    <w:rsid w:val="00677D57"/>
    <w:rsid w:val="00677D72"/>
    <w:rsid w:val="00677D9E"/>
    <w:rsid w:val="00677DD8"/>
    <w:rsid w:val="00677DFB"/>
    <w:rsid w:val="00677E13"/>
    <w:rsid w:val="00677E1F"/>
    <w:rsid w:val="00677E21"/>
    <w:rsid w:val="00677E3C"/>
    <w:rsid w:val="00677E68"/>
    <w:rsid w:val="00677E94"/>
    <w:rsid w:val="00677EAB"/>
    <w:rsid w:val="00677EE5"/>
    <w:rsid w:val="00677EF3"/>
    <w:rsid w:val="00677EF7"/>
    <w:rsid w:val="00677F17"/>
    <w:rsid w:val="00677F3D"/>
    <w:rsid w:val="00677F71"/>
    <w:rsid w:val="00677FA2"/>
    <w:rsid w:val="00677FB8"/>
    <w:rsid w:val="0068003D"/>
    <w:rsid w:val="0068006E"/>
    <w:rsid w:val="00680077"/>
    <w:rsid w:val="0068007F"/>
    <w:rsid w:val="006800AE"/>
    <w:rsid w:val="006800C2"/>
    <w:rsid w:val="00680114"/>
    <w:rsid w:val="0068016F"/>
    <w:rsid w:val="006801C4"/>
    <w:rsid w:val="00680229"/>
    <w:rsid w:val="0068024F"/>
    <w:rsid w:val="00680251"/>
    <w:rsid w:val="00680255"/>
    <w:rsid w:val="00680261"/>
    <w:rsid w:val="00680291"/>
    <w:rsid w:val="006802CF"/>
    <w:rsid w:val="006802E3"/>
    <w:rsid w:val="0068030B"/>
    <w:rsid w:val="00680327"/>
    <w:rsid w:val="00680382"/>
    <w:rsid w:val="006803BB"/>
    <w:rsid w:val="006803D9"/>
    <w:rsid w:val="00680428"/>
    <w:rsid w:val="0068042F"/>
    <w:rsid w:val="006804BB"/>
    <w:rsid w:val="006804E2"/>
    <w:rsid w:val="006804FF"/>
    <w:rsid w:val="00680545"/>
    <w:rsid w:val="00680562"/>
    <w:rsid w:val="006805A9"/>
    <w:rsid w:val="006805B9"/>
    <w:rsid w:val="006805C1"/>
    <w:rsid w:val="006805C4"/>
    <w:rsid w:val="006805CD"/>
    <w:rsid w:val="00680695"/>
    <w:rsid w:val="006806A5"/>
    <w:rsid w:val="006806BB"/>
    <w:rsid w:val="006806E4"/>
    <w:rsid w:val="00680710"/>
    <w:rsid w:val="0068072E"/>
    <w:rsid w:val="00680757"/>
    <w:rsid w:val="0068075E"/>
    <w:rsid w:val="0068078F"/>
    <w:rsid w:val="006807AA"/>
    <w:rsid w:val="006807AC"/>
    <w:rsid w:val="006807E2"/>
    <w:rsid w:val="006807F0"/>
    <w:rsid w:val="00680800"/>
    <w:rsid w:val="00680814"/>
    <w:rsid w:val="00680835"/>
    <w:rsid w:val="0068086C"/>
    <w:rsid w:val="00680881"/>
    <w:rsid w:val="006808D4"/>
    <w:rsid w:val="006808E0"/>
    <w:rsid w:val="006808EA"/>
    <w:rsid w:val="0068096A"/>
    <w:rsid w:val="006809AD"/>
    <w:rsid w:val="00680A5F"/>
    <w:rsid w:val="00680A80"/>
    <w:rsid w:val="00680AAF"/>
    <w:rsid w:val="00680AB0"/>
    <w:rsid w:val="00680ABD"/>
    <w:rsid w:val="00680AFE"/>
    <w:rsid w:val="00680B1D"/>
    <w:rsid w:val="00680B6C"/>
    <w:rsid w:val="00680B7C"/>
    <w:rsid w:val="00680B82"/>
    <w:rsid w:val="00680B89"/>
    <w:rsid w:val="00680B91"/>
    <w:rsid w:val="00680BA9"/>
    <w:rsid w:val="00680C4B"/>
    <w:rsid w:val="00680C6E"/>
    <w:rsid w:val="00680C85"/>
    <w:rsid w:val="00680C90"/>
    <w:rsid w:val="00680D29"/>
    <w:rsid w:val="00680D6F"/>
    <w:rsid w:val="00680D94"/>
    <w:rsid w:val="00680DCC"/>
    <w:rsid w:val="00680DD5"/>
    <w:rsid w:val="00680E2D"/>
    <w:rsid w:val="00680E79"/>
    <w:rsid w:val="00680E92"/>
    <w:rsid w:val="00680E99"/>
    <w:rsid w:val="00680EAC"/>
    <w:rsid w:val="00680EDF"/>
    <w:rsid w:val="00680EE6"/>
    <w:rsid w:val="00680EF2"/>
    <w:rsid w:val="00680F08"/>
    <w:rsid w:val="00680F0C"/>
    <w:rsid w:val="00680F53"/>
    <w:rsid w:val="00680F67"/>
    <w:rsid w:val="00680F9A"/>
    <w:rsid w:val="00680FA7"/>
    <w:rsid w:val="00680FD9"/>
    <w:rsid w:val="00680FDB"/>
    <w:rsid w:val="00680FF4"/>
    <w:rsid w:val="00680FFA"/>
    <w:rsid w:val="0068101F"/>
    <w:rsid w:val="0068102F"/>
    <w:rsid w:val="00681031"/>
    <w:rsid w:val="00681032"/>
    <w:rsid w:val="006810A3"/>
    <w:rsid w:val="006810BB"/>
    <w:rsid w:val="006810EA"/>
    <w:rsid w:val="0068110B"/>
    <w:rsid w:val="00681143"/>
    <w:rsid w:val="00681183"/>
    <w:rsid w:val="006811E2"/>
    <w:rsid w:val="006811EC"/>
    <w:rsid w:val="00681206"/>
    <w:rsid w:val="0068121B"/>
    <w:rsid w:val="0068126C"/>
    <w:rsid w:val="006812D1"/>
    <w:rsid w:val="006812F8"/>
    <w:rsid w:val="006812FA"/>
    <w:rsid w:val="00681307"/>
    <w:rsid w:val="0068130A"/>
    <w:rsid w:val="0068134F"/>
    <w:rsid w:val="00681358"/>
    <w:rsid w:val="00681383"/>
    <w:rsid w:val="00681398"/>
    <w:rsid w:val="0068145C"/>
    <w:rsid w:val="00681480"/>
    <w:rsid w:val="006814B8"/>
    <w:rsid w:val="006814D0"/>
    <w:rsid w:val="006814DC"/>
    <w:rsid w:val="006814E1"/>
    <w:rsid w:val="006814E7"/>
    <w:rsid w:val="0068154B"/>
    <w:rsid w:val="00681572"/>
    <w:rsid w:val="006815EC"/>
    <w:rsid w:val="00681604"/>
    <w:rsid w:val="0068160C"/>
    <w:rsid w:val="0068160F"/>
    <w:rsid w:val="0068164D"/>
    <w:rsid w:val="006816AD"/>
    <w:rsid w:val="006816AF"/>
    <w:rsid w:val="006816B9"/>
    <w:rsid w:val="006816E2"/>
    <w:rsid w:val="00681701"/>
    <w:rsid w:val="00681713"/>
    <w:rsid w:val="00681729"/>
    <w:rsid w:val="00681736"/>
    <w:rsid w:val="00681741"/>
    <w:rsid w:val="0068177E"/>
    <w:rsid w:val="00681806"/>
    <w:rsid w:val="0068182B"/>
    <w:rsid w:val="006818CD"/>
    <w:rsid w:val="006818D8"/>
    <w:rsid w:val="00681914"/>
    <w:rsid w:val="00681957"/>
    <w:rsid w:val="0068198C"/>
    <w:rsid w:val="00681990"/>
    <w:rsid w:val="006819F8"/>
    <w:rsid w:val="006819FE"/>
    <w:rsid w:val="00681A12"/>
    <w:rsid w:val="00681AA1"/>
    <w:rsid w:val="00681ABB"/>
    <w:rsid w:val="00681ACF"/>
    <w:rsid w:val="00681AD6"/>
    <w:rsid w:val="00681B34"/>
    <w:rsid w:val="00681B48"/>
    <w:rsid w:val="00681B55"/>
    <w:rsid w:val="00681B6D"/>
    <w:rsid w:val="00681B8B"/>
    <w:rsid w:val="00681BBE"/>
    <w:rsid w:val="00681C31"/>
    <w:rsid w:val="00681C74"/>
    <w:rsid w:val="00681CA1"/>
    <w:rsid w:val="00681CD8"/>
    <w:rsid w:val="00681CFD"/>
    <w:rsid w:val="00681D04"/>
    <w:rsid w:val="00681D08"/>
    <w:rsid w:val="00681D09"/>
    <w:rsid w:val="00681D2E"/>
    <w:rsid w:val="00681D56"/>
    <w:rsid w:val="00681D79"/>
    <w:rsid w:val="00681DA6"/>
    <w:rsid w:val="00681E2A"/>
    <w:rsid w:val="00681E5D"/>
    <w:rsid w:val="00681E7F"/>
    <w:rsid w:val="00681E90"/>
    <w:rsid w:val="00681EE0"/>
    <w:rsid w:val="00681EFC"/>
    <w:rsid w:val="00681F04"/>
    <w:rsid w:val="00681F17"/>
    <w:rsid w:val="00681F4D"/>
    <w:rsid w:val="00681F4E"/>
    <w:rsid w:val="00681F5E"/>
    <w:rsid w:val="00681FA0"/>
    <w:rsid w:val="00681FB8"/>
    <w:rsid w:val="00681FBF"/>
    <w:rsid w:val="00681FC3"/>
    <w:rsid w:val="00681FDD"/>
    <w:rsid w:val="00681FE9"/>
    <w:rsid w:val="00681FF4"/>
    <w:rsid w:val="00682029"/>
    <w:rsid w:val="0068202F"/>
    <w:rsid w:val="0068203C"/>
    <w:rsid w:val="0068207A"/>
    <w:rsid w:val="006820C9"/>
    <w:rsid w:val="006820F1"/>
    <w:rsid w:val="00682109"/>
    <w:rsid w:val="0068210B"/>
    <w:rsid w:val="006821D5"/>
    <w:rsid w:val="006821F8"/>
    <w:rsid w:val="00682245"/>
    <w:rsid w:val="00682255"/>
    <w:rsid w:val="00682297"/>
    <w:rsid w:val="00682299"/>
    <w:rsid w:val="006822A5"/>
    <w:rsid w:val="006822C5"/>
    <w:rsid w:val="006822D6"/>
    <w:rsid w:val="00682305"/>
    <w:rsid w:val="00682330"/>
    <w:rsid w:val="00682334"/>
    <w:rsid w:val="0068234B"/>
    <w:rsid w:val="00682367"/>
    <w:rsid w:val="0068236A"/>
    <w:rsid w:val="0068236B"/>
    <w:rsid w:val="0068239B"/>
    <w:rsid w:val="006823C4"/>
    <w:rsid w:val="006823F0"/>
    <w:rsid w:val="006823F2"/>
    <w:rsid w:val="0068248D"/>
    <w:rsid w:val="006824FD"/>
    <w:rsid w:val="00682535"/>
    <w:rsid w:val="0068254C"/>
    <w:rsid w:val="00682566"/>
    <w:rsid w:val="00682580"/>
    <w:rsid w:val="0068258C"/>
    <w:rsid w:val="00682594"/>
    <w:rsid w:val="0068259C"/>
    <w:rsid w:val="006825A4"/>
    <w:rsid w:val="006825B2"/>
    <w:rsid w:val="006825D8"/>
    <w:rsid w:val="006825E3"/>
    <w:rsid w:val="006825EA"/>
    <w:rsid w:val="006825F3"/>
    <w:rsid w:val="00682609"/>
    <w:rsid w:val="00682696"/>
    <w:rsid w:val="006826FC"/>
    <w:rsid w:val="00682760"/>
    <w:rsid w:val="00682773"/>
    <w:rsid w:val="0068277F"/>
    <w:rsid w:val="00682787"/>
    <w:rsid w:val="00682790"/>
    <w:rsid w:val="00682815"/>
    <w:rsid w:val="0068282B"/>
    <w:rsid w:val="00682850"/>
    <w:rsid w:val="0068285A"/>
    <w:rsid w:val="00682861"/>
    <w:rsid w:val="006828E5"/>
    <w:rsid w:val="0068293A"/>
    <w:rsid w:val="0068293C"/>
    <w:rsid w:val="006829C4"/>
    <w:rsid w:val="006829F5"/>
    <w:rsid w:val="00682A2E"/>
    <w:rsid w:val="00682A34"/>
    <w:rsid w:val="00682A58"/>
    <w:rsid w:val="00682A8B"/>
    <w:rsid w:val="00682A92"/>
    <w:rsid w:val="00682AA2"/>
    <w:rsid w:val="00682AE0"/>
    <w:rsid w:val="00682AF3"/>
    <w:rsid w:val="00682B32"/>
    <w:rsid w:val="00682B72"/>
    <w:rsid w:val="00682B74"/>
    <w:rsid w:val="00682B7E"/>
    <w:rsid w:val="00682B89"/>
    <w:rsid w:val="00682BD9"/>
    <w:rsid w:val="00682BE4"/>
    <w:rsid w:val="00682BEA"/>
    <w:rsid w:val="00682BF1"/>
    <w:rsid w:val="00682BF6"/>
    <w:rsid w:val="00682C19"/>
    <w:rsid w:val="00682C1A"/>
    <w:rsid w:val="00682C28"/>
    <w:rsid w:val="00682C42"/>
    <w:rsid w:val="00682C43"/>
    <w:rsid w:val="00682C4B"/>
    <w:rsid w:val="00682C6D"/>
    <w:rsid w:val="00682CD9"/>
    <w:rsid w:val="00682D16"/>
    <w:rsid w:val="00682D5A"/>
    <w:rsid w:val="00682D5D"/>
    <w:rsid w:val="00682DAB"/>
    <w:rsid w:val="00682DAE"/>
    <w:rsid w:val="00682DAF"/>
    <w:rsid w:val="00682E07"/>
    <w:rsid w:val="00682E0A"/>
    <w:rsid w:val="00682E44"/>
    <w:rsid w:val="00682E72"/>
    <w:rsid w:val="00682E96"/>
    <w:rsid w:val="00682EA5"/>
    <w:rsid w:val="00682EBF"/>
    <w:rsid w:val="00682EE1"/>
    <w:rsid w:val="00682EF8"/>
    <w:rsid w:val="00682F10"/>
    <w:rsid w:val="00682F20"/>
    <w:rsid w:val="00682F28"/>
    <w:rsid w:val="00682F6C"/>
    <w:rsid w:val="00682F7D"/>
    <w:rsid w:val="00682FA6"/>
    <w:rsid w:val="00682FAD"/>
    <w:rsid w:val="00682FCC"/>
    <w:rsid w:val="00682FEC"/>
    <w:rsid w:val="00682FFB"/>
    <w:rsid w:val="00683028"/>
    <w:rsid w:val="0068307A"/>
    <w:rsid w:val="006830E4"/>
    <w:rsid w:val="006830ED"/>
    <w:rsid w:val="0068311B"/>
    <w:rsid w:val="0068312A"/>
    <w:rsid w:val="0068312E"/>
    <w:rsid w:val="0068312F"/>
    <w:rsid w:val="006831C9"/>
    <w:rsid w:val="0068323C"/>
    <w:rsid w:val="0068324A"/>
    <w:rsid w:val="00683271"/>
    <w:rsid w:val="00683274"/>
    <w:rsid w:val="00683280"/>
    <w:rsid w:val="00683299"/>
    <w:rsid w:val="006832BE"/>
    <w:rsid w:val="006832DE"/>
    <w:rsid w:val="00683379"/>
    <w:rsid w:val="006833A5"/>
    <w:rsid w:val="006833C5"/>
    <w:rsid w:val="006833DF"/>
    <w:rsid w:val="006833E6"/>
    <w:rsid w:val="00683403"/>
    <w:rsid w:val="00683439"/>
    <w:rsid w:val="00683470"/>
    <w:rsid w:val="00683498"/>
    <w:rsid w:val="006834E1"/>
    <w:rsid w:val="0068350D"/>
    <w:rsid w:val="00683521"/>
    <w:rsid w:val="006835A6"/>
    <w:rsid w:val="006835E9"/>
    <w:rsid w:val="00683619"/>
    <w:rsid w:val="0068364F"/>
    <w:rsid w:val="0068366B"/>
    <w:rsid w:val="006836A0"/>
    <w:rsid w:val="006836ED"/>
    <w:rsid w:val="00683711"/>
    <w:rsid w:val="00683764"/>
    <w:rsid w:val="00683767"/>
    <w:rsid w:val="0068378B"/>
    <w:rsid w:val="006837A6"/>
    <w:rsid w:val="006837B9"/>
    <w:rsid w:val="006837BA"/>
    <w:rsid w:val="006837D7"/>
    <w:rsid w:val="006837E0"/>
    <w:rsid w:val="006837E9"/>
    <w:rsid w:val="006837ED"/>
    <w:rsid w:val="0068381A"/>
    <w:rsid w:val="00683828"/>
    <w:rsid w:val="00683841"/>
    <w:rsid w:val="0068385E"/>
    <w:rsid w:val="00683870"/>
    <w:rsid w:val="00683871"/>
    <w:rsid w:val="00683874"/>
    <w:rsid w:val="006838A1"/>
    <w:rsid w:val="006838C3"/>
    <w:rsid w:val="006838E5"/>
    <w:rsid w:val="0068390C"/>
    <w:rsid w:val="00683928"/>
    <w:rsid w:val="00683939"/>
    <w:rsid w:val="0068394C"/>
    <w:rsid w:val="006839B5"/>
    <w:rsid w:val="006839C6"/>
    <w:rsid w:val="006839FE"/>
    <w:rsid w:val="00683A00"/>
    <w:rsid w:val="00683A01"/>
    <w:rsid w:val="00683A2F"/>
    <w:rsid w:val="00683A35"/>
    <w:rsid w:val="00683A36"/>
    <w:rsid w:val="00683A4A"/>
    <w:rsid w:val="00683A5E"/>
    <w:rsid w:val="00683A94"/>
    <w:rsid w:val="00683AB2"/>
    <w:rsid w:val="00683AC4"/>
    <w:rsid w:val="00683B1A"/>
    <w:rsid w:val="00683B87"/>
    <w:rsid w:val="00683B97"/>
    <w:rsid w:val="00683BB3"/>
    <w:rsid w:val="00683BBE"/>
    <w:rsid w:val="00683BCD"/>
    <w:rsid w:val="00683BE2"/>
    <w:rsid w:val="00683BF3"/>
    <w:rsid w:val="00683C06"/>
    <w:rsid w:val="00683C38"/>
    <w:rsid w:val="00683C40"/>
    <w:rsid w:val="00683C55"/>
    <w:rsid w:val="00683C59"/>
    <w:rsid w:val="00683C5E"/>
    <w:rsid w:val="00683C70"/>
    <w:rsid w:val="00683C73"/>
    <w:rsid w:val="00683CB1"/>
    <w:rsid w:val="00683CB7"/>
    <w:rsid w:val="00683CC6"/>
    <w:rsid w:val="00683D18"/>
    <w:rsid w:val="00683D1E"/>
    <w:rsid w:val="00683D39"/>
    <w:rsid w:val="00683D51"/>
    <w:rsid w:val="00683DCC"/>
    <w:rsid w:val="00683DD8"/>
    <w:rsid w:val="00683DE5"/>
    <w:rsid w:val="00683E04"/>
    <w:rsid w:val="00683E24"/>
    <w:rsid w:val="00683E69"/>
    <w:rsid w:val="00683E6F"/>
    <w:rsid w:val="00683E86"/>
    <w:rsid w:val="00683E9F"/>
    <w:rsid w:val="00683EC9"/>
    <w:rsid w:val="00683EF8"/>
    <w:rsid w:val="00683EFD"/>
    <w:rsid w:val="00683F3D"/>
    <w:rsid w:val="00683F40"/>
    <w:rsid w:val="00683F94"/>
    <w:rsid w:val="00683F9C"/>
    <w:rsid w:val="00684001"/>
    <w:rsid w:val="00684062"/>
    <w:rsid w:val="00684067"/>
    <w:rsid w:val="00684089"/>
    <w:rsid w:val="0068409A"/>
    <w:rsid w:val="006840B0"/>
    <w:rsid w:val="006840BC"/>
    <w:rsid w:val="00684104"/>
    <w:rsid w:val="00684164"/>
    <w:rsid w:val="0068416E"/>
    <w:rsid w:val="0068418A"/>
    <w:rsid w:val="0068418E"/>
    <w:rsid w:val="0068419B"/>
    <w:rsid w:val="006841B0"/>
    <w:rsid w:val="006841B6"/>
    <w:rsid w:val="006841ED"/>
    <w:rsid w:val="00684263"/>
    <w:rsid w:val="006842B2"/>
    <w:rsid w:val="00684322"/>
    <w:rsid w:val="00684346"/>
    <w:rsid w:val="006843A4"/>
    <w:rsid w:val="00684417"/>
    <w:rsid w:val="00684424"/>
    <w:rsid w:val="00684439"/>
    <w:rsid w:val="00684450"/>
    <w:rsid w:val="00684453"/>
    <w:rsid w:val="006844B7"/>
    <w:rsid w:val="006844D3"/>
    <w:rsid w:val="00684534"/>
    <w:rsid w:val="00684535"/>
    <w:rsid w:val="00684578"/>
    <w:rsid w:val="0068457C"/>
    <w:rsid w:val="0068459A"/>
    <w:rsid w:val="006845DD"/>
    <w:rsid w:val="0068461D"/>
    <w:rsid w:val="00684714"/>
    <w:rsid w:val="00684720"/>
    <w:rsid w:val="00684741"/>
    <w:rsid w:val="0068478C"/>
    <w:rsid w:val="00684797"/>
    <w:rsid w:val="006847BC"/>
    <w:rsid w:val="006847E7"/>
    <w:rsid w:val="006847EC"/>
    <w:rsid w:val="00684875"/>
    <w:rsid w:val="00684877"/>
    <w:rsid w:val="006848B8"/>
    <w:rsid w:val="006848E3"/>
    <w:rsid w:val="006848E4"/>
    <w:rsid w:val="00684920"/>
    <w:rsid w:val="0068493A"/>
    <w:rsid w:val="00684962"/>
    <w:rsid w:val="00684964"/>
    <w:rsid w:val="00684989"/>
    <w:rsid w:val="0068498B"/>
    <w:rsid w:val="0068499C"/>
    <w:rsid w:val="006849C4"/>
    <w:rsid w:val="006849D1"/>
    <w:rsid w:val="006849EF"/>
    <w:rsid w:val="00684A1C"/>
    <w:rsid w:val="00684A3E"/>
    <w:rsid w:val="00684A41"/>
    <w:rsid w:val="00684A6F"/>
    <w:rsid w:val="00684AA1"/>
    <w:rsid w:val="00684ACC"/>
    <w:rsid w:val="00684B01"/>
    <w:rsid w:val="00684B1B"/>
    <w:rsid w:val="00684B28"/>
    <w:rsid w:val="00684B89"/>
    <w:rsid w:val="00684BC3"/>
    <w:rsid w:val="00684BC4"/>
    <w:rsid w:val="00684BC6"/>
    <w:rsid w:val="00684BC7"/>
    <w:rsid w:val="00684BCE"/>
    <w:rsid w:val="00684C0C"/>
    <w:rsid w:val="00684C99"/>
    <w:rsid w:val="00684C9B"/>
    <w:rsid w:val="00684C9C"/>
    <w:rsid w:val="00684CA9"/>
    <w:rsid w:val="00684D2A"/>
    <w:rsid w:val="00684D3E"/>
    <w:rsid w:val="00684D4E"/>
    <w:rsid w:val="00684D50"/>
    <w:rsid w:val="00684D81"/>
    <w:rsid w:val="00684DB6"/>
    <w:rsid w:val="00684DD6"/>
    <w:rsid w:val="00684DEE"/>
    <w:rsid w:val="00684E48"/>
    <w:rsid w:val="00684E52"/>
    <w:rsid w:val="00684E5B"/>
    <w:rsid w:val="00684E5E"/>
    <w:rsid w:val="00684E6B"/>
    <w:rsid w:val="00684E84"/>
    <w:rsid w:val="00684E95"/>
    <w:rsid w:val="00684EB7"/>
    <w:rsid w:val="00684EC3"/>
    <w:rsid w:val="00684EE7"/>
    <w:rsid w:val="00684F03"/>
    <w:rsid w:val="00684F06"/>
    <w:rsid w:val="00684F61"/>
    <w:rsid w:val="00684F6D"/>
    <w:rsid w:val="00684F7E"/>
    <w:rsid w:val="00684FB7"/>
    <w:rsid w:val="00684FDA"/>
    <w:rsid w:val="0068505A"/>
    <w:rsid w:val="0068506D"/>
    <w:rsid w:val="00685088"/>
    <w:rsid w:val="0068509E"/>
    <w:rsid w:val="006850BC"/>
    <w:rsid w:val="006850EA"/>
    <w:rsid w:val="00685119"/>
    <w:rsid w:val="00685177"/>
    <w:rsid w:val="006851B4"/>
    <w:rsid w:val="006851FB"/>
    <w:rsid w:val="0068521B"/>
    <w:rsid w:val="0068521C"/>
    <w:rsid w:val="0068521F"/>
    <w:rsid w:val="0068522A"/>
    <w:rsid w:val="0068522D"/>
    <w:rsid w:val="0068523E"/>
    <w:rsid w:val="006852AA"/>
    <w:rsid w:val="006852DA"/>
    <w:rsid w:val="0068530D"/>
    <w:rsid w:val="00685365"/>
    <w:rsid w:val="006853E0"/>
    <w:rsid w:val="00685410"/>
    <w:rsid w:val="00685439"/>
    <w:rsid w:val="0068543F"/>
    <w:rsid w:val="006854A0"/>
    <w:rsid w:val="006854A3"/>
    <w:rsid w:val="006854AD"/>
    <w:rsid w:val="006854C4"/>
    <w:rsid w:val="0068552C"/>
    <w:rsid w:val="00685539"/>
    <w:rsid w:val="006855AE"/>
    <w:rsid w:val="00685639"/>
    <w:rsid w:val="0068565B"/>
    <w:rsid w:val="00685687"/>
    <w:rsid w:val="006856C7"/>
    <w:rsid w:val="006856F5"/>
    <w:rsid w:val="0068570C"/>
    <w:rsid w:val="00685753"/>
    <w:rsid w:val="00685769"/>
    <w:rsid w:val="00685772"/>
    <w:rsid w:val="006857B2"/>
    <w:rsid w:val="006857DA"/>
    <w:rsid w:val="006857DF"/>
    <w:rsid w:val="006857E7"/>
    <w:rsid w:val="006857F1"/>
    <w:rsid w:val="00685839"/>
    <w:rsid w:val="00685894"/>
    <w:rsid w:val="006858C4"/>
    <w:rsid w:val="006858F5"/>
    <w:rsid w:val="00685911"/>
    <w:rsid w:val="00685923"/>
    <w:rsid w:val="00685925"/>
    <w:rsid w:val="00685962"/>
    <w:rsid w:val="006859EC"/>
    <w:rsid w:val="00685A11"/>
    <w:rsid w:val="00685A4D"/>
    <w:rsid w:val="00685AC9"/>
    <w:rsid w:val="00685AE3"/>
    <w:rsid w:val="00685AF1"/>
    <w:rsid w:val="00685B39"/>
    <w:rsid w:val="00685B53"/>
    <w:rsid w:val="00685BB6"/>
    <w:rsid w:val="00685BB8"/>
    <w:rsid w:val="00685BC8"/>
    <w:rsid w:val="00685BCA"/>
    <w:rsid w:val="00685C58"/>
    <w:rsid w:val="00685CEC"/>
    <w:rsid w:val="00685D0F"/>
    <w:rsid w:val="00685D57"/>
    <w:rsid w:val="00685D95"/>
    <w:rsid w:val="00685E31"/>
    <w:rsid w:val="00685E52"/>
    <w:rsid w:val="00685E5D"/>
    <w:rsid w:val="00685ED9"/>
    <w:rsid w:val="00685F36"/>
    <w:rsid w:val="00685FDD"/>
    <w:rsid w:val="00685FF6"/>
    <w:rsid w:val="00686034"/>
    <w:rsid w:val="0068607F"/>
    <w:rsid w:val="00686090"/>
    <w:rsid w:val="006860C6"/>
    <w:rsid w:val="00686114"/>
    <w:rsid w:val="0068611D"/>
    <w:rsid w:val="0068613C"/>
    <w:rsid w:val="00686162"/>
    <w:rsid w:val="00686186"/>
    <w:rsid w:val="0068619B"/>
    <w:rsid w:val="006861E1"/>
    <w:rsid w:val="006862CA"/>
    <w:rsid w:val="006862CD"/>
    <w:rsid w:val="006862EA"/>
    <w:rsid w:val="00686327"/>
    <w:rsid w:val="0068632A"/>
    <w:rsid w:val="0068634F"/>
    <w:rsid w:val="00686375"/>
    <w:rsid w:val="0068637F"/>
    <w:rsid w:val="00686395"/>
    <w:rsid w:val="00686396"/>
    <w:rsid w:val="006863D0"/>
    <w:rsid w:val="006863FC"/>
    <w:rsid w:val="00686424"/>
    <w:rsid w:val="0068642F"/>
    <w:rsid w:val="0068649F"/>
    <w:rsid w:val="006864B9"/>
    <w:rsid w:val="006864D3"/>
    <w:rsid w:val="0068651E"/>
    <w:rsid w:val="00686573"/>
    <w:rsid w:val="00686576"/>
    <w:rsid w:val="006865B1"/>
    <w:rsid w:val="006865DC"/>
    <w:rsid w:val="00686609"/>
    <w:rsid w:val="00686621"/>
    <w:rsid w:val="006866AE"/>
    <w:rsid w:val="006866FB"/>
    <w:rsid w:val="00686711"/>
    <w:rsid w:val="0068673F"/>
    <w:rsid w:val="00686786"/>
    <w:rsid w:val="0068679A"/>
    <w:rsid w:val="006867A5"/>
    <w:rsid w:val="006867C4"/>
    <w:rsid w:val="006867E7"/>
    <w:rsid w:val="006867FE"/>
    <w:rsid w:val="0068684E"/>
    <w:rsid w:val="00686863"/>
    <w:rsid w:val="00686918"/>
    <w:rsid w:val="0068691C"/>
    <w:rsid w:val="00686932"/>
    <w:rsid w:val="0068697C"/>
    <w:rsid w:val="0068698B"/>
    <w:rsid w:val="00686994"/>
    <w:rsid w:val="0068699F"/>
    <w:rsid w:val="006869CB"/>
    <w:rsid w:val="006869DF"/>
    <w:rsid w:val="006869E4"/>
    <w:rsid w:val="00686A1C"/>
    <w:rsid w:val="00686AB9"/>
    <w:rsid w:val="00686ABF"/>
    <w:rsid w:val="00686AE1"/>
    <w:rsid w:val="00686B29"/>
    <w:rsid w:val="00686B43"/>
    <w:rsid w:val="00686B65"/>
    <w:rsid w:val="00686B7C"/>
    <w:rsid w:val="00686BA0"/>
    <w:rsid w:val="00686BB2"/>
    <w:rsid w:val="00686C35"/>
    <w:rsid w:val="00686C49"/>
    <w:rsid w:val="00686C64"/>
    <w:rsid w:val="00686C9F"/>
    <w:rsid w:val="00686CB6"/>
    <w:rsid w:val="00686CF2"/>
    <w:rsid w:val="00686CF3"/>
    <w:rsid w:val="00686D3E"/>
    <w:rsid w:val="00686D73"/>
    <w:rsid w:val="00686D80"/>
    <w:rsid w:val="00686D88"/>
    <w:rsid w:val="00686D8C"/>
    <w:rsid w:val="00686DAA"/>
    <w:rsid w:val="00686E37"/>
    <w:rsid w:val="00686E4C"/>
    <w:rsid w:val="00686E9D"/>
    <w:rsid w:val="00686EFA"/>
    <w:rsid w:val="00686EFB"/>
    <w:rsid w:val="00686FAB"/>
    <w:rsid w:val="00686FAD"/>
    <w:rsid w:val="00686FD2"/>
    <w:rsid w:val="0068702F"/>
    <w:rsid w:val="006870D1"/>
    <w:rsid w:val="006870E5"/>
    <w:rsid w:val="006870E6"/>
    <w:rsid w:val="0068710A"/>
    <w:rsid w:val="00687143"/>
    <w:rsid w:val="0068715A"/>
    <w:rsid w:val="006871BC"/>
    <w:rsid w:val="006871DC"/>
    <w:rsid w:val="006871E6"/>
    <w:rsid w:val="00687248"/>
    <w:rsid w:val="0068728B"/>
    <w:rsid w:val="00687290"/>
    <w:rsid w:val="00687293"/>
    <w:rsid w:val="00687295"/>
    <w:rsid w:val="00687299"/>
    <w:rsid w:val="0068729E"/>
    <w:rsid w:val="006872D2"/>
    <w:rsid w:val="006872E6"/>
    <w:rsid w:val="006872E8"/>
    <w:rsid w:val="006872F8"/>
    <w:rsid w:val="0068732C"/>
    <w:rsid w:val="0068736A"/>
    <w:rsid w:val="0068736C"/>
    <w:rsid w:val="00687383"/>
    <w:rsid w:val="006873D4"/>
    <w:rsid w:val="006873F7"/>
    <w:rsid w:val="00687437"/>
    <w:rsid w:val="00687453"/>
    <w:rsid w:val="00687483"/>
    <w:rsid w:val="006874DB"/>
    <w:rsid w:val="006874E2"/>
    <w:rsid w:val="006874F7"/>
    <w:rsid w:val="00687580"/>
    <w:rsid w:val="006875BA"/>
    <w:rsid w:val="006875CD"/>
    <w:rsid w:val="0068761D"/>
    <w:rsid w:val="0068762D"/>
    <w:rsid w:val="006876D0"/>
    <w:rsid w:val="006876E6"/>
    <w:rsid w:val="00687740"/>
    <w:rsid w:val="00687759"/>
    <w:rsid w:val="00687773"/>
    <w:rsid w:val="00687779"/>
    <w:rsid w:val="00687787"/>
    <w:rsid w:val="00687788"/>
    <w:rsid w:val="00687797"/>
    <w:rsid w:val="006877C2"/>
    <w:rsid w:val="006877D3"/>
    <w:rsid w:val="006877F4"/>
    <w:rsid w:val="0068784F"/>
    <w:rsid w:val="0068786C"/>
    <w:rsid w:val="006878C4"/>
    <w:rsid w:val="006878FB"/>
    <w:rsid w:val="0068792E"/>
    <w:rsid w:val="00687A2C"/>
    <w:rsid w:val="00687AB2"/>
    <w:rsid w:val="00687B25"/>
    <w:rsid w:val="00687B3C"/>
    <w:rsid w:val="00687BBE"/>
    <w:rsid w:val="00687BC1"/>
    <w:rsid w:val="00687CBC"/>
    <w:rsid w:val="00687CFA"/>
    <w:rsid w:val="00687D04"/>
    <w:rsid w:val="00687D3B"/>
    <w:rsid w:val="00687D4D"/>
    <w:rsid w:val="00687D6D"/>
    <w:rsid w:val="00687DB4"/>
    <w:rsid w:val="00687DD1"/>
    <w:rsid w:val="00687E07"/>
    <w:rsid w:val="00687E1F"/>
    <w:rsid w:val="00687E4F"/>
    <w:rsid w:val="00687E58"/>
    <w:rsid w:val="00687E95"/>
    <w:rsid w:val="00687EC4"/>
    <w:rsid w:val="00687EE9"/>
    <w:rsid w:val="00687F08"/>
    <w:rsid w:val="00687F98"/>
    <w:rsid w:val="00687FC2"/>
    <w:rsid w:val="00690027"/>
    <w:rsid w:val="0069002C"/>
    <w:rsid w:val="00690036"/>
    <w:rsid w:val="00690075"/>
    <w:rsid w:val="00690081"/>
    <w:rsid w:val="006900D3"/>
    <w:rsid w:val="006900DE"/>
    <w:rsid w:val="006900F0"/>
    <w:rsid w:val="006900F4"/>
    <w:rsid w:val="00690128"/>
    <w:rsid w:val="0069012F"/>
    <w:rsid w:val="00690146"/>
    <w:rsid w:val="00690229"/>
    <w:rsid w:val="00690277"/>
    <w:rsid w:val="0069028E"/>
    <w:rsid w:val="006902D7"/>
    <w:rsid w:val="006902DB"/>
    <w:rsid w:val="00690310"/>
    <w:rsid w:val="00690388"/>
    <w:rsid w:val="006903C0"/>
    <w:rsid w:val="00690438"/>
    <w:rsid w:val="0069047E"/>
    <w:rsid w:val="00690487"/>
    <w:rsid w:val="006904B9"/>
    <w:rsid w:val="0069053E"/>
    <w:rsid w:val="0069054C"/>
    <w:rsid w:val="00690593"/>
    <w:rsid w:val="006905F8"/>
    <w:rsid w:val="00690600"/>
    <w:rsid w:val="00690665"/>
    <w:rsid w:val="0069066B"/>
    <w:rsid w:val="00690684"/>
    <w:rsid w:val="00690730"/>
    <w:rsid w:val="00690788"/>
    <w:rsid w:val="006907A4"/>
    <w:rsid w:val="006907A6"/>
    <w:rsid w:val="006907B1"/>
    <w:rsid w:val="006907B9"/>
    <w:rsid w:val="006907CD"/>
    <w:rsid w:val="006907E3"/>
    <w:rsid w:val="006907FB"/>
    <w:rsid w:val="00690805"/>
    <w:rsid w:val="006908AC"/>
    <w:rsid w:val="006908C5"/>
    <w:rsid w:val="006908D9"/>
    <w:rsid w:val="006908FD"/>
    <w:rsid w:val="00690927"/>
    <w:rsid w:val="0069092B"/>
    <w:rsid w:val="00690944"/>
    <w:rsid w:val="00690971"/>
    <w:rsid w:val="00690995"/>
    <w:rsid w:val="006909C4"/>
    <w:rsid w:val="006909F5"/>
    <w:rsid w:val="00690A7F"/>
    <w:rsid w:val="00690AAA"/>
    <w:rsid w:val="00690AAB"/>
    <w:rsid w:val="00690AB6"/>
    <w:rsid w:val="00690B39"/>
    <w:rsid w:val="00690B3F"/>
    <w:rsid w:val="00690B7A"/>
    <w:rsid w:val="00690BC2"/>
    <w:rsid w:val="00690BCA"/>
    <w:rsid w:val="00690BDF"/>
    <w:rsid w:val="00690C23"/>
    <w:rsid w:val="00690C38"/>
    <w:rsid w:val="00690C5F"/>
    <w:rsid w:val="00690C85"/>
    <w:rsid w:val="00690CF9"/>
    <w:rsid w:val="00690D0D"/>
    <w:rsid w:val="00690D27"/>
    <w:rsid w:val="00690D35"/>
    <w:rsid w:val="00690D38"/>
    <w:rsid w:val="00690D47"/>
    <w:rsid w:val="00690D55"/>
    <w:rsid w:val="00690D6B"/>
    <w:rsid w:val="00690D74"/>
    <w:rsid w:val="00690D84"/>
    <w:rsid w:val="00690DC0"/>
    <w:rsid w:val="00690DC7"/>
    <w:rsid w:val="00690DEA"/>
    <w:rsid w:val="00690E29"/>
    <w:rsid w:val="00690E4C"/>
    <w:rsid w:val="00690EA0"/>
    <w:rsid w:val="00690EA2"/>
    <w:rsid w:val="00690EFD"/>
    <w:rsid w:val="00690F0D"/>
    <w:rsid w:val="00690F22"/>
    <w:rsid w:val="00690F38"/>
    <w:rsid w:val="00690F41"/>
    <w:rsid w:val="00690F87"/>
    <w:rsid w:val="00690F8B"/>
    <w:rsid w:val="00690FBC"/>
    <w:rsid w:val="00691005"/>
    <w:rsid w:val="0069101A"/>
    <w:rsid w:val="0069101C"/>
    <w:rsid w:val="00691022"/>
    <w:rsid w:val="00691043"/>
    <w:rsid w:val="00691064"/>
    <w:rsid w:val="00691089"/>
    <w:rsid w:val="00691092"/>
    <w:rsid w:val="006910D2"/>
    <w:rsid w:val="006910D9"/>
    <w:rsid w:val="006910E0"/>
    <w:rsid w:val="006910E2"/>
    <w:rsid w:val="00691179"/>
    <w:rsid w:val="00691189"/>
    <w:rsid w:val="00691194"/>
    <w:rsid w:val="006911E8"/>
    <w:rsid w:val="00691219"/>
    <w:rsid w:val="0069123A"/>
    <w:rsid w:val="0069123E"/>
    <w:rsid w:val="0069129E"/>
    <w:rsid w:val="006912AC"/>
    <w:rsid w:val="006912BF"/>
    <w:rsid w:val="006912C2"/>
    <w:rsid w:val="006912C6"/>
    <w:rsid w:val="00691305"/>
    <w:rsid w:val="00691338"/>
    <w:rsid w:val="00691347"/>
    <w:rsid w:val="0069134F"/>
    <w:rsid w:val="0069135F"/>
    <w:rsid w:val="00691373"/>
    <w:rsid w:val="00691382"/>
    <w:rsid w:val="00691395"/>
    <w:rsid w:val="0069139D"/>
    <w:rsid w:val="006913B2"/>
    <w:rsid w:val="0069144A"/>
    <w:rsid w:val="00691460"/>
    <w:rsid w:val="0069147E"/>
    <w:rsid w:val="0069148E"/>
    <w:rsid w:val="00691494"/>
    <w:rsid w:val="006914D4"/>
    <w:rsid w:val="00691511"/>
    <w:rsid w:val="00691512"/>
    <w:rsid w:val="00691535"/>
    <w:rsid w:val="00691541"/>
    <w:rsid w:val="00691555"/>
    <w:rsid w:val="00691561"/>
    <w:rsid w:val="00691568"/>
    <w:rsid w:val="006915BD"/>
    <w:rsid w:val="006915D1"/>
    <w:rsid w:val="0069162B"/>
    <w:rsid w:val="00691638"/>
    <w:rsid w:val="00691645"/>
    <w:rsid w:val="006916BF"/>
    <w:rsid w:val="006916DD"/>
    <w:rsid w:val="006916E3"/>
    <w:rsid w:val="00691752"/>
    <w:rsid w:val="0069179F"/>
    <w:rsid w:val="006917AA"/>
    <w:rsid w:val="006917B4"/>
    <w:rsid w:val="006917CC"/>
    <w:rsid w:val="006917DE"/>
    <w:rsid w:val="006917EF"/>
    <w:rsid w:val="00691808"/>
    <w:rsid w:val="00691809"/>
    <w:rsid w:val="0069180F"/>
    <w:rsid w:val="00691872"/>
    <w:rsid w:val="00691878"/>
    <w:rsid w:val="0069188B"/>
    <w:rsid w:val="0069189A"/>
    <w:rsid w:val="006918AA"/>
    <w:rsid w:val="006918AB"/>
    <w:rsid w:val="006918E5"/>
    <w:rsid w:val="00691913"/>
    <w:rsid w:val="0069196E"/>
    <w:rsid w:val="00691982"/>
    <w:rsid w:val="00691989"/>
    <w:rsid w:val="006919AE"/>
    <w:rsid w:val="006919BF"/>
    <w:rsid w:val="006919D7"/>
    <w:rsid w:val="00691A12"/>
    <w:rsid w:val="00691A1A"/>
    <w:rsid w:val="00691A1E"/>
    <w:rsid w:val="00691A46"/>
    <w:rsid w:val="00691A68"/>
    <w:rsid w:val="00691A73"/>
    <w:rsid w:val="00691AEA"/>
    <w:rsid w:val="00691AF7"/>
    <w:rsid w:val="00691B08"/>
    <w:rsid w:val="00691B5F"/>
    <w:rsid w:val="00691B67"/>
    <w:rsid w:val="00691B84"/>
    <w:rsid w:val="00691B8E"/>
    <w:rsid w:val="00691BD4"/>
    <w:rsid w:val="00691BFE"/>
    <w:rsid w:val="00691C18"/>
    <w:rsid w:val="00691C38"/>
    <w:rsid w:val="00691C7D"/>
    <w:rsid w:val="00691C80"/>
    <w:rsid w:val="00691C94"/>
    <w:rsid w:val="00691C9C"/>
    <w:rsid w:val="00691CA0"/>
    <w:rsid w:val="00691D5A"/>
    <w:rsid w:val="00691D5F"/>
    <w:rsid w:val="00691D73"/>
    <w:rsid w:val="00691D81"/>
    <w:rsid w:val="00691DB5"/>
    <w:rsid w:val="00691DDC"/>
    <w:rsid w:val="00691E0E"/>
    <w:rsid w:val="00691E52"/>
    <w:rsid w:val="00691E53"/>
    <w:rsid w:val="00691E76"/>
    <w:rsid w:val="00691EA2"/>
    <w:rsid w:val="00691EC3"/>
    <w:rsid w:val="00691EDA"/>
    <w:rsid w:val="00691EDC"/>
    <w:rsid w:val="00691EF8"/>
    <w:rsid w:val="00691F5F"/>
    <w:rsid w:val="00691FB0"/>
    <w:rsid w:val="00691FB8"/>
    <w:rsid w:val="00691FC9"/>
    <w:rsid w:val="00691FED"/>
    <w:rsid w:val="006920AF"/>
    <w:rsid w:val="006920B5"/>
    <w:rsid w:val="006920C5"/>
    <w:rsid w:val="0069210A"/>
    <w:rsid w:val="0069210C"/>
    <w:rsid w:val="00692140"/>
    <w:rsid w:val="00692152"/>
    <w:rsid w:val="00692161"/>
    <w:rsid w:val="00692177"/>
    <w:rsid w:val="00692184"/>
    <w:rsid w:val="00692193"/>
    <w:rsid w:val="006921A4"/>
    <w:rsid w:val="006921B2"/>
    <w:rsid w:val="006921FD"/>
    <w:rsid w:val="00692200"/>
    <w:rsid w:val="00692228"/>
    <w:rsid w:val="00692233"/>
    <w:rsid w:val="006922A1"/>
    <w:rsid w:val="006922B4"/>
    <w:rsid w:val="006922BF"/>
    <w:rsid w:val="0069234E"/>
    <w:rsid w:val="00692389"/>
    <w:rsid w:val="00692394"/>
    <w:rsid w:val="006923BE"/>
    <w:rsid w:val="006923C6"/>
    <w:rsid w:val="006923CB"/>
    <w:rsid w:val="006923D4"/>
    <w:rsid w:val="006923EA"/>
    <w:rsid w:val="00692474"/>
    <w:rsid w:val="006924B9"/>
    <w:rsid w:val="006924E2"/>
    <w:rsid w:val="006924FB"/>
    <w:rsid w:val="00692526"/>
    <w:rsid w:val="00692539"/>
    <w:rsid w:val="00692558"/>
    <w:rsid w:val="00692564"/>
    <w:rsid w:val="00692572"/>
    <w:rsid w:val="0069258E"/>
    <w:rsid w:val="006925DD"/>
    <w:rsid w:val="006926D7"/>
    <w:rsid w:val="006926DC"/>
    <w:rsid w:val="006926E5"/>
    <w:rsid w:val="00692724"/>
    <w:rsid w:val="0069272C"/>
    <w:rsid w:val="0069273E"/>
    <w:rsid w:val="006927AA"/>
    <w:rsid w:val="006927BF"/>
    <w:rsid w:val="0069280A"/>
    <w:rsid w:val="00692864"/>
    <w:rsid w:val="006928C3"/>
    <w:rsid w:val="006928CC"/>
    <w:rsid w:val="00692919"/>
    <w:rsid w:val="0069292F"/>
    <w:rsid w:val="00692969"/>
    <w:rsid w:val="00692971"/>
    <w:rsid w:val="00692983"/>
    <w:rsid w:val="0069299D"/>
    <w:rsid w:val="006929A7"/>
    <w:rsid w:val="006929B8"/>
    <w:rsid w:val="006929FD"/>
    <w:rsid w:val="00692A30"/>
    <w:rsid w:val="00692AB1"/>
    <w:rsid w:val="00692AB4"/>
    <w:rsid w:val="00692B28"/>
    <w:rsid w:val="00692B33"/>
    <w:rsid w:val="00692B3C"/>
    <w:rsid w:val="00692B55"/>
    <w:rsid w:val="00692B76"/>
    <w:rsid w:val="00692B77"/>
    <w:rsid w:val="00692B7B"/>
    <w:rsid w:val="00692B80"/>
    <w:rsid w:val="00692BC7"/>
    <w:rsid w:val="00692BFF"/>
    <w:rsid w:val="00692C28"/>
    <w:rsid w:val="00692C48"/>
    <w:rsid w:val="00692C94"/>
    <w:rsid w:val="00692CBF"/>
    <w:rsid w:val="00692CFC"/>
    <w:rsid w:val="00692CFF"/>
    <w:rsid w:val="00692D21"/>
    <w:rsid w:val="00692D57"/>
    <w:rsid w:val="00692D5E"/>
    <w:rsid w:val="00692D8E"/>
    <w:rsid w:val="00692D97"/>
    <w:rsid w:val="00692DAE"/>
    <w:rsid w:val="00692DD1"/>
    <w:rsid w:val="00692DD6"/>
    <w:rsid w:val="00692E17"/>
    <w:rsid w:val="00692E1E"/>
    <w:rsid w:val="00692E22"/>
    <w:rsid w:val="00692E2C"/>
    <w:rsid w:val="00692E39"/>
    <w:rsid w:val="00692E57"/>
    <w:rsid w:val="00692E7C"/>
    <w:rsid w:val="00692EE7"/>
    <w:rsid w:val="00692F36"/>
    <w:rsid w:val="00692F48"/>
    <w:rsid w:val="00692F49"/>
    <w:rsid w:val="00692F4F"/>
    <w:rsid w:val="00692F79"/>
    <w:rsid w:val="00692FC4"/>
    <w:rsid w:val="00692FC7"/>
    <w:rsid w:val="0069306C"/>
    <w:rsid w:val="0069308A"/>
    <w:rsid w:val="0069308B"/>
    <w:rsid w:val="00693092"/>
    <w:rsid w:val="006930D5"/>
    <w:rsid w:val="006930E4"/>
    <w:rsid w:val="006930F1"/>
    <w:rsid w:val="006930FC"/>
    <w:rsid w:val="0069311B"/>
    <w:rsid w:val="00693122"/>
    <w:rsid w:val="0069312F"/>
    <w:rsid w:val="00693171"/>
    <w:rsid w:val="006931C1"/>
    <w:rsid w:val="006931D0"/>
    <w:rsid w:val="00693207"/>
    <w:rsid w:val="00693211"/>
    <w:rsid w:val="0069322C"/>
    <w:rsid w:val="00693262"/>
    <w:rsid w:val="006932B1"/>
    <w:rsid w:val="006932EF"/>
    <w:rsid w:val="006933BE"/>
    <w:rsid w:val="006933BF"/>
    <w:rsid w:val="006933E2"/>
    <w:rsid w:val="006933FE"/>
    <w:rsid w:val="00693426"/>
    <w:rsid w:val="0069342E"/>
    <w:rsid w:val="0069343E"/>
    <w:rsid w:val="00693483"/>
    <w:rsid w:val="006934C5"/>
    <w:rsid w:val="006934DB"/>
    <w:rsid w:val="0069355E"/>
    <w:rsid w:val="006935F7"/>
    <w:rsid w:val="006935FD"/>
    <w:rsid w:val="0069360B"/>
    <w:rsid w:val="00693633"/>
    <w:rsid w:val="00693655"/>
    <w:rsid w:val="00693686"/>
    <w:rsid w:val="006936C1"/>
    <w:rsid w:val="006936FF"/>
    <w:rsid w:val="00693713"/>
    <w:rsid w:val="0069374D"/>
    <w:rsid w:val="0069375E"/>
    <w:rsid w:val="00693765"/>
    <w:rsid w:val="006937B5"/>
    <w:rsid w:val="006937D4"/>
    <w:rsid w:val="006937D5"/>
    <w:rsid w:val="00693812"/>
    <w:rsid w:val="0069381A"/>
    <w:rsid w:val="00693834"/>
    <w:rsid w:val="0069383D"/>
    <w:rsid w:val="00693872"/>
    <w:rsid w:val="00693882"/>
    <w:rsid w:val="00693896"/>
    <w:rsid w:val="006938DA"/>
    <w:rsid w:val="00693916"/>
    <w:rsid w:val="00693928"/>
    <w:rsid w:val="0069393D"/>
    <w:rsid w:val="00693945"/>
    <w:rsid w:val="00693958"/>
    <w:rsid w:val="00693978"/>
    <w:rsid w:val="006939BA"/>
    <w:rsid w:val="00693A1C"/>
    <w:rsid w:val="00693A3E"/>
    <w:rsid w:val="00693A7E"/>
    <w:rsid w:val="00693AD7"/>
    <w:rsid w:val="00693ADD"/>
    <w:rsid w:val="00693B14"/>
    <w:rsid w:val="00693B18"/>
    <w:rsid w:val="00693B58"/>
    <w:rsid w:val="00693B69"/>
    <w:rsid w:val="00693BF0"/>
    <w:rsid w:val="00693C16"/>
    <w:rsid w:val="00693C51"/>
    <w:rsid w:val="00693C73"/>
    <w:rsid w:val="00693C91"/>
    <w:rsid w:val="00693C9D"/>
    <w:rsid w:val="00693CC3"/>
    <w:rsid w:val="00693CF4"/>
    <w:rsid w:val="00693CF7"/>
    <w:rsid w:val="00693D71"/>
    <w:rsid w:val="00693E03"/>
    <w:rsid w:val="00693E1D"/>
    <w:rsid w:val="00693E8E"/>
    <w:rsid w:val="00693EDA"/>
    <w:rsid w:val="00693EE1"/>
    <w:rsid w:val="00693F70"/>
    <w:rsid w:val="00693FAF"/>
    <w:rsid w:val="00693FF9"/>
    <w:rsid w:val="00694072"/>
    <w:rsid w:val="00694073"/>
    <w:rsid w:val="00694087"/>
    <w:rsid w:val="0069409E"/>
    <w:rsid w:val="006940E7"/>
    <w:rsid w:val="006940F7"/>
    <w:rsid w:val="0069410B"/>
    <w:rsid w:val="00694177"/>
    <w:rsid w:val="00694180"/>
    <w:rsid w:val="00694225"/>
    <w:rsid w:val="0069425F"/>
    <w:rsid w:val="0069427F"/>
    <w:rsid w:val="006942C3"/>
    <w:rsid w:val="006942F4"/>
    <w:rsid w:val="00694324"/>
    <w:rsid w:val="00694376"/>
    <w:rsid w:val="006943EE"/>
    <w:rsid w:val="00694407"/>
    <w:rsid w:val="0069442D"/>
    <w:rsid w:val="00694447"/>
    <w:rsid w:val="0069444A"/>
    <w:rsid w:val="00694451"/>
    <w:rsid w:val="0069448D"/>
    <w:rsid w:val="0069448F"/>
    <w:rsid w:val="006944E4"/>
    <w:rsid w:val="00694506"/>
    <w:rsid w:val="00694510"/>
    <w:rsid w:val="0069454C"/>
    <w:rsid w:val="00694555"/>
    <w:rsid w:val="00694635"/>
    <w:rsid w:val="00694662"/>
    <w:rsid w:val="0069468B"/>
    <w:rsid w:val="006946A1"/>
    <w:rsid w:val="006946D5"/>
    <w:rsid w:val="006946D7"/>
    <w:rsid w:val="006946D8"/>
    <w:rsid w:val="006946E8"/>
    <w:rsid w:val="006946F1"/>
    <w:rsid w:val="0069470A"/>
    <w:rsid w:val="0069470B"/>
    <w:rsid w:val="00694731"/>
    <w:rsid w:val="00694749"/>
    <w:rsid w:val="0069476B"/>
    <w:rsid w:val="0069478F"/>
    <w:rsid w:val="0069482B"/>
    <w:rsid w:val="00694830"/>
    <w:rsid w:val="00694885"/>
    <w:rsid w:val="00694889"/>
    <w:rsid w:val="0069488A"/>
    <w:rsid w:val="00694893"/>
    <w:rsid w:val="006948C0"/>
    <w:rsid w:val="006948CD"/>
    <w:rsid w:val="006948EC"/>
    <w:rsid w:val="00694924"/>
    <w:rsid w:val="0069493D"/>
    <w:rsid w:val="00694953"/>
    <w:rsid w:val="0069495B"/>
    <w:rsid w:val="00694984"/>
    <w:rsid w:val="006949A2"/>
    <w:rsid w:val="006949D5"/>
    <w:rsid w:val="00694A39"/>
    <w:rsid w:val="00694A4B"/>
    <w:rsid w:val="00694A55"/>
    <w:rsid w:val="00694A5D"/>
    <w:rsid w:val="00694A8F"/>
    <w:rsid w:val="00694A99"/>
    <w:rsid w:val="00694ABA"/>
    <w:rsid w:val="00694AC8"/>
    <w:rsid w:val="00694B45"/>
    <w:rsid w:val="00694B72"/>
    <w:rsid w:val="00694B74"/>
    <w:rsid w:val="00694B78"/>
    <w:rsid w:val="00694BB0"/>
    <w:rsid w:val="00694BF4"/>
    <w:rsid w:val="00694C08"/>
    <w:rsid w:val="00694C31"/>
    <w:rsid w:val="00694C49"/>
    <w:rsid w:val="00694C62"/>
    <w:rsid w:val="00694C64"/>
    <w:rsid w:val="00694C76"/>
    <w:rsid w:val="00694CAA"/>
    <w:rsid w:val="00694CC1"/>
    <w:rsid w:val="00694CC5"/>
    <w:rsid w:val="00694CDC"/>
    <w:rsid w:val="00694CF1"/>
    <w:rsid w:val="00694CFC"/>
    <w:rsid w:val="00694D07"/>
    <w:rsid w:val="00694D14"/>
    <w:rsid w:val="00694D1F"/>
    <w:rsid w:val="00694D2B"/>
    <w:rsid w:val="00694D4B"/>
    <w:rsid w:val="00694D57"/>
    <w:rsid w:val="00694D92"/>
    <w:rsid w:val="00694DBB"/>
    <w:rsid w:val="00694E52"/>
    <w:rsid w:val="00694E5E"/>
    <w:rsid w:val="00694E99"/>
    <w:rsid w:val="00694EC6"/>
    <w:rsid w:val="00694EED"/>
    <w:rsid w:val="00694F00"/>
    <w:rsid w:val="00694F26"/>
    <w:rsid w:val="00694F34"/>
    <w:rsid w:val="00694F3A"/>
    <w:rsid w:val="00694F4C"/>
    <w:rsid w:val="00694F50"/>
    <w:rsid w:val="00694F89"/>
    <w:rsid w:val="00694F95"/>
    <w:rsid w:val="00694FC1"/>
    <w:rsid w:val="00694FE8"/>
    <w:rsid w:val="00695019"/>
    <w:rsid w:val="0069502F"/>
    <w:rsid w:val="0069503E"/>
    <w:rsid w:val="0069507E"/>
    <w:rsid w:val="00695089"/>
    <w:rsid w:val="00695095"/>
    <w:rsid w:val="006950DC"/>
    <w:rsid w:val="006951A9"/>
    <w:rsid w:val="006951E6"/>
    <w:rsid w:val="006951EE"/>
    <w:rsid w:val="00695227"/>
    <w:rsid w:val="00695252"/>
    <w:rsid w:val="00695290"/>
    <w:rsid w:val="0069529C"/>
    <w:rsid w:val="006952B6"/>
    <w:rsid w:val="006952C7"/>
    <w:rsid w:val="00695301"/>
    <w:rsid w:val="00695354"/>
    <w:rsid w:val="0069535A"/>
    <w:rsid w:val="0069536B"/>
    <w:rsid w:val="00695375"/>
    <w:rsid w:val="00695381"/>
    <w:rsid w:val="006953B4"/>
    <w:rsid w:val="006953B6"/>
    <w:rsid w:val="006953C2"/>
    <w:rsid w:val="006953CC"/>
    <w:rsid w:val="00695403"/>
    <w:rsid w:val="00695406"/>
    <w:rsid w:val="0069542B"/>
    <w:rsid w:val="00695469"/>
    <w:rsid w:val="0069547F"/>
    <w:rsid w:val="006954E0"/>
    <w:rsid w:val="006954EC"/>
    <w:rsid w:val="00695568"/>
    <w:rsid w:val="0069556C"/>
    <w:rsid w:val="0069559B"/>
    <w:rsid w:val="006955BF"/>
    <w:rsid w:val="006955D6"/>
    <w:rsid w:val="0069560A"/>
    <w:rsid w:val="0069565C"/>
    <w:rsid w:val="00695669"/>
    <w:rsid w:val="00695673"/>
    <w:rsid w:val="0069567D"/>
    <w:rsid w:val="006956AF"/>
    <w:rsid w:val="00695708"/>
    <w:rsid w:val="00695738"/>
    <w:rsid w:val="00695739"/>
    <w:rsid w:val="0069573B"/>
    <w:rsid w:val="0069577F"/>
    <w:rsid w:val="00695797"/>
    <w:rsid w:val="006957A5"/>
    <w:rsid w:val="006957C1"/>
    <w:rsid w:val="006957DE"/>
    <w:rsid w:val="00695864"/>
    <w:rsid w:val="0069587B"/>
    <w:rsid w:val="00695927"/>
    <w:rsid w:val="0069595E"/>
    <w:rsid w:val="00695979"/>
    <w:rsid w:val="00695993"/>
    <w:rsid w:val="00695999"/>
    <w:rsid w:val="006959B3"/>
    <w:rsid w:val="006959D6"/>
    <w:rsid w:val="00695A17"/>
    <w:rsid w:val="00695A1E"/>
    <w:rsid w:val="00695A25"/>
    <w:rsid w:val="00695A34"/>
    <w:rsid w:val="00695A47"/>
    <w:rsid w:val="00695A6E"/>
    <w:rsid w:val="00695ADC"/>
    <w:rsid w:val="00695AE9"/>
    <w:rsid w:val="00695AEC"/>
    <w:rsid w:val="00695B14"/>
    <w:rsid w:val="00695B25"/>
    <w:rsid w:val="00695B47"/>
    <w:rsid w:val="00695B5B"/>
    <w:rsid w:val="00695B5F"/>
    <w:rsid w:val="00695B6C"/>
    <w:rsid w:val="00695BA4"/>
    <w:rsid w:val="00695C4F"/>
    <w:rsid w:val="00695C6B"/>
    <w:rsid w:val="00695C6E"/>
    <w:rsid w:val="00695C76"/>
    <w:rsid w:val="00695C8C"/>
    <w:rsid w:val="00695CF3"/>
    <w:rsid w:val="00695D01"/>
    <w:rsid w:val="00695D16"/>
    <w:rsid w:val="00695D1C"/>
    <w:rsid w:val="00695D55"/>
    <w:rsid w:val="00695D88"/>
    <w:rsid w:val="00695DCF"/>
    <w:rsid w:val="00695DE5"/>
    <w:rsid w:val="00695E73"/>
    <w:rsid w:val="00695E96"/>
    <w:rsid w:val="00695EA8"/>
    <w:rsid w:val="00695EBA"/>
    <w:rsid w:val="00695ECB"/>
    <w:rsid w:val="00695F08"/>
    <w:rsid w:val="00695F1C"/>
    <w:rsid w:val="00695F4B"/>
    <w:rsid w:val="00695F51"/>
    <w:rsid w:val="00695F6A"/>
    <w:rsid w:val="00695FC4"/>
    <w:rsid w:val="00695FDC"/>
    <w:rsid w:val="00695FDD"/>
    <w:rsid w:val="00695FEC"/>
    <w:rsid w:val="00696018"/>
    <w:rsid w:val="00696039"/>
    <w:rsid w:val="006960ED"/>
    <w:rsid w:val="0069613D"/>
    <w:rsid w:val="0069613F"/>
    <w:rsid w:val="0069614A"/>
    <w:rsid w:val="0069618F"/>
    <w:rsid w:val="00696201"/>
    <w:rsid w:val="0069621C"/>
    <w:rsid w:val="0069623A"/>
    <w:rsid w:val="006962AA"/>
    <w:rsid w:val="006962B9"/>
    <w:rsid w:val="006962C4"/>
    <w:rsid w:val="006962C5"/>
    <w:rsid w:val="006962D6"/>
    <w:rsid w:val="0069630F"/>
    <w:rsid w:val="0069636C"/>
    <w:rsid w:val="00696377"/>
    <w:rsid w:val="006963C6"/>
    <w:rsid w:val="0069643C"/>
    <w:rsid w:val="0069645B"/>
    <w:rsid w:val="0069648B"/>
    <w:rsid w:val="006964B7"/>
    <w:rsid w:val="006964E7"/>
    <w:rsid w:val="006964E8"/>
    <w:rsid w:val="00696507"/>
    <w:rsid w:val="0069653C"/>
    <w:rsid w:val="00696545"/>
    <w:rsid w:val="00696566"/>
    <w:rsid w:val="00696584"/>
    <w:rsid w:val="006965A2"/>
    <w:rsid w:val="006965A5"/>
    <w:rsid w:val="00696604"/>
    <w:rsid w:val="00696605"/>
    <w:rsid w:val="00696613"/>
    <w:rsid w:val="00696649"/>
    <w:rsid w:val="00696665"/>
    <w:rsid w:val="00696674"/>
    <w:rsid w:val="006966B2"/>
    <w:rsid w:val="006966C7"/>
    <w:rsid w:val="006966C9"/>
    <w:rsid w:val="006966F0"/>
    <w:rsid w:val="00696730"/>
    <w:rsid w:val="0069678A"/>
    <w:rsid w:val="006967A7"/>
    <w:rsid w:val="006967F0"/>
    <w:rsid w:val="006967FA"/>
    <w:rsid w:val="00696815"/>
    <w:rsid w:val="0069683F"/>
    <w:rsid w:val="0069685D"/>
    <w:rsid w:val="00696862"/>
    <w:rsid w:val="006968B0"/>
    <w:rsid w:val="006968B2"/>
    <w:rsid w:val="0069692E"/>
    <w:rsid w:val="00696A30"/>
    <w:rsid w:val="00696A63"/>
    <w:rsid w:val="00696A6B"/>
    <w:rsid w:val="00696ABB"/>
    <w:rsid w:val="00696ACC"/>
    <w:rsid w:val="00696AE5"/>
    <w:rsid w:val="00696AE8"/>
    <w:rsid w:val="00696B0C"/>
    <w:rsid w:val="00696C13"/>
    <w:rsid w:val="00696C18"/>
    <w:rsid w:val="00696C27"/>
    <w:rsid w:val="00696C7C"/>
    <w:rsid w:val="00696C83"/>
    <w:rsid w:val="00696C8F"/>
    <w:rsid w:val="00696C9E"/>
    <w:rsid w:val="00696CC0"/>
    <w:rsid w:val="00696CD5"/>
    <w:rsid w:val="00696D02"/>
    <w:rsid w:val="00696D0F"/>
    <w:rsid w:val="00696D1A"/>
    <w:rsid w:val="00696D22"/>
    <w:rsid w:val="00696D32"/>
    <w:rsid w:val="00696D41"/>
    <w:rsid w:val="00696D79"/>
    <w:rsid w:val="00696DD5"/>
    <w:rsid w:val="00696DDE"/>
    <w:rsid w:val="00696DEB"/>
    <w:rsid w:val="00696E0E"/>
    <w:rsid w:val="00696E1D"/>
    <w:rsid w:val="00696E4A"/>
    <w:rsid w:val="00696E4B"/>
    <w:rsid w:val="00696E62"/>
    <w:rsid w:val="00696EBD"/>
    <w:rsid w:val="00696EE4"/>
    <w:rsid w:val="00696EE8"/>
    <w:rsid w:val="00696F18"/>
    <w:rsid w:val="00696F1C"/>
    <w:rsid w:val="00696F3D"/>
    <w:rsid w:val="00696F41"/>
    <w:rsid w:val="00696F49"/>
    <w:rsid w:val="00696F9D"/>
    <w:rsid w:val="00696FC6"/>
    <w:rsid w:val="00696FE1"/>
    <w:rsid w:val="00696FFC"/>
    <w:rsid w:val="00697028"/>
    <w:rsid w:val="006970B2"/>
    <w:rsid w:val="00697110"/>
    <w:rsid w:val="00697178"/>
    <w:rsid w:val="00697181"/>
    <w:rsid w:val="006971D8"/>
    <w:rsid w:val="006971DF"/>
    <w:rsid w:val="006971FD"/>
    <w:rsid w:val="0069725C"/>
    <w:rsid w:val="006972A7"/>
    <w:rsid w:val="006972AD"/>
    <w:rsid w:val="006972D0"/>
    <w:rsid w:val="00697322"/>
    <w:rsid w:val="0069732C"/>
    <w:rsid w:val="006973C3"/>
    <w:rsid w:val="00697408"/>
    <w:rsid w:val="00697414"/>
    <w:rsid w:val="0069742B"/>
    <w:rsid w:val="0069743E"/>
    <w:rsid w:val="00697458"/>
    <w:rsid w:val="00697464"/>
    <w:rsid w:val="00697486"/>
    <w:rsid w:val="006974AD"/>
    <w:rsid w:val="006974B0"/>
    <w:rsid w:val="00697524"/>
    <w:rsid w:val="0069754B"/>
    <w:rsid w:val="0069755B"/>
    <w:rsid w:val="00697595"/>
    <w:rsid w:val="006975A6"/>
    <w:rsid w:val="006975B3"/>
    <w:rsid w:val="006975C9"/>
    <w:rsid w:val="00697603"/>
    <w:rsid w:val="00697611"/>
    <w:rsid w:val="00697642"/>
    <w:rsid w:val="0069764B"/>
    <w:rsid w:val="0069765D"/>
    <w:rsid w:val="00697675"/>
    <w:rsid w:val="0069767C"/>
    <w:rsid w:val="00697689"/>
    <w:rsid w:val="006976A8"/>
    <w:rsid w:val="006976AD"/>
    <w:rsid w:val="006976DC"/>
    <w:rsid w:val="006976E0"/>
    <w:rsid w:val="006976E9"/>
    <w:rsid w:val="0069771A"/>
    <w:rsid w:val="0069772F"/>
    <w:rsid w:val="00697750"/>
    <w:rsid w:val="0069777F"/>
    <w:rsid w:val="006977E2"/>
    <w:rsid w:val="006977E8"/>
    <w:rsid w:val="0069782C"/>
    <w:rsid w:val="00697880"/>
    <w:rsid w:val="006978AD"/>
    <w:rsid w:val="006978F0"/>
    <w:rsid w:val="00697940"/>
    <w:rsid w:val="0069795C"/>
    <w:rsid w:val="0069795D"/>
    <w:rsid w:val="00697963"/>
    <w:rsid w:val="00697975"/>
    <w:rsid w:val="0069797B"/>
    <w:rsid w:val="00697994"/>
    <w:rsid w:val="006979A5"/>
    <w:rsid w:val="006979D2"/>
    <w:rsid w:val="006979EB"/>
    <w:rsid w:val="00697A96"/>
    <w:rsid w:val="00697AC1"/>
    <w:rsid w:val="00697AC6"/>
    <w:rsid w:val="00697AFB"/>
    <w:rsid w:val="00697B2D"/>
    <w:rsid w:val="00697B4F"/>
    <w:rsid w:val="00697B82"/>
    <w:rsid w:val="00697BA9"/>
    <w:rsid w:val="00697BC6"/>
    <w:rsid w:val="00697BD6"/>
    <w:rsid w:val="00697BE4"/>
    <w:rsid w:val="00697BF5"/>
    <w:rsid w:val="00697C3F"/>
    <w:rsid w:val="00697C4C"/>
    <w:rsid w:val="00697CCC"/>
    <w:rsid w:val="00697CCF"/>
    <w:rsid w:val="00697D3B"/>
    <w:rsid w:val="00697D4D"/>
    <w:rsid w:val="00697D8A"/>
    <w:rsid w:val="00697D96"/>
    <w:rsid w:val="00697DB5"/>
    <w:rsid w:val="00697DCC"/>
    <w:rsid w:val="00697E53"/>
    <w:rsid w:val="00697E59"/>
    <w:rsid w:val="00697E5A"/>
    <w:rsid w:val="00697E66"/>
    <w:rsid w:val="00697E83"/>
    <w:rsid w:val="00697EAD"/>
    <w:rsid w:val="00697EB9"/>
    <w:rsid w:val="00697F49"/>
    <w:rsid w:val="00697F4F"/>
    <w:rsid w:val="00697F54"/>
    <w:rsid w:val="00697F6F"/>
    <w:rsid w:val="00697F9A"/>
    <w:rsid w:val="00697FAC"/>
    <w:rsid w:val="00697FB4"/>
    <w:rsid w:val="00697FBF"/>
    <w:rsid w:val="00697FC2"/>
    <w:rsid w:val="00697FEC"/>
    <w:rsid w:val="006A001D"/>
    <w:rsid w:val="006A004F"/>
    <w:rsid w:val="006A008B"/>
    <w:rsid w:val="006A00CA"/>
    <w:rsid w:val="006A00E8"/>
    <w:rsid w:val="006A00FB"/>
    <w:rsid w:val="006A0122"/>
    <w:rsid w:val="006A012F"/>
    <w:rsid w:val="006A0132"/>
    <w:rsid w:val="006A014C"/>
    <w:rsid w:val="006A018B"/>
    <w:rsid w:val="006A026D"/>
    <w:rsid w:val="006A0273"/>
    <w:rsid w:val="006A0277"/>
    <w:rsid w:val="006A0287"/>
    <w:rsid w:val="006A0290"/>
    <w:rsid w:val="006A02CA"/>
    <w:rsid w:val="006A02D6"/>
    <w:rsid w:val="006A02E4"/>
    <w:rsid w:val="006A02EE"/>
    <w:rsid w:val="006A02F8"/>
    <w:rsid w:val="006A0388"/>
    <w:rsid w:val="006A03DB"/>
    <w:rsid w:val="006A03F0"/>
    <w:rsid w:val="006A0435"/>
    <w:rsid w:val="006A0450"/>
    <w:rsid w:val="006A0454"/>
    <w:rsid w:val="006A0467"/>
    <w:rsid w:val="006A04BC"/>
    <w:rsid w:val="006A04DE"/>
    <w:rsid w:val="006A04EA"/>
    <w:rsid w:val="006A0535"/>
    <w:rsid w:val="006A054E"/>
    <w:rsid w:val="006A055F"/>
    <w:rsid w:val="006A0571"/>
    <w:rsid w:val="006A05AD"/>
    <w:rsid w:val="006A05BE"/>
    <w:rsid w:val="006A065C"/>
    <w:rsid w:val="006A066D"/>
    <w:rsid w:val="006A0673"/>
    <w:rsid w:val="006A0682"/>
    <w:rsid w:val="006A0687"/>
    <w:rsid w:val="006A0690"/>
    <w:rsid w:val="006A06BF"/>
    <w:rsid w:val="006A06F4"/>
    <w:rsid w:val="006A0706"/>
    <w:rsid w:val="006A0773"/>
    <w:rsid w:val="006A07A8"/>
    <w:rsid w:val="006A07B1"/>
    <w:rsid w:val="006A07DC"/>
    <w:rsid w:val="006A081B"/>
    <w:rsid w:val="006A081C"/>
    <w:rsid w:val="006A085C"/>
    <w:rsid w:val="006A0871"/>
    <w:rsid w:val="006A0887"/>
    <w:rsid w:val="006A0893"/>
    <w:rsid w:val="006A08A2"/>
    <w:rsid w:val="006A08C7"/>
    <w:rsid w:val="006A08E2"/>
    <w:rsid w:val="006A0921"/>
    <w:rsid w:val="006A092D"/>
    <w:rsid w:val="006A096F"/>
    <w:rsid w:val="006A099C"/>
    <w:rsid w:val="006A09C8"/>
    <w:rsid w:val="006A0A04"/>
    <w:rsid w:val="006A0A80"/>
    <w:rsid w:val="006A0AAA"/>
    <w:rsid w:val="006A0AEB"/>
    <w:rsid w:val="006A0AF8"/>
    <w:rsid w:val="006A0B11"/>
    <w:rsid w:val="006A0B3F"/>
    <w:rsid w:val="006A0B56"/>
    <w:rsid w:val="006A0B5B"/>
    <w:rsid w:val="006A0B73"/>
    <w:rsid w:val="006A0B7B"/>
    <w:rsid w:val="006A0BB3"/>
    <w:rsid w:val="006A0BBC"/>
    <w:rsid w:val="006A0BDF"/>
    <w:rsid w:val="006A0C04"/>
    <w:rsid w:val="006A0C1C"/>
    <w:rsid w:val="006A0C35"/>
    <w:rsid w:val="006A0CA0"/>
    <w:rsid w:val="006A0CA7"/>
    <w:rsid w:val="006A0D12"/>
    <w:rsid w:val="006A0D17"/>
    <w:rsid w:val="006A0D20"/>
    <w:rsid w:val="006A0D2A"/>
    <w:rsid w:val="006A0D4E"/>
    <w:rsid w:val="006A0D55"/>
    <w:rsid w:val="006A0D87"/>
    <w:rsid w:val="006A0DCA"/>
    <w:rsid w:val="006A0E0D"/>
    <w:rsid w:val="006A0E48"/>
    <w:rsid w:val="006A0E69"/>
    <w:rsid w:val="006A0E9A"/>
    <w:rsid w:val="006A0EB1"/>
    <w:rsid w:val="006A0EC6"/>
    <w:rsid w:val="006A0EE7"/>
    <w:rsid w:val="006A0EFD"/>
    <w:rsid w:val="006A0F0E"/>
    <w:rsid w:val="006A0F15"/>
    <w:rsid w:val="006A0F3F"/>
    <w:rsid w:val="006A0F42"/>
    <w:rsid w:val="006A0F47"/>
    <w:rsid w:val="006A0F68"/>
    <w:rsid w:val="006A0FE8"/>
    <w:rsid w:val="006A1064"/>
    <w:rsid w:val="006A1158"/>
    <w:rsid w:val="006A1171"/>
    <w:rsid w:val="006A119F"/>
    <w:rsid w:val="006A11B5"/>
    <w:rsid w:val="006A11BB"/>
    <w:rsid w:val="006A1254"/>
    <w:rsid w:val="006A1288"/>
    <w:rsid w:val="006A129E"/>
    <w:rsid w:val="006A1304"/>
    <w:rsid w:val="006A131A"/>
    <w:rsid w:val="006A132A"/>
    <w:rsid w:val="006A1358"/>
    <w:rsid w:val="006A1380"/>
    <w:rsid w:val="006A13C0"/>
    <w:rsid w:val="006A1428"/>
    <w:rsid w:val="006A143B"/>
    <w:rsid w:val="006A1467"/>
    <w:rsid w:val="006A147D"/>
    <w:rsid w:val="006A1506"/>
    <w:rsid w:val="006A150F"/>
    <w:rsid w:val="006A1532"/>
    <w:rsid w:val="006A15A1"/>
    <w:rsid w:val="006A15B9"/>
    <w:rsid w:val="006A15CE"/>
    <w:rsid w:val="006A15D8"/>
    <w:rsid w:val="006A1602"/>
    <w:rsid w:val="006A1616"/>
    <w:rsid w:val="006A1679"/>
    <w:rsid w:val="006A1685"/>
    <w:rsid w:val="006A16D7"/>
    <w:rsid w:val="006A16DA"/>
    <w:rsid w:val="006A16F2"/>
    <w:rsid w:val="006A1754"/>
    <w:rsid w:val="006A176B"/>
    <w:rsid w:val="006A17A4"/>
    <w:rsid w:val="006A17A6"/>
    <w:rsid w:val="006A17DE"/>
    <w:rsid w:val="006A17F3"/>
    <w:rsid w:val="006A1819"/>
    <w:rsid w:val="006A1839"/>
    <w:rsid w:val="006A184C"/>
    <w:rsid w:val="006A1859"/>
    <w:rsid w:val="006A1871"/>
    <w:rsid w:val="006A1894"/>
    <w:rsid w:val="006A189C"/>
    <w:rsid w:val="006A18CC"/>
    <w:rsid w:val="006A18ED"/>
    <w:rsid w:val="006A1911"/>
    <w:rsid w:val="006A193F"/>
    <w:rsid w:val="006A198E"/>
    <w:rsid w:val="006A1996"/>
    <w:rsid w:val="006A19A5"/>
    <w:rsid w:val="006A19C5"/>
    <w:rsid w:val="006A19D0"/>
    <w:rsid w:val="006A19F9"/>
    <w:rsid w:val="006A1A7E"/>
    <w:rsid w:val="006A1A97"/>
    <w:rsid w:val="006A1B0E"/>
    <w:rsid w:val="006A1B19"/>
    <w:rsid w:val="006A1B20"/>
    <w:rsid w:val="006A1B23"/>
    <w:rsid w:val="006A1B3B"/>
    <w:rsid w:val="006A1B4E"/>
    <w:rsid w:val="006A1BAC"/>
    <w:rsid w:val="006A1BDD"/>
    <w:rsid w:val="006A1C08"/>
    <w:rsid w:val="006A1C0C"/>
    <w:rsid w:val="006A1C19"/>
    <w:rsid w:val="006A1C51"/>
    <w:rsid w:val="006A1C55"/>
    <w:rsid w:val="006A1CAB"/>
    <w:rsid w:val="006A1CB0"/>
    <w:rsid w:val="006A1CF0"/>
    <w:rsid w:val="006A1CF8"/>
    <w:rsid w:val="006A1D07"/>
    <w:rsid w:val="006A1D35"/>
    <w:rsid w:val="006A1D78"/>
    <w:rsid w:val="006A1DA7"/>
    <w:rsid w:val="006A1DB3"/>
    <w:rsid w:val="006A1DC8"/>
    <w:rsid w:val="006A1DD1"/>
    <w:rsid w:val="006A1E17"/>
    <w:rsid w:val="006A1E3A"/>
    <w:rsid w:val="006A1EC5"/>
    <w:rsid w:val="006A1F3A"/>
    <w:rsid w:val="006A1F40"/>
    <w:rsid w:val="006A1F60"/>
    <w:rsid w:val="006A1F89"/>
    <w:rsid w:val="006A1F8C"/>
    <w:rsid w:val="006A1FA1"/>
    <w:rsid w:val="006A1FCB"/>
    <w:rsid w:val="006A1FFF"/>
    <w:rsid w:val="006A2007"/>
    <w:rsid w:val="006A200E"/>
    <w:rsid w:val="006A2039"/>
    <w:rsid w:val="006A2046"/>
    <w:rsid w:val="006A2058"/>
    <w:rsid w:val="006A206D"/>
    <w:rsid w:val="006A208C"/>
    <w:rsid w:val="006A2093"/>
    <w:rsid w:val="006A20AC"/>
    <w:rsid w:val="006A20B9"/>
    <w:rsid w:val="006A20F6"/>
    <w:rsid w:val="006A210D"/>
    <w:rsid w:val="006A213D"/>
    <w:rsid w:val="006A21C3"/>
    <w:rsid w:val="006A21FC"/>
    <w:rsid w:val="006A221B"/>
    <w:rsid w:val="006A221C"/>
    <w:rsid w:val="006A2238"/>
    <w:rsid w:val="006A2239"/>
    <w:rsid w:val="006A22BE"/>
    <w:rsid w:val="006A22E2"/>
    <w:rsid w:val="006A231D"/>
    <w:rsid w:val="006A2339"/>
    <w:rsid w:val="006A235E"/>
    <w:rsid w:val="006A2391"/>
    <w:rsid w:val="006A23B2"/>
    <w:rsid w:val="006A23E9"/>
    <w:rsid w:val="006A243A"/>
    <w:rsid w:val="006A2454"/>
    <w:rsid w:val="006A246F"/>
    <w:rsid w:val="006A24A1"/>
    <w:rsid w:val="006A24A4"/>
    <w:rsid w:val="006A24CD"/>
    <w:rsid w:val="006A24CF"/>
    <w:rsid w:val="006A24DB"/>
    <w:rsid w:val="006A2509"/>
    <w:rsid w:val="006A250A"/>
    <w:rsid w:val="006A2512"/>
    <w:rsid w:val="006A2542"/>
    <w:rsid w:val="006A2562"/>
    <w:rsid w:val="006A257B"/>
    <w:rsid w:val="006A2596"/>
    <w:rsid w:val="006A25B9"/>
    <w:rsid w:val="006A25CC"/>
    <w:rsid w:val="006A25CF"/>
    <w:rsid w:val="006A25F9"/>
    <w:rsid w:val="006A261A"/>
    <w:rsid w:val="006A261C"/>
    <w:rsid w:val="006A261F"/>
    <w:rsid w:val="006A2629"/>
    <w:rsid w:val="006A2641"/>
    <w:rsid w:val="006A2663"/>
    <w:rsid w:val="006A2672"/>
    <w:rsid w:val="006A2691"/>
    <w:rsid w:val="006A26C6"/>
    <w:rsid w:val="006A270D"/>
    <w:rsid w:val="006A270E"/>
    <w:rsid w:val="006A2712"/>
    <w:rsid w:val="006A279C"/>
    <w:rsid w:val="006A27A7"/>
    <w:rsid w:val="006A27EC"/>
    <w:rsid w:val="006A2803"/>
    <w:rsid w:val="006A2874"/>
    <w:rsid w:val="006A28C5"/>
    <w:rsid w:val="006A28DE"/>
    <w:rsid w:val="006A28E5"/>
    <w:rsid w:val="006A290B"/>
    <w:rsid w:val="006A2924"/>
    <w:rsid w:val="006A293C"/>
    <w:rsid w:val="006A298B"/>
    <w:rsid w:val="006A29B4"/>
    <w:rsid w:val="006A29E2"/>
    <w:rsid w:val="006A2A27"/>
    <w:rsid w:val="006A2A2D"/>
    <w:rsid w:val="006A2A70"/>
    <w:rsid w:val="006A2A71"/>
    <w:rsid w:val="006A2AA0"/>
    <w:rsid w:val="006A2AA2"/>
    <w:rsid w:val="006A2ABC"/>
    <w:rsid w:val="006A2AD0"/>
    <w:rsid w:val="006A2AD3"/>
    <w:rsid w:val="006A2AE7"/>
    <w:rsid w:val="006A2B32"/>
    <w:rsid w:val="006A2B55"/>
    <w:rsid w:val="006A2B72"/>
    <w:rsid w:val="006A2BB8"/>
    <w:rsid w:val="006A2BCF"/>
    <w:rsid w:val="006A2BD0"/>
    <w:rsid w:val="006A2C36"/>
    <w:rsid w:val="006A2CA3"/>
    <w:rsid w:val="006A2CBA"/>
    <w:rsid w:val="006A2CCA"/>
    <w:rsid w:val="006A2D80"/>
    <w:rsid w:val="006A2D8B"/>
    <w:rsid w:val="006A2DF4"/>
    <w:rsid w:val="006A2E4D"/>
    <w:rsid w:val="006A2E64"/>
    <w:rsid w:val="006A2E7C"/>
    <w:rsid w:val="006A2E7D"/>
    <w:rsid w:val="006A2E96"/>
    <w:rsid w:val="006A2EBD"/>
    <w:rsid w:val="006A2EF7"/>
    <w:rsid w:val="006A2F07"/>
    <w:rsid w:val="006A2F4F"/>
    <w:rsid w:val="006A2F51"/>
    <w:rsid w:val="006A2F95"/>
    <w:rsid w:val="006A2FBC"/>
    <w:rsid w:val="006A2FF2"/>
    <w:rsid w:val="006A3044"/>
    <w:rsid w:val="006A3067"/>
    <w:rsid w:val="006A30AA"/>
    <w:rsid w:val="006A30D9"/>
    <w:rsid w:val="006A3109"/>
    <w:rsid w:val="006A3124"/>
    <w:rsid w:val="006A3130"/>
    <w:rsid w:val="006A313D"/>
    <w:rsid w:val="006A3198"/>
    <w:rsid w:val="006A31A2"/>
    <w:rsid w:val="006A31A9"/>
    <w:rsid w:val="006A31BD"/>
    <w:rsid w:val="006A31C2"/>
    <w:rsid w:val="006A3264"/>
    <w:rsid w:val="006A3294"/>
    <w:rsid w:val="006A32BC"/>
    <w:rsid w:val="006A3325"/>
    <w:rsid w:val="006A333D"/>
    <w:rsid w:val="006A334A"/>
    <w:rsid w:val="006A335C"/>
    <w:rsid w:val="006A3360"/>
    <w:rsid w:val="006A3368"/>
    <w:rsid w:val="006A33C1"/>
    <w:rsid w:val="006A33C2"/>
    <w:rsid w:val="006A33DC"/>
    <w:rsid w:val="006A33FF"/>
    <w:rsid w:val="006A3483"/>
    <w:rsid w:val="006A3499"/>
    <w:rsid w:val="006A34B2"/>
    <w:rsid w:val="006A34C2"/>
    <w:rsid w:val="006A3546"/>
    <w:rsid w:val="006A3548"/>
    <w:rsid w:val="006A3617"/>
    <w:rsid w:val="006A361D"/>
    <w:rsid w:val="006A3644"/>
    <w:rsid w:val="006A367D"/>
    <w:rsid w:val="006A3681"/>
    <w:rsid w:val="006A36C5"/>
    <w:rsid w:val="006A36E9"/>
    <w:rsid w:val="006A3701"/>
    <w:rsid w:val="006A3708"/>
    <w:rsid w:val="006A374A"/>
    <w:rsid w:val="006A3753"/>
    <w:rsid w:val="006A375A"/>
    <w:rsid w:val="006A3797"/>
    <w:rsid w:val="006A37BA"/>
    <w:rsid w:val="006A37C4"/>
    <w:rsid w:val="006A37C5"/>
    <w:rsid w:val="006A37E8"/>
    <w:rsid w:val="006A3801"/>
    <w:rsid w:val="006A3803"/>
    <w:rsid w:val="006A380D"/>
    <w:rsid w:val="006A3813"/>
    <w:rsid w:val="006A3814"/>
    <w:rsid w:val="006A3836"/>
    <w:rsid w:val="006A3837"/>
    <w:rsid w:val="006A3840"/>
    <w:rsid w:val="006A3848"/>
    <w:rsid w:val="006A385F"/>
    <w:rsid w:val="006A386D"/>
    <w:rsid w:val="006A3885"/>
    <w:rsid w:val="006A3889"/>
    <w:rsid w:val="006A3893"/>
    <w:rsid w:val="006A38D2"/>
    <w:rsid w:val="006A390B"/>
    <w:rsid w:val="006A3913"/>
    <w:rsid w:val="006A393D"/>
    <w:rsid w:val="006A395D"/>
    <w:rsid w:val="006A3971"/>
    <w:rsid w:val="006A39AB"/>
    <w:rsid w:val="006A39DD"/>
    <w:rsid w:val="006A39F7"/>
    <w:rsid w:val="006A3A27"/>
    <w:rsid w:val="006A3A2E"/>
    <w:rsid w:val="006A3A3A"/>
    <w:rsid w:val="006A3A58"/>
    <w:rsid w:val="006A3A5C"/>
    <w:rsid w:val="006A3AAA"/>
    <w:rsid w:val="006A3AEC"/>
    <w:rsid w:val="006A3B37"/>
    <w:rsid w:val="006A3B3D"/>
    <w:rsid w:val="006A3B89"/>
    <w:rsid w:val="006A3B9D"/>
    <w:rsid w:val="006A3BB6"/>
    <w:rsid w:val="006A3BE6"/>
    <w:rsid w:val="006A3BFE"/>
    <w:rsid w:val="006A3C22"/>
    <w:rsid w:val="006A3C4B"/>
    <w:rsid w:val="006A3CB4"/>
    <w:rsid w:val="006A3CED"/>
    <w:rsid w:val="006A3D13"/>
    <w:rsid w:val="006A3D2A"/>
    <w:rsid w:val="006A3D73"/>
    <w:rsid w:val="006A3DF4"/>
    <w:rsid w:val="006A3E1B"/>
    <w:rsid w:val="006A3E2C"/>
    <w:rsid w:val="006A3E30"/>
    <w:rsid w:val="006A3E5D"/>
    <w:rsid w:val="006A3E63"/>
    <w:rsid w:val="006A3E81"/>
    <w:rsid w:val="006A3EED"/>
    <w:rsid w:val="006A3EF2"/>
    <w:rsid w:val="006A3F0E"/>
    <w:rsid w:val="006A3F24"/>
    <w:rsid w:val="006A3F52"/>
    <w:rsid w:val="006A3F55"/>
    <w:rsid w:val="006A3F84"/>
    <w:rsid w:val="006A3F9C"/>
    <w:rsid w:val="006A3F9E"/>
    <w:rsid w:val="006A3F9F"/>
    <w:rsid w:val="006A3FAB"/>
    <w:rsid w:val="006A3FAE"/>
    <w:rsid w:val="006A3FB2"/>
    <w:rsid w:val="006A4003"/>
    <w:rsid w:val="006A401A"/>
    <w:rsid w:val="006A402F"/>
    <w:rsid w:val="006A404F"/>
    <w:rsid w:val="006A409A"/>
    <w:rsid w:val="006A40A3"/>
    <w:rsid w:val="006A40B5"/>
    <w:rsid w:val="006A40BB"/>
    <w:rsid w:val="006A40C6"/>
    <w:rsid w:val="006A40F5"/>
    <w:rsid w:val="006A414D"/>
    <w:rsid w:val="006A414E"/>
    <w:rsid w:val="006A4158"/>
    <w:rsid w:val="006A41C5"/>
    <w:rsid w:val="006A41D1"/>
    <w:rsid w:val="006A424A"/>
    <w:rsid w:val="006A4251"/>
    <w:rsid w:val="006A426D"/>
    <w:rsid w:val="006A4276"/>
    <w:rsid w:val="006A4298"/>
    <w:rsid w:val="006A42B9"/>
    <w:rsid w:val="006A42DA"/>
    <w:rsid w:val="006A42F2"/>
    <w:rsid w:val="006A431D"/>
    <w:rsid w:val="006A4347"/>
    <w:rsid w:val="006A436D"/>
    <w:rsid w:val="006A439B"/>
    <w:rsid w:val="006A43AB"/>
    <w:rsid w:val="006A43EC"/>
    <w:rsid w:val="006A4410"/>
    <w:rsid w:val="006A4425"/>
    <w:rsid w:val="006A4457"/>
    <w:rsid w:val="006A4470"/>
    <w:rsid w:val="006A448A"/>
    <w:rsid w:val="006A4527"/>
    <w:rsid w:val="006A4544"/>
    <w:rsid w:val="006A455A"/>
    <w:rsid w:val="006A458D"/>
    <w:rsid w:val="006A45B5"/>
    <w:rsid w:val="006A45C4"/>
    <w:rsid w:val="006A45D3"/>
    <w:rsid w:val="006A45E4"/>
    <w:rsid w:val="006A45F9"/>
    <w:rsid w:val="006A4626"/>
    <w:rsid w:val="006A4634"/>
    <w:rsid w:val="006A46DE"/>
    <w:rsid w:val="006A4775"/>
    <w:rsid w:val="006A47B8"/>
    <w:rsid w:val="006A47CD"/>
    <w:rsid w:val="006A47EA"/>
    <w:rsid w:val="006A47FC"/>
    <w:rsid w:val="006A4820"/>
    <w:rsid w:val="006A4855"/>
    <w:rsid w:val="006A4903"/>
    <w:rsid w:val="006A4917"/>
    <w:rsid w:val="006A4951"/>
    <w:rsid w:val="006A4974"/>
    <w:rsid w:val="006A499A"/>
    <w:rsid w:val="006A49B0"/>
    <w:rsid w:val="006A49C6"/>
    <w:rsid w:val="006A49CF"/>
    <w:rsid w:val="006A49D8"/>
    <w:rsid w:val="006A4A18"/>
    <w:rsid w:val="006A4A22"/>
    <w:rsid w:val="006A4A4F"/>
    <w:rsid w:val="006A4A5A"/>
    <w:rsid w:val="006A4A5E"/>
    <w:rsid w:val="006A4A7A"/>
    <w:rsid w:val="006A4A88"/>
    <w:rsid w:val="006A4A92"/>
    <w:rsid w:val="006A4A99"/>
    <w:rsid w:val="006A4AC7"/>
    <w:rsid w:val="006A4AD8"/>
    <w:rsid w:val="006A4B0D"/>
    <w:rsid w:val="006A4B2E"/>
    <w:rsid w:val="006A4B33"/>
    <w:rsid w:val="006A4B42"/>
    <w:rsid w:val="006A4B94"/>
    <w:rsid w:val="006A4BC6"/>
    <w:rsid w:val="006A4C02"/>
    <w:rsid w:val="006A4C15"/>
    <w:rsid w:val="006A4C32"/>
    <w:rsid w:val="006A4C35"/>
    <w:rsid w:val="006A4C41"/>
    <w:rsid w:val="006A4C5E"/>
    <w:rsid w:val="006A4C71"/>
    <w:rsid w:val="006A4C72"/>
    <w:rsid w:val="006A4CC9"/>
    <w:rsid w:val="006A4CCC"/>
    <w:rsid w:val="006A4CFB"/>
    <w:rsid w:val="006A4D15"/>
    <w:rsid w:val="006A4D1D"/>
    <w:rsid w:val="006A4D28"/>
    <w:rsid w:val="006A4D4A"/>
    <w:rsid w:val="006A4D52"/>
    <w:rsid w:val="006A4D5F"/>
    <w:rsid w:val="006A4D66"/>
    <w:rsid w:val="006A4D67"/>
    <w:rsid w:val="006A4DB9"/>
    <w:rsid w:val="006A4DF1"/>
    <w:rsid w:val="006A4E46"/>
    <w:rsid w:val="006A4E47"/>
    <w:rsid w:val="006A4E5B"/>
    <w:rsid w:val="006A4E66"/>
    <w:rsid w:val="006A4E67"/>
    <w:rsid w:val="006A4E9A"/>
    <w:rsid w:val="006A4EC6"/>
    <w:rsid w:val="006A4EF1"/>
    <w:rsid w:val="006A4F0C"/>
    <w:rsid w:val="006A4F2B"/>
    <w:rsid w:val="006A4F52"/>
    <w:rsid w:val="006A4F70"/>
    <w:rsid w:val="006A4FBC"/>
    <w:rsid w:val="006A4FD3"/>
    <w:rsid w:val="006A4FD8"/>
    <w:rsid w:val="006A4FFA"/>
    <w:rsid w:val="006A501A"/>
    <w:rsid w:val="006A5020"/>
    <w:rsid w:val="006A5026"/>
    <w:rsid w:val="006A503E"/>
    <w:rsid w:val="006A504F"/>
    <w:rsid w:val="006A505B"/>
    <w:rsid w:val="006A5061"/>
    <w:rsid w:val="006A5069"/>
    <w:rsid w:val="006A507C"/>
    <w:rsid w:val="006A508B"/>
    <w:rsid w:val="006A50B9"/>
    <w:rsid w:val="006A5112"/>
    <w:rsid w:val="006A511A"/>
    <w:rsid w:val="006A514A"/>
    <w:rsid w:val="006A5184"/>
    <w:rsid w:val="006A51FC"/>
    <w:rsid w:val="006A5217"/>
    <w:rsid w:val="006A522D"/>
    <w:rsid w:val="006A5276"/>
    <w:rsid w:val="006A527B"/>
    <w:rsid w:val="006A528D"/>
    <w:rsid w:val="006A529F"/>
    <w:rsid w:val="006A52AC"/>
    <w:rsid w:val="006A532F"/>
    <w:rsid w:val="006A5360"/>
    <w:rsid w:val="006A536E"/>
    <w:rsid w:val="006A537D"/>
    <w:rsid w:val="006A53A7"/>
    <w:rsid w:val="006A53AE"/>
    <w:rsid w:val="006A53B2"/>
    <w:rsid w:val="006A53E0"/>
    <w:rsid w:val="006A53F8"/>
    <w:rsid w:val="006A5409"/>
    <w:rsid w:val="006A543E"/>
    <w:rsid w:val="006A546A"/>
    <w:rsid w:val="006A548A"/>
    <w:rsid w:val="006A54A5"/>
    <w:rsid w:val="006A54E8"/>
    <w:rsid w:val="006A5510"/>
    <w:rsid w:val="006A5547"/>
    <w:rsid w:val="006A554B"/>
    <w:rsid w:val="006A558B"/>
    <w:rsid w:val="006A559F"/>
    <w:rsid w:val="006A55BC"/>
    <w:rsid w:val="006A55C6"/>
    <w:rsid w:val="006A55CD"/>
    <w:rsid w:val="006A55DD"/>
    <w:rsid w:val="006A5647"/>
    <w:rsid w:val="006A5668"/>
    <w:rsid w:val="006A566C"/>
    <w:rsid w:val="006A56BE"/>
    <w:rsid w:val="006A56D1"/>
    <w:rsid w:val="006A5707"/>
    <w:rsid w:val="006A570F"/>
    <w:rsid w:val="006A5798"/>
    <w:rsid w:val="006A57F9"/>
    <w:rsid w:val="006A580A"/>
    <w:rsid w:val="006A583B"/>
    <w:rsid w:val="006A5847"/>
    <w:rsid w:val="006A586F"/>
    <w:rsid w:val="006A5879"/>
    <w:rsid w:val="006A5891"/>
    <w:rsid w:val="006A58F2"/>
    <w:rsid w:val="006A594E"/>
    <w:rsid w:val="006A595A"/>
    <w:rsid w:val="006A5979"/>
    <w:rsid w:val="006A599C"/>
    <w:rsid w:val="006A59C2"/>
    <w:rsid w:val="006A59D5"/>
    <w:rsid w:val="006A59E1"/>
    <w:rsid w:val="006A59F4"/>
    <w:rsid w:val="006A59F8"/>
    <w:rsid w:val="006A59FA"/>
    <w:rsid w:val="006A5A1F"/>
    <w:rsid w:val="006A5AE5"/>
    <w:rsid w:val="006A5AF9"/>
    <w:rsid w:val="006A5B10"/>
    <w:rsid w:val="006A5B1E"/>
    <w:rsid w:val="006A5B32"/>
    <w:rsid w:val="006A5B9E"/>
    <w:rsid w:val="006A5BDC"/>
    <w:rsid w:val="006A5C03"/>
    <w:rsid w:val="006A5C09"/>
    <w:rsid w:val="006A5C21"/>
    <w:rsid w:val="006A5C9A"/>
    <w:rsid w:val="006A5CD7"/>
    <w:rsid w:val="006A5CF4"/>
    <w:rsid w:val="006A5CF7"/>
    <w:rsid w:val="006A5CF9"/>
    <w:rsid w:val="006A5D4D"/>
    <w:rsid w:val="006A5D65"/>
    <w:rsid w:val="006A5D93"/>
    <w:rsid w:val="006A5DD3"/>
    <w:rsid w:val="006A5E23"/>
    <w:rsid w:val="006A5E34"/>
    <w:rsid w:val="006A5E37"/>
    <w:rsid w:val="006A5E76"/>
    <w:rsid w:val="006A5E87"/>
    <w:rsid w:val="006A5E96"/>
    <w:rsid w:val="006A5E9D"/>
    <w:rsid w:val="006A5EBC"/>
    <w:rsid w:val="006A5EC8"/>
    <w:rsid w:val="006A5EF3"/>
    <w:rsid w:val="006A5F29"/>
    <w:rsid w:val="006A5F7C"/>
    <w:rsid w:val="006A5FB2"/>
    <w:rsid w:val="006A5FC7"/>
    <w:rsid w:val="006A5FF5"/>
    <w:rsid w:val="006A60F7"/>
    <w:rsid w:val="006A615A"/>
    <w:rsid w:val="006A617A"/>
    <w:rsid w:val="006A6180"/>
    <w:rsid w:val="006A6183"/>
    <w:rsid w:val="006A61B6"/>
    <w:rsid w:val="006A6248"/>
    <w:rsid w:val="006A6262"/>
    <w:rsid w:val="006A628A"/>
    <w:rsid w:val="006A628C"/>
    <w:rsid w:val="006A62E3"/>
    <w:rsid w:val="006A6335"/>
    <w:rsid w:val="006A6361"/>
    <w:rsid w:val="006A63A4"/>
    <w:rsid w:val="006A63FC"/>
    <w:rsid w:val="006A6401"/>
    <w:rsid w:val="006A6417"/>
    <w:rsid w:val="006A641D"/>
    <w:rsid w:val="006A642F"/>
    <w:rsid w:val="006A6433"/>
    <w:rsid w:val="006A6449"/>
    <w:rsid w:val="006A645B"/>
    <w:rsid w:val="006A647F"/>
    <w:rsid w:val="006A64A2"/>
    <w:rsid w:val="006A64B1"/>
    <w:rsid w:val="006A64FA"/>
    <w:rsid w:val="006A6535"/>
    <w:rsid w:val="006A654E"/>
    <w:rsid w:val="006A6554"/>
    <w:rsid w:val="006A656B"/>
    <w:rsid w:val="006A659A"/>
    <w:rsid w:val="006A65A5"/>
    <w:rsid w:val="006A65B5"/>
    <w:rsid w:val="006A65D4"/>
    <w:rsid w:val="006A661F"/>
    <w:rsid w:val="006A6639"/>
    <w:rsid w:val="006A66A5"/>
    <w:rsid w:val="006A66CF"/>
    <w:rsid w:val="006A671F"/>
    <w:rsid w:val="006A6781"/>
    <w:rsid w:val="006A6789"/>
    <w:rsid w:val="006A67B1"/>
    <w:rsid w:val="006A67B5"/>
    <w:rsid w:val="006A67BF"/>
    <w:rsid w:val="006A6813"/>
    <w:rsid w:val="006A6835"/>
    <w:rsid w:val="006A6852"/>
    <w:rsid w:val="006A688C"/>
    <w:rsid w:val="006A68A9"/>
    <w:rsid w:val="006A68AB"/>
    <w:rsid w:val="006A691A"/>
    <w:rsid w:val="006A6935"/>
    <w:rsid w:val="006A6937"/>
    <w:rsid w:val="006A694D"/>
    <w:rsid w:val="006A6951"/>
    <w:rsid w:val="006A69AE"/>
    <w:rsid w:val="006A69B5"/>
    <w:rsid w:val="006A69BE"/>
    <w:rsid w:val="006A69C5"/>
    <w:rsid w:val="006A69CE"/>
    <w:rsid w:val="006A6A18"/>
    <w:rsid w:val="006A6A5D"/>
    <w:rsid w:val="006A6A8B"/>
    <w:rsid w:val="006A6A9D"/>
    <w:rsid w:val="006A6AF8"/>
    <w:rsid w:val="006A6B82"/>
    <w:rsid w:val="006A6B93"/>
    <w:rsid w:val="006A6BA3"/>
    <w:rsid w:val="006A6BB2"/>
    <w:rsid w:val="006A6BC2"/>
    <w:rsid w:val="006A6BEB"/>
    <w:rsid w:val="006A6BEE"/>
    <w:rsid w:val="006A6C16"/>
    <w:rsid w:val="006A6C23"/>
    <w:rsid w:val="006A6C39"/>
    <w:rsid w:val="006A6C3D"/>
    <w:rsid w:val="006A6C55"/>
    <w:rsid w:val="006A6CA7"/>
    <w:rsid w:val="006A6CDB"/>
    <w:rsid w:val="006A6D2B"/>
    <w:rsid w:val="006A6D85"/>
    <w:rsid w:val="006A6D9C"/>
    <w:rsid w:val="006A6E00"/>
    <w:rsid w:val="006A6E31"/>
    <w:rsid w:val="006A6E5E"/>
    <w:rsid w:val="006A6E81"/>
    <w:rsid w:val="006A6E94"/>
    <w:rsid w:val="006A6EA8"/>
    <w:rsid w:val="006A6EB2"/>
    <w:rsid w:val="006A6EC5"/>
    <w:rsid w:val="006A6F2B"/>
    <w:rsid w:val="006A6F32"/>
    <w:rsid w:val="006A6F64"/>
    <w:rsid w:val="006A6F65"/>
    <w:rsid w:val="006A6F82"/>
    <w:rsid w:val="006A6FA7"/>
    <w:rsid w:val="006A7026"/>
    <w:rsid w:val="006A70AA"/>
    <w:rsid w:val="006A710C"/>
    <w:rsid w:val="006A711E"/>
    <w:rsid w:val="006A7138"/>
    <w:rsid w:val="006A713C"/>
    <w:rsid w:val="006A7153"/>
    <w:rsid w:val="006A71FA"/>
    <w:rsid w:val="006A7200"/>
    <w:rsid w:val="006A7202"/>
    <w:rsid w:val="006A7212"/>
    <w:rsid w:val="006A724B"/>
    <w:rsid w:val="006A7253"/>
    <w:rsid w:val="006A7284"/>
    <w:rsid w:val="006A7290"/>
    <w:rsid w:val="006A72AF"/>
    <w:rsid w:val="006A72DE"/>
    <w:rsid w:val="006A7306"/>
    <w:rsid w:val="006A7347"/>
    <w:rsid w:val="006A7392"/>
    <w:rsid w:val="006A7397"/>
    <w:rsid w:val="006A739E"/>
    <w:rsid w:val="006A73AA"/>
    <w:rsid w:val="006A73C5"/>
    <w:rsid w:val="006A73E3"/>
    <w:rsid w:val="006A73E8"/>
    <w:rsid w:val="006A73E9"/>
    <w:rsid w:val="006A7408"/>
    <w:rsid w:val="006A7419"/>
    <w:rsid w:val="006A7444"/>
    <w:rsid w:val="006A7470"/>
    <w:rsid w:val="006A749C"/>
    <w:rsid w:val="006A7507"/>
    <w:rsid w:val="006A7508"/>
    <w:rsid w:val="006A7514"/>
    <w:rsid w:val="006A7525"/>
    <w:rsid w:val="006A7528"/>
    <w:rsid w:val="006A754A"/>
    <w:rsid w:val="006A7573"/>
    <w:rsid w:val="006A7584"/>
    <w:rsid w:val="006A75A7"/>
    <w:rsid w:val="006A75AF"/>
    <w:rsid w:val="006A75C9"/>
    <w:rsid w:val="006A7613"/>
    <w:rsid w:val="006A7630"/>
    <w:rsid w:val="006A7643"/>
    <w:rsid w:val="006A764D"/>
    <w:rsid w:val="006A7691"/>
    <w:rsid w:val="006A76DE"/>
    <w:rsid w:val="006A76E8"/>
    <w:rsid w:val="006A77A9"/>
    <w:rsid w:val="006A7804"/>
    <w:rsid w:val="006A7819"/>
    <w:rsid w:val="006A7834"/>
    <w:rsid w:val="006A7835"/>
    <w:rsid w:val="006A7890"/>
    <w:rsid w:val="006A78B2"/>
    <w:rsid w:val="006A78B7"/>
    <w:rsid w:val="006A78CB"/>
    <w:rsid w:val="006A78E5"/>
    <w:rsid w:val="006A7915"/>
    <w:rsid w:val="006A7A01"/>
    <w:rsid w:val="006A7A2F"/>
    <w:rsid w:val="006A7A31"/>
    <w:rsid w:val="006A7A40"/>
    <w:rsid w:val="006A7ABF"/>
    <w:rsid w:val="006A7AC6"/>
    <w:rsid w:val="006A7AEE"/>
    <w:rsid w:val="006A7B1A"/>
    <w:rsid w:val="006A7B2D"/>
    <w:rsid w:val="006A7B38"/>
    <w:rsid w:val="006A7B53"/>
    <w:rsid w:val="006A7B54"/>
    <w:rsid w:val="006A7BB7"/>
    <w:rsid w:val="006A7C8F"/>
    <w:rsid w:val="006A7C9A"/>
    <w:rsid w:val="006A7CB1"/>
    <w:rsid w:val="006A7CD0"/>
    <w:rsid w:val="006A7D15"/>
    <w:rsid w:val="006A7D16"/>
    <w:rsid w:val="006A7D53"/>
    <w:rsid w:val="006A7D74"/>
    <w:rsid w:val="006A7D7B"/>
    <w:rsid w:val="006A7DF7"/>
    <w:rsid w:val="006A7E0A"/>
    <w:rsid w:val="006A7E11"/>
    <w:rsid w:val="006A7E23"/>
    <w:rsid w:val="006A7E4D"/>
    <w:rsid w:val="006A7E53"/>
    <w:rsid w:val="006A7E5B"/>
    <w:rsid w:val="006A7E97"/>
    <w:rsid w:val="006A7E99"/>
    <w:rsid w:val="006A7EE1"/>
    <w:rsid w:val="006A7EE4"/>
    <w:rsid w:val="006A7F31"/>
    <w:rsid w:val="006A7F3D"/>
    <w:rsid w:val="006A7FE5"/>
    <w:rsid w:val="006B0007"/>
    <w:rsid w:val="006B00B3"/>
    <w:rsid w:val="006B00C6"/>
    <w:rsid w:val="006B0104"/>
    <w:rsid w:val="006B019D"/>
    <w:rsid w:val="006B01A0"/>
    <w:rsid w:val="006B01A1"/>
    <w:rsid w:val="006B028E"/>
    <w:rsid w:val="006B0298"/>
    <w:rsid w:val="006B02B6"/>
    <w:rsid w:val="006B02C3"/>
    <w:rsid w:val="006B02C6"/>
    <w:rsid w:val="006B02D2"/>
    <w:rsid w:val="006B0308"/>
    <w:rsid w:val="006B030D"/>
    <w:rsid w:val="006B0337"/>
    <w:rsid w:val="006B033D"/>
    <w:rsid w:val="006B035E"/>
    <w:rsid w:val="006B03AB"/>
    <w:rsid w:val="006B03DF"/>
    <w:rsid w:val="006B03E2"/>
    <w:rsid w:val="006B03EC"/>
    <w:rsid w:val="006B03EF"/>
    <w:rsid w:val="006B0414"/>
    <w:rsid w:val="006B0427"/>
    <w:rsid w:val="006B0449"/>
    <w:rsid w:val="006B0457"/>
    <w:rsid w:val="006B046C"/>
    <w:rsid w:val="006B04A0"/>
    <w:rsid w:val="006B04AC"/>
    <w:rsid w:val="006B04B2"/>
    <w:rsid w:val="006B04BD"/>
    <w:rsid w:val="006B04BF"/>
    <w:rsid w:val="006B04F4"/>
    <w:rsid w:val="006B0502"/>
    <w:rsid w:val="006B0508"/>
    <w:rsid w:val="006B0518"/>
    <w:rsid w:val="006B057E"/>
    <w:rsid w:val="006B0640"/>
    <w:rsid w:val="006B0658"/>
    <w:rsid w:val="006B06A5"/>
    <w:rsid w:val="006B06F5"/>
    <w:rsid w:val="006B070E"/>
    <w:rsid w:val="006B072A"/>
    <w:rsid w:val="006B0772"/>
    <w:rsid w:val="006B0778"/>
    <w:rsid w:val="006B0795"/>
    <w:rsid w:val="006B07A2"/>
    <w:rsid w:val="006B07AE"/>
    <w:rsid w:val="006B07D5"/>
    <w:rsid w:val="006B07D9"/>
    <w:rsid w:val="006B0823"/>
    <w:rsid w:val="006B0831"/>
    <w:rsid w:val="006B0848"/>
    <w:rsid w:val="006B0850"/>
    <w:rsid w:val="006B0856"/>
    <w:rsid w:val="006B0877"/>
    <w:rsid w:val="006B087D"/>
    <w:rsid w:val="006B087E"/>
    <w:rsid w:val="006B087F"/>
    <w:rsid w:val="006B08B0"/>
    <w:rsid w:val="006B08C9"/>
    <w:rsid w:val="006B08D0"/>
    <w:rsid w:val="006B08F3"/>
    <w:rsid w:val="006B08F6"/>
    <w:rsid w:val="006B096B"/>
    <w:rsid w:val="006B09BC"/>
    <w:rsid w:val="006B0A0A"/>
    <w:rsid w:val="006B0A29"/>
    <w:rsid w:val="006B0A2B"/>
    <w:rsid w:val="006B0A3E"/>
    <w:rsid w:val="006B0ABA"/>
    <w:rsid w:val="006B0AD3"/>
    <w:rsid w:val="006B0AE6"/>
    <w:rsid w:val="006B0AF5"/>
    <w:rsid w:val="006B0B20"/>
    <w:rsid w:val="006B0B64"/>
    <w:rsid w:val="006B0B76"/>
    <w:rsid w:val="006B0BAF"/>
    <w:rsid w:val="006B0BC0"/>
    <w:rsid w:val="006B0BC8"/>
    <w:rsid w:val="006B0BCF"/>
    <w:rsid w:val="006B0BFF"/>
    <w:rsid w:val="006B0C13"/>
    <w:rsid w:val="006B0C33"/>
    <w:rsid w:val="006B0C41"/>
    <w:rsid w:val="006B0C76"/>
    <w:rsid w:val="006B0C97"/>
    <w:rsid w:val="006B0C9B"/>
    <w:rsid w:val="006B0CC4"/>
    <w:rsid w:val="006B0D31"/>
    <w:rsid w:val="006B0D6D"/>
    <w:rsid w:val="006B0D9E"/>
    <w:rsid w:val="006B0DB0"/>
    <w:rsid w:val="006B0DD0"/>
    <w:rsid w:val="006B0E09"/>
    <w:rsid w:val="006B0E2F"/>
    <w:rsid w:val="006B0E31"/>
    <w:rsid w:val="006B0E59"/>
    <w:rsid w:val="006B0E75"/>
    <w:rsid w:val="006B0E99"/>
    <w:rsid w:val="006B0EC7"/>
    <w:rsid w:val="006B0EE0"/>
    <w:rsid w:val="006B0EEA"/>
    <w:rsid w:val="006B0EF7"/>
    <w:rsid w:val="006B0F61"/>
    <w:rsid w:val="006B0F70"/>
    <w:rsid w:val="006B0F77"/>
    <w:rsid w:val="006B0F8F"/>
    <w:rsid w:val="006B0FCC"/>
    <w:rsid w:val="006B0FD7"/>
    <w:rsid w:val="006B0FDA"/>
    <w:rsid w:val="006B1018"/>
    <w:rsid w:val="006B1058"/>
    <w:rsid w:val="006B1059"/>
    <w:rsid w:val="006B107D"/>
    <w:rsid w:val="006B10A2"/>
    <w:rsid w:val="006B1120"/>
    <w:rsid w:val="006B1133"/>
    <w:rsid w:val="006B1141"/>
    <w:rsid w:val="006B1154"/>
    <w:rsid w:val="006B1183"/>
    <w:rsid w:val="006B119A"/>
    <w:rsid w:val="006B11E8"/>
    <w:rsid w:val="006B11ED"/>
    <w:rsid w:val="006B11FB"/>
    <w:rsid w:val="006B121D"/>
    <w:rsid w:val="006B124F"/>
    <w:rsid w:val="006B1276"/>
    <w:rsid w:val="006B129C"/>
    <w:rsid w:val="006B12B8"/>
    <w:rsid w:val="006B12FC"/>
    <w:rsid w:val="006B1349"/>
    <w:rsid w:val="006B134D"/>
    <w:rsid w:val="006B13AE"/>
    <w:rsid w:val="006B13DA"/>
    <w:rsid w:val="006B13E5"/>
    <w:rsid w:val="006B1400"/>
    <w:rsid w:val="006B1436"/>
    <w:rsid w:val="006B145E"/>
    <w:rsid w:val="006B1499"/>
    <w:rsid w:val="006B14A4"/>
    <w:rsid w:val="006B14BF"/>
    <w:rsid w:val="006B14C7"/>
    <w:rsid w:val="006B14E4"/>
    <w:rsid w:val="006B152C"/>
    <w:rsid w:val="006B154C"/>
    <w:rsid w:val="006B1554"/>
    <w:rsid w:val="006B1561"/>
    <w:rsid w:val="006B1585"/>
    <w:rsid w:val="006B159D"/>
    <w:rsid w:val="006B15D5"/>
    <w:rsid w:val="006B15F1"/>
    <w:rsid w:val="006B15F5"/>
    <w:rsid w:val="006B1609"/>
    <w:rsid w:val="006B160C"/>
    <w:rsid w:val="006B1656"/>
    <w:rsid w:val="006B169A"/>
    <w:rsid w:val="006B16B7"/>
    <w:rsid w:val="006B16C4"/>
    <w:rsid w:val="006B16DA"/>
    <w:rsid w:val="006B170D"/>
    <w:rsid w:val="006B174D"/>
    <w:rsid w:val="006B1757"/>
    <w:rsid w:val="006B176E"/>
    <w:rsid w:val="006B17BD"/>
    <w:rsid w:val="006B17FF"/>
    <w:rsid w:val="006B1851"/>
    <w:rsid w:val="006B18C9"/>
    <w:rsid w:val="006B1928"/>
    <w:rsid w:val="006B1972"/>
    <w:rsid w:val="006B19A8"/>
    <w:rsid w:val="006B1A01"/>
    <w:rsid w:val="006B1A41"/>
    <w:rsid w:val="006B1A93"/>
    <w:rsid w:val="006B1AB1"/>
    <w:rsid w:val="006B1ACB"/>
    <w:rsid w:val="006B1AD7"/>
    <w:rsid w:val="006B1ADB"/>
    <w:rsid w:val="006B1B69"/>
    <w:rsid w:val="006B1B7D"/>
    <w:rsid w:val="006B1BA0"/>
    <w:rsid w:val="006B1BBD"/>
    <w:rsid w:val="006B1BF7"/>
    <w:rsid w:val="006B1C00"/>
    <w:rsid w:val="006B1C03"/>
    <w:rsid w:val="006B1C57"/>
    <w:rsid w:val="006B1C7D"/>
    <w:rsid w:val="006B1CAC"/>
    <w:rsid w:val="006B1CB4"/>
    <w:rsid w:val="006B1CC5"/>
    <w:rsid w:val="006B1CD0"/>
    <w:rsid w:val="006B1CFC"/>
    <w:rsid w:val="006B1D1E"/>
    <w:rsid w:val="006B1DD8"/>
    <w:rsid w:val="006B1DFF"/>
    <w:rsid w:val="006B1E12"/>
    <w:rsid w:val="006B1E1B"/>
    <w:rsid w:val="006B1EAC"/>
    <w:rsid w:val="006B1EC3"/>
    <w:rsid w:val="006B1ECB"/>
    <w:rsid w:val="006B1ED9"/>
    <w:rsid w:val="006B1EE8"/>
    <w:rsid w:val="006B1EF1"/>
    <w:rsid w:val="006B1F09"/>
    <w:rsid w:val="006B1F13"/>
    <w:rsid w:val="006B1F7F"/>
    <w:rsid w:val="006B1FE8"/>
    <w:rsid w:val="006B1FEE"/>
    <w:rsid w:val="006B200B"/>
    <w:rsid w:val="006B201A"/>
    <w:rsid w:val="006B2023"/>
    <w:rsid w:val="006B2083"/>
    <w:rsid w:val="006B20E7"/>
    <w:rsid w:val="006B2103"/>
    <w:rsid w:val="006B2144"/>
    <w:rsid w:val="006B2147"/>
    <w:rsid w:val="006B2161"/>
    <w:rsid w:val="006B2214"/>
    <w:rsid w:val="006B222C"/>
    <w:rsid w:val="006B2230"/>
    <w:rsid w:val="006B228A"/>
    <w:rsid w:val="006B22B1"/>
    <w:rsid w:val="006B22DA"/>
    <w:rsid w:val="006B22DB"/>
    <w:rsid w:val="006B22E8"/>
    <w:rsid w:val="006B230F"/>
    <w:rsid w:val="006B231F"/>
    <w:rsid w:val="006B2359"/>
    <w:rsid w:val="006B23B7"/>
    <w:rsid w:val="006B23EC"/>
    <w:rsid w:val="006B2426"/>
    <w:rsid w:val="006B2441"/>
    <w:rsid w:val="006B2482"/>
    <w:rsid w:val="006B2488"/>
    <w:rsid w:val="006B248B"/>
    <w:rsid w:val="006B24A6"/>
    <w:rsid w:val="006B24BC"/>
    <w:rsid w:val="006B24F9"/>
    <w:rsid w:val="006B250B"/>
    <w:rsid w:val="006B251E"/>
    <w:rsid w:val="006B252A"/>
    <w:rsid w:val="006B2541"/>
    <w:rsid w:val="006B255B"/>
    <w:rsid w:val="006B2561"/>
    <w:rsid w:val="006B25FE"/>
    <w:rsid w:val="006B2604"/>
    <w:rsid w:val="006B261B"/>
    <w:rsid w:val="006B2642"/>
    <w:rsid w:val="006B2677"/>
    <w:rsid w:val="006B268F"/>
    <w:rsid w:val="006B2692"/>
    <w:rsid w:val="006B26A6"/>
    <w:rsid w:val="006B26A7"/>
    <w:rsid w:val="006B26C3"/>
    <w:rsid w:val="006B26DE"/>
    <w:rsid w:val="006B26F1"/>
    <w:rsid w:val="006B26FC"/>
    <w:rsid w:val="006B2703"/>
    <w:rsid w:val="006B270C"/>
    <w:rsid w:val="006B2747"/>
    <w:rsid w:val="006B274F"/>
    <w:rsid w:val="006B276C"/>
    <w:rsid w:val="006B27A5"/>
    <w:rsid w:val="006B27CC"/>
    <w:rsid w:val="006B27EB"/>
    <w:rsid w:val="006B280E"/>
    <w:rsid w:val="006B2825"/>
    <w:rsid w:val="006B2865"/>
    <w:rsid w:val="006B2873"/>
    <w:rsid w:val="006B2882"/>
    <w:rsid w:val="006B28AF"/>
    <w:rsid w:val="006B28C1"/>
    <w:rsid w:val="006B28CB"/>
    <w:rsid w:val="006B28D2"/>
    <w:rsid w:val="006B28E9"/>
    <w:rsid w:val="006B28F3"/>
    <w:rsid w:val="006B290F"/>
    <w:rsid w:val="006B2949"/>
    <w:rsid w:val="006B2959"/>
    <w:rsid w:val="006B2967"/>
    <w:rsid w:val="006B298D"/>
    <w:rsid w:val="006B2993"/>
    <w:rsid w:val="006B2A0C"/>
    <w:rsid w:val="006B2A47"/>
    <w:rsid w:val="006B2AA4"/>
    <w:rsid w:val="006B2AB3"/>
    <w:rsid w:val="006B2ACF"/>
    <w:rsid w:val="006B2AD0"/>
    <w:rsid w:val="006B2AF8"/>
    <w:rsid w:val="006B2B05"/>
    <w:rsid w:val="006B2B1C"/>
    <w:rsid w:val="006B2B24"/>
    <w:rsid w:val="006B2B25"/>
    <w:rsid w:val="006B2B59"/>
    <w:rsid w:val="006B2B98"/>
    <w:rsid w:val="006B2BAD"/>
    <w:rsid w:val="006B2BF1"/>
    <w:rsid w:val="006B2BF7"/>
    <w:rsid w:val="006B2C2C"/>
    <w:rsid w:val="006B2C41"/>
    <w:rsid w:val="006B2C47"/>
    <w:rsid w:val="006B2C52"/>
    <w:rsid w:val="006B2C79"/>
    <w:rsid w:val="006B2C7D"/>
    <w:rsid w:val="006B2CA4"/>
    <w:rsid w:val="006B2D00"/>
    <w:rsid w:val="006B2D55"/>
    <w:rsid w:val="006B2D9C"/>
    <w:rsid w:val="006B2DA0"/>
    <w:rsid w:val="006B2DDB"/>
    <w:rsid w:val="006B2DDF"/>
    <w:rsid w:val="006B2DFA"/>
    <w:rsid w:val="006B2E34"/>
    <w:rsid w:val="006B2E7F"/>
    <w:rsid w:val="006B2E9C"/>
    <w:rsid w:val="006B2EA3"/>
    <w:rsid w:val="006B2F8A"/>
    <w:rsid w:val="006B2FE3"/>
    <w:rsid w:val="006B2FF7"/>
    <w:rsid w:val="006B305F"/>
    <w:rsid w:val="006B3071"/>
    <w:rsid w:val="006B30F2"/>
    <w:rsid w:val="006B30FC"/>
    <w:rsid w:val="006B317A"/>
    <w:rsid w:val="006B3184"/>
    <w:rsid w:val="006B31A7"/>
    <w:rsid w:val="006B31D9"/>
    <w:rsid w:val="006B31FE"/>
    <w:rsid w:val="006B3202"/>
    <w:rsid w:val="006B3206"/>
    <w:rsid w:val="006B3226"/>
    <w:rsid w:val="006B324E"/>
    <w:rsid w:val="006B3282"/>
    <w:rsid w:val="006B32AC"/>
    <w:rsid w:val="006B3301"/>
    <w:rsid w:val="006B334E"/>
    <w:rsid w:val="006B3353"/>
    <w:rsid w:val="006B335D"/>
    <w:rsid w:val="006B3421"/>
    <w:rsid w:val="006B3447"/>
    <w:rsid w:val="006B3454"/>
    <w:rsid w:val="006B3463"/>
    <w:rsid w:val="006B3472"/>
    <w:rsid w:val="006B34A5"/>
    <w:rsid w:val="006B34B2"/>
    <w:rsid w:val="006B3595"/>
    <w:rsid w:val="006B359B"/>
    <w:rsid w:val="006B35B1"/>
    <w:rsid w:val="006B35CC"/>
    <w:rsid w:val="006B3608"/>
    <w:rsid w:val="006B3640"/>
    <w:rsid w:val="006B364E"/>
    <w:rsid w:val="006B36A0"/>
    <w:rsid w:val="006B36AB"/>
    <w:rsid w:val="006B36D1"/>
    <w:rsid w:val="006B36EA"/>
    <w:rsid w:val="006B36F2"/>
    <w:rsid w:val="006B374A"/>
    <w:rsid w:val="006B3751"/>
    <w:rsid w:val="006B37B9"/>
    <w:rsid w:val="006B37D1"/>
    <w:rsid w:val="006B37E1"/>
    <w:rsid w:val="006B37E9"/>
    <w:rsid w:val="006B381D"/>
    <w:rsid w:val="006B3827"/>
    <w:rsid w:val="006B3838"/>
    <w:rsid w:val="006B384D"/>
    <w:rsid w:val="006B385E"/>
    <w:rsid w:val="006B38C8"/>
    <w:rsid w:val="006B3903"/>
    <w:rsid w:val="006B3936"/>
    <w:rsid w:val="006B398D"/>
    <w:rsid w:val="006B39E5"/>
    <w:rsid w:val="006B3A0D"/>
    <w:rsid w:val="006B3A4A"/>
    <w:rsid w:val="006B3A4C"/>
    <w:rsid w:val="006B3A66"/>
    <w:rsid w:val="006B3A75"/>
    <w:rsid w:val="006B3A7A"/>
    <w:rsid w:val="006B3AAF"/>
    <w:rsid w:val="006B3AB1"/>
    <w:rsid w:val="006B3AC4"/>
    <w:rsid w:val="006B3ADA"/>
    <w:rsid w:val="006B3AFB"/>
    <w:rsid w:val="006B3B0D"/>
    <w:rsid w:val="006B3B27"/>
    <w:rsid w:val="006B3B28"/>
    <w:rsid w:val="006B3B68"/>
    <w:rsid w:val="006B3B97"/>
    <w:rsid w:val="006B3B9E"/>
    <w:rsid w:val="006B3BBA"/>
    <w:rsid w:val="006B3BD0"/>
    <w:rsid w:val="006B3BFE"/>
    <w:rsid w:val="006B3C07"/>
    <w:rsid w:val="006B3C10"/>
    <w:rsid w:val="006B3C47"/>
    <w:rsid w:val="006B3C4F"/>
    <w:rsid w:val="006B3CA0"/>
    <w:rsid w:val="006B3CB0"/>
    <w:rsid w:val="006B3D4A"/>
    <w:rsid w:val="006B3D7D"/>
    <w:rsid w:val="006B3D97"/>
    <w:rsid w:val="006B3D9E"/>
    <w:rsid w:val="006B3DA4"/>
    <w:rsid w:val="006B3E48"/>
    <w:rsid w:val="006B3E58"/>
    <w:rsid w:val="006B3E7C"/>
    <w:rsid w:val="006B3EC2"/>
    <w:rsid w:val="006B3EDC"/>
    <w:rsid w:val="006B3EE4"/>
    <w:rsid w:val="006B3EFC"/>
    <w:rsid w:val="006B3F12"/>
    <w:rsid w:val="006B3F1A"/>
    <w:rsid w:val="006B3F28"/>
    <w:rsid w:val="006B3F2C"/>
    <w:rsid w:val="006B3F43"/>
    <w:rsid w:val="006B3F49"/>
    <w:rsid w:val="006B3F83"/>
    <w:rsid w:val="006B3FD6"/>
    <w:rsid w:val="006B4008"/>
    <w:rsid w:val="006B400D"/>
    <w:rsid w:val="006B4017"/>
    <w:rsid w:val="006B402C"/>
    <w:rsid w:val="006B405D"/>
    <w:rsid w:val="006B4078"/>
    <w:rsid w:val="006B40D2"/>
    <w:rsid w:val="006B40EC"/>
    <w:rsid w:val="006B412D"/>
    <w:rsid w:val="006B415E"/>
    <w:rsid w:val="006B416A"/>
    <w:rsid w:val="006B4175"/>
    <w:rsid w:val="006B41AF"/>
    <w:rsid w:val="006B41C0"/>
    <w:rsid w:val="006B41CE"/>
    <w:rsid w:val="006B41DE"/>
    <w:rsid w:val="006B41EB"/>
    <w:rsid w:val="006B41F6"/>
    <w:rsid w:val="006B4218"/>
    <w:rsid w:val="006B42BB"/>
    <w:rsid w:val="006B42CB"/>
    <w:rsid w:val="006B4477"/>
    <w:rsid w:val="006B44AF"/>
    <w:rsid w:val="006B4538"/>
    <w:rsid w:val="006B4587"/>
    <w:rsid w:val="006B45A1"/>
    <w:rsid w:val="006B45B0"/>
    <w:rsid w:val="006B45BF"/>
    <w:rsid w:val="006B460C"/>
    <w:rsid w:val="006B464C"/>
    <w:rsid w:val="006B4681"/>
    <w:rsid w:val="006B4686"/>
    <w:rsid w:val="006B46EB"/>
    <w:rsid w:val="006B46EF"/>
    <w:rsid w:val="006B46FF"/>
    <w:rsid w:val="006B4743"/>
    <w:rsid w:val="006B4756"/>
    <w:rsid w:val="006B4757"/>
    <w:rsid w:val="006B475A"/>
    <w:rsid w:val="006B47BA"/>
    <w:rsid w:val="006B47C4"/>
    <w:rsid w:val="006B47E3"/>
    <w:rsid w:val="006B482B"/>
    <w:rsid w:val="006B483A"/>
    <w:rsid w:val="006B485D"/>
    <w:rsid w:val="006B4880"/>
    <w:rsid w:val="006B4890"/>
    <w:rsid w:val="006B48D4"/>
    <w:rsid w:val="006B48D9"/>
    <w:rsid w:val="006B491D"/>
    <w:rsid w:val="006B492A"/>
    <w:rsid w:val="006B492E"/>
    <w:rsid w:val="006B4931"/>
    <w:rsid w:val="006B4935"/>
    <w:rsid w:val="006B4951"/>
    <w:rsid w:val="006B499A"/>
    <w:rsid w:val="006B49AB"/>
    <w:rsid w:val="006B49BF"/>
    <w:rsid w:val="006B4A0C"/>
    <w:rsid w:val="006B4A5E"/>
    <w:rsid w:val="006B4A68"/>
    <w:rsid w:val="006B4A6F"/>
    <w:rsid w:val="006B4A85"/>
    <w:rsid w:val="006B4ABA"/>
    <w:rsid w:val="006B4AED"/>
    <w:rsid w:val="006B4AFE"/>
    <w:rsid w:val="006B4B03"/>
    <w:rsid w:val="006B4B41"/>
    <w:rsid w:val="006B4B7C"/>
    <w:rsid w:val="006B4BAF"/>
    <w:rsid w:val="006B4BE0"/>
    <w:rsid w:val="006B4C2D"/>
    <w:rsid w:val="006B4C31"/>
    <w:rsid w:val="006B4C51"/>
    <w:rsid w:val="006B4C60"/>
    <w:rsid w:val="006B4CBB"/>
    <w:rsid w:val="006B4CEE"/>
    <w:rsid w:val="006B4CF4"/>
    <w:rsid w:val="006B4D06"/>
    <w:rsid w:val="006B4D1A"/>
    <w:rsid w:val="006B4D64"/>
    <w:rsid w:val="006B4D9E"/>
    <w:rsid w:val="006B4E36"/>
    <w:rsid w:val="006B4E50"/>
    <w:rsid w:val="006B4E61"/>
    <w:rsid w:val="006B4E92"/>
    <w:rsid w:val="006B4EBB"/>
    <w:rsid w:val="006B4EF4"/>
    <w:rsid w:val="006B4F24"/>
    <w:rsid w:val="006B4F71"/>
    <w:rsid w:val="006B4F84"/>
    <w:rsid w:val="006B4FA4"/>
    <w:rsid w:val="006B4FBF"/>
    <w:rsid w:val="006B4FE6"/>
    <w:rsid w:val="006B5084"/>
    <w:rsid w:val="006B5087"/>
    <w:rsid w:val="006B508C"/>
    <w:rsid w:val="006B5091"/>
    <w:rsid w:val="006B50F0"/>
    <w:rsid w:val="006B5102"/>
    <w:rsid w:val="006B5144"/>
    <w:rsid w:val="006B51AE"/>
    <w:rsid w:val="006B51BF"/>
    <w:rsid w:val="006B51C6"/>
    <w:rsid w:val="006B51E9"/>
    <w:rsid w:val="006B51FE"/>
    <w:rsid w:val="006B5261"/>
    <w:rsid w:val="006B526F"/>
    <w:rsid w:val="006B5273"/>
    <w:rsid w:val="006B5282"/>
    <w:rsid w:val="006B52AF"/>
    <w:rsid w:val="006B52BC"/>
    <w:rsid w:val="006B531C"/>
    <w:rsid w:val="006B535D"/>
    <w:rsid w:val="006B53B5"/>
    <w:rsid w:val="006B53BA"/>
    <w:rsid w:val="006B53CF"/>
    <w:rsid w:val="006B53DD"/>
    <w:rsid w:val="006B53E2"/>
    <w:rsid w:val="006B5438"/>
    <w:rsid w:val="006B5443"/>
    <w:rsid w:val="006B5458"/>
    <w:rsid w:val="006B548E"/>
    <w:rsid w:val="006B5491"/>
    <w:rsid w:val="006B5511"/>
    <w:rsid w:val="006B5545"/>
    <w:rsid w:val="006B559A"/>
    <w:rsid w:val="006B55AE"/>
    <w:rsid w:val="006B55BF"/>
    <w:rsid w:val="006B55CE"/>
    <w:rsid w:val="006B55D2"/>
    <w:rsid w:val="006B5639"/>
    <w:rsid w:val="006B5642"/>
    <w:rsid w:val="006B5693"/>
    <w:rsid w:val="006B569A"/>
    <w:rsid w:val="006B56AE"/>
    <w:rsid w:val="006B56D5"/>
    <w:rsid w:val="006B5725"/>
    <w:rsid w:val="006B5739"/>
    <w:rsid w:val="006B57AD"/>
    <w:rsid w:val="006B57D1"/>
    <w:rsid w:val="006B5814"/>
    <w:rsid w:val="006B587C"/>
    <w:rsid w:val="006B5884"/>
    <w:rsid w:val="006B58B7"/>
    <w:rsid w:val="006B58CB"/>
    <w:rsid w:val="006B597E"/>
    <w:rsid w:val="006B5992"/>
    <w:rsid w:val="006B59CA"/>
    <w:rsid w:val="006B5A37"/>
    <w:rsid w:val="006B5A4B"/>
    <w:rsid w:val="006B5A52"/>
    <w:rsid w:val="006B5A58"/>
    <w:rsid w:val="006B5A61"/>
    <w:rsid w:val="006B5AA8"/>
    <w:rsid w:val="006B5AB6"/>
    <w:rsid w:val="006B5AFF"/>
    <w:rsid w:val="006B5B09"/>
    <w:rsid w:val="006B5B2F"/>
    <w:rsid w:val="006B5B41"/>
    <w:rsid w:val="006B5B44"/>
    <w:rsid w:val="006B5B45"/>
    <w:rsid w:val="006B5B75"/>
    <w:rsid w:val="006B5B8D"/>
    <w:rsid w:val="006B5B95"/>
    <w:rsid w:val="006B5BA9"/>
    <w:rsid w:val="006B5C00"/>
    <w:rsid w:val="006B5C41"/>
    <w:rsid w:val="006B5C5E"/>
    <w:rsid w:val="006B5CAE"/>
    <w:rsid w:val="006B5CB3"/>
    <w:rsid w:val="006B5CE2"/>
    <w:rsid w:val="006B5CF0"/>
    <w:rsid w:val="006B5CF8"/>
    <w:rsid w:val="006B5D0E"/>
    <w:rsid w:val="006B5D1D"/>
    <w:rsid w:val="006B5D53"/>
    <w:rsid w:val="006B5D5A"/>
    <w:rsid w:val="006B5D74"/>
    <w:rsid w:val="006B5D92"/>
    <w:rsid w:val="006B5DC3"/>
    <w:rsid w:val="006B5E2E"/>
    <w:rsid w:val="006B5E6B"/>
    <w:rsid w:val="006B5E7E"/>
    <w:rsid w:val="006B5E97"/>
    <w:rsid w:val="006B5E9C"/>
    <w:rsid w:val="006B5EA4"/>
    <w:rsid w:val="006B5EDC"/>
    <w:rsid w:val="006B5F22"/>
    <w:rsid w:val="006B5F2E"/>
    <w:rsid w:val="006B5F67"/>
    <w:rsid w:val="006B5F68"/>
    <w:rsid w:val="006B5F72"/>
    <w:rsid w:val="006B5F76"/>
    <w:rsid w:val="006B5F78"/>
    <w:rsid w:val="006B5F8E"/>
    <w:rsid w:val="006B5FAC"/>
    <w:rsid w:val="006B6022"/>
    <w:rsid w:val="006B6062"/>
    <w:rsid w:val="006B608D"/>
    <w:rsid w:val="006B60AD"/>
    <w:rsid w:val="006B60D7"/>
    <w:rsid w:val="006B6107"/>
    <w:rsid w:val="006B6118"/>
    <w:rsid w:val="006B6121"/>
    <w:rsid w:val="006B6181"/>
    <w:rsid w:val="006B6188"/>
    <w:rsid w:val="006B61DE"/>
    <w:rsid w:val="006B61FE"/>
    <w:rsid w:val="006B6209"/>
    <w:rsid w:val="006B622A"/>
    <w:rsid w:val="006B6231"/>
    <w:rsid w:val="006B626D"/>
    <w:rsid w:val="006B6283"/>
    <w:rsid w:val="006B62A1"/>
    <w:rsid w:val="006B62A7"/>
    <w:rsid w:val="006B62D7"/>
    <w:rsid w:val="006B6304"/>
    <w:rsid w:val="006B6323"/>
    <w:rsid w:val="006B6324"/>
    <w:rsid w:val="006B634E"/>
    <w:rsid w:val="006B6355"/>
    <w:rsid w:val="006B637C"/>
    <w:rsid w:val="006B6390"/>
    <w:rsid w:val="006B63BE"/>
    <w:rsid w:val="006B63DA"/>
    <w:rsid w:val="006B63E7"/>
    <w:rsid w:val="006B6420"/>
    <w:rsid w:val="006B642F"/>
    <w:rsid w:val="006B6507"/>
    <w:rsid w:val="006B6509"/>
    <w:rsid w:val="006B652F"/>
    <w:rsid w:val="006B6539"/>
    <w:rsid w:val="006B653B"/>
    <w:rsid w:val="006B6581"/>
    <w:rsid w:val="006B65C2"/>
    <w:rsid w:val="006B65DC"/>
    <w:rsid w:val="006B661C"/>
    <w:rsid w:val="006B6623"/>
    <w:rsid w:val="006B6631"/>
    <w:rsid w:val="006B6673"/>
    <w:rsid w:val="006B6686"/>
    <w:rsid w:val="006B669D"/>
    <w:rsid w:val="006B66B2"/>
    <w:rsid w:val="006B66CE"/>
    <w:rsid w:val="006B673B"/>
    <w:rsid w:val="006B6742"/>
    <w:rsid w:val="006B678C"/>
    <w:rsid w:val="006B678E"/>
    <w:rsid w:val="006B67D9"/>
    <w:rsid w:val="006B67E9"/>
    <w:rsid w:val="006B67F5"/>
    <w:rsid w:val="006B6805"/>
    <w:rsid w:val="006B680E"/>
    <w:rsid w:val="006B6811"/>
    <w:rsid w:val="006B6838"/>
    <w:rsid w:val="006B6887"/>
    <w:rsid w:val="006B6892"/>
    <w:rsid w:val="006B68B2"/>
    <w:rsid w:val="006B68DF"/>
    <w:rsid w:val="006B68EF"/>
    <w:rsid w:val="006B692D"/>
    <w:rsid w:val="006B6967"/>
    <w:rsid w:val="006B697C"/>
    <w:rsid w:val="006B69A9"/>
    <w:rsid w:val="006B69C1"/>
    <w:rsid w:val="006B69DF"/>
    <w:rsid w:val="006B69F9"/>
    <w:rsid w:val="006B6A52"/>
    <w:rsid w:val="006B6A57"/>
    <w:rsid w:val="006B6A59"/>
    <w:rsid w:val="006B6A84"/>
    <w:rsid w:val="006B6A9D"/>
    <w:rsid w:val="006B6AA3"/>
    <w:rsid w:val="006B6B01"/>
    <w:rsid w:val="006B6B82"/>
    <w:rsid w:val="006B6BDB"/>
    <w:rsid w:val="006B6BE4"/>
    <w:rsid w:val="006B6BE9"/>
    <w:rsid w:val="006B6BF0"/>
    <w:rsid w:val="006B6BFD"/>
    <w:rsid w:val="006B6C20"/>
    <w:rsid w:val="006B6C2A"/>
    <w:rsid w:val="006B6C44"/>
    <w:rsid w:val="006B6C5B"/>
    <w:rsid w:val="006B6C70"/>
    <w:rsid w:val="006B6C8C"/>
    <w:rsid w:val="006B6C94"/>
    <w:rsid w:val="006B6CC4"/>
    <w:rsid w:val="006B6CD1"/>
    <w:rsid w:val="006B6CFE"/>
    <w:rsid w:val="006B6D6F"/>
    <w:rsid w:val="006B6D70"/>
    <w:rsid w:val="006B6D86"/>
    <w:rsid w:val="006B6DA0"/>
    <w:rsid w:val="006B6DE5"/>
    <w:rsid w:val="006B6E07"/>
    <w:rsid w:val="006B6E42"/>
    <w:rsid w:val="006B6E63"/>
    <w:rsid w:val="006B6E75"/>
    <w:rsid w:val="006B6ED5"/>
    <w:rsid w:val="006B6EE9"/>
    <w:rsid w:val="006B6EEE"/>
    <w:rsid w:val="006B6F15"/>
    <w:rsid w:val="006B6F3F"/>
    <w:rsid w:val="006B6F44"/>
    <w:rsid w:val="006B6F47"/>
    <w:rsid w:val="006B6F64"/>
    <w:rsid w:val="006B6F97"/>
    <w:rsid w:val="006B6FA5"/>
    <w:rsid w:val="006B6FB6"/>
    <w:rsid w:val="006B6FC5"/>
    <w:rsid w:val="006B700B"/>
    <w:rsid w:val="006B7039"/>
    <w:rsid w:val="006B7060"/>
    <w:rsid w:val="006B7090"/>
    <w:rsid w:val="006B7099"/>
    <w:rsid w:val="006B70B0"/>
    <w:rsid w:val="006B70DE"/>
    <w:rsid w:val="006B70DF"/>
    <w:rsid w:val="006B7137"/>
    <w:rsid w:val="006B716A"/>
    <w:rsid w:val="006B71C3"/>
    <w:rsid w:val="006B71F0"/>
    <w:rsid w:val="006B71FA"/>
    <w:rsid w:val="006B7240"/>
    <w:rsid w:val="006B7253"/>
    <w:rsid w:val="006B729D"/>
    <w:rsid w:val="006B72A0"/>
    <w:rsid w:val="006B72AA"/>
    <w:rsid w:val="006B730A"/>
    <w:rsid w:val="006B735D"/>
    <w:rsid w:val="006B7363"/>
    <w:rsid w:val="006B73A2"/>
    <w:rsid w:val="006B73C7"/>
    <w:rsid w:val="006B73EE"/>
    <w:rsid w:val="006B73EF"/>
    <w:rsid w:val="006B73FE"/>
    <w:rsid w:val="006B7417"/>
    <w:rsid w:val="006B742F"/>
    <w:rsid w:val="006B747D"/>
    <w:rsid w:val="006B748E"/>
    <w:rsid w:val="006B7494"/>
    <w:rsid w:val="006B74F5"/>
    <w:rsid w:val="006B750A"/>
    <w:rsid w:val="006B752F"/>
    <w:rsid w:val="006B7557"/>
    <w:rsid w:val="006B7566"/>
    <w:rsid w:val="006B7567"/>
    <w:rsid w:val="006B7591"/>
    <w:rsid w:val="006B7593"/>
    <w:rsid w:val="006B7606"/>
    <w:rsid w:val="006B7621"/>
    <w:rsid w:val="006B7689"/>
    <w:rsid w:val="006B76AA"/>
    <w:rsid w:val="006B76E4"/>
    <w:rsid w:val="006B770C"/>
    <w:rsid w:val="006B7737"/>
    <w:rsid w:val="006B7750"/>
    <w:rsid w:val="006B7772"/>
    <w:rsid w:val="006B77B8"/>
    <w:rsid w:val="006B77D9"/>
    <w:rsid w:val="006B77FA"/>
    <w:rsid w:val="006B7855"/>
    <w:rsid w:val="006B7868"/>
    <w:rsid w:val="006B78EC"/>
    <w:rsid w:val="006B7943"/>
    <w:rsid w:val="006B7951"/>
    <w:rsid w:val="006B795C"/>
    <w:rsid w:val="006B7963"/>
    <w:rsid w:val="006B799F"/>
    <w:rsid w:val="006B79C3"/>
    <w:rsid w:val="006B79CF"/>
    <w:rsid w:val="006B79DD"/>
    <w:rsid w:val="006B79E1"/>
    <w:rsid w:val="006B79EF"/>
    <w:rsid w:val="006B7A1E"/>
    <w:rsid w:val="006B7A82"/>
    <w:rsid w:val="006B7A8F"/>
    <w:rsid w:val="006B7AB4"/>
    <w:rsid w:val="006B7ACB"/>
    <w:rsid w:val="006B7AF1"/>
    <w:rsid w:val="006B7AFC"/>
    <w:rsid w:val="006B7B0A"/>
    <w:rsid w:val="006B7B25"/>
    <w:rsid w:val="006B7B31"/>
    <w:rsid w:val="006B7B52"/>
    <w:rsid w:val="006B7B7F"/>
    <w:rsid w:val="006B7B85"/>
    <w:rsid w:val="006B7B99"/>
    <w:rsid w:val="006B7C31"/>
    <w:rsid w:val="006B7C68"/>
    <w:rsid w:val="006B7C6B"/>
    <w:rsid w:val="006B7CBD"/>
    <w:rsid w:val="006B7CC4"/>
    <w:rsid w:val="006B7CD5"/>
    <w:rsid w:val="006B7CFA"/>
    <w:rsid w:val="006B7D07"/>
    <w:rsid w:val="006B7D1E"/>
    <w:rsid w:val="006B7D2B"/>
    <w:rsid w:val="006B7D3B"/>
    <w:rsid w:val="006B7D6F"/>
    <w:rsid w:val="006B7D75"/>
    <w:rsid w:val="006B7D90"/>
    <w:rsid w:val="006B7D9D"/>
    <w:rsid w:val="006B7DD7"/>
    <w:rsid w:val="006B7DE7"/>
    <w:rsid w:val="006B7DEA"/>
    <w:rsid w:val="006B7E5D"/>
    <w:rsid w:val="006B7ED8"/>
    <w:rsid w:val="006B7EFB"/>
    <w:rsid w:val="006B7F27"/>
    <w:rsid w:val="006B7F35"/>
    <w:rsid w:val="006B7F52"/>
    <w:rsid w:val="006B7F8E"/>
    <w:rsid w:val="006B7FA6"/>
    <w:rsid w:val="006B7FB8"/>
    <w:rsid w:val="006B7FE1"/>
    <w:rsid w:val="006B7FF9"/>
    <w:rsid w:val="006C001A"/>
    <w:rsid w:val="006C003E"/>
    <w:rsid w:val="006C0062"/>
    <w:rsid w:val="006C0082"/>
    <w:rsid w:val="006C00BA"/>
    <w:rsid w:val="006C00BB"/>
    <w:rsid w:val="006C00D4"/>
    <w:rsid w:val="006C010C"/>
    <w:rsid w:val="006C0110"/>
    <w:rsid w:val="006C0133"/>
    <w:rsid w:val="006C0151"/>
    <w:rsid w:val="006C018C"/>
    <w:rsid w:val="006C01A1"/>
    <w:rsid w:val="006C01BE"/>
    <w:rsid w:val="006C01ED"/>
    <w:rsid w:val="006C0226"/>
    <w:rsid w:val="006C0241"/>
    <w:rsid w:val="006C0269"/>
    <w:rsid w:val="006C02C1"/>
    <w:rsid w:val="006C02D5"/>
    <w:rsid w:val="006C02DE"/>
    <w:rsid w:val="006C02FA"/>
    <w:rsid w:val="006C0402"/>
    <w:rsid w:val="006C0433"/>
    <w:rsid w:val="006C0484"/>
    <w:rsid w:val="006C04C0"/>
    <w:rsid w:val="006C051F"/>
    <w:rsid w:val="006C0531"/>
    <w:rsid w:val="006C053C"/>
    <w:rsid w:val="006C055A"/>
    <w:rsid w:val="006C055B"/>
    <w:rsid w:val="006C0599"/>
    <w:rsid w:val="006C059F"/>
    <w:rsid w:val="006C05B1"/>
    <w:rsid w:val="006C0625"/>
    <w:rsid w:val="006C0652"/>
    <w:rsid w:val="006C0654"/>
    <w:rsid w:val="006C0676"/>
    <w:rsid w:val="006C06A1"/>
    <w:rsid w:val="006C06B0"/>
    <w:rsid w:val="006C06B2"/>
    <w:rsid w:val="006C06EE"/>
    <w:rsid w:val="006C071F"/>
    <w:rsid w:val="006C073C"/>
    <w:rsid w:val="006C0777"/>
    <w:rsid w:val="006C077A"/>
    <w:rsid w:val="006C0783"/>
    <w:rsid w:val="006C07D5"/>
    <w:rsid w:val="006C07E3"/>
    <w:rsid w:val="006C07E5"/>
    <w:rsid w:val="006C08D1"/>
    <w:rsid w:val="006C092A"/>
    <w:rsid w:val="006C09BA"/>
    <w:rsid w:val="006C0A04"/>
    <w:rsid w:val="006C0A0B"/>
    <w:rsid w:val="006C0A16"/>
    <w:rsid w:val="006C0A33"/>
    <w:rsid w:val="006C0A65"/>
    <w:rsid w:val="006C0AAD"/>
    <w:rsid w:val="006C0B44"/>
    <w:rsid w:val="006C0B60"/>
    <w:rsid w:val="006C0BBD"/>
    <w:rsid w:val="006C0BC4"/>
    <w:rsid w:val="006C0BF2"/>
    <w:rsid w:val="006C0C09"/>
    <w:rsid w:val="006C0C66"/>
    <w:rsid w:val="006C0C7A"/>
    <w:rsid w:val="006C0C8B"/>
    <w:rsid w:val="006C0CAD"/>
    <w:rsid w:val="006C0CC3"/>
    <w:rsid w:val="006C0CE5"/>
    <w:rsid w:val="006C0CF5"/>
    <w:rsid w:val="006C0D28"/>
    <w:rsid w:val="006C0D71"/>
    <w:rsid w:val="006C0D79"/>
    <w:rsid w:val="006C0D85"/>
    <w:rsid w:val="006C0D86"/>
    <w:rsid w:val="006C0DBD"/>
    <w:rsid w:val="006C0E05"/>
    <w:rsid w:val="006C0E15"/>
    <w:rsid w:val="006C0E7B"/>
    <w:rsid w:val="006C0E86"/>
    <w:rsid w:val="006C0EB7"/>
    <w:rsid w:val="006C0EB8"/>
    <w:rsid w:val="006C0F2E"/>
    <w:rsid w:val="006C0F74"/>
    <w:rsid w:val="006C0FA3"/>
    <w:rsid w:val="006C0FC2"/>
    <w:rsid w:val="006C1050"/>
    <w:rsid w:val="006C1079"/>
    <w:rsid w:val="006C1085"/>
    <w:rsid w:val="006C10DE"/>
    <w:rsid w:val="006C1134"/>
    <w:rsid w:val="006C1148"/>
    <w:rsid w:val="006C1169"/>
    <w:rsid w:val="006C11E4"/>
    <w:rsid w:val="006C1213"/>
    <w:rsid w:val="006C12AF"/>
    <w:rsid w:val="006C12BA"/>
    <w:rsid w:val="006C12E2"/>
    <w:rsid w:val="006C1366"/>
    <w:rsid w:val="006C13AC"/>
    <w:rsid w:val="006C13C9"/>
    <w:rsid w:val="006C13D9"/>
    <w:rsid w:val="006C13E8"/>
    <w:rsid w:val="006C13F5"/>
    <w:rsid w:val="006C1404"/>
    <w:rsid w:val="006C141C"/>
    <w:rsid w:val="006C145D"/>
    <w:rsid w:val="006C147D"/>
    <w:rsid w:val="006C1497"/>
    <w:rsid w:val="006C14A2"/>
    <w:rsid w:val="006C14A8"/>
    <w:rsid w:val="006C14C9"/>
    <w:rsid w:val="006C14D9"/>
    <w:rsid w:val="006C14F2"/>
    <w:rsid w:val="006C14F6"/>
    <w:rsid w:val="006C14F8"/>
    <w:rsid w:val="006C14FE"/>
    <w:rsid w:val="006C1532"/>
    <w:rsid w:val="006C1545"/>
    <w:rsid w:val="006C1560"/>
    <w:rsid w:val="006C1588"/>
    <w:rsid w:val="006C159A"/>
    <w:rsid w:val="006C15BB"/>
    <w:rsid w:val="006C15C2"/>
    <w:rsid w:val="006C15D5"/>
    <w:rsid w:val="006C15DE"/>
    <w:rsid w:val="006C1636"/>
    <w:rsid w:val="006C1639"/>
    <w:rsid w:val="006C1657"/>
    <w:rsid w:val="006C1668"/>
    <w:rsid w:val="006C1675"/>
    <w:rsid w:val="006C167B"/>
    <w:rsid w:val="006C16CD"/>
    <w:rsid w:val="006C16F2"/>
    <w:rsid w:val="006C16FD"/>
    <w:rsid w:val="006C1707"/>
    <w:rsid w:val="006C170F"/>
    <w:rsid w:val="006C171C"/>
    <w:rsid w:val="006C1747"/>
    <w:rsid w:val="006C174A"/>
    <w:rsid w:val="006C1877"/>
    <w:rsid w:val="006C1888"/>
    <w:rsid w:val="006C188F"/>
    <w:rsid w:val="006C18AF"/>
    <w:rsid w:val="006C18B8"/>
    <w:rsid w:val="006C18C1"/>
    <w:rsid w:val="006C18E1"/>
    <w:rsid w:val="006C1953"/>
    <w:rsid w:val="006C1956"/>
    <w:rsid w:val="006C198B"/>
    <w:rsid w:val="006C19AD"/>
    <w:rsid w:val="006C19CF"/>
    <w:rsid w:val="006C19F6"/>
    <w:rsid w:val="006C1A2E"/>
    <w:rsid w:val="006C1A99"/>
    <w:rsid w:val="006C1AA0"/>
    <w:rsid w:val="006C1B84"/>
    <w:rsid w:val="006C1C16"/>
    <w:rsid w:val="006C1C1C"/>
    <w:rsid w:val="006C1C48"/>
    <w:rsid w:val="006C1CA5"/>
    <w:rsid w:val="006C1CB6"/>
    <w:rsid w:val="006C1D17"/>
    <w:rsid w:val="006C1DBC"/>
    <w:rsid w:val="006C1DE5"/>
    <w:rsid w:val="006C1E04"/>
    <w:rsid w:val="006C1E46"/>
    <w:rsid w:val="006C1E64"/>
    <w:rsid w:val="006C1E77"/>
    <w:rsid w:val="006C1EB7"/>
    <w:rsid w:val="006C1ED1"/>
    <w:rsid w:val="006C1EE2"/>
    <w:rsid w:val="006C1F0B"/>
    <w:rsid w:val="006C1F1D"/>
    <w:rsid w:val="006C1F6F"/>
    <w:rsid w:val="006C1F98"/>
    <w:rsid w:val="006C1FDE"/>
    <w:rsid w:val="006C2036"/>
    <w:rsid w:val="006C2046"/>
    <w:rsid w:val="006C204A"/>
    <w:rsid w:val="006C20B7"/>
    <w:rsid w:val="006C20D4"/>
    <w:rsid w:val="006C20F3"/>
    <w:rsid w:val="006C2120"/>
    <w:rsid w:val="006C2150"/>
    <w:rsid w:val="006C21A5"/>
    <w:rsid w:val="006C21AD"/>
    <w:rsid w:val="006C21C9"/>
    <w:rsid w:val="006C2240"/>
    <w:rsid w:val="006C226B"/>
    <w:rsid w:val="006C2275"/>
    <w:rsid w:val="006C22FF"/>
    <w:rsid w:val="006C231A"/>
    <w:rsid w:val="006C23C5"/>
    <w:rsid w:val="006C23DB"/>
    <w:rsid w:val="006C23F6"/>
    <w:rsid w:val="006C23F9"/>
    <w:rsid w:val="006C2420"/>
    <w:rsid w:val="006C2426"/>
    <w:rsid w:val="006C2487"/>
    <w:rsid w:val="006C2493"/>
    <w:rsid w:val="006C24B9"/>
    <w:rsid w:val="006C24C5"/>
    <w:rsid w:val="006C24FC"/>
    <w:rsid w:val="006C2567"/>
    <w:rsid w:val="006C259E"/>
    <w:rsid w:val="006C25B0"/>
    <w:rsid w:val="006C25D2"/>
    <w:rsid w:val="006C25F3"/>
    <w:rsid w:val="006C261A"/>
    <w:rsid w:val="006C2622"/>
    <w:rsid w:val="006C2628"/>
    <w:rsid w:val="006C263B"/>
    <w:rsid w:val="006C263C"/>
    <w:rsid w:val="006C26AC"/>
    <w:rsid w:val="006C26B8"/>
    <w:rsid w:val="006C272A"/>
    <w:rsid w:val="006C27B2"/>
    <w:rsid w:val="006C27F6"/>
    <w:rsid w:val="006C281F"/>
    <w:rsid w:val="006C2868"/>
    <w:rsid w:val="006C2888"/>
    <w:rsid w:val="006C28AE"/>
    <w:rsid w:val="006C28C5"/>
    <w:rsid w:val="006C28D0"/>
    <w:rsid w:val="006C292D"/>
    <w:rsid w:val="006C294B"/>
    <w:rsid w:val="006C2973"/>
    <w:rsid w:val="006C29B3"/>
    <w:rsid w:val="006C29DE"/>
    <w:rsid w:val="006C2A2E"/>
    <w:rsid w:val="006C2A3A"/>
    <w:rsid w:val="006C2AA0"/>
    <w:rsid w:val="006C2AAD"/>
    <w:rsid w:val="006C2AB1"/>
    <w:rsid w:val="006C2ACE"/>
    <w:rsid w:val="006C2AF2"/>
    <w:rsid w:val="006C2B19"/>
    <w:rsid w:val="006C2B51"/>
    <w:rsid w:val="006C2B76"/>
    <w:rsid w:val="006C2B8E"/>
    <w:rsid w:val="006C2C86"/>
    <w:rsid w:val="006C2C9E"/>
    <w:rsid w:val="006C2CA5"/>
    <w:rsid w:val="006C2CF4"/>
    <w:rsid w:val="006C2D05"/>
    <w:rsid w:val="006C2D19"/>
    <w:rsid w:val="006C2D34"/>
    <w:rsid w:val="006C2D69"/>
    <w:rsid w:val="006C2D91"/>
    <w:rsid w:val="006C2DBE"/>
    <w:rsid w:val="006C2DCD"/>
    <w:rsid w:val="006C2DD7"/>
    <w:rsid w:val="006C2E34"/>
    <w:rsid w:val="006C2E8F"/>
    <w:rsid w:val="006C2E9A"/>
    <w:rsid w:val="006C2EBA"/>
    <w:rsid w:val="006C2EDF"/>
    <w:rsid w:val="006C2EE6"/>
    <w:rsid w:val="006C2F33"/>
    <w:rsid w:val="006C2F46"/>
    <w:rsid w:val="006C2F91"/>
    <w:rsid w:val="006C300B"/>
    <w:rsid w:val="006C3051"/>
    <w:rsid w:val="006C3083"/>
    <w:rsid w:val="006C30D0"/>
    <w:rsid w:val="006C3101"/>
    <w:rsid w:val="006C3114"/>
    <w:rsid w:val="006C3117"/>
    <w:rsid w:val="006C313A"/>
    <w:rsid w:val="006C3143"/>
    <w:rsid w:val="006C3168"/>
    <w:rsid w:val="006C316C"/>
    <w:rsid w:val="006C3173"/>
    <w:rsid w:val="006C3193"/>
    <w:rsid w:val="006C31B7"/>
    <w:rsid w:val="006C3216"/>
    <w:rsid w:val="006C3218"/>
    <w:rsid w:val="006C3258"/>
    <w:rsid w:val="006C3281"/>
    <w:rsid w:val="006C3298"/>
    <w:rsid w:val="006C32A5"/>
    <w:rsid w:val="006C32B9"/>
    <w:rsid w:val="006C330C"/>
    <w:rsid w:val="006C3321"/>
    <w:rsid w:val="006C3360"/>
    <w:rsid w:val="006C337B"/>
    <w:rsid w:val="006C3390"/>
    <w:rsid w:val="006C33E7"/>
    <w:rsid w:val="006C341D"/>
    <w:rsid w:val="006C3455"/>
    <w:rsid w:val="006C3483"/>
    <w:rsid w:val="006C3506"/>
    <w:rsid w:val="006C3566"/>
    <w:rsid w:val="006C3576"/>
    <w:rsid w:val="006C35CC"/>
    <w:rsid w:val="006C35D7"/>
    <w:rsid w:val="006C3603"/>
    <w:rsid w:val="006C3604"/>
    <w:rsid w:val="006C3640"/>
    <w:rsid w:val="006C3647"/>
    <w:rsid w:val="006C36AC"/>
    <w:rsid w:val="006C36C8"/>
    <w:rsid w:val="006C36FA"/>
    <w:rsid w:val="006C3702"/>
    <w:rsid w:val="006C3729"/>
    <w:rsid w:val="006C3750"/>
    <w:rsid w:val="006C3765"/>
    <w:rsid w:val="006C3785"/>
    <w:rsid w:val="006C37B9"/>
    <w:rsid w:val="006C37E6"/>
    <w:rsid w:val="006C3820"/>
    <w:rsid w:val="006C3826"/>
    <w:rsid w:val="006C3874"/>
    <w:rsid w:val="006C3892"/>
    <w:rsid w:val="006C38A2"/>
    <w:rsid w:val="006C38B3"/>
    <w:rsid w:val="006C38F6"/>
    <w:rsid w:val="006C3903"/>
    <w:rsid w:val="006C390D"/>
    <w:rsid w:val="006C3914"/>
    <w:rsid w:val="006C3924"/>
    <w:rsid w:val="006C393D"/>
    <w:rsid w:val="006C39A8"/>
    <w:rsid w:val="006C39DD"/>
    <w:rsid w:val="006C3A0C"/>
    <w:rsid w:val="006C3A2B"/>
    <w:rsid w:val="006C3A2D"/>
    <w:rsid w:val="006C3A51"/>
    <w:rsid w:val="006C3A8A"/>
    <w:rsid w:val="006C3AA9"/>
    <w:rsid w:val="006C3AAE"/>
    <w:rsid w:val="006C3ACA"/>
    <w:rsid w:val="006C3AD4"/>
    <w:rsid w:val="006C3AF7"/>
    <w:rsid w:val="006C3B1B"/>
    <w:rsid w:val="006C3B4F"/>
    <w:rsid w:val="006C3B85"/>
    <w:rsid w:val="006C3B8A"/>
    <w:rsid w:val="006C3B92"/>
    <w:rsid w:val="006C3C13"/>
    <w:rsid w:val="006C3C17"/>
    <w:rsid w:val="006C3C46"/>
    <w:rsid w:val="006C3CC0"/>
    <w:rsid w:val="006C3CC9"/>
    <w:rsid w:val="006C3CED"/>
    <w:rsid w:val="006C3D38"/>
    <w:rsid w:val="006C3D65"/>
    <w:rsid w:val="006C3D6E"/>
    <w:rsid w:val="006C3D71"/>
    <w:rsid w:val="006C3DC5"/>
    <w:rsid w:val="006C3DFC"/>
    <w:rsid w:val="006C3E03"/>
    <w:rsid w:val="006C3EA1"/>
    <w:rsid w:val="006C3EB1"/>
    <w:rsid w:val="006C3EE1"/>
    <w:rsid w:val="006C3F28"/>
    <w:rsid w:val="006C3F42"/>
    <w:rsid w:val="006C3F60"/>
    <w:rsid w:val="006C401A"/>
    <w:rsid w:val="006C4059"/>
    <w:rsid w:val="006C4096"/>
    <w:rsid w:val="006C40C6"/>
    <w:rsid w:val="006C40CE"/>
    <w:rsid w:val="006C40EA"/>
    <w:rsid w:val="006C4106"/>
    <w:rsid w:val="006C4137"/>
    <w:rsid w:val="006C414E"/>
    <w:rsid w:val="006C4172"/>
    <w:rsid w:val="006C4173"/>
    <w:rsid w:val="006C4174"/>
    <w:rsid w:val="006C4183"/>
    <w:rsid w:val="006C4196"/>
    <w:rsid w:val="006C41A4"/>
    <w:rsid w:val="006C41AC"/>
    <w:rsid w:val="006C41B2"/>
    <w:rsid w:val="006C41B4"/>
    <w:rsid w:val="006C41BA"/>
    <w:rsid w:val="006C41C2"/>
    <w:rsid w:val="006C41FD"/>
    <w:rsid w:val="006C423D"/>
    <w:rsid w:val="006C4272"/>
    <w:rsid w:val="006C4276"/>
    <w:rsid w:val="006C42A4"/>
    <w:rsid w:val="006C435C"/>
    <w:rsid w:val="006C4379"/>
    <w:rsid w:val="006C43C2"/>
    <w:rsid w:val="006C43CC"/>
    <w:rsid w:val="006C43D8"/>
    <w:rsid w:val="006C43F6"/>
    <w:rsid w:val="006C4405"/>
    <w:rsid w:val="006C441A"/>
    <w:rsid w:val="006C4445"/>
    <w:rsid w:val="006C4454"/>
    <w:rsid w:val="006C4458"/>
    <w:rsid w:val="006C4472"/>
    <w:rsid w:val="006C44A1"/>
    <w:rsid w:val="006C44D9"/>
    <w:rsid w:val="006C44E1"/>
    <w:rsid w:val="006C4510"/>
    <w:rsid w:val="006C4541"/>
    <w:rsid w:val="006C454A"/>
    <w:rsid w:val="006C455F"/>
    <w:rsid w:val="006C4572"/>
    <w:rsid w:val="006C457E"/>
    <w:rsid w:val="006C459E"/>
    <w:rsid w:val="006C45C6"/>
    <w:rsid w:val="006C4605"/>
    <w:rsid w:val="006C461D"/>
    <w:rsid w:val="006C4637"/>
    <w:rsid w:val="006C463B"/>
    <w:rsid w:val="006C46AC"/>
    <w:rsid w:val="006C46B6"/>
    <w:rsid w:val="006C46C8"/>
    <w:rsid w:val="006C46D1"/>
    <w:rsid w:val="006C46DA"/>
    <w:rsid w:val="006C46E0"/>
    <w:rsid w:val="006C46EA"/>
    <w:rsid w:val="006C475F"/>
    <w:rsid w:val="006C4777"/>
    <w:rsid w:val="006C478F"/>
    <w:rsid w:val="006C47E9"/>
    <w:rsid w:val="006C47EB"/>
    <w:rsid w:val="006C47EF"/>
    <w:rsid w:val="006C4845"/>
    <w:rsid w:val="006C488A"/>
    <w:rsid w:val="006C49F4"/>
    <w:rsid w:val="006C49FF"/>
    <w:rsid w:val="006C4A0D"/>
    <w:rsid w:val="006C4A16"/>
    <w:rsid w:val="006C4A32"/>
    <w:rsid w:val="006C4A8D"/>
    <w:rsid w:val="006C4ADD"/>
    <w:rsid w:val="006C4AE0"/>
    <w:rsid w:val="006C4AE5"/>
    <w:rsid w:val="006C4AED"/>
    <w:rsid w:val="006C4B73"/>
    <w:rsid w:val="006C4B75"/>
    <w:rsid w:val="006C4B80"/>
    <w:rsid w:val="006C4B8C"/>
    <w:rsid w:val="006C4C07"/>
    <w:rsid w:val="006C4C22"/>
    <w:rsid w:val="006C4C40"/>
    <w:rsid w:val="006C4C6A"/>
    <w:rsid w:val="006C4C89"/>
    <w:rsid w:val="006C4C8D"/>
    <w:rsid w:val="006C4C9B"/>
    <w:rsid w:val="006C4D5D"/>
    <w:rsid w:val="006C4D67"/>
    <w:rsid w:val="006C4D8E"/>
    <w:rsid w:val="006C4DDB"/>
    <w:rsid w:val="006C4E1E"/>
    <w:rsid w:val="006C4E53"/>
    <w:rsid w:val="006C4E9E"/>
    <w:rsid w:val="006C4EE7"/>
    <w:rsid w:val="006C4F49"/>
    <w:rsid w:val="006C4F52"/>
    <w:rsid w:val="006C4F82"/>
    <w:rsid w:val="006C4F94"/>
    <w:rsid w:val="006C4FA2"/>
    <w:rsid w:val="006C4FAC"/>
    <w:rsid w:val="006C4FAD"/>
    <w:rsid w:val="006C4FBE"/>
    <w:rsid w:val="006C4FDD"/>
    <w:rsid w:val="006C5005"/>
    <w:rsid w:val="006C5014"/>
    <w:rsid w:val="006C5034"/>
    <w:rsid w:val="006C5040"/>
    <w:rsid w:val="006C5066"/>
    <w:rsid w:val="006C50A7"/>
    <w:rsid w:val="006C50C9"/>
    <w:rsid w:val="006C5137"/>
    <w:rsid w:val="006C514C"/>
    <w:rsid w:val="006C5171"/>
    <w:rsid w:val="006C51AE"/>
    <w:rsid w:val="006C51CE"/>
    <w:rsid w:val="006C51D3"/>
    <w:rsid w:val="006C5205"/>
    <w:rsid w:val="006C5236"/>
    <w:rsid w:val="006C523A"/>
    <w:rsid w:val="006C5244"/>
    <w:rsid w:val="006C52E9"/>
    <w:rsid w:val="006C5304"/>
    <w:rsid w:val="006C5338"/>
    <w:rsid w:val="006C536B"/>
    <w:rsid w:val="006C5387"/>
    <w:rsid w:val="006C53C7"/>
    <w:rsid w:val="006C53D5"/>
    <w:rsid w:val="006C5420"/>
    <w:rsid w:val="006C5421"/>
    <w:rsid w:val="006C543E"/>
    <w:rsid w:val="006C5471"/>
    <w:rsid w:val="006C54A2"/>
    <w:rsid w:val="006C54AF"/>
    <w:rsid w:val="006C5514"/>
    <w:rsid w:val="006C5539"/>
    <w:rsid w:val="006C556B"/>
    <w:rsid w:val="006C5593"/>
    <w:rsid w:val="006C55A4"/>
    <w:rsid w:val="006C55B3"/>
    <w:rsid w:val="006C55DF"/>
    <w:rsid w:val="006C565D"/>
    <w:rsid w:val="006C566A"/>
    <w:rsid w:val="006C56BB"/>
    <w:rsid w:val="006C5706"/>
    <w:rsid w:val="006C570A"/>
    <w:rsid w:val="006C576B"/>
    <w:rsid w:val="006C5839"/>
    <w:rsid w:val="006C5840"/>
    <w:rsid w:val="006C584F"/>
    <w:rsid w:val="006C585E"/>
    <w:rsid w:val="006C587D"/>
    <w:rsid w:val="006C58D0"/>
    <w:rsid w:val="006C58E7"/>
    <w:rsid w:val="006C58FA"/>
    <w:rsid w:val="006C592E"/>
    <w:rsid w:val="006C5969"/>
    <w:rsid w:val="006C59AE"/>
    <w:rsid w:val="006C59E1"/>
    <w:rsid w:val="006C5A51"/>
    <w:rsid w:val="006C5A66"/>
    <w:rsid w:val="006C5A69"/>
    <w:rsid w:val="006C5AC3"/>
    <w:rsid w:val="006C5AF6"/>
    <w:rsid w:val="006C5AF7"/>
    <w:rsid w:val="006C5B58"/>
    <w:rsid w:val="006C5B73"/>
    <w:rsid w:val="006C5B7A"/>
    <w:rsid w:val="006C5B97"/>
    <w:rsid w:val="006C5BAC"/>
    <w:rsid w:val="006C5BE0"/>
    <w:rsid w:val="006C5C22"/>
    <w:rsid w:val="006C5C5E"/>
    <w:rsid w:val="006C5C7A"/>
    <w:rsid w:val="006C5CB8"/>
    <w:rsid w:val="006C5CBF"/>
    <w:rsid w:val="006C5CCB"/>
    <w:rsid w:val="006C5CCE"/>
    <w:rsid w:val="006C5D26"/>
    <w:rsid w:val="006C5D2E"/>
    <w:rsid w:val="006C5D87"/>
    <w:rsid w:val="006C5E00"/>
    <w:rsid w:val="006C5E40"/>
    <w:rsid w:val="006C5E62"/>
    <w:rsid w:val="006C5E83"/>
    <w:rsid w:val="006C5E9A"/>
    <w:rsid w:val="006C5EB2"/>
    <w:rsid w:val="006C5EC8"/>
    <w:rsid w:val="006C5EDF"/>
    <w:rsid w:val="006C5F02"/>
    <w:rsid w:val="006C5F10"/>
    <w:rsid w:val="006C5F22"/>
    <w:rsid w:val="006C5F36"/>
    <w:rsid w:val="006C5F54"/>
    <w:rsid w:val="006C5F63"/>
    <w:rsid w:val="006C5FDC"/>
    <w:rsid w:val="006C6002"/>
    <w:rsid w:val="006C605C"/>
    <w:rsid w:val="006C6060"/>
    <w:rsid w:val="006C608C"/>
    <w:rsid w:val="006C6095"/>
    <w:rsid w:val="006C60AA"/>
    <w:rsid w:val="006C60D5"/>
    <w:rsid w:val="006C60EC"/>
    <w:rsid w:val="006C60EE"/>
    <w:rsid w:val="006C613C"/>
    <w:rsid w:val="006C616B"/>
    <w:rsid w:val="006C61CD"/>
    <w:rsid w:val="006C61F6"/>
    <w:rsid w:val="006C6239"/>
    <w:rsid w:val="006C62B9"/>
    <w:rsid w:val="006C62D0"/>
    <w:rsid w:val="006C62E4"/>
    <w:rsid w:val="006C62EB"/>
    <w:rsid w:val="006C62F5"/>
    <w:rsid w:val="006C62FA"/>
    <w:rsid w:val="006C633D"/>
    <w:rsid w:val="006C635D"/>
    <w:rsid w:val="006C6375"/>
    <w:rsid w:val="006C63A2"/>
    <w:rsid w:val="006C63B0"/>
    <w:rsid w:val="006C63DA"/>
    <w:rsid w:val="006C63FD"/>
    <w:rsid w:val="006C6403"/>
    <w:rsid w:val="006C6409"/>
    <w:rsid w:val="006C640F"/>
    <w:rsid w:val="006C6438"/>
    <w:rsid w:val="006C6480"/>
    <w:rsid w:val="006C6498"/>
    <w:rsid w:val="006C64A4"/>
    <w:rsid w:val="006C654E"/>
    <w:rsid w:val="006C6598"/>
    <w:rsid w:val="006C659C"/>
    <w:rsid w:val="006C65A0"/>
    <w:rsid w:val="006C65A8"/>
    <w:rsid w:val="006C65AA"/>
    <w:rsid w:val="006C65D1"/>
    <w:rsid w:val="006C65D6"/>
    <w:rsid w:val="006C6603"/>
    <w:rsid w:val="006C6611"/>
    <w:rsid w:val="006C6619"/>
    <w:rsid w:val="006C6656"/>
    <w:rsid w:val="006C6668"/>
    <w:rsid w:val="006C6670"/>
    <w:rsid w:val="006C66A1"/>
    <w:rsid w:val="006C66AA"/>
    <w:rsid w:val="006C66AE"/>
    <w:rsid w:val="006C66C5"/>
    <w:rsid w:val="006C66FE"/>
    <w:rsid w:val="006C672F"/>
    <w:rsid w:val="006C676C"/>
    <w:rsid w:val="006C677F"/>
    <w:rsid w:val="006C67C9"/>
    <w:rsid w:val="006C6806"/>
    <w:rsid w:val="006C680B"/>
    <w:rsid w:val="006C68A9"/>
    <w:rsid w:val="006C68AA"/>
    <w:rsid w:val="006C68BE"/>
    <w:rsid w:val="006C6920"/>
    <w:rsid w:val="006C694B"/>
    <w:rsid w:val="006C694F"/>
    <w:rsid w:val="006C69A2"/>
    <w:rsid w:val="006C69C9"/>
    <w:rsid w:val="006C69E8"/>
    <w:rsid w:val="006C6A1A"/>
    <w:rsid w:val="006C6A77"/>
    <w:rsid w:val="006C6AAC"/>
    <w:rsid w:val="006C6ABA"/>
    <w:rsid w:val="006C6AC6"/>
    <w:rsid w:val="006C6ADF"/>
    <w:rsid w:val="006C6B2D"/>
    <w:rsid w:val="006C6B78"/>
    <w:rsid w:val="006C6B94"/>
    <w:rsid w:val="006C6BA9"/>
    <w:rsid w:val="006C6BD2"/>
    <w:rsid w:val="006C6BE0"/>
    <w:rsid w:val="006C6BEA"/>
    <w:rsid w:val="006C6C19"/>
    <w:rsid w:val="006C6C2D"/>
    <w:rsid w:val="006C6C2F"/>
    <w:rsid w:val="006C6C43"/>
    <w:rsid w:val="006C6C9C"/>
    <w:rsid w:val="006C6CDC"/>
    <w:rsid w:val="006C6CFD"/>
    <w:rsid w:val="006C6D0E"/>
    <w:rsid w:val="006C6D52"/>
    <w:rsid w:val="006C6D5D"/>
    <w:rsid w:val="006C6DA7"/>
    <w:rsid w:val="006C6DFF"/>
    <w:rsid w:val="006C6E0D"/>
    <w:rsid w:val="006C6E1D"/>
    <w:rsid w:val="006C6E30"/>
    <w:rsid w:val="006C6E37"/>
    <w:rsid w:val="006C6E3D"/>
    <w:rsid w:val="006C6E7F"/>
    <w:rsid w:val="006C6EDC"/>
    <w:rsid w:val="006C6F08"/>
    <w:rsid w:val="006C6F0B"/>
    <w:rsid w:val="006C6F47"/>
    <w:rsid w:val="006C6F49"/>
    <w:rsid w:val="006C6F53"/>
    <w:rsid w:val="006C6F54"/>
    <w:rsid w:val="006C6F90"/>
    <w:rsid w:val="006C6FA5"/>
    <w:rsid w:val="006C6FA9"/>
    <w:rsid w:val="006C6FB2"/>
    <w:rsid w:val="006C6FBF"/>
    <w:rsid w:val="006C6FC3"/>
    <w:rsid w:val="006C6FE2"/>
    <w:rsid w:val="006C702A"/>
    <w:rsid w:val="006C7072"/>
    <w:rsid w:val="006C7123"/>
    <w:rsid w:val="006C7158"/>
    <w:rsid w:val="006C719C"/>
    <w:rsid w:val="006C71B3"/>
    <w:rsid w:val="006C71C7"/>
    <w:rsid w:val="006C71E7"/>
    <w:rsid w:val="006C71FC"/>
    <w:rsid w:val="006C7234"/>
    <w:rsid w:val="006C7263"/>
    <w:rsid w:val="006C728D"/>
    <w:rsid w:val="006C728F"/>
    <w:rsid w:val="006C72B5"/>
    <w:rsid w:val="006C72E9"/>
    <w:rsid w:val="006C72F8"/>
    <w:rsid w:val="006C72FA"/>
    <w:rsid w:val="006C7307"/>
    <w:rsid w:val="006C7371"/>
    <w:rsid w:val="006C73DB"/>
    <w:rsid w:val="006C7460"/>
    <w:rsid w:val="006C74B1"/>
    <w:rsid w:val="006C74CC"/>
    <w:rsid w:val="006C74D1"/>
    <w:rsid w:val="006C74FF"/>
    <w:rsid w:val="006C750B"/>
    <w:rsid w:val="006C750C"/>
    <w:rsid w:val="006C7568"/>
    <w:rsid w:val="006C758D"/>
    <w:rsid w:val="006C75D4"/>
    <w:rsid w:val="006C75E3"/>
    <w:rsid w:val="006C75F9"/>
    <w:rsid w:val="006C7612"/>
    <w:rsid w:val="006C7615"/>
    <w:rsid w:val="006C7639"/>
    <w:rsid w:val="006C7645"/>
    <w:rsid w:val="006C7655"/>
    <w:rsid w:val="006C7659"/>
    <w:rsid w:val="006C767D"/>
    <w:rsid w:val="006C76C6"/>
    <w:rsid w:val="006C76D3"/>
    <w:rsid w:val="006C7705"/>
    <w:rsid w:val="006C7710"/>
    <w:rsid w:val="006C7716"/>
    <w:rsid w:val="006C7755"/>
    <w:rsid w:val="006C7756"/>
    <w:rsid w:val="006C775B"/>
    <w:rsid w:val="006C77A7"/>
    <w:rsid w:val="006C77C6"/>
    <w:rsid w:val="006C77D2"/>
    <w:rsid w:val="006C781D"/>
    <w:rsid w:val="006C782B"/>
    <w:rsid w:val="006C785A"/>
    <w:rsid w:val="006C789C"/>
    <w:rsid w:val="006C78C7"/>
    <w:rsid w:val="006C78CE"/>
    <w:rsid w:val="006C78D7"/>
    <w:rsid w:val="006C78E5"/>
    <w:rsid w:val="006C7901"/>
    <w:rsid w:val="006C7920"/>
    <w:rsid w:val="006C793B"/>
    <w:rsid w:val="006C7992"/>
    <w:rsid w:val="006C79AA"/>
    <w:rsid w:val="006C79B4"/>
    <w:rsid w:val="006C79DE"/>
    <w:rsid w:val="006C7A5B"/>
    <w:rsid w:val="006C7A6F"/>
    <w:rsid w:val="006C7A8F"/>
    <w:rsid w:val="006C7A91"/>
    <w:rsid w:val="006C7AC9"/>
    <w:rsid w:val="006C7B14"/>
    <w:rsid w:val="006C7B34"/>
    <w:rsid w:val="006C7B39"/>
    <w:rsid w:val="006C7B57"/>
    <w:rsid w:val="006C7B5D"/>
    <w:rsid w:val="006C7B6A"/>
    <w:rsid w:val="006C7B70"/>
    <w:rsid w:val="006C7B9F"/>
    <w:rsid w:val="006C7BB7"/>
    <w:rsid w:val="006C7C00"/>
    <w:rsid w:val="006C7C15"/>
    <w:rsid w:val="006C7C21"/>
    <w:rsid w:val="006C7C63"/>
    <w:rsid w:val="006C7C81"/>
    <w:rsid w:val="006C7CF2"/>
    <w:rsid w:val="006C7D12"/>
    <w:rsid w:val="006C7D38"/>
    <w:rsid w:val="006C7DA4"/>
    <w:rsid w:val="006C7DC9"/>
    <w:rsid w:val="006C7E7F"/>
    <w:rsid w:val="006C7E92"/>
    <w:rsid w:val="006C7EBE"/>
    <w:rsid w:val="006C7EC9"/>
    <w:rsid w:val="006C7ECD"/>
    <w:rsid w:val="006C7F0B"/>
    <w:rsid w:val="006C7F29"/>
    <w:rsid w:val="006C7F3D"/>
    <w:rsid w:val="006C7F56"/>
    <w:rsid w:val="006C7F58"/>
    <w:rsid w:val="006C7FA1"/>
    <w:rsid w:val="006C7FDC"/>
    <w:rsid w:val="006D005B"/>
    <w:rsid w:val="006D005C"/>
    <w:rsid w:val="006D008E"/>
    <w:rsid w:val="006D0099"/>
    <w:rsid w:val="006D00F5"/>
    <w:rsid w:val="006D015E"/>
    <w:rsid w:val="006D0171"/>
    <w:rsid w:val="006D0174"/>
    <w:rsid w:val="006D01C0"/>
    <w:rsid w:val="006D01DA"/>
    <w:rsid w:val="006D01E9"/>
    <w:rsid w:val="006D025A"/>
    <w:rsid w:val="006D0294"/>
    <w:rsid w:val="006D02CF"/>
    <w:rsid w:val="006D030A"/>
    <w:rsid w:val="006D0329"/>
    <w:rsid w:val="006D033E"/>
    <w:rsid w:val="006D034F"/>
    <w:rsid w:val="006D0353"/>
    <w:rsid w:val="006D0369"/>
    <w:rsid w:val="006D03C8"/>
    <w:rsid w:val="006D03EC"/>
    <w:rsid w:val="006D041D"/>
    <w:rsid w:val="006D0473"/>
    <w:rsid w:val="006D0500"/>
    <w:rsid w:val="006D0554"/>
    <w:rsid w:val="006D056E"/>
    <w:rsid w:val="006D0570"/>
    <w:rsid w:val="006D0583"/>
    <w:rsid w:val="006D059A"/>
    <w:rsid w:val="006D0600"/>
    <w:rsid w:val="006D0622"/>
    <w:rsid w:val="006D0660"/>
    <w:rsid w:val="006D0676"/>
    <w:rsid w:val="006D06D6"/>
    <w:rsid w:val="006D072E"/>
    <w:rsid w:val="006D0787"/>
    <w:rsid w:val="006D0843"/>
    <w:rsid w:val="006D0847"/>
    <w:rsid w:val="006D085F"/>
    <w:rsid w:val="006D08D6"/>
    <w:rsid w:val="006D0909"/>
    <w:rsid w:val="006D0981"/>
    <w:rsid w:val="006D098A"/>
    <w:rsid w:val="006D09A7"/>
    <w:rsid w:val="006D09BF"/>
    <w:rsid w:val="006D09DD"/>
    <w:rsid w:val="006D0A5A"/>
    <w:rsid w:val="006D0A95"/>
    <w:rsid w:val="006D0AA2"/>
    <w:rsid w:val="006D0AB3"/>
    <w:rsid w:val="006D0AD8"/>
    <w:rsid w:val="006D0B21"/>
    <w:rsid w:val="006D0B28"/>
    <w:rsid w:val="006D0B3A"/>
    <w:rsid w:val="006D0B6D"/>
    <w:rsid w:val="006D0B88"/>
    <w:rsid w:val="006D0BA9"/>
    <w:rsid w:val="006D0BAD"/>
    <w:rsid w:val="006D0BBB"/>
    <w:rsid w:val="006D0BD7"/>
    <w:rsid w:val="006D0BEA"/>
    <w:rsid w:val="006D0C2F"/>
    <w:rsid w:val="006D0C42"/>
    <w:rsid w:val="006D0C5D"/>
    <w:rsid w:val="006D0CE7"/>
    <w:rsid w:val="006D0CEB"/>
    <w:rsid w:val="006D0D1F"/>
    <w:rsid w:val="006D0D27"/>
    <w:rsid w:val="006D0D41"/>
    <w:rsid w:val="006D0D5E"/>
    <w:rsid w:val="006D0D67"/>
    <w:rsid w:val="006D0D75"/>
    <w:rsid w:val="006D0E42"/>
    <w:rsid w:val="006D0E48"/>
    <w:rsid w:val="006D0E69"/>
    <w:rsid w:val="006D0E6F"/>
    <w:rsid w:val="006D0EE0"/>
    <w:rsid w:val="006D0EF7"/>
    <w:rsid w:val="006D0F0A"/>
    <w:rsid w:val="006D0F2F"/>
    <w:rsid w:val="006D0FD6"/>
    <w:rsid w:val="006D0FEE"/>
    <w:rsid w:val="006D0FF4"/>
    <w:rsid w:val="006D1007"/>
    <w:rsid w:val="006D102C"/>
    <w:rsid w:val="006D1032"/>
    <w:rsid w:val="006D106C"/>
    <w:rsid w:val="006D1094"/>
    <w:rsid w:val="006D10F4"/>
    <w:rsid w:val="006D10FE"/>
    <w:rsid w:val="006D1120"/>
    <w:rsid w:val="006D114A"/>
    <w:rsid w:val="006D114C"/>
    <w:rsid w:val="006D11C6"/>
    <w:rsid w:val="006D11D8"/>
    <w:rsid w:val="006D11DE"/>
    <w:rsid w:val="006D11E5"/>
    <w:rsid w:val="006D11FD"/>
    <w:rsid w:val="006D1220"/>
    <w:rsid w:val="006D125B"/>
    <w:rsid w:val="006D128D"/>
    <w:rsid w:val="006D129D"/>
    <w:rsid w:val="006D12AE"/>
    <w:rsid w:val="006D12D9"/>
    <w:rsid w:val="006D12E8"/>
    <w:rsid w:val="006D1319"/>
    <w:rsid w:val="006D1348"/>
    <w:rsid w:val="006D134D"/>
    <w:rsid w:val="006D1352"/>
    <w:rsid w:val="006D139F"/>
    <w:rsid w:val="006D142F"/>
    <w:rsid w:val="006D14A7"/>
    <w:rsid w:val="006D14B8"/>
    <w:rsid w:val="006D14D5"/>
    <w:rsid w:val="006D1510"/>
    <w:rsid w:val="006D1523"/>
    <w:rsid w:val="006D1529"/>
    <w:rsid w:val="006D1568"/>
    <w:rsid w:val="006D1576"/>
    <w:rsid w:val="006D15BE"/>
    <w:rsid w:val="006D15C8"/>
    <w:rsid w:val="006D15D9"/>
    <w:rsid w:val="006D15F7"/>
    <w:rsid w:val="006D160E"/>
    <w:rsid w:val="006D1618"/>
    <w:rsid w:val="006D1621"/>
    <w:rsid w:val="006D1633"/>
    <w:rsid w:val="006D1637"/>
    <w:rsid w:val="006D1650"/>
    <w:rsid w:val="006D165B"/>
    <w:rsid w:val="006D165F"/>
    <w:rsid w:val="006D1675"/>
    <w:rsid w:val="006D1693"/>
    <w:rsid w:val="006D16A7"/>
    <w:rsid w:val="006D16ED"/>
    <w:rsid w:val="006D16F3"/>
    <w:rsid w:val="006D1718"/>
    <w:rsid w:val="006D175D"/>
    <w:rsid w:val="006D1798"/>
    <w:rsid w:val="006D179C"/>
    <w:rsid w:val="006D17D6"/>
    <w:rsid w:val="006D17FF"/>
    <w:rsid w:val="006D1800"/>
    <w:rsid w:val="006D1802"/>
    <w:rsid w:val="006D1823"/>
    <w:rsid w:val="006D1829"/>
    <w:rsid w:val="006D1878"/>
    <w:rsid w:val="006D1888"/>
    <w:rsid w:val="006D189C"/>
    <w:rsid w:val="006D18D2"/>
    <w:rsid w:val="006D18D3"/>
    <w:rsid w:val="006D18D6"/>
    <w:rsid w:val="006D18D9"/>
    <w:rsid w:val="006D18FE"/>
    <w:rsid w:val="006D1901"/>
    <w:rsid w:val="006D1937"/>
    <w:rsid w:val="006D1970"/>
    <w:rsid w:val="006D1974"/>
    <w:rsid w:val="006D19E6"/>
    <w:rsid w:val="006D1A01"/>
    <w:rsid w:val="006D1A07"/>
    <w:rsid w:val="006D1A1D"/>
    <w:rsid w:val="006D1A49"/>
    <w:rsid w:val="006D1AA3"/>
    <w:rsid w:val="006D1AB4"/>
    <w:rsid w:val="006D1AB7"/>
    <w:rsid w:val="006D1B21"/>
    <w:rsid w:val="006D1B9D"/>
    <w:rsid w:val="006D1BA2"/>
    <w:rsid w:val="006D1BD7"/>
    <w:rsid w:val="006D1BE7"/>
    <w:rsid w:val="006D1BED"/>
    <w:rsid w:val="006D1C2A"/>
    <w:rsid w:val="006D1C32"/>
    <w:rsid w:val="006D1C38"/>
    <w:rsid w:val="006D1C53"/>
    <w:rsid w:val="006D1C6D"/>
    <w:rsid w:val="006D1C70"/>
    <w:rsid w:val="006D1C81"/>
    <w:rsid w:val="006D1C93"/>
    <w:rsid w:val="006D1CAE"/>
    <w:rsid w:val="006D1D1A"/>
    <w:rsid w:val="006D1D30"/>
    <w:rsid w:val="006D1D6A"/>
    <w:rsid w:val="006D1D76"/>
    <w:rsid w:val="006D1D89"/>
    <w:rsid w:val="006D1D91"/>
    <w:rsid w:val="006D1DAA"/>
    <w:rsid w:val="006D1DC7"/>
    <w:rsid w:val="006D1DD2"/>
    <w:rsid w:val="006D1DD8"/>
    <w:rsid w:val="006D1DEF"/>
    <w:rsid w:val="006D1E08"/>
    <w:rsid w:val="006D1E8C"/>
    <w:rsid w:val="006D1E9E"/>
    <w:rsid w:val="006D1EC8"/>
    <w:rsid w:val="006D1F0B"/>
    <w:rsid w:val="006D1F88"/>
    <w:rsid w:val="006D1F98"/>
    <w:rsid w:val="006D1FA4"/>
    <w:rsid w:val="006D1FD8"/>
    <w:rsid w:val="006D1FF0"/>
    <w:rsid w:val="006D200B"/>
    <w:rsid w:val="006D200D"/>
    <w:rsid w:val="006D205D"/>
    <w:rsid w:val="006D2098"/>
    <w:rsid w:val="006D20AC"/>
    <w:rsid w:val="006D2119"/>
    <w:rsid w:val="006D212F"/>
    <w:rsid w:val="006D2133"/>
    <w:rsid w:val="006D2157"/>
    <w:rsid w:val="006D2161"/>
    <w:rsid w:val="006D2186"/>
    <w:rsid w:val="006D219F"/>
    <w:rsid w:val="006D21F1"/>
    <w:rsid w:val="006D2231"/>
    <w:rsid w:val="006D223E"/>
    <w:rsid w:val="006D226C"/>
    <w:rsid w:val="006D2272"/>
    <w:rsid w:val="006D22C3"/>
    <w:rsid w:val="006D2366"/>
    <w:rsid w:val="006D236C"/>
    <w:rsid w:val="006D237F"/>
    <w:rsid w:val="006D23BF"/>
    <w:rsid w:val="006D23D8"/>
    <w:rsid w:val="006D23F8"/>
    <w:rsid w:val="006D23FF"/>
    <w:rsid w:val="006D248D"/>
    <w:rsid w:val="006D24A4"/>
    <w:rsid w:val="006D24CD"/>
    <w:rsid w:val="006D24DF"/>
    <w:rsid w:val="006D24EB"/>
    <w:rsid w:val="006D25F4"/>
    <w:rsid w:val="006D25FD"/>
    <w:rsid w:val="006D2601"/>
    <w:rsid w:val="006D2605"/>
    <w:rsid w:val="006D2609"/>
    <w:rsid w:val="006D265C"/>
    <w:rsid w:val="006D2699"/>
    <w:rsid w:val="006D26D2"/>
    <w:rsid w:val="006D26F3"/>
    <w:rsid w:val="006D2723"/>
    <w:rsid w:val="006D2728"/>
    <w:rsid w:val="006D2738"/>
    <w:rsid w:val="006D273F"/>
    <w:rsid w:val="006D275B"/>
    <w:rsid w:val="006D276E"/>
    <w:rsid w:val="006D279F"/>
    <w:rsid w:val="006D27A7"/>
    <w:rsid w:val="006D27E5"/>
    <w:rsid w:val="006D281B"/>
    <w:rsid w:val="006D2837"/>
    <w:rsid w:val="006D2842"/>
    <w:rsid w:val="006D284E"/>
    <w:rsid w:val="006D28B0"/>
    <w:rsid w:val="006D28B8"/>
    <w:rsid w:val="006D28E2"/>
    <w:rsid w:val="006D2926"/>
    <w:rsid w:val="006D2951"/>
    <w:rsid w:val="006D2A1F"/>
    <w:rsid w:val="006D2A44"/>
    <w:rsid w:val="006D2AEA"/>
    <w:rsid w:val="006D2B11"/>
    <w:rsid w:val="006D2B6B"/>
    <w:rsid w:val="006D2B6C"/>
    <w:rsid w:val="006D2B7C"/>
    <w:rsid w:val="006D2B9C"/>
    <w:rsid w:val="006D2C26"/>
    <w:rsid w:val="006D2C78"/>
    <w:rsid w:val="006D2CA5"/>
    <w:rsid w:val="006D2CE9"/>
    <w:rsid w:val="006D2D07"/>
    <w:rsid w:val="006D2D73"/>
    <w:rsid w:val="006D2D74"/>
    <w:rsid w:val="006D2D90"/>
    <w:rsid w:val="006D2E1A"/>
    <w:rsid w:val="006D2E37"/>
    <w:rsid w:val="006D2E66"/>
    <w:rsid w:val="006D2E8D"/>
    <w:rsid w:val="006D2EAE"/>
    <w:rsid w:val="006D2EEE"/>
    <w:rsid w:val="006D2F35"/>
    <w:rsid w:val="006D2F39"/>
    <w:rsid w:val="006D2F42"/>
    <w:rsid w:val="006D2F6F"/>
    <w:rsid w:val="006D2F7A"/>
    <w:rsid w:val="006D2F83"/>
    <w:rsid w:val="006D2FB3"/>
    <w:rsid w:val="006D2FB5"/>
    <w:rsid w:val="006D2FDD"/>
    <w:rsid w:val="006D2FE2"/>
    <w:rsid w:val="006D3037"/>
    <w:rsid w:val="006D3042"/>
    <w:rsid w:val="006D304B"/>
    <w:rsid w:val="006D3054"/>
    <w:rsid w:val="006D3083"/>
    <w:rsid w:val="006D30DD"/>
    <w:rsid w:val="006D3197"/>
    <w:rsid w:val="006D31A9"/>
    <w:rsid w:val="006D326D"/>
    <w:rsid w:val="006D328D"/>
    <w:rsid w:val="006D32C8"/>
    <w:rsid w:val="006D32CA"/>
    <w:rsid w:val="006D32E8"/>
    <w:rsid w:val="006D32F0"/>
    <w:rsid w:val="006D32FA"/>
    <w:rsid w:val="006D3300"/>
    <w:rsid w:val="006D338D"/>
    <w:rsid w:val="006D33A1"/>
    <w:rsid w:val="006D33CF"/>
    <w:rsid w:val="006D33F3"/>
    <w:rsid w:val="006D3417"/>
    <w:rsid w:val="006D3444"/>
    <w:rsid w:val="006D346F"/>
    <w:rsid w:val="006D3474"/>
    <w:rsid w:val="006D34FA"/>
    <w:rsid w:val="006D3511"/>
    <w:rsid w:val="006D3538"/>
    <w:rsid w:val="006D356D"/>
    <w:rsid w:val="006D3572"/>
    <w:rsid w:val="006D3588"/>
    <w:rsid w:val="006D35D2"/>
    <w:rsid w:val="006D3609"/>
    <w:rsid w:val="006D3636"/>
    <w:rsid w:val="006D363D"/>
    <w:rsid w:val="006D3669"/>
    <w:rsid w:val="006D369D"/>
    <w:rsid w:val="006D36DD"/>
    <w:rsid w:val="006D371A"/>
    <w:rsid w:val="006D372A"/>
    <w:rsid w:val="006D3739"/>
    <w:rsid w:val="006D3740"/>
    <w:rsid w:val="006D3746"/>
    <w:rsid w:val="006D37A5"/>
    <w:rsid w:val="006D381C"/>
    <w:rsid w:val="006D383F"/>
    <w:rsid w:val="006D390F"/>
    <w:rsid w:val="006D3928"/>
    <w:rsid w:val="006D392A"/>
    <w:rsid w:val="006D392C"/>
    <w:rsid w:val="006D394E"/>
    <w:rsid w:val="006D3978"/>
    <w:rsid w:val="006D3A03"/>
    <w:rsid w:val="006D3A2E"/>
    <w:rsid w:val="006D3A93"/>
    <w:rsid w:val="006D3AB3"/>
    <w:rsid w:val="006D3AE3"/>
    <w:rsid w:val="006D3AFB"/>
    <w:rsid w:val="006D3B66"/>
    <w:rsid w:val="006D3B79"/>
    <w:rsid w:val="006D3BA0"/>
    <w:rsid w:val="006D3BA1"/>
    <w:rsid w:val="006D3BCE"/>
    <w:rsid w:val="006D3BEE"/>
    <w:rsid w:val="006D3C01"/>
    <w:rsid w:val="006D3C0D"/>
    <w:rsid w:val="006D3C0E"/>
    <w:rsid w:val="006D3C0F"/>
    <w:rsid w:val="006D3C30"/>
    <w:rsid w:val="006D3C5F"/>
    <w:rsid w:val="006D3D15"/>
    <w:rsid w:val="006D3D5E"/>
    <w:rsid w:val="006D3D80"/>
    <w:rsid w:val="006D3D98"/>
    <w:rsid w:val="006D3E33"/>
    <w:rsid w:val="006D3E76"/>
    <w:rsid w:val="006D3E8F"/>
    <w:rsid w:val="006D3E9A"/>
    <w:rsid w:val="006D3E9E"/>
    <w:rsid w:val="006D3EB9"/>
    <w:rsid w:val="006D3ECB"/>
    <w:rsid w:val="006D3EFE"/>
    <w:rsid w:val="006D3F08"/>
    <w:rsid w:val="006D3F30"/>
    <w:rsid w:val="006D3F50"/>
    <w:rsid w:val="006D3F52"/>
    <w:rsid w:val="006D3FB5"/>
    <w:rsid w:val="006D3FE3"/>
    <w:rsid w:val="006D4005"/>
    <w:rsid w:val="006D401B"/>
    <w:rsid w:val="006D401F"/>
    <w:rsid w:val="006D4042"/>
    <w:rsid w:val="006D404D"/>
    <w:rsid w:val="006D406D"/>
    <w:rsid w:val="006D4082"/>
    <w:rsid w:val="006D4088"/>
    <w:rsid w:val="006D40A1"/>
    <w:rsid w:val="006D412F"/>
    <w:rsid w:val="006D4176"/>
    <w:rsid w:val="006D4187"/>
    <w:rsid w:val="006D4192"/>
    <w:rsid w:val="006D41E7"/>
    <w:rsid w:val="006D41EE"/>
    <w:rsid w:val="006D424A"/>
    <w:rsid w:val="006D4252"/>
    <w:rsid w:val="006D42AB"/>
    <w:rsid w:val="006D4345"/>
    <w:rsid w:val="006D434C"/>
    <w:rsid w:val="006D4385"/>
    <w:rsid w:val="006D43C0"/>
    <w:rsid w:val="006D43D5"/>
    <w:rsid w:val="006D4423"/>
    <w:rsid w:val="006D4450"/>
    <w:rsid w:val="006D445C"/>
    <w:rsid w:val="006D446A"/>
    <w:rsid w:val="006D44E4"/>
    <w:rsid w:val="006D44EC"/>
    <w:rsid w:val="006D4502"/>
    <w:rsid w:val="006D4517"/>
    <w:rsid w:val="006D4538"/>
    <w:rsid w:val="006D4541"/>
    <w:rsid w:val="006D4576"/>
    <w:rsid w:val="006D4590"/>
    <w:rsid w:val="006D459B"/>
    <w:rsid w:val="006D45AE"/>
    <w:rsid w:val="006D45C2"/>
    <w:rsid w:val="006D45EF"/>
    <w:rsid w:val="006D461C"/>
    <w:rsid w:val="006D4623"/>
    <w:rsid w:val="006D4641"/>
    <w:rsid w:val="006D4674"/>
    <w:rsid w:val="006D46A0"/>
    <w:rsid w:val="006D46C9"/>
    <w:rsid w:val="006D4724"/>
    <w:rsid w:val="006D473C"/>
    <w:rsid w:val="006D47A1"/>
    <w:rsid w:val="006D47A4"/>
    <w:rsid w:val="006D47FF"/>
    <w:rsid w:val="006D4809"/>
    <w:rsid w:val="006D4834"/>
    <w:rsid w:val="006D4875"/>
    <w:rsid w:val="006D4876"/>
    <w:rsid w:val="006D4885"/>
    <w:rsid w:val="006D488E"/>
    <w:rsid w:val="006D48E1"/>
    <w:rsid w:val="006D4901"/>
    <w:rsid w:val="006D493D"/>
    <w:rsid w:val="006D4969"/>
    <w:rsid w:val="006D497D"/>
    <w:rsid w:val="006D49A3"/>
    <w:rsid w:val="006D49B3"/>
    <w:rsid w:val="006D49BA"/>
    <w:rsid w:val="006D49C3"/>
    <w:rsid w:val="006D49DC"/>
    <w:rsid w:val="006D4A3E"/>
    <w:rsid w:val="006D4A60"/>
    <w:rsid w:val="006D4A7B"/>
    <w:rsid w:val="006D4A7C"/>
    <w:rsid w:val="006D4AB5"/>
    <w:rsid w:val="006D4AB6"/>
    <w:rsid w:val="006D4ACE"/>
    <w:rsid w:val="006D4AEA"/>
    <w:rsid w:val="006D4B04"/>
    <w:rsid w:val="006D4B09"/>
    <w:rsid w:val="006D4B0F"/>
    <w:rsid w:val="006D4B16"/>
    <w:rsid w:val="006D4B33"/>
    <w:rsid w:val="006D4B3F"/>
    <w:rsid w:val="006D4B64"/>
    <w:rsid w:val="006D4B68"/>
    <w:rsid w:val="006D4BA8"/>
    <w:rsid w:val="006D4C4A"/>
    <w:rsid w:val="006D4C61"/>
    <w:rsid w:val="006D4C71"/>
    <w:rsid w:val="006D4C89"/>
    <w:rsid w:val="006D4CA3"/>
    <w:rsid w:val="006D4CE6"/>
    <w:rsid w:val="006D4CF8"/>
    <w:rsid w:val="006D4D0F"/>
    <w:rsid w:val="006D4D24"/>
    <w:rsid w:val="006D4D26"/>
    <w:rsid w:val="006D4D40"/>
    <w:rsid w:val="006D4D41"/>
    <w:rsid w:val="006D4D51"/>
    <w:rsid w:val="006D4D57"/>
    <w:rsid w:val="006D4D78"/>
    <w:rsid w:val="006D4D89"/>
    <w:rsid w:val="006D4DB1"/>
    <w:rsid w:val="006D4DE1"/>
    <w:rsid w:val="006D4DF7"/>
    <w:rsid w:val="006D4E2B"/>
    <w:rsid w:val="006D4E56"/>
    <w:rsid w:val="006D4E57"/>
    <w:rsid w:val="006D4E73"/>
    <w:rsid w:val="006D4E8A"/>
    <w:rsid w:val="006D4ED8"/>
    <w:rsid w:val="006D4F02"/>
    <w:rsid w:val="006D4F0B"/>
    <w:rsid w:val="006D4F0D"/>
    <w:rsid w:val="006D4F31"/>
    <w:rsid w:val="006D4F60"/>
    <w:rsid w:val="006D4F6E"/>
    <w:rsid w:val="006D4F81"/>
    <w:rsid w:val="006D4F9C"/>
    <w:rsid w:val="006D4FBB"/>
    <w:rsid w:val="006D502E"/>
    <w:rsid w:val="006D5046"/>
    <w:rsid w:val="006D5062"/>
    <w:rsid w:val="006D506E"/>
    <w:rsid w:val="006D5088"/>
    <w:rsid w:val="006D509B"/>
    <w:rsid w:val="006D50B8"/>
    <w:rsid w:val="006D50CD"/>
    <w:rsid w:val="006D50EA"/>
    <w:rsid w:val="006D5159"/>
    <w:rsid w:val="006D51CE"/>
    <w:rsid w:val="006D51D9"/>
    <w:rsid w:val="006D520D"/>
    <w:rsid w:val="006D5231"/>
    <w:rsid w:val="006D5233"/>
    <w:rsid w:val="006D523B"/>
    <w:rsid w:val="006D524B"/>
    <w:rsid w:val="006D526C"/>
    <w:rsid w:val="006D52D6"/>
    <w:rsid w:val="006D52E4"/>
    <w:rsid w:val="006D530E"/>
    <w:rsid w:val="006D5376"/>
    <w:rsid w:val="006D5383"/>
    <w:rsid w:val="006D538F"/>
    <w:rsid w:val="006D53A6"/>
    <w:rsid w:val="006D53B6"/>
    <w:rsid w:val="006D53BF"/>
    <w:rsid w:val="006D53DE"/>
    <w:rsid w:val="006D5423"/>
    <w:rsid w:val="006D5426"/>
    <w:rsid w:val="006D5427"/>
    <w:rsid w:val="006D547E"/>
    <w:rsid w:val="006D54A5"/>
    <w:rsid w:val="006D54D4"/>
    <w:rsid w:val="006D54F3"/>
    <w:rsid w:val="006D5524"/>
    <w:rsid w:val="006D5570"/>
    <w:rsid w:val="006D5581"/>
    <w:rsid w:val="006D5587"/>
    <w:rsid w:val="006D5599"/>
    <w:rsid w:val="006D55BF"/>
    <w:rsid w:val="006D55CF"/>
    <w:rsid w:val="006D55D1"/>
    <w:rsid w:val="006D55F1"/>
    <w:rsid w:val="006D560D"/>
    <w:rsid w:val="006D562D"/>
    <w:rsid w:val="006D5647"/>
    <w:rsid w:val="006D5666"/>
    <w:rsid w:val="006D568B"/>
    <w:rsid w:val="006D5693"/>
    <w:rsid w:val="006D5715"/>
    <w:rsid w:val="006D571E"/>
    <w:rsid w:val="006D579E"/>
    <w:rsid w:val="006D57A0"/>
    <w:rsid w:val="006D57B2"/>
    <w:rsid w:val="006D5846"/>
    <w:rsid w:val="006D5850"/>
    <w:rsid w:val="006D5896"/>
    <w:rsid w:val="006D5899"/>
    <w:rsid w:val="006D58A4"/>
    <w:rsid w:val="006D58A6"/>
    <w:rsid w:val="006D58B6"/>
    <w:rsid w:val="006D58F7"/>
    <w:rsid w:val="006D5919"/>
    <w:rsid w:val="006D59AF"/>
    <w:rsid w:val="006D59BD"/>
    <w:rsid w:val="006D59D6"/>
    <w:rsid w:val="006D59FF"/>
    <w:rsid w:val="006D5A19"/>
    <w:rsid w:val="006D5A4A"/>
    <w:rsid w:val="006D5A55"/>
    <w:rsid w:val="006D5A77"/>
    <w:rsid w:val="006D5A96"/>
    <w:rsid w:val="006D5ABF"/>
    <w:rsid w:val="006D5B05"/>
    <w:rsid w:val="006D5B12"/>
    <w:rsid w:val="006D5B13"/>
    <w:rsid w:val="006D5B33"/>
    <w:rsid w:val="006D5B34"/>
    <w:rsid w:val="006D5BA1"/>
    <w:rsid w:val="006D5BDC"/>
    <w:rsid w:val="006D5C2A"/>
    <w:rsid w:val="006D5C74"/>
    <w:rsid w:val="006D5C81"/>
    <w:rsid w:val="006D5CAD"/>
    <w:rsid w:val="006D5CC2"/>
    <w:rsid w:val="006D5CE3"/>
    <w:rsid w:val="006D5CE7"/>
    <w:rsid w:val="006D5CED"/>
    <w:rsid w:val="006D5D05"/>
    <w:rsid w:val="006D5D09"/>
    <w:rsid w:val="006D5D28"/>
    <w:rsid w:val="006D5D38"/>
    <w:rsid w:val="006D5D8B"/>
    <w:rsid w:val="006D5DC7"/>
    <w:rsid w:val="006D5DFC"/>
    <w:rsid w:val="006D5E08"/>
    <w:rsid w:val="006D5E09"/>
    <w:rsid w:val="006D5E0A"/>
    <w:rsid w:val="006D5E0C"/>
    <w:rsid w:val="006D5E12"/>
    <w:rsid w:val="006D5E7A"/>
    <w:rsid w:val="006D5E9E"/>
    <w:rsid w:val="006D5EAA"/>
    <w:rsid w:val="006D5F18"/>
    <w:rsid w:val="006D5F6B"/>
    <w:rsid w:val="006D5F74"/>
    <w:rsid w:val="006D5F7D"/>
    <w:rsid w:val="006D5F82"/>
    <w:rsid w:val="006D5F8A"/>
    <w:rsid w:val="006D5FBF"/>
    <w:rsid w:val="006D5FC8"/>
    <w:rsid w:val="006D5FE8"/>
    <w:rsid w:val="006D6031"/>
    <w:rsid w:val="006D607C"/>
    <w:rsid w:val="006D609A"/>
    <w:rsid w:val="006D609E"/>
    <w:rsid w:val="006D60A4"/>
    <w:rsid w:val="006D60B4"/>
    <w:rsid w:val="006D60E2"/>
    <w:rsid w:val="006D60F6"/>
    <w:rsid w:val="006D610A"/>
    <w:rsid w:val="006D6120"/>
    <w:rsid w:val="006D6151"/>
    <w:rsid w:val="006D617F"/>
    <w:rsid w:val="006D6196"/>
    <w:rsid w:val="006D61C1"/>
    <w:rsid w:val="006D61C9"/>
    <w:rsid w:val="006D61DA"/>
    <w:rsid w:val="006D6238"/>
    <w:rsid w:val="006D623C"/>
    <w:rsid w:val="006D6241"/>
    <w:rsid w:val="006D6246"/>
    <w:rsid w:val="006D627F"/>
    <w:rsid w:val="006D62B6"/>
    <w:rsid w:val="006D62BF"/>
    <w:rsid w:val="006D6310"/>
    <w:rsid w:val="006D631F"/>
    <w:rsid w:val="006D6333"/>
    <w:rsid w:val="006D63A4"/>
    <w:rsid w:val="006D63DB"/>
    <w:rsid w:val="006D641E"/>
    <w:rsid w:val="006D642B"/>
    <w:rsid w:val="006D645C"/>
    <w:rsid w:val="006D647B"/>
    <w:rsid w:val="006D64A1"/>
    <w:rsid w:val="006D64AA"/>
    <w:rsid w:val="006D64CC"/>
    <w:rsid w:val="006D64CE"/>
    <w:rsid w:val="006D64EB"/>
    <w:rsid w:val="006D650A"/>
    <w:rsid w:val="006D6511"/>
    <w:rsid w:val="006D6526"/>
    <w:rsid w:val="006D655B"/>
    <w:rsid w:val="006D6560"/>
    <w:rsid w:val="006D65A4"/>
    <w:rsid w:val="006D65BE"/>
    <w:rsid w:val="006D65FC"/>
    <w:rsid w:val="006D6605"/>
    <w:rsid w:val="006D665A"/>
    <w:rsid w:val="006D6665"/>
    <w:rsid w:val="006D6755"/>
    <w:rsid w:val="006D676C"/>
    <w:rsid w:val="006D67BE"/>
    <w:rsid w:val="006D68BB"/>
    <w:rsid w:val="006D68C2"/>
    <w:rsid w:val="006D68C7"/>
    <w:rsid w:val="006D68F5"/>
    <w:rsid w:val="006D6901"/>
    <w:rsid w:val="006D6964"/>
    <w:rsid w:val="006D6982"/>
    <w:rsid w:val="006D6988"/>
    <w:rsid w:val="006D6995"/>
    <w:rsid w:val="006D699F"/>
    <w:rsid w:val="006D69BC"/>
    <w:rsid w:val="006D69C6"/>
    <w:rsid w:val="006D69C8"/>
    <w:rsid w:val="006D69CD"/>
    <w:rsid w:val="006D69D0"/>
    <w:rsid w:val="006D69F6"/>
    <w:rsid w:val="006D6A12"/>
    <w:rsid w:val="006D6A19"/>
    <w:rsid w:val="006D6A24"/>
    <w:rsid w:val="006D6A87"/>
    <w:rsid w:val="006D6AB2"/>
    <w:rsid w:val="006D6AD6"/>
    <w:rsid w:val="006D6AF0"/>
    <w:rsid w:val="006D6B59"/>
    <w:rsid w:val="006D6B5C"/>
    <w:rsid w:val="006D6B6E"/>
    <w:rsid w:val="006D6B7A"/>
    <w:rsid w:val="006D6B90"/>
    <w:rsid w:val="006D6B96"/>
    <w:rsid w:val="006D6BA5"/>
    <w:rsid w:val="006D6C3B"/>
    <w:rsid w:val="006D6C4A"/>
    <w:rsid w:val="006D6C50"/>
    <w:rsid w:val="006D6C73"/>
    <w:rsid w:val="006D6CA5"/>
    <w:rsid w:val="006D6D2F"/>
    <w:rsid w:val="006D6D71"/>
    <w:rsid w:val="006D6D96"/>
    <w:rsid w:val="006D6E0D"/>
    <w:rsid w:val="006D6E67"/>
    <w:rsid w:val="006D6E75"/>
    <w:rsid w:val="006D6E8B"/>
    <w:rsid w:val="006D6E9B"/>
    <w:rsid w:val="006D6EF0"/>
    <w:rsid w:val="006D6F22"/>
    <w:rsid w:val="006D6F28"/>
    <w:rsid w:val="006D6F56"/>
    <w:rsid w:val="006D6F77"/>
    <w:rsid w:val="006D6F89"/>
    <w:rsid w:val="006D6F92"/>
    <w:rsid w:val="006D6FA0"/>
    <w:rsid w:val="006D6FA5"/>
    <w:rsid w:val="006D701B"/>
    <w:rsid w:val="006D705C"/>
    <w:rsid w:val="006D7084"/>
    <w:rsid w:val="006D70AF"/>
    <w:rsid w:val="006D70FD"/>
    <w:rsid w:val="006D7102"/>
    <w:rsid w:val="006D7144"/>
    <w:rsid w:val="006D715E"/>
    <w:rsid w:val="006D716E"/>
    <w:rsid w:val="006D71C4"/>
    <w:rsid w:val="006D7240"/>
    <w:rsid w:val="006D72A9"/>
    <w:rsid w:val="006D72C7"/>
    <w:rsid w:val="006D72CB"/>
    <w:rsid w:val="006D7309"/>
    <w:rsid w:val="006D7338"/>
    <w:rsid w:val="006D7342"/>
    <w:rsid w:val="006D7346"/>
    <w:rsid w:val="006D738D"/>
    <w:rsid w:val="006D73DC"/>
    <w:rsid w:val="006D7473"/>
    <w:rsid w:val="006D7474"/>
    <w:rsid w:val="006D7478"/>
    <w:rsid w:val="006D74B6"/>
    <w:rsid w:val="006D74EA"/>
    <w:rsid w:val="006D7507"/>
    <w:rsid w:val="006D757D"/>
    <w:rsid w:val="006D7583"/>
    <w:rsid w:val="006D759B"/>
    <w:rsid w:val="006D75A7"/>
    <w:rsid w:val="006D75B3"/>
    <w:rsid w:val="006D75C0"/>
    <w:rsid w:val="006D761B"/>
    <w:rsid w:val="006D7658"/>
    <w:rsid w:val="006D7677"/>
    <w:rsid w:val="006D767B"/>
    <w:rsid w:val="006D76C1"/>
    <w:rsid w:val="006D76E5"/>
    <w:rsid w:val="006D76EC"/>
    <w:rsid w:val="006D76F7"/>
    <w:rsid w:val="006D7718"/>
    <w:rsid w:val="006D7759"/>
    <w:rsid w:val="006D7784"/>
    <w:rsid w:val="006D778A"/>
    <w:rsid w:val="006D7792"/>
    <w:rsid w:val="006D77A3"/>
    <w:rsid w:val="006D77B5"/>
    <w:rsid w:val="006D77C0"/>
    <w:rsid w:val="006D77F4"/>
    <w:rsid w:val="006D78A3"/>
    <w:rsid w:val="006D78CB"/>
    <w:rsid w:val="006D78FB"/>
    <w:rsid w:val="006D7903"/>
    <w:rsid w:val="006D798B"/>
    <w:rsid w:val="006D798E"/>
    <w:rsid w:val="006D7996"/>
    <w:rsid w:val="006D79E0"/>
    <w:rsid w:val="006D79F7"/>
    <w:rsid w:val="006D79FA"/>
    <w:rsid w:val="006D7A00"/>
    <w:rsid w:val="006D7A11"/>
    <w:rsid w:val="006D7A48"/>
    <w:rsid w:val="006D7A5C"/>
    <w:rsid w:val="006D7A97"/>
    <w:rsid w:val="006D7B58"/>
    <w:rsid w:val="006D7B6D"/>
    <w:rsid w:val="006D7B93"/>
    <w:rsid w:val="006D7B97"/>
    <w:rsid w:val="006D7BB3"/>
    <w:rsid w:val="006D7BCA"/>
    <w:rsid w:val="006D7BD7"/>
    <w:rsid w:val="006D7C8E"/>
    <w:rsid w:val="006D7CCD"/>
    <w:rsid w:val="006D7CD6"/>
    <w:rsid w:val="006D7D21"/>
    <w:rsid w:val="006D7D2C"/>
    <w:rsid w:val="006D7D4B"/>
    <w:rsid w:val="006D7D5E"/>
    <w:rsid w:val="006D7D66"/>
    <w:rsid w:val="006D7D8F"/>
    <w:rsid w:val="006D7DA2"/>
    <w:rsid w:val="006D7DA6"/>
    <w:rsid w:val="006D7DB5"/>
    <w:rsid w:val="006D7DCC"/>
    <w:rsid w:val="006D7DF1"/>
    <w:rsid w:val="006D7E07"/>
    <w:rsid w:val="006D7E40"/>
    <w:rsid w:val="006D7E48"/>
    <w:rsid w:val="006D7E71"/>
    <w:rsid w:val="006D7E7A"/>
    <w:rsid w:val="006D7EF3"/>
    <w:rsid w:val="006D7F97"/>
    <w:rsid w:val="006E0007"/>
    <w:rsid w:val="006E0026"/>
    <w:rsid w:val="006E003F"/>
    <w:rsid w:val="006E0069"/>
    <w:rsid w:val="006E00C0"/>
    <w:rsid w:val="006E00E8"/>
    <w:rsid w:val="006E010E"/>
    <w:rsid w:val="006E010F"/>
    <w:rsid w:val="006E0117"/>
    <w:rsid w:val="006E017F"/>
    <w:rsid w:val="006E0192"/>
    <w:rsid w:val="006E02A6"/>
    <w:rsid w:val="006E02B3"/>
    <w:rsid w:val="006E02DD"/>
    <w:rsid w:val="006E02F9"/>
    <w:rsid w:val="006E03BC"/>
    <w:rsid w:val="006E03D0"/>
    <w:rsid w:val="006E03DC"/>
    <w:rsid w:val="006E0453"/>
    <w:rsid w:val="006E0494"/>
    <w:rsid w:val="006E0498"/>
    <w:rsid w:val="006E04AB"/>
    <w:rsid w:val="006E04FC"/>
    <w:rsid w:val="006E0512"/>
    <w:rsid w:val="006E0561"/>
    <w:rsid w:val="006E059A"/>
    <w:rsid w:val="006E05B4"/>
    <w:rsid w:val="006E0603"/>
    <w:rsid w:val="006E060B"/>
    <w:rsid w:val="006E061F"/>
    <w:rsid w:val="006E066F"/>
    <w:rsid w:val="006E0682"/>
    <w:rsid w:val="006E0698"/>
    <w:rsid w:val="006E070C"/>
    <w:rsid w:val="006E078A"/>
    <w:rsid w:val="006E07B7"/>
    <w:rsid w:val="006E07C2"/>
    <w:rsid w:val="006E083E"/>
    <w:rsid w:val="006E0851"/>
    <w:rsid w:val="006E0890"/>
    <w:rsid w:val="006E0895"/>
    <w:rsid w:val="006E08C7"/>
    <w:rsid w:val="006E0927"/>
    <w:rsid w:val="006E0939"/>
    <w:rsid w:val="006E0954"/>
    <w:rsid w:val="006E0958"/>
    <w:rsid w:val="006E095F"/>
    <w:rsid w:val="006E09B2"/>
    <w:rsid w:val="006E09BC"/>
    <w:rsid w:val="006E09E3"/>
    <w:rsid w:val="006E0A53"/>
    <w:rsid w:val="006E0ACC"/>
    <w:rsid w:val="006E0B2C"/>
    <w:rsid w:val="006E0B42"/>
    <w:rsid w:val="006E0B47"/>
    <w:rsid w:val="006E0BA1"/>
    <w:rsid w:val="006E0BDC"/>
    <w:rsid w:val="006E0C01"/>
    <w:rsid w:val="006E0C3F"/>
    <w:rsid w:val="006E0C45"/>
    <w:rsid w:val="006E0C76"/>
    <w:rsid w:val="006E0C80"/>
    <w:rsid w:val="006E0C95"/>
    <w:rsid w:val="006E0CB7"/>
    <w:rsid w:val="006E0CB8"/>
    <w:rsid w:val="006E0D4D"/>
    <w:rsid w:val="006E0D55"/>
    <w:rsid w:val="006E0D81"/>
    <w:rsid w:val="006E0D85"/>
    <w:rsid w:val="006E0DCA"/>
    <w:rsid w:val="006E0E0A"/>
    <w:rsid w:val="006E0E60"/>
    <w:rsid w:val="006E0E6F"/>
    <w:rsid w:val="006E0EB8"/>
    <w:rsid w:val="006E0EF4"/>
    <w:rsid w:val="006E0EF5"/>
    <w:rsid w:val="006E0F08"/>
    <w:rsid w:val="006E0F23"/>
    <w:rsid w:val="006E0F24"/>
    <w:rsid w:val="006E0F50"/>
    <w:rsid w:val="006E0FB8"/>
    <w:rsid w:val="006E0FFC"/>
    <w:rsid w:val="006E1021"/>
    <w:rsid w:val="006E104E"/>
    <w:rsid w:val="006E1057"/>
    <w:rsid w:val="006E1058"/>
    <w:rsid w:val="006E1074"/>
    <w:rsid w:val="006E107C"/>
    <w:rsid w:val="006E10AC"/>
    <w:rsid w:val="006E10BA"/>
    <w:rsid w:val="006E112D"/>
    <w:rsid w:val="006E115F"/>
    <w:rsid w:val="006E1191"/>
    <w:rsid w:val="006E11A3"/>
    <w:rsid w:val="006E11DB"/>
    <w:rsid w:val="006E11DF"/>
    <w:rsid w:val="006E11EF"/>
    <w:rsid w:val="006E11F4"/>
    <w:rsid w:val="006E120F"/>
    <w:rsid w:val="006E122C"/>
    <w:rsid w:val="006E125E"/>
    <w:rsid w:val="006E127D"/>
    <w:rsid w:val="006E1295"/>
    <w:rsid w:val="006E12CB"/>
    <w:rsid w:val="006E12D1"/>
    <w:rsid w:val="006E12E0"/>
    <w:rsid w:val="006E1370"/>
    <w:rsid w:val="006E138B"/>
    <w:rsid w:val="006E138E"/>
    <w:rsid w:val="006E13A4"/>
    <w:rsid w:val="006E13B9"/>
    <w:rsid w:val="006E13DA"/>
    <w:rsid w:val="006E1413"/>
    <w:rsid w:val="006E1453"/>
    <w:rsid w:val="006E149E"/>
    <w:rsid w:val="006E14A7"/>
    <w:rsid w:val="006E14AA"/>
    <w:rsid w:val="006E14C4"/>
    <w:rsid w:val="006E14DF"/>
    <w:rsid w:val="006E14E6"/>
    <w:rsid w:val="006E1524"/>
    <w:rsid w:val="006E152C"/>
    <w:rsid w:val="006E15DB"/>
    <w:rsid w:val="006E163D"/>
    <w:rsid w:val="006E16AB"/>
    <w:rsid w:val="006E177E"/>
    <w:rsid w:val="006E1790"/>
    <w:rsid w:val="006E17A9"/>
    <w:rsid w:val="006E17AD"/>
    <w:rsid w:val="006E17EE"/>
    <w:rsid w:val="006E17EF"/>
    <w:rsid w:val="006E180D"/>
    <w:rsid w:val="006E180E"/>
    <w:rsid w:val="006E1828"/>
    <w:rsid w:val="006E1854"/>
    <w:rsid w:val="006E186A"/>
    <w:rsid w:val="006E187E"/>
    <w:rsid w:val="006E18D8"/>
    <w:rsid w:val="006E18EB"/>
    <w:rsid w:val="006E18ED"/>
    <w:rsid w:val="006E1909"/>
    <w:rsid w:val="006E1920"/>
    <w:rsid w:val="006E1958"/>
    <w:rsid w:val="006E1982"/>
    <w:rsid w:val="006E1987"/>
    <w:rsid w:val="006E19B9"/>
    <w:rsid w:val="006E1A19"/>
    <w:rsid w:val="006E1A30"/>
    <w:rsid w:val="006E1A3E"/>
    <w:rsid w:val="006E1A44"/>
    <w:rsid w:val="006E1A5F"/>
    <w:rsid w:val="006E1A63"/>
    <w:rsid w:val="006E1A9B"/>
    <w:rsid w:val="006E1B14"/>
    <w:rsid w:val="006E1B77"/>
    <w:rsid w:val="006E1B8C"/>
    <w:rsid w:val="006E1B9D"/>
    <w:rsid w:val="006E1BD9"/>
    <w:rsid w:val="006E1C49"/>
    <w:rsid w:val="006E1C59"/>
    <w:rsid w:val="006E1C63"/>
    <w:rsid w:val="006E1C87"/>
    <w:rsid w:val="006E1CD7"/>
    <w:rsid w:val="006E1CDE"/>
    <w:rsid w:val="006E1DAE"/>
    <w:rsid w:val="006E1DF4"/>
    <w:rsid w:val="006E1E16"/>
    <w:rsid w:val="006E1E52"/>
    <w:rsid w:val="006E1E73"/>
    <w:rsid w:val="006E1E99"/>
    <w:rsid w:val="006E1EC7"/>
    <w:rsid w:val="006E1F10"/>
    <w:rsid w:val="006E1F30"/>
    <w:rsid w:val="006E1F4C"/>
    <w:rsid w:val="006E1F53"/>
    <w:rsid w:val="006E1F55"/>
    <w:rsid w:val="006E1F80"/>
    <w:rsid w:val="006E1FDB"/>
    <w:rsid w:val="006E2008"/>
    <w:rsid w:val="006E200A"/>
    <w:rsid w:val="006E2018"/>
    <w:rsid w:val="006E201F"/>
    <w:rsid w:val="006E209A"/>
    <w:rsid w:val="006E20A6"/>
    <w:rsid w:val="006E20BD"/>
    <w:rsid w:val="006E20BF"/>
    <w:rsid w:val="006E2103"/>
    <w:rsid w:val="006E2104"/>
    <w:rsid w:val="006E2123"/>
    <w:rsid w:val="006E213F"/>
    <w:rsid w:val="006E215E"/>
    <w:rsid w:val="006E217F"/>
    <w:rsid w:val="006E2188"/>
    <w:rsid w:val="006E21A5"/>
    <w:rsid w:val="006E21C6"/>
    <w:rsid w:val="006E21C8"/>
    <w:rsid w:val="006E21CF"/>
    <w:rsid w:val="006E221B"/>
    <w:rsid w:val="006E2221"/>
    <w:rsid w:val="006E2232"/>
    <w:rsid w:val="006E2238"/>
    <w:rsid w:val="006E22F4"/>
    <w:rsid w:val="006E22F5"/>
    <w:rsid w:val="006E2338"/>
    <w:rsid w:val="006E2358"/>
    <w:rsid w:val="006E2388"/>
    <w:rsid w:val="006E23B6"/>
    <w:rsid w:val="006E23C6"/>
    <w:rsid w:val="006E2400"/>
    <w:rsid w:val="006E243A"/>
    <w:rsid w:val="006E2440"/>
    <w:rsid w:val="006E245C"/>
    <w:rsid w:val="006E24A4"/>
    <w:rsid w:val="006E24AF"/>
    <w:rsid w:val="006E24C7"/>
    <w:rsid w:val="006E257F"/>
    <w:rsid w:val="006E25BA"/>
    <w:rsid w:val="006E25D0"/>
    <w:rsid w:val="006E25D1"/>
    <w:rsid w:val="006E25ED"/>
    <w:rsid w:val="006E2601"/>
    <w:rsid w:val="006E2615"/>
    <w:rsid w:val="006E261F"/>
    <w:rsid w:val="006E2678"/>
    <w:rsid w:val="006E2680"/>
    <w:rsid w:val="006E26A8"/>
    <w:rsid w:val="006E26B1"/>
    <w:rsid w:val="006E26C3"/>
    <w:rsid w:val="006E26D7"/>
    <w:rsid w:val="006E2710"/>
    <w:rsid w:val="006E271D"/>
    <w:rsid w:val="006E271F"/>
    <w:rsid w:val="006E2749"/>
    <w:rsid w:val="006E274C"/>
    <w:rsid w:val="006E2781"/>
    <w:rsid w:val="006E2784"/>
    <w:rsid w:val="006E2789"/>
    <w:rsid w:val="006E27A3"/>
    <w:rsid w:val="006E27AD"/>
    <w:rsid w:val="006E27DB"/>
    <w:rsid w:val="006E282B"/>
    <w:rsid w:val="006E282F"/>
    <w:rsid w:val="006E284A"/>
    <w:rsid w:val="006E285B"/>
    <w:rsid w:val="006E286D"/>
    <w:rsid w:val="006E2879"/>
    <w:rsid w:val="006E2897"/>
    <w:rsid w:val="006E28A9"/>
    <w:rsid w:val="006E28B6"/>
    <w:rsid w:val="006E28E4"/>
    <w:rsid w:val="006E28F1"/>
    <w:rsid w:val="006E291B"/>
    <w:rsid w:val="006E2973"/>
    <w:rsid w:val="006E2998"/>
    <w:rsid w:val="006E29BA"/>
    <w:rsid w:val="006E2A52"/>
    <w:rsid w:val="006E2ADF"/>
    <w:rsid w:val="006E2AF2"/>
    <w:rsid w:val="006E2B4E"/>
    <w:rsid w:val="006E2B56"/>
    <w:rsid w:val="006E2B58"/>
    <w:rsid w:val="006E2B6C"/>
    <w:rsid w:val="006E2BB6"/>
    <w:rsid w:val="006E2BD2"/>
    <w:rsid w:val="006E2BF8"/>
    <w:rsid w:val="006E2C17"/>
    <w:rsid w:val="006E2C1C"/>
    <w:rsid w:val="006E2C22"/>
    <w:rsid w:val="006E2C49"/>
    <w:rsid w:val="006E2C53"/>
    <w:rsid w:val="006E2C8C"/>
    <w:rsid w:val="006E2CA0"/>
    <w:rsid w:val="006E2CA2"/>
    <w:rsid w:val="006E2CB6"/>
    <w:rsid w:val="006E2CCA"/>
    <w:rsid w:val="006E2CFD"/>
    <w:rsid w:val="006E2D72"/>
    <w:rsid w:val="006E2D81"/>
    <w:rsid w:val="006E2D82"/>
    <w:rsid w:val="006E2DBB"/>
    <w:rsid w:val="006E2DBC"/>
    <w:rsid w:val="006E2E07"/>
    <w:rsid w:val="006E2E25"/>
    <w:rsid w:val="006E2E32"/>
    <w:rsid w:val="006E2E64"/>
    <w:rsid w:val="006E2E6C"/>
    <w:rsid w:val="006E2E9E"/>
    <w:rsid w:val="006E2F33"/>
    <w:rsid w:val="006E2F4A"/>
    <w:rsid w:val="006E2F5E"/>
    <w:rsid w:val="006E2F6F"/>
    <w:rsid w:val="006E2FCB"/>
    <w:rsid w:val="006E3025"/>
    <w:rsid w:val="006E3058"/>
    <w:rsid w:val="006E30A2"/>
    <w:rsid w:val="006E30A5"/>
    <w:rsid w:val="006E30D3"/>
    <w:rsid w:val="006E30F3"/>
    <w:rsid w:val="006E3104"/>
    <w:rsid w:val="006E3150"/>
    <w:rsid w:val="006E3166"/>
    <w:rsid w:val="006E3173"/>
    <w:rsid w:val="006E3180"/>
    <w:rsid w:val="006E31C0"/>
    <w:rsid w:val="006E3206"/>
    <w:rsid w:val="006E321A"/>
    <w:rsid w:val="006E3222"/>
    <w:rsid w:val="006E3233"/>
    <w:rsid w:val="006E3253"/>
    <w:rsid w:val="006E3254"/>
    <w:rsid w:val="006E325D"/>
    <w:rsid w:val="006E325F"/>
    <w:rsid w:val="006E3269"/>
    <w:rsid w:val="006E326E"/>
    <w:rsid w:val="006E3274"/>
    <w:rsid w:val="006E330B"/>
    <w:rsid w:val="006E3330"/>
    <w:rsid w:val="006E33A1"/>
    <w:rsid w:val="006E33A4"/>
    <w:rsid w:val="006E3421"/>
    <w:rsid w:val="006E342B"/>
    <w:rsid w:val="006E3451"/>
    <w:rsid w:val="006E3492"/>
    <w:rsid w:val="006E34AF"/>
    <w:rsid w:val="006E34C1"/>
    <w:rsid w:val="006E34FB"/>
    <w:rsid w:val="006E3516"/>
    <w:rsid w:val="006E3567"/>
    <w:rsid w:val="006E359C"/>
    <w:rsid w:val="006E35A9"/>
    <w:rsid w:val="006E35E4"/>
    <w:rsid w:val="006E35FC"/>
    <w:rsid w:val="006E3608"/>
    <w:rsid w:val="006E3645"/>
    <w:rsid w:val="006E366A"/>
    <w:rsid w:val="006E3679"/>
    <w:rsid w:val="006E36DC"/>
    <w:rsid w:val="006E371C"/>
    <w:rsid w:val="006E374A"/>
    <w:rsid w:val="006E376E"/>
    <w:rsid w:val="006E3777"/>
    <w:rsid w:val="006E379A"/>
    <w:rsid w:val="006E37A5"/>
    <w:rsid w:val="006E37A8"/>
    <w:rsid w:val="006E37C8"/>
    <w:rsid w:val="006E380C"/>
    <w:rsid w:val="006E382A"/>
    <w:rsid w:val="006E3876"/>
    <w:rsid w:val="006E38AC"/>
    <w:rsid w:val="006E38CB"/>
    <w:rsid w:val="006E38DC"/>
    <w:rsid w:val="006E38DF"/>
    <w:rsid w:val="006E3928"/>
    <w:rsid w:val="006E3933"/>
    <w:rsid w:val="006E3946"/>
    <w:rsid w:val="006E394B"/>
    <w:rsid w:val="006E39CA"/>
    <w:rsid w:val="006E3A34"/>
    <w:rsid w:val="006E3AA0"/>
    <w:rsid w:val="006E3ADA"/>
    <w:rsid w:val="006E3AEB"/>
    <w:rsid w:val="006E3AFC"/>
    <w:rsid w:val="006E3B05"/>
    <w:rsid w:val="006E3B36"/>
    <w:rsid w:val="006E3BB5"/>
    <w:rsid w:val="006E3BBF"/>
    <w:rsid w:val="006E3C16"/>
    <w:rsid w:val="006E3C1A"/>
    <w:rsid w:val="006E3C66"/>
    <w:rsid w:val="006E3C7E"/>
    <w:rsid w:val="006E3C9A"/>
    <w:rsid w:val="006E3CC0"/>
    <w:rsid w:val="006E3CC2"/>
    <w:rsid w:val="006E3CD8"/>
    <w:rsid w:val="006E3CEF"/>
    <w:rsid w:val="006E3D6C"/>
    <w:rsid w:val="006E3D70"/>
    <w:rsid w:val="006E3DBA"/>
    <w:rsid w:val="006E3E01"/>
    <w:rsid w:val="006E3E21"/>
    <w:rsid w:val="006E3E48"/>
    <w:rsid w:val="006E3E4C"/>
    <w:rsid w:val="006E3E65"/>
    <w:rsid w:val="006E3EC2"/>
    <w:rsid w:val="006E3F15"/>
    <w:rsid w:val="006E3F1B"/>
    <w:rsid w:val="006E3FA3"/>
    <w:rsid w:val="006E4043"/>
    <w:rsid w:val="006E4044"/>
    <w:rsid w:val="006E40B9"/>
    <w:rsid w:val="006E40D2"/>
    <w:rsid w:val="006E40E7"/>
    <w:rsid w:val="006E4103"/>
    <w:rsid w:val="006E410A"/>
    <w:rsid w:val="006E4154"/>
    <w:rsid w:val="006E4156"/>
    <w:rsid w:val="006E41B0"/>
    <w:rsid w:val="006E41CC"/>
    <w:rsid w:val="006E4224"/>
    <w:rsid w:val="006E4225"/>
    <w:rsid w:val="006E4248"/>
    <w:rsid w:val="006E4260"/>
    <w:rsid w:val="006E426E"/>
    <w:rsid w:val="006E4273"/>
    <w:rsid w:val="006E4297"/>
    <w:rsid w:val="006E42B1"/>
    <w:rsid w:val="006E42B7"/>
    <w:rsid w:val="006E42DC"/>
    <w:rsid w:val="006E42F4"/>
    <w:rsid w:val="006E4331"/>
    <w:rsid w:val="006E4364"/>
    <w:rsid w:val="006E43AA"/>
    <w:rsid w:val="006E43BF"/>
    <w:rsid w:val="006E43FC"/>
    <w:rsid w:val="006E4415"/>
    <w:rsid w:val="006E443B"/>
    <w:rsid w:val="006E44AA"/>
    <w:rsid w:val="006E44E8"/>
    <w:rsid w:val="006E4515"/>
    <w:rsid w:val="006E4579"/>
    <w:rsid w:val="006E45BD"/>
    <w:rsid w:val="006E45D0"/>
    <w:rsid w:val="006E45E3"/>
    <w:rsid w:val="006E45EE"/>
    <w:rsid w:val="006E4658"/>
    <w:rsid w:val="006E46A2"/>
    <w:rsid w:val="006E46B2"/>
    <w:rsid w:val="006E46E3"/>
    <w:rsid w:val="006E471D"/>
    <w:rsid w:val="006E472C"/>
    <w:rsid w:val="006E475C"/>
    <w:rsid w:val="006E476E"/>
    <w:rsid w:val="006E485A"/>
    <w:rsid w:val="006E4877"/>
    <w:rsid w:val="006E493E"/>
    <w:rsid w:val="006E4977"/>
    <w:rsid w:val="006E497A"/>
    <w:rsid w:val="006E498E"/>
    <w:rsid w:val="006E49BF"/>
    <w:rsid w:val="006E49C0"/>
    <w:rsid w:val="006E49E1"/>
    <w:rsid w:val="006E4A60"/>
    <w:rsid w:val="006E4A66"/>
    <w:rsid w:val="006E4A82"/>
    <w:rsid w:val="006E4A97"/>
    <w:rsid w:val="006E4AE4"/>
    <w:rsid w:val="006E4AFB"/>
    <w:rsid w:val="006E4B05"/>
    <w:rsid w:val="006E4B2E"/>
    <w:rsid w:val="006E4B42"/>
    <w:rsid w:val="006E4BAA"/>
    <w:rsid w:val="006E4BEA"/>
    <w:rsid w:val="006E4C51"/>
    <w:rsid w:val="006E4C5D"/>
    <w:rsid w:val="006E4C88"/>
    <w:rsid w:val="006E4C8C"/>
    <w:rsid w:val="006E4C9B"/>
    <w:rsid w:val="006E4CA3"/>
    <w:rsid w:val="006E4CC5"/>
    <w:rsid w:val="006E4CE8"/>
    <w:rsid w:val="006E4D20"/>
    <w:rsid w:val="006E4D43"/>
    <w:rsid w:val="006E4D69"/>
    <w:rsid w:val="006E4DB8"/>
    <w:rsid w:val="006E4DDC"/>
    <w:rsid w:val="006E4DDD"/>
    <w:rsid w:val="006E4DF8"/>
    <w:rsid w:val="006E4E2F"/>
    <w:rsid w:val="006E4E51"/>
    <w:rsid w:val="006E4E7D"/>
    <w:rsid w:val="006E4E95"/>
    <w:rsid w:val="006E4ED2"/>
    <w:rsid w:val="006E4F52"/>
    <w:rsid w:val="006E4F8D"/>
    <w:rsid w:val="006E4F98"/>
    <w:rsid w:val="006E4FA0"/>
    <w:rsid w:val="006E4FAC"/>
    <w:rsid w:val="006E4FCF"/>
    <w:rsid w:val="006E4FF2"/>
    <w:rsid w:val="006E4FFA"/>
    <w:rsid w:val="006E5000"/>
    <w:rsid w:val="006E500A"/>
    <w:rsid w:val="006E500F"/>
    <w:rsid w:val="006E5020"/>
    <w:rsid w:val="006E5029"/>
    <w:rsid w:val="006E5083"/>
    <w:rsid w:val="006E509F"/>
    <w:rsid w:val="006E50A1"/>
    <w:rsid w:val="006E50B6"/>
    <w:rsid w:val="006E513A"/>
    <w:rsid w:val="006E5186"/>
    <w:rsid w:val="006E51DF"/>
    <w:rsid w:val="006E51F5"/>
    <w:rsid w:val="006E520C"/>
    <w:rsid w:val="006E525A"/>
    <w:rsid w:val="006E525B"/>
    <w:rsid w:val="006E52F0"/>
    <w:rsid w:val="006E5338"/>
    <w:rsid w:val="006E5356"/>
    <w:rsid w:val="006E5382"/>
    <w:rsid w:val="006E53CC"/>
    <w:rsid w:val="006E53D9"/>
    <w:rsid w:val="006E542B"/>
    <w:rsid w:val="006E545A"/>
    <w:rsid w:val="006E546E"/>
    <w:rsid w:val="006E54AF"/>
    <w:rsid w:val="006E54B8"/>
    <w:rsid w:val="006E54C1"/>
    <w:rsid w:val="006E551C"/>
    <w:rsid w:val="006E5532"/>
    <w:rsid w:val="006E5535"/>
    <w:rsid w:val="006E5536"/>
    <w:rsid w:val="006E555F"/>
    <w:rsid w:val="006E5561"/>
    <w:rsid w:val="006E55A2"/>
    <w:rsid w:val="006E55A5"/>
    <w:rsid w:val="006E55A9"/>
    <w:rsid w:val="006E5631"/>
    <w:rsid w:val="006E5642"/>
    <w:rsid w:val="006E5649"/>
    <w:rsid w:val="006E5656"/>
    <w:rsid w:val="006E5676"/>
    <w:rsid w:val="006E572A"/>
    <w:rsid w:val="006E575F"/>
    <w:rsid w:val="006E57C6"/>
    <w:rsid w:val="006E57D9"/>
    <w:rsid w:val="006E57DA"/>
    <w:rsid w:val="006E57E2"/>
    <w:rsid w:val="006E5836"/>
    <w:rsid w:val="006E5841"/>
    <w:rsid w:val="006E586E"/>
    <w:rsid w:val="006E5893"/>
    <w:rsid w:val="006E589B"/>
    <w:rsid w:val="006E58A8"/>
    <w:rsid w:val="006E58B3"/>
    <w:rsid w:val="006E58B6"/>
    <w:rsid w:val="006E58C8"/>
    <w:rsid w:val="006E5916"/>
    <w:rsid w:val="006E5954"/>
    <w:rsid w:val="006E59AE"/>
    <w:rsid w:val="006E59C0"/>
    <w:rsid w:val="006E59CB"/>
    <w:rsid w:val="006E5A3A"/>
    <w:rsid w:val="006E5A92"/>
    <w:rsid w:val="006E5AA9"/>
    <w:rsid w:val="006E5AFE"/>
    <w:rsid w:val="006E5B22"/>
    <w:rsid w:val="006E5B3F"/>
    <w:rsid w:val="006E5B45"/>
    <w:rsid w:val="006E5B9E"/>
    <w:rsid w:val="006E5BA1"/>
    <w:rsid w:val="006E5C06"/>
    <w:rsid w:val="006E5C20"/>
    <w:rsid w:val="006E5C23"/>
    <w:rsid w:val="006E5C3D"/>
    <w:rsid w:val="006E5C49"/>
    <w:rsid w:val="006E5C51"/>
    <w:rsid w:val="006E5C5F"/>
    <w:rsid w:val="006E5C71"/>
    <w:rsid w:val="006E5C7D"/>
    <w:rsid w:val="006E5C8F"/>
    <w:rsid w:val="006E5D00"/>
    <w:rsid w:val="006E5D12"/>
    <w:rsid w:val="006E5D13"/>
    <w:rsid w:val="006E5D21"/>
    <w:rsid w:val="006E5D48"/>
    <w:rsid w:val="006E5D8D"/>
    <w:rsid w:val="006E5D99"/>
    <w:rsid w:val="006E5DC3"/>
    <w:rsid w:val="006E5DE4"/>
    <w:rsid w:val="006E5E29"/>
    <w:rsid w:val="006E5E47"/>
    <w:rsid w:val="006E5E8F"/>
    <w:rsid w:val="006E5E96"/>
    <w:rsid w:val="006E5F13"/>
    <w:rsid w:val="006E5F40"/>
    <w:rsid w:val="006E5F54"/>
    <w:rsid w:val="006E5F69"/>
    <w:rsid w:val="006E5F79"/>
    <w:rsid w:val="006E5FB7"/>
    <w:rsid w:val="006E5FD5"/>
    <w:rsid w:val="006E6024"/>
    <w:rsid w:val="006E6052"/>
    <w:rsid w:val="006E6054"/>
    <w:rsid w:val="006E609C"/>
    <w:rsid w:val="006E60B0"/>
    <w:rsid w:val="006E60C8"/>
    <w:rsid w:val="006E60D7"/>
    <w:rsid w:val="006E610F"/>
    <w:rsid w:val="006E612C"/>
    <w:rsid w:val="006E61AB"/>
    <w:rsid w:val="006E61CC"/>
    <w:rsid w:val="006E620A"/>
    <w:rsid w:val="006E6245"/>
    <w:rsid w:val="006E624B"/>
    <w:rsid w:val="006E6284"/>
    <w:rsid w:val="006E62A6"/>
    <w:rsid w:val="006E6307"/>
    <w:rsid w:val="006E631E"/>
    <w:rsid w:val="006E632B"/>
    <w:rsid w:val="006E6338"/>
    <w:rsid w:val="006E634D"/>
    <w:rsid w:val="006E639A"/>
    <w:rsid w:val="006E63D8"/>
    <w:rsid w:val="006E642A"/>
    <w:rsid w:val="006E642D"/>
    <w:rsid w:val="006E6454"/>
    <w:rsid w:val="006E6473"/>
    <w:rsid w:val="006E64B6"/>
    <w:rsid w:val="006E64ED"/>
    <w:rsid w:val="006E6504"/>
    <w:rsid w:val="006E650E"/>
    <w:rsid w:val="006E6512"/>
    <w:rsid w:val="006E6518"/>
    <w:rsid w:val="006E6525"/>
    <w:rsid w:val="006E653F"/>
    <w:rsid w:val="006E659E"/>
    <w:rsid w:val="006E662F"/>
    <w:rsid w:val="006E6643"/>
    <w:rsid w:val="006E664F"/>
    <w:rsid w:val="006E668E"/>
    <w:rsid w:val="006E66A7"/>
    <w:rsid w:val="006E66D6"/>
    <w:rsid w:val="006E6713"/>
    <w:rsid w:val="006E6715"/>
    <w:rsid w:val="006E671C"/>
    <w:rsid w:val="006E6742"/>
    <w:rsid w:val="006E6750"/>
    <w:rsid w:val="006E6762"/>
    <w:rsid w:val="006E6788"/>
    <w:rsid w:val="006E67AE"/>
    <w:rsid w:val="006E67ED"/>
    <w:rsid w:val="006E67FA"/>
    <w:rsid w:val="006E6829"/>
    <w:rsid w:val="006E6840"/>
    <w:rsid w:val="006E6897"/>
    <w:rsid w:val="006E68B2"/>
    <w:rsid w:val="006E68D8"/>
    <w:rsid w:val="006E68ED"/>
    <w:rsid w:val="006E6927"/>
    <w:rsid w:val="006E6974"/>
    <w:rsid w:val="006E697B"/>
    <w:rsid w:val="006E698E"/>
    <w:rsid w:val="006E6993"/>
    <w:rsid w:val="006E69B2"/>
    <w:rsid w:val="006E6A09"/>
    <w:rsid w:val="006E6A49"/>
    <w:rsid w:val="006E6ACC"/>
    <w:rsid w:val="006E6ADA"/>
    <w:rsid w:val="006E6AFB"/>
    <w:rsid w:val="006E6B15"/>
    <w:rsid w:val="006E6B3E"/>
    <w:rsid w:val="006E6B51"/>
    <w:rsid w:val="006E6BFD"/>
    <w:rsid w:val="006E6C42"/>
    <w:rsid w:val="006E6CBA"/>
    <w:rsid w:val="006E6CFE"/>
    <w:rsid w:val="006E6D0B"/>
    <w:rsid w:val="006E6D28"/>
    <w:rsid w:val="006E6D3B"/>
    <w:rsid w:val="006E6D41"/>
    <w:rsid w:val="006E6D56"/>
    <w:rsid w:val="006E6D8E"/>
    <w:rsid w:val="006E6D94"/>
    <w:rsid w:val="006E6DB2"/>
    <w:rsid w:val="006E6DBE"/>
    <w:rsid w:val="006E6DC1"/>
    <w:rsid w:val="006E6DE0"/>
    <w:rsid w:val="006E6E6F"/>
    <w:rsid w:val="006E6E9F"/>
    <w:rsid w:val="006E6EE9"/>
    <w:rsid w:val="006E6F56"/>
    <w:rsid w:val="006E6F5F"/>
    <w:rsid w:val="006E6FA9"/>
    <w:rsid w:val="006E6FF8"/>
    <w:rsid w:val="006E7009"/>
    <w:rsid w:val="006E7019"/>
    <w:rsid w:val="006E7035"/>
    <w:rsid w:val="006E7072"/>
    <w:rsid w:val="006E70F4"/>
    <w:rsid w:val="006E7180"/>
    <w:rsid w:val="006E7185"/>
    <w:rsid w:val="006E719A"/>
    <w:rsid w:val="006E71F3"/>
    <w:rsid w:val="006E721D"/>
    <w:rsid w:val="006E723B"/>
    <w:rsid w:val="006E7295"/>
    <w:rsid w:val="006E72B4"/>
    <w:rsid w:val="006E72DD"/>
    <w:rsid w:val="006E72E9"/>
    <w:rsid w:val="006E72EF"/>
    <w:rsid w:val="006E72F2"/>
    <w:rsid w:val="006E72F3"/>
    <w:rsid w:val="006E730C"/>
    <w:rsid w:val="006E7312"/>
    <w:rsid w:val="006E7314"/>
    <w:rsid w:val="006E7315"/>
    <w:rsid w:val="006E7341"/>
    <w:rsid w:val="006E7347"/>
    <w:rsid w:val="006E73EE"/>
    <w:rsid w:val="006E741B"/>
    <w:rsid w:val="006E747A"/>
    <w:rsid w:val="006E74C2"/>
    <w:rsid w:val="006E74C8"/>
    <w:rsid w:val="006E74DB"/>
    <w:rsid w:val="006E751E"/>
    <w:rsid w:val="006E7543"/>
    <w:rsid w:val="006E756C"/>
    <w:rsid w:val="006E7572"/>
    <w:rsid w:val="006E75BA"/>
    <w:rsid w:val="006E75BF"/>
    <w:rsid w:val="006E75EE"/>
    <w:rsid w:val="006E764A"/>
    <w:rsid w:val="006E7661"/>
    <w:rsid w:val="006E767D"/>
    <w:rsid w:val="006E7698"/>
    <w:rsid w:val="006E76E3"/>
    <w:rsid w:val="006E7718"/>
    <w:rsid w:val="006E7741"/>
    <w:rsid w:val="006E776C"/>
    <w:rsid w:val="006E778F"/>
    <w:rsid w:val="006E779E"/>
    <w:rsid w:val="006E77D3"/>
    <w:rsid w:val="006E7820"/>
    <w:rsid w:val="006E7850"/>
    <w:rsid w:val="006E7871"/>
    <w:rsid w:val="006E787A"/>
    <w:rsid w:val="006E7897"/>
    <w:rsid w:val="006E7898"/>
    <w:rsid w:val="006E78F9"/>
    <w:rsid w:val="006E78FD"/>
    <w:rsid w:val="006E7916"/>
    <w:rsid w:val="006E791A"/>
    <w:rsid w:val="006E7936"/>
    <w:rsid w:val="006E79AB"/>
    <w:rsid w:val="006E79B7"/>
    <w:rsid w:val="006E79E3"/>
    <w:rsid w:val="006E79E8"/>
    <w:rsid w:val="006E79F2"/>
    <w:rsid w:val="006E7A42"/>
    <w:rsid w:val="006E7A4D"/>
    <w:rsid w:val="006E7A6D"/>
    <w:rsid w:val="006E7A96"/>
    <w:rsid w:val="006E7AB8"/>
    <w:rsid w:val="006E7B3C"/>
    <w:rsid w:val="006E7B4A"/>
    <w:rsid w:val="006E7B65"/>
    <w:rsid w:val="006E7BA6"/>
    <w:rsid w:val="006E7BB9"/>
    <w:rsid w:val="006E7BBF"/>
    <w:rsid w:val="006E7BC9"/>
    <w:rsid w:val="006E7BDB"/>
    <w:rsid w:val="006E7BF6"/>
    <w:rsid w:val="006E7C5F"/>
    <w:rsid w:val="006E7C70"/>
    <w:rsid w:val="006E7CD0"/>
    <w:rsid w:val="006E7CE8"/>
    <w:rsid w:val="006E7CE9"/>
    <w:rsid w:val="006E7D15"/>
    <w:rsid w:val="006E7D32"/>
    <w:rsid w:val="006E7D34"/>
    <w:rsid w:val="006E7D52"/>
    <w:rsid w:val="006E7D97"/>
    <w:rsid w:val="006E7D9A"/>
    <w:rsid w:val="006E7DAF"/>
    <w:rsid w:val="006E7DEA"/>
    <w:rsid w:val="006E7E2D"/>
    <w:rsid w:val="006E7E69"/>
    <w:rsid w:val="006E7EC5"/>
    <w:rsid w:val="006E7F01"/>
    <w:rsid w:val="006E7F08"/>
    <w:rsid w:val="006E7F15"/>
    <w:rsid w:val="006E7FD6"/>
    <w:rsid w:val="006E7FE2"/>
    <w:rsid w:val="006E7FE4"/>
    <w:rsid w:val="006E7FF1"/>
    <w:rsid w:val="006EA3BF"/>
    <w:rsid w:val="006EEEB9"/>
    <w:rsid w:val="006F000C"/>
    <w:rsid w:val="006F0023"/>
    <w:rsid w:val="006F0048"/>
    <w:rsid w:val="006F006E"/>
    <w:rsid w:val="006F0094"/>
    <w:rsid w:val="006F00B0"/>
    <w:rsid w:val="006F00B8"/>
    <w:rsid w:val="006F00C4"/>
    <w:rsid w:val="006F00E3"/>
    <w:rsid w:val="006F0131"/>
    <w:rsid w:val="006F013A"/>
    <w:rsid w:val="006F0166"/>
    <w:rsid w:val="006F0188"/>
    <w:rsid w:val="006F01D8"/>
    <w:rsid w:val="006F020D"/>
    <w:rsid w:val="006F0244"/>
    <w:rsid w:val="006F0254"/>
    <w:rsid w:val="006F025C"/>
    <w:rsid w:val="006F025F"/>
    <w:rsid w:val="006F0285"/>
    <w:rsid w:val="006F028A"/>
    <w:rsid w:val="006F02D5"/>
    <w:rsid w:val="006F02E5"/>
    <w:rsid w:val="006F02ED"/>
    <w:rsid w:val="006F0351"/>
    <w:rsid w:val="006F0382"/>
    <w:rsid w:val="006F039D"/>
    <w:rsid w:val="006F03E5"/>
    <w:rsid w:val="006F0434"/>
    <w:rsid w:val="006F043C"/>
    <w:rsid w:val="006F046C"/>
    <w:rsid w:val="006F0477"/>
    <w:rsid w:val="006F04BD"/>
    <w:rsid w:val="006F0514"/>
    <w:rsid w:val="006F051A"/>
    <w:rsid w:val="006F0532"/>
    <w:rsid w:val="006F0554"/>
    <w:rsid w:val="006F0562"/>
    <w:rsid w:val="006F0574"/>
    <w:rsid w:val="006F0595"/>
    <w:rsid w:val="006F05CB"/>
    <w:rsid w:val="006F05F8"/>
    <w:rsid w:val="006F0616"/>
    <w:rsid w:val="006F062F"/>
    <w:rsid w:val="006F06E4"/>
    <w:rsid w:val="006F06F6"/>
    <w:rsid w:val="006F0727"/>
    <w:rsid w:val="006F074F"/>
    <w:rsid w:val="006F0774"/>
    <w:rsid w:val="006F078F"/>
    <w:rsid w:val="006F07D7"/>
    <w:rsid w:val="006F0807"/>
    <w:rsid w:val="006F0813"/>
    <w:rsid w:val="006F0819"/>
    <w:rsid w:val="006F0825"/>
    <w:rsid w:val="006F086C"/>
    <w:rsid w:val="006F0871"/>
    <w:rsid w:val="006F0879"/>
    <w:rsid w:val="006F0927"/>
    <w:rsid w:val="006F0956"/>
    <w:rsid w:val="006F095B"/>
    <w:rsid w:val="006F0977"/>
    <w:rsid w:val="006F099E"/>
    <w:rsid w:val="006F09A6"/>
    <w:rsid w:val="006F09BC"/>
    <w:rsid w:val="006F09CA"/>
    <w:rsid w:val="006F09D8"/>
    <w:rsid w:val="006F09FF"/>
    <w:rsid w:val="006F0A03"/>
    <w:rsid w:val="006F0A08"/>
    <w:rsid w:val="006F0A8B"/>
    <w:rsid w:val="006F0AF9"/>
    <w:rsid w:val="006F0B1B"/>
    <w:rsid w:val="006F0B2E"/>
    <w:rsid w:val="006F0B36"/>
    <w:rsid w:val="006F0B3D"/>
    <w:rsid w:val="006F0B43"/>
    <w:rsid w:val="006F0B91"/>
    <w:rsid w:val="006F0BE5"/>
    <w:rsid w:val="006F0C6B"/>
    <w:rsid w:val="006F0CBF"/>
    <w:rsid w:val="006F0CF9"/>
    <w:rsid w:val="006F0D01"/>
    <w:rsid w:val="006F0D02"/>
    <w:rsid w:val="006F0D87"/>
    <w:rsid w:val="006F0DA7"/>
    <w:rsid w:val="006F0DF9"/>
    <w:rsid w:val="006F0E26"/>
    <w:rsid w:val="006F0E4B"/>
    <w:rsid w:val="006F0E58"/>
    <w:rsid w:val="006F0E78"/>
    <w:rsid w:val="006F0EEE"/>
    <w:rsid w:val="006F0F07"/>
    <w:rsid w:val="006F0F29"/>
    <w:rsid w:val="006F0F34"/>
    <w:rsid w:val="006F0F93"/>
    <w:rsid w:val="006F0FB7"/>
    <w:rsid w:val="006F0FC8"/>
    <w:rsid w:val="006F0FD2"/>
    <w:rsid w:val="006F0FD4"/>
    <w:rsid w:val="006F0FE5"/>
    <w:rsid w:val="006F1032"/>
    <w:rsid w:val="006F10DF"/>
    <w:rsid w:val="006F10E0"/>
    <w:rsid w:val="006F1109"/>
    <w:rsid w:val="006F1198"/>
    <w:rsid w:val="006F1202"/>
    <w:rsid w:val="006F1238"/>
    <w:rsid w:val="006F123C"/>
    <w:rsid w:val="006F1240"/>
    <w:rsid w:val="006F1249"/>
    <w:rsid w:val="006F1285"/>
    <w:rsid w:val="006F12BC"/>
    <w:rsid w:val="006F12C5"/>
    <w:rsid w:val="006F12CC"/>
    <w:rsid w:val="006F12F6"/>
    <w:rsid w:val="006F1316"/>
    <w:rsid w:val="006F1367"/>
    <w:rsid w:val="006F13A3"/>
    <w:rsid w:val="006F141D"/>
    <w:rsid w:val="006F1480"/>
    <w:rsid w:val="006F14DB"/>
    <w:rsid w:val="006F1500"/>
    <w:rsid w:val="006F1505"/>
    <w:rsid w:val="006F1548"/>
    <w:rsid w:val="006F1561"/>
    <w:rsid w:val="006F157D"/>
    <w:rsid w:val="006F1584"/>
    <w:rsid w:val="006F15A6"/>
    <w:rsid w:val="006F15BC"/>
    <w:rsid w:val="006F15E6"/>
    <w:rsid w:val="006F1621"/>
    <w:rsid w:val="006F163F"/>
    <w:rsid w:val="006F1653"/>
    <w:rsid w:val="006F1661"/>
    <w:rsid w:val="006F1684"/>
    <w:rsid w:val="006F168A"/>
    <w:rsid w:val="006F16AB"/>
    <w:rsid w:val="006F16BE"/>
    <w:rsid w:val="006F176E"/>
    <w:rsid w:val="006F1770"/>
    <w:rsid w:val="006F177C"/>
    <w:rsid w:val="006F17BB"/>
    <w:rsid w:val="006F17BD"/>
    <w:rsid w:val="006F17F4"/>
    <w:rsid w:val="006F1807"/>
    <w:rsid w:val="006F1837"/>
    <w:rsid w:val="006F1856"/>
    <w:rsid w:val="006F185A"/>
    <w:rsid w:val="006F1877"/>
    <w:rsid w:val="006F18CA"/>
    <w:rsid w:val="006F18E5"/>
    <w:rsid w:val="006F1904"/>
    <w:rsid w:val="006F1906"/>
    <w:rsid w:val="006F1937"/>
    <w:rsid w:val="006F196A"/>
    <w:rsid w:val="006F1994"/>
    <w:rsid w:val="006F19A9"/>
    <w:rsid w:val="006F19B2"/>
    <w:rsid w:val="006F19B5"/>
    <w:rsid w:val="006F19C0"/>
    <w:rsid w:val="006F19FA"/>
    <w:rsid w:val="006F1A42"/>
    <w:rsid w:val="006F1A76"/>
    <w:rsid w:val="006F1A84"/>
    <w:rsid w:val="006F1AA4"/>
    <w:rsid w:val="006F1B4D"/>
    <w:rsid w:val="006F1B74"/>
    <w:rsid w:val="006F1BB4"/>
    <w:rsid w:val="006F1BCF"/>
    <w:rsid w:val="006F1BEA"/>
    <w:rsid w:val="006F1C00"/>
    <w:rsid w:val="006F1C13"/>
    <w:rsid w:val="006F1C62"/>
    <w:rsid w:val="006F1C69"/>
    <w:rsid w:val="006F1C70"/>
    <w:rsid w:val="006F1C7E"/>
    <w:rsid w:val="006F1C85"/>
    <w:rsid w:val="006F1CBE"/>
    <w:rsid w:val="006F1CBF"/>
    <w:rsid w:val="006F1CCF"/>
    <w:rsid w:val="006F1D27"/>
    <w:rsid w:val="006F1D74"/>
    <w:rsid w:val="006F1D7E"/>
    <w:rsid w:val="006F1D82"/>
    <w:rsid w:val="006F1DB6"/>
    <w:rsid w:val="006F1DB8"/>
    <w:rsid w:val="006F1DEF"/>
    <w:rsid w:val="006F1DFE"/>
    <w:rsid w:val="006F1E0B"/>
    <w:rsid w:val="006F1E20"/>
    <w:rsid w:val="006F1E2C"/>
    <w:rsid w:val="006F1E35"/>
    <w:rsid w:val="006F1EB1"/>
    <w:rsid w:val="006F1EB9"/>
    <w:rsid w:val="006F1ED9"/>
    <w:rsid w:val="006F1EE8"/>
    <w:rsid w:val="006F1EF5"/>
    <w:rsid w:val="006F1F15"/>
    <w:rsid w:val="006F1F26"/>
    <w:rsid w:val="006F1F74"/>
    <w:rsid w:val="006F1F76"/>
    <w:rsid w:val="006F1FC3"/>
    <w:rsid w:val="006F1FD9"/>
    <w:rsid w:val="006F1FDE"/>
    <w:rsid w:val="006F1FDF"/>
    <w:rsid w:val="006F2012"/>
    <w:rsid w:val="006F204B"/>
    <w:rsid w:val="006F204D"/>
    <w:rsid w:val="006F206E"/>
    <w:rsid w:val="006F207D"/>
    <w:rsid w:val="006F2138"/>
    <w:rsid w:val="006F2140"/>
    <w:rsid w:val="006F215A"/>
    <w:rsid w:val="006F215C"/>
    <w:rsid w:val="006F219F"/>
    <w:rsid w:val="006F21E3"/>
    <w:rsid w:val="006F2201"/>
    <w:rsid w:val="006F2239"/>
    <w:rsid w:val="006F223A"/>
    <w:rsid w:val="006F2250"/>
    <w:rsid w:val="006F2256"/>
    <w:rsid w:val="006F22A1"/>
    <w:rsid w:val="006F22BC"/>
    <w:rsid w:val="006F22EA"/>
    <w:rsid w:val="006F233E"/>
    <w:rsid w:val="006F2356"/>
    <w:rsid w:val="006F2357"/>
    <w:rsid w:val="006F2384"/>
    <w:rsid w:val="006F2388"/>
    <w:rsid w:val="006F2390"/>
    <w:rsid w:val="006F2393"/>
    <w:rsid w:val="006F239B"/>
    <w:rsid w:val="006F239E"/>
    <w:rsid w:val="006F23A8"/>
    <w:rsid w:val="006F23BE"/>
    <w:rsid w:val="006F23FD"/>
    <w:rsid w:val="006F2401"/>
    <w:rsid w:val="006F2423"/>
    <w:rsid w:val="006F2446"/>
    <w:rsid w:val="006F247F"/>
    <w:rsid w:val="006F248B"/>
    <w:rsid w:val="006F24A7"/>
    <w:rsid w:val="006F24DB"/>
    <w:rsid w:val="006F24E8"/>
    <w:rsid w:val="006F24F7"/>
    <w:rsid w:val="006F251E"/>
    <w:rsid w:val="006F2527"/>
    <w:rsid w:val="006F258D"/>
    <w:rsid w:val="006F25CF"/>
    <w:rsid w:val="006F25FE"/>
    <w:rsid w:val="006F262C"/>
    <w:rsid w:val="006F2660"/>
    <w:rsid w:val="006F2663"/>
    <w:rsid w:val="006F266C"/>
    <w:rsid w:val="006F268F"/>
    <w:rsid w:val="006F26A9"/>
    <w:rsid w:val="006F26B1"/>
    <w:rsid w:val="006F2788"/>
    <w:rsid w:val="006F27D5"/>
    <w:rsid w:val="006F27EB"/>
    <w:rsid w:val="006F27F9"/>
    <w:rsid w:val="006F2858"/>
    <w:rsid w:val="006F28B8"/>
    <w:rsid w:val="006F2927"/>
    <w:rsid w:val="006F2947"/>
    <w:rsid w:val="006F2956"/>
    <w:rsid w:val="006F2970"/>
    <w:rsid w:val="006F29CF"/>
    <w:rsid w:val="006F29FB"/>
    <w:rsid w:val="006F2A47"/>
    <w:rsid w:val="006F2A9D"/>
    <w:rsid w:val="006F2AE6"/>
    <w:rsid w:val="006F2AF4"/>
    <w:rsid w:val="006F2AF5"/>
    <w:rsid w:val="006F2AFF"/>
    <w:rsid w:val="006F2B09"/>
    <w:rsid w:val="006F2BDE"/>
    <w:rsid w:val="006F2BE7"/>
    <w:rsid w:val="006F2C8B"/>
    <w:rsid w:val="006F2C95"/>
    <w:rsid w:val="006F2CF9"/>
    <w:rsid w:val="006F2D28"/>
    <w:rsid w:val="006F2D53"/>
    <w:rsid w:val="006F2DA8"/>
    <w:rsid w:val="006F2DC3"/>
    <w:rsid w:val="006F2DD5"/>
    <w:rsid w:val="006F2DE6"/>
    <w:rsid w:val="006F2DE9"/>
    <w:rsid w:val="006F2DED"/>
    <w:rsid w:val="006F2E11"/>
    <w:rsid w:val="006F2E2B"/>
    <w:rsid w:val="006F2E40"/>
    <w:rsid w:val="006F2E65"/>
    <w:rsid w:val="006F2EB0"/>
    <w:rsid w:val="006F2EFC"/>
    <w:rsid w:val="006F2F03"/>
    <w:rsid w:val="006F2F3E"/>
    <w:rsid w:val="006F2F4C"/>
    <w:rsid w:val="006F2FA4"/>
    <w:rsid w:val="006F2FBA"/>
    <w:rsid w:val="006F2FC8"/>
    <w:rsid w:val="006F2FF6"/>
    <w:rsid w:val="006F308B"/>
    <w:rsid w:val="006F309D"/>
    <w:rsid w:val="006F312A"/>
    <w:rsid w:val="006F312F"/>
    <w:rsid w:val="006F3137"/>
    <w:rsid w:val="006F315D"/>
    <w:rsid w:val="006F3179"/>
    <w:rsid w:val="006F319B"/>
    <w:rsid w:val="006F31B5"/>
    <w:rsid w:val="006F320B"/>
    <w:rsid w:val="006F3266"/>
    <w:rsid w:val="006F32C5"/>
    <w:rsid w:val="006F32ED"/>
    <w:rsid w:val="006F333F"/>
    <w:rsid w:val="006F3343"/>
    <w:rsid w:val="006F334E"/>
    <w:rsid w:val="006F3362"/>
    <w:rsid w:val="006F33AF"/>
    <w:rsid w:val="006F33B4"/>
    <w:rsid w:val="006F33D6"/>
    <w:rsid w:val="006F33E6"/>
    <w:rsid w:val="006F340D"/>
    <w:rsid w:val="006F342E"/>
    <w:rsid w:val="006F344D"/>
    <w:rsid w:val="006F345D"/>
    <w:rsid w:val="006F349A"/>
    <w:rsid w:val="006F349F"/>
    <w:rsid w:val="006F34BF"/>
    <w:rsid w:val="006F34EA"/>
    <w:rsid w:val="006F3506"/>
    <w:rsid w:val="006F3528"/>
    <w:rsid w:val="006F352D"/>
    <w:rsid w:val="006F353B"/>
    <w:rsid w:val="006F3549"/>
    <w:rsid w:val="006F357E"/>
    <w:rsid w:val="006F35A6"/>
    <w:rsid w:val="006F35A9"/>
    <w:rsid w:val="006F35AB"/>
    <w:rsid w:val="006F35B9"/>
    <w:rsid w:val="006F35C4"/>
    <w:rsid w:val="006F35D7"/>
    <w:rsid w:val="006F35E0"/>
    <w:rsid w:val="006F35ED"/>
    <w:rsid w:val="006F3666"/>
    <w:rsid w:val="006F3669"/>
    <w:rsid w:val="006F3678"/>
    <w:rsid w:val="006F3686"/>
    <w:rsid w:val="006F36C3"/>
    <w:rsid w:val="006F36D6"/>
    <w:rsid w:val="006F36DD"/>
    <w:rsid w:val="006F36DE"/>
    <w:rsid w:val="006F3729"/>
    <w:rsid w:val="006F3733"/>
    <w:rsid w:val="006F373A"/>
    <w:rsid w:val="006F376B"/>
    <w:rsid w:val="006F3774"/>
    <w:rsid w:val="006F3783"/>
    <w:rsid w:val="006F378C"/>
    <w:rsid w:val="006F379A"/>
    <w:rsid w:val="006F37AA"/>
    <w:rsid w:val="006F37BB"/>
    <w:rsid w:val="006F37F3"/>
    <w:rsid w:val="006F383D"/>
    <w:rsid w:val="006F3898"/>
    <w:rsid w:val="006F3906"/>
    <w:rsid w:val="006F3909"/>
    <w:rsid w:val="006F3953"/>
    <w:rsid w:val="006F3959"/>
    <w:rsid w:val="006F3967"/>
    <w:rsid w:val="006F3A09"/>
    <w:rsid w:val="006F3A0A"/>
    <w:rsid w:val="006F3A2B"/>
    <w:rsid w:val="006F3A35"/>
    <w:rsid w:val="006F3A3E"/>
    <w:rsid w:val="006F3A56"/>
    <w:rsid w:val="006F3A7B"/>
    <w:rsid w:val="006F3AB0"/>
    <w:rsid w:val="006F3B40"/>
    <w:rsid w:val="006F3B66"/>
    <w:rsid w:val="006F3BA2"/>
    <w:rsid w:val="006F3BA5"/>
    <w:rsid w:val="006F3BB4"/>
    <w:rsid w:val="006F3BC7"/>
    <w:rsid w:val="006F3BE7"/>
    <w:rsid w:val="006F3BFA"/>
    <w:rsid w:val="006F3C16"/>
    <w:rsid w:val="006F3C4A"/>
    <w:rsid w:val="006F3C7F"/>
    <w:rsid w:val="006F3D02"/>
    <w:rsid w:val="006F3D14"/>
    <w:rsid w:val="006F3D3B"/>
    <w:rsid w:val="006F3D9A"/>
    <w:rsid w:val="006F3DC8"/>
    <w:rsid w:val="006F3DD6"/>
    <w:rsid w:val="006F3DDA"/>
    <w:rsid w:val="006F3DF5"/>
    <w:rsid w:val="006F3E1E"/>
    <w:rsid w:val="006F3E2B"/>
    <w:rsid w:val="006F3E44"/>
    <w:rsid w:val="006F3E6A"/>
    <w:rsid w:val="006F3E6D"/>
    <w:rsid w:val="006F3E78"/>
    <w:rsid w:val="006F3EEF"/>
    <w:rsid w:val="006F3F07"/>
    <w:rsid w:val="006F3F2F"/>
    <w:rsid w:val="006F3FC9"/>
    <w:rsid w:val="006F4008"/>
    <w:rsid w:val="006F4024"/>
    <w:rsid w:val="006F4066"/>
    <w:rsid w:val="006F40F2"/>
    <w:rsid w:val="006F40F8"/>
    <w:rsid w:val="006F410F"/>
    <w:rsid w:val="006F4126"/>
    <w:rsid w:val="006F412A"/>
    <w:rsid w:val="006F4151"/>
    <w:rsid w:val="006F419A"/>
    <w:rsid w:val="006F41A8"/>
    <w:rsid w:val="006F41C8"/>
    <w:rsid w:val="006F41E6"/>
    <w:rsid w:val="006F41F9"/>
    <w:rsid w:val="006F4201"/>
    <w:rsid w:val="006F421C"/>
    <w:rsid w:val="006F422E"/>
    <w:rsid w:val="006F4267"/>
    <w:rsid w:val="006F4292"/>
    <w:rsid w:val="006F4338"/>
    <w:rsid w:val="006F433C"/>
    <w:rsid w:val="006F4398"/>
    <w:rsid w:val="006F4419"/>
    <w:rsid w:val="006F4441"/>
    <w:rsid w:val="006F445C"/>
    <w:rsid w:val="006F44D0"/>
    <w:rsid w:val="006F44E7"/>
    <w:rsid w:val="006F4527"/>
    <w:rsid w:val="006F45A3"/>
    <w:rsid w:val="006F45F7"/>
    <w:rsid w:val="006F4652"/>
    <w:rsid w:val="006F4661"/>
    <w:rsid w:val="006F4671"/>
    <w:rsid w:val="006F4681"/>
    <w:rsid w:val="006F4686"/>
    <w:rsid w:val="006F46D1"/>
    <w:rsid w:val="006F4706"/>
    <w:rsid w:val="006F4709"/>
    <w:rsid w:val="006F471A"/>
    <w:rsid w:val="006F47A6"/>
    <w:rsid w:val="006F47AC"/>
    <w:rsid w:val="006F47C9"/>
    <w:rsid w:val="006F47D5"/>
    <w:rsid w:val="006F4816"/>
    <w:rsid w:val="006F4875"/>
    <w:rsid w:val="006F4883"/>
    <w:rsid w:val="006F48A7"/>
    <w:rsid w:val="006F48FE"/>
    <w:rsid w:val="006F4907"/>
    <w:rsid w:val="006F4924"/>
    <w:rsid w:val="006F4953"/>
    <w:rsid w:val="006F49A0"/>
    <w:rsid w:val="006F49DD"/>
    <w:rsid w:val="006F4A5E"/>
    <w:rsid w:val="006F4A69"/>
    <w:rsid w:val="006F4AA1"/>
    <w:rsid w:val="006F4AB4"/>
    <w:rsid w:val="006F4AD9"/>
    <w:rsid w:val="006F4AE3"/>
    <w:rsid w:val="006F4B2D"/>
    <w:rsid w:val="006F4B63"/>
    <w:rsid w:val="006F4B74"/>
    <w:rsid w:val="006F4BCC"/>
    <w:rsid w:val="006F4C3D"/>
    <w:rsid w:val="006F4C7C"/>
    <w:rsid w:val="006F4C80"/>
    <w:rsid w:val="006F4CD4"/>
    <w:rsid w:val="006F4CD6"/>
    <w:rsid w:val="006F4D05"/>
    <w:rsid w:val="006F4D93"/>
    <w:rsid w:val="006F4DA9"/>
    <w:rsid w:val="006F4DFA"/>
    <w:rsid w:val="006F4E34"/>
    <w:rsid w:val="006F4E42"/>
    <w:rsid w:val="006F4E56"/>
    <w:rsid w:val="006F4E5A"/>
    <w:rsid w:val="006F4E87"/>
    <w:rsid w:val="006F4E96"/>
    <w:rsid w:val="006F4E9B"/>
    <w:rsid w:val="006F4EBC"/>
    <w:rsid w:val="006F4EC7"/>
    <w:rsid w:val="006F4ED0"/>
    <w:rsid w:val="006F4EF3"/>
    <w:rsid w:val="006F4EF5"/>
    <w:rsid w:val="006F4F13"/>
    <w:rsid w:val="006F4F19"/>
    <w:rsid w:val="006F4F70"/>
    <w:rsid w:val="006F4F72"/>
    <w:rsid w:val="006F4FCC"/>
    <w:rsid w:val="006F500C"/>
    <w:rsid w:val="006F5058"/>
    <w:rsid w:val="006F507C"/>
    <w:rsid w:val="006F5096"/>
    <w:rsid w:val="006F50A4"/>
    <w:rsid w:val="006F50C1"/>
    <w:rsid w:val="006F50ED"/>
    <w:rsid w:val="006F51BA"/>
    <w:rsid w:val="006F51F5"/>
    <w:rsid w:val="006F5274"/>
    <w:rsid w:val="006F528E"/>
    <w:rsid w:val="006F52C1"/>
    <w:rsid w:val="006F52DF"/>
    <w:rsid w:val="006F52FD"/>
    <w:rsid w:val="006F530C"/>
    <w:rsid w:val="006F5320"/>
    <w:rsid w:val="006F5325"/>
    <w:rsid w:val="006F532E"/>
    <w:rsid w:val="006F5345"/>
    <w:rsid w:val="006F534B"/>
    <w:rsid w:val="006F5397"/>
    <w:rsid w:val="006F539A"/>
    <w:rsid w:val="006F539E"/>
    <w:rsid w:val="006F5405"/>
    <w:rsid w:val="006F5408"/>
    <w:rsid w:val="006F5421"/>
    <w:rsid w:val="006F5479"/>
    <w:rsid w:val="006F54B8"/>
    <w:rsid w:val="006F54D0"/>
    <w:rsid w:val="006F54E3"/>
    <w:rsid w:val="006F54F4"/>
    <w:rsid w:val="006F5519"/>
    <w:rsid w:val="006F55A2"/>
    <w:rsid w:val="006F55F1"/>
    <w:rsid w:val="006F55F4"/>
    <w:rsid w:val="006F5609"/>
    <w:rsid w:val="006F5616"/>
    <w:rsid w:val="006F564C"/>
    <w:rsid w:val="006F5677"/>
    <w:rsid w:val="006F5696"/>
    <w:rsid w:val="006F569F"/>
    <w:rsid w:val="006F56D6"/>
    <w:rsid w:val="006F56EE"/>
    <w:rsid w:val="006F57A8"/>
    <w:rsid w:val="006F57C2"/>
    <w:rsid w:val="006F580F"/>
    <w:rsid w:val="006F585A"/>
    <w:rsid w:val="006F58AE"/>
    <w:rsid w:val="006F58AF"/>
    <w:rsid w:val="006F58DF"/>
    <w:rsid w:val="006F5912"/>
    <w:rsid w:val="006F5917"/>
    <w:rsid w:val="006F594E"/>
    <w:rsid w:val="006F595D"/>
    <w:rsid w:val="006F595F"/>
    <w:rsid w:val="006F5961"/>
    <w:rsid w:val="006F5967"/>
    <w:rsid w:val="006F597A"/>
    <w:rsid w:val="006F59FA"/>
    <w:rsid w:val="006F5A57"/>
    <w:rsid w:val="006F5A83"/>
    <w:rsid w:val="006F5A84"/>
    <w:rsid w:val="006F5AB5"/>
    <w:rsid w:val="006F5B02"/>
    <w:rsid w:val="006F5B06"/>
    <w:rsid w:val="006F5B49"/>
    <w:rsid w:val="006F5B4E"/>
    <w:rsid w:val="006F5BCC"/>
    <w:rsid w:val="006F5BD0"/>
    <w:rsid w:val="006F5BD6"/>
    <w:rsid w:val="006F5BD8"/>
    <w:rsid w:val="006F5C13"/>
    <w:rsid w:val="006F5C5D"/>
    <w:rsid w:val="006F5C91"/>
    <w:rsid w:val="006F5C93"/>
    <w:rsid w:val="006F5CCA"/>
    <w:rsid w:val="006F5CEB"/>
    <w:rsid w:val="006F5CEC"/>
    <w:rsid w:val="006F5D03"/>
    <w:rsid w:val="006F5D56"/>
    <w:rsid w:val="006F5DA0"/>
    <w:rsid w:val="006F5DB3"/>
    <w:rsid w:val="006F5DB4"/>
    <w:rsid w:val="006F5DBF"/>
    <w:rsid w:val="006F5DC7"/>
    <w:rsid w:val="006F5DCC"/>
    <w:rsid w:val="006F5DDE"/>
    <w:rsid w:val="006F5E32"/>
    <w:rsid w:val="006F5E6A"/>
    <w:rsid w:val="006F5E85"/>
    <w:rsid w:val="006F5ED5"/>
    <w:rsid w:val="006F5F16"/>
    <w:rsid w:val="006F5F1D"/>
    <w:rsid w:val="006F5F53"/>
    <w:rsid w:val="006F5F5E"/>
    <w:rsid w:val="006F5F71"/>
    <w:rsid w:val="006F5FA0"/>
    <w:rsid w:val="006F5FED"/>
    <w:rsid w:val="006F6011"/>
    <w:rsid w:val="006F601D"/>
    <w:rsid w:val="006F6064"/>
    <w:rsid w:val="006F606C"/>
    <w:rsid w:val="006F6078"/>
    <w:rsid w:val="006F608B"/>
    <w:rsid w:val="006F60A4"/>
    <w:rsid w:val="006F60EF"/>
    <w:rsid w:val="006F6103"/>
    <w:rsid w:val="006F613B"/>
    <w:rsid w:val="006F614E"/>
    <w:rsid w:val="006F6158"/>
    <w:rsid w:val="006F6170"/>
    <w:rsid w:val="006F6174"/>
    <w:rsid w:val="006F617A"/>
    <w:rsid w:val="006F61A2"/>
    <w:rsid w:val="006F61AF"/>
    <w:rsid w:val="006F61B6"/>
    <w:rsid w:val="006F61D5"/>
    <w:rsid w:val="006F61E4"/>
    <w:rsid w:val="006F6202"/>
    <w:rsid w:val="006F624C"/>
    <w:rsid w:val="006F6261"/>
    <w:rsid w:val="006F6273"/>
    <w:rsid w:val="006F62BB"/>
    <w:rsid w:val="006F62C3"/>
    <w:rsid w:val="006F62C6"/>
    <w:rsid w:val="006F62DC"/>
    <w:rsid w:val="006F62EE"/>
    <w:rsid w:val="006F6348"/>
    <w:rsid w:val="006F6360"/>
    <w:rsid w:val="006F6370"/>
    <w:rsid w:val="006F6395"/>
    <w:rsid w:val="006F639B"/>
    <w:rsid w:val="006F63A5"/>
    <w:rsid w:val="006F63AB"/>
    <w:rsid w:val="006F63C5"/>
    <w:rsid w:val="006F6471"/>
    <w:rsid w:val="006F6474"/>
    <w:rsid w:val="006F6481"/>
    <w:rsid w:val="006F64D4"/>
    <w:rsid w:val="006F64D8"/>
    <w:rsid w:val="006F6502"/>
    <w:rsid w:val="006F6537"/>
    <w:rsid w:val="006F6554"/>
    <w:rsid w:val="006F6577"/>
    <w:rsid w:val="006F6597"/>
    <w:rsid w:val="006F667C"/>
    <w:rsid w:val="006F6686"/>
    <w:rsid w:val="006F66EC"/>
    <w:rsid w:val="006F6730"/>
    <w:rsid w:val="006F6742"/>
    <w:rsid w:val="006F674E"/>
    <w:rsid w:val="006F67A6"/>
    <w:rsid w:val="006F67AE"/>
    <w:rsid w:val="006F67B2"/>
    <w:rsid w:val="006F67D7"/>
    <w:rsid w:val="006F67FC"/>
    <w:rsid w:val="006F6808"/>
    <w:rsid w:val="006F6832"/>
    <w:rsid w:val="006F6836"/>
    <w:rsid w:val="006F68C4"/>
    <w:rsid w:val="006F6953"/>
    <w:rsid w:val="006F6959"/>
    <w:rsid w:val="006F69A0"/>
    <w:rsid w:val="006F69B8"/>
    <w:rsid w:val="006F69ED"/>
    <w:rsid w:val="006F69EF"/>
    <w:rsid w:val="006F6A03"/>
    <w:rsid w:val="006F6A37"/>
    <w:rsid w:val="006F6A3A"/>
    <w:rsid w:val="006F6A74"/>
    <w:rsid w:val="006F6ADE"/>
    <w:rsid w:val="006F6AF8"/>
    <w:rsid w:val="006F6B6D"/>
    <w:rsid w:val="006F6B6E"/>
    <w:rsid w:val="006F6B76"/>
    <w:rsid w:val="006F6B91"/>
    <w:rsid w:val="006F6BD1"/>
    <w:rsid w:val="006F6BFF"/>
    <w:rsid w:val="006F6C1E"/>
    <w:rsid w:val="006F6C34"/>
    <w:rsid w:val="006F6C4E"/>
    <w:rsid w:val="006F6C8F"/>
    <w:rsid w:val="006F6C98"/>
    <w:rsid w:val="006F6CA1"/>
    <w:rsid w:val="006F6CB8"/>
    <w:rsid w:val="006F6CE1"/>
    <w:rsid w:val="006F6D20"/>
    <w:rsid w:val="006F6D29"/>
    <w:rsid w:val="006F6DBD"/>
    <w:rsid w:val="006F6DC4"/>
    <w:rsid w:val="006F6E24"/>
    <w:rsid w:val="006F6E31"/>
    <w:rsid w:val="006F6E53"/>
    <w:rsid w:val="006F6E7C"/>
    <w:rsid w:val="006F6EA9"/>
    <w:rsid w:val="006F6EAD"/>
    <w:rsid w:val="006F6EBA"/>
    <w:rsid w:val="006F6EBD"/>
    <w:rsid w:val="006F6F07"/>
    <w:rsid w:val="006F6F3E"/>
    <w:rsid w:val="006F6F49"/>
    <w:rsid w:val="006F6F70"/>
    <w:rsid w:val="006F6FC3"/>
    <w:rsid w:val="006F6FC4"/>
    <w:rsid w:val="006F6FF8"/>
    <w:rsid w:val="006F706C"/>
    <w:rsid w:val="006F7081"/>
    <w:rsid w:val="006F70F1"/>
    <w:rsid w:val="006F70F7"/>
    <w:rsid w:val="006F7115"/>
    <w:rsid w:val="006F7153"/>
    <w:rsid w:val="006F71B8"/>
    <w:rsid w:val="006F71BA"/>
    <w:rsid w:val="006F71E5"/>
    <w:rsid w:val="006F7202"/>
    <w:rsid w:val="006F7232"/>
    <w:rsid w:val="006F7264"/>
    <w:rsid w:val="006F7271"/>
    <w:rsid w:val="006F7279"/>
    <w:rsid w:val="006F7299"/>
    <w:rsid w:val="006F72A8"/>
    <w:rsid w:val="006F72B8"/>
    <w:rsid w:val="006F72C2"/>
    <w:rsid w:val="006F72D2"/>
    <w:rsid w:val="006F72E1"/>
    <w:rsid w:val="006F7338"/>
    <w:rsid w:val="006F7346"/>
    <w:rsid w:val="006F73AB"/>
    <w:rsid w:val="006F73B1"/>
    <w:rsid w:val="006F73D0"/>
    <w:rsid w:val="006F741C"/>
    <w:rsid w:val="006F7428"/>
    <w:rsid w:val="006F745D"/>
    <w:rsid w:val="006F7467"/>
    <w:rsid w:val="006F7479"/>
    <w:rsid w:val="006F748F"/>
    <w:rsid w:val="006F749A"/>
    <w:rsid w:val="006F74CD"/>
    <w:rsid w:val="006F74FC"/>
    <w:rsid w:val="006F758C"/>
    <w:rsid w:val="006F75AD"/>
    <w:rsid w:val="006F75B2"/>
    <w:rsid w:val="006F75B4"/>
    <w:rsid w:val="006F7615"/>
    <w:rsid w:val="006F7649"/>
    <w:rsid w:val="006F7659"/>
    <w:rsid w:val="006F7672"/>
    <w:rsid w:val="006F76BD"/>
    <w:rsid w:val="006F76F1"/>
    <w:rsid w:val="006F7708"/>
    <w:rsid w:val="006F7721"/>
    <w:rsid w:val="006F7737"/>
    <w:rsid w:val="006F773B"/>
    <w:rsid w:val="006F773F"/>
    <w:rsid w:val="006F7756"/>
    <w:rsid w:val="006F7758"/>
    <w:rsid w:val="006F77BD"/>
    <w:rsid w:val="006F77DF"/>
    <w:rsid w:val="006F77E3"/>
    <w:rsid w:val="006F7835"/>
    <w:rsid w:val="006F7841"/>
    <w:rsid w:val="006F784A"/>
    <w:rsid w:val="006F7874"/>
    <w:rsid w:val="006F78A6"/>
    <w:rsid w:val="006F78B0"/>
    <w:rsid w:val="006F78B4"/>
    <w:rsid w:val="006F78B5"/>
    <w:rsid w:val="006F78CA"/>
    <w:rsid w:val="006F78CB"/>
    <w:rsid w:val="006F78DD"/>
    <w:rsid w:val="006F78EA"/>
    <w:rsid w:val="006F78FF"/>
    <w:rsid w:val="006F7909"/>
    <w:rsid w:val="006F7995"/>
    <w:rsid w:val="006F7A11"/>
    <w:rsid w:val="006F7A24"/>
    <w:rsid w:val="006F7A2A"/>
    <w:rsid w:val="006F7A4C"/>
    <w:rsid w:val="006F7AC8"/>
    <w:rsid w:val="006F7B03"/>
    <w:rsid w:val="006F7B13"/>
    <w:rsid w:val="006F7B18"/>
    <w:rsid w:val="006F7B42"/>
    <w:rsid w:val="006F7B50"/>
    <w:rsid w:val="006F7C11"/>
    <w:rsid w:val="006F7C2B"/>
    <w:rsid w:val="006F7C9E"/>
    <w:rsid w:val="006F7CB1"/>
    <w:rsid w:val="006F7D08"/>
    <w:rsid w:val="006F7D14"/>
    <w:rsid w:val="006F7D1A"/>
    <w:rsid w:val="006F7D27"/>
    <w:rsid w:val="006F7D6B"/>
    <w:rsid w:val="006F7D73"/>
    <w:rsid w:val="006F7D9B"/>
    <w:rsid w:val="006F7DA0"/>
    <w:rsid w:val="006F7DC1"/>
    <w:rsid w:val="006F7DC8"/>
    <w:rsid w:val="006F7DD8"/>
    <w:rsid w:val="006F7DE6"/>
    <w:rsid w:val="006F7DF2"/>
    <w:rsid w:val="006F7E02"/>
    <w:rsid w:val="006F7E4A"/>
    <w:rsid w:val="006F7E54"/>
    <w:rsid w:val="006F7E6D"/>
    <w:rsid w:val="006F7E9D"/>
    <w:rsid w:val="006F7EAD"/>
    <w:rsid w:val="006F7F1D"/>
    <w:rsid w:val="006F7F91"/>
    <w:rsid w:val="006F7FC2"/>
    <w:rsid w:val="006F7FF5"/>
    <w:rsid w:val="00700009"/>
    <w:rsid w:val="007000DD"/>
    <w:rsid w:val="007000DE"/>
    <w:rsid w:val="00700112"/>
    <w:rsid w:val="007001A8"/>
    <w:rsid w:val="007001C5"/>
    <w:rsid w:val="007001E1"/>
    <w:rsid w:val="0070020B"/>
    <w:rsid w:val="0070022F"/>
    <w:rsid w:val="007002BE"/>
    <w:rsid w:val="007002E0"/>
    <w:rsid w:val="007002EB"/>
    <w:rsid w:val="00700335"/>
    <w:rsid w:val="00700342"/>
    <w:rsid w:val="007003FA"/>
    <w:rsid w:val="00700405"/>
    <w:rsid w:val="00700441"/>
    <w:rsid w:val="0070048E"/>
    <w:rsid w:val="007004C2"/>
    <w:rsid w:val="007004C5"/>
    <w:rsid w:val="007004C8"/>
    <w:rsid w:val="0070052B"/>
    <w:rsid w:val="00700534"/>
    <w:rsid w:val="0070055C"/>
    <w:rsid w:val="00700562"/>
    <w:rsid w:val="00700587"/>
    <w:rsid w:val="0070058A"/>
    <w:rsid w:val="007005BF"/>
    <w:rsid w:val="007005D5"/>
    <w:rsid w:val="007005DD"/>
    <w:rsid w:val="00700608"/>
    <w:rsid w:val="0070062D"/>
    <w:rsid w:val="0070062E"/>
    <w:rsid w:val="00700638"/>
    <w:rsid w:val="00700653"/>
    <w:rsid w:val="0070065D"/>
    <w:rsid w:val="00700695"/>
    <w:rsid w:val="007006B6"/>
    <w:rsid w:val="00700747"/>
    <w:rsid w:val="0070074B"/>
    <w:rsid w:val="00700757"/>
    <w:rsid w:val="0070078D"/>
    <w:rsid w:val="007007C9"/>
    <w:rsid w:val="007007E5"/>
    <w:rsid w:val="0070081C"/>
    <w:rsid w:val="0070083C"/>
    <w:rsid w:val="0070085E"/>
    <w:rsid w:val="00700878"/>
    <w:rsid w:val="0070087A"/>
    <w:rsid w:val="0070088B"/>
    <w:rsid w:val="00700890"/>
    <w:rsid w:val="00700899"/>
    <w:rsid w:val="0070094A"/>
    <w:rsid w:val="0070094E"/>
    <w:rsid w:val="00700951"/>
    <w:rsid w:val="00700979"/>
    <w:rsid w:val="00700993"/>
    <w:rsid w:val="007009D6"/>
    <w:rsid w:val="007009EA"/>
    <w:rsid w:val="007009F3"/>
    <w:rsid w:val="00700A0B"/>
    <w:rsid w:val="00700A2F"/>
    <w:rsid w:val="00700A31"/>
    <w:rsid w:val="00700A38"/>
    <w:rsid w:val="00700A80"/>
    <w:rsid w:val="00700A87"/>
    <w:rsid w:val="00700A9A"/>
    <w:rsid w:val="00700AA3"/>
    <w:rsid w:val="00700AC8"/>
    <w:rsid w:val="00700AD7"/>
    <w:rsid w:val="00700AF9"/>
    <w:rsid w:val="00700B30"/>
    <w:rsid w:val="00700C07"/>
    <w:rsid w:val="00700C0B"/>
    <w:rsid w:val="00700C45"/>
    <w:rsid w:val="00700C52"/>
    <w:rsid w:val="00700C62"/>
    <w:rsid w:val="00700C7A"/>
    <w:rsid w:val="00700C7F"/>
    <w:rsid w:val="00700C81"/>
    <w:rsid w:val="00700CFE"/>
    <w:rsid w:val="00700D10"/>
    <w:rsid w:val="00700D63"/>
    <w:rsid w:val="00700D9A"/>
    <w:rsid w:val="00700DB9"/>
    <w:rsid w:val="00700DD7"/>
    <w:rsid w:val="00700DE7"/>
    <w:rsid w:val="00700E80"/>
    <w:rsid w:val="00700EA4"/>
    <w:rsid w:val="00700EAF"/>
    <w:rsid w:val="00700EE7"/>
    <w:rsid w:val="00700F20"/>
    <w:rsid w:val="00700F21"/>
    <w:rsid w:val="00700F2A"/>
    <w:rsid w:val="00700F6E"/>
    <w:rsid w:val="00700F74"/>
    <w:rsid w:val="00700FA3"/>
    <w:rsid w:val="00700FF3"/>
    <w:rsid w:val="0070101E"/>
    <w:rsid w:val="00701069"/>
    <w:rsid w:val="007010C8"/>
    <w:rsid w:val="007010D5"/>
    <w:rsid w:val="007010E7"/>
    <w:rsid w:val="007010F2"/>
    <w:rsid w:val="00701126"/>
    <w:rsid w:val="00701149"/>
    <w:rsid w:val="00701184"/>
    <w:rsid w:val="007011EC"/>
    <w:rsid w:val="007011F1"/>
    <w:rsid w:val="007011F9"/>
    <w:rsid w:val="00701204"/>
    <w:rsid w:val="00701216"/>
    <w:rsid w:val="00701218"/>
    <w:rsid w:val="0070127E"/>
    <w:rsid w:val="007012CA"/>
    <w:rsid w:val="007012D7"/>
    <w:rsid w:val="0070133F"/>
    <w:rsid w:val="00701399"/>
    <w:rsid w:val="00701417"/>
    <w:rsid w:val="00701464"/>
    <w:rsid w:val="00701489"/>
    <w:rsid w:val="007014C3"/>
    <w:rsid w:val="007014D3"/>
    <w:rsid w:val="007014F0"/>
    <w:rsid w:val="0070156D"/>
    <w:rsid w:val="007015DD"/>
    <w:rsid w:val="00701607"/>
    <w:rsid w:val="0070166D"/>
    <w:rsid w:val="00701671"/>
    <w:rsid w:val="007016E4"/>
    <w:rsid w:val="00701715"/>
    <w:rsid w:val="0070171D"/>
    <w:rsid w:val="0070172C"/>
    <w:rsid w:val="00701731"/>
    <w:rsid w:val="0070174C"/>
    <w:rsid w:val="00701805"/>
    <w:rsid w:val="0070181D"/>
    <w:rsid w:val="00701821"/>
    <w:rsid w:val="00701879"/>
    <w:rsid w:val="007018A7"/>
    <w:rsid w:val="0070192E"/>
    <w:rsid w:val="00701934"/>
    <w:rsid w:val="0070193C"/>
    <w:rsid w:val="0070195E"/>
    <w:rsid w:val="007019C8"/>
    <w:rsid w:val="00701A01"/>
    <w:rsid w:val="00701A1E"/>
    <w:rsid w:val="00701A31"/>
    <w:rsid w:val="00701A5D"/>
    <w:rsid w:val="00701A86"/>
    <w:rsid w:val="00701AA7"/>
    <w:rsid w:val="00701B03"/>
    <w:rsid w:val="00701B24"/>
    <w:rsid w:val="00701B41"/>
    <w:rsid w:val="00701B66"/>
    <w:rsid w:val="00701B6B"/>
    <w:rsid w:val="00701B8B"/>
    <w:rsid w:val="00701BB8"/>
    <w:rsid w:val="00701BE9"/>
    <w:rsid w:val="00701BF8"/>
    <w:rsid w:val="00701C53"/>
    <w:rsid w:val="00701C90"/>
    <w:rsid w:val="00701C95"/>
    <w:rsid w:val="00701CCF"/>
    <w:rsid w:val="00701CD7"/>
    <w:rsid w:val="00701D15"/>
    <w:rsid w:val="00701D3B"/>
    <w:rsid w:val="00701D50"/>
    <w:rsid w:val="00701D92"/>
    <w:rsid w:val="00701D96"/>
    <w:rsid w:val="00701D99"/>
    <w:rsid w:val="00701DC3"/>
    <w:rsid w:val="00701DCE"/>
    <w:rsid w:val="00701DD3"/>
    <w:rsid w:val="00701E04"/>
    <w:rsid w:val="00701E4D"/>
    <w:rsid w:val="00701E90"/>
    <w:rsid w:val="00701E99"/>
    <w:rsid w:val="00701EA9"/>
    <w:rsid w:val="00701EEC"/>
    <w:rsid w:val="00701F13"/>
    <w:rsid w:val="00701F25"/>
    <w:rsid w:val="00701FF8"/>
    <w:rsid w:val="00702017"/>
    <w:rsid w:val="00702024"/>
    <w:rsid w:val="00702059"/>
    <w:rsid w:val="00702074"/>
    <w:rsid w:val="007020A8"/>
    <w:rsid w:val="007020C7"/>
    <w:rsid w:val="007020D9"/>
    <w:rsid w:val="007020E1"/>
    <w:rsid w:val="00702108"/>
    <w:rsid w:val="0070214C"/>
    <w:rsid w:val="0070215B"/>
    <w:rsid w:val="0070218D"/>
    <w:rsid w:val="0070219E"/>
    <w:rsid w:val="007021A1"/>
    <w:rsid w:val="007021EA"/>
    <w:rsid w:val="007021F0"/>
    <w:rsid w:val="007021F8"/>
    <w:rsid w:val="00702209"/>
    <w:rsid w:val="00702223"/>
    <w:rsid w:val="00702237"/>
    <w:rsid w:val="0070224E"/>
    <w:rsid w:val="00702266"/>
    <w:rsid w:val="00702267"/>
    <w:rsid w:val="007022C0"/>
    <w:rsid w:val="007022C9"/>
    <w:rsid w:val="0070230A"/>
    <w:rsid w:val="00702341"/>
    <w:rsid w:val="0070238C"/>
    <w:rsid w:val="0070238E"/>
    <w:rsid w:val="007023AD"/>
    <w:rsid w:val="007023FE"/>
    <w:rsid w:val="0070244B"/>
    <w:rsid w:val="0070245F"/>
    <w:rsid w:val="0070246B"/>
    <w:rsid w:val="0070248C"/>
    <w:rsid w:val="007024B9"/>
    <w:rsid w:val="00702505"/>
    <w:rsid w:val="0070250C"/>
    <w:rsid w:val="0070252C"/>
    <w:rsid w:val="0070253D"/>
    <w:rsid w:val="0070256E"/>
    <w:rsid w:val="00702592"/>
    <w:rsid w:val="007025A6"/>
    <w:rsid w:val="007025B6"/>
    <w:rsid w:val="007025C6"/>
    <w:rsid w:val="00702630"/>
    <w:rsid w:val="00702656"/>
    <w:rsid w:val="00702672"/>
    <w:rsid w:val="007026C7"/>
    <w:rsid w:val="00702713"/>
    <w:rsid w:val="0070272B"/>
    <w:rsid w:val="00702756"/>
    <w:rsid w:val="00702799"/>
    <w:rsid w:val="007027D0"/>
    <w:rsid w:val="007027F4"/>
    <w:rsid w:val="0070280C"/>
    <w:rsid w:val="0070281A"/>
    <w:rsid w:val="0070281F"/>
    <w:rsid w:val="00702889"/>
    <w:rsid w:val="0070292C"/>
    <w:rsid w:val="0070293F"/>
    <w:rsid w:val="00702997"/>
    <w:rsid w:val="007029AC"/>
    <w:rsid w:val="007029C6"/>
    <w:rsid w:val="007029D8"/>
    <w:rsid w:val="007029E8"/>
    <w:rsid w:val="00702A0C"/>
    <w:rsid w:val="00702A3E"/>
    <w:rsid w:val="00702A45"/>
    <w:rsid w:val="00702A47"/>
    <w:rsid w:val="00702AA6"/>
    <w:rsid w:val="00702AB0"/>
    <w:rsid w:val="00702AC7"/>
    <w:rsid w:val="00702AD4"/>
    <w:rsid w:val="00702AE1"/>
    <w:rsid w:val="00702B3A"/>
    <w:rsid w:val="00702BB6"/>
    <w:rsid w:val="00702BEE"/>
    <w:rsid w:val="00702C0A"/>
    <w:rsid w:val="00702C43"/>
    <w:rsid w:val="00702CC9"/>
    <w:rsid w:val="00702CE1"/>
    <w:rsid w:val="00702CF7"/>
    <w:rsid w:val="00702D59"/>
    <w:rsid w:val="00702D7B"/>
    <w:rsid w:val="00702D83"/>
    <w:rsid w:val="00702D91"/>
    <w:rsid w:val="00702DD9"/>
    <w:rsid w:val="00702DE7"/>
    <w:rsid w:val="00702E2C"/>
    <w:rsid w:val="00702E6E"/>
    <w:rsid w:val="00702ED4"/>
    <w:rsid w:val="00702EDF"/>
    <w:rsid w:val="00702F2E"/>
    <w:rsid w:val="00702F41"/>
    <w:rsid w:val="00702F53"/>
    <w:rsid w:val="00702F6E"/>
    <w:rsid w:val="00702FB9"/>
    <w:rsid w:val="00702FC8"/>
    <w:rsid w:val="00703054"/>
    <w:rsid w:val="00703068"/>
    <w:rsid w:val="00703075"/>
    <w:rsid w:val="00703120"/>
    <w:rsid w:val="0070317B"/>
    <w:rsid w:val="007031B9"/>
    <w:rsid w:val="007031C9"/>
    <w:rsid w:val="0070326F"/>
    <w:rsid w:val="0070328F"/>
    <w:rsid w:val="00703298"/>
    <w:rsid w:val="007032A8"/>
    <w:rsid w:val="007032DA"/>
    <w:rsid w:val="007032E9"/>
    <w:rsid w:val="007032F3"/>
    <w:rsid w:val="007032FB"/>
    <w:rsid w:val="00703326"/>
    <w:rsid w:val="00703329"/>
    <w:rsid w:val="00703347"/>
    <w:rsid w:val="0070337D"/>
    <w:rsid w:val="0070338B"/>
    <w:rsid w:val="007033CB"/>
    <w:rsid w:val="007033EC"/>
    <w:rsid w:val="0070340C"/>
    <w:rsid w:val="00703412"/>
    <w:rsid w:val="00703428"/>
    <w:rsid w:val="0070344A"/>
    <w:rsid w:val="00703461"/>
    <w:rsid w:val="0070347A"/>
    <w:rsid w:val="0070348A"/>
    <w:rsid w:val="0070349D"/>
    <w:rsid w:val="007034C7"/>
    <w:rsid w:val="007034EF"/>
    <w:rsid w:val="0070353B"/>
    <w:rsid w:val="00703613"/>
    <w:rsid w:val="00703620"/>
    <w:rsid w:val="00703629"/>
    <w:rsid w:val="0070363D"/>
    <w:rsid w:val="00703652"/>
    <w:rsid w:val="0070366D"/>
    <w:rsid w:val="00703684"/>
    <w:rsid w:val="007036E3"/>
    <w:rsid w:val="007036E4"/>
    <w:rsid w:val="007036EB"/>
    <w:rsid w:val="0070372D"/>
    <w:rsid w:val="0070376C"/>
    <w:rsid w:val="0070377D"/>
    <w:rsid w:val="007037C0"/>
    <w:rsid w:val="007037C4"/>
    <w:rsid w:val="007037C5"/>
    <w:rsid w:val="007037E3"/>
    <w:rsid w:val="0070381C"/>
    <w:rsid w:val="0070387B"/>
    <w:rsid w:val="007038A2"/>
    <w:rsid w:val="007038B5"/>
    <w:rsid w:val="007038C4"/>
    <w:rsid w:val="007038F9"/>
    <w:rsid w:val="0070390C"/>
    <w:rsid w:val="00703976"/>
    <w:rsid w:val="0070397E"/>
    <w:rsid w:val="0070398A"/>
    <w:rsid w:val="007039A0"/>
    <w:rsid w:val="007039C7"/>
    <w:rsid w:val="007039E6"/>
    <w:rsid w:val="00703A0D"/>
    <w:rsid w:val="00703A4D"/>
    <w:rsid w:val="00703A53"/>
    <w:rsid w:val="00703A59"/>
    <w:rsid w:val="00703ADB"/>
    <w:rsid w:val="00703B14"/>
    <w:rsid w:val="00703B29"/>
    <w:rsid w:val="00703B32"/>
    <w:rsid w:val="00703B6B"/>
    <w:rsid w:val="00703B85"/>
    <w:rsid w:val="00703B8F"/>
    <w:rsid w:val="00703B92"/>
    <w:rsid w:val="00703BCC"/>
    <w:rsid w:val="00703BF8"/>
    <w:rsid w:val="00703C19"/>
    <w:rsid w:val="00703C24"/>
    <w:rsid w:val="00703C28"/>
    <w:rsid w:val="00703C2D"/>
    <w:rsid w:val="00703C47"/>
    <w:rsid w:val="00703CBC"/>
    <w:rsid w:val="00703D03"/>
    <w:rsid w:val="00703D07"/>
    <w:rsid w:val="00703D0E"/>
    <w:rsid w:val="00703D0F"/>
    <w:rsid w:val="00703D54"/>
    <w:rsid w:val="00703D57"/>
    <w:rsid w:val="00703D84"/>
    <w:rsid w:val="00703D92"/>
    <w:rsid w:val="00703E3F"/>
    <w:rsid w:val="00703E5D"/>
    <w:rsid w:val="00703E68"/>
    <w:rsid w:val="00703E97"/>
    <w:rsid w:val="00703F14"/>
    <w:rsid w:val="00703F2A"/>
    <w:rsid w:val="00703F3B"/>
    <w:rsid w:val="00703F43"/>
    <w:rsid w:val="00703F4C"/>
    <w:rsid w:val="00703F51"/>
    <w:rsid w:val="00703F96"/>
    <w:rsid w:val="00703FAA"/>
    <w:rsid w:val="00703FCC"/>
    <w:rsid w:val="00704024"/>
    <w:rsid w:val="00704057"/>
    <w:rsid w:val="0070406D"/>
    <w:rsid w:val="007040EB"/>
    <w:rsid w:val="007040F4"/>
    <w:rsid w:val="00704112"/>
    <w:rsid w:val="0070415D"/>
    <w:rsid w:val="00704162"/>
    <w:rsid w:val="0070417B"/>
    <w:rsid w:val="0070418B"/>
    <w:rsid w:val="007041C3"/>
    <w:rsid w:val="007041EA"/>
    <w:rsid w:val="0070426C"/>
    <w:rsid w:val="007042AA"/>
    <w:rsid w:val="007042C0"/>
    <w:rsid w:val="007042DB"/>
    <w:rsid w:val="007042DE"/>
    <w:rsid w:val="007042E0"/>
    <w:rsid w:val="00704317"/>
    <w:rsid w:val="00704349"/>
    <w:rsid w:val="007043EC"/>
    <w:rsid w:val="00704403"/>
    <w:rsid w:val="0070440E"/>
    <w:rsid w:val="00704436"/>
    <w:rsid w:val="0070444B"/>
    <w:rsid w:val="00704454"/>
    <w:rsid w:val="00704459"/>
    <w:rsid w:val="00704462"/>
    <w:rsid w:val="0070447A"/>
    <w:rsid w:val="007044BC"/>
    <w:rsid w:val="007044C6"/>
    <w:rsid w:val="00704501"/>
    <w:rsid w:val="00704518"/>
    <w:rsid w:val="00704532"/>
    <w:rsid w:val="00704542"/>
    <w:rsid w:val="00704545"/>
    <w:rsid w:val="00704554"/>
    <w:rsid w:val="0070456B"/>
    <w:rsid w:val="0070456E"/>
    <w:rsid w:val="0070461F"/>
    <w:rsid w:val="0070462F"/>
    <w:rsid w:val="00704673"/>
    <w:rsid w:val="0070468A"/>
    <w:rsid w:val="0070469D"/>
    <w:rsid w:val="007046E3"/>
    <w:rsid w:val="0070472D"/>
    <w:rsid w:val="0070475A"/>
    <w:rsid w:val="00704775"/>
    <w:rsid w:val="0070477A"/>
    <w:rsid w:val="00704799"/>
    <w:rsid w:val="007047B1"/>
    <w:rsid w:val="007047BB"/>
    <w:rsid w:val="007047C3"/>
    <w:rsid w:val="007047D6"/>
    <w:rsid w:val="00704811"/>
    <w:rsid w:val="00704849"/>
    <w:rsid w:val="00704850"/>
    <w:rsid w:val="00704852"/>
    <w:rsid w:val="00704862"/>
    <w:rsid w:val="00704882"/>
    <w:rsid w:val="007048FA"/>
    <w:rsid w:val="007048FE"/>
    <w:rsid w:val="00704913"/>
    <w:rsid w:val="00704957"/>
    <w:rsid w:val="00704958"/>
    <w:rsid w:val="0070495D"/>
    <w:rsid w:val="00704985"/>
    <w:rsid w:val="007049B6"/>
    <w:rsid w:val="007049D7"/>
    <w:rsid w:val="00704A60"/>
    <w:rsid w:val="00704AA8"/>
    <w:rsid w:val="00704AE5"/>
    <w:rsid w:val="00704AF7"/>
    <w:rsid w:val="00704B09"/>
    <w:rsid w:val="00704B0B"/>
    <w:rsid w:val="00704B27"/>
    <w:rsid w:val="00704B38"/>
    <w:rsid w:val="00704B5B"/>
    <w:rsid w:val="00704B77"/>
    <w:rsid w:val="00704B79"/>
    <w:rsid w:val="00704B84"/>
    <w:rsid w:val="00704BB4"/>
    <w:rsid w:val="00704BC8"/>
    <w:rsid w:val="00704BD6"/>
    <w:rsid w:val="00704BDB"/>
    <w:rsid w:val="00704BE7"/>
    <w:rsid w:val="00704C01"/>
    <w:rsid w:val="00704C37"/>
    <w:rsid w:val="00704C45"/>
    <w:rsid w:val="00704CCD"/>
    <w:rsid w:val="00704D4F"/>
    <w:rsid w:val="00704D57"/>
    <w:rsid w:val="00704DC3"/>
    <w:rsid w:val="00704DCD"/>
    <w:rsid w:val="00704DDC"/>
    <w:rsid w:val="00704DEB"/>
    <w:rsid w:val="00704E05"/>
    <w:rsid w:val="00704E51"/>
    <w:rsid w:val="00704E6F"/>
    <w:rsid w:val="00704E96"/>
    <w:rsid w:val="00704EA8"/>
    <w:rsid w:val="00704EB8"/>
    <w:rsid w:val="00704F0D"/>
    <w:rsid w:val="00704F93"/>
    <w:rsid w:val="00704FD5"/>
    <w:rsid w:val="00704FFA"/>
    <w:rsid w:val="00705001"/>
    <w:rsid w:val="00705002"/>
    <w:rsid w:val="00705050"/>
    <w:rsid w:val="0070505C"/>
    <w:rsid w:val="0070505D"/>
    <w:rsid w:val="00705062"/>
    <w:rsid w:val="00705068"/>
    <w:rsid w:val="00705070"/>
    <w:rsid w:val="007050A3"/>
    <w:rsid w:val="007050E2"/>
    <w:rsid w:val="007050F9"/>
    <w:rsid w:val="0070510C"/>
    <w:rsid w:val="0070511D"/>
    <w:rsid w:val="0070514E"/>
    <w:rsid w:val="0070516B"/>
    <w:rsid w:val="007051AE"/>
    <w:rsid w:val="007051F5"/>
    <w:rsid w:val="00705206"/>
    <w:rsid w:val="0070520A"/>
    <w:rsid w:val="007052AE"/>
    <w:rsid w:val="007052CD"/>
    <w:rsid w:val="007052E3"/>
    <w:rsid w:val="007052EE"/>
    <w:rsid w:val="0070537D"/>
    <w:rsid w:val="00705385"/>
    <w:rsid w:val="007053A8"/>
    <w:rsid w:val="007053AE"/>
    <w:rsid w:val="007053B3"/>
    <w:rsid w:val="007053C5"/>
    <w:rsid w:val="007053FE"/>
    <w:rsid w:val="0070540F"/>
    <w:rsid w:val="00705412"/>
    <w:rsid w:val="00705443"/>
    <w:rsid w:val="0070548E"/>
    <w:rsid w:val="007054DB"/>
    <w:rsid w:val="0070551F"/>
    <w:rsid w:val="00705546"/>
    <w:rsid w:val="00705553"/>
    <w:rsid w:val="007055BF"/>
    <w:rsid w:val="007055D1"/>
    <w:rsid w:val="0070563E"/>
    <w:rsid w:val="0070566A"/>
    <w:rsid w:val="00705686"/>
    <w:rsid w:val="007056CE"/>
    <w:rsid w:val="007056D4"/>
    <w:rsid w:val="00705715"/>
    <w:rsid w:val="00705743"/>
    <w:rsid w:val="00705767"/>
    <w:rsid w:val="007057AA"/>
    <w:rsid w:val="007057F5"/>
    <w:rsid w:val="00705808"/>
    <w:rsid w:val="0070582A"/>
    <w:rsid w:val="00705846"/>
    <w:rsid w:val="00705853"/>
    <w:rsid w:val="00705857"/>
    <w:rsid w:val="00705875"/>
    <w:rsid w:val="00705878"/>
    <w:rsid w:val="007058E0"/>
    <w:rsid w:val="007058E8"/>
    <w:rsid w:val="007058F2"/>
    <w:rsid w:val="0070591A"/>
    <w:rsid w:val="0070593C"/>
    <w:rsid w:val="00705971"/>
    <w:rsid w:val="00705981"/>
    <w:rsid w:val="00705A09"/>
    <w:rsid w:val="00705A58"/>
    <w:rsid w:val="00705A65"/>
    <w:rsid w:val="00705A77"/>
    <w:rsid w:val="00705AA7"/>
    <w:rsid w:val="00705ABF"/>
    <w:rsid w:val="00705AD3"/>
    <w:rsid w:val="00705AE4"/>
    <w:rsid w:val="00705B25"/>
    <w:rsid w:val="00705B75"/>
    <w:rsid w:val="00705B9C"/>
    <w:rsid w:val="00705BA9"/>
    <w:rsid w:val="00705BB7"/>
    <w:rsid w:val="00705BB9"/>
    <w:rsid w:val="00705C35"/>
    <w:rsid w:val="00705C6E"/>
    <w:rsid w:val="00705D3E"/>
    <w:rsid w:val="00705D4C"/>
    <w:rsid w:val="00705D50"/>
    <w:rsid w:val="00705DB5"/>
    <w:rsid w:val="00705DBF"/>
    <w:rsid w:val="00705DD0"/>
    <w:rsid w:val="00705DF9"/>
    <w:rsid w:val="00705E02"/>
    <w:rsid w:val="00705E26"/>
    <w:rsid w:val="00705E58"/>
    <w:rsid w:val="00705E5F"/>
    <w:rsid w:val="00705EB6"/>
    <w:rsid w:val="00705EEB"/>
    <w:rsid w:val="00705F19"/>
    <w:rsid w:val="00705F1D"/>
    <w:rsid w:val="00705F2C"/>
    <w:rsid w:val="00705F38"/>
    <w:rsid w:val="00705F45"/>
    <w:rsid w:val="00705F59"/>
    <w:rsid w:val="00705F5C"/>
    <w:rsid w:val="00705F70"/>
    <w:rsid w:val="00705FA9"/>
    <w:rsid w:val="00705FB4"/>
    <w:rsid w:val="00706002"/>
    <w:rsid w:val="0070600F"/>
    <w:rsid w:val="0070603F"/>
    <w:rsid w:val="007060B0"/>
    <w:rsid w:val="007060D8"/>
    <w:rsid w:val="007060DB"/>
    <w:rsid w:val="007060EF"/>
    <w:rsid w:val="0070615D"/>
    <w:rsid w:val="007061C9"/>
    <w:rsid w:val="007061D0"/>
    <w:rsid w:val="007061DA"/>
    <w:rsid w:val="007061F5"/>
    <w:rsid w:val="007061FC"/>
    <w:rsid w:val="0070620F"/>
    <w:rsid w:val="00706219"/>
    <w:rsid w:val="0070621C"/>
    <w:rsid w:val="00706235"/>
    <w:rsid w:val="0070624F"/>
    <w:rsid w:val="00706276"/>
    <w:rsid w:val="007062A6"/>
    <w:rsid w:val="007062C8"/>
    <w:rsid w:val="0070631D"/>
    <w:rsid w:val="0070633B"/>
    <w:rsid w:val="00706359"/>
    <w:rsid w:val="0070635E"/>
    <w:rsid w:val="007063B7"/>
    <w:rsid w:val="007063C5"/>
    <w:rsid w:val="007063D8"/>
    <w:rsid w:val="007063FD"/>
    <w:rsid w:val="00706412"/>
    <w:rsid w:val="0070642E"/>
    <w:rsid w:val="0070644A"/>
    <w:rsid w:val="0070646E"/>
    <w:rsid w:val="007064C1"/>
    <w:rsid w:val="007064CC"/>
    <w:rsid w:val="007064D0"/>
    <w:rsid w:val="007064D4"/>
    <w:rsid w:val="00706524"/>
    <w:rsid w:val="00706563"/>
    <w:rsid w:val="00706593"/>
    <w:rsid w:val="00706599"/>
    <w:rsid w:val="0070659B"/>
    <w:rsid w:val="007065A5"/>
    <w:rsid w:val="007065E8"/>
    <w:rsid w:val="007065FF"/>
    <w:rsid w:val="00706628"/>
    <w:rsid w:val="00706645"/>
    <w:rsid w:val="0070664A"/>
    <w:rsid w:val="0070667D"/>
    <w:rsid w:val="007066AE"/>
    <w:rsid w:val="007066ED"/>
    <w:rsid w:val="0070672B"/>
    <w:rsid w:val="00706739"/>
    <w:rsid w:val="0070673C"/>
    <w:rsid w:val="0070674F"/>
    <w:rsid w:val="00706764"/>
    <w:rsid w:val="00706785"/>
    <w:rsid w:val="007067B7"/>
    <w:rsid w:val="00706803"/>
    <w:rsid w:val="00706814"/>
    <w:rsid w:val="00706857"/>
    <w:rsid w:val="007068D6"/>
    <w:rsid w:val="007068EE"/>
    <w:rsid w:val="007068F3"/>
    <w:rsid w:val="00706904"/>
    <w:rsid w:val="0070693A"/>
    <w:rsid w:val="0070693E"/>
    <w:rsid w:val="00706949"/>
    <w:rsid w:val="00706968"/>
    <w:rsid w:val="00706972"/>
    <w:rsid w:val="00706A16"/>
    <w:rsid w:val="00706A3A"/>
    <w:rsid w:val="00706A48"/>
    <w:rsid w:val="00706A55"/>
    <w:rsid w:val="00706A77"/>
    <w:rsid w:val="00706AEF"/>
    <w:rsid w:val="00706AFF"/>
    <w:rsid w:val="00706B52"/>
    <w:rsid w:val="00706B59"/>
    <w:rsid w:val="00706B6C"/>
    <w:rsid w:val="00706BAB"/>
    <w:rsid w:val="00706BDB"/>
    <w:rsid w:val="00706BF7"/>
    <w:rsid w:val="00706BFB"/>
    <w:rsid w:val="00706C08"/>
    <w:rsid w:val="00706C4E"/>
    <w:rsid w:val="00706C61"/>
    <w:rsid w:val="00706C74"/>
    <w:rsid w:val="00706CC1"/>
    <w:rsid w:val="00706CD1"/>
    <w:rsid w:val="00706CDA"/>
    <w:rsid w:val="00706D01"/>
    <w:rsid w:val="00706D12"/>
    <w:rsid w:val="00706D13"/>
    <w:rsid w:val="00706D1B"/>
    <w:rsid w:val="00706D22"/>
    <w:rsid w:val="00706D3B"/>
    <w:rsid w:val="00706DD7"/>
    <w:rsid w:val="00706DE9"/>
    <w:rsid w:val="00706E09"/>
    <w:rsid w:val="00706E0F"/>
    <w:rsid w:val="00706E1D"/>
    <w:rsid w:val="00706E46"/>
    <w:rsid w:val="00706E93"/>
    <w:rsid w:val="00706EC6"/>
    <w:rsid w:val="00706ECF"/>
    <w:rsid w:val="00706EF0"/>
    <w:rsid w:val="00706F49"/>
    <w:rsid w:val="00706F7D"/>
    <w:rsid w:val="00706F83"/>
    <w:rsid w:val="00706F92"/>
    <w:rsid w:val="00706FCB"/>
    <w:rsid w:val="00706FFA"/>
    <w:rsid w:val="00707000"/>
    <w:rsid w:val="0070700B"/>
    <w:rsid w:val="0070702B"/>
    <w:rsid w:val="00707040"/>
    <w:rsid w:val="007070CC"/>
    <w:rsid w:val="007070F1"/>
    <w:rsid w:val="00707115"/>
    <w:rsid w:val="00707127"/>
    <w:rsid w:val="00707164"/>
    <w:rsid w:val="00707187"/>
    <w:rsid w:val="00707189"/>
    <w:rsid w:val="007071C1"/>
    <w:rsid w:val="007071DA"/>
    <w:rsid w:val="007071DE"/>
    <w:rsid w:val="007071F8"/>
    <w:rsid w:val="00707238"/>
    <w:rsid w:val="0070723A"/>
    <w:rsid w:val="00707261"/>
    <w:rsid w:val="00707283"/>
    <w:rsid w:val="007072A8"/>
    <w:rsid w:val="007072B3"/>
    <w:rsid w:val="007072B4"/>
    <w:rsid w:val="007072E5"/>
    <w:rsid w:val="007072EA"/>
    <w:rsid w:val="007072F4"/>
    <w:rsid w:val="00707308"/>
    <w:rsid w:val="00707327"/>
    <w:rsid w:val="00707343"/>
    <w:rsid w:val="0070734A"/>
    <w:rsid w:val="00707389"/>
    <w:rsid w:val="007073AD"/>
    <w:rsid w:val="007073B3"/>
    <w:rsid w:val="007073FC"/>
    <w:rsid w:val="00707416"/>
    <w:rsid w:val="00707418"/>
    <w:rsid w:val="00707487"/>
    <w:rsid w:val="00707495"/>
    <w:rsid w:val="0070749F"/>
    <w:rsid w:val="007074CB"/>
    <w:rsid w:val="007074EA"/>
    <w:rsid w:val="007074ED"/>
    <w:rsid w:val="0070755C"/>
    <w:rsid w:val="007075AA"/>
    <w:rsid w:val="007075D6"/>
    <w:rsid w:val="0070761F"/>
    <w:rsid w:val="00707622"/>
    <w:rsid w:val="0070764C"/>
    <w:rsid w:val="007076C1"/>
    <w:rsid w:val="0070770A"/>
    <w:rsid w:val="00707729"/>
    <w:rsid w:val="00707733"/>
    <w:rsid w:val="007077A3"/>
    <w:rsid w:val="007077C2"/>
    <w:rsid w:val="007077C3"/>
    <w:rsid w:val="00707839"/>
    <w:rsid w:val="0070787B"/>
    <w:rsid w:val="007078CE"/>
    <w:rsid w:val="007078D7"/>
    <w:rsid w:val="007078DE"/>
    <w:rsid w:val="00707974"/>
    <w:rsid w:val="00707976"/>
    <w:rsid w:val="0070798A"/>
    <w:rsid w:val="007079B4"/>
    <w:rsid w:val="007079C5"/>
    <w:rsid w:val="007079F4"/>
    <w:rsid w:val="00707A1A"/>
    <w:rsid w:val="00707A1E"/>
    <w:rsid w:val="00707A26"/>
    <w:rsid w:val="00707A3F"/>
    <w:rsid w:val="00707A54"/>
    <w:rsid w:val="00707A69"/>
    <w:rsid w:val="00707A76"/>
    <w:rsid w:val="00707AA9"/>
    <w:rsid w:val="00707AB0"/>
    <w:rsid w:val="00707AC0"/>
    <w:rsid w:val="00707AF5"/>
    <w:rsid w:val="00707AF8"/>
    <w:rsid w:val="00707B0E"/>
    <w:rsid w:val="00707B1B"/>
    <w:rsid w:val="00707B49"/>
    <w:rsid w:val="00707B62"/>
    <w:rsid w:val="00707B7A"/>
    <w:rsid w:val="00707B89"/>
    <w:rsid w:val="00707BCA"/>
    <w:rsid w:val="00707BF1"/>
    <w:rsid w:val="00707BFA"/>
    <w:rsid w:val="00707C13"/>
    <w:rsid w:val="00707C21"/>
    <w:rsid w:val="00707C26"/>
    <w:rsid w:val="00707C2D"/>
    <w:rsid w:val="00707C7F"/>
    <w:rsid w:val="00707C8F"/>
    <w:rsid w:val="00707CAE"/>
    <w:rsid w:val="00707CBB"/>
    <w:rsid w:val="00707D20"/>
    <w:rsid w:val="00707D5B"/>
    <w:rsid w:val="00707D5F"/>
    <w:rsid w:val="00707D74"/>
    <w:rsid w:val="00707D76"/>
    <w:rsid w:val="00707D87"/>
    <w:rsid w:val="00707DE2"/>
    <w:rsid w:val="00707DE5"/>
    <w:rsid w:val="00707E80"/>
    <w:rsid w:val="00707ED9"/>
    <w:rsid w:val="00707EF5"/>
    <w:rsid w:val="00707F16"/>
    <w:rsid w:val="00707F41"/>
    <w:rsid w:val="00707F55"/>
    <w:rsid w:val="00707F89"/>
    <w:rsid w:val="00707FB6"/>
    <w:rsid w:val="00707FDD"/>
    <w:rsid w:val="00707FF1"/>
    <w:rsid w:val="00710029"/>
    <w:rsid w:val="00710060"/>
    <w:rsid w:val="00710094"/>
    <w:rsid w:val="007100EF"/>
    <w:rsid w:val="00710107"/>
    <w:rsid w:val="0071010D"/>
    <w:rsid w:val="00710118"/>
    <w:rsid w:val="00710151"/>
    <w:rsid w:val="00710178"/>
    <w:rsid w:val="0071017C"/>
    <w:rsid w:val="0071017E"/>
    <w:rsid w:val="00710198"/>
    <w:rsid w:val="0071019C"/>
    <w:rsid w:val="007101C6"/>
    <w:rsid w:val="00710255"/>
    <w:rsid w:val="00710288"/>
    <w:rsid w:val="0071028A"/>
    <w:rsid w:val="00710311"/>
    <w:rsid w:val="0071032B"/>
    <w:rsid w:val="00710335"/>
    <w:rsid w:val="00710380"/>
    <w:rsid w:val="00710381"/>
    <w:rsid w:val="007103A5"/>
    <w:rsid w:val="007103C8"/>
    <w:rsid w:val="007103D9"/>
    <w:rsid w:val="007103F0"/>
    <w:rsid w:val="007103F5"/>
    <w:rsid w:val="00710403"/>
    <w:rsid w:val="00710423"/>
    <w:rsid w:val="0071044A"/>
    <w:rsid w:val="00710487"/>
    <w:rsid w:val="007104AA"/>
    <w:rsid w:val="007104DD"/>
    <w:rsid w:val="007104EA"/>
    <w:rsid w:val="007104F3"/>
    <w:rsid w:val="0071050C"/>
    <w:rsid w:val="00710526"/>
    <w:rsid w:val="00710547"/>
    <w:rsid w:val="00710581"/>
    <w:rsid w:val="007105EF"/>
    <w:rsid w:val="00710622"/>
    <w:rsid w:val="00710715"/>
    <w:rsid w:val="0071071A"/>
    <w:rsid w:val="0071071D"/>
    <w:rsid w:val="00710731"/>
    <w:rsid w:val="0071074B"/>
    <w:rsid w:val="00710781"/>
    <w:rsid w:val="007107BB"/>
    <w:rsid w:val="007107C4"/>
    <w:rsid w:val="007107F1"/>
    <w:rsid w:val="007107FF"/>
    <w:rsid w:val="00710805"/>
    <w:rsid w:val="00710806"/>
    <w:rsid w:val="0071084B"/>
    <w:rsid w:val="00710859"/>
    <w:rsid w:val="00710879"/>
    <w:rsid w:val="007108B1"/>
    <w:rsid w:val="007108B8"/>
    <w:rsid w:val="007108CC"/>
    <w:rsid w:val="00710902"/>
    <w:rsid w:val="00710948"/>
    <w:rsid w:val="00710960"/>
    <w:rsid w:val="007109B0"/>
    <w:rsid w:val="007109C2"/>
    <w:rsid w:val="007109D3"/>
    <w:rsid w:val="007109E5"/>
    <w:rsid w:val="007109F8"/>
    <w:rsid w:val="007109FA"/>
    <w:rsid w:val="007109FD"/>
    <w:rsid w:val="00710A05"/>
    <w:rsid w:val="00710AA5"/>
    <w:rsid w:val="00710ABE"/>
    <w:rsid w:val="00710AF0"/>
    <w:rsid w:val="00710B12"/>
    <w:rsid w:val="00710B16"/>
    <w:rsid w:val="00710B19"/>
    <w:rsid w:val="00710B50"/>
    <w:rsid w:val="00710B5E"/>
    <w:rsid w:val="00710B9E"/>
    <w:rsid w:val="00710BBF"/>
    <w:rsid w:val="00710BEF"/>
    <w:rsid w:val="00710C0E"/>
    <w:rsid w:val="00710C19"/>
    <w:rsid w:val="00710CB2"/>
    <w:rsid w:val="00710CC4"/>
    <w:rsid w:val="00710CDB"/>
    <w:rsid w:val="00710D16"/>
    <w:rsid w:val="00710D28"/>
    <w:rsid w:val="00710D4A"/>
    <w:rsid w:val="00710D4F"/>
    <w:rsid w:val="00710D5F"/>
    <w:rsid w:val="00710D6A"/>
    <w:rsid w:val="00710D7F"/>
    <w:rsid w:val="00710DA3"/>
    <w:rsid w:val="00710DE1"/>
    <w:rsid w:val="00710E00"/>
    <w:rsid w:val="00710E2D"/>
    <w:rsid w:val="00710E50"/>
    <w:rsid w:val="00710E63"/>
    <w:rsid w:val="00710EF1"/>
    <w:rsid w:val="00710FA9"/>
    <w:rsid w:val="00710FB3"/>
    <w:rsid w:val="00711017"/>
    <w:rsid w:val="00711074"/>
    <w:rsid w:val="0071109C"/>
    <w:rsid w:val="007110F8"/>
    <w:rsid w:val="00711107"/>
    <w:rsid w:val="00711111"/>
    <w:rsid w:val="00711126"/>
    <w:rsid w:val="0071118A"/>
    <w:rsid w:val="007111C0"/>
    <w:rsid w:val="007111D2"/>
    <w:rsid w:val="00711220"/>
    <w:rsid w:val="00711221"/>
    <w:rsid w:val="0071122E"/>
    <w:rsid w:val="00711254"/>
    <w:rsid w:val="00711271"/>
    <w:rsid w:val="00711277"/>
    <w:rsid w:val="007112BA"/>
    <w:rsid w:val="007112DD"/>
    <w:rsid w:val="007112F1"/>
    <w:rsid w:val="00711386"/>
    <w:rsid w:val="0071138B"/>
    <w:rsid w:val="007113AE"/>
    <w:rsid w:val="007113B1"/>
    <w:rsid w:val="0071140B"/>
    <w:rsid w:val="00711416"/>
    <w:rsid w:val="00711437"/>
    <w:rsid w:val="00711442"/>
    <w:rsid w:val="00711448"/>
    <w:rsid w:val="00711451"/>
    <w:rsid w:val="0071148D"/>
    <w:rsid w:val="007114BA"/>
    <w:rsid w:val="007114C0"/>
    <w:rsid w:val="00711529"/>
    <w:rsid w:val="0071155F"/>
    <w:rsid w:val="00711566"/>
    <w:rsid w:val="0071157E"/>
    <w:rsid w:val="00711582"/>
    <w:rsid w:val="007115AA"/>
    <w:rsid w:val="007115CE"/>
    <w:rsid w:val="007115E8"/>
    <w:rsid w:val="00711608"/>
    <w:rsid w:val="00711635"/>
    <w:rsid w:val="00711642"/>
    <w:rsid w:val="00711644"/>
    <w:rsid w:val="00711659"/>
    <w:rsid w:val="00711688"/>
    <w:rsid w:val="00711697"/>
    <w:rsid w:val="007116D0"/>
    <w:rsid w:val="007116D3"/>
    <w:rsid w:val="007116E1"/>
    <w:rsid w:val="00711717"/>
    <w:rsid w:val="0071171C"/>
    <w:rsid w:val="00711735"/>
    <w:rsid w:val="0071179D"/>
    <w:rsid w:val="007117F0"/>
    <w:rsid w:val="007117F4"/>
    <w:rsid w:val="00711809"/>
    <w:rsid w:val="00711817"/>
    <w:rsid w:val="00711842"/>
    <w:rsid w:val="00711853"/>
    <w:rsid w:val="00711871"/>
    <w:rsid w:val="00711872"/>
    <w:rsid w:val="00711883"/>
    <w:rsid w:val="007118B3"/>
    <w:rsid w:val="00711901"/>
    <w:rsid w:val="00711911"/>
    <w:rsid w:val="00711923"/>
    <w:rsid w:val="00711934"/>
    <w:rsid w:val="0071193A"/>
    <w:rsid w:val="0071193C"/>
    <w:rsid w:val="0071195B"/>
    <w:rsid w:val="00711A1C"/>
    <w:rsid w:val="00711A56"/>
    <w:rsid w:val="00711A59"/>
    <w:rsid w:val="00711A69"/>
    <w:rsid w:val="00711A6E"/>
    <w:rsid w:val="00711A83"/>
    <w:rsid w:val="00711AB6"/>
    <w:rsid w:val="00711AD9"/>
    <w:rsid w:val="00711AE5"/>
    <w:rsid w:val="00711AF2"/>
    <w:rsid w:val="00711B20"/>
    <w:rsid w:val="00711B34"/>
    <w:rsid w:val="00711B3B"/>
    <w:rsid w:val="00711B86"/>
    <w:rsid w:val="00711BA0"/>
    <w:rsid w:val="00711BEE"/>
    <w:rsid w:val="00711BF8"/>
    <w:rsid w:val="00711BFF"/>
    <w:rsid w:val="00711C2B"/>
    <w:rsid w:val="00711C54"/>
    <w:rsid w:val="00711C57"/>
    <w:rsid w:val="00711C68"/>
    <w:rsid w:val="00711CA1"/>
    <w:rsid w:val="00711CAF"/>
    <w:rsid w:val="00711CB7"/>
    <w:rsid w:val="00711CF7"/>
    <w:rsid w:val="00711D34"/>
    <w:rsid w:val="00711D58"/>
    <w:rsid w:val="00711D5A"/>
    <w:rsid w:val="00711D75"/>
    <w:rsid w:val="00711D8B"/>
    <w:rsid w:val="00711DAE"/>
    <w:rsid w:val="00711DEF"/>
    <w:rsid w:val="00711DF6"/>
    <w:rsid w:val="00711DFE"/>
    <w:rsid w:val="00711E10"/>
    <w:rsid w:val="00711F16"/>
    <w:rsid w:val="00711F20"/>
    <w:rsid w:val="00711F30"/>
    <w:rsid w:val="00711F32"/>
    <w:rsid w:val="00711F80"/>
    <w:rsid w:val="00711F86"/>
    <w:rsid w:val="00711FCF"/>
    <w:rsid w:val="00711FEA"/>
    <w:rsid w:val="00712017"/>
    <w:rsid w:val="00712028"/>
    <w:rsid w:val="0071204A"/>
    <w:rsid w:val="0071206F"/>
    <w:rsid w:val="00712073"/>
    <w:rsid w:val="0071207C"/>
    <w:rsid w:val="007120C2"/>
    <w:rsid w:val="007120D8"/>
    <w:rsid w:val="007120E7"/>
    <w:rsid w:val="00712122"/>
    <w:rsid w:val="00712140"/>
    <w:rsid w:val="00712172"/>
    <w:rsid w:val="00712174"/>
    <w:rsid w:val="007121CA"/>
    <w:rsid w:val="00712231"/>
    <w:rsid w:val="007122D6"/>
    <w:rsid w:val="00712339"/>
    <w:rsid w:val="00712348"/>
    <w:rsid w:val="00712361"/>
    <w:rsid w:val="007123A3"/>
    <w:rsid w:val="007123DA"/>
    <w:rsid w:val="007123E9"/>
    <w:rsid w:val="00712449"/>
    <w:rsid w:val="007124A6"/>
    <w:rsid w:val="007124A8"/>
    <w:rsid w:val="007124AE"/>
    <w:rsid w:val="007124BA"/>
    <w:rsid w:val="007124EC"/>
    <w:rsid w:val="007124F3"/>
    <w:rsid w:val="0071251D"/>
    <w:rsid w:val="00712525"/>
    <w:rsid w:val="00712530"/>
    <w:rsid w:val="00712538"/>
    <w:rsid w:val="0071254F"/>
    <w:rsid w:val="00712561"/>
    <w:rsid w:val="00712574"/>
    <w:rsid w:val="00712589"/>
    <w:rsid w:val="00712595"/>
    <w:rsid w:val="0071260F"/>
    <w:rsid w:val="00712648"/>
    <w:rsid w:val="00712659"/>
    <w:rsid w:val="0071265E"/>
    <w:rsid w:val="0071267A"/>
    <w:rsid w:val="00712682"/>
    <w:rsid w:val="00712683"/>
    <w:rsid w:val="0071269B"/>
    <w:rsid w:val="007126DA"/>
    <w:rsid w:val="007126F2"/>
    <w:rsid w:val="00712736"/>
    <w:rsid w:val="00712739"/>
    <w:rsid w:val="0071277E"/>
    <w:rsid w:val="00712783"/>
    <w:rsid w:val="007127C1"/>
    <w:rsid w:val="007127F9"/>
    <w:rsid w:val="00712838"/>
    <w:rsid w:val="00712856"/>
    <w:rsid w:val="00712976"/>
    <w:rsid w:val="007129F0"/>
    <w:rsid w:val="00712A0A"/>
    <w:rsid w:val="00712A4C"/>
    <w:rsid w:val="00712A5D"/>
    <w:rsid w:val="00712AD4"/>
    <w:rsid w:val="00712B22"/>
    <w:rsid w:val="00712B48"/>
    <w:rsid w:val="00712B6A"/>
    <w:rsid w:val="00712B8A"/>
    <w:rsid w:val="00712BA3"/>
    <w:rsid w:val="00712BB4"/>
    <w:rsid w:val="00712BCC"/>
    <w:rsid w:val="00712BCE"/>
    <w:rsid w:val="00712BD7"/>
    <w:rsid w:val="00712BE6"/>
    <w:rsid w:val="00712BF1"/>
    <w:rsid w:val="00712C1C"/>
    <w:rsid w:val="00712C3D"/>
    <w:rsid w:val="00712C42"/>
    <w:rsid w:val="00712C66"/>
    <w:rsid w:val="00712C85"/>
    <w:rsid w:val="00712C8C"/>
    <w:rsid w:val="00712CA1"/>
    <w:rsid w:val="00712CC2"/>
    <w:rsid w:val="00712D24"/>
    <w:rsid w:val="00712D2B"/>
    <w:rsid w:val="00712D6D"/>
    <w:rsid w:val="00712D79"/>
    <w:rsid w:val="00712E79"/>
    <w:rsid w:val="00712E98"/>
    <w:rsid w:val="00712ED3"/>
    <w:rsid w:val="00712F1A"/>
    <w:rsid w:val="00712F1D"/>
    <w:rsid w:val="00712F42"/>
    <w:rsid w:val="00712F54"/>
    <w:rsid w:val="00712FB1"/>
    <w:rsid w:val="00712FD1"/>
    <w:rsid w:val="00712FF1"/>
    <w:rsid w:val="00712FF7"/>
    <w:rsid w:val="0071304B"/>
    <w:rsid w:val="00713092"/>
    <w:rsid w:val="007130A8"/>
    <w:rsid w:val="007130BC"/>
    <w:rsid w:val="0071312F"/>
    <w:rsid w:val="00713136"/>
    <w:rsid w:val="00713160"/>
    <w:rsid w:val="00713214"/>
    <w:rsid w:val="00713277"/>
    <w:rsid w:val="00713298"/>
    <w:rsid w:val="007132C1"/>
    <w:rsid w:val="007132C7"/>
    <w:rsid w:val="00713300"/>
    <w:rsid w:val="00713302"/>
    <w:rsid w:val="00713326"/>
    <w:rsid w:val="0071333C"/>
    <w:rsid w:val="0071334B"/>
    <w:rsid w:val="0071334D"/>
    <w:rsid w:val="00713371"/>
    <w:rsid w:val="0071337B"/>
    <w:rsid w:val="007133D5"/>
    <w:rsid w:val="007133DA"/>
    <w:rsid w:val="007133DB"/>
    <w:rsid w:val="007133F0"/>
    <w:rsid w:val="00713402"/>
    <w:rsid w:val="0071341B"/>
    <w:rsid w:val="00713425"/>
    <w:rsid w:val="00713427"/>
    <w:rsid w:val="00713458"/>
    <w:rsid w:val="00713464"/>
    <w:rsid w:val="00713465"/>
    <w:rsid w:val="00713473"/>
    <w:rsid w:val="007134EF"/>
    <w:rsid w:val="00713551"/>
    <w:rsid w:val="0071355C"/>
    <w:rsid w:val="00713573"/>
    <w:rsid w:val="00713590"/>
    <w:rsid w:val="007135A0"/>
    <w:rsid w:val="0071366D"/>
    <w:rsid w:val="0071366E"/>
    <w:rsid w:val="007136B8"/>
    <w:rsid w:val="0071371F"/>
    <w:rsid w:val="00713762"/>
    <w:rsid w:val="00713793"/>
    <w:rsid w:val="0071379A"/>
    <w:rsid w:val="007137E0"/>
    <w:rsid w:val="00713836"/>
    <w:rsid w:val="0071383F"/>
    <w:rsid w:val="00713847"/>
    <w:rsid w:val="00713851"/>
    <w:rsid w:val="007138B0"/>
    <w:rsid w:val="007138B5"/>
    <w:rsid w:val="00713931"/>
    <w:rsid w:val="0071393D"/>
    <w:rsid w:val="00713946"/>
    <w:rsid w:val="00713994"/>
    <w:rsid w:val="007139BB"/>
    <w:rsid w:val="00713A46"/>
    <w:rsid w:val="00713A53"/>
    <w:rsid w:val="00713A5B"/>
    <w:rsid w:val="00713A73"/>
    <w:rsid w:val="00713A81"/>
    <w:rsid w:val="00713A89"/>
    <w:rsid w:val="00713AAA"/>
    <w:rsid w:val="00713B02"/>
    <w:rsid w:val="00713B07"/>
    <w:rsid w:val="00713B78"/>
    <w:rsid w:val="00713B7D"/>
    <w:rsid w:val="00713BB5"/>
    <w:rsid w:val="00713BD2"/>
    <w:rsid w:val="00713BF0"/>
    <w:rsid w:val="00713C15"/>
    <w:rsid w:val="00713C3D"/>
    <w:rsid w:val="00713C3E"/>
    <w:rsid w:val="00713C5B"/>
    <w:rsid w:val="00713C61"/>
    <w:rsid w:val="00713CE4"/>
    <w:rsid w:val="00713CFA"/>
    <w:rsid w:val="00713D4C"/>
    <w:rsid w:val="00713D74"/>
    <w:rsid w:val="00713D8B"/>
    <w:rsid w:val="00713DB3"/>
    <w:rsid w:val="00713DCF"/>
    <w:rsid w:val="00713E07"/>
    <w:rsid w:val="00713E0D"/>
    <w:rsid w:val="00713E46"/>
    <w:rsid w:val="00713E4A"/>
    <w:rsid w:val="00713E64"/>
    <w:rsid w:val="00713E6B"/>
    <w:rsid w:val="00713E7C"/>
    <w:rsid w:val="00713EC7"/>
    <w:rsid w:val="00713F82"/>
    <w:rsid w:val="00713F8D"/>
    <w:rsid w:val="00713F93"/>
    <w:rsid w:val="00713FD1"/>
    <w:rsid w:val="00714026"/>
    <w:rsid w:val="00714064"/>
    <w:rsid w:val="0071409E"/>
    <w:rsid w:val="007140A0"/>
    <w:rsid w:val="007140D5"/>
    <w:rsid w:val="007140F7"/>
    <w:rsid w:val="00714139"/>
    <w:rsid w:val="00714199"/>
    <w:rsid w:val="007141AD"/>
    <w:rsid w:val="007141E7"/>
    <w:rsid w:val="00714205"/>
    <w:rsid w:val="00714208"/>
    <w:rsid w:val="0071422D"/>
    <w:rsid w:val="0071422E"/>
    <w:rsid w:val="0071424C"/>
    <w:rsid w:val="0071426F"/>
    <w:rsid w:val="007142AB"/>
    <w:rsid w:val="007142D5"/>
    <w:rsid w:val="007142DD"/>
    <w:rsid w:val="007142ED"/>
    <w:rsid w:val="007142EE"/>
    <w:rsid w:val="007142F6"/>
    <w:rsid w:val="0071431C"/>
    <w:rsid w:val="00714327"/>
    <w:rsid w:val="0071432D"/>
    <w:rsid w:val="0071434E"/>
    <w:rsid w:val="00714368"/>
    <w:rsid w:val="007143A1"/>
    <w:rsid w:val="007143A2"/>
    <w:rsid w:val="007143A3"/>
    <w:rsid w:val="007143B6"/>
    <w:rsid w:val="007143F3"/>
    <w:rsid w:val="007143F4"/>
    <w:rsid w:val="00714408"/>
    <w:rsid w:val="0071441C"/>
    <w:rsid w:val="00714423"/>
    <w:rsid w:val="00714444"/>
    <w:rsid w:val="0071444A"/>
    <w:rsid w:val="00714490"/>
    <w:rsid w:val="00714509"/>
    <w:rsid w:val="00714524"/>
    <w:rsid w:val="00714566"/>
    <w:rsid w:val="00714571"/>
    <w:rsid w:val="00714578"/>
    <w:rsid w:val="007145B3"/>
    <w:rsid w:val="007145B4"/>
    <w:rsid w:val="007145DF"/>
    <w:rsid w:val="0071467D"/>
    <w:rsid w:val="00714681"/>
    <w:rsid w:val="007146D1"/>
    <w:rsid w:val="007146D4"/>
    <w:rsid w:val="007146F5"/>
    <w:rsid w:val="00714742"/>
    <w:rsid w:val="00714766"/>
    <w:rsid w:val="007147A1"/>
    <w:rsid w:val="007147AC"/>
    <w:rsid w:val="007147DD"/>
    <w:rsid w:val="007147EB"/>
    <w:rsid w:val="0071481D"/>
    <w:rsid w:val="0071482B"/>
    <w:rsid w:val="00714857"/>
    <w:rsid w:val="00714888"/>
    <w:rsid w:val="007148E9"/>
    <w:rsid w:val="007148F3"/>
    <w:rsid w:val="00714943"/>
    <w:rsid w:val="00714951"/>
    <w:rsid w:val="00714969"/>
    <w:rsid w:val="00714995"/>
    <w:rsid w:val="007149C5"/>
    <w:rsid w:val="007149CC"/>
    <w:rsid w:val="00714A44"/>
    <w:rsid w:val="00714A5A"/>
    <w:rsid w:val="00714A6E"/>
    <w:rsid w:val="00714A90"/>
    <w:rsid w:val="00714AB0"/>
    <w:rsid w:val="00714AEF"/>
    <w:rsid w:val="00714B34"/>
    <w:rsid w:val="00714B7E"/>
    <w:rsid w:val="00714BC5"/>
    <w:rsid w:val="00714BEC"/>
    <w:rsid w:val="00714C25"/>
    <w:rsid w:val="00714C47"/>
    <w:rsid w:val="00714D68"/>
    <w:rsid w:val="00714D70"/>
    <w:rsid w:val="00714D88"/>
    <w:rsid w:val="00714D9F"/>
    <w:rsid w:val="00714DA9"/>
    <w:rsid w:val="00714DB6"/>
    <w:rsid w:val="00714DB9"/>
    <w:rsid w:val="00714DD6"/>
    <w:rsid w:val="00714DD7"/>
    <w:rsid w:val="00714DEC"/>
    <w:rsid w:val="00714E26"/>
    <w:rsid w:val="00714E3F"/>
    <w:rsid w:val="00714E41"/>
    <w:rsid w:val="00714E8B"/>
    <w:rsid w:val="00714E9D"/>
    <w:rsid w:val="00714E9E"/>
    <w:rsid w:val="00714EC3"/>
    <w:rsid w:val="00714ECB"/>
    <w:rsid w:val="00714F11"/>
    <w:rsid w:val="00714F3E"/>
    <w:rsid w:val="00714F45"/>
    <w:rsid w:val="00714F80"/>
    <w:rsid w:val="00714FF8"/>
    <w:rsid w:val="00715024"/>
    <w:rsid w:val="00715037"/>
    <w:rsid w:val="0071503B"/>
    <w:rsid w:val="00715073"/>
    <w:rsid w:val="00715095"/>
    <w:rsid w:val="007150D5"/>
    <w:rsid w:val="007150F5"/>
    <w:rsid w:val="00715125"/>
    <w:rsid w:val="00715127"/>
    <w:rsid w:val="0071512F"/>
    <w:rsid w:val="0071513A"/>
    <w:rsid w:val="0071516F"/>
    <w:rsid w:val="0071517A"/>
    <w:rsid w:val="007151A8"/>
    <w:rsid w:val="007151B2"/>
    <w:rsid w:val="007151D2"/>
    <w:rsid w:val="007151EC"/>
    <w:rsid w:val="007151EE"/>
    <w:rsid w:val="0071521C"/>
    <w:rsid w:val="00715231"/>
    <w:rsid w:val="00715253"/>
    <w:rsid w:val="0071525D"/>
    <w:rsid w:val="00715294"/>
    <w:rsid w:val="007152AA"/>
    <w:rsid w:val="007152B9"/>
    <w:rsid w:val="00715330"/>
    <w:rsid w:val="00715338"/>
    <w:rsid w:val="00715367"/>
    <w:rsid w:val="0071536F"/>
    <w:rsid w:val="007153D5"/>
    <w:rsid w:val="007153F8"/>
    <w:rsid w:val="00715471"/>
    <w:rsid w:val="0071549A"/>
    <w:rsid w:val="007154E3"/>
    <w:rsid w:val="007154EF"/>
    <w:rsid w:val="00715500"/>
    <w:rsid w:val="0071554C"/>
    <w:rsid w:val="0071557A"/>
    <w:rsid w:val="00715592"/>
    <w:rsid w:val="007155C8"/>
    <w:rsid w:val="00715615"/>
    <w:rsid w:val="00715619"/>
    <w:rsid w:val="00715643"/>
    <w:rsid w:val="0071564D"/>
    <w:rsid w:val="0071566D"/>
    <w:rsid w:val="007156BE"/>
    <w:rsid w:val="007156EE"/>
    <w:rsid w:val="0071570C"/>
    <w:rsid w:val="0071572D"/>
    <w:rsid w:val="00715734"/>
    <w:rsid w:val="00715784"/>
    <w:rsid w:val="00715785"/>
    <w:rsid w:val="007157A7"/>
    <w:rsid w:val="007157D2"/>
    <w:rsid w:val="007157E0"/>
    <w:rsid w:val="00715806"/>
    <w:rsid w:val="00715826"/>
    <w:rsid w:val="00715846"/>
    <w:rsid w:val="0071584B"/>
    <w:rsid w:val="00715864"/>
    <w:rsid w:val="00715884"/>
    <w:rsid w:val="0071589A"/>
    <w:rsid w:val="007158F0"/>
    <w:rsid w:val="00715967"/>
    <w:rsid w:val="00715979"/>
    <w:rsid w:val="0071597B"/>
    <w:rsid w:val="007159A7"/>
    <w:rsid w:val="007159E5"/>
    <w:rsid w:val="007159FA"/>
    <w:rsid w:val="00715A0A"/>
    <w:rsid w:val="00715A1D"/>
    <w:rsid w:val="00715A2B"/>
    <w:rsid w:val="00715A87"/>
    <w:rsid w:val="00715A90"/>
    <w:rsid w:val="00715AB3"/>
    <w:rsid w:val="00715AE8"/>
    <w:rsid w:val="00715B81"/>
    <w:rsid w:val="00715B8A"/>
    <w:rsid w:val="00715C31"/>
    <w:rsid w:val="00715C7A"/>
    <w:rsid w:val="00715CD0"/>
    <w:rsid w:val="00715D09"/>
    <w:rsid w:val="00715D55"/>
    <w:rsid w:val="00715D81"/>
    <w:rsid w:val="00715DA6"/>
    <w:rsid w:val="00715DC8"/>
    <w:rsid w:val="00715DE3"/>
    <w:rsid w:val="00715E05"/>
    <w:rsid w:val="00715E1A"/>
    <w:rsid w:val="00715E2A"/>
    <w:rsid w:val="00715E2B"/>
    <w:rsid w:val="00715E75"/>
    <w:rsid w:val="00715E94"/>
    <w:rsid w:val="00715EB4"/>
    <w:rsid w:val="00715ED3"/>
    <w:rsid w:val="00715F3A"/>
    <w:rsid w:val="00715F48"/>
    <w:rsid w:val="00715F5E"/>
    <w:rsid w:val="00715F97"/>
    <w:rsid w:val="00715F9D"/>
    <w:rsid w:val="0071600C"/>
    <w:rsid w:val="00716038"/>
    <w:rsid w:val="0071604B"/>
    <w:rsid w:val="00716056"/>
    <w:rsid w:val="0071608B"/>
    <w:rsid w:val="007160B4"/>
    <w:rsid w:val="007160C1"/>
    <w:rsid w:val="007160DB"/>
    <w:rsid w:val="007160E2"/>
    <w:rsid w:val="007160FF"/>
    <w:rsid w:val="00716117"/>
    <w:rsid w:val="0071617C"/>
    <w:rsid w:val="0071618D"/>
    <w:rsid w:val="007161E7"/>
    <w:rsid w:val="007161F5"/>
    <w:rsid w:val="007161F8"/>
    <w:rsid w:val="0071623E"/>
    <w:rsid w:val="0071624E"/>
    <w:rsid w:val="00716258"/>
    <w:rsid w:val="007162C3"/>
    <w:rsid w:val="007162C4"/>
    <w:rsid w:val="007162C6"/>
    <w:rsid w:val="007162CE"/>
    <w:rsid w:val="007162E5"/>
    <w:rsid w:val="00716318"/>
    <w:rsid w:val="00716340"/>
    <w:rsid w:val="00716370"/>
    <w:rsid w:val="0071637E"/>
    <w:rsid w:val="00716387"/>
    <w:rsid w:val="0071639A"/>
    <w:rsid w:val="007163B9"/>
    <w:rsid w:val="007163D6"/>
    <w:rsid w:val="007164AE"/>
    <w:rsid w:val="007164E8"/>
    <w:rsid w:val="007164F3"/>
    <w:rsid w:val="0071652C"/>
    <w:rsid w:val="00716558"/>
    <w:rsid w:val="00716571"/>
    <w:rsid w:val="00716576"/>
    <w:rsid w:val="00716589"/>
    <w:rsid w:val="007165F1"/>
    <w:rsid w:val="00716637"/>
    <w:rsid w:val="0071664E"/>
    <w:rsid w:val="00716679"/>
    <w:rsid w:val="0071669F"/>
    <w:rsid w:val="007166BC"/>
    <w:rsid w:val="007166D2"/>
    <w:rsid w:val="00716708"/>
    <w:rsid w:val="0071671C"/>
    <w:rsid w:val="0071673D"/>
    <w:rsid w:val="00716795"/>
    <w:rsid w:val="007167AA"/>
    <w:rsid w:val="007167AC"/>
    <w:rsid w:val="007167B1"/>
    <w:rsid w:val="007167B3"/>
    <w:rsid w:val="007167F3"/>
    <w:rsid w:val="00716843"/>
    <w:rsid w:val="00716844"/>
    <w:rsid w:val="00716850"/>
    <w:rsid w:val="007168EB"/>
    <w:rsid w:val="00716907"/>
    <w:rsid w:val="00716909"/>
    <w:rsid w:val="0071690D"/>
    <w:rsid w:val="00716955"/>
    <w:rsid w:val="00716986"/>
    <w:rsid w:val="007169A8"/>
    <w:rsid w:val="007169E3"/>
    <w:rsid w:val="00716A13"/>
    <w:rsid w:val="00716A5C"/>
    <w:rsid w:val="00716A66"/>
    <w:rsid w:val="00716A74"/>
    <w:rsid w:val="00716A9A"/>
    <w:rsid w:val="00716AB0"/>
    <w:rsid w:val="00716AB2"/>
    <w:rsid w:val="00716B06"/>
    <w:rsid w:val="00716B50"/>
    <w:rsid w:val="00716B53"/>
    <w:rsid w:val="00716BC8"/>
    <w:rsid w:val="00716BD9"/>
    <w:rsid w:val="00716C1B"/>
    <w:rsid w:val="00716C69"/>
    <w:rsid w:val="00716C77"/>
    <w:rsid w:val="00716C8A"/>
    <w:rsid w:val="00716D13"/>
    <w:rsid w:val="00716D5B"/>
    <w:rsid w:val="00716D6B"/>
    <w:rsid w:val="00716D72"/>
    <w:rsid w:val="00716D7F"/>
    <w:rsid w:val="00716DEE"/>
    <w:rsid w:val="00716DF3"/>
    <w:rsid w:val="00716DF7"/>
    <w:rsid w:val="00716E4E"/>
    <w:rsid w:val="00716EBE"/>
    <w:rsid w:val="00716ED8"/>
    <w:rsid w:val="00716EFF"/>
    <w:rsid w:val="00716F76"/>
    <w:rsid w:val="00716F7F"/>
    <w:rsid w:val="00716F84"/>
    <w:rsid w:val="00716F89"/>
    <w:rsid w:val="00716FA6"/>
    <w:rsid w:val="00716FC4"/>
    <w:rsid w:val="00716FD6"/>
    <w:rsid w:val="00716FEA"/>
    <w:rsid w:val="0071701B"/>
    <w:rsid w:val="0071702E"/>
    <w:rsid w:val="007170ED"/>
    <w:rsid w:val="00717140"/>
    <w:rsid w:val="00717182"/>
    <w:rsid w:val="00717186"/>
    <w:rsid w:val="007171AD"/>
    <w:rsid w:val="007171B5"/>
    <w:rsid w:val="007171C9"/>
    <w:rsid w:val="00717200"/>
    <w:rsid w:val="00717262"/>
    <w:rsid w:val="0071727D"/>
    <w:rsid w:val="007172B3"/>
    <w:rsid w:val="007172D0"/>
    <w:rsid w:val="007172E0"/>
    <w:rsid w:val="007172F3"/>
    <w:rsid w:val="0071732D"/>
    <w:rsid w:val="0071735A"/>
    <w:rsid w:val="0071737C"/>
    <w:rsid w:val="007173C1"/>
    <w:rsid w:val="007173D6"/>
    <w:rsid w:val="007173DE"/>
    <w:rsid w:val="0071741F"/>
    <w:rsid w:val="00717437"/>
    <w:rsid w:val="007174F9"/>
    <w:rsid w:val="00717547"/>
    <w:rsid w:val="00717562"/>
    <w:rsid w:val="00717650"/>
    <w:rsid w:val="00717675"/>
    <w:rsid w:val="00717692"/>
    <w:rsid w:val="007176A1"/>
    <w:rsid w:val="007176A3"/>
    <w:rsid w:val="00717733"/>
    <w:rsid w:val="0071775E"/>
    <w:rsid w:val="00717796"/>
    <w:rsid w:val="007177B8"/>
    <w:rsid w:val="007177D2"/>
    <w:rsid w:val="007177D3"/>
    <w:rsid w:val="00717802"/>
    <w:rsid w:val="00717820"/>
    <w:rsid w:val="00717825"/>
    <w:rsid w:val="00717866"/>
    <w:rsid w:val="007178BA"/>
    <w:rsid w:val="00717920"/>
    <w:rsid w:val="00717921"/>
    <w:rsid w:val="00717960"/>
    <w:rsid w:val="00717994"/>
    <w:rsid w:val="007179CF"/>
    <w:rsid w:val="007179D9"/>
    <w:rsid w:val="007179EE"/>
    <w:rsid w:val="007179EF"/>
    <w:rsid w:val="00717A39"/>
    <w:rsid w:val="00717A3E"/>
    <w:rsid w:val="00717A50"/>
    <w:rsid w:val="00717A54"/>
    <w:rsid w:val="00717A96"/>
    <w:rsid w:val="00717BBD"/>
    <w:rsid w:val="00717BE0"/>
    <w:rsid w:val="00717C40"/>
    <w:rsid w:val="00717C4D"/>
    <w:rsid w:val="00717C52"/>
    <w:rsid w:val="00717C80"/>
    <w:rsid w:val="00717CAC"/>
    <w:rsid w:val="00717CCA"/>
    <w:rsid w:val="00717CCE"/>
    <w:rsid w:val="00717CEE"/>
    <w:rsid w:val="00717CF6"/>
    <w:rsid w:val="00717D0A"/>
    <w:rsid w:val="00717D39"/>
    <w:rsid w:val="00717D5D"/>
    <w:rsid w:val="00717D6F"/>
    <w:rsid w:val="00717D98"/>
    <w:rsid w:val="00717DB6"/>
    <w:rsid w:val="00717DC1"/>
    <w:rsid w:val="00717DD1"/>
    <w:rsid w:val="00717DE7"/>
    <w:rsid w:val="00717E6C"/>
    <w:rsid w:val="00717E7C"/>
    <w:rsid w:val="00717EA0"/>
    <w:rsid w:val="00717EB0"/>
    <w:rsid w:val="00717EC6"/>
    <w:rsid w:val="00717F25"/>
    <w:rsid w:val="00717F38"/>
    <w:rsid w:val="00717F3F"/>
    <w:rsid w:val="00717F66"/>
    <w:rsid w:val="00717F6F"/>
    <w:rsid w:val="00717F86"/>
    <w:rsid w:val="00717F96"/>
    <w:rsid w:val="00717FB3"/>
    <w:rsid w:val="00717FB6"/>
    <w:rsid w:val="00717FF9"/>
    <w:rsid w:val="00720019"/>
    <w:rsid w:val="0072004C"/>
    <w:rsid w:val="0072004E"/>
    <w:rsid w:val="00720057"/>
    <w:rsid w:val="00720072"/>
    <w:rsid w:val="007200B7"/>
    <w:rsid w:val="007200BE"/>
    <w:rsid w:val="007200E1"/>
    <w:rsid w:val="0072010F"/>
    <w:rsid w:val="00720113"/>
    <w:rsid w:val="00720122"/>
    <w:rsid w:val="00720155"/>
    <w:rsid w:val="0072015B"/>
    <w:rsid w:val="00720185"/>
    <w:rsid w:val="0072019F"/>
    <w:rsid w:val="007201CC"/>
    <w:rsid w:val="00720208"/>
    <w:rsid w:val="00720255"/>
    <w:rsid w:val="0072025E"/>
    <w:rsid w:val="00720267"/>
    <w:rsid w:val="007202A1"/>
    <w:rsid w:val="00720322"/>
    <w:rsid w:val="0072032F"/>
    <w:rsid w:val="0072036A"/>
    <w:rsid w:val="0072037D"/>
    <w:rsid w:val="007203B6"/>
    <w:rsid w:val="007203B8"/>
    <w:rsid w:val="007203E4"/>
    <w:rsid w:val="0072041B"/>
    <w:rsid w:val="00720433"/>
    <w:rsid w:val="0072045B"/>
    <w:rsid w:val="00720463"/>
    <w:rsid w:val="00720478"/>
    <w:rsid w:val="00720494"/>
    <w:rsid w:val="00720495"/>
    <w:rsid w:val="007204B3"/>
    <w:rsid w:val="007204CF"/>
    <w:rsid w:val="007204DC"/>
    <w:rsid w:val="00720501"/>
    <w:rsid w:val="00720514"/>
    <w:rsid w:val="0072056A"/>
    <w:rsid w:val="0072058E"/>
    <w:rsid w:val="00720590"/>
    <w:rsid w:val="007205D9"/>
    <w:rsid w:val="007205E2"/>
    <w:rsid w:val="00720670"/>
    <w:rsid w:val="00720692"/>
    <w:rsid w:val="007206C7"/>
    <w:rsid w:val="007206EB"/>
    <w:rsid w:val="00720728"/>
    <w:rsid w:val="0072075C"/>
    <w:rsid w:val="0072076F"/>
    <w:rsid w:val="007207D5"/>
    <w:rsid w:val="007207D7"/>
    <w:rsid w:val="007207E8"/>
    <w:rsid w:val="0072085B"/>
    <w:rsid w:val="00720860"/>
    <w:rsid w:val="00720886"/>
    <w:rsid w:val="0072088B"/>
    <w:rsid w:val="007208BD"/>
    <w:rsid w:val="00720901"/>
    <w:rsid w:val="00720921"/>
    <w:rsid w:val="00720940"/>
    <w:rsid w:val="00720946"/>
    <w:rsid w:val="0072096F"/>
    <w:rsid w:val="007209D4"/>
    <w:rsid w:val="007209DC"/>
    <w:rsid w:val="00720A0E"/>
    <w:rsid w:val="00720A19"/>
    <w:rsid w:val="00720A2F"/>
    <w:rsid w:val="00720A6F"/>
    <w:rsid w:val="00720A7A"/>
    <w:rsid w:val="00720AC1"/>
    <w:rsid w:val="00720AE1"/>
    <w:rsid w:val="00720B04"/>
    <w:rsid w:val="00720B5E"/>
    <w:rsid w:val="00720B67"/>
    <w:rsid w:val="00720B94"/>
    <w:rsid w:val="00720BF6"/>
    <w:rsid w:val="00720C04"/>
    <w:rsid w:val="00720C0D"/>
    <w:rsid w:val="00720C21"/>
    <w:rsid w:val="00720C7A"/>
    <w:rsid w:val="00720C7E"/>
    <w:rsid w:val="00720C82"/>
    <w:rsid w:val="00720CB8"/>
    <w:rsid w:val="00720CD7"/>
    <w:rsid w:val="00720D48"/>
    <w:rsid w:val="00720D57"/>
    <w:rsid w:val="00720D71"/>
    <w:rsid w:val="00720D9D"/>
    <w:rsid w:val="00720DB1"/>
    <w:rsid w:val="00720DD0"/>
    <w:rsid w:val="00720DDC"/>
    <w:rsid w:val="00720DDF"/>
    <w:rsid w:val="00720DF2"/>
    <w:rsid w:val="00720E06"/>
    <w:rsid w:val="00720E23"/>
    <w:rsid w:val="00720E4A"/>
    <w:rsid w:val="00720E79"/>
    <w:rsid w:val="00720E92"/>
    <w:rsid w:val="00720E93"/>
    <w:rsid w:val="00720EE6"/>
    <w:rsid w:val="00720F2D"/>
    <w:rsid w:val="00720F4C"/>
    <w:rsid w:val="00720F95"/>
    <w:rsid w:val="00720FE4"/>
    <w:rsid w:val="00720FE9"/>
    <w:rsid w:val="00720FF2"/>
    <w:rsid w:val="00721000"/>
    <w:rsid w:val="00721039"/>
    <w:rsid w:val="00721059"/>
    <w:rsid w:val="00721065"/>
    <w:rsid w:val="00721082"/>
    <w:rsid w:val="007210BE"/>
    <w:rsid w:val="00721142"/>
    <w:rsid w:val="00721144"/>
    <w:rsid w:val="00721146"/>
    <w:rsid w:val="00721187"/>
    <w:rsid w:val="007211C2"/>
    <w:rsid w:val="00721214"/>
    <w:rsid w:val="0072121C"/>
    <w:rsid w:val="00721237"/>
    <w:rsid w:val="0072124A"/>
    <w:rsid w:val="0072127D"/>
    <w:rsid w:val="00721280"/>
    <w:rsid w:val="007212A2"/>
    <w:rsid w:val="007212AE"/>
    <w:rsid w:val="007212BF"/>
    <w:rsid w:val="007212C2"/>
    <w:rsid w:val="0072135D"/>
    <w:rsid w:val="0072138B"/>
    <w:rsid w:val="0072139A"/>
    <w:rsid w:val="007213B3"/>
    <w:rsid w:val="007213EC"/>
    <w:rsid w:val="007213F5"/>
    <w:rsid w:val="00721426"/>
    <w:rsid w:val="00721435"/>
    <w:rsid w:val="007214B1"/>
    <w:rsid w:val="0072152B"/>
    <w:rsid w:val="0072155E"/>
    <w:rsid w:val="00721592"/>
    <w:rsid w:val="0072159F"/>
    <w:rsid w:val="007215AF"/>
    <w:rsid w:val="007215B2"/>
    <w:rsid w:val="007215BA"/>
    <w:rsid w:val="007215DB"/>
    <w:rsid w:val="00721626"/>
    <w:rsid w:val="00721698"/>
    <w:rsid w:val="007216AE"/>
    <w:rsid w:val="007216BE"/>
    <w:rsid w:val="007216D8"/>
    <w:rsid w:val="007216E8"/>
    <w:rsid w:val="00721700"/>
    <w:rsid w:val="00721731"/>
    <w:rsid w:val="00721753"/>
    <w:rsid w:val="0072177D"/>
    <w:rsid w:val="007217A5"/>
    <w:rsid w:val="007217B1"/>
    <w:rsid w:val="007217BC"/>
    <w:rsid w:val="007217D1"/>
    <w:rsid w:val="007217F4"/>
    <w:rsid w:val="00721801"/>
    <w:rsid w:val="00721848"/>
    <w:rsid w:val="00721907"/>
    <w:rsid w:val="00721953"/>
    <w:rsid w:val="00721968"/>
    <w:rsid w:val="007219AE"/>
    <w:rsid w:val="007219B9"/>
    <w:rsid w:val="007219BE"/>
    <w:rsid w:val="007219C3"/>
    <w:rsid w:val="007219F7"/>
    <w:rsid w:val="007219FF"/>
    <w:rsid w:val="00721A0F"/>
    <w:rsid w:val="00721A78"/>
    <w:rsid w:val="00721A87"/>
    <w:rsid w:val="00721A90"/>
    <w:rsid w:val="00721A96"/>
    <w:rsid w:val="00721B23"/>
    <w:rsid w:val="00721B4D"/>
    <w:rsid w:val="00721BE5"/>
    <w:rsid w:val="00721BFD"/>
    <w:rsid w:val="00721C19"/>
    <w:rsid w:val="00721C35"/>
    <w:rsid w:val="00721C61"/>
    <w:rsid w:val="00721C8C"/>
    <w:rsid w:val="00721C8F"/>
    <w:rsid w:val="00721CA2"/>
    <w:rsid w:val="00721CA9"/>
    <w:rsid w:val="00721CFF"/>
    <w:rsid w:val="00721D06"/>
    <w:rsid w:val="00721D1E"/>
    <w:rsid w:val="00721D2F"/>
    <w:rsid w:val="00721D5E"/>
    <w:rsid w:val="00721D63"/>
    <w:rsid w:val="00721D73"/>
    <w:rsid w:val="00721D86"/>
    <w:rsid w:val="00721D91"/>
    <w:rsid w:val="00721DB4"/>
    <w:rsid w:val="00721DD1"/>
    <w:rsid w:val="00721E08"/>
    <w:rsid w:val="00721E26"/>
    <w:rsid w:val="00721E81"/>
    <w:rsid w:val="00721EA1"/>
    <w:rsid w:val="00721EA3"/>
    <w:rsid w:val="00721EB9"/>
    <w:rsid w:val="00721EC4"/>
    <w:rsid w:val="00721EE8"/>
    <w:rsid w:val="00721F03"/>
    <w:rsid w:val="00721F26"/>
    <w:rsid w:val="00721F2E"/>
    <w:rsid w:val="00721F5F"/>
    <w:rsid w:val="00721F6B"/>
    <w:rsid w:val="00721F93"/>
    <w:rsid w:val="00721FD7"/>
    <w:rsid w:val="00722030"/>
    <w:rsid w:val="00722073"/>
    <w:rsid w:val="0072207D"/>
    <w:rsid w:val="00722082"/>
    <w:rsid w:val="0072213E"/>
    <w:rsid w:val="00722151"/>
    <w:rsid w:val="0072217C"/>
    <w:rsid w:val="0072217E"/>
    <w:rsid w:val="00722199"/>
    <w:rsid w:val="007221A0"/>
    <w:rsid w:val="007221B7"/>
    <w:rsid w:val="007221DE"/>
    <w:rsid w:val="007221F1"/>
    <w:rsid w:val="00722201"/>
    <w:rsid w:val="00722214"/>
    <w:rsid w:val="0072226B"/>
    <w:rsid w:val="00722271"/>
    <w:rsid w:val="00722276"/>
    <w:rsid w:val="007222BE"/>
    <w:rsid w:val="007222C6"/>
    <w:rsid w:val="007222F8"/>
    <w:rsid w:val="0072231D"/>
    <w:rsid w:val="0072232E"/>
    <w:rsid w:val="00722338"/>
    <w:rsid w:val="00722346"/>
    <w:rsid w:val="00722385"/>
    <w:rsid w:val="00722393"/>
    <w:rsid w:val="00722394"/>
    <w:rsid w:val="007223AD"/>
    <w:rsid w:val="00722417"/>
    <w:rsid w:val="0072244C"/>
    <w:rsid w:val="00722452"/>
    <w:rsid w:val="00722462"/>
    <w:rsid w:val="00722491"/>
    <w:rsid w:val="007224A8"/>
    <w:rsid w:val="007224CC"/>
    <w:rsid w:val="007224F7"/>
    <w:rsid w:val="00722510"/>
    <w:rsid w:val="00722532"/>
    <w:rsid w:val="00722569"/>
    <w:rsid w:val="007225C5"/>
    <w:rsid w:val="00722627"/>
    <w:rsid w:val="00722695"/>
    <w:rsid w:val="0072269A"/>
    <w:rsid w:val="00722700"/>
    <w:rsid w:val="00722704"/>
    <w:rsid w:val="0072270B"/>
    <w:rsid w:val="00722773"/>
    <w:rsid w:val="0072278D"/>
    <w:rsid w:val="0072278F"/>
    <w:rsid w:val="007227C2"/>
    <w:rsid w:val="007227D0"/>
    <w:rsid w:val="007227D6"/>
    <w:rsid w:val="007227DD"/>
    <w:rsid w:val="00722815"/>
    <w:rsid w:val="00722827"/>
    <w:rsid w:val="00722889"/>
    <w:rsid w:val="007228A2"/>
    <w:rsid w:val="007228C8"/>
    <w:rsid w:val="0072291A"/>
    <w:rsid w:val="007229BC"/>
    <w:rsid w:val="007229D6"/>
    <w:rsid w:val="00722A3F"/>
    <w:rsid w:val="00722A4E"/>
    <w:rsid w:val="00722A5B"/>
    <w:rsid w:val="00722A62"/>
    <w:rsid w:val="00722AC7"/>
    <w:rsid w:val="00722B6F"/>
    <w:rsid w:val="00722B71"/>
    <w:rsid w:val="00722BA4"/>
    <w:rsid w:val="00722BC2"/>
    <w:rsid w:val="00722CD4"/>
    <w:rsid w:val="00722CE1"/>
    <w:rsid w:val="00722D0A"/>
    <w:rsid w:val="00722D54"/>
    <w:rsid w:val="00722D8B"/>
    <w:rsid w:val="00722E04"/>
    <w:rsid w:val="00722E7C"/>
    <w:rsid w:val="00722E8D"/>
    <w:rsid w:val="00722EE0"/>
    <w:rsid w:val="00722F0A"/>
    <w:rsid w:val="00722F0C"/>
    <w:rsid w:val="00722F0D"/>
    <w:rsid w:val="00722F33"/>
    <w:rsid w:val="00722FD2"/>
    <w:rsid w:val="00722FE4"/>
    <w:rsid w:val="00722FED"/>
    <w:rsid w:val="00723031"/>
    <w:rsid w:val="00723047"/>
    <w:rsid w:val="00723061"/>
    <w:rsid w:val="00723092"/>
    <w:rsid w:val="007230A1"/>
    <w:rsid w:val="007230D3"/>
    <w:rsid w:val="007230D5"/>
    <w:rsid w:val="007230F8"/>
    <w:rsid w:val="0072311F"/>
    <w:rsid w:val="0072312B"/>
    <w:rsid w:val="0072312C"/>
    <w:rsid w:val="00723184"/>
    <w:rsid w:val="007231FB"/>
    <w:rsid w:val="0072323A"/>
    <w:rsid w:val="0072323C"/>
    <w:rsid w:val="00723242"/>
    <w:rsid w:val="00723244"/>
    <w:rsid w:val="0072325C"/>
    <w:rsid w:val="00723272"/>
    <w:rsid w:val="0072327D"/>
    <w:rsid w:val="0072329E"/>
    <w:rsid w:val="007232AE"/>
    <w:rsid w:val="00723322"/>
    <w:rsid w:val="00723329"/>
    <w:rsid w:val="0072333D"/>
    <w:rsid w:val="00723342"/>
    <w:rsid w:val="00723347"/>
    <w:rsid w:val="00723377"/>
    <w:rsid w:val="007233C5"/>
    <w:rsid w:val="007233D7"/>
    <w:rsid w:val="007233D9"/>
    <w:rsid w:val="00723435"/>
    <w:rsid w:val="00723459"/>
    <w:rsid w:val="0072346A"/>
    <w:rsid w:val="00723478"/>
    <w:rsid w:val="007234AF"/>
    <w:rsid w:val="007234BD"/>
    <w:rsid w:val="007234CB"/>
    <w:rsid w:val="007234E2"/>
    <w:rsid w:val="0072351B"/>
    <w:rsid w:val="0072352F"/>
    <w:rsid w:val="0072354B"/>
    <w:rsid w:val="00723556"/>
    <w:rsid w:val="0072357E"/>
    <w:rsid w:val="0072358D"/>
    <w:rsid w:val="00723599"/>
    <w:rsid w:val="007235A5"/>
    <w:rsid w:val="007235AD"/>
    <w:rsid w:val="007235B3"/>
    <w:rsid w:val="007235BE"/>
    <w:rsid w:val="007235DE"/>
    <w:rsid w:val="00723650"/>
    <w:rsid w:val="00723690"/>
    <w:rsid w:val="007236A0"/>
    <w:rsid w:val="007236B5"/>
    <w:rsid w:val="007236B7"/>
    <w:rsid w:val="007236BD"/>
    <w:rsid w:val="007236E8"/>
    <w:rsid w:val="0072377C"/>
    <w:rsid w:val="0072379C"/>
    <w:rsid w:val="007237C6"/>
    <w:rsid w:val="007238BD"/>
    <w:rsid w:val="007238F4"/>
    <w:rsid w:val="007239E3"/>
    <w:rsid w:val="00723A12"/>
    <w:rsid w:val="00723A1B"/>
    <w:rsid w:val="00723A1C"/>
    <w:rsid w:val="00723A26"/>
    <w:rsid w:val="00723A33"/>
    <w:rsid w:val="00723A51"/>
    <w:rsid w:val="00723A58"/>
    <w:rsid w:val="00723AF4"/>
    <w:rsid w:val="00723B2B"/>
    <w:rsid w:val="00723B32"/>
    <w:rsid w:val="00723B78"/>
    <w:rsid w:val="00723B7D"/>
    <w:rsid w:val="00723B85"/>
    <w:rsid w:val="00723BAF"/>
    <w:rsid w:val="00723BBA"/>
    <w:rsid w:val="00723C37"/>
    <w:rsid w:val="00723C44"/>
    <w:rsid w:val="00723CC5"/>
    <w:rsid w:val="00723CE5"/>
    <w:rsid w:val="00723D0A"/>
    <w:rsid w:val="00723D42"/>
    <w:rsid w:val="00723D56"/>
    <w:rsid w:val="00723D57"/>
    <w:rsid w:val="00723D5E"/>
    <w:rsid w:val="00723D88"/>
    <w:rsid w:val="00723D90"/>
    <w:rsid w:val="00723DA2"/>
    <w:rsid w:val="00723DE7"/>
    <w:rsid w:val="00723E0F"/>
    <w:rsid w:val="00723E14"/>
    <w:rsid w:val="00723E36"/>
    <w:rsid w:val="00723E6A"/>
    <w:rsid w:val="00723E83"/>
    <w:rsid w:val="00723ED6"/>
    <w:rsid w:val="00723F04"/>
    <w:rsid w:val="00723F1E"/>
    <w:rsid w:val="00723F4F"/>
    <w:rsid w:val="00723F62"/>
    <w:rsid w:val="00723FD2"/>
    <w:rsid w:val="00723FF2"/>
    <w:rsid w:val="00724016"/>
    <w:rsid w:val="00724028"/>
    <w:rsid w:val="00724038"/>
    <w:rsid w:val="0072403B"/>
    <w:rsid w:val="00724053"/>
    <w:rsid w:val="00724084"/>
    <w:rsid w:val="007240AE"/>
    <w:rsid w:val="007240E0"/>
    <w:rsid w:val="007240F1"/>
    <w:rsid w:val="0072412A"/>
    <w:rsid w:val="0072413A"/>
    <w:rsid w:val="0072414A"/>
    <w:rsid w:val="0072417F"/>
    <w:rsid w:val="007241DC"/>
    <w:rsid w:val="0072420D"/>
    <w:rsid w:val="0072421E"/>
    <w:rsid w:val="0072422F"/>
    <w:rsid w:val="00724231"/>
    <w:rsid w:val="00724237"/>
    <w:rsid w:val="007242BE"/>
    <w:rsid w:val="007242DC"/>
    <w:rsid w:val="007242E8"/>
    <w:rsid w:val="007242F3"/>
    <w:rsid w:val="0072430C"/>
    <w:rsid w:val="00724313"/>
    <w:rsid w:val="0072431C"/>
    <w:rsid w:val="00724320"/>
    <w:rsid w:val="00724343"/>
    <w:rsid w:val="0072437E"/>
    <w:rsid w:val="00724397"/>
    <w:rsid w:val="007243D5"/>
    <w:rsid w:val="007243F6"/>
    <w:rsid w:val="00724476"/>
    <w:rsid w:val="0072447D"/>
    <w:rsid w:val="007244DE"/>
    <w:rsid w:val="007244EC"/>
    <w:rsid w:val="007244F7"/>
    <w:rsid w:val="0072450A"/>
    <w:rsid w:val="00724513"/>
    <w:rsid w:val="00724549"/>
    <w:rsid w:val="00724558"/>
    <w:rsid w:val="007245FE"/>
    <w:rsid w:val="00724621"/>
    <w:rsid w:val="0072467C"/>
    <w:rsid w:val="00724686"/>
    <w:rsid w:val="00724690"/>
    <w:rsid w:val="007246A1"/>
    <w:rsid w:val="007246CA"/>
    <w:rsid w:val="007246D7"/>
    <w:rsid w:val="007246E5"/>
    <w:rsid w:val="007246E7"/>
    <w:rsid w:val="0072471A"/>
    <w:rsid w:val="00724761"/>
    <w:rsid w:val="007247A8"/>
    <w:rsid w:val="007247C0"/>
    <w:rsid w:val="007247C9"/>
    <w:rsid w:val="007247DD"/>
    <w:rsid w:val="007247E2"/>
    <w:rsid w:val="007247E5"/>
    <w:rsid w:val="00724864"/>
    <w:rsid w:val="00724875"/>
    <w:rsid w:val="0072488E"/>
    <w:rsid w:val="007248A6"/>
    <w:rsid w:val="007248B8"/>
    <w:rsid w:val="007248DD"/>
    <w:rsid w:val="0072490E"/>
    <w:rsid w:val="0072490F"/>
    <w:rsid w:val="0072491C"/>
    <w:rsid w:val="00724925"/>
    <w:rsid w:val="0072493A"/>
    <w:rsid w:val="00724949"/>
    <w:rsid w:val="00724953"/>
    <w:rsid w:val="00724954"/>
    <w:rsid w:val="0072499B"/>
    <w:rsid w:val="0072499E"/>
    <w:rsid w:val="00724A30"/>
    <w:rsid w:val="00724A34"/>
    <w:rsid w:val="00724A76"/>
    <w:rsid w:val="00724A8C"/>
    <w:rsid w:val="00724AB2"/>
    <w:rsid w:val="00724ABA"/>
    <w:rsid w:val="00724AC4"/>
    <w:rsid w:val="00724AD6"/>
    <w:rsid w:val="00724AEB"/>
    <w:rsid w:val="00724B1D"/>
    <w:rsid w:val="00724B20"/>
    <w:rsid w:val="00724B3E"/>
    <w:rsid w:val="00724B57"/>
    <w:rsid w:val="00724B64"/>
    <w:rsid w:val="00724B86"/>
    <w:rsid w:val="00724BB3"/>
    <w:rsid w:val="00724BD8"/>
    <w:rsid w:val="00724C70"/>
    <w:rsid w:val="00724C78"/>
    <w:rsid w:val="00724C9D"/>
    <w:rsid w:val="00724CD5"/>
    <w:rsid w:val="00724CEF"/>
    <w:rsid w:val="00724D3D"/>
    <w:rsid w:val="00724D52"/>
    <w:rsid w:val="00724DA1"/>
    <w:rsid w:val="00724DAE"/>
    <w:rsid w:val="00724DCD"/>
    <w:rsid w:val="00724DDD"/>
    <w:rsid w:val="00724DE0"/>
    <w:rsid w:val="00724E05"/>
    <w:rsid w:val="00724E16"/>
    <w:rsid w:val="00724E60"/>
    <w:rsid w:val="00724E68"/>
    <w:rsid w:val="00724E78"/>
    <w:rsid w:val="00724E85"/>
    <w:rsid w:val="00724E91"/>
    <w:rsid w:val="00724EE4"/>
    <w:rsid w:val="00724EEC"/>
    <w:rsid w:val="00724F1D"/>
    <w:rsid w:val="00724F39"/>
    <w:rsid w:val="00724F80"/>
    <w:rsid w:val="00725027"/>
    <w:rsid w:val="00725045"/>
    <w:rsid w:val="0072505F"/>
    <w:rsid w:val="0072508A"/>
    <w:rsid w:val="007250A1"/>
    <w:rsid w:val="007250B8"/>
    <w:rsid w:val="007250BD"/>
    <w:rsid w:val="00725103"/>
    <w:rsid w:val="00725104"/>
    <w:rsid w:val="00725127"/>
    <w:rsid w:val="0072513B"/>
    <w:rsid w:val="007251A9"/>
    <w:rsid w:val="007251B3"/>
    <w:rsid w:val="007251C2"/>
    <w:rsid w:val="0072523C"/>
    <w:rsid w:val="0072524F"/>
    <w:rsid w:val="0072529B"/>
    <w:rsid w:val="007252B3"/>
    <w:rsid w:val="007252CE"/>
    <w:rsid w:val="007252E8"/>
    <w:rsid w:val="007252F0"/>
    <w:rsid w:val="00725319"/>
    <w:rsid w:val="00725359"/>
    <w:rsid w:val="00725369"/>
    <w:rsid w:val="0072538E"/>
    <w:rsid w:val="00725392"/>
    <w:rsid w:val="00725404"/>
    <w:rsid w:val="00725417"/>
    <w:rsid w:val="0072542B"/>
    <w:rsid w:val="0072546C"/>
    <w:rsid w:val="007254E4"/>
    <w:rsid w:val="00725523"/>
    <w:rsid w:val="00725563"/>
    <w:rsid w:val="00725568"/>
    <w:rsid w:val="007255A3"/>
    <w:rsid w:val="007255A9"/>
    <w:rsid w:val="007255B2"/>
    <w:rsid w:val="007255B4"/>
    <w:rsid w:val="007255F1"/>
    <w:rsid w:val="00725650"/>
    <w:rsid w:val="007256A5"/>
    <w:rsid w:val="007256DA"/>
    <w:rsid w:val="007256F7"/>
    <w:rsid w:val="007257FD"/>
    <w:rsid w:val="00725800"/>
    <w:rsid w:val="00725808"/>
    <w:rsid w:val="00725829"/>
    <w:rsid w:val="0072584A"/>
    <w:rsid w:val="007258AC"/>
    <w:rsid w:val="007258D0"/>
    <w:rsid w:val="007258D1"/>
    <w:rsid w:val="007258E9"/>
    <w:rsid w:val="0072599B"/>
    <w:rsid w:val="007259B6"/>
    <w:rsid w:val="007259DA"/>
    <w:rsid w:val="007259F6"/>
    <w:rsid w:val="00725A73"/>
    <w:rsid w:val="00725A9A"/>
    <w:rsid w:val="00725AC2"/>
    <w:rsid w:val="00725B0C"/>
    <w:rsid w:val="00725B10"/>
    <w:rsid w:val="00725B27"/>
    <w:rsid w:val="00725B36"/>
    <w:rsid w:val="00725B59"/>
    <w:rsid w:val="00725B68"/>
    <w:rsid w:val="00725B9D"/>
    <w:rsid w:val="00725BB3"/>
    <w:rsid w:val="00725BED"/>
    <w:rsid w:val="00725C07"/>
    <w:rsid w:val="00725C0A"/>
    <w:rsid w:val="00725C1A"/>
    <w:rsid w:val="00725C21"/>
    <w:rsid w:val="00725C46"/>
    <w:rsid w:val="00725C7D"/>
    <w:rsid w:val="00725C8A"/>
    <w:rsid w:val="00725CB4"/>
    <w:rsid w:val="00725D03"/>
    <w:rsid w:val="00725D20"/>
    <w:rsid w:val="00725D5F"/>
    <w:rsid w:val="00725D8E"/>
    <w:rsid w:val="00725E09"/>
    <w:rsid w:val="00725E34"/>
    <w:rsid w:val="00725E36"/>
    <w:rsid w:val="00725E44"/>
    <w:rsid w:val="00725E81"/>
    <w:rsid w:val="00725EA1"/>
    <w:rsid w:val="00725EC8"/>
    <w:rsid w:val="00725ED9"/>
    <w:rsid w:val="00725F4F"/>
    <w:rsid w:val="00725FAA"/>
    <w:rsid w:val="00725FC3"/>
    <w:rsid w:val="00725FD0"/>
    <w:rsid w:val="00725FDB"/>
    <w:rsid w:val="00725FE6"/>
    <w:rsid w:val="00726068"/>
    <w:rsid w:val="00726144"/>
    <w:rsid w:val="0072616F"/>
    <w:rsid w:val="00726171"/>
    <w:rsid w:val="0072617B"/>
    <w:rsid w:val="00726195"/>
    <w:rsid w:val="007261AE"/>
    <w:rsid w:val="00726203"/>
    <w:rsid w:val="00726227"/>
    <w:rsid w:val="00726311"/>
    <w:rsid w:val="00726326"/>
    <w:rsid w:val="00726346"/>
    <w:rsid w:val="00726392"/>
    <w:rsid w:val="00726393"/>
    <w:rsid w:val="007263B2"/>
    <w:rsid w:val="007263F7"/>
    <w:rsid w:val="00726400"/>
    <w:rsid w:val="00726407"/>
    <w:rsid w:val="00726411"/>
    <w:rsid w:val="00726419"/>
    <w:rsid w:val="0072642F"/>
    <w:rsid w:val="00726442"/>
    <w:rsid w:val="00726461"/>
    <w:rsid w:val="0072647F"/>
    <w:rsid w:val="007264C8"/>
    <w:rsid w:val="007264C9"/>
    <w:rsid w:val="007264D7"/>
    <w:rsid w:val="0072655E"/>
    <w:rsid w:val="00726579"/>
    <w:rsid w:val="007265A3"/>
    <w:rsid w:val="007265AB"/>
    <w:rsid w:val="007265EF"/>
    <w:rsid w:val="007265F9"/>
    <w:rsid w:val="007265FF"/>
    <w:rsid w:val="00726601"/>
    <w:rsid w:val="00726610"/>
    <w:rsid w:val="0072664B"/>
    <w:rsid w:val="0072665E"/>
    <w:rsid w:val="007266B6"/>
    <w:rsid w:val="007266D0"/>
    <w:rsid w:val="007266E3"/>
    <w:rsid w:val="00726704"/>
    <w:rsid w:val="00726756"/>
    <w:rsid w:val="007267E1"/>
    <w:rsid w:val="00726816"/>
    <w:rsid w:val="00726826"/>
    <w:rsid w:val="00726849"/>
    <w:rsid w:val="0072684A"/>
    <w:rsid w:val="00726870"/>
    <w:rsid w:val="00726883"/>
    <w:rsid w:val="007268A1"/>
    <w:rsid w:val="007268FF"/>
    <w:rsid w:val="007269AB"/>
    <w:rsid w:val="007269BD"/>
    <w:rsid w:val="00726A2E"/>
    <w:rsid w:val="00726A55"/>
    <w:rsid w:val="00726A6C"/>
    <w:rsid w:val="00726AC7"/>
    <w:rsid w:val="00726AD3"/>
    <w:rsid w:val="00726AD6"/>
    <w:rsid w:val="00726AEA"/>
    <w:rsid w:val="00726B1A"/>
    <w:rsid w:val="00726B26"/>
    <w:rsid w:val="00726B29"/>
    <w:rsid w:val="00726B91"/>
    <w:rsid w:val="00726B9F"/>
    <w:rsid w:val="00726BD5"/>
    <w:rsid w:val="00726BF5"/>
    <w:rsid w:val="00726BF7"/>
    <w:rsid w:val="00726C23"/>
    <w:rsid w:val="00726C2A"/>
    <w:rsid w:val="00726C65"/>
    <w:rsid w:val="00726C7F"/>
    <w:rsid w:val="00726C9F"/>
    <w:rsid w:val="00726CC1"/>
    <w:rsid w:val="00726CC5"/>
    <w:rsid w:val="00726CE0"/>
    <w:rsid w:val="00726D01"/>
    <w:rsid w:val="00726D19"/>
    <w:rsid w:val="00726D33"/>
    <w:rsid w:val="00726D34"/>
    <w:rsid w:val="00726D62"/>
    <w:rsid w:val="00726D71"/>
    <w:rsid w:val="00726D87"/>
    <w:rsid w:val="00726DB8"/>
    <w:rsid w:val="00726E1E"/>
    <w:rsid w:val="00726E42"/>
    <w:rsid w:val="00726E89"/>
    <w:rsid w:val="00726E97"/>
    <w:rsid w:val="00726EAC"/>
    <w:rsid w:val="00726EBF"/>
    <w:rsid w:val="00726EE0"/>
    <w:rsid w:val="00726EF1"/>
    <w:rsid w:val="00726F10"/>
    <w:rsid w:val="00726F19"/>
    <w:rsid w:val="00726F3D"/>
    <w:rsid w:val="00726F4D"/>
    <w:rsid w:val="00726F76"/>
    <w:rsid w:val="00726F92"/>
    <w:rsid w:val="00726FDD"/>
    <w:rsid w:val="00726FF1"/>
    <w:rsid w:val="00727006"/>
    <w:rsid w:val="00727014"/>
    <w:rsid w:val="0072701D"/>
    <w:rsid w:val="00727022"/>
    <w:rsid w:val="00727096"/>
    <w:rsid w:val="0072711F"/>
    <w:rsid w:val="0072715A"/>
    <w:rsid w:val="007271E2"/>
    <w:rsid w:val="0072721E"/>
    <w:rsid w:val="0072726E"/>
    <w:rsid w:val="00727282"/>
    <w:rsid w:val="00727290"/>
    <w:rsid w:val="007272E7"/>
    <w:rsid w:val="0072732B"/>
    <w:rsid w:val="00727348"/>
    <w:rsid w:val="0072734D"/>
    <w:rsid w:val="00727355"/>
    <w:rsid w:val="007273E0"/>
    <w:rsid w:val="00727416"/>
    <w:rsid w:val="0072741B"/>
    <w:rsid w:val="00727426"/>
    <w:rsid w:val="0072742D"/>
    <w:rsid w:val="00727446"/>
    <w:rsid w:val="0072744F"/>
    <w:rsid w:val="00727457"/>
    <w:rsid w:val="00727491"/>
    <w:rsid w:val="007274BF"/>
    <w:rsid w:val="00727585"/>
    <w:rsid w:val="0072759E"/>
    <w:rsid w:val="007275DC"/>
    <w:rsid w:val="007275E0"/>
    <w:rsid w:val="0072760E"/>
    <w:rsid w:val="00727619"/>
    <w:rsid w:val="00727664"/>
    <w:rsid w:val="00727679"/>
    <w:rsid w:val="00727695"/>
    <w:rsid w:val="007276A4"/>
    <w:rsid w:val="007276D4"/>
    <w:rsid w:val="007276DC"/>
    <w:rsid w:val="007276F1"/>
    <w:rsid w:val="00727732"/>
    <w:rsid w:val="00727734"/>
    <w:rsid w:val="00727751"/>
    <w:rsid w:val="0072778C"/>
    <w:rsid w:val="00727795"/>
    <w:rsid w:val="00727797"/>
    <w:rsid w:val="0072779C"/>
    <w:rsid w:val="0072779D"/>
    <w:rsid w:val="007277B0"/>
    <w:rsid w:val="007277CB"/>
    <w:rsid w:val="007277EF"/>
    <w:rsid w:val="00727804"/>
    <w:rsid w:val="00727819"/>
    <w:rsid w:val="0072781E"/>
    <w:rsid w:val="00727823"/>
    <w:rsid w:val="00727840"/>
    <w:rsid w:val="00727849"/>
    <w:rsid w:val="0072786B"/>
    <w:rsid w:val="007278C9"/>
    <w:rsid w:val="00727941"/>
    <w:rsid w:val="0072798C"/>
    <w:rsid w:val="007279C2"/>
    <w:rsid w:val="007279DF"/>
    <w:rsid w:val="00727A0A"/>
    <w:rsid w:val="00727A13"/>
    <w:rsid w:val="00727A18"/>
    <w:rsid w:val="00727AA4"/>
    <w:rsid w:val="00727ABC"/>
    <w:rsid w:val="00727AC1"/>
    <w:rsid w:val="00727ACE"/>
    <w:rsid w:val="00727B01"/>
    <w:rsid w:val="00727B2A"/>
    <w:rsid w:val="00727B80"/>
    <w:rsid w:val="00727B84"/>
    <w:rsid w:val="00727BA1"/>
    <w:rsid w:val="00727BA9"/>
    <w:rsid w:val="00727C34"/>
    <w:rsid w:val="00727C63"/>
    <w:rsid w:val="00727CAC"/>
    <w:rsid w:val="00727CD1"/>
    <w:rsid w:val="00727CE0"/>
    <w:rsid w:val="00727CE3"/>
    <w:rsid w:val="00727CE6"/>
    <w:rsid w:val="00727CED"/>
    <w:rsid w:val="00727D38"/>
    <w:rsid w:val="00727D6E"/>
    <w:rsid w:val="00727D7D"/>
    <w:rsid w:val="00727D93"/>
    <w:rsid w:val="00727DA5"/>
    <w:rsid w:val="00727DA9"/>
    <w:rsid w:val="00727DC7"/>
    <w:rsid w:val="00727E0D"/>
    <w:rsid w:val="00727ECE"/>
    <w:rsid w:val="00727EEC"/>
    <w:rsid w:val="00727F7A"/>
    <w:rsid w:val="00727FC4"/>
    <w:rsid w:val="00730010"/>
    <w:rsid w:val="0073007C"/>
    <w:rsid w:val="0073008B"/>
    <w:rsid w:val="007300C8"/>
    <w:rsid w:val="0073011F"/>
    <w:rsid w:val="00730123"/>
    <w:rsid w:val="00730125"/>
    <w:rsid w:val="00730132"/>
    <w:rsid w:val="00730163"/>
    <w:rsid w:val="00730169"/>
    <w:rsid w:val="007301A6"/>
    <w:rsid w:val="007301E0"/>
    <w:rsid w:val="00730200"/>
    <w:rsid w:val="00730215"/>
    <w:rsid w:val="00730230"/>
    <w:rsid w:val="00730240"/>
    <w:rsid w:val="00730277"/>
    <w:rsid w:val="0073028A"/>
    <w:rsid w:val="007302B6"/>
    <w:rsid w:val="007302BE"/>
    <w:rsid w:val="007302C1"/>
    <w:rsid w:val="007302D3"/>
    <w:rsid w:val="007302F4"/>
    <w:rsid w:val="00730309"/>
    <w:rsid w:val="00730332"/>
    <w:rsid w:val="0073035A"/>
    <w:rsid w:val="00730377"/>
    <w:rsid w:val="00730381"/>
    <w:rsid w:val="0073039F"/>
    <w:rsid w:val="007303AE"/>
    <w:rsid w:val="007303D6"/>
    <w:rsid w:val="007303EA"/>
    <w:rsid w:val="007303FB"/>
    <w:rsid w:val="0073047D"/>
    <w:rsid w:val="007304C0"/>
    <w:rsid w:val="007304D5"/>
    <w:rsid w:val="007304E1"/>
    <w:rsid w:val="007304F2"/>
    <w:rsid w:val="00730551"/>
    <w:rsid w:val="00730559"/>
    <w:rsid w:val="0073056C"/>
    <w:rsid w:val="0073057A"/>
    <w:rsid w:val="00730582"/>
    <w:rsid w:val="0073059A"/>
    <w:rsid w:val="007305A1"/>
    <w:rsid w:val="007305DF"/>
    <w:rsid w:val="00730621"/>
    <w:rsid w:val="00730685"/>
    <w:rsid w:val="007306B9"/>
    <w:rsid w:val="007306BA"/>
    <w:rsid w:val="007306CC"/>
    <w:rsid w:val="0073075A"/>
    <w:rsid w:val="007307A5"/>
    <w:rsid w:val="007307A8"/>
    <w:rsid w:val="007307B4"/>
    <w:rsid w:val="007307CB"/>
    <w:rsid w:val="007307D6"/>
    <w:rsid w:val="00730840"/>
    <w:rsid w:val="007308A1"/>
    <w:rsid w:val="007308A4"/>
    <w:rsid w:val="007308B5"/>
    <w:rsid w:val="0073092A"/>
    <w:rsid w:val="0073092D"/>
    <w:rsid w:val="0073093C"/>
    <w:rsid w:val="00730971"/>
    <w:rsid w:val="007309CC"/>
    <w:rsid w:val="00730A23"/>
    <w:rsid w:val="00730A27"/>
    <w:rsid w:val="00730A7D"/>
    <w:rsid w:val="00730A8E"/>
    <w:rsid w:val="00730A9D"/>
    <w:rsid w:val="00730AB8"/>
    <w:rsid w:val="00730ABD"/>
    <w:rsid w:val="00730AC4"/>
    <w:rsid w:val="00730AD8"/>
    <w:rsid w:val="00730AD9"/>
    <w:rsid w:val="00730B67"/>
    <w:rsid w:val="00730BB3"/>
    <w:rsid w:val="00730BE5"/>
    <w:rsid w:val="00730BE9"/>
    <w:rsid w:val="00730BF6"/>
    <w:rsid w:val="00730C0B"/>
    <w:rsid w:val="00730C10"/>
    <w:rsid w:val="00730C1C"/>
    <w:rsid w:val="00730C37"/>
    <w:rsid w:val="00730C39"/>
    <w:rsid w:val="00730C92"/>
    <w:rsid w:val="00730CCD"/>
    <w:rsid w:val="00730D14"/>
    <w:rsid w:val="00730D20"/>
    <w:rsid w:val="00730DA8"/>
    <w:rsid w:val="00730DCB"/>
    <w:rsid w:val="00730E1D"/>
    <w:rsid w:val="00730E79"/>
    <w:rsid w:val="00730E89"/>
    <w:rsid w:val="00730EDF"/>
    <w:rsid w:val="00730F27"/>
    <w:rsid w:val="00730F55"/>
    <w:rsid w:val="00730F64"/>
    <w:rsid w:val="00730F67"/>
    <w:rsid w:val="00730F7E"/>
    <w:rsid w:val="00730FB0"/>
    <w:rsid w:val="00730FBC"/>
    <w:rsid w:val="00730FF0"/>
    <w:rsid w:val="00730FF3"/>
    <w:rsid w:val="00730FF6"/>
    <w:rsid w:val="00730FFB"/>
    <w:rsid w:val="00731040"/>
    <w:rsid w:val="0073104E"/>
    <w:rsid w:val="00731074"/>
    <w:rsid w:val="00731086"/>
    <w:rsid w:val="0073109C"/>
    <w:rsid w:val="007310D5"/>
    <w:rsid w:val="0073112F"/>
    <w:rsid w:val="0073114A"/>
    <w:rsid w:val="007311AB"/>
    <w:rsid w:val="007311BA"/>
    <w:rsid w:val="007311F6"/>
    <w:rsid w:val="0073120F"/>
    <w:rsid w:val="0073125A"/>
    <w:rsid w:val="00731268"/>
    <w:rsid w:val="007312BB"/>
    <w:rsid w:val="007312CA"/>
    <w:rsid w:val="007312D4"/>
    <w:rsid w:val="00731317"/>
    <w:rsid w:val="00731332"/>
    <w:rsid w:val="0073133A"/>
    <w:rsid w:val="00731384"/>
    <w:rsid w:val="0073138B"/>
    <w:rsid w:val="00731397"/>
    <w:rsid w:val="007313B7"/>
    <w:rsid w:val="007313E9"/>
    <w:rsid w:val="00731400"/>
    <w:rsid w:val="0073142F"/>
    <w:rsid w:val="0073143F"/>
    <w:rsid w:val="00731476"/>
    <w:rsid w:val="00731488"/>
    <w:rsid w:val="0073148E"/>
    <w:rsid w:val="007314A2"/>
    <w:rsid w:val="007314B2"/>
    <w:rsid w:val="007314C4"/>
    <w:rsid w:val="007314C9"/>
    <w:rsid w:val="00731507"/>
    <w:rsid w:val="00731572"/>
    <w:rsid w:val="00731581"/>
    <w:rsid w:val="007315EF"/>
    <w:rsid w:val="007315F5"/>
    <w:rsid w:val="0073160D"/>
    <w:rsid w:val="0073162E"/>
    <w:rsid w:val="00731638"/>
    <w:rsid w:val="00731647"/>
    <w:rsid w:val="0073165C"/>
    <w:rsid w:val="00731684"/>
    <w:rsid w:val="00731696"/>
    <w:rsid w:val="0073169F"/>
    <w:rsid w:val="007316BA"/>
    <w:rsid w:val="007316F3"/>
    <w:rsid w:val="007317FE"/>
    <w:rsid w:val="0073183A"/>
    <w:rsid w:val="00731878"/>
    <w:rsid w:val="0073189B"/>
    <w:rsid w:val="007318A1"/>
    <w:rsid w:val="007318DE"/>
    <w:rsid w:val="007318EB"/>
    <w:rsid w:val="007318EC"/>
    <w:rsid w:val="00731908"/>
    <w:rsid w:val="0073190C"/>
    <w:rsid w:val="00731930"/>
    <w:rsid w:val="00731933"/>
    <w:rsid w:val="007319AA"/>
    <w:rsid w:val="007319C5"/>
    <w:rsid w:val="007319C6"/>
    <w:rsid w:val="007319D1"/>
    <w:rsid w:val="00731A06"/>
    <w:rsid w:val="00731AC7"/>
    <w:rsid w:val="00731ADE"/>
    <w:rsid w:val="00731AE3"/>
    <w:rsid w:val="00731B2D"/>
    <w:rsid w:val="00731B77"/>
    <w:rsid w:val="00731B8B"/>
    <w:rsid w:val="00731C07"/>
    <w:rsid w:val="00731C58"/>
    <w:rsid w:val="00731CBB"/>
    <w:rsid w:val="00731CE3"/>
    <w:rsid w:val="00731CED"/>
    <w:rsid w:val="00731D21"/>
    <w:rsid w:val="00731D81"/>
    <w:rsid w:val="00731D8E"/>
    <w:rsid w:val="00731DA8"/>
    <w:rsid w:val="00731DEB"/>
    <w:rsid w:val="00731E1C"/>
    <w:rsid w:val="00731E25"/>
    <w:rsid w:val="00731E55"/>
    <w:rsid w:val="00731E5F"/>
    <w:rsid w:val="00731E68"/>
    <w:rsid w:val="00731E79"/>
    <w:rsid w:val="00731E7F"/>
    <w:rsid w:val="00731EBD"/>
    <w:rsid w:val="00731EC6"/>
    <w:rsid w:val="00731ED8"/>
    <w:rsid w:val="00731F17"/>
    <w:rsid w:val="00731F3A"/>
    <w:rsid w:val="00731F43"/>
    <w:rsid w:val="00731F56"/>
    <w:rsid w:val="00731F6C"/>
    <w:rsid w:val="00731F7F"/>
    <w:rsid w:val="00731FA3"/>
    <w:rsid w:val="00731FB0"/>
    <w:rsid w:val="00731FC8"/>
    <w:rsid w:val="00731FD6"/>
    <w:rsid w:val="00731FE1"/>
    <w:rsid w:val="00731FEF"/>
    <w:rsid w:val="00731FF0"/>
    <w:rsid w:val="00731FF4"/>
    <w:rsid w:val="0073201A"/>
    <w:rsid w:val="0073206A"/>
    <w:rsid w:val="007320E0"/>
    <w:rsid w:val="007320E9"/>
    <w:rsid w:val="00732146"/>
    <w:rsid w:val="007321AF"/>
    <w:rsid w:val="007321DB"/>
    <w:rsid w:val="007321DD"/>
    <w:rsid w:val="0073222A"/>
    <w:rsid w:val="00732275"/>
    <w:rsid w:val="00732278"/>
    <w:rsid w:val="00732288"/>
    <w:rsid w:val="007322A7"/>
    <w:rsid w:val="007322CD"/>
    <w:rsid w:val="007322E7"/>
    <w:rsid w:val="00732303"/>
    <w:rsid w:val="0073232B"/>
    <w:rsid w:val="00732364"/>
    <w:rsid w:val="00732390"/>
    <w:rsid w:val="00732391"/>
    <w:rsid w:val="007323BA"/>
    <w:rsid w:val="007323C5"/>
    <w:rsid w:val="0073242C"/>
    <w:rsid w:val="00732433"/>
    <w:rsid w:val="0073243F"/>
    <w:rsid w:val="00732453"/>
    <w:rsid w:val="0073247A"/>
    <w:rsid w:val="00732499"/>
    <w:rsid w:val="007324A3"/>
    <w:rsid w:val="007324B0"/>
    <w:rsid w:val="007324C6"/>
    <w:rsid w:val="007324D1"/>
    <w:rsid w:val="007324D6"/>
    <w:rsid w:val="00732503"/>
    <w:rsid w:val="00732522"/>
    <w:rsid w:val="0073257E"/>
    <w:rsid w:val="007325B3"/>
    <w:rsid w:val="007325DA"/>
    <w:rsid w:val="007325E8"/>
    <w:rsid w:val="0073260E"/>
    <w:rsid w:val="00732686"/>
    <w:rsid w:val="0073269A"/>
    <w:rsid w:val="007326B1"/>
    <w:rsid w:val="007326D9"/>
    <w:rsid w:val="007326DD"/>
    <w:rsid w:val="0073270D"/>
    <w:rsid w:val="0073271B"/>
    <w:rsid w:val="00732785"/>
    <w:rsid w:val="007327FD"/>
    <w:rsid w:val="00732859"/>
    <w:rsid w:val="007328CE"/>
    <w:rsid w:val="007328F6"/>
    <w:rsid w:val="0073292B"/>
    <w:rsid w:val="00732963"/>
    <w:rsid w:val="007329B0"/>
    <w:rsid w:val="00732A26"/>
    <w:rsid w:val="00732A3E"/>
    <w:rsid w:val="00732A6C"/>
    <w:rsid w:val="00732A70"/>
    <w:rsid w:val="00732A85"/>
    <w:rsid w:val="00732AA9"/>
    <w:rsid w:val="00732B05"/>
    <w:rsid w:val="00732B0E"/>
    <w:rsid w:val="00732B10"/>
    <w:rsid w:val="00732B15"/>
    <w:rsid w:val="00732B2F"/>
    <w:rsid w:val="00732B5A"/>
    <w:rsid w:val="00732B7D"/>
    <w:rsid w:val="00732BB7"/>
    <w:rsid w:val="00732C5C"/>
    <w:rsid w:val="00732C72"/>
    <w:rsid w:val="00732C8E"/>
    <w:rsid w:val="00732CAA"/>
    <w:rsid w:val="00732D0A"/>
    <w:rsid w:val="00732D17"/>
    <w:rsid w:val="00732D18"/>
    <w:rsid w:val="00732D20"/>
    <w:rsid w:val="00732D21"/>
    <w:rsid w:val="00732D3E"/>
    <w:rsid w:val="00732D53"/>
    <w:rsid w:val="00732D66"/>
    <w:rsid w:val="00732D6C"/>
    <w:rsid w:val="00732D7B"/>
    <w:rsid w:val="00732D87"/>
    <w:rsid w:val="00732DA7"/>
    <w:rsid w:val="00732DED"/>
    <w:rsid w:val="00732DFC"/>
    <w:rsid w:val="00732E5B"/>
    <w:rsid w:val="00732E66"/>
    <w:rsid w:val="00732E88"/>
    <w:rsid w:val="00732EB9"/>
    <w:rsid w:val="00732EC9"/>
    <w:rsid w:val="00732F59"/>
    <w:rsid w:val="00732F64"/>
    <w:rsid w:val="00732F7D"/>
    <w:rsid w:val="00732F9A"/>
    <w:rsid w:val="00732FD0"/>
    <w:rsid w:val="00732FDA"/>
    <w:rsid w:val="00732FF6"/>
    <w:rsid w:val="00733039"/>
    <w:rsid w:val="00733051"/>
    <w:rsid w:val="007330E7"/>
    <w:rsid w:val="00733142"/>
    <w:rsid w:val="0073314A"/>
    <w:rsid w:val="00733158"/>
    <w:rsid w:val="007331BC"/>
    <w:rsid w:val="007331D3"/>
    <w:rsid w:val="00733220"/>
    <w:rsid w:val="00733226"/>
    <w:rsid w:val="0073324A"/>
    <w:rsid w:val="0073325C"/>
    <w:rsid w:val="0073326B"/>
    <w:rsid w:val="00733277"/>
    <w:rsid w:val="00733287"/>
    <w:rsid w:val="007332BD"/>
    <w:rsid w:val="00733318"/>
    <w:rsid w:val="00733391"/>
    <w:rsid w:val="007333A5"/>
    <w:rsid w:val="007334A3"/>
    <w:rsid w:val="007334D7"/>
    <w:rsid w:val="007334D8"/>
    <w:rsid w:val="007334FC"/>
    <w:rsid w:val="00733549"/>
    <w:rsid w:val="00733553"/>
    <w:rsid w:val="00733554"/>
    <w:rsid w:val="00733558"/>
    <w:rsid w:val="00733576"/>
    <w:rsid w:val="0073359A"/>
    <w:rsid w:val="007335AB"/>
    <w:rsid w:val="007335B5"/>
    <w:rsid w:val="007335C7"/>
    <w:rsid w:val="0073361E"/>
    <w:rsid w:val="00733678"/>
    <w:rsid w:val="00733687"/>
    <w:rsid w:val="00733702"/>
    <w:rsid w:val="00733732"/>
    <w:rsid w:val="0073373B"/>
    <w:rsid w:val="0073373D"/>
    <w:rsid w:val="0073376A"/>
    <w:rsid w:val="00733777"/>
    <w:rsid w:val="007337C4"/>
    <w:rsid w:val="007337C7"/>
    <w:rsid w:val="007337F0"/>
    <w:rsid w:val="0073384F"/>
    <w:rsid w:val="00733851"/>
    <w:rsid w:val="00733864"/>
    <w:rsid w:val="00733873"/>
    <w:rsid w:val="00733874"/>
    <w:rsid w:val="0073387B"/>
    <w:rsid w:val="007338CA"/>
    <w:rsid w:val="007338DA"/>
    <w:rsid w:val="0073392B"/>
    <w:rsid w:val="00733983"/>
    <w:rsid w:val="007339AC"/>
    <w:rsid w:val="007339B1"/>
    <w:rsid w:val="007339C7"/>
    <w:rsid w:val="007339E4"/>
    <w:rsid w:val="00733A08"/>
    <w:rsid w:val="00733AAF"/>
    <w:rsid w:val="00733ABF"/>
    <w:rsid w:val="00733AD7"/>
    <w:rsid w:val="00733AEE"/>
    <w:rsid w:val="00733B0B"/>
    <w:rsid w:val="00733B80"/>
    <w:rsid w:val="00733B9F"/>
    <w:rsid w:val="00733BEE"/>
    <w:rsid w:val="00733BF8"/>
    <w:rsid w:val="00733C1D"/>
    <w:rsid w:val="00733C28"/>
    <w:rsid w:val="00733CC5"/>
    <w:rsid w:val="00733CF9"/>
    <w:rsid w:val="00733D3B"/>
    <w:rsid w:val="00733D42"/>
    <w:rsid w:val="00733D5E"/>
    <w:rsid w:val="00733D79"/>
    <w:rsid w:val="00733D99"/>
    <w:rsid w:val="00733E1E"/>
    <w:rsid w:val="00733E21"/>
    <w:rsid w:val="00733E47"/>
    <w:rsid w:val="00733EB5"/>
    <w:rsid w:val="00733F4F"/>
    <w:rsid w:val="00733F59"/>
    <w:rsid w:val="00733F6F"/>
    <w:rsid w:val="00733F8B"/>
    <w:rsid w:val="00733F8D"/>
    <w:rsid w:val="00734055"/>
    <w:rsid w:val="00734061"/>
    <w:rsid w:val="00734084"/>
    <w:rsid w:val="007340C1"/>
    <w:rsid w:val="007340D1"/>
    <w:rsid w:val="007340D4"/>
    <w:rsid w:val="007340F2"/>
    <w:rsid w:val="0073413C"/>
    <w:rsid w:val="00734200"/>
    <w:rsid w:val="00734214"/>
    <w:rsid w:val="00734250"/>
    <w:rsid w:val="0073427B"/>
    <w:rsid w:val="0073428A"/>
    <w:rsid w:val="0073429E"/>
    <w:rsid w:val="007342A4"/>
    <w:rsid w:val="007342D7"/>
    <w:rsid w:val="007342F4"/>
    <w:rsid w:val="00734313"/>
    <w:rsid w:val="00734335"/>
    <w:rsid w:val="0073433E"/>
    <w:rsid w:val="0073434A"/>
    <w:rsid w:val="00734360"/>
    <w:rsid w:val="00734395"/>
    <w:rsid w:val="007343CE"/>
    <w:rsid w:val="00734405"/>
    <w:rsid w:val="00734414"/>
    <w:rsid w:val="0073442D"/>
    <w:rsid w:val="0073444E"/>
    <w:rsid w:val="00734480"/>
    <w:rsid w:val="007344BF"/>
    <w:rsid w:val="007344D2"/>
    <w:rsid w:val="007344D5"/>
    <w:rsid w:val="007344F1"/>
    <w:rsid w:val="00734539"/>
    <w:rsid w:val="00734573"/>
    <w:rsid w:val="007345F5"/>
    <w:rsid w:val="007345F7"/>
    <w:rsid w:val="007345F8"/>
    <w:rsid w:val="00734631"/>
    <w:rsid w:val="0073464B"/>
    <w:rsid w:val="0073466C"/>
    <w:rsid w:val="007346DC"/>
    <w:rsid w:val="007346E3"/>
    <w:rsid w:val="00734703"/>
    <w:rsid w:val="0073470B"/>
    <w:rsid w:val="00734710"/>
    <w:rsid w:val="0073471C"/>
    <w:rsid w:val="00734721"/>
    <w:rsid w:val="00734735"/>
    <w:rsid w:val="007347A3"/>
    <w:rsid w:val="00734819"/>
    <w:rsid w:val="0073482D"/>
    <w:rsid w:val="0073484D"/>
    <w:rsid w:val="0073488B"/>
    <w:rsid w:val="0073488E"/>
    <w:rsid w:val="00734897"/>
    <w:rsid w:val="0073489F"/>
    <w:rsid w:val="007348DC"/>
    <w:rsid w:val="00734929"/>
    <w:rsid w:val="00734950"/>
    <w:rsid w:val="007349B8"/>
    <w:rsid w:val="007349B9"/>
    <w:rsid w:val="00734A39"/>
    <w:rsid w:val="00734A48"/>
    <w:rsid w:val="00734A50"/>
    <w:rsid w:val="00734A51"/>
    <w:rsid w:val="00734A55"/>
    <w:rsid w:val="00734A78"/>
    <w:rsid w:val="00734A7E"/>
    <w:rsid w:val="00734AA7"/>
    <w:rsid w:val="00734ACE"/>
    <w:rsid w:val="00734AF5"/>
    <w:rsid w:val="00734AFA"/>
    <w:rsid w:val="00734B01"/>
    <w:rsid w:val="00734B21"/>
    <w:rsid w:val="00734BA4"/>
    <w:rsid w:val="00734C11"/>
    <w:rsid w:val="00734C1B"/>
    <w:rsid w:val="00734C2F"/>
    <w:rsid w:val="00734C80"/>
    <w:rsid w:val="00734CBE"/>
    <w:rsid w:val="00734CD3"/>
    <w:rsid w:val="00734CDB"/>
    <w:rsid w:val="00734CFC"/>
    <w:rsid w:val="00734CFE"/>
    <w:rsid w:val="00734D04"/>
    <w:rsid w:val="00734D24"/>
    <w:rsid w:val="00734D25"/>
    <w:rsid w:val="00734D26"/>
    <w:rsid w:val="00734D3E"/>
    <w:rsid w:val="00734D6E"/>
    <w:rsid w:val="00734D7A"/>
    <w:rsid w:val="00734D80"/>
    <w:rsid w:val="00734D8F"/>
    <w:rsid w:val="00734D91"/>
    <w:rsid w:val="00734DA3"/>
    <w:rsid w:val="00734DDC"/>
    <w:rsid w:val="00734DEA"/>
    <w:rsid w:val="00734DFD"/>
    <w:rsid w:val="00734E14"/>
    <w:rsid w:val="00734E5F"/>
    <w:rsid w:val="00734E60"/>
    <w:rsid w:val="00734E68"/>
    <w:rsid w:val="00734E7C"/>
    <w:rsid w:val="00734E7F"/>
    <w:rsid w:val="00734E9A"/>
    <w:rsid w:val="00734EAB"/>
    <w:rsid w:val="00734EB2"/>
    <w:rsid w:val="00734EEC"/>
    <w:rsid w:val="00734F1B"/>
    <w:rsid w:val="00734F27"/>
    <w:rsid w:val="00734F29"/>
    <w:rsid w:val="00734F39"/>
    <w:rsid w:val="00734F6A"/>
    <w:rsid w:val="00734F7F"/>
    <w:rsid w:val="00734F81"/>
    <w:rsid w:val="00734F98"/>
    <w:rsid w:val="00734FBD"/>
    <w:rsid w:val="00734FD2"/>
    <w:rsid w:val="00734FFE"/>
    <w:rsid w:val="0073500B"/>
    <w:rsid w:val="0073500E"/>
    <w:rsid w:val="00735047"/>
    <w:rsid w:val="0073504E"/>
    <w:rsid w:val="00735067"/>
    <w:rsid w:val="007350BA"/>
    <w:rsid w:val="007350C0"/>
    <w:rsid w:val="0073514F"/>
    <w:rsid w:val="007351E0"/>
    <w:rsid w:val="0073520A"/>
    <w:rsid w:val="00735273"/>
    <w:rsid w:val="007352E5"/>
    <w:rsid w:val="00735305"/>
    <w:rsid w:val="0073534C"/>
    <w:rsid w:val="00735374"/>
    <w:rsid w:val="00735395"/>
    <w:rsid w:val="007353B6"/>
    <w:rsid w:val="007353D8"/>
    <w:rsid w:val="00735407"/>
    <w:rsid w:val="0073543D"/>
    <w:rsid w:val="00735440"/>
    <w:rsid w:val="0073544F"/>
    <w:rsid w:val="00735477"/>
    <w:rsid w:val="00735521"/>
    <w:rsid w:val="00735563"/>
    <w:rsid w:val="0073558F"/>
    <w:rsid w:val="0073560A"/>
    <w:rsid w:val="00735611"/>
    <w:rsid w:val="00735639"/>
    <w:rsid w:val="0073563B"/>
    <w:rsid w:val="00735652"/>
    <w:rsid w:val="00735665"/>
    <w:rsid w:val="007356A6"/>
    <w:rsid w:val="007356BC"/>
    <w:rsid w:val="007356C1"/>
    <w:rsid w:val="007356E3"/>
    <w:rsid w:val="007356EF"/>
    <w:rsid w:val="0073570F"/>
    <w:rsid w:val="0073575F"/>
    <w:rsid w:val="00735789"/>
    <w:rsid w:val="0073579B"/>
    <w:rsid w:val="007357E8"/>
    <w:rsid w:val="00735860"/>
    <w:rsid w:val="00735861"/>
    <w:rsid w:val="0073586A"/>
    <w:rsid w:val="00735870"/>
    <w:rsid w:val="00735872"/>
    <w:rsid w:val="0073589A"/>
    <w:rsid w:val="007358A7"/>
    <w:rsid w:val="007358F9"/>
    <w:rsid w:val="0073597A"/>
    <w:rsid w:val="007359AA"/>
    <w:rsid w:val="007359AB"/>
    <w:rsid w:val="007359B3"/>
    <w:rsid w:val="007359CA"/>
    <w:rsid w:val="007359F4"/>
    <w:rsid w:val="00735A1A"/>
    <w:rsid w:val="00735A3D"/>
    <w:rsid w:val="00735A4C"/>
    <w:rsid w:val="00735A5C"/>
    <w:rsid w:val="00735A5E"/>
    <w:rsid w:val="00735ABF"/>
    <w:rsid w:val="00735AD7"/>
    <w:rsid w:val="00735AFB"/>
    <w:rsid w:val="00735B68"/>
    <w:rsid w:val="00735BA1"/>
    <w:rsid w:val="00735BA9"/>
    <w:rsid w:val="00735BD4"/>
    <w:rsid w:val="00735C2A"/>
    <w:rsid w:val="00735C70"/>
    <w:rsid w:val="00735CBA"/>
    <w:rsid w:val="00735CFA"/>
    <w:rsid w:val="00735D01"/>
    <w:rsid w:val="00735D03"/>
    <w:rsid w:val="00735D3D"/>
    <w:rsid w:val="00735D42"/>
    <w:rsid w:val="00735D46"/>
    <w:rsid w:val="00735D48"/>
    <w:rsid w:val="00735D9D"/>
    <w:rsid w:val="00735DA7"/>
    <w:rsid w:val="00735DEE"/>
    <w:rsid w:val="00735E18"/>
    <w:rsid w:val="00735E76"/>
    <w:rsid w:val="00735EBD"/>
    <w:rsid w:val="00735ECC"/>
    <w:rsid w:val="00735ED2"/>
    <w:rsid w:val="00735F87"/>
    <w:rsid w:val="00735F8D"/>
    <w:rsid w:val="00735FA7"/>
    <w:rsid w:val="00735FAF"/>
    <w:rsid w:val="00735FB8"/>
    <w:rsid w:val="00735FDF"/>
    <w:rsid w:val="00735FF1"/>
    <w:rsid w:val="00735FF8"/>
    <w:rsid w:val="00736032"/>
    <w:rsid w:val="00736050"/>
    <w:rsid w:val="00736090"/>
    <w:rsid w:val="0073609E"/>
    <w:rsid w:val="007360A6"/>
    <w:rsid w:val="007360B3"/>
    <w:rsid w:val="00736101"/>
    <w:rsid w:val="00736143"/>
    <w:rsid w:val="00736161"/>
    <w:rsid w:val="007361A4"/>
    <w:rsid w:val="007361D3"/>
    <w:rsid w:val="0073622C"/>
    <w:rsid w:val="0073629A"/>
    <w:rsid w:val="007362E1"/>
    <w:rsid w:val="00736300"/>
    <w:rsid w:val="0073631C"/>
    <w:rsid w:val="0073631F"/>
    <w:rsid w:val="0073632B"/>
    <w:rsid w:val="0073632E"/>
    <w:rsid w:val="00736332"/>
    <w:rsid w:val="0073635B"/>
    <w:rsid w:val="0073635C"/>
    <w:rsid w:val="0073635D"/>
    <w:rsid w:val="00736360"/>
    <w:rsid w:val="0073636D"/>
    <w:rsid w:val="0073637D"/>
    <w:rsid w:val="007363D5"/>
    <w:rsid w:val="007363D9"/>
    <w:rsid w:val="007363E3"/>
    <w:rsid w:val="007363F7"/>
    <w:rsid w:val="007363FB"/>
    <w:rsid w:val="00736408"/>
    <w:rsid w:val="0073643F"/>
    <w:rsid w:val="0073645D"/>
    <w:rsid w:val="007364BD"/>
    <w:rsid w:val="007364FD"/>
    <w:rsid w:val="00736502"/>
    <w:rsid w:val="0073650C"/>
    <w:rsid w:val="0073651E"/>
    <w:rsid w:val="0073651F"/>
    <w:rsid w:val="0073652C"/>
    <w:rsid w:val="0073653F"/>
    <w:rsid w:val="00736540"/>
    <w:rsid w:val="0073654E"/>
    <w:rsid w:val="00736557"/>
    <w:rsid w:val="0073659C"/>
    <w:rsid w:val="007365A6"/>
    <w:rsid w:val="007365B6"/>
    <w:rsid w:val="007365E0"/>
    <w:rsid w:val="007365EF"/>
    <w:rsid w:val="00736620"/>
    <w:rsid w:val="0073662A"/>
    <w:rsid w:val="00736659"/>
    <w:rsid w:val="00736667"/>
    <w:rsid w:val="0073666B"/>
    <w:rsid w:val="00736671"/>
    <w:rsid w:val="00736693"/>
    <w:rsid w:val="007366EC"/>
    <w:rsid w:val="00736700"/>
    <w:rsid w:val="0073675F"/>
    <w:rsid w:val="00736761"/>
    <w:rsid w:val="00736767"/>
    <w:rsid w:val="007367A2"/>
    <w:rsid w:val="007367D8"/>
    <w:rsid w:val="007367D9"/>
    <w:rsid w:val="007367DD"/>
    <w:rsid w:val="00736816"/>
    <w:rsid w:val="0073683C"/>
    <w:rsid w:val="00736849"/>
    <w:rsid w:val="00736853"/>
    <w:rsid w:val="0073685B"/>
    <w:rsid w:val="00736864"/>
    <w:rsid w:val="0073689B"/>
    <w:rsid w:val="0073689E"/>
    <w:rsid w:val="007368A7"/>
    <w:rsid w:val="007368C8"/>
    <w:rsid w:val="007368DA"/>
    <w:rsid w:val="007368F7"/>
    <w:rsid w:val="00736903"/>
    <w:rsid w:val="0073692E"/>
    <w:rsid w:val="00736969"/>
    <w:rsid w:val="00736979"/>
    <w:rsid w:val="007369B8"/>
    <w:rsid w:val="007369C0"/>
    <w:rsid w:val="007369F7"/>
    <w:rsid w:val="00736A95"/>
    <w:rsid w:val="00736A9E"/>
    <w:rsid w:val="00736B33"/>
    <w:rsid w:val="00736B3E"/>
    <w:rsid w:val="00736B61"/>
    <w:rsid w:val="00736B74"/>
    <w:rsid w:val="00736BA9"/>
    <w:rsid w:val="00736BB0"/>
    <w:rsid w:val="00736BDB"/>
    <w:rsid w:val="00736BED"/>
    <w:rsid w:val="00736BEF"/>
    <w:rsid w:val="00736C05"/>
    <w:rsid w:val="00736C1A"/>
    <w:rsid w:val="00736C3B"/>
    <w:rsid w:val="00736C53"/>
    <w:rsid w:val="00736C5A"/>
    <w:rsid w:val="00736C5C"/>
    <w:rsid w:val="00736D2A"/>
    <w:rsid w:val="00736D61"/>
    <w:rsid w:val="00736D7A"/>
    <w:rsid w:val="00736D8F"/>
    <w:rsid w:val="00736D95"/>
    <w:rsid w:val="00736DBC"/>
    <w:rsid w:val="00736E01"/>
    <w:rsid w:val="00736E02"/>
    <w:rsid w:val="00736E0D"/>
    <w:rsid w:val="00736ED2"/>
    <w:rsid w:val="00736EF1"/>
    <w:rsid w:val="00736EF3"/>
    <w:rsid w:val="00736EFF"/>
    <w:rsid w:val="00736F48"/>
    <w:rsid w:val="00736F93"/>
    <w:rsid w:val="00736F95"/>
    <w:rsid w:val="00736FA7"/>
    <w:rsid w:val="00736FA9"/>
    <w:rsid w:val="00736FC8"/>
    <w:rsid w:val="00736FE8"/>
    <w:rsid w:val="00737000"/>
    <w:rsid w:val="00737002"/>
    <w:rsid w:val="0073704F"/>
    <w:rsid w:val="00737065"/>
    <w:rsid w:val="00737070"/>
    <w:rsid w:val="00737090"/>
    <w:rsid w:val="00737095"/>
    <w:rsid w:val="0073709B"/>
    <w:rsid w:val="007370D6"/>
    <w:rsid w:val="007370F2"/>
    <w:rsid w:val="0073711B"/>
    <w:rsid w:val="0073712B"/>
    <w:rsid w:val="00737181"/>
    <w:rsid w:val="007371B3"/>
    <w:rsid w:val="00737215"/>
    <w:rsid w:val="0073725A"/>
    <w:rsid w:val="0073725C"/>
    <w:rsid w:val="00737271"/>
    <w:rsid w:val="00737282"/>
    <w:rsid w:val="007372A5"/>
    <w:rsid w:val="007372B7"/>
    <w:rsid w:val="007372BF"/>
    <w:rsid w:val="007372E3"/>
    <w:rsid w:val="007372E8"/>
    <w:rsid w:val="007372E9"/>
    <w:rsid w:val="0073735F"/>
    <w:rsid w:val="00737364"/>
    <w:rsid w:val="00737383"/>
    <w:rsid w:val="007373FC"/>
    <w:rsid w:val="0073741C"/>
    <w:rsid w:val="0073745F"/>
    <w:rsid w:val="00737495"/>
    <w:rsid w:val="007374C4"/>
    <w:rsid w:val="007374F9"/>
    <w:rsid w:val="0073753A"/>
    <w:rsid w:val="0073754A"/>
    <w:rsid w:val="007375BF"/>
    <w:rsid w:val="007375DB"/>
    <w:rsid w:val="007375E9"/>
    <w:rsid w:val="007375EF"/>
    <w:rsid w:val="00737633"/>
    <w:rsid w:val="0073767F"/>
    <w:rsid w:val="00737694"/>
    <w:rsid w:val="0073769F"/>
    <w:rsid w:val="007376B9"/>
    <w:rsid w:val="007376F8"/>
    <w:rsid w:val="007376F9"/>
    <w:rsid w:val="007376FD"/>
    <w:rsid w:val="00737741"/>
    <w:rsid w:val="00737748"/>
    <w:rsid w:val="0073775A"/>
    <w:rsid w:val="007377B1"/>
    <w:rsid w:val="007377E2"/>
    <w:rsid w:val="00737814"/>
    <w:rsid w:val="00737838"/>
    <w:rsid w:val="00737839"/>
    <w:rsid w:val="0073783D"/>
    <w:rsid w:val="00737840"/>
    <w:rsid w:val="0073785B"/>
    <w:rsid w:val="0073787F"/>
    <w:rsid w:val="00737928"/>
    <w:rsid w:val="0073794A"/>
    <w:rsid w:val="00737963"/>
    <w:rsid w:val="007379B6"/>
    <w:rsid w:val="007379D0"/>
    <w:rsid w:val="007379D1"/>
    <w:rsid w:val="00737A01"/>
    <w:rsid w:val="00737A04"/>
    <w:rsid w:val="00737A05"/>
    <w:rsid w:val="00737A17"/>
    <w:rsid w:val="00737A64"/>
    <w:rsid w:val="00737B3B"/>
    <w:rsid w:val="00737B5E"/>
    <w:rsid w:val="00737B74"/>
    <w:rsid w:val="00737BB8"/>
    <w:rsid w:val="00737BC7"/>
    <w:rsid w:val="00737BF5"/>
    <w:rsid w:val="00737C06"/>
    <w:rsid w:val="00737C0B"/>
    <w:rsid w:val="00737C1E"/>
    <w:rsid w:val="00737C3D"/>
    <w:rsid w:val="00737C58"/>
    <w:rsid w:val="00737C80"/>
    <w:rsid w:val="00737CA7"/>
    <w:rsid w:val="00737CAC"/>
    <w:rsid w:val="00737CCA"/>
    <w:rsid w:val="00737CD2"/>
    <w:rsid w:val="00737D1D"/>
    <w:rsid w:val="00737D4C"/>
    <w:rsid w:val="00737D8E"/>
    <w:rsid w:val="00737DB1"/>
    <w:rsid w:val="00737DD3"/>
    <w:rsid w:val="00737DF9"/>
    <w:rsid w:val="00737E07"/>
    <w:rsid w:val="00737E7D"/>
    <w:rsid w:val="00737E8A"/>
    <w:rsid w:val="00737E91"/>
    <w:rsid w:val="00737EBA"/>
    <w:rsid w:val="00737EDD"/>
    <w:rsid w:val="00737EF2"/>
    <w:rsid w:val="00737F0B"/>
    <w:rsid w:val="00737F2B"/>
    <w:rsid w:val="00737F45"/>
    <w:rsid w:val="00737F6A"/>
    <w:rsid w:val="00737FDE"/>
    <w:rsid w:val="00737FE6"/>
    <w:rsid w:val="00737FFD"/>
    <w:rsid w:val="0074001D"/>
    <w:rsid w:val="00740037"/>
    <w:rsid w:val="00740047"/>
    <w:rsid w:val="00740080"/>
    <w:rsid w:val="0074009D"/>
    <w:rsid w:val="007400B6"/>
    <w:rsid w:val="007400D7"/>
    <w:rsid w:val="00740117"/>
    <w:rsid w:val="00740118"/>
    <w:rsid w:val="00740125"/>
    <w:rsid w:val="0074015E"/>
    <w:rsid w:val="007401C0"/>
    <w:rsid w:val="007401D1"/>
    <w:rsid w:val="007401F3"/>
    <w:rsid w:val="0074021B"/>
    <w:rsid w:val="00740220"/>
    <w:rsid w:val="0074024C"/>
    <w:rsid w:val="0074026F"/>
    <w:rsid w:val="0074027E"/>
    <w:rsid w:val="007402CA"/>
    <w:rsid w:val="00740317"/>
    <w:rsid w:val="007403AC"/>
    <w:rsid w:val="00740481"/>
    <w:rsid w:val="007404AD"/>
    <w:rsid w:val="007404FA"/>
    <w:rsid w:val="007404FB"/>
    <w:rsid w:val="0074051B"/>
    <w:rsid w:val="0074053B"/>
    <w:rsid w:val="00740554"/>
    <w:rsid w:val="007405AE"/>
    <w:rsid w:val="007405CA"/>
    <w:rsid w:val="007405E6"/>
    <w:rsid w:val="00740623"/>
    <w:rsid w:val="00740677"/>
    <w:rsid w:val="00740682"/>
    <w:rsid w:val="007406B8"/>
    <w:rsid w:val="007406DE"/>
    <w:rsid w:val="00740716"/>
    <w:rsid w:val="00740745"/>
    <w:rsid w:val="00740769"/>
    <w:rsid w:val="0074079C"/>
    <w:rsid w:val="007407A9"/>
    <w:rsid w:val="007407CE"/>
    <w:rsid w:val="0074082D"/>
    <w:rsid w:val="0074084F"/>
    <w:rsid w:val="00740869"/>
    <w:rsid w:val="007408C7"/>
    <w:rsid w:val="007408E7"/>
    <w:rsid w:val="007408FA"/>
    <w:rsid w:val="00740902"/>
    <w:rsid w:val="00740935"/>
    <w:rsid w:val="00740936"/>
    <w:rsid w:val="00740942"/>
    <w:rsid w:val="0074098B"/>
    <w:rsid w:val="00740992"/>
    <w:rsid w:val="00740994"/>
    <w:rsid w:val="007409DC"/>
    <w:rsid w:val="007409E7"/>
    <w:rsid w:val="00740A35"/>
    <w:rsid w:val="00740A46"/>
    <w:rsid w:val="00740AE0"/>
    <w:rsid w:val="00740AF5"/>
    <w:rsid w:val="00740B08"/>
    <w:rsid w:val="00740B24"/>
    <w:rsid w:val="00740B5D"/>
    <w:rsid w:val="00740B9C"/>
    <w:rsid w:val="00740BB9"/>
    <w:rsid w:val="00740BC0"/>
    <w:rsid w:val="00740BC7"/>
    <w:rsid w:val="00740C4B"/>
    <w:rsid w:val="00740C7F"/>
    <w:rsid w:val="00740C91"/>
    <w:rsid w:val="00740C94"/>
    <w:rsid w:val="00740CA4"/>
    <w:rsid w:val="00740CBD"/>
    <w:rsid w:val="00740CE5"/>
    <w:rsid w:val="00740CED"/>
    <w:rsid w:val="00740D2B"/>
    <w:rsid w:val="00740D48"/>
    <w:rsid w:val="00740D75"/>
    <w:rsid w:val="00740D91"/>
    <w:rsid w:val="00740D94"/>
    <w:rsid w:val="00740DFA"/>
    <w:rsid w:val="00740E3F"/>
    <w:rsid w:val="00740E53"/>
    <w:rsid w:val="00740E81"/>
    <w:rsid w:val="00740EBA"/>
    <w:rsid w:val="00740EE2"/>
    <w:rsid w:val="00740F45"/>
    <w:rsid w:val="00740F73"/>
    <w:rsid w:val="00740FA0"/>
    <w:rsid w:val="00740FC1"/>
    <w:rsid w:val="00740FC3"/>
    <w:rsid w:val="00740FFB"/>
    <w:rsid w:val="0074100C"/>
    <w:rsid w:val="0074101D"/>
    <w:rsid w:val="00741021"/>
    <w:rsid w:val="00741055"/>
    <w:rsid w:val="00741063"/>
    <w:rsid w:val="00741067"/>
    <w:rsid w:val="007410A8"/>
    <w:rsid w:val="007410BE"/>
    <w:rsid w:val="00741141"/>
    <w:rsid w:val="0074118D"/>
    <w:rsid w:val="00741195"/>
    <w:rsid w:val="007411AF"/>
    <w:rsid w:val="007411BD"/>
    <w:rsid w:val="0074120B"/>
    <w:rsid w:val="00741265"/>
    <w:rsid w:val="00741298"/>
    <w:rsid w:val="007412A5"/>
    <w:rsid w:val="007412E4"/>
    <w:rsid w:val="0074130F"/>
    <w:rsid w:val="00741379"/>
    <w:rsid w:val="00741389"/>
    <w:rsid w:val="007413B2"/>
    <w:rsid w:val="00741430"/>
    <w:rsid w:val="0074143A"/>
    <w:rsid w:val="00741472"/>
    <w:rsid w:val="007414B9"/>
    <w:rsid w:val="007414F3"/>
    <w:rsid w:val="0074150B"/>
    <w:rsid w:val="0074150D"/>
    <w:rsid w:val="00741510"/>
    <w:rsid w:val="00741540"/>
    <w:rsid w:val="00741594"/>
    <w:rsid w:val="00741597"/>
    <w:rsid w:val="007415A7"/>
    <w:rsid w:val="007415D0"/>
    <w:rsid w:val="0074160E"/>
    <w:rsid w:val="00741616"/>
    <w:rsid w:val="00741685"/>
    <w:rsid w:val="0074168B"/>
    <w:rsid w:val="007416AD"/>
    <w:rsid w:val="007416AE"/>
    <w:rsid w:val="007416BA"/>
    <w:rsid w:val="007416D3"/>
    <w:rsid w:val="007416EC"/>
    <w:rsid w:val="00741742"/>
    <w:rsid w:val="00741774"/>
    <w:rsid w:val="0074178C"/>
    <w:rsid w:val="007417A7"/>
    <w:rsid w:val="007417AE"/>
    <w:rsid w:val="007417B0"/>
    <w:rsid w:val="007417CF"/>
    <w:rsid w:val="007417D4"/>
    <w:rsid w:val="0074183F"/>
    <w:rsid w:val="00741872"/>
    <w:rsid w:val="0074188B"/>
    <w:rsid w:val="00741897"/>
    <w:rsid w:val="007418FF"/>
    <w:rsid w:val="00741926"/>
    <w:rsid w:val="0074194B"/>
    <w:rsid w:val="007419DC"/>
    <w:rsid w:val="00741A09"/>
    <w:rsid w:val="00741A13"/>
    <w:rsid w:val="00741A1E"/>
    <w:rsid w:val="00741A55"/>
    <w:rsid w:val="00741A72"/>
    <w:rsid w:val="00741AE5"/>
    <w:rsid w:val="00741B20"/>
    <w:rsid w:val="00741B2B"/>
    <w:rsid w:val="00741B3E"/>
    <w:rsid w:val="00741B5C"/>
    <w:rsid w:val="00741BA2"/>
    <w:rsid w:val="00741BAA"/>
    <w:rsid w:val="00741BBF"/>
    <w:rsid w:val="00741BF5"/>
    <w:rsid w:val="00741BF8"/>
    <w:rsid w:val="00741C06"/>
    <w:rsid w:val="00741C3B"/>
    <w:rsid w:val="00741C7C"/>
    <w:rsid w:val="00741D2A"/>
    <w:rsid w:val="00741D4B"/>
    <w:rsid w:val="00741D4D"/>
    <w:rsid w:val="00741D7D"/>
    <w:rsid w:val="00741D96"/>
    <w:rsid w:val="00741DEA"/>
    <w:rsid w:val="00741DF9"/>
    <w:rsid w:val="00741E43"/>
    <w:rsid w:val="00741E89"/>
    <w:rsid w:val="00741F8E"/>
    <w:rsid w:val="00741FA3"/>
    <w:rsid w:val="00741FAE"/>
    <w:rsid w:val="00741FE0"/>
    <w:rsid w:val="00741FF4"/>
    <w:rsid w:val="0074200D"/>
    <w:rsid w:val="0074200E"/>
    <w:rsid w:val="0074202E"/>
    <w:rsid w:val="0074203A"/>
    <w:rsid w:val="00742054"/>
    <w:rsid w:val="0074207A"/>
    <w:rsid w:val="007420BC"/>
    <w:rsid w:val="007420D8"/>
    <w:rsid w:val="0074210F"/>
    <w:rsid w:val="00742174"/>
    <w:rsid w:val="007421D3"/>
    <w:rsid w:val="007421D4"/>
    <w:rsid w:val="007421E8"/>
    <w:rsid w:val="0074221D"/>
    <w:rsid w:val="0074222C"/>
    <w:rsid w:val="00742268"/>
    <w:rsid w:val="00742276"/>
    <w:rsid w:val="00742288"/>
    <w:rsid w:val="007422B0"/>
    <w:rsid w:val="007422C2"/>
    <w:rsid w:val="00742390"/>
    <w:rsid w:val="007423A9"/>
    <w:rsid w:val="007423BA"/>
    <w:rsid w:val="007423CA"/>
    <w:rsid w:val="0074241F"/>
    <w:rsid w:val="00742458"/>
    <w:rsid w:val="00742460"/>
    <w:rsid w:val="00742474"/>
    <w:rsid w:val="00742488"/>
    <w:rsid w:val="00742508"/>
    <w:rsid w:val="00742549"/>
    <w:rsid w:val="00742568"/>
    <w:rsid w:val="0074256E"/>
    <w:rsid w:val="007425C5"/>
    <w:rsid w:val="00742613"/>
    <w:rsid w:val="00742629"/>
    <w:rsid w:val="00742669"/>
    <w:rsid w:val="00742671"/>
    <w:rsid w:val="00742689"/>
    <w:rsid w:val="0074268A"/>
    <w:rsid w:val="0074269D"/>
    <w:rsid w:val="007426C7"/>
    <w:rsid w:val="007426E9"/>
    <w:rsid w:val="0074279F"/>
    <w:rsid w:val="007427C0"/>
    <w:rsid w:val="00742819"/>
    <w:rsid w:val="00742835"/>
    <w:rsid w:val="00742850"/>
    <w:rsid w:val="00742855"/>
    <w:rsid w:val="0074286A"/>
    <w:rsid w:val="007428FC"/>
    <w:rsid w:val="00742924"/>
    <w:rsid w:val="0074292A"/>
    <w:rsid w:val="0074292E"/>
    <w:rsid w:val="0074295C"/>
    <w:rsid w:val="00742965"/>
    <w:rsid w:val="007429CB"/>
    <w:rsid w:val="00742A22"/>
    <w:rsid w:val="00742A2E"/>
    <w:rsid w:val="00742A3A"/>
    <w:rsid w:val="00742A80"/>
    <w:rsid w:val="00742A81"/>
    <w:rsid w:val="00742AA5"/>
    <w:rsid w:val="00742B09"/>
    <w:rsid w:val="00742B1C"/>
    <w:rsid w:val="00742B3E"/>
    <w:rsid w:val="00742B61"/>
    <w:rsid w:val="00742B76"/>
    <w:rsid w:val="00742BAF"/>
    <w:rsid w:val="00742BB2"/>
    <w:rsid w:val="00742C0C"/>
    <w:rsid w:val="00742C1E"/>
    <w:rsid w:val="00742C2C"/>
    <w:rsid w:val="00742C76"/>
    <w:rsid w:val="00742C89"/>
    <w:rsid w:val="00742D09"/>
    <w:rsid w:val="00742D1D"/>
    <w:rsid w:val="00742D6D"/>
    <w:rsid w:val="00742DC5"/>
    <w:rsid w:val="00742DEF"/>
    <w:rsid w:val="00742E29"/>
    <w:rsid w:val="00742E3B"/>
    <w:rsid w:val="00742E48"/>
    <w:rsid w:val="00742E7F"/>
    <w:rsid w:val="00742EC3"/>
    <w:rsid w:val="00742EEA"/>
    <w:rsid w:val="00742F36"/>
    <w:rsid w:val="00742F48"/>
    <w:rsid w:val="00742F6D"/>
    <w:rsid w:val="00742FA0"/>
    <w:rsid w:val="00742FA4"/>
    <w:rsid w:val="00742FA8"/>
    <w:rsid w:val="00742FBB"/>
    <w:rsid w:val="00742FBC"/>
    <w:rsid w:val="00742FBF"/>
    <w:rsid w:val="00742FED"/>
    <w:rsid w:val="0074302E"/>
    <w:rsid w:val="0074304E"/>
    <w:rsid w:val="0074306B"/>
    <w:rsid w:val="00743084"/>
    <w:rsid w:val="00743089"/>
    <w:rsid w:val="00743097"/>
    <w:rsid w:val="007430DE"/>
    <w:rsid w:val="0074313D"/>
    <w:rsid w:val="0074314C"/>
    <w:rsid w:val="00743154"/>
    <w:rsid w:val="0074315F"/>
    <w:rsid w:val="00743164"/>
    <w:rsid w:val="00743175"/>
    <w:rsid w:val="00743187"/>
    <w:rsid w:val="007431E1"/>
    <w:rsid w:val="00743230"/>
    <w:rsid w:val="0074327A"/>
    <w:rsid w:val="0074328E"/>
    <w:rsid w:val="007432C5"/>
    <w:rsid w:val="007432F4"/>
    <w:rsid w:val="007432F8"/>
    <w:rsid w:val="00743345"/>
    <w:rsid w:val="00743370"/>
    <w:rsid w:val="007433CF"/>
    <w:rsid w:val="007433D8"/>
    <w:rsid w:val="0074343D"/>
    <w:rsid w:val="0074347A"/>
    <w:rsid w:val="00743563"/>
    <w:rsid w:val="0074357A"/>
    <w:rsid w:val="0074358F"/>
    <w:rsid w:val="00743590"/>
    <w:rsid w:val="007435B4"/>
    <w:rsid w:val="007435F6"/>
    <w:rsid w:val="00743633"/>
    <w:rsid w:val="00743653"/>
    <w:rsid w:val="00743701"/>
    <w:rsid w:val="00743747"/>
    <w:rsid w:val="007437C3"/>
    <w:rsid w:val="007437C9"/>
    <w:rsid w:val="00743802"/>
    <w:rsid w:val="0074380F"/>
    <w:rsid w:val="00743873"/>
    <w:rsid w:val="007438AC"/>
    <w:rsid w:val="0074393B"/>
    <w:rsid w:val="00743966"/>
    <w:rsid w:val="00743986"/>
    <w:rsid w:val="0074398E"/>
    <w:rsid w:val="00743992"/>
    <w:rsid w:val="007439B1"/>
    <w:rsid w:val="007439B7"/>
    <w:rsid w:val="007439DE"/>
    <w:rsid w:val="00743A0C"/>
    <w:rsid w:val="00743A0F"/>
    <w:rsid w:val="00743A24"/>
    <w:rsid w:val="00743A3D"/>
    <w:rsid w:val="00743A54"/>
    <w:rsid w:val="00743A82"/>
    <w:rsid w:val="00743A8A"/>
    <w:rsid w:val="00743A9B"/>
    <w:rsid w:val="00743B3B"/>
    <w:rsid w:val="00743B42"/>
    <w:rsid w:val="00743B58"/>
    <w:rsid w:val="00743B97"/>
    <w:rsid w:val="00743BDE"/>
    <w:rsid w:val="00743C56"/>
    <w:rsid w:val="00743C7E"/>
    <w:rsid w:val="00743D06"/>
    <w:rsid w:val="00743D0B"/>
    <w:rsid w:val="00743D39"/>
    <w:rsid w:val="00743D47"/>
    <w:rsid w:val="00743D68"/>
    <w:rsid w:val="00743D7E"/>
    <w:rsid w:val="00743D83"/>
    <w:rsid w:val="00743DB0"/>
    <w:rsid w:val="00743DB3"/>
    <w:rsid w:val="00743DBD"/>
    <w:rsid w:val="00743E15"/>
    <w:rsid w:val="00743EB4"/>
    <w:rsid w:val="00743EBA"/>
    <w:rsid w:val="00743FDC"/>
    <w:rsid w:val="00743FE7"/>
    <w:rsid w:val="00743FEF"/>
    <w:rsid w:val="00744008"/>
    <w:rsid w:val="00744013"/>
    <w:rsid w:val="00744019"/>
    <w:rsid w:val="007440AA"/>
    <w:rsid w:val="007440B5"/>
    <w:rsid w:val="007440EA"/>
    <w:rsid w:val="007440F1"/>
    <w:rsid w:val="00744106"/>
    <w:rsid w:val="00744110"/>
    <w:rsid w:val="0074411E"/>
    <w:rsid w:val="0074414C"/>
    <w:rsid w:val="007441B4"/>
    <w:rsid w:val="007441F4"/>
    <w:rsid w:val="007441FC"/>
    <w:rsid w:val="00744228"/>
    <w:rsid w:val="00744244"/>
    <w:rsid w:val="00744287"/>
    <w:rsid w:val="007442AB"/>
    <w:rsid w:val="007442D0"/>
    <w:rsid w:val="007442D5"/>
    <w:rsid w:val="007442D8"/>
    <w:rsid w:val="007442F8"/>
    <w:rsid w:val="00744364"/>
    <w:rsid w:val="00744378"/>
    <w:rsid w:val="00744382"/>
    <w:rsid w:val="00744383"/>
    <w:rsid w:val="0074438D"/>
    <w:rsid w:val="007443AF"/>
    <w:rsid w:val="007443D5"/>
    <w:rsid w:val="007443D7"/>
    <w:rsid w:val="00744408"/>
    <w:rsid w:val="00744479"/>
    <w:rsid w:val="00744480"/>
    <w:rsid w:val="007444B7"/>
    <w:rsid w:val="007444ED"/>
    <w:rsid w:val="0074457E"/>
    <w:rsid w:val="007445B1"/>
    <w:rsid w:val="00744637"/>
    <w:rsid w:val="0074469D"/>
    <w:rsid w:val="007446A5"/>
    <w:rsid w:val="007446DF"/>
    <w:rsid w:val="00744759"/>
    <w:rsid w:val="007447A9"/>
    <w:rsid w:val="007447F4"/>
    <w:rsid w:val="00744828"/>
    <w:rsid w:val="0074484E"/>
    <w:rsid w:val="00744885"/>
    <w:rsid w:val="007448B1"/>
    <w:rsid w:val="007448B4"/>
    <w:rsid w:val="007448ED"/>
    <w:rsid w:val="0074490E"/>
    <w:rsid w:val="00744945"/>
    <w:rsid w:val="0074498E"/>
    <w:rsid w:val="007449D1"/>
    <w:rsid w:val="007449FB"/>
    <w:rsid w:val="00744A1B"/>
    <w:rsid w:val="00744A3E"/>
    <w:rsid w:val="00744A6C"/>
    <w:rsid w:val="00744AA0"/>
    <w:rsid w:val="00744AEB"/>
    <w:rsid w:val="00744B1C"/>
    <w:rsid w:val="00744B52"/>
    <w:rsid w:val="00744B72"/>
    <w:rsid w:val="00744B7C"/>
    <w:rsid w:val="00744B8B"/>
    <w:rsid w:val="00744BAF"/>
    <w:rsid w:val="00744BB0"/>
    <w:rsid w:val="00744BC4"/>
    <w:rsid w:val="00744BC5"/>
    <w:rsid w:val="00744BEC"/>
    <w:rsid w:val="00744C20"/>
    <w:rsid w:val="00744C3B"/>
    <w:rsid w:val="00744C3E"/>
    <w:rsid w:val="00744C61"/>
    <w:rsid w:val="00744C67"/>
    <w:rsid w:val="00744C91"/>
    <w:rsid w:val="00744CA3"/>
    <w:rsid w:val="00744CE0"/>
    <w:rsid w:val="00744D0E"/>
    <w:rsid w:val="00744D15"/>
    <w:rsid w:val="00744D18"/>
    <w:rsid w:val="00744D33"/>
    <w:rsid w:val="00744D77"/>
    <w:rsid w:val="00744D81"/>
    <w:rsid w:val="00744DA7"/>
    <w:rsid w:val="00744DEA"/>
    <w:rsid w:val="00744E29"/>
    <w:rsid w:val="00744E2E"/>
    <w:rsid w:val="00744E49"/>
    <w:rsid w:val="00744E5B"/>
    <w:rsid w:val="00744E9B"/>
    <w:rsid w:val="00744EAF"/>
    <w:rsid w:val="00744EEE"/>
    <w:rsid w:val="00744EF7"/>
    <w:rsid w:val="00744F09"/>
    <w:rsid w:val="00744F64"/>
    <w:rsid w:val="00744F6F"/>
    <w:rsid w:val="00744FB4"/>
    <w:rsid w:val="00744FC6"/>
    <w:rsid w:val="00744FDC"/>
    <w:rsid w:val="00745006"/>
    <w:rsid w:val="0074500F"/>
    <w:rsid w:val="0074505B"/>
    <w:rsid w:val="007450A8"/>
    <w:rsid w:val="007450BB"/>
    <w:rsid w:val="007450F5"/>
    <w:rsid w:val="00745107"/>
    <w:rsid w:val="0074511B"/>
    <w:rsid w:val="0074511C"/>
    <w:rsid w:val="00745128"/>
    <w:rsid w:val="00745131"/>
    <w:rsid w:val="00745178"/>
    <w:rsid w:val="0074518A"/>
    <w:rsid w:val="00745194"/>
    <w:rsid w:val="00745197"/>
    <w:rsid w:val="007451A2"/>
    <w:rsid w:val="007451D6"/>
    <w:rsid w:val="007451D7"/>
    <w:rsid w:val="007451DF"/>
    <w:rsid w:val="007451E7"/>
    <w:rsid w:val="00745216"/>
    <w:rsid w:val="007452BB"/>
    <w:rsid w:val="007452BD"/>
    <w:rsid w:val="007452DF"/>
    <w:rsid w:val="007452E0"/>
    <w:rsid w:val="007452F0"/>
    <w:rsid w:val="007452F5"/>
    <w:rsid w:val="00745326"/>
    <w:rsid w:val="0074532C"/>
    <w:rsid w:val="0074532D"/>
    <w:rsid w:val="00745331"/>
    <w:rsid w:val="00745349"/>
    <w:rsid w:val="0074534D"/>
    <w:rsid w:val="00745363"/>
    <w:rsid w:val="00745390"/>
    <w:rsid w:val="007453B1"/>
    <w:rsid w:val="007453C5"/>
    <w:rsid w:val="00745403"/>
    <w:rsid w:val="0074541A"/>
    <w:rsid w:val="00745427"/>
    <w:rsid w:val="0074542A"/>
    <w:rsid w:val="00745443"/>
    <w:rsid w:val="00745453"/>
    <w:rsid w:val="00745496"/>
    <w:rsid w:val="00745499"/>
    <w:rsid w:val="007454A5"/>
    <w:rsid w:val="007454A7"/>
    <w:rsid w:val="007454BB"/>
    <w:rsid w:val="007454BF"/>
    <w:rsid w:val="007454CB"/>
    <w:rsid w:val="007454E7"/>
    <w:rsid w:val="007454F7"/>
    <w:rsid w:val="0074551A"/>
    <w:rsid w:val="00745522"/>
    <w:rsid w:val="00745554"/>
    <w:rsid w:val="007455AC"/>
    <w:rsid w:val="007455CB"/>
    <w:rsid w:val="00745651"/>
    <w:rsid w:val="00745660"/>
    <w:rsid w:val="007456D9"/>
    <w:rsid w:val="0074577B"/>
    <w:rsid w:val="007457C9"/>
    <w:rsid w:val="007457CC"/>
    <w:rsid w:val="0074580E"/>
    <w:rsid w:val="0074580F"/>
    <w:rsid w:val="00745811"/>
    <w:rsid w:val="00745844"/>
    <w:rsid w:val="0074585D"/>
    <w:rsid w:val="0074585E"/>
    <w:rsid w:val="00745884"/>
    <w:rsid w:val="007458BE"/>
    <w:rsid w:val="00745921"/>
    <w:rsid w:val="00745939"/>
    <w:rsid w:val="0074594E"/>
    <w:rsid w:val="00745965"/>
    <w:rsid w:val="00745967"/>
    <w:rsid w:val="00745981"/>
    <w:rsid w:val="007459F7"/>
    <w:rsid w:val="00745A33"/>
    <w:rsid w:val="00745AAB"/>
    <w:rsid w:val="00745AEB"/>
    <w:rsid w:val="00745B2F"/>
    <w:rsid w:val="00745B5A"/>
    <w:rsid w:val="00745B81"/>
    <w:rsid w:val="00745BB2"/>
    <w:rsid w:val="00745BF7"/>
    <w:rsid w:val="00745C0C"/>
    <w:rsid w:val="00745C17"/>
    <w:rsid w:val="00745C4D"/>
    <w:rsid w:val="00745C9D"/>
    <w:rsid w:val="00745E01"/>
    <w:rsid w:val="00745E39"/>
    <w:rsid w:val="00745E43"/>
    <w:rsid w:val="00745E69"/>
    <w:rsid w:val="00745E84"/>
    <w:rsid w:val="00745E98"/>
    <w:rsid w:val="00745ED0"/>
    <w:rsid w:val="00745EFF"/>
    <w:rsid w:val="00745F34"/>
    <w:rsid w:val="00745F40"/>
    <w:rsid w:val="00745F7F"/>
    <w:rsid w:val="00745F88"/>
    <w:rsid w:val="00745FA9"/>
    <w:rsid w:val="00745FFF"/>
    <w:rsid w:val="0074600C"/>
    <w:rsid w:val="00746011"/>
    <w:rsid w:val="0074605B"/>
    <w:rsid w:val="00746078"/>
    <w:rsid w:val="00746092"/>
    <w:rsid w:val="007460BB"/>
    <w:rsid w:val="007460C7"/>
    <w:rsid w:val="00746108"/>
    <w:rsid w:val="00746124"/>
    <w:rsid w:val="0074614A"/>
    <w:rsid w:val="00746159"/>
    <w:rsid w:val="0074619B"/>
    <w:rsid w:val="007461B1"/>
    <w:rsid w:val="007461DA"/>
    <w:rsid w:val="0074620C"/>
    <w:rsid w:val="0074624C"/>
    <w:rsid w:val="0074624D"/>
    <w:rsid w:val="00746293"/>
    <w:rsid w:val="007462B0"/>
    <w:rsid w:val="007462F5"/>
    <w:rsid w:val="0074633B"/>
    <w:rsid w:val="0074636B"/>
    <w:rsid w:val="00746394"/>
    <w:rsid w:val="007463F2"/>
    <w:rsid w:val="00746410"/>
    <w:rsid w:val="0074642B"/>
    <w:rsid w:val="0074645E"/>
    <w:rsid w:val="0074645F"/>
    <w:rsid w:val="007464B8"/>
    <w:rsid w:val="007464DF"/>
    <w:rsid w:val="007464E2"/>
    <w:rsid w:val="007464F4"/>
    <w:rsid w:val="00746542"/>
    <w:rsid w:val="0074657E"/>
    <w:rsid w:val="007465BC"/>
    <w:rsid w:val="007465DE"/>
    <w:rsid w:val="007465FC"/>
    <w:rsid w:val="0074663B"/>
    <w:rsid w:val="0074666B"/>
    <w:rsid w:val="00746671"/>
    <w:rsid w:val="007466C0"/>
    <w:rsid w:val="007466DF"/>
    <w:rsid w:val="007466E4"/>
    <w:rsid w:val="00746764"/>
    <w:rsid w:val="00746768"/>
    <w:rsid w:val="0074676A"/>
    <w:rsid w:val="007467A3"/>
    <w:rsid w:val="007467E2"/>
    <w:rsid w:val="007467E4"/>
    <w:rsid w:val="0074680B"/>
    <w:rsid w:val="0074681E"/>
    <w:rsid w:val="00746836"/>
    <w:rsid w:val="00746851"/>
    <w:rsid w:val="00746855"/>
    <w:rsid w:val="00746896"/>
    <w:rsid w:val="00746899"/>
    <w:rsid w:val="007468D8"/>
    <w:rsid w:val="00746904"/>
    <w:rsid w:val="0074692C"/>
    <w:rsid w:val="00746935"/>
    <w:rsid w:val="0074695B"/>
    <w:rsid w:val="00746990"/>
    <w:rsid w:val="007469AA"/>
    <w:rsid w:val="007469D6"/>
    <w:rsid w:val="00746A21"/>
    <w:rsid w:val="00746A63"/>
    <w:rsid w:val="00746A87"/>
    <w:rsid w:val="00746A9E"/>
    <w:rsid w:val="00746ABE"/>
    <w:rsid w:val="00746ADD"/>
    <w:rsid w:val="00746AF2"/>
    <w:rsid w:val="00746B35"/>
    <w:rsid w:val="00746B4C"/>
    <w:rsid w:val="00746B51"/>
    <w:rsid w:val="00746B69"/>
    <w:rsid w:val="00746B84"/>
    <w:rsid w:val="00746B86"/>
    <w:rsid w:val="00746BA8"/>
    <w:rsid w:val="00746BD4"/>
    <w:rsid w:val="00746C0D"/>
    <w:rsid w:val="00746C2B"/>
    <w:rsid w:val="00746C5D"/>
    <w:rsid w:val="00746C89"/>
    <w:rsid w:val="00746CB9"/>
    <w:rsid w:val="00746CE1"/>
    <w:rsid w:val="00746CEE"/>
    <w:rsid w:val="00746CF0"/>
    <w:rsid w:val="00746CF9"/>
    <w:rsid w:val="00746CFD"/>
    <w:rsid w:val="00746D07"/>
    <w:rsid w:val="00746D14"/>
    <w:rsid w:val="00746D27"/>
    <w:rsid w:val="00746D70"/>
    <w:rsid w:val="00746D7D"/>
    <w:rsid w:val="00746D9A"/>
    <w:rsid w:val="00746DB5"/>
    <w:rsid w:val="00746DBB"/>
    <w:rsid w:val="00746DBC"/>
    <w:rsid w:val="00746E1F"/>
    <w:rsid w:val="00746E33"/>
    <w:rsid w:val="00746E45"/>
    <w:rsid w:val="00746E57"/>
    <w:rsid w:val="00746E97"/>
    <w:rsid w:val="00746EC4"/>
    <w:rsid w:val="00746ECB"/>
    <w:rsid w:val="00746F1F"/>
    <w:rsid w:val="00746F3D"/>
    <w:rsid w:val="00746F7A"/>
    <w:rsid w:val="00746F86"/>
    <w:rsid w:val="00746FE4"/>
    <w:rsid w:val="00746FFA"/>
    <w:rsid w:val="0074706E"/>
    <w:rsid w:val="00747075"/>
    <w:rsid w:val="007470C0"/>
    <w:rsid w:val="007470C1"/>
    <w:rsid w:val="007470CD"/>
    <w:rsid w:val="007470D4"/>
    <w:rsid w:val="007470ED"/>
    <w:rsid w:val="00747105"/>
    <w:rsid w:val="00747114"/>
    <w:rsid w:val="00747125"/>
    <w:rsid w:val="0074713A"/>
    <w:rsid w:val="0074713F"/>
    <w:rsid w:val="00747158"/>
    <w:rsid w:val="007471BB"/>
    <w:rsid w:val="007471E3"/>
    <w:rsid w:val="0074720D"/>
    <w:rsid w:val="00747211"/>
    <w:rsid w:val="0074724B"/>
    <w:rsid w:val="0074724E"/>
    <w:rsid w:val="00747277"/>
    <w:rsid w:val="007472AC"/>
    <w:rsid w:val="007472DF"/>
    <w:rsid w:val="00747348"/>
    <w:rsid w:val="00747350"/>
    <w:rsid w:val="007473A8"/>
    <w:rsid w:val="007473B6"/>
    <w:rsid w:val="007473B8"/>
    <w:rsid w:val="007473BA"/>
    <w:rsid w:val="007473D5"/>
    <w:rsid w:val="007473D9"/>
    <w:rsid w:val="007473DE"/>
    <w:rsid w:val="0074744A"/>
    <w:rsid w:val="00747475"/>
    <w:rsid w:val="0074747A"/>
    <w:rsid w:val="007474B8"/>
    <w:rsid w:val="007474D5"/>
    <w:rsid w:val="00747506"/>
    <w:rsid w:val="00747523"/>
    <w:rsid w:val="00747528"/>
    <w:rsid w:val="0074752C"/>
    <w:rsid w:val="0074755A"/>
    <w:rsid w:val="00747577"/>
    <w:rsid w:val="0074758A"/>
    <w:rsid w:val="007475B5"/>
    <w:rsid w:val="007475B9"/>
    <w:rsid w:val="007475D1"/>
    <w:rsid w:val="007475D7"/>
    <w:rsid w:val="007475D9"/>
    <w:rsid w:val="007475FA"/>
    <w:rsid w:val="00747648"/>
    <w:rsid w:val="0074769D"/>
    <w:rsid w:val="007476A0"/>
    <w:rsid w:val="007476A6"/>
    <w:rsid w:val="00747718"/>
    <w:rsid w:val="0074771A"/>
    <w:rsid w:val="0074774D"/>
    <w:rsid w:val="00747752"/>
    <w:rsid w:val="00747758"/>
    <w:rsid w:val="00747770"/>
    <w:rsid w:val="00747781"/>
    <w:rsid w:val="007477A9"/>
    <w:rsid w:val="00747866"/>
    <w:rsid w:val="00747881"/>
    <w:rsid w:val="007478B1"/>
    <w:rsid w:val="007478C9"/>
    <w:rsid w:val="007478D4"/>
    <w:rsid w:val="007478E3"/>
    <w:rsid w:val="007478FB"/>
    <w:rsid w:val="00747900"/>
    <w:rsid w:val="0074790C"/>
    <w:rsid w:val="00747925"/>
    <w:rsid w:val="007479B0"/>
    <w:rsid w:val="007479BA"/>
    <w:rsid w:val="007479C3"/>
    <w:rsid w:val="007479CC"/>
    <w:rsid w:val="00747A21"/>
    <w:rsid w:val="00747A79"/>
    <w:rsid w:val="00747B50"/>
    <w:rsid w:val="00747B66"/>
    <w:rsid w:val="00747B68"/>
    <w:rsid w:val="00747B6E"/>
    <w:rsid w:val="00747B7A"/>
    <w:rsid w:val="00747B83"/>
    <w:rsid w:val="00747B86"/>
    <w:rsid w:val="00747BAB"/>
    <w:rsid w:val="00747BAC"/>
    <w:rsid w:val="00747BC2"/>
    <w:rsid w:val="00747BC3"/>
    <w:rsid w:val="00747C06"/>
    <w:rsid w:val="00747CCA"/>
    <w:rsid w:val="00747D31"/>
    <w:rsid w:val="00747D75"/>
    <w:rsid w:val="00747DA3"/>
    <w:rsid w:val="00747DA8"/>
    <w:rsid w:val="00747DC4"/>
    <w:rsid w:val="00747DD7"/>
    <w:rsid w:val="00747DEF"/>
    <w:rsid w:val="00747E1E"/>
    <w:rsid w:val="00747E57"/>
    <w:rsid w:val="00747EB7"/>
    <w:rsid w:val="00747EB8"/>
    <w:rsid w:val="00747EEB"/>
    <w:rsid w:val="00747F42"/>
    <w:rsid w:val="00747F66"/>
    <w:rsid w:val="00747FE4"/>
    <w:rsid w:val="00750029"/>
    <w:rsid w:val="00750053"/>
    <w:rsid w:val="0075008F"/>
    <w:rsid w:val="007500FE"/>
    <w:rsid w:val="00750121"/>
    <w:rsid w:val="00750129"/>
    <w:rsid w:val="0075013F"/>
    <w:rsid w:val="0075018B"/>
    <w:rsid w:val="007501D4"/>
    <w:rsid w:val="00750204"/>
    <w:rsid w:val="00750224"/>
    <w:rsid w:val="00750225"/>
    <w:rsid w:val="00750259"/>
    <w:rsid w:val="00750352"/>
    <w:rsid w:val="00750371"/>
    <w:rsid w:val="00750378"/>
    <w:rsid w:val="00750386"/>
    <w:rsid w:val="007503CA"/>
    <w:rsid w:val="007503E3"/>
    <w:rsid w:val="00750405"/>
    <w:rsid w:val="00750478"/>
    <w:rsid w:val="0075047D"/>
    <w:rsid w:val="0075048F"/>
    <w:rsid w:val="007504A2"/>
    <w:rsid w:val="007504AA"/>
    <w:rsid w:val="007504C6"/>
    <w:rsid w:val="00750510"/>
    <w:rsid w:val="0075055D"/>
    <w:rsid w:val="007505BB"/>
    <w:rsid w:val="007505D3"/>
    <w:rsid w:val="007505ED"/>
    <w:rsid w:val="00750626"/>
    <w:rsid w:val="0075062D"/>
    <w:rsid w:val="00750633"/>
    <w:rsid w:val="0075069F"/>
    <w:rsid w:val="007506A8"/>
    <w:rsid w:val="007506B7"/>
    <w:rsid w:val="00750716"/>
    <w:rsid w:val="00750732"/>
    <w:rsid w:val="0075075E"/>
    <w:rsid w:val="00750787"/>
    <w:rsid w:val="007507B0"/>
    <w:rsid w:val="00750809"/>
    <w:rsid w:val="00750839"/>
    <w:rsid w:val="00750858"/>
    <w:rsid w:val="007508D2"/>
    <w:rsid w:val="007508DB"/>
    <w:rsid w:val="007508F0"/>
    <w:rsid w:val="00750909"/>
    <w:rsid w:val="0075094C"/>
    <w:rsid w:val="007509AA"/>
    <w:rsid w:val="00750A18"/>
    <w:rsid w:val="00750A2D"/>
    <w:rsid w:val="00750A40"/>
    <w:rsid w:val="00750A4F"/>
    <w:rsid w:val="00750A59"/>
    <w:rsid w:val="00750B06"/>
    <w:rsid w:val="00750B1D"/>
    <w:rsid w:val="00750B59"/>
    <w:rsid w:val="00750B5C"/>
    <w:rsid w:val="00750B7E"/>
    <w:rsid w:val="00750B83"/>
    <w:rsid w:val="00750BA3"/>
    <w:rsid w:val="00750BE4"/>
    <w:rsid w:val="00750C2B"/>
    <w:rsid w:val="00750C52"/>
    <w:rsid w:val="00750D01"/>
    <w:rsid w:val="00750D0D"/>
    <w:rsid w:val="00750D57"/>
    <w:rsid w:val="00750DA9"/>
    <w:rsid w:val="00750DD5"/>
    <w:rsid w:val="00750E1A"/>
    <w:rsid w:val="00750E7E"/>
    <w:rsid w:val="00750EBD"/>
    <w:rsid w:val="00750EC7"/>
    <w:rsid w:val="00750ED3"/>
    <w:rsid w:val="00750ED7"/>
    <w:rsid w:val="00750EEF"/>
    <w:rsid w:val="00750F2C"/>
    <w:rsid w:val="00750F38"/>
    <w:rsid w:val="00750F6F"/>
    <w:rsid w:val="00750F7C"/>
    <w:rsid w:val="00750F86"/>
    <w:rsid w:val="00750F9B"/>
    <w:rsid w:val="00751047"/>
    <w:rsid w:val="00751074"/>
    <w:rsid w:val="007510F1"/>
    <w:rsid w:val="00751171"/>
    <w:rsid w:val="00751191"/>
    <w:rsid w:val="00751194"/>
    <w:rsid w:val="007511B8"/>
    <w:rsid w:val="007511C5"/>
    <w:rsid w:val="007511E8"/>
    <w:rsid w:val="007511EF"/>
    <w:rsid w:val="00751217"/>
    <w:rsid w:val="0075121F"/>
    <w:rsid w:val="00751226"/>
    <w:rsid w:val="00751234"/>
    <w:rsid w:val="0075124C"/>
    <w:rsid w:val="00751257"/>
    <w:rsid w:val="0075125D"/>
    <w:rsid w:val="00751293"/>
    <w:rsid w:val="007512A0"/>
    <w:rsid w:val="007512DC"/>
    <w:rsid w:val="00751304"/>
    <w:rsid w:val="00751334"/>
    <w:rsid w:val="00751351"/>
    <w:rsid w:val="0075135C"/>
    <w:rsid w:val="00751382"/>
    <w:rsid w:val="007513F7"/>
    <w:rsid w:val="00751420"/>
    <w:rsid w:val="00751424"/>
    <w:rsid w:val="00751428"/>
    <w:rsid w:val="00751466"/>
    <w:rsid w:val="00751490"/>
    <w:rsid w:val="007514A3"/>
    <w:rsid w:val="007514B9"/>
    <w:rsid w:val="00751573"/>
    <w:rsid w:val="0075157F"/>
    <w:rsid w:val="007515CA"/>
    <w:rsid w:val="007515E1"/>
    <w:rsid w:val="00751601"/>
    <w:rsid w:val="00751621"/>
    <w:rsid w:val="00751624"/>
    <w:rsid w:val="0075164A"/>
    <w:rsid w:val="00751650"/>
    <w:rsid w:val="00751663"/>
    <w:rsid w:val="0075167C"/>
    <w:rsid w:val="0075169B"/>
    <w:rsid w:val="007516D6"/>
    <w:rsid w:val="00751713"/>
    <w:rsid w:val="00751737"/>
    <w:rsid w:val="00751739"/>
    <w:rsid w:val="00751750"/>
    <w:rsid w:val="0075178B"/>
    <w:rsid w:val="007517AA"/>
    <w:rsid w:val="007517B3"/>
    <w:rsid w:val="007517BA"/>
    <w:rsid w:val="007517D9"/>
    <w:rsid w:val="00751804"/>
    <w:rsid w:val="0075180F"/>
    <w:rsid w:val="0075182D"/>
    <w:rsid w:val="00751869"/>
    <w:rsid w:val="00751886"/>
    <w:rsid w:val="007518B0"/>
    <w:rsid w:val="007518B1"/>
    <w:rsid w:val="007518D7"/>
    <w:rsid w:val="0075191F"/>
    <w:rsid w:val="00751950"/>
    <w:rsid w:val="00751955"/>
    <w:rsid w:val="0075196C"/>
    <w:rsid w:val="007519A8"/>
    <w:rsid w:val="007519B3"/>
    <w:rsid w:val="007519B6"/>
    <w:rsid w:val="00751A00"/>
    <w:rsid w:val="00751A08"/>
    <w:rsid w:val="00751A41"/>
    <w:rsid w:val="00751A69"/>
    <w:rsid w:val="00751A7A"/>
    <w:rsid w:val="00751A89"/>
    <w:rsid w:val="00751ABD"/>
    <w:rsid w:val="00751B02"/>
    <w:rsid w:val="00751B08"/>
    <w:rsid w:val="00751B28"/>
    <w:rsid w:val="00751B36"/>
    <w:rsid w:val="00751B9B"/>
    <w:rsid w:val="00751BDF"/>
    <w:rsid w:val="00751C73"/>
    <w:rsid w:val="00751CB5"/>
    <w:rsid w:val="00751CC2"/>
    <w:rsid w:val="00751CD4"/>
    <w:rsid w:val="00751D03"/>
    <w:rsid w:val="00751D2B"/>
    <w:rsid w:val="00751DB1"/>
    <w:rsid w:val="00751DD5"/>
    <w:rsid w:val="00751DE2"/>
    <w:rsid w:val="00751E06"/>
    <w:rsid w:val="00751E0B"/>
    <w:rsid w:val="00751E2A"/>
    <w:rsid w:val="00751E34"/>
    <w:rsid w:val="00751E42"/>
    <w:rsid w:val="00751E44"/>
    <w:rsid w:val="00751E77"/>
    <w:rsid w:val="00751ECF"/>
    <w:rsid w:val="00751EE1"/>
    <w:rsid w:val="00751F11"/>
    <w:rsid w:val="00751F5F"/>
    <w:rsid w:val="00751F7B"/>
    <w:rsid w:val="00751F99"/>
    <w:rsid w:val="00751FA8"/>
    <w:rsid w:val="00751FBB"/>
    <w:rsid w:val="00751FC3"/>
    <w:rsid w:val="00751FC7"/>
    <w:rsid w:val="00751FF0"/>
    <w:rsid w:val="00752007"/>
    <w:rsid w:val="00752026"/>
    <w:rsid w:val="0075208E"/>
    <w:rsid w:val="007520E0"/>
    <w:rsid w:val="007520E5"/>
    <w:rsid w:val="00752117"/>
    <w:rsid w:val="0075213F"/>
    <w:rsid w:val="0075215D"/>
    <w:rsid w:val="00752195"/>
    <w:rsid w:val="007521B4"/>
    <w:rsid w:val="007521C0"/>
    <w:rsid w:val="0075224C"/>
    <w:rsid w:val="00752253"/>
    <w:rsid w:val="0075226B"/>
    <w:rsid w:val="0075227A"/>
    <w:rsid w:val="00752290"/>
    <w:rsid w:val="007522CF"/>
    <w:rsid w:val="007522F7"/>
    <w:rsid w:val="00752361"/>
    <w:rsid w:val="0075237F"/>
    <w:rsid w:val="007523CF"/>
    <w:rsid w:val="007523D9"/>
    <w:rsid w:val="0075242D"/>
    <w:rsid w:val="00752430"/>
    <w:rsid w:val="00752435"/>
    <w:rsid w:val="0075243C"/>
    <w:rsid w:val="00752485"/>
    <w:rsid w:val="007524BA"/>
    <w:rsid w:val="007524DE"/>
    <w:rsid w:val="0075250E"/>
    <w:rsid w:val="00752540"/>
    <w:rsid w:val="00752595"/>
    <w:rsid w:val="007525AF"/>
    <w:rsid w:val="007525CE"/>
    <w:rsid w:val="007525FA"/>
    <w:rsid w:val="00752628"/>
    <w:rsid w:val="0075264E"/>
    <w:rsid w:val="0075265B"/>
    <w:rsid w:val="007526C9"/>
    <w:rsid w:val="007526F9"/>
    <w:rsid w:val="0075270E"/>
    <w:rsid w:val="00752719"/>
    <w:rsid w:val="00752723"/>
    <w:rsid w:val="0075273A"/>
    <w:rsid w:val="00752753"/>
    <w:rsid w:val="00752756"/>
    <w:rsid w:val="007527A9"/>
    <w:rsid w:val="007527B0"/>
    <w:rsid w:val="00752807"/>
    <w:rsid w:val="00752811"/>
    <w:rsid w:val="0075283E"/>
    <w:rsid w:val="00752869"/>
    <w:rsid w:val="0075286B"/>
    <w:rsid w:val="007528BE"/>
    <w:rsid w:val="007528CC"/>
    <w:rsid w:val="007528CD"/>
    <w:rsid w:val="00752906"/>
    <w:rsid w:val="0075290C"/>
    <w:rsid w:val="0075291F"/>
    <w:rsid w:val="0075293B"/>
    <w:rsid w:val="00752958"/>
    <w:rsid w:val="00752981"/>
    <w:rsid w:val="0075299F"/>
    <w:rsid w:val="00752A37"/>
    <w:rsid w:val="00752AD8"/>
    <w:rsid w:val="00752B37"/>
    <w:rsid w:val="00752B9A"/>
    <w:rsid w:val="00752BA7"/>
    <w:rsid w:val="00752BE5"/>
    <w:rsid w:val="00752C1C"/>
    <w:rsid w:val="00752C2D"/>
    <w:rsid w:val="00752C2F"/>
    <w:rsid w:val="00752C49"/>
    <w:rsid w:val="00752C78"/>
    <w:rsid w:val="00752C9C"/>
    <w:rsid w:val="00752CA8"/>
    <w:rsid w:val="00752CEC"/>
    <w:rsid w:val="00752D04"/>
    <w:rsid w:val="00752D16"/>
    <w:rsid w:val="00752D25"/>
    <w:rsid w:val="00752D2A"/>
    <w:rsid w:val="00752D39"/>
    <w:rsid w:val="00752D5B"/>
    <w:rsid w:val="00752D71"/>
    <w:rsid w:val="00752D95"/>
    <w:rsid w:val="00752DA9"/>
    <w:rsid w:val="00752DD2"/>
    <w:rsid w:val="00752DE7"/>
    <w:rsid w:val="00752DFE"/>
    <w:rsid w:val="00752E3B"/>
    <w:rsid w:val="00752E52"/>
    <w:rsid w:val="00752E97"/>
    <w:rsid w:val="00752EB1"/>
    <w:rsid w:val="00752EB6"/>
    <w:rsid w:val="00752EC5"/>
    <w:rsid w:val="00752EDC"/>
    <w:rsid w:val="00752EE3"/>
    <w:rsid w:val="00752EE9"/>
    <w:rsid w:val="00752EF9"/>
    <w:rsid w:val="00752F05"/>
    <w:rsid w:val="00752F24"/>
    <w:rsid w:val="00752F48"/>
    <w:rsid w:val="00752F58"/>
    <w:rsid w:val="00752F5D"/>
    <w:rsid w:val="00752F70"/>
    <w:rsid w:val="00752F7A"/>
    <w:rsid w:val="00752F88"/>
    <w:rsid w:val="00752FA5"/>
    <w:rsid w:val="00752FA6"/>
    <w:rsid w:val="00752FCA"/>
    <w:rsid w:val="00752FDF"/>
    <w:rsid w:val="00752FE2"/>
    <w:rsid w:val="00753023"/>
    <w:rsid w:val="00753029"/>
    <w:rsid w:val="00753079"/>
    <w:rsid w:val="0075308D"/>
    <w:rsid w:val="007530DA"/>
    <w:rsid w:val="007530E0"/>
    <w:rsid w:val="00753107"/>
    <w:rsid w:val="0075313E"/>
    <w:rsid w:val="00753143"/>
    <w:rsid w:val="00753147"/>
    <w:rsid w:val="0075315E"/>
    <w:rsid w:val="00753171"/>
    <w:rsid w:val="007531CB"/>
    <w:rsid w:val="007531D8"/>
    <w:rsid w:val="007531E3"/>
    <w:rsid w:val="007531EA"/>
    <w:rsid w:val="007531F7"/>
    <w:rsid w:val="0075320F"/>
    <w:rsid w:val="00753211"/>
    <w:rsid w:val="0075322F"/>
    <w:rsid w:val="0075323E"/>
    <w:rsid w:val="00753247"/>
    <w:rsid w:val="00753258"/>
    <w:rsid w:val="00753269"/>
    <w:rsid w:val="00753276"/>
    <w:rsid w:val="0075328C"/>
    <w:rsid w:val="007532DE"/>
    <w:rsid w:val="007532E2"/>
    <w:rsid w:val="007532E9"/>
    <w:rsid w:val="0075334E"/>
    <w:rsid w:val="00753356"/>
    <w:rsid w:val="00753372"/>
    <w:rsid w:val="00753406"/>
    <w:rsid w:val="0075343D"/>
    <w:rsid w:val="007534CE"/>
    <w:rsid w:val="007534D0"/>
    <w:rsid w:val="0075351C"/>
    <w:rsid w:val="00753530"/>
    <w:rsid w:val="007535A8"/>
    <w:rsid w:val="007535A9"/>
    <w:rsid w:val="007535C5"/>
    <w:rsid w:val="00753602"/>
    <w:rsid w:val="00753639"/>
    <w:rsid w:val="007536B1"/>
    <w:rsid w:val="00753702"/>
    <w:rsid w:val="00753723"/>
    <w:rsid w:val="00753765"/>
    <w:rsid w:val="00753789"/>
    <w:rsid w:val="007537C1"/>
    <w:rsid w:val="00753829"/>
    <w:rsid w:val="00753894"/>
    <w:rsid w:val="007538AE"/>
    <w:rsid w:val="007538B6"/>
    <w:rsid w:val="007538B7"/>
    <w:rsid w:val="007538CC"/>
    <w:rsid w:val="007538E3"/>
    <w:rsid w:val="00753926"/>
    <w:rsid w:val="00753937"/>
    <w:rsid w:val="0075396C"/>
    <w:rsid w:val="00753996"/>
    <w:rsid w:val="007539B5"/>
    <w:rsid w:val="007539F7"/>
    <w:rsid w:val="00753A05"/>
    <w:rsid w:val="00753A32"/>
    <w:rsid w:val="00753A35"/>
    <w:rsid w:val="00753A51"/>
    <w:rsid w:val="00753A5E"/>
    <w:rsid w:val="00753A8D"/>
    <w:rsid w:val="00753A98"/>
    <w:rsid w:val="00753AA0"/>
    <w:rsid w:val="00753ACF"/>
    <w:rsid w:val="00753AD7"/>
    <w:rsid w:val="00753AE6"/>
    <w:rsid w:val="00753AFF"/>
    <w:rsid w:val="00753B0E"/>
    <w:rsid w:val="00753B20"/>
    <w:rsid w:val="00753B28"/>
    <w:rsid w:val="00753BB7"/>
    <w:rsid w:val="00753C26"/>
    <w:rsid w:val="00753C33"/>
    <w:rsid w:val="00753C5B"/>
    <w:rsid w:val="00753CB1"/>
    <w:rsid w:val="00753CE5"/>
    <w:rsid w:val="00753D37"/>
    <w:rsid w:val="00753D6F"/>
    <w:rsid w:val="00753D71"/>
    <w:rsid w:val="00753D81"/>
    <w:rsid w:val="00753D82"/>
    <w:rsid w:val="00753D84"/>
    <w:rsid w:val="00753D86"/>
    <w:rsid w:val="00753D88"/>
    <w:rsid w:val="00753D91"/>
    <w:rsid w:val="00753DC4"/>
    <w:rsid w:val="00753E2F"/>
    <w:rsid w:val="00753E36"/>
    <w:rsid w:val="00753E41"/>
    <w:rsid w:val="00753E6F"/>
    <w:rsid w:val="00753EAE"/>
    <w:rsid w:val="00753EE9"/>
    <w:rsid w:val="00753F00"/>
    <w:rsid w:val="00753F1D"/>
    <w:rsid w:val="00753F8C"/>
    <w:rsid w:val="00753FA2"/>
    <w:rsid w:val="00753FBC"/>
    <w:rsid w:val="00753FDF"/>
    <w:rsid w:val="00753FE1"/>
    <w:rsid w:val="00753FF9"/>
    <w:rsid w:val="00754016"/>
    <w:rsid w:val="0075406C"/>
    <w:rsid w:val="0075409F"/>
    <w:rsid w:val="007540CB"/>
    <w:rsid w:val="00754102"/>
    <w:rsid w:val="00754146"/>
    <w:rsid w:val="00754170"/>
    <w:rsid w:val="007541A6"/>
    <w:rsid w:val="00754240"/>
    <w:rsid w:val="007542A7"/>
    <w:rsid w:val="007542AB"/>
    <w:rsid w:val="007542C1"/>
    <w:rsid w:val="0075430E"/>
    <w:rsid w:val="0075432D"/>
    <w:rsid w:val="00754367"/>
    <w:rsid w:val="00754384"/>
    <w:rsid w:val="00754388"/>
    <w:rsid w:val="00754389"/>
    <w:rsid w:val="007543D9"/>
    <w:rsid w:val="007543DD"/>
    <w:rsid w:val="00754432"/>
    <w:rsid w:val="0075445A"/>
    <w:rsid w:val="007544B8"/>
    <w:rsid w:val="007544E0"/>
    <w:rsid w:val="00754511"/>
    <w:rsid w:val="00754540"/>
    <w:rsid w:val="007545B9"/>
    <w:rsid w:val="007545C4"/>
    <w:rsid w:val="0075462F"/>
    <w:rsid w:val="00754633"/>
    <w:rsid w:val="0075463E"/>
    <w:rsid w:val="00754684"/>
    <w:rsid w:val="00754697"/>
    <w:rsid w:val="0075469E"/>
    <w:rsid w:val="007546A5"/>
    <w:rsid w:val="007546BA"/>
    <w:rsid w:val="007546C1"/>
    <w:rsid w:val="007546D8"/>
    <w:rsid w:val="007546FB"/>
    <w:rsid w:val="00754700"/>
    <w:rsid w:val="00754701"/>
    <w:rsid w:val="00754711"/>
    <w:rsid w:val="00754741"/>
    <w:rsid w:val="00754782"/>
    <w:rsid w:val="007547A5"/>
    <w:rsid w:val="00754887"/>
    <w:rsid w:val="007548AC"/>
    <w:rsid w:val="007548B7"/>
    <w:rsid w:val="007548C4"/>
    <w:rsid w:val="007548D1"/>
    <w:rsid w:val="007548D2"/>
    <w:rsid w:val="00754952"/>
    <w:rsid w:val="0075496A"/>
    <w:rsid w:val="00754971"/>
    <w:rsid w:val="00754972"/>
    <w:rsid w:val="00754988"/>
    <w:rsid w:val="00754992"/>
    <w:rsid w:val="007549B1"/>
    <w:rsid w:val="00754A67"/>
    <w:rsid w:val="00754AE5"/>
    <w:rsid w:val="00754AEA"/>
    <w:rsid w:val="00754B12"/>
    <w:rsid w:val="00754B26"/>
    <w:rsid w:val="00754B36"/>
    <w:rsid w:val="00754B55"/>
    <w:rsid w:val="00754B64"/>
    <w:rsid w:val="00754B80"/>
    <w:rsid w:val="00754B81"/>
    <w:rsid w:val="00754B9B"/>
    <w:rsid w:val="00754BF3"/>
    <w:rsid w:val="00754C6E"/>
    <w:rsid w:val="00754CC0"/>
    <w:rsid w:val="00754D2C"/>
    <w:rsid w:val="00754D5D"/>
    <w:rsid w:val="00754D8C"/>
    <w:rsid w:val="00754DB1"/>
    <w:rsid w:val="00754DCA"/>
    <w:rsid w:val="00754DF1"/>
    <w:rsid w:val="00754E28"/>
    <w:rsid w:val="00754E29"/>
    <w:rsid w:val="00754E2A"/>
    <w:rsid w:val="00754E39"/>
    <w:rsid w:val="00754E44"/>
    <w:rsid w:val="00754E52"/>
    <w:rsid w:val="00754E9A"/>
    <w:rsid w:val="00754EA5"/>
    <w:rsid w:val="00754EC2"/>
    <w:rsid w:val="00754EFC"/>
    <w:rsid w:val="00754F0E"/>
    <w:rsid w:val="00754F27"/>
    <w:rsid w:val="00754FA2"/>
    <w:rsid w:val="00754FC6"/>
    <w:rsid w:val="00754FDA"/>
    <w:rsid w:val="00755049"/>
    <w:rsid w:val="00755058"/>
    <w:rsid w:val="0075505A"/>
    <w:rsid w:val="00755060"/>
    <w:rsid w:val="00755065"/>
    <w:rsid w:val="0075508E"/>
    <w:rsid w:val="0075512C"/>
    <w:rsid w:val="00755131"/>
    <w:rsid w:val="00755153"/>
    <w:rsid w:val="007551A6"/>
    <w:rsid w:val="007551C8"/>
    <w:rsid w:val="00755220"/>
    <w:rsid w:val="00755253"/>
    <w:rsid w:val="00755275"/>
    <w:rsid w:val="00755276"/>
    <w:rsid w:val="00755292"/>
    <w:rsid w:val="0075529D"/>
    <w:rsid w:val="007552B6"/>
    <w:rsid w:val="007552C2"/>
    <w:rsid w:val="007552CF"/>
    <w:rsid w:val="00755338"/>
    <w:rsid w:val="0075538B"/>
    <w:rsid w:val="00755398"/>
    <w:rsid w:val="0075539A"/>
    <w:rsid w:val="007553B4"/>
    <w:rsid w:val="007553C8"/>
    <w:rsid w:val="00755403"/>
    <w:rsid w:val="00755424"/>
    <w:rsid w:val="00755463"/>
    <w:rsid w:val="00755476"/>
    <w:rsid w:val="00755553"/>
    <w:rsid w:val="0075556B"/>
    <w:rsid w:val="007555D8"/>
    <w:rsid w:val="007555DF"/>
    <w:rsid w:val="00755637"/>
    <w:rsid w:val="00755650"/>
    <w:rsid w:val="0075567C"/>
    <w:rsid w:val="007556DC"/>
    <w:rsid w:val="007556F9"/>
    <w:rsid w:val="007556FA"/>
    <w:rsid w:val="0075575B"/>
    <w:rsid w:val="0075582B"/>
    <w:rsid w:val="00755831"/>
    <w:rsid w:val="0075583C"/>
    <w:rsid w:val="00755848"/>
    <w:rsid w:val="0075584E"/>
    <w:rsid w:val="0075585F"/>
    <w:rsid w:val="00755899"/>
    <w:rsid w:val="007558F1"/>
    <w:rsid w:val="00755901"/>
    <w:rsid w:val="00755913"/>
    <w:rsid w:val="00755996"/>
    <w:rsid w:val="00755998"/>
    <w:rsid w:val="00755AB4"/>
    <w:rsid w:val="00755AC5"/>
    <w:rsid w:val="00755AD2"/>
    <w:rsid w:val="00755B81"/>
    <w:rsid w:val="00755B9F"/>
    <w:rsid w:val="00755BDB"/>
    <w:rsid w:val="00755BEB"/>
    <w:rsid w:val="00755BEF"/>
    <w:rsid w:val="00755BF0"/>
    <w:rsid w:val="00755C13"/>
    <w:rsid w:val="00755C30"/>
    <w:rsid w:val="00755C3A"/>
    <w:rsid w:val="00755C54"/>
    <w:rsid w:val="00755C82"/>
    <w:rsid w:val="00755CD3"/>
    <w:rsid w:val="00755D16"/>
    <w:rsid w:val="00755D3A"/>
    <w:rsid w:val="00755D60"/>
    <w:rsid w:val="00755D6F"/>
    <w:rsid w:val="00755DCC"/>
    <w:rsid w:val="00755E37"/>
    <w:rsid w:val="00755E43"/>
    <w:rsid w:val="00755E4D"/>
    <w:rsid w:val="00755E69"/>
    <w:rsid w:val="00755E8D"/>
    <w:rsid w:val="00755EB5"/>
    <w:rsid w:val="00755EF1"/>
    <w:rsid w:val="00755F63"/>
    <w:rsid w:val="00755F9C"/>
    <w:rsid w:val="00755FE3"/>
    <w:rsid w:val="0075601A"/>
    <w:rsid w:val="00756024"/>
    <w:rsid w:val="0075608A"/>
    <w:rsid w:val="007560D2"/>
    <w:rsid w:val="007560D7"/>
    <w:rsid w:val="007560DB"/>
    <w:rsid w:val="007560E1"/>
    <w:rsid w:val="0075611B"/>
    <w:rsid w:val="00756146"/>
    <w:rsid w:val="007561A4"/>
    <w:rsid w:val="00756234"/>
    <w:rsid w:val="00756268"/>
    <w:rsid w:val="00756280"/>
    <w:rsid w:val="007562DA"/>
    <w:rsid w:val="00756361"/>
    <w:rsid w:val="00756369"/>
    <w:rsid w:val="00756384"/>
    <w:rsid w:val="007563B1"/>
    <w:rsid w:val="007563F7"/>
    <w:rsid w:val="0075640F"/>
    <w:rsid w:val="00756443"/>
    <w:rsid w:val="0075645C"/>
    <w:rsid w:val="00756465"/>
    <w:rsid w:val="00756480"/>
    <w:rsid w:val="0075649A"/>
    <w:rsid w:val="007564A5"/>
    <w:rsid w:val="007564F5"/>
    <w:rsid w:val="00756538"/>
    <w:rsid w:val="0075653D"/>
    <w:rsid w:val="00756570"/>
    <w:rsid w:val="0075659A"/>
    <w:rsid w:val="007565BB"/>
    <w:rsid w:val="007565DE"/>
    <w:rsid w:val="0075662B"/>
    <w:rsid w:val="00756636"/>
    <w:rsid w:val="007566A2"/>
    <w:rsid w:val="007566C2"/>
    <w:rsid w:val="007566DD"/>
    <w:rsid w:val="007566E4"/>
    <w:rsid w:val="0075671C"/>
    <w:rsid w:val="0075672B"/>
    <w:rsid w:val="0075672F"/>
    <w:rsid w:val="00756748"/>
    <w:rsid w:val="00756783"/>
    <w:rsid w:val="00756799"/>
    <w:rsid w:val="00756848"/>
    <w:rsid w:val="00756858"/>
    <w:rsid w:val="00756867"/>
    <w:rsid w:val="00756873"/>
    <w:rsid w:val="00756888"/>
    <w:rsid w:val="007568A3"/>
    <w:rsid w:val="007568C6"/>
    <w:rsid w:val="007568E7"/>
    <w:rsid w:val="007568EF"/>
    <w:rsid w:val="007568F9"/>
    <w:rsid w:val="0075698A"/>
    <w:rsid w:val="007569ED"/>
    <w:rsid w:val="00756A0D"/>
    <w:rsid w:val="00756A2B"/>
    <w:rsid w:val="00756A33"/>
    <w:rsid w:val="00756A44"/>
    <w:rsid w:val="00756A97"/>
    <w:rsid w:val="00756AB7"/>
    <w:rsid w:val="00756AC4"/>
    <w:rsid w:val="00756ADB"/>
    <w:rsid w:val="00756AF8"/>
    <w:rsid w:val="00756B08"/>
    <w:rsid w:val="00756B1B"/>
    <w:rsid w:val="00756B1E"/>
    <w:rsid w:val="00756B66"/>
    <w:rsid w:val="00756B6C"/>
    <w:rsid w:val="00756BA4"/>
    <w:rsid w:val="00756BBE"/>
    <w:rsid w:val="00756C07"/>
    <w:rsid w:val="00756C14"/>
    <w:rsid w:val="00756C83"/>
    <w:rsid w:val="00756C9D"/>
    <w:rsid w:val="00756CDE"/>
    <w:rsid w:val="00756CF3"/>
    <w:rsid w:val="00756D2D"/>
    <w:rsid w:val="00756D61"/>
    <w:rsid w:val="00756D88"/>
    <w:rsid w:val="00756D9B"/>
    <w:rsid w:val="00756DB5"/>
    <w:rsid w:val="00756DB7"/>
    <w:rsid w:val="00756DE6"/>
    <w:rsid w:val="00756DE8"/>
    <w:rsid w:val="00756E1E"/>
    <w:rsid w:val="00756E53"/>
    <w:rsid w:val="00756E6E"/>
    <w:rsid w:val="00756E99"/>
    <w:rsid w:val="00756EA7"/>
    <w:rsid w:val="00756EB0"/>
    <w:rsid w:val="00756EBF"/>
    <w:rsid w:val="00756ED1"/>
    <w:rsid w:val="00756F25"/>
    <w:rsid w:val="00756F29"/>
    <w:rsid w:val="00756F51"/>
    <w:rsid w:val="00757025"/>
    <w:rsid w:val="0075703A"/>
    <w:rsid w:val="0075704A"/>
    <w:rsid w:val="00757052"/>
    <w:rsid w:val="00757056"/>
    <w:rsid w:val="0075709B"/>
    <w:rsid w:val="007570EC"/>
    <w:rsid w:val="00757100"/>
    <w:rsid w:val="00757150"/>
    <w:rsid w:val="00757183"/>
    <w:rsid w:val="0075719F"/>
    <w:rsid w:val="007571C4"/>
    <w:rsid w:val="007571E6"/>
    <w:rsid w:val="007571EC"/>
    <w:rsid w:val="007571FD"/>
    <w:rsid w:val="00757245"/>
    <w:rsid w:val="0075724C"/>
    <w:rsid w:val="00757253"/>
    <w:rsid w:val="007572DD"/>
    <w:rsid w:val="00757368"/>
    <w:rsid w:val="00757379"/>
    <w:rsid w:val="00757380"/>
    <w:rsid w:val="0075738E"/>
    <w:rsid w:val="007573C8"/>
    <w:rsid w:val="007573F0"/>
    <w:rsid w:val="007573FC"/>
    <w:rsid w:val="00757426"/>
    <w:rsid w:val="0075742D"/>
    <w:rsid w:val="0075743D"/>
    <w:rsid w:val="00757488"/>
    <w:rsid w:val="007574C8"/>
    <w:rsid w:val="007574CF"/>
    <w:rsid w:val="007574D6"/>
    <w:rsid w:val="007574ED"/>
    <w:rsid w:val="0075750A"/>
    <w:rsid w:val="0075757E"/>
    <w:rsid w:val="007575CF"/>
    <w:rsid w:val="007575FB"/>
    <w:rsid w:val="0075762A"/>
    <w:rsid w:val="00757633"/>
    <w:rsid w:val="0075765A"/>
    <w:rsid w:val="00757669"/>
    <w:rsid w:val="007576A4"/>
    <w:rsid w:val="007576DA"/>
    <w:rsid w:val="007576E2"/>
    <w:rsid w:val="00757702"/>
    <w:rsid w:val="00757711"/>
    <w:rsid w:val="00757732"/>
    <w:rsid w:val="00757761"/>
    <w:rsid w:val="007577E3"/>
    <w:rsid w:val="007577F7"/>
    <w:rsid w:val="00757806"/>
    <w:rsid w:val="0075782B"/>
    <w:rsid w:val="00757880"/>
    <w:rsid w:val="007578CF"/>
    <w:rsid w:val="007578D6"/>
    <w:rsid w:val="0075790A"/>
    <w:rsid w:val="00757914"/>
    <w:rsid w:val="0075791C"/>
    <w:rsid w:val="00757947"/>
    <w:rsid w:val="0075796D"/>
    <w:rsid w:val="00757982"/>
    <w:rsid w:val="007579AF"/>
    <w:rsid w:val="007579B1"/>
    <w:rsid w:val="00757A79"/>
    <w:rsid w:val="00757A7D"/>
    <w:rsid w:val="00757AA4"/>
    <w:rsid w:val="00757AD1"/>
    <w:rsid w:val="00757AF3"/>
    <w:rsid w:val="00757B05"/>
    <w:rsid w:val="00757B12"/>
    <w:rsid w:val="00757B6A"/>
    <w:rsid w:val="00757BBD"/>
    <w:rsid w:val="00757BC8"/>
    <w:rsid w:val="00757BD2"/>
    <w:rsid w:val="00757BF5"/>
    <w:rsid w:val="00757BF7"/>
    <w:rsid w:val="00757C03"/>
    <w:rsid w:val="00757C0E"/>
    <w:rsid w:val="00757C29"/>
    <w:rsid w:val="00757CA9"/>
    <w:rsid w:val="00757CBA"/>
    <w:rsid w:val="00757CF1"/>
    <w:rsid w:val="00757D25"/>
    <w:rsid w:val="00757D4E"/>
    <w:rsid w:val="00757D86"/>
    <w:rsid w:val="00757DE6"/>
    <w:rsid w:val="00757DE9"/>
    <w:rsid w:val="00757DFC"/>
    <w:rsid w:val="00757E06"/>
    <w:rsid w:val="00757E0C"/>
    <w:rsid w:val="00757E25"/>
    <w:rsid w:val="00757E3D"/>
    <w:rsid w:val="00757E80"/>
    <w:rsid w:val="00757EB8"/>
    <w:rsid w:val="00757EC5"/>
    <w:rsid w:val="00757ECD"/>
    <w:rsid w:val="00757F19"/>
    <w:rsid w:val="00757F4F"/>
    <w:rsid w:val="00757FA7"/>
    <w:rsid w:val="00757FE4"/>
    <w:rsid w:val="00757FE8"/>
    <w:rsid w:val="00760015"/>
    <w:rsid w:val="0076002F"/>
    <w:rsid w:val="00760042"/>
    <w:rsid w:val="00760047"/>
    <w:rsid w:val="0076004A"/>
    <w:rsid w:val="0076005A"/>
    <w:rsid w:val="0076007F"/>
    <w:rsid w:val="00760094"/>
    <w:rsid w:val="007600F3"/>
    <w:rsid w:val="00760101"/>
    <w:rsid w:val="00760102"/>
    <w:rsid w:val="0076010D"/>
    <w:rsid w:val="00760110"/>
    <w:rsid w:val="00760131"/>
    <w:rsid w:val="00760135"/>
    <w:rsid w:val="0076013E"/>
    <w:rsid w:val="00760229"/>
    <w:rsid w:val="00760239"/>
    <w:rsid w:val="0076026B"/>
    <w:rsid w:val="00760279"/>
    <w:rsid w:val="007602B2"/>
    <w:rsid w:val="007602BB"/>
    <w:rsid w:val="007602E7"/>
    <w:rsid w:val="007602F3"/>
    <w:rsid w:val="00760302"/>
    <w:rsid w:val="00760309"/>
    <w:rsid w:val="0076036B"/>
    <w:rsid w:val="00760378"/>
    <w:rsid w:val="007603BC"/>
    <w:rsid w:val="00760443"/>
    <w:rsid w:val="00760452"/>
    <w:rsid w:val="0076047A"/>
    <w:rsid w:val="00760493"/>
    <w:rsid w:val="007604BA"/>
    <w:rsid w:val="007604C9"/>
    <w:rsid w:val="00760532"/>
    <w:rsid w:val="00760563"/>
    <w:rsid w:val="00760568"/>
    <w:rsid w:val="00760573"/>
    <w:rsid w:val="0076057B"/>
    <w:rsid w:val="00760597"/>
    <w:rsid w:val="007605A6"/>
    <w:rsid w:val="007605AD"/>
    <w:rsid w:val="007605B0"/>
    <w:rsid w:val="007605D7"/>
    <w:rsid w:val="007605F7"/>
    <w:rsid w:val="0076065D"/>
    <w:rsid w:val="00760671"/>
    <w:rsid w:val="00760680"/>
    <w:rsid w:val="007606C0"/>
    <w:rsid w:val="00760714"/>
    <w:rsid w:val="00760726"/>
    <w:rsid w:val="0076075A"/>
    <w:rsid w:val="0076076D"/>
    <w:rsid w:val="00760771"/>
    <w:rsid w:val="00760772"/>
    <w:rsid w:val="0076077C"/>
    <w:rsid w:val="0076077F"/>
    <w:rsid w:val="007607E1"/>
    <w:rsid w:val="007607ED"/>
    <w:rsid w:val="0076080A"/>
    <w:rsid w:val="0076080E"/>
    <w:rsid w:val="00760812"/>
    <w:rsid w:val="00760818"/>
    <w:rsid w:val="00760839"/>
    <w:rsid w:val="007608BF"/>
    <w:rsid w:val="00760917"/>
    <w:rsid w:val="00760993"/>
    <w:rsid w:val="007609B1"/>
    <w:rsid w:val="007609C9"/>
    <w:rsid w:val="007609EC"/>
    <w:rsid w:val="007609FF"/>
    <w:rsid w:val="00760A13"/>
    <w:rsid w:val="00760A9D"/>
    <w:rsid w:val="00760AA5"/>
    <w:rsid w:val="00760AAE"/>
    <w:rsid w:val="00760ADA"/>
    <w:rsid w:val="00760BA0"/>
    <w:rsid w:val="00760BAA"/>
    <w:rsid w:val="00760BB1"/>
    <w:rsid w:val="00760BDD"/>
    <w:rsid w:val="00760C0F"/>
    <w:rsid w:val="00760C2E"/>
    <w:rsid w:val="00760C33"/>
    <w:rsid w:val="00760C43"/>
    <w:rsid w:val="00760C4B"/>
    <w:rsid w:val="00760C55"/>
    <w:rsid w:val="00760C85"/>
    <w:rsid w:val="00760C89"/>
    <w:rsid w:val="00760CDA"/>
    <w:rsid w:val="00760CF3"/>
    <w:rsid w:val="00760CF9"/>
    <w:rsid w:val="00760D09"/>
    <w:rsid w:val="00760D0F"/>
    <w:rsid w:val="00760D43"/>
    <w:rsid w:val="00760DCB"/>
    <w:rsid w:val="00760DFD"/>
    <w:rsid w:val="00760E6B"/>
    <w:rsid w:val="00760EA1"/>
    <w:rsid w:val="00760EDA"/>
    <w:rsid w:val="00760F0D"/>
    <w:rsid w:val="00760F49"/>
    <w:rsid w:val="00760F9C"/>
    <w:rsid w:val="00760FCB"/>
    <w:rsid w:val="00760FD3"/>
    <w:rsid w:val="00761000"/>
    <w:rsid w:val="00761090"/>
    <w:rsid w:val="007610A1"/>
    <w:rsid w:val="007610BE"/>
    <w:rsid w:val="00761100"/>
    <w:rsid w:val="0076117A"/>
    <w:rsid w:val="007611AA"/>
    <w:rsid w:val="007611B7"/>
    <w:rsid w:val="007611C5"/>
    <w:rsid w:val="007611C9"/>
    <w:rsid w:val="0076123E"/>
    <w:rsid w:val="00761244"/>
    <w:rsid w:val="0076124C"/>
    <w:rsid w:val="0076125C"/>
    <w:rsid w:val="00761278"/>
    <w:rsid w:val="0076130E"/>
    <w:rsid w:val="00761335"/>
    <w:rsid w:val="00761388"/>
    <w:rsid w:val="007613B8"/>
    <w:rsid w:val="00761406"/>
    <w:rsid w:val="00761408"/>
    <w:rsid w:val="00761434"/>
    <w:rsid w:val="0076143A"/>
    <w:rsid w:val="00761459"/>
    <w:rsid w:val="00761469"/>
    <w:rsid w:val="0076146B"/>
    <w:rsid w:val="007614A9"/>
    <w:rsid w:val="007614AB"/>
    <w:rsid w:val="007614B0"/>
    <w:rsid w:val="007614D9"/>
    <w:rsid w:val="007614E6"/>
    <w:rsid w:val="00761502"/>
    <w:rsid w:val="00761517"/>
    <w:rsid w:val="0076155B"/>
    <w:rsid w:val="00761588"/>
    <w:rsid w:val="007615EA"/>
    <w:rsid w:val="00761675"/>
    <w:rsid w:val="0076168D"/>
    <w:rsid w:val="00761692"/>
    <w:rsid w:val="007616E1"/>
    <w:rsid w:val="007616FA"/>
    <w:rsid w:val="007617BF"/>
    <w:rsid w:val="00761864"/>
    <w:rsid w:val="00761881"/>
    <w:rsid w:val="00761884"/>
    <w:rsid w:val="007618B1"/>
    <w:rsid w:val="007618B4"/>
    <w:rsid w:val="007618BB"/>
    <w:rsid w:val="007618EB"/>
    <w:rsid w:val="00761919"/>
    <w:rsid w:val="00761923"/>
    <w:rsid w:val="0076195E"/>
    <w:rsid w:val="00761964"/>
    <w:rsid w:val="00761967"/>
    <w:rsid w:val="00761975"/>
    <w:rsid w:val="0076197D"/>
    <w:rsid w:val="00761988"/>
    <w:rsid w:val="0076199B"/>
    <w:rsid w:val="007619C1"/>
    <w:rsid w:val="007619C6"/>
    <w:rsid w:val="007619D5"/>
    <w:rsid w:val="00761A1A"/>
    <w:rsid w:val="00761A1F"/>
    <w:rsid w:val="00761A34"/>
    <w:rsid w:val="00761A4F"/>
    <w:rsid w:val="00761A62"/>
    <w:rsid w:val="00761A79"/>
    <w:rsid w:val="00761AB1"/>
    <w:rsid w:val="00761AD8"/>
    <w:rsid w:val="00761AF3"/>
    <w:rsid w:val="00761B10"/>
    <w:rsid w:val="00761B30"/>
    <w:rsid w:val="00761B6A"/>
    <w:rsid w:val="00761B99"/>
    <w:rsid w:val="00761BCD"/>
    <w:rsid w:val="00761C42"/>
    <w:rsid w:val="00761C59"/>
    <w:rsid w:val="00761C6B"/>
    <w:rsid w:val="00761C7E"/>
    <w:rsid w:val="00761C9A"/>
    <w:rsid w:val="00761C9F"/>
    <w:rsid w:val="00761CF2"/>
    <w:rsid w:val="00761D1B"/>
    <w:rsid w:val="00761D20"/>
    <w:rsid w:val="00761D47"/>
    <w:rsid w:val="00761D4F"/>
    <w:rsid w:val="00761D5B"/>
    <w:rsid w:val="00761D65"/>
    <w:rsid w:val="00761D76"/>
    <w:rsid w:val="00761DC9"/>
    <w:rsid w:val="00761DD2"/>
    <w:rsid w:val="00761DE9"/>
    <w:rsid w:val="00761E05"/>
    <w:rsid w:val="00761E25"/>
    <w:rsid w:val="00761E26"/>
    <w:rsid w:val="00761E5A"/>
    <w:rsid w:val="00761E64"/>
    <w:rsid w:val="00761E67"/>
    <w:rsid w:val="00761E70"/>
    <w:rsid w:val="00761E72"/>
    <w:rsid w:val="00761E77"/>
    <w:rsid w:val="00761EA3"/>
    <w:rsid w:val="00761EA9"/>
    <w:rsid w:val="00761F2C"/>
    <w:rsid w:val="00761F45"/>
    <w:rsid w:val="00761F77"/>
    <w:rsid w:val="0076201E"/>
    <w:rsid w:val="0076206C"/>
    <w:rsid w:val="0076207D"/>
    <w:rsid w:val="0076207E"/>
    <w:rsid w:val="00762088"/>
    <w:rsid w:val="0076208E"/>
    <w:rsid w:val="0076209D"/>
    <w:rsid w:val="00762107"/>
    <w:rsid w:val="00762117"/>
    <w:rsid w:val="00762234"/>
    <w:rsid w:val="0076223E"/>
    <w:rsid w:val="0076224D"/>
    <w:rsid w:val="00762269"/>
    <w:rsid w:val="00762283"/>
    <w:rsid w:val="007622B4"/>
    <w:rsid w:val="007622BF"/>
    <w:rsid w:val="007622C2"/>
    <w:rsid w:val="00762329"/>
    <w:rsid w:val="00762371"/>
    <w:rsid w:val="00762396"/>
    <w:rsid w:val="007623D7"/>
    <w:rsid w:val="007623E7"/>
    <w:rsid w:val="007623EC"/>
    <w:rsid w:val="007623F1"/>
    <w:rsid w:val="0076241E"/>
    <w:rsid w:val="00762422"/>
    <w:rsid w:val="00762448"/>
    <w:rsid w:val="0076246F"/>
    <w:rsid w:val="00762483"/>
    <w:rsid w:val="007624AF"/>
    <w:rsid w:val="007624CF"/>
    <w:rsid w:val="007624D3"/>
    <w:rsid w:val="0076250E"/>
    <w:rsid w:val="00762526"/>
    <w:rsid w:val="00762533"/>
    <w:rsid w:val="0076259A"/>
    <w:rsid w:val="00762645"/>
    <w:rsid w:val="00762668"/>
    <w:rsid w:val="0076267D"/>
    <w:rsid w:val="007626D2"/>
    <w:rsid w:val="007626E1"/>
    <w:rsid w:val="007626F3"/>
    <w:rsid w:val="0076278B"/>
    <w:rsid w:val="00762793"/>
    <w:rsid w:val="00762794"/>
    <w:rsid w:val="007627A8"/>
    <w:rsid w:val="0076285C"/>
    <w:rsid w:val="00762884"/>
    <w:rsid w:val="007628B8"/>
    <w:rsid w:val="007628D8"/>
    <w:rsid w:val="007628DA"/>
    <w:rsid w:val="007628DE"/>
    <w:rsid w:val="007628F3"/>
    <w:rsid w:val="00762908"/>
    <w:rsid w:val="0076291D"/>
    <w:rsid w:val="00762927"/>
    <w:rsid w:val="00762933"/>
    <w:rsid w:val="007629B3"/>
    <w:rsid w:val="007629BD"/>
    <w:rsid w:val="007629DA"/>
    <w:rsid w:val="00762A10"/>
    <w:rsid w:val="00762A86"/>
    <w:rsid w:val="00762A9E"/>
    <w:rsid w:val="00762ABD"/>
    <w:rsid w:val="00762B65"/>
    <w:rsid w:val="00762B68"/>
    <w:rsid w:val="00762B69"/>
    <w:rsid w:val="00762BC9"/>
    <w:rsid w:val="00762BF0"/>
    <w:rsid w:val="00762C36"/>
    <w:rsid w:val="00762CA7"/>
    <w:rsid w:val="00762CE2"/>
    <w:rsid w:val="00762CF7"/>
    <w:rsid w:val="00762D5E"/>
    <w:rsid w:val="00762D6B"/>
    <w:rsid w:val="00762D6E"/>
    <w:rsid w:val="00762D72"/>
    <w:rsid w:val="00762D76"/>
    <w:rsid w:val="00762DF7"/>
    <w:rsid w:val="00762E00"/>
    <w:rsid w:val="00762E56"/>
    <w:rsid w:val="00762E7E"/>
    <w:rsid w:val="00762E8A"/>
    <w:rsid w:val="00762E97"/>
    <w:rsid w:val="00762E99"/>
    <w:rsid w:val="00762EAD"/>
    <w:rsid w:val="00762EBF"/>
    <w:rsid w:val="00762EDE"/>
    <w:rsid w:val="00762F36"/>
    <w:rsid w:val="00762F73"/>
    <w:rsid w:val="00762FDD"/>
    <w:rsid w:val="00763079"/>
    <w:rsid w:val="007630FA"/>
    <w:rsid w:val="007630FE"/>
    <w:rsid w:val="00763130"/>
    <w:rsid w:val="00763188"/>
    <w:rsid w:val="007631A9"/>
    <w:rsid w:val="0076320A"/>
    <w:rsid w:val="0076321D"/>
    <w:rsid w:val="00763228"/>
    <w:rsid w:val="0076323A"/>
    <w:rsid w:val="00763240"/>
    <w:rsid w:val="0076325E"/>
    <w:rsid w:val="00763261"/>
    <w:rsid w:val="0076326A"/>
    <w:rsid w:val="00763276"/>
    <w:rsid w:val="00763291"/>
    <w:rsid w:val="007632F1"/>
    <w:rsid w:val="007632F2"/>
    <w:rsid w:val="0076330C"/>
    <w:rsid w:val="00763312"/>
    <w:rsid w:val="00763351"/>
    <w:rsid w:val="00763384"/>
    <w:rsid w:val="0076338E"/>
    <w:rsid w:val="007633B3"/>
    <w:rsid w:val="007633D0"/>
    <w:rsid w:val="007633DC"/>
    <w:rsid w:val="007633E4"/>
    <w:rsid w:val="00763404"/>
    <w:rsid w:val="0076341F"/>
    <w:rsid w:val="00763420"/>
    <w:rsid w:val="00763428"/>
    <w:rsid w:val="0076345A"/>
    <w:rsid w:val="007634D6"/>
    <w:rsid w:val="00763501"/>
    <w:rsid w:val="0076352C"/>
    <w:rsid w:val="00763538"/>
    <w:rsid w:val="0076353D"/>
    <w:rsid w:val="00763552"/>
    <w:rsid w:val="00763589"/>
    <w:rsid w:val="007635AC"/>
    <w:rsid w:val="007635C4"/>
    <w:rsid w:val="007635DE"/>
    <w:rsid w:val="00763613"/>
    <w:rsid w:val="00763618"/>
    <w:rsid w:val="00763690"/>
    <w:rsid w:val="007636A6"/>
    <w:rsid w:val="007636DE"/>
    <w:rsid w:val="007636E1"/>
    <w:rsid w:val="0076371C"/>
    <w:rsid w:val="00763767"/>
    <w:rsid w:val="007637B0"/>
    <w:rsid w:val="007637C7"/>
    <w:rsid w:val="007637F4"/>
    <w:rsid w:val="007637FA"/>
    <w:rsid w:val="0076380B"/>
    <w:rsid w:val="0076381A"/>
    <w:rsid w:val="00763853"/>
    <w:rsid w:val="0076387C"/>
    <w:rsid w:val="00763884"/>
    <w:rsid w:val="007638AA"/>
    <w:rsid w:val="007638DD"/>
    <w:rsid w:val="00763906"/>
    <w:rsid w:val="0076390D"/>
    <w:rsid w:val="0076391D"/>
    <w:rsid w:val="00763935"/>
    <w:rsid w:val="0076393B"/>
    <w:rsid w:val="0076394A"/>
    <w:rsid w:val="00763954"/>
    <w:rsid w:val="00763975"/>
    <w:rsid w:val="007639BE"/>
    <w:rsid w:val="007639CD"/>
    <w:rsid w:val="007639CF"/>
    <w:rsid w:val="007639E3"/>
    <w:rsid w:val="00763A14"/>
    <w:rsid w:val="00763A21"/>
    <w:rsid w:val="00763A64"/>
    <w:rsid w:val="00763AA5"/>
    <w:rsid w:val="00763AD1"/>
    <w:rsid w:val="00763B1F"/>
    <w:rsid w:val="00763B43"/>
    <w:rsid w:val="00763B68"/>
    <w:rsid w:val="00763B81"/>
    <w:rsid w:val="00763BA6"/>
    <w:rsid w:val="00763BAD"/>
    <w:rsid w:val="00763BD0"/>
    <w:rsid w:val="00763C05"/>
    <w:rsid w:val="00763C23"/>
    <w:rsid w:val="00763C25"/>
    <w:rsid w:val="00763C33"/>
    <w:rsid w:val="00763D01"/>
    <w:rsid w:val="00763D1C"/>
    <w:rsid w:val="00763D62"/>
    <w:rsid w:val="00763D84"/>
    <w:rsid w:val="00763E3D"/>
    <w:rsid w:val="00763E51"/>
    <w:rsid w:val="00763E60"/>
    <w:rsid w:val="00763E97"/>
    <w:rsid w:val="00763EBF"/>
    <w:rsid w:val="00763EC0"/>
    <w:rsid w:val="00763EED"/>
    <w:rsid w:val="00763F04"/>
    <w:rsid w:val="00763F5D"/>
    <w:rsid w:val="00763F60"/>
    <w:rsid w:val="00763F6C"/>
    <w:rsid w:val="00763F79"/>
    <w:rsid w:val="00763F7C"/>
    <w:rsid w:val="00763FF7"/>
    <w:rsid w:val="00763FFC"/>
    <w:rsid w:val="00764007"/>
    <w:rsid w:val="00764026"/>
    <w:rsid w:val="00764029"/>
    <w:rsid w:val="00764054"/>
    <w:rsid w:val="00764056"/>
    <w:rsid w:val="00764074"/>
    <w:rsid w:val="007640A2"/>
    <w:rsid w:val="007640F3"/>
    <w:rsid w:val="00764160"/>
    <w:rsid w:val="0076416F"/>
    <w:rsid w:val="00764195"/>
    <w:rsid w:val="0076419D"/>
    <w:rsid w:val="007641AC"/>
    <w:rsid w:val="007641B9"/>
    <w:rsid w:val="007641BC"/>
    <w:rsid w:val="007641C5"/>
    <w:rsid w:val="007641F4"/>
    <w:rsid w:val="0076421F"/>
    <w:rsid w:val="00764238"/>
    <w:rsid w:val="0076424D"/>
    <w:rsid w:val="00764250"/>
    <w:rsid w:val="00764261"/>
    <w:rsid w:val="0076428B"/>
    <w:rsid w:val="007642F0"/>
    <w:rsid w:val="00764361"/>
    <w:rsid w:val="00764370"/>
    <w:rsid w:val="00764380"/>
    <w:rsid w:val="00764383"/>
    <w:rsid w:val="00764399"/>
    <w:rsid w:val="0076439F"/>
    <w:rsid w:val="007643D4"/>
    <w:rsid w:val="007643F9"/>
    <w:rsid w:val="00764407"/>
    <w:rsid w:val="0076447F"/>
    <w:rsid w:val="00764484"/>
    <w:rsid w:val="00764490"/>
    <w:rsid w:val="007644A0"/>
    <w:rsid w:val="007644E0"/>
    <w:rsid w:val="007644F6"/>
    <w:rsid w:val="00764532"/>
    <w:rsid w:val="00764558"/>
    <w:rsid w:val="00764614"/>
    <w:rsid w:val="0076461C"/>
    <w:rsid w:val="0076463C"/>
    <w:rsid w:val="00764669"/>
    <w:rsid w:val="007646BF"/>
    <w:rsid w:val="007646C6"/>
    <w:rsid w:val="00764732"/>
    <w:rsid w:val="0076475E"/>
    <w:rsid w:val="0076476C"/>
    <w:rsid w:val="007647BF"/>
    <w:rsid w:val="007647EC"/>
    <w:rsid w:val="007647FB"/>
    <w:rsid w:val="00764847"/>
    <w:rsid w:val="0076487B"/>
    <w:rsid w:val="0076488C"/>
    <w:rsid w:val="0076489B"/>
    <w:rsid w:val="0076489F"/>
    <w:rsid w:val="007648B4"/>
    <w:rsid w:val="00764972"/>
    <w:rsid w:val="007649A2"/>
    <w:rsid w:val="007649C1"/>
    <w:rsid w:val="007649CC"/>
    <w:rsid w:val="007649ED"/>
    <w:rsid w:val="00764A49"/>
    <w:rsid w:val="00764A75"/>
    <w:rsid w:val="00764AD4"/>
    <w:rsid w:val="00764AD6"/>
    <w:rsid w:val="00764AEE"/>
    <w:rsid w:val="00764AFD"/>
    <w:rsid w:val="00764B0C"/>
    <w:rsid w:val="00764B19"/>
    <w:rsid w:val="00764B27"/>
    <w:rsid w:val="00764B49"/>
    <w:rsid w:val="00764B4A"/>
    <w:rsid w:val="00764B9F"/>
    <w:rsid w:val="00764BA3"/>
    <w:rsid w:val="00764BF2"/>
    <w:rsid w:val="00764C97"/>
    <w:rsid w:val="00764CD5"/>
    <w:rsid w:val="00764CF7"/>
    <w:rsid w:val="00764D01"/>
    <w:rsid w:val="00764D32"/>
    <w:rsid w:val="00764D81"/>
    <w:rsid w:val="00764D8B"/>
    <w:rsid w:val="00764DC9"/>
    <w:rsid w:val="00764DDA"/>
    <w:rsid w:val="00764E05"/>
    <w:rsid w:val="00764E1A"/>
    <w:rsid w:val="00764E84"/>
    <w:rsid w:val="00764E9D"/>
    <w:rsid w:val="00764ED5"/>
    <w:rsid w:val="00764EDD"/>
    <w:rsid w:val="00764F23"/>
    <w:rsid w:val="00764F24"/>
    <w:rsid w:val="00764F5D"/>
    <w:rsid w:val="00764F65"/>
    <w:rsid w:val="00764FBF"/>
    <w:rsid w:val="00764FDD"/>
    <w:rsid w:val="00765011"/>
    <w:rsid w:val="00765053"/>
    <w:rsid w:val="0076507B"/>
    <w:rsid w:val="007650A5"/>
    <w:rsid w:val="007650C3"/>
    <w:rsid w:val="007650C8"/>
    <w:rsid w:val="007650E1"/>
    <w:rsid w:val="0076512C"/>
    <w:rsid w:val="00765133"/>
    <w:rsid w:val="0076513D"/>
    <w:rsid w:val="00765158"/>
    <w:rsid w:val="00765168"/>
    <w:rsid w:val="00765170"/>
    <w:rsid w:val="00765184"/>
    <w:rsid w:val="007651B6"/>
    <w:rsid w:val="007651BD"/>
    <w:rsid w:val="007651C6"/>
    <w:rsid w:val="007651DD"/>
    <w:rsid w:val="007651EC"/>
    <w:rsid w:val="007651EF"/>
    <w:rsid w:val="007651F9"/>
    <w:rsid w:val="0076524F"/>
    <w:rsid w:val="00765257"/>
    <w:rsid w:val="0076526D"/>
    <w:rsid w:val="00765295"/>
    <w:rsid w:val="007652AE"/>
    <w:rsid w:val="007652B6"/>
    <w:rsid w:val="007652DD"/>
    <w:rsid w:val="00765372"/>
    <w:rsid w:val="00765411"/>
    <w:rsid w:val="00765428"/>
    <w:rsid w:val="0076544A"/>
    <w:rsid w:val="00765470"/>
    <w:rsid w:val="0076547D"/>
    <w:rsid w:val="00765499"/>
    <w:rsid w:val="007654A3"/>
    <w:rsid w:val="007654A5"/>
    <w:rsid w:val="007654D1"/>
    <w:rsid w:val="007654DE"/>
    <w:rsid w:val="007654EF"/>
    <w:rsid w:val="0076551D"/>
    <w:rsid w:val="00765562"/>
    <w:rsid w:val="007655C2"/>
    <w:rsid w:val="007655E7"/>
    <w:rsid w:val="00765606"/>
    <w:rsid w:val="00765614"/>
    <w:rsid w:val="0076562B"/>
    <w:rsid w:val="00765631"/>
    <w:rsid w:val="00765634"/>
    <w:rsid w:val="0076565D"/>
    <w:rsid w:val="0076566A"/>
    <w:rsid w:val="007656B6"/>
    <w:rsid w:val="007656DC"/>
    <w:rsid w:val="007656EE"/>
    <w:rsid w:val="00765704"/>
    <w:rsid w:val="00765747"/>
    <w:rsid w:val="00765756"/>
    <w:rsid w:val="007657A2"/>
    <w:rsid w:val="007657C3"/>
    <w:rsid w:val="007657DA"/>
    <w:rsid w:val="007657F8"/>
    <w:rsid w:val="007658AF"/>
    <w:rsid w:val="007658BB"/>
    <w:rsid w:val="007658D2"/>
    <w:rsid w:val="00765912"/>
    <w:rsid w:val="00765920"/>
    <w:rsid w:val="00765934"/>
    <w:rsid w:val="00765938"/>
    <w:rsid w:val="0076593A"/>
    <w:rsid w:val="0076595F"/>
    <w:rsid w:val="00765985"/>
    <w:rsid w:val="007659D9"/>
    <w:rsid w:val="007659EF"/>
    <w:rsid w:val="007659FE"/>
    <w:rsid w:val="00765A18"/>
    <w:rsid w:val="00765A3A"/>
    <w:rsid w:val="00765A4B"/>
    <w:rsid w:val="00765A8A"/>
    <w:rsid w:val="00765AA5"/>
    <w:rsid w:val="00765AD5"/>
    <w:rsid w:val="00765B1E"/>
    <w:rsid w:val="00765B23"/>
    <w:rsid w:val="00765B2D"/>
    <w:rsid w:val="00765B48"/>
    <w:rsid w:val="00765B53"/>
    <w:rsid w:val="00765B71"/>
    <w:rsid w:val="00765BB7"/>
    <w:rsid w:val="00765C2E"/>
    <w:rsid w:val="00765C32"/>
    <w:rsid w:val="00765C66"/>
    <w:rsid w:val="00765C78"/>
    <w:rsid w:val="00765C9E"/>
    <w:rsid w:val="00765CB8"/>
    <w:rsid w:val="00765CE6"/>
    <w:rsid w:val="00765CF1"/>
    <w:rsid w:val="00765CFD"/>
    <w:rsid w:val="00765D03"/>
    <w:rsid w:val="00765D0C"/>
    <w:rsid w:val="00765D20"/>
    <w:rsid w:val="00765D65"/>
    <w:rsid w:val="00765D73"/>
    <w:rsid w:val="00765D99"/>
    <w:rsid w:val="00765DDF"/>
    <w:rsid w:val="00765E21"/>
    <w:rsid w:val="00765EA8"/>
    <w:rsid w:val="00765EB8"/>
    <w:rsid w:val="00765EBE"/>
    <w:rsid w:val="00765EFC"/>
    <w:rsid w:val="00765F16"/>
    <w:rsid w:val="00765F17"/>
    <w:rsid w:val="00765F22"/>
    <w:rsid w:val="00765F34"/>
    <w:rsid w:val="00765F4F"/>
    <w:rsid w:val="00765F78"/>
    <w:rsid w:val="00765FA3"/>
    <w:rsid w:val="00766021"/>
    <w:rsid w:val="00766053"/>
    <w:rsid w:val="0076606D"/>
    <w:rsid w:val="0076609A"/>
    <w:rsid w:val="0076609C"/>
    <w:rsid w:val="007660A6"/>
    <w:rsid w:val="007660B1"/>
    <w:rsid w:val="007660E6"/>
    <w:rsid w:val="007660FE"/>
    <w:rsid w:val="00766150"/>
    <w:rsid w:val="0076615B"/>
    <w:rsid w:val="0076619A"/>
    <w:rsid w:val="0076619F"/>
    <w:rsid w:val="007661BA"/>
    <w:rsid w:val="007661E6"/>
    <w:rsid w:val="007661E8"/>
    <w:rsid w:val="00766228"/>
    <w:rsid w:val="00766260"/>
    <w:rsid w:val="00766292"/>
    <w:rsid w:val="007662C5"/>
    <w:rsid w:val="007662DD"/>
    <w:rsid w:val="007662F4"/>
    <w:rsid w:val="007662F9"/>
    <w:rsid w:val="00766357"/>
    <w:rsid w:val="0076636B"/>
    <w:rsid w:val="00766391"/>
    <w:rsid w:val="007663C1"/>
    <w:rsid w:val="0076640D"/>
    <w:rsid w:val="00766412"/>
    <w:rsid w:val="00766423"/>
    <w:rsid w:val="0076643A"/>
    <w:rsid w:val="00766450"/>
    <w:rsid w:val="0076648E"/>
    <w:rsid w:val="007664C8"/>
    <w:rsid w:val="007664D6"/>
    <w:rsid w:val="007664F4"/>
    <w:rsid w:val="0076653E"/>
    <w:rsid w:val="00766548"/>
    <w:rsid w:val="0076654D"/>
    <w:rsid w:val="00766554"/>
    <w:rsid w:val="0076657E"/>
    <w:rsid w:val="007665E3"/>
    <w:rsid w:val="007665F1"/>
    <w:rsid w:val="00766600"/>
    <w:rsid w:val="007666A0"/>
    <w:rsid w:val="007666A6"/>
    <w:rsid w:val="007666DC"/>
    <w:rsid w:val="007666FA"/>
    <w:rsid w:val="007667A9"/>
    <w:rsid w:val="007667E8"/>
    <w:rsid w:val="007667EF"/>
    <w:rsid w:val="00766832"/>
    <w:rsid w:val="00766843"/>
    <w:rsid w:val="00766887"/>
    <w:rsid w:val="007668AD"/>
    <w:rsid w:val="007668EB"/>
    <w:rsid w:val="007668F0"/>
    <w:rsid w:val="00766914"/>
    <w:rsid w:val="00766930"/>
    <w:rsid w:val="0076695C"/>
    <w:rsid w:val="0076695F"/>
    <w:rsid w:val="00766972"/>
    <w:rsid w:val="00766979"/>
    <w:rsid w:val="0076699A"/>
    <w:rsid w:val="007669FB"/>
    <w:rsid w:val="00766A0D"/>
    <w:rsid w:val="00766A52"/>
    <w:rsid w:val="00766A66"/>
    <w:rsid w:val="00766AC6"/>
    <w:rsid w:val="00766AE9"/>
    <w:rsid w:val="00766B7D"/>
    <w:rsid w:val="00766B7F"/>
    <w:rsid w:val="00766B9F"/>
    <w:rsid w:val="00766BBB"/>
    <w:rsid w:val="00766BEF"/>
    <w:rsid w:val="00766C2C"/>
    <w:rsid w:val="00766C42"/>
    <w:rsid w:val="00766CBE"/>
    <w:rsid w:val="00766D2E"/>
    <w:rsid w:val="00766D57"/>
    <w:rsid w:val="00766D95"/>
    <w:rsid w:val="00766DB5"/>
    <w:rsid w:val="00766E5E"/>
    <w:rsid w:val="00766E68"/>
    <w:rsid w:val="00766E82"/>
    <w:rsid w:val="00766EBE"/>
    <w:rsid w:val="00766EDD"/>
    <w:rsid w:val="00766EF4"/>
    <w:rsid w:val="00766F0E"/>
    <w:rsid w:val="00766F17"/>
    <w:rsid w:val="00766F1E"/>
    <w:rsid w:val="00766F57"/>
    <w:rsid w:val="00766F7F"/>
    <w:rsid w:val="00766F84"/>
    <w:rsid w:val="00766FA7"/>
    <w:rsid w:val="00766FF8"/>
    <w:rsid w:val="00767027"/>
    <w:rsid w:val="00767053"/>
    <w:rsid w:val="00767087"/>
    <w:rsid w:val="007670A9"/>
    <w:rsid w:val="007670B0"/>
    <w:rsid w:val="007670E4"/>
    <w:rsid w:val="00767108"/>
    <w:rsid w:val="00767112"/>
    <w:rsid w:val="00767136"/>
    <w:rsid w:val="0076718B"/>
    <w:rsid w:val="007671A7"/>
    <w:rsid w:val="00767221"/>
    <w:rsid w:val="0076724C"/>
    <w:rsid w:val="0076725B"/>
    <w:rsid w:val="00767264"/>
    <w:rsid w:val="007672C9"/>
    <w:rsid w:val="00767302"/>
    <w:rsid w:val="0076731C"/>
    <w:rsid w:val="00767323"/>
    <w:rsid w:val="00767333"/>
    <w:rsid w:val="0076734C"/>
    <w:rsid w:val="0076734D"/>
    <w:rsid w:val="0076738D"/>
    <w:rsid w:val="0076738E"/>
    <w:rsid w:val="0076739F"/>
    <w:rsid w:val="007673A6"/>
    <w:rsid w:val="007673C1"/>
    <w:rsid w:val="007673D4"/>
    <w:rsid w:val="007673DA"/>
    <w:rsid w:val="00767420"/>
    <w:rsid w:val="00767453"/>
    <w:rsid w:val="007674BD"/>
    <w:rsid w:val="007674C1"/>
    <w:rsid w:val="007674CC"/>
    <w:rsid w:val="00767503"/>
    <w:rsid w:val="0076751F"/>
    <w:rsid w:val="00767555"/>
    <w:rsid w:val="00767557"/>
    <w:rsid w:val="007675B0"/>
    <w:rsid w:val="00767630"/>
    <w:rsid w:val="007676A3"/>
    <w:rsid w:val="007676E7"/>
    <w:rsid w:val="00767713"/>
    <w:rsid w:val="0076771E"/>
    <w:rsid w:val="00767756"/>
    <w:rsid w:val="0076776B"/>
    <w:rsid w:val="00767783"/>
    <w:rsid w:val="007677A7"/>
    <w:rsid w:val="007677B1"/>
    <w:rsid w:val="007677E5"/>
    <w:rsid w:val="007678BF"/>
    <w:rsid w:val="007678E4"/>
    <w:rsid w:val="007678F8"/>
    <w:rsid w:val="0076794E"/>
    <w:rsid w:val="007679B2"/>
    <w:rsid w:val="007679D2"/>
    <w:rsid w:val="007679DA"/>
    <w:rsid w:val="00767A04"/>
    <w:rsid w:val="00767A36"/>
    <w:rsid w:val="00767A3B"/>
    <w:rsid w:val="00767A49"/>
    <w:rsid w:val="00767A80"/>
    <w:rsid w:val="00767AAA"/>
    <w:rsid w:val="00767AB6"/>
    <w:rsid w:val="00767ADE"/>
    <w:rsid w:val="00767AF0"/>
    <w:rsid w:val="00767B3B"/>
    <w:rsid w:val="00767B63"/>
    <w:rsid w:val="00767B64"/>
    <w:rsid w:val="00767B72"/>
    <w:rsid w:val="00767BAB"/>
    <w:rsid w:val="00767BCD"/>
    <w:rsid w:val="00767BF7"/>
    <w:rsid w:val="00767BFA"/>
    <w:rsid w:val="00767C0D"/>
    <w:rsid w:val="00767C1F"/>
    <w:rsid w:val="00767C2D"/>
    <w:rsid w:val="00767C53"/>
    <w:rsid w:val="00767C5D"/>
    <w:rsid w:val="00767C6E"/>
    <w:rsid w:val="00767C72"/>
    <w:rsid w:val="00767C79"/>
    <w:rsid w:val="00767C8D"/>
    <w:rsid w:val="00767C91"/>
    <w:rsid w:val="00767CAB"/>
    <w:rsid w:val="00767D1C"/>
    <w:rsid w:val="00767D37"/>
    <w:rsid w:val="00767D49"/>
    <w:rsid w:val="00767D61"/>
    <w:rsid w:val="00767D81"/>
    <w:rsid w:val="00767DAC"/>
    <w:rsid w:val="00767DFB"/>
    <w:rsid w:val="00767E03"/>
    <w:rsid w:val="00767E0B"/>
    <w:rsid w:val="00767EFB"/>
    <w:rsid w:val="00767F1A"/>
    <w:rsid w:val="00767F1E"/>
    <w:rsid w:val="00767F80"/>
    <w:rsid w:val="00767F94"/>
    <w:rsid w:val="00767FA7"/>
    <w:rsid w:val="00767FCA"/>
    <w:rsid w:val="00770001"/>
    <w:rsid w:val="00770033"/>
    <w:rsid w:val="0077003D"/>
    <w:rsid w:val="00770050"/>
    <w:rsid w:val="00770067"/>
    <w:rsid w:val="00770070"/>
    <w:rsid w:val="0077008D"/>
    <w:rsid w:val="007700AB"/>
    <w:rsid w:val="007700E0"/>
    <w:rsid w:val="007700EA"/>
    <w:rsid w:val="007700F4"/>
    <w:rsid w:val="0077015B"/>
    <w:rsid w:val="00770163"/>
    <w:rsid w:val="00770166"/>
    <w:rsid w:val="00770199"/>
    <w:rsid w:val="007702CD"/>
    <w:rsid w:val="00770302"/>
    <w:rsid w:val="0077031B"/>
    <w:rsid w:val="00770348"/>
    <w:rsid w:val="0077035B"/>
    <w:rsid w:val="00770367"/>
    <w:rsid w:val="00770377"/>
    <w:rsid w:val="0077041A"/>
    <w:rsid w:val="0077042B"/>
    <w:rsid w:val="00770485"/>
    <w:rsid w:val="007704CD"/>
    <w:rsid w:val="007704DF"/>
    <w:rsid w:val="0077051E"/>
    <w:rsid w:val="00770545"/>
    <w:rsid w:val="007705CB"/>
    <w:rsid w:val="007705CC"/>
    <w:rsid w:val="0077062A"/>
    <w:rsid w:val="0077062B"/>
    <w:rsid w:val="0077062C"/>
    <w:rsid w:val="00770671"/>
    <w:rsid w:val="0077068E"/>
    <w:rsid w:val="007706B8"/>
    <w:rsid w:val="007706ED"/>
    <w:rsid w:val="00770726"/>
    <w:rsid w:val="0077073B"/>
    <w:rsid w:val="0077074D"/>
    <w:rsid w:val="00770753"/>
    <w:rsid w:val="007707BD"/>
    <w:rsid w:val="007707C8"/>
    <w:rsid w:val="007707EE"/>
    <w:rsid w:val="00770827"/>
    <w:rsid w:val="0077082C"/>
    <w:rsid w:val="00770839"/>
    <w:rsid w:val="0077085E"/>
    <w:rsid w:val="007708D0"/>
    <w:rsid w:val="007708EC"/>
    <w:rsid w:val="00770906"/>
    <w:rsid w:val="00770928"/>
    <w:rsid w:val="0077093B"/>
    <w:rsid w:val="0077093C"/>
    <w:rsid w:val="00770A2D"/>
    <w:rsid w:val="00770A72"/>
    <w:rsid w:val="00770A75"/>
    <w:rsid w:val="00770A77"/>
    <w:rsid w:val="00770AF4"/>
    <w:rsid w:val="00770B1A"/>
    <w:rsid w:val="00770B97"/>
    <w:rsid w:val="00770BBB"/>
    <w:rsid w:val="00770BCD"/>
    <w:rsid w:val="00770BF0"/>
    <w:rsid w:val="00770BF7"/>
    <w:rsid w:val="00770C3F"/>
    <w:rsid w:val="00770C5C"/>
    <w:rsid w:val="00770C5F"/>
    <w:rsid w:val="00770C6F"/>
    <w:rsid w:val="00770CF3"/>
    <w:rsid w:val="00770CF4"/>
    <w:rsid w:val="00770D14"/>
    <w:rsid w:val="00770D56"/>
    <w:rsid w:val="00770D6F"/>
    <w:rsid w:val="00770DA5"/>
    <w:rsid w:val="00770DE2"/>
    <w:rsid w:val="00770E30"/>
    <w:rsid w:val="00770E3C"/>
    <w:rsid w:val="00770E42"/>
    <w:rsid w:val="00770E73"/>
    <w:rsid w:val="00770F16"/>
    <w:rsid w:val="00770F33"/>
    <w:rsid w:val="00770F37"/>
    <w:rsid w:val="00770F39"/>
    <w:rsid w:val="00770F5B"/>
    <w:rsid w:val="00770F86"/>
    <w:rsid w:val="00770F94"/>
    <w:rsid w:val="00771008"/>
    <w:rsid w:val="00771036"/>
    <w:rsid w:val="00771069"/>
    <w:rsid w:val="0077108A"/>
    <w:rsid w:val="00771097"/>
    <w:rsid w:val="0077109A"/>
    <w:rsid w:val="0077109F"/>
    <w:rsid w:val="007710BF"/>
    <w:rsid w:val="007710DE"/>
    <w:rsid w:val="0077110D"/>
    <w:rsid w:val="00771117"/>
    <w:rsid w:val="00771122"/>
    <w:rsid w:val="0077115D"/>
    <w:rsid w:val="00771164"/>
    <w:rsid w:val="007711BC"/>
    <w:rsid w:val="007711CA"/>
    <w:rsid w:val="007711CC"/>
    <w:rsid w:val="007711CE"/>
    <w:rsid w:val="007711E0"/>
    <w:rsid w:val="00771226"/>
    <w:rsid w:val="00771230"/>
    <w:rsid w:val="0077125B"/>
    <w:rsid w:val="0077125E"/>
    <w:rsid w:val="0077127C"/>
    <w:rsid w:val="007712A5"/>
    <w:rsid w:val="007712B4"/>
    <w:rsid w:val="00771315"/>
    <w:rsid w:val="00771319"/>
    <w:rsid w:val="00771326"/>
    <w:rsid w:val="0077132D"/>
    <w:rsid w:val="00771339"/>
    <w:rsid w:val="0077138E"/>
    <w:rsid w:val="00771390"/>
    <w:rsid w:val="007713E7"/>
    <w:rsid w:val="007713EB"/>
    <w:rsid w:val="007713FA"/>
    <w:rsid w:val="007713FD"/>
    <w:rsid w:val="00771409"/>
    <w:rsid w:val="00771446"/>
    <w:rsid w:val="00771448"/>
    <w:rsid w:val="00771469"/>
    <w:rsid w:val="007714DA"/>
    <w:rsid w:val="007714F9"/>
    <w:rsid w:val="00771501"/>
    <w:rsid w:val="0077150E"/>
    <w:rsid w:val="00771537"/>
    <w:rsid w:val="0077155D"/>
    <w:rsid w:val="00771561"/>
    <w:rsid w:val="00771582"/>
    <w:rsid w:val="0077159F"/>
    <w:rsid w:val="007715EB"/>
    <w:rsid w:val="0077161E"/>
    <w:rsid w:val="0077163E"/>
    <w:rsid w:val="007716E1"/>
    <w:rsid w:val="00771710"/>
    <w:rsid w:val="00771759"/>
    <w:rsid w:val="0077175F"/>
    <w:rsid w:val="00771793"/>
    <w:rsid w:val="00771796"/>
    <w:rsid w:val="007717B2"/>
    <w:rsid w:val="007717E4"/>
    <w:rsid w:val="00771848"/>
    <w:rsid w:val="00771879"/>
    <w:rsid w:val="007718A9"/>
    <w:rsid w:val="007718B3"/>
    <w:rsid w:val="007718C4"/>
    <w:rsid w:val="007718C5"/>
    <w:rsid w:val="00771902"/>
    <w:rsid w:val="00771908"/>
    <w:rsid w:val="0077190C"/>
    <w:rsid w:val="00771915"/>
    <w:rsid w:val="00771977"/>
    <w:rsid w:val="00771980"/>
    <w:rsid w:val="007719C7"/>
    <w:rsid w:val="007719EC"/>
    <w:rsid w:val="007719EE"/>
    <w:rsid w:val="007719F8"/>
    <w:rsid w:val="007719F9"/>
    <w:rsid w:val="00771A39"/>
    <w:rsid w:val="00771A70"/>
    <w:rsid w:val="00771A8A"/>
    <w:rsid w:val="00771A99"/>
    <w:rsid w:val="00771ACE"/>
    <w:rsid w:val="00771AF1"/>
    <w:rsid w:val="00771B0A"/>
    <w:rsid w:val="00771B47"/>
    <w:rsid w:val="00771B6B"/>
    <w:rsid w:val="00771B98"/>
    <w:rsid w:val="00771BC5"/>
    <w:rsid w:val="00771BDE"/>
    <w:rsid w:val="00771BE3"/>
    <w:rsid w:val="00771BF9"/>
    <w:rsid w:val="00771C50"/>
    <w:rsid w:val="00771CA8"/>
    <w:rsid w:val="00771CAC"/>
    <w:rsid w:val="00771CC9"/>
    <w:rsid w:val="00771CE6"/>
    <w:rsid w:val="00771CFE"/>
    <w:rsid w:val="00771D13"/>
    <w:rsid w:val="00771D2D"/>
    <w:rsid w:val="00771D75"/>
    <w:rsid w:val="00771D90"/>
    <w:rsid w:val="00771DF5"/>
    <w:rsid w:val="00771E02"/>
    <w:rsid w:val="00771E19"/>
    <w:rsid w:val="00771E2E"/>
    <w:rsid w:val="00771E89"/>
    <w:rsid w:val="00771EB1"/>
    <w:rsid w:val="00771EBB"/>
    <w:rsid w:val="00771EC6"/>
    <w:rsid w:val="00771EDF"/>
    <w:rsid w:val="00771EF7"/>
    <w:rsid w:val="00771F24"/>
    <w:rsid w:val="00771F26"/>
    <w:rsid w:val="00771F43"/>
    <w:rsid w:val="00771F94"/>
    <w:rsid w:val="00771FEE"/>
    <w:rsid w:val="00771FFF"/>
    <w:rsid w:val="0077201D"/>
    <w:rsid w:val="0077201E"/>
    <w:rsid w:val="00772026"/>
    <w:rsid w:val="0077205B"/>
    <w:rsid w:val="007720B3"/>
    <w:rsid w:val="0077211E"/>
    <w:rsid w:val="00772135"/>
    <w:rsid w:val="007721BA"/>
    <w:rsid w:val="007721BF"/>
    <w:rsid w:val="007721C3"/>
    <w:rsid w:val="007721C6"/>
    <w:rsid w:val="007721CB"/>
    <w:rsid w:val="00772205"/>
    <w:rsid w:val="00772248"/>
    <w:rsid w:val="00772289"/>
    <w:rsid w:val="007722E4"/>
    <w:rsid w:val="007722FA"/>
    <w:rsid w:val="00772316"/>
    <w:rsid w:val="00772321"/>
    <w:rsid w:val="00772339"/>
    <w:rsid w:val="0077235A"/>
    <w:rsid w:val="00772361"/>
    <w:rsid w:val="00772362"/>
    <w:rsid w:val="00772368"/>
    <w:rsid w:val="0077237C"/>
    <w:rsid w:val="007723CC"/>
    <w:rsid w:val="007723F1"/>
    <w:rsid w:val="0077241D"/>
    <w:rsid w:val="00772440"/>
    <w:rsid w:val="0077244C"/>
    <w:rsid w:val="0077246E"/>
    <w:rsid w:val="007724AD"/>
    <w:rsid w:val="007724B1"/>
    <w:rsid w:val="007724B6"/>
    <w:rsid w:val="007724C6"/>
    <w:rsid w:val="007724CD"/>
    <w:rsid w:val="007724D3"/>
    <w:rsid w:val="007724E8"/>
    <w:rsid w:val="007724EA"/>
    <w:rsid w:val="0077251A"/>
    <w:rsid w:val="00772536"/>
    <w:rsid w:val="00772538"/>
    <w:rsid w:val="00772556"/>
    <w:rsid w:val="00772576"/>
    <w:rsid w:val="00772584"/>
    <w:rsid w:val="007725A1"/>
    <w:rsid w:val="007725C1"/>
    <w:rsid w:val="0077260B"/>
    <w:rsid w:val="00772655"/>
    <w:rsid w:val="007726CC"/>
    <w:rsid w:val="007726D2"/>
    <w:rsid w:val="007726D8"/>
    <w:rsid w:val="007726F2"/>
    <w:rsid w:val="00772702"/>
    <w:rsid w:val="0077271E"/>
    <w:rsid w:val="0077272A"/>
    <w:rsid w:val="0077273F"/>
    <w:rsid w:val="00772761"/>
    <w:rsid w:val="007727BE"/>
    <w:rsid w:val="007727DD"/>
    <w:rsid w:val="00772827"/>
    <w:rsid w:val="0077285B"/>
    <w:rsid w:val="007728AF"/>
    <w:rsid w:val="00772979"/>
    <w:rsid w:val="007729A3"/>
    <w:rsid w:val="007729C5"/>
    <w:rsid w:val="00772A0F"/>
    <w:rsid w:val="00772A38"/>
    <w:rsid w:val="00772A4F"/>
    <w:rsid w:val="00772A50"/>
    <w:rsid w:val="00772A6B"/>
    <w:rsid w:val="00772A8E"/>
    <w:rsid w:val="00772A94"/>
    <w:rsid w:val="00772B23"/>
    <w:rsid w:val="00772B58"/>
    <w:rsid w:val="00772B78"/>
    <w:rsid w:val="00772BC4"/>
    <w:rsid w:val="00772C09"/>
    <w:rsid w:val="00772C24"/>
    <w:rsid w:val="00772C26"/>
    <w:rsid w:val="00772C53"/>
    <w:rsid w:val="00772C81"/>
    <w:rsid w:val="00772CE6"/>
    <w:rsid w:val="00772CFD"/>
    <w:rsid w:val="00772D43"/>
    <w:rsid w:val="00772D55"/>
    <w:rsid w:val="00772D81"/>
    <w:rsid w:val="00772D8E"/>
    <w:rsid w:val="00772DCF"/>
    <w:rsid w:val="00772DEB"/>
    <w:rsid w:val="00772E13"/>
    <w:rsid w:val="00772E46"/>
    <w:rsid w:val="00772E52"/>
    <w:rsid w:val="00772E95"/>
    <w:rsid w:val="00772EB8"/>
    <w:rsid w:val="00772EBC"/>
    <w:rsid w:val="00772F0B"/>
    <w:rsid w:val="00772F2B"/>
    <w:rsid w:val="00772F3A"/>
    <w:rsid w:val="00772F3E"/>
    <w:rsid w:val="00772F75"/>
    <w:rsid w:val="00772F99"/>
    <w:rsid w:val="00772FA9"/>
    <w:rsid w:val="00772FE6"/>
    <w:rsid w:val="00772FF5"/>
    <w:rsid w:val="00773006"/>
    <w:rsid w:val="00773026"/>
    <w:rsid w:val="00773036"/>
    <w:rsid w:val="0077303C"/>
    <w:rsid w:val="00773041"/>
    <w:rsid w:val="0077304C"/>
    <w:rsid w:val="00773056"/>
    <w:rsid w:val="007730F2"/>
    <w:rsid w:val="00773125"/>
    <w:rsid w:val="00773193"/>
    <w:rsid w:val="00773197"/>
    <w:rsid w:val="007731A6"/>
    <w:rsid w:val="007731B2"/>
    <w:rsid w:val="00773203"/>
    <w:rsid w:val="0077321B"/>
    <w:rsid w:val="00773234"/>
    <w:rsid w:val="00773282"/>
    <w:rsid w:val="007732A6"/>
    <w:rsid w:val="007732F4"/>
    <w:rsid w:val="00773308"/>
    <w:rsid w:val="00773340"/>
    <w:rsid w:val="00773365"/>
    <w:rsid w:val="0077337E"/>
    <w:rsid w:val="00773382"/>
    <w:rsid w:val="007733AF"/>
    <w:rsid w:val="007733D3"/>
    <w:rsid w:val="007733EF"/>
    <w:rsid w:val="0077345A"/>
    <w:rsid w:val="00773480"/>
    <w:rsid w:val="007734BE"/>
    <w:rsid w:val="007734C6"/>
    <w:rsid w:val="00773514"/>
    <w:rsid w:val="00773559"/>
    <w:rsid w:val="0077357D"/>
    <w:rsid w:val="007735B8"/>
    <w:rsid w:val="007735EE"/>
    <w:rsid w:val="00773601"/>
    <w:rsid w:val="00773614"/>
    <w:rsid w:val="00773683"/>
    <w:rsid w:val="0077369D"/>
    <w:rsid w:val="007736AF"/>
    <w:rsid w:val="007736B5"/>
    <w:rsid w:val="007736B7"/>
    <w:rsid w:val="007736D6"/>
    <w:rsid w:val="0077373D"/>
    <w:rsid w:val="007737C9"/>
    <w:rsid w:val="0077380B"/>
    <w:rsid w:val="0077382E"/>
    <w:rsid w:val="0077384E"/>
    <w:rsid w:val="00773889"/>
    <w:rsid w:val="007738AA"/>
    <w:rsid w:val="007738D5"/>
    <w:rsid w:val="00773931"/>
    <w:rsid w:val="00773938"/>
    <w:rsid w:val="00773948"/>
    <w:rsid w:val="00773957"/>
    <w:rsid w:val="00773964"/>
    <w:rsid w:val="00773970"/>
    <w:rsid w:val="007739A5"/>
    <w:rsid w:val="00773A20"/>
    <w:rsid w:val="00773A2B"/>
    <w:rsid w:val="00773A34"/>
    <w:rsid w:val="00773A89"/>
    <w:rsid w:val="00773AB8"/>
    <w:rsid w:val="00773B55"/>
    <w:rsid w:val="00773B70"/>
    <w:rsid w:val="00773B78"/>
    <w:rsid w:val="00773B7C"/>
    <w:rsid w:val="00773B94"/>
    <w:rsid w:val="00773BF1"/>
    <w:rsid w:val="00773C6D"/>
    <w:rsid w:val="00773C75"/>
    <w:rsid w:val="00773C89"/>
    <w:rsid w:val="00773CEB"/>
    <w:rsid w:val="00773D04"/>
    <w:rsid w:val="00773D14"/>
    <w:rsid w:val="00773D15"/>
    <w:rsid w:val="00773D16"/>
    <w:rsid w:val="00773D89"/>
    <w:rsid w:val="00773D91"/>
    <w:rsid w:val="00773DBA"/>
    <w:rsid w:val="00773DCF"/>
    <w:rsid w:val="00773DD7"/>
    <w:rsid w:val="00773E3C"/>
    <w:rsid w:val="00773E56"/>
    <w:rsid w:val="00773E6E"/>
    <w:rsid w:val="00773E7F"/>
    <w:rsid w:val="00773E8E"/>
    <w:rsid w:val="00773ECA"/>
    <w:rsid w:val="00773F06"/>
    <w:rsid w:val="00773F1C"/>
    <w:rsid w:val="00773F2E"/>
    <w:rsid w:val="00773F33"/>
    <w:rsid w:val="00773F80"/>
    <w:rsid w:val="00773FDC"/>
    <w:rsid w:val="00773FE7"/>
    <w:rsid w:val="00774064"/>
    <w:rsid w:val="00774075"/>
    <w:rsid w:val="0077407A"/>
    <w:rsid w:val="007740D6"/>
    <w:rsid w:val="007740F5"/>
    <w:rsid w:val="0077413C"/>
    <w:rsid w:val="007741AF"/>
    <w:rsid w:val="007741C6"/>
    <w:rsid w:val="007741D4"/>
    <w:rsid w:val="007741FF"/>
    <w:rsid w:val="00774244"/>
    <w:rsid w:val="0077425E"/>
    <w:rsid w:val="00774272"/>
    <w:rsid w:val="0077427D"/>
    <w:rsid w:val="0077427E"/>
    <w:rsid w:val="007742A9"/>
    <w:rsid w:val="007742B8"/>
    <w:rsid w:val="007742D3"/>
    <w:rsid w:val="007742DF"/>
    <w:rsid w:val="007742FC"/>
    <w:rsid w:val="00774300"/>
    <w:rsid w:val="00774301"/>
    <w:rsid w:val="0077430E"/>
    <w:rsid w:val="00774316"/>
    <w:rsid w:val="00774317"/>
    <w:rsid w:val="0077433A"/>
    <w:rsid w:val="00774342"/>
    <w:rsid w:val="00774344"/>
    <w:rsid w:val="00774394"/>
    <w:rsid w:val="0077440D"/>
    <w:rsid w:val="00774412"/>
    <w:rsid w:val="0077443F"/>
    <w:rsid w:val="00774440"/>
    <w:rsid w:val="00774449"/>
    <w:rsid w:val="00774466"/>
    <w:rsid w:val="00774499"/>
    <w:rsid w:val="007744C3"/>
    <w:rsid w:val="007744F0"/>
    <w:rsid w:val="00774562"/>
    <w:rsid w:val="007745CD"/>
    <w:rsid w:val="00774615"/>
    <w:rsid w:val="00774650"/>
    <w:rsid w:val="0077466D"/>
    <w:rsid w:val="007746A0"/>
    <w:rsid w:val="007746BB"/>
    <w:rsid w:val="007746BC"/>
    <w:rsid w:val="0077475B"/>
    <w:rsid w:val="00774765"/>
    <w:rsid w:val="007747B9"/>
    <w:rsid w:val="007747D0"/>
    <w:rsid w:val="00774848"/>
    <w:rsid w:val="00774851"/>
    <w:rsid w:val="0077487F"/>
    <w:rsid w:val="007748C9"/>
    <w:rsid w:val="007748D7"/>
    <w:rsid w:val="007748E7"/>
    <w:rsid w:val="00774924"/>
    <w:rsid w:val="007749B7"/>
    <w:rsid w:val="007749C3"/>
    <w:rsid w:val="00774A00"/>
    <w:rsid w:val="00774A3B"/>
    <w:rsid w:val="00774A6E"/>
    <w:rsid w:val="00774A72"/>
    <w:rsid w:val="00774B06"/>
    <w:rsid w:val="00774B07"/>
    <w:rsid w:val="00774B48"/>
    <w:rsid w:val="00774BC5"/>
    <w:rsid w:val="00774BCA"/>
    <w:rsid w:val="00774BE7"/>
    <w:rsid w:val="00774C0B"/>
    <w:rsid w:val="00774C1C"/>
    <w:rsid w:val="00774C46"/>
    <w:rsid w:val="00774C51"/>
    <w:rsid w:val="00774C6D"/>
    <w:rsid w:val="00774C87"/>
    <w:rsid w:val="00774C91"/>
    <w:rsid w:val="00774CBF"/>
    <w:rsid w:val="00774CD4"/>
    <w:rsid w:val="00774CEF"/>
    <w:rsid w:val="00774D27"/>
    <w:rsid w:val="00774D3E"/>
    <w:rsid w:val="00774D74"/>
    <w:rsid w:val="00774D80"/>
    <w:rsid w:val="00774DA6"/>
    <w:rsid w:val="00774E03"/>
    <w:rsid w:val="00774E23"/>
    <w:rsid w:val="00774F1E"/>
    <w:rsid w:val="00774F2F"/>
    <w:rsid w:val="00774F5C"/>
    <w:rsid w:val="00774FF3"/>
    <w:rsid w:val="00775035"/>
    <w:rsid w:val="00775062"/>
    <w:rsid w:val="007750B3"/>
    <w:rsid w:val="007750BB"/>
    <w:rsid w:val="00775116"/>
    <w:rsid w:val="0077512D"/>
    <w:rsid w:val="00775154"/>
    <w:rsid w:val="0077515E"/>
    <w:rsid w:val="00775182"/>
    <w:rsid w:val="00775194"/>
    <w:rsid w:val="007751E0"/>
    <w:rsid w:val="00775217"/>
    <w:rsid w:val="00775234"/>
    <w:rsid w:val="00775242"/>
    <w:rsid w:val="0077525C"/>
    <w:rsid w:val="0077525E"/>
    <w:rsid w:val="0077528B"/>
    <w:rsid w:val="007752CD"/>
    <w:rsid w:val="007752E1"/>
    <w:rsid w:val="007752FE"/>
    <w:rsid w:val="00775340"/>
    <w:rsid w:val="00775345"/>
    <w:rsid w:val="0077536C"/>
    <w:rsid w:val="00775383"/>
    <w:rsid w:val="00775390"/>
    <w:rsid w:val="00775392"/>
    <w:rsid w:val="007753E2"/>
    <w:rsid w:val="007753FA"/>
    <w:rsid w:val="00775409"/>
    <w:rsid w:val="0077540C"/>
    <w:rsid w:val="0077545B"/>
    <w:rsid w:val="00775470"/>
    <w:rsid w:val="00775471"/>
    <w:rsid w:val="0077549D"/>
    <w:rsid w:val="007754BA"/>
    <w:rsid w:val="007754C0"/>
    <w:rsid w:val="00775527"/>
    <w:rsid w:val="0077556C"/>
    <w:rsid w:val="0077556D"/>
    <w:rsid w:val="0077557C"/>
    <w:rsid w:val="00775596"/>
    <w:rsid w:val="007755AF"/>
    <w:rsid w:val="007755CB"/>
    <w:rsid w:val="007755D0"/>
    <w:rsid w:val="00775720"/>
    <w:rsid w:val="0077577A"/>
    <w:rsid w:val="00775810"/>
    <w:rsid w:val="0077581A"/>
    <w:rsid w:val="0077583F"/>
    <w:rsid w:val="00775845"/>
    <w:rsid w:val="00775855"/>
    <w:rsid w:val="00775878"/>
    <w:rsid w:val="007758B8"/>
    <w:rsid w:val="00775902"/>
    <w:rsid w:val="0077590E"/>
    <w:rsid w:val="00775967"/>
    <w:rsid w:val="0077597C"/>
    <w:rsid w:val="007759A0"/>
    <w:rsid w:val="007759CC"/>
    <w:rsid w:val="007759D5"/>
    <w:rsid w:val="007759E2"/>
    <w:rsid w:val="00775A02"/>
    <w:rsid w:val="00775A0C"/>
    <w:rsid w:val="00775A0E"/>
    <w:rsid w:val="00775A26"/>
    <w:rsid w:val="00775A2E"/>
    <w:rsid w:val="00775A7F"/>
    <w:rsid w:val="00775A95"/>
    <w:rsid w:val="00775AE1"/>
    <w:rsid w:val="00775B08"/>
    <w:rsid w:val="00775B11"/>
    <w:rsid w:val="00775B18"/>
    <w:rsid w:val="00775B24"/>
    <w:rsid w:val="00775B82"/>
    <w:rsid w:val="00775B83"/>
    <w:rsid w:val="00775B9D"/>
    <w:rsid w:val="00775BD9"/>
    <w:rsid w:val="00775BE2"/>
    <w:rsid w:val="00775C10"/>
    <w:rsid w:val="00775C61"/>
    <w:rsid w:val="00775CA9"/>
    <w:rsid w:val="00775CC1"/>
    <w:rsid w:val="00775CC9"/>
    <w:rsid w:val="00775CD2"/>
    <w:rsid w:val="00775CE0"/>
    <w:rsid w:val="00775D47"/>
    <w:rsid w:val="00775D65"/>
    <w:rsid w:val="00775D8A"/>
    <w:rsid w:val="00775DD5"/>
    <w:rsid w:val="00775DD8"/>
    <w:rsid w:val="00775DDB"/>
    <w:rsid w:val="00775DDC"/>
    <w:rsid w:val="00775E13"/>
    <w:rsid w:val="00775E18"/>
    <w:rsid w:val="00775E25"/>
    <w:rsid w:val="00775E3C"/>
    <w:rsid w:val="00775E78"/>
    <w:rsid w:val="00775EB8"/>
    <w:rsid w:val="00775ED4"/>
    <w:rsid w:val="00775EF3"/>
    <w:rsid w:val="00775F16"/>
    <w:rsid w:val="00775F2B"/>
    <w:rsid w:val="00775F8A"/>
    <w:rsid w:val="00775F8B"/>
    <w:rsid w:val="00775FCD"/>
    <w:rsid w:val="00775FDD"/>
    <w:rsid w:val="0077600C"/>
    <w:rsid w:val="00776016"/>
    <w:rsid w:val="0077601B"/>
    <w:rsid w:val="00776023"/>
    <w:rsid w:val="00776044"/>
    <w:rsid w:val="00776048"/>
    <w:rsid w:val="00776074"/>
    <w:rsid w:val="00776081"/>
    <w:rsid w:val="007760C6"/>
    <w:rsid w:val="007760DC"/>
    <w:rsid w:val="007761FA"/>
    <w:rsid w:val="0077625D"/>
    <w:rsid w:val="00776275"/>
    <w:rsid w:val="007762D7"/>
    <w:rsid w:val="007762DE"/>
    <w:rsid w:val="00776303"/>
    <w:rsid w:val="00776320"/>
    <w:rsid w:val="00776321"/>
    <w:rsid w:val="0077635B"/>
    <w:rsid w:val="0077637A"/>
    <w:rsid w:val="0077639C"/>
    <w:rsid w:val="007763E6"/>
    <w:rsid w:val="007763EE"/>
    <w:rsid w:val="0077640D"/>
    <w:rsid w:val="0077641A"/>
    <w:rsid w:val="00776436"/>
    <w:rsid w:val="0077645D"/>
    <w:rsid w:val="00776509"/>
    <w:rsid w:val="00776526"/>
    <w:rsid w:val="0077654B"/>
    <w:rsid w:val="0077654C"/>
    <w:rsid w:val="007765E2"/>
    <w:rsid w:val="007765FF"/>
    <w:rsid w:val="0077662E"/>
    <w:rsid w:val="00776639"/>
    <w:rsid w:val="00776669"/>
    <w:rsid w:val="007766DC"/>
    <w:rsid w:val="007766F5"/>
    <w:rsid w:val="00776760"/>
    <w:rsid w:val="00776781"/>
    <w:rsid w:val="007767AB"/>
    <w:rsid w:val="007767BB"/>
    <w:rsid w:val="007767CB"/>
    <w:rsid w:val="0077687B"/>
    <w:rsid w:val="0077688C"/>
    <w:rsid w:val="00776894"/>
    <w:rsid w:val="007768B4"/>
    <w:rsid w:val="007768B6"/>
    <w:rsid w:val="00776951"/>
    <w:rsid w:val="0077697B"/>
    <w:rsid w:val="00776985"/>
    <w:rsid w:val="00776987"/>
    <w:rsid w:val="007769AD"/>
    <w:rsid w:val="007769E0"/>
    <w:rsid w:val="00776A08"/>
    <w:rsid w:val="00776A24"/>
    <w:rsid w:val="00776A27"/>
    <w:rsid w:val="00776A45"/>
    <w:rsid w:val="00776A74"/>
    <w:rsid w:val="00776A9D"/>
    <w:rsid w:val="00776ADC"/>
    <w:rsid w:val="00776B07"/>
    <w:rsid w:val="00776B0E"/>
    <w:rsid w:val="00776B46"/>
    <w:rsid w:val="00776B54"/>
    <w:rsid w:val="00776BD4"/>
    <w:rsid w:val="00776C21"/>
    <w:rsid w:val="00776C69"/>
    <w:rsid w:val="00776C85"/>
    <w:rsid w:val="00776CCD"/>
    <w:rsid w:val="00776CD9"/>
    <w:rsid w:val="00776D06"/>
    <w:rsid w:val="00776D29"/>
    <w:rsid w:val="00776D55"/>
    <w:rsid w:val="00776D93"/>
    <w:rsid w:val="00776DBA"/>
    <w:rsid w:val="00776DD4"/>
    <w:rsid w:val="00776E05"/>
    <w:rsid w:val="00776E36"/>
    <w:rsid w:val="00776E40"/>
    <w:rsid w:val="00776E93"/>
    <w:rsid w:val="00776EDB"/>
    <w:rsid w:val="00776EDC"/>
    <w:rsid w:val="00776F0B"/>
    <w:rsid w:val="00776F12"/>
    <w:rsid w:val="00776F20"/>
    <w:rsid w:val="00776F2B"/>
    <w:rsid w:val="00776F36"/>
    <w:rsid w:val="00776F3E"/>
    <w:rsid w:val="00776F4F"/>
    <w:rsid w:val="00776F62"/>
    <w:rsid w:val="00776F92"/>
    <w:rsid w:val="00776F98"/>
    <w:rsid w:val="00776FA2"/>
    <w:rsid w:val="00776FAB"/>
    <w:rsid w:val="00776FDF"/>
    <w:rsid w:val="00776FE8"/>
    <w:rsid w:val="00776FEC"/>
    <w:rsid w:val="00777002"/>
    <w:rsid w:val="00777005"/>
    <w:rsid w:val="00777006"/>
    <w:rsid w:val="0077702B"/>
    <w:rsid w:val="0077702C"/>
    <w:rsid w:val="00777054"/>
    <w:rsid w:val="0077705B"/>
    <w:rsid w:val="00777060"/>
    <w:rsid w:val="0077706E"/>
    <w:rsid w:val="00777091"/>
    <w:rsid w:val="007770A9"/>
    <w:rsid w:val="007770AD"/>
    <w:rsid w:val="007770B5"/>
    <w:rsid w:val="007770BB"/>
    <w:rsid w:val="007770C3"/>
    <w:rsid w:val="007770E6"/>
    <w:rsid w:val="0077713C"/>
    <w:rsid w:val="0077715C"/>
    <w:rsid w:val="00777170"/>
    <w:rsid w:val="00777195"/>
    <w:rsid w:val="007771D4"/>
    <w:rsid w:val="007771F2"/>
    <w:rsid w:val="00777202"/>
    <w:rsid w:val="00777265"/>
    <w:rsid w:val="00777337"/>
    <w:rsid w:val="0077736D"/>
    <w:rsid w:val="00777377"/>
    <w:rsid w:val="007773BD"/>
    <w:rsid w:val="007773CE"/>
    <w:rsid w:val="007773FD"/>
    <w:rsid w:val="00777416"/>
    <w:rsid w:val="00777494"/>
    <w:rsid w:val="007774A8"/>
    <w:rsid w:val="007774B9"/>
    <w:rsid w:val="007774C1"/>
    <w:rsid w:val="00777524"/>
    <w:rsid w:val="0077752D"/>
    <w:rsid w:val="007775E3"/>
    <w:rsid w:val="00777637"/>
    <w:rsid w:val="00777670"/>
    <w:rsid w:val="0077767E"/>
    <w:rsid w:val="007776A8"/>
    <w:rsid w:val="007776A9"/>
    <w:rsid w:val="007776BE"/>
    <w:rsid w:val="00777714"/>
    <w:rsid w:val="00777745"/>
    <w:rsid w:val="0077775A"/>
    <w:rsid w:val="007777BE"/>
    <w:rsid w:val="007777D5"/>
    <w:rsid w:val="00777814"/>
    <w:rsid w:val="0077783B"/>
    <w:rsid w:val="007778FD"/>
    <w:rsid w:val="00777929"/>
    <w:rsid w:val="00777970"/>
    <w:rsid w:val="00777989"/>
    <w:rsid w:val="007779A7"/>
    <w:rsid w:val="007779B9"/>
    <w:rsid w:val="007779C1"/>
    <w:rsid w:val="00777A24"/>
    <w:rsid w:val="00777A2E"/>
    <w:rsid w:val="00777A6E"/>
    <w:rsid w:val="00777A8A"/>
    <w:rsid w:val="00777AE2"/>
    <w:rsid w:val="00777B2D"/>
    <w:rsid w:val="00777B60"/>
    <w:rsid w:val="00777B66"/>
    <w:rsid w:val="00777BF3"/>
    <w:rsid w:val="00777BF8"/>
    <w:rsid w:val="00777C00"/>
    <w:rsid w:val="00777C19"/>
    <w:rsid w:val="00777C27"/>
    <w:rsid w:val="00777C3D"/>
    <w:rsid w:val="00777C50"/>
    <w:rsid w:val="00777C69"/>
    <w:rsid w:val="00777C6C"/>
    <w:rsid w:val="00777C6E"/>
    <w:rsid w:val="00777C9A"/>
    <w:rsid w:val="00777CA2"/>
    <w:rsid w:val="00777D09"/>
    <w:rsid w:val="00777D35"/>
    <w:rsid w:val="00777D53"/>
    <w:rsid w:val="00777D57"/>
    <w:rsid w:val="00777D7F"/>
    <w:rsid w:val="00777DA7"/>
    <w:rsid w:val="00777DB4"/>
    <w:rsid w:val="00777DBC"/>
    <w:rsid w:val="00777DC9"/>
    <w:rsid w:val="00777E1A"/>
    <w:rsid w:val="00777E36"/>
    <w:rsid w:val="00777E60"/>
    <w:rsid w:val="00777ED4"/>
    <w:rsid w:val="00777EF6"/>
    <w:rsid w:val="00777F34"/>
    <w:rsid w:val="00777F37"/>
    <w:rsid w:val="00777F3F"/>
    <w:rsid w:val="00777F4B"/>
    <w:rsid w:val="00777F51"/>
    <w:rsid w:val="00777FC9"/>
    <w:rsid w:val="00777FD3"/>
    <w:rsid w:val="0077AD2C"/>
    <w:rsid w:val="0078000D"/>
    <w:rsid w:val="00780026"/>
    <w:rsid w:val="0078002B"/>
    <w:rsid w:val="00780080"/>
    <w:rsid w:val="007800A2"/>
    <w:rsid w:val="007800D5"/>
    <w:rsid w:val="00780140"/>
    <w:rsid w:val="00780142"/>
    <w:rsid w:val="00780149"/>
    <w:rsid w:val="0078014C"/>
    <w:rsid w:val="0078014F"/>
    <w:rsid w:val="00780153"/>
    <w:rsid w:val="0078017D"/>
    <w:rsid w:val="007801AE"/>
    <w:rsid w:val="007801B2"/>
    <w:rsid w:val="007801D1"/>
    <w:rsid w:val="007801DA"/>
    <w:rsid w:val="007801ED"/>
    <w:rsid w:val="007801F3"/>
    <w:rsid w:val="0078028B"/>
    <w:rsid w:val="007802EA"/>
    <w:rsid w:val="00780311"/>
    <w:rsid w:val="0078033A"/>
    <w:rsid w:val="007803A2"/>
    <w:rsid w:val="007803A8"/>
    <w:rsid w:val="007803C3"/>
    <w:rsid w:val="00780455"/>
    <w:rsid w:val="00780460"/>
    <w:rsid w:val="0078046A"/>
    <w:rsid w:val="00780472"/>
    <w:rsid w:val="00780487"/>
    <w:rsid w:val="0078048F"/>
    <w:rsid w:val="007804BE"/>
    <w:rsid w:val="0078052F"/>
    <w:rsid w:val="00780544"/>
    <w:rsid w:val="00780551"/>
    <w:rsid w:val="00780553"/>
    <w:rsid w:val="00780556"/>
    <w:rsid w:val="0078058F"/>
    <w:rsid w:val="007805A6"/>
    <w:rsid w:val="007805A7"/>
    <w:rsid w:val="007805B6"/>
    <w:rsid w:val="00780627"/>
    <w:rsid w:val="0078062C"/>
    <w:rsid w:val="00780652"/>
    <w:rsid w:val="0078067A"/>
    <w:rsid w:val="0078067F"/>
    <w:rsid w:val="007806C2"/>
    <w:rsid w:val="007806C5"/>
    <w:rsid w:val="007806E9"/>
    <w:rsid w:val="0078072D"/>
    <w:rsid w:val="00780761"/>
    <w:rsid w:val="0078076F"/>
    <w:rsid w:val="00780781"/>
    <w:rsid w:val="0078078E"/>
    <w:rsid w:val="0078079D"/>
    <w:rsid w:val="007807AA"/>
    <w:rsid w:val="0078082B"/>
    <w:rsid w:val="007808A6"/>
    <w:rsid w:val="007808F0"/>
    <w:rsid w:val="00780949"/>
    <w:rsid w:val="00780993"/>
    <w:rsid w:val="007809C3"/>
    <w:rsid w:val="007809D8"/>
    <w:rsid w:val="00780A0E"/>
    <w:rsid w:val="00780A20"/>
    <w:rsid w:val="00780AB1"/>
    <w:rsid w:val="00780AF7"/>
    <w:rsid w:val="00780B26"/>
    <w:rsid w:val="00780B43"/>
    <w:rsid w:val="00780B84"/>
    <w:rsid w:val="00780B8B"/>
    <w:rsid w:val="00780BE1"/>
    <w:rsid w:val="00780BE2"/>
    <w:rsid w:val="00780C0B"/>
    <w:rsid w:val="00780C12"/>
    <w:rsid w:val="00780C4C"/>
    <w:rsid w:val="00780C68"/>
    <w:rsid w:val="00780D56"/>
    <w:rsid w:val="00780D6F"/>
    <w:rsid w:val="00780D92"/>
    <w:rsid w:val="00780D98"/>
    <w:rsid w:val="00780DA0"/>
    <w:rsid w:val="00780DAA"/>
    <w:rsid w:val="00780DC8"/>
    <w:rsid w:val="00780DFE"/>
    <w:rsid w:val="00780E54"/>
    <w:rsid w:val="00780E65"/>
    <w:rsid w:val="00780E76"/>
    <w:rsid w:val="00780EAC"/>
    <w:rsid w:val="00780ECE"/>
    <w:rsid w:val="00780EEA"/>
    <w:rsid w:val="00780F06"/>
    <w:rsid w:val="00780F32"/>
    <w:rsid w:val="00780F67"/>
    <w:rsid w:val="00780F81"/>
    <w:rsid w:val="0078101B"/>
    <w:rsid w:val="00781064"/>
    <w:rsid w:val="0078107F"/>
    <w:rsid w:val="00781084"/>
    <w:rsid w:val="007810A7"/>
    <w:rsid w:val="007810AC"/>
    <w:rsid w:val="007810AE"/>
    <w:rsid w:val="007810BC"/>
    <w:rsid w:val="007810D6"/>
    <w:rsid w:val="007810D7"/>
    <w:rsid w:val="007810E0"/>
    <w:rsid w:val="007810FA"/>
    <w:rsid w:val="0078110D"/>
    <w:rsid w:val="00781190"/>
    <w:rsid w:val="007811A8"/>
    <w:rsid w:val="007811A9"/>
    <w:rsid w:val="007811F6"/>
    <w:rsid w:val="0078126F"/>
    <w:rsid w:val="00781283"/>
    <w:rsid w:val="0078128C"/>
    <w:rsid w:val="007812A3"/>
    <w:rsid w:val="00781305"/>
    <w:rsid w:val="0078130C"/>
    <w:rsid w:val="00781313"/>
    <w:rsid w:val="00781331"/>
    <w:rsid w:val="00781346"/>
    <w:rsid w:val="0078137A"/>
    <w:rsid w:val="00781394"/>
    <w:rsid w:val="007813B4"/>
    <w:rsid w:val="00781416"/>
    <w:rsid w:val="0078142F"/>
    <w:rsid w:val="00781442"/>
    <w:rsid w:val="00781466"/>
    <w:rsid w:val="007814D3"/>
    <w:rsid w:val="007814E0"/>
    <w:rsid w:val="00781536"/>
    <w:rsid w:val="00781560"/>
    <w:rsid w:val="00781561"/>
    <w:rsid w:val="00781578"/>
    <w:rsid w:val="0078164F"/>
    <w:rsid w:val="007816A7"/>
    <w:rsid w:val="007816B8"/>
    <w:rsid w:val="007816CF"/>
    <w:rsid w:val="00781717"/>
    <w:rsid w:val="00781729"/>
    <w:rsid w:val="007817A5"/>
    <w:rsid w:val="007817AD"/>
    <w:rsid w:val="007817B7"/>
    <w:rsid w:val="007817DA"/>
    <w:rsid w:val="007817FC"/>
    <w:rsid w:val="00781809"/>
    <w:rsid w:val="00781813"/>
    <w:rsid w:val="00781822"/>
    <w:rsid w:val="00781826"/>
    <w:rsid w:val="0078182B"/>
    <w:rsid w:val="00781908"/>
    <w:rsid w:val="0078191F"/>
    <w:rsid w:val="00781934"/>
    <w:rsid w:val="00781938"/>
    <w:rsid w:val="00781943"/>
    <w:rsid w:val="0078194C"/>
    <w:rsid w:val="0078194F"/>
    <w:rsid w:val="007819A4"/>
    <w:rsid w:val="007819EE"/>
    <w:rsid w:val="00781A80"/>
    <w:rsid w:val="00781A93"/>
    <w:rsid w:val="00781AC3"/>
    <w:rsid w:val="00781AC5"/>
    <w:rsid w:val="00781B07"/>
    <w:rsid w:val="00781B19"/>
    <w:rsid w:val="00781B7C"/>
    <w:rsid w:val="00781B82"/>
    <w:rsid w:val="00781B85"/>
    <w:rsid w:val="00781B8C"/>
    <w:rsid w:val="00781B94"/>
    <w:rsid w:val="00781BB5"/>
    <w:rsid w:val="00781BBF"/>
    <w:rsid w:val="00781BC1"/>
    <w:rsid w:val="00781BE7"/>
    <w:rsid w:val="00781C09"/>
    <w:rsid w:val="00781D1E"/>
    <w:rsid w:val="00781DDB"/>
    <w:rsid w:val="00781E6F"/>
    <w:rsid w:val="00781EB2"/>
    <w:rsid w:val="00781ED3"/>
    <w:rsid w:val="00781EE4"/>
    <w:rsid w:val="00781EFE"/>
    <w:rsid w:val="00781F1A"/>
    <w:rsid w:val="00781F5D"/>
    <w:rsid w:val="00781F61"/>
    <w:rsid w:val="00781FBB"/>
    <w:rsid w:val="0078200E"/>
    <w:rsid w:val="0078201E"/>
    <w:rsid w:val="00782059"/>
    <w:rsid w:val="007820E7"/>
    <w:rsid w:val="007820F3"/>
    <w:rsid w:val="007820F5"/>
    <w:rsid w:val="0078210F"/>
    <w:rsid w:val="00782128"/>
    <w:rsid w:val="00782152"/>
    <w:rsid w:val="00782190"/>
    <w:rsid w:val="0078227A"/>
    <w:rsid w:val="00782355"/>
    <w:rsid w:val="00782365"/>
    <w:rsid w:val="00782371"/>
    <w:rsid w:val="007823A2"/>
    <w:rsid w:val="007823B7"/>
    <w:rsid w:val="007823C8"/>
    <w:rsid w:val="007823D1"/>
    <w:rsid w:val="007823DF"/>
    <w:rsid w:val="00782407"/>
    <w:rsid w:val="0078240E"/>
    <w:rsid w:val="00782495"/>
    <w:rsid w:val="007824EB"/>
    <w:rsid w:val="0078257F"/>
    <w:rsid w:val="007825B3"/>
    <w:rsid w:val="007825C4"/>
    <w:rsid w:val="007825E8"/>
    <w:rsid w:val="007825F2"/>
    <w:rsid w:val="0078260E"/>
    <w:rsid w:val="00782610"/>
    <w:rsid w:val="00782627"/>
    <w:rsid w:val="0078269D"/>
    <w:rsid w:val="00782722"/>
    <w:rsid w:val="0078273E"/>
    <w:rsid w:val="00782796"/>
    <w:rsid w:val="007827DF"/>
    <w:rsid w:val="007827E6"/>
    <w:rsid w:val="0078285E"/>
    <w:rsid w:val="00782896"/>
    <w:rsid w:val="007828A0"/>
    <w:rsid w:val="007828A8"/>
    <w:rsid w:val="007828AD"/>
    <w:rsid w:val="007828D6"/>
    <w:rsid w:val="00782909"/>
    <w:rsid w:val="0078292F"/>
    <w:rsid w:val="0078295D"/>
    <w:rsid w:val="0078297B"/>
    <w:rsid w:val="00782986"/>
    <w:rsid w:val="007829CB"/>
    <w:rsid w:val="007829DF"/>
    <w:rsid w:val="007829E6"/>
    <w:rsid w:val="00782ABF"/>
    <w:rsid w:val="00782AD8"/>
    <w:rsid w:val="00782AEB"/>
    <w:rsid w:val="00782AFF"/>
    <w:rsid w:val="00782B40"/>
    <w:rsid w:val="00782B97"/>
    <w:rsid w:val="00782B9B"/>
    <w:rsid w:val="00782BBD"/>
    <w:rsid w:val="00782BC2"/>
    <w:rsid w:val="00782BC3"/>
    <w:rsid w:val="00782BD2"/>
    <w:rsid w:val="00782BD8"/>
    <w:rsid w:val="00782BF6"/>
    <w:rsid w:val="00782BF9"/>
    <w:rsid w:val="00782C0B"/>
    <w:rsid w:val="00782C42"/>
    <w:rsid w:val="00782C4D"/>
    <w:rsid w:val="00782C80"/>
    <w:rsid w:val="00782C98"/>
    <w:rsid w:val="00782CA8"/>
    <w:rsid w:val="00782CB6"/>
    <w:rsid w:val="00782CB9"/>
    <w:rsid w:val="00782CED"/>
    <w:rsid w:val="00782D58"/>
    <w:rsid w:val="00782D69"/>
    <w:rsid w:val="00782D86"/>
    <w:rsid w:val="00782D87"/>
    <w:rsid w:val="00782D98"/>
    <w:rsid w:val="00782DB2"/>
    <w:rsid w:val="00782DBD"/>
    <w:rsid w:val="00782DC1"/>
    <w:rsid w:val="00782DD2"/>
    <w:rsid w:val="00782E03"/>
    <w:rsid w:val="00782E1A"/>
    <w:rsid w:val="00782E3A"/>
    <w:rsid w:val="00782E3B"/>
    <w:rsid w:val="00782E47"/>
    <w:rsid w:val="00782E58"/>
    <w:rsid w:val="00782E64"/>
    <w:rsid w:val="00782E83"/>
    <w:rsid w:val="00782EAA"/>
    <w:rsid w:val="00782F1F"/>
    <w:rsid w:val="00782F41"/>
    <w:rsid w:val="00782F5A"/>
    <w:rsid w:val="00782F68"/>
    <w:rsid w:val="00782F86"/>
    <w:rsid w:val="00782F8A"/>
    <w:rsid w:val="00782FD9"/>
    <w:rsid w:val="0078300C"/>
    <w:rsid w:val="00783015"/>
    <w:rsid w:val="00783017"/>
    <w:rsid w:val="00783034"/>
    <w:rsid w:val="0078309A"/>
    <w:rsid w:val="007830A7"/>
    <w:rsid w:val="00783113"/>
    <w:rsid w:val="00783171"/>
    <w:rsid w:val="007831B9"/>
    <w:rsid w:val="007831D2"/>
    <w:rsid w:val="007831F2"/>
    <w:rsid w:val="00783241"/>
    <w:rsid w:val="00783272"/>
    <w:rsid w:val="00783278"/>
    <w:rsid w:val="00783284"/>
    <w:rsid w:val="0078328B"/>
    <w:rsid w:val="007832A9"/>
    <w:rsid w:val="007832D1"/>
    <w:rsid w:val="007832F3"/>
    <w:rsid w:val="00783353"/>
    <w:rsid w:val="00783369"/>
    <w:rsid w:val="0078336D"/>
    <w:rsid w:val="007833C0"/>
    <w:rsid w:val="00783405"/>
    <w:rsid w:val="0078340F"/>
    <w:rsid w:val="00783429"/>
    <w:rsid w:val="0078347F"/>
    <w:rsid w:val="00783552"/>
    <w:rsid w:val="00783556"/>
    <w:rsid w:val="007835E0"/>
    <w:rsid w:val="00783633"/>
    <w:rsid w:val="00783652"/>
    <w:rsid w:val="007836B7"/>
    <w:rsid w:val="007836BA"/>
    <w:rsid w:val="007836DF"/>
    <w:rsid w:val="00783760"/>
    <w:rsid w:val="00783784"/>
    <w:rsid w:val="0078379E"/>
    <w:rsid w:val="007837B5"/>
    <w:rsid w:val="007837D3"/>
    <w:rsid w:val="0078381C"/>
    <w:rsid w:val="0078381F"/>
    <w:rsid w:val="00783822"/>
    <w:rsid w:val="00783836"/>
    <w:rsid w:val="0078384E"/>
    <w:rsid w:val="007838A3"/>
    <w:rsid w:val="007838B1"/>
    <w:rsid w:val="007838B4"/>
    <w:rsid w:val="007838CD"/>
    <w:rsid w:val="007838E7"/>
    <w:rsid w:val="00783977"/>
    <w:rsid w:val="007839CE"/>
    <w:rsid w:val="007839D5"/>
    <w:rsid w:val="00783A18"/>
    <w:rsid w:val="00783A1B"/>
    <w:rsid w:val="00783A7B"/>
    <w:rsid w:val="00783A7E"/>
    <w:rsid w:val="00783A9A"/>
    <w:rsid w:val="00783B03"/>
    <w:rsid w:val="00783B21"/>
    <w:rsid w:val="00783B25"/>
    <w:rsid w:val="00783B2E"/>
    <w:rsid w:val="00783B35"/>
    <w:rsid w:val="00783B4D"/>
    <w:rsid w:val="00783B81"/>
    <w:rsid w:val="00783BF7"/>
    <w:rsid w:val="00783C3D"/>
    <w:rsid w:val="00783C64"/>
    <w:rsid w:val="00783C67"/>
    <w:rsid w:val="00783C6A"/>
    <w:rsid w:val="00783CCD"/>
    <w:rsid w:val="00783CEF"/>
    <w:rsid w:val="00783CF7"/>
    <w:rsid w:val="00783D44"/>
    <w:rsid w:val="00783D68"/>
    <w:rsid w:val="00783D85"/>
    <w:rsid w:val="00783D9B"/>
    <w:rsid w:val="00783DD9"/>
    <w:rsid w:val="00783DE6"/>
    <w:rsid w:val="00783DEC"/>
    <w:rsid w:val="00783E29"/>
    <w:rsid w:val="00783E35"/>
    <w:rsid w:val="00783ECF"/>
    <w:rsid w:val="00783F03"/>
    <w:rsid w:val="00783F1B"/>
    <w:rsid w:val="00783F20"/>
    <w:rsid w:val="00783F2C"/>
    <w:rsid w:val="00783F82"/>
    <w:rsid w:val="00783F91"/>
    <w:rsid w:val="00783FA4"/>
    <w:rsid w:val="00783FAF"/>
    <w:rsid w:val="00783FD5"/>
    <w:rsid w:val="00783FD9"/>
    <w:rsid w:val="00783FDE"/>
    <w:rsid w:val="00783FF4"/>
    <w:rsid w:val="00783FFA"/>
    <w:rsid w:val="00784002"/>
    <w:rsid w:val="00784025"/>
    <w:rsid w:val="00784031"/>
    <w:rsid w:val="00784045"/>
    <w:rsid w:val="00784067"/>
    <w:rsid w:val="0078406B"/>
    <w:rsid w:val="00784084"/>
    <w:rsid w:val="0078408D"/>
    <w:rsid w:val="007840A6"/>
    <w:rsid w:val="007840AC"/>
    <w:rsid w:val="007840BF"/>
    <w:rsid w:val="007840CD"/>
    <w:rsid w:val="007840F3"/>
    <w:rsid w:val="00784158"/>
    <w:rsid w:val="0078418D"/>
    <w:rsid w:val="007841D3"/>
    <w:rsid w:val="0078420B"/>
    <w:rsid w:val="00784211"/>
    <w:rsid w:val="0078426A"/>
    <w:rsid w:val="007842B1"/>
    <w:rsid w:val="007842DA"/>
    <w:rsid w:val="00784377"/>
    <w:rsid w:val="00784398"/>
    <w:rsid w:val="007843AF"/>
    <w:rsid w:val="007843C0"/>
    <w:rsid w:val="007843D3"/>
    <w:rsid w:val="00784405"/>
    <w:rsid w:val="00784446"/>
    <w:rsid w:val="007844C4"/>
    <w:rsid w:val="007844E0"/>
    <w:rsid w:val="0078452F"/>
    <w:rsid w:val="00784538"/>
    <w:rsid w:val="00784563"/>
    <w:rsid w:val="00784573"/>
    <w:rsid w:val="0078457F"/>
    <w:rsid w:val="007845B0"/>
    <w:rsid w:val="007845D4"/>
    <w:rsid w:val="007845DD"/>
    <w:rsid w:val="00784613"/>
    <w:rsid w:val="00784663"/>
    <w:rsid w:val="007846D0"/>
    <w:rsid w:val="007846E9"/>
    <w:rsid w:val="00784706"/>
    <w:rsid w:val="0078471F"/>
    <w:rsid w:val="00784767"/>
    <w:rsid w:val="00784770"/>
    <w:rsid w:val="0078477F"/>
    <w:rsid w:val="0078478C"/>
    <w:rsid w:val="007847B6"/>
    <w:rsid w:val="00784877"/>
    <w:rsid w:val="00784886"/>
    <w:rsid w:val="00784899"/>
    <w:rsid w:val="007848BA"/>
    <w:rsid w:val="007848CD"/>
    <w:rsid w:val="007848D4"/>
    <w:rsid w:val="007848D9"/>
    <w:rsid w:val="00784952"/>
    <w:rsid w:val="00784977"/>
    <w:rsid w:val="00784985"/>
    <w:rsid w:val="007849B3"/>
    <w:rsid w:val="007849D4"/>
    <w:rsid w:val="007849F5"/>
    <w:rsid w:val="007849FA"/>
    <w:rsid w:val="00784A19"/>
    <w:rsid w:val="00784A42"/>
    <w:rsid w:val="00784A64"/>
    <w:rsid w:val="00784A6D"/>
    <w:rsid w:val="00784AA0"/>
    <w:rsid w:val="00784B28"/>
    <w:rsid w:val="00784B4D"/>
    <w:rsid w:val="00784BAF"/>
    <w:rsid w:val="00784BB0"/>
    <w:rsid w:val="00784C05"/>
    <w:rsid w:val="00784C84"/>
    <w:rsid w:val="00784C8A"/>
    <w:rsid w:val="00784D0B"/>
    <w:rsid w:val="00784DB8"/>
    <w:rsid w:val="00784E6B"/>
    <w:rsid w:val="00784EDC"/>
    <w:rsid w:val="00784EE0"/>
    <w:rsid w:val="00784EE5"/>
    <w:rsid w:val="00784EE6"/>
    <w:rsid w:val="00784EF8"/>
    <w:rsid w:val="00784F6A"/>
    <w:rsid w:val="00784F94"/>
    <w:rsid w:val="00784FBA"/>
    <w:rsid w:val="00784FE5"/>
    <w:rsid w:val="00785004"/>
    <w:rsid w:val="0078501E"/>
    <w:rsid w:val="00785060"/>
    <w:rsid w:val="0078506B"/>
    <w:rsid w:val="0078509C"/>
    <w:rsid w:val="007850BD"/>
    <w:rsid w:val="007850C0"/>
    <w:rsid w:val="00785146"/>
    <w:rsid w:val="0078516B"/>
    <w:rsid w:val="0078518F"/>
    <w:rsid w:val="007851DD"/>
    <w:rsid w:val="007851E9"/>
    <w:rsid w:val="007851F5"/>
    <w:rsid w:val="0078522D"/>
    <w:rsid w:val="0078527A"/>
    <w:rsid w:val="00785281"/>
    <w:rsid w:val="007852C2"/>
    <w:rsid w:val="007852E9"/>
    <w:rsid w:val="0078531A"/>
    <w:rsid w:val="00785384"/>
    <w:rsid w:val="007853DF"/>
    <w:rsid w:val="007853FC"/>
    <w:rsid w:val="0078541D"/>
    <w:rsid w:val="00785428"/>
    <w:rsid w:val="007854AF"/>
    <w:rsid w:val="007854D9"/>
    <w:rsid w:val="007854E7"/>
    <w:rsid w:val="007854FE"/>
    <w:rsid w:val="00785519"/>
    <w:rsid w:val="00785585"/>
    <w:rsid w:val="007855F7"/>
    <w:rsid w:val="00785619"/>
    <w:rsid w:val="0078561D"/>
    <w:rsid w:val="007856AD"/>
    <w:rsid w:val="007856C5"/>
    <w:rsid w:val="007856CE"/>
    <w:rsid w:val="007856D0"/>
    <w:rsid w:val="007856EB"/>
    <w:rsid w:val="0078574C"/>
    <w:rsid w:val="007857D7"/>
    <w:rsid w:val="007857FC"/>
    <w:rsid w:val="0078580C"/>
    <w:rsid w:val="00785810"/>
    <w:rsid w:val="0078588F"/>
    <w:rsid w:val="00785926"/>
    <w:rsid w:val="0078596F"/>
    <w:rsid w:val="0078598B"/>
    <w:rsid w:val="007859C2"/>
    <w:rsid w:val="007859DF"/>
    <w:rsid w:val="00785A3F"/>
    <w:rsid w:val="00785A7B"/>
    <w:rsid w:val="00785A85"/>
    <w:rsid w:val="00785ADA"/>
    <w:rsid w:val="00785B24"/>
    <w:rsid w:val="00785B3F"/>
    <w:rsid w:val="00785B51"/>
    <w:rsid w:val="00785B93"/>
    <w:rsid w:val="00785B94"/>
    <w:rsid w:val="00785C0A"/>
    <w:rsid w:val="00785C59"/>
    <w:rsid w:val="00785C70"/>
    <w:rsid w:val="00785CE4"/>
    <w:rsid w:val="00785CEF"/>
    <w:rsid w:val="00785D0C"/>
    <w:rsid w:val="00785D1D"/>
    <w:rsid w:val="00785D21"/>
    <w:rsid w:val="00785D45"/>
    <w:rsid w:val="00785D77"/>
    <w:rsid w:val="00785D7F"/>
    <w:rsid w:val="00785DA7"/>
    <w:rsid w:val="00785E0D"/>
    <w:rsid w:val="00785E1D"/>
    <w:rsid w:val="00785E1F"/>
    <w:rsid w:val="00785E3D"/>
    <w:rsid w:val="00785E74"/>
    <w:rsid w:val="00785F31"/>
    <w:rsid w:val="00785F86"/>
    <w:rsid w:val="00785F94"/>
    <w:rsid w:val="00785F99"/>
    <w:rsid w:val="0078605B"/>
    <w:rsid w:val="00786100"/>
    <w:rsid w:val="0078615C"/>
    <w:rsid w:val="00786168"/>
    <w:rsid w:val="00786189"/>
    <w:rsid w:val="0078618D"/>
    <w:rsid w:val="00786198"/>
    <w:rsid w:val="007861B7"/>
    <w:rsid w:val="007861B9"/>
    <w:rsid w:val="0078622F"/>
    <w:rsid w:val="00786243"/>
    <w:rsid w:val="00786272"/>
    <w:rsid w:val="00786284"/>
    <w:rsid w:val="007862B0"/>
    <w:rsid w:val="007862BD"/>
    <w:rsid w:val="007862F4"/>
    <w:rsid w:val="00786317"/>
    <w:rsid w:val="00786349"/>
    <w:rsid w:val="0078634B"/>
    <w:rsid w:val="00786369"/>
    <w:rsid w:val="00786398"/>
    <w:rsid w:val="007863EA"/>
    <w:rsid w:val="0078641A"/>
    <w:rsid w:val="0078642C"/>
    <w:rsid w:val="0078644F"/>
    <w:rsid w:val="0078645C"/>
    <w:rsid w:val="00786478"/>
    <w:rsid w:val="007864E2"/>
    <w:rsid w:val="00786519"/>
    <w:rsid w:val="00786546"/>
    <w:rsid w:val="0078654D"/>
    <w:rsid w:val="00786553"/>
    <w:rsid w:val="0078655A"/>
    <w:rsid w:val="0078658C"/>
    <w:rsid w:val="007865A4"/>
    <w:rsid w:val="007865D1"/>
    <w:rsid w:val="007865DD"/>
    <w:rsid w:val="007865E0"/>
    <w:rsid w:val="007865E2"/>
    <w:rsid w:val="007865E7"/>
    <w:rsid w:val="007865EB"/>
    <w:rsid w:val="007865EC"/>
    <w:rsid w:val="0078666D"/>
    <w:rsid w:val="00786697"/>
    <w:rsid w:val="007866C9"/>
    <w:rsid w:val="007866D9"/>
    <w:rsid w:val="007866DD"/>
    <w:rsid w:val="007866E3"/>
    <w:rsid w:val="007866F0"/>
    <w:rsid w:val="00786741"/>
    <w:rsid w:val="007867A9"/>
    <w:rsid w:val="007867D7"/>
    <w:rsid w:val="007867FA"/>
    <w:rsid w:val="0078680B"/>
    <w:rsid w:val="00786817"/>
    <w:rsid w:val="00786847"/>
    <w:rsid w:val="00786857"/>
    <w:rsid w:val="0078685A"/>
    <w:rsid w:val="0078688D"/>
    <w:rsid w:val="007868A2"/>
    <w:rsid w:val="00786938"/>
    <w:rsid w:val="0078693B"/>
    <w:rsid w:val="00786953"/>
    <w:rsid w:val="00786962"/>
    <w:rsid w:val="00786974"/>
    <w:rsid w:val="0078699C"/>
    <w:rsid w:val="007869B7"/>
    <w:rsid w:val="007869BB"/>
    <w:rsid w:val="00786A4E"/>
    <w:rsid w:val="00786A88"/>
    <w:rsid w:val="00786A92"/>
    <w:rsid w:val="00786AA5"/>
    <w:rsid w:val="00786AE5"/>
    <w:rsid w:val="00786AEE"/>
    <w:rsid w:val="00786B14"/>
    <w:rsid w:val="00786B2C"/>
    <w:rsid w:val="00786B34"/>
    <w:rsid w:val="00786B3B"/>
    <w:rsid w:val="00786B55"/>
    <w:rsid w:val="00786B6F"/>
    <w:rsid w:val="00786BA5"/>
    <w:rsid w:val="00786BAC"/>
    <w:rsid w:val="00786BDD"/>
    <w:rsid w:val="00786BFA"/>
    <w:rsid w:val="00786C1B"/>
    <w:rsid w:val="00786C22"/>
    <w:rsid w:val="00786C3A"/>
    <w:rsid w:val="00786CD8"/>
    <w:rsid w:val="00786D0B"/>
    <w:rsid w:val="00786D2F"/>
    <w:rsid w:val="00786D47"/>
    <w:rsid w:val="00786D56"/>
    <w:rsid w:val="00786DB0"/>
    <w:rsid w:val="00786DB7"/>
    <w:rsid w:val="00786DEC"/>
    <w:rsid w:val="00786DEF"/>
    <w:rsid w:val="00786E46"/>
    <w:rsid w:val="00786E4B"/>
    <w:rsid w:val="00786E4C"/>
    <w:rsid w:val="00786E5C"/>
    <w:rsid w:val="00786E78"/>
    <w:rsid w:val="00786EA3"/>
    <w:rsid w:val="00786EB7"/>
    <w:rsid w:val="00786ECD"/>
    <w:rsid w:val="00786ED8"/>
    <w:rsid w:val="00786EE4"/>
    <w:rsid w:val="00786EEA"/>
    <w:rsid w:val="00786F13"/>
    <w:rsid w:val="00786F19"/>
    <w:rsid w:val="00786F7A"/>
    <w:rsid w:val="00786F7E"/>
    <w:rsid w:val="00786FA0"/>
    <w:rsid w:val="00786FD1"/>
    <w:rsid w:val="00786FD7"/>
    <w:rsid w:val="0078702C"/>
    <w:rsid w:val="00787045"/>
    <w:rsid w:val="00787063"/>
    <w:rsid w:val="0078707C"/>
    <w:rsid w:val="00787083"/>
    <w:rsid w:val="007870DB"/>
    <w:rsid w:val="007870F2"/>
    <w:rsid w:val="00787119"/>
    <w:rsid w:val="0078716B"/>
    <w:rsid w:val="007871CA"/>
    <w:rsid w:val="007871D7"/>
    <w:rsid w:val="007871DC"/>
    <w:rsid w:val="00787215"/>
    <w:rsid w:val="00787256"/>
    <w:rsid w:val="007872A9"/>
    <w:rsid w:val="007872B9"/>
    <w:rsid w:val="007872C9"/>
    <w:rsid w:val="007872ED"/>
    <w:rsid w:val="007872FE"/>
    <w:rsid w:val="0078731A"/>
    <w:rsid w:val="00787355"/>
    <w:rsid w:val="00787376"/>
    <w:rsid w:val="00787393"/>
    <w:rsid w:val="007873B6"/>
    <w:rsid w:val="007873D7"/>
    <w:rsid w:val="007873E3"/>
    <w:rsid w:val="007873E7"/>
    <w:rsid w:val="0078744D"/>
    <w:rsid w:val="0078745D"/>
    <w:rsid w:val="00787488"/>
    <w:rsid w:val="0078751B"/>
    <w:rsid w:val="00787523"/>
    <w:rsid w:val="0078754F"/>
    <w:rsid w:val="0078758E"/>
    <w:rsid w:val="007875C4"/>
    <w:rsid w:val="007875EB"/>
    <w:rsid w:val="00787623"/>
    <w:rsid w:val="00787673"/>
    <w:rsid w:val="007876DD"/>
    <w:rsid w:val="0078771F"/>
    <w:rsid w:val="00787769"/>
    <w:rsid w:val="007877DA"/>
    <w:rsid w:val="00787806"/>
    <w:rsid w:val="0078781E"/>
    <w:rsid w:val="0078784A"/>
    <w:rsid w:val="00787860"/>
    <w:rsid w:val="00787861"/>
    <w:rsid w:val="007878A6"/>
    <w:rsid w:val="007878BB"/>
    <w:rsid w:val="007878E9"/>
    <w:rsid w:val="00787960"/>
    <w:rsid w:val="00787966"/>
    <w:rsid w:val="00787999"/>
    <w:rsid w:val="007879A4"/>
    <w:rsid w:val="007879E6"/>
    <w:rsid w:val="00787A31"/>
    <w:rsid w:val="00787A8C"/>
    <w:rsid w:val="00787A91"/>
    <w:rsid w:val="00787A9C"/>
    <w:rsid w:val="00787AA1"/>
    <w:rsid w:val="00787AE2"/>
    <w:rsid w:val="00787AFA"/>
    <w:rsid w:val="00787AFB"/>
    <w:rsid w:val="00787B05"/>
    <w:rsid w:val="00787B15"/>
    <w:rsid w:val="00787B5F"/>
    <w:rsid w:val="00787B91"/>
    <w:rsid w:val="00787BFF"/>
    <w:rsid w:val="00787C0D"/>
    <w:rsid w:val="00787C37"/>
    <w:rsid w:val="00787C3D"/>
    <w:rsid w:val="00787C48"/>
    <w:rsid w:val="00787C58"/>
    <w:rsid w:val="00787CFB"/>
    <w:rsid w:val="00787D0F"/>
    <w:rsid w:val="00787D5E"/>
    <w:rsid w:val="00787D64"/>
    <w:rsid w:val="00787D8F"/>
    <w:rsid w:val="00787DBC"/>
    <w:rsid w:val="00787DD4"/>
    <w:rsid w:val="00787DEB"/>
    <w:rsid w:val="00787E22"/>
    <w:rsid w:val="00787E58"/>
    <w:rsid w:val="00787E5E"/>
    <w:rsid w:val="00787E60"/>
    <w:rsid w:val="00787E90"/>
    <w:rsid w:val="00787E96"/>
    <w:rsid w:val="00787EA6"/>
    <w:rsid w:val="00787EBD"/>
    <w:rsid w:val="00787EEB"/>
    <w:rsid w:val="00787EFC"/>
    <w:rsid w:val="00787F02"/>
    <w:rsid w:val="00787F1E"/>
    <w:rsid w:val="00787F4F"/>
    <w:rsid w:val="00787F5A"/>
    <w:rsid w:val="00787F95"/>
    <w:rsid w:val="00787FA2"/>
    <w:rsid w:val="00787FB0"/>
    <w:rsid w:val="00787FE0"/>
    <w:rsid w:val="00787FE4"/>
    <w:rsid w:val="00790003"/>
    <w:rsid w:val="00790045"/>
    <w:rsid w:val="0079006D"/>
    <w:rsid w:val="0079007D"/>
    <w:rsid w:val="007900BC"/>
    <w:rsid w:val="007900C0"/>
    <w:rsid w:val="007900C7"/>
    <w:rsid w:val="0079012A"/>
    <w:rsid w:val="00790153"/>
    <w:rsid w:val="0079017F"/>
    <w:rsid w:val="007901C1"/>
    <w:rsid w:val="007901EC"/>
    <w:rsid w:val="00790210"/>
    <w:rsid w:val="00790235"/>
    <w:rsid w:val="0079025E"/>
    <w:rsid w:val="007902A6"/>
    <w:rsid w:val="007902C4"/>
    <w:rsid w:val="007902C7"/>
    <w:rsid w:val="007902F3"/>
    <w:rsid w:val="00790321"/>
    <w:rsid w:val="00790332"/>
    <w:rsid w:val="0079034B"/>
    <w:rsid w:val="00790356"/>
    <w:rsid w:val="0079036A"/>
    <w:rsid w:val="00790383"/>
    <w:rsid w:val="007903A9"/>
    <w:rsid w:val="007903E3"/>
    <w:rsid w:val="00790416"/>
    <w:rsid w:val="00790469"/>
    <w:rsid w:val="00790499"/>
    <w:rsid w:val="007904C9"/>
    <w:rsid w:val="007904D5"/>
    <w:rsid w:val="007904E6"/>
    <w:rsid w:val="007904E7"/>
    <w:rsid w:val="0079050F"/>
    <w:rsid w:val="00790522"/>
    <w:rsid w:val="0079052D"/>
    <w:rsid w:val="00790534"/>
    <w:rsid w:val="00790586"/>
    <w:rsid w:val="00790605"/>
    <w:rsid w:val="0079061A"/>
    <w:rsid w:val="00790667"/>
    <w:rsid w:val="007906BC"/>
    <w:rsid w:val="007906C6"/>
    <w:rsid w:val="007906D9"/>
    <w:rsid w:val="007906E0"/>
    <w:rsid w:val="007906EC"/>
    <w:rsid w:val="00790701"/>
    <w:rsid w:val="0079071F"/>
    <w:rsid w:val="00790722"/>
    <w:rsid w:val="00790770"/>
    <w:rsid w:val="007907FE"/>
    <w:rsid w:val="00790819"/>
    <w:rsid w:val="0079081B"/>
    <w:rsid w:val="007908DB"/>
    <w:rsid w:val="007908DC"/>
    <w:rsid w:val="007908E1"/>
    <w:rsid w:val="007908EA"/>
    <w:rsid w:val="00790959"/>
    <w:rsid w:val="007909C8"/>
    <w:rsid w:val="007909D9"/>
    <w:rsid w:val="007909EF"/>
    <w:rsid w:val="00790A50"/>
    <w:rsid w:val="00790A5B"/>
    <w:rsid w:val="00790A5F"/>
    <w:rsid w:val="00790ABB"/>
    <w:rsid w:val="00790AC0"/>
    <w:rsid w:val="00790B22"/>
    <w:rsid w:val="00790B5F"/>
    <w:rsid w:val="00790B80"/>
    <w:rsid w:val="00790BBB"/>
    <w:rsid w:val="00790BDA"/>
    <w:rsid w:val="00790C62"/>
    <w:rsid w:val="00790C6D"/>
    <w:rsid w:val="00790CA9"/>
    <w:rsid w:val="00790CC7"/>
    <w:rsid w:val="00790CDA"/>
    <w:rsid w:val="00790CEE"/>
    <w:rsid w:val="00790CF9"/>
    <w:rsid w:val="00790D6A"/>
    <w:rsid w:val="00790D7D"/>
    <w:rsid w:val="00790D8A"/>
    <w:rsid w:val="00790DCB"/>
    <w:rsid w:val="00790DD2"/>
    <w:rsid w:val="00790E0C"/>
    <w:rsid w:val="00790E0E"/>
    <w:rsid w:val="00790E44"/>
    <w:rsid w:val="00790EB7"/>
    <w:rsid w:val="00790ED1"/>
    <w:rsid w:val="00790EE4"/>
    <w:rsid w:val="00790EE8"/>
    <w:rsid w:val="00790F2D"/>
    <w:rsid w:val="00790F4F"/>
    <w:rsid w:val="00790F55"/>
    <w:rsid w:val="00790F7D"/>
    <w:rsid w:val="00790F9B"/>
    <w:rsid w:val="00790FA6"/>
    <w:rsid w:val="00790FA8"/>
    <w:rsid w:val="00791053"/>
    <w:rsid w:val="0079106F"/>
    <w:rsid w:val="0079108B"/>
    <w:rsid w:val="007910E3"/>
    <w:rsid w:val="007910E8"/>
    <w:rsid w:val="0079112D"/>
    <w:rsid w:val="0079113A"/>
    <w:rsid w:val="00791146"/>
    <w:rsid w:val="00791156"/>
    <w:rsid w:val="00791170"/>
    <w:rsid w:val="0079117A"/>
    <w:rsid w:val="007911B6"/>
    <w:rsid w:val="007911EB"/>
    <w:rsid w:val="0079122E"/>
    <w:rsid w:val="00791257"/>
    <w:rsid w:val="0079125F"/>
    <w:rsid w:val="00791284"/>
    <w:rsid w:val="0079128D"/>
    <w:rsid w:val="007912AC"/>
    <w:rsid w:val="007912F9"/>
    <w:rsid w:val="00791315"/>
    <w:rsid w:val="00791342"/>
    <w:rsid w:val="0079134F"/>
    <w:rsid w:val="0079138B"/>
    <w:rsid w:val="00791394"/>
    <w:rsid w:val="007913A2"/>
    <w:rsid w:val="007913A6"/>
    <w:rsid w:val="007913CE"/>
    <w:rsid w:val="007913EE"/>
    <w:rsid w:val="00791449"/>
    <w:rsid w:val="007914F0"/>
    <w:rsid w:val="0079150B"/>
    <w:rsid w:val="0079156D"/>
    <w:rsid w:val="0079160F"/>
    <w:rsid w:val="00791631"/>
    <w:rsid w:val="0079163B"/>
    <w:rsid w:val="00791644"/>
    <w:rsid w:val="0079166C"/>
    <w:rsid w:val="007916EE"/>
    <w:rsid w:val="0079170E"/>
    <w:rsid w:val="00791772"/>
    <w:rsid w:val="00791776"/>
    <w:rsid w:val="0079178D"/>
    <w:rsid w:val="007917FB"/>
    <w:rsid w:val="00791850"/>
    <w:rsid w:val="007918BB"/>
    <w:rsid w:val="007918BF"/>
    <w:rsid w:val="007918F8"/>
    <w:rsid w:val="0079193B"/>
    <w:rsid w:val="00791995"/>
    <w:rsid w:val="007919BE"/>
    <w:rsid w:val="007919E4"/>
    <w:rsid w:val="007919FD"/>
    <w:rsid w:val="007919FE"/>
    <w:rsid w:val="00791A06"/>
    <w:rsid w:val="00791A1D"/>
    <w:rsid w:val="00791A23"/>
    <w:rsid w:val="00791A39"/>
    <w:rsid w:val="00791A3B"/>
    <w:rsid w:val="00791A6A"/>
    <w:rsid w:val="00791A6C"/>
    <w:rsid w:val="00791AB1"/>
    <w:rsid w:val="00791ABC"/>
    <w:rsid w:val="00791B0E"/>
    <w:rsid w:val="00791B43"/>
    <w:rsid w:val="00791B46"/>
    <w:rsid w:val="00791B50"/>
    <w:rsid w:val="00791B77"/>
    <w:rsid w:val="00791B89"/>
    <w:rsid w:val="00791BE0"/>
    <w:rsid w:val="00791C03"/>
    <w:rsid w:val="00791C0C"/>
    <w:rsid w:val="00791C12"/>
    <w:rsid w:val="00791C33"/>
    <w:rsid w:val="00791C4C"/>
    <w:rsid w:val="00791C77"/>
    <w:rsid w:val="00791C79"/>
    <w:rsid w:val="00791C8C"/>
    <w:rsid w:val="00791C8D"/>
    <w:rsid w:val="00791C97"/>
    <w:rsid w:val="00791CB0"/>
    <w:rsid w:val="00791CDE"/>
    <w:rsid w:val="00791D2B"/>
    <w:rsid w:val="00791D58"/>
    <w:rsid w:val="00791DB6"/>
    <w:rsid w:val="00791DBC"/>
    <w:rsid w:val="00791DD7"/>
    <w:rsid w:val="00791DDD"/>
    <w:rsid w:val="00791DF3"/>
    <w:rsid w:val="00791EC2"/>
    <w:rsid w:val="00791EC6"/>
    <w:rsid w:val="00791EE3"/>
    <w:rsid w:val="00791EED"/>
    <w:rsid w:val="00791F22"/>
    <w:rsid w:val="00791FBF"/>
    <w:rsid w:val="00791FDE"/>
    <w:rsid w:val="00791FE0"/>
    <w:rsid w:val="00791FEA"/>
    <w:rsid w:val="00791FEC"/>
    <w:rsid w:val="00791FF8"/>
    <w:rsid w:val="0079200A"/>
    <w:rsid w:val="00792011"/>
    <w:rsid w:val="00792050"/>
    <w:rsid w:val="0079205A"/>
    <w:rsid w:val="0079208E"/>
    <w:rsid w:val="00792105"/>
    <w:rsid w:val="0079212D"/>
    <w:rsid w:val="00792130"/>
    <w:rsid w:val="0079213C"/>
    <w:rsid w:val="0079213E"/>
    <w:rsid w:val="0079213F"/>
    <w:rsid w:val="0079214A"/>
    <w:rsid w:val="00792151"/>
    <w:rsid w:val="0079216C"/>
    <w:rsid w:val="0079216D"/>
    <w:rsid w:val="00792175"/>
    <w:rsid w:val="007921C7"/>
    <w:rsid w:val="00792281"/>
    <w:rsid w:val="007922AB"/>
    <w:rsid w:val="00792318"/>
    <w:rsid w:val="0079233D"/>
    <w:rsid w:val="00792362"/>
    <w:rsid w:val="0079236F"/>
    <w:rsid w:val="007923A5"/>
    <w:rsid w:val="007923B6"/>
    <w:rsid w:val="007923CF"/>
    <w:rsid w:val="007923D2"/>
    <w:rsid w:val="007923D4"/>
    <w:rsid w:val="00792404"/>
    <w:rsid w:val="00792432"/>
    <w:rsid w:val="00792491"/>
    <w:rsid w:val="0079249E"/>
    <w:rsid w:val="007924BB"/>
    <w:rsid w:val="007924D0"/>
    <w:rsid w:val="007924E6"/>
    <w:rsid w:val="0079251A"/>
    <w:rsid w:val="00792545"/>
    <w:rsid w:val="00792565"/>
    <w:rsid w:val="00792566"/>
    <w:rsid w:val="0079256D"/>
    <w:rsid w:val="0079258D"/>
    <w:rsid w:val="007925A2"/>
    <w:rsid w:val="007925A9"/>
    <w:rsid w:val="007925BD"/>
    <w:rsid w:val="00792620"/>
    <w:rsid w:val="0079265B"/>
    <w:rsid w:val="0079266C"/>
    <w:rsid w:val="00792675"/>
    <w:rsid w:val="00792692"/>
    <w:rsid w:val="007926B9"/>
    <w:rsid w:val="007926DF"/>
    <w:rsid w:val="007926F2"/>
    <w:rsid w:val="00792712"/>
    <w:rsid w:val="00792718"/>
    <w:rsid w:val="0079273D"/>
    <w:rsid w:val="00792752"/>
    <w:rsid w:val="00792754"/>
    <w:rsid w:val="00792763"/>
    <w:rsid w:val="007927A1"/>
    <w:rsid w:val="007927AD"/>
    <w:rsid w:val="00792810"/>
    <w:rsid w:val="0079285A"/>
    <w:rsid w:val="0079286E"/>
    <w:rsid w:val="00792877"/>
    <w:rsid w:val="00792878"/>
    <w:rsid w:val="00792904"/>
    <w:rsid w:val="007929A8"/>
    <w:rsid w:val="007929E8"/>
    <w:rsid w:val="007929F4"/>
    <w:rsid w:val="007929F9"/>
    <w:rsid w:val="00792A01"/>
    <w:rsid w:val="00792A1A"/>
    <w:rsid w:val="00792A2C"/>
    <w:rsid w:val="00792A54"/>
    <w:rsid w:val="00792A8D"/>
    <w:rsid w:val="00792AC3"/>
    <w:rsid w:val="00792AEC"/>
    <w:rsid w:val="00792B0A"/>
    <w:rsid w:val="00792B17"/>
    <w:rsid w:val="00792B34"/>
    <w:rsid w:val="00792B36"/>
    <w:rsid w:val="00792B43"/>
    <w:rsid w:val="00792C28"/>
    <w:rsid w:val="00792D00"/>
    <w:rsid w:val="00792D12"/>
    <w:rsid w:val="00792D3D"/>
    <w:rsid w:val="00792D42"/>
    <w:rsid w:val="00792DA7"/>
    <w:rsid w:val="00792DCF"/>
    <w:rsid w:val="00792DD3"/>
    <w:rsid w:val="00792E6B"/>
    <w:rsid w:val="00792EA9"/>
    <w:rsid w:val="00792EB1"/>
    <w:rsid w:val="00792ED5"/>
    <w:rsid w:val="00792F05"/>
    <w:rsid w:val="00792F0D"/>
    <w:rsid w:val="00792F3D"/>
    <w:rsid w:val="00792FEE"/>
    <w:rsid w:val="00793046"/>
    <w:rsid w:val="00793066"/>
    <w:rsid w:val="0079308E"/>
    <w:rsid w:val="00793097"/>
    <w:rsid w:val="007930AF"/>
    <w:rsid w:val="007930EB"/>
    <w:rsid w:val="007930ED"/>
    <w:rsid w:val="00793106"/>
    <w:rsid w:val="00793142"/>
    <w:rsid w:val="00793195"/>
    <w:rsid w:val="007931A1"/>
    <w:rsid w:val="007931B2"/>
    <w:rsid w:val="007931B8"/>
    <w:rsid w:val="007931D9"/>
    <w:rsid w:val="0079324C"/>
    <w:rsid w:val="00793252"/>
    <w:rsid w:val="00793263"/>
    <w:rsid w:val="00793266"/>
    <w:rsid w:val="00793268"/>
    <w:rsid w:val="00793291"/>
    <w:rsid w:val="007932B0"/>
    <w:rsid w:val="007932E1"/>
    <w:rsid w:val="007932E2"/>
    <w:rsid w:val="00793300"/>
    <w:rsid w:val="00793340"/>
    <w:rsid w:val="007933CC"/>
    <w:rsid w:val="007933F9"/>
    <w:rsid w:val="00793410"/>
    <w:rsid w:val="00793416"/>
    <w:rsid w:val="0079342B"/>
    <w:rsid w:val="0079344B"/>
    <w:rsid w:val="0079347B"/>
    <w:rsid w:val="0079348B"/>
    <w:rsid w:val="0079349C"/>
    <w:rsid w:val="007934B5"/>
    <w:rsid w:val="007934D4"/>
    <w:rsid w:val="007934DC"/>
    <w:rsid w:val="00793509"/>
    <w:rsid w:val="00793517"/>
    <w:rsid w:val="00793593"/>
    <w:rsid w:val="007935D7"/>
    <w:rsid w:val="0079360F"/>
    <w:rsid w:val="00793617"/>
    <w:rsid w:val="00793646"/>
    <w:rsid w:val="0079366E"/>
    <w:rsid w:val="007936AF"/>
    <w:rsid w:val="007936C9"/>
    <w:rsid w:val="00793776"/>
    <w:rsid w:val="00793794"/>
    <w:rsid w:val="007937A0"/>
    <w:rsid w:val="00793939"/>
    <w:rsid w:val="0079393D"/>
    <w:rsid w:val="00793955"/>
    <w:rsid w:val="0079398A"/>
    <w:rsid w:val="007939F0"/>
    <w:rsid w:val="00793A0C"/>
    <w:rsid w:val="00793A30"/>
    <w:rsid w:val="00793A50"/>
    <w:rsid w:val="00793AB7"/>
    <w:rsid w:val="00793AC2"/>
    <w:rsid w:val="00793AC4"/>
    <w:rsid w:val="00793AD7"/>
    <w:rsid w:val="00793B07"/>
    <w:rsid w:val="00793B54"/>
    <w:rsid w:val="00793B9F"/>
    <w:rsid w:val="00793BA4"/>
    <w:rsid w:val="00793BA8"/>
    <w:rsid w:val="00793BBA"/>
    <w:rsid w:val="00793C15"/>
    <w:rsid w:val="00793C49"/>
    <w:rsid w:val="00793C93"/>
    <w:rsid w:val="00793CCA"/>
    <w:rsid w:val="00793D56"/>
    <w:rsid w:val="00793DDD"/>
    <w:rsid w:val="00793DE6"/>
    <w:rsid w:val="00793DF7"/>
    <w:rsid w:val="00793DFE"/>
    <w:rsid w:val="00793E48"/>
    <w:rsid w:val="00793E4B"/>
    <w:rsid w:val="00793E4C"/>
    <w:rsid w:val="00793E4F"/>
    <w:rsid w:val="00793E96"/>
    <w:rsid w:val="00793ECC"/>
    <w:rsid w:val="00793EE5"/>
    <w:rsid w:val="00793F21"/>
    <w:rsid w:val="00793F51"/>
    <w:rsid w:val="00793FCE"/>
    <w:rsid w:val="00793FED"/>
    <w:rsid w:val="00794003"/>
    <w:rsid w:val="0079400B"/>
    <w:rsid w:val="0079402D"/>
    <w:rsid w:val="00794031"/>
    <w:rsid w:val="00794048"/>
    <w:rsid w:val="0079404D"/>
    <w:rsid w:val="00794070"/>
    <w:rsid w:val="00794085"/>
    <w:rsid w:val="00794087"/>
    <w:rsid w:val="0079409F"/>
    <w:rsid w:val="007940A5"/>
    <w:rsid w:val="007940AC"/>
    <w:rsid w:val="007940C0"/>
    <w:rsid w:val="007940D9"/>
    <w:rsid w:val="007940EB"/>
    <w:rsid w:val="00794134"/>
    <w:rsid w:val="00794137"/>
    <w:rsid w:val="00794157"/>
    <w:rsid w:val="0079416C"/>
    <w:rsid w:val="007941C5"/>
    <w:rsid w:val="00794218"/>
    <w:rsid w:val="00794235"/>
    <w:rsid w:val="0079423B"/>
    <w:rsid w:val="00794244"/>
    <w:rsid w:val="0079424F"/>
    <w:rsid w:val="0079425D"/>
    <w:rsid w:val="0079426F"/>
    <w:rsid w:val="00794291"/>
    <w:rsid w:val="007942B9"/>
    <w:rsid w:val="007942C3"/>
    <w:rsid w:val="007942F3"/>
    <w:rsid w:val="007942F8"/>
    <w:rsid w:val="0079430B"/>
    <w:rsid w:val="0079434D"/>
    <w:rsid w:val="00794374"/>
    <w:rsid w:val="00794390"/>
    <w:rsid w:val="007943C7"/>
    <w:rsid w:val="007943CF"/>
    <w:rsid w:val="00794417"/>
    <w:rsid w:val="0079444A"/>
    <w:rsid w:val="007944A5"/>
    <w:rsid w:val="007944C6"/>
    <w:rsid w:val="0079450D"/>
    <w:rsid w:val="00794536"/>
    <w:rsid w:val="007945D3"/>
    <w:rsid w:val="007945DE"/>
    <w:rsid w:val="007945EC"/>
    <w:rsid w:val="00794604"/>
    <w:rsid w:val="0079462E"/>
    <w:rsid w:val="00794666"/>
    <w:rsid w:val="00794678"/>
    <w:rsid w:val="00794686"/>
    <w:rsid w:val="007946A0"/>
    <w:rsid w:val="007946A4"/>
    <w:rsid w:val="007946F9"/>
    <w:rsid w:val="00794703"/>
    <w:rsid w:val="00794723"/>
    <w:rsid w:val="00794733"/>
    <w:rsid w:val="00794738"/>
    <w:rsid w:val="0079473A"/>
    <w:rsid w:val="0079473C"/>
    <w:rsid w:val="00794748"/>
    <w:rsid w:val="0079474C"/>
    <w:rsid w:val="00794779"/>
    <w:rsid w:val="00794821"/>
    <w:rsid w:val="0079482D"/>
    <w:rsid w:val="00794832"/>
    <w:rsid w:val="0079485C"/>
    <w:rsid w:val="0079485D"/>
    <w:rsid w:val="00794879"/>
    <w:rsid w:val="007948BD"/>
    <w:rsid w:val="007948D8"/>
    <w:rsid w:val="007948DC"/>
    <w:rsid w:val="00794904"/>
    <w:rsid w:val="0079491C"/>
    <w:rsid w:val="00794938"/>
    <w:rsid w:val="0079493E"/>
    <w:rsid w:val="00794946"/>
    <w:rsid w:val="00794992"/>
    <w:rsid w:val="007949DB"/>
    <w:rsid w:val="007949E7"/>
    <w:rsid w:val="00794A08"/>
    <w:rsid w:val="00794A18"/>
    <w:rsid w:val="00794A1F"/>
    <w:rsid w:val="00794A31"/>
    <w:rsid w:val="00794A40"/>
    <w:rsid w:val="00794A43"/>
    <w:rsid w:val="00794A51"/>
    <w:rsid w:val="00794A54"/>
    <w:rsid w:val="00794A98"/>
    <w:rsid w:val="00794AB6"/>
    <w:rsid w:val="00794AE7"/>
    <w:rsid w:val="00794AEA"/>
    <w:rsid w:val="00794B34"/>
    <w:rsid w:val="00794B35"/>
    <w:rsid w:val="00794B4B"/>
    <w:rsid w:val="00794B50"/>
    <w:rsid w:val="00794B9C"/>
    <w:rsid w:val="00794BCA"/>
    <w:rsid w:val="00794BD2"/>
    <w:rsid w:val="00794BEC"/>
    <w:rsid w:val="00794C20"/>
    <w:rsid w:val="00794C4E"/>
    <w:rsid w:val="00794C83"/>
    <w:rsid w:val="00794CF7"/>
    <w:rsid w:val="00794CFF"/>
    <w:rsid w:val="00794D04"/>
    <w:rsid w:val="00794D2A"/>
    <w:rsid w:val="00794D90"/>
    <w:rsid w:val="00794DAB"/>
    <w:rsid w:val="00794DF9"/>
    <w:rsid w:val="00794E08"/>
    <w:rsid w:val="00794E10"/>
    <w:rsid w:val="00794E2F"/>
    <w:rsid w:val="00794EC4"/>
    <w:rsid w:val="00794ECF"/>
    <w:rsid w:val="00794EDE"/>
    <w:rsid w:val="00794F39"/>
    <w:rsid w:val="00794F55"/>
    <w:rsid w:val="00794F84"/>
    <w:rsid w:val="00794FA4"/>
    <w:rsid w:val="00794FD6"/>
    <w:rsid w:val="00794FD7"/>
    <w:rsid w:val="00795020"/>
    <w:rsid w:val="00795036"/>
    <w:rsid w:val="0079507A"/>
    <w:rsid w:val="0079512C"/>
    <w:rsid w:val="00795143"/>
    <w:rsid w:val="00795154"/>
    <w:rsid w:val="00795160"/>
    <w:rsid w:val="00795166"/>
    <w:rsid w:val="00795183"/>
    <w:rsid w:val="007951BC"/>
    <w:rsid w:val="007951C9"/>
    <w:rsid w:val="007951F0"/>
    <w:rsid w:val="007952E2"/>
    <w:rsid w:val="00795331"/>
    <w:rsid w:val="00795382"/>
    <w:rsid w:val="0079539B"/>
    <w:rsid w:val="007953C2"/>
    <w:rsid w:val="007953C7"/>
    <w:rsid w:val="007953CC"/>
    <w:rsid w:val="007953CD"/>
    <w:rsid w:val="0079541C"/>
    <w:rsid w:val="0079546A"/>
    <w:rsid w:val="00795510"/>
    <w:rsid w:val="0079552F"/>
    <w:rsid w:val="00795539"/>
    <w:rsid w:val="0079554C"/>
    <w:rsid w:val="00795566"/>
    <w:rsid w:val="007955D7"/>
    <w:rsid w:val="007955E8"/>
    <w:rsid w:val="007955FA"/>
    <w:rsid w:val="007955FD"/>
    <w:rsid w:val="0079561C"/>
    <w:rsid w:val="00795622"/>
    <w:rsid w:val="00795635"/>
    <w:rsid w:val="00795650"/>
    <w:rsid w:val="00795652"/>
    <w:rsid w:val="00795653"/>
    <w:rsid w:val="0079567E"/>
    <w:rsid w:val="00795683"/>
    <w:rsid w:val="00795692"/>
    <w:rsid w:val="00795697"/>
    <w:rsid w:val="007956A0"/>
    <w:rsid w:val="007956B2"/>
    <w:rsid w:val="007956C2"/>
    <w:rsid w:val="0079576F"/>
    <w:rsid w:val="00795780"/>
    <w:rsid w:val="007957DA"/>
    <w:rsid w:val="0079581F"/>
    <w:rsid w:val="00795854"/>
    <w:rsid w:val="00795882"/>
    <w:rsid w:val="007958D0"/>
    <w:rsid w:val="007958E3"/>
    <w:rsid w:val="007958EB"/>
    <w:rsid w:val="0079592C"/>
    <w:rsid w:val="0079593D"/>
    <w:rsid w:val="00795946"/>
    <w:rsid w:val="007959BE"/>
    <w:rsid w:val="007959D5"/>
    <w:rsid w:val="00795A4B"/>
    <w:rsid w:val="00795A53"/>
    <w:rsid w:val="00795A59"/>
    <w:rsid w:val="00795A7F"/>
    <w:rsid w:val="00795AA4"/>
    <w:rsid w:val="00795AA9"/>
    <w:rsid w:val="00795AC2"/>
    <w:rsid w:val="00795AFE"/>
    <w:rsid w:val="00795B3D"/>
    <w:rsid w:val="00795B5B"/>
    <w:rsid w:val="00795BA2"/>
    <w:rsid w:val="00795BE4"/>
    <w:rsid w:val="00795C29"/>
    <w:rsid w:val="00795C50"/>
    <w:rsid w:val="00795C52"/>
    <w:rsid w:val="00795C56"/>
    <w:rsid w:val="00795CBA"/>
    <w:rsid w:val="00795CED"/>
    <w:rsid w:val="00795CFC"/>
    <w:rsid w:val="00795D13"/>
    <w:rsid w:val="00795D37"/>
    <w:rsid w:val="00795D7D"/>
    <w:rsid w:val="00795D92"/>
    <w:rsid w:val="00795DD1"/>
    <w:rsid w:val="00795E2B"/>
    <w:rsid w:val="00795E74"/>
    <w:rsid w:val="00795EA9"/>
    <w:rsid w:val="00795EBC"/>
    <w:rsid w:val="00795ED1"/>
    <w:rsid w:val="00795F07"/>
    <w:rsid w:val="00795F0E"/>
    <w:rsid w:val="00795F25"/>
    <w:rsid w:val="00795FD9"/>
    <w:rsid w:val="00795FDD"/>
    <w:rsid w:val="00795FFE"/>
    <w:rsid w:val="00796005"/>
    <w:rsid w:val="00796011"/>
    <w:rsid w:val="0079601C"/>
    <w:rsid w:val="00796034"/>
    <w:rsid w:val="00796037"/>
    <w:rsid w:val="00796061"/>
    <w:rsid w:val="00796075"/>
    <w:rsid w:val="007960BA"/>
    <w:rsid w:val="007960E0"/>
    <w:rsid w:val="00796112"/>
    <w:rsid w:val="0079614D"/>
    <w:rsid w:val="00796176"/>
    <w:rsid w:val="007961C4"/>
    <w:rsid w:val="007961FB"/>
    <w:rsid w:val="00796238"/>
    <w:rsid w:val="007962A3"/>
    <w:rsid w:val="007962A8"/>
    <w:rsid w:val="007962CD"/>
    <w:rsid w:val="007962E7"/>
    <w:rsid w:val="0079631C"/>
    <w:rsid w:val="00796320"/>
    <w:rsid w:val="00796363"/>
    <w:rsid w:val="00796384"/>
    <w:rsid w:val="0079639A"/>
    <w:rsid w:val="007963C4"/>
    <w:rsid w:val="00796415"/>
    <w:rsid w:val="00796422"/>
    <w:rsid w:val="00796485"/>
    <w:rsid w:val="00796527"/>
    <w:rsid w:val="0079652D"/>
    <w:rsid w:val="0079652E"/>
    <w:rsid w:val="00796536"/>
    <w:rsid w:val="0079660B"/>
    <w:rsid w:val="00796617"/>
    <w:rsid w:val="00796647"/>
    <w:rsid w:val="0079664B"/>
    <w:rsid w:val="0079665E"/>
    <w:rsid w:val="0079669B"/>
    <w:rsid w:val="007966B4"/>
    <w:rsid w:val="007966BF"/>
    <w:rsid w:val="007966C4"/>
    <w:rsid w:val="007966CE"/>
    <w:rsid w:val="007966F2"/>
    <w:rsid w:val="007966F4"/>
    <w:rsid w:val="00796706"/>
    <w:rsid w:val="0079675C"/>
    <w:rsid w:val="0079677A"/>
    <w:rsid w:val="007967BB"/>
    <w:rsid w:val="007967C5"/>
    <w:rsid w:val="007967CB"/>
    <w:rsid w:val="00796815"/>
    <w:rsid w:val="0079684E"/>
    <w:rsid w:val="007968BA"/>
    <w:rsid w:val="007968DF"/>
    <w:rsid w:val="007968F7"/>
    <w:rsid w:val="00796905"/>
    <w:rsid w:val="00796928"/>
    <w:rsid w:val="00796984"/>
    <w:rsid w:val="0079698D"/>
    <w:rsid w:val="007969C0"/>
    <w:rsid w:val="00796A59"/>
    <w:rsid w:val="00796A6E"/>
    <w:rsid w:val="00796AD9"/>
    <w:rsid w:val="00796AE8"/>
    <w:rsid w:val="00796AEA"/>
    <w:rsid w:val="00796AFC"/>
    <w:rsid w:val="00796B0C"/>
    <w:rsid w:val="00796B4B"/>
    <w:rsid w:val="00796B60"/>
    <w:rsid w:val="00796BD4"/>
    <w:rsid w:val="00796BEE"/>
    <w:rsid w:val="00796C0F"/>
    <w:rsid w:val="00796C21"/>
    <w:rsid w:val="00796C52"/>
    <w:rsid w:val="00796C57"/>
    <w:rsid w:val="00796C5C"/>
    <w:rsid w:val="00796C5E"/>
    <w:rsid w:val="00796C6C"/>
    <w:rsid w:val="00796C7C"/>
    <w:rsid w:val="00796C88"/>
    <w:rsid w:val="00796C9E"/>
    <w:rsid w:val="00796CB7"/>
    <w:rsid w:val="00796CC1"/>
    <w:rsid w:val="00796D54"/>
    <w:rsid w:val="00796DA5"/>
    <w:rsid w:val="00796DC0"/>
    <w:rsid w:val="00796DF6"/>
    <w:rsid w:val="00796E2C"/>
    <w:rsid w:val="00796E4B"/>
    <w:rsid w:val="00796E95"/>
    <w:rsid w:val="00796EC2"/>
    <w:rsid w:val="00796F1D"/>
    <w:rsid w:val="00796F24"/>
    <w:rsid w:val="00796F68"/>
    <w:rsid w:val="00796F71"/>
    <w:rsid w:val="00796F80"/>
    <w:rsid w:val="00796FC1"/>
    <w:rsid w:val="00796FED"/>
    <w:rsid w:val="00796FFC"/>
    <w:rsid w:val="00797040"/>
    <w:rsid w:val="0079705B"/>
    <w:rsid w:val="00797065"/>
    <w:rsid w:val="00797092"/>
    <w:rsid w:val="007970BB"/>
    <w:rsid w:val="007970D2"/>
    <w:rsid w:val="007970DE"/>
    <w:rsid w:val="00797131"/>
    <w:rsid w:val="00797133"/>
    <w:rsid w:val="00797141"/>
    <w:rsid w:val="007971E7"/>
    <w:rsid w:val="0079724F"/>
    <w:rsid w:val="00797279"/>
    <w:rsid w:val="007972DC"/>
    <w:rsid w:val="007972F3"/>
    <w:rsid w:val="00797303"/>
    <w:rsid w:val="00797306"/>
    <w:rsid w:val="00797314"/>
    <w:rsid w:val="00797376"/>
    <w:rsid w:val="0079737C"/>
    <w:rsid w:val="007973C2"/>
    <w:rsid w:val="007973F3"/>
    <w:rsid w:val="0079740B"/>
    <w:rsid w:val="0079741F"/>
    <w:rsid w:val="00797423"/>
    <w:rsid w:val="0079745A"/>
    <w:rsid w:val="0079745B"/>
    <w:rsid w:val="0079751C"/>
    <w:rsid w:val="0079751D"/>
    <w:rsid w:val="00797520"/>
    <w:rsid w:val="00797547"/>
    <w:rsid w:val="00797567"/>
    <w:rsid w:val="007975A4"/>
    <w:rsid w:val="007975A8"/>
    <w:rsid w:val="007975BB"/>
    <w:rsid w:val="007975BE"/>
    <w:rsid w:val="007975DC"/>
    <w:rsid w:val="00797614"/>
    <w:rsid w:val="0079762F"/>
    <w:rsid w:val="0079763B"/>
    <w:rsid w:val="00797665"/>
    <w:rsid w:val="00797676"/>
    <w:rsid w:val="007976AA"/>
    <w:rsid w:val="007976C9"/>
    <w:rsid w:val="007976CC"/>
    <w:rsid w:val="007976ED"/>
    <w:rsid w:val="00797714"/>
    <w:rsid w:val="00797724"/>
    <w:rsid w:val="00797737"/>
    <w:rsid w:val="0079773E"/>
    <w:rsid w:val="00797782"/>
    <w:rsid w:val="007977A3"/>
    <w:rsid w:val="007977A6"/>
    <w:rsid w:val="007977BD"/>
    <w:rsid w:val="007977DD"/>
    <w:rsid w:val="007977E6"/>
    <w:rsid w:val="007977E8"/>
    <w:rsid w:val="00797849"/>
    <w:rsid w:val="007978B9"/>
    <w:rsid w:val="007978C2"/>
    <w:rsid w:val="007978D4"/>
    <w:rsid w:val="007978DF"/>
    <w:rsid w:val="007978EB"/>
    <w:rsid w:val="007978ED"/>
    <w:rsid w:val="0079790B"/>
    <w:rsid w:val="0079791F"/>
    <w:rsid w:val="00797943"/>
    <w:rsid w:val="007979C4"/>
    <w:rsid w:val="007979CE"/>
    <w:rsid w:val="007979F0"/>
    <w:rsid w:val="007979F6"/>
    <w:rsid w:val="00797A10"/>
    <w:rsid w:val="00797A7C"/>
    <w:rsid w:val="00797A86"/>
    <w:rsid w:val="00797AEC"/>
    <w:rsid w:val="00797AF9"/>
    <w:rsid w:val="00797B47"/>
    <w:rsid w:val="00797B62"/>
    <w:rsid w:val="00797B7B"/>
    <w:rsid w:val="00797B8F"/>
    <w:rsid w:val="00797BB0"/>
    <w:rsid w:val="00797BC0"/>
    <w:rsid w:val="00797BDD"/>
    <w:rsid w:val="00797C2C"/>
    <w:rsid w:val="00797C66"/>
    <w:rsid w:val="00797C75"/>
    <w:rsid w:val="00797C7E"/>
    <w:rsid w:val="00797CA2"/>
    <w:rsid w:val="00797CF4"/>
    <w:rsid w:val="00797D0B"/>
    <w:rsid w:val="00797D19"/>
    <w:rsid w:val="00797D7D"/>
    <w:rsid w:val="00797D84"/>
    <w:rsid w:val="00797DF4"/>
    <w:rsid w:val="00797DFE"/>
    <w:rsid w:val="00797E53"/>
    <w:rsid w:val="00797E72"/>
    <w:rsid w:val="00797E8B"/>
    <w:rsid w:val="00797EBC"/>
    <w:rsid w:val="00797EDA"/>
    <w:rsid w:val="00797F06"/>
    <w:rsid w:val="00797F17"/>
    <w:rsid w:val="00797F3C"/>
    <w:rsid w:val="00797F51"/>
    <w:rsid w:val="00797F77"/>
    <w:rsid w:val="00797F98"/>
    <w:rsid w:val="00797FA1"/>
    <w:rsid w:val="007A0017"/>
    <w:rsid w:val="007A002A"/>
    <w:rsid w:val="007A0041"/>
    <w:rsid w:val="007A0059"/>
    <w:rsid w:val="007A0062"/>
    <w:rsid w:val="007A00B2"/>
    <w:rsid w:val="007A00D5"/>
    <w:rsid w:val="007A00ED"/>
    <w:rsid w:val="007A0143"/>
    <w:rsid w:val="007A0220"/>
    <w:rsid w:val="007A0245"/>
    <w:rsid w:val="007A0266"/>
    <w:rsid w:val="007A027F"/>
    <w:rsid w:val="007A028B"/>
    <w:rsid w:val="007A02B2"/>
    <w:rsid w:val="007A0302"/>
    <w:rsid w:val="007A0328"/>
    <w:rsid w:val="007A0351"/>
    <w:rsid w:val="007A0361"/>
    <w:rsid w:val="007A03A3"/>
    <w:rsid w:val="007A03FD"/>
    <w:rsid w:val="007A0448"/>
    <w:rsid w:val="007A047E"/>
    <w:rsid w:val="007A0492"/>
    <w:rsid w:val="007A049C"/>
    <w:rsid w:val="007A04A6"/>
    <w:rsid w:val="007A052E"/>
    <w:rsid w:val="007A055C"/>
    <w:rsid w:val="007A059E"/>
    <w:rsid w:val="007A05AB"/>
    <w:rsid w:val="007A05FD"/>
    <w:rsid w:val="007A060F"/>
    <w:rsid w:val="007A0685"/>
    <w:rsid w:val="007A06D3"/>
    <w:rsid w:val="007A06D8"/>
    <w:rsid w:val="007A071A"/>
    <w:rsid w:val="007A0780"/>
    <w:rsid w:val="007A0798"/>
    <w:rsid w:val="007A07A1"/>
    <w:rsid w:val="007A07A7"/>
    <w:rsid w:val="007A07E6"/>
    <w:rsid w:val="007A080D"/>
    <w:rsid w:val="007A0833"/>
    <w:rsid w:val="007A0859"/>
    <w:rsid w:val="007A0877"/>
    <w:rsid w:val="007A08BB"/>
    <w:rsid w:val="007A08C0"/>
    <w:rsid w:val="007A08E2"/>
    <w:rsid w:val="007A08E6"/>
    <w:rsid w:val="007A08EF"/>
    <w:rsid w:val="007A0906"/>
    <w:rsid w:val="007A090E"/>
    <w:rsid w:val="007A0943"/>
    <w:rsid w:val="007A09E8"/>
    <w:rsid w:val="007A0A07"/>
    <w:rsid w:val="007A0A44"/>
    <w:rsid w:val="007A0A60"/>
    <w:rsid w:val="007A0A7F"/>
    <w:rsid w:val="007A0A8C"/>
    <w:rsid w:val="007A0AFC"/>
    <w:rsid w:val="007A0B10"/>
    <w:rsid w:val="007A0B28"/>
    <w:rsid w:val="007A0B66"/>
    <w:rsid w:val="007A0B94"/>
    <w:rsid w:val="007A0BBC"/>
    <w:rsid w:val="007A0BEC"/>
    <w:rsid w:val="007A0C11"/>
    <w:rsid w:val="007A0C20"/>
    <w:rsid w:val="007A0C35"/>
    <w:rsid w:val="007A0C52"/>
    <w:rsid w:val="007A0CBE"/>
    <w:rsid w:val="007A0CD0"/>
    <w:rsid w:val="007A0D3B"/>
    <w:rsid w:val="007A0D74"/>
    <w:rsid w:val="007A0D8C"/>
    <w:rsid w:val="007A0DA4"/>
    <w:rsid w:val="007A0E36"/>
    <w:rsid w:val="007A0E7C"/>
    <w:rsid w:val="007A0EAA"/>
    <w:rsid w:val="007A0EAD"/>
    <w:rsid w:val="007A0EE3"/>
    <w:rsid w:val="007A0EFB"/>
    <w:rsid w:val="007A0F66"/>
    <w:rsid w:val="007A0F9C"/>
    <w:rsid w:val="007A1008"/>
    <w:rsid w:val="007A106C"/>
    <w:rsid w:val="007A1076"/>
    <w:rsid w:val="007A1078"/>
    <w:rsid w:val="007A10AC"/>
    <w:rsid w:val="007A10B9"/>
    <w:rsid w:val="007A10BE"/>
    <w:rsid w:val="007A10F2"/>
    <w:rsid w:val="007A1163"/>
    <w:rsid w:val="007A1176"/>
    <w:rsid w:val="007A117D"/>
    <w:rsid w:val="007A118F"/>
    <w:rsid w:val="007A1193"/>
    <w:rsid w:val="007A11B6"/>
    <w:rsid w:val="007A11EE"/>
    <w:rsid w:val="007A1212"/>
    <w:rsid w:val="007A122B"/>
    <w:rsid w:val="007A125F"/>
    <w:rsid w:val="007A1293"/>
    <w:rsid w:val="007A12A3"/>
    <w:rsid w:val="007A12B5"/>
    <w:rsid w:val="007A12C7"/>
    <w:rsid w:val="007A12E8"/>
    <w:rsid w:val="007A1330"/>
    <w:rsid w:val="007A1340"/>
    <w:rsid w:val="007A1380"/>
    <w:rsid w:val="007A13BC"/>
    <w:rsid w:val="007A142C"/>
    <w:rsid w:val="007A1451"/>
    <w:rsid w:val="007A1454"/>
    <w:rsid w:val="007A1458"/>
    <w:rsid w:val="007A145A"/>
    <w:rsid w:val="007A148E"/>
    <w:rsid w:val="007A151D"/>
    <w:rsid w:val="007A1552"/>
    <w:rsid w:val="007A1571"/>
    <w:rsid w:val="007A1613"/>
    <w:rsid w:val="007A1636"/>
    <w:rsid w:val="007A167E"/>
    <w:rsid w:val="007A1689"/>
    <w:rsid w:val="007A16A0"/>
    <w:rsid w:val="007A16E0"/>
    <w:rsid w:val="007A172A"/>
    <w:rsid w:val="007A1749"/>
    <w:rsid w:val="007A1762"/>
    <w:rsid w:val="007A177B"/>
    <w:rsid w:val="007A177C"/>
    <w:rsid w:val="007A17BD"/>
    <w:rsid w:val="007A17C9"/>
    <w:rsid w:val="007A1803"/>
    <w:rsid w:val="007A183A"/>
    <w:rsid w:val="007A186B"/>
    <w:rsid w:val="007A188F"/>
    <w:rsid w:val="007A18B7"/>
    <w:rsid w:val="007A18BF"/>
    <w:rsid w:val="007A192F"/>
    <w:rsid w:val="007A1952"/>
    <w:rsid w:val="007A198D"/>
    <w:rsid w:val="007A1A01"/>
    <w:rsid w:val="007A1A2A"/>
    <w:rsid w:val="007A1A33"/>
    <w:rsid w:val="007A1A5D"/>
    <w:rsid w:val="007A1A60"/>
    <w:rsid w:val="007A1A7F"/>
    <w:rsid w:val="007A1AB7"/>
    <w:rsid w:val="007A1AF5"/>
    <w:rsid w:val="007A1B79"/>
    <w:rsid w:val="007A1B88"/>
    <w:rsid w:val="007A1BC3"/>
    <w:rsid w:val="007A1C95"/>
    <w:rsid w:val="007A1CDC"/>
    <w:rsid w:val="007A1CFB"/>
    <w:rsid w:val="007A1D03"/>
    <w:rsid w:val="007A1D17"/>
    <w:rsid w:val="007A1D66"/>
    <w:rsid w:val="007A1D67"/>
    <w:rsid w:val="007A1DA7"/>
    <w:rsid w:val="007A1DF0"/>
    <w:rsid w:val="007A1E22"/>
    <w:rsid w:val="007A1E24"/>
    <w:rsid w:val="007A1E40"/>
    <w:rsid w:val="007A1E43"/>
    <w:rsid w:val="007A1E4A"/>
    <w:rsid w:val="007A1E4C"/>
    <w:rsid w:val="007A1E97"/>
    <w:rsid w:val="007A1EC0"/>
    <w:rsid w:val="007A1EF3"/>
    <w:rsid w:val="007A1F10"/>
    <w:rsid w:val="007A1F2B"/>
    <w:rsid w:val="007A1F5A"/>
    <w:rsid w:val="007A1F68"/>
    <w:rsid w:val="007A1F84"/>
    <w:rsid w:val="007A1F85"/>
    <w:rsid w:val="007A1F95"/>
    <w:rsid w:val="007A1FC3"/>
    <w:rsid w:val="007A203E"/>
    <w:rsid w:val="007A205D"/>
    <w:rsid w:val="007A20DA"/>
    <w:rsid w:val="007A2132"/>
    <w:rsid w:val="007A2135"/>
    <w:rsid w:val="007A213A"/>
    <w:rsid w:val="007A2144"/>
    <w:rsid w:val="007A217F"/>
    <w:rsid w:val="007A21DC"/>
    <w:rsid w:val="007A2203"/>
    <w:rsid w:val="007A2250"/>
    <w:rsid w:val="007A226E"/>
    <w:rsid w:val="007A2361"/>
    <w:rsid w:val="007A2374"/>
    <w:rsid w:val="007A2380"/>
    <w:rsid w:val="007A2388"/>
    <w:rsid w:val="007A23AE"/>
    <w:rsid w:val="007A2427"/>
    <w:rsid w:val="007A2494"/>
    <w:rsid w:val="007A24A7"/>
    <w:rsid w:val="007A24D4"/>
    <w:rsid w:val="007A2526"/>
    <w:rsid w:val="007A252C"/>
    <w:rsid w:val="007A2532"/>
    <w:rsid w:val="007A2564"/>
    <w:rsid w:val="007A25D6"/>
    <w:rsid w:val="007A2619"/>
    <w:rsid w:val="007A263F"/>
    <w:rsid w:val="007A266D"/>
    <w:rsid w:val="007A269F"/>
    <w:rsid w:val="007A26A4"/>
    <w:rsid w:val="007A26D4"/>
    <w:rsid w:val="007A26F4"/>
    <w:rsid w:val="007A2771"/>
    <w:rsid w:val="007A27D4"/>
    <w:rsid w:val="007A27D6"/>
    <w:rsid w:val="007A282C"/>
    <w:rsid w:val="007A2834"/>
    <w:rsid w:val="007A2844"/>
    <w:rsid w:val="007A2848"/>
    <w:rsid w:val="007A2853"/>
    <w:rsid w:val="007A2888"/>
    <w:rsid w:val="007A28B5"/>
    <w:rsid w:val="007A28F5"/>
    <w:rsid w:val="007A28FF"/>
    <w:rsid w:val="007A2922"/>
    <w:rsid w:val="007A2982"/>
    <w:rsid w:val="007A2994"/>
    <w:rsid w:val="007A29A0"/>
    <w:rsid w:val="007A2A43"/>
    <w:rsid w:val="007A2ACF"/>
    <w:rsid w:val="007A2AD5"/>
    <w:rsid w:val="007A2AD9"/>
    <w:rsid w:val="007A2AE9"/>
    <w:rsid w:val="007A2AF0"/>
    <w:rsid w:val="007A2B39"/>
    <w:rsid w:val="007A2B6A"/>
    <w:rsid w:val="007A2BA2"/>
    <w:rsid w:val="007A2BB4"/>
    <w:rsid w:val="007A2C09"/>
    <w:rsid w:val="007A2C0D"/>
    <w:rsid w:val="007A2C19"/>
    <w:rsid w:val="007A2CA5"/>
    <w:rsid w:val="007A2D10"/>
    <w:rsid w:val="007A2D23"/>
    <w:rsid w:val="007A2D90"/>
    <w:rsid w:val="007A2D97"/>
    <w:rsid w:val="007A2DCD"/>
    <w:rsid w:val="007A2DEE"/>
    <w:rsid w:val="007A2DFC"/>
    <w:rsid w:val="007A2E0F"/>
    <w:rsid w:val="007A2E69"/>
    <w:rsid w:val="007A2EB9"/>
    <w:rsid w:val="007A2EC5"/>
    <w:rsid w:val="007A2ED3"/>
    <w:rsid w:val="007A2ED5"/>
    <w:rsid w:val="007A2ED8"/>
    <w:rsid w:val="007A2EE5"/>
    <w:rsid w:val="007A2F09"/>
    <w:rsid w:val="007A2F4C"/>
    <w:rsid w:val="007A2F59"/>
    <w:rsid w:val="007A2F5E"/>
    <w:rsid w:val="007A2FDB"/>
    <w:rsid w:val="007A2FE8"/>
    <w:rsid w:val="007A3013"/>
    <w:rsid w:val="007A303B"/>
    <w:rsid w:val="007A3078"/>
    <w:rsid w:val="007A3086"/>
    <w:rsid w:val="007A3097"/>
    <w:rsid w:val="007A30BE"/>
    <w:rsid w:val="007A30D7"/>
    <w:rsid w:val="007A313B"/>
    <w:rsid w:val="007A3140"/>
    <w:rsid w:val="007A31C8"/>
    <w:rsid w:val="007A3236"/>
    <w:rsid w:val="007A3237"/>
    <w:rsid w:val="007A3250"/>
    <w:rsid w:val="007A3281"/>
    <w:rsid w:val="007A3286"/>
    <w:rsid w:val="007A32BC"/>
    <w:rsid w:val="007A32C3"/>
    <w:rsid w:val="007A3346"/>
    <w:rsid w:val="007A3362"/>
    <w:rsid w:val="007A3368"/>
    <w:rsid w:val="007A3394"/>
    <w:rsid w:val="007A340F"/>
    <w:rsid w:val="007A3414"/>
    <w:rsid w:val="007A342A"/>
    <w:rsid w:val="007A343B"/>
    <w:rsid w:val="007A3481"/>
    <w:rsid w:val="007A34A2"/>
    <w:rsid w:val="007A34E4"/>
    <w:rsid w:val="007A350B"/>
    <w:rsid w:val="007A350E"/>
    <w:rsid w:val="007A3545"/>
    <w:rsid w:val="007A354A"/>
    <w:rsid w:val="007A357A"/>
    <w:rsid w:val="007A359E"/>
    <w:rsid w:val="007A35AA"/>
    <w:rsid w:val="007A35AD"/>
    <w:rsid w:val="007A35BA"/>
    <w:rsid w:val="007A3637"/>
    <w:rsid w:val="007A3656"/>
    <w:rsid w:val="007A3666"/>
    <w:rsid w:val="007A367C"/>
    <w:rsid w:val="007A36C1"/>
    <w:rsid w:val="007A36D8"/>
    <w:rsid w:val="007A372D"/>
    <w:rsid w:val="007A3731"/>
    <w:rsid w:val="007A3748"/>
    <w:rsid w:val="007A37AA"/>
    <w:rsid w:val="007A37B4"/>
    <w:rsid w:val="007A37CD"/>
    <w:rsid w:val="007A37E4"/>
    <w:rsid w:val="007A37FE"/>
    <w:rsid w:val="007A3828"/>
    <w:rsid w:val="007A382D"/>
    <w:rsid w:val="007A3846"/>
    <w:rsid w:val="007A3849"/>
    <w:rsid w:val="007A3867"/>
    <w:rsid w:val="007A387F"/>
    <w:rsid w:val="007A38AB"/>
    <w:rsid w:val="007A38B1"/>
    <w:rsid w:val="007A3932"/>
    <w:rsid w:val="007A397B"/>
    <w:rsid w:val="007A39CD"/>
    <w:rsid w:val="007A39EE"/>
    <w:rsid w:val="007A39F8"/>
    <w:rsid w:val="007A39F9"/>
    <w:rsid w:val="007A3A17"/>
    <w:rsid w:val="007A3A3C"/>
    <w:rsid w:val="007A3A76"/>
    <w:rsid w:val="007A3AA9"/>
    <w:rsid w:val="007A3AFC"/>
    <w:rsid w:val="007A3B07"/>
    <w:rsid w:val="007A3B0D"/>
    <w:rsid w:val="007A3B2A"/>
    <w:rsid w:val="007A3B36"/>
    <w:rsid w:val="007A3B42"/>
    <w:rsid w:val="007A3B59"/>
    <w:rsid w:val="007A3B8B"/>
    <w:rsid w:val="007A3B93"/>
    <w:rsid w:val="007A3BC1"/>
    <w:rsid w:val="007A3BD7"/>
    <w:rsid w:val="007A3C1D"/>
    <w:rsid w:val="007A3C41"/>
    <w:rsid w:val="007A3C86"/>
    <w:rsid w:val="007A3C8A"/>
    <w:rsid w:val="007A3CA7"/>
    <w:rsid w:val="007A3CBE"/>
    <w:rsid w:val="007A3CF2"/>
    <w:rsid w:val="007A3D04"/>
    <w:rsid w:val="007A3D0D"/>
    <w:rsid w:val="007A3D19"/>
    <w:rsid w:val="007A3D2B"/>
    <w:rsid w:val="007A3D36"/>
    <w:rsid w:val="007A3D6B"/>
    <w:rsid w:val="007A3D8C"/>
    <w:rsid w:val="007A3DA2"/>
    <w:rsid w:val="007A3DA4"/>
    <w:rsid w:val="007A3DBE"/>
    <w:rsid w:val="007A3DC0"/>
    <w:rsid w:val="007A3DC7"/>
    <w:rsid w:val="007A3DEA"/>
    <w:rsid w:val="007A3DF3"/>
    <w:rsid w:val="007A3E0C"/>
    <w:rsid w:val="007A3E0D"/>
    <w:rsid w:val="007A3E23"/>
    <w:rsid w:val="007A3E71"/>
    <w:rsid w:val="007A3E72"/>
    <w:rsid w:val="007A3EA8"/>
    <w:rsid w:val="007A3EDA"/>
    <w:rsid w:val="007A3EDF"/>
    <w:rsid w:val="007A3F56"/>
    <w:rsid w:val="007A3F9B"/>
    <w:rsid w:val="007A4009"/>
    <w:rsid w:val="007A400D"/>
    <w:rsid w:val="007A401A"/>
    <w:rsid w:val="007A4030"/>
    <w:rsid w:val="007A4037"/>
    <w:rsid w:val="007A4040"/>
    <w:rsid w:val="007A409D"/>
    <w:rsid w:val="007A40D4"/>
    <w:rsid w:val="007A40E7"/>
    <w:rsid w:val="007A411F"/>
    <w:rsid w:val="007A4135"/>
    <w:rsid w:val="007A4168"/>
    <w:rsid w:val="007A41BD"/>
    <w:rsid w:val="007A4212"/>
    <w:rsid w:val="007A426E"/>
    <w:rsid w:val="007A42C2"/>
    <w:rsid w:val="007A42EF"/>
    <w:rsid w:val="007A4310"/>
    <w:rsid w:val="007A4323"/>
    <w:rsid w:val="007A43AD"/>
    <w:rsid w:val="007A43CA"/>
    <w:rsid w:val="007A43D1"/>
    <w:rsid w:val="007A43D6"/>
    <w:rsid w:val="007A43F2"/>
    <w:rsid w:val="007A4430"/>
    <w:rsid w:val="007A4436"/>
    <w:rsid w:val="007A446C"/>
    <w:rsid w:val="007A4496"/>
    <w:rsid w:val="007A44A8"/>
    <w:rsid w:val="007A44B2"/>
    <w:rsid w:val="007A456C"/>
    <w:rsid w:val="007A4587"/>
    <w:rsid w:val="007A4590"/>
    <w:rsid w:val="007A45B6"/>
    <w:rsid w:val="007A4602"/>
    <w:rsid w:val="007A4643"/>
    <w:rsid w:val="007A46B5"/>
    <w:rsid w:val="007A46D3"/>
    <w:rsid w:val="007A471F"/>
    <w:rsid w:val="007A478E"/>
    <w:rsid w:val="007A47B8"/>
    <w:rsid w:val="007A47C2"/>
    <w:rsid w:val="007A47C9"/>
    <w:rsid w:val="007A47E3"/>
    <w:rsid w:val="007A4805"/>
    <w:rsid w:val="007A4817"/>
    <w:rsid w:val="007A481F"/>
    <w:rsid w:val="007A4847"/>
    <w:rsid w:val="007A485A"/>
    <w:rsid w:val="007A486D"/>
    <w:rsid w:val="007A4876"/>
    <w:rsid w:val="007A48A3"/>
    <w:rsid w:val="007A48AF"/>
    <w:rsid w:val="007A48EF"/>
    <w:rsid w:val="007A493E"/>
    <w:rsid w:val="007A4942"/>
    <w:rsid w:val="007A4950"/>
    <w:rsid w:val="007A496D"/>
    <w:rsid w:val="007A4973"/>
    <w:rsid w:val="007A49CE"/>
    <w:rsid w:val="007A49F9"/>
    <w:rsid w:val="007A4A4F"/>
    <w:rsid w:val="007A4A63"/>
    <w:rsid w:val="007A4A6D"/>
    <w:rsid w:val="007A4AED"/>
    <w:rsid w:val="007A4AF3"/>
    <w:rsid w:val="007A4AFE"/>
    <w:rsid w:val="007A4B04"/>
    <w:rsid w:val="007A4B1C"/>
    <w:rsid w:val="007A4B3B"/>
    <w:rsid w:val="007A4B51"/>
    <w:rsid w:val="007A4B64"/>
    <w:rsid w:val="007A4BAB"/>
    <w:rsid w:val="007A4BB4"/>
    <w:rsid w:val="007A4C40"/>
    <w:rsid w:val="007A4C7B"/>
    <w:rsid w:val="007A4CB0"/>
    <w:rsid w:val="007A4CE6"/>
    <w:rsid w:val="007A4D35"/>
    <w:rsid w:val="007A4D54"/>
    <w:rsid w:val="007A4DD6"/>
    <w:rsid w:val="007A4E0F"/>
    <w:rsid w:val="007A4E37"/>
    <w:rsid w:val="007A4EB0"/>
    <w:rsid w:val="007A4ECE"/>
    <w:rsid w:val="007A4F0A"/>
    <w:rsid w:val="007A4F43"/>
    <w:rsid w:val="007A4F5A"/>
    <w:rsid w:val="007A4FCC"/>
    <w:rsid w:val="007A504F"/>
    <w:rsid w:val="007A5070"/>
    <w:rsid w:val="007A507A"/>
    <w:rsid w:val="007A5095"/>
    <w:rsid w:val="007A50C4"/>
    <w:rsid w:val="007A5120"/>
    <w:rsid w:val="007A5127"/>
    <w:rsid w:val="007A5136"/>
    <w:rsid w:val="007A5164"/>
    <w:rsid w:val="007A51AB"/>
    <w:rsid w:val="007A5238"/>
    <w:rsid w:val="007A52D0"/>
    <w:rsid w:val="007A52FF"/>
    <w:rsid w:val="007A5312"/>
    <w:rsid w:val="007A53B9"/>
    <w:rsid w:val="007A541C"/>
    <w:rsid w:val="007A5442"/>
    <w:rsid w:val="007A544B"/>
    <w:rsid w:val="007A5453"/>
    <w:rsid w:val="007A5457"/>
    <w:rsid w:val="007A5460"/>
    <w:rsid w:val="007A5486"/>
    <w:rsid w:val="007A5487"/>
    <w:rsid w:val="007A54C8"/>
    <w:rsid w:val="007A5523"/>
    <w:rsid w:val="007A5561"/>
    <w:rsid w:val="007A557D"/>
    <w:rsid w:val="007A5598"/>
    <w:rsid w:val="007A55D6"/>
    <w:rsid w:val="007A55F8"/>
    <w:rsid w:val="007A5601"/>
    <w:rsid w:val="007A5612"/>
    <w:rsid w:val="007A56B9"/>
    <w:rsid w:val="007A56F3"/>
    <w:rsid w:val="007A56F6"/>
    <w:rsid w:val="007A56F9"/>
    <w:rsid w:val="007A5716"/>
    <w:rsid w:val="007A5740"/>
    <w:rsid w:val="007A5747"/>
    <w:rsid w:val="007A5775"/>
    <w:rsid w:val="007A579D"/>
    <w:rsid w:val="007A5818"/>
    <w:rsid w:val="007A582D"/>
    <w:rsid w:val="007A5838"/>
    <w:rsid w:val="007A5846"/>
    <w:rsid w:val="007A5859"/>
    <w:rsid w:val="007A586E"/>
    <w:rsid w:val="007A58B7"/>
    <w:rsid w:val="007A58CF"/>
    <w:rsid w:val="007A58F6"/>
    <w:rsid w:val="007A591A"/>
    <w:rsid w:val="007A5927"/>
    <w:rsid w:val="007A5939"/>
    <w:rsid w:val="007A5982"/>
    <w:rsid w:val="007A59BA"/>
    <w:rsid w:val="007A59BE"/>
    <w:rsid w:val="007A59C0"/>
    <w:rsid w:val="007A59E3"/>
    <w:rsid w:val="007A59EF"/>
    <w:rsid w:val="007A59FE"/>
    <w:rsid w:val="007A5A2E"/>
    <w:rsid w:val="007A5A31"/>
    <w:rsid w:val="007A5A37"/>
    <w:rsid w:val="007A5A5B"/>
    <w:rsid w:val="007A5A67"/>
    <w:rsid w:val="007A5A76"/>
    <w:rsid w:val="007A5AA3"/>
    <w:rsid w:val="007A5AE6"/>
    <w:rsid w:val="007A5B21"/>
    <w:rsid w:val="007A5B34"/>
    <w:rsid w:val="007A5B5B"/>
    <w:rsid w:val="007A5B61"/>
    <w:rsid w:val="007A5B83"/>
    <w:rsid w:val="007A5B87"/>
    <w:rsid w:val="007A5B99"/>
    <w:rsid w:val="007A5BC3"/>
    <w:rsid w:val="007A5BC4"/>
    <w:rsid w:val="007A5BFB"/>
    <w:rsid w:val="007A5C28"/>
    <w:rsid w:val="007A5C2A"/>
    <w:rsid w:val="007A5C7A"/>
    <w:rsid w:val="007A5C85"/>
    <w:rsid w:val="007A5CEC"/>
    <w:rsid w:val="007A5CF7"/>
    <w:rsid w:val="007A5D4E"/>
    <w:rsid w:val="007A5D6F"/>
    <w:rsid w:val="007A5DA5"/>
    <w:rsid w:val="007A5DDA"/>
    <w:rsid w:val="007A5E46"/>
    <w:rsid w:val="007A5E47"/>
    <w:rsid w:val="007A5E4A"/>
    <w:rsid w:val="007A5EB2"/>
    <w:rsid w:val="007A5EEB"/>
    <w:rsid w:val="007A5EF3"/>
    <w:rsid w:val="007A5F3D"/>
    <w:rsid w:val="007A5F69"/>
    <w:rsid w:val="007A5F85"/>
    <w:rsid w:val="007A5F9E"/>
    <w:rsid w:val="007A5FB0"/>
    <w:rsid w:val="007A5FBC"/>
    <w:rsid w:val="007A5FCC"/>
    <w:rsid w:val="007A5FFF"/>
    <w:rsid w:val="007A6030"/>
    <w:rsid w:val="007A60A2"/>
    <w:rsid w:val="007A6130"/>
    <w:rsid w:val="007A6138"/>
    <w:rsid w:val="007A613C"/>
    <w:rsid w:val="007A6149"/>
    <w:rsid w:val="007A6155"/>
    <w:rsid w:val="007A6168"/>
    <w:rsid w:val="007A61A1"/>
    <w:rsid w:val="007A61F0"/>
    <w:rsid w:val="007A6223"/>
    <w:rsid w:val="007A6235"/>
    <w:rsid w:val="007A623B"/>
    <w:rsid w:val="007A627B"/>
    <w:rsid w:val="007A628D"/>
    <w:rsid w:val="007A6342"/>
    <w:rsid w:val="007A6362"/>
    <w:rsid w:val="007A6395"/>
    <w:rsid w:val="007A6396"/>
    <w:rsid w:val="007A6404"/>
    <w:rsid w:val="007A6438"/>
    <w:rsid w:val="007A646E"/>
    <w:rsid w:val="007A6470"/>
    <w:rsid w:val="007A6489"/>
    <w:rsid w:val="007A64B1"/>
    <w:rsid w:val="007A64C0"/>
    <w:rsid w:val="007A64C4"/>
    <w:rsid w:val="007A64D9"/>
    <w:rsid w:val="007A6539"/>
    <w:rsid w:val="007A6563"/>
    <w:rsid w:val="007A6580"/>
    <w:rsid w:val="007A65AD"/>
    <w:rsid w:val="007A65BB"/>
    <w:rsid w:val="007A661B"/>
    <w:rsid w:val="007A669B"/>
    <w:rsid w:val="007A66AE"/>
    <w:rsid w:val="007A6710"/>
    <w:rsid w:val="007A675C"/>
    <w:rsid w:val="007A6834"/>
    <w:rsid w:val="007A6848"/>
    <w:rsid w:val="007A689F"/>
    <w:rsid w:val="007A68B0"/>
    <w:rsid w:val="007A68BE"/>
    <w:rsid w:val="007A68EE"/>
    <w:rsid w:val="007A6929"/>
    <w:rsid w:val="007A6934"/>
    <w:rsid w:val="007A6938"/>
    <w:rsid w:val="007A6941"/>
    <w:rsid w:val="007A695F"/>
    <w:rsid w:val="007A6973"/>
    <w:rsid w:val="007A699A"/>
    <w:rsid w:val="007A69AA"/>
    <w:rsid w:val="007A69E8"/>
    <w:rsid w:val="007A6A1B"/>
    <w:rsid w:val="007A6A61"/>
    <w:rsid w:val="007A6A8E"/>
    <w:rsid w:val="007A6AC1"/>
    <w:rsid w:val="007A6ACF"/>
    <w:rsid w:val="007A6B06"/>
    <w:rsid w:val="007A6B1A"/>
    <w:rsid w:val="007A6B4E"/>
    <w:rsid w:val="007A6B69"/>
    <w:rsid w:val="007A6B9E"/>
    <w:rsid w:val="007A6BE6"/>
    <w:rsid w:val="007A6BF5"/>
    <w:rsid w:val="007A6BFD"/>
    <w:rsid w:val="007A6C01"/>
    <w:rsid w:val="007A6C47"/>
    <w:rsid w:val="007A6C5E"/>
    <w:rsid w:val="007A6C60"/>
    <w:rsid w:val="007A6C82"/>
    <w:rsid w:val="007A6CA9"/>
    <w:rsid w:val="007A6CC4"/>
    <w:rsid w:val="007A6CD9"/>
    <w:rsid w:val="007A6CEC"/>
    <w:rsid w:val="007A6CFB"/>
    <w:rsid w:val="007A6D25"/>
    <w:rsid w:val="007A6D31"/>
    <w:rsid w:val="007A6D75"/>
    <w:rsid w:val="007A6DC7"/>
    <w:rsid w:val="007A6E01"/>
    <w:rsid w:val="007A6E13"/>
    <w:rsid w:val="007A6E26"/>
    <w:rsid w:val="007A6E2F"/>
    <w:rsid w:val="007A6E96"/>
    <w:rsid w:val="007A6EB5"/>
    <w:rsid w:val="007A6EEF"/>
    <w:rsid w:val="007A6F4C"/>
    <w:rsid w:val="007A6F84"/>
    <w:rsid w:val="007A6F94"/>
    <w:rsid w:val="007A6FB1"/>
    <w:rsid w:val="007A6FB9"/>
    <w:rsid w:val="007A6FCF"/>
    <w:rsid w:val="007A7038"/>
    <w:rsid w:val="007A704C"/>
    <w:rsid w:val="007A70C7"/>
    <w:rsid w:val="007A70DC"/>
    <w:rsid w:val="007A7114"/>
    <w:rsid w:val="007A7177"/>
    <w:rsid w:val="007A7194"/>
    <w:rsid w:val="007A71BC"/>
    <w:rsid w:val="007A71E2"/>
    <w:rsid w:val="007A7209"/>
    <w:rsid w:val="007A7276"/>
    <w:rsid w:val="007A72A3"/>
    <w:rsid w:val="007A72C4"/>
    <w:rsid w:val="007A7338"/>
    <w:rsid w:val="007A7345"/>
    <w:rsid w:val="007A7379"/>
    <w:rsid w:val="007A7406"/>
    <w:rsid w:val="007A7411"/>
    <w:rsid w:val="007A7449"/>
    <w:rsid w:val="007A744B"/>
    <w:rsid w:val="007A7483"/>
    <w:rsid w:val="007A74A5"/>
    <w:rsid w:val="007A74E8"/>
    <w:rsid w:val="007A74F6"/>
    <w:rsid w:val="007A753B"/>
    <w:rsid w:val="007A75A9"/>
    <w:rsid w:val="007A75C0"/>
    <w:rsid w:val="007A75C4"/>
    <w:rsid w:val="007A75F3"/>
    <w:rsid w:val="007A7628"/>
    <w:rsid w:val="007A7636"/>
    <w:rsid w:val="007A76FA"/>
    <w:rsid w:val="007A770B"/>
    <w:rsid w:val="007A7710"/>
    <w:rsid w:val="007A7763"/>
    <w:rsid w:val="007A7788"/>
    <w:rsid w:val="007A77CF"/>
    <w:rsid w:val="007A77D3"/>
    <w:rsid w:val="007A77D5"/>
    <w:rsid w:val="007A77EC"/>
    <w:rsid w:val="007A77ED"/>
    <w:rsid w:val="007A77FC"/>
    <w:rsid w:val="007A7819"/>
    <w:rsid w:val="007A786E"/>
    <w:rsid w:val="007A78A8"/>
    <w:rsid w:val="007A78F0"/>
    <w:rsid w:val="007A794E"/>
    <w:rsid w:val="007A797E"/>
    <w:rsid w:val="007A79F3"/>
    <w:rsid w:val="007A7A0D"/>
    <w:rsid w:val="007A7A13"/>
    <w:rsid w:val="007A7A5F"/>
    <w:rsid w:val="007A7A8A"/>
    <w:rsid w:val="007A7ABF"/>
    <w:rsid w:val="007A7AD9"/>
    <w:rsid w:val="007A7B13"/>
    <w:rsid w:val="007A7B15"/>
    <w:rsid w:val="007A7B57"/>
    <w:rsid w:val="007A7BA5"/>
    <w:rsid w:val="007A7C02"/>
    <w:rsid w:val="007A7C2D"/>
    <w:rsid w:val="007A7C38"/>
    <w:rsid w:val="007A7C4C"/>
    <w:rsid w:val="007A7C54"/>
    <w:rsid w:val="007A7C5E"/>
    <w:rsid w:val="007A7C79"/>
    <w:rsid w:val="007A7CC2"/>
    <w:rsid w:val="007A7CEA"/>
    <w:rsid w:val="007A7D0B"/>
    <w:rsid w:val="007A7D18"/>
    <w:rsid w:val="007A7D21"/>
    <w:rsid w:val="007A7D33"/>
    <w:rsid w:val="007A7D46"/>
    <w:rsid w:val="007A7D6B"/>
    <w:rsid w:val="007A7D77"/>
    <w:rsid w:val="007A7D8A"/>
    <w:rsid w:val="007A7DAC"/>
    <w:rsid w:val="007A7DC8"/>
    <w:rsid w:val="007A7DE2"/>
    <w:rsid w:val="007A7DFE"/>
    <w:rsid w:val="007A7E03"/>
    <w:rsid w:val="007A7E28"/>
    <w:rsid w:val="007A7E52"/>
    <w:rsid w:val="007A7E79"/>
    <w:rsid w:val="007A7EE4"/>
    <w:rsid w:val="007A7EF3"/>
    <w:rsid w:val="007A7F2A"/>
    <w:rsid w:val="007A7F33"/>
    <w:rsid w:val="007A7F5B"/>
    <w:rsid w:val="007A7F82"/>
    <w:rsid w:val="007A7F8F"/>
    <w:rsid w:val="007A7FB2"/>
    <w:rsid w:val="007A7FBE"/>
    <w:rsid w:val="007A7FD7"/>
    <w:rsid w:val="007A7FED"/>
    <w:rsid w:val="007B0026"/>
    <w:rsid w:val="007B0049"/>
    <w:rsid w:val="007B0071"/>
    <w:rsid w:val="007B0091"/>
    <w:rsid w:val="007B00DE"/>
    <w:rsid w:val="007B00E4"/>
    <w:rsid w:val="007B0131"/>
    <w:rsid w:val="007B0137"/>
    <w:rsid w:val="007B0144"/>
    <w:rsid w:val="007B0161"/>
    <w:rsid w:val="007B01BB"/>
    <w:rsid w:val="007B0284"/>
    <w:rsid w:val="007B0287"/>
    <w:rsid w:val="007B02B9"/>
    <w:rsid w:val="007B0317"/>
    <w:rsid w:val="007B032C"/>
    <w:rsid w:val="007B0339"/>
    <w:rsid w:val="007B0371"/>
    <w:rsid w:val="007B0384"/>
    <w:rsid w:val="007B039D"/>
    <w:rsid w:val="007B03BA"/>
    <w:rsid w:val="007B0424"/>
    <w:rsid w:val="007B048D"/>
    <w:rsid w:val="007B049E"/>
    <w:rsid w:val="007B04CB"/>
    <w:rsid w:val="007B04DE"/>
    <w:rsid w:val="007B0507"/>
    <w:rsid w:val="007B0533"/>
    <w:rsid w:val="007B0559"/>
    <w:rsid w:val="007B05B2"/>
    <w:rsid w:val="007B05D6"/>
    <w:rsid w:val="007B05E5"/>
    <w:rsid w:val="007B0604"/>
    <w:rsid w:val="007B061A"/>
    <w:rsid w:val="007B068D"/>
    <w:rsid w:val="007B06A5"/>
    <w:rsid w:val="007B06DB"/>
    <w:rsid w:val="007B0711"/>
    <w:rsid w:val="007B0739"/>
    <w:rsid w:val="007B0787"/>
    <w:rsid w:val="007B079C"/>
    <w:rsid w:val="007B07C6"/>
    <w:rsid w:val="007B07EC"/>
    <w:rsid w:val="007B07F6"/>
    <w:rsid w:val="007B07F8"/>
    <w:rsid w:val="007B07FB"/>
    <w:rsid w:val="007B080B"/>
    <w:rsid w:val="007B0835"/>
    <w:rsid w:val="007B0860"/>
    <w:rsid w:val="007B0867"/>
    <w:rsid w:val="007B0877"/>
    <w:rsid w:val="007B0887"/>
    <w:rsid w:val="007B088A"/>
    <w:rsid w:val="007B08B8"/>
    <w:rsid w:val="007B08BF"/>
    <w:rsid w:val="007B08F5"/>
    <w:rsid w:val="007B093A"/>
    <w:rsid w:val="007B094B"/>
    <w:rsid w:val="007B0954"/>
    <w:rsid w:val="007B0987"/>
    <w:rsid w:val="007B09A9"/>
    <w:rsid w:val="007B09D5"/>
    <w:rsid w:val="007B0A16"/>
    <w:rsid w:val="007B0A47"/>
    <w:rsid w:val="007B0A4C"/>
    <w:rsid w:val="007B0A59"/>
    <w:rsid w:val="007B0A9F"/>
    <w:rsid w:val="007B0AEA"/>
    <w:rsid w:val="007B0B0A"/>
    <w:rsid w:val="007B0B27"/>
    <w:rsid w:val="007B0B60"/>
    <w:rsid w:val="007B0B69"/>
    <w:rsid w:val="007B0B93"/>
    <w:rsid w:val="007B0C05"/>
    <w:rsid w:val="007B0C7F"/>
    <w:rsid w:val="007B0C9C"/>
    <w:rsid w:val="007B0CE9"/>
    <w:rsid w:val="007B0CF6"/>
    <w:rsid w:val="007B0D42"/>
    <w:rsid w:val="007B0D78"/>
    <w:rsid w:val="007B0DE1"/>
    <w:rsid w:val="007B0DEE"/>
    <w:rsid w:val="007B0E0E"/>
    <w:rsid w:val="007B0E28"/>
    <w:rsid w:val="007B0E2D"/>
    <w:rsid w:val="007B0E31"/>
    <w:rsid w:val="007B0E84"/>
    <w:rsid w:val="007B0E97"/>
    <w:rsid w:val="007B0F40"/>
    <w:rsid w:val="007B0F50"/>
    <w:rsid w:val="007B0F71"/>
    <w:rsid w:val="007B0F8C"/>
    <w:rsid w:val="007B0FC2"/>
    <w:rsid w:val="007B0FD1"/>
    <w:rsid w:val="007B100F"/>
    <w:rsid w:val="007B102F"/>
    <w:rsid w:val="007B1031"/>
    <w:rsid w:val="007B1038"/>
    <w:rsid w:val="007B1059"/>
    <w:rsid w:val="007B1067"/>
    <w:rsid w:val="007B106F"/>
    <w:rsid w:val="007B10B4"/>
    <w:rsid w:val="007B1104"/>
    <w:rsid w:val="007B111B"/>
    <w:rsid w:val="007B1147"/>
    <w:rsid w:val="007B11A1"/>
    <w:rsid w:val="007B11A6"/>
    <w:rsid w:val="007B11D0"/>
    <w:rsid w:val="007B11EF"/>
    <w:rsid w:val="007B121D"/>
    <w:rsid w:val="007B1286"/>
    <w:rsid w:val="007B12AB"/>
    <w:rsid w:val="007B12BB"/>
    <w:rsid w:val="007B130F"/>
    <w:rsid w:val="007B131A"/>
    <w:rsid w:val="007B1324"/>
    <w:rsid w:val="007B135D"/>
    <w:rsid w:val="007B1379"/>
    <w:rsid w:val="007B13BE"/>
    <w:rsid w:val="007B1484"/>
    <w:rsid w:val="007B14AE"/>
    <w:rsid w:val="007B14BA"/>
    <w:rsid w:val="007B14D4"/>
    <w:rsid w:val="007B1541"/>
    <w:rsid w:val="007B155F"/>
    <w:rsid w:val="007B158B"/>
    <w:rsid w:val="007B15A9"/>
    <w:rsid w:val="007B15BF"/>
    <w:rsid w:val="007B15D3"/>
    <w:rsid w:val="007B15DB"/>
    <w:rsid w:val="007B1618"/>
    <w:rsid w:val="007B161D"/>
    <w:rsid w:val="007B1635"/>
    <w:rsid w:val="007B1650"/>
    <w:rsid w:val="007B165F"/>
    <w:rsid w:val="007B166F"/>
    <w:rsid w:val="007B167F"/>
    <w:rsid w:val="007B16FC"/>
    <w:rsid w:val="007B172A"/>
    <w:rsid w:val="007B1750"/>
    <w:rsid w:val="007B177F"/>
    <w:rsid w:val="007B1791"/>
    <w:rsid w:val="007B17BF"/>
    <w:rsid w:val="007B17C3"/>
    <w:rsid w:val="007B17E2"/>
    <w:rsid w:val="007B17F2"/>
    <w:rsid w:val="007B1859"/>
    <w:rsid w:val="007B187F"/>
    <w:rsid w:val="007B18B5"/>
    <w:rsid w:val="007B1924"/>
    <w:rsid w:val="007B192C"/>
    <w:rsid w:val="007B1936"/>
    <w:rsid w:val="007B1944"/>
    <w:rsid w:val="007B194A"/>
    <w:rsid w:val="007B1950"/>
    <w:rsid w:val="007B1951"/>
    <w:rsid w:val="007B195A"/>
    <w:rsid w:val="007B1985"/>
    <w:rsid w:val="007B19B1"/>
    <w:rsid w:val="007B19BB"/>
    <w:rsid w:val="007B19BF"/>
    <w:rsid w:val="007B1A51"/>
    <w:rsid w:val="007B1A73"/>
    <w:rsid w:val="007B1A85"/>
    <w:rsid w:val="007B1AEA"/>
    <w:rsid w:val="007B1B43"/>
    <w:rsid w:val="007B1B94"/>
    <w:rsid w:val="007B1BB6"/>
    <w:rsid w:val="007B1BF8"/>
    <w:rsid w:val="007B1C0D"/>
    <w:rsid w:val="007B1C14"/>
    <w:rsid w:val="007B1C32"/>
    <w:rsid w:val="007B1C33"/>
    <w:rsid w:val="007B1C43"/>
    <w:rsid w:val="007B1C4A"/>
    <w:rsid w:val="007B1C5A"/>
    <w:rsid w:val="007B1C61"/>
    <w:rsid w:val="007B1C6B"/>
    <w:rsid w:val="007B1C6F"/>
    <w:rsid w:val="007B1C94"/>
    <w:rsid w:val="007B1CB7"/>
    <w:rsid w:val="007B1CD2"/>
    <w:rsid w:val="007B1CDA"/>
    <w:rsid w:val="007B1D0D"/>
    <w:rsid w:val="007B1D5E"/>
    <w:rsid w:val="007B1D8B"/>
    <w:rsid w:val="007B1DAC"/>
    <w:rsid w:val="007B1DC2"/>
    <w:rsid w:val="007B1E10"/>
    <w:rsid w:val="007B1E16"/>
    <w:rsid w:val="007B1EB9"/>
    <w:rsid w:val="007B1ED0"/>
    <w:rsid w:val="007B1EF0"/>
    <w:rsid w:val="007B1EF3"/>
    <w:rsid w:val="007B1F20"/>
    <w:rsid w:val="007B1F36"/>
    <w:rsid w:val="007B1F42"/>
    <w:rsid w:val="007B1F50"/>
    <w:rsid w:val="007B1F5F"/>
    <w:rsid w:val="007B1FAE"/>
    <w:rsid w:val="007B1FD3"/>
    <w:rsid w:val="007B1FDD"/>
    <w:rsid w:val="007B1FE4"/>
    <w:rsid w:val="007B1FEB"/>
    <w:rsid w:val="007B1FF5"/>
    <w:rsid w:val="007B2064"/>
    <w:rsid w:val="007B2087"/>
    <w:rsid w:val="007B208D"/>
    <w:rsid w:val="007B2095"/>
    <w:rsid w:val="007B20A9"/>
    <w:rsid w:val="007B20C8"/>
    <w:rsid w:val="007B20D4"/>
    <w:rsid w:val="007B20DF"/>
    <w:rsid w:val="007B20EF"/>
    <w:rsid w:val="007B20F5"/>
    <w:rsid w:val="007B2101"/>
    <w:rsid w:val="007B2168"/>
    <w:rsid w:val="007B21B2"/>
    <w:rsid w:val="007B21FA"/>
    <w:rsid w:val="007B2203"/>
    <w:rsid w:val="007B2213"/>
    <w:rsid w:val="007B2233"/>
    <w:rsid w:val="007B223C"/>
    <w:rsid w:val="007B224F"/>
    <w:rsid w:val="007B2259"/>
    <w:rsid w:val="007B22C2"/>
    <w:rsid w:val="007B2321"/>
    <w:rsid w:val="007B2328"/>
    <w:rsid w:val="007B238A"/>
    <w:rsid w:val="007B2394"/>
    <w:rsid w:val="007B23EE"/>
    <w:rsid w:val="007B23FC"/>
    <w:rsid w:val="007B2421"/>
    <w:rsid w:val="007B2423"/>
    <w:rsid w:val="007B2474"/>
    <w:rsid w:val="007B24BC"/>
    <w:rsid w:val="007B24CB"/>
    <w:rsid w:val="007B24D3"/>
    <w:rsid w:val="007B2519"/>
    <w:rsid w:val="007B253C"/>
    <w:rsid w:val="007B2544"/>
    <w:rsid w:val="007B2563"/>
    <w:rsid w:val="007B256B"/>
    <w:rsid w:val="007B262B"/>
    <w:rsid w:val="007B263F"/>
    <w:rsid w:val="007B2662"/>
    <w:rsid w:val="007B2680"/>
    <w:rsid w:val="007B26D1"/>
    <w:rsid w:val="007B26D5"/>
    <w:rsid w:val="007B26E7"/>
    <w:rsid w:val="007B26F3"/>
    <w:rsid w:val="007B26FB"/>
    <w:rsid w:val="007B2751"/>
    <w:rsid w:val="007B275C"/>
    <w:rsid w:val="007B2779"/>
    <w:rsid w:val="007B2790"/>
    <w:rsid w:val="007B2880"/>
    <w:rsid w:val="007B288C"/>
    <w:rsid w:val="007B289E"/>
    <w:rsid w:val="007B28C8"/>
    <w:rsid w:val="007B28F3"/>
    <w:rsid w:val="007B2902"/>
    <w:rsid w:val="007B292B"/>
    <w:rsid w:val="007B293B"/>
    <w:rsid w:val="007B294C"/>
    <w:rsid w:val="007B2956"/>
    <w:rsid w:val="007B2957"/>
    <w:rsid w:val="007B2962"/>
    <w:rsid w:val="007B298B"/>
    <w:rsid w:val="007B299F"/>
    <w:rsid w:val="007B29A7"/>
    <w:rsid w:val="007B29D2"/>
    <w:rsid w:val="007B29E0"/>
    <w:rsid w:val="007B29F9"/>
    <w:rsid w:val="007B2A32"/>
    <w:rsid w:val="007B2A88"/>
    <w:rsid w:val="007B2A93"/>
    <w:rsid w:val="007B2ADF"/>
    <w:rsid w:val="007B2AE4"/>
    <w:rsid w:val="007B2AEE"/>
    <w:rsid w:val="007B2B1B"/>
    <w:rsid w:val="007B2B50"/>
    <w:rsid w:val="007B2C27"/>
    <w:rsid w:val="007B2CAE"/>
    <w:rsid w:val="007B2CB2"/>
    <w:rsid w:val="007B2CF3"/>
    <w:rsid w:val="007B2D2A"/>
    <w:rsid w:val="007B2D9E"/>
    <w:rsid w:val="007B2EAE"/>
    <w:rsid w:val="007B2EC9"/>
    <w:rsid w:val="007B2EDF"/>
    <w:rsid w:val="007B2EFB"/>
    <w:rsid w:val="007B2F1B"/>
    <w:rsid w:val="007B2FA1"/>
    <w:rsid w:val="007B2FA8"/>
    <w:rsid w:val="007B2FC1"/>
    <w:rsid w:val="007B3037"/>
    <w:rsid w:val="007B3038"/>
    <w:rsid w:val="007B308C"/>
    <w:rsid w:val="007B308D"/>
    <w:rsid w:val="007B30A9"/>
    <w:rsid w:val="007B30D6"/>
    <w:rsid w:val="007B30E3"/>
    <w:rsid w:val="007B3127"/>
    <w:rsid w:val="007B3154"/>
    <w:rsid w:val="007B3157"/>
    <w:rsid w:val="007B3159"/>
    <w:rsid w:val="007B3166"/>
    <w:rsid w:val="007B3177"/>
    <w:rsid w:val="007B31CB"/>
    <w:rsid w:val="007B322E"/>
    <w:rsid w:val="007B3234"/>
    <w:rsid w:val="007B324D"/>
    <w:rsid w:val="007B325D"/>
    <w:rsid w:val="007B3262"/>
    <w:rsid w:val="007B3265"/>
    <w:rsid w:val="007B3279"/>
    <w:rsid w:val="007B329B"/>
    <w:rsid w:val="007B32CE"/>
    <w:rsid w:val="007B3318"/>
    <w:rsid w:val="007B3358"/>
    <w:rsid w:val="007B335D"/>
    <w:rsid w:val="007B3370"/>
    <w:rsid w:val="007B339D"/>
    <w:rsid w:val="007B33CA"/>
    <w:rsid w:val="007B33DC"/>
    <w:rsid w:val="007B33E8"/>
    <w:rsid w:val="007B33FB"/>
    <w:rsid w:val="007B3406"/>
    <w:rsid w:val="007B34CA"/>
    <w:rsid w:val="007B34CC"/>
    <w:rsid w:val="007B34CF"/>
    <w:rsid w:val="007B34F6"/>
    <w:rsid w:val="007B34FF"/>
    <w:rsid w:val="007B354C"/>
    <w:rsid w:val="007B354D"/>
    <w:rsid w:val="007B3555"/>
    <w:rsid w:val="007B355D"/>
    <w:rsid w:val="007B3562"/>
    <w:rsid w:val="007B3581"/>
    <w:rsid w:val="007B35B0"/>
    <w:rsid w:val="007B35CF"/>
    <w:rsid w:val="007B35D0"/>
    <w:rsid w:val="007B35D2"/>
    <w:rsid w:val="007B35FF"/>
    <w:rsid w:val="007B3601"/>
    <w:rsid w:val="007B360A"/>
    <w:rsid w:val="007B3627"/>
    <w:rsid w:val="007B365F"/>
    <w:rsid w:val="007B3667"/>
    <w:rsid w:val="007B3687"/>
    <w:rsid w:val="007B368D"/>
    <w:rsid w:val="007B36E5"/>
    <w:rsid w:val="007B3701"/>
    <w:rsid w:val="007B3724"/>
    <w:rsid w:val="007B373C"/>
    <w:rsid w:val="007B374F"/>
    <w:rsid w:val="007B37D3"/>
    <w:rsid w:val="007B37DA"/>
    <w:rsid w:val="007B37F8"/>
    <w:rsid w:val="007B380B"/>
    <w:rsid w:val="007B380C"/>
    <w:rsid w:val="007B3815"/>
    <w:rsid w:val="007B382B"/>
    <w:rsid w:val="007B384C"/>
    <w:rsid w:val="007B3853"/>
    <w:rsid w:val="007B385A"/>
    <w:rsid w:val="007B3861"/>
    <w:rsid w:val="007B3883"/>
    <w:rsid w:val="007B38CE"/>
    <w:rsid w:val="007B38E8"/>
    <w:rsid w:val="007B38EA"/>
    <w:rsid w:val="007B38EF"/>
    <w:rsid w:val="007B3929"/>
    <w:rsid w:val="007B392A"/>
    <w:rsid w:val="007B39B7"/>
    <w:rsid w:val="007B39F0"/>
    <w:rsid w:val="007B3A00"/>
    <w:rsid w:val="007B3A31"/>
    <w:rsid w:val="007B3A4F"/>
    <w:rsid w:val="007B3A61"/>
    <w:rsid w:val="007B3A91"/>
    <w:rsid w:val="007B3AC8"/>
    <w:rsid w:val="007B3B14"/>
    <w:rsid w:val="007B3B5A"/>
    <w:rsid w:val="007B3B8C"/>
    <w:rsid w:val="007B3BAA"/>
    <w:rsid w:val="007B3BBA"/>
    <w:rsid w:val="007B3BC6"/>
    <w:rsid w:val="007B3BD4"/>
    <w:rsid w:val="007B3BDF"/>
    <w:rsid w:val="007B3BFD"/>
    <w:rsid w:val="007B3BFE"/>
    <w:rsid w:val="007B3C11"/>
    <w:rsid w:val="007B3C1A"/>
    <w:rsid w:val="007B3C77"/>
    <w:rsid w:val="007B3CFE"/>
    <w:rsid w:val="007B3D3A"/>
    <w:rsid w:val="007B3D6C"/>
    <w:rsid w:val="007B3D85"/>
    <w:rsid w:val="007B3D8D"/>
    <w:rsid w:val="007B3D98"/>
    <w:rsid w:val="007B3DD2"/>
    <w:rsid w:val="007B3DE9"/>
    <w:rsid w:val="007B3DEA"/>
    <w:rsid w:val="007B3DF7"/>
    <w:rsid w:val="007B3DF8"/>
    <w:rsid w:val="007B3E0E"/>
    <w:rsid w:val="007B3E3E"/>
    <w:rsid w:val="007B3E4C"/>
    <w:rsid w:val="007B3E6E"/>
    <w:rsid w:val="007B3EA3"/>
    <w:rsid w:val="007B3ED1"/>
    <w:rsid w:val="007B3ED2"/>
    <w:rsid w:val="007B3ED8"/>
    <w:rsid w:val="007B3EEE"/>
    <w:rsid w:val="007B3EF0"/>
    <w:rsid w:val="007B3F1E"/>
    <w:rsid w:val="007B3F32"/>
    <w:rsid w:val="007B3F38"/>
    <w:rsid w:val="007B3F58"/>
    <w:rsid w:val="007B3F60"/>
    <w:rsid w:val="007B3F68"/>
    <w:rsid w:val="007B3F97"/>
    <w:rsid w:val="007B3FA1"/>
    <w:rsid w:val="007B4012"/>
    <w:rsid w:val="007B403C"/>
    <w:rsid w:val="007B404B"/>
    <w:rsid w:val="007B4077"/>
    <w:rsid w:val="007B407F"/>
    <w:rsid w:val="007B40B9"/>
    <w:rsid w:val="007B40CB"/>
    <w:rsid w:val="007B40FA"/>
    <w:rsid w:val="007B40FC"/>
    <w:rsid w:val="007B4106"/>
    <w:rsid w:val="007B4111"/>
    <w:rsid w:val="007B4114"/>
    <w:rsid w:val="007B4135"/>
    <w:rsid w:val="007B4165"/>
    <w:rsid w:val="007B4187"/>
    <w:rsid w:val="007B4193"/>
    <w:rsid w:val="007B41A2"/>
    <w:rsid w:val="007B41C5"/>
    <w:rsid w:val="007B41C9"/>
    <w:rsid w:val="007B41D4"/>
    <w:rsid w:val="007B4201"/>
    <w:rsid w:val="007B4214"/>
    <w:rsid w:val="007B4244"/>
    <w:rsid w:val="007B427E"/>
    <w:rsid w:val="007B4280"/>
    <w:rsid w:val="007B428A"/>
    <w:rsid w:val="007B42B2"/>
    <w:rsid w:val="007B42D0"/>
    <w:rsid w:val="007B42D4"/>
    <w:rsid w:val="007B433E"/>
    <w:rsid w:val="007B4371"/>
    <w:rsid w:val="007B438E"/>
    <w:rsid w:val="007B43BC"/>
    <w:rsid w:val="007B43DC"/>
    <w:rsid w:val="007B43E6"/>
    <w:rsid w:val="007B4433"/>
    <w:rsid w:val="007B4454"/>
    <w:rsid w:val="007B4462"/>
    <w:rsid w:val="007B4498"/>
    <w:rsid w:val="007B44C2"/>
    <w:rsid w:val="007B44C3"/>
    <w:rsid w:val="007B44F2"/>
    <w:rsid w:val="007B4530"/>
    <w:rsid w:val="007B455E"/>
    <w:rsid w:val="007B4564"/>
    <w:rsid w:val="007B45C9"/>
    <w:rsid w:val="007B4609"/>
    <w:rsid w:val="007B4624"/>
    <w:rsid w:val="007B467B"/>
    <w:rsid w:val="007B467D"/>
    <w:rsid w:val="007B4688"/>
    <w:rsid w:val="007B4729"/>
    <w:rsid w:val="007B473C"/>
    <w:rsid w:val="007B4776"/>
    <w:rsid w:val="007B478F"/>
    <w:rsid w:val="007B47AF"/>
    <w:rsid w:val="007B47C4"/>
    <w:rsid w:val="007B47D3"/>
    <w:rsid w:val="007B47DB"/>
    <w:rsid w:val="007B47E5"/>
    <w:rsid w:val="007B47E9"/>
    <w:rsid w:val="007B4806"/>
    <w:rsid w:val="007B4847"/>
    <w:rsid w:val="007B4850"/>
    <w:rsid w:val="007B4864"/>
    <w:rsid w:val="007B486D"/>
    <w:rsid w:val="007B4897"/>
    <w:rsid w:val="007B48A0"/>
    <w:rsid w:val="007B48B0"/>
    <w:rsid w:val="007B48BC"/>
    <w:rsid w:val="007B48E7"/>
    <w:rsid w:val="007B4902"/>
    <w:rsid w:val="007B490C"/>
    <w:rsid w:val="007B491C"/>
    <w:rsid w:val="007B4964"/>
    <w:rsid w:val="007B4999"/>
    <w:rsid w:val="007B499D"/>
    <w:rsid w:val="007B49A8"/>
    <w:rsid w:val="007B49C7"/>
    <w:rsid w:val="007B49E2"/>
    <w:rsid w:val="007B4A20"/>
    <w:rsid w:val="007B4A26"/>
    <w:rsid w:val="007B4B2E"/>
    <w:rsid w:val="007B4B4C"/>
    <w:rsid w:val="007B4B7B"/>
    <w:rsid w:val="007B4BA0"/>
    <w:rsid w:val="007B4BB9"/>
    <w:rsid w:val="007B4BDD"/>
    <w:rsid w:val="007B4BF4"/>
    <w:rsid w:val="007B4C29"/>
    <w:rsid w:val="007B4C3B"/>
    <w:rsid w:val="007B4CAC"/>
    <w:rsid w:val="007B4D37"/>
    <w:rsid w:val="007B4D66"/>
    <w:rsid w:val="007B4D71"/>
    <w:rsid w:val="007B4DBE"/>
    <w:rsid w:val="007B4DD7"/>
    <w:rsid w:val="007B4DF3"/>
    <w:rsid w:val="007B4E1F"/>
    <w:rsid w:val="007B4E23"/>
    <w:rsid w:val="007B4E63"/>
    <w:rsid w:val="007B4EC8"/>
    <w:rsid w:val="007B4ECF"/>
    <w:rsid w:val="007B4EF6"/>
    <w:rsid w:val="007B4F07"/>
    <w:rsid w:val="007B4FB5"/>
    <w:rsid w:val="007B4FB9"/>
    <w:rsid w:val="007B4FE9"/>
    <w:rsid w:val="007B4FFB"/>
    <w:rsid w:val="007B5072"/>
    <w:rsid w:val="007B5081"/>
    <w:rsid w:val="007B508D"/>
    <w:rsid w:val="007B50AB"/>
    <w:rsid w:val="007B50D7"/>
    <w:rsid w:val="007B50D8"/>
    <w:rsid w:val="007B50D9"/>
    <w:rsid w:val="007B50E2"/>
    <w:rsid w:val="007B5105"/>
    <w:rsid w:val="007B5112"/>
    <w:rsid w:val="007B5115"/>
    <w:rsid w:val="007B5145"/>
    <w:rsid w:val="007B5158"/>
    <w:rsid w:val="007B5159"/>
    <w:rsid w:val="007B5162"/>
    <w:rsid w:val="007B5173"/>
    <w:rsid w:val="007B5186"/>
    <w:rsid w:val="007B51CE"/>
    <w:rsid w:val="007B51DB"/>
    <w:rsid w:val="007B51E9"/>
    <w:rsid w:val="007B51F4"/>
    <w:rsid w:val="007B520E"/>
    <w:rsid w:val="007B5283"/>
    <w:rsid w:val="007B528A"/>
    <w:rsid w:val="007B52AA"/>
    <w:rsid w:val="007B52B8"/>
    <w:rsid w:val="007B52CC"/>
    <w:rsid w:val="007B5311"/>
    <w:rsid w:val="007B5366"/>
    <w:rsid w:val="007B5368"/>
    <w:rsid w:val="007B5386"/>
    <w:rsid w:val="007B539F"/>
    <w:rsid w:val="007B53A6"/>
    <w:rsid w:val="007B53B6"/>
    <w:rsid w:val="007B53BC"/>
    <w:rsid w:val="007B53D2"/>
    <w:rsid w:val="007B53F3"/>
    <w:rsid w:val="007B53F7"/>
    <w:rsid w:val="007B53FD"/>
    <w:rsid w:val="007B5459"/>
    <w:rsid w:val="007B5492"/>
    <w:rsid w:val="007B54A4"/>
    <w:rsid w:val="007B54C0"/>
    <w:rsid w:val="007B54D9"/>
    <w:rsid w:val="007B550F"/>
    <w:rsid w:val="007B5531"/>
    <w:rsid w:val="007B5551"/>
    <w:rsid w:val="007B5567"/>
    <w:rsid w:val="007B5578"/>
    <w:rsid w:val="007B557F"/>
    <w:rsid w:val="007B558D"/>
    <w:rsid w:val="007B5597"/>
    <w:rsid w:val="007B5599"/>
    <w:rsid w:val="007B55BE"/>
    <w:rsid w:val="007B55E5"/>
    <w:rsid w:val="007B5609"/>
    <w:rsid w:val="007B5628"/>
    <w:rsid w:val="007B566C"/>
    <w:rsid w:val="007B5671"/>
    <w:rsid w:val="007B56B3"/>
    <w:rsid w:val="007B56B4"/>
    <w:rsid w:val="007B56BB"/>
    <w:rsid w:val="007B56BC"/>
    <w:rsid w:val="007B571B"/>
    <w:rsid w:val="007B5720"/>
    <w:rsid w:val="007B5727"/>
    <w:rsid w:val="007B5731"/>
    <w:rsid w:val="007B5744"/>
    <w:rsid w:val="007B5779"/>
    <w:rsid w:val="007B57CA"/>
    <w:rsid w:val="007B57D5"/>
    <w:rsid w:val="007B5815"/>
    <w:rsid w:val="007B5822"/>
    <w:rsid w:val="007B5829"/>
    <w:rsid w:val="007B582B"/>
    <w:rsid w:val="007B5835"/>
    <w:rsid w:val="007B5840"/>
    <w:rsid w:val="007B5870"/>
    <w:rsid w:val="007B5899"/>
    <w:rsid w:val="007B58B5"/>
    <w:rsid w:val="007B58BF"/>
    <w:rsid w:val="007B58FF"/>
    <w:rsid w:val="007B5908"/>
    <w:rsid w:val="007B5938"/>
    <w:rsid w:val="007B595D"/>
    <w:rsid w:val="007B5966"/>
    <w:rsid w:val="007B5996"/>
    <w:rsid w:val="007B5998"/>
    <w:rsid w:val="007B59A2"/>
    <w:rsid w:val="007B5AB1"/>
    <w:rsid w:val="007B5B42"/>
    <w:rsid w:val="007B5B68"/>
    <w:rsid w:val="007B5BC3"/>
    <w:rsid w:val="007B5BD2"/>
    <w:rsid w:val="007B5BD6"/>
    <w:rsid w:val="007B5BE6"/>
    <w:rsid w:val="007B5C35"/>
    <w:rsid w:val="007B5C40"/>
    <w:rsid w:val="007B5C84"/>
    <w:rsid w:val="007B5CA7"/>
    <w:rsid w:val="007B5CBE"/>
    <w:rsid w:val="007B5D07"/>
    <w:rsid w:val="007B5D23"/>
    <w:rsid w:val="007B5D7B"/>
    <w:rsid w:val="007B5D82"/>
    <w:rsid w:val="007B5DD5"/>
    <w:rsid w:val="007B5DE5"/>
    <w:rsid w:val="007B5E32"/>
    <w:rsid w:val="007B5E33"/>
    <w:rsid w:val="007B5E36"/>
    <w:rsid w:val="007B5E77"/>
    <w:rsid w:val="007B5E7B"/>
    <w:rsid w:val="007B5EC8"/>
    <w:rsid w:val="007B5EDF"/>
    <w:rsid w:val="007B5F82"/>
    <w:rsid w:val="007B5F98"/>
    <w:rsid w:val="007B5FA2"/>
    <w:rsid w:val="007B5FAF"/>
    <w:rsid w:val="007B5FBC"/>
    <w:rsid w:val="007B5FBD"/>
    <w:rsid w:val="007B5FBF"/>
    <w:rsid w:val="007B6039"/>
    <w:rsid w:val="007B603B"/>
    <w:rsid w:val="007B6044"/>
    <w:rsid w:val="007B607D"/>
    <w:rsid w:val="007B6110"/>
    <w:rsid w:val="007B6112"/>
    <w:rsid w:val="007B6126"/>
    <w:rsid w:val="007B6129"/>
    <w:rsid w:val="007B61C7"/>
    <w:rsid w:val="007B61ED"/>
    <w:rsid w:val="007B620B"/>
    <w:rsid w:val="007B626B"/>
    <w:rsid w:val="007B6274"/>
    <w:rsid w:val="007B6276"/>
    <w:rsid w:val="007B62BC"/>
    <w:rsid w:val="007B62CD"/>
    <w:rsid w:val="007B62D2"/>
    <w:rsid w:val="007B62FC"/>
    <w:rsid w:val="007B6306"/>
    <w:rsid w:val="007B6310"/>
    <w:rsid w:val="007B6350"/>
    <w:rsid w:val="007B63F6"/>
    <w:rsid w:val="007B6416"/>
    <w:rsid w:val="007B642A"/>
    <w:rsid w:val="007B6487"/>
    <w:rsid w:val="007B6493"/>
    <w:rsid w:val="007B64BD"/>
    <w:rsid w:val="007B64C4"/>
    <w:rsid w:val="007B64E3"/>
    <w:rsid w:val="007B6504"/>
    <w:rsid w:val="007B6516"/>
    <w:rsid w:val="007B6527"/>
    <w:rsid w:val="007B657A"/>
    <w:rsid w:val="007B65B4"/>
    <w:rsid w:val="007B65E0"/>
    <w:rsid w:val="007B664C"/>
    <w:rsid w:val="007B6654"/>
    <w:rsid w:val="007B6670"/>
    <w:rsid w:val="007B6683"/>
    <w:rsid w:val="007B66C6"/>
    <w:rsid w:val="007B66E0"/>
    <w:rsid w:val="007B66E1"/>
    <w:rsid w:val="007B66E4"/>
    <w:rsid w:val="007B6746"/>
    <w:rsid w:val="007B6765"/>
    <w:rsid w:val="007B6786"/>
    <w:rsid w:val="007B679F"/>
    <w:rsid w:val="007B67DC"/>
    <w:rsid w:val="007B67E0"/>
    <w:rsid w:val="007B683A"/>
    <w:rsid w:val="007B6873"/>
    <w:rsid w:val="007B6878"/>
    <w:rsid w:val="007B688E"/>
    <w:rsid w:val="007B68A0"/>
    <w:rsid w:val="007B68AF"/>
    <w:rsid w:val="007B68BA"/>
    <w:rsid w:val="007B68EF"/>
    <w:rsid w:val="007B68FD"/>
    <w:rsid w:val="007B6957"/>
    <w:rsid w:val="007B6972"/>
    <w:rsid w:val="007B6981"/>
    <w:rsid w:val="007B69DD"/>
    <w:rsid w:val="007B69F8"/>
    <w:rsid w:val="007B6A02"/>
    <w:rsid w:val="007B6A27"/>
    <w:rsid w:val="007B6A4E"/>
    <w:rsid w:val="007B6A51"/>
    <w:rsid w:val="007B6A5C"/>
    <w:rsid w:val="007B6A62"/>
    <w:rsid w:val="007B6AA2"/>
    <w:rsid w:val="007B6AAF"/>
    <w:rsid w:val="007B6AB4"/>
    <w:rsid w:val="007B6AE1"/>
    <w:rsid w:val="007B6AFA"/>
    <w:rsid w:val="007B6B15"/>
    <w:rsid w:val="007B6B18"/>
    <w:rsid w:val="007B6B2B"/>
    <w:rsid w:val="007B6B84"/>
    <w:rsid w:val="007B6B8C"/>
    <w:rsid w:val="007B6B93"/>
    <w:rsid w:val="007B6BAC"/>
    <w:rsid w:val="007B6BC8"/>
    <w:rsid w:val="007B6BE3"/>
    <w:rsid w:val="007B6C3E"/>
    <w:rsid w:val="007B6C4D"/>
    <w:rsid w:val="007B6C5F"/>
    <w:rsid w:val="007B6C86"/>
    <w:rsid w:val="007B6CBF"/>
    <w:rsid w:val="007B6CC6"/>
    <w:rsid w:val="007B6CD6"/>
    <w:rsid w:val="007B6CED"/>
    <w:rsid w:val="007B6D5A"/>
    <w:rsid w:val="007B6D62"/>
    <w:rsid w:val="007B6D76"/>
    <w:rsid w:val="007B6D87"/>
    <w:rsid w:val="007B6DA1"/>
    <w:rsid w:val="007B6DAB"/>
    <w:rsid w:val="007B6DCC"/>
    <w:rsid w:val="007B6E04"/>
    <w:rsid w:val="007B6E42"/>
    <w:rsid w:val="007B6E45"/>
    <w:rsid w:val="007B6E7E"/>
    <w:rsid w:val="007B6E90"/>
    <w:rsid w:val="007B6EC1"/>
    <w:rsid w:val="007B6EC9"/>
    <w:rsid w:val="007B6EFD"/>
    <w:rsid w:val="007B6F38"/>
    <w:rsid w:val="007B6F54"/>
    <w:rsid w:val="007B6F5E"/>
    <w:rsid w:val="007B6F93"/>
    <w:rsid w:val="007B6FAC"/>
    <w:rsid w:val="007B6FD3"/>
    <w:rsid w:val="007B6FE8"/>
    <w:rsid w:val="007B6FF0"/>
    <w:rsid w:val="007B7002"/>
    <w:rsid w:val="007B701D"/>
    <w:rsid w:val="007B7041"/>
    <w:rsid w:val="007B708B"/>
    <w:rsid w:val="007B7097"/>
    <w:rsid w:val="007B70D1"/>
    <w:rsid w:val="007B70DB"/>
    <w:rsid w:val="007B7131"/>
    <w:rsid w:val="007B717D"/>
    <w:rsid w:val="007B7194"/>
    <w:rsid w:val="007B719B"/>
    <w:rsid w:val="007B71C1"/>
    <w:rsid w:val="007B71CA"/>
    <w:rsid w:val="007B71D2"/>
    <w:rsid w:val="007B71DE"/>
    <w:rsid w:val="007B7209"/>
    <w:rsid w:val="007B7230"/>
    <w:rsid w:val="007B7235"/>
    <w:rsid w:val="007B7239"/>
    <w:rsid w:val="007B7244"/>
    <w:rsid w:val="007B7255"/>
    <w:rsid w:val="007B72C5"/>
    <w:rsid w:val="007B72F0"/>
    <w:rsid w:val="007B7328"/>
    <w:rsid w:val="007B73C6"/>
    <w:rsid w:val="007B73DC"/>
    <w:rsid w:val="007B73F1"/>
    <w:rsid w:val="007B7408"/>
    <w:rsid w:val="007B7409"/>
    <w:rsid w:val="007B7421"/>
    <w:rsid w:val="007B746B"/>
    <w:rsid w:val="007B746C"/>
    <w:rsid w:val="007B7475"/>
    <w:rsid w:val="007B74D5"/>
    <w:rsid w:val="007B7521"/>
    <w:rsid w:val="007B7524"/>
    <w:rsid w:val="007B752C"/>
    <w:rsid w:val="007B7535"/>
    <w:rsid w:val="007B759B"/>
    <w:rsid w:val="007B762E"/>
    <w:rsid w:val="007B762F"/>
    <w:rsid w:val="007B7648"/>
    <w:rsid w:val="007B766B"/>
    <w:rsid w:val="007B7678"/>
    <w:rsid w:val="007B767E"/>
    <w:rsid w:val="007B76D1"/>
    <w:rsid w:val="007B76FA"/>
    <w:rsid w:val="007B772B"/>
    <w:rsid w:val="007B7796"/>
    <w:rsid w:val="007B77B0"/>
    <w:rsid w:val="007B77DA"/>
    <w:rsid w:val="007B7807"/>
    <w:rsid w:val="007B7808"/>
    <w:rsid w:val="007B7845"/>
    <w:rsid w:val="007B784D"/>
    <w:rsid w:val="007B7857"/>
    <w:rsid w:val="007B788D"/>
    <w:rsid w:val="007B7900"/>
    <w:rsid w:val="007B7906"/>
    <w:rsid w:val="007B7959"/>
    <w:rsid w:val="007B7960"/>
    <w:rsid w:val="007B79A6"/>
    <w:rsid w:val="007B79AD"/>
    <w:rsid w:val="007B79DE"/>
    <w:rsid w:val="007B7A02"/>
    <w:rsid w:val="007B7A14"/>
    <w:rsid w:val="007B7A3C"/>
    <w:rsid w:val="007B7A49"/>
    <w:rsid w:val="007B7A73"/>
    <w:rsid w:val="007B7A7F"/>
    <w:rsid w:val="007B7A94"/>
    <w:rsid w:val="007B7AC1"/>
    <w:rsid w:val="007B7AF0"/>
    <w:rsid w:val="007B7B12"/>
    <w:rsid w:val="007B7B6A"/>
    <w:rsid w:val="007B7BAF"/>
    <w:rsid w:val="007B7C20"/>
    <w:rsid w:val="007B7C2E"/>
    <w:rsid w:val="007B7C5C"/>
    <w:rsid w:val="007B7C6A"/>
    <w:rsid w:val="007B7C76"/>
    <w:rsid w:val="007B7C7E"/>
    <w:rsid w:val="007B7CE9"/>
    <w:rsid w:val="007B7D84"/>
    <w:rsid w:val="007B7DA6"/>
    <w:rsid w:val="007B7DC3"/>
    <w:rsid w:val="007B7DC7"/>
    <w:rsid w:val="007B7DFD"/>
    <w:rsid w:val="007B7E2F"/>
    <w:rsid w:val="007B7E43"/>
    <w:rsid w:val="007B7E9C"/>
    <w:rsid w:val="007B7E9E"/>
    <w:rsid w:val="007B7EE2"/>
    <w:rsid w:val="007B7F05"/>
    <w:rsid w:val="007B7F0E"/>
    <w:rsid w:val="007B7F32"/>
    <w:rsid w:val="007B7F43"/>
    <w:rsid w:val="007B7F44"/>
    <w:rsid w:val="007B7F46"/>
    <w:rsid w:val="007B7F5F"/>
    <w:rsid w:val="007B7F8D"/>
    <w:rsid w:val="007B7F9B"/>
    <w:rsid w:val="007B7FFA"/>
    <w:rsid w:val="007C0001"/>
    <w:rsid w:val="007C0004"/>
    <w:rsid w:val="007C000B"/>
    <w:rsid w:val="007C0078"/>
    <w:rsid w:val="007C008C"/>
    <w:rsid w:val="007C00B2"/>
    <w:rsid w:val="007C00DF"/>
    <w:rsid w:val="007C0124"/>
    <w:rsid w:val="007C0209"/>
    <w:rsid w:val="007C0212"/>
    <w:rsid w:val="007C0229"/>
    <w:rsid w:val="007C022D"/>
    <w:rsid w:val="007C024E"/>
    <w:rsid w:val="007C029E"/>
    <w:rsid w:val="007C02AF"/>
    <w:rsid w:val="007C030E"/>
    <w:rsid w:val="007C031A"/>
    <w:rsid w:val="007C0341"/>
    <w:rsid w:val="007C035B"/>
    <w:rsid w:val="007C0372"/>
    <w:rsid w:val="007C03C4"/>
    <w:rsid w:val="007C03D0"/>
    <w:rsid w:val="007C0411"/>
    <w:rsid w:val="007C0455"/>
    <w:rsid w:val="007C046F"/>
    <w:rsid w:val="007C04D2"/>
    <w:rsid w:val="007C04F3"/>
    <w:rsid w:val="007C04FC"/>
    <w:rsid w:val="007C0522"/>
    <w:rsid w:val="007C053D"/>
    <w:rsid w:val="007C0559"/>
    <w:rsid w:val="007C05E8"/>
    <w:rsid w:val="007C05EA"/>
    <w:rsid w:val="007C066E"/>
    <w:rsid w:val="007C06AD"/>
    <w:rsid w:val="007C06BB"/>
    <w:rsid w:val="007C06BE"/>
    <w:rsid w:val="007C06D2"/>
    <w:rsid w:val="007C06D7"/>
    <w:rsid w:val="007C0707"/>
    <w:rsid w:val="007C070B"/>
    <w:rsid w:val="007C0753"/>
    <w:rsid w:val="007C0784"/>
    <w:rsid w:val="007C078A"/>
    <w:rsid w:val="007C078C"/>
    <w:rsid w:val="007C07AE"/>
    <w:rsid w:val="007C07B5"/>
    <w:rsid w:val="007C07C1"/>
    <w:rsid w:val="007C07C3"/>
    <w:rsid w:val="007C0809"/>
    <w:rsid w:val="007C080C"/>
    <w:rsid w:val="007C080F"/>
    <w:rsid w:val="007C082D"/>
    <w:rsid w:val="007C0834"/>
    <w:rsid w:val="007C0837"/>
    <w:rsid w:val="007C0853"/>
    <w:rsid w:val="007C0859"/>
    <w:rsid w:val="007C08BA"/>
    <w:rsid w:val="007C08E8"/>
    <w:rsid w:val="007C08FC"/>
    <w:rsid w:val="007C0949"/>
    <w:rsid w:val="007C098A"/>
    <w:rsid w:val="007C0990"/>
    <w:rsid w:val="007C09DC"/>
    <w:rsid w:val="007C09F0"/>
    <w:rsid w:val="007C0A69"/>
    <w:rsid w:val="007C0A88"/>
    <w:rsid w:val="007C0A8B"/>
    <w:rsid w:val="007C0A92"/>
    <w:rsid w:val="007C0B0C"/>
    <w:rsid w:val="007C0B3E"/>
    <w:rsid w:val="007C0B9C"/>
    <w:rsid w:val="007C0BB9"/>
    <w:rsid w:val="007C0BBC"/>
    <w:rsid w:val="007C0C21"/>
    <w:rsid w:val="007C0C2F"/>
    <w:rsid w:val="007C0C62"/>
    <w:rsid w:val="007C0D19"/>
    <w:rsid w:val="007C0D31"/>
    <w:rsid w:val="007C0D4B"/>
    <w:rsid w:val="007C0DAD"/>
    <w:rsid w:val="007C0DDE"/>
    <w:rsid w:val="007C0DEA"/>
    <w:rsid w:val="007C0DF5"/>
    <w:rsid w:val="007C0DFA"/>
    <w:rsid w:val="007C0E04"/>
    <w:rsid w:val="007C0E14"/>
    <w:rsid w:val="007C0E1E"/>
    <w:rsid w:val="007C0E3D"/>
    <w:rsid w:val="007C0E59"/>
    <w:rsid w:val="007C0E6F"/>
    <w:rsid w:val="007C0E81"/>
    <w:rsid w:val="007C0E83"/>
    <w:rsid w:val="007C0EA9"/>
    <w:rsid w:val="007C0ED7"/>
    <w:rsid w:val="007C0EDE"/>
    <w:rsid w:val="007C0EE0"/>
    <w:rsid w:val="007C0F4E"/>
    <w:rsid w:val="007C0F54"/>
    <w:rsid w:val="007C0F83"/>
    <w:rsid w:val="007C0F8F"/>
    <w:rsid w:val="007C1030"/>
    <w:rsid w:val="007C1037"/>
    <w:rsid w:val="007C103C"/>
    <w:rsid w:val="007C106E"/>
    <w:rsid w:val="007C1094"/>
    <w:rsid w:val="007C10BC"/>
    <w:rsid w:val="007C1110"/>
    <w:rsid w:val="007C1117"/>
    <w:rsid w:val="007C1152"/>
    <w:rsid w:val="007C11A5"/>
    <w:rsid w:val="007C11B0"/>
    <w:rsid w:val="007C11BB"/>
    <w:rsid w:val="007C120B"/>
    <w:rsid w:val="007C122A"/>
    <w:rsid w:val="007C1261"/>
    <w:rsid w:val="007C1268"/>
    <w:rsid w:val="007C127E"/>
    <w:rsid w:val="007C128D"/>
    <w:rsid w:val="007C12A7"/>
    <w:rsid w:val="007C12C0"/>
    <w:rsid w:val="007C12C9"/>
    <w:rsid w:val="007C132F"/>
    <w:rsid w:val="007C1367"/>
    <w:rsid w:val="007C1384"/>
    <w:rsid w:val="007C13AA"/>
    <w:rsid w:val="007C13D7"/>
    <w:rsid w:val="007C13F4"/>
    <w:rsid w:val="007C13F6"/>
    <w:rsid w:val="007C13FB"/>
    <w:rsid w:val="007C1432"/>
    <w:rsid w:val="007C1433"/>
    <w:rsid w:val="007C148B"/>
    <w:rsid w:val="007C14A1"/>
    <w:rsid w:val="007C14BE"/>
    <w:rsid w:val="007C14D7"/>
    <w:rsid w:val="007C152C"/>
    <w:rsid w:val="007C152D"/>
    <w:rsid w:val="007C152E"/>
    <w:rsid w:val="007C155D"/>
    <w:rsid w:val="007C1569"/>
    <w:rsid w:val="007C1592"/>
    <w:rsid w:val="007C1596"/>
    <w:rsid w:val="007C15A3"/>
    <w:rsid w:val="007C15E1"/>
    <w:rsid w:val="007C15FC"/>
    <w:rsid w:val="007C160B"/>
    <w:rsid w:val="007C1649"/>
    <w:rsid w:val="007C164B"/>
    <w:rsid w:val="007C1680"/>
    <w:rsid w:val="007C1705"/>
    <w:rsid w:val="007C1713"/>
    <w:rsid w:val="007C1721"/>
    <w:rsid w:val="007C173B"/>
    <w:rsid w:val="007C1842"/>
    <w:rsid w:val="007C1849"/>
    <w:rsid w:val="007C18B6"/>
    <w:rsid w:val="007C18C1"/>
    <w:rsid w:val="007C18F5"/>
    <w:rsid w:val="007C190A"/>
    <w:rsid w:val="007C195D"/>
    <w:rsid w:val="007C19A7"/>
    <w:rsid w:val="007C19A8"/>
    <w:rsid w:val="007C19CF"/>
    <w:rsid w:val="007C19F8"/>
    <w:rsid w:val="007C1AAD"/>
    <w:rsid w:val="007C1AFD"/>
    <w:rsid w:val="007C1B21"/>
    <w:rsid w:val="007C1B5F"/>
    <w:rsid w:val="007C1B8A"/>
    <w:rsid w:val="007C1B94"/>
    <w:rsid w:val="007C1BA4"/>
    <w:rsid w:val="007C1BA8"/>
    <w:rsid w:val="007C1BE0"/>
    <w:rsid w:val="007C1BF3"/>
    <w:rsid w:val="007C1BFD"/>
    <w:rsid w:val="007C1C51"/>
    <w:rsid w:val="007C1C6F"/>
    <w:rsid w:val="007C1C74"/>
    <w:rsid w:val="007C1C77"/>
    <w:rsid w:val="007C1CA4"/>
    <w:rsid w:val="007C1CBA"/>
    <w:rsid w:val="007C1CC4"/>
    <w:rsid w:val="007C1CDD"/>
    <w:rsid w:val="007C1CF7"/>
    <w:rsid w:val="007C1D01"/>
    <w:rsid w:val="007C1D03"/>
    <w:rsid w:val="007C1D39"/>
    <w:rsid w:val="007C1D3A"/>
    <w:rsid w:val="007C1D6C"/>
    <w:rsid w:val="007C1D75"/>
    <w:rsid w:val="007C1D7A"/>
    <w:rsid w:val="007C1DBC"/>
    <w:rsid w:val="007C1DC8"/>
    <w:rsid w:val="007C1DF1"/>
    <w:rsid w:val="007C1DF7"/>
    <w:rsid w:val="007C1DFF"/>
    <w:rsid w:val="007C1E1A"/>
    <w:rsid w:val="007C1E32"/>
    <w:rsid w:val="007C1E41"/>
    <w:rsid w:val="007C1E76"/>
    <w:rsid w:val="007C1E7F"/>
    <w:rsid w:val="007C1EAB"/>
    <w:rsid w:val="007C1EB9"/>
    <w:rsid w:val="007C1ED0"/>
    <w:rsid w:val="007C1EE7"/>
    <w:rsid w:val="007C1F06"/>
    <w:rsid w:val="007C1F77"/>
    <w:rsid w:val="007C1F78"/>
    <w:rsid w:val="007C1F98"/>
    <w:rsid w:val="007C1F9B"/>
    <w:rsid w:val="007C208A"/>
    <w:rsid w:val="007C20A5"/>
    <w:rsid w:val="007C20AA"/>
    <w:rsid w:val="007C20B6"/>
    <w:rsid w:val="007C20D5"/>
    <w:rsid w:val="007C20DD"/>
    <w:rsid w:val="007C210A"/>
    <w:rsid w:val="007C2112"/>
    <w:rsid w:val="007C211A"/>
    <w:rsid w:val="007C212F"/>
    <w:rsid w:val="007C213D"/>
    <w:rsid w:val="007C2164"/>
    <w:rsid w:val="007C2166"/>
    <w:rsid w:val="007C216C"/>
    <w:rsid w:val="007C2172"/>
    <w:rsid w:val="007C2199"/>
    <w:rsid w:val="007C21DC"/>
    <w:rsid w:val="007C21F4"/>
    <w:rsid w:val="007C21FF"/>
    <w:rsid w:val="007C2231"/>
    <w:rsid w:val="007C224D"/>
    <w:rsid w:val="007C224E"/>
    <w:rsid w:val="007C22FF"/>
    <w:rsid w:val="007C2305"/>
    <w:rsid w:val="007C2324"/>
    <w:rsid w:val="007C2336"/>
    <w:rsid w:val="007C23B3"/>
    <w:rsid w:val="007C249C"/>
    <w:rsid w:val="007C24AF"/>
    <w:rsid w:val="007C2529"/>
    <w:rsid w:val="007C2538"/>
    <w:rsid w:val="007C2557"/>
    <w:rsid w:val="007C2597"/>
    <w:rsid w:val="007C25D5"/>
    <w:rsid w:val="007C25E0"/>
    <w:rsid w:val="007C25F1"/>
    <w:rsid w:val="007C2614"/>
    <w:rsid w:val="007C2619"/>
    <w:rsid w:val="007C2643"/>
    <w:rsid w:val="007C2691"/>
    <w:rsid w:val="007C26A6"/>
    <w:rsid w:val="007C26E9"/>
    <w:rsid w:val="007C26EC"/>
    <w:rsid w:val="007C26FB"/>
    <w:rsid w:val="007C26FF"/>
    <w:rsid w:val="007C270D"/>
    <w:rsid w:val="007C27FF"/>
    <w:rsid w:val="007C2804"/>
    <w:rsid w:val="007C2839"/>
    <w:rsid w:val="007C288F"/>
    <w:rsid w:val="007C28A8"/>
    <w:rsid w:val="007C28AA"/>
    <w:rsid w:val="007C28AF"/>
    <w:rsid w:val="007C29CC"/>
    <w:rsid w:val="007C29E3"/>
    <w:rsid w:val="007C2A11"/>
    <w:rsid w:val="007C2A1A"/>
    <w:rsid w:val="007C2A31"/>
    <w:rsid w:val="007C2A8A"/>
    <w:rsid w:val="007C2AA2"/>
    <w:rsid w:val="007C2B3D"/>
    <w:rsid w:val="007C2B70"/>
    <w:rsid w:val="007C2B73"/>
    <w:rsid w:val="007C2BA8"/>
    <w:rsid w:val="007C2BFF"/>
    <w:rsid w:val="007C2C64"/>
    <w:rsid w:val="007C2C6D"/>
    <w:rsid w:val="007C2C81"/>
    <w:rsid w:val="007C2CB9"/>
    <w:rsid w:val="007C2D04"/>
    <w:rsid w:val="007C2D18"/>
    <w:rsid w:val="007C2D39"/>
    <w:rsid w:val="007C2DDB"/>
    <w:rsid w:val="007C2E8F"/>
    <w:rsid w:val="007C2ED7"/>
    <w:rsid w:val="007C2ED8"/>
    <w:rsid w:val="007C2EE7"/>
    <w:rsid w:val="007C2EFF"/>
    <w:rsid w:val="007C2F04"/>
    <w:rsid w:val="007C2F22"/>
    <w:rsid w:val="007C2F39"/>
    <w:rsid w:val="007C2F3C"/>
    <w:rsid w:val="007C2F4E"/>
    <w:rsid w:val="007C2F94"/>
    <w:rsid w:val="007C2FB7"/>
    <w:rsid w:val="007C2FD7"/>
    <w:rsid w:val="007C2FED"/>
    <w:rsid w:val="007C302E"/>
    <w:rsid w:val="007C3056"/>
    <w:rsid w:val="007C3065"/>
    <w:rsid w:val="007C3066"/>
    <w:rsid w:val="007C3078"/>
    <w:rsid w:val="007C3098"/>
    <w:rsid w:val="007C30B5"/>
    <w:rsid w:val="007C30C4"/>
    <w:rsid w:val="007C30CA"/>
    <w:rsid w:val="007C3152"/>
    <w:rsid w:val="007C3170"/>
    <w:rsid w:val="007C3191"/>
    <w:rsid w:val="007C320C"/>
    <w:rsid w:val="007C3228"/>
    <w:rsid w:val="007C3233"/>
    <w:rsid w:val="007C3252"/>
    <w:rsid w:val="007C3255"/>
    <w:rsid w:val="007C3268"/>
    <w:rsid w:val="007C32B9"/>
    <w:rsid w:val="007C32CA"/>
    <w:rsid w:val="007C32CD"/>
    <w:rsid w:val="007C32CE"/>
    <w:rsid w:val="007C3357"/>
    <w:rsid w:val="007C338C"/>
    <w:rsid w:val="007C33FD"/>
    <w:rsid w:val="007C3459"/>
    <w:rsid w:val="007C345D"/>
    <w:rsid w:val="007C3462"/>
    <w:rsid w:val="007C3480"/>
    <w:rsid w:val="007C34AB"/>
    <w:rsid w:val="007C34AC"/>
    <w:rsid w:val="007C34E6"/>
    <w:rsid w:val="007C34E8"/>
    <w:rsid w:val="007C350D"/>
    <w:rsid w:val="007C353A"/>
    <w:rsid w:val="007C354A"/>
    <w:rsid w:val="007C356C"/>
    <w:rsid w:val="007C357A"/>
    <w:rsid w:val="007C3587"/>
    <w:rsid w:val="007C35B6"/>
    <w:rsid w:val="007C35DF"/>
    <w:rsid w:val="007C3615"/>
    <w:rsid w:val="007C3641"/>
    <w:rsid w:val="007C3683"/>
    <w:rsid w:val="007C369D"/>
    <w:rsid w:val="007C36B8"/>
    <w:rsid w:val="007C36E1"/>
    <w:rsid w:val="007C3702"/>
    <w:rsid w:val="007C3712"/>
    <w:rsid w:val="007C378C"/>
    <w:rsid w:val="007C37B0"/>
    <w:rsid w:val="007C37E8"/>
    <w:rsid w:val="007C37EB"/>
    <w:rsid w:val="007C3804"/>
    <w:rsid w:val="007C383C"/>
    <w:rsid w:val="007C389C"/>
    <w:rsid w:val="007C3912"/>
    <w:rsid w:val="007C395E"/>
    <w:rsid w:val="007C3972"/>
    <w:rsid w:val="007C3974"/>
    <w:rsid w:val="007C39BD"/>
    <w:rsid w:val="007C3A04"/>
    <w:rsid w:val="007C3A30"/>
    <w:rsid w:val="007C3A86"/>
    <w:rsid w:val="007C3AC2"/>
    <w:rsid w:val="007C3ACD"/>
    <w:rsid w:val="007C3AD2"/>
    <w:rsid w:val="007C3AFD"/>
    <w:rsid w:val="007C3B01"/>
    <w:rsid w:val="007C3B0C"/>
    <w:rsid w:val="007C3B11"/>
    <w:rsid w:val="007C3B1A"/>
    <w:rsid w:val="007C3B96"/>
    <w:rsid w:val="007C3B99"/>
    <w:rsid w:val="007C3BAF"/>
    <w:rsid w:val="007C3C46"/>
    <w:rsid w:val="007C3C53"/>
    <w:rsid w:val="007C3CFF"/>
    <w:rsid w:val="007C3D2F"/>
    <w:rsid w:val="007C3D89"/>
    <w:rsid w:val="007C3D91"/>
    <w:rsid w:val="007C3DC1"/>
    <w:rsid w:val="007C3DE0"/>
    <w:rsid w:val="007C3E09"/>
    <w:rsid w:val="007C3E23"/>
    <w:rsid w:val="007C3E6A"/>
    <w:rsid w:val="007C3E88"/>
    <w:rsid w:val="007C3EA1"/>
    <w:rsid w:val="007C3EC1"/>
    <w:rsid w:val="007C3EC3"/>
    <w:rsid w:val="007C3EFD"/>
    <w:rsid w:val="007C3F20"/>
    <w:rsid w:val="007C3F2C"/>
    <w:rsid w:val="007C3F3A"/>
    <w:rsid w:val="007C3F6D"/>
    <w:rsid w:val="007C3F8D"/>
    <w:rsid w:val="007C3FA6"/>
    <w:rsid w:val="007C3FAF"/>
    <w:rsid w:val="007C3FE1"/>
    <w:rsid w:val="007C3FFC"/>
    <w:rsid w:val="007C403A"/>
    <w:rsid w:val="007C4060"/>
    <w:rsid w:val="007C4072"/>
    <w:rsid w:val="007C40B2"/>
    <w:rsid w:val="007C40C5"/>
    <w:rsid w:val="007C40E5"/>
    <w:rsid w:val="007C40EE"/>
    <w:rsid w:val="007C40EF"/>
    <w:rsid w:val="007C4144"/>
    <w:rsid w:val="007C4155"/>
    <w:rsid w:val="007C41AB"/>
    <w:rsid w:val="007C41F7"/>
    <w:rsid w:val="007C4201"/>
    <w:rsid w:val="007C420D"/>
    <w:rsid w:val="007C4229"/>
    <w:rsid w:val="007C423A"/>
    <w:rsid w:val="007C426D"/>
    <w:rsid w:val="007C428C"/>
    <w:rsid w:val="007C42AE"/>
    <w:rsid w:val="007C4340"/>
    <w:rsid w:val="007C43EC"/>
    <w:rsid w:val="007C4405"/>
    <w:rsid w:val="007C445D"/>
    <w:rsid w:val="007C446A"/>
    <w:rsid w:val="007C4470"/>
    <w:rsid w:val="007C4485"/>
    <w:rsid w:val="007C448E"/>
    <w:rsid w:val="007C449F"/>
    <w:rsid w:val="007C451C"/>
    <w:rsid w:val="007C4576"/>
    <w:rsid w:val="007C457D"/>
    <w:rsid w:val="007C45D0"/>
    <w:rsid w:val="007C4614"/>
    <w:rsid w:val="007C4645"/>
    <w:rsid w:val="007C4648"/>
    <w:rsid w:val="007C464A"/>
    <w:rsid w:val="007C4679"/>
    <w:rsid w:val="007C46A4"/>
    <w:rsid w:val="007C46B1"/>
    <w:rsid w:val="007C46EB"/>
    <w:rsid w:val="007C4720"/>
    <w:rsid w:val="007C4737"/>
    <w:rsid w:val="007C47B8"/>
    <w:rsid w:val="007C4814"/>
    <w:rsid w:val="007C4828"/>
    <w:rsid w:val="007C4845"/>
    <w:rsid w:val="007C4867"/>
    <w:rsid w:val="007C48E8"/>
    <w:rsid w:val="007C490F"/>
    <w:rsid w:val="007C495D"/>
    <w:rsid w:val="007C4977"/>
    <w:rsid w:val="007C49AF"/>
    <w:rsid w:val="007C49C9"/>
    <w:rsid w:val="007C49D1"/>
    <w:rsid w:val="007C4A0B"/>
    <w:rsid w:val="007C4A20"/>
    <w:rsid w:val="007C4A23"/>
    <w:rsid w:val="007C4A36"/>
    <w:rsid w:val="007C4A50"/>
    <w:rsid w:val="007C4AC7"/>
    <w:rsid w:val="007C4AFC"/>
    <w:rsid w:val="007C4B05"/>
    <w:rsid w:val="007C4B1E"/>
    <w:rsid w:val="007C4B4D"/>
    <w:rsid w:val="007C4B9D"/>
    <w:rsid w:val="007C4BC7"/>
    <w:rsid w:val="007C4C34"/>
    <w:rsid w:val="007C4C40"/>
    <w:rsid w:val="007C4C61"/>
    <w:rsid w:val="007C4D4D"/>
    <w:rsid w:val="007C4D77"/>
    <w:rsid w:val="007C4D7F"/>
    <w:rsid w:val="007C4DB7"/>
    <w:rsid w:val="007C4DBD"/>
    <w:rsid w:val="007C4DDB"/>
    <w:rsid w:val="007C4E05"/>
    <w:rsid w:val="007C4E08"/>
    <w:rsid w:val="007C4E1F"/>
    <w:rsid w:val="007C4E21"/>
    <w:rsid w:val="007C4E35"/>
    <w:rsid w:val="007C4ECC"/>
    <w:rsid w:val="007C4ED0"/>
    <w:rsid w:val="007C4F3F"/>
    <w:rsid w:val="007C4F42"/>
    <w:rsid w:val="007C4FCD"/>
    <w:rsid w:val="007C4FE4"/>
    <w:rsid w:val="007C50AF"/>
    <w:rsid w:val="007C5102"/>
    <w:rsid w:val="007C5144"/>
    <w:rsid w:val="007C5159"/>
    <w:rsid w:val="007C5176"/>
    <w:rsid w:val="007C51D0"/>
    <w:rsid w:val="007C51DC"/>
    <w:rsid w:val="007C5201"/>
    <w:rsid w:val="007C5214"/>
    <w:rsid w:val="007C5247"/>
    <w:rsid w:val="007C5248"/>
    <w:rsid w:val="007C5249"/>
    <w:rsid w:val="007C524A"/>
    <w:rsid w:val="007C5266"/>
    <w:rsid w:val="007C5272"/>
    <w:rsid w:val="007C5273"/>
    <w:rsid w:val="007C52B0"/>
    <w:rsid w:val="007C52C6"/>
    <w:rsid w:val="007C52F9"/>
    <w:rsid w:val="007C5350"/>
    <w:rsid w:val="007C53F4"/>
    <w:rsid w:val="007C53F5"/>
    <w:rsid w:val="007C5408"/>
    <w:rsid w:val="007C5428"/>
    <w:rsid w:val="007C544D"/>
    <w:rsid w:val="007C5451"/>
    <w:rsid w:val="007C5453"/>
    <w:rsid w:val="007C545B"/>
    <w:rsid w:val="007C5482"/>
    <w:rsid w:val="007C5496"/>
    <w:rsid w:val="007C549B"/>
    <w:rsid w:val="007C54F0"/>
    <w:rsid w:val="007C552A"/>
    <w:rsid w:val="007C5549"/>
    <w:rsid w:val="007C5567"/>
    <w:rsid w:val="007C55CF"/>
    <w:rsid w:val="007C5606"/>
    <w:rsid w:val="007C5636"/>
    <w:rsid w:val="007C563A"/>
    <w:rsid w:val="007C5676"/>
    <w:rsid w:val="007C567E"/>
    <w:rsid w:val="007C56BB"/>
    <w:rsid w:val="007C56C0"/>
    <w:rsid w:val="007C5733"/>
    <w:rsid w:val="007C5752"/>
    <w:rsid w:val="007C57E9"/>
    <w:rsid w:val="007C583F"/>
    <w:rsid w:val="007C5861"/>
    <w:rsid w:val="007C587F"/>
    <w:rsid w:val="007C58EE"/>
    <w:rsid w:val="007C5928"/>
    <w:rsid w:val="007C5946"/>
    <w:rsid w:val="007C5977"/>
    <w:rsid w:val="007C598F"/>
    <w:rsid w:val="007C599D"/>
    <w:rsid w:val="007C59B5"/>
    <w:rsid w:val="007C59F1"/>
    <w:rsid w:val="007C5A43"/>
    <w:rsid w:val="007C5A82"/>
    <w:rsid w:val="007C5A8F"/>
    <w:rsid w:val="007C5A9F"/>
    <w:rsid w:val="007C5B7E"/>
    <w:rsid w:val="007C5BCF"/>
    <w:rsid w:val="007C5BDF"/>
    <w:rsid w:val="007C5BE6"/>
    <w:rsid w:val="007C5C51"/>
    <w:rsid w:val="007C5C6E"/>
    <w:rsid w:val="007C5C96"/>
    <w:rsid w:val="007C5CB7"/>
    <w:rsid w:val="007C5CB8"/>
    <w:rsid w:val="007C5D03"/>
    <w:rsid w:val="007C5D05"/>
    <w:rsid w:val="007C5D15"/>
    <w:rsid w:val="007C5D16"/>
    <w:rsid w:val="007C5D22"/>
    <w:rsid w:val="007C5D2A"/>
    <w:rsid w:val="007C5D55"/>
    <w:rsid w:val="007C5D64"/>
    <w:rsid w:val="007C5DBB"/>
    <w:rsid w:val="007C5DD1"/>
    <w:rsid w:val="007C5DE5"/>
    <w:rsid w:val="007C5E9B"/>
    <w:rsid w:val="007C5E9E"/>
    <w:rsid w:val="007C5EDA"/>
    <w:rsid w:val="007C5F2A"/>
    <w:rsid w:val="007C5F2C"/>
    <w:rsid w:val="007C606C"/>
    <w:rsid w:val="007C608F"/>
    <w:rsid w:val="007C60AA"/>
    <w:rsid w:val="007C60B2"/>
    <w:rsid w:val="007C60C8"/>
    <w:rsid w:val="007C60F3"/>
    <w:rsid w:val="007C611A"/>
    <w:rsid w:val="007C613C"/>
    <w:rsid w:val="007C613E"/>
    <w:rsid w:val="007C6157"/>
    <w:rsid w:val="007C61DB"/>
    <w:rsid w:val="007C61E2"/>
    <w:rsid w:val="007C623F"/>
    <w:rsid w:val="007C624F"/>
    <w:rsid w:val="007C6281"/>
    <w:rsid w:val="007C629F"/>
    <w:rsid w:val="007C62D7"/>
    <w:rsid w:val="007C62E6"/>
    <w:rsid w:val="007C6333"/>
    <w:rsid w:val="007C633D"/>
    <w:rsid w:val="007C6409"/>
    <w:rsid w:val="007C641C"/>
    <w:rsid w:val="007C643A"/>
    <w:rsid w:val="007C643F"/>
    <w:rsid w:val="007C6466"/>
    <w:rsid w:val="007C6473"/>
    <w:rsid w:val="007C6493"/>
    <w:rsid w:val="007C649F"/>
    <w:rsid w:val="007C6532"/>
    <w:rsid w:val="007C6574"/>
    <w:rsid w:val="007C6599"/>
    <w:rsid w:val="007C65B8"/>
    <w:rsid w:val="007C65D8"/>
    <w:rsid w:val="007C6609"/>
    <w:rsid w:val="007C6623"/>
    <w:rsid w:val="007C662B"/>
    <w:rsid w:val="007C664E"/>
    <w:rsid w:val="007C6651"/>
    <w:rsid w:val="007C668B"/>
    <w:rsid w:val="007C66D0"/>
    <w:rsid w:val="007C66DC"/>
    <w:rsid w:val="007C670A"/>
    <w:rsid w:val="007C6718"/>
    <w:rsid w:val="007C6745"/>
    <w:rsid w:val="007C6749"/>
    <w:rsid w:val="007C6795"/>
    <w:rsid w:val="007C67DA"/>
    <w:rsid w:val="007C6823"/>
    <w:rsid w:val="007C6826"/>
    <w:rsid w:val="007C6829"/>
    <w:rsid w:val="007C6855"/>
    <w:rsid w:val="007C6897"/>
    <w:rsid w:val="007C68AE"/>
    <w:rsid w:val="007C68D4"/>
    <w:rsid w:val="007C68F3"/>
    <w:rsid w:val="007C68FA"/>
    <w:rsid w:val="007C6913"/>
    <w:rsid w:val="007C6955"/>
    <w:rsid w:val="007C69C8"/>
    <w:rsid w:val="007C6A37"/>
    <w:rsid w:val="007C6A47"/>
    <w:rsid w:val="007C6AAA"/>
    <w:rsid w:val="007C6AB5"/>
    <w:rsid w:val="007C6AD4"/>
    <w:rsid w:val="007C6AE6"/>
    <w:rsid w:val="007C6AF6"/>
    <w:rsid w:val="007C6B0C"/>
    <w:rsid w:val="007C6C12"/>
    <w:rsid w:val="007C6C87"/>
    <w:rsid w:val="007C6C90"/>
    <w:rsid w:val="007C6CB5"/>
    <w:rsid w:val="007C6D04"/>
    <w:rsid w:val="007C6D12"/>
    <w:rsid w:val="007C6D35"/>
    <w:rsid w:val="007C6D40"/>
    <w:rsid w:val="007C6D7D"/>
    <w:rsid w:val="007C6D85"/>
    <w:rsid w:val="007C6D8D"/>
    <w:rsid w:val="007C6DB6"/>
    <w:rsid w:val="007C6E49"/>
    <w:rsid w:val="007C6E85"/>
    <w:rsid w:val="007C6E89"/>
    <w:rsid w:val="007C6EE5"/>
    <w:rsid w:val="007C6F21"/>
    <w:rsid w:val="007C6F32"/>
    <w:rsid w:val="007C6F8E"/>
    <w:rsid w:val="007C6FEC"/>
    <w:rsid w:val="007C6FEF"/>
    <w:rsid w:val="007C6FFF"/>
    <w:rsid w:val="007C701B"/>
    <w:rsid w:val="007C7042"/>
    <w:rsid w:val="007C7064"/>
    <w:rsid w:val="007C70A8"/>
    <w:rsid w:val="007C70B6"/>
    <w:rsid w:val="007C70EF"/>
    <w:rsid w:val="007C70F9"/>
    <w:rsid w:val="007C7100"/>
    <w:rsid w:val="007C7105"/>
    <w:rsid w:val="007C716F"/>
    <w:rsid w:val="007C718B"/>
    <w:rsid w:val="007C71D1"/>
    <w:rsid w:val="007C71DA"/>
    <w:rsid w:val="007C7202"/>
    <w:rsid w:val="007C7203"/>
    <w:rsid w:val="007C7213"/>
    <w:rsid w:val="007C7222"/>
    <w:rsid w:val="007C728D"/>
    <w:rsid w:val="007C72A0"/>
    <w:rsid w:val="007C72C1"/>
    <w:rsid w:val="007C730E"/>
    <w:rsid w:val="007C7384"/>
    <w:rsid w:val="007C73C2"/>
    <w:rsid w:val="007C73E7"/>
    <w:rsid w:val="007C73F3"/>
    <w:rsid w:val="007C7402"/>
    <w:rsid w:val="007C741D"/>
    <w:rsid w:val="007C742C"/>
    <w:rsid w:val="007C7438"/>
    <w:rsid w:val="007C7448"/>
    <w:rsid w:val="007C7471"/>
    <w:rsid w:val="007C7494"/>
    <w:rsid w:val="007C74C2"/>
    <w:rsid w:val="007C74D2"/>
    <w:rsid w:val="007C74D9"/>
    <w:rsid w:val="007C74E0"/>
    <w:rsid w:val="007C7531"/>
    <w:rsid w:val="007C754D"/>
    <w:rsid w:val="007C7566"/>
    <w:rsid w:val="007C7576"/>
    <w:rsid w:val="007C75A3"/>
    <w:rsid w:val="007C76B7"/>
    <w:rsid w:val="007C76DC"/>
    <w:rsid w:val="007C771A"/>
    <w:rsid w:val="007C771B"/>
    <w:rsid w:val="007C7787"/>
    <w:rsid w:val="007C7789"/>
    <w:rsid w:val="007C77D2"/>
    <w:rsid w:val="007C7812"/>
    <w:rsid w:val="007C785F"/>
    <w:rsid w:val="007C787A"/>
    <w:rsid w:val="007C788D"/>
    <w:rsid w:val="007C7892"/>
    <w:rsid w:val="007C78B2"/>
    <w:rsid w:val="007C78CF"/>
    <w:rsid w:val="007C78F2"/>
    <w:rsid w:val="007C7911"/>
    <w:rsid w:val="007C793D"/>
    <w:rsid w:val="007C7950"/>
    <w:rsid w:val="007C7952"/>
    <w:rsid w:val="007C7988"/>
    <w:rsid w:val="007C79B7"/>
    <w:rsid w:val="007C7A55"/>
    <w:rsid w:val="007C7B4A"/>
    <w:rsid w:val="007C7B6B"/>
    <w:rsid w:val="007C7B71"/>
    <w:rsid w:val="007C7BEF"/>
    <w:rsid w:val="007C7C26"/>
    <w:rsid w:val="007C7C63"/>
    <w:rsid w:val="007C7CAF"/>
    <w:rsid w:val="007C7CFE"/>
    <w:rsid w:val="007C7D0D"/>
    <w:rsid w:val="007C7D10"/>
    <w:rsid w:val="007C7D17"/>
    <w:rsid w:val="007C7D26"/>
    <w:rsid w:val="007C7D3B"/>
    <w:rsid w:val="007C7D49"/>
    <w:rsid w:val="007C7DCE"/>
    <w:rsid w:val="007C7DE0"/>
    <w:rsid w:val="007C7DE4"/>
    <w:rsid w:val="007C7DF0"/>
    <w:rsid w:val="007C7DF3"/>
    <w:rsid w:val="007C7DF5"/>
    <w:rsid w:val="007C7E02"/>
    <w:rsid w:val="007C7E07"/>
    <w:rsid w:val="007C7E12"/>
    <w:rsid w:val="007C7E37"/>
    <w:rsid w:val="007C7E39"/>
    <w:rsid w:val="007C7E4D"/>
    <w:rsid w:val="007C7E5F"/>
    <w:rsid w:val="007C7E92"/>
    <w:rsid w:val="007C7EB9"/>
    <w:rsid w:val="007C7ED0"/>
    <w:rsid w:val="007C7F6C"/>
    <w:rsid w:val="007C7FA0"/>
    <w:rsid w:val="007C7FF5"/>
    <w:rsid w:val="007D0019"/>
    <w:rsid w:val="007D0031"/>
    <w:rsid w:val="007D0075"/>
    <w:rsid w:val="007D00A5"/>
    <w:rsid w:val="007D00BF"/>
    <w:rsid w:val="007D012E"/>
    <w:rsid w:val="007D016B"/>
    <w:rsid w:val="007D025C"/>
    <w:rsid w:val="007D02A8"/>
    <w:rsid w:val="007D02CB"/>
    <w:rsid w:val="007D0304"/>
    <w:rsid w:val="007D039D"/>
    <w:rsid w:val="007D03B5"/>
    <w:rsid w:val="007D03BD"/>
    <w:rsid w:val="007D03E9"/>
    <w:rsid w:val="007D040A"/>
    <w:rsid w:val="007D041A"/>
    <w:rsid w:val="007D044C"/>
    <w:rsid w:val="007D0504"/>
    <w:rsid w:val="007D0589"/>
    <w:rsid w:val="007D05EE"/>
    <w:rsid w:val="007D060B"/>
    <w:rsid w:val="007D068B"/>
    <w:rsid w:val="007D073E"/>
    <w:rsid w:val="007D075D"/>
    <w:rsid w:val="007D07DC"/>
    <w:rsid w:val="007D07FC"/>
    <w:rsid w:val="007D0804"/>
    <w:rsid w:val="007D081C"/>
    <w:rsid w:val="007D084B"/>
    <w:rsid w:val="007D084C"/>
    <w:rsid w:val="007D086F"/>
    <w:rsid w:val="007D08A3"/>
    <w:rsid w:val="007D08F7"/>
    <w:rsid w:val="007D08FA"/>
    <w:rsid w:val="007D0909"/>
    <w:rsid w:val="007D091D"/>
    <w:rsid w:val="007D099E"/>
    <w:rsid w:val="007D09AD"/>
    <w:rsid w:val="007D09D1"/>
    <w:rsid w:val="007D09F2"/>
    <w:rsid w:val="007D0A48"/>
    <w:rsid w:val="007D0A5A"/>
    <w:rsid w:val="007D0A6B"/>
    <w:rsid w:val="007D0AA3"/>
    <w:rsid w:val="007D0AE7"/>
    <w:rsid w:val="007D0B2A"/>
    <w:rsid w:val="007D0B34"/>
    <w:rsid w:val="007D0BDD"/>
    <w:rsid w:val="007D0C17"/>
    <w:rsid w:val="007D0C21"/>
    <w:rsid w:val="007D0C26"/>
    <w:rsid w:val="007D0CAD"/>
    <w:rsid w:val="007D0CBB"/>
    <w:rsid w:val="007D0CFA"/>
    <w:rsid w:val="007D0CFC"/>
    <w:rsid w:val="007D0D14"/>
    <w:rsid w:val="007D0D3B"/>
    <w:rsid w:val="007D0D4A"/>
    <w:rsid w:val="007D0DAF"/>
    <w:rsid w:val="007D0DC3"/>
    <w:rsid w:val="007D0DF0"/>
    <w:rsid w:val="007D0DFC"/>
    <w:rsid w:val="007D0E84"/>
    <w:rsid w:val="007D0E89"/>
    <w:rsid w:val="007D0EEB"/>
    <w:rsid w:val="007D0F3C"/>
    <w:rsid w:val="007D0F48"/>
    <w:rsid w:val="007D0F8A"/>
    <w:rsid w:val="007D0F8D"/>
    <w:rsid w:val="007D0F9E"/>
    <w:rsid w:val="007D0FBB"/>
    <w:rsid w:val="007D1049"/>
    <w:rsid w:val="007D1062"/>
    <w:rsid w:val="007D1092"/>
    <w:rsid w:val="007D10AA"/>
    <w:rsid w:val="007D10C5"/>
    <w:rsid w:val="007D10FE"/>
    <w:rsid w:val="007D1171"/>
    <w:rsid w:val="007D1185"/>
    <w:rsid w:val="007D11B3"/>
    <w:rsid w:val="007D11F7"/>
    <w:rsid w:val="007D121A"/>
    <w:rsid w:val="007D1220"/>
    <w:rsid w:val="007D124B"/>
    <w:rsid w:val="007D125A"/>
    <w:rsid w:val="007D129C"/>
    <w:rsid w:val="007D12B2"/>
    <w:rsid w:val="007D12CD"/>
    <w:rsid w:val="007D12D7"/>
    <w:rsid w:val="007D1352"/>
    <w:rsid w:val="007D13BB"/>
    <w:rsid w:val="007D13EB"/>
    <w:rsid w:val="007D1422"/>
    <w:rsid w:val="007D1439"/>
    <w:rsid w:val="007D1458"/>
    <w:rsid w:val="007D1470"/>
    <w:rsid w:val="007D1493"/>
    <w:rsid w:val="007D14E8"/>
    <w:rsid w:val="007D1528"/>
    <w:rsid w:val="007D156A"/>
    <w:rsid w:val="007D1571"/>
    <w:rsid w:val="007D1586"/>
    <w:rsid w:val="007D158A"/>
    <w:rsid w:val="007D159C"/>
    <w:rsid w:val="007D1646"/>
    <w:rsid w:val="007D1660"/>
    <w:rsid w:val="007D16DB"/>
    <w:rsid w:val="007D1728"/>
    <w:rsid w:val="007D1744"/>
    <w:rsid w:val="007D1759"/>
    <w:rsid w:val="007D1775"/>
    <w:rsid w:val="007D1783"/>
    <w:rsid w:val="007D17C4"/>
    <w:rsid w:val="007D17E4"/>
    <w:rsid w:val="007D17E6"/>
    <w:rsid w:val="007D1837"/>
    <w:rsid w:val="007D184F"/>
    <w:rsid w:val="007D1867"/>
    <w:rsid w:val="007D18AB"/>
    <w:rsid w:val="007D18D1"/>
    <w:rsid w:val="007D18D3"/>
    <w:rsid w:val="007D1915"/>
    <w:rsid w:val="007D192B"/>
    <w:rsid w:val="007D1977"/>
    <w:rsid w:val="007D1982"/>
    <w:rsid w:val="007D198F"/>
    <w:rsid w:val="007D19A7"/>
    <w:rsid w:val="007D19AC"/>
    <w:rsid w:val="007D19D5"/>
    <w:rsid w:val="007D19E8"/>
    <w:rsid w:val="007D1A03"/>
    <w:rsid w:val="007D1A06"/>
    <w:rsid w:val="007D1A0E"/>
    <w:rsid w:val="007D1A1B"/>
    <w:rsid w:val="007D1A26"/>
    <w:rsid w:val="007D1AB2"/>
    <w:rsid w:val="007D1ACC"/>
    <w:rsid w:val="007D1B4B"/>
    <w:rsid w:val="007D1B63"/>
    <w:rsid w:val="007D1B90"/>
    <w:rsid w:val="007D1BAB"/>
    <w:rsid w:val="007D1BCE"/>
    <w:rsid w:val="007D1CA3"/>
    <w:rsid w:val="007D1CF3"/>
    <w:rsid w:val="007D1D13"/>
    <w:rsid w:val="007D1D1D"/>
    <w:rsid w:val="007D1D28"/>
    <w:rsid w:val="007D1D50"/>
    <w:rsid w:val="007D1D68"/>
    <w:rsid w:val="007D1DA7"/>
    <w:rsid w:val="007D1DAF"/>
    <w:rsid w:val="007D1DCA"/>
    <w:rsid w:val="007D1DE1"/>
    <w:rsid w:val="007D1DFF"/>
    <w:rsid w:val="007D1E0A"/>
    <w:rsid w:val="007D1E1D"/>
    <w:rsid w:val="007D1E20"/>
    <w:rsid w:val="007D1E52"/>
    <w:rsid w:val="007D1E57"/>
    <w:rsid w:val="007D1E59"/>
    <w:rsid w:val="007D1E8B"/>
    <w:rsid w:val="007D1EBF"/>
    <w:rsid w:val="007D1F03"/>
    <w:rsid w:val="007D1F4E"/>
    <w:rsid w:val="007D1F88"/>
    <w:rsid w:val="007D1FA4"/>
    <w:rsid w:val="007D2022"/>
    <w:rsid w:val="007D2032"/>
    <w:rsid w:val="007D2068"/>
    <w:rsid w:val="007D206D"/>
    <w:rsid w:val="007D2072"/>
    <w:rsid w:val="007D207D"/>
    <w:rsid w:val="007D20CA"/>
    <w:rsid w:val="007D20D2"/>
    <w:rsid w:val="007D20DE"/>
    <w:rsid w:val="007D20FD"/>
    <w:rsid w:val="007D2109"/>
    <w:rsid w:val="007D210C"/>
    <w:rsid w:val="007D2121"/>
    <w:rsid w:val="007D2132"/>
    <w:rsid w:val="007D2143"/>
    <w:rsid w:val="007D21A5"/>
    <w:rsid w:val="007D21DB"/>
    <w:rsid w:val="007D21E0"/>
    <w:rsid w:val="007D21FA"/>
    <w:rsid w:val="007D220A"/>
    <w:rsid w:val="007D221C"/>
    <w:rsid w:val="007D226C"/>
    <w:rsid w:val="007D227A"/>
    <w:rsid w:val="007D22BF"/>
    <w:rsid w:val="007D2343"/>
    <w:rsid w:val="007D2356"/>
    <w:rsid w:val="007D2380"/>
    <w:rsid w:val="007D2385"/>
    <w:rsid w:val="007D2387"/>
    <w:rsid w:val="007D23AA"/>
    <w:rsid w:val="007D23FF"/>
    <w:rsid w:val="007D2409"/>
    <w:rsid w:val="007D2458"/>
    <w:rsid w:val="007D245C"/>
    <w:rsid w:val="007D247A"/>
    <w:rsid w:val="007D247C"/>
    <w:rsid w:val="007D24BB"/>
    <w:rsid w:val="007D24C0"/>
    <w:rsid w:val="007D24D4"/>
    <w:rsid w:val="007D24D6"/>
    <w:rsid w:val="007D252C"/>
    <w:rsid w:val="007D2554"/>
    <w:rsid w:val="007D256B"/>
    <w:rsid w:val="007D2571"/>
    <w:rsid w:val="007D2594"/>
    <w:rsid w:val="007D25C5"/>
    <w:rsid w:val="007D25E6"/>
    <w:rsid w:val="007D25EE"/>
    <w:rsid w:val="007D260D"/>
    <w:rsid w:val="007D2630"/>
    <w:rsid w:val="007D2668"/>
    <w:rsid w:val="007D26AF"/>
    <w:rsid w:val="007D26F8"/>
    <w:rsid w:val="007D2704"/>
    <w:rsid w:val="007D270E"/>
    <w:rsid w:val="007D2770"/>
    <w:rsid w:val="007D2781"/>
    <w:rsid w:val="007D27DE"/>
    <w:rsid w:val="007D2809"/>
    <w:rsid w:val="007D2831"/>
    <w:rsid w:val="007D284D"/>
    <w:rsid w:val="007D286B"/>
    <w:rsid w:val="007D2875"/>
    <w:rsid w:val="007D28FE"/>
    <w:rsid w:val="007D2907"/>
    <w:rsid w:val="007D290F"/>
    <w:rsid w:val="007D2919"/>
    <w:rsid w:val="007D2927"/>
    <w:rsid w:val="007D292E"/>
    <w:rsid w:val="007D2939"/>
    <w:rsid w:val="007D293C"/>
    <w:rsid w:val="007D2953"/>
    <w:rsid w:val="007D2968"/>
    <w:rsid w:val="007D2988"/>
    <w:rsid w:val="007D298F"/>
    <w:rsid w:val="007D2991"/>
    <w:rsid w:val="007D29A7"/>
    <w:rsid w:val="007D29B2"/>
    <w:rsid w:val="007D29EE"/>
    <w:rsid w:val="007D2A4F"/>
    <w:rsid w:val="007D2A60"/>
    <w:rsid w:val="007D2A73"/>
    <w:rsid w:val="007D2A9D"/>
    <w:rsid w:val="007D2B1F"/>
    <w:rsid w:val="007D2B51"/>
    <w:rsid w:val="007D2BAC"/>
    <w:rsid w:val="007D2BD0"/>
    <w:rsid w:val="007D2C06"/>
    <w:rsid w:val="007D2C0C"/>
    <w:rsid w:val="007D2C14"/>
    <w:rsid w:val="007D2C31"/>
    <w:rsid w:val="007D2C7F"/>
    <w:rsid w:val="007D2C8E"/>
    <w:rsid w:val="007D2CEA"/>
    <w:rsid w:val="007D2CF9"/>
    <w:rsid w:val="007D2D38"/>
    <w:rsid w:val="007D2D4C"/>
    <w:rsid w:val="007D2D9F"/>
    <w:rsid w:val="007D2DB4"/>
    <w:rsid w:val="007D2DCB"/>
    <w:rsid w:val="007D2DE1"/>
    <w:rsid w:val="007D2DEE"/>
    <w:rsid w:val="007D2E0C"/>
    <w:rsid w:val="007D2E66"/>
    <w:rsid w:val="007D2E99"/>
    <w:rsid w:val="007D2EB8"/>
    <w:rsid w:val="007D2F11"/>
    <w:rsid w:val="007D2F4A"/>
    <w:rsid w:val="007D2F4D"/>
    <w:rsid w:val="007D2F56"/>
    <w:rsid w:val="007D2F6B"/>
    <w:rsid w:val="007D2FCC"/>
    <w:rsid w:val="007D300E"/>
    <w:rsid w:val="007D3039"/>
    <w:rsid w:val="007D30A2"/>
    <w:rsid w:val="007D30D8"/>
    <w:rsid w:val="007D30E5"/>
    <w:rsid w:val="007D3170"/>
    <w:rsid w:val="007D3184"/>
    <w:rsid w:val="007D3185"/>
    <w:rsid w:val="007D31FE"/>
    <w:rsid w:val="007D323E"/>
    <w:rsid w:val="007D327C"/>
    <w:rsid w:val="007D32C5"/>
    <w:rsid w:val="007D3357"/>
    <w:rsid w:val="007D335D"/>
    <w:rsid w:val="007D3367"/>
    <w:rsid w:val="007D3371"/>
    <w:rsid w:val="007D3376"/>
    <w:rsid w:val="007D3382"/>
    <w:rsid w:val="007D33AA"/>
    <w:rsid w:val="007D342F"/>
    <w:rsid w:val="007D347F"/>
    <w:rsid w:val="007D34BE"/>
    <w:rsid w:val="007D34D6"/>
    <w:rsid w:val="007D351F"/>
    <w:rsid w:val="007D3553"/>
    <w:rsid w:val="007D3554"/>
    <w:rsid w:val="007D35A8"/>
    <w:rsid w:val="007D35B9"/>
    <w:rsid w:val="007D35BC"/>
    <w:rsid w:val="007D35C8"/>
    <w:rsid w:val="007D35D9"/>
    <w:rsid w:val="007D35F2"/>
    <w:rsid w:val="007D362A"/>
    <w:rsid w:val="007D3678"/>
    <w:rsid w:val="007D3687"/>
    <w:rsid w:val="007D36B1"/>
    <w:rsid w:val="007D36B4"/>
    <w:rsid w:val="007D36BE"/>
    <w:rsid w:val="007D36C4"/>
    <w:rsid w:val="007D36E7"/>
    <w:rsid w:val="007D3711"/>
    <w:rsid w:val="007D3727"/>
    <w:rsid w:val="007D372E"/>
    <w:rsid w:val="007D3776"/>
    <w:rsid w:val="007D37AB"/>
    <w:rsid w:val="007D37C9"/>
    <w:rsid w:val="007D37CC"/>
    <w:rsid w:val="007D37E2"/>
    <w:rsid w:val="007D3816"/>
    <w:rsid w:val="007D3879"/>
    <w:rsid w:val="007D38AB"/>
    <w:rsid w:val="007D38CE"/>
    <w:rsid w:val="007D3907"/>
    <w:rsid w:val="007D3910"/>
    <w:rsid w:val="007D3937"/>
    <w:rsid w:val="007D3966"/>
    <w:rsid w:val="007D397B"/>
    <w:rsid w:val="007D3996"/>
    <w:rsid w:val="007D399C"/>
    <w:rsid w:val="007D39BB"/>
    <w:rsid w:val="007D39F2"/>
    <w:rsid w:val="007D3A3B"/>
    <w:rsid w:val="007D3A5B"/>
    <w:rsid w:val="007D3A90"/>
    <w:rsid w:val="007D3AEE"/>
    <w:rsid w:val="007D3B4B"/>
    <w:rsid w:val="007D3B4C"/>
    <w:rsid w:val="007D3B96"/>
    <w:rsid w:val="007D3BB4"/>
    <w:rsid w:val="007D3C33"/>
    <w:rsid w:val="007D3C37"/>
    <w:rsid w:val="007D3C4E"/>
    <w:rsid w:val="007D3C52"/>
    <w:rsid w:val="007D3C5A"/>
    <w:rsid w:val="007D3C7D"/>
    <w:rsid w:val="007D3CD3"/>
    <w:rsid w:val="007D3CE9"/>
    <w:rsid w:val="007D3D59"/>
    <w:rsid w:val="007D3D5D"/>
    <w:rsid w:val="007D3D6F"/>
    <w:rsid w:val="007D3D72"/>
    <w:rsid w:val="007D3D83"/>
    <w:rsid w:val="007D3D8F"/>
    <w:rsid w:val="007D3DD7"/>
    <w:rsid w:val="007D3DDF"/>
    <w:rsid w:val="007D3E82"/>
    <w:rsid w:val="007D3E94"/>
    <w:rsid w:val="007D3E98"/>
    <w:rsid w:val="007D3EC6"/>
    <w:rsid w:val="007D3F1B"/>
    <w:rsid w:val="007D3F2C"/>
    <w:rsid w:val="007D3F9E"/>
    <w:rsid w:val="007D3FB0"/>
    <w:rsid w:val="007D3FB2"/>
    <w:rsid w:val="007D3FF3"/>
    <w:rsid w:val="007D4006"/>
    <w:rsid w:val="007D408A"/>
    <w:rsid w:val="007D4097"/>
    <w:rsid w:val="007D40D0"/>
    <w:rsid w:val="007D40D9"/>
    <w:rsid w:val="007D40FA"/>
    <w:rsid w:val="007D40FB"/>
    <w:rsid w:val="007D410A"/>
    <w:rsid w:val="007D4125"/>
    <w:rsid w:val="007D412C"/>
    <w:rsid w:val="007D41AB"/>
    <w:rsid w:val="007D41DD"/>
    <w:rsid w:val="007D41E4"/>
    <w:rsid w:val="007D4284"/>
    <w:rsid w:val="007D429E"/>
    <w:rsid w:val="007D42E4"/>
    <w:rsid w:val="007D432D"/>
    <w:rsid w:val="007D4338"/>
    <w:rsid w:val="007D4344"/>
    <w:rsid w:val="007D434A"/>
    <w:rsid w:val="007D4355"/>
    <w:rsid w:val="007D435D"/>
    <w:rsid w:val="007D438C"/>
    <w:rsid w:val="007D43A8"/>
    <w:rsid w:val="007D43DF"/>
    <w:rsid w:val="007D43E8"/>
    <w:rsid w:val="007D43F8"/>
    <w:rsid w:val="007D442C"/>
    <w:rsid w:val="007D4470"/>
    <w:rsid w:val="007D44CD"/>
    <w:rsid w:val="007D44E6"/>
    <w:rsid w:val="007D44ED"/>
    <w:rsid w:val="007D4529"/>
    <w:rsid w:val="007D4537"/>
    <w:rsid w:val="007D455F"/>
    <w:rsid w:val="007D4563"/>
    <w:rsid w:val="007D45C0"/>
    <w:rsid w:val="007D45DD"/>
    <w:rsid w:val="007D45E5"/>
    <w:rsid w:val="007D45E7"/>
    <w:rsid w:val="007D45F5"/>
    <w:rsid w:val="007D45FB"/>
    <w:rsid w:val="007D4650"/>
    <w:rsid w:val="007D4694"/>
    <w:rsid w:val="007D46A3"/>
    <w:rsid w:val="007D471F"/>
    <w:rsid w:val="007D4731"/>
    <w:rsid w:val="007D474E"/>
    <w:rsid w:val="007D4772"/>
    <w:rsid w:val="007D477C"/>
    <w:rsid w:val="007D479F"/>
    <w:rsid w:val="007D47ED"/>
    <w:rsid w:val="007D4807"/>
    <w:rsid w:val="007D4809"/>
    <w:rsid w:val="007D4815"/>
    <w:rsid w:val="007D48D5"/>
    <w:rsid w:val="007D4907"/>
    <w:rsid w:val="007D492C"/>
    <w:rsid w:val="007D4938"/>
    <w:rsid w:val="007D498E"/>
    <w:rsid w:val="007D49CE"/>
    <w:rsid w:val="007D49F5"/>
    <w:rsid w:val="007D4A39"/>
    <w:rsid w:val="007D4A4F"/>
    <w:rsid w:val="007D4AC0"/>
    <w:rsid w:val="007D4B30"/>
    <w:rsid w:val="007D4B32"/>
    <w:rsid w:val="007D4B53"/>
    <w:rsid w:val="007D4B7A"/>
    <w:rsid w:val="007D4B9A"/>
    <w:rsid w:val="007D4BA9"/>
    <w:rsid w:val="007D4BE3"/>
    <w:rsid w:val="007D4C0C"/>
    <w:rsid w:val="007D4C4E"/>
    <w:rsid w:val="007D4C62"/>
    <w:rsid w:val="007D4C6D"/>
    <w:rsid w:val="007D4C7F"/>
    <w:rsid w:val="007D4C80"/>
    <w:rsid w:val="007D4C83"/>
    <w:rsid w:val="007D4C99"/>
    <w:rsid w:val="007D4C9A"/>
    <w:rsid w:val="007D4CDD"/>
    <w:rsid w:val="007D4CF9"/>
    <w:rsid w:val="007D4D70"/>
    <w:rsid w:val="007D4DBF"/>
    <w:rsid w:val="007D4DD6"/>
    <w:rsid w:val="007D4DE7"/>
    <w:rsid w:val="007D4E06"/>
    <w:rsid w:val="007D4E2E"/>
    <w:rsid w:val="007D4E30"/>
    <w:rsid w:val="007D4E47"/>
    <w:rsid w:val="007D4E48"/>
    <w:rsid w:val="007D4E4D"/>
    <w:rsid w:val="007D4E75"/>
    <w:rsid w:val="007D4EC8"/>
    <w:rsid w:val="007D4EEC"/>
    <w:rsid w:val="007D4FCD"/>
    <w:rsid w:val="007D4FD7"/>
    <w:rsid w:val="007D50D5"/>
    <w:rsid w:val="007D50DD"/>
    <w:rsid w:val="007D50FD"/>
    <w:rsid w:val="007D5123"/>
    <w:rsid w:val="007D5133"/>
    <w:rsid w:val="007D517E"/>
    <w:rsid w:val="007D5184"/>
    <w:rsid w:val="007D51A6"/>
    <w:rsid w:val="007D51DD"/>
    <w:rsid w:val="007D5212"/>
    <w:rsid w:val="007D5265"/>
    <w:rsid w:val="007D526D"/>
    <w:rsid w:val="007D5271"/>
    <w:rsid w:val="007D5286"/>
    <w:rsid w:val="007D5297"/>
    <w:rsid w:val="007D52CA"/>
    <w:rsid w:val="007D52E9"/>
    <w:rsid w:val="007D52EA"/>
    <w:rsid w:val="007D5302"/>
    <w:rsid w:val="007D5330"/>
    <w:rsid w:val="007D5357"/>
    <w:rsid w:val="007D53A4"/>
    <w:rsid w:val="007D53AB"/>
    <w:rsid w:val="007D5414"/>
    <w:rsid w:val="007D5424"/>
    <w:rsid w:val="007D5435"/>
    <w:rsid w:val="007D543B"/>
    <w:rsid w:val="007D5457"/>
    <w:rsid w:val="007D54D4"/>
    <w:rsid w:val="007D54F1"/>
    <w:rsid w:val="007D5546"/>
    <w:rsid w:val="007D5548"/>
    <w:rsid w:val="007D55B5"/>
    <w:rsid w:val="007D5664"/>
    <w:rsid w:val="007D566B"/>
    <w:rsid w:val="007D569F"/>
    <w:rsid w:val="007D56BB"/>
    <w:rsid w:val="007D56EE"/>
    <w:rsid w:val="007D56F6"/>
    <w:rsid w:val="007D56F7"/>
    <w:rsid w:val="007D5701"/>
    <w:rsid w:val="007D5797"/>
    <w:rsid w:val="007D57C2"/>
    <w:rsid w:val="007D5843"/>
    <w:rsid w:val="007D585D"/>
    <w:rsid w:val="007D586E"/>
    <w:rsid w:val="007D587D"/>
    <w:rsid w:val="007D5889"/>
    <w:rsid w:val="007D589D"/>
    <w:rsid w:val="007D58AA"/>
    <w:rsid w:val="007D58F6"/>
    <w:rsid w:val="007D58FB"/>
    <w:rsid w:val="007D58FF"/>
    <w:rsid w:val="007D5944"/>
    <w:rsid w:val="007D595C"/>
    <w:rsid w:val="007D59D5"/>
    <w:rsid w:val="007D5A09"/>
    <w:rsid w:val="007D5A22"/>
    <w:rsid w:val="007D5A29"/>
    <w:rsid w:val="007D5A39"/>
    <w:rsid w:val="007D5A76"/>
    <w:rsid w:val="007D5AD8"/>
    <w:rsid w:val="007D5AF9"/>
    <w:rsid w:val="007D5B04"/>
    <w:rsid w:val="007D5B09"/>
    <w:rsid w:val="007D5B10"/>
    <w:rsid w:val="007D5B24"/>
    <w:rsid w:val="007D5B53"/>
    <w:rsid w:val="007D5B56"/>
    <w:rsid w:val="007D5B60"/>
    <w:rsid w:val="007D5B64"/>
    <w:rsid w:val="007D5B8E"/>
    <w:rsid w:val="007D5BA9"/>
    <w:rsid w:val="007D5BC8"/>
    <w:rsid w:val="007D5BD6"/>
    <w:rsid w:val="007D5BDA"/>
    <w:rsid w:val="007D5BF2"/>
    <w:rsid w:val="007D5C11"/>
    <w:rsid w:val="007D5C61"/>
    <w:rsid w:val="007D5C8F"/>
    <w:rsid w:val="007D5CBE"/>
    <w:rsid w:val="007D5D18"/>
    <w:rsid w:val="007D5D2B"/>
    <w:rsid w:val="007D5D49"/>
    <w:rsid w:val="007D5D63"/>
    <w:rsid w:val="007D5D65"/>
    <w:rsid w:val="007D5D7D"/>
    <w:rsid w:val="007D5E0B"/>
    <w:rsid w:val="007D5E1F"/>
    <w:rsid w:val="007D5E63"/>
    <w:rsid w:val="007D5FDB"/>
    <w:rsid w:val="007D6014"/>
    <w:rsid w:val="007D6015"/>
    <w:rsid w:val="007D6017"/>
    <w:rsid w:val="007D607D"/>
    <w:rsid w:val="007D6087"/>
    <w:rsid w:val="007D608B"/>
    <w:rsid w:val="007D60BD"/>
    <w:rsid w:val="007D6117"/>
    <w:rsid w:val="007D611B"/>
    <w:rsid w:val="007D6123"/>
    <w:rsid w:val="007D612A"/>
    <w:rsid w:val="007D6158"/>
    <w:rsid w:val="007D61B8"/>
    <w:rsid w:val="007D61DB"/>
    <w:rsid w:val="007D6210"/>
    <w:rsid w:val="007D621C"/>
    <w:rsid w:val="007D6221"/>
    <w:rsid w:val="007D622F"/>
    <w:rsid w:val="007D625A"/>
    <w:rsid w:val="007D6265"/>
    <w:rsid w:val="007D6268"/>
    <w:rsid w:val="007D62A0"/>
    <w:rsid w:val="007D62B3"/>
    <w:rsid w:val="007D6389"/>
    <w:rsid w:val="007D638D"/>
    <w:rsid w:val="007D6391"/>
    <w:rsid w:val="007D63BC"/>
    <w:rsid w:val="007D6413"/>
    <w:rsid w:val="007D642E"/>
    <w:rsid w:val="007D6449"/>
    <w:rsid w:val="007D6454"/>
    <w:rsid w:val="007D6465"/>
    <w:rsid w:val="007D64CF"/>
    <w:rsid w:val="007D64F6"/>
    <w:rsid w:val="007D6536"/>
    <w:rsid w:val="007D6576"/>
    <w:rsid w:val="007D6587"/>
    <w:rsid w:val="007D6596"/>
    <w:rsid w:val="007D65A2"/>
    <w:rsid w:val="007D65AC"/>
    <w:rsid w:val="007D65EC"/>
    <w:rsid w:val="007D6618"/>
    <w:rsid w:val="007D6626"/>
    <w:rsid w:val="007D664A"/>
    <w:rsid w:val="007D6667"/>
    <w:rsid w:val="007D6714"/>
    <w:rsid w:val="007D6727"/>
    <w:rsid w:val="007D673D"/>
    <w:rsid w:val="007D6776"/>
    <w:rsid w:val="007D679B"/>
    <w:rsid w:val="007D67A5"/>
    <w:rsid w:val="007D67D6"/>
    <w:rsid w:val="007D685A"/>
    <w:rsid w:val="007D68B9"/>
    <w:rsid w:val="007D68C1"/>
    <w:rsid w:val="007D691E"/>
    <w:rsid w:val="007D693A"/>
    <w:rsid w:val="007D694F"/>
    <w:rsid w:val="007D6993"/>
    <w:rsid w:val="007D69BD"/>
    <w:rsid w:val="007D6A0C"/>
    <w:rsid w:val="007D6A96"/>
    <w:rsid w:val="007D6AC4"/>
    <w:rsid w:val="007D6AC6"/>
    <w:rsid w:val="007D6AEB"/>
    <w:rsid w:val="007D6B38"/>
    <w:rsid w:val="007D6B71"/>
    <w:rsid w:val="007D6BA5"/>
    <w:rsid w:val="007D6BCC"/>
    <w:rsid w:val="007D6BEE"/>
    <w:rsid w:val="007D6BF1"/>
    <w:rsid w:val="007D6C4A"/>
    <w:rsid w:val="007D6C51"/>
    <w:rsid w:val="007D6C57"/>
    <w:rsid w:val="007D6C76"/>
    <w:rsid w:val="007D6C8C"/>
    <w:rsid w:val="007D6C91"/>
    <w:rsid w:val="007D6CD6"/>
    <w:rsid w:val="007D6CE1"/>
    <w:rsid w:val="007D6CF9"/>
    <w:rsid w:val="007D6D03"/>
    <w:rsid w:val="007D6D0A"/>
    <w:rsid w:val="007D6D43"/>
    <w:rsid w:val="007D6D5F"/>
    <w:rsid w:val="007D6E25"/>
    <w:rsid w:val="007D6E38"/>
    <w:rsid w:val="007D6E39"/>
    <w:rsid w:val="007D6E70"/>
    <w:rsid w:val="007D6E75"/>
    <w:rsid w:val="007D6E9B"/>
    <w:rsid w:val="007D6E9D"/>
    <w:rsid w:val="007D6EB5"/>
    <w:rsid w:val="007D6F1C"/>
    <w:rsid w:val="007D6F69"/>
    <w:rsid w:val="007D6F79"/>
    <w:rsid w:val="007D6F7F"/>
    <w:rsid w:val="007D6FB6"/>
    <w:rsid w:val="007D6FD2"/>
    <w:rsid w:val="007D6FF7"/>
    <w:rsid w:val="007D6FFE"/>
    <w:rsid w:val="007D70A3"/>
    <w:rsid w:val="007D70A4"/>
    <w:rsid w:val="007D70F0"/>
    <w:rsid w:val="007D70FE"/>
    <w:rsid w:val="007D7116"/>
    <w:rsid w:val="007D7131"/>
    <w:rsid w:val="007D7146"/>
    <w:rsid w:val="007D714B"/>
    <w:rsid w:val="007D71B9"/>
    <w:rsid w:val="007D71BA"/>
    <w:rsid w:val="007D71C7"/>
    <w:rsid w:val="007D722C"/>
    <w:rsid w:val="007D7246"/>
    <w:rsid w:val="007D730C"/>
    <w:rsid w:val="007D730E"/>
    <w:rsid w:val="007D731A"/>
    <w:rsid w:val="007D7323"/>
    <w:rsid w:val="007D732B"/>
    <w:rsid w:val="007D732D"/>
    <w:rsid w:val="007D735A"/>
    <w:rsid w:val="007D73A3"/>
    <w:rsid w:val="007D73A5"/>
    <w:rsid w:val="007D73BC"/>
    <w:rsid w:val="007D73C8"/>
    <w:rsid w:val="007D73F4"/>
    <w:rsid w:val="007D746F"/>
    <w:rsid w:val="007D7493"/>
    <w:rsid w:val="007D74AD"/>
    <w:rsid w:val="007D74B0"/>
    <w:rsid w:val="007D74B9"/>
    <w:rsid w:val="007D74D4"/>
    <w:rsid w:val="007D74D6"/>
    <w:rsid w:val="007D74DB"/>
    <w:rsid w:val="007D7507"/>
    <w:rsid w:val="007D750C"/>
    <w:rsid w:val="007D7541"/>
    <w:rsid w:val="007D7542"/>
    <w:rsid w:val="007D7594"/>
    <w:rsid w:val="007D75A7"/>
    <w:rsid w:val="007D75A9"/>
    <w:rsid w:val="007D75BD"/>
    <w:rsid w:val="007D75E2"/>
    <w:rsid w:val="007D75E4"/>
    <w:rsid w:val="007D762B"/>
    <w:rsid w:val="007D7695"/>
    <w:rsid w:val="007D76C3"/>
    <w:rsid w:val="007D76D6"/>
    <w:rsid w:val="007D76E1"/>
    <w:rsid w:val="007D773C"/>
    <w:rsid w:val="007D776D"/>
    <w:rsid w:val="007D7780"/>
    <w:rsid w:val="007D7787"/>
    <w:rsid w:val="007D779D"/>
    <w:rsid w:val="007D77AC"/>
    <w:rsid w:val="007D77B3"/>
    <w:rsid w:val="007D77EE"/>
    <w:rsid w:val="007D7828"/>
    <w:rsid w:val="007D7831"/>
    <w:rsid w:val="007D7841"/>
    <w:rsid w:val="007D7855"/>
    <w:rsid w:val="007D78BF"/>
    <w:rsid w:val="007D78CC"/>
    <w:rsid w:val="007D792C"/>
    <w:rsid w:val="007D7972"/>
    <w:rsid w:val="007D79B0"/>
    <w:rsid w:val="007D7A0A"/>
    <w:rsid w:val="007D7A7D"/>
    <w:rsid w:val="007D7A92"/>
    <w:rsid w:val="007D7ADD"/>
    <w:rsid w:val="007D7AEF"/>
    <w:rsid w:val="007D7B01"/>
    <w:rsid w:val="007D7B05"/>
    <w:rsid w:val="007D7B1E"/>
    <w:rsid w:val="007D7B71"/>
    <w:rsid w:val="007D7B7E"/>
    <w:rsid w:val="007D7B8D"/>
    <w:rsid w:val="007D7B9F"/>
    <w:rsid w:val="007D7BA9"/>
    <w:rsid w:val="007D7BAA"/>
    <w:rsid w:val="007D7BC4"/>
    <w:rsid w:val="007D7BFB"/>
    <w:rsid w:val="007D7C02"/>
    <w:rsid w:val="007D7C51"/>
    <w:rsid w:val="007D7C6E"/>
    <w:rsid w:val="007D7C7A"/>
    <w:rsid w:val="007D7C85"/>
    <w:rsid w:val="007D7CCD"/>
    <w:rsid w:val="007D7CEF"/>
    <w:rsid w:val="007D7D03"/>
    <w:rsid w:val="007D7D7C"/>
    <w:rsid w:val="007D7D7D"/>
    <w:rsid w:val="007D7E1D"/>
    <w:rsid w:val="007D7E27"/>
    <w:rsid w:val="007D7E86"/>
    <w:rsid w:val="007D7EBB"/>
    <w:rsid w:val="007D7EDA"/>
    <w:rsid w:val="007D7EDE"/>
    <w:rsid w:val="007D7F2D"/>
    <w:rsid w:val="007D7F5E"/>
    <w:rsid w:val="007D7F7E"/>
    <w:rsid w:val="007D7FA1"/>
    <w:rsid w:val="007D7FCB"/>
    <w:rsid w:val="007D7FEA"/>
    <w:rsid w:val="007D7FF6"/>
    <w:rsid w:val="007E001C"/>
    <w:rsid w:val="007E0055"/>
    <w:rsid w:val="007E007D"/>
    <w:rsid w:val="007E014D"/>
    <w:rsid w:val="007E016D"/>
    <w:rsid w:val="007E0181"/>
    <w:rsid w:val="007E018B"/>
    <w:rsid w:val="007E0195"/>
    <w:rsid w:val="007E01FA"/>
    <w:rsid w:val="007E01FC"/>
    <w:rsid w:val="007E0208"/>
    <w:rsid w:val="007E024B"/>
    <w:rsid w:val="007E0255"/>
    <w:rsid w:val="007E0271"/>
    <w:rsid w:val="007E02BA"/>
    <w:rsid w:val="007E02C2"/>
    <w:rsid w:val="007E02E6"/>
    <w:rsid w:val="007E032A"/>
    <w:rsid w:val="007E0338"/>
    <w:rsid w:val="007E0347"/>
    <w:rsid w:val="007E0372"/>
    <w:rsid w:val="007E039F"/>
    <w:rsid w:val="007E03BE"/>
    <w:rsid w:val="007E03C2"/>
    <w:rsid w:val="007E03D8"/>
    <w:rsid w:val="007E03E5"/>
    <w:rsid w:val="007E03E8"/>
    <w:rsid w:val="007E0446"/>
    <w:rsid w:val="007E045C"/>
    <w:rsid w:val="007E045E"/>
    <w:rsid w:val="007E04CC"/>
    <w:rsid w:val="007E0521"/>
    <w:rsid w:val="007E0522"/>
    <w:rsid w:val="007E058E"/>
    <w:rsid w:val="007E0597"/>
    <w:rsid w:val="007E05A7"/>
    <w:rsid w:val="007E05BE"/>
    <w:rsid w:val="007E05C4"/>
    <w:rsid w:val="007E061B"/>
    <w:rsid w:val="007E0693"/>
    <w:rsid w:val="007E06F9"/>
    <w:rsid w:val="007E070C"/>
    <w:rsid w:val="007E077F"/>
    <w:rsid w:val="007E0791"/>
    <w:rsid w:val="007E07E5"/>
    <w:rsid w:val="007E07F5"/>
    <w:rsid w:val="007E0803"/>
    <w:rsid w:val="007E0818"/>
    <w:rsid w:val="007E082C"/>
    <w:rsid w:val="007E0839"/>
    <w:rsid w:val="007E0841"/>
    <w:rsid w:val="007E0858"/>
    <w:rsid w:val="007E08F1"/>
    <w:rsid w:val="007E090B"/>
    <w:rsid w:val="007E092D"/>
    <w:rsid w:val="007E098B"/>
    <w:rsid w:val="007E09F2"/>
    <w:rsid w:val="007E09F7"/>
    <w:rsid w:val="007E0A0D"/>
    <w:rsid w:val="007E0A21"/>
    <w:rsid w:val="007E0A29"/>
    <w:rsid w:val="007E0A4A"/>
    <w:rsid w:val="007E0A56"/>
    <w:rsid w:val="007E0A59"/>
    <w:rsid w:val="007E0A5C"/>
    <w:rsid w:val="007E0AA2"/>
    <w:rsid w:val="007E0AB5"/>
    <w:rsid w:val="007E0AE5"/>
    <w:rsid w:val="007E0B0D"/>
    <w:rsid w:val="007E0B23"/>
    <w:rsid w:val="007E0B47"/>
    <w:rsid w:val="007E0B5F"/>
    <w:rsid w:val="007E0B6A"/>
    <w:rsid w:val="007E0B8F"/>
    <w:rsid w:val="007E0BA0"/>
    <w:rsid w:val="007E0BB9"/>
    <w:rsid w:val="007E0BC5"/>
    <w:rsid w:val="007E0BD7"/>
    <w:rsid w:val="007E0BFE"/>
    <w:rsid w:val="007E0C23"/>
    <w:rsid w:val="007E0C42"/>
    <w:rsid w:val="007E0CBE"/>
    <w:rsid w:val="007E0D2D"/>
    <w:rsid w:val="007E0D56"/>
    <w:rsid w:val="007E0D8C"/>
    <w:rsid w:val="007E0D8E"/>
    <w:rsid w:val="007E0DE7"/>
    <w:rsid w:val="007E0DF2"/>
    <w:rsid w:val="007E0E03"/>
    <w:rsid w:val="007E0E1D"/>
    <w:rsid w:val="007E0E5C"/>
    <w:rsid w:val="007E0ED1"/>
    <w:rsid w:val="007E0EDA"/>
    <w:rsid w:val="007E0EEC"/>
    <w:rsid w:val="007E0EEF"/>
    <w:rsid w:val="007E0F26"/>
    <w:rsid w:val="007E0F29"/>
    <w:rsid w:val="007E0F32"/>
    <w:rsid w:val="007E0F42"/>
    <w:rsid w:val="007E0F47"/>
    <w:rsid w:val="007E0F76"/>
    <w:rsid w:val="007E0FC2"/>
    <w:rsid w:val="007E0FF0"/>
    <w:rsid w:val="007E1015"/>
    <w:rsid w:val="007E1016"/>
    <w:rsid w:val="007E106A"/>
    <w:rsid w:val="007E106F"/>
    <w:rsid w:val="007E1145"/>
    <w:rsid w:val="007E11F7"/>
    <w:rsid w:val="007E1237"/>
    <w:rsid w:val="007E1239"/>
    <w:rsid w:val="007E123B"/>
    <w:rsid w:val="007E1284"/>
    <w:rsid w:val="007E128E"/>
    <w:rsid w:val="007E12A8"/>
    <w:rsid w:val="007E12AA"/>
    <w:rsid w:val="007E1336"/>
    <w:rsid w:val="007E1347"/>
    <w:rsid w:val="007E135C"/>
    <w:rsid w:val="007E1364"/>
    <w:rsid w:val="007E139E"/>
    <w:rsid w:val="007E13C2"/>
    <w:rsid w:val="007E141A"/>
    <w:rsid w:val="007E1456"/>
    <w:rsid w:val="007E14A0"/>
    <w:rsid w:val="007E14CE"/>
    <w:rsid w:val="007E14F0"/>
    <w:rsid w:val="007E1500"/>
    <w:rsid w:val="007E1525"/>
    <w:rsid w:val="007E153F"/>
    <w:rsid w:val="007E1549"/>
    <w:rsid w:val="007E157D"/>
    <w:rsid w:val="007E15CB"/>
    <w:rsid w:val="007E15E9"/>
    <w:rsid w:val="007E15EE"/>
    <w:rsid w:val="007E15F6"/>
    <w:rsid w:val="007E1628"/>
    <w:rsid w:val="007E1633"/>
    <w:rsid w:val="007E1639"/>
    <w:rsid w:val="007E165F"/>
    <w:rsid w:val="007E1665"/>
    <w:rsid w:val="007E16D1"/>
    <w:rsid w:val="007E16DB"/>
    <w:rsid w:val="007E1701"/>
    <w:rsid w:val="007E170C"/>
    <w:rsid w:val="007E1726"/>
    <w:rsid w:val="007E1797"/>
    <w:rsid w:val="007E17E8"/>
    <w:rsid w:val="007E1826"/>
    <w:rsid w:val="007E1839"/>
    <w:rsid w:val="007E18D7"/>
    <w:rsid w:val="007E18DB"/>
    <w:rsid w:val="007E18F8"/>
    <w:rsid w:val="007E18FA"/>
    <w:rsid w:val="007E1916"/>
    <w:rsid w:val="007E1923"/>
    <w:rsid w:val="007E1935"/>
    <w:rsid w:val="007E1936"/>
    <w:rsid w:val="007E1939"/>
    <w:rsid w:val="007E1949"/>
    <w:rsid w:val="007E1977"/>
    <w:rsid w:val="007E198B"/>
    <w:rsid w:val="007E19DE"/>
    <w:rsid w:val="007E19F9"/>
    <w:rsid w:val="007E19FA"/>
    <w:rsid w:val="007E1A02"/>
    <w:rsid w:val="007E1A37"/>
    <w:rsid w:val="007E1A46"/>
    <w:rsid w:val="007E1A9B"/>
    <w:rsid w:val="007E1AD6"/>
    <w:rsid w:val="007E1AD9"/>
    <w:rsid w:val="007E1AF3"/>
    <w:rsid w:val="007E1AF8"/>
    <w:rsid w:val="007E1B06"/>
    <w:rsid w:val="007E1B0F"/>
    <w:rsid w:val="007E1B15"/>
    <w:rsid w:val="007E1B60"/>
    <w:rsid w:val="007E1B71"/>
    <w:rsid w:val="007E1B79"/>
    <w:rsid w:val="007E1BA8"/>
    <w:rsid w:val="007E1C59"/>
    <w:rsid w:val="007E1C78"/>
    <w:rsid w:val="007E1C7D"/>
    <w:rsid w:val="007E1C83"/>
    <w:rsid w:val="007E1CB3"/>
    <w:rsid w:val="007E1D18"/>
    <w:rsid w:val="007E1D1F"/>
    <w:rsid w:val="007E1D4B"/>
    <w:rsid w:val="007E1D5D"/>
    <w:rsid w:val="007E1DB4"/>
    <w:rsid w:val="007E1DC1"/>
    <w:rsid w:val="007E1E0D"/>
    <w:rsid w:val="007E1E2B"/>
    <w:rsid w:val="007E1E59"/>
    <w:rsid w:val="007E1E81"/>
    <w:rsid w:val="007E1E98"/>
    <w:rsid w:val="007E1EB5"/>
    <w:rsid w:val="007E1EC1"/>
    <w:rsid w:val="007E1EFF"/>
    <w:rsid w:val="007E1F01"/>
    <w:rsid w:val="007E1F31"/>
    <w:rsid w:val="007E1F47"/>
    <w:rsid w:val="007E1F68"/>
    <w:rsid w:val="007E1F6E"/>
    <w:rsid w:val="007E1F7B"/>
    <w:rsid w:val="007E1FFF"/>
    <w:rsid w:val="007E2053"/>
    <w:rsid w:val="007E206C"/>
    <w:rsid w:val="007E207F"/>
    <w:rsid w:val="007E2092"/>
    <w:rsid w:val="007E20FE"/>
    <w:rsid w:val="007E2150"/>
    <w:rsid w:val="007E21AA"/>
    <w:rsid w:val="007E21F4"/>
    <w:rsid w:val="007E21FA"/>
    <w:rsid w:val="007E21FB"/>
    <w:rsid w:val="007E2247"/>
    <w:rsid w:val="007E2249"/>
    <w:rsid w:val="007E2285"/>
    <w:rsid w:val="007E22A4"/>
    <w:rsid w:val="007E2313"/>
    <w:rsid w:val="007E231C"/>
    <w:rsid w:val="007E235A"/>
    <w:rsid w:val="007E237C"/>
    <w:rsid w:val="007E2397"/>
    <w:rsid w:val="007E23A3"/>
    <w:rsid w:val="007E2428"/>
    <w:rsid w:val="007E2438"/>
    <w:rsid w:val="007E244E"/>
    <w:rsid w:val="007E24A5"/>
    <w:rsid w:val="007E24A7"/>
    <w:rsid w:val="007E24B4"/>
    <w:rsid w:val="007E24DC"/>
    <w:rsid w:val="007E250E"/>
    <w:rsid w:val="007E251E"/>
    <w:rsid w:val="007E2534"/>
    <w:rsid w:val="007E25C5"/>
    <w:rsid w:val="007E25D8"/>
    <w:rsid w:val="007E25DF"/>
    <w:rsid w:val="007E25E8"/>
    <w:rsid w:val="007E25EC"/>
    <w:rsid w:val="007E2604"/>
    <w:rsid w:val="007E264B"/>
    <w:rsid w:val="007E2659"/>
    <w:rsid w:val="007E2664"/>
    <w:rsid w:val="007E26A8"/>
    <w:rsid w:val="007E26CB"/>
    <w:rsid w:val="007E26CD"/>
    <w:rsid w:val="007E2739"/>
    <w:rsid w:val="007E273C"/>
    <w:rsid w:val="007E273E"/>
    <w:rsid w:val="007E2789"/>
    <w:rsid w:val="007E278C"/>
    <w:rsid w:val="007E27DA"/>
    <w:rsid w:val="007E27DD"/>
    <w:rsid w:val="007E2813"/>
    <w:rsid w:val="007E281C"/>
    <w:rsid w:val="007E2847"/>
    <w:rsid w:val="007E288D"/>
    <w:rsid w:val="007E28A9"/>
    <w:rsid w:val="007E290E"/>
    <w:rsid w:val="007E2913"/>
    <w:rsid w:val="007E295B"/>
    <w:rsid w:val="007E2992"/>
    <w:rsid w:val="007E29FC"/>
    <w:rsid w:val="007E2A03"/>
    <w:rsid w:val="007E2A06"/>
    <w:rsid w:val="007E2A1B"/>
    <w:rsid w:val="007E2A46"/>
    <w:rsid w:val="007E2AA3"/>
    <w:rsid w:val="007E2ABB"/>
    <w:rsid w:val="007E2AD8"/>
    <w:rsid w:val="007E2AEE"/>
    <w:rsid w:val="007E2B2D"/>
    <w:rsid w:val="007E2BAD"/>
    <w:rsid w:val="007E2C21"/>
    <w:rsid w:val="007E2C2A"/>
    <w:rsid w:val="007E2C32"/>
    <w:rsid w:val="007E2C89"/>
    <w:rsid w:val="007E2C8E"/>
    <w:rsid w:val="007E2CF9"/>
    <w:rsid w:val="007E2D20"/>
    <w:rsid w:val="007E2D51"/>
    <w:rsid w:val="007E2D55"/>
    <w:rsid w:val="007E2D74"/>
    <w:rsid w:val="007E2D87"/>
    <w:rsid w:val="007E2E2B"/>
    <w:rsid w:val="007E2E30"/>
    <w:rsid w:val="007E2E36"/>
    <w:rsid w:val="007E2E67"/>
    <w:rsid w:val="007E2E7D"/>
    <w:rsid w:val="007E2E8C"/>
    <w:rsid w:val="007E2E92"/>
    <w:rsid w:val="007E2E94"/>
    <w:rsid w:val="007E2EDA"/>
    <w:rsid w:val="007E2EF1"/>
    <w:rsid w:val="007E2F3C"/>
    <w:rsid w:val="007E2F4A"/>
    <w:rsid w:val="007E2F7A"/>
    <w:rsid w:val="007E2FC1"/>
    <w:rsid w:val="007E2FF2"/>
    <w:rsid w:val="007E2FF8"/>
    <w:rsid w:val="007E300A"/>
    <w:rsid w:val="007E3077"/>
    <w:rsid w:val="007E30AC"/>
    <w:rsid w:val="007E30B5"/>
    <w:rsid w:val="007E30EF"/>
    <w:rsid w:val="007E3130"/>
    <w:rsid w:val="007E314E"/>
    <w:rsid w:val="007E3158"/>
    <w:rsid w:val="007E324B"/>
    <w:rsid w:val="007E3274"/>
    <w:rsid w:val="007E32A1"/>
    <w:rsid w:val="007E32B3"/>
    <w:rsid w:val="007E32D8"/>
    <w:rsid w:val="007E32E2"/>
    <w:rsid w:val="007E32EC"/>
    <w:rsid w:val="007E32F9"/>
    <w:rsid w:val="007E334A"/>
    <w:rsid w:val="007E3378"/>
    <w:rsid w:val="007E337B"/>
    <w:rsid w:val="007E3478"/>
    <w:rsid w:val="007E34B5"/>
    <w:rsid w:val="007E34D4"/>
    <w:rsid w:val="007E34D5"/>
    <w:rsid w:val="007E3568"/>
    <w:rsid w:val="007E357A"/>
    <w:rsid w:val="007E35D5"/>
    <w:rsid w:val="007E35E0"/>
    <w:rsid w:val="007E35E4"/>
    <w:rsid w:val="007E35EE"/>
    <w:rsid w:val="007E361D"/>
    <w:rsid w:val="007E3688"/>
    <w:rsid w:val="007E368F"/>
    <w:rsid w:val="007E36C2"/>
    <w:rsid w:val="007E36E0"/>
    <w:rsid w:val="007E36E7"/>
    <w:rsid w:val="007E3705"/>
    <w:rsid w:val="007E3723"/>
    <w:rsid w:val="007E374C"/>
    <w:rsid w:val="007E3758"/>
    <w:rsid w:val="007E3768"/>
    <w:rsid w:val="007E3774"/>
    <w:rsid w:val="007E3789"/>
    <w:rsid w:val="007E37B2"/>
    <w:rsid w:val="007E37C6"/>
    <w:rsid w:val="007E37D5"/>
    <w:rsid w:val="007E37DD"/>
    <w:rsid w:val="007E38A8"/>
    <w:rsid w:val="007E3900"/>
    <w:rsid w:val="007E392B"/>
    <w:rsid w:val="007E3935"/>
    <w:rsid w:val="007E393D"/>
    <w:rsid w:val="007E397B"/>
    <w:rsid w:val="007E39DE"/>
    <w:rsid w:val="007E3A02"/>
    <w:rsid w:val="007E3A31"/>
    <w:rsid w:val="007E3A48"/>
    <w:rsid w:val="007E3A60"/>
    <w:rsid w:val="007E3A63"/>
    <w:rsid w:val="007E3A8B"/>
    <w:rsid w:val="007E3ADF"/>
    <w:rsid w:val="007E3AE2"/>
    <w:rsid w:val="007E3B02"/>
    <w:rsid w:val="007E3B25"/>
    <w:rsid w:val="007E3B33"/>
    <w:rsid w:val="007E3BA8"/>
    <w:rsid w:val="007E3C3B"/>
    <w:rsid w:val="007E3C88"/>
    <w:rsid w:val="007E3C95"/>
    <w:rsid w:val="007E3CA1"/>
    <w:rsid w:val="007E3CAF"/>
    <w:rsid w:val="007E3CC3"/>
    <w:rsid w:val="007E3D19"/>
    <w:rsid w:val="007E3D23"/>
    <w:rsid w:val="007E3D36"/>
    <w:rsid w:val="007E3D50"/>
    <w:rsid w:val="007E3DC5"/>
    <w:rsid w:val="007E3DC6"/>
    <w:rsid w:val="007E3DCB"/>
    <w:rsid w:val="007E3DEF"/>
    <w:rsid w:val="007E3E30"/>
    <w:rsid w:val="007E3E5B"/>
    <w:rsid w:val="007E3EC8"/>
    <w:rsid w:val="007E3ECA"/>
    <w:rsid w:val="007E3ECF"/>
    <w:rsid w:val="007E3EE1"/>
    <w:rsid w:val="007E3EFD"/>
    <w:rsid w:val="007E3FAA"/>
    <w:rsid w:val="007E4023"/>
    <w:rsid w:val="007E4040"/>
    <w:rsid w:val="007E4077"/>
    <w:rsid w:val="007E407C"/>
    <w:rsid w:val="007E40DA"/>
    <w:rsid w:val="007E40E7"/>
    <w:rsid w:val="007E41AE"/>
    <w:rsid w:val="007E41B4"/>
    <w:rsid w:val="007E41E0"/>
    <w:rsid w:val="007E41E4"/>
    <w:rsid w:val="007E4205"/>
    <w:rsid w:val="007E4221"/>
    <w:rsid w:val="007E4235"/>
    <w:rsid w:val="007E423A"/>
    <w:rsid w:val="007E4250"/>
    <w:rsid w:val="007E428E"/>
    <w:rsid w:val="007E429A"/>
    <w:rsid w:val="007E42C1"/>
    <w:rsid w:val="007E42C9"/>
    <w:rsid w:val="007E42D3"/>
    <w:rsid w:val="007E4306"/>
    <w:rsid w:val="007E433C"/>
    <w:rsid w:val="007E4349"/>
    <w:rsid w:val="007E43AA"/>
    <w:rsid w:val="007E43B2"/>
    <w:rsid w:val="007E43BE"/>
    <w:rsid w:val="007E4404"/>
    <w:rsid w:val="007E4446"/>
    <w:rsid w:val="007E444D"/>
    <w:rsid w:val="007E4457"/>
    <w:rsid w:val="007E4469"/>
    <w:rsid w:val="007E44A9"/>
    <w:rsid w:val="007E44C9"/>
    <w:rsid w:val="007E44E7"/>
    <w:rsid w:val="007E4524"/>
    <w:rsid w:val="007E4529"/>
    <w:rsid w:val="007E4533"/>
    <w:rsid w:val="007E4548"/>
    <w:rsid w:val="007E4573"/>
    <w:rsid w:val="007E4574"/>
    <w:rsid w:val="007E4584"/>
    <w:rsid w:val="007E45EC"/>
    <w:rsid w:val="007E45F5"/>
    <w:rsid w:val="007E463B"/>
    <w:rsid w:val="007E4677"/>
    <w:rsid w:val="007E468D"/>
    <w:rsid w:val="007E46A1"/>
    <w:rsid w:val="007E46B5"/>
    <w:rsid w:val="007E4716"/>
    <w:rsid w:val="007E474C"/>
    <w:rsid w:val="007E476D"/>
    <w:rsid w:val="007E47C5"/>
    <w:rsid w:val="007E4817"/>
    <w:rsid w:val="007E48DC"/>
    <w:rsid w:val="007E48DD"/>
    <w:rsid w:val="007E48E8"/>
    <w:rsid w:val="007E48EB"/>
    <w:rsid w:val="007E48F3"/>
    <w:rsid w:val="007E491F"/>
    <w:rsid w:val="007E492B"/>
    <w:rsid w:val="007E492E"/>
    <w:rsid w:val="007E4933"/>
    <w:rsid w:val="007E4951"/>
    <w:rsid w:val="007E4974"/>
    <w:rsid w:val="007E4986"/>
    <w:rsid w:val="007E49A3"/>
    <w:rsid w:val="007E49D4"/>
    <w:rsid w:val="007E49E4"/>
    <w:rsid w:val="007E49FE"/>
    <w:rsid w:val="007E4A4D"/>
    <w:rsid w:val="007E4A52"/>
    <w:rsid w:val="007E4A57"/>
    <w:rsid w:val="007E4B14"/>
    <w:rsid w:val="007E4B3A"/>
    <w:rsid w:val="007E4B61"/>
    <w:rsid w:val="007E4BD2"/>
    <w:rsid w:val="007E4BD5"/>
    <w:rsid w:val="007E4BF6"/>
    <w:rsid w:val="007E4C22"/>
    <w:rsid w:val="007E4C26"/>
    <w:rsid w:val="007E4C38"/>
    <w:rsid w:val="007E4C45"/>
    <w:rsid w:val="007E4C62"/>
    <w:rsid w:val="007E4C86"/>
    <w:rsid w:val="007E4CA9"/>
    <w:rsid w:val="007E4D10"/>
    <w:rsid w:val="007E4D41"/>
    <w:rsid w:val="007E4D6B"/>
    <w:rsid w:val="007E4D6F"/>
    <w:rsid w:val="007E4E17"/>
    <w:rsid w:val="007E4E59"/>
    <w:rsid w:val="007E4E8C"/>
    <w:rsid w:val="007E4EA3"/>
    <w:rsid w:val="007E4EB5"/>
    <w:rsid w:val="007E4ECA"/>
    <w:rsid w:val="007E4F19"/>
    <w:rsid w:val="007E4F30"/>
    <w:rsid w:val="007E4F9B"/>
    <w:rsid w:val="007E4FEE"/>
    <w:rsid w:val="007E501F"/>
    <w:rsid w:val="007E5039"/>
    <w:rsid w:val="007E509F"/>
    <w:rsid w:val="007E50FF"/>
    <w:rsid w:val="007E5126"/>
    <w:rsid w:val="007E5147"/>
    <w:rsid w:val="007E5151"/>
    <w:rsid w:val="007E5161"/>
    <w:rsid w:val="007E518D"/>
    <w:rsid w:val="007E5194"/>
    <w:rsid w:val="007E51B7"/>
    <w:rsid w:val="007E5207"/>
    <w:rsid w:val="007E5215"/>
    <w:rsid w:val="007E5279"/>
    <w:rsid w:val="007E5288"/>
    <w:rsid w:val="007E52B1"/>
    <w:rsid w:val="007E52CE"/>
    <w:rsid w:val="007E52E0"/>
    <w:rsid w:val="007E52F2"/>
    <w:rsid w:val="007E52FB"/>
    <w:rsid w:val="007E531A"/>
    <w:rsid w:val="007E5358"/>
    <w:rsid w:val="007E53A8"/>
    <w:rsid w:val="007E5407"/>
    <w:rsid w:val="007E542F"/>
    <w:rsid w:val="007E546C"/>
    <w:rsid w:val="007E547D"/>
    <w:rsid w:val="007E5487"/>
    <w:rsid w:val="007E54ED"/>
    <w:rsid w:val="007E5502"/>
    <w:rsid w:val="007E5535"/>
    <w:rsid w:val="007E5553"/>
    <w:rsid w:val="007E5575"/>
    <w:rsid w:val="007E557D"/>
    <w:rsid w:val="007E55B6"/>
    <w:rsid w:val="007E56AC"/>
    <w:rsid w:val="007E56C4"/>
    <w:rsid w:val="007E56CA"/>
    <w:rsid w:val="007E56F7"/>
    <w:rsid w:val="007E5704"/>
    <w:rsid w:val="007E5711"/>
    <w:rsid w:val="007E571D"/>
    <w:rsid w:val="007E573A"/>
    <w:rsid w:val="007E574D"/>
    <w:rsid w:val="007E578A"/>
    <w:rsid w:val="007E5793"/>
    <w:rsid w:val="007E587A"/>
    <w:rsid w:val="007E58B6"/>
    <w:rsid w:val="007E58CC"/>
    <w:rsid w:val="007E58DE"/>
    <w:rsid w:val="007E5908"/>
    <w:rsid w:val="007E5958"/>
    <w:rsid w:val="007E5996"/>
    <w:rsid w:val="007E59BB"/>
    <w:rsid w:val="007E59BD"/>
    <w:rsid w:val="007E59D4"/>
    <w:rsid w:val="007E5A39"/>
    <w:rsid w:val="007E5A61"/>
    <w:rsid w:val="007E5A6E"/>
    <w:rsid w:val="007E5A7A"/>
    <w:rsid w:val="007E5AC4"/>
    <w:rsid w:val="007E5B01"/>
    <w:rsid w:val="007E5B29"/>
    <w:rsid w:val="007E5B47"/>
    <w:rsid w:val="007E5B4F"/>
    <w:rsid w:val="007E5B5D"/>
    <w:rsid w:val="007E5B7F"/>
    <w:rsid w:val="007E5B88"/>
    <w:rsid w:val="007E5BB3"/>
    <w:rsid w:val="007E5BDF"/>
    <w:rsid w:val="007E5C13"/>
    <w:rsid w:val="007E5C15"/>
    <w:rsid w:val="007E5C19"/>
    <w:rsid w:val="007E5C23"/>
    <w:rsid w:val="007E5C40"/>
    <w:rsid w:val="007E5C49"/>
    <w:rsid w:val="007E5C66"/>
    <w:rsid w:val="007E5CFC"/>
    <w:rsid w:val="007E5D09"/>
    <w:rsid w:val="007E5D87"/>
    <w:rsid w:val="007E5D9B"/>
    <w:rsid w:val="007E5DAC"/>
    <w:rsid w:val="007E5DCF"/>
    <w:rsid w:val="007E5DD1"/>
    <w:rsid w:val="007E5EB7"/>
    <w:rsid w:val="007E5FB9"/>
    <w:rsid w:val="007E601E"/>
    <w:rsid w:val="007E604F"/>
    <w:rsid w:val="007E607B"/>
    <w:rsid w:val="007E6080"/>
    <w:rsid w:val="007E60D7"/>
    <w:rsid w:val="007E6152"/>
    <w:rsid w:val="007E6174"/>
    <w:rsid w:val="007E617B"/>
    <w:rsid w:val="007E61A8"/>
    <w:rsid w:val="007E620C"/>
    <w:rsid w:val="007E6220"/>
    <w:rsid w:val="007E6237"/>
    <w:rsid w:val="007E6259"/>
    <w:rsid w:val="007E6275"/>
    <w:rsid w:val="007E627C"/>
    <w:rsid w:val="007E62AF"/>
    <w:rsid w:val="007E62D8"/>
    <w:rsid w:val="007E6302"/>
    <w:rsid w:val="007E6326"/>
    <w:rsid w:val="007E6338"/>
    <w:rsid w:val="007E6362"/>
    <w:rsid w:val="007E6387"/>
    <w:rsid w:val="007E63BA"/>
    <w:rsid w:val="007E63D0"/>
    <w:rsid w:val="007E640D"/>
    <w:rsid w:val="007E643E"/>
    <w:rsid w:val="007E6488"/>
    <w:rsid w:val="007E64C7"/>
    <w:rsid w:val="007E64CF"/>
    <w:rsid w:val="007E64D1"/>
    <w:rsid w:val="007E64E8"/>
    <w:rsid w:val="007E654F"/>
    <w:rsid w:val="007E6564"/>
    <w:rsid w:val="007E65BA"/>
    <w:rsid w:val="007E65E9"/>
    <w:rsid w:val="007E65EF"/>
    <w:rsid w:val="007E65F4"/>
    <w:rsid w:val="007E6617"/>
    <w:rsid w:val="007E665C"/>
    <w:rsid w:val="007E6666"/>
    <w:rsid w:val="007E6674"/>
    <w:rsid w:val="007E669E"/>
    <w:rsid w:val="007E66F5"/>
    <w:rsid w:val="007E670F"/>
    <w:rsid w:val="007E6726"/>
    <w:rsid w:val="007E6766"/>
    <w:rsid w:val="007E6785"/>
    <w:rsid w:val="007E6792"/>
    <w:rsid w:val="007E67B7"/>
    <w:rsid w:val="007E67B8"/>
    <w:rsid w:val="007E684C"/>
    <w:rsid w:val="007E6850"/>
    <w:rsid w:val="007E685A"/>
    <w:rsid w:val="007E68B1"/>
    <w:rsid w:val="007E68BC"/>
    <w:rsid w:val="007E68D9"/>
    <w:rsid w:val="007E68F4"/>
    <w:rsid w:val="007E68F9"/>
    <w:rsid w:val="007E6922"/>
    <w:rsid w:val="007E6996"/>
    <w:rsid w:val="007E69B0"/>
    <w:rsid w:val="007E69BA"/>
    <w:rsid w:val="007E69BE"/>
    <w:rsid w:val="007E69F1"/>
    <w:rsid w:val="007E6A2B"/>
    <w:rsid w:val="007E6A3B"/>
    <w:rsid w:val="007E6A41"/>
    <w:rsid w:val="007E6A43"/>
    <w:rsid w:val="007E6A45"/>
    <w:rsid w:val="007E6A4B"/>
    <w:rsid w:val="007E6ADD"/>
    <w:rsid w:val="007E6B26"/>
    <w:rsid w:val="007E6B30"/>
    <w:rsid w:val="007E6BA5"/>
    <w:rsid w:val="007E6BB1"/>
    <w:rsid w:val="007E6BD6"/>
    <w:rsid w:val="007E6BD8"/>
    <w:rsid w:val="007E6BF2"/>
    <w:rsid w:val="007E6BF6"/>
    <w:rsid w:val="007E6C05"/>
    <w:rsid w:val="007E6C0D"/>
    <w:rsid w:val="007E6C68"/>
    <w:rsid w:val="007E6CAF"/>
    <w:rsid w:val="007E6CEF"/>
    <w:rsid w:val="007E6D24"/>
    <w:rsid w:val="007E6D3A"/>
    <w:rsid w:val="007E6D5C"/>
    <w:rsid w:val="007E6D78"/>
    <w:rsid w:val="007E6DD0"/>
    <w:rsid w:val="007E6DE8"/>
    <w:rsid w:val="007E6DF9"/>
    <w:rsid w:val="007E6E03"/>
    <w:rsid w:val="007E6E9A"/>
    <w:rsid w:val="007E6EA2"/>
    <w:rsid w:val="007E6EAA"/>
    <w:rsid w:val="007E6EC7"/>
    <w:rsid w:val="007E6ED4"/>
    <w:rsid w:val="007E6F05"/>
    <w:rsid w:val="007E6F08"/>
    <w:rsid w:val="007E6F23"/>
    <w:rsid w:val="007E6F2C"/>
    <w:rsid w:val="007E6F31"/>
    <w:rsid w:val="007E6F76"/>
    <w:rsid w:val="007E6F91"/>
    <w:rsid w:val="007E6F94"/>
    <w:rsid w:val="007E6F9B"/>
    <w:rsid w:val="007E7012"/>
    <w:rsid w:val="007E7054"/>
    <w:rsid w:val="007E70A9"/>
    <w:rsid w:val="007E70B1"/>
    <w:rsid w:val="007E70BD"/>
    <w:rsid w:val="007E7101"/>
    <w:rsid w:val="007E7121"/>
    <w:rsid w:val="007E718A"/>
    <w:rsid w:val="007E718C"/>
    <w:rsid w:val="007E71C7"/>
    <w:rsid w:val="007E71F2"/>
    <w:rsid w:val="007E71FD"/>
    <w:rsid w:val="007E724F"/>
    <w:rsid w:val="007E7267"/>
    <w:rsid w:val="007E72DE"/>
    <w:rsid w:val="007E7300"/>
    <w:rsid w:val="007E7310"/>
    <w:rsid w:val="007E735C"/>
    <w:rsid w:val="007E7373"/>
    <w:rsid w:val="007E73C4"/>
    <w:rsid w:val="007E7450"/>
    <w:rsid w:val="007E7461"/>
    <w:rsid w:val="007E7490"/>
    <w:rsid w:val="007E74AF"/>
    <w:rsid w:val="007E74EB"/>
    <w:rsid w:val="007E7505"/>
    <w:rsid w:val="007E757F"/>
    <w:rsid w:val="007E7588"/>
    <w:rsid w:val="007E7590"/>
    <w:rsid w:val="007E75AB"/>
    <w:rsid w:val="007E7600"/>
    <w:rsid w:val="007E7613"/>
    <w:rsid w:val="007E7661"/>
    <w:rsid w:val="007E7669"/>
    <w:rsid w:val="007E76C3"/>
    <w:rsid w:val="007E76F7"/>
    <w:rsid w:val="007E774E"/>
    <w:rsid w:val="007E7789"/>
    <w:rsid w:val="007E7799"/>
    <w:rsid w:val="007E77D0"/>
    <w:rsid w:val="007E77F5"/>
    <w:rsid w:val="007E77F6"/>
    <w:rsid w:val="007E781E"/>
    <w:rsid w:val="007E7873"/>
    <w:rsid w:val="007E7874"/>
    <w:rsid w:val="007E7885"/>
    <w:rsid w:val="007E788D"/>
    <w:rsid w:val="007E792E"/>
    <w:rsid w:val="007E796F"/>
    <w:rsid w:val="007E7976"/>
    <w:rsid w:val="007E7978"/>
    <w:rsid w:val="007E79B8"/>
    <w:rsid w:val="007E7A00"/>
    <w:rsid w:val="007E7A03"/>
    <w:rsid w:val="007E7A35"/>
    <w:rsid w:val="007E7A50"/>
    <w:rsid w:val="007E7A59"/>
    <w:rsid w:val="007E7A95"/>
    <w:rsid w:val="007E7AF9"/>
    <w:rsid w:val="007E7B0F"/>
    <w:rsid w:val="007E7B3B"/>
    <w:rsid w:val="007E7B4D"/>
    <w:rsid w:val="007E7B56"/>
    <w:rsid w:val="007E7BD0"/>
    <w:rsid w:val="007E7C06"/>
    <w:rsid w:val="007E7C1C"/>
    <w:rsid w:val="007E7C40"/>
    <w:rsid w:val="007E7C41"/>
    <w:rsid w:val="007E7C49"/>
    <w:rsid w:val="007E7C97"/>
    <w:rsid w:val="007E7CE4"/>
    <w:rsid w:val="007E7CFA"/>
    <w:rsid w:val="007E7D01"/>
    <w:rsid w:val="007E7D44"/>
    <w:rsid w:val="007E7D89"/>
    <w:rsid w:val="007E7D9F"/>
    <w:rsid w:val="007E7DA4"/>
    <w:rsid w:val="007E7DAD"/>
    <w:rsid w:val="007E7DC1"/>
    <w:rsid w:val="007E7DC8"/>
    <w:rsid w:val="007E7E67"/>
    <w:rsid w:val="007E7E8E"/>
    <w:rsid w:val="007E7E99"/>
    <w:rsid w:val="007E7EC4"/>
    <w:rsid w:val="007E7EE6"/>
    <w:rsid w:val="007E7EF3"/>
    <w:rsid w:val="007E7EFB"/>
    <w:rsid w:val="007E7F01"/>
    <w:rsid w:val="007E7F18"/>
    <w:rsid w:val="007E7F71"/>
    <w:rsid w:val="007E7F7D"/>
    <w:rsid w:val="007E7F82"/>
    <w:rsid w:val="007E7FD2"/>
    <w:rsid w:val="007E7FDD"/>
    <w:rsid w:val="007F0029"/>
    <w:rsid w:val="007F0034"/>
    <w:rsid w:val="007F005C"/>
    <w:rsid w:val="007F006F"/>
    <w:rsid w:val="007F0098"/>
    <w:rsid w:val="007F00D3"/>
    <w:rsid w:val="007F010D"/>
    <w:rsid w:val="007F011C"/>
    <w:rsid w:val="007F014E"/>
    <w:rsid w:val="007F01B2"/>
    <w:rsid w:val="007F01B5"/>
    <w:rsid w:val="007F0210"/>
    <w:rsid w:val="007F0218"/>
    <w:rsid w:val="007F026A"/>
    <w:rsid w:val="007F02A1"/>
    <w:rsid w:val="007F02CB"/>
    <w:rsid w:val="007F02F7"/>
    <w:rsid w:val="007F0318"/>
    <w:rsid w:val="007F034D"/>
    <w:rsid w:val="007F03A0"/>
    <w:rsid w:val="007F03EF"/>
    <w:rsid w:val="007F0423"/>
    <w:rsid w:val="007F042B"/>
    <w:rsid w:val="007F047A"/>
    <w:rsid w:val="007F0488"/>
    <w:rsid w:val="007F0491"/>
    <w:rsid w:val="007F04A7"/>
    <w:rsid w:val="007F04B8"/>
    <w:rsid w:val="007F04BC"/>
    <w:rsid w:val="007F04D7"/>
    <w:rsid w:val="007F052D"/>
    <w:rsid w:val="007F0536"/>
    <w:rsid w:val="007F0540"/>
    <w:rsid w:val="007F058E"/>
    <w:rsid w:val="007F0608"/>
    <w:rsid w:val="007F063B"/>
    <w:rsid w:val="007F0647"/>
    <w:rsid w:val="007F0648"/>
    <w:rsid w:val="007F065F"/>
    <w:rsid w:val="007F066D"/>
    <w:rsid w:val="007F06A2"/>
    <w:rsid w:val="007F06A6"/>
    <w:rsid w:val="007F06B4"/>
    <w:rsid w:val="007F0721"/>
    <w:rsid w:val="007F072C"/>
    <w:rsid w:val="007F074D"/>
    <w:rsid w:val="007F07D4"/>
    <w:rsid w:val="007F07DA"/>
    <w:rsid w:val="007F07EB"/>
    <w:rsid w:val="007F0841"/>
    <w:rsid w:val="007F085F"/>
    <w:rsid w:val="007F087C"/>
    <w:rsid w:val="007F0880"/>
    <w:rsid w:val="007F08A8"/>
    <w:rsid w:val="007F08BD"/>
    <w:rsid w:val="007F094B"/>
    <w:rsid w:val="007F097D"/>
    <w:rsid w:val="007F09E8"/>
    <w:rsid w:val="007F09FF"/>
    <w:rsid w:val="007F0A06"/>
    <w:rsid w:val="007F0A3F"/>
    <w:rsid w:val="007F0AC4"/>
    <w:rsid w:val="007F0AED"/>
    <w:rsid w:val="007F0AF4"/>
    <w:rsid w:val="007F0AFE"/>
    <w:rsid w:val="007F0B11"/>
    <w:rsid w:val="007F0B1E"/>
    <w:rsid w:val="007F0BA8"/>
    <w:rsid w:val="007F0BCB"/>
    <w:rsid w:val="007F0BE8"/>
    <w:rsid w:val="007F0BEB"/>
    <w:rsid w:val="007F0C90"/>
    <w:rsid w:val="007F0C9D"/>
    <w:rsid w:val="007F0D1A"/>
    <w:rsid w:val="007F0D23"/>
    <w:rsid w:val="007F0D2F"/>
    <w:rsid w:val="007F0D4C"/>
    <w:rsid w:val="007F0D64"/>
    <w:rsid w:val="007F0D66"/>
    <w:rsid w:val="007F0D74"/>
    <w:rsid w:val="007F0D94"/>
    <w:rsid w:val="007F0DAB"/>
    <w:rsid w:val="007F0DC9"/>
    <w:rsid w:val="007F0DD6"/>
    <w:rsid w:val="007F0E29"/>
    <w:rsid w:val="007F0E56"/>
    <w:rsid w:val="007F0E8D"/>
    <w:rsid w:val="007F0EAE"/>
    <w:rsid w:val="007F0EB9"/>
    <w:rsid w:val="007F0EBD"/>
    <w:rsid w:val="007F0ED7"/>
    <w:rsid w:val="007F0EDD"/>
    <w:rsid w:val="007F0EFF"/>
    <w:rsid w:val="007F0F10"/>
    <w:rsid w:val="007F0F6D"/>
    <w:rsid w:val="007F0FA5"/>
    <w:rsid w:val="007F0FC2"/>
    <w:rsid w:val="007F0FED"/>
    <w:rsid w:val="007F1027"/>
    <w:rsid w:val="007F1045"/>
    <w:rsid w:val="007F104D"/>
    <w:rsid w:val="007F1068"/>
    <w:rsid w:val="007F109F"/>
    <w:rsid w:val="007F10FA"/>
    <w:rsid w:val="007F1127"/>
    <w:rsid w:val="007F1135"/>
    <w:rsid w:val="007F1150"/>
    <w:rsid w:val="007F1168"/>
    <w:rsid w:val="007F1171"/>
    <w:rsid w:val="007F1193"/>
    <w:rsid w:val="007F11A8"/>
    <w:rsid w:val="007F1239"/>
    <w:rsid w:val="007F1256"/>
    <w:rsid w:val="007F12A5"/>
    <w:rsid w:val="007F12AD"/>
    <w:rsid w:val="007F12E9"/>
    <w:rsid w:val="007F12F7"/>
    <w:rsid w:val="007F1322"/>
    <w:rsid w:val="007F132A"/>
    <w:rsid w:val="007F1380"/>
    <w:rsid w:val="007F139A"/>
    <w:rsid w:val="007F13A2"/>
    <w:rsid w:val="007F13A7"/>
    <w:rsid w:val="007F13B4"/>
    <w:rsid w:val="007F13E0"/>
    <w:rsid w:val="007F1400"/>
    <w:rsid w:val="007F1404"/>
    <w:rsid w:val="007F1434"/>
    <w:rsid w:val="007F14C3"/>
    <w:rsid w:val="007F151B"/>
    <w:rsid w:val="007F15A2"/>
    <w:rsid w:val="007F15DC"/>
    <w:rsid w:val="007F1608"/>
    <w:rsid w:val="007F163B"/>
    <w:rsid w:val="007F1640"/>
    <w:rsid w:val="007F169B"/>
    <w:rsid w:val="007F16B5"/>
    <w:rsid w:val="007F16BF"/>
    <w:rsid w:val="007F16CD"/>
    <w:rsid w:val="007F1787"/>
    <w:rsid w:val="007F1795"/>
    <w:rsid w:val="007F17B7"/>
    <w:rsid w:val="007F17C1"/>
    <w:rsid w:val="007F17DF"/>
    <w:rsid w:val="007F1808"/>
    <w:rsid w:val="007F180B"/>
    <w:rsid w:val="007F1849"/>
    <w:rsid w:val="007F1873"/>
    <w:rsid w:val="007F18B0"/>
    <w:rsid w:val="007F1917"/>
    <w:rsid w:val="007F1921"/>
    <w:rsid w:val="007F196A"/>
    <w:rsid w:val="007F19B8"/>
    <w:rsid w:val="007F1A03"/>
    <w:rsid w:val="007F1A63"/>
    <w:rsid w:val="007F1A79"/>
    <w:rsid w:val="007F1A9A"/>
    <w:rsid w:val="007F1AC9"/>
    <w:rsid w:val="007F1B01"/>
    <w:rsid w:val="007F1B6A"/>
    <w:rsid w:val="007F1B79"/>
    <w:rsid w:val="007F1BC4"/>
    <w:rsid w:val="007F1BE2"/>
    <w:rsid w:val="007F1BFC"/>
    <w:rsid w:val="007F1C1F"/>
    <w:rsid w:val="007F1C20"/>
    <w:rsid w:val="007F1C4B"/>
    <w:rsid w:val="007F1CC7"/>
    <w:rsid w:val="007F1D2E"/>
    <w:rsid w:val="007F1D5D"/>
    <w:rsid w:val="007F1DB3"/>
    <w:rsid w:val="007F1DBE"/>
    <w:rsid w:val="007F1DC4"/>
    <w:rsid w:val="007F1DDF"/>
    <w:rsid w:val="007F1E03"/>
    <w:rsid w:val="007F1E09"/>
    <w:rsid w:val="007F1E28"/>
    <w:rsid w:val="007F1E35"/>
    <w:rsid w:val="007F1E58"/>
    <w:rsid w:val="007F1EDF"/>
    <w:rsid w:val="007F1F52"/>
    <w:rsid w:val="007F1F7F"/>
    <w:rsid w:val="007F1F8B"/>
    <w:rsid w:val="007F1FAB"/>
    <w:rsid w:val="007F1FC1"/>
    <w:rsid w:val="007F1FE6"/>
    <w:rsid w:val="007F2044"/>
    <w:rsid w:val="007F2058"/>
    <w:rsid w:val="007F207C"/>
    <w:rsid w:val="007F2094"/>
    <w:rsid w:val="007F20AA"/>
    <w:rsid w:val="007F20BD"/>
    <w:rsid w:val="007F20C5"/>
    <w:rsid w:val="007F20D3"/>
    <w:rsid w:val="007F212C"/>
    <w:rsid w:val="007F2149"/>
    <w:rsid w:val="007F2190"/>
    <w:rsid w:val="007F221F"/>
    <w:rsid w:val="007F22B5"/>
    <w:rsid w:val="007F22B6"/>
    <w:rsid w:val="007F22E3"/>
    <w:rsid w:val="007F2334"/>
    <w:rsid w:val="007F2339"/>
    <w:rsid w:val="007F233D"/>
    <w:rsid w:val="007F235F"/>
    <w:rsid w:val="007F2392"/>
    <w:rsid w:val="007F23D1"/>
    <w:rsid w:val="007F23D8"/>
    <w:rsid w:val="007F23F6"/>
    <w:rsid w:val="007F23FD"/>
    <w:rsid w:val="007F2436"/>
    <w:rsid w:val="007F244E"/>
    <w:rsid w:val="007F246D"/>
    <w:rsid w:val="007F24A7"/>
    <w:rsid w:val="007F24C3"/>
    <w:rsid w:val="007F24C9"/>
    <w:rsid w:val="007F2557"/>
    <w:rsid w:val="007F2574"/>
    <w:rsid w:val="007F25AF"/>
    <w:rsid w:val="007F25CC"/>
    <w:rsid w:val="007F25F7"/>
    <w:rsid w:val="007F2628"/>
    <w:rsid w:val="007F2640"/>
    <w:rsid w:val="007F26AD"/>
    <w:rsid w:val="007F26CA"/>
    <w:rsid w:val="007F26F0"/>
    <w:rsid w:val="007F26F9"/>
    <w:rsid w:val="007F2706"/>
    <w:rsid w:val="007F2711"/>
    <w:rsid w:val="007F2722"/>
    <w:rsid w:val="007F273A"/>
    <w:rsid w:val="007F275C"/>
    <w:rsid w:val="007F2761"/>
    <w:rsid w:val="007F27FB"/>
    <w:rsid w:val="007F280F"/>
    <w:rsid w:val="007F2835"/>
    <w:rsid w:val="007F2854"/>
    <w:rsid w:val="007F288C"/>
    <w:rsid w:val="007F2898"/>
    <w:rsid w:val="007F28AA"/>
    <w:rsid w:val="007F28CE"/>
    <w:rsid w:val="007F28CF"/>
    <w:rsid w:val="007F28D2"/>
    <w:rsid w:val="007F28F6"/>
    <w:rsid w:val="007F2925"/>
    <w:rsid w:val="007F2931"/>
    <w:rsid w:val="007F298E"/>
    <w:rsid w:val="007F29A6"/>
    <w:rsid w:val="007F29D5"/>
    <w:rsid w:val="007F29D7"/>
    <w:rsid w:val="007F29E5"/>
    <w:rsid w:val="007F29F6"/>
    <w:rsid w:val="007F2A17"/>
    <w:rsid w:val="007F2A1A"/>
    <w:rsid w:val="007F2A38"/>
    <w:rsid w:val="007F2A98"/>
    <w:rsid w:val="007F2AFB"/>
    <w:rsid w:val="007F2B68"/>
    <w:rsid w:val="007F2B70"/>
    <w:rsid w:val="007F2BD0"/>
    <w:rsid w:val="007F2BE1"/>
    <w:rsid w:val="007F2BF6"/>
    <w:rsid w:val="007F2BFF"/>
    <w:rsid w:val="007F2C1A"/>
    <w:rsid w:val="007F2C20"/>
    <w:rsid w:val="007F2C25"/>
    <w:rsid w:val="007F2C55"/>
    <w:rsid w:val="007F2C76"/>
    <w:rsid w:val="007F2C90"/>
    <w:rsid w:val="007F2CAB"/>
    <w:rsid w:val="007F2CF0"/>
    <w:rsid w:val="007F2D1F"/>
    <w:rsid w:val="007F2D24"/>
    <w:rsid w:val="007F2D5B"/>
    <w:rsid w:val="007F2D6E"/>
    <w:rsid w:val="007F2D7A"/>
    <w:rsid w:val="007F2D97"/>
    <w:rsid w:val="007F2D9A"/>
    <w:rsid w:val="007F2DCD"/>
    <w:rsid w:val="007F2E32"/>
    <w:rsid w:val="007F2E51"/>
    <w:rsid w:val="007F2E5E"/>
    <w:rsid w:val="007F2E6B"/>
    <w:rsid w:val="007F2E93"/>
    <w:rsid w:val="007F2E97"/>
    <w:rsid w:val="007F2EAA"/>
    <w:rsid w:val="007F2EDB"/>
    <w:rsid w:val="007F2F79"/>
    <w:rsid w:val="007F2F7E"/>
    <w:rsid w:val="007F2FA7"/>
    <w:rsid w:val="007F2FF5"/>
    <w:rsid w:val="007F301B"/>
    <w:rsid w:val="007F3069"/>
    <w:rsid w:val="007F306B"/>
    <w:rsid w:val="007F30BF"/>
    <w:rsid w:val="007F30CD"/>
    <w:rsid w:val="007F30FD"/>
    <w:rsid w:val="007F3120"/>
    <w:rsid w:val="007F3122"/>
    <w:rsid w:val="007F31D1"/>
    <w:rsid w:val="007F3201"/>
    <w:rsid w:val="007F3239"/>
    <w:rsid w:val="007F3254"/>
    <w:rsid w:val="007F32BE"/>
    <w:rsid w:val="007F32F9"/>
    <w:rsid w:val="007F3303"/>
    <w:rsid w:val="007F3320"/>
    <w:rsid w:val="007F33B0"/>
    <w:rsid w:val="007F33C5"/>
    <w:rsid w:val="007F33E1"/>
    <w:rsid w:val="007F3476"/>
    <w:rsid w:val="007F34B6"/>
    <w:rsid w:val="007F34E7"/>
    <w:rsid w:val="007F3512"/>
    <w:rsid w:val="007F3552"/>
    <w:rsid w:val="007F35AE"/>
    <w:rsid w:val="007F35F3"/>
    <w:rsid w:val="007F3639"/>
    <w:rsid w:val="007F364C"/>
    <w:rsid w:val="007F3669"/>
    <w:rsid w:val="007F3670"/>
    <w:rsid w:val="007F3690"/>
    <w:rsid w:val="007F36DE"/>
    <w:rsid w:val="007F3706"/>
    <w:rsid w:val="007F371F"/>
    <w:rsid w:val="007F374D"/>
    <w:rsid w:val="007F3778"/>
    <w:rsid w:val="007F3788"/>
    <w:rsid w:val="007F37BC"/>
    <w:rsid w:val="007F37BF"/>
    <w:rsid w:val="007F37C7"/>
    <w:rsid w:val="007F37DD"/>
    <w:rsid w:val="007F3826"/>
    <w:rsid w:val="007F3843"/>
    <w:rsid w:val="007F3879"/>
    <w:rsid w:val="007F38D9"/>
    <w:rsid w:val="007F38DA"/>
    <w:rsid w:val="007F38E0"/>
    <w:rsid w:val="007F38E5"/>
    <w:rsid w:val="007F38EF"/>
    <w:rsid w:val="007F3916"/>
    <w:rsid w:val="007F3921"/>
    <w:rsid w:val="007F3946"/>
    <w:rsid w:val="007F394F"/>
    <w:rsid w:val="007F3953"/>
    <w:rsid w:val="007F3978"/>
    <w:rsid w:val="007F398A"/>
    <w:rsid w:val="007F39D0"/>
    <w:rsid w:val="007F39E3"/>
    <w:rsid w:val="007F3A03"/>
    <w:rsid w:val="007F3A11"/>
    <w:rsid w:val="007F3A4A"/>
    <w:rsid w:val="007F3A8B"/>
    <w:rsid w:val="007F3A8D"/>
    <w:rsid w:val="007F3AA0"/>
    <w:rsid w:val="007F3AA3"/>
    <w:rsid w:val="007F3AAE"/>
    <w:rsid w:val="007F3ABF"/>
    <w:rsid w:val="007F3AC1"/>
    <w:rsid w:val="007F3AD4"/>
    <w:rsid w:val="007F3ADD"/>
    <w:rsid w:val="007F3B05"/>
    <w:rsid w:val="007F3B1D"/>
    <w:rsid w:val="007F3B42"/>
    <w:rsid w:val="007F3B75"/>
    <w:rsid w:val="007F3B7B"/>
    <w:rsid w:val="007F3B9F"/>
    <w:rsid w:val="007F3BCC"/>
    <w:rsid w:val="007F3C60"/>
    <w:rsid w:val="007F3CA3"/>
    <w:rsid w:val="007F3CCE"/>
    <w:rsid w:val="007F3D00"/>
    <w:rsid w:val="007F3D6D"/>
    <w:rsid w:val="007F3D87"/>
    <w:rsid w:val="007F3DE8"/>
    <w:rsid w:val="007F3DF6"/>
    <w:rsid w:val="007F3DFF"/>
    <w:rsid w:val="007F3E31"/>
    <w:rsid w:val="007F3E3D"/>
    <w:rsid w:val="007F3E55"/>
    <w:rsid w:val="007F3E73"/>
    <w:rsid w:val="007F3E92"/>
    <w:rsid w:val="007F3EC0"/>
    <w:rsid w:val="007F3F42"/>
    <w:rsid w:val="007F3F44"/>
    <w:rsid w:val="007F3F4D"/>
    <w:rsid w:val="007F3F69"/>
    <w:rsid w:val="007F3FA0"/>
    <w:rsid w:val="007F4020"/>
    <w:rsid w:val="007F4075"/>
    <w:rsid w:val="007F410A"/>
    <w:rsid w:val="007F4126"/>
    <w:rsid w:val="007F4143"/>
    <w:rsid w:val="007F4184"/>
    <w:rsid w:val="007F41AA"/>
    <w:rsid w:val="007F4203"/>
    <w:rsid w:val="007F4224"/>
    <w:rsid w:val="007F422B"/>
    <w:rsid w:val="007F423A"/>
    <w:rsid w:val="007F424B"/>
    <w:rsid w:val="007F42A8"/>
    <w:rsid w:val="007F42B6"/>
    <w:rsid w:val="007F4350"/>
    <w:rsid w:val="007F4358"/>
    <w:rsid w:val="007F436C"/>
    <w:rsid w:val="007F43B1"/>
    <w:rsid w:val="007F43C9"/>
    <w:rsid w:val="007F4446"/>
    <w:rsid w:val="007F4457"/>
    <w:rsid w:val="007F4478"/>
    <w:rsid w:val="007F44AB"/>
    <w:rsid w:val="007F44B7"/>
    <w:rsid w:val="007F44DD"/>
    <w:rsid w:val="007F4524"/>
    <w:rsid w:val="007F4529"/>
    <w:rsid w:val="007F452F"/>
    <w:rsid w:val="007F4541"/>
    <w:rsid w:val="007F4565"/>
    <w:rsid w:val="007F457E"/>
    <w:rsid w:val="007F4599"/>
    <w:rsid w:val="007F45DE"/>
    <w:rsid w:val="007F4622"/>
    <w:rsid w:val="007F4647"/>
    <w:rsid w:val="007F465F"/>
    <w:rsid w:val="007F4660"/>
    <w:rsid w:val="007F4666"/>
    <w:rsid w:val="007F4681"/>
    <w:rsid w:val="007F468B"/>
    <w:rsid w:val="007F46A3"/>
    <w:rsid w:val="007F46FF"/>
    <w:rsid w:val="007F4786"/>
    <w:rsid w:val="007F4790"/>
    <w:rsid w:val="007F479D"/>
    <w:rsid w:val="007F47AF"/>
    <w:rsid w:val="007F47B6"/>
    <w:rsid w:val="007F4827"/>
    <w:rsid w:val="007F4832"/>
    <w:rsid w:val="007F4863"/>
    <w:rsid w:val="007F4888"/>
    <w:rsid w:val="007F488B"/>
    <w:rsid w:val="007F48E8"/>
    <w:rsid w:val="007F490C"/>
    <w:rsid w:val="007F495D"/>
    <w:rsid w:val="007F49A4"/>
    <w:rsid w:val="007F49EF"/>
    <w:rsid w:val="007F4A01"/>
    <w:rsid w:val="007F4A10"/>
    <w:rsid w:val="007F4A2B"/>
    <w:rsid w:val="007F4A4A"/>
    <w:rsid w:val="007F4A77"/>
    <w:rsid w:val="007F4A8D"/>
    <w:rsid w:val="007F4AFC"/>
    <w:rsid w:val="007F4B48"/>
    <w:rsid w:val="007F4B69"/>
    <w:rsid w:val="007F4B7F"/>
    <w:rsid w:val="007F4BD6"/>
    <w:rsid w:val="007F4BE5"/>
    <w:rsid w:val="007F4BF2"/>
    <w:rsid w:val="007F4C30"/>
    <w:rsid w:val="007F4C76"/>
    <w:rsid w:val="007F4CD2"/>
    <w:rsid w:val="007F4D23"/>
    <w:rsid w:val="007F4D4D"/>
    <w:rsid w:val="007F4D54"/>
    <w:rsid w:val="007F4D6E"/>
    <w:rsid w:val="007F4D86"/>
    <w:rsid w:val="007F4DD1"/>
    <w:rsid w:val="007F4DF2"/>
    <w:rsid w:val="007F4DFD"/>
    <w:rsid w:val="007F4E2C"/>
    <w:rsid w:val="007F4E6F"/>
    <w:rsid w:val="007F4E90"/>
    <w:rsid w:val="007F4E97"/>
    <w:rsid w:val="007F4EE0"/>
    <w:rsid w:val="007F4F1B"/>
    <w:rsid w:val="007F4F2C"/>
    <w:rsid w:val="007F4F67"/>
    <w:rsid w:val="007F4FAE"/>
    <w:rsid w:val="007F4FBA"/>
    <w:rsid w:val="007F5066"/>
    <w:rsid w:val="007F5074"/>
    <w:rsid w:val="007F5096"/>
    <w:rsid w:val="007F50B2"/>
    <w:rsid w:val="007F5175"/>
    <w:rsid w:val="007F51E3"/>
    <w:rsid w:val="007F521E"/>
    <w:rsid w:val="007F5255"/>
    <w:rsid w:val="007F5266"/>
    <w:rsid w:val="007F5275"/>
    <w:rsid w:val="007F5283"/>
    <w:rsid w:val="007F528D"/>
    <w:rsid w:val="007F52C8"/>
    <w:rsid w:val="007F52F8"/>
    <w:rsid w:val="007F532C"/>
    <w:rsid w:val="007F533A"/>
    <w:rsid w:val="007F5371"/>
    <w:rsid w:val="007F537F"/>
    <w:rsid w:val="007F5397"/>
    <w:rsid w:val="007F5399"/>
    <w:rsid w:val="007F53C0"/>
    <w:rsid w:val="007F5411"/>
    <w:rsid w:val="007F5419"/>
    <w:rsid w:val="007F5451"/>
    <w:rsid w:val="007F5458"/>
    <w:rsid w:val="007F548C"/>
    <w:rsid w:val="007F5491"/>
    <w:rsid w:val="007F5496"/>
    <w:rsid w:val="007F54AD"/>
    <w:rsid w:val="007F54D8"/>
    <w:rsid w:val="007F5520"/>
    <w:rsid w:val="007F5531"/>
    <w:rsid w:val="007F55A7"/>
    <w:rsid w:val="007F5622"/>
    <w:rsid w:val="007F5627"/>
    <w:rsid w:val="007F562C"/>
    <w:rsid w:val="007F5650"/>
    <w:rsid w:val="007F5651"/>
    <w:rsid w:val="007F5655"/>
    <w:rsid w:val="007F567E"/>
    <w:rsid w:val="007F56DB"/>
    <w:rsid w:val="007F56DC"/>
    <w:rsid w:val="007F56F9"/>
    <w:rsid w:val="007F5723"/>
    <w:rsid w:val="007F5737"/>
    <w:rsid w:val="007F574E"/>
    <w:rsid w:val="007F575B"/>
    <w:rsid w:val="007F5785"/>
    <w:rsid w:val="007F57B1"/>
    <w:rsid w:val="007F57BE"/>
    <w:rsid w:val="007F57EE"/>
    <w:rsid w:val="007F57F0"/>
    <w:rsid w:val="007F585C"/>
    <w:rsid w:val="007F5864"/>
    <w:rsid w:val="007F5867"/>
    <w:rsid w:val="007F5927"/>
    <w:rsid w:val="007F5940"/>
    <w:rsid w:val="007F5972"/>
    <w:rsid w:val="007F597C"/>
    <w:rsid w:val="007F5A16"/>
    <w:rsid w:val="007F5A25"/>
    <w:rsid w:val="007F5A31"/>
    <w:rsid w:val="007F5A5C"/>
    <w:rsid w:val="007F5A6E"/>
    <w:rsid w:val="007F5AB0"/>
    <w:rsid w:val="007F5AB3"/>
    <w:rsid w:val="007F5AF3"/>
    <w:rsid w:val="007F5B86"/>
    <w:rsid w:val="007F5B8C"/>
    <w:rsid w:val="007F5BA2"/>
    <w:rsid w:val="007F5BC8"/>
    <w:rsid w:val="007F5C49"/>
    <w:rsid w:val="007F5C5D"/>
    <w:rsid w:val="007F5C72"/>
    <w:rsid w:val="007F5C80"/>
    <w:rsid w:val="007F5CA1"/>
    <w:rsid w:val="007F5CAD"/>
    <w:rsid w:val="007F5CB1"/>
    <w:rsid w:val="007F5CB8"/>
    <w:rsid w:val="007F5CC0"/>
    <w:rsid w:val="007F5CD5"/>
    <w:rsid w:val="007F5CDD"/>
    <w:rsid w:val="007F5CE2"/>
    <w:rsid w:val="007F5D25"/>
    <w:rsid w:val="007F5D2C"/>
    <w:rsid w:val="007F5DD9"/>
    <w:rsid w:val="007F5DF3"/>
    <w:rsid w:val="007F5E0C"/>
    <w:rsid w:val="007F5E18"/>
    <w:rsid w:val="007F5E22"/>
    <w:rsid w:val="007F5E6D"/>
    <w:rsid w:val="007F5E9E"/>
    <w:rsid w:val="007F5EBF"/>
    <w:rsid w:val="007F5ECF"/>
    <w:rsid w:val="007F5EE9"/>
    <w:rsid w:val="007F5F1C"/>
    <w:rsid w:val="007F5F23"/>
    <w:rsid w:val="007F5F32"/>
    <w:rsid w:val="007F5F4A"/>
    <w:rsid w:val="007F5F4F"/>
    <w:rsid w:val="007F5F5E"/>
    <w:rsid w:val="007F5F6E"/>
    <w:rsid w:val="007F5F6F"/>
    <w:rsid w:val="007F5FAC"/>
    <w:rsid w:val="007F5FBD"/>
    <w:rsid w:val="007F5FF0"/>
    <w:rsid w:val="007F5FFC"/>
    <w:rsid w:val="007F6011"/>
    <w:rsid w:val="007F6050"/>
    <w:rsid w:val="007F605B"/>
    <w:rsid w:val="007F6069"/>
    <w:rsid w:val="007F6098"/>
    <w:rsid w:val="007F60EE"/>
    <w:rsid w:val="007F6115"/>
    <w:rsid w:val="007F6125"/>
    <w:rsid w:val="007F6144"/>
    <w:rsid w:val="007F6155"/>
    <w:rsid w:val="007F6197"/>
    <w:rsid w:val="007F61EC"/>
    <w:rsid w:val="007F61FE"/>
    <w:rsid w:val="007F6229"/>
    <w:rsid w:val="007F6237"/>
    <w:rsid w:val="007F624D"/>
    <w:rsid w:val="007F625F"/>
    <w:rsid w:val="007F62AE"/>
    <w:rsid w:val="007F62F9"/>
    <w:rsid w:val="007F6304"/>
    <w:rsid w:val="007F6311"/>
    <w:rsid w:val="007F6316"/>
    <w:rsid w:val="007F6349"/>
    <w:rsid w:val="007F6358"/>
    <w:rsid w:val="007F6360"/>
    <w:rsid w:val="007F639C"/>
    <w:rsid w:val="007F63B7"/>
    <w:rsid w:val="007F642C"/>
    <w:rsid w:val="007F6486"/>
    <w:rsid w:val="007F6508"/>
    <w:rsid w:val="007F6546"/>
    <w:rsid w:val="007F65B3"/>
    <w:rsid w:val="007F6607"/>
    <w:rsid w:val="007F662D"/>
    <w:rsid w:val="007F6637"/>
    <w:rsid w:val="007F6645"/>
    <w:rsid w:val="007F6675"/>
    <w:rsid w:val="007F66A0"/>
    <w:rsid w:val="007F66AF"/>
    <w:rsid w:val="007F66C4"/>
    <w:rsid w:val="007F66C5"/>
    <w:rsid w:val="007F6747"/>
    <w:rsid w:val="007F6761"/>
    <w:rsid w:val="007F677C"/>
    <w:rsid w:val="007F67BC"/>
    <w:rsid w:val="007F67EA"/>
    <w:rsid w:val="007F6843"/>
    <w:rsid w:val="007F6893"/>
    <w:rsid w:val="007F68B3"/>
    <w:rsid w:val="007F68C8"/>
    <w:rsid w:val="007F68C9"/>
    <w:rsid w:val="007F68FC"/>
    <w:rsid w:val="007F6928"/>
    <w:rsid w:val="007F692A"/>
    <w:rsid w:val="007F693A"/>
    <w:rsid w:val="007F693C"/>
    <w:rsid w:val="007F693E"/>
    <w:rsid w:val="007F6949"/>
    <w:rsid w:val="007F6967"/>
    <w:rsid w:val="007F6A40"/>
    <w:rsid w:val="007F6A9F"/>
    <w:rsid w:val="007F6AB3"/>
    <w:rsid w:val="007F6AD2"/>
    <w:rsid w:val="007F6B10"/>
    <w:rsid w:val="007F6B53"/>
    <w:rsid w:val="007F6B77"/>
    <w:rsid w:val="007F6BBB"/>
    <w:rsid w:val="007F6BC9"/>
    <w:rsid w:val="007F6C3A"/>
    <w:rsid w:val="007F6C42"/>
    <w:rsid w:val="007F6C88"/>
    <w:rsid w:val="007F6C8A"/>
    <w:rsid w:val="007F6CA5"/>
    <w:rsid w:val="007F6CD5"/>
    <w:rsid w:val="007F6D42"/>
    <w:rsid w:val="007F6DE8"/>
    <w:rsid w:val="007F6DEE"/>
    <w:rsid w:val="007F6E0E"/>
    <w:rsid w:val="007F6E41"/>
    <w:rsid w:val="007F6E60"/>
    <w:rsid w:val="007F6E8C"/>
    <w:rsid w:val="007F6ECD"/>
    <w:rsid w:val="007F6EDD"/>
    <w:rsid w:val="007F6EFB"/>
    <w:rsid w:val="007F6EFE"/>
    <w:rsid w:val="007F6F08"/>
    <w:rsid w:val="007F6F4B"/>
    <w:rsid w:val="007F6F7C"/>
    <w:rsid w:val="007F6FD1"/>
    <w:rsid w:val="007F6FFC"/>
    <w:rsid w:val="007F6FFF"/>
    <w:rsid w:val="007F7001"/>
    <w:rsid w:val="007F7041"/>
    <w:rsid w:val="007F7049"/>
    <w:rsid w:val="007F704F"/>
    <w:rsid w:val="007F7075"/>
    <w:rsid w:val="007F7098"/>
    <w:rsid w:val="007F709B"/>
    <w:rsid w:val="007F70B0"/>
    <w:rsid w:val="007F70C7"/>
    <w:rsid w:val="007F70D5"/>
    <w:rsid w:val="007F70E0"/>
    <w:rsid w:val="007F70FC"/>
    <w:rsid w:val="007F7108"/>
    <w:rsid w:val="007F713C"/>
    <w:rsid w:val="007F7183"/>
    <w:rsid w:val="007F7194"/>
    <w:rsid w:val="007F71D7"/>
    <w:rsid w:val="007F71EA"/>
    <w:rsid w:val="007F71F2"/>
    <w:rsid w:val="007F71F9"/>
    <w:rsid w:val="007F71FF"/>
    <w:rsid w:val="007F720F"/>
    <w:rsid w:val="007F7242"/>
    <w:rsid w:val="007F724F"/>
    <w:rsid w:val="007F7273"/>
    <w:rsid w:val="007F729E"/>
    <w:rsid w:val="007F72B0"/>
    <w:rsid w:val="007F72BA"/>
    <w:rsid w:val="007F72CA"/>
    <w:rsid w:val="007F737D"/>
    <w:rsid w:val="007F73A2"/>
    <w:rsid w:val="007F73B5"/>
    <w:rsid w:val="007F73F5"/>
    <w:rsid w:val="007F73F7"/>
    <w:rsid w:val="007F7405"/>
    <w:rsid w:val="007F7418"/>
    <w:rsid w:val="007F7433"/>
    <w:rsid w:val="007F7444"/>
    <w:rsid w:val="007F7481"/>
    <w:rsid w:val="007F7484"/>
    <w:rsid w:val="007F74C7"/>
    <w:rsid w:val="007F74CD"/>
    <w:rsid w:val="007F74CF"/>
    <w:rsid w:val="007F7504"/>
    <w:rsid w:val="007F757A"/>
    <w:rsid w:val="007F765F"/>
    <w:rsid w:val="007F76CE"/>
    <w:rsid w:val="007F76F5"/>
    <w:rsid w:val="007F771D"/>
    <w:rsid w:val="007F7725"/>
    <w:rsid w:val="007F773E"/>
    <w:rsid w:val="007F7783"/>
    <w:rsid w:val="007F77C6"/>
    <w:rsid w:val="007F77CF"/>
    <w:rsid w:val="007F784E"/>
    <w:rsid w:val="007F786F"/>
    <w:rsid w:val="007F7909"/>
    <w:rsid w:val="007F792B"/>
    <w:rsid w:val="007F7951"/>
    <w:rsid w:val="007F795A"/>
    <w:rsid w:val="007F79B8"/>
    <w:rsid w:val="007F79BA"/>
    <w:rsid w:val="007F79D1"/>
    <w:rsid w:val="007F79E6"/>
    <w:rsid w:val="007F7A38"/>
    <w:rsid w:val="007F7A54"/>
    <w:rsid w:val="007F7A5A"/>
    <w:rsid w:val="007F7AA4"/>
    <w:rsid w:val="007F7AE9"/>
    <w:rsid w:val="007F7B27"/>
    <w:rsid w:val="007F7B31"/>
    <w:rsid w:val="007F7B45"/>
    <w:rsid w:val="007F7B53"/>
    <w:rsid w:val="007F7B5F"/>
    <w:rsid w:val="007F7B69"/>
    <w:rsid w:val="007F7BB7"/>
    <w:rsid w:val="007F7C05"/>
    <w:rsid w:val="007F7C36"/>
    <w:rsid w:val="007F7C7F"/>
    <w:rsid w:val="007F7D3C"/>
    <w:rsid w:val="007F7D42"/>
    <w:rsid w:val="007F7D4C"/>
    <w:rsid w:val="007F7DBC"/>
    <w:rsid w:val="007F7E12"/>
    <w:rsid w:val="007F7E17"/>
    <w:rsid w:val="007F7E2D"/>
    <w:rsid w:val="007F7E37"/>
    <w:rsid w:val="007F7E3D"/>
    <w:rsid w:val="007F7E57"/>
    <w:rsid w:val="007F7E9A"/>
    <w:rsid w:val="007F7ED7"/>
    <w:rsid w:val="007F7EE2"/>
    <w:rsid w:val="007F7EFF"/>
    <w:rsid w:val="007F7F05"/>
    <w:rsid w:val="007F7F11"/>
    <w:rsid w:val="007F7F3C"/>
    <w:rsid w:val="007F7F75"/>
    <w:rsid w:val="007F7FC6"/>
    <w:rsid w:val="007F7FE4"/>
    <w:rsid w:val="00800088"/>
    <w:rsid w:val="008000C1"/>
    <w:rsid w:val="008000EC"/>
    <w:rsid w:val="00800161"/>
    <w:rsid w:val="008001A5"/>
    <w:rsid w:val="008001AD"/>
    <w:rsid w:val="008001EA"/>
    <w:rsid w:val="008001F0"/>
    <w:rsid w:val="00800295"/>
    <w:rsid w:val="0080030D"/>
    <w:rsid w:val="00800376"/>
    <w:rsid w:val="00800378"/>
    <w:rsid w:val="0080040C"/>
    <w:rsid w:val="00800412"/>
    <w:rsid w:val="00800427"/>
    <w:rsid w:val="00800440"/>
    <w:rsid w:val="00800470"/>
    <w:rsid w:val="00800480"/>
    <w:rsid w:val="008004B1"/>
    <w:rsid w:val="008004F4"/>
    <w:rsid w:val="00800508"/>
    <w:rsid w:val="00800521"/>
    <w:rsid w:val="00800576"/>
    <w:rsid w:val="0080058D"/>
    <w:rsid w:val="0080059A"/>
    <w:rsid w:val="008005AC"/>
    <w:rsid w:val="00800633"/>
    <w:rsid w:val="00800645"/>
    <w:rsid w:val="00800661"/>
    <w:rsid w:val="008006D0"/>
    <w:rsid w:val="0080070E"/>
    <w:rsid w:val="0080071E"/>
    <w:rsid w:val="00800726"/>
    <w:rsid w:val="0080073C"/>
    <w:rsid w:val="00800743"/>
    <w:rsid w:val="00800763"/>
    <w:rsid w:val="00800784"/>
    <w:rsid w:val="008007B1"/>
    <w:rsid w:val="008007F8"/>
    <w:rsid w:val="00800809"/>
    <w:rsid w:val="0080080F"/>
    <w:rsid w:val="0080082A"/>
    <w:rsid w:val="00800841"/>
    <w:rsid w:val="00800845"/>
    <w:rsid w:val="00800868"/>
    <w:rsid w:val="0080087B"/>
    <w:rsid w:val="00800894"/>
    <w:rsid w:val="008008B0"/>
    <w:rsid w:val="008008D9"/>
    <w:rsid w:val="008008DC"/>
    <w:rsid w:val="00800939"/>
    <w:rsid w:val="0080097F"/>
    <w:rsid w:val="008009B8"/>
    <w:rsid w:val="008009C7"/>
    <w:rsid w:val="00800A5C"/>
    <w:rsid w:val="00800ACB"/>
    <w:rsid w:val="00800AD9"/>
    <w:rsid w:val="00800B1B"/>
    <w:rsid w:val="00800B52"/>
    <w:rsid w:val="00800B97"/>
    <w:rsid w:val="00800BD6"/>
    <w:rsid w:val="00800BFC"/>
    <w:rsid w:val="00800C10"/>
    <w:rsid w:val="00800C22"/>
    <w:rsid w:val="00800C3D"/>
    <w:rsid w:val="00800C50"/>
    <w:rsid w:val="00800C63"/>
    <w:rsid w:val="00800C83"/>
    <w:rsid w:val="00800C85"/>
    <w:rsid w:val="00800CB6"/>
    <w:rsid w:val="00800CD5"/>
    <w:rsid w:val="00800CE7"/>
    <w:rsid w:val="00800CEE"/>
    <w:rsid w:val="00800D1E"/>
    <w:rsid w:val="00800D29"/>
    <w:rsid w:val="00800D33"/>
    <w:rsid w:val="00800D85"/>
    <w:rsid w:val="00800D9D"/>
    <w:rsid w:val="00800DA6"/>
    <w:rsid w:val="00800E06"/>
    <w:rsid w:val="00800E6C"/>
    <w:rsid w:val="00800E72"/>
    <w:rsid w:val="00800EBB"/>
    <w:rsid w:val="00800F6F"/>
    <w:rsid w:val="00800F99"/>
    <w:rsid w:val="00800FB7"/>
    <w:rsid w:val="00800FED"/>
    <w:rsid w:val="00801024"/>
    <w:rsid w:val="00801045"/>
    <w:rsid w:val="00801088"/>
    <w:rsid w:val="0080108A"/>
    <w:rsid w:val="008010D9"/>
    <w:rsid w:val="00801104"/>
    <w:rsid w:val="0080111C"/>
    <w:rsid w:val="00801172"/>
    <w:rsid w:val="0080118B"/>
    <w:rsid w:val="008011AC"/>
    <w:rsid w:val="008011C6"/>
    <w:rsid w:val="008011CB"/>
    <w:rsid w:val="00801218"/>
    <w:rsid w:val="00801268"/>
    <w:rsid w:val="0080130B"/>
    <w:rsid w:val="008013B8"/>
    <w:rsid w:val="00801462"/>
    <w:rsid w:val="0080149C"/>
    <w:rsid w:val="008014BA"/>
    <w:rsid w:val="008014CA"/>
    <w:rsid w:val="008014E6"/>
    <w:rsid w:val="0080150C"/>
    <w:rsid w:val="00801513"/>
    <w:rsid w:val="00801522"/>
    <w:rsid w:val="00801588"/>
    <w:rsid w:val="00801595"/>
    <w:rsid w:val="0080159F"/>
    <w:rsid w:val="008015AC"/>
    <w:rsid w:val="008015CD"/>
    <w:rsid w:val="00801612"/>
    <w:rsid w:val="0080161D"/>
    <w:rsid w:val="00801648"/>
    <w:rsid w:val="00801683"/>
    <w:rsid w:val="008016A0"/>
    <w:rsid w:val="008016BF"/>
    <w:rsid w:val="00801734"/>
    <w:rsid w:val="00801815"/>
    <w:rsid w:val="00801842"/>
    <w:rsid w:val="008018C0"/>
    <w:rsid w:val="008018DB"/>
    <w:rsid w:val="008018E7"/>
    <w:rsid w:val="008018F8"/>
    <w:rsid w:val="008018FA"/>
    <w:rsid w:val="00801964"/>
    <w:rsid w:val="00801966"/>
    <w:rsid w:val="00801999"/>
    <w:rsid w:val="00801A07"/>
    <w:rsid w:val="00801A0E"/>
    <w:rsid w:val="00801A40"/>
    <w:rsid w:val="00801A4C"/>
    <w:rsid w:val="00801A50"/>
    <w:rsid w:val="00801A5A"/>
    <w:rsid w:val="00801A85"/>
    <w:rsid w:val="00801AB4"/>
    <w:rsid w:val="00801AC2"/>
    <w:rsid w:val="00801AD3"/>
    <w:rsid w:val="00801AE7"/>
    <w:rsid w:val="00801AF7"/>
    <w:rsid w:val="00801B1F"/>
    <w:rsid w:val="00801B30"/>
    <w:rsid w:val="00801B78"/>
    <w:rsid w:val="00801B7F"/>
    <w:rsid w:val="00801BDF"/>
    <w:rsid w:val="00801BF0"/>
    <w:rsid w:val="00801C13"/>
    <w:rsid w:val="00801C42"/>
    <w:rsid w:val="00801C5E"/>
    <w:rsid w:val="00801C93"/>
    <w:rsid w:val="00801CA2"/>
    <w:rsid w:val="00801CCA"/>
    <w:rsid w:val="00801CE9"/>
    <w:rsid w:val="00801D56"/>
    <w:rsid w:val="00801D5B"/>
    <w:rsid w:val="00801D69"/>
    <w:rsid w:val="00801D86"/>
    <w:rsid w:val="00801D8D"/>
    <w:rsid w:val="00801D9F"/>
    <w:rsid w:val="00801DA9"/>
    <w:rsid w:val="00801DBC"/>
    <w:rsid w:val="00801DDA"/>
    <w:rsid w:val="00801DE9"/>
    <w:rsid w:val="00801E2E"/>
    <w:rsid w:val="00801E2F"/>
    <w:rsid w:val="00801E42"/>
    <w:rsid w:val="00801E44"/>
    <w:rsid w:val="00801E46"/>
    <w:rsid w:val="00801E6F"/>
    <w:rsid w:val="00801E98"/>
    <w:rsid w:val="00801ECB"/>
    <w:rsid w:val="00801ED5"/>
    <w:rsid w:val="00801EE6"/>
    <w:rsid w:val="00801F4E"/>
    <w:rsid w:val="00801F59"/>
    <w:rsid w:val="00801F61"/>
    <w:rsid w:val="00801F62"/>
    <w:rsid w:val="00801F7A"/>
    <w:rsid w:val="00801FED"/>
    <w:rsid w:val="00801FF5"/>
    <w:rsid w:val="00802031"/>
    <w:rsid w:val="0080203F"/>
    <w:rsid w:val="00802076"/>
    <w:rsid w:val="008020FD"/>
    <w:rsid w:val="0080211F"/>
    <w:rsid w:val="00802131"/>
    <w:rsid w:val="00802136"/>
    <w:rsid w:val="00802149"/>
    <w:rsid w:val="008021AA"/>
    <w:rsid w:val="008021C5"/>
    <w:rsid w:val="008021CB"/>
    <w:rsid w:val="00802280"/>
    <w:rsid w:val="00802295"/>
    <w:rsid w:val="0080230F"/>
    <w:rsid w:val="00802352"/>
    <w:rsid w:val="00802372"/>
    <w:rsid w:val="008023BB"/>
    <w:rsid w:val="008023C9"/>
    <w:rsid w:val="00802409"/>
    <w:rsid w:val="00802410"/>
    <w:rsid w:val="0080241A"/>
    <w:rsid w:val="0080242F"/>
    <w:rsid w:val="00802472"/>
    <w:rsid w:val="00802487"/>
    <w:rsid w:val="0080249D"/>
    <w:rsid w:val="008024E0"/>
    <w:rsid w:val="00802505"/>
    <w:rsid w:val="0080250D"/>
    <w:rsid w:val="00802557"/>
    <w:rsid w:val="00802563"/>
    <w:rsid w:val="00802566"/>
    <w:rsid w:val="0080258E"/>
    <w:rsid w:val="008025E8"/>
    <w:rsid w:val="0080262D"/>
    <w:rsid w:val="00802636"/>
    <w:rsid w:val="0080263E"/>
    <w:rsid w:val="0080264A"/>
    <w:rsid w:val="00802687"/>
    <w:rsid w:val="0080268F"/>
    <w:rsid w:val="008026B0"/>
    <w:rsid w:val="008026B7"/>
    <w:rsid w:val="008026B8"/>
    <w:rsid w:val="008026C0"/>
    <w:rsid w:val="00802714"/>
    <w:rsid w:val="0080272E"/>
    <w:rsid w:val="0080278D"/>
    <w:rsid w:val="0080278E"/>
    <w:rsid w:val="0080279E"/>
    <w:rsid w:val="008027BB"/>
    <w:rsid w:val="008027E3"/>
    <w:rsid w:val="00802816"/>
    <w:rsid w:val="00802826"/>
    <w:rsid w:val="0080285B"/>
    <w:rsid w:val="00802888"/>
    <w:rsid w:val="008028BA"/>
    <w:rsid w:val="008028E2"/>
    <w:rsid w:val="00802913"/>
    <w:rsid w:val="00802938"/>
    <w:rsid w:val="00802939"/>
    <w:rsid w:val="00802943"/>
    <w:rsid w:val="00802946"/>
    <w:rsid w:val="00802956"/>
    <w:rsid w:val="00802958"/>
    <w:rsid w:val="0080297B"/>
    <w:rsid w:val="00802992"/>
    <w:rsid w:val="008029B5"/>
    <w:rsid w:val="00802A40"/>
    <w:rsid w:val="00802A99"/>
    <w:rsid w:val="00802ACC"/>
    <w:rsid w:val="00802AE1"/>
    <w:rsid w:val="00802B62"/>
    <w:rsid w:val="00802B9D"/>
    <w:rsid w:val="00802BAC"/>
    <w:rsid w:val="00802BFE"/>
    <w:rsid w:val="00802C15"/>
    <w:rsid w:val="00802C1A"/>
    <w:rsid w:val="00802C99"/>
    <w:rsid w:val="00802D38"/>
    <w:rsid w:val="00802DAF"/>
    <w:rsid w:val="00802DF6"/>
    <w:rsid w:val="00802DFE"/>
    <w:rsid w:val="00802E1D"/>
    <w:rsid w:val="00802E1E"/>
    <w:rsid w:val="00802E45"/>
    <w:rsid w:val="00802E51"/>
    <w:rsid w:val="00802E5D"/>
    <w:rsid w:val="00802E9D"/>
    <w:rsid w:val="00802EB6"/>
    <w:rsid w:val="00802EB8"/>
    <w:rsid w:val="00802EC2"/>
    <w:rsid w:val="00802EE4"/>
    <w:rsid w:val="00802EE9"/>
    <w:rsid w:val="00802F58"/>
    <w:rsid w:val="00802FA4"/>
    <w:rsid w:val="00802FB8"/>
    <w:rsid w:val="00802FE2"/>
    <w:rsid w:val="00802FFD"/>
    <w:rsid w:val="0080300D"/>
    <w:rsid w:val="0080301F"/>
    <w:rsid w:val="0080305D"/>
    <w:rsid w:val="0080307A"/>
    <w:rsid w:val="008030EA"/>
    <w:rsid w:val="008030F1"/>
    <w:rsid w:val="008030FE"/>
    <w:rsid w:val="00803107"/>
    <w:rsid w:val="00803138"/>
    <w:rsid w:val="00803144"/>
    <w:rsid w:val="00803186"/>
    <w:rsid w:val="008031B8"/>
    <w:rsid w:val="008031DB"/>
    <w:rsid w:val="0080321D"/>
    <w:rsid w:val="00803234"/>
    <w:rsid w:val="0080323A"/>
    <w:rsid w:val="0080323D"/>
    <w:rsid w:val="00803280"/>
    <w:rsid w:val="008032BA"/>
    <w:rsid w:val="008032C0"/>
    <w:rsid w:val="008032D8"/>
    <w:rsid w:val="00803304"/>
    <w:rsid w:val="0080332A"/>
    <w:rsid w:val="00803379"/>
    <w:rsid w:val="00803388"/>
    <w:rsid w:val="00803391"/>
    <w:rsid w:val="0080341C"/>
    <w:rsid w:val="00803445"/>
    <w:rsid w:val="008034E5"/>
    <w:rsid w:val="00803512"/>
    <w:rsid w:val="00803540"/>
    <w:rsid w:val="0080355B"/>
    <w:rsid w:val="0080355D"/>
    <w:rsid w:val="00803566"/>
    <w:rsid w:val="00803580"/>
    <w:rsid w:val="008035C6"/>
    <w:rsid w:val="00803609"/>
    <w:rsid w:val="00803616"/>
    <w:rsid w:val="00803673"/>
    <w:rsid w:val="00803698"/>
    <w:rsid w:val="0080369F"/>
    <w:rsid w:val="008036BA"/>
    <w:rsid w:val="008036C3"/>
    <w:rsid w:val="0080370F"/>
    <w:rsid w:val="0080373D"/>
    <w:rsid w:val="0080379D"/>
    <w:rsid w:val="008037A5"/>
    <w:rsid w:val="008037B9"/>
    <w:rsid w:val="008037D4"/>
    <w:rsid w:val="008037D5"/>
    <w:rsid w:val="008037DC"/>
    <w:rsid w:val="008037FC"/>
    <w:rsid w:val="00803808"/>
    <w:rsid w:val="00803843"/>
    <w:rsid w:val="00803849"/>
    <w:rsid w:val="0080385F"/>
    <w:rsid w:val="00803863"/>
    <w:rsid w:val="00803881"/>
    <w:rsid w:val="008038A4"/>
    <w:rsid w:val="008038A6"/>
    <w:rsid w:val="008038DC"/>
    <w:rsid w:val="0080393C"/>
    <w:rsid w:val="008039B6"/>
    <w:rsid w:val="008039FB"/>
    <w:rsid w:val="00803A13"/>
    <w:rsid w:val="00803A34"/>
    <w:rsid w:val="00803A58"/>
    <w:rsid w:val="00803A79"/>
    <w:rsid w:val="00803A7B"/>
    <w:rsid w:val="00803A90"/>
    <w:rsid w:val="00803AED"/>
    <w:rsid w:val="00803AF7"/>
    <w:rsid w:val="00803B1F"/>
    <w:rsid w:val="00803B41"/>
    <w:rsid w:val="00803B6B"/>
    <w:rsid w:val="00803BA4"/>
    <w:rsid w:val="00803BCA"/>
    <w:rsid w:val="00803BD9"/>
    <w:rsid w:val="00803C59"/>
    <w:rsid w:val="00803C65"/>
    <w:rsid w:val="00803C6F"/>
    <w:rsid w:val="00803C7C"/>
    <w:rsid w:val="00803CA3"/>
    <w:rsid w:val="00803CAA"/>
    <w:rsid w:val="00803CF9"/>
    <w:rsid w:val="00803D1D"/>
    <w:rsid w:val="00803D21"/>
    <w:rsid w:val="00803D61"/>
    <w:rsid w:val="00803D8B"/>
    <w:rsid w:val="00803E1F"/>
    <w:rsid w:val="00803E42"/>
    <w:rsid w:val="00803E90"/>
    <w:rsid w:val="00803EC6"/>
    <w:rsid w:val="00803EC8"/>
    <w:rsid w:val="00803F02"/>
    <w:rsid w:val="00803F08"/>
    <w:rsid w:val="00803F17"/>
    <w:rsid w:val="00803F18"/>
    <w:rsid w:val="00803F59"/>
    <w:rsid w:val="00803F5E"/>
    <w:rsid w:val="00803F6C"/>
    <w:rsid w:val="00803F86"/>
    <w:rsid w:val="00803FAE"/>
    <w:rsid w:val="00803FC6"/>
    <w:rsid w:val="00803FE4"/>
    <w:rsid w:val="00803FEC"/>
    <w:rsid w:val="00804013"/>
    <w:rsid w:val="00804018"/>
    <w:rsid w:val="0080402E"/>
    <w:rsid w:val="00804041"/>
    <w:rsid w:val="00804051"/>
    <w:rsid w:val="00804097"/>
    <w:rsid w:val="008040A3"/>
    <w:rsid w:val="008040F7"/>
    <w:rsid w:val="00804153"/>
    <w:rsid w:val="0080415E"/>
    <w:rsid w:val="008041E4"/>
    <w:rsid w:val="00804210"/>
    <w:rsid w:val="00804217"/>
    <w:rsid w:val="008042AE"/>
    <w:rsid w:val="008042D5"/>
    <w:rsid w:val="008042F0"/>
    <w:rsid w:val="008042F6"/>
    <w:rsid w:val="00804340"/>
    <w:rsid w:val="00804355"/>
    <w:rsid w:val="008043DF"/>
    <w:rsid w:val="008043E0"/>
    <w:rsid w:val="008043E2"/>
    <w:rsid w:val="008043E8"/>
    <w:rsid w:val="00804423"/>
    <w:rsid w:val="0080442E"/>
    <w:rsid w:val="00804430"/>
    <w:rsid w:val="00804439"/>
    <w:rsid w:val="0080446F"/>
    <w:rsid w:val="0080447D"/>
    <w:rsid w:val="0080448A"/>
    <w:rsid w:val="008044D5"/>
    <w:rsid w:val="008044F6"/>
    <w:rsid w:val="00804513"/>
    <w:rsid w:val="00804535"/>
    <w:rsid w:val="0080453A"/>
    <w:rsid w:val="00804553"/>
    <w:rsid w:val="00804570"/>
    <w:rsid w:val="00804586"/>
    <w:rsid w:val="00804599"/>
    <w:rsid w:val="008045CD"/>
    <w:rsid w:val="008045F6"/>
    <w:rsid w:val="008045FD"/>
    <w:rsid w:val="00804603"/>
    <w:rsid w:val="00804616"/>
    <w:rsid w:val="00804640"/>
    <w:rsid w:val="008046B1"/>
    <w:rsid w:val="008046F2"/>
    <w:rsid w:val="008046FC"/>
    <w:rsid w:val="00804710"/>
    <w:rsid w:val="0080471F"/>
    <w:rsid w:val="00804737"/>
    <w:rsid w:val="008047AD"/>
    <w:rsid w:val="008047BE"/>
    <w:rsid w:val="008047FB"/>
    <w:rsid w:val="008047FC"/>
    <w:rsid w:val="00804802"/>
    <w:rsid w:val="00804849"/>
    <w:rsid w:val="0080484E"/>
    <w:rsid w:val="00804857"/>
    <w:rsid w:val="00804862"/>
    <w:rsid w:val="00804880"/>
    <w:rsid w:val="00804888"/>
    <w:rsid w:val="00804897"/>
    <w:rsid w:val="008048DE"/>
    <w:rsid w:val="008048E2"/>
    <w:rsid w:val="008048E8"/>
    <w:rsid w:val="00804942"/>
    <w:rsid w:val="00804956"/>
    <w:rsid w:val="0080495C"/>
    <w:rsid w:val="00804969"/>
    <w:rsid w:val="0080499B"/>
    <w:rsid w:val="008049C5"/>
    <w:rsid w:val="00804A26"/>
    <w:rsid w:val="00804AA4"/>
    <w:rsid w:val="00804AB5"/>
    <w:rsid w:val="00804AD0"/>
    <w:rsid w:val="00804AF3"/>
    <w:rsid w:val="00804B11"/>
    <w:rsid w:val="00804B7B"/>
    <w:rsid w:val="00804BC3"/>
    <w:rsid w:val="00804BD0"/>
    <w:rsid w:val="00804BD3"/>
    <w:rsid w:val="00804C13"/>
    <w:rsid w:val="00804C2C"/>
    <w:rsid w:val="00804C6F"/>
    <w:rsid w:val="00804CC8"/>
    <w:rsid w:val="00804CF4"/>
    <w:rsid w:val="00804D0D"/>
    <w:rsid w:val="00804D40"/>
    <w:rsid w:val="00804D4C"/>
    <w:rsid w:val="00804DA7"/>
    <w:rsid w:val="00804DEC"/>
    <w:rsid w:val="00804DF4"/>
    <w:rsid w:val="00804E1A"/>
    <w:rsid w:val="00804E35"/>
    <w:rsid w:val="00804EC9"/>
    <w:rsid w:val="00804ECB"/>
    <w:rsid w:val="00804EDC"/>
    <w:rsid w:val="00804F03"/>
    <w:rsid w:val="00804F0E"/>
    <w:rsid w:val="00804F11"/>
    <w:rsid w:val="00804F16"/>
    <w:rsid w:val="00804FD2"/>
    <w:rsid w:val="00804FD6"/>
    <w:rsid w:val="00804FE6"/>
    <w:rsid w:val="00804FEC"/>
    <w:rsid w:val="00805029"/>
    <w:rsid w:val="0080506F"/>
    <w:rsid w:val="008050B0"/>
    <w:rsid w:val="008050F1"/>
    <w:rsid w:val="00805114"/>
    <w:rsid w:val="00805136"/>
    <w:rsid w:val="00805146"/>
    <w:rsid w:val="0080515B"/>
    <w:rsid w:val="00805162"/>
    <w:rsid w:val="0080518A"/>
    <w:rsid w:val="00805196"/>
    <w:rsid w:val="008051A9"/>
    <w:rsid w:val="008051FE"/>
    <w:rsid w:val="00805231"/>
    <w:rsid w:val="0080524D"/>
    <w:rsid w:val="00805276"/>
    <w:rsid w:val="00805285"/>
    <w:rsid w:val="0080530F"/>
    <w:rsid w:val="00805338"/>
    <w:rsid w:val="00805379"/>
    <w:rsid w:val="00805386"/>
    <w:rsid w:val="0080540C"/>
    <w:rsid w:val="00805455"/>
    <w:rsid w:val="0080545B"/>
    <w:rsid w:val="00805462"/>
    <w:rsid w:val="008054F4"/>
    <w:rsid w:val="00805505"/>
    <w:rsid w:val="00805529"/>
    <w:rsid w:val="0080553A"/>
    <w:rsid w:val="0080558D"/>
    <w:rsid w:val="008055C0"/>
    <w:rsid w:val="00805603"/>
    <w:rsid w:val="0080565A"/>
    <w:rsid w:val="00805661"/>
    <w:rsid w:val="008056C0"/>
    <w:rsid w:val="008056C1"/>
    <w:rsid w:val="00805795"/>
    <w:rsid w:val="0080582D"/>
    <w:rsid w:val="0080583A"/>
    <w:rsid w:val="00805853"/>
    <w:rsid w:val="008058A4"/>
    <w:rsid w:val="008058D4"/>
    <w:rsid w:val="008058E3"/>
    <w:rsid w:val="0080590D"/>
    <w:rsid w:val="00805947"/>
    <w:rsid w:val="00805952"/>
    <w:rsid w:val="0080595A"/>
    <w:rsid w:val="0080596E"/>
    <w:rsid w:val="008059FF"/>
    <w:rsid w:val="00805A3D"/>
    <w:rsid w:val="00805AC2"/>
    <w:rsid w:val="00805AD2"/>
    <w:rsid w:val="00805B5B"/>
    <w:rsid w:val="00805B5D"/>
    <w:rsid w:val="00805B93"/>
    <w:rsid w:val="00805B94"/>
    <w:rsid w:val="00805BB4"/>
    <w:rsid w:val="00805C30"/>
    <w:rsid w:val="00805C47"/>
    <w:rsid w:val="00805C7B"/>
    <w:rsid w:val="00805C7F"/>
    <w:rsid w:val="00805C89"/>
    <w:rsid w:val="00805CAF"/>
    <w:rsid w:val="00805CB7"/>
    <w:rsid w:val="00805D02"/>
    <w:rsid w:val="00805D0C"/>
    <w:rsid w:val="00805D45"/>
    <w:rsid w:val="00805D54"/>
    <w:rsid w:val="00805D75"/>
    <w:rsid w:val="00805D76"/>
    <w:rsid w:val="00805DBC"/>
    <w:rsid w:val="00805DC0"/>
    <w:rsid w:val="00805DCD"/>
    <w:rsid w:val="00805DD5"/>
    <w:rsid w:val="00805E02"/>
    <w:rsid w:val="00805E68"/>
    <w:rsid w:val="00805E70"/>
    <w:rsid w:val="00805E75"/>
    <w:rsid w:val="00805EB5"/>
    <w:rsid w:val="00805EBE"/>
    <w:rsid w:val="00805EC4"/>
    <w:rsid w:val="00805EE0"/>
    <w:rsid w:val="00805F73"/>
    <w:rsid w:val="00805F8B"/>
    <w:rsid w:val="00805FD1"/>
    <w:rsid w:val="00806014"/>
    <w:rsid w:val="0080602B"/>
    <w:rsid w:val="00806036"/>
    <w:rsid w:val="0080604C"/>
    <w:rsid w:val="0080604F"/>
    <w:rsid w:val="00806053"/>
    <w:rsid w:val="008060A6"/>
    <w:rsid w:val="008060BE"/>
    <w:rsid w:val="008060EB"/>
    <w:rsid w:val="00806144"/>
    <w:rsid w:val="00806153"/>
    <w:rsid w:val="00806193"/>
    <w:rsid w:val="0080619D"/>
    <w:rsid w:val="008061AB"/>
    <w:rsid w:val="008061B2"/>
    <w:rsid w:val="008061B7"/>
    <w:rsid w:val="0080621D"/>
    <w:rsid w:val="00806229"/>
    <w:rsid w:val="00806253"/>
    <w:rsid w:val="00806277"/>
    <w:rsid w:val="0080629A"/>
    <w:rsid w:val="008062C3"/>
    <w:rsid w:val="008062FA"/>
    <w:rsid w:val="0080632C"/>
    <w:rsid w:val="00806379"/>
    <w:rsid w:val="0080637D"/>
    <w:rsid w:val="008063DF"/>
    <w:rsid w:val="008063E1"/>
    <w:rsid w:val="008063F6"/>
    <w:rsid w:val="00806459"/>
    <w:rsid w:val="0080645F"/>
    <w:rsid w:val="00806485"/>
    <w:rsid w:val="00806495"/>
    <w:rsid w:val="00806497"/>
    <w:rsid w:val="0080650E"/>
    <w:rsid w:val="00806522"/>
    <w:rsid w:val="0080653B"/>
    <w:rsid w:val="00806586"/>
    <w:rsid w:val="0080659D"/>
    <w:rsid w:val="008065D9"/>
    <w:rsid w:val="00806618"/>
    <w:rsid w:val="0080661C"/>
    <w:rsid w:val="0080664E"/>
    <w:rsid w:val="0080668F"/>
    <w:rsid w:val="00806692"/>
    <w:rsid w:val="008066BC"/>
    <w:rsid w:val="00806748"/>
    <w:rsid w:val="0080674F"/>
    <w:rsid w:val="0080675F"/>
    <w:rsid w:val="00806768"/>
    <w:rsid w:val="0080678C"/>
    <w:rsid w:val="008067B6"/>
    <w:rsid w:val="008067C3"/>
    <w:rsid w:val="008067C4"/>
    <w:rsid w:val="008067CD"/>
    <w:rsid w:val="008067D5"/>
    <w:rsid w:val="0080682A"/>
    <w:rsid w:val="0080682F"/>
    <w:rsid w:val="0080685C"/>
    <w:rsid w:val="0080687B"/>
    <w:rsid w:val="00806890"/>
    <w:rsid w:val="008068B8"/>
    <w:rsid w:val="008068CF"/>
    <w:rsid w:val="00806920"/>
    <w:rsid w:val="00806932"/>
    <w:rsid w:val="00806941"/>
    <w:rsid w:val="0080694F"/>
    <w:rsid w:val="0080696C"/>
    <w:rsid w:val="00806997"/>
    <w:rsid w:val="008069BA"/>
    <w:rsid w:val="008069D9"/>
    <w:rsid w:val="00806A09"/>
    <w:rsid w:val="00806A48"/>
    <w:rsid w:val="00806A63"/>
    <w:rsid w:val="00806A86"/>
    <w:rsid w:val="00806AA2"/>
    <w:rsid w:val="00806AD3"/>
    <w:rsid w:val="00806AF4"/>
    <w:rsid w:val="00806B02"/>
    <w:rsid w:val="00806B48"/>
    <w:rsid w:val="00806B78"/>
    <w:rsid w:val="00806B7D"/>
    <w:rsid w:val="00806B95"/>
    <w:rsid w:val="00806BE3"/>
    <w:rsid w:val="00806C06"/>
    <w:rsid w:val="00806C16"/>
    <w:rsid w:val="00806C77"/>
    <w:rsid w:val="00806CA3"/>
    <w:rsid w:val="00806CDE"/>
    <w:rsid w:val="00806D24"/>
    <w:rsid w:val="00806D33"/>
    <w:rsid w:val="00806D4A"/>
    <w:rsid w:val="00806D8B"/>
    <w:rsid w:val="00806D9C"/>
    <w:rsid w:val="00806DAC"/>
    <w:rsid w:val="00806DFC"/>
    <w:rsid w:val="00806E38"/>
    <w:rsid w:val="00806E48"/>
    <w:rsid w:val="00806E71"/>
    <w:rsid w:val="00806EDD"/>
    <w:rsid w:val="00806EE4"/>
    <w:rsid w:val="00806EF2"/>
    <w:rsid w:val="00806F24"/>
    <w:rsid w:val="00806F42"/>
    <w:rsid w:val="00806F92"/>
    <w:rsid w:val="00806F9F"/>
    <w:rsid w:val="00806FB0"/>
    <w:rsid w:val="00806FD0"/>
    <w:rsid w:val="0080700B"/>
    <w:rsid w:val="00807057"/>
    <w:rsid w:val="00807074"/>
    <w:rsid w:val="008070B6"/>
    <w:rsid w:val="00807222"/>
    <w:rsid w:val="0080724E"/>
    <w:rsid w:val="00807259"/>
    <w:rsid w:val="008072B8"/>
    <w:rsid w:val="008072C4"/>
    <w:rsid w:val="008072F9"/>
    <w:rsid w:val="00807311"/>
    <w:rsid w:val="0080733B"/>
    <w:rsid w:val="0080736D"/>
    <w:rsid w:val="008073BB"/>
    <w:rsid w:val="008073E4"/>
    <w:rsid w:val="00807457"/>
    <w:rsid w:val="00807470"/>
    <w:rsid w:val="0080749D"/>
    <w:rsid w:val="008074BF"/>
    <w:rsid w:val="008074D3"/>
    <w:rsid w:val="008074F9"/>
    <w:rsid w:val="00807508"/>
    <w:rsid w:val="0080751F"/>
    <w:rsid w:val="00807532"/>
    <w:rsid w:val="0080756A"/>
    <w:rsid w:val="0080759F"/>
    <w:rsid w:val="008075EB"/>
    <w:rsid w:val="008075F9"/>
    <w:rsid w:val="00807628"/>
    <w:rsid w:val="0080768B"/>
    <w:rsid w:val="008076AC"/>
    <w:rsid w:val="008076AD"/>
    <w:rsid w:val="008076D4"/>
    <w:rsid w:val="00807742"/>
    <w:rsid w:val="008077B6"/>
    <w:rsid w:val="008077DC"/>
    <w:rsid w:val="008077E2"/>
    <w:rsid w:val="008077E7"/>
    <w:rsid w:val="008077FC"/>
    <w:rsid w:val="00807816"/>
    <w:rsid w:val="0080782C"/>
    <w:rsid w:val="00807842"/>
    <w:rsid w:val="008078A7"/>
    <w:rsid w:val="008078CA"/>
    <w:rsid w:val="008078D2"/>
    <w:rsid w:val="008078E4"/>
    <w:rsid w:val="008078E8"/>
    <w:rsid w:val="00807908"/>
    <w:rsid w:val="00807940"/>
    <w:rsid w:val="00807996"/>
    <w:rsid w:val="008079B3"/>
    <w:rsid w:val="00807A22"/>
    <w:rsid w:val="00807A36"/>
    <w:rsid w:val="00807A6F"/>
    <w:rsid w:val="00807A7D"/>
    <w:rsid w:val="00807AB6"/>
    <w:rsid w:val="00807ACE"/>
    <w:rsid w:val="00807AF5"/>
    <w:rsid w:val="00807B01"/>
    <w:rsid w:val="00807B26"/>
    <w:rsid w:val="00807B33"/>
    <w:rsid w:val="00807B44"/>
    <w:rsid w:val="00807B65"/>
    <w:rsid w:val="00807B79"/>
    <w:rsid w:val="00807B7F"/>
    <w:rsid w:val="00807BD3"/>
    <w:rsid w:val="00807C18"/>
    <w:rsid w:val="00807C96"/>
    <w:rsid w:val="00807CA2"/>
    <w:rsid w:val="00807CBA"/>
    <w:rsid w:val="00807CDB"/>
    <w:rsid w:val="00807CFF"/>
    <w:rsid w:val="00807D92"/>
    <w:rsid w:val="00807DB3"/>
    <w:rsid w:val="00807DF7"/>
    <w:rsid w:val="00807E06"/>
    <w:rsid w:val="00807E10"/>
    <w:rsid w:val="00807E12"/>
    <w:rsid w:val="00807E39"/>
    <w:rsid w:val="00807E79"/>
    <w:rsid w:val="00807E8E"/>
    <w:rsid w:val="00807ECD"/>
    <w:rsid w:val="00807ED8"/>
    <w:rsid w:val="00807F40"/>
    <w:rsid w:val="00807F47"/>
    <w:rsid w:val="00807F4B"/>
    <w:rsid w:val="00807F4E"/>
    <w:rsid w:val="00807F74"/>
    <w:rsid w:val="00807F99"/>
    <w:rsid w:val="00807FCC"/>
    <w:rsid w:val="00807FD6"/>
    <w:rsid w:val="00810008"/>
    <w:rsid w:val="0081009F"/>
    <w:rsid w:val="008100B1"/>
    <w:rsid w:val="008100BA"/>
    <w:rsid w:val="008100E1"/>
    <w:rsid w:val="008100E6"/>
    <w:rsid w:val="0081011B"/>
    <w:rsid w:val="0081013F"/>
    <w:rsid w:val="008101B3"/>
    <w:rsid w:val="008101BC"/>
    <w:rsid w:val="008101DA"/>
    <w:rsid w:val="00810205"/>
    <w:rsid w:val="00810209"/>
    <w:rsid w:val="00810213"/>
    <w:rsid w:val="0081021D"/>
    <w:rsid w:val="0081027A"/>
    <w:rsid w:val="0081028A"/>
    <w:rsid w:val="00810292"/>
    <w:rsid w:val="0081029D"/>
    <w:rsid w:val="008102A0"/>
    <w:rsid w:val="008102A7"/>
    <w:rsid w:val="008102D9"/>
    <w:rsid w:val="00810304"/>
    <w:rsid w:val="00810315"/>
    <w:rsid w:val="00810318"/>
    <w:rsid w:val="0081031F"/>
    <w:rsid w:val="008103AC"/>
    <w:rsid w:val="008103E3"/>
    <w:rsid w:val="00810401"/>
    <w:rsid w:val="00810407"/>
    <w:rsid w:val="00810423"/>
    <w:rsid w:val="00810439"/>
    <w:rsid w:val="00810467"/>
    <w:rsid w:val="00810488"/>
    <w:rsid w:val="00810491"/>
    <w:rsid w:val="008104B5"/>
    <w:rsid w:val="008104BF"/>
    <w:rsid w:val="008104CA"/>
    <w:rsid w:val="00810508"/>
    <w:rsid w:val="00810513"/>
    <w:rsid w:val="0081051F"/>
    <w:rsid w:val="0081053A"/>
    <w:rsid w:val="0081053B"/>
    <w:rsid w:val="00810564"/>
    <w:rsid w:val="00810568"/>
    <w:rsid w:val="00810595"/>
    <w:rsid w:val="0081059D"/>
    <w:rsid w:val="008105A8"/>
    <w:rsid w:val="008105B7"/>
    <w:rsid w:val="008105E5"/>
    <w:rsid w:val="00810609"/>
    <w:rsid w:val="0081060B"/>
    <w:rsid w:val="00810616"/>
    <w:rsid w:val="00810647"/>
    <w:rsid w:val="008106B9"/>
    <w:rsid w:val="008106D3"/>
    <w:rsid w:val="008106F8"/>
    <w:rsid w:val="00810729"/>
    <w:rsid w:val="00810762"/>
    <w:rsid w:val="008107C2"/>
    <w:rsid w:val="0081080B"/>
    <w:rsid w:val="008108D7"/>
    <w:rsid w:val="00810951"/>
    <w:rsid w:val="00810994"/>
    <w:rsid w:val="008109CE"/>
    <w:rsid w:val="008109DE"/>
    <w:rsid w:val="008109F4"/>
    <w:rsid w:val="00810A55"/>
    <w:rsid w:val="00810A6B"/>
    <w:rsid w:val="00810A9C"/>
    <w:rsid w:val="00810AA1"/>
    <w:rsid w:val="00810AF2"/>
    <w:rsid w:val="00810B1D"/>
    <w:rsid w:val="00810B49"/>
    <w:rsid w:val="00810B78"/>
    <w:rsid w:val="00810BB0"/>
    <w:rsid w:val="00810BD3"/>
    <w:rsid w:val="00810BED"/>
    <w:rsid w:val="00810BFC"/>
    <w:rsid w:val="00810C6C"/>
    <w:rsid w:val="00810C75"/>
    <w:rsid w:val="00810CD8"/>
    <w:rsid w:val="00810CE5"/>
    <w:rsid w:val="00810CE7"/>
    <w:rsid w:val="00810D17"/>
    <w:rsid w:val="00810D1A"/>
    <w:rsid w:val="00810D35"/>
    <w:rsid w:val="00810D4B"/>
    <w:rsid w:val="00810D53"/>
    <w:rsid w:val="00810D58"/>
    <w:rsid w:val="00810D5F"/>
    <w:rsid w:val="00810DA8"/>
    <w:rsid w:val="00810DBE"/>
    <w:rsid w:val="00810E3C"/>
    <w:rsid w:val="00810E5F"/>
    <w:rsid w:val="00810E67"/>
    <w:rsid w:val="00810EBF"/>
    <w:rsid w:val="00810ED8"/>
    <w:rsid w:val="00810EDB"/>
    <w:rsid w:val="00810EDD"/>
    <w:rsid w:val="00810F16"/>
    <w:rsid w:val="00810F1B"/>
    <w:rsid w:val="00810F2D"/>
    <w:rsid w:val="00810F7E"/>
    <w:rsid w:val="00810F8C"/>
    <w:rsid w:val="00810F9D"/>
    <w:rsid w:val="00810FAA"/>
    <w:rsid w:val="0081105B"/>
    <w:rsid w:val="0081106F"/>
    <w:rsid w:val="0081107D"/>
    <w:rsid w:val="00811098"/>
    <w:rsid w:val="008110AC"/>
    <w:rsid w:val="008110AF"/>
    <w:rsid w:val="008110DD"/>
    <w:rsid w:val="008110DE"/>
    <w:rsid w:val="00811100"/>
    <w:rsid w:val="00811103"/>
    <w:rsid w:val="0081112A"/>
    <w:rsid w:val="0081113A"/>
    <w:rsid w:val="008111C9"/>
    <w:rsid w:val="008111E9"/>
    <w:rsid w:val="008111EC"/>
    <w:rsid w:val="008111F8"/>
    <w:rsid w:val="008111F9"/>
    <w:rsid w:val="00811230"/>
    <w:rsid w:val="00811267"/>
    <w:rsid w:val="00811289"/>
    <w:rsid w:val="008112B8"/>
    <w:rsid w:val="008112E4"/>
    <w:rsid w:val="00811334"/>
    <w:rsid w:val="00811354"/>
    <w:rsid w:val="00811374"/>
    <w:rsid w:val="008113B8"/>
    <w:rsid w:val="008113E3"/>
    <w:rsid w:val="008113F6"/>
    <w:rsid w:val="00811445"/>
    <w:rsid w:val="0081144D"/>
    <w:rsid w:val="00811475"/>
    <w:rsid w:val="00811477"/>
    <w:rsid w:val="00811506"/>
    <w:rsid w:val="00811513"/>
    <w:rsid w:val="0081152D"/>
    <w:rsid w:val="00811590"/>
    <w:rsid w:val="008115A6"/>
    <w:rsid w:val="008115A8"/>
    <w:rsid w:val="008115D9"/>
    <w:rsid w:val="008115F2"/>
    <w:rsid w:val="0081164E"/>
    <w:rsid w:val="00811655"/>
    <w:rsid w:val="008116B2"/>
    <w:rsid w:val="008116D1"/>
    <w:rsid w:val="00811714"/>
    <w:rsid w:val="00811719"/>
    <w:rsid w:val="00811737"/>
    <w:rsid w:val="00811810"/>
    <w:rsid w:val="00811831"/>
    <w:rsid w:val="00811836"/>
    <w:rsid w:val="0081187C"/>
    <w:rsid w:val="008118B8"/>
    <w:rsid w:val="008118C4"/>
    <w:rsid w:val="008118F9"/>
    <w:rsid w:val="00811900"/>
    <w:rsid w:val="00811905"/>
    <w:rsid w:val="00811920"/>
    <w:rsid w:val="00811934"/>
    <w:rsid w:val="0081196B"/>
    <w:rsid w:val="00811980"/>
    <w:rsid w:val="0081199D"/>
    <w:rsid w:val="008119A0"/>
    <w:rsid w:val="008119D7"/>
    <w:rsid w:val="00811A0D"/>
    <w:rsid w:val="00811AAF"/>
    <w:rsid w:val="00811B23"/>
    <w:rsid w:val="00811B61"/>
    <w:rsid w:val="00811B6E"/>
    <w:rsid w:val="00811B82"/>
    <w:rsid w:val="00811BD4"/>
    <w:rsid w:val="00811C29"/>
    <w:rsid w:val="00811C2D"/>
    <w:rsid w:val="00811C45"/>
    <w:rsid w:val="00811C72"/>
    <w:rsid w:val="00811CAD"/>
    <w:rsid w:val="00811CB7"/>
    <w:rsid w:val="00811D55"/>
    <w:rsid w:val="00811D72"/>
    <w:rsid w:val="00811D8E"/>
    <w:rsid w:val="00811D9E"/>
    <w:rsid w:val="00811DAD"/>
    <w:rsid w:val="00811DDA"/>
    <w:rsid w:val="00811E1D"/>
    <w:rsid w:val="00811E20"/>
    <w:rsid w:val="00811E45"/>
    <w:rsid w:val="00811F2B"/>
    <w:rsid w:val="00811F34"/>
    <w:rsid w:val="00811FA6"/>
    <w:rsid w:val="00811FAA"/>
    <w:rsid w:val="00811FD0"/>
    <w:rsid w:val="0081201B"/>
    <w:rsid w:val="00812022"/>
    <w:rsid w:val="008120B0"/>
    <w:rsid w:val="008120E8"/>
    <w:rsid w:val="00812108"/>
    <w:rsid w:val="0081212C"/>
    <w:rsid w:val="00812147"/>
    <w:rsid w:val="00812155"/>
    <w:rsid w:val="0081216B"/>
    <w:rsid w:val="00812170"/>
    <w:rsid w:val="00812172"/>
    <w:rsid w:val="008121A1"/>
    <w:rsid w:val="008121B3"/>
    <w:rsid w:val="008121BA"/>
    <w:rsid w:val="008121E2"/>
    <w:rsid w:val="00812203"/>
    <w:rsid w:val="0081222E"/>
    <w:rsid w:val="00812240"/>
    <w:rsid w:val="0081225C"/>
    <w:rsid w:val="00812289"/>
    <w:rsid w:val="00812296"/>
    <w:rsid w:val="008122B0"/>
    <w:rsid w:val="008122B1"/>
    <w:rsid w:val="008122DB"/>
    <w:rsid w:val="00812301"/>
    <w:rsid w:val="0081233A"/>
    <w:rsid w:val="00812364"/>
    <w:rsid w:val="0081239B"/>
    <w:rsid w:val="008123CD"/>
    <w:rsid w:val="008123E6"/>
    <w:rsid w:val="00812403"/>
    <w:rsid w:val="00812406"/>
    <w:rsid w:val="00812429"/>
    <w:rsid w:val="00812446"/>
    <w:rsid w:val="00812450"/>
    <w:rsid w:val="00812479"/>
    <w:rsid w:val="0081247A"/>
    <w:rsid w:val="00812497"/>
    <w:rsid w:val="00812498"/>
    <w:rsid w:val="008124BE"/>
    <w:rsid w:val="0081255D"/>
    <w:rsid w:val="00812592"/>
    <w:rsid w:val="008125DC"/>
    <w:rsid w:val="00812654"/>
    <w:rsid w:val="0081265E"/>
    <w:rsid w:val="008126A8"/>
    <w:rsid w:val="008126AF"/>
    <w:rsid w:val="008126D8"/>
    <w:rsid w:val="0081271D"/>
    <w:rsid w:val="00812732"/>
    <w:rsid w:val="008127A5"/>
    <w:rsid w:val="008127C5"/>
    <w:rsid w:val="008127DE"/>
    <w:rsid w:val="00812845"/>
    <w:rsid w:val="00812875"/>
    <w:rsid w:val="00812876"/>
    <w:rsid w:val="00812879"/>
    <w:rsid w:val="00812887"/>
    <w:rsid w:val="008128CE"/>
    <w:rsid w:val="008128D5"/>
    <w:rsid w:val="008128EF"/>
    <w:rsid w:val="00812902"/>
    <w:rsid w:val="00812916"/>
    <w:rsid w:val="00812928"/>
    <w:rsid w:val="0081294D"/>
    <w:rsid w:val="00812958"/>
    <w:rsid w:val="008129BD"/>
    <w:rsid w:val="008129CC"/>
    <w:rsid w:val="00812A1D"/>
    <w:rsid w:val="00812A2B"/>
    <w:rsid w:val="00812A34"/>
    <w:rsid w:val="00812A49"/>
    <w:rsid w:val="00812A74"/>
    <w:rsid w:val="00812A9D"/>
    <w:rsid w:val="00812ADD"/>
    <w:rsid w:val="00812AE6"/>
    <w:rsid w:val="00812B04"/>
    <w:rsid w:val="00812B4E"/>
    <w:rsid w:val="00812B59"/>
    <w:rsid w:val="00812B5A"/>
    <w:rsid w:val="00812B5C"/>
    <w:rsid w:val="00812B72"/>
    <w:rsid w:val="00812B87"/>
    <w:rsid w:val="00812B9C"/>
    <w:rsid w:val="00812BE9"/>
    <w:rsid w:val="00812BED"/>
    <w:rsid w:val="00812C11"/>
    <w:rsid w:val="00812C1B"/>
    <w:rsid w:val="00812C70"/>
    <w:rsid w:val="00812CAC"/>
    <w:rsid w:val="00812D08"/>
    <w:rsid w:val="00812D90"/>
    <w:rsid w:val="00812D96"/>
    <w:rsid w:val="00812D9E"/>
    <w:rsid w:val="00812DAC"/>
    <w:rsid w:val="00812E7F"/>
    <w:rsid w:val="00812E84"/>
    <w:rsid w:val="00812EC3"/>
    <w:rsid w:val="00812F2C"/>
    <w:rsid w:val="00812F67"/>
    <w:rsid w:val="00812F6F"/>
    <w:rsid w:val="00812F79"/>
    <w:rsid w:val="00812FBC"/>
    <w:rsid w:val="00812FC2"/>
    <w:rsid w:val="00812FCE"/>
    <w:rsid w:val="00812FDA"/>
    <w:rsid w:val="00812FE3"/>
    <w:rsid w:val="00813011"/>
    <w:rsid w:val="00813015"/>
    <w:rsid w:val="00813022"/>
    <w:rsid w:val="008130B9"/>
    <w:rsid w:val="008130E6"/>
    <w:rsid w:val="0081311D"/>
    <w:rsid w:val="0081312E"/>
    <w:rsid w:val="00813191"/>
    <w:rsid w:val="008131C4"/>
    <w:rsid w:val="008131D0"/>
    <w:rsid w:val="008131E6"/>
    <w:rsid w:val="008131EF"/>
    <w:rsid w:val="00813200"/>
    <w:rsid w:val="0081320A"/>
    <w:rsid w:val="00813215"/>
    <w:rsid w:val="00813278"/>
    <w:rsid w:val="0081328C"/>
    <w:rsid w:val="008132E5"/>
    <w:rsid w:val="00813397"/>
    <w:rsid w:val="008133E9"/>
    <w:rsid w:val="0081340E"/>
    <w:rsid w:val="00813410"/>
    <w:rsid w:val="00813411"/>
    <w:rsid w:val="00813454"/>
    <w:rsid w:val="00813471"/>
    <w:rsid w:val="008134A4"/>
    <w:rsid w:val="008134D8"/>
    <w:rsid w:val="0081351F"/>
    <w:rsid w:val="0081352E"/>
    <w:rsid w:val="00813535"/>
    <w:rsid w:val="00813577"/>
    <w:rsid w:val="00813591"/>
    <w:rsid w:val="00813592"/>
    <w:rsid w:val="00813694"/>
    <w:rsid w:val="008136CD"/>
    <w:rsid w:val="00813712"/>
    <w:rsid w:val="0081371A"/>
    <w:rsid w:val="008137B6"/>
    <w:rsid w:val="008137CF"/>
    <w:rsid w:val="00813807"/>
    <w:rsid w:val="00813833"/>
    <w:rsid w:val="0081383E"/>
    <w:rsid w:val="00813863"/>
    <w:rsid w:val="00813889"/>
    <w:rsid w:val="008138C0"/>
    <w:rsid w:val="008138D4"/>
    <w:rsid w:val="008138ED"/>
    <w:rsid w:val="00813953"/>
    <w:rsid w:val="0081396C"/>
    <w:rsid w:val="0081399C"/>
    <w:rsid w:val="008139B5"/>
    <w:rsid w:val="008139B8"/>
    <w:rsid w:val="008139C4"/>
    <w:rsid w:val="008139E6"/>
    <w:rsid w:val="008139E7"/>
    <w:rsid w:val="00813A08"/>
    <w:rsid w:val="00813A27"/>
    <w:rsid w:val="00813A33"/>
    <w:rsid w:val="00813AB6"/>
    <w:rsid w:val="00813AD6"/>
    <w:rsid w:val="00813AEC"/>
    <w:rsid w:val="00813B3E"/>
    <w:rsid w:val="00813B62"/>
    <w:rsid w:val="00813B6E"/>
    <w:rsid w:val="00813BA8"/>
    <w:rsid w:val="00813BD7"/>
    <w:rsid w:val="00813C1C"/>
    <w:rsid w:val="00813C67"/>
    <w:rsid w:val="00813C71"/>
    <w:rsid w:val="00813D77"/>
    <w:rsid w:val="00813D78"/>
    <w:rsid w:val="00813DE7"/>
    <w:rsid w:val="00813E0F"/>
    <w:rsid w:val="00813E10"/>
    <w:rsid w:val="00813E26"/>
    <w:rsid w:val="00813E3C"/>
    <w:rsid w:val="00813E48"/>
    <w:rsid w:val="00813EA5"/>
    <w:rsid w:val="00813EB7"/>
    <w:rsid w:val="00813EBD"/>
    <w:rsid w:val="00813EC7"/>
    <w:rsid w:val="00813ED3"/>
    <w:rsid w:val="00813F03"/>
    <w:rsid w:val="00813F1A"/>
    <w:rsid w:val="00813F26"/>
    <w:rsid w:val="00813F56"/>
    <w:rsid w:val="00813F7E"/>
    <w:rsid w:val="00813F84"/>
    <w:rsid w:val="00813F8B"/>
    <w:rsid w:val="00813FA5"/>
    <w:rsid w:val="00813FFF"/>
    <w:rsid w:val="00814021"/>
    <w:rsid w:val="00814024"/>
    <w:rsid w:val="00814041"/>
    <w:rsid w:val="00814066"/>
    <w:rsid w:val="00814070"/>
    <w:rsid w:val="008140C6"/>
    <w:rsid w:val="0081410D"/>
    <w:rsid w:val="0081414C"/>
    <w:rsid w:val="00814156"/>
    <w:rsid w:val="0081418B"/>
    <w:rsid w:val="0081418E"/>
    <w:rsid w:val="008141C7"/>
    <w:rsid w:val="008141FB"/>
    <w:rsid w:val="00814221"/>
    <w:rsid w:val="00814226"/>
    <w:rsid w:val="008142DC"/>
    <w:rsid w:val="008142F7"/>
    <w:rsid w:val="008142F9"/>
    <w:rsid w:val="008142FF"/>
    <w:rsid w:val="00814314"/>
    <w:rsid w:val="00814339"/>
    <w:rsid w:val="00814357"/>
    <w:rsid w:val="00814395"/>
    <w:rsid w:val="00814399"/>
    <w:rsid w:val="008143FC"/>
    <w:rsid w:val="00814429"/>
    <w:rsid w:val="0081443F"/>
    <w:rsid w:val="0081447E"/>
    <w:rsid w:val="008144B2"/>
    <w:rsid w:val="00814508"/>
    <w:rsid w:val="00814566"/>
    <w:rsid w:val="00814586"/>
    <w:rsid w:val="008145B1"/>
    <w:rsid w:val="008145ED"/>
    <w:rsid w:val="0081460D"/>
    <w:rsid w:val="00814671"/>
    <w:rsid w:val="00814692"/>
    <w:rsid w:val="008146AD"/>
    <w:rsid w:val="008146B5"/>
    <w:rsid w:val="008146DA"/>
    <w:rsid w:val="0081470C"/>
    <w:rsid w:val="00814767"/>
    <w:rsid w:val="0081476E"/>
    <w:rsid w:val="008147CF"/>
    <w:rsid w:val="008147D6"/>
    <w:rsid w:val="008147EE"/>
    <w:rsid w:val="0081481B"/>
    <w:rsid w:val="0081488B"/>
    <w:rsid w:val="008148AA"/>
    <w:rsid w:val="008148F2"/>
    <w:rsid w:val="008148F8"/>
    <w:rsid w:val="008148FB"/>
    <w:rsid w:val="008148FC"/>
    <w:rsid w:val="0081490C"/>
    <w:rsid w:val="00814911"/>
    <w:rsid w:val="0081496C"/>
    <w:rsid w:val="00814993"/>
    <w:rsid w:val="00814A2E"/>
    <w:rsid w:val="00814A7E"/>
    <w:rsid w:val="00814A90"/>
    <w:rsid w:val="00814AF1"/>
    <w:rsid w:val="00814B19"/>
    <w:rsid w:val="00814B53"/>
    <w:rsid w:val="00814BE6"/>
    <w:rsid w:val="00814C27"/>
    <w:rsid w:val="00814C38"/>
    <w:rsid w:val="00814C49"/>
    <w:rsid w:val="00814CCB"/>
    <w:rsid w:val="00814CE5"/>
    <w:rsid w:val="00814CFE"/>
    <w:rsid w:val="00814D2D"/>
    <w:rsid w:val="00814D3A"/>
    <w:rsid w:val="00814D73"/>
    <w:rsid w:val="00814DA6"/>
    <w:rsid w:val="00814DB4"/>
    <w:rsid w:val="00814DC7"/>
    <w:rsid w:val="00814DDD"/>
    <w:rsid w:val="00814E04"/>
    <w:rsid w:val="00814E0D"/>
    <w:rsid w:val="00814E82"/>
    <w:rsid w:val="00814E85"/>
    <w:rsid w:val="00814E96"/>
    <w:rsid w:val="00814EBE"/>
    <w:rsid w:val="00814F20"/>
    <w:rsid w:val="00814F23"/>
    <w:rsid w:val="00814F47"/>
    <w:rsid w:val="00814F64"/>
    <w:rsid w:val="00814F6E"/>
    <w:rsid w:val="00814FA8"/>
    <w:rsid w:val="00814FD6"/>
    <w:rsid w:val="00815002"/>
    <w:rsid w:val="00815033"/>
    <w:rsid w:val="00815090"/>
    <w:rsid w:val="008150C9"/>
    <w:rsid w:val="008150E8"/>
    <w:rsid w:val="008150FF"/>
    <w:rsid w:val="00815111"/>
    <w:rsid w:val="0081514A"/>
    <w:rsid w:val="0081515A"/>
    <w:rsid w:val="00815160"/>
    <w:rsid w:val="00815186"/>
    <w:rsid w:val="00815194"/>
    <w:rsid w:val="008151BF"/>
    <w:rsid w:val="008151CE"/>
    <w:rsid w:val="00815207"/>
    <w:rsid w:val="0081520D"/>
    <w:rsid w:val="00815221"/>
    <w:rsid w:val="0081522B"/>
    <w:rsid w:val="0081525E"/>
    <w:rsid w:val="00815262"/>
    <w:rsid w:val="00815267"/>
    <w:rsid w:val="0081526F"/>
    <w:rsid w:val="00815271"/>
    <w:rsid w:val="00815282"/>
    <w:rsid w:val="00815310"/>
    <w:rsid w:val="00815335"/>
    <w:rsid w:val="0081533B"/>
    <w:rsid w:val="0081536B"/>
    <w:rsid w:val="0081538B"/>
    <w:rsid w:val="008153B3"/>
    <w:rsid w:val="008153BF"/>
    <w:rsid w:val="0081544D"/>
    <w:rsid w:val="00815468"/>
    <w:rsid w:val="00815471"/>
    <w:rsid w:val="00815491"/>
    <w:rsid w:val="00815498"/>
    <w:rsid w:val="00815500"/>
    <w:rsid w:val="00815513"/>
    <w:rsid w:val="00815524"/>
    <w:rsid w:val="0081552C"/>
    <w:rsid w:val="0081553D"/>
    <w:rsid w:val="00815548"/>
    <w:rsid w:val="00815592"/>
    <w:rsid w:val="008155DC"/>
    <w:rsid w:val="008155F3"/>
    <w:rsid w:val="00815606"/>
    <w:rsid w:val="00815647"/>
    <w:rsid w:val="008156A3"/>
    <w:rsid w:val="008156B9"/>
    <w:rsid w:val="008156EA"/>
    <w:rsid w:val="00815730"/>
    <w:rsid w:val="00815738"/>
    <w:rsid w:val="00815740"/>
    <w:rsid w:val="0081574F"/>
    <w:rsid w:val="0081575C"/>
    <w:rsid w:val="00815762"/>
    <w:rsid w:val="00815772"/>
    <w:rsid w:val="008157A4"/>
    <w:rsid w:val="008157B7"/>
    <w:rsid w:val="008157CE"/>
    <w:rsid w:val="008157E6"/>
    <w:rsid w:val="00815819"/>
    <w:rsid w:val="00815837"/>
    <w:rsid w:val="0081584D"/>
    <w:rsid w:val="00815867"/>
    <w:rsid w:val="0081586F"/>
    <w:rsid w:val="00815890"/>
    <w:rsid w:val="008158C8"/>
    <w:rsid w:val="008158FC"/>
    <w:rsid w:val="0081590E"/>
    <w:rsid w:val="0081591F"/>
    <w:rsid w:val="00815932"/>
    <w:rsid w:val="0081597B"/>
    <w:rsid w:val="00815982"/>
    <w:rsid w:val="008159AE"/>
    <w:rsid w:val="008159FD"/>
    <w:rsid w:val="00815A2E"/>
    <w:rsid w:val="00815A56"/>
    <w:rsid w:val="00815A58"/>
    <w:rsid w:val="00815A5A"/>
    <w:rsid w:val="00815AA1"/>
    <w:rsid w:val="00815B6C"/>
    <w:rsid w:val="00815BB6"/>
    <w:rsid w:val="00815BF9"/>
    <w:rsid w:val="00815C14"/>
    <w:rsid w:val="00815C8C"/>
    <w:rsid w:val="00815CA7"/>
    <w:rsid w:val="00815CC0"/>
    <w:rsid w:val="00815CC8"/>
    <w:rsid w:val="00815CD3"/>
    <w:rsid w:val="00815CF4"/>
    <w:rsid w:val="00815D4D"/>
    <w:rsid w:val="00815D51"/>
    <w:rsid w:val="00815D56"/>
    <w:rsid w:val="00815D62"/>
    <w:rsid w:val="00815DD4"/>
    <w:rsid w:val="00815DF7"/>
    <w:rsid w:val="00815DF9"/>
    <w:rsid w:val="00815DFA"/>
    <w:rsid w:val="00815E11"/>
    <w:rsid w:val="00815E30"/>
    <w:rsid w:val="00815E5B"/>
    <w:rsid w:val="00815E5F"/>
    <w:rsid w:val="00815E67"/>
    <w:rsid w:val="00815E68"/>
    <w:rsid w:val="00815E75"/>
    <w:rsid w:val="00815E88"/>
    <w:rsid w:val="00815EBD"/>
    <w:rsid w:val="00815F40"/>
    <w:rsid w:val="00815F5F"/>
    <w:rsid w:val="00815F79"/>
    <w:rsid w:val="00815FE1"/>
    <w:rsid w:val="00816004"/>
    <w:rsid w:val="0081600E"/>
    <w:rsid w:val="00816026"/>
    <w:rsid w:val="0081604E"/>
    <w:rsid w:val="00816074"/>
    <w:rsid w:val="0081608C"/>
    <w:rsid w:val="0081608F"/>
    <w:rsid w:val="008160B6"/>
    <w:rsid w:val="008160CE"/>
    <w:rsid w:val="008160D7"/>
    <w:rsid w:val="00816105"/>
    <w:rsid w:val="00816155"/>
    <w:rsid w:val="0081615E"/>
    <w:rsid w:val="008161BD"/>
    <w:rsid w:val="008161DC"/>
    <w:rsid w:val="008161EC"/>
    <w:rsid w:val="008161FA"/>
    <w:rsid w:val="0081621F"/>
    <w:rsid w:val="00816287"/>
    <w:rsid w:val="0081628A"/>
    <w:rsid w:val="0081628F"/>
    <w:rsid w:val="00816292"/>
    <w:rsid w:val="008162EA"/>
    <w:rsid w:val="00816339"/>
    <w:rsid w:val="008163A6"/>
    <w:rsid w:val="008163AF"/>
    <w:rsid w:val="008163BC"/>
    <w:rsid w:val="0081642D"/>
    <w:rsid w:val="00816436"/>
    <w:rsid w:val="00816458"/>
    <w:rsid w:val="00816461"/>
    <w:rsid w:val="0081646E"/>
    <w:rsid w:val="008164BD"/>
    <w:rsid w:val="008164C6"/>
    <w:rsid w:val="0081653B"/>
    <w:rsid w:val="0081653E"/>
    <w:rsid w:val="0081655B"/>
    <w:rsid w:val="00816574"/>
    <w:rsid w:val="00816587"/>
    <w:rsid w:val="008165DC"/>
    <w:rsid w:val="008165E7"/>
    <w:rsid w:val="00816618"/>
    <w:rsid w:val="0081664E"/>
    <w:rsid w:val="0081664F"/>
    <w:rsid w:val="00816663"/>
    <w:rsid w:val="008166A2"/>
    <w:rsid w:val="008166AF"/>
    <w:rsid w:val="0081670A"/>
    <w:rsid w:val="00816718"/>
    <w:rsid w:val="00816738"/>
    <w:rsid w:val="00816750"/>
    <w:rsid w:val="00816760"/>
    <w:rsid w:val="00816761"/>
    <w:rsid w:val="0081677E"/>
    <w:rsid w:val="00816786"/>
    <w:rsid w:val="00816792"/>
    <w:rsid w:val="008167AF"/>
    <w:rsid w:val="008167B6"/>
    <w:rsid w:val="008167D5"/>
    <w:rsid w:val="0081681C"/>
    <w:rsid w:val="00816821"/>
    <w:rsid w:val="00816865"/>
    <w:rsid w:val="008168B8"/>
    <w:rsid w:val="008168CA"/>
    <w:rsid w:val="00816980"/>
    <w:rsid w:val="008169BB"/>
    <w:rsid w:val="008169CE"/>
    <w:rsid w:val="00816A04"/>
    <w:rsid w:val="00816A55"/>
    <w:rsid w:val="00816ADA"/>
    <w:rsid w:val="00816AFD"/>
    <w:rsid w:val="00816B15"/>
    <w:rsid w:val="00816B1C"/>
    <w:rsid w:val="00816B5D"/>
    <w:rsid w:val="00816B78"/>
    <w:rsid w:val="00816B85"/>
    <w:rsid w:val="00816B98"/>
    <w:rsid w:val="00816BC7"/>
    <w:rsid w:val="00816BD8"/>
    <w:rsid w:val="00816BF0"/>
    <w:rsid w:val="00816C36"/>
    <w:rsid w:val="00816C38"/>
    <w:rsid w:val="00816C40"/>
    <w:rsid w:val="00816C4E"/>
    <w:rsid w:val="00816C6B"/>
    <w:rsid w:val="00816C93"/>
    <w:rsid w:val="00816CB6"/>
    <w:rsid w:val="00816D48"/>
    <w:rsid w:val="00816D77"/>
    <w:rsid w:val="00816DA6"/>
    <w:rsid w:val="00816DA8"/>
    <w:rsid w:val="00816DDE"/>
    <w:rsid w:val="00816E0F"/>
    <w:rsid w:val="00816E15"/>
    <w:rsid w:val="00816E3F"/>
    <w:rsid w:val="00816E77"/>
    <w:rsid w:val="00816EBD"/>
    <w:rsid w:val="00816ED5"/>
    <w:rsid w:val="00816F08"/>
    <w:rsid w:val="00816F49"/>
    <w:rsid w:val="00816F7A"/>
    <w:rsid w:val="00816F83"/>
    <w:rsid w:val="00816FD1"/>
    <w:rsid w:val="00816FD3"/>
    <w:rsid w:val="00816FD4"/>
    <w:rsid w:val="00816FDC"/>
    <w:rsid w:val="00816FE8"/>
    <w:rsid w:val="00816FF7"/>
    <w:rsid w:val="00817007"/>
    <w:rsid w:val="00817030"/>
    <w:rsid w:val="00817099"/>
    <w:rsid w:val="008170B5"/>
    <w:rsid w:val="008170C3"/>
    <w:rsid w:val="008170D2"/>
    <w:rsid w:val="008170E5"/>
    <w:rsid w:val="00817105"/>
    <w:rsid w:val="0081713A"/>
    <w:rsid w:val="00817144"/>
    <w:rsid w:val="0081715A"/>
    <w:rsid w:val="00817161"/>
    <w:rsid w:val="00817166"/>
    <w:rsid w:val="00817185"/>
    <w:rsid w:val="008171B7"/>
    <w:rsid w:val="008171C4"/>
    <w:rsid w:val="00817236"/>
    <w:rsid w:val="0081723A"/>
    <w:rsid w:val="00817271"/>
    <w:rsid w:val="00817307"/>
    <w:rsid w:val="00817308"/>
    <w:rsid w:val="008173D6"/>
    <w:rsid w:val="008173FA"/>
    <w:rsid w:val="0081744A"/>
    <w:rsid w:val="0081747A"/>
    <w:rsid w:val="008174B7"/>
    <w:rsid w:val="008174C1"/>
    <w:rsid w:val="00817517"/>
    <w:rsid w:val="00817537"/>
    <w:rsid w:val="00817538"/>
    <w:rsid w:val="00817572"/>
    <w:rsid w:val="008175A4"/>
    <w:rsid w:val="008175AB"/>
    <w:rsid w:val="008175AF"/>
    <w:rsid w:val="008175E5"/>
    <w:rsid w:val="0081760A"/>
    <w:rsid w:val="00817660"/>
    <w:rsid w:val="00817668"/>
    <w:rsid w:val="0081774D"/>
    <w:rsid w:val="00817762"/>
    <w:rsid w:val="008177B6"/>
    <w:rsid w:val="008177C4"/>
    <w:rsid w:val="008177EC"/>
    <w:rsid w:val="008177F8"/>
    <w:rsid w:val="00817822"/>
    <w:rsid w:val="00817830"/>
    <w:rsid w:val="00817845"/>
    <w:rsid w:val="008178DE"/>
    <w:rsid w:val="00817906"/>
    <w:rsid w:val="00817929"/>
    <w:rsid w:val="0081796B"/>
    <w:rsid w:val="008179A9"/>
    <w:rsid w:val="008179E8"/>
    <w:rsid w:val="00817A33"/>
    <w:rsid w:val="00817A35"/>
    <w:rsid w:val="00817A4A"/>
    <w:rsid w:val="00817A5C"/>
    <w:rsid w:val="00817A66"/>
    <w:rsid w:val="00817A6D"/>
    <w:rsid w:val="00817B3D"/>
    <w:rsid w:val="00817B48"/>
    <w:rsid w:val="00817B4F"/>
    <w:rsid w:val="00817BFB"/>
    <w:rsid w:val="00817C26"/>
    <w:rsid w:val="00817C6F"/>
    <w:rsid w:val="00817CF0"/>
    <w:rsid w:val="00817CF6"/>
    <w:rsid w:val="00817CF7"/>
    <w:rsid w:val="00817D05"/>
    <w:rsid w:val="00817D1A"/>
    <w:rsid w:val="00817DAD"/>
    <w:rsid w:val="00817DBA"/>
    <w:rsid w:val="00817E2C"/>
    <w:rsid w:val="00817E39"/>
    <w:rsid w:val="00817E5A"/>
    <w:rsid w:val="00817E70"/>
    <w:rsid w:val="00817E8E"/>
    <w:rsid w:val="00817ECB"/>
    <w:rsid w:val="00817F13"/>
    <w:rsid w:val="00817F1C"/>
    <w:rsid w:val="00817F7E"/>
    <w:rsid w:val="00817FD9"/>
    <w:rsid w:val="00817FE7"/>
    <w:rsid w:val="00817FF3"/>
    <w:rsid w:val="0081EECF"/>
    <w:rsid w:val="00820008"/>
    <w:rsid w:val="00820059"/>
    <w:rsid w:val="00820078"/>
    <w:rsid w:val="008200BB"/>
    <w:rsid w:val="008200C9"/>
    <w:rsid w:val="008200E1"/>
    <w:rsid w:val="008200E2"/>
    <w:rsid w:val="0082013D"/>
    <w:rsid w:val="0082015D"/>
    <w:rsid w:val="00820161"/>
    <w:rsid w:val="00820163"/>
    <w:rsid w:val="00820197"/>
    <w:rsid w:val="008201AA"/>
    <w:rsid w:val="008201DE"/>
    <w:rsid w:val="008201F9"/>
    <w:rsid w:val="00820214"/>
    <w:rsid w:val="00820257"/>
    <w:rsid w:val="00820299"/>
    <w:rsid w:val="008202A9"/>
    <w:rsid w:val="008202B1"/>
    <w:rsid w:val="008202F2"/>
    <w:rsid w:val="008202F8"/>
    <w:rsid w:val="00820368"/>
    <w:rsid w:val="00820394"/>
    <w:rsid w:val="00820395"/>
    <w:rsid w:val="00820416"/>
    <w:rsid w:val="00820417"/>
    <w:rsid w:val="00820465"/>
    <w:rsid w:val="00820471"/>
    <w:rsid w:val="008204F4"/>
    <w:rsid w:val="00820510"/>
    <w:rsid w:val="0082053C"/>
    <w:rsid w:val="008205A1"/>
    <w:rsid w:val="008205AC"/>
    <w:rsid w:val="008205BC"/>
    <w:rsid w:val="00820616"/>
    <w:rsid w:val="00820688"/>
    <w:rsid w:val="008206B8"/>
    <w:rsid w:val="008206C0"/>
    <w:rsid w:val="008206DA"/>
    <w:rsid w:val="00820702"/>
    <w:rsid w:val="00820714"/>
    <w:rsid w:val="0082075F"/>
    <w:rsid w:val="0082076C"/>
    <w:rsid w:val="0082079A"/>
    <w:rsid w:val="008207AA"/>
    <w:rsid w:val="0082083C"/>
    <w:rsid w:val="00820844"/>
    <w:rsid w:val="0082085D"/>
    <w:rsid w:val="00820866"/>
    <w:rsid w:val="0082086D"/>
    <w:rsid w:val="00820870"/>
    <w:rsid w:val="0082089B"/>
    <w:rsid w:val="008208B0"/>
    <w:rsid w:val="008208BF"/>
    <w:rsid w:val="00820935"/>
    <w:rsid w:val="00820977"/>
    <w:rsid w:val="008209C8"/>
    <w:rsid w:val="008209CB"/>
    <w:rsid w:val="00820A50"/>
    <w:rsid w:val="00820A8D"/>
    <w:rsid w:val="00820AAF"/>
    <w:rsid w:val="00820ABF"/>
    <w:rsid w:val="00820AC1"/>
    <w:rsid w:val="00820AEA"/>
    <w:rsid w:val="00820B1E"/>
    <w:rsid w:val="00820B28"/>
    <w:rsid w:val="00820B3F"/>
    <w:rsid w:val="00820B8E"/>
    <w:rsid w:val="00820B90"/>
    <w:rsid w:val="00820BC6"/>
    <w:rsid w:val="00820C49"/>
    <w:rsid w:val="00820C54"/>
    <w:rsid w:val="00820C6A"/>
    <w:rsid w:val="00820C74"/>
    <w:rsid w:val="00820CF2"/>
    <w:rsid w:val="00820D46"/>
    <w:rsid w:val="00820DB9"/>
    <w:rsid w:val="00820DD3"/>
    <w:rsid w:val="00820DEC"/>
    <w:rsid w:val="00820E0D"/>
    <w:rsid w:val="00820E13"/>
    <w:rsid w:val="00820E4C"/>
    <w:rsid w:val="00820E4F"/>
    <w:rsid w:val="00820E61"/>
    <w:rsid w:val="00820ED8"/>
    <w:rsid w:val="00820EE2"/>
    <w:rsid w:val="00820F29"/>
    <w:rsid w:val="00820F2D"/>
    <w:rsid w:val="00820F47"/>
    <w:rsid w:val="00820F4C"/>
    <w:rsid w:val="00820F67"/>
    <w:rsid w:val="00820F7D"/>
    <w:rsid w:val="00820FB8"/>
    <w:rsid w:val="00820FBA"/>
    <w:rsid w:val="00821000"/>
    <w:rsid w:val="00821015"/>
    <w:rsid w:val="00821018"/>
    <w:rsid w:val="00821028"/>
    <w:rsid w:val="00821037"/>
    <w:rsid w:val="00821049"/>
    <w:rsid w:val="00821050"/>
    <w:rsid w:val="00821055"/>
    <w:rsid w:val="00821087"/>
    <w:rsid w:val="008210A1"/>
    <w:rsid w:val="008210A2"/>
    <w:rsid w:val="008210A7"/>
    <w:rsid w:val="00821108"/>
    <w:rsid w:val="00821117"/>
    <w:rsid w:val="00821123"/>
    <w:rsid w:val="00821146"/>
    <w:rsid w:val="00821166"/>
    <w:rsid w:val="0082117F"/>
    <w:rsid w:val="008211BB"/>
    <w:rsid w:val="008211CF"/>
    <w:rsid w:val="008211D5"/>
    <w:rsid w:val="00821264"/>
    <w:rsid w:val="0082127E"/>
    <w:rsid w:val="00821289"/>
    <w:rsid w:val="008212F8"/>
    <w:rsid w:val="00821311"/>
    <w:rsid w:val="0082133D"/>
    <w:rsid w:val="00821378"/>
    <w:rsid w:val="0082137D"/>
    <w:rsid w:val="008213D9"/>
    <w:rsid w:val="008213DA"/>
    <w:rsid w:val="00821439"/>
    <w:rsid w:val="00821451"/>
    <w:rsid w:val="0082145A"/>
    <w:rsid w:val="00821491"/>
    <w:rsid w:val="008214B7"/>
    <w:rsid w:val="008214BB"/>
    <w:rsid w:val="008214D8"/>
    <w:rsid w:val="008214E1"/>
    <w:rsid w:val="008214F3"/>
    <w:rsid w:val="00821513"/>
    <w:rsid w:val="00821518"/>
    <w:rsid w:val="00821549"/>
    <w:rsid w:val="0082154E"/>
    <w:rsid w:val="0082158D"/>
    <w:rsid w:val="008215DD"/>
    <w:rsid w:val="00821619"/>
    <w:rsid w:val="00821621"/>
    <w:rsid w:val="0082162F"/>
    <w:rsid w:val="0082163E"/>
    <w:rsid w:val="00821689"/>
    <w:rsid w:val="0082169F"/>
    <w:rsid w:val="008216AA"/>
    <w:rsid w:val="008216B1"/>
    <w:rsid w:val="008216DF"/>
    <w:rsid w:val="008216E4"/>
    <w:rsid w:val="008216E9"/>
    <w:rsid w:val="00821716"/>
    <w:rsid w:val="0082172F"/>
    <w:rsid w:val="0082178C"/>
    <w:rsid w:val="0082178D"/>
    <w:rsid w:val="008217A8"/>
    <w:rsid w:val="008217EA"/>
    <w:rsid w:val="00821812"/>
    <w:rsid w:val="0082183C"/>
    <w:rsid w:val="0082183D"/>
    <w:rsid w:val="008218C7"/>
    <w:rsid w:val="008218E3"/>
    <w:rsid w:val="008218EF"/>
    <w:rsid w:val="00821937"/>
    <w:rsid w:val="008219A2"/>
    <w:rsid w:val="008219EF"/>
    <w:rsid w:val="00821A28"/>
    <w:rsid w:val="00821A57"/>
    <w:rsid w:val="00821A71"/>
    <w:rsid w:val="00821A8B"/>
    <w:rsid w:val="00821AA8"/>
    <w:rsid w:val="00821AD3"/>
    <w:rsid w:val="00821B45"/>
    <w:rsid w:val="00821B70"/>
    <w:rsid w:val="00821BA1"/>
    <w:rsid w:val="00821BBD"/>
    <w:rsid w:val="00821BF2"/>
    <w:rsid w:val="00821C58"/>
    <w:rsid w:val="00821C67"/>
    <w:rsid w:val="00821C9A"/>
    <w:rsid w:val="00821CDA"/>
    <w:rsid w:val="00821CF6"/>
    <w:rsid w:val="00821D11"/>
    <w:rsid w:val="00821D4E"/>
    <w:rsid w:val="00821D79"/>
    <w:rsid w:val="00821D7E"/>
    <w:rsid w:val="00821DAD"/>
    <w:rsid w:val="00821DDE"/>
    <w:rsid w:val="00821E04"/>
    <w:rsid w:val="00821E0E"/>
    <w:rsid w:val="00821E2B"/>
    <w:rsid w:val="00821E41"/>
    <w:rsid w:val="00821E50"/>
    <w:rsid w:val="00821EC6"/>
    <w:rsid w:val="00821EDF"/>
    <w:rsid w:val="00821EED"/>
    <w:rsid w:val="00821F1B"/>
    <w:rsid w:val="00821F30"/>
    <w:rsid w:val="00821F39"/>
    <w:rsid w:val="00821F4C"/>
    <w:rsid w:val="00821F73"/>
    <w:rsid w:val="00821FC9"/>
    <w:rsid w:val="00821FE9"/>
    <w:rsid w:val="00821FF6"/>
    <w:rsid w:val="0082200D"/>
    <w:rsid w:val="0082200F"/>
    <w:rsid w:val="00822040"/>
    <w:rsid w:val="00822041"/>
    <w:rsid w:val="00822055"/>
    <w:rsid w:val="008220B4"/>
    <w:rsid w:val="008220B5"/>
    <w:rsid w:val="008220D0"/>
    <w:rsid w:val="008220D6"/>
    <w:rsid w:val="00822104"/>
    <w:rsid w:val="00822109"/>
    <w:rsid w:val="00822113"/>
    <w:rsid w:val="00822115"/>
    <w:rsid w:val="00822140"/>
    <w:rsid w:val="0082218C"/>
    <w:rsid w:val="0082219A"/>
    <w:rsid w:val="008221B8"/>
    <w:rsid w:val="008221BB"/>
    <w:rsid w:val="008221D0"/>
    <w:rsid w:val="008221D2"/>
    <w:rsid w:val="008221F3"/>
    <w:rsid w:val="0082221A"/>
    <w:rsid w:val="00822221"/>
    <w:rsid w:val="0082223C"/>
    <w:rsid w:val="00822246"/>
    <w:rsid w:val="008222A3"/>
    <w:rsid w:val="008222D4"/>
    <w:rsid w:val="008222F6"/>
    <w:rsid w:val="008222FD"/>
    <w:rsid w:val="00822310"/>
    <w:rsid w:val="00822311"/>
    <w:rsid w:val="00822312"/>
    <w:rsid w:val="00822349"/>
    <w:rsid w:val="00822379"/>
    <w:rsid w:val="00822392"/>
    <w:rsid w:val="00822470"/>
    <w:rsid w:val="00822497"/>
    <w:rsid w:val="0082249C"/>
    <w:rsid w:val="008224A3"/>
    <w:rsid w:val="008224D9"/>
    <w:rsid w:val="008224F9"/>
    <w:rsid w:val="008225FD"/>
    <w:rsid w:val="0082263D"/>
    <w:rsid w:val="00822698"/>
    <w:rsid w:val="0082269C"/>
    <w:rsid w:val="008226EB"/>
    <w:rsid w:val="008226F5"/>
    <w:rsid w:val="00822721"/>
    <w:rsid w:val="00822742"/>
    <w:rsid w:val="00822784"/>
    <w:rsid w:val="0082278B"/>
    <w:rsid w:val="008227C5"/>
    <w:rsid w:val="008227DA"/>
    <w:rsid w:val="00822817"/>
    <w:rsid w:val="0082282D"/>
    <w:rsid w:val="00822868"/>
    <w:rsid w:val="0082286D"/>
    <w:rsid w:val="008228F8"/>
    <w:rsid w:val="008228FB"/>
    <w:rsid w:val="00822907"/>
    <w:rsid w:val="00822913"/>
    <w:rsid w:val="0082293E"/>
    <w:rsid w:val="0082299A"/>
    <w:rsid w:val="008229AE"/>
    <w:rsid w:val="008229BD"/>
    <w:rsid w:val="008229F1"/>
    <w:rsid w:val="00822A14"/>
    <w:rsid w:val="00822AA1"/>
    <w:rsid w:val="00822AC7"/>
    <w:rsid w:val="00822ACD"/>
    <w:rsid w:val="00822B09"/>
    <w:rsid w:val="00822B47"/>
    <w:rsid w:val="00822BA4"/>
    <w:rsid w:val="00822BBA"/>
    <w:rsid w:val="00822C25"/>
    <w:rsid w:val="00822C42"/>
    <w:rsid w:val="00822C5B"/>
    <w:rsid w:val="00822C7D"/>
    <w:rsid w:val="00822C7E"/>
    <w:rsid w:val="00822CA6"/>
    <w:rsid w:val="00822CB2"/>
    <w:rsid w:val="00822CBF"/>
    <w:rsid w:val="00822D1A"/>
    <w:rsid w:val="00822D6D"/>
    <w:rsid w:val="00822D9F"/>
    <w:rsid w:val="00822DB1"/>
    <w:rsid w:val="00822E4D"/>
    <w:rsid w:val="00822E54"/>
    <w:rsid w:val="00822E78"/>
    <w:rsid w:val="00822E96"/>
    <w:rsid w:val="00822E9E"/>
    <w:rsid w:val="00822EC4"/>
    <w:rsid w:val="00822ED1"/>
    <w:rsid w:val="00822EED"/>
    <w:rsid w:val="00822EFA"/>
    <w:rsid w:val="00822F16"/>
    <w:rsid w:val="00822F30"/>
    <w:rsid w:val="00822FD0"/>
    <w:rsid w:val="00822FFA"/>
    <w:rsid w:val="00823020"/>
    <w:rsid w:val="0082302C"/>
    <w:rsid w:val="00823056"/>
    <w:rsid w:val="00823084"/>
    <w:rsid w:val="0082308B"/>
    <w:rsid w:val="0082308F"/>
    <w:rsid w:val="008230C7"/>
    <w:rsid w:val="008230E8"/>
    <w:rsid w:val="00823102"/>
    <w:rsid w:val="0082311F"/>
    <w:rsid w:val="0082314F"/>
    <w:rsid w:val="00823176"/>
    <w:rsid w:val="0082318D"/>
    <w:rsid w:val="008231C9"/>
    <w:rsid w:val="008231F5"/>
    <w:rsid w:val="00823224"/>
    <w:rsid w:val="00823226"/>
    <w:rsid w:val="0082325F"/>
    <w:rsid w:val="00823268"/>
    <w:rsid w:val="008232AB"/>
    <w:rsid w:val="008232ED"/>
    <w:rsid w:val="00823340"/>
    <w:rsid w:val="00823365"/>
    <w:rsid w:val="00823366"/>
    <w:rsid w:val="00823397"/>
    <w:rsid w:val="0082339A"/>
    <w:rsid w:val="008233DD"/>
    <w:rsid w:val="008233ED"/>
    <w:rsid w:val="008233F1"/>
    <w:rsid w:val="00823418"/>
    <w:rsid w:val="0082341A"/>
    <w:rsid w:val="0082342C"/>
    <w:rsid w:val="00823432"/>
    <w:rsid w:val="00823453"/>
    <w:rsid w:val="0082348A"/>
    <w:rsid w:val="008234C8"/>
    <w:rsid w:val="008234EC"/>
    <w:rsid w:val="008234F0"/>
    <w:rsid w:val="0082353A"/>
    <w:rsid w:val="00823557"/>
    <w:rsid w:val="00823558"/>
    <w:rsid w:val="00823594"/>
    <w:rsid w:val="00823613"/>
    <w:rsid w:val="00823644"/>
    <w:rsid w:val="0082367D"/>
    <w:rsid w:val="00823690"/>
    <w:rsid w:val="008236DF"/>
    <w:rsid w:val="008236E5"/>
    <w:rsid w:val="00823735"/>
    <w:rsid w:val="00823751"/>
    <w:rsid w:val="00823771"/>
    <w:rsid w:val="00823816"/>
    <w:rsid w:val="00823840"/>
    <w:rsid w:val="00823842"/>
    <w:rsid w:val="0082386C"/>
    <w:rsid w:val="008238C4"/>
    <w:rsid w:val="008238D5"/>
    <w:rsid w:val="008238DF"/>
    <w:rsid w:val="008238FF"/>
    <w:rsid w:val="00823918"/>
    <w:rsid w:val="00823951"/>
    <w:rsid w:val="0082396D"/>
    <w:rsid w:val="00823980"/>
    <w:rsid w:val="00823987"/>
    <w:rsid w:val="00823A08"/>
    <w:rsid w:val="00823A54"/>
    <w:rsid w:val="00823A7E"/>
    <w:rsid w:val="00823A84"/>
    <w:rsid w:val="00823A96"/>
    <w:rsid w:val="00823AAA"/>
    <w:rsid w:val="00823AC5"/>
    <w:rsid w:val="00823ADA"/>
    <w:rsid w:val="00823ADD"/>
    <w:rsid w:val="00823AE3"/>
    <w:rsid w:val="00823B5C"/>
    <w:rsid w:val="00823B74"/>
    <w:rsid w:val="00823B80"/>
    <w:rsid w:val="00823B9B"/>
    <w:rsid w:val="00823BF2"/>
    <w:rsid w:val="00823C0F"/>
    <w:rsid w:val="00823C31"/>
    <w:rsid w:val="00823C44"/>
    <w:rsid w:val="00823C6A"/>
    <w:rsid w:val="00823C7F"/>
    <w:rsid w:val="00823C9F"/>
    <w:rsid w:val="00823CD9"/>
    <w:rsid w:val="00823CE3"/>
    <w:rsid w:val="00823D0D"/>
    <w:rsid w:val="00823D0E"/>
    <w:rsid w:val="00823D33"/>
    <w:rsid w:val="00823D6F"/>
    <w:rsid w:val="00823D95"/>
    <w:rsid w:val="00823E23"/>
    <w:rsid w:val="00823E4B"/>
    <w:rsid w:val="00823E96"/>
    <w:rsid w:val="00823EB6"/>
    <w:rsid w:val="00823EF4"/>
    <w:rsid w:val="00823EFB"/>
    <w:rsid w:val="00823EFE"/>
    <w:rsid w:val="00823F1A"/>
    <w:rsid w:val="00823F6D"/>
    <w:rsid w:val="00823F73"/>
    <w:rsid w:val="00823F76"/>
    <w:rsid w:val="00823FCE"/>
    <w:rsid w:val="00823FDF"/>
    <w:rsid w:val="00823FEB"/>
    <w:rsid w:val="00824042"/>
    <w:rsid w:val="0082404C"/>
    <w:rsid w:val="00824054"/>
    <w:rsid w:val="00824056"/>
    <w:rsid w:val="00824074"/>
    <w:rsid w:val="00824076"/>
    <w:rsid w:val="00824081"/>
    <w:rsid w:val="00824083"/>
    <w:rsid w:val="00824090"/>
    <w:rsid w:val="00824098"/>
    <w:rsid w:val="008240A8"/>
    <w:rsid w:val="008240C1"/>
    <w:rsid w:val="008240E2"/>
    <w:rsid w:val="008240F0"/>
    <w:rsid w:val="008240F9"/>
    <w:rsid w:val="00824176"/>
    <w:rsid w:val="00824185"/>
    <w:rsid w:val="00824192"/>
    <w:rsid w:val="008242AD"/>
    <w:rsid w:val="008242C0"/>
    <w:rsid w:val="0082430D"/>
    <w:rsid w:val="0082432C"/>
    <w:rsid w:val="00824370"/>
    <w:rsid w:val="008243D7"/>
    <w:rsid w:val="00824420"/>
    <w:rsid w:val="008244D5"/>
    <w:rsid w:val="008244D8"/>
    <w:rsid w:val="00824517"/>
    <w:rsid w:val="0082453D"/>
    <w:rsid w:val="00824593"/>
    <w:rsid w:val="008245D1"/>
    <w:rsid w:val="008245DC"/>
    <w:rsid w:val="00824639"/>
    <w:rsid w:val="0082463D"/>
    <w:rsid w:val="00824667"/>
    <w:rsid w:val="008246D2"/>
    <w:rsid w:val="00824731"/>
    <w:rsid w:val="0082474F"/>
    <w:rsid w:val="0082475D"/>
    <w:rsid w:val="00824770"/>
    <w:rsid w:val="0082477F"/>
    <w:rsid w:val="008247A0"/>
    <w:rsid w:val="008247B0"/>
    <w:rsid w:val="008247D1"/>
    <w:rsid w:val="008247EE"/>
    <w:rsid w:val="0082483A"/>
    <w:rsid w:val="00824841"/>
    <w:rsid w:val="00824871"/>
    <w:rsid w:val="0082487D"/>
    <w:rsid w:val="00824884"/>
    <w:rsid w:val="00824890"/>
    <w:rsid w:val="00824914"/>
    <w:rsid w:val="0082492C"/>
    <w:rsid w:val="008249A9"/>
    <w:rsid w:val="008249EC"/>
    <w:rsid w:val="00824A04"/>
    <w:rsid w:val="00824A0C"/>
    <w:rsid w:val="00824A51"/>
    <w:rsid w:val="00824A99"/>
    <w:rsid w:val="00824B0A"/>
    <w:rsid w:val="00824B25"/>
    <w:rsid w:val="00824B3A"/>
    <w:rsid w:val="00824B46"/>
    <w:rsid w:val="00824B54"/>
    <w:rsid w:val="00824B6A"/>
    <w:rsid w:val="00824B76"/>
    <w:rsid w:val="00824B8A"/>
    <w:rsid w:val="00824B8C"/>
    <w:rsid w:val="00824BB5"/>
    <w:rsid w:val="00824BCA"/>
    <w:rsid w:val="00824C33"/>
    <w:rsid w:val="00824C73"/>
    <w:rsid w:val="00824C7B"/>
    <w:rsid w:val="00824C7F"/>
    <w:rsid w:val="00824C86"/>
    <w:rsid w:val="00824CDE"/>
    <w:rsid w:val="00824CFE"/>
    <w:rsid w:val="00824D73"/>
    <w:rsid w:val="00824DAE"/>
    <w:rsid w:val="00824DD7"/>
    <w:rsid w:val="00824E91"/>
    <w:rsid w:val="00824EC9"/>
    <w:rsid w:val="00824EF5"/>
    <w:rsid w:val="00824F19"/>
    <w:rsid w:val="00824F77"/>
    <w:rsid w:val="00824F95"/>
    <w:rsid w:val="00824FE3"/>
    <w:rsid w:val="00824FEB"/>
    <w:rsid w:val="00824FF9"/>
    <w:rsid w:val="00825027"/>
    <w:rsid w:val="00825040"/>
    <w:rsid w:val="00825081"/>
    <w:rsid w:val="00825096"/>
    <w:rsid w:val="008250A5"/>
    <w:rsid w:val="00825125"/>
    <w:rsid w:val="00825149"/>
    <w:rsid w:val="0082518B"/>
    <w:rsid w:val="0082518F"/>
    <w:rsid w:val="0082519D"/>
    <w:rsid w:val="008251CA"/>
    <w:rsid w:val="008251E3"/>
    <w:rsid w:val="0082520A"/>
    <w:rsid w:val="00825225"/>
    <w:rsid w:val="0082522A"/>
    <w:rsid w:val="00825237"/>
    <w:rsid w:val="0082525B"/>
    <w:rsid w:val="00825262"/>
    <w:rsid w:val="00825263"/>
    <w:rsid w:val="00825283"/>
    <w:rsid w:val="0082529F"/>
    <w:rsid w:val="008252CF"/>
    <w:rsid w:val="008252E3"/>
    <w:rsid w:val="008252E7"/>
    <w:rsid w:val="008252EE"/>
    <w:rsid w:val="008252F6"/>
    <w:rsid w:val="0082531C"/>
    <w:rsid w:val="0082532B"/>
    <w:rsid w:val="00825384"/>
    <w:rsid w:val="00825396"/>
    <w:rsid w:val="008253DB"/>
    <w:rsid w:val="00825414"/>
    <w:rsid w:val="00825439"/>
    <w:rsid w:val="0082543D"/>
    <w:rsid w:val="00825462"/>
    <w:rsid w:val="0082546E"/>
    <w:rsid w:val="00825487"/>
    <w:rsid w:val="008254E5"/>
    <w:rsid w:val="00825501"/>
    <w:rsid w:val="00825599"/>
    <w:rsid w:val="008255BA"/>
    <w:rsid w:val="0082562B"/>
    <w:rsid w:val="00825639"/>
    <w:rsid w:val="00825650"/>
    <w:rsid w:val="00825698"/>
    <w:rsid w:val="008256B7"/>
    <w:rsid w:val="00825759"/>
    <w:rsid w:val="00825781"/>
    <w:rsid w:val="008257DD"/>
    <w:rsid w:val="008257E2"/>
    <w:rsid w:val="008257F6"/>
    <w:rsid w:val="00825821"/>
    <w:rsid w:val="00825851"/>
    <w:rsid w:val="00825870"/>
    <w:rsid w:val="00825874"/>
    <w:rsid w:val="0082587F"/>
    <w:rsid w:val="008258C8"/>
    <w:rsid w:val="00825974"/>
    <w:rsid w:val="00825977"/>
    <w:rsid w:val="0082597F"/>
    <w:rsid w:val="00825985"/>
    <w:rsid w:val="00825A43"/>
    <w:rsid w:val="00825A45"/>
    <w:rsid w:val="00825A48"/>
    <w:rsid w:val="00825A4E"/>
    <w:rsid w:val="00825A77"/>
    <w:rsid w:val="00825AD9"/>
    <w:rsid w:val="00825B06"/>
    <w:rsid w:val="00825B1F"/>
    <w:rsid w:val="00825B25"/>
    <w:rsid w:val="00825B34"/>
    <w:rsid w:val="00825B9E"/>
    <w:rsid w:val="00825BD6"/>
    <w:rsid w:val="00825C18"/>
    <w:rsid w:val="00825C1A"/>
    <w:rsid w:val="00825C45"/>
    <w:rsid w:val="00825CB1"/>
    <w:rsid w:val="00825CC1"/>
    <w:rsid w:val="00825CDE"/>
    <w:rsid w:val="00825D7A"/>
    <w:rsid w:val="00825DA2"/>
    <w:rsid w:val="00825DB0"/>
    <w:rsid w:val="00825DDB"/>
    <w:rsid w:val="00825E03"/>
    <w:rsid w:val="00825E05"/>
    <w:rsid w:val="00825E1B"/>
    <w:rsid w:val="00825E76"/>
    <w:rsid w:val="00825EFC"/>
    <w:rsid w:val="00825F93"/>
    <w:rsid w:val="00825FB7"/>
    <w:rsid w:val="00825FD6"/>
    <w:rsid w:val="00825FE8"/>
    <w:rsid w:val="00826001"/>
    <w:rsid w:val="00826037"/>
    <w:rsid w:val="00826052"/>
    <w:rsid w:val="00826085"/>
    <w:rsid w:val="008260E5"/>
    <w:rsid w:val="008260F4"/>
    <w:rsid w:val="00826116"/>
    <w:rsid w:val="00826117"/>
    <w:rsid w:val="00826125"/>
    <w:rsid w:val="0082612D"/>
    <w:rsid w:val="00826147"/>
    <w:rsid w:val="0082615E"/>
    <w:rsid w:val="0082618C"/>
    <w:rsid w:val="008261B6"/>
    <w:rsid w:val="008261D2"/>
    <w:rsid w:val="008261E4"/>
    <w:rsid w:val="008261F0"/>
    <w:rsid w:val="008261F3"/>
    <w:rsid w:val="0082622E"/>
    <w:rsid w:val="00826282"/>
    <w:rsid w:val="0082628A"/>
    <w:rsid w:val="008262C9"/>
    <w:rsid w:val="0082632E"/>
    <w:rsid w:val="00826337"/>
    <w:rsid w:val="008263B7"/>
    <w:rsid w:val="008263C2"/>
    <w:rsid w:val="008263E0"/>
    <w:rsid w:val="008263FD"/>
    <w:rsid w:val="0082642E"/>
    <w:rsid w:val="00826456"/>
    <w:rsid w:val="0082645D"/>
    <w:rsid w:val="008264BD"/>
    <w:rsid w:val="008264C9"/>
    <w:rsid w:val="008264ED"/>
    <w:rsid w:val="0082651D"/>
    <w:rsid w:val="0082656C"/>
    <w:rsid w:val="00826596"/>
    <w:rsid w:val="008265B3"/>
    <w:rsid w:val="008265F2"/>
    <w:rsid w:val="00826607"/>
    <w:rsid w:val="0082665C"/>
    <w:rsid w:val="00826707"/>
    <w:rsid w:val="0082671C"/>
    <w:rsid w:val="00826742"/>
    <w:rsid w:val="00826754"/>
    <w:rsid w:val="00826804"/>
    <w:rsid w:val="0082684E"/>
    <w:rsid w:val="00826898"/>
    <w:rsid w:val="008268AE"/>
    <w:rsid w:val="008268B0"/>
    <w:rsid w:val="0082690F"/>
    <w:rsid w:val="00826927"/>
    <w:rsid w:val="0082692A"/>
    <w:rsid w:val="0082692D"/>
    <w:rsid w:val="0082692E"/>
    <w:rsid w:val="00826948"/>
    <w:rsid w:val="0082694D"/>
    <w:rsid w:val="00826958"/>
    <w:rsid w:val="0082698A"/>
    <w:rsid w:val="0082698C"/>
    <w:rsid w:val="008269A4"/>
    <w:rsid w:val="008269B1"/>
    <w:rsid w:val="008269BF"/>
    <w:rsid w:val="008269F3"/>
    <w:rsid w:val="008269F9"/>
    <w:rsid w:val="00826A82"/>
    <w:rsid w:val="00826A95"/>
    <w:rsid w:val="00826ABE"/>
    <w:rsid w:val="00826AF7"/>
    <w:rsid w:val="00826B20"/>
    <w:rsid w:val="00826B94"/>
    <w:rsid w:val="00826BB9"/>
    <w:rsid w:val="00826BBE"/>
    <w:rsid w:val="00826BCA"/>
    <w:rsid w:val="00826C18"/>
    <w:rsid w:val="00826C38"/>
    <w:rsid w:val="00826C3B"/>
    <w:rsid w:val="00826C82"/>
    <w:rsid w:val="00826C8F"/>
    <w:rsid w:val="00826CD1"/>
    <w:rsid w:val="00826CF8"/>
    <w:rsid w:val="00826D19"/>
    <w:rsid w:val="00826D1F"/>
    <w:rsid w:val="00826D45"/>
    <w:rsid w:val="00826D4F"/>
    <w:rsid w:val="00826D87"/>
    <w:rsid w:val="00826DFD"/>
    <w:rsid w:val="00826E3D"/>
    <w:rsid w:val="00826E4A"/>
    <w:rsid w:val="00826E4B"/>
    <w:rsid w:val="00826E68"/>
    <w:rsid w:val="00826E82"/>
    <w:rsid w:val="00826E91"/>
    <w:rsid w:val="00826E9B"/>
    <w:rsid w:val="00826EC0"/>
    <w:rsid w:val="00826F62"/>
    <w:rsid w:val="00826F6A"/>
    <w:rsid w:val="00826F71"/>
    <w:rsid w:val="00826F88"/>
    <w:rsid w:val="00826FEE"/>
    <w:rsid w:val="0082707B"/>
    <w:rsid w:val="00827085"/>
    <w:rsid w:val="00827093"/>
    <w:rsid w:val="008270BD"/>
    <w:rsid w:val="00827105"/>
    <w:rsid w:val="00827121"/>
    <w:rsid w:val="00827133"/>
    <w:rsid w:val="0082713D"/>
    <w:rsid w:val="00827161"/>
    <w:rsid w:val="008271C1"/>
    <w:rsid w:val="0082724F"/>
    <w:rsid w:val="00827257"/>
    <w:rsid w:val="0082725C"/>
    <w:rsid w:val="00827288"/>
    <w:rsid w:val="008272BA"/>
    <w:rsid w:val="0082732F"/>
    <w:rsid w:val="00827335"/>
    <w:rsid w:val="00827374"/>
    <w:rsid w:val="008273BF"/>
    <w:rsid w:val="008273CC"/>
    <w:rsid w:val="00827401"/>
    <w:rsid w:val="0082742F"/>
    <w:rsid w:val="00827432"/>
    <w:rsid w:val="0082744E"/>
    <w:rsid w:val="0082745D"/>
    <w:rsid w:val="008274A5"/>
    <w:rsid w:val="008274FA"/>
    <w:rsid w:val="00827507"/>
    <w:rsid w:val="0082755E"/>
    <w:rsid w:val="00827580"/>
    <w:rsid w:val="00827593"/>
    <w:rsid w:val="008275A3"/>
    <w:rsid w:val="008275B7"/>
    <w:rsid w:val="008275D4"/>
    <w:rsid w:val="00827656"/>
    <w:rsid w:val="00827687"/>
    <w:rsid w:val="008276DB"/>
    <w:rsid w:val="0082773F"/>
    <w:rsid w:val="0082778A"/>
    <w:rsid w:val="00827798"/>
    <w:rsid w:val="008277DA"/>
    <w:rsid w:val="00827872"/>
    <w:rsid w:val="0082788D"/>
    <w:rsid w:val="00827898"/>
    <w:rsid w:val="008278B0"/>
    <w:rsid w:val="008278BB"/>
    <w:rsid w:val="008278D6"/>
    <w:rsid w:val="008278F2"/>
    <w:rsid w:val="00827921"/>
    <w:rsid w:val="008279A9"/>
    <w:rsid w:val="00827A15"/>
    <w:rsid w:val="00827AA0"/>
    <w:rsid w:val="00827ACC"/>
    <w:rsid w:val="00827AD5"/>
    <w:rsid w:val="00827B14"/>
    <w:rsid w:val="00827B45"/>
    <w:rsid w:val="00827B46"/>
    <w:rsid w:val="00827B5E"/>
    <w:rsid w:val="00827B64"/>
    <w:rsid w:val="00827B78"/>
    <w:rsid w:val="00827BAA"/>
    <w:rsid w:val="00827BD4"/>
    <w:rsid w:val="00827BFF"/>
    <w:rsid w:val="00827C28"/>
    <w:rsid w:val="00827C8D"/>
    <w:rsid w:val="00827D0E"/>
    <w:rsid w:val="00827D23"/>
    <w:rsid w:val="00827D38"/>
    <w:rsid w:val="00827D6D"/>
    <w:rsid w:val="00827DB3"/>
    <w:rsid w:val="00827DD7"/>
    <w:rsid w:val="00827DDA"/>
    <w:rsid w:val="00827E0C"/>
    <w:rsid w:val="00827E34"/>
    <w:rsid w:val="00827E59"/>
    <w:rsid w:val="00827E91"/>
    <w:rsid w:val="00827E92"/>
    <w:rsid w:val="00827E97"/>
    <w:rsid w:val="00827EC5"/>
    <w:rsid w:val="00827EDA"/>
    <w:rsid w:val="00827F31"/>
    <w:rsid w:val="00827F36"/>
    <w:rsid w:val="00827F61"/>
    <w:rsid w:val="00827F71"/>
    <w:rsid w:val="00827F7D"/>
    <w:rsid w:val="00827FC5"/>
    <w:rsid w:val="00827FE0"/>
    <w:rsid w:val="00830073"/>
    <w:rsid w:val="00830092"/>
    <w:rsid w:val="008300D5"/>
    <w:rsid w:val="008300DA"/>
    <w:rsid w:val="008300F4"/>
    <w:rsid w:val="00830122"/>
    <w:rsid w:val="0083012E"/>
    <w:rsid w:val="0083013D"/>
    <w:rsid w:val="00830142"/>
    <w:rsid w:val="00830160"/>
    <w:rsid w:val="008301B8"/>
    <w:rsid w:val="008301D6"/>
    <w:rsid w:val="008301EA"/>
    <w:rsid w:val="0083039A"/>
    <w:rsid w:val="008303D3"/>
    <w:rsid w:val="008303F7"/>
    <w:rsid w:val="008303F9"/>
    <w:rsid w:val="008303FF"/>
    <w:rsid w:val="00830436"/>
    <w:rsid w:val="00830450"/>
    <w:rsid w:val="00830478"/>
    <w:rsid w:val="008304A3"/>
    <w:rsid w:val="008304AD"/>
    <w:rsid w:val="008304B6"/>
    <w:rsid w:val="008304CE"/>
    <w:rsid w:val="008304E1"/>
    <w:rsid w:val="008304EE"/>
    <w:rsid w:val="00830533"/>
    <w:rsid w:val="0083053F"/>
    <w:rsid w:val="0083056F"/>
    <w:rsid w:val="00830595"/>
    <w:rsid w:val="0083059B"/>
    <w:rsid w:val="0083060E"/>
    <w:rsid w:val="008306AC"/>
    <w:rsid w:val="008306D1"/>
    <w:rsid w:val="0083072E"/>
    <w:rsid w:val="00830748"/>
    <w:rsid w:val="00830794"/>
    <w:rsid w:val="008307C3"/>
    <w:rsid w:val="008307C9"/>
    <w:rsid w:val="008307E1"/>
    <w:rsid w:val="008307E2"/>
    <w:rsid w:val="00830841"/>
    <w:rsid w:val="00830868"/>
    <w:rsid w:val="0083086C"/>
    <w:rsid w:val="00830891"/>
    <w:rsid w:val="008308D9"/>
    <w:rsid w:val="008308FE"/>
    <w:rsid w:val="00830930"/>
    <w:rsid w:val="00830935"/>
    <w:rsid w:val="0083094B"/>
    <w:rsid w:val="00830953"/>
    <w:rsid w:val="00830963"/>
    <w:rsid w:val="00830992"/>
    <w:rsid w:val="0083099A"/>
    <w:rsid w:val="008309E1"/>
    <w:rsid w:val="008309E8"/>
    <w:rsid w:val="00830AA6"/>
    <w:rsid w:val="00830AF0"/>
    <w:rsid w:val="00830B08"/>
    <w:rsid w:val="00830B2B"/>
    <w:rsid w:val="00830B7D"/>
    <w:rsid w:val="00830B8B"/>
    <w:rsid w:val="00830BA0"/>
    <w:rsid w:val="00830BA8"/>
    <w:rsid w:val="00830C04"/>
    <w:rsid w:val="00830C0A"/>
    <w:rsid w:val="00830C40"/>
    <w:rsid w:val="00830C53"/>
    <w:rsid w:val="00830C57"/>
    <w:rsid w:val="00830C70"/>
    <w:rsid w:val="00830C7C"/>
    <w:rsid w:val="00830CA0"/>
    <w:rsid w:val="00830CCE"/>
    <w:rsid w:val="00830CDB"/>
    <w:rsid w:val="00830CEF"/>
    <w:rsid w:val="00830D09"/>
    <w:rsid w:val="00830D6A"/>
    <w:rsid w:val="00830D7C"/>
    <w:rsid w:val="00830E16"/>
    <w:rsid w:val="00830E65"/>
    <w:rsid w:val="00830E83"/>
    <w:rsid w:val="00830E8E"/>
    <w:rsid w:val="00830EAB"/>
    <w:rsid w:val="00830EE6"/>
    <w:rsid w:val="00830EF8"/>
    <w:rsid w:val="00830F3A"/>
    <w:rsid w:val="00830F61"/>
    <w:rsid w:val="00830F6C"/>
    <w:rsid w:val="00830FD2"/>
    <w:rsid w:val="00830FD5"/>
    <w:rsid w:val="00830FF5"/>
    <w:rsid w:val="00831013"/>
    <w:rsid w:val="00831047"/>
    <w:rsid w:val="00831057"/>
    <w:rsid w:val="00831072"/>
    <w:rsid w:val="008310AA"/>
    <w:rsid w:val="008310F4"/>
    <w:rsid w:val="00831114"/>
    <w:rsid w:val="0083111B"/>
    <w:rsid w:val="00831132"/>
    <w:rsid w:val="00831150"/>
    <w:rsid w:val="00831156"/>
    <w:rsid w:val="0083115D"/>
    <w:rsid w:val="00831164"/>
    <w:rsid w:val="0083118B"/>
    <w:rsid w:val="0083119D"/>
    <w:rsid w:val="008311A8"/>
    <w:rsid w:val="008311E3"/>
    <w:rsid w:val="008311ED"/>
    <w:rsid w:val="008311F5"/>
    <w:rsid w:val="00831217"/>
    <w:rsid w:val="00831222"/>
    <w:rsid w:val="0083124C"/>
    <w:rsid w:val="0083126D"/>
    <w:rsid w:val="008312B2"/>
    <w:rsid w:val="008312E5"/>
    <w:rsid w:val="00831304"/>
    <w:rsid w:val="00831317"/>
    <w:rsid w:val="0083133E"/>
    <w:rsid w:val="008313D4"/>
    <w:rsid w:val="008313EB"/>
    <w:rsid w:val="008313F5"/>
    <w:rsid w:val="00831410"/>
    <w:rsid w:val="00831430"/>
    <w:rsid w:val="0083143C"/>
    <w:rsid w:val="0083147E"/>
    <w:rsid w:val="00831495"/>
    <w:rsid w:val="008314A1"/>
    <w:rsid w:val="008314B2"/>
    <w:rsid w:val="008314D0"/>
    <w:rsid w:val="008314D2"/>
    <w:rsid w:val="008315AD"/>
    <w:rsid w:val="008315B1"/>
    <w:rsid w:val="0083163A"/>
    <w:rsid w:val="0083163D"/>
    <w:rsid w:val="00831641"/>
    <w:rsid w:val="0083164C"/>
    <w:rsid w:val="0083168E"/>
    <w:rsid w:val="008316B5"/>
    <w:rsid w:val="008316C9"/>
    <w:rsid w:val="008316F8"/>
    <w:rsid w:val="00831740"/>
    <w:rsid w:val="00831775"/>
    <w:rsid w:val="00831777"/>
    <w:rsid w:val="00831779"/>
    <w:rsid w:val="00831792"/>
    <w:rsid w:val="008317A3"/>
    <w:rsid w:val="008317A4"/>
    <w:rsid w:val="008317A5"/>
    <w:rsid w:val="008317AC"/>
    <w:rsid w:val="0083182E"/>
    <w:rsid w:val="00831889"/>
    <w:rsid w:val="008318AA"/>
    <w:rsid w:val="00831906"/>
    <w:rsid w:val="00831970"/>
    <w:rsid w:val="008319AF"/>
    <w:rsid w:val="00831A2D"/>
    <w:rsid w:val="00831A35"/>
    <w:rsid w:val="00831A43"/>
    <w:rsid w:val="00831A44"/>
    <w:rsid w:val="00831A47"/>
    <w:rsid w:val="00831A67"/>
    <w:rsid w:val="00831A6A"/>
    <w:rsid w:val="00831ABF"/>
    <w:rsid w:val="00831ADD"/>
    <w:rsid w:val="00831B0D"/>
    <w:rsid w:val="00831B49"/>
    <w:rsid w:val="00831C07"/>
    <w:rsid w:val="00831C1B"/>
    <w:rsid w:val="00831C23"/>
    <w:rsid w:val="00831C51"/>
    <w:rsid w:val="00831C6D"/>
    <w:rsid w:val="00831C84"/>
    <w:rsid w:val="00831C92"/>
    <w:rsid w:val="00831C9B"/>
    <w:rsid w:val="00831CB5"/>
    <w:rsid w:val="00831D18"/>
    <w:rsid w:val="00831D22"/>
    <w:rsid w:val="00831D58"/>
    <w:rsid w:val="00831D7C"/>
    <w:rsid w:val="00831D9D"/>
    <w:rsid w:val="00831DAC"/>
    <w:rsid w:val="00831DC1"/>
    <w:rsid w:val="00831DD6"/>
    <w:rsid w:val="00831E1C"/>
    <w:rsid w:val="00831E29"/>
    <w:rsid w:val="00831E31"/>
    <w:rsid w:val="00831E33"/>
    <w:rsid w:val="00831E57"/>
    <w:rsid w:val="00831E67"/>
    <w:rsid w:val="00831E69"/>
    <w:rsid w:val="00831E7A"/>
    <w:rsid w:val="00831E94"/>
    <w:rsid w:val="00831EB3"/>
    <w:rsid w:val="00831EC8"/>
    <w:rsid w:val="00831ECC"/>
    <w:rsid w:val="00831ED9"/>
    <w:rsid w:val="00831F0E"/>
    <w:rsid w:val="00831F90"/>
    <w:rsid w:val="00831F96"/>
    <w:rsid w:val="00831FB2"/>
    <w:rsid w:val="00831FD7"/>
    <w:rsid w:val="00832020"/>
    <w:rsid w:val="0083203C"/>
    <w:rsid w:val="00832052"/>
    <w:rsid w:val="00832097"/>
    <w:rsid w:val="0083209E"/>
    <w:rsid w:val="008320B6"/>
    <w:rsid w:val="008320D4"/>
    <w:rsid w:val="008320FA"/>
    <w:rsid w:val="0083210B"/>
    <w:rsid w:val="008321A1"/>
    <w:rsid w:val="008321BD"/>
    <w:rsid w:val="008321E8"/>
    <w:rsid w:val="0083220C"/>
    <w:rsid w:val="00832238"/>
    <w:rsid w:val="008322CC"/>
    <w:rsid w:val="0083236A"/>
    <w:rsid w:val="00832388"/>
    <w:rsid w:val="008323B7"/>
    <w:rsid w:val="008323CD"/>
    <w:rsid w:val="008323FC"/>
    <w:rsid w:val="00832414"/>
    <w:rsid w:val="00832415"/>
    <w:rsid w:val="00832418"/>
    <w:rsid w:val="00832453"/>
    <w:rsid w:val="00832475"/>
    <w:rsid w:val="0083248A"/>
    <w:rsid w:val="00832498"/>
    <w:rsid w:val="008324A4"/>
    <w:rsid w:val="008324AE"/>
    <w:rsid w:val="008324C5"/>
    <w:rsid w:val="008324EE"/>
    <w:rsid w:val="008324EF"/>
    <w:rsid w:val="0083252C"/>
    <w:rsid w:val="00832539"/>
    <w:rsid w:val="00832566"/>
    <w:rsid w:val="0083258F"/>
    <w:rsid w:val="00832591"/>
    <w:rsid w:val="008325A4"/>
    <w:rsid w:val="00832663"/>
    <w:rsid w:val="00832699"/>
    <w:rsid w:val="008326A9"/>
    <w:rsid w:val="008326C5"/>
    <w:rsid w:val="008326F3"/>
    <w:rsid w:val="00832722"/>
    <w:rsid w:val="00832730"/>
    <w:rsid w:val="00832732"/>
    <w:rsid w:val="00832790"/>
    <w:rsid w:val="0083281A"/>
    <w:rsid w:val="00832836"/>
    <w:rsid w:val="0083286B"/>
    <w:rsid w:val="0083286F"/>
    <w:rsid w:val="00832878"/>
    <w:rsid w:val="008328AD"/>
    <w:rsid w:val="008328E8"/>
    <w:rsid w:val="008328F7"/>
    <w:rsid w:val="00832943"/>
    <w:rsid w:val="00832A01"/>
    <w:rsid w:val="00832A0E"/>
    <w:rsid w:val="00832A50"/>
    <w:rsid w:val="00832A55"/>
    <w:rsid w:val="00832A95"/>
    <w:rsid w:val="00832AA6"/>
    <w:rsid w:val="00832AB9"/>
    <w:rsid w:val="00832ABD"/>
    <w:rsid w:val="00832B18"/>
    <w:rsid w:val="00832B47"/>
    <w:rsid w:val="00832B4C"/>
    <w:rsid w:val="00832B90"/>
    <w:rsid w:val="00832BA4"/>
    <w:rsid w:val="00832BAA"/>
    <w:rsid w:val="00832BD0"/>
    <w:rsid w:val="00832BD8"/>
    <w:rsid w:val="00832C09"/>
    <w:rsid w:val="00832C20"/>
    <w:rsid w:val="00832C33"/>
    <w:rsid w:val="00832C94"/>
    <w:rsid w:val="00832D36"/>
    <w:rsid w:val="00832D3B"/>
    <w:rsid w:val="00832D5B"/>
    <w:rsid w:val="00832E27"/>
    <w:rsid w:val="00832E3F"/>
    <w:rsid w:val="00832E5F"/>
    <w:rsid w:val="00832E8F"/>
    <w:rsid w:val="00832E90"/>
    <w:rsid w:val="00832E96"/>
    <w:rsid w:val="00832EAE"/>
    <w:rsid w:val="00832F01"/>
    <w:rsid w:val="00832F0E"/>
    <w:rsid w:val="00832F6B"/>
    <w:rsid w:val="00832F7F"/>
    <w:rsid w:val="00832FAF"/>
    <w:rsid w:val="00832FDC"/>
    <w:rsid w:val="00832FEE"/>
    <w:rsid w:val="00833001"/>
    <w:rsid w:val="0083302E"/>
    <w:rsid w:val="00833039"/>
    <w:rsid w:val="0083304E"/>
    <w:rsid w:val="00833083"/>
    <w:rsid w:val="00833092"/>
    <w:rsid w:val="008330E9"/>
    <w:rsid w:val="008330EC"/>
    <w:rsid w:val="0083310D"/>
    <w:rsid w:val="0083310F"/>
    <w:rsid w:val="0083311A"/>
    <w:rsid w:val="0083313B"/>
    <w:rsid w:val="008331A9"/>
    <w:rsid w:val="008331BA"/>
    <w:rsid w:val="0083324E"/>
    <w:rsid w:val="00833258"/>
    <w:rsid w:val="0083325A"/>
    <w:rsid w:val="00833263"/>
    <w:rsid w:val="0083328A"/>
    <w:rsid w:val="008332AD"/>
    <w:rsid w:val="008332B2"/>
    <w:rsid w:val="008332C9"/>
    <w:rsid w:val="008332F6"/>
    <w:rsid w:val="0083331D"/>
    <w:rsid w:val="00833343"/>
    <w:rsid w:val="00833348"/>
    <w:rsid w:val="0083337D"/>
    <w:rsid w:val="008333E7"/>
    <w:rsid w:val="00833455"/>
    <w:rsid w:val="0083345C"/>
    <w:rsid w:val="00833470"/>
    <w:rsid w:val="00833486"/>
    <w:rsid w:val="0083348E"/>
    <w:rsid w:val="008334B7"/>
    <w:rsid w:val="008334F7"/>
    <w:rsid w:val="00833532"/>
    <w:rsid w:val="00833534"/>
    <w:rsid w:val="00833583"/>
    <w:rsid w:val="008335A0"/>
    <w:rsid w:val="008335A4"/>
    <w:rsid w:val="008335A6"/>
    <w:rsid w:val="008335A8"/>
    <w:rsid w:val="008335AD"/>
    <w:rsid w:val="008335B4"/>
    <w:rsid w:val="008335BB"/>
    <w:rsid w:val="008335CB"/>
    <w:rsid w:val="00833608"/>
    <w:rsid w:val="0083362E"/>
    <w:rsid w:val="00833655"/>
    <w:rsid w:val="00833673"/>
    <w:rsid w:val="00833678"/>
    <w:rsid w:val="00833691"/>
    <w:rsid w:val="00833702"/>
    <w:rsid w:val="0083372E"/>
    <w:rsid w:val="00833747"/>
    <w:rsid w:val="00833755"/>
    <w:rsid w:val="008337A0"/>
    <w:rsid w:val="008337C6"/>
    <w:rsid w:val="0083383E"/>
    <w:rsid w:val="00833875"/>
    <w:rsid w:val="008338AC"/>
    <w:rsid w:val="008338B0"/>
    <w:rsid w:val="008338B2"/>
    <w:rsid w:val="008338F3"/>
    <w:rsid w:val="008338F7"/>
    <w:rsid w:val="0083392A"/>
    <w:rsid w:val="0083393E"/>
    <w:rsid w:val="00833952"/>
    <w:rsid w:val="00833969"/>
    <w:rsid w:val="008339BD"/>
    <w:rsid w:val="008339C6"/>
    <w:rsid w:val="008339E1"/>
    <w:rsid w:val="008339F1"/>
    <w:rsid w:val="00833A0E"/>
    <w:rsid w:val="00833A66"/>
    <w:rsid w:val="00833A81"/>
    <w:rsid w:val="00833A98"/>
    <w:rsid w:val="00833ACE"/>
    <w:rsid w:val="00833AE2"/>
    <w:rsid w:val="00833B25"/>
    <w:rsid w:val="00833B32"/>
    <w:rsid w:val="00833B39"/>
    <w:rsid w:val="00833B62"/>
    <w:rsid w:val="00833BBF"/>
    <w:rsid w:val="00833BE5"/>
    <w:rsid w:val="00833C07"/>
    <w:rsid w:val="00833C87"/>
    <w:rsid w:val="00833C9E"/>
    <w:rsid w:val="00833CD1"/>
    <w:rsid w:val="00833CF7"/>
    <w:rsid w:val="00833CFC"/>
    <w:rsid w:val="00833D0C"/>
    <w:rsid w:val="00833D3F"/>
    <w:rsid w:val="00833D40"/>
    <w:rsid w:val="00833D44"/>
    <w:rsid w:val="00833D53"/>
    <w:rsid w:val="00833D5B"/>
    <w:rsid w:val="00833D70"/>
    <w:rsid w:val="00833D76"/>
    <w:rsid w:val="00833D90"/>
    <w:rsid w:val="00833D9E"/>
    <w:rsid w:val="00833DA8"/>
    <w:rsid w:val="00833DA9"/>
    <w:rsid w:val="00833DAD"/>
    <w:rsid w:val="00833DB1"/>
    <w:rsid w:val="00833DB3"/>
    <w:rsid w:val="00833DD1"/>
    <w:rsid w:val="00833E01"/>
    <w:rsid w:val="00833E16"/>
    <w:rsid w:val="00833E2B"/>
    <w:rsid w:val="00833E57"/>
    <w:rsid w:val="00833EB1"/>
    <w:rsid w:val="00833EB4"/>
    <w:rsid w:val="00833EBD"/>
    <w:rsid w:val="00833F03"/>
    <w:rsid w:val="00833F66"/>
    <w:rsid w:val="00833F79"/>
    <w:rsid w:val="0083400B"/>
    <w:rsid w:val="00834045"/>
    <w:rsid w:val="008340AA"/>
    <w:rsid w:val="008340D5"/>
    <w:rsid w:val="008340ED"/>
    <w:rsid w:val="00834106"/>
    <w:rsid w:val="00834110"/>
    <w:rsid w:val="00834116"/>
    <w:rsid w:val="00834132"/>
    <w:rsid w:val="0083413E"/>
    <w:rsid w:val="0083415C"/>
    <w:rsid w:val="00834161"/>
    <w:rsid w:val="0083416E"/>
    <w:rsid w:val="0083425F"/>
    <w:rsid w:val="00834298"/>
    <w:rsid w:val="008342C9"/>
    <w:rsid w:val="008342D9"/>
    <w:rsid w:val="008342FB"/>
    <w:rsid w:val="0083430D"/>
    <w:rsid w:val="0083437E"/>
    <w:rsid w:val="008343EF"/>
    <w:rsid w:val="008343FC"/>
    <w:rsid w:val="00834404"/>
    <w:rsid w:val="00834419"/>
    <w:rsid w:val="0083442A"/>
    <w:rsid w:val="00834448"/>
    <w:rsid w:val="0083446E"/>
    <w:rsid w:val="00834484"/>
    <w:rsid w:val="008344A5"/>
    <w:rsid w:val="008344AA"/>
    <w:rsid w:val="008344BC"/>
    <w:rsid w:val="008344CF"/>
    <w:rsid w:val="008344EC"/>
    <w:rsid w:val="0083451C"/>
    <w:rsid w:val="00834525"/>
    <w:rsid w:val="00834577"/>
    <w:rsid w:val="008345A6"/>
    <w:rsid w:val="008345D9"/>
    <w:rsid w:val="008345E5"/>
    <w:rsid w:val="00834611"/>
    <w:rsid w:val="0083462F"/>
    <w:rsid w:val="00834668"/>
    <w:rsid w:val="008346CC"/>
    <w:rsid w:val="00834702"/>
    <w:rsid w:val="00834704"/>
    <w:rsid w:val="00834783"/>
    <w:rsid w:val="00834798"/>
    <w:rsid w:val="008347A2"/>
    <w:rsid w:val="008347B5"/>
    <w:rsid w:val="008347CD"/>
    <w:rsid w:val="008347EC"/>
    <w:rsid w:val="00834825"/>
    <w:rsid w:val="0083486F"/>
    <w:rsid w:val="008349BA"/>
    <w:rsid w:val="008349D4"/>
    <w:rsid w:val="008349ED"/>
    <w:rsid w:val="00834A92"/>
    <w:rsid w:val="00834AA2"/>
    <w:rsid w:val="00834AF4"/>
    <w:rsid w:val="00834AFC"/>
    <w:rsid w:val="00834B65"/>
    <w:rsid w:val="00834B73"/>
    <w:rsid w:val="00834B77"/>
    <w:rsid w:val="00834B8B"/>
    <w:rsid w:val="00834BA3"/>
    <w:rsid w:val="00834BAD"/>
    <w:rsid w:val="00834C25"/>
    <w:rsid w:val="00834C2C"/>
    <w:rsid w:val="00834C42"/>
    <w:rsid w:val="00834C4F"/>
    <w:rsid w:val="00834C59"/>
    <w:rsid w:val="00834C8B"/>
    <w:rsid w:val="00834C90"/>
    <w:rsid w:val="00834C9A"/>
    <w:rsid w:val="00834CD4"/>
    <w:rsid w:val="00834D0C"/>
    <w:rsid w:val="00834D20"/>
    <w:rsid w:val="00834D27"/>
    <w:rsid w:val="00834D57"/>
    <w:rsid w:val="00834D69"/>
    <w:rsid w:val="00834D84"/>
    <w:rsid w:val="00834DA1"/>
    <w:rsid w:val="00834DB7"/>
    <w:rsid w:val="00834DBB"/>
    <w:rsid w:val="00834DCD"/>
    <w:rsid w:val="00834E39"/>
    <w:rsid w:val="00834E5A"/>
    <w:rsid w:val="00834E71"/>
    <w:rsid w:val="00834E7C"/>
    <w:rsid w:val="00834E89"/>
    <w:rsid w:val="00834EEC"/>
    <w:rsid w:val="00834F01"/>
    <w:rsid w:val="00834F02"/>
    <w:rsid w:val="00834F22"/>
    <w:rsid w:val="00834F64"/>
    <w:rsid w:val="00834FA2"/>
    <w:rsid w:val="00834FCE"/>
    <w:rsid w:val="00834FD3"/>
    <w:rsid w:val="00834FFB"/>
    <w:rsid w:val="00835000"/>
    <w:rsid w:val="00835029"/>
    <w:rsid w:val="00835045"/>
    <w:rsid w:val="00835076"/>
    <w:rsid w:val="008350C2"/>
    <w:rsid w:val="00835101"/>
    <w:rsid w:val="00835122"/>
    <w:rsid w:val="0083516C"/>
    <w:rsid w:val="00835171"/>
    <w:rsid w:val="00835182"/>
    <w:rsid w:val="008351B0"/>
    <w:rsid w:val="008351CF"/>
    <w:rsid w:val="008351D3"/>
    <w:rsid w:val="008351F0"/>
    <w:rsid w:val="008351F9"/>
    <w:rsid w:val="008351FD"/>
    <w:rsid w:val="0083524F"/>
    <w:rsid w:val="00835294"/>
    <w:rsid w:val="0083529A"/>
    <w:rsid w:val="00835310"/>
    <w:rsid w:val="0083533A"/>
    <w:rsid w:val="00835344"/>
    <w:rsid w:val="00835354"/>
    <w:rsid w:val="00835362"/>
    <w:rsid w:val="008353C5"/>
    <w:rsid w:val="008353CE"/>
    <w:rsid w:val="008353D0"/>
    <w:rsid w:val="008353DB"/>
    <w:rsid w:val="00835411"/>
    <w:rsid w:val="0083543A"/>
    <w:rsid w:val="0083545C"/>
    <w:rsid w:val="00835464"/>
    <w:rsid w:val="00835465"/>
    <w:rsid w:val="00835483"/>
    <w:rsid w:val="008354B8"/>
    <w:rsid w:val="008354E4"/>
    <w:rsid w:val="00835526"/>
    <w:rsid w:val="0083556C"/>
    <w:rsid w:val="00835582"/>
    <w:rsid w:val="00835589"/>
    <w:rsid w:val="00835593"/>
    <w:rsid w:val="00835596"/>
    <w:rsid w:val="008355B0"/>
    <w:rsid w:val="008355BA"/>
    <w:rsid w:val="008355CA"/>
    <w:rsid w:val="008355CD"/>
    <w:rsid w:val="008355EB"/>
    <w:rsid w:val="008355F4"/>
    <w:rsid w:val="00835604"/>
    <w:rsid w:val="00835645"/>
    <w:rsid w:val="00835678"/>
    <w:rsid w:val="00835694"/>
    <w:rsid w:val="0083569A"/>
    <w:rsid w:val="008356AB"/>
    <w:rsid w:val="008356E4"/>
    <w:rsid w:val="00835751"/>
    <w:rsid w:val="00835753"/>
    <w:rsid w:val="00835770"/>
    <w:rsid w:val="00835790"/>
    <w:rsid w:val="008357CC"/>
    <w:rsid w:val="008357E4"/>
    <w:rsid w:val="00835801"/>
    <w:rsid w:val="0083580D"/>
    <w:rsid w:val="00835821"/>
    <w:rsid w:val="0083589D"/>
    <w:rsid w:val="008358B6"/>
    <w:rsid w:val="008358D3"/>
    <w:rsid w:val="008358E1"/>
    <w:rsid w:val="0083590A"/>
    <w:rsid w:val="0083594E"/>
    <w:rsid w:val="008359BB"/>
    <w:rsid w:val="008359E2"/>
    <w:rsid w:val="00835A0E"/>
    <w:rsid w:val="00835A5F"/>
    <w:rsid w:val="00835A8B"/>
    <w:rsid w:val="00835A9C"/>
    <w:rsid w:val="00835AC3"/>
    <w:rsid w:val="00835AC5"/>
    <w:rsid w:val="00835AD4"/>
    <w:rsid w:val="00835AD5"/>
    <w:rsid w:val="00835ADA"/>
    <w:rsid w:val="00835AE8"/>
    <w:rsid w:val="00835AFC"/>
    <w:rsid w:val="00835B6C"/>
    <w:rsid w:val="00835BA0"/>
    <w:rsid w:val="00835BBB"/>
    <w:rsid w:val="00835BCA"/>
    <w:rsid w:val="00835BEA"/>
    <w:rsid w:val="00835C12"/>
    <w:rsid w:val="00835C1F"/>
    <w:rsid w:val="00835C41"/>
    <w:rsid w:val="00835C4B"/>
    <w:rsid w:val="00835C61"/>
    <w:rsid w:val="00835C6B"/>
    <w:rsid w:val="00835C87"/>
    <w:rsid w:val="00835CA9"/>
    <w:rsid w:val="00835CAF"/>
    <w:rsid w:val="00835CD2"/>
    <w:rsid w:val="00835CE9"/>
    <w:rsid w:val="00835CFC"/>
    <w:rsid w:val="00835D1D"/>
    <w:rsid w:val="00835D38"/>
    <w:rsid w:val="00835D4C"/>
    <w:rsid w:val="00835D64"/>
    <w:rsid w:val="00835D88"/>
    <w:rsid w:val="00835DA2"/>
    <w:rsid w:val="00835DF6"/>
    <w:rsid w:val="00835E30"/>
    <w:rsid w:val="00835E53"/>
    <w:rsid w:val="00835E79"/>
    <w:rsid w:val="00835EA4"/>
    <w:rsid w:val="00835EC7"/>
    <w:rsid w:val="00835EDB"/>
    <w:rsid w:val="00835EF5"/>
    <w:rsid w:val="00835F0C"/>
    <w:rsid w:val="00835F10"/>
    <w:rsid w:val="00835F16"/>
    <w:rsid w:val="00835F31"/>
    <w:rsid w:val="00835F51"/>
    <w:rsid w:val="00835F5F"/>
    <w:rsid w:val="00835F91"/>
    <w:rsid w:val="00835FC2"/>
    <w:rsid w:val="00835FED"/>
    <w:rsid w:val="00836027"/>
    <w:rsid w:val="00836074"/>
    <w:rsid w:val="0083609B"/>
    <w:rsid w:val="008360BF"/>
    <w:rsid w:val="008360C4"/>
    <w:rsid w:val="008360CD"/>
    <w:rsid w:val="008360DF"/>
    <w:rsid w:val="008360E2"/>
    <w:rsid w:val="008360F9"/>
    <w:rsid w:val="00836170"/>
    <w:rsid w:val="008361A0"/>
    <w:rsid w:val="008361D4"/>
    <w:rsid w:val="008361D7"/>
    <w:rsid w:val="0083626D"/>
    <w:rsid w:val="0083627B"/>
    <w:rsid w:val="008362C4"/>
    <w:rsid w:val="008362F0"/>
    <w:rsid w:val="008362FD"/>
    <w:rsid w:val="00836317"/>
    <w:rsid w:val="0083634F"/>
    <w:rsid w:val="00836378"/>
    <w:rsid w:val="0083637A"/>
    <w:rsid w:val="00836393"/>
    <w:rsid w:val="00836399"/>
    <w:rsid w:val="008363B4"/>
    <w:rsid w:val="008363BF"/>
    <w:rsid w:val="008363D8"/>
    <w:rsid w:val="0083645E"/>
    <w:rsid w:val="00836462"/>
    <w:rsid w:val="00836466"/>
    <w:rsid w:val="0083649A"/>
    <w:rsid w:val="008364B3"/>
    <w:rsid w:val="008364BC"/>
    <w:rsid w:val="008364C5"/>
    <w:rsid w:val="008364CC"/>
    <w:rsid w:val="00836529"/>
    <w:rsid w:val="0083653E"/>
    <w:rsid w:val="0083658C"/>
    <w:rsid w:val="008365B0"/>
    <w:rsid w:val="008365B5"/>
    <w:rsid w:val="008365E5"/>
    <w:rsid w:val="008365E6"/>
    <w:rsid w:val="0083661A"/>
    <w:rsid w:val="00836620"/>
    <w:rsid w:val="00836622"/>
    <w:rsid w:val="0083664D"/>
    <w:rsid w:val="008366C3"/>
    <w:rsid w:val="008366D0"/>
    <w:rsid w:val="0083671F"/>
    <w:rsid w:val="0083677F"/>
    <w:rsid w:val="008367C6"/>
    <w:rsid w:val="0083683A"/>
    <w:rsid w:val="0083684C"/>
    <w:rsid w:val="00836857"/>
    <w:rsid w:val="00836881"/>
    <w:rsid w:val="0083690F"/>
    <w:rsid w:val="00836977"/>
    <w:rsid w:val="0083697C"/>
    <w:rsid w:val="00836A01"/>
    <w:rsid w:val="00836A16"/>
    <w:rsid w:val="00836A5E"/>
    <w:rsid w:val="00836A84"/>
    <w:rsid w:val="00836A95"/>
    <w:rsid w:val="00836AC1"/>
    <w:rsid w:val="00836AE4"/>
    <w:rsid w:val="00836AF1"/>
    <w:rsid w:val="00836AF8"/>
    <w:rsid w:val="00836AFC"/>
    <w:rsid w:val="00836B17"/>
    <w:rsid w:val="00836B18"/>
    <w:rsid w:val="00836B26"/>
    <w:rsid w:val="00836B2E"/>
    <w:rsid w:val="00836B33"/>
    <w:rsid w:val="00836B5F"/>
    <w:rsid w:val="00836B61"/>
    <w:rsid w:val="00836B8E"/>
    <w:rsid w:val="00836BBC"/>
    <w:rsid w:val="00836BBF"/>
    <w:rsid w:val="00836BF7"/>
    <w:rsid w:val="00836C4F"/>
    <w:rsid w:val="00836C6C"/>
    <w:rsid w:val="00836C82"/>
    <w:rsid w:val="00836CAC"/>
    <w:rsid w:val="00836CD8"/>
    <w:rsid w:val="00836D1E"/>
    <w:rsid w:val="00836D3B"/>
    <w:rsid w:val="00836D92"/>
    <w:rsid w:val="00836DC0"/>
    <w:rsid w:val="00836DD9"/>
    <w:rsid w:val="00836E3A"/>
    <w:rsid w:val="00836E47"/>
    <w:rsid w:val="00836E60"/>
    <w:rsid w:val="00836E65"/>
    <w:rsid w:val="00836EC5"/>
    <w:rsid w:val="00836EC7"/>
    <w:rsid w:val="00836FAD"/>
    <w:rsid w:val="00836FCB"/>
    <w:rsid w:val="00836FF6"/>
    <w:rsid w:val="00837027"/>
    <w:rsid w:val="00837035"/>
    <w:rsid w:val="0083703F"/>
    <w:rsid w:val="0083709F"/>
    <w:rsid w:val="008370F7"/>
    <w:rsid w:val="0083710B"/>
    <w:rsid w:val="0083710D"/>
    <w:rsid w:val="00837116"/>
    <w:rsid w:val="0083711E"/>
    <w:rsid w:val="0083716F"/>
    <w:rsid w:val="0083717F"/>
    <w:rsid w:val="008371AA"/>
    <w:rsid w:val="00837206"/>
    <w:rsid w:val="00837221"/>
    <w:rsid w:val="00837230"/>
    <w:rsid w:val="00837236"/>
    <w:rsid w:val="00837279"/>
    <w:rsid w:val="008372DA"/>
    <w:rsid w:val="008372F5"/>
    <w:rsid w:val="008372FE"/>
    <w:rsid w:val="008372FF"/>
    <w:rsid w:val="00837320"/>
    <w:rsid w:val="0083734A"/>
    <w:rsid w:val="0083734F"/>
    <w:rsid w:val="0083735D"/>
    <w:rsid w:val="0083737B"/>
    <w:rsid w:val="00837389"/>
    <w:rsid w:val="008373B7"/>
    <w:rsid w:val="008373E9"/>
    <w:rsid w:val="0083741D"/>
    <w:rsid w:val="00837438"/>
    <w:rsid w:val="00837461"/>
    <w:rsid w:val="0083746B"/>
    <w:rsid w:val="0083746F"/>
    <w:rsid w:val="00837498"/>
    <w:rsid w:val="008374A7"/>
    <w:rsid w:val="008374B6"/>
    <w:rsid w:val="008374BF"/>
    <w:rsid w:val="008374C7"/>
    <w:rsid w:val="008374E3"/>
    <w:rsid w:val="008374F1"/>
    <w:rsid w:val="00837505"/>
    <w:rsid w:val="0083750E"/>
    <w:rsid w:val="0083751A"/>
    <w:rsid w:val="00837547"/>
    <w:rsid w:val="00837558"/>
    <w:rsid w:val="00837595"/>
    <w:rsid w:val="008375DB"/>
    <w:rsid w:val="008375EA"/>
    <w:rsid w:val="008375EC"/>
    <w:rsid w:val="00837615"/>
    <w:rsid w:val="0083763D"/>
    <w:rsid w:val="00837640"/>
    <w:rsid w:val="00837648"/>
    <w:rsid w:val="0083768F"/>
    <w:rsid w:val="0083769C"/>
    <w:rsid w:val="008376A0"/>
    <w:rsid w:val="008376A8"/>
    <w:rsid w:val="008376B8"/>
    <w:rsid w:val="008376FF"/>
    <w:rsid w:val="0083772C"/>
    <w:rsid w:val="0083773E"/>
    <w:rsid w:val="00837743"/>
    <w:rsid w:val="00837747"/>
    <w:rsid w:val="0083776D"/>
    <w:rsid w:val="0083781A"/>
    <w:rsid w:val="00837850"/>
    <w:rsid w:val="0083785C"/>
    <w:rsid w:val="0083788C"/>
    <w:rsid w:val="00837891"/>
    <w:rsid w:val="008378AE"/>
    <w:rsid w:val="008378C6"/>
    <w:rsid w:val="0083791A"/>
    <w:rsid w:val="008379A4"/>
    <w:rsid w:val="008379CE"/>
    <w:rsid w:val="008379E3"/>
    <w:rsid w:val="00837A1A"/>
    <w:rsid w:val="00837B00"/>
    <w:rsid w:val="00837B2D"/>
    <w:rsid w:val="00837B37"/>
    <w:rsid w:val="00837B3B"/>
    <w:rsid w:val="00837B52"/>
    <w:rsid w:val="00837B54"/>
    <w:rsid w:val="00837B55"/>
    <w:rsid w:val="00837B5C"/>
    <w:rsid w:val="00837BB2"/>
    <w:rsid w:val="00837C1E"/>
    <w:rsid w:val="00837C5A"/>
    <w:rsid w:val="00837C60"/>
    <w:rsid w:val="00837C9F"/>
    <w:rsid w:val="00837D0F"/>
    <w:rsid w:val="00837D77"/>
    <w:rsid w:val="00837D8F"/>
    <w:rsid w:val="00837DC4"/>
    <w:rsid w:val="00837DE2"/>
    <w:rsid w:val="00837DE5"/>
    <w:rsid w:val="00837E08"/>
    <w:rsid w:val="00837E52"/>
    <w:rsid w:val="00837E6A"/>
    <w:rsid w:val="00837E81"/>
    <w:rsid w:val="00837EBC"/>
    <w:rsid w:val="00837EEE"/>
    <w:rsid w:val="00837F51"/>
    <w:rsid w:val="00837F54"/>
    <w:rsid w:val="00837F60"/>
    <w:rsid w:val="00837FDC"/>
    <w:rsid w:val="00837FE2"/>
    <w:rsid w:val="0083DF72"/>
    <w:rsid w:val="0083DFFA"/>
    <w:rsid w:val="0084003D"/>
    <w:rsid w:val="00840090"/>
    <w:rsid w:val="008400B7"/>
    <w:rsid w:val="00840179"/>
    <w:rsid w:val="00840181"/>
    <w:rsid w:val="0084018C"/>
    <w:rsid w:val="0084019A"/>
    <w:rsid w:val="008401B2"/>
    <w:rsid w:val="008401B9"/>
    <w:rsid w:val="008401C3"/>
    <w:rsid w:val="008401CD"/>
    <w:rsid w:val="0084029E"/>
    <w:rsid w:val="008402D1"/>
    <w:rsid w:val="008402FA"/>
    <w:rsid w:val="00840309"/>
    <w:rsid w:val="00840315"/>
    <w:rsid w:val="0084031B"/>
    <w:rsid w:val="0084034D"/>
    <w:rsid w:val="0084037C"/>
    <w:rsid w:val="0084037D"/>
    <w:rsid w:val="008403EB"/>
    <w:rsid w:val="00840455"/>
    <w:rsid w:val="00840488"/>
    <w:rsid w:val="0084049A"/>
    <w:rsid w:val="008404B1"/>
    <w:rsid w:val="008404B7"/>
    <w:rsid w:val="008404E0"/>
    <w:rsid w:val="00840501"/>
    <w:rsid w:val="0084050E"/>
    <w:rsid w:val="0084054D"/>
    <w:rsid w:val="00840591"/>
    <w:rsid w:val="008405DC"/>
    <w:rsid w:val="00840666"/>
    <w:rsid w:val="00840686"/>
    <w:rsid w:val="00840696"/>
    <w:rsid w:val="00840698"/>
    <w:rsid w:val="008406C2"/>
    <w:rsid w:val="008406E4"/>
    <w:rsid w:val="008406FB"/>
    <w:rsid w:val="00840710"/>
    <w:rsid w:val="0084072C"/>
    <w:rsid w:val="00840748"/>
    <w:rsid w:val="00840755"/>
    <w:rsid w:val="00840759"/>
    <w:rsid w:val="00840782"/>
    <w:rsid w:val="008407CC"/>
    <w:rsid w:val="008407DB"/>
    <w:rsid w:val="00840830"/>
    <w:rsid w:val="0084084B"/>
    <w:rsid w:val="00840899"/>
    <w:rsid w:val="0084089E"/>
    <w:rsid w:val="008408A1"/>
    <w:rsid w:val="008408B3"/>
    <w:rsid w:val="00840915"/>
    <w:rsid w:val="00840975"/>
    <w:rsid w:val="008409CC"/>
    <w:rsid w:val="008409E1"/>
    <w:rsid w:val="00840A33"/>
    <w:rsid w:val="00840A43"/>
    <w:rsid w:val="00840A81"/>
    <w:rsid w:val="00840AAD"/>
    <w:rsid w:val="00840AD4"/>
    <w:rsid w:val="00840B05"/>
    <w:rsid w:val="00840B3A"/>
    <w:rsid w:val="00840B41"/>
    <w:rsid w:val="00840B9D"/>
    <w:rsid w:val="00840BF2"/>
    <w:rsid w:val="00840C49"/>
    <w:rsid w:val="00840C53"/>
    <w:rsid w:val="00840C54"/>
    <w:rsid w:val="00840C7F"/>
    <w:rsid w:val="00840CB7"/>
    <w:rsid w:val="00840D02"/>
    <w:rsid w:val="00840D0D"/>
    <w:rsid w:val="00840D30"/>
    <w:rsid w:val="00840D6F"/>
    <w:rsid w:val="00840DA0"/>
    <w:rsid w:val="00840DB0"/>
    <w:rsid w:val="00840DBA"/>
    <w:rsid w:val="00840DCF"/>
    <w:rsid w:val="00840DD9"/>
    <w:rsid w:val="00840E10"/>
    <w:rsid w:val="00840E1D"/>
    <w:rsid w:val="00840E1E"/>
    <w:rsid w:val="00840E85"/>
    <w:rsid w:val="00840EA7"/>
    <w:rsid w:val="00840ED2"/>
    <w:rsid w:val="00840EEF"/>
    <w:rsid w:val="00840F1C"/>
    <w:rsid w:val="00840F2A"/>
    <w:rsid w:val="00840F43"/>
    <w:rsid w:val="00840F6C"/>
    <w:rsid w:val="00840F9B"/>
    <w:rsid w:val="00841082"/>
    <w:rsid w:val="00841085"/>
    <w:rsid w:val="00841095"/>
    <w:rsid w:val="008410A8"/>
    <w:rsid w:val="008410A9"/>
    <w:rsid w:val="008410AC"/>
    <w:rsid w:val="008410CA"/>
    <w:rsid w:val="008410FC"/>
    <w:rsid w:val="00841123"/>
    <w:rsid w:val="0084114F"/>
    <w:rsid w:val="00841153"/>
    <w:rsid w:val="008411A1"/>
    <w:rsid w:val="008411C7"/>
    <w:rsid w:val="008411D5"/>
    <w:rsid w:val="0084121A"/>
    <w:rsid w:val="00841231"/>
    <w:rsid w:val="00841264"/>
    <w:rsid w:val="00841269"/>
    <w:rsid w:val="00841305"/>
    <w:rsid w:val="0084137B"/>
    <w:rsid w:val="00841381"/>
    <w:rsid w:val="0084139B"/>
    <w:rsid w:val="008413AC"/>
    <w:rsid w:val="008413F1"/>
    <w:rsid w:val="008413FB"/>
    <w:rsid w:val="00841419"/>
    <w:rsid w:val="0084141D"/>
    <w:rsid w:val="00841427"/>
    <w:rsid w:val="00841433"/>
    <w:rsid w:val="00841438"/>
    <w:rsid w:val="00841451"/>
    <w:rsid w:val="0084145A"/>
    <w:rsid w:val="008414DF"/>
    <w:rsid w:val="008414F6"/>
    <w:rsid w:val="00841500"/>
    <w:rsid w:val="00841525"/>
    <w:rsid w:val="00841542"/>
    <w:rsid w:val="0084159E"/>
    <w:rsid w:val="008415E1"/>
    <w:rsid w:val="0084160B"/>
    <w:rsid w:val="00841617"/>
    <w:rsid w:val="0084162E"/>
    <w:rsid w:val="0084163B"/>
    <w:rsid w:val="00841662"/>
    <w:rsid w:val="008416B1"/>
    <w:rsid w:val="008416C1"/>
    <w:rsid w:val="00841713"/>
    <w:rsid w:val="00841739"/>
    <w:rsid w:val="00841762"/>
    <w:rsid w:val="0084176E"/>
    <w:rsid w:val="00841789"/>
    <w:rsid w:val="008417A9"/>
    <w:rsid w:val="008417AD"/>
    <w:rsid w:val="008417CB"/>
    <w:rsid w:val="00841801"/>
    <w:rsid w:val="00841842"/>
    <w:rsid w:val="00841852"/>
    <w:rsid w:val="00841856"/>
    <w:rsid w:val="0084188F"/>
    <w:rsid w:val="00841898"/>
    <w:rsid w:val="0084189C"/>
    <w:rsid w:val="008418AD"/>
    <w:rsid w:val="008418BD"/>
    <w:rsid w:val="008418C9"/>
    <w:rsid w:val="008418FC"/>
    <w:rsid w:val="0084194B"/>
    <w:rsid w:val="0084196A"/>
    <w:rsid w:val="00841971"/>
    <w:rsid w:val="008419BB"/>
    <w:rsid w:val="008419DA"/>
    <w:rsid w:val="00841A3E"/>
    <w:rsid w:val="00841A64"/>
    <w:rsid w:val="00841A8D"/>
    <w:rsid w:val="00841A92"/>
    <w:rsid w:val="00841AA7"/>
    <w:rsid w:val="00841AB5"/>
    <w:rsid w:val="00841ADC"/>
    <w:rsid w:val="00841B31"/>
    <w:rsid w:val="00841B4A"/>
    <w:rsid w:val="00841B91"/>
    <w:rsid w:val="00841BBB"/>
    <w:rsid w:val="00841CB6"/>
    <w:rsid w:val="00841CC2"/>
    <w:rsid w:val="00841D20"/>
    <w:rsid w:val="00841D57"/>
    <w:rsid w:val="00841D59"/>
    <w:rsid w:val="00841D92"/>
    <w:rsid w:val="00841DEF"/>
    <w:rsid w:val="00841E49"/>
    <w:rsid w:val="00841E94"/>
    <w:rsid w:val="00841ECA"/>
    <w:rsid w:val="00841ECD"/>
    <w:rsid w:val="00841F55"/>
    <w:rsid w:val="00841F5F"/>
    <w:rsid w:val="00841FB5"/>
    <w:rsid w:val="00841FD8"/>
    <w:rsid w:val="0084206F"/>
    <w:rsid w:val="008420F2"/>
    <w:rsid w:val="00842100"/>
    <w:rsid w:val="0084215B"/>
    <w:rsid w:val="00842190"/>
    <w:rsid w:val="008421A9"/>
    <w:rsid w:val="008421B3"/>
    <w:rsid w:val="008421CB"/>
    <w:rsid w:val="008421D9"/>
    <w:rsid w:val="00842213"/>
    <w:rsid w:val="00842275"/>
    <w:rsid w:val="0084227E"/>
    <w:rsid w:val="008422C5"/>
    <w:rsid w:val="00842318"/>
    <w:rsid w:val="0084231F"/>
    <w:rsid w:val="00842324"/>
    <w:rsid w:val="00842338"/>
    <w:rsid w:val="0084237A"/>
    <w:rsid w:val="00842385"/>
    <w:rsid w:val="0084238C"/>
    <w:rsid w:val="008423AE"/>
    <w:rsid w:val="008424A0"/>
    <w:rsid w:val="008424B7"/>
    <w:rsid w:val="00842576"/>
    <w:rsid w:val="00842578"/>
    <w:rsid w:val="0084257A"/>
    <w:rsid w:val="008425BB"/>
    <w:rsid w:val="008425FC"/>
    <w:rsid w:val="0084264D"/>
    <w:rsid w:val="0084264E"/>
    <w:rsid w:val="0084265D"/>
    <w:rsid w:val="00842671"/>
    <w:rsid w:val="008426BB"/>
    <w:rsid w:val="008426C8"/>
    <w:rsid w:val="0084270A"/>
    <w:rsid w:val="0084276A"/>
    <w:rsid w:val="0084278F"/>
    <w:rsid w:val="008427A0"/>
    <w:rsid w:val="008427BA"/>
    <w:rsid w:val="008427DA"/>
    <w:rsid w:val="00842859"/>
    <w:rsid w:val="0084288B"/>
    <w:rsid w:val="00842893"/>
    <w:rsid w:val="008428DD"/>
    <w:rsid w:val="008428E8"/>
    <w:rsid w:val="008428F0"/>
    <w:rsid w:val="008428F9"/>
    <w:rsid w:val="00842907"/>
    <w:rsid w:val="0084292C"/>
    <w:rsid w:val="0084296D"/>
    <w:rsid w:val="00842972"/>
    <w:rsid w:val="00842975"/>
    <w:rsid w:val="00842978"/>
    <w:rsid w:val="008429D1"/>
    <w:rsid w:val="008429DA"/>
    <w:rsid w:val="00842A23"/>
    <w:rsid w:val="00842AA6"/>
    <w:rsid w:val="00842AE1"/>
    <w:rsid w:val="00842AF0"/>
    <w:rsid w:val="00842B2D"/>
    <w:rsid w:val="00842B77"/>
    <w:rsid w:val="00842B93"/>
    <w:rsid w:val="00842BCF"/>
    <w:rsid w:val="00842BEE"/>
    <w:rsid w:val="00842C71"/>
    <w:rsid w:val="00842C77"/>
    <w:rsid w:val="00842CE4"/>
    <w:rsid w:val="00842D53"/>
    <w:rsid w:val="00842D7E"/>
    <w:rsid w:val="00842DAD"/>
    <w:rsid w:val="00842DF0"/>
    <w:rsid w:val="00842E1B"/>
    <w:rsid w:val="00842E55"/>
    <w:rsid w:val="00842E89"/>
    <w:rsid w:val="00842E93"/>
    <w:rsid w:val="00842EDF"/>
    <w:rsid w:val="00842EE5"/>
    <w:rsid w:val="00842F26"/>
    <w:rsid w:val="00842F2C"/>
    <w:rsid w:val="00842F3C"/>
    <w:rsid w:val="00842FA2"/>
    <w:rsid w:val="00842FA8"/>
    <w:rsid w:val="00842FA9"/>
    <w:rsid w:val="00842FD1"/>
    <w:rsid w:val="00842FEF"/>
    <w:rsid w:val="00842FF0"/>
    <w:rsid w:val="0084300B"/>
    <w:rsid w:val="0084302D"/>
    <w:rsid w:val="00843033"/>
    <w:rsid w:val="0084303B"/>
    <w:rsid w:val="00843040"/>
    <w:rsid w:val="00843055"/>
    <w:rsid w:val="00843063"/>
    <w:rsid w:val="008430B9"/>
    <w:rsid w:val="008430BA"/>
    <w:rsid w:val="008430BB"/>
    <w:rsid w:val="008430BE"/>
    <w:rsid w:val="0084311D"/>
    <w:rsid w:val="008431A4"/>
    <w:rsid w:val="008431D3"/>
    <w:rsid w:val="008431EC"/>
    <w:rsid w:val="00843277"/>
    <w:rsid w:val="00843288"/>
    <w:rsid w:val="00843293"/>
    <w:rsid w:val="008432C3"/>
    <w:rsid w:val="008432CD"/>
    <w:rsid w:val="008432E7"/>
    <w:rsid w:val="008432E8"/>
    <w:rsid w:val="00843314"/>
    <w:rsid w:val="00843318"/>
    <w:rsid w:val="00843336"/>
    <w:rsid w:val="00843346"/>
    <w:rsid w:val="00843362"/>
    <w:rsid w:val="00843370"/>
    <w:rsid w:val="0084339A"/>
    <w:rsid w:val="008433AF"/>
    <w:rsid w:val="008433CC"/>
    <w:rsid w:val="008433F1"/>
    <w:rsid w:val="00843438"/>
    <w:rsid w:val="0084348A"/>
    <w:rsid w:val="0084348F"/>
    <w:rsid w:val="008434B2"/>
    <w:rsid w:val="008434B5"/>
    <w:rsid w:val="008434C8"/>
    <w:rsid w:val="008434F9"/>
    <w:rsid w:val="008434FA"/>
    <w:rsid w:val="008434FF"/>
    <w:rsid w:val="00843502"/>
    <w:rsid w:val="00843558"/>
    <w:rsid w:val="00843598"/>
    <w:rsid w:val="0084365F"/>
    <w:rsid w:val="00843690"/>
    <w:rsid w:val="00843710"/>
    <w:rsid w:val="00843741"/>
    <w:rsid w:val="0084379F"/>
    <w:rsid w:val="008437B1"/>
    <w:rsid w:val="008437DA"/>
    <w:rsid w:val="008437F7"/>
    <w:rsid w:val="00843802"/>
    <w:rsid w:val="0084381B"/>
    <w:rsid w:val="008438A7"/>
    <w:rsid w:val="008438E3"/>
    <w:rsid w:val="008438F1"/>
    <w:rsid w:val="008438F7"/>
    <w:rsid w:val="0084393A"/>
    <w:rsid w:val="0084393B"/>
    <w:rsid w:val="0084396B"/>
    <w:rsid w:val="00843970"/>
    <w:rsid w:val="00843975"/>
    <w:rsid w:val="0084398A"/>
    <w:rsid w:val="008439ED"/>
    <w:rsid w:val="008439F4"/>
    <w:rsid w:val="00843A08"/>
    <w:rsid w:val="00843A32"/>
    <w:rsid w:val="00843A47"/>
    <w:rsid w:val="00843A9E"/>
    <w:rsid w:val="00843AEA"/>
    <w:rsid w:val="00843AEC"/>
    <w:rsid w:val="00843B41"/>
    <w:rsid w:val="00843B6B"/>
    <w:rsid w:val="00843B82"/>
    <w:rsid w:val="00843B93"/>
    <w:rsid w:val="00843BB4"/>
    <w:rsid w:val="00843BC1"/>
    <w:rsid w:val="00843BDC"/>
    <w:rsid w:val="00843C1C"/>
    <w:rsid w:val="00843C2F"/>
    <w:rsid w:val="00843C39"/>
    <w:rsid w:val="00843C54"/>
    <w:rsid w:val="00843CA7"/>
    <w:rsid w:val="00843CBC"/>
    <w:rsid w:val="00843CCB"/>
    <w:rsid w:val="00843D43"/>
    <w:rsid w:val="00843D63"/>
    <w:rsid w:val="00843D77"/>
    <w:rsid w:val="00843D88"/>
    <w:rsid w:val="00843DA3"/>
    <w:rsid w:val="00843E77"/>
    <w:rsid w:val="00843E84"/>
    <w:rsid w:val="00843F3F"/>
    <w:rsid w:val="00843F53"/>
    <w:rsid w:val="00843F59"/>
    <w:rsid w:val="00843F84"/>
    <w:rsid w:val="00843FC3"/>
    <w:rsid w:val="00843FC9"/>
    <w:rsid w:val="00844037"/>
    <w:rsid w:val="0084404E"/>
    <w:rsid w:val="00844057"/>
    <w:rsid w:val="00844082"/>
    <w:rsid w:val="008440B4"/>
    <w:rsid w:val="008440C7"/>
    <w:rsid w:val="008440D1"/>
    <w:rsid w:val="00844126"/>
    <w:rsid w:val="00844135"/>
    <w:rsid w:val="00844165"/>
    <w:rsid w:val="00844167"/>
    <w:rsid w:val="0084416D"/>
    <w:rsid w:val="00844170"/>
    <w:rsid w:val="00844195"/>
    <w:rsid w:val="008441FE"/>
    <w:rsid w:val="0084431B"/>
    <w:rsid w:val="00844351"/>
    <w:rsid w:val="00844389"/>
    <w:rsid w:val="008443AB"/>
    <w:rsid w:val="008443B5"/>
    <w:rsid w:val="008443D1"/>
    <w:rsid w:val="008443E4"/>
    <w:rsid w:val="008444F1"/>
    <w:rsid w:val="0084451D"/>
    <w:rsid w:val="0084454A"/>
    <w:rsid w:val="0084456A"/>
    <w:rsid w:val="00844595"/>
    <w:rsid w:val="008445B6"/>
    <w:rsid w:val="008445CD"/>
    <w:rsid w:val="008445D2"/>
    <w:rsid w:val="0084463E"/>
    <w:rsid w:val="00844644"/>
    <w:rsid w:val="0084465D"/>
    <w:rsid w:val="00844664"/>
    <w:rsid w:val="00844690"/>
    <w:rsid w:val="008446C6"/>
    <w:rsid w:val="008446D4"/>
    <w:rsid w:val="008446FF"/>
    <w:rsid w:val="00844726"/>
    <w:rsid w:val="00844750"/>
    <w:rsid w:val="00844752"/>
    <w:rsid w:val="00844765"/>
    <w:rsid w:val="008447A9"/>
    <w:rsid w:val="008447B5"/>
    <w:rsid w:val="008447BB"/>
    <w:rsid w:val="008447FD"/>
    <w:rsid w:val="00844844"/>
    <w:rsid w:val="0084487A"/>
    <w:rsid w:val="0084489A"/>
    <w:rsid w:val="008448AB"/>
    <w:rsid w:val="0084492D"/>
    <w:rsid w:val="0084498D"/>
    <w:rsid w:val="008449D5"/>
    <w:rsid w:val="008449E1"/>
    <w:rsid w:val="008449EF"/>
    <w:rsid w:val="00844A03"/>
    <w:rsid w:val="00844A85"/>
    <w:rsid w:val="00844AA0"/>
    <w:rsid w:val="00844ABA"/>
    <w:rsid w:val="00844ACD"/>
    <w:rsid w:val="00844ADE"/>
    <w:rsid w:val="00844AFC"/>
    <w:rsid w:val="00844B24"/>
    <w:rsid w:val="00844B65"/>
    <w:rsid w:val="00844B74"/>
    <w:rsid w:val="00844BC5"/>
    <w:rsid w:val="00844BED"/>
    <w:rsid w:val="00844C19"/>
    <w:rsid w:val="00844C8A"/>
    <w:rsid w:val="00844C97"/>
    <w:rsid w:val="00844C9E"/>
    <w:rsid w:val="00844CAF"/>
    <w:rsid w:val="00844CB6"/>
    <w:rsid w:val="00844CC1"/>
    <w:rsid w:val="00844CC2"/>
    <w:rsid w:val="00844CD8"/>
    <w:rsid w:val="00844D0E"/>
    <w:rsid w:val="00844D4E"/>
    <w:rsid w:val="00844DD3"/>
    <w:rsid w:val="00844DE9"/>
    <w:rsid w:val="00844DEE"/>
    <w:rsid w:val="00844DFF"/>
    <w:rsid w:val="00844E14"/>
    <w:rsid w:val="00844E44"/>
    <w:rsid w:val="00844E9F"/>
    <w:rsid w:val="00844EA4"/>
    <w:rsid w:val="00844EBA"/>
    <w:rsid w:val="00844F27"/>
    <w:rsid w:val="00844F35"/>
    <w:rsid w:val="00844F3D"/>
    <w:rsid w:val="00844FC3"/>
    <w:rsid w:val="00844FF6"/>
    <w:rsid w:val="0084501D"/>
    <w:rsid w:val="00845099"/>
    <w:rsid w:val="008450D1"/>
    <w:rsid w:val="008450E6"/>
    <w:rsid w:val="008450EA"/>
    <w:rsid w:val="008450EC"/>
    <w:rsid w:val="008450F4"/>
    <w:rsid w:val="00845102"/>
    <w:rsid w:val="00845109"/>
    <w:rsid w:val="00845166"/>
    <w:rsid w:val="00845175"/>
    <w:rsid w:val="00845185"/>
    <w:rsid w:val="00845186"/>
    <w:rsid w:val="008451D0"/>
    <w:rsid w:val="008451D1"/>
    <w:rsid w:val="008451F9"/>
    <w:rsid w:val="00845224"/>
    <w:rsid w:val="00845271"/>
    <w:rsid w:val="008452C3"/>
    <w:rsid w:val="008452EB"/>
    <w:rsid w:val="0084533C"/>
    <w:rsid w:val="0084534C"/>
    <w:rsid w:val="0084536E"/>
    <w:rsid w:val="00845374"/>
    <w:rsid w:val="008453AA"/>
    <w:rsid w:val="008453AD"/>
    <w:rsid w:val="008453BC"/>
    <w:rsid w:val="008453D7"/>
    <w:rsid w:val="00845434"/>
    <w:rsid w:val="00845436"/>
    <w:rsid w:val="008454A2"/>
    <w:rsid w:val="008454A8"/>
    <w:rsid w:val="008454B6"/>
    <w:rsid w:val="008454C0"/>
    <w:rsid w:val="008454C6"/>
    <w:rsid w:val="00845512"/>
    <w:rsid w:val="00845515"/>
    <w:rsid w:val="0084551C"/>
    <w:rsid w:val="00845525"/>
    <w:rsid w:val="0084554B"/>
    <w:rsid w:val="0084559B"/>
    <w:rsid w:val="008455CE"/>
    <w:rsid w:val="008455EF"/>
    <w:rsid w:val="008455F6"/>
    <w:rsid w:val="00845610"/>
    <w:rsid w:val="00845643"/>
    <w:rsid w:val="0084564C"/>
    <w:rsid w:val="00845681"/>
    <w:rsid w:val="00845685"/>
    <w:rsid w:val="0084568E"/>
    <w:rsid w:val="008456A7"/>
    <w:rsid w:val="008456ED"/>
    <w:rsid w:val="008456F2"/>
    <w:rsid w:val="00845721"/>
    <w:rsid w:val="00845726"/>
    <w:rsid w:val="00845759"/>
    <w:rsid w:val="008457C0"/>
    <w:rsid w:val="008457CF"/>
    <w:rsid w:val="00845824"/>
    <w:rsid w:val="00845842"/>
    <w:rsid w:val="00845873"/>
    <w:rsid w:val="00845895"/>
    <w:rsid w:val="008458CB"/>
    <w:rsid w:val="008458E3"/>
    <w:rsid w:val="0084591A"/>
    <w:rsid w:val="00845935"/>
    <w:rsid w:val="00845942"/>
    <w:rsid w:val="0084595C"/>
    <w:rsid w:val="00845963"/>
    <w:rsid w:val="008459A9"/>
    <w:rsid w:val="008459D7"/>
    <w:rsid w:val="00845A0A"/>
    <w:rsid w:val="00845A20"/>
    <w:rsid w:val="00845A5F"/>
    <w:rsid w:val="00845A65"/>
    <w:rsid w:val="00845A6A"/>
    <w:rsid w:val="00845A6D"/>
    <w:rsid w:val="00845AB0"/>
    <w:rsid w:val="00845AC5"/>
    <w:rsid w:val="00845AF1"/>
    <w:rsid w:val="00845AFA"/>
    <w:rsid w:val="00845B66"/>
    <w:rsid w:val="00845B83"/>
    <w:rsid w:val="00845BA6"/>
    <w:rsid w:val="00845BDC"/>
    <w:rsid w:val="00845BE6"/>
    <w:rsid w:val="00845BED"/>
    <w:rsid w:val="00845C4B"/>
    <w:rsid w:val="00845C66"/>
    <w:rsid w:val="00845C94"/>
    <w:rsid w:val="00845CA5"/>
    <w:rsid w:val="00845CA8"/>
    <w:rsid w:val="00845CC5"/>
    <w:rsid w:val="00845CC6"/>
    <w:rsid w:val="00845D08"/>
    <w:rsid w:val="00845D0D"/>
    <w:rsid w:val="00845D17"/>
    <w:rsid w:val="00845D2B"/>
    <w:rsid w:val="00845D3C"/>
    <w:rsid w:val="00845D49"/>
    <w:rsid w:val="00845D97"/>
    <w:rsid w:val="00845DB6"/>
    <w:rsid w:val="00845DD7"/>
    <w:rsid w:val="00845E0B"/>
    <w:rsid w:val="00845E29"/>
    <w:rsid w:val="00845E49"/>
    <w:rsid w:val="00845E58"/>
    <w:rsid w:val="00845EA3"/>
    <w:rsid w:val="00845EE0"/>
    <w:rsid w:val="00845F0E"/>
    <w:rsid w:val="00845F5E"/>
    <w:rsid w:val="00845F93"/>
    <w:rsid w:val="00845FE9"/>
    <w:rsid w:val="00846028"/>
    <w:rsid w:val="0084603D"/>
    <w:rsid w:val="00846069"/>
    <w:rsid w:val="00846085"/>
    <w:rsid w:val="0084609F"/>
    <w:rsid w:val="008460AD"/>
    <w:rsid w:val="0084610E"/>
    <w:rsid w:val="0084611B"/>
    <w:rsid w:val="00846120"/>
    <w:rsid w:val="00846146"/>
    <w:rsid w:val="0084614D"/>
    <w:rsid w:val="0084614E"/>
    <w:rsid w:val="008461EC"/>
    <w:rsid w:val="0084620F"/>
    <w:rsid w:val="00846216"/>
    <w:rsid w:val="0084624E"/>
    <w:rsid w:val="0084625C"/>
    <w:rsid w:val="00846263"/>
    <w:rsid w:val="00846281"/>
    <w:rsid w:val="008462C0"/>
    <w:rsid w:val="008462DA"/>
    <w:rsid w:val="008462F7"/>
    <w:rsid w:val="0084632B"/>
    <w:rsid w:val="00846335"/>
    <w:rsid w:val="00846341"/>
    <w:rsid w:val="008463A2"/>
    <w:rsid w:val="008463C7"/>
    <w:rsid w:val="00846431"/>
    <w:rsid w:val="00846447"/>
    <w:rsid w:val="0084646D"/>
    <w:rsid w:val="00846470"/>
    <w:rsid w:val="00846480"/>
    <w:rsid w:val="00846498"/>
    <w:rsid w:val="008464C7"/>
    <w:rsid w:val="008464CB"/>
    <w:rsid w:val="00846538"/>
    <w:rsid w:val="008465B4"/>
    <w:rsid w:val="008465CE"/>
    <w:rsid w:val="0084661D"/>
    <w:rsid w:val="00846669"/>
    <w:rsid w:val="00846698"/>
    <w:rsid w:val="008466DE"/>
    <w:rsid w:val="008466E3"/>
    <w:rsid w:val="0084677A"/>
    <w:rsid w:val="00846783"/>
    <w:rsid w:val="00846794"/>
    <w:rsid w:val="008467C3"/>
    <w:rsid w:val="008467F5"/>
    <w:rsid w:val="0084687F"/>
    <w:rsid w:val="008468A5"/>
    <w:rsid w:val="00846900"/>
    <w:rsid w:val="00846914"/>
    <w:rsid w:val="00846916"/>
    <w:rsid w:val="0084695B"/>
    <w:rsid w:val="00846970"/>
    <w:rsid w:val="00846973"/>
    <w:rsid w:val="00846980"/>
    <w:rsid w:val="0084699F"/>
    <w:rsid w:val="008469DE"/>
    <w:rsid w:val="00846A5D"/>
    <w:rsid w:val="00846A66"/>
    <w:rsid w:val="00846A6D"/>
    <w:rsid w:val="00846A80"/>
    <w:rsid w:val="00846A92"/>
    <w:rsid w:val="00846AF0"/>
    <w:rsid w:val="00846B0B"/>
    <w:rsid w:val="00846B12"/>
    <w:rsid w:val="00846B19"/>
    <w:rsid w:val="00846B30"/>
    <w:rsid w:val="00846B46"/>
    <w:rsid w:val="00846B91"/>
    <w:rsid w:val="00846BA0"/>
    <w:rsid w:val="00846BA8"/>
    <w:rsid w:val="00846BCE"/>
    <w:rsid w:val="00846BD2"/>
    <w:rsid w:val="00846BE9"/>
    <w:rsid w:val="00846BF4"/>
    <w:rsid w:val="00846C19"/>
    <w:rsid w:val="00846C30"/>
    <w:rsid w:val="00846CB1"/>
    <w:rsid w:val="00846CE7"/>
    <w:rsid w:val="00846D0E"/>
    <w:rsid w:val="00846D3B"/>
    <w:rsid w:val="00846D49"/>
    <w:rsid w:val="00846D4B"/>
    <w:rsid w:val="00846DB9"/>
    <w:rsid w:val="00846E0D"/>
    <w:rsid w:val="00846E16"/>
    <w:rsid w:val="00846E3D"/>
    <w:rsid w:val="00846E3F"/>
    <w:rsid w:val="00846E60"/>
    <w:rsid w:val="00846E66"/>
    <w:rsid w:val="00846E9D"/>
    <w:rsid w:val="00846EDF"/>
    <w:rsid w:val="00846EF9"/>
    <w:rsid w:val="00846F0A"/>
    <w:rsid w:val="00846F13"/>
    <w:rsid w:val="00846F16"/>
    <w:rsid w:val="00846F4F"/>
    <w:rsid w:val="00846F5B"/>
    <w:rsid w:val="0084700C"/>
    <w:rsid w:val="0084701E"/>
    <w:rsid w:val="00847099"/>
    <w:rsid w:val="008470CA"/>
    <w:rsid w:val="008470DA"/>
    <w:rsid w:val="008470E9"/>
    <w:rsid w:val="00847104"/>
    <w:rsid w:val="00847115"/>
    <w:rsid w:val="0084715C"/>
    <w:rsid w:val="00847165"/>
    <w:rsid w:val="0084716F"/>
    <w:rsid w:val="008471A2"/>
    <w:rsid w:val="008471C5"/>
    <w:rsid w:val="008471C8"/>
    <w:rsid w:val="008471C9"/>
    <w:rsid w:val="008471FA"/>
    <w:rsid w:val="00847251"/>
    <w:rsid w:val="00847269"/>
    <w:rsid w:val="0084726A"/>
    <w:rsid w:val="00847293"/>
    <w:rsid w:val="008472D8"/>
    <w:rsid w:val="0084730B"/>
    <w:rsid w:val="0084731B"/>
    <w:rsid w:val="00847327"/>
    <w:rsid w:val="00847376"/>
    <w:rsid w:val="008473BD"/>
    <w:rsid w:val="00847437"/>
    <w:rsid w:val="00847465"/>
    <w:rsid w:val="00847468"/>
    <w:rsid w:val="0084748F"/>
    <w:rsid w:val="008474CB"/>
    <w:rsid w:val="008474CE"/>
    <w:rsid w:val="008474D6"/>
    <w:rsid w:val="008474DC"/>
    <w:rsid w:val="008474F0"/>
    <w:rsid w:val="0084750A"/>
    <w:rsid w:val="0084751D"/>
    <w:rsid w:val="00847563"/>
    <w:rsid w:val="008475CE"/>
    <w:rsid w:val="008475DD"/>
    <w:rsid w:val="008475E0"/>
    <w:rsid w:val="008475EF"/>
    <w:rsid w:val="008475FE"/>
    <w:rsid w:val="00847636"/>
    <w:rsid w:val="00847659"/>
    <w:rsid w:val="0084765E"/>
    <w:rsid w:val="0084766F"/>
    <w:rsid w:val="00847671"/>
    <w:rsid w:val="0084768C"/>
    <w:rsid w:val="008476A8"/>
    <w:rsid w:val="008476AA"/>
    <w:rsid w:val="00847706"/>
    <w:rsid w:val="00847746"/>
    <w:rsid w:val="00847753"/>
    <w:rsid w:val="0084778B"/>
    <w:rsid w:val="008477B0"/>
    <w:rsid w:val="008477D8"/>
    <w:rsid w:val="0084784B"/>
    <w:rsid w:val="0084784C"/>
    <w:rsid w:val="00847852"/>
    <w:rsid w:val="00847854"/>
    <w:rsid w:val="0084786F"/>
    <w:rsid w:val="00847873"/>
    <w:rsid w:val="0084789E"/>
    <w:rsid w:val="00847914"/>
    <w:rsid w:val="00847931"/>
    <w:rsid w:val="00847946"/>
    <w:rsid w:val="0084794E"/>
    <w:rsid w:val="0084797B"/>
    <w:rsid w:val="00847991"/>
    <w:rsid w:val="00847998"/>
    <w:rsid w:val="008479C9"/>
    <w:rsid w:val="008479D3"/>
    <w:rsid w:val="008479EF"/>
    <w:rsid w:val="008479FA"/>
    <w:rsid w:val="00847A07"/>
    <w:rsid w:val="00847A64"/>
    <w:rsid w:val="00847A89"/>
    <w:rsid w:val="00847A9B"/>
    <w:rsid w:val="00847AA8"/>
    <w:rsid w:val="00847ABD"/>
    <w:rsid w:val="00847AC8"/>
    <w:rsid w:val="00847AD3"/>
    <w:rsid w:val="00847AD7"/>
    <w:rsid w:val="00847B09"/>
    <w:rsid w:val="00847B48"/>
    <w:rsid w:val="00847B86"/>
    <w:rsid w:val="00847B9A"/>
    <w:rsid w:val="00847BFD"/>
    <w:rsid w:val="00847BFF"/>
    <w:rsid w:val="00847C02"/>
    <w:rsid w:val="00847C25"/>
    <w:rsid w:val="00847C2A"/>
    <w:rsid w:val="00847C72"/>
    <w:rsid w:val="00847C7A"/>
    <w:rsid w:val="00847CB5"/>
    <w:rsid w:val="00847CEC"/>
    <w:rsid w:val="00847D0E"/>
    <w:rsid w:val="00847D2B"/>
    <w:rsid w:val="00847D44"/>
    <w:rsid w:val="00847D94"/>
    <w:rsid w:val="00847DD3"/>
    <w:rsid w:val="00847DFD"/>
    <w:rsid w:val="00847E1E"/>
    <w:rsid w:val="00847E24"/>
    <w:rsid w:val="00847E39"/>
    <w:rsid w:val="00847E5A"/>
    <w:rsid w:val="00847ECB"/>
    <w:rsid w:val="00847F05"/>
    <w:rsid w:val="00847F19"/>
    <w:rsid w:val="00847F61"/>
    <w:rsid w:val="00847F84"/>
    <w:rsid w:val="00847F8F"/>
    <w:rsid w:val="00847FA2"/>
    <w:rsid w:val="0085000C"/>
    <w:rsid w:val="00850013"/>
    <w:rsid w:val="00850054"/>
    <w:rsid w:val="00850073"/>
    <w:rsid w:val="00850094"/>
    <w:rsid w:val="00850098"/>
    <w:rsid w:val="008500F4"/>
    <w:rsid w:val="00850111"/>
    <w:rsid w:val="0085017C"/>
    <w:rsid w:val="008501B9"/>
    <w:rsid w:val="008501C9"/>
    <w:rsid w:val="0085021E"/>
    <w:rsid w:val="00850243"/>
    <w:rsid w:val="0085025E"/>
    <w:rsid w:val="00850265"/>
    <w:rsid w:val="00850267"/>
    <w:rsid w:val="00850299"/>
    <w:rsid w:val="008502B7"/>
    <w:rsid w:val="008502E4"/>
    <w:rsid w:val="00850300"/>
    <w:rsid w:val="0085030B"/>
    <w:rsid w:val="00850318"/>
    <w:rsid w:val="00850332"/>
    <w:rsid w:val="00850336"/>
    <w:rsid w:val="00850387"/>
    <w:rsid w:val="008503F4"/>
    <w:rsid w:val="00850432"/>
    <w:rsid w:val="00850458"/>
    <w:rsid w:val="0085046E"/>
    <w:rsid w:val="0085049C"/>
    <w:rsid w:val="008504CD"/>
    <w:rsid w:val="008504D0"/>
    <w:rsid w:val="00850517"/>
    <w:rsid w:val="0085052C"/>
    <w:rsid w:val="0085054D"/>
    <w:rsid w:val="0085057D"/>
    <w:rsid w:val="008505AB"/>
    <w:rsid w:val="008505CB"/>
    <w:rsid w:val="008505DD"/>
    <w:rsid w:val="0085066C"/>
    <w:rsid w:val="0085068B"/>
    <w:rsid w:val="008506E9"/>
    <w:rsid w:val="00850762"/>
    <w:rsid w:val="008507BC"/>
    <w:rsid w:val="008507D5"/>
    <w:rsid w:val="008507DF"/>
    <w:rsid w:val="008507ED"/>
    <w:rsid w:val="0085080E"/>
    <w:rsid w:val="00850839"/>
    <w:rsid w:val="0085084E"/>
    <w:rsid w:val="00850948"/>
    <w:rsid w:val="00850986"/>
    <w:rsid w:val="008509AD"/>
    <w:rsid w:val="008509B5"/>
    <w:rsid w:val="008509F4"/>
    <w:rsid w:val="00850A42"/>
    <w:rsid w:val="00850A71"/>
    <w:rsid w:val="00850A9C"/>
    <w:rsid w:val="00850ABE"/>
    <w:rsid w:val="00850AD3"/>
    <w:rsid w:val="00850B1D"/>
    <w:rsid w:val="00850B54"/>
    <w:rsid w:val="00850B7E"/>
    <w:rsid w:val="00850BB4"/>
    <w:rsid w:val="00850BCF"/>
    <w:rsid w:val="00850BD6"/>
    <w:rsid w:val="00850C00"/>
    <w:rsid w:val="00850C46"/>
    <w:rsid w:val="00850C4A"/>
    <w:rsid w:val="00850C51"/>
    <w:rsid w:val="00850C9D"/>
    <w:rsid w:val="00850CBC"/>
    <w:rsid w:val="00850CD7"/>
    <w:rsid w:val="00850CE6"/>
    <w:rsid w:val="00850CEF"/>
    <w:rsid w:val="00850D22"/>
    <w:rsid w:val="00850D6C"/>
    <w:rsid w:val="00850D72"/>
    <w:rsid w:val="00850DB1"/>
    <w:rsid w:val="00850DFF"/>
    <w:rsid w:val="00850E04"/>
    <w:rsid w:val="00850E42"/>
    <w:rsid w:val="00850EC2"/>
    <w:rsid w:val="00850F53"/>
    <w:rsid w:val="00850F9C"/>
    <w:rsid w:val="00850FDB"/>
    <w:rsid w:val="0085104C"/>
    <w:rsid w:val="00851066"/>
    <w:rsid w:val="00851078"/>
    <w:rsid w:val="008510C2"/>
    <w:rsid w:val="008510D3"/>
    <w:rsid w:val="00851169"/>
    <w:rsid w:val="00851170"/>
    <w:rsid w:val="00851246"/>
    <w:rsid w:val="00851250"/>
    <w:rsid w:val="00851261"/>
    <w:rsid w:val="0085127C"/>
    <w:rsid w:val="008512DA"/>
    <w:rsid w:val="00851315"/>
    <w:rsid w:val="0085133C"/>
    <w:rsid w:val="00851364"/>
    <w:rsid w:val="0085138C"/>
    <w:rsid w:val="00851390"/>
    <w:rsid w:val="008513BD"/>
    <w:rsid w:val="008513F8"/>
    <w:rsid w:val="0085140D"/>
    <w:rsid w:val="00851460"/>
    <w:rsid w:val="00851494"/>
    <w:rsid w:val="0085149A"/>
    <w:rsid w:val="008514B3"/>
    <w:rsid w:val="008515D9"/>
    <w:rsid w:val="008515DE"/>
    <w:rsid w:val="00851673"/>
    <w:rsid w:val="0085169E"/>
    <w:rsid w:val="008516A2"/>
    <w:rsid w:val="008516D0"/>
    <w:rsid w:val="00851709"/>
    <w:rsid w:val="00851763"/>
    <w:rsid w:val="008517D1"/>
    <w:rsid w:val="008517FE"/>
    <w:rsid w:val="00851809"/>
    <w:rsid w:val="00851855"/>
    <w:rsid w:val="00851892"/>
    <w:rsid w:val="008518B5"/>
    <w:rsid w:val="00851904"/>
    <w:rsid w:val="00851917"/>
    <w:rsid w:val="008519AD"/>
    <w:rsid w:val="008519B2"/>
    <w:rsid w:val="008519F7"/>
    <w:rsid w:val="008519FC"/>
    <w:rsid w:val="00851A6D"/>
    <w:rsid w:val="00851A71"/>
    <w:rsid w:val="00851A80"/>
    <w:rsid w:val="00851A89"/>
    <w:rsid w:val="00851A8C"/>
    <w:rsid w:val="00851AA7"/>
    <w:rsid w:val="00851ACC"/>
    <w:rsid w:val="00851B12"/>
    <w:rsid w:val="00851B38"/>
    <w:rsid w:val="00851B3A"/>
    <w:rsid w:val="00851B66"/>
    <w:rsid w:val="00851B8A"/>
    <w:rsid w:val="00851BBA"/>
    <w:rsid w:val="00851C15"/>
    <w:rsid w:val="00851C93"/>
    <w:rsid w:val="00851C9E"/>
    <w:rsid w:val="00851CF3"/>
    <w:rsid w:val="00851D2A"/>
    <w:rsid w:val="00851D78"/>
    <w:rsid w:val="00851D83"/>
    <w:rsid w:val="00851D8B"/>
    <w:rsid w:val="00851DB4"/>
    <w:rsid w:val="00851DD5"/>
    <w:rsid w:val="00851DD6"/>
    <w:rsid w:val="00851DD9"/>
    <w:rsid w:val="00851DE0"/>
    <w:rsid w:val="00851E29"/>
    <w:rsid w:val="00851E37"/>
    <w:rsid w:val="00851E42"/>
    <w:rsid w:val="00851E6A"/>
    <w:rsid w:val="00851E76"/>
    <w:rsid w:val="00851E98"/>
    <w:rsid w:val="00851EC3"/>
    <w:rsid w:val="00851EE6"/>
    <w:rsid w:val="00851F2E"/>
    <w:rsid w:val="00851F40"/>
    <w:rsid w:val="00851F42"/>
    <w:rsid w:val="00851F61"/>
    <w:rsid w:val="00851F6B"/>
    <w:rsid w:val="00851FC7"/>
    <w:rsid w:val="00851FD2"/>
    <w:rsid w:val="00851FE8"/>
    <w:rsid w:val="00852010"/>
    <w:rsid w:val="00852016"/>
    <w:rsid w:val="0085203C"/>
    <w:rsid w:val="00852043"/>
    <w:rsid w:val="0085206B"/>
    <w:rsid w:val="00852081"/>
    <w:rsid w:val="008520D6"/>
    <w:rsid w:val="008520EF"/>
    <w:rsid w:val="008521A8"/>
    <w:rsid w:val="00852204"/>
    <w:rsid w:val="00852223"/>
    <w:rsid w:val="0085222B"/>
    <w:rsid w:val="0085223A"/>
    <w:rsid w:val="00852244"/>
    <w:rsid w:val="00852282"/>
    <w:rsid w:val="0085228B"/>
    <w:rsid w:val="00852342"/>
    <w:rsid w:val="00852377"/>
    <w:rsid w:val="0085237E"/>
    <w:rsid w:val="00852388"/>
    <w:rsid w:val="008523E7"/>
    <w:rsid w:val="00852401"/>
    <w:rsid w:val="0085245A"/>
    <w:rsid w:val="0085245B"/>
    <w:rsid w:val="00852465"/>
    <w:rsid w:val="008524AB"/>
    <w:rsid w:val="008524C0"/>
    <w:rsid w:val="008524E2"/>
    <w:rsid w:val="00852515"/>
    <w:rsid w:val="00852559"/>
    <w:rsid w:val="00852583"/>
    <w:rsid w:val="0085259F"/>
    <w:rsid w:val="008525EA"/>
    <w:rsid w:val="00852627"/>
    <w:rsid w:val="00852628"/>
    <w:rsid w:val="008526D6"/>
    <w:rsid w:val="008526DE"/>
    <w:rsid w:val="008526EB"/>
    <w:rsid w:val="008526EC"/>
    <w:rsid w:val="00852709"/>
    <w:rsid w:val="00852739"/>
    <w:rsid w:val="00852753"/>
    <w:rsid w:val="0085276F"/>
    <w:rsid w:val="0085279B"/>
    <w:rsid w:val="00852808"/>
    <w:rsid w:val="0085281C"/>
    <w:rsid w:val="00852858"/>
    <w:rsid w:val="00852879"/>
    <w:rsid w:val="0085288E"/>
    <w:rsid w:val="008528A6"/>
    <w:rsid w:val="008528B9"/>
    <w:rsid w:val="008528DC"/>
    <w:rsid w:val="008528ED"/>
    <w:rsid w:val="00852916"/>
    <w:rsid w:val="0085292F"/>
    <w:rsid w:val="00852963"/>
    <w:rsid w:val="00852988"/>
    <w:rsid w:val="008529AE"/>
    <w:rsid w:val="008529FB"/>
    <w:rsid w:val="00852A3B"/>
    <w:rsid w:val="00852A55"/>
    <w:rsid w:val="00852A59"/>
    <w:rsid w:val="00852A62"/>
    <w:rsid w:val="00852A9D"/>
    <w:rsid w:val="00852AA6"/>
    <w:rsid w:val="00852AD2"/>
    <w:rsid w:val="00852AF3"/>
    <w:rsid w:val="00852AFC"/>
    <w:rsid w:val="00852B11"/>
    <w:rsid w:val="00852B75"/>
    <w:rsid w:val="00852B90"/>
    <w:rsid w:val="00852BBC"/>
    <w:rsid w:val="00852C35"/>
    <w:rsid w:val="00852C59"/>
    <w:rsid w:val="00852C66"/>
    <w:rsid w:val="00852CD7"/>
    <w:rsid w:val="00852D40"/>
    <w:rsid w:val="00852D43"/>
    <w:rsid w:val="00852D4D"/>
    <w:rsid w:val="00852D6C"/>
    <w:rsid w:val="00852D7A"/>
    <w:rsid w:val="00852E01"/>
    <w:rsid w:val="00852E19"/>
    <w:rsid w:val="00852E3D"/>
    <w:rsid w:val="00852E46"/>
    <w:rsid w:val="00852E49"/>
    <w:rsid w:val="00852E60"/>
    <w:rsid w:val="00852E6D"/>
    <w:rsid w:val="00852EF7"/>
    <w:rsid w:val="00852F2E"/>
    <w:rsid w:val="00852F4F"/>
    <w:rsid w:val="00852F78"/>
    <w:rsid w:val="00852F7F"/>
    <w:rsid w:val="00852FAA"/>
    <w:rsid w:val="00852FF8"/>
    <w:rsid w:val="00853004"/>
    <w:rsid w:val="00853052"/>
    <w:rsid w:val="00853068"/>
    <w:rsid w:val="00853079"/>
    <w:rsid w:val="00853091"/>
    <w:rsid w:val="0085309D"/>
    <w:rsid w:val="008530DC"/>
    <w:rsid w:val="0085311B"/>
    <w:rsid w:val="00853129"/>
    <w:rsid w:val="0085313D"/>
    <w:rsid w:val="00853146"/>
    <w:rsid w:val="008531EE"/>
    <w:rsid w:val="0085320E"/>
    <w:rsid w:val="00853249"/>
    <w:rsid w:val="00853257"/>
    <w:rsid w:val="00853262"/>
    <w:rsid w:val="0085327D"/>
    <w:rsid w:val="008532A4"/>
    <w:rsid w:val="008532A7"/>
    <w:rsid w:val="008532D1"/>
    <w:rsid w:val="008532D4"/>
    <w:rsid w:val="008532D8"/>
    <w:rsid w:val="008532FD"/>
    <w:rsid w:val="00853302"/>
    <w:rsid w:val="0085330E"/>
    <w:rsid w:val="0085331F"/>
    <w:rsid w:val="00853335"/>
    <w:rsid w:val="00853369"/>
    <w:rsid w:val="008533C8"/>
    <w:rsid w:val="008533EA"/>
    <w:rsid w:val="008533F3"/>
    <w:rsid w:val="0085340E"/>
    <w:rsid w:val="00853415"/>
    <w:rsid w:val="00853422"/>
    <w:rsid w:val="0085346C"/>
    <w:rsid w:val="00853478"/>
    <w:rsid w:val="008534BC"/>
    <w:rsid w:val="008534DC"/>
    <w:rsid w:val="008534F6"/>
    <w:rsid w:val="00853501"/>
    <w:rsid w:val="00853544"/>
    <w:rsid w:val="00853566"/>
    <w:rsid w:val="00853573"/>
    <w:rsid w:val="0085358A"/>
    <w:rsid w:val="008535C5"/>
    <w:rsid w:val="008535EE"/>
    <w:rsid w:val="008535F4"/>
    <w:rsid w:val="008535FC"/>
    <w:rsid w:val="0085364A"/>
    <w:rsid w:val="0085364B"/>
    <w:rsid w:val="008536AF"/>
    <w:rsid w:val="008536B0"/>
    <w:rsid w:val="008536C0"/>
    <w:rsid w:val="0085370A"/>
    <w:rsid w:val="00853713"/>
    <w:rsid w:val="00853747"/>
    <w:rsid w:val="00853765"/>
    <w:rsid w:val="00853798"/>
    <w:rsid w:val="008537A1"/>
    <w:rsid w:val="0085380E"/>
    <w:rsid w:val="00853818"/>
    <w:rsid w:val="00853831"/>
    <w:rsid w:val="00853841"/>
    <w:rsid w:val="008538FA"/>
    <w:rsid w:val="00853901"/>
    <w:rsid w:val="00853928"/>
    <w:rsid w:val="00853929"/>
    <w:rsid w:val="0085393A"/>
    <w:rsid w:val="00853974"/>
    <w:rsid w:val="008539EA"/>
    <w:rsid w:val="008539EC"/>
    <w:rsid w:val="00853A0C"/>
    <w:rsid w:val="00853A59"/>
    <w:rsid w:val="00853A9C"/>
    <w:rsid w:val="00853AB7"/>
    <w:rsid w:val="00853ABF"/>
    <w:rsid w:val="00853AC0"/>
    <w:rsid w:val="00853AEB"/>
    <w:rsid w:val="00853B68"/>
    <w:rsid w:val="00853B8D"/>
    <w:rsid w:val="00853B94"/>
    <w:rsid w:val="00853BB8"/>
    <w:rsid w:val="00853BDE"/>
    <w:rsid w:val="00853BEA"/>
    <w:rsid w:val="00853BF0"/>
    <w:rsid w:val="00853BFB"/>
    <w:rsid w:val="00853C0C"/>
    <w:rsid w:val="00853C1A"/>
    <w:rsid w:val="00853C3A"/>
    <w:rsid w:val="00853C7C"/>
    <w:rsid w:val="00853C7E"/>
    <w:rsid w:val="00853CA0"/>
    <w:rsid w:val="00853CB3"/>
    <w:rsid w:val="00853CFB"/>
    <w:rsid w:val="00853D0C"/>
    <w:rsid w:val="00853D20"/>
    <w:rsid w:val="00853D2E"/>
    <w:rsid w:val="00853D4B"/>
    <w:rsid w:val="00853D5D"/>
    <w:rsid w:val="00853D68"/>
    <w:rsid w:val="00853D69"/>
    <w:rsid w:val="00853DE8"/>
    <w:rsid w:val="00853E89"/>
    <w:rsid w:val="00853EE2"/>
    <w:rsid w:val="00853F33"/>
    <w:rsid w:val="00853F3E"/>
    <w:rsid w:val="00853F4C"/>
    <w:rsid w:val="00853F7E"/>
    <w:rsid w:val="00853F81"/>
    <w:rsid w:val="00853FA0"/>
    <w:rsid w:val="00853FD5"/>
    <w:rsid w:val="00854022"/>
    <w:rsid w:val="00854024"/>
    <w:rsid w:val="0085406B"/>
    <w:rsid w:val="0085407A"/>
    <w:rsid w:val="008540E7"/>
    <w:rsid w:val="008540FB"/>
    <w:rsid w:val="00854146"/>
    <w:rsid w:val="00854162"/>
    <w:rsid w:val="008541DC"/>
    <w:rsid w:val="00854210"/>
    <w:rsid w:val="00854299"/>
    <w:rsid w:val="0085429A"/>
    <w:rsid w:val="008542A2"/>
    <w:rsid w:val="008542AD"/>
    <w:rsid w:val="00854395"/>
    <w:rsid w:val="0085446C"/>
    <w:rsid w:val="008544D4"/>
    <w:rsid w:val="0085450B"/>
    <w:rsid w:val="00854522"/>
    <w:rsid w:val="00854536"/>
    <w:rsid w:val="00854594"/>
    <w:rsid w:val="008545A1"/>
    <w:rsid w:val="008545B5"/>
    <w:rsid w:val="008545C8"/>
    <w:rsid w:val="008545DB"/>
    <w:rsid w:val="008545EC"/>
    <w:rsid w:val="008545F2"/>
    <w:rsid w:val="008545F8"/>
    <w:rsid w:val="00854605"/>
    <w:rsid w:val="00854612"/>
    <w:rsid w:val="00854621"/>
    <w:rsid w:val="00854626"/>
    <w:rsid w:val="0085464E"/>
    <w:rsid w:val="0085468A"/>
    <w:rsid w:val="008546B2"/>
    <w:rsid w:val="008546BB"/>
    <w:rsid w:val="008546E5"/>
    <w:rsid w:val="00854717"/>
    <w:rsid w:val="0085473E"/>
    <w:rsid w:val="00854771"/>
    <w:rsid w:val="00854781"/>
    <w:rsid w:val="008547A3"/>
    <w:rsid w:val="00854812"/>
    <w:rsid w:val="00854825"/>
    <w:rsid w:val="0085482E"/>
    <w:rsid w:val="0085487B"/>
    <w:rsid w:val="00854884"/>
    <w:rsid w:val="0085489C"/>
    <w:rsid w:val="0085489D"/>
    <w:rsid w:val="008548AA"/>
    <w:rsid w:val="008548C6"/>
    <w:rsid w:val="008548CC"/>
    <w:rsid w:val="008548DC"/>
    <w:rsid w:val="00854921"/>
    <w:rsid w:val="00854956"/>
    <w:rsid w:val="00854970"/>
    <w:rsid w:val="008549A1"/>
    <w:rsid w:val="008549C0"/>
    <w:rsid w:val="008549DB"/>
    <w:rsid w:val="00854A29"/>
    <w:rsid w:val="00854A3A"/>
    <w:rsid w:val="00854A49"/>
    <w:rsid w:val="00854A4E"/>
    <w:rsid w:val="00854A9B"/>
    <w:rsid w:val="00854AA8"/>
    <w:rsid w:val="00854AAB"/>
    <w:rsid w:val="00854AB9"/>
    <w:rsid w:val="00854B15"/>
    <w:rsid w:val="00854B1C"/>
    <w:rsid w:val="00854B1E"/>
    <w:rsid w:val="00854B1F"/>
    <w:rsid w:val="00854B4C"/>
    <w:rsid w:val="00854B8E"/>
    <w:rsid w:val="00854BA4"/>
    <w:rsid w:val="00854BA8"/>
    <w:rsid w:val="00854C86"/>
    <w:rsid w:val="00854C99"/>
    <w:rsid w:val="00854CC7"/>
    <w:rsid w:val="00854CD6"/>
    <w:rsid w:val="00854CD8"/>
    <w:rsid w:val="00854CF6"/>
    <w:rsid w:val="00854D39"/>
    <w:rsid w:val="00854D7F"/>
    <w:rsid w:val="00854D90"/>
    <w:rsid w:val="00854DBD"/>
    <w:rsid w:val="00854DC2"/>
    <w:rsid w:val="00854DE6"/>
    <w:rsid w:val="00854DE7"/>
    <w:rsid w:val="00854E0F"/>
    <w:rsid w:val="00854E74"/>
    <w:rsid w:val="00854F49"/>
    <w:rsid w:val="00854F53"/>
    <w:rsid w:val="00854F67"/>
    <w:rsid w:val="00854F88"/>
    <w:rsid w:val="00854FD4"/>
    <w:rsid w:val="00854FE1"/>
    <w:rsid w:val="0085503D"/>
    <w:rsid w:val="0085508E"/>
    <w:rsid w:val="008550C9"/>
    <w:rsid w:val="008550CD"/>
    <w:rsid w:val="00855110"/>
    <w:rsid w:val="0085513A"/>
    <w:rsid w:val="008551B8"/>
    <w:rsid w:val="008551BF"/>
    <w:rsid w:val="008551FB"/>
    <w:rsid w:val="00855233"/>
    <w:rsid w:val="00855234"/>
    <w:rsid w:val="0085523F"/>
    <w:rsid w:val="0085526B"/>
    <w:rsid w:val="008552D9"/>
    <w:rsid w:val="008552F0"/>
    <w:rsid w:val="00855310"/>
    <w:rsid w:val="00855378"/>
    <w:rsid w:val="00855379"/>
    <w:rsid w:val="0085537E"/>
    <w:rsid w:val="00855389"/>
    <w:rsid w:val="008553EC"/>
    <w:rsid w:val="00855414"/>
    <w:rsid w:val="0085544E"/>
    <w:rsid w:val="00855480"/>
    <w:rsid w:val="008554B0"/>
    <w:rsid w:val="008554B2"/>
    <w:rsid w:val="008554BA"/>
    <w:rsid w:val="008554F2"/>
    <w:rsid w:val="0085550C"/>
    <w:rsid w:val="00855513"/>
    <w:rsid w:val="00855516"/>
    <w:rsid w:val="0085553F"/>
    <w:rsid w:val="00855556"/>
    <w:rsid w:val="008555E4"/>
    <w:rsid w:val="008555FB"/>
    <w:rsid w:val="00855600"/>
    <w:rsid w:val="00855640"/>
    <w:rsid w:val="0085564E"/>
    <w:rsid w:val="00855674"/>
    <w:rsid w:val="008556BA"/>
    <w:rsid w:val="008556D0"/>
    <w:rsid w:val="008556D4"/>
    <w:rsid w:val="008556DB"/>
    <w:rsid w:val="0085571F"/>
    <w:rsid w:val="00855742"/>
    <w:rsid w:val="0085574C"/>
    <w:rsid w:val="00855758"/>
    <w:rsid w:val="0085576B"/>
    <w:rsid w:val="0085576F"/>
    <w:rsid w:val="008557AE"/>
    <w:rsid w:val="008557BE"/>
    <w:rsid w:val="0085586E"/>
    <w:rsid w:val="00855876"/>
    <w:rsid w:val="00855888"/>
    <w:rsid w:val="008558C4"/>
    <w:rsid w:val="008558EE"/>
    <w:rsid w:val="0085590E"/>
    <w:rsid w:val="00855918"/>
    <w:rsid w:val="0085592E"/>
    <w:rsid w:val="0085593D"/>
    <w:rsid w:val="0085595F"/>
    <w:rsid w:val="00855988"/>
    <w:rsid w:val="00855996"/>
    <w:rsid w:val="008559A0"/>
    <w:rsid w:val="008559E0"/>
    <w:rsid w:val="00855A23"/>
    <w:rsid w:val="00855A33"/>
    <w:rsid w:val="00855A47"/>
    <w:rsid w:val="00855A5C"/>
    <w:rsid w:val="00855A78"/>
    <w:rsid w:val="00855A8A"/>
    <w:rsid w:val="00855A92"/>
    <w:rsid w:val="00855A96"/>
    <w:rsid w:val="00855AAA"/>
    <w:rsid w:val="00855B34"/>
    <w:rsid w:val="00855B57"/>
    <w:rsid w:val="00855B62"/>
    <w:rsid w:val="00855BCA"/>
    <w:rsid w:val="00855BD3"/>
    <w:rsid w:val="00855C05"/>
    <w:rsid w:val="00855C2B"/>
    <w:rsid w:val="00855C2C"/>
    <w:rsid w:val="00855C2E"/>
    <w:rsid w:val="00855C48"/>
    <w:rsid w:val="00855C67"/>
    <w:rsid w:val="00855CE1"/>
    <w:rsid w:val="00855CFB"/>
    <w:rsid w:val="00855D02"/>
    <w:rsid w:val="00855D49"/>
    <w:rsid w:val="00855D5F"/>
    <w:rsid w:val="00855DC2"/>
    <w:rsid w:val="00855DC3"/>
    <w:rsid w:val="00855DDC"/>
    <w:rsid w:val="00855DDF"/>
    <w:rsid w:val="00855E10"/>
    <w:rsid w:val="00855E77"/>
    <w:rsid w:val="00855EC4"/>
    <w:rsid w:val="00855EF3"/>
    <w:rsid w:val="00855F1F"/>
    <w:rsid w:val="00855F20"/>
    <w:rsid w:val="00855F30"/>
    <w:rsid w:val="00855F57"/>
    <w:rsid w:val="00855FB1"/>
    <w:rsid w:val="00855FB7"/>
    <w:rsid w:val="00855FCE"/>
    <w:rsid w:val="00855FD0"/>
    <w:rsid w:val="00856029"/>
    <w:rsid w:val="008560B7"/>
    <w:rsid w:val="008560BF"/>
    <w:rsid w:val="008560C2"/>
    <w:rsid w:val="008560D8"/>
    <w:rsid w:val="00856115"/>
    <w:rsid w:val="00856148"/>
    <w:rsid w:val="0085615C"/>
    <w:rsid w:val="0085615E"/>
    <w:rsid w:val="0085618B"/>
    <w:rsid w:val="008561A6"/>
    <w:rsid w:val="008561AE"/>
    <w:rsid w:val="0085620F"/>
    <w:rsid w:val="00856219"/>
    <w:rsid w:val="00856276"/>
    <w:rsid w:val="00856295"/>
    <w:rsid w:val="00856309"/>
    <w:rsid w:val="00856341"/>
    <w:rsid w:val="00856352"/>
    <w:rsid w:val="00856372"/>
    <w:rsid w:val="008563CC"/>
    <w:rsid w:val="00856497"/>
    <w:rsid w:val="008564DD"/>
    <w:rsid w:val="008564DE"/>
    <w:rsid w:val="008564F6"/>
    <w:rsid w:val="0085652A"/>
    <w:rsid w:val="0085655C"/>
    <w:rsid w:val="00856578"/>
    <w:rsid w:val="0085657A"/>
    <w:rsid w:val="00856581"/>
    <w:rsid w:val="00856594"/>
    <w:rsid w:val="008565A0"/>
    <w:rsid w:val="008565C8"/>
    <w:rsid w:val="00856616"/>
    <w:rsid w:val="0085669C"/>
    <w:rsid w:val="008566C9"/>
    <w:rsid w:val="008566FC"/>
    <w:rsid w:val="00856726"/>
    <w:rsid w:val="00856738"/>
    <w:rsid w:val="00856757"/>
    <w:rsid w:val="00856759"/>
    <w:rsid w:val="008567B9"/>
    <w:rsid w:val="008567D3"/>
    <w:rsid w:val="00856803"/>
    <w:rsid w:val="0085681F"/>
    <w:rsid w:val="0085683F"/>
    <w:rsid w:val="00856858"/>
    <w:rsid w:val="00856880"/>
    <w:rsid w:val="008568D1"/>
    <w:rsid w:val="008568DF"/>
    <w:rsid w:val="008568F3"/>
    <w:rsid w:val="0085690D"/>
    <w:rsid w:val="00856926"/>
    <w:rsid w:val="0085692C"/>
    <w:rsid w:val="0085693F"/>
    <w:rsid w:val="00856940"/>
    <w:rsid w:val="0085695F"/>
    <w:rsid w:val="00856976"/>
    <w:rsid w:val="008569A6"/>
    <w:rsid w:val="008569B4"/>
    <w:rsid w:val="008569F7"/>
    <w:rsid w:val="00856A4F"/>
    <w:rsid w:val="00856AAA"/>
    <w:rsid w:val="00856AC0"/>
    <w:rsid w:val="00856B38"/>
    <w:rsid w:val="00856B6D"/>
    <w:rsid w:val="00856BE5"/>
    <w:rsid w:val="00856C11"/>
    <w:rsid w:val="00856C22"/>
    <w:rsid w:val="00856C5D"/>
    <w:rsid w:val="00856C89"/>
    <w:rsid w:val="00856CE2"/>
    <w:rsid w:val="00856CFE"/>
    <w:rsid w:val="00856D4D"/>
    <w:rsid w:val="00856E4A"/>
    <w:rsid w:val="00856EE2"/>
    <w:rsid w:val="00856F00"/>
    <w:rsid w:val="00856F18"/>
    <w:rsid w:val="00856F52"/>
    <w:rsid w:val="00856F68"/>
    <w:rsid w:val="00856F8D"/>
    <w:rsid w:val="00856FB0"/>
    <w:rsid w:val="00856FF3"/>
    <w:rsid w:val="00857035"/>
    <w:rsid w:val="00857106"/>
    <w:rsid w:val="0085713C"/>
    <w:rsid w:val="00857174"/>
    <w:rsid w:val="00857199"/>
    <w:rsid w:val="008571AA"/>
    <w:rsid w:val="008571C3"/>
    <w:rsid w:val="00857211"/>
    <w:rsid w:val="00857281"/>
    <w:rsid w:val="00857337"/>
    <w:rsid w:val="00857364"/>
    <w:rsid w:val="00857388"/>
    <w:rsid w:val="00857391"/>
    <w:rsid w:val="008573A0"/>
    <w:rsid w:val="008573AC"/>
    <w:rsid w:val="008573C8"/>
    <w:rsid w:val="008573D2"/>
    <w:rsid w:val="008573DC"/>
    <w:rsid w:val="008573EC"/>
    <w:rsid w:val="00857405"/>
    <w:rsid w:val="00857413"/>
    <w:rsid w:val="00857426"/>
    <w:rsid w:val="00857433"/>
    <w:rsid w:val="00857464"/>
    <w:rsid w:val="00857475"/>
    <w:rsid w:val="008574E4"/>
    <w:rsid w:val="008574ED"/>
    <w:rsid w:val="0085751D"/>
    <w:rsid w:val="00857565"/>
    <w:rsid w:val="0085757E"/>
    <w:rsid w:val="0085759A"/>
    <w:rsid w:val="008575AF"/>
    <w:rsid w:val="008575BB"/>
    <w:rsid w:val="008575BD"/>
    <w:rsid w:val="008575FC"/>
    <w:rsid w:val="00857607"/>
    <w:rsid w:val="00857697"/>
    <w:rsid w:val="008576D1"/>
    <w:rsid w:val="00857721"/>
    <w:rsid w:val="00857779"/>
    <w:rsid w:val="008577E7"/>
    <w:rsid w:val="008577F0"/>
    <w:rsid w:val="0085780D"/>
    <w:rsid w:val="00857881"/>
    <w:rsid w:val="00857898"/>
    <w:rsid w:val="008578AE"/>
    <w:rsid w:val="008578BB"/>
    <w:rsid w:val="008578C8"/>
    <w:rsid w:val="008578D2"/>
    <w:rsid w:val="00857932"/>
    <w:rsid w:val="00857941"/>
    <w:rsid w:val="00857959"/>
    <w:rsid w:val="00857981"/>
    <w:rsid w:val="00857999"/>
    <w:rsid w:val="008579D1"/>
    <w:rsid w:val="00857A22"/>
    <w:rsid w:val="00857A79"/>
    <w:rsid w:val="00857B00"/>
    <w:rsid w:val="00857BC1"/>
    <w:rsid w:val="00857C03"/>
    <w:rsid w:val="00857C07"/>
    <w:rsid w:val="00857C18"/>
    <w:rsid w:val="00857C40"/>
    <w:rsid w:val="00857C6A"/>
    <w:rsid w:val="00857C75"/>
    <w:rsid w:val="00857C88"/>
    <w:rsid w:val="00857C8D"/>
    <w:rsid w:val="00857CC2"/>
    <w:rsid w:val="00857CCA"/>
    <w:rsid w:val="00857CF4"/>
    <w:rsid w:val="00857CF7"/>
    <w:rsid w:val="00857CFB"/>
    <w:rsid w:val="00857D40"/>
    <w:rsid w:val="00857D49"/>
    <w:rsid w:val="00857D7F"/>
    <w:rsid w:val="00857DFD"/>
    <w:rsid w:val="00857E0E"/>
    <w:rsid w:val="00857E25"/>
    <w:rsid w:val="00857E2F"/>
    <w:rsid w:val="00857E45"/>
    <w:rsid w:val="00857E5A"/>
    <w:rsid w:val="00857E75"/>
    <w:rsid w:val="00857E85"/>
    <w:rsid w:val="00857EED"/>
    <w:rsid w:val="00857EF9"/>
    <w:rsid w:val="00857F8F"/>
    <w:rsid w:val="00857FA9"/>
    <w:rsid w:val="00857FB0"/>
    <w:rsid w:val="00857FCD"/>
    <w:rsid w:val="0086001B"/>
    <w:rsid w:val="00860024"/>
    <w:rsid w:val="0086009C"/>
    <w:rsid w:val="008600B1"/>
    <w:rsid w:val="008600B6"/>
    <w:rsid w:val="008600C2"/>
    <w:rsid w:val="008600CE"/>
    <w:rsid w:val="00860128"/>
    <w:rsid w:val="00860166"/>
    <w:rsid w:val="00860181"/>
    <w:rsid w:val="0086019B"/>
    <w:rsid w:val="008601B7"/>
    <w:rsid w:val="008601C5"/>
    <w:rsid w:val="008601F2"/>
    <w:rsid w:val="00860214"/>
    <w:rsid w:val="00860217"/>
    <w:rsid w:val="00860227"/>
    <w:rsid w:val="00860267"/>
    <w:rsid w:val="008602CD"/>
    <w:rsid w:val="008602F8"/>
    <w:rsid w:val="0086033A"/>
    <w:rsid w:val="00860381"/>
    <w:rsid w:val="00860383"/>
    <w:rsid w:val="00860390"/>
    <w:rsid w:val="008603A2"/>
    <w:rsid w:val="008603A5"/>
    <w:rsid w:val="008603BD"/>
    <w:rsid w:val="00860412"/>
    <w:rsid w:val="0086042A"/>
    <w:rsid w:val="0086046B"/>
    <w:rsid w:val="0086046E"/>
    <w:rsid w:val="008604DD"/>
    <w:rsid w:val="00860555"/>
    <w:rsid w:val="0086055F"/>
    <w:rsid w:val="00860589"/>
    <w:rsid w:val="0086058E"/>
    <w:rsid w:val="008605AD"/>
    <w:rsid w:val="008605BC"/>
    <w:rsid w:val="008605E2"/>
    <w:rsid w:val="008605F4"/>
    <w:rsid w:val="00860658"/>
    <w:rsid w:val="00860673"/>
    <w:rsid w:val="0086067F"/>
    <w:rsid w:val="00860680"/>
    <w:rsid w:val="008606E8"/>
    <w:rsid w:val="008606F1"/>
    <w:rsid w:val="00860717"/>
    <w:rsid w:val="0086071A"/>
    <w:rsid w:val="00860730"/>
    <w:rsid w:val="00860763"/>
    <w:rsid w:val="00860768"/>
    <w:rsid w:val="00860794"/>
    <w:rsid w:val="008607BA"/>
    <w:rsid w:val="008607E2"/>
    <w:rsid w:val="008607F5"/>
    <w:rsid w:val="008607FA"/>
    <w:rsid w:val="00860840"/>
    <w:rsid w:val="00860848"/>
    <w:rsid w:val="008608AC"/>
    <w:rsid w:val="008608B0"/>
    <w:rsid w:val="008608C8"/>
    <w:rsid w:val="008608EB"/>
    <w:rsid w:val="008608FA"/>
    <w:rsid w:val="0086091D"/>
    <w:rsid w:val="00860935"/>
    <w:rsid w:val="0086094A"/>
    <w:rsid w:val="00860960"/>
    <w:rsid w:val="00860986"/>
    <w:rsid w:val="008609EA"/>
    <w:rsid w:val="008609FF"/>
    <w:rsid w:val="00860A2C"/>
    <w:rsid w:val="00860A47"/>
    <w:rsid w:val="00860A4C"/>
    <w:rsid w:val="00860A71"/>
    <w:rsid w:val="00860A8B"/>
    <w:rsid w:val="00860A8D"/>
    <w:rsid w:val="00860B25"/>
    <w:rsid w:val="00860B6A"/>
    <w:rsid w:val="00860B83"/>
    <w:rsid w:val="00860B97"/>
    <w:rsid w:val="00860BA1"/>
    <w:rsid w:val="00860BDE"/>
    <w:rsid w:val="00860C18"/>
    <w:rsid w:val="00860C24"/>
    <w:rsid w:val="00860CA3"/>
    <w:rsid w:val="00860CBF"/>
    <w:rsid w:val="00860CC0"/>
    <w:rsid w:val="00860CCB"/>
    <w:rsid w:val="00860D57"/>
    <w:rsid w:val="00860D5A"/>
    <w:rsid w:val="00860D62"/>
    <w:rsid w:val="00860D8A"/>
    <w:rsid w:val="00860DFE"/>
    <w:rsid w:val="00860E04"/>
    <w:rsid w:val="00860E2F"/>
    <w:rsid w:val="00860E68"/>
    <w:rsid w:val="00860E71"/>
    <w:rsid w:val="00860E9C"/>
    <w:rsid w:val="00860EAE"/>
    <w:rsid w:val="00860EB1"/>
    <w:rsid w:val="00860ECA"/>
    <w:rsid w:val="00860ED4"/>
    <w:rsid w:val="00860EE8"/>
    <w:rsid w:val="00860EE9"/>
    <w:rsid w:val="00860F0F"/>
    <w:rsid w:val="00860F26"/>
    <w:rsid w:val="00860F3F"/>
    <w:rsid w:val="00860F80"/>
    <w:rsid w:val="00860FF4"/>
    <w:rsid w:val="00861020"/>
    <w:rsid w:val="0086103D"/>
    <w:rsid w:val="00861044"/>
    <w:rsid w:val="00861049"/>
    <w:rsid w:val="00861080"/>
    <w:rsid w:val="00861083"/>
    <w:rsid w:val="00861086"/>
    <w:rsid w:val="008610A9"/>
    <w:rsid w:val="008610C7"/>
    <w:rsid w:val="008610F2"/>
    <w:rsid w:val="00861103"/>
    <w:rsid w:val="00861127"/>
    <w:rsid w:val="008611C5"/>
    <w:rsid w:val="008611CB"/>
    <w:rsid w:val="008611CE"/>
    <w:rsid w:val="008611D3"/>
    <w:rsid w:val="0086122A"/>
    <w:rsid w:val="00861230"/>
    <w:rsid w:val="0086125E"/>
    <w:rsid w:val="008612B2"/>
    <w:rsid w:val="00861301"/>
    <w:rsid w:val="00861317"/>
    <w:rsid w:val="0086133D"/>
    <w:rsid w:val="0086134D"/>
    <w:rsid w:val="0086137C"/>
    <w:rsid w:val="0086138D"/>
    <w:rsid w:val="00861392"/>
    <w:rsid w:val="008613B2"/>
    <w:rsid w:val="008613E0"/>
    <w:rsid w:val="00861437"/>
    <w:rsid w:val="0086144B"/>
    <w:rsid w:val="00861487"/>
    <w:rsid w:val="00861491"/>
    <w:rsid w:val="008614F3"/>
    <w:rsid w:val="00861501"/>
    <w:rsid w:val="00861523"/>
    <w:rsid w:val="008615E1"/>
    <w:rsid w:val="008615FF"/>
    <w:rsid w:val="00861659"/>
    <w:rsid w:val="00861680"/>
    <w:rsid w:val="00861686"/>
    <w:rsid w:val="008616B9"/>
    <w:rsid w:val="0086171D"/>
    <w:rsid w:val="00861725"/>
    <w:rsid w:val="0086176A"/>
    <w:rsid w:val="00861770"/>
    <w:rsid w:val="0086177A"/>
    <w:rsid w:val="008617D6"/>
    <w:rsid w:val="00861824"/>
    <w:rsid w:val="008618BF"/>
    <w:rsid w:val="00861912"/>
    <w:rsid w:val="00861928"/>
    <w:rsid w:val="0086197C"/>
    <w:rsid w:val="008619DC"/>
    <w:rsid w:val="00861A17"/>
    <w:rsid w:val="00861A1C"/>
    <w:rsid w:val="00861A34"/>
    <w:rsid w:val="00861A3B"/>
    <w:rsid w:val="00861A52"/>
    <w:rsid w:val="00861A59"/>
    <w:rsid w:val="00861A6D"/>
    <w:rsid w:val="00861AC0"/>
    <w:rsid w:val="00861AC8"/>
    <w:rsid w:val="00861AE2"/>
    <w:rsid w:val="00861B4A"/>
    <w:rsid w:val="00861B64"/>
    <w:rsid w:val="00861B77"/>
    <w:rsid w:val="00861B9A"/>
    <w:rsid w:val="00861BF9"/>
    <w:rsid w:val="00861C14"/>
    <w:rsid w:val="00861C4C"/>
    <w:rsid w:val="00861C51"/>
    <w:rsid w:val="00861C9F"/>
    <w:rsid w:val="00861D0F"/>
    <w:rsid w:val="00861D1F"/>
    <w:rsid w:val="00861D3D"/>
    <w:rsid w:val="00861D8D"/>
    <w:rsid w:val="00861DB8"/>
    <w:rsid w:val="00861DDF"/>
    <w:rsid w:val="00861E23"/>
    <w:rsid w:val="00861E34"/>
    <w:rsid w:val="00861E41"/>
    <w:rsid w:val="00861E7F"/>
    <w:rsid w:val="00861E8F"/>
    <w:rsid w:val="00861EAA"/>
    <w:rsid w:val="00861EB6"/>
    <w:rsid w:val="00861EC3"/>
    <w:rsid w:val="00861EED"/>
    <w:rsid w:val="00861F03"/>
    <w:rsid w:val="00861F0C"/>
    <w:rsid w:val="00861F10"/>
    <w:rsid w:val="00861F18"/>
    <w:rsid w:val="00861F8C"/>
    <w:rsid w:val="00861FA8"/>
    <w:rsid w:val="00861FD1"/>
    <w:rsid w:val="00861FE5"/>
    <w:rsid w:val="00861FF3"/>
    <w:rsid w:val="00862025"/>
    <w:rsid w:val="00862037"/>
    <w:rsid w:val="0086208D"/>
    <w:rsid w:val="008620DB"/>
    <w:rsid w:val="00862102"/>
    <w:rsid w:val="00862122"/>
    <w:rsid w:val="0086212C"/>
    <w:rsid w:val="00862140"/>
    <w:rsid w:val="00862159"/>
    <w:rsid w:val="0086217C"/>
    <w:rsid w:val="0086219E"/>
    <w:rsid w:val="008621A9"/>
    <w:rsid w:val="008621E5"/>
    <w:rsid w:val="008621F7"/>
    <w:rsid w:val="0086223B"/>
    <w:rsid w:val="00862285"/>
    <w:rsid w:val="00862286"/>
    <w:rsid w:val="0086229F"/>
    <w:rsid w:val="008622B9"/>
    <w:rsid w:val="008622D5"/>
    <w:rsid w:val="00862329"/>
    <w:rsid w:val="0086238C"/>
    <w:rsid w:val="0086238F"/>
    <w:rsid w:val="008623AE"/>
    <w:rsid w:val="0086240A"/>
    <w:rsid w:val="00862414"/>
    <w:rsid w:val="00862416"/>
    <w:rsid w:val="008624FE"/>
    <w:rsid w:val="0086255B"/>
    <w:rsid w:val="0086255C"/>
    <w:rsid w:val="0086256A"/>
    <w:rsid w:val="00862570"/>
    <w:rsid w:val="008625A3"/>
    <w:rsid w:val="008625B2"/>
    <w:rsid w:val="008625CD"/>
    <w:rsid w:val="008626A2"/>
    <w:rsid w:val="008626E6"/>
    <w:rsid w:val="0086273E"/>
    <w:rsid w:val="0086274F"/>
    <w:rsid w:val="00862757"/>
    <w:rsid w:val="00862766"/>
    <w:rsid w:val="008627C6"/>
    <w:rsid w:val="00862849"/>
    <w:rsid w:val="008628D5"/>
    <w:rsid w:val="008628F9"/>
    <w:rsid w:val="00862944"/>
    <w:rsid w:val="00862987"/>
    <w:rsid w:val="008629A8"/>
    <w:rsid w:val="008629DE"/>
    <w:rsid w:val="00862A33"/>
    <w:rsid w:val="00862A50"/>
    <w:rsid w:val="00862A65"/>
    <w:rsid w:val="00862A77"/>
    <w:rsid w:val="00862ABD"/>
    <w:rsid w:val="00862ADA"/>
    <w:rsid w:val="00862B03"/>
    <w:rsid w:val="00862B0F"/>
    <w:rsid w:val="00862B2A"/>
    <w:rsid w:val="00862B52"/>
    <w:rsid w:val="00862BA7"/>
    <w:rsid w:val="00862BAD"/>
    <w:rsid w:val="00862BB2"/>
    <w:rsid w:val="00862BE4"/>
    <w:rsid w:val="00862C16"/>
    <w:rsid w:val="00862C39"/>
    <w:rsid w:val="00862C60"/>
    <w:rsid w:val="00862C8B"/>
    <w:rsid w:val="00862C9F"/>
    <w:rsid w:val="00862D1B"/>
    <w:rsid w:val="00862D1E"/>
    <w:rsid w:val="00862D7A"/>
    <w:rsid w:val="00862DB8"/>
    <w:rsid w:val="00862DF4"/>
    <w:rsid w:val="00862DF5"/>
    <w:rsid w:val="00862E0B"/>
    <w:rsid w:val="00862E35"/>
    <w:rsid w:val="00862E3C"/>
    <w:rsid w:val="00862E3F"/>
    <w:rsid w:val="00862E4C"/>
    <w:rsid w:val="00862E97"/>
    <w:rsid w:val="00862EA6"/>
    <w:rsid w:val="00862EEB"/>
    <w:rsid w:val="00862F19"/>
    <w:rsid w:val="00862F1E"/>
    <w:rsid w:val="00862F38"/>
    <w:rsid w:val="00862F44"/>
    <w:rsid w:val="00862F6D"/>
    <w:rsid w:val="0086301B"/>
    <w:rsid w:val="0086302B"/>
    <w:rsid w:val="0086307B"/>
    <w:rsid w:val="0086307E"/>
    <w:rsid w:val="00863091"/>
    <w:rsid w:val="008630A9"/>
    <w:rsid w:val="008630DD"/>
    <w:rsid w:val="0086310C"/>
    <w:rsid w:val="00863119"/>
    <w:rsid w:val="0086314E"/>
    <w:rsid w:val="0086315C"/>
    <w:rsid w:val="00863189"/>
    <w:rsid w:val="008631AD"/>
    <w:rsid w:val="00863209"/>
    <w:rsid w:val="00863232"/>
    <w:rsid w:val="00863254"/>
    <w:rsid w:val="00863286"/>
    <w:rsid w:val="0086328C"/>
    <w:rsid w:val="008632D0"/>
    <w:rsid w:val="008632E8"/>
    <w:rsid w:val="00863312"/>
    <w:rsid w:val="00863314"/>
    <w:rsid w:val="00863382"/>
    <w:rsid w:val="0086340F"/>
    <w:rsid w:val="0086342A"/>
    <w:rsid w:val="00863435"/>
    <w:rsid w:val="00863458"/>
    <w:rsid w:val="00863477"/>
    <w:rsid w:val="008634CC"/>
    <w:rsid w:val="008634D8"/>
    <w:rsid w:val="008634DE"/>
    <w:rsid w:val="00863509"/>
    <w:rsid w:val="0086350D"/>
    <w:rsid w:val="00863511"/>
    <w:rsid w:val="0086351F"/>
    <w:rsid w:val="00863552"/>
    <w:rsid w:val="00863585"/>
    <w:rsid w:val="0086358C"/>
    <w:rsid w:val="008635BB"/>
    <w:rsid w:val="008635FA"/>
    <w:rsid w:val="00863669"/>
    <w:rsid w:val="008636BE"/>
    <w:rsid w:val="00863738"/>
    <w:rsid w:val="0086373A"/>
    <w:rsid w:val="0086373C"/>
    <w:rsid w:val="00863742"/>
    <w:rsid w:val="0086378C"/>
    <w:rsid w:val="008637F8"/>
    <w:rsid w:val="00863807"/>
    <w:rsid w:val="00863834"/>
    <w:rsid w:val="0086384E"/>
    <w:rsid w:val="008638F0"/>
    <w:rsid w:val="008638FD"/>
    <w:rsid w:val="0086391D"/>
    <w:rsid w:val="00863925"/>
    <w:rsid w:val="00863969"/>
    <w:rsid w:val="0086396F"/>
    <w:rsid w:val="008639A1"/>
    <w:rsid w:val="008639C2"/>
    <w:rsid w:val="008639CF"/>
    <w:rsid w:val="00863A01"/>
    <w:rsid w:val="00863A11"/>
    <w:rsid w:val="00863A4C"/>
    <w:rsid w:val="00863AC3"/>
    <w:rsid w:val="00863AF0"/>
    <w:rsid w:val="00863B29"/>
    <w:rsid w:val="00863B31"/>
    <w:rsid w:val="00863B43"/>
    <w:rsid w:val="00863B4E"/>
    <w:rsid w:val="00863BBF"/>
    <w:rsid w:val="00863BFC"/>
    <w:rsid w:val="00863C23"/>
    <w:rsid w:val="00863C30"/>
    <w:rsid w:val="00863C4E"/>
    <w:rsid w:val="00863C73"/>
    <w:rsid w:val="00863CA4"/>
    <w:rsid w:val="00863CBE"/>
    <w:rsid w:val="00863D7D"/>
    <w:rsid w:val="00863D86"/>
    <w:rsid w:val="00863DB6"/>
    <w:rsid w:val="00863DD2"/>
    <w:rsid w:val="00863DE6"/>
    <w:rsid w:val="00863DF5"/>
    <w:rsid w:val="00863E06"/>
    <w:rsid w:val="00863E2E"/>
    <w:rsid w:val="00863E9D"/>
    <w:rsid w:val="00863EC2"/>
    <w:rsid w:val="00863EC6"/>
    <w:rsid w:val="00863F15"/>
    <w:rsid w:val="00863F44"/>
    <w:rsid w:val="00863F82"/>
    <w:rsid w:val="00863FC2"/>
    <w:rsid w:val="0086400E"/>
    <w:rsid w:val="00864050"/>
    <w:rsid w:val="00864060"/>
    <w:rsid w:val="00864069"/>
    <w:rsid w:val="0086406E"/>
    <w:rsid w:val="008640A7"/>
    <w:rsid w:val="008640F5"/>
    <w:rsid w:val="00864114"/>
    <w:rsid w:val="0086411D"/>
    <w:rsid w:val="00864155"/>
    <w:rsid w:val="00864156"/>
    <w:rsid w:val="0086417F"/>
    <w:rsid w:val="008641A2"/>
    <w:rsid w:val="008641B9"/>
    <w:rsid w:val="008641BD"/>
    <w:rsid w:val="008641F4"/>
    <w:rsid w:val="00864222"/>
    <w:rsid w:val="00864225"/>
    <w:rsid w:val="00864226"/>
    <w:rsid w:val="0086424D"/>
    <w:rsid w:val="0086427B"/>
    <w:rsid w:val="008642A5"/>
    <w:rsid w:val="008642FD"/>
    <w:rsid w:val="00864300"/>
    <w:rsid w:val="00864302"/>
    <w:rsid w:val="0086431B"/>
    <w:rsid w:val="00864322"/>
    <w:rsid w:val="00864323"/>
    <w:rsid w:val="0086432A"/>
    <w:rsid w:val="0086432C"/>
    <w:rsid w:val="00864334"/>
    <w:rsid w:val="008643BF"/>
    <w:rsid w:val="008643DF"/>
    <w:rsid w:val="0086441A"/>
    <w:rsid w:val="00864420"/>
    <w:rsid w:val="0086442C"/>
    <w:rsid w:val="0086446A"/>
    <w:rsid w:val="00864470"/>
    <w:rsid w:val="008644DD"/>
    <w:rsid w:val="00864502"/>
    <w:rsid w:val="0086454D"/>
    <w:rsid w:val="00864570"/>
    <w:rsid w:val="00864615"/>
    <w:rsid w:val="00864624"/>
    <w:rsid w:val="00864651"/>
    <w:rsid w:val="0086466B"/>
    <w:rsid w:val="00864696"/>
    <w:rsid w:val="008646B6"/>
    <w:rsid w:val="008646BD"/>
    <w:rsid w:val="008646D7"/>
    <w:rsid w:val="00864719"/>
    <w:rsid w:val="00864764"/>
    <w:rsid w:val="00864767"/>
    <w:rsid w:val="0086476F"/>
    <w:rsid w:val="00864787"/>
    <w:rsid w:val="0086478F"/>
    <w:rsid w:val="00864796"/>
    <w:rsid w:val="008647C6"/>
    <w:rsid w:val="00864860"/>
    <w:rsid w:val="00864871"/>
    <w:rsid w:val="008648A0"/>
    <w:rsid w:val="008648E1"/>
    <w:rsid w:val="008648EA"/>
    <w:rsid w:val="008648F2"/>
    <w:rsid w:val="00864907"/>
    <w:rsid w:val="00864919"/>
    <w:rsid w:val="00864975"/>
    <w:rsid w:val="00864977"/>
    <w:rsid w:val="00864983"/>
    <w:rsid w:val="008649B2"/>
    <w:rsid w:val="008649F0"/>
    <w:rsid w:val="00864A0E"/>
    <w:rsid w:val="00864A11"/>
    <w:rsid w:val="00864A25"/>
    <w:rsid w:val="00864A2E"/>
    <w:rsid w:val="00864A89"/>
    <w:rsid w:val="00864A9C"/>
    <w:rsid w:val="00864AFD"/>
    <w:rsid w:val="00864B08"/>
    <w:rsid w:val="00864B7C"/>
    <w:rsid w:val="00864B95"/>
    <w:rsid w:val="00864BA3"/>
    <w:rsid w:val="00864BAC"/>
    <w:rsid w:val="00864BB2"/>
    <w:rsid w:val="00864BC8"/>
    <w:rsid w:val="00864BD3"/>
    <w:rsid w:val="00864BEF"/>
    <w:rsid w:val="00864C00"/>
    <w:rsid w:val="00864C23"/>
    <w:rsid w:val="00864C85"/>
    <w:rsid w:val="00864C8D"/>
    <w:rsid w:val="00864C97"/>
    <w:rsid w:val="00864CFC"/>
    <w:rsid w:val="00864D51"/>
    <w:rsid w:val="00864D9B"/>
    <w:rsid w:val="00864D9C"/>
    <w:rsid w:val="00864DBC"/>
    <w:rsid w:val="00864DD1"/>
    <w:rsid w:val="00864E1C"/>
    <w:rsid w:val="00864E6E"/>
    <w:rsid w:val="00864E96"/>
    <w:rsid w:val="00864EC7"/>
    <w:rsid w:val="00864EEA"/>
    <w:rsid w:val="00864EF5"/>
    <w:rsid w:val="00864EF6"/>
    <w:rsid w:val="00864EFB"/>
    <w:rsid w:val="00864F45"/>
    <w:rsid w:val="00864FA1"/>
    <w:rsid w:val="00864FA6"/>
    <w:rsid w:val="00864FAA"/>
    <w:rsid w:val="0086507D"/>
    <w:rsid w:val="008650BC"/>
    <w:rsid w:val="008650CE"/>
    <w:rsid w:val="008650EA"/>
    <w:rsid w:val="00865101"/>
    <w:rsid w:val="00865136"/>
    <w:rsid w:val="00865149"/>
    <w:rsid w:val="00865163"/>
    <w:rsid w:val="008651BB"/>
    <w:rsid w:val="00865209"/>
    <w:rsid w:val="00865232"/>
    <w:rsid w:val="0086523A"/>
    <w:rsid w:val="0086523F"/>
    <w:rsid w:val="00865245"/>
    <w:rsid w:val="0086524D"/>
    <w:rsid w:val="00865280"/>
    <w:rsid w:val="008652EA"/>
    <w:rsid w:val="00865334"/>
    <w:rsid w:val="00865351"/>
    <w:rsid w:val="00865379"/>
    <w:rsid w:val="008653D6"/>
    <w:rsid w:val="008653F0"/>
    <w:rsid w:val="0086540C"/>
    <w:rsid w:val="0086549F"/>
    <w:rsid w:val="008654C6"/>
    <w:rsid w:val="008654D7"/>
    <w:rsid w:val="008654DB"/>
    <w:rsid w:val="008654E2"/>
    <w:rsid w:val="0086550D"/>
    <w:rsid w:val="00865516"/>
    <w:rsid w:val="0086553D"/>
    <w:rsid w:val="00865565"/>
    <w:rsid w:val="00865578"/>
    <w:rsid w:val="0086558F"/>
    <w:rsid w:val="008655A6"/>
    <w:rsid w:val="00865630"/>
    <w:rsid w:val="00865657"/>
    <w:rsid w:val="00865733"/>
    <w:rsid w:val="00865761"/>
    <w:rsid w:val="00865783"/>
    <w:rsid w:val="00865793"/>
    <w:rsid w:val="008657F5"/>
    <w:rsid w:val="0086582D"/>
    <w:rsid w:val="00865846"/>
    <w:rsid w:val="00865879"/>
    <w:rsid w:val="0086587B"/>
    <w:rsid w:val="008658AB"/>
    <w:rsid w:val="008658AC"/>
    <w:rsid w:val="008658B1"/>
    <w:rsid w:val="008658B4"/>
    <w:rsid w:val="008658F9"/>
    <w:rsid w:val="00865956"/>
    <w:rsid w:val="00865986"/>
    <w:rsid w:val="008659A4"/>
    <w:rsid w:val="008659D6"/>
    <w:rsid w:val="008659E6"/>
    <w:rsid w:val="008659E8"/>
    <w:rsid w:val="00865A0F"/>
    <w:rsid w:val="00865A7E"/>
    <w:rsid w:val="00865A9A"/>
    <w:rsid w:val="00865AA9"/>
    <w:rsid w:val="00865ADA"/>
    <w:rsid w:val="00865B06"/>
    <w:rsid w:val="00865B07"/>
    <w:rsid w:val="00865BFF"/>
    <w:rsid w:val="00865C23"/>
    <w:rsid w:val="00865C27"/>
    <w:rsid w:val="00865C93"/>
    <w:rsid w:val="00865C95"/>
    <w:rsid w:val="00865C98"/>
    <w:rsid w:val="00865CAD"/>
    <w:rsid w:val="00865CB5"/>
    <w:rsid w:val="00865CD9"/>
    <w:rsid w:val="00865D1B"/>
    <w:rsid w:val="00865D29"/>
    <w:rsid w:val="00865D32"/>
    <w:rsid w:val="00865D4F"/>
    <w:rsid w:val="00865D70"/>
    <w:rsid w:val="00865D71"/>
    <w:rsid w:val="00865D73"/>
    <w:rsid w:val="00865D81"/>
    <w:rsid w:val="00865D93"/>
    <w:rsid w:val="00865DA2"/>
    <w:rsid w:val="00865DA8"/>
    <w:rsid w:val="00865DB5"/>
    <w:rsid w:val="00865DC5"/>
    <w:rsid w:val="00865DDE"/>
    <w:rsid w:val="00865E59"/>
    <w:rsid w:val="00865EA6"/>
    <w:rsid w:val="00865EDA"/>
    <w:rsid w:val="00865EF6"/>
    <w:rsid w:val="00865F26"/>
    <w:rsid w:val="00865F4C"/>
    <w:rsid w:val="00865F4E"/>
    <w:rsid w:val="00865F60"/>
    <w:rsid w:val="00865FD2"/>
    <w:rsid w:val="00865FEE"/>
    <w:rsid w:val="00866043"/>
    <w:rsid w:val="00866072"/>
    <w:rsid w:val="0086608D"/>
    <w:rsid w:val="0086609B"/>
    <w:rsid w:val="008660BC"/>
    <w:rsid w:val="008660C9"/>
    <w:rsid w:val="008660ED"/>
    <w:rsid w:val="00866113"/>
    <w:rsid w:val="00866127"/>
    <w:rsid w:val="00866143"/>
    <w:rsid w:val="00866155"/>
    <w:rsid w:val="008661FE"/>
    <w:rsid w:val="00866239"/>
    <w:rsid w:val="00866264"/>
    <w:rsid w:val="0086626C"/>
    <w:rsid w:val="008662A2"/>
    <w:rsid w:val="008662DA"/>
    <w:rsid w:val="008662EA"/>
    <w:rsid w:val="00866306"/>
    <w:rsid w:val="00866314"/>
    <w:rsid w:val="0086631C"/>
    <w:rsid w:val="00866355"/>
    <w:rsid w:val="0086635C"/>
    <w:rsid w:val="0086637A"/>
    <w:rsid w:val="00866383"/>
    <w:rsid w:val="008663A5"/>
    <w:rsid w:val="00866441"/>
    <w:rsid w:val="008664F9"/>
    <w:rsid w:val="0086650E"/>
    <w:rsid w:val="00866514"/>
    <w:rsid w:val="0086656F"/>
    <w:rsid w:val="0086657E"/>
    <w:rsid w:val="008665B1"/>
    <w:rsid w:val="008665C9"/>
    <w:rsid w:val="008665D3"/>
    <w:rsid w:val="008665EA"/>
    <w:rsid w:val="00866638"/>
    <w:rsid w:val="00866642"/>
    <w:rsid w:val="0086665A"/>
    <w:rsid w:val="00866696"/>
    <w:rsid w:val="008666AD"/>
    <w:rsid w:val="008666C0"/>
    <w:rsid w:val="00866706"/>
    <w:rsid w:val="00866722"/>
    <w:rsid w:val="0086674E"/>
    <w:rsid w:val="00866753"/>
    <w:rsid w:val="00866767"/>
    <w:rsid w:val="0086677F"/>
    <w:rsid w:val="0086684E"/>
    <w:rsid w:val="0086688B"/>
    <w:rsid w:val="008668B2"/>
    <w:rsid w:val="008668E4"/>
    <w:rsid w:val="008668ED"/>
    <w:rsid w:val="00866906"/>
    <w:rsid w:val="00866913"/>
    <w:rsid w:val="0086692D"/>
    <w:rsid w:val="0086693A"/>
    <w:rsid w:val="008669B0"/>
    <w:rsid w:val="008669D2"/>
    <w:rsid w:val="008669D6"/>
    <w:rsid w:val="008669D8"/>
    <w:rsid w:val="00866A20"/>
    <w:rsid w:val="00866A51"/>
    <w:rsid w:val="00866A71"/>
    <w:rsid w:val="00866A98"/>
    <w:rsid w:val="00866AC4"/>
    <w:rsid w:val="00866B27"/>
    <w:rsid w:val="00866B3A"/>
    <w:rsid w:val="00866B6B"/>
    <w:rsid w:val="00866BA7"/>
    <w:rsid w:val="00866BCA"/>
    <w:rsid w:val="00866C1C"/>
    <w:rsid w:val="00866C96"/>
    <w:rsid w:val="00866C9F"/>
    <w:rsid w:val="00866CB0"/>
    <w:rsid w:val="00866CB2"/>
    <w:rsid w:val="00866CB8"/>
    <w:rsid w:val="00866CC3"/>
    <w:rsid w:val="00866D16"/>
    <w:rsid w:val="00866D3E"/>
    <w:rsid w:val="00866D43"/>
    <w:rsid w:val="00866D69"/>
    <w:rsid w:val="00866D95"/>
    <w:rsid w:val="00866DAC"/>
    <w:rsid w:val="00866DB2"/>
    <w:rsid w:val="00866E48"/>
    <w:rsid w:val="00866E70"/>
    <w:rsid w:val="00866E7A"/>
    <w:rsid w:val="00866E8A"/>
    <w:rsid w:val="00866E9A"/>
    <w:rsid w:val="00866EB7"/>
    <w:rsid w:val="00866EBD"/>
    <w:rsid w:val="00866EF2"/>
    <w:rsid w:val="00866F0A"/>
    <w:rsid w:val="00866F33"/>
    <w:rsid w:val="00866F87"/>
    <w:rsid w:val="00866F90"/>
    <w:rsid w:val="00866FDC"/>
    <w:rsid w:val="00867024"/>
    <w:rsid w:val="0086706A"/>
    <w:rsid w:val="0086706F"/>
    <w:rsid w:val="00867093"/>
    <w:rsid w:val="008670A4"/>
    <w:rsid w:val="008670AA"/>
    <w:rsid w:val="008670EC"/>
    <w:rsid w:val="008670FD"/>
    <w:rsid w:val="00867126"/>
    <w:rsid w:val="00867135"/>
    <w:rsid w:val="0086714D"/>
    <w:rsid w:val="0086716B"/>
    <w:rsid w:val="00867183"/>
    <w:rsid w:val="0086719A"/>
    <w:rsid w:val="008671AB"/>
    <w:rsid w:val="008671DF"/>
    <w:rsid w:val="008671E9"/>
    <w:rsid w:val="008671ED"/>
    <w:rsid w:val="008671F7"/>
    <w:rsid w:val="00867222"/>
    <w:rsid w:val="00867233"/>
    <w:rsid w:val="00867247"/>
    <w:rsid w:val="00867250"/>
    <w:rsid w:val="00867298"/>
    <w:rsid w:val="008672D9"/>
    <w:rsid w:val="008672FF"/>
    <w:rsid w:val="0086732E"/>
    <w:rsid w:val="0086736A"/>
    <w:rsid w:val="008673CB"/>
    <w:rsid w:val="0086740E"/>
    <w:rsid w:val="0086741A"/>
    <w:rsid w:val="00867437"/>
    <w:rsid w:val="008674C0"/>
    <w:rsid w:val="008674C9"/>
    <w:rsid w:val="008674D0"/>
    <w:rsid w:val="0086750F"/>
    <w:rsid w:val="0086751E"/>
    <w:rsid w:val="008675A0"/>
    <w:rsid w:val="008675F4"/>
    <w:rsid w:val="00867602"/>
    <w:rsid w:val="00867604"/>
    <w:rsid w:val="00867646"/>
    <w:rsid w:val="00867650"/>
    <w:rsid w:val="008676B7"/>
    <w:rsid w:val="008676D0"/>
    <w:rsid w:val="008676D6"/>
    <w:rsid w:val="008676ED"/>
    <w:rsid w:val="00867729"/>
    <w:rsid w:val="00867744"/>
    <w:rsid w:val="0086774A"/>
    <w:rsid w:val="008677C8"/>
    <w:rsid w:val="008677CB"/>
    <w:rsid w:val="008677DA"/>
    <w:rsid w:val="008677DB"/>
    <w:rsid w:val="0086781E"/>
    <w:rsid w:val="0086783B"/>
    <w:rsid w:val="00867865"/>
    <w:rsid w:val="008678B5"/>
    <w:rsid w:val="008678B9"/>
    <w:rsid w:val="008678E1"/>
    <w:rsid w:val="00867902"/>
    <w:rsid w:val="0086790C"/>
    <w:rsid w:val="0086791E"/>
    <w:rsid w:val="00867940"/>
    <w:rsid w:val="00867962"/>
    <w:rsid w:val="008679A4"/>
    <w:rsid w:val="008679D2"/>
    <w:rsid w:val="00867A2B"/>
    <w:rsid w:val="00867A90"/>
    <w:rsid w:val="00867A97"/>
    <w:rsid w:val="00867AA3"/>
    <w:rsid w:val="00867ABF"/>
    <w:rsid w:val="00867AC6"/>
    <w:rsid w:val="00867AF0"/>
    <w:rsid w:val="00867AF6"/>
    <w:rsid w:val="00867B18"/>
    <w:rsid w:val="00867B3F"/>
    <w:rsid w:val="00867B64"/>
    <w:rsid w:val="00867B78"/>
    <w:rsid w:val="00867B82"/>
    <w:rsid w:val="00867BC1"/>
    <w:rsid w:val="00867BD3"/>
    <w:rsid w:val="00867C56"/>
    <w:rsid w:val="00867CCF"/>
    <w:rsid w:val="00867CFE"/>
    <w:rsid w:val="00867D31"/>
    <w:rsid w:val="00867D54"/>
    <w:rsid w:val="00867D76"/>
    <w:rsid w:val="00867D8D"/>
    <w:rsid w:val="00867DA8"/>
    <w:rsid w:val="00867DED"/>
    <w:rsid w:val="00867E00"/>
    <w:rsid w:val="00867E28"/>
    <w:rsid w:val="00867E2B"/>
    <w:rsid w:val="00867E65"/>
    <w:rsid w:val="00867E6F"/>
    <w:rsid w:val="00867E79"/>
    <w:rsid w:val="00867EB1"/>
    <w:rsid w:val="00867F88"/>
    <w:rsid w:val="00867FE0"/>
    <w:rsid w:val="0086DBBB"/>
    <w:rsid w:val="00870023"/>
    <w:rsid w:val="00870078"/>
    <w:rsid w:val="008700D6"/>
    <w:rsid w:val="00870126"/>
    <w:rsid w:val="0087012B"/>
    <w:rsid w:val="00870173"/>
    <w:rsid w:val="008701D9"/>
    <w:rsid w:val="008701F9"/>
    <w:rsid w:val="00870236"/>
    <w:rsid w:val="00870262"/>
    <w:rsid w:val="00870272"/>
    <w:rsid w:val="0087027D"/>
    <w:rsid w:val="008702DF"/>
    <w:rsid w:val="008702F7"/>
    <w:rsid w:val="008702FC"/>
    <w:rsid w:val="00870339"/>
    <w:rsid w:val="0087034A"/>
    <w:rsid w:val="00870351"/>
    <w:rsid w:val="008703E4"/>
    <w:rsid w:val="008703F9"/>
    <w:rsid w:val="00870466"/>
    <w:rsid w:val="00870469"/>
    <w:rsid w:val="00870499"/>
    <w:rsid w:val="008704A0"/>
    <w:rsid w:val="008704E3"/>
    <w:rsid w:val="008704E7"/>
    <w:rsid w:val="008704E8"/>
    <w:rsid w:val="0087050B"/>
    <w:rsid w:val="00870535"/>
    <w:rsid w:val="00870589"/>
    <w:rsid w:val="00870595"/>
    <w:rsid w:val="00870598"/>
    <w:rsid w:val="008705BB"/>
    <w:rsid w:val="008705D4"/>
    <w:rsid w:val="0087062B"/>
    <w:rsid w:val="0087063B"/>
    <w:rsid w:val="0087064D"/>
    <w:rsid w:val="0087067B"/>
    <w:rsid w:val="0087067E"/>
    <w:rsid w:val="00870713"/>
    <w:rsid w:val="00870729"/>
    <w:rsid w:val="00870742"/>
    <w:rsid w:val="008707C7"/>
    <w:rsid w:val="008707E4"/>
    <w:rsid w:val="008707F1"/>
    <w:rsid w:val="0087080C"/>
    <w:rsid w:val="00870866"/>
    <w:rsid w:val="008708B2"/>
    <w:rsid w:val="008708B4"/>
    <w:rsid w:val="008708E4"/>
    <w:rsid w:val="008708E7"/>
    <w:rsid w:val="0087090C"/>
    <w:rsid w:val="00870923"/>
    <w:rsid w:val="0087096D"/>
    <w:rsid w:val="00870983"/>
    <w:rsid w:val="00870998"/>
    <w:rsid w:val="008709E9"/>
    <w:rsid w:val="00870A51"/>
    <w:rsid w:val="00870A5C"/>
    <w:rsid w:val="00870A7B"/>
    <w:rsid w:val="00870AAB"/>
    <w:rsid w:val="00870AC5"/>
    <w:rsid w:val="00870B01"/>
    <w:rsid w:val="00870B0B"/>
    <w:rsid w:val="00870B24"/>
    <w:rsid w:val="00870B7F"/>
    <w:rsid w:val="00870B88"/>
    <w:rsid w:val="00870BAC"/>
    <w:rsid w:val="00870BED"/>
    <w:rsid w:val="00870BF4"/>
    <w:rsid w:val="00870BF6"/>
    <w:rsid w:val="00870BFF"/>
    <w:rsid w:val="00870C1A"/>
    <w:rsid w:val="00870C1E"/>
    <w:rsid w:val="00870C51"/>
    <w:rsid w:val="00870C5F"/>
    <w:rsid w:val="00870C60"/>
    <w:rsid w:val="00870D1C"/>
    <w:rsid w:val="00870D83"/>
    <w:rsid w:val="00870DAE"/>
    <w:rsid w:val="00870DB6"/>
    <w:rsid w:val="00870DC7"/>
    <w:rsid w:val="00870DCF"/>
    <w:rsid w:val="00870DF4"/>
    <w:rsid w:val="00870DF7"/>
    <w:rsid w:val="00870E20"/>
    <w:rsid w:val="00870E3D"/>
    <w:rsid w:val="00870E67"/>
    <w:rsid w:val="00870E9D"/>
    <w:rsid w:val="00870EBE"/>
    <w:rsid w:val="00870F45"/>
    <w:rsid w:val="00870F61"/>
    <w:rsid w:val="00870F8A"/>
    <w:rsid w:val="00870FAF"/>
    <w:rsid w:val="00870FC6"/>
    <w:rsid w:val="00870FC9"/>
    <w:rsid w:val="0087100D"/>
    <w:rsid w:val="00871012"/>
    <w:rsid w:val="0087103B"/>
    <w:rsid w:val="00871049"/>
    <w:rsid w:val="0087104B"/>
    <w:rsid w:val="00871082"/>
    <w:rsid w:val="00871087"/>
    <w:rsid w:val="0087108C"/>
    <w:rsid w:val="008710B9"/>
    <w:rsid w:val="008710FD"/>
    <w:rsid w:val="0087112A"/>
    <w:rsid w:val="00871136"/>
    <w:rsid w:val="0087114F"/>
    <w:rsid w:val="0087118B"/>
    <w:rsid w:val="008711B0"/>
    <w:rsid w:val="008711BE"/>
    <w:rsid w:val="008711FB"/>
    <w:rsid w:val="00871212"/>
    <w:rsid w:val="0087123B"/>
    <w:rsid w:val="00871246"/>
    <w:rsid w:val="0087127E"/>
    <w:rsid w:val="0087127F"/>
    <w:rsid w:val="008712A0"/>
    <w:rsid w:val="008712D5"/>
    <w:rsid w:val="008712F5"/>
    <w:rsid w:val="00871362"/>
    <w:rsid w:val="008713D7"/>
    <w:rsid w:val="00871412"/>
    <w:rsid w:val="00871423"/>
    <w:rsid w:val="0087142C"/>
    <w:rsid w:val="00871430"/>
    <w:rsid w:val="0087145A"/>
    <w:rsid w:val="0087145C"/>
    <w:rsid w:val="00871470"/>
    <w:rsid w:val="00871496"/>
    <w:rsid w:val="008714D2"/>
    <w:rsid w:val="008714E6"/>
    <w:rsid w:val="008714F4"/>
    <w:rsid w:val="00871500"/>
    <w:rsid w:val="00871551"/>
    <w:rsid w:val="00871553"/>
    <w:rsid w:val="00871570"/>
    <w:rsid w:val="00871588"/>
    <w:rsid w:val="0087158C"/>
    <w:rsid w:val="00871596"/>
    <w:rsid w:val="0087162A"/>
    <w:rsid w:val="0087163A"/>
    <w:rsid w:val="0087166D"/>
    <w:rsid w:val="008716B1"/>
    <w:rsid w:val="008716C5"/>
    <w:rsid w:val="008716D1"/>
    <w:rsid w:val="008716E6"/>
    <w:rsid w:val="00871708"/>
    <w:rsid w:val="0087172C"/>
    <w:rsid w:val="00871795"/>
    <w:rsid w:val="0087181C"/>
    <w:rsid w:val="0087183E"/>
    <w:rsid w:val="0087186B"/>
    <w:rsid w:val="0087187A"/>
    <w:rsid w:val="008718B1"/>
    <w:rsid w:val="008718E6"/>
    <w:rsid w:val="008718F4"/>
    <w:rsid w:val="00871962"/>
    <w:rsid w:val="00871964"/>
    <w:rsid w:val="00871969"/>
    <w:rsid w:val="00871984"/>
    <w:rsid w:val="008719BE"/>
    <w:rsid w:val="00871A47"/>
    <w:rsid w:val="00871AB3"/>
    <w:rsid w:val="00871AB4"/>
    <w:rsid w:val="00871B02"/>
    <w:rsid w:val="00871B13"/>
    <w:rsid w:val="00871B56"/>
    <w:rsid w:val="00871B5F"/>
    <w:rsid w:val="00871B6C"/>
    <w:rsid w:val="00871B83"/>
    <w:rsid w:val="00871B92"/>
    <w:rsid w:val="00871BAC"/>
    <w:rsid w:val="00871BC3"/>
    <w:rsid w:val="00871BED"/>
    <w:rsid w:val="00871BF4"/>
    <w:rsid w:val="00871BF5"/>
    <w:rsid w:val="00871C2E"/>
    <w:rsid w:val="00871CC8"/>
    <w:rsid w:val="00871CD2"/>
    <w:rsid w:val="00871CE1"/>
    <w:rsid w:val="00871CEA"/>
    <w:rsid w:val="00871CF6"/>
    <w:rsid w:val="00871D53"/>
    <w:rsid w:val="00871D89"/>
    <w:rsid w:val="00871DEF"/>
    <w:rsid w:val="00871DF8"/>
    <w:rsid w:val="00871DFC"/>
    <w:rsid w:val="00871E1B"/>
    <w:rsid w:val="00871E6A"/>
    <w:rsid w:val="00871E8F"/>
    <w:rsid w:val="00871E96"/>
    <w:rsid w:val="00871E9C"/>
    <w:rsid w:val="00871EBF"/>
    <w:rsid w:val="00871EDC"/>
    <w:rsid w:val="00871EF3"/>
    <w:rsid w:val="00871EF9"/>
    <w:rsid w:val="00871F0E"/>
    <w:rsid w:val="00871F69"/>
    <w:rsid w:val="00871F84"/>
    <w:rsid w:val="00871FD2"/>
    <w:rsid w:val="00871FEA"/>
    <w:rsid w:val="00872005"/>
    <w:rsid w:val="0087200D"/>
    <w:rsid w:val="0087204F"/>
    <w:rsid w:val="00872058"/>
    <w:rsid w:val="0087207F"/>
    <w:rsid w:val="0087209C"/>
    <w:rsid w:val="008720AF"/>
    <w:rsid w:val="008720C0"/>
    <w:rsid w:val="008720CF"/>
    <w:rsid w:val="008720D7"/>
    <w:rsid w:val="008720EA"/>
    <w:rsid w:val="008720F3"/>
    <w:rsid w:val="00872123"/>
    <w:rsid w:val="00872175"/>
    <w:rsid w:val="00872181"/>
    <w:rsid w:val="008721E8"/>
    <w:rsid w:val="008721EA"/>
    <w:rsid w:val="00872201"/>
    <w:rsid w:val="00872211"/>
    <w:rsid w:val="00872231"/>
    <w:rsid w:val="00872232"/>
    <w:rsid w:val="00872237"/>
    <w:rsid w:val="0087223B"/>
    <w:rsid w:val="0087225D"/>
    <w:rsid w:val="0087226D"/>
    <w:rsid w:val="008722AE"/>
    <w:rsid w:val="008722AF"/>
    <w:rsid w:val="008722DE"/>
    <w:rsid w:val="008722E0"/>
    <w:rsid w:val="00872360"/>
    <w:rsid w:val="00872368"/>
    <w:rsid w:val="008723D3"/>
    <w:rsid w:val="008723EC"/>
    <w:rsid w:val="008723EE"/>
    <w:rsid w:val="008723EF"/>
    <w:rsid w:val="008723FC"/>
    <w:rsid w:val="00872412"/>
    <w:rsid w:val="00872430"/>
    <w:rsid w:val="00872452"/>
    <w:rsid w:val="0087246F"/>
    <w:rsid w:val="008724C2"/>
    <w:rsid w:val="00872522"/>
    <w:rsid w:val="00872524"/>
    <w:rsid w:val="0087253B"/>
    <w:rsid w:val="008725A1"/>
    <w:rsid w:val="008725EE"/>
    <w:rsid w:val="00872618"/>
    <w:rsid w:val="00872624"/>
    <w:rsid w:val="0087265C"/>
    <w:rsid w:val="00872669"/>
    <w:rsid w:val="0087266B"/>
    <w:rsid w:val="00872690"/>
    <w:rsid w:val="00872737"/>
    <w:rsid w:val="0087274C"/>
    <w:rsid w:val="0087275C"/>
    <w:rsid w:val="00872760"/>
    <w:rsid w:val="0087278C"/>
    <w:rsid w:val="008727B0"/>
    <w:rsid w:val="008727C9"/>
    <w:rsid w:val="008727FA"/>
    <w:rsid w:val="008727FB"/>
    <w:rsid w:val="0087289E"/>
    <w:rsid w:val="008728E7"/>
    <w:rsid w:val="008728FA"/>
    <w:rsid w:val="0087290B"/>
    <w:rsid w:val="00872925"/>
    <w:rsid w:val="0087299B"/>
    <w:rsid w:val="0087299D"/>
    <w:rsid w:val="00872A4D"/>
    <w:rsid w:val="00872A77"/>
    <w:rsid w:val="00872AC9"/>
    <w:rsid w:val="00872AE7"/>
    <w:rsid w:val="00872B33"/>
    <w:rsid w:val="00872BA8"/>
    <w:rsid w:val="00872BB0"/>
    <w:rsid w:val="00872BB4"/>
    <w:rsid w:val="00872BD7"/>
    <w:rsid w:val="00872C11"/>
    <w:rsid w:val="00872C13"/>
    <w:rsid w:val="00872C58"/>
    <w:rsid w:val="00872C60"/>
    <w:rsid w:val="00872C6A"/>
    <w:rsid w:val="00872C92"/>
    <w:rsid w:val="00872CA6"/>
    <w:rsid w:val="00872CC4"/>
    <w:rsid w:val="00872CCA"/>
    <w:rsid w:val="00872CCC"/>
    <w:rsid w:val="00872CDF"/>
    <w:rsid w:val="00872CE8"/>
    <w:rsid w:val="00872CED"/>
    <w:rsid w:val="00872D12"/>
    <w:rsid w:val="00872D1D"/>
    <w:rsid w:val="00872D27"/>
    <w:rsid w:val="00872D31"/>
    <w:rsid w:val="00872D91"/>
    <w:rsid w:val="00872D93"/>
    <w:rsid w:val="00872DA8"/>
    <w:rsid w:val="00872DF7"/>
    <w:rsid w:val="00872E0A"/>
    <w:rsid w:val="00872E33"/>
    <w:rsid w:val="00872E9E"/>
    <w:rsid w:val="00872EA2"/>
    <w:rsid w:val="00872EB7"/>
    <w:rsid w:val="00872EC7"/>
    <w:rsid w:val="00872F2A"/>
    <w:rsid w:val="00872F91"/>
    <w:rsid w:val="00872FD5"/>
    <w:rsid w:val="00872FFB"/>
    <w:rsid w:val="00873015"/>
    <w:rsid w:val="0087302C"/>
    <w:rsid w:val="0087309A"/>
    <w:rsid w:val="008730A6"/>
    <w:rsid w:val="008730A9"/>
    <w:rsid w:val="008730F0"/>
    <w:rsid w:val="00873108"/>
    <w:rsid w:val="00873187"/>
    <w:rsid w:val="0087318C"/>
    <w:rsid w:val="008731C1"/>
    <w:rsid w:val="00873202"/>
    <w:rsid w:val="0087320D"/>
    <w:rsid w:val="0087328E"/>
    <w:rsid w:val="008732B1"/>
    <w:rsid w:val="008732E5"/>
    <w:rsid w:val="008732F4"/>
    <w:rsid w:val="0087330E"/>
    <w:rsid w:val="00873316"/>
    <w:rsid w:val="00873327"/>
    <w:rsid w:val="0087334E"/>
    <w:rsid w:val="0087338A"/>
    <w:rsid w:val="00873393"/>
    <w:rsid w:val="008733D2"/>
    <w:rsid w:val="00873435"/>
    <w:rsid w:val="0087343E"/>
    <w:rsid w:val="00873444"/>
    <w:rsid w:val="00873486"/>
    <w:rsid w:val="0087348B"/>
    <w:rsid w:val="008734DF"/>
    <w:rsid w:val="008734E7"/>
    <w:rsid w:val="00873522"/>
    <w:rsid w:val="00873537"/>
    <w:rsid w:val="00873545"/>
    <w:rsid w:val="00873557"/>
    <w:rsid w:val="008735B1"/>
    <w:rsid w:val="008735C0"/>
    <w:rsid w:val="0087363D"/>
    <w:rsid w:val="00873665"/>
    <w:rsid w:val="00873673"/>
    <w:rsid w:val="0087369B"/>
    <w:rsid w:val="0087369D"/>
    <w:rsid w:val="008736D3"/>
    <w:rsid w:val="008736E9"/>
    <w:rsid w:val="00873736"/>
    <w:rsid w:val="00873772"/>
    <w:rsid w:val="0087379D"/>
    <w:rsid w:val="008737A9"/>
    <w:rsid w:val="008737C8"/>
    <w:rsid w:val="008737F6"/>
    <w:rsid w:val="00873813"/>
    <w:rsid w:val="00873816"/>
    <w:rsid w:val="00873821"/>
    <w:rsid w:val="008738B1"/>
    <w:rsid w:val="008738B8"/>
    <w:rsid w:val="008738C8"/>
    <w:rsid w:val="008738E8"/>
    <w:rsid w:val="008738F6"/>
    <w:rsid w:val="0087394B"/>
    <w:rsid w:val="0087395F"/>
    <w:rsid w:val="0087396B"/>
    <w:rsid w:val="0087396E"/>
    <w:rsid w:val="008739D2"/>
    <w:rsid w:val="008739DC"/>
    <w:rsid w:val="008739E0"/>
    <w:rsid w:val="008739E1"/>
    <w:rsid w:val="00873A17"/>
    <w:rsid w:val="00873A42"/>
    <w:rsid w:val="00873AAC"/>
    <w:rsid w:val="00873ABD"/>
    <w:rsid w:val="00873AF1"/>
    <w:rsid w:val="00873AF3"/>
    <w:rsid w:val="00873B51"/>
    <w:rsid w:val="00873B81"/>
    <w:rsid w:val="00873B83"/>
    <w:rsid w:val="00873B8A"/>
    <w:rsid w:val="00873B93"/>
    <w:rsid w:val="00873BBA"/>
    <w:rsid w:val="00873BC4"/>
    <w:rsid w:val="00873BE8"/>
    <w:rsid w:val="00873C10"/>
    <w:rsid w:val="00873C31"/>
    <w:rsid w:val="00873C58"/>
    <w:rsid w:val="00873C5F"/>
    <w:rsid w:val="00873C68"/>
    <w:rsid w:val="00873C89"/>
    <w:rsid w:val="00873CB4"/>
    <w:rsid w:val="00873CD5"/>
    <w:rsid w:val="00873CDD"/>
    <w:rsid w:val="00873D28"/>
    <w:rsid w:val="00873D31"/>
    <w:rsid w:val="00873D3A"/>
    <w:rsid w:val="00873D46"/>
    <w:rsid w:val="00873D77"/>
    <w:rsid w:val="00873D8C"/>
    <w:rsid w:val="00873D8D"/>
    <w:rsid w:val="00873D9B"/>
    <w:rsid w:val="00873DB8"/>
    <w:rsid w:val="00873E12"/>
    <w:rsid w:val="00873E14"/>
    <w:rsid w:val="00873E35"/>
    <w:rsid w:val="00873E83"/>
    <w:rsid w:val="00873EE2"/>
    <w:rsid w:val="00873F35"/>
    <w:rsid w:val="00873F38"/>
    <w:rsid w:val="00873F62"/>
    <w:rsid w:val="00873F6C"/>
    <w:rsid w:val="00873F7B"/>
    <w:rsid w:val="00873F7F"/>
    <w:rsid w:val="00873F99"/>
    <w:rsid w:val="00873FC6"/>
    <w:rsid w:val="00873FCF"/>
    <w:rsid w:val="00873FDD"/>
    <w:rsid w:val="00873FF5"/>
    <w:rsid w:val="0087400D"/>
    <w:rsid w:val="00874044"/>
    <w:rsid w:val="00874056"/>
    <w:rsid w:val="0087405F"/>
    <w:rsid w:val="00874078"/>
    <w:rsid w:val="0087409E"/>
    <w:rsid w:val="008740AD"/>
    <w:rsid w:val="008740DB"/>
    <w:rsid w:val="00874105"/>
    <w:rsid w:val="00874117"/>
    <w:rsid w:val="00874144"/>
    <w:rsid w:val="0087418D"/>
    <w:rsid w:val="008741A7"/>
    <w:rsid w:val="008741E1"/>
    <w:rsid w:val="008741EC"/>
    <w:rsid w:val="00874208"/>
    <w:rsid w:val="0087422E"/>
    <w:rsid w:val="0087423A"/>
    <w:rsid w:val="00874240"/>
    <w:rsid w:val="00874258"/>
    <w:rsid w:val="0087425B"/>
    <w:rsid w:val="00874271"/>
    <w:rsid w:val="008742B7"/>
    <w:rsid w:val="008742B9"/>
    <w:rsid w:val="008742F4"/>
    <w:rsid w:val="00874355"/>
    <w:rsid w:val="0087436C"/>
    <w:rsid w:val="00874380"/>
    <w:rsid w:val="008743B4"/>
    <w:rsid w:val="008743B8"/>
    <w:rsid w:val="008743B9"/>
    <w:rsid w:val="008743E1"/>
    <w:rsid w:val="00874414"/>
    <w:rsid w:val="00874422"/>
    <w:rsid w:val="0087442B"/>
    <w:rsid w:val="0087443F"/>
    <w:rsid w:val="00874456"/>
    <w:rsid w:val="00874467"/>
    <w:rsid w:val="00874468"/>
    <w:rsid w:val="00874508"/>
    <w:rsid w:val="00874510"/>
    <w:rsid w:val="00874554"/>
    <w:rsid w:val="0087455D"/>
    <w:rsid w:val="008745E5"/>
    <w:rsid w:val="0087465C"/>
    <w:rsid w:val="008746B7"/>
    <w:rsid w:val="008746FF"/>
    <w:rsid w:val="0087476B"/>
    <w:rsid w:val="00874780"/>
    <w:rsid w:val="00874782"/>
    <w:rsid w:val="008747CB"/>
    <w:rsid w:val="00874865"/>
    <w:rsid w:val="00874878"/>
    <w:rsid w:val="008748A1"/>
    <w:rsid w:val="008748B6"/>
    <w:rsid w:val="008748BC"/>
    <w:rsid w:val="008748CC"/>
    <w:rsid w:val="008748D2"/>
    <w:rsid w:val="008748DE"/>
    <w:rsid w:val="00874901"/>
    <w:rsid w:val="0087491F"/>
    <w:rsid w:val="0087492D"/>
    <w:rsid w:val="0087494A"/>
    <w:rsid w:val="00874990"/>
    <w:rsid w:val="008749C5"/>
    <w:rsid w:val="008749F7"/>
    <w:rsid w:val="00874AF4"/>
    <w:rsid w:val="00874B3B"/>
    <w:rsid w:val="00874B7A"/>
    <w:rsid w:val="00874B9F"/>
    <w:rsid w:val="00874BA3"/>
    <w:rsid w:val="00874BA6"/>
    <w:rsid w:val="00874BC5"/>
    <w:rsid w:val="00874BC8"/>
    <w:rsid w:val="00874BCC"/>
    <w:rsid w:val="00874C0C"/>
    <w:rsid w:val="00874C0E"/>
    <w:rsid w:val="00874C16"/>
    <w:rsid w:val="00874C17"/>
    <w:rsid w:val="00874C2A"/>
    <w:rsid w:val="00874C39"/>
    <w:rsid w:val="00874C60"/>
    <w:rsid w:val="00874C6F"/>
    <w:rsid w:val="00874C74"/>
    <w:rsid w:val="00874CB3"/>
    <w:rsid w:val="00874CB7"/>
    <w:rsid w:val="00874CCF"/>
    <w:rsid w:val="00874D10"/>
    <w:rsid w:val="00874D1D"/>
    <w:rsid w:val="00874D37"/>
    <w:rsid w:val="00874D78"/>
    <w:rsid w:val="00874D9F"/>
    <w:rsid w:val="00874DC2"/>
    <w:rsid w:val="00874DD7"/>
    <w:rsid w:val="00874DE7"/>
    <w:rsid w:val="00874DFB"/>
    <w:rsid w:val="00874E19"/>
    <w:rsid w:val="00874E25"/>
    <w:rsid w:val="00874E33"/>
    <w:rsid w:val="00874E3D"/>
    <w:rsid w:val="00874EC8"/>
    <w:rsid w:val="00874EE4"/>
    <w:rsid w:val="00874F45"/>
    <w:rsid w:val="00874F9E"/>
    <w:rsid w:val="00874FA0"/>
    <w:rsid w:val="00875006"/>
    <w:rsid w:val="00875011"/>
    <w:rsid w:val="0087501C"/>
    <w:rsid w:val="0087502B"/>
    <w:rsid w:val="008750C0"/>
    <w:rsid w:val="008750D4"/>
    <w:rsid w:val="008750DA"/>
    <w:rsid w:val="008750FB"/>
    <w:rsid w:val="008750FE"/>
    <w:rsid w:val="00875101"/>
    <w:rsid w:val="00875108"/>
    <w:rsid w:val="0087514D"/>
    <w:rsid w:val="00875185"/>
    <w:rsid w:val="008751C9"/>
    <w:rsid w:val="00875219"/>
    <w:rsid w:val="00875246"/>
    <w:rsid w:val="00875249"/>
    <w:rsid w:val="00875289"/>
    <w:rsid w:val="00875292"/>
    <w:rsid w:val="008752B1"/>
    <w:rsid w:val="008752E2"/>
    <w:rsid w:val="00875306"/>
    <w:rsid w:val="00875314"/>
    <w:rsid w:val="00875345"/>
    <w:rsid w:val="00875386"/>
    <w:rsid w:val="00875394"/>
    <w:rsid w:val="008753D1"/>
    <w:rsid w:val="00875401"/>
    <w:rsid w:val="00875426"/>
    <w:rsid w:val="00875431"/>
    <w:rsid w:val="00875443"/>
    <w:rsid w:val="0087547F"/>
    <w:rsid w:val="008754AB"/>
    <w:rsid w:val="00875550"/>
    <w:rsid w:val="00875585"/>
    <w:rsid w:val="008755A3"/>
    <w:rsid w:val="00875685"/>
    <w:rsid w:val="008756B5"/>
    <w:rsid w:val="008756CD"/>
    <w:rsid w:val="0087570D"/>
    <w:rsid w:val="00875712"/>
    <w:rsid w:val="0087572E"/>
    <w:rsid w:val="00875736"/>
    <w:rsid w:val="00875788"/>
    <w:rsid w:val="0087578B"/>
    <w:rsid w:val="0087579A"/>
    <w:rsid w:val="008757EA"/>
    <w:rsid w:val="00875842"/>
    <w:rsid w:val="00875844"/>
    <w:rsid w:val="00875846"/>
    <w:rsid w:val="00875849"/>
    <w:rsid w:val="0087586A"/>
    <w:rsid w:val="0087587C"/>
    <w:rsid w:val="008758AB"/>
    <w:rsid w:val="008758B4"/>
    <w:rsid w:val="008758C3"/>
    <w:rsid w:val="008758E4"/>
    <w:rsid w:val="008758E7"/>
    <w:rsid w:val="008758F0"/>
    <w:rsid w:val="0087590C"/>
    <w:rsid w:val="00875924"/>
    <w:rsid w:val="00875929"/>
    <w:rsid w:val="00875931"/>
    <w:rsid w:val="0087593F"/>
    <w:rsid w:val="00875942"/>
    <w:rsid w:val="00875952"/>
    <w:rsid w:val="00875960"/>
    <w:rsid w:val="0087598F"/>
    <w:rsid w:val="00875995"/>
    <w:rsid w:val="008759A2"/>
    <w:rsid w:val="008759A8"/>
    <w:rsid w:val="008759C1"/>
    <w:rsid w:val="008759C7"/>
    <w:rsid w:val="008759D3"/>
    <w:rsid w:val="008759E4"/>
    <w:rsid w:val="00875A06"/>
    <w:rsid w:val="00875A30"/>
    <w:rsid w:val="00875A40"/>
    <w:rsid w:val="00875A62"/>
    <w:rsid w:val="00875A66"/>
    <w:rsid w:val="00875A9B"/>
    <w:rsid w:val="00875ADC"/>
    <w:rsid w:val="00875B21"/>
    <w:rsid w:val="00875B22"/>
    <w:rsid w:val="00875B3F"/>
    <w:rsid w:val="00875B6D"/>
    <w:rsid w:val="00875B9B"/>
    <w:rsid w:val="00875BB7"/>
    <w:rsid w:val="00875BE5"/>
    <w:rsid w:val="00875C0F"/>
    <w:rsid w:val="00875C21"/>
    <w:rsid w:val="00875C4F"/>
    <w:rsid w:val="00875C54"/>
    <w:rsid w:val="00875C5A"/>
    <w:rsid w:val="00875C6B"/>
    <w:rsid w:val="00875C8A"/>
    <w:rsid w:val="00875D41"/>
    <w:rsid w:val="00875D6F"/>
    <w:rsid w:val="00875D78"/>
    <w:rsid w:val="00875D88"/>
    <w:rsid w:val="00875DCB"/>
    <w:rsid w:val="00875DF0"/>
    <w:rsid w:val="00875DF3"/>
    <w:rsid w:val="00875E0A"/>
    <w:rsid w:val="00875E0E"/>
    <w:rsid w:val="00875E36"/>
    <w:rsid w:val="00875E4C"/>
    <w:rsid w:val="00875E60"/>
    <w:rsid w:val="00875E7C"/>
    <w:rsid w:val="00875EA2"/>
    <w:rsid w:val="00875EA5"/>
    <w:rsid w:val="00875EDD"/>
    <w:rsid w:val="00875F11"/>
    <w:rsid w:val="00875F64"/>
    <w:rsid w:val="00875FAB"/>
    <w:rsid w:val="00875FE5"/>
    <w:rsid w:val="00876051"/>
    <w:rsid w:val="00876056"/>
    <w:rsid w:val="00876064"/>
    <w:rsid w:val="00876072"/>
    <w:rsid w:val="00876088"/>
    <w:rsid w:val="008760C2"/>
    <w:rsid w:val="008760D0"/>
    <w:rsid w:val="008760DA"/>
    <w:rsid w:val="008760FC"/>
    <w:rsid w:val="00876103"/>
    <w:rsid w:val="00876112"/>
    <w:rsid w:val="00876123"/>
    <w:rsid w:val="0087613D"/>
    <w:rsid w:val="0087617F"/>
    <w:rsid w:val="0087618F"/>
    <w:rsid w:val="008761DF"/>
    <w:rsid w:val="0087622F"/>
    <w:rsid w:val="008762A6"/>
    <w:rsid w:val="008762A8"/>
    <w:rsid w:val="008762AA"/>
    <w:rsid w:val="008762B4"/>
    <w:rsid w:val="008762E0"/>
    <w:rsid w:val="00876301"/>
    <w:rsid w:val="00876335"/>
    <w:rsid w:val="00876371"/>
    <w:rsid w:val="0087640C"/>
    <w:rsid w:val="00876454"/>
    <w:rsid w:val="0087645D"/>
    <w:rsid w:val="00876472"/>
    <w:rsid w:val="00876489"/>
    <w:rsid w:val="00876491"/>
    <w:rsid w:val="008764B2"/>
    <w:rsid w:val="008764DD"/>
    <w:rsid w:val="00876508"/>
    <w:rsid w:val="00876531"/>
    <w:rsid w:val="0087653E"/>
    <w:rsid w:val="0087658A"/>
    <w:rsid w:val="008765A4"/>
    <w:rsid w:val="008765BC"/>
    <w:rsid w:val="008765C2"/>
    <w:rsid w:val="008765D8"/>
    <w:rsid w:val="008765FE"/>
    <w:rsid w:val="00876639"/>
    <w:rsid w:val="00876651"/>
    <w:rsid w:val="0087665D"/>
    <w:rsid w:val="00876660"/>
    <w:rsid w:val="00876681"/>
    <w:rsid w:val="008766CB"/>
    <w:rsid w:val="00876708"/>
    <w:rsid w:val="00876722"/>
    <w:rsid w:val="0087672D"/>
    <w:rsid w:val="00876756"/>
    <w:rsid w:val="00876767"/>
    <w:rsid w:val="008767BA"/>
    <w:rsid w:val="00876804"/>
    <w:rsid w:val="0087683C"/>
    <w:rsid w:val="00876853"/>
    <w:rsid w:val="008768B0"/>
    <w:rsid w:val="008768CB"/>
    <w:rsid w:val="008768E8"/>
    <w:rsid w:val="00876950"/>
    <w:rsid w:val="00876966"/>
    <w:rsid w:val="00876A04"/>
    <w:rsid w:val="00876A22"/>
    <w:rsid w:val="00876A27"/>
    <w:rsid w:val="00876A79"/>
    <w:rsid w:val="00876A92"/>
    <w:rsid w:val="00876AB6"/>
    <w:rsid w:val="00876AF0"/>
    <w:rsid w:val="00876AF6"/>
    <w:rsid w:val="00876B66"/>
    <w:rsid w:val="00876BD8"/>
    <w:rsid w:val="00876BE6"/>
    <w:rsid w:val="00876BFE"/>
    <w:rsid w:val="00876C09"/>
    <w:rsid w:val="00876C15"/>
    <w:rsid w:val="00876C22"/>
    <w:rsid w:val="00876C29"/>
    <w:rsid w:val="00876C37"/>
    <w:rsid w:val="00876C60"/>
    <w:rsid w:val="00876C6A"/>
    <w:rsid w:val="00876C78"/>
    <w:rsid w:val="00876C79"/>
    <w:rsid w:val="00876C99"/>
    <w:rsid w:val="00876CBE"/>
    <w:rsid w:val="00876CD6"/>
    <w:rsid w:val="00876CEA"/>
    <w:rsid w:val="00876D38"/>
    <w:rsid w:val="00876D6D"/>
    <w:rsid w:val="00876D80"/>
    <w:rsid w:val="00876DAD"/>
    <w:rsid w:val="00876DB1"/>
    <w:rsid w:val="00876DB8"/>
    <w:rsid w:val="00876DF0"/>
    <w:rsid w:val="00876E20"/>
    <w:rsid w:val="00876E57"/>
    <w:rsid w:val="00876E6B"/>
    <w:rsid w:val="00876E96"/>
    <w:rsid w:val="00876E9F"/>
    <w:rsid w:val="00876EA7"/>
    <w:rsid w:val="00876EC7"/>
    <w:rsid w:val="00876EE6"/>
    <w:rsid w:val="00876EFD"/>
    <w:rsid w:val="00876F0C"/>
    <w:rsid w:val="00876F1A"/>
    <w:rsid w:val="00876F31"/>
    <w:rsid w:val="00876F88"/>
    <w:rsid w:val="00876F93"/>
    <w:rsid w:val="00876FA8"/>
    <w:rsid w:val="00876FBB"/>
    <w:rsid w:val="0087701A"/>
    <w:rsid w:val="00877024"/>
    <w:rsid w:val="0087705A"/>
    <w:rsid w:val="008770CD"/>
    <w:rsid w:val="008770EA"/>
    <w:rsid w:val="008770F0"/>
    <w:rsid w:val="00877125"/>
    <w:rsid w:val="00877133"/>
    <w:rsid w:val="0087713A"/>
    <w:rsid w:val="00877141"/>
    <w:rsid w:val="00877166"/>
    <w:rsid w:val="00877171"/>
    <w:rsid w:val="00877177"/>
    <w:rsid w:val="008771AD"/>
    <w:rsid w:val="008771E3"/>
    <w:rsid w:val="008772F5"/>
    <w:rsid w:val="00877308"/>
    <w:rsid w:val="00877363"/>
    <w:rsid w:val="008773A3"/>
    <w:rsid w:val="008773C1"/>
    <w:rsid w:val="008773CC"/>
    <w:rsid w:val="00877424"/>
    <w:rsid w:val="00877488"/>
    <w:rsid w:val="008774C0"/>
    <w:rsid w:val="008774FC"/>
    <w:rsid w:val="00877526"/>
    <w:rsid w:val="00877530"/>
    <w:rsid w:val="00877538"/>
    <w:rsid w:val="00877567"/>
    <w:rsid w:val="008775F9"/>
    <w:rsid w:val="0087761D"/>
    <w:rsid w:val="00877667"/>
    <w:rsid w:val="00877688"/>
    <w:rsid w:val="00877695"/>
    <w:rsid w:val="0087777E"/>
    <w:rsid w:val="008777CB"/>
    <w:rsid w:val="008777D7"/>
    <w:rsid w:val="008777DA"/>
    <w:rsid w:val="008777E0"/>
    <w:rsid w:val="0087784C"/>
    <w:rsid w:val="00877871"/>
    <w:rsid w:val="0087789F"/>
    <w:rsid w:val="008778C6"/>
    <w:rsid w:val="00877962"/>
    <w:rsid w:val="0087796C"/>
    <w:rsid w:val="0087798C"/>
    <w:rsid w:val="008779A7"/>
    <w:rsid w:val="008779AE"/>
    <w:rsid w:val="008779B5"/>
    <w:rsid w:val="008779CA"/>
    <w:rsid w:val="008779E9"/>
    <w:rsid w:val="008779FC"/>
    <w:rsid w:val="00877A5F"/>
    <w:rsid w:val="00877A91"/>
    <w:rsid w:val="00877AB5"/>
    <w:rsid w:val="00877ACE"/>
    <w:rsid w:val="00877B44"/>
    <w:rsid w:val="00877BE3"/>
    <w:rsid w:val="00877C03"/>
    <w:rsid w:val="00877C21"/>
    <w:rsid w:val="00877C9A"/>
    <w:rsid w:val="00877C9D"/>
    <w:rsid w:val="00877CEA"/>
    <w:rsid w:val="00877CF2"/>
    <w:rsid w:val="00877D11"/>
    <w:rsid w:val="00877D1F"/>
    <w:rsid w:val="00877D2D"/>
    <w:rsid w:val="00877D73"/>
    <w:rsid w:val="00877DCC"/>
    <w:rsid w:val="00877DD6"/>
    <w:rsid w:val="00877DDB"/>
    <w:rsid w:val="00877E07"/>
    <w:rsid w:val="00877E26"/>
    <w:rsid w:val="00877EA3"/>
    <w:rsid w:val="00877EC0"/>
    <w:rsid w:val="00877EE3"/>
    <w:rsid w:val="00877F05"/>
    <w:rsid w:val="00877F11"/>
    <w:rsid w:val="00877F4E"/>
    <w:rsid w:val="00877F80"/>
    <w:rsid w:val="00877F96"/>
    <w:rsid w:val="00877F9C"/>
    <w:rsid w:val="00877F9E"/>
    <w:rsid w:val="00877FEA"/>
    <w:rsid w:val="00877FEC"/>
    <w:rsid w:val="00880003"/>
    <w:rsid w:val="00880009"/>
    <w:rsid w:val="00880013"/>
    <w:rsid w:val="00880015"/>
    <w:rsid w:val="0088002B"/>
    <w:rsid w:val="00880094"/>
    <w:rsid w:val="0088009D"/>
    <w:rsid w:val="008800A7"/>
    <w:rsid w:val="008800C0"/>
    <w:rsid w:val="008800CF"/>
    <w:rsid w:val="0088010B"/>
    <w:rsid w:val="0088010F"/>
    <w:rsid w:val="00880132"/>
    <w:rsid w:val="00880143"/>
    <w:rsid w:val="00880180"/>
    <w:rsid w:val="00880189"/>
    <w:rsid w:val="008801E7"/>
    <w:rsid w:val="00880203"/>
    <w:rsid w:val="00880209"/>
    <w:rsid w:val="00880240"/>
    <w:rsid w:val="00880249"/>
    <w:rsid w:val="0088024C"/>
    <w:rsid w:val="00880257"/>
    <w:rsid w:val="0088025C"/>
    <w:rsid w:val="008802E2"/>
    <w:rsid w:val="008802E3"/>
    <w:rsid w:val="008802ED"/>
    <w:rsid w:val="00880314"/>
    <w:rsid w:val="0088036D"/>
    <w:rsid w:val="00880376"/>
    <w:rsid w:val="00880453"/>
    <w:rsid w:val="0088045B"/>
    <w:rsid w:val="00880477"/>
    <w:rsid w:val="008804A0"/>
    <w:rsid w:val="008804D9"/>
    <w:rsid w:val="008804E2"/>
    <w:rsid w:val="008804E4"/>
    <w:rsid w:val="008804E9"/>
    <w:rsid w:val="00880572"/>
    <w:rsid w:val="00880593"/>
    <w:rsid w:val="008805A0"/>
    <w:rsid w:val="008805AE"/>
    <w:rsid w:val="008805DC"/>
    <w:rsid w:val="008805ED"/>
    <w:rsid w:val="0088064E"/>
    <w:rsid w:val="0088067C"/>
    <w:rsid w:val="0088067D"/>
    <w:rsid w:val="00880685"/>
    <w:rsid w:val="0088068B"/>
    <w:rsid w:val="00880701"/>
    <w:rsid w:val="00880708"/>
    <w:rsid w:val="00880713"/>
    <w:rsid w:val="0088071B"/>
    <w:rsid w:val="0088074F"/>
    <w:rsid w:val="0088075F"/>
    <w:rsid w:val="0088076B"/>
    <w:rsid w:val="0088076F"/>
    <w:rsid w:val="00880798"/>
    <w:rsid w:val="008807D3"/>
    <w:rsid w:val="008807E3"/>
    <w:rsid w:val="0088083F"/>
    <w:rsid w:val="008808C1"/>
    <w:rsid w:val="00880911"/>
    <w:rsid w:val="00880919"/>
    <w:rsid w:val="00880983"/>
    <w:rsid w:val="008809A1"/>
    <w:rsid w:val="008809AA"/>
    <w:rsid w:val="00880A59"/>
    <w:rsid w:val="00880A81"/>
    <w:rsid w:val="00880AA2"/>
    <w:rsid w:val="00880AB8"/>
    <w:rsid w:val="00880ABD"/>
    <w:rsid w:val="00880AC1"/>
    <w:rsid w:val="00880AD8"/>
    <w:rsid w:val="00880AE5"/>
    <w:rsid w:val="00880AF5"/>
    <w:rsid w:val="00880AF9"/>
    <w:rsid w:val="00880B04"/>
    <w:rsid w:val="00880B2B"/>
    <w:rsid w:val="00880C30"/>
    <w:rsid w:val="00880C33"/>
    <w:rsid w:val="00880C38"/>
    <w:rsid w:val="00880C4A"/>
    <w:rsid w:val="00880C6F"/>
    <w:rsid w:val="00880C7F"/>
    <w:rsid w:val="00880CC8"/>
    <w:rsid w:val="00880CC9"/>
    <w:rsid w:val="00880CD3"/>
    <w:rsid w:val="00880CDC"/>
    <w:rsid w:val="00880CFE"/>
    <w:rsid w:val="00880D08"/>
    <w:rsid w:val="00880D3C"/>
    <w:rsid w:val="00880DEA"/>
    <w:rsid w:val="00880E0F"/>
    <w:rsid w:val="00880E15"/>
    <w:rsid w:val="00880E17"/>
    <w:rsid w:val="00880E3B"/>
    <w:rsid w:val="00880E3C"/>
    <w:rsid w:val="00880E65"/>
    <w:rsid w:val="00880E8D"/>
    <w:rsid w:val="00880E92"/>
    <w:rsid w:val="00880E97"/>
    <w:rsid w:val="00880EB6"/>
    <w:rsid w:val="00880EB8"/>
    <w:rsid w:val="00880EF3"/>
    <w:rsid w:val="00880F8E"/>
    <w:rsid w:val="00880FB0"/>
    <w:rsid w:val="00881015"/>
    <w:rsid w:val="00881028"/>
    <w:rsid w:val="00881033"/>
    <w:rsid w:val="00881038"/>
    <w:rsid w:val="0088104C"/>
    <w:rsid w:val="008810D3"/>
    <w:rsid w:val="008810F1"/>
    <w:rsid w:val="00881108"/>
    <w:rsid w:val="00881111"/>
    <w:rsid w:val="00881123"/>
    <w:rsid w:val="0088115D"/>
    <w:rsid w:val="00881164"/>
    <w:rsid w:val="0088118C"/>
    <w:rsid w:val="008811B3"/>
    <w:rsid w:val="008811E7"/>
    <w:rsid w:val="00881206"/>
    <w:rsid w:val="0088121A"/>
    <w:rsid w:val="0088121C"/>
    <w:rsid w:val="008812D7"/>
    <w:rsid w:val="008812FA"/>
    <w:rsid w:val="00881328"/>
    <w:rsid w:val="00881344"/>
    <w:rsid w:val="00881357"/>
    <w:rsid w:val="00881363"/>
    <w:rsid w:val="008813B9"/>
    <w:rsid w:val="008813D7"/>
    <w:rsid w:val="00881409"/>
    <w:rsid w:val="0088140C"/>
    <w:rsid w:val="00881410"/>
    <w:rsid w:val="00881412"/>
    <w:rsid w:val="00881413"/>
    <w:rsid w:val="00881418"/>
    <w:rsid w:val="0088143B"/>
    <w:rsid w:val="0088143D"/>
    <w:rsid w:val="0088144F"/>
    <w:rsid w:val="00881470"/>
    <w:rsid w:val="00881476"/>
    <w:rsid w:val="00881478"/>
    <w:rsid w:val="008814AA"/>
    <w:rsid w:val="008814C9"/>
    <w:rsid w:val="008814DA"/>
    <w:rsid w:val="008814F3"/>
    <w:rsid w:val="0088151D"/>
    <w:rsid w:val="0088151F"/>
    <w:rsid w:val="008815F5"/>
    <w:rsid w:val="00881616"/>
    <w:rsid w:val="0088161E"/>
    <w:rsid w:val="00881680"/>
    <w:rsid w:val="008816C8"/>
    <w:rsid w:val="008816DF"/>
    <w:rsid w:val="008817BE"/>
    <w:rsid w:val="008817E7"/>
    <w:rsid w:val="00881804"/>
    <w:rsid w:val="0088180D"/>
    <w:rsid w:val="0088182F"/>
    <w:rsid w:val="0088187C"/>
    <w:rsid w:val="0088188D"/>
    <w:rsid w:val="0088188F"/>
    <w:rsid w:val="008818C8"/>
    <w:rsid w:val="0088196E"/>
    <w:rsid w:val="008819AC"/>
    <w:rsid w:val="00881A63"/>
    <w:rsid w:val="00881A6C"/>
    <w:rsid w:val="00881BD3"/>
    <w:rsid w:val="00881BEF"/>
    <w:rsid w:val="00881C2F"/>
    <w:rsid w:val="00881CCE"/>
    <w:rsid w:val="00881CD3"/>
    <w:rsid w:val="00881CD5"/>
    <w:rsid w:val="00881D12"/>
    <w:rsid w:val="00881D16"/>
    <w:rsid w:val="00881D55"/>
    <w:rsid w:val="00881D5D"/>
    <w:rsid w:val="00881E27"/>
    <w:rsid w:val="00881E70"/>
    <w:rsid w:val="00881E9E"/>
    <w:rsid w:val="00881EAC"/>
    <w:rsid w:val="00881EBD"/>
    <w:rsid w:val="00881ED4"/>
    <w:rsid w:val="00881F3B"/>
    <w:rsid w:val="00881F87"/>
    <w:rsid w:val="00881FB1"/>
    <w:rsid w:val="00881FEA"/>
    <w:rsid w:val="00882016"/>
    <w:rsid w:val="0088205E"/>
    <w:rsid w:val="00882063"/>
    <w:rsid w:val="00882089"/>
    <w:rsid w:val="008820D1"/>
    <w:rsid w:val="008820FA"/>
    <w:rsid w:val="0088214F"/>
    <w:rsid w:val="0088219D"/>
    <w:rsid w:val="008821CC"/>
    <w:rsid w:val="008821DE"/>
    <w:rsid w:val="008821E0"/>
    <w:rsid w:val="0088225E"/>
    <w:rsid w:val="0088228D"/>
    <w:rsid w:val="0088229D"/>
    <w:rsid w:val="008822AD"/>
    <w:rsid w:val="00882314"/>
    <w:rsid w:val="0088234D"/>
    <w:rsid w:val="00882368"/>
    <w:rsid w:val="008823B7"/>
    <w:rsid w:val="008823BD"/>
    <w:rsid w:val="008823D1"/>
    <w:rsid w:val="00882428"/>
    <w:rsid w:val="0088248A"/>
    <w:rsid w:val="008824DB"/>
    <w:rsid w:val="0088252A"/>
    <w:rsid w:val="008825BF"/>
    <w:rsid w:val="008825E8"/>
    <w:rsid w:val="00882669"/>
    <w:rsid w:val="00882685"/>
    <w:rsid w:val="00882688"/>
    <w:rsid w:val="0088269D"/>
    <w:rsid w:val="0088269F"/>
    <w:rsid w:val="008826BE"/>
    <w:rsid w:val="008826F4"/>
    <w:rsid w:val="00882708"/>
    <w:rsid w:val="0088273C"/>
    <w:rsid w:val="00882773"/>
    <w:rsid w:val="008827B7"/>
    <w:rsid w:val="008827C7"/>
    <w:rsid w:val="00882804"/>
    <w:rsid w:val="0088280E"/>
    <w:rsid w:val="0088282D"/>
    <w:rsid w:val="0088285D"/>
    <w:rsid w:val="0088287E"/>
    <w:rsid w:val="0088288D"/>
    <w:rsid w:val="00882893"/>
    <w:rsid w:val="008828BA"/>
    <w:rsid w:val="008828D0"/>
    <w:rsid w:val="008828DB"/>
    <w:rsid w:val="008828E0"/>
    <w:rsid w:val="0088296A"/>
    <w:rsid w:val="00882970"/>
    <w:rsid w:val="00882985"/>
    <w:rsid w:val="008829C3"/>
    <w:rsid w:val="008829D6"/>
    <w:rsid w:val="008829E1"/>
    <w:rsid w:val="008829FB"/>
    <w:rsid w:val="00882A1D"/>
    <w:rsid w:val="00882A8D"/>
    <w:rsid w:val="00882A9C"/>
    <w:rsid w:val="00882AF3"/>
    <w:rsid w:val="00882B18"/>
    <w:rsid w:val="00882B34"/>
    <w:rsid w:val="00882B47"/>
    <w:rsid w:val="00882B92"/>
    <w:rsid w:val="00882B95"/>
    <w:rsid w:val="00882BCC"/>
    <w:rsid w:val="00882BDA"/>
    <w:rsid w:val="00882C1D"/>
    <w:rsid w:val="00882C36"/>
    <w:rsid w:val="00882C45"/>
    <w:rsid w:val="00882C78"/>
    <w:rsid w:val="00882C9E"/>
    <w:rsid w:val="00882CB5"/>
    <w:rsid w:val="00882CB9"/>
    <w:rsid w:val="00882CFB"/>
    <w:rsid w:val="00882CFE"/>
    <w:rsid w:val="00882D8F"/>
    <w:rsid w:val="00882D9D"/>
    <w:rsid w:val="00882DFE"/>
    <w:rsid w:val="00882E3B"/>
    <w:rsid w:val="00882E70"/>
    <w:rsid w:val="00882E7B"/>
    <w:rsid w:val="00882E7F"/>
    <w:rsid w:val="00882EC3"/>
    <w:rsid w:val="00882EDA"/>
    <w:rsid w:val="00882EF1"/>
    <w:rsid w:val="00882F17"/>
    <w:rsid w:val="00882F1A"/>
    <w:rsid w:val="00882F1C"/>
    <w:rsid w:val="00882F26"/>
    <w:rsid w:val="00882F6E"/>
    <w:rsid w:val="00882FB1"/>
    <w:rsid w:val="00882FB3"/>
    <w:rsid w:val="00882FDA"/>
    <w:rsid w:val="00883023"/>
    <w:rsid w:val="0088307C"/>
    <w:rsid w:val="00883091"/>
    <w:rsid w:val="00883129"/>
    <w:rsid w:val="00883198"/>
    <w:rsid w:val="0088319D"/>
    <w:rsid w:val="008831D3"/>
    <w:rsid w:val="00883200"/>
    <w:rsid w:val="00883238"/>
    <w:rsid w:val="0088325C"/>
    <w:rsid w:val="0088327C"/>
    <w:rsid w:val="00883280"/>
    <w:rsid w:val="008832B3"/>
    <w:rsid w:val="008832B9"/>
    <w:rsid w:val="008832CC"/>
    <w:rsid w:val="008832F2"/>
    <w:rsid w:val="008832FF"/>
    <w:rsid w:val="0088338C"/>
    <w:rsid w:val="00883391"/>
    <w:rsid w:val="008833E6"/>
    <w:rsid w:val="008833E9"/>
    <w:rsid w:val="0088344A"/>
    <w:rsid w:val="0088344C"/>
    <w:rsid w:val="00883496"/>
    <w:rsid w:val="0088349D"/>
    <w:rsid w:val="008834CC"/>
    <w:rsid w:val="00883509"/>
    <w:rsid w:val="00883529"/>
    <w:rsid w:val="00883575"/>
    <w:rsid w:val="0088359B"/>
    <w:rsid w:val="008835B1"/>
    <w:rsid w:val="008835B5"/>
    <w:rsid w:val="00883650"/>
    <w:rsid w:val="00883653"/>
    <w:rsid w:val="0088368C"/>
    <w:rsid w:val="008836B5"/>
    <w:rsid w:val="008836D7"/>
    <w:rsid w:val="00883766"/>
    <w:rsid w:val="00883791"/>
    <w:rsid w:val="00883799"/>
    <w:rsid w:val="00883839"/>
    <w:rsid w:val="0088384A"/>
    <w:rsid w:val="00883876"/>
    <w:rsid w:val="008838E5"/>
    <w:rsid w:val="0088390E"/>
    <w:rsid w:val="00883915"/>
    <w:rsid w:val="00883957"/>
    <w:rsid w:val="00883959"/>
    <w:rsid w:val="0088395B"/>
    <w:rsid w:val="008839CE"/>
    <w:rsid w:val="00883A27"/>
    <w:rsid w:val="00883A30"/>
    <w:rsid w:val="00883A31"/>
    <w:rsid w:val="00883A43"/>
    <w:rsid w:val="00883A4C"/>
    <w:rsid w:val="00883A7E"/>
    <w:rsid w:val="00883A8C"/>
    <w:rsid w:val="00883AD8"/>
    <w:rsid w:val="00883AFD"/>
    <w:rsid w:val="00883B47"/>
    <w:rsid w:val="00883C2E"/>
    <w:rsid w:val="00883C2F"/>
    <w:rsid w:val="00883C45"/>
    <w:rsid w:val="00883C4F"/>
    <w:rsid w:val="00883C78"/>
    <w:rsid w:val="00883C9C"/>
    <w:rsid w:val="00883CE7"/>
    <w:rsid w:val="00883CEB"/>
    <w:rsid w:val="00883CF8"/>
    <w:rsid w:val="00883D50"/>
    <w:rsid w:val="00883D73"/>
    <w:rsid w:val="00883DA2"/>
    <w:rsid w:val="00883DE2"/>
    <w:rsid w:val="00883DFC"/>
    <w:rsid w:val="00883E30"/>
    <w:rsid w:val="00883E3F"/>
    <w:rsid w:val="00883E7A"/>
    <w:rsid w:val="00883E91"/>
    <w:rsid w:val="00883E94"/>
    <w:rsid w:val="00883EA3"/>
    <w:rsid w:val="00883EC5"/>
    <w:rsid w:val="00883EF9"/>
    <w:rsid w:val="00883F2D"/>
    <w:rsid w:val="00883F2E"/>
    <w:rsid w:val="00883F36"/>
    <w:rsid w:val="00883F4D"/>
    <w:rsid w:val="00883F64"/>
    <w:rsid w:val="00883FA7"/>
    <w:rsid w:val="00883FB3"/>
    <w:rsid w:val="00883FDC"/>
    <w:rsid w:val="00883FEB"/>
    <w:rsid w:val="00884004"/>
    <w:rsid w:val="00884014"/>
    <w:rsid w:val="00884077"/>
    <w:rsid w:val="00884078"/>
    <w:rsid w:val="00884099"/>
    <w:rsid w:val="008840A3"/>
    <w:rsid w:val="008840B3"/>
    <w:rsid w:val="008840FB"/>
    <w:rsid w:val="00884110"/>
    <w:rsid w:val="00884150"/>
    <w:rsid w:val="00884163"/>
    <w:rsid w:val="00884172"/>
    <w:rsid w:val="00884195"/>
    <w:rsid w:val="00884198"/>
    <w:rsid w:val="008841FC"/>
    <w:rsid w:val="00884234"/>
    <w:rsid w:val="0088423A"/>
    <w:rsid w:val="00884240"/>
    <w:rsid w:val="008842F9"/>
    <w:rsid w:val="008842FE"/>
    <w:rsid w:val="00884313"/>
    <w:rsid w:val="00884336"/>
    <w:rsid w:val="0088435F"/>
    <w:rsid w:val="00884367"/>
    <w:rsid w:val="00884371"/>
    <w:rsid w:val="00884431"/>
    <w:rsid w:val="0088443F"/>
    <w:rsid w:val="00884467"/>
    <w:rsid w:val="00884485"/>
    <w:rsid w:val="008844B0"/>
    <w:rsid w:val="008844B3"/>
    <w:rsid w:val="008844D5"/>
    <w:rsid w:val="008844DB"/>
    <w:rsid w:val="00884501"/>
    <w:rsid w:val="0088453C"/>
    <w:rsid w:val="00884540"/>
    <w:rsid w:val="008845A4"/>
    <w:rsid w:val="008845AC"/>
    <w:rsid w:val="008845D0"/>
    <w:rsid w:val="008845E1"/>
    <w:rsid w:val="0088463A"/>
    <w:rsid w:val="00884660"/>
    <w:rsid w:val="008846A6"/>
    <w:rsid w:val="0088470A"/>
    <w:rsid w:val="00884715"/>
    <w:rsid w:val="00884721"/>
    <w:rsid w:val="0088473D"/>
    <w:rsid w:val="00884752"/>
    <w:rsid w:val="0088477E"/>
    <w:rsid w:val="00884787"/>
    <w:rsid w:val="008847A0"/>
    <w:rsid w:val="008847C7"/>
    <w:rsid w:val="008847FB"/>
    <w:rsid w:val="00884805"/>
    <w:rsid w:val="0088481D"/>
    <w:rsid w:val="0088482C"/>
    <w:rsid w:val="00884881"/>
    <w:rsid w:val="008848D1"/>
    <w:rsid w:val="00884921"/>
    <w:rsid w:val="00884941"/>
    <w:rsid w:val="00884949"/>
    <w:rsid w:val="00884963"/>
    <w:rsid w:val="00884984"/>
    <w:rsid w:val="008849DE"/>
    <w:rsid w:val="00884A0E"/>
    <w:rsid w:val="00884A23"/>
    <w:rsid w:val="00884A3D"/>
    <w:rsid w:val="00884A9D"/>
    <w:rsid w:val="00884AAE"/>
    <w:rsid w:val="00884AD5"/>
    <w:rsid w:val="00884B00"/>
    <w:rsid w:val="00884B33"/>
    <w:rsid w:val="00884BBF"/>
    <w:rsid w:val="00884C1B"/>
    <w:rsid w:val="00884C3C"/>
    <w:rsid w:val="00884C52"/>
    <w:rsid w:val="00884C5F"/>
    <w:rsid w:val="00884CB3"/>
    <w:rsid w:val="00884D26"/>
    <w:rsid w:val="00884D53"/>
    <w:rsid w:val="00884D59"/>
    <w:rsid w:val="00884DA4"/>
    <w:rsid w:val="00884DB8"/>
    <w:rsid w:val="00884DC0"/>
    <w:rsid w:val="00884DE7"/>
    <w:rsid w:val="00884EB1"/>
    <w:rsid w:val="00884EBF"/>
    <w:rsid w:val="00884EC7"/>
    <w:rsid w:val="00884EE9"/>
    <w:rsid w:val="00884F32"/>
    <w:rsid w:val="00884F67"/>
    <w:rsid w:val="00884F73"/>
    <w:rsid w:val="00884FAB"/>
    <w:rsid w:val="00884FEF"/>
    <w:rsid w:val="008850C9"/>
    <w:rsid w:val="008850CD"/>
    <w:rsid w:val="008850CE"/>
    <w:rsid w:val="008850D1"/>
    <w:rsid w:val="00885100"/>
    <w:rsid w:val="00885195"/>
    <w:rsid w:val="008851C1"/>
    <w:rsid w:val="008851D8"/>
    <w:rsid w:val="00885206"/>
    <w:rsid w:val="0088521C"/>
    <w:rsid w:val="00885220"/>
    <w:rsid w:val="00885226"/>
    <w:rsid w:val="0088525D"/>
    <w:rsid w:val="00885282"/>
    <w:rsid w:val="00885287"/>
    <w:rsid w:val="0088529B"/>
    <w:rsid w:val="008852B6"/>
    <w:rsid w:val="008852C2"/>
    <w:rsid w:val="00885314"/>
    <w:rsid w:val="0088532E"/>
    <w:rsid w:val="0088533D"/>
    <w:rsid w:val="0088536B"/>
    <w:rsid w:val="00885376"/>
    <w:rsid w:val="008853CE"/>
    <w:rsid w:val="008853EF"/>
    <w:rsid w:val="00885402"/>
    <w:rsid w:val="00885421"/>
    <w:rsid w:val="00885441"/>
    <w:rsid w:val="008854B1"/>
    <w:rsid w:val="008854FB"/>
    <w:rsid w:val="00885543"/>
    <w:rsid w:val="00885576"/>
    <w:rsid w:val="0088558A"/>
    <w:rsid w:val="0088562B"/>
    <w:rsid w:val="00885667"/>
    <w:rsid w:val="00885669"/>
    <w:rsid w:val="00885696"/>
    <w:rsid w:val="008856AC"/>
    <w:rsid w:val="008856BD"/>
    <w:rsid w:val="008856EC"/>
    <w:rsid w:val="0088571D"/>
    <w:rsid w:val="0088572E"/>
    <w:rsid w:val="00885757"/>
    <w:rsid w:val="0088575F"/>
    <w:rsid w:val="008857A4"/>
    <w:rsid w:val="008857A5"/>
    <w:rsid w:val="008857AD"/>
    <w:rsid w:val="008857E1"/>
    <w:rsid w:val="008857F2"/>
    <w:rsid w:val="00885845"/>
    <w:rsid w:val="00885851"/>
    <w:rsid w:val="008858B3"/>
    <w:rsid w:val="008858B5"/>
    <w:rsid w:val="008858BA"/>
    <w:rsid w:val="0088592D"/>
    <w:rsid w:val="00885937"/>
    <w:rsid w:val="0088594A"/>
    <w:rsid w:val="0088597B"/>
    <w:rsid w:val="00885999"/>
    <w:rsid w:val="008859FC"/>
    <w:rsid w:val="00885A0C"/>
    <w:rsid w:val="00885A44"/>
    <w:rsid w:val="00885A79"/>
    <w:rsid w:val="00885A88"/>
    <w:rsid w:val="00885AAF"/>
    <w:rsid w:val="00885AC2"/>
    <w:rsid w:val="00885AC5"/>
    <w:rsid w:val="00885AD6"/>
    <w:rsid w:val="00885ADB"/>
    <w:rsid w:val="00885AE6"/>
    <w:rsid w:val="00885B5F"/>
    <w:rsid w:val="00885B68"/>
    <w:rsid w:val="00885B6A"/>
    <w:rsid w:val="00885B9F"/>
    <w:rsid w:val="00885BAB"/>
    <w:rsid w:val="00885BDA"/>
    <w:rsid w:val="00885BE5"/>
    <w:rsid w:val="00885BEE"/>
    <w:rsid w:val="00885BEF"/>
    <w:rsid w:val="00885BF1"/>
    <w:rsid w:val="00885C0D"/>
    <w:rsid w:val="00885C36"/>
    <w:rsid w:val="00885C6A"/>
    <w:rsid w:val="00885C8A"/>
    <w:rsid w:val="00885C8C"/>
    <w:rsid w:val="00885CB1"/>
    <w:rsid w:val="00885CD0"/>
    <w:rsid w:val="00885CD9"/>
    <w:rsid w:val="00885CDB"/>
    <w:rsid w:val="00885D10"/>
    <w:rsid w:val="00885D12"/>
    <w:rsid w:val="00885DEA"/>
    <w:rsid w:val="00885DED"/>
    <w:rsid w:val="00885DFB"/>
    <w:rsid w:val="00885E01"/>
    <w:rsid w:val="00885E0D"/>
    <w:rsid w:val="00885E5E"/>
    <w:rsid w:val="00885E6B"/>
    <w:rsid w:val="00885EA5"/>
    <w:rsid w:val="00885EAB"/>
    <w:rsid w:val="00885EB6"/>
    <w:rsid w:val="00885EE8"/>
    <w:rsid w:val="00885F14"/>
    <w:rsid w:val="00885F18"/>
    <w:rsid w:val="00885F1E"/>
    <w:rsid w:val="00885F5F"/>
    <w:rsid w:val="00885F89"/>
    <w:rsid w:val="00885F9E"/>
    <w:rsid w:val="00885FA2"/>
    <w:rsid w:val="00885FDF"/>
    <w:rsid w:val="00886025"/>
    <w:rsid w:val="0088605D"/>
    <w:rsid w:val="0088606B"/>
    <w:rsid w:val="008860BA"/>
    <w:rsid w:val="008860C0"/>
    <w:rsid w:val="008860E0"/>
    <w:rsid w:val="008860EE"/>
    <w:rsid w:val="00886109"/>
    <w:rsid w:val="00886131"/>
    <w:rsid w:val="0088619D"/>
    <w:rsid w:val="008861A5"/>
    <w:rsid w:val="008861B3"/>
    <w:rsid w:val="008861CE"/>
    <w:rsid w:val="008861D2"/>
    <w:rsid w:val="00886207"/>
    <w:rsid w:val="0088620B"/>
    <w:rsid w:val="00886224"/>
    <w:rsid w:val="0088622F"/>
    <w:rsid w:val="00886238"/>
    <w:rsid w:val="0088625F"/>
    <w:rsid w:val="0088626C"/>
    <w:rsid w:val="00886295"/>
    <w:rsid w:val="008862F8"/>
    <w:rsid w:val="00886301"/>
    <w:rsid w:val="00886303"/>
    <w:rsid w:val="00886340"/>
    <w:rsid w:val="00886342"/>
    <w:rsid w:val="0088635D"/>
    <w:rsid w:val="0088637B"/>
    <w:rsid w:val="008863B6"/>
    <w:rsid w:val="008863CB"/>
    <w:rsid w:val="008863CF"/>
    <w:rsid w:val="008863D6"/>
    <w:rsid w:val="008863F3"/>
    <w:rsid w:val="0088641C"/>
    <w:rsid w:val="0088645A"/>
    <w:rsid w:val="00886492"/>
    <w:rsid w:val="008864BF"/>
    <w:rsid w:val="008864C5"/>
    <w:rsid w:val="008864E5"/>
    <w:rsid w:val="0088650F"/>
    <w:rsid w:val="0088658A"/>
    <w:rsid w:val="0088659F"/>
    <w:rsid w:val="008865A9"/>
    <w:rsid w:val="008865AD"/>
    <w:rsid w:val="008865BC"/>
    <w:rsid w:val="008865C8"/>
    <w:rsid w:val="008865E1"/>
    <w:rsid w:val="008865EF"/>
    <w:rsid w:val="008865F7"/>
    <w:rsid w:val="00886608"/>
    <w:rsid w:val="00886617"/>
    <w:rsid w:val="0088661F"/>
    <w:rsid w:val="00886643"/>
    <w:rsid w:val="00886656"/>
    <w:rsid w:val="0088667F"/>
    <w:rsid w:val="008866D6"/>
    <w:rsid w:val="00886724"/>
    <w:rsid w:val="0088678C"/>
    <w:rsid w:val="008867A3"/>
    <w:rsid w:val="008867B3"/>
    <w:rsid w:val="00886809"/>
    <w:rsid w:val="00886822"/>
    <w:rsid w:val="0088685D"/>
    <w:rsid w:val="00886878"/>
    <w:rsid w:val="008868C5"/>
    <w:rsid w:val="008868EB"/>
    <w:rsid w:val="0088690D"/>
    <w:rsid w:val="008869F0"/>
    <w:rsid w:val="00886A2A"/>
    <w:rsid w:val="00886A35"/>
    <w:rsid w:val="00886A53"/>
    <w:rsid w:val="00886A6C"/>
    <w:rsid w:val="00886A92"/>
    <w:rsid w:val="00886AB5"/>
    <w:rsid w:val="00886AC1"/>
    <w:rsid w:val="00886AED"/>
    <w:rsid w:val="00886B21"/>
    <w:rsid w:val="00886B5C"/>
    <w:rsid w:val="00886B60"/>
    <w:rsid w:val="00886B7A"/>
    <w:rsid w:val="00886BA7"/>
    <w:rsid w:val="00886BAF"/>
    <w:rsid w:val="00886BB9"/>
    <w:rsid w:val="00886BBC"/>
    <w:rsid w:val="00886BC0"/>
    <w:rsid w:val="00886BCF"/>
    <w:rsid w:val="00886BE5"/>
    <w:rsid w:val="00886C17"/>
    <w:rsid w:val="00886C45"/>
    <w:rsid w:val="00886C78"/>
    <w:rsid w:val="00886C9D"/>
    <w:rsid w:val="00886CAB"/>
    <w:rsid w:val="00886CC0"/>
    <w:rsid w:val="00886CCC"/>
    <w:rsid w:val="00886CDF"/>
    <w:rsid w:val="00886CE2"/>
    <w:rsid w:val="00886D1D"/>
    <w:rsid w:val="00886D33"/>
    <w:rsid w:val="00886D6B"/>
    <w:rsid w:val="00886D79"/>
    <w:rsid w:val="00886E03"/>
    <w:rsid w:val="00886E27"/>
    <w:rsid w:val="00886E36"/>
    <w:rsid w:val="00886E92"/>
    <w:rsid w:val="00886EA7"/>
    <w:rsid w:val="00886F45"/>
    <w:rsid w:val="00886F4A"/>
    <w:rsid w:val="00886F50"/>
    <w:rsid w:val="00886F55"/>
    <w:rsid w:val="00886F78"/>
    <w:rsid w:val="00886F87"/>
    <w:rsid w:val="00886FAC"/>
    <w:rsid w:val="00886FC9"/>
    <w:rsid w:val="00886FCF"/>
    <w:rsid w:val="00886FEA"/>
    <w:rsid w:val="00886FF7"/>
    <w:rsid w:val="00887020"/>
    <w:rsid w:val="00887024"/>
    <w:rsid w:val="0088702D"/>
    <w:rsid w:val="00887032"/>
    <w:rsid w:val="0088705A"/>
    <w:rsid w:val="0088706D"/>
    <w:rsid w:val="0088707F"/>
    <w:rsid w:val="008870C3"/>
    <w:rsid w:val="008870FD"/>
    <w:rsid w:val="00887130"/>
    <w:rsid w:val="00887179"/>
    <w:rsid w:val="0088724B"/>
    <w:rsid w:val="00887250"/>
    <w:rsid w:val="00887287"/>
    <w:rsid w:val="00887298"/>
    <w:rsid w:val="008872A7"/>
    <w:rsid w:val="008872B5"/>
    <w:rsid w:val="008872C6"/>
    <w:rsid w:val="008872CE"/>
    <w:rsid w:val="008872D0"/>
    <w:rsid w:val="0088733B"/>
    <w:rsid w:val="00887364"/>
    <w:rsid w:val="008873A1"/>
    <w:rsid w:val="008873AD"/>
    <w:rsid w:val="00887455"/>
    <w:rsid w:val="00887461"/>
    <w:rsid w:val="00887488"/>
    <w:rsid w:val="00887492"/>
    <w:rsid w:val="008874D0"/>
    <w:rsid w:val="008874E7"/>
    <w:rsid w:val="0088750F"/>
    <w:rsid w:val="00887516"/>
    <w:rsid w:val="0088751A"/>
    <w:rsid w:val="00887568"/>
    <w:rsid w:val="00887577"/>
    <w:rsid w:val="00887588"/>
    <w:rsid w:val="0088758C"/>
    <w:rsid w:val="008875BB"/>
    <w:rsid w:val="008875E0"/>
    <w:rsid w:val="00887606"/>
    <w:rsid w:val="0088762E"/>
    <w:rsid w:val="00887635"/>
    <w:rsid w:val="00887657"/>
    <w:rsid w:val="00887660"/>
    <w:rsid w:val="00887680"/>
    <w:rsid w:val="0088769B"/>
    <w:rsid w:val="008876C3"/>
    <w:rsid w:val="008876DB"/>
    <w:rsid w:val="008876FF"/>
    <w:rsid w:val="00887794"/>
    <w:rsid w:val="008877AE"/>
    <w:rsid w:val="008877AF"/>
    <w:rsid w:val="008877C3"/>
    <w:rsid w:val="00887817"/>
    <w:rsid w:val="00887819"/>
    <w:rsid w:val="00887828"/>
    <w:rsid w:val="00887833"/>
    <w:rsid w:val="0088785B"/>
    <w:rsid w:val="00887868"/>
    <w:rsid w:val="00887875"/>
    <w:rsid w:val="00887882"/>
    <w:rsid w:val="008878BE"/>
    <w:rsid w:val="008878C1"/>
    <w:rsid w:val="008878C9"/>
    <w:rsid w:val="008878D8"/>
    <w:rsid w:val="008878FC"/>
    <w:rsid w:val="0088794E"/>
    <w:rsid w:val="0088795C"/>
    <w:rsid w:val="00887964"/>
    <w:rsid w:val="0088798B"/>
    <w:rsid w:val="008879B0"/>
    <w:rsid w:val="008879C5"/>
    <w:rsid w:val="008879FA"/>
    <w:rsid w:val="00887A18"/>
    <w:rsid w:val="00887A40"/>
    <w:rsid w:val="00887AA2"/>
    <w:rsid w:val="00887AAF"/>
    <w:rsid w:val="00887AE3"/>
    <w:rsid w:val="00887B74"/>
    <w:rsid w:val="00887B9D"/>
    <w:rsid w:val="00887BA6"/>
    <w:rsid w:val="00887BE1"/>
    <w:rsid w:val="00887BEA"/>
    <w:rsid w:val="00887C5A"/>
    <w:rsid w:val="00887C64"/>
    <w:rsid w:val="00887C65"/>
    <w:rsid w:val="00887CA6"/>
    <w:rsid w:val="00887D04"/>
    <w:rsid w:val="00887D0F"/>
    <w:rsid w:val="00887D4D"/>
    <w:rsid w:val="00887D5A"/>
    <w:rsid w:val="00887D5F"/>
    <w:rsid w:val="00887D66"/>
    <w:rsid w:val="00887D78"/>
    <w:rsid w:val="00887D9F"/>
    <w:rsid w:val="00887DC9"/>
    <w:rsid w:val="00887DCC"/>
    <w:rsid w:val="00887DCE"/>
    <w:rsid w:val="00887E0B"/>
    <w:rsid w:val="00887E13"/>
    <w:rsid w:val="00887E19"/>
    <w:rsid w:val="00887E27"/>
    <w:rsid w:val="00887E50"/>
    <w:rsid w:val="00887E7E"/>
    <w:rsid w:val="00887EAD"/>
    <w:rsid w:val="00887EE9"/>
    <w:rsid w:val="00887F76"/>
    <w:rsid w:val="00887FB2"/>
    <w:rsid w:val="00887FBB"/>
    <w:rsid w:val="0089000B"/>
    <w:rsid w:val="0089003E"/>
    <w:rsid w:val="008900AE"/>
    <w:rsid w:val="008900B0"/>
    <w:rsid w:val="008900B5"/>
    <w:rsid w:val="008900BE"/>
    <w:rsid w:val="008900E6"/>
    <w:rsid w:val="00890106"/>
    <w:rsid w:val="00890126"/>
    <w:rsid w:val="00890143"/>
    <w:rsid w:val="00890172"/>
    <w:rsid w:val="00890180"/>
    <w:rsid w:val="008901AF"/>
    <w:rsid w:val="008902A5"/>
    <w:rsid w:val="008902D3"/>
    <w:rsid w:val="008902DB"/>
    <w:rsid w:val="008902E0"/>
    <w:rsid w:val="008902E2"/>
    <w:rsid w:val="00890317"/>
    <w:rsid w:val="0089031D"/>
    <w:rsid w:val="008903D9"/>
    <w:rsid w:val="0089043D"/>
    <w:rsid w:val="0089043E"/>
    <w:rsid w:val="00890443"/>
    <w:rsid w:val="0089048A"/>
    <w:rsid w:val="008904A0"/>
    <w:rsid w:val="008904CF"/>
    <w:rsid w:val="008904E3"/>
    <w:rsid w:val="00890519"/>
    <w:rsid w:val="0089051A"/>
    <w:rsid w:val="00890546"/>
    <w:rsid w:val="0089055B"/>
    <w:rsid w:val="0089056F"/>
    <w:rsid w:val="0089058A"/>
    <w:rsid w:val="0089058F"/>
    <w:rsid w:val="008905A2"/>
    <w:rsid w:val="008905CC"/>
    <w:rsid w:val="008905E1"/>
    <w:rsid w:val="008905EB"/>
    <w:rsid w:val="008905FB"/>
    <w:rsid w:val="00890644"/>
    <w:rsid w:val="0089068D"/>
    <w:rsid w:val="008906B0"/>
    <w:rsid w:val="008906B8"/>
    <w:rsid w:val="008906CA"/>
    <w:rsid w:val="008906CC"/>
    <w:rsid w:val="008906EC"/>
    <w:rsid w:val="008906F9"/>
    <w:rsid w:val="00890740"/>
    <w:rsid w:val="0089075D"/>
    <w:rsid w:val="0089076E"/>
    <w:rsid w:val="00890772"/>
    <w:rsid w:val="0089077A"/>
    <w:rsid w:val="008907A2"/>
    <w:rsid w:val="008907A9"/>
    <w:rsid w:val="008907BC"/>
    <w:rsid w:val="008907EA"/>
    <w:rsid w:val="008907F2"/>
    <w:rsid w:val="008907FA"/>
    <w:rsid w:val="0089081E"/>
    <w:rsid w:val="00890826"/>
    <w:rsid w:val="00890830"/>
    <w:rsid w:val="0089088C"/>
    <w:rsid w:val="00890899"/>
    <w:rsid w:val="008908AD"/>
    <w:rsid w:val="008908C5"/>
    <w:rsid w:val="008908FD"/>
    <w:rsid w:val="00890928"/>
    <w:rsid w:val="0089092B"/>
    <w:rsid w:val="00890957"/>
    <w:rsid w:val="008909D2"/>
    <w:rsid w:val="008909D9"/>
    <w:rsid w:val="008909DA"/>
    <w:rsid w:val="00890A1F"/>
    <w:rsid w:val="00890A27"/>
    <w:rsid w:val="00890A32"/>
    <w:rsid w:val="00890AAD"/>
    <w:rsid w:val="00890B03"/>
    <w:rsid w:val="00890B3E"/>
    <w:rsid w:val="00890B3F"/>
    <w:rsid w:val="00890B44"/>
    <w:rsid w:val="00890B87"/>
    <w:rsid w:val="00890BA4"/>
    <w:rsid w:val="00890BE5"/>
    <w:rsid w:val="00890C34"/>
    <w:rsid w:val="00890C41"/>
    <w:rsid w:val="00890D17"/>
    <w:rsid w:val="00890D5C"/>
    <w:rsid w:val="00890DAA"/>
    <w:rsid w:val="00890DD1"/>
    <w:rsid w:val="00890DE2"/>
    <w:rsid w:val="00890DFA"/>
    <w:rsid w:val="00890E1F"/>
    <w:rsid w:val="00890E98"/>
    <w:rsid w:val="00890EF6"/>
    <w:rsid w:val="00890F04"/>
    <w:rsid w:val="00890F2A"/>
    <w:rsid w:val="00890F82"/>
    <w:rsid w:val="00890FAE"/>
    <w:rsid w:val="00890FB3"/>
    <w:rsid w:val="00890FC1"/>
    <w:rsid w:val="00890FCA"/>
    <w:rsid w:val="00890FF7"/>
    <w:rsid w:val="00891037"/>
    <w:rsid w:val="0089103B"/>
    <w:rsid w:val="00891050"/>
    <w:rsid w:val="00891073"/>
    <w:rsid w:val="0089108A"/>
    <w:rsid w:val="008910CA"/>
    <w:rsid w:val="008910D1"/>
    <w:rsid w:val="008910F9"/>
    <w:rsid w:val="00891125"/>
    <w:rsid w:val="0089114B"/>
    <w:rsid w:val="00891156"/>
    <w:rsid w:val="0089115A"/>
    <w:rsid w:val="008911BA"/>
    <w:rsid w:val="008911C3"/>
    <w:rsid w:val="008911C6"/>
    <w:rsid w:val="008911E1"/>
    <w:rsid w:val="008911FB"/>
    <w:rsid w:val="00891228"/>
    <w:rsid w:val="0089124B"/>
    <w:rsid w:val="00891268"/>
    <w:rsid w:val="00891270"/>
    <w:rsid w:val="00891278"/>
    <w:rsid w:val="008912A3"/>
    <w:rsid w:val="00891317"/>
    <w:rsid w:val="00891336"/>
    <w:rsid w:val="00891361"/>
    <w:rsid w:val="00891378"/>
    <w:rsid w:val="008913AF"/>
    <w:rsid w:val="008913F0"/>
    <w:rsid w:val="00891421"/>
    <w:rsid w:val="00891425"/>
    <w:rsid w:val="00891434"/>
    <w:rsid w:val="008914BF"/>
    <w:rsid w:val="008914D9"/>
    <w:rsid w:val="00891502"/>
    <w:rsid w:val="00891514"/>
    <w:rsid w:val="00891515"/>
    <w:rsid w:val="00891550"/>
    <w:rsid w:val="008915CB"/>
    <w:rsid w:val="008915DB"/>
    <w:rsid w:val="008915F2"/>
    <w:rsid w:val="0089161F"/>
    <w:rsid w:val="00891634"/>
    <w:rsid w:val="0089166F"/>
    <w:rsid w:val="0089168B"/>
    <w:rsid w:val="0089169F"/>
    <w:rsid w:val="008916B7"/>
    <w:rsid w:val="0089171A"/>
    <w:rsid w:val="008917D0"/>
    <w:rsid w:val="0089180C"/>
    <w:rsid w:val="00891820"/>
    <w:rsid w:val="00891847"/>
    <w:rsid w:val="0089185E"/>
    <w:rsid w:val="00891862"/>
    <w:rsid w:val="00891920"/>
    <w:rsid w:val="0089192D"/>
    <w:rsid w:val="0089193E"/>
    <w:rsid w:val="008919F6"/>
    <w:rsid w:val="00891A09"/>
    <w:rsid w:val="00891A4E"/>
    <w:rsid w:val="00891A4F"/>
    <w:rsid w:val="00891A85"/>
    <w:rsid w:val="00891A9C"/>
    <w:rsid w:val="00891AA0"/>
    <w:rsid w:val="00891AB8"/>
    <w:rsid w:val="00891AE2"/>
    <w:rsid w:val="00891B3A"/>
    <w:rsid w:val="00891B78"/>
    <w:rsid w:val="00891B7D"/>
    <w:rsid w:val="00891B97"/>
    <w:rsid w:val="00891BA6"/>
    <w:rsid w:val="00891BC2"/>
    <w:rsid w:val="00891BFE"/>
    <w:rsid w:val="00891C0A"/>
    <w:rsid w:val="00891C4D"/>
    <w:rsid w:val="00891D1E"/>
    <w:rsid w:val="00891D3E"/>
    <w:rsid w:val="00891D44"/>
    <w:rsid w:val="00891D64"/>
    <w:rsid w:val="00891D83"/>
    <w:rsid w:val="00891D8E"/>
    <w:rsid w:val="00891D91"/>
    <w:rsid w:val="00891DB0"/>
    <w:rsid w:val="00891DC5"/>
    <w:rsid w:val="00891EAC"/>
    <w:rsid w:val="00891EB5"/>
    <w:rsid w:val="00891ECE"/>
    <w:rsid w:val="00891ED3"/>
    <w:rsid w:val="00891EDC"/>
    <w:rsid w:val="00891EF1"/>
    <w:rsid w:val="00891EFA"/>
    <w:rsid w:val="00891EFD"/>
    <w:rsid w:val="00891F0B"/>
    <w:rsid w:val="00891F12"/>
    <w:rsid w:val="00891FC6"/>
    <w:rsid w:val="00891FDA"/>
    <w:rsid w:val="00891FDD"/>
    <w:rsid w:val="00891FFF"/>
    <w:rsid w:val="00892010"/>
    <w:rsid w:val="00892049"/>
    <w:rsid w:val="00892088"/>
    <w:rsid w:val="008920A6"/>
    <w:rsid w:val="008920FC"/>
    <w:rsid w:val="00892152"/>
    <w:rsid w:val="00892159"/>
    <w:rsid w:val="0089215E"/>
    <w:rsid w:val="00892193"/>
    <w:rsid w:val="00892198"/>
    <w:rsid w:val="008921AE"/>
    <w:rsid w:val="008921B5"/>
    <w:rsid w:val="008921E3"/>
    <w:rsid w:val="00892232"/>
    <w:rsid w:val="00892281"/>
    <w:rsid w:val="0089228E"/>
    <w:rsid w:val="008922C7"/>
    <w:rsid w:val="00892302"/>
    <w:rsid w:val="00892334"/>
    <w:rsid w:val="0089233D"/>
    <w:rsid w:val="0089234F"/>
    <w:rsid w:val="008923AB"/>
    <w:rsid w:val="008923AE"/>
    <w:rsid w:val="00892441"/>
    <w:rsid w:val="00892453"/>
    <w:rsid w:val="00892461"/>
    <w:rsid w:val="00892526"/>
    <w:rsid w:val="0089253D"/>
    <w:rsid w:val="0089254E"/>
    <w:rsid w:val="00892561"/>
    <w:rsid w:val="00892567"/>
    <w:rsid w:val="00892568"/>
    <w:rsid w:val="0089258A"/>
    <w:rsid w:val="0089259E"/>
    <w:rsid w:val="008925A9"/>
    <w:rsid w:val="008925FB"/>
    <w:rsid w:val="00892637"/>
    <w:rsid w:val="0089265F"/>
    <w:rsid w:val="00892664"/>
    <w:rsid w:val="00892669"/>
    <w:rsid w:val="00892695"/>
    <w:rsid w:val="008926A6"/>
    <w:rsid w:val="008926B1"/>
    <w:rsid w:val="008926E4"/>
    <w:rsid w:val="0089270A"/>
    <w:rsid w:val="00892742"/>
    <w:rsid w:val="00892748"/>
    <w:rsid w:val="00892782"/>
    <w:rsid w:val="008927C4"/>
    <w:rsid w:val="00892806"/>
    <w:rsid w:val="0089280E"/>
    <w:rsid w:val="0089284C"/>
    <w:rsid w:val="008928D9"/>
    <w:rsid w:val="008928DD"/>
    <w:rsid w:val="00892940"/>
    <w:rsid w:val="00892945"/>
    <w:rsid w:val="00892974"/>
    <w:rsid w:val="008929A2"/>
    <w:rsid w:val="008929CC"/>
    <w:rsid w:val="008929E3"/>
    <w:rsid w:val="00892A58"/>
    <w:rsid w:val="00892A7C"/>
    <w:rsid w:val="00892A84"/>
    <w:rsid w:val="00892A9F"/>
    <w:rsid w:val="00892AD3"/>
    <w:rsid w:val="00892AD9"/>
    <w:rsid w:val="00892B32"/>
    <w:rsid w:val="00892B38"/>
    <w:rsid w:val="00892B5D"/>
    <w:rsid w:val="00892B67"/>
    <w:rsid w:val="00892B8A"/>
    <w:rsid w:val="00892BB1"/>
    <w:rsid w:val="00892BC3"/>
    <w:rsid w:val="00892BEB"/>
    <w:rsid w:val="00892BF1"/>
    <w:rsid w:val="00892C03"/>
    <w:rsid w:val="00892C14"/>
    <w:rsid w:val="00892C27"/>
    <w:rsid w:val="00892C4A"/>
    <w:rsid w:val="00892C71"/>
    <w:rsid w:val="00892CA8"/>
    <w:rsid w:val="00892CBC"/>
    <w:rsid w:val="00892CC9"/>
    <w:rsid w:val="00892CE4"/>
    <w:rsid w:val="00892D0A"/>
    <w:rsid w:val="00892D38"/>
    <w:rsid w:val="00892D39"/>
    <w:rsid w:val="00892D3F"/>
    <w:rsid w:val="00892D4F"/>
    <w:rsid w:val="00892D67"/>
    <w:rsid w:val="00892D7F"/>
    <w:rsid w:val="00892D94"/>
    <w:rsid w:val="00892D9E"/>
    <w:rsid w:val="00892DBD"/>
    <w:rsid w:val="00892DBF"/>
    <w:rsid w:val="00892DCE"/>
    <w:rsid w:val="00892DD0"/>
    <w:rsid w:val="00892DEB"/>
    <w:rsid w:val="00892DF0"/>
    <w:rsid w:val="00892E00"/>
    <w:rsid w:val="00892E05"/>
    <w:rsid w:val="00892E0C"/>
    <w:rsid w:val="00892E40"/>
    <w:rsid w:val="00892E45"/>
    <w:rsid w:val="00892E52"/>
    <w:rsid w:val="00892E82"/>
    <w:rsid w:val="00892E83"/>
    <w:rsid w:val="00892E9B"/>
    <w:rsid w:val="00892EDA"/>
    <w:rsid w:val="00892F73"/>
    <w:rsid w:val="00892FC2"/>
    <w:rsid w:val="00892FD3"/>
    <w:rsid w:val="00892FE1"/>
    <w:rsid w:val="00892FE6"/>
    <w:rsid w:val="0089300C"/>
    <w:rsid w:val="00893027"/>
    <w:rsid w:val="008930A7"/>
    <w:rsid w:val="0089311C"/>
    <w:rsid w:val="00893124"/>
    <w:rsid w:val="0089312B"/>
    <w:rsid w:val="0089314D"/>
    <w:rsid w:val="0089315D"/>
    <w:rsid w:val="00893169"/>
    <w:rsid w:val="008931E4"/>
    <w:rsid w:val="00893226"/>
    <w:rsid w:val="00893241"/>
    <w:rsid w:val="00893259"/>
    <w:rsid w:val="00893360"/>
    <w:rsid w:val="008933B1"/>
    <w:rsid w:val="008933F4"/>
    <w:rsid w:val="008933F6"/>
    <w:rsid w:val="00893401"/>
    <w:rsid w:val="00893418"/>
    <w:rsid w:val="00893481"/>
    <w:rsid w:val="00893493"/>
    <w:rsid w:val="008934B1"/>
    <w:rsid w:val="008934EF"/>
    <w:rsid w:val="00893527"/>
    <w:rsid w:val="0089356D"/>
    <w:rsid w:val="008935BD"/>
    <w:rsid w:val="008935BE"/>
    <w:rsid w:val="008935E0"/>
    <w:rsid w:val="008935F0"/>
    <w:rsid w:val="008935F2"/>
    <w:rsid w:val="00893602"/>
    <w:rsid w:val="00893620"/>
    <w:rsid w:val="00893630"/>
    <w:rsid w:val="0089363A"/>
    <w:rsid w:val="0089365C"/>
    <w:rsid w:val="0089365F"/>
    <w:rsid w:val="00893664"/>
    <w:rsid w:val="00893666"/>
    <w:rsid w:val="00893681"/>
    <w:rsid w:val="00893693"/>
    <w:rsid w:val="008936ED"/>
    <w:rsid w:val="0089370F"/>
    <w:rsid w:val="00893797"/>
    <w:rsid w:val="008937B1"/>
    <w:rsid w:val="008937CF"/>
    <w:rsid w:val="00893800"/>
    <w:rsid w:val="0089385C"/>
    <w:rsid w:val="00893865"/>
    <w:rsid w:val="00893896"/>
    <w:rsid w:val="008938CC"/>
    <w:rsid w:val="008938E0"/>
    <w:rsid w:val="008938F7"/>
    <w:rsid w:val="00893918"/>
    <w:rsid w:val="00893919"/>
    <w:rsid w:val="00893927"/>
    <w:rsid w:val="00893950"/>
    <w:rsid w:val="00893951"/>
    <w:rsid w:val="00893953"/>
    <w:rsid w:val="0089399D"/>
    <w:rsid w:val="008939A1"/>
    <w:rsid w:val="008939C4"/>
    <w:rsid w:val="008939D8"/>
    <w:rsid w:val="00893A36"/>
    <w:rsid w:val="00893A4D"/>
    <w:rsid w:val="00893AB9"/>
    <w:rsid w:val="00893ABA"/>
    <w:rsid w:val="00893AD2"/>
    <w:rsid w:val="00893B26"/>
    <w:rsid w:val="00893C24"/>
    <w:rsid w:val="00893C3D"/>
    <w:rsid w:val="00893C49"/>
    <w:rsid w:val="00893C50"/>
    <w:rsid w:val="00893C62"/>
    <w:rsid w:val="00893C78"/>
    <w:rsid w:val="00893C7F"/>
    <w:rsid w:val="00893CA0"/>
    <w:rsid w:val="00893CA4"/>
    <w:rsid w:val="00893CC2"/>
    <w:rsid w:val="00893CCA"/>
    <w:rsid w:val="00893CFA"/>
    <w:rsid w:val="00893D07"/>
    <w:rsid w:val="00893D4D"/>
    <w:rsid w:val="00893D57"/>
    <w:rsid w:val="00893DBE"/>
    <w:rsid w:val="00893DDF"/>
    <w:rsid w:val="00893DF2"/>
    <w:rsid w:val="00893DFE"/>
    <w:rsid w:val="00893E05"/>
    <w:rsid w:val="00893E0E"/>
    <w:rsid w:val="00893E47"/>
    <w:rsid w:val="00893F4F"/>
    <w:rsid w:val="00893F63"/>
    <w:rsid w:val="00893F96"/>
    <w:rsid w:val="00893FB0"/>
    <w:rsid w:val="0089400A"/>
    <w:rsid w:val="00894023"/>
    <w:rsid w:val="00894039"/>
    <w:rsid w:val="008940AD"/>
    <w:rsid w:val="008940B0"/>
    <w:rsid w:val="008940D7"/>
    <w:rsid w:val="008940DA"/>
    <w:rsid w:val="008940E0"/>
    <w:rsid w:val="00894114"/>
    <w:rsid w:val="00894144"/>
    <w:rsid w:val="00894156"/>
    <w:rsid w:val="00894168"/>
    <w:rsid w:val="00894198"/>
    <w:rsid w:val="0089419E"/>
    <w:rsid w:val="008941D5"/>
    <w:rsid w:val="00894249"/>
    <w:rsid w:val="008942EF"/>
    <w:rsid w:val="008942FD"/>
    <w:rsid w:val="0089431F"/>
    <w:rsid w:val="0089433E"/>
    <w:rsid w:val="00894346"/>
    <w:rsid w:val="00894368"/>
    <w:rsid w:val="008943EA"/>
    <w:rsid w:val="008943F7"/>
    <w:rsid w:val="0089441B"/>
    <w:rsid w:val="00894449"/>
    <w:rsid w:val="0089445C"/>
    <w:rsid w:val="0089447E"/>
    <w:rsid w:val="00894565"/>
    <w:rsid w:val="008945B3"/>
    <w:rsid w:val="008945C5"/>
    <w:rsid w:val="008945E1"/>
    <w:rsid w:val="008945F1"/>
    <w:rsid w:val="0089461F"/>
    <w:rsid w:val="0089465D"/>
    <w:rsid w:val="0089466F"/>
    <w:rsid w:val="008946B7"/>
    <w:rsid w:val="00894739"/>
    <w:rsid w:val="00894757"/>
    <w:rsid w:val="008947B5"/>
    <w:rsid w:val="008947EC"/>
    <w:rsid w:val="00894803"/>
    <w:rsid w:val="0089480D"/>
    <w:rsid w:val="0089485F"/>
    <w:rsid w:val="0089486A"/>
    <w:rsid w:val="008948EF"/>
    <w:rsid w:val="008948F0"/>
    <w:rsid w:val="008948FF"/>
    <w:rsid w:val="00894904"/>
    <w:rsid w:val="00894964"/>
    <w:rsid w:val="00894965"/>
    <w:rsid w:val="0089499A"/>
    <w:rsid w:val="008949B3"/>
    <w:rsid w:val="008949B8"/>
    <w:rsid w:val="008949C3"/>
    <w:rsid w:val="00894A54"/>
    <w:rsid w:val="00894A6C"/>
    <w:rsid w:val="00894AC2"/>
    <w:rsid w:val="00894AC9"/>
    <w:rsid w:val="00894B0E"/>
    <w:rsid w:val="00894B0F"/>
    <w:rsid w:val="00894B29"/>
    <w:rsid w:val="00894B6A"/>
    <w:rsid w:val="00894B78"/>
    <w:rsid w:val="00894BA2"/>
    <w:rsid w:val="00894BF7"/>
    <w:rsid w:val="00894C42"/>
    <w:rsid w:val="00894C5F"/>
    <w:rsid w:val="00894C61"/>
    <w:rsid w:val="00894C99"/>
    <w:rsid w:val="00894CB0"/>
    <w:rsid w:val="00894CEF"/>
    <w:rsid w:val="00894CFB"/>
    <w:rsid w:val="00894D15"/>
    <w:rsid w:val="00894D3E"/>
    <w:rsid w:val="00894D3F"/>
    <w:rsid w:val="00894D67"/>
    <w:rsid w:val="00894D90"/>
    <w:rsid w:val="00894DA4"/>
    <w:rsid w:val="00894DDD"/>
    <w:rsid w:val="00894E34"/>
    <w:rsid w:val="00894E38"/>
    <w:rsid w:val="00894E74"/>
    <w:rsid w:val="00894EA0"/>
    <w:rsid w:val="00894EB1"/>
    <w:rsid w:val="00894ED3"/>
    <w:rsid w:val="00894ED7"/>
    <w:rsid w:val="00894EFD"/>
    <w:rsid w:val="00894F05"/>
    <w:rsid w:val="00894F41"/>
    <w:rsid w:val="00894F46"/>
    <w:rsid w:val="00894F70"/>
    <w:rsid w:val="00894FB4"/>
    <w:rsid w:val="00894FC5"/>
    <w:rsid w:val="00894FD2"/>
    <w:rsid w:val="00894FEC"/>
    <w:rsid w:val="00894FEE"/>
    <w:rsid w:val="00894FEF"/>
    <w:rsid w:val="00895031"/>
    <w:rsid w:val="0089509F"/>
    <w:rsid w:val="008950A9"/>
    <w:rsid w:val="008950D3"/>
    <w:rsid w:val="008950DD"/>
    <w:rsid w:val="008950E9"/>
    <w:rsid w:val="008950F6"/>
    <w:rsid w:val="0089512D"/>
    <w:rsid w:val="00895138"/>
    <w:rsid w:val="00895155"/>
    <w:rsid w:val="00895161"/>
    <w:rsid w:val="00895184"/>
    <w:rsid w:val="00895291"/>
    <w:rsid w:val="008952A9"/>
    <w:rsid w:val="008952BD"/>
    <w:rsid w:val="008952C2"/>
    <w:rsid w:val="008952C9"/>
    <w:rsid w:val="00895309"/>
    <w:rsid w:val="00895316"/>
    <w:rsid w:val="00895379"/>
    <w:rsid w:val="008953FC"/>
    <w:rsid w:val="00895463"/>
    <w:rsid w:val="0089546E"/>
    <w:rsid w:val="00895495"/>
    <w:rsid w:val="0089549C"/>
    <w:rsid w:val="008954C8"/>
    <w:rsid w:val="008954C9"/>
    <w:rsid w:val="008954FF"/>
    <w:rsid w:val="00895509"/>
    <w:rsid w:val="00895569"/>
    <w:rsid w:val="0089558A"/>
    <w:rsid w:val="008955A1"/>
    <w:rsid w:val="008955C7"/>
    <w:rsid w:val="008955DC"/>
    <w:rsid w:val="00895603"/>
    <w:rsid w:val="00895615"/>
    <w:rsid w:val="00895631"/>
    <w:rsid w:val="0089564B"/>
    <w:rsid w:val="00895651"/>
    <w:rsid w:val="00895654"/>
    <w:rsid w:val="008956A6"/>
    <w:rsid w:val="008956EF"/>
    <w:rsid w:val="0089579C"/>
    <w:rsid w:val="008957E5"/>
    <w:rsid w:val="008958AE"/>
    <w:rsid w:val="00895906"/>
    <w:rsid w:val="00895908"/>
    <w:rsid w:val="00895914"/>
    <w:rsid w:val="00895998"/>
    <w:rsid w:val="008959CB"/>
    <w:rsid w:val="00895A37"/>
    <w:rsid w:val="00895A72"/>
    <w:rsid w:val="00895A77"/>
    <w:rsid w:val="00895AE6"/>
    <w:rsid w:val="00895B56"/>
    <w:rsid w:val="00895B60"/>
    <w:rsid w:val="00895B92"/>
    <w:rsid w:val="00895BB8"/>
    <w:rsid w:val="00895BED"/>
    <w:rsid w:val="00895C14"/>
    <w:rsid w:val="00895C4C"/>
    <w:rsid w:val="00895D0D"/>
    <w:rsid w:val="00895D44"/>
    <w:rsid w:val="00895D57"/>
    <w:rsid w:val="00895D5F"/>
    <w:rsid w:val="00895D6C"/>
    <w:rsid w:val="00895D6E"/>
    <w:rsid w:val="00895D8F"/>
    <w:rsid w:val="00895D9A"/>
    <w:rsid w:val="00895D9C"/>
    <w:rsid w:val="00895DA8"/>
    <w:rsid w:val="00895DC5"/>
    <w:rsid w:val="00895DC7"/>
    <w:rsid w:val="00895DEC"/>
    <w:rsid w:val="00895E1E"/>
    <w:rsid w:val="00895E60"/>
    <w:rsid w:val="00895E72"/>
    <w:rsid w:val="00895E9B"/>
    <w:rsid w:val="00895ED1"/>
    <w:rsid w:val="00895EDB"/>
    <w:rsid w:val="00895F2E"/>
    <w:rsid w:val="00895F37"/>
    <w:rsid w:val="00895F3E"/>
    <w:rsid w:val="00895F44"/>
    <w:rsid w:val="00895F7F"/>
    <w:rsid w:val="00895F8D"/>
    <w:rsid w:val="00895F9B"/>
    <w:rsid w:val="00895FA6"/>
    <w:rsid w:val="00895FD6"/>
    <w:rsid w:val="00895FDB"/>
    <w:rsid w:val="00895FFB"/>
    <w:rsid w:val="0089603C"/>
    <w:rsid w:val="0089603F"/>
    <w:rsid w:val="00896062"/>
    <w:rsid w:val="00896066"/>
    <w:rsid w:val="00896068"/>
    <w:rsid w:val="008960A9"/>
    <w:rsid w:val="008960CF"/>
    <w:rsid w:val="008960DD"/>
    <w:rsid w:val="008960F6"/>
    <w:rsid w:val="00896100"/>
    <w:rsid w:val="00896155"/>
    <w:rsid w:val="0089619C"/>
    <w:rsid w:val="008961AB"/>
    <w:rsid w:val="008961B8"/>
    <w:rsid w:val="008961FF"/>
    <w:rsid w:val="00896232"/>
    <w:rsid w:val="00896237"/>
    <w:rsid w:val="00896247"/>
    <w:rsid w:val="0089624C"/>
    <w:rsid w:val="00896262"/>
    <w:rsid w:val="0089627E"/>
    <w:rsid w:val="008962D0"/>
    <w:rsid w:val="0089632C"/>
    <w:rsid w:val="0089634E"/>
    <w:rsid w:val="00896370"/>
    <w:rsid w:val="0089638F"/>
    <w:rsid w:val="008963A6"/>
    <w:rsid w:val="008963F6"/>
    <w:rsid w:val="008963FB"/>
    <w:rsid w:val="0089641E"/>
    <w:rsid w:val="0089645A"/>
    <w:rsid w:val="008964A1"/>
    <w:rsid w:val="008964A5"/>
    <w:rsid w:val="008964AC"/>
    <w:rsid w:val="0089650C"/>
    <w:rsid w:val="0089650D"/>
    <w:rsid w:val="00896511"/>
    <w:rsid w:val="00896512"/>
    <w:rsid w:val="00896582"/>
    <w:rsid w:val="008965CE"/>
    <w:rsid w:val="008965E1"/>
    <w:rsid w:val="0089661C"/>
    <w:rsid w:val="00896655"/>
    <w:rsid w:val="00896667"/>
    <w:rsid w:val="0089666B"/>
    <w:rsid w:val="00896696"/>
    <w:rsid w:val="008966A5"/>
    <w:rsid w:val="008966AB"/>
    <w:rsid w:val="00896710"/>
    <w:rsid w:val="00896716"/>
    <w:rsid w:val="0089671C"/>
    <w:rsid w:val="00896733"/>
    <w:rsid w:val="0089679C"/>
    <w:rsid w:val="008967B3"/>
    <w:rsid w:val="008967D6"/>
    <w:rsid w:val="008967E7"/>
    <w:rsid w:val="00896815"/>
    <w:rsid w:val="0089682A"/>
    <w:rsid w:val="0089682E"/>
    <w:rsid w:val="00896835"/>
    <w:rsid w:val="008968B6"/>
    <w:rsid w:val="00896905"/>
    <w:rsid w:val="00896907"/>
    <w:rsid w:val="0089690B"/>
    <w:rsid w:val="00896914"/>
    <w:rsid w:val="00896987"/>
    <w:rsid w:val="008969E0"/>
    <w:rsid w:val="008969E8"/>
    <w:rsid w:val="008969F4"/>
    <w:rsid w:val="00896A4B"/>
    <w:rsid w:val="00896A4F"/>
    <w:rsid w:val="00896AC0"/>
    <w:rsid w:val="00896AE3"/>
    <w:rsid w:val="00896BEF"/>
    <w:rsid w:val="00896C0E"/>
    <w:rsid w:val="00896C3D"/>
    <w:rsid w:val="00896C47"/>
    <w:rsid w:val="00896C7D"/>
    <w:rsid w:val="00896C81"/>
    <w:rsid w:val="00896C87"/>
    <w:rsid w:val="00896C93"/>
    <w:rsid w:val="00896CCA"/>
    <w:rsid w:val="00896CD2"/>
    <w:rsid w:val="00896D11"/>
    <w:rsid w:val="00896D18"/>
    <w:rsid w:val="00896D20"/>
    <w:rsid w:val="00896D3F"/>
    <w:rsid w:val="00896D53"/>
    <w:rsid w:val="00896D5B"/>
    <w:rsid w:val="00896D76"/>
    <w:rsid w:val="00896D7B"/>
    <w:rsid w:val="00896D89"/>
    <w:rsid w:val="00896DF9"/>
    <w:rsid w:val="00896E05"/>
    <w:rsid w:val="00896E33"/>
    <w:rsid w:val="00896E3B"/>
    <w:rsid w:val="00896E5E"/>
    <w:rsid w:val="00896E62"/>
    <w:rsid w:val="00896EC2"/>
    <w:rsid w:val="00896EDD"/>
    <w:rsid w:val="00896F00"/>
    <w:rsid w:val="00896F64"/>
    <w:rsid w:val="00896F85"/>
    <w:rsid w:val="00896FCC"/>
    <w:rsid w:val="0089702D"/>
    <w:rsid w:val="0089704B"/>
    <w:rsid w:val="00897081"/>
    <w:rsid w:val="00897089"/>
    <w:rsid w:val="008970B6"/>
    <w:rsid w:val="0089714A"/>
    <w:rsid w:val="00897181"/>
    <w:rsid w:val="008971AE"/>
    <w:rsid w:val="008971D0"/>
    <w:rsid w:val="008971D6"/>
    <w:rsid w:val="008971EC"/>
    <w:rsid w:val="0089720F"/>
    <w:rsid w:val="0089722B"/>
    <w:rsid w:val="00897256"/>
    <w:rsid w:val="00897277"/>
    <w:rsid w:val="008972B3"/>
    <w:rsid w:val="008972B8"/>
    <w:rsid w:val="00897309"/>
    <w:rsid w:val="0089731F"/>
    <w:rsid w:val="00897326"/>
    <w:rsid w:val="00897358"/>
    <w:rsid w:val="00897359"/>
    <w:rsid w:val="008973A0"/>
    <w:rsid w:val="0089741C"/>
    <w:rsid w:val="0089741D"/>
    <w:rsid w:val="00897458"/>
    <w:rsid w:val="0089748D"/>
    <w:rsid w:val="0089748E"/>
    <w:rsid w:val="00897497"/>
    <w:rsid w:val="008974AE"/>
    <w:rsid w:val="00897533"/>
    <w:rsid w:val="00897545"/>
    <w:rsid w:val="0089756C"/>
    <w:rsid w:val="0089756F"/>
    <w:rsid w:val="00897576"/>
    <w:rsid w:val="008975BA"/>
    <w:rsid w:val="008975D1"/>
    <w:rsid w:val="00897633"/>
    <w:rsid w:val="0089766E"/>
    <w:rsid w:val="0089767E"/>
    <w:rsid w:val="008976A0"/>
    <w:rsid w:val="008976CD"/>
    <w:rsid w:val="008976E4"/>
    <w:rsid w:val="00897734"/>
    <w:rsid w:val="00897797"/>
    <w:rsid w:val="008977C3"/>
    <w:rsid w:val="008977C5"/>
    <w:rsid w:val="008977D4"/>
    <w:rsid w:val="0089780A"/>
    <w:rsid w:val="0089780B"/>
    <w:rsid w:val="0089782C"/>
    <w:rsid w:val="0089787F"/>
    <w:rsid w:val="0089788B"/>
    <w:rsid w:val="008978C4"/>
    <w:rsid w:val="008978E2"/>
    <w:rsid w:val="0089793E"/>
    <w:rsid w:val="0089795C"/>
    <w:rsid w:val="00897976"/>
    <w:rsid w:val="00897992"/>
    <w:rsid w:val="008979D2"/>
    <w:rsid w:val="00897A28"/>
    <w:rsid w:val="00897A5F"/>
    <w:rsid w:val="00897A76"/>
    <w:rsid w:val="00897A83"/>
    <w:rsid w:val="00897A86"/>
    <w:rsid w:val="00897A9B"/>
    <w:rsid w:val="00897AD1"/>
    <w:rsid w:val="00897AE1"/>
    <w:rsid w:val="00897B03"/>
    <w:rsid w:val="00897B41"/>
    <w:rsid w:val="00897B62"/>
    <w:rsid w:val="00897B68"/>
    <w:rsid w:val="00897B72"/>
    <w:rsid w:val="00897B8C"/>
    <w:rsid w:val="00897B9A"/>
    <w:rsid w:val="00897BD9"/>
    <w:rsid w:val="00897BDD"/>
    <w:rsid w:val="00897BE3"/>
    <w:rsid w:val="00897C00"/>
    <w:rsid w:val="00897C07"/>
    <w:rsid w:val="00897C14"/>
    <w:rsid w:val="00897C6D"/>
    <w:rsid w:val="00897C98"/>
    <w:rsid w:val="00897CA6"/>
    <w:rsid w:val="00897CB9"/>
    <w:rsid w:val="00897D18"/>
    <w:rsid w:val="00897D2F"/>
    <w:rsid w:val="00897D54"/>
    <w:rsid w:val="00897D64"/>
    <w:rsid w:val="00897D86"/>
    <w:rsid w:val="00897D8F"/>
    <w:rsid w:val="00897DEB"/>
    <w:rsid w:val="00897DF4"/>
    <w:rsid w:val="00897E1C"/>
    <w:rsid w:val="00897E66"/>
    <w:rsid w:val="00897EA7"/>
    <w:rsid w:val="00897EB2"/>
    <w:rsid w:val="00897EF1"/>
    <w:rsid w:val="00897EFD"/>
    <w:rsid w:val="00897F1F"/>
    <w:rsid w:val="00897F30"/>
    <w:rsid w:val="00897F54"/>
    <w:rsid w:val="00897F70"/>
    <w:rsid w:val="00897F7F"/>
    <w:rsid w:val="00897FC8"/>
    <w:rsid w:val="008A0026"/>
    <w:rsid w:val="008A0043"/>
    <w:rsid w:val="008A0062"/>
    <w:rsid w:val="008A00CB"/>
    <w:rsid w:val="008A00CD"/>
    <w:rsid w:val="008A00DE"/>
    <w:rsid w:val="008A00E8"/>
    <w:rsid w:val="008A00FD"/>
    <w:rsid w:val="008A0186"/>
    <w:rsid w:val="008A022B"/>
    <w:rsid w:val="008A022C"/>
    <w:rsid w:val="008A0233"/>
    <w:rsid w:val="008A02AC"/>
    <w:rsid w:val="008A02B3"/>
    <w:rsid w:val="008A0305"/>
    <w:rsid w:val="008A0313"/>
    <w:rsid w:val="008A035F"/>
    <w:rsid w:val="008A0375"/>
    <w:rsid w:val="008A037F"/>
    <w:rsid w:val="008A041F"/>
    <w:rsid w:val="008A045B"/>
    <w:rsid w:val="008A049B"/>
    <w:rsid w:val="008A04CA"/>
    <w:rsid w:val="008A04E9"/>
    <w:rsid w:val="008A052F"/>
    <w:rsid w:val="008A056C"/>
    <w:rsid w:val="008A0589"/>
    <w:rsid w:val="008A058A"/>
    <w:rsid w:val="008A058F"/>
    <w:rsid w:val="008A0596"/>
    <w:rsid w:val="008A05B7"/>
    <w:rsid w:val="008A061C"/>
    <w:rsid w:val="008A062F"/>
    <w:rsid w:val="008A0658"/>
    <w:rsid w:val="008A0666"/>
    <w:rsid w:val="008A0671"/>
    <w:rsid w:val="008A0672"/>
    <w:rsid w:val="008A068E"/>
    <w:rsid w:val="008A069F"/>
    <w:rsid w:val="008A06BB"/>
    <w:rsid w:val="008A06D5"/>
    <w:rsid w:val="008A06E8"/>
    <w:rsid w:val="008A074C"/>
    <w:rsid w:val="008A0784"/>
    <w:rsid w:val="008A0791"/>
    <w:rsid w:val="008A0798"/>
    <w:rsid w:val="008A079A"/>
    <w:rsid w:val="008A079E"/>
    <w:rsid w:val="008A07B1"/>
    <w:rsid w:val="008A0810"/>
    <w:rsid w:val="008A0814"/>
    <w:rsid w:val="008A0833"/>
    <w:rsid w:val="008A085A"/>
    <w:rsid w:val="008A085B"/>
    <w:rsid w:val="008A0874"/>
    <w:rsid w:val="008A08AF"/>
    <w:rsid w:val="008A08B3"/>
    <w:rsid w:val="008A08C1"/>
    <w:rsid w:val="008A08E9"/>
    <w:rsid w:val="008A091C"/>
    <w:rsid w:val="008A091F"/>
    <w:rsid w:val="008A0925"/>
    <w:rsid w:val="008A0936"/>
    <w:rsid w:val="008A0942"/>
    <w:rsid w:val="008A0983"/>
    <w:rsid w:val="008A0987"/>
    <w:rsid w:val="008A0996"/>
    <w:rsid w:val="008A0A2B"/>
    <w:rsid w:val="008A0A2E"/>
    <w:rsid w:val="008A0A49"/>
    <w:rsid w:val="008A0A7A"/>
    <w:rsid w:val="008A0A8A"/>
    <w:rsid w:val="008A0AAA"/>
    <w:rsid w:val="008A0AD3"/>
    <w:rsid w:val="008A0B16"/>
    <w:rsid w:val="008A0B5F"/>
    <w:rsid w:val="008A0BD2"/>
    <w:rsid w:val="008A0C5C"/>
    <w:rsid w:val="008A0C6E"/>
    <w:rsid w:val="008A0C79"/>
    <w:rsid w:val="008A0C9C"/>
    <w:rsid w:val="008A0CDA"/>
    <w:rsid w:val="008A0CFF"/>
    <w:rsid w:val="008A0D0E"/>
    <w:rsid w:val="008A0D20"/>
    <w:rsid w:val="008A0D35"/>
    <w:rsid w:val="008A0D42"/>
    <w:rsid w:val="008A0D85"/>
    <w:rsid w:val="008A0D8B"/>
    <w:rsid w:val="008A0DD3"/>
    <w:rsid w:val="008A0E2D"/>
    <w:rsid w:val="008A0E57"/>
    <w:rsid w:val="008A0E64"/>
    <w:rsid w:val="008A0EB8"/>
    <w:rsid w:val="008A0EC8"/>
    <w:rsid w:val="008A0F10"/>
    <w:rsid w:val="008A0F62"/>
    <w:rsid w:val="008A0F7E"/>
    <w:rsid w:val="008A0F87"/>
    <w:rsid w:val="008A0F96"/>
    <w:rsid w:val="008A0FD6"/>
    <w:rsid w:val="008A0FFD"/>
    <w:rsid w:val="008A1027"/>
    <w:rsid w:val="008A1029"/>
    <w:rsid w:val="008A1039"/>
    <w:rsid w:val="008A10AC"/>
    <w:rsid w:val="008A110F"/>
    <w:rsid w:val="008A111F"/>
    <w:rsid w:val="008A1149"/>
    <w:rsid w:val="008A1183"/>
    <w:rsid w:val="008A11F6"/>
    <w:rsid w:val="008A1203"/>
    <w:rsid w:val="008A1267"/>
    <w:rsid w:val="008A128D"/>
    <w:rsid w:val="008A1321"/>
    <w:rsid w:val="008A132F"/>
    <w:rsid w:val="008A139F"/>
    <w:rsid w:val="008A13B1"/>
    <w:rsid w:val="008A13BA"/>
    <w:rsid w:val="008A13E2"/>
    <w:rsid w:val="008A13EB"/>
    <w:rsid w:val="008A1441"/>
    <w:rsid w:val="008A1443"/>
    <w:rsid w:val="008A1466"/>
    <w:rsid w:val="008A1467"/>
    <w:rsid w:val="008A14AF"/>
    <w:rsid w:val="008A14B6"/>
    <w:rsid w:val="008A1535"/>
    <w:rsid w:val="008A1541"/>
    <w:rsid w:val="008A1548"/>
    <w:rsid w:val="008A156F"/>
    <w:rsid w:val="008A1570"/>
    <w:rsid w:val="008A1577"/>
    <w:rsid w:val="008A1587"/>
    <w:rsid w:val="008A15BF"/>
    <w:rsid w:val="008A15C2"/>
    <w:rsid w:val="008A15C9"/>
    <w:rsid w:val="008A15DB"/>
    <w:rsid w:val="008A161B"/>
    <w:rsid w:val="008A1626"/>
    <w:rsid w:val="008A1642"/>
    <w:rsid w:val="008A167A"/>
    <w:rsid w:val="008A16DB"/>
    <w:rsid w:val="008A1711"/>
    <w:rsid w:val="008A1719"/>
    <w:rsid w:val="008A174A"/>
    <w:rsid w:val="008A1761"/>
    <w:rsid w:val="008A1774"/>
    <w:rsid w:val="008A177A"/>
    <w:rsid w:val="008A17B1"/>
    <w:rsid w:val="008A17C0"/>
    <w:rsid w:val="008A17C3"/>
    <w:rsid w:val="008A17CC"/>
    <w:rsid w:val="008A17E0"/>
    <w:rsid w:val="008A1836"/>
    <w:rsid w:val="008A1849"/>
    <w:rsid w:val="008A1868"/>
    <w:rsid w:val="008A1877"/>
    <w:rsid w:val="008A1896"/>
    <w:rsid w:val="008A18D2"/>
    <w:rsid w:val="008A18FA"/>
    <w:rsid w:val="008A190D"/>
    <w:rsid w:val="008A1993"/>
    <w:rsid w:val="008A1994"/>
    <w:rsid w:val="008A1997"/>
    <w:rsid w:val="008A19CF"/>
    <w:rsid w:val="008A19EF"/>
    <w:rsid w:val="008A19F9"/>
    <w:rsid w:val="008A1A1D"/>
    <w:rsid w:val="008A1A20"/>
    <w:rsid w:val="008A1A50"/>
    <w:rsid w:val="008A1A92"/>
    <w:rsid w:val="008A1A95"/>
    <w:rsid w:val="008A1B35"/>
    <w:rsid w:val="008A1B4D"/>
    <w:rsid w:val="008A1B54"/>
    <w:rsid w:val="008A1B99"/>
    <w:rsid w:val="008A1BC6"/>
    <w:rsid w:val="008A1C38"/>
    <w:rsid w:val="008A1C48"/>
    <w:rsid w:val="008A1C6F"/>
    <w:rsid w:val="008A1CA0"/>
    <w:rsid w:val="008A1D1B"/>
    <w:rsid w:val="008A1D31"/>
    <w:rsid w:val="008A1D42"/>
    <w:rsid w:val="008A1D9B"/>
    <w:rsid w:val="008A1DC2"/>
    <w:rsid w:val="008A1E0B"/>
    <w:rsid w:val="008A1E25"/>
    <w:rsid w:val="008A1E6A"/>
    <w:rsid w:val="008A1E84"/>
    <w:rsid w:val="008A1F1F"/>
    <w:rsid w:val="008A1F49"/>
    <w:rsid w:val="008A1F9F"/>
    <w:rsid w:val="008A1FAD"/>
    <w:rsid w:val="008A1FF6"/>
    <w:rsid w:val="008A2002"/>
    <w:rsid w:val="008A200B"/>
    <w:rsid w:val="008A2015"/>
    <w:rsid w:val="008A2019"/>
    <w:rsid w:val="008A2041"/>
    <w:rsid w:val="008A2071"/>
    <w:rsid w:val="008A2160"/>
    <w:rsid w:val="008A2164"/>
    <w:rsid w:val="008A21C2"/>
    <w:rsid w:val="008A21C4"/>
    <w:rsid w:val="008A21D2"/>
    <w:rsid w:val="008A21DD"/>
    <w:rsid w:val="008A21F0"/>
    <w:rsid w:val="008A2237"/>
    <w:rsid w:val="008A22AB"/>
    <w:rsid w:val="008A22C1"/>
    <w:rsid w:val="008A22C2"/>
    <w:rsid w:val="008A2331"/>
    <w:rsid w:val="008A2352"/>
    <w:rsid w:val="008A2367"/>
    <w:rsid w:val="008A236B"/>
    <w:rsid w:val="008A23D8"/>
    <w:rsid w:val="008A23F0"/>
    <w:rsid w:val="008A241D"/>
    <w:rsid w:val="008A2470"/>
    <w:rsid w:val="008A247B"/>
    <w:rsid w:val="008A2485"/>
    <w:rsid w:val="008A2489"/>
    <w:rsid w:val="008A2499"/>
    <w:rsid w:val="008A24AA"/>
    <w:rsid w:val="008A24B4"/>
    <w:rsid w:val="008A24BD"/>
    <w:rsid w:val="008A24BF"/>
    <w:rsid w:val="008A24F8"/>
    <w:rsid w:val="008A254A"/>
    <w:rsid w:val="008A2559"/>
    <w:rsid w:val="008A25B2"/>
    <w:rsid w:val="008A25D3"/>
    <w:rsid w:val="008A25DB"/>
    <w:rsid w:val="008A25EF"/>
    <w:rsid w:val="008A2617"/>
    <w:rsid w:val="008A2673"/>
    <w:rsid w:val="008A2678"/>
    <w:rsid w:val="008A2679"/>
    <w:rsid w:val="008A26CF"/>
    <w:rsid w:val="008A26F4"/>
    <w:rsid w:val="008A273A"/>
    <w:rsid w:val="008A275B"/>
    <w:rsid w:val="008A2762"/>
    <w:rsid w:val="008A27A2"/>
    <w:rsid w:val="008A27B0"/>
    <w:rsid w:val="008A27B2"/>
    <w:rsid w:val="008A27BF"/>
    <w:rsid w:val="008A289F"/>
    <w:rsid w:val="008A28AB"/>
    <w:rsid w:val="008A28B1"/>
    <w:rsid w:val="008A28C3"/>
    <w:rsid w:val="008A28CC"/>
    <w:rsid w:val="008A28E0"/>
    <w:rsid w:val="008A2908"/>
    <w:rsid w:val="008A295A"/>
    <w:rsid w:val="008A29FE"/>
    <w:rsid w:val="008A2A77"/>
    <w:rsid w:val="008A2A9C"/>
    <w:rsid w:val="008A2ACA"/>
    <w:rsid w:val="008A2AE1"/>
    <w:rsid w:val="008A2B36"/>
    <w:rsid w:val="008A2B7D"/>
    <w:rsid w:val="008A2B8A"/>
    <w:rsid w:val="008A2B93"/>
    <w:rsid w:val="008A2BA2"/>
    <w:rsid w:val="008A2BBA"/>
    <w:rsid w:val="008A2BC1"/>
    <w:rsid w:val="008A2BF3"/>
    <w:rsid w:val="008A2C06"/>
    <w:rsid w:val="008A2C47"/>
    <w:rsid w:val="008A2C52"/>
    <w:rsid w:val="008A2C56"/>
    <w:rsid w:val="008A2C98"/>
    <w:rsid w:val="008A2CBC"/>
    <w:rsid w:val="008A2CFF"/>
    <w:rsid w:val="008A2D1D"/>
    <w:rsid w:val="008A2DAA"/>
    <w:rsid w:val="008A2DBE"/>
    <w:rsid w:val="008A2DEB"/>
    <w:rsid w:val="008A2DFC"/>
    <w:rsid w:val="008A2E08"/>
    <w:rsid w:val="008A2E1A"/>
    <w:rsid w:val="008A2E3C"/>
    <w:rsid w:val="008A2E84"/>
    <w:rsid w:val="008A2E8E"/>
    <w:rsid w:val="008A2EFA"/>
    <w:rsid w:val="008A2F3F"/>
    <w:rsid w:val="008A2F78"/>
    <w:rsid w:val="008A2F84"/>
    <w:rsid w:val="008A2FA6"/>
    <w:rsid w:val="008A3032"/>
    <w:rsid w:val="008A307E"/>
    <w:rsid w:val="008A3091"/>
    <w:rsid w:val="008A30AF"/>
    <w:rsid w:val="008A3110"/>
    <w:rsid w:val="008A3169"/>
    <w:rsid w:val="008A316E"/>
    <w:rsid w:val="008A3189"/>
    <w:rsid w:val="008A3193"/>
    <w:rsid w:val="008A31E0"/>
    <w:rsid w:val="008A31F3"/>
    <w:rsid w:val="008A31F4"/>
    <w:rsid w:val="008A320A"/>
    <w:rsid w:val="008A320F"/>
    <w:rsid w:val="008A328D"/>
    <w:rsid w:val="008A32C6"/>
    <w:rsid w:val="008A3301"/>
    <w:rsid w:val="008A3333"/>
    <w:rsid w:val="008A3334"/>
    <w:rsid w:val="008A3350"/>
    <w:rsid w:val="008A33A1"/>
    <w:rsid w:val="008A33D4"/>
    <w:rsid w:val="008A33E1"/>
    <w:rsid w:val="008A33EE"/>
    <w:rsid w:val="008A3402"/>
    <w:rsid w:val="008A3425"/>
    <w:rsid w:val="008A3435"/>
    <w:rsid w:val="008A3439"/>
    <w:rsid w:val="008A344F"/>
    <w:rsid w:val="008A3450"/>
    <w:rsid w:val="008A346D"/>
    <w:rsid w:val="008A3495"/>
    <w:rsid w:val="008A349A"/>
    <w:rsid w:val="008A349C"/>
    <w:rsid w:val="008A34E5"/>
    <w:rsid w:val="008A34ED"/>
    <w:rsid w:val="008A3501"/>
    <w:rsid w:val="008A3513"/>
    <w:rsid w:val="008A3539"/>
    <w:rsid w:val="008A3544"/>
    <w:rsid w:val="008A3571"/>
    <w:rsid w:val="008A358E"/>
    <w:rsid w:val="008A35AE"/>
    <w:rsid w:val="008A35CD"/>
    <w:rsid w:val="008A3600"/>
    <w:rsid w:val="008A3626"/>
    <w:rsid w:val="008A363E"/>
    <w:rsid w:val="008A3668"/>
    <w:rsid w:val="008A36CE"/>
    <w:rsid w:val="008A36EF"/>
    <w:rsid w:val="008A36F4"/>
    <w:rsid w:val="008A371F"/>
    <w:rsid w:val="008A3727"/>
    <w:rsid w:val="008A375F"/>
    <w:rsid w:val="008A377E"/>
    <w:rsid w:val="008A3807"/>
    <w:rsid w:val="008A381F"/>
    <w:rsid w:val="008A382B"/>
    <w:rsid w:val="008A3832"/>
    <w:rsid w:val="008A389B"/>
    <w:rsid w:val="008A38A4"/>
    <w:rsid w:val="008A38CB"/>
    <w:rsid w:val="008A391B"/>
    <w:rsid w:val="008A393C"/>
    <w:rsid w:val="008A3942"/>
    <w:rsid w:val="008A396A"/>
    <w:rsid w:val="008A3992"/>
    <w:rsid w:val="008A39DD"/>
    <w:rsid w:val="008A3A0E"/>
    <w:rsid w:val="008A3A52"/>
    <w:rsid w:val="008A3A57"/>
    <w:rsid w:val="008A3A9B"/>
    <w:rsid w:val="008A3AB1"/>
    <w:rsid w:val="008A3B08"/>
    <w:rsid w:val="008A3B38"/>
    <w:rsid w:val="008A3B3B"/>
    <w:rsid w:val="008A3B4A"/>
    <w:rsid w:val="008A3B5B"/>
    <w:rsid w:val="008A3B99"/>
    <w:rsid w:val="008A3BB4"/>
    <w:rsid w:val="008A3BBB"/>
    <w:rsid w:val="008A3BC0"/>
    <w:rsid w:val="008A3BEB"/>
    <w:rsid w:val="008A3C27"/>
    <w:rsid w:val="008A3C29"/>
    <w:rsid w:val="008A3C4C"/>
    <w:rsid w:val="008A3C90"/>
    <w:rsid w:val="008A3CDA"/>
    <w:rsid w:val="008A3CEA"/>
    <w:rsid w:val="008A3D16"/>
    <w:rsid w:val="008A3D4D"/>
    <w:rsid w:val="008A3D69"/>
    <w:rsid w:val="008A3DAF"/>
    <w:rsid w:val="008A3DE0"/>
    <w:rsid w:val="008A3DFC"/>
    <w:rsid w:val="008A3E1A"/>
    <w:rsid w:val="008A3E58"/>
    <w:rsid w:val="008A3E84"/>
    <w:rsid w:val="008A3EBC"/>
    <w:rsid w:val="008A3F02"/>
    <w:rsid w:val="008A3F50"/>
    <w:rsid w:val="008A3FAB"/>
    <w:rsid w:val="008A3FCC"/>
    <w:rsid w:val="008A3FE2"/>
    <w:rsid w:val="008A406C"/>
    <w:rsid w:val="008A4108"/>
    <w:rsid w:val="008A410C"/>
    <w:rsid w:val="008A4126"/>
    <w:rsid w:val="008A412B"/>
    <w:rsid w:val="008A4137"/>
    <w:rsid w:val="008A415B"/>
    <w:rsid w:val="008A4193"/>
    <w:rsid w:val="008A4196"/>
    <w:rsid w:val="008A41EE"/>
    <w:rsid w:val="008A4217"/>
    <w:rsid w:val="008A4263"/>
    <w:rsid w:val="008A4269"/>
    <w:rsid w:val="008A4280"/>
    <w:rsid w:val="008A42A1"/>
    <w:rsid w:val="008A42BF"/>
    <w:rsid w:val="008A42F8"/>
    <w:rsid w:val="008A4327"/>
    <w:rsid w:val="008A432C"/>
    <w:rsid w:val="008A4340"/>
    <w:rsid w:val="008A4345"/>
    <w:rsid w:val="008A434B"/>
    <w:rsid w:val="008A438A"/>
    <w:rsid w:val="008A4394"/>
    <w:rsid w:val="008A440F"/>
    <w:rsid w:val="008A441E"/>
    <w:rsid w:val="008A4452"/>
    <w:rsid w:val="008A4469"/>
    <w:rsid w:val="008A448E"/>
    <w:rsid w:val="008A44B8"/>
    <w:rsid w:val="008A44C2"/>
    <w:rsid w:val="008A44C6"/>
    <w:rsid w:val="008A4507"/>
    <w:rsid w:val="008A454B"/>
    <w:rsid w:val="008A4563"/>
    <w:rsid w:val="008A4602"/>
    <w:rsid w:val="008A4618"/>
    <w:rsid w:val="008A46A5"/>
    <w:rsid w:val="008A46B1"/>
    <w:rsid w:val="008A46D9"/>
    <w:rsid w:val="008A46E7"/>
    <w:rsid w:val="008A46EB"/>
    <w:rsid w:val="008A46F9"/>
    <w:rsid w:val="008A4757"/>
    <w:rsid w:val="008A476C"/>
    <w:rsid w:val="008A4775"/>
    <w:rsid w:val="008A47EC"/>
    <w:rsid w:val="008A4806"/>
    <w:rsid w:val="008A4809"/>
    <w:rsid w:val="008A4859"/>
    <w:rsid w:val="008A486F"/>
    <w:rsid w:val="008A48E2"/>
    <w:rsid w:val="008A48FA"/>
    <w:rsid w:val="008A4924"/>
    <w:rsid w:val="008A499C"/>
    <w:rsid w:val="008A49AB"/>
    <w:rsid w:val="008A49C9"/>
    <w:rsid w:val="008A49DE"/>
    <w:rsid w:val="008A4A35"/>
    <w:rsid w:val="008A4A37"/>
    <w:rsid w:val="008A4AAD"/>
    <w:rsid w:val="008A4AB9"/>
    <w:rsid w:val="008A4AD6"/>
    <w:rsid w:val="008A4AEE"/>
    <w:rsid w:val="008A4B0D"/>
    <w:rsid w:val="008A4B19"/>
    <w:rsid w:val="008A4B8B"/>
    <w:rsid w:val="008A4BAE"/>
    <w:rsid w:val="008A4BC5"/>
    <w:rsid w:val="008A4BE6"/>
    <w:rsid w:val="008A4BEE"/>
    <w:rsid w:val="008A4C17"/>
    <w:rsid w:val="008A4C3A"/>
    <w:rsid w:val="008A4C4D"/>
    <w:rsid w:val="008A4C80"/>
    <w:rsid w:val="008A4CBA"/>
    <w:rsid w:val="008A4CC0"/>
    <w:rsid w:val="008A4CD2"/>
    <w:rsid w:val="008A4CD9"/>
    <w:rsid w:val="008A4CFE"/>
    <w:rsid w:val="008A4D5C"/>
    <w:rsid w:val="008A4D8B"/>
    <w:rsid w:val="008A4D9F"/>
    <w:rsid w:val="008A4DA2"/>
    <w:rsid w:val="008A4DBB"/>
    <w:rsid w:val="008A4DC2"/>
    <w:rsid w:val="008A4DD9"/>
    <w:rsid w:val="008A4E1A"/>
    <w:rsid w:val="008A4E2F"/>
    <w:rsid w:val="008A4E6C"/>
    <w:rsid w:val="008A4E8D"/>
    <w:rsid w:val="008A4EDF"/>
    <w:rsid w:val="008A4EED"/>
    <w:rsid w:val="008A4F5C"/>
    <w:rsid w:val="008A4FA0"/>
    <w:rsid w:val="008A4FAD"/>
    <w:rsid w:val="008A4FD9"/>
    <w:rsid w:val="008A4FED"/>
    <w:rsid w:val="008A4FF0"/>
    <w:rsid w:val="008A5022"/>
    <w:rsid w:val="008A502D"/>
    <w:rsid w:val="008A505C"/>
    <w:rsid w:val="008A507E"/>
    <w:rsid w:val="008A509A"/>
    <w:rsid w:val="008A50B8"/>
    <w:rsid w:val="008A50B9"/>
    <w:rsid w:val="008A50BD"/>
    <w:rsid w:val="008A50CE"/>
    <w:rsid w:val="008A50E1"/>
    <w:rsid w:val="008A5167"/>
    <w:rsid w:val="008A516F"/>
    <w:rsid w:val="008A519D"/>
    <w:rsid w:val="008A51A4"/>
    <w:rsid w:val="008A51A7"/>
    <w:rsid w:val="008A51AA"/>
    <w:rsid w:val="008A522B"/>
    <w:rsid w:val="008A5275"/>
    <w:rsid w:val="008A5277"/>
    <w:rsid w:val="008A5293"/>
    <w:rsid w:val="008A52BE"/>
    <w:rsid w:val="008A52D9"/>
    <w:rsid w:val="008A52E3"/>
    <w:rsid w:val="008A532B"/>
    <w:rsid w:val="008A5337"/>
    <w:rsid w:val="008A533B"/>
    <w:rsid w:val="008A533F"/>
    <w:rsid w:val="008A5341"/>
    <w:rsid w:val="008A53F7"/>
    <w:rsid w:val="008A53FA"/>
    <w:rsid w:val="008A545C"/>
    <w:rsid w:val="008A548B"/>
    <w:rsid w:val="008A5538"/>
    <w:rsid w:val="008A55B8"/>
    <w:rsid w:val="008A55D8"/>
    <w:rsid w:val="008A5622"/>
    <w:rsid w:val="008A567B"/>
    <w:rsid w:val="008A568C"/>
    <w:rsid w:val="008A568F"/>
    <w:rsid w:val="008A5692"/>
    <w:rsid w:val="008A569A"/>
    <w:rsid w:val="008A56DA"/>
    <w:rsid w:val="008A578D"/>
    <w:rsid w:val="008A579B"/>
    <w:rsid w:val="008A581F"/>
    <w:rsid w:val="008A582F"/>
    <w:rsid w:val="008A584E"/>
    <w:rsid w:val="008A5877"/>
    <w:rsid w:val="008A588E"/>
    <w:rsid w:val="008A589F"/>
    <w:rsid w:val="008A58B6"/>
    <w:rsid w:val="008A5905"/>
    <w:rsid w:val="008A596F"/>
    <w:rsid w:val="008A59A9"/>
    <w:rsid w:val="008A59B4"/>
    <w:rsid w:val="008A59CC"/>
    <w:rsid w:val="008A59DC"/>
    <w:rsid w:val="008A59F9"/>
    <w:rsid w:val="008A5A56"/>
    <w:rsid w:val="008A5A68"/>
    <w:rsid w:val="008A5A8C"/>
    <w:rsid w:val="008A5AEF"/>
    <w:rsid w:val="008A5AF3"/>
    <w:rsid w:val="008A5B02"/>
    <w:rsid w:val="008A5B29"/>
    <w:rsid w:val="008A5B4A"/>
    <w:rsid w:val="008A5B53"/>
    <w:rsid w:val="008A5B79"/>
    <w:rsid w:val="008A5B7B"/>
    <w:rsid w:val="008A5B7D"/>
    <w:rsid w:val="008A5B7F"/>
    <w:rsid w:val="008A5B8F"/>
    <w:rsid w:val="008A5BD7"/>
    <w:rsid w:val="008A5BDA"/>
    <w:rsid w:val="008A5BF7"/>
    <w:rsid w:val="008A5C10"/>
    <w:rsid w:val="008A5C27"/>
    <w:rsid w:val="008A5C2F"/>
    <w:rsid w:val="008A5C31"/>
    <w:rsid w:val="008A5C4C"/>
    <w:rsid w:val="008A5C4D"/>
    <w:rsid w:val="008A5C77"/>
    <w:rsid w:val="008A5C9C"/>
    <w:rsid w:val="008A5CB6"/>
    <w:rsid w:val="008A5CCA"/>
    <w:rsid w:val="008A5CD5"/>
    <w:rsid w:val="008A5CE2"/>
    <w:rsid w:val="008A5CF9"/>
    <w:rsid w:val="008A5D0D"/>
    <w:rsid w:val="008A5D41"/>
    <w:rsid w:val="008A5D42"/>
    <w:rsid w:val="008A5D6D"/>
    <w:rsid w:val="008A5D7F"/>
    <w:rsid w:val="008A5D8A"/>
    <w:rsid w:val="008A5D9E"/>
    <w:rsid w:val="008A5DA1"/>
    <w:rsid w:val="008A5DCA"/>
    <w:rsid w:val="008A5DCE"/>
    <w:rsid w:val="008A5DDB"/>
    <w:rsid w:val="008A5E7F"/>
    <w:rsid w:val="008A5EB7"/>
    <w:rsid w:val="008A5EEA"/>
    <w:rsid w:val="008A5F02"/>
    <w:rsid w:val="008A5F70"/>
    <w:rsid w:val="008A5F7C"/>
    <w:rsid w:val="008A5FC9"/>
    <w:rsid w:val="008A6019"/>
    <w:rsid w:val="008A604B"/>
    <w:rsid w:val="008A606A"/>
    <w:rsid w:val="008A608E"/>
    <w:rsid w:val="008A60BB"/>
    <w:rsid w:val="008A60BD"/>
    <w:rsid w:val="008A60E0"/>
    <w:rsid w:val="008A60F3"/>
    <w:rsid w:val="008A611F"/>
    <w:rsid w:val="008A612F"/>
    <w:rsid w:val="008A6146"/>
    <w:rsid w:val="008A6182"/>
    <w:rsid w:val="008A6186"/>
    <w:rsid w:val="008A6190"/>
    <w:rsid w:val="008A620C"/>
    <w:rsid w:val="008A623C"/>
    <w:rsid w:val="008A626E"/>
    <w:rsid w:val="008A628A"/>
    <w:rsid w:val="008A62D5"/>
    <w:rsid w:val="008A6406"/>
    <w:rsid w:val="008A6428"/>
    <w:rsid w:val="008A643D"/>
    <w:rsid w:val="008A64AB"/>
    <w:rsid w:val="008A64CC"/>
    <w:rsid w:val="008A64E3"/>
    <w:rsid w:val="008A6504"/>
    <w:rsid w:val="008A651A"/>
    <w:rsid w:val="008A6548"/>
    <w:rsid w:val="008A6549"/>
    <w:rsid w:val="008A656E"/>
    <w:rsid w:val="008A657D"/>
    <w:rsid w:val="008A65A2"/>
    <w:rsid w:val="008A65C5"/>
    <w:rsid w:val="008A65D1"/>
    <w:rsid w:val="008A65E3"/>
    <w:rsid w:val="008A6612"/>
    <w:rsid w:val="008A6615"/>
    <w:rsid w:val="008A6678"/>
    <w:rsid w:val="008A66B2"/>
    <w:rsid w:val="008A66FB"/>
    <w:rsid w:val="008A66FC"/>
    <w:rsid w:val="008A675B"/>
    <w:rsid w:val="008A6782"/>
    <w:rsid w:val="008A678A"/>
    <w:rsid w:val="008A679D"/>
    <w:rsid w:val="008A67DC"/>
    <w:rsid w:val="008A6829"/>
    <w:rsid w:val="008A684A"/>
    <w:rsid w:val="008A687F"/>
    <w:rsid w:val="008A68B3"/>
    <w:rsid w:val="008A68E5"/>
    <w:rsid w:val="008A694E"/>
    <w:rsid w:val="008A69AB"/>
    <w:rsid w:val="008A69BB"/>
    <w:rsid w:val="008A69CD"/>
    <w:rsid w:val="008A69D6"/>
    <w:rsid w:val="008A69F3"/>
    <w:rsid w:val="008A6A1C"/>
    <w:rsid w:val="008A6A1E"/>
    <w:rsid w:val="008A6A44"/>
    <w:rsid w:val="008A6A6D"/>
    <w:rsid w:val="008A6A9E"/>
    <w:rsid w:val="008A6AAD"/>
    <w:rsid w:val="008A6AC7"/>
    <w:rsid w:val="008A6AE9"/>
    <w:rsid w:val="008A6AFE"/>
    <w:rsid w:val="008A6B44"/>
    <w:rsid w:val="008A6B51"/>
    <w:rsid w:val="008A6B87"/>
    <w:rsid w:val="008A6BA7"/>
    <w:rsid w:val="008A6BDC"/>
    <w:rsid w:val="008A6BFE"/>
    <w:rsid w:val="008A6C40"/>
    <w:rsid w:val="008A6C4B"/>
    <w:rsid w:val="008A6C5C"/>
    <w:rsid w:val="008A6C6E"/>
    <w:rsid w:val="008A6C8D"/>
    <w:rsid w:val="008A6CB6"/>
    <w:rsid w:val="008A6CED"/>
    <w:rsid w:val="008A6D12"/>
    <w:rsid w:val="008A6D2F"/>
    <w:rsid w:val="008A6D5B"/>
    <w:rsid w:val="008A6D96"/>
    <w:rsid w:val="008A6E53"/>
    <w:rsid w:val="008A6E5B"/>
    <w:rsid w:val="008A6E79"/>
    <w:rsid w:val="008A6EBC"/>
    <w:rsid w:val="008A6EC0"/>
    <w:rsid w:val="008A6ED3"/>
    <w:rsid w:val="008A6EEA"/>
    <w:rsid w:val="008A6F31"/>
    <w:rsid w:val="008A6F54"/>
    <w:rsid w:val="008A6F58"/>
    <w:rsid w:val="008A6F63"/>
    <w:rsid w:val="008A6F75"/>
    <w:rsid w:val="008A7004"/>
    <w:rsid w:val="008A7011"/>
    <w:rsid w:val="008A702B"/>
    <w:rsid w:val="008A7072"/>
    <w:rsid w:val="008A70BD"/>
    <w:rsid w:val="008A70E1"/>
    <w:rsid w:val="008A710C"/>
    <w:rsid w:val="008A710F"/>
    <w:rsid w:val="008A7136"/>
    <w:rsid w:val="008A713C"/>
    <w:rsid w:val="008A7155"/>
    <w:rsid w:val="008A715F"/>
    <w:rsid w:val="008A718D"/>
    <w:rsid w:val="008A7192"/>
    <w:rsid w:val="008A719B"/>
    <w:rsid w:val="008A720B"/>
    <w:rsid w:val="008A720C"/>
    <w:rsid w:val="008A7295"/>
    <w:rsid w:val="008A7299"/>
    <w:rsid w:val="008A72F3"/>
    <w:rsid w:val="008A7310"/>
    <w:rsid w:val="008A7321"/>
    <w:rsid w:val="008A7356"/>
    <w:rsid w:val="008A7360"/>
    <w:rsid w:val="008A736C"/>
    <w:rsid w:val="008A736E"/>
    <w:rsid w:val="008A73A6"/>
    <w:rsid w:val="008A73AB"/>
    <w:rsid w:val="008A73BB"/>
    <w:rsid w:val="008A73F4"/>
    <w:rsid w:val="008A73F7"/>
    <w:rsid w:val="008A7444"/>
    <w:rsid w:val="008A7459"/>
    <w:rsid w:val="008A745E"/>
    <w:rsid w:val="008A74E2"/>
    <w:rsid w:val="008A74F5"/>
    <w:rsid w:val="008A750B"/>
    <w:rsid w:val="008A7592"/>
    <w:rsid w:val="008A7596"/>
    <w:rsid w:val="008A759A"/>
    <w:rsid w:val="008A75FB"/>
    <w:rsid w:val="008A7600"/>
    <w:rsid w:val="008A7636"/>
    <w:rsid w:val="008A76A0"/>
    <w:rsid w:val="008A76AA"/>
    <w:rsid w:val="008A76B3"/>
    <w:rsid w:val="008A76C7"/>
    <w:rsid w:val="008A779A"/>
    <w:rsid w:val="008A77BF"/>
    <w:rsid w:val="008A77C2"/>
    <w:rsid w:val="008A780B"/>
    <w:rsid w:val="008A7816"/>
    <w:rsid w:val="008A7817"/>
    <w:rsid w:val="008A781E"/>
    <w:rsid w:val="008A7837"/>
    <w:rsid w:val="008A783D"/>
    <w:rsid w:val="008A7868"/>
    <w:rsid w:val="008A7891"/>
    <w:rsid w:val="008A789A"/>
    <w:rsid w:val="008A794E"/>
    <w:rsid w:val="008A79BA"/>
    <w:rsid w:val="008A79E2"/>
    <w:rsid w:val="008A7A0F"/>
    <w:rsid w:val="008A7A88"/>
    <w:rsid w:val="008A7A8C"/>
    <w:rsid w:val="008A7AB6"/>
    <w:rsid w:val="008A7AEA"/>
    <w:rsid w:val="008A7AF9"/>
    <w:rsid w:val="008A7B54"/>
    <w:rsid w:val="008A7B57"/>
    <w:rsid w:val="008A7B6F"/>
    <w:rsid w:val="008A7B94"/>
    <w:rsid w:val="008A7BAD"/>
    <w:rsid w:val="008A7C39"/>
    <w:rsid w:val="008A7C96"/>
    <w:rsid w:val="008A7C9F"/>
    <w:rsid w:val="008A7CCC"/>
    <w:rsid w:val="008A7CDE"/>
    <w:rsid w:val="008A7CEA"/>
    <w:rsid w:val="008A7CFB"/>
    <w:rsid w:val="008A7D0E"/>
    <w:rsid w:val="008A7D33"/>
    <w:rsid w:val="008A7D43"/>
    <w:rsid w:val="008A7D46"/>
    <w:rsid w:val="008A7D72"/>
    <w:rsid w:val="008A7DA9"/>
    <w:rsid w:val="008A7DC3"/>
    <w:rsid w:val="008A7DD0"/>
    <w:rsid w:val="008A7DFF"/>
    <w:rsid w:val="008A7E3E"/>
    <w:rsid w:val="008A7E83"/>
    <w:rsid w:val="008A7EB7"/>
    <w:rsid w:val="008A7EB8"/>
    <w:rsid w:val="008A7EE0"/>
    <w:rsid w:val="008A7EFD"/>
    <w:rsid w:val="008A7F05"/>
    <w:rsid w:val="008A7F24"/>
    <w:rsid w:val="008A7F38"/>
    <w:rsid w:val="008A7F53"/>
    <w:rsid w:val="008A7FBC"/>
    <w:rsid w:val="008A7FDE"/>
    <w:rsid w:val="008B000D"/>
    <w:rsid w:val="008B0019"/>
    <w:rsid w:val="008B0056"/>
    <w:rsid w:val="008B0064"/>
    <w:rsid w:val="008B00CF"/>
    <w:rsid w:val="008B00D1"/>
    <w:rsid w:val="008B0109"/>
    <w:rsid w:val="008B0159"/>
    <w:rsid w:val="008B016D"/>
    <w:rsid w:val="008B0181"/>
    <w:rsid w:val="008B0183"/>
    <w:rsid w:val="008B01EC"/>
    <w:rsid w:val="008B01F3"/>
    <w:rsid w:val="008B0215"/>
    <w:rsid w:val="008B0253"/>
    <w:rsid w:val="008B027A"/>
    <w:rsid w:val="008B027B"/>
    <w:rsid w:val="008B02A4"/>
    <w:rsid w:val="008B02A7"/>
    <w:rsid w:val="008B02A9"/>
    <w:rsid w:val="008B02FC"/>
    <w:rsid w:val="008B0325"/>
    <w:rsid w:val="008B033F"/>
    <w:rsid w:val="008B0394"/>
    <w:rsid w:val="008B0399"/>
    <w:rsid w:val="008B03C8"/>
    <w:rsid w:val="008B03DE"/>
    <w:rsid w:val="008B03ED"/>
    <w:rsid w:val="008B0441"/>
    <w:rsid w:val="008B044A"/>
    <w:rsid w:val="008B044E"/>
    <w:rsid w:val="008B049F"/>
    <w:rsid w:val="008B04D2"/>
    <w:rsid w:val="008B0507"/>
    <w:rsid w:val="008B0535"/>
    <w:rsid w:val="008B0575"/>
    <w:rsid w:val="008B059D"/>
    <w:rsid w:val="008B05D5"/>
    <w:rsid w:val="008B065E"/>
    <w:rsid w:val="008B06BB"/>
    <w:rsid w:val="008B06BC"/>
    <w:rsid w:val="008B06C4"/>
    <w:rsid w:val="008B0735"/>
    <w:rsid w:val="008B0753"/>
    <w:rsid w:val="008B0780"/>
    <w:rsid w:val="008B07B4"/>
    <w:rsid w:val="008B07D3"/>
    <w:rsid w:val="008B0801"/>
    <w:rsid w:val="008B0817"/>
    <w:rsid w:val="008B0841"/>
    <w:rsid w:val="008B0905"/>
    <w:rsid w:val="008B0912"/>
    <w:rsid w:val="008B091A"/>
    <w:rsid w:val="008B0964"/>
    <w:rsid w:val="008B0966"/>
    <w:rsid w:val="008B0990"/>
    <w:rsid w:val="008B09B9"/>
    <w:rsid w:val="008B0A25"/>
    <w:rsid w:val="008B0A5F"/>
    <w:rsid w:val="008B0A9D"/>
    <w:rsid w:val="008B0ACA"/>
    <w:rsid w:val="008B0AF1"/>
    <w:rsid w:val="008B0B0A"/>
    <w:rsid w:val="008B0B10"/>
    <w:rsid w:val="008B0B3B"/>
    <w:rsid w:val="008B0B45"/>
    <w:rsid w:val="008B0B47"/>
    <w:rsid w:val="008B0B78"/>
    <w:rsid w:val="008B0B7B"/>
    <w:rsid w:val="008B0B9F"/>
    <w:rsid w:val="008B0BB8"/>
    <w:rsid w:val="008B0C22"/>
    <w:rsid w:val="008B0C28"/>
    <w:rsid w:val="008B0C2C"/>
    <w:rsid w:val="008B0C6C"/>
    <w:rsid w:val="008B0CF0"/>
    <w:rsid w:val="008B0CF9"/>
    <w:rsid w:val="008B0CFE"/>
    <w:rsid w:val="008B0D26"/>
    <w:rsid w:val="008B0D43"/>
    <w:rsid w:val="008B0D88"/>
    <w:rsid w:val="008B0DDE"/>
    <w:rsid w:val="008B0DE3"/>
    <w:rsid w:val="008B0E11"/>
    <w:rsid w:val="008B0E66"/>
    <w:rsid w:val="008B0E67"/>
    <w:rsid w:val="008B0EC9"/>
    <w:rsid w:val="008B0EF1"/>
    <w:rsid w:val="008B0EF8"/>
    <w:rsid w:val="008B0EFA"/>
    <w:rsid w:val="008B0F15"/>
    <w:rsid w:val="008B0F25"/>
    <w:rsid w:val="008B0F26"/>
    <w:rsid w:val="008B0F4B"/>
    <w:rsid w:val="008B0F51"/>
    <w:rsid w:val="008B0F9E"/>
    <w:rsid w:val="008B0FBC"/>
    <w:rsid w:val="008B0FF5"/>
    <w:rsid w:val="008B1013"/>
    <w:rsid w:val="008B1032"/>
    <w:rsid w:val="008B1059"/>
    <w:rsid w:val="008B10FF"/>
    <w:rsid w:val="008B1104"/>
    <w:rsid w:val="008B111B"/>
    <w:rsid w:val="008B112C"/>
    <w:rsid w:val="008B1184"/>
    <w:rsid w:val="008B118D"/>
    <w:rsid w:val="008B11D2"/>
    <w:rsid w:val="008B12BF"/>
    <w:rsid w:val="008B1309"/>
    <w:rsid w:val="008B1314"/>
    <w:rsid w:val="008B1345"/>
    <w:rsid w:val="008B1393"/>
    <w:rsid w:val="008B13A6"/>
    <w:rsid w:val="008B13B0"/>
    <w:rsid w:val="008B13B2"/>
    <w:rsid w:val="008B13EA"/>
    <w:rsid w:val="008B13F1"/>
    <w:rsid w:val="008B141D"/>
    <w:rsid w:val="008B1475"/>
    <w:rsid w:val="008B1490"/>
    <w:rsid w:val="008B14A6"/>
    <w:rsid w:val="008B14DD"/>
    <w:rsid w:val="008B152F"/>
    <w:rsid w:val="008B1555"/>
    <w:rsid w:val="008B1582"/>
    <w:rsid w:val="008B1592"/>
    <w:rsid w:val="008B15A6"/>
    <w:rsid w:val="008B15F2"/>
    <w:rsid w:val="008B1620"/>
    <w:rsid w:val="008B1633"/>
    <w:rsid w:val="008B163C"/>
    <w:rsid w:val="008B167E"/>
    <w:rsid w:val="008B16BA"/>
    <w:rsid w:val="008B16BE"/>
    <w:rsid w:val="008B16E4"/>
    <w:rsid w:val="008B1725"/>
    <w:rsid w:val="008B177C"/>
    <w:rsid w:val="008B178A"/>
    <w:rsid w:val="008B17E6"/>
    <w:rsid w:val="008B1803"/>
    <w:rsid w:val="008B1840"/>
    <w:rsid w:val="008B18AB"/>
    <w:rsid w:val="008B193A"/>
    <w:rsid w:val="008B196C"/>
    <w:rsid w:val="008B196E"/>
    <w:rsid w:val="008B1982"/>
    <w:rsid w:val="008B1991"/>
    <w:rsid w:val="008B1998"/>
    <w:rsid w:val="008B199A"/>
    <w:rsid w:val="008B19A5"/>
    <w:rsid w:val="008B19BA"/>
    <w:rsid w:val="008B19F6"/>
    <w:rsid w:val="008B1A31"/>
    <w:rsid w:val="008B1A3C"/>
    <w:rsid w:val="008B1A98"/>
    <w:rsid w:val="008B1B34"/>
    <w:rsid w:val="008B1B64"/>
    <w:rsid w:val="008B1C04"/>
    <w:rsid w:val="008B1C1C"/>
    <w:rsid w:val="008B1C24"/>
    <w:rsid w:val="008B1C51"/>
    <w:rsid w:val="008B1C60"/>
    <w:rsid w:val="008B1CB1"/>
    <w:rsid w:val="008B1CB3"/>
    <w:rsid w:val="008B1CBE"/>
    <w:rsid w:val="008B1D2D"/>
    <w:rsid w:val="008B1D47"/>
    <w:rsid w:val="008B1DA8"/>
    <w:rsid w:val="008B1DBF"/>
    <w:rsid w:val="008B1DC8"/>
    <w:rsid w:val="008B1DF5"/>
    <w:rsid w:val="008B1E57"/>
    <w:rsid w:val="008B1E64"/>
    <w:rsid w:val="008B1E7F"/>
    <w:rsid w:val="008B1E9C"/>
    <w:rsid w:val="008B1ED3"/>
    <w:rsid w:val="008B1EDA"/>
    <w:rsid w:val="008B1F20"/>
    <w:rsid w:val="008B1F2A"/>
    <w:rsid w:val="008B1F77"/>
    <w:rsid w:val="008B1F9C"/>
    <w:rsid w:val="008B1FB0"/>
    <w:rsid w:val="008B1FE9"/>
    <w:rsid w:val="008B20A2"/>
    <w:rsid w:val="008B20C6"/>
    <w:rsid w:val="008B20DE"/>
    <w:rsid w:val="008B20E7"/>
    <w:rsid w:val="008B2130"/>
    <w:rsid w:val="008B214E"/>
    <w:rsid w:val="008B216C"/>
    <w:rsid w:val="008B2186"/>
    <w:rsid w:val="008B21BB"/>
    <w:rsid w:val="008B21D7"/>
    <w:rsid w:val="008B21D8"/>
    <w:rsid w:val="008B21FC"/>
    <w:rsid w:val="008B224D"/>
    <w:rsid w:val="008B2253"/>
    <w:rsid w:val="008B2267"/>
    <w:rsid w:val="008B2283"/>
    <w:rsid w:val="008B229F"/>
    <w:rsid w:val="008B22D0"/>
    <w:rsid w:val="008B22DB"/>
    <w:rsid w:val="008B22F1"/>
    <w:rsid w:val="008B231B"/>
    <w:rsid w:val="008B2322"/>
    <w:rsid w:val="008B2325"/>
    <w:rsid w:val="008B236C"/>
    <w:rsid w:val="008B239E"/>
    <w:rsid w:val="008B23A9"/>
    <w:rsid w:val="008B23B4"/>
    <w:rsid w:val="008B23E2"/>
    <w:rsid w:val="008B2402"/>
    <w:rsid w:val="008B2428"/>
    <w:rsid w:val="008B243E"/>
    <w:rsid w:val="008B2483"/>
    <w:rsid w:val="008B2484"/>
    <w:rsid w:val="008B24CE"/>
    <w:rsid w:val="008B2529"/>
    <w:rsid w:val="008B25A9"/>
    <w:rsid w:val="008B2621"/>
    <w:rsid w:val="008B2624"/>
    <w:rsid w:val="008B2667"/>
    <w:rsid w:val="008B2687"/>
    <w:rsid w:val="008B2696"/>
    <w:rsid w:val="008B26BC"/>
    <w:rsid w:val="008B271D"/>
    <w:rsid w:val="008B27C7"/>
    <w:rsid w:val="008B27F3"/>
    <w:rsid w:val="008B2857"/>
    <w:rsid w:val="008B28EC"/>
    <w:rsid w:val="008B2925"/>
    <w:rsid w:val="008B29A2"/>
    <w:rsid w:val="008B29A4"/>
    <w:rsid w:val="008B29BA"/>
    <w:rsid w:val="008B29C3"/>
    <w:rsid w:val="008B29D1"/>
    <w:rsid w:val="008B2A0B"/>
    <w:rsid w:val="008B2A60"/>
    <w:rsid w:val="008B2A7E"/>
    <w:rsid w:val="008B2ABB"/>
    <w:rsid w:val="008B2AC4"/>
    <w:rsid w:val="008B2AD0"/>
    <w:rsid w:val="008B2AD9"/>
    <w:rsid w:val="008B2AF6"/>
    <w:rsid w:val="008B2B06"/>
    <w:rsid w:val="008B2B4A"/>
    <w:rsid w:val="008B2B6E"/>
    <w:rsid w:val="008B2C34"/>
    <w:rsid w:val="008B2C3D"/>
    <w:rsid w:val="008B2CA3"/>
    <w:rsid w:val="008B2D6D"/>
    <w:rsid w:val="008B2D78"/>
    <w:rsid w:val="008B2D7B"/>
    <w:rsid w:val="008B2DA4"/>
    <w:rsid w:val="008B2DE7"/>
    <w:rsid w:val="008B2E1F"/>
    <w:rsid w:val="008B2E29"/>
    <w:rsid w:val="008B2E60"/>
    <w:rsid w:val="008B2ED9"/>
    <w:rsid w:val="008B2EFF"/>
    <w:rsid w:val="008B2F49"/>
    <w:rsid w:val="008B302C"/>
    <w:rsid w:val="008B30A6"/>
    <w:rsid w:val="008B30B6"/>
    <w:rsid w:val="008B30DF"/>
    <w:rsid w:val="008B30ED"/>
    <w:rsid w:val="008B310B"/>
    <w:rsid w:val="008B3142"/>
    <w:rsid w:val="008B317C"/>
    <w:rsid w:val="008B317E"/>
    <w:rsid w:val="008B318D"/>
    <w:rsid w:val="008B31E4"/>
    <w:rsid w:val="008B320E"/>
    <w:rsid w:val="008B3231"/>
    <w:rsid w:val="008B3238"/>
    <w:rsid w:val="008B32A4"/>
    <w:rsid w:val="008B32C0"/>
    <w:rsid w:val="008B32D5"/>
    <w:rsid w:val="008B32FF"/>
    <w:rsid w:val="008B3324"/>
    <w:rsid w:val="008B333B"/>
    <w:rsid w:val="008B334E"/>
    <w:rsid w:val="008B33AC"/>
    <w:rsid w:val="008B33AD"/>
    <w:rsid w:val="008B33F7"/>
    <w:rsid w:val="008B3496"/>
    <w:rsid w:val="008B349E"/>
    <w:rsid w:val="008B34A6"/>
    <w:rsid w:val="008B34B6"/>
    <w:rsid w:val="008B34E0"/>
    <w:rsid w:val="008B34E5"/>
    <w:rsid w:val="008B34EA"/>
    <w:rsid w:val="008B34EF"/>
    <w:rsid w:val="008B3509"/>
    <w:rsid w:val="008B351B"/>
    <w:rsid w:val="008B35EE"/>
    <w:rsid w:val="008B3690"/>
    <w:rsid w:val="008B3697"/>
    <w:rsid w:val="008B36CA"/>
    <w:rsid w:val="008B36CE"/>
    <w:rsid w:val="008B37A3"/>
    <w:rsid w:val="008B381D"/>
    <w:rsid w:val="008B3858"/>
    <w:rsid w:val="008B3860"/>
    <w:rsid w:val="008B3878"/>
    <w:rsid w:val="008B38C5"/>
    <w:rsid w:val="008B3917"/>
    <w:rsid w:val="008B3922"/>
    <w:rsid w:val="008B392F"/>
    <w:rsid w:val="008B3946"/>
    <w:rsid w:val="008B3987"/>
    <w:rsid w:val="008B3999"/>
    <w:rsid w:val="008B39AA"/>
    <w:rsid w:val="008B39DF"/>
    <w:rsid w:val="008B39E1"/>
    <w:rsid w:val="008B3A02"/>
    <w:rsid w:val="008B3A15"/>
    <w:rsid w:val="008B3A21"/>
    <w:rsid w:val="008B3A46"/>
    <w:rsid w:val="008B3A47"/>
    <w:rsid w:val="008B3A4D"/>
    <w:rsid w:val="008B3A54"/>
    <w:rsid w:val="008B3A59"/>
    <w:rsid w:val="008B3A9C"/>
    <w:rsid w:val="008B3AC1"/>
    <w:rsid w:val="008B3B62"/>
    <w:rsid w:val="008B3B6E"/>
    <w:rsid w:val="008B3B6F"/>
    <w:rsid w:val="008B3B77"/>
    <w:rsid w:val="008B3B8F"/>
    <w:rsid w:val="008B3BCE"/>
    <w:rsid w:val="008B3BD4"/>
    <w:rsid w:val="008B3C11"/>
    <w:rsid w:val="008B3C14"/>
    <w:rsid w:val="008B3C6F"/>
    <w:rsid w:val="008B3C88"/>
    <w:rsid w:val="008B3CB5"/>
    <w:rsid w:val="008B3CBD"/>
    <w:rsid w:val="008B3D10"/>
    <w:rsid w:val="008B3D4A"/>
    <w:rsid w:val="008B3D95"/>
    <w:rsid w:val="008B3DC5"/>
    <w:rsid w:val="008B3E24"/>
    <w:rsid w:val="008B3E2E"/>
    <w:rsid w:val="008B3E3B"/>
    <w:rsid w:val="008B3E72"/>
    <w:rsid w:val="008B3E7F"/>
    <w:rsid w:val="008B3E86"/>
    <w:rsid w:val="008B3EA7"/>
    <w:rsid w:val="008B3EEB"/>
    <w:rsid w:val="008B3F1A"/>
    <w:rsid w:val="008B3FFB"/>
    <w:rsid w:val="008B4056"/>
    <w:rsid w:val="008B4085"/>
    <w:rsid w:val="008B40AD"/>
    <w:rsid w:val="008B40B4"/>
    <w:rsid w:val="008B40BE"/>
    <w:rsid w:val="008B4132"/>
    <w:rsid w:val="008B4138"/>
    <w:rsid w:val="008B4153"/>
    <w:rsid w:val="008B4159"/>
    <w:rsid w:val="008B4175"/>
    <w:rsid w:val="008B4203"/>
    <w:rsid w:val="008B4209"/>
    <w:rsid w:val="008B4228"/>
    <w:rsid w:val="008B4255"/>
    <w:rsid w:val="008B4324"/>
    <w:rsid w:val="008B4357"/>
    <w:rsid w:val="008B4364"/>
    <w:rsid w:val="008B436B"/>
    <w:rsid w:val="008B4379"/>
    <w:rsid w:val="008B439B"/>
    <w:rsid w:val="008B43AE"/>
    <w:rsid w:val="008B43B6"/>
    <w:rsid w:val="008B43C4"/>
    <w:rsid w:val="008B43D3"/>
    <w:rsid w:val="008B43D5"/>
    <w:rsid w:val="008B440E"/>
    <w:rsid w:val="008B440F"/>
    <w:rsid w:val="008B442B"/>
    <w:rsid w:val="008B4439"/>
    <w:rsid w:val="008B4493"/>
    <w:rsid w:val="008B44A2"/>
    <w:rsid w:val="008B44AE"/>
    <w:rsid w:val="008B44E1"/>
    <w:rsid w:val="008B44FA"/>
    <w:rsid w:val="008B4532"/>
    <w:rsid w:val="008B455C"/>
    <w:rsid w:val="008B4639"/>
    <w:rsid w:val="008B4678"/>
    <w:rsid w:val="008B467C"/>
    <w:rsid w:val="008B4681"/>
    <w:rsid w:val="008B4683"/>
    <w:rsid w:val="008B469C"/>
    <w:rsid w:val="008B46A8"/>
    <w:rsid w:val="008B46F0"/>
    <w:rsid w:val="008B4752"/>
    <w:rsid w:val="008B4763"/>
    <w:rsid w:val="008B4769"/>
    <w:rsid w:val="008B4792"/>
    <w:rsid w:val="008B4795"/>
    <w:rsid w:val="008B47A4"/>
    <w:rsid w:val="008B47B1"/>
    <w:rsid w:val="008B47B8"/>
    <w:rsid w:val="008B47C1"/>
    <w:rsid w:val="008B47D9"/>
    <w:rsid w:val="008B47F7"/>
    <w:rsid w:val="008B481C"/>
    <w:rsid w:val="008B481E"/>
    <w:rsid w:val="008B48B6"/>
    <w:rsid w:val="008B48DF"/>
    <w:rsid w:val="008B490D"/>
    <w:rsid w:val="008B491B"/>
    <w:rsid w:val="008B4923"/>
    <w:rsid w:val="008B4954"/>
    <w:rsid w:val="008B4A00"/>
    <w:rsid w:val="008B4A04"/>
    <w:rsid w:val="008B4A05"/>
    <w:rsid w:val="008B4A0C"/>
    <w:rsid w:val="008B4A70"/>
    <w:rsid w:val="008B4A76"/>
    <w:rsid w:val="008B4AD0"/>
    <w:rsid w:val="008B4B14"/>
    <w:rsid w:val="008B4BCD"/>
    <w:rsid w:val="008B4BD3"/>
    <w:rsid w:val="008B4BF4"/>
    <w:rsid w:val="008B4BF5"/>
    <w:rsid w:val="008B4C79"/>
    <w:rsid w:val="008B4C7E"/>
    <w:rsid w:val="008B4CA0"/>
    <w:rsid w:val="008B4D06"/>
    <w:rsid w:val="008B4D9F"/>
    <w:rsid w:val="008B4DB3"/>
    <w:rsid w:val="008B4DB9"/>
    <w:rsid w:val="008B4DE7"/>
    <w:rsid w:val="008B4E0C"/>
    <w:rsid w:val="008B4E18"/>
    <w:rsid w:val="008B4E1E"/>
    <w:rsid w:val="008B4E4E"/>
    <w:rsid w:val="008B4EC6"/>
    <w:rsid w:val="008B4EE5"/>
    <w:rsid w:val="008B4F03"/>
    <w:rsid w:val="008B4F1D"/>
    <w:rsid w:val="008B4F61"/>
    <w:rsid w:val="008B4F6B"/>
    <w:rsid w:val="008B4F83"/>
    <w:rsid w:val="008B4FA9"/>
    <w:rsid w:val="008B4FBF"/>
    <w:rsid w:val="008B4FD4"/>
    <w:rsid w:val="008B5012"/>
    <w:rsid w:val="008B5015"/>
    <w:rsid w:val="008B501D"/>
    <w:rsid w:val="008B5029"/>
    <w:rsid w:val="008B5042"/>
    <w:rsid w:val="008B5074"/>
    <w:rsid w:val="008B507B"/>
    <w:rsid w:val="008B5124"/>
    <w:rsid w:val="008B5126"/>
    <w:rsid w:val="008B5177"/>
    <w:rsid w:val="008B5191"/>
    <w:rsid w:val="008B519F"/>
    <w:rsid w:val="008B51D1"/>
    <w:rsid w:val="008B51D9"/>
    <w:rsid w:val="008B51FF"/>
    <w:rsid w:val="008B5227"/>
    <w:rsid w:val="008B527D"/>
    <w:rsid w:val="008B5293"/>
    <w:rsid w:val="008B52AE"/>
    <w:rsid w:val="008B5342"/>
    <w:rsid w:val="008B5344"/>
    <w:rsid w:val="008B535B"/>
    <w:rsid w:val="008B5363"/>
    <w:rsid w:val="008B5366"/>
    <w:rsid w:val="008B5370"/>
    <w:rsid w:val="008B5388"/>
    <w:rsid w:val="008B53C3"/>
    <w:rsid w:val="008B53D0"/>
    <w:rsid w:val="008B53DE"/>
    <w:rsid w:val="008B53FA"/>
    <w:rsid w:val="008B53FD"/>
    <w:rsid w:val="008B5442"/>
    <w:rsid w:val="008B54A0"/>
    <w:rsid w:val="008B54AE"/>
    <w:rsid w:val="008B54B9"/>
    <w:rsid w:val="008B5508"/>
    <w:rsid w:val="008B5509"/>
    <w:rsid w:val="008B5540"/>
    <w:rsid w:val="008B5556"/>
    <w:rsid w:val="008B5569"/>
    <w:rsid w:val="008B55AB"/>
    <w:rsid w:val="008B55CA"/>
    <w:rsid w:val="008B55F8"/>
    <w:rsid w:val="008B5620"/>
    <w:rsid w:val="008B562D"/>
    <w:rsid w:val="008B5677"/>
    <w:rsid w:val="008B56F3"/>
    <w:rsid w:val="008B572F"/>
    <w:rsid w:val="008B575A"/>
    <w:rsid w:val="008B575F"/>
    <w:rsid w:val="008B5767"/>
    <w:rsid w:val="008B57BB"/>
    <w:rsid w:val="008B57BF"/>
    <w:rsid w:val="008B57EA"/>
    <w:rsid w:val="008B5851"/>
    <w:rsid w:val="008B5869"/>
    <w:rsid w:val="008B587C"/>
    <w:rsid w:val="008B58A9"/>
    <w:rsid w:val="008B58BF"/>
    <w:rsid w:val="008B58C8"/>
    <w:rsid w:val="008B58CB"/>
    <w:rsid w:val="008B58CD"/>
    <w:rsid w:val="008B5927"/>
    <w:rsid w:val="008B5953"/>
    <w:rsid w:val="008B5971"/>
    <w:rsid w:val="008B59BC"/>
    <w:rsid w:val="008B59CA"/>
    <w:rsid w:val="008B59EB"/>
    <w:rsid w:val="008B5A0C"/>
    <w:rsid w:val="008B5A13"/>
    <w:rsid w:val="008B5A1B"/>
    <w:rsid w:val="008B5A46"/>
    <w:rsid w:val="008B5A50"/>
    <w:rsid w:val="008B5A65"/>
    <w:rsid w:val="008B5A87"/>
    <w:rsid w:val="008B5A9F"/>
    <w:rsid w:val="008B5AAE"/>
    <w:rsid w:val="008B5B61"/>
    <w:rsid w:val="008B5B6B"/>
    <w:rsid w:val="008B5BAE"/>
    <w:rsid w:val="008B5BC3"/>
    <w:rsid w:val="008B5BD6"/>
    <w:rsid w:val="008B5BD8"/>
    <w:rsid w:val="008B5BD9"/>
    <w:rsid w:val="008B5BE3"/>
    <w:rsid w:val="008B5BF5"/>
    <w:rsid w:val="008B5BFC"/>
    <w:rsid w:val="008B5BFF"/>
    <w:rsid w:val="008B5C05"/>
    <w:rsid w:val="008B5C08"/>
    <w:rsid w:val="008B5C2C"/>
    <w:rsid w:val="008B5C56"/>
    <w:rsid w:val="008B5C73"/>
    <w:rsid w:val="008B5CF0"/>
    <w:rsid w:val="008B5D0D"/>
    <w:rsid w:val="008B5D37"/>
    <w:rsid w:val="008B5D3F"/>
    <w:rsid w:val="008B5D65"/>
    <w:rsid w:val="008B5DC6"/>
    <w:rsid w:val="008B5DCB"/>
    <w:rsid w:val="008B5E15"/>
    <w:rsid w:val="008B5E30"/>
    <w:rsid w:val="008B5E61"/>
    <w:rsid w:val="008B5E91"/>
    <w:rsid w:val="008B5EB3"/>
    <w:rsid w:val="008B5EBF"/>
    <w:rsid w:val="008B5EF5"/>
    <w:rsid w:val="008B5EF7"/>
    <w:rsid w:val="008B5F01"/>
    <w:rsid w:val="008B5F0A"/>
    <w:rsid w:val="008B5F13"/>
    <w:rsid w:val="008B5F33"/>
    <w:rsid w:val="008B5F5F"/>
    <w:rsid w:val="008B5FAD"/>
    <w:rsid w:val="008B5FD5"/>
    <w:rsid w:val="008B5FE8"/>
    <w:rsid w:val="008B6052"/>
    <w:rsid w:val="008B6093"/>
    <w:rsid w:val="008B60A5"/>
    <w:rsid w:val="008B60C5"/>
    <w:rsid w:val="008B6100"/>
    <w:rsid w:val="008B6108"/>
    <w:rsid w:val="008B610B"/>
    <w:rsid w:val="008B615F"/>
    <w:rsid w:val="008B6163"/>
    <w:rsid w:val="008B61C8"/>
    <w:rsid w:val="008B61D7"/>
    <w:rsid w:val="008B621C"/>
    <w:rsid w:val="008B625D"/>
    <w:rsid w:val="008B6264"/>
    <w:rsid w:val="008B626C"/>
    <w:rsid w:val="008B629D"/>
    <w:rsid w:val="008B62E8"/>
    <w:rsid w:val="008B62F4"/>
    <w:rsid w:val="008B631E"/>
    <w:rsid w:val="008B634F"/>
    <w:rsid w:val="008B6351"/>
    <w:rsid w:val="008B6355"/>
    <w:rsid w:val="008B63BD"/>
    <w:rsid w:val="008B6400"/>
    <w:rsid w:val="008B641E"/>
    <w:rsid w:val="008B643C"/>
    <w:rsid w:val="008B645C"/>
    <w:rsid w:val="008B6475"/>
    <w:rsid w:val="008B647D"/>
    <w:rsid w:val="008B648E"/>
    <w:rsid w:val="008B64A4"/>
    <w:rsid w:val="008B64E2"/>
    <w:rsid w:val="008B64F6"/>
    <w:rsid w:val="008B6507"/>
    <w:rsid w:val="008B6533"/>
    <w:rsid w:val="008B654B"/>
    <w:rsid w:val="008B654F"/>
    <w:rsid w:val="008B655A"/>
    <w:rsid w:val="008B65C8"/>
    <w:rsid w:val="008B6690"/>
    <w:rsid w:val="008B66AD"/>
    <w:rsid w:val="008B66F6"/>
    <w:rsid w:val="008B66F8"/>
    <w:rsid w:val="008B6720"/>
    <w:rsid w:val="008B674B"/>
    <w:rsid w:val="008B6752"/>
    <w:rsid w:val="008B6776"/>
    <w:rsid w:val="008B67B8"/>
    <w:rsid w:val="008B67ED"/>
    <w:rsid w:val="008B6828"/>
    <w:rsid w:val="008B683F"/>
    <w:rsid w:val="008B686D"/>
    <w:rsid w:val="008B688F"/>
    <w:rsid w:val="008B68B4"/>
    <w:rsid w:val="008B68E3"/>
    <w:rsid w:val="008B68EF"/>
    <w:rsid w:val="008B690B"/>
    <w:rsid w:val="008B691D"/>
    <w:rsid w:val="008B6973"/>
    <w:rsid w:val="008B6974"/>
    <w:rsid w:val="008B6976"/>
    <w:rsid w:val="008B6985"/>
    <w:rsid w:val="008B6996"/>
    <w:rsid w:val="008B69AE"/>
    <w:rsid w:val="008B6A7E"/>
    <w:rsid w:val="008B6AEA"/>
    <w:rsid w:val="008B6B12"/>
    <w:rsid w:val="008B6B39"/>
    <w:rsid w:val="008B6B3F"/>
    <w:rsid w:val="008B6BA0"/>
    <w:rsid w:val="008B6BA6"/>
    <w:rsid w:val="008B6BF4"/>
    <w:rsid w:val="008B6C3B"/>
    <w:rsid w:val="008B6C4C"/>
    <w:rsid w:val="008B6CB8"/>
    <w:rsid w:val="008B6D06"/>
    <w:rsid w:val="008B6D23"/>
    <w:rsid w:val="008B6D40"/>
    <w:rsid w:val="008B6D44"/>
    <w:rsid w:val="008B6D5C"/>
    <w:rsid w:val="008B6D63"/>
    <w:rsid w:val="008B6DE5"/>
    <w:rsid w:val="008B6DF7"/>
    <w:rsid w:val="008B6E0A"/>
    <w:rsid w:val="008B6E0B"/>
    <w:rsid w:val="008B6E12"/>
    <w:rsid w:val="008B6E30"/>
    <w:rsid w:val="008B6EAD"/>
    <w:rsid w:val="008B6EC4"/>
    <w:rsid w:val="008B6ECF"/>
    <w:rsid w:val="008B6ED9"/>
    <w:rsid w:val="008B6EEF"/>
    <w:rsid w:val="008B6EF0"/>
    <w:rsid w:val="008B6F2D"/>
    <w:rsid w:val="008B6F8A"/>
    <w:rsid w:val="008B6FAE"/>
    <w:rsid w:val="008B6FD5"/>
    <w:rsid w:val="008B6FDA"/>
    <w:rsid w:val="008B6FDC"/>
    <w:rsid w:val="008B702F"/>
    <w:rsid w:val="008B703D"/>
    <w:rsid w:val="008B7088"/>
    <w:rsid w:val="008B70C8"/>
    <w:rsid w:val="008B70D4"/>
    <w:rsid w:val="008B7103"/>
    <w:rsid w:val="008B7108"/>
    <w:rsid w:val="008B711F"/>
    <w:rsid w:val="008B714E"/>
    <w:rsid w:val="008B7152"/>
    <w:rsid w:val="008B7168"/>
    <w:rsid w:val="008B716B"/>
    <w:rsid w:val="008B717D"/>
    <w:rsid w:val="008B7184"/>
    <w:rsid w:val="008B7191"/>
    <w:rsid w:val="008B71A7"/>
    <w:rsid w:val="008B71CA"/>
    <w:rsid w:val="008B71D1"/>
    <w:rsid w:val="008B71E5"/>
    <w:rsid w:val="008B71F1"/>
    <w:rsid w:val="008B7245"/>
    <w:rsid w:val="008B7251"/>
    <w:rsid w:val="008B7259"/>
    <w:rsid w:val="008B728E"/>
    <w:rsid w:val="008B7297"/>
    <w:rsid w:val="008B72A1"/>
    <w:rsid w:val="008B72DC"/>
    <w:rsid w:val="008B7300"/>
    <w:rsid w:val="008B7310"/>
    <w:rsid w:val="008B7322"/>
    <w:rsid w:val="008B7348"/>
    <w:rsid w:val="008B73AF"/>
    <w:rsid w:val="008B73B8"/>
    <w:rsid w:val="008B73F1"/>
    <w:rsid w:val="008B73FD"/>
    <w:rsid w:val="008B7426"/>
    <w:rsid w:val="008B7431"/>
    <w:rsid w:val="008B7440"/>
    <w:rsid w:val="008B7457"/>
    <w:rsid w:val="008B7458"/>
    <w:rsid w:val="008B7462"/>
    <w:rsid w:val="008B7463"/>
    <w:rsid w:val="008B74AA"/>
    <w:rsid w:val="008B74CA"/>
    <w:rsid w:val="008B74E1"/>
    <w:rsid w:val="008B7516"/>
    <w:rsid w:val="008B753C"/>
    <w:rsid w:val="008B7562"/>
    <w:rsid w:val="008B7572"/>
    <w:rsid w:val="008B757F"/>
    <w:rsid w:val="008B75B9"/>
    <w:rsid w:val="008B75EE"/>
    <w:rsid w:val="008B75FF"/>
    <w:rsid w:val="008B7615"/>
    <w:rsid w:val="008B7633"/>
    <w:rsid w:val="008B7653"/>
    <w:rsid w:val="008B76A8"/>
    <w:rsid w:val="008B76BD"/>
    <w:rsid w:val="008B76F9"/>
    <w:rsid w:val="008B7716"/>
    <w:rsid w:val="008B7778"/>
    <w:rsid w:val="008B77AB"/>
    <w:rsid w:val="008B77CA"/>
    <w:rsid w:val="008B77DC"/>
    <w:rsid w:val="008B780B"/>
    <w:rsid w:val="008B7817"/>
    <w:rsid w:val="008B787D"/>
    <w:rsid w:val="008B78D6"/>
    <w:rsid w:val="008B78F7"/>
    <w:rsid w:val="008B7918"/>
    <w:rsid w:val="008B791C"/>
    <w:rsid w:val="008B7922"/>
    <w:rsid w:val="008B7989"/>
    <w:rsid w:val="008B7999"/>
    <w:rsid w:val="008B79F8"/>
    <w:rsid w:val="008B7A05"/>
    <w:rsid w:val="008B7A3B"/>
    <w:rsid w:val="008B7A4B"/>
    <w:rsid w:val="008B7A6B"/>
    <w:rsid w:val="008B7AB1"/>
    <w:rsid w:val="008B7B28"/>
    <w:rsid w:val="008B7B31"/>
    <w:rsid w:val="008B7B41"/>
    <w:rsid w:val="008B7B91"/>
    <w:rsid w:val="008B7C46"/>
    <w:rsid w:val="008B7C75"/>
    <w:rsid w:val="008B7C8D"/>
    <w:rsid w:val="008B7C8E"/>
    <w:rsid w:val="008B7C96"/>
    <w:rsid w:val="008B7C97"/>
    <w:rsid w:val="008B7CA9"/>
    <w:rsid w:val="008B7CD5"/>
    <w:rsid w:val="008B7CFF"/>
    <w:rsid w:val="008B7D2A"/>
    <w:rsid w:val="008B7D30"/>
    <w:rsid w:val="008B7D66"/>
    <w:rsid w:val="008B7D75"/>
    <w:rsid w:val="008B7DAB"/>
    <w:rsid w:val="008B7DC0"/>
    <w:rsid w:val="008B7E01"/>
    <w:rsid w:val="008B7E39"/>
    <w:rsid w:val="008B7E51"/>
    <w:rsid w:val="008B7E7F"/>
    <w:rsid w:val="008B7E8F"/>
    <w:rsid w:val="008B7EB7"/>
    <w:rsid w:val="008B7EF4"/>
    <w:rsid w:val="008B7F34"/>
    <w:rsid w:val="008B7F38"/>
    <w:rsid w:val="008B7F74"/>
    <w:rsid w:val="008B7F97"/>
    <w:rsid w:val="008B7FC9"/>
    <w:rsid w:val="008BC506"/>
    <w:rsid w:val="008C0008"/>
    <w:rsid w:val="008C0013"/>
    <w:rsid w:val="008C0031"/>
    <w:rsid w:val="008C0077"/>
    <w:rsid w:val="008C007D"/>
    <w:rsid w:val="008C0085"/>
    <w:rsid w:val="008C00C1"/>
    <w:rsid w:val="008C00C8"/>
    <w:rsid w:val="008C00D2"/>
    <w:rsid w:val="008C0149"/>
    <w:rsid w:val="008C0179"/>
    <w:rsid w:val="008C01BF"/>
    <w:rsid w:val="008C01C9"/>
    <w:rsid w:val="008C01D5"/>
    <w:rsid w:val="008C0219"/>
    <w:rsid w:val="008C021A"/>
    <w:rsid w:val="008C023A"/>
    <w:rsid w:val="008C0250"/>
    <w:rsid w:val="008C0253"/>
    <w:rsid w:val="008C0260"/>
    <w:rsid w:val="008C0270"/>
    <w:rsid w:val="008C0275"/>
    <w:rsid w:val="008C0287"/>
    <w:rsid w:val="008C02B9"/>
    <w:rsid w:val="008C02BF"/>
    <w:rsid w:val="008C02F2"/>
    <w:rsid w:val="008C02F8"/>
    <w:rsid w:val="008C0300"/>
    <w:rsid w:val="008C0310"/>
    <w:rsid w:val="008C031C"/>
    <w:rsid w:val="008C0327"/>
    <w:rsid w:val="008C0358"/>
    <w:rsid w:val="008C03B3"/>
    <w:rsid w:val="008C0447"/>
    <w:rsid w:val="008C047B"/>
    <w:rsid w:val="008C04C9"/>
    <w:rsid w:val="008C04CA"/>
    <w:rsid w:val="008C0571"/>
    <w:rsid w:val="008C0572"/>
    <w:rsid w:val="008C057F"/>
    <w:rsid w:val="008C0598"/>
    <w:rsid w:val="008C059D"/>
    <w:rsid w:val="008C05AC"/>
    <w:rsid w:val="008C05D2"/>
    <w:rsid w:val="008C05DE"/>
    <w:rsid w:val="008C05EC"/>
    <w:rsid w:val="008C065D"/>
    <w:rsid w:val="008C0675"/>
    <w:rsid w:val="008C067E"/>
    <w:rsid w:val="008C06F1"/>
    <w:rsid w:val="008C06FE"/>
    <w:rsid w:val="008C072E"/>
    <w:rsid w:val="008C0746"/>
    <w:rsid w:val="008C0757"/>
    <w:rsid w:val="008C078D"/>
    <w:rsid w:val="008C07B0"/>
    <w:rsid w:val="008C07D0"/>
    <w:rsid w:val="008C07DC"/>
    <w:rsid w:val="008C07F5"/>
    <w:rsid w:val="008C07F8"/>
    <w:rsid w:val="008C0841"/>
    <w:rsid w:val="008C0855"/>
    <w:rsid w:val="008C092F"/>
    <w:rsid w:val="008C098A"/>
    <w:rsid w:val="008C09CF"/>
    <w:rsid w:val="008C0A19"/>
    <w:rsid w:val="008C0A23"/>
    <w:rsid w:val="008C0A3F"/>
    <w:rsid w:val="008C0A43"/>
    <w:rsid w:val="008C0A62"/>
    <w:rsid w:val="008C0A87"/>
    <w:rsid w:val="008C0ABF"/>
    <w:rsid w:val="008C0AE8"/>
    <w:rsid w:val="008C0B20"/>
    <w:rsid w:val="008C0B6C"/>
    <w:rsid w:val="008C0B6D"/>
    <w:rsid w:val="008C0BB6"/>
    <w:rsid w:val="008C0C12"/>
    <w:rsid w:val="008C0C22"/>
    <w:rsid w:val="008C0CC2"/>
    <w:rsid w:val="008C0CDD"/>
    <w:rsid w:val="008C0D03"/>
    <w:rsid w:val="008C0D05"/>
    <w:rsid w:val="008C0D2C"/>
    <w:rsid w:val="008C0D30"/>
    <w:rsid w:val="008C0D52"/>
    <w:rsid w:val="008C0D55"/>
    <w:rsid w:val="008C0D71"/>
    <w:rsid w:val="008C0DA1"/>
    <w:rsid w:val="008C0DAA"/>
    <w:rsid w:val="008C0DBA"/>
    <w:rsid w:val="008C0DF5"/>
    <w:rsid w:val="008C0E13"/>
    <w:rsid w:val="008C0E40"/>
    <w:rsid w:val="008C0EA2"/>
    <w:rsid w:val="008C0EE1"/>
    <w:rsid w:val="008C0EF7"/>
    <w:rsid w:val="008C0F0B"/>
    <w:rsid w:val="008C0F27"/>
    <w:rsid w:val="008C0F39"/>
    <w:rsid w:val="008C0F5A"/>
    <w:rsid w:val="008C0F5C"/>
    <w:rsid w:val="008C0FB4"/>
    <w:rsid w:val="008C0FC2"/>
    <w:rsid w:val="008C0FD6"/>
    <w:rsid w:val="008C0FEA"/>
    <w:rsid w:val="008C0FED"/>
    <w:rsid w:val="008C1010"/>
    <w:rsid w:val="008C1020"/>
    <w:rsid w:val="008C106A"/>
    <w:rsid w:val="008C107A"/>
    <w:rsid w:val="008C111A"/>
    <w:rsid w:val="008C1133"/>
    <w:rsid w:val="008C11B6"/>
    <w:rsid w:val="008C1233"/>
    <w:rsid w:val="008C1238"/>
    <w:rsid w:val="008C1281"/>
    <w:rsid w:val="008C12CE"/>
    <w:rsid w:val="008C12D8"/>
    <w:rsid w:val="008C130D"/>
    <w:rsid w:val="008C1398"/>
    <w:rsid w:val="008C13BB"/>
    <w:rsid w:val="008C13D4"/>
    <w:rsid w:val="008C13E7"/>
    <w:rsid w:val="008C142A"/>
    <w:rsid w:val="008C14D8"/>
    <w:rsid w:val="008C154A"/>
    <w:rsid w:val="008C1569"/>
    <w:rsid w:val="008C15A0"/>
    <w:rsid w:val="008C1660"/>
    <w:rsid w:val="008C16F1"/>
    <w:rsid w:val="008C170D"/>
    <w:rsid w:val="008C1720"/>
    <w:rsid w:val="008C1723"/>
    <w:rsid w:val="008C175C"/>
    <w:rsid w:val="008C17BC"/>
    <w:rsid w:val="008C17C6"/>
    <w:rsid w:val="008C17EC"/>
    <w:rsid w:val="008C1842"/>
    <w:rsid w:val="008C1845"/>
    <w:rsid w:val="008C1885"/>
    <w:rsid w:val="008C18B3"/>
    <w:rsid w:val="008C18BD"/>
    <w:rsid w:val="008C18D7"/>
    <w:rsid w:val="008C18EA"/>
    <w:rsid w:val="008C1915"/>
    <w:rsid w:val="008C196C"/>
    <w:rsid w:val="008C1977"/>
    <w:rsid w:val="008C1987"/>
    <w:rsid w:val="008C1996"/>
    <w:rsid w:val="008C19C6"/>
    <w:rsid w:val="008C19F9"/>
    <w:rsid w:val="008C1A1F"/>
    <w:rsid w:val="008C1A28"/>
    <w:rsid w:val="008C1A35"/>
    <w:rsid w:val="008C1A6C"/>
    <w:rsid w:val="008C1A78"/>
    <w:rsid w:val="008C1AC2"/>
    <w:rsid w:val="008C1AE2"/>
    <w:rsid w:val="008C1B0A"/>
    <w:rsid w:val="008C1B24"/>
    <w:rsid w:val="008C1B4F"/>
    <w:rsid w:val="008C1B63"/>
    <w:rsid w:val="008C1B92"/>
    <w:rsid w:val="008C1BBB"/>
    <w:rsid w:val="008C1BC9"/>
    <w:rsid w:val="008C1C35"/>
    <w:rsid w:val="008C1C6A"/>
    <w:rsid w:val="008C1C7F"/>
    <w:rsid w:val="008C1D2E"/>
    <w:rsid w:val="008C1D3E"/>
    <w:rsid w:val="008C1D51"/>
    <w:rsid w:val="008C1D98"/>
    <w:rsid w:val="008C1DA5"/>
    <w:rsid w:val="008C1DB6"/>
    <w:rsid w:val="008C1E25"/>
    <w:rsid w:val="008C1E42"/>
    <w:rsid w:val="008C1E45"/>
    <w:rsid w:val="008C1E6C"/>
    <w:rsid w:val="008C1E80"/>
    <w:rsid w:val="008C1E8C"/>
    <w:rsid w:val="008C1E92"/>
    <w:rsid w:val="008C1E96"/>
    <w:rsid w:val="008C1EE0"/>
    <w:rsid w:val="008C1F0A"/>
    <w:rsid w:val="008C1F12"/>
    <w:rsid w:val="008C1F2C"/>
    <w:rsid w:val="008C1F66"/>
    <w:rsid w:val="008C1FB2"/>
    <w:rsid w:val="008C1FBF"/>
    <w:rsid w:val="008C1FD9"/>
    <w:rsid w:val="008C2019"/>
    <w:rsid w:val="008C2070"/>
    <w:rsid w:val="008C20AE"/>
    <w:rsid w:val="008C20B1"/>
    <w:rsid w:val="008C20D4"/>
    <w:rsid w:val="008C2137"/>
    <w:rsid w:val="008C2155"/>
    <w:rsid w:val="008C2171"/>
    <w:rsid w:val="008C2186"/>
    <w:rsid w:val="008C21C1"/>
    <w:rsid w:val="008C21C5"/>
    <w:rsid w:val="008C21D1"/>
    <w:rsid w:val="008C21D8"/>
    <w:rsid w:val="008C221F"/>
    <w:rsid w:val="008C2256"/>
    <w:rsid w:val="008C2296"/>
    <w:rsid w:val="008C22BE"/>
    <w:rsid w:val="008C22FF"/>
    <w:rsid w:val="008C2363"/>
    <w:rsid w:val="008C2369"/>
    <w:rsid w:val="008C23BB"/>
    <w:rsid w:val="008C23DE"/>
    <w:rsid w:val="008C23E1"/>
    <w:rsid w:val="008C23EB"/>
    <w:rsid w:val="008C2451"/>
    <w:rsid w:val="008C2467"/>
    <w:rsid w:val="008C247C"/>
    <w:rsid w:val="008C24A2"/>
    <w:rsid w:val="008C24BB"/>
    <w:rsid w:val="008C24BE"/>
    <w:rsid w:val="008C24E9"/>
    <w:rsid w:val="008C24F0"/>
    <w:rsid w:val="008C2518"/>
    <w:rsid w:val="008C25A2"/>
    <w:rsid w:val="008C25A6"/>
    <w:rsid w:val="008C25CE"/>
    <w:rsid w:val="008C25D5"/>
    <w:rsid w:val="008C25DE"/>
    <w:rsid w:val="008C2624"/>
    <w:rsid w:val="008C26D4"/>
    <w:rsid w:val="008C26E1"/>
    <w:rsid w:val="008C270F"/>
    <w:rsid w:val="008C2725"/>
    <w:rsid w:val="008C2741"/>
    <w:rsid w:val="008C27D3"/>
    <w:rsid w:val="008C2840"/>
    <w:rsid w:val="008C2889"/>
    <w:rsid w:val="008C28BC"/>
    <w:rsid w:val="008C28BD"/>
    <w:rsid w:val="008C28D5"/>
    <w:rsid w:val="008C28EF"/>
    <w:rsid w:val="008C2918"/>
    <w:rsid w:val="008C2968"/>
    <w:rsid w:val="008C296D"/>
    <w:rsid w:val="008C29AE"/>
    <w:rsid w:val="008C29BB"/>
    <w:rsid w:val="008C29C2"/>
    <w:rsid w:val="008C29CD"/>
    <w:rsid w:val="008C29DD"/>
    <w:rsid w:val="008C29E0"/>
    <w:rsid w:val="008C2A1B"/>
    <w:rsid w:val="008C2A61"/>
    <w:rsid w:val="008C2AB6"/>
    <w:rsid w:val="008C2BAF"/>
    <w:rsid w:val="008C2BD2"/>
    <w:rsid w:val="008C2BD9"/>
    <w:rsid w:val="008C2BF2"/>
    <w:rsid w:val="008C2C1D"/>
    <w:rsid w:val="008C2C45"/>
    <w:rsid w:val="008C2C4F"/>
    <w:rsid w:val="008C2C7D"/>
    <w:rsid w:val="008C2C91"/>
    <w:rsid w:val="008C2CCE"/>
    <w:rsid w:val="008C2CE0"/>
    <w:rsid w:val="008C2D0A"/>
    <w:rsid w:val="008C2D1F"/>
    <w:rsid w:val="008C2D65"/>
    <w:rsid w:val="008C2D89"/>
    <w:rsid w:val="008C2DCA"/>
    <w:rsid w:val="008C2DD7"/>
    <w:rsid w:val="008C2DFF"/>
    <w:rsid w:val="008C2E49"/>
    <w:rsid w:val="008C2E8D"/>
    <w:rsid w:val="008C2EAB"/>
    <w:rsid w:val="008C2EBF"/>
    <w:rsid w:val="008C2ED1"/>
    <w:rsid w:val="008C2EDA"/>
    <w:rsid w:val="008C2EFD"/>
    <w:rsid w:val="008C2F10"/>
    <w:rsid w:val="008C2F19"/>
    <w:rsid w:val="008C2F1B"/>
    <w:rsid w:val="008C2F21"/>
    <w:rsid w:val="008C2F78"/>
    <w:rsid w:val="008C2F8A"/>
    <w:rsid w:val="008C2F8B"/>
    <w:rsid w:val="008C2F9E"/>
    <w:rsid w:val="008C2FB1"/>
    <w:rsid w:val="008C2FB2"/>
    <w:rsid w:val="008C2FD8"/>
    <w:rsid w:val="008C2FFB"/>
    <w:rsid w:val="008C3002"/>
    <w:rsid w:val="008C3025"/>
    <w:rsid w:val="008C3038"/>
    <w:rsid w:val="008C30C5"/>
    <w:rsid w:val="008C312F"/>
    <w:rsid w:val="008C3136"/>
    <w:rsid w:val="008C3175"/>
    <w:rsid w:val="008C3184"/>
    <w:rsid w:val="008C31C8"/>
    <w:rsid w:val="008C31CC"/>
    <w:rsid w:val="008C31CE"/>
    <w:rsid w:val="008C3235"/>
    <w:rsid w:val="008C3238"/>
    <w:rsid w:val="008C328D"/>
    <w:rsid w:val="008C3297"/>
    <w:rsid w:val="008C32B1"/>
    <w:rsid w:val="008C336F"/>
    <w:rsid w:val="008C3381"/>
    <w:rsid w:val="008C33CD"/>
    <w:rsid w:val="008C3422"/>
    <w:rsid w:val="008C3441"/>
    <w:rsid w:val="008C348B"/>
    <w:rsid w:val="008C34A0"/>
    <w:rsid w:val="008C34E9"/>
    <w:rsid w:val="008C34EB"/>
    <w:rsid w:val="008C352A"/>
    <w:rsid w:val="008C352E"/>
    <w:rsid w:val="008C3542"/>
    <w:rsid w:val="008C3553"/>
    <w:rsid w:val="008C3554"/>
    <w:rsid w:val="008C3579"/>
    <w:rsid w:val="008C35FE"/>
    <w:rsid w:val="008C3636"/>
    <w:rsid w:val="008C3643"/>
    <w:rsid w:val="008C36A5"/>
    <w:rsid w:val="008C36E0"/>
    <w:rsid w:val="008C36F9"/>
    <w:rsid w:val="008C3723"/>
    <w:rsid w:val="008C3750"/>
    <w:rsid w:val="008C37A3"/>
    <w:rsid w:val="008C37A4"/>
    <w:rsid w:val="008C37DF"/>
    <w:rsid w:val="008C3828"/>
    <w:rsid w:val="008C3856"/>
    <w:rsid w:val="008C3862"/>
    <w:rsid w:val="008C38D1"/>
    <w:rsid w:val="008C38E3"/>
    <w:rsid w:val="008C38E9"/>
    <w:rsid w:val="008C38ED"/>
    <w:rsid w:val="008C391D"/>
    <w:rsid w:val="008C395E"/>
    <w:rsid w:val="008C396D"/>
    <w:rsid w:val="008C3A24"/>
    <w:rsid w:val="008C3AA8"/>
    <w:rsid w:val="008C3AAB"/>
    <w:rsid w:val="008C3AC0"/>
    <w:rsid w:val="008C3B03"/>
    <w:rsid w:val="008C3B0E"/>
    <w:rsid w:val="008C3B78"/>
    <w:rsid w:val="008C3BB3"/>
    <w:rsid w:val="008C3C18"/>
    <w:rsid w:val="008C3C25"/>
    <w:rsid w:val="008C3C80"/>
    <w:rsid w:val="008C3CD7"/>
    <w:rsid w:val="008C3CE0"/>
    <w:rsid w:val="008C3CEE"/>
    <w:rsid w:val="008C3CEF"/>
    <w:rsid w:val="008C3D1E"/>
    <w:rsid w:val="008C3D1F"/>
    <w:rsid w:val="008C3D4F"/>
    <w:rsid w:val="008C3DCC"/>
    <w:rsid w:val="008C3DCF"/>
    <w:rsid w:val="008C3DF6"/>
    <w:rsid w:val="008C3E3A"/>
    <w:rsid w:val="008C3E3F"/>
    <w:rsid w:val="008C3E57"/>
    <w:rsid w:val="008C3E67"/>
    <w:rsid w:val="008C3E80"/>
    <w:rsid w:val="008C3F82"/>
    <w:rsid w:val="008C3FD3"/>
    <w:rsid w:val="008C4017"/>
    <w:rsid w:val="008C404A"/>
    <w:rsid w:val="008C405E"/>
    <w:rsid w:val="008C40BA"/>
    <w:rsid w:val="008C40C5"/>
    <w:rsid w:val="008C40DC"/>
    <w:rsid w:val="008C40EF"/>
    <w:rsid w:val="008C410B"/>
    <w:rsid w:val="008C412A"/>
    <w:rsid w:val="008C4170"/>
    <w:rsid w:val="008C41C8"/>
    <w:rsid w:val="008C41D5"/>
    <w:rsid w:val="008C41E0"/>
    <w:rsid w:val="008C426F"/>
    <w:rsid w:val="008C427F"/>
    <w:rsid w:val="008C42A6"/>
    <w:rsid w:val="008C42D5"/>
    <w:rsid w:val="008C42DF"/>
    <w:rsid w:val="008C42F6"/>
    <w:rsid w:val="008C4304"/>
    <w:rsid w:val="008C4324"/>
    <w:rsid w:val="008C434C"/>
    <w:rsid w:val="008C4381"/>
    <w:rsid w:val="008C43B2"/>
    <w:rsid w:val="008C4471"/>
    <w:rsid w:val="008C44FF"/>
    <w:rsid w:val="008C452A"/>
    <w:rsid w:val="008C4535"/>
    <w:rsid w:val="008C4562"/>
    <w:rsid w:val="008C45D5"/>
    <w:rsid w:val="008C4600"/>
    <w:rsid w:val="008C4645"/>
    <w:rsid w:val="008C464A"/>
    <w:rsid w:val="008C465B"/>
    <w:rsid w:val="008C4693"/>
    <w:rsid w:val="008C46C3"/>
    <w:rsid w:val="008C46D6"/>
    <w:rsid w:val="008C472D"/>
    <w:rsid w:val="008C4757"/>
    <w:rsid w:val="008C476B"/>
    <w:rsid w:val="008C477E"/>
    <w:rsid w:val="008C47D8"/>
    <w:rsid w:val="008C4802"/>
    <w:rsid w:val="008C4819"/>
    <w:rsid w:val="008C4824"/>
    <w:rsid w:val="008C4867"/>
    <w:rsid w:val="008C4877"/>
    <w:rsid w:val="008C4893"/>
    <w:rsid w:val="008C48C6"/>
    <w:rsid w:val="008C48E9"/>
    <w:rsid w:val="008C4901"/>
    <w:rsid w:val="008C4904"/>
    <w:rsid w:val="008C490F"/>
    <w:rsid w:val="008C491D"/>
    <w:rsid w:val="008C492D"/>
    <w:rsid w:val="008C492F"/>
    <w:rsid w:val="008C4931"/>
    <w:rsid w:val="008C493E"/>
    <w:rsid w:val="008C495C"/>
    <w:rsid w:val="008C4A17"/>
    <w:rsid w:val="008C4A62"/>
    <w:rsid w:val="008C4AB0"/>
    <w:rsid w:val="008C4AC3"/>
    <w:rsid w:val="008C4BCD"/>
    <w:rsid w:val="008C4BD0"/>
    <w:rsid w:val="008C4BEB"/>
    <w:rsid w:val="008C4BFC"/>
    <w:rsid w:val="008C4C12"/>
    <w:rsid w:val="008C4C14"/>
    <w:rsid w:val="008C4C26"/>
    <w:rsid w:val="008C4C28"/>
    <w:rsid w:val="008C4C44"/>
    <w:rsid w:val="008C4C69"/>
    <w:rsid w:val="008C4C78"/>
    <w:rsid w:val="008C4CB5"/>
    <w:rsid w:val="008C4CFF"/>
    <w:rsid w:val="008C4D5A"/>
    <w:rsid w:val="008C4DA5"/>
    <w:rsid w:val="008C4DA9"/>
    <w:rsid w:val="008C4DC2"/>
    <w:rsid w:val="008C4DCF"/>
    <w:rsid w:val="008C4E16"/>
    <w:rsid w:val="008C4E2E"/>
    <w:rsid w:val="008C4E9C"/>
    <w:rsid w:val="008C4EC3"/>
    <w:rsid w:val="008C4ED1"/>
    <w:rsid w:val="008C4EE1"/>
    <w:rsid w:val="008C4F21"/>
    <w:rsid w:val="008C4F22"/>
    <w:rsid w:val="008C4F49"/>
    <w:rsid w:val="008C4F68"/>
    <w:rsid w:val="008C4F7F"/>
    <w:rsid w:val="008C4F95"/>
    <w:rsid w:val="008C4FBF"/>
    <w:rsid w:val="008C4FC2"/>
    <w:rsid w:val="008C4FEC"/>
    <w:rsid w:val="008C4FF9"/>
    <w:rsid w:val="008C501C"/>
    <w:rsid w:val="008C502C"/>
    <w:rsid w:val="008C5067"/>
    <w:rsid w:val="008C507E"/>
    <w:rsid w:val="008C5089"/>
    <w:rsid w:val="008C50CE"/>
    <w:rsid w:val="008C5106"/>
    <w:rsid w:val="008C5117"/>
    <w:rsid w:val="008C5119"/>
    <w:rsid w:val="008C5143"/>
    <w:rsid w:val="008C5161"/>
    <w:rsid w:val="008C5184"/>
    <w:rsid w:val="008C519C"/>
    <w:rsid w:val="008C5224"/>
    <w:rsid w:val="008C523F"/>
    <w:rsid w:val="008C5268"/>
    <w:rsid w:val="008C526B"/>
    <w:rsid w:val="008C52B0"/>
    <w:rsid w:val="008C52C8"/>
    <w:rsid w:val="008C52CA"/>
    <w:rsid w:val="008C52FD"/>
    <w:rsid w:val="008C53AA"/>
    <w:rsid w:val="008C53CB"/>
    <w:rsid w:val="008C5450"/>
    <w:rsid w:val="008C5477"/>
    <w:rsid w:val="008C54C5"/>
    <w:rsid w:val="008C54CA"/>
    <w:rsid w:val="008C54DB"/>
    <w:rsid w:val="008C5503"/>
    <w:rsid w:val="008C552B"/>
    <w:rsid w:val="008C5538"/>
    <w:rsid w:val="008C5548"/>
    <w:rsid w:val="008C554A"/>
    <w:rsid w:val="008C5556"/>
    <w:rsid w:val="008C5578"/>
    <w:rsid w:val="008C5598"/>
    <w:rsid w:val="008C5618"/>
    <w:rsid w:val="008C567B"/>
    <w:rsid w:val="008C56B5"/>
    <w:rsid w:val="008C56C5"/>
    <w:rsid w:val="008C56CF"/>
    <w:rsid w:val="008C570D"/>
    <w:rsid w:val="008C572E"/>
    <w:rsid w:val="008C573E"/>
    <w:rsid w:val="008C573F"/>
    <w:rsid w:val="008C5745"/>
    <w:rsid w:val="008C576D"/>
    <w:rsid w:val="008C57BD"/>
    <w:rsid w:val="008C57FA"/>
    <w:rsid w:val="008C581D"/>
    <w:rsid w:val="008C58E6"/>
    <w:rsid w:val="008C590B"/>
    <w:rsid w:val="008C593F"/>
    <w:rsid w:val="008C5940"/>
    <w:rsid w:val="008C5A01"/>
    <w:rsid w:val="008C5A0C"/>
    <w:rsid w:val="008C5A16"/>
    <w:rsid w:val="008C5A29"/>
    <w:rsid w:val="008C5A39"/>
    <w:rsid w:val="008C5A74"/>
    <w:rsid w:val="008C5ABB"/>
    <w:rsid w:val="008C5AEA"/>
    <w:rsid w:val="008C5B20"/>
    <w:rsid w:val="008C5B2B"/>
    <w:rsid w:val="008C5B35"/>
    <w:rsid w:val="008C5B67"/>
    <w:rsid w:val="008C5BA3"/>
    <w:rsid w:val="008C5BEA"/>
    <w:rsid w:val="008C5C13"/>
    <w:rsid w:val="008C5C3F"/>
    <w:rsid w:val="008C5C59"/>
    <w:rsid w:val="008C5C62"/>
    <w:rsid w:val="008C5C94"/>
    <w:rsid w:val="008C5CB2"/>
    <w:rsid w:val="008C5CFA"/>
    <w:rsid w:val="008C5D31"/>
    <w:rsid w:val="008C5D35"/>
    <w:rsid w:val="008C5D71"/>
    <w:rsid w:val="008C5D9F"/>
    <w:rsid w:val="008C5DC2"/>
    <w:rsid w:val="008C5DF5"/>
    <w:rsid w:val="008C5E17"/>
    <w:rsid w:val="008C5E1F"/>
    <w:rsid w:val="008C5E2D"/>
    <w:rsid w:val="008C5E2E"/>
    <w:rsid w:val="008C5E62"/>
    <w:rsid w:val="008C5E75"/>
    <w:rsid w:val="008C5E79"/>
    <w:rsid w:val="008C5E94"/>
    <w:rsid w:val="008C5EBC"/>
    <w:rsid w:val="008C5ECD"/>
    <w:rsid w:val="008C5EFE"/>
    <w:rsid w:val="008C5F46"/>
    <w:rsid w:val="008C5F5F"/>
    <w:rsid w:val="008C5FA3"/>
    <w:rsid w:val="008C5FF3"/>
    <w:rsid w:val="008C6056"/>
    <w:rsid w:val="008C6068"/>
    <w:rsid w:val="008C6096"/>
    <w:rsid w:val="008C60B4"/>
    <w:rsid w:val="008C60B9"/>
    <w:rsid w:val="008C60C5"/>
    <w:rsid w:val="008C60E6"/>
    <w:rsid w:val="008C60F0"/>
    <w:rsid w:val="008C6148"/>
    <w:rsid w:val="008C6172"/>
    <w:rsid w:val="008C61F4"/>
    <w:rsid w:val="008C6216"/>
    <w:rsid w:val="008C6257"/>
    <w:rsid w:val="008C626B"/>
    <w:rsid w:val="008C62D6"/>
    <w:rsid w:val="008C62FA"/>
    <w:rsid w:val="008C6341"/>
    <w:rsid w:val="008C6350"/>
    <w:rsid w:val="008C63AF"/>
    <w:rsid w:val="008C63E2"/>
    <w:rsid w:val="008C63EB"/>
    <w:rsid w:val="008C63F6"/>
    <w:rsid w:val="008C6413"/>
    <w:rsid w:val="008C6428"/>
    <w:rsid w:val="008C643F"/>
    <w:rsid w:val="008C645D"/>
    <w:rsid w:val="008C6504"/>
    <w:rsid w:val="008C650E"/>
    <w:rsid w:val="008C6530"/>
    <w:rsid w:val="008C6595"/>
    <w:rsid w:val="008C65BF"/>
    <w:rsid w:val="008C65CE"/>
    <w:rsid w:val="008C660D"/>
    <w:rsid w:val="008C6611"/>
    <w:rsid w:val="008C6632"/>
    <w:rsid w:val="008C663B"/>
    <w:rsid w:val="008C6680"/>
    <w:rsid w:val="008C66E2"/>
    <w:rsid w:val="008C66F6"/>
    <w:rsid w:val="008C66F8"/>
    <w:rsid w:val="008C6714"/>
    <w:rsid w:val="008C671F"/>
    <w:rsid w:val="008C67A5"/>
    <w:rsid w:val="008C67CF"/>
    <w:rsid w:val="008C6825"/>
    <w:rsid w:val="008C682B"/>
    <w:rsid w:val="008C6877"/>
    <w:rsid w:val="008C6891"/>
    <w:rsid w:val="008C68B9"/>
    <w:rsid w:val="008C68D4"/>
    <w:rsid w:val="008C68FB"/>
    <w:rsid w:val="008C690D"/>
    <w:rsid w:val="008C6960"/>
    <w:rsid w:val="008C6999"/>
    <w:rsid w:val="008C699C"/>
    <w:rsid w:val="008C69A0"/>
    <w:rsid w:val="008C69A3"/>
    <w:rsid w:val="008C69E5"/>
    <w:rsid w:val="008C69EE"/>
    <w:rsid w:val="008C6A09"/>
    <w:rsid w:val="008C6A32"/>
    <w:rsid w:val="008C6A6D"/>
    <w:rsid w:val="008C6A7B"/>
    <w:rsid w:val="008C6A87"/>
    <w:rsid w:val="008C6AB8"/>
    <w:rsid w:val="008C6AE6"/>
    <w:rsid w:val="008C6AEE"/>
    <w:rsid w:val="008C6B17"/>
    <w:rsid w:val="008C6B31"/>
    <w:rsid w:val="008C6B53"/>
    <w:rsid w:val="008C6B5B"/>
    <w:rsid w:val="008C6B77"/>
    <w:rsid w:val="008C6B7E"/>
    <w:rsid w:val="008C6B8E"/>
    <w:rsid w:val="008C6BC6"/>
    <w:rsid w:val="008C6C17"/>
    <w:rsid w:val="008C6C20"/>
    <w:rsid w:val="008C6C4C"/>
    <w:rsid w:val="008C6C5C"/>
    <w:rsid w:val="008C6C8E"/>
    <w:rsid w:val="008C6C9B"/>
    <w:rsid w:val="008C6CB6"/>
    <w:rsid w:val="008C6CCD"/>
    <w:rsid w:val="008C6D04"/>
    <w:rsid w:val="008C6D33"/>
    <w:rsid w:val="008C6D70"/>
    <w:rsid w:val="008C6DCC"/>
    <w:rsid w:val="008C6DD8"/>
    <w:rsid w:val="008C6DDB"/>
    <w:rsid w:val="008C6E3F"/>
    <w:rsid w:val="008C6E9A"/>
    <w:rsid w:val="008C6E9D"/>
    <w:rsid w:val="008C6EA6"/>
    <w:rsid w:val="008C6EAB"/>
    <w:rsid w:val="008C6EB6"/>
    <w:rsid w:val="008C6EBA"/>
    <w:rsid w:val="008C6F12"/>
    <w:rsid w:val="008C6F1C"/>
    <w:rsid w:val="008C6F23"/>
    <w:rsid w:val="008C6F66"/>
    <w:rsid w:val="008C6F93"/>
    <w:rsid w:val="008C6FC6"/>
    <w:rsid w:val="008C704E"/>
    <w:rsid w:val="008C7069"/>
    <w:rsid w:val="008C707D"/>
    <w:rsid w:val="008C70B2"/>
    <w:rsid w:val="008C70DF"/>
    <w:rsid w:val="008C70FB"/>
    <w:rsid w:val="008C711D"/>
    <w:rsid w:val="008C7129"/>
    <w:rsid w:val="008C713D"/>
    <w:rsid w:val="008C7140"/>
    <w:rsid w:val="008C7163"/>
    <w:rsid w:val="008C7169"/>
    <w:rsid w:val="008C717A"/>
    <w:rsid w:val="008C7188"/>
    <w:rsid w:val="008C71BE"/>
    <w:rsid w:val="008C7206"/>
    <w:rsid w:val="008C7219"/>
    <w:rsid w:val="008C72D9"/>
    <w:rsid w:val="008C7312"/>
    <w:rsid w:val="008C7354"/>
    <w:rsid w:val="008C7358"/>
    <w:rsid w:val="008C738C"/>
    <w:rsid w:val="008C738F"/>
    <w:rsid w:val="008C739D"/>
    <w:rsid w:val="008C73CC"/>
    <w:rsid w:val="008C7413"/>
    <w:rsid w:val="008C741A"/>
    <w:rsid w:val="008C741E"/>
    <w:rsid w:val="008C7442"/>
    <w:rsid w:val="008C744C"/>
    <w:rsid w:val="008C7467"/>
    <w:rsid w:val="008C7471"/>
    <w:rsid w:val="008C7473"/>
    <w:rsid w:val="008C747F"/>
    <w:rsid w:val="008C7488"/>
    <w:rsid w:val="008C74A5"/>
    <w:rsid w:val="008C74B7"/>
    <w:rsid w:val="008C74FA"/>
    <w:rsid w:val="008C7525"/>
    <w:rsid w:val="008C75A7"/>
    <w:rsid w:val="008C75DC"/>
    <w:rsid w:val="008C75DE"/>
    <w:rsid w:val="008C76B1"/>
    <w:rsid w:val="008C76F4"/>
    <w:rsid w:val="008C76F5"/>
    <w:rsid w:val="008C76FE"/>
    <w:rsid w:val="008C7705"/>
    <w:rsid w:val="008C771C"/>
    <w:rsid w:val="008C7756"/>
    <w:rsid w:val="008C77A5"/>
    <w:rsid w:val="008C77B9"/>
    <w:rsid w:val="008C77EC"/>
    <w:rsid w:val="008C77FF"/>
    <w:rsid w:val="008C7807"/>
    <w:rsid w:val="008C7808"/>
    <w:rsid w:val="008C7816"/>
    <w:rsid w:val="008C7826"/>
    <w:rsid w:val="008C7883"/>
    <w:rsid w:val="008C7888"/>
    <w:rsid w:val="008C78AF"/>
    <w:rsid w:val="008C78E4"/>
    <w:rsid w:val="008C7901"/>
    <w:rsid w:val="008C7909"/>
    <w:rsid w:val="008C7950"/>
    <w:rsid w:val="008C796A"/>
    <w:rsid w:val="008C7998"/>
    <w:rsid w:val="008C79DF"/>
    <w:rsid w:val="008C7A01"/>
    <w:rsid w:val="008C7A0A"/>
    <w:rsid w:val="008C7A54"/>
    <w:rsid w:val="008C7A6A"/>
    <w:rsid w:val="008C7A7A"/>
    <w:rsid w:val="008C7A8C"/>
    <w:rsid w:val="008C7A93"/>
    <w:rsid w:val="008C7AAB"/>
    <w:rsid w:val="008C7B08"/>
    <w:rsid w:val="008C7B0D"/>
    <w:rsid w:val="008C7B18"/>
    <w:rsid w:val="008C7B1A"/>
    <w:rsid w:val="008C7B47"/>
    <w:rsid w:val="008C7B4C"/>
    <w:rsid w:val="008C7B6E"/>
    <w:rsid w:val="008C7BE6"/>
    <w:rsid w:val="008C7C0B"/>
    <w:rsid w:val="008C7C29"/>
    <w:rsid w:val="008C7C88"/>
    <w:rsid w:val="008C7CE2"/>
    <w:rsid w:val="008C7D15"/>
    <w:rsid w:val="008C7DBE"/>
    <w:rsid w:val="008C7DDC"/>
    <w:rsid w:val="008C7DFD"/>
    <w:rsid w:val="008C7E37"/>
    <w:rsid w:val="008C7E44"/>
    <w:rsid w:val="008C7E53"/>
    <w:rsid w:val="008C7E59"/>
    <w:rsid w:val="008C7E81"/>
    <w:rsid w:val="008C7E87"/>
    <w:rsid w:val="008C7EF9"/>
    <w:rsid w:val="008C7F08"/>
    <w:rsid w:val="008C7F5B"/>
    <w:rsid w:val="008C7F5D"/>
    <w:rsid w:val="008C7F9A"/>
    <w:rsid w:val="008C7F9F"/>
    <w:rsid w:val="008C7FBF"/>
    <w:rsid w:val="008CE695"/>
    <w:rsid w:val="008D0071"/>
    <w:rsid w:val="008D008F"/>
    <w:rsid w:val="008D00B9"/>
    <w:rsid w:val="008D00EE"/>
    <w:rsid w:val="008D0116"/>
    <w:rsid w:val="008D013A"/>
    <w:rsid w:val="008D0148"/>
    <w:rsid w:val="008D0171"/>
    <w:rsid w:val="008D018D"/>
    <w:rsid w:val="008D0194"/>
    <w:rsid w:val="008D01B0"/>
    <w:rsid w:val="008D01C4"/>
    <w:rsid w:val="008D01C6"/>
    <w:rsid w:val="008D01E4"/>
    <w:rsid w:val="008D01E9"/>
    <w:rsid w:val="008D0211"/>
    <w:rsid w:val="008D0246"/>
    <w:rsid w:val="008D0248"/>
    <w:rsid w:val="008D024D"/>
    <w:rsid w:val="008D0274"/>
    <w:rsid w:val="008D02D3"/>
    <w:rsid w:val="008D02E6"/>
    <w:rsid w:val="008D02EE"/>
    <w:rsid w:val="008D02F1"/>
    <w:rsid w:val="008D0322"/>
    <w:rsid w:val="008D032B"/>
    <w:rsid w:val="008D0333"/>
    <w:rsid w:val="008D0346"/>
    <w:rsid w:val="008D0359"/>
    <w:rsid w:val="008D03A1"/>
    <w:rsid w:val="008D03B5"/>
    <w:rsid w:val="008D0472"/>
    <w:rsid w:val="008D0483"/>
    <w:rsid w:val="008D048D"/>
    <w:rsid w:val="008D04C0"/>
    <w:rsid w:val="008D04E5"/>
    <w:rsid w:val="008D050C"/>
    <w:rsid w:val="008D0513"/>
    <w:rsid w:val="008D0549"/>
    <w:rsid w:val="008D058F"/>
    <w:rsid w:val="008D0637"/>
    <w:rsid w:val="008D0654"/>
    <w:rsid w:val="008D0662"/>
    <w:rsid w:val="008D066B"/>
    <w:rsid w:val="008D06B8"/>
    <w:rsid w:val="008D074A"/>
    <w:rsid w:val="008D0756"/>
    <w:rsid w:val="008D0763"/>
    <w:rsid w:val="008D076C"/>
    <w:rsid w:val="008D0788"/>
    <w:rsid w:val="008D079E"/>
    <w:rsid w:val="008D07EC"/>
    <w:rsid w:val="008D0859"/>
    <w:rsid w:val="008D0872"/>
    <w:rsid w:val="008D0898"/>
    <w:rsid w:val="008D08B3"/>
    <w:rsid w:val="008D08DA"/>
    <w:rsid w:val="008D0903"/>
    <w:rsid w:val="008D0923"/>
    <w:rsid w:val="008D0926"/>
    <w:rsid w:val="008D0928"/>
    <w:rsid w:val="008D0944"/>
    <w:rsid w:val="008D0949"/>
    <w:rsid w:val="008D0952"/>
    <w:rsid w:val="008D097E"/>
    <w:rsid w:val="008D099B"/>
    <w:rsid w:val="008D09B1"/>
    <w:rsid w:val="008D0A3A"/>
    <w:rsid w:val="008D0A59"/>
    <w:rsid w:val="008D0ABF"/>
    <w:rsid w:val="008D0B32"/>
    <w:rsid w:val="008D0B3A"/>
    <w:rsid w:val="008D0B92"/>
    <w:rsid w:val="008D0BAA"/>
    <w:rsid w:val="008D0BAC"/>
    <w:rsid w:val="008D0BC0"/>
    <w:rsid w:val="008D0BE5"/>
    <w:rsid w:val="008D0BE6"/>
    <w:rsid w:val="008D0C37"/>
    <w:rsid w:val="008D0C3A"/>
    <w:rsid w:val="008D0C83"/>
    <w:rsid w:val="008D0C8E"/>
    <w:rsid w:val="008D0CB2"/>
    <w:rsid w:val="008D0D14"/>
    <w:rsid w:val="008D0D3E"/>
    <w:rsid w:val="008D0D3F"/>
    <w:rsid w:val="008D0D59"/>
    <w:rsid w:val="008D0D6B"/>
    <w:rsid w:val="008D0D7E"/>
    <w:rsid w:val="008D0DC7"/>
    <w:rsid w:val="008D0DCC"/>
    <w:rsid w:val="008D0DDE"/>
    <w:rsid w:val="008D0DEC"/>
    <w:rsid w:val="008D0DF0"/>
    <w:rsid w:val="008D0E1E"/>
    <w:rsid w:val="008D0E37"/>
    <w:rsid w:val="008D0E3F"/>
    <w:rsid w:val="008D0EA9"/>
    <w:rsid w:val="008D0EF5"/>
    <w:rsid w:val="008D0F12"/>
    <w:rsid w:val="008D0F13"/>
    <w:rsid w:val="008D0F1C"/>
    <w:rsid w:val="008D0F54"/>
    <w:rsid w:val="008D0F55"/>
    <w:rsid w:val="008D0F68"/>
    <w:rsid w:val="008D0FB7"/>
    <w:rsid w:val="008D10D0"/>
    <w:rsid w:val="008D112A"/>
    <w:rsid w:val="008D1142"/>
    <w:rsid w:val="008D1159"/>
    <w:rsid w:val="008D1162"/>
    <w:rsid w:val="008D11D4"/>
    <w:rsid w:val="008D11FA"/>
    <w:rsid w:val="008D1207"/>
    <w:rsid w:val="008D122C"/>
    <w:rsid w:val="008D122F"/>
    <w:rsid w:val="008D1231"/>
    <w:rsid w:val="008D125C"/>
    <w:rsid w:val="008D127D"/>
    <w:rsid w:val="008D1295"/>
    <w:rsid w:val="008D12A5"/>
    <w:rsid w:val="008D12D8"/>
    <w:rsid w:val="008D1320"/>
    <w:rsid w:val="008D1333"/>
    <w:rsid w:val="008D1337"/>
    <w:rsid w:val="008D134C"/>
    <w:rsid w:val="008D1381"/>
    <w:rsid w:val="008D1389"/>
    <w:rsid w:val="008D13E8"/>
    <w:rsid w:val="008D1404"/>
    <w:rsid w:val="008D1439"/>
    <w:rsid w:val="008D145F"/>
    <w:rsid w:val="008D1463"/>
    <w:rsid w:val="008D14CD"/>
    <w:rsid w:val="008D14E7"/>
    <w:rsid w:val="008D1537"/>
    <w:rsid w:val="008D1559"/>
    <w:rsid w:val="008D15C9"/>
    <w:rsid w:val="008D15DF"/>
    <w:rsid w:val="008D15EE"/>
    <w:rsid w:val="008D1650"/>
    <w:rsid w:val="008D1661"/>
    <w:rsid w:val="008D1668"/>
    <w:rsid w:val="008D16BE"/>
    <w:rsid w:val="008D16CD"/>
    <w:rsid w:val="008D1711"/>
    <w:rsid w:val="008D1752"/>
    <w:rsid w:val="008D177F"/>
    <w:rsid w:val="008D1781"/>
    <w:rsid w:val="008D17A9"/>
    <w:rsid w:val="008D1806"/>
    <w:rsid w:val="008D181E"/>
    <w:rsid w:val="008D184E"/>
    <w:rsid w:val="008D185C"/>
    <w:rsid w:val="008D1885"/>
    <w:rsid w:val="008D1899"/>
    <w:rsid w:val="008D189C"/>
    <w:rsid w:val="008D18B0"/>
    <w:rsid w:val="008D1903"/>
    <w:rsid w:val="008D190D"/>
    <w:rsid w:val="008D192E"/>
    <w:rsid w:val="008D1945"/>
    <w:rsid w:val="008D1975"/>
    <w:rsid w:val="008D19D0"/>
    <w:rsid w:val="008D1A0F"/>
    <w:rsid w:val="008D1A26"/>
    <w:rsid w:val="008D1A69"/>
    <w:rsid w:val="008D1A85"/>
    <w:rsid w:val="008D1A9F"/>
    <w:rsid w:val="008D1AE6"/>
    <w:rsid w:val="008D1AF6"/>
    <w:rsid w:val="008D1AFA"/>
    <w:rsid w:val="008D1B4E"/>
    <w:rsid w:val="008D1B97"/>
    <w:rsid w:val="008D1BA3"/>
    <w:rsid w:val="008D1BDE"/>
    <w:rsid w:val="008D1C1D"/>
    <w:rsid w:val="008D1C54"/>
    <w:rsid w:val="008D1C75"/>
    <w:rsid w:val="008D1CCA"/>
    <w:rsid w:val="008D1CFF"/>
    <w:rsid w:val="008D1D07"/>
    <w:rsid w:val="008D1D5F"/>
    <w:rsid w:val="008D1D73"/>
    <w:rsid w:val="008D1DF0"/>
    <w:rsid w:val="008D1E32"/>
    <w:rsid w:val="008D1E48"/>
    <w:rsid w:val="008D1E58"/>
    <w:rsid w:val="008D1E60"/>
    <w:rsid w:val="008D1E7E"/>
    <w:rsid w:val="008D1F40"/>
    <w:rsid w:val="008D1F5F"/>
    <w:rsid w:val="008D1F79"/>
    <w:rsid w:val="008D1F8D"/>
    <w:rsid w:val="008D1FD0"/>
    <w:rsid w:val="008D1FD7"/>
    <w:rsid w:val="008D200D"/>
    <w:rsid w:val="008D2011"/>
    <w:rsid w:val="008D2033"/>
    <w:rsid w:val="008D2041"/>
    <w:rsid w:val="008D2044"/>
    <w:rsid w:val="008D204E"/>
    <w:rsid w:val="008D2085"/>
    <w:rsid w:val="008D20A6"/>
    <w:rsid w:val="008D20FA"/>
    <w:rsid w:val="008D213D"/>
    <w:rsid w:val="008D2164"/>
    <w:rsid w:val="008D2174"/>
    <w:rsid w:val="008D2185"/>
    <w:rsid w:val="008D21CA"/>
    <w:rsid w:val="008D21EF"/>
    <w:rsid w:val="008D220F"/>
    <w:rsid w:val="008D2216"/>
    <w:rsid w:val="008D2228"/>
    <w:rsid w:val="008D2280"/>
    <w:rsid w:val="008D22A0"/>
    <w:rsid w:val="008D2336"/>
    <w:rsid w:val="008D234B"/>
    <w:rsid w:val="008D23D0"/>
    <w:rsid w:val="008D23D1"/>
    <w:rsid w:val="008D2406"/>
    <w:rsid w:val="008D2424"/>
    <w:rsid w:val="008D243A"/>
    <w:rsid w:val="008D247B"/>
    <w:rsid w:val="008D2483"/>
    <w:rsid w:val="008D24DE"/>
    <w:rsid w:val="008D24E9"/>
    <w:rsid w:val="008D24F4"/>
    <w:rsid w:val="008D2524"/>
    <w:rsid w:val="008D2563"/>
    <w:rsid w:val="008D256E"/>
    <w:rsid w:val="008D25C9"/>
    <w:rsid w:val="008D25E8"/>
    <w:rsid w:val="008D2644"/>
    <w:rsid w:val="008D2656"/>
    <w:rsid w:val="008D267B"/>
    <w:rsid w:val="008D26AD"/>
    <w:rsid w:val="008D26AE"/>
    <w:rsid w:val="008D26B4"/>
    <w:rsid w:val="008D26BB"/>
    <w:rsid w:val="008D26E6"/>
    <w:rsid w:val="008D275A"/>
    <w:rsid w:val="008D277F"/>
    <w:rsid w:val="008D27BC"/>
    <w:rsid w:val="008D27EC"/>
    <w:rsid w:val="008D2807"/>
    <w:rsid w:val="008D2827"/>
    <w:rsid w:val="008D2845"/>
    <w:rsid w:val="008D290C"/>
    <w:rsid w:val="008D292D"/>
    <w:rsid w:val="008D292F"/>
    <w:rsid w:val="008D295D"/>
    <w:rsid w:val="008D2973"/>
    <w:rsid w:val="008D297D"/>
    <w:rsid w:val="008D2985"/>
    <w:rsid w:val="008D29AE"/>
    <w:rsid w:val="008D29F1"/>
    <w:rsid w:val="008D2A4A"/>
    <w:rsid w:val="008D2A95"/>
    <w:rsid w:val="008D2AC1"/>
    <w:rsid w:val="008D2B79"/>
    <w:rsid w:val="008D2BD2"/>
    <w:rsid w:val="008D2C52"/>
    <w:rsid w:val="008D2C6D"/>
    <w:rsid w:val="008D2C8F"/>
    <w:rsid w:val="008D2C91"/>
    <w:rsid w:val="008D2C9F"/>
    <w:rsid w:val="008D2CB3"/>
    <w:rsid w:val="008D2CDB"/>
    <w:rsid w:val="008D2D10"/>
    <w:rsid w:val="008D2D3C"/>
    <w:rsid w:val="008D2D9D"/>
    <w:rsid w:val="008D2DB4"/>
    <w:rsid w:val="008D2DC8"/>
    <w:rsid w:val="008D2E64"/>
    <w:rsid w:val="008D2E6C"/>
    <w:rsid w:val="008D2EA4"/>
    <w:rsid w:val="008D2EA6"/>
    <w:rsid w:val="008D2ED8"/>
    <w:rsid w:val="008D2F1F"/>
    <w:rsid w:val="008D2F6F"/>
    <w:rsid w:val="008D2FE0"/>
    <w:rsid w:val="008D3018"/>
    <w:rsid w:val="008D3031"/>
    <w:rsid w:val="008D3036"/>
    <w:rsid w:val="008D3045"/>
    <w:rsid w:val="008D3049"/>
    <w:rsid w:val="008D3074"/>
    <w:rsid w:val="008D3079"/>
    <w:rsid w:val="008D310F"/>
    <w:rsid w:val="008D312E"/>
    <w:rsid w:val="008D3141"/>
    <w:rsid w:val="008D3153"/>
    <w:rsid w:val="008D3167"/>
    <w:rsid w:val="008D319D"/>
    <w:rsid w:val="008D31A6"/>
    <w:rsid w:val="008D31C2"/>
    <w:rsid w:val="008D31D5"/>
    <w:rsid w:val="008D320B"/>
    <w:rsid w:val="008D3217"/>
    <w:rsid w:val="008D3264"/>
    <w:rsid w:val="008D3269"/>
    <w:rsid w:val="008D32B9"/>
    <w:rsid w:val="008D32E4"/>
    <w:rsid w:val="008D32EE"/>
    <w:rsid w:val="008D3328"/>
    <w:rsid w:val="008D333B"/>
    <w:rsid w:val="008D3342"/>
    <w:rsid w:val="008D338B"/>
    <w:rsid w:val="008D339A"/>
    <w:rsid w:val="008D3411"/>
    <w:rsid w:val="008D3430"/>
    <w:rsid w:val="008D34B8"/>
    <w:rsid w:val="008D34BF"/>
    <w:rsid w:val="008D34CA"/>
    <w:rsid w:val="008D34F1"/>
    <w:rsid w:val="008D354C"/>
    <w:rsid w:val="008D3559"/>
    <w:rsid w:val="008D3574"/>
    <w:rsid w:val="008D359D"/>
    <w:rsid w:val="008D35AD"/>
    <w:rsid w:val="008D35B7"/>
    <w:rsid w:val="008D35BE"/>
    <w:rsid w:val="008D35DB"/>
    <w:rsid w:val="008D360E"/>
    <w:rsid w:val="008D3618"/>
    <w:rsid w:val="008D362E"/>
    <w:rsid w:val="008D3635"/>
    <w:rsid w:val="008D3673"/>
    <w:rsid w:val="008D36A1"/>
    <w:rsid w:val="008D36A9"/>
    <w:rsid w:val="008D36E0"/>
    <w:rsid w:val="008D36E2"/>
    <w:rsid w:val="008D36E4"/>
    <w:rsid w:val="008D36E6"/>
    <w:rsid w:val="008D3774"/>
    <w:rsid w:val="008D37AC"/>
    <w:rsid w:val="008D3808"/>
    <w:rsid w:val="008D3840"/>
    <w:rsid w:val="008D385A"/>
    <w:rsid w:val="008D3886"/>
    <w:rsid w:val="008D389A"/>
    <w:rsid w:val="008D38A2"/>
    <w:rsid w:val="008D3976"/>
    <w:rsid w:val="008D397E"/>
    <w:rsid w:val="008D39C1"/>
    <w:rsid w:val="008D39CB"/>
    <w:rsid w:val="008D3A2D"/>
    <w:rsid w:val="008D3A63"/>
    <w:rsid w:val="008D3A80"/>
    <w:rsid w:val="008D3A9A"/>
    <w:rsid w:val="008D3ABB"/>
    <w:rsid w:val="008D3ADC"/>
    <w:rsid w:val="008D3B2A"/>
    <w:rsid w:val="008D3B43"/>
    <w:rsid w:val="008D3B5A"/>
    <w:rsid w:val="008D3BF9"/>
    <w:rsid w:val="008D3BFC"/>
    <w:rsid w:val="008D3C4E"/>
    <w:rsid w:val="008D3C5D"/>
    <w:rsid w:val="008D3C67"/>
    <w:rsid w:val="008D3C9D"/>
    <w:rsid w:val="008D3CB9"/>
    <w:rsid w:val="008D3D01"/>
    <w:rsid w:val="008D3D0B"/>
    <w:rsid w:val="008D3D0C"/>
    <w:rsid w:val="008D3D1A"/>
    <w:rsid w:val="008D3D57"/>
    <w:rsid w:val="008D3D66"/>
    <w:rsid w:val="008D3D6F"/>
    <w:rsid w:val="008D3D7B"/>
    <w:rsid w:val="008D3D94"/>
    <w:rsid w:val="008D3D96"/>
    <w:rsid w:val="008D3D9C"/>
    <w:rsid w:val="008D3DA5"/>
    <w:rsid w:val="008D3DDD"/>
    <w:rsid w:val="008D3E1C"/>
    <w:rsid w:val="008D3E41"/>
    <w:rsid w:val="008D3E84"/>
    <w:rsid w:val="008D3E8B"/>
    <w:rsid w:val="008D3EF5"/>
    <w:rsid w:val="008D3F4F"/>
    <w:rsid w:val="008D3F51"/>
    <w:rsid w:val="008D3F76"/>
    <w:rsid w:val="008D3F89"/>
    <w:rsid w:val="008D3F93"/>
    <w:rsid w:val="008D3FCE"/>
    <w:rsid w:val="008D3FD0"/>
    <w:rsid w:val="008D3FF1"/>
    <w:rsid w:val="008D4004"/>
    <w:rsid w:val="008D4024"/>
    <w:rsid w:val="008D402D"/>
    <w:rsid w:val="008D403A"/>
    <w:rsid w:val="008D4048"/>
    <w:rsid w:val="008D4063"/>
    <w:rsid w:val="008D406C"/>
    <w:rsid w:val="008D40C7"/>
    <w:rsid w:val="008D40CA"/>
    <w:rsid w:val="008D40E3"/>
    <w:rsid w:val="008D40F3"/>
    <w:rsid w:val="008D4109"/>
    <w:rsid w:val="008D4128"/>
    <w:rsid w:val="008D4130"/>
    <w:rsid w:val="008D4134"/>
    <w:rsid w:val="008D4156"/>
    <w:rsid w:val="008D4157"/>
    <w:rsid w:val="008D415F"/>
    <w:rsid w:val="008D41B8"/>
    <w:rsid w:val="008D41CB"/>
    <w:rsid w:val="008D41DF"/>
    <w:rsid w:val="008D41E3"/>
    <w:rsid w:val="008D4236"/>
    <w:rsid w:val="008D42BE"/>
    <w:rsid w:val="008D42FD"/>
    <w:rsid w:val="008D4322"/>
    <w:rsid w:val="008D4338"/>
    <w:rsid w:val="008D434A"/>
    <w:rsid w:val="008D4379"/>
    <w:rsid w:val="008D438A"/>
    <w:rsid w:val="008D43A2"/>
    <w:rsid w:val="008D43A4"/>
    <w:rsid w:val="008D43CB"/>
    <w:rsid w:val="008D43E4"/>
    <w:rsid w:val="008D43FB"/>
    <w:rsid w:val="008D4414"/>
    <w:rsid w:val="008D44A6"/>
    <w:rsid w:val="008D44A9"/>
    <w:rsid w:val="008D44BD"/>
    <w:rsid w:val="008D44DB"/>
    <w:rsid w:val="008D454B"/>
    <w:rsid w:val="008D4574"/>
    <w:rsid w:val="008D45A3"/>
    <w:rsid w:val="008D45B4"/>
    <w:rsid w:val="008D45B7"/>
    <w:rsid w:val="008D45DA"/>
    <w:rsid w:val="008D45EE"/>
    <w:rsid w:val="008D45F1"/>
    <w:rsid w:val="008D4600"/>
    <w:rsid w:val="008D460D"/>
    <w:rsid w:val="008D4631"/>
    <w:rsid w:val="008D463E"/>
    <w:rsid w:val="008D4646"/>
    <w:rsid w:val="008D466E"/>
    <w:rsid w:val="008D4670"/>
    <w:rsid w:val="008D468B"/>
    <w:rsid w:val="008D469B"/>
    <w:rsid w:val="008D46A5"/>
    <w:rsid w:val="008D46A8"/>
    <w:rsid w:val="008D46DF"/>
    <w:rsid w:val="008D46F4"/>
    <w:rsid w:val="008D4705"/>
    <w:rsid w:val="008D4748"/>
    <w:rsid w:val="008D475D"/>
    <w:rsid w:val="008D47F4"/>
    <w:rsid w:val="008D47F7"/>
    <w:rsid w:val="008D480C"/>
    <w:rsid w:val="008D4827"/>
    <w:rsid w:val="008D4879"/>
    <w:rsid w:val="008D4881"/>
    <w:rsid w:val="008D48D8"/>
    <w:rsid w:val="008D48EE"/>
    <w:rsid w:val="008D48F5"/>
    <w:rsid w:val="008D48FE"/>
    <w:rsid w:val="008D4918"/>
    <w:rsid w:val="008D4928"/>
    <w:rsid w:val="008D493B"/>
    <w:rsid w:val="008D496E"/>
    <w:rsid w:val="008D4987"/>
    <w:rsid w:val="008D49B1"/>
    <w:rsid w:val="008D49BE"/>
    <w:rsid w:val="008D49C6"/>
    <w:rsid w:val="008D49FF"/>
    <w:rsid w:val="008D4A40"/>
    <w:rsid w:val="008D4A4F"/>
    <w:rsid w:val="008D4A6E"/>
    <w:rsid w:val="008D4A7C"/>
    <w:rsid w:val="008D4A9C"/>
    <w:rsid w:val="008D4A9F"/>
    <w:rsid w:val="008D4B0E"/>
    <w:rsid w:val="008D4B11"/>
    <w:rsid w:val="008D4B17"/>
    <w:rsid w:val="008D4B24"/>
    <w:rsid w:val="008D4B66"/>
    <w:rsid w:val="008D4B75"/>
    <w:rsid w:val="008D4BD3"/>
    <w:rsid w:val="008D4BFE"/>
    <w:rsid w:val="008D4C3D"/>
    <w:rsid w:val="008D4C88"/>
    <w:rsid w:val="008D4C8F"/>
    <w:rsid w:val="008D4CA2"/>
    <w:rsid w:val="008D4CB3"/>
    <w:rsid w:val="008D4CC0"/>
    <w:rsid w:val="008D4CD9"/>
    <w:rsid w:val="008D4D03"/>
    <w:rsid w:val="008D4D10"/>
    <w:rsid w:val="008D4D98"/>
    <w:rsid w:val="008D4DC1"/>
    <w:rsid w:val="008D4DEA"/>
    <w:rsid w:val="008D4E33"/>
    <w:rsid w:val="008D4EA3"/>
    <w:rsid w:val="008D4FC6"/>
    <w:rsid w:val="008D502F"/>
    <w:rsid w:val="008D5033"/>
    <w:rsid w:val="008D503C"/>
    <w:rsid w:val="008D5054"/>
    <w:rsid w:val="008D508C"/>
    <w:rsid w:val="008D5093"/>
    <w:rsid w:val="008D50B6"/>
    <w:rsid w:val="008D513D"/>
    <w:rsid w:val="008D518D"/>
    <w:rsid w:val="008D519A"/>
    <w:rsid w:val="008D51B5"/>
    <w:rsid w:val="008D51BD"/>
    <w:rsid w:val="008D51C6"/>
    <w:rsid w:val="008D51C8"/>
    <w:rsid w:val="008D51D4"/>
    <w:rsid w:val="008D51EC"/>
    <w:rsid w:val="008D5236"/>
    <w:rsid w:val="008D5286"/>
    <w:rsid w:val="008D52E0"/>
    <w:rsid w:val="008D52E9"/>
    <w:rsid w:val="008D5300"/>
    <w:rsid w:val="008D5316"/>
    <w:rsid w:val="008D5329"/>
    <w:rsid w:val="008D533C"/>
    <w:rsid w:val="008D535C"/>
    <w:rsid w:val="008D5362"/>
    <w:rsid w:val="008D536D"/>
    <w:rsid w:val="008D5384"/>
    <w:rsid w:val="008D5398"/>
    <w:rsid w:val="008D53AE"/>
    <w:rsid w:val="008D53BF"/>
    <w:rsid w:val="008D53CC"/>
    <w:rsid w:val="008D546E"/>
    <w:rsid w:val="008D5490"/>
    <w:rsid w:val="008D54A0"/>
    <w:rsid w:val="008D54B2"/>
    <w:rsid w:val="008D54D2"/>
    <w:rsid w:val="008D55BA"/>
    <w:rsid w:val="008D55DC"/>
    <w:rsid w:val="008D55ED"/>
    <w:rsid w:val="008D55FB"/>
    <w:rsid w:val="008D563B"/>
    <w:rsid w:val="008D563E"/>
    <w:rsid w:val="008D5682"/>
    <w:rsid w:val="008D56A0"/>
    <w:rsid w:val="008D56BF"/>
    <w:rsid w:val="008D56D3"/>
    <w:rsid w:val="008D56D4"/>
    <w:rsid w:val="008D56F3"/>
    <w:rsid w:val="008D5733"/>
    <w:rsid w:val="008D5746"/>
    <w:rsid w:val="008D57B2"/>
    <w:rsid w:val="008D57E7"/>
    <w:rsid w:val="008D57FB"/>
    <w:rsid w:val="008D5801"/>
    <w:rsid w:val="008D5833"/>
    <w:rsid w:val="008D5886"/>
    <w:rsid w:val="008D5890"/>
    <w:rsid w:val="008D5896"/>
    <w:rsid w:val="008D58CF"/>
    <w:rsid w:val="008D58E2"/>
    <w:rsid w:val="008D5903"/>
    <w:rsid w:val="008D5937"/>
    <w:rsid w:val="008D593A"/>
    <w:rsid w:val="008D5988"/>
    <w:rsid w:val="008D5997"/>
    <w:rsid w:val="008D599F"/>
    <w:rsid w:val="008D59EA"/>
    <w:rsid w:val="008D59F2"/>
    <w:rsid w:val="008D5A3F"/>
    <w:rsid w:val="008D5AD0"/>
    <w:rsid w:val="008D5B8E"/>
    <w:rsid w:val="008D5B98"/>
    <w:rsid w:val="008D5BC0"/>
    <w:rsid w:val="008D5BC3"/>
    <w:rsid w:val="008D5BD7"/>
    <w:rsid w:val="008D5C16"/>
    <w:rsid w:val="008D5C26"/>
    <w:rsid w:val="008D5C58"/>
    <w:rsid w:val="008D5CC1"/>
    <w:rsid w:val="008D5CC6"/>
    <w:rsid w:val="008D5CE9"/>
    <w:rsid w:val="008D5CEA"/>
    <w:rsid w:val="008D5D24"/>
    <w:rsid w:val="008D5D2F"/>
    <w:rsid w:val="008D5D92"/>
    <w:rsid w:val="008D5DB8"/>
    <w:rsid w:val="008D5DE5"/>
    <w:rsid w:val="008D5E0A"/>
    <w:rsid w:val="008D5E4B"/>
    <w:rsid w:val="008D5E72"/>
    <w:rsid w:val="008D5EC2"/>
    <w:rsid w:val="008D5ECA"/>
    <w:rsid w:val="008D5ED6"/>
    <w:rsid w:val="008D5F33"/>
    <w:rsid w:val="008D5F76"/>
    <w:rsid w:val="008D5F79"/>
    <w:rsid w:val="008D5FBF"/>
    <w:rsid w:val="008D606D"/>
    <w:rsid w:val="008D6072"/>
    <w:rsid w:val="008D607E"/>
    <w:rsid w:val="008D60FE"/>
    <w:rsid w:val="008D6130"/>
    <w:rsid w:val="008D6135"/>
    <w:rsid w:val="008D6189"/>
    <w:rsid w:val="008D6194"/>
    <w:rsid w:val="008D61AB"/>
    <w:rsid w:val="008D61BB"/>
    <w:rsid w:val="008D626A"/>
    <w:rsid w:val="008D6281"/>
    <w:rsid w:val="008D62A3"/>
    <w:rsid w:val="008D635E"/>
    <w:rsid w:val="008D6399"/>
    <w:rsid w:val="008D639C"/>
    <w:rsid w:val="008D63CD"/>
    <w:rsid w:val="008D63D4"/>
    <w:rsid w:val="008D63E7"/>
    <w:rsid w:val="008D641C"/>
    <w:rsid w:val="008D6474"/>
    <w:rsid w:val="008D6481"/>
    <w:rsid w:val="008D64AD"/>
    <w:rsid w:val="008D64CB"/>
    <w:rsid w:val="008D64DB"/>
    <w:rsid w:val="008D64DF"/>
    <w:rsid w:val="008D650F"/>
    <w:rsid w:val="008D654D"/>
    <w:rsid w:val="008D6556"/>
    <w:rsid w:val="008D6588"/>
    <w:rsid w:val="008D65B2"/>
    <w:rsid w:val="008D65BC"/>
    <w:rsid w:val="008D65FD"/>
    <w:rsid w:val="008D65FF"/>
    <w:rsid w:val="008D6649"/>
    <w:rsid w:val="008D668C"/>
    <w:rsid w:val="008D66D4"/>
    <w:rsid w:val="008D66DE"/>
    <w:rsid w:val="008D66E3"/>
    <w:rsid w:val="008D66F9"/>
    <w:rsid w:val="008D67ED"/>
    <w:rsid w:val="008D6824"/>
    <w:rsid w:val="008D6839"/>
    <w:rsid w:val="008D684D"/>
    <w:rsid w:val="008D6866"/>
    <w:rsid w:val="008D686E"/>
    <w:rsid w:val="008D68A6"/>
    <w:rsid w:val="008D6906"/>
    <w:rsid w:val="008D6913"/>
    <w:rsid w:val="008D6935"/>
    <w:rsid w:val="008D6944"/>
    <w:rsid w:val="008D6960"/>
    <w:rsid w:val="008D6982"/>
    <w:rsid w:val="008D6A0C"/>
    <w:rsid w:val="008D6A25"/>
    <w:rsid w:val="008D6AEE"/>
    <w:rsid w:val="008D6B13"/>
    <w:rsid w:val="008D6B61"/>
    <w:rsid w:val="008D6B73"/>
    <w:rsid w:val="008D6B89"/>
    <w:rsid w:val="008D6C06"/>
    <w:rsid w:val="008D6C25"/>
    <w:rsid w:val="008D6C31"/>
    <w:rsid w:val="008D6C3A"/>
    <w:rsid w:val="008D6C56"/>
    <w:rsid w:val="008D6C70"/>
    <w:rsid w:val="008D6CB7"/>
    <w:rsid w:val="008D6CBD"/>
    <w:rsid w:val="008D6D35"/>
    <w:rsid w:val="008D6D48"/>
    <w:rsid w:val="008D6D6A"/>
    <w:rsid w:val="008D6E3C"/>
    <w:rsid w:val="008D6E8C"/>
    <w:rsid w:val="008D6E99"/>
    <w:rsid w:val="008D6EA7"/>
    <w:rsid w:val="008D6EAA"/>
    <w:rsid w:val="008D6EFE"/>
    <w:rsid w:val="008D6EFF"/>
    <w:rsid w:val="008D6F33"/>
    <w:rsid w:val="008D6F41"/>
    <w:rsid w:val="008D6F78"/>
    <w:rsid w:val="008D6F9B"/>
    <w:rsid w:val="008D6FA8"/>
    <w:rsid w:val="008D6FE0"/>
    <w:rsid w:val="008D6FFD"/>
    <w:rsid w:val="008D7014"/>
    <w:rsid w:val="008D701F"/>
    <w:rsid w:val="008D7021"/>
    <w:rsid w:val="008D7024"/>
    <w:rsid w:val="008D702A"/>
    <w:rsid w:val="008D7069"/>
    <w:rsid w:val="008D708C"/>
    <w:rsid w:val="008D7095"/>
    <w:rsid w:val="008D70EF"/>
    <w:rsid w:val="008D711A"/>
    <w:rsid w:val="008D712A"/>
    <w:rsid w:val="008D712C"/>
    <w:rsid w:val="008D7145"/>
    <w:rsid w:val="008D7168"/>
    <w:rsid w:val="008D7171"/>
    <w:rsid w:val="008D71BA"/>
    <w:rsid w:val="008D71E9"/>
    <w:rsid w:val="008D71FC"/>
    <w:rsid w:val="008D7206"/>
    <w:rsid w:val="008D7236"/>
    <w:rsid w:val="008D7241"/>
    <w:rsid w:val="008D7243"/>
    <w:rsid w:val="008D7271"/>
    <w:rsid w:val="008D7274"/>
    <w:rsid w:val="008D7291"/>
    <w:rsid w:val="008D72AE"/>
    <w:rsid w:val="008D72C1"/>
    <w:rsid w:val="008D72F4"/>
    <w:rsid w:val="008D734D"/>
    <w:rsid w:val="008D7370"/>
    <w:rsid w:val="008D7374"/>
    <w:rsid w:val="008D738E"/>
    <w:rsid w:val="008D73D2"/>
    <w:rsid w:val="008D7412"/>
    <w:rsid w:val="008D743E"/>
    <w:rsid w:val="008D743F"/>
    <w:rsid w:val="008D744B"/>
    <w:rsid w:val="008D7453"/>
    <w:rsid w:val="008D7492"/>
    <w:rsid w:val="008D74CE"/>
    <w:rsid w:val="008D7511"/>
    <w:rsid w:val="008D7569"/>
    <w:rsid w:val="008D7576"/>
    <w:rsid w:val="008D7589"/>
    <w:rsid w:val="008D75C0"/>
    <w:rsid w:val="008D75F1"/>
    <w:rsid w:val="008D7600"/>
    <w:rsid w:val="008D7648"/>
    <w:rsid w:val="008D765B"/>
    <w:rsid w:val="008D7680"/>
    <w:rsid w:val="008D76C3"/>
    <w:rsid w:val="008D770C"/>
    <w:rsid w:val="008D772F"/>
    <w:rsid w:val="008D776C"/>
    <w:rsid w:val="008D77C2"/>
    <w:rsid w:val="008D780C"/>
    <w:rsid w:val="008D785F"/>
    <w:rsid w:val="008D7860"/>
    <w:rsid w:val="008D787E"/>
    <w:rsid w:val="008D788F"/>
    <w:rsid w:val="008D7891"/>
    <w:rsid w:val="008D7893"/>
    <w:rsid w:val="008D7959"/>
    <w:rsid w:val="008D7997"/>
    <w:rsid w:val="008D79AE"/>
    <w:rsid w:val="008D79BA"/>
    <w:rsid w:val="008D79E4"/>
    <w:rsid w:val="008D7A1E"/>
    <w:rsid w:val="008D7A29"/>
    <w:rsid w:val="008D7A36"/>
    <w:rsid w:val="008D7A45"/>
    <w:rsid w:val="008D7A49"/>
    <w:rsid w:val="008D7A5B"/>
    <w:rsid w:val="008D7A94"/>
    <w:rsid w:val="008D7AAE"/>
    <w:rsid w:val="008D7AD0"/>
    <w:rsid w:val="008D7AD5"/>
    <w:rsid w:val="008D7AEC"/>
    <w:rsid w:val="008D7B01"/>
    <w:rsid w:val="008D7B1D"/>
    <w:rsid w:val="008D7B5C"/>
    <w:rsid w:val="008D7B6E"/>
    <w:rsid w:val="008D7B97"/>
    <w:rsid w:val="008D7BBD"/>
    <w:rsid w:val="008D7BDD"/>
    <w:rsid w:val="008D7C15"/>
    <w:rsid w:val="008D7C29"/>
    <w:rsid w:val="008D7C33"/>
    <w:rsid w:val="008D7C5F"/>
    <w:rsid w:val="008D7C7A"/>
    <w:rsid w:val="008D7CAD"/>
    <w:rsid w:val="008D7CC6"/>
    <w:rsid w:val="008D7CD1"/>
    <w:rsid w:val="008D7CDD"/>
    <w:rsid w:val="008D7CEB"/>
    <w:rsid w:val="008D7D41"/>
    <w:rsid w:val="008D7D54"/>
    <w:rsid w:val="008D7D57"/>
    <w:rsid w:val="008D7D5E"/>
    <w:rsid w:val="008D7D68"/>
    <w:rsid w:val="008D7D8E"/>
    <w:rsid w:val="008D7DB0"/>
    <w:rsid w:val="008D7DB4"/>
    <w:rsid w:val="008D7DB9"/>
    <w:rsid w:val="008D7DF9"/>
    <w:rsid w:val="008D7E14"/>
    <w:rsid w:val="008D7E42"/>
    <w:rsid w:val="008D7E7D"/>
    <w:rsid w:val="008D7E7E"/>
    <w:rsid w:val="008D7E99"/>
    <w:rsid w:val="008D7EA5"/>
    <w:rsid w:val="008D7EB7"/>
    <w:rsid w:val="008D7EBC"/>
    <w:rsid w:val="008D7EBD"/>
    <w:rsid w:val="008D7EF1"/>
    <w:rsid w:val="008D7F02"/>
    <w:rsid w:val="008D7F0D"/>
    <w:rsid w:val="008D7F13"/>
    <w:rsid w:val="008D7F18"/>
    <w:rsid w:val="008D7F5D"/>
    <w:rsid w:val="008D7F63"/>
    <w:rsid w:val="008D7F64"/>
    <w:rsid w:val="008D7F81"/>
    <w:rsid w:val="008D7F86"/>
    <w:rsid w:val="008D7F88"/>
    <w:rsid w:val="008D7FB4"/>
    <w:rsid w:val="008D7FBE"/>
    <w:rsid w:val="008E0086"/>
    <w:rsid w:val="008E0093"/>
    <w:rsid w:val="008E00A3"/>
    <w:rsid w:val="008E00B4"/>
    <w:rsid w:val="008E00D4"/>
    <w:rsid w:val="008E00E1"/>
    <w:rsid w:val="008E0104"/>
    <w:rsid w:val="008E0105"/>
    <w:rsid w:val="008E0117"/>
    <w:rsid w:val="008E017D"/>
    <w:rsid w:val="008E0193"/>
    <w:rsid w:val="008E019E"/>
    <w:rsid w:val="008E01B2"/>
    <w:rsid w:val="008E01C1"/>
    <w:rsid w:val="008E01CB"/>
    <w:rsid w:val="008E0207"/>
    <w:rsid w:val="008E0214"/>
    <w:rsid w:val="008E0222"/>
    <w:rsid w:val="008E022B"/>
    <w:rsid w:val="008E025A"/>
    <w:rsid w:val="008E0269"/>
    <w:rsid w:val="008E0271"/>
    <w:rsid w:val="008E0283"/>
    <w:rsid w:val="008E029E"/>
    <w:rsid w:val="008E02A8"/>
    <w:rsid w:val="008E02AC"/>
    <w:rsid w:val="008E02CF"/>
    <w:rsid w:val="008E02E1"/>
    <w:rsid w:val="008E0324"/>
    <w:rsid w:val="008E032F"/>
    <w:rsid w:val="008E0330"/>
    <w:rsid w:val="008E0406"/>
    <w:rsid w:val="008E0440"/>
    <w:rsid w:val="008E046B"/>
    <w:rsid w:val="008E04D9"/>
    <w:rsid w:val="008E04FB"/>
    <w:rsid w:val="008E050D"/>
    <w:rsid w:val="008E0545"/>
    <w:rsid w:val="008E056C"/>
    <w:rsid w:val="008E0570"/>
    <w:rsid w:val="008E0592"/>
    <w:rsid w:val="008E05A0"/>
    <w:rsid w:val="008E05EF"/>
    <w:rsid w:val="008E0688"/>
    <w:rsid w:val="008E06AA"/>
    <w:rsid w:val="008E06B1"/>
    <w:rsid w:val="008E06BA"/>
    <w:rsid w:val="008E06D6"/>
    <w:rsid w:val="008E06EE"/>
    <w:rsid w:val="008E0725"/>
    <w:rsid w:val="008E076F"/>
    <w:rsid w:val="008E07BB"/>
    <w:rsid w:val="008E07C6"/>
    <w:rsid w:val="008E0811"/>
    <w:rsid w:val="008E0813"/>
    <w:rsid w:val="008E0881"/>
    <w:rsid w:val="008E08C2"/>
    <w:rsid w:val="008E08C4"/>
    <w:rsid w:val="008E08E1"/>
    <w:rsid w:val="008E0905"/>
    <w:rsid w:val="008E0966"/>
    <w:rsid w:val="008E097E"/>
    <w:rsid w:val="008E099A"/>
    <w:rsid w:val="008E0A4C"/>
    <w:rsid w:val="008E0A5B"/>
    <w:rsid w:val="008E0A85"/>
    <w:rsid w:val="008E0AB7"/>
    <w:rsid w:val="008E0ABD"/>
    <w:rsid w:val="008E0AE1"/>
    <w:rsid w:val="008E0B1B"/>
    <w:rsid w:val="008E0B1D"/>
    <w:rsid w:val="008E0B43"/>
    <w:rsid w:val="008E0B4A"/>
    <w:rsid w:val="008E0B8A"/>
    <w:rsid w:val="008E0BD7"/>
    <w:rsid w:val="008E0BF9"/>
    <w:rsid w:val="008E0C0D"/>
    <w:rsid w:val="008E0C26"/>
    <w:rsid w:val="008E0C3D"/>
    <w:rsid w:val="008E0C78"/>
    <w:rsid w:val="008E0C7B"/>
    <w:rsid w:val="008E0C81"/>
    <w:rsid w:val="008E0C88"/>
    <w:rsid w:val="008E0CD4"/>
    <w:rsid w:val="008E0D0C"/>
    <w:rsid w:val="008E0D0D"/>
    <w:rsid w:val="008E0D64"/>
    <w:rsid w:val="008E0D7B"/>
    <w:rsid w:val="008E0E10"/>
    <w:rsid w:val="008E0E1B"/>
    <w:rsid w:val="008E0E1D"/>
    <w:rsid w:val="008E0E38"/>
    <w:rsid w:val="008E0E52"/>
    <w:rsid w:val="008E0F18"/>
    <w:rsid w:val="008E0F1E"/>
    <w:rsid w:val="008E0F87"/>
    <w:rsid w:val="008E0FC0"/>
    <w:rsid w:val="008E0FD3"/>
    <w:rsid w:val="008E0FF0"/>
    <w:rsid w:val="008E1009"/>
    <w:rsid w:val="008E101C"/>
    <w:rsid w:val="008E1034"/>
    <w:rsid w:val="008E1063"/>
    <w:rsid w:val="008E1073"/>
    <w:rsid w:val="008E10A6"/>
    <w:rsid w:val="008E1101"/>
    <w:rsid w:val="008E110F"/>
    <w:rsid w:val="008E111A"/>
    <w:rsid w:val="008E1128"/>
    <w:rsid w:val="008E1185"/>
    <w:rsid w:val="008E11E3"/>
    <w:rsid w:val="008E11E6"/>
    <w:rsid w:val="008E11F3"/>
    <w:rsid w:val="008E11FF"/>
    <w:rsid w:val="008E1202"/>
    <w:rsid w:val="008E1205"/>
    <w:rsid w:val="008E120E"/>
    <w:rsid w:val="008E1251"/>
    <w:rsid w:val="008E125C"/>
    <w:rsid w:val="008E12C0"/>
    <w:rsid w:val="008E12E4"/>
    <w:rsid w:val="008E12E7"/>
    <w:rsid w:val="008E134B"/>
    <w:rsid w:val="008E134C"/>
    <w:rsid w:val="008E1398"/>
    <w:rsid w:val="008E13AA"/>
    <w:rsid w:val="008E13B8"/>
    <w:rsid w:val="008E13C1"/>
    <w:rsid w:val="008E13C9"/>
    <w:rsid w:val="008E13D7"/>
    <w:rsid w:val="008E140E"/>
    <w:rsid w:val="008E143D"/>
    <w:rsid w:val="008E14C8"/>
    <w:rsid w:val="008E14CA"/>
    <w:rsid w:val="008E14DD"/>
    <w:rsid w:val="008E14FE"/>
    <w:rsid w:val="008E152F"/>
    <w:rsid w:val="008E1550"/>
    <w:rsid w:val="008E15C3"/>
    <w:rsid w:val="008E15D9"/>
    <w:rsid w:val="008E15F8"/>
    <w:rsid w:val="008E1619"/>
    <w:rsid w:val="008E161B"/>
    <w:rsid w:val="008E1630"/>
    <w:rsid w:val="008E1635"/>
    <w:rsid w:val="008E1665"/>
    <w:rsid w:val="008E1689"/>
    <w:rsid w:val="008E169D"/>
    <w:rsid w:val="008E169E"/>
    <w:rsid w:val="008E16EE"/>
    <w:rsid w:val="008E1704"/>
    <w:rsid w:val="008E1706"/>
    <w:rsid w:val="008E170C"/>
    <w:rsid w:val="008E172E"/>
    <w:rsid w:val="008E1733"/>
    <w:rsid w:val="008E1747"/>
    <w:rsid w:val="008E1769"/>
    <w:rsid w:val="008E176C"/>
    <w:rsid w:val="008E17B6"/>
    <w:rsid w:val="008E17DB"/>
    <w:rsid w:val="008E17F4"/>
    <w:rsid w:val="008E1822"/>
    <w:rsid w:val="008E182D"/>
    <w:rsid w:val="008E1832"/>
    <w:rsid w:val="008E1843"/>
    <w:rsid w:val="008E18B8"/>
    <w:rsid w:val="008E1956"/>
    <w:rsid w:val="008E1960"/>
    <w:rsid w:val="008E1970"/>
    <w:rsid w:val="008E1972"/>
    <w:rsid w:val="008E1982"/>
    <w:rsid w:val="008E19A9"/>
    <w:rsid w:val="008E1A09"/>
    <w:rsid w:val="008E1A83"/>
    <w:rsid w:val="008E1A9F"/>
    <w:rsid w:val="008E1AAA"/>
    <w:rsid w:val="008E1AAC"/>
    <w:rsid w:val="008E1AF2"/>
    <w:rsid w:val="008E1B13"/>
    <w:rsid w:val="008E1B5B"/>
    <w:rsid w:val="008E1B77"/>
    <w:rsid w:val="008E1B79"/>
    <w:rsid w:val="008E1B91"/>
    <w:rsid w:val="008E1B9F"/>
    <w:rsid w:val="008E1BF2"/>
    <w:rsid w:val="008E1BFD"/>
    <w:rsid w:val="008E1C11"/>
    <w:rsid w:val="008E1C5C"/>
    <w:rsid w:val="008E1C90"/>
    <w:rsid w:val="008E1CA7"/>
    <w:rsid w:val="008E1CC8"/>
    <w:rsid w:val="008E1D04"/>
    <w:rsid w:val="008E1D15"/>
    <w:rsid w:val="008E1D2A"/>
    <w:rsid w:val="008E1D2E"/>
    <w:rsid w:val="008E1DBD"/>
    <w:rsid w:val="008E1DCD"/>
    <w:rsid w:val="008E1DDD"/>
    <w:rsid w:val="008E1E80"/>
    <w:rsid w:val="008E1F2C"/>
    <w:rsid w:val="008E1F9D"/>
    <w:rsid w:val="008E1FA1"/>
    <w:rsid w:val="008E1FD0"/>
    <w:rsid w:val="008E1FDF"/>
    <w:rsid w:val="008E2071"/>
    <w:rsid w:val="008E208B"/>
    <w:rsid w:val="008E2098"/>
    <w:rsid w:val="008E2185"/>
    <w:rsid w:val="008E21B7"/>
    <w:rsid w:val="008E21DB"/>
    <w:rsid w:val="008E2226"/>
    <w:rsid w:val="008E222C"/>
    <w:rsid w:val="008E2242"/>
    <w:rsid w:val="008E2282"/>
    <w:rsid w:val="008E22D1"/>
    <w:rsid w:val="008E2337"/>
    <w:rsid w:val="008E238C"/>
    <w:rsid w:val="008E249B"/>
    <w:rsid w:val="008E24DF"/>
    <w:rsid w:val="008E24FB"/>
    <w:rsid w:val="008E2562"/>
    <w:rsid w:val="008E257C"/>
    <w:rsid w:val="008E2585"/>
    <w:rsid w:val="008E258F"/>
    <w:rsid w:val="008E25B1"/>
    <w:rsid w:val="008E25B5"/>
    <w:rsid w:val="008E2613"/>
    <w:rsid w:val="008E266F"/>
    <w:rsid w:val="008E26B0"/>
    <w:rsid w:val="008E2706"/>
    <w:rsid w:val="008E2766"/>
    <w:rsid w:val="008E2773"/>
    <w:rsid w:val="008E27A3"/>
    <w:rsid w:val="008E27BD"/>
    <w:rsid w:val="008E2809"/>
    <w:rsid w:val="008E285E"/>
    <w:rsid w:val="008E2872"/>
    <w:rsid w:val="008E28B6"/>
    <w:rsid w:val="008E28BD"/>
    <w:rsid w:val="008E28D2"/>
    <w:rsid w:val="008E290C"/>
    <w:rsid w:val="008E29C9"/>
    <w:rsid w:val="008E29FF"/>
    <w:rsid w:val="008E2A0E"/>
    <w:rsid w:val="008E2A1B"/>
    <w:rsid w:val="008E2A34"/>
    <w:rsid w:val="008E2A3C"/>
    <w:rsid w:val="008E2A5E"/>
    <w:rsid w:val="008E2A6A"/>
    <w:rsid w:val="008E2ACD"/>
    <w:rsid w:val="008E2AD3"/>
    <w:rsid w:val="008E2B63"/>
    <w:rsid w:val="008E2B88"/>
    <w:rsid w:val="008E2B97"/>
    <w:rsid w:val="008E2B99"/>
    <w:rsid w:val="008E2BAC"/>
    <w:rsid w:val="008E2BB7"/>
    <w:rsid w:val="008E2BEE"/>
    <w:rsid w:val="008E2C07"/>
    <w:rsid w:val="008E2C23"/>
    <w:rsid w:val="008E2C35"/>
    <w:rsid w:val="008E2C4E"/>
    <w:rsid w:val="008E2C70"/>
    <w:rsid w:val="008E2C8A"/>
    <w:rsid w:val="008E2CB8"/>
    <w:rsid w:val="008E2CEF"/>
    <w:rsid w:val="008E2D00"/>
    <w:rsid w:val="008E2D0C"/>
    <w:rsid w:val="008E2D30"/>
    <w:rsid w:val="008E2D52"/>
    <w:rsid w:val="008E2D71"/>
    <w:rsid w:val="008E2DA7"/>
    <w:rsid w:val="008E2DBD"/>
    <w:rsid w:val="008E2DCA"/>
    <w:rsid w:val="008E2DFE"/>
    <w:rsid w:val="008E2E63"/>
    <w:rsid w:val="008E2E85"/>
    <w:rsid w:val="008E2EBD"/>
    <w:rsid w:val="008E2ED8"/>
    <w:rsid w:val="008E2F23"/>
    <w:rsid w:val="008E2F5A"/>
    <w:rsid w:val="008E2F8F"/>
    <w:rsid w:val="008E2F96"/>
    <w:rsid w:val="008E2FBB"/>
    <w:rsid w:val="008E2FCD"/>
    <w:rsid w:val="008E2FD5"/>
    <w:rsid w:val="008E2FDB"/>
    <w:rsid w:val="008E2FDD"/>
    <w:rsid w:val="008E2FFF"/>
    <w:rsid w:val="008E303B"/>
    <w:rsid w:val="008E3040"/>
    <w:rsid w:val="008E3083"/>
    <w:rsid w:val="008E3093"/>
    <w:rsid w:val="008E30A3"/>
    <w:rsid w:val="008E30A7"/>
    <w:rsid w:val="008E30AA"/>
    <w:rsid w:val="008E30F0"/>
    <w:rsid w:val="008E314F"/>
    <w:rsid w:val="008E319B"/>
    <w:rsid w:val="008E3215"/>
    <w:rsid w:val="008E322F"/>
    <w:rsid w:val="008E329D"/>
    <w:rsid w:val="008E32ED"/>
    <w:rsid w:val="008E337C"/>
    <w:rsid w:val="008E33B5"/>
    <w:rsid w:val="008E33B8"/>
    <w:rsid w:val="008E33BE"/>
    <w:rsid w:val="008E340B"/>
    <w:rsid w:val="008E3411"/>
    <w:rsid w:val="008E3412"/>
    <w:rsid w:val="008E3414"/>
    <w:rsid w:val="008E3415"/>
    <w:rsid w:val="008E3448"/>
    <w:rsid w:val="008E3459"/>
    <w:rsid w:val="008E34AE"/>
    <w:rsid w:val="008E3516"/>
    <w:rsid w:val="008E3560"/>
    <w:rsid w:val="008E3591"/>
    <w:rsid w:val="008E35AB"/>
    <w:rsid w:val="008E35CE"/>
    <w:rsid w:val="008E35DE"/>
    <w:rsid w:val="008E364C"/>
    <w:rsid w:val="008E3654"/>
    <w:rsid w:val="008E367B"/>
    <w:rsid w:val="008E3685"/>
    <w:rsid w:val="008E3689"/>
    <w:rsid w:val="008E36CD"/>
    <w:rsid w:val="008E36EE"/>
    <w:rsid w:val="008E36F9"/>
    <w:rsid w:val="008E3754"/>
    <w:rsid w:val="008E3847"/>
    <w:rsid w:val="008E3869"/>
    <w:rsid w:val="008E386A"/>
    <w:rsid w:val="008E38A4"/>
    <w:rsid w:val="008E38AB"/>
    <w:rsid w:val="008E38AC"/>
    <w:rsid w:val="008E38D4"/>
    <w:rsid w:val="008E38F8"/>
    <w:rsid w:val="008E3917"/>
    <w:rsid w:val="008E3949"/>
    <w:rsid w:val="008E3968"/>
    <w:rsid w:val="008E396E"/>
    <w:rsid w:val="008E39DC"/>
    <w:rsid w:val="008E39E3"/>
    <w:rsid w:val="008E39E6"/>
    <w:rsid w:val="008E39FA"/>
    <w:rsid w:val="008E3A33"/>
    <w:rsid w:val="008E3A86"/>
    <w:rsid w:val="008E3AAE"/>
    <w:rsid w:val="008E3B7A"/>
    <w:rsid w:val="008E3BA9"/>
    <w:rsid w:val="008E3BCD"/>
    <w:rsid w:val="008E3BE1"/>
    <w:rsid w:val="008E3C02"/>
    <w:rsid w:val="008E3C35"/>
    <w:rsid w:val="008E3C4E"/>
    <w:rsid w:val="008E3C9F"/>
    <w:rsid w:val="008E3CAD"/>
    <w:rsid w:val="008E3D3A"/>
    <w:rsid w:val="008E3D4D"/>
    <w:rsid w:val="008E3D66"/>
    <w:rsid w:val="008E3D86"/>
    <w:rsid w:val="008E3D88"/>
    <w:rsid w:val="008E3D97"/>
    <w:rsid w:val="008E3DB2"/>
    <w:rsid w:val="008E3DFC"/>
    <w:rsid w:val="008E3E10"/>
    <w:rsid w:val="008E3E7A"/>
    <w:rsid w:val="008E3E9F"/>
    <w:rsid w:val="008E3EA6"/>
    <w:rsid w:val="008E3F25"/>
    <w:rsid w:val="008E3FAF"/>
    <w:rsid w:val="008E3FBB"/>
    <w:rsid w:val="008E3FE9"/>
    <w:rsid w:val="008E4010"/>
    <w:rsid w:val="008E4028"/>
    <w:rsid w:val="008E4035"/>
    <w:rsid w:val="008E4091"/>
    <w:rsid w:val="008E4096"/>
    <w:rsid w:val="008E4099"/>
    <w:rsid w:val="008E40D7"/>
    <w:rsid w:val="008E4162"/>
    <w:rsid w:val="008E41AE"/>
    <w:rsid w:val="008E41E5"/>
    <w:rsid w:val="008E4203"/>
    <w:rsid w:val="008E4205"/>
    <w:rsid w:val="008E42A7"/>
    <w:rsid w:val="008E42AA"/>
    <w:rsid w:val="008E42EE"/>
    <w:rsid w:val="008E42FC"/>
    <w:rsid w:val="008E4357"/>
    <w:rsid w:val="008E4366"/>
    <w:rsid w:val="008E4391"/>
    <w:rsid w:val="008E43B1"/>
    <w:rsid w:val="008E43C6"/>
    <w:rsid w:val="008E43F1"/>
    <w:rsid w:val="008E43F8"/>
    <w:rsid w:val="008E43FE"/>
    <w:rsid w:val="008E443A"/>
    <w:rsid w:val="008E4469"/>
    <w:rsid w:val="008E4479"/>
    <w:rsid w:val="008E448B"/>
    <w:rsid w:val="008E44A2"/>
    <w:rsid w:val="008E44B6"/>
    <w:rsid w:val="008E44B8"/>
    <w:rsid w:val="008E44ED"/>
    <w:rsid w:val="008E4511"/>
    <w:rsid w:val="008E4512"/>
    <w:rsid w:val="008E45D7"/>
    <w:rsid w:val="008E4608"/>
    <w:rsid w:val="008E462B"/>
    <w:rsid w:val="008E4640"/>
    <w:rsid w:val="008E4648"/>
    <w:rsid w:val="008E464D"/>
    <w:rsid w:val="008E466A"/>
    <w:rsid w:val="008E46DF"/>
    <w:rsid w:val="008E46F0"/>
    <w:rsid w:val="008E46F3"/>
    <w:rsid w:val="008E4755"/>
    <w:rsid w:val="008E47ED"/>
    <w:rsid w:val="008E47FE"/>
    <w:rsid w:val="008E481D"/>
    <w:rsid w:val="008E4828"/>
    <w:rsid w:val="008E4831"/>
    <w:rsid w:val="008E4832"/>
    <w:rsid w:val="008E4877"/>
    <w:rsid w:val="008E48E5"/>
    <w:rsid w:val="008E48EC"/>
    <w:rsid w:val="008E48F7"/>
    <w:rsid w:val="008E4902"/>
    <w:rsid w:val="008E4956"/>
    <w:rsid w:val="008E496E"/>
    <w:rsid w:val="008E498B"/>
    <w:rsid w:val="008E498C"/>
    <w:rsid w:val="008E49B6"/>
    <w:rsid w:val="008E49BC"/>
    <w:rsid w:val="008E49C7"/>
    <w:rsid w:val="008E4A0A"/>
    <w:rsid w:val="008E4A25"/>
    <w:rsid w:val="008E4A68"/>
    <w:rsid w:val="008E4A6F"/>
    <w:rsid w:val="008E4A8A"/>
    <w:rsid w:val="008E4B1B"/>
    <w:rsid w:val="008E4B41"/>
    <w:rsid w:val="008E4B53"/>
    <w:rsid w:val="008E4B86"/>
    <w:rsid w:val="008E4C66"/>
    <w:rsid w:val="008E4C6A"/>
    <w:rsid w:val="008E4CA4"/>
    <w:rsid w:val="008E4CAC"/>
    <w:rsid w:val="008E4CE2"/>
    <w:rsid w:val="008E4D15"/>
    <w:rsid w:val="008E4D19"/>
    <w:rsid w:val="008E4D62"/>
    <w:rsid w:val="008E4D90"/>
    <w:rsid w:val="008E4DB9"/>
    <w:rsid w:val="008E4DC7"/>
    <w:rsid w:val="008E4DFA"/>
    <w:rsid w:val="008E4E18"/>
    <w:rsid w:val="008E4EF6"/>
    <w:rsid w:val="008E4F02"/>
    <w:rsid w:val="008E4F03"/>
    <w:rsid w:val="008E4F05"/>
    <w:rsid w:val="008E4F36"/>
    <w:rsid w:val="008E4F40"/>
    <w:rsid w:val="008E4F45"/>
    <w:rsid w:val="008E4F6E"/>
    <w:rsid w:val="008E4FA2"/>
    <w:rsid w:val="008E4FBF"/>
    <w:rsid w:val="008E4FCA"/>
    <w:rsid w:val="008E501A"/>
    <w:rsid w:val="008E5039"/>
    <w:rsid w:val="008E50C9"/>
    <w:rsid w:val="008E50D5"/>
    <w:rsid w:val="008E50D9"/>
    <w:rsid w:val="008E5158"/>
    <w:rsid w:val="008E518B"/>
    <w:rsid w:val="008E51AB"/>
    <w:rsid w:val="008E51B2"/>
    <w:rsid w:val="008E51C1"/>
    <w:rsid w:val="008E51EE"/>
    <w:rsid w:val="008E5218"/>
    <w:rsid w:val="008E5256"/>
    <w:rsid w:val="008E5265"/>
    <w:rsid w:val="008E527F"/>
    <w:rsid w:val="008E52A9"/>
    <w:rsid w:val="008E52AD"/>
    <w:rsid w:val="008E52BD"/>
    <w:rsid w:val="008E52E1"/>
    <w:rsid w:val="008E52E3"/>
    <w:rsid w:val="008E532F"/>
    <w:rsid w:val="008E53A7"/>
    <w:rsid w:val="008E53D6"/>
    <w:rsid w:val="008E53EE"/>
    <w:rsid w:val="008E544E"/>
    <w:rsid w:val="008E546B"/>
    <w:rsid w:val="008E5494"/>
    <w:rsid w:val="008E5497"/>
    <w:rsid w:val="008E5498"/>
    <w:rsid w:val="008E54C3"/>
    <w:rsid w:val="008E54C9"/>
    <w:rsid w:val="008E54CF"/>
    <w:rsid w:val="008E5514"/>
    <w:rsid w:val="008E5519"/>
    <w:rsid w:val="008E5561"/>
    <w:rsid w:val="008E557A"/>
    <w:rsid w:val="008E5591"/>
    <w:rsid w:val="008E55CA"/>
    <w:rsid w:val="008E5641"/>
    <w:rsid w:val="008E5643"/>
    <w:rsid w:val="008E5662"/>
    <w:rsid w:val="008E5677"/>
    <w:rsid w:val="008E568B"/>
    <w:rsid w:val="008E56A5"/>
    <w:rsid w:val="008E56AF"/>
    <w:rsid w:val="008E56C7"/>
    <w:rsid w:val="008E56C8"/>
    <w:rsid w:val="008E571D"/>
    <w:rsid w:val="008E572A"/>
    <w:rsid w:val="008E5737"/>
    <w:rsid w:val="008E575B"/>
    <w:rsid w:val="008E5764"/>
    <w:rsid w:val="008E5786"/>
    <w:rsid w:val="008E5788"/>
    <w:rsid w:val="008E579C"/>
    <w:rsid w:val="008E57DC"/>
    <w:rsid w:val="008E5835"/>
    <w:rsid w:val="008E5840"/>
    <w:rsid w:val="008E5881"/>
    <w:rsid w:val="008E588C"/>
    <w:rsid w:val="008E58DC"/>
    <w:rsid w:val="008E58F2"/>
    <w:rsid w:val="008E5908"/>
    <w:rsid w:val="008E59C1"/>
    <w:rsid w:val="008E5A3D"/>
    <w:rsid w:val="008E5A55"/>
    <w:rsid w:val="008E5A56"/>
    <w:rsid w:val="008E5A62"/>
    <w:rsid w:val="008E5A6B"/>
    <w:rsid w:val="008E5A7E"/>
    <w:rsid w:val="008E5A85"/>
    <w:rsid w:val="008E5AA5"/>
    <w:rsid w:val="008E5AAC"/>
    <w:rsid w:val="008E5B56"/>
    <w:rsid w:val="008E5B85"/>
    <w:rsid w:val="008E5B92"/>
    <w:rsid w:val="008E5B93"/>
    <w:rsid w:val="008E5BA7"/>
    <w:rsid w:val="008E5BD2"/>
    <w:rsid w:val="008E5BD6"/>
    <w:rsid w:val="008E5BE1"/>
    <w:rsid w:val="008E5C04"/>
    <w:rsid w:val="008E5C07"/>
    <w:rsid w:val="008E5C15"/>
    <w:rsid w:val="008E5C52"/>
    <w:rsid w:val="008E5C63"/>
    <w:rsid w:val="008E5C86"/>
    <w:rsid w:val="008E5C9D"/>
    <w:rsid w:val="008E5CC7"/>
    <w:rsid w:val="008E5CC9"/>
    <w:rsid w:val="008E5CD3"/>
    <w:rsid w:val="008E5CE9"/>
    <w:rsid w:val="008E5D17"/>
    <w:rsid w:val="008E5D3D"/>
    <w:rsid w:val="008E5D69"/>
    <w:rsid w:val="008E5D78"/>
    <w:rsid w:val="008E5D89"/>
    <w:rsid w:val="008E5D94"/>
    <w:rsid w:val="008E5DA8"/>
    <w:rsid w:val="008E5DE0"/>
    <w:rsid w:val="008E5E3C"/>
    <w:rsid w:val="008E5E46"/>
    <w:rsid w:val="008E5E4C"/>
    <w:rsid w:val="008E5E50"/>
    <w:rsid w:val="008E5E7B"/>
    <w:rsid w:val="008E5F18"/>
    <w:rsid w:val="008E5F3C"/>
    <w:rsid w:val="008E5F57"/>
    <w:rsid w:val="008E5FB3"/>
    <w:rsid w:val="008E5FD2"/>
    <w:rsid w:val="008E6012"/>
    <w:rsid w:val="008E6016"/>
    <w:rsid w:val="008E60A6"/>
    <w:rsid w:val="008E60B5"/>
    <w:rsid w:val="008E60DC"/>
    <w:rsid w:val="008E6102"/>
    <w:rsid w:val="008E6117"/>
    <w:rsid w:val="008E6121"/>
    <w:rsid w:val="008E61A6"/>
    <w:rsid w:val="008E6217"/>
    <w:rsid w:val="008E62C4"/>
    <w:rsid w:val="008E62DD"/>
    <w:rsid w:val="008E63F7"/>
    <w:rsid w:val="008E6423"/>
    <w:rsid w:val="008E642A"/>
    <w:rsid w:val="008E642E"/>
    <w:rsid w:val="008E6432"/>
    <w:rsid w:val="008E6454"/>
    <w:rsid w:val="008E6457"/>
    <w:rsid w:val="008E64C4"/>
    <w:rsid w:val="008E6518"/>
    <w:rsid w:val="008E6527"/>
    <w:rsid w:val="008E6585"/>
    <w:rsid w:val="008E65E3"/>
    <w:rsid w:val="008E660C"/>
    <w:rsid w:val="008E6652"/>
    <w:rsid w:val="008E665D"/>
    <w:rsid w:val="008E668F"/>
    <w:rsid w:val="008E66D2"/>
    <w:rsid w:val="008E6722"/>
    <w:rsid w:val="008E6729"/>
    <w:rsid w:val="008E673D"/>
    <w:rsid w:val="008E6784"/>
    <w:rsid w:val="008E680F"/>
    <w:rsid w:val="008E681C"/>
    <w:rsid w:val="008E6830"/>
    <w:rsid w:val="008E685F"/>
    <w:rsid w:val="008E6871"/>
    <w:rsid w:val="008E68B1"/>
    <w:rsid w:val="008E68B7"/>
    <w:rsid w:val="008E68D1"/>
    <w:rsid w:val="008E68FA"/>
    <w:rsid w:val="008E690A"/>
    <w:rsid w:val="008E690D"/>
    <w:rsid w:val="008E6956"/>
    <w:rsid w:val="008E6982"/>
    <w:rsid w:val="008E6994"/>
    <w:rsid w:val="008E699C"/>
    <w:rsid w:val="008E699E"/>
    <w:rsid w:val="008E69A5"/>
    <w:rsid w:val="008E69C2"/>
    <w:rsid w:val="008E69C8"/>
    <w:rsid w:val="008E6A10"/>
    <w:rsid w:val="008E6A1A"/>
    <w:rsid w:val="008E6A30"/>
    <w:rsid w:val="008E6AB1"/>
    <w:rsid w:val="008E6B89"/>
    <w:rsid w:val="008E6BA7"/>
    <w:rsid w:val="008E6BFD"/>
    <w:rsid w:val="008E6C2D"/>
    <w:rsid w:val="008E6C5E"/>
    <w:rsid w:val="008E6C7F"/>
    <w:rsid w:val="008E6C91"/>
    <w:rsid w:val="008E6CC0"/>
    <w:rsid w:val="008E6CE5"/>
    <w:rsid w:val="008E6CF0"/>
    <w:rsid w:val="008E6CF5"/>
    <w:rsid w:val="008E6D04"/>
    <w:rsid w:val="008E6D3D"/>
    <w:rsid w:val="008E6D55"/>
    <w:rsid w:val="008E6D5B"/>
    <w:rsid w:val="008E6D81"/>
    <w:rsid w:val="008E6DAA"/>
    <w:rsid w:val="008E6DB2"/>
    <w:rsid w:val="008E6DD3"/>
    <w:rsid w:val="008E6DE1"/>
    <w:rsid w:val="008E6E09"/>
    <w:rsid w:val="008E6E16"/>
    <w:rsid w:val="008E6E32"/>
    <w:rsid w:val="008E6E33"/>
    <w:rsid w:val="008E6E69"/>
    <w:rsid w:val="008E6E85"/>
    <w:rsid w:val="008E6ED0"/>
    <w:rsid w:val="008E6ED2"/>
    <w:rsid w:val="008E6EE4"/>
    <w:rsid w:val="008E6EEB"/>
    <w:rsid w:val="008E6EFA"/>
    <w:rsid w:val="008E6F08"/>
    <w:rsid w:val="008E6F0F"/>
    <w:rsid w:val="008E6F2A"/>
    <w:rsid w:val="008E6F2D"/>
    <w:rsid w:val="008E6F85"/>
    <w:rsid w:val="008E6FDC"/>
    <w:rsid w:val="008E7039"/>
    <w:rsid w:val="008E7078"/>
    <w:rsid w:val="008E708A"/>
    <w:rsid w:val="008E70BC"/>
    <w:rsid w:val="008E70FA"/>
    <w:rsid w:val="008E7100"/>
    <w:rsid w:val="008E7141"/>
    <w:rsid w:val="008E7186"/>
    <w:rsid w:val="008E7187"/>
    <w:rsid w:val="008E71EB"/>
    <w:rsid w:val="008E71EE"/>
    <w:rsid w:val="008E71F4"/>
    <w:rsid w:val="008E71FE"/>
    <w:rsid w:val="008E7222"/>
    <w:rsid w:val="008E722B"/>
    <w:rsid w:val="008E729A"/>
    <w:rsid w:val="008E72B7"/>
    <w:rsid w:val="008E72B8"/>
    <w:rsid w:val="008E735A"/>
    <w:rsid w:val="008E7375"/>
    <w:rsid w:val="008E73B4"/>
    <w:rsid w:val="008E73F3"/>
    <w:rsid w:val="008E73FD"/>
    <w:rsid w:val="008E7410"/>
    <w:rsid w:val="008E7435"/>
    <w:rsid w:val="008E7484"/>
    <w:rsid w:val="008E74AC"/>
    <w:rsid w:val="008E74D0"/>
    <w:rsid w:val="008E7512"/>
    <w:rsid w:val="008E754B"/>
    <w:rsid w:val="008E755D"/>
    <w:rsid w:val="008E7562"/>
    <w:rsid w:val="008E7566"/>
    <w:rsid w:val="008E7571"/>
    <w:rsid w:val="008E75BC"/>
    <w:rsid w:val="008E75D9"/>
    <w:rsid w:val="008E7659"/>
    <w:rsid w:val="008E768B"/>
    <w:rsid w:val="008E76C7"/>
    <w:rsid w:val="008E770D"/>
    <w:rsid w:val="008E7752"/>
    <w:rsid w:val="008E77AC"/>
    <w:rsid w:val="008E77B3"/>
    <w:rsid w:val="008E77E0"/>
    <w:rsid w:val="008E77E8"/>
    <w:rsid w:val="008E7828"/>
    <w:rsid w:val="008E7836"/>
    <w:rsid w:val="008E7874"/>
    <w:rsid w:val="008E7877"/>
    <w:rsid w:val="008E7933"/>
    <w:rsid w:val="008E7934"/>
    <w:rsid w:val="008E7999"/>
    <w:rsid w:val="008E79D6"/>
    <w:rsid w:val="008E79F7"/>
    <w:rsid w:val="008E7A03"/>
    <w:rsid w:val="008E7A28"/>
    <w:rsid w:val="008E7A71"/>
    <w:rsid w:val="008E7A76"/>
    <w:rsid w:val="008E7A7D"/>
    <w:rsid w:val="008E7A90"/>
    <w:rsid w:val="008E7AB1"/>
    <w:rsid w:val="008E7AC0"/>
    <w:rsid w:val="008E7AD8"/>
    <w:rsid w:val="008E7B19"/>
    <w:rsid w:val="008E7B2D"/>
    <w:rsid w:val="008E7B5D"/>
    <w:rsid w:val="008E7B69"/>
    <w:rsid w:val="008E7B7A"/>
    <w:rsid w:val="008E7BA8"/>
    <w:rsid w:val="008E7BB0"/>
    <w:rsid w:val="008E7BBA"/>
    <w:rsid w:val="008E7BD8"/>
    <w:rsid w:val="008E7BE8"/>
    <w:rsid w:val="008E7BF4"/>
    <w:rsid w:val="008E7C36"/>
    <w:rsid w:val="008E7C58"/>
    <w:rsid w:val="008E7C7D"/>
    <w:rsid w:val="008E7CBB"/>
    <w:rsid w:val="008E7CC6"/>
    <w:rsid w:val="008E7CE4"/>
    <w:rsid w:val="008E7D16"/>
    <w:rsid w:val="008E7D26"/>
    <w:rsid w:val="008E7D40"/>
    <w:rsid w:val="008E7D56"/>
    <w:rsid w:val="008E7D65"/>
    <w:rsid w:val="008E7D83"/>
    <w:rsid w:val="008E7DE0"/>
    <w:rsid w:val="008E7DFF"/>
    <w:rsid w:val="008E7E00"/>
    <w:rsid w:val="008E7E08"/>
    <w:rsid w:val="008E7E59"/>
    <w:rsid w:val="008E7E6D"/>
    <w:rsid w:val="008E7E80"/>
    <w:rsid w:val="008E7E95"/>
    <w:rsid w:val="008E7EB9"/>
    <w:rsid w:val="008E7EDD"/>
    <w:rsid w:val="008E7EF5"/>
    <w:rsid w:val="008E7F0A"/>
    <w:rsid w:val="008E7F0C"/>
    <w:rsid w:val="008E7FA1"/>
    <w:rsid w:val="008E7FDD"/>
    <w:rsid w:val="008F0017"/>
    <w:rsid w:val="008F0022"/>
    <w:rsid w:val="008F007A"/>
    <w:rsid w:val="008F007D"/>
    <w:rsid w:val="008F007E"/>
    <w:rsid w:val="008F0091"/>
    <w:rsid w:val="008F00A4"/>
    <w:rsid w:val="008F00BE"/>
    <w:rsid w:val="008F0104"/>
    <w:rsid w:val="008F0106"/>
    <w:rsid w:val="008F010C"/>
    <w:rsid w:val="008F0134"/>
    <w:rsid w:val="008F0144"/>
    <w:rsid w:val="008F0165"/>
    <w:rsid w:val="008F0182"/>
    <w:rsid w:val="008F01E8"/>
    <w:rsid w:val="008F01EA"/>
    <w:rsid w:val="008F01F0"/>
    <w:rsid w:val="008F023F"/>
    <w:rsid w:val="008F025B"/>
    <w:rsid w:val="008F0284"/>
    <w:rsid w:val="008F02DE"/>
    <w:rsid w:val="008F02E5"/>
    <w:rsid w:val="008F0300"/>
    <w:rsid w:val="008F0325"/>
    <w:rsid w:val="008F0373"/>
    <w:rsid w:val="008F037B"/>
    <w:rsid w:val="008F03D1"/>
    <w:rsid w:val="008F0404"/>
    <w:rsid w:val="008F0414"/>
    <w:rsid w:val="008F041A"/>
    <w:rsid w:val="008F042A"/>
    <w:rsid w:val="008F0461"/>
    <w:rsid w:val="008F04A8"/>
    <w:rsid w:val="008F04AF"/>
    <w:rsid w:val="008F04F1"/>
    <w:rsid w:val="008F05B9"/>
    <w:rsid w:val="008F05D4"/>
    <w:rsid w:val="008F05F5"/>
    <w:rsid w:val="008F05FA"/>
    <w:rsid w:val="008F05FE"/>
    <w:rsid w:val="008F0610"/>
    <w:rsid w:val="008F0624"/>
    <w:rsid w:val="008F0634"/>
    <w:rsid w:val="008F0638"/>
    <w:rsid w:val="008F0642"/>
    <w:rsid w:val="008F0643"/>
    <w:rsid w:val="008F0644"/>
    <w:rsid w:val="008F0659"/>
    <w:rsid w:val="008F0694"/>
    <w:rsid w:val="008F06A6"/>
    <w:rsid w:val="008F06CA"/>
    <w:rsid w:val="008F06E5"/>
    <w:rsid w:val="008F06FD"/>
    <w:rsid w:val="008F0751"/>
    <w:rsid w:val="008F0759"/>
    <w:rsid w:val="008F0768"/>
    <w:rsid w:val="008F0771"/>
    <w:rsid w:val="008F0779"/>
    <w:rsid w:val="008F0783"/>
    <w:rsid w:val="008F07A7"/>
    <w:rsid w:val="008F07D1"/>
    <w:rsid w:val="008F0822"/>
    <w:rsid w:val="008F0895"/>
    <w:rsid w:val="008F08F2"/>
    <w:rsid w:val="008F095C"/>
    <w:rsid w:val="008F096B"/>
    <w:rsid w:val="008F0996"/>
    <w:rsid w:val="008F09DE"/>
    <w:rsid w:val="008F0A0D"/>
    <w:rsid w:val="008F0A1A"/>
    <w:rsid w:val="008F0A51"/>
    <w:rsid w:val="008F0A73"/>
    <w:rsid w:val="008F0AAC"/>
    <w:rsid w:val="008F0B34"/>
    <w:rsid w:val="008F0B81"/>
    <w:rsid w:val="008F0B85"/>
    <w:rsid w:val="008F0BB4"/>
    <w:rsid w:val="008F0BE5"/>
    <w:rsid w:val="008F0BE6"/>
    <w:rsid w:val="008F0C02"/>
    <w:rsid w:val="008F0C06"/>
    <w:rsid w:val="008F0C0F"/>
    <w:rsid w:val="008F0C49"/>
    <w:rsid w:val="008F0C6D"/>
    <w:rsid w:val="008F0C82"/>
    <w:rsid w:val="008F0CAF"/>
    <w:rsid w:val="008F0CFA"/>
    <w:rsid w:val="008F0CFE"/>
    <w:rsid w:val="008F0D04"/>
    <w:rsid w:val="008F0D10"/>
    <w:rsid w:val="008F0D13"/>
    <w:rsid w:val="008F0D3E"/>
    <w:rsid w:val="008F0D49"/>
    <w:rsid w:val="008F0D51"/>
    <w:rsid w:val="008F0D58"/>
    <w:rsid w:val="008F0D6D"/>
    <w:rsid w:val="008F0D72"/>
    <w:rsid w:val="008F0D79"/>
    <w:rsid w:val="008F0DCC"/>
    <w:rsid w:val="008F0DD4"/>
    <w:rsid w:val="008F0E27"/>
    <w:rsid w:val="008F0E2B"/>
    <w:rsid w:val="008F0E33"/>
    <w:rsid w:val="008F0E97"/>
    <w:rsid w:val="008F0EA7"/>
    <w:rsid w:val="008F0EC7"/>
    <w:rsid w:val="008F0ED0"/>
    <w:rsid w:val="008F0F1E"/>
    <w:rsid w:val="008F0F32"/>
    <w:rsid w:val="008F0F3F"/>
    <w:rsid w:val="008F0F67"/>
    <w:rsid w:val="008F0F7F"/>
    <w:rsid w:val="008F0FA5"/>
    <w:rsid w:val="008F0FA6"/>
    <w:rsid w:val="008F0FB3"/>
    <w:rsid w:val="008F0FE0"/>
    <w:rsid w:val="008F100B"/>
    <w:rsid w:val="008F104A"/>
    <w:rsid w:val="008F1073"/>
    <w:rsid w:val="008F10A7"/>
    <w:rsid w:val="008F10AA"/>
    <w:rsid w:val="008F10AB"/>
    <w:rsid w:val="008F10AD"/>
    <w:rsid w:val="008F10E1"/>
    <w:rsid w:val="008F1127"/>
    <w:rsid w:val="008F112C"/>
    <w:rsid w:val="008F115B"/>
    <w:rsid w:val="008F11D3"/>
    <w:rsid w:val="008F127C"/>
    <w:rsid w:val="008F12AC"/>
    <w:rsid w:val="008F12D7"/>
    <w:rsid w:val="008F12EF"/>
    <w:rsid w:val="008F132D"/>
    <w:rsid w:val="008F1388"/>
    <w:rsid w:val="008F13C3"/>
    <w:rsid w:val="008F13F6"/>
    <w:rsid w:val="008F1408"/>
    <w:rsid w:val="008F1444"/>
    <w:rsid w:val="008F149D"/>
    <w:rsid w:val="008F14E8"/>
    <w:rsid w:val="008F14FF"/>
    <w:rsid w:val="008F1509"/>
    <w:rsid w:val="008F1524"/>
    <w:rsid w:val="008F1541"/>
    <w:rsid w:val="008F1577"/>
    <w:rsid w:val="008F1591"/>
    <w:rsid w:val="008F15A1"/>
    <w:rsid w:val="008F16EB"/>
    <w:rsid w:val="008F17CA"/>
    <w:rsid w:val="008F185F"/>
    <w:rsid w:val="008F18AC"/>
    <w:rsid w:val="008F18B3"/>
    <w:rsid w:val="008F1903"/>
    <w:rsid w:val="008F193E"/>
    <w:rsid w:val="008F1A09"/>
    <w:rsid w:val="008F1A35"/>
    <w:rsid w:val="008F1A37"/>
    <w:rsid w:val="008F1A3F"/>
    <w:rsid w:val="008F1A50"/>
    <w:rsid w:val="008F1A6F"/>
    <w:rsid w:val="008F1AF9"/>
    <w:rsid w:val="008F1B17"/>
    <w:rsid w:val="008F1B3A"/>
    <w:rsid w:val="008F1B6A"/>
    <w:rsid w:val="008F1BC7"/>
    <w:rsid w:val="008F1BD4"/>
    <w:rsid w:val="008F1BFC"/>
    <w:rsid w:val="008F1C58"/>
    <w:rsid w:val="008F1C69"/>
    <w:rsid w:val="008F1CB2"/>
    <w:rsid w:val="008F1CBA"/>
    <w:rsid w:val="008F1CC1"/>
    <w:rsid w:val="008F1CE8"/>
    <w:rsid w:val="008F1D2A"/>
    <w:rsid w:val="008F1D38"/>
    <w:rsid w:val="008F1D61"/>
    <w:rsid w:val="008F1D78"/>
    <w:rsid w:val="008F1D7D"/>
    <w:rsid w:val="008F1D95"/>
    <w:rsid w:val="008F1DEF"/>
    <w:rsid w:val="008F1E1D"/>
    <w:rsid w:val="008F1E29"/>
    <w:rsid w:val="008F1E2D"/>
    <w:rsid w:val="008F1E31"/>
    <w:rsid w:val="008F1E4A"/>
    <w:rsid w:val="008F1E88"/>
    <w:rsid w:val="008F1EAC"/>
    <w:rsid w:val="008F1EBB"/>
    <w:rsid w:val="008F1F57"/>
    <w:rsid w:val="008F1F60"/>
    <w:rsid w:val="008F1F6F"/>
    <w:rsid w:val="008F1F94"/>
    <w:rsid w:val="008F1F9D"/>
    <w:rsid w:val="008F1FFA"/>
    <w:rsid w:val="008F200A"/>
    <w:rsid w:val="008F201B"/>
    <w:rsid w:val="008F2037"/>
    <w:rsid w:val="008F203F"/>
    <w:rsid w:val="008F2056"/>
    <w:rsid w:val="008F2068"/>
    <w:rsid w:val="008F2083"/>
    <w:rsid w:val="008F20B7"/>
    <w:rsid w:val="008F20CB"/>
    <w:rsid w:val="008F20CD"/>
    <w:rsid w:val="008F20FB"/>
    <w:rsid w:val="008F2108"/>
    <w:rsid w:val="008F2111"/>
    <w:rsid w:val="008F215D"/>
    <w:rsid w:val="008F2167"/>
    <w:rsid w:val="008F216F"/>
    <w:rsid w:val="008F2187"/>
    <w:rsid w:val="008F218C"/>
    <w:rsid w:val="008F218D"/>
    <w:rsid w:val="008F21C0"/>
    <w:rsid w:val="008F220D"/>
    <w:rsid w:val="008F2242"/>
    <w:rsid w:val="008F22A8"/>
    <w:rsid w:val="008F22C0"/>
    <w:rsid w:val="008F22EC"/>
    <w:rsid w:val="008F22F4"/>
    <w:rsid w:val="008F232B"/>
    <w:rsid w:val="008F2338"/>
    <w:rsid w:val="008F233B"/>
    <w:rsid w:val="008F234A"/>
    <w:rsid w:val="008F2363"/>
    <w:rsid w:val="008F23BA"/>
    <w:rsid w:val="008F23C3"/>
    <w:rsid w:val="008F23D5"/>
    <w:rsid w:val="008F23DD"/>
    <w:rsid w:val="008F23FE"/>
    <w:rsid w:val="008F240B"/>
    <w:rsid w:val="008F2437"/>
    <w:rsid w:val="008F2465"/>
    <w:rsid w:val="008F24CD"/>
    <w:rsid w:val="008F24EC"/>
    <w:rsid w:val="008F24F5"/>
    <w:rsid w:val="008F252B"/>
    <w:rsid w:val="008F2537"/>
    <w:rsid w:val="008F2585"/>
    <w:rsid w:val="008F25BE"/>
    <w:rsid w:val="008F25C2"/>
    <w:rsid w:val="008F25F7"/>
    <w:rsid w:val="008F25FA"/>
    <w:rsid w:val="008F25FC"/>
    <w:rsid w:val="008F260F"/>
    <w:rsid w:val="008F2647"/>
    <w:rsid w:val="008F266C"/>
    <w:rsid w:val="008F2671"/>
    <w:rsid w:val="008F2688"/>
    <w:rsid w:val="008F26BB"/>
    <w:rsid w:val="008F26E8"/>
    <w:rsid w:val="008F26ED"/>
    <w:rsid w:val="008F26F4"/>
    <w:rsid w:val="008F2704"/>
    <w:rsid w:val="008F2715"/>
    <w:rsid w:val="008F2754"/>
    <w:rsid w:val="008F276E"/>
    <w:rsid w:val="008F277A"/>
    <w:rsid w:val="008F2793"/>
    <w:rsid w:val="008F27A6"/>
    <w:rsid w:val="008F27B1"/>
    <w:rsid w:val="008F27EA"/>
    <w:rsid w:val="008F27FC"/>
    <w:rsid w:val="008F2842"/>
    <w:rsid w:val="008F284B"/>
    <w:rsid w:val="008F284C"/>
    <w:rsid w:val="008F28B7"/>
    <w:rsid w:val="008F2924"/>
    <w:rsid w:val="008F2974"/>
    <w:rsid w:val="008F297A"/>
    <w:rsid w:val="008F29B7"/>
    <w:rsid w:val="008F29CE"/>
    <w:rsid w:val="008F29D3"/>
    <w:rsid w:val="008F29F7"/>
    <w:rsid w:val="008F2A05"/>
    <w:rsid w:val="008F2A37"/>
    <w:rsid w:val="008F2A3A"/>
    <w:rsid w:val="008F2A51"/>
    <w:rsid w:val="008F2AA8"/>
    <w:rsid w:val="008F2AE9"/>
    <w:rsid w:val="008F2B14"/>
    <w:rsid w:val="008F2B2A"/>
    <w:rsid w:val="008F2B8E"/>
    <w:rsid w:val="008F2BA4"/>
    <w:rsid w:val="008F2BDF"/>
    <w:rsid w:val="008F2C29"/>
    <w:rsid w:val="008F2C46"/>
    <w:rsid w:val="008F2C68"/>
    <w:rsid w:val="008F2C9C"/>
    <w:rsid w:val="008F2CB2"/>
    <w:rsid w:val="008F2CBE"/>
    <w:rsid w:val="008F2CF3"/>
    <w:rsid w:val="008F2D10"/>
    <w:rsid w:val="008F2D2D"/>
    <w:rsid w:val="008F2D9A"/>
    <w:rsid w:val="008F2DC5"/>
    <w:rsid w:val="008F2E30"/>
    <w:rsid w:val="008F2E33"/>
    <w:rsid w:val="008F2E35"/>
    <w:rsid w:val="008F2E4C"/>
    <w:rsid w:val="008F2E63"/>
    <w:rsid w:val="008F2F3C"/>
    <w:rsid w:val="008F2F47"/>
    <w:rsid w:val="008F2F4E"/>
    <w:rsid w:val="008F2FD8"/>
    <w:rsid w:val="008F3004"/>
    <w:rsid w:val="008F3009"/>
    <w:rsid w:val="008F300F"/>
    <w:rsid w:val="008F304C"/>
    <w:rsid w:val="008F305A"/>
    <w:rsid w:val="008F3067"/>
    <w:rsid w:val="008F3085"/>
    <w:rsid w:val="008F308F"/>
    <w:rsid w:val="008F30A6"/>
    <w:rsid w:val="008F30BE"/>
    <w:rsid w:val="008F30CF"/>
    <w:rsid w:val="008F30D2"/>
    <w:rsid w:val="008F30DE"/>
    <w:rsid w:val="008F3105"/>
    <w:rsid w:val="008F3119"/>
    <w:rsid w:val="008F311E"/>
    <w:rsid w:val="008F313A"/>
    <w:rsid w:val="008F3140"/>
    <w:rsid w:val="008F3162"/>
    <w:rsid w:val="008F317F"/>
    <w:rsid w:val="008F31E7"/>
    <w:rsid w:val="008F31EF"/>
    <w:rsid w:val="008F3202"/>
    <w:rsid w:val="008F3223"/>
    <w:rsid w:val="008F3227"/>
    <w:rsid w:val="008F32EF"/>
    <w:rsid w:val="008F336B"/>
    <w:rsid w:val="008F338F"/>
    <w:rsid w:val="008F33CE"/>
    <w:rsid w:val="008F342C"/>
    <w:rsid w:val="008F3434"/>
    <w:rsid w:val="008F3447"/>
    <w:rsid w:val="008F347C"/>
    <w:rsid w:val="008F3493"/>
    <w:rsid w:val="008F34B5"/>
    <w:rsid w:val="008F34DB"/>
    <w:rsid w:val="008F34E2"/>
    <w:rsid w:val="008F3522"/>
    <w:rsid w:val="008F355E"/>
    <w:rsid w:val="008F3560"/>
    <w:rsid w:val="008F3571"/>
    <w:rsid w:val="008F3586"/>
    <w:rsid w:val="008F3596"/>
    <w:rsid w:val="008F35A4"/>
    <w:rsid w:val="008F35CD"/>
    <w:rsid w:val="008F35CE"/>
    <w:rsid w:val="008F35DB"/>
    <w:rsid w:val="008F35ED"/>
    <w:rsid w:val="008F35F1"/>
    <w:rsid w:val="008F360E"/>
    <w:rsid w:val="008F3648"/>
    <w:rsid w:val="008F3664"/>
    <w:rsid w:val="008F36FE"/>
    <w:rsid w:val="008F371D"/>
    <w:rsid w:val="008F3737"/>
    <w:rsid w:val="008F376E"/>
    <w:rsid w:val="008F3777"/>
    <w:rsid w:val="008F37A1"/>
    <w:rsid w:val="008F37AE"/>
    <w:rsid w:val="008F37EE"/>
    <w:rsid w:val="008F3812"/>
    <w:rsid w:val="008F382D"/>
    <w:rsid w:val="008F38D2"/>
    <w:rsid w:val="008F38D4"/>
    <w:rsid w:val="008F391A"/>
    <w:rsid w:val="008F3980"/>
    <w:rsid w:val="008F39BC"/>
    <w:rsid w:val="008F3A03"/>
    <w:rsid w:val="008F3A15"/>
    <w:rsid w:val="008F3A1A"/>
    <w:rsid w:val="008F3A37"/>
    <w:rsid w:val="008F3A41"/>
    <w:rsid w:val="008F3A56"/>
    <w:rsid w:val="008F3A58"/>
    <w:rsid w:val="008F3A76"/>
    <w:rsid w:val="008F3A77"/>
    <w:rsid w:val="008F3A96"/>
    <w:rsid w:val="008F3AB1"/>
    <w:rsid w:val="008F3B0B"/>
    <w:rsid w:val="008F3B42"/>
    <w:rsid w:val="008F3B88"/>
    <w:rsid w:val="008F3B93"/>
    <w:rsid w:val="008F3BB2"/>
    <w:rsid w:val="008F3C2C"/>
    <w:rsid w:val="008F3C33"/>
    <w:rsid w:val="008F3C4E"/>
    <w:rsid w:val="008F3C77"/>
    <w:rsid w:val="008F3C7A"/>
    <w:rsid w:val="008F3C85"/>
    <w:rsid w:val="008F3C8B"/>
    <w:rsid w:val="008F3CBC"/>
    <w:rsid w:val="008F3CC3"/>
    <w:rsid w:val="008F3D2F"/>
    <w:rsid w:val="008F3D34"/>
    <w:rsid w:val="008F3DC0"/>
    <w:rsid w:val="008F3DE3"/>
    <w:rsid w:val="008F3E17"/>
    <w:rsid w:val="008F3E72"/>
    <w:rsid w:val="008F3E7C"/>
    <w:rsid w:val="008F3E93"/>
    <w:rsid w:val="008F3EA4"/>
    <w:rsid w:val="008F3EE1"/>
    <w:rsid w:val="008F3EE7"/>
    <w:rsid w:val="008F3EEC"/>
    <w:rsid w:val="008F3EEF"/>
    <w:rsid w:val="008F3F9E"/>
    <w:rsid w:val="008F3FAF"/>
    <w:rsid w:val="008F3FB5"/>
    <w:rsid w:val="008F401B"/>
    <w:rsid w:val="008F401D"/>
    <w:rsid w:val="008F4037"/>
    <w:rsid w:val="008F4067"/>
    <w:rsid w:val="008F406B"/>
    <w:rsid w:val="008F4081"/>
    <w:rsid w:val="008F40A2"/>
    <w:rsid w:val="008F40C4"/>
    <w:rsid w:val="008F40D4"/>
    <w:rsid w:val="008F40EB"/>
    <w:rsid w:val="008F4116"/>
    <w:rsid w:val="008F4117"/>
    <w:rsid w:val="008F419B"/>
    <w:rsid w:val="008F41A7"/>
    <w:rsid w:val="008F41A9"/>
    <w:rsid w:val="008F41B8"/>
    <w:rsid w:val="008F41E1"/>
    <w:rsid w:val="008F4229"/>
    <w:rsid w:val="008F4235"/>
    <w:rsid w:val="008F4270"/>
    <w:rsid w:val="008F42B6"/>
    <w:rsid w:val="008F42CB"/>
    <w:rsid w:val="008F433B"/>
    <w:rsid w:val="008F4359"/>
    <w:rsid w:val="008F4377"/>
    <w:rsid w:val="008F4398"/>
    <w:rsid w:val="008F440E"/>
    <w:rsid w:val="008F4419"/>
    <w:rsid w:val="008F4493"/>
    <w:rsid w:val="008F44E9"/>
    <w:rsid w:val="008F44F2"/>
    <w:rsid w:val="008F4588"/>
    <w:rsid w:val="008F458E"/>
    <w:rsid w:val="008F460A"/>
    <w:rsid w:val="008F4623"/>
    <w:rsid w:val="008F4636"/>
    <w:rsid w:val="008F4670"/>
    <w:rsid w:val="008F46B5"/>
    <w:rsid w:val="008F4711"/>
    <w:rsid w:val="008F4739"/>
    <w:rsid w:val="008F4784"/>
    <w:rsid w:val="008F47A6"/>
    <w:rsid w:val="008F47AC"/>
    <w:rsid w:val="008F47ED"/>
    <w:rsid w:val="008F4814"/>
    <w:rsid w:val="008F4854"/>
    <w:rsid w:val="008F487D"/>
    <w:rsid w:val="008F48D8"/>
    <w:rsid w:val="008F492A"/>
    <w:rsid w:val="008F4967"/>
    <w:rsid w:val="008F4993"/>
    <w:rsid w:val="008F49D9"/>
    <w:rsid w:val="008F4A19"/>
    <w:rsid w:val="008F4A69"/>
    <w:rsid w:val="008F4A77"/>
    <w:rsid w:val="008F4A97"/>
    <w:rsid w:val="008F4B1B"/>
    <w:rsid w:val="008F4B26"/>
    <w:rsid w:val="008F4B2E"/>
    <w:rsid w:val="008F4B66"/>
    <w:rsid w:val="008F4B6F"/>
    <w:rsid w:val="008F4BB3"/>
    <w:rsid w:val="008F4BD1"/>
    <w:rsid w:val="008F4C06"/>
    <w:rsid w:val="008F4C26"/>
    <w:rsid w:val="008F4C33"/>
    <w:rsid w:val="008F4C34"/>
    <w:rsid w:val="008F4C48"/>
    <w:rsid w:val="008F4C4B"/>
    <w:rsid w:val="008F4C5B"/>
    <w:rsid w:val="008F4C77"/>
    <w:rsid w:val="008F4CF3"/>
    <w:rsid w:val="008F4CFB"/>
    <w:rsid w:val="008F4D22"/>
    <w:rsid w:val="008F4D7C"/>
    <w:rsid w:val="008F4DA4"/>
    <w:rsid w:val="008F4DAD"/>
    <w:rsid w:val="008F4DB4"/>
    <w:rsid w:val="008F4DE3"/>
    <w:rsid w:val="008F4E5F"/>
    <w:rsid w:val="008F4E8B"/>
    <w:rsid w:val="008F4EA5"/>
    <w:rsid w:val="008F4EBE"/>
    <w:rsid w:val="008F4F40"/>
    <w:rsid w:val="008F4F72"/>
    <w:rsid w:val="008F4FED"/>
    <w:rsid w:val="008F5000"/>
    <w:rsid w:val="008F501B"/>
    <w:rsid w:val="008F508C"/>
    <w:rsid w:val="008F5123"/>
    <w:rsid w:val="008F513F"/>
    <w:rsid w:val="008F515A"/>
    <w:rsid w:val="008F518A"/>
    <w:rsid w:val="008F51A4"/>
    <w:rsid w:val="008F51F0"/>
    <w:rsid w:val="008F520F"/>
    <w:rsid w:val="008F525C"/>
    <w:rsid w:val="008F526A"/>
    <w:rsid w:val="008F527D"/>
    <w:rsid w:val="008F52B3"/>
    <w:rsid w:val="008F52B8"/>
    <w:rsid w:val="008F52C7"/>
    <w:rsid w:val="008F52E4"/>
    <w:rsid w:val="008F5328"/>
    <w:rsid w:val="008F5379"/>
    <w:rsid w:val="008F537F"/>
    <w:rsid w:val="008F53A9"/>
    <w:rsid w:val="008F53C9"/>
    <w:rsid w:val="008F53E7"/>
    <w:rsid w:val="008F53EA"/>
    <w:rsid w:val="008F5439"/>
    <w:rsid w:val="008F5450"/>
    <w:rsid w:val="008F549B"/>
    <w:rsid w:val="008F54ED"/>
    <w:rsid w:val="008F54F1"/>
    <w:rsid w:val="008F54F4"/>
    <w:rsid w:val="008F5505"/>
    <w:rsid w:val="008F5574"/>
    <w:rsid w:val="008F5598"/>
    <w:rsid w:val="008F55C7"/>
    <w:rsid w:val="008F55E3"/>
    <w:rsid w:val="008F561E"/>
    <w:rsid w:val="008F563C"/>
    <w:rsid w:val="008F569F"/>
    <w:rsid w:val="008F56B8"/>
    <w:rsid w:val="008F56F3"/>
    <w:rsid w:val="008F5741"/>
    <w:rsid w:val="008F5757"/>
    <w:rsid w:val="008F57E2"/>
    <w:rsid w:val="008F57E3"/>
    <w:rsid w:val="008F57ED"/>
    <w:rsid w:val="008F583F"/>
    <w:rsid w:val="008F5886"/>
    <w:rsid w:val="008F58B4"/>
    <w:rsid w:val="008F58FF"/>
    <w:rsid w:val="008F5913"/>
    <w:rsid w:val="008F591E"/>
    <w:rsid w:val="008F595F"/>
    <w:rsid w:val="008F598E"/>
    <w:rsid w:val="008F59DE"/>
    <w:rsid w:val="008F59E3"/>
    <w:rsid w:val="008F59F0"/>
    <w:rsid w:val="008F5A00"/>
    <w:rsid w:val="008F5A38"/>
    <w:rsid w:val="008F5A6E"/>
    <w:rsid w:val="008F5A7E"/>
    <w:rsid w:val="008F5A90"/>
    <w:rsid w:val="008F5AC9"/>
    <w:rsid w:val="008F5AEE"/>
    <w:rsid w:val="008F5B08"/>
    <w:rsid w:val="008F5B45"/>
    <w:rsid w:val="008F5B8C"/>
    <w:rsid w:val="008F5BF6"/>
    <w:rsid w:val="008F5C2F"/>
    <w:rsid w:val="008F5C52"/>
    <w:rsid w:val="008F5C59"/>
    <w:rsid w:val="008F5CBD"/>
    <w:rsid w:val="008F5CD8"/>
    <w:rsid w:val="008F5D10"/>
    <w:rsid w:val="008F5D17"/>
    <w:rsid w:val="008F5D28"/>
    <w:rsid w:val="008F5D3E"/>
    <w:rsid w:val="008F5D4F"/>
    <w:rsid w:val="008F5D7C"/>
    <w:rsid w:val="008F5D95"/>
    <w:rsid w:val="008F5DB4"/>
    <w:rsid w:val="008F5DE0"/>
    <w:rsid w:val="008F5DFC"/>
    <w:rsid w:val="008F5E02"/>
    <w:rsid w:val="008F5E08"/>
    <w:rsid w:val="008F5E69"/>
    <w:rsid w:val="008F5E8B"/>
    <w:rsid w:val="008F5E8E"/>
    <w:rsid w:val="008F5EA3"/>
    <w:rsid w:val="008F5EAD"/>
    <w:rsid w:val="008F5ECD"/>
    <w:rsid w:val="008F5F2C"/>
    <w:rsid w:val="008F5F2E"/>
    <w:rsid w:val="008F5F4C"/>
    <w:rsid w:val="008F5FB5"/>
    <w:rsid w:val="008F5FC1"/>
    <w:rsid w:val="008F5FE3"/>
    <w:rsid w:val="008F5FEF"/>
    <w:rsid w:val="008F6039"/>
    <w:rsid w:val="008F6043"/>
    <w:rsid w:val="008F6050"/>
    <w:rsid w:val="008F6082"/>
    <w:rsid w:val="008F6089"/>
    <w:rsid w:val="008F6097"/>
    <w:rsid w:val="008F609C"/>
    <w:rsid w:val="008F60CA"/>
    <w:rsid w:val="008F615A"/>
    <w:rsid w:val="008F617F"/>
    <w:rsid w:val="008F6215"/>
    <w:rsid w:val="008F6240"/>
    <w:rsid w:val="008F6251"/>
    <w:rsid w:val="008F6295"/>
    <w:rsid w:val="008F62A6"/>
    <w:rsid w:val="008F62E4"/>
    <w:rsid w:val="008F6338"/>
    <w:rsid w:val="008F6345"/>
    <w:rsid w:val="008F6353"/>
    <w:rsid w:val="008F6355"/>
    <w:rsid w:val="008F6379"/>
    <w:rsid w:val="008F63B0"/>
    <w:rsid w:val="008F643B"/>
    <w:rsid w:val="008F6457"/>
    <w:rsid w:val="008F648F"/>
    <w:rsid w:val="008F64BB"/>
    <w:rsid w:val="008F64D4"/>
    <w:rsid w:val="008F6524"/>
    <w:rsid w:val="008F654F"/>
    <w:rsid w:val="008F6561"/>
    <w:rsid w:val="008F6572"/>
    <w:rsid w:val="008F6594"/>
    <w:rsid w:val="008F6598"/>
    <w:rsid w:val="008F65B1"/>
    <w:rsid w:val="008F662D"/>
    <w:rsid w:val="008F6646"/>
    <w:rsid w:val="008F6659"/>
    <w:rsid w:val="008F6664"/>
    <w:rsid w:val="008F666E"/>
    <w:rsid w:val="008F672A"/>
    <w:rsid w:val="008F6733"/>
    <w:rsid w:val="008F673F"/>
    <w:rsid w:val="008F6747"/>
    <w:rsid w:val="008F678F"/>
    <w:rsid w:val="008F686C"/>
    <w:rsid w:val="008F6882"/>
    <w:rsid w:val="008F6898"/>
    <w:rsid w:val="008F68D7"/>
    <w:rsid w:val="008F68E1"/>
    <w:rsid w:val="008F6905"/>
    <w:rsid w:val="008F6918"/>
    <w:rsid w:val="008F6949"/>
    <w:rsid w:val="008F6952"/>
    <w:rsid w:val="008F69E3"/>
    <w:rsid w:val="008F6A3C"/>
    <w:rsid w:val="008F6A5F"/>
    <w:rsid w:val="008F6A83"/>
    <w:rsid w:val="008F6A87"/>
    <w:rsid w:val="008F6A89"/>
    <w:rsid w:val="008F6A9C"/>
    <w:rsid w:val="008F6AE3"/>
    <w:rsid w:val="008F6B16"/>
    <w:rsid w:val="008F6B38"/>
    <w:rsid w:val="008F6B95"/>
    <w:rsid w:val="008F6BCB"/>
    <w:rsid w:val="008F6C58"/>
    <w:rsid w:val="008F6C64"/>
    <w:rsid w:val="008F6C69"/>
    <w:rsid w:val="008F6CBC"/>
    <w:rsid w:val="008F6D1D"/>
    <w:rsid w:val="008F6D65"/>
    <w:rsid w:val="008F6D93"/>
    <w:rsid w:val="008F6DB6"/>
    <w:rsid w:val="008F6DC9"/>
    <w:rsid w:val="008F6DE2"/>
    <w:rsid w:val="008F6DE8"/>
    <w:rsid w:val="008F6E13"/>
    <w:rsid w:val="008F6E89"/>
    <w:rsid w:val="008F6FAD"/>
    <w:rsid w:val="008F6FB7"/>
    <w:rsid w:val="008F6FC1"/>
    <w:rsid w:val="008F6FF6"/>
    <w:rsid w:val="008F703B"/>
    <w:rsid w:val="008F704D"/>
    <w:rsid w:val="008F708D"/>
    <w:rsid w:val="008F70AE"/>
    <w:rsid w:val="008F712A"/>
    <w:rsid w:val="008F7131"/>
    <w:rsid w:val="008F7148"/>
    <w:rsid w:val="008F7181"/>
    <w:rsid w:val="008F719E"/>
    <w:rsid w:val="008F71DF"/>
    <w:rsid w:val="008F7210"/>
    <w:rsid w:val="008F7234"/>
    <w:rsid w:val="008F7238"/>
    <w:rsid w:val="008F7257"/>
    <w:rsid w:val="008F72BB"/>
    <w:rsid w:val="008F72BE"/>
    <w:rsid w:val="008F72F3"/>
    <w:rsid w:val="008F7346"/>
    <w:rsid w:val="008F734F"/>
    <w:rsid w:val="008F73CF"/>
    <w:rsid w:val="008F73DE"/>
    <w:rsid w:val="008F73EA"/>
    <w:rsid w:val="008F73F7"/>
    <w:rsid w:val="008F73FB"/>
    <w:rsid w:val="008F7431"/>
    <w:rsid w:val="008F7435"/>
    <w:rsid w:val="008F749E"/>
    <w:rsid w:val="008F74A5"/>
    <w:rsid w:val="008F74B1"/>
    <w:rsid w:val="008F74C2"/>
    <w:rsid w:val="008F74C6"/>
    <w:rsid w:val="008F74F5"/>
    <w:rsid w:val="008F74F7"/>
    <w:rsid w:val="008F74FC"/>
    <w:rsid w:val="008F7513"/>
    <w:rsid w:val="008F755E"/>
    <w:rsid w:val="008F75C4"/>
    <w:rsid w:val="008F760B"/>
    <w:rsid w:val="008F7621"/>
    <w:rsid w:val="008F7634"/>
    <w:rsid w:val="008F7637"/>
    <w:rsid w:val="008F7709"/>
    <w:rsid w:val="008F7727"/>
    <w:rsid w:val="008F773D"/>
    <w:rsid w:val="008F774A"/>
    <w:rsid w:val="008F7750"/>
    <w:rsid w:val="008F7771"/>
    <w:rsid w:val="008F77A2"/>
    <w:rsid w:val="008F77A3"/>
    <w:rsid w:val="008F77C7"/>
    <w:rsid w:val="008F7816"/>
    <w:rsid w:val="008F7824"/>
    <w:rsid w:val="008F7858"/>
    <w:rsid w:val="008F7866"/>
    <w:rsid w:val="008F786E"/>
    <w:rsid w:val="008F786F"/>
    <w:rsid w:val="008F7892"/>
    <w:rsid w:val="008F78A2"/>
    <w:rsid w:val="008F790B"/>
    <w:rsid w:val="008F7984"/>
    <w:rsid w:val="008F79AD"/>
    <w:rsid w:val="008F7A30"/>
    <w:rsid w:val="008F7A3A"/>
    <w:rsid w:val="008F7A74"/>
    <w:rsid w:val="008F7AAB"/>
    <w:rsid w:val="008F7AC3"/>
    <w:rsid w:val="008F7ADE"/>
    <w:rsid w:val="008F7AF8"/>
    <w:rsid w:val="008F7B77"/>
    <w:rsid w:val="008F7BDE"/>
    <w:rsid w:val="008F7C8D"/>
    <w:rsid w:val="008F7C92"/>
    <w:rsid w:val="008F7CA6"/>
    <w:rsid w:val="008F7CCE"/>
    <w:rsid w:val="008F7CD2"/>
    <w:rsid w:val="008F7D02"/>
    <w:rsid w:val="008F7D0A"/>
    <w:rsid w:val="008F7D2C"/>
    <w:rsid w:val="008F7D41"/>
    <w:rsid w:val="008F7D69"/>
    <w:rsid w:val="008F7D8D"/>
    <w:rsid w:val="008F7DAF"/>
    <w:rsid w:val="008F7DBB"/>
    <w:rsid w:val="008F7DEE"/>
    <w:rsid w:val="008F7E47"/>
    <w:rsid w:val="008F7E7B"/>
    <w:rsid w:val="008F7E8F"/>
    <w:rsid w:val="008F7E9E"/>
    <w:rsid w:val="008F7F0A"/>
    <w:rsid w:val="008F7F12"/>
    <w:rsid w:val="008F7F46"/>
    <w:rsid w:val="008F7F8C"/>
    <w:rsid w:val="008F7FAE"/>
    <w:rsid w:val="008F7FE1"/>
    <w:rsid w:val="0090000B"/>
    <w:rsid w:val="00900058"/>
    <w:rsid w:val="00900085"/>
    <w:rsid w:val="00900086"/>
    <w:rsid w:val="009000A0"/>
    <w:rsid w:val="009000BB"/>
    <w:rsid w:val="00900104"/>
    <w:rsid w:val="00900105"/>
    <w:rsid w:val="00900106"/>
    <w:rsid w:val="00900154"/>
    <w:rsid w:val="00900176"/>
    <w:rsid w:val="00900195"/>
    <w:rsid w:val="00900199"/>
    <w:rsid w:val="0090025C"/>
    <w:rsid w:val="0090026D"/>
    <w:rsid w:val="00900286"/>
    <w:rsid w:val="009002AE"/>
    <w:rsid w:val="009002CF"/>
    <w:rsid w:val="009002D3"/>
    <w:rsid w:val="00900333"/>
    <w:rsid w:val="0090037A"/>
    <w:rsid w:val="00900383"/>
    <w:rsid w:val="0090038C"/>
    <w:rsid w:val="0090039B"/>
    <w:rsid w:val="009003D8"/>
    <w:rsid w:val="009003FA"/>
    <w:rsid w:val="00900440"/>
    <w:rsid w:val="00900453"/>
    <w:rsid w:val="00900459"/>
    <w:rsid w:val="0090047C"/>
    <w:rsid w:val="009004D7"/>
    <w:rsid w:val="009004F1"/>
    <w:rsid w:val="009004FF"/>
    <w:rsid w:val="00900518"/>
    <w:rsid w:val="00900550"/>
    <w:rsid w:val="0090059F"/>
    <w:rsid w:val="009005DF"/>
    <w:rsid w:val="009005F6"/>
    <w:rsid w:val="0090060C"/>
    <w:rsid w:val="00900623"/>
    <w:rsid w:val="00900626"/>
    <w:rsid w:val="00900644"/>
    <w:rsid w:val="00900659"/>
    <w:rsid w:val="00900683"/>
    <w:rsid w:val="00900698"/>
    <w:rsid w:val="0090069B"/>
    <w:rsid w:val="009007A1"/>
    <w:rsid w:val="009007E5"/>
    <w:rsid w:val="00900804"/>
    <w:rsid w:val="00900813"/>
    <w:rsid w:val="00900837"/>
    <w:rsid w:val="00900848"/>
    <w:rsid w:val="00900860"/>
    <w:rsid w:val="009008A0"/>
    <w:rsid w:val="009008C5"/>
    <w:rsid w:val="009008DA"/>
    <w:rsid w:val="0090096C"/>
    <w:rsid w:val="00900972"/>
    <w:rsid w:val="00900975"/>
    <w:rsid w:val="009009A7"/>
    <w:rsid w:val="009009AB"/>
    <w:rsid w:val="009009AF"/>
    <w:rsid w:val="009009D3"/>
    <w:rsid w:val="00900A57"/>
    <w:rsid w:val="00900A7F"/>
    <w:rsid w:val="00900AB1"/>
    <w:rsid w:val="00900B25"/>
    <w:rsid w:val="00900B4A"/>
    <w:rsid w:val="00900B51"/>
    <w:rsid w:val="00900B6E"/>
    <w:rsid w:val="00900B9F"/>
    <w:rsid w:val="00900BBF"/>
    <w:rsid w:val="00900BC0"/>
    <w:rsid w:val="00900C1F"/>
    <w:rsid w:val="00900C30"/>
    <w:rsid w:val="00900CA9"/>
    <w:rsid w:val="00900D22"/>
    <w:rsid w:val="00900D2B"/>
    <w:rsid w:val="00900D48"/>
    <w:rsid w:val="00900D7A"/>
    <w:rsid w:val="00900D88"/>
    <w:rsid w:val="00900DB1"/>
    <w:rsid w:val="00900DC3"/>
    <w:rsid w:val="00900DCC"/>
    <w:rsid w:val="00900DFA"/>
    <w:rsid w:val="00900E07"/>
    <w:rsid w:val="00900E1C"/>
    <w:rsid w:val="00900E41"/>
    <w:rsid w:val="00900E65"/>
    <w:rsid w:val="00900E71"/>
    <w:rsid w:val="00900EC4"/>
    <w:rsid w:val="00900ECA"/>
    <w:rsid w:val="00900F01"/>
    <w:rsid w:val="00900F29"/>
    <w:rsid w:val="00900FDE"/>
    <w:rsid w:val="00901021"/>
    <w:rsid w:val="0090104F"/>
    <w:rsid w:val="0090105A"/>
    <w:rsid w:val="0090106E"/>
    <w:rsid w:val="009010BE"/>
    <w:rsid w:val="009010DD"/>
    <w:rsid w:val="009010F2"/>
    <w:rsid w:val="00901131"/>
    <w:rsid w:val="0090118A"/>
    <w:rsid w:val="009011A3"/>
    <w:rsid w:val="009011A8"/>
    <w:rsid w:val="009011CC"/>
    <w:rsid w:val="0090125A"/>
    <w:rsid w:val="009012D4"/>
    <w:rsid w:val="0090137D"/>
    <w:rsid w:val="0090138C"/>
    <w:rsid w:val="009013AA"/>
    <w:rsid w:val="009013CF"/>
    <w:rsid w:val="009013E5"/>
    <w:rsid w:val="009013FD"/>
    <w:rsid w:val="0090142B"/>
    <w:rsid w:val="0090142F"/>
    <w:rsid w:val="00901437"/>
    <w:rsid w:val="0090144E"/>
    <w:rsid w:val="0090145F"/>
    <w:rsid w:val="00901483"/>
    <w:rsid w:val="0090149D"/>
    <w:rsid w:val="009014C7"/>
    <w:rsid w:val="009014D5"/>
    <w:rsid w:val="009014EC"/>
    <w:rsid w:val="009014F5"/>
    <w:rsid w:val="00901529"/>
    <w:rsid w:val="00901533"/>
    <w:rsid w:val="00901567"/>
    <w:rsid w:val="00901580"/>
    <w:rsid w:val="00901587"/>
    <w:rsid w:val="0090158A"/>
    <w:rsid w:val="009015AD"/>
    <w:rsid w:val="009015BA"/>
    <w:rsid w:val="009015C2"/>
    <w:rsid w:val="009015CC"/>
    <w:rsid w:val="009015E9"/>
    <w:rsid w:val="009015F1"/>
    <w:rsid w:val="00901613"/>
    <w:rsid w:val="00901626"/>
    <w:rsid w:val="00901637"/>
    <w:rsid w:val="00901641"/>
    <w:rsid w:val="00901669"/>
    <w:rsid w:val="00901685"/>
    <w:rsid w:val="009016D7"/>
    <w:rsid w:val="009016FF"/>
    <w:rsid w:val="0090170E"/>
    <w:rsid w:val="00901720"/>
    <w:rsid w:val="00901724"/>
    <w:rsid w:val="00901732"/>
    <w:rsid w:val="00901733"/>
    <w:rsid w:val="00901783"/>
    <w:rsid w:val="00901799"/>
    <w:rsid w:val="0090179C"/>
    <w:rsid w:val="009017B6"/>
    <w:rsid w:val="009017C1"/>
    <w:rsid w:val="009018A0"/>
    <w:rsid w:val="009018A5"/>
    <w:rsid w:val="009018C4"/>
    <w:rsid w:val="00901917"/>
    <w:rsid w:val="0090194E"/>
    <w:rsid w:val="00901955"/>
    <w:rsid w:val="00901960"/>
    <w:rsid w:val="0090196A"/>
    <w:rsid w:val="00901982"/>
    <w:rsid w:val="009019DF"/>
    <w:rsid w:val="009019F8"/>
    <w:rsid w:val="009019FE"/>
    <w:rsid w:val="00901A68"/>
    <w:rsid w:val="00901A6E"/>
    <w:rsid w:val="00901A98"/>
    <w:rsid w:val="00901AF1"/>
    <w:rsid w:val="00901B0C"/>
    <w:rsid w:val="00901B23"/>
    <w:rsid w:val="00901B51"/>
    <w:rsid w:val="00901B8F"/>
    <w:rsid w:val="00901BF4"/>
    <w:rsid w:val="00901BF6"/>
    <w:rsid w:val="00901C03"/>
    <w:rsid w:val="00901C0A"/>
    <w:rsid w:val="00901C10"/>
    <w:rsid w:val="00901C13"/>
    <w:rsid w:val="00901C17"/>
    <w:rsid w:val="00901C1A"/>
    <w:rsid w:val="00901C32"/>
    <w:rsid w:val="00901C4F"/>
    <w:rsid w:val="00901C58"/>
    <w:rsid w:val="00901C83"/>
    <w:rsid w:val="00901C85"/>
    <w:rsid w:val="00901CB3"/>
    <w:rsid w:val="00901CC0"/>
    <w:rsid w:val="00901CED"/>
    <w:rsid w:val="00901CF7"/>
    <w:rsid w:val="00901D4C"/>
    <w:rsid w:val="00901D51"/>
    <w:rsid w:val="00901D63"/>
    <w:rsid w:val="00901D66"/>
    <w:rsid w:val="00901D94"/>
    <w:rsid w:val="00901D9C"/>
    <w:rsid w:val="00901DC1"/>
    <w:rsid w:val="00901DED"/>
    <w:rsid w:val="00901E33"/>
    <w:rsid w:val="00901E8B"/>
    <w:rsid w:val="00901EA7"/>
    <w:rsid w:val="00901EB2"/>
    <w:rsid w:val="00901EC0"/>
    <w:rsid w:val="00901F08"/>
    <w:rsid w:val="00901F18"/>
    <w:rsid w:val="00901F1A"/>
    <w:rsid w:val="00901F3B"/>
    <w:rsid w:val="00901F59"/>
    <w:rsid w:val="00901F78"/>
    <w:rsid w:val="00901F82"/>
    <w:rsid w:val="00901FC6"/>
    <w:rsid w:val="00901FED"/>
    <w:rsid w:val="00902013"/>
    <w:rsid w:val="009020AD"/>
    <w:rsid w:val="009020E3"/>
    <w:rsid w:val="00902150"/>
    <w:rsid w:val="0090217D"/>
    <w:rsid w:val="009021E9"/>
    <w:rsid w:val="00902203"/>
    <w:rsid w:val="00902236"/>
    <w:rsid w:val="00902242"/>
    <w:rsid w:val="00902264"/>
    <w:rsid w:val="0090228C"/>
    <w:rsid w:val="009022AA"/>
    <w:rsid w:val="009022B0"/>
    <w:rsid w:val="009022CF"/>
    <w:rsid w:val="009022D6"/>
    <w:rsid w:val="009022DE"/>
    <w:rsid w:val="009022EC"/>
    <w:rsid w:val="00902301"/>
    <w:rsid w:val="00902308"/>
    <w:rsid w:val="0090236B"/>
    <w:rsid w:val="0090239B"/>
    <w:rsid w:val="009023B1"/>
    <w:rsid w:val="009023BF"/>
    <w:rsid w:val="00902414"/>
    <w:rsid w:val="0090242E"/>
    <w:rsid w:val="00902463"/>
    <w:rsid w:val="009024A5"/>
    <w:rsid w:val="009024FB"/>
    <w:rsid w:val="009024FE"/>
    <w:rsid w:val="0090250A"/>
    <w:rsid w:val="009025CF"/>
    <w:rsid w:val="009025D3"/>
    <w:rsid w:val="009025D7"/>
    <w:rsid w:val="009025D9"/>
    <w:rsid w:val="009025DC"/>
    <w:rsid w:val="0090260A"/>
    <w:rsid w:val="00902624"/>
    <w:rsid w:val="0090263E"/>
    <w:rsid w:val="00902647"/>
    <w:rsid w:val="0090269D"/>
    <w:rsid w:val="0090269E"/>
    <w:rsid w:val="009026E3"/>
    <w:rsid w:val="009026E6"/>
    <w:rsid w:val="00902766"/>
    <w:rsid w:val="0090278F"/>
    <w:rsid w:val="00902794"/>
    <w:rsid w:val="009027C3"/>
    <w:rsid w:val="009027C9"/>
    <w:rsid w:val="009027E4"/>
    <w:rsid w:val="0090282B"/>
    <w:rsid w:val="0090283A"/>
    <w:rsid w:val="00902863"/>
    <w:rsid w:val="00902865"/>
    <w:rsid w:val="00902883"/>
    <w:rsid w:val="009028A4"/>
    <w:rsid w:val="009028EF"/>
    <w:rsid w:val="009028F0"/>
    <w:rsid w:val="00902929"/>
    <w:rsid w:val="00902931"/>
    <w:rsid w:val="00902A21"/>
    <w:rsid w:val="00902A4B"/>
    <w:rsid w:val="00902A93"/>
    <w:rsid w:val="00902AD8"/>
    <w:rsid w:val="00902AE5"/>
    <w:rsid w:val="00902B0A"/>
    <w:rsid w:val="00902B1E"/>
    <w:rsid w:val="00902B23"/>
    <w:rsid w:val="00902B24"/>
    <w:rsid w:val="00902B37"/>
    <w:rsid w:val="00902B4D"/>
    <w:rsid w:val="00902B7A"/>
    <w:rsid w:val="00902B81"/>
    <w:rsid w:val="00902BBC"/>
    <w:rsid w:val="00902C00"/>
    <w:rsid w:val="00902C52"/>
    <w:rsid w:val="00902C72"/>
    <w:rsid w:val="00902CA5"/>
    <w:rsid w:val="00902CD5"/>
    <w:rsid w:val="00902D00"/>
    <w:rsid w:val="00902D72"/>
    <w:rsid w:val="00902D7C"/>
    <w:rsid w:val="00902D95"/>
    <w:rsid w:val="00902DA5"/>
    <w:rsid w:val="00902DCC"/>
    <w:rsid w:val="00902DE8"/>
    <w:rsid w:val="00902E0D"/>
    <w:rsid w:val="00902E5A"/>
    <w:rsid w:val="00902E6C"/>
    <w:rsid w:val="00902E7D"/>
    <w:rsid w:val="00902EA5"/>
    <w:rsid w:val="00902EF3"/>
    <w:rsid w:val="00902EFA"/>
    <w:rsid w:val="00902F9A"/>
    <w:rsid w:val="00902FBD"/>
    <w:rsid w:val="00902FFE"/>
    <w:rsid w:val="00903007"/>
    <w:rsid w:val="0090302F"/>
    <w:rsid w:val="00903043"/>
    <w:rsid w:val="0090304C"/>
    <w:rsid w:val="0090309B"/>
    <w:rsid w:val="009030E2"/>
    <w:rsid w:val="00903106"/>
    <w:rsid w:val="00903110"/>
    <w:rsid w:val="00903137"/>
    <w:rsid w:val="00903155"/>
    <w:rsid w:val="00903201"/>
    <w:rsid w:val="0090323C"/>
    <w:rsid w:val="0090327A"/>
    <w:rsid w:val="009032A4"/>
    <w:rsid w:val="009032B9"/>
    <w:rsid w:val="009032E7"/>
    <w:rsid w:val="00903354"/>
    <w:rsid w:val="00903395"/>
    <w:rsid w:val="009033A1"/>
    <w:rsid w:val="009033B5"/>
    <w:rsid w:val="0090344E"/>
    <w:rsid w:val="0090348B"/>
    <w:rsid w:val="00903496"/>
    <w:rsid w:val="00903497"/>
    <w:rsid w:val="009034F0"/>
    <w:rsid w:val="0090350C"/>
    <w:rsid w:val="00903546"/>
    <w:rsid w:val="00903558"/>
    <w:rsid w:val="00903577"/>
    <w:rsid w:val="0090360C"/>
    <w:rsid w:val="00903648"/>
    <w:rsid w:val="00903674"/>
    <w:rsid w:val="00903696"/>
    <w:rsid w:val="0090369F"/>
    <w:rsid w:val="009036A0"/>
    <w:rsid w:val="009036CC"/>
    <w:rsid w:val="009036DC"/>
    <w:rsid w:val="00903703"/>
    <w:rsid w:val="00903720"/>
    <w:rsid w:val="0090374D"/>
    <w:rsid w:val="00903758"/>
    <w:rsid w:val="0090377D"/>
    <w:rsid w:val="0090377F"/>
    <w:rsid w:val="00903782"/>
    <w:rsid w:val="009037B2"/>
    <w:rsid w:val="009037C6"/>
    <w:rsid w:val="009037D8"/>
    <w:rsid w:val="009037F4"/>
    <w:rsid w:val="00903813"/>
    <w:rsid w:val="00903827"/>
    <w:rsid w:val="00903889"/>
    <w:rsid w:val="009038B0"/>
    <w:rsid w:val="009038E7"/>
    <w:rsid w:val="00903904"/>
    <w:rsid w:val="00903916"/>
    <w:rsid w:val="00903946"/>
    <w:rsid w:val="00903968"/>
    <w:rsid w:val="009039AD"/>
    <w:rsid w:val="009039E6"/>
    <w:rsid w:val="009039FC"/>
    <w:rsid w:val="00903A2C"/>
    <w:rsid w:val="00903A76"/>
    <w:rsid w:val="00903A79"/>
    <w:rsid w:val="00903AE2"/>
    <w:rsid w:val="00903B0B"/>
    <w:rsid w:val="00903B33"/>
    <w:rsid w:val="00903B3D"/>
    <w:rsid w:val="00903B58"/>
    <w:rsid w:val="00903B5E"/>
    <w:rsid w:val="00903B89"/>
    <w:rsid w:val="00903BA8"/>
    <w:rsid w:val="00903BBD"/>
    <w:rsid w:val="00903BF6"/>
    <w:rsid w:val="00903C18"/>
    <w:rsid w:val="00903C55"/>
    <w:rsid w:val="00903C65"/>
    <w:rsid w:val="00903CB9"/>
    <w:rsid w:val="00903CE5"/>
    <w:rsid w:val="00903D17"/>
    <w:rsid w:val="00903D2E"/>
    <w:rsid w:val="00903D38"/>
    <w:rsid w:val="00903D5F"/>
    <w:rsid w:val="00903DAD"/>
    <w:rsid w:val="00903DBB"/>
    <w:rsid w:val="00903DBD"/>
    <w:rsid w:val="00903DC5"/>
    <w:rsid w:val="00903DCC"/>
    <w:rsid w:val="00903DE1"/>
    <w:rsid w:val="00903DE8"/>
    <w:rsid w:val="00903DFB"/>
    <w:rsid w:val="00903E2C"/>
    <w:rsid w:val="00903E30"/>
    <w:rsid w:val="00903E34"/>
    <w:rsid w:val="00903E51"/>
    <w:rsid w:val="00903E9D"/>
    <w:rsid w:val="00903EB4"/>
    <w:rsid w:val="00903F08"/>
    <w:rsid w:val="00903F25"/>
    <w:rsid w:val="00903F5D"/>
    <w:rsid w:val="00903F9F"/>
    <w:rsid w:val="00903FB6"/>
    <w:rsid w:val="00903FF9"/>
    <w:rsid w:val="0090400B"/>
    <w:rsid w:val="0090404A"/>
    <w:rsid w:val="00904058"/>
    <w:rsid w:val="0090406C"/>
    <w:rsid w:val="009040A9"/>
    <w:rsid w:val="009040E2"/>
    <w:rsid w:val="00904148"/>
    <w:rsid w:val="00904151"/>
    <w:rsid w:val="0090420C"/>
    <w:rsid w:val="00904212"/>
    <w:rsid w:val="00904245"/>
    <w:rsid w:val="0090424A"/>
    <w:rsid w:val="009042C1"/>
    <w:rsid w:val="009042DA"/>
    <w:rsid w:val="009042ED"/>
    <w:rsid w:val="0090433D"/>
    <w:rsid w:val="0090439C"/>
    <w:rsid w:val="009043AD"/>
    <w:rsid w:val="009043D4"/>
    <w:rsid w:val="009043DC"/>
    <w:rsid w:val="009043E5"/>
    <w:rsid w:val="009043FC"/>
    <w:rsid w:val="009043FD"/>
    <w:rsid w:val="0090440E"/>
    <w:rsid w:val="0090441C"/>
    <w:rsid w:val="00904426"/>
    <w:rsid w:val="0090442B"/>
    <w:rsid w:val="009044A4"/>
    <w:rsid w:val="009044D9"/>
    <w:rsid w:val="0090450F"/>
    <w:rsid w:val="0090451C"/>
    <w:rsid w:val="00904537"/>
    <w:rsid w:val="00904550"/>
    <w:rsid w:val="00904571"/>
    <w:rsid w:val="00904575"/>
    <w:rsid w:val="00904591"/>
    <w:rsid w:val="0090459D"/>
    <w:rsid w:val="009045AA"/>
    <w:rsid w:val="009045BE"/>
    <w:rsid w:val="009045EA"/>
    <w:rsid w:val="0090462C"/>
    <w:rsid w:val="0090467D"/>
    <w:rsid w:val="00904688"/>
    <w:rsid w:val="0090469C"/>
    <w:rsid w:val="009046B3"/>
    <w:rsid w:val="009046FC"/>
    <w:rsid w:val="00904719"/>
    <w:rsid w:val="0090475E"/>
    <w:rsid w:val="009047CB"/>
    <w:rsid w:val="009047D4"/>
    <w:rsid w:val="009047E2"/>
    <w:rsid w:val="009047F9"/>
    <w:rsid w:val="00904838"/>
    <w:rsid w:val="00904866"/>
    <w:rsid w:val="00904870"/>
    <w:rsid w:val="00904894"/>
    <w:rsid w:val="009048AB"/>
    <w:rsid w:val="009048C7"/>
    <w:rsid w:val="0090493B"/>
    <w:rsid w:val="00904979"/>
    <w:rsid w:val="009049E2"/>
    <w:rsid w:val="00904A05"/>
    <w:rsid w:val="00904A09"/>
    <w:rsid w:val="00904A0A"/>
    <w:rsid w:val="00904A0B"/>
    <w:rsid w:val="00904A14"/>
    <w:rsid w:val="00904A3A"/>
    <w:rsid w:val="00904A71"/>
    <w:rsid w:val="00904A75"/>
    <w:rsid w:val="00904A76"/>
    <w:rsid w:val="00904AB1"/>
    <w:rsid w:val="00904B12"/>
    <w:rsid w:val="00904B42"/>
    <w:rsid w:val="00904B61"/>
    <w:rsid w:val="00904B68"/>
    <w:rsid w:val="00904B8C"/>
    <w:rsid w:val="00904BC2"/>
    <w:rsid w:val="00904BF2"/>
    <w:rsid w:val="00904C8D"/>
    <w:rsid w:val="00904CAC"/>
    <w:rsid w:val="00904CC2"/>
    <w:rsid w:val="00904CF3"/>
    <w:rsid w:val="00904D36"/>
    <w:rsid w:val="00904D3B"/>
    <w:rsid w:val="00904D4B"/>
    <w:rsid w:val="00904D5B"/>
    <w:rsid w:val="00904D91"/>
    <w:rsid w:val="00904D9E"/>
    <w:rsid w:val="00904DC1"/>
    <w:rsid w:val="00904DDE"/>
    <w:rsid w:val="00904DE1"/>
    <w:rsid w:val="00904E02"/>
    <w:rsid w:val="00904E52"/>
    <w:rsid w:val="00904E5C"/>
    <w:rsid w:val="00904E7D"/>
    <w:rsid w:val="00904EA3"/>
    <w:rsid w:val="00904EAB"/>
    <w:rsid w:val="00904EBB"/>
    <w:rsid w:val="00904EE3"/>
    <w:rsid w:val="00904F43"/>
    <w:rsid w:val="00904F8B"/>
    <w:rsid w:val="00904FA6"/>
    <w:rsid w:val="00904FE8"/>
    <w:rsid w:val="00905024"/>
    <w:rsid w:val="0090502A"/>
    <w:rsid w:val="00905035"/>
    <w:rsid w:val="00905051"/>
    <w:rsid w:val="0090505F"/>
    <w:rsid w:val="0090507E"/>
    <w:rsid w:val="0090509E"/>
    <w:rsid w:val="009050A8"/>
    <w:rsid w:val="00905137"/>
    <w:rsid w:val="00905145"/>
    <w:rsid w:val="00905176"/>
    <w:rsid w:val="00905190"/>
    <w:rsid w:val="00905214"/>
    <w:rsid w:val="00905251"/>
    <w:rsid w:val="00905265"/>
    <w:rsid w:val="009052B1"/>
    <w:rsid w:val="009052B8"/>
    <w:rsid w:val="00905342"/>
    <w:rsid w:val="00905352"/>
    <w:rsid w:val="0090538D"/>
    <w:rsid w:val="0090538F"/>
    <w:rsid w:val="00905394"/>
    <w:rsid w:val="0090539F"/>
    <w:rsid w:val="0090545A"/>
    <w:rsid w:val="009054D0"/>
    <w:rsid w:val="0090552C"/>
    <w:rsid w:val="00905569"/>
    <w:rsid w:val="009055AC"/>
    <w:rsid w:val="009055F4"/>
    <w:rsid w:val="00905625"/>
    <w:rsid w:val="0090562C"/>
    <w:rsid w:val="00905676"/>
    <w:rsid w:val="009056A8"/>
    <w:rsid w:val="009056B8"/>
    <w:rsid w:val="009056ED"/>
    <w:rsid w:val="00905707"/>
    <w:rsid w:val="0090573E"/>
    <w:rsid w:val="0090574F"/>
    <w:rsid w:val="0090580F"/>
    <w:rsid w:val="00905814"/>
    <w:rsid w:val="00905824"/>
    <w:rsid w:val="00905834"/>
    <w:rsid w:val="00905962"/>
    <w:rsid w:val="00905975"/>
    <w:rsid w:val="009059C0"/>
    <w:rsid w:val="009059D0"/>
    <w:rsid w:val="00905A12"/>
    <w:rsid w:val="00905A13"/>
    <w:rsid w:val="00905A14"/>
    <w:rsid w:val="00905A3D"/>
    <w:rsid w:val="00905A4B"/>
    <w:rsid w:val="00905A58"/>
    <w:rsid w:val="00905A76"/>
    <w:rsid w:val="00905AE8"/>
    <w:rsid w:val="00905B19"/>
    <w:rsid w:val="00905B2E"/>
    <w:rsid w:val="00905BB9"/>
    <w:rsid w:val="00905BEB"/>
    <w:rsid w:val="00905C13"/>
    <w:rsid w:val="00905C2A"/>
    <w:rsid w:val="00905C6F"/>
    <w:rsid w:val="00905C95"/>
    <w:rsid w:val="00905D0A"/>
    <w:rsid w:val="00905D21"/>
    <w:rsid w:val="00905D38"/>
    <w:rsid w:val="00905D57"/>
    <w:rsid w:val="00905DAD"/>
    <w:rsid w:val="00905E3C"/>
    <w:rsid w:val="00905E8A"/>
    <w:rsid w:val="00905EB1"/>
    <w:rsid w:val="00905EB8"/>
    <w:rsid w:val="00905EEF"/>
    <w:rsid w:val="00905EF6"/>
    <w:rsid w:val="00905EF9"/>
    <w:rsid w:val="00905F08"/>
    <w:rsid w:val="00905F29"/>
    <w:rsid w:val="00905F47"/>
    <w:rsid w:val="00905F6F"/>
    <w:rsid w:val="00905F70"/>
    <w:rsid w:val="00905F78"/>
    <w:rsid w:val="00905FC6"/>
    <w:rsid w:val="00905FC9"/>
    <w:rsid w:val="00905FD5"/>
    <w:rsid w:val="00906012"/>
    <w:rsid w:val="0090602C"/>
    <w:rsid w:val="0090602D"/>
    <w:rsid w:val="00906067"/>
    <w:rsid w:val="009060B5"/>
    <w:rsid w:val="009060F3"/>
    <w:rsid w:val="00906117"/>
    <w:rsid w:val="00906129"/>
    <w:rsid w:val="0090619E"/>
    <w:rsid w:val="009061AF"/>
    <w:rsid w:val="009061D7"/>
    <w:rsid w:val="009061D8"/>
    <w:rsid w:val="009061DF"/>
    <w:rsid w:val="0090621E"/>
    <w:rsid w:val="00906247"/>
    <w:rsid w:val="0090624C"/>
    <w:rsid w:val="0090626B"/>
    <w:rsid w:val="0090627E"/>
    <w:rsid w:val="009062D6"/>
    <w:rsid w:val="00906336"/>
    <w:rsid w:val="0090635F"/>
    <w:rsid w:val="0090638C"/>
    <w:rsid w:val="0090639E"/>
    <w:rsid w:val="009063FD"/>
    <w:rsid w:val="0090643E"/>
    <w:rsid w:val="00906460"/>
    <w:rsid w:val="0090648B"/>
    <w:rsid w:val="009064B1"/>
    <w:rsid w:val="009064C6"/>
    <w:rsid w:val="009064E2"/>
    <w:rsid w:val="00906502"/>
    <w:rsid w:val="0090650D"/>
    <w:rsid w:val="00906522"/>
    <w:rsid w:val="00906523"/>
    <w:rsid w:val="00906527"/>
    <w:rsid w:val="00906538"/>
    <w:rsid w:val="009065D1"/>
    <w:rsid w:val="009065E1"/>
    <w:rsid w:val="009065E3"/>
    <w:rsid w:val="0090660F"/>
    <w:rsid w:val="0090663F"/>
    <w:rsid w:val="009066F1"/>
    <w:rsid w:val="00906703"/>
    <w:rsid w:val="00906707"/>
    <w:rsid w:val="00906721"/>
    <w:rsid w:val="0090672F"/>
    <w:rsid w:val="0090674A"/>
    <w:rsid w:val="00906762"/>
    <w:rsid w:val="0090678D"/>
    <w:rsid w:val="00906833"/>
    <w:rsid w:val="0090683C"/>
    <w:rsid w:val="00906882"/>
    <w:rsid w:val="0090689F"/>
    <w:rsid w:val="009068A3"/>
    <w:rsid w:val="009068DB"/>
    <w:rsid w:val="00906915"/>
    <w:rsid w:val="0090695A"/>
    <w:rsid w:val="009069AB"/>
    <w:rsid w:val="00906A03"/>
    <w:rsid w:val="00906A0C"/>
    <w:rsid w:val="00906A0F"/>
    <w:rsid w:val="00906A12"/>
    <w:rsid w:val="00906A1B"/>
    <w:rsid w:val="00906A5F"/>
    <w:rsid w:val="00906A88"/>
    <w:rsid w:val="00906AAB"/>
    <w:rsid w:val="00906AF6"/>
    <w:rsid w:val="00906B4B"/>
    <w:rsid w:val="00906BBE"/>
    <w:rsid w:val="00906BE6"/>
    <w:rsid w:val="00906BFA"/>
    <w:rsid w:val="00906C29"/>
    <w:rsid w:val="00906C49"/>
    <w:rsid w:val="00906C5D"/>
    <w:rsid w:val="00906C9C"/>
    <w:rsid w:val="00906CA6"/>
    <w:rsid w:val="00906CC5"/>
    <w:rsid w:val="00906CE4"/>
    <w:rsid w:val="00906D0E"/>
    <w:rsid w:val="00906D28"/>
    <w:rsid w:val="00906D40"/>
    <w:rsid w:val="00906DAF"/>
    <w:rsid w:val="00906DB2"/>
    <w:rsid w:val="00906DD4"/>
    <w:rsid w:val="00906DF0"/>
    <w:rsid w:val="00906DF9"/>
    <w:rsid w:val="00906E25"/>
    <w:rsid w:val="00906E37"/>
    <w:rsid w:val="00906E51"/>
    <w:rsid w:val="00906E6E"/>
    <w:rsid w:val="00906E95"/>
    <w:rsid w:val="00906EB5"/>
    <w:rsid w:val="00906ED2"/>
    <w:rsid w:val="00906EED"/>
    <w:rsid w:val="00906F7B"/>
    <w:rsid w:val="00906F8D"/>
    <w:rsid w:val="00907041"/>
    <w:rsid w:val="0090704B"/>
    <w:rsid w:val="00907074"/>
    <w:rsid w:val="0090707D"/>
    <w:rsid w:val="009070A9"/>
    <w:rsid w:val="009070B1"/>
    <w:rsid w:val="009070D2"/>
    <w:rsid w:val="009070E4"/>
    <w:rsid w:val="00907102"/>
    <w:rsid w:val="0090710B"/>
    <w:rsid w:val="00907144"/>
    <w:rsid w:val="0090716C"/>
    <w:rsid w:val="00907215"/>
    <w:rsid w:val="0090721C"/>
    <w:rsid w:val="0090723E"/>
    <w:rsid w:val="0090723F"/>
    <w:rsid w:val="009072A2"/>
    <w:rsid w:val="00907308"/>
    <w:rsid w:val="0090730B"/>
    <w:rsid w:val="0090732A"/>
    <w:rsid w:val="0090732B"/>
    <w:rsid w:val="009073AF"/>
    <w:rsid w:val="00907406"/>
    <w:rsid w:val="0090740A"/>
    <w:rsid w:val="00907411"/>
    <w:rsid w:val="00907426"/>
    <w:rsid w:val="00907459"/>
    <w:rsid w:val="009074B5"/>
    <w:rsid w:val="009074D2"/>
    <w:rsid w:val="009074D5"/>
    <w:rsid w:val="009074EF"/>
    <w:rsid w:val="009074F2"/>
    <w:rsid w:val="00907500"/>
    <w:rsid w:val="00907512"/>
    <w:rsid w:val="0090751A"/>
    <w:rsid w:val="00907583"/>
    <w:rsid w:val="009075AC"/>
    <w:rsid w:val="009075BF"/>
    <w:rsid w:val="009075C3"/>
    <w:rsid w:val="009075CB"/>
    <w:rsid w:val="00907614"/>
    <w:rsid w:val="00907619"/>
    <w:rsid w:val="0090761A"/>
    <w:rsid w:val="00907654"/>
    <w:rsid w:val="00907657"/>
    <w:rsid w:val="009076A6"/>
    <w:rsid w:val="009076EB"/>
    <w:rsid w:val="009076FC"/>
    <w:rsid w:val="009076FD"/>
    <w:rsid w:val="0090773A"/>
    <w:rsid w:val="00907816"/>
    <w:rsid w:val="0090781D"/>
    <w:rsid w:val="00907834"/>
    <w:rsid w:val="00907844"/>
    <w:rsid w:val="00907892"/>
    <w:rsid w:val="009078EC"/>
    <w:rsid w:val="009078F1"/>
    <w:rsid w:val="0090793B"/>
    <w:rsid w:val="00907949"/>
    <w:rsid w:val="0090795F"/>
    <w:rsid w:val="0090798C"/>
    <w:rsid w:val="00907999"/>
    <w:rsid w:val="009079E9"/>
    <w:rsid w:val="00907A05"/>
    <w:rsid w:val="00907A1A"/>
    <w:rsid w:val="00907A61"/>
    <w:rsid w:val="00907A71"/>
    <w:rsid w:val="00907ACA"/>
    <w:rsid w:val="00907AE4"/>
    <w:rsid w:val="00907B0B"/>
    <w:rsid w:val="00907B19"/>
    <w:rsid w:val="00907B30"/>
    <w:rsid w:val="00907B37"/>
    <w:rsid w:val="00907B4A"/>
    <w:rsid w:val="00907BAE"/>
    <w:rsid w:val="00907BB6"/>
    <w:rsid w:val="00907BB9"/>
    <w:rsid w:val="00907BC3"/>
    <w:rsid w:val="00907BE1"/>
    <w:rsid w:val="00907BEF"/>
    <w:rsid w:val="00907C50"/>
    <w:rsid w:val="00907C6E"/>
    <w:rsid w:val="00907C99"/>
    <w:rsid w:val="00907CAB"/>
    <w:rsid w:val="00907CC7"/>
    <w:rsid w:val="00907D14"/>
    <w:rsid w:val="00907D62"/>
    <w:rsid w:val="00907D82"/>
    <w:rsid w:val="00907DA2"/>
    <w:rsid w:val="00907DC7"/>
    <w:rsid w:val="00907DDC"/>
    <w:rsid w:val="00907DEF"/>
    <w:rsid w:val="00907DF7"/>
    <w:rsid w:val="00907DFD"/>
    <w:rsid w:val="00907E22"/>
    <w:rsid w:val="00907E3C"/>
    <w:rsid w:val="00907E76"/>
    <w:rsid w:val="00907E84"/>
    <w:rsid w:val="00907EE2"/>
    <w:rsid w:val="00907F02"/>
    <w:rsid w:val="00907F04"/>
    <w:rsid w:val="00907F12"/>
    <w:rsid w:val="00907F1A"/>
    <w:rsid w:val="00907F22"/>
    <w:rsid w:val="00907F88"/>
    <w:rsid w:val="00910013"/>
    <w:rsid w:val="00910025"/>
    <w:rsid w:val="00910037"/>
    <w:rsid w:val="009100BE"/>
    <w:rsid w:val="009100C8"/>
    <w:rsid w:val="009100CC"/>
    <w:rsid w:val="009100EF"/>
    <w:rsid w:val="00910136"/>
    <w:rsid w:val="00910163"/>
    <w:rsid w:val="009101FB"/>
    <w:rsid w:val="0091020B"/>
    <w:rsid w:val="00910210"/>
    <w:rsid w:val="00910219"/>
    <w:rsid w:val="00910299"/>
    <w:rsid w:val="0091029C"/>
    <w:rsid w:val="009102A8"/>
    <w:rsid w:val="00910379"/>
    <w:rsid w:val="0091037A"/>
    <w:rsid w:val="009103D1"/>
    <w:rsid w:val="009104AB"/>
    <w:rsid w:val="009104AD"/>
    <w:rsid w:val="009104C6"/>
    <w:rsid w:val="009104CE"/>
    <w:rsid w:val="009104DC"/>
    <w:rsid w:val="009104E6"/>
    <w:rsid w:val="00910562"/>
    <w:rsid w:val="00910572"/>
    <w:rsid w:val="00910595"/>
    <w:rsid w:val="00910596"/>
    <w:rsid w:val="009105A8"/>
    <w:rsid w:val="009105B9"/>
    <w:rsid w:val="009105DE"/>
    <w:rsid w:val="009105DF"/>
    <w:rsid w:val="009105F4"/>
    <w:rsid w:val="00910637"/>
    <w:rsid w:val="00910670"/>
    <w:rsid w:val="00910695"/>
    <w:rsid w:val="009106A9"/>
    <w:rsid w:val="009106B6"/>
    <w:rsid w:val="009106CA"/>
    <w:rsid w:val="009106E9"/>
    <w:rsid w:val="0091070B"/>
    <w:rsid w:val="00910749"/>
    <w:rsid w:val="0091076C"/>
    <w:rsid w:val="00910823"/>
    <w:rsid w:val="00910840"/>
    <w:rsid w:val="0091086F"/>
    <w:rsid w:val="00910891"/>
    <w:rsid w:val="00910896"/>
    <w:rsid w:val="0091089B"/>
    <w:rsid w:val="009108E0"/>
    <w:rsid w:val="0091092A"/>
    <w:rsid w:val="00910951"/>
    <w:rsid w:val="0091095B"/>
    <w:rsid w:val="00910963"/>
    <w:rsid w:val="00910965"/>
    <w:rsid w:val="0091096C"/>
    <w:rsid w:val="0091098C"/>
    <w:rsid w:val="00910A3B"/>
    <w:rsid w:val="00910A3E"/>
    <w:rsid w:val="00910A4A"/>
    <w:rsid w:val="00910A50"/>
    <w:rsid w:val="00910A53"/>
    <w:rsid w:val="00910A55"/>
    <w:rsid w:val="00910A92"/>
    <w:rsid w:val="00910AAC"/>
    <w:rsid w:val="00910ADA"/>
    <w:rsid w:val="00910AE3"/>
    <w:rsid w:val="00910AEB"/>
    <w:rsid w:val="00910B1B"/>
    <w:rsid w:val="00910B2F"/>
    <w:rsid w:val="00910BB4"/>
    <w:rsid w:val="00910BE5"/>
    <w:rsid w:val="00910C19"/>
    <w:rsid w:val="00910C2B"/>
    <w:rsid w:val="00910C49"/>
    <w:rsid w:val="00910C5F"/>
    <w:rsid w:val="00910C98"/>
    <w:rsid w:val="00910CAB"/>
    <w:rsid w:val="00910D08"/>
    <w:rsid w:val="00910D2E"/>
    <w:rsid w:val="00910D87"/>
    <w:rsid w:val="00910D99"/>
    <w:rsid w:val="00910DAC"/>
    <w:rsid w:val="00910E01"/>
    <w:rsid w:val="00910E3C"/>
    <w:rsid w:val="00910E74"/>
    <w:rsid w:val="00910E79"/>
    <w:rsid w:val="00910EAD"/>
    <w:rsid w:val="00910EB4"/>
    <w:rsid w:val="00910EBA"/>
    <w:rsid w:val="00910EC7"/>
    <w:rsid w:val="00910EDC"/>
    <w:rsid w:val="00910EDF"/>
    <w:rsid w:val="00910F3F"/>
    <w:rsid w:val="00910F63"/>
    <w:rsid w:val="00910F6D"/>
    <w:rsid w:val="00910F89"/>
    <w:rsid w:val="00910F9E"/>
    <w:rsid w:val="0091107C"/>
    <w:rsid w:val="0091108D"/>
    <w:rsid w:val="00911099"/>
    <w:rsid w:val="009110DF"/>
    <w:rsid w:val="009110E0"/>
    <w:rsid w:val="009110F2"/>
    <w:rsid w:val="00911118"/>
    <w:rsid w:val="0091111E"/>
    <w:rsid w:val="00911148"/>
    <w:rsid w:val="0091117B"/>
    <w:rsid w:val="00911191"/>
    <w:rsid w:val="00911200"/>
    <w:rsid w:val="0091120C"/>
    <w:rsid w:val="00911217"/>
    <w:rsid w:val="0091121C"/>
    <w:rsid w:val="00911222"/>
    <w:rsid w:val="00911227"/>
    <w:rsid w:val="009112CE"/>
    <w:rsid w:val="009112D0"/>
    <w:rsid w:val="009112DA"/>
    <w:rsid w:val="009112E8"/>
    <w:rsid w:val="0091130D"/>
    <w:rsid w:val="0091135A"/>
    <w:rsid w:val="00911364"/>
    <w:rsid w:val="00911388"/>
    <w:rsid w:val="00911399"/>
    <w:rsid w:val="009113AB"/>
    <w:rsid w:val="009113D7"/>
    <w:rsid w:val="009113ED"/>
    <w:rsid w:val="00911422"/>
    <w:rsid w:val="00911429"/>
    <w:rsid w:val="00911444"/>
    <w:rsid w:val="00911463"/>
    <w:rsid w:val="009114CF"/>
    <w:rsid w:val="009114DD"/>
    <w:rsid w:val="009114E4"/>
    <w:rsid w:val="009114F5"/>
    <w:rsid w:val="0091150A"/>
    <w:rsid w:val="00911558"/>
    <w:rsid w:val="0091155A"/>
    <w:rsid w:val="0091155D"/>
    <w:rsid w:val="009115A8"/>
    <w:rsid w:val="009115B2"/>
    <w:rsid w:val="00911684"/>
    <w:rsid w:val="0091168D"/>
    <w:rsid w:val="009116AA"/>
    <w:rsid w:val="009116E4"/>
    <w:rsid w:val="009116F6"/>
    <w:rsid w:val="0091173B"/>
    <w:rsid w:val="00911764"/>
    <w:rsid w:val="0091178B"/>
    <w:rsid w:val="00911793"/>
    <w:rsid w:val="009117DC"/>
    <w:rsid w:val="0091180B"/>
    <w:rsid w:val="00911811"/>
    <w:rsid w:val="0091183D"/>
    <w:rsid w:val="00911867"/>
    <w:rsid w:val="009118B0"/>
    <w:rsid w:val="009118D8"/>
    <w:rsid w:val="009118F8"/>
    <w:rsid w:val="00911905"/>
    <w:rsid w:val="0091190D"/>
    <w:rsid w:val="00911987"/>
    <w:rsid w:val="00911990"/>
    <w:rsid w:val="009119A6"/>
    <w:rsid w:val="009119D1"/>
    <w:rsid w:val="009119E1"/>
    <w:rsid w:val="00911A01"/>
    <w:rsid w:val="00911A28"/>
    <w:rsid w:val="00911A54"/>
    <w:rsid w:val="00911A56"/>
    <w:rsid w:val="00911A8F"/>
    <w:rsid w:val="00911AA2"/>
    <w:rsid w:val="00911AD2"/>
    <w:rsid w:val="00911B42"/>
    <w:rsid w:val="00911B4B"/>
    <w:rsid w:val="00911B71"/>
    <w:rsid w:val="00911BA2"/>
    <w:rsid w:val="00911BC3"/>
    <w:rsid w:val="00911BCF"/>
    <w:rsid w:val="00911BD8"/>
    <w:rsid w:val="00911BFB"/>
    <w:rsid w:val="00911C1C"/>
    <w:rsid w:val="00911C3C"/>
    <w:rsid w:val="00911C66"/>
    <w:rsid w:val="00911C8C"/>
    <w:rsid w:val="00911C9B"/>
    <w:rsid w:val="00911CD7"/>
    <w:rsid w:val="00911CE2"/>
    <w:rsid w:val="00911D04"/>
    <w:rsid w:val="00911D60"/>
    <w:rsid w:val="00911D61"/>
    <w:rsid w:val="00911D8A"/>
    <w:rsid w:val="00911E26"/>
    <w:rsid w:val="00911E3D"/>
    <w:rsid w:val="00911E93"/>
    <w:rsid w:val="00911E9F"/>
    <w:rsid w:val="00911EBB"/>
    <w:rsid w:val="00911EBC"/>
    <w:rsid w:val="00911EE6"/>
    <w:rsid w:val="00911EED"/>
    <w:rsid w:val="00911F0E"/>
    <w:rsid w:val="00911F13"/>
    <w:rsid w:val="00911F1B"/>
    <w:rsid w:val="00911F4F"/>
    <w:rsid w:val="00911F90"/>
    <w:rsid w:val="00911F9F"/>
    <w:rsid w:val="00911FD3"/>
    <w:rsid w:val="00911FF8"/>
    <w:rsid w:val="0091202C"/>
    <w:rsid w:val="00912041"/>
    <w:rsid w:val="00912059"/>
    <w:rsid w:val="0091205A"/>
    <w:rsid w:val="009120AC"/>
    <w:rsid w:val="009120DB"/>
    <w:rsid w:val="00912122"/>
    <w:rsid w:val="00912177"/>
    <w:rsid w:val="0091219C"/>
    <w:rsid w:val="009121C4"/>
    <w:rsid w:val="009122AA"/>
    <w:rsid w:val="009122C1"/>
    <w:rsid w:val="00912341"/>
    <w:rsid w:val="00912375"/>
    <w:rsid w:val="0091237E"/>
    <w:rsid w:val="0091239D"/>
    <w:rsid w:val="0091239F"/>
    <w:rsid w:val="009123CF"/>
    <w:rsid w:val="009123D0"/>
    <w:rsid w:val="009123D4"/>
    <w:rsid w:val="00912481"/>
    <w:rsid w:val="009124B3"/>
    <w:rsid w:val="009124F7"/>
    <w:rsid w:val="00912524"/>
    <w:rsid w:val="00912548"/>
    <w:rsid w:val="00912552"/>
    <w:rsid w:val="009125B3"/>
    <w:rsid w:val="009125FE"/>
    <w:rsid w:val="0091263B"/>
    <w:rsid w:val="0091266C"/>
    <w:rsid w:val="0091267B"/>
    <w:rsid w:val="009126DC"/>
    <w:rsid w:val="0091271C"/>
    <w:rsid w:val="0091273B"/>
    <w:rsid w:val="0091278A"/>
    <w:rsid w:val="0091279A"/>
    <w:rsid w:val="009127CD"/>
    <w:rsid w:val="00912800"/>
    <w:rsid w:val="0091285E"/>
    <w:rsid w:val="0091288C"/>
    <w:rsid w:val="0091288D"/>
    <w:rsid w:val="00912893"/>
    <w:rsid w:val="009128A6"/>
    <w:rsid w:val="009128E6"/>
    <w:rsid w:val="00912900"/>
    <w:rsid w:val="00912946"/>
    <w:rsid w:val="00912954"/>
    <w:rsid w:val="0091297F"/>
    <w:rsid w:val="0091299B"/>
    <w:rsid w:val="00912A32"/>
    <w:rsid w:val="00912A44"/>
    <w:rsid w:val="00912B20"/>
    <w:rsid w:val="00912B47"/>
    <w:rsid w:val="00912B63"/>
    <w:rsid w:val="00912B8B"/>
    <w:rsid w:val="00912B8E"/>
    <w:rsid w:val="00912B8F"/>
    <w:rsid w:val="00912B9D"/>
    <w:rsid w:val="00912C59"/>
    <w:rsid w:val="00912C5C"/>
    <w:rsid w:val="00912C7D"/>
    <w:rsid w:val="00912C9F"/>
    <w:rsid w:val="00912CBE"/>
    <w:rsid w:val="00912CC7"/>
    <w:rsid w:val="00912CFE"/>
    <w:rsid w:val="00912D12"/>
    <w:rsid w:val="00912D26"/>
    <w:rsid w:val="00912D2E"/>
    <w:rsid w:val="00912D2F"/>
    <w:rsid w:val="00912D7B"/>
    <w:rsid w:val="00912DA3"/>
    <w:rsid w:val="00912DB9"/>
    <w:rsid w:val="00912DD6"/>
    <w:rsid w:val="00912DFA"/>
    <w:rsid w:val="00912E08"/>
    <w:rsid w:val="00912E23"/>
    <w:rsid w:val="00912E5A"/>
    <w:rsid w:val="00912E72"/>
    <w:rsid w:val="00912E91"/>
    <w:rsid w:val="00912EB3"/>
    <w:rsid w:val="00912EBB"/>
    <w:rsid w:val="00912ED2"/>
    <w:rsid w:val="00912F1B"/>
    <w:rsid w:val="00912F51"/>
    <w:rsid w:val="00912F55"/>
    <w:rsid w:val="00913006"/>
    <w:rsid w:val="0091301B"/>
    <w:rsid w:val="0091301E"/>
    <w:rsid w:val="00913027"/>
    <w:rsid w:val="0091302F"/>
    <w:rsid w:val="00913042"/>
    <w:rsid w:val="0091305C"/>
    <w:rsid w:val="0091307A"/>
    <w:rsid w:val="00913091"/>
    <w:rsid w:val="00913099"/>
    <w:rsid w:val="009130B3"/>
    <w:rsid w:val="009130EE"/>
    <w:rsid w:val="009130FB"/>
    <w:rsid w:val="00913122"/>
    <w:rsid w:val="0091313D"/>
    <w:rsid w:val="00913147"/>
    <w:rsid w:val="00913182"/>
    <w:rsid w:val="00913190"/>
    <w:rsid w:val="00913195"/>
    <w:rsid w:val="00913201"/>
    <w:rsid w:val="00913246"/>
    <w:rsid w:val="00913259"/>
    <w:rsid w:val="00913263"/>
    <w:rsid w:val="0091326F"/>
    <w:rsid w:val="009132A6"/>
    <w:rsid w:val="009132C8"/>
    <w:rsid w:val="009132D6"/>
    <w:rsid w:val="009132ED"/>
    <w:rsid w:val="00913312"/>
    <w:rsid w:val="00913314"/>
    <w:rsid w:val="00913325"/>
    <w:rsid w:val="00913344"/>
    <w:rsid w:val="0091335D"/>
    <w:rsid w:val="009133E4"/>
    <w:rsid w:val="00913434"/>
    <w:rsid w:val="00913448"/>
    <w:rsid w:val="009134D2"/>
    <w:rsid w:val="009134E6"/>
    <w:rsid w:val="009134E8"/>
    <w:rsid w:val="009134FE"/>
    <w:rsid w:val="00913500"/>
    <w:rsid w:val="00913518"/>
    <w:rsid w:val="00913524"/>
    <w:rsid w:val="00913558"/>
    <w:rsid w:val="0091358F"/>
    <w:rsid w:val="009135F6"/>
    <w:rsid w:val="0091360D"/>
    <w:rsid w:val="00913677"/>
    <w:rsid w:val="0091367C"/>
    <w:rsid w:val="0091367E"/>
    <w:rsid w:val="0091368F"/>
    <w:rsid w:val="00913691"/>
    <w:rsid w:val="009136C4"/>
    <w:rsid w:val="0091377C"/>
    <w:rsid w:val="009137F9"/>
    <w:rsid w:val="00913871"/>
    <w:rsid w:val="00913898"/>
    <w:rsid w:val="009138BA"/>
    <w:rsid w:val="00913921"/>
    <w:rsid w:val="0091392C"/>
    <w:rsid w:val="0091393E"/>
    <w:rsid w:val="0091395B"/>
    <w:rsid w:val="00913977"/>
    <w:rsid w:val="009139ED"/>
    <w:rsid w:val="00913A47"/>
    <w:rsid w:val="00913A8A"/>
    <w:rsid w:val="00913AB5"/>
    <w:rsid w:val="00913ACC"/>
    <w:rsid w:val="00913ACF"/>
    <w:rsid w:val="00913B24"/>
    <w:rsid w:val="00913B3D"/>
    <w:rsid w:val="00913B79"/>
    <w:rsid w:val="00913BDA"/>
    <w:rsid w:val="00913BF0"/>
    <w:rsid w:val="00913C16"/>
    <w:rsid w:val="00913C24"/>
    <w:rsid w:val="00913C4B"/>
    <w:rsid w:val="00913C5F"/>
    <w:rsid w:val="00913C76"/>
    <w:rsid w:val="00913CAB"/>
    <w:rsid w:val="00913CCB"/>
    <w:rsid w:val="00913CF4"/>
    <w:rsid w:val="00913D04"/>
    <w:rsid w:val="00913D0E"/>
    <w:rsid w:val="00913D47"/>
    <w:rsid w:val="00913D4C"/>
    <w:rsid w:val="00913DEC"/>
    <w:rsid w:val="00913E05"/>
    <w:rsid w:val="00913E34"/>
    <w:rsid w:val="00913E39"/>
    <w:rsid w:val="00913EAE"/>
    <w:rsid w:val="00913ED0"/>
    <w:rsid w:val="00913ED2"/>
    <w:rsid w:val="00913F1A"/>
    <w:rsid w:val="00913F3A"/>
    <w:rsid w:val="00913F97"/>
    <w:rsid w:val="00913FCD"/>
    <w:rsid w:val="00913FEC"/>
    <w:rsid w:val="00913FF7"/>
    <w:rsid w:val="0091400B"/>
    <w:rsid w:val="00914098"/>
    <w:rsid w:val="009140A3"/>
    <w:rsid w:val="009140C5"/>
    <w:rsid w:val="009140EF"/>
    <w:rsid w:val="00914122"/>
    <w:rsid w:val="0091414F"/>
    <w:rsid w:val="0091416F"/>
    <w:rsid w:val="00914173"/>
    <w:rsid w:val="00914194"/>
    <w:rsid w:val="0091419F"/>
    <w:rsid w:val="009141A6"/>
    <w:rsid w:val="009141C3"/>
    <w:rsid w:val="00914219"/>
    <w:rsid w:val="0091426D"/>
    <w:rsid w:val="0091427C"/>
    <w:rsid w:val="009142A2"/>
    <w:rsid w:val="009142A5"/>
    <w:rsid w:val="009142D7"/>
    <w:rsid w:val="009142DA"/>
    <w:rsid w:val="009142F2"/>
    <w:rsid w:val="00914323"/>
    <w:rsid w:val="00914349"/>
    <w:rsid w:val="0091435B"/>
    <w:rsid w:val="0091437D"/>
    <w:rsid w:val="009143F8"/>
    <w:rsid w:val="00914417"/>
    <w:rsid w:val="00914424"/>
    <w:rsid w:val="0091443C"/>
    <w:rsid w:val="00914452"/>
    <w:rsid w:val="0091448B"/>
    <w:rsid w:val="009144AD"/>
    <w:rsid w:val="009144CC"/>
    <w:rsid w:val="00914500"/>
    <w:rsid w:val="00914521"/>
    <w:rsid w:val="00914542"/>
    <w:rsid w:val="009145D9"/>
    <w:rsid w:val="00914622"/>
    <w:rsid w:val="00914624"/>
    <w:rsid w:val="00914631"/>
    <w:rsid w:val="00914663"/>
    <w:rsid w:val="0091466B"/>
    <w:rsid w:val="00914674"/>
    <w:rsid w:val="00914697"/>
    <w:rsid w:val="009146CC"/>
    <w:rsid w:val="009146EB"/>
    <w:rsid w:val="0091470F"/>
    <w:rsid w:val="0091472A"/>
    <w:rsid w:val="0091472C"/>
    <w:rsid w:val="00914736"/>
    <w:rsid w:val="0091475D"/>
    <w:rsid w:val="00914762"/>
    <w:rsid w:val="0091477E"/>
    <w:rsid w:val="00914830"/>
    <w:rsid w:val="00914854"/>
    <w:rsid w:val="0091486D"/>
    <w:rsid w:val="0091487D"/>
    <w:rsid w:val="0091489A"/>
    <w:rsid w:val="009148B4"/>
    <w:rsid w:val="009148F0"/>
    <w:rsid w:val="0091490A"/>
    <w:rsid w:val="009149A6"/>
    <w:rsid w:val="009149DC"/>
    <w:rsid w:val="009149E4"/>
    <w:rsid w:val="009149FB"/>
    <w:rsid w:val="00914A1F"/>
    <w:rsid w:val="00914A21"/>
    <w:rsid w:val="00914A42"/>
    <w:rsid w:val="00914A95"/>
    <w:rsid w:val="00914A9D"/>
    <w:rsid w:val="00914AB2"/>
    <w:rsid w:val="00914AC5"/>
    <w:rsid w:val="00914ACE"/>
    <w:rsid w:val="00914B38"/>
    <w:rsid w:val="00914B66"/>
    <w:rsid w:val="00914B82"/>
    <w:rsid w:val="00914B8C"/>
    <w:rsid w:val="00914BA6"/>
    <w:rsid w:val="00914BCC"/>
    <w:rsid w:val="00914BD0"/>
    <w:rsid w:val="00914BFA"/>
    <w:rsid w:val="00914C54"/>
    <w:rsid w:val="00914C64"/>
    <w:rsid w:val="00914C7C"/>
    <w:rsid w:val="00914CA5"/>
    <w:rsid w:val="00914CDB"/>
    <w:rsid w:val="00914CED"/>
    <w:rsid w:val="00914D27"/>
    <w:rsid w:val="00914D2B"/>
    <w:rsid w:val="00914D35"/>
    <w:rsid w:val="00914D7C"/>
    <w:rsid w:val="00914DB8"/>
    <w:rsid w:val="00914DC9"/>
    <w:rsid w:val="00914E36"/>
    <w:rsid w:val="00914E4A"/>
    <w:rsid w:val="00914E62"/>
    <w:rsid w:val="00914E8E"/>
    <w:rsid w:val="00914E9D"/>
    <w:rsid w:val="00914EC0"/>
    <w:rsid w:val="00914ECA"/>
    <w:rsid w:val="00914EE1"/>
    <w:rsid w:val="00914EF1"/>
    <w:rsid w:val="00914EFE"/>
    <w:rsid w:val="00914F1D"/>
    <w:rsid w:val="00914F34"/>
    <w:rsid w:val="00914FC3"/>
    <w:rsid w:val="00915001"/>
    <w:rsid w:val="0091509C"/>
    <w:rsid w:val="009150A2"/>
    <w:rsid w:val="009150FB"/>
    <w:rsid w:val="0091513B"/>
    <w:rsid w:val="00915148"/>
    <w:rsid w:val="0091518A"/>
    <w:rsid w:val="0091519C"/>
    <w:rsid w:val="009151A4"/>
    <w:rsid w:val="009151AC"/>
    <w:rsid w:val="009151C3"/>
    <w:rsid w:val="009151C4"/>
    <w:rsid w:val="009151EE"/>
    <w:rsid w:val="00915225"/>
    <w:rsid w:val="00915244"/>
    <w:rsid w:val="00915256"/>
    <w:rsid w:val="00915296"/>
    <w:rsid w:val="009152B4"/>
    <w:rsid w:val="009152F8"/>
    <w:rsid w:val="009152F9"/>
    <w:rsid w:val="00915302"/>
    <w:rsid w:val="00915330"/>
    <w:rsid w:val="00915338"/>
    <w:rsid w:val="00915345"/>
    <w:rsid w:val="00915348"/>
    <w:rsid w:val="00915382"/>
    <w:rsid w:val="00915392"/>
    <w:rsid w:val="009153EF"/>
    <w:rsid w:val="009153F2"/>
    <w:rsid w:val="0091545F"/>
    <w:rsid w:val="00915467"/>
    <w:rsid w:val="0091548E"/>
    <w:rsid w:val="0091549B"/>
    <w:rsid w:val="009154B6"/>
    <w:rsid w:val="0091550A"/>
    <w:rsid w:val="0091550E"/>
    <w:rsid w:val="0091554D"/>
    <w:rsid w:val="00915551"/>
    <w:rsid w:val="0091555D"/>
    <w:rsid w:val="00915581"/>
    <w:rsid w:val="0091566A"/>
    <w:rsid w:val="0091568C"/>
    <w:rsid w:val="009156CA"/>
    <w:rsid w:val="009156CC"/>
    <w:rsid w:val="00915783"/>
    <w:rsid w:val="0091578F"/>
    <w:rsid w:val="009157BA"/>
    <w:rsid w:val="009157E3"/>
    <w:rsid w:val="00915855"/>
    <w:rsid w:val="00915886"/>
    <w:rsid w:val="00915893"/>
    <w:rsid w:val="0091589A"/>
    <w:rsid w:val="009158C9"/>
    <w:rsid w:val="00915913"/>
    <w:rsid w:val="00915916"/>
    <w:rsid w:val="00915924"/>
    <w:rsid w:val="00915931"/>
    <w:rsid w:val="009159A6"/>
    <w:rsid w:val="009159A8"/>
    <w:rsid w:val="009159D9"/>
    <w:rsid w:val="00915A1D"/>
    <w:rsid w:val="00915A4D"/>
    <w:rsid w:val="00915A54"/>
    <w:rsid w:val="00915A5F"/>
    <w:rsid w:val="00915AAD"/>
    <w:rsid w:val="00915AB8"/>
    <w:rsid w:val="00915AE2"/>
    <w:rsid w:val="00915AF5"/>
    <w:rsid w:val="00915AFC"/>
    <w:rsid w:val="00915AFF"/>
    <w:rsid w:val="00915B02"/>
    <w:rsid w:val="00915B30"/>
    <w:rsid w:val="00915B63"/>
    <w:rsid w:val="00915BAC"/>
    <w:rsid w:val="00915BE3"/>
    <w:rsid w:val="00915BF8"/>
    <w:rsid w:val="00915BFA"/>
    <w:rsid w:val="00915C04"/>
    <w:rsid w:val="00915C09"/>
    <w:rsid w:val="00915C10"/>
    <w:rsid w:val="00915C3E"/>
    <w:rsid w:val="00915C82"/>
    <w:rsid w:val="00915CC2"/>
    <w:rsid w:val="00915CD5"/>
    <w:rsid w:val="00915D3A"/>
    <w:rsid w:val="00915D50"/>
    <w:rsid w:val="00915DB0"/>
    <w:rsid w:val="00915DC0"/>
    <w:rsid w:val="00915DD4"/>
    <w:rsid w:val="00915E29"/>
    <w:rsid w:val="00915E60"/>
    <w:rsid w:val="00915E61"/>
    <w:rsid w:val="00915EE6"/>
    <w:rsid w:val="00915F15"/>
    <w:rsid w:val="00915F3C"/>
    <w:rsid w:val="00915F3D"/>
    <w:rsid w:val="00915F62"/>
    <w:rsid w:val="00915F70"/>
    <w:rsid w:val="00915FA6"/>
    <w:rsid w:val="00915FD7"/>
    <w:rsid w:val="00915FEE"/>
    <w:rsid w:val="00916004"/>
    <w:rsid w:val="00916021"/>
    <w:rsid w:val="0091608A"/>
    <w:rsid w:val="0091608D"/>
    <w:rsid w:val="009160D0"/>
    <w:rsid w:val="009160D9"/>
    <w:rsid w:val="0091611E"/>
    <w:rsid w:val="0091612D"/>
    <w:rsid w:val="00916180"/>
    <w:rsid w:val="00916185"/>
    <w:rsid w:val="00916196"/>
    <w:rsid w:val="0091619C"/>
    <w:rsid w:val="009161D0"/>
    <w:rsid w:val="00916244"/>
    <w:rsid w:val="0091624B"/>
    <w:rsid w:val="0091627C"/>
    <w:rsid w:val="009162B7"/>
    <w:rsid w:val="009162F3"/>
    <w:rsid w:val="00916352"/>
    <w:rsid w:val="00916388"/>
    <w:rsid w:val="009163A9"/>
    <w:rsid w:val="009163CC"/>
    <w:rsid w:val="009163D8"/>
    <w:rsid w:val="009163DB"/>
    <w:rsid w:val="00916455"/>
    <w:rsid w:val="0091649F"/>
    <w:rsid w:val="00916575"/>
    <w:rsid w:val="009165CB"/>
    <w:rsid w:val="0091660C"/>
    <w:rsid w:val="00916643"/>
    <w:rsid w:val="00916666"/>
    <w:rsid w:val="009166AB"/>
    <w:rsid w:val="009166B5"/>
    <w:rsid w:val="009166B9"/>
    <w:rsid w:val="009166F6"/>
    <w:rsid w:val="0091672F"/>
    <w:rsid w:val="0091675B"/>
    <w:rsid w:val="00916770"/>
    <w:rsid w:val="009167B6"/>
    <w:rsid w:val="009167BB"/>
    <w:rsid w:val="009167C0"/>
    <w:rsid w:val="009167F7"/>
    <w:rsid w:val="009167FA"/>
    <w:rsid w:val="00916807"/>
    <w:rsid w:val="00916845"/>
    <w:rsid w:val="0091689A"/>
    <w:rsid w:val="009168B2"/>
    <w:rsid w:val="009168C8"/>
    <w:rsid w:val="009168D4"/>
    <w:rsid w:val="009168FF"/>
    <w:rsid w:val="0091698D"/>
    <w:rsid w:val="00916A23"/>
    <w:rsid w:val="00916A65"/>
    <w:rsid w:val="00916AB5"/>
    <w:rsid w:val="00916AC2"/>
    <w:rsid w:val="00916AD0"/>
    <w:rsid w:val="00916B1D"/>
    <w:rsid w:val="00916B54"/>
    <w:rsid w:val="00916B5F"/>
    <w:rsid w:val="00916B71"/>
    <w:rsid w:val="00916BB6"/>
    <w:rsid w:val="00916C0D"/>
    <w:rsid w:val="00916C8A"/>
    <w:rsid w:val="00916C8C"/>
    <w:rsid w:val="00916CCE"/>
    <w:rsid w:val="00916CE4"/>
    <w:rsid w:val="00916CF8"/>
    <w:rsid w:val="00916D18"/>
    <w:rsid w:val="00916D38"/>
    <w:rsid w:val="00916D99"/>
    <w:rsid w:val="00916DA3"/>
    <w:rsid w:val="00916DE2"/>
    <w:rsid w:val="00916DE7"/>
    <w:rsid w:val="00916DF4"/>
    <w:rsid w:val="00916E21"/>
    <w:rsid w:val="00916E5D"/>
    <w:rsid w:val="00916E81"/>
    <w:rsid w:val="00916EA3"/>
    <w:rsid w:val="00916EB3"/>
    <w:rsid w:val="00916EDA"/>
    <w:rsid w:val="00916EF7"/>
    <w:rsid w:val="00916F0B"/>
    <w:rsid w:val="00916F17"/>
    <w:rsid w:val="00916F86"/>
    <w:rsid w:val="00916F8C"/>
    <w:rsid w:val="00917035"/>
    <w:rsid w:val="00917066"/>
    <w:rsid w:val="009170B1"/>
    <w:rsid w:val="009170F1"/>
    <w:rsid w:val="00917112"/>
    <w:rsid w:val="009171CF"/>
    <w:rsid w:val="00917204"/>
    <w:rsid w:val="00917220"/>
    <w:rsid w:val="0091726F"/>
    <w:rsid w:val="00917281"/>
    <w:rsid w:val="00917294"/>
    <w:rsid w:val="009172B5"/>
    <w:rsid w:val="009172B6"/>
    <w:rsid w:val="0091733C"/>
    <w:rsid w:val="0091733E"/>
    <w:rsid w:val="0091734C"/>
    <w:rsid w:val="00917358"/>
    <w:rsid w:val="00917379"/>
    <w:rsid w:val="009173B3"/>
    <w:rsid w:val="009173F5"/>
    <w:rsid w:val="009173FE"/>
    <w:rsid w:val="00917452"/>
    <w:rsid w:val="00917490"/>
    <w:rsid w:val="009174BD"/>
    <w:rsid w:val="0091751C"/>
    <w:rsid w:val="00917523"/>
    <w:rsid w:val="00917567"/>
    <w:rsid w:val="0091758B"/>
    <w:rsid w:val="009175BE"/>
    <w:rsid w:val="009175C9"/>
    <w:rsid w:val="009175D1"/>
    <w:rsid w:val="009175D5"/>
    <w:rsid w:val="009176D5"/>
    <w:rsid w:val="009177B5"/>
    <w:rsid w:val="009177C2"/>
    <w:rsid w:val="009177DA"/>
    <w:rsid w:val="009177F2"/>
    <w:rsid w:val="009177F5"/>
    <w:rsid w:val="00917823"/>
    <w:rsid w:val="0091784F"/>
    <w:rsid w:val="00917877"/>
    <w:rsid w:val="00917885"/>
    <w:rsid w:val="009178CC"/>
    <w:rsid w:val="009178FF"/>
    <w:rsid w:val="0091790B"/>
    <w:rsid w:val="0091794A"/>
    <w:rsid w:val="0091794C"/>
    <w:rsid w:val="00917966"/>
    <w:rsid w:val="009179B1"/>
    <w:rsid w:val="009179CB"/>
    <w:rsid w:val="009179E2"/>
    <w:rsid w:val="00917A0E"/>
    <w:rsid w:val="00917A23"/>
    <w:rsid w:val="00917A4C"/>
    <w:rsid w:val="00917A4E"/>
    <w:rsid w:val="00917A4F"/>
    <w:rsid w:val="00917ABB"/>
    <w:rsid w:val="00917ACE"/>
    <w:rsid w:val="00917AD7"/>
    <w:rsid w:val="00917AD9"/>
    <w:rsid w:val="00917B17"/>
    <w:rsid w:val="00917B20"/>
    <w:rsid w:val="00917B2E"/>
    <w:rsid w:val="00917B78"/>
    <w:rsid w:val="00917B90"/>
    <w:rsid w:val="00917BFF"/>
    <w:rsid w:val="00917C00"/>
    <w:rsid w:val="00917C19"/>
    <w:rsid w:val="00917C23"/>
    <w:rsid w:val="00917C32"/>
    <w:rsid w:val="00917C68"/>
    <w:rsid w:val="00917C8E"/>
    <w:rsid w:val="00917CBD"/>
    <w:rsid w:val="00917D39"/>
    <w:rsid w:val="00917D70"/>
    <w:rsid w:val="00917E10"/>
    <w:rsid w:val="00917E30"/>
    <w:rsid w:val="00917E46"/>
    <w:rsid w:val="00917E9B"/>
    <w:rsid w:val="00917EA4"/>
    <w:rsid w:val="00917EFA"/>
    <w:rsid w:val="00917F24"/>
    <w:rsid w:val="00917F6D"/>
    <w:rsid w:val="00917F6E"/>
    <w:rsid w:val="00917F86"/>
    <w:rsid w:val="00917F8F"/>
    <w:rsid w:val="00917F92"/>
    <w:rsid w:val="00917F97"/>
    <w:rsid w:val="00918E81"/>
    <w:rsid w:val="00920004"/>
    <w:rsid w:val="00920011"/>
    <w:rsid w:val="00920027"/>
    <w:rsid w:val="00920049"/>
    <w:rsid w:val="00920092"/>
    <w:rsid w:val="009200B4"/>
    <w:rsid w:val="009200BB"/>
    <w:rsid w:val="00920128"/>
    <w:rsid w:val="00920183"/>
    <w:rsid w:val="00920184"/>
    <w:rsid w:val="00920195"/>
    <w:rsid w:val="0092019A"/>
    <w:rsid w:val="009201A9"/>
    <w:rsid w:val="009201B8"/>
    <w:rsid w:val="009201BE"/>
    <w:rsid w:val="009201E4"/>
    <w:rsid w:val="009201E8"/>
    <w:rsid w:val="00920202"/>
    <w:rsid w:val="00920261"/>
    <w:rsid w:val="00920277"/>
    <w:rsid w:val="009202AC"/>
    <w:rsid w:val="009202F0"/>
    <w:rsid w:val="00920346"/>
    <w:rsid w:val="0092034B"/>
    <w:rsid w:val="009203C5"/>
    <w:rsid w:val="009203F5"/>
    <w:rsid w:val="009203F7"/>
    <w:rsid w:val="0092041E"/>
    <w:rsid w:val="00920429"/>
    <w:rsid w:val="00920433"/>
    <w:rsid w:val="0092043D"/>
    <w:rsid w:val="0092047A"/>
    <w:rsid w:val="0092048C"/>
    <w:rsid w:val="009204B9"/>
    <w:rsid w:val="00920531"/>
    <w:rsid w:val="009205BA"/>
    <w:rsid w:val="009205D5"/>
    <w:rsid w:val="0092061D"/>
    <w:rsid w:val="0092064B"/>
    <w:rsid w:val="00920657"/>
    <w:rsid w:val="00920673"/>
    <w:rsid w:val="009206BC"/>
    <w:rsid w:val="009206DC"/>
    <w:rsid w:val="00920708"/>
    <w:rsid w:val="0092071D"/>
    <w:rsid w:val="009207AE"/>
    <w:rsid w:val="009207D0"/>
    <w:rsid w:val="00920819"/>
    <w:rsid w:val="00920880"/>
    <w:rsid w:val="00920881"/>
    <w:rsid w:val="00920894"/>
    <w:rsid w:val="009208AF"/>
    <w:rsid w:val="009208B8"/>
    <w:rsid w:val="009208E6"/>
    <w:rsid w:val="00920963"/>
    <w:rsid w:val="00920981"/>
    <w:rsid w:val="009209B5"/>
    <w:rsid w:val="009209BB"/>
    <w:rsid w:val="009209C4"/>
    <w:rsid w:val="009209C5"/>
    <w:rsid w:val="009209CB"/>
    <w:rsid w:val="009209E3"/>
    <w:rsid w:val="009209E9"/>
    <w:rsid w:val="00920A2D"/>
    <w:rsid w:val="00920A2E"/>
    <w:rsid w:val="00920A4C"/>
    <w:rsid w:val="00920A5F"/>
    <w:rsid w:val="00920A64"/>
    <w:rsid w:val="00920A67"/>
    <w:rsid w:val="00920AD0"/>
    <w:rsid w:val="00920B11"/>
    <w:rsid w:val="00920B16"/>
    <w:rsid w:val="00920B5E"/>
    <w:rsid w:val="00920B79"/>
    <w:rsid w:val="00920B7D"/>
    <w:rsid w:val="00920C5D"/>
    <w:rsid w:val="00920CA9"/>
    <w:rsid w:val="00920CAA"/>
    <w:rsid w:val="00920CC3"/>
    <w:rsid w:val="00920CE8"/>
    <w:rsid w:val="00920CF3"/>
    <w:rsid w:val="00920D03"/>
    <w:rsid w:val="00920D05"/>
    <w:rsid w:val="00920D1E"/>
    <w:rsid w:val="00920D27"/>
    <w:rsid w:val="00920D75"/>
    <w:rsid w:val="00920DDF"/>
    <w:rsid w:val="00920DE2"/>
    <w:rsid w:val="00920DF9"/>
    <w:rsid w:val="00920E17"/>
    <w:rsid w:val="00920E33"/>
    <w:rsid w:val="00920E6E"/>
    <w:rsid w:val="00920E9D"/>
    <w:rsid w:val="00920ED5"/>
    <w:rsid w:val="00920EDB"/>
    <w:rsid w:val="00920F14"/>
    <w:rsid w:val="00920F3D"/>
    <w:rsid w:val="00920F4D"/>
    <w:rsid w:val="00920F69"/>
    <w:rsid w:val="00920F96"/>
    <w:rsid w:val="00920FA0"/>
    <w:rsid w:val="00920FA9"/>
    <w:rsid w:val="00920FC1"/>
    <w:rsid w:val="00920FC5"/>
    <w:rsid w:val="00920FE2"/>
    <w:rsid w:val="00921049"/>
    <w:rsid w:val="00921060"/>
    <w:rsid w:val="00921092"/>
    <w:rsid w:val="00921106"/>
    <w:rsid w:val="00921126"/>
    <w:rsid w:val="00921135"/>
    <w:rsid w:val="0092115C"/>
    <w:rsid w:val="009211AC"/>
    <w:rsid w:val="009211B9"/>
    <w:rsid w:val="009211D5"/>
    <w:rsid w:val="009211EB"/>
    <w:rsid w:val="0092125A"/>
    <w:rsid w:val="009212CD"/>
    <w:rsid w:val="009212E2"/>
    <w:rsid w:val="00921323"/>
    <w:rsid w:val="00921341"/>
    <w:rsid w:val="00921456"/>
    <w:rsid w:val="009214B4"/>
    <w:rsid w:val="009214C1"/>
    <w:rsid w:val="009214CD"/>
    <w:rsid w:val="009214E6"/>
    <w:rsid w:val="009214EF"/>
    <w:rsid w:val="00921536"/>
    <w:rsid w:val="00921540"/>
    <w:rsid w:val="00921542"/>
    <w:rsid w:val="00921550"/>
    <w:rsid w:val="009215AB"/>
    <w:rsid w:val="0092161F"/>
    <w:rsid w:val="0092162B"/>
    <w:rsid w:val="0092168A"/>
    <w:rsid w:val="0092169B"/>
    <w:rsid w:val="009216AC"/>
    <w:rsid w:val="009216E4"/>
    <w:rsid w:val="00921709"/>
    <w:rsid w:val="0092171B"/>
    <w:rsid w:val="00921723"/>
    <w:rsid w:val="0092172C"/>
    <w:rsid w:val="00921757"/>
    <w:rsid w:val="0092185B"/>
    <w:rsid w:val="00921883"/>
    <w:rsid w:val="0092188C"/>
    <w:rsid w:val="009218CB"/>
    <w:rsid w:val="009218E7"/>
    <w:rsid w:val="00921902"/>
    <w:rsid w:val="00921925"/>
    <w:rsid w:val="00921975"/>
    <w:rsid w:val="009219B0"/>
    <w:rsid w:val="009219CF"/>
    <w:rsid w:val="009219E8"/>
    <w:rsid w:val="009219FD"/>
    <w:rsid w:val="00921A7E"/>
    <w:rsid w:val="00921A90"/>
    <w:rsid w:val="00921A9E"/>
    <w:rsid w:val="00921ACD"/>
    <w:rsid w:val="00921B0D"/>
    <w:rsid w:val="00921B42"/>
    <w:rsid w:val="00921B49"/>
    <w:rsid w:val="00921BB1"/>
    <w:rsid w:val="00921C11"/>
    <w:rsid w:val="00921C29"/>
    <w:rsid w:val="00921C2E"/>
    <w:rsid w:val="00921C39"/>
    <w:rsid w:val="00921C62"/>
    <w:rsid w:val="00921C63"/>
    <w:rsid w:val="00921C64"/>
    <w:rsid w:val="00921C8C"/>
    <w:rsid w:val="00921CA4"/>
    <w:rsid w:val="00921CC5"/>
    <w:rsid w:val="00921CCD"/>
    <w:rsid w:val="00921CD0"/>
    <w:rsid w:val="00921CD6"/>
    <w:rsid w:val="00921D21"/>
    <w:rsid w:val="00921D34"/>
    <w:rsid w:val="00921D8D"/>
    <w:rsid w:val="00921DAB"/>
    <w:rsid w:val="00921DC1"/>
    <w:rsid w:val="00921DC7"/>
    <w:rsid w:val="00921E0F"/>
    <w:rsid w:val="00921E16"/>
    <w:rsid w:val="00921EAE"/>
    <w:rsid w:val="00921EB2"/>
    <w:rsid w:val="00921EEF"/>
    <w:rsid w:val="00921F09"/>
    <w:rsid w:val="00921F4A"/>
    <w:rsid w:val="00921F5B"/>
    <w:rsid w:val="00921FDD"/>
    <w:rsid w:val="00921FDE"/>
    <w:rsid w:val="00922028"/>
    <w:rsid w:val="00922065"/>
    <w:rsid w:val="0092206C"/>
    <w:rsid w:val="00922075"/>
    <w:rsid w:val="00922093"/>
    <w:rsid w:val="0092209B"/>
    <w:rsid w:val="0092209D"/>
    <w:rsid w:val="009220B8"/>
    <w:rsid w:val="009220CB"/>
    <w:rsid w:val="009220CF"/>
    <w:rsid w:val="00922125"/>
    <w:rsid w:val="00922161"/>
    <w:rsid w:val="00922181"/>
    <w:rsid w:val="00922195"/>
    <w:rsid w:val="0092219B"/>
    <w:rsid w:val="009221CE"/>
    <w:rsid w:val="009221F3"/>
    <w:rsid w:val="0092220A"/>
    <w:rsid w:val="00922254"/>
    <w:rsid w:val="00922259"/>
    <w:rsid w:val="0092225F"/>
    <w:rsid w:val="00922270"/>
    <w:rsid w:val="0092228F"/>
    <w:rsid w:val="0092229A"/>
    <w:rsid w:val="0092229E"/>
    <w:rsid w:val="009222B5"/>
    <w:rsid w:val="0092230C"/>
    <w:rsid w:val="00922328"/>
    <w:rsid w:val="0092232B"/>
    <w:rsid w:val="00922344"/>
    <w:rsid w:val="00922359"/>
    <w:rsid w:val="009223EE"/>
    <w:rsid w:val="009223FA"/>
    <w:rsid w:val="00922419"/>
    <w:rsid w:val="00922452"/>
    <w:rsid w:val="00922484"/>
    <w:rsid w:val="00922486"/>
    <w:rsid w:val="009224D4"/>
    <w:rsid w:val="009224D6"/>
    <w:rsid w:val="009224FD"/>
    <w:rsid w:val="00922538"/>
    <w:rsid w:val="0092257C"/>
    <w:rsid w:val="0092259A"/>
    <w:rsid w:val="00922653"/>
    <w:rsid w:val="0092265F"/>
    <w:rsid w:val="009226D5"/>
    <w:rsid w:val="009226DF"/>
    <w:rsid w:val="00922730"/>
    <w:rsid w:val="00922742"/>
    <w:rsid w:val="0092279C"/>
    <w:rsid w:val="009227D0"/>
    <w:rsid w:val="009227D5"/>
    <w:rsid w:val="00922873"/>
    <w:rsid w:val="0092288F"/>
    <w:rsid w:val="00922893"/>
    <w:rsid w:val="00922898"/>
    <w:rsid w:val="009228D4"/>
    <w:rsid w:val="00922926"/>
    <w:rsid w:val="00922944"/>
    <w:rsid w:val="00922966"/>
    <w:rsid w:val="009229E5"/>
    <w:rsid w:val="00922A0C"/>
    <w:rsid w:val="00922A24"/>
    <w:rsid w:val="00922A2E"/>
    <w:rsid w:val="00922A96"/>
    <w:rsid w:val="00922AB3"/>
    <w:rsid w:val="00922AC7"/>
    <w:rsid w:val="00922ACC"/>
    <w:rsid w:val="00922AD4"/>
    <w:rsid w:val="00922AF2"/>
    <w:rsid w:val="00922B0C"/>
    <w:rsid w:val="00922B48"/>
    <w:rsid w:val="00922B4D"/>
    <w:rsid w:val="00922B52"/>
    <w:rsid w:val="00922B9C"/>
    <w:rsid w:val="00922BAB"/>
    <w:rsid w:val="00922C07"/>
    <w:rsid w:val="00922C31"/>
    <w:rsid w:val="00922C83"/>
    <w:rsid w:val="00922CA7"/>
    <w:rsid w:val="00922CC8"/>
    <w:rsid w:val="00922CCA"/>
    <w:rsid w:val="00922D01"/>
    <w:rsid w:val="00922D03"/>
    <w:rsid w:val="00922D1C"/>
    <w:rsid w:val="00922D2B"/>
    <w:rsid w:val="00922D37"/>
    <w:rsid w:val="00922D70"/>
    <w:rsid w:val="00922D7B"/>
    <w:rsid w:val="00922DC4"/>
    <w:rsid w:val="00922DF2"/>
    <w:rsid w:val="00922E39"/>
    <w:rsid w:val="00922E69"/>
    <w:rsid w:val="00922E6B"/>
    <w:rsid w:val="00922EAA"/>
    <w:rsid w:val="00922EB9"/>
    <w:rsid w:val="00922EE6"/>
    <w:rsid w:val="00922FD3"/>
    <w:rsid w:val="0092306C"/>
    <w:rsid w:val="0092306E"/>
    <w:rsid w:val="0092307C"/>
    <w:rsid w:val="00923089"/>
    <w:rsid w:val="0092309A"/>
    <w:rsid w:val="009230BA"/>
    <w:rsid w:val="009230F3"/>
    <w:rsid w:val="0092314C"/>
    <w:rsid w:val="00923167"/>
    <w:rsid w:val="0092318C"/>
    <w:rsid w:val="0092318E"/>
    <w:rsid w:val="0092319D"/>
    <w:rsid w:val="009231BA"/>
    <w:rsid w:val="009231C3"/>
    <w:rsid w:val="009231D0"/>
    <w:rsid w:val="009231D7"/>
    <w:rsid w:val="009231DB"/>
    <w:rsid w:val="009231F7"/>
    <w:rsid w:val="00923239"/>
    <w:rsid w:val="0092324F"/>
    <w:rsid w:val="00923282"/>
    <w:rsid w:val="00923296"/>
    <w:rsid w:val="009232C2"/>
    <w:rsid w:val="0092331B"/>
    <w:rsid w:val="0092332A"/>
    <w:rsid w:val="0092336B"/>
    <w:rsid w:val="0092336E"/>
    <w:rsid w:val="00923389"/>
    <w:rsid w:val="009233A5"/>
    <w:rsid w:val="009233DE"/>
    <w:rsid w:val="00923415"/>
    <w:rsid w:val="00923495"/>
    <w:rsid w:val="009234AA"/>
    <w:rsid w:val="009234CF"/>
    <w:rsid w:val="00923539"/>
    <w:rsid w:val="0092353D"/>
    <w:rsid w:val="0092358A"/>
    <w:rsid w:val="009235FF"/>
    <w:rsid w:val="00923623"/>
    <w:rsid w:val="00923628"/>
    <w:rsid w:val="00923633"/>
    <w:rsid w:val="00923683"/>
    <w:rsid w:val="009236DE"/>
    <w:rsid w:val="00923707"/>
    <w:rsid w:val="0092370C"/>
    <w:rsid w:val="0092375B"/>
    <w:rsid w:val="00923773"/>
    <w:rsid w:val="009237D7"/>
    <w:rsid w:val="009237E0"/>
    <w:rsid w:val="00923839"/>
    <w:rsid w:val="00923855"/>
    <w:rsid w:val="00923859"/>
    <w:rsid w:val="0092385C"/>
    <w:rsid w:val="009238A5"/>
    <w:rsid w:val="009238E6"/>
    <w:rsid w:val="009238F6"/>
    <w:rsid w:val="009238FF"/>
    <w:rsid w:val="00923923"/>
    <w:rsid w:val="00923967"/>
    <w:rsid w:val="00923998"/>
    <w:rsid w:val="009239D2"/>
    <w:rsid w:val="009239FB"/>
    <w:rsid w:val="00923A21"/>
    <w:rsid w:val="00923A39"/>
    <w:rsid w:val="00923A9F"/>
    <w:rsid w:val="00923AC6"/>
    <w:rsid w:val="00923AFE"/>
    <w:rsid w:val="00923B1D"/>
    <w:rsid w:val="00923B2B"/>
    <w:rsid w:val="00923B44"/>
    <w:rsid w:val="00923BA8"/>
    <w:rsid w:val="00923BAB"/>
    <w:rsid w:val="00923BC0"/>
    <w:rsid w:val="00923BCE"/>
    <w:rsid w:val="00923C0B"/>
    <w:rsid w:val="00923C25"/>
    <w:rsid w:val="00923C34"/>
    <w:rsid w:val="00923C6F"/>
    <w:rsid w:val="00923CC4"/>
    <w:rsid w:val="00923CCC"/>
    <w:rsid w:val="00923CD1"/>
    <w:rsid w:val="00923CEB"/>
    <w:rsid w:val="00923D2B"/>
    <w:rsid w:val="00923D64"/>
    <w:rsid w:val="00923D6E"/>
    <w:rsid w:val="00923DA7"/>
    <w:rsid w:val="00923DBC"/>
    <w:rsid w:val="00923DCD"/>
    <w:rsid w:val="00923DCF"/>
    <w:rsid w:val="00923DFB"/>
    <w:rsid w:val="00923E03"/>
    <w:rsid w:val="00923E6D"/>
    <w:rsid w:val="00923EA6"/>
    <w:rsid w:val="00923EAA"/>
    <w:rsid w:val="00923EB7"/>
    <w:rsid w:val="00923EBF"/>
    <w:rsid w:val="00923ED5"/>
    <w:rsid w:val="00923EE2"/>
    <w:rsid w:val="00923EFB"/>
    <w:rsid w:val="00923FBD"/>
    <w:rsid w:val="00923FDE"/>
    <w:rsid w:val="00923FE2"/>
    <w:rsid w:val="00923FF6"/>
    <w:rsid w:val="00924003"/>
    <w:rsid w:val="00924047"/>
    <w:rsid w:val="0092404E"/>
    <w:rsid w:val="0092406A"/>
    <w:rsid w:val="009240CD"/>
    <w:rsid w:val="0092410D"/>
    <w:rsid w:val="00924112"/>
    <w:rsid w:val="00924124"/>
    <w:rsid w:val="00924160"/>
    <w:rsid w:val="00924163"/>
    <w:rsid w:val="00924190"/>
    <w:rsid w:val="009241A0"/>
    <w:rsid w:val="009241DC"/>
    <w:rsid w:val="009241ED"/>
    <w:rsid w:val="00924204"/>
    <w:rsid w:val="00924218"/>
    <w:rsid w:val="00924264"/>
    <w:rsid w:val="00924294"/>
    <w:rsid w:val="009242A2"/>
    <w:rsid w:val="009242C4"/>
    <w:rsid w:val="00924347"/>
    <w:rsid w:val="00924367"/>
    <w:rsid w:val="00924370"/>
    <w:rsid w:val="009243F2"/>
    <w:rsid w:val="009243F8"/>
    <w:rsid w:val="00924430"/>
    <w:rsid w:val="0092445D"/>
    <w:rsid w:val="00924471"/>
    <w:rsid w:val="0092449C"/>
    <w:rsid w:val="009244B7"/>
    <w:rsid w:val="0092450F"/>
    <w:rsid w:val="00924514"/>
    <w:rsid w:val="0092455C"/>
    <w:rsid w:val="00924589"/>
    <w:rsid w:val="009245AC"/>
    <w:rsid w:val="009245B1"/>
    <w:rsid w:val="009245DF"/>
    <w:rsid w:val="009245FA"/>
    <w:rsid w:val="00924614"/>
    <w:rsid w:val="00924647"/>
    <w:rsid w:val="0092466A"/>
    <w:rsid w:val="00924697"/>
    <w:rsid w:val="0092474A"/>
    <w:rsid w:val="00924767"/>
    <w:rsid w:val="009247E2"/>
    <w:rsid w:val="00924830"/>
    <w:rsid w:val="00924832"/>
    <w:rsid w:val="0092484E"/>
    <w:rsid w:val="009248A7"/>
    <w:rsid w:val="009248AA"/>
    <w:rsid w:val="009248BE"/>
    <w:rsid w:val="009248F4"/>
    <w:rsid w:val="0092491E"/>
    <w:rsid w:val="00924941"/>
    <w:rsid w:val="00924949"/>
    <w:rsid w:val="00924968"/>
    <w:rsid w:val="0092496B"/>
    <w:rsid w:val="00924974"/>
    <w:rsid w:val="0092497E"/>
    <w:rsid w:val="009249FA"/>
    <w:rsid w:val="00924A2C"/>
    <w:rsid w:val="00924A3D"/>
    <w:rsid w:val="00924A57"/>
    <w:rsid w:val="00924A75"/>
    <w:rsid w:val="00924AA9"/>
    <w:rsid w:val="00924AC6"/>
    <w:rsid w:val="00924B37"/>
    <w:rsid w:val="00924B53"/>
    <w:rsid w:val="00924B60"/>
    <w:rsid w:val="00924B67"/>
    <w:rsid w:val="00924B69"/>
    <w:rsid w:val="00924B6A"/>
    <w:rsid w:val="00924B86"/>
    <w:rsid w:val="00924B90"/>
    <w:rsid w:val="00924BA1"/>
    <w:rsid w:val="00924BB6"/>
    <w:rsid w:val="00924BBE"/>
    <w:rsid w:val="00924BC4"/>
    <w:rsid w:val="00924BCC"/>
    <w:rsid w:val="00924BD1"/>
    <w:rsid w:val="00924BFB"/>
    <w:rsid w:val="00924C1C"/>
    <w:rsid w:val="00924CAF"/>
    <w:rsid w:val="00924CD6"/>
    <w:rsid w:val="00924CE0"/>
    <w:rsid w:val="00924CEE"/>
    <w:rsid w:val="00924CF4"/>
    <w:rsid w:val="00924CF6"/>
    <w:rsid w:val="00924D07"/>
    <w:rsid w:val="00924D59"/>
    <w:rsid w:val="00924DB9"/>
    <w:rsid w:val="00924DCD"/>
    <w:rsid w:val="00924DD8"/>
    <w:rsid w:val="00924E04"/>
    <w:rsid w:val="00924E4A"/>
    <w:rsid w:val="00924E93"/>
    <w:rsid w:val="00924E9B"/>
    <w:rsid w:val="00924EB6"/>
    <w:rsid w:val="00924EBC"/>
    <w:rsid w:val="00924EC2"/>
    <w:rsid w:val="00924F11"/>
    <w:rsid w:val="00924F42"/>
    <w:rsid w:val="00924F82"/>
    <w:rsid w:val="00924FF0"/>
    <w:rsid w:val="00925036"/>
    <w:rsid w:val="0092503E"/>
    <w:rsid w:val="00925043"/>
    <w:rsid w:val="009250C3"/>
    <w:rsid w:val="009250DA"/>
    <w:rsid w:val="00925111"/>
    <w:rsid w:val="00925164"/>
    <w:rsid w:val="009251D5"/>
    <w:rsid w:val="009251E9"/>
    <w:rsid w:val="00925225"/>
    <w:rsid w:val="0092524A"/>
    <w:rsid w:val="00925285"/>
    <w:rsid w:val="00925292"/>
    <w:rsid w:val="009252CE"/>
    <w:rsid w:val="009252D8"/>
    <w:rsid w:val="009252E8"/>
    <w:rsid w:val="0092534A"/>
    <w:rsid w:val="00925362"/>
    <w:rsid w:val="00925381"/>
    <w:rsid w:val="009253B7"/>
    <w:rsid w:val="0092540A"/>
    <w:rsid w:val="0092541A"/>
    <w:rsid w:val="00925430"/>
    <w:rsid w:val="00925439"/>
    <w:rsid w:val="00925447"/>
    <w:rsid w:val="00925451"/>
    <w:rsid w:val="00925464"/>
    <w:rsid w:val="00925477"/>
    <w:rsid w:val="00925487"/>
    <w:rsid w:val="009254A0"/>
    <w:rsid w:val="00925509"/>
    <w:rsid w:val="00925535"/>
    <w:rsid w:val="00925560"/>
    <w:rsid w:val="00925598"/>
    <w:rsid w:val="009255C5"/>
    <w:rsid w:val="009255EF"/>
    <w:rsid w:val="00925618"/>
    <w:rsid w:val="00925655"/>
    <w:rsid w:val="00925689"/>
    <w:rsid w:val="009256F9"/>
    <w:rsid w:val="009256FD"/>
    <w:rsid w:val="00925712"/>
    <w:rsid w:val="00925761"/>
    <w:rsid w:val="00925774"/>
    <w:rsid w:val="00925775"/>
    <w:rsid w:val="00925796"/>
    <w:rsid w:val="009257C8"/>
    <w:rsid w:val="00925838"/>
    <w:rsid w:val="00925850"/>
    <w:rsid w:val="009258B5"/>
    <w:rsid w:val="009258CE"/>
    <w:rsid w:val="009258F1"/>
    <w:rsid w:val="00925974"/>
    <w:rsid w:val="00925984"/>
    <w:rsid w:val="009259AB"/>
    <w:rsid w:val="009259B7"/>
    <w:rsid w:val="009259BC"/>
    <w:rsid w:val="009259BF"/>
    <w:rsid w:val="009259C4"/>
    <w:rsid w:val="009259E2"/>
    <w:rsid w:val="00925A63"/>
    <w:rsid w:val="00925AA8"/>
    <w:rsid w:val="00925AC7"/>
    <w:rsid w:val="00925AE1"/>
    <w:rsid w:val="00925B53"/>
    <w:rsid w:val="00925B9E"/>
    <w:rsid w:val="00925BAA"/>
    <w:rsid w:val="00925C43"/>
    <w:rsid w:val="00925C4B"/>
    <w:rsid w:val="00925C4C"/>
    <w:rsid w:val="00925C55"/>
    <w:rsid w:val="00925C63"/>
    <w:rsid w:val="00925C64"/>
    <w:rsid w:val="00925C92"/>
    <w:rsid w:val="00925CA2"/>
    <w:rsid w:val="00925CC5"/>
    <w:rsid w:val="00925CC7"/>
    <w:rsid w:val="00925CC9"/>
    <w:rsid w:val="00925CDA"/>
    <w:rsid w:val="00925D1B"/>
    <w:rsid w:val="00925D30"/>
    <w:rsid w:val="00925D6C"/>
    <w:rsid w:val="00925D76"/>
    <w:rsid w:val="00925D89"/>
    <w:rsid w:val="00925D97"/>
    <w:rsid w:val="00925DA0"/>
    <w:rsid w:val="00925DD9"/>
    <w:rsid w:val="00925DF8"/>
    <w:rsid w:val="00925E03"/>
    <w:rsid w:val="00925E0B"/>
    <w:rsid w:val="00925E0F"/>
    <w:rsid w:val="00925E5D"/>
    <w:rsid w:val="00925EFB"/>
    <w:rsid w:val="00925F09"/>
    <w:rsid w:val="00925F43"/>
    <w:rsid w:val="00925F4B"/>
    <w:rsid w:val="00925F5F"/>
    <w:rsid w:val="00925F79"/>
    <w:rsid w:val="00925F7E"/>
    <w:rsid w:val="00925F97"/>
    <w:rsid w:val="00925FA1"/>
    <w:rsid w:val="00925FA6"/>
    <w:rsid w:val="00925FD5"/>
    <w:rsid w:val="00926028"/>
    <w:rsid w:val="00926070"/>
    <w:rsid w:val="0092607F"/>
    <w:rsid w:val="00926089"/>
    <w:rsid w:val="009260BB"/>
    <w:rsid w:val="009260C5"/>
    <w:rsid w:val="0092611D"/>
    <w:rsid w:val="009261D2"/>
    <w:rsid w:val="009261EB"/>
    <w:rsid w:val="009261ED"/>
    <w:rsid w:val="00926212"/>
    <w:rsid w:val="00926239"/>
    <w:rsid w:val="009262A3"/>
    <w:rsid w:val="009262FF"/>
    <w:rsid w:val="00926329"/>
    <w:rsid w:val="0092632D"/>
    <w:rsid w:val="0092633A"/>
    <w:rsid w:val="0092637D"/>
    <w:rsid w:val="0092637E"/>
    <w:rsid w:val="009263B2"/>
    <w:rsid w:val="009263C8"/>
    <w:rsid w:val="009263CC"/>
    <w:rsid w:val="009263E0"/>
    <w:rsid w:val="0092640E"/>
    <w:rsid w:val="00926434"/>
    <w:rsid w:val="0092643B"/>
    <w:rsid w:val="0092644D"/>
    <w:rsid w:val="00926472"/>
    <w:rsid w:val="00926488"/>
    <w:rsid w:val="009264C0"/>
    <w:rsid w:val="009264F3"/>
    <w:rsid w:val="009265C8"/>
    <w:rsid w:val="009265FC"/>
    <w:rsid w:val="00926624"/>
    <w:rsid w:val="00926649"/>
    <w:rsid w:val="0092664A"/>
    <w:rsid w:val="0092667E"/>
    <w:rsid w:val="009266BD"/>
    <w:rsid w:val="00926722"/>
    <w:rsid w:val="0092673F"/>
    <w:rsid w:val="00926761"/>
    <w:rsid w:val="00926786"/>
    <w:rsid w:val="00926812"/>
    <w:rsid w:val="00926875"/>
    <w:rsid w:val="009268A4"/>
    <w:rsid w:val="009268E7"/>
    <w:rsid w:val="009268FB"/>
    <w:rsid w:val="009268FD"/>
    <w:rsid w:val="0092691F"/>
    <w:rsid w:val="009269D7"/>
    <w:rsid w:val="00926A16"/>
    <w:rsid w:val="00926A99"/>
    <w:rsid w:val="00926AD7"/>
    <w:rsid w:val="00926B1D"/>
    <w:rsid w:val="00926B26"/>
    <w:rsid w:val="00926B2D"/>
    <w:rsid w:val="00926B7B"/>
    <w:rsid w:val="00926B95"/>
    <w:rsid w:val="00926B9A"/>
    <w:rsid w:val="00926BF2"/>
    <w:rsid w:val="00926C10"/>
    <w:rsid w:val="00926C59"/>
    <w:rsid w:val="00926CF1"/>
    <w:rsid w:val="00926D05"/>
    <w:rsid w:val="00926D47"/>
    <w:rsid w:val="00926D74"/>
    <w:rsid w:val="00926DA2"/>
    <w:rsid w:val="00926DB1"/>
    <w:rsid w:val="00926DDC"/>
    <w:rsid w:val="00926E26"/>
    <w:rsid w:val="00926E4D"/>
    <w:rsid w:val="00926E6F"/>
    <w:rsid w:val="00926E73"/>
    <w:rsid w:val="00926E78"/>
    <w:rsid w:val="00926E91"/>
    <w:rsid w:val="00926EDD"/>
    <w:rsid w:val="00926F14"/>
    <w:rsid w:val="00926F26"/>
    <w:rsid w:val="00926F41"/>
    <w:rsid w:val="00926F4C"/>
    <w:rsid w:val="00926F52"/>
    <w:rsid w:val="00926F74"/>
    <w:rsid w:val="00926F75"/>
    <w:rsid w:val="00926FEB"/>
    <w:rsid w:val="0092702B"/>
    <w:rsid w:val="00927043"/>
    <w:rsid w:val="009270F0"/>
    <w:rsid w:val="0092715F"/>
    <w:rsid w:val="009271A3"/>
    <w:rsid w:val="009271A6"/>
    <w:rsid w:val="009271B9"/>
    <w:rsid w:val="009271D0"/>
    <w:rsid w:val="009271E3"/>
    <w:rsid w:val="009271EF"/>
    <w:rsid w:val="009271FB"/>
    <w:rsid w:val="0092724B"/>
    <w:rsid w:val="00927271"/>
    <w:rsid w:val="0092727F"/>
    <w:rsid w:val="00927281"/>
    <w:rsid w:val="00927298"/>
    <w:rsid w:val="009272A6"/>
    <w:rsid w:val="009272D7"/>
    <w:rsid w:val="009272F0"/>
    <w:rsid w:val="00927311"/>
    <w:rsid w:val="00927323"/>
    <w:rsid w:val="0092735D"/>
    <w:rsid w:val="0092735F"/>
    <w:rsid w:val="0092736E"/>
    <w:rsid w:val="0092737A"/>
    <w:rsid w:val="009273B7"/>
    <w:rsid w:val="009273C9"/>
    <w:rsid w:val="009273D9"/>
    <w:rsid w:val="009273ED"/>
    <w:rsid w:val="00927410"/>
    <w:rsid w:val="00927425"/>
    <w:rsid w:val="0092746B"/>
    <w:rsid w:val="00927479"/>
    <w:rsid w:val="00927483"/>
    <w:rsid w:val="009274CF"/>
    <w:rsid w:val="00927503"/>
    <w:rsid w:val="00927516"/>
    <w:rsid w:val="0092751F"/>
    <w:rsid w:val="00927562"/>
    <w:rsid w:val="009275AA"/>
    <w:rsid w:val="009275D8"/>
    <w:rsid w:val="00927608"/>
    <w:rsid w:val="00927644"/>
    <w:rsid w:val="0092765A"/>
    <w:rsid w:val="0092767E"/>
    <w:rsid w:val="00927687"/>
    <w:rsid w:val="0092769A"/>
    <w:rsid w:val="009276A9"/>
    <w:rsid w:val="009276EE"/>
    <w:rsid w:val="00927709"/>
    <w:rsid w:val="00927733"/>
    <w:rsid w:val="00927758"/>
    <w:rsid w:val="00927777"/>
    <w:rsid w:val="009277BB"/>
    <w:rsid w:val="009277C7"/>
    <w:rsid w:val="0092781A"/>
    <w:rsid w:val="00927829"/>
    <w:rsid w:val="0092783D"/>
    <w:rsid w:val="00927850"/>
    <w:rsid w:val="00927860"/>
    <w:rsid w:val="0092787E"/>
    <w:rsid w:val="009278BF"/>
    <w:rsid w:val="0092790F"/>
    <w:rsid w:val="00927923"/>
    <w:rsid w:val="00927936"/>
    <w:rsid w:val="00927955"/>
    <w:rsid w:val="009279FC"/>
    <w:rsid w:val="00927A38"/>
    <w:rsid w:val="00927AAC"/>
    <w:rsid w:val="00927ADC"/>
    <w:rsid w:val="00927AF3"/>
    <w:rsid w:val="00927B3A"/>
    <w:rsid w:val="00927B69"/>
    <w:rsid w:val="00927B73"/>
    <w:rsid w:val="00927BB6"/>
    <w:rsid w:val="00927BBE"/>
    <w:rsid w:val="00927BCF"/>
    <w:rsid w:val="00927C20"/>
    <w:rsid w:val="00927C36"/>
    <w:rsid w:val="00927C90"/>
    <w:rsid w:val="00927CAC"/>
    <w:rsid w:val="00927CC0"/>
    <w:rsid w:val="00927CCA"/>
    <w:rsid w:val="00927CDB"/>
    <w:rsid w:val="00927CE3"/>
    <w:rsid w:val="00927D08"/>
    <w:rsid w:val="00927D1B"/>
    <w:rsid w:val="00927D2B"/>
    <w:rsid w:val="00927D43"/>
    <w:rsid w:val="00927D64"/>
    <w:rsid w:val="00927D72"/>
    <w:rsid w:val="00927DC0"/>
    <w:rsid w:val="00927DFE"/>
    <w:rsid w:val="00927E0D"/>
    <w:rsid w:val="00927E2F"/>
    <w:rsid w:val="00927E39"/>
    <w:rsid w:val="00927E4B"/>
    <w:rsid w:val="00927E60"/>
    <w:rsid w:val="00927E70"/>
    <w:rsid w:val="00927E71"/>
    <w:rsid w:val="00927E7A"/>
    <w:rsid w:val="00927EB1"/>
    <w:rsid w:val="00927EB8"/>
    <w:rsid w:val="00927EC4"/>
    <w:rsid w:val="00927F11"/>
    <w:rsid w:val="00927F17"/>
    <w:rsid w:val="00927F2E"/>
    <w:rsid w:val="00930010"/>
    <w:rsid w:val="00930029"/>
    <w:rsid w:val="00930031"/>
    <w:rsid w:val="00930049"/>
    <w:rsid w:val="0093004A"/>
    <w:rsid w:val="00930082"/>
    <w:rsid w:val="009300CA"/>
    <w:rsid w:val="009300F6"/>
    <w:rsid w:val="00930145"/>
    <w:rsid w:val="00930181"/>
    <w:rsid w:val="00930194"/>
    <w:rsid w:val="00930220"/>
    <w:rsid w:val="00930227"/>
    <w:rsid w:val="00930294"/>
    <w:rsid w:val="009302C0"/>
    <w:rsid w:val="00930318"/>
    <w:rsid w:val="0093033B"/>
    <w:rsid w:val="00930361"/>
    <w:rsid w:val="00930374"/>
    <w:rsid w:val="009303A0"/>
    <w:rsid w:val="009303EB"/>
    <w:rsid w:val="0093044B"/>
    <w:rsid w:val="009304A1"/>
    <w:rsid w:val="009304B5"/>
    <w:rsid w:val="0093053B"/>
    <w:rsid w:val="0093055F"/>
    <w:rsid w:val="00930562"/>
    <w:rsid w:val="0093056C"/>
    <w:rsid w:val="009305CA"/>
    <w:rsid w:val="009305D9"/>
    <w:rsid w:val="00930613"/>
    <w:rsid w:val="00930616"/>
    <w:rsid w:val="00930640"/>
    <w:rsid w:val="00930642"/>
    <w:rsid w:val="00930664"/>
    <w:rsid w:val="0093066E"/>
    <w:rsid w:val="00930695"/>
    <w:rsid w:val="00930698"/>
    <w:rsid w:val="009306AB"/>
    <w:rsid w:val="009306AD"/>
    <w:rsid w:val="009306D7"/>
    <w:rsid w:val="009306E4"/>
    <w:rsid w:val="00930725"/>
    <w:rsid w:val="00930729"/>
    <w:rsid w:val="009307A7"/>
    <w:rsid w:val="009307B7"/>
    <w:rsid w:val="009307F4"/>
    <w:rsid w:val="00930826"/>
    <w:rsid w:val="00930846"/>
    <w:rsid w:val="00930849"/>
    <w:rsid w:val="00930852"/>
    <w:rsid w:val="009308BE"/>
    <w:rsid w:val="009308E5"/>
    <w:rsid w:val="009308F2"/>
    <w:rsid w:val="00930951"/>
    <w:rsid w:val="00930981"/>
    <w:rsid w:val="00930983"/>
    <w:rsid w:val="0093099D"/>
    <w:rsid w:val="009309B7"/>
    <w:rsid w:val="009309C6"/>
    <w:rsid w:val="009309E3"/>
    <w:rsid w:val="00930A33"/>
    <w:rsid w:val="00930A37"/>
    <w:rsid w:val="00930A8F"/>
    <w:rsid w:val="00930ABD"/>
    <w:rsid w:val="00930ACA"/>
    <w:rsid w:val="00930ACD"/>
    <w:rsid w:val="00930AD6"/>
    <w:rsid w:val="00930AF5"/>
    <w:rsid w:val="00930B2C"/>
    <w:rsid w:val="00930B30"/>
    <w:rsid w:val="00930B3A"/>
    <w:rsid w:val="00930B43"/>
    <w:rsid w:val="00930B50"/>
    <w:rsid w:val="00930B60"/>
    <w:rsid w:val="00930BD9"/>
    <w:rsid w:val="00930BE8"/>
    <w:rsid w:val="00930C11"/>
    <w:rsid w:val="00930C13"/>
    <w:rsid w:val="00930C4C"/>
    <w:rsid w:val="00930C70"/>
    <w:rsid w:val="00930C91"/>
    <w:rsid w:val="00930CCC"/>
    <w:rsid w:val="00930D1B"/>
    <w:rsid w:val="00930D26"/>
    <w:rsid w:val="00930D32"/>
    <w:rsid w:val="00930D48"/>
    <w:rsid w:val="00930D8D"/>
    <w:rsid w:val="00930D8F"/>
    <w:rsid w:val="00930D9A"/>
    <w:rsid w:val="00930DA5"/>
    <w:rsid w:val="00930DA8"/>
    <w:rsid w:val="00930DCE"/>
    <w:rsid w:val="00930DE5"/>
    <w:rsid w:val="00930DEF"/>
    <w:rsid w:val="00930DF3"/>
    <w:rsid w:val="00930DF6"/>
    <w:rsid w:val="00930E3E"/>
    <w:rsid w:val="00930E59"/>
    <w:rsid w:val="00930EAF"/>
    <w:rsid w:val="00930F28"/>
    <w:rsid w:val="00930F86"/>
    <w:rsid w:val="00930FE5"/>
    <w:rsid w:val="00931008"/>
    <w:rsid w:val="0093100F"/>
    <w:rsid w:val="00931015"/>
    <w:rsid w:val="00931085"/>
    <w:rsid w:val="00931098"/>
    <w:rsid w:val="009310A4"/>
    <w:rsid w:val="009310A8"/>
    <w:rsid w:val="009310CF"/>
    <w:rsid w:val="00931136"/>
    <w:rsid w:val="00931189"/>
    <w:rsid w:val="009311AC"/>
    <w:rsid w:val="009311E9"/>
    <w:rsid w:val="0093120F"/>
    <w:rsid w:val="0093121F"/>
    <w:rsid w:val="00931237"/>
    <w:rsid w:val="00931256"/>
    <w:rsid w:val="00931271"/>
    <w:rsid w:val="00931276"/>
    <w:rsid w:val="009312BF"/>
    <w:rsid w:val="009312C0"/>
    <w:rsid w:val="009312C3"/>
    <w:rsid w:val="009312FC"/>
    <w:rsid w:val="00931325"/>
    <w:rsid w:val="00931332"/>
    <w:rsid w:val="0093138E"/>
    <w:rsid w:val="009313A4"/>
    <w:rsid w:val="009313A7"/>
    <w:rsid w:val="009313B5"/>
    <w:rsid w:val="009313B6"/>
    <w:rsid w:val="009313FF"/>
    <w:rsid w:val="00931454"/>
    <w:rsid w:val="00931491"/>
    <w:rsid w:val="00931498"/>
    <w:rsid w:val="0093149A"/>
    <w:rsid w:val="009314AD"/>
    <w:rsid w:val="009314E9"/>
    <w:rsid w:val="009314EF"/>
    <w:rsid w:val="00931507"/>
    <w:rsid w:val="00931537"/>
    <w:rsid w:val="0093153A"/>
    <w:rsid w:val="00931585"/>
    <w:rsid w:val="00931590"/>
    <w:rsid w:val="00931593"/>
    <w:rsid w:val="009315BB"/>
    <w:rsid w:val="009315CC"/>
    <w:rsid w:val="009315E4"/>
    <w:rsid w:val="00931607"/>
    <w:rsid w:val="00931656"/>
    <w:rsid w:val="0093165D"/>
    <w:rsid w:val="009316DE"/>
    <w:rsid w:val="00931742"/>
    <w:rsid w:val="0093175F"/>
    <w:rsid w:val="00931796"/>
    <w:rsid w:val="009317BD"/>
    <w:rsid w:val="009317E0"/>
    <w:rsid w:val="00931800"/>
    <w:rsid w:val="00931812"/>
    <w:rsid w:val="0093184E"/>
    <w:rsid w:val="00931863"/>
    <w:rsid w:val="00931890"/>
    <w:rsid w:val="009318A6"/>
    <w:rsid w:val="009318B6"/>
    <w:rsid w:val="009318B7"/>
    <w:rsid w:val="009318DB"/>
    <w:rsid w:val="009318EA"/>
    <w:rsid w:val="009318F1"/>
    <w:rsid w:val="0093191F"/>
    <w:rsid w:val="00931923"/>
    <w:rsid w:val="00931925"/>
    <w:rsid w:val="0093196B"/>
    <w:rsid w:val="009319A6"/>
    <w:rsid w:val="009319AB"/>
    <w:rsid w:val="009319C1"/>
    <w:rsid w:val="009319F8"/>
    <w:rsid w:val="00931A01"/>
    <w:rsid w:val="00931A35"/>
    <w:rsid w:val="00931A54"/>
    <w:rsid w:val="00931A7F"/>
    <w:rsid w:val="00931A83"/>
    <w:rsid w:val="00931A86"/>
    <w:rsid w:val="00931A87"/>
    <w:rsid w:val="00931AB2"/>
    <w:rsid w:val="00931AB8"/>
    <w:rsid w:val="00931ACE"/>
    <w:rsid w:val="00931B12"/>
    <w:rsid w:val="00931B23"/>
    <w:rsid w:val="00931B2C"/>
    <w:rsid w:val="00931B5E"/>
    <w:rsid w:val="00931B63"/>
    <w:rsid w:val="00931B73"/>
    <w:rsid w:val="00931B79"/>
    <w:rsid w:val="00931B95"/>
    <w:rsid w:val="00931B9F"/>
    <w:rsid w:val="00931BC5"/>
    <w:rsid w:val="00931C02"/>
    <w:rsid w:val="00931C0D"/>
    <w:rsid w:val="00931C15"/>
    <w:rsid w:val="00931C3F"/>
    <w:rsid w:val="00931C4B"/>
    <w:rsid w:val="00931C60"/>
    <w:rsid w:val="00931CCF"/>
    <w:rsid w:val="00931CE1"/>
    <w:rsid w:val="00931CF8"/>
    <w:rsid w:val="00931D26"/>
    <w:rsid w:val="00931D66"/>
    <w:rsid w:val="00931DD5"/>
    <w:rsid w:val="00931DF4"/>
    <w:rsid w:val="00931DF5"/>
    <w:rsid w:val="00931DFB"/>
    <w:rsid w:val="00931E05"/>
    <w:rsid w:val="00931E9D"/>
    <w:rsid w:val="00931EE2"/>
    <w:rsid w:val="00931EF9"/>
    <w:rsid w:val="00931F3A"/>
    <w:rsid w:val="00931F56"/>
    <w:rsid w:val="00931F6D"/>
    <w:rsid w:val="00931F7B"/>
    <w:rsid w:val="00931F8C"/>
    <w:rsid w:val="00931FE8"/>
    <w:rsid w:val="00932032"/>
    <w:rsid w:val="00932079"/>
    <w:rsid w:val="0093208B"/>
    <w:rsid w:val="009320C0"/>
    <w:rsid w:val="009320FB"/>
    <w:rsid w:val="0093212A"/>
    <w:rsid w:val="0093213B"/>
    <w:rsid w:val="0093216A"/>
    <w:rsid w:val="0093216E"/>
    <w:rsid w:val="00932195"/>
    <w:rsid w:val="009321A2"/>
    <w:rsid w:val="009321F4"/>
    <w:rsid w:val="00932210"/>
    <w:rsid w:val="0093223D"/>
    <w:rsid w:val="0093223E"/>
    <w:rsid w:val="00932254"/>
    <w:rsid w:val="0093225A"/>
    <w:rsid w:val="00932263"/>
    <w:rsid w:val="00932296"/>
    <w:rsid w:val="009322E1"/>
    <w:rsid w:val="0093232E"/>
    <w:rsid w:val="0093236C"/>
    <w:rsid w:val="00932388"/>
    <w:rsid w:val="009323CA"/>
    <w:rsid w:val="009323D5"/>
    <w:rsid w:val="0093241F"/>
    <w:rsid w:val="0093243A"/>
    <w:rsid w:val="00932467"/>
    <w:rsid w:val="0093248F"/>
    <w:rsid w:val="00932513"/>
    <w:rsid w:val="00932517"/>
    <w:rsid w:val="0093254A"/>
    <w:rsid w:val="0093258A"/>
    <w:rsid w:val="00932590"/>
    <w:rsid w:val="0093261B"/>
    <w:rsid w:val="0093261D"/>
    <w:rsid w:val="00932637"/>
    <w:rsid w:val="0093266C"/>
    <w:rsid w:val="009326B3"/>
    <w:rsid w:val="009326FE"/>
    <w:rsid w:val="0093272D"/>
    <w:rsid w:val="00932734"/>
    <w:rsid w:val="009327E0"/>
    <w:rsid w:val="009327EB"/>
    <w:rsid w:val="009327FA"/>
    <w:rsid w:val="00932822"/>
    <w:rsid w:val="00932831"/>
    <w:rsid w:val="00932847"/>
    <w:rsid w:val="0093286B"/>
    <w:rsid w:val="0093286E"/>
    <w:rsid w:val="0093287F"/>
    <w:rsid w:val="00932885"/>
    <w:rsid w:val="00932891"/>
    <w:rsid w:val="009328CC"/>
    <w:rsid w:val="009328D2"/>
    <w:rsid w:val="00932954"/>
    <w:rsid w:val="00932967"/>
    <w:rsid w:val="0093296F"/>
    <w:rsid w:val="0093299F"/>
    <w:rsid w:val="00932A69"/>
    <w:rsid w:val="00932A73"/>
    <w:rsid w:val="00932A88"/>
    <w:rsid w:val="00932AB4"/>
    <w:rsid w:val="00932AD6"/>
    <w:rsid w:val="00932AE0"/>
    <w:rsid w:val="00932B6C"/>
    <w:rsid w:val="00932BAD"/>
    <w:rsid w:val="00932BC1"/>
    <w:rsid w:val="00932C45"/>
    <w:rsid w:val="00932C55"/>
    <w:rsid w:val="00932C61"/>
    <w:rsid w:val="00932C7C"/>
    <w:rsid w:val="00932CCD"/>
    <w:rsid w:val="00932CD6"/>
    <w:rsid w:val="00932CDE"/>
    <w:rsid w:val="00932CE5"/>
    <w:rsid w:val="00932D02"/>
    <w:rsid w:val="00932D1C"/>
    <w:rsid w:val="00932D21"/>
    <w:rsid w:val="00932DA2"/>
    <w:rsid w:val="00932DCA"/>
    <w:rsid w:val="00932DD0"/>
    <w:rsid w:val="00932DD5"/>
    <w:rsid w:val="00932E04"/>
    <w:rsid w:val="00932E0E"/>
    <w:rsid w:val="00932E30"/>
    <w:rsid w:val="00932E4C"/>
    <w:rsid w:val="00932E84"/>
    <w:rsid w:val="00932EE4"/>
    <w:rsid w:val="00932EE8"/>
    <w:rsid w:val="00932EFD"/>
    <w:rsid w:val="00932F3A"/>
    <w:rsid w:val="00932F5F"/>
    <w:rsid w:val="00932F69"/>
    <w:rsid w:val="00932FE3"/>
    <w:rsid w:val="00932FFA"/>
    <w:rsid w:val="00932FFE"/>
    <w:rsid w:val="00933005"/>
    <w:rsid w:val="009330EF"/>
    <w:rsid w:val="009330FF"/>
    <w:rsid w:val="0093312D"/>
    <w:rsid w:val="00933130"/>
    <w:rsid w:val="00933136"/>
    <w:rsid w:val="00933149"/>
    <w:rsid w:val="0093319D"/>
    <w:rsid w:val="009331AC"/>
    <w:rsid w:val="009331D7"/>
    <w:rsid w:val="009331FA"/>
    <w:rsid w:val="00933210"/>
    <w:rsid w:val="00933224"/>
    <w:rsid w:val="00933242"/>
    <w:rsid w:val="00933251"/>
    <w:rsid w:val="00933267"/>
    <w:rsid w:val="0093329C"/>
    <w:rsid w:val="009332B0"/>
    <w:rsid w:val="009332C5"/>
    <w:rsid w:val="009332E1"/>
    <w:rsid w:val="009332F7"/>
    <w:rsid w:val="00933324"/>
    <w:rsid w:val="0093339F"/>
    <w:rsid w:val="009333CA"/>
    <w:rsid w:val="009333D0"/>
    <w:rsid w:val="009333D1"/>
    <w:rsid w:val="009333D3"/>
    <w:rsid w:val="009333EC"/>
    <w:rsid w:val="009333FC"/>
    <w:rsid w:val="0093345A"/>
    <w:rsid w:val="00933471"/>
    <w:rsid w:val="00933472"/>
    <w:rsid w:val="00933474"/>
    <w:rsid w:val="00933483"/>
    <w:rsid w:val="009334A5"/>
    <w:rsid w:val="009334AA"/>
    <w:rsid w:val="009334EA"/>
    <w:rsid w:val="00933516"/>
    <w:rsid w:val="00933518"/>
    <w:rsid w:val="00933542"/>
    <w:rsid w:val="0093357F"/>
    <w:rsid w:val="00933594"/>
    <w:rsid w:val="009335CE"/>
    <w:rsid w:val="009335FE"/>
    <w:rsid w:val="00933610"/>
    <w:rsid w:val="00933624"/>
    <w:rsid w:val="0093362F"/>
    <w:rsid w:val="00933633"/>
    <w:rsid w:val="00933645"/>
    <w:rsid w:val="00933651"/>
    <w:rsid w:val="00933684"/>
    <w:rsid w:val="00933688"/>
    <w:rsid w:val="0093368F"/>
    <w:rsid w:val="00933699"/>
    <w:rsid w:val="009336A2"/>
    <w:rsid w:val="009336AD"/>
    <w:rsid w:val="009336BF"/>
    <w:rsid w:val="009336C8"/>
    <w:rsid w:val="009336F0"/>
    <w:rsid w:val="009336FE"/>
    <w:rsid w:val="00933745"/>
    <w:rsid w:val="009337A5"/>
    <w:rsid w:val="009337B1"/>
    <w:rsid w:val="009337B8"/>
    <w:rsid w:val="009337E3"/>
    <w:rsid w:val="00933833"/>
    <w:rsid w:val="00933861"/>
    <w:rsid w:val="0093388B"/>
    <w:rsid w:val="0093389A"/>
    <w:rsid w:val="009338B5"/>
    <w:rsid w:val="009338FB"/>
    <w:rsid w:val="0093393D"/>
    <w:rsid w:val="0093393E"/>
    <w:rsid w:val="009339CA"/>
    <w:rsid w:val="009339D8"/>
    <w:rsid w:val="00933A01"/>
    <w:rsid w:val="00933A54"/>
    <w:rsid w:val="00933A8F"/>
    <w:rsid w:val="00933A98"/>
    <w:rsid w:val="00933B0A"/>
    <w:rsid w:val="00933B23"/>
    <w:rsid w:val="00933B4A"/>
    <w:rsid w:val="00933B70"/>
    <w:rsid w:val="00933BAB"/>
    <w:rsid w:val="00933BD7"/>
    <w:rsid w:val="00933BE2"/>
    <w:rsid w:val="00933C01"/>
    <w:rsid w:val="00933C38"/>
    <w:rsid w:val="00933C52"/>
    <w:rsid w:val="00933C65"/>
    <w:rsid w:val="00933C75"/>
    <w:rsid w:val="00933CA2"/>
    <w:rsid w:val="00933CA5"/>
    <w:rsid w:val="00933CE6"/>
    <w:rsid w:val="00933D03"/>
    <w:rsid w:val="00933D0B"/>
    <w:rsid w:val="00933D0D"/>
    <w:rsid w:val="00933D9C"/>
    <w:rsid w:val="00933DED"/>
    <w:rsid w:val="00933DF1"/>
    <w:rsid w:val="00933E2E"/>
    <w:rsid w:val="00933E6C"/>
    <w:rsid w:val="00933E74"/>
    <w:rsid w:val="00933EA3"/>
    <w:rsid w:val="00933EC7"/>
    <w:rsid w:val="00933EC9"/>
    <w:rsid w:val="00933F17"/>
    <w:rsid w:val="00933F50"/>
    <w:rsid w:val="00933F7A"/>
    <w:rsid w:val="00933FDE"/>
    <w:rsid w:val="00933FE0"/>
    <w:rsid w:val="00934009"/>
    <w:rsid w:val="00934053"/>
    <w:rsid w:val="00934064"/>
    <w:rsid w:val="0093407B"/>
    <w:rsid w:val="00934083"/>
    <w:rsid w:val="00934084"/>
    <w:rsid w:val="009340FC"/>
    <w:rsid w:val="00934141"/>
    <w:rsid w:val="0093414A"/>
    <w:rsid w:val="009341A0"/>
    <w:rsid w:val="009341B2"/>
    <w:rsid w:val="009341C4"/>
    <w:rsid w:val="009341D5"/>
    <w:rsid w:val="009341D9"/>
    <w:rsid w:val="00934231"/>
    <w:rsid w:val="00934249"/>
    <w:rsid w:val="00934267"/>
    <w:rsid w:val="00934273"/>
    <w:rsid w:val="00934279"/>
    <w:rsid w:val="009342A4"/>
    <w:rsid w:val="009342B5"/>
    <w:rsid w:val="009342FD"/>
    <w:rsid w:val="0093430F"/>
    <w:rsid w:val="00934335"/>
    <w:rsid w:val="0093436D"/>
    <w:rsid w:val="0093438B"/>
    <w:rsid w:val="0093439A"/>
    <w:rsid w:val="0093439C"/>
    <w:rsid w:val="009343C1"/>
    <w:rsid w:val="009343FB"/>
    <w:rsid w:val="0093442F"/>
    <w:rsid w:val="00934452"/>
    <w:rsid w:val="0093449B"/>
    <w:rsid w:val="009344A8"/>
    <w:rsid w:val="009344AB"/>
    <w:rsid w:val="009344BF"/>
    <w:rsid w:val="009344CB"/>
    <w:rsid w:val="009344DB"/>
    <w:rsid w:val="009344DF"/>
    <w:rsid w:val="009344F7"/>
    <w:rsid w:val="00934536"/>
    <w:rsid w:val="00934548"/>
    <w:rsid w:val="00934569"/>
    <w:rsid w:val="00934570"/>
    <w:rsid w:val="009345E6"/>
    <w:rsid w:val="009345EA"/>
    <w:rsid w:val="0093462E"/>
    <w:rsid w:val="00934661"/>
    <w:rsid w:val="0093467D"/>
    <w:rsid w:val="00934683"/>
    <w:rsid w:val="009346FC"/>
    <w:rsid w:val="009346FD"/>
    <w:rsid w:val="00934748"/>
    <w:rsid w:val="00934780"/>
    <w:rsid w:val="00934817"/>
    <w:rsid w:val="00934820"/>
    <w:rsid w:val="00934838"/>
    <w:rsid w:val="0093484E"/>
    <w:rsid w:val="00934872"/>
    <w:rsid w:val="009348AF"/>
    <w:rsid w:val="0093490D"/>
    <w:rsid w:val="00934943"/>
    <w:rsid w:val="009349A1"/>
    <w:rsid w:val="009349BD"/>
    <w:rsid w:val="009349F4"/>
    <w:rsid w:val="00934A14"/>
    <w:rsid w:val="00934A4C"/>
    <w:rsid w:val="00934A63"/>
    <w:rsid w:val="00934AA4"/>
    <w:rsid w:val="00934AAC"/>
    <w:rsid w:val="00934AB4"/>
    <w:rsid w:val="00934B0A"/>
    <w:rsid w:val="00934B18"/>
    <w:rsid w:val="00934B53"/>
    <w:rsid w:val="00934BBE"/>
    <w:rsid w:val="00934C0E"/>
    <w:rsid w:val="00934C18"/>
    <w:rsid w:val="00934C63"/>
    <w:rsid w:val="00934C64"/>
    <w:rsid w:val="00934C9D"/>
    <w:rsid w:val="00934CA6"/>
    <w:rsid w:val="00934CBD"/>
    <w:rsid w:val="00934D25"/>
    <w:rsid w:val="00934D7A"/>
    <w:rsid w:val="00934D99"/>
    <w:rsid w:val="00934E47"/>
    <w:rsid w:val="00934E61"/>
    <w:rsid w:val="00934EC2"/>
    <w:rsid w:val="00934ED0"/>
    <w:rsid w:val="00934EF5"/>
    <w:rsid w:val="00934EF7"/>
    <w:rsid w:val="00934EFA"/>
    <w:rsid w:val="00934F57"/>
    <w:rsid w:val="00934F9B"/>
    <w:rsid w:val="00934FA4"/>
    <w:rsid w:val="00934FAB"/>
    <w:rsid w:val="00934FB3"/>
    <w:rsid w:val="00934FBA"/>
    <w:rsid w:val="0093500A"/>
    <w:rsid w:val="0093500B"/>
    <w:rsid w:val="00935025"/>
    <w:rsid w:val="0093502B"/>
    <w:rsid w:val="00935062"/>
    <w:rsid w:val="0093508C"/>
    <w:rsid w:val="0093509B"/>
    <w:rsid w:val="009350F1"/>
    <w:rsid w:val="00935119"/>
    <w:rsid w:val="0093517A"/>
    <w:rsid w:val="00935184"/>
    <w:rsid w:val="00935186"/>
    <w:rsid w:val="009351C6"/>
    <w:rsid w:val="00935221"/>
    <w:rsid w:val="00935227"/>
    <w:rsid w:val="009352E9"/>
    <w:rsid w:val="009352F7"/>
    <w:rsid w:val="0093537F"/>
    <w:rsid w:val="009353C0"/>
    <w:rsid w:val="009353D9"/>
    <w:rsid w:val="009353E3"/>
    <w:rsid w:val="009353E4"/>
    <w:rsid w:val="009353ED"/>
    <w:rsid w:val="00935409"/>
    <w:rsid w:val="00935421"/>
    <w:rsid w:val="0093542B"/>
    <w:rsid w:val="0093542F"/>
    <w:rsid w:val="00935439"/>
    <w:rsid w:val="00935440"/>
    <w:rsid w:val="0093548E"/>
    <w:rsid w:val="0093549B"/>
    <w:rsid w:val="009354B3"/>
    <w:rsid w:val="009354D7"/>
    <w:rsid w:val="009354DC"/>
    <w:rsid w:val="00935539"/>
    <w:rsid w:val="00935563"/>
    <w:rsid w:val="0093558F"/>
    <w:rsid w:val="00935590"/>
    <w:rsid w:val="009355B1"/>
    <w:rsid w:val="009355BF"/>
    <w:rsid w:val="009355E0"/>
    <w:rsid w:val="00935609"/>
    <w:rsid w:val="00935613"/>
    <w:rsid w:val="00935614"/>
    <w:rsid w:val="00935635"/>
    <w:rsid w:val="0093563B"/>
    <w:rsid w:val="00935643"/>
    <w:rsid w:val="0093567B"/>
    <w:rsid w:val="0093567E"/>
    <w:rsid w:val="009356AA"/>
    <w:rsid w:val="009356E0"/>
    <w:rsid w:val="0093570A"/>
    <w:rsid w:val="00935715"/>
    <w:rsid w:val="00935722"/>
    <w:rsid w:val="0093575F"/>
    <w:rsid w:val="00935796"/>
    <w:rsid w:val="009357CB"/>
    <w:rsid w:val="009357DD"/>
    <w:rsid w:val="00935802"/>
    <w:rsid w:val="00935807"/>
    <w:rsid w:val="00935853"/>
    <w:rsid w:val="00935860"/>
    <w:rsid w:val="009358B7"/>
    <w:rsid w:val="009358D7"/>
    <w:rsid w:val="00935971"/>
    <w:rsid w:val="00935981"/>
    <w:rsid w:val="009359E0"/>
    <w:rsid w:val="009359F3"/>
    <w:rsid w:val="00935A37"/>
    <w:rsid w:val="00935A74"/>
    <w:rsid w:val="00935B6E"/>
    <w:rsid w:val="00935BAB"/>
    <w:rsid w:val="00935BCB"/>
    <w:rsid w:val="00935BCC"/>
    <w:rsid w:val="00935BD4"/>
    <w:rsid w:val="00935C1E"/>
    <w:rsid w:val="00935C47"/>
    <w:rsid w:val="00935C86"/>
    <w:rsid w:val="00935CAE"/>
    <w:rsid w:val="00935CE8"/>
    <w:rsid w:val="00935D26"/>
    <w:rsid w:val="00935D79"/>
    <w:rsid w:val="00935D9D"/>
    <w:rsid w:val="00935DB5"/>
    <w:rsid w:val="00935DBE"/>
    <w:rsid w:val="00935E01"/>
    <w:rsid w:val="00935E04"/>
    <w:rsid w:val="00935E10"/>
    <w:rsid w:val="00935E3F"/>
    <w:rsid w:val="00935E4A"/>
    <w:rsid w:val="00935E4F"/>
    <w:rsid w:val="00935E92"/>
    <w:rsid w:val="00935EC3"/>
    <w:rsid w:val="00935EE4"/>
    <w:rsid w:val="00935EE8"/>
    <w:rsid w:val="00935EF0"/>
    <w:rsid w:val="00935F00"/>
    <w:rsid w:val="00935F0A"/>
    <w:rsid w:val="00935F2E"/>
    <w:rsid w:val="00935F42"/>
    <w:rsid w:val="00935F47"/>
    <w:rsid w:val="00935F6C"/>
    <w:rsid w:val="00935F87"/>
    <w:rsid w:val="00935F91"/>
    <w:rsid w:val="00935F92"/>
    <w:rsid w:val="00935FD1"/>
    <w:rsid w:val="00936029"/>
    <w:rsid w:val="0093605F"/>
    <w:rsid w:val="00936071"/>
    <w:rsid w:val="009360C4"/>
    <w:rsid w:val="009360CC"/>
    <w:rsid w:val="009360F3"/>
    <w:rsid w:val="00936132"/>
    <w:rsid w:val="00936154"/>
    <w:rsid w:val="00936157"/>
    <w:rsid w:val="009361DF"/>
    <w:rsid w:val="00936205"/>
    <w:rsid w:val="0093623D"/>
    <w:rsid w:val="009362CA"/>
    <w:rsid w:val="009362DD"/>
    <w:rsid w:val="009362FE"/>
    <w:rsid w:val="00936307"/>
    <w:rsid w:val="00936337"/>
    <w:rsid w:val="00936348"/>
    <w:rsid w:val="00936360"/>
    <w:rsid w:val="00936371"/>
    <w:rsid w:val="0093640B"/>
    <w:rsid w:val="00936477"/>
    <w:rsid w:val="009364D1"/>
    <w:rsid w:val="00936545"/>
    <w:rsid w:val="00936552"/>
    <w:rsid w:val="00936573"/>
    <w:rsid w:val="00936595"/>
    <w:rsid w:val="009365AA"/>
    <w:rsid w:val="009365AE"/>
    <w:rsid w:val="009365B6"/>
    <w:rsid w:val="009365BE"/>
    <w:rsid w:val="009365CF"/>
    <w:rsid w:val="00936615"/>
    <w:rsid w:val="0093661A"/>
    <w:rsid w:val="00936630"/>
    <w:rsid w:val="00936632"/>
    <w:rsid w:val="00936686"/>
    <w:rsid w:val="009366A5"/>
    <w:rsid w:val="009366CE"/>
    <w:rsid w:val="009366E7"/>
    <w:rsid w:val="00936701"/>
    <w:rsid w:val="00936716"/>
    <w:rsid w:val="00936726"/>
    <w:rsid w:val="0093672D"/>
    <w:rsid w:val="0093674B"/>
    <w:rsid w:val="0093674D"/>
    <w:rsid w:val="00936751"/>
    <w:rsid w:val="009367B7"/>
    <w:rsid w:val="009367D0"/>
    <w:rsid w:val="00936803"/>
    <w:rsid w:val="00936828"/>
    <w:rsid w:val="00936861"/>
    <w:rsid w:val="00936878"/>
    <w:rsid w:val="0093689B"/>
    <w:rsid w:val="009368B2"/>
    <w:rsid w:val="009368CD"/>
    <w:rsid w:val="009368F7"/>
    <w:rsid w:val="009368FB"/>
    <w:rsid w:val="0093692C"/>
    <w:rsid w:val="00936944"/>
    <w:rsid w:val="0093695E"/>
    <w:rsid w:val="0093696D"/>
    <w:rsid w:val="00936972"/>
    <w:rsid w:val="0093697C"/>
    <w:rsid w:val="0093698D"/>
    <w:rsid w:val="0093699C"/>
    <w:rsid w:val="009369BD"/>
    <w:rsid w:val="009369CC"/>
    <w:rsid w:val="009369CD"/>
    <w:rsid w:val="009369EC"/>
    <w:rsid w:val="00936A1F"/>
    <w:rsid w:val="00936A23"/>
    <w:rsid w:val="00936AB5"/>
    <w:rsid w:val="00936ABA"/>
    <w:rsid w:val="00936AF3"/>
    <w:rsid w:val="00936B6B"/>
    <w:rsid w:val="00936B6D"/>
    <w:rsid w:val="00936B7D"/>
    <w:rsid w:val="00936C17"/>
    <w:rsid w:val="00936C18"/>
    <w:rsid w:val="00936C1F"/>
    <w:rsid w:val="00936C25"/>
    <w:rsid w:val="00936C37"/>
    <w:rsid w:val="00936C68"/>
    <w:rsid w:val="00936CDB"/>
    <w:rsid w:val="00936D38"/>
    <w:rsid w:val="00936D52"/>
    <w:rsid w:val="00936D80"/>
    <w:rsid w:val="00936DB7"/>
    <w:rsid w:val="00936DBA"/>
    <w:rsid w:val="00936DD7"/>
    <w:rsid w:val="00936E0E"/>
    <w:rsid w:val="00936E26"/>
    <w:rsid w:val="00936E50"/>
    <w:rsid w:val="00936E63"/>
    <w:rsid w:val="00936E9B"/>
    <w:rsid w:val="00936E9E"/>
    <w:rsid w:val="00936EDE"/>
    <w:rsid w:val="00936F95"/>
    <w:rsid w:val="00936FA1"/>
    <w:rsid w:val="00936FA8"/>
    <w:rsid w:val="00936FE4"/>
    <w:rsid w:val="00936FFA"/>
    <w:rsid w:val="00937011"/>
    <w:rsid w:val="00937017"/>
    <w:rsid w:val="00937026"/>
    <w:rsid w:val="0093702A"/>
    <w:rsid w:val="0093705A"/>
    <w:rsid w:val="00937061"/>
    <w:rsid w:val="0093709E"/>
    <w:rsid w:val="009370AF"/>
    <w:rsid w:val="009370D4"/>
    <w:rsid w:val="009370EE"/>
    <w:rsid w:val="0093714A"/>
    <w:rsid w:val="009371C7"/>
    <w:rsid w:val="009371CD"/>
    <w:rsid w:val="009371D8"/>
    <w:rsid w:val="009371EB"/>
    <w:rsid w:val="009371F2"/>
    <w:rsid w:val="009371F3"/>
    <w:rsid w:val="009371F7"/>
    <w:rsid w:val="0093720B"/>
    <w:rsid w:val="00937288"/>
    <w:rsid w:val="00937293"/>
    <w:rsid w:val="00937302"/>
    <w:rsid w:val="0093730F"/>
    <w:rsid w:val="00937325"/>
    <w:rsid w:val="0093733E"/>
    <w:rsid w:val="009373BE"/>
    <w:rsid w:val="009373DA"/>
    <w:rsid w:val="00937439"/>
    <w:rsid w:val="0093744E"/>
    <w:rsid w:val="00937477"/>
    <w:rsid w:val="0093747B"/>
    <w:rsid w:val="00937487"/>
    <w:rsid w:val="009374A2"/>
    <w:rsid w:val="009374B5"/>
    <w:rsid w:val="009374CC"/>
    <w:rsid w:val="00937534"/>
    <w:rsid w:val="0093754B"/>
    <w:rsid w:val="0093754D"/>
    <w:rsid w:val="00937577"/>
    <w:rsid w:val="00937590"/>
    <w:rsid w:val="009375BB"/>
    <w:rsid w:val="009375CA"/>
    <w:rsid w:val="009375E4"/>
    <w:rsid w:val="009375F5"/>
    <w:rsid w:val="0093761D"/>
    <w:rsid w:val="00937652"/>
    <w:rsid w:val="009376B9"/>
    <w:rsid w:val="00937709"/>
    <w:rsid w:val="0093770A"/>
    <w:rsid w:val="0093773E"/>
    <w:rsid w:val="0093776D"/>
    <w:rsid w:val="0093778D"/>
    <w:rsid w:val="0093778F"/>
    <w:rsid w:val="009377B5"/>
    <w:rsid w:val="009377DB"/>
    <w:rsid w:val="00937825"/>
    <w:rsid w:val="00937837"/>
    <w:rsid w:val="0093785C"/>
    <w:rsid w:val="00937868"/>
    <w:rsid w:val="009378D7"/>
    <w:rsid w:val="009378FE"/>
    <w:rsid w:val="00937907"/>
    <w:rsid w:val="00937953"/>
    <w:rsid w:val="0093795D"/>
    <w:rsid w:val="00937968"/>
    <w:rsid w:val="0093797E"/>
    <w:rsid w:val="009379BB"/>
    <w:rsid w:val="00937A55"/>
    <w:rsid w:val="00937A7F"/>
    <w:rsid w:val="00937AA1"/>
    <w:rsid w:val="00937AA3"/>
    <w:rsid w:val="00937AD8"/>
    <w:rsid w:val="00937ADE"/>
    <w:rsid w:val="00937B72"/>
    <w:rsid w:val="00937BDF"/>
    <w:rsid w:val="00937BE2"/>
    <w:rsid w:val="00937BFB"/>
    <w:rsid w:val="00937C27"/>
    <w:rsid w:val="00937C33"/>
    <w:rsid w:val="00937C4E"/>
    <w:rsid w:val="00937C60"/>
    <w:rsid w:val="00937C64"/>
    <w:rsid w:val="00937C77"/>
    <w:rsid w:val="00937C78"/>
    <w:rsid w:val="00937CE2"/>
    <w:rsid w:val="00937D0E"/>
    <w:rsid w:val="00937D3E"/>
    <w:rsid w:val="00937D4D"/>
    <w:rsid w:val="00937DA9"/>
    <w:rsid w:val="00937E2F"/>
    <w:rsid w:val="00937E47"/>
    <w:rsid w:val="00937E76"/>
    <w:rsid w:val="00937E95"/>
    <w:rsid w:val="00937E98"/>
    <w:rsid w:val="00937E9E"/>
    <w:rsid w:val="00937EAC"/>
    <w:rsid w:val="00937EFB"/>
    <w:rsid w:val="00937F19"/>
    <w:rsid w:val="00937F22"/>
    <w:rsid w:val="00937F35"/>
    <w:rsid w:val="00937F80"/>
    <w:rsid w:val="00937F9B"/>
    <w:rsid w:val="00937FAC"/>
    <w:rsid w:val="0094001B"/>
    <w:rsid w:val="00940074"/>
    <w:rsid w:val="00940079"/>
    <w:rsid w:val="0094008B"/>
    <w:rsid w:val="009400A1"/>
    <w:rsid w:val="009400D1"/>
    <w:rsid w:val="00940170"/>
    <w:rsid w:val="00940182"/>
    <w:rsid w:val="009401A8"/>
    <w:rsid w:val="009401AE"/>
    <w:rsid w:val="00940225"/>
    <w:rsid w:val="00940232"/>
    <w:rsid w:val="00940312"/>
    <w:rsid w:val="00940314"/>
    <w:rsid w:val="0094037D"/>
    <w:rsid w:val="00940402"/>
    <w:rsid w:val="00940426"/>
    <w:rsid w:val="00940451"/>
    <w:rsid w:val="0094047B"/>
    <w:rsid w:val="0094047C"/>
    <w:rsid w:val="0094049C"/>
    <w:rsid w:val="009404A5"/>
    <w:rsid w:val="009404A6"/>
    <w:rsid w:val="009404AB"/>
    <w:rsid w:val="009404E2"/>
    <w:rsid w:val="009404F2"/>
    <w:rsid w:val="0094052C"/>
    <w:rsid w:val="0094053B"/>
    <w:rsid w:val="00940561"/>
    <w:rsid w:val="0094056C"/>
    <w:rsid w:val="00940598"/>
    <w:rsid w:val="009405A9"/>
    <w:rsid w:val="009405CB"/>
    <w:rsid w:val="009405F8"/>
    <w:rsid w:val="00940608"/>
    <w:rsid w:val="00940645"/>
    <w:rsid w:val="0094065D"/>
    <w:rsid w:val="009406D1"/>
    <w:rsid w:val="009406E5"/>
    <w:rsid w:val="00940700"/>
    <w:rsid w:val="0094071D"/>
    <w:rsid w:val="00940726"/>
    <w:rsid w:val="009407CD"/>
    <w:rsid w:val="00940842"/>
    <w:rsid w:val="0094088A"/>
    <w:rsid w:val="00940894"/>
    <w:rsid w:val="009408AA"/>
    <w:rsid w:val="009408AD"/>
    <w:rsid w:val="009408C4"/>
    <w:rsid w:val="009408D9"/>
    <w:rsid w:val="00940910"/>
    <w:rsid w:val="0094092D"/>
    <w:rsid w:val="0094094E"/>
    <w:rsid w:val="0094095B"/>
    <w:rsid w:val="00940980"/>
    <w:rsid w:val="009409C9"/>
    <w:rsid w:val="009409ED"/>
    <w:rsid w:val="009409F1"/>
    <w:rsid w:val="00940A65"/>
    <w:rsid w:val="00940A82"/>
    <w:rsid w:val="00940AED"/>
    <w:rsid w:val="00940AF1"/>
    <w:rsid w:val="00940B02"/>
    <w:rsid w:val="00940B0E"/>
    <w:rsid w:val="00940B16"/>
    <w:rsid w:val="00940C06"/>
    <w:rsid w:val="00940C2D"/>
    <w:rsid w:val="00940C3C"/>
    <w:rsid w:val="00940C7A"/>
    <w:rsid w:val="00940CAE"/>
    <w:rsid w:val="00940D30"/>
    <w:rsid w:val="00940D43"/>
    <w:rsid w:val="00940D4A"/>
    <w:rsid w:val="00940D7F"/>
    <w:rsid w:val="00940E25"/>
    <w:rsid w:val="00940E2E"/>
    <w:rsid w:val="00940E4A"/>
    <w:rsid w:val="00940E98"/>
    <w:rsid w:val="00940ECC"/>
    <w:rsid w:val="00940EDD"/>
    <w:rsid w:val="00940EFB"/>
    <w:rsid w:val="00940F1C"/>
    <w:rsid w:val="00940F4A"/>
    <w:rsid w:val="00940F62"/>
    <w:rsid w:val="00940FEC"/>
    <w:rsid w:val="0094102A"/>
    <w:rsid w:val="0094103D"/>
    <w:rsid w:val="00941045"/>
    <w:rsid w:val="0094104B"/>
    <w:rsid w:val="0094105C"/>
    <w:rsid w:val="009410C1"/>
    <w:rsid w:val="009410C6"/>
    <w:rsid w:val="009410EE"/>
    <w:rsid w:val="00941122"/>
    <w:rsid w:val="00941134"/>
    <w:rsid w:val="00941152"/>
    <w:rsid w:val="0094118B"/>
    <w:rsid w:val="009411AC"/>
    <w:rsid w:val="00941249"/>
    <w:rsid w:val="00941278"/>
    <w:rsid w:val="0094129B"/>
    <w:rsid w:val="009412CD"/>
    <w:rsid w:val="009412D9"/>
    <w:rsid w:val="0094132B"/>
    <w:rsid w:val="0094135D"/>
    <w:rsid w:val="00941365"/>
    <w:rsid w:val="0094137A"/>
    <w:rsid w:val="0094139B"/>
    <w:rsid w:val="009413A9"/>
    <w:rsid w:val="009413EA"/>
    <w:rsid w:val="009413FA"/>
    <w:rsid w:val="0094140A"/>
    <w:rsid w:val="00941417"/>
    <w:rsid w:val="00941418"/>
    <w:rsid w:val="00941438"/>
    <w:rsid w:val="00941442"/>
    <w:rsid w:val="0094146D"/>
    <w:rsid w:val="009414B7"/>
    <w:rsid w:val="009414BB"/>
    <w:rsid w:val="009414EC"/>
    <w:rsid w:val="0094151E"/>
    <w:rsid w:val="00941540"/>
    <w:rsid w:val="00941559"/>
    <w:rsid w:val="00941568"/>
    <w:rsid w:val="0094158B"/>
    <w:rsid w:val="00941614"/>
    <w:rsid w:val="00941649"/>
    <w:rsid w:val="0094168C"/>
    <w:rsid w:val="00941691"/>
    <w:rsid w:val="009416A7"/>
    <w:rsid w:val="009416AC"/>
    <w:rsid w:val="009416AF"/>
    <w:rsid w:val="009416C3"/>
    <w:rsid w:val="009416FC"/>
    <w:rsid w:val="00941728"/>
    <w:rsid w:val="009417FF"/>
    <w:rsid w:val="0094185E"/>
    <w:rsid w:val="0094186F"/>
    <w:rsid w:val="0094187F"/>
    <w:rsid w:val="0094188B"/>
    <w:rsid w:val="009418BA"/>
    <w:rsid w:val="00941920"/>
    <w:rsid w:val="00941A04"/>
    <w:rsid w:val="00941A38"/>
    <w:rsid w:val="00941A6D"/>
    <w:rsid w:val="00941A84"/>
    <w:rsid w:val="00941ABC"/>
    <w:rsid w:val="00941ACB"/>
    <w:rsid w:val="00941AEA"/>
    <w:rsid w:val="00941B10"/>
    <w:rsid w:val="00941B17"/>
    <w:rsid w:val="00941B54"/>
    <w:rsid w:val="00941BAF"/>
    <w:rsid w:val="00941BC6"/>
    <w:rsid w:val="00941BC9"/>
    <w:rsid w:val="00941BD7"/>
    <w:rsid w:val="00941BE0"/>
    <w:rsid w:val="00941BFA"/>
    <w:rsid w:val="00941C6A"/>
    <w:rsid w:val="00941C73"/>
    <w:rsid w:val="00941CB5"/>
    <w:rsid w:val="00941CBA"/>
    <w:rsid w:val="00941CDA"/>
    <w:rsid w:val="00941CF0"/>
    <w:rsid w:val="00941D06"/>
    <w:rsid w:val="00941D0D"/>
    <w:rsid w:val="00941D14"/>
    <w:rsid w:val="00941D1D"/>
    <w:rsid w:val="00941D67"/>
    <w:rsid w:val="00941D7C"/>
    <w:rsid w:val="00941D85"/>
    <w:rsid w:val="00941D89"/>
    <w:rsid w:val="00941D8D"/>
    <w:rsid w:val="00941DF5"/>
    <w:rsid w:val="00941E1C"/>
    <w:rsid w:val="00941E23"/>
    <w:rsid w:val="00941E2D"/>
    <w:rsid w:val="00941E5B"/>
    <w:rsid w:val="00941E7F"/>
    <w:rsid w:val="00941E8D"/>
    <w:rsid w:val="00941E94"/>
    <w:rsid w:val="00941EA3"/>
    <w:rsid w:val="00941EF5"/>
    <w:rsid w:val="00941EFC"/>
    <w:rsid w:val="00941F28"/>
    <w:rsid w:val="00941F52"/>
    <w:rsid w:val="00941F5C"/>
    <w:rsid w:val="00942038"/>
    <w:rsid w:val="0094206B"/>
    <w:rsid w:val="009420F8"/>
    <w:rsid w:val="00942117"/>
    <w:rsid w:val="00942148"/>
    <w:rsid w:val="00942192"/>
    <w:rsid w:val="00942201"/>
    <w:rsid w:val="00942224"/>
    <w:rsid w:val="00942234"/>
    <w:rsid w:val="00942249"/>
    <w:rsid w:val="00942261"/>
    <w:rsid w:val="009422AF"/>
    <w:rsid w:val="009422C0"/>
    <w:rsid w:val="00942375"/>
    <w:rsid w:val="00942376"/>
    <w:rsid w:val="0094237E"/>
    <w:rsid w:val="0094239D"/>
    <w:rsid w:val="009423A4"/>
    <w:rsid w:val="009423D9"/>
    <w:rsid w:val="009423E7"/>
    <w:rsid w:val="009423F7"/>
    <w:rsid w:val="00942433"/>
    <w:rsid w:val="0094244E"/>
    <w:rsid w:val="00942475"/>
    <w:rsid w:val="009424E6"/>
    <w:rsid w:val="00942548"/>
    <w:rsid w:val="00942574"/>
    <w:rsid w:val="009425A1"/>
    <w:rsid w:val="009425C3"/>
    <w:rsid w:val="0094265B"/>
    <w:rsid w:val="0094266E"/>
    <w:rsid w:val="009426BF"/>
    <w:rsid w:val="009426D3"/>
    <w:rsid w:val="009426EE"/>
    <w:rsid w:val="00942747"/>
    <w:rsid w:val="0094277C"/>
    <w:rsid w:val="009427BA"/>
    <w:rsid w:val="009427D8"/>
    <w:rsid w:val="0094281D"/>
    <w:rsid w:val="00942842"/>
    <w:rsid w:val="00942859"/>
    <w:rsid w:val="00942892"/>
    <w:rsid w:val="009428FA"/>
    <w:rsid w:val="0094290A"/>
    <w:rsid w:val="00942929"/>
    <w:rsid w:val="0094292D"/>
    <w:rsid w:val="00942981"/>
    <w:rsid w:val="009429A3"/>
    <w:rsid w:val="009429B4"/>
    <w:rsid w:val="009429DD"/>
    <w:rsid w:val="009429E2"/>
    <w:rsid w:val="00942A02"/>
    <w:rsid w:val="00942A4B"/>
    <w:rsid w:val="00942A4E"/>
    <w:rsid w:val="00942A73"/>
    <w:rsid w:val="00942A88"/>
    <w:rsid w:val="00942AE4"/>
    <w:rsid w:val="00942AF9"/>
    <w:rsid w:val="00942B4C"/>
    <w:rsid w:val="00942B51"/>
    <w:rsid w:val="00942B59"/>
    <w:rsid w:val="00942B6F"/>
    <w:rsid w:val="00942C02"/>
    <w:rsid w:val="00942C22"/>
    <w:rsid w:val="00942C2B"/>
    <w:rsid w:val="00942C81"/>
    <w:rsid w:val="00942CCE"/>
    <w:rsid w:val="00942D8C"/>
    <w:rsid w:val="00942D9E"/>
    <w:rsid w:val="00942DAE"/>
    <w:rsid w:val="00942DB1"/>
    <w:rsid w:val="00942DDC"/>
    <w:rsid w:val="00942DF8"/>
    <w:rsid w:val="00942E01"/>
    <w:rsid w:val="00942E19"/>
    <w:rsid w:val="00942E3A"/>
    <w:rsid w:val="00942E3E"/>
    <w:rsid w:val="00942EAB"/>
    <w:rsid w:val="00942F32"/>
    <w:rsid w:val="00942F3F"/>
    <w:rsid w:val="00942F82"/>
    <w:rsid w:val="00942F89"/>
    <w:rsid w:val="00942F8E"/>
    <w:rsid w:val="00942F9D"/>
    <w:rsid w:val="00942FA8"/>
    <w:rsid w:val="00942FAA"/>
    <w:rsid w:val="00942FB8"/>
    <w:rsid w:val="009430C3"/>
    <w:rsid w:val="009430C8"/>
    <w:rsid w:val="009430D4"/>
    <w:rsid w:val="009430E0"/>
    <w:rsid w:val="009430F7"/>
    <w:rsid w:val="009430F8"/>
    <w:rsid w:val="00943118"/>
    <w:rsid w:val="0094315E"/>
    <w:rsid w:val="009431AB"/>
    <w:rsid w:val="009431B2"/>
    <w:rsid w:val="009431F9"/>
    <w:rsid w:val="00943246"/>
    <w:rsid w:val="009432E2"/>
    <w:rsid w:val="009432E5"/>
    <w:rsid w:val="00943319"/>
    <w:rsid w:val="00943333"/>
    <w:rsid w:val="0094336E"/>
    <w:rsid w:val="00943374"/>
    <w:rsid w:val="0094337B"/>
    <w:rsid w:val="0094338F"/>
    <w:rsid w:val="009433B2"/>
    <w:rsid w:val="009433D0"/>
    <w:rsid w:val="009433E7"/>
    <w:rsid w:val="0094340F"/>
    <w:rsid w:val="00943412"/>
    <w:rsid w:val="00943413"/>
    <w:rsid w:val="00943435"/>
    <w:rsid w:val="00943492"/>
    <w:rsid w:val="009434BC"/>
    <w:rsid w:val="009434DD"/>
    <w:rsid w:val="0094350B"/>
    <w:rsid w:val="0094351D"/>
    <w:rsid w:val="00943578"/>
    <w:rsid w:val="00943581"/>
    <w:rsid w:val="009435A2"/>
    <w:rsid w:val="009435FC"/>
    <w:rsid w:val="00943607"/>
    <w:rsid w:val="0094361F"/>
    <w:rsid w:val="00943628"/>
    <w:rsid w:val="0094362D"/>
    <w:rsid w:val="00943699"/>
    <w:rsid w:val="009436C9"/>
    <w:rsid w:val="009436DD"/>
    <w:rsid w:val="00943721"/>
    <w:rsid w:val="009437DB"/>
    <w:rsid w:val="00943852"/>
    <w:rsid w:val="0094386A"/>
    <w:rsid w:val="0094388A"/>
    <w:rsid w:val="0094388C"/>
    <w:rsid w:val="00943897"/>
    <w:rsid w:val="0094389C"/>
    <w:rsid w:val="009438A4"/>
    <w:rsid w:val="009438A5"/>
    <w:rsid w:val="009438BB"/>
    <w:rsid w:val="009438CA"/>
    <w:rsid w:val="00943927"/>
    <w:rsid w:val="0094395A"/>
    <w:rsid w:val="0094395E"/>
    <w:rsid w:val="00943968"/>
    <w:rsid w:val="00943973"/>
    <w:rsid w:val="009439AB"/>
    <w:rsid w:val="009439D0"/>
    <w:rsid w:val="009439DF"/>
    <w:rsid w:val="009439EB"/>
    <w:rsid w:val="00943A36"/>
    <w:rsid w:val="00943A7A"/>
    <w:rsid w:val="00943A94"/>
    <w:rsid w:val="00943A9D"/>
    <w:rsid w:val="00943AF4"/>
    <w:rsid w:val="00943B47"/>
    <w:rsid w:val="00943BA9"/>
    <w:rsid w:val="00943BD7"/>
    <w:rsid w:val="00943C48"/>
    <w:rsid w:val="00943C49"/>
    <w:rsid w:val="00943C59"/>
    <w:rsid w:val="00943C8C"/>
    <w:rsid w:val="00943C91"/>
    <w:rsid w:val="00943CB6"/>
    <w:rsid w:val="00943CCA"/>
    <w:rsid w:val="00943CEA"/>
    <w:rsid w:val="00943CF0"/>
    <w:rsid w:val="00943D28"/>
    <w:rsid w:val="00943D3F"/>
    <w:rsid w:val="00943D4B"/>
    <w:rsid w:val="00943D66"/>
    <w:rsid w:val="00943DAC"/>
    <w:rsid w:val="00943DBC"/>
    <w:rsid w:val="00943DD6"/>
    <w:rsid w:val="00943E0C"/>
    <w:rsid w:val="00943E30"/>
    <w:rsid w:val="00943E4F"/>
    <w:rsid w:val="00943E84"/>
    <w:rsid w:val="00943EF6"/>
    <w:rsid w:val="00943EFE"/>
    <w:rsid w:val="00943F26"/>
    <w:rsid w:val="00943F4F"/>
    <w:rsid w:val="00943F8C"/>
    <w:rsid w:val="00943FDA"/>
    <w:rsid w:val="0094400F"/>
    <w:rsid w:val="00944053"/>
    <w:rsid w:val="00944065"/>
    <w:rsid w:val="00944092"/>
    <w:rsid w:val="00944099"/>
    <w:rsid w:val="009440B8"/>
    <w:rsid w:val="009440CE"/>
    <w:rsid w:val="009440D7"/>
    <w:rsid w:val="009440DF"/>
    <w:rsid w:val="009440F3"/>
    <w:rsid w:val="00944119"/>
    <w:rsid w:val="00944194"/>
    <w:rsid w:val="009441E7"/>
    <w:rsid w:val="0094423C"/>
    <w:rsid w:val="00944241"/>
    <w:rsid w:val="009442B5"/>
    <w:rsid w:val="009442C1"/>
    <w:rsid w:val="009442D6"/>
    <w:rsid w:val="009442FB"/>
    <w:rsid w:val="00944337"/>
    <w:rsid w:val="0094435C"/>
    <w:rsid w:val="00944375"/>
    <w:rsid w:val="00944389"/>
    <w:rsid w:val="009443A2"/>
    <w:rsid w:val="009443AF"/>
    <w:rsid w:val="0094446D"/>
    <w:rsid w:val="009444A7"/>
    <w:rsid w:val="00944533"/>
    <w:rsid w:val="00944553"/>
    <w:rsid w:val="0094455B"/>
    <w:rsid w:val="009445A2"/>
    <w:rsid w:val="00944631"/>
    <w:rsid w:val="00944662"/>
    <w:rsid w:val="0094466B"/>
    <w:rsid w:val="00944673"/>
    <w:rsid w:val="00944683"/>
    <w:rsid w:val="00944694"/>
    <w:rsid w:val="009446AF"/>
    <w:rsid w:val="009446BC"/>
    <w:rsid w:val="009446C5"/>
    <w:rsid w:val="009446CF"/>
    <w:rsid w:val="009446D7"/>
    <w:rsid w:val="0094470B"/>
    <w:rsid w:val="00944728"/>
    <w:rsid w:val="0094474A"/>
    <w:rsid w:val="009447D4"/>
    <w:rsid w:val="0094480A"/>
    <w:rsid w:val="009448C6"/>
    <w:rsid w:val="009448D1"/>
    <w:rsid w:val="009448D7"/>
    <w:rsid w:val="00944901"/>
    <w:rsid w:val="0094491C"/>
    <w:rsid w:val="0094493B"/>
    <w:rsid w:val="0094497E"/>
    <w:rsid w:val="009449A9"/>
    <w:rsid w:val="009449C7"/>
    <w:rsid w:val="009449EE"/>
    <w:rsid w:val="009449F2"/>
    <w:rsid w:val="00944A03"/>
    <w:rsid w:val="00944A30"/>
    <w:rsid w:val="00944AB2"/>
    <w:rsid w:val="00944B14"/>
    <w:rsid w:val="00944B21"/>
    <w:rsid w:val="00944B2C"/>
    <w:rsid w:val="00944B56"/>
    <w:rsid w:val="00944B7C"/>
    <w:rsid w:val="00944B7F"/>
    <w:rsid w:val="00944B88"/>
    <w:rsid w:val="00944B8D"/>
    <w:rsid w:val="00944BA8"/>
    <w:rsid w:val="00944BB9"/>
    <w:rsid w:val="00944BEA"/>
    <w:rsid w:val="00944C17"/>
    <w:rsid w:val="00944C52"/>
    <w:rsid w:val="00944C66"/>
    <w:rsid w:val="00944C6B"/>
    <w:rsid w:val="00944C9D"/>
    <w:rsid w:val="00944CB1"/>
    <w:rsid w:val="00944D21"/>
    <w:rsid w:val="00944D93"/>
    <w:rsid w:val="00944DD0"/>
    <w:rsid w:val="00944DD6"/>
    <w:rsid w:val="00944DD8"/>
    <w:rsid w:val="00944DF8"/>
    <w:rsid w:val="00944E04"/>
    <w:rsid w:val="00944E2D"/>
    <w:rsid w:val="00944E31"/>
    <w:rsid w:val="00944E3B"/>
    <w:rsid w:val="00944E86"/>
    <w:rsid w:val="00944EE0"/>
    <w:rsid w:val="00944EF9"/>
    <w:rsid w:val="00944F07"/>
    <w:rsid w:val="00944F20"/>
    <w:rsid w:val="00944F2C"/>
    <w:rsid w:val="00944F4D"/>
    <w:rsid w:val="00944F72"/>
    <w:rsid w:val="00944F8F"/>
    <w:rsid w:val="00944FE2"/>
    <w:rsid w:val="00944FEC"/>
    <w:rsid w:val="00944FFE"/>
    <w:rsid w:val="00945006"/>
    <w:rsid w:val="0094501C"/>
    <w:rsid w:val="0094502C"/>
    <w:rsid w:val="00945097"/>
    <w:rsid w:val="009450A2"/>
    <w:rsid w:val="009450D2"/>
    <w:rsid w:val="00945101"/>
    <w:rsid w:val="00945126"/>
    <w:rsid w:val="00945168"/>
    <w:rsid w:val="009451C0"/>
    <w:rsid w:val="009451DE"/>
    <w:rsid w:val="009451EF"/>
    <w:rsid w:val="009451F0"/>
    <w:rsid w:val="00945221"/>
    <w:rsid w:val="00945257"/>
    <w:rsid w:val="0094526F"/>
    <w:rsid w:val="009452A9"/>
    <w:rsid w:val="009452BC"/>
    <w:rsid w:val="0094531F"/>
    <w:rsid w:val="00945339"/>
    <w:rsid w:val="00945382"/>
    <w:rsid w:val="00945384"/>
    <w:rsid w:val="0094539B"/>
    <w:rsid w:val="009453E8"/>
    <w:rsid w:val="00945421"/>
    <w:rsid w:val="0094544A"/>
    <w:rsid w:val="00945478"/>
    <w:rsid w:val="009454C1"/>
    <w:rsid w:val="009454D3"/>
    <w:rsid w:val="00945542"/>
    <w:rsid w:val="0094556A"/>
    <w:rsid w:val="0094558F"/>
    <w:rsid w:val="009455BA"/>
    <w:rsid w:val="009455D3"/>
    <w:rsid w:val="00945634"/>
    <w:rsid w:val="00945638"/>
    <w:rsid w:val="0094565E"/>
    <w:rsid w:val="009456AD"/>
    <w:rsid w:val="009456DB"/>
    <w:rsid w:val="009456DC"/>
    <w:rsid w:val="0094571A"/>
    <w:rsid w:val="00945732"/>
    <w:rsid w:val="00945793"/>
    <w:rsid w:val="009457A4"/>
    <w:rsid w:val="009457C7"/>
    <w:rsid w:val="009457E1"/>
    <w:rsid w:val="009457E9"/>
    <w:rsid w:val="00945808"/>
    <w:rsid w:val="00945830"/>
    <w:rsid w:val="0094584B"/>
    <w:rsid w:val="00945882"/>
    <w:rsid w:val="0094588B"/>
    <w:rsid w:val="0094588E"/>
    <w:rsid w:val="00945898"/>
    <w:rsid w:val="0094589D"/>
    <w:rsid w:val="009458A5"/>
    <w:rsid w:val="009458A9"/>
    <w:rsid w:val="009458C4"/>
    <w:rsid w:val="009458FE"/>
    <w:rsid w:val="00945987"/>
    <w:rsid w:val="009459C5"/>
    <w:rsid w:val="009459DB"/>
    <w:rsid w:val="009459EF"/>
    <w:rsid w:val="00945A00"/>
    <w:rsid w:val="00945A0E"/>
    <w:rsid w:val="00945A2F"/>
    <w:rsid w:val="00945A31"/>
    <w:rsid w:val="00945A4A"/>
    <w:rsid w:val="00945A55"/>
    <w:rsid w:val="00945A7D"/>
    <w:rsid w:val="00945A88"/>
    <w:rsid w:val="00945A8A"/>
    <w:rsid w:val="00945AAC"/>
    <w:rsid w:val="00945B26"/>
    <w:rsid w:val="00945B34"/>
    <w:rsid w:val="00945B42"/>
    <w:rsid w:val="00945B5C"/>
    <w:rsid w:val="00945B65"/>
    <w:rsid w:val="00945B7B"/>
    <w:rsid w:val="00945B86"/>
    <w:rsid w:val="00945BA3"/>
    <w:rsid w:val="00945BDB"/>
    <w:rsid w:val="00945C01"/>
    <w:rsid w:val="00945C1A"/>
    <w:rsid w:val="00945C5B"/>
    <w:rsid w:val="00945CAE"/>
    <w:rsid w:val="00945CAF"/>
    <w:rsid w:val="00945CFC"/>
    <w:rsid w:val="00945D00"/>
    <w:rsid w:val="00945D27"/>
    <w:rsid w:val="00945D2E"/>
    <w:rsid w:val="00945D36"/>
    <w:rsid w:val="00945D72"/>
    <w:rsid w:val="00945D75"/>
    <w:rsid w:val="00945E0F"/>
    <w:rsid w:val="00945E24"/>
    <w:rsid w:val="00945E86"/>
    <w:rsid w:val="00945EB4"/>
    <w:rsid w:val="00945EB7"/>
    <w:rsid w:val="00945EC3"/>
    <w:rsid w:val="00945ED6"/>
    <w:rsid w:val="00945EE6"/>
    <w:rsid w:val="00945EF5"/>
    <w:rsid w:val="00945F06"/>
    <w:rsid w:val="00945F2C"/>
    <w:rsid w:val="00945F62"/>
    <w:rsid w:val="00945FFD"/>
    <w:rsid w:val="00945FFE"/>
    <w:rsid w:val="00945FFF"/>
    <w:rsid w:val="00946001"/>
    <w:rsid w:val="00946004"/>
    <w:rsid w:val="0094607F"/>
    <w:rsid w:val="00946081"/>
    <w:rsid w:val="009460B4"/>
    <w:rsid w:val="009460DF"/>
    <w:rsid w:val="0094610E"/>
    <w:rsid w:val="00946114"/>
    <w:rsid w:val="00946152"/>
    <w:rsid w:val="009461B6"/>
    <w:rsid w:val="009461C8"/>
    <w:rsid w:val="00946260"/>
    <w:rsid w:val="00946266"/>
    <w:rsid w:val="0094627C"/>
    <w:rsid w:val="00946288"/>
    <w:rsid w:val="009462A4"/>
    <w:rsid w:val="009462BF"/>
    <w:rsid w:val="00946307"/>
    <w:rsid w:val="00946315"/>
    <w:rsid w:val="00946329"/>
    <w:rsid w:val="00946335"/>
    <w:rsid w:val="0094636B"/>
    <w:rsid w:val="009463A5"/>
    <w:rsid w:val="009463F3"/>
    <w:rsid w:val="009463F6"/>
    <w:rsid w:val="009463FF"/>
    <w:rsid w:val="0094643D"/>
    <w:rsid w:val="0094646A"/>
    <w:rsid w:val="009464C9"/>
    <w:rsid w:val="00946506"/>
    <w:rsid w:val="00946508"/>
    <w:rsid w:val="0094650E"/>
    <w:rsid w:val="00946545"/>
    <w:rsid w:val="0094654A"/>
    <w:rsid w:val="00946559"/>
    <w:rsid w:val="0094655E"/>
    <w:rsid w:val="00946563"/>
    <w:rsid w:val="009465B1"/>
    <w:rsid w:val="00946646"/>
    <w:rsid w:val="0094665A"/>
    <w:rsid w:val="00946678"/>
    <w:rsid w:val="009466B2"/>
    <w:rsid w:val="0094673A"/>
    <w:rsid w:val="00946780"/>
    <w:rsid w:val="0094680B"/>
    <w:rsid w:val="00946867"/>
    <w:rsid w:val="00946893"/>
    <w:rsid w:val="009468C7"/>
    <w:rsid w:val="009468F7"/>
    <w:rsid w:val="00946986"/>
    <w:rsid w:val="0094699E"/>
    <w:rsid w:val="009469DA"/>
    <w:rsid w:val="009469DB"/>
    <w:rsid w:val="009469F3"/>
    <w:rsid w:val="00946A04"/>
    <w:rsid w:val="00946A0A"/>
    <w:rsid w:val="00946A32"/>
    <w:rsid w:val="00946A4E"/>
    <w:rsid w:val="00946A74"/>
    <w:rsid w:val="00946B10"/>
    <w:rsid w:val="00946BA2"/>
    <w:rsid w:val="00946BA6"/>
    <w:rsid w:val="00946BCC"/>
    <w:rsid w:val="00946BD1"/>
    <w:rsid w:val="00946C0B"/>
    <w:rsid w:val="00946C34"/>
    <w:rsid w:val="00946C53"/>
    <w:rsid w:val="00946C81"/>
    <w:rsid w:val="00946CBB"/>
    <w:rsid w:val="00946CE1"/>
    <w:rsid w:val="00946CEE"/>
    <w:rsid w:val="00946D07"/>
    <w:rsid w:val="00946D1B"/>
    <w:rsid w:val="00946D27"/>
    <w:rsid w:val="00946D2E"/>
    <w:rsid w:val="00946D78"/>
    <w:rsid w:val="00946D99"/>
    <w:rsid w:val="00946E26"/>
    <w:rsid w:val="00946E44"/>
    <w:rsid w:val="00946E99"/>
    <w:rsid w:val="00946EB9"/>
    <w:rsid w:val="00946EC3"/>
    <w:rsid w:val="00946EDA"/>
    <w:rsid w:val="00946EEB"/>
    <w:rsid w:val="00946EFC"/>
    <w:rsid w:val="00946F15"/>
    <w:rsid w:val="00946F6E"/>
    <w:rsid w:val="00946FA3"/>
    <w:rsid w:val="00946FB0"/>
    <w:rsid w:val="00947020"/>
    <w:rsid w:val="0094706B"/>
    <w:rsid w:val="00947084"/>
    <w:rsid w:val="0094708C"/>
    <w:rsid w:val="009470BD"/>
    <w:rsid w:val="0094710F"/>
    <w:rsid w:val="0094713E"/>
    <w:rsid w:val="0094717F"/>
    <w:rsid w:val="00947193"/>
    <w:rsid w:val="009471B3"/>
    <w:rsid w:val="009471B8"/>
    <w:rsid w:val="00947200"/>
    <w:rsid w:val="00947210"/>
    <w:rsid w:val="00947243"/>
    <w:rsid w:val="00947252"/>
    <w:rsid w:val="0094725E"/>
    <w:rsid w:val="0094726F"/>
    <w:rsid w:val="009472D0"/>
    <w:rsid w:val="009472DB"/>
    <w:rsid w:val="009472E6"/>
    <w:rsid w:val="009472F6"/>
    <w:rsid w:val="009472FB"/>
    <w:rsid w:val="0094731C"/>
    <w:rsid w:val="00947338"/>
    <w:rsid w:val="009473B8"/>
    <w:rsid w:val="009473BB"/>
    <w:rsid w:val="009473C3"/>
    <w:rsid w:val="0094741E"/>
    <w:rsid w:val="0094742D"/>
    <w:rsid w:val="0094742F"/>
    <w:rsid w:val="00947454"/>
    <w:rsid w:val="0094747E"/>
    <w:rsid w:val="009474A1"/>
    <w:rsid w:val="009474A2"/>
    <w:rsid w:val="009474F2"/>
    <w:rsid w:val="0094753B"/>
    <w:rsid w:val="0094755A"/>
    <w:rsid w:val="009475DC"/>
    <w:rsid w:val="00947614"/>
    <w:rsid w:val="0094761E"/>
    <w:rsid w:val="0094761F"/>
    <w:rsid w:val="00947669"/>
    <w:rsid w:val="009476BB"/>
    <w:rsid w:val="009476FE"/>
    <w:rsid w:val="00947720"/>
    <w:rsid w:val="00947758"/>
    <w:rsid w:val="00947765"/>
    <w:rsid w:val="0094779F"/>
    <w:rsid w:val="009477CA"/>
    <w:rsid w:val="009477D8"/>
    <w:rsid w:val="009477F3"/>
    <w:rsid w:val="0094780B"/>
    <w:rsid w:val="0094781B"/>
    <w:rsid w:val="0094782A"/>
    <w:rsid w:val="00947849"/>
    <w:rsid w:val="00947904"/>
    <w:rsid w:val="0094790D"/>
    <w:rsid w:val="00947918"/>
    <w:rsid w:val="00947946"/>
    <w:rsid w:val="009479C2"/>
    <w:rsid w:val="009479F1"/>
    <w:rsid w:val="00947A09"/>
    <w:rsid w:val="00947A0D"/>
    <w:rsid w:val="00947A12"/>
    <w:rsid w:val="00947A3A"/>
    <w:rsid w:val="00947A9E"/>
    <w:rsid w:val="00947ADB"/>
    <w:rsid w:val="00947AE0"/>
    <w:rsid w:val="00947AEF"/>
    <w:rsid w:val="00947AF5"/>
    <w:rsid w:val="00947AFD"/>
    <w:rsid w:val="00947B07"/>
    <w:rsid w:val="00947B1E"/>
    <w:rsid w:val="00947B3A"/>
    <w:rsid w:val="00947B3E"/>
    <w:rsid w:val="00947B3F"/>
    <w:rsid w:val="00947B91"/>
    <w:rsid w:val="00947BA3"/>
    <w:rsid w:val="00947C38"/>
    <w:rsid w:val="00947C54"/>
    <w:rsid w:val="00947C83"/>
    <w:rsid w:val="00947C89"/>
    <w:rsid w:val="00947C97"/>
    <w:rsid w:val="00947CD3"/>
    <w:rsid w:val="00947CDE"/>
    <w:rsid w:val="00947CEC"/>
    <w:rsid w:val="00947CF4"/>
    <w:rsid w:val="00947D3F"/>
    <w:rsid w:val="00947D50"/>
    <w:rsid w:val="00947D7E"/>
    <w:rsid w:val="00947DAE"/>
    <w:rsid w:val="00947DC6"/>
    <w:rsid w:val="00947DC7"/>
    <w:rsid w:val="00947DE0"/>
    <w:rsid w:val="00947DE4"/>
    <w:rsid w:val="00947DFB"/>
    <w:rsid w:val="00947E22"/>
    <w:rsid w:val="00947E29"/>
    <w:rsid w:val="00947EB7"/>
    <w:rsid w:val="00947EC1"/>
    <w:rsid w:val="00947EC2"/>
    <w:rsid w:val="00947EFF"/>
    <w:rsid w:val="00947F0E"/>
    <w:rsid w:val="00947F6F"/>
    <w:rsid w:val="00947FE2"/>
    <w:rsid w:val="0094932E"/>
    <w:rsid w:val="00950082"/>
    <w:rsid w:val="0095008E"/>
    <w:rsid w:val="009500D4"/>
    <w:rsid w:val="009500D6"/>
    <w:rsid w:val="009500F2"/>
    <w:rsid w:val="0095013C"/>
    <w:rsid w:val="00950153"/>
    <w:rsid w:val="00950168"/>
    <w:rsid w:val="0095016A"/>
    <w:rsid w:val="00950183"/>
    <w:rsid w:val="009501A3"/>
    <w:rsid w:val="009501AB"/>
    <w:rsid w:val="009501B4"/>
    <w:rsid w:val="009501DD"/>
    <w:rsid w:val="009501F0"/>
    <w:rsid w:val="009501F7"/>
    <w:rsid w:val="009502AF"/>
    <w:rsid w:val="00950318"/>
    <w:rsid w:val="00950328"/>
    <w:rsid w:val="0095034C"/>
    <w:rsid w:val="0095034E"/>
    <w:rsid w:val="00950368"/>
    <w:rsid w:val="0095040F"/>
    <w:rsid w:val="0095044A"/>
    <w:rsid w:val="0095048B"/>
    <w:rsid w:val="009504B6"/>
    <w:rsid w:val="009504C0"/>
    <w:rsid w:val="00950503"/>
    <w:rsid w:val="00950513"/>
    <w:rsid w:val="0095051D"/>
    <w:rsid w:val="0095053F"/>
    <w:rsid w:val="00950543"/>
    <w:rsid w:val="00950545"/>
    <w:rsid w:val="00950557"/>
    <w:rsid w:val="0095058E"/>
    <w:rsid w:val="009505A7"/>
    <w:rsid w:val="00950628"/>
    <w:rsid w:val="0095065E"/>
    <w:rsid w:val="00950682"/>
    <w:rsid w:val="009506CE"/>
    <w:rsid w:val="009506E9"/>
    <w:rsid w:val="009506F1"/>
    <w:rsid w:val="0095074A"/>
    <w:rsid w:val="00950753"/>
    <w:rsid w:val="0095075D"/>
    <w:rsid w:val="00950780"/>
    <w:rsid w:val="00950796"/>
    <w:rsid w:val="009507A1"/>
    <w:rsid w:val="009507AA"/>
    <w:rsid w:val="009507DD"/>
    <w:rsid w:val="009507F7"/>
    <w:rsid w:val="0095082A"/>
    <w:rsid w:val="00950851"/>
    <w:rsid w:val="00950886"/>
    <w:rsid w:val="00950890"/>
    <w:rsid w:val="009508A8"/>
    <w:rsid w:val="009508B2"/>
    <w:rsid w:val="009508B9"/>
    <w:rsid w:val="009508C5"/>
    <w:rsid w:val="009508ED"/>
    <w:rsid w:val="00950917"/>
    <w:rsid w:val="00950933"/>
    <w:rsid w:val="0095093D"/>
    <w:rsid w:val="0095093E"/>
    <w:rsid w:val="00950970"/>
    <w:rsid w:val="009509AD"/>
    <w:rsid w:val="00950A0D"/>
    <w:rsid w:val="00950A14"/>
    <w:rsid w:val="00950A28"/>
    <w:rsid w:val="00950A2B"/>
    <w:rsid w:val="00950A56"/>
    <w:rsid w:val="00950A7D"/>
    <w:rsid w:val="00950A9C"/>
    <w:rsid w:val="00950A9F"/>
    <w:rsid w:val="00950AAA"/>
    <w:rsid w:val="00950AE0"/>
    <w:rsid w:val="00950AF6"/>
    <w:rsid w:val="00950B0F"/>
    <w:rsid w:val="00950BA0"/>
    <w:rsid w:val="00950BC0"/>
    <w:rsid w:val="00950BCF"/>
    <w:rsid w:val="00950C0E"/>
    <w:rsid w:val="00950C13"/>
    <w:rsid w:val="00950C1F"/>
    <w:rsid w:val="00950C5A"/>
    <w:rsid w:val="00950C62"/>
    <w:rsid w:val="00950C83"/>
    <w:rsid w:val="00950C85"/>
    <w:rsid w:val="00950C97"/>
    <w:rsid w:val="00950CC1"/>
    <w:rsid w:val="00950CEB"/>
    <w:rsid w:val="00950CEC"/>
    <w:rsid w:val="00950D0C"/>
    <w:rsid w:val="00950D34"/>
    <w:rsid w:val="00950D42"/>
    <w:rsid w:val="00950D57"/>
    <w:rsid w:val="00950D5D"/>
    <w:rsid w:val="00950D6B"/>
    <w:rsid w:val="00950D77"/>
    <w:rsid w:val="00950D8A"/>
    <w:rsid w:val="00950DCC"/>
    <w:rsid w:val="00950DDB"/>
    <w:rsid w:val="00950DE9"/>
    <w:rsid w:val="00950E06"/>
    <w:rsid w:val="00950E23"/>
    <w:rsid w:val="00950E91"/>
    <w:rsid w:val="00950EA8"/>
    <w:rsid w:val="00950EB3"/>
    <w:rsid w:val="00950F07"/>
    <w:rsid w:val="00950F3A"/>
    <w:rsid w:val="00950F47"/>
    <w:rsid w:val="00950F4A"/>
    <w:rsid w:val="00950F6C"/>
    <w:rsid w:val="00950F7C"/>
    <w:rsid w:val="00950F95"/>
    <w:rsid w:val="00950FED"/>
    <w:rsid w:val="00950FFA"/>
    <w:rsid w:val="0095100C"/>
    <w:rsid w:val="00951034"/>
    <w:rsid w:val="0095104B"/>
    <w:rsid w:val="0095105A"/>
    <w:rsid w:val="00951060"/>
    <w:rsid w:val="00951067"/>
    <w:rsid w:val="009510CA"/>
    <w:rsid w:val="0095113E"/>
    <w:rsid w:val="00951152"/>
    <w:rsid w:val="009511EA"/>
    <w:rsid w:val="009511EC"/>
    <w:rsid w:val="00951204"/>
    <w:rsid w:val="0095121C"/>
    <w:rsid w:val="00951253"/>
    <w:rsid w:val="0095126E"/>
    <w:rsid w:val="00951277"/>
    <w:rsid w:val="0095127A"/>
    <w:rsid w:val="00951285"/>
    <w:rsid w:val="00951289"/>
    <w:rsid w:val="009512A9"/>
    <w:rsid w:val="009512AC"/>
    <w:rsid w:val="009512CA"/>
    <w:rsid w:val="009512D2"/>
    <w:rsid w:val="009512E2"/>
    <w:rsid w:val="009512E5"/>
    <w:rsid w:val="00951300"/>
    <w:rsid w:val="0095130F"/>
    <w:rsid w:val="00951341"/>
    <w:rsid w:val="00951343"/>
    <w:rsid w:val="00951351"/>
    <w:rsid w:val="00951364"/>
    <w:rsid w:val="00951366"/>
    <w:rsid w:val="00951386"/>
    <w:rsid w:val="009513F5"/>
    <w:rsid w:val="00951412"/>
    <w:rsid w:val="0095142F"/>
    <w:rsid w:val="0095144C"/>
    <w:rsid w:val="00951486"/>
    <w:rsid w:val="00951489"/>
    <w:rsid w:val="009514A4"/>
    <w:rsid w:val="009514CA"/>
    <w:rsid w:val="009514CC"/>
    <w:rsid w:val="0095153A"/>
    <w:rsid w:val="00951549"/>
    <w:rsid w:val="009515DE"/>
    <w:rsid w:val="00951624"/>
    <w:rsid w:val="0095162C"/>
    <w:rsid w:val="0095167B"/>
    <w:rsid w:val="0095168E"/>
    <w:rsid w:val="00951699"/>
    <w:rsid w:val="009516B9"/>
    <w:rsid w:val="009516F2"/>
    <w:rsid w:val="0095173B"/>
    <w:rsid w:val="009517AC"/>
    <w:rsid w:val="0095184C"/>
    <w:rsid w:val="00951877"/>
    <w:rsid w:val="00951886"/>
    <w:rsid w:val="0095189C"/>
    <w:rsid w:val="00951909"/>
    <w:rsid w:val="00951911"/>
    <w:rsid w:val="0095197B"/>
    <w:rsid w:val="009519C2"/>
    <w:rsid w:val="009519E1"/>
    <w:rsid w:val="00951A24"/>
    <w:rsid w:val="00951A7D"/>
    <w:rsid w:val="00951AAA"/>
    <w:rsid w:val="00951AB3"/>
    <w:rsid w:val="00951B0B"/>
    <w:rsid w:val="00951B12"/>
    <w:rsid w:val="00951B71"/>
    <w:rsid w:val="00951B83"/>
    <w:rsid w:val="00951B8E"/>
    <w:rsid w:val="00951BAA"/>
    <w:rsid w:val="00951BC2"/>
    <w:rsid w:val="00951BE8"/>
    <w:rsid w:val="00951C03"/>
    <w:rsid w:val="00951C11"/>
    <w:rsid w:val="00951C21"/>
    <w:rsid w:val="00951C3F"/>
    <w:rsid w:val="00951C7D"/>
    <w:rsid w:val="00951C83"/>
    <w:rsid w:val="00951CB0"/>
    <w:rsid w:val="00951CD7"/>
    <w:rsid w:val="00951CFE"/>
    <w:rsid w:val="00951CFF"/>
    <w:rsid w:val="00951D32"/>
    <w:rsid w:val="00951D62"/>
    <w:rsid w:val="00951D7A"/>
    <w:rsid w:val="00951E1B"/>
    <w:rsid w:val="00951E2B"/>
    <w:rsid w:val="00951EB0"/>
    <w:rsid w:val="00951ED7"/>
    <w:rsid w:val="00951ED9"/>
    <w:rsid w:val="00951EE1"/>
    <w:rsid w:val="00951EE5"/>
    <w:rsid w:val="00951F29"/>
    <w:rsid w:val="00951F2F"/>
    <w:rsid w:val="00951F87"/>
    <w:rsid w:val="00951F91"/>
    <w:rsid w:val="00951FA7"/>
    <w:rsid w:val="00951FC2"/>
    <w:rsid w:val="00952022"/>
    <w:rsid w:val="0095202B"/>
    <w:rsid w:val="0095205A"/>
    <w:rsid w:val="0095205B"/>
    <w:rsid w:val="00952063"/>
    <w:rsid w:val="00952074"/>
    <w:rsid w:val="00952108"/>
    <w:rsid w:val="00952168"/>
    <w:rsid w:val="00952190"/>
    <w:rsid w:val="009521E3"/>
    <w:rsid w:val="009521EE"/>
    <w:rsid w:val="009522CD"/>
    <w:rsid w:val="009522D6"/>
    <w:rsid w:val="00952312"/>
    <w:rsid w:val="00952320"/>
    <w:rsid w:val="00952328"/>
    <w:rsid w:val="00952362"/>
    <w:rsid w:val="0095239D"/>
    <w:rsid w:val="009523BE"/>
    <w:rsid w:val="009523EA"/>
    <w:rsid w:val="00952426"/>
    <w:rsid w:val="00952437"/>
    <w:rsid w:val="0095243A"/>
    <w:rsid w:val="0095243F"/>
    <w:rsid w:val="00952440"/>
    <w:rsid w:val="00952444"/>
    <w:rsid w:val="0095246D"/>
    <w:rsid w:val="00952470"/>
    <w:rsid w:val="00952498"/>
    <w:rsid w:val="009524C3"/>
    <w:rsid w:val="0095253A"/>
    <w:rsid w:val="0095256C"/>
    <w:rsid w:val="009525C2"/>
    <w:rsid w:val="009525CD"/>
    <w:rsid w:val="009525E0"/>
    <w:rsid w:val="0095264E"/>
    <w:rsid w:val="0095265C"/>
    <w:rsid w:val="0095266D"/>
    <w:rsid w:val="009526A2"/>
    <w:rsid w:val="009526B7"/>
    <w:rsid w:val="009526C3"/>
    <w:rsid w:val="009526CD"/>
    <w:rsid w:val="009526DF"/>
    <w:rsid w:val="00952715"/>
    <w:rsid w:val="009527ED"/>
    <w:rsid w:val="009527F0"/>
    <w:rsid w:val="00952829"/>
    <w:rsid w:val="0095284C"/>
    <w:rsid w:val="00952872"/>
    <w:rsid w:val="00952881"/>
    <w:rsid w:val="00952899"/>
    <w:rsid w:val="009528D4"/>
    <w:rsid w:val="0095290A"/>
    <w:rsid w:val="00952944"/>
    <w:rsid w:val="0095295D"/>
    <w:rsid w:val="009529FC"/>
    <w:rsid w:val="009529FE"/>
    <w:rsid w:val="00952A6F"/>
    <w:rsid w:val="00952AAF"/>
    <w:rsid w:val="00952B48"/>
    <w:rsid w:val="00952BF6"/>
    <w:rsid w:val="00952C0B"/>
    <w:rsid w:val="00952C7E"/>
    <w:rsid w:val="00952CB3"/>
    <w:rsid w:val="00952D8C"/>
    <w:rsid w:val="00952DD5"/>
    <w:rsid w:val="00952E2D"/>
    <w:rsid w:val="00952E3E"/>
    <w:rsid w:val="00952E4C"/>
    <w:rsid w:val="00952E64"/>
    <w:rsid w:val="00952E9B"/>
    <w:rsid w:val="00952F08"/>
    <w:rsid w:val="00952F1F"/>
    <w:rsid w:val="00952F29"/>
    <w:rsid w:val="00952F2A"/>
    <w:rsid w:val="00952F41"/>
    <w:rsid w:val="00952F75"/>
    <w:rsid w:val="00952FA2"/>
    <w:rsid w:val="00953025"/>
    <w:rsid w:val="009530A1"/>
    <w:rsid w:val="009530A5"/>
    <w:rsid w:val="00953159"/>
    <w:rsid w:val="00953169"/>
    <w:rsid w:val="0095316D"/>
    <w:rsid w:val="0095317C"/>
    <w:rsid w:val="00953195"/>
    <w:rsid w:val="009531A9"/>
    <w:rsid w:val="009531E1"/>
    <w:rsid w:val="009531F1"/>
    <w:rsid w:val="009531F2"/>
    <w:rsid w:val="009531F4"/>
    <w:rsid w:val="0095322D"/>
    <w:rsid w:val="00953277"/>
    <w:rsid w:val="00953292"/>
    <w:rsid w:val="009532A5"/>
    <w:rsid w:val="009532A7"/>
    <w:rsid w:val="009532B4"/>
    <w:rsid w:val="009532B6"/>
    <w:rsid w:val="009532ED"/>
    <w:rsid w:val="00953311"/>
    <w:rsid w:val="00953321"/>
    <w:rsid w:val="0095334B"/>
    <w:rsid w:val="00953368"/>
    <w:rsid w:val="0095339A"/>
    <w:rsid w:val="009533AB"/>
    <w:rsid w:val="009533D5"/>
    <w:rsid w:val="009533F1"/>
    <w:rsid w:val="009533F4"/>
    <w:rsid w:val="00953468"/>
    <w:rsid w:val="009534A2"/>
    <w:rsid w:val="009534B4"/>
    <w:rsid w:val="009534BE"/>
    <w:rsid w:val="009534CC"/>
    <w:rsid w:val="009534F8"/>
    <w:rsid w:val="0095350E"/>
    <w:rsid w:val="0095351D"/>
    <w:rsid w:val="00953545"/>
    <w:rsid w:val="00953560"/>
    <w:rsid w:val="0095357A"/>
    <w:rsid w:val="0095357B"/>
    <w:rsid w:val="009535A1"/>
    <w:rsid w:val="009535E9"/>
    <w:rsid w:val="009535EA"/>
    <w:rsid w:val="00953601"/>
    <w:rsid w:val="0095360E"/>
    <w:rsid w:val="0095361B"/>
    <w:rsid w:val="0095361C"/>
    <w:rsid w:val="0095361E"/>
    <w:rsid w:val="009536E3"/>
    <w:rsid w:val="009536EF"/>
    <w:rsid w:val="0095371C"/>
    <w:rsid w:val="0095373D"/>
    <w:rsid w:val="00953757"/>
    <w:rsid w:val="0095375F"/>
    <w:rsid w:val="00953770"/>
    <w:rsid w:val="009537C0"/>
    <w:rsid w:val="009537C7"/>
    <w:rsid w:val="009537DC"/>
    <w:rsid w:val="009537F8"/>
    <w:rsid w:val="00953805"/>
    <w:rsid w:val="0095380A"/>
    <w:rsid w:val="00953839"/>
    <w:rsid w:val="00953846"/>
    <w:rsid w:val="009538A7"/>
    <w:rsid w:val="009538E1"/>
    <w:rsid w:val="0095390E"/>
    <w:rsid w:val="0095394C"/>
    <w:rsid w:val="00953958"/>
    <w:rsid w:val="00953970"/>
    <w:rsid w:val="00953975"/>
    <w:rsid w:val="0095398D"/>
    <w:rsid w:val="00953A01"/>
    <w:rsid w:val="00953A04"/>
    <w:rsid w:val="00953A66"/>
    <w:rsid w:val="00953A74"/>
    <w:rsid w:val="00953AC1"/>
    <w:rsid w:val="00953ACC"/>
    <w:rsid w:val="00953ADD"/>
    <w:rsid w:val="00953AFB"/>
    <w:rsid w:val="00953B0B"/>
    <w:rsid w:val="00953B1C"/>
    <w:rsid w:val="00953B35"/>
    <w:rsid w:val="00953BAD"/>
    <w:rsid w:val="00953BD5"/>
    <w:rsid w:val="00953BE1"/>
    <w:rsid w:val="00953C14"/>
    <w:rsid w:val="00953C3B"/>
    <w:rsid w:val="00953C4B"/>
    <w:rsid w:val="00953C71"/>
    <w:rsid w:val="00953CA7"/>
    <w:rsid w:val="00953CAF"/>
    <w:rsid w:val="00953CE1"/>
    <w:rsid w:val="00953D01"/>
    <w:rsid w:val="00953DA3"/>
    <w:rsid w:val="00953DAC"/>
    <w:rsid w:val="00953DB4"/>
    <w:rsid w:val="00953E37"/>
    <w:rsid w:val="00953E52"/>
    <w:rsid w:val="00953E68"/>
    <w:rsid w:val="00953E78"/>
    <w:rsid w:val="00953ED8"/>
    <w:rsid w:val="00953F0D"/>
    <w:rsid w:val="00953F0F"/>
    <w:rsid w:val="00953F40"/>
    <w:rsid w:val="00953F4C"/>
    <w:rsid w:val="00953F7A"/>
    <w:rsid w:val="00953F8C"/>
    <w:rsid w:val="00953F94"/>
    <w:rsid w:val="00953FAA"/>
    <w:rsid w:val="00953FC8"/>
    <w:rsid w:val="00954085"/>
    <w:rsid w:val="0095408A"/>
    <w:rsid w:val="009540B0"/>
    <w:rsid w:val="00954116"/>
    <w:rsid w:val="0095411B"/>
    <w:rsid w:val="00954173"/>
    <w:rsid w:val="009541D4"/>
    <w:rsid w:val="009541F6"/>
    <w:rsid w:val="00954218"/>
    <w:rsid w:val="00954263"/>
    <w:rsid w:val="00954280"/>
    <w:rsid w:val="009542D2"/>
    <w:rsid w:val="0095433D"/>
    <w:rsid w:val="00954346"/>
    <w:rsid w:val="00954378"/>
    <w:rsid w:val="009543B7"/>
    <w:rsid w:val="009543D4"/>
    <w:rsid w:val="009543E6"/>
    <w:rsid w:val="00954449"/>
    <w:rsid w:val="00954456"/>
    <w:rsid w:val="00954473"/>
    <w:rsid w:val="00954491"/>
    <w:rsid w:val="009544D0"/>
    <w:rsid w:val="009544DB"/>
    <w:rsid w:val="009544F8"/>
    <w:rsid w:val="00954587"/>
    <w:rsid w:val="009545CF"/>
    <w:rsid w:val="009545D5"/>
    <w:rsid w:val="009545E7"/>
    <w:rsid w:val="0095461B"/>
    <w:rsid w:val="00954638"/>
    <w:rsid w:val="0095465C"/>
    <w:rsid w:val="009546AA"/>
    <w:rsid w:val="00954711"/>
    <w:rsid w:val="00954745"/>
    <w:rsid w:val="00954750"/>
    <w:rsid w:val="009547B8"/>
    <w:rsid w:val="009547D7"/>
    <w:rsid w:val="009547E3"/>
    <w:rsid w:val="00954864"/>
    <w:rsid w:val="00954869"/>
    <w:rsid w:val="009548AB"/>
    <w:rsid w:val="00954935"/>
    <w:rsid w:val="00954936"/>
    <w:rsid w:val="00954953"/>
    <w:rsid w:val="009549B2"/>
    <w:rsid w:val="009549B7"/>
    <w:rsid w:val="009549F9"/>
    <w:rsid w:val="00954A31"/>
    <w:rsid w:val="00954A40"/>
    <w:rsid w:val="00954A88"/>
    <w:rsid w:val="00954A96"/>
    <w:rsid w:val="00954A9B"/>
    <w:rsid w:val="00954A9E"/>
    <w:rsid w:val="00954AD6"/>
    <w:rsid w:val="00954ADB"/>
    <w:rsid w:val="00954AE1"/>
    <w:rsid w:val="00954AF7"/>
    <w:rsid w:val="00954B25"/>
    <w:rsid w:val="00954B3F"/>
    <w:rsid w:val="00954B50"/>
    <w:rsid w:val="00954B54"/>
    <w:rsid w:val="00954C43"/>
    <w:rsid w:val="00954C79"/>
    <w:rsid w:val="00954CA9"/>
    <w:rsid w:val="00954CF0"/>
    <w:rsid w:val="00954CF1"/>
    <w:rsid w:val="00954DDD"/>
    <w:rsid w:val="00954DEA"/>
    <w:rsid w:val="00954DF5"/>
    <w:rsid w:val="00954E5B"/>
    <w:rsid w:val="00954EDD"/>
    <w:rsid w:val="00954EFD"/>
    <w:rsid w:val="00954F06"/>
    <w:rsid w:val="00954F48"/>
    <w:rsid w:val="00954F71"/>
    <w:rsid w:val="00954F75"/>
    <w:rsid w:val="00954F83"/>
    <w:rsid w:val="00954FA0"/>
    <w:rsid w:val="00954FA3"/>
    <w:rsid w:val="00954FA4"/>
    <w:rsid w:val="00954FA9"/>
    <w:rsid w:val="00954FD2"/>
    <w:rsid w:val="00954FE0"/>
    <w:rsid w:val="00954FEA"/>
    <w:rsid w:val="00955008"/>
    <w:rsid w:val="00955031"/>
    <w:rsid w:val="0095505A"/>
    <w:rsid w:val="00955083"/>
    <w:rsid w:val="0095509D"/>
    <w:rsid w:val="009550E1"/>
    <w:rsid w:val="00955118"/>
    <w:rsid w:val="0095514A"/>
    <w:rsid w:val="00955166"/>
    <w:rsid w:val="009551E8"/>
    <w:rsid w:val="009551FF"/>
    <w:rsid w:val="00955239"/>
    <w:rsid w:val="00955251"/>
    <w:rsid w:val="00955287"/>
    <w:rsid w:val="00955299"/>
    <w:rsid w:val="009552AC"/>
    <w:rsid w:val="00955334"/>
    <w:rsid w:val="00955350"/>
    <w:rsid w:val="00955382"/>
    <w:rsid w:val="009553C1"/>
    <w:rsid w:val="009553C2"/>
    <w:rsid w:val="009553E0"/>
    <w:rsid w:val="009553E5"/>
    <w:rsid w:val="009553F8"/>
    <w:rsid w:val="0095541A"/>
    <w:rsid w:val="00955433"/>
    <w:rsid w:val="00955434"/>
    <w:rsid w:val="00955443"/>
    <w:rsid w:val="0095549F"/>
    <w:rsid w:val="009554EC"/>
    <w:rsid w:val="00955507"/>
    <w:rsid w:val="0095552B"/>
    <w:rsid w:val="00955568"/>
    <w:rsid w:val="00955585"/>
    <w:rsid w:val="009555E4"/>
    <w:rsid w:val="00955603"/>
    <w:rsid w:val="00955643"/>
    <w:rsid w:val="00955649"/>
    <w:rsid w:val="0095566E"/>
    <w:rsid w:val="00955688"/>
    <w:rsid w:val="009556C3"/>
    <w:rsid w:val="009556F5"/>
    <w:rsid w:val="0095570F"/>
    <w:rsid w:val="00955719"/>
    <w:rsid w:val="00955757"/>
    <w:rsid w:val="00955806"/>
    <w:rsid w:val="0095582B"/>
    <w:rsid w:val="00955939"/>
    <w:rsid w:val="00955943"/>
    <w:rsid w:val="009559C1"/>
    <w:rsid w:val="009559F1"/>
    <w:rsid w:val="009559FB"/>
    <w:rsid w:val="00955A11"/>
    <w:rsid w:val="00955A64"/>
    <w:rsid w:val="00955A69"/>
    <w:rsid w:val="00955AB8"/>
    <w:rsid w:val="00955AC8"/>
    <w:rsid w:val="00955AE6"/>
    <w:rsid w:val="00955AE9"/>
    <w:rsid w:val="00955AF3"/>
    <w:rsid w:val="00955B4E"/>
    <w:rsid w:val="00955B5E"/>
    <w:rsid w:val="00955BB8"/>
    <w:rsid w:val="00955BE2"/>
    <w:rsid w:val="00955BE4"/>
    <w:rsid w:val="00955BFA"/>
    <w:rsid w:val="00955C0F"/>
    <w:rsid w:val="00955C1E"/>
    <w:rsid w:val="00955C36"/>
    <w:rsid w:val="00955C3E"/>
    <w:rsid w:val="00955C80"/>
    <w:rsid w:val="00955CAD"/>
    <w:rsid w:val="00955CF5"/>
    <w:rsid w:val="00955D50"/>
    <w:rsid w:val="00955D6D"/>
    <w:rsid w:val="00955D74"/>
    <w:rsid w:val="00955D8F"/>
    <w:rsid w:val="00955DC5"/>
    <w:rsid w:val="00955E35"/>
    <w:rsid w:val="00955E4E"/>
    <w:rsid w:val="00955E87"/>
    <w:rsid w:val="00955E94"/>
    <w:rsid w:val="00955EF2"/>
    <w:rsid w:val="00955EFC"/>
    <w:rsid w:val="00955F00"/>
    <w:rsid w:val="00955F05"/>
    <w:rsid w:val="00955F14"/>
    <w:rsid w:val="00955F17"/>
    <w:rsid w:val="00955F21"/>
    <w:rsid w:val="00955F94"/>
    <w:rsid w:val="00955FBF"/>
    <w:rsid w:val="00955FC9"/>
    <w:rsid w:val="00955FE0"/>
    <w:rsid w:val="00955FEA"/>
    <w:rsid w:val="00955FF0"/>
    <w:rsid w:val="00956058"/>
    <w:rsid w:val="00956084"/>
    <w:rsid w:val="00956089"/>
    <w:rsid w:val="009560AC"/>
    <w:rsid w:val="009560B6"/>
    <w:rsid w:val="009560EF"/>
    <w:rsid w:val="0095610D"/>
    <w:rsid w:val="00956123"/>
    <w:rsid w:val="00956163"/>
    <w:rsid w:val="00956198"/>
    <w:rsid w:val="009561A9"/>
    <w:rsid w:val="00956200"/>
    <w:rsid w:val="0095622D"/>
    <w:rsid w:val="00956286"/>
    <w:rsid w:val="00956292"/>
    <w:rsid w:val="00956296"/>
    <w:rsid w:val="00956308"/>
    <w:rsid w:val="00956333"/>
    <w:rsid w:val="0095633F"/>
    <w:rsid w:val="00956363"/>
    <w:rsid w:val="0095639B"/>
    <w:rsid w:val="009563E7"/>
    <w:rsid w:val="00956460"/>
    <w:rsid w:val="00956465"/>
    <w:rsid w:val="00956472"/>
    <w:rsid w:val="009564F1"/>
    <w:rsid w:val="00956545"/>
    <w:rsid w:val="00956567"/>
    <w:rsid w:val="00956572"/>
    <w:rsid w:val="009565CB"/>
    <w:rsid w:val="0095660A"/>
    <w:rsid w:val="0095661C"/>
    <w:rsid w:val="00956633"/>
    <w:rsid w:val="00956658"/>
    <w:rsid w:val="00956668"/>
    <w:rsid w:val="00956678"/>
    <w:rsid w:val="00956684"/>
    <w:rsid w:val="00956695"/>
    <w:rsid w:val="00956742"/>
    <w:rsid w:val="00956755"/>
    <w:rsid w:val="00956779"/>
    <w:rsid w:val="009567B3"/>
    <w:rsid w:val="009567B6"/>
    <w:rsid w:val="009567CF"/>
    <w:rsid w:val="009567E1"/>
    <w:rsid w:val="009567E6"/>
    <w:rsid w:val="009567F3"/>
    <w:rsid w:val="00956802"/>
    <w:rsid w:val="0095681D"/>
    <w:rsid w:val="00956839"/>
    <w:rsid w:val="0095683E"/>
    <w:rsid w:val="00956843"/>
    <w:rsid w:val="00956848"/>
    <w:rsid w:val="00956858"/>
    <w:rsid w:val="00956860"/>
    <w:rsid w:val="0095688F"/>
    <w:rsid w:val="009568A6"/>
    <w:rsid w:val="0095694B"/>
    <w:rsid w:val="0095694D"/>
    <w:rsid w:val="00956954"/>
    <w:rsid w:val="00956969"/>
    <w:rsid w:val="00956989"/>
    <w:rsid w:val="0095699B"/>
    <w:rsid w:val="009569A2"/>
    <w:rsid w:val="00956A07"/>
    <w:rsid w:val="00956A11"/>
    <w:rsid w:val="00956A13"/>
    <w:rsid w:val="00956A68"/>
    <w:rsid w:val="00956A78"/>
    <w:rsid w:val="00956A9F"/>
    <w:rsid w:val="00956AC9"/>
    <w:rsid w:val="00956AFE"/>
    <w:rsid w:val="00956B60"/>
    <w:rsid w:val="00956B91"/>
    <w:rsid w:val="00956BBB"/>
    <w:rsid w:val="00956BED"/>
    <w:rsid w:val="00956BFF"/>
    <w:rsid w:val="00956C0B"/>
    <w:rsid w:val="00956C21"/>
    <w:rsid w:val="00956C27"/>
    <w:rsid w:val="00956C28"/>
    <w:rsid w:val="00956C54"/>
    <w:rsid w:val="00956C7A"/>
    <w:rsid w:val="00956C9D"/>
    <w:rsid w:val="00956C9E"/>
    <w:rsid w:val="00956CA7"/>
    <w:rsid w:val="00956D1A"/>
    <w:rsid w:val="00956D43"/>
    <w:rsid w:val="00956D68"/>
    <w:rsid w:val="00956DC1"/>
    <w:rsid w:val="00956DDB"/>
    <w:rsid w:val="00956DEF"/>
    <w:rsid w:val="00956DFB"/>
    <w:rsid w:val="00956E3B"/>
    <w:rsid w:val="00956E3D"/>
    <w:rsid w:val="00956F1C"/>
    <w:rsid w:val="00956F38"/>
    <w:rsid w:val="00956F66"/>
    <w:rsid w:val="00956F7A"/>
    <w:rsid w:val="009570C7"/>
    <w:rsid w:val="009570DA"/>
    <w:rsid w:val="009570EB"/>
    <w:rsid w:val="009570F4"/>
    <w:rsid w:val="009570FB"/>
    <w:rsid w:val="0095713A"/>
    <w:rsid w:val="0095713C"/>
    <w:rsid w:val="0095715D"/>
    <w:rsid w:val="009571C7"/>
    <w:rsid w:val="00957204"/>
    <w:rsid w:val="00957212"/>
    <w:rsid w:val="00957230"/>
    <w:rsid w:val="00957252"/>
    <w:rsid w:val="0095726E"/>
    <w:rsid w:val="009572A7"/>
    <w:rsid w:val="00957302"/>
    <w:rsid w:val="0095730E"/>
    <w:rsid w:val="00957333"/>
    <w:rsid w:val="00957352"/>
    <w:rsid w:val="00957394"/>
    <w:rsid w:val="009573A5"/>
    <w:rsid w:val="009573AE"/>
    <w:rsid w:val="00957405"/>
    <w:rsid w:val="00957422"/>
    <w:rsid w:val="00957452"/>
    <w:rsid w:val="0095746F"/>
    <w:rsid w:val="0095749E"/>
    <w:rsid w:val="009574AC"/>
    <w:rsid w:val="009574AD"/>
    <w:rsid w:val="009574BB"/>
    <w:rsid w:val="009574CD"/>
    <w:rsid w:val="00957503"/>
    <w:rsid w:val="00957543"/>
    <w:rsid w:val="0095755A"/>
    <w:rsid w:val="00957589"/>
    <w:rsid w:val="009575A0"/>
    <w:rsid w:val="009575BA"/>
    <w:rsid w:val="00957611"/>
    <w:rsid w:val="0095766F"/>
    <w:rsid w:val="0095767D"/>
    <w:rsid w:val="00957695"/>
    <w:rsid w:val="009576BC"/>
    <w:rsid w:val="009576BF"/>
    <w:rsid w:val="00957764"/>
    <w:rsid w:val="0095776B"/>
    <w:rsid w:val="00957796"/>
    <w:rsid w:val="00957865"/>
    <w:rsid w:val="0095786A"/>
    <w:rsid w:val="0095786C"/>
    <w:rsid w:val="009578A8"/>
    <w:rsid w:val="009578B8"/>
    <w:rsid w:val="009578E6"/>
    <w:rsid w:val="00957944"/>
    <w:rsid w:val="0095794A"/>
    <w:rsid w:val="009579C0"/>
    <w:rsid w:val="00957A0C"/>
    <w:rsid w:val="00957A40"/>
    <w:rsid w:val="00957AB8"/>
    <w:rsid w:val="00957AD1"/>
    <w:rsid w:val="00957B16"/>
    <w:rsid w:val="00957B3A"/>
    <w:rsid w:val="00957B3D"/>
    <w:rsid w:val="00957B49"/>
    <w:rsid w:val="00957B87"/>
    <w:rsid w:val="00957BE6"/>
    <w:rsid w:val="00957BF9"/>
    <w:rsid w:val="00957C22"/>
    <w:rsid w:val="00957C4F"/>
    <w:rsid w:val="00957CD8"/>
    <w:rsid w:val="00957D12"/>
    <w:rsid w:val="00957D18"/>
    <w:rsid w:val="00957D24"/>
    <w:rsid w:val="00957D36"/>
    <w:rsid w:val="00957D37"/>
    <w:rsid w:val="00957D47"/>
    <w:rsid w:val="00957D4F"/>
    <w:rsid w:val="00957DA2"/>
    <w:rsid w:val="00957E69"/>
    <w:rsid w:val="00957E79"/>
    <w:rsid w:val="00957E8B"/>
    <w:rsid w:val="00957F03"/>
    <w:rsid w:val="00957F05"/>
    <w:rsid w:val="00957F0A"/>
    <w:rsid w:val="00957F25"/>
    <w:rsid w:val="00957F64"/>
    <w:rsid w:val="00957F76"/>
    <w:rsid w:val="00957FD9"/>
    <w:rsid w:val="00957FDB"/>
    <w:rsid w:val="00957FDC"/>
    <w:rsid w:val="00960058"/>
    <w:rsid w:val="0096005E"/>
    <w:rsid w:val="00960078"/>
    <w:rsid w:val="009600CE"/>
    <w:rsid w:val="009600D4"/>
    <w:rsid w:val="00960161"/>
    <w:rsid w:val="009601AF"/>
    <w:rsid w:val="00960225"/>
    <w:rsid w:val="0096022A"/>
    <w:rsid w:val="00960241"/>
    <w:rsid w:val="00960268"/>
    <w:rsid w:val="0096028D"/>
    <w:rsid w:val="0096028F"/>
    <w:rsid w:val="00960294"/>
    <w:rsid w:val="009602A0"/>
    <w:rsid w:val="009602F6"/>
    <w:rsid w:val="00960300"/>
    <w:rsid w:val="0096030F"/>
    <w:rsid w:val="00960327"/>
    <w:rsid w:val="00960360"/>
    <w:rsid w:val="00960391"/>
    <w:rsid w:val="009603B8"/>
    <w:rsid w:val="009603DE"/>
    <w:rsid w:val="00960403"/>
    <w:rsid w:val="0096041A"/>
    <w:rsid w:val="00960426"/>
    <w:rsid w:val="00960439"/>
    <w:rsid w:val="0096043A"/>
    <w:rsid w:val="00960492"/>
    <w:rsid w:val="009604A3"/>
    <w:rsid w:val="0096053F"/>
    <w:rsid w:val="00960597"/>
    <w:rsid w:val="009605AC"/>
    <w:rsid w:val="009605BA"/>
    <w:rsid w:val="009605E9"/>
    <w:rsid w:val="0096065B"/>
    <w:rsid w:val="0096065D"/>
    <w:rsid w:val="00960663"/>
    <w:rsid w:val="00960666"/>
    <w:rsid w:val="00960697"/>
    <w:rsid w:val="009606AD"/>
    <w:rsid w:val="009606B9"/>
    <w:rsid w:val="00960712"/>
    <w:rsid w:val="00960731"/>
    <w:rsid w:val="00960757"/>
    <w:rsid w:val="0096075B"/>
    <w:rsid w:val="00960761"/>
    <w:rsid w:val="00960767"/>
    <w:rsid w:val="0096079B"/>
    <w:rsid w:val="00960814"/>
    <w:rsid w:val="0096081B"/>
    <w:rsid w:val="00960830"/>
    <w:rsid w:val="009608E4"/>
    <w:rsid w:val="009608E9"/>
    <w:rsid w:val="0096096A"/>
    <w:rsid w:val="0096098D"/>
    <w:rsid w:val="00960991"/>
    <w:rsid w:val="00960A12"/>
    <w:rsid w:val="00960A2C"/>
    <w:rsid w:val="00960A34"/>
    <w:rsid w:val="00960A35"/>
    <w:rsid w:val="00960A69"/>
    <w:rsid w:val="00960A77"/>
    <w:rsid w:val="00960A79"/>
    <w:rsid w:val="00960AEC"/>
    <w:rsid w:val="00960B03"/>
    <w:rsid w:val="00960B4F"/>
    <w:rsid w:val="00960B92"/>
    <w:rsid w:val="00960BCD"/>
    <w:rsid w:val="00960BEF"/>
    <w:rsid w:val="00960C22"/>
    <w:rsid w:val="00960C2E"/>
    <w:rsid w:val="00960C96"/>
    <w:rsid w:val="00960CC9"/>
    <w:rsid w:val="00960D00"/>
    <w:rsid w:val="00960D26"/>
    <w:rsid w:val="00960D38"/>
    <w:rsid w:val="00960D39"/>
    <w:rsid w:val="00960D48"/>
    <w:rsid w:val="00960D66"/>
    <w:rsid w:val="00960DC9"/>
    <w:rsid w:val="00960DE8"/>
    <w:rsid w:val="00960E54"/>
    <w:rsid w:val="00960E5F"/>
    <w:rsid w:val="00960E63"/>
    <w:rsid w:val="00960E98"/>
    <w:rsid w:val="00960EE0"/>
    <w:rsid w:val="00960EEB"/>
    <w:rsid w:val="00960F08"/>
    <w:rsid w:val="00960F10"/>
    <w:rsid w:val="00960F1A"/>
    <w:rsid w:val="00960F3A"/>
    <w:rsid w:val="00960F5C"/>
    <w:rsid w:val="00960F8D"/>
    <w:rsid w:val="00960FB4"/>
    <w:rsid w:val="00960FC3"/>
    <w:rsid w:val="00961008"/>
    <w:rsid w:val="00961012"/>
    <w:rsid w:val="0096101C"/>
    <w:rsid w:val="0096103D"/>
    <w:rsid w:val="009610D2"/>
    <w:rsid w:val="0096111B"/>
    <w:rsid w:val="0096111E"/>
    <w:rsid w:val="00961170"/>
    <w:rsid w:val="00961208"/>
    <w:rsid w:val="00961219"/>
    <w:rsid w:val="00961223"/>
    <w:rsid w:val="00961289"/>
    <w:rsid w:val="009612D0"/>
    <w:rsid w:val="009612E5"/>
    <w:rsid w:val="009612F7"/>
    <w:rsid w:val="0096132C"/>
    <w:rsid w:val="00961350"/>
    <w:rsid w:val="009613BC"/>
    <w:rsid w:val="009613DF"/>
    <w:rsid w:val="0096141F"/>
    <w:rsid w:val="00961458"/>
    <w:rsid w:val="00961464"/>
    <w:rsid w:val="0096149A"/>
    <w:rsid w:val="009614AE"/>
    <w:rsid w:val="009614E1"/>
    <w:rsid w:val="00961503"/>
    <w:rsid w:val="00961536"/>
    <w:rsid w:val="00961557"/>
    <w:rsid w:val="00961589"/>
    <w:rsid w:val="0096161A"/>
    <w:rsid w:val="0096162B"/>
    <w:rsid w:val="00961648"/>
    <w:rsid w:val="0096168C"/>
    <w:rsid w:val="009616A0"/>
    <w:rsid w:val="009616E9"/>
    <w:rsid w:val="00961705"/>
    <w:rsid w:val="00961713"/>
    <w:rsid w:val="00961739"/>
    <w:rsid w:val="00961772"/>
    <w:rsid w:val="00961795"/>
    <w:rsid w:val="009617AE"/>
    <w:rsid w:val="009617FD"/>
    <w:rsid w:val="0096181F"/>
    <w:rsid w:val="00961839"/>
    <w:rsid w:val="0096185D"/>
    <w:rsid w:val="0096187A"/>
    <w:rsid w:val="0096187D"/>
    <w:rsid w:val="00961895"/>
    <w:rsid w:val="009618AD"/>
    <w:rsid w:val="009618C3"/>
    <w:rsid w:val="009618C4"/>
    <w:rsid w:val="009618DD"/>
    <w:rsid w:val="009618F9"/>
    <w:rsid w:val="009618FB"/>
    <w:rsid w:val="00961909"/>
    <w:rsid w:val="0096191E"/>
    <w:rsid w:val="00961960"/>
    <w:rsid w:val="00961983"/>
    <w:rsid w:val="00961988"/>
    <w:rsid w:val="009619B4"/>
    <w:rsid w:val="009619D0"/>
    <w:rsid w:val="009619F8"/>
    <w:rsid w:val="00961A1C"/>
    <w:rsid w:val="00961A2A"/>
    <w:rsid w:val="00961A41"/>
    <w:rsid w:val="00961A4F"/>
    <w:rsid w:val="00961A73"/>
    <w:rsid w:val="00961AA7"/>
    <w:rsid w:val="00961AAB"/>
    <w:rsid w:val="00961AB0"/>
    <w:rsid w:val="00961AD1"/>
    <w:rsid w:val="00961AFD"/>
    <w:rsid w:val="00961B14"/>
    <w:rsid w:val="00961B1B"/>
    <w:rsid w:val="00961B22"/>
    <w:rsid w:val="00961B65"/>
    <w:rsid w:val="00961B6B"/>
    <w:rsid w:val="00961B9C"/>
    <w:rsid w:val="00961BC9"/>
    <w:rsid w:val="00961BF5"/>
    <w:rsid w:val="00961BF7"/>
    <w:rsid w:val="00961C1A"/>
    <w:rsid w:val="00961C2F"/>
    <w:rsid w:val="00961C3D"/>
    <w:rsid w:val="00961CA5"/>
    <w:rsid w:val="00961CD6"/>
    <w:rsid w:val="00961CFF"/>
    <w:rsid w:val="00961D64"/>
    <w:rsid w:val="00961D89"/>
    <w:rsid w:val="00961D9A"/>
    <w:rsid w:val="00961DE5"/>
    <w:rsid w:val="00961E36"/>
    <w:rsid w:val="00961E41"/>
    <w:rsid w:val="00961E57"/>
    <w:rsid w:val="00961EAB"/>
    <w:rsid w:val="00961EFF"/>
    <w:rsid w:val="00961F3B"/>
    <w:rsid w:val="00961F3C"/>
    <w:rsid w:val="00961F43"/>
    <w:rsid w:val="00961F60"/>
    <w:rsid w:val="00961F98"/>
    <w:rsid w:val="00961FB6"/>
    <w:rsid w:val="00961FC1"/>
    <w:rsid w:val="00961FC7"/>
    <w:rsid w:val="00961FCE"/>
    <w:rsid w:val="00961FD3"/>
    <w:rsid w:val="00961FE0"/>
    <w:rsid w:val="00961FE1"/>
    <w:rsid w:val="00961FE9"/>
    <w:rsid w:val="00961FF0"/>
    <w:rsid w:val="0096202F"/>
    <w:rsid w:val="0096204A"/>
    <w:rsid w:val="0096209C"/>
    <w:rsid w:val="009620A8"/>
    <w:rsid w:val="009620BA"/>
    <w:rsid w:val="009620C5"/>
    <w:rsid w:val="009620F2"/>
    <w:rsid w:val="0096212B"/>
    <w:rsid w:val="0096212F"/>
    <w:rsid w:val="009621EA"/>
    <w:rsid w:val="00962265"/>
    <w:rsid w:val="0096228F"/>
    <w:rsid w:val="00962297"/>
    <w:rsid w:val="009622C0"/>
    <w:rsid w:val="009622CF"/>
    <w:rsid w:val="009622D2"/>
    <w:rsid w:val="0096231E"/>
    <w:rsid w:val="00962341"/>
    <w:rsid w:val="00962352"/>
    <w:rsid w:val="0096237F"/>
    <w:rsid w:val="009623BE"/>
    <w:rsid w:val="009623BF"/>
    <w:rsid w:val="009623CC"/>
    <w:rsid w:val="009623E2"/>
    <w:rsid w:val="0096241F"/>
    <w:rsid w:val="00962447"/>
    <w:rsid w:val="00962449"/>
    <w:rsid w:val="00962461"/>
    <w:rsid w:val="00962464"/>
    <w:rsid w:val="009624A8"/>
    <w:rsid w:val="009624AF"/>
    <w:rsid w:val="009624F2"/>
    <w:rsid w:val="0096250A"/>
    <w:rsid w:val="00962568"/>
    <w:rsid w:val="0096258A"/>
    <w:rsid w:val="009625A7"/>
    <w:rsid w:val="009625A8"/>
    <w:rsid w:val="009625AB"/>
    <w:rsid w:val="009625BF"/>
    <w:rsid w:val="00962613"/>
    <w:rsid w:val="00962614"/>
    <w:rsid w:val="0096266B"/>
    <w:rsid w:val="00962673"/>
    <w:rsid w:val="00962707"/>
    <w:rsid w:val="00962727"/>
    <w:rsid w:val="0096277E"/>
    <w:rsid w:val="00962784"/>
    <w:rsid w:val="009627B9"/>
    <w:rsid w:val="009627BF"/>
    <w:rsid w:val="009627C6"/>
    <w:rsid w:val="00962814"/>
    <w:rsid w:val="0096284C"/>
    <w:rsid w:val="009628BF"/>
    <w:rsid w:val="009628D1"/>
    <w:rsid w:val="009628E8"/>
    <w:rsid w:val="00962937"/>
    <w:rsid w:val="00962989"/>
    <w:rsid w:val="009629B2"/>
    <w:rsid w:val="009629B3"/>
    <w:rsid w:val="009629F6"/>
    <w:rsid w:val="00962A31"/>
    <w:rsid w:val="00962A77"/>
    <w:rsid w:val="00962A7B"/>
    <w:rsid w:val="00962A86"/>
    <w:rsid w:val="00962AA8"/>
    <w:rsid w:val="00962AAB"/>
    <w:rsid w:val="00962AD9"/>
    <w:rsid w:val="00962B1D"/>
    <w:rsid w:val="00962B8A"/>
    <w:rsid w:val="00962BB5"/>
    <w:rsid w:val="00962BB7"/>
    <w:rsid w:val="00962BC0"/>
    <w:rsid w:val="00962BE3"/>
    <w:rsid w:val="00962BEA"/>
    <w:rsid w:val="00962BEF"/>
    <w:rsid w:val="00962C0E"/>
    <w:rsid w:val="00962C10"/>
    <w:rsid w:val="00962C4B"/>
    <w:rsid w:val="00962C5B"/>
    <w:rsid w:val="00962CBB"/>
    <w:rsid w:val="00962CCB"/>
    <w:rsid w:val="00962CD2"/>
    <w:rsid w:val="00962CD4"/>
    <w:rsid w:val="00962D0F"/>
    <w:rsid w:val="00962D21"/>
    <w:rsid w:val="00962D48"/>
    <w:rsid w:val="00962D64"/>
    <w:rsid w:val="00962DBE"/>
    <w:rsid w:val="00962DC3"/>
    <w:rsid w:val="00962DD2"/>
    <w:rsid w:val="00962DDC"/>
    <w:rsid w:val="00962DE6"/>
    <w:rsid w:val="00962E03"/>
    <w:rsid w:val="00962E1F"/>
    <w:rsid w:val="00962E63"/>
    <w:rsid w:val="00962EA7"/>
    <w:rsid w:val="00962EB1"/>
    <w:rsid w:val="00962EC6"/>
    <w:rsid w:val="00962FCA"/>
    <w:rsid w:val="00962FD9"/>
    <w:rsid w:val="00962FDB"/>
    <w:rsid w:val="00963019"/>
    <w:rsid w:val="0096302B"/>
    <w:rsid w:val="0096306E"/>
    <w:rsid w:val="0096308B"/>
    <w:rsid w:val="009630A3"/>
    <w:rsid w:val="009630C4"/>
    <w:rsid w:val="009630D1"/>
    <w:rsid w:val="009630D9"/>
    <w:rsid w:val="009630E9"/>
    <w:rsid w:val="009630ED"/>
    <w:rsid w:val="009630F9"/>
    <w:rsid w:val="00963156"/>
    <w:rsid w:val="0096316D"/>
    <w:rsid w:val="009631AF"/>
    <w:rsid w:val="009631D7"/>
    <w:rsid w:val="009631EA"/>
    <w:rsid w:val="0096320A"/>
    <w:rsid w:val="00963243"/>
    <w:rsid w:val="0096326B"/>
    <w:rsid w:val="00963276"/>
    <w:rsid w:val="00963319"/>
    <w:rsid w:val="0096331B"/>
    <w:rsid w:val="00963335"/>
    <w:rsid w:val="00963336"/>
    <w:rsid w:val="00963340"/>
    <w:rsid w:val="0096336E"/>
    <w:rsid w:val="00963399"/>
    <w:rsid w:val="0096339C"/>
    <w:rsid w:val="00963403"/>
    <w:rsid w:val="00963412"/>
    <w:rsid w:val="0096342D"/>
    <w:rsid w:val="0096343A"/>
    <w:rsid w:val="0096348D"/>
    <w:rsid w:val="00963492"/>
    <w:rsid w:val="009634BB"/>
    <w:rsid w:val="009634DF"/>
    <w:rsid w:val="009634E2"/>
    <w:rsid w:val="00963507"/>
    <w:rsid w:val="00963535"/>
    <w:rsid w:val="00963561"/>
    <w:rsid w:val="00963564"/>
    <w:rsid w:val="0096358F"/>
    <w:rsid w:val="009635BF"/>
    <w:rsid w:val="009635CB"/>
    <w:rsid w:val="009635EF"/>
    <w:rsid w:val="00963635"/>
    <w:rsid w:val="0096363C"/>
    <w:rsid w:val="00963686"/>
    <w:rsid w:val="009636A6"/>
    <w:rsid w:val="009636B8"/>
    <w:rsid w:val="009636EA"/>
    <w:rsid w:val="00963705"/>
    <w:rsid w:val="0096371E"/>
    <w:rsid w:val="0096373F"/>
    <w:rsid w:val="00963740"/>
    <w:rsid w:val="0096375B"/>
    <w:rsid w:val="00963767"/>
    <w:rsid w:val="0096378B"/>
    <w:rsid w:val="009637A6"/>
    <w:rsid w:val="009637B5"/>
    <w:rsid w:val="009637E5"/>
    <w:rsid w:val="00963817"/>
    <w:rsid w:val="0096385E"/>
    <w:rsid w:val="00963884"/>
    <w:rsid w:val="009638CE"/>
    <w:rsid w:val="00963909"/>
    <w:rsid w:val="0096395B"/>
    <w:rsid w:val="009639AD"/>
    <w:rsid w:val="009639BA"/>
    <w:rsid w:val="009639D4"/>
    <w:rsid w:val="009639EA"/>
    <w:rsid w:val="00963A01"/>
    <w:rsid w:val="00963A33"/>
    <w:rsid w:val="00963AB0"/>
    <w:rsid w:val="00963ACA"/>
    <w:rsid w:val="00963B25"/>
    <w:rsid w:val="00963B3B"/>
    <w:rsid w:val="00963B98"/>
    <w:rsid w:val="00963B9B"/>
    <w:rsid w:val="00963BA3"/>
    <w:rsid w:val="00963BC9"/>
    <w:rsid w:val="00963C05"/>
    <w:rsid w:val="00963C0A"/>
    <w:rsid w:val="00963C8A"/>
    <w:rsid w:val="00963CF3"/>
    <w:rsid w:val="00963DA0"/>
    <w:rsid w:val="00963DEF"/>
    <w:rsid w:val="00963E3A"/>
    <w:rsid w:val="00963E9D"/>
    <w:rsid w:val="00963ED0"/>
    <w:rsid w:val="00963ED2"/>
    <w:rsid w:val="00963F02"/>
    <w:rsid w:val="00963F5E"/>
    <w:rsid w:val="00963F68"/>
    <w:rsid w:val="00963F74"/>
    <w:rsid w:val="00963F7E"/>
    <w:rsid w:val="00963FA8"/>
    <w:rsid w:val="00963FBC"/>
    <w:rsid w:val="00963FBE"/>
    <w:rsid w:val="00963FE0"/>
    <w:rsid w:val="0096403B"/>
    <w:rsid w:val="0096405D"/>
    <w:rsid w:val="00964084"/>
    <w:rsid w:val="009640B8"/>
    <w:rsid w:val="009640E1"/>
    <w:rsid w:val="00964104"/>
    <w:rsid w:val="00964172"/>
    <w:rsid w:val="009641F0"/>
    <w:rsid w:val="00964203"/>
    <w:rsid w:val="0096422F"/>
    <w:rsid w:val="00964271"/>
    <w:rsid w:val="00964276"/>
    <w:rsid w:val="00964286"/>
    <w:rsid w:val="009642AF"/>
    <w:rsid w:val="009642CD"/>
    <w:rsid w:val="009642FE"/>
    <w:rsid w:val="00964315"/>
    <w:rsid w:val="009643AB"/>
    <w:rsid w:val="009643B8"/>
    <w:rsid w:val="009643D2"/>
    <w:rsid w:val="009643D4"/>
    <w:rsid w:val="00964406"/>
    <w:rsid w:val="0096443C"/>
    <w:rsid w:val="0096444F"/>
    <w:rsid w:val="009644AD"/>
    <w:rsid w:val="009644DD"/>
    <w:rsid w:val="009644F9"/>
    <w:rsid w:val="00964552"/>
    <w:rsid w:val="0096455E"/>
    <w:rsid w:val="00964587"/>
    <w:rsid w:val="00964660"/>
    <w:rsid w:val="0096466A"/>
    <w:rsid w:val="00964736"/>
    <w:rsid w:val="00964778"/>
    <w:rsid w:val="009647A8"/>
    <w:rsid w:val="009647D2"/>
    <w:rsid w:val="009647E7"/>
    <w:rsid w:val="0096481C"/>
    <w:rsid w:val="00964850"/>
    <w:rsid w:val="0096486F"/>
    <w:rsid w:val="00964890"/>
    <w:rsid w:val="009648E9"/>
    <w:rsid w:val="009648F6"/>
    <w:rsid w:val="009649DE"/>
    <w:rsid w:val="009649E2"/>
    <w:rsid w:val="009649F7"/>
    <w:rsid w:val="00964AB0"/>
    <w:rsid w:val="00964AB2"/>
    <w:rsid w:val="00964AE1"/>
    <w:rsid w:val="00964AF2"/>
    <w:rsid w:val="00964AF9"/>
    <w:rsid w:val="00964B1D"/>
    <w:rsid w:val="00964B25"/>
    <w:rsid w:val="00964B3C"/>
    <w:rsid w:val="00964B43"/>
    <w:rsid w:val="00964B4F"/>
    <w:rsid w:val="00964BC0"/>
    <w:rsid w:val="00964BCB"/>
    <w:rsid w:val="00964C09"/>
    <w:rsid w:val="00964C0B"/>
    <w:rsid w:val="00964C28"/>
    <w:rsid w:val="00964C73"/>
    <w:rsid w:val="00964C77"/>
    <w:rsid w:val="00964CF0"/>
    <w:rsid w:val="00964D1B"/>
    <w:rsid w:val="00964D4F"/>
    <w:rsid w:val="00964DC7"/>
    <w:rsid w:val="00964DD4"/>
    <w:rsid w:val="00964DED"/>
    <w:rsid w:val="00964E33"/>
    <w:rsid w:val="00964E36"/>
    <w:rsid w:val="00964E5B"/>
    <w:rsid w:val="00964E7D"/>
    <w:rsid w:val="00964E9F"/>
    <w:rsid w:val="00964EA4"/>
    <w:rsid w:val="00964ECB"/>
    <w:rsid w:val="00964ED2"/>
    <w:rsid w:val="00964ED6"/>
    <w:rsid w:val="00964EEE"/>
    <w:rsid w:val="00964EF2"/>
    <w:rsid w:val="00964F3E"/>
    <w:rsid w:val="00965005"/>
    <w:rsid w:val="0096510C"/>
    <w:rsid w:val="0096510F"/>
    <w:rsid w:val="00965121"/>
    <w:rsid w:val="0096513C"/>
    <w:rsid w:val="0096515A"/>
    <w:rsid w:val="00965175"/>
    <w:rsid w:val="0096518E"/>
    <w:rsid w:val="0096519A"/>
    <w:rsid w:val="0096519C"/>
    <w:rsid w:val="009651C8"/>
    <w:rsid w:val="009651D7"/>
    <w:rsid w:val="009651EC"/>
    <w:rsid w:val="009651F4"/>
    <w:rsid w:val="009651F5"/>
    <w:rsid w:val="00965235"/>
    <w:rsid w:val="0096524A"/>
    <w:rsid w:val="00965256"/>
    <w:rsid w:val="0096529A"/>
    <w:rsid w:val="0096529C"/>
    <w:rsid w:val="00965316"/>
    <w:rsid w:val="00965320"/>
    <w:rsid w:val="00965323"/>
    <w:rsid w:val="00965379"/>
    <w:rsid w:val="00965399"/>
    <w:rsid w:val="0096539B"/>
    <w:rsid w:val="009653C3"/>
    <w:rsid w:val="009653EC"/>
    <w:rsid w:val="009653F7"/>
    <w:rsid w:val="00965476"/>
    <w:rsid w:val="0096547A"/>
    <w:rsid w:val="0096549D"/>
    <w:rsid w:val="009654A4"/>
    <w:rsid w:val="009654A9"/>
    <w:rsid w:val="009654C7"/>
    <w:rsid w:val="009654D7"/>
    <w:rsid w:val="009654EF"/>
    <w:rsid w:val="009654F9"/>
    <w:rsid w:val="0096551C"/>
    <w:rsid w:val="00965585"/>
    <w:rsid w:val="009655A8"/>
    <w:rsid w:val="009655CE"/>
    <w:rsid w:val="009655F2"/>
    <w:rsid w:val="0096563D"/>
    <w:rsid w:val="00965651"/>
    <w:rsid w:val="00965669"/>
    <w:rsid w:val="00965686"/>
    <w:rsid w:val="009656A8"/>
    <w:rsid w:val="009656C2"/>
    <w:rsid w:val="00965726"/>
    <w:rsid w:val="0096572C"/>
    <w:rsid w:val="00965734"/>
    <w:rsid w:val="0096576E"/>
    <w:rsid w:val="009657B2"/>
    <w:rsid w:val="009657FA"/>
    <w:rsid w:val="0096584E"/>
    <w:rsid w:val="00965854"/>
    <w:rsid w:val="00965865"/>
    <w:rsid w:val="00965884"/>
    <w:rsid w:val="0096588C"/>
    <w:rsid w:val="0096588F"/>
    <w:rsid w:val="0096589B"/>
    <w:rsid w:val="009658F6"/>
    <w:rsid w:val="0096593F"/>
    <w:rsid w:val="00965948"/>
    <w:rsid w:val="0096598F"/>
    <w:rsid w:val="00965992"/>
    <w:rsid w:val="009659B9"/>
    <w:rsid w:val="00965A29"/>
    <w:rsid w:val="00965A2A"/>
    <w:rsid w:val="00965A32"/>
    <w:rsid w:val="00965A73"/>
    <w:rsid w:val="00965A77"/>
    <w:rsid w:val="00965A90"/>
    <w:rsid w:val="00965AC8"/>
    <w:rsid w:val="00965B15"/>
    <w:rsid w:val="00965B3D"/>
    <w:rsid w:val="00965B41"/>
    <w:rsid w:val="00965B84"/>
    <w:rsid w:val="00965BB2"/>
    <w:rsid w:val="00965BB6"/>
    <w:rsid w:val="00965BFC"/>
    <w:rsid w:val="00965C02"/>
    <w:rsid w:val="00965C03"/>
    <w:rsid w:val="00965C1B"/>
    <w:rsid w:val="00965C21"/>
    <w:rsid w:val="00965C26"/>
    <w:rsid w:val="00965C2F"/>
    <w:rsid w:val="00965C7A"/>
    <w:rsid w:val="00965CB1"/>
    <w:rsid w:val="00965CC2"/>
    <w:rsid w:val="00965CF0"/>
    <w:rsid w:val="00965CFE"/>
    <w:rsid w:val="00965D1B"/>
    <w:rsid w:val="00965D30"/>
    <w:rsid w:val="00965DBA"/>
    <w:rsid w:val="00965DD2"/>
    <w:rsid w:val="00965DF9"/>
    <w:rsid w:val="00965E23"/>
    <w:rsid w:val="00965E3F"/>
    <w:rsid w:val="00965E4E"/>
    <w:rsid w:val="00965E65"/>
    <w:rsid w:val="00965EA4"/>
    <w:rsid w:val="00965EC3"/>
    <w:rsid w:val="00965F00"/>
    <w:rsid w:val="00965F04"/>
    <w:rsid w:val="00965F11"/>
    <w:rsid w:val="00965F2C"/>
    <w:rsid w:val="00965F92"/>
    <w:rsid w:val="00965FB8"/>
    <w:rsid w:val="00965FD8"/>
    <w:rsid w:val="00965FF2"/>
    <w:rsid w:val="00965FF5"/>
    <w:rsid w:val="00966012"/>
    <w:rsid w:val="0096602E"/>
    <w:rsid w:val="00966042"/>
    <w:rsid w:val="00966044"/>
    <w:rsid w:val="0096606F"/>
    <w:rsid w:val="0096608A"/>
    <w:rsid w:val="00966098"/>
    <w:rsid w:val="00966107"/>
    <w:rsid w:val="00966128"/>
    <w:rsid w:val="0096613D"/>
    <w:rsid w:val="0096616A"/>
    <w:rsid w:val="009661A0"/>
    <w:rsid w:val="009661B6"/>
    <w:rsid w:val="009661BE"/>
    <w:rsid w:val="009661E9"/>
    <w:rsid w:val="009661EF"/>
    <w:rsid w:val="0096621F"/>
    <w:rsid w:val="00966257"/>
    <w:rsid w:val="00966298"/>
    <w:rsid w:val="009662D0"/>
    <w:rsid w:val="009662EB"/>
    <w:rsid w:val="00966300"/>
    <w:rsid w:val="00966301"/>
    <w:rsid w:val="0096630D"/>
    <w:rsid w:val="0096636E"/>
    <w:rsid w:val="00966389"/>
    <w:rsid w:val="009663AE"/>
    <w:rsid w:val="009663BC"/>
    <w:rsid w:val="009663E2"/>
    <w:rsid w:val="00966421"/>
    <w:rsid w:val="00966458"/>
    <w:rsid w:val="009664B8"/>
    <w:rsid w:val="009664CE"/>
    <w:rsid w:val="00966507"/>
    <w:rsid w:val="00966535"/>
    <w:rsid w:val="00966581"/>
    <w:rsid w:val="009665B2"/>
    <w:rsid w:val="009665E3"/>
    <w:rsid w:val="0096661A"/>
    <w:rsid w:val="0096661F"/>
    <w:rsid w:val="0096662F"/>
    <w:rsid w:val="00966675"/>
    <w:rsid w:val="0096667E"/>
    <w:rsid w:val="009666B0"/>
    <w:rsid w:val="009666B9"/>
    <w:rsid w:val="00966723"/>
    <w:rsid w:val="00966728"/>
    <w:rsid w:val="00966759"/>
    <w:rsid w:val="0096676B"/>
    <w:rsid w:val="0096678D"/>
    <w:rsid w:val="009667A2"/>
    <w:rsid w:val="009667B2"/>
    <w:rsid w:val="009667B7"/>
    <w:rsid w:val="0096681E"/>
    <w:rsid w:val="0096684B"/>
    <w:rsid w:val="00966868"/>
    <w:rsid w:val="00966869"/>
    <w:rsid w:val="00966884"/>
    <w:rsid w:val="009668DB"/>
    <w:rsid w:val="009668E7"/>
    <w:rsid w:val="00966927"/>
    <w:rsid w:val="0096692C"/>
    <w:rsid w:val="00966939"/>
    <w:rsid w:val="009669DF"/>
    <w:rsid w:val="009669E2"/>
    <w:rsid w:val="00966A31"/>
    <w:rsid w:val="00966A39"/>
    <w:rsid w:val="00966A42"/>
    <w:rsid w:val="00966A4E"/>
    <w:rsid w:val="00966A50"/>
    <w:rsid w:val="00966A7E"/>
    <w:rsid w:val="00966A81"/>
    <w:rsid w:val="00966A8A"/>
    <w:rsid w:val="00966AA6"/>
    <w:rsid w:val="00966AB0"/>
    <w:rsid w:val="00966ACE"/>
    <w:rsid w:val="00966ADC"/>
    <w:rsid w:val="00966ADF"/>
    <w:rsid w:val="00966B04"/>
    <w:rsid w:val="00966B24"/>
    <w:rsid w:val="00966B4D"/>
    <w:rsid w:val="00966B5D"/>
    <w:rsid w:val="00966B76"/>
    <w:rsid w:val="00966B79"/>
    <w:rsid w:val="00966BB2"/>
    <w:rsid w:val="00966BD9"/>
    <w:rsid w:val="00966C1E"/>
    <w:rsid w:val="00966C2E"/>
    <w:rsid w:val="00966C31"/>
    <w:rsid w:val="00966C5A"/>
    <w:rsid w:val="00966C5F"/>
    <w:rsid w:val="00966C79"/>
    <w:rsid w:val="00966C7A"/>
    <w:rsid w:val="00966C92"/>
    <w:rsid w:val="00966D25"/>
    <w:rsid w:val="00966D3A"/>
    <w:rsid w:val="00966DA4"/>
    <w:rsid w:val="00966DAB"/>
    <w:rsid w:val="00966E02"/>
    <w:rsid w:val="00966E39"/>
    <w:rsid w:val="00966EC6"/>
    <w:rsid w:val="00966EE1"/>
    <w:rsid w:val="00966F43"/>
    <w:rsid w:val="00966F5B"/>
    <w:rsid w:val="00966F87"/>
    <w:rsid w:val="00966F91"/>
    <w:rsid w:val="00966F9F"/>
    <w:rsid w:val="00966FA4"/>
    <w:rsid w:val="00966FF1"/>
    <w:rsid w:val="0096703F"/>
    <w:rsid w:val="0096704E"/>
    <w:rsid w:val="009670C6"/>
    <w:rsid w:val="00967125"/>
    <w:rsid w:val="00967129"/>
    <w:rsid w:val="00967167"/>
    <w:rsid w:val="009671AC"/>
    <w:rsid w:val="009671C8"/>
    <w:rsid w:val="009671E3"/>
    <w:rsid w:val="00967236"/>
    <w:rsid w:val="0096724A"/>
    <w:rsid w:val="00967272"/>
    <w:rsid w:val="009672D1"/>
    <w:rsid w:val="009672E6"/>
    <w:rsid w:val="009672EB"/>
    <w:rsid w:val="0096731B"/>
    <w:rsid w:val="00967357"/>
    <w:rsid w:val="0096736D"/>
    <w:rsid w:val="0096737B"/>
    <w:rsid w:val="009673A3"/>
    <w:rsid w:val="009673AA"/>
    <w:rsid w:val="009673BF"/>
    <w:rsid w:val="009673C0"/>
    <w:rsid w:val="00967406"/>
    <w:rsid w:val="0096741A"/>
    <w:rsid w:val="00967453"/>
    <w:rsid w:val="0096746A"/>
    <w:rsid w:val="00967476"/>
    <w:rsid w:val="0096747C"/>
    <w:rsid w:val="00967487"/>
    <w:rsid w:val="0096749A"/>
    <w:rsid w:val="009674B2"/>
    <w:rsid w:val="00967507"/>
    <w:rsid w:val="00967524"/>
    <w:rsid w:val="00967543"/>
    <w:rsid w:val="00967547"/>
    <w:rsid w:val="0096755B"/>
    <w:rsid w:val="00967569"/>
    <w:rsid w:val="00967583"/>
    <w:rsid w:val="00967587"/>
    <w:rsid w:val="0096758C"/>
    <w:rsid w:val="00967596"/>
    <w:rsid w:val="009675A5"/>
    <w:rsid w:val="00967606"/>
    <w:rsid w:val="00967614"/>
    <w:rsid w:val="0096764A"/>
    <w:rsid w:val="0096766D"/>
    <w:rsid w:val="0096768B"/>
    <w:rsid w:val="009676A5"/>
    <w:rsid w:val="009676AB"/>
    <w:rsid w:val="009676CE"/>
    <w:rsid w:val="00967740"/>
    <w:rsid w:val="0096774A"/>
    <w:rsid w:val="00967754"/>
    <w:rsid w:val="0096775A"/>
    <w:rsid w:val="0096777C"/>
    <w:rsid w:val="00967781"/>
    <w:rsid w:val="00967788"/>
    <w:rsid w:val="00967789"/>
    <w:rsid w:val="009677BC"/>
    <w:rsid w:val="009677C2"/>
    <w:rsid w:val="009677CF"/>
    <w:rsid w:val="009677DD"/>
    <w:rsid w:val="00967823"/>
    <w:rsid w:val="00967846"/>
    <w:rsid w:val="0096784E"/>
    <w:rsid w:val="0096787C"/>
    <w:rsid w:val="0096789B"/>
    <w:rsid w:val="009678B3"/>
    <w:rsid w:val="009678E6"/>
    <w:rsid w:val="0096791A"/>
    <w:rsid w:val="0096792B"/>
    <w:rsid w:val="0096794A"/>
    <w:rsid w:val="009679B0"/>
    <w:rsid w:val="00967A06"/>
    <w:rsid w:val="00967A16"/>
    <w:rsid w:val="00967A5F"/>
    <w:rsid w:val="00967A61"/>
    <w:rsid w:val="00967A75"/>
    <w:rsid w:val="00967AAA"/>
    <w:rsid w:val="00967ABA"/>
    <w:rsid w:val="00967B03"/>
    <w:rsid w:val="00967B27"/>
    <w:rsid w:val="00967B4E"/>
    <w:rsid w:val="00967BBA"/>
    <w:rsid w:val="00967BC4"/>
    <w:rsid w:val="00967BC6"/>
    <w:rsid w:val="00967BCD"/>
    <w:rsid w:val="00967BF0"/>
    <w:rsid w:val="00967BF2"/>
    <w:rsid w:val="00967C04"/>
    <w:rsid w:val="00967C3B"/>
    <w:rsid w:val="00967C44"/>
    <w:rsid w:val="00967CA7"/>
    <w:rsid w:val="00967CEA"/>
    <w:rsid w:val="00967D17"/>
    <w:rsid w:val="00967D48"/>
    <w:rsid w:val="00967D7C"/>
    <w:rsid w:val="00967DE4"/>
    <w:rsid w:val="00967DE9"/>
    <w:rsid w:val="00967E36"/>
    <w:rsid w:val="00967E47"/>
    <w:rsid w:val="00967E6F"/>
    <w:rsid w:val="00967E95"/>
    <w:rsid w:val="00967E99"/>
    <w:rsid w:val="00967ED2"/>
    <w:rsid w:val="00967EDE"/>
    <w:rsid w:val="00967EE2"/>
    <w:rsid w:val="00967EE3"/>
    <w:rsid w:val="00967F0B"/>
    <w:rsid w:val="00967F19"/>
    <w:rsid w:val="00967F2B"/>
    <w:rsid w:val="00967F55"/>
    <w:rsid w:val="00967F56"/>
    <w:rsid w:val="00967F9F"/>
    <w:rsid w:val="00967FA4"/>
    <w:rsid w:val="00967FDA"/>
    <w:rsid w:val="00967FF8"/>
    <w:rsid w:val="0097003B"/>
    <w:rsid w:val="00970066"/>
    <w:rsid w:val="009700F1"/>
    <w:rsid w:val="0097010E"/>
    <w:rsid w:val="00970129"/>
    <w:rsid w:val="00970134"/>
    <w:rsid w:val="00970147"/>
    <w:rsid w:val="0097015A"/>
    <w:rsid w:val="0097025E"/>
    <w:rsid w:val="0097027A"/>
    <w:rsid w:val="00970287"/>
    <w:rsid w:val="0097028D"/>
    <w:rsid w:val="009702D4"/>
    <w:rsid w:val="009702F9"/>
    <w:rsid w:val="00970309"/>
    <w:rsid w:val="00970364"/>
    <w:rsid w:val="00970365"/>
    <w:rsid w:val="009703C2"/>
    <w:rsid w:val="00970402"/>
    <w:rsid w:val="0097041E"/>
    <w:rsid w:val="00970420"/>
    <w:rsid w:val="00970425"/>
    <w:rsid w:val="0097044F"/>
    <w:rsid w:val="0097049F"/>
    <w:rsid w:val="009704D7"/>
    <w:rsid w:val="009704E2"/>
    <w:rsid w:val="009704E9"/>
    <w:rsid w:val="009704FC"/>
    <w:rsid w:val="00970500"/>
    <w:rsid w:val="0097050B"/>
    <w:rsid w:val="0097053D"/>
    <w:rsid w:val="00970549"/>
    <w:rsid w:val="0097059F"/>
    <w:rsid w:val="009705A7"/>
    <w:rsid w:val="009705E3"/>
    <w:rsid w:val="009705E5"/>
    <w:rsid w:val="009705EB"/>
    <w:rsid w:val="009705F1"/>
    <w:rsid w:val="009705F6"/>
    <w:rsid w:val="0097061F"/>
    <w:rsid w:val="00970643"/>
    <w:rsid w:val="00970659"/>
    <w:rsid w:val="0097069D"/>
    <w:rsid w:val="009706E3"/>
    <w:rsid w:val="009706E4"/>
    <w:rsid w:val="009706F3"/>
    <w:rsid w:val="009706F6"/>
    <w:rsid w:val="0097072F"/>
    <w:rsid w:val="00970784"/>
    <w:rsid w:val="0097078F"/>
    <w:rsid w:val="009707DB"/>
    <w:rsid w:val="0097081A"/>
    <w:rsid w:val="0097081E"/>
    <w:rsid w:val="0097085E"/>
    <w:rsid w:val="0097086E"/>
    <w:rsid w:val="00970879"/>
    <w:rsid w:val="00970933"/>
    <w:rsid w:val="00970986"/>
    <w:rsid w:val="009709B8"/>
    <w:rsid w:val="009709BB"/>
    <w:rsid w:val="009709D1"/>
    <w:rsid w:val="009709E5"/>
    <w:rsid w:val="009709FA"/>
    <w:rsid w:val="00970A09"/>
    <w:rsid w:val="00970A2E"/>
    <w:rsid w:val="00970ACA"/>
    <w:rsid w:val="00970ACF"/>
    <w:rsid w:val="00970AF4"/>
    <w:rsid w:val="00970B11"/>
    <w:rsid w:val="00970B5D"/>
    <w:rsid w:val="00970B69"/>
    <w:rsid w:val="00970B91"/>
    <w:rsid w:val="00970C0F"/>
    <w:rsid w:val="00970C11"/>
    <w:rsid w:val="00970C1F"/>
    <w:rsid w:val="00970C8A"/>
    <w:rsid w:val="00970CAD"/>
    <w:rsid w:val="00970D06"/>
    <w:rsid w:val="00970D1D"/>
    <w:rsid w:val="00970D75"/>
    <w:rsid w:val="00970D7D"/>
    <w:rsid w:val="00970D88"/>
    <w:rsid w:val="00970D9D"/>
    <w:rsid w:val="00970DA2"/>
    <w:rsid w:val="00970DA4"/>
    <w:rsid w:val="00970DB8"/>
    <w:rsid w:val="00970DBB"/>
    <w:rsid w:val="00970DED"/>
    <w:rsid w:val="00970E04"/>
    <w:rsid w:val="00970E25"/>
    <w:rsid w:val="00970E32"/>
    <w:rsid w:val="00970E45"/>
    <w:rsid w:val="00970E8E"/>
    <w:rsid w:val="00970E91"/>
    <w:rsid w:val="00970E96"/>
    <w:rsid w:val="00970EBA"/>
    <w:rsid w:val="00970F4D"/>
    <w:rsid w:val="00970F54"/>
    <w:rsid w:val="00970F79"/>
    <w:rsid w:val="00970F86"/>
    <w:rsid w:val="00970F8D"/>
    <w:rsid w:val="00970FA9"/>
    <w:rsid w:val="00971037"/>
    <w:rsid w:val="00971070"/>
    <w:rsid w:val="00971076"/>
    <w:rsid w:val="009710CE"/>
    <w:rsid w:val="009710D9"/>
    <w:rsid w:val="00971108"/>
    <w:rsid w:val="0097112D"/>
    <w:rsid w:val="0097117A"/>
    <w:rsid w:val="009711B9"/>
    <w:rsid w:val="0097128C"/>
    <w:rsid w:val="009712EC"/>
    <w:rsid w:val="0097133A"/>
    <w:rsid w:val="0097135E"/>
    <w:rsid w:val="00971373"/>
    <w:rsid w:val="00971387"/>
    <w:rsid w:val="00971389"/>
    <w:rsid w:val="009713A0"/>
    <w:rsid w:val="009713C7"/>
    <w:rsid w:val="009713DD"/>
    <w:rsid w:val="009713FC"/>
    <w:rsid w:val="009713FD"/>
    <w:rsid w:val="00971439"/>
    <w:rsid w:val="0097143F"/>
    <w:rsid w:val="0097146A"/>
    <w:rsid w:val="009714AF"/>
    <w:rsid w:val="009714D2"/>
    <w:rsid w:val="009714D3"/>
    <w:rsid w:val="0097154B"/>
    <w:rsid w:val="00971581"/>
    <w:rsid w:val="0097159D"/>
    <w:rsid w:val="009715DE"/>
    <w:rsid w:val="009715F8"/>
    <w:rsid w:val="00971635"/>
    <w:rsid w:val="0097163B"/>
    <w:rsid w:val="00971666"/>
    <w:rsid w:val="009716A1"/>
    <w:rsid w:val="009716B4"/>
    <w:rsid w:val="009716BA"/>
    <w:rsid w:val="009716DC"/>
    <w:rsid w:val="009716DF"/>
    <w:rsid w:val="00971704"/>
    <w:rsid w:val="00971710"/>
    <w:rsid w:val="0097172E"/>
    <w:rsid w:val="009717CA"/>
    <w:rsid w:val="009717DF"/>
    <w:rsid w:val="009717E7"/>
    <w:rsid w:val="00971817"/>
    <w:rsid w:val="0097183F"/>
    <w:rsid w:val="0097187E"/>
    <w:rsid w:val="00971900"/>
    <w:rsid w:val="0097191F"/>
    <w:rsid w:val="0097194F"/>
    <w:rsid w:val="00971962"/>
    <w:rsid w:val="0097196F"/>
    <w:rsid w:val="00971994"/>
    <w:rsid w:val="009719B6"/>
    <w:rsid w:val="009719E2"/>
    <w:rsid w:val="00971A05"/>
    <w:rsid w:val="00971A2F"/>
    <w:rsid w:val="00971A42"/>
    <w:rsid w:val="00971A55"/>
    <w:rsid w:val="00971AE3"/>
    <w:rsid w:val="00971AFC"/>
    <w:rsid w:val="00971B05"/>
    <w:rsid w:val="00971B25"/>
    <w:rsid w:val="00971B3D"/>
    <w:rsid w:val="00971B43"/>
    <w:rsid w:val="00971B44"/>
    <w:rsid w:val="00971B4C"/>
    <w:rsid w:val="00971B5F"/>
    <w:rsid w:val="00971B62"/>
    <w:rsid w:val="00971B6E"/>
    <w:rsid w:val="00971B77"/>
    <w:rsid w:val="00971B7C"/>
    <w:rsid w:val="00971B90"/>
    <w:rsid w:val="00971BCE"/>
    <w:rsid w:val="00971BF7"/>
    <w:rsid w:val="00971C04"/>
    <w:rsid w:val="00971C63"/>
    <w:rsid w:val="00971C66"/>
    <w:rsid w:val="00971C77"/>
    <w:rsid w:val="00971C7F"/>
    <w:rsid w:val="00971CA8"/>
    <w:rsid w:val="00971CB9"/>
    <w:rsid w:val="00971CDC"/>
    <w:rsid w:val="00971CDD"/>
    <w:rsid w:val="00971D79"/>
    <w:rsid w:val="00971DD6"/>
    <w:rsid w:val="00971E5F"/>
    <w:rsid w:val="00971E63"/>
    <w:rsid w:val="00971EAE"/>
    <w:rsid w:val="00971EE4"/>
    <w:rsid w:val="00971F13"/>
    <w:rsid w:val="00971F29"/>
    <w:rsid w:val="00971FB5"/>
    <w:rsid w:val="00971FC7"/>
    <w:rsid w:val="00972018"/>
    <w:rsid w:val="00972063"/>
    <w:rsid w:val="00972065"/>
    <w:rsid w:val="00972072"/>
    <w:rsid w:val="0097207E"/>
    <w:rsid w:val="009720D7"/>
    <w:rsid w:val="009720FD"/>
    <w:rsid w:val="0097212F"/>
    <w:rsid w:val="00972142"/>
    <w:rsid w:val="00972168"/>
    <w:rsid w:val="009721A1"/>
    <w:rsid w:val="009721AD"/>
    <w:rsid w:val="009721C8"/>
    <w:rsid w:val="0097221F"/>
    <w:rsid w:val="0097222B"/>
    <w:rsid w:val="0097223B"/>
    <w:rsid w:val="00972254"/>
    <w:rsid w:val="00972298"/>
    <w:rsid w:val="009722FD"/>
    <w:rsid w:val="009723DD"/>
    <w:rsid w:val="009723F1"/>
    <w:rsid w:val="00972472"/>
    <w:rsid w:val="0097247A"/>
    <w:rsid w:val="0097249C"/>
    <w:rsid w:val="009724A4"/>
    <w:rsid w:val="00972511"/>
    <w:rsid w:val="0097253F"/>
    <w:rsid w:val="00972559"/>
    <w:rsid w:val="0097256F"/>
    <w:rsid w:val="009725FA"/>
    <w:rsid w:val="00972675"/>
    <w:rsid w:val="0097269A"/>
    <w:rsid w:val="009726BE"/>
    <w:rsid w:val="009726D9"/>
    <w:rsid w:val="00972706"/>
    <w:rsid w:val="00972726"/>
    <w:rsid w:val="0097272E"/>
    <w:rsid w:val="00972734"/>
    <w:rsid w:val="00972735"/>
    <w:rsid w:val="00972756"/>
    <w:rsid w:val="0097278A"/>
    <w:rsid w:val="009727AB"/>
    <w:rsid w:val="009727F0"/>
    <w:rsid w:val="009728EA"/>
    <w:rsid w:val="00972901"/>
    <w:rsid w:val="00972928"/>
    <w:rsid w:val="0097293E"/>
    <w:rsid w:val="0097295B"/>
    <w:rsid w:val="00972979"/>
    <w:rsid w:val="009729B8"/>
    <w:rsid w:val="009729C9"/>
    <w:rsid w:val="009729DA"/>
    <w:rsid w:val="009729E6"/>
    <w:rsid w:val="00972A25"/>
    <w:rsid w:val="00972A51"/>
    <w:rsid w:val="00972A5D"/>
    <w:rsid w:val="00972A7A"/>
    <w:rsid w:val="00972ABE"/>
    <w:rsid w:val="00972ADA"/>
    <w:rsid w:val="00972AF2"/>
    <w:rsid w:val="00972B17"/>
    <w:rsid w:val="00972B1E"/>
    <w:rsid w:val="00972B55"/>
    <w:rsid w:val="00972B6A"/>
    <w:rsid w:val="00972B7C"/>
    <w:rsid w:val="00972B85"/>
    <w:rsid w:val="00972B9C"/>
    <w:rsid w:val="00972BBD"/>
    <w:rsid w:val="00972C1B"/>
    <w:rsid w:val="00972C92"/>
    <w:rsid w:val="00972CB5"/>
    <w:rsid w:val="00972CB6"/>
    <w:rsid w:val="00972CC0"/>
    <w:rsid w:val="00972CC6"/>
    <w:rsid w:val="00972CE6"/>
    <w:rsid w:val="00972D6A"/>
    <w:rsid w:val="00972D8F"/>
    <w:rsid w:val="00972D9B"/>
    <w:rsid w:val="00972DA4"/>
    <w:rsid w:val="00972DAB"/>
    <w:rsid w:val="00972DCE"/>
    <w:rsid w:val="00972E23"/>
    <w:rsid w:val="00972E2A"/>
    <w:rsid w:val="00972E78"/>
    <w:rsid w:val="00972E83"/>
    <w:rsid w:val="00972E8A"/>
    <w:rsid w:val="00972EA4"/>
    <w:rsid w:val="00972ECB"/>
    <w:rsid w:val="00972F2D"/>
    <w:rsid w:val="00972F3F"/>
    <w:rsid w:val="00972F49"/>
    <w:rsid w:val="00972F6A"/>
    <w:rsid w:val="00972F77"/>
    <w:rsid w:val="00972F90"/>
    <w:rsid w:val="00972FE0"/>
    <w:rsid w:val="00973064"/>
    <w:rsid w:val="0097307E"/>
    <w:rsid w:val="009730C8"/>
    <w:rsid w:val="009730F3"/>
    <w:rsid w:val="009730F5"/>
    <w:rsid w:val="0097311C"/>
    <w:rsid w:val="00973120"/>
    <w:rsid w:val="0097318A"/>
    <w:rsid w:val="009731EB"/>
    <w:rsid w:val="00973250"/>
    <w:rsid w:val="0097329A"/>
    <w:rsid w:val="009732B8"/>
    <w:rsid w:val="009732E7"/>
    <w:rsid w:val="009732F5"/>
    <w:rsid w:val="00973309"/>
    <w:rsid w:val="00973322"/>
    <w:rsid w:val="00973323"/>
    <w:rsid w:val="00973333"/>
    <w:rsid w:val="00973339"/>
    <w:rsid w:val="0097333B"/>
    <w:rsid w:val="00973391"/>
    <w:rsid w:val="00973458"/>
    <w:rsid w:val="009734AC"/>
    <w:rsid w:val="009734BC"/>
    <w:rsid w:val="009734DD"/>
    <w:rsid w:val="009734FA"/>
    <w:rsid w:val="00973575"/>
    <w:rsid w:val="0097358F"/>
    <w:rsid w:val="0097359A"/>
    <w:rsid w:val="009735C0"/>
    <w:rsid w:val="009735DA"/>
    <w:rsid w:val="009735E6"/>
    <w:rsid w:val="00973624"/>
    <w:rsid w:val="00973671"/>
    <w:rsid w:val="00973676"/>
    <w:rsid w:val="00973685"/>
    <w:rsid w:val="00973687"/>
    <w:rsid w:val="00973697"/>
    <w:rsid w:val="0097369D"/>
    <w:rsid w:val="009736A2"/>
    <w:rsid w:val="009736DA"/>
    <w:rsid w:val="009736EA"/>
    <w:rsid w:val="00973705"/>
    <w:rsid w:val="0097374F"/>
    <w:rsid w:val="00973754"/>
    <w:rsid w:val="0097378D"/>
    <w:rsid w:val="0097378E"/>
    <w:rsid w:val="009737B0"/>
    <w:rsid w:val="009737DF"/>
    <w:rsid w:val="009737EE"/>
    <w:rsid w:val="009737F5"/>
    <w:rsid w:val="00973820"/>
    <w:rsid w:val="00973826"/>
    <w:rsid w:val="0097384B"/>
    <w:rsid w:val="00973872"/>
    <w:rsid w:val="00973873"/>
    <w:rsid w:val="00973890"/>
    <w:rsid w:val="009738DB"/>
    <w:rsid w:val="009738F2"/>
    <w:rsid w:val="009738F9"/>
    <w:rsid w:val="00973902"/>
    <w:rsid w:val="00973924"/>
    <w:rsid w:val="00973950"/>
    <w:rsid w:val="0097398C"/>
    <w:rsid w:val="009739CD"/>
    <w:rsid w:val="009739DF"/>
    <w:rsid w:val="009739E8"/>
    <w:rsid w:val="00973A12"/>
    <w:rsid w:val="00973A26"/>
    <w:rsid w:val="00973A84"/>
    <w:rsid w:val="00973A89"/>
    <w:rsid w:val="00973AF5"/>
    <w:rsid w:val="00973AF8"/>
    <w:rsid w:val="00973B1B"/>
    <w:rsid w:val="00973B4D"/>
    <w:rsid w:val="00973B56"/>
    <w:rsid w:val="00973B58"/>
    <w:rsid w:val="00973B6E"/>
    <w:rsid w:val="00973B6F"/>
    <w:rsid w:val="00973B7E"/>
    <w:rsid w:val="00973B8A"/>
    <w:rsid w:val="00973BC2"/>
    <w:rsid w:val="00973BC4"/>
    <w:rsid w:val="00973BD6"/>
    <w:rsid w:val="00973BF3"/>
    <w:rsid w:val="00973C60"/>
    <w:rsid w:val="00973C82"/>
    <w:rsid w:val="00973C97"/>
    <w:rsid w:val="00973CBD"/>
    <w:rsid w:val="00973CC3"/>
    <w:rsid w:val="00973CF3"/>
    <w:rsid w:val="00973D0E"/>
    <w:rsid w:val="00973D29"/>
    <w:rsid w:val="00973D55"/>
    <w:rsid w:val="00973D8C"/>
    <w:rsid w:val="00973E37"/>
    <w:rsid w:val="00973E41"/>
    <w:rsid w:val="00973E4A"/>
    <w:rsid w:val="00973E4C"/>
    <w:rsid w:val="00973E5E"/>
    <w:rsid w:val="00973F3F"/>
    <w:rsid w:val="00973F60"/>
    <w:rsid w:val="00973F66"/>
    <w:rsid w:val="00973FBC"/>
    <w:rsid w:val="00974049"/>
    <w:rsid w:val="00974091"/>
    <w:rsid w:val="009740A0"/>
    <w:rsid w:val="009740AC"/>
    <w:rsid w:val="009740F9"/>
    <w:rsid w:val="009740FD"/>
    <w:rsid w:val="00974137"/>
    <w:rsid w:val="00974170"/>
    <w:rsid w:val="0097417E"/>
    <w:rsid w:val="00974195"/>
    <w:rsid w:val="0097419A"/>
    <w:rsid w:val="009741AD"/>
    <w:rsid w:val="009741CC"/>
    <w:rsid w:val="009741F9"/>
    <w:rsid w:val="00974238"/>
    <w:rsid w:val="00974264"/>
    <w:rsid w:val="009742E0"/>
    <w:rsid w:val="00974309"/>
    <w:rsid w:val="00974310"/>
    <w:rsid w:val="0097433B"/>
    <w:rsid w:val="0097434E"/>
    <w:rsid w:val="0097445D"/>
    <w:rsid w:val="00974462"/>
    <w:rsid w:val="0097447B"/>
    <w:rsid w:val="009744CE"/>
    <w:rsid w:val="00974513"/>
    <w:rsid w:val="00974516"/>
    <w:rsid w:val="00974549"/>
    <w:rsid w:val="00974555"/>
    <w:rsid w:val="00974557"/>
    <w:rsid w:val="00974588"/>
    <w:rsid w:val="009745A3"/>
    <w:rsid w:val="009745D0"/>
    <w:rsid w:val="009745D5"/>
    <w:rsid w:val="009745E7"/>
    <w:rsid w:val="00974632"/>
    <w:rsid w:val="00974641"/>
    <w:rsid w:val="0097469E"/>
    <w:rsid w:val="00974722"/>
    <w:rsid w:val="00974730"/>
    <w:rsid w:val="0097477F"/>
    <w:rsid w:val="009747CB"/>
    <w:rsid w:val="009747CE"/>
    <w:rsid w:val="009747E5"/>
    <w:rsid w:val="00974818"/>
    <w:rsid w:val="0097481F"/>
    <w:rsid w:val="00974825"/>
    <w:rsid w:val="00974832"/>
    <w:rsid w:val="00974833"/>
    <w:rsid w:val="00974838"/>
    <w:rsid w:val="009748B3"/>
    <w:rsid w:val="009748B7"/>
    <w:rsid w:val="009748EE"/>
    <w:rsid w:val="009748EF"/>
    <w:rsid w:val="00974901"/>
    <w:rsid w:val="0097490D"/>
    <w:rsid w:val="00974944"/>
    <w:rsid w:val="00974980"/>
    <w:rsid w:val="009749BC"/>
    <w:rsid w:val="009749D6"/>
    <w:rsid w:val="009749DA"/>
    <w:rsid w:val="00974A15"/>
    <w:rsid w:val="00974A1D"/>
    <w:rsid w:val="00974A3B"/>
    <w:rsid w:val="00974A52"/>
    <w:rsid w:val="00974A83"/>
    <w:rsid w:val="00974AE8"/>
    <w:rsid w:val="00974AE9"/>
    <w:rsid w:val="00974B1C"/>
    <w:rsid w:val="00974B73"/>
    <w:rsid w:val="00974B76"/>
    <w:rsid w:val="00974BB6"/>
    <w:rsid w:val="00974BB9"/>
    <w:rsid w:val="00974BBC"/>
    <w:rsid w:val="00974BCF"/>
    <w:rsid w:val="00974C01"/>
    <w:rsid w:val="00974C0B"/>
    <w:rsid w:val="00974C34"/>
    <w:rsid w:val="00974C58"/>
    <w:rsid w:val="00974CD0"/>
    <w:rsid w:val="00974CDB"/>
    <w:rsid w:val="00974D11"/>
    <w:rsid w:val="00974D4A"/>
    <w:rsid w:val="00974D53"/>
    <w:rsid w:val="00974DD7"/>
    <w:rsid w:val="00974DF0"/>
    <w:rsid w:val="00974E14"/>
    <w:rsid w:val="00974E36"/>
    <w:rsid w:val="00974E42"/>
    <w:rsid w:val="00974E58"/>
    <w:rsid w:val="00974E6B"/>
    <w:rsid w:val="00974EB0"/>
    <w:rsid w:val="00974EDD"/>
    <w:rsid w:val="00974F08"/>
    <w:rsid w:val="00974F1F"/>
    <w:rsid w:val="00974F5F"/>
    <w:rsid w:val="00974F96"/>
    <w:rsid w:val="00974FD9"/>
    <w:rsid w:val="00974FFC"/>
    <w:rsid w:val="00974FFE"/>
    <w:rsid w:val="00975044"/>
    <w:rsid w:val="0097509A"/>
    <w:rsid w:val="009750C7"/>
    <w:rsid w:val="00975140"/>
    <w:rsid w:val="0097515F"/>
    <w:rsid w:val="00975160"/>
    <w:rsid w:val="0097517E"/>
    <w:rsid w:val="009751C6"/>
    <w:rsid w:val="009751D0"/>
    <w:rsid w:val="0097520D"/>
    <w:rsid w:val="00975211"/>
    <w:rsid w:val="00975222"/>
    <w:rsid w:val="00975232"/>
    <w:rsid w:val="00975273"/>
    <w:rsid w:val="00975290"/>
    <w:rsid w:val="009752B7"/>
    <w:rsid w:val="009752C1"/>
    <w:rsid w:val="009752F1"/>
    <w:rsid w:val="0097534E"/>
    <w:rsid w:val="00975378"/>
    <w:rsid w:val="0097537E"/>
    <w:rsid w:val="009753D3"/>
    <w:rsid w:val="009753E9"/>
    <w:rsid w:val="009753EC"/>
    <w:rsid w:val="00975415"/>
    <w:rsid w:val="0097545C"/>
    <w:rsid w:val="00975479"/>
    <w:rsid w:val="009754A6"/>
    <w:rsid w:val="009754BA"/>
    <w:rsid w:val="009754CF"/>
    <w:rsid w:val="0097551E"/>
    <w:rsid w:val="00975526"/>
    <w:rsid w:val="0097554F"/>
    <w:rsid w:val="00975561"/>
    <w:rsid w:val="009755E9"/>
    <w:rsid w:val="009755EB"/>
    <w:rsid w:val="009755F8"/>
    <w:rsid w:val="009755FE"/>
    <w:rsid w:val="00975622"/>
    <w:rsid w:val="00975628"/>
    <w:rsid w:val="0097564C"/>
    <w:rsid w:val="009756C0"/>
    <w:rsid w:val="009756D6"/>
    <w:rsid w:val="009756F7"/>
    <w:rsid w:val="0097570C"/>
    <w:rsid w:val="00975743"/>
    <w:rsid w:val="00975779"/>
    <w:rsid w:val="00975789"/>
    <w:rsid w:val="009757C2"/>
    <w:rsid w:val="00975815"/>
    <w:rsid w:val="0097581B"/>
    <w:rsid w:val="00975823"/>
    <w:rsid w:val="00975851"/>
    <w:rsid w:val="00975892"/>
    <w:rsid w:val="009758E4"/>
    <w:rsid w:val="009758FD"/>
    <w:rsid w:val="0097592A"/>
    <w:rsid w:val="0097594F"/>
    <w:rsid w:val="0097596B"/>
    <w:rsid w:val="00975990"/>
    <w:rsid w:val="00975991"/>
    <w:rsid w:val="00975995"/>
    <w:rsid w:val="009759F0"/>
    <w:rsid w:val="009759F5"/>
    <w:rsid w:val="009759FE"/>
    <w:rsid w:val="00975A08"/>
    <w:rsid w:val="00975A2A"/>
    <w:rsid w:val="00975A98"/>
    <w:rsid w:val="00975A99"/>
    <w:rsid w:val="00975B49"/>
    <w:rsid w:val="00975B7B"/>
    <w:rsid w:val="00975B88"/>
    <w:rsid w:val="00975BDB"/>
    <w:rsid w:val="00975C05"/>
    <w:rsid w:val="00975C0B"/>
    <w:rsid w:val="00975C39"/>
    <w:rsid w:val="00975C43"/>
    <w:rsid w:val="00975C46"/>
    <w:rsid w:val="00975CA5"/>
    <w:rsid w:val="00975CD4"/>
    <w:rsid w:val="00975CDB"/>
    <w:rsid w:val="00975D4A"/>
    <w:rsid w:val="00975D7B"/>
    <w:rsid w:val="00975DDF"/>
    <w:rsid w:val="00975DEF"/>
    <w:rsid w:val="00975E20"/>
    <w:rsid w:val="00975E93"/>
    <w:rsid w:val="00975EB4"/>
    <w:rsid w:val="00975ECA"/>
    <w:rsid w:val="00975EDF"/>
    <w:rsid w:val="00975EF9"/>
    <w:rsid w:val="00975EFF"/>
    <w:rsid w:val="00975F01"/>
    <w:rsid w:val="00975F5A"/>
    <w:rsid w:val="00975F8B"/>
    <w:rsid w:val="00975FA6"/>
    <w:rsid w:val="00975FAD"/>
    <w:rsid w:val="00975FC3"/>
    <w:rsid w:val="00975FCA"/>
    <w:rsid w:val="0097600D"/>
    <w:rsid w:val="00976037"/>
    <w:rsid w:val="00976055"/>
    <w:rsid w:val="00976085"/>
    <w:rsid w:val="00976091"/>
    <w:rsid w:val="009760C4"/>
    <w:rsid w:val="009760E4"/>
    <w:rsid w:val="009760F7"/>
    <w:rsid w:val="00976116"/>
    <w:rsid w:val="0097611E"/>
    <w:rsid w:val="0097613F"/>
    <w:rsid w:val="00976165"/>
    <w:rsid w:val="00976170"/>
    <w:rsid w:val="00976192"/>
    <w:rsid w:val="009761B8"/>
    <w:rsid w:val="009761BB"/>
    <w:rsid w:val="009761F7"/>
    <w:rsid w:val="00976212"/>
    <w:rsid w:val="00976252"/>
    <w:rsid w:val="00976266"/>
    <w:rsid w:val="009762B2"/>
    <w:rsid w:val="009762E5"/>
    <w:rsid w:val="00976369"/>
    <w:rsid w:val="00976379"/>
    <w:rsid w:val="0097637F"/>
    <w:rsid w:val="009763C8"/>
    <w:rsid w:val="00976403"/>
    <w:rsid w:val="00976418"/>
    <w:rsid w:val="00976440"/>
    <w:rsid w:val="00976477"/>
    <w:rsid w:val="009764DA"/>
    <w:rsid w:val="009764F4"/>
    <w:rsid w:val="00976531"/>
    <w:rsid w:val="00976554"/>
    <w:rsid w:val="00976558"/>
    <w:rsid w:val="009765C6"/>
    <w:rsid w:val="00976605"/>
    <w:rsid w:val="00976650"/>
    <w:rsid w:val="00976672"/>
    <w:rsid w:val="0097668D"/>
    <w:rsid w:val="0097669B"/>
    <w:rsid w:val="009766B5"/>
    <w:rsid w:val="009766ED"/>
    <w:rsid w:val="00976721"/>
    <w:rsid w:val="00976726"/>
    <w:rsid w:val="00976734"/>
    <w:rsid w:val="00976753"/>
    <w:rsid w:val="0097675F"/>
    <w:rsid w:val="00976768"/>
    <w:rsid w:val="00976772"/>
    <w:rsid w:val="0097677E"/>
    <w:rsid w:val="0097678B"/>
    <w:rsid w:val="00976797"/>
    <w:rsid w:val="009767A0"/>
    <w:rsid w:val="009767A1"/>
    <w:rsid w:val="009767B5"/>
    <w:rsid w:val="00976813"/>
    <w:rsid w:val="00976828"/>
    <w:rsid w:val="0097683C"/>
    <w:rsid w:val="00976863"/>
    <w:rsid w:val="00976866"/>
    <w:rsid w:val="0097686E"/>
    <w:rsid w:val="009768AE"/>
    <w:rsid w:val="009768B4"/>
    <w:rsid w:val="009768D0"/>
    <w:rsid w:val="009768F0"/>
    <w:rsid w:val="009768FE"/>
    <w:rsid w:val="0097691A"/>
    <w:rsid w:val="0097692C"/>
    <w:rsid w:val="0097695A"/>
    <w:rsid w:val="00976970"/>
    <w:rsid w:val="009769A5"/>
    <w:rsid w:val="009769AA"/>
    <w:rsid w:val="009769AC"/>
    <w:rsid w:val="00976A37"/>
    <w:rsid w:val="00976A62"/>
    <w:rsid w:val="00976A66"/>
    <w:rsid w:val="00976AAF"/>
    <w:rsid w:val="00976ACA"/>
    <w:rsid w:val="00976AE6"/>
    <w:rsid w:val="00976AF8"/>
    <w:rsid w:val="00976B07"/>
    <w:rsid w:val="00976B08"/>
    <w:rsid w:val="00976B62"/>
    <w:rsid w:val="00976B79"/>
    <w:rsid w:val="00976B93"/>
    <w:rsid w:val="00976B9D"/>
    <w:rsid w:val="00976BC8"/>
    <w:rsid w:val="00976BDB"/>
    <w:rsid w:val="00976BFE"/>
    <w:rsid w:val="00976C31"/>
    <w:rsid w:val="00976C39"/>
    <w:rsid w:val="00976C3F"/>
    <w:rsid w:val="00976C96"/>
    <w:rsid w:val="00976CB9"/>
    <w:rsid w:val="00976D27"/>
    <w:rsid w:val="00976D5B"/>
    <w:rsid w:val="00976D96"/>
    <w:rsid w:val="00976D9D"/>
    <w:rsid w:val="00976DB8"/>
    <w:rsid w:val="00976E04"/>
    <w:rsid w:val="00976E6B"/>
    <w:rsid w:val="00976E9F"/>
    <w:rsid w:val="00976EBC"/>
    <w:rsid w:val="00976F04"/>
    <w:rsid w:val="00976F0C"/>
    <w:rsid w:val="00976F45"/>
    <w:rsid w:val="00976F4D"/>
    <w:rsid w:val="00976F4E"/>
    <w:rsid w:val="00976FBA"/>
    <w:rsid w:val="00976FC5"/>
    <w:rsid w:val="00976FFA"/>
    <w:rsid w:val="0097704D"/>
    <w:rsid w:val="00977055"/>
    <w:rsid w:val="00977073"/>
    <w:rsid w:val="0097708F"/>
    <w:rsid w:val="009770AE"/>
    <w:rsid w:val="009770C5"/>
    <w:rsid w:val="009770CB"/>
    <w:rsid w:val="009770D8"/>
    <w:rsid w:val="00977126"/>
    <w:rsid w:val="0097715E"/>
    <w:rsid w:val="0097716E"/>
    <w:rsid w:val="00977183"/>
    <w:rsid w:val="0097720A"/>
    <w:rsid w:val="0097721B"/>
    <w:rsid w:val="0097723E"/>
    <w:rsid w:val="00977240"/>
    <w:rsid w:val="00977250"/>
    <w:rsid w:val="00977268"/>
    <w:rsid w:val="00977279"/>
    <w:rsid w:val="0097728B"/>
    <w:rsid w:val="00977294"/>
    <w:rsid w:val="009772AA"/>
    <w:rsid w:val="009772BE"/>
    <w:rsid w:val="009772D5"/>
    <w:rsid w:val="0097737C"/>
    <w:rsid w:val="00977396"/>
    <w:rsid w:val="0097739D"/>
    <w:rsid w:val="009773E9"/>
    <w:rsid w:val="009773F1"/>
    <w:rsid w:val="0097740A"/>
    <w:rsid w:val="00977428"/>
    <w:rsid w:val="009774C6"/>
    <w:rsid w:val="009774DB"/>
    <w:rsid w:val="00977501"/>
    <w:rsid w:val="0097750C"/>
    <w:rsid w:val="00977517"/>
    <w:rsid w:val="00977519"/>
    <w:rsid w:val="0097758E"/>
    <w:rsid w:val="00977659"/>
    <w:rsid w:val="00977675"/>
    <w:rsid w:val="00977690"/>
    <w:rsid w:val="009776BF"/>
    <w:rsid w:val="009776EE"/>
    <w:rsid w:val="00977783"/>
    <w:rsid w:val="00977797"/>
    <w:rsid w:val="009777A0"/>
    <w:rsid w:val="009777B5"/>
    <w:rsid w:val="009777BD"/>
    <w:rsid w:val="00977805"/>
    <w:rsid w:val="0097783B"/>
    <w:rsid w:val="00977871"/>
    <w:rsid w:val="0097794A"/>
    <w:rsid w:val="00977961"/>
    <w:rsid w:val="009779A6"/>
    <w:rsid w:val="009779B4"/>
    <w:rsid w:val="009779FA"/>
    <w:rsid w:val="00977A31"/>
    <w:rsid w:val="00977A91"/>
    <w:rsid w:val="00977AF4"/>
    <w:rsid w:val="00977AF7"/>
    <w:rsid w:val="00977B05"/>
    <w:rsid w:val="00977B2B"/>
    <w:rsid w:val="00977B4F"/>
    <w:rsid w:val="00977B7F"/>
    <w:rsid w:val="00977B8B"/>
    <w:rsid w:val="00977BC5"/>
    <w:rsid w:val="00977BF2"/>
    <w:rsid w:val="00977C6C"/>
    <w:rsid w:val="00977CB1"/>
    <w:rsid w:val="00977CC6"/>
    <w:rsid w:val="00977CDB"/>
    <w:rsid w:val="00977CE6"/>
    <w:rsid w:val="00977CF2"/>
    <w:rsid w:val="00977D04"/>
    <w:rsid w:val="00977D06"/>
    <w:rsid w:val="00977D22"/>
    <w:rsid w:val="00977D2C"/>
    <w:rsid w:val="00977D33"/>
    <w:rsid w:val="00977D42"/>
    <w:rsid w:val="00977DB4"/>
    <w:rsid w:val="00977DD0"/>
    <w:rsid w:val="00977DEE"/>
    <w:rsid w:val="00977E09"/>
    <w:rsid w:val="00977E8B"/>
    <w:rsid w:val="00977EAD"/>
    <w:rsid w:val="00977EC9"/>
    <w:rsid w:val="00977F0D"/>
    <w:rsid w:val="00977F57"/>
    <w:rsid w:val="00977F86"/>
    <w:rsid w:val="00977FEA"/>
    <w:rsid w:val="00980007"/>
    <w:rsid w:val="0098005D"/>
    <w:rsid w:val="00980071"/>
    <w:rsid w:val="00980102"/>
    <w:rsid w:val="00980126"/>
    <w:rsid w:val="0098016C"/>
    <w:rsid w:val="0098016E"/>
    <w:rsid w:val="009801B9"/>
    <w:rsid w:val="009801BA"/>
    <w:rsid w:val="009801EE"/>
    <w:rsid w:val="009801F9"/>
    <w:rsid w:val="0098025D"/>
    <w:rsid w:val="0098028A"/>
    <w:rsid w:val="0098029A"/>
    <w:rsid w:val="009802C7"/>
    <w:rsid w:val="009802C9"/>
    <w:rsid w:val="009802D0"/>
    <w:rsid w:val="0098030B"/>
    <w:rsid w:val="0098034D"/>
    <w:rsid w:val="009803C2"/>
    <w:rsid w:val="009803D6"/>
    <w:rsid w:val="009803F1"/>
    <w:rsid w:val="0098043A"/>
    <w:rsid w:val="0098044F"/>
    <w:rsid w:val="0098049E"/>
    <w:rsid w:val="009804E1"/>
    <w:rsid w:val="00980515"/>
    <w:rsid w:val="00980544"/>
    <w:rsid w:val="0098054F"/>
    <w:rsid w:val="00980590"/>
    <w:rsid w:val="009805C2"/>
    <w:rsid w:val="009805E3"/>
    <w:rsid w:val="0098063C"/>
    <w:rsid w:val="0098069A"/>
    <w:rsid w:val="009806C1"/>
    <w:rsid w:val="009806DA"/>
    <w:rsid w:val="009806DE"/>
    <w:rsid w:val="00980701"/>
    <w:rsid w:val="00980705"/>
    <w:rsid w:val="00980722"/>
    <w:rsid w:val="0098077E"/>
    <w:rsid w:val="009807A0"/>
    <w:rsid w:val="009807C6"/>
    <w:rsid w:val="0098081E"/>
    <w:rsid w:val="0098082B"/>
    <w:rsid w:val="0098089F"/>
    <w:rsid w:val="009808B2"/>
    <w:rsid w:val="009808D4"/>
    <w:rsid w:val="0098091D"/>
    <w:rsid w:val="00980984"/>
    <w:rsid w:val="00980A73"/>
    <w:rsid w:val="00980A77"/>
    <w:rsid w:val="00980A9E"/>
    <w:rsid w:val="00980B25"/>
    <w:rsid w:val="00980B29"/>
    <w:rsid w:val="00980B44"/>
    <w:rsid w:val="00980B71"/>
    <w:rsid w:val="00980B84"/>
    <w:rsid w:val="00980BFB"/>
    <w:rsid w:val="00980C2C"/>
    <w:rsid w:val="00980C53"/>
    <w:rsid w:val="00980CA7"/>
    <w:rsid w:val="00980CAF"/>
    <w:rsid w:val="00980CFC"/>
    <w:rsid w:val="00980D82"/>
    <w:rsid w:val="00980E12"/>
    <w:rsid w:val="00980E32"/>
    <w:rsid w:val="00980E38"/>
    <w:rsid w:val="00980EC7"/>
    <w:rsid w:val="00980EDB"/>
    <w:rsid w:val="00980F01"/>
    <w:rsid w:val="00980F06"/>
    <w:rsid w:val="00980F11"/>
    <w:rsid w:val="00980F12"/>
    <w:rsid w:val="00980F39"/>
    <w:rsid w:val="00980F48"/>
    <w:rsid w:val="00980F85"/>
    <w:rsid w:val="00980F96"/>
    <w:rsid w:val="00980FD7"/>
    <w:rsid w:val="00980FFF"/>
    <w:rsid w:val="00981007"/>
    <w:rsid w:val="00981063"/>
    <w:rsid w:val="0098108A"/>
    <w:rsid w:val="00981090"/>
    <w:rsid w:val="00981093"/>
    <w:rsid w:val="00981094"/>
    <w:rsid w:val="009810B9"/>
    <w:rsid w:val="009810D0"/>
    <w:rsid w:val="009810DE"/>
    <w:rsid w:val="009810ED"/>
    <w:rsid w:val="0098111C"/>
    <w:rsid w:val="0098114C"/>
    <w:rsid w:val="00981173"/>
    <w:rsid w:val="00981175"/>
    <w:rsid w:val="0098117D"/>
    <w:rsid w:val="00981187"/>
    <w:rsid w:val="0098118F"/>
    <w:rsid w:val="00981193"/>
    <w:rsid w:val="009811AF"/>
    <w:rsid w:val="009811C4"/>
    <w:rsid w:val="009811D1"/>
    <w:rsid w:val="00981236"/>
    <w:rsid w:val="00981243"/>
    <w:rsid w:val="00981246"/>
    <w:rsid w:val="00981277"/>
    <w:rsid w:val="00981288"/>
    <w:rsid w:val="009812A4"/>
    <w:rsid w:val="009812E3"/>
    <w:rsid w:val="009812E5"/>
    <w:rsid w:val="009812F0"/>
    <w:rsid w:val="00981318"/>
    <w:rsid w:val="00981341"/>
    <w:rsid w:val="0098135F"/>
    <w:rsid w:val="0098138C"/>
    <w:rsid w:val="0098138D"/>
    <w:rsid w:val="009813B2"/>
    <w:rsid w:val="009813D5"/>
    <w:rsid w:val="009813FD"/>
    <w:rsid w:val="0098143F"/>
    <w:rsid w:val="00981444"/>
    <w:rsid w:val="00981452"/>
    <w:rsid w:val="00981464"/>
    <w:rsid w:val="009814C7"/>
    <w:rsid w:val="009814EB"/>
    <w:rsid w:val="00981522"/>
    <w:rsid w:val="00981557"/>
    <w:rsid w:val="0098155A"/>
    <w:rsid w:val="00981577"/>
    <w:rsid w:val="0098157D"/>
    <w:rsid w:val="0098158E"/>
    <w:rsid w:val="009815B0"/>
    <w:rsid w:val="009815E0"/>
    <w:rsid w:val="0098162A"/>
    <w:rsid w:val="00981669"/>
    <w:rsid w:val="009816BA"/>
    <w:rsid w:val="009816BB"/>
    <w:rsid w:val="009816EF"/>
    <w:rsid w:val="0098173E"/>
    <w:rsid w:val="00981750"/>
    <w:rsid w:val="00981771"/>
    <w:rsid w:val="00981791"/>
    <w:rsid w:val="00981797"/>
    <w:rsid w:val="009817A2"/>
    <w:rsid w:val="009817D2"/>
    <w:rsid w:val="009817D7"/>
    <w:rsid w:val="009817F1"/>
    <w:rsid w:val="00981818"/>
    <w:rsid w:val="00981833"/>
    <w:rsid w:val="00981872"/>
    <w:rsid w:val="00981888"/>
    <w:rsid w:val="009818C8"/>
    <w:rsid w:val="009818C9"/>
    <w:rsid w:val="009818CE"/>
    <w:rsid w:val="009818EA"/>
    <w:rsid w:val="00981993"/>
    <w:rsid w:val="009819A7"/>
    <w:rsid w:val="009819C8"/>
    <w:rsid w:val="009819F1"/>
    <w:rsid w:val="00981A48"/>
    <w:rsid w:val="00981B1A"/>
    <w:rsid w:val="00981B65"/>
    <w:rsid w:val="00981B71"/>
    <w:rsid w:val="00981BCC"/>
    <w:rsid w:val="00981BD4"/>
    <w:rsid w:val="00981C13"/>
    <w:rsid w:val="00981C3E"/>
    <w:rsid w:val="00981C4B"/>
    <w:rsid w:val="00981C54"/>
    <w:rsid w:val="00981C58"/>
    <w:rsid w:val="00981C5C"/>
    <w:rsid w:val="00981C77"/>
    <w:rsid w:val="00981C96"/>
    <w:rsid w:val="00981CD0"/>
    <w:rsid w:val="00981D0E"/>
    <w:rsid w:val="00981D29"/>
    <w:rsid w:val="00981D48"/>
    <w:rsid w:val="00981D49"/>
    <w:rsid w:val="00981D75"/>
    <w:rsid w:val="00981DF9"/>
    <w:rsid w:val="00981E07"/>
    <w:rsid w:val="00981E71"/>
    <w:rsid w:val="00981E81"/>
    <w:rsid w:val="00981E8B"/>
    <w:rsid w:val="00981ECE"/>
    <w:rsid w:val="00981EDB"/>
    <w:rsid w:val="00981EF7"/>
    <w:rsid w:val="00981F30"/>
    <w:rsid w:val="00981F44"/>
    <w:rsid w:val="00981F62"/>
    <w:rsid w:val="00981FC1"/>
    <w:rsid w:val="00981FC9"/>
    <w:rsid w:val="00981FD6"/>
    <w:rsid w:val="0098204A"/>
    <w:rsid w:val="009820AA"/>
    <w:rsid w:val="009820FD"/>
    <w:rsid w:val="00982129"/>
    <w:rsid w:val="00982144"/>
    <w:rsid w:val="0098214D"/>
    <w:rsid w:val="0098215B"/>
    <w:rsid w:val="00982165"/>
    <w:rsid w:val="00982172"/>
    <w:rsid w:val="00982175"/>
    <w:rsid w:val="009821B0"/>
    <w:rsid w:val="009821FC"/>
    <w:rsid w:val="00982203"/>
    <w:rsid w:val="00982238"/>
    <w:rsid w:val="00982276"/>
    <w:rsid w:val="0098231F"/>
    <w:rsid w:val="00982345"/>
    <w:rsid w:val="0098237B"/>
    <w:rsid w:val="009823A3"/>
    <w:rsid w:val="009823B0"/>
    <w:rsid w:val="00982442"/>
    <w:rsid w:val="00982480"/>
    <w:rsid w:val="0098249D"/>
    <w:rsid w:val="009824A1"/>
    <w:rsid w:val="009824C7"/>
    <w:rsid w:val="00982501"/>
    <w:rsid w:val="00982556"/>
    <w:rsid w:val="00982567"/>
    <w:rsid w:val="0098257D"/>
    <w:rsid w:val="00982640"/>
    <w:rsid w:val="0098265D"/>
    <w:rsid w:val="00982673"/>
    <w:rsid w:val="00982689"/>
    <w:rsid w:val="009826C5"/>
    <w:rsid w:val="00982729"/>
    <w:rsid w:val="00982770"/>
    <w:rsid w:val="00982788"/>
    <w:rsid w:val="0098278B"/>
    <w:rsid w:val="00982798"/>
    <w:rsid w:val="0098279F"/>
    <w:rsid w:val="009827A0"/>
    <w:rsid w:val="009827B8"/>
    <w:rsid w:val="009827BB"/>
    <w:rsid w:val="009827C7"/>
    <w:rsid w:val="00982805"/>
    <w:rsid w:val="00982856"/>
    <w:rsid w:val="009828A4"/>
    <w:rsid w:val="009828B6"/>
    <w:rsid w:val="009828BC"/>
    <w:rsid w:val="009828D7"/>
    <w:rsid w:val="009828E3"/>
    <w:rsid w:val="00982959"/>
    <w:rsid w:val="00982972"/>
    <w:rsid w:val="009829AB"/>
    <w:rsid w:val="009829C2"/>
    <w:rsid w:val="00982A06"/>
    <w:rsid w:val="00982A74"/>
    <w:rsid w:val="00982A80"/>
    <w:rsid w:val="00982ACB"/>
    <w:rsid w:val="00982ADC"/>
    <w:rsid w:val="00982AEA"/>
    <w:rsid w:val="00982AEF"/>
    <w:rsid w:val="00982AF6"/>
    <w:rsid w:val="00982B1C"/>
    <w:rsid w:val="00982B29"/>
    <w:rsid w:val="00982B9F"/>
    <w:rsid w:val="00982BA2"/>
    <w:rsid w:val="00982BBD"/>
    <w:rsid w:val="00982C04"/>
    <w:rsid w:val="00982C22"/>
    <w:rsid w:val="00982C3A"/>
    <w:rsid w:val="00982C84"/>
    <w:rsid w:val="00982C87"/>
    <w:rsid w:val="00982CF0"/>
    <w:rsid w:val="00982D3D"/>
    <w:rsid w:val="00982D94"/>
    <w:rsid w:val="00982E01"/>
    <w:rsid w:val="00982E78"/>
    <w:rsid w:val="00982E87"/>
    <w:rsid w:val="00982EBD"/>
    <w:rsid w:val="00982EEB"/>
    <w:rsid w:val="00982EF3"/>
    <w:rsid w:val="00982EFE"/>
    <w:rsid w:val="00982F18"/>
    <w:rsid w:val="00982F3B"/>
    <w:rsid w:val="00982F94"/>
    <w:rsid w:val="00982FAC"/>
    <w:rsid w:val="00982FAE"/>
    <w:rsid w:val="00982FE8"/>
    <w:rsid w:val="00982FF5"/>
    <w:rsid w:val="00983008"/>
    <w:rsid w:val="0098305D"/>
    <w:rsid w:val="0098306E"/>
    <w:rsid w:val="009830D0"/>
    <w:rsid w:val="009830E3"/>
    <w:rsid w:val="009830ED"/>
    <w:rsid w:val="00983108"/>
    <w:rsid w:val="0098311D"/>
    <w:rsid w:val="00983130"/>
    <w:rsid w:val="00983137"/>
    <w:rsid w:val="0098313C"/>
    <w:rsid w:val="00983147"/>
    <w:rsid w:val="00983153"/>
    <w:rsid w:val="0098315E"/>
    <w:rsid w:val="0098316A"/>
    <w:rsid w:val="009831AA"/>
    <w:rsid w:val="009831AE"/>
    <w:rsid w:val="009831DE"/>
    <w:rsid w:val="00983227"/>
    <w:rsid w:val="00983244"/>
    <w:rsid w:val="0098325C"/>
    <w:rsid w:val="00983270"/>
    <w:rsid w:val="00983277"/>
    <w:rsid w:val="00983292"/>
    <w:rsid w:val="00983299"/>
    <w:rsid w:val="009832D6"/>
    <w:rsid w:val="00983349"/>
    <w:rsid w:val="00983358"/>
    <w:rsid w:val="00983362"/>
    <w:rsid w:val="00983381"/>
    <w:rsid w:val="009833B6"/>
    <w:rsid w:val="0098346C"/>
    <w:rsid w:val="009834ED"/>
    <w:rsid w:val="0098350B"/>
    <w:rsid w:val="00983525"/>
    <w:rsid w:val="00983556"/>
    <w:rsid w:val="00983563"/>
    <w:rsid w:val="00983566"/>
    <w:rsid w:val="00983590"/>
    <w:rsid w:val="0098359B"/>
    <w:rsid w:val="009835AA"/>
    <w:rsid w:val="009835E2"/>
    <w:rsid w:val="009835E8"/>
    <w:rsid w:val="0098361B"/>
    <w:rsid w:val="00983626"/>
    <w:rsid w:val="00983650"/>
    <w:rsid w:val="00983688"/>
    <w:rsid w:val="009836A8"/>
    <w:rsid w:val="009836D7"/>
    <w:rsid w:val="00983712"/>
    <w:rsid w:val="00983752"/>
    <w:rsid w:val="00983764"/>
    <w:rsid w:val="00983768"/>
    <w:rsid w:val="009837A8"/>
    <w:rsid w:val="009837C8"/>
    <w:rsid w:val="00983803"/>
    <w:rsid w:val="0098380F"/>
    <w:rsid w:val="0098384F"/>
    <w:rsid w:val="0098389E"/>
    <w:rsid w:val="009838AC"/>
    <w:rsid w:val="009838B8"/>
    <w:rsid w:val="009838F3"/>
    <w:rsid w:val="009838FD"/>
    <w:rsid w:val="00983924"/>
    <w:rsid w:val="0098392D"/>
    <w:rsid w:val="009839A1"/>
    <w:rsid w:val="00983A49"/>
    <w:rsid w:val="00983A62"/>
    <w:rsid w:val="00983A89"/>
    <w:rsid w:val="00983A96"/>
    <w:rsid w:val="00983B4F"/>
    <w:rsid w:val="00983B63"/>
    <w:rsid w:val="00983BE2"/>
    <w:rsid w:val="00983C11"/>
    <w:rsid w:val="00983C26"/>
    <w:rsid w:val="00983C89"/>
    <w:rsid w:val="00983CB0"/>
    <w:rsid w:val="00983CC5"/>
    <w:rsid w:val="00983CD5"/>
    <w:rsid w:val="00983CE8"/>
    <w:rsid w:val="00983D62"/>
    <w:rsid w:val="00983D64"/>
    <w:rsid w:val="00983D9F"/>
    <w:rsid w:val="00983DBC"/>
    <w:rsid w:val="00983E0B"/>
    <w:rsid w:val="00983E35"/>
    <w:rsid w:val="00983E3B"/>
    <w:rsid w:val="00983E5A"/>
    <w:rsid w:val="00983E6E"/>
    <w:rsid w:val="00983EC5"/>
    <w:rsid w:val="00983ED6"/>
    <w:rsid w:val="00983F04"/>
    <w:rsid w:val="00983F13"/>
    <w:rsid w:val="00983F3B"/>
    <w:rsid w:val="00983FC4"/>
    <w:rsid w:val="0098400A"/>
    <w:rsid w:val="00984023"/>
    <w:rsid w:val="0098404D"/>
    <w:rsid w:val="00984059"/>
    <w:rsid w:val="0098407F"/>
    <w:rsid w:val="009840E6"/>
    <w:rsid w:val="00984109"/>
    <w:rsid w:val="0098414F"/>
    <w:rsid w:val="00984176"/>
    <w:rsid w:val="00984184"/>
    <w:rsid w:val="009841E0"/>
    <w:rsid w:val="00984205"/>
    <w:rsid w:val="00984212"/>
    <w:rsid w:val="00984216"/>
    <w:rsid w:val="00984243"/>
    <w:rsid w:val="00984278"/>
    <w:rsid w:val="0098428A"/>
    <w:rsid w:val="009842EB"/>
    <w:rsid w:val="009842EE"/>
    <w:rsid w:val="00984382"/>
    <w:rsid w:val="00984396"/>
    <w:rsid w:val="0098439F"/>
    <w:rsid w:val="009843E9"/>
    <w:rsid w:val="00984405"/>
    <w:rsid w:val="00984420"/>
    <w:rsid w:val="00984427"/>
    <w:rsid w:val="00984460"/>
    <w:rsid w:val="00984484"/>
    <w:rsid w:val="009844AE"/>
    <w:rsid w:val="009844D3"/>
    <w:rsid w:val="00984505"/>
    <w:rsid w:val="00984540"/>
    <w:rsid w:val="0098457F"/>
    <w:rsid w:val="009845B9"/>
    <w:rsid w:val="009845D1"/>
    <w:rsid w:val="009845EA"/>
    <w:rsid w:val="0098461F"/>
    <w:rsid w:val="0098463F"/>
    <w:rsid w:val="0098464E"/>
    <w:rsid w:val="00984656"/>
    <w:rsid w:val="00984660"/>
    <w:rsid w:val="00984697"/>
    <w:rsid w:val="009846A7"/>
    <w:rsid w:val="009846BA"/>
    <w:rsid w:val="009846BE"/>
    <w:rsid w:val="009846D5"/>
    <w:rsid w:val="009846ED"/>
    <w:rsid w:val="00984719"/>
    <w:rsid w:val="0098471E"/>
    <w:rsid w:val="0098471F"/>
    <w:rsid w:val="00984721"/>
    <w:rsid w:val="0098473D"/>
    <w:rsid w:val="00984749"/>
    <w:rsid w:val="0098474E"/>
    <w:rsid w:val="00984775"/>
    <w:rsid w:val="00984789"/>
    <w:rsid w:val="009847FE"/>
    <w:rsid w:val="0098481B"/>
    <w:rsid w:val="00984834"/>
    <w:rsid w:val="00984837"/>
    <w:rsid w:val="00984838"/>
    <w:rsid w:val="00984898"/>
    <w:rsid w:val="009848A3"/>
    <w:rsid w:val="009848C8"/>
    <w:rsid w:val="009848EF"/>
    <w:rsid w:val="00984935"/>
    <w:rsid w:val="00984955"/>
    <w:rsid w:val="00984972"/>
    <w:rsid w:val="009849BD"/>
    <w:rsid w:val="009849EC"/>
    <w:rsid w:val="00984A67"/>
    <w:rsid w:val="00984ACF"/>
    <w:rsid w:val="00984AD3"/>
    <w:rsid w:val="00984B48"/>
    <w:rsid w:val="00984BF8"/>
    <w:rsid w:val="00984C24"/>
    <w:rsid w:val="00984C8B"/>
    <w:rsid w:val="00984CB7"/>
    <w:rsid w:val="00984D18"/>
    <w:rsid w:val="00984D6E"/>
    <w:rsid w:val="00984D7A"/>
    <w:rsid w:val="00984D97"/>
    <w:rsid w:val="00984DF3"/>
    <w:rsid w:val="00984DFC"/>
    <w:rsid w:val="00984E0E"/>
    <w:rsid w:val="00984E24"/>
    <w:rsid w:val="00984E5E"/>
    <w:rsid w:val="00984E88"/>
    <w:rsid w:val="00984EA5"/>
    <w:rsid w:val="00984EA9"/>
    <w:rsid w:val="00984EBF"/>
    <w:rsid w:val="00984EE9"/>
    <w:rsid w:val="00984F06"/>
    <w:rsid w:val="00984F14"/>
    <w:rsid w:val="00984F4D"/>
    <w:rsid w:val="00984F5F"/>
    <w:rsid w:val="00984F74"/>
    <w:rsid w:val="00984FA4"/>
    <w:rsid w:val="00984FD9"/>
    <w:rsid w:val="00985005"/>
    <w:rsid w:val="00985053"/>
    <w:rsid w:val="00985054"/>
    <w:rsid w:val="0098506B"/>
    <w:rsid w:val="00985084"/>
    <w:rsid w:val="00985089"/>
    <w:rsid w:val="00985097"/>
    <w:rsid w:val="009850B3"/>
    <w:rsid w:val="009850D7"/>
    <w:rsid w:val="009850E3"/>
    <w:rsid w:val="00985145"/>
    <w:rsid w:val="009851C9"/>
    <w:rsid w:val="0098520C"/>
    <w:rsid w:val="0098524A"/>
    <w:rsid w:val="0098525F"/>
    <w:rsid w:val="009852D8"/>
    <w:rsid w:val="009852E4"/>
    <w:rsid w:val="009852EF"/>
    <w:rsid w:val="0098533D"/>
    <w:rsid w:val="00985343"/>
    <w:rsid w:val="0098538B"/>
    <w:rsid w:val="00985396"/>
    <w:rsid w:val="009853B0"/>
    <w:rsid w:val="009853F7"/>
    <w:rsid w:val="009853FF"/>
    <w:rsid w:val="00985418"/>
    <w:rsid w:val="00985438"/>
    <w:rsid w:val="00985466"/>
    <w:rsid w:val="009854AC"/>
    <w:rsid w:val="009854BA"/>
    <w:rsid w:val="009854CA"/>
    <w:rsid w:val="009854CB"/>
    <w:rsid w:val="00985520"/>
    <w:rsid w:val="00985526"/>
    <w:rsid w:val="0098554B"/>
    <w:rsid w:val="00985559"/>
    <w:rsid w:val="009855AD"/>
    <w:rsid w:val="009855CC"/>
    <w:rsid w:val="0098560D"/>
    <w:rsid w:val="0098566A"/>
    <w:rsid w:val="00985679"/>
    <w:rsid w:val="009856AB"/>
    <w:rsid w:val="009856BE"/>
    <w:rsid w:val="009856CE"/>
    <w:rsid w:val="009856DE"/>
    <w:rsid w:val="009857BD"/>
    <w:rsid w:val="009857F2"/>
    <w:rsid w:val="00985817"/>
    <w:rsid w:val="0098587C"/>
    <w:rsid w:val="009858AF"/>
    <w:rsid w:val="009858C8"/>
    <w:rsid w:val="009858D4"/>
    <w:rsid w:val="0098593B"/>
    <w:rsid w:val="009859FC"/>
    <w:rsid w:val="00985A38"/>
    <w:rsid w:val="00985ACF"/>
    <w:rsid w:val="00985ADC"/>
    <w:rsid w:val="00985AE9"/>
    <w:rsid w:val="00985AEA"/>
    <w:rsid w:val="00985B4D"/>
    <w:rsid w:val="00985B55"/>
    <w:rsid w:val="00985B83"/>
    <w:rsid w:val="00985B9C"/>
    <w:rsid w:val="00985BAF"/>
    <w:rsid w:val="00985BCE"/>
    <w:rsid w:val="00985BDB"/>
    <w:rsid w:val="00985C01"/>
    <w:rsid w:val="00985C03"/>
    <w:rsid w:val="00985C1C"/>
    <w:rsid w:val="00985C1E"/>
    <w:rsid w:val="00985C27"/>
    <w:rsid w:val="00985C37"/>
    <w:rsid w:val="00985CC2"/>
    <w:rsid w:val="00985D1A"/>
    <w:rsid w:val="00985D24"/>
    <w:rsid w:val="00985D58"/>
    <w:rsid w:val="00985D64"/>
    <w:rsid w:val="00985D7A"/>
    <w:rsid w:val="00985D7D"/>
    <w:rsid w:val="00985D87"/>
    <w:rsid w:val="00985DBE"/>
    <w:rsid w:val="00985E17"/>
    <w:rsid w:val="00985E88"/>
    <w:rsid w:val="00985EB9"/>
    <w:rsid w:val="00985EDC"/>
    <w:rsid w:val="00985EF6"/>
    <w:rsid w:val="00985F62"/>
    <w:rsid w:val="00985F9B"/>
    <w:rsid w:val="00985FBC"/>
    <w:rsid w:val="00985FF0"/>
    <w:rsid w:val="0098602B"/>
    <w:rsid w:val="00986087"/>
    <w:rsid w:val="00986093"/>
    <w:rsid w:val="009860E6"/>
    <w:rsid w:val="009860E7"/>
    <w:rsid w:val="00986120"/>
    <w:rsid w:val="0098619C"/>
    <w:rsid w:val="009861B0"/>
    <w:rsid w:val="009861D8"/>
    <w:rsid w:val="009861EA"/>
    <w:rsid w:val="00986209"/>
    <w:rsid w:val="00986260"/>
    <w:rsid w:val="00986271"/>
    <w:rsid w:val="00986293"/>
    <w:rsid w:val="009862C4"/>
    <w:rsid w:val="009862E4"/>
    <w:rsid w:val="00986308"/>
    <w:rsid w:val="00986376"/>
    <w:rsid w:val="00986431"/>
    <w:rsid w:val="00986448"/>
    <w:rsid w:val="00986473"/>
    <w:rsid w:val="0098648A"/>
    <w:rsid w:val="009864B4"/>
    <w:rsid w:val="009864E9"/>
    <w:rsid w:val="009865E8"/>
    <w:rsid w:val="009865EB"/>
    <w:rsid w:val="00986610"/>
    <w:rsid w:val="0098661E"/>
    <w:rsid w:val="00986658"/>
    <w:rsid w:val="00986670"/>
    <w:rsid w:val="0098667B"/>
    <w:rsid w:val="0098667E"/>
    <w:rsid w:val="00986697"/>
    <w:rsid w:val="00986699"/>
    <w:rsid w:val="009866C3"/>
    <w:rsid w:val="0098671D"/>
    <w:rsid w:val="0098671E"/>
    <w:rsid w:val="00986721"/>
    <w:rsid w:val="00986730"/>
    <w:rsid w:val="0098673C"/>
    <w:rsid w:val="00986785"/>
    <w:rsid w:val="009867B8"/>
    <w:rsid w:val="009867F5"/>
    <w:rsid w:val="0098680C"/>
    <w:rsid w:val="00986827"/>
    <w:rsid w:val="00986830"/>
    <w:rsid w:val="00986852"/>
    <w:rsid w:val="009868C9"/>
    <w:rsid w:val="00986935"/>
    <w:rsid w:val="00986938"/>
    <w:rsid w:val="00986949"/>
    <w:rsid w:val="0098695F"/>
    <w:rsid w:val="00986971"/>
    <w:rsid w:val="009869B1"/>
    <w:rsid w:val="009869CB"/>
    <w:rsid w:val="00986A34"/>
    <w:rsid w:val="00986A3F"/>
    <w:rsid w:val="00986AF5"/>
    <w:rsid w:val="00986B3C"/>
    <w:rsid w:val="00986B5F"/>
    <w:rsid w:val="00986BBC"/>
    <w:rsid w:val="00986BFE"/>
    <w:rsid w:val="00986C2C"/>
    <w:rsid w:val="00986C62"/>
    <w:rsid w:val="00986C7D"/>
    <w:rsid w:val="00986CA6"/>
    <w:rsid w:val="00986CD9"/>
    <w:rsid w:val="00986CDC"/>
    <w:rsid w:val="00986D1C"/>
    <w:rsid w:val="00986D73"/>
    <w:rsid w:val="00986DAE"/>
    <w:rsid w:val="00986DB2"/>
    <w:rsid w:val="00986DBE"/>
    <w:rsid w:val="00986DF2"/>
    <w:rsid w:val="00986E28"/>
    <w:rsid w:val="00986E55"/>
    <w:rsid w:val="00986E99"/>
    <w:rsid w:val="00986E9C"/>
    <w:rsid w:val="00986EB8"/>
    <w:rsid w:val="00986EBE"/>
    <w:rsid w:val="00986ED5"/>
    <w:rsid w:val="00986ED9"/>
    <w:rsid w:val="00986EFC"/>
    <w:rsid w:val="00986F04"/>
    <w:rsid w:val="00986F11"/>
    <w:rsid w:val="00986F35"/>
    <w:rsid w:val="00986F76"/>
    <w:rsid w:val="00986F7A"/>
    <w:rsid w:val="00986F8C"/>
    <w:rsid w:val="00986F94"/>
    <w:rsid w:val="00986FC3"/>
    <w:rsid w:val="00986FCF"/>
    <w:rsid w:val="00987046"/>
    <w:rsid w:val="00987065"/>
    <w:rsid w:val="00987090"/>
    <w:rsid w:val="009870C7"/>
    <w:rsid w:val="009870C9"/>
    <w:rsid w:val="009870ED"/>
    <w:rsid w:val="009870F0"/>
    <w:rsid w:val="0098711A"/>
    <w:rsid w:val="0098712C"/>
    <w:rsid w:val="00987165"/>
    <w:rsid w:val="00987170"/>
    <w:rsid w:val="009871A6"/>
    <w:rsid w:val="009871E1"/>
    <w:rsid w:val="009871E2"/>
    <w:rsid w:val="00987216"/>
    <w:rsid w:val="00987238"/>
    <w:rsid w:val="0098724E"/>
    <w:rsid w:val="00987268"/>
    <w:rsid w:val="00987286"/>
    <w:rsid w:val="009872A5"/>
    <w:rsid w:val="009872C5"/>
    <w:rsid w:val="009872D9"/>
    <w:rsid w:val="009872EC"/>
    <w:rsid w:val="0098730F"/>
    <w:rsid w:val="0098732F"/>
    <w:rsid w:val="00987345"/>
    <w:rsid w:val="0098737E"/>
    <w:rsid w:val="00987399"/>
    <w:rsid w:val="009873DD"/>
    <w:rsid w:val="009873E3"/>
    <w:rsid w:val="009873E9"/>
    <w:rsid w:val="00987438"/>
    <w:rsid w:val="00987442"/>
    <w:rsid w:val="0098745D"/>
    <w:rsid w:val="00987482"/>
    <w:rsid w:val="00987488"/>
    <w:rsid w:val="009874CF"/>
    <w:rsid w:val="009874D4"/>
    <w:rsid w:val="009874DA"/>
    <w:rsid w:val="0098750F"/>
    <w:rsid w:val="00987514"/>
    <w:rsid w:val="00987582"/>
    <w:rsid w:val="009875AC"/>
    <w:rsid w:val="00987648"/>
    <w:rsid w:val="0098765E"/>
    <w:rsid w:val="00987684"/>
    <w:rsid w:val="00987687"/>
    <w:rsid w:val="0098768C"/>
    <w:rsid w:val="009876BE"/>
    <w:rsid w:val="009876D5"/>
    <w:rsid w:val="00987765"/>
    <w:rsid w:val="00987769"/>
    <w:rsid w:val="00987792"/>
    <w:rsid w:val="009877AE"/>
    <w:rsid w:val="009877AF"/>
    <w:rsid w:val="009877CD"/>
    <w:rsid w:val="00987814"/>
    <w:rsid w:val="00987826"/>
    <w:rsid w:val="0098783A"/>
    <w:rsid w:val="0098784E"/>
    <w:rsid w:val="00987872"/>
    <w:rsid w:val="009878B9"/>
    <w:rsid w:val="009878C0"/>
    <w:rsid w:val="0098791F"/>
    <w:rsid w:val="00987938"/>
    <w:rsid w:val="00987940"/>
    <w:rsid w:val="00987975"/>
    <w:rsid w:val="0098799B"/>
    <w:rsid w:val="009879C4"/>
    <w:rsid w:val="009879DE"/>
    <w:rsid w:val="00987AC9"/>
    <w:rsid w:val="00987AEF"/>
    <w:rsid w:val="00987B3F"/>
    <w:rsid w:val="00987BDB"/>
    <w:rsid w:val="00987BF3"/>
    <w:rsid w:val="00987BFB"/>
    <w:rsid w:val="00987BFF"/>
    <w:rsid w:val="00987C82"/>
    <w:rsid w:val="00987C95"/>
    <w:rsid w:val="00987CA4"/>
    <w:rsid w:val="00987CB3"/>
    <w:rsid w:val="00987CC4"/>
    <w:rsid w:val="00987CDB"/>
    <w:rsid w:val="00987D09"/>
    <w:rsid w:val="00987D2B"/>
    <w:rsid w:val="00987D4E"/>
    <w:rsid w:val="00987D91"/>
    <w:rsid w:val="00987DA8"/>
    <w:rsid w:val="00987DB7"/>
    <w:rsid w:val="00987E44"/>
    <w:rsid w:val="00987E61"/>
    <w:rsid w:val="00987E62"/>
    <w:rsid w:val="00987E75"/>
    <w:rsid w:val="00987E8C"/>
    <w:rsid w:val="00987ED1"/>
    <w:rsid w:val="00987F11"/>
    <w:rsid w:val="00987F17"/>
    <w:rsid w:val="00987F49"/>
    <w:rsid w:val="00987F4E"/>
    <w:rsid w:val="00987F5A"/>
    <w:rsid w:val="00987FCA"/>
    <w:rsid w:val="00987FCC"/>
    <w:rsid w:val="00987FE0"/>
    <w:rsid w:val="00987FF0"/>
    <w:rsid w:val="009900B7"/>
    <w:rsid w:val="009900BA"/>
    <w:rsid w:val="009900BC"/>
    <w:rsid w:val="009900D1"/>
    <w:rsid w:val="009900E5"/>
    <w:rsid w:val="009900F2"/>
    <w:rsid w:val="00990109"/>
    <w:rsid w:val="009901BD"/>
    <w:rsid w:val="00990229"/>
    <w:rsid w:val="00990287"/>
    <w:rsid w:val="009902BB"/>
    <w:rsid w:val="009902C4"/>
    <w:rsid w:val="009902D7"/>
    <w:rsid w:val="009902D8"/>
    <w:rsid w:val="009902F9"/>
    <w:rsid w:val="00990337"/>
    <w:rsid w:val="00990342"/>
    <w:rsid w:val="00990346"/>
    <w:rsid w:val="00990347"/>
    <w:rsid w:val="00990374"/>
    <w:rsid w:val="0099038A"/>
    <w:rsid w:val="0099039A"/>
    <w:rsid w:val="009903B8"/>
    <w:rsid w:val="009903C2"/>
    <w:rsid w:val="00990419"/>
    <w:rsid w:val="0099044C"/>
    <w:rsid w:val="00990459"/>
    <w:rsid w:val="0099048C"/>
    <w:rsid w:val="00990497"/>
    <w:rsid w:val="009904AA"/>
    <w:rsid w:val="009904EF"/>
    <w:rsid w:val="009904F3"/>
    <w:rsid w:val="0099052E"/>
    <w:rsid w:val="00990569"/>
    <w:rsid w:val="009905AF"/>
    <w:rsid w:val="009905B5"/>
    <w:rsid w:val="0099062C"/>
    <w:rsid w:val="00990644"/>
    <w:rsid w:val="00990691"/>
    <w:rsid w:val="009906CE"/>
    <w:rsid w:val="009906D6"/>
    <w:rsid w:val="009906F3"/>
    <w:rsid w:val="009906FD"/>
    <w:rsid w:val="00990708"/>
    <w:rsid w:val="00990722"/>
    <w:rsid w:val="00990754"/>
    <w:rsid w:val="00990795"/>
    <w:rsid w:val="0099079A"/>
    <w:rsid w:val="009907AE"/>
    <w:rsid w:val="009907C2"/>
    <w:rsid w:val="009907C3"/>
    <w:rsid w:val="009907E9"/>
    <w:rsid w:val="0099082B"/>
    <w:rsid w:val="00990850"/>
    <w:rsid w:val="00990863"/>
    <w:rsid w:val="0099088D"/>
    <w:rsid w:val="00990895"/>
    <w:rsid w:val="009908A1"/>
    <w:rsid w:val="009908E9"/>
    <w:rsid w:val="00990919"/>
    <w:rsid w:val="0099091E"/>
    <w:rsid w:val="0099092C"/>
    <w:rsid w:val="00990962"/>
    <w:rsid w:val="00990991"/>
    <w:rsid w:val="00990993"/>
    <w:rsid w:val="009909AC"/>
    <w:rsid w:val="009909C9"/>
    <w:rsid w:val="009909F8"/>
    <w:rsid w:val="00990A09"/>
    <w:rsid w:val="00990A96"/>
    <w:rsid w:val="00990AF5"/>
    <w:rsid w:val="00990B14"/>
    <w:rsid w:val="00990B25"/>
    <w:rsid w:val="00990B38"/>
    <w:rsid w:val="00990B3E"/>
    <w:rsid w:val="00990B64"/>
    <w:rsid w:val="00990B80"/>
    <w:rsid w:val="00990B97"/>
    <w:rsid w:val="00990B9A"/>
    <w:rsid w:val="00990BCC"/>
    <w:rsid w:val="00990BD4"/>
    <w:rsid w:val="00990C05"/>
    <w:rsid w:val="00990CA1"/>
    <w:rsid w:val="00990CFA"/>
    <w:rsid w:val="00990D06"/>
    <w:rsid w:val="00990DBD"/>
    <w:rsid w:val="00990DDD"/>
    <w:rsid w:val="00990DE4"/>
    <w:rsid w:val="00990DE6"/>
    <w:rsid w:val="00990DFD"/>
    <w:rsid w:val="00990E1F"/>
    <w:rsid w:val="00990E45"/>
    <w:rsid w:val="00990E5F"/>
    <w:rsid w:val="00990E6B"/>
    <w:rsid w:val="00990E7D"/>
    <w:rsid w:val="00990E90"/>
    <w:rsid w:val="00990E91"/>
    <w:rsid w:val="00990F1D"/>
    <w:rsid w:val="00990F2F"/>
    <w:rsid w:val="00990F32"/>
    <w:rsid w:val="00990F3F"/>
    <w:rsid w:val="00990F40"/>
    <w:rsid w:val="00990F49"/>
    <w:rsid w:val="00990F8B"/>
    <w:rsid w:val="00990F8C"/>
    <w:rsid w:val="00990F9B"/>
    <w:rsid w:val="00990FAB"/>
    <w:rsid w:val="00990FB8"/>
    <w:rsid w:val="00990FF6"/>
    <w:rsid w:val="00990FF9"/>
    <w:rsid w:val="0099108B"/>
    <w:rsid w:val="0099109B"/>
    <w:rsid w:val="009910A7"/>
    <w:rsid w:val="0099112C"/>
    <w:rsid w:val="0099115A"/>
    <w:rsid w:val="00991172"/>
    <w:rsid w:val="0099117B"/>
    <w:rsid w:val="009911A2"/>
    <w:rsid w:val="009911BE"/>
    <w:rsid w:val="00991236"/>
    <w:rsid w:val="00991239"/>
    <w:rsid w:val="00991274"/>
    <w:rsid w:val="00991288"/>
    <w:rsid w:val="00991297"/>
    <w:rsid w:val="009912B5"/>
    <w:rsid w:val="009912BE"/>
    <w:rsid w:val="0099130C"/>
    <w:rsid w:val="009913E9"/>
    <w:rsid w:val="009913F4"/>
    <w:rsid w:val="0099140E"/>
    <w:rsid w:val="00991421"/>
    <w:rsid w:val="0099142D"/>
    <w:rsid w:val="00991443"/>
    <w:rsid w:val="0099144F"/>
    <w:rsid w:val="00991450"/>
    <w:rsid w:val="00991468"/>
    <w:rsid w:val="00991490"/>
    <w:rsid w:val="00991508"/>
    <w:rsid w:val="00991524"/>
    <w:rsid w:val="00991542"/>
    <w:rsid w:val="00991554"/>
    <w:rsid w:val="009915E2"/>
    <w:rsid w:val="009915F0"/>
    <w:rsid w:val="00991607"/>
    <w:rsid w:val="00991628"/>
    <w:rsid w:val="0099162B"/>
    <w:rsid w:val="00991639"/>
    <w:rsid w:val="0099167A"/>
    <w:rsid w:val="0099169A"/>
    <w:rsid w:val="0099169E"/>
    <w:rsid w:val="009916D2"/>
    <w:rsid w:val="0099171C"/>
    <w:rsid w:val="00991741"/>
    <w:rsid w:val="00991773"/>
    <w:rsid w:val="00991781"/>
    <w:rsid w:val="009917FA"/>
    <w:rsid w:val="00991803"/>
    <w:rsid w:val="00991822"/>
    <w:rsid w:val="0099183D"/>
    <w:rsid w:val="0099184C"/>
    <w:rsid w:val="00991852"/>
    <w:rsid w:val="00991883"/>
    <w:rsid w:val="00991885"/>
    <w:rsid w:val="009918ED"/>
    <w:rsid w:val="0099192A"/>
    <w:rsid w:val="0099196E"/>
    <w:rsid w:val="00991977"/>
    <w:rsid w:val="0099197F"/>
    <w:rsid w:val="00991987"/>
    <w:rsid w:val="009919D5"/>
    <w:rsid w:val="009919DF"/>
    <w:rsid w:val="009919F9"/>
    <w:rsid w:val="00991A16"/>
    <w:rsid w:val="00991A27"/>
    <w:rsid w:val="00991A59"/>
    <w:rsid w:val="00991A5B"/>
    <w:rsid w:val="00991A87"/>
    <w:rsid w:val="00991A88"/>
    <w:rsid w:val="00991A9A"/>
    <w:rsid w:val="00991AD3"/>
    <w:rsid w:val="00991AE2"/>
    <w:rsid w:val="00991B05"/>
    <w:rsid w:val="00991B09"/>
    <w:rsid w:val="00991B4B"/>
    <w:rsid w:val="00991B81"/>
    <w:rsid w:val="00991B92"/>
    <w:rsid w:val="00991BB9"/>
    <w:rsid w:val="00991BD9"/>
    <w:rsid w:val="00991C7C"/>
    <w:rsid w:val="00991D81"/>
    <w:rsid w:val="00991D9E"/>
    <w:rsid w:val="00991DE5"/>
    <w:rsid w:val="00991E44"/>
    <w:rsid w:val="00991E71"/>
    <w:rsid w:val="00991EA7"/>
    <w:rsid w:val="00991EAC"/>
    <w:rsid w:val="00991F18"/>
    <w:rsid w:val="00991F3C"/>
    <w:rsid w:val="00991F78"/>
    <w:rsid w:val="00991FC3"/>
    <w:rsid w:val="00991FD0"/>
    <w:rsid w:val="00991FFA"/>
    <w:rsid w:val="0099200F"/>
    <w:rsid w:val="00992040"/>
    <w:rsid w:val="0099204F"/>
    <w:rsid w:val="0099205D"/>
    <w:rsid w:val="00992119"/>
    <w:rsid w:val="00992155"/>
    <w:rsid w:val="009921AD"/>
    <w:rsid w:val="009921C3"/>
    <w:rsid w:val="009921DB"/>
    <w:rsid w:val="009921F6"/>
    <w:rsid w:val="009921FE"/>
    <w:rsid w:val="00992231"/>
    <w:rsid w:val="00992258"/>
    <w:rsid w:val="0099226E"/>
    <w:rsid w:val="0099228B"/>
    <w:rsid w:val="009922E7"/>
    <w:rsid w:val="00992318"/>
    <w:rsid w:val="00992342"/>
    <w:rsid w:val="0099236A"/>
    <w:rsid w:val="009923A2"/>
    <w:rsid w:val="009923B0"/>
    <w:rsid w:val="009923CD"/>
    <w:rsid w:val="009923DA"/>
    <w:rsid w:val="00992414"/>
    <w:rsid w:val="00992435"/>
    <w:rsid w:val="0099244D"/>
    <w:rsid w:val="009924D6"/>
    <w:rsid w:val="009924F3"/>
    <w:rsid w:val="00992516"/>
    <w:rsid w:val="00992556"/>
    <w:rsid w:val="0099255C"/>
    <w:rsid w:val="00992580"/>
    <w:rsid w:val="0099258A"/>
    <w:rsid w:val="009925BC"/>
    <w:rsid w:val="009925D9"/>
    <w:rsid w:val="009925EE"/>
    <w:rsid w:val="009925F5"/>
    <w:rsid w:val="009925FA"/>
    <w:rsid w:val="0099260F"/>
    <w:rsid w:val="0099262D"/>
    <w:rsid w:val="0099262E"/>
    <w:rsid w:val="0099262F"/>
    <w:rsid w:val="00992660"/>
    <w:rsid w:val="0099267C"/>
    <w:rsid w:val="009926A0"/>
    <w:rsid w:val="009926BE"/>
    <w:rsid w:val="009926EE"/>
    <w:rsid w:val="009926F6"/>
    <w:rsid w:val="00992733"/>
    <w:rsid w:val="00992768"/>
    <w:rsid w:val="0099279A"/>
    <w:rsid w:val="009927B5"/>
    <w:rsid w:val="009927B8"/>
    <w:rsid w:val="009927BB"/>
    <w:rsid w:val="009927C8"/>
    <w:rsid w:val="009927FD"/>
    <w:rsid w:val="00992818"/>
    <w:rsid w:val="0099282F"/>
    <w:rsid w:val="00992830"/>
    <w:rsid w:val="00992857"/>
    <w:rsid w:val="0099285F"/>
    <w:rsid w:val="0099287D"/>
    <w:rsid w:val="009928B2"/>
    <w:rsid w:val="009928CF"/>
    <w:rsid w:val="009928EB"/>
    <w:rsid w:val="00992922"/>
    <w:rsid w:val="0099292D"/>
    <w:rsid w:val="0099296F"/>
    <w:rsid w:val="00992987"/>
    <w:rsid w:val="009929EC"/>
    <w:rsid w:val="00992A6C"/>
    <w:rsid w:val="00992AD5"/>
    <w:rsid w:val="00992AE6"/>
    <w:rsid w:val="00992B3E"/>
    <w:rsid w:val="00992B4D"/>
    <w:rsid w:val="00992B5A"/>
    <w:rsid w:val="00992BC1"/>
    <w:rsid w:val="00992BD4"/>
    <w:rsid w:val="00992BDE"/>
    <w:rsid w:val="00992C00"/>
    <w:rsid w:val="00992C1D"/>
    <w:rsid w:val="00992C39"/>
    <w:rsid w:val="00992C74"/>
    <w:rsid w:val="00992CC3"/>
    <w:rsid w:val="00992D25"/>
    <w:rsid w:val="00992D5B"/>
    <w:rsid w:val="00992DA4"/>
    <w:rsid w:val="00992E2F"/>
    <w:rsid w:val="00992E48"/>
    <w:rsid w:val="00992E55"/>
    <w:rsid w:val="00992E8D"/>
    <w:rsid w:val="00992EAE"/>
    <w:rsid w:val="00992EE4"/>
    <w:rsid w:val="00992F28"/>
    <w:rsid w:val="00992F3F"/>
    <w:rsid w:val="00992F54"/>
    <w:rsid w:val="00992F55"/>
    <w:rsid w:val="00992F7E"/>
    <w:rsid w:val="00992F98"/>
    <w:rsid w:val="00992FA7"/>
    <w:rsid w:val="00992FC1"/>
    <w:rsid w:val="00992FDD"/>
    <w:rsid w:val="00992FE9"/>
    <w:rsid w:val="00992FF1"/>
    <w:rsid w:val="0099303C"/>
    <w:rsid w:val="00993042"/>
    <w:rsid w:val="009930AE"/>
    <w:rsid w:val="009930B6"/>
    <w:rsid w:val="009930BB"/>
    <w:rsid w:val="00993107"/>
    <w:rsid w:val="00993111"/>
    <w:rsid w:val="00993162"/>
    <w:rsid w:val="00993167"/>
    <w:rsid w:val="00993189"/>
    <w:rsid w:val="009931B4"/>
    <w:rsid w:val="009931B9"/>
    <w:rsid w:val="009931C8"/>
    <w:rsid w:val="009931DB"/>
    <w:rsid w:val="009931DF"/>
    <w:rsid w:val="009931E0"/>
    <w:rsid w:val="009931FE"/>
    <w:rsid w:val="0099321C"/>
    <w:rsid w:val="00993223"/>
    <w:rsid w:val="0099326F"/>
    <w:rsid w:val="00993284"/>
    <w:rsid w:val="0099328A"/>
    <w:rsid w:val="009932B3"/>
    <w:rsid w:val="00993321"/>
    <w:rsid w:val="00993342"/>
    <w:rsid w:val="00993386"/>
    <w:rsid w:val="00993404"/>
    <w:rsid w:val="00993430"/>
    <w:rsid w:val="00993446"/>
    <w:rsid w:val="0099345B"/>
    <w:rsid w:val="0099346F"/>
    <w:rsid w:val="00993477"/>
    <w:rsid w:val="009934D9"/>
    <w:rsid w:val="009934E3"/>
    <w:rsid w:val="009934EE"/>
    <w:rsid w:val="0099354D"/>
    <w:rsid w:val="00993569"/>
    <w:rsid w:val="00993594"/>
    <w:rsid w:val="009935BD"/>
    <w:rsid w:val="009935C1"/>
    <w:rsid w:val="009935D0"/>
    <w:rsid w:val="00993613"/>
    <w:rsid w:val="00993616"/>
    <w:rsid w:val="0099364A"/>
    <w:rsid w:val="00993675"/>
    <w:rsid w:val="00993676"/>
    <w:rsid w:val="0099368D"/>
    <w:rsid w:val="009936D9"/>
    <w:rsid w:val="009936EB"/>
    <w:rsid w:val="00993704"/>
    <w:rsid w:val="00993729"/>
    <w:rsid w:val="0099377D"/>
    <w:rsid w:val="009937CE"/>
    <w:rsid w:val="0099381C"/>
    <w:rsid w:val="0099381D"/>
    <w:rsid w:val="00993842"/>
    <w:rsid w:val="00993853"/>
    <w:rsid w:val="00993859"/>
    <w:rsid w:val="0099386F"/>
    <w:rsid w:val="009938C2"/>
    <w:rsid w:val="009938F3"/>
    <w:rsid w:val="00993960"/>
    <w:rsid w:val="0099398D"/>
    <w:rsid w:val="00993994"/>
    <w:rsid w:val="00993998"/>
    <w:rsid w:val="009939A1"/>
    <w:rsid w:val="00993A2C"/>
    <w:rsid w:val="00993A4C"/>
    <w:rsid w:val="00993A89"/>
    <w:rsid w:val="00993AA4"/>
    <w:rsid w:val="00993AFA"/>
    <w:rsid w:val="00993B44"/>
    <w:rsid w:val="00993B4D"/>
    <w:rsid w:val="00993B62"/>
    <w:rsid w:val="00993BAC"/>
    <w:rsid w:val="00993BB6"/>
    <w:rsid w:val="00993BCB"/>
    <w:rsid w:val="00993BED"/>
    <w:rsid w:val="00993C40"/>
    <w:rsid w:val="00993C87"/>
    <w:rsid w:val="00993CB3"/>
    <w:rsid w:val="00993CEA"/>
    <w:rsid w:val="00993D17"/>
    <w:rsid w:val="00993D23"/>
    <w:rsid w:val="00993D3C"/>
    <w:rsid w:val="00993D63"/>
    <w:rsid w:val="00993D6F"/>
    <w:rsid w:val="00993D9E"/>
    <w:rsid w:val="00993DB0"/>
    <w:rsid w:val="00993DB2"/>
    <w:rsid w:val="00993DB4"/>
    <w:rsid w:val="00993DD8"/>
    <w:rsid w:val="00993DD9"/>
    <w:rsid w:val="00993E09"/>
    <w:rsid w:val="00993E1D"/>
    <w:rsid w:val="00993E4F"/>
    <w:rsid w:val="00993E5C"/>
    <w:rsid w:val="00993E7B"/>
    <w:rsid w:val="00993EE5"/>
    <w:rsid w:val="00993F19"/>
    <w:rsid w:val="00993F4C"/>
    <w:rsid w:val="00993FB9"/>
    <w:rsid w:val="00993FEA"/>
    <w:rsid w:val="00994035"/>
    <w:rsid w:val="00994098"/>
    <w:rsid w:val="009940AF"/>
    <w:rsid w:val="009940FC"/>
    <w:rsid w:val="00994126"/>
    <w:rsid w:val="0099413D"/>
    <w:rsid w:val="0099415E"/>
    <w:rsid w:val="00994179"/>
    <w:rsid w:val="00994193"/>
    <w:rsid w:val="009941AC"/>
    <w:rsid w:val="009941CD"/>
    <w:rsid w:val="009941D6"/>
    <w:rsid w:val="009941EE"/>
    <w:rsid w:val="00994217"/>
    <w:rsid w:val="0099421B"/>
    <w:rsid w:val="00994250"/>
    <w:rsid w:val="00994259"/>
    <w:rsid w:val="00994286"/>
    <w:rsid w:val="009942A6"/>
    <w:rsid w:val="009942EA"/>
    <w:rsid w:val="00994306"/>
    <w:rsid w:val="00994323"/>
    <w:rsid w:val="0099432E"/>
    <w:rsid w:val="0099435F"/>
    <w:rsid w:val="00994379"/>
    <w:rsid w:val="0099437B"/>
    <w:rsid w:val="00994382"/>
    <w:rsid w:val="00994398"/>
    <w:rsid w:val="009943A5"/>
    <w:rsid w:val="009943BF"/>
    <w:rsid w:val="00994403"/>
    <w:rsid w:val="00994416"/>
    <w:rsid w:val="0099447E"/>
    <w:rsid w:val="00994488"/>
    <w:rsid w:val="0099448D"/>
    <w:rsid w:val="00994490"/>
    <w:rsid w:val="00994499"/>
    <w:rsid w:val="009944B9"/>
    <w:rsid w:val="009944BE"/>
    <w:rsid w:val="009944E6"/>
    <w:rsid w:val="0099450B"/>
    <w:rsid w:val="00994525"/>
    <w:rsid w:val="00994570"/>
    <w:rsid w:val="0099457C"/>
    <w:rsid w:val="00994586"/>
    <w:rsid w:val="00994596"/>
    <w:rsid w:val="00994603"/>
    <w:rsid w:val="0099462A"/>
    <w:rsid w:val="00994660"/>
    <w:rsid w:val="00994669"/>
    <w:rsid w:val="00994695"/>
    <w:rsid w:val="009946BF"/>
    <w:rsid w:val="009946FD"/>
    <w:rsid w:val="0099470A"/>
    <w:rsid w:val="009947CD"/>
    <w:rsid w:val="009947CE"/>
    <w:rsid w:val="009947D3"/>
    <w:rsid w:val="00994805"/>
    <w:rsid w:val="00994824"/>
    <w:rsid w:val="00994825"/>
    <w:rsid w:val="00994880"/>
    <w:rsid w:val="00994898"/>
    <w:rsid w:val="0099489D"/>
    <w:rsid w:val="0099489E"/>
    <w:rsid w:val="009948D9"/>
    <w:rsid w:val="009948E1"/>
    <w:rsid w:val="00994964"/>
    <w:rsid w:val="00994972"/>
    <w:rsid w:val="00994975"/>
    <w:rsid w:val="00994990"/>
    <w:rsid w:val="00994A08"/>
    <w:rsid w:val="00994A0C"/>
    <w:rsid w:val="00994A2D"/>
    <w:rsid w:val="00994A3C"/>
    <w:rsid w:val="00994A49"/>
    <w:rsid w:val="00994AC2"/>
    <w:rsid w:val="00994AD4"/>
    <w:rsid w:val="00994B06"/>
    <w:rsid w:val="00994B38"/>
    <w:rsid w:val="00994B68"/>
    <w:rsid w:val="00994B80"/>
    <w:rsid w:val="00994BA5"/>
    <w:rsid w:val="00994BAF"/>
    <w:rsid w:val="00994C34"/>
    <w:rsid w:val="00994C35"/>
    <w:rsid w:val="00994C41"/>
    <w:rsid w:val="00994C47"/>
    <w:rsid w:val="00994C88"/>
    <w:rsid w:val="00994C9E"/>
    <w:rsid w:val="00994CC1"/>
    <w:rsid w:val="00994CFE"/>
    <w:rsid w:val="00994D3E"/>
    <w:rsid w:val="00994D45"/>
    <w:rsid w:val="00994D54"/>
    <w:rsid w:val="00994D74"/>
    <w:rsid w:val="00994D79"/>
    <w:rsid w:val="00994D82"/>
    <w:rsid w:val="00994D8C"/>
    <w:rsid w:val="00994DAA"/>
    <w:rsid w:val="00994DCA"/>
    <w:rsid w:val="00994E6C"/>
    <w:rsid w:val="00994E96"/>
    <w:rsid w:val="00994EB1"/>
    <w:rsid w:val="00994F59"/>
    <w:rsid w:val="00994FAB"/>
    <w:rsid w:val="00994FF3"/>
    <w:rsid w:val="0099504B"/>
    <w:rsid w:val="0099509C"/>
    <w:rsid w:val="009950CD"/>
    <w:rsid w:val="009950DC"/>
    <w:rsid w:val="00995124"/>
    <w:rsid w:val="00995126"/>
    <w:rsid w:val="00995153"/>
    <w:rsid w:val="009951AD"/>
    <w:rsid w:val="009951CC"/>
    <w:rsid w:val="009951EC"/>
    <w:rsid w:val="009951EE"/>
    <w:rsid w:val="00995227"/>
    <w:rsid w:val="0099523A"/>
    <w:rsid w:val="0099524E"/>
    <w:rsid w:val="00995262"/>
    <w:rsid w:val="00995278"/>
    <w:rsid w:val="0099528B"/>
    <w:rsid w:val="009952A8"/>
    <w:rsid w:val="0099531F"/>
    <w:rsid w:val="00995336"/>
    <w:rsid w:val="00995357"/>
    <w:rsid w:val="00995375"/>
    <w:rsid w:val="00995383"/>
    <w:rsid w:val="00995393"/>
    <w:rsid w:val="009953F9"/>
    <w:rsid w:val="0099549D"/>
    <w:rsid w:val="009954A2"/>
    <w:rsid w:val="00995502"/>
    <w:rsid w:val="00995554"/>
    <w:rsid w:val="00995555"/>
    <w:rsid w:val="00995558"/>
    <w:rsid w:val="009955A3"/>
    <w:rsid w:val="009955C4"/>
    <w:rsid w:val="009955E7"/>
    <w:rsid w:val="009955FE"/>
    <w:rsid w:val="0099563D"/>
    <w:rsid w:val="00995660"/>
    <w:rsid w:val="0099568B"/>
    <w:rsid w:val="009956B4"/>
    <w:rsid w:val="00995747"/>
    <w:rsid w:val="00995757"/>
    <w:rsid w:val="00995761"/>
    <w:rsid w:val="009957BB"/>
    <w:rsid w:val="009957BE"/>
    <w:rsid w:val="009957CE"/>
    <w:rsid w:val="009957F3"/>
    <w:rsid w:val="0099585B"/>
    <w:rsid w:val="00995890"/>
    <w:rsid w:val="009958A9"/>
    <w:rsid w:val="009958AA"/>
    <w:rsid w:val="009958B8"/>
    <w:rsid w:val="009958C7"/>
    <w:rsid w:val="00995914"/>
    <w:rsid w:val="00995945"/>
    <w:rsid w:val="0099596A"/>
    <w:rsid w:val="0099596D"/>
    <w:rsid w:val="0099597F"/>
    <w:rsid w:val="00995984"/>
    <w:rsid w:val="009959AB"/>
    <w:rsid w:val="00995A0B"/>
    <w:rsid w:val="00995A11"/>
    <w:rsid w:val="00995A51"/>
    <w:rsid w:val="00995A55"/>
    <w:rsid w:val="00995A7A"/>
    <w:rsid w:val="00995AAA"/>
    <w:rsid w:val="00995B1D"/>
    <w:rsid w:val="00995B84"/>
    <w:rsid w:val="00995BA6"/>
    <w:rsid w:val="00995BB4"/>
    <w:rsid w:val="00995C04"/>
    <w:rsid w:val="00995C0C"/>
    <w:rsid w:val="00995C11"/>
    <w:rsid w:val="00995C38"/>
    <w:rsid w:val="00995C49"/>
    <w:rsid w:val="00995C85"/>
    <w:rsid w:val="00995CAF"/>
    <w:rsid w:val="00995CCA"/>
    <w:rsid w:val="00995D7C"/>
    <w:rsid w:val="00995DB1"/>
    <w:rsid w:val="00995DB8"/>
    <w:rsid w:val="00995DD2"/>
    <w:rsid w:val="00995E0D"/>
    <w:rsid w:val="00995E1C"/>
    <w:rsid w:val="00995E25"/>
    <w:rsid w:val="00995E68"/>
    <w:rsid w:val="00995E7C"/>
    <w:rsid w:val="00995EA0"/>
    <w:rsid w:val="00995EE6"/>
    <w:rsid w:val="00995F0D"/>
    <w:rsid w:val="00995F32"/>
    <w:rsid w:val="00995F6E"/>
    <w:rsid w:val="00995FD0"/>
    <w:rsid w:val="00995FD7"/>
    <w:rsid w:val="00996032"/>
    <w:rsid w:val="00996039"/>
    <w:rsid w:val="00996065"/>
    <w:rsid w:val="0099609A"/>
    <w:rsid w:val="009960AD"/>
    <w:rsid w:val="009960D9"/>
    <w:rsid w:val="009960DB"/>
    <w:rsid w:val="00996128"/>
    <w:rsid w:val="00996129"/>
    <w:rsid w:val="00996139"/>
    <w:rsid w:val="00996218"/>
    <w:rsid w:val="00996260"/>
    <w:rsid w:val="00996264"/>
    <w:rsid w:val="00996274"/>
    <w:rsid w:val="00996283"/>
    <w:rsid w:val="009962AD"/>
    <w:rsid w:val="009962C9"/>
    <w:rsid w:val="00996300"/>
    <w:rsid w:val="00996379"/>
    <w:rsid w:val="00996392"/>
    <w:rsid w:val="0099639D"/>
    <w:rsid w:val="009963A2"/>
    <w:rsid w:val="009963D9"/>
    <w:rsid w:val="009963DD"/>
    <w:rsid w:val="009963F8"/>
    <w:rsid w:val="009963FF"/>
    <w:rsid w:val="00996414"/>
    <w:rsid w:val="00996417"/>
    <w:rsid w:val="00996431"/>
    <w:rsid w:val="0099643A"/>
    <w:rsid w:val="00996470"/>
    <w:rsid w:val="009964AF"/>
    <w:rsid w:val="009964CA"/>
    <w:rsid w:val="009964D3"/>
    <w:rsid w:val="00996536"/>
    <w:rsid w:val="009965BB"/>
    <w:rsid w:val="009965C1"/>
    <w:rsid w:val="009965E7"/>
    <w:rsid w:val="009966B0"/>
    <w:rsid w:val="00996709"/>
    <w:rsid w:val="0099672E"/>
    <w:rsid w:val="00996765"/>
    <w:rsid w:val="0099676E"/>
    <w:rsid w:val="0099678D"/>
    <w:rsid w:val="0099679A"/>
    <w:rsid w:val="009967CD"/>
    <w:rsid w:val="009967D4"/>
    <w:rsid w:val="00996812"/>
    <w:rsid w:val="00996813"/>
    <w:rsid w:val="0099685D"/>
    <w:rsid w:val="009968A8"/>
    <w:rsid w:val="009968C6"/>
    <w:rsid w:val="009968C7"/>
    <w:rsid w:val="009968DF"/>
    <w:rsid w:val="009968F1"/>
    <w:rsid w:val="00996938"/>
    <w:rsid w:val="0099695F"/>
    <w:rsid w:val="00996999"/>
    <w:rsid w:val="0099699F"/>
    <w:rsid w:val="009969AF"/>
    <w:rsid w:val="009969E9"/>
    <w:rsid w:val="00996A2D"/>
    <w:rsid w:val="00996A62"/>
    <w:rsid w:val="00996A6F"/>
    <w:rsid w:val="00996AAF"/>
    <w:rsid w:val="00996AB1"/>
    <w:rsid w:val="00996AFB"/>
    <w:rsid w:val="00996B04"/>
    <w:rsid w:val="00996B25"/>
    <w:rsid w:val="00996B51"/>
    <w:rsid w:val="00996B87"/>
    <w:rsid w:val="00996BBD"/>
    <w:rsid w:val="00996BCF"/>
    <w:rsid w:val="00996C05"/>
    <w:rsid w:val="00996C20"/>
    <w:rsid w:val="00996C28"/>
    <w:rsid w:val="00996C46"/>
    <w:rsid w:val="00996C58"/>
    <w:rsid w:val="00996C8B"/>
    <w:rsid w:val="00996C94"/>
    <w:rsid w:val="00996C9C"/>
    <w:rsid w:val="00996CAC"/>
    <w:rsid w:val="00996CB6"/>
    <w:rsid w:val="00996CDB"/>
    <w:rsid w:val="00996D10"/>
    <w:rsid w:val="00996D33"/>
    <w:rsid w:val="00996D4A"/>
    <w:rsid w:val="00996D8E"/>
    <w:rsid w:val="00996DA2"/>
    <w:rsid w:val="00996DA5"/>
    <w:rsid w:val="00996DA8"/>
    <w:rsid w:val="00996DDA"/>
    <w:rsid w:val="00996E14"/>
    <w:rsid w:val="00996E3C"/>
    <w:rsid w:val="00996E57"/>
    <w:rsid w:val="00996E5F"/>
    <w:rsid w:val="00996E98"/>
    <w:rsid w:val="00996EE2"/>
    <w:rsid w:val="00996F11"/>
    <w:rsid w:val="00996F59"/>
    <w:rsid w:val="00996F78"/>
    <w:rsid w:val="00996FDE"/>
    <w:rsid w:val="00997015"/>
    <w:rsid w:val="0099703F"/>
    <w:rsid w:val="0099708F"/>
    <w:rsid w:val="009970A4"/>
    <w:rsid w:val="009970B2"/>
    <w:rsid w:val="009970DC"/>
    <w:rsid w:val="00997168"/>
    <w:rsid w:val="00997186"/>
    <w:rsid w:val="009971D5"/>
    <w:rsid w:val="009971F5"/>
    <w:rsid w:val="00997247"/>
    <w:rsid w:val="00997256"/>
    <w:rsid w:val="0099725E"/>
    <w:rsid w:val="0099727D"/>
    <w:rsid w:val="00997287"/>
    <w:rsid w:val="009972A7"/>
    <w:rsid w:val="009972D1"/>
    <w:rsid w:val="009972D3"/>
    <w:rsid w:val="009972DB"/>
    <w:rsid w:val="009972E1"/>
    <w:rsid w:val="009972F5"/>
    <w:rsid w:val="009973B8"/>
    <w:rsid w:val="009973CA"/>
    <w:rsid w:val="00997489"/>
    <w:rsid w:val="0099748F"/>
    <w:rsid w:val="009974C1"/>
    <w:rsid w:val="00997534"/>
    <w:rsid w:val="0099754D"/>
    <w:rsid w:val="00997580"/>
    <w:rsid w:val="00997588"/>
    <w:rsid w:val="00997589"/>
    <w:rsid w:val="009975A0"/>
    <w:rsid w:val="0099760F"/>
    <w:rsid w:val="00997617"/>
    <w:rsid w:val="00997690"/>
    <w:rsid w:val="00997731"/>
    <w:rsid w:val="00997768"/>
    <w:rsid w:val="00997804"/>
    <w:rsid w:val="0099784D"/>
    <w:rsid w:val="0099785D"/>
    <w:rsid w:val="0099787A"/>
    <w:rsid w:val="0099788F"/>
    <w:rsid w:val="0099789F"/>
    <w:rsid w:val="009978DD"/>
    <w:rsid w:val="00997931"/>
    <w:rsid w:val="00997948"/>
    <w:rsid w:val="0099795D"/>
    <w:rsid w:val="009979D9"/>
    <w:rsid w:val="00997A78"/>
    <w:rsid w:val="00997A96"/>
    <w:rsid w:val="00997AA0"/>
    <w:rsid w:val="00997AC8"/>
    <w:rsid w:val="00997AD1"/>
    <w:rsid w:val="00997AD5"/>
    <w:rsid w:val="00997AF1"/>
    <w:rsid w:val="00997B00"/>
    <w:rsid w:val="00997B1F"/>
    <w:rsid w:val="00997B43"/>
    <w:rsid w:val="00997B9D"/>
    <w:rsid w:val="00997BED"/>
    <w:rsid w:val="00997C1D"/>
    <w:rsid w:val="00997C34"/>
    <w:rsid w:val="00997C4E"/>
    <w:rsid w:val="00997C6A"/>
    <w:rsid w:val="00997CA1"/>
    <w:rsid w:val="00997CCF"/>
    <w:rsid w:val="00997D0E"/>
    <w:rsid w:val="00997D25"/>
    <w:rsid w:val="00997D5C"/>
    <w:rsid w:val="00997D63"/>
    <w:rsid w:val="00997DA6"/>
    <w:rsid w:val="00997E15"/>
    <w:rsid w:val="00997E59"/>
    <w:rsid w:val="00997E7B"/>
    <w:rsid w:val="00997E90"/>
    <w:rsid w:val="00997EDE"/>
    <w:rsid w:val="00997F2B"/>
    <w:rsid w:val="00997F31"/>
    <w:rsid w:val="00997F32"/>
    <w:rsid w:val="00997F68"/>
    <w:rsid w:val="00997F77"/>
    <w:rsid w:val="00997FCA"/>
    <w:rsid w:val="00997FEA"/>
    <w:rsid w:val="00997FED"/>
    <w:rsid w:val="009A0044"/>
    <w:rsid w:val="009A0073"/>
    <w:rsid w:val="009A00D2"/>
    <w:rsid w:val="009A00EF"/>
    <w:rsid w:val="009A00F6"/>
    <w:rsid w:val="009A01B2"/>
    <w:rsid w:val="009A01BA"/>
    <w:rsid w:val="009A020E"/>
    <w:rsid w:val="009A021C"/>
    <w:rsid w:val="009A0235"/>
    <w:rsid w:val="009A0248"/>
    <w:rsid w:val="009A0249"/>
    <w:rsid w:val="009A024A"/>
    <w:rsid w:val="009A024D"/>
    <w:rsid w:val="009A025A"/>
    <w:rsid w:val="009A025C"/>
    <w:rsid w:val="009A026C"/>
    <w:rsid w:val="009A0275"/>
    <w:rsid w:val="009A027B"/>
    <w:rsid w:val="009A0280"/>
    <w:rsid w:val="009A028F"/>
    <w:rsid w:val="009A02C3"/>
    <w:rsid w:val="009A02E2"/>
    <w:rsid w:val="009A02F7"/>
    <w:rsid w:val="009A031B"/>
    <w:rsid w:val="009A032E"/>
    <w:rsid w:val="009A035D"/>
    <w:rsid w:val="009A0363"/>
    <w:rsid w:val="009A036A"/>
    <w:rsid w:val="009A03B9"/>
    <w:rsid w:val="009A03C0"/>
    <w:rsid w:val="009A03C3"/>
    <w:rsid w:val="009A03DD"/>
    <w:rsid w:val="009A03F4"/>
    <w:rsid w:val="009A041F"/>
    <w:rsid w:val="009A0420"/>
    <w:rsid w:val="009A0446"/>
    <w:rsid w:val="009A0456"/>
    <w:rsid w:val="009A047E"/>
    <w:rsid w:val="009A04B3"/>
    <w:rsid w:val="009A04C2"/>
    <w:rsid w:val="009A04D7"/>
    <w:rsid w:val="009A04F7"/>
    <w:rsid w:val="009A0555"/>
    <w:rsid w:val="009A0560"/>
    <w:rsid w:val="009A05CD"/>
    <w:rsid w:val="009A0612"/>
    <w:rsid w:val="009A0630"/>
    <w:rsid w:val="009A065D"/>
    <w:rsid w:val="009A06A2"/>
    <w:rsid w:val="009A06D1"/>
    <w:rsid w:val="009A06D2"/>
    <w:rsid w:val="009A06DD"/>
    <w:rsid w:val="009A0725"/>
    <w:rsid w:val="009A0729"/>
    <w:rsid w:val="009A074A"/>
    <w:rsid w:val="009A0770"/>
    <w:rsid w:val="009A0784"/>
    <w:rsid w:val="009A07A3"/>
    <w:rsid w:val="009A07A7"/>
    <w:rsid w:val="009A07B5"/>
    <w:rsid w:val="009A07DF"/>
    <w:rsid w:val="009A07E9"/>
    <w:rsid w:val="009A080C"/>
    <w:rsid w:val="009A085B"/>
    <w:rsid w:val="009A088F"/>
    <w:rsid w:val="009A0893"/>
    <w:rsid w:val="009A08F5"/>
    <w:rsid w:val="009A0927"/>
    <w:rsid w:val="009A093F"/>
    <w:rsid w:val="009A0954"/>
    <w:rsid w:val="009A09D2"/>
    <w:rsid w:val="009A0A16"/>
    <w:rsid w:val="009A0A19"/>
    <w:rsid w:val="009A0A38"/>
    <w:rsid w:val="009A0A39"/>
    <w:rsid w:val="009A0A99"/>
    <w:rsid w:val="009A0AA6"/>
    <w:rsid w:val="009A0B38"/>
    <w:rsid w:val="009A0B47"/>
    <w:rsid w:val="009A0B48"/>
    <w:rsid w:val="009A0BC6"/>
    <w:rsid w:val="009A0BDE"/>
    <w:rsid w:val="009A0C01"/>
    <w:rsid w:val="009A0C26"/>
    <w:rsid w:val="009A0C69"/>
    <w:rsid w:val="009A0CEE"/>
    <w:rsid w:val="009A0CF6"/>
    <w:rsid w:val="009A0D47"/>
    <w:rsid w:val="009A0D73"/>
    <w:rsid w:val="009A0D7A"/>
    <w:rsid w:val="009A0DED"/>
    <w:rsid w:val="009A0E3B"/>
    <w:rsid w:val="009A0E57"/>
    <w:rsid w:val="009A0E7F"/>
    <w:rsid w:val="009A0E80"/>
    <w:rsid w:val="009A0ED2"/>
    <w:rsid w:val="009A0F41"/>
    <w:rsid w:val="009A0F76"/>
    <w:rsid w:val="009A0FC2"/>
    <w:rsid w:val="009A0FC8"/>
    <w:rsid w:val="009A0FF7"/>
    <w:rsid w:val="009A1030"/>
    <w:rsid w:val="009A1039"/>
    <w:rsid w:val="009A10B3"/>
    <w:rsid w:val="009A11AE"/>
    <w:rsid w:val="009A11C9"/>
    <w:rsid w:val="009A11CC"/>
    <w:rsid w:val="009A11D1"/>
    <w:rsid w:val="009A1201"/>
    <w:rsid w:val="009A1228"/>
    <w:rsid w:val="009A1250"/>
    <w:rsid w:val="009A12BD"/>
    <w:rsid w:val="009A1303"/>
    <w:rsid w:val="009A1330"/>
    <w:rsid w:val="009A1333"/>
    <w:rsid w:val="009A1337"/>
    <w:rsid w:val="009A135F"/>
    <w:rsid w:val="009A1374"/>
    <w:rsid w:val="009A1377"/>
    <w:rsid w:val="009A138F"/>
    <w:rsid w:val="009A13AB"/>
    <w:rsid w:val="009A13AF"/>
    <w:rsid w:val="009A147A"/>
    <w:rsid w:val="009A147F"/>
    <w:rsid w:val="009A148F"/>
    <w:rsid w:val="009A14D9"/>
    <w:rsid w:val="009A151B"/>
    <w:rsid w:val="009A155C"/>
    <w:rsid w:val="009A159A"/>
    <w:rsid w:val="009A15EA"/>
    <w:rsid w:val="009A1613"/>
    <w:rsid w:val="009A165C"/>
    <w:rsid w:val="009A168E"/>
    <w:rsid w:val="009A169A"/>
    <w:rsid w:val="009A16B0"/>
    <w:rsid w:val="009A16BF"/>
    <w:rsid w:val="009A1711"/>
    <w:rsid w:val="009A174D"/>
    <w:rsid w:val="009A17D8"/>
    <w:rsid w:val="009A17F5"/>
    <w:rsid w:val="009A1867"/>
    <w:rsid w:val="009A1895"/>
    <w:rsid w:val="009A1898"/>
    <w:rsid w:val="009A18B7"/>
    <w:rsid w:val="009A18BF"/>
    <w:rsid w:val="009A18E0"/>
    <w:rsid w:val="009A18EF"/>
    <w:rsid w:val="009A18FE"/>
    <w:rsid w:val="009A1921"/>
    <w:rsid w:val="009A1939"/>
    <w:rsid w:val="009A194B"/>
    <w:rsid w:val="009A198C"/>
    <w:rsid w:val="009A19D6"/>
    <w:rsid w:val="009A1A7F"/>
    <w:rsid w:val="009A1A86"/>
    <w:rsid w:val="009A1A9F"/>
    <w:rsid w:val="009A1ABD"/>
    <w:rsid w:val="009A1ADA"/>
    <w:rsid w:val="009A1B43"/>
    <w:rsid w:val="009A1B44"/>
    <w:rsid w:val="009A1B74"/>
    <w:rsid w:val="009A1B79"/>
    <w:rsid w:val="009A1B81"/>
    <w:rsid w:val="009A1BB2"/>
    <w:rsid w:val="009A1BC1"/>
    <w:rsid w:val="009A1BF8"/>
    <w:rsid w:val="009A1C18"/>
    <w:rsid w:val="009A1C26"/>
    <w:rsid w:val="009A1C4E"/>
    <w:rsid w:val="009A1C69"/>
    <w:rsid w:val="009A1C7B"/>
    <w:rsid w:val="009A1CEC"/>
    <w:rsid w:val="009A1D24"/>
    <w:rsid w:val="009A1D76"/>
    <w:rsid w:val="009A1DA6"/>
    <w:rsid w:val="009A1E00"/>
    <w:rsid w:val="009A1E1E"/>
    <w:rsid w:val="009A1E49"/>
    <w:rsid w:val="009A1E64"/>
    <w:rsid w:val="009A1E95"/>
    <w:rsid w:val="009A1EBA"/>
    <w:rsid w:val="009A1EBE"/>
    <w:rsid w:val="009A1F0F"/>
    <w:rsid w:val="009A1F28"/>
    <w:rsid w:val="009A1F2D"/>
    <w:rsid w:val="009A1F41"/>
    <w:rsid w:val="009A1FB6"/>
    <w:rsid w:val="009A1FF9"/>
    <w:rsid w:val="009A1FFD"/>
    <w:rsid w:val="009A200E"/>
    <w:rsid w:val="009A2090"/>
    <w:rsid w:val="009A20AD"/>
    <w:rsid w:val="009A20C8"/>
    <w:rsid w:val="009A20E4"/>
    <w:rsid w:val="009A20FB"/>
    <w:rsid w:val="009A2148"/>
    <w:rsid w:val="009A215E"/>
    <w:rsid w:val="009A2170"/>
    <w:rsid w:val="009A2173"/>
    <w:rsid w:val="009A218D"/>
    <w:rsid w:val="009A2190"/>
    <w:rsid w:val="009A21D4"/>
    <w:rsid w:val="009A2204"/>
    <w:rsid w:val="009A2227"/>
    <w:rsid w:val="009A224D"/>
    <w:rsid w:val="009A225D"/>
    <w:rsid w:val="009A2280"/>
    <w:rsid w:val="009A22A4"/>
    <w:rsid w:val="009A22BD"/>
    <w:rsid w:val="009A235A"/>
    <w:rsid w:val="009A235B"/>
    <w:rsid w:val="009A236B"/>
    <w:rsid w:val="009A23C0"/>
    <w:rsid w:val="009A23C7"/>
    <w:rsid w:val="009A2404"/>
    <w:rsid w:val="009A2443"/>
    <w:rsid w:val="009A2463"/>
    <w:rsid w:val="009A2471"/>
    <w:rsid w:val="009A2484"/>
    <w:rsid w:val="009A249B"/>
    <w:rsid w:val="009A24B3"/>
    <w:rsid w:val="009A24CA"/>
    <w:rsid w:val="009A24D0"/>
    <w:rsid w:val="009A24D5"/>
    <w:rsid w:val="009A2540"/>
    <w:rsid w:val="009A2578"/>
    <w:rsid w:val="009A25B0"/>
    <w:rsid w:val="009A25B4"/>
    <w:rsid w:val="009A25C6"/>
    <w:rsid w:val="009A25CF"/>
    <w:rsid w:val="009A25DA"/>
    <w:rsid w:val="009A25DE"/>
    <w:rsid w:val="009A25FC"/>
    <w:rsid w:val="009A262E"/>
    <w:rsid w:val="009A263B"/>
    <w:rsid w:val="009A264B"/>
    <w:rsid w:val="009A2656"/>
    <w:rsid w:val="009A265C"/>
    <w:rsid w:val="009A265E"/>
    <w:rsid w:val="009A2678"/>
    <w:rsid w:val="009A26B7"/>
    <w:rsid w:val="009A26BF"/>
    <w:rsid w:val="009A26F8"/>
    <w:rsid w:val="009A2715"/>
    <w:rsid w:val="009A271E"/>
    <w:rsid w:val="009A273F"/>
    <w:rsid w:val="009A2740"/>
    <w:rsid w:val="009A2758"/>
    <w:rsid w:val="009A279E"/>
    <w:rsid w:val="009A27C1"/>
    <w:rsid w:val="009A27EF"/>
    <w:rsid w:val="009A2803"/>
    <w:rsid w:val="009A28B5"/>
    <w:rsid w:val="009A28FE"/>
    <w:rsid w:val="009A2911"/>
    <w:rsid w:val="009A2919"/>
    <w:rsid w:val="009A29A3"/>
    <w:rsid w:val="009A29D7"/>
    <w:rsid w:val="009A2A0F"/>
    <w:rsid w:val="009A2A32"/>
    <w:rsid w:val="009A2A45"/>
    <w:rsid w:val="009A2A78"/>
    <w:rsid w:val="009A2A8D"/>
    <w:rsid w:val="009A2B33"/>
    <w:rsid w:val="009A2B46"/>
    <w:rsid w:val="009A2B57"/>
    <w:rsid w:val="009A2B8E"/>
    <w:rsid w:val="009A2B9B"/>
    <w:rsid w:val="009A2BD8"/>
    <w:rsid w:val="009A2C51"/>
    <w:rsid w:val="009A2C5D"/>
    <w:rsid w:val="009A2C6F"/>
    <w:rsid w:val="009A2C91"/>
    <w:rsid w:val="009A2CA3"/>
    <w:rsid w:val="009A2CEA"/>
    <w:rsid w:val="009A2D02"/>
    <w:rsid w:val="009A2D3F"/>
    <w:rsid w:val="009A2D51"/>
    <w:rsid w:val="009A2D64"/>
    <w:rsid w:val="009A2D6F"/>
    <w:rsid w:val="009A2D73"/>
    <w:rsid w:val="009A2D8B"/>
    <w:rsid w:val="009A2DB3"/>
    <w:rsid w:val="009A2DE2"/>
    <w:rsid w:val="009A2E15"/>
    <w:rsid w:val="009A2E1B"/>
    <w:rsid w:val="009A2E25"/>
    <w:rsid w:val="009A2ED8"/>
    <w:rsid w:val="009A2F0A"/>
    <w:rsid w:val="009A2F4A"/>
    <w:rsid w:val="009A2F69"/>
    <w:rsid w:val="009A2F88"/>
    <w:rsid w:val="009A2FC4"/>
    <w:rsid w:val="009A302B"/>
    <w:rsid w:val="009A3031"/>
    <w:rsid w:val="009A305A"/>
    <w:rsid w:val="009A3061"/>
    <w:rsid w:val="009A30D2"/>
    <w:rsid w:val="009A312F"/>
    <w:rsid w:val="009A3180"/>
    <w:rsid w:val="009A3183"/>
    <w:rsid w:val="009A31A2"/>
    <w:rsid w:val="009A31D8"/>
    <w:rsid w:val="009A31E6"/>
    <w:rsid w:val="009A31F4"/>
    <w:rsid w:val="009A3219"/>
    <w:rsid w:val="009A3244"/>
    <w:rsid w:val="009A3255"/>
    <w:rsid w:val="009A326B"/>
    <w:rsid w:val="009A32A5"/>
    <w:rsid w:val="009A32D8"/>
    <w:rsid w:val="009A3303"/>
    <w:rsid w:val="009A3329"/>
    <w:rsid w:val="009A334E"/>
    <w:rsid w:val="009A335F"/>
    <w:rsid w:val="009A3376"/>
    <w:rsid w:val="009A33E5"/>
    <w:rsid w:val="009A33F5"/>
    <w:rsid w:val="009A340D"/>
    <w:rsid w:val="009A3417"/>
    <w:rsid w:val="009A345C"/>
    <w:rsid w:val="009A348B"/>
    <w:rsid w:val="009A3490"/>
    <w:rsid w:val="009A34A0"/>
    <w:rsid w:val="009A34F5"/>
    <w:rsid w:val="009A34FE"/>
    <w:rsid w:val="009A3521"/>
    <w:rsid w:val="009A3552"/>
    <w:rsid w:val="009A356B"/>
    <w:rsid w:val="009A359C"/>
    <w:rsid w:val="009A35B0"/>
    <w:rsid w:val="009A35F0"/>
    <w:rsid w:val="009A35F5"/>
    <w:rsid w:val="009A367F"/>
    <w:rsid w:val="009A3692"/>
    <w:rsid w:val="009A36B6"/>
    <w:rsid w:val="009A36CD"/>
    <w:rsid w:val="009A36E4"/>
    <w:rsid w:val="009A36EC"/>
    <w:rsid w:val="009A370C"/>
    <w:rsid w:val="009A3728"/>
    <w:rsid w:val="009A3751"/>
    <w:rsid w:val="009A3788"/>
    <w:rsid w:val="009A37DC"/>
    <w:rsid w:val="009A3817"/>
    <w:rsid w:val="009A3856"/>
    <w:rsid w:val="009A3857"/>
    <w:rsid w:val="009A3864"/>
    <w:rsid w:val="009A3879"/>
    <w:rsid w:val="009A389B"/>
    <w:rsid w:val="009A38BA"/>
    <w:rsid w:val="009A391D"/>
    <w:rsid w:val="009A393E"/>
    <w:rsid w:val="009A3964"/>
    <w:rsid w:val="009A3990"/>
    <w:rsid w:val="009A3A04"/>
    <w:rsid w:val="009A3A10"/>
    <w:rsid w:val="009A3A53"/>
    <w:rsid w:val="009A3A5F"/>
    <w:rsid w:val="009A3A65"/>
    <w:rsid w:val="009A3A85"/>
    <w:rsid w:val="009A3AB8"/>
    <w:rsid w:val="009A3B0F"/>
    <w:rsid w:val="009A3B47"/>
    <w:rsid w:val="009A3B9A"/>
    <w:rsid w:val="009A3BAD"/>
    <w:rsid w:val="009A3C63"/>
    <w:rsid w:val="009A3C71"/>
    <w:rsid w:val="009A3C84"/>
    <w:rsid w:val="009A3CAA"/>
    <w:rsid w:val="009A3CAB"/>
    <w:rsid w:val="009A3CB7"/>
    <w:rsid w:val="009A3CF9"/>
    <w:rsid w:val="009A3D4F"/>
    <w:rsid w:val="009A3DAE"/>
    <w:rsid w:val="009A3DF7"/>
    <w:rsid w:val="009A3E01"/>
    <w:rsid w:val="009A3E11"/>
    <w:rsid w:val="009A3E35"/>
    <w:rsid w:val="009A3E36"/>
    <w:rsid w:val="009A3E44"/>
    <w:rsid w:val="009A3E88"/>
    <w:rsid w:val="009A3E99"/>
    <w:rsid w:val="009A3EEB"/>
    <w:rsid w:val="009A3EF5"/>
    <w:rsid w:val="009A3EFB"/>
    <w:rsid w:val="009A3F6A"/>
    <w:rsid w:val="009A3F71"/>
    <w:rsid w:val="009A3FE1"/>
    <w:rsid w:val="009A402B"/>
    <w:rsid w:val="009A4091"/>
    <w:rsid w:val="009A40B6"/>
    <w:rsid w:val="009A40C9"/>
    <w:rsid w:val="009A40EC"/>
    <w:rsid w:val="009A4104"/>
    <w:rsid w:val="009A4137"/>
    <w:rsid w:val="009A4184"/>
    <w:rsid w:val="009A418F"/>
    <w:rsid w:val="009A419E"/>
    <w:rsid w:val="009A41D6"/>
    <w:rsid w:val="009A4203"/>
    <w:rsid w:val="009A4236"/>
    <w:rsid w:val="009A424F"/>
    <w:rsid w:val="009A4276"/>
    <w:rsid w:val="009A427E"/>
    <w:rsid w:val="009A4297"/>
    <w:rsid w:val="009A42FE"/>
    <w:rsid w:val="009A431F"/>
    <w:rsid w:val="009A4337"/>
    <w:rsid w:val="009A443F"/>
    <w:rsid w:val="009A4465"/>
    <w:rsid w:val="009A446A"/>
    <w:rsid w:val="009A44C6"/>
    <w:rsid w:val="009A450C"/>
    <w:rsid w:val="009A451A"/>
    <w:rsid w:val="009A4527"/>
    <w:rsid w:val="009A4538"/>
    <w:rsid w:val="009A4567"/>
    <w:rsid w:val="009A458D"/>
    <w:rsid w:val="009A458E"/>
    <w:rsid w:val="009A45CD"/>
    <w:rsid w:val="009A45CF"/>
    <w:rsid w:val="009A45FE"/>
    <w:rsid w:val="009A4604"/>
    <w:rsid w:val="009A4673"/>
    <w:rsid w:val="009A4692"/>
    <w:rsid w:val="009A46C5"/>
    <w:rsid w:val="009A470B"/>
    <w:rsid w:val="009A4722"/>
    <w:rsid w:val="009A4746"/>
    <w:rsid w:val="009A4756"/>
    <w:rsid w:val="009A476A"/>
    <w:rsid w:val="009A47A7"/>
    <w:rsid w:val="009A47AB"/>
    <w:rsid w:val="009A47C0"/>
    <w:rsid w:val="009A47E7"/>
    <w:rsid w:val="009A482C"/>
    <w:rsid w:val="009A486A"/>
    <w:rsid w:val="009A488D"/>
    <w:rsid w:val="009A48A8"/>
    <w:rsid w:val="009A48BD"/>
    <w:rsid w:val="009A490C"/>
    <w:rsid w:val="009A4926"/>
    <w:rsid w:val="009A493C"/>
    <w:rsid w:val="009A4958"/>
    <w:rsid w:val="009A498C"/>
    <w:rsid w:val="009A49A8"/>
    <w:rsid w:val="009A49B5"/>
    <w:rsid w:val="009A49BF"/>
    <w:rsid w:val="009A49C1"/>
    <w:rsid w:val="009A49E4"/>
    <w:rsid w:val="009A49F9"/>
    <w:rsid w:val="009A4A29"/>
    <w:rsid w:val="009A4A71"/>
    <w:rsid w:val="009A4A80"/>
    <w:rsid w:val="009A4ACA"/>
    <w:rsid w:val="009A4AD0"/>
    <w:rsid w:val="009A4B0D"/>
    <w:rsid w:val="009A4B11"/>
    <w:rsid w:val="009A4B21"/>
    <w:rsid w:val="009A4B49"/>
    <w:rsid w:val="009A4B7B"/>
    <w:rsid w:val="009A4B92"/>
    <w:rsid w:val="009A4BCB"/>
    <w:rsid w:val="009A4BD1"/>
    <w:rsid w:val="009A4C37"/>
    <w:rsid w:val="009A4C3D"/>
    <w:rsid w:val="009A4C4C"/>
    <w:rsid w:val="009A4C64"/>
    <w:rsid w:val="009A4C6A"/>
    <w:rsid w:val="009A4CA0"/>
    <w:rsid w:val="009A4CA1"/>
    <w:rsid w:val="009A4CA8"/>
    <w:rsid w:val="009A4D3C"/>
    <w:rsid w:val="009A4D48"/>
    <w:rsid w:val="009A4D93"/>
    <w:rsid w:val="009A4DA2"/>
    <w:rsid w:val="009A4DB6"/>
    <w:rsid w:val="009A4DC6"/>
    <w:rsid w:val="009A4E3F"/>
    <w:rsid w:val="009A4E49"/>
    <w:rsid w:val="009A4E53"/>
    <w:rsid w:val="009A4E74"/>
    <w:rsid w:val="009A4EAD"/>
    <w:rsid w:val="009A4ED4"/>
    <w:rsid w:val="009A4EF8"/>
    <w:rsid w:val="009A4F2E"/>
    <w:rsid w:val="009A4F4A"/>
    <w:rsid w:val="009A4F6E"/>
    <w:rsid w:val="009A4FB6"/>
    <w:rsid w:val="009A4FF2"/>
    <w:rsid w:val="009A4FF3"/>
    <w:rsid w:val="009A5009"/>
    <w:rsid w:val="009A5011"/>
    <w:rsid w:val="009A501E"/>
    <w:rsid w:val="009A50D8"/>
    <w:rsid w:val="009A50FE"/>
    <w:rsid w:val="009A5132"/>
    <w:rsid w:val="009A5149"/>
    <w:rsid w:val="009A51AE"/>
    <w:rsid w:val="009A51B2"/>
    <w:rsid w:val="009A51F5"/>
    <w:rsid w:val="009A5283"/>
    <w:rsid w:val="009A52D9"/>
    <w:rsid w:val="009A52FB"/>
    <w:rsid w:val="009A5322"/>
    <w:rsid w:val="009A537B"/>
    <w:rsid w:val="009A53AC"/>
    <w:rsid w:val="009A53B5"/>
    <w:rsid w:val="009A53BD"/>
    <w:rsid w:val="009A53BF"/>
    <w:rsid w:val="009A53D7"/>
    <w:rsid w:val="009A53E6"/>
    <w:rsid w:val="009A53EB"/>
    <w:rsid w:val="009A53F1"/>
    <w:rsid w:val="009A53F3"/>
    <w:rsid w:val="009A53F5"/>
    <w:rsid w:val="009A540F"/>
    <w:rsid w:val="009A5426"/>
    <w:rsid w:val="009A5433"/>
    <w:rsid w:val="009A54C0"/>
    <w:rsid w:val="009A5536"/>
    <w:rsid w:val="009A5543"/>
    <w:rsid w:val="009A5545"/>
    <w:rsid w:val="009A555A"/>
    <w:rsid w:val="009A55EE"/>
    <w:rsid w:val="009A5601"/>
    <w:rsid w:val="009A5622"/>
    <w:rsid w:val="009A5623"/>
    <w:rsid w:val="009A5634"/>
    <w:rsid w:val="009A5660"/>
    <w:rsid w:val="009A5671"/>
    <w:rsid w:val="009A56AB"/>
    <w:rsid w:val="009A56FD"/>
    <w:rsid w:val="009A56FE"/>
    <w:rsid w:val="009A574B"/>
    <w:rsid w:val="009A5784"/>
    <w:rsid w:val="009A57A7"/>
    <w:rsid w:val="009A57AB"/>
    <w:rsid w:val="009A57D9"/>
    <w:rsid w:val="009A580E"/>
    <w:rsid w:val="009A5834"/>
    <w:rsid w:val="009A5856"/>
    <w:rsid w:val="009A5862"/>
    <w:rsid w:val="009A5863"/>
    <w:rsid w:val="009A5874"/>
    <w:rsid w:val="009A587E"/>
    <w:rsid w:val="009A5881"/>
    <w:rsid w:val="009A58B2"/>
    <w:rsid w:val="009A58B5"/>
    <w:rsid w:val="009A58BA"/>
    <w:rsid w:val="009A58F8"/>
    <w:rsid w:val="009A58FC"/>
    <w:rsid w:val="009A5915"/>
    <w:rsid w:val="009A5929"/>
    <w:rsid w:val="009A594E"/>
    <w:rsid w:val="009A595E"/>
    <w:rsid w:val="009A5963"/>
    <w:rsid w:val="009A5986"/>
    <w:rsid w:val="009A598E"/>
    <w:rsid w:val="009A5998"/>
    <w:rsid w:val="009A59AF"/>
    <w:rsid w:val="009A59C3"/>
    <w:rsid w:val="009A5A09"/>
    <w:rsid w:val="009A5A49"/>
    <w:rsid w:val="009A5A90"/>
    <w:rsid w:val="009A5AB1"/>
    <w:rsid w:val="009A5AEA"/>
    <w:rsid w:val="009A5B1D"/>
    <w:rsid w:val="009A5BC8"/>
    <w:rsid w:val="009A5BFD"/>
    <w:rsid w:val="009A5C31"/>
    <w:rsid w:val="009A5C80"/>
    <w:rsid w:val="009A5C88"/>
    <w:rsid w:val="009A5D10"/>
    <w:rsid w:val="009A5D17"/>
    <w:rsid w:val="009A5D1F"/>
    <w:rsid w:val="009A5D5E"/>
    <w:rsid w:val="009A5D70"/>
    <w:rsid w:val="009A5D8E"/>
    <w:rsid w:val="009A5D9B"/>
    <w:rsid w:val="009A5DA8"/>
    <w:rsid w:val="009A5DCC"/>
    <w:rsid w:val="009A5E52"/>
    <w:rsid w:val="009A5EF5"/>
    <w:rsid w:val="009A5EF7"/>
    <w:rsid w:val="009A5F17"/>
    <w:rsid w:val="009A5F22"/>
    <w:rsid w:val="009A5F57"/>
    <w:rsid w:val="009A5FDB"/>
    <w:rsid w:val="009A6025"/>
    <w:rsid w:val="009A6026"/>
    <w:rsid w:val="009A6031"/>
    <w:rsid w:val="009A6076"/>
    <w:rsid w:val="009A607C"/>
    <w:rsid w:val="009A60E6"/>
    <w:rsid w:val="009A60F8"/>
    <w:rsid w:val="009A6113"/>
    <w:rsid w:val="009A6114"/>
    <w:rsid w:val="009A614F"/>
    <w:rsid w:val="009A6151"/>
    <w:rsid w:val="009A618A"/>
    <w:rsid w:val="009A61B0"/>
    <w:rsid w:val="009A61B7"/>
    <w:rsid w:val="009A61BA"/>
    <w:rsid w:val="009A61BD"/>
    <w:rsid w:val="009A61C4"/>
    <w:rsid w:val="009A61E6"/>
    <w:rsid w:val="009A623E"/>
    <w:rsid w:val="009A6243"/>
    <w:rsid w:val="009A627B"/>
    <w:rsid w:val="009A6286"/>
    <w:rsid w:val="009A62DD"/>
    <w:rsid w:val="009A62E6"/>
    <w:rsid w:val="009A6301"/>
    <w:rsid w:val="009A6313"/>
    <w:rsid w:val="009A6348"/>
    <w:rsid w:val="009A635B"/>
    <w:rsid w:val="009A6392"/>
    <w:rsid w:val="009A6418"/>
    <w:rsid w:val="009A642F"/>
    <w:rsid w:val="009A6439"/>
    <w:rsid w:val="009A646B"/>
    <w:rsid w:val="009A64A5"/>
    <w:rsid w:val="009A64AC"/>
    <w:rsid w:val="009A64E6"/>
    <w:rsid w:val="009A6552"/>
    <w:rsid w:val="009A6585"/>
    <w:rsid w:val="009A65A1"/>
    <w:rsid w:val="009A65B2"/>
    <w:rsid w:val="009A65B8"/>
    <w:rsid w:val="009A65D6"/>
    <w:rsid w:val="009A65ED"/>
    <w:rsid w:val="009A6619"/>
    <w:rsid w:val="009A661A"/>
    <w:rsid w:val="009A661C"/>
    <w:rsid w:val="009A6620"/>
    <w:rsid w:val="009A6643"/>
    <w:rsid w:val="009A666C"/>
    <w:rsid w:val="009A6682"/>
    <w:rsid w:val="009A668C"/>
    <w:rsid w:val="009A6694"/>
    <w:rsid w:val="009A671C"/>
    <w:rsid w:val="009A6726"/>
    <w:rsid w:val="009A6776"/>
    <w:rsid w:val="009A677E"/>
    <w:rsid w:val="009A6781"/>
    <w:rsid w:val="009A67A1"/>
    <w:rsid w:val="009A67E2"/>
    <w:rsid w:val="009A67FE"/>
    <w:rsid w:val="009A6803"/>
    <w:rsid w:val="009A685F"/>
    <w:rsid w:val="009A6877"/>
    <w:rsid w:val="009A68A1"/>
    <w:rsid w:val="009A68CD"/>
    <w:rsid w:val="009A68D2"/>
    <w:rsid w:val="009A68DC"/>
    <w:rsid w:val="009A692D"/>
    <w:rsid w:val="009A693B"/>
    <w:rsid w:val="009A695B"/>
    <w:rsid w:val="009A6977"/>
    <w:rsid w:val="009A6986"/>
    <w:rsid w:val="009A69AC"/>
    <w:rsid w:val="009A69B4"/>
    <w:rsid w:val="009A69E3"/>
    <w:rsid w:val="009A6A03"/>
    <w:rsid w:val="009A6A2F"/>
    <w:rsid w:val="009A6A3D"/>
    <w:rsid w:val="009A6A72"/>
    <w:rsid w:val="009A6AAB"/>
    <w:rsid w:val="009A6AE2"/>
    <w:rsid w:val="009A6B0A"/>
    <w:rsid w:val="009A6B26"/>
    <w:rsid w:val="009A6B2C"/>
    <w:rsid w:val="009A6B34"/>
    <w:rsid w:val="009A6B37"/>
    <w:rsid w:val="009A6B60"/>
    <w:rsid w:val="009A6BB3"/>
    <w:rsid w:val="009A6BD4"/>
    <w:rsid w:val="009A6C52"/>
    <w:rsid w:val="009A6C5C"/>
    <w:rsid w:val="009A6C94"/>
    <w:rsid w:val="009A6CA7"/>
    <w:rsid w:val="009A6CBC"/>
    <w:rsid w:val="009A6CE6"/>
    <w:rsid w:val="009A6CE7"/>
    <w:rsid w:val="009A6D26"/>
    <w:rsid w:val="009A6D46"/>
    <w:rsid w:val="009A6D68"/>
    <w:rsid w:val="009A6D81"/>
    <w:rsid w:val="009A6D94"/>
    <w:rsid w:val="009A6DF0"/>
    <w:rsid w:val="009A6E21"/>
    <w:rsid w:val="009A6E68"/>
    <w:rsid w:val="009A6EAB"/>
    <w:rsid w:val="009A6ECD"/>
    <w:rsid w:val="009A6F15"/>
    <w:rsid w:val="009A6F6C"/>
    <w:rsid w:val="009A6F6D"/>
    <w:rsid w:val="009A6F78"/>
    <w:rsid w:val="009A6FAF"/>
    <w:rsid w:val="009A6FB1"/>
    <w:rsid w:val="009A6FB7"/>
    <w:rsid w:val="009A6FC8"/>
    <w:rsid w:val="009A6FF1"/>
    <w:rsid w:val="009A7019"/>
    <w:rsid w:val="009A7068"/>
    <w:rsid w:val="009A7082"/>
    <w:rsid w:val="009A7086"/>
    <w:rsid w:val="009A709D"/>
    <w:rsid w:val="009A70AD"/>
    <w:rsid w:val="009A70AF"/>
    <w:rsid w:val="009A711B"/>
    <w:rsid w:val="009A7122"/>
    <w:rsid w:val="009A7146"/>
    <w:rsid w:val="009A719D"/>
    <w:rsid w:val="009A7202"/>
    <w:rsid w:val="009A7251"/>
    <w:rsid w:val="009A7282"/>
    <w:rsid w:val="009A7284"/>
    <w:rsid w:val="009A7289"/>
    <w:rsid w:val="009A728A"/>
    <w:rsid w:val="009A72A2"/>
    <w:rsid w:val="009A72A9"/>
    <w:rsid w:val="009A72C9"/>
    <w:rsid w:val="009A72F2"/>
    <w:rsid w:val="009A72F5"/>
    <w:rsid w:val="009A7303"/>
    <w:rsid w:val="009A7360"/>
    <w:rsid w:val="009A7374"/>
    <w:rsid w:val="009A7395"/>
    <w:rsid w:val="009A7399"/>
    <w:rsid w:val="009A739B"/>
    <w:rsid w:val="009A73A6"/>
    <w:rsid w:val="009A73F8"/>
    <w:rsid w:val="009A740A"/>
    <w:rsid w:val="009A7473"/>
    <w:rsid w:val="009A74C4"/>
    <w:rsid w:val="009A74CB"/>
    <w:rsid w:val="009A74E3"/>
    <w:rsid w:val="009A7576"/>
    <w:rsid w:val="009A7597"/>
    <w:rsid w:val="009A75E4"/>
    <w:rsid w:val="009A7621"/>
    <w:rsid w:val="009A7634"/>
    <w:rsid w:val="009A7650"/>
    <w:rsid w:val="009A7675"/>
    <w:rsid w:val="009A767F"/>
    <w:rsid w:val="009A76BD"/>
    <w:rsid w:val="009A7733"/>
    <w:rsid w:val="009A778E"/>
    <w:rsid w:val="009A779C"/>
    <w:rsid w:val="009A77D9"/>
    <w:rsid w:val="009A7807"/>
    <w:rsid w:val="009A7841"/>
    <w:rsid w:val="009A785D"/>
    <w:rsid w:val="009A78B8"/>
    <w:rsid w:val="009A78BC"/>
    <w:rsid w:val="009A78DB"/>
    <w:rsid w:val="009A78DF"/>
    <w:rsid w:val="009A7957"/>
    <w:rsid w:val="009A7966"/>
    <w:rsid w:val="009A79B4"/>
    <w:rsid w:val="009A79CC"/>
    <w:rsid w:val="009A7A3F"/>
    <w:rsid w:val="009A7AE4"/>
    <w:rsid w:val="009A7B11"/>
    <w:rsid w:val="009A7B1F"/>
    <w:rsid w:val="009A7B46"/>
    <w:rsid w:val="009A7B5F"/>
    <w:rsid w:val="009A7B80"/>
    <w:rsid w:val="009A7B91"/>
    <w:rsid w:val="009A7B96"/>
    <w:rsid w:val="009A7BD0"/>
    <w:rsid w:val="009A7BFE"/>
    <w:rsid w:val="009A7C00"/>
    <w:rsid w:val="009A7C22"/>
    <w:rsid w:val="009A7C4F"/>
    <w:rsid w:val="009A7C7F"/>
    <w:rsid w:val="009A7CDA"/>
    <w:rsid w:val="009A7D4A"/>
    <w:rsid w:val="009A7D93"/>
    <w:rsid w:val="009A7D99"/>
    <w:rsid w:val="009A7DDC"/>
    <w:rsid w:val="009A7DE6"/>
    <w:rsid w:val="009A7DF4"/>
    <w:rsid w:val="009A7E1D"/>
    <w:rsid w:val="009A7E3E"/>
    <w:rsid w:val="009A7E51"/>
    <w:rsid w:val="009A7E69"/>
    <w:rsid w:val="009A7EBF"/>
    <w:rsid w:val="009A7ECB"/>
    <w:rsid w:val="009A7EF7"/>
    <w:rsid w:val="009A7F07"/>
    <w:rsid w:val="009A7F45"/>
    <w:rsid w:val="009A7F94"/>
    <w:rsid w:val="009A7F9B"/>
    <w:rsid w:val="009A7FAB"/>
    <w:rsid w:val="009A7FC0"/>
    <w:rsid w:val="009A7FDF"/>
    <w:rsid w:val="009B0010"/>
    <w:rsid w:val="009B0063"/>
    <w:rsid w:val="009B0078"/>
    <w:rsid w:val="009B00D7"/>
    <w:rsid w:val="009B014B"/>
    <w:rsid w:val="009B0197"/>
    <w:rsid w:val="009B01A6"/>
    <w:rsid w:val="009B01D8"/>
    <w:rsid w:val="009B020E"/>
    <w:rsid w:val="009B0229"/>
    <w:rsid w:val="009B0252"/>
    <w:rsid w:val="009B029D"/>
    <w:rsid w:val="009B02A4"/>
    <w:rsid w:val="009B02AB"/>
    <w:rsid w:val="009B02DF"/>
    <w:rsid w:val="009B030D"/>
    <w:rsid w:val="009B0336"/>
    <w:rsid w:val="009B033E"/>
    <w:rsid w:val="009B0353"/>
    <w:rsid w:val="009B03AD"/>
    <w:rsid w:val="009B03AF"/>
    <w:rsid w:val="009B042B"/>
    <w:rsid w:val="009B0440"/>
    <w:rsid w:val="009B0443"/>
    <w:rsid w:val="009B0460"/>
    <w:rsid w:val="009B0465"/>
    <w:rsid w:val="009B049B"/>
    <w:rsid w:val="009B051E"/>
    <w:rsid w:val="009B053D"/>
    <w:rsid w:val="009B0550"/>
    <w:rsid w:val="009B0562"/>
    <w:rsid w:val="009B0573"/>
    <w:rsid w:val="009B0585"/>
    <w:rsid w:val="009B05B6"/>
    <w:rsid w:val="009B0614"/>
    <w:rsid w:val="009B0629"/>
    <w:rsid w:val="009B0655"/>
    <w:rsid w:val="009B0657"/>
    <w:rsid w:val="009B0664"/>
    <w:rsid w:val="009B06B4"/>
    <w:rsid w:val="009B06E2"/>
    <w:rsid w:val="009B071E"/>
    <w:rsid w:val="009B072A"/>
    <w:rsid w:val="009B0756"/>
    <w:rsid w:val="009B0769"/>
    <w:rsid w:val="009B076E"/>
    <w:rsid w:val="009B0770"/>
    <w:rsid w:val="009B0788"/>
    <w:rsid w:val="009B07E3"/>
    <w:rsid w:val="009B07F9"/>
    <w:rsid w:val="009B0842"/>
    <w:rsid w:val="009B084E"/>
    <w:rsid w:val="009B0871"/>
    <w:rsid w:val="009B0917"/>
    <w:rsid w:val="009B0972"/>
    <w:rsid w:val="009B0990"/>
    <w:rsid w:val="009B09AA"/>
    <w:rsid w:val="009B09D7"/>
    <w:rsid w:val="009B09F4"/>
    <w:rsid w:val="009B09FE"/>
    <w:rsid w:val="009B0A0A"/>
    <w:rsid w:val="009B0A40"/>
    <w:rsid w:val="009B0A4A"/>
    <w:rsid w:val="009B0A52"/>
    <w:rsid w:val="009B0A65"/>
    <w:rsid w:val="009B0A6C"/>
    <w:rsid w:val="009B0A99"/>
    <w:rsid w:val="009B0AF0"/>
    <w:rsid w:val="009B0B2E"/>
    <w:rsid w:val="009B0B50"/>
    <w:rsid w:val="009B0B6E"/>
    <w:rsid w:val="009B0B8A"/>
    <w:rsid w:val="009B0BC3"/>
    <w:rsid w:val="009B0BE8"/>
    <w:rsid w:val="009B0C1A"/>
    <w:rsid w:val="009B0C34"/>
    <w:rsid w:val="009B0C37"/>
    <w:rsid w:val="009B0C52"/>
    <w:rsid w:val="009B0C5F"/>
    <w:rsid w:val="009B0C74"/>
    <w:rsid w:val="009B0C7B"/>
    <w:rsid w:val="009B0C88"/>
    <w:rsid w:val="009B0C97"/>
    <w:rsid w:val="009B0CBE"/>
    <w:rsid w:val="009B0CCD"/>
    <w:rsid w:val="009B0CD3"/>
    <w:rsid w:val="009B0CDF"/>
    <w:rsid w:val="009B0CFD"/>
    <w:rsid w:val="009B0D27"/>
    <w:rsid w:val="009B0D38"/>
    <w:rsid w:val="009B0D69"/>
    <w:rsid w:val="009B0D88"/>
    <w:rsid w:val="009B0DDF"/>
    <w:rsid w:val="009B0DE3"/>
    <w:rsid w:val="009B0E06"/>
    <w:rsid w:val="009B0E09"/>
    <w:rsid w:val="009B0E17"/>
    <w:rsid w:val="009B0E53"/>
    <w:rsid w:val="009B0E67"/>
    <w:rsid w:val="009B0E7C"/>
    <w:rsid w:val="009B0E91"/>
    <w:rsid w:val="009B0EEB"/>
    <w:rsid w:val="009B0F0F"/>
    <w:rsid w:val="009B0F43"/>
    <w:rsid w:val="009B0F6B"/>
    <w:rsid w:val="009B0F97"/>
    <w:rsid w:val="009B0FBD"/>
    <w:rsid w:val="009B0FDA"/>
    <w:rsid w:val="009B0FDB"/>
    <w:rsid w:val="009B1006"/>
    <w:rsid w:val="009B1037"/>
    <w:rsid w:val="009B1043"/>
    <w:rsid w:val="009B106B"/>
    <w:rsid w:val="009B108F"/>
    <w:rsid w:val="009B10BC"/>
    <w:rsid w:val="009B10DC"/>
    <w:rsid w:val="009B114C"/>
    <w:rsid w:val="009B1165"/>
    <w:rsid w:val="009B1191"/>
    <w:rsid w:val="009B11A1"/>
    <w:rsid w:val="009B11DD"/>
    <w:rsid w:val="009B11FC"/>
    <w:rsid w:val="009B120C"/>
    <w:rsid w:val="009B1238"/>
    <w:rsid w:val="009B1263"/>
    <w:rsid w:val="009B126D"/>
    <w:rsid w:val="009B1276"/>
    <w:rsid w:val="009B1311"/>
    <w:rsid w:val="009B13B5"/>
    <w:rsid w:val="009B13BC"/>
    <w:rsid w:val="009B13C3"/>
    <w:rsid w:val="009B13C6"/>
    <w:rsid w:val="009B13F9"/>
    <w:rsid w:val="009B1407"/>
    <w:rsid w:val="009B1429"/>
    <w:rsid w:val="009B143C"/>
    <w:rsid w:val="009B145A"/>
    <w:rsid w:val="009B1479"/>
    <w:rsid w:val="009B147B"/>
    <w:rsid w:val="009B14F7"/>
    <w:rsid w:val="009B1523"/>
    <w:rsid w:val="009B1570"/>
    <w:rsid w:val="009B1595"/>
    <w:rsid w:val="009B15E4"/>
    <w:rsid w:val="009B165D"/>
    <w:rsid w:val="009B16A4"/>
    <w:rsid w:val="009B16CF"/>
    <w:rsid w:val="009B170D"/>
    <w:rsid w:val="009B1768"/>
    <w:rsid w:val="009B1784"/>
    <w:rsid w:val="009B1799"/>
    <w:rsid w:val="009B17D1"/>
    <w:rsid w:val="009B182B"/>
    <w:rsid w:val="009B185A"/>
    <w:rsid w:val="009B185D"/>
    <w:rsid w:val="009B1885"/>
    <w:rsid w:val="009B1893"/>
    <w:rsid w:val="009B189E"/>
    <w:rsid w:val="009B18A0"/>
    <w:rsid w:val="009B18A5"/>
    <w:rsid w:val="009B18F2"/>
    <w:rsid w:val="009B1901"/>
    <w:rsid w:val="009B1942"/>
    <w:rsid w:val="009B1957"/>
    <w:rsid w:val="009B195B"/>
    <w:rsid w:val="009B1985"/>
    <w:rsid w:val="009B1994"/>
    <w:rsid w:val="009B19C8"/>
    <w:rsid w:val="009B19DE"/>
    <w:rsid w:val="009B19E8"/>
    <w:rsid w:val="009B1A2D"/>
    <w:rsid w:val="009B1A92"/>
    <w:rsid w:val="009B1AC5"/>
    <w:rsid w:val="009B1AD9"/>
    <w:rsid w:val="009B1AE0"/>
    <w:rsid w:val="009B1AF2"/>
    <w:rsid w:val="009B1B30"/>
    <w:rsid w:val="009B1B7D"/>
    <w:rsid w:val="009B1C09"/>
    <w:rsid w:val="009B1C19"/>
    <w:rsid w:val="009B1C3C"/>
    <w:rsid w:val="009B1C3E"/>
    <w:rsid w:val="009B1C50"/>
    <w:rsid w:val="009B1C5C"/>
    <w:rsid w:val="009B1C5D"/>
    <w:rsid w:val="009B1C7F"/>
    <w:rsid w:val="009B1C9E"/>
    <w:rsid w:val="009B1CD3"/>
    <w:rsid w:val="009B1CF4"/>
    <w:rsid w:val="009B1D03"/>
    <w:rsid w:val="009B1D18"/>
    <w:rsid w:val="009B1D6A"/>
    <w:rsid w:val="009B1D7D"/>
    <w:rsid w:val="009B1D89"/>
    <w:rsid w:val="009B1DCA"/>
    <w:rsid w:val="009B1DEA"/>
    <w:rsid w:val="009B1DEB"/>
    <w:rsid w:val="009B1E0E"/>
    <w:rsid w:val="009B1E2F"/>
    <w:rsid w:val="009B1E60"/>
    <w:rsid w:val="009B1E70"/>
    <w:rsid w:val="009B1EA2"/>
    <w:rsid w:val="009B1F2C"/>
    <w:rsid w:val="009B1F46"/>
    <w:rsid w:val="009B1F55"/>
    <w:rsid w:val="009B1F97"/>
    <w:rsid w:val="009B1F9A"/>
    <w:rsid w:val="009B1FA2"/>
    <w:rsid w:val="009B1FB0"/>
    <w:rsid w:val="009B1FDB"/>
    <w:rsid w:val="009B1FDE"/>
    <w:rsid w:val="009B1FE0"/>
    <w:rsid w:val="009B201D"/>
    <w:rsid w:val="009B2020"/>
    <w:rsid w:val="009B202B"/>
    <w:rsid w:val="009B2034"/>
    <w:rsid w:val="009B204D"/>
    <w:rsid w:val="009B205F"/>
    <w:rsid w:val="009B206B"/>
    <w:rsid w:val="009B2070"/>
    <w:rsid w:val="009B20B6"/>
    <w:rsid w:val="009B20FA"/>
    <w:rsid w:val="009B2108"/>
    <w:rsid w:val="009B2112"/>
    <w:rsid w:val="009B2139"/>
    <w:rsid w:val="009B2174"/>
    <w:rsid w:val="009B21B4"/>
    <w:rsid w:val="009B21EA"/>
    <w:rsid w:val="009B224B"/>
    <w:rsid w:val="009B225A"/>
    <w:rsid w:val="009B225F"/>
    <w:rsid w:val="009B2264"/>
    <w:rsid w:val="009B22E8"/>
    <w:rsid w:val="009B2328"/>
    <w:rsid w:val="009B2344"/>
    <w:rsid w:val="009B239C"/>
    <w:rsid w:val="009B23AE"/>
    <w:rsid w:val="009B23C3"/>
    <w:rsid w:val="009B23E4"/>
    <w:rsid w:val="009B23FF"/>
    <w:rsid w:val="009B2449"/>
    <w:rsid w:val="009B245A"/>
    <w:rsid w:val="009B2483"/>
    <w:rsid w:val="009B2492"/>
    <w:rsid w:val="009B24A7"/>
    <w:rsid w:val="009B24B4"/>
    <w:rsid w:val="009B24C2"/>
    <w:rsid w:val="009B24CF"/>
    <w:rsid w:val="009B24E6"/>
    <w:rsid w:val="009B2522"/>
    <w:rsid w:val="009B2523"/>
    <w:rsid w:val="009B254C"/>
    <w:rsid w:val="009B2551"/>
    <w:rsid w:val="009B255B"/>
    <w:rsid w:val="009B2581"/>
    <w:rsid w:val="009B25AD"/>
    <w:rsid w:val="009B2603"/>
    <w:rsid w:val="009B262C"/>
    <w:rsid w:val="009B265E"/>
    <w:rsid w:val="009B266E"/>
    <w:rsid w:val="009B26DD"/>
    <w:rsid w:val="009B2703"/>
    <w:rsid w:val="009B2704"/>
    <w:rsid w:val="009B2710"/>
    <w:rsid w:val="009B271A"/>
    <w:rsid w:val="009B274D"/>
    <w:rsid w:val="009B2759"/>
    <w:rsid w:val="009B2770"/>
    <w:rsid w:val="009B277F"/>
    <w:rsid w:val="009B27B2"/>
    <w:rsid w:val="009B27B9"/>
    <w:rsid w:val="009B27C1"/>
    <w:rsid w:val="009B27D0"/>
    <w:rsid w:val="009B27D8"/>
    <w:rsid w:val="009B2834"/>
    <w:rsid w:val="009B2836"/>
    <w:rsid w:val="009B28B8"/>
    <w:rsid w:val="009B2931"/>
    <w:rsid w:val="009B293E"/>
    <w:rsid w:val="009B2948"/>
    <w:rsid w:val="009B2979"/>
    <w:rsid w:val="009B2984"/>
    <w:rsid w:val="009B298D"/>
    <w:rsid w:val="009B29C5"/>
    <w:rsid w:val="009B29D1"/>
    <w:rsid w:val="009B2A52"/>
    <w:rsid w:val="009B2AD9"/>
    <w:rsid w:val="009B2AEA"/>
    <w:rsid w:val="009B2B21"/>
    <w:rsid w:val="009B2B7C"/>
    <w:rsid w:val="009B2B99"/>
    <w:rsid w:val="009B2BFC"/>
    <w:rsid w:val="009B2C00"/>
    <w:rsid w:val="009B2C0B"/>
    <w:rsid w:val="009B2C0D"/>
    <w:rsid w:val="009B2C23"/>
    <w:rsid w:val="009B2C28"/>
    <w:rsid w:val="009B2C29"/>
    <w:rsid w:val="009B2C41"/>
    <w:rsid w:val="009B2C5A"/>
    <w:rsid w:val="009B2C70"/>
    <w:rsid w:val="009B2CA3"/>
    <w:rsid w:val="009B2CAA"/>
    <w:rsid w:val="009B2CC2"/>
    <w:rsid w:val="009B2D0F"/>
    <w:rsid w:val="009B2D2C"/>
    <w:rsid w:val="009B2D4F"/>
    <w:rsid w:val="009B2D54"/>
    <w:rsid w:val="009B2D67"/>
    <w:rsid w:val="009B2D7A"/>
    <w:rsid w:val="009B2DA7"/>
    <w:rsid w:val="009B2E3C"/>
    <w:rsid w:val="009B2E4C"/>
    <w:rsid w:val="009B2E76"/>
    <w:rsid w:val="009B2E88"/>
    <w:rsid w:val="009B2E9A"/>
    <w:rsid w:val="009B2ECC"/>
    <w:rsid w:val="009B2EF2"/>
    <w:rsid w:val="009B2F0F"/>
    <w:rsid w:val="009B2F51"/>
    <w:rsid w:val="009B2F5C"/>
    <w:rsid w:val="009B2F9D"/>
    <w:rsid w:val="009B2F9E"/>
    <w:rsid w:val="009B2FB8"/>
    <w:rsid w:val="009B2FE0"/>
    <w:rsid w:val="009B3030"/>
    <w:rsid w:val="009B3034"/>
    <w:rsid w:val="009B3113"/>
    <w:rsid w:val="009B3174"/>
    <w:rsid w:val="009B3190"/>
    <w:rsid w:val="009B31A2"/>
    <w:rsid w:val="009B31B2"/>
    <w:rsid w:val="009B31B3"/>
    <w:rsid w:val="009B31D8"/>
    <w:rsid w:val="009B322D"/>
    <w:rsid w:val="009B3256"/>
    <w:rsid w:val="009B3257"/>
    <w:rsid w:val="009B326E"/>
    <w:rsid w:val="009B3279"/>
    <w:rsid w:val="009B328A"/>
    <w:rsid w:val="009B32E9"/>
    <w:rsid w:val="009B331E"/>
    <w:rsid w:val="009B3351"/>
    <w:rsid w:val="009B338D"/>
    <w:rsid w:val="009B344B"/>
    <w:rsid w:val="009B347A"/>
    <w:rsid w:val="009B34B4"/>
    <w:rsid w:val="009B34D5"/>
    <w:rsid w:val="009B352C"/>
    <w:rsid w:val="009B3530"/>
    <w:rsid w:val="009B353A"/>
    <w:rsid w:val="009B353D"/>
    <w:rsid w:val="009B3542"/>
    <w:rsid w:val="009B3570"/>
    <w:rsid w:val="009B3596"/>
    <w:rsid w:val="009B359A"/>
    <w:rsid w:val="009B35B9"/>
    <w:rsid w:val="009B35D2"/>
    <w:rsid w:val="009B35F1"/>
    <w:rsid w:val="009B35F9"/>
    <w:rsid w:val="009B3635"/>
    <w:rsid w:val="009B363F"/>
    <w:rsid w:val="009B364E"/>
    <w:rsid w:val="009B36C7"/>
    <w:rsid w:val="009B374E"/>
    <w:rsid w:val="009B375F"/>
    <w:rsid w:val="009B3762"/>
    <w:rsid w:val="009B3764"/>
    <w:rsid w:val="009B376B"/>
    <w:rsid w:val="009B3777"/>
    <w:rsid w:val="009B37A5"/>
    <w:rsid w:val="009B37D6"/>
    <w:rsid w:val="009B37FD"/>
    <w:rsid w:val="009B3802"/>
    <w:rsid w:val="009B3830"/>
    <w:rsid w:val="009B383B"/>
    <w:rsid w:val="009B384F"/>
    <w:rsid w:val="009B386A"/>
    <w:rsid w:val="009B3878"/>
    <w:rsid w:val="009B3959"/>
    <w:rsid w:val="009B3997"/>
    <w:rsid w:val="009B39BC"/>
    <w:rsid w:val="009B39F9"/>
    <w:rsid w:val="009B39FF"/>
    <w:rsid w:val="009B3A0F"/>
    <w:rsid w:val="009B3A3D"/>
    <w:rsid w:val="009B3B07"/>
    <w:rsid w:val="009B3B33"/>
    <w:rsid w:val="009B3B52"/>
    <w:rsid w:val="009B3B79"/>
    <w:rsid w:val="009B3BAC"/>
    <w:rsid w:val="009B3BC9"/>
    <w:rsid w:val="009B3BF9"/>
    <w:rsid w:val="009B3C41"/>
    <w:rsid w:val="009B3CEF"/>
    <w:rsid w:val="009B3D12"/>
    <w:rsid w:val="009B3D27"/>
    <w:rsid w:val="009B3D4F"/>
    <w:rsid w:val="009B3D65"/>
    <w:rsid w:val="009B3D75"/>
    <w:rsid w:val="009B3D7A"/>
    <w:rsid w:val="009B3D7C"/>
    <w:rsid w:val="009B3D7F"/>
    <w:rsid w:val="009B3D84"/>
    <w:rsid w:val="009B3DC6"/>
    <w:rsid w:val="009B3DFF"/>
    <w:rsid w:val="009B3E1D"/>
    <w:rsid w:val="009B3E35"/>
    <w:rsid w:val="009B3E47"/>
    <w:rsid w:val="009B3E4B"/>
    <w:rsid w:val="009B3E63"/>
    <w:rsid w:val="009B3EA0"/>
    <w:rsid w:val="009B3EA6"/>
    <w:rsid w:val="009B3EDA"/>
    <w:rsid w:val="009B3F68"/>
    <w:rsid w:val="009B3F6E"/>
    <w:rsid w:val="009B3FB6"/>
    <w:rsid w:val="009B3FC8"/>
    <w:rsid w:val="009B3FD3"/>
    <w:rsid w:val="009B405A"/>
    <w:rsid w:val="009B4068"/>
    <w:rsid w:val="009B4074"/>
    <w:rsid w:val="009B40DB"/>
    <w:rsid w:val="009B40E0"/>
    <w:rsid w:val="009B4112"/>
    <w:rsid w:val="009B416D"/>
    <w:rsid w:val="009B41C4"/>
    <w:rsid w:val="009B41C9"/>
    <w:rsid w:val="009B41D5"/>
    <w:rsid w:val="009B41F1"/>
    <w:rsid w:val="009B4250"/>
    <w:rsid w:val="009B42B9"/>
    <w:rsid w:val="009B42C4"/>
    <w:rsid w:val="009B42DE"/>
    <w:rsid w:val="009B42F1"/>
    <w:rsid w:val="009B4302"/>
    <w:rsid w:val="009B431E"/>
    <w:rsid w:val="009B4324"/>
    <w:rsid w:val="009B432B"/>
    <w:rsid w:val="009B4331"/>
    <w:rsid w:val="009B4358"/>
    <w:rsid w:val="009B4379"/>
    <w:rsid w:val="009B43C1"/>
    <w:rsid w:val="009B43D9"/>
    <w:rsid w:val="009B43EE"/>
    <w:rsid w:val="009B4407"/>
    <w:rsid w:val="009B440D"/>
    <w:rsid w:val="009B446F"/>
    <w:rsid w:val="009B44CD"/>
    <w:rsid w:val="009B44EF"/>
    <w:rsid w:val="009B4503"/>
    <w:rsid w:val="009B4509"/>
    <w:rsid w:val="009B451D"/>
    <w:rsid w:val="009B4522"/>
    <w:rsid w:val="009B452C"/>
    <w:rsid w:val="009B453C"/>
    <w:rsid w:val="009B4600"/>
    <w:rsid w:val="009B4613"/>
    <w:rsid w:val="009B4622"/>
    <w:rsid w:val="009B4673"/>
    <w:rsid w:val="009B4679"/>
    <w:rsid w:val="009B46A9"/>
    <w:rsid w:val="009B46AA"/>
    <w:rsid w:val="009B46E1"/>
    <w:rsid w:val="009B46FA"/>
    <w:rsid w:val="009B4705"/>
    <w:rsid w:val="009B4708"/>
    <w:rsid w:val="009B4717"/>
    <w:rsid w:val="009B4720"/>
    <w:rsid w:val="009B472C"/>
    <w:rsid w:val="009B4745"/>
    <w:rsid w:val="009B474B"/>
    <w:rsid w:val="009B4758"/>
    <w:rsid w:val="009B47AB"/>
    <w:rsid w:val="009B4825"/>
    <w:rsid w:val="009B4835"/>
    <w:rsid w:val="009B483D"/>
    <w:rsid w:val="009B484B"/>
    <w:rsid w:val="009B4853"/>
    <w:rsid w:val="009B488C"/>
    <w:rsid w:val="009B48CC"/>
    <w:rsid w:val="009B48D2"/>
    <w:rsid w:val="009B491A"/>
    <w:rsid w:val="009B494B"/>
    <w:rsid w:val="009B494D"/>
    <w:rsid w:val="009B495B"/>
    <w:rsid w:val="009B4987"/>
    <w:rsid w:val="009B49EC"/>
    <w:rsid w:val="009B4A19"/>
    <w:rsid w:val="009B4A42"/>
    <w:rsid w:val="009B4A4B"/>
    <w:rsid w:val="009B4AAA"/>
    <w:rsid w:val="009B4ACB"/>
    <w:rsid w:val="009B4B08"/>
    <w:rsid w:val="009B4B4C"/>
    <w:rsid w:val="009B4B78"/>
    <w:rsid w:val="009B4B9D"/>
    <w:rsid w:val="009B4C39"/>
    <w:rsid w:val="009B4C54"/>
    <w:rsid w:val="009B4C67"/>
    <w:rsid w:val="009B4CA9"/>
    <w:rsid w:val="009B4CC6"/>
    <w:rsid w:val="009B4CC7"/>
    <w:rsid w:val="009B4CF5"/>
    <w:rsid w:val="009B4D9A"/>
    <w:rsid w:val="009B4DA5"/>
    <w:rsid w:val="009B4DA9"/>
    <w:rsid w:val="009B4DAE"/>
    <w:rsid w:val="009B4DC4"/>
    <w:rsid w:val="009B4E1F"/>
    <w:rsid w:val="009B4E2C"/>
    <w:rsid w:val="009B4E56"/>
    <w:rsid w:val="009B4E7C"/>
    <w:rsid w:val="009B4F15"/>
    <w:rsid w:val="009B4F48"/>
    <w:rsid w:val="009B4FDD"/>
    <w:rsid w:val="009B502D"/>
    <w:rsid w:val="009B5032"/>
    <w:rsid w:val="009B5039"/>
    <w:rsid w:val="009B50D7"/>
    <w:rsid w:val="009B50EE"/>
    <w:rsid w:val="009B512C"/>
    <w:rsid w:val="009B5148"/>
    <w:rsid w:val="009B514C"/>
    <w:rsid w:val="009B5170"/>
    <w:rsid w:val="009B5187"/>
    <w:rsid w:val="009B518F"/>
    <w:rsid w:val="009B51A1"/>
    <w:rsid w:val="009B51E5"/>
    <w:rsid w:val="009B520F"/>
    <w:rsid w:val="009B5220"/>
    <w:rsid w:val="009B523B"/>
    <w:rsid w:val="009B524E"/>
    <w:rsid w:val="009B525E"/>
    <w:rsid w:val="009B52A2"/>
    <w:rsid w:val="009B52AB"/>
    <w:rsid w:val="009B52AD"/>
    <w:rsid w:val="009B52B6"/>
    <w:rsid w:val="009B52B7"/>
    <w:rsid w:val="009B52E0"/>
    <w:rsid w:val="009B52E7"/>
    <w:rsid w:val="009B52F0"/>
    <w:rsid w:val="009B52F4"/>
    <w:rsid w:val="009B52F5"/>
    <w:rsid w:val="009B5373"/>
    <w:rsid w:val="009B53BD"/>
    <w:rsid w:val="009B53DC"/>
    <w:rsid w:val="009B53E5"/>
    <w:rsid w:val="009B5440"/>
    <w:rsid w:val="009B5443"/>
    <w:rsid w:val="009B54A1"/>
    <w:rsid w:val="009B54E0"/>
    <w:rsid w:val="009B54F2"/>
    <w:rsid w:val="009B54F9"/>
    <w:rsid w:val="009B5500"/>
    <w:rsid w:val="009B553F"/>
    <w:rsid w:val="009B5549"/>
    <w:rsid w:val="009B5586"/>
    <w:rsid w:val="009B55FF"/>
    <w:rsid w:val="009B5649"/>
    <w:rsid w:val="009B5698"/>
    <w:rsid w:val="009B56CE"/>
    <w:rsid w:val="009B56D9"/>
    <w:rsid w:val="009B56EA"/>
    <w:rsid w:val="009B56EC"/>
    <w:rsid w:val="009B5714"/>
    <w:rsid w:val="009B5722"/>
    <w:rsid w:val="009B5735"/>
    <w:rsid w:val="009B5762"/>
    <w:rsid w:val="009B576C"/>
    <w:rsid w:val="009B5771"/>
    <w:rsid w:val="009B57B0"/>
    <w:rsid w:val="009B57BD"/>
    <w:rsid w:val="009B57BF"/>
    <w:rsid w:val="009B57C6"/>
    <w:rsid w:val="009B57D5"/>
    <w:rsid w:val="009B5811"/>
    <w:rsid w:val="009B5835"/>
    <w:rsid w:val="009B584A"/>
    <w:rsid w:val="009B5863"/>
    <w:rsid w:val="009B5870"/>
    <w:rsid w:val="009B5881"/>
    <w:rsid w:val="009B58B3"/>
    <w:rsid w:val="009B58B5"/>
    <w:rsid w:val="009B58B7"/>
    <w:rsid w:val="009B58EA"/>
    <w:rsid w:val="009B58FE"/>
    <w:rsid w:val="009B5923"/>
    <w:rsid w:val="009B5941"/>
    <w:rsid w:val="009B5953"/>
    <w:rsid w:val="009B5959"/>
    <w:rsid w:val="009B5970"/>
    <w:rsid w:val="009B59B3"/>
    <w:rsid w:val="009B59D0"/>
    <w:rsid w:val="009B59D5"/>
    <w:rsid w:val="009B59E8"/>
    <w:rsid w:val="009B59F0"/>
    <w:rsid w:val="009B5A19"/>
    <w:rsid w:val="009B5A3A"/>
    <w:rsid w:val="009B5A3C"/>
    <w:rsid w:val="009B5A42"/>
    <w:rsid w:val="009B5A4A"/>
    <w:rsid w:val="009B5A69"/>
    <w:rsid w:val="009B5A6E"/>
    <w:rsid w:val="009B5A77"/>
    <w:rsid w:val="009B5A89"/>
    <w:rsid w:val="009B5ABD"/>
    <w:rsid w:val="009B5AD2"/>
    <w:rsid w:val="009B5B10"/>
    <w:rsid w:val="009B5B5D"/>
    <w:rsid w:val="009B5BA3"/>
    <w:rsid w:val="009B5BB8"/>
    <w:rsid w:val="009B5BEE"/>
    <w:rsid w:val="009B5BF2"/>
    <w:rsid w:val="009B5C43"/>
    <w:rsid w:val="009B5C4B"/>
    <w:rsid w:val="009B5C99"/>
    <w:rsid w:val="009B5CAB"/>
    <w:rsid w:val="009B5CCD"/>
    <w:rsid w:val="009B5CDF"/>
    <w:rsid w:val="009B5CF1"/>
    <w:rsid w:val="009B5D0B"/>
    <w:rsid w:val="009B5D0E"/>
    <w:rsid w:val="009B5D20"/>
    <w:rsid w:val="009B5D37"/>
    <w:rsid w:val="009B5D7D"/>
    <w:rsid w:val="009B5D97"/>
    <w:rsid w:val="009B5DAC"/>
    <w:rsid w:val="009B5DDA"/>
    <w:rsid w:val="009B5E29"/>
    <w:rsid w:val="009B5E3F"/>
    <w:rsid w:val="009B5E79"/>
    <w:rsid w:val="009B5E95"/>
    <w:rsid w:val="009B5EB7"/>
    <w:rsid w:val="009B5F12"/>
    <w:rsid w:val="009B5F34"/>
    <w:rsid w:val="009B5F5D"/>
    <w:rsid w:val="009B5FAF"/>
    <w:rsid w:val="009B5FD3"/>
    <w:rsid w:val="009B5FD4"/>
    <w:rsid w:val="009B5FF1"/>
    <w:rsid w:val="009B6009"/>
    <w:rsid w:val="009B6056"/>
    <w:rsid w:val="009B606F"/>
    <w:rsid w:val="009B6080"/>
    <w:rsid w:val="009B6085"/>
    <w:rsid w:val="009B60CE"/>
    <w:rsid w:val="009B6152"/>
    <w:rsid w:val="009B6191"/>
    <w:rsid w:val="009B6197"/>
    <w:rsid w:val="009B61C0"/>
    <w:rsid w:val="009B6216"/>
    <w:rsid w:val="009B621F"/>
    <w:rsid w:val="009B6271"/>
    <w:rsid w:val="009B62A5"/>
    <w:rsid w:val="009B62B8"/>
    <w:rsid w:val="009B6303"/>
    <w:rsid w:val="009B633E"/>
    <w:rsid w:val="009B634A"/>
    <w:rsid w:val="009B6370"/>
    <w:rsid w:val="009B638C"/>
    <w:rsid w:val="009B63AD"/>
    <w:rsid w:val="009B63EA"/>
    <w:rsid w:val="009B642B"/>
    <w:rsid w:val="009B642D"/>
    <w:rsid w:val="009B6453"/>
    <w:rsid w:val="009B6459"/>
    <w:rsid w:val="009B6465"/>
    <w:rsid w:val="009B647D"/>
    <w:rsid w:val="009B64CF"/>
    <w:rsid w:val="009B64FE"/>
    <w:rsid w:val="009B6518"/>
    <w:rsid w:val="009B657A"/>
    <w:rsid w:val="009B657B"/>
    <w:rsid w:val="009B6591"/>
    <w:rsid w:val="009B65F2"/>
    <w:rsid w:val="009B6612"/>
    <w:rsid w:val="009B6648"/>
    <w:rsid w:val="009B667F"/>
    <w:rsid w:val="009B66A8"/>
    <w:rsid w:val="009B66B4"/>
    <w:rsid w:val="009B66D8"/>
    <w:rsid w:val="009B670C"/>
    <w:rsid w:val="009B671E"/>
    <w:rsid w:val="009B6734"/>
    <w:rsid w:val="009B67A5"/>
    <w:rsid w:val="009B67AF"/>
    <w:rsid w:val="009B67D4"/>
    <w:rsid w:val="009B67DC"/>
    <w:rsid w:val="009B6821"/>
    <w:rsid w:val="009B6915"/>
    <w:rsid w:val="009B6919"/>
    <w:rsid w:val="009B697D"/>
    <w:rsid w:val="009B6988"/>
    <w:rsid w:val="009B698E"/>
    <w:rsid w:val="009B6A01"/>
    <w:rsid w:val="009B6A18"/>
    <w:rsid w:val="009B6AC9"/>
    <w:rsid w:val="009B6ACD"/>
    <w:rsid w:val="009B6AE6"/>
    <w:rsid w:val="009B6B09"/>
    <w:rsid w:val="009B6B25"/>
    <w:rsid w:val="009B6B29"/>
    <w:rsid w:val="009B6B2C"/>
    <w:rsid w:val="009B6B45"/>
    <w:rsid w:val="009B6B9C"/>
    <w:rsid w:val="009B6BAE"/>
    <w:rsid w:val="009B6BE5"/>
    <w:rsid w:val="009B6C0E"/>
    <w:rsid w:val="009B6C4E"/>
    <w:rsid w:val="009B6C5B"/>
    <w:rsid w:val="009B6C79"/>
    <w:rsid w:val="009B6C9A"/>
    <w:rsid w:val="009B6CFA"/>
    <w:rsid w:val="009B6D77"/>
    <w:rsid w:val="009B6DF7"/>
    <w:rsid w:val="009B6E45"/>
    <w:rsid w:val="009B6E89"/>
    <w:rsid w:val="009B6EB5"/>
    <w:rsid w:val="009B6EE9"/>
    <w:rsid w:val="009B6F06"/>
    <w:rsid w:val="009B6F09"/>
    <w:rsid w:val="009B6F0A"/>
    <w:rsid w:val="009B6F23"/>
    <w:rsid w:val="009B6F35"/>
    <w:rsid w:val="009B6F49"/>
    <w:rsid w:val="009B6F58"/>
    <w:rsid w:val="009B6F7E"/>
    <w:rsid w:val="009B6F8D"/>
    <w:rsid w:val="009B6F8F"/>
    <w:rsid w:val="009B6FD9"/>
    <w:rsid w:val="009B7009"/>
    <w:rsid w:val="009B7012"/>
    <w:rsid w:val="009B701C"/>
    <w:rsid w:val="009B7034"/>
    <w:rsid w:val="009B705E"/>
    <w:rsid w:val="009B70B5"/>
    <w:rsid w:val="009B70C4"/>
    <w:rsid w:val="009B70DA"/>
    <w:rsid w:val="009B70F1"/>
    <w:rsid w:val="009B71FE"/>
    <w:rsid w:val="009B720D"/>
    <w:rsid w:val="009B7291"/>
    <w:rsid w:val="009B7297"/>
    <w:rsid w:val="009B72C5"/>
    <w:rsid w:val="009B72C9"/>
    <w:rsid w:val="009B72D8"/>
    <w:rsid w:val="009B72DD"/>
    <w:rsid w:val="009B7323"/>
    <w:rsid w:val="009B732E"/>
    <w:rsid w:val="009B7333"/>
    <w:rsid w:val="009B735F"/>
    <w:rsid w:val="009B737E"/>
    <w:rsid w:val="009B7388"/>
    <w:rsid w:val="009B73B6"/>
    <w:rsid w:val="009B73BF"/>
    <w:rsid w:val="009B742E"/>
    <w:rsid w:val="009B7478"/>
    <w:rsid w:val="009B74D3"/>
    <w:rsid w:val="009B74EB"/>
    <w:rsid w:val="009B74EC"/>
    <w:rsid w:val="009B751D"/>
    <w:rsid w:val="009B75B9"/>
    <w:rsid w:val="009B75CD"/>
    <w:rsid w:val="009B75DC"/>
    <w:rsid w:val="009B7616"/>
    <w:rsid w:val="009B764E"/>
    <w:rsid w:val="009B7652"/>
    <w:rsid w:val="009B76A0"/>
    <w:rsid w:val="009B76C6"/>
    <w:rsid w:val="009B772C"/>
    <w:rsid w:val="009B774E"/>
    <w:rsid w:val="009B775A"/>
    <w:rsid w:val="009B7775"/>
    <w:rsid w:val="009B77E8"/>
    <w:rsid w:val="009B77F3"/>
    <w:rsid w:val="009B788A"/>
    <w:rsid w:val="009B78F8"/>
    <w:rsid w:val="009B7909"/>
    <w:rsid w:val="009B790A"/>
    <w:rsid w:val="009B795B"/>
    <w:rsid w:val="009B795C"/>
    <w:rsid w:val="009B796C"/>
    <w:rsid w:val="009B7971"/>
    <w:rsid w:val="009B79A7"/>
    <w:rsid w:val="009B79B7"/>
    <w:rsid w:val="009B7A12"/>
    <w:rsid w:val="009B7A4C"/>
    <w:rsid w:val="009B7A57"/>
    <w:rsid w:val="009B7A6E"/>
    <w:rsid w:val="009B7A7A"/>
    <w:rsid w:val="009B7A82"/>
    <w:rsid w:val="009B7A8C"/>
    <w:rsid w:val="009B7A90"/>
    <w:rsid w:val="009B7A95"/>
    <w:rsid w:val="009B7AB8"/>
    <w:rsid w:val="009B7AE1"/>
    <w:rsid w:val="009B7B5F"/>
    <w:rsid w:val="009B7BB7"/>
    <w:rsid w:val="009B7BBC"/>
    <w:rsid w:val="009B7BCA"/>
    <w:rsid w:val="009B7BE0"/>
    <w:rsid w:val="009B7BF3"/>
    <w:rsid w:val="009B7BFA"/>
    <w:rsid w:val="009B7C0C"/>
    <w:rsid w:val="009B7C1D"/>
    <w:rsid w:val="009B7C3A"/>
    <w:rsid w:val="009B7C40"/>
    <w:rsid w:val="009B7C52"/>
    <w:rsid w:val="009B7C98"/>
    <w:rsid w:val="009B7C9B"/>
    <w:rsid w:val="009B7CC9"/>
    <w:rsid w:val="009B7D30"/>
    <w:rsid w:val="009B7D70"/>
    <w:rsid w:val="009B7DDD"/>
    <w:rsid w:val="009B7DF9"/>
    <w:rsid w:val="009B7E00"/>
    <w:rsid w:val="009B7E1B"/>
    <w:rsid w:val="009B7E3C"/>
    <w:rsid w:val="009B7E4D"/>
    <w:rsid w:val="009B7E61"/>
    <w:rsid w:val="009B7E77"/>
    <w:rsid w:val="009B7E81"/>
    <w:rsid w:val="009B7E83"/>
    <w:rsid w:val="009B7E9E"/>
    <w:rsid w:val="009B7EBC"/>
    <w:rsid w:val="009B7EEF"/>
    <w:rsid w:val="009B7F04"/>
    <w:rsid w:val="009B7FA3"/>
    <w:rsid w:val="009B7FD0"/>
    <w:rsid w:val="009B7FF9"/>
    <w:rsid w:val="009C0033"/>
    <w:rsid w:val="009C0042"/>
    <w:rsid w:val="009C0061"/>
    <w:rsid w:val="009C0067"/>
    <w:rsid w:val="009C0078"/>
    <w:rsid w:val="009C00E7"/>
    <w:rsid w:val="009C00F0"/>
    <w:rsid w:val="009C00FD"/>
    <w:rsid w:val="009C0146"/>
    <w:rsid w:val="009C018F"/>
    <w:rsid w:val="009C01F0"/>
    <w:rsid w:val="009C0200"/>
    <w:rsid w:val="009C022C"/>
    <w:rsid w:val="009C0258"/>
    <w:rsid w:val="009C025F"/>
    <w:rsid w:val="009C0283"/>
    <w:rsid w:val="009C029F"/>
    <w:rsid w:val="009C02A6"/>
    <w:rsid w:val="009C02AA"/>
    <w:rsid w:val="009C02CD"/>
    <w:rsid w:val="009C02FD"/>
    <w:rsid w:val="009C0314"/>
    <w:rsid w:val="009C037E"/>
    <w:rsid w:val="009C03F3"/>
    <w:rsid w:val="009C03FA"/>
    <w:rsid w:val="009C03FF"/>
    <w:rsid w:val="009C0425"/>
    <w:rsid w:val="009C042D"/>
    <w:rsid w:val="009C0433"/>
    <w:rsid w:val="009C048D"/>
    <w:rsid w:val="009C048F"/>
    <w:rsid w:val="009C04AB"/>
    <w:rsid w:val="009C04B2"/>
    <w:rsid w:val="009C04B5"/>
    <w:rsid w:val="009C054C"/>
    <w:rsid w:val="009C056B"/>
    <w:rsid w:val="009C0583"/>
    <w:rsid w:val="009C0627"/>
    <w:rsid w:val="009C0670"/>
    <w:rsid w:val="009C0690"/>
    <w:rsid w:val="009C0720"/>
    <w:rsid w:val="009C0764"/>
    <w:rsid w:val="009C07A3"/>
    <w:rsid w:val="009C0810"/>
    <w:rsid w:val="009C0811"/>
    <w:rsid w:val="009C0824"/>
    <w:rsid w:val="009C0851"/>
    <w:rsid w:val="009C08D2"/>
    <w:rsid w:val="009C08F2"/>
    <w:rsid w:val="009C0944"/>
    <w:rsid w:val="009C09AD"/>
    <w:rsid w:val="009C0A19"/>
    <w:rsid w:val="009C0A22"/>
    <w:rsid w:val="009C0A32"/>
    <w:rsid w:val="009C0A54"/>
    <w:rsid w:val="009C0A6C"/>
    <w:rsid w:val="009C0A7C"/>
    <w:rsid w:val="009C0A7D"/>
    <w:rsid w:val="009C0A7F"/>
    <w:rsid w:val="009C0A89"/>
    <w:rsid w:val="009C0AA5"/>
    <w:rsid w:val="009C0AF0"/>
    <w:rsid w:val="009C0B03"/>
    <w:rsid w:val="009C0B25"/>
    <w:rsid w:val="009C0BA5"/>
    <w:rsid w:val="009C0CAD"/>
    <w:rsid w:val="009C0CB9"/>
    <w:rsid w:val="009C0CE3"/>
    <w:rsid w:val="009C0D08"/>
    <w:rsid w:val="009C0D2A"/>
    <w:rsid w:val="009C0D3D"/>
    <w:rsid w:val="009C0D5D"/>
    <w:rsid w:val="009C0D96"/>
    <w:rsid w:val="009C0DDD"/>
    <w:rsid w:val="009C0E57"/>
    <w:rsid w:val="009C0EB8"/>
    <w:rsid w:val="009C0EC0"/>
    <w:rsid w:val="009C0F01"/>
    <w:rsid w:val="009C0F61"/>
    <w:rsid w:val="009C0FBD"/>
    <w:rsid w:val="009C0FDA"/>
    <w:rsid w:val="009C1007"/>
    <w:rsid w:val="009C103F"/>
    <w:rsid w:val="009C1068"/>
    <w:rsid w:val="009C109D"/>
    <w:rsid w:val="009C10A7"/>
    <w:rsid w:val="009C10A9"/>
    <w:rsid w:val="009C118A"/>
    <w:rsid w:val="009C11C1"/>
    <w:rsid w:val="009C11FF"/>
    <w:rsid w:val="009C120F"/>
    <w:rsid w:val="009C1232"/>
    <w:rsid w:val="009C1244"/>
    <w:rsid w:val="009C1287"/>
    <w:rsid w:val="009C1314"/>
    <w:rsid w:val="009C1334"/>
    <w:rsid w:val="009C1342"/>
    <w:rsid w:val="009C1360"/>
    <w:rsid w:val="009C137C"/>
    <w:rsid w:val="009C1380"/>
    <w:rsid w:val="009C1397"/>
    <w:rsid w:val="009C13AE"/>
    <w:rsid w:val="009C13B6"/>
    <w:rsid w:val="009C1411"/>
    <w:rsid w:val="009C1412"/>
    <w:rsid w:val="009C144F"/>
    <w:rsid w:val="009C14AB"/>
    <w:rsid w:val="009C14C8"/>
    <w:rsid w:val="009C14DA"/>
    <w:rsid w:val="009C14E6"/>
    <w:rsid w:val="009C1513"/>
    <w:rsid w:val="009C1559"/>
    <w:rsid w:val="009C1560"/>
    <w:rsid w:val="009C158D"/>
    <w:rsid w:val="009C15B1"/>
    <w:rsid w:val="009C15D1"/>
    <w:rsid w:val="009C15D6"/>
    <w:rsid w:val="009C15D9"/>
    <w:rsid w:val="009C15EF"/>
    <w:rsid w:val="009C1628"/>
    <w:rsid w:val="009C1637"/>
    <w:rsid w:val="009C1639"/>
    <w:rsid w:val="009C1654"/>
    <w:rsid w:val="009C1659"/>
    <w:rsid w:val="009C166F"/>
    <w:rsid w:val="009C16FE"/>
    <w:rsid w:val="009C172A"/>
    <w:rsid w:val="009C1737"/>
    <w:rsid w:val="009C177E"/>
    <w:rsid w:val="009C179D"/>
    <w:rsid w:val="009C17AE"/>
    <w:rsid w:val="009C17C4"/>
    <w:rsid w:val="009C1828"/>
    <w:rsid w:val="009C1863"/>
    <w:rsid w:val="009C186D"/>
    <w:rsid w:val="009C187E"/>
    <w:rsid w:val="009C189A"/>
    <w:rsid w:val="009C18AC"/>
    <w:rsid w:val="009C18C3"/>
    <w:rsid w:val="009C1907"/>
    <w:rsid w:val="009C1925"/>
    <w:rsid w:val="009C1932"/>
    <w:rsid w:val="009C193C"/>
    <w:rsid w:val="009C1940"/>
    <w:rsid w:val="009C1957"/>
    <w:rsid w:val="009C19A5"/>
    <w:rsid w:val="009C19B1"/>
    <w:rsid w:val="009C19E8"/>
    <w:rsid w:val="009C19F5"/>
    <w:rsid w:val="009C1A11"/>
    <w:rsid w:val="009C1AB2"/>
    <w:rsid w:val="009C1ACA"/>
    <w:rsid w:val="009C1AED"/>
    <w:rsid w:val="009C1B16"/>
    <w:rsid w:val="009C1B23"/>
    <w:rsid w:val="009C1B29"/>
    <w:rsid w:val="009C1B57"/>
    <w:rsid w:val="009C1B7C"/>
    <w:rsid w:val="009C1B9B"/>
    <w:rsid w:val="009C1BE4"/>
    <w:rsid w:val="009C1BEC"/>
    <w:rsid w:val="009C1C68"/>
    <w:rsid w:val="009C1C72"/>
    <w:rsid w:val="009C1C90"/>
    <w:rsid w:val="009C1CA0"/>
    <w:rsid w:val="009C1CC9"/>
    <w:rsid w:val="009C1CFE"/>
    <w:rsid w:val="009C1D0F"/>
    <w:rsid w:val="009C1D33"/>
    <w:rsid w:val="009C1D42"/>
    <w:rsid w:val="009C1D80"/>
    <w:rsid w:val="009C1D86"/>
    <w:rsid w:val="009C1DAE"/>
    <w:rsid w:val="009C1DEC"/>
    <w:rsid w:val="009C1E0E"/>
    <w:rsid w:val="009C1E68"/>
    <w:rsid w:val="009C1E82"/>
    <w:rsid w:val="009C1EAF"/>
    <w:rsid w:val="009C1EF5"/>
    <w:rsid w:val="009C1F43"/>
    <w:rsid w:val="009C1FA7"/>
    <w:rsid w:val="009C1FBE"/>
    <w:rsid w:val="009C200A"/>
    <w:rsid w:val="009C2018"/>
    <w:rsid w:val="009C2032"/>
    <w:rsid w:val="009C203F"/>
    <w:rsid w:val="009C20CD"/>
    <w:rsid w:val="009C20FD"/>
    <w:rsid w:val="009C20FF"/>
    <w:rsid w:val="009C2103"/>
    <w:rsid w:val="009C2125"/>
    <w:rsid w:val="009C2133"/>
    <w:rsid w:val="009C2146"/>
    <w:rsid w:val="009C2197"/>
    <w:rsid w:val="009C21EF"/>
    <w:rsid w:val="009C21F8"/>
    <w:rsid w:val="009C2206"/>
    <w:rsid w:val="009C220B"/>
    <w:rsid w:val="009C2238"/>
    <w:rsid w:val="009C227B"/>
    <w:rsid w:val="009C227D"/>
    <w:rsid w:val="009C228D"/>
    <w:rsid w:val="009C2294"/>
    <w:rsid w:val="009C229B"/>
    <w:rsid w:val="009C233C"/>
    <w:rsid w:val="009C235B"/>
    <w:rsid w:val="009C23E9"/>
    <w:rsid w:val="009C23F3"/>
    <w:rsid w:val="009C2429"/>
    <w:rsid w:val="009C2445"/>
    <w:rsid w:val="009C246A"/>
    <w:rsid w:val="009C2496"/>
    <w:rsid w:val="009C2499"/>
    <w:rsid w:val="009C24F1"/>
    <w:rsid w:val="009C2525"/>
    <w:rsid w:val="009C254E"/>
    <w:rsid w:val="009C2559"/>
    <w:rsid w:val="009C255C"/>
    <w:rsid w:val="009C2583"/>
    <w:rsid w:val="009C2588"/>
    <w:rsid w:val="009C25C8"/>
    <w:rsid w:val="009C261B"/>
    <w:rsid w:val="009C2651"/>
    <w:rsid w:val="009C266F"/>
    <w:rsid w:val="009C2679"/>
    <w:rsid w:val="009C267B"/>
    <w:rsid w:val="009C268E"/>
    <w:rsid w:val="009C26A2"/>
    <w:rsid w:val="009C26E4"/>
    <w:rsid w:val="009C270D"/>
    <w:rsid w:val="009C2760"/>
    <w:rsid w:val="009C279C"/>
    <w:rsid w:val="009C27D4"/>
    <w:rsid w:val="009C285D"/>
    <w:rsid w:val="009C2865"/>
    <w:rsid w:val="009C286D"/>
    <w:rsid w:val="009C2889"/>
    <w:rsid w:val="009C28B0"/>
    <w:rsid w:val="009C28C5"/>
    <w:rsid w:val="009C28DB"/>
    <w:rsid w:val="009C295A"/>
    <w:rsid w:val="009C297D"/>
    <w:rsid w:val="009C29A0"/>
    <w:rsid w:val="009C29B4"/>
    <w:rsid w:val="009C29CF"/>
    <w:rsid w:val="009C29DB"/>
    <w:rsid w:val="009C2A14"/>
    <w:rsid w:val="009C2A8D"/>
    <w:rsid w:val="009C2B10"/>
    <w:rsid w:val="009C2B23"/>
    <w:rsid w:val="009C2B2D"/>
    <w:rsid w:val="009C2B88"/>
    <w:rsid w:val="009C2BAE"/>
    <w:rsid w:val="009C2BFB"/>
    <w:rsid w:val="009C2C0E"/>
    <w:rsid w:val="009C2C42"/>
    <w:rsid w:val="009C2C53"/>
    <w:rsid w:val="009C2C59"/>
    <w:rsid w:val="009C2C74"/>
    <w:rsid w:val="009C2C7A"/>
    <w:rsid w:val="009C2CA1"/>
    <w:rsid w:val="009C2CB0"/>
    <w:rsid w:val="009C2D56"/>
    <w:rsid w:val="009C2D6A"/>
    <w:rsid w:val="009C2D81"/>
    <w:rsid w:val="009C2D9C"/>
    <w:rsid w:val="009C2DA0"/>
    <w:rsid w:val="009C2DB1"/>
    <w:rsid w:val="009C2DBA"/>
    <w:rsid w:val="009C2DCC"/>
    <w:rsid w:val="009C2E40"/>
    <w:rsid w:val="009C2E66"/>
    <w:rsid w:val="009C2E9A"/>
    <w:rsid w:val="009C2EA0"/>
    <w:rsid w:val="009C2EBB"/>
    <w:rsid w:val="009C2ECA"/>
    <w:rsid w:val="009C2F3B"/>
    <w:rsid w:val="009C2FB6"/>
    <w:rsid w:val="009C2FC0"/>
    <w:rsid w:val="009C2FE1"/>
    <w:rsid w:val="009C2FED"/>
    <w:rsid w:val="009C305D"/>
    <w:rsid w:val="009C3074"/>
    <w:rsid w:val="009C30E5"/>
    <w:rsid w:val="009C30EF"/>
    <w:rsid w:val="009C30F4"/>
    <w:rsid w:val="009C3119"/>
    <w:rsid w:val="009C3128"/>
    <w:rsid w:val="009C3140"/>
    <w:rsid w:val="009C3141"/>
    <w:rsid w:val="009C3154"/>
    <w:rsid w:val="009C3174"/>
    <w:rsid w:val="009C318C"/>
    <w:rsid w:val="009C31F5"/>
    <w:rsid w:val="009C31F6"/>
    <w:rsid w:val="009C3206"/>
    <w:rsid w:val="009C3207"/>
    <w:rsid w:val="009C320E"/>
    <w:rsid w:val="009C3244"/>
    <w:rsid w:val="009C327D"/>
    <w:rsid w:val="009C3283"/>
    <w:rsid w:val="009C3285"/>
    <w:rsid w:val="009C32BE"/>
    <w:rsid w:val="009C32D6"/>
    <w:rsid w:val="009C32DC"/>
    <w:rsid w:val="009C3373"/>
    <w:rsid w:val="009C3400"/>
    <w:rsid w:val="009C3437"/>
    <w:rsid w:val="009C344C"/>
    <w:rsid w:val="009C345F"/>
    <w:rsid w:val="009C3460"/>
    <w:rsid w:val="009C346C"/>
    <w:rsid w:val="009C3472"/>
    <w:rsid w:val="009C34C6"/>
    <w:rsid w:val="009C34D8"/>
    <w:rsid w:val="009C3510"/>
    <w:rsid w:val="009C3581"/>
    <w:rsid w:val="009C358B"/>
    <w:rsid w:val="009C35CF"/>
    <w:rsid w:val="009C35E4"/>
    <w:rsid w:val="009C35F4"/>
    <w:rsid w:val="009C3602"/>
    <w:rsid w:val="009C3612"/>
    <w:rsid w:val="009C3617"/>
    <w:rsid w:val="009C363C"/>
    <w:rsid w:val="009C3654"/>
    <w:rsid w:val="009C371A"/>
    <w:rsid w:val="009C3729"/>
    <w:rsid w:val="009C376A"/>
    <w:rsid w:val="009C377F"/>
    <w:rsid w:val="009C37BA"/>
    <w:rsid w:val="009C3812"/>
    <w:rsid w:val="009C3862"/>
    <w:rsid w:val="009C3865"/>
    <w:rsid w:val="009C3867"/>
    <w:rsid w:val="009C386E"/>
    <w:rsid w:val="009C38A1"/>
    <w:rsid w:val="009C3974"/>
    <w:rsid w:val="009C39B8"/>
    <w:rsid w:val="009C39C5"/>
    <w:rsid w:val="009C39D2"/>
    <w:rsid w:val="009C3A13"/>
    <w:rsid w:val="009C3A76"/>
    <w:rsid w:val="009C3B25"/>
    <w:rsid w:val="009C3B51"/>
    <w:rsid w:val="009C3B6B"/>
    <w:rsid w:val="009C3B70"/>
    <w:rsid w:val="009C3B94"/>
    <w:rsid w:val="009C3BD1"/>
    <w:rsid w:val="009C3BEE"/>
    <w:rsid w:val="009C3C30"/>
    <w:rsid w:val="009C3C35"/>
    <w:rsid w:val="009C3C42"/>
    <w:rsid w:val="009C3C43"/>
    <w:rsid w:val="009C3C4B"/>
    <w:rsid w:val="009C3C70"/>
    <w:rsid w:val="009C3C7B"/>
    <w:rsid w:val="009C3C88"/>
    <w:rsid w:val="009C3C8C"/>
    <w:rsid w:val="009C3CB5"/>
    <w:rsid w:val="009C3CC9"/>
    <w:rsid w:val="009C3CCB"/>
    <w:rsid w:val="009C3CDF"/>
    <w:rsid w:val="009C3D11"/>
    <w:rsid w:val="009C3D26"/>
    <w:rsid w:val="009C3D2D"/>
    <w:rsid w:val="009C3D3D"/>
    <w:rsid w:val="009C3D99"/>
    <w:rsid w:val="009C3DA2"/>
    <w:rsid w:val="009C3DBC"/>
    <w:rsid w:val="009C3DDA"/>
    <w:rsid w:val="009C3DFA"/>
    <w:rsid w:val="009C3E25"/>
    <w:rsid w:val="009C3E2C"/>
    <w:rsid w:val="009C3EB0"/>
    <w:rsid w:val="009C3ED2"/>
    <w:rsid w:val="009C3ED6"/>
    <w:rsid w:val="009C3F37"/>
    <w:rsid w:val="009C3F5D"/>
    <w:rsid w:val="009C3FA8"/>
    <w:rsid w:val="009C3FBE"/>
    <w:rsid w:val="009C3FE0"/>
    <w:rsid w:val="009C3FE7"/>
    <w:rsid w:val="009C403B"/>
    <w:rsid w:val="009C403F"/>
    <w:rsid w:val="009C405C"/>
    <w:rsid w:val="009C406A"/>
    <w:rsid w:val="009C412B"/>
    <w:rsid w:val="009C4139"/>
    <w:rsid w:val="009C4184"/>
    <w:rsid w:val="009C41EA"/>
    <w:rsid w:val="009C4219"/>
    <w:rsid w:val="009C424A"/>
    <w:rsid w:val="009C426D"/>
    <w:rsid w:val="009C427B"/>
    <w:rsid w:val="009C429D"/>
    <w:rsid w:val="009C42EC"/>
    <w:rsid w:val="009C42F9"/>
    <w:rsid w:val="009C4356"/>
    <w:rsid w:val="009C4358"/>
    <w:rsid w:val="009C4381"/>
    <w:rsid w:val="009C439B"/>
    <w:rsid w:val="009C43A3"/>
    <w:rsid w:val="009C43C6"/>
    <w:rsid w:val="009C43EC"/>
    <w:rsid w:val="009C4417"/>
    <w:rsid w:val="009C4478"/>
    <w:rsid w:val="009C4490"/>
    <w:rsid w:val="009C44DF"/>
    <w:rsid w:val="009C4505"/>
    <w:rsid w:val="009C4541"/>
    <w:rsid w:val="009C455B"/>
    <w:rsid w:val="009C4570"/>
    <w:rsid w:val="009C45C7"/>
    <w:rsid w:val="009C45D3"/>
    <w:rsid w:val="009C45DB"/>
    <w:rsid w:val="009C45DC"/>
    <w:rsid w:val="009C4606"/>
    <w:rsid w:val="009C466C"/>
    <w:rsid w:val="009C46B4"/>
    <w:rsid w:val="009C46F0"/>
    <w:rsid w:val="009C4708"/>
    <w:rsid w:val="009C4778"/>
    <w:rsid w:val="009C479B"/>
    <w:rsid w:val="009C47AC"/>
    <w:rsid w:val="009C47D9"/>
    <w:rsid w:val="009C47F5"/>
    <w:rsid w:val="009C487F"/>
    <w:rsid w:val="009C48E0"/>
    <w:rsid w:val="009C48FB"/>
    <w:rsid w:val="009C4932"/>
    <w:rsid w:val="009C493F"/>
    <w:rsid w:val="009C4944"/>
    <w:rsid w:val="009C4966"/>
    <w:rsid w:val="009C4979"/>
    <w:rsid w:val="009C49E3"/>
    <w:rsid w:val="009C4A1C"/>
    <w:rsid w:val="009C4A41"/>
    <w:rsid w:val="009C4A87"/>
    <w:rsid w:val="009C4A98"/>
    <w:rsid w:val="009C4AA3"/>
    <w:rsid w:val="009C4AF0"/>
    <w:rsid w:val="009C4AF5"/>
    <w:rsid w:val="009C4B2A"/>
    <w:rsid w:val="009C4B8E"/>
    <w:rsid w:val="009C4BB1"/>
    <w:rsid w:val="009C4BE0"/>
    <w:rsid w:val="009C4C47"/>
    <w:rsid w:val="009C4C5F"/>
    <w:rsid w:val="009C4C80"/>
    <w:rsid w:val="009C4C9F"/>
    <w:rsid w:val="009C4CA9"/>
    <w:rsid w:val="009C4CD0"/>
    <w:rsid w:val="009C4D44"/>
    <w:rsid w:val="009C4D66"/>
    <w:rsid w:val="009C4D77"/>
    <w:rsid w:val="009C4D83"/>
    <w:rsid w:val="009C4D98"/>
    <w:rsid w:val="009C4D99"/>
    <w:rsid w:val="009C4DA0"/>
    <w:rsid w:val="009C4DCF"/>
    <w:rsid w:val="009C4DD4"/>
    <w:rsid w:val="009C4DFD"/>
    <w:rsid w:val="009C4E0D"/>
    <w:rsid w:val="009C4E7D"/>
    <w:rsid w:val="009C4EAC"/>
    <w:rsid w:val="009C4EDC"/>
    <w:rsid w:val="009C4F1A"/>
    <w:rsid w:val="009C4F31"/>
    <w:rsid w:val="009C4F44"/>
    <w:rsid w:val="009C4F4E"/>
    <w:rsid w:val="009C4F54"/>
    <w:rsid w:val="009C4F65"/>
    <w:rsid w:val="009C4F8B"/>
    <w:rsid w:val="009C4FCE"/>
    <w:rsid w:val="009C4FD0"/>
    <w:rsid w:val="009C4FD3"/>
    <w:rsid w:val="009C4FEA"/>
    <w:rsid w:val="009C4FF7"/>
    <w:rsid w:val="009C500B"/>
    <w:rsid w:val="009C5022"/>
    <w:rsid w:val="009C5035"/>
    <w:rsid w:val="009C506F"/>
    <w:rsid w:val="009C507C"/>
    <w:rsid w:val="009C5091"/>
    <w:rsid w:val="009C511D"/>
    <w:rsid w:val="009C5135"/>
    <w:rsid w:val="009C515B"/>
    <w:rsid w:val="009C5162"/>
    <w:rsid w:val="009C5170"/>
    <w:rsid w:val="009C5177"/>
    <w:rsid w:val="009C51AF"/>
    <w:rsid w:val="009C51F1"/>
    <w:rsid w:val="009C5223"/>
    <w:rsid w:val="009C52A0"/>
    <w:rsid w:val="009C5375"/>
    <w:rsid w:val="009C5383"/>
    <w:rsid w:val="009C53C3"/>
    <w:rsid w:val="009C53CD"/>
    <w:rsid w:val="009C53D4"/>
    <w:rsid w:val="009C5435"/>
    <w:rsid w:val="009C5445"/>
    <w:rsid w:val="009C5450"/>
    <w:rsid w:val="009C5483"/>
    <w:rsid w:val="009C5578"/>
    <w:rsid w:val="009C55A6"/>
    <w:rsid w:val="009C55AD"/>
    <w:rsid w:val="009C55B7"/>
    <w:rsid w:val="009C55CF"/>
    <w:rsid w:val="009C55E4"/>
    <w:rsid w:val="009C55F2"/>
    <w:rsid w:val="009C55FE"/>
    <w:rsid w:val="009C5605"/>
    <w:rsid w:val="009C5627"/>
    <w:rsid w:val="009C562E"/>
    <w:rsid w:val="009C5630"/>
    <w:rsid w:val="009C567F"/>
    <w:rsid w:val="009C5695"/>
    <w:rsid w:val="009C56B9"/>
    <w:rsid w:val="009C575F"/>
    <w:rsid w:val="009C57AD"/>
    <w:rsid w:val="009C57CA"/>
    <w:rsid w:val="009C57D4"/>
    <w:rsid w:val="009C57E1"/>
    <w:rsid w:val="009C57EA"/>
    <w:rsid w:val="009C57EB"/>
    <w:rsid w:val="009C5803"/>
    <w:rsid w:val="009C5845"/>
    <w:rsid w:val="009C5849"/>
    <w:rsid w:val="009C5873"/>
    <w:rsid w:val="009C5874"/>
    <w:rsid w:val="009C587D"/>
    <w:rsid w:val="009C58CD"/>
    <w:rsid w:val="009C58D1"/>
    <w:rsid w:val="009C58F5"/>
    <w:rsid w:val="009C591D"/>
    <w:rsid w:val="009C59BC"/>
    <w:rsid w:val="009C59D0"/>
    <w:rsid w:val="009C5A2E"/>
    <w:rsid w:val="009C5A76"/>
    <w:rsid w:val="009C5AC6"/>
    <w:rsid w:val="009C5B1B"/>
    <w:rsid w:val="009C5B5C"/>
    <w:rsid w:val="009C5B9E"/>
    <w:rsid w:val="009C5BEC"/>
    <w:rsid w:val="009C5BF2"/>
    <w:rsid w:val="009C5BFA"/>
    <w:rsid w:val="009C5C05"/>
    <w:rsid w:val="009C5C69"/>
    <w:rsid w:val="009C5CD5"/>
    <w:rsid w:val="009C5CE2"/>
    <w:rsid w:val="009C5CE7"/>
    <w:rsid w:val="009C5D62"/>
    <w:rsid w:val="009C5D67"/>
    <w:rsid w:val="009C5DB0"/>
    <w:rsid w:val="009C5E20"/>
    <w:rsid w:val="009C5E35"/>
    <w:rsid w:val="009C5E6C"/>
    <w:rsid w:val="009C5EF0"/>
    <w:rsid w:val="009C5F02"/>
    <w:rsid w:val="009C5F46"/>
    <w:rsid w:val="009C5F62"/>
    <w:rsid w:val="009C5FAE"/>
    <w:rsid w:val="009C5FB2"/>
    <w:rsid w:val="009C5FB5"/>
    <w:rsid w:val="009C5FEE"/>
    <w:rsid w:val="009C6018"/>
    <w:rsid w:val="009C6034"/>
    <w:rsid w:val="009C603B"/>
    <w:rsid w:val="009C60A8"/>
    <w:rsid w:val="009C60B1"/>
    <w:rsid w:val="009C60DB"/>
    <w:rsid w:val="009C60F5"/>
    <w:rsid w:val="009C60FF"/>
    <w:rsid w:val="009C6106"/>
    <w:rsid w:val="009C6127"/>
    <w:rsid w:val="009C6130"/>
    <w:rsid w:val="009C6138"/>
    <w:rsid w:val="009C6165"/>
    <w:rsid w:val="009C61A9"/>
    <w:rsid w:val="009C620E"/>
    <w:rsid w:val="009C6215"/>
    <w:rsid w:val="009C621B"/>
    <w:rsid w:val="009C625B"/>
    <w:rsid w:val="009C6269"/>
    <w:rsid w:val="009C6286"/>
    <w:rsid w:val="009C6327"/>
    <w:rsid w:val="009C6349"/>
    <w:rsid w:val="009C63CD"/>
    <w:rsid w:val="009C63D2"/>
    <w:rsid w:val="009C63D4"/>
    <w:rsid w:val="009C63E8"/>
    <w:rsid w:val="009C6417"/>
    <w:rsid w:val="009C6428"/>
    <w:rsid w:val="009C6463"/>
    <w:rsid w:val="009C646B"/>
    <w:rsid w:val="009C648B"/>
    <w:rsid w:val="009C64CA"/>
    <w:rsid w:val="009C6503"/>
    <w:rsid w:val="009C6528"/>
    <w:rsid w:val="009C6535"/>
    <w:rsid w:val="009C655C"/>
    <w:rsid w:val="009C6571"/>
    <w:rsid w:val="009C659F"/>
    <w:rsid w:val="009C65DC"/>
    <w:rsid w:val="009C65E1"/>
    <w:rsid w:val="009C65EC"/>
    <w:rsid w:val="009C6619"/>
    <w:rsid w:val="009C6637"/>
    <w:rsid w:val="009C6646"/>
    <w:rsid w:val="009C665A"/>
    <w:rsid w:val="009C6676"/>
    <w:rsid w:val="009C66A5"/>
    <w:rsid w:val="009C66CD"/>
    <w:rsid w:val="009C66D7"/>
    <w:rsid w:val="009C66DE"/>
    <w:rsid w:val="009C672A"/>
    <w:rsid w:val="009C675B"/>
    <w:rsid w:val="009C677C"/>
    <w:rsid w:val="009C6790"/>
    <w:rsid w:val="009C67CB"/>
    <w:rsid w:val="009C67D3"/>
    <w:rsid w:val="009C67EB"/>
    <w:rsid w:val="009C682A"/>
    <w:rsid w:val="009C68B0"/>
    <w:rsid w:val="009C68CA"/>
    <w:rsid w:val="009C68E6"/>
    <w:rsid w:val="009C68ED"/>
    <w:rsid w:val="009C68F3"/>
    <w:rsid w:val="009C6916"/>
    <w:rsid w:val="009C6921"/>
    <w:rsid w:val="009C6936"/>
    <w:rsid w:val="009C696C"/>
    <w:rsid w:val="009C698B"/>
    <w:rsid w:val="009C69A1"/>
    <w:rsid w:val="009C69B6"/>
    <w:rsid w:val="009C69F6"/>
    <w:rsid w:val="009C6A60"/>
    <w:rsid w:val="009C6AE2"/>
    <w:rsid w:val="009C6B01"/>
    <w:rsid w:val="009C6B07"/>
    <w:rsid w:val="009C6B2C"/>
    <w:rsid w:val="009C6B8F"/>
    <w:rsid w:val="009C6BA0"/>
    <w:rsid w:val="009C6BA5"/>
    <w:rsid w:val="009C6BBC"/>
    <w:rsid w:val="009C6C3D"/>
    <w:rsid w:val="009C6C47"/>
    <w:rsid w:val="009C6C5F"/>
    <w:rsid w:val="009C6C89"/>
    <w:rsid w:val="009C6C9B"/>
    <w:rsid w:val="009C6CCD"/>
    <w:rsid w:val="009C6CF5"/>
    <w:rsid w:val="009C6CF7"/>
    <w:rsid w:val="009C6D31"/>
    <w:rsid w:val="009C6D3E"/>
    <w:rsid w:val="009C6D48"/>
    <w:rsid w:val="009C6D52"/>
    <w:rsid w:val="009C6D8B"/>
    <w:rsid w:val="009C6D96"/>
    <w:rsid w:val="009C6DA3"/>
    <w:rsid w:val="009C6E36"/>
    <w:rsid w:val="009C6EA2"/>
    <w:rsid w:val="009C6F19"/>
    <w:rsid w:val="009C6F1C"/>
    <w:rsid w:val="009C6F30"/>
    <w:rsid w:val="009C6F3B"/>
    <w:rsid w:val="009C6F71"/>
    <w:rsid w:val="009C6FF9"/>
    <w:rsid w:val="009C7044"/>
    <w:rsid w:val="009C707D"/>
    <w:rsid w:val="009C7087"/>
    <w:rsid w:val="009C7099"/>
    <w:rsid w:val="009C70A9"/>
    <w:rsid w:val="009C70AC"/>
    <w:rsid w:val="009C70AE"/>
    <w:rsid w:val="009C70CA"/>
    <w:rsid w:val="009C7108"/>
    <w:rsid w:val="009C7129"/>
    <w:rsid w:val="009C7155"/>
    <w:rsid w:val="009C7158"/>
    <w:rsid w:val="009C719F"/>
    <w:rsid w:val="009C71AF"/>
    <w:rsid w:val="009C71E1"/>
    <w:rsid w:val="009C71F7"/>
    <w:rsid w:val="009C7220"/>
    <w:rsid w:val="009C7252"/>
    <w:rsid w:val="009C726D"/>
    <w:rsid w:val="009C72B8"/>
    <w:rsid w:val="009C731D"/>
    <w:rsid w:val="009C7352"/>
    <w:rsid w:val="009C7364"/>
    <w:rsid w:val="009C7393"/>
    <w:rsid w:val="009C73AF"/>
    <w:rsid w:val="009C73E2"/>
    <w:rsid w:val="009C7474"/>
    <w:rsid w:val="009C74BF"/>
    <w:rsid w:val="009C74C1"/>
    <w:rsid w:val="009C74D3"/>
    <w:rsid w:val="009C74EA"/>
    <w:rsid w:val="009C7501"/>
    <w:rsid w:val="009C7503"/>
    <w:rsid w:val="009C7530"/>
    <w:rsid w:val="009C75B4"/>
    <w:rsid w:val="009C75B7"/>
    <w:rsid w:val="009C75C6"/>
    <w:rsid w:val="009C75C8"/>
    <w:rsid w:val="009C75ED"/>
    <w:rsid w:val="009C75FA"/>
    <w:rsid w:val="009C7614"/>
    <w:rsid w:val="009C767B"/>
    <w:rsid w:val="009C76C9"/>
    <w:rsid w:val="009C76CC"/>
    <w:rsid w:val="009C76E3"/>
    <w:rsid w:val="009C7718"/>
    <w:rsid w:val="009C773C"/>
    <w:rsid w:val="009C7779"/>
    <w:rsid w:val="009C779E"/>
    <w:rsid w:val="009C77CC"/>
    <w:rsid w:val="009C7806"/>
    <w:rsid w:val="009C7831"/>
    <w:rsid w:val="009C7835"/>
    <w:rsid w:val="009C7837"/>
    <w:rsid w:val="009C7886"/>
    <w:rsid w:val="009C7893"/>
    <w:rsid w:val="009C78C1"/>
    <w:rsid w:val="009C792B"/>
    <w:rsid w:val="009C792D"/>
    <w:rsid w:val="009C792E"/>
    <w:rsid w:val="009C796A"/>
    <w:rsid w:val="009C797E"/>
    <w:rsid w:val="009C79F5"/>
    <w:rsid w:val="009C7A2B"/>
    <w:rsid w:val="009C7A2E"/>
    <w:rsid w:val="009C7A30"/>
    <w:rsid w:val="009C7A4B"/>
    <w:rsid w:val="009C7A4C"/>
    <w:rsid w:val="009C7A4E"/>
    <w:rsid w:val="009C7A5C"/>
    <w:rsid w:val="009C7A60"/>
    <w:rsid w:val="009C7A6B"/>
    <w:rsid w:val="009C7AB3"/>
    <w:rsid w:val="009C7AB8"/>
    <w:rsid w:val="009C7AC0"/>
    <w:rsid w:val="009C7AD5"/>
    <w:rsid w:val="009C7ADA"/>
    <w:rsid w:val="009C7AE8"/>
    <w:rsid w:val="009C7B21"/>
    <w:rsid w:val="009C7B80"/>
    <w:rsid w:val="009C7B83"/>
    <w:rsid w:val="009C7BA5"/>
    <w:rsid w:val="009C7BCF"/>
    <w:rsid w:val="009C7C34"/>
    <w:rsid w:val="009C7C8F"/>
    <w:rsid w:val="009C7C90"/>
    <w:rsid w:val="009C7CC4"/>
    <w:rsid w:val="009C7CC6"/>
    <w:rsid w:val="009C7CE3"/>
    <w:rsid w:val="009C7D0C"/>
    <w:rsid w:val="009C7D4D"/>
    <w:rsid w:val="009C7D5E"/>
    <w:rsid w:val="009C7D80"/>
    <w:rsid w:val="009C7D86"/>
    <w:rsid w:val="009C7D94"/>
    <w:rsid w:val="009C7DB6"/>
    <w:rsid w:val="009C7E10"/>
    <w:rsid w:val="009C7E11"/>
    <w:rsid w:val="009C7E2B"/>
    <w:rsid w:val="009C7E54"/>
    <w:rsid w:val="009C7E67"/>
    <w:rsid w:val="009C7E8A"/>
    <w:rsid w:val="009C7E8C"/>
    <w:rsid w:val="009C7EB5"/>
    <w:rsid w:val="009C7ECF"/>
    <w:rsid w:val="009C7EEC"/>
    <w:rsid w:val="009C7F04"/>
    <w:rsid w:val="009C7F81"/>
    <w:rsid w:val="009C7F85"/>
    <w:rsid w:val="009C7F93"/>
    <w:rsid w:val="009C7FCE"/>
    <w:rsid w:val="009C7FDF"/>
    <w:rsid w:val="009D005E"/>
    <w:rsid w:val="009D0072"/>
    <w:rsid w:val="009D0117"/>
    <w:rsid w:val="009D0135"/>
    <w:rsid w:val="009D0166"/>
    <w:rsid w:val="009D016E"/>
    <w:rsid w:val="009D017B"/>
    <w:rsid w:val="009D018B"/>
    <w:rsid w:val="009D01D4"/>
    <w:rsid w:val="009D0202"/>
    <w:rsid w:val="009D0267"/>
    <w:rsid w:val="009D02BA"/>
    <w:rsid w:val="009D02CD"/>
    <w:rsid w:val="009D02DB"/>
    <w:rsid w:val="009D02F6"/>
    <w:rsid w:val="009D0304"/>
    <w:rsid w:val="009D0310"/>
    <w:rsid w:val="009D031C"/>
    <w:rsid w:val="009D0330"/>
    <w:rsid w:val="009D034D"/>
    <w:rsid w:val="009D0386"/>
    <w:rsid w:val="009D0397"/>
    <w:rsid w:val="009D03B8"/>
    <w:rsid w:val="009D03FF"/>
    <w:rsid w:val="009D0422"/>
    <w:rsid w:val="009D0430"/>
    <w:rsid w:val="009D0459"/>
    <w:rsid w:val="009D0472"/>
    <w:rsid w:val="009D049E"/>
    <w:rsid w:val="009D04A2"/>
    <w:rsid w:val="009D04B0"/>
    <w:rsid w:val="009D04EB"/>
    <w:rsid w:val="009D0502"/>
    <w:rsid w:val="009D053D"/>
    <w:rsid w:val="009D0545"/>
    <w:rsid w:val="009D0564"/>
    <w:rsid w:val="009D0582"/>
    <w:rsid w:val="009D058A"/>
    <w:rsid w:val="009D058F"/>
    <w:rsid w:val="009D05A6"/>
    <w:rsid w:val="009D05B6"/>
    <w:rsid w:val="009D05BA"/>
    <w:rsid w:val="009D05E5"/>
    <w:rsid w:val="009D05E7"/>
    <w:rsid w:val="009D0619"/>
    <w:rsid w:val="009D0638"/>
    <w:rsid w:val="009D066D"/>
    <w:rsid w:val="009D06BD"/>
    <w:rsid w:val="009D06C5"/>
    <w:rsid w:val="009D06D3"/>
    <w:rsid w:val="009D06E9"/>
    <w:rsid w:val="009D07C5"/>
    <w:rsid w:val="009D07CC"/>
    <w:rsid w:val="009D07F2"/>
    <w:rsid w:val="009D07FC"/>
    <w:rsid w:val="009D0839"/>
    <w:rsid w:val="009D083D"/>
    <w:rsid w:val="009D0872"/>
    <w:rsid w:val="009D08E9"/>
    <w:rsid w:val="009D090B"/>
    <w:rsid w:val="009D0923"/>
    <w:rsid w:val="009D0936"/>
    <w:rsid w:val="009D09A1"/>
    <w:rsid w:val="009D09AC"/>
    <w:rsid w:val="009D09B5"/>
    <w:rsid w:val="009D0A7B"/>
    <w:rsid w:val="009D0A8E"/>
    <w:rsid w:val="009D0AFC"/>
    <w:rsid w:val="009D0AFE"/>
    <w:rsid w:val="009D0B21"/>
    <w:rsid w:val="009D0B41"/>
    <w:rsid w:val="009D0B6C"/>
    <w:rsid w:val="009D0BC7"/>
    <w:rsid w:val="009D0BFC"/>
    <w:rsid w:val="009D0C00"/>
    <w:rsid w:val="009D0C07"/>
    <w:rsid w:val="009D0C1E"/>
    <w:rsid w:val="009D0C41"/>
    <w:rsid w:val="009D0C51"/>
    <w:rsid w:val="009D0C54"/>
    <w:rsid w:val="009D0C83"/>
    <w:rsid w:val="009D0C97"/>
    <w:rsid w:val="009D0D31"/>
    <w:rsid w:val="009D0DCB"/>
    <w:rsid w:val="009D0DF3"/>
    <w:rsid w:val="009D0E0D"/>
    <w:rsid w:val="009D0E77"/>
    <w:rsid w:val="009D0EA8"/>
    <w:rsid w:val="009D0EC3"/>
    <w:rsid w:val="009D0ECD"/>
    <w:rsid w:val="009D0F04"/>
    <w:rsid w:val="009D0F06"/>
    <w:rsid w:val="009D0F08"/>
    <w:rsid w:val="009D0F2D"/>
    <w:rsid w:val="009D0F35"/>
    <w:rsid w:val="009D0F73"/>
    <w:rsid w:val="009D0FAC"/>
    <w:rsid w:val="009D0FD8"/>
    <w:rsid w:val="009D1013"/>
    <w:rsid w:val="009D101F"/>
    <w:rsid w:val="009D103F"/>
    <w:rsid w:val="009D1040"/>
    <w:rsid w:val="009D104B"/>
    <w:rsid w:val="009D1084"/>
    <w:rsid w:val="009D10B4"/>
    <w:rsid w:val="009D10C4"/>
    <w:rsid w:val="009D10E8"/>
    <w:rsid w:val="009D1101"/>
    <w:rsid w:val="009D1120"/>
    <w:rsid w:val="009D1122"/>
    <w:rsid w:val="009D1138"/>
    <w:rsid w:val="009D1166"/>
    <w:rsid w:val="009D117B"/>
    <w:rsid w:val="009D117E"/>
    <w:rsid w:val="009D117F"/>
    <w:rsid w:val="009D11F1"/>
    <w:rsid w:val="009D1284"/>
    <w:rsid w:val="009D12AA"/>
    <w:rsid w:val="009D12E6"/>
    <w:rsid w:val="009D1347"/>
    <w:rsid w:val="009D1366"/>
    <w:rsid w:val="009D1369"/>
    <w:rsid w:val="009D136A"/>
    <w:rsid w:val="009D13C9"/>
    <w:rsid w:val="009D13D1"/>
    <w:rsid w:val="009D13D6"/>
    <w:rsid w:val="009D13E9"/>
    <w:rsid w:val="009D13F2"/>
    <w:rsid w:val="009D141B"/>
    <w:rsid w:val="009D144C"/>
    <w:rsid w:val="009D1499"/>
    <w:rsid w:val="009D14A7"/>
    <w:rsid w:val="009D14B0"/>
    <w:rsid w:val="009D14CA"/>
    <w:rsid w:val="009D14E3"/>
    <w:rsid w:val="009D15E1"/>
    <w:rsid w:val="009D15ED"/>
    <w:rsid w:val="009D161E"/>
    <w:rsid w:val="009D1630"/>
    <w:rsid w:val="009D1644"/>
    <w:rsid w:val="009D164A"/>
    <w:rsid w:val="009D1661"/>
    <w:rsid w:val="009D168A"/>
    <w:rsid w:val="009D1697"/>
    <w:rsid w:val="009D16B0"/>
    <w:rsid w:val="009D16FB"/>
    <w:rsid w:val="009D1704"/>
    <w:rsid w:val="009D1714"/>
    <w:rsid w:val="009D1721"/>
    <w:rsid w:val="009D172C"/>
    <w:rsid w:val="009D1765"/>
    <w:rsid w:val="009D176E"/>
    <w:rsid w:val="009D1773"/>
    <w:rsid w:val="009D1776"/>
    <w:rsid w:val="009D179F"/>
    <w:rsid w:val="009D17D5"/>
    <w:rsid w:val="009D17E6"/>
    <w:rsid w:val="009D17F4"/>
    <w:rsid w:val="009D1833"/>
    <w:rsid w:val="009D1837"/>
    <w:rsid w:val="009D184D"/>
    <w:rsid w:val="009D1862"/>
    <w:rsid w:val="009D1867"/>
    <w:rsid w:val="009D18B0"/>
    <w:rsid w:val="009D18D6"/>
    <w:rsid w:val="009D1938"/>
    <w:rsid w:val="009D1956"/>
    <w:rsid w:val="009D1978"/>
    <w:rsid w:val="009D198A"/>
    <w:rsid w:val="009D198F"/>
    <w:rsid w:val="009D19A2"/>
    <w:rsid w:val="009D19C2"/>
    <w:rsid w:val="009D19E0"/>
    <w:rsid w:val="009D1A2A"/>
    <w:rsid w:val="009D1A6A"/>
    <w:rsid w:val="009D1A82"/>
    <w:rsid w:val="009D1AD1"/>
    <w:rsid w:val="009D1AF6"/>
    <w:rsid w:val="009D1B03"/>
    <w:rsid w:val="009D1B55"/>
    <w:rsid w:val="009D1B7D"/>
    <w:rsid w:val="009D1B7E"/>
    <w:rsid w:val="009D1B96"/>
    <w:rsid w:val="009D1B9F"/>
    <w:rsid w:val="009D1C40"/>
    <w:rsid w:val="009D1C50"/>
    <w:rsid w:val="009D1C86"/>
    <w:rsid w:val="009D1CDD"/>
    <w:rsid w:val="009D1D34"/>
    <w:rsid w:val="009D1D69"/>
    <w:rsid w:val="009D1D76"/>
    <w:rsid w:val="009D1D95"/>
    <w:rsid w:val="009D1DBD"/>
    <w:rsid w:val="009D1DDC"/>
    <w:rsid w:val="009D1DFA"/>
    <w:rsid w:val="009D1E31"/>
    <w:rsid w:val="009D1E6F"/>
    <w:rsid w:val="009D1EC1"/>
    <w:rsid w:val="009D1ED9"/>
    <w:rsid w:val="009D1EE3"/>
    <w:rsid w:val="009D1F26"/>
    <w:rsid w:val="009D1F58"/>
    <w:rsid w:val="009D1FE6"/>
    <w:rsid w:val="009D202E"/>
    <w:rsid w:val="009D203B"/>
    <w:rsid w:val="009D204E"/>
    <w:rsid w:val="009D206E"/>
    <w:rsid w:val="009D20AF"/>
    <w:rsid w:val="009D20B1"/>
    <w:rsid w:val="009D20BA"/>
    <w:rsid w:val="009D20E5"/>
    <w:rsid w:val="009D215E"/>
    <w:rsid w:val="009D2188"/>
    <w:rsid w:val="009D21EC"/>
    <w:rsid w:val="009D2241"/>
    <w:rsid w:val="009D2291"/>
    <w:rsid w:val="009D22DE"/>
    <w:rsid w:val="009D22F6"/>
    <w:rsid w:val="009D233E"/>
    <w:rsid w:val="009D2351"/>
    <w:rsid w:val="009D2359"/>
    <w:rsid w:val="009D23A7"/>
    <w:rsid w:val="009D23FB"/>
    <w:rsid w:val="009D240B"/>
    <w:rsid w:val="009D2411"/>
    <w:rsid w:val="009D2450"/>
    <w:rsid w:val="009D249D"/>
    <w:rsid w:val="009D24C0"/>
    <w:rsid w:val="009D24E3"/>
    <w:rsid w:val="009D251E"/>
    <w:rsid w:val="009D2551"/>
    <w:rsid w:val="009D2572"/>
    <w:rsid w:val="009D257F"/>
    <w:rsid w:val="009D25A4"/>
    <w:rsid w:val="009D25C3"/>
    <w:rsid w:val="009D25D7"/>
    <w:rsid w:val="009D25E3"/>
    <w:rsid w:val="009D25ED"/>
    <w:rsid w:val="009D2612"/>
    <w:rsid w:val="009D2679"/>
    <w:rsid w:val="009D2693"/>
    <w:rsid w:val="009D26AA"/>
    <w:rsid w:val="009D26C0"/>
    <w:rsid w:val="009D26E8"/>
    <w:rsid w:val="009D271A"/>
    <w:rsid w:val="009D273D"/>
    <w:rsid w:val="009D2763"/>
    <w:rsid w:val="009D2769"/>
    <w:rsid w:val="009D279A"/>
    <w:rsid w:val="009D279E"/>
    <w:rsid w:val="009D27C5"/>
    <w:rsid w:val="009D2835"/>
    <w:rsid w:val="009D28AB"/>
    <w:rsid w:val="009D28B9"/>
    <w:rsid w:val="009D28FA"/>
    <w:rsid w:val="009D28FC"/>
    <w:rsid w:val="009D2905"/>
    <w:rsid w:val="009D2909"/>
    <w:rsid w:val="009D297D"/>
    <w:rsid w:val="009D2981"/>
    <w:rsid w:val="009D29A3"/>
    <w:rsid w:val="009D29A6"/>
    <w:rsid w:val="009D29FE"/>
    <w:rsid w:val="009D2A19"/>
    <w:rsid w:val="009D2A46"/>
    <w:rsid w:val="009D2A90"/>
    <w:rsid w:val="009D2AC3"/>
    <w:rsid w:val="009D2AC9"/>
    <w:rsid w:val="009D2ACF"/>
    <w:rsid w:val="009D2AD8"/>
    <w:rsid w:val="009D2ADF"/>
    <w:rsid w:val="009D2AEC"/>
    <w:rsid w:val="009D2AF3"/>
    <w:rsid w:val="009D2B6B"/>
    <w:rsid w:val="009D2B70"/>
    <w:rsid w:val="009D2BBA"/>
    <w:rsid w:val="009D2BFC"/>
    <w:rsid w:val="009D2C60"/>
    <w:rsid w:val="009D2D27"/>
    <w:rsid w:val="009D2D2D"/>
    <w:rsid w:val="009D2D41"/>
    <w:rsid w:val="009D2DA1"/>
    <w:rsid w:val="009D2DFB"/>
    <w:rsid w:val="009D2E0E"/>
    <w:rsid w:val="009D2EE9"/>
    <w:rsid w:val="009D2EFC"/>
    <w:rsid w:val="009D2F53"/>
    <w:rsid w:val="009D2F60"/>
    <w:rsid w:val="009D2F80"/>
    <w:rsid w:val="009D2F9B"/>
    <w:rsid w:val="009D2FE5"/>
    <w:rsid w:val="009D2FED"/>
    <w:rsid w:val="009D2FF6"/>
    <w:rsid w:val="009D3008"/>
    <w:rsid w:val="009D3020"/>
    <w:rsid w:val="009D3053"/>
    <w:rsid w:val="009D3092"/>
    <w:rsid w:val="009D30B3"/>
    <w:rsid w:val="009D30C4"/>
    <w:rsid w:val="009D30EC"/>
    <w:rsid w:val="009D30F5"/>
    <w:rsid w:val="009D3101"/>
    <w:rsid w:val="009D3147"/>
    <w:rsid w:val="009D314E"/>
    <w:rsid w:val="009D316B"/>
    <w:rsid w:val="009D318F"/>
    <w:rsid w:val="009D31BF"/>
    <w:rsid w:val="009D322E"/>
    <w:rsid w:val="009D3233"/>
    <w:rsid w:val="009D3236"/>
    <w:rsid w:val="009D323C"/>
    <w:rsid w:val="009D324C"/>
    <w:rsid w:val="009D3274"/>
    <w:rsid w:val="009D3287"/>
    <w:rsid w:val="009D328C"/>
    <w:rsid w:val="009D32DB"/>
    <w:rsid w:val="009D32E1"/>
    <w:rsid w:val="009D3349"/>
    <w:rsid w:val="009D335C"/>
    <w:rsid w:val="009D336F"/>
    <w:rsid w:val="009D339D"/>
    <w:rsid w:val="009D33B1"/>
    <w:rsid w:val="009D33CD"/>
    <w:rsid w:val="009D33CF"/>
    <w:rsid w:val="009D3420"/>
    <w:rsid w:val="009D343A"/>
    <w:rsid w:val="009D34BE"/>
    <w:rsid w:val="009D3538"/>
    <w:rsid w:val="009D3545"/>
    <w:rsid w:val="009D3573"/>
    <w:rsid w:val="009D35BF"/>
    <w:rsid w:val="009D3634"/>
    <w:rsid w:val="009D36D3"/>
    <w:rsid w:val="009D36DB"/>
    <w:rsid w:val="009D36DC"/>
    <w:rsid w:val="009D36E5"/>
    <w:rsid w:val="009D36F4"/>
    <w:rsid w:val="009D3703"/>
    <w:rsid w:val="009D371D"/>
    <w:rsid w:val="009D374D"/>
    <w:rsid w:val="009D3757"/>
    <w:rsid w:val="009D3771"/>
    <w:rsid w:val="009D378D"/>
    <w:rsid w:val="009D37A8"/>
    <w:rsid w:val="009D37AB"/>
    <w:rsid w:val="009D37C6"/>
    <w:rsid w:val="009D37DA"/>
    <w:rsid w:val="009D3884"/>
    <w:rsid w:val="009D38B9"/>
    <w:rsid w:val="009D38DB"/>
    <w:rsid w:val="009D3905"/>
    <w:rsid w:val="009D392D"/>
    <w:rsid w:val="009D392F"/>
    <w:rsid w:val="009D3940"/>
    <w:rsid w:val="009D3943"/>
    <w:rsid w:val="009D397A"/>
    <w:rsid w:val="009D39BF"/>
    <w:rsid w:val="009D39E9"/>
    <w:rsid w:val="009D3A11"/>
    <w:rsid w:val="009D3A13"/>
    <w:rsid w:val="009D3A29"/>
    <w:rsid w:val="009D3A40"/>
    <w:rsid w:val="009D3A74"/>
    <w:rsid w:val="009D3AA1"/>
    <w:rsid w:val="009D3AB0"/>
    <w:rsid w:val="009D3AC2"/>
    <w:rsid w:val="009D3AD6"/>
    <w:rsid w:val="009D3B04"/>
    <w:rsid w:val="009D3B37"/>
    <w:rsid w:val="009D3B66"/>
    <w:rsid w:val="009D3B86"/>
    <w:rsid w:val="009D3BD0"/>
    <w:rsid w:val="009D3BE6"/>
    <w:rsid w:val="009D3C02"/>
    <w:rsid w:val="009D3C4E"/>
    <w:rsid w:val="009D3C53"/>
    <w:rsid w:val="009D3C86"/>
    <w:rsid w:val="009D3C8D"/>
    <w:rsid w:val="009D3D11"/>
    <w:rsid w:val="009D3D14"/>
    <w:rsid w:val="009D3D38"/>
    <w:rsid w:val="009D3DDD"/>
    <w:rsid w:val="009D3E2E"/>
    <w:rsid w:val="009D3E34"/>
    <w:rsid w:val="009D3E4C"/>
    <w:rsid w:val="009D3E89"/>
    <w:rsid w:val="009D3E9B"/>
    <w:rsid w:val="009D3EB0"/>
    <w:rsid w:val="009D3EFF"/>
    <w:rsid w:val="009D3F3B"/>
    <w:rsid w:val="009D3F3D"/>
    <w:rsid w:val="009D3FE3"/>
    <w:rsid w:val="009D3FE9"/>
    <w:rsid w:val="009D401E"/>
    <w:rsid w:val="009D4031"/>
    <w:rsid w:val="009D405D"/>
    <w:rsid w:val="009D40B1"/>
    <w:rsid w:val="009D40D9"/>
    <w:rsid w:val="009D410E"/>
    <w:rsid w:val="009D4123"/>
    <w:rsid w:val="009D4155"/>
    <w:rsid w:val="009D4199"/>
    <w:rsid w:val="009D41AF"/>
    <w:rsid w:val="009D4203"/>
    <w:rsid w:val="009D4219"/>
    <w:rsid w:val="009D4222"/>
    <w:rsid w:val="009D422B"/>
    <w:rsid w:val="009D4231"/>
    <w:rsid w:val="009D4247"/>
    <w:rsid w:val="009D42C8"/>
    <w:rsid w:val="009D42CE"/>
    <w:rsid w:val="009D4308"/>
    <w:rsid w:val="009D433F"/>
    <w:rsid w:val="009D4342"/>
    <w:rsid w:val="009D437B"/>
    <w:rsid w:val="009D4381"/>
    <w:rsid w:val="009D43A7"/>
    <w:rsid w:val="009D43AD"/>
    <w:rsid w:val="009D43C3"/>
    <w:rsid w:val="009D43CC"/>
    <w:rsid w:val="009D43E6"/>
    <w:rsid w:val="009D4450"/>
    <w:rsid w:val="009D446A"/>
    <w:rsid w:val="009D44B6"/>
    <w:rsid w:val="009D44C0"/>
    <w:rsid w:val="009D44C8"/>
    <w:rsid w:val="009D44E1"/>
    <w:rsid w:val="009D4505"/>
    <w:rsid w:val="009D4537"/>
    <w:rsid w:val="009D4593"/>
    <w:rsid w:val="009D45CA"/>
    <w:rsid w:val="009D4604"/>
    <w:rsid w:val="009D4652"/>
    <w:rsid w:val="009D4666"/>
    <w:rsid w:val="009D4668"/>
    <w:rsid w:val="009D46A6"/>
    <w:rsid w:val="009D46B3"/>
    <w:rsid w:val="009D4727"/>
    <w:rsid w:val="009D47B4"/>
    <w:rsid w:val="009D47BF"/>
    <w:rsid w:val="009D47D6"/>
    <w:rsid w:val="009D47DB"/>
    <w:rsid w:val="009D47DD"/>
    <w:rsid w:val="009D47E3"/>
    <w:rsid w:val="009D4878"/>
    <w:rsid w:val="009D487E"/>
    <w:rsid w:val="009D4880"/>
    <w:rsid w:val="009D489B"/>
    <w:rsid w:val="009D48CD"/>
    <w:rsid w:val="009D48DA"/>
    <w:rsid w:val="009D48E5"/>
    <w:rsid w:val="009D4912"/>
    <w:rsid w:val="009D4962"/>
    <w:rsid w:val="009D496C"/>
    <w:rsid w:val="009D4992"/>
    <w:rsid w:val="009D49A4"/>
    <w:rsid w:val="009D49A6"/>
    <w:rsid w:val="009D49B6"/>
    <w:rsid w:val="009D49BA"/>
    <w:rsid w:val="009D49BC"/>
    <w:rsid w:val="009D49FF"/>
    <w:rsid w:val="009D4A01"/>
    <w:rsid w:val="009D4A22"/>
    <w:rsid w:val="009D4A2B"/>
    <w:rsid w:val="009D4A33"/>
    <w:rsid w:val="009D4A52"/>
    <w:rsid w:val="009D4A67"/>
    <w:rsid w:val="009D4A6C"/>
    <w:rsid w:val="009D4AB3"/>
    <w:rsid w:val="009D4ADA"/>
    <w:rsid w:val="009D4AFA"/>
    <w:rsid w:val="009D4AFE"/>
    <w:rsid w:val="009D4B22"/>
    <w:rsid w:val="009D4B3A"/>
    <w:rsid w:val="009D4B5A"/>
    <w:rsid w:val="009D4B71"/>
    <w:rsid w:val="009D4B74"/>
    <w:rsid w:val="009D4BA7"/>
    <w:rsid w:val="009D4BCF"/>
    <w:rsid w:val="009D4BFD"/>
    <w:rsid w:val="009D4C15"/>
    <w:rsid w:val="009D4C17"/>
    <w:rsid w:val="009D4C2F"/>
    <w:rsid w:val="009D4CBE"/>
    <w:rsid w:val="009D4CCB"/>
    <w:rsid w:val="009D4CD8"/>
    <w:rsid w:val="009D4D16"/>
    <w:rsid w:val="009D4D30"/>
    <w:rsid w:val="009D4D49"/>
    <w:rsid w:val="009D4D6C"/>
    <w:rsid w:val="009D4D75"/>
    <w:rsid w:val="009D4D89"/>
    <w:rsid w:val="009D4DC1"/>
    <w:rsid w:val="009D4DDA"/>
    <w:rsid w:val="009D4DFB"/>
    <w:rsid w:val="009D4E6E"/>
    <w:rsid w:val="009D4EB7"/>
    <w:rsid w:val="009D4EF6"/>
    <w:rsid w:val="009D4EFD"/>
    <w:rsid w:val="009D4F09"/>
    <w:rsid w:val="009D4F4C"/>
    <w:rsid w:val="009D4F72"/>
    <w:rsid w:val="009D4FF0"/>
    <w:rsid w:val="009D507A"/>
    <w:rsid w:val="009D50AA"/>
    <w:rsid w:val="009D50B5"/>
    <w:rsid w:val="009D5164"/>
    <w:rsid w:val="009D51A8"/>
    <w:rsid w:val="009D51AB"/>
    <w:rsid w:val="009D5202"/>
    <w:rsid w:val="009D525C"/>
    <w:rsid w:val="009D5264"/>
    <w:rsid w:val="009D5266"/>
    <w:rsid w:val="009D52A7"/>
    <w:rsid w:val="009D52AB"/>
    <w:rsid w:val="009D52E8"/>
    <w:rsid w:val="009D536B"/>
    <w:rsid w:val="009D537C"/>
    <w:rsid w:val="009D53A8"/>
    <w:rsid w:val="009D53E9"/>
    <w:rsid w:val="009D543C"/>
    <w:rsid w:val="009D5449"/>
    <w:rsid w:val="009D5458"/>
    <w:rsid w:val="009D548E"/>
    <w:rsid w:val="009D54A6"/>
    <w:rsid w:val="009D54AA"/>
    <w:rsid w:val="009D54E5"/>
    <w:rsid w:val="009D54F7"/>
    <w:rsid w:val="009D551B"/>
    <w:rsid w:val="009D5532"/>
    <w:rsid w:val="009D5547"/>
    <w:rsid w:val="009D5552"/>
    <w:rsid w:val="009D555D"/>
    <w:rsid w:val="009D5565"/>
    <w:rsid w:val="009D5574"/>
    <w:rsid w:val="009D558E"/>
    <w:rsid w:val="009D562E"/>
    <w:rsid w:val="009D564C"/>
    <w:rsid w:val="009D5656"/>
    <w:rsid w:val="009D56BB"/>
    <w:rsid w:val="009D5706"/>
    <w:rsid w:val="009D5783"/>
    <w:rsid w:val="009D5794"/>
    <w:rsid w:val="009D57CB"/>
    <w:rsid w:val="009D57F2"/>
    <w:rsid w:val="009D5830"/>
    <w:rsid w:val="009D5868"/>
    <w:rsid w:val="009D5888"/>
    <w:rsid w:val="009D58F2"/>
    <w:rsid w:val="009D5965"/>
    <w:rsid w:val="009D5974"/>
    <w:rsid w:val="009D5975"/>
    <w:rsid w:val="009D5990"/>
    <w:rsid w:val="009D59A3"/>
    <w:rsid w:val="009D5A04"/>
    <w:rsid w:val="009D5A0D"/>
    <w:rsid w:val="009D5A45"/>
    <w:rsid w:val="009D5A7E"/>
    <w:rsid w:val="009D5AD9"/>
    <w:rsid w:val="009D5AE1"/>
    <w:rsid w:val="009D5AF3"/>
    <w:rsid w:val="009D5B39"/>
    <w:rsid w:val="009D5B42"/>
    <w:rsid w:val="009D5B78"/>
    <w:rsid w:val="009D5B89"/>
    <w:rsid w:val="009D5BC2"/>
    <w:rsid w:val="009D5BCA"/>
    <w:rsid w:val="009D5BE5"/>
    <w:rsid w:val="009D5BEB"/>
    <w:rsid w:val="009D5BFF"/>
    <w:rsid w:val="009D5C01"/>
    <w:rsid w:val="009D5CE9"/>
    <w:rsid w:val="009D5CEC"/>
    <w:rsid w:val="009D5CFA"/>
    <w:rsid w:val="009D5D44"/>
    <w:rsid w:val="009D5D4F"/>
    <w:rsid w:val="009D5D52"/>
    <w:rsid w:val="009D5D92"/>
    <w:rsid w:val="009D5DA5"/>
    <w:rsid w:val="009D5DD2"/>
    <w:rsid w:val="009D5DE7"/>
    <w:rsid w:val="009D5DF4"/>
    <w:rsid w:val="009D5E19"/>
    <w:rsid w:val="009D5E29"/>
    <w:rsid w:val="009D5E4C"/>
    <w:rsid w:val="009D5E60"/>
    <w:rsid w:val="009D5E9A"/>
    <w:rsid w:val="009D5EDC"/>
    <w:rsid w:val="009D5F12"/>
    <w:rsid w:val="009D5F27"/>
    <w:rsid w:val="009D5F5C"/>
    <w:rsid w:val="009D5F88"/>
    <w:rsid w:val="009D5F9D"/>
    <w:rsid w:val="009D5FA4"/>
    <w:rsid w:val="009D5FEC"/>
    <w:rsid w:val="009D6059"/>
    <w:rsid w:val="009D6064"/>
    <w:rsid w:val="009D606B"/>
    <w:rsid w:val="009D6097"/>
    <w:rsid w:val="009D60CC"/>
    <w:rsid w:val="009D60F4"/>
    <w:rsid w:val="009D60FF"/>
    <w:rsid w:val="009D6178"/>
    <w:rsid w:val="009D617D"/>
    <w:rsid w:val="009D618D"/>
    <w:rsid w:val="009D6201"/>
    <w:rsid w:val="009D6246"/>
    <w:rsid w:val="009D627D"/>
    <w:rsid w:val="009D62BB"/>
    <w:rsid w:val="009D62CA"/>
    <w:rsid w:val="009D630A"/>
    <w:rsid w:val="009D6350"/>
    <w:rsid w:val="009D6358"/>
    <w:rsid w:val="009D638C"/>
    <w:rsid w:val="009D63BC"/>
    <w:rsid w:val="009D63FF"/>
    <w:rsid w:val="009D6402"/>
    <w:rsid w:val="009D641A"/>
    <w:rsid w:val="009D6427"/>
    <w:rsid w:val="009D6455"/>
    <w:rsid w:val="009D6472"/>
    <w:rsid w:val="009D648C"/>
    <w:rsid w:val="009D6497"/>
    <w:rsid w:val="009D64C8"/>
    <w:rsid w:val="009D64DB"/>
    <w:rsid w:val="009D64FA"/>
    <w:rsid w:val="009D6516"/>
    <w:rsid w:val="009D652F"/>
    <w:rsid w:val="009D653E"/>
    <w:rsid w:val="009D6543"/>
    <w:rsid w:val="009D655B"/>
    <w:rsid w:val="009D6585"/>
    <w:rsid w:val="009D65A9"/>
    <w:rsid w:val="009D65E4"/>
    <w:rsid w:val="009D65E9"/>
    <w:rsid w:val="009D6613"/>
    <w:rsid w:val="009D6620"/>
    <w:rsid w:val="009D6694"/>
    <w:rsid w:val="009D66A2"/>
    <w:rsid w:val="009D66A4"/>
    <w:rsid w:val="009D66D6"/>
    <w:rsid w:val="009D6714"/>
    <w:rsid w:val="009D6739"/>
    <w:rsid w:val="009D6740"/>
    <w:rsid w:val="009D67D1"/>
    <w:rsid w:val="009D67D5"/>
    <w:rsid w:val="009D67F0"/>
    <w:rsid w:val="009D67FF"/>
    <w:rsid w:val="009D6804"/>
    <w:rsid w:val="009D6812"/>
    <w:rsid w:val="009D6834"/>
    <w:rsid w:val="009D6875"/>
    <w:rsid w:val="009D6895"/>
    <w:rsid w:val="009D68B3"/>
    <w:rsid w:val="009D68BC"/>
    <w:rsid w:val="009D68C3"/>
    <w:rsid w:val="009D68D3"/>
    <w:rsid w:val="009D68E6"/>
    <w:rsid w:val="009D68F6"/>
    <w:rsid w:val="009D68FD"/>
    <w:rsid w:val="009D6903"/>
    <w:rsid w:val="009D6942"/>
    <w:rsid w:val="009D698F"/>
    <w:rsid w:val="009D6A03"/>
    <w:rsid w:val="009D6A08"/>
    <w:rsid w:val="009D6A84"/>
    <w:rsid w:val="009D6A9F"/>
    <w:rsid w:val="009D6AB0"/>
    <w:rsid w:val="009D6ABC"/>
    <w:rsid w:val="009D6B0F"/>
    <w:rsid w:val="009D6B44"/>
    <w:rsid w:val="009D6B6F"/>
    <w:rsid w:val="009D6B82"/>
    <w:rsid w:val="009D6B96"/>
    <w:rsid w:val="009D6BD3"/>
    <w:rsid w:val="009D6C11"/>
    <w:rsid w:val="009D6C3E"/>
    <w:rsid w:val="009D6C64"/>
    <w:rsid w:val="009D6C8C"/>
    <w:rsid w:val="009D6C9B"/>
    <w:rsid w:val="009D6C9D"/>
    <w:rsid w:val="009D6CB8"/>
    <w:rsid w:val="009D6CBF"/>
    <w:rsid w:val="009D6D0F"/>
    <w:rsid w:val="009D6D16"/>
    <w:rsid w:val="009D6D20"/>
    <w:rsid w:val="009D6D49"/>
    <w:rsid w:val="009D6D61"/>
    <w:rsid w:val="009D6D8B"/>
    <w:rsid w:val="009D6DB6"/>
    <w:rsid w:val="009D6DB7"/>
    <w:rsid w:val="009D6DE4"/>
    <w:rsid w:val="009D6EC6"/>
    <w:rsid w:val="009D6F6E"/>
    <w:rsid w:val="009D6F75"/>
    <w:rsid w:val="009D6FD7"/>
    <w:rsid w:val="009D6FFD"/>
    <w:rsid w:val="009D7012"/>
    <w:rsid w:val="009D7014"/>
    <w:rsid w:val="009D7032"/>
    <w:rsid w:val="009D7033"/>
    <w:rsid w:val="009D7148"/>
    <w:rsid w:val="009D7151"/>
    <w:rsid w:val="009D71A2"/>
    <w:rsid w:val="009D725A"/>
    <w:rsid w:val="009D72B4"/>
    <w:rsid w:val="009D72D3"/>
    <w:rsid w:val="009D72EB"/>
    <w:rsid w:val="009D72F6"/>
    <w:rsid w:val="009D72FD"/>
    <w:rsid w:val="009D7328"/>
    <w:rsid w:val="009D732C"/>
    <w:rsid w:val="009D734A"/>
    <w:rsid w:val="009D7391"/>
    <w:rsid w:val="009D73A8"/>
    <w:rsid w:val="009D73C2"/>
    <w:rsid w:val="009D73C3"/>
    <w:rsid w:val="009D73DB"/>
    <w:rsid w:val="009D73EC"/>
    <w:rsid w:val="009D7403"/>
    <w:rsid w:val="009D751F"/>
    <w:rsid w:val="009D7532"/>
    <w:rsid w:val="009D7533"/>
    <w:rsid w:val="009D7540"/>
    <w:rsid w:val="009D754A"/>
    <w:rsid w:val="009D755D"/>
    <w:rsid w:val="009D75E6"/>
    <w:rsid w:val="009D75E7"/>
    <w:rsid w:val="009D7672"/>
    <w:rsid w:val="009D7689"/>
    <w:rsid w:val="009D768C"/>
    <w:rsid w:val="009D76AF"/>
    <w:rsid w:val="009D76C6"/>
    <w:rsid w:val="009D76E1"/>
    <w:rsid w:val="009D76EF"/>
    <w:rsid w:val="009D7702"/>
    <w:rsid w:val="009D772B"/>
    <w:rsid w:val="009D772D"/>
    <w:rsid w:val="009D7737"/>
    <w:rsid w:val="009D773C"/>
    <w:rsid w:val="009D7742"/>
    <w:rsid w:val="009D777E"/>
    <w:rsid w:val="009D77B0"/>
    <w:rsid w:val="009D77DE"/>
    <w:rsid w:val="009D77FE"/>
    <w:rsid w:val="009D786A"/>
    <w:rsid w:val="009D787A"/>
    <w:rsid w:val="009D78C4"/>
    <w:rsid w:val="009D78CA"/>
    <w:rsid w:val="009D78CB"/>
    <w:rsid w:val="009D78D4"/>
    <w:rsid w:val="009D78D9"/>
    <w:rsid w:val="009D78EA"/>
    <w:rsid w:val="009D790B"/>
    <w:rsid w:val="009D7973"/>
    <w:rsid w:val="009D79B1"/>
    <w:rsid w:val="009D79F4"/>
    <w:rsid w:val="009D7A5E"/>
    <w:rsid w:val="009D7AA1"/>
    <w:rsid w:val="009D7AA4"/>
    <w:rsid w:val="009D7AA5"/>
    <w:rsid w:val="009D7AAE"/>
    <w:rsid w:val="009D7ADA"/>
    <w:rsid w:val="009D7B06"/>
    <w:rsid w:val="009D7B08"/>
    <w:rsid w:val="009D7B31"/>
    <w:rsid w:val="009D7B33"/>
    <w:rsid w:val="009D7B5C"/>
    <w:rsid w:val="009D7BD8"/>
    <w:rsid w:val="009D7C1A"/>
    <w:rsid w:val="009D7C28"/>
    <w:rsid w:val="009D7C3F"/>
    <w:rsid w:val="009D7C5B"/>
    <w:rsid w:val="009D7CA8"/>
    <w:rsid w:val="009D7CAF"/>
    <w:rsid w:val="009D7CC1"/>
    <w:rsid w:val="009D7D30"/>
    <w:rsid w:val="009D7D48"/>
    <w:rsid w:val="009D7D54"/>
    <w:rsid w:val="009D7D6A"/>
    <w:rsid w:val="009D7D8B"/>
    <w:rsid w:val="009D7D92"/>
    <w:rsid w:val="009D7D94"/>
    <w:rsid w:val="009D7E2A"/>
    <w:rsid w:val="009D7E43"/>
    <w:rsid w:val="009D7E58"/>
    <w:rsid w:val="009D7E5D"/>
    <w:rsid w:val="009D7EB1"/>
    <w:rsid w:val="009D7ECA"/>
    <w:rsid w:val="009D7F32"/>
    <w:rsid w:val="009D7F56"/>
    <w:rsid w:val="009D7F8D"/>
    <w:rsid w:val="009D7FCD"/>
    <w:rsid w:val="009E0006"/>
    <w:rsid w:val="009E0027"/>
    <w:rsid w:val="009E003F"/>
    <w:rsid w:val="009E009C"/>
    <w:rsid w:val="009E009E"/>
    <w:rsid w:val="009E00D1"/>
    <w:rsid w:val="009E00D7"/>
    <w:rsid w:val="009E00DB"/>
    <w:rsid w:val="009E00F4"/>
    <w:rsid w:val="009E0106"/>
    <w:rsid w:val="009E011D"/>
    <w:rsid w:val="009E01A8"/>
    <w:rsid w:val="009E01E4"/>
    <w:rsid w:val="009E0212"/>
    <w:rsid w:val="009E021D"/>
    <w:rsid w:val="009E022E"/>
    <w:rsid w:val="009E025B"/>
    <w:rsid w:val="009E0272"/>
    <w:rsid w:val="009E02F8"/>
    <w:rsid w:val="009E0369"/>
    <w:rsid w:val="009E0371"/>
    <w:rsid w:val="009E037E"/>
    <w:rsid w:val="009E0393"/>
    <w:rsid w:val="009E039C"/>
    <w:rsid w:val="009E03C6"/>
    <w:rsid w:val="009E03F1"/>
    <w:rsid w:val="009E03FA"/>
    <w:rsid w:val="009E0426"/>
    <w:rsid w:val="009E0430"/>
    <w:rsid w:val="009E043C"/>
    <w:rsid w:val="009E0442"/>
    <w:rsid w:val="009E045F"/>
    <w:rsid w:val="009E04BF"/>
    <w:rsid w:val="009E04C2"/>
    <w:rsid w:val="009E04FC"/>
    <w:rsid w:val="009E0546"/>
    <w:rsid w:val="009E055B"/>
    <w:rsid w:val="009E0565"/>
    <w:rsid w:val="009E0608"/>
    <w:rsid w:val="009E0622"/>
    <w:rsid w:val="009E0636"/>
    <w:rsid w:val="009E0639"/>
    <w:rsid w:val="009E066B"/>
    <w:rsid w:val="009E068D"/>
    <w:rsid w:val="009E06BF"/>
    <w:rsid w:val="009E06C6"/>
    <w:rsid w:val="009E06D6"/>
    <w:rsid w:val="009E0702"/>
    <w:rsid w:val="009E0756"/>
    <w:rsid w:val="009E07D2"/>
    <w:rsid w:val="009E07E4"/>
    <w:rsid w:val="009E085D"/>
    <w:rsid w:val="009E0876"/>
    <w:rsid w:val="009E0877"/>
    <w:rsid w:val="009E0888"/>
    <w:rsid w:val="009E08B9"/>
    <w:rsid w:val="009E08E0"/>
    <w:rsid w:val="009E08FE"/>
    <w:rsid w:val="009E093B"/>
    <w:rsid w:val="009E09D9"/>
    <w:rsid w:val="009E09E3"/>
    <w:rsid w:val="009E09FF"/>
    <w:rsid w:val="009E0A09"/>
    <w:rsid w:val="009E0A4B"/>
    <w:rsid w:val="009E0A87"/>
    <w:rsid w:val="009E0AAE"/>
    <w:rsid w:val="009E0B3B"/>
    <w:rsid w:val="009E0B40"/>
    <w:rsid w:val="009E0B7F"/>
    <w:rsid w:val="009E0BA6"/>
    <w:rsid w:val="009E0BB7"/>
    <w:rsid w:val="009E0BCD"/>
    <w:rsid w:val="009E0BE1"/>
    <w:rsid w:val="009E0C5D"/>
    <w:rsid w:val="009E0CA0"/>
    <w:rsid w:val="009E0CA2"/>
    <w:rsid w:val="009E0CB9"/>
    <w:rsid w:val="009E0CFF"/>
    <w:rsid w:val="009E0D06"/>
    <w:rsid w:val="009E0D23"/>
    <w:rsid w:val="009E0D6F"/>
    <w:rsid w:val="009E0D77"/>
    <w:rsid w:val="009E0D93"/>
    <w:rsid w:val="009E0DAD"/>
    <w:rsid w:val="009E0E16"/>
    <w:rsid w:val="009E0E74"/>
    <w:rsid w:val="009E0EA7"/>
    <w:rsid w:val="009E0EE7"/>
    <w:rsid w:val="009E0F1B"/>
    <w:rsid w:val="009E0F2D"/>
    <w:rsid w:val="009E0F40"/>
    <w:rsid w:val="009E0F43"/>
    <w:rsid w:val="009E0F45"/>
    <w:rsid w:val="009E0F53"/>
    <w:rsid w:val="009E0F8B"/>
    <w:rsid w:val="009E0FB3"/>
    <w:rsid w:val="009E0FB7"/>
    <w:rsid w:val="009E102C"/>
    <w:rsid w:val="009E103F"/>
    <w:rsid w:val="009E1045"/>
    <w:rsid w:val="009E10CD"/>
    <w:rsid w:val="009E10D5"/>
    <w:rsid w:val="009E10D9"/>
    <w:rsid w:val="009E1174"/>
    <w:rsid w:val="009E117F"/>
    <w:rsid w:val="009E1180"/>
    <w:rsid w:val="009E1187"/>
    <w:rsid w:val="009E11CF"/>
    <w:rsid w:val="009E11D8"/>
    <w:rsid w:val="009E11F8"/>
    <w:rsid w:val="009E120D"/>
    <w:rsid w:val="009E120F"/>
    <w:rsid w:val="009E1219"/>
    <w:rsid w:val="009E1220"/>
    <w:rsid w:val="009E1249"/>
    <w:rsid w:val="009E12AC"/>
    <w:rsid w:val="009E12C3"/>
    <w:rsid w:val="009E12CC"/>
    <w:rsid w:val="009E12ED"/>
    <w:rsid w:val="009E1303"/>
    <w:rsid w:val="009E1364"/>
    <w:rsid w:val="009E1379"/>
    <w:rsid w:val="009E1387"/>
    <w:rsid w:val="009E1391"/>
    <w:rsid w:val="009E13B7"/>
    <w:rsid w:val="009E13C3"/>
    <w:rsid w:val="009E13E0"/>
    <w:rsid w:val="009E13EE"/>
    <w:rsid w:val="009E140D"/>
    <w:rsid w:val="009E1417"/>
    <w:rsid w:val="009E1437"/>
    <w:rsid w:val="009E1477"/>
    <w:rsid w:val="009E1493"/>
    <w:rsid w:val="009E1496"/>
    <w:rsid w:val="009E14BA"/>
    <w:rsid w:val="009E14BD"/>
    <w:rsid w:val="009E14C1"/>
    <w:rsid w:val="009E14D5"/>
    <w:rsid w:val="009E14F8"/>
    <w:rsid w:val="009E1500"/>
    <w:rsid w:val="009E1544"/>
    <w:rsid w:val="009E1570"/>
    <w:rsid w:val="009E1577"/>
    <w:rsid w:val="009E157A"/>
    <w:rsid w:val="009E15CE"/>
    <w:rsid w:val="009E15E7"/>
    <w:rsid w:val="009E15EC"/>
    <w:rsid w:val="009E1616"/>
    <w:rsid w:val="009E161E"/>
    <w:rsid w:val="009E161F"/>
    <w:rsid w:val="009E1632"/>
    <w:rsid w:val="009E163D"/>
    <w:rsid w:val="009E167B"/>
    <w:rsid w:val="009E16C6"/>
    <w:rsid w:val="009E1706"/>
    <w:rsid w:val="009E174A"/>
    <w:rsid w:val="009E175B"/>
    <w:rsid w:val="009E178F"/>
    <w:rsid w:val="009E17CC"/>
    <w:rsid w:val="009E17ED"/>
    <w:rsid w:val="009E181E"/>
    <w:rsid w:val="009E1896"/>
    <w:rsid w:val="009E18B6"/>
    <w:rsid w:val="009E18C1"/>
    <w:rsid w:val="009E18C8"/>
    <w:rsid w:val="009E18DC"/>
    <w:rsid w:val="009E1932"/>
    <w:rsid w:val="009E1935"/>
    <w:rsid w:val="009E194D"/>
    <w:rsid w:val="009E1974"/>
    <w:rsid w:val="009E1981"/>
    <w:rsid w:val="009E19ED"/>
    <w:rsid w:val="009E1A27"/>
    <w:rsid w:val="009E1A7A"/>
    <w:rsid w:val="009E1AD5"/>
    <w:rsid w:val="009E1B03"/>
    <w:rsid w:val="009E1B25"/>
    <w:rsid w:val="009E1B3D"/>
    <w:rsid w:val="009E1B5C"/>
    <w:rsid w:val="009E1BCD"/>
    <w:rsid w:val="009E1BE3"/>
    <w:rsid w:val="009E1BE5"/>
    <w:rsid w:val="009E1C75"/>
    <w:rsid w:val="009E1C97"/>
    <w:rsid w:val="009E1CAB"/>
    <w:rsid w:val="009E1D2F"/>
    <w:rsid w:val="009E1D34"/>
    <w:rsid w:val="009E1D57"/>
    <w:rsid w:val="009E1D7C"/>
    <w:rsid w:val="009E1D96"/>
    <w:rsid w:val="009E1DCA"/>
    <w:rsid w:val="009E1DE2"/>
    <w:rsid w:val="009E1DE9"/>
    <w:rsid w:val="009E1E04"/>
    <w:rsid w:val="009E1E27"/>
    <w:rsid w:val="009E1E9C"/>
    <w:rsid w:val="009E1EA2"/>
    <w:rsid w:val="009E1EFF"/>
    <w:rsid w:val="009E1F17"/>
    <w:rsid w:val="009E1F5B"/>
    <w:rsid w:val="009E1FB3"/>
    <w:rsid w:val="009E1FBA"/>
    <w:rsid w:val="009E1FFA"/>
    <w:rsid w:val="009E202E"/>
    <w:rsid w:val="009E207D"/>
    <w:rsid w:val="009E208C"/>
    <w:rsid w:val="009E2093"/>
    <w:rsid w:val="009E20C0"/>
    <w:rsid w:val="009E20D5"/>
    <w:rsid w:val="009E20E8"/>
    <w:rsid w:val="009E20E9"/>
    <w:rsid w:val="009E20FB"/>
    <w:rsid w:val="009E2103"/>
    <w:rsid w:val="009E2128"/>
    <w:rsid w:val="009E2139"/>
    <w:rsid w:val="009E2150"/>
    <w:rsid w:val="009E2158"/>
    <w:rsid w:val="009E2164"/>
    <w:rsid w:val="009E21ED"/>
    <w:rsid w:val="009E2205"/>
    <w:rsid w:val="009E220A"/>
    <w:rsid w:val="009E225C"/>
    <w:rsid w:val="009E2260"/>
    <w:rsid w:val="009E22CA"/>
    <w:rsid w:val="009E22D4"/>
    <w:rsid w:val="009E22DC"/>
    <w:rsid w:val="009E2300"/>
    <w:rsid w:val="009E2311"/>
    <w:rsid w:val="009E2319"/>
    <w:rsid w:val="009E2323"/>
    <w:rsid w:val="009E234C"/>
    <w:rsid w:val="009E2362"/>
    <w:rsid w:val="009E239B"/>
    <w:rsid w:val="009E23FA"/>
    <w:rsid w:val="009E246A"/>
    <w:rsid w:val="009E248C"/>
    <w:rsid w:val="009E2491"/>
    <w:rsid w:val="009E2493"/>
    <w:rsid w:val="009E2514"/>
    <w:rsid w:val="009E2517"/>
    <w:rsid w:val="009E2521"/>
    <w:rsid w:val="009E2536"/>
    <w:rsid w:val="009E2552"/>
    <w:rsid w:val="009E255F"/>
    <w:rsid w:val="009E257F"/>
    <w:rsid w:val="009E259B"/>
    <w:rsid w:val="009E25C0"/>
    <w:rsid w:val="009E25EC"/>
    <w:rsid w:val="009E2644"/>
    <w:rsid w:val="009E26BD"/>
    <w:rsid w:val="009E26C5"/>
    <w:rsid w:val="009E26D5"/>
    <w:rsid w:val="009E2747"/>
    <w:rsid w:val="009E2760"/>
    <w:rsid w:val="009E2763"/>
    <w:rsid w:val="009E2764"/>
    <w:rsid w:val="009E2772"/>
    <w:rsid w:val="009E278A"/>
    <w:rsid w:val="009E27A1"/>
    <w:rsid w:val="009E27AC"/>
    <w:rsid w:val="009E27B4"/>
    <w:rsid w:val="009E27D0"/>
    <w:rsid w:val="009E27E2"/>
    <w:rsid w:val="009E27F8"/>
    <w:rsid w:val="009E2848"/>
    <w:rsid w:val="009E288E"/>
    <w:rsid w:val="009E28BF"/>
    <w:rsid w:val="009E28F4"/>
    <w:rsid w:val="009E290D"/>
    <w:rsid w:val="009E295E"/>
    <w:rsid w:val="009E29AF"/>
    <w:rsid w:val="009E2A3B"/>
    <w:rsid w:val="009E2A99"/>
    <w:rsid w:val="009E2AA0"/>
    <w:rsid w:val="009E2AC5"/>
    <w:rsid w:val="009E2B3D"/>
    <w:rsid w:val="009E2B4D"/>
    <w:rsid w:val="009E2B5C"/>
    <w:rsid w:val="009E2B6B"/>
    <w:rsid w:val="009E2B82"/>
    <w:rsid w:val="009E2B88"/>
    <w:rsid w:val="009E2BA9"/>
    <w:rsid w:val="009E2BF3"/>
    <w:rsid w:val="009E2C06"/>
    <w:rsid w:val="009E2C0C"/>
    <w:rsid w:val="009E2C15"/>
    <w:rsid w:val="009E2C29"/>
    <w:rsid w:val="009E2C30"/>
    <w:rsid w:val="009E2C51"/>
    <w:rsid w:val="009E2C7C"/>
    <w:rsid w:val="009E2D8F"/>
    <w:rsid w:val="009E2DA4"/>
    <w:rsid w:val="009E2DCD"/>
    <w:rsid w:val="009E2DEB"/>
    <w:rsid w:val="009E2E22"/>
    <w:rsid w:val="009E2E24"/>
    <w:rsid w:val="009E2E94"/>
    <w:rsid w:val="009E2EEE"/>
    <w:rsid w:val="009E2F1E"/>
    <w:rsid w:val="009E2F2F"/>
    <w:rsid w:val="009E2F33"/>
    <w:rsid w:val="009E2F6F"/>
    <w:rsid w:val="009E2F70"/>
    <w:rsid w:val="009E2F7C"/>
    <w:rsid w:val="009E2F95"/>
    <w:rsid w:val="009E2FE5"/>
    <w:rsid w:val="009E2FF1"/>
    <w:rsid w:val="009E300E"/>
    <w:rsid w:val="009E3030"/>
    <w:rsid w:val="009E3044"/>
    <w:rsid w:val="009E306D"/>
    <w:rsid w:val="009E30CF"/>
    <w:rsid w:val="009E30DB"/>
    <w:rsid w:val="009E30F5"/>
    <w:rsid w:val="009E31ED"/>
    <w:rsid w:val="009E31FA"/>
    <w:rsid w:val="009E3222"/>
    <w:rsid w:val="009E3226"/>
    <w:rsid w:val="009E323B"/>
    <w:rsid w:val="009E3253"/>
    <w:rsid w:val="009E3281"/>
    <w:rsid w:val="009E3287"/>
    <w:rsid w:val="009E329F"/>
    <w:rsid w:val="009E3347"/>
    <w:rsid w:val="009E334B"/>
    <w:rsid w:val="009E338D"/>
    <w:rsid w:val="009E3392"/>
    <w:rsid w:val="009E3394"/>
    <w:rsid w:val="009E33E4"/>
    <w:rsid w:val="009E33ED"/>
    <w:rsid w:val="009E3411"/>
    <w:rsid w:val="009E34A5"/>
    <w:rsid w:val="009E3545"/>
    <w:rsid w:val="009E3574"/>
    <w:rsid w:val="009E35B7"/>
    <w:rsid w:val="009E360F"/>
    <w:rsid w:val="009E3619"/>
    <w:rsid w:val="009E368E"/>
    <w:rsid w:val="009E3691"/>
    <w:rsid w:val="009E369E"/>
    <w:rsid w:val="009E36DC"/>
    <w:rsid w:val="009E36E4"/>
    <w:rsid w:val="009E36EA"/>
    <w:rsid w:val="009E36ED"/>
    <w:rsid w:val="009E3707"/>
    <w:rsid w:val="009E378D"/>
    <w:rsid w:val="009E37A7"/>
    <w:rsid w:val="009E37AC"/>
    <w:rsid w:val="009E37DA"/>
    <w:rsid w:val="009E3820"/>
    <w:rsid w:val="009E3858"/>
    <w:rsid w:val="009E385F"/>
    <w:rsid w:val="009E38A8"/>
    <w:rsid w:val="009E38E5"/>
    <w:rsid w:val="009E38EC"/>
    <w:rsid w:val="009E38F4"/>
    <w:rsid w:val="009E38FE"/>
    <w:rsid w:val="009E390E"/>
    <w:rsid w:val="009E3932"/>
    <w:rsid w:val="009E397F"/>
    <w:rsid w:val="009E399C"/>
    <w:rsid w:val="009E3A2A"/>
    <w:rsid w:val="009E3A48"/>
    <w:rsid w:val="009E3A4F"/>
    <w:rsid w:val="009E3A94"/>
    <w:rsid w:val="009E3AEF"/>
    <w:rsid w:val="009E3AFE"/>
    <w:rsid w:val="009E3B5D"/>
    <w:rsid w:val="009E3BBD"/>
    <w:rsid w:val="009E3BD0"/>
    <w:rsid w:val="009E3BF9"/>
    <w:rsid w:val="009E3C3C"/>
    <w:rsid w:val="009E3C97"/>
    <w:rsid w:val="009E3CA1"/>
    <w:rsid w:val="009E3CE2"/>
    <w:rsid w:val="009E3CE3"/>
    <w:rsid w:val="009E3D26"/>
    <w:rsid w:val="009E3D34"/>
    <w:rsid w:val="009E3D42"/>
    <w:rsid w:val="009E3D64"/>
    <w:rsid w:val="009E3DC3"/>
    <w:rsid w:val="009E3DD0"/>
    <w:rsid w:val="009E3E1C"/>
    <w:rsid w:val="009E3E52"/>
    <w:rsid w:val="009E3E71"/>
    <w:rsid w:val="009E3E7B"/>
    <w:rsid w:val="009E3E7E"/>
    <w:rsid w:val="009E3EB1"/>
    <w:rsid w:val="009E3EBF"/>
    <w:rsid w:val="009E3ECB"/>
    <w:rsid w:val="009E3EE1"/>
    <w:rsid w:val="009E3EF6"/>
    <w:rsid w:val="009E3F3C"/>
    <w:rsid w:val="009E3F46"/>
    <w:rsid w:val="009E3F60"/>
    <w:rsid w:val="009E3F7C"/>
    <w:rsid w:val="009E4069"/>
    <w:rsid w:val="009E4074"/>
    <w:rsid w:val="009E4088"/>
    <w:rsid w:val="009E4091"/>
    <w:rsid w:val="009E40EB"/>
    <w:rsid w:val="009E40F3"/>
    <w:rsid w:val="009E40F5"/>
    <w:rsid w:val="009E410C"/>
    <w:rsid w:val="009E410F"/>
    <w:rsid w:val="009E4120"/>
    <w:rsid w:val="009E4156"/>
    <w:rsid w:val="009E41B6"/>
    <w:rsid w:val="009E423A"/>
    <w:rsid w:val="009E42DA"/>
    <w:rsid w:val="009E42E3"/>
    <w:rsid w:val="009E4313"/>
    <w:rsid w:val="009E436E"/>
    <w:rsid w:val="009E4370"/>
    <w:rsid w:val="009E4393"/>
    <w:rsid w:val="009E441E"/>
    <w:rsid w:val="009E4445"/>
    <w:rsid w:val="009E44EC"/>
    <w:rsid w:val="009E451A"/>
    <w:rsid w:val="009E452C"/>
    <w:rsid w:val="009E4565"/>
    <w:rsid w:val="009E456D"/>
    <w:rsid w:val="009E4575"/>
    <w:rsid w:val="009E45EE"/>
    <w:rsid w:val="009E462A"/>
    <w:rsid w:val="009E4658"/>
    <w:rsid w:val="009E46B3"/>
    <w:rsid w:val="009E46D0"/>
    <w:rsid w:val="009E46FD"/>
    <w:rsid w:val="009E470E"/>
    <w:rsid w:val="009E4743"/>
    <w:rsid w:val="009E477F"/>
    <w:rsid w:val="009E47AA"/>
    <w:rsid w:val="009E47E3"/>
    <w:rsid w:val="009E47F6"/>
    <w:rsid w:val="009E4857"/>
    <w:rsid w:val="009E488F"/>
    <w:rsid w:val="009E4897"/>
    <w:rsid w:val="009E48A2"/>
    <w:rsid w:val="009E48B1"/>
    <w:rsid w:val="009E48B4"/>
    <w:rsid w:val="009E48C7"/>
    <w:rsid w:val="009E48FD"/>
    <w:rsid w:val="009E490C"/>
    <w:rsid w:val="009E493D"/>
    <w:rsid w:val="009E4947"/>
    <w:rsid w:val="009E4981"/>
    <w:rsid w:val="009E499E"/>
    <w:rsid w:val="009E49C8"/>
    <w:rsid w:val="009E4A19"/>
    <w:rsid w:val="009E4A1F"/>
    <w:rsid w:val="009E4A35"/>
    <w:rsid w:val="009E4A3A"/>
    <w:rsid w:val="009E4AEC"/>
    <w:rsid w:val="009E4B1B"/>
    <w:rsid w:val="009E4B1F"/>
    <w:rsid w:val="009E4B24"/>
    <w:rsid w:val="009E4B2C"/>
    <w:rsid w:val="009E4B3B"/>
    <w:rsid w:val="009E4B4E"/>
    <w:rsid w:val="009E4B6A"/>
    <w:rsid w:val="009E4B7C"/>
    <w:rsid w:val="009E4B9C"/>
    <w:rsid w:val="009E4BA5"/>
    <w:rsid w:val="009E4BB4"/>
    <w:rsid w:val="009E4BDF"/>
    <w:rsid w:val="009E4C29"/>
    <w:rsid w:val="009E4C46"/>
    <w:rsid w:val="009E4C8F"/>
    <w:rsid w:val="009E4C98"/>
    <w:rsid w:val="009E4CB0"/>
    <w:rsid w:val="009E4D11"/>
    <w:rsid w:val="009E4D4E"/>
    <w:rsid w:val="009E4D8A"/>
    <w:rsid w:val="009E4D92"/>
    <w:rsid w:val="009E4DA1"/>
    <w:rsid w:val="009E4DBE"/>
    <w:rsid w:val="009E4DDE"/>
    <w:rsid w:val="009E4E83"/>
    <w:rsid w:val="009E4E8E"/>
    <w:rsid w:val="009E4E9A"/>
    <w:rsid w:val="009E4EC3"/>
    <w:rsid w:val="009E4F51"/>
    <w:rsid w:val="009E4F81"/>
    <w:rsid w:val="009E4FA0"/>
    <w:rsid w:val="009E4FA5"/>
    <w:rsid w:val="009E4FD9"/>
    <w:rsid w:val="009E4FE6"/>
    <w:rsid w:val="009E5013"/>
    <w:rsid w:val="009E504F"/>
    <w:rsid w:val="009E506F"/>
    <w:rsid w:val="009E50A8"/>
    <w:rsid w:val="009E50B2"/>
    <w:rsid w:val="009E50DC"/>
    <w:rsid w:val="009E510B"/>
    <w:rsid w:val="009E510F"/>
    <w:rsid w:val="009E5120"/>
    <w:rsid w:val="009E516E"/>
    <w:rsid w:val="009E51A4"/>
    <w:rsid w:val="009E51A9"/>
    <w:rsid w:val="009E51AF"/>
    <w:rsid w:val="009E51BF"/>
    <w:rsid w:val="009E51C0"/>
    <w:rsid w:val="009E51CC"/>
    <w:rsid w:val="009E51E6"/>
    <w:rsid w:val="009E51FF"/>
    <w:rsid w:val="009E5224"/>
    <w:rsid w:val="009E5238"/>
    <w:rsid w:val="009E5254"/>
    <w:rsid w:val="009E5278"/>
    <w:rsid w:val="009E528D"/>
    <w:rsid w:val="009E52A6"/>
    <w:rsid w:val="009E52B6"/>
    <w:rsid w:val="009E52BA"/>
    <w:rsid w:val="009E52C8"/>
    <w:rsid w:val="009E52ED"/>
    <w:rsid w:val="009E5304"/>
    <w:rsid w:val="009E5345"/>
    <w:rsid w:val="009E539F"/>
    <w:rsid w:val="009E53C1"/>
    <w:rsid w:val="009E53CB"/>
    <w:rsid w:val="009E53D0"/>
    <w:rsid w:val="009E53F3"/>
    <w:rsid w:val="009E540E"/>
    <w:rsid w:val="009E5465"/>
    <w:rsid w:val="009E546C"/>
    <w:rsid w:val="009E548D"/>
    <w:rsid w:val="009E54A2"/>
    <w:rsid w:val="009E5597"/>
    <w:rsid w:val="009E55B7"/>
    <w:rsid w:val="009E55CA"/>
    <w:rsid w:val="009E55CC"/>
    <w:rsid w:val="009E55FD"/>
    <w:rsid w:val="009E562C"/>
    <w:rsid w:val="009E5631"/>
    <w:rsid w:val="009E5680"/>
    <w:rsid w:val="009E56A1"/>
    <w:rsid w:val="009E56D5"/>
    <w:rsid w:val="009E56E3"/>
    <w:rsid w:val="009E5705"/>
    <w:rsid w:val="009E5721"/>
    <w:rsid w:val="009E573F"/>
    <w:rsid w:val="009E574B"/>
    <w:rsid w:val="009E5775"/>
    <w:rsid w:val="009E578D"/>
    <w:rsid w:val="009E5794"/>
    <w:rsid w:val="009E57A0"/>
    <w:rsid w:val="009E57AF"/>
    <w:rsid w:val="009E57C4"/>
    <w:rsid w:val="009E57FE"/>
    <w:rsid w:val="009E5801"/>
    <w:rsid w:val="009E5827"/>
    <w:rsid w:val="009E5850"/>
    <w:rsid w:val="009E5910"/>
    <w:rsid w:val="009E5970"/>
    <w:rsid w:val="009E597D"/>
    <w:rsid w:val="009E5982"/>
    <w:rsid w:val="009E59D8"/>
    <w:rsid w:val="009E5A3F"/>
    <w:rsid w:val="009E5A4F"/>
    <w:rsid w:val="009E5A69"/>
    <w:rsid w:val="009E5A94"/>
    <w:rsid w:val="009E5B77"/>
    <w:rsid w:val="009E5B9B"/>
    <w:rsid w:val="009E5BA6"/>
    <w:rsid w:val="009E5BB6"/>
    <w:rsid w:val="009E5BC2"/>
    <w:rsid w:val="009E5BDC"/>
    <w:rsid w:val="009E5BF8"/>
    <w:rsid w:val="009E5C68"/>
    <w:rsid w:val="009E5C93"/>
    <w:rsid w:val="009E5CA0"/>
    <w:rsid w:val="009E5CA2"/>
    <w:rsid w:val="009E5CCD"/>
    <w:rsid w:val="009E5CF0"/>
    <w:rsid w:val="009E5D26"/>
    <w:rsid w:val="009E5D39"/>
    <w:rsid w:val="009E5D65"/>
    <w:rsid w:val="009E5D98"/>
    <w:rsid w:val="009E5DA8"/>
    <w:rsid w:val="009E5DB4"/>
    <w:rsid w:val="009E5DFC"/>
    <w:rsid w:val="009E5E2F"/>
    <w:rsid w:val="009E5E54"/>
    <w:rsid w:val="009E5E68"/>
    <w:rsid w:val="009E5E6B"/>
    <w:rsid w:val="009E5EAF"/>
    <w:rsid w:val="009E5F20"/>
    <w:rsid w:val="009E5F2E"/>
    <w:rsid w:val="009E5F46"/>
    <w:rsid w:val="009E5F4F"/>
    <w:rsid w:val="009E5FA5"/>
    <w:rsid w:val="009E5FF4"/>
    <w:rsid w:val="009E5FF6"/>
    <w:rsid w:val="009E6025"/>
    <w:rsid w:val="009E6035"/>
    <w:rsid w:val="009E609E"/>
    <w:rsid w:val="009E60A4"/>
    <w:rsid w:val="009E60E7"/>
    <w:rsid w:val="009E60F2"/>
    <w:rsid w:val="009E6115"/>
    <w:rsid w:val="009E612B"/>
    <w:rsid w:val="009E6148"/>
    <w:rsid w:val="009E6159"/>
    <w:rsid w:val="009E6160"/>
    <w:rsid w:val="009E6170"/>
    <w:rsid w:val="009E617D"/>
    <w:rsid w:val="009E6195"/>
    <w:rsid w:val="009E61DA"/>
    <w:rsid w:val="009E61EB"/>
    <w:rsid w:val="009E61ED"/>
    <w:rsid w:val="009E6234"/>
    <w:rsid w:val="009E626E"/>
    <w:rsid w:val="009E62A7"/>
    <w:rsid w:val="009E62AC"/>
    <w:rsid w:val="009E62D4"/>
    <w:rsid w:val="009E6319"/>
    <w:rsid w:val="009E634B"/>
    <w:rsid w:val="009E6376"/>
    <w:rsid w:val="009E63A2"/>
    <w:rsid w:val="009E63F5"/>
    <w:rsid w:val="009E640C"/>
    <w:rsid w:val="009E640D"/>
    <w:rsid w:val="009E6425"/>
    <w:rsid w:val="009E642E"/>
    <w:rsid w:val="009E6463"/>
    <w:rsid w:val="009E6485"/>
    <w:rsid w:val="009E6494"/>
    <w:rsid w:val="009E649E"/>
    <w:rsid w:val="009E64BA"/>
    <w:rsid w:val="009E64CC"/>
    <w:rsid w:val="009E64D2"/>
    <w:rsid w:val="009E64E2"/>
    <w:rsid w:val="009E64F8"/>
    <w:rsid w:val="009E65D3"/>
    <w:rsid w:val="009E65E0"/>
    <w:rsid w:val="009E6608"/>
    <w:rsid w:val="009E6611"/>
    <w:rsid w:val="009E6670"/>
    <w:rsid w:val="009E6671"/>
    <w:rsid w:val="009E667B"/>
    <w:rsid w:val="009E6690"/>
    <w:rsid w:val="009E66AE"/>
    <w:rsid w:val="009E66F5"/>
    <w:rsid w:val="009E6722"/>
    <w:rsid w:val="009E6724"/>
    <w:rsid w:val="009E6793"/>
    <w:rsid w:val="009E67BB"/>
    <w:rsid w:val="009E67FE"/>
    <w:rsid w:val="009E68AC"/>
    <w:rsid w:val="009E68E0"/>
    <w:rsid w:val="009E6921"/>
    <w:rsid w:val="009E6958"/>
    <w:rsid w:val="009E69A5"/>
    <w:rsid w:val="009E69F6"/>
    <w:rsid w:val="009E6A14"/>
    <w:rsid w:val="009E6A30"/>
    <w:rsid w:val="009E6A5C"/>
    <w:rsid w:val="009E6A5D"/>
    <w:rsid w:val="009E6A67"/>
    <w:rsid w:val="009E6A72"/>
    <w:rsid w:val="009E6AB2"/>
    <w:rsid w:val="009E6ACD"/>
    <w:rsid w:val="009E6ADA"/>
    <w:rsid w:val="009E6B10"/>
    <w:rsid w:val="009E6B12"/>
    <w:rsid w:val="009E6B2D"/>
    <w:rsid w:val="009E6B6A"/>
    <w:rsid w:val="009E6BD7"/>
    <w:rsid w:val="009E6BF7"/>
    <w:rsid w:val="009E6C34"/>
    <w:rsid w:val="009E6C95"/>
    <w:rsid w:val="009E6CF9"/>
    <w:rsid w:val="009E6D43"/>
    <w:rsid w:val="009E6DEF"/>
    <w:rsid w:val="009E6DF1"/>
    <w:rsid w:val="009E6DFF"/>
    <w:rsid w:val="009E6E22"/>
    <w:rsid w:val="009E6EAB"/>
    <w:rsid w:val="009E6EBA"/>
    <w:rsid w:val="009E6ECA"/>
    <w:rsid w:val="009E6EDD"/>
    <w:rsid w:val="009E6EEF"/>
    <w:rsid w:val="009E6F2B"/>
    <w:rsid w:val="009E6F91"/>
    <w:rsid w:val="009E6FF6"/>
    <w:rsid w:val="009E7027"/>
    <w:rsid w:val="009E705E"/>
    <w:rsid w:val="009E70BC"/>
    <w:rsid w:val="009E712A"/>
    <w:rsid w:val="009E7164"/>
    <w:rsid w:val="009E7172"/>
    <w:rsid w:val="009E71A5"/>
    <w:rsid w:val="009E71B8"/>
    <w:rsid w:val="009E71EB"/>
    <w:rsid w:val="009E72B2"/>
    <w:rsid w:val="009E72D9"/>
    <w:rsid w:val="009E72E0"/>
    <w:rsid w:val="009E72F2"/>
    <w:rsid w:val="009E731C"/>
    <w:rsid w:val="009E733E"/>
    <w:rsid w:val="009E740D"/>
    <w:rsid w:val="009E7417"/>
    <w:rsid w:val="009E741D"/>
    <w:rsid w:val="009E7496"/>
    <w:rsid w:val="009E74DA"/>
    <w:rsid w:val="009E751E"/>
    <w:rsid w:val="009E7599"/>
    <w:rsid w:val="009E75CE"/>
    <w:rsid w:val="009E75D6"/>
    <w:rsid w:val="009E75D9"/>
    <w:rsid w:val="009E75F4"/>
    <w:rsid w:val="009E75F5"/>
    <w:rsid w:val="009E760B"/>
    <w:rsid w:val="009E7682"/>
    <w:rsid w:val="009E76E6"/>
    <w:rsid w:val="009E7721"/>
    <w:rsid w:val="009E772A"/>
    <w:rsid w:val="009E7778"/>
    <w:rsid w:val="009E777D"/>
    <w:rsid w:val="009E77D6"/>
    <w:rsid w:val="009E77E1"/>
    <w:rsid w:val="009E781B"/>
    <w:rsid w:val="009E7822"/>
    <w:rsid w:val="009E784B"/>
    <w:rsid w:val="009E7859"/>
    <w:rsid w:val="009E786F"/>
    <w:rsid w:val="009E78B7"/>
    <w:rsid w:val="009E78C2"/>
    <w:rsid w:val="009E7912"/>
    <w:rsid w:val="009E7927"/>
    <w:rsid w:val="009E794B"/>
    <w:rsid w:val="009E7951"/>
    <w:rsid w:val="009E7958"/>
    <w:rsid w:val="009E7963"/>
    <w:rsid w:val="009E797B"/>
    <w:rsid w:val="009E79AD"/>
    <w:rsid w:val="009E79CF"/>
    <w:rsid w:val="009E79E0"/>
    <w:rsid w:val="009E79F7"/>
    <w:rsid w:val="009E7A26"/>
    <w:rsid w:val="009E7A50"/>
    <w:rsid w:val="009E7A68"/>
    <w:rsid w:val="009E7A87"/>
    <w:rsid w:val="009E7AFA"/>
    <w:rsid w:val="009E7B9B"/>
    <w:rsid w:val="009E7B9F"/>
    <w:rsid w:val="009E7BAC"/>
    <w:rsid w:val="009E7BDB"/>
    <w:rsid w:val="009E7C1A"/>
    <w:rsid w:val="009E7C33"/>
    <w:rsid w:val="009E7C39"/>
    <w:rsid w:val="009E7C5F"/>
    <w:rsid w:val="009E7C6B"/>
    <w:rsid w:val="009E7C98"/>
    <w:rsid w:val="009E7CBB"/>
    <w:rsid w:val="009E7CDA"/>
    <w:rsid w:val="009E7D11"/>
    <w:rsid w:val="009E7D22"/>
    <w:rsid w:val="009E7D54"/>
    <w:rsid w:val="009E7D76"/>
    <w:rsid w:val="009E7D8C"/>
    <w:rsid w:val="009E7D9F"/>
    <w:rsid w:val="009E7DC9"/>
    <w:rsid w:val="009E7E05"/>
    <w:rsid w:val="009E7E48"/>
    <w:rsid w:val="009E7E87"/>
    <w:rsid w:val="009E7EBA"/>
    <w:rsid w:val="009E7EE1"/>
    <w:rsid w:val="009E7F0E"/>
    <w:rsid w:val="009E7F16"/>
    <w:rsid w:val="009E7F21"/>
    <w:rsid w:val="009E7F2F"/>
    <w:rsid w:val="009E7F4A"/>
    <w:rsid w:val="009E7F4F"/>
    <w:rsid w:val="009E7F63"/>
    <w:rsid w:val="009E7F6A"/>
    <w:rsid w:val="009E7F87"/>
    <w:rsid w:val="009E7F93"/>
    <w:rsid w:val="009E7F98"/>
    <w:rsid w:val="009E7FA1"/>
    <w:rsid w:val="009E7FFA"/>
    <w:rsid w:val="009F0064"/>
    <w:rsid w:val="009F007F"/>
    <w:rsid w:val="009F00E9"/>
    <w:rsid w:val="009F00F3"/>
    <w:rsid w:val="009F00FA"/>
    <w:rsid w:val="009F00FB"/>
    <w:rsid w:val="009F010B"/>
    <w:rsid w:val="009F018E"/>
    <w:rsid w:val="009F01A7"/>
    <w:rsid w:val="009F01D2"/>
    <w:rsid w:val="009F0233"/>
    <w:rsid w:val="009F0238"/>
    <w:rsid w:val="009F0241"/>
    <w:rsid w:val="009F0265"/>
    <w:rsid w:val="009F02CC"/>
    <w:rsid w:val="009F02E6"/>
    <w:rsid w:val="009F0313"/>
    <w:rsid w:val="009F0349"/>
    <w:rsid w:val="009F0357"/>
    <w:rsid w:val="009F0385"/>
    <w:rsid w:val="009F0402"/>
    <w:rsid w:val="009F0438"/>
    <w:rsid w:val="009F0449"/>
    <w:rsid w:val="009F0462"/>
    <w:rsid w:val="009F0465"/>
    <w:rsid w:val="009F048E"/>
    <w:rsid w:val="009F0490"/>
    <w:rsid w:val="009F049C"/>
    <w:rsid w:val="009F04F0"/>
    <w:rsid w:val="009F052F"/>
    <w:rsid w:val="009F054D"/>
    <w:rsid w:val="009F0585"/>
    <w:rsid w:val="009F058D"/>
    <w:rsid w:val="009F05FF"/>
    <w:rsid w:val="009F063C"/>
    <w:rsid w:val="009F066A"/>
    <w:rsid w:val="009F06C4"/>
    <w:rsid w:val="009F06F7"/>
    <w:rsid w:val="009F074E"/>
    <w:rsid w:val="009F077C"/>
    <w:rsid w:val="009F0796"/>
    <w:rsid w:val="009F079D"/>
    <w:rsid w:val="009F07A4"/>
    <w:rsid w:val="009F07F5"/>
    <w:rsid w:val="009F0819"/>
    <w:rsid w:val="009F084B"/>
    <w:rsid w:val="009F0855"/>
    <w:rsid w:val="009F087F"/>
    <w:rsid w:val="009F08A1"/>
    <w:rsid w:val="009F08FC"/>
    <w:rsid w:val="009F091E"/>
    <w:rsid w:val="009F0928"/>
    <w:rsid w:val="009F0965"/>
    <w:rsid w:val="009F097C"/>
    <w:rsid w:val="009F0990"/>
    <w:rsid w:val="009F09C8"/>
    <w:rsid w:val="009F09FF"/>
    <w:rsid w:val="009F0A3D"/>
    <w:rsid w:val="009F0A4F"/>
    <w:rsid w:val="009F0A70"/>
    <w:rsid w:val="009F0A74"/>
    <w:rsid w:val="009F0A82"/>
    <w:rsid w:val="009F0B1D"/>
    <w:rsid w:val="009F0B4D"/>
    <w:rsid w:val="009F0B7B"/>
    <w:rsid w:val="009F0B84"/>
    <w:rsid w:val="009F0B90"/>
    <w:rsid w:val="009F0BA5"/>
    <w:rsid w:val="009F0BB4"/>
    <w:rsid w:val="009F0BCB"/>
    <w:rsid w:val="009F0BCC"/>
    <w:rsid w:val="009F0C5C"/>
    <w:rsid w:val="009F0C6D"/>
    <w:rsid w:val="009F0C91"/>
    <w:rsid w:val="009F0CD7"/>
    <w:rsid w:val="009F0CDF"/>
    <w:rsid w:val="009F0CEB"/>
    <w:rsid w:val="009F0D32"/>
    <w:rsid w:val="009F0D4B"/>
    <w:rsid w:val="009F0D6A"/>
    <w:rsid w:val="009F0D86"/>
    <w:rsid w:val="009F0D88"/>
    <w:rsid w:val="009F0E04"/>
    <w:rsid w:val="009F0E6D"/>
    <w:rsid w:val="009F0E9D"/>
    <w:rsid w:val="009F0EAD"/>
    <w:rsid w:val="009F0EB9"/>
    <w:rsid w:val="009F0EF6"/>
    <w:rsid w:val="009F0FD0"/>
    <w:rsid w:val="009F0FE8"/>
    <w:rsid w:val="009F102C"/>
    <w:rsid w:val="009F1040"/>
    <w:rsid w:val="009F1043"/>
    <w:rsid w:val="009F1046"/>
    <w:rsid w:val="009F1069"/>
    <w:rsid w:val="009F1077"/>
    <w:rsid w:val="009F10AA"/>
    <w:rsid w:val="009F10CE"/>
    <w:rsid w:val="009F10F2"/>
    <w:rsid w:val="009F115F"/>
    <w:rsid w:val="009F11A8"/>
    <w:rsid w:val="009F11C0"/>
    <w:rsid w:val="009F11E8"/>
    <w:rsid w:val="009F123E"/>
    <w:rsid w:val="009F1292"/>
    <w:rsid w:val="009F12F9"/>
    <w:rsid w:val="009F1320"/>
    <w:rsid w:val="009F1339"/>
    <w:rsid w:val="009F135D"/>
    <w:rsid w:val="009F1383"/>
    <w:rsid w:val="009F138D"/>
    <w:rsid w:val="009F13A2"/>
    <w:rsid w:val="009F13A3"/>
    <w:rsid w:val="009F13AD"/>
    <w:rsid w:val="009F13B1"/>
    <w:rsid w:val="009F13F0"/>
    <w:rsid w:val="009F1400"/>
    <w:rsid w:val="009F1414"/>
    <w:rsid w:val="009F1436"/>
    <w:rsid w:val="009F1450"/>
    <w:rsid w:val="009F14B0"/>
    <w:rsid w:val="009F14CA"/>
    <w:rsid w:val="009F14E5"/>
    <w:rsid w:val="009F152B"/>
    <w:rsid w:val="009F1561"/>
    <w:rsid w:val="009F156B"/>
    <w:rsid w:val="009F1586"/>
    <w:rsid w:val="009F15EB"/>
    <w:rsid w:val="009F166E"/>
    <w:rsid w:val="009F16A5"/>
    <w:rsid w:val="009F16E0"/>
    <w:rsid w:val="009F1707"/>
    <w:rsid w:val="009F170E"/>
    <w:rsid w:val="009F171D"/>
    <w:rsid w:val="009F173F"/>
    <w:rsid w:val="009F17A7"/>
    <w:rsid w:val="009F17BA"/>
    <w:rsid w:val="009F180D"/>
    <w:rsid w:val="009F182E"/>
    <w:rsid w:val="009F185E"/>
    <w:rsid w:val="009F1886"/>
    <w:rsid w:val="009F1914"/>
    <w:rsid w:val="009F1927"/>
    <w:rsid w:val="009F192E"/>
    <w:rsid w:val="009F1934"/>
    <w:rsid w:val="009F1940"/>
    <w:rsid w:val="009F194A"/>
    <w:rsid w:val="009F19AD"/>
    <w:rsid w:val="009F19CB"/>
    <w:rsid w:val="009F19F1"/>
    <w:rsid w:val="009F1A2F"/>
    <w:rsid w:val="009F1AA0"/>
    <w:rsid w:val="009F1AC2"/>
    <w:rsid w:val="009F1AC6"/>
    <w:rsid w:val="009F1AD7"/>
    <w:rsid w:val="009F1AF5"/>
    <w:rsid w:val="009F1AFF"/>
    <w:rsid w:val="009F1B2A"/>
    <w:rsid w:val="009F1C41"/>
    <w:rsid w:val="009F1C5E"/>
    <w:rsid w:val="009F1CC4"/>
    <w:rsid w:val="009F1CC8"/>
    <w:rsid w:val="009F1D13"/>
    <w:rsid w:val="009F1D3B"/>
    <w:rsid w:val="009F1D51"/>
    <w:rsid w:val="009F1D7E"/>
    <w:rsid w:val="009F1DCA"/>
    <w:rsid w:val="009F1DF2"/>
    <w:rsid w:val="009F1E04"/>
    <w:rsid w:val="009F1E63"/>
    <w:rsid w:val="009F1E66"/>
    <w:rsid w:val="009F1E90"/>
    <w:rsid w:val="009F1E92"/>
    <w:rsid w:val="009F1EB2"/>
    <w:rsid w:val="009F1EBB"/>
    <w:rsid w:val="009F1EFC"/>
    <w:rsid w:val="009F1F11"/>
    <w:rsid w:val="009F1F24"/>
    <w:rsid w:val="009F1F5B"/>
    <w:rsid w:val="009F1F90"/>
    <w:rsid w:val="009F1F99"/>
    <w:rsid w:val="009F1F9B"/>
    <w:rsid w:val="009F1FF1"/>
    <w:rsid w:val="009F1FF6"/>
    <w:rsid w:val="009F201F"/>
    <w:rsid w:val="009F2034"/>
    <w:rsid w:val="009F2080"/>
    <w:rsid w:val="009F20A2"/>
    <w:rsid w:val="009F20A8"/>
    <w:rsid w:val="009F20BA"/>
    <w:rsid w:val="009F20C0"/>
    <w:rsid w:val="009F210E"/>
    <w:rsid w:val="009F2130"/>
    <w:rsid w:val="009F2146"/>
    <w:rsid w:val="009F2153"/>
    <w:rsid w:val="009F2185"/>
    <w:rsid w:val="009F21BA"/>
    <w:rsid w:val="009F21DF"/>
    <w:rsid w:val="009F21EA"/>
    <w:rsid w:val="009F2258"/>
    <w:rsid w:val="009F225C"/>
    <w:rsid w:val="009F225F"/>
    <w:rsid w:val="009F227F"/>
    <w:rsid w:val="009F2293"/>
    <w:rsid w:val="009F22A1"/>
    <w:rsid w:val="009F22E6"/>
    <w:rsid w:val="009F231B"/>
    <w:rsid w:val="009F231E"/>
    <w:rsid w:val="009F232D"/>
    <w:rsid w:val="009F237F"/>
    <w:rsid w:val="009F23C7"/>
    <w:rsid w:val="009F23C9"/>
    <w:rsid w:val="009F23D7"/>
    <w:rsid w:val="009F2427"/>
    <w:rsid w:val="009F2441"/>
    <w:rsid w:val="009F24A1"/>
    <w:rsid w:val="009F24AF"/>
    <w:rsid w:val="009F24BE"/>
    <w:rsid w:val="009F24C2"/>
    <w:rsid w:val="009F24E1"/>
    <w:rsid w:val="009F24E6"/>
    <w:rsid w:val="009F24EF"/>
    <w:rsid w:val="009F24F9"/>
    <w:rsid w:val="009F2562"/>
    <w:rsid w:val="009F2591"/>
    <w:rsid w:val="009F25BB"/>
    <w:rsid w:val="009F25CD"/>
    <w:rsid w:val="009F2609"/>
    <w:rsid w:val="009F2673"/>
    <w:rsid w:val="009F2683"/>
    <w:rsid w:val="009F26B0"/>
    <w:rsid w:val="009F26C8"/>
    <w:rsid w:val="009F2724"/>
    <w:rsid w:val="009F2727"/>
    <w:rsid w:val="009F2762"/>
    <w:rsid w:val="009F27BB"/>
    <w:rsid w:val="009F27C2"/>
    <w:rsid w:val="009F27CD"/>
    <w:rsid w:val="009F280E"/>
    <w:rsid w:val="009F2816"/>
    <w:rsid w:val="009F2895"/>
    <w:rsid w:val="009F28AF"/>
    <w:rsid w:val="009F28E0"/>
    <w:rsid w:val="009F2913"/>
    <w:rsid w:val="009F2923"/>
    <w:rsid w:val="009F295A"/>
    <w:rsid w:val="009F298F"/>
    <w:rsid w:val="009F2991"/>
    <w:rsid w:val="009F29B2"/>
    <w:rsid w:val="009F2A12"/>
    <w:rsid w:val="009F2A15"/>
    <w:rsid w:val="009F2AC9"/>
    <w:rsid w:val="009F2AE1"/>
    <w:rsid w:val="009F2AEC"/>
    <w:rsid w:val="009F2AEF"/>
    <w:rsid w:val="009F2B2D"/>
    <w:rsid w:val="009F2B32"/>
    <w:rsid w:val="009F2B4E"/>
    <w:rsid w:val="009F2B58"/>
    <w:rsid w:val="009F2B68"/>
    <w:rsid w:val="009F2C03"/>
    <w:rsid w:val="009F2C3E"/>
    <w:rsid w:val="009F2D00"/>
    <w:rsid w:val="009F2D0E"/>
    <w:rsid w:val="009F2D0F"/>
    <w:rsid w:val="009F2D18"/>
    <w:rsid w:val="009F2D1C"/>
    <w:rsid w:val="009F2D52"/>
    <w:rsid w:val="009F2DCC"/>
    <w:rsid w:val="009F2DF5"/>
    <w:rsid w:val="009F2E12"/>
    <w:rsid w:val="009F2E43"/>
    <w:rsid w:val="009F2EC9"/>
    <w:rsid w:val="009F2ED2"/>
    <w:rsid w:val="009F2ED7"/>
    <w:rsid w:val="009F2EDF"/>
    <w:rsid w:val="009F2F78"/>
    <w:rsid w:val="009F2F81"/>
    <w:rsid w:val="009F2FA7"/>
    <w:rsid w:val="009F2FB2"/>
    <w:rsid w:val="009F2FF9"/>
    <w:rsid w:val="009F303C"/>
    <w:rsid w:val="009F3041"/>
    <w:rsid w:val="009F3042"/>
    <w:rsid w:val="009F305C"/>
    <w:rsid w:val="009F30B0"/>
    <w:rsid w:val="009F30CA"/>
    <w:rsid w:val="009F3126"/>
    <w:rsid w:val="009F314A"/>
    <w:rsid w:val="009F319E"/>
    <w:rsid w:val="009F31AB"/>
    <w:rsid w:val="009F31C4"/>
    <w:rsid w:val="009F31D5"/>
    <w:rsid w:val="009F3266"/>
    <w:rsid w:val="009F328B"/>
    <w:rsid w:val="009F32C0"/>
    <w:rsid w:val="009F32CB"/>
    <w:rsid w:val="009F32DC"/>
    <w:rsid w:val="009F32E1"/>
    <w:rsid w:val="009F330D"/>
    <w:rsid w:val="009F3315"/>
    <w:rsid w:val="009F3323"/>
    <w:rsid w:val="009F3334"/>
    <w:rsid w:val="009F3342"/>
    <w:rsid w:val="009F3380"/>
    <w:rsid w:val="009F33DF"/>
    <w:rsid w:val="009F3458"/>
    <w:rsid w:val="009F346F"/>
    <w:rsid w:val="009F3498"/>
    <w:rsid w:val="009F34DA"/>
    <w:rsid w:val="009F34E9"/>
    <w:rsid w:val="009F34EE"/>
    <w:rsid w:val="009F34F1"/>
    <w:rsid w:val="009F356E"/>
    <w:rsid w:val="009F3575"/>
    <w:rsid w:val="009F35AC"/>
    <w:rsid w:val="009F3601"/>
    <w:rsid w:val="009F3627"/>
    <w:rsid w:val="009F362E"/>
    <w:rsid w:val="009F367A"/>
    <w:rsid w:val="009F3698"/>
    <w:rsid w:val="009F36A2"/>
    <w:rsid w:val="009F36B3"/>
    <w:rsid w:val="009F371B"/>
    <w:rsid w:val="009F373D"/>
    <w:rsid w:val="009F378F"/>
    <w:rsid w:val="009F379F"/>
    <w:rsid w:val="009F37A1"/>
    <w:rsid w:val="009F37E6"/>
    <w:rsid w:val="009F37EB"/>
    <w:rsid w:val="009F3836"/>
    <w:rsid w:val="009F384F"/>
    <w:rsid w:val="009F388D"/>
    <w:rsid w:val="009F388F"/>
    <w:rsid w:val="009F389E"/>
    <w:rsid w:val="009F3911"/>
    <w:rsid w:val="009F391B"/>
    <w:rsid w:val="009F3924"/>
    <w:rsid w:val="009F3939"/>
    <w:rsid w:val="009F3965"/>
    <w:rsid w:val="009F3974"/>
    <w:rsid w:val="009F3994"/>
    <w:rsid w:val="009F39B4"/>
    <w:rsid w:val="009F3A87"/>
    <w:rsid w:val="009F3AE1"/>
    <w:rsid w:val="009F3AEC"/>
    <w:rsid w:val="009F3B0E"/>
    <w:rsid w:val="009F3B12"/>
    <w:rsid w:val="009F3B31"/>
    <w:rsid w:val="009F3B3A"/>
    <w:rsid w:val="009F3B75"/>
    <w:rsid w:val="009F3BC1"/>
    <w:rsid w:val="009F3BDF"/>
    <w:rsid w:val="009F3BE8"/>
    <w:rsid w:val="009F3C1D"/>
    <w:rsid w:val="009F3C22"/>
    <w:rsid w:val="009F3C71"/>
    <w:rsid w:val="009F3C91"/>
    <w:rsid w:val="009F3C93"/>
    <w:rsid w:val="009F3D11"/>
    <w:rsid w:val="009F3D1B"/>
    <w:rsid w:val="009F3D29"/>
    <w:rsid w:val="009F3D7C"/>
    <w:rsid w:val="009F3D89"/>
    <w:rsid w:val="009F3D95"/>
    <w:rsid w:val="009F3DA8"/>
    <w:rsid w:val="009F3DCE"/>
    <w:rsid w:val="009F3DE6"/>
    <w:rsid w:val="009F3DF7"/>
    <w:rsid w:val="009F3E29"/>
    <w:rsid w:val="009F3E3A"/>
    <w:rsid w:val="009F3E85"/>
    <w:rsid w:val="009F3EB7"/>
    <w:rsid w:val="009F3EEA"/>
    <w:rsid w:val="009F3F27"/>
    <w:rsid w:val="009F3F50"/>
    <w:rsid w:val="009F3F78"/>
    <w:rsid w:val="009F4064"/>
    <w:rsid w:val="009F40A5"/>
    <w:rsid w:val="009F40DC"/>
    <w:rsid w:val="009F40DD"/>
    <w:rsid w:val="009F412A"/>
    <w:rsid w:val="009F4147"/>
    <w:rsid w:val="009F415B"/>
    <w:rsid w:val="009F4178"/>
    <w:rsid w:val="009F41BC"/>
    <w:rsid w:val="009F41BF"/>
    <w:rsid w:val="009F420F"/>
    <w:rsid w:val="009F421D"/>
    <w:rsid w:val="009F421F"/>
    <w:rsid w:val="009F4223"/>
    <w:rsid w:val="009F4234"/>
    <w:rsid w:val="009F425C"/>
    <w:rsid w:val="009F428B"/>
    <w:rsid w:val="009F42A7"/>
    <w:rsid w:val="009F42CB"/>
    <w:rsid w:val="009F4313"/>
    <w:rsid w:val="009F4333"/>
    <w:rsid w:val="009F4342"/>
    <w:rsid w:val="009F434F"/>
    <w:rsid w:val="009F4399"/>
    <w:rsid w:val="009F43C1"/>
    <w:rsid w:val="009F43D1"/>
    <w:rsid w:val="009F43D9"/>
    <w:rsid w:val="009F43F4"/>
    <w:rsid w:val="009F4400"/>
    <w:rsid w:val="009F4446"/>
    <w:rsid w:val="009F4451"/>
    <w:rsid w:val="009F445B"/>
    <w:rsid w:val="009F446C"/>
    <w:rsid w:val="009F4479"/>
    <w:rsid w:val="009F4489"/>
    <w:rsid w:val="009F448E"/>
    <w:rsid w:val="009F44FE"/>
    <w:rsid w:val="009F452E"/>
    <w:rsid w:val="009F453F"/>
    <w:rsid w:val="009F45B4"/>
    <w:rsid w:val="009F4654"/>
    <w:rsid w:val="009F4659"/>
    <w:rsid w:val="009F466B"/>
    <w:rsid w:val="009F4679"/>
    <w:rsid w:val="009F46BF"/>
    <w:rsid w:val="009F4716"/>
    <w:rsid w:val="009F4794"/>
    <w:rsid w:val="009F47AA"/>
    <w:rsid w:val="009F47BF"/>
    <w:rsid w:val="009F47D6"/>
    <w:rsid w:val="009F47DB"/>
    <w:rsid w:val="009F47E6"/>
    <w:rsid w:val="009F47EB"/>
    <w:rsid w:val="009F47FC"/>
    <w:rsid w:val="009F4824"/>
    <w:rsid w:val="009F4867"/>
    <w:rsid w:val="009F4889"/>
    <w:rsid w:val="009F488C"/>
    <w:rsid w:val="009F48A0"/>
    <w:rsid w:val="009F48AD"/>
    <w:rsid w:val="009F48D3"/>
    <w:rsid w:val="009F48EC"/>
    <w:rsid w:val="009F4925"/>
    <w:rsid w:val="009F4942"/>
    <w:rsid w:val="009F497C"/>
    <w:rsid w:val="009F4A02"/>
    <w:rsid w:val="009F4A3E"/>
    <w:rsid w:val="009F4AC1"/>
    <w:rsid w:val="009F4AE5"/>
    <w:rsid w:val="009F4AEF"/>
    <w:rsid w:val="009F4B40"/>
    <w:rsid w:val="009F4B50"/>
    <w:rsid w:val="009F4B87"/>
    <w:rsid w:val="009F4BD0"/>
    <w:rsid w:val="009F4C0C"/>
    <w:rsid w:val="009F4C27"/>
    <w:rsid w:val="009F4C38"/>
    <w:rsid w:val="009F4C43"/>
    <w:rsid w:val="009F4C52"/>
    <w:rsid w:val="009F4CD6"/>
    <w:rsid w:val="009F4CDE"/>
    <w:rsid w:val="009F4D09"/>
    <w:rsid w:val="009F4D28"/>
    <w:rsid w:val="009F4D2D"/>
    <w:rsid w:val="009F4DAD"/>
    <w:rsid w:val="009F4DB4"/>
    <w:rsid w:val="009F4DBE"/>
    <w:rsid w:val="009F4DD4"/>
    <w:rsid w:val="009F4DEF"/>
    <w:rsid w:val="009F4E2B"/>
    <w:rsid w:val="009F4E35"/>
    <w:rsid w:val="009F4E9E"/>
    <w:rsid w:val="009F4EA9"/>
    <w:rsid w:val="009F4EEC"/>
    <w:rsid w:val="009F4EFB"/>
    <w:rsid w:val="009F4F01"/>
    <w:rsid w:val="009F4F1A"/>
    <w:rsid w:val="009F4F9F"/>
    <w:rsid w:val="009F4FC3"/>
    <w:rsid w:val="009F500C"/>
    <w:rsid w:val="009F5017"/>
    <w:rsid w:val="009F507D"/>
    <w:rsid w:val="009F50A3"/>
    <w:rsid w:val="009F50D0"/>
    <w:rsid w:val="009F50DC"/>
    <w:rsid w:val="009F5133"/>
    <w:rsid w:val="009F5147"/>
    <w:rsid w:val="009F517D"/>
    <w:rsid w:val="009F5191"/>
    <w:rsid w:val="009F51B3"/>
    <w:rsid w:val="009F51BD"/>
    <w:rsid w:val="009F51C0"/>
    <w:rsid w:val="009F51DC"/>
    <w:rsid w:val="009F51DD"/>
    <w:rsid w:val="009F5205"/>
    <w:rsid w:val="009F5214"/>
    <w:rsid w:val="009F5292"/>
    <w:rsid w:val="009F5298"/>
    <w:rsid w:val="009F52A5"/>
    <w:rsid w:val="009F52C6"/>
    <w:rsid w:val="009F52D2"/>
    <w:rsid w:val="009F5314"/>
    <w:rsid w:val="009F5316"/>
    <w:rsid w:val="009F5327"/>
    <w:rsid w:val="009F5366"/>
    <w:rsid w:val="009F5371"/>
    <w:rsid w:val="009F5374"/>
    <w:rsid w:val="009F5382"/>
    <w:rsid w:val="009F53FF"/>
    <w:rsid w:val="009F542E"/>
    <w:rsid w:val="009F5452"/>
    <w:rsid w:val="009F547F"/>
    <w:rsid w:val="009F5484"/>
    <w:rsid w:val="009F5492"/>
    <w:rsid w:val="009F54A1"/>
    <w:rsid w:val="009F54E9"/>
    <w:rsid w:val="009F54EF"/>
    <w:rsid w:val="009F5510"/>
    <w:rsid w:val="009F5520"/>
    <w:rsid w:val="009F554B"/>
    <w:rsid w:val="009F555B"/>
    <w:rsid w:val="009F55FE"/>
    <w:rsid w:val="009F561A"/>
    <w:rsid w:val="009F5631"/>
    <w:rsid w:val="009F5647"/>
    <w:rsid w:val="009F5651"/>
    <w:rsid w:val="009F5653"/>
    <w:rsid w:val="009F5687"/>
    <w:rsid w:val="009F568B"/>
    <w:rsid w:val="009F569F"/>
    <w:rsid w:val="009F56C7"/>
    <w:rsid w:val="009F56DB"/>
    <w:rsid w:val="009F56EB"/>
    <w:rsid w:val="009F56EE"/>
    <w:rsid w:val="009F5724"/>
    <w:rsid w:val="009F5732"/>
    <w:rsid w:val="009F579C"/>
    <w:rsid w:val="009F579E"/>
    <w:rsid w:val="009F57A5"/>
    <w:rsid w:val="009F57E8"/>
    <w:rsid w:val="009F5815"/>
    <w:rsid w:val="009F582C"/>
    <w:rsid w:val="009F5860"/>
    <w:rsid w:val="009F586D"/>
    <w:rsid w:val="009F58B5"/>
    <w:rsid w:val="009F58DB"/>
    <w:rsid w:val="009F5900"/>
    <w:rsid w:val="009F590D"/>
    <w:rsid w:val="009F5924"/>
    <w:rsid w:val="009F5929"/>
    <w:rsid w:val="009F5937"/>
    <w:rsid w:val="009F5943"/>
    <w:rsid w:val="009F5956"/>
    <w:rsid w:val="009F596C"/>
    <w:rsid w:val="009F5975"/>
    <w:rsid w:val="009F59AD"/>
    <w:rsid w:val="009F59C0"/>
    <w:rsid w:val="009F59D4"/>
    <w:rsid w:val="009F59DC"/>
    <w:rsid w:val="009F5A09"/>
    <w:rsid w:val="009F5A37"/>
    <w:rsid w:val="009F5A87"/>
    <w:rsid w:val="009F5AA8"/>
    <w:rsid w:val="009F5AB1"/>
    <w:rsid w:val="009F5AFE"/>
    <w:rsid w:val="009F5B03"/>
    <w:rsid w:val="009F5B83"/>
    <w:rsid w:val="009F5B9F"/>
    <w:rsid w:val="009F5BD0"/>
    <w:rsid w:val="009F5BD8"/>
    <w:rsid w:val="009F5BE1"/>
    <w:rsid w:val="009F5BF0"/>
    <w:rsid w:val="009F5C0E"/>
    <w:rsid w:val="009F5C45"/>
    <w:rsid w:val="009F5C51"/>
    <w:rsid w:val="009F5C8E"/>
    <w:rsid w:val="009F5CA3"/>
    <w:rsid w:val="009F5D3E"/>
    <w:rsid w:val="009F5D49"/>
    <w:rsid w:val="009F5D68"/>
    <w:rsid w:val="009F5D69"/>
    <w:rsid w:val="009F5DA0"/>
    <w:rsid w:val="009F5DCD"/>
    <w:rsid w:val="009F5DF3"/>
    <w:rsid w:val="009F5E41"/>
    <w:rsid w:val="009F5E67"/>
    <w:rsid w:val="009F5E6F"/>
    <w:rsid w:val="009F5EB0"/>
    <w:rsid w:val="009F5EDA"/>
    <w:rsid w:val="009F5F25"/>
    <w:rsid w:val="009F5F27"/>
    <w:rsid w:val="009F5F30"/>
    <w:rsid w:val="009F5F6E"/>
    <w:rsid w:val="009F5FAD"/>
    <w:rsid w:val="009F5FF6"/>
    <w:rsid w:val="009F6007"/>
    <w:rsid w:val="009F600D"/>
    <w:rsid w:val="009F600E"/>
    <w:rsid w:val="009F6067"/>
    <w:rsid w:val="009F6080"/>
    <w:rsid w:val="009F6082"/>
    <w:rsid w:val="009F6088"/>
    <w:rsid w:val="009F609A"/>
    <w:rsid w:val="009F609E"/>
    <w:rsid w:val="009F60C9"/>
    <w:rsid w:val="009F6105"/>
    <w:rsid w:val="009F610C"/>
    <w:rsid w:val="009F611B"/>
    <w:rsid w:val="009F6128"/>
    <w:rsid w:val="009F61D1"/>
    <w:rsid w:val="009F6261"/>
    <w:rsid w:val="009F6286"/>
    <w:rsid w:val="009F62DF"/>
    <w:rsid w:val="009F62F8"/>
    <w:rsid w:val="009F632D"/>
    <w:rsid w:val="009F6384"/>
    <w:rsid w:val="009F63A1"/>
    <w:rsid w:val="009F63BD"/>
    <w:rsid w:val="009F63E9"/>
    <w:rsid w:val="009F640C"/>
    <w:rsid w:val="009F644C"/>
    <w:rsid w:val="009F645F"/>
    <w:rsid w:val="009F6468"/>
    <w:rsid w:val="009F64B5"/>
    <w:rsid w:val="009F64DD"/>
    <w:rsid w:val="009F64E9"/>
    <w:rsid w:val="009F652A"/>
    <w:rsid w:val="009F6554"/>
    <w:rsid w:val="009F6563"/>
    <w:rsid w:val="009F657A"/>
    <w:rsid w:val="009F6582"/>
    <w:rsid w:val="009F65AD"/>
    <w:rsid w:val="009F65AF"/>
    <w:rsid w:val="009F65C2"/>
    <w:rsid w:val="009F65C6"/>
    <w:rsid w:val="009F6613"/>
    <w:rsid w:val="009F663D"/>
    <w:rsid w:val="009F6695"/>
    <w:rsid w:val="009F66E2"/>
    <w:rsid w:val="009F66F9"/>
    <w:rsid w:val="009F670F"/>
    <w:rsid w:val="009F671A"/>
    <w:rsid w:val="009F6784"/>
    <w:rsid w:val="009F678C"/>
    <w:rsid w:val="009F67FF"/>
    <w:rsid w:val="009F684F"/>
    <w:rsid w:val="009F685A"/>
    <w:rsid w:val="009F6884"/>
    <w:rsid w:val="009F690C"/>
    <w:rsid w:val="009F6919"/>
    <w:rsid w:val="009F69A0"/>
    <w:rsid w:val="009F69AA"/>
    <w:rsid w:val="009F69CA"/>
    <w:rsid w:val="009F69D1"/>
    <w:rsid w:val="009F69D5"/>
    <w:rsid w:val="009F69F6"/>
    <w:rsid w:val="009F6A30"/>
    <w:rsid w:val="009F6AED"/>
    <w:rsid w:val="009F6B06"/>
    <w:rsid w:val="009F6BC3"/>
    <w:rsid w:val="009F6C0D"/>
    <w:rsid w:val="009F6C49"/>
    <w:rsid w:val="009F6C7D"/>
    <w:rsid w:val="009F6CA4"/>
    <w:rsid w:val="009F6CA8"/>
    <w:rsid w:val="009F6CCD"/>
    <w:rsid w:val="009F6D54"/>
    <w:rsid w:val="009F6D6C"/>
    <w:rsid w:val="009F6D7C"/>
    <w:rsid w:val="009F6D8E"/>
    <w:rsid w:val="009F6D9F"/>
    <w:rsid w:val="009F6DA2"/>
    <w:rsid w:val="009F6DCE"/>
    <w:rsid w:val="009F6DD1"/>
    <w:rsid w:val="009F6E01"/>
    <w:rsid w:val="009F6E34"/>
    <w:rsid w:val="009F6E79"/>
    <w:rsid w:val="009F6E91"/>
    <w:rsid w:val="009F6EC7"/>
    <w:rsid w:val="009F6ECC"/>
    <w:rsid w:val="009F6ED6"/>
    <w:rsid w:val="009F6F1D"/>
    <w:rsid w:val="009F6F37"/>
    <w:rsid w:val="009F6F81"/>
    <w:rsid w:val="009F6F86"/>
    <w:rsid w:val="009F6FAB"/>
    <w:rsid w:val="009F7004"/>
    <w:rsid w:val="009F7066"/>
    <w:rsid w:val="009F70E2"/>
    <w:rsid w:val="009F70E7"/>
    <w:rsid w:val="009F70E9"/>
    <w:rsid w:val="009F70EC"/>
    <w:rsid w:val="009F7128"/>
    <w:rsid w:val="009F718B"/>
    <w:rsid w:val="009F7191"/>
    <w:rsid w:val="009F71D0"/>
    <w:rsid w:val="009F71FB"/>
    <w:rsid w:val="009F722C"/>
    <w:rsid w:val="009F724D"/>
    <w:rsid w:val="009F7259"/>
    <w:rsid w:val="009F7293"/>
    <w:rsid w:val="009F72CF"/>
    <w:rsid w:val="009F72D9"/>
    <w:rsid w:val="009F72EE"/>
    <w:rsid w:val="009F733E"/>
    <w:rsid w:val="009F734E"/>
    <w:rsid w:val="009F7369"/>
    <w:rsid w:val="009F73A0"/>
    <w:rsid w:val="009F73A5"/>
    <w:rsid w:val="009F73AB"/>
    <w:rsid w:val="009F73B4"/>
    <w:rsid w:val="009F73B6"/>
    <w:rsid w:val="009F73CC"/>
    <w:rsid w:val="009F73CF"/>
    <w:rsid w:val="009F73F2"/>
    <w:rsid w:val="009F7470"/>
    <w:rsid w:val="009F749A"/>
    <w:rsid w:val="009F74E7"/>
    <w:rsid w:val="009F7514"/>
    <w:rsid w:val="009F752A"/>
    <w:rsid w:val="009F754D"/>
    <w:rsid w:val="009F756B"/>
    <w:rsid w:val="009F7594"/>
    <w:rsid w:val="009F75AA"/>
    <w:rsid w:val="009F75F2"/>
    <w:rsid w:val="009F760B"/>
    <w:rsid w:val="009F761D"/>
    <w:rsid w:val="009F766D"/>
    <w:rsid w:val="009F766E"/>
    <w:rsid w:val="009F7681"/>
    <w:rsid w:val="009F7748"/>
    <w:rsid w:val="009F7795"/>
    <w:rsid w:val="009F779E"/>
    <w:rsid w:val="009F77ED"/>
    <w:rsid w:val="009F77EE"/>
    <w:rsid w:val="009F7819"/>
    <w:rsid w:val="009F7837"/>
    <w:rsid w:val="009F7879"/>
    <w:rsid w:val="009F78A4"/>
    <w:rsid w:val="009F78C7"/>
    <w:rsid w:val="009F78E1"/>
    <w:rsid w:val="009F7927"/>
    <w:rsid w:val="009F7963"/>
    <w:rsid w:val="009F7979"/>
    <w:rsid w:val="009F797D"/>
    <w:rsid w:val="009F7985"/>
    <w:rsid w:val="009F79A9"/>
    <w:rsid w:val="009F7A07"/>
    <w:rsid w:val="009F7A85"/>
    <w:rsid w:val="009F7AA3"/>
    <w:rsid w:val="009F7AB6"/>
    <w:rsid w:val="009F7AC8"/>
    <w:rsid w:val="009F7ACC"/>
    <w:rsid w:val="009F7AE3"/>
    <w:rsid w:val="009F7B19"/>
    <w:rsid w:val="009F7B66"/>
    <w:rsid w:val="009F7B6E"/>
    <w:rsid w:val="009F7B88"/>
    <w:rsid w:val="009F7B8F"/>
    <w:rsid w:val="009F7C09"/>
    <w:rsid w:val="009F7C2C"/>
    <w:rsid w:val="009F7C90"/>
    <w:rsid w:val="009F7CB8"/>
    <w:rsid w:val="009F7D21"/>
    <w:rsid w:val="009F7D30"/>
    <w:rsid w:val="009F7D3E"/>
    <w:rsid w:val="009F7D48"/>
    <w:rsid w:val="009F7D6A"/>
    <w:rsid w:val="009F7D71"/>
    <w:rsid w:val="009F7D95"/>
    <w:rsid w:val="009F7DA1"/>
    <w:rsid w:val="009F7DA6"/>
    <w:rsid w:val="009F7DB0"/>
    <w:rsid w:val="009F7DDB"/>
    <w:rsid w:val="009F7DF9"/>
    <w:rsid w:val="009F7E19"/>
    <w:rsid w:val="009F7E58"/>
    <w:rsid w:val="009F7E6D"/>
    <w:rsid w:val="009F7EAE"/>
    <w:rsid w:val="009F7ECF"/>
    <w:rsid w:val="009F7F26"/>
    <w:rsid w:val="009F7F3E"/>
    <w:rsid w:val="009F7F48"/>
    <w:rsid w:val="009F7F86"/>
    <w:rsid w:val="009F7FB3"/>
    <w:rsid w:val="009F7FEA"/>
    <w:rsid w:val="009F7FF7"/>
    <w:rsid w:val="009FC09D"/>
    <w:rsid w:val="00A0000A"/>
    <w:rsid w:val="00A0000E"/>
    <w:rsid w:val="00A00021"/>
    <w:rsid w:val="00A00039"/>
    <w:rsid w:val="00A00067"/>
    <w:rsid w:val="00A0006E"/>
    <w:rsid w:val="00A0007E"/>
    <w:rsid w:val="00A00086"/>
    <w:rsid w:val="00A00095"/>
    <w:rsid w:val="00A000AB"/>
    <w:rsid w:val="00A000CA"/>
    <w:rsid w:val="00A000F5"/>
    <w:rsid w:val="00A000FB"/>
    <w:rsid w:val="00A00113"/>
    <w:rsid w:val="00A00117"/>
    <w:rsid w:val="00A00157"/>
    <w:rsid w:val="00A00164"/>
    <w:rsid w:val="00A00169"/>
    <w:rsid w:val="00A001A4"/>
    <w:rsid w:val="00A00223"/>
    <w:rsid w:val="00A00231"/>
    <w:rsid w:val="00A0032B"/>
    <w:rsid w:val="00A00348"/>
    <w:rsid w:val="00A0034F"/>
    <w:rsid w:val="00A0035B"/>
    <w:rsid w:val="00A00360"/>
    <w:rsid w:val="00A003EC"/>
    <w:rsid w:val="00A003F3"/>
    <w:rsid w:val="00A0042A"/>
    <w:rsid w:val="00A00470"/>
    <w:rsid w:val="00A0051E"/>
    <w:rsid w:val="00A0054C"/>
    <w:rsid w:val="00A005A8"/>
    <w:rsid w:val="00A005D0"/>
    <w:rsid w:val="00A005EF"/>
    <w:rsid w:val="00A0062B"/>
    <w:rsid w:val="00A0063D"/>
    <w:rsid w:val="00A00668"/>
    <w:rsid w:val="00A0068C"/>
    <w:rsid w:val="00A006AE"/>
    <w:rsid w:val="00A006B3"/>
    <w:rsid w:val="00A006D8"/>
    <w:rsid w:val="00A0073A"/>
    <w:rsid w:val="00A00771"/>
    <w:rsid w:val="00A00775"/>
    <w:rsid w:val="00A007A1"/>
    <w:rsid w:val="00A007A8"/>
    <w:rsid w:val="00A007C6"/>
    <w:rsid w:val="00A007ED"/>
    <w:rsid w:val="00A007F2"/>
    <w:rsid w:val="00A00816"/>
    <w:rsid w:val="00A00850"/>
    <w:rsid w:val="00A008D9"/>
    <w:rsid w:val="00A008DB"/>
    <w:rsid w:val="00A008DC"/>
    <w:rsid w:val="00A008E0"/>
    <w:rsid w:val="00A008EB"/>
    <w:rsid w:val="00A008F9"/>
    <w:rsid w:val="00A00916"/>
    <w:rsid w:val="00A00932"/>
    <w:rsid w:val="00A0094C"/>
    <w:rsid w:val="00A00972"/>
    <w:rsid w:val="00A00978"/>
    <w:rsid w:val="00A009E1"/>
    <w:rsid w:val="00A009F5"/>
    <w:rsid w:val="00A009F9"/>
    <w:rsid w:val="00A00A0D"/>
    <w:rsid w:val="00A00A6A"/>
    <w:rsid w:val="00A00A91"/>
    <w:rsid w:val="00A00ABE"/>
    <w:rsid w:val="00A00B41"/>
    <w:rsid w:val="00A00B47"/>
    <w:rsid w:val="00A00B5A"/>
    <w:rsid w:val="00A00BBE"/>
    <w:rsid w:val="00A00C17"/>
    <w:rsid w:val="00A00C3D"/>
    <w:rsid w:val="00A00CBD"/>
    <w:rsid w:val="00A00CDE"/>
    <w:rsid w:val="00A00D12"/>
    <w:rsid w:val="00A00D43"/>
    <w:rsid w:val="00A00D4E"/>
    <w:rsid w:val="00A00D55"/>
    <w:rsid w:val="00A00D6E"/>
    <w:rsid w:val="00A00D75"/>
    <w:rsid w:val="00A00D7D"/>
    <w:rsid w:val="00A00D90"/>
    <w:rsid w:val="00A00DA0"/>
    <w:rsid w:val="00A00DF4"/>
    <w:rsid w:val="00A00DFC"/>
    <w:rsid w:val="00A00E51"/>
    <w:rsid w:val="00A00E9C"/>
    <w:rsid w:val="00A00EBD"/>
    <w:rsid w:val="00A00EDF"/>
    <w:rsid w:val="00A00F03"/>
    <w:rsid w:val="00A00F77"/>
    <w:rsid w:val="00A00FBA"/>
    <w:rsid w:val="00A01003"/>
    <w:rsid w:val="00A01007"/>
    <w:rsid w:val="00A0105F"/>
    <w:rsid w:val="00A01063"/>
    <w:rsid w:val="00A010F9"/>
    <w:rsid w:val="00A010FE"/>
    <w:rsid w:val="00A01132"/>
    <w:rsid w:val="00A01142"/>
    <w:rsid w:val="00A01154"/>
    <w:rsid w:val="00A0115D"/>
    <w:rsid w:val="00A0119F"/>
    <w:rsid w:val="00A011BF"/>
    <w:rsid w:val="00A011C3"/>
    <w:rsid w:val="00A011EF"/>
    <w:rsid w:val="00A011FC"/>
    <w:rsid w:val="00A0121A"/>
    <w:rsid w:val="00A0122C"/>
    <w:rsid w:val="00A01232"/>
    <w:rsid w:val="00A01238"/>
    <w:rsid w:val="00A01264"/>
    <w:rsid w:val="00A01282"/>
    <w:rsid w:val="00A01286"/>
    <w:rsid w:val="00A0129E"/>
    <w:rsid w:val="00A012A0"/>
    <w:rsid w:val="00A012F2"/>
    <w:rsid w:val="00A01351"/>
    <w:rsid w:val="00A01356"/>
    <w:rsid w:val="00A01366"/>
    <w:rsid w:val="00A0136E"/>
    <w:rsid w:val="00A013F2"/>
    <w:rsid w:val="00A0140A"/>
    <w:rsid w:val="00A0142F"/>
    <w:rsid w:val="00A01456"/>
    <w:rsid w:val="00A0145A"/>
    <w:rsid w:val="00A0149B"/>
    <w:rsid w:val="00A014A5"/>
    <w:rsid w:val="00A01596"/>
    <w:rsid w:val="00A015E0"/>
    <w:rsid w:val="00A01691"/>
    <w:rsid w:val="00A016C6"/>
    <w:rsid w:val="00A016EF"/>
    <w:rsid w:val="00A0173C"/>
    <w:rsid w:val="00A0176D"/>
    <w:rsid w:val="00A017CB"/>
    <w:rsid w:val="00A017DB"/>
    <w:rsid w:val="00A01821"/>
    <w:rsid w:val="00A01887"/>
    <w:rsid w:val="00A018DD"/>
    <w:rsid w:val="00A01904"/>
    <w:rsid w:val="00A01950"/>
    <w:rsid w:val="00A0197F"/>
    <w:rsid w:val="00A01A43"/>
    <w:rsid w:val="00A01A58"/>
    <w:rsid w:val="00A01A5E"/>
    <w:rsid w:val="00A01A85"/>
    <w:rsid w:val="00A01B31"/>
    <w:rsid w:val="00A01B36"/>
    <w:rsid w:val="00A01BE1"/>
    <w:rsid w:val="00A01C09"/>
    <w:rsid w:val="00A01C33"/>
    <w:rsid w:val="00A01C80"/>
    <w:rsid w:val="00A01CD5"/>
    <w:rsid w:val="00A01D03"/>
    <w:rsid w:val="00A01D15"/>
    <w:rsid w:val="00A01D1E"/>
    <w:rsid w:val="00A01D43"/>
    <w:rsid w:val="00A01D5E"/>
    <w:rsid w:val="00A01D9E"/>
    <w:rsid w:val="00A01DA9"/>
    <w:rsid w:val="00A01DE1"/>
    <w:rsid w:val="00A01E08"/>
    <w:rsid w:val="00A01E5B"/>
    <w:rsid w:val="00A01E62"/>
    <w:rsid w:val="00A01EB7"/>
    <w:rsid w:val="00A01EC5"/>
    <w:rsid w:val="00A01ED0"/>
    <w:rsid w:val="00A01F15"/>
    <w:rsid w:val="00A01F19"/>
    <w:rsid w:val="00A01F65"/>
    <w:rsid w:val="00A01F67"/>
    <w:rsid w:val="00A01F93"/>
    <w:rsid w:val="00A01FD4"/>
    <w:rsid w:val="00A01FE2"/>
    <w:rsid w:val="00A01FEB"/>
    <w:rsid w:val="00A02007"/>
    <w:rsid w:val="00A02075"/>
    <w:rsid w:val="00A0208D"/>
    <w:rsid w:val="00A020D2"/>
    <w:rsid w:val="00A020E6"/>
    <w:rsid w:val="00A020F2"/>
    <w:rsid w:val="00A020FE"/>
    <w:rsid w:val="00A02152"/>
    <w:rsid w:val="00A02178"/>
    <w:rsid w:val="00A0217F"/>
    <w:rsid w:val="00A021CB"/>
    <w:rsid w:val="00A021F4"/>
    <w:rsid w:val="00A02209"/>
    <w:rsid w:val="00A02237"/>
    <w:rsid w:val="00A02245"/>
    <w:rsid w:val="00A02259"/>
    <w:rsid w:val="00A02260"/>
    <w:rsid w:val="00A022C0"/>
    <w:rsid w:val="00A022C7"/>
    <w:rsid w:val="00A0231B"/>
    <w:rsid w:val="00A02359"/>
    <w:rsid w:val="00A02379"/>
    <w:rsid w:val="00A02393"/>
    <w:rsid w:val="00A023A6"/>
    <w:rsid w:val="00A023D8"/>
    <w:rsid w:val="00A023DA"/>
    <w:rsid w:val="00A023FB"/>
    <w:rsid w:val="00A02414"/>
    <w:rsid w:val="00A02436"/>
    <w:rsid w:val="00A02438"/>
    <w:rsid w:val="00A02461"/>
    <w:rsid w:val="00A02483"/>
    <w:rsid w:val="00A02488"/>
    <w:rsid w:val="00A0248B"/>
    <w:rsid w:val="00A024AB"/>
    <w:rsid w:val="00A024DF"/>
    <w:rsid w:val="00A02501"/>
    <w:rsid w:val="00A02536"/>
    <w:rsid w:val="00A02548"/>
    <w:rsid w:val="00A025C3"/>
    <w:rsid w:val="00A025CF"/>
    <w:rsid w:val="00A025E8"/>
    <w:rsid w:val="00A025ED"/>
    <w:rsid w:val="00A02612"/>
    <w:rsid w:val="00A02636"/>
    <w:rsid w:val="00A0268D"/>
    <w:rsid w:val="00A02708"/>
    <w:rsid w:val="00A02754"/>
    <w:rsid w:val="00A02763"/>
    <w:rsid w:val="00A027F2"/>
    <w:rsid w:val="00A02831"/>
    <w:rsid w:val="00A0283E"/>
    <w:rsid w:val="00A02842"/>
    <w:rsid w:val="00A0284E"/>
    <w:rsid w:val="00A02873"/>
    <w:rsid w:val="00A02885"/>
    <w:rsid w:val="00A02888"/>
    <w:rsid w:val="00A0288A"/>
    <w:rsid w:val="00A0289A"/>
    <w:rsid w:val="00A028F9"/>
    <w:rsid w:val="00A0290B"/>
    <w:rsid w:val="00A0294A"/>
    <w:rsid w:val="00A029FD"/>
    <w:rsid w:val="00A02A07"/>
    <w:rsid w:val="00A02A18"/>
    <w:rsid w:val="00A02A25"/>
    <w:rsid w:val="00A02A30"/>
    <w:rsid w:val="00A02A7B"/>
    <w:rsid w:val="00A02ABE"/>
    <w:rsid w:val="00A02AEE"/>
    <w:rsid w:val="00A02B03"/>
    <w:rsid w:val="00A02B7A"/>
    <w:rsid w:val="00A02BCE"/>
    <w:rsid w:val="00A02C49"/>
    <w:rsid w:val="00A02C50"/>
    <w:rsid w:val="00A02C56"/>
    <w:rsid w:val="00A02CB0"/>
    <w:rsid w:val="00A02CC4"/>
    <w:rsid w:val="00A02D42"/>
    <w:rsid w:val="00A02D55"/>
    <w:rsid w:val="00A02D9C"/>
    <w:rsid w:val="00A02DAC"/>
    <w:rsid w:val="00A02DBA"/>
    <w:rsid w:val="00A02DC1"/>
    <w:rsid w:val="00A02DE9"/>
    <w:rsid w:val="00A02DEF"/>
    <w:rsid w:val="00A02DF8"/>
    <w:rsid w:val="00A02E60"/>
    <w:rsid w:val="00A02EA4"/>
    <w:rsid w:val="00A02F19"/>
    <w:rsid w:val="00A02F3B"/>
    <w:rsid w:val="00A02F5A"/>
    <w:rsid w:val="00A02F5D"/>
    <w:rsid w:val="00A02F64"/>
    <w:rsid w:val="00A02F9B"/>
    <w:rsid w:val="00A02FEE"/>
    <w:rsid w:val="00A02FFD"/>
    <w:rsid w:val="00A0309E"/>
    <w:rsid w:val="00A030C1"/>
    <w:rsid w:val="00A0313D"/>
    <w:rsid w:val="00A03145"/>
    <w:rsid w:val="00A03174"/>
    <w:rsid w:val="00A03184"/>
    <w:rsid w:val="00A0319B"/>
    <w:rsid w:val="00A031B5"/>
    <w:rsid w:val="00A031BC"/>
    <w:rsid w:val="00A031C6"/>
    <w:rsid w:val="00A031EA"/>
    <w:rsid w:val="00A0321B"/>
    <w:rsid w:val="00A03246"/>
    <w:rsid w:val="00A03249"/>
    <w:rsid w:val="00A0327A"/>
    <w:rsid w:val="00A0327F"/>
    <w:rsid w:val="00A032D8"/>
    <w:rsid w:val="00A032FF"/>
    <w:rsid w:val="00A0330C"/>
    <w:rsid w:val="00A03365"/>
    <w:rsid w:val="00A03366"/>
    <w:rsid w:val="00A03370"/>
    <w:rsid w:val="00A03372"/>
    <w:rsid w:val="00A03384"/>
    <w:rsid w:val="00A0339A"/>
    <w:rsid w:val="00A033C1"/>
    <w:rsid w:val="00A033CB"/>
    <w:rsid w:val="00A0343C"/>
    <w:rsid w:val="00A03445"/>
    <w:rsid w:val="00A03468"/>
    <w:rsid w:val="00A0348E"/>
    <w:rsid w:val="00A034A8"/>
    <w:rsid w:val="00A034AF"/>
    <w:rsid w:val="00A034EB"/>
    <w:rsid w:val="00A0352A"/>
    <w:rsid w:val="00A0357B"/>
    <w:rsid w:val="00A03591"/>
    <w:rsid w:val="00A035E7"/>
    <w:rsid w:val="00A0364C"/>
    <w:rsid w:val="00A0365E"/>
    <w:rsid w:val="00A03671"/>
    <w:rsid w:val="00A0368D"/>
    <w:rsid w:val="00A036C2"/>
    <w:rsid w:val="00A036C9"/>
    <w:rsid w:val="00A036D0"/>
    <w:rsid w:val="00A036DC"/>
    <w:rsid w:val="00A0370D"/>
    <w:rsid w:val="00A03721"/>
    <w:rsid w:val="00A03726"/>
    <w:rsid w:val="00A03730"/>
    <w:rsid w:val="00A03767"/>
    <w:rsid w:val="00A037AA"/>
    <w:rsid w:val="00A037C9"/>
    <w:rsid w:val="00A03802"/>
    <w:rsid w:val="00A03824"/>
    <w:rsid w:val="00A0385E"/>
    <w:rsid w:val="00A03872"/>
    <w:rsid w:val="00A03879"/>
    <w:rsid w:val="00A03891"/>
    <w:rsid w:val="00A038B5"/>
    <w:rsid w:val="00A038BC"/>
    <w:rsid w:val="00A038CA"/>
    <w:rsid w:val="00A038DC"/>
    <w:rsid w:val="00A03929"/>
    <w:rsid w:val="00A03973"/>
    <w:rsid w:val="00A03995"/>
    <w:rsid w:val="00A039AD"/>
    <w:rsid w:val="00A039BD"/>
    <w:rsid w:val="00A039C2"/>
    <w:rsid w:val="00A039FD"/>
    <w:rsid w:val="00A03A2C"/>
    <w:rsid w:val="00A03A35"/>
    <w:rsid w:val="00A03A8E"/>
    <w:rsid w:val="00A03ACD"/>
    <w:rsid w:val="00A03AD6"/>
    <w:rsid w:val="00A03ADF"/>
    <w:rsid w:val="00A03B2E"/>
    <w:rsid w:val="00A03B47"/>
    <w:rsid w:val="00A03B84"/>
    <w:rsid w:val="00A03BA1"/>
    <w:rsid w:val="00A03BC0"/>
    <w:rsid w:val="00A03BCA"/>
    <w:rsid w:val="00A03C10"/>
    <w:rsid w:val="00A03C11"/>
    <w:rsid w:val="00A03C20"/>
    <w:rsid w:val="00A03C23"/>
    <w:rsid w:val="00A03C52"/>
    <w:rsid w:val="00A03CBD"/>
    <w:rsid w:val="00A03CD7"/>
    <w:rsid w:val="00A03D04"/>
    <w:rsid w:val="00A03D57"/>
    <w:rsid w:val="00A03D6F"/>
    <w:rsid w:val="00A03DDC"/>
    <w:rsid w:val="00A03E23"/>
    <w:rsid w:val="00A03E30"/>
    <w:rsid w:val="00A03E36"/>
    <w:rsid w:val="00A03E9B"/>
    <w:rsid w:val="00A03EAD"/>
    <w:rsid w:val="00A03ED6"/>
    <w:rsid w:val="00A03ED8"/>
    <w:rsid w:val="00A03F2A"/>
    <w:rsid w:val="00A03F52"/>
    <w:rsid w:val="00A03F5F"/>
    <w:rsid w:val="00A03FE0"/>
    <w:rsid w:val="00A04016"/>
    <w:rsid w:val="00A0403A"/>
    <w:rsid w:val="00A0403B"/>
    <w:rsid w:val="00A04066"/>
    <w:rsid w:val="00A040BB"/>
    <w:rsid w:val="00A040E2"/>
    <w:rsid w:val="00A04110"/>
    <w:rsid w:val="00A04126"/>
    <w:rsid w:val="00A04128"/>
    <w:rsid w:val="00A0412B"/>
    <w:rsid w:val="00A0412D"/>
    <w:rsid w:val="00A0413D"/>
    <w:rsid w:val="00A04148"/>
    <w:rsid w:val="00A04188"/>
    <w:rsid w:val="00A041C0"/>
    <w:rsid w:val="00A041E2"/>
    <w:rsid w:val="00A04221"/>
    <w:rsid w:val="00A04287"/>
    <w:rsid w:val="00A042B4"/>
    <w:rsid w:val="00A042C9"/>
    <w:rsid w:val="00A042D4"/>
    <w:rsid w:val="00A04307"/>
    <w:rsid w:val="00A04310"/>
    <w:rsid w:val="00A043BD"/>
    <w:rsid w:val="00A04408"/>
    <w:rsid w:val="00A0444C"/>
    <w:rsid w:val="00A0445A"/>
    <w:rsid w:val="00A044B2"/>
    <w:rsid w:val="00A044F4"/>
    <w:rsid w:val="00A04548"/>
    <w:rsid w:val="00A04550"/>
    <w:rsid w:val="00A04563"/>
    <w:rsid w:val="00A04590"/>
    <w:rsid w:val="00A04610"/>
    <w:rsid w:val="00A04647"/>
    <w:rsid w:val="00A0469C"/>
    <w:rsid w:val="00A046A5"/>
    <w:rsid w:val="00A046F0"/>
    <w:rsid w:val="00A04718"/>
    <w:rsid w:val="00A04764"/>
    <w:rsid w:val="00A04772"/>
    <w:rsid w:val="00A04777"/>
    <w:rsid w:val="00A047DD"/>
    <w:rsid w:val="00A04822"/>
    <w:rsid w:val="00A0483F"/>
    <w:rsid w:val="00A0486F"/>
    <w:rsid w:val="00A04879"/>
    <w:rsid w:val="00A048CB"/>
    <w:rsid w:val="00A048CE"/>
    <w:rsid w:val="00A048DA"/>
    <w:rsid w:val="00A048F9"/>
    <w:rsid w:val="00A04917"/>
    <w:rsid w:val="00A04940"/>
    <w:rsid w:val="00A0495B"/>
    <w:rsid w:val="00A04969"/>
    <w:rsid w:val="00A04978"/>
    <w:rsid w:val="00A04980"/>
    <w:rsid w:val="00A049AC"/>
    <w:rsid w:val="00A04A36"/>
    <w:rsid w:val="00A04A4A"/>
    <w:rsid w:val="00A04A70"/>
    <w:rsid w:val="00A04AAD"/>
    <w:rsid w:val="00A04AB9"/>
    <w:rsid w:val="00A04B51"/>
    <w:rsid w:val="00A04B7D"/>
    <w:rsid w:val="00A04B86"/>
    <w:rsid w:val="00A04BC3"/>
    <w:rsid w:val="00A04BCC"/>
    <w:rsid w:val="00A04C32"/>
    <w:rsid w:val="00A04C68"/>
    <w:rsid w:val="00A04C8B"/>
    <w:rsid w:val="00A04CA3"/>
    <w:rsid w:val="00A04CB0"/>
    <w:rsid w:val="00A04CD4"/>
    <w:rsid w:val="00A04CF8"/>
    <w:rsid w:val="00A04D1E"/>
    <w:rsid w:val="00A04D29"/>
    <w:rsid w:val="00A04DE1"/>
    <w:rsid w:val="00A04DED"/>
    <w:rsid w:val="00A04DEE"/>
    <w:rsid w:val="00A04DF1"/>
    <w:rsid w:val="00A04E38"/>
    <w:rsid w:val="00A04E42"/>
    <w:rsid w:val="00A04E60"/>
    <w:rsid w:val="00A04ED2"/>
    <w:rsid w:val="00A04EE0"/>
    <w:rsid w:val="00A04F2F"/>
    <w:rsid w:val="00A04F4B"/>
    <w:rsid w:val="00A04F93"/>
    <w:rsid w:val="00A04F98"/>
    <w:rsid w:val="00A04FAD"/>
    <w:rsid w:val="00A04FBF"/>
    <w:rsid w:val="00A04FCF"/>
    <w:rsid w:val="00A05006"/>
    <w:rsid w:val="00A0503B"/>
    <w:rsid w:val="00A05046"/>
    <w:rsid w:val="00A05048"/>
    <w:rsid w:val="00A050BE"/>
    <w:rsid w:val="00A050E8"/>
    <w:rsid w:val="00A05138"/>
    <w:rsid w:val="00A0513E"/>
    <w:rsid w:val="00A05156"/>
    <w:rsid w:val="00A051A3"/>
    <w:rsid w:val="00A051DC"/>
    <w:rsid w:val="00A05206"/>
    <w:rsid w:val="00A05288"/>
    <w:rsid w:val="00A05353"/>
    <w:rsid w:val="00A05378"/>
    <w:rsid w:val="00A0537C"/>
    <w:rsid w:val="00A0538C"/>
    <w:rsid w:val="00A053B8"/>
    <w:rsid w:val="00A053F5"/>
    <w:rsid w:val="00A05404"/>
    <w:rsid w:val="00A05415"/>
    <w:rsid w:val="00A054C0"/>
    <w:rsid w:val="00A054DA"/>
    <w:rsid w:val="00A05502"/>
    <w:rsid w:val="00A05524"/>
    <w:rsid w:val="00A055DD"/>
    <w:rsid w:val="00A05666"/>
    <w:rsid w:val="00A05678"/>
    <w:rsid w:val="00A05681"/>
    <w:rsid w:val="00A056AE"/>
    <w:rsid w:val="00A056BF"/>
    <w:rsid w:val="00A056C3"/>
    <w:rsid w:val="00A056D9"/>
    <w:rsid w:val="00A056DF"/>
    <w:rsid w:val="00A05710"/>
    <w:rsid w:val="00A057A0"/>
    <w:rsid w:val="00A057DE"/>
    <w:rsid w:val="00A0585B"/>
    <w:rsid w:val="00A058A4"/>
    <w:rsid w:val="00A058B0"/>
    <w:rsid w:val="00A058EB"/>
    <w:rsid w:val="00A058F3"/>
    <w:rsid w:val="00A05910"/>
    <w:rsid w:val="00A0592D"/>
    <w:rsid w:val="00A05936"/>
    <w:rsid w:val="00A059A4"/>
    <w:rsid w:val="00A059B8"/>
    <w:rsid w:val="00A059C5"/>
    <w:rsid w:val="00A059DF"/>
    <w:rsid w:val="00A05A31"/>
    <w:rsid w:val="00A05A5F"/>
    <w:rsid w:val="00A05A60"/>
    <w:rsid w:val="00A05A6A"/>
    <w:rsid w:val="00A05A9C"/>
    <w:rsid w:val="00A05AC5"/>
    <w:rsid w:val="00A05AD8"/>
    <w:rsid w:val="00A05B01"/>
    <w:rsid w:val="00A05B1D"/>
    <w:rsid w:val="00A05B55"/>
    <w:rsid w:val="00A05B6E"/>
    <w:rsid w:val="00A05B7B"/>
    <w:rsid w:val="00A05BB4"/>
    <w:rsid w:val="00A05BBE"/>
    <w:rsid w:val="00A05BF4"/>
    <w:rsid w:val="00A05C2A"/>
    <w:rsid w:val="00A05C49"/>
    <w:rsid w:val="00A05C7A"/>
    <w:rsid w:val="00A05CCC"/>
    <w:rsid w:val="00A05D06"/>
    <w:rsid w:val="00A05D6D"/>
    <w:rsid w:val="00A05D71"/>
    <w:rsid w:val="00A05D74"/>
    <w:rsid w:val="00A05DA3"/>
    <w:rsid w:val="00A05DB0"/>
    <w:rsid w:val="00A05E3E"/>
    <w:rsid w:val="00A05E6C"/>
    <w:rsid w:val="00A05E7C"/>
    <w:rsid w:val="00A05ECF"/>
    <w:rsid w:val="00A05ED8"/>
    <w:rsid w:val="00A05EFC"/>
    <w:rsid w:val="00A05F4A"/>
    <w:rsid w:val="00A05F91"/>
    <w:rsid w:val="00A05F9D"/>
    <w:rsid w:val="00A05FAC"/>
    <w:rsid w:val="00A05FAD"/>
    <w:rsid w:val="00A05FC9"/>
    <w:rsid w:val="00A05FDB"/>
    <w:rsid w:val="00A0602B"/>
    <w:rsid w:val="00A06060"/>
    <w:rsid w:val="00A060BC"/>
    <w:rsid w:val="00A060CF"/>
    <w:rsid w:val="00A060D0"/>
    <w:rsid w:val="00A060F8"/>
    <w:rsid w:val="00A06135"/>
    <w:rsid w:val="00A061E5"/>
    <w:rsid w:val="00A06205"/>
    <w:rsid w:val="00A06242"/>
    <w:rsid w:val="00A062F3"/>
    <w:rsid w:val="00A06346"/>
    <w:rsid w:val="00A06349"/>
    <w:rsid w:val="00A06351"/>
    <w:rsid w:val="00A06368"/>
    <w:rsid w:val="00A0637E"/>
    <w:rsid w:val="00A06391"/>
    <w:rsid w:val="00A063A5"/>
    <w:rsid w:val="00A063C5"/>
    <w:rsid w:val="00A06447"/>
    <w:rsid w:val="00A0644F"/>
    <w:rsid w:val="00A0646C"/>
    <w:rsid w:val="00A064C6"/>
    <w:rsid w:val="00A0650A"/>
    <w:rsid w:val="00A06516"/>
    <w:rsid w:val="00A0652F"/>
    <w:rsid w:val="00A0654E"/>
    <w:rsid w:val="00A06574"/>
    <w:rsid w:val="00A06595"/>
    <w:rsid w:val="00A065D2"/>
    <w:rsid w:val="00A065DD"/>
    <w:rsid w:val="00A065F5"/>
    <w:rsid w:val="00A06647"/>
    <w:rsid w:val="00A06659"/>
    <w:rsid w:val="00A06672"/>
    <w:rsid w:val="00A066C1"/>
    <w:rsid w:val="00A06713"/>
    <w:rsid w:val="00A06722"/>
    <w:rsid w:val="00A06776"/>
    <w:rsid w:val="00A06785"/>
    <w:rsid w:val="00A067B6"/>
    <w:rsid w:val="00A067DA"/>
    <w:rsid w:val="00A067E8"/>
    <w:rsid w:val="00A06847"/>
    <w:rsid w:val="00A06862"/>
    <w:rsid w:val="00A0689A"/>
    <w:rsid w:val="00A068D3"/>
    <w:rsid w:val="00A068F5"/>
    <w:rsid w:val="00A06916"/>
    <w:rsid w:val="00A0694C"/>
    <w:rsid w:val="00A0698C"/>
    <w:rsid w:val="00A06991"/>
    <w:rsid w:val="00A069DF"/>
    <w:rsid w:val="00A06A09"/>
    <w:rsid w:val="00A06A33"/>
    <w:rsid w:val="00A06B1F"/>
    <w:rsid w:val="00A06B4A"/>
    <w:rsid w:val="00A06B6B"/>
    <w:rsid w:val="00A06B82"/>
    <w:rsid w:val="00A06BA8"/>
    <w:rsid w:val="00A06BAA"/>
    <w:rsid w:val="00A06BC3"/>
    <w:rsid w:val="00A06BE5"/>
    <w:rsid w:val="00A06BF7"/>
    <w:rsid w:val="00A06BFF"/>
    <w:rsid w:val="00A06C0E"/>
    <w:rsid w:val="00A06C27"/>
    <w:rsid w:val="00A06C48"/>
    <w:rsid w:val="00A06CA0"/>
    <w:rsid w:val="00A06CA2"/>
    <w:rsid w:val="00A06CE0"/>
    <w:rsid w:val="00A06D45"/>
    <w:rsid w:val="00A06D51"/>
    <w:rsid w:val="00A06D8C"/>
    <w:rsid w:val="00A06DAF"/>
    <w:rsid w:val="00A06DBD"/>
    <w:rsid w:val="00A06DD6"/>
    <w:rsid w:val="00A06E0B"/>
    <w:rsid w:val="00A06E4B"/>
    <w:rsid w:val="00A06E4C"/>
    <w:rsid w:val="00A06E64"/>
    <w:rsid w:val="00A06E70"/>
    <w:rsid w:val="00A06E95"/>
    <w:rsid w:val="00A06EBB"/>
    <w:rsid w:val="00A06EF1"/>
    <w:rsid w:val="00A06EFA"/>
    <w:rsid w:val="00A06EFF"/>
    <w:rsid w:val="00A06F77"/>
    <w:rsid w:val="00A06F7A"/>
    <w:rsid w:val="00A06F97"/>
    <w:rsid w:val="00A06FE7"/>
    <w:rsid w:val="00A07017"/>
    <w:rsid w:val="00A07097"/>
    <w:rsid w:val="00A070A7"/>
    <w:rsid w:val="00A070AA"/>
    <w:rsid w:val="00A070AC"/>
    <w:rsid w:val="00A07108"/>
    <w:rsid w:val="00A0713F"/>
    <w:rsid w:val="00A07172"/>
    <w:rsid w:val="00A07174"/>
    <w:rsid w:val="00A071A5"/>
    <w:rsid w:val="00A071C3"/>
    <w:rsid w:val="00A071CA"/>
    <w:rsid w:val="00A071DD"/>
    <w:rsid w:val="00A071EC"/>
    <w:rsid w:val="00A07213"/>
    <w:rsid w:val="00A0722F"/>
    <w:rsid w:val="00A07249"/>
    <w:rsid w:val="00A07255"/>
    <w:rsid w:val="00A07256"/>
    <w:rsid w:val="00A07272"/>
    <w:rsid w:val="00A0727A"/>
    <w:rsid w:val="00A0727C"/>
    <w:rsid w:val="00A0728D"/>
    <w:rsid w:val="00A072A3"/>
    <w:rsid w:val="00A07315"/>
    <w:rsid w:val="00A07345"/>
    <w:rsid w:val="00A07365"/>
    <w:rsid w:val="00A07369"/>
    <w:rsid w:val="00A07382"/>
    <w:rsid w:val="00A073A6"/>
    <w:rsid w:val="00A073DE"/>
    <w:rsid w:val="00A0742A"/>
    <w:rsid w:val="00A07465"/>
    <w:rsid w:val="00A07467"/>
    <w:rsid w:val="00A07471"/>
    <w:rsid w:val="00A07484"/>
    <w:rsid w:val="00A074E9"/>
    <w:rsid w:val="00A074F7"/>
    <w:rsid w:val="00A074FD"/>
    <w:rsid w:val="00A07560"/>
    <w:rsid w:val="00A07579"/>
    <w:rsid w:val="00A0758C"/>
    <w:rsid w:val="00A075A2"/>
    <w:rsid w:val="00A075C1"/>
    <w:rsid w:val="00A075C2"/>
    <w:rsid w:val="00A07627"/>
    <w:rsid w:val="00A0764A"/>
    <w:rsid w:val="00A07667"/>
    <w:rsid w:val="00A0769A"/>
    <w:rsid w:val="00A076A9"/>
    <w:rsid w:val="00A076B2"/>
    <w:rsid w:val="00A076B4"/>
    <w:rsid w:val="00A07725"/>
    <w:rsid w:val="00A07745"/>
    <w:rsid w:val="00A07771"/>
    <w:rsid w:val="00A077BC"/>
    <w:rsid w:val="00A077CB"/>
    <w:rsid w:val="00A0781E"/>
    <w:rsid w:val="00A07843"/>
    <w:rsid w:val="00A07882"/>
    <w:rsid w:val="00A0788B"/>
    <w:rsid w:val="00A0789F"/>
    <w:rsid w:val="00A078CC"/>
    <w:rsid w:val="00A078FA"/>
    <w:rsid w:val="00A0791D"/>
    <w:rsid w:val="00A0797B"/>
    <w:rsid w:val="00A079A3"/>
    <w:rsid w:val="00A079A5"/>
    <w:rsid w:val="00A079ED"/>
    <w:rsid w:val="00A07A4E"/>
    <w:rsid w:val="00A07A88"/>
    <w:rsid w:val="00A07A8C"/>
    <w:rsid w:val="00A07AA7"/>
    <w:rsid w:val="00A07AA8"/>
    <w:rsid w:val="00A07AD2"/>
    <w:rsid w:val="00A07AF4"/>
    <w:rsid w:val="00A07AF5"/>
    <w:rsid w:val="00A07AFE"/>
    <w:rsid w:val="00A07B15"/>
    <w:rsid w:val="00A07B16"/>
    <w:rsid w:val="00A07B1B"/>
    <w:rsid w:val="00A07B46"/>
    <w:rsid w:val="00A07B52"/>
    <w:rsid w:val="00A07B55"/>
    <w:rsid w:val="00A07BD1"/>
    <w:rsid w:val="00A07BDB"/>
    <w:rsid w:val="00A07C4C"/>
    <w:rsid w:val="00A07C8B"/>
    <w:rsid w:val="00A07C96"/>
    <w:rsid w:val="00A07C9E"/>
    <w:rsid w:val="00A07CAE"/>
    <w:rsid w:val="00A07CCC"/>
    <w:rsid w:val="00A07CF7"/>
    <w:rsid w:val="00A07D8F"/>
    <w:rsid w:val="00A07D91"/>
    <w:rsid w:val="00A07D96"/>
    <w:rsid w:val="00A07D97"/>
    <w:rsid w:val="00A07DE8"/>
    <w:rsid w:val="00A07E16"/>
    <w:rsid w:val="00A07E30"/>
    <w:rsid w:val="00A07E78"/>
    <w:rsid w:val="00A07E86"/>
    <w:rsid w:val="00A07E94"/>
    <w:rsid w:val="00A07EE0"/>
    <w:rsid w:val="00A07F33"/>
    <w:rsid w:val="00A07F7C"/>
    <w:rsid w:val="00A07FB3"/>
    <w:rsid w:val="00A07FF0"/>
    <w:rsid w:val="00A10033"/>
    <w:rsid w:val="00A10034"/>
    <w:rsid w:val="00A10035"/>
    <w:rsid w:val="00A1005B"/>
    <w:rsid w:val="00A10070"/>
    <w:rsid w:val="00A100ED"/>
    <w:rsid w:val="00A10113"/>
    <w:rsid w:val="00A1012D"/>
    <w:rsid w:val="00A10135"/>
    <w:rsid w:val="00A10171"/>
    <w:rsid w:val="00A101D2"/>
    <w:rsid w:val="00A1020F"/>
    <w:rsid w:val="00A1021A"/>
    <w:rsid w:val="00A1022C"/>
    <w:rsid w:val="00A1023C"/>
    <w:rsid w:val="00A10262"/>
    <w:rsid w:val="00A102D4"/>
    <w:rsid w:val="00A10373"/>
    <w:rsid w:val="00A10399"/>
    <w:rsid w:val="00A10411"/>
    <w:rsid w:val="00A10458"/>
    <w:rsid w:val="00A10477"/>
    <w:rsid w:val="00A1047B"/>
    <w:rsid w:val="00A1049A"/>
    <w:rsid w:val="00A104B7"/>
    <w:rsid w:val="00A104C1"/>
    <w:rsid w:val="00A104FE"/>
    <w:rsid w:val="00A10541"/>
    <w:rsid w:val="00A10544"/>
    <w:rsid w:val="00A10584"/>
    <w:rsid w:val="00A105D0"/>
    <w:rsid w:val="00A105DA"/>
    <w:rsid w:val="00A105F0"/>
    <w:rsid w:val="00A10610"/>
    <w:rsid w:val="00A10652"/>
    <w:rsid w:val="00A106BB"/>
    <w:rsid w:val="00A106F0"/>
    <w:rsid w:val="00A106F5"/>
    <w:rsid w:val="00A10717"/>
    <w:rsid w:val="00A1072C"/>
    <w:rsid w:val="00A10739"/>
    <w:rsid w:val="00A107A0"/>
    <w:rsid w:val="00A1086B"/>
    <w:rsid w:val="00A108CC"/>
    <w:rsid w:val="00A10919"/>
    <w:rsid w:val="00A1091A"/>
    <w:rsid w:val="00A10939"/>
    <w:rsid w:val="00A109DE"/>
    <w:rsid w:val="00A109E8"/>
    <w:rsid w:val="00A10A35"/>
    <w:rsid w:val="00A10A5C"/>
    <w:rsid w:val="00A10A6A"/>
    <w:rsid w:val="00A10A75"/>
    <w:rsid w:val="00A10A8C"/>
    <w:rsid w:val="00A10AA9"/>
    <w:rsid w:val="00A10B2F"/>
    <w:rsid w:val="00A10B4F"/>
    <w:rsid w:val="00A10B6B"/>
    <w:rsid w:val="00A10BBF"/>
    <w:rsid w:val="00A10C10"/>
    <w:rsid w:val="00A10C13"/>
    <w:rsid w:val="00A10C1F"/>
    <w:rsid w:val="00A10C63"/>
    <w:rsid w:val="00A10C78"/>
    <w:rsid w:val="00A10C80"/>
    <w:rsid w:val="00A10C9E"/>
    <w:rsid w:val="00A10CC9"/>
    <w:rsid w:val="00A10CCF"/>
    <w:rsid w:val="00A10CF9"/>
    <w:rsid w:val="00A10D2D"/>
    <w:rsid w:val="00A10D86"/>
    <w:rsid w:val="00A10DA6"/>
    <w:rsid w:val="00A10DB2"/>
    <w:rsid w:val="00A10DDD"/>
    <w:rsid w:val="00A10DEF"/>
    <w:rsid w:val="00A10DF2"/>
    <w:rsid w:val="00A10DF9"/>
    <w:rsid w:val="00A10E55"/>
    <w:rsid w:val="00A10E91"/>
    <w:rsid w:val="00A10EC8"/>
    <w:rsid w:val="00A10F35"/>
    <w:rsid w:val="00A10F57"/>
    <w:rsid w:val="00A10F6C"/>
    <w:rsid w:val="00A10F7D"/>
    <w:rsid w:val="00A10F95"/>
    <w:rsid w:val="00A10F99"/>
    <w:rsid w:val="00A10FA5"/>
    <w:rsid w:val="00A10FF4"/>
    <w:rsid w:val="00A11002"/>
    <w:rsid w:val="00A1104C"/>
    <w:rsid w:val="00A110A2"/>
    <w:rsid w:val="00A110AB"/>
    <w:rsid w:val="00A110D0"/>
    <w:rsid w:val="00A110DA"/>
    <w:rsid w:val="00A110DD"/>
    <w:rsid w:val="00A11126"/>
    <w:rsid w:val="00A11143"/>
    <w:rsid w:val="00A111B7"/>
    <w:rsid w:val="00A11223"/>
    <w:rsid w:val="00A11235"/>
    <w:rsid w:val="00A11246"/>
    <w:rsid w:val="00A1126A"/>
    <w:rsid w:val="00A11298"/>
    <w:rsid w:val="00A112BE"/>
    <w:rsid w:val="00A11302"/>
    <w:rsid w:val="00A1130B"/>
    <w:rsid w:val="00A11324"/>
    <w:rsid w:val="00A11349"/>
    <w:rsid w:val="00A1135E"/>
    <w:rsid w:val="00A113C5"/>
    <w:rsid w:val="00A113CF"/>
    <w:rsid w:val="00A113D4"/>
    <w:rsid w:val="00A113DB"/>
    <w:rsid w:val="00A11439"/>
    <w:rsid w:val="00A11467"/>
    <w:rsid w:val="00A11478"/>
    <w:rsid w:val="00A1148B"/>
    <w:rsid w:val="00A1148D"/>
    <w:rsid w:val="00A114A5"/>
    <w:rsid w:val="00A114AE"/>
    <w:rsid w:val="00A114B0"/>
    <w:rsid w:val="00A114BD"/>
    <w:rsid w:val="00A11503"/>
    <w:rsid w:val="00A1150A"/>
    <w:rsid w:val="00A1153A"/>
    <w:rsid w:val="00A1154D"/>
    <w:rsid w:val="00A11559"/>
    <w:rsid w:val="00A1155B"/>
    <w:rsid w:val="00A1157D"/>
    <w:rsid w:val="00A1159F"/>
    <w:rsid w:val="00A115C0"/>
    <w:rsid w:val="00A115F5"/>
    <w:rsid w:val="00A115FF"/>
    <w:rsid w:val="00A11607"/>
    <w:rsid w:val="00A1160E"/>
    <w:rsid w:val="00A1161D"/>
    <w:rsid w:val="00A11629"/>
    <w:rsid w:val="00A1163E"/>
    <w:rsid w:val="00A1167B"/>
    <w:rsid w:val="00A11685"/>
    <w:rsid w:val="00A11694"/>
    <w:rsid w:val="00A116C0"/>
    <w:rsid w:val="00A116F6"/>
    <w:rsid w:val="00A11712"/>
    <w:rsid w:val="00A1173E"/>
    <w:rsid w:val="00A11745"/>
    <w:rsid w:val="00A1174B"/>
    <w:rsid w:val="00A1175F"/>
    <w:rsid w:val="00A1177C"/>
    <w:rsid w:val="00A117C8"/>
    <w:rsid w:val="00A117D6"/>
    <w:rsid w:val="00A117F5"/>
    <w:rsid w:val="00A117FF"/>
    <w:rsid w:val="00A11866"/>
    <w:rsid w:val="00A1186E"/>
    <w:rsid w:val="00A1186F"/>
    <w:rsid w:val="00A11872"/>
    <w:rsid w:val="00A11887"/>
    <w:rsid w:val="00A118B3"/>
    <w:rsid w:val="00A11914"/>
    <w:rsid w:val="00A11921"/>
    <w:rsid w:val="00A11980"/>
    <w:rsid w:val="00A11992"/>
    <w:rsid w:val="00A119B2"/>
    <w:rsid w:val="00A119EA"/>
    <w:rsid w:val="00A11A04"/>
    <w:rsid w:val="00A11A1A"/>
    <w:rsid w:val="00A11A78"/>
    <w:rsid w:val="00A11AEA"/>
    <w:rsid w:val="00A11AFD"/>
    <w:rsid w:val="00A11AFF"/>
    <w:rsid w:val="00A11B1D"/>
    <w:rsid w:val="00A11B53"/>
    <w:rsid w:val="00A11BAF"/>
    <w:rsid w:val="00A11BBE"/>
    <w:rsid w:val="00A11BDF"/>
    <w:rsid w:val="00A11C0B"/>
    <w:rsid w:val="00A11C1D"/>
    <w:rsid w:val="00A11C61"/>
    <w:rsid w:val="00A11C99"/>
    <w:rsid w:val="00A11CF1"/>
    <w:rsid w:val="00A11D18"/>
    <w:rsid w:val="00A11D56"/>
    <w:rsid w:val="00A11D67"/>
    <w:rsid w:val="00A11DA0"/>
    <w:rsid w:val="00A11DD2"/>
    <w:rsid w:val="00A11E0D"/>
    <w:rsid w:val="00A11E6A"/>
    <w:rsid w:val="00A11EB6"/>
    <w:rsid w:val="00A11EC6"/>
    <w:rsid w:val="00A11ED3"/>
    <w:rsid w:val="00A11ED7"/>
    <w:rsid w:val="00A11F4B"/>
    <w:rsid w:val="00A11F50"/>
    <w:rsid w:val="00A11F54"/>
    <w:rsid w:val="00A11F7D"/>
    <w:rsid w:val="00A11FB0"/>
    <w:rsid w:val="00A11FBD"/>
    <w:rsid w:val="00A11FC2"/>
    <w:rsid w:val="00A11FF5"/>
    <w:rsid w:val="00A11FFF"/>
    <w:rsid w:val="00A1204A"/>
    <w:rsid w:val="00A12051"/>
    <w:rsid w:val="00A12052"/>
    <w:rsid w:val="00A120A3"/>
    <w:rsid w:val="00A120D3"/>
    <w:rsid w:val="00A12158"/>
    <w:rsid w:val="00A12187"/>
    <w:rsid w:val="00A121A4"/>
    <w:rsid w:val="00A121AE"/>
    <w:rsid w:val="00A121EA"/>
    <w:rsid w:val="00A121F2"/>
    <w:rsid w:val="00A121F3"/>
    <w:rsid w:val="00A121FE"/>
    <w:rsid w:val="00A1224F"/>
    <w:rsid w:val="00A122C8"/>
    <w:rsid w:val="00A122D6"/>
    <w:rsid w:val="00A122E5"/>
    <w:rsid w:val="00A1230A"/>
    <w:rsid w:val="00A1231D"/>
    <w:rsid w:val="00A123AA"/>
    <w:rsid w:val="00A123B1"/>
    <w:rsid w:val="00A123B7"/>
    <w:rsid w:val="00A123B8"/>
    <w:rsid w:val="00A123D7"/>
    <w:rsid w:val="00A123F9"/>
    <w:rsid w:val="00A1240C"/>
    <w:rsid w:val="00A12458"/>
    <w:rsid w:val="00A1245B"/>
    <w:rsid w:val="00A12462"/>
    <w:rsid w:val="00A124BD"/>
    <w:rsid w:val="00A124E4"/>
    <w:rsid w:val="00A124EF"/>
    <w:rsid w:val="00A12536"/>
    <w:rsid w:val="00A1254D"/>
    <w:rsid w:val="00A125E7"/>
    <w:rsid w:val="00A12615"/>
    <w:rsid w:val="00A12651"/>
    <w:rsid w:val="00A12659"/>
    <w:rsid w:val="00A1268F"/>
    <w:rsid w:val="00A126D3"/>
    <w:rsid w:val="00A126D9"/>
    <w:rsid w:val="00A126DD"/>
    <w:rsid w:val="00A1275F"/>
    <w:rsid w:val="00A1279F"/>
    <w:rsid w:val="00A127B8"/>
    <w:rsid w:val="00A127C0"/>
    <w:rsid w:val="00A12816"/>
    <w:rsid w:val="00A12844"/>
    <w:rsid w:val="00A1284D"/>
    <w:rsid w:val="00A12861"/>
    <w:rsid w:val="00A1287C"/>
    <w:rsid w:val="00A128A0"/>
    <w:rsid w:val="00A128C2"/>
    <w:rsid w:val="00A128C4"/>
    <w:rsid w:val="00A128D8"/>
    <w:rsid w:val="00A128F2"/>
    <w:rsid w:val="00A12929"/>
    <w:rsid w:val="00A12A48"/>
    <w:rsid w:val="00A12A9C"/>
    <w:rsid w:val="00A12AC5"/>
    <w:rsid w:val="00A12B2A"/>
    <w:rsid w:val="00A12B54"/>
    <w:rsid w:val="00A12B5B"/>
    <w:rsid w:val="00A12B68"/>
    <w:rsid w:val="00A12C52"/>
    <w:rsid w:val="00A12CD6"/>
    <w:rsid w:val="00A12CDA"/>
    <w:rsid w:val="00A12CEF"/>
    <w:rsid w:val="00A12CF9"/>
    <w:rsid w:val="00A12D14"/>
    <w:rsid w:val="00A12D18"/>
    <w:rsid w:val="00A12D3D"/>
    <w:rsid w:val="00A12D3F"/>
    <w:rsid w:val="00A12DAC"/>
    <w:rsid w:val="00A12DE4"/>
    <w:rsid w:val="00A12E05"/>
    <w:rsid w:val="00A12E18"/>
    <w:rsid w:val="00A12E8A"/>
    <w:rsid w:val="00A12E94"/>
    <w:rsid w:val="00A12E9E"/>
    <w:rsid w:val="00A12EBE"/>
    <w:rsid w:val="00A12ED5"/>
    <w:rsid w:val="00A12EFD"/>
    <w:rsid w:val="00A12F12"/>
    <w:rsid w:val="00A12F20"/>
    <w:rsid w:val="00A12F2A"/>
    <w:rsid w:val="00A12FAB"/>
    <w:rsid w:val="00A12FCE"/>
    <w:rsid w:val="00A13037"/>
    <w:rsid w:val="00A13072"/>
    <w:rsid w:val="00A1308E"/>
    <w:rsid w:val="00A130D3"/>
    <w:rsid w:val="00A130ED"/>
    <w:rsid w:val="00A13108"/>
    <w:rsid w:val="00A13109"/>
    <w:rsid w:val="00A13139"/>
    <w:rsid w:val="00A13153"/>
    <w:rsid w:val="00A13160"/>
    <w:rsid w:val="00A13188"/>
    <w:rsid w:val="00A131A5"/>
    <w:rsid w:val="00A131BF"/>
    <w:rsid w:val="00A131C2"/>
    <w:rsid w:val="00A13201"/>
    <w:rsid w:val="00A13213"/>
    <w:rsid w:val="00A13218"/>
    <w:rsid w:val="00A13230"/>
    <w:rsid w:val="00A13248"/>
    <w:rsid w:val="00A1325A"/>
    <w:rsid w:val="00A13292"/>
    <w:rsid w:val="00A132DB"/>
    <w:rsid w:val="00A132EF"/>
    <w:rsid w:val="00A132F9"/>
    <w:rsid w:val="00A1333D"/>
    <w:rsid w:val="00A13358"/>
    <w:rsid w:val="00A134A6"/>
    <w:rsid w:val="00A134B1"/>
    <w:rsid w:val="00A134BC"/>
    <w:rsid w:val="00A134D9"/>
    <w:rsid w:val="00A134EF"/>
    <w:rsid w:val="00A134F5"/>
    <w:rsid w:val="00A13539"/>
    <w:rsid w:val="00A13545"/>
    <w:rsid w:val="00A1355E"/>
    <w:rsid w:val="00A13582"/>
    <w:rsid w:val="00A135BE"/>
    <w:rsid w:val="00A135FF"/>
    <w:rsid w:val="00A1362C"/>
    <w:rsid w:val="00A13630"/>
    <w:rsid w:val="00A13638"/>
    <w:rsid w:val="00A13652"/>
    <w:rsid w:val="00A13673"/>
    <w:rsid w:val="00A13680"/>
    <w:rsid w:val="00A13694"/>
    <w:rsid w:val="00A136A6"/>
    <w:rsid w:val="00A136CA"/>
    <w:rsid w:val="00A136D6"/>
    <w:rsid w:val="00A136DA"/>
    <w:rsid w:val="00A136EB"/>
    <w:rsid w:val="00A136F7"/>
    <w:rsid w:val="00A1373D"/>
    <w:rsid w:val="00A137CE"/>
    <w:rsid w:val="00A137F2"/>
    <w:rsid w:val="00A13811"/>
    <w:rsid w:val="00A13817"/>
    <w:rsid w:val="00A13850"/>
    <w:rsid w:val="00A13880"/>
    <w:rsid w:val="00A138C6"/>
    <w:rsid w:val="00A13901"/>
    <w:rsid w:val="00A13961"/>
    <w:rsid w:val="00A13962"/>
    <w:rsid w:val="00A13970"/>
    <w:rsid w:val="00A13971"/>
    <w:rsid w:val="00A1397A"/>
    <w:rsid w:val="00A13997"/>
    <w:rsid w:val="00A139A1"/>
    <w:rsid w:val="00A139FC"/>
    <w:rsid w:val="00A13A1D"/>
    <w:rsid w:val="00A13A46"/>
    <w:rsid w:val="00A13A63"/>
    <w:rsid w:val="00A13A87"/>
    <w:rsid w:val="00A13ACD"/>
    <w:rsid w:val="00A13B38"/>
    <w:rsid w:val="00A13B53"/>
    <w:rsid w:val="00A13B87"/>
    <w:rsid w:val="00A13B95"/>
    <w:rsid w:val="00A13B9C"/>
    <w:rsid w:val="00A13BB0"/>
    <w:rsid w:val="00A13BCA"/>
    <w:rsid w:val="00A13BFC"/>
    <w:rsid w:val="00A13C0E"/>
    <w:rsid w:val="00A13C16"/>
    <w:rsid w:val="00A13C3D"/>
    <w:rsid w:val="00A13C5B"/>
    <w:rsid w:val="00A13CA5"/>
    <w:rsid w:val="00A13CB8"/>
    <w:rsid w:val="00A13CCA"/>
    <w:rsid w:val="00A13CCE"/>
    <w:rsid w:val="00A13CE5"/>
    <w:rsid w:val="00A13D45"/>
    <w:rsid w:val="00A13D9E"/>
    <w:rsid w:val="00A13E03"/>
    <w:rsid w:val="00A13E09"/>
    <w:rsid w:val="00A13E2F"/>
    <w:rsid w:val="00A13E70"/>
    <w:rsid w:val="00A13E97"/>
    <w:rsid w:val="00A13E9B"/>
    <w:rsid w:val="00A13EB8"/>
    <w:rsid w:val="00A13EBA"/>
    <w:rsid w:val="00A13EBB"/>
    <w:rsid w:val="00A13EBC"/>
    <w:rsid w:val="00A13EC6"/>
    <w:rsid w:val="00A13ECA"/>
    <w:rsid w:val="00A13EDF"/>
    <w:rsid w:val="00A13EED"/>
    <w:rsid w:val="00A13EEE"/>
    <w:rsid w:val="00A13F02"/>
    <w:rsid w:val="00A13F19"/>
    <w:rsid w:val="00A13F20"/>
    <w:rsid w:val="00A13F43"/>
    <w:rsid w:val="00A13F68"/>
    <w:rsid w:val="00A13FD6"/>
    <w:rsid w:val="00A14001"/>
    <w:rsid w:val="00A14014"/>
    <w:rsid w:val="00A14053"/>
    <w:rsid w:val="00A1406E"/>
    <w:rsid w:val="00A140CE"/>
    <w:rsid w:val="00A14115"/>
    <w:rsid w:val="00A14152"/>
    <w:rsid w:val="00A1415B"/>
    <w:rsid w:val="00A14162"/>
    <w:rsid w:val="00A14163"/>
    <w:rsid w:val="00A14184"/>
    <w:rsid w:val="00A141A7"/>
    <w:rsid w:val="00A141F3"/>
    <w:rsid w:val="00A14232"/>
    <w:rsid w:val="00A14249"/>
    <w:rsid w:val="00A14262"/>
    <w:rsid w:val="00A14269"/>
    <w:rsid w:val="00A1426B"/>
    <w:rsid w:val="00A142A5"/>
    <w:rsid w:val="00A142B2"/>
    <w:rsid w:val="00A142EB"/>
    <w:rsid w:val="00A1433E"/>
    <w:rsid w:val="00A14359"/>
    <w:rsid w:val="00A143B8"/>
    <w:rsid w:val="00A143DB"/>
    <w:rsid w:val="00A143DF"/>
    <w:rsid w:val="00A143EF"/>
    <w:rsid w:val="00A14440"/>
    <w:rsid w:val="00A14458"/>
    <w:rsid w:val="00A14479"/>
    <w:rsid w:val="00A14486"/>
    <w:rsid w:val="00A1448D"/>
    <w:rsid w:val="00A144A2"/>
    <w:rsid w:val="00A144B6"/>
    <w:rsid w:val="00A144FB"/>
    <w:rsid w:val="00A14518"/>
    <w:rsid w:val="00A1453A"/>
    <w:rsid w:val="00A1453B"/>
    <w:rsid w:val="00A1454B"/>
    <w:rsid w:val="00A145A9"/>
    <w:rsid w:val="00A14605"/>
    <w:rsid w:val="00A1460A"/>
    <w:rsid w:val="00A1460B"/>
    <w:rsid w:val="00A1462D"/>
    <w:rsid w:val="00A1463B"/>
    <w:rsid w:val="00A14679"/>
    <w:rsid w:val="00A14696"/>
    <w:rsid w:val="00A1469E"/>
    <w:rsid w:val="00A1469F"/>
    <w:rsid w:val="00A146B2"/>
    <w:rsid w:val="00A146BB"/>
    <w:rsid w:val="00A146C1"/>
    <w:rsid w:val="00A146E4"/>
    <w:rsid w:val="00A14704"/>
    <w:rsid w:val="00A14715"/>
    <w:rsid w:val="00A14791"/>
    <w:rsid w:val="00A147E5"/>
    <w:rsid w:val="00A14803"/>
    <w:rsid w:val="00A14805"/>
    <w:rsid w:val="00A14816"/>
    <w:rsid w:val="00A14841"/>
    <w:rsid w:val="00A14851"/>
    <w:rsid w:val="00A1486A"/>
    <w:rsid w:val="00A1488B"/>
    <w:rsid w:val="00A148A6"/>
    <w:rsid w:val="00A148F1"/>
    <w:rsid w:val="00A1491D"/>
    <w:rsid w:val="00A1494E"/>
    <w:rsid w:val="00A1497B"/>
    <w:rsid w:val="00A149DF"/>
    <w:rsid w:val="00A14A73"/>
    <w:rsid w:val="00A14ABA"/>
    <w:rsid w:val="00A14AD1"/>
    <w:rsid w:val="00A14AD3"/>
    <w:rsid w:val="00A14AEC"/>
    <w:rsid w:val="00A14AFB"/>
    <w:rsid w:val="00A14AFC"/>
    <w:rsid w:val="00A14B05"/>
    <w:rsid w:val="00A14B0A"/>
    <w:rsid w:val="00A14B47"/>
    <w:rsid w:val="00A14BA5"/>
    <w:rsid w:val="00A14BAA"/>
    <w:rsid w:val="00A14BEA"/>
    <w:rsid w:val="00A14C0E"/>
    <w:rsid w:val="00A14C26"/>
    <w:rsid w:val="00A14C6C"/>
    <w:rsid w:val="00A14CA3"/>
    <w:rsid w:val="00A14CD9"/>
    <w:rsid w:val="00A14D09"/>
    <w:rsid w:val="00A14D0F"/>
    <w:rsid w:val="00A14D54"/>
    <w:rsid w:val="00A14D94"/>
    <w:rsid w:val="00A14DAF"/>
    <w:rsid w:val="00A14E07"/>
    <w:rsid w:val="00A14E11"/>
    <w:rsid w:val="00A14E57"/>
    <w:rsid w:val="00A14EBA"/>
    <w:rsid w:val="00A14EE1"/>
    <w:rsid w:val="00A14EE4"/>
    <w:rsid w:val="00A14EED"/>
    <w:rsid w:val="00A14F04"/>
    <w:rsid w:val="00A14F0A"/>
    <w:rsid w:val="00A14F21"/>
    <w:rsid w:val="00A1501E"/>
    <w:rsid w:val="00A15047"/>
    <w:rsid w:val="00A15073"/>
    <w:rsid w:val="00A1508D"/>
    <w:rsid w:val="00A150B9"/>
    <w:rsid w:val="00A150BE"/>
    <w:rsid w:val="00A15133"/>
    <w:rsid w:val="00A15142"/>
    <w:rsid w:val="00A15156"/>
    <w:rsid w:val="00A15164"/>
    <w:rsid w:val="00A1518D"/>
    <w:rsid w:val="00A15191"/>
    <w:rsid w:val="00A15197"/>
    <w:rsid w:val="00A151D4"/>
    <w:rsid w:val="00A151DA"/>
    <w:rsid w:val="00A15200"/>
    <w:rsid w:val="00A15202"/>
    <w:rsid w:val="00A15235"/>
    <w:rsid w:val="00A1527F"/>
    <w:rsid w:val="00A152F0"/>
    <w:rsid w:val="00A152F9"/>
    <w:rsid w:val="00A1532F"/>
    <w:rsid w:val="00A15352"/>
    <w:rsid w:val="00A1538C"/>
    <w:rsid w:val="00A153EF"/>
    <w:rsid w:val="00A1541C"/>
    <w:rsid w:val="00A15462"/>
    <w:rsid w:val="00A15499"/>
    <w:rsid w:val="00A154E9"/>
    <w:rsid w:val="00A1550F"/>
    <w:rsid w:val="00A1551F"/>
    <w:rsid w:val="00A15526"/>
    <w:rsid w:val="00A15537"/>
    <w:rsid w:val="00A15564"/>
    <w:rsid w:val="00A15567"/>
    <w:rsid w:val="00A15579"/>
    <w:rsid w:val="00A15590"/>
    <w:rsid w:val="00A155DE"/>
    <w:rsid w:val="00A155EA"/>
    <w:rsid w:val="00A155F4"/>
    <w:rsid w:val="00A15604"/>
    <w:rsid w:val="00A1563C"/>
    <w:rsid w:val="00A15640"/>
    <w:rsid w:val="00A15645"/>
    <w:rsid w:val="00A15685"/>
    <w:rsid w:val="00A156FD"/>
    <w:rsid w:val="00A1573E"/>
    <w:rsid w:val="00A15750"/>
    <w:rsid w:val="00A15775"/>
    <w:rsid w:val="00A1577A"/>
    <w:rsid w:val="00A15784"/>
    <w:rsid w:val="00A1578C"/>
    <w:rsid w:val="00A157A4"/>
    <w:rsid w:val="00A157B9"/>
    <w:rsid w:val="00A157BC"/>
    <w:rsid w:val="00A157C3"/>
    <w:rsid w:val="00A157E5"/>
    <w:rsid w:val="00A15818"/>
    <w:rsid w:val="00A15819"/>
    <w:rsid w:val="00A15869"/>
    <w:rsid w:val="00A158B4"/>
    <w:rsid w:val="00A158C1"/>
    <w:rsid w:val="00A158CA"/>
    <w:rsid w:val="00A158CD"/>
    <w:rsid w:val="00A1590A"/>
    <w:rsid w:val="00A15921"/>
    <w:rsid w:val="00A15935"/>
    <w:rsid w:val="00A15948"/>
    <w:rsid w:val="00A15954"/>
    <w:rsid w:val="00A15968"/>
    <w:rsid w:val="00A1597B"/>
    <w:rsid w:val="00A15985"/>
    <w:rsid w:val="00A15987"/>
    <w:rsid w:val="00A159A3"/>
    <w:rsid w:val="00A159B8"/>
    <w:rsid w:val="00A159F1"/>
    <w:rsid w:val="00A15A26"/>
    <w:rsid w:val="00A15A29"/>
    <w:rsid w:val="00A15A65"/>
    <w:rsid w:val="00A15A6C"/>
    <w:rsid w:val="00A15A7E"/>
    <w:rsid w:val="00A15AA4"/>
    <w:rsid w:val="00A15AF6"/>
    <w:rsid w:val="00A15B72"/>
    <w:rsid w:val="00A15BAE"/>
    <w:rsid w:val="00A15BFD"/>
    <w:rsid w:val="00A15C06"/>
    <w:rsid w:val="00A15C0E"/>
    <w:rsid w:val="00A15C13"/>
    <w:rsid w:val="00A15C40"/>
    <w:rsid w:val="00A15CE5"/>
    <w:rsid w:val="00A15CFF"/>
    <w:rsid w:val="00A15D14"/>
    <w:rsid w:val="00A15D47"/>
    <w:rsid w:val="00A15D7E"/>
    <w:rsid w:val="00A15D9A"/>
    <w:rsid w:val="00A15DA4"/>
    <w:rsid w:val="00A15DBE"/>
    <w:rsid w:val="00A15DD7"/>
    <w:rsid w:val="00A15DE0"/>
    <w:rsid w:val="00A15DF3"/>
    <w:rsid w:val="00A15E0A"/>
    <w:rsid w:val="00A15E31"/>
    <w:rsid w:val="00A15E32"/>
    <w:rsid w:val="00A15E69"/>
    <w:rsid w:val="00A15E93"/>
    <w:rsid w:val="00A15EEB"/>
    <w:rsid w:val="00A15EFF"/>
    <w:rsid w:val="00A15F2D"/>
    <w:rsid w:val="00A15F58"/>
    <w:rsid w:val="00A15F73"/>
    <w:rsid w:val="00A15F99"/>
    <w:rsid w:val="00A15FD6"/>
    <w:rsid w:val="00A1600B"/>
    <w:rsid w:val="00A16034"/>
    <w:rsid w:val="00A16065"/>
    <w:rsid w:val="00A1608A"/>
    <w:rsid w:val="00A16094"/>
    <w:rsid w:val="00A160D4"/>
    <w:rsid w:val="00A160FB"/>
    <w:rsid w:val="00A1613D"/>
    <w:rsid w:val="00A1615A"/>
    <w:rsid w:val="00A1616C"/>
    <w:rsid w:val="00A1617D"/>
    <w:rsid w:val="00A161A2"/>
    <w:rsid w:val="00A161AB"/>
    <w:rsid w:val="00A161E1"/>
    <w:rsid w:val="00A16223"/>
    <w:rsid w:val="00A162B4"/>
    <w:rsid w:val="00A162B5"/>
    <w:rsid w:val="00A162CC"/>
    <w:rsid w:val="00A1631D"/>
    <w:rsid w:val="00A1638D"/>
    <w:rsid w:val="00A16392"/>
    <w:rsid w:val="00A163BC"/>
    <w:rsid w:val="00A163EF"/>
    <w:rsid w:val="00A16406"/>
    <w:rsid w:val="00A1641F"/>
    <w:rsid w:val="00A16420"/>
    <w:rsid w:val="00A16435"/>
    <w:rsid w:val="00A1643F"/>
    <w:rsid w:val="00A16448"/>
    <w:rsid w:val="00A1656D"/>
    <w:rsid w:val="00A16572"/>
    <w:rsid w:val="00A16584"/>
    <w:rsid w:val="00A165D2"/>
    <w:rsid w:val="00A165D3"/>
    <w:rsid w:val="00A165E2"/>
    <w:rsid w:val="00A165F8"/>
    <w:rsid w:val="00A165FB"/>
    <w:rsid w:val="00A16619"/>
    <w:rsid w:val="00A1667E"/>
    <w:rsid w:val="00A16683"/>
    <w:rsid w:val="00A16699"/>
    <w:rsid w:val="00A166B8"/>
    <w:rsid w:val="00A166DC"/>
    <w:rsid w:val="00A166E5"/>
    <w:rsid w:val="00A1670D"/>
    <w:rsid w:val="00A1672D"/>
    <w:rsid w:val="00A1677C"/>
    <w:rsid w:val="00A167B7"/>
    <w:rsid w:val="00A16820"/>
    <w:rsid w:val="00A16821"/>
    <w:rsid w:val="00A168FD"/>
    <w:rsid w:val="00A168FE"/>
    <w:rsid w:val="00A16911"/>
    <w:rsid w:val="00A16920"/>
    <w:rsid w:val="00A16924"/>
    <w:rsid w:val="00A16929"/>
    <w:rsid w:val="00A16968"/>
    <w:rsid w:val="00A16975"/>
    <w:rsid w:val="00A1698F"/>
    <w:rsid w:val="00A169B9"/>
    <w:rsid w:val="00A169F2"/>
    <w:rsid w:val="00A16A28"/>
    <w:rsid w:val="00A16A3B"/>
    <w:rsid w:val="00A16A44"/>
    <w:rsid w:val="00A16A46"/>
    <w:rsid w:val="00A16A56"/>
    <w:rsid w:val="00A16B07"/>
    <w:rsid w:val="00A16B36"/>
    <w:rsid w:val="00A16B41"/>
    <w:rsid w:val="00A16B4E"/>
    <w:rsid w:val="00A16B89"/>
    <w:rsid w:val="00A16B93"/>
    <w:rsid w:val="00A16BA0"/>
    <w:rsid w:val="00A16BCD"/>
    <w:rsid w:val="00A16BCF"/>
    <w:rsid w:val="00A16BFD"/>
    <w:rsid w:val="00A16C02"/>
    <w:rsid w:val="00A16C36"/>
    <w:rsid w:val="00A16C4B"/>
    <w:rsid w:val="00A16C76"/>
    <w:rsid w:val="00A16C84"/>
    <w:rsid w:val="00A16C8F"/>
    <w:rsid w:val="00A16CAC"/>
    <w:rsid w:val="00A16CB6"/>
    <w:rsid w:val="00A16CD2"/>
    <w:rsid w:val="00A16CE0"/>
    <w:rsid w:val="00A16CE3"/>
    <w:rsid w:val="00A16CF4"/>
    <w:rsid w:val="00A16D36"/>
    <w:rsid w:val="00A16D82"/>
    <w:rsid w:val="00A16D9B"/>
    <w:rsid w:val="00A16DF8"/>
    <w:rsid w:val="00A16E45"/>
    <w:rsid w:val="00A16E5F"/>
    <w:rsid w:val="00A16E83"/>
    <w:rsid w:val="00A16ECE"/>
    <w:rsid w:val="00A16ED9"/>
    <w:rsid w:val="00A16EDF"/>
    <w:rsid w:val="00A16F1E"/>
    <w:rsid w:val="00A16F21"/>
    <w:rsid w:val="00A16F22"/>
    <w:rsid w:val="00A16F50"/>
    <w:rsid w:val="00A16F5D"/>
    <w:rsid w:val="00A16F5F"/>
    <w:rsid w:val="00A16F9A"/>
    <w:rsid w:val="00A16FA2"/>
    <w:rsid w:val="00A16FA4"/>
    <w:rsid w:val="00A16FC8"/>
    <w:rsid w:val="00A16FD2"/>
    <w:rsid w:val="00A16FD9"/>
    <w:rsid w:val="00A17020"/>
    <w:rsid w:val="00A1702E"/>
    <w:rsid w:val="00A17039"/>
    <w:rsid w:val="00A17059"/>
    <w:rsid w:val="00A1705B"/>
    <w:rsid w:val="00A1707F"/>
    <w:rsid w:val="00A170A9"/>
    <w:rsid w:val="00A170D5"/>
    <w:rsid w:val="00A170E0"/>
    <w:rsid w:val="00A170EA"/>
    <w:rsid w:val="00A17143"/>
    <w:rsid w:val="00A1714B"/>
    <w:rsid w:val="00A17179"/>
    <w:rsid w:val="00A17181"/>
    <w:rsid w:val="00A171CD"/>
    <w:rsid w:val="00A17246"/>
    <w:rsid w:val="00A172BB"/>
    <w:rsid w:val="00A172D7"/>
    <w:rsid w:val="00A172F1"/>
    <w:rsid w:val="00A17330"/>
    <w:rsid w:val="00A1733F"/>
    <w:rsid w:val="00A1734D"/>
    <w:rsid w:val="00A173A8"/>
    <w:rsid w:val="00A173C9"/>
    <w:rsid w:val="00A173CE"/>
    <w:rsid w:val="00A17417"/>
    <w:rsid w:val="00A17448"/>
    <w:rsid w:val="00A1745A"/>
    <w:rsid w:val="00A17477"/>
    <w:rsid w:val="00A17502"/>
    <w:rsid w:val="00A1756A"/>
    <w:rsid w:val="00A17589"/>
    <w:rsid w:val="00A175F2"/>
    <w:rsid w:val="00A1760C"/>
    <w:rsid w:val="00A1764D"/>
    <w:rsid w:val="00A17664"/>
    <w:rsid w:val="00A17677"/>
    <w:rsid w:val="00A176A2"/>
    <w:rsid w:val="00A176AA"/>
    <w:rsid w:val="00A176CB"/>
    <w:rsid w:val="00A17701"/>
    <w:rsid w:val="00A17703"/>
    <w:rsid w:val="00A1770A"/>
    <w:rsid w:val="00A17765"/>
    <w:rsid w:val="00A1776D"/>
    <w:rsid w:val="00A177D3"/>
    <w:rsid w:val="00A177E0"/>
    <w:rsid w:val="00A17815"/>
    <w:rsid w:val="00A17826"/>
    <w:rsid w:val="00A17829"/>
    <w:rsid w:val="00A17845"/>
    <w:rsid w:val="00A17853"/>
    <w:rsid w:val="00A178BC"/>
    <w:rsid w:val="00A178CC"/>
    <w:rsid w:val="00A178D7"/>
    <w:rsid w:val="00A17928"/>
    <w:rsid w:val="00A1796B"/>
    <w:rsid w:val="00A17980"/>
    <w:rsid w:val="00A17993"/>
    <w:rsid w:val="00A179F2"/>
    <w:rsid w:val="00A17A06"/>
    <w:rsid w:val="00A17A28"/>
    <w:rsid w:val="00A17A2B"/>
    <w:rsid w:val="00A17AA2"/>
    <w:rsid w:val="00A17AAE"/>
    <w:rsid w:val="00A17B06"/>
    <w:rsid w:val="00A17B16"/>
    <w:rsid w:val="00A17B30"/>
    <w:rsid w:val="00A17B44"/>
    <w:rsid w:val="00A17B63"/>
    <w:rsid w:val="00A17B67"/>
    <w:rsid w:val="00A17B6A"/>
    <w:rsid w:val="00A17B6C"/>
    <w:rsid w:val="00A17B79"/>
    <w:rsid w:val="00A17B9F"/>
    <w:rsid w:val="00A17BA6"/>
    <w:rsid w:val="00A17BF4"/>
    <w:rsid w:val="00A17C21"/>
    <w:rsid w:val="00A17C23"/>
    <w:rsid w:val="00A17C6A"/>
    <w:rsid w:val="00A17C7F"/>
    <w:rsid w:val="00A17CA3"/>
    <w:rsid w:val="00A17CB9"/>
    <w:rsid w:val="00A17CBB"/>
    <w:rsid w:val="00A17CF6"/>
    <w:rsid w:val="00A17D5F"/>
    <w:rsid w:val="00A17D7B"/>
    <w:rsid w:val="00A17D8C"/>
    <w:rsid w:val="00A17D92"/>
    <w:rsid w:val="00A17DF5"/>
    <w:rsid w:val="00A17DFA"/>
    <w:rsid w:val="00A17E2D"/>
    <w:rsid w:val="00A17E31"/>
    <w:rsid w:val="00A17E63"/>
    <w:rsid w:val="00A17E72"/>
    <w:rsid w:val="00A17E87"/>
    <w:rsid w:val="00A17ECF"/>
    <w:rsid w:val="00A17EDF"/>
    <w:rsid w:val="00A17EFE"/>
    <w:rsid w:val="00A17F02"/>
    <w:rsid w:val="00A17F21"/>
    <w:rsid w:val="00A17F74"/>
    <w:rsid w:val="00A17F86"/>
    <w:rsid w:val="00A17F91"/>
    <w:rsid w:val="00A17FE5"/>
    <w:rsid w:val="00A20005"/>
    <w:rsid w:val="00A20009"/>
    <w:rsid w:val="00A2005C"/>
    <w:rsid w:val="00A20087"/>
    <w:rsid w:val="00A200B6"/>
    <w:rsid w:val="00A200FC"/>
    <w:rsid w:val="00A200FD"/>
    <w:rsid w:val="00A20133"/>
    <w:rsid w:val="00A2015A"/>
    <w:rsid w:val="00A20165"/>
    <w:rsid w:val="00A20199"/>
    <w:rsid w:val="00A201A9"/>
    <w:rsid w:val="00A201C0"/>
    <w:rsid w:val="00A201DB"/>
    <w:rsid w:val="00A201E6"/>
    <w:rsid w:val="00A201F2"/>
    <w:rsid w:val="00A20222"/>
    <w:rsid w:val="00A20241"/>
    <w:rsid w:val="00A2025D"/>
    <w:rsid w:val="00A202B4"/>
    <w:rsid w:val="00A2030B"/>
    <w:rsid w:val="00A20337"/>
    <w:rsid w:val="00A20347"/>
    <w:rsid w:val="00A2037B"/>
    <w:rsid w:val="00A20382"/>
    <w:rsid w:val="00A20390"/>
    <w:rsid w:val="00A203A0"/>
    <w:rsid w:val="00A2044A"/>
    <w:rsid w:val="00A2044F"/>
    <w:rsid w:val="00A204AF"/>
    <w:rsid w:val="00A204DD"/>
    <w:rsid w:val="00A204FA"/>
    <w:rsid w:val="00A20506"/>
    <w:rsid w:val="00A2054C"/>
    <w:rsid w:val="00A20555"/>
    <w:rsid w:val="00A205B5"/>
    <w:rsid w:val="00A205DA"/>
    <w:rsid w:val="00A205FD"/>
    <w:rsid w:val="00A2060E"/>
    <w:rsid w:val="00A20643"/>
    <w:rsid w:val="00A2064D"/>
    <w:rsid w:val="00A20664"/>
    <w:rsid w:val="00A20708"/>
    <w:rsid w:val="00A20736"/>
    <w:rsid w:val="00A20766"/>
    <w:rsid w:val="00A20779"/>
    <w:rsid w:val="00A2077D"/>
    <w:rsid w:val="00A207CD"/>
    <w:rsid w:val="00A207F6"/>
    <w:rsid w:val="00A20854"/>
    <w:rsid w:val="00A20862"/>
    <w:rsid w:val="00A2087B"/>
    <w:rsid w:val="00A208AE"/>
    <w:rsid w:val="00A20907"/>
    <w:rsid w:val="00A2092F"/>
    <w:rsid w:val="00A2094E"/>
    <w:rsid w:val="00A209B0"/>
    <w:rsid w:val="00A209B1"/>
    <w:rsid w:val="00A209B8"/>
    <w:rsid w:val="00A209D5"/>
    <w:rsid w:val="00A209D8"/>
    <w:rsid w:val="00A209E9"/>
    <w:rsid w:val="00A20A10"/>
    <w:rsid w:val="00A20A24"/>
    <w:rsid w:val="00A20A2D"/>
    <w:rsid w:val="00A20A46"/>
    <w:rsid w:val="00A20A75"/>
    <w:rsid w:val="00A20A95"/>
    <w:rsid w:val="00A20AA9"/>
    <w:rsid w:val="00A20ABB"/>
    <w:rsid w:val="00A20AF2"/>
    <w:rsid w:val="00A20B19"/>
    <w:rsid w:val="00A20B3A"/>
    <w:rsid w:val="00A20BED"/>
    <w:rsid w:val="00A20C0C"/>
    <w:rsid w:val="00A20C44"/>
    <w:rsid w:val="00A20C7A"/>
    <w:rsid w:val="00A20C91"/>
    <w:rsid w:val="00A20CDD"/>
    <w:rsid w:val="00A20CFE"/>
    <w:rsid w:val="00A20D0E"/>
    <w:rsid w:val="00A20D1A"/>
    <w:rsid w:val="00A20D55"/>
    <w:rsid w:val="00A20D5B"/>
    <w:rsid w:val="00A20D69"/>
    <w:rsid w:val="00A20D89"/>
    <w:rsid w:val="00A20DB5"/>
    <w:rsid w:val="00A20DDE"/>
    <w:rsid w:val="00A20E2A"/>
    <w:rsid w:val="00A20E71"/>
    <w:rsid w:val="00A20E73"/>
    <w:rsid w:val="00A20E80"/>
    <w:rsid w:val="00A20EAC"/>
    <w:rsid w:val="00A20EB5"/>
    <w:rsid w:val="00A20F5A"/>
    <w:rsid w:val="00A20F62"/>
    <w:rsid w:val="00A20F9F"/>
    <w:rsid w:val="00A20FA9"/>
    <w:rsid w:val="00A20FB8"/>
    <w:rsid w:val="00A20FD0"/>
    <w:rsid w:val="00A21092"/>
    <w:rsid w:val="00A21099"/>
    <w:rsid w:val="00A210C9"/>
    <w:rsid w:val="00A210CF"/>
    <w:rsid w:val="00A2113B"/>
    <w:rsid w:val="00A2116C"/>
    <w:rsid w:val="00A211A4"/>
    <w:rsid w:val="00A211D8"/>
    <w:rsid w:val="00A211DA"/>
    <w:rsid w:val="00A211F3"/>
    <w:rsid w:val="00A21296"/>
    <w:rsid w:val="00A21303"/>
    <w:rsid w:val="00A21332"/>
    <w:rsid w:val="00A21368"/>
    <w:rsid w:val="00A21382"/>
    <w:rsid w:val="00A213A6"/>
    <w:rsid w:val="00A213B2"/>
    <w:rsid w:val="00A2144F"/>
    <w:rsid w:val="00A21471"/>
    <w:rsid w:val="00A21492"/>
    <w:rsid w:val="00A214D0"/>
    <w:rsid w:val="00A2153E"/>
    <w:rsid w:val="00A21541"/>
    <w:rsid w:val="00A2157F"/>
    <w:rsid w:val="00A21583"/>
    <w:rsid w:val="00A21589"/>
    <w:rsid w:val="00A215AF"/>
    <w:rsid w:val="00A21605"/>
    <w:rsid w:val="00A21606"/>
    <w:rsid w:val="00A21646"/>
    <w:rsid w:val="00A2168D"/>
    <w:rsid w:val="00A216B5"/>
    <w:rsid w:val="00A216DA"/>
    <w:rsid w:val="00A2173F"/>
    <w:rsid w:val="00A2177F"/>
    <w:rsid w:val="00A217B5"/>
    <w:rsid w:val="00A2186F"/>
    <w:rsid w:val="00A21883"/>
    <w:rsid w:val="00A218BC"/>
    <w:rsid w:val="00A218C2"/>
    <w:rsid w:val="00A218C7"/>
    <w:rsid w:val="00A218CA"/>
    <w:rsid w:val="00A218CF"/>
    <w:rsid w:val="00A218F5"/>
    <w:rsid w:val="00A2192B"/>
    <w:rsid w:val="00A2194C"/>
    <w:rsid w:val="00A2194F"/>
    <w:rsid w:val="00A21971"/>
    <w:rsid w:val="00A21990"/>
    <w:rsid w:val="00A21AB9"/>
    <w:rsid w:val="00A21AFC"/>
    <w:rsid w:val="00A21B58"/>
    <w:rsid w:val="00A21B67"/>
    <w:rsid w:val="00A21B8E"/>
    <w:rsid w:val="00A21BC1"/>
    <w:rsid w:val="00A21BC7"/>
    <w:rsid w:val="00A21BF5"/>
    <w:rsid w:val="00A21C15"/>
    <w:rsid w:val="00A21C1D"/>
    <w:rsid w:val="00A21C37"/>
    <w:rsid w:val="00A21C4E"/>
    <w:rsid w:val="00A21C62"/>
    <w:rsid w:val="00A21CF7"/>
    <w:rsid w:val="00A21D40"/>
    <w:rsid w:val="00A21DD2"/>
    <w:rsid w:val="00A21E4D"/>
    <w:rsid w:val="00A21E4E"/>
    <w:rsid w:val="00A21E64"/>
    <w:rsid w:val="00A21E68"/>
    <w:rsid w:val="00A21E91"/>
    <w:rsid w:val="00A21EAF"/>
    <w:rsid w:val="00A21F0E"/>
    <w:rsid w:val="00A21F71"/>
    <w:rsid w:val="00A21F76"/>
    <w:rsid w:val="00A21F7F"/>
    <w:rsid w:val="00A21F95"/>
    <w:rsid w:val="00A21FA1"/>
    <w:rsid w:val="00A21FB2"/>
    <w:rsid w:val="00A21FEC"/>
    <w:rsid w:val="00A22000"/>
    <w:rsid w:val="00A2204D"/>
    <w:rsid w:val="00A22055"/>
    <w:rsid w:val="00A22084"/>
    <w:rsid w:val="00A22095"/>
    <w:rsid w:val="00A220BD"/>
    <w:rsid w:val="00A22105"/>
    <w:rsid w:val="00A22106"/>
    <w:rsid w:val="00A2210E"/>
    <w:rsid w:val="00A2211B"/>
    <w:rsid w:val="00A2213A"/>
    <w:rsid w:val="00A22153"/>
    <w:rsid w:val="00A221B4"/>
    <w:rsid w:val="00A221C7"/>
    <w:rsid w:val="00A221D4"/>
    <w:rsid w:val="00A221E6"/>
    <w:rsid w:val="00A221EB"/>
    <w:rsid w:val="00A2224B"/>
    <w:rsid w:val="00A22252"/>
    <w:rsid w:val="00A22255"/>
    <w:rsid w:val="00A2225A"/>
    <w:rsid w:val="00A22283"/>
    <w:rsid w:val="00A22292"/>
    <w:rsid w:val="00A2232A"/>
    <w:rsid w:val="00A2234C"/>
    <w:rsid w:val="00A22374"/>
    <w:rsid w:val="00A2237A"/>
    <w:rsid w:val="00A223B9"/>
    <w:rsid w:val="00A223CA"/>
    <w:rsid w:val="00A223CE"/>
    <w:rsid w:val="00A223E8"/>
    <w:rsid w:val="00A223EB"/>
    <w:rsid w:val="00A22434"/>
    <w:rsid w:val="00A22441"/>
    <w:rsid w:val="00A22461"/>
    <w:rsid w:val="00A22477"/>
    <w:rsid w:val="00A2248E"/>
    <w:rsid w:val="00A22492"/>
    <w:rsid w:val="00A224A7"/>
    <w:rsid w:val="00A224B6"/>
    <w:rsid w:val="00A22523"/>
    <w:rsid w:val="00A22548"/>
    <w:rsid w:val="00A2259D"/>
    <w:rsid w:val="00A22609"/>
    <w:rsid w:val="00A2264C"/>
    <w:rsid w:val="00A2266A"/>
    <w:rsid w:val="00A22680"/>
    <w:rsid w:val="00A22682"/>
    <w:rsid w:val="00A226AB"/>
    <w:rsid w:val="00A226C6"/>
    <w:rsid w:val="00A226F2"/>
    <w:rsid w:val="00A226FD"/>
    <w:rsid w:val="00A22722"/>
    <w:rsid w:val="00A2275D"/>
    <w:rsid w:val="00A227C4"/>
    <w:rsid w:val="00A227DA"/>
    <w:rsid w:val="00A227F0"/>
    <w:rsid w:val="00A22804"/>
    <w:rsid w:val="00A2288F"/>
    <w:rsid w:val="00A22897"/>
    <w:rsid w:val="00A228BF"/>
    <w:rsid w:val="00A228CB"/>
    <w:rsid w:val="00A228D2"/>
    <w:rsid w:val="00A228E1"/>
    <w:rsid w:val="00A228F7"/>
    <w:rsid w:val="00A22926"/>
    <w:rsid w:val="00A22995"/>
    <w:rsid w:val="00A22997"/>
    <w:rsid w:val="00A22998"/>
    <w:rsid w:val="00A229A3"/>
    <w:rsid w:val="00A229BB"/>
    <w:rsid w:val="00A229DD"/>
    <w:rsid w:val="00A229EF"/>
    <w:rsid w:val="00A22A5C"/>
    <w:rsid w:val="00A22AA4"/>
    <w:rsid w:val="00A22AA5"/>
    <w:rsid w:val="00A22ADF"/>
    <w:rsid w:val="00A22B00"/>
    <w:rsid w:val="00A22B76"/>
    <w:rsid w:val="00A22B81"/>
    <w:rsid w:val="00A22B9A"/>
    <w:rsid w:val="00A22BAA"/>
    <w:rsid w:val="00A22C0E"/>
    <w:rsid w:val="00A22CB9"/>
    <w:rsid w:val="00A22CCA"/>
    <w:rsid w:val="00A22D61"/>
    <w:rsid w:val="00A22D66"/>
    <w:rsid w:val="00A22D6E"/>
    <w:rsid w:val="00A22D75"/>
    <w:rsid w:val="00A22DA3"/>
    <w:rsid w:val="00A22DD5"/>
    <w:rsid w:val="00A22DE1"/>
    <w:rsid w:val="00A22E11"/>
    <w:rsid w:val="00A22E23"/>
    <w:rsid w:val="00A22E39"/>
    <w:rsid w:val="00A22E59"/>
    <w:rsid w:val="00A22E6A"/>
    <w:rsid w:val="00A22E9C"/>
    <w:rsid w:val="00A22EF5"/>
    <w:rsid w:val="00A22F07"/>
    <w:rsid w:val="00A22F22"/>
    <w:rsid w:val="00A22F5B"/>
    <w:rsid w:val="00A22F80"/>
    <w:rsid w:val="00A22F83"/>
    <w:rsid w:val="00A22F9C"/>
    <w:rsid w:val="00A22F9D"/>
    <w:rsid w:val="00A22FED"/>
    <w:rsid w:val="00A23051"/>
    <w:rsid w:val="00A23099"/>
    <w:rsid w:val="00A230A5"/>
    <w:rsid w:val="00A230F3"/>
    <w:rsid w:val="00A23115"/>
    <w:rsid w:val="00A23119"/>
    <w:rsid w:val="00A2314E"/>
    <w:rsid w:val="00A23173"/>
    <w:rsid w:val="00A231AF"/>
    <w:rsid w:val="00A23238"/>
    <w:rsid w:val="00A23257"/>
    <w:rsid w:val="00A2327D"/>
    <w:rsid w:val="00A232A8"/>
    <w:rsid w:val="00A232DE"/>
    <w:rsid w:val="00A232E2"/>
    <w:rsid w:val="00A232E5"/>
    <w:rsid w:val="00A2333F"/>
    <w:rsid w:val="00A23352"/>
    <w:rsid w:val="00A23375"/>
    <w:rsid w:val="00A233EF"/>
    <w:rsid w:val="00A23449"/>
    <w:rsid w:val="00A2344E"/>
    <w:rsid w:val="00A23494"/>
    <w:rsid w:val="00A234B8"/>
    <w:rsid w:val="00A234C0"/>
    <w:rsid w:val="00A234CA"/>
    <w:rsid w:val="00A234E3"/>
    <w:rsid w:val="00A234F2"/>
    <w:rsid w:val="00A2353F"/>
    <w:rsid w:val="00A2354B"/>
    <w:rsid w:val="00A23587"/>
    <w:rsid w:val="00A235A8"/>
    <w:rsid w:val="00A235CB"/>
    <w:rsid w:val="00A235E0"/>
    <w:rsid w:val="00A23608"/>
    <w:rsid w:val="00A2360D"/>
    <w:rsid w:val="00A23652"/>
    <w:rsid w:val="00A2366D"/>
    <w:rsid w:val="00A236AA"/>
    <w:rsid w:val="00A236EE"/>
    <w:rsid w:val="00A236F6"/>
    <w:rsid w:val="00A2374D"/>
    <w:rsid w:val="00A23764"/>
    <w:rsid w:val="00A23786"/>
    <w:rsid w:val="00A237B3"/>
    <w:rsid w:val="00A237C4"/>
    <w:rsid w:val="00A237CE"/>
    <w:rsid w:val="00A237F1"/>
    <w:rsid w:val="00A237FF"/>
    <w:rsid w:val="00A23834"/>
    <w:rsid w:val="00A2384B"/>
    <w:rsid w:val="00A23850"/>
    <w:rsid w:val="00A23878"/>
    <w:rsid w:val="00A2389A"/>
    <w:rsid w:val="00A238A9"/>
    <w:rsid w:val="00A2393F"/>
    <w:rsid w:val="00A23949"/>
    <w:rsid w:val="00A23950"/>
    <w:rsid w:val="00A2396A"/>
    <w:rsid w:val="00A2397F"/>
    <w:rsid w:val="00A23996"/>
    <w:rsid w:val="00A239BD"/>
    <w:rsid w:val="00A239EB"/>
    <w:rsid w:val="00A239F0"/>
    <w:rsid w:val="00A239FD"/>
    <w:rsid w:val="00A23A17"/>
    <w:rsid w:val="00A23A70"/>
    <w:rsid w:val="00A23A9A"/>
    <w:rsid w:val="00A23AA9"/>
    <w:rsid w:val="00A23AD9"/>
    <w:rsid w:val="00A23B3D"/>
    <w:rsid w:val="00A23B40"/>
    <w:rsid w:val="00A23B57"/>
    <w:rsid w:val="00A23B58"/>
    <w:rsid w:val="00A23B78"/>
    <w:rsid w:val="00A23BA6"/>
    <w:rsid w:val="00A23BFD"/>
    <w:rsid w:val="00A23BFE"/>
    <w:rsid w:val="00A23C3D"/>
    <w:rsid w:val="00A23C52"/>
    <w:rsid w:val="00A23CA4"/>
    <w:rsid w:val="00A23CBB"/>
    <w:rsid w:val="00A23D30"/>
    <w:rsid w:val="00A23D8F"/>
    <w:rsid w:val="00A23D90"/>
    <w:rsid w:val="00A23DBE"/>
    <w:rsid w:val="00A23DF4"/>
    <w:rsid w:val="00A23E05"/>
    <w:rsid w:val="00A23E40"/>
    <w:rsid w:val="00A23E57"/>
    <w:rsid w:val="00A23E61"/>
    <w:rsid w:val="00A23E66"/>
    <w:rsid w:val="00A23E71"/>
    <w:rsid w:val="00A23ED2"/>
    <w:rsid w:val="00A23EF4"/>
    <w:rsid w:val="00A23F1A"/>
    <w:rsid w:val="00A23F25"/>
    <w:rsid w:val="00A23F33"/>
    <w:rsid w:val="00A23F6C"/>
    <w:rsid w:val="00A23FF0"/>
    <w:rsid w:val="00A2400B"/>
    <w:rsid w:val="00A24056"/>
    <w:rsid w:val="00A24070"/>
    <w:rsid w:val="00A240B7"/>
    <w:rsid w:val="00A240BC"/>
    <w:rsid w:val="00A2410C"/>
    <w:rsid w:val="00A2410D"/>
    <w:rsid w:val="00A24166"/>
    <w:rsid w:val="00A24167"/>
    <w:rsid w:val="00A24169"/>
    <w:rsid w:val="00A241C4"/>
    <w:rsid w:val="00A241F8"/>
    <w:rsid w:val="00A24205"/>
    <w:rsid w:val="00A2421C"/>
    <w:rsid w:val="00A24257"/>
    <w:rsid w:val="00A2425B"/>
    <w:rsid w:val="00A24279"/>
    <w:rsid w:val="00A2428B"/>
    <w:rsid w:val="00A24366"/>
    <w:rsid w:val="00A24370"/>
    <w:rsid w:val="00A243DF"/>
    <w:rsid w:val="00A24417"/>
    <w:rsid w:val="00A24419"/>
    <w:rsid w:val="00A24458"/>
    <w:rsid w:val="00A24499"/>
    <w:rsid w:val="00A244A7"/>
    <w:rsid w:val="00A24504"/>
    <w:rsid w:val="00A2451B"/>
    <w:rsid w:val="00A2459B"/>
    <w:rsid w:val="00A245FD"/>
    <w:rsid w:val="00A2461E"/>
    <w:rsid w:val="00A2464E"/>
    <w:rsid w:val="00A24680"/>
    <w:rsid w:val="00A246C9"/>
    <w:rsid w:val="00A246DA"/>
    <w:rsid w:val="00A2470A"/>
    <w:rsid w:val="00A24732"/>
    <w:rsid w:val="00A2474A"/>
    <w:rsid w:val="00A2475A"/>
    <w:rsid w:val="00A247A9"/>
    <w:rsid w:val="00A247E3"/>
    <w:rsid w:val="00A2481A"/>
    <w:rsid w:val="00A24852"/>
    <w:rsid w:val="00A2488E"/>
    <w:rsid w:val="00A248C1"/>
    <w:rsid w:val="00A248DB"/>
    <w:rsid w:val="00A24901"/>
    <w:rsid w:val="00A2492C"/>
    <w:rsid w:val="00A24A00"/>
    <w:rsid w:val="00A24A0E"/>
    <w:rsid w:val="00A24A45"/>
    <w:rsid w:val="00A24A49"/>
    <w:rsid w:val="00A24A57"/>
    <w:rsid w:val="00A24A6A"/>
    <w:rsid w:val="00A24A72"/>
    <w:rsid w:val="00A24A99"/>
    <w:rsid w:val="00A24B4C"/>
    <w:rsid w:val="00A24B6D"/>
    <w:rsid w:val="00A24B84"/>
    <w:rsid w:val="00A24B8D"/>
    <w:rsid w:val="00A24BC9"/>
    <w:rsid w:val="00A24BF0"/>
    <w:rsid w:val="00A24BFC"/>
    <w:rsid w:val="00A24C00"/>
    <w:rsid w:val="00A24C3C"/>
    <w:rsid w:val="00A24C3E"/>
    <w:rsid w:val="00A24C42"/>
    <w:rsid w:val="00A24C57"/>
    <w:rsid w:val="00A24C61"/>
    <w:rsid w:val="00A24CA2"/>
    <w:rsid w:val="00A24CC1"/>
    <w:rsid w:val="00A24CCD"/>
    <w:rsid w:val="00A24CD2"/>
    <w:rsid w:val="00A24CD6"/>
    <w:rsid w:val="00A24D31"/>
    <w:rsid w:val="00A24D4B"/>
    <w:rsid w:val="00A24D89"/>
    <w:rsid w:val="00A24DA7"/>
    <w:rsid w:val="00A24DBE"/>
    <w:rsid w:val="00A24DCB"/>
    <w:rsid w:val="00A24DEA"/>
    <w:rsid w:val="00A24DEC"/>
    <w:rsid w:val="00A24ECA"/>
    <w:rsid w:val="00A24F22"/>
    <w:rsid w:val="00A24F24"/>
    <w:rsid w:val="00A24F52"/>
    <w:rsid w:val="00A24FB3"/>
    <w:rsid w:val="00A24FB8"/>
    <w:rsid w:val="00A24FCC"/>
    <w:rsid w:val="00A2500D"/>
    <w:rsid w:val="00A25024"/>
    <w:rsid w:val="00A25047"/>
    <w:rsid w:val="00A250D7"/>
    <w:rsid w:val="00A2510F"/>
    <w:rsid w:val="00A25126"/>
    <w:rsid w:val="00A2514E"/>
    <w:rsid w:val="00A25156"/>
    <w:rsid w:val="00A2515C"/>
    <w:rsid w:val="00A251BF"/>
    <w:rsid w:val="00A251C6"/>
    <w:rsid w:val="00A251E6"/>
    <w:rsid w:val="00A251EA"/>
    <w:rsid w:val="00A2529B"/>
    <w:rsid w:val="00A252A2"/>
    <w:rsid w:val="00A252D8"/>
    <w:rsid w:val="00A25389"/>
    <w:rsid w:val="00A253BF"/>
    <w:rsid w:val="00A253CE"/>
    <w:rsid w:val="00A253E0"/>
    <w:rsid w:val="00A253F3"/>
    <w:rsid w:val="00A25443"/>
    <w:rsid w:val="00A2544D"/>
    <w:rsid w:val="00A254A7"/>
    <w:rsid w:val="00A254F3"/>
    <w:rsid w:val="00A254F7"/>
    <w:rsid w:val="00A25500"/>
    <w:rsid w:val="00A25515"/>
    <w:rsid w:val="00A2551C"/>
    <w:rsid w:val="00A2551D"/>
    <w:rsid w:val="00A25536"/>
    <w:rsid w:val="00A2553F"/>
    <w:rsid w:val="00A25554"/>
    <w:rsid w:val="00A25574"/>
    <w:rsid w:val="00A25593"/>
    <w:rsid w:val="00A2560C"/>
    <w:rsid w:val="00A2563F"/>
    <w:rsid w:val="00A25651"/>
    <w:rsid w:val="00A25652"/>
    <w:rsid w:val="00A25659"/>
    <w:rsid w:val="00A2567C"/>
    <w:rsid w:val="00A25693"/>
    <w:rsid w:val="00A256A2"/>
    <w:rsid w:val="00A256E3"/>
    <w:rsid w:val="00A2576B"/>
    <w:rsid w:val="00A25799"/>
    <w:rsid w:val="00A257BA"/>
    <w:rsid w:val="00A257E5"/>
    <w:rsid w:val="00A257FE"/>
    <w:rsid w:val="00A25831"/>
    <w:rsid w:val="00A2586C"/>
    <w:rsid w:val="00A25878"/>
    <w:rsid w:val="00A25895"/>
    <w:rsid w:val="00A258A9"/>
    <w:rsid w:val="00A258C9"/>
    <w:rsid w:val="00A258CE"/>
    <w:rsid w:val="00A25962"/>
    <w:rsid w:val="00A2596E"/>
    <w:rsid w:val="00A25978"/>
    <w:rsid w:val="00A25986"/>
    <w:rsid w:val="00A25987"/>
    <w:rsid w:val="00A259D7"/>
    <w:rsid w:val="00A259DD"/>
    <w:rsid w:val="00A259E3"/>
    <w:rsid w:val="00A259FE"/>
    <w:rsid w:val="00A25A52"/>
    <w:rsid w:val="00A25A5D"/>
    <w:rsid w:val="00A25A6A"/>
    <w:rsid w:val="00A25A7B"/>
    <w:rsid w:val="00A25ABB"/>
    <w:rsid w:val="00A25AE7"/>
    <w:rsid w:val="00A25AF1"/>
    <w:rsid w:val="00A25B3D"/>
    <w:rsid w:val="00A25B63"/>
    <w:rsid w:val="00A25B6E"/>
    <w:rsid w:val="00A25B92"/>
    <w:rsid w:val="00A25BC0"/>
    <w:rsid w:val="00A25C16"/>
    <w:rsid w:val="00A25C60"/>
    <w:rsid w:val="00A25C6F"/>
    <w:rsid w:val="00A25C78"/>
    <w:rsid w:val="00A25CB9"/>
    <w:rsid w:val="00A25D56"/>
    <w:rsid w:val="00A25D60"/>
    <w:rsid w:val="00A25D92"/>
    <w:rsid w:val="00A25DC4"/>
    <w:rsid w:val="00A25DE0"/>
    <w:rsid w:val="00A25E1D"/>
    <w:rsid w:val="00A25E46"/>
    <w:rsid w:val="00A25E55"/>
    <w:rsid w:val="00A25EC6"/>
    <w:rsid w:val="00A25ED5"/>
    <w:rsid w:val="00A25F03"/>
    <w:rsid w:val="00A25F36"/>
    <w:rsid w:val="00A25F3B"/>
    <w:rsid w:val="00A25F3D"/>
    <w:rsid w:val="00A25F81"/>
    <w:rsid w:val="00A25FE3"/>
    <w:rsid w:val="00A25FE4"/>
    <w:rsid w:val="00A25FE9"/>
    <w:rsid w:val="00A25FF2"/>
    <w:rsid w:val="00A26007"/>
    <w:rsid w:val="00A260A7"/>
    <w:rsid w:val="00A260DD"/>
    <w:rsid w:val="00A260F7"/>
    <w:rsid w:val="00A26130"/>
    <w:rsid w:val="00A26183"/>
    <w:rsid w:val="00A261BE"/>
    <w:rsid w:val="00A261CA"/>
    <w:rsid w:val="00A26254"/>
    <w:rsid w:val="00A2625E"/>
    <w:rsid w:val="00A2627A"/>
    <w:rsid w:val="00A2628B"/>
    <w:rsid w:val="00A262A9"/>
    <w:rsid w:val="00A262AC"/>
    <w:rsid w:val="00A262D1"/>
    <w:rsid w:val="00A2635B"/>
    <w:rsid w:val="00A26391"/>
    <w:rsid w:val="00A2639A"/>
    <w:rsid w:val="00A263D3"/>
    <w:rsid w:val="00A263F3"/>
    <w:rsid w:val="00A26400"/>
    <w:rsid w:val="00A2640F"/>
    <w:rsid w:val="00A26438"/>
    <w:rsid w:val="00A26456"/>
    <w:rsid w:val="00A2646D"/>
    <w:rsid w:val="00A264CF"/>
    <w:rsid w:val="00A26515"/>
    <w:rsid w:val="00A26578"/>
    <w:rsid w:val="00A26585"/>
    <w:rsid w:val="00A265A4"/>
    <w:rsid w:val="00A265DB"/>
    <w:rsid w:val="00A26642"/>
    <w:rsid w:val="00A26674"/>
    <w:rsid w:val="00A26689"/>
    <w:rsid w:val="00A266D2"/>
    <w:rsid w:val="00A266E3"/>
    <w:rsid w:val="00A266FF"/>
    <w:rsid w:val="00A2675E"/>
    <w:rsid w:val="00A267C8"/>
    <w:rsid w:val="00A267CB"/>
    <w:rsid w:val="00A267EF"/>
    <w:rsid w:val="00A267F4"/>
    <w:rsid w:val="00A26841"/>
    <w:rsid w:val="00A26849"/>
    <w:rsid w:val="00A26898"/>
    <w:rsid w:val="00A2695B"/>
    <w:rsid w:val="00A26998"/>
    <w:rsid w:val="00A269B4"/>
    <w:rsid w:val="00A269F1"/>
    <w:rsid w:val="00A26A02"/>
    <w:rsid w:val="00A26A16"/>
    <w:rsid w:val="00A26A6F"/>
    <w:rsid w:val="00A26A99"/>
    <w:rsid w:val="00A26B1C"/>
    <w:rsid w:val="00A26B1D"/>
    <w:rsid w:val="00A26B24"/>
    <w:rsid w:val="00A26B79"/>
    <w:rsid w:val="00A26BD0"/>
    <w:rsid w:val="00A26BFC"/>
    <w:rsid w:val="00A26C06"/>
    <w:rsid w:val="00A26C0B"/>
    <w:rsid w:val="00A26C10"/>
    <w:rsid w:val="00A26C17"/>
    <w:rsid w:val="00A26C26"/>
    <w:rsid w:val="00A26C36"/>
    <w:rsid w:val="00A26C5E"/>
    <w:rsid w:val="00A26C8E"/>
    <w:rsid w:val="00A26CAC"/>
    <w:rsid w:val="00A26D05"/>
    <w:rsid w:val="00A26D3E"/>
    <w:rsid w:val="00A26D54"/>
    <w:rsid w:val="00A26D76"/>
    <w:rsid w:val="00A26D9C"/>
    <w:rsid w:val="00A26DF9"/>
    <w:rsid w:val="00A26E00"/>
    <w:rsid w:val="00A26E0E"/>
    <w:rsid w:val="00A26E27"/>
    <w:rsid w:val="00A26E74"/>
    <w:rsid w:val="00A26EA9"/>
    <w:rsid w:val="00A26EE7"/>
    <w:rsid w:val="00A26F11"/>
    <w:rsid w:val="00A26F35"/>
    <w:rsid w:val="00A26F3E"/>
    <w:rsid w:val="00A26F50"/>
    <w:rsid w:val="00A26F51"/>
    <w:rsid w:val="00A26F5A"/>
    <w:rsid w:val="00A26F6E"/>
    <w:rsid w:val="00A26FAD"/>
    <w:rsid w:val="00A26FC7"/>
    <w:rsid w:val="00A26FEC"/>
    <w:rsid w:val="00A26FF0"/>
    <w:rsid w:val="00A27009"/>
    <w:rsid w:val="00A2703E"/>
    <w:rsid w:val="00A270AE"/>
    <w:rsid w:val="00A2710F"/>
    <w:rsid w:val="00A27126"/>
    <w:rsid w:val="00A27154"/>
    <w:rsid w:val="00A27172"/>
    <w:rsid w:val="00A27186"/>
    <w:rsid w:val="00A271B7"/>
    <w:rsid w:val="00A27232"/>
    <w:rsid w:val="00A27271"/>
    <w:rsid w:val="00A2729E"/>
    <w:rsid w:val="00A272F5"/>
    <w:rsid w:val="00A27331"/>
    <w:rsid w:val="00A27351"/>
    <w:rsid w:val="00A2737F"/>
    <w:rsid w:val="00A273EC"/>
    <w:rsid w:val="00A2742E"/>
    <w:rsid w:val="00A27447"/>
    <w:rsid w:val="00A27449"/>
    <w:rsid w:val="00A2746C"/>
    <w:rsid w:val="00A274D8"/>
    <w:rsid w:val="00A27500"/>
    <w:rsid w:val="00A27512"/>
    <w:rsid w:val="00A27541"/>
    <w:rsid w:val="00A2757C"/>
    <w:rsid w:val="00A275A9"/>
    <w:rsid w:val="00A275DD"/>
    <w:rsid w:val="00A27604"/>
    <w:rsid w:val="00A27625"/>
    <w:rsid w:val="00A276A0"/>
    <w:rsid w:val="00A276A7"/>
    <w:rsid w:val="00A276CB"/>
    <w:rsid w:val="00A27713"/>
    <w:rsid w:val="00A27731"/>
    <w:rsid w:val="00A27738"/>
    <w:rsid w:val="00A277E5"/>
    <w:rsid w:val="00A2783A"/>
    <w:rsid w:val="00A27844"/>
    <w:rsid w:val="00A2785B"/>
    <w:rsid w:val="00A2786B"/>
    <w:rsid w:val="00A27896"/>
    <w:rsid w:val="00A278B5"/>
    <w:rsid w:val="00A278E3"/>
    <w:rsid w:val="00A2793D"/>
    <w:rsid w:val="00A27961"/>
    <w:rsid w:val="00A2796B"/>
    <w:rsid w:val="00A27980"/>
    <w:rsid w:val="00A27988"/>
    <w:rsid w:val="00A27997"/>
    <w:rsid w:val="00A279AB"/>
    <w:rsid w:val="00A279E9"/>
    <w:rsid w:val="00A27A3F"/>
    <w:rsid w:val="00A27A48"/>
    <w:rsid w:val="00A27A9A"/>
    <w:rsid w:val="00A27AC1"/>
    <w:rsid w:val="00A27AD3"/>
    <w:rsid w:val="00A27B1C"/>
    <w:rsid w:val="00A27B38"/>
    <w:rsid w:val="00A27B4D"/>
    <w:rsid w:val="00A27B5A"/>
    <w:rsid w:val="00A27B5D"/>
    <w:rsid w:val="00A27B71"/>
    <w:rsid w:val="00A27B85"/>
    <w:rsid w:val="00A27B90"/>
    <w:rsid w:val="00A27BB0"/>
    <w:rsid w:val="00A27BF2"/>
    <w:rsid w:val="00A27C1A"/>
    <w:rsid w:val="00A27C82"/>
    <w:rsid w:val="00A27C84"/>
    <w:rsid w:val="00A27D16"/>
    <w:rsid w:val="00A27D36"/>
    <w:rsid w:val="00A27D75"/>
    <w:rsid w:val="00A27E3B"/>
    <w:rsid w:val="00A27E49"/>
    <w:rsid w:val="00A27E51"/>
    <w:rsid w:val="00A27E63"/>
    <w:rsid w:val="00A27EBC"/>
    <w:rsid w:val="00A27F02"/>
    <w:rsid w:val="00A27F86"/>
    <w:rsid w:val="00A27FD6"/>
    <w:rsid w:val="00A27FEC"/>
    <w:rsid w:val="00A30028"/>
    <w:rsid w:val="00A30035"/>
    <w:rsid w:val="00A3004F"/>
    <w:rsid w:val="00A300C7"/>
    <w:rsid w:val="00A3014B"/>
    <w:rsid w:val="00A30159"/>
    <w:rsid w:val="00A3018E"/>
    <w:rsid w:val="00A301E8"/>
    <w:rsid w:val="00A30229"/>
    <w:rsid w:val="00A30255"/>
    <w:rsid w:val="00A30280"/>
    <w:rsid w:val="00A30282"/>
    <w:rsid w:val="00A30299"/>
    <w:rsid w:val="00A302A8"/>
    <w:rsid w:val="00A30339"/>
    <w:rsid w:val="00A30351"/>
    <w:rsid w:val="00A303A0"/>
    <w:rsid w:val="00A303E3"/>
    <w:rsid w:val="00A3040B"/>
    <w:rsid w:val="00A30432"/>
    <w:rsid w:val="00A30438"/>
    <w:rsid w:val="00A30462"/>
    <w:rsid w:val="00A3046A"/>
    <w:rsid w:val="00A30502"/>
    <w:rsid w:val="00A30532"/>
    <w:rsid w:val="00A305AD"/>
    <w:rsid w:val="00A3062F"/>
    <w:rsid w:val="00A3063D"/>
    <w:rsid w:val="00A30646"/>
    <w:rsid w:val="00A3064D"/>
    <w:rsid w:val="00A306E0"/>
    <w:rsid w:val="00A306F3"/>
    <w:rsid w:val="00A30742"/>
    <w:rsid w:val="00A30743"/>
    <w:rsid w:val="00A30764"/>
    <w:rsid w:val="00A307C3"/>
    <w:rsid w:val="00A307DE"/>
    <w:rsid w:val="00A30809"/>
    <w:rsid w:val="00A3082C"/>
    <w:rsid w:val="00A30831"/>
    <w:rsid w:val="00A30848"/>
    <w:rsid w:val="00A3084C"/>
    <w:rsid w:val="00A30877"/>
    <w:rsid w:val="00A308A6"/>
    <w:rsid w:val="00A308AA"/>
    <w:rsid w:val="00A308BA"/>
    <w:rsid w:val="00A308C5"/>
    <w:rsid w:val="00A308D6"/>
    <w:rsid w:val="00A308E3"/>
    <w:rsid w:val="00A308F2"/>
    <w:rsid w:val="00A308FC"/>
    <w:rsid w:val="00A30972"/>
    <w:rsid w:val="00A309C9"/>
    <w:rsid w:val="00A309D7"/>
    <w:rsid w:val="00A30A0D"/>
    <w:rsid w:val="00A30A24"/>
    <w:rsid w:val="00A30A3E"/>
    <w:rsid w:val="00A30A4C"/>
    <w:rsid w:val="00A30A54"/>
    <w:rsid w:val="00A30AB6"/>
    <w:rsid w:val="00A30AD6"/>
    <w:rsid w:val="00A30B51"/>
    <w:rsid w:val="00A30B5C"/>
    <w:rsid w:val="00A30B6B"/>
    <w:rsid w:val="00A30B77"/>
    <w:rsid w:val="00A30BB5"/>
    <w:rsid w:val="00A30BF1"/>
    <w:rsid w:val="00A30C04"/>
    <w:rsid w:val="00A30C07"/>
    <w:rsid w:val="00A30C30"/>
    <w:rsid w:val="00A30CBD"/>
    <w:rsid w:val="00A30CC7"/>
    <w:rsid w:val="00A30D28"/>
    <w:rsid w:val="00A30D4E"/>
    <w:rsid w:val="00A30D54"/>
    <w:rsid w:val="00A30D5F"/>
    <w:rsid w:val="00A30DA5"/>
    <w:rsid w:val="00A30E07"/>
    <w:rsid w:val="00A30E35"/>
    <w:rsid w:val="00A30E5B"/>
    <w:rsid w:val="00A30E62"/>
    <w:rsid w:val="00A30E83"/>
    <w:rsid w:val="00A30EA5"/>
    <w:rsid w:val="00A30EE7"/>
    <w:rsid w:val="00A30EF2"/>
    <w:rsid w:val="00A30EF4"/>
    <w:rsid w:val="00A30F6D"/>
    <w:rsid w:val="00A30F7F"/>
    <w:rsid w:val="00A30F81"/>
    <w:rsid w:val="00A30FAC"/>
    <w:rsid w:val="00A30FD1"/>
    <w:rsid w:val="00A3100D"/>
    <w:rsid w:val="00A3101A"/>
    <w:rsid w:val="00A31069"/>
    <w:rsid w:val="00A31079"/>
    <w:rsid w:val="00A310AE"/>
    <w:rsid w:val="00A310BC"/>
    <w:rsid w:val="00A310CF"/>
    <w:rsid w:val="00A310D6"/>
    <w:rsid w:val="00A310D8"/>
    <w:rsid w:val="00A310DC"/>
    <w:rsid w:val="00A3110A"/>
    <w:rsid w:val="00A31121"/>
    <w:rsid w:val="00A31134"/>
    <w:rsid w:val="00A31143"/>
    <w:rsid w:val="00A3118A"/>
    <w:rsid w:val="00A311AC"/>
    <w:rsid w:val="00A311B9"/>
    <w:rsid w:val="00A311EB"/>
    <w:rsid w:val="00A311FC"/>
    <w:rsid w:val="00A312AE"/>
    <w:rsid w:val="00A312C1"/>
    <w:rsid w:val="00A3130F"/>
    <w:rsid w:val="00A31358"/>
    <w:rsid w:val="00A3135D"/>
    <w:rsid w:val="00A31379"/>
    <w:rsid w:val="00A313C6"/>
    <w:rsid w:val="00A313FB"/>
    <w:rsid w:val="00A3140A"/>
    <w:rsid w:val="00A3141E"/>
    <w:rsid w:val="00A3142C"/>
    <w:rsid w:val="00A31439"/>
    <w:rsid w:val="00A31450"/>
    <w:rsid w:val="00A31451"/>
    <w:rsid w:val="00A31493"/>
    <w:rsid w:val="00A314BB"/>
    <w:rsid w:val="00A314BC"/>
    <w:rsid w:val="00A31557"/>
    <w:rsid w:val="00A315A3"/>
    <w:rsid w:val="00A315AC"/>
    <w:rsid w:val="00A315EC"/>
    <w:rsid w:val="00A315F9"/>
    <w:rsid w:val="00A31619"/>
    <w:rsid w:val="00A3161F"/>
    <w:rsid w:val="00A316AF"/>
    <w:rsid w:val="00A316C4"/>
    <w:rsid w:val="00A316E5"/>
    <w:rsid w:val="00A316EB"/>
    <w:rsid w:val="00A31705"/>
    <w:rsid w:val="00A3173B"/>
    <w:rsid w:val="00A31787"/>
    <w:rsid w:val="00A317A1"/>
    <w:rsid w:val="00A317F0"/>
    <w:rsid w:val="00A317FE"/>
    <w:rsid w:val="00A317FF"/>
    <w:rsid w:val="00A31867"/>
    <w:rsid w:val="00A31872"/>
    <w:rsid w:val="00A31898"/>
    <w:rsid w:val="00A318B0"/>
    <w:rsid w:val="00A318BB"/>
    <w:rsid w:val="00A318DF"/>
    <w:rsid w:val="00A3190D"/>
    <w:rsid w:val="00A3194D"/>
    <w:rsid w:val="00A31951"/>
    <w:rsid w:val="00A31958"/>
    <w:rsid w:val="00A3195D"/>
    <w:rsid w:val="00A31993"/>
    <w:rsid w:val="00A319BA"/>
    <w:rsid w:val="00A319E4"/>
    <w:rsid w:val="00A319FD"/>
    <w:rsid w:val="00A31A08"/>
    <w:rsid w:val="00A31A0F"/>
    <w:rsid w:val="00A31A61"/>
    <w:rsid w:val="00A31A69"/>
    <w:rsid w:val="00A31A9C"/>
    <w:rsid w:val="00A31A9F"/>
    <w:rsid w:val="00A31AA0"/>
    <w:rsid w:val="00A31AA4"/>
    <w:rsid w:val="00A31ABC"/>
    <w:rsid w:val="00A31AEA"/>
    <w:rsid w:val="00A31B70"/>
    <w:rsid w:val="00A31BA2"/>
    <w:rsid w:val="00A31BB4"/>
    <w:rsid w:val="00A31BCD"/>
    <w:rsid w:val="00A31BF4"/>
    <w:rsid w:val="00A31BFD"/>
    <w:rsid w:val="00A31C29"/>
    <w:rsid w:val="00A31C2B"/>
    <w:rsid w:val="00A31C4D"/>
    <w:rsid w:val="00A31C51"/>
    <w:rsid w:val="00A31C8D"/>
    <w:rsid w:val="00A31CAB"/>
    <w:rsid w:val="00A31CBB"/>
    <w:rsid w:val="00A31D1E"/>
    <w:rsid w:val="00A31D6D"/>
    <w:rsid w:val="00A31D7D"/>
    <w:rsid w:val="00A31DA8"/>
    <w:rsid w:val="00A31E40"/>
    <w:rsid w:val="00A31E76"/>
    <w:rsid w:val="00A31E80"/>
    <w:rsid w:val="00A31E97"/>
    <w:rsid w:val="00A31EB2"/>
    <w:rsid w:val="00A31F02"/>
    <w:rsid w:val="00A31F2B"/>
    <w:rsid w:val="00A31F30"/>
    <w:rsid w:val="00A31F7B"/>
    <w:rsid w:val="00A31FED"/>
    <w:rsid w:val="00A31FF6"/>
    <w:rsid w:val="00A31FFA"/>
    <w:rsid w:val="00A3200B"/>
    <w:rsid w:val="00A3203A"/>
    <w:rsid w:val="00A3207F"/>
    <w:rsid w:val="00A32089"/>
    <w:rsid w:val="00A3208C"/>
    <w:rsid w:val="00A320C1"/>
    <w:rsid w:val="00A3211E"/>
    <w:rsid w:val="00A321B6"/>
    <w:rsid w:val="00A321C3"/>
    <w:rsid w:val="00A321CF"/>
    <w:rsid w:val="00A321DF"/>
    <w:rsid w:val="00A321ED"/>
    <w:rsid w:val="00A32203"/>
    <w:rsid w:val="00A32205"/>
    <w:rsid w:val="00A32253"/>
    <w:rsid w:val="00A32274"/>
    <w:rsid w:val="00A322D4"/>
    <w:rsid w:val="00A322EB"/>
    <w:rsid w:val="00A322F0"/>
    <w:rsid w:val="00A3230F"/>
    <w:rsid w:val="00A32310"/>
    <w:rsid w:val="00A3231B"/>
    <w:rsid w:val="00A3239C"/>
    <w:rsid w:val="00A323A7"/>
    <w:rsid w:val="00A323B8"/>
    <w:rsid w:val="00A323D7"/>
    <w:rsid w:val="00A3240D"/>
    <w:rsid w:val="00A32462"/>
    <w:rsid w:val="00A3249E"/>
    <w:rsid w:val="00A32555"/>
    <w:rsid w:val="00A32573"/>
    <w:rsid w:val="00A3257B"/>
    <w:rsid w:val="00A3259C"/>
    <w:rsid w:val="00A325BD"/>
    <w:rsid w:val="00A325D8"/>
    <w:rsid w:val="00A3263D"/>
    <w:rsid w:val="00A32668"/>
    <w:rsid w:val="00A32684"/>
    <w:rsid w:val="00A326A1"/>
    <w:rsid w:val="00A326BE"/>
    <w:rsid w:val="00A326C7"/>
    <w:rsid w:val="00A326D7"/>
    <w:rsid w:val="00A326F0"/>
    <w:rsid w:val="00A32702"/>
    <w:rsid w:val="00A3273D"/>
    <w:rsid w:val="00A32770"/>
    <w:rsid w:val="00A32778"/>
    <w:rsid w:val="00A327A3"/>
    <w:rsid w:val="00A327B2"/>
    <w:rsid w:val="00A327B4"/>
    <w:rsid w:val="00A327B6"/>
    <w:rsid w:val="00A327F1"/>
    <w:rsid w:val="00A327FC"/>
    <w:rsid w:val="00A3284F"/>
    <w:rsid w:val="00A32853"/>
    <w:rsid w:val="00A3286C"/>
    <w:rsid w:val="00A32873"/>
    <w:rsid w:val="00A32885"/>
    <w:rsid w:val="00A328AD"/>
    <w:rsid w:val="00A328AE"/>
    <w:rsid w:val="00A328DD"/>
    <w:rsid w:val="00A32940"/>
    <w:rsid w:val="00A32960"/>
    <w:rsid w:val="00A3297C"/>
    <w:rsid w:val="00A32990"/>
    <w:rsid w:val="00A329D9"/>
    <w:rsid w:val="00A329E9"/>
    <w:rsid w:val="00A32A21"/>
    <w:rsid w:val="00A32A4D"/>
    <w:rsid w:val="00A32AAB"/>
    <w:rsid w:val="00A32AE1"/>
    <w:rsid w:val="00A32B23"/>
    <w:rsid w:val="00A32B28"/>
    <w:rsid w:val="00A32B37"/>
    <w:rsid w:val="00A32B6A"/>
    <w:rsid w:val="00A32BD6"/>
    <w:rsid w:val="00A32C01"/>
    <w:rsid w:val="00A32C23"/>
    <w:rsid w:val="00A32C45"/>
    <w:rsid w:val="00A32C52"/>
    <w:rsid w:val="00A32C8A"/>
    <w:rsid w:val="00A32CC9"/>
    <w:rsid w:val="00A32CE2"/>
    <w:rsid w:val="00A32D0D"/>
    <w:rsid w:val="00A32D3E"/>
    <w:rsid w:val="00A32DB2"/>
    <w:rsid w:val="00A32DCF"/>
    <w:rsid w:val="00A32DF8"/>
    <w:rsid w:val="00A32E3A"/>
    <w:rsid w:val="00A32E44"/>
    <w:rsid w:val="00A32E49"/>
    <w:rsid w:val="00A32E71"/>
    <w:rsid w:val="00A32E9C"/>
    <w:rsid w:val="00A32EB0"/>
    <w:rsid w:val="00A32EE1"/>
    <w:rsid w:val="00A32EE8"/>
    <w:rsid w:val="00A32EFA"/>
    <w:rsid w:val="00A32F10"/>
    <w:rsid w:val="00A32F14"/>
    <w:rsid w:val="00A32F3D"/>
    <w:rsid w:val="00A32F8B"/>
    <w:rsid w:val="00A32FA4"/>
    <w:rsid w:val="00A32FD8"/>
    <w:rsid w:val="00A32FF5"/>
    <w:rsid w:val="00A3304C"/>
    <w:rsid w:val="00A33055"/>
    <w:rsid w:val="00A33077"/>
    <w:rsid w:val="00A33084"/>
    <w:rsid w:val="00A33092"/>
    <w:rsid w:val="00A330A1"/>
    <w:rsid w:val="00A330AE"/>
    <w:rsid w:val="00A330B2"/>
    <w:rsid w:val="00A330C9"/>
    <w:rsid w:val="00A33102"/>
    <w:rsid w:val="00A3314E"/>
    <w:rsid w:val="00A33150"/>
    <w:rsid w:val="00A33172"/>
    <w:rsid w:val="00A331AA"/>
    <w:rsid w:val="00A331DA"/>
    <w:rsid w:val="00A331EF"/>
    <w:rsid w:val="00A33200"/>
    <w:rsid w:val="00A33210"/>
    <w:rsid w:val="00A33217"/>
    <w:rsid w:val="00A3321B"/>
    <w:rsid w:val="00A33245"/>
    <w:rsid w:val="00A33247"/>
    <w:rsid w:val="00A33278"/>
    <w:rsid w:val="00A3327F"/>
    <w:rsid w:val="00A332C3"/>
    <w:rsid w:val="00A332C8"/>
    <w:rsid w:val="00A332DA"/>
    <w:rsid w:val="00A332E5"/>
    <w:rsid w:val="00A33327"/>
    <w:rsid w:val="00A3333F"/>
    <w:rsid w:val="00A33365"/>
    <w:rsid w:val="00A3338D"/>
    <w:rsid w:val="00A3338F"/>
    <w:rsid w:val="00A333AB"/>
    <w:rsid w:val="00A333BE"/>
    <w:rsid w:val="00A33433"/>
    <w:rsid w:val="00A33449"/>
    <w:rsid w:val="00A334AB"/>
    <w:rsid w:val="00A334C1"/>
    <w:rsid w:val="00A334D0"/>
    <w:rsid w:val="00A334F7"/>
    <w:rsid w:val="00A33536"/>
    <w:rsid w:val="00A33538"/>
    <w:rsid w:val="00A33549"/>
    <w:rsid w:val="00A33561"/>
    <w:rsid w:val="00A335A8"/>
    <w:rsid w:val="00A335AD"/>
    <w:rsid w:val="00A335BF"/>
    <w:rsid w:val="00A335C2"/>
    <w:rsid w:val="00A335EC"/>
    <w:rsid w:val="00A33611"/>
    <w:rsid w:val="00A3361E"/>
    <w:rsid w:val="00A33649"/>
    <w:rsid w:val="00A33680"/>
    <w:rsid w:val="00A33684"/>
    <w:rsid w:val="00A33685"/>
    <w:rsid w:val="00A336AA"/>
    <w:rsid w:val="00A336F5"/>
    <w:rsid w:val="00A3373D"/>
    <w:rsid w:val="00A33770"/>
    <w:rsid w:val="00A337A6"/>
    <w:rsid w:val="00A337BA"/>
    <w:rsid w:val="00A3380E"/>
    <w:rsid w:val="00A33818"/>
    <w:rsid w:val="00A33896"/>
    <w:rsid w:val="00A33899"/>
    <w:rsid w:val="00A3390C"/>
    <w:rsid w:val="00A33946"/>
    <w:rsid w:val="00A33995"/>
    <w:rsid w:val="00A339BE"/>
    <w:rsid w:val="00A339DA"/>
    <w:rsid w:val="00A339DB"/>
    <w:rsid w:val="00A339EF"/>
    <w:rsid w:val="00A339F1"/>
    <w:rsid w:val="00A33A01"/>
    <w:rsid w:val="00A33A12"/>
    <w:rsid w:val="00A33A31"/>
    <w:rsid w:val="00A33A83"/>
    <w:rsid w:val="00A33B04"/>
    <w:rsid w:val="00A33B3A"/>
    <w:rsid w:val="00A33B41"/>
    <w:rsid w:val="00A33B66"/>
    <w:rsid w:val="00A33B72"/>
    <w:rsid w:val="00A33B80"/>
    <w:rsid w:val="00A33BA5"/>
    <w:rsid w:val="00A33BD1"/>
    <w:rsid w:val="00A33BFA"/>
    <w:rsid w:val="00A33C1F"/>
    <w:rsid w:val="00A33C31"/>
    <w:rsid w:val="00A33C3F"/>
    <w:rsid w:val="00A33C43"/>
    <w:rsid w:val="00A33C80"/>
    <w:rsid w:val="00A33C9A"/>
    <w:rsid w:val="00A33CA8"/>
    <w:rsid w:val="00A33CB8"/>
    <w:rsid w:val="00A33CCF"/>
    <w:rsid w:val="00A33CD9"/>
    <w:rsid w:val="00A33CE3"/>
    <w:rsid w:val="00A33CF8"/>
    <w:rsid w:val="00A33D14"/>
    <w:rsid w:val="00A33D1A"/>
    <w:rsid w:val="00A33D30"/>
    <w:rsid w:val="00A33D39"/>
    <w:rsid w:val="00A33DC0"/>
    <w:rsid w:val="00A33DD9"/>
    <w:rsid w:val="00A33DF2"/>
    <w:rsid w:val="00A33E20"/>
    <w:rsid w:val="00A33E28"/>
    <w:rsid w:val="00A33E29"/>
    <w:rsid w:val="00A33E7C"/>
    <w:rsid w:val="00A33E82"/>
    <w:rsid w:val="00A33E9D"/>
    <w:rsid w:val="00A33EE8"/>
    <w:rsid w:val="00A33F04"/>
    <w:rsid w:val="00A33F0E"/>
    <w:rsid w:val="00A33F27"/>
    <w:rsid w:val="00A33F44"/>
    <w:rsid w:val="00A33F85"/>
    <w:rsid w:val="00A33F9C"/>
    <w:rsid w:val="00A33FAC"/>
    <w:rsid w:val="00A33FAE"/>
    <w:rsid w:val="00A33FDC"/>
    <w:rsid w:val="00A3400C"/>
    <w:rsid w:val="00A34081"/>
    <w:rsid w:val="00A34128"/>
    <w:rsid w:val="00A3413D"/>
    <w:rsid w:val="00A34146"/>
    <w:rsid w:val="00A34157"/>
    <w:rsid w:val="00A34195"/>
    <w:rsid w:val="00A34231"/>
    <w:rsid w:val="00A34258"/>
    <w:rsid w:val="00A3428F"/>
    <w:rsid w:val="00A342F9"/>
    <w:rsid w:val="00A34308"/>
    <w:rsid w:val="00A34329"/>
    <w:rsid w:val="00A3434B"/>
    <w:rsid w:val="00A34369"/>
    <w:rsid w:val="00A3439D"/>
    <w:rsid w:val="00A343B6"/>
    <w:rsid w:val="00A343CE"/>
    <w:rsid w:val="00A343F7"/>
    <w:rsid w:val="00A3440B"/>
    <w:rsid w:val="00A3441C"/>
    <w:rsid w:val="00A34443"/>
    <w:rsid w:val="00A3444B"/>
    <w:rsid w:val="00A3445D"/>
    <w:rsid w:val="00A3445E"/>
    <w:rsid w:val="00A34494"/>
    <w:rsid w:val="00A344A6"/>
    <w:rsid w:val="00A344AA"/>
    <w:rsid w:val="00A344DC"/>
    <w:rsid w:val="00A344FF"/>
    <w:rsid w:val="00A3455D"/>
    <w:rsid w:val="00A345F2"/>
    <w:rsid w:val="00A34601"/>
    <w:rsid w:val="00A34655"/>
    <w:rsid w:val="00A3469E"/>
    <w:rsid w:val="00A346A4"/>
    <w:rsid w:val="00A346AA"/>
    <w:rsid w:val="00A346F6"/>
    <w:rsid w:val="00A347A5"/>
    <w:rsid w:val="00A347E6"/>
    <w:rsid w:val="00A347FE"/>
    <w:rsid w:val="00A3489E"/>
    <w:rsid w:val="00A348A1"/>
    <w:rsid w:val="00A348F6"/>
    <w:rsid w:val="00A348F7"/>
    <w:rsid w:val="00A3494E"/>
    <w:rsid w:val="00A34994"/>
    <w:rsid w:val="00A349A9"/>
    <w:rsid w:val="00A349BD"/>
    <w:rsid w:val="00A349CD"/>
    <w:rsid w:val="00A34A17"/>
    <w:rsid w:val="00A34A1B"/>
    <w:rsid w:val="00A34A26"/>
    <w:rsid w:val="00A34A42"/>
    <w:rsid w:val="00A34A56"/>
    <w:rsid w:val="00A34A90"/>
    <w:rsid w:val="00A34AB7"/>
    <w:rsid w:val="00A34AE3"/>
    <w:rsid w:val="00A34B03"/>
    <w:rsid w:val="00A34B18"/>
    <w:rsid w:val="00A34B39"/>
    <w:rsid w:val="00A34B60"/>
    <w:rsid w:val="00A34B8F"/>
    <w:rsid w:val="00A34BE7"/>
    <w:rsid w:val="00A34BE9"/>
    <w:rsid w:val="00A34C12"/>
    <w:rsid w:val="00A34C26"/>
    <w:rsid w:val="00A34C70"/>
    <w:rsid w:val="00A34CB1"/>
    <w:rsid w:val="00A34CB8"/>
    <w:rsid w:val="00A34CDA"/>
    <w:rsid w:val="00A34CE6"/>
    <w:rsid w:val="00A34CEA"/>
    <w:rsid w:val="00A34D5F"/>
    <w:rsid w:val="00A34D60"/>
    <w:rsid w:val="00A34DE8"/>
    <w:rsid w:val="00A34E50"/>
    <w:rsid w:val="00A34E51"/>
    <w:rsid w:val="00A34E74"/>
    <w:rsid w:val="00A34E85"/>
    <w:rsid w:val="00A34E8F"/>
    <w:rsid w:val="00A34EB6"/>
    <w:rsid w:val="00A34EC6"/>
    <w:rsid w:val="00A34ECF"/>
    <w:rsid w:val="00A34F13"/>
    <w:rsid w:val="00A34F23"/>
    <w:rsid w:val="00A34F3D"/>
    <w:rsid w:val="00A34F49"/>
    <w:rsid w:val="00A34F52"/>
    <w:rsid w:val="00A34F8E"/>
    <w:rsid w:val="00A34F98"/>
    <w:rsid w:val="00A34FA4"/>
    <w:rsid w:val="00A34FC5"/>
    <w:rsid w:val="00A35006"/>
    <w:rsid w:val="00A35028"/>
    <w:rsid w:val="00A3503B"/>
    <w:rsid w:val="00A3508F"/>
    <w:rsid w:val="00A3509B"/>
    <w:rsid w:val="00A3510E"/>
    <w:rsid w:val="00A351E0"/>
    <w:rsid w:val="00A351FA"/>
    <w:rsid w:val="00A351FC"/>
    <w:rsid w:val="00A35222"/>
    <w:rsid w:val="00A35241"/>
    <w:rsid w:val="00A3524B"/>
    <w:rsid w:val="00A35299"/>
    <w:rsid w:val="00A352AD"/>
    <w:rsid w:val="00A352D3"/>
    <w:rsid w:val="00A35320"/>
    <w:rsid w:val="00A35352"/>
    <w:rsid w:val="00A3539D"/>
    <w:rsid w:val="00A353C3"/>
    <w:rsid w:val="00A35437"/>
    <w:rsid w:val="00A35448"/>
    <w:rsid w:val="00A3547C"/>
    <w:rsid w:val="00A35488"/>
    <w:rsid w:val="00A354BC"/>
    <w:rsid w:val="00A354C3"/>
    <w:rsid w:val="00A354C8"/>
    <w:rsid w:val="00A35531"/>
    <w:rsid w:val="00A35549"/>
    <w:rsid w:val="00A35556"/>
    <w:rsid w:val="00A35584"/>
    <w:rsid w:val="00A355B8"/>
    <w:rsid w:val="00A355C3"/>
    <w:rsid w:val="00A3560A"/>
    <w:rsid w:val="00A35617"/>
    <w:rsid w:val="00A3562E"/>
    <w:rsid w:val="00A35658"/>
    <w:rsid w:val="00A3567B"/>
    <w:rsid w:val="00A3568C"/>
    <w:rsid w:val="00A35721"/>
    <w:rsid w:val="00A35730"/>
    <w:rsid w:val="00A3574B"/>
    <w:rsid w:val="00A35753"/>
    <w:rsid w:val="00A3579D"/>
    <w:rsid w:val="00A357CD"/>
    <w:rsid w:val="00A357D4"/>
    <w:rsid w:val="00A357E2"/>
    <w:rsid w:val="00A357F8"/>
    <w:rsid w:val="00A35804"/>
    <w:rsid w:val="00A3580F"/>
    <w:rsid w:val="00A35816"/>
    <w:rsid w:val="00A35817"/>
    <w:rsid w:val="00A35864"/>
    <w:rsid w:val="00A35865"/>
    <w:rsid w:val="00A35870"/>
    <w:rsid w:val="00A3593B"/>
    <w:rsid w:val="00A3594E"/>
    <w:rsid w:val="00A3599E"/>
    <w:rsid w:val="00A359A0"/>
    <w:rsid w:val="00A359C5"/>
    <w:rsid w:val="00A359E8"/>
    <w:rsid w:val="00A359FE"/>
    <w:rsid w:val="00A35A1A"/>
    <w:rsid w:val="00A35A5B"/>
    <w:rsid w:val="00A35AB6"/>
    <w:rsid w:val="00A35AD6"/>
    <w:rsid w:val="00A35ADB"/>
    <w:rsid w:val="00A35B07"/>
    <w:rsid w:val="00A35B57"/>
    <w:rsid w:val="00A35B71"/>
    <w:rsid w:val="00A35B89"/>
    <w:rsid w:val="00A35B93"/>
    <w:rsid w:val="00A35BA1"/>
    <w:rsid w:val="00A35BAE"/>
    <w:rsid w:val="00A35BE9"/>
    <w:rsid w:val="00A35BF0"/>
    <w:rsid w:val="00A35C16"/>
    <w:rsid w:val="00A35C43"/>
    <w:rsid w:val="00A35C54"/>
    <w:rsid w:val="00A35CB6"/>
    <w:rsid w:val="00A35CEC"/>
    <w:rsid w:val="00A35CFA"/>
    <w:rsid w:val="00A35D26"/>
    <w:rsid w:val="00A35D59"/>
    <w:rsid w:val="00A35D63"/>
    <w:rsid w:val="00A35D8B"/>
    <w:rsid w:val="00A35DAE"/>
    <w:rsid w:val="00A35DB0"/>
    <w:rsid w:val="00A35DDC"/>
    <w:rsid w:val="00A35E39"/>
    <w:rsid w:val="00A35E45"/>
    <w:rsid w:val="00A35EA2"/>
    <w:rsid w:val="00A35ED4"/>
    <w:rsid w:val="00A35ED9"/>
    <w:rsid w:val="00A35EE6"/>
    <w:rsid w:val="00A35EF5"/>
    <w:rsid w:val="00A35F0B"/>
    <w:rsid w:val="00A35F56"/>
    <w:rsid w:val="00A35F5D"/>
    <w:rsid w:val="00A35FA4"/>
    <w:rsid w:val="00A35FAE"/>
    <w:rsid w:val="00A35FE6"/>
    <w:rsid w:val="00A35FF6"/>
    <w:rsid w:val="00A35FFC"/>
    <w:rsid w:val="00A3600A"/>
    <w:rsid w:val="00A3601A"/>
    <w:rsid w:val="00A36025"/>
    <w:rsid w:val="00A36064"/>
    <w:rsid w:val="00A36082"/>
    <w:rsid w:val="00A360C3"/>
    <w:rsid w:val="00A36101"/>
    <w:rsid w:val="00A3615A"/>
    <w:rsid w:val="00A36174"/>
    <w:rsid w:val="00A361E6"/>
    <w:rsid w:val="00A361F9"/>
    <w:rsid w:val="00A36255"/>
    <w:rsid w:val="00A36262"/>
    <w:rsid w:val="00A36269"/>
    <w:rsid w:val="00A36293"/>
    <w:rsid w:val="00A36294"/>
    <w:rsid w:val="00A3629D"/>
    <w:rsid w:val="00A36329"/>
    <w:rsid w:val="00A36361"/>
    <w:rsid w:val="00A363AE"/>
    <w:rsid w:val="00A363B0"/>
    <w:rsid w:val="00A363C1"/>
    <w:rsid w:val="00A363D0"/>
    <w:rsid w:val="00A36403"/>
    <w:rsid w:val="00A36422"/>
    <w:rsid w:val="00A3642A"/>
    <w:rsid w:val="00A3642B"/>
    <w:rsid w:val="00A36468"/>
    <w:rsid w:val="00A364A3"/>
    <w:rsid w:val="00A364A9"/>
    <w:rsid w:val="00A364BC"/>
    <w:rsid w:val="00A364C1"/>
    <w:rsid w:val="00A3652D"/>
    <w:rsid w:val="00A36550"/>
    <w:rsid w:val="00A3655D"/>
    <w:rsid w:val="00A36582"/>
    <w:rsid w:val="00A365DC"/>
    <w:rsid w:val="00A3661A"/>
    <w:rsid w:val="00A3664E"/>
    <w:rsid w:val="00A36683"/>
    <w:rsid w:val="00A366BD"/>
    <w:rsid w:val="00A366E4"/>
    <w:rsid w:val="00A36705"/>
    <w:rsid w:val="00A36724"/>
    <w:rsid w:val="00A36797"/>
    <w:rsid w:val="00A367DC"/>
    <w:rsid w:val="00A3681D"/>
    <w:rsid w:val="00A36824"/>
    <w:rsid w:val="00A36845"/>
    <w:rsid w:val="00A36846"/>
    <w:rsid w:val="00A3684F"/>
    <w:rsid w:val="00A36858"/>
    <w:rsid w:val="00A368B2"/>
    <w:rsid w:val="00A368C3"/>
    <w:rsid w:val="00A368D4"/>
    <w:rsid w:val="00A368ED"/>
    <w:rsid w:val="00A368F0"/>
    <w:rsid w:val="00A36923"/>
    <w:rsid w:val="00A36934"/>
    <w:rsid w:val="00A36937"/>
    <w:rsid w:val="00A36985"/>
    <w:rsid w:val="00A369B4"/>
    <w:rsid w:val="00A369B8"/>
    <w:rsid w:val="00A369C7"/>
    <w:rsid w:val="00A369C8"/>
    <w:rsid w:val="00A36A1C"/>
    <w:rsid w:val="00A36A2F"/>
    <w:rsid w:val="00A36A94"/>
    <w:rsid w:val="00A36ABD"/>
    <w:rsid w:val="00A36AC2"/>
    <w:rsid w:val="00A36AD7"/>
    <w:rsid w:val="00A36ADD"/>
    <w:rsid w:val="00A36B1D"/>
    <w:rsid w:val="00A36B23"/>
    <w:rsid w:val="00A36B2E"/>
    <w:rsid w:val="00A36B4F"/>
    <w:rsid w:val="00A36B6F"/>
    <w:rsid w:val="00A36BA2"/>
    <w:rsid w:val="00A36BBB"/>
    <w:rsid w:val="00A36BF7"/>
    <w:rsid w:val="00A36C0B"/>
    <w:rsid w:val="00A36C61"/>
    <w:rsid w:val="00A36C89"/>
    <w:rsid w:val="00A36CCA"/>
    <w:rsid w:val="00A36D17"/>
    <w:rsid w:val="00A36D27"/>
    <w:rsid w:val="00A36D5C"/>
    <w:rsid w:val="00A36D5D"/>
    <w:rsid w:val="00A36D66"/>
    <w:rsid w:val="00A36DDE"/>
    <w:rsid w:val="00A36E05"/>
    <w:rsid w:val="00A36ECD"/>
    <w:rsid w:val="00A36EFB"/>
    <w:rsid w:val="00A36F64"/>
    <w:rsid w:val="00A36FD6"/>
    <w:rsid w:val="00A36FDD"/>
    <w:rsid w:val="00A37055"/>
    <w:rsid w:val="00A3705C"/>
    <w:rsid w:val="00A3708F"/>
    <w:rsid w:val="00A370A1"/>
    <w:rsid w:val="00A370C9"/>
    <w:rsid w:val="00A370F5"/>
    <w:rsid w:val="00A3710E"/>
    <w:rsid w:val="00A3713E"/>
    <w:rsid w:val="00A37141"/>
    <w:rsid w:val="00A37175"/>
    <w:rsid w:val="00A3717E"/>
    <w:rsid w:val="00A3717F"/>
    <w:rsid w:val="00A3718A"/>
    <w:rsid w:val="00A37197"/>
    <w:rsid w:val="00A37249"/>
    <w:rsid w:val="00A37261"/>
    <w:rsid w:val="00A37336"/>
    <w:rsid w:val="00A37356"/>
    <w:rsid w:val="00A37366"/>
    <w:rsid w:val="00A373A2"/>
    <w:rsid w:val="00A373B8"/>
    <w:rsid w:val="00A373DD"/>
    <w:rsid w:val="00A3740B"/>
    <w:rsid w:val="00A37451"/>
    <w:rsid w:val="00A37461"/>
    <w:rsid w:val="00A37480"/>
    <w:rsid w:val="00A37485"/>
    <w:rsid w:val="00A374D3"/>
    <w:rsid w:val="00A374E8"/>
    <w:rsid w:val="00A374FC"/>
    <w:rsid w:val="00A3750A"/>
    <w:rsid w:val="00A37528"/>
    <w:rsid w:val="00A37533"/>
    <w:rsid w:val="00A375B4"/>
    <w:rsid w:val="00A37646"/>
    <w:rsid w:val="00A3766D"/>
    <w:rsid w:val="00A376C4"/>
    <w:rsid w:val="00A37741"/>
    <w:rsid w:val="00A3774D"/>
    <w:rsid w:val="00A37761"/>
    <w:rsid w:val="00A37780"/>
    <w:rsid w:val="00A3779D"/>
    <w:rsid w:val="00A37809"/>
    <w:rsid w:val="00A37817"/>
    <w:rsid w:val="00A37826"/>
    <w:rsid w:val="00A37841"/>
    <w:rsid w:val="00A37845"/>
    <w:rsid w:val="00A37849"/>
    <w:rsid w:val="00A378A4"/>
    <w:rsid w:val="00A378B1"/>
    <w:rsid w:val="00A378B4"/>
    <w:rsid w:val="00A378E9"/>
    <w:rsid w:val="00A3790A"/>
    <w:rsid w:val="00A379A3"/>
    <w:rsid w:val="00A379BF"/>
    <w:rsid w:val="00A379C2"/>
    <w:rsid w:val="00A379E3"/>
    <w:rsid w:val="00A37A1E"/>
    <w:rsid w:val="00A37A38"/>
    <w:rsid w:val="00A37A59"/>
    <w:rsid w:val="00A37A8B"/>
    <w:rsid w:val="00A37AF3"/>
    <w:rsid w:val="00A37AFD"/>
    <w:rsid w:val="00A37B01"/>
    <w:rsid w:val="00A37B0A"/>
    <w:rsid w:val="00A37B49"/>
    <w:rsid w:val="00A37B69"/>
    <w:rsid w:val="00A37B72"/>
    <w:rsid w:val="00A37BE1"/>
    <w:rsid w:val="00A37BFF"/>
    <w:rsid w:val="00A37C1B"/>
    <w:rsid w:val="00A37C2A"/>
    <w:rsid w:val="00A37C62"/>
    <w:rsid w:val="00A37C68"/>
    <w:rsid w:val="00A37C7F"/>
    <w:rsid w:val="00A37C9C"/>
    <w:rsid w:val="00A37CA8"/>
    <w:rsid w:val="00A37CB4"/>
    <w:rsid w:val="00A37CC4"/>
    <w:rsid w:val="00A37CDB"/>
    <w:rsid w:val="00A37CDF"/>
    <w:rsid w:val="00A37CE5"/>
    <w:rsid w:val="00A37CE7"/>
    <w:rsid w:val="00A37CEA"/>
    <w:rsid w:val="00A37D16"/>
    <w:rsid w:val="00A37D19"/>
    <w:rsid w:val="00A37D24"/>
    <w:rsid w:val="00A37D2B"/>
    <w:rsid w:val="00A37D33"/>
    <w:rsid w:val="00A37D83"/>
    <w:rsid w:val="00A37D96"/>
    <w:rsid w:val="00A37D99"/>
    <w:rsid w:val="00A37DCD"/>
    <w:rsid w:val="00A37E49"/>
    <w:rsid w:val="00A37E7C"/>
    <w:rsid w:val="00A37EA4"/>
    <w:rsid w:val="00A37EBD"/>
    <w:rsid w:val="00A37EC8"/>
    <w:rsid w:val="00A37ED4"/>
    <w:rsid w:val="00A37EDE"/>
    <w:rsid w:val="00A37EF1"/>
    <w:rsid w:val="00A37F20"/>
    <w:rsid w:val="00A37F40"/>
    <w:rsid w:val="00A37F93"/>
    <w:rsid w:val="00A37FA7"/>
    <w:rsid w:val="00A37FBF"/>
    <w:rsid w:val="00A37FE1"/>
    <w:rsid w:val="00A40031"/>
    <w:rsid w:val="00A4008D"/>
    <w:rsid w:val="00A400A3"/>
    <w:rsid w:val="00A40101"/>
    <w:rsid w:val="00A40107"/>
    <w:rsid w:val="00A40159"/>
    <w:rsid w:val="00A40173"/>
    <w:rsid w:val="00A40188"/>
    <w:rsid w:val="00A4018A"/>
    <w:rsid w:val="00A401A5"/>
    <w:rsid w:val="00A401C1"/>
    <w:rsid w:val="00A401CB"/>
    <w:rsid w:val="00A401D0"/>
    <w:rsid w:val="00A401F0"/>
    <w:rsid w:val="00A401F8"/>
    <w:rsid w:val="00A40211"/>
    <w:rsid w:val="00A40228"/>
    <w:rsid w:val="00A40248"/>
    <w:rsid w:val="00A40251"/>
    <w:rsid w:val="00A40289"/>
    <w:rsid w:val="00A402A1"/>
    <w:rsid w:val="00A4033F"/>
    <w:rsid w:val="00A40341"/>
    <w:rsid w:val="00A4037D"/>
    <w:rsid w:val="00A403AB"/>
    <w:rsid w:val="00A403C9"/>
    <w:rsid w:val="00A403D5"/>
    <w:rsid w:val="00A403F6"/>
    <w:rsid w:val="00A40450"/>
    <w:rsid w:val="00A40461"/>
    <w:rsid w:val="00A4046F"/>
    <w:rsid w:val="00A40477"/>
    <w:rsid w:val="00A404F1"/>
    <w:rsid w:val="00A4052A"/>
    <w:rsid w:val="00A4053A"/>
    <w:rsid w:val="00A4057D"/>
    <w:rsid w:val="00A40597"/>
    <w:rsid w:val="00A4062C"/>
    <w:rsid w:val="00A4062F"/>
    <w:rsid w:val="00A40642"/>
    <w:rsid w:val="00A40654"/>
    <w:rsid w:val="00A4065F"/>
    <w:rsid w:val="00A40699"/>
    <w:rsid w:val="00A406B3"/>
    <w:rsid w:val="00A406BF"/>
    <w:rsid w:val="00A406D5"/>
    <w:rsid w:val="00A40701"/>
    <w:rsid w:val="00A40707"/>
    <w:rsid w:val="00A4074B"/>
    <w:rsid w:val="00A40799"/>
    <w:rsid w:val="00A407D8"/>
    <w:rsid w:val="00A407E8"/>
    <w:rsid w:val="00A4082B"/>
    <w:rsid w:val="00A40864"/>
    <w:rsid w:val="00A408CE"/>
    <w:rsid w:val="00A408F9"/>
    <w:rsid w:val="00A4090B"/>
    <w:rsid w:val="00A40911"/>
    <w:rsid w:val="00A40959"/>
    <w:rsid w:val="00A40986"/>
    <w:rsid w:val="00A409A3"/>
    <w:rsid w:val="00A40A27"/>
    <w:rsid w:val="00A40A29"/>
    <w:rsid w:val="00A40A37"/>
    <w:rsid w:val="00A40A41"/>
    <w:rsid w:val="00A40A74"/>
    <w:rsid w:val="00A40A76"/>
    <w:rsid w:val="00A40A81"/>
    <w:rsid w:val="00A40AA7"/>
    <w:rsid w:val="00A40AB4"/>
    <w:rsid w:val="00A40ABC"/>
    <w:rsid w:val="00A40ACC"/>
    <w:rsid w:val="00A40AD2"/>
    <w:rsid w:val="00A40AF8"/>
    <w:rsid w:val="00A40B1F"/>
    <w:rsid w:val="00A40B28"/>
    <w:rsid w:val="00A40B3E"/>
    <w:rsid w:val="00A40B5E"/>
    <w:rsid w:val="00A40B65"/>
    <w:rsid w:val="00A40B6C"/>
    <w:rsid w:val="00A40B86"/>
    <w:rsid w:val="00A40BCB"/>
    <w:rsid w:val="00A40C00"/>
    <w:rsid w:val="00A40C09"/>
    <w:rsid w:val="00A40C1C"/>
    <w:rsid w:val="00A40C75"/>
    <w:rsid w:val="00A40C7F"/>
    <w:rsid w:val="00A40C85"/>
    <w:rsid w:val="00A40C86"/>
    <w:rsid w:val="00A40C9B"/>
    <w:rsid w:val="00A40C9C"/>
    <w:rsid w:val="00A40D01"/>
    <w:rsid w:val="00A40D98"/>
    <w:rsid w:val="00A40DDA"/>
    <w:rsid w:val="00A40DED"/>
    <w:rsid w:val="00A40DEF"/>
    <w:rsid w:val="00A40DF5"/>
    <w:rsid w:val="00A40DFC"/>
    <w:rsid w:val="00A40E23"/>
    <w:rsid w:val="00A40E64"/>
    <w:rsid w:val="00A40EBB"/>
    <w:rsid w:val="00A40ED0"/>
    <w:rsid w:val="00A40F24"/>
    <w:rsid w:val="00A40F2A"/>
    <w:rsid w:val="00A40F36"/>
    <w:rsid w:val="00A40F56"/>
    <w:rsid w:val="00A40FAE"/>
    <w:rsid w:val="00A41056"/>
    <w:rsid w:val="00A41082"/>
    <w:rsid w:val="00A41083"/>
    <w:rsid w:val="00A410BC"/>
    <w:rsid w:val="00A410BE"/>
    <w:rsid w:val="00A410D4"/>
    <w:rsid w:val="00A410E8"/>
    <w:rsid w:val="00A41113"/>
    <w:rsid w:val="00A4113B"/>
    <w:rsid w:val="00A4113F"/>
    <w:rsid w:val="00A41143"/>
    <w:rsid w:val="00A411A0"/>
    <w:rsid w:val="00A411AB"/>
    <w:rsid w:val="00A411B0"/>
    <w:rsid w:val="00A411B3"/>
    <w:rsid w:val="00A411F1"/>
    <w:rsid w:val="00A411FE"/>
    <w:rsid w:val="00A41210"/>
    <w:rsid w:val="00A41256"/>
    <w:rsid w:val="00A41274"/>
    <w:rsid w:val="00A412A2"/>
    <w:rsid w:val="00A412A7"/>
    <w:rsid w:val="00A412C7"/>
    <w:rsid w:val="00A412D5"/>
    <w:rsid w:val="00A41353"/>
    <w:rsid w:val="00A4135B"/>
    <w:rsid w:val="00A41363"/>
    <w:rsid w:val="00A413D5"/>
    <w:rsid w:val="00A413FA"/>
    <w:rsid w:val="00A41448"/>
    <w:rsid w:val="00A4146B"/>
    <w:rsid w:val="00A4146F"/>
    <w:rsid w:val="00A41495"/>
    <w:rsid w:val="00A414AB"/>
    <w:rsid w:val="00A414CB"/>
    <w:rsid w:val="00A414CC"/>
    <w:rsid w:val="00A41561"/>
    <w:rsid w:val="00A415A0"/>
    <w:rsid w:val="00A415A6"/>
    <w:rsid w:val="00A41606"/>
    <w:rsid w:val="00A41682"/>
    <w:rsid w:val="00A4169D"/>
    <w:rsid w:val="00A41718"/>
    <w:rsid w:val="00A4171A"/>
    <w:rsid w:val="00A4172F"/>
    <w:rsid w:val="00A417CA"/>
    <w:rsid w:val="00A417DB"/>
    <w:rsid w:val="00A41802"/>
    <w:rsid w:val="00A418AB"/>
    <w:rsid w:val="00A418E1"/>
    <w:rsid w:val="00A41910"/>
    <w:rsid w:val="00A4192A"/>
    <w:rsid w:val="00A41946"/>
    <w:rsid w:val="00A419C4"/>
    <w:rsid w:val="00A419C7"/>
    <w:rsid w:val="00A41A08"/>
    <w:rsid w:val="00A41A2B"/>
    <w:rsid w:val="00A41A3A"/>
    <w:rsid w:val="00A41A64"/>
    <w:rsid w:val="00A41A73"/>
    <w:rsid w:val="00A41A76"/>
    <w:rsid w:val="00A41A7B"/>
    <w:rsid w:val="00A41A99"/>
    <w:rsid w:val="00A41AC4"/>
    <w:rsid w:val="00A41B06"/>
    <w:rsid w:val="00A41BA8"/>
    <w:rsid w:val="00A41BD1"/>
    <w:rsid w:val="00A41BD8"/>
    <w:rsid w:val="00A41BDD"/>
    <w:rsid w:val="00A41C22"/>
    <w:rsid w:val="00A41C72"/>
    <w:rsid w:val="00A41CBA"/>
    <w:rsid w:val="00A41CFC"/>
    <w:rsid w:val="00A41D1B"/>
    <w:rsid w:val="00A41D31"/>
    <w:rsid w:val="00A41D58"/>
    <w:rsid w:val="00A41D5D"/>
    <w:rsid w:val="00A41D69"/>
    <w:rsid w:val="00A41D8A"/>
    <w:rsid w:val="00A41D93"/>
    <w:rsid w:val="00A41DBE"/>
    <w:rsid w:val="00A41DEF"/>
    <w:rsid w:val="00A41E1B"/>
    <w:rsid w:val="00A41E87"/>
    <w:rsid w:val="00A41ED0"/>
    <w:rsid w:val="00A41EF9"/>
    <w:rsid w:val="00A41F03"/>
    <w:rsid w:val="00A41F2A"/>
    <w:rsid w:val="00A41F2E"/>
    <w:rsid w:val="00A41F34"/>
    <w:rsid w:val="00A41F97"/>
    <w:rsid w:val="00A41FDE"/>
    <w:rsid w:val="00A41FEA"/>
    <w:rsid w:val="00A4202A"/>
    <w:rsid w:val="00A4202B"/>
    <w:rsid w:val="00A4203A"/>
    <w:rsid w:val="00A42042"/>
    <w:rsid w:val="00A42044"/>
    <w:rsid w:val="00A42050"/>
    <w:rsid w:val="00A42055"/>
    <w:rsid w:val="00A42057"/>
    <w:rsid w:val="00A4206C"/>
    <w:rsid w:val="00A4208A"/>
    <w:rsid w:val="00A42097"/>
    <w:rsid w:val="00A420B0"/>
    <w:rsid w:val="00A420D4"/>
    <w:rsid w:val="00A420E0"/>
    <w:rsid w:val="00A420EB"/>
    <w:rsid w:val="00A420F2"/>
    <w:rsid w:val="00A42116"/>
    <w:rsid w:val="00A42123"/>
    <w:rsid w:val="00A42152"/>
    <w:rsid w:val="00A42164"/>
    <w:rsid w:val="00A4217D"/>
    <w:rsid w:val="00A4218C"/>
    <w:rsid w:val="00A421A7"/>
    <w:rsid w:val="00A421D8"/>
    <w:rsid w:val="00A4223C"/>
    <w:rsid w:val="00A4224B"/>
    <w:rsid w:val="00A42284"/>
    <w:rsid w:val="00A4228A"/>
    <w:rsid w:val="00A422ED"/>
    <w:rsid w:val="00A4234C"/>
    <w:rsid w:val="00A42380"/>
    <w:rsid w:val="00A42398"/>
    <w:rsid w:val="00A423A0"/>
    <w:rsid w:val="00A423F8"/>
    <w:rsid w:val="00A42427"/>
    <w:rsid w:val="00A42428"/>
    <w:rsid w:val="00A42439"/>
    <w:rsid w:val="00A42492"/>
    <w:rsid w:val="00A42497"/>
    <w:rsid w:val="00A42512"/>
    <w:rsid w:val="00A4258D"/>
    <w:rsid w:val="00A42594"/>
    <w:rsid w:val="00A425B6"/>
    <w:rsid w:val="00A425CE"/>
    <w:rsid w:val="00A425EF"/>
    <w:rsid w:val="00A42625"/>
    <w:rsid w:val="00A42692"/>
    <w:rsid w:val="00A426BF"/>
    <w:rsid w:val="00A426C7"/>
    <w:rsid w:val="00A426D2"/>
    <w:rsid w:val="00A426D8"/>
    <w:rsid w:val="00A426ED"/>
    <w:rsid w:val="00A4278E"/>
    <w:rsid w:val="00A427BC"/>
    <w:rsid w:val="00A42832"/>
    <w:rsid w:val="00A42851"/>
    <w:rsid w:val="00A4285E"/>
    <w:rsid w:val="00A42899"/>
    <w:rsid w:val="00A428A5"/>
    <w:rsid w:val="00A428C1"/>
    <w:rsid w:val="00A428C8"/>
    <w:rsid w:val="00A428DE"/>
    <w:rsid w:val="00A428E7"/>
    <w:rsid w:val="00A428EB"/>
    <w:rsid w:val="00A428F3"/>
    <w:rsid w:val="00A42A1B"/>
    <w:rsid w:val="00A42A65"/>
    <w:rsid w:val="00A42A8C"/>
    <w:rsid w:val="00A42A94"/>
    <w:rsid w:val="00A42B08"/>
    <w:rsid w:val="00A42B2E"/>
    <w:rsid w:val="00A42B42"/>
    <w:rsid w:val="00A42B8B"/>
    <w:rsid w:val="00A42BE1"/>
    <w:rsid w:val="00A42BF5"/>
    <w:rsid w:val="00A42C20"/>
    <w:rsid w:val="00A42C22"/>
    <w:rsid w:val="00A42C36"/>
    <w:rsid w:val="00A42C61"/>
    <w:rsid w:val="00A42C68"/>
    <w:rsid w:val="00A42C6F"/>
    <w:rsid w:val="00A42C90"/>
    <w:rsid w:val="00A42CCB"/>
    <w:rsid w:val="00A42CCC"/>
    <w:rsid w:val="00A42CCE"/>
    <w:rsid w:val="00A42CE8"/>
    <w:rsid w:val="00A42D46"/>
    <w:rsid w:val="00A42D87"/>
    <w:rsid w:val="00A42DAE"/>
    <w:rsid w:val="00A42DC5"/>
    <w:rsid w:val="00A42DEA"/>
    <w:rsid w:val="00A42E03"/>
    <w:rsid w:val="00A42E29"/>
    <w:rsid w:val="00A42E30"/>
    <w:rsid w:val="00A42E37"/>
    <w:rsid w:val="00A42E66"/>
    <w:rsid w:val="00A42E77"/>
    <w:rsid w:val="00A42E97"/>
    <w:rsid w:val="00A42EB2"/>
    <w:rsid w:val="00A42EDA"/>
    <w:rsid w:val="00A42EFD"/>
    <w:rsid w:val="00A42F08"/>
    <w:rsid w:val="00A42F2D"/>
    <w:rsid w:val="00A42F5D"/>
    <w:rsid w:val="00A42F69"/>
    <w:rsid w:val="00A42FA8"/>
    <w:rsid w:val="00A42FCD"/>
    <w:rsid w:val="00A42FE0"/>
    <w:rsid w:val="00A42FEA"/>
    <w:rsid w:val="00A43011"/>
    <w:rsid w:val="00A43077"/>
    <w:rsid w:val="00A430A0"/>
    <w:rsid w:val="00A430A7"/>
    <w:rsid w:val="00A430B0"/>
    <w:rsid w:val="00A430C2"/>
    <w:rsid w:val="00A430D9"/>
    <w:rsid w:val="00A430E8"/>
    <w:rsid w:val="00A430EF"/>
    <w:rsid w:val="00A4312F"/>
    <w:rsid w:val="00A43184"/>
    <w:rsid w:val="00A431A0"/>
    <w:rsid w:val="00A431C0"/>
    <w:rsid w:val="00A431CA"/>
    <w:rsid w:val="00A431F9"/>
    <w:rsid w:val="00A43204"/>
    <w:rsid w:val="00A4320F"/>
    <w:rsid w:val="00A43232"/>
    <w:rsid w:val="00A43243"/>
    <w:rsid w:val="00A43289"/>
    <w:rsid w:val="00A43298"/>
    <w:rsid w:val="00A432CA"/>
    <w:rsid w:val="00A432EB"/>
    <w:rsid w:val="00A4330A"/>
    <w:rsid w:val="00A43315"/>
    <w:rsid w:val="00A43351"/>
    <w:rsid w:val="00A43365"/>
    <w:rsid w:val="00A43378"/>
    <w:rsid w:val="00A43380"/>
    <w:rsid w:val="00A433A9"/>
    <w:rsid w:val="00A433C2"/>
    <w:rsid w:val="00A433DD"/>
    <w:rsid w:val="00A433DF"/>
    <w:rsid w:val="00A43415"/>
    <w:rsid w:val="00A4341D"/>
    <w:rsid w:val="00A43432"/>
    <w:rsid w:val="00A43443"/>
    <w:rsid w:val="00A43488"/>
    <w:rsid w:val="00A434C5"/>
    <w:rsid w:val="00A43518"/>
    <w:rsid w:val="00A43525"/>
    <w:rsid w:val="00A43569"/>
    <w:rsid w:val="00A4359B"/>
    <w:rsid w:val="00A435D4"/>
    <w:rsid w:val="00A435E1"/>
    <w:rsid w:val="00A43618"/>
    <w:rsid w:val="00A43620"/>
    <w:rsid w:val="00A43638"/>
    <w:rsid w:val="00A43659"/>
    <w:rsid w:val="00A436E5"/>
    <w:rsid w:val="00A43741"/>
    <w:rsid w:val="00A43749"/>
    <w:rsid w:val="00A43795"/>
    <w:rsid w:val="00A4379B"/>
    <w:rsid w:val="00A437B4"/>
    <w:rsid w:val="00A437C7"/>
    <w:rsid w:val="00A4383B"/>
    <w:rsid w:val="00A43888"/>
    <w:rsid w:val="00A438BF"/>
    <w:rsid w:val="00A43943"/>
    <w:rsid w:val="00A439B6"/>
    <w:rsid w:val="00A43A0D"/>
    <w:rsid w:val="00A43A51"/>
    <w:rsid w:val="00A43A79"/>
    <w:rsid w:val="00A43A97"/>
    <w:rsid w:val="00A43ACC"/>
    <w:rsid w:val="00A43AE9"/>
    <w:rsid w:val="00A43AFB"/>
    <w:rsid w:val="00A43B08"/>
    <w:rsid w:val="00A43B0E"/>
    <w:rsid w:val="00A43B27"/>
    <w:rsid w:val="00A43B32"/>
    <w:rsid w:val="00A43B7C"/>
    <w:rsid w:val="00A43B7E"/>
    <w:rsid w:val="00A43BD9"/>
    <w:rsid w:val="00A43BE1"/>
    <w:rsid w:val="00A43C17"/>
    <w:rsid w:val="00A43C81"/>
    <w:rsid w:val="00A43C90"/>
    <w:rsid w:val="00A43C92"/>
    <w:rsid w:val="00A43CAB"/>
    <w:rsid w:val="00A43CB5"/>
    <w:rsid w:val="00A43CE2"/>
    <w:rsid w:val="00A43CF3"/>
    <w:rsid w:val="00A43CFC"/>
    <w:rsid w:val="00A43D35"/>
    <w:rsid w:val="00A43DA5"/>
    <w:rsid w:val="00A43DB3"/>
    <w:rsid w:val="00A43DD9"/>
    <w:rsid w:val="00A43E26"/>
    <w:rsid w:val="00A43E49"/>
    <w:rsid w:val="00A43E4F"/>
    <w:rsid w:val="00A43E95"/>
    <w:rsid w:val="00A43EE3"/>
    <w:rsid w:val="00A43F25"/>
    <w:rsid w:val="00A43F3E"/>
    <w:rsid w:val="00A43F5A"/>
    <w:rsid w:val="00A43F67"/>
    <w:rsid w:val="00A43FA3"/>
    <w:rsid w:val="00A43FC4"/>
    <w:rsid w:val="00A43FDB"/>
    <w:rsid w:val="00A43FE9"/>
    <w:rsid w:val="00A43FF7"/>
    <w:rsid w:val="00A44016"/>
    <w:rsid w:val="00A44027"/>
    <w:rsid w:val="00A44070"/>
    <w:rsid w:val="00A44078"/>
    <w:rsid w:val="00A44084"/>
    <w:rsid w:val="00A44098"/>
    <w:rsid w:val="00A4409A"/>
    <w:rsid w:val="00A440FD"/>
    <w:rsid w:val="00A4410D"/>
    <w:rsid w:val="00A44168"/>
    <w:rsid w:val="00A4416E"/>
    <w:rsid w:val="00A44175"/>
    <w:rsid w:val="00A441C0"/>
    <w:rsid w:val="00A441C7"/>
    <w:rsid w:val="00A44204"/>
    <w:rsid w:val="00A4420B"/>
    <w:rsid w:val="00A44225"/>
    <w:rsid w:val="00A4423D"/>
    <w:rsid w:val="00A4427A"/>
    <w:rsid w:val="00A44290"/>
    <w:rsid w:val="00A442B4"/>
    <w:rsid w:val="00A44306"/>
    <w:rsid w:val="00A44354"/>
    <w:rsid w:val="00A44395"/>
    <w:rsid w:val="00A443A9"/>
    <w:rsid w:val="00A443BA"/>
    <w:rsid w:val="00A443E2"/>
    <w:rsid w:val="00A443F6"/>
    <w:rsid w:val="00A4446D"/>
    <w:rsid w:val="00A444CA"/>
    <w:rsid w:val="00A44517"/>
    <w:rsid w:val="00A44592"/>
    <w:rsid w:val="00A445D8"/>
    <w:rsid w:val="00A445F5"/>
    <w:rsid w:val="00A44614"/>
    <w:rsid w:val="00A44651"/>
    <w:rsid w:val="00A44658"/>
    <w:rsid w:val="00A44667"/>
    <w:rsid w:val="00A44684"/>
    <w:rsid w:val="00A446D1"/>
    <w:rsid w:val="00A4470B"/>
    <w:rsid w:val="00A44713"/>
    <w:rsid w:val="00A44721"/>
    <w:rsid w:val="00A447B8"/>
    <w:rsid w:val="00A44802"/>
    <w:rsid w:val="00A44888"/>
    <w:rsid w:val="00A44890"/>
    <w:rsid w:val="00A448BE"/>
    <w:rsid w:val="00A4492A"/>
    <w:rsid w:val="00A4496C"/>
    <w:rsid w:val="00A4498A"/>
    <w:rsid w:val="00A4499A"/>
    <w:rsid w:val="00A449A6"/>
    <w:rsid w:val="00A449AB"/>
    <w:rsid w:val="00A449E1"/>
    <w:rsid w:val="00A449EE"/>
    <w:rsid w:val="00A44A12"/>
    <w:rsid w:val="00A44A20"/>
    <w:rsid w:val="00A44A5F"/>
    <w:rsid w:val="00A44AA7"/>
    <w:rsid w:val="00A44B11"/>
    <w:rsid w:val="00A44B1B"/>
    <w:rsid w:val="00A44B2A"/>
    <w:rsid w:val="00A44B72"/>
    <w:rsid w:val="00A44B7D"/>
    <w:rsid w:val="00A44B9D"/>
    <w:rsid w:val="00A44BD5"/>
    <w:rsid w:val="00A44C16"/>
    <w:rsid w:val="00A44C20"/>
    <w:rsid w:val="00A44C60"/>
    <w:rsid w:val="00A44C76"/>
    <w:rsid w:val="00A44C9C"/>
    <w:rsid w:val="00A44CC5"/>
    <w:rsid w:val="00A44CCD"/>
    <w:rsid w:val="00A44CFC"/>
    <w:rsid w:val="00A44D21"/>
    <w:rsid w:val="00A44D2B"/>
    <w:rsid w:val="00A44D7A"/>
    <w:rsid w:val="00A44D90"/>
    <w:rsid w:val="00A44DA9"/>
    <w:rsid w:val="00A44DE8"/>
    <w:rsid w:val="00A44DEC"/>
    <w:rsid w:val="00A44DF9"/>
    <w:rsid w:val="00A44E02"/>
    <w:rsid w:val="00A44E22"/>
    <w:rsid w:val="00A44E25"/>
    <w:rsid w:val="00A44E42"/>
    <w:rsid w:val="00A44E45"/>
    <w:rsid w:val="00A44E7E"/>
    <w:rsid w:val="00A44E81"/>
    <w:rsid w:val="00A44E8C"/>
    <w:rsid w:val="00A44EA0"/>
    <w:rsid w:val="00A44F6C"/>
    <w:rsid w:val="00A44F93"/>
    <w:rsid w:val="00A44F9C"/>
    <w:rsid w:val="00A44FA1"/>
    <w:rsid w:val="00A44FAA"/>
    <w:rsid w:val="00A4500E"/>
    <w:rsid w:val="00A45040"/>
    <w:rsid w:val="00A450A1"/>
    <w:rsid w:val="00A450DE"/>
    <w:rsid w:val="00A450E4"/>
    <w:rsid w:val="00A450F9"/>
    <w:rsid w:val="00A45149"/>
    <w:rsid w:val="00A451AB"/>
    <w:rsid w:val="00A451E6"/>
    <w:rsid w:val="00A451F9"/>
    <w:rsid w:val="00A45200"/>
    <w:rsid w:val="00A4521D"/>
    <w:rsid w:val="00A45225"/>
    <w:rsid w:val="00A45231"/>
    <w:rsid w:val="00A452DE"/>
    <w:rsid w:val="00A452E8"/>
    <w:rsid w:val="00A452F5"/>
    <w:rsid w:val="00A4531C"/>
    <w:rsid w:val="00A45350"/>
    <w:rsid w:val="00A453A9"/>
    <w:rsid w:val="00A453B3"/>
    <w:rsid w:val="00A4544E"/>
    <w:rsid w:val="00A45451"/>
    <w:rsid w:val="00A45461"/>
    <w:rsid w:val="00A4546B"/>
    <w:rsid w:val="00A4546C"/>
    <w:rsid w:val="00A45471"/>
    <w:rsid w:val="00A454BF"/>
    <w:rsid w:val="00A454C1"/>
    <w:rsid w:val="00A454C4"/>
    <w:rsid w:val="00A454E0"/>
    <w:rsid w:val="00A4550C"/>
    <w:rsid w:val="00A4553B"/>
    <w:rsid w:val="00A4553E"/>
    <w:rsid w:val="00A45541"/>
    <w:rsid w:val="00A4554F"/>
    <w:rsid w:val="00A45565"/>
    <w:rsid w:val="00A45568"/>
    <w:rsid w:val="00A4556A"/>
    <w:rsid w:val="00A45578"/>
    <w:rsid w:val="00A4557F"/>
    <w:rsid w:val="00A455A0"/>
    <w:rsid w:val="00A455BA"/>
    <w:rsid w:val="00A455DF"/>
    <w:rsid w:val="00A45613"/>
    <w:rsid w:val="00A45615"/>
    <w:rsid w:val="00A4563E"/>
    <w:rsid w:val="00A4567E"/>
    <w:rsid w:val="00A4568D"/>
    <w:rsid w:val="00A456B3"/>
    <w:rsid w:val="00A456F5"/>
    <w:rsid w:val="00A45767"/>
    <w:rsid w:val="00A4579D"/>
    <w:rsid w:val="00A457BD"/>
    <w:rsid w:val="00A457BF"/>
    <w:rsid w:val="00A457CF"/>
    <w:rsid w:val="00A457F4"/>
    <w:rsid w:val="00A457FB"/>
    <w:rsid w:val="00A45808"/>
    <w:rsid w:val="00A45819"/>
    <w:rsid w:val="00A458C1"/>
    <w:rsid w:val="00A458D0"/>
    <w:rsid w:val="00A458D9"/>
    <w:rsid w:val="00A458DD"/>
    <w:rsid w:val="00A458F4"/>
    <w:rsid w:val="00A45915"/>
    <w:rsid w:val="00A45949"/>
    <w:rsid w:val="00A45977"/>
    <w:rsid w:val="00A45990"/>
    <w:rsid w:val="00A459ED"/>
    <w:rsid w:val="00A459F4"/>
    <w:rsid w:val="00A459F9"/>
    <w:rsid w:val="00A45A3F"/>
    <w:rsid w:val="00A45A4E"/>
    <w:rsid w:val="00A45A6B"/>
    <w:rsid w:val="00A45A6C"/>
    <w:rsid w:val="00A45ADD"/>
    <w:rsid w:val="00A45B4B"/>
    <w:rsid w:val="00A45B73"/>
    <w:rsid w:val="00A45B7C"/>
    <w:rsid w:val="00A45B94"/>
    <w:rsid w:val="00A45B99"/>
    <w:rsid w:val="00A45BB2"/>
    <w:rsid w:val="00A45BBE"/>
    <w:rsid w:val="00A45BDA"/>
    <w:rsid w:val="00A45C36"/>
    <w:rsid w:val="00A45C38"/>
    <w:rsid w:val="00A45C7C"/>
    <w:rsid w:val="00A45C93"/>
    <w:rsid w:val="00A45CB2"/>
    <w:rsid w:val="00A45CEB"/>
    <w:rsid w:val="00A45CF3"/>
    <w:rsid w:val="00A45D0A"/>
    <w:rsid w:val="00A45D36"/>
    <w:rsid w:val="00A45D5B"/>
    <w:rsid w:val="00A45D6A"/>
    <w:rsid w:val="00A45DE5"/>
    <w:rsid w:val="00A45E2F"/>
    <w:rsid w:val="00A45E5C"/>
    <w:rsid w:val="00A45ED0"/>
    <w:rsid w:val="00A45EF4"/>
    <w:rsid w:val="00A45F97"/>
    <w:rsid w:val="00A45FA3"/>
    <w:rsid w:val="00A45FC4"/>
    <w:rsid w:val="00A45FC6"/>
    <w:rsid w:val="00A46038"/>
    <w:rsid w:val="00A460D9"/>
    <w:rsid w:val="00A460DF"/>
    <w:rsid w:val="00A4612C"/>
    <w:rsid w:val="00A46150"/>
    <w:rsid w:val="00A46153"/>
    <w:rsid w:val="00A4615F"/>
    <w:rsid w:val="00A46168"/>
    <w:rsid w:val="00A46174"/>
    <w:rsid w:val="00A461A6"/>
    <w:rsid w:val="00A4622B"/>
    <w:rsid w:val="00A4622C"/>
    <w:rsid w:val="00A4629A"/>
    <w:rsid w:val="00A462E9"/>
    <w:rsid w:val="00A463CB"/>
    <w:rsid w:val="00A463CC"/>
    <w:rsid w:val="00A463DC"/>
    <w:rsid w:val="00A46410"/>
    <w:rsid w:val="00A46461"/>
    <w:rsid w:val="00A46464"/>
    <w:rsid w:val="00A464F8"/>
    <w:rsid w:val="00A464FF"/>
    <w:rsid w:val="00A4654C"/>
    <w:rsid w:val="00A4655C"/>
    <w:rsid w:val="00A465B1"/>
    <w:rsid w:val="00A465B2"/>
    <w:rsid w:val="00A46641"/>
    <w:rsid w:val="00A4664A"/>
    <w:rsid w:val="00A46655"/>
    <w:rsid w:val="00A4665F"/>
    <w:rsid w:val="00A4666F"/>
    <w:rsid w:val="00A46677"/>
    <w:rsid w:val="00A466B6"/>
    <w:rsid w:val="00A466C0"/>
    <w:rsid w:val="00A466FD"/>
    <w:rsid w:val="00A4675F"/>
    <w:rsid w:val="00A46766"/>
    <w:rsid w:val="00A467BC"/>
    <w:rsid w:val="00A467F5"/>
    <w:rsid w:val="00A4682A"/>
    <w:rsid w:val="00A46836"/>
    <w:rsid w:val="00A46867"/>
    <w:rsid w:val="00A468ED"/>
    <w:rsid w:val="00A46924"/>
    <w:rsid w:val="00A46931"/>
    <w:rsid w:val="00A4696B"/>
    <w:rsid w:val="00A46980"/>
    <w:rsid w:val="00A469F8"/>
    <w:rsid w:val="00A46A08"/>
    <w:rsid w:val="00A46A09"/>
    <w:rsid w:val="00A46A49"/>
    <w:rsid w:val="00A46A7A"/>
    <w:rsid w:val="00A46A96"/>
    <w:rsid w:val="00A46AA7"/>
    <w:rsid w:val="00A46AE6"/>
    <w:rsid w:val="00A46AF7"/>
    <w:rsid w:val="00A46BA3"/>
    <w:rsid w:val="00A46BA4"/>
    <w:rsid w:val="00A46BDB"/>
    <w:rsid w:val="00A46C01"/>
    <w:rsid w:val="00A46C1E"/>
    <w:rsid w:val="00A46C3E"/>
    <w:rsid w:val="00A46C47"/>
    <w:rsid w:val="00A46C5E"/>
    <w:rsid w:val="00A46C6A"/>
    <w:rsid w:val="00A46C80"/>
    <w:rsid w:val="00A46C98"/>
    <w:rsid w:val="00A46D28"/>
    <w:rsid w:val="00A46D33"/>
    <w:rsid w:val="00A46D6A"/>
    <w:rsid w:val="00A46D95"/>
    <w:rsid w:val="00A46E13"/>
    <w:rsid w:val="00A46E18"/>
    <w:rsid w:val="00A46E45"/>
    <w:rsid w:val="00A46E66"/>
    <w:rsid w:val="00A46E6B"/>
    <w:rsid w:val="00A46E81"/>
    <w:rsid w:val="00A46E99"/>
    <w:rsid w:val="00A46ED0"/>
    <w:rsid w:val="00A46ED3"/>
    <w:rsid w:val="00A46EEC"/>
    <w:rsid w:val="00A46F23"/>
    <w:rsid w:val="00A46F26"/>
    <w:rsid w:val="00A46F76"/>
    <w:rsid w:val="00A47006"/>
    <w:rsid w:val="00A47009"/>
    <w:rsid w:val="00A47045"/>
    <w:rsid w:val="00A4706B"/>
    <w:rsid w:val="00A47082"/>
    <w:rsid w:val="00A470CD"/>
    <w:rsid w:val="00A470FD"/>
    <w:rsid w:val="00A4710A"/>
    <w:rsid w:val="00A47169"/>
    <w:rsid w:val="00A4716F"/>
    <w:rsid w:val="00A47198"/>
    <w:rsid w:val="00A471B7"/>
    <w:rsid w:val="00A471CE"/>
    <w:rsid w:val="00A471E9"/>
    <w:rsid w:val="00A47204"/>
    <w:rsid w:val="00A47215"/>
    <w:rsid w:val="00A4723E"/>
    <w:rsid w:val="00A4724D"/>
    <w:rsid w:val="00A47276"/>
    <w:rsid w:val="00A4728C"/>
    <w:rsid w:val="00A47309"/>
    <w:rsid w:val="00A47320"/>
    <w:rsid w:val="00A4733F"/>
    <w:rsid w:val="00A47354"/>
    <w:rsid w:val="00A47379"/>
    <w:rsid w:val="00A473AA"/>
    <w:rsid w:val="00A47423"/>
    <w:rsid w:val="00A4748D"/>
    <w:rsid w:val="00A4749F"/>
    <w:rsid w:val="00A474E3"/>
    <w:rsid w:val="00A474EE"/>
    <w:rsid w:val="00A474FB"/>
    <w:rsid w:val="00A4752D"/>
    <w:rsid w:val="00A4753E"/>
    <w:rsid w:val="00A475B2"/>
    <w:rsid w:val="00A475D6"/>
    <w:rsid w:val="00A47600"/>
    <w:rsid w:val="00A47607"/>
    <w:rsid w:val="00A47630"/>
    <w:rsid w:val="00A47650"/>
    <w:rsid w:val="00A476DB"/>
    <w:rsid w:val="00A47772"/>
    <w:rsid w:val="00A4778D"/>
    <w:rsid w:val="00A47799"/>
    <w:rsid w:val="00A477E0"/>
    <w:rsid w:val="00A477E8"/>
    <w:rsid w:val="00A4781F"/>
    <w:rsid w:val="00A478C6"/>
    <w:rsid w:val="00A478E0"/>
    <w:rsid w:val="00A478F0"/>
    <w:rsid w:val="00A478F1"/>
    <w:rsid w:val="00A4791C"/>
    <w:rsid w:val="00A47924"/>
    <w:rsid w:val="00A4793E"/>
    <w:rsid w:val="00A4796B"/>
    <w:rsid w:val="00A4796F"/>
    <w:rsid w:val="00A47996"/>
    <w:rsid w:val="00A479E3"/>
    <w:rsid w:val="00A479F6"/>
    <w:rsid w:val="00A47A10"/>
    <w:rsid w:val="00A47A40"/>
    <w:rsid w:val="00A47A54"/>
    <w:rsid w:val="00A47A74"/>
    <w:rsid w:val="00A47A8C"/>
    <w:rsid w:val="00A47AD6"/>
    <w:rsid w:val="00A47B66"/>
    <w:rsid w:val="00A47B6B"/>
    <w:rsid w:val="00A47B81"/>
    <w:rsid w:val="00A47B9F"/>
    <w:rsid w:val="00A47C02"/>
    <w:rsid w:val="00A47C27"/>
    <w:rsid w:val="00A47C4C"/>
    <w:rsid w:val="00A47C9F"/>
    <w:rsid w:val="00A47CB9"/>
    <w:rsid w:val="00A47CCF"/>
    <w:rsid w:val="00A47CF1"/>
    <w:rsid w:val="00A47D23"/>
    <w:rsid w:val="00A47D4A"/>
    <w:rsid w:val="00A47D52"/>
    <w:rsid w:val="00A47DBA"/>
    <w:rsid w:val="00A47DC4"/>
    <w:rsid w:val="00A47DCC"/>
    <w:rsid w:val="00A47E0B"/>
    <w:rsid w:val="00A47E32"/>
    <w:rsid w:val="00A47E48"/>
    <w:rsid w:val="00A47E74"/>
    <w:rsid w:val="00A47E91"/>
    <w:rsid w:val="00A47E97"/>
    <w:rsid w:val="00A47EB3"/>
    <w:rsid w:val="00A47F01"/>
    <w:rsid w:val="00A47F13"/>
    <w:rsid w:val="00A47F36"/>
    <w:rsid w:val="00A47F64"/>
    <w:rsid w:val="00A47FD8"/>
    <w:rsid w:val="00A5001A"/>
    <w:rsid w:val="00A50033"/>
    <w:rsid w:val="00A5011C"/>
    <w:rsid w:val="00A50133"/>
    <w:rsid w:val="00A501A2"/>
    <w:rsid w:val="00A501CD"/>
    <w:rsid w:val="00A501EF"/>
    <w:rsid w:val="00A50217"/>
    <w:rsid w:val="00A50231"/>
    <w:rsid w:val="00A50267"/>
    <w:rsid w:val="00A50274"/>
    <w:rsid w:val="00A5027F"/>
    <w:rsid w:val="00A502D2"/>
    <w:rsid w:val="00A50343"/>
    <w:rsid w:val="00A5037F"/>
    <w:rsid w:val="00A503EF"/>
    <w:rsid w:val="00A503F6"/>
    <w:rsid w:val="00A50404"/>
    <w:rsid w:val="00A50411"/>
    <w:rsid w:val="00A5041A"/>
    <w:rsid w:val="00A5041C"/>
    <w:rsid w:val="00A5046E"/>
    <w:rsid w:val="00A50474"/>
    <w:rsid w:val="00A5048A"/>
    <w:rsid w:val="00A5048E"/>
    <w:rsid w:val="00A50496"/>
    <w:rsid w:val="00A5050C"/>
    <w:rsid w:val="00A5054A"/>
    <w:rsid w:val="00A505CB"/>
    <w:rsid w:val="00A505F7"/>
    <w:rsid w:val="00A50613"/>
    <w:rsid w:val="00A5063D"/>
    <w:rsid w:val="00A5069F"/>
    <w:rsid w:val="00A5072B"/>
    <w:rsid w:val="00A50739"/>
    <w:rsid w:val="00A5077B"/>
    <w:rsid w:val="00A507BB"/>
    <w:rsid w:val="00A507E7"/>
    <w:rsid w:val="00A507F4"/>
    <w:rsid w:val="00A507F8"/>
    <w:rsid w:val="00A507F9"/>
    <w:rsid w:val="00A50811"/>
    <w:rsid w:val="00A50889"/>
    <w:rsid w:val="00A508B0"/>
    <w:rsid w:val="00A508DD"/>
    <w:rsid w:val="00A508E4"/>
    <w:rsid w:val="00A508EB"/>
    <w:rsid w:val="00A508F3"/>
    <w:rsid w:val="00A5091D"/>
    <w:rsid w:val="00A5095E"/>
    <w:rsid w:val="00A509AC"/>
    <w:rsid w:val="00A509BC"/>
    <w:rsid w:val="00A509DE"/>
    <w:rsid w:val="00A50A0F"/>
    <w:rsid w:val="00A50A11"/>
    <w:rsid w:val="00A50A17"/>
    <w:rsid w:val="00A50A29"/>
    <w:rsid w:val="00A50A2A"/>
    <w:rsid w:val="00A50A2D"/>
    <w:rsid w:val="00A50A48"/>
    <w:rsid w:val="00A50A4D"/>
    <w:rsid w:val="00A50A58"/>
    <w:rsid w:val="00A50A88"/>
    <w:rsid w:val="00A50ACC"/>
    <w:rsid w:val="00A50AD9"/>
    <w:rsid w:val="00A50ADC"/>
    <w:rsid w:val="00A50AF6"/>
    <w:rsid w:val="00A50B16"/>
    <w:rsid w:val="00A50B20"/>
    <w:rsid w:val="00A50B5B"/>
    <w:rsid w:val="00A50B71"/>
    <w:rsid w:val="00A50C00"/>
    <w:rsid w:val="00A50C04"/>
    <w:rsid w:val="00A50C3C"/>
    <w:rsid w:val="00A50C8A"/>
    <w:rsid w:val="00A50CBA"/>
    <w:rsid w:val="00A50D10"/>
    <w:rsid w:val="00A50D12"/>
    <w:rsid w:val="00A50D2B"/>
    <w:rsid w:val="00A50D83"/>
    <w:rsid w:val="00A50DE3"/>
    <w:rsid w:val="00A50DF3"/>
    <w:rsid w:val="00A50E24"/>
    <w:rsid w:val="00A50E47"/>
    <w:rsid w:val="00A50E5C"/>
    <w:rsid w:val="00A50E62"/>
    <w:rsid w:val="00A50F16"/>
    <w:rsid w:val="00A50F29"/>
    <w:rsid w:val="00A50F2F"/>
    <w:rsid w:val="00A50F3D"/>
    <w:rsid w:val="00A50F70"/>
    <w:rsid w:val="00A50F7C"/>
    <w:rsid w:val="00A50F9E"/>
    <w:rsid w:val="00A51018"/>
    <w:rsid w:val="00A51072"/>
    <w:rsid w:val="00A51076"/>
    <w:rsid w:val="00A5110E"/>
    <w:rsid w:val="00A51145"/>
    <w:rsid w:val="00A51151"/>
    <w:rsid w:val="00A51190"/>
    <w:rsid w:val="00A511D2"/>
    <w:rsid w:val="00A5124A"/>
    <w:rsid w:val="00A51253"/>
    <w:rsid w:val="00A51257"/>
    <w:rsid w:val="00A512AE"/>
    <w:rsid w:val="00A5132E"/>
    <w:rsid w:val="00A5134C"/>
    <w:rsid w:val="00A51394"/>
    <w:rsid w:val="00A51413"/>
    <w:rsid w:val="00A5144B"/>
    <w:rsid w:val="00A51494"/>
    <w:rsid w:val="00A514BF"/>
    <w:rsid w:val="00A514D4"/>
    <w:rsid w:val="00A514E9"/>
    <w:rsid w:val="00A514F9"/>
    <w:rsid w:val="00A51525"/>
    <w:rsid w:val="00A5154E"/>
    <w:rsid w:val="00A51571"/>
    <w:rsid w:val="00A515A5"/>
    <w:rsid w:val="00A515D4"/>
    <w:rsid w:val="00A515E4"/>
    <w:rsid w:val="00A51608"/>
    <w:rsid w:val="00A51626"/>
    <w:rsid w:val="00A5169B"/>
    <w:rsid w:val="00A516A1"/>
    <w:rsid w:val="00A516B9"/>
    <w:rsid w:val="00A516D5"/>
    <w:rsid w:val="00A51709"/>
    <w:rsid w:val="00A51716"/>
    <w:rsid w:val="00A5171D"/>
    <w:rsid w:val="00A5171F"/>
    <w:rsid w:val="00A51761"/>
    <w:rsid w:val="00A51771"/>
    <w:rsid w:val="00A517B9"/>
    <w:rsid w:val="00A51811"/>
    <w:rsid w:val="00A5182F"/>
    <w:rsid w:val="00A5184B"/>
    <w:rsid w:val="00A518A3"/>
    <w:rsid w:val="00A51911"/>
    <w:rsid w:val="00A5195C"/>
    <w:rsid w:val="00A51961"/>
    <w:rsid w:val="00A51977"/>
    <w:rsid w:val="00A519B4"/>
    <w:rsid w:val="00A519B8"/>
    <w:rsid w:val="00A519C1"/>
    <w:rsid w:val="00A519C6"/>
    <w:rsid w:val="00A519E0"/>
    <w:rsid w:val="00A519EB"/>
    <w:rsid w:val="00A519FA"/>
    <w:rsid w:val="00A51A02"/>
    <w:rsid w:val="00A51A42"/>
    <w:rsid w:val="00A51A76"/>
    <w:rsid w:val="00A51AA5"/>
    <w:rsid w:val="00A51AC0"/>
    <w:rsid w:val="00A51AE5"/>
    <w:rsid w:val="00A51B1F"/>
    <w:rsid w:val="00A51B32"/>
    <w:rsid w:val="00A51B45"/>
    <w:rsid w:val="00A51BAD"/>
    <w:rsid w:val="00A51BED"/>
    <w:rsid w:val="00A51BF3"/>
    <w:rsid w:val="00A51C4D"/>
    <w:rsid w:val="00A51C71"/>
    <w:rsid w:val="00A51C84"/>
    <w:rsid w:val="00A51CA9"/>
    <w:rsid w:val="00A51CC8"/>
    <w:rsid w:val="00A51CD3"/>
    <w:rsid w:val="00A51CE0"/>
    <w:rsid w:val="00A51CE7"/>
    <w:rsid w:val="00A51CF0"/>
    <w:rsid w:val="00A51D0F"/>
    <w:rsid w:val="00A51D21"/>
    <w:rsid w:val="00A51D31"/>
    <w:rsid w:val="00A51D4E"/>
    <w:rsid w:val="00A51D74"/>
    <w:rsid w:val="00A51D7D"/>
    <w:rsid w:val="00A51DBF"/>
    <w:rsid w:val="00A51DD5"/>
    <w:rsid w:val="00A51E17"/>
    <w:rsid w:val="00A51E18"/>
    <w:rsid w:val="00A51EB5"/>
    <w:rsid w:val="00A51EB7"/>
    <w:rsid w:val="00A51EC5"/>
    <w:rsid w:val="00A51EC9"/>
    <w:rsid w:val="00A51F07"/>
    <w:rsid w:val="00A51F1E"/>
    <w:rsid w:val="00A51F29"/>
    <w:rsid w:val="00A51F41"/>
    <w:rsid w:val="00A51F77"/>
    <w:rsid w:val="00A51FE0"/>
    <w:rsid w:val="00A52000"/>
    <w:rsid w:val="00A5201C"/>
    <w:rsid w:val="00A52096"/>
    <w:rsid w:val="00A520F9"/>
    <w:rsid w:val="00A5213A"/>
    <w:rsid w:val="00A52164"/>
    <w:rsid w:val="00A52179"/>
    <w:rsid w:val="00A5218D"/>
    <w:rsid w:val="00A521B3"/>
    <w:rsid w:val="00A5221F"/>
    <w:rsid w:val="00A5223B"/>
    <w:rsid w:val="00A52248"/>
    <w:rsid w:val="00A52250"/>
    <w:rsid w:val="00A522A1"/>
    <w:rsid w:val="00A522B4"/>
    <w:rsid w:val="00A522D9"/>
    <w:rsid w:val="00A522E1"/>
    <w:rsid w:val="00A52316"/>
    <w:rsid w:val="00A52321"/>
    <w:rsid w:val="00A52322"/>
    <w:rsid w:val="00A5232F"/>
    <w:rsid w:val="00A523A6"/>
    <w:rsid w:val="00A523C1"/>
    <w:rsid w:val="00A523CD"/>
    <w:rsid w:val="00A52494"/>
    <w:rsid w:val="00A524C3"/>
    <w:rsid w:val="00A524D4"/>
    <w:rsid w:val="00A52509"/>
    <w:rsid w:val="00A52516"/>
    <w:rsid w:val="00A52518"/>
    <w:rsid w:val="00A52532"/>
    <w:rsid w:val="00A52541"/>
    <w:rsid w:val="00A52558"/>
    <w:rsid w:val="00A5255F"/>
    <w:rsid w:val="00A5257C"/>
    <w:rsid w:val="00A52599"/>
    <w:rsid w:val="00A5259E"/>
    <w:rsid w:val="00A525AC"/>
    <w:rsid w:val="00A525FD"/>
    <w:rsid w:val="00A52605"/>
    <w:rsid w:val="00A52627"/>
    <w:rsid w:val="00A52667"/>
    <w:rsid w:val="00A526B4"/>
    <w:rsid w:val="00A526FF"/>
    <w:rsid w:val="00A52719"/>
    <w:rsid w:val="00A5271B"/>
    <w:rsid w:val="00A52776"/>
    <w:rsid w:val="00A52792"/>
    <w:rsid w:val="00A527CF"/>
    <w:rsid w:val="00A527DF"/>
    <w:rsid w:val="00A527FA"/>
    <w:rsid w:val="00A5280E"/>
    <w:rsid w:val="00A5284A"/>
    <w:rsid w:val="00A528A2"/>
    <w:rsid w:val="00A528D7"/>
    <w:rsid w:val="00A52923"/>
    <w:rsid w:val="00A5296B"/>
    <w:rsid w:val="00A529A7"/>
    <w:rsid w:val="00A529E4"/>
    <w:rsid w:val="00A529E6"/>
    <w:rsid w:val="00A529F4"/>
    <w:rsid w:val="00A52A32"/>
    <w:rsid w:val="00A52A3D"/>
    <w:rsid w:val="00A52A4D"/>
    <w:rsid w:val="00A52A56"/>
    <w:rsid w:val="00A52A6F"/>
    <w:rsid w:val="00A52A98"/>
    <w:rsid w:val="00A52AC6"/>
    <w:rsid w:val="00A52ADC"/>
    <w:rsid w:val="00A52AE7"/>
    <w:rsid w:val="00A52B1A"/>
    <w:rsid w:val="00A52B2A"/>
    <w:rsid w:val="00A52B3D"/>
    <w:rsid w:val="00A52B94"/>
    <w:rsid w:val="00A52BAE"/>
    <w:rsid w:val="00A52BBA"/>
    <w:rsid w:val="00A52BBC"/>
    <w:rsid w:val="00A52BD9"/>
    <w:rsid w:val="00A52BF1"/>
    <w:rsid w:val="00A52C49"/>
    <w:rsid w:val="00A52C5C"/>
    <w:rsid w:val="00A52C66"/>
    <w:rsid w:val="00A52D1A"/>
    <w:rsid w:val="00A52D29"/>
    <w:rsid w:val="00A52D42"/>
    <w:rsid w:val="00A52D5B"/>
    <w:rsid w:val="00A52D61"/>
    <w:rsid w:val="00A52DCB"/>
    <w:rsid w:val="00A52E14"/>
    <w:rsid w:val="00A52E18"/>
    <w:rsid w:val="00A52E19"/>
    <w:rsid w:val="00A52E5A"/>
    <w:rsid w:val="00A52E68"/>
    <w:rsid w:val="00A52E69"/>
    <w:rsid w:val="00A52E8A"/>
    <w:rsid w:val="00A52EB3"/>
    <w:rsid w:val="00A52ECC"/>
    <w:rsid w:val="00A52F16"/>
    <w:rsid w:val="00A52F5D"/>
    <w:rsid w:val="00A52F6D"/>
    <w:rsid w:val="00A52F85"/>
    <w:rsid w:val="00A52FF8"/>
    <w:rsid w:val="00A53001"/>
    <w:rsid w:val="00A5300A"/>
    <w:rsid w:val="00A5304A"/>
    <w:rsid w:val="00A5306C"/>
    <w:rsid w:val="00A53086"/>
    <w:rsid w:val="00A53094"/>
    <w:rsid w:val="00A530E4"/>
    <w:rsid w:val="00A53121"/>
    <w:rsid w:val="00A53124"/>
    <w:rsid w:val="00A53196"/>
    <w:rsid w:val="00A531A9"/>
    <w:rsid w:val="00A531C4"/>
    <w:rsid w:val="00A531E8"/>
    <w:rsid w:val="00A53275"/>
    <w:rsid w:val="00A532A9"/>
    <w:rsid w:val="00A532C6"/>
    <w:rsid w:val="00A532F4"/>
    <w:rsid w:val="00A53331"/>
    <w:rsid w:val="00A5333E"/>
    <w:rsid w:val="00A53343"/>
    <w:rsid w:val="00A533B7"/>
    <w:rsid w:val="00A5341F"/>
    <w:rsid w:val="00A53423"/>
    <w:rsid w:val="00A5342E"/>
    <w:rsid w:val="00A5343D"/>
    <w:rsid w:val="00A53461"/>
    <w:rsid w:val="00A53465"/>
    <w:rsid w:val="00A5347B"/>
    <w:rsid w:val="00A5349C"/>
    <w:rsid w:val="00A534B3"/>
    <w:rsid w:val="00A534BF"/>
    <w:rsid w:val="00A534C5"/>
    <w:rsid w:val="00A534FE"/>
    <w:rsid w:val="00A53502"/>
    <w:rsid w:val="00A53520"/>
    <w:rsid w:val="00A53577"/>
    <w:rsid w:val="00A5357C"/>
    <w:rsid w:val="00A53582"/>
    <w:rsid w:val="00A53583"/>
    <w:rsid w:val="00A535AC"/>
    <w:rsid w:val="00A535B9"/>
    <w:rsid w:val="00A535C2"/>
    <w:rsid w:val="00A535DD"/>
    <w:rsid w:val="00A53615"/>
    <w:rsid w:val="00A53617"/>
    <w:rsid w:val="00A5361E"/>
    <w:rsid w:val="00A53621"/>
    <w:rsid w:val="00A53686"/>
    <w:rsid w:val="00A536A9"/>
    <w:rsid w:val="00A536D9"/>
    <w:rsid w:val="00A53755"/>
    <w:rsid w:val="00A5376F"/>
    <w:rsid w:val="00A5377F"/>
    <w:rsid w:val="00A53785"/>
    <w:rsid w:val="00A5385F"/>
    <w:rsid w:val="00A53895"/>
    <w:rsid w:val="00A538B6"/>
    <w:rsid w:val="00A538CA"/>
    <w:rsid w:val="00A538D5"/>
    <w:rsid w:val="00A53963"/>
    <w:rsid w:val="00A53971"/>
    <w:rsid w:val="00A53987"/>
    <w:rsid w:val="00A5398D"/>
    <w:rsid w:val="00A539A0"/>
    <w:rsid w:val="00A539E4"/>
    <w:rsid w:val="00A53A82"/>
    <w:rsid w:val="00A53A99"/>
    <w:rsid w:val="00A53AC3"/>
    <w:rsid w:val="00A53AD2"/>
    <w:rsid w:val="00A53AD5"/>
    <w:rsid w:val="00A53AE0"/>
    <w:rsid w:val="00A53AFB"/>
    <w:rsid w:val="00A53B06"/>
    <w:rsid w:val="00A53B49"/>
    <w:rsid w:val="00A53B7C"/>
    <w:rsid w:val="00A53B82"/>
    <w:rsid w:val="00A53BB6"/>
    <w:rsid w:val="00A53BCD"/>
    <w:rsid w:val="00A53BE4"/>
    <w:rsid w:val="00A53BFD"/>
    <w:rsid w:val="00A53BFE"/>
    <w:rsid w:val="00A53C06"/>
    <w:rsid w:val="00A53C0C"/>
    <w:rsid w:val="00A53C59"/>
    <w:rsid w:val="00A53C68"/>
    <w:rsid w:val="00A53C69"/>
    <w:rsid w:val="00A53C82"/>
    <w:rsid w:val="00A53C8C"/>
    <w:rsid w:val="00A53CDF"/>
    <w:rsid w:val="00A53D0E"/>
    <w:rsid w:val="00A53D27"/>
    <w:rsid w:val="00A53DC6"/>
    <w:rsid w:val="00A53DF3"/>
    <w:rsid w:val="00A53E03"/>
    <w:rsid w:val="00A53EAC"/>
    <w:rsid w:val="00A53EAE"/>
    <w:rsid w:val="00A53ED9"/>
    <w:rsid w:val="00A53F24"/>
    <w:rsid w:val="00A53F3C"/>
    <w:rsid w:val="00A53F3F"/>
    <w:rsid w:val="00A53F47"/>
    <w:rsid w:val="00A53F4E"/>
    <w:rsid w:val="00A53F8A"/>
    <w:rsid w:val="00A53FC2"/>
    <w:rsid w:val="00A53FC5"/>
    <w:rsid w:val="00A53FED"/>
    <w:rsid w:val="00A54085"/>
    <w:rsid w:val="00A5408C"/>
    <w:rsid w:val="00A54097"/>
    <w:rsid w:val="00A540CC"/>
    <w:rsid w:val="00A54118"/>
    <w:rsid w:val="00A5411C"/>
    <w:rsid w:val="00A5414A"/>
    <w:rsid w:val="00A54179"/>
    <w:rsid w:val="00A541D3"/>
    <w:rsid w:val="00A5424A"/>
    <w:rsid w:val="00A5425D"/>
    <w:rsid w:val="00A54261"/>
    <w:rsid w:val="00A5427E"/>
    <w:rsid w:val="00A5429E"/>
    <w:rsid w:val="00A542DF"/>
    <w:rsid w:val="00A54320"/>
    <w:rsid w:val="00A5433F"/>
    <w:rsid w:val="00A54373"/>
    <w:rsid w:val="00A543C1"/>
    <w:rsid w:val="00A543C9"/>
    <w:rsid w:val="00A54412"/>
    <w:rsid w:val="00A54493"/>
    <w:rsid w:val="00A544DC"/>
    <w:rsid w:val="00A54507"/>
    <w:rsid w:val="00A5451C"/>
    <w:rsid w:val="00A5453E"/>
    <w:rsid w:val="00A54587"/>
    <w:rsid w:val="00A545B4"/>
    <w:rsid w:val="00A545C0"/>
    <w:rsid w:val="00A545D8"/>
    <w:rsid w:val="00A5463D"/>
    <w:rsid w:val="00A54661"/>
    <w:rsid w:val="00A5468F"/>
    <w:rsid w:val="00A54693"/>
    <w:rsid w:val="00A546B0"/>
    <w:rsid w:val="00A5470A"/>
    <w:rsid w:val="00A5471A"/>
    <w:rsid w:val="00A5475E"/>
    <w:rsid w:val="00A54778"/>
    <w:rsid w:val="00A5477F"/>
    <w:rsid w:val="00A5478D"/>
    <w:rsid w:val="00A547BC"/>
    <w:rsid w:val="00A548FA"/>
    <w:rsid w:val="00A54903"/>
    <w:rsid w:val="00A54938"/>
    <w:rsid w:val="00A5495E"/>
    <w:rsid w:val="00A54980"/>
    <w:rsid w:val="00A5499D"/>
    <w:rsid w:val="00A549A3"/>
    <w:rsid w:val="00A549AF"/>
    <w:rsid w:val="00A549E4"/>
    <w:rsid w:val="00A54A2E"/>
    <w:rsid w:val="00A54A77"/>
    <w:rsid w:val="00A54B32"/>
    <w:rsid w:val="00A54B35"/>
    <w:rsid w:val="00A54B54"/>
    <w:rsid w:val="00A54B7D"/>
    <w:rsid w:val="00A54B8B"/>
    <w:rsid w:val="00A54BB2"/>
    <w:rsid w:val="00A54BBE"/>
    <w:rsid w:val="00A54BE4"/>
    <w:rsid w:val="00A54C06"/>
    <w:rsid w:val="00A54C38"/>
    <w:rsid w:val="00A54C44"/>
    <w:rsid w:val="00A54C6B"/>
    <w:rsid w:val="00A54C84"/>
    <w:rsid w:val="00A54C91"/>
    <w:rsid w:val="00A54CF1"/>
    <w:rsid w:val="00A54D1D"/>
    <w:rsid w:val="00A54D45"/>
    <w:rsid w:val="00A54D72"/>
    <w:rsid w:val="00A54D7E"/>
    <w:rsid w:val="00A54D9E"/>
    <w:rsid w:val="00A54DA7"/>
    <w:rsid w:val="00A54DE9"/>
    <w:rsid w:val="00A54E2E"/>
    <w:rsid w:val="00A54E43"/>
    <w:rsid w:val="00A54EBD"/>
    <w:rsid w:val="00A54EF2"/>
    <w:rsid w:val="00A54F18"/>
    <w:rsid w:val="00A54F20"/>
    <w:rsid w:val="00A54F3E"/>
    <w:rsid w:val="00A54F58"/>
    <w:rsid w:val="00A54F80"/>
    <w:rsid w:val="00A54F9A"/>
    <w:rsid w:val="00A54FA0"/>
    <w:rsid w:val="00A5504C"/>
    <w:rsid w:val="00A55059"/>
    <w:rsid w:val="00A5505A"/>
    <w:rsid w:val="00A550AA"/>
    <w:rsid w:val="00A55101"/>
    <w:rsid w:val="00A5512E"/>
    <w:rsid w:val="00A5513B"/>
    <w:rsid w:val="00A5519A"/>
    <w:rsid w:val="00A551E7"/>
    <w:rsid w:val="00A55203"/>
    <w:rsid w:val="00A55239"/>
    <w:rsid w:val="00A5523B"/>
    <w:rsid w:val="00A55257"/>
    <w:rsid w:val="00A552AE"/>
    <w:rsid w:val="00A55349"/>
    <w:rsid w:val="00A55366"/>
    <w:rsid w:val="00A55396"/>
    <w:rsid w:val="00A55403"/>
    <w:rsid w:val="00A55406"/>
    <w:rsid w:val="00A55414"/>
    <w:rsid w:val="00A55460"/>
    <w:rsid w:val="00A554CB"/>
    <w:rsid w:val="00A55508"/>
    <w:rsid w:val="00A55515"/>
    <w:rsid w:val="00A55524"/>
    <w:rsid w:val="00A55536"/>
    <w:rsid w:val="00A55544"/>
    <w:rsid w:val="00A55576"/>
    <w:rsid w:val="00A5558C"/>
    <w:rsid w:val="00A55618"/>
    <w:rsid w:val="00A55697"/>
    <w:rsid w:val="00A556E1"/>
    <w:rsid w:val="00A5571D"/>
    <w:rsid w:val="00A55723"/>
    <w:rsid w:val="00A55799"/>
    <w:rsid w:val="00A557A6"/>
    <w:rsid w:val="00A557F3"/>
    <w:rsid w:val="00A557FB"/>
    <w:rsid w:val="00A5580B"/>
    <w:rsid w:val="00A5580C"/>
    <w:rsid w:val="00A55898"/>
    <w:rsid w:val="00A558C0"/>
    <w:rsid w:val="00A558C8"/>
    <w:rsid w:val="00A558D6"/>
    <w:rsid w:val="00A55922"/>
    <w:rsid w:val="00A55932"/>
    <w:rsid w:val="00A5593C"/>
    <w:rsid w:val="00A55940"/>
    <w:rsid w:val="00A5595B"/>
    <w:rsid w:val="00A55981"/>
    <w:rsid w:val="00A5599C"/>
    <w:rsid w:val="00A559A8"/>
    <w:rsid w:val="00A559CC"/>
    <w:rsid w:val="00A55A15"/>
    <w:rsid w:val="00A55A1D"/>
    <w:rsid w:val="00A55A4E"/>
    <w:rsid w:val="00A55A61"/>
    <w:rsid w:val="00A55A6E"/>
    <w:rsid w:val="00A55A83"/>
    <w:rsid w:val="00A55AAD"/>
    <w:rsid w:val="00A55ABB"/>
    <w:rsid w:val="00A55AD0"/>
    <w:rsid w:val="00A55B07"/>
    <w:rsid w:val="00A55B61"/>
    <w:rsid w:val="00A55B68"/>
    <w:rsid w:val="00A55B6C"/>
    <w:rsid w:val="00A55BC1"/>
    <w:rsid w:val="00A55BD3"/>
    <w:rsid w:val="00A55BF8"/>
    <w:rsid w:val="00A55C08"/>
    <w:rsid w:val="00A55C09"/>
    <w:rsid w:val="00A55C3B"/>
    <w:rsid w:val="00A55C79"/>
    <w:rsid w:val="00A55C7E"/>
    <w:rsid w:val="00A55CD2"/>
    <w:rsid w:val="00A55CE5"/>
    <w:rsid w:val="00A55D14"/>
    <w:rsid w:val="00A55D2D"/>
    <w:rsid w:val="00A55D44"/>
    <w:rsid w:val="00A55D4B"/>
    <w:rsid w:val="00A55DA2"/>
    <w:rsid w:val="00A55DCB"/>
    <w:rsid w:val="00A55DDC"/>
    <w:rsid w:val="00A55DFC"/>
    <w:rsid w:val="00A55E18"/>
    <w:rsid w:val="00A55E30"/>
    <w:rsid w:val="00A55E42"/>
    <w:rsid w:val="00A55E65"/>
    <w:rsid w:val="00A55ED1"/>
    <w:rsid w:val="00A55EFF"/>
    <w:rsid w:val="00A55F5A"/>
    <w:rsid w:val="00A55F86"/>
    <w:rsid w:val="00A55FB3"/>
    <w:rsid w:val="00A55FE1"/>
    <w:rsid w:val="00A56000"/>
    <w:rsid w:val="00A56022"/>
    <w:rsid w:val="00A56042"/>
    <w:rsid w:val="00A56053"/>
    <w:rsid w:val="00A560B3"/>
    <w:rsid w:val="00A560C8"/>
    <w:rsid w:val="00A560F9"/>
    <w:rsid w:val="00A560FA"/>
    <w:rsid w:val="00A56123"/>
    <w:rsid w:val="00A56131"/>
    <w:rsid w:val="00A56133"/>
    <w:rsid w:val="00A56172"/>
    <w:rsid w:val="00A56184"/>
    <w:rsid w:val="00A561A4"/>
    <w:rsid w:val="00A561DD"/>
    <w:rsid w:val="00A56234"/>
    <w:rsid w:val="00A56246"/>
    <w:rsid w:val="00A562B0"/>
    <w:rsid w:val="00A56380"/>
    <w:rsid w:val="00A563A3"/>
    <w:rsid w:val="00A563BC"/>
    <w:rsid w:val="00A563E8"/>
    <w:rsid w:val="00A56461"/>
    <w:rsid w:val="00A56472"/>
    <w:rsid w:val="00A564D3"/>
    <w:rsid w:val="00A564F0"/>
    <w:rsid w:val="00A5650D"/>
    <w:rsid w:val="00A56519"/>
    <w:rsid w:val="00A565AE"/>
    <w:rsid w:val="00A565D7"/>
    <w:rsid w:val="00A565E3"/>
    <w:rsid w:val="00A56606"/>
    <w:rsid w:val="00A56607"/>
    <w:rsid w:val="00A56613"/>
    <w:rsid w:val="00A56626"/>
    <w:rsid w:val="00A56634"/>
    <w:rsid w:val="00A56654"/>
    <w:rsid w:val="00A56663"/>
    <w:rsid w:val="00A56674"/>
    <w:rsid w:val="00A5668B"/>
    <w:rsid w:val="00A566EF"/>
    <w:rsid w:val="00A56732"/>
    <w:rsid w:val="00A5677C"/>
    <w:rsid w:val="00A56795"/>
    <w:rsid w:val="00A567AD"/>
    <w:rsid w:val="00A567BD"/>
    <w:rsid w:val="00A567CD"/>
    <w:rsid w:val="00A567DC"/>
    <w:rsid w:val="00A5681D"/>
    <w:rsid w:val="00A5682C"/>
    <w:rsid w:val="00A5686C"/>
    <w:rsid w:val="00A568E7"/>
    <w:rsid w:val="00A56908"/>
    <w:rsid w:val="00A56918"/>
    <w:rsid w:val="00A56935"/>
    <w:rsid w:val="00A5695C"/>
    <w:rsid w:val="00A56975"/>
    <w:rsid w:val="00A569A5"/>
    <w:rsid w:val="00A569AF"/>
    <w:rsid w:val="00A569BD"/>
    <w:rsid w:val="00A569CC"/>
    <w:rsid w:val="00A569E1"/>
    <w:rsid w:val="00A56A17"/>
    <w:rsid w:val="00A56A55"/>
    <w:rsid w:val="00A56A5F"/>
    <w:rsid w:val="00A56AD1"/>
    <w:rsid w:val="00A56AE1"/>
    <w:rsid w:val="00A56AEA"/>
    <w:rsid w:val="00A56B11"/>
    <w:rsid w:val="00A56B8B"/>
    <w:rsid w:val="00A56BAE"/>
    <w:rsid w:val="00A56BC4"/>
    <w:rsid w:val="00A56BDE"/>
    <w:rsid w:val="00A56C19"/>
    <w:rsid w:val="00A56C3A"/>
    <w:rsid w:val="00A56CA0"/>
    <w:rsid w:val="00A56CB1"/>
    <w:rsid w:val="00A56CE5"/>
    <w:rsid w:val="00A56D2C"/>
    <w:rsid w:val="00A56D97"/>
    <w:rsid w:val="00A56D99"/>
    <w:rsid w:val="00A56DA0"/>
    <w:rsid w:val="00A56DAA"/>
    <w:rsid w:val="00A56E1F"/>
    <w:rsid w:val="00A56E78"/>
    <w:rsid w:val="00A56EC9"/>
    <w:rsid w:val="00A56EE4"/>
    <w:rsid w:val="00A56EED"/>
    <w:rsid w:val="00A56F32"/>
    <w:rsid w:val="00A56F3D"/>
    <w:rsid w:val="00A56F66"/>
    <w:rsid w:val="00A56F73"/>
    <w:rsid w:val="00A56FBA"/>
    <w:rsid w:val="00A56FD2"/>
    <w:rsid w:val="00A56FD5"/>
    <w:rsid w:val="00A56FFE"/>
    <w:rsid w:val="00A57022"/>
    <w:rsid w:val="00A57034"/>
    <w:rsid w:val="00A57039"/>
    <w:rsid w:val="00A5704A"/>
    <w:rsid w:val="00A57050"/>
    <w:rsid w:val="00A57054"/>
    <w:rsid w:val="00A5705E"/>
    <w:rsid w:val="00A57062"/>
    <w:rsid w:val="00A570BA"/>
    <w:rsid w:val="00A570D2"/>
    <w:rsid w:val="00A570EC"/>
    <w:rsid w:val="00A57115"/>
    <w:rsid w:val="00A57161"/>
    <w:rsid w:val="00A5716B"/>
    <w:rsid w:val="00A5717A"/>
    <w:rsid w:val="00A571CC"/>
    <w:rsid w:val="00A571D6"/>
    <w:rsid w:val="00A5725A"/>
    <w:rsid w:val="00A572A6"/>
    <w:rsid w:val="00A572AB"/>
    <w:rsid w:val="00A572BE"/>
    <w:rsid w:val="00A572C0"/>
    <w:rsid w:val="00A572CA"/>
    <w:rsid w:val="00A572EA"/>
    <w:rsid w:val="00A572F7"/>
    <w:rsid w:val="00A57319"/>
    <w:rsid w:val="00A5732E"/>
    <w:rsid w:val="00A5733A"/>
    <w:rsid w:val="00A57355"/>
    <w:rsid w:val="00A57375"/>
    <w:rsid w:val="00A57385"/>
    <w:rsid w:val="00A57390"/>
    <w:rsid w:val="00A573B3"/>
    <w:rsid w:val="00A573EA"/>
    <w:rsid w:val="00A57410"/>
    <w:rsid w:val="00A5744E"/>
    <w:rsid w:val="00A57458"/>
    <w:rsid w:val="00A57484"/>
    <w:rsid w:val="00A57488"/>
    <w:rsid w:val="00A5748C"/>
    <w:rsid w:val="00A574D8"/>
    <w:rsid w:val="00A574F9"/>
    <w:rsid w:val="00A574FA"/>
    <w:rsid w:val="00A57507"/>
    <w:rsid w:val="00A57527"/>
    <w:rsid w:val="00A5752B"/>
    <w:rsid w:val="00A5753C"/>
    <w:rsid w:val="00A5756D"/>
    <w:rsid w:val="00A5761F"/>
    <w:rsid w:val="00A5762C"/>
    <w:rsid w:val="00A57654"/>
    <w:rsid w:val="00A57676"/>
    <w:rsid w:val="00A57679"/>
    <w:rsid w:val="00A5768C"/>
    <w:rsid w:val="00A576A9"/>
    <w:rsid w:val="00A57711"/>
    <w:rsid w:val="00A5771B"/>
    <w:rsid w:val="00A57733"/>
    <w:rsid w:val="00A57765"/>
    <w:rsid w:val="00A5776D"/>
    <w:rsid w:val="00A57775"/>
    <w:rsid w:val="00A577B3"/>
    <w:rsid w:val="00A577F3"/>
    <w:rsid w:val="00A5784B"/>
    <w:rsid w:val="00A57872"/>
    <w:rsid w:val="00A57874"/>
    <w:rsid w:val="00A57877"/>
    <w:rsid w:val="00A5789D"/>
    <w:rsid w:val="00A578B9"/>
    <w:rsid w:val="00A578BA"/>
    <w:rsid w:val="00A578F9"/>
    <w:rsid w:val="00A5792C"/>
    <w:rsid w:val="00A57931"/>
    <w:rsid w:val="00A5793D"/>
    <w:rsid w:val="00A57976"/>
    <w:rsid w:val="00A5797B"/>
    <w:rsid w:val="00A5798E"/>
    <w:rsid w:val="00A57A6A"/>
    <w:rsid w:val="00A57A8D"/>
    <w:rsid w:val="00A57A94"/>
    <w:rsid w:val="00A57ABC"/>
    <w:rsid w:val="00A57AC4"/>
    <w:rsid w:val="00A57ACA"/>
    <w:rsid w:val="00A57ACB"/>
    <w:rsid w:val="00A57AD5"/>
    <w:rsid w:val="00A57AFA"/>
    <w:rsid w:val="00A57B4D"/>
    <w:rsid w:val="00A57BC1"/>
    <w:rsid w:val="00A57BD0"/>
    <w:rsid w:val="00A57C06"/>
    <w:rsid w:val="00A57C1D"/>
    <w:rsid w:val="00A57C46"/>
    <w:rsid w:val="00A57C4F"/>
    <w:rsid w:val="00A57CB3"/>
    <w:rsid w:val="00A57CC4"/>
    <w:rsid w:val="00A57CCB"/>
    <w:rsid w:val="00A57CCC"/>
    <w:rsid w:val="00A57CD4"/>
    <w:rsid w:val="00A57CE5"/>
    <w:rsid w:val="00A57CF1"/>
    <w:rsid w:val="00A57D16"/>
    <w:rsid w:val="00A57D33"/>
    <w:rsid w:val="00A57D47"/>
    <w:rsid w:val="00A57DA7"/>
    <w:rsid w:val="00A57DB6"/>
    <w:rsid w:val="00A57DE0"/>
    <w:rsid w:val="00A57E30"/>
    <w:rsid w:val="00A57E31"/>
    <w:rsid w:val="00A57E4E"/>
    <w:rsid w:val="00A57E84"/>
    <w:rsid w:val="00A57ED5"/>
    <w:rsid w:val="00A57EE3"/>
    <w:rsid w:val="00A57EF7"/>
    <w:rsid w:val="00A57EF9"/>
    <w:rsid w:val="00A57F35"/>
    <w:rsid w:val="00A57F60"/>
    <w:rsid w:val="00A57F8B"/>
    <w:rsid w:val="00A57FB4"/>
    <w:rsid w:val="00A57FE2"/>
    <w:rsid w:val="00A5E615"/>
    <w:rsid w:val="00A60026"/>
    <w:rsid w:val="00A6008C"/>
    <w:rsid w:val="00A6009A"/>
    <w:rsid w:val="00A600DA"/>
    <w:rsid w:val="00A600EF"/>
    <w:rsid w:val="00A60107"/>
    <w:rsid w:val="00A60112"/>
    <w:rsid w:val="00A60181"/>
    <w:rsid w:val="00A60197"/>
    <w:rsid w:val="00A601A5"/>
    <w:rsid w:val="00A601D7"/>
    <w:rsid w:val="00A6021F"/>
    <w:rsid w:val="00A60221"/>
    <w:rsid w:val="00A60259"/>
    <w:rsid w:val="00A6028A"/>
    <w:rsid w:val="00A602F5"/>
    <w:rsid w:val="00A602FE"/>
    <w:rsid w:val="00A6036C"/>
    <w:rsid w:val="00A603C1"/>
    <w:rsid w:val="00A603C2"/>
    <w:rsid w:val="00A603C8"/>
    <w:rsid w:val="00A603D8"/>
    <w:rsid w:val="00A603D9"/>
    <w:rsid w:val="00A603EA"/>
    <w:rsid w:val="00A6043F"/>
    <w:rsid w:val="00A60472"/>
    <w:rsid w:val="00A604C8"/>
    <w:rsid w:val="00A6052E"/>
    <w:rsid w:val="00A60532"/>
    <w:rsid w:val="00A60561"/>
    <w:rsid w:val="00A60563"/>
    <w:rsid w:val="00A6058C"/>
    <w:rsid w:val="00A605A6"/>
    <w:rsid w:val="00A605BD"/>
    <w:rsid w:val="00A605E4"/>
    <w:rsid w:val="00A606D5"/>
    <w:rsid w:val="00A60710"/>
    <w:rsid w:val="00A6072A"/>
    <w:rsid w:val="00A60733"/>
    <w:rsid w:val="00A60784"/>
    <w:rsid w:val="00A607B7"/>
    <w:rsid w:val="00A607D6"/>
    <w:rsid w:val="00A60870"/>
    <w:rsid w:val="00A60877"/>
    <w:rsid w:val="00A608CB"/>
    <w:rsid w:val="00A608D5"/>
    <w:rsid w:val="00A60989"/>
    <w:rsid w:val="00A609AD"/>
    <w:rsid w:val="00A609B8"/>
    <w:rsid w:val="00A609C5"/>
    <w:rsid w:val="00A609D4"/>
    <w:rsid w:val="00A609E0"/>
    <w:rsid w:val="00A60A00"/>
    <w:rsid w:val="00A60A3E"/>
    <w:rsid w:val="00A60A6C"/>
    <w:rsid w:val="00A60A87"/>
    <w:rsid w:val="00A60A8C"/>
    <w:rsid w:val="00A60AB5"/>
    <w:rsid w:val="00A60AFC"/>
    <w:rsid w:val="00A60AFF"/>
    <w:rsid w:val="00A60B15"/>
    <w:rsid w:val="00A60B77"/>
    <w:rsid w:val="00A60B8F"/>
    <w:rsid w:val="00A60B93"/>
    <w:rsid w:val="00A60B9C"/>
    <w:rsid w:val="00A60BA9"/>
    <w:rsid w:val="00A60BD0"/>
    <w:rsid w:val="00A60BF5"/>
    <w:rsid w:val="00A60BFC"/>
    <w:rsid w:val="00A60C63"/>
    <w:rsid w:val="00A60C72"/>
    <w:rsid w:val="00A60D24"/>
    <w:rsid w:val="00A60D2D"/>
    <w:rsid w:val="00A60D42"/>
    <w:rsid w:val="00A60D53"/>
    <w:rsid w:val="00A60D6A"/>
    <w:rsid w:val="00A60D9B"/>
    <w:rsid w:val="00A60D9F"/>
    <w:rsid w:val="00A60DA8"/>
    <w:rsid w:val="00A60DAC"/>
    <w:rsid w:val="00A60E14"/>
    <w:rsid w:val="00A60E1D"/>
    <w:rsid w:val="00A60E1E"/>
    <w:rsid w:val="00A60E48"/>
    <w:rsid w:val="00A60E53"/>
    <w:rsid w:val="00A60E82"/>
    <w:rsid w:val="00A60E8F"/>
    <w:rsid w:val="00A60EDE"/>
    <w:rsid w:val="00A60EE0"/>
    <w:rsid w:val="00A60EF2"/>
    <w:rsid w:val="00A60F47"/>
    <w:rsid w:val="00A60F52"/>
    <w:rsid w:val="00A60F5E"/>
    <w:rsid w:val="00A60F88"/>
    <w:rsid w:val="00A60FA5"/>
    <w:rsid w:val="00A60FD5"/>
    <w:rsid w:val="00A61022"/>
    <w:rsid w:val="00A61058"/>
    <w:rsid w:val="00A610BB"/>
    <w:rsid w:val="00A610C0"/>
    <w:rsid w:val="00A610FA"/>
    <w:rsid w:val="00A61152"/>
    <w:rsid w:val="00A6117B"/>
    <w:rsid w:val="00A61269"/>
    <w:rsid w:val="00A6128D"/>
    <w:rsid w:val="00A61298"/>
    <w:rsid w:val="00A612CE"/>
    <w:rsid w:val="00A612D5"/>
    <w:rsid w:val="00A612EC"/>
    <w:rsid w:val="00A61300"/>
    <w:rsid w:val="00A61345"/>
    <w:rsid w:val="00A61348"/>
    <w:rsid w:val="00A6135D"/>
    <w:rsid w:val="00A6138B"/>
    <w:rsid w:val="00A613CC"/>
    <w:rsid w:val="00A613DC"/>
    <w:rsid w:val="00A61424"/>
    <w:rsid w:val="00A61431"/>
    <w:rsid w:val="00A6143C"/>
    <w:rsid w:val="00A61462"/>
    <w:rsid w:val="00A61494"/>
    <w:rsid w:val="00A614C6"/>
    <w:rsid w:val="00A614DD"/>
    <w:rsid w:val="00A61518"/>
    <w:rsid w:val="00A61539"/>
    <w:rsid w:val="00A61650"/>
    <w:rsid w:val="00A61677"/>
    <w:rsid w:val="00A616A7"/>
    <w:rsid w:val="00A616C1"/>
    <w:rsid w:val="00A616C2"/>
    <w:rsid w:val="00A616E4"/>
    <w:rsid w:val="00A616F2"/>
    <w:rsid w:val="00A6170B"/>
    <w:rsid w:val="00A6170D"/>
    <w:rsid w:val="00A6171F"/>
    <w:rsid w:val="00A61738"/>
    <w:rsid w:val="00A61740"/>
    <w:rsid w:val="00A6177D"/>
    <w:rsid w:val="00A6178D"/>
    <w:rsid w:val="00A617CD"/>
    <w:rsid w:val="00A617D0"/>
    <w:rsid w:val="00A617E4"/>
    <w:rsid w:val="00A61811"/>
    <w:rsid w:val="00A61830"/>
    <w:rsid w:val="00A61855"/>
    <w:rsid w:val="00A61873"/>
    <w:rsid w:val="00A61895"/>
    <w:rsid w:val="00A618AC"/>
    <w:rsid w:val="00A618EF"/>
    <w:rsid w:val="00A618F9"/>
    <w:rsid w:val="00A61901"/>
    <w:rsid w:val="00A6194F"/>
    <w:rsid w:val="00A61958"/>
    <w:rsid w:val="00A61994"/>
    <w:rsid w:val="00A61A1E"/>
    <w:rsid w:val="00A61A67"/>
    <w:rsid w:val="00A61A84"/>
    <w:rsid w:val="00A61A86"/>
    <w:rsid w:val="00A61AE1"/>
    <w:rsid w:val="00A61B1B"/>
    <w:rsid w:val="00A61B29"/>
    <w:rsid w:val="00A61BA6"/>
    <w:rsid w:val="00A61BAB"/>
    <w:rsid w:val="00A61C08"/>
    <w:rsid w:val="00A61C3C"/>
    <w:rsid w:val="00A61C44"/>
    <w:rsid w:val="00A61C8A"/>
    <w:rsid w:val="00A61C90"/>
    <w:rsid w:val="00A61C95"/>
    <w:rsid w:val="00A61C96"/>
    <w:rsid w:val="00A61D33"/>
    <w:rsid w:val="00A61D38"/>
    <w:rsid w:val="00A61D3D"/>
    <w:rsid w:val="00A61D60"/>
    <w:rsid w:val="00A61D70"/>
    <w:rsid w:val="00A61D84"/>
    <w:rsid w:val="00A61DAF"/>
    <w:rsid w:val="00A61DBB"/>
    <w:rsid w:val="00A61DDD"/>
    <w:rsid w:val="00A61DDF"/>
    <w:rsid w:val="00A61DE4"/>
    <w:rsid w:val="00A61E01"/>
    <w:rsid w:val="00A61E1B"/>
    <w:rsid w:val="00A61E39"/>
    <w:rsid w:val="00A61E58"/>
    <w:rsid w:val="00A61E5E"/>
    <w:rsid w:val="00A61EA2"/>
    <w:rsid w:val="00A61EAA"/>
    <w:rsid w:val="00A61EAE"/>
    <w:rsid w:val="00A61ECF"/>
    <w:rsid w:val="00A61F05"/>
    <w:rsid w:val="00A61F1B"/>
    <w:rsid w:val="00A61F31"/>
    <w:rsid w:val="00A61F4E"/>
    <w:rsid w:val="00A61F5E"/>
    <w:rsid w:val="00A61F68"/>
    <w:rsid w:val="00A61F84"/>
    <w:rsid w:val="00A61F8A"/>
    <w:rsid w:val="00A61F8B"/>
    <w:rsid w:val="00A61FB9"/>
    <w:rsid w:val="00A62002"/>
    <w:rsid w:val="00A62072"/>
    <w:rsid w:val="00A620AF"/>
    <w:rsid w:val="00A620B9"/>
    <w:rsid w:val="00A620C3"/>
    <w:rsid w:val="00A620FA"/>
    <w:rsid w:val="00A6216B"/>
    <w:rsid w:val="00A6217D"/>
    <w:rsid w:val="00A621E5"/>
    <w:rsid w:val="00A621ED"/>
    <w:rsid w:val="00A62219"/>
    <w:rsid w:val="00A62241"/>
    <w:rsid w:val="00A6226D"/>
    <w:rsid w:val="00A622AB"/>
    <w:rsid w:val="00A622D7"/>
    <w:rsid w:val="00A62319"/>
    <w:rsid w:val="00A62352"/>
    <w:rsid w:val="00A6236D"/>
    <w:rsid w:val="00A623A5"/>
    <w:rsid w:val="00A6240F"/>
    <w:rsid w:val="00A6241F"/>
    <w:rsid w:val="00A6242A"/>
    <w:rsid w:val="00A6242C"/>
    <w:rsid w:val="00A62435"/>
    <w:rsid w:val="00A62446"/>
    <w:rsid w:val="00A6244A"/>
    <w:rsid w:val="00A6245C"/>
    <w:rsid w:val="00A62505"/>
    <w:rsid w:val="00A62551"/>
    <w:rsid w:val="00A62555"/>
    <w:rsid w:val="00A62599"/>
    <w:rsid w:val="00A625CD"/>
    <w:rsid w:val="00A625EB"/>
    <w:rsid w:val="00A62666"/>
    <w:rsid w:val="00A626C1"/>
    <w:rsid w:val="00A62782"/>
    <w:rsid w:val="00A62784"/>
    <w:rsid w:val="00A6282A"/>
    <w:rsid w:val="00A62838"/>
    <w:rsid w:val="00A62881"/>
    <w:rsid w:val="00A62886"/>
    <w:rsid w:val="00A62888"/>
    <w:rsid w:val="00A6289A"/>
    <w:rsid w:val="00A628AB"/>
    <w:rsid w:val="00A628B5"/>
    <w:rsid w:val="00A628B8"/>
    <w:rsid w:val="00A628D8"/>
    <w:rsid w:val="00A628E9"/>
    <w:rsid w:val="00A628F5"/>
    <w:rsid w:val="00A62937"/>
    <w:rsid w:val="00A62954"/>
    <w:rsid w:val="00A62980"/>
    <w:rsid w:val="00A629CD"/>
    <w:rsid w:val="00A629DC"/>
    <w:rsid w:val="00A629F3"/>
    <w:rsid w:val="00A629FF"/>
    <w:rsid w:val="00A62A24"/>
    <w:rsid w:val="00A62A36"/>
    <w:rsid w:val="00A62A78"/>
    <w:rsid w:val="00A62A9D"/>
    <w:rsid w:val="00A62AA8"/>
    <w:rsid w:val="00A62AEC"/>
    <w:rsid w:val="00A62B09"/>
    <w:rsid w:val="00A62B3D"/>
    <w:rsid w:val="00A62B94"/>
    <w:rsid w:val="00A62B97"/>
    <w:rsid w:val="00A62BC8"/>
    <w:rsid w:val="00A62C0C"/>
    <w:rsid w:val="00A62C23"/>
    <w:rsid w:val="00A62C5D"/>
    <w:rsid w:val="00A62C72"/>
    <w:rsid w:val="00A62C75"/>
    <w:rsid w:val="00A62C89"/>
    <w:rsid w:val="00A62CA1"/>
    <w:rsid w:val="00A62CBD"/>
    <w:rsid w:val="00A62CC2"/>
    <w:rsid w:val="00A62D1B"/>
    <w:rsid w:val="00A62D1F"/>
    <w:rsid w:val="00A62D31"/>
    <w:rsid w:val="00A62D4D"/>
    <w:rsid w:val="00A62D61"/>
    <w:rsid w:val="00A62DB2"/>
    <w:rsid w:val="00A62DBA"/>
    <w:rsid w:val="00A62DFB"/>
    <w:rsid w:val="00A62E14"/>
    <w:rsid w:val="00A62E26"/>
    <w:rsid w:val="00A62E34"/>
    <w:rsid w:val="00A62E3F"/>
    <w:rsid w:val="00A62E5B"/>
    <w:rsid w:val="00A62E62"/>
    <w:rsid w:val="00A62E76"/>
    <w:rsid w:val="00A62E7E"/>
    <w:rsid w:val="00A62EB2"/>
    <w:rsid w:val="00A62EB5"/>
    <w:rsid w:val="00A62EEA"/>
    <w:rsid w:val="00A62F14"/>
    <w:rsid w:val="00A62F1E"/>
    <w:rsid w:val="00A62F22"/>
    <w:rsid w:val="00A62F2B"/>
    <w:rsid w:val="00A62F3A"/>
    <w:rsid w:val="00A62F5F"/>
    <w:rsid w:val="00A62F7B"/>
    <w:rsid w:val="00A62FC0"/>
    <w:rsid w:val="00A63002"/>
    <w:rsid w:val="00A63024"/>
    <w:rsid w:val="00A6304F"/>
    <w:rsid w:val="00A63052"/>
    <w:rsid w:val="00A6309C"/>
    <w:rsid w:val="00A630A1"/>
    <w:rsid w:val="00A630BD"/>
    <w:rsid w:val="00A63170"/>
    <w:rsid w:val="00A63181"/>
    <w:rsid w:val="00A63187"/>
    <w:rsid w:val="00A631A1"/>
    <w:rsid w:val="00A631A4"/>
    <w:rsid w:val="00A631B8"/>
    <w:rsid w:val="00A631EA"/>
    <w:rsid w:val="00A6320C"/>
    <w:rsid w:val="00A63222"/>
    <w:rsid w:val="00A63266"/>
    <w:rsid w:val="00A632B4"/>
    <w:rsid w:val="00A632C4"/>
    <w:rsid w:val="00A632DC"/>
    <w:rsid w:val="00A632DF"/>
    <w:rsid w:val="00A632E0"/>
    <w:rsid w:val="00A63349"/>
    <w:rsid w:val="00A6335D"/>
    <w:rsid w:val="00A633D8"/>
    <w:rsid w:val="00A63435"/>
    <w:rsid w:val="00A6344A"/>
    <w:rsid w:val="00A63459"/>
    <w:rsid w:val="00A63487"/>
    <w:rsid w:val="00A634B7"/>
    <w:rsid w:val="00A634F2"/>
    <w:rsid w:val="00A634FC"/>
    <w:rsid w:val="00A6355F"/>
    <w:rsid w:val="00A63566"/>
    <w:rsid w:val="00A6356F"/>
    <w:rsid w:val="00A635CA"/>
    <w:rsid w:val="00A635D2"/>
    <w:rsid w:val="00A635DA"/>
    <w:rsid w:val="00A63609"/>
    <w:rsid w:val="00A636F5"/>
    <w:rsid w:val="00A63710"/>
    <w:rsid w:val="00A63773"/>
    <w:rsid w:val="00A63799"/>
    <w:rsid w:val="00A637A0"/>
    <w:rsid w:val="00A637B4"/>
    <w:rsid w:val="00A63801"/>
    <w:rsid w:val="00A63838"/>
    <w:rsid w:val="00A63841"/>
    <w:rsid w:val="00A6386F"/>
    <w:rsid w:val="00A638B8"/>
    <w:rsid w:val="00A638BF"/>
    <w:rsid w:val="00A638EF"/>
    <w:rsid w:val="00A638F4"/>
    <w:rsid w:val="00A63922"/>
    <w:rsid w:val="00A63970"/>
    <w:rsid w:val="00A63A0C"/>
    <w:rsid w:val="00A63A46"/>
    <w:rsid w:val="00A63A6E"/>
    <w:rsid w:val="00A63AC8"/>
    <w:rsid w:val="00A63B1C"/>
    <w:rsid w:val="00A63B1F"/>
    <w:rsid w:val="00A63B30"/>
    <w:rsid w:val="00A63BA8"/>
    <w:rsid w:val="00A63C39"/>
    <w:rsid w:val="00A63C62"/>
    <w:rsid w:val="00A63CAB"/>
    <w:rsid w:val="00A63CF3"/>
    <w:rsid w:val="00A63D16"/>
    <w:rsid w:val="00A63D37"/>
    <w:rsid w:val="00A63D4B"/>
    <w:rsid w:val="00A63D84"/>
    <w:rsid w:val="00A63DAE"/>
    <w:rsid w:val="00A63DBD"/>
    <w:rsid w:val="00A63DFB"/>
    <w:rsid w:val="00A63E0A"/>
    <w:rsid w:val="00A63E3A"/>
    <w:rsid w:val="00A63E55"/>
    <w:rsid w:val="00A63E68"/>
    <w:rsid w:val="00A63E82"/>
    <w:rsid w:val="00A63EC8"/>
    <w:rsid w:val="00A63EFB"/>
    <w:rsid w:val="00A63F17"/>
    <w:rsid w:val="00A63F29"/>
    <w:rsid w:val="00A63F48"/>
    <w:rsid w:val="00A63F65"/>
    <w:rsid w:val="00A63F93"/>
    <w:rsid w:val="00A63FA0"/>
    <w:rsid w:val="00A63FAF"/>
    <w:rsid w:val="00A63FB6"/>
    <w:rsid w:val="00A6400D"/>
    <w:rsid w:val="00A64024"/>
    <w:rsid w:val="00A6406C"/>
    <w:rsid w:val="00A6406E"/>
    <w:rsid w:val="00A64080"/>
    <w:rsid w:val="00A64097"/>
    <w:rsid w:val="00A640AC"/>
    <w:rsid w:val="00A640B1"/>
    <w:rsid w:val="00A640B6"/>
    <w:rsid w:val="00A64104"/>
    <w:rsid w:val="00A64145"/>
    <w:rsid w:val="00A641A6"/>
    <w:rsid w:val="00A641F5"/>
    <w:rsid w:val="00A641FD"/>
    <w:rsid w:val="00A6420B"/>
    <w:rsid w:val="00A6424A"/>
    <w:rsid w:val="00A6428B"/>
    <w:rsid w:val="00A64304"/>
    <w:rsid w:val="00A6432E"/>
    <w:rsid w:val="00A643CC"/>
    <w:rsid w:val="00A64405"/>
    <w:rsid w:val="00A64411"/>
    <w:rsid w:val="00A64438"/>
    <w:rsid w:val="00A64491"/>
    <w:rsid w:val="00A64492"/>
    <w:rsid w:val="00A6449C"/>
    <w:rsid w:val="00A6449E"/>
    <w:rsid w:val="00A644C9"/>
    <w:rsid w:val="00A6452A"/>
    <w:rsid w:val="00A64573"/>
    <w:rsid w:val="00A6458C"/>
    <w:rsid w:val="00A645C9"/>
    <w:rsid w:val="00A645FA"/>
    <w:rsid w:val="00A6461B"/>
    <w:rsid w:val="00A6468E"/>
    <w:rsid w:val="00A6469D"/>
    <w:rsid w:val="00A646B4"/>
    <w:rsid w:val="00A646E5"/>
    <w:rsid w:val="00A64708"/>
    <w:rsid w:val="00A6470A"/>
    <w:rsid w:val="00A6475A"/>
    <w:rsid w:val="00A64762"/>
    <w:rsid w:val="00A6478E"/>
    <w:rsid w:val="00A647A6"/>
    <w:rsid w:val="00A647AB"/>
    <w:rsid w:val="00A647AC"/>
    <w:rsid w:val="00A647D9"/>
    <w:rsid w:val="00A647E6"/>
    <w:rsid w:val="00A64834"/>
    <w:rsid w:val="00A64841"/>
    <w:rsid w:val="00A648A2"/>
    <w:rsid w:val="00A6492C"/>
    <w:rsid w:val="00A64940"/>
    <w:rsid w:val="00A64960"/>
    <w:rsid w:val="00A64972"/>
    <w:rsid w:val="00A6497F"/>
    <w:rsid w:val="00A64996"/>
    <w:rsid w:val="00A64999"/>
    <w:rsid w:val="00A649B8"/>
    <w:rsid w:val="00A64A59"/>
    <w:rsid w:val="00A64A64"/>
    <w:rsid w:val="00A64A80"/>
    <w:rsid w:val="00A64AA0"/>
    <w:rsid w:val="00A64B28"/>
    <w:rsid w:val="00A64B62"/>
    <w:rsid w:val="00A64B68"/>
    <w:rsid w:val="00A64B71"/>
    <w:rsid w:val="00A64B77"/>
    <w:rsid w:val="00A64B93"/>
    <w:rsid w:val="00A64B94"/>
    <w:rsid w:val="00A64BA8"/>
    <w:rsid w:val="00A64BE9"/>
    <w:rsid w:val="00A64C24"/>
    <w:rsid w:val="00A64C6B"/>
    <w:rsid w:val="00A64CDE"/>
    <w:rsid w:val="00A64D11"/>
    <w:rsid w:val="00A64D1E"/>
    <w:rsid w:val="00A64D41"/>
    <w:rsid w:val="00A64D4B"/>
    <w:rsid w:val="00A64D92"/>
    <w:rsid w:val="00A64DED"/>
    <w:rsid w:val="00A64E02"/>
    <w:rsid w:val="00A64ED9"/>
    <w:rsid w:val="00A64EEC"/>
    <w:rsid w:val="00A64EEE"/>
    <w:rsid w:val="00A64EF7"/>
    <w:rsid w:val="00A64F31"/>
    <w:rsid w:val="00A64F72"/>
    <w:rsid w:val="00A64FC8"/>
    <w:rsid w:val="00A64FDC"/>
    <w:rsid w:val="00A64FF7"/>
    <w:rsid w:val="00A65052"/>
    <w:rsid w:val="00A65082"/>
    <w:rsid w:val="00A650BB"/>
    <w:rsid w:val="00A650CD"/>
    <w:rsid w:val="00A65132"/>
    <w:rsid w:val="00A6515F"/>
    <w:rsid w:val="00A651B6"/>
    <w:rsid w:val="00A65227"/>
    <w:rsid w:val="00A652F1"/>
    <w:rsid w:val="00A652F5"/>
    <w:rsid w:val="00A6533F"/>
    <w:rsid w:val="00A6537B"/>
    <w:rsid w:val="00A653C7"/>
    <w:rsid w:val="00A653D0"/>
    <w:rsid w:val="00A653DB"/>
    <w:rsid w:val="00A653FF"/>
    <w:rsid w:val="00A6547A"/>
    <w:rsid w:val="00A6547F"/>
    <w:rsid w:val="00A65482"/>
    <w:rsid w:val="00A6549B"/>
    <w:rsid w:val="00A654D8"/>
    <w:rsid w:val="00A654FB"/>
    <w:rsid w:val="00A65510"/>
    <w:rsid w:val="00A65539"/>
    <w:rsid w:val="00A65540"/>
    <w:rsid w:val="00A65543"/>
    <w:rsid w:val="00A65555"/>
    <w:rsid w:val="00A655B5"/>
    <w:rsid w:val="00A655CE"/>
    <w:rsid w:val="00A655D7"/>
    <w:rsid w:val="00A65633"/>
    <w:rsid w:val="00A656B6"/>
    <w:rsid w:val="00A656CC"/>
    <w:rsid w:val="00A656D8"/>
    <w:rsid w:val="00A656F9"/>
    <w:rsid w:val="00A6571E"/>
    <w:rsid w:val="00A65736"/>
    <w:rsid w:val="00A6573B"/>
    <w:rsid w:val="00A65786"/>
    <w:rsid w:val="00A6578C"/>
    <w:rsid w:val="00A657AD"/>
    <w:rsid w:val="00A657B3"/>
    <w:rsid w:val="00A657BE"/>
    <w:rsid w:val="00A657CF"/>
    <w:rsid w:val="00A657D7"/>
    <w:rsid w:val="00A657E5"/>
    <w:rsid w:val="00A657FC"/>
    <w:rsid w:val="00A65843"/>
    <w:rsid w:val="00A65856"/>
    <w:rsid w:val="00A6587E"/>
    <w:rsid w:val="00A65895"/>
    <w:rsid w:val="00A658CA"/>
    <w:rsid w:val="00A658EF"/>
    <w:rsid w:val="00A65916"/>
    <w:rsid w:val="00A65993"/>
    <w:rsid w:val="00A6599A"/>
    <w:rsid w:val="00A659A9"/>
    <w:rsid w:val="00A65A02"/>
    <w:rsid w:val="00A65A13"/>
    <w:rsid w:val="00A65A16"/>
    <w:rsid w:val="00A65A24"/>
    <w:rsid w:val="00A65A37"/>
    <w:rsid w:val="00A65A7F"/>
    <w:rsid w:val="00A65A89"/>
    <w:rsid w:val="00A65A8C"/>
    <w:rsid w:val="00A65ACC"/>
    <w:rsid w:val="00A65AE6"/>
    <w:rsid w:val="00A65AF2"/>
    <w:rsid w:val="00A65B2B"/>
    <w:rsid w:val="00A65B35"/>
    <w:rsid w:val="00A65B38"/>
    <w:rsid w:val="00A65B52"/>
    <w:rsid w:val="00A65B6D"/>
    <w:rsid w:val="00A65BD2"/>
    <w:rsid w:val="00A65BDA"/>
    <w:rsid w:val="00A65C1C"/>
    <w:rsid w:val="00A65C3E"/>
    <w:rsid w:val="00A65C95"/>
    <w:rsid w:val="00A65CDF"/>
    <w:rsid w:val="00A65CE5"/>
    <w:rsid w:val="00A65CF8"/>
    <w:rsid w:val="00A65D35"/>
    <w:rsid w:val="00A65D4C"/>
    <w:rsid w:val="00A65D73"/>
    <w:rsid w:val="00A65DC2"/>
    <w:rsid w:val="00A65DD0"/>
    <w:rsid w:val="00A65DE8"/>
    <w:rsid w:val="00A65E21"/>
    <w:rsid w:val="00A65E28"/>
    <w:rsid w:val="00A65E2B"/>
    <w:rsid w:val="00A65EFC"/>
    <w:rsid w:val="00A65F1A"/>
    <w:rsid w:val="00A65F36"/>
    <w:rsid w:val="00A65F60"/>
    <w:rsid w:val="00A65F6D"/>
    <w:rsid w:val="00A65F86"/>
    <w:rsid w:val="00A65FAB"/>
    <w:rsid w:val="00A65FB1"/>
    <w:rsid w:val="00A65FBB"/>
    <w:rsid w:val="00A65FC6"/>
    <w:rsid w:val="00A65FCE"/>
    <w:rsid w:val="00A65FD0"/>
    <w:rsid w:val="00A65FE7"/>
    <w:rsid w:val="00A66035"/>
    <w:rsid w:val="00A6609A"/>
    <w:rsid w:val="00A660B7"/>
    <w:rsid w:val="00A660BD"/>
    <w:rsid w:val="00A660EC"/>
    <w:rsid w:val="00A660F1"/>
    <w:rsid w:val="00A66124"/>
    <w:rsid w:val="00A66186"/>
    <w:rsid w:val="00A66192"/>
    <w:rsid w:val="00A6619F"/>
    <w:rsid w:val="00A661DD"/>
    <w:rsid w:val="00A661E3"/>
    <w:rsid w:val="00A661FA"/>
    <w:rsid w:val="00A66235"/>
    <w:rsid w:val="00A6624F"/>
    <w:rsid w:val="00A66290"/>
    <w:rsid w:val="00A662B7"/>
    <w:rsid w:val="00A662DE"/>
    <w:rsid w:val="00A662E2"/>
    <w:rsid w:val="00A662FE"/>
    <w:rsid w:val="00A66311"/>
    <w:rsid w:val="00A66316"/>
    <w:rsid w:val="00A66377"/>
    <w:rsid w:val="00A66383"/>
    <w:rsid w:val="00A6639D"/>
    <w:rsid w:val="00A663A9"/>
    <w:rsid w:val="00A663C3"/>
    <w:rsid w:val="00A663F9"/>
    <w:rsid w:val="00A6640A"/>
    <w:rsid w:val="00A66419"/>
    <w:rsid w:val="00A66459"/>
    <w:rsid w:val="00A664AC"/>
    <w:rsid w:val="00A664B7"/>
    <w:rsid w:val="00A664C3"/>
    <w:rsid w:val="00A664CD"/>
    <w:rsid w:val="00A664EB"/>
    <w:rsid w:val="00A664F0"/>
    <w:rsid w:val="00A664F2"/>
    <w:rsid w:val="00A6653C"/>
    <w:rsid w:val="00A6657C"/>
    <w:rsid w:val="00A665DA"/>
    <w:rsid w:val="00A66605"/>
    <w:rsid w:val="00A66614"/>
    <w:rsid w:val="00A66622"/>
    <w:rsid w:val="00A66644"/>
    <w:rsid w:val="00A66669"/>
    <w:rsid w:val="00A6666E"/>
    <w:rsid w:val="00A66679"/>
    <w:rsid w:val="00A66680"/>
    <w:rsid w:val="00A666A5"/>
    <w:rsid w:val="00A666AB"/>
    <w:rsid w:val="00A666CB"/>
    <w:rsid w:val="00A666DC"/>
    <w:rsid w:val="00A666FB"/>
    <w:rsid w:val="00A6671E"/>
    <w:rsid w:val="00A6675B"/>
    <w:rsid w:val="00A6675C"/>
    <w:rsid w:val="00A6677E"/>
    <w:rsid w:val="00A6679B"/>
    <w:rsid w:val="00A667AD"/>
    <w:rsid w:val="00A667C9"/>
    <w:rsid w:val="00A667D3"/>
    <w:rsid w:val="00A667E5"/>
    <w:rsid w:val="00A667EF"/>
    <w:rsid w:val="00A667F1"/>
    <w:rsid w:val="00A667FF"/>
    <w:rsid w:val="00A66806"/>
    <w:rsid w:val="00A66814"/>
    <w:rsid w:val="00A66848"/>
    <w:rsid w:val="00A6685D"/>
    <w:rsid w:val="00A668AA"/>
    <w:rsid w:val="00A668BA"/>
    <w:rsid w:val="00A668CE"/>
    <w:rsid w:val="00A668CF"/>
    <w:rsid w:val="00A66908"/>
    <w:rsid w:val="00A66917"/>
    <w:rsid w:val="00A6691B"/>
    <w:rsid w:val="00A6697D"/>
    <w:rsid w:val="00A66984"/>
    <w:rsid w:val="00A669AD"/>
    <w:rsid w:val="00A669B6"/>
    <w:rsid w:val="00A669C6"/>
    <w:rsid w:val="00A669E9"/>
    <w:rsid w:val="00A66A28"/>
    <w:rsid w:val="00A66A2C"/>
    <w:rsid w:val="00A66A40"/>
    <w:rsid w:val="00A66A49"/>
    <w:rsid w:val="00A66AD8"/>
    <w:rsid w:val="00A66AE6"/>
    <w:rsid w:val="00A66B06"/>
    <w:rsid w:val="00A66B43"/>
    <w:rsid w:val="00A66B46"/>
    <w:rsid w:val="00A66B6A"/>
    <w:rsid w:val="00A66BA7"/>
    <w:rsid w:val="00A66BDC"/>
    <w:rsid w:val="00A66C58"/>
    <w:rsid w:val="00A66C5A"/>
    <w:rsid w:val="00A66C95"/>
    <w:rsid w:val="00A66C99"/>
    <w:rsid w:val="00A66CA4"/>
    <w:rsid w:val="00A66CB9"/>
    <w:rsid w:val="00A66CCB"/>
    <w:rsid w:val="00A66CCC"/>
    <w:rsid w:val="00A66CDC"/>
    <w:rsid w:val="00A66D86"/>
    <w:rsid w:val="00A66DF4"/>
    <w:rsid w:val="00A66DFB"/>
    <w:rsid w:val="00A66E28"/>
    <w:rsid w:val="00A66E50"/>
    <w:rsid w:val="00A66E59"/>
    <w:rsid w:val="00A66EE0"/>
    <w:rsid w:val="00A66F08"/>
    <w:rsid w:val="00A66F0E"/>
    <w:rsid w:val="00A66F57"/>
    <w:rsid w:val="00A66F90"/>
    <w:rsid w:val="00A66FBC"/>
    <w:rsid w:val="00A66FD4"/>
    <w:rsid w:val="00A67015"/>
    <w:rsid w:val="00A670B7"/>
    <w:rsid w:val="00A670C6"/>
    <w:rsid w:val="00A6712D"/>
    <w:rsid w:val="00A67137"/>
    <w:rsid w:val="00A6714E"/>
    <w:rsid w:val="00A67154"/>
    <w:rsid w:val="00A671E2"/>
    <w:rsid w:val="00A67219"/>
    <w:rsid w:val="00A67238"/>
    <w:rsid w:val="00A67252"/>
    <w:rsid w:val="00A67254"/>
    <w:rsid w:val="00A67276"/>
    <w:rsid w:val="00A67290"/>
    <w:rsid w:val="00A67297"/>
    <w:rsid w:val="00A672BE"/>
    <w:rsid w:val="00A672CA"/>
    <w:rsid w:val="00A672D4"/>
    <w:rsid w:val="00A672F1"/>
    <w:rsid w:val="00A672F3"/>
    <w:rsid w:val="00A67321"/>
    <w:rsid w:val="00A6733C"/>
    <w:rsid w:val="00A67372"/>
    <w:rsid w:val="00A67374"/>
    <w:rsid w:val="00A6738B"/>
    <w:rsid w:val="00A67398"/>
    <w:rsid w:val="00A673B8"/>
    <w:rsid w:val="00A67501"/>
    <w:rsid w:val="00A6750E"/>
    <w:rsid w:val="00A67529"/>
    <w:rsid w:val="00A6758D"/>
    <w:rsid w:val="00A675E9"/>
    <w:rsid w:val="00A675FC"/>
    <w:rsid w:val="00A67608"/>
    <w:rsid w:val="00A67672"/>
    <w:rsid w:val="00A676A1"/>
    <w:rsid w:val="00A676B9"/>
    <w:rsid w:val="00A67737"/>
    <w:rsid w:val="00A67776"/>
    <w:rsid w:val="00A677B1"/>
    <w:rsid w:val="00A677C4"/>
    <w:rsid w:val="00A67869"/>
    <w:rsid w:val="00A6789B"/>
    <w:rsid w:val="00A6789D"/>
    <w:rsid w:val="00A678BF"/>
    <w:rsid w:val="00A678C8"/>
    <w:rsid w:val="00A678D9"/>
    <w:rsid w:val="00A6795F"/>
    <w:rsid w:val="00A67A0D"/>
    <w:rsid w:val="00A67A1F"/>
    <w:rsid w:val="00A67A3E"/>
    <w:rsid w:val="00A67A45"/>
    <w:rsid w:val="00A67AB0"/>
    <w:rsid w:val="00A67ABE"/>
    <w:rsid w:val="00A67ADE"/>
    <w:rsid w:val="00A67AFD"/>
    <w:rsid w:val="00A67B01"/>
    <w:rsid w:val="00A67B0A"/>
    <w:rsid w:val="00A67B0B"/>
    <w:rsid w:val="00A67B5A"/>
    <w:rsid w:val="00A67B6E"/>
    <w:rsid w:val="00A67BA3"/>
    <w:rsid w:val="00A67BA6"/>
    <w:rsid w:val="00A67BBE"/>
    <w:rsid w:val="00A67BE5"/>
    <w:rsid w:val="00A67C09"/>
    <w:rsid w:val="00A67C36"/>
    <w:rsid w:val="00A67C59"/>
    <w:rsid w:val="00A67CA6"/>
    <w:rsid w:val="00A67CF7"/>
    <w:rsid w:val="00A67D03"/>
    <w:rsid w:val="00A67D2C"/>
    <w:rsid w:val="00A67D78"/>
    <w:rsid w:val="00A67DA7"/>
    <w:rsid w:val="00A67DAE"/>
    <w:rsid w:val="00A67DC0"/>
    <w:rsid w:val="00A67DCA"/>
    <w:rsid w:val="00A67DEA"/>
    <w:rsid w:val="00A67DF1"/>
    <w:rsid w:val="00A67DF8"/>
    <w:rsid w:val="00A67DFC"/>
    <w:rsid w:val="00A67E08"/>
    <w:rsid w:val="00A67E25"/>
    <w:rsid w:val="00A67E36"/>
    <w:rsid w:val="00A67E7E"/>
    <w:rsid w:val="00A67E8C"/>
    <w:rsid w:val="00A67ED5"/>
    <w:rsid w:val="00A67EFC"/>
    <w:rsid w:val="00A67F07"/>
    <w:rsid w:val="00A67F5D"/>
    <w:rsid w:val="00A67F65"/>
    <w:rsid w:val="00A67FBC"/>
    <w:rsid w:val="00A67FCD"/>
    <w:rsid w:val="00A67FF0"/>
    <w:rsid w:val="00A7002C"/>
    <w:rsid w:val="00A70042"/>
    <w:rsid w:val="00A70046"/>
    <w:rsid w:val="00A7004E"/>
    <w:rsid w:val="00A70058"/>
    <w:rsid w:val="00A70067"/>
    <w:rsid w:val="00A70085"/>
    <w:rsid w:val="00A700B0"/>
    <w:rsid w:val="00A700B1"/>
    <w:rsid w:val="00A700C1"/>
    <w:rsid w:val="00A700D8"/>
    <w:rsid w:val="00A700E7"/>
    <w:rsid w:val="00A700FD"/>
    <w:rsid w:val="00A70106"/>
    <w:rsid w:val="00A70118"/>
    <w:rsid w:val="00A70125"/>
    <w:rsid w:val="00A7015E"/>
    <w:rsid w:val="00A70182"/>
    <w:rsid w:val="00A7019B"/>
    <w:rsid w:val="00A70205"/>
    <w:rsid w:val="00A70208"/>
    <w:rsid w:val="00A70238"/>
    <w:rsid w:val="00A7025B"/>
    <w:rsid w:val="00A702F5"/>
    <w:rsid w:val="00A7030D"/>
    <w:rsid w:val="00A7031A"/>
    <w:rsid w:val="00A70363"/>
    <w:rsid w:val="00A7038F"/>
    <w:rsid w:val="00A7039E"/>
    <w:rsid w:val="00A703D2"/>
    <w:rsid w:val="00A703D4"/>
    <w:rsid w:val="00A70417"/>
    <w:rsid w:val="00A70427"/>
    <w:rsid w:val="00A70431"/>
    <w:rsid w:val="00A70439"/>
    <w:rsid w:val="00A70442"/>
    <w:rsid w:val="00A70450"/>
    <w:rsid w:val="00A70463"/>
    <w:rsid w:val="00A70487"/>
    <w:rsid w:val="00A704A8"/>
    <w:rsid w:val="00A704D6"/>
    <w:rsid w:val="00A704FE"/>
    <w:rsid w:val="00A70513"/>
    <w:rsid w:val="00A7053F"/>
    <w:rsid w:val="00A7055B"/>
    <w:rsid w:val="00A705DE"/>
    <w:rsid w:val="00A705E8"/>
    <w:rsid w:val="00A70619"/>
    <w:rsid w:val="00A70641"/>
    <w:rsid w:val="00A70649"/>
    <w:rsid w:val="00A70696"/>
    <w:rsid w:val="00A706B3"/>
    <w:rsid w:val="00A706E2"/>
    <w:rsid w:val="00A7071A"/>
    <w:rsid w:val="00A7077E"/>
    <w:rsid w:val="00A70794"/>
    <w:rsid w:val="00A707B4"/>
    <w:rsid w:val="00A707F4"/>
    <w:rsid w:val="00A7080C"/>
    <w:rsid w:val="00A7084C"/>
    <w:rsid w:val="00A70853"/>
    <w:rsid w:val="00A7086E"/>
    <w:rsid w:val="00A70899"/>
    <w:rsid w:val="00A708D3"/>
    <w:rsid w:val="00A708EB"/>
    <w:rsid w:val="00A70913"/>
    <w:rsid w:val="00A7092D"/>
    <w:rsid w:val="00A7095A"/>
    <w:rsid w:val="00A709B9"/>
    <w:rsid w:val="00A709BB"/>
    <w:rsid w:val="00A709E2"/>
    <w:rsid w:val="00A709E9"/>
    <w:rsid w:val="00A70A6B"/>
    <w:rsid w:val="00A70A99"/>
    <w:rsid w:val="00A70AC3"/>
    <w:rsid w:val="00A70AD0"/>
    <w:rsid w:val="00A70ADA"/>
    <w:rsid w:val="00A70B25"/>
    <w:rsid w:val="00A70B33"/>
    <w:rsid w:val="00A70B4E"/>
    <w:rsid w:val="00A70B89"/>
    <w:rsid w:val="00A70B93"/>
    <w:rsid w:val="00A70BA6"/>
    <w:rsid w:val="00A70BAB"/>
    <w:rsid w:val="00A70BC1"/>
    <w:rsid w:val="00A70BFB"/>
    <w:rsid w:val="00A70C9D"/>
    <w:rsid w:val="00A70CA2"/>
    <w:rsid w:val="00A70CBB"/>
    <w:rsid w:val="00A70CFF"/>
    <w:rsid w:val="00A70D46"/>
    <w:rsid w:val="00A70D53"/>
    <w:rsid w:val="00A70D5E"/>
    <w:rsid w:val="00A70D6A"/>
    <w:rsid w:val="00A70D73"/>
    <w:rsid w:val="00A70D8D"/>
    <w:rsid w:val="00A70D94"/>
    <w:rsid w:val="00A70DE5"/>
    <w:rsid w:val="00A70E6D"/>
    <w:rsid w:val="00A70EEE"/>
    <w:rsid w:val="00A70EF2"/>
    <w:rsid w:val="00A70EF3"/>
    <w:rsid w:val="00A70F12"/>
    <w:rsid w:val="00A70F2C"/>
    <w:rsid w:val="00A70F36"/>
    <w:rsid w:val="00A70F37"/>
    <w:rsid w:val="00A70F64"/>
    <w:rsid w:val="00A71003"/>
    <w:rsid w:val="00A71005"/>
    <w:rsid w:val="00A71033"/>
    <w:rsid w:val="00A7104D"/>
    <w:rsid w:val="00A71059"/>
    <w:rsid w:val="00A7106F"/>
    <w:rsid w:val="00A71083"/>
    <w:rsid w:val="00A7109B"/>
    <w:rsid w:val="00A710F5"/>
    <w:rsid w:val="00A71122"/>
    <w:rsid w:val="00A7112E"/>
    <w:rsid w:val="00A71131"/>
    <w:rsid w:val="00A71137"/>
    <w:rsid w:val="00A71154"/>
    <w:rsid w:val="00A711D3"/>
    <w:rsid w:val="00A711DF"/>
    <w:rsid w:val="00A711E6"/>
    <w:rsid w:val="00A71237"/>
    <w:rsid w:val="00A71269"/>
    <w:rsid w:val="00A7127E"/>
    <w:rsid w:val="00A71312"/>
    <w:rsid w:val="00A71393"/>
    <w:rsid w:val="00A71399"/>
    <w:rsid w:val="00A713AA"/>
    <w:rsid w:val="00A713AE"/>
    <w:rsid w:val="00A713B7"/>
    <w:rsid w:val="00A713BA"/>
    <w:rsid w:val="00A713C6"/>
    <w:rsid w:val="00A7140E"/>
    <w:rsid w:val="00A71427"/>
    <w:rsid w:val="00A71459"/>
    <w:rsid w:val="00A71460"/>
    <w:rsid w:val="00A7146F"/>
    <w:rsid w:val="00A7149B"/>
    <w:rsid w:val="00A714B0"/>
    <w:rsid w:val="00A714BC"/>
    <w:rsid w:val="00A7154A"/>
    <w:rsid w:val="00A7156D"/>
    <w:rsid w:val="00A71579"/>
    <w:rsid w:val="00A7158F"/>
    <w:rsid w:val="00A71590"/>
    <w:rsid w:val="00A7159E"/>
    <w:rsid w:val="00A715FF"/>
    <w:rsid w:val="00A71605"/>
    <w:rsid w:val="00A7164D"/>
    <w:rsid w:val="00A71685"/>
    <w:rsid w:val="00A71687"/>
    <w:rsid w:val="00A7168A"/>
    <w:rsid w:val="00A716B1"/>
    <w:rsid w:val="00A716CF"/>
    <w:rsid w:val="00A7175A"/>
    <w:rsid w:val="00A7177E"/>
    <w:rsid w:val="00A71781"/>
    <w:rsid w:val="00A717B7"/>
    <w:rsid w:val="00A717F3"/>
    <w:rsid w:val="00A717F6"/>
    <w:rsid w:val="00A71812"/>
    <w:rsid w:val="00A71826"/>
    <w:rsid w:val="00A71844"/>
    <w:rsid w:val="00A71846"/>
    <w:rsid w:val="00A71849"/>
    <w:rsid w:val="00A7185C"/>
    <w:rsid w:val="00A718AD"/>
    <w:rsid w:val="00A718E0"/>
    <w:rsid w:val="00A71908"/>
    <w:rsid w:val="00A71950"/>
    <w:rsid w:val="00A7196E"/>
    <w:rsid w:val="00A719E0"/>
    <w:rsid w:val="00A719EE"/>
    <w:rsid w:val="00A71A35"/>
    <w:rsid w:val="00A71A3A"/>
    <w:rsid w:val="00A71A4F"/>
    <w:rsid w:val="00A71A56"/>
    <w:rsid w:val="00A71A78"/>
    <w:rsid w:val="00A71A93"/>
    <w:rsid w:val="00A71AE3"/>
    <w:rsid w:val="00A71B09"/>
    <w:rsid w:val="00A71B3E"/>
    <w:rsid w:val="00A71B48"/>
    <w:rsid w:val="00A71B53"/>
    <w:rsid w:val="00A71B5E"/>
    <w:rsid w:val="00A71B8C"/>
    <w:rsid w:val="00A71BB3"/>
    <w:rsid w:val="00A71BD5"/>
    <w:rsid w:val="00A71BDD"/>
    <w:rsid w:val="00A71BE7"/>
    <w:rsid w:val="00A71BEC"/>
    <w:rsid w:val="00A71C00"/>
    <w:rsid w:val="00A71C59"/>
    <w:rsid w:val="00A71C80"/>
    <w:rsid w:val="00A71C8A"/>
    <w:rsid w:val="00A71CA9"/>
    <w:rsid w:val="00A71CB0"/>
    <w:rsid w:val="00A71CB7"/>
    <w:rsid w:val="00A71CCC"/>
    <w:rsid w:val="00A71CED"/>
    <w:rsid w:val="00A71D24"/>
    <w:rsid w:val="00A71D81"/>
    <w:rsid w:val="00A71DA0"/>
    <w:rsid w:val="00A71DD4"/>
    <w:rsid w:val="00A71E25"/>
    <w:rsid w:val="00A71E6C"/>
    <w:rsid w:val="00A71EAD"/>
    <w:rsid w:val="00A71EF2"/>
    <w:rsid w:val="00A71F34"/>
    <w:rsid w:val="00A71F82"/>
    <w:rsid w:val="00A71F86"/>
    <w:rsid w:val="00A71F8C"/>
    <w:rsid w:val="00A71FAE"/>
    <w:rsid w:val="00A71FB3"/>
    <w:rsid w:val="00A71FE2"/>
    <w:rsid w:val="00A7203B"/>
    <w:rsid w:val="00A72047"/>
    <w:rsid w:val="00A7205E"/>
    <w:rsid w:val="00A7208C"/>
    <w:rsid w:val="00A72092"/>
    <w:rsid w:val="00A72099"/>
    <w:rsid w:val="00A720AC"/>
    <w:rsid w:val="00A720BD"/>
    <w:rsid w:val="00A720CB"/>
    <w:rsid w:val="00A720DB"/>
    <w:rsid w:val="00A720E0"/>
    <w:rsid w:val="00A7213C"/>
    <w:rsid w:val="00A7214B"/>
    <w:rsid w:val="00A721A0"/>
    <w:rsid w:val="00A721C8"/>
    <w:rsid w:val="00A721C9"/>
    <w:rsid w:val="00A72254"/>
    <w:rsid w:val="00A72258"/>
    <w:rsid w:val="00A7225E"/>
    <w:rsid w:val="00A72269"/>
    <w:rsid w:val="00A72275"/>
    <w:rsid w:val="00A722C0"/>
    <w:rsid w:val="00A722D6"/>
    <w:rsid w:val="00A72312"/>
    <w:rsid w:val="00A7234C"/>
    <w:rsid w:val="00A7234D"/>
    <w:rsid w:val="00A72380"/>
    <w:rsid w:val="00A7238C"/>
    <w:rsid w:val="00A7238E"/>
    <w:rsid w:val="00A72394"/>
    <w:rsid w:val="00A723A2"/>
    <w:rsid w:val="00A723CC"/>
    <w:rsid w:val="00A723E3"/>
    <w:rsid w:val="00A723F1"/>
    <w:rsid w:val="00A7240C"/>
    <w:rsid w:val="00A72445"/>
    <w:rsid w:val="00A7246A"/>
    <w:rsid w:val="00A724DD"/>
    <w:rsid w:val="00A724EA"/>
    <w:rsid w:val="00A724FB"/>
    <w:rsid w:val="00A72517"/>
    <w:rsid w:val="00A7252F"/>
    <w:rsid w:val="00A72570"/>
    <w:rsid w:val="00A725D3"/>
    <w:rsid w:val="00A725DD"/>
    <w:rsid w:val="00A725EE"/>
    <w:rsid w:val="00A725FD"/>
    <w:rsid w:val="00A7261A"/>
    <w:rsid w:val="00A72624"/>
    <w:rsid w:val="00A72629"/>
    <w:rsid w:val="00A72643"/>
    <w:rsid w:val="00A72672"/>
    <w:rsid w:val="00A726CB"/>
    <w:rsid w:val="00A726F5"/>
    <w:rsid w:val="00A72703"/>
    <w:rsid w:val="00A72705"/>
    <w:rsid w:val="00A7272F"/>
    <w:rsid w:val="00A7273E"/>
    <w:rsid w:val="00A72746"/>
    <w:rsid w:val="00A7274D"/>
    <w:rsid w:val="00A7279E"/>
    <w:rsid w:val="00A727C5"/>
    <w:rsid w:val="00A727D9"/>
    <w:rsid w:val="00A727EA"/>
    <w:rsid w:val="00A72820"/>
    <w:rsid w:val="00A7283F"/>
    <w:rsid w:val="00A72858"/>
    <w:rsid w:val="00A72879"/>
    <w:rsid w:val="00A728BD"/>
    <w:rsid w:val="00A728E6"/>
    <w:rsid w:val="00A728EC"/>
    <w:rsid w:val="00A728F2"/>
    <w:rsid w:val="00A72968"/>
    <w:rsid w:val="00A72976"/>
    <w:rsid w:val="00A72994"/>
    <w:rsid w:val="00A72A1B"/>
    <w:rsid w:val="00A72A7E"/>
    <w:rsid w:val="00A72A8E"/>
    <w:rsid w:val="00A72B14"/>
    <w:rsid w:val="00A72B17"/>
    <w:rsid w:val="00A72B87"/>
    <w:rsid w:val="00A72B8F"/>
    <w:rsid w:val="00A72BDC"/>
    <w:rsid w:val="00A72C06"/>
    <w:rsid w:val="00A72C31"/>
    <w:rsid w:val="00A72C85"/>
    <w:rsid w:val="00A72C8B"/>
    <w:rsid w:val="00A72CCA"/>
    <w:rsid w:val="00A72CE5"/>
    <w:rsid w:val="00A72CF9"/>
    <w:rsid w:val="00A72CFC"/>
    <w:rsid w:val="00A72D04"/>
    <w:rsid w:val="00A72D11"/>
    <w:rsid w:val="00A72D1F"/>
    <w:rsid w:val="00A72D2D"/>
    <w:rsid w:val="00A72D3A"/>
    <w:rsid w:val="00A72D3C"/>
    <w:rsid w:val="00A72DA8"/>
    <w:rsid w:val="00A72DB2"/>
    <w:rsid w:val="00A72DC7"/>
    <w:rsid w:val="00A72DDB"/>
    <w:rsid w:val="00A72DE7"/>
    <w:rsid w:val="00A72DF7"/>
    <w:rsid w:val="00A72E25"/>
    <w:rsid w:val="00A72EA3"/>
    <w:rsid w:val="00A72EBD"/>
    <w:rsid w:val="00A72EDF"/>
    <w:rsid w:val="00A72EE1"/>
    <w:rsid w:val="00A72EFF"/>
    <w:rsid w:val="00A72F46"/>
    <w:rsid w:val="00A72F4A"/>
    <w:rsid w:val="00A72F66"/>
    <w:rsid w:val="00A72F67"/>
    <w:rsid w:val="00A72F77"/>
    <w:rsid w:val="00A72F7E"/>
    <w:rsid w:val="00A72F8D"/>
    <w:rsid w:val="00A72F91"/>
    <w:rsid w:val="00A72FCE"/>
    <w:rsid w:val="00A72FD3"/>
    <w:rsid w:val="00A72FDA"/>
    <w:rsid w:val="00A7300B"/>
    <w:rsid w:val="00A7302A"/>
    <w:rsid w:val="00A7307C"/>
    <w:rsid w:val="00A730F7"/>
    <w:rsid w:val="00A7310F"/>
    <w:rsid w:val="00A73145"/>
    <w:rsid w:val="00A7316F"/>
    <w:rsid w:val="00A7317D"/>
    <w:rsid w:val="00A73193"/>
    <w:rsid w:val="00A731DE"/>
    <w:rsid w:val="00A731E9"/>
    <w:rsid w:val="00A731F6"/>
    <w:rsid w:val="00A73207"/>
    <w:rsid w:val="00A7320B"/>
    <w:rsid w:val="00A7320C"/>
    <w:rsid w:val="00A73217"/>
    <w:rsid w:val="00A73227"/>
    <w:rsid w:val="00A73283"/>
    <w:rsid w:val="00A732B3"/>
    <w:rsid w:val="00A732BB"/>
    <w:rsid w:val="00A732C7"/>
    <w:rsid w:val="00A732E2"/>
    <w:rsid w:val="00A732EB"/>
    <w:rsid w:val="00A732F1"/>
    <w:rsid w:val="00A732F6"/>
    <w:rsid w:val="00A732FA"/>
    <w:rsid w:val="00A73337"/>
    <w:rsid w:val="00A73381"/>
    <w:rsid w:val="00A73387"/>
    <w:rsid w:val="00A7339F"/>
    <w:rsid w:val="00A733BF"/>
    <w:rsid w:val="00A733D9"/>
    <w:rsid w:val="00A73408"/>
    <w:rsid w:val="00A7340C"/>
    <w:rsid w:val="00A7345A"/>
    <w:rsid w:val="00A73499"/>
    <w:rsid w:val="00A734AD"/>
    <w:rsid w:val="00A73513"/>
    <w:rsid w:val="00A73516"/>
    <w:rsid w:val="00A7352F"/>
    <w:rsid w:val="00A73558"/>
    <w:rsid w:val="00A7358B"/>
    <w:rsid w:val="00A735BF"/>
    <w:rsid w:val="00A735C5"/>
    <w:rsid w:val="00A7360E"/>
    <w:rsid w:val="00A73621"/>
    <w:rsid w:val="00A73643"/>
    <w:rsid w:val="00A7367A"/>
    <w:rsid w:val="00A73685"/>
    <w:rsid w:val="00A736B9"/>
    <w:rsid w:val="00A736D1"/>
    <w:rsid w:val="00A736DE"/>
    <w:rsid w:val="00A736EE"/>
    <w:rsid w:val="00A73700"/>
    <w:rsid w:val="00A7370F"/>
    <w:rsid w:val="00A7371C"/>
    <w:rsid w:val="00A7373C"/>
    <w:rsid w:val="00A7374D"/>
    <w:rsid w:val="00A7379E"/>
    <w:rsid w:val="00A737CF"/>
    <w:rsid w:val="00A73802"/>
    <w:rsid w:val="00A73821"/>
    <w:rsid w:val="00A73839"/>
    <w:rsid w:val="00A73856"/>
    <w:rsid w:val="00A7385A"/>
    <w:rsid w:val="00A7386E"/>
    <w:rsid w:val="00A738A4"/>
    <w:rsid w:val="00A738EB"/>
    <w:rsid w:val="00A73903"/>
    <w:rsid w:val="00A73911"/>
    <w:rsid w:val="00A73918"/>
    <w:rsid w:val="00A73927"/>
    <w:rsid w:val="00A73957"/>
    <w:rsid w:val="00A7397F"/>
    <w:rsid w:val="00A739A9"/>
    <w:rsid w:val="00A739B1"/>
    <w:rsid w:val="00A739C7"/>
    <w:rsid w:val="00A73A58"/>
    <w:rsid w:val="00A73A73"/>
    <w:rsid w:val="00A73A82"/>
    <w:rsid w:val="00A73A84"/>
    <w:rsid w:val="00A73A88"/>
    <w:rsid w:val="00A73ACC"/>
    <w:rsid w:val="00A73B1B"/>
    <w:rsid w:val="00A73B3C"/>
    <w:rsid w:val="00A73B46"/>
    <w:rsid w:val="00A73B5C"/>
    <w:rsid w:val="00A73B5D"/>
    <w:rsid w:val="00A73B6F"/>
    <w:rsid w:val="00A73BDC"/>
    <w:rsid w:val="00A73C16"/>
    <w:rsid w:val="00A73C2E"/>
    <w:rsid w:val="00A73C7E"/>
    <w:rsid w:val="00A73CD6"/>
    <w:rsid w:val="00A73CE0"/>
    <w:rsid w:val="00A73D17"/>
    <w:rsid w:val="00A73D52"/>
    <w:rsid w:val="00A73DC3"/>
    <w:rsid w:val="00A73DEC"/>
    <w:rsid w:val="00A73E4F"/>
    <w:rsid w:val="00A73E59"/>
    <w:rsid w:val="00A73E9E"/>
    <w:rsid w:val="00A73F08"/>
    <w:rsid w:val="00A73F13"/>
    <w:rsid w:val="00A73F83"/>
    <w:rsid w:val="00A73FC0"/>
    <w:rsid w:val="00A73FF0"/>
    <w:rsid w:val="00A74011"/>
    <w:rsid w:val="00A7402A"/>
    <w:rsid w:val="00A74036"/>
    <w:rsid w:val="00A74040"/>
    <w:rsid w:val="00A74049"/>
    <w:rsid w:val="00A7404E"/>
    <w:rsid w:val="00A74063"/>
    <w:rsid w:val="00A74088"/>
    <w:rsid w:val="00A740B8"/>
    <w:rsid w:val="00A740DD"/>
    <w:rsid w:val="00A740F6"/>
    <w:rsid w:val="00A74105"/>
    <w:rsid w:val="00A74107"/>
    <w:rsid w:val="00A74157"/>
    <w:rsid w:val="00A7415E"/>
    <w:rsid w:val="00A74169"/>
    <w:rsid w:val="00A7417D"/>
    <w:rsid w:val="00A74181"/>
    <w:rsid w:val="00A74187"/>
    <w:rsid w:val="00A7418E"/>
    <w:rsid w:val="00A741A1"/>
    <w:rsid w:val="00A741D5"/>
    <w:rsid w:val="00A741E9"/>
    <w:rsid w:val="00A741F8"/>
    <w:rsid w:val="00A74253"/>
    <w:rsid w:val="00A742D9"/>
    <w:rsid w:val="00A7433B"/>
    <w:rsid w:val="00A74341"/>
    <w:rsid w:val="00A7435D"/>
    <w:rsid w:val="00A7435F"/>
    <w:rsid w:val="00A7436F"/>
    <w:rsid w:val="00A7439C"/>
    <w:rsid w:val="00A7441B"/>
    <w:rsid w:val="00A7445F"/>
    <w:rsid w:val="00A74488"/>
    <w:rsid w:val="00A744A2"/>
    <w:rsid w:val="00A744B5"/>
    <w:rsid w:val="00A744E9"/>
    <w:rsid w:val="00A744F7"/>
    <w:rsid w:val="00A7458C"/>
    <w:rsid w:val="00A74597"/>
    <w:rsid w:val="00A745A8"/>
    <w:rsid w:val="00A745ED"/>
    <w:rsid w:val="00A7462B"/>
    <w:rsid w:val="00A7462F"/>
    <w:rsid w:val="00A7463A"/>
    <w:rsid w:val="00A7464A"/>
    <w:rsid w:val="00A74694"/>
    <w:rsid w:val="00A74739"/>
    <w:rsid w:val="00A74746"/>
    <w:rsid w:val="00A74747"/>
    <w:rsid w:val="00A74780"/>
    <w:rsid w:val="00A747D4"/>
    <w:rsid w:val="00A7484C"/>
    <w:rsid w:val="00A74850"/>
    <w:rsid w:val="00A74851"/>
    <w:rsid w:val="00A7485C"/>
    <w:rsid w:val="00A7488D"/>
    <w:rsid w:val="00A7488E"/>
    <w:rsid w:val="00A748A1"/>
    <w:rsid w:val="00A748A7"/>
    <w:rsid w:val="00A748CE"/>
    <w:rsid w:val="00A748EE"/>
    <w:rsid w:val="00A74903"/>
    <w:rsid w:val="00A74924"/>
    <w:rsid w:val="00A7493A"/>
    <w:rsid w:val="00A74948"/>
    <w:rsid w:val="00A74958"/>
    <w:rsid w:val="00A7497F"/>
    <w:rsid w:val="00A74988"/>
    <w:rsid w:val="00A749D8"/>
    <w:rsid w:val="00A749F5"/>
    <w:rsid w:val="00A74A02"/>
    <w:rsid w:val="00A74A15"/>
    <w:rsid w:val="00A74A43"/>
    <w:rsid w:val="00A74A5B"/>
    <w:rsid w:val="00A74A8A"/>
    <w:rsid w:val="00A74A93"/>
    <w:rsid w:val="00A74AC0"/>
    <w:rsid w:val="00A74ACB"/>
    <w:rsid w:val="00A74ACE"/>
    <w:rsid w:val="00A74AEC"/>
    <w:rsid w:val="00A74B31"/>
    <w:rsid w:val="00A74B3F"/>
    <w:rsid w:val="00A74B5B"/>
    <w:rsid w:val="00A74B65"/>
    <w:rsid w:val="00A74B79"/>
    <w:rsid w:val="00A74B94"/>
    <w:rsid w:val="00A74B98"/>
    <w:rsid w:val="00A74BF3"/>
    <w:rsid w:val="00A74C02"/>
    <w:rsid w:val="00A74C25"/>
    <w:rsid w:val="00A74C7A"/>
    <w:rsid w:val="00A74C93"/>
    <w:rsid w:val="00A74CCB"/>
    <w:rsid w:val="00A74CE4"/>
    <w:rsid w:val="00A74CF1"/>
    <w:rsid w:val="00A74CF8"/>
    <w:rsid w:val="00A74D24"/>
    <w:rsid w:val="00A74D68"/>
    <w:rsid w:val="00A74D76"/>
    <w:rsid w:val="00A74DCE"/>
    <w:rsid w:val="00A74DFA"/>
    <w:rsid w:val="00A74E0D"/>
    <w:rsid w:val="00A74E99"/>
    <w:rsid w:val="00A74EB7"/>
    <w:rsid w:val="00A74ED1"/>
    <w:rsid w:val="00A74EF2"/>
    <w:rsid w:val="00A74F43"/>
    <w:rsid w:val="00A74F78"/>
    <w:rsid w:val="00A74FB9"/>
    <w:rsid w:val="00A75065"/>
    <w:rsid w:val="00A75096"/>
    <w:rsid w:val="00A750A2"/>
    <w:rsid w:val="00A750FB"/>
    <w:rsid w:val="00A75114"/>
    <w:rsid w:val="00A7514A"/>
    <w:rsid w:val="00A7519B"/>
    <w:rsid w:val="00A7519D"/>
    <w:rsid w:val="00A751AC"/>
    <w:rsid w:val="00A751CF"/>
    <w:rsid w:val="00A751ED"/>
    <w:rsid w:val="00A751F4"/>
    <w:rsid w:val="00A7523C"/>
    <w:rsid w:val="00A7525F"/>
    <w:rsid w:val="00A75281"/>
    <w:rsid w:val="00A7529F"/>
    <w:rsid w:val="00A752AC"/>
    <w:rsid w:val="00A752D6"/>
    <w:rsid w:val="00A752E8"/>
    <w:rsid w:val="00A75374"/>
    <w:rsid w:val="00A7537D"/>
    <w:rsid w:val="00A753AB"/>
    <w:rsid w:val="00A753C2"/>
    <w:rsid w:val="00A753E1"/>
    <w:rsid w:val="00A75415"/>
    <w:rsid w:val="00A75426"/>
    <w:rsid w:val="00A7543D"/>
    <w:rsid w:val="00A75452"/>
    <w:rsid w:val="00A7545A"/>
    <w:rsid w:val="00A75460"/>
    <w:rsid w:val="00A75492"/>
    <w:rsid w:val="00A754C7"/>
    <w:rsid w:val="00A754C8"/>
    <w:rsid w:val="00A7551D"/>
    <w:rsid w:val="00A75520"/>
    <w:rsid w:val="00A7553E"/>
    <w:rsid w:val="00A75561"/>
    <w:rsid w:val="00A75580"/>
    <w:rsid w:val="00A755D3"/>
    <w:rsid w:val="00A755D7"/>
    <w:rsid w:val="00A755EA"/>
    <w:rsid w:val="00A755ED"/>
    <w:rsid w:val="00A75617"/>
    <w:rsid w:val="00A75675"/>
    <w:rsid w:val="00A756B1"/>
    <w:rsid w:val="00A756B7"/>
    <w:rsid w:val="00A756E7"/>
    <w:rsid w:val="00A756F1"/>
    <w:rsid w:val="00A756FD"/>
    <w:rsid w:val="00A756FE"/>
    <w:rsid w:val="00A7574D"/>
    <w:rsid w:val="00A7574E"/>
    <w:rsid w:val="00A75766"/>
    <w:rsid w:val="00A757C5"/>
    <w:rsid w:val="00A757D7"/>
    <w:rsid w:val="00A757F6"/>
    <w:rsid w:val="00A75806"/>
    <w:rsid w:val="00A75857"/>
    <w:rsid w:val="00A75892"/>
    <w:rsid w:val="00A7589B"/>
    <w:rsid w:val="00A75927"/>
    <w:rsid w:val="00A75941"/>
    <w:rsid w:val="00A75978"/>
    <w:rsid w:val="00A759D1"/>
    <w:rsid w:val="00A759D2"/>
    <w:rsid w:val="00A75A0E"/>
    <w:rsid w:val="00A75A1D"/>
    <w:rsid w:val="00A75A1F"/>
    <w:rsid w:val="00A75A2E"/>
    <w:rsid w:val="00A75A43"/>
    <w:rsid w:val="00A75A7D"/>
    <w:rsid w:val="00A75A9B"/>
    <w:rsid w:val="00A75ABB"/>
    <w:rsid w:val="00A75AFC"/>
    <w:rsid w:val="00A75B04"/>
    <w:rsid w:val="00A75B0F"/>
    <w:rsid w:val="00A75B31"/>
    <w:rsid w:val="00A75B4F"/>
    <w:rsid w:val="00A75BA2"/>
    <w:rsid w:val="00A75BB4"/>
    <w:rsid w:val="00A75BC1"/>
    <w:rsid w:val="00A75BC8"/>
    <w:rsid w:val="00A75BDC"/>
    <w:rsid w:val="00A75C08"/>
    <w:rsid w:val="00A75C2B"/>
    <w:rsid w:val="00A75C2C"/>
    <w:rsid w:val="00A75C50"/>
    <w:rsid w:val="00A75C69"/>
    <w:rsid w:val="00A75CDE"/>
    <w:rsid w:val="00A75CE7"/>
    <w:rsid w:val="00A75D06"/>
    <w:rsid w:val="00A75D0A"/>
    <w:rsid w:val="00A75D1E"/>
    <w:rsid w:val="00A75DAB"/>
    <w:rsid w:val="00A75EB3"/>
    <w:rsid w:val="00A75EB7"/>
    <w:rsid w:val="00A75ED7"/>
    <w:rsid w:val="00A75ED8"/>
    <w:rsid w:val="00A75EE9"/>
    <w:rsid w:val="00A75F02"/>
    <w:rsid w:val="00A75F03"/>
    <w:rsid w:val="00A75F26"/>
    <w:rsid w:val="00A75F4C"/>
    <w:rsid w:val="00A75F72"/>
    <w:rsid w:val="00A75F80"/>
    <w:rsid w:val="00A75FA0"/>
    <w:rsid w:val="00A75FD7"/>
    <w:rsid w:val="00A75FF5"/>
    <w:rsid w:val="00A76092"/>
    <w:rsid w:val="00A76096"/>
    <w:rsid w:val="00A760B9"/>
    <w:rsid w:val="00A760FC"/>
    <w:rsid w:val="00A760FD"/>
    <w:rsid w:val="00A7613A"/>
    <w:rsid w:val="00A76161"/>
    <w:rsid w:val="00A76168"/>
    <w:rsid w:val="00A7617A"/>
    <w:rsid w:val="00A761AC"/>
    <w:rsid w:val="00A761D2"/>
    <w:rsid w:val="00A761E2"/>
    <w:rsid w:val="00A7621B"/>
    <w:rsid w:val="00A7621C"/>
    <w:rsid w:val="00A76244"/>
    <w:rsid w:val="00A76264"/>
    <w:rsid w:val="00A76278"/>
    <w:rsid w:val="00A76290"/>
    <w:rsid w:val="00A762B4"/>
    <w:rsid w:val="00A762C4"/>
    <w:rsid w:val="00A762F5"/>
    <w:rsid w:val="00A762FE"/>
    <w:rsid w:val="00A76332"/>
    <w:rsid w:val="00A763B3"/>
    <w:rsid w:val="00A763D6"/>
    <w:rsid w:val="00A763ED"/>
    <w:rsid w:val="00A76414"/>
    <w:rsid w:val="00A76416"/>
    <w:rsid w:val="00A76424"/>
    <w:rsid w:val="00A76427"/>
    <w:rsid w:val="00A764BA"/>
    <w:rsid w:val="00A764D0"/>
    <w:rsid w:val="00A76504"/>
    <w:rsid w:val="00A76539"/>
    <w:rsid w:val="00A76552"/>
    <w:rsid w:val="00A7656E"/>
    <w:rsid w:val="00A76573"/>
    <w:rsid w:val="00A76593"/>
    <w:rsid w:val="00A765B4"/>
    <w:rsid w:val="00A765FC"/>
    <w:rsid w:val="00A76644"/>
    <w:rsid w:val="00A7664D"/>
    <w:rsid w:val="00A76694"/>
    <w:rsid w:val="00A766CF"/>
    <w:rsid w:val="00A766DF"/>
    <w:rsid w:val="00A76718"/>
    <w:rsid w:val="00A76739"/>
    <w:rsid w:val="00A7677A"/>
    <w:rsid w:val="00A767B5"/>
    <w:rsid w:val="00A767C2"/>
    <w:rsid w:val="00A767E6"/>
    <w:rsid w:val="00A767EE"/>
    <w:rsid w:val="00A767F0"/>
    <w:rsid w:val="00A76814"/>
    <w:rsid w:val="00A7683E"/>
    <w:rsid w:val="00A76847"/>
    <w:rsid w:val="00A7685C"/>
    <w:rsid w:val="00A7688C"/>
    <w:rsid w:val="00A768A4"/>
    <w:rsid w:val="00A768B5"/>
    <w:rsid w:val="00A768E1"/>
    <w:rsid w:val="00A768F1"/>
    <w:rsid w:val="00A76920"/>
    <w:rsid w:val="00A769C7"/>
    <w:rsid w:val="00A769E1"/>
    <w:rsid w:val="00A769FE"/>
    <w:rsid w:val="00A76A00"/>
    <w:rsid w:val="00A76A62"/>
    <w:rsid w:val="00A76AEA"/>
    <w:rsid w:val="00A76AFF"/>
    <w:rsid w:val="00A76B31"/>
    <w:rsid w:val="00A76B4F"/>
    <w:rsid w:val="00A76B74"/>
    <w:rsid w:val="00A76C1E"/>
    <w:rsid w:val="00A76C33"/>
    <w:rsid w:val="00A76CAD"/>
    <w:rsid w:val="00A76CBD"/>
    <w:rsid w:val="00A76D04"/>
    <w:rsid w:val="00A76D7A"/>
    <w:rsid w:val="00A76D7B"/>
    <w:rsid w:val="00A76DB9"/>
    <w:rsid w:val="00A76DBC"/>
    <w:rsid w:val="00A76E4D"/>
    <w:rsid w:val="00A76F14"/>
    <w:rsid w:val="00A76F26"/>
    <w:rsid w:val="00A76F31"/>
    <w:rsid w:val="00A76F37"/>
    <w:rsid w:val="00A76F4A"/>
    <w:rsid w:val="00A76FED"/>
    <w:rsid w:val="00A77001"/>
    <w:rsid w:val="00A77052"/>
    <w:rsid w:val="00A77086"/>
    <w:rsid w:val="00A7719C"/>
    <w:rsid w:val="00A7719E"/>
    <w:rsid w:val="00A771EF"/>
    <w:rsid w:val="00A7721F"/>
    <w:rsid w:val="00A77235"/>
    <w:rsid w:val="00A77296"/>
    <w:rsid w:val="00A7729E"/>
    <w:rsid w:val="00A772AC"/>
    <w:rsid w:val="00A772C7"/>
    <w:rsid w:val="00A77303"/>
    <w:rsid w:val="00A77327"/>
    <w:rsid w:val="00A7733B"/>
    <w:rsid w:val="00A773A0"/>
    <w:rsid w:val="00A773D2"/>
    <w:rsid w:val="00A7742A"/>
    <w:rsid w:val="00A7744C"/>
    <w:rsid w:val="00A77468"/>
    <w:rsid w:val="00A774BF"/>
    <w:rsid w:val="00A77501"/>
    <w:rsid w:val="00A77505"/>
    <w:rsid w:val="00A77519"/>
    <w:rsid w:val="00A77529"/>
    <w:rsid w:val="00A77564"/>
    <w:rsid w:val="00A77578"/>
    <w:rsid w:val="00A775F2"/>
    <w:rsid w:val="00A775F6"/>
    <w:rsid w:val="00A775FB"/>
    <w:rsid w:val="00A77635"/>
    <w:rsid w:val="00A776AB"/>
    <w:rsid w:val="00A776B3"/>
    <w:rsid w:val="00A776DB"/>
    <w:rsid w:val="00A776E6"/>
    <w:rsid w:val="00A776EC"/>
    <w:rsid w:val="00A776F6"/>
    <w:rsid w:val="00A77722"/>
    <w:rsid w:val="00A7773F"/>
    <w:rsid w:val="00A777A0"/>
    <w:rsid w:val="00A7780C"/>
    <w:rsid w:val="00A77811"/>
    <w:rsid w:val="00A7784A"/>
    <w:rsid w:val="00A77875"/>
    <w:rsid w:val="00A7789F"/>
    <w:rsid w:val="00A77911"/>
    <w:rsid w:val="00A77915"/>
    <w:rsid w:val="00A7791C"/>
    <w:rsid w:val="00A7799A"/>
    <w:rsid w:val="00A779A0"/>
    <w:rsid w:val="00A77A09"/>
    <w:rsid w:val="00A77A17"/>
    <w:rsid w:val="00A77A31"/>
    <w:rsid w:val="00A77A43"/>
    <w:rsid w:val="00A77A5B"/>
    <w:rsid w:val="00A77A6D"/>
    <w:rsid w:val="00A77AB2"/>
    <w:rsid w:val="00A77AFE"/>
    <w:rsid w:val="00A77B75"/>
    <w:rsid w:val="00A77BBD"/>
    <w:rsid w:val="00A77BC5"/>
    <w:rsid w:val="00A77BCE"/>
    <w:rsid w:val="00A77BD3"/>
    <w:rsid w:val="00A77BFF"/>
    <w:rsid w:val="00A77C05"/>
    <w:rsid w:val="00A77C82"/>
    <w:rsid w:val="00A77C89"/>
    <w:rsid w:val="00A77C8B"/>
    <w:rsid w:val="00A77C93"/>
    <w:rsid w:val="00A77C9C"/>
    <w:rsid w:val="00A77CA0"/>
    <w:rsid w:val="00A77CBC"/>
    <w:rsid w:val="00A77CC9"/>
    <w:rsid w:val="00A77CFB"/>
    <w:rsid w:val="00A77D1B"/>
    <w:rsid w:val="00A77D2B"/>
    <w:rsid w:val="00A77D5B"/>
    <w:rsid w:val="00A77D60"/>
    <w:rsid w:val="00A77D95"/>
    <w:rsid w:val="00A77DB9"/>
    <w:rsid w:val="00A77DF0"/>
    <w:rsid w:val="00A77E42"/>
    <w:rsid w:val="00A77E65"/>
    <w:rsid w:val="00A77E80"/>
    <w:rsid w:val="00A77F74"/>
    <w:rsid w:val="00A8003E"/>
    <w:rsid w:val="00A80087"/>
    <w:rsid w:val="00A80097"/>
    <w:rsid w:val="00A800A1"/>
    <w:rsid w:val="00A800BD"/>
    <w:rsid w:val="00A800CC"/>
    <w:rsid w:val="00A800E9"/>
    <w:rsid w:val="00A80120"/>
    <w:rsid w:val="00A80122"/>
    <w:rsid w:val="00A80139"/>
    <w:rsid w:val="00A80178"/>
    <w:rsid w:val="00A801A5"/>
    <w:rsid w:val="00A801B8"/>
    <w:rsid w:val="00A801C8"/>
    <w:rsid w:val="00A801D3"/>
    <w:rsid w:val="00A801F9"/>
    <w:rsid w:val="00A8025A"/>
    <w:rsid w:val="00A80324"/>
    <w:rsid w:val="00A8033F"/>
    <w:rsid w:val="00A8034F"/>
    <w:rsid w:val="00A80387"/>
    <w:rsid w:val="00A803DF"/>
    <w:rsid w:val="00A8045D"/>
    <w:rsid w:val="00A804DD"/>
    <w:rsid w:val="00A80521"/>
    <w:rsid w:val="00A80532"/>
    <w:rsid w:val="00A80561"/>
    <w:rsid w:val="00A80596"/>
    <w:rsid w:val="00A805F5"/>
    <w:rsid w:val="00A80621"/>
    <w:rsid w:val="00A80634"/>
    <w:rsid w:val="00A80658"/>
    <w:rsid w:val="00A80668"/>
    <w:rsid w:val="00A806A6"/>
    <w:rsid w:val="00A806F7"/>
    <w:rsid w:val="00A80705"/>
    <w:rsid w:val="00A80716"/>
    <w:rsid w:val="00A80756"/>
    <w:rsid w:val="00A8075A"/>
    <w:rsid w:val="00A8076B"/>
    <w:rsid w:val="00A8078A"/>
    <w:rsid w:val="00A80794"/>
    <w:rsid w:val="00A80795"/>
    <w:rsid w:val="00A807A1"/>
    <w:rsid w:val="00A807BD"/>
    <w:rsid w:val="00A807DA"/>
    <w:rsid w:val="00A807DC"/>
    <w:rsid w:val="00A807E6"/>
    <w:rsid w:val="00A80821"/>
    <w:rsid w:val="00A8082B"/>
    <w:rsid w:val="00A80836"/>
    <w:rsid w:val="00A80881"/>
    <w:rsid w:val="00A80896"/>
    <w:rsid w:val="00A8089F"/>
    <w:rsid w:val="00A808EE"/>
    <w:rsid w:val="00A80949"/>
    <w:rsid w:val="00A8095A"/>
    <w:rsid w:val="00A80967"/>
    <w:rsid w:val="00A80980"/>
    <w:rsid w:val="00A809EB"/>
    <w:rsid w:val="00A80A9F"/>
    <w:rsid w:val="00A80AB1"/>
    <w:rsid w:val="00A80AB7"/>
    <w:rsid w:val="00A80AEF"/>
    <w:rsid w:val="00A80AF4"/>
    <w:rsid w:val="00A80B10"/>
    <w:rsid w:val="00A80B17"/>
    <w:rsid w:val="00A80B49"/>
    <w:rsid w:val="00A80B5A"/>
    <w:rsid w:val="00A80B63"/>
    <w:rsid w:val="00A80BD3"/>
    <w:rsid w:val="00A80C07"/>
    <w:rsid w:val="00A80C50"/>
    <w:rsid w:val="00A80CA7"/>
    <w:rsid w:val="00A80CB6"/>
    <w:rsid w:val="00A80CCA"/>
    <w:rsid w:val="00A80CD5"/>
    <w:rsid w:val="00A80CD8"/>
    <w:rsid w:val="00A80CFC"/>
    <w:rsid w:val="00A80D21"/>
    <w:rsid w:val="00A80D2F"/>
    <w:rsid w:val="00A80D92"/>
    <w:rsid w:val="00A80DB6"/>
    <w:rsid w:val="00A80DC2"/>
    <w:rsid w:val="00A80DCB"/>
    <w:rsid w:val="00A80DE2"/>
    <w:rsid w:val="00A80E04"/>
    <w:rsid w:val="00A80E2D"/>
    <w:rsid w:val="00A80E46"/>
    <w:rsid w:val="00A80E4B"/>
    <w:rsid w:val="00A80E6C"/>
    <w:rsid w:val="00A80ED8"/>
    <w:rsid w:val="00A80F07"/>
    <w:rsid w:val="00A80F16"/>
    <w:rsid w:val="00A80F1A"/>
    <w:rsid w:val="00A80F41"/>
    <w:rsid w:val="00A80F53"/>
    <w:rsid w:val="00A81029"/>
    <w:rsid w:val="00A8102E"/>
    <w:rsid w:val="00A8107A"/>
    <w:rsid w:val="00A8109F"/>
    <w:rsid w:val="00A810A2"/>
    <w:rsid w:val="00A810F4"/>
    <w:rsid w:val="00A81130"/>
    <w:rsid w:val="00A8118E"/>
    <w:rsid w:val="00A811A2"/>
    <w:rsid w:val="00A811B1"/>
    <w:rsid w:val="00A8122C"/>
    <w:rsid w:val="00A8123C"/>
    <w:rsid w:val="00A81247"/>
    <w:rsid w:val="00A8125A"/>
    <w:rsid w:val="00A81263"/>
    <w:rsid w:val="00A81287"/>
    <w:rsid w:val="00A81296"/>
    <w:rsid w:val="00A812C1"/>
    <w:rsid w:val="00A812D2"/>
    <w:rsid w:val="00A812FF"/>
    <w:rsid w:val="00A81301"/>
    <w:rsid w:val="00A8138C"/>
    <w:rsid w:val="00A813B1"/>
    <w:rsid w:val="00A81414"/>
    <w:rsid w:val="00A8147D"/>
    <w:rsid w:val="00A81488"/>
    <w:rsid w:val="00A814A5"/>
    <w:rsid w:val="00A814D3"/>
    <w:rsid w:val="00A814DE"/>
    <w:rsid w:val="00A8150E"/>
    <w:rsid w:val="00A81571"/>
    <w:rsid w:val="00A81574"/>
    <w:rsid w:val="00A81591"/>
    <w:rsid w:val="00A815F5"/>
    <w:rsid w:val="00A815FF"/>
    <w:rsid w:val="00A81608"/>
    <w:rsid w:val="00A81639"/>
    <w:rsid w:val="00A81671"/>
    <w:rsid w:val="00A816A0"/>
    <w:rsid w:val="00A816B9"/>
    <w:rsid w:val="00A816E9"/>
    <w:rsid w:val="00A816F6"/>
    <w:rsid w:val="00A81723"/>
    <w:rsid w:val="00A81748"/>
    <w:rsid w:val="00A81749"/>
    <w:rsid w:val="00A8174E"/>
    <w:rsid w:val="00A81782"/>
    <w:rsid w:val="00A81819"/>
    <w:rsid w:val="00A81835"/>
    <w:rsid w:val="00A8187E"/>
    <w:rsid w:val="00A818AA"/>
    <w:rsid w:val="00A818B2"/>
    <w:rsid w:val="00A818B9"/>
    <w:rsid w:val="00A818CD"/>
    <w:rsid w:val="00A818D7"/>
    <w:rsid w:val="00A81912"/>
    <w:rsid w:val="00A8196E"/>
    <w:rsid w:val="00A819F9"/>
    <w:rsid w:val="00A81A01"/>
    <w:rsid w:val="00A81A35"/>
    <w:rsid w:val="00A81AA5"/>
    <w:rsid w:val="00A81AEE"/>
    <w:rsid w:val="00A81AF8"/>
    <w:rsid w:val="00A81B0E"/>
    <w:rsid w:val="00A81B2A"/>
    <w:rsid w:val="00A81B38"/>
    <w:rsid w:val="00A81B6E"/>
    <w:rsid w:val="00A81BA3"/>
    <w:rsid w:val="00A81BC4"/>
    <w:rsid w:val="00A81BF4"/>
    <w:rsid w:val="00A81C0A"/>
    <w:rsid w:val="00A81C11"/>
    <w:rsid w:val="00A81C36"/>
    <w:rsid w:val="00A81C38"/>
    <w:rsid w:val="00A81C5F"/>
    <w:rsid w:val="00A81C6F"/>
    <w:rsid w:val="00A81CC9"/>
    <w:rsid w:val="00A81CCE"/>
    <w:rsid w:val="00A81CFA"/>
    <w:rsid w:val="00A81D2D"/>
    <w:rsid w:val="00A81D3B"/>
    <w:rsid w:val="00A81D40"/>
    <w:rsid w:val="00A81DD3"/>
    <w:rsid w:val="00A81DE7"/>
    <w:rsid w:val="00A81DFE"/>
    <w:rsid w:val="00A81E1C"/>
    <w:rsid w:val="00A81E22"/>
    <w:rsid w:val="00A81E58"/>
    <w:rsid w:val="00A81E66"/>
    <w:rsid w:val="00A81E6C"/>
    <w:rsid w:val="00A81E8C"/>
    <w:rsid w:val="00A81E8D"/>
    <w:rsid w:val="00A81EC5"/>
    <w:rsid w:val="00A81ED1"/>
    <w:rsid w:val="00A81EE1"/>
    <w:rsid w:val="00A81EFF"/>
    <w:rsid w:val="00A81F6F"/>
    <w:rsid w:val="00A81FA7"/>
    <w:rsid w:val="00A81FB6"/>
    <w:rsid w:val="00A81FEC"/>
    <w:rsid w:val="00A82003"/>
    <w:rsid w:val="00A82033"/>
    <w:rsid w:val="00A82044"/>
    <w:rsid w:val="00A820C9"/>
    <w:rsid w:val="00A82112"/>
    <w:rsid w:val="00A82167"/>
    <w:rsid w:val="00A8216B"/>
    <w:rsid w:val="00A821CB"/>
    <w:rsid w:val="00A821FD"/>
    <w:rsid w:val="00A8222B"/>
    <w:rsid w:val="00A8222F"/>
    <w:rsid w:val="00A8226D"/>
    <w:rsid w:val="00A822A3"/>
    <w:rsid w:val="00A822A6"/>
    <w:rsid w:val="00A822B9"/>
    <w:rsid w:val="00A822DB"/>
    <w:rsid w:val="00A822F8"/>
    <w:rsid w:val="00A82343"/>
    <w:rsid w:val="00A8235D"/>
    <w:rsid w:val="00A8235F"/>
    <w:rsid w:val="00A82365"/>
    <w:rsid w:val="00A8236C"/>
    <w:rsid w:val="00A8239E"/>
    <w:rsid w:val="00A823D0"/>
    <w:rsid w:val="00A823DE"/>
    <w:rsid w:val="00A82462"/>
    <w:rsid w:val="00A82479"/>
    <w:rsid w:val="00A8249F"/>
    <w:rsid w:val="00A824A6"/>
    <w:rsid w:val="00A824DE"/>
    <w:rsid w:val="00A824E3"/>
    <w:rsid w:val="00A82510"/>
    <w:rsid w:val="00A82517"/>
    <w:rsid w:val="00A8252D"/>
    <w:rsid w:val="00A82583"/>
    <w:rsid w:val="00A8259C"/>
    <w:rsid w:val="00A825D0"/>
    <w:rsid w:val="00A8264F"/>
    <w:rsid w:val="00A8265D"/>
    <w:rsid w:val="00A82663"/>
    <w:rsid w:val="00A8267A"/>
    <w:rsid w:val="00A82684"/>
    <w:rsid w:val="00A826AD"/>
    <w:rsid w:val="00A826FA"/>
    <w:rsid w:val="00A8270C"/>
    <w:rsid w:val="00A82723"/>
    <w:rsid w:val="00A8273F"/>
    <w:rsid w:val="00A82754"/>
    <w:rsid w:val="00A82772"/>
    <w:rsid w:val="00A827FE"/>
    <w:rsid w:val="00A8282C"/>
    <w:rsid w:val="00A82853"/>
    <w:rsid w:val="00A82858"/>
    <w:rsid w:val="00A828B6"/>
    <w:rsid w:val="00A828D1"/>
    <w:rsid w:val="00A828E3"/>
    <w:rsid w:val="00A82903"/>
    <w:rsid w:val="00A82934"/>
    <w:rsid w:val="00A8293A"/>
    <w:rsid w:val="00A8297E"/>
    <w:rsid w:val="00A82990"/>
    <w:rsid w:val="00A82A1E"/>
    <w:rsid w:val="00A82A21"/>
    <w:rsid w:val="00A82A37"/>
    <w:rsid w:val="00A82A6C"/>
    <w:rsid w:val="00A82A94"/>
    <w:rsid w:val="00A82AA1"/>
    <w:rsid w:val="00A82ABB"/>
    <w:rsid w:val="00A82B03"/>
    <w:rsid w:val="00A82B36"/>
    <w:rsid w:val="00A82B49"/>
    <w:rsid w:val="00A82B7A"/>
    <w:rsid w:val="00A82B9E"/>
    <w:rsid w:val="00A82BA2"/>
    <w:rsid w:val="00A82BA5"/>
    <w:rsid w:val="00A82BB4"/>
    <w:rsid w:val="00A82C06"/>
    <w:rsid w:val="00A82C15"/>
    <w:rsid w:val="00A82C1C"/>
    <w:rsid w:val="00A82C7E"/>
    <w:rsid w:val="00A82C9E"/>
    <w:rsid w:val="00A82CC0"/>
    <w:rsid w:val="00A82CC2"/>
    <w:rsid w:val="00A82CCC"/>
    <w:rsid w:val="00A82CD9"/>
    <w:rsid w:val="00A82CF9"/>
    <w:rsid w:val="00A82D0F"/>
    <w:rsid w:val="00A82D24"/>
    <w:rsid w:val="00A82D2E"/>
    <w:rsid w:val="00A82D3C"/>
    <w:rsid w:val="00A82D3F"/>
    <w:rsid w:val="00A82D77"/>
    <w:rsid w:val="00A82D94"/>
    <w:rsid w:val="00A82DC8"/>
    <w:rsid w:val="00A82DEA"/>
    <w:rsid w:val="00A82DFE"/>
    <w:rsid w:val="00A82E36"/>
    <w:rsid w:val="00A82EB7"/>
    <w:rsid w:val="00A82EBA"/>
    <w:rsid w:val="00A82EC4"/>
    <w:rsid w:val="00A82EF0"/>
    <w:rsid w:val="00A82EFD"/>
    <w:rsid w:val="00A82F07"/>
    <w:rsid w:val="00A82F14"/>
    <w:rsid w:val="00A82F5F"/>
    <w:rsid w:val="00A82F77"/>
    <w:rsid w:val="00A82F7D"/>
    <w:rsid w:val="00A82FE4"/>
    <w:rsid w:val="00A83009"/>
    <w:rsid w:val="00A83018"/>
    <w:rsid w:val="00A83044"/>
    <w:rsid w:val="00A83067"/>
    <w:rsid w:val="00A83071"/>
    <w:rsid w:val="00A83089"/>
    <w:rsid w:val="00A830C1"/>
    <w:rsid w:val="00A830D0"/>
    <w:rsid w:val="00A830D7"/>
    <w:rsid w:val="00A830DA"/>
    <w:rsid w:val="00A830E1"/>
    <w:rsid w:val="00A830FC"/>
    <w:rsid w:val="00A830FF"/>
    <w:rsid w:val="00A8312A"/>
    <w:rsid w:val="00A83138"/>
    <w:rsid w:val="00A83168"/>
    <w:rsid w:val="00A8317B"/>
    <w:rsid w:val="00A831C4"/>
    <w:rsid w:val="00A831DE"/>
    <w:rsid w:val="00A83217"/>
    <w:rsid w:val="00A8321E"/>
    <w:rsid w:val="00A8323E"/>
    <w:rsid w:val="00A8327D"/>
    <w:rsid w:val="00A832B9"/>
    <w:rsid w:val="00A832CD"/>
    <w:rsid w:val="00A832EB"/>
    <w:rsid w:val="00A8331B"/>
    <w:rsid w:val="00A83337"/>
    <w:rsid w:val="00A83341"/>
    <w:rsid w:val="00A83358"/>
    <w:rsid w:val="00A8336A"/>
    <w:rsid w:val="00A83392"/>
    <w:rsid w:val="00A833A7"/>
    <w:rsid w:val="00A833D2"/>
    <w:rsid w:val="00A83424"/>
    <w:rsid w:val="00A83452"/>
    <w:rsid w:val="00A83465"/>
    <w:rsid w:val="00A8347C"/>
    <w:rsid w:val="00A834AF"/>
    <w:rsid w:val="00A834C6"/>
    <w:rsid w:val="00A83583"/>
    <w:rsid w:val="00A835B3"/>
    <w:rsid w:val="00A8364B"/>
    <w:rsid w:val="00A83674"/>
    <w:rsid w:val="00A8367C"/>
    <w:rsid w:val="00A83691"/>
    <w:rsid w:val="00A836AD"/>
    <w:rsid w:val="00A836F3"/>
    <w:rsid w:val="00A8376A"/>
    <w:rsid w:val="00A83779"/>
    <w:rsid w:val="00A83787"/>
    <w:rsid w:val="00A837E9"/>
    <w:rsid w:val="00A83829"/>
    <w:rsid w:val="00A838AB"/>
    <w:rsid w:val="00A838D8"/>
    <w:rsid w:val="00A83906"/>
    <w:rsid w:val="00A8392D"/>
    <w:rsid w:val="00A8393F"/>
    <w:rsid w:val="00A8397A"/>
    <w:rsid w:val="00A839C9"/>
    <w:rsid w:val="00A839FE"/>
    <w:rsid w:val="00A83A34"/>
    <w:rsid w:val="00A83A49"/>
    <w:rsid w:val="00A83A5D"/>
    <w:rsid w:val="00A83A8C"/>
    <w:rsid w:val="00A83AC5"/>
    <w:rsid w:val="00A83ACC"/>
    <w:rsid w:val="00A83ADF"/>
    <w:rsid w:val="00A83AFD"/>
    <w:rsid w:val="00A83BAA"/>
    <w:rsid w:val="00A83BF1"/>
    <w:rsid w:val="00A83C2C"/>
    <w:rsid w:val="00A83C4B"/>
    <w:rsid w:val="00A83C52"/>
    <w:rsid w:val="00A83C70"/>
    <w:rsid w:val="00A83CC1"/>
    <w:rsid w:val="00A83CDE"/>
    <w:rsid w:val="00A83CDF"/>
    <w:rsid w:val="00A83CE2"/>
    <w:rsid w:val="00A83CE6"/>
    <w:rsid w:val="00A83D2C"/>
    <w:rsid w:val="00A83D32"/>
    <w:rsid w:val="00A83D75"/>
    <w:rsid w:val="00A83D81"/>
    <w:rsid w:val="00A83D8C"/>
    <w:rsid w:val="00A83D8D"/>
    <w:rsid w:val="00A83DAD"/>
    <w:rsid w:val="00A83DC9"/>
    <w:rsid w:val="00A83DF7"/>
    <w:rsid w:val="00A83E00"/>
    <w:rsid w:val="00A83E1A"/>
    <w:rsid w:val="00A83E22"/>
    <w:rsid w:val="00A83E68"/>
    <w:rsid w:val="00A83E98"/>
    <w:rsid w:val="00A83EB5"/>
    <w:rsid w:val="00A83EBA"/>
    <w:rsid w:val="00A83EE0"/>
    <w:rsid w:val="00A83EF3"/>
    <w:rsid w:val="00A83F38"/>
    <w:rsid w:val="00A83FE6"/>
    <w:rsid w:val="00A83FF4"/>
    <w:rsid w:val="00A8407A"/>
    <w:rsid w:val="00A84093"/>
    <w:rsid w:val="00A84097"/>
    <w:rsid w:val="00A840A2"/>
    <w:rsid w:val="00A840B1"/>
    <w:rsid w:val="00A840FB"/>
    <w:rsid w:val="00A84114"/>
    <w:rsid w:val="00A84187"/>
    <w:rsid w:val="00A841B8"/>
    <w:rsid w:val="00A841CB"/>
    <w:rsid w:val="00A841EC"/>
    <w:rsid w:val="00A84216"/>
    <w:rsid w:val="00A84225"/>
    <w:rsid w:val="00A842A2"/>
    <w:rsid w:val="00A842DA"/>
    <w:rsid w:val="00A842F5"/>
    <w:rsid w:val="00A842FF"/>
    <w:rsid w:val="00A84307"/>
    <w:rsid w:val="00A8431F"/>
    <w:rsid w:val="00A84320"/>
    <w:rsid w:val="00A84341"/>
    <w:rsid w:val="00A84352"/>
    <w:rsid w:val="00A84362"/>
    <w:rsid w:val="00A84419"/>
    <w:rsid w:val="00A84427"/>
    <w:rsid w:val="00A84437"/>
    <w:rsid w:val="00A84460"/>
    <w:rsid w:val="00A84500"/>
    <w:rsid w:val="00A845B5"/>
    <w:rsid w:val="00A845C2"/>
    <w:rsid w:val="00A845CA"/>
    <w:rsid w:val="00A845EE"/>
    <w:rsid w:val="00A845FD"/>
    <w:rsid w:val="00A8464D"/>
    <w:rsid w:val="00A84660"/>
    <w:rsid w:val="00A84688"/>
    <w:rsid w:val="00A846E2"/>
    <w:rsid w:val="00A846ED"/>
    <w:rsid w:val="00A846F2"/>
    <w:rsid w:val="00A84715"/>
    <w:rsid w:val="00A84717"/>
    <w:rsid w:val="00A84736"/>
    <w:rsid w:val="00A84746"/>
    <w:rsid w:val="00A84747"/>
    <w:rsid w:val="00A8475A"/>
    <w:rsid w:val="00A84783"/>
    <w:rsid w:val="00A84792"/>
    <w:rsid w:val="00A847AB"/>
    <w:rsid w:val="00A847B6"/>
    <w:rsid w:val="00A847B9"/>
    <w:rsid w:val="00A847D1"/>
    <w:rsid w:val="00A847DC"/>
    <w:rsid w:val="00A847E8"/>
    <w:rsid w:val="00A847F7"/>
    <w:rsid w:val="00A847FE"/>
    <w:rsid w:val="00A84841"/>
    <w:rsid w:val="00A8484A"/>
    <w:rsid w:val="00A848A7"/>
    <w:rsid w:val="00A848F8"/>
    <w:rsid w:val="00A8492F"/>
    <w:rsid w:val="00A84941"/>
    <w:rsid w:val="00A84950"/>
    <w:rsid w:val="00A84974"/>
    <w:rsid w:val="00A849B9"/>
    <w:rsid w:val="00A849C7"/>
    <w:rsid w:val="00A849DB"/>
    <w:rsid w:val="00A849E3"/>
    <w:rsid w:val="00A84A0E"/>
    <w:rsid w:val="00A84A1C"/>
    <w:rsid w:val="00A84A2E"/>
    <w:rsid w:val="00A84A5A"/>
    <w:rsid w:val="00A84A61"/>
    <w:rsid w:val="00A84A65"/>
    <w:rsid w:val="00A84A90"/>
    <w:rsid w:val="00A84ABB"/>
    <w:rsid w:val="00A84AC1"/>
    <w:rsid w:val="00A84ADF"/>
    <w:rsid w:val="00A84B82"/>
    <w:rsid w:val="00A84BB4"/>
    <w:rsid w:val="00A84BC7"/>
    <w:rsid w:val="00A84BDF"/>
    <w:rsid w:val="00A84BEC"/>
    <w:rsid w:val="00A84C0E"/>
    <w:rsid w:val="00A84C43"/>
    <w:rsid w:val="00A84C4D"/>
    <w:rsid w:val="00A84C5A"/>
    <w:rsid w:val="00A84C78"/>
    <w:rsid w:val="00A84C7A"/>
    <w:rsid w:val="00A84CB0"/>
    <w:rsid w:val="00A84CB4"/>
    <w:rsid w:val="00A84D1A"/>
    <w:rsid w:val="00A84D1C"/>
    <w:rsid w:val="00A84D3E"/>
    <w:rsid w:val="00A84D4B"/>
    <w:rsid w:val="00A84D69"/>
    <w:rsid w:val="00A84D84"/>
    <w:rsid w:val="00A84DC1"/>
    <w:rsid w:val="00A84DCE"/>
    <w:rsid w:val="00A84E0E"/>
    <w:rsid w:val="00A84E31"/>
    <w:rsid w:val="00A84E58"/>
    <w:rsid w:val="00A84E5D"/>
    <w:rsid w:val="00A84EB5"/>
    <w:rsid w:val="00A84EC6"/>
    <w:rsid w:val="00A84ECE"/>
    <w:rsid w:val="00A84EF2"/>
    <w:rsid w:val="00A84EFE"/>
    <w:rsid w:val="00A84F59"/>
    <w:rsid w:val="00A84F6B"/>
    <w:rsid w:val="00A84F6C"/>
    <w:rsid w:val="00A84F94"/>
    <w:rsid w:val="00A84F98"/>
    <w:rsid w:val="00A85026"/>
    <w:rsid w:val="00A85055"/>
    <w:rsid w:val="00A85068"/>
    <w:rsid w:val="00A8509F"/>
    <w:rsid w:val="00A850B6"/>
    <w:rsid w:val="00A850D0"/>
    <w:rsid w:val="00A850F4"/>
    <w:rsid w:val="00A850FB"/>
    <w:rsid w:val="00A85119"/>
    <w:rsid w:val="00A85134"/>
    <w:rsid w:val="00A8516B"/>
    <w:rsid w:val="00A85179"/>
    <w:rsid w:val="00A85180"/>
    <w:rsid w:val="00A85189"/>
    <w:rsid w:val="00A85192"/>
    <w:rsid w:val="00A851A2"/>
    <w:rsid w:val="00A851C2"/>
    <w:rsid w:val="00A851CA"/>
    <w:rsid w:val="00A851D6"/>
    <w:rsid w:val="00A851E1"/>
    <w:rsid w:val="00A851EF"/>
    <w:rsid w:val="00A851F2"/>
    <w:rsid w:val="00A85217"/>
    <w:rsid w:val="00A8522A"/>
    <w:rsid w:val="00A85240"/>
    <w:rsid w:val="00A8529B"/>
    <w:rsid w:val="00A852C3"/>
    <w:rsid w:val="00A852E0"/>
    <w:rsid w:val="00A85301"/>
    <w:rsid w:val="00A85353"/>
    <w:rsid w:val="00A85369"/>
    <w:rsid w:val="00A8537A"/>
    <w:rsid w:val="00A853BB"/>
    <w:rsid w:val="00A853D4"/>
    <w:rsid w:val="00A85415"/>
    <w:rsid w:val="00A85439"/>
    <w:rsid w:val="00A8545F"/>
    <w:rsid w:val="00A85497"/>
    <w:rsid w:val="00A854DB"/>
    <w:rsid w:val="00A854FD"/>
    <w:rsid w:val="00A854FE"/>
    <w:rsid w:val="00A8551B"/>
    <w:rsid w:val="00A8551E"/>
    <w:rsid w:val="00A8554D"/>
    <w:rsid w:val="00A85550"/>
    <w:rsid w:val="00A855AB"/>
    <w:rsid w:val="00A855E7"/>
    <w:rsid w:val="00A85617"/>
    <w:rsid w:val="00A8563F"/>
    <w:rsid w:val="00A8564C"/>
    <w:rsid w:val="00A8567A"/>
    <w:rsid w:val="00A8568D"/>
    <w:rsid w:val="00A85694"/>
    <w:rsid w:val="00A856A4"/>
    <w:rsid w:val="00A856AD"/>
    <w:rsid w:val="00A856AE"/>
    <w:rsid w:val="00A856F1"/>
    <w:rsid w:val="00A85701"/>
    <w:rsid w:val="00A8570E"/>
    <w:rsid w:val="00A8572F"/>
    <w:rsid w:val="00A85741"/>
    <w:rsid w:val="00A85744"/>
    <w:rsid w:val="00A85775"/>
    <w:rsid w:val="00A85786"/>
    <w:rsid w:val="00A857A6"/>
    <w:rsid w:val="00A857F2"/>
    <w:rsid w:val="00A85893"/>
    <w:rsid w:val="00A858AE"/>
    <w:rsid w:val="00A858CA"/>
    <w:rsid w:val="00A858D2"/>
    <w:rsid w:val="00A858E7"/>
    <w:rsid w:val="00A858F0"/>
    <w:rsid w:val="00A85903"/>
    <w:rsid w:val="00A859B7"/>
    <w:rsid w:val="00A859BC"/>
    <w:rsid w:val="00A859CA"/>
    <w:rsid w:val="00A85A03"/>
    <w:rsid w:val="00A85A1D"/>
    <w:rsid w:val="00A85A6F"/>
    <w:rsid w:val="00A85A87"/>
    <w:rsid w:val="00A85B01"/>
    <w:rsid w:val="00A85B07"/>
    <w:rsid w:val="00A85B20"/>
    <w:rsid w:val="00A85B36"/>
    <w:rsid w:val="00A85BFF"/>
    <w:rsid w:val="00A85C32"/>
    <w:rsid w:val="00A85C5B"/>
    <w:rsid w:val="00A85C7A"/>
    <w:rsid w:val="00A85C82"/>
    <w:rsid w:val="00A85C90"/>
    <w:rsid w:val="00A85CB8"/>
    <w:rsid w:val="00A85D08"/>
    <w:rsid w:val="00A85D22"/>
    <w:rsid w:val="00A85D3F"/>
    <w:rsid w:val="00A85D70"/>
    <w:rsid w:val="00A85E0B"/>
    <w:rsid w:val="00A85E5A"/>
    <w:rsid w:val="00A85E9B"/>
    <w:rsid w:val="00A85EBD"/>
    <w:rsid w:val="00A85EC2"/>
    <w:rsid w:val="00A85EDE"/>
    <w:rsid w:val="00A85EE0"/>
    <w:rsid w:val="00A85F1A"/>
    <w:rsid w:val="00A85F30"/>
    <w:rsid w:val="00A85F4A"/>
    <w:rsid w:val="00A85F6D"/>
    <w:rsid w:val="00A85F91"/>
    <w:rsid w:val="00A8601E"/>
    <w:rsid w:val="00A860A5"/>
    <w:rsid w:val="00A860CB"/>
    <w:rsid w:val="00A860D7"/>
    <w:rsid w:val="00A860EE"/>
    <w:rsid w:val="00A860F3"/>
    <w:rsid w:val="00A86103"/>
    <w:rsid w:val="00A86113"/>
    <w:rsid w:val="00A86118"/>
    <w:rsid w:val="00A86121"/>
    <w:rsid w:val="00A86157"/>
    <w:rsid w:val="00A86198"/>
    <w:rsid w:val="00A8620D"/>
    <w:rsid w:val="00A8621A"/>
    <w:rsid w:val="00A86238"/>
    <w:rsid w:val="00A86239"/>
    <w:rsid w:val="00A86243"/>
    <w:rsid w:val="00A862D4"/>
    <w:rsid w:val="00A86308"/>
    <w:rsid w:val="00A863AA"/>
    <w:rsid w:val="00A863AC"/>
    <w:rsid w:val="00A863B5"/>
    <w:rsid w:val="00A863D3"/>
    <w:rsid w:val="00A86402"/>
    <w:rsid w:val="00A8640E"/>
    <w:rsid w:val="00A8643B"/>
    <w:rsid w:val="00A8653C"/>
    <w:rsid w:val="00A865E1"/>
    <w:rsid w:val="00A865E2"/>
    <w:rsid w:val="00A865F2"/>
    <w:rsid w:val="00A86626"/>
    <w:rsid w:val="00A86686"/>
    <w:rsid w:val="00A86699"/>
    <w:rsid w:val="00A866B9"/>
    <w:rsid w:val="00A866DF"/>
    <w:rsid w:val="00A866E8"/>
    <w:rsid w:val="00A8670D"/>
    <w:rsid w:val="00A8675B"/>
    <w:rsid w:val="00A867C9"/>
    <w:rsid w:val="00A867E6"/>
    <w:rsid w:val="00A8682E"/>
    <w:rsid w:val="00A86841"/>
    <w:rsid w:val="00A86869"/>
    <w:rsid w:val="00A8686E"/>
    <w:rsid w:val="00A868DF"/>
    <w:rsid w:val="00A868FA"/>
    <w:rsid w:val="00A86941"/>
    <w:rsid w:val="00A8696C"/>
    <w:rsid w:val="00A86988"/>
    <w:rsid w:val="00A869D4"/>
    <w:rsid w:val="00A86A24"/>
    <w:rsid w:val="00A86A4F"/>
    <w:rsid w:val="00A86A5C"/>
    <w:rsid w:val="00A86A74"/>
    <w:rsid w:val="00A86A82"/>
    <w:rsid w:val="00A86AAB"/>
    <w:rsid w:val="00A86AF8"/>
    <w:rsid w:val="00A86B0F"/>
    <w:rsid w:val="00A86B17"/>
    <w:rsid w:val="00A86B39"/>
    <w:rsid w:val="00A86B85"/>
    <w:rsid w:val="00A86B8A"/>
    <w:rsid w:val="00A86B94"/>
    <w:rsid w:val="00A86BC9"/>
    <w:rsid w:val="00A86C0C"/>
    <w:rsid w:val="00A86C34"/>
    <w:rsid w:val="00A86C55"/>
    <w:rsid w:val="00A86CBB"/>
    <w:rsid w:val="00A86CF6"/>
    <w:rsid w:val="00A86D07"/>
    <w:rsid w:val="00A86D6C"/>
    <w:rsid w:val="00A86D94"/>
    <w:rsid w:val="00A86E1B"/>
    <w:rsid w:val="00A86E2C"/>
    <w:rsid w:val="00A86E34"/>
    <w:rsid w:val="00A86E5B"/>
    <w:rsid w:val="00A86E60"/>
    <w:rsid w:val="00A86E6B"/>
    <w:rsid w:val="00A86E72"/>
    <w:rsid w:val="00A86E7C"/>
    <w:rsid w:val="00A86E95"/>
    <w:rsid w:val="00A86ECA"/>
    <w:rsid w:val="00A86ED1"/>
    <w:rsid w:val="00A86EED"/>
    <w:rsid w:val="00A86F0B"/>
    <w:rsid w:val="00A86F0C"/>
    <w:rsid w:val="00A86F43"/>
    <w:rsid w:val="00A86F5B"/>
    <w:rsid w:val="00A86F9D"/>
    <w:rsid w:val="00A86FA2"/>
    <w:rsid w:val="00A86FC2"/>
    <w:rsid w:val="00A86FC7"/>
    <w:rsid w:val="00A8703D"/>
    <w:rsid w:val="00A87057"/>
    <w:rsid w:val="00A87069"/>
    <w:rsid w:val="00A8707A"/>
    <w:rsid w:val="00A87087"/>
    <w:rsid w:val="00A870BF"/>
    <w:rsid w:val="00A870D7"/>
    <w:rsid w:val="00A87158"/>
    <w:rsid w:val="00A87173"/>
    <w:rsid w:val="00A87199"/>
    <w:rsid w:val="00A871E3"/>
    <w:rsid w:val="00A871E7"/>
    <w:rsid w:val="00A87210"/>
    <w:rsid w:val="00A87216"/>
    <w:rsid w:val="00A87269"/>
    <w:rsid w:val="00A87277"/>
    <w:rsid w:val="00A8729D"/>
    <w:rsid w:val="00A872BC"/>
    <w:rsid w:val="00A872F4"/>
    <w:rsid w:val="00A87311"/>
    <w:rsid w:val="00A8731A"/>
    <w:rsid w:val="00A8737F"/>
    <w:rsid w:val="00A87394"/>
    <w:rsid w:val="00A873BA"/>
    <w:rsid w:val="00A87405"/>
    <w:rsid w:val="00A87410"/>
    <w:rsid w:val="00A8743F"/>
    <w:rsid w:val="00A8749E"/>
    <w:rsid w:val="00A87519"/>
    <w:rsid w:val="00A8751C"/>
    <w:rsid w:val="00A87570"/>
    <w:rsid w:val="00A87582"/>
    <w:rsid w:val="00A87647"/>
    <w:rsid w:val="00A8765B"/>
    <w:rsid w:val="00A87665"/>
    <w:rsid w:val="00A8772D"/>
    <w:rsid w:val="00A8773E"/>
    <w:rsid w:val="00A87757"/>
    <w:rsid w:val="00A87766"/>
    <w:rsid w:val="00A87788"/>
    <w:rsid w:val="00A877AF"/>
    <w:rsid w:val="00A87808"/>
    <w:rsid w:val="00A87828"/>
    <w:rsid w:val="00A87859"/>
    <w:rsid w:val="00A878C7"/>
    <w:rsid w:val="00A8792C"/>
    <w:rsid w:val="00A8797E"/>
    <w:rsid w:val="00A879BC"/>
    <w:rsid w:val="00A879BE"/>
    <w:rsid w:val="00A879C0"/>
    <w:rsid w:val="00A879CD"/>
    <w:rsid w:val="00A879F6"/>
    <w:rsid w:val="00A87A56"/>
    <w:rsid w:val="00A87A9C"/>
    <w:rsid w:val="00A87AC8"/>
    <w:rsid w:val="00A87ACE"/>
    <w:rsid w:val="00A87AF7"/>
    <w:rsid w:val="00A87B02"/>
    <w:rsid w:val="00A87B45"/>
    <w:rsid w:val="00A87B71"/>
    <w:rsid w:val="00A87B82"/>
    <w:rsid w:val="00A87B86"/>
    <w:rsid w:val="00A87B99"/>
    <w:rsid w:val="00A87BE9"/>
    <w:rsid w:val="00A87C1D"/>
    <w:rsid w:val="00A87C20"/>
    <w:rsid w:val="00A87C53"/>
    <w:rsid w:val="00A87C5B"/>
    <w:rsid w:val="00A87C85"/>
    <w:rsid w:val="00A87CB5"/>
    <w:rsid w:val="00A87CCE"/>
    <w:rsid w:val="00A87CE5"/>
    <w:rsid w:val="00A87D06"/>
    <w:rsid w:val="00A87D75"/>
    <w:rsid w:val="00A87D78"/>
    <w:rsid w:val="00A87D79"/>
    <w:rsid w:val="00A87D8C"/>
    <w:rsid w:val="00A87DF6"/>
    <w:rsid w:val="00A87E2D"/>
    <w:rsid w:val="00A87E81"/>
    <w:rsid w:val="00A87E91"/>
    <w:rsid w:val="00A87ED3"/>
    <w:rsid w:val="00A87EE0"/>
    <w:rsid w:val="00A87EE8"/>
    <w:rsid w:val="00A87EF7"/>
    <w:rsid w:val="00A87F4D"/>
    <w:rsid w:val="00A87F64"/>
    <w:rsid w:val="00A87FAF"/>
    <w:rsid w:val="00A87FC7"/>
    <w:rsid w:val="00A87FCE"/>
    <w:rsid w:val="00A87FD8"/>
    <w:rsid w:val="00A9001F"/>
    <w:rsid w:val="00A9004D"/>
    <w:rsid w:val="00A900BD"/>
    <w:rsid w:val="00A900F3"/>
    <w:rsid w:val="00A90150"/>
    <w:rsid w:val="00A9015B"/>
    <w:rsid w:val="00A901BB"/>
    <w:rsid w:val="00A901CB"/>
    <w:rsid w:val="00A901D4"/>
    <w:rsid w:val="00A901DC"/>
    <w:rsid w:val="00A901E7"/>
    <w:rsid w:val="00A90204"/>
    <w:rsid w:val="00A90224"/>
    <w:rsid w:val="00A902E4"/>
    <w:rsid w:val="00A90362"/>
    <w:rsid w:val="00A9036D"/>
    <w:rsid w:val="00A9038D"/>
    <w:rsid w:val="00A903F7"/>
    <w:rsid w:val="00A90412"/>
    <w:rsid w:val="00A90413"/>
    <w:rsid w:val="00A90425"/>
    <w:rsid w:val="00A90427"/>
    <w:rsid w:val="00A90431"/>
    <w:rsid w:val="00A90467"/>
    <w:rsid w:val="00A90488"/>
    <w:rsid w:val="00A9048E"/>
    <w:rsid w:val="00A904BD"/>
    <w:rsid w:val="00A904DE"/>
    <w:rsid w:val="00A9054F"/>
    <w:rsid w:val="00A90562"/>
    <w:rsid w:val="00A90564"/>
    <w:rsid w:val="00A90568"/>
    <w:rsid w:val="00A9057F"/>
    <w:rsid w:val="00A905A4"/>
    <w:rsid w:val="00A905BA"/>
    <w:rsid w:val="00A905BE"/>
    <w:rsid w:val="00A905D9"/>
    <w:rsid w:val="00A905E7"/>
    <w:rsid w:val="00A905FE"/>
    <w:rsid w:val="00A90672"/>
    <w:rsid w:val="00A906AB"/>
    <w:rsid w:val="00A906B0"/>
    <w:rsid w:val="00A906B5"/>
    <w:rsid w:val="00A906B9"/>
    <w:rsid w:val="00A906E7"/>
    <w:rsid w:val="00A906F5"/>
    <w:rsid w:val="00A906FB"/>
    <w:rsid w:val="00A90730"/>
    <w:rsid w:val="00A90767"/>
    <w:rsid w:val="00A90789"/>
    <w:rsid w:val="00A9079A"/>
    <w:rsid w:val="00A90816"/>
    <w:rsid w:val="00A90859"/>
    <w:rsid w:val="00A9085D"/>
    <w:rsid w:val="00A908F0"/>
    <w:rsid w:val="00A90911"/>
    <w:rsid w:val="00A90912"/>
    <w:rsid w:val="00A9093C"/>
    <w:rsid w:val="00A90952"/>
    <w:rsid w:val="00A90963"/>
    <w:rsid w:val="00A90968"/>
    <w:rsid w:val="00A9097C"/>
    <w:rsid w:val="00A90998"/>
    <w:rsid w:val="00A90A10"/>
    <w:rsid w:val="00A90A18"/>
    <w:rsid w:val="00A90A4F"/>
    <w:rsid w:val="00A90AA8"/>
    <w:rsid w:val="00A90AEA"/>
    <w:rsid w:val="00A90B14"/>
    <w:rsid w:val="00A90B27"/>
    <w:rsid w:val="00A90B2D"/>
    <w:rsid w:val="00A90BB7"/>
    <w:rsid w:val="00A90BBE"/>
    <w:rsid w:val="00A90BDC"/>
    <w:rsid w:val="00A90C37"/>
    <w:rsid w:val="00A90C65"/>
    <w:rsid w:val="00A90D2B"/>
    <w:rsid w:val="00A90D35"/>
    <w:rsid w:val="00A90D5D"/>
    <w:rsid w:val="00A90D5E"/>
    <w:rsid w:val="00A90D68"/>
    <w:rsid w:val="00A90D6E"/>
    <w:rsid w:val="00A90D8F"/>
    <w:rsid w:val="00A90DB1"/>
    <w:rsid w:val="00A90DCD"/>
    <w:rsid w:val="00A90DF2"/>
    <w:rsid w:val="00A90E02"/>
    <w:rsid w:val="00A90E04"/>
    <w:rsid w:val="00A90E30"/>
    <w:rsid w:val="00A90E3F"/>
    <w:rsid w:val="00A90F17"/>
    <w:rsid w:val="00A90F64"/>
    <w:rsid w:val="00A90F6D"/>
    <w:rsid w:val="00A90FB7"/>
    <w:rsid w:val="00A90FC2"/>
    <w:rsid w:val="00A90FD6"/>
    <w:rsid w:val="00A90FD9"/>
    <w:rsid w:val="00A91010"/>
    <w:rsid w:val="00A9101E"/>
    <w:rsid w:val="00A91029"/>
    <w:rsid w:val="00A91047"/>
    <w:rsid w:val="00A9108C"/>
    <w:rsid w:val="00A910AE"/>
    <w:rsid w:val="00A910EE"/>
    <w:rsid w:val="00A91104"/>
    <w:rsid w:val="00A91109"/>
    <w:rsid w:val="00A91144"/>
    <w:rsid w:val="00A91150"/>
    <w:rsid w:val="00A9116F"/>
    <w:rsid w:val="00A91178"/>
    <w:rsid w:val="00A91185"/>
    <w:rsid w:val="00A911AB"/>
    <w:rsid w:val="00A911EB"/>
    <w:rsid w:val="00A911FA"/>
    <w:rsid w:val="00A91217"/>
    <w:rsid w:val="00A91225"/>
    <w:rsid w:val="00A91240"/>
    <w:rsid w:val="00A912B5"/>
    <w:rsid w:val="00A912D9"/>
    <w:rsid w:val="00A912E4"/>
    <w:rsid w:val="00A912EA"/>
    <w:rsid w:val="00A912F7"/>
    <w:rsid w:val="00A91346"/>
    <w:rsid w:val="00A91356"/>
    <w:rsid w:val="00A9136D"/>
    <w:rsid w:val="00A913B4"/>
    <w:rsid w:val="00A913BE"/>
    <w:rsid w:val="00A913C6"/>
    <w:rsid w:val="00A913F5"/>
    <w:rsid w:val="00A9140E"/>
    <w:rsid w:val="00A91412"/>
    <w:rsid w:val="00A91415"/>
    <w:rsid w:val="00A91498"/>
    <w:rsid w:val="00A9149B"/>
    <w:rsid w:val="00A914D1"/>
    <w:rsid w:val="00A914E2"/>
    <w:rsid w:val="00A91521"/>
    <w:rsid w:val="00A91524"/>
    <w:rsid w:val="00A91551"/>
    <w:rsid w:val="00A915C1"/>
    <w:rsid w:val="00A915C6"/>
    <w:rsid w:val="00A915ED"/>
    <w:rsid w:val="00A91643"/>
    <w:rsid w:val="00A91650"/>
    <w:rsid w:val="00A91674"/>
    <w:rsid w:val="00A9169D"/>
    <w:rsid w:val="00A9169F"/>
    <w:rsid w:val="00A916B4"/>
    <w:rsid w:val="00A916C0"/>
    <w:rsid w:val="00A916EC"/>
    <w:rsid w:val="00A9171F"/>
    <w:rsid w:val="00A917AB"/>
    <w:rsid w:val="00A917B2"/>
    <w:rsid w:val="00A917C6"/>
    <w:rsid w:val="00A9182A"/>
    <w:rsid w:val="00A91848"/>
    <w:rsid w:val="00A9186A"/>
    <w:rsid w:val="00A91870"/>
    <w:rsid w:val="00A9188F"/>
    <w:rsid w:val="00A918A9"/>
    <w:rsid w:val="00A918D5"/>
    <w:rsid w:val="00A918DA"/>
    <w:rsid w:val="00A918E8"/>
    <w:rsid w:val="00A918E9"/>
    <w:rsid w:val="00A91907"/>
    <w:rsid w:val="00A91913"/>
    <w:rsid w:val="00A9193B"/>
    <w:rsid w:val="00A919D8"/>
    <w:rsid w:val="00A91A11"/>
    <w:rsid w:val="00A91A42"/>
    <w:rsid w:val="00A91A43"/>
    <w:rsid w:val="00A91A5B"/>
    <w:rsid w:val="00A91A77"/>
    <w:rsid w:val="00A91B36"/>
    <w:rsid w:val="00A91B3A"/>
    <w:rsid w:val="00A91B8E"/>
    <w:rsid w:val="00A91BA3"/>
    <w:rsid w:val="00A91BBF"/>
    <w:rsid w:val="00A91BC4"/>
    <w:rsid w:val="00A91BCA"/>
    <w:rsid w:val="00A91C4A"/>
    <w:rsid w:val="00A91C75"/>
    <w:rsid w:val="00A91C9A"/>
    <w:rsid w:val="00A91CCC"/>
    <w:rsid w:val="00A91CEE"/>
    <w:rsid w:val="00A91D21"/>
    <w:rsid w:val="00A91D25"/>
    <w:rsid w:val="00A91D3C"/>
    <w:rsid w:val="00A91D71"/>
    <w:rsid w:val="00A91D7F"/>
    <w:rsid w:val="00A91D88"/>
    <w:rsid w:val="00A91D93"/>
    <w:rsid w:val="00A91DA4"/>
    <w:rsid w:val="00A91DB6"/>
    <w:rsid w:val="00A91DFD"/>
    <w:rsid w:val="00A91DFF"/>
    <w:rsid w:val="00A91E02"/>
    <w:rsid w:val="00A91E26"/>
    <w:rsid w:val="00A91E2A"/>
    <w:rsid w:val="00A91E4E"/>
    <w:rsid w:val="00A91E58"/>
    <w:rsid w:val="00A91E89"/>
    <w:rsid w:val="00A91E9C"/>
    <w:rsid w:val="00A91EB3"/>
    <w:rsid w:val="00A91EE7"/>
    <w:rsid w:val="00A91F19"/>
    <w:rsid w:val="00A91F85"/>
    <w:rsid w:val="00A91FC9"/>
    <w:rsid w:val="00A91FE6"/>
    <w:rsid w:val="00A92029"/>
    <w:rsid w:val="00A92069"/>
    <w:rsid w:val="00A9208D"/>
    <w:rsid w:val="00A920D3"/>
    <w:rsid w:val="00A92173"/>
    <w:rsid w:val="00A92179"/>
    <w:rsid w:val="00A92188"/>
    <w:rsid w:val="00A921B7"/>
    <w:rsid w:val="00A921FC"/>
    <w:rsid w:val="00A921FF"/>
    <w:rsid w:val="00A92206"/>
    <w:rsid w:val="00A92229"/>
    <w:rsid w:val="00A9222C"/>
    <w:rsid w:val="00A92233"/>
    <w:rsid w:val="00A92240"/>
    <w:rsid w:val="00A922A4"/>
    <w:rsid w:val="00A922A6"/>
    <w:rsid w:val="00A922C6"/>
    <w:rsid w:val="00A922F0"/>
    <w:rsid w:val="00A922F7"/>
    <w:rsid w:val="00A9231E"/>
    <w:rsid w:val="00A92323"/>
    <w:rsid w:val="00A92349"/>
    <w:rsid w:val="00A92366"/>
    <w:rsid w:val="00A9238D"/>
    <w:rsid w:val="00A923A6"/>
    <w:rsid w:val="00A923C7"/>
    <w:rsid w:val="00A923FC"/>
    <w:rsid w:val="00A9242F"/>
    <w:rsid w:val="00A92457"/>
    <w:rsid w:val="00A9246A"/>
    <w:rsid w:val="00A924F7"/>
    <w:rsid w:val="00A92544"/>
    <w:rsid w:val="00A925A6"/>
    <w:rsid w:val="00A925A8"/>
    <w:rsid w:val="00A925C6"/>
    <w:rsid w:val="00A925E7"/>
    <w:rsid w:val="00A92634"/>
    <w:rsid w:val="00A92649"/>
    <w:rsid w:val="00A9264D"/>
    <w:rsid w:val="00A92697"/>
    <w:rsid w:val="00A926B5"/>
    <w:rsid w:val="00A92704"/>
    <w:rsid w:val="00A92735"/>
    <w:rsid w:val="00A92795"/>
    <w:rsid w:val="00A927E0"/>
    <w:rsid w:val="00A927F9"/>
    <w:rsid w:val="00A92821"/>
    <w:rsid w:val="00A92834"/>
    <w:rsid w:val="00A92871"/>
    <w:rsid w:val="00A928AA"/>
    <w:rsid w:val="00A928B8"/>
    <w:rsid w:val="00A928C3"/>
    <w:rsid w:val="00A92937"/>
    <w:rsid w:val="00A9296E"/>
    <w:rsid w:val="00A9299D"/>
    <w:rsid w:val="00A929D9"/>
    <w:rsid w:val="00A929E8"/>
    <w:rsid w:val="00A92A2E"/>
    <w:rsid w:val="00A92A39"/>
    <w:rsid w:val="00A92A5F"/>
    <w:rsid w:val="00A92A6D"/>
    <w:rsid w:val="00A92AB2"/>
    <w:rsid w:val="00A92B01"/>
    <w:rsid w:val="00A92B2B"/>
    <w:rsid w:val="00A92B4F"/>
    <w:rsid w:val="00A92B7A"/>
    <w:rsid w:val="00A92BEA"/>
    <w:rsid w:val="00A92C0F"/>
    <w:rsid w:val="00A92C5B"/>
    <w:rsid w:val="00A92C5E"/>
    <w:rsid w:val="00A92CBC"/>
    <w:rsid w:val="00A92CCB"/>
    <w:rsid w:val="00A92D44"/>
    <w:rsid w:val="00A92D54"/>
    <w:rsid w:val="00A92D68"/>
    <w:rsid w:val="00A92DA2"/>
    <w:rsid w:val="00A92DAE"/>
    <w:rsid w:val="00A92DC9"/>
    <w:rsid w:val="00A92DCB"/>
    <w:rsid w:val="00A92E02"/>
    <w:rsid w:val="00A92E0F"/>
    <w:rsid w:val="00A92E1E"/>
    <w:rsid w:val="00A92E69"/>
    <w:rsid w:val="00A92EB3"/>
    <w:rsid w:val="00A92ECB"/>
    <w:rsid w:val="00A92EDD"/>
    <w:rsid w:val="00A92F31"/>
    <w:rsid w:val="00A92F52"/>
    <w:rsid w:val="00A92F90"/>
    <w:rsid w:val="00A92FA0"/>
    <w:rsid w:val="00A92FC9"/>
    <w:rsid w:val="00A92FF3"/>
    <w:rsid w:val="00A9304F"/>
    <w:rsid w:val="00A93067"/>
    <w:rsid w:val="00A93075"/>
    <w:rsid w:val="00A9309D"/>
    <w:rsid w:val="00A930A3"/>
    <w:rsid w:val="00A930B6"/>
    <w:rsid w:val="00A930FD"/>
    <w:rsid w:val="00A9312E"/>
    <w:rsid w:val="00A93133"/>
    <w:rsid w:val="00A9313E"/>
    <w:rsid w:val="00A93150"/>
    <w:rsid w:val="00A93168"/>
    <w:rsid w:val="00A9316C"/>
    <w:rsid w:val="00A9318C"/>
    <w:rsid w:val="00A93190"/>
    <w:rsid w:val="00A931EF"/>
    <w:rsid w:val="00A9321A"/>
    <w:rsid w:val="00A9322C"/>
    <w:rsid w:val="00A93243"/>
    <w:rsid w:val="00A932B5"/>
    <w:rsid w:val="00A93309"/>
    <w:rsid w:val="00A9330B"/>
    <w:rsid w:val="00A93323"/>
    <w:rsid w:val="00A93342"/>
    <w:rsid w:val="00A9336D"/>
    <w:rsid w:val="00A93377"/>
    <w:rsid w:val="00A9338B"/>
    <w:rsid w:val="00A933E1"/>
    <w:rsid w:val="00A933E2"/>
    <w:rsid w:val="00A93413"/>
    <w:rsid w:val="00A93422"/>
    <w:rsid w:val="00A93426"/>
    <w:rsid w:val="00A9342B"/>
    <w:rsid w:val="00A9342F"/>
    <w:rsid w:val="00A9349A"/>
    <w:rsid w:val="00A934B6"/>
    <w:rsid w:val="00A934E3"/>
    <w:rsid w:val="00A934FA"/>
    <w:rsid w:val="00A93510"/>
    <w:rsid w:val="00A9352B"/>
    <w:rsid w:val="00A93554"/>
    <w:rsid w:val="00A93561"/>
    <w:rsid w:val="00A9358D"/>
    <w:rsid w:val="00A935C0"/>
    <w:rsid w:val="00A935EB"/>
    <w:rsid w:val="00A935F1"/>
    <w:rsid w:val="00A93607"/>
    <w:rsid w:val="00A93608"/>
    <w:rsid w:val="00A93617"/>
    <w:rsid w:val="00A9366D"/>
    <w:rsid w:val="00A9368E"/>
    <w:rsid w:val="00A93734"/>
    <w:rsid w:val="00A93737"/>
    <w:rsid w:val="00A93742"/>
    <w:rsid w:val="00A93760"/>
    <w:rsid w:val="00A93770"/>
    <w:rsid w:val="00A93786"/>
    <w:rsid w:val="00A937CB"/>
    <w:rsid w:val="00A937CE"/>
    <w:rsid w:val="00A93829"/>
    <w:rsid w:val="00A93887"/>
    <w:rsid w:val="00A93904"/>
    <w:rsid w:val="00A9393F"/>
    <w:rsid w:val="00A939B2"/>
    <w:rsid w:val="00A939C4"/>
    <w:rsid w:val="00A939F3"/>
    <w:rsid w:val="00A93A0D"/>
    <w:rsid w:val="00A93A1A"/>
    <w:rsid w:val="00A93A28"/>
    <w:rsid w:val="00A93A37"/>
    <w:rsid w:val="00A93A80"/>
    <w:rsid w:val="00A93A8E"/>
    <w:rsid w:val="00A93A91"/>
    <w:rsid w:val="00A93AA8"/>
    <w:rsid w:val="00A93AD4"/>
    <w:rsid w:val="00A93AF7"/>
    <w:rsid w:val="00A93AFB"/>
    <w:rsid w:val="00A93B04"/>
    <w:rsid w:val="00A93B08"/>
    <w:rsid w:val="00A93B48"/>
    <w:rsid w:val="00A93B6D"/>
    <w:rsid w:val="00A93B70"/>
    <w:rsid w:val="00A93B75"/>
    <w:rsid w:val="00A93B9F"/>
    <w:rsid w:val="00A93BDF"/>
    <w:rsid w:val="00A93BE1"/>
    <w:rsid w:val="00A93C54"/>
    <w:rsid w:val="00A93C9D"/>
    <w:rsid w:val="00A93CC4"/>
    <w:rsid w:val="00A93D3F"/>
    <w:rsid w:val="00A93D81"/>
    <w:rsid w:val="00A93DA4"/>
    <w:rsid w:val="00A93DBC"/>
    <w:rsid w:val="00A93DEE"/>
    <w:rsid w:val="00A93E6D"/>
    <w:rsid w:val="00A93E80"/>
    <w:rsid w:val="00A93E88"/>
    <w:rsid w:val="00A93ED6"/>
    <w:rsid w:val="00A93EF4"/>
    <w:rsid w:val="00A93F27"/>
    <w:rsid w:val="00A93F3C"/>
    <w:rsid w:val="00A93F43"/>
    <w:rsid w:val="00A93F4B"/>
    <w:rsid w:val="00A93F53"/>
    <w:rsid w:val="00A93F6A"/>
    <w:rsid w:val="00A93FA6"/>
    <w:rsid w:val="00A93FBE"/>
    <w:rsid w:val="00A9402C"/>
    <w:rsid w:val="00A940A1"/>
    <w:rsid w:val="00A940B7"/>
    <w:rsid w:val="00A940CB"/>
    <w:rsid w:val="00A9419B"/>
    <w:rsid w:val="00A941C2"/>
    <w:rsid w:val="00A941FD"/>
    <w:rsid w:val="00A9426D"/>
    <w:rsid w:val="00A942C5"/>
    <w:rsid w:val="00A942CA"/>
    <w:rsid w:val="00A942FB"/>
    <w:rsid w:val="00A94337"/>
    <w:rsid w:val="00A94346"/>
    <w:rsid w:val="00A9436A"/>
    <w:rsid w:val="00A94387"/>
    <w:rsid w:val="00A943BB"/>
    <w:rsid w:val="00A943BD"/>
    <w:rsid w:val="00A943FF"/>
    <w:rsid w:val="00A94410"/>
    <w:rsid w:val="00A94430"/>
    <w:rsid w:val="00A9443D"/>
    <w:rsid w:val="00A94479"/>
    <w:rsid w:val="00A944A0"/>
    <w:rsid w:val="00A944AF"/>
    <w:rsid w:val="00A944EC"/>
    <w:rsid w:val="00A94531"/>
    <w:rsid w:val="00A94557"/>
    <w:rsid w:val="00A94574"/>
    <w:rsid w:val="00A94579"/>
    <w:rsid w:val="00A945B7"/>
    <w:rsid w:val="00A945D1"/>
    <w:rsid w:val="00A945D3"/>
    <w:rsid w:val="00A945FA"/>
    <w:rsid w:val="00A94612"/>
    <w:rsid w:val="00A9462A"/>
    <w:rsid w:val="00A94670"/>
    <w:rsid w:val="00A94688"/>
    <w:rsid w:val="00A946B2"/>
    <w:rsid w:val="00A946F1"/>
    <w:rsid w:val="00A94730"/>
    <w:rsid w:val="00A9475C"/>
    <w:rsid w:val="00A94778"/>
    <w:rsid w:val="00A947B7"/>
    <w:rsid w:val="00A947C4"/>
    <w:rsid w:val="00A947C6"/>
    <w:rsid w:val="00A947CC"/>
    <w:rsid w:val="00A947DC"/>
    <w:rsid w:val="00A947F0"/>
    <w:rsid w:val="00A94813"/>
    <w:rsid w:val="00A94839"/>
    <w:rsid w:val="00A94884"/>
    <w:rsid w:val="00A948A1"/>
    <w:rsid w:val="00A948F3"/>
    <w:rsid w:val="00A94940"/>
    <w:rsid w:val="00A94966"/>
    <w:rsid w:val="00A9497F"/>
    <w:rsid w:val="00A94980"/>
    <w:rsid w:val="00A949B3"/>
    <w:rsid w:val="00A949BA"/>
    <w:rsid w:val="00A949F9"/>
    <w:rsid w:val="00A94A00"/>
    <w:rsid w:val="00A94A60"/>
    <w:rsid w:val="00A94A6E"/>
    <w:rsid w:val="00A94AC2"/>
    <w:rsid w:val="00A94AD4"/>
    <w:rsid w:val="00A94B07"/>
    <w:rsid w:val="00A94B1A"/>
    <w:rsid w:val="00A94B5B"/>
    <w:rsid w:val="00A94B68"/>
    <w:rsid w:val="00A94B7C"/>
    <w:rsid w:val="00A94BA2"/>
    <w:rsid w:val="00A94BD9"/>
    <w:rsid w:val="00A94C0C"/>
    <w:rsid w:val="00A94C1B"/>
    <w:rsid w:val="00A94C27"/>
    <w:rsid w:val="00A94C48"/>
    <w:rsid w:val="00A94C7A"/>
    <w:rsid w:val="00A94C94"/>
    <w:rsid w:val="00A94C9B"/>
    <w:rsid w:val="00A94CF4"/>
    <w:rsid w:val="00A94D14"/>
    <w:rsid w:val="00A94D15"/>
    <w:rsid w:val="00A94D1B"/>
    <w:rsid w:val="00A94D39"/>
    <w:rsid w:val="00A94D80"/>
    <w:rsid w:val="00A94DBF"/>
    <w:rsid w:val="00A94DD7"/>
    <w:rsid w:val="00A94DEE"/>
    <w:rsid w:val="00A94E02"/>
    <w:rsid w:val="00A94E23"/>
    <w:rsid w:val="00A94E2E"/>
    <w:rsid w:val="00A94E3C"/>
    <w:rsid w:val="00A94E63"/>
    <w:rsid w:val="00A94E92"/>
    <w:rsid w:val="00A94ED9"/>
    <w:rsid w:val="00A94EF0"/>
    <w:rsid w:val="00A94F23"/>
    <w:rsid w:val="00A94F26"/>
    <w:rsid w:val="00A94FA8"/>
    <w:rsid w:val="00A94FD3"/>
    <w:rsid w:val="00A9500E"/>
    <w:rsid w:val="00A95027"/>
    <w:rsid w:val="00A95028"/>
    <w:rsid w:val="00A9505E"/>
    <w:rsid w:val="00A950A4"/>
    <w:rsid w:val="00A950C8"/>
    <w:rsid w:val="00A9512B"/>
    <w:rsid w:val="00A95137"/>
    <w:rsid w:val="00A9515B"/>
    <w:rsid w:val="00A95166"/>
    <w:rsid w:val="00A95195"/>
    <w:rsid w:val="00A951C7"/>
    <w:rsid w:val="00A951D7"/>
    <w:rsid w:val="00A951F3"/>
    <w:rsid w:val="00A95228"/>
    <w:rsid w:val="00A95245"/>
    <w:rsid w:val="00A9525F"/>
    <w:rsid w:val="00A95288"/>
    <w:rsid w:val="00A9529F"/>
    <w:rsid w:val="00A952DF"/>
    <w:rsid w:val="00A95334"/>
    <w:rsid w:val="00A953C8"/>
    <w:rsid w:val="00A95409"/>
    <w:rsid w:val="00A95410"/>
    <w:rsid w:val="00A9541A"/>
    <w:rsid w:val="00A9545F"/>
    <w:rsid w:val="00A95488"/>
    <w:rsid w:val="00A954CC"/>
    <w:rsid w:val="00A954CF"/>
    <w:rsid w:val="00A954E1"/>
    <w:rsid w:val="00A9550D"/>
    <w:rsid w:val="00A955C7"/>
    <w:rsid w:val="00A955D6"/>
    <w:rsid w:val="00A95627"/>
    <w:rsid w:val="00A95644"/>
    <w:rsid w:val="00A95679"/>
    <w:rsid w:val="00A9568A"/>
    <w:rsid w:val="00A9568B"/>
    <w:rsid w:val="00A956B7"/>
    <w:rsid w:val="00A95700"/>
    <w:rsid w:val="00A95702"/>
    <w:rsid w:val="00A95727"/>
    <w:rsid w:val="00A95734"/>
    <w:rsid w:val="00A9575B"/>
    <w:rsid w:val="00A95789"/>
    <w:rsid w:val="00A957AB"/>
    <w:rsid w:val="00A957F4"/>
    <w:rsid w:val="00A95876"/>
    <w:rsid w:val="00A9589D"/>
    <w:rsid w:val="00A958A1"/>
    <w:rsid w:val="00A958C3"/>
    <w:rsid w:val="00A958CA"/>
    <w:rsid w:val="00A958F8"/>
    <w:rsid w:val="00A958FF"/>
    <w:rsid w:val="00A95901"/>
    <w:rsid w:val="00A9590F"/>
    <w:rsid w:val="00A95915"/>
    <w:rsid w:val="00A95962"/>
    <w:rsid w:val="00A95981"/>
    <w:rsid w:val="00A959BE"/>
    <w:rsid w:val="00A95A04"/>
    <w:rsid w:val="00A95A11"/>
    <w:rsid w:val="00A95A37"/>
    <w:rsid w:val="00A95A88"/>
    <w:rsid w:val="00A95AB1"/>
    <w:rsid w:val="00A95B14"/>
    <w:rsid w:val="00A95B1E"/>
    <w:rsid w:val="00A95B20"/>
    <w:rsid w:val="00A95B5C"/>
    <w:rsid w:val="00A95B90"/>
    <w:rsid w:val="00A95BA6"/>
    <w:rsid w:val="00A95BB2"/>
    <w:rsid w:val="00A95BC9"/>
    <w:rsid w:val="00A95BD4"/>
    <w:rsid w:val="00A95C02"/>
    <w:rsid w:val="00A95C39"/>
    <w:rsid w:val="00A95C66"/>
    <w:rsid w:val="00A95C88"/>
    <w:rsid w:val="00A95C97"/>
    <w:rsid w:val="00A95D0D"/>
    <w:rsid w:val="00A95D3C"/>
    <w:rsid w:val="00A95D49"/>
    <w:rsid w:val="00A95D7A"/>
    <w:rsid w:val="00A95DB1"/>
    <w:rsid w:val="00A95DB8"/>
    <w:rsid w:val="00A95DCD"/>
    <w:rsid w:val="00A95DDA"/>
    <w:rsid w:val="00A95E38"/>
    <w:rsid w:val="00A95E54"/>
    <w:rsid w:val="00A95E55"/>
    <w:rsid w:val="00A95E78"/>
    <w:rsid w:val="00A95E9F"/>
    <w:rsid w:val="00A95EF6"/>
    <w:rsid w:val="00A95F33"/>
    <w:rsid w:val="00A95F38"/>
    <w:rsid w:val="00A95F3D"/>
    <w:rsid w:val="00A95F83"/>
    <w:rsid w:val="00A95FCC"/>
    <w:rsid w:val="00A95FEE"/>
    <w:rsid w:val="00A95FFD"/>
    <w:rsid w:val="00A96016"/>
    <w:rsid w:val="00A96023"/>
    <w:rsid w:val="00A96036"/>
    <w:rsid w:val="00A9603C"/>
    <w:rsid w:val="00A9603E"/>
    <w:rsid w:val="00A96078"/>
    <w:rsid w:val="00A960A1"/>
    <w:rsid w:val="00A960FD"/>
    <w:rsid w:val="00A96104"/>
    <w:rsid w:val="00A9610C"/>
    <w:rsid w:val="00A96111"/>
    <w:rsid w:val="00A9612E"/>
    <w:rsid w:val="00A9613B"/>
    <w:rsid w:val="00A96160"/>
    <w:rsid w:val="00A96161"/>
    <w:rsid w:val="00A9616D"/>
    <w:rsid w:val="00A961AE"/>
    <w:rsid w:val="00A961CF"/>
    <w:rsid w:val="00A961DF"/>
    <w:rsid w:val="00A961F2"/>
    <w:rsid w:val="00A96217"/>
    <w:rsid w:val="00A96240"/>
    <w:rsid w:val="00A96251"/>
    <w:rsid w:val="00A9627F"/>
    <w:rsid w:val="00A96285"/>
    <w:rsid w:val="00A96288"/>
    <w:rsid w:val="00A962AA"/>
    <w:rsid w:val="00A962B9"/>
    <w:rsid w:val="00A962E1"/>
    <w:rsid w:val="00A96327"/>
    <w:rsid w:val="00A96350"/>
    <w:rsid w:val="00A9638A"/>
    <w:rsid w:val="00A96449"/>
    <w:rsid w:val="00A9647D"/>
    <w:rsid w:val="00A96498"/>
    <w:rsid w:val="00A964A5"/>
    <w:rsid w:val="00A964B3"/>
    <w:rsid w:val="00A964DC"/>
    <w:rsid w:val="00A96503"/>
    <w:rsid w:val="00A9650B"/>
    <w:rsid w:val="00A96517"/>
    <w:rsid w:val="00A96545"/>
    <w:rsid w:val="00A96575"/>
    <w:rsid w:val="00A9659D"/>
    <w:rsid w:val="00A965A2"/>
    <w:rsid w:val="00A965A9"/>
    <w:rsid w:val="00A965B5"/>
    <w:rsid w:val="00A965CE"/>
    <w:rsid w:val="00A965E4"/>
    <w:rsid w:val="00A9662E"/>
    <w:rsid w:val="00A9664F"/>
    <w:rsid w:val="00A966AD"/>
    <w:rsid w:val="00A966BD"/>
    <w:rsid w:val="00A9670D"/>
    <w:rsid w:val="00A9670E"/>
    <w:rsid w:val="00A9672A"/>
    <w:rsid w:val="00A96736"/>
    <w:rsid w:val="00A9675A"/>
    <w:rsid w:val="00A9679B"/>
    <w:rsid w:val="00A967F5"/>
    <w:rsid w:val="00A967F6"/>
    <w:rsid w:val="00A96816"/>
    <w:rsid w:val="00A96828"/>
    <w:rsid w:val="00A96832"/>
    <w:rsid w:val="00A9685A"/>
    <w:rsid w:val="00A9686C"/>
    <w:rsid w:val="00A968AC"/>
    <w:rsid w:val="00A968DD"/>
    <w:rsid w:val="00A968F5"/>
    <w:rsid w:val="00A968FD"/>
    <w:rsid w:val="00A96939"/>
    <w:rsid w:val="00A96969"/>
    <w:rsid w:val="00A9696C"/>
    <w:rsid w:val="00A96995"/>
    <w:rsid w:val="00A969A8"/>
    <w:rsid w:val="00A969BE"/>
    <w:rsid w:val="00A969D0"/>
    <w:rsid w:val="00A969F4"/>
    <w:rsid w:val="00A96A05"/>
    <w:rsid w:val="00A96A75"/>
    <w:rsid w:val="00A96B28"/>
    <w:rsid w:val="00A96B2C"/>
    <w:rsid w:val="00A96B2E"/>
    <w:rsid w:val="00A96B42"/>
    <w:rsid w:val="00A96B54"/>
    <w:rsid w:val="00A96BAD"/>
    <w:rsid w:val="00A96BF1"/>
    <w:rsid w:val="00A96C52"/>
    <w:rsid w:val="00A96C54"/>
    <w:rsid w:val="00A96C58"/>
    <w:rsid w:val="00A96C5B"/>
    <w:rsid w:val="00A96C8D"/>
    <w:rsid w:val="00A96CA2"/>
    <w:rsid w:val="00A96CAA"/>
    <w:rsid w:val="00A96CAE"/>
    <w:rsid w:val="00A96CD0"/>
    <w:rsid w:val="00A96CDA"/>
    <w:rsid w:val="00A96CDC"/>
    <w:rsid w:val="00A96D00"/>
    <w:rsid w:val="00A96D27"/>
    <w:rsid w:val="00A96D3C"/>
    <w:rsid w:val="00A96D7A"/>
    <w:rsid w:val="00A96D81"/>
    <w:rsid w:val="00A96DAC"/>
    <w:rsid w:val="00A96DB2"/>
    <w:rsid w:val="00A96E1A"/>
    <w:rsid w:val="00A96E7E"/>
    <w:rsid w:val="00A96E97"/>
    <w:rsid w:val="00A96F17"/>
    <w:rsid w:val="00A96F2A"/>
    <w:rsid w:val="00A96F71"/>
    <w:rsid w:val="00A96F74"/>
    <w:rsid w:val="00A96F7F"/>
    <w:rsid w:val="00A96F86"/>
    <w:rsid w:val="00A9704B"/>
    <w:rsid w:val="00A97057"/>
    <w:rsid w:val="00A9707B"/>
    <w:rsid w:val="00A9707D"/>
    <w:rsid w:val="00A970CE"/>
    <w:rsid w:val="00A970E0"/>
    <w:rsid w:val="00A9712F"/>
    <w:rsid w:val="00A97140"/>
    <w:rsid w:val="00A97144"/>
    <w:rsid w:val="00A97162"/>
    <w:rsid w:val="00A97188"/>
    <w:rsid w:val="00A9728B"/>
    <w:rsid w:val="00A972B5"/>
    <w:rsid w:val="00A972CF"/>
    <w:rsid w:val="00A972D1"/>
    <w:rsid w:val="00A97303"/>
    <w:rsid w:val="00A97315"/>
    <w:rsid w:val="00A97352"/>
    <w:rsid w:val="00A97360"/>
    <w:rsid w:val="00A973A1"/>
    <w:rsid w:val="00A973A6"/>
    <w:rsid w:val="00A973B3"/>
    <w:rsid w:val="00A973E3"/>
    <w:rsid w:val="00A97404"/>
    <w:rsid w:val="00A97406"/>
    <w:rsid w:val="00A9746D"/>
    <w:rsid w:val="00A9749B"/>
    <w:rsid w:val="00A974A7"/>
    <w:rsid w:val="00A974A9"/>
    <w:rsid w:val="00A97523"/>
    <w:rsid w:val="00A97524"/>
    <w:rsid w:val="00A97544"/>
    <w:rsid w:val="00A9754D"/>
    <w:rsid w:val="00A97570"/>
    <w:rsid w:val="00A975A5"/>
    <w:rsid w:val="00A975DF"/>
    <w:rsid w:val="00A975F6"/>
    <w:rsid w:val="00A9766A"/>
    <w:rsid w:val="00A97681"/>
    <w:rsid w:val="00A976A0"/>
    <w:rsid w:val="00A976E6"/>
    <w:rsid w:val="00A9773C"/>
    <w:rsid w:val="00A97761"/>
    <w:rsid w:val="00A97773"/>
    <w:rsid w:val="00A977D2"/>
    <w:rsid w:val="00A977DA"/>
    <w:rsid w:val="00A977E4"/>
    <w:rsid w:val="00A977FF"/>
    <w:rsid w:val="00A97847"/>
    <w:rsid w:val="00A97851"/>
    <w:rsid w:val="00A9786B"/>
    <w:rsid w:val="00A97870"/>
    <w:rsid w:val="00A97876"/>
    <w:rsid w:val="00A97880"/>
    <w:rsid w:val="00A978AF"/>
    <w:rsid w:val="00A978BE"/>
    <w:rsid w:val="00A978BF"/>
    <w:rsid w:val="00A978C5"/>
    <w:rsid w:val="00A978C6"/>
    <w:rsid w:val="00A978CF"/>
    <w:rsid w:val="00A97919"/>
    <w:rsid w:val="00A9791B"/>
    <w:rsid w:val="00A97998"/>
    <w:rsid w:val="00A979A5"/>
    <w:rsid w:val="00A97A0B"/>
    <w:rsid w:val="00A97A1D"/>
    <w:rsid w:val="00A97A43"/>
    <w:rsid w:val="00A97A9C"/>
    <w:rsid w:val="00A97AC3"/>
    <w:rsid w:val="00A97ADD"/>
    <w:rsid w:val="00A97B71"/>
    <w:rsid w:val="00A97BA1"/>
    <w:rsid w:val="00A97BEB"/>
    <w:rsid w:val="00A97BF0"/>
    <w:rsid w:val="00A97C0E"/>
    <w:rsid w:val="00A97C59"/>
    <w:rsid w:val="00A97C85"/>
    <w:rsid w:val="00A97CD4"/>
    <w:rsid w:val="00A97CE4"/>
    <w:rsid w:val="00A97CEC"/>
    <w:rsid w:val="00A97D14"/>
    <w:rsid w:val="00A97D48"/>
    <w:rsid w:val="00A97D4B"/>
    <w:rsid w:val="00A97D68"/>
    <w:rsid w:val="00A97DBD"/>
    <w:rsid w:val="00A97DFA"/>
    <w:rsid w:val="00A97E02"/>
    <w:rsid w:val="00A97E71"/>
    <w:rsid w:val="00A97E9C"/>
    <w:rsid w:val="00A97EA3"/>
    <w:rsid w:val="00A97EC8"/>
    <w:rsid w:val="00A97ED6"/>
    <w:rsid w:val="00A97ED7"/>
    <w:rsid w:val="00A97ED8"/>
    <w:rsid w:val="00A97ED9"/>
    <w:rsid w:val="00A97F0F"/>
    <w:rsid w:val="00A97F17"/>
    <w:rsid w:val="00A97F1E"/>
    <w:rsid w:val="00A97F26"/>
    <w:rsid w:val="00A97F58"/>
    <w:rsid w:val="00A97FA0"/>
    <w:rsid w:val="00A97FB6"/>
    <w:rsid w:val="00AA0029"/>
    <w:rsid w:val="00AA0069"/>
    <w:rsid w:val="00AA00A5"/>
    <w:rsid w:val="00AA00C8"/>
    <w:rsid w:val="00AA010E"/>
    <w:rsid w:val="00AA016D"/>
    <w:rsid w:val="00AA01F7"/>
    <w:rsid w:val="00AA020C"/>
    <w:rsid w:val="00AA0214"/>
    <w:rsid w:val="00AA0226"/>
    <w:rsid w:val="00AA023A"/>
    <w:rsid w:val="00AA025B"/>
    <w:rsid w:val="00AA0299"/>
    <w:rsid w:val="00AA02CC"/>
    <w:rsid w:val="00AA02D9"/>
    <w:rsid w:val="00AA02FC"/>
    <w:rsid w:val="00AA031D"/>
    <w:rsid w:val="00AA0327"/>
    <w:rsid w:val="00AA0329"/>
    <w:rsid w:val="00AA0364"/>
    <w:rsid w:val="00AA03B4"/>
    <w:rsid w:val="00AA03C4"/>
    <w:rsid w:val="00AA042B"/>
    <w:rsid w:val="00AA0453"/>
    <w:rsid w:val="00AA047E"/>
    <w:rsid w:val="00AA049B"/>
    <w:rsid w:val="00AA04E1"/>
    <w:rsid w:val="00AA04EE"/>
    <w:rsid w:val="00AA0539"/>
    <w:rsid w:val="00AA053C"/>
    <w:rsid w:val="00AA0549"/>
    <w:rsid w:val="00AA0582"/>
    <w:rsid w:val="00AA059D"/>
    <w:rsid w:val="00AA05C3"/>
    <w:rsid w:val="00AA05F5"/>
    <w:rsid w:val="00AA05FB"/>
    <w:rsid w:val="00AA061E"/>
    <w:rsid w:val="00AA061F"/>
    <w:rsid w:val="00AA0621"/>
    <w:rsid w:val="00AA062D"/>
    <w:rsid w:val="00AA0640"/>
    <w:rsid w:val="00AA0669"/>
    <w:rsid w:val="00AA06A2"/>
    <w:rsid w:val="00AA06DC"/>
    <w:rsid w:val="00AA075D"/>
    <w:rsid w:val="00AA076E"/>
    <w:rsid w:val="00AA07D5"/>
    <w:rsid w:val="00AA0816"/>
    <w:rsid w:val="00AA083A"/>
    <w:rsid w:val="00AA0843"/>
    <w:rsid w:val="00AA0898"/>
    <w:rsid w:val="00AA089B"/>
    <w:rsid w:val="00AA0918"/>
    <w:rsid w:val="00AA092D"/>
    <w:rsid w:val="00AA0933"/>
    <w:rsid w:val="00AA0955"/>
    <w:rsid w:val="00AA0964"/>
    <w:rsid w:val="00AA0970"/>
    <w:rsid w:val="00AA0975"/>
    <w:rsid w:val="00AA09B7"/>
    <w:rsid w:val="00AA09CB"/>
    <w:rsid w:val="00AA09EE"/>
    <w:rsid w:val="00AA09F9"/>
    <w:rsid w:val="00AA0A1A"/>
    <w:rsid w:val="00AA0A86"/>
    <w:rsid w:val="00AA0AAC"/>
    <w:rsid w:val="00AA0AE1"/>
    <w:rsid w:val="00AA0AFD"/>
    <w:rsid w:val="00AA0B39"/>
    <w:rsid w:val="00AA0B3C"/>
    <w:rsid w:val="00AA0B95"/>
    <w:rsid w:val="00AA0C12"/>
    <w:rsid w:val="00AA0C35"/>
    <w:rsid w:val="00AA0CD5"/>
    <w:rsid w:val="00AA0D24"/>
    <w:rsid w:val="00AA0D26"/>
    <w:rsid w:val="00AA0D38"/>
    <w:rsid w:val="00AA0D57"/>
    <w:rsid w:val="00AA0D5B"/>
    <w:rsid w:val="00AA0D5E"/>
    <w:rsid w:val="00AA0D6B"/>
    <w:rsid w:val="00AA0D70"/>
    <w:rsid w:val="00AA0D9C"/>
    <w:rsid w:val="00AA0DAD"/>
    <w:rsid w:val="00AA0DB4"/>
    <w:rsid w:val="00AA0DC5"/>
    <w:rsid w:val="00AA0DCD"/>
    <w:rsid w:val="00AA0DCE"/>
    <w:rsid w:val="00AA0DD0"/>
    <w:rsid w:val="00AA0E79"/>
    <w:rsid w:val="00AA0E83"/>
    <w:rsid w:val="00AA0ED9"/>
    <w:rsid w:val="00AA0EF0"/>
    <w:rsid w:val="00AA0F03"/>
    <w:rsid w:val="00AA0F29"/>
    <w:rsid w:val="00AA0F31"/>
    <w:rsid w:val="00AA0F50"/>
    <w:rsid w:val="00AA0F60"/>
    <w:rsid w:val="00AA0F6E"/>
    <w:rsid w:val="00AA0F70"/>
    <w:rsid w:val="00AA0F9D"/>
    <w:rsid w:val="00AA1003"/>
    <w:rsid w:val="00AA1033"/>
    <w:rsid w:val="00AA1034"/>
    <w:rsid w:val="00AA1041"/>
    <w:rsid w:val="00AA1049"/>
    <w:rsid w:val="00AA109C"/>
    <w:rsid w:val="00AA10BE"/>
    <w:rsid w:val="00AA1100"/>
    <w:rsid w:val="00AA1103"/>
    <w:rsid w:val="00AA1105"/>
    <w:rsid w:val="00AA1152"/>
    <w:rsid w:val="00AA1174"/>
    <w:rsid w:val="00AA11A2"/>
    <w:rsid w:val="00AA11A5"/>
    <w:rsid w:val="00AA11BF"/>
    <w:rsid w:val="00AA11C5"/>
    <w:rsid w:val="00AA11C6"/>
    <w:rsid w:val="00AA1216"/>
    <w:rsid w:val="00AA1219"/>
    <w:rsid w:val="00AA1240"/>
    <w:rsid w:val="00AA1247"/>
    <w:rsid w:val="00AA124A"/>
    <w:rsid w:val="00AA1276"/>
    <w:rsid w:val="00AA127C"/>
    <w:rsid w:val="00AA1293"/>
    <w:rsid w:val="00AA12BB"/>
    <w:rsid w:val="00AA12DF"/>
    <w:rsid w:val="00AA12F9"/>
    <w:rsid w:val="00AA1305"/>
    <w:rsid w:val="00AA1306"/>
    <w:rsid w:val="00AA1356"/>
    <w:rsid w:val="00AA136A"/>
    <w:rsid w:val="00AA1385"/>
    <w:rsid w:val="00AA1461"/>
    <w:rsid w:val="00AA1470"/>
    <w:rsid w:val="00AA1488"/>
    <w:rsid w:val="00AA148C"/>
    <w:rsid w:val="00AA14AB"/>
    <w:rsid w:val="00AA14B0"/>
    <w:rsid w:val="00AA14B2"/>
    <w:rsid w:val="00AA14C9"/>
    <w:rsid w:val="00AA14CC"/>
    <w:rsid w:val="00AA14CE"/>
    <w:rsid w:val="00AA14D0"/>
    <w:rsid w:val="00AA14D2"/>
    <w:rsid w:val="00AA1525"/>
    <w:rsid w:val="00AA1543"/>
    <w:rsid w:val="00AA154B"/>
    <w:rsid w:val="00AA15A4"/>
    <w:rsid w:val="00AA15B4"/>
    <w:rsid w:val="00AA15E0"/>
    <w:rsid w:val="00AA1648"/>
    <w:rsid w:val="00AA1660"/>
    <w:rsid w:val="00AA1665"/>
    <w:rsid w:val="00AA1676"/>
    <w:rsid w:val="00AA16B5"/>
    <w:rsid w:val="00AA16E3"/>
    <w:rsid w:val="00AA1704"/>
    <w:rsid w:val="00AA1743"/>
    <w:rsid w:val="00AA1744"/>
    <w:rsid w:val="00AA175A"/>
    <w:rsid w:val="00AA1778"/>
    <w:rsid w:val="00AA177E"/>
    <w:rsid w:val="00AA1785"/>
    <w:rsid w:val="00AA1792"/>
    <w:rsid w:val="00AA17D5"/>
    <w:rsid w:val="00AA1872"/>
    <w:rsid w:val="00AA189E"/>
    <w:rsid w:val="00AA18B3"/>
    <w:rsid w:val="00AA18BC"/>
    <w:rsid w:val="00AA18C2"/>
    <w:rsid w:val="00AA18F0"/>
    <w:rsid w:val="00AA199B"/>
    <w:rsid w:val="00AA19B2"/>
    <w:rsid w:val="00AA19C2"/>
    <w:rsid w:val="00AA19CA"/>
    <w:rsid w:val="00AA19CF"/>
    <w:rsid w:val="00AA1A21"/>
    <w:rsid w:val="00AA1A87"/>
    <w:rsid w:val="00AA1A9D"/>
    <w:rsid w:val="00AA1AB0"/>
    <w:rsid w:val="00AA1B45"/>
    <w:rsid w:val="00AA1B57"/>
    <w:rsid w:val="00AA1B60"/>
    <w:rsid w:val="00AA1BDD"/>
    <w:rsid w:val="00AA1BE8"/>
    <w:rsid w:val="00AA1BF9"/>
    <w:rsid w:val="00AA1C50"/>
    <w:rsid w:val="00AA1C5E"/>
    <w:rsid w:val="00AA1CB0"/>
    <w:rsid w:val="00AA1CF5"/>
    <w:rsid w:val="00AA1CFD"/>
    <w:rsid w:val="00AA1D12"/>
    <w:rsid w:val="00AA1D25"/>
    <w:rsid w:val="00AA1D6A"/>
    <w:rsid w:val="00AA1DBF"/>
    <w:rsid w:val="00AA1DEB"/>
    <w:rsid w:val="00AA1E13"/>
    <w:rsid w:val="00AA1E1F"/>
    <w:rsid w:val="00AA1E2F"/>
    <w:rsid w:val="00AA1E36"/>
    <w:rsid w:val="00AA1E5D"/>
    <w:rsid w:val="00AA1E68"/>
    <w:rsid w:val="00AA1ECF"/>
    <w:rsid w:val="00AA1EDC"/>
    <w:rsid w:val="00AA1F05"/>
    <w:rsid w:val="00AA1F22"/>
    <w:rsid w:val="00AA1F5E"/>
    <w:rsid w:val="00AA1F8E"/>
    <w:rsid w:val="00AA1F8F"/>
    <w:rsid w:val="00AA1FE6"/>
    <w:rsid w:val="00AA2027"/>
    <w:rsid w:val="00AA2075"/>
    <w:rsid w:val="00AA2077"/>
    <w:rsid w:val="00AA20CD"/>
    <w:rsid w:val="00AA20F6"/>
    <w:rsid w:val="00AA212C"/>
    <w:rsid w:val="00AA213B"/>
    <w:rsid w:val="00AA2153"/>
    <w:rsid w:val="00AA2214"/>
    <w:rsid w:val="00AA222C"/>
    <w:rsid w:val="00AA2239"/>
    <w:rsid w:val="00AA2278"/>
    <w:rsid w:val="00AA2286"/>
    <w:rsid w:val="00AA2296"/>
    <w:rsid w:val="00AA22CD"/>
    <w:rsid w:val="00AA231D"/>
    <w:rsid w:val="00AA232A"/>
    <w:rsid w:val="00AA2339"/>
    <w:rsid w:val="00AA2342"/>
    <w:rsid w:val="00AA235B"/>
    <w:rsid w:val="00AA23C5"/>
    <w:rsid w:val="00AA2424"/>
    <w:rsid w:val="00AA2468"/>
    <w:rsid w:val="00AA2495"/>
    <w:rsid w:val="00AA2497"/>
    <w:rsid w:val="00AA2498"/>
    <w:rsid w:val="00AA24A2"/>
    <w:rsid w:val="00AA2510"/>
    <w:rsid w:val="00AA256C"/>
    <w:rsid w:val="00AA25EA"/>
    <w:rsid w:val="00AA2612"/>
    <w:rsid w:val="00AA2636"/>
    <w:rsid w:val="00AA2658"/>
    <w:rsid w:val="00AA2689"/>
    <w:rsid w:val="00AA26B9"/>
    <w:rsid w:val="00AA26CD"/>
    <w:rsid w:val="00AA26E2"/>
    <w:rsid w:val="00AA273B"/>
    <w:rsid w:val="00AA273C"/>
    <w:rsid w:val="00AA2743"/>
    <w:rsid w:val="00AA2767"/>
    <w:rsid w:val="00AA27BD"/>
    <w:rsid w:val="00AA27DA"/>
    <w:rsid w:val="00AA27DC"/>
    <w:rsid w:val="00AA27F0"/>
    <w:rsid w:val="00AA27F2"/>
    <w:rsid w:val="00AA27F8"/>
    <w:rsid w:val="00AA280E"/>
    <w:rsid w:val="00AA2830"/>
    <w:rsid w:val="00AA2875"/>
    <w:rsid w:val="00AA289E"/>
    <w:rsid w:val="00AA28D1"/>
    <w:rsid w:val="00AA28E3"/>
    <w:rsid w:val="00AA296C"/>
    <w:rsid w:val="00AA296D"/>
    <w:rsid w:val="00AA2979"/>
    <w:rsid w:val="00AA29E7"/>
    <w:rsid w:val="00AA2A0E"/>
    <w:rsid w:val="00AA2A10"/>
    <w:rsid w:val="00AA2A33"/>
    <w:rsid w:val="00AA2A3D"/>
    <w:rsid w:val="00AA2A5C"/>
    <w:rsid w:val="00AA2A62"/>
    <w:rsid w:val="00AA2A72"/>
    <w:rsid w:val="00AA2AA7"/>
    <w:rsid w:val="00AA2ACE"/>
    <w:rsid w:val="00AA2ACF"/>
    <w:rsid w:val="00AA2AF0"/>
    <w:rsid w:val="00AA2AFD"/>
    <w:rsid w:val="00AA2B1B"/>
    <w:rsid w:val="00AA2B25"/>
    <w:rsid w:val="00AA2B27"/>
    <w:rsid w:val="00AA2B32"/>
    <w:rsid w:val="00AA2B70"/>
    <w:rsid w:val="00AA2BAE"/>
    <w:rsid w:val="00AA2BB1"/>
    <w:rsid w:val="00AA2BB7"/>
    <w:rsid w:val="00AA2BDA"/>
    <w:rsid w:val="00AA2BF8"/>
    <w:rsid w:val="00AA2CA3"/>
    <w:rsid w:val="00AA2CD0"/>
    <w:rsid w:val="00AA2D2D"/>
    <w:rsid w:val="00AA2D4E"/>
    <w:rsid w:val="00AA2D61"/>
    <w:rsid w:val="00AA2D68"/>
    <w:rsid w:val="00AA2D8D"/>
    <w:rsid w:val="00AA2DA9"/>
    <w:rsid w:val="00AA2DE3"/>
    <w:rsid w:val="00AA2E29"/>
    <w:rsid w:val="00AA2E3D"/>
    <w:rsid w:val="00AA2E4E"/>
    <w:rsid w:val="00AA2E66"/>
    <w:rsid w:val="00AA2EAB"/>
    <w:rsid w:val="00AA2ECB"/>
    <w:rsid w:val="00AA2EDB"/>
    <w:rsid w:val="00AA2F6B"/>
    <w:rsid w:val="00AA2F79"/>
    <w:rsid w:val="00AA2F92"/>
    <w:rsid w:val="00AA2F94"/>
    <w:rsid w:val="00AA2FA0"/>
    <w:rsid w:val="00AA2FB4"/>
    <w:rsid w:val="00AA300F"/>
    <w:rsid w:val="00AA3030"/>
    <w:rsid w:val="00AA3053"/>
    <w:rsid w:val="00AA3077"/>
    <w:rsid w:val="00AA307A"/>
    <w:rsid w:val="00AA308D"/>
    <w:rsid w:val="00AA309D"/>
    <w:rsid w:val="00AA30B8"/>
    <w:rsid w:val="00AA30E5"/>
    <w:rsid w:val="00AA3115"/>
    <w:rsid w:val="00AA313F"/>
    <w:rsid w:val="00AA316D"/>
    <w:rsid w:val="00AA317A"/>
    <w:rsid w:val="00AA31CC"/>
    <w:rsid w:val="00AA31DE"/>
    <w:rsid w:val="00AA3242"/>
    <w:rsid w:val="00AA324E"/>
    <w:rsid w:val="00AA325F"/>
    <w:rsid w:val="00AA326E"/>
    <w:rsid w:val="00AA329B"/>
    <w:rsid w:val="00AA32F1"/>
    <w:rsid w:val="00AA3304"/>
    <w:rsid w:val="00AA331F"/>
    <w:rsid w:val="00AA3320"/>
    <w:rsid w:val="00AA3338"/>
    <w:rsid w:val="00AA335C"/>
    <w:rsid w:val="00AA3364"/>
    <w:rsid w:val="00AA337A"/>
    <w:rsid w:val="00AA3383"/>
    <w:rsid w:val="00AA3396"/>
    <w:rsid w:val="00AA339D"/>
    <w:rsid w:val="00AA33BB"/>
    <w:rsid w:val="00AA3405"/>
    <w:rsid w:val="00AA340B"/>
    <w:rsid w:val="00AA3454"/>
    <w:rsid w:val="00AA34B9"/>
    <w:rsid w:val="00AA34F8"/>
    <w:rsid w:val="00AA352E"/>
    <w:rsid w:val="00AA3580"/>
    <w:rsid w:val="00AA35B0"/>
    <w:rsid w:val="00AA35B1"/>
    <w:rsid w:val="00AA35C8"/>
    <w:rsid w:val="00AA362D"/>
    <w:rsid w:val="00AA3642"/>
    <w:rsid w:val="00AA364E"/>
    <w:rsid w:val="00AA3658"/>
    <w:rsid w:val="00AA3682"/>
    <w:rsid w:val="00AA36AB"/>
    <w:rsid w:val="00AA36E1"/>
    <w:rsid w:val="00AA36F2"/>
    <w:rsid w:val="00AA3727"/>
    <w:rsid w:val="00AA372E"/>
    <w:rsid w:val="00AA3762"/>
    <w:rsid w:val="00AA379D"/>
    <w:rsid w:val="00AA37D4"/>
    <w:rsid w:val="00AA37E1"/>
    <w:rsid w:val="00AA3843"/>
    <w:rsid w:val="00AA3892"/>
    <w:rsid w:val="00AA38C2"/>
    <w:rsid w:val="00AA38F3"/>
    <w:rsid w:val="00AA38F9"/>
    <w:rsid w:val="00AA3912"/>
    <w:rsid w:val="00AA3965"/>
    <w:rsid w:val="00AA3966"/>
    <w:rsid w:val="00AA39FE"/>
    <w:rsid w:val="00AA3A0D"/>
    <w:rsid w:val="00AA3A25"/>
    <w:rsid w:val="00AA3A2E"/>
    <w:rsid w:val="00AA3A53"/>
    <w:rsid w:val="00AA3A6B"/>
    <w:rsid w:val="00AA3A80"/>
    <w:rsid w:val="00AA3ACD"/>
    <w:rsid w:val="00AA3B29"/>
    <w:rsid w:val="00AA3B55"/>
    <w:rsid w:val="00AA3B88"/>
    <w:rsid w:val="00AA3BCE"/>
    <w:rsid w:val="00AA3BEA"/>
    <w:rsid w:val="00AA3BF1"/>
    <w:rsid w:val="00AA3BF4"/>
    <w:rsid w:val="00AA3C0B"/>
    <w:rsid w:val="00AA3C62"/>
    <w:rsid w:val="00AA3C7F"/>
    <w:rsid w:val="00AA3C83"/>
    <w:rsid w:val="00AA3C9A"/>
    <w:rsid w:val="00AA3D0B"/>
    <w:rsid w:val="00AA3D99"/>
    <w:rsid w:val="00AA3DCE"/>
    <w:rsid w:val="00AA3DDE"/>
    <w:rsid w:val="00AA3E31"/>
    <w:rsid w:val="00AA3E71"/>
    <w:rsid w:val="00AA3EF7"/>
    <w:rsid w:val="00AA3F44"/>
    <w:rsid w:val="00AA3F49"/>
    <w:rsid w:val="00AA3F50"/>
    <w:rsid w:val="00AA3F69"/>
    <w:rsid w:val="00AA4057"/>
    <w:rsid w:val="00AA406A"/>
    <w:rsid w:val="00AA407A"/>
    <w:rsid w:val="00AA40CD"/>
    <w:rsid w:val="00AA4110"/>
    <w:rsid w:val="00AA411E"/>
    <w:rsid w:val="00AA4137"/>
    <w:rsid w:val="00AA414A"/>
    <w:rsid w:val="00AA414D"/>
    <w:rsid w:val="00AA41A2"/>
    <w:rsid w:val="00AA41AF"/>
    <w:rsid w:val="00AA41F7"/>
    <w:rsid w:val="00AA420E"/>
    <w:rsid w:val="00AA423F"/>
    <w:rsid w:val="00AA426F"/>
    <w:rsid w:val="00AA42F8"/>
    <w:rsid w:val="00AA4308"/>
    <w:rsid w:val="00AA4310"/>
    <w:rsid w:val="00AA4337"/>
    <w:rsid w:val="00AA43AF"/>
    <w:rsid w:val="00AA43C6"/>
    <w:rsid w:val="00AA4402"/>
    <w:rsid w:val="00AA447A"/>
    <w:rsid w:val="00AA447C"/>
    <w:rsid w:val="00AA44AB"/>
    <w:rsid w:val="00AA44B8"/>
    <w:rsid w:val="00AA44F0"/>
    <w:rsid w:val="00AA4537"/>
    <w:rsid w:val="00AA4544"/>
    <w:rsid w:val="00AA45D9"/>
    <w:rsid w:val="00AA4614"/>
    <w:rsid w:val="00AA4637"/>
    <w:rsid w:val="00AA463A"/>
    <w:rsid w:val="00AA46AB"/>
    <w:rsid w:val="00AA46AE"/>
    <w:rsid w:val="00AA46D8"/>
    <w:rsid w:val="00AA46F7"/>
    <w:rsid w:val="00AA4705"/>
    <w:rsid w:val="00AA4733"/>
    <w:rsid w:val="00AA4748"/>
    <w:rsid w:val="00AA4783"/>
    <w:rsid w:val="00AA4796"/>
    <w:rsid w:val="00AA47C0"/>
    <w:rsid w:val="00AA47C5"/>
    <w:rsid w:val="00AA47D1"/>
    <w:rsid w:val="00AA47D4"/>
    <w:rsid w:val="00AA47F3"/>
    <w:rsid w:val="00AA481A"/>
    <w:rsid w:val="00AA4853"/>
    <w:rsid w:val="00AA4882"/>
    <w:rsid w:val="00AA48AF"/>
    <w:rsid w:val="00AA48C5"/>
    <w:rsid w:val="00AA48E3"/>
    <w:rsid w:val="00AA48E8"/>
    <w:rsid w:val="00AA4947"/>
    <w:rsid w:val="00AA496C"/>
    <w:rsid w:val="00AA496D"/>
    <w:rsid w:val="00AA499E"/>
    <w:rsid w:val="00AA49B6"/>
    <w:rsid w:val="00AA4A37"/>
    <w:rsid w:val="00AA4A9A"/>
    <w:rsid w:val="00AA4AAB"/>
    <w:rsid w:val="00AA4AD3"/>
    <w:rsid w:val="00AA4AD9"/>
    <w:rsid w:val="00AA4AF0"/>
    <w:rsid w:val="00AA4B09"/>
    <w:rsid w:val="00AA4B44"/>
    <w:rsid w:val="00AA4B51"/>
    <w:rsid w:val="00AA4B54"/>
    <w:rsid w:val="00AA4B58"/>
    <w:rsid w:val="00AA4B79"/>
    <w:rsid w:val="00AA4B91"/>
    <w:rsid w:val="00AA4BDF"/>
    <w:rsid w:val="00AA4BF8"/>
    <w:rsid w:val="00AA4C18"/>
    <w:rsid w:val="00AA4C1E"/>
    <w:rsid w:val="00AA4C43"/>
    <w:rsid w:val="00AA4C52"/>
    <w:rsid w:val="00AA4C59"/>
    <w:rsid w:val="00AA4C6B"/>
    <w:rsid w:val="00AA4CA3"/>
    <w:rsid w:val="00AA4CB1"/>
    <w:rsid w:val="00AA4CD2"/>
    <w:rsid w:val="00AA4CD7"/>
    <w:rsid w:val="00AA4D37"/>
    <w:rsid w:val="00AA4D5D"/>
    <w:rsid w:val="00AA4D6A"/>
    <w:rsid w:val="00AA4DF1"/>
    <w:rsid w:val="00AA4DF6"/>
    <w:rsid w:val="00AA4E3A"/>
    <w:rsid w:val="00AA4E78"/>
    <w:rsid w:val="00AA4E8D"/>
    <w:rsid w:val="00AA4E94"/>
    <w:rsid w:val="00AA4EB0"/>
    <w:rsid w:val="00AA4EBD"/>
    <w:rsid w:val="00AA4ECE"/>
    <w:rsid w:val="00AA4F2C"/>
    <w:rsid w:val="00AA4F57"/>
    <w:rsid w:val="00AA4F5F"/>
    <w:rsid w:val="00AA4F6C"/>
    <w:rsid w:val="00AA4FA6"/>
    <w:rsid w:val="00AA4FA9"/>
    <w:rsid w:val="00AA500F"/>
    <w:rsid w:val="00AA5025"/>
    <w:rsid w:val="00AA5038"/>
    <w:rsid w:val="00AA5058"/>
    <w:rsid w:val="00AA508C"/>
    <w:rsid w:val="00AA50B2"/>
    <w:rsid w:val="00AA50C9"/>
    <w:rsid w:val="00AA50DA"/>
    <w:rsid w:val="00AA5116"/>
    <w:rsid w:val="00AA5165"/>
    <w:rsid w:val="00AA5172"/>
    <w:rsid w:val="00AA518F"/>
    <w:rsid w:val="00AA51CC"/>
    <w:rsid w:val="00AA52A9"/>
    <w:rsid w:val="00AA52DD"/>
    <w:rsid w:val="00AA532F"/>
    <w:rsid w:val="00AA5348"/>
    <w:rsid w:val="00AA5373"/>
    <w:rsid w:val="00AA5390"/>
    <w:rsid w:val="00AA53B2"/>
    <w:rsid w:val="00AA53CC"/>
    <w:rsid w:val="00AA53E2"/>
    <w:rsid w:val="00AA53E5"/>
    <w:rsid w:val="00AA53F9"/>
    <w:rsid w:val="00AA5419"/>
    <w:rsid w:val="00AA541C"/>
    <w:rsid w:val="00AA5433"/>
    <w:rsid w:val="00AA5483"/>
    <w:rsid w:val="00AA54C8"/>
    <w:rsid w:val="00AA54D7"/>
    <w:rsid w:val="00AA54F3"/>
    <w:rsid w:val="00AA5527"/>
    <w:rsid w:val="00AA5541"/>
    <w:rsid w:val="00AA5542"/>
    <w:rsid w:val="00AA554A"/>
    <w:rsid w:val="00AA556C"/>
    <w:rsid w:val="00AA55E6"/>
    <w:rsid w:val="00AA55E8"/>
    <w:rsid w:val="00AA560D"/>
    <w:rsid w:val="00AA5618"/>
    <w:rsid w:val="00AA5632"/>
    <w:rsid w:val="00AA5657"/>
    <w:rsid w:val="00AA565A"/>
    <w:rsid w:val="00AA5690"/>
    <w:rsid w:val="00AA569C"/>
    <w:rsid w:val="00AA56A9"/>
    <w:rsid w:val="00AA56B8"/>
    <w:rsid w:val="00AA56D8"/>
    <w:rsid w:val="00AA570C"/>
    <w:rsid w:val="00AA5731"/>
    <w:rsid w:val="00AA5759"/>
    <w:rsid w:val="00AA5764"/>
    <w:rsid w:val="00AA5804"/>
    <w:rsid w:val="00AA580D"/>
    <w:rsid w:val="00AA581C"/>
    <w:rsid w:val="00AA5828"/>
    <w:rsid w:val="00AA5886"/>
    <w:rsid w:val="00AA5894"/>
    <w:rsid w:val="00AA59A5"/>
    <w:rsid w:val="00AA59AF"/>
    <w:rsid w:val="00AA59B1"/>
    <w:rsid w:val="00AA59D9"/>
    <w:rsid w:val="00AA5A21"/>
    <w:rsid w:val="00AA5AA8"/>
    <w:rsid w:val="00AA5AAD"/>
    <w:rsid w:val="00AA5AB0"/>
    <w:rsid w:val="00AA5AC7"/>
    <w:rsid w:val="00AA5AD1"/>
    <w:rsid w:val="00AA5AF4"/>
    <w:rsid w:val="00AA5B09"/>
    <w:rsid w:val="00AA5B15"/>
    <w:rsid w:val="00AA5BA8"/>
    <w:rsid w:val="00AA5BA9"/>
    <w:rsid w:val="00AA5BD9"/>
    <w:rsid w:val="00AA5BE9"/>
    <w:rsid w:val="00AA5BEB"/>
    <w:rsid w:val="00AA5C61"/>
    <w:rsid w:val="00AA5C9F"/>
    <w:rsid w:val="00AA5CC7"/>
    <w:rsid w:val="00AA5CD8"/>
    <w:rsid w:val="00AA5CEA"/>
    <w:rsid w:val="00AA5DCB"/>
    <w:rsid w:val="00AA5DF1"/>
    <w:rsid w:val="00AA5E24"/>
    <w:rsid w:val="00AA5ECC"/>
    <w:rsid w:val="00AA5F03"/>
    <w:rsid w:val="00AA5F0C"/>
    <w:rsid w:val="00AA5F48"/>
    <w:rsid w:val="00AA5F9B"/>
    <w:rsid w:val="00AA5F9D"/>
    <w:rsid w:val="00AA5FA0"/>
    <w:rsid w:val="00AA5FDA"/>
    <w:rsid w:val="00AA6005"/>
    <w:rsid w:val="00AA6049"/>
    <w:rsid w:val="00AA6052"/>
    <w:rsid w:val="00AA60CE"/>
    <w:rsid w:val="00AA60DF"/>
    <w:rsid w:val="00AA6113"/>
    <w:rsid w:val="00AA6146"/>
    <w:rsid w:val="00AA615A"/>
    <w:rsid w:val="00AA6161"/>
    <w:rsid w:val="00AA6166"/>
    <w:rsid w:val="00AA618A"/>
    <w:rsid w:val="00AA618B"/>
    <w:rsid w:val="00AA61B3"/>
    <w:rsid w:val="00AA61F4"/>
    <w:rsid w:val="00AA61FE"/>
    <w:rsid w:val="00AA6213"/>
    <w:rsid w:val="00AA623A"/>
    <w:rsid w:val="00AA6244"/>
    <w:rsid w:val="00AA6284"/>
    <w:rsid w:val="00AA6338"/>
    <w:rsid w:val="00AA634D"/>
    <w:rsid w:val="00AA63C5"/>
    <w:rsid w:val="00AA641D"/>
    <w:rsid w:val="00AA6424"/>
    <w:rsid w:val="00AA6443"/>
    <w:rsid w:val="00AA6459"/>
    <w:rsid w:val="00AA6464"/>
    <w:rsid w:val="00AA648C"/>
    <w:rsid w:val="00AA64D8"/>
    <w:rsid w:val="00AA64F0"/>
    <w:rsid w:val="00AA6549"/>
    <w:rsid w:val="00AA6552"/>
    <w:rsid w:val="00AA6577"/>
    <w:rsid w:val="00AA657F"/>
    <w:rsid w:val="00AA6597"/>
    <w:rsid w:val="00AA65F3"/>
    <w:rsid w:val="00AA6696"/>
    <w:rsid w:val="00AA66CC"/>
    <w:rsid w:val="00AA66DA"/>
    <w:rsid w:val="00AA66DE"/>
    <w:rsid w:val="00AA6700"/>
    <w:rsid w:val="00AA6752"/>
    <w:rsid w:val="00AA677B"/>
    <w:rsid w:val="00AA67C7"/>
    <w:rsid w:val="00AA67EC"/>
    <w:rsid w:val="00AA67EF"/>
    <w:rsid w:val="00AA6856"/>
    <w:rsid w:val="00AA6868"/>
    <w:rsid w:val="00AA6873"/>
    <w:rsid w:val="00AA6884"/>
    <w:rsid w:val="00AA68E0"/>
    <w:rsid w:val="00AA68EC"/>
    <w:rsid w:val="00AA68F3"/>
    <w:rsid w:val="00AA6916"/>
    <w:rsid w:val="00AA6978"/>
    <w:rsid w:val="00AA6989"/>
    <w:rsid w:val="00AA698B"/>
    <w:rsid w:val="00AA6999"/>
    <w:rsid w:val="00AA6A1B"/>
    <w:rsid w:val="00AA6A1F"/>
    <w:rsid w:val="00AA6A20"/>
    <w:rsid w:val="00AA6A3B"/>
    <w:rsid w:val="00AA6A59"/>
    <w:rsid w:val="00AA6A82"/>
    <w:rsid w:val="00AA6AA6"/>
    <w:rsid w:val="00AA6B03"/>
    <w:rsid w:val="00AA6B15"/>
    <w:rsid w:val="00AA6B20"/>
    <w:rsid w:val="00AA6B6E"/>
    <w:rsid w:val="00AA6B88"/>
    <w:rsid w:val="00AA6B8E"/>
    <w:rsid w:val="00AA6BA6"/>
    <w:rsid w:val="00AA6BA7"/>
    <w:rsid w:val="00AA6BAF"/>
    <w:rsid w:val="00AA6BD5"/>
    <w:rsid w:val="00AA6BF3"/>
    <w:rsid w:val="00AA6BFB"/>
    <w:rsid w:val="00AA6C5C"/>
    <w:rsid w:val="00AA6C7A"/>
    <w:rsid w:val="00AA6CD4"/>
    <w:rsid w:val="00AA6D6C"/>
    <w:rsid w:val="00AA6D81"/>
    <w:rsid w:val="00AA6DB4"/>
    <w:rsid w:val="00AA6DE3"/>
    <w:rsid w:val="00AA6DE8"/>
    <w:rsid w:val="00AA6DF4"/>
    <w:rsid w:val="00AA6E03"/>
    <w:rsid w:val="00AA6E61"/>
    <w:rsid w:val="00AA6E83"/>
    <w:rsid w:val="00AA6E8A"/>
    <w:rsid w:val="00AA6E92"/>
    <w:rsid w:val="00AA6EBA"/>
    <w:rsid w:val="00AA6EBD"/>
    <w:rsid w:val="00AA6F31"/>
    <w:rsid w:val="00AA6F3E"/>
    <w:rsid w:val="00AA6F4C"/>
    <w:rsid w:val="00AA6F6B"/>
    <w:rsid w:val="00AA6F7E"/>
    <w:rsid w:val="00AA6FC1"/>
    <w:rsid w:val="00AA6FE5"/>
    <w:rsid w:val="00AA6FEA"/>
    <w:rsid w:val="00AA702B"/>
    <w:rsid w:val="00AA708D"/>
    <w:rsid w:val="00AA7102"/>
    <w:rsid w:val="00AA712A"/>
    <w:rsid w:val="00AA716F"/>
    <w:rsid w:val="00AA7187"/>
    <w:rsid w:val="00AA7196"/>
    <w:rsid w:val="00AA71BB"/>
    <w:rsid w:val="00AA71FD"/>
    <w:rsid w:val="00AA722D"/>
    <w:rsid w:val="00AA7264"/>
    <w:rsid w:val="00AA7275"/>
    <w:rsid w:val="00AA72AD"/>
    <w:rsid w:val="00AA734C"/>
    <w:rsid w:val="00AA73AE"/>
    <w:rsid w:val="00AA73F9"/>
    <w:rsid w:val="00AA7414"/>
    <w:rsid w:val="00AA74C4"/>
    <w:rsid w:val="00AA74C7"/>
    <w:rsid w:val="00AA74ED"/>
    <w:rsid w:val="00AA7518"/>
    <w:rsid w:val="00AA7567"/>
    <w:rsid w:val="00AA7572"/>
    <w:rsid w:val="00AA75B7"/>
    <w:rsid w:val="00AA75E5"/>
    <w:rsid w:val="00AA7605"/>
    <w:rsid w:val="00AA7607"/>
    <w:rsid w:val="00AA760B"/>
    <w:rsid w:val="00AA762A"/>
    <w:rsid w:val="00AA7671"/>
    <w:rsid w:val="00AA7681"/>
    <w:rsid w:val="00AA7689"/>
    <w:rsid w:val="00AA76B6"/>
    <w:rsid w:val="00AA76D9"/>
    <w:rsid w:val="00AA76FB"/>
    <w:rsid w:val="00AA7711"/>
    <w:rsid w:val="00AA7719"/>
    <w:rsid w:val="00AA7720"/>
    <w:rsid w:val="00AA7769"/>
    <w:rsid w:val="00AA777F"/>
    <w:rsid w:val="00AA7786"/>
    <w:rsid w:val="00AA778F"/>
    <w:rsid w:val="00AA783E"/>
    <w:rsid w:val="00AA7844"/>
    <w:rsid w:val="00AA7859"/>
    <w:rsid w:val="00AA78BE"/>
    <w:rsid w:val="00AA791D"/>
    <w:rsid w:val="00AA7949"/>
    <w:rsid w:val="00AA7984"/>
    <w:rsid w:val="00AA799C"/>
    <w:rsid w:val="00AA79D4"/>
    <w:rsid w:val="00AA79E0"/>
    <w:rsid w:val="00AA7A39"/>
    <w:rsid w:val="00AA7A45"/>
    <w:rsid w:val="00AA7A7B"/>
    <w:rsid w:val="00AA7A82"/>
    <w:rsid w:val="00AA7A9F"/>
    <w:rsid w:val="00AA7AA2"/>
    <w:rsid w:val="00AA7B1B"/>
    <w:rsid w:val="00AA7B32"/>
    <w:rsid w:val="00AA7B43"/>
    <w:rsid w:val="00AA7B4B"/>
    <w:rsid w:val="00AA7B56"/>
    <w:rsid w:val="00AA7B67"/>
    <w:rsid w:val="00AA7B72"/>
    <w:rsid w:val="00AA7B74"/>
    <w:rsid w:val="00AA7BFE"/>
    <w:rsid w:val="00AA7C2F"/>
    <w:rsid w:val="00AA7C3B"/>
    <w:rsid w:val="00AA7C56"/>
    <w:rsid w:val="00AA7C87"/>
    <w:rsid w:val="00AA7C99"/>
    <w:rsid w:val="00AA7CCC"/>
    <w:rsid w:val="00AA7D06"/>
    <w:rsid w:val="00AA7D14"/>
    <w:rsid w:val="00AA7D20"/>
    <w:rsid w:val="00AA7D49"/>
    <w:rsid w:val="00AA7DDC"/>
    <w:rsid w:val="00AA7E2E"/>
    <w:rsid w:val="00AA7E44"/>
    <w:rsid w:val="00AA7EFF"/>
    <w:rsid w:val="00AA7F0A"/>
    <w:rsid w:val="00AA7F5D"/>
    <w:rsid w:val="00AA7F66"/>
    <w:rsid w:val="00AA7F9D"/>
    <w:rsid w:val="00AA7FA7"/>
    <w:rsid w:val="00AA7FC5"/>
    <w:rsid w:val="00AA7FD0"/>
    <w:rsid w:val="00AA9ACE"/>
    <w:rsid w:val="00AB000B"/>
    <w:rsid w:val="00AB0043"/>
    <w:rsid w:val="00AB00B9"/>
    <w:rsid w:val="00AB00C9"/>
    <w:rsid w:val="00AB00E6"/>
    <w:rsid w:val="00AB0127"/>
    <w:rsid w:val="00AB013A"/>
    <w:rsid w:val="00AB01D0"/>
    <w:rsid w:val="00AB020B"/>
    <w:rsid w:val="00AB021E"/>
    <w:rsid w:val="00AB022A"/>
    <w:rsid w:val="00AB0246"/>
    <w:rsid w:val="00AB024A"/>
    <w:rsid w:val="00AB0260"/>
    <w:rsid w:val="00AB0261"/>
    <w:rsid w:val="00AB0270"/>
    <w:rsid w:val="00AB0280"/>
    <w:rsid w:val="00AB0290"/>
    <w:rsid w:val="00AB02DD"/>
    <w:rsid w:val="00AB02EF"/>
    <w:rsid w:val="00AB030F"/>
    <w:rsid w:val="00AB0335"/>
    <w:rsid w:val="00AB0337"/>
    <w:rsid w:val="00AB0372"/>
    <w:rsid w:val="00AB0395"/>
    <w:rsid w:val="00AB03B3"/>
    <w:rsid w:val="00AB03C6"/>
    <w:rsid w:val="00AB03D5"/>
    <w:rsid w:val="00AB03FB"/>
    <w:rsid w:val="00AB0425"/>
    <w:rsid w:val="00AB0429"/>
    <w:rsid w:val="00AB0436"/>
    <w:rsid w:val="00AB0498"/>
    <w:rsid w:val="00AB04B9"/>
    <w:rsid w:val="00AB04E9"/>
    <w:rsid w:val="00AB04FE"/>
    <w:rsid w:val="00AB0501"/>
    <w:rsid w:val="00AB050C"/>
    <w:rsid w:val="00AB054F"/>
    <w:rsid w:val="00AB056E"/>
    <w:rsid w:val="00AB0591"/>
    <w:rsid w:val="00AB0592"/>
    <w:rsid w:val="00AB0606"/>
    <w:rsid w:val="00AB0636"/>
    <w:rsid w:val="00AB06D1"/>
    <w:rsid w:val="00AB06F5"/>
    <w:rsid w:val="00AB06F6"/>
    <w:rsid w:val="00AB070F"/>
    <w:rsid w:val="00AB0715"/>
    <w:rsid w:val="00AB0725"/>
    <w:rsid w:val="00AB078B"/>
    <w:rsid w:val="00AB07E2"/>
    <w:rsid w:val="00AB081F"/>
    <w:rsid w:val="00AB083E"/>
    <w:rsid w:val="00AB0842"/>
    <w:rsid w:val="00AB084B"/>
    <w:rsid w:val="00AB0866"/>
    <w:rsid w:val="00AB0873"/>
    <w:rsid w:val="00AB08E9"/>
    <w:rsid w:val="00AB08F8"/>
    <w:rsid w:val="00AB0955"/>
    <w:rsid w:val="00AB0986"/>
    <w:rsid w:val="00AB0A33"/>
    <w:rsid w:val="00AB0A42"/>
    <w:rsid w:val="00AB0A9C"/>
    <w:rsid w:val="00AB0A9E"/>
    <w:rsid w:val="00AB0B0C"/>
    <w:rsid w:val="00AB0B29"/>
    <w:rsid w:val="00AB0B6B"/>
    <w:rsid w:val="00AB0BA8"/>
    <w:rsid w:val="00AB0BCB"/>
    <w:rsid w:val="00AB0BD2"/>
    <w:rsid w:val="00AB0BEA"/>
    <w:rsid w:val="00AB0C1D"/>
    <w:rsid w:val="00AB0C52"/>
    <w:rsid w:val="00AB0C8E"/>
    <w:rsid w:val="00AB0CAF"/>
    <w:rsid w:val="00AB0CB2"/>
    <w:rsid w:val="00AB0CFA"/>
    <w:rsid w:val="00AB0D00"/>
    <w:rsid w:val="00AB0D0F"/>
    <w:rsid w:val="00AB0D22"/>
    <w:rsid w:val="00AB0D38"/>
    <w:rsid w:val="00AB0D4D"/>
    <w:rsid w:val="00AB0D5D"/>
    <w:rsid w:val="00AB0DA2"/>
    <w:rsid w:val="00AB0DAB"/>
    <w:rsid w:val="00AB0DD3"/>
    <w:rsid w:val="00AB0E21"/>
    <w:rsid w:val="00AB0E41"/>
    <w:rsid w:val="00AB0E42"/>
    <w:rsid w:val="00AB0E7C"/>
    <w:rsid w:val="00AB0E9B"/>
    <w:rsid w:val="00AB0F0F"/>
    <w:rsid w:val="00AB0F45"/>
    <w:rsid w:val="00AB0F70"/>
    <w:rsid w:val="00AB0F82"/>
    <w:rsid w:val="00AB0FC1"/>
    <w:rsid w:val="00AB0FF3"/>
    <w:rsid w:val="00AB100A"/>
    <w:rsid w:val="00AB1043"/>
    <w:rsid w:val="00AB1047"/>
    <w:rsid w:val="00AB106D"/>
    <w:rsid w:val="00AB1095"/>
    <w:rsid w:val="00AB10C2"/>
    <w:rsid w:val="00AB110D"/>
    <w:rsid w:val="00AB1113"/>
    <w:rsid w:val="00AB113A"/>
    <w:rsid w:val="00AB113C"/>
    <w:rsid w:val="00AB1176"/>
    <w:rsid w:val="00AB11AD"/>
    <w:rsid w:val="00AB11F0"/>
    <w:rsid w:val="00AB123A"/>
    <w:rsid w:val="00AB126F"/>
    <w:rsid w:val="00AB1285"/>
    <w:rsid w:val="00AB129F"/>
    <w:rsid w:val="00AB12CE"/>
    <w:rsid w:val="00AB1306"/>
    <w:rsid w:val="00AB130E"/>
    <w:rsid w:val="00AB131B"/>
    <w:rsid w:val="00AB1366"/>
    <w:rsid w:val="00AB1380"/>
    <w:rsid w:val="00AB139B"/>
    <w:rsid w:val="00AB13ED"/>
    <w:rsid w:val="00AB1405"/>
    <w:rsid w:val="00AB1415"/>
    <w:rsid w:val="00AB144B"/>
    <w:rsid w:val="00AB1476"/>
    <w:rsid w:val="00AB1483"/>
    <w:rsid w:val="00AB1485"/>
    <w:rsid w:val="00AB148D"/>
    <w:rsid w:val="00AB149A"/>
    <w:rsid w:val="00AB14AD"/>
    <w:rsid w:val="00AB14DB"/>
    <w:rsid w:val="00AB1538"/>
    <w:rsid w:val="00AB157F"/>
    <w:rsid w:val="00AB1585"/>
    <w:rsid w:val="00AB1588"/>
    <w:rsid w:val="00AB15CD"/>
    <w:rsid w:val="00AB15F4"/>
    <w:rsid w:val="00AB160B"/>
    <w:rsid w:val="00AB1674"/>
    <w:rsid w:val="00AB16B0"/>
    <w:rsid w:val="00AB16C1"/>
    <w:rsid w:val="00AB16CC"/>
    <w:rsid w:val="00AB16F6"/>
    <w:rsid w:val="00AB1713"/>
    <w:rsid w:val="00AB172C"/>
    <w:rsid w:val="00AB1763"/>
    <w:rsid w:val="00AB178F"/>
    <w:rsid w:val="00AB1793"/>
    <w:rsid w:val="00AB17A9"/>
    <w:rsid w:val="00AB1809"/>
    <w:rsid w:val="00AB1837"/>
    <w:rsid w:val="00AB18E6"/>
    <w:rsid w:val="00AB1932"/>
    <w:rsid w:val="00AB19B5"/>
    <w:rsid w:val="00AB19CB"/>
    <w:rsid w:val="00AB19CC"/>
    <w:rsid w:val="00AB19DD"/>
    <w:rsid w:val="00AB1A41"/>
    <w:rsid w:val="00AB1AB4"/>
    <w:rsid w:val="00AB1AF6"/>
    <w:rsid w:val="00AB1B06"/>
    <w:rsid w:val="00AB1B15"/>
    <w:rsid w:val="00AB1BA4"/>
    <w:rsid w:val="00AB1BC1"/>
    <w:rsid w:val="00AB1C23"/>
    <w:rsid w:val="00AB1C51"/>
    <w:rsid w:val="00AB1C85"/>
    <w:rsid w:val="00AB1C87"/>
    <w:rsid w:val="00AB1CA1"/>
    <w:rsid w:val="00AB1CDB"/>
    <w:rsid w:val="00AB1D28"/>
    <w:rsid w:val="00AB1D75"/>
    <w:rsid w:val="00AB1E09"/>
    <w:rsid w:val="00AB1E10"/>
    <w:rsid w:val="00AB1E1C"/>
    <w:rsid w:val="00AB1E29"/>
    <w:rsid w:val="00AB1E3A"/>
    <w:rsid w:val="00AB1E57"/>
    <w:rsid w:val="00AB1E70"/>
    <w:rsid w:val="00AB1EB0"/>
    <w:rsid w:val="00AB1EE5"/>
    <w:rsid w:val="00AB1EF0"/>
    <w:rsid w:val="00AB1F46"/>
    <w:rsid w:val="00AB1F8D"/>
    <w:rsid w:val="00AB1FD6"/>
    <w:rsid w:val="00AB1FEC"/>
    <w:rsid w:val="00AB2065"/>
    <w:rsid w:val="00AB2087"/>
    <w:rsid w:val="00AB209B"/>
    <w:rsid w:val="00AB20A4"/>
    <w:rsid w:val="00AB20B5"/>
    <w:rsid w:val="00AB2110"/>
    <w:rsid w:val="00AB211B"/>
    <w:rsid w:val="00AB2121"/>
    <w:rsid w:val="00AB2127"/>
    <w:rsid w:val="00AB21A9"/>
    <w:rsid w:val="00AB21ED"/>
    <w:rsid w:val="00AB2235"/>
    <w:rsid w:val="00AB2237"/>
    <w:rsid w:val="00AB226C"/>
    <w:rsid w:val="00AB22C9"/>
    <w:rsid w:val="00AB22CD"/>
    <w:rsid w:val="00AB22FB"/>
    <w:rsid w:val="00AB2342"/>
    <w:rsid w:val="00AB237C"/>
    <w:rsid w:val="00AB239C"/>
    <w:rsid w:val="00AB2413"/>
    <w:rsid w:val="00AB2436"/>
    <w:rsid w:val="00AB2438"/>
    <w:rsid w:val="00AB2462"/>
    <w:rsid w:val="00AB2469"/>
    <w:rsid w:val="00AB246D"/>
    <w:rsid w:val="00AB2495"/>
    <w:rsid w:val="00AB24CF"/>
    <w:rsid w:val="00AB252C"/>
    <w:rsid w:val="00AB2538"/>
    <w:rsid w:val="00AB255A"/>
    <w:rsid w:val="00AB25CF"/>
    <w:rsid w:val="00AB25D4"/>
    <w:rsid w:val="00AB25E9"/>
    <w:rsid w:val="00AB25EC"/>
    <w:rsid w:val="00AB25EE"/>
    <w:rsid w:val="00AB2635"/>
    <w:rsid w:val="00AB2690"/>
    <w:rsid w:val="00AB26B3"/>
    <w:rsid w:val="00AB26C1"/>
    <w:rsid w:val="00AB2802"/>
    <w:rsid w:val="00AB2807"/>
    <w:rsid w:val="00AB2826"/>
    <w:rsid w:val="00AB2839"/>
    <w:rsid w:val="00AB2883"/>
    <w:rsid w:val="00AB2896"/>
    <w:rsid w:val="00AB28A0"/>
    <w:rsid w:val="00AB2914"/>
    <w:rsid w:val="00AB2929"/>
    <w:rsid w:val="00AB2953"/>
    <w:rsid w:val="00AB295F"/>
    <w:rsid w:val="00AB296D"/>
    <w:rsid w:val="00AB298A"/>
    <w:rsid w:val="00AB2A08"/>
    <w:rsid w:val="00AB2A14"/>
    <w:rsid w:val="00AB2A17"/>
    <w:rsid w:val="00AB2A1B"/>
    <w:rsid w:val="00AB2A1F"/>
    <w:rsid w:val="00AB2A39"/>
    <w:rsid w:val="00AB2A5D"/>
    <w:rsid w:val="00AB2A89"/>
    <w:rsid w:val="00AB2ABA"/>
    <w:rsid w:val="00AB2AC3"/>
    <w:rsid w:val="00AB2AD9"/>
    <w:rsid w:val="00AB2B54"/>
    <w:rsid w:val="00AB2B5E"/>
    <w:rsid w:val="00AB2B89"/>
    <w:rsid w:val="00AB2BAE"/>
    <w:rsid w:val="00AB2BF2"/>
    <w:rsid w:val="00AB2C17"/>
    <w:rsid w:val="00AB2C3A"/>
    <w:rsid w:val="00AB2CA7"/>
    <w:rsid w:val="00AB2CD5"/>
    <w:rsid w:val="00AB2CF2"/>
    <w:rsid w:val="00AB2D18"/>
    <w:rsid w:val="00AB2D3A"/>
    <w:rsid w:val="00AB2D3B"/>
    <w:rsid w:val="00AB2D60"/>
    <w:rsid w:val="00AB2D99"/>
    <w:rsid w:val="00AB2DA6"/>
    <w:rsid w:val="00AB2DDC"/>
    <w:rsid w:val="00AB2DEB"/>
    <w:rsid w:val="00AB2E41"/>
    <w:rsid w:val="00AB2E59"/>
    <w:rsid w:val="00AB2E7F"/>
    <w:rsid w:val="00AB2E81"/>
    <w:rsid w:val="00AB2E8F"/>
    <w:rsid w:val="00AB2EB9"/>
    <w:rsid w:val="00AB2F03"/>
    <w:rsid w:val="00AB2F40"/>
    <w:rsid w:val="00AB2F7F"/>
    <w:rsid w:val="00AB2FC9"/>
    <w:rsid w:val="00AB301C"/>
    <w:rsid w:val="00AB302D"/>
    <w:rsid w:val="00AB302F"/>
    <w:rsid w:val="00AB3038"/>
    <w:rsid w:val="00AB3070"/>
    <w:rsid w:val="00AB3097"/>
    <w:rsid w:val="00AB30AA"/>
    <w:rsid w:val="00AB30C2"/>
    <w:rsid w:val="00AB30C7"/>
    <w:rsid w:val="00AB30E0"/>
    <w:rsid w:val="00AB30E3"/>
    <w:rsid w:val="00AB30F3"/>
    <w:rsid w:val="00AB310D"/>
    <w:rsid w:val="00AB3112"/>
    <w:rsid w:val="00AB313E"/>
    <w:rsid w:val="00AB3158"/>
    <w:rsid w:val="00AB317D"/>
    <w:rsid w:val="00AB31AF"/>
    <w:rsid w:val="00AB3276"/>
    <w:rsid w:val="00AB32A4"/>
    <w:rsid w:val="00AB32CE"/>
    <w:rsid w:val="00AB333D"/>
    <w:rsid w:val="00AB337E"/>
    <w:rsid w:val="00AB3384"/>
    <w:rsid w:val="00AB3425"/>
    <w:rsid w:val="00AB3515"/>
    <w:rsid w:val="00AB3519"/>
    <w:rsid w:val="00AB353B"/>
    <w:rsid w:val="00AB356E"/>
    <w:rsid w:val="00AB3579"/>
    <w:rsid w:val="00AB35E7"/>
    <w:rsid w:val="00AB35EB"/>
    <w:rsid w:val="00AB3638"/>
    <w:rsid w:val="00AB3652"/>
    <w:rsid w:val="00AB3656"/>
    <w:rsid w:val="00AB3669"/>
    <w:rsid w:val="00AB3679"/>
    <w:rsid w:val="00AB367A"/>
    <w:rsid w:val="00AB368A"/>
    <w:rsid w:val="00AB3697"/>
    <w:rsid w:val="00AB36BE"/>
    <w:rsid w:val="00AB3709"/>
    <w:rsid w:val="00AB3716"/>
    <w:rsid w:val="00AB3734"/>
    <w:rsid w:val="00AB3735"/>
    <w:rsid w:val="00AB3775"/>
    <w:rsid w:val="00AB37F0"/>
    <w:rsid w:val="00AB383D"/>
    <w:rsid w:val="00AB3845"/>
    <w:rsid w:val="00AB384F"/>
    <w:rsid w:val="00AB3874"/>
    <w:rsid w:val="00AB3892"/>
    <w:rsid w:val="00AB389F"/>
    <w:rsid w:val="00AB38F4"/>
    <w:rsid w:val="00AB38FD"/>
    <w:rsid w:val="00AB3929"/>
    <w:rsid w:val="00AB392D"/>
    <w:rsid w:val="00AB392E"/>
    <w:rsid w:val="00AB3965"/>
    <w:rsid w:val="00AB396C"/>
    <w:rsid w:val="00AB3972"/>
    <w:rsid w:val="00AB398B"/>
    <w:rsid w:val="00AB39FB"/>
    <w:rsid w:val="00AB3A0F"/>
    <w:rsid w:val="00AB3A67"/>
    <w:rsid w:val="00AB3A70"/>
    <w:rsid w:val="00AB3A8B"/>
    <w:rsid w:val="00AB3AF1"/>
    <w:rsid w:val="00AB3B10"/>
    <w:rsid w:val="00AB3B3A"/>
    <w:rsid w:val="00AB3B44"/>
    <w:rsid w:val="00AB3B6C"/>
    <w:rsid w:val="00AB3B7E"/>
    <w:rsid w:val="00AB3B8D"/>
    <w:rsid w:val="00AB3BA9"/>
    <w:rsid w:val="00AB3BBD"/>
    <w:rsid w:val="00AB3C17"/>
    <w:rsid w:val="00AB3C33"/>
    <w:rsid w:val="00AB3C6E"/>
    <w:rsid w:val="00AB3C95"/>
    <w:rsid w:val="00AB3CA4"/>
    <w:rsid w:val="00AB3CBA"/>
    <w:rsid w:val="00AB3D1A"/>
    <w:rsid w:val="00AB3D5B"/>
    <w:rsid w:val="00AB3D5E"/>
    <w:rsid w:val="00AB3D6F"/>
    <w:rsid w:val="00AB3D99"/>
    <w:rsid w:val="00AB3DC2"/>
    <w:rsid w:val="00AB3E08"/>
    <w:rsid w:val="00AB3E1C"/>
    <w:rsid w:val="00AB3E73"/>
    <w:rsid w:val="00AB3E88"/>
    <w:rsid w:val="00AB3E92"/>
    <w:rsid w:val="00AB3EAC"/>
    <w:rsid w:val="00AB3ED3"/>
    <w:rsid w:val="00AB3F17"/>
    <w:rsid w:val="00AB3F63"/>
    <w:rsid w:val="00AB3F7A"/>
    <w:rsid w:val="00AB3FE3"/>
    <w:rsid w:val="00AB4006"/>
    <w:rsid w:val="00AB4031"/>
    <w:rsid w:val="00AB4091"/>
    <w:rsid w:val="00AB40E1"/>
    <w:rsid w:val="00AB413D"/>
    <w:rsid w:val="00AB4190"/>
    <w:rsid w:val="00AB4193"/>
    <w:rsid w:val="00AB41C9"/>
    <w:rsid w:val="00AB41D8"/>
    <w:rsid w:val="00AB41E4"/>
    <w:rsid w:val="00AB41ED"/>
    <w:rsid w:val="00AB4273"/>
    <w:rsid w:val="00AB4277"/>
    <w:rsid w:val="00AB428F"/>
    <w:rsid w:val="00AB42BA"/>
    <w:rsid w:val="00AB42D9"/>
    <w:rsid w:val="00AB42FC"/>
    <w:rsid w:val="00AB430D"/>
    <w:rsid w:val="00AB433C"/>
    <w:rsid w:val="00AB433D"/>
    <w:rsid w:val="00AB433F"/>
    <w:rsid w:val="00AB434A"/>
    <w:rsid w:val="00AB4373"/>
    <w:rsid w:val="00AB43B9"/>
    <w:rsid w:val="00AB4442"/>
    <w:rsid w:val="00AB4465"/>
    <w:rsid w:val="00AB448A"/>
    <w:rsid w:val="00AB4496"/>
    <w:rsid w:val="00AB44A6"/>
    <w:rsid w:val="00AB44F2"/>
    <w:rsid w:val="00AB4500"/>
    <w:rsid w:val="00AB4539"/>
    <w:rsid w:val="00AB4540"/>
    <w:rsid w:val="00AB4544"/>
    <w:rsid w:val="00AB4558"/>
    <w:rsid w:val="00AB4561"/>
    <w:rsid w:val="00AB45A8"/>
    <w:rsid w:val="00AB45C3"/>
    <w:rsid w:val="00AB45C7"/>
    <w:rsid w:val="00AB45CD"/>
    <w:rsid w:val="00AB461B"/>
    <w:rsid w:val="00AB465C"/>
    <w:rsid w:val="00AB469A"/>
    <w:rsid w:val="00AB46AB"/>
    <w:rsid w:val="00AB4732"/>
    <w:rsid w:val="00AB4736"/>
    <w:rsid w:val="00AB473B"/>
    <w:rsid w:val="00AB4762"/>
    <w:rsid w:val="00AB47D9"/>
    <w:rsid w:val="00AB47E7"/>
    <w:rsid w:val="00AB47E9"/>
    <w:rsid w:val="00AB47EE"/>
    <w:rsid w:val="00AB47F8"/>
    <w:rsid w:val="00AB4814"/>
    <w:rsid w:val="00AB48B2"/>
    <w:rsid w:val="00AB48BD"/>
    <w:rsid w:val="00AB48F8"/>
    <w:rsid w:val="00AB4943"/>
    <w:rsid w:val="00AB497E"/>
    <w:rsid w:val="00AB49F7"/>
    <w:rsid w:val="00AB4A19"/>
    <w:rsid w:val="00AB4A23"/>
    <w:rsid w:val="00AB4A26"/>
    <w:rsid w:val="00AB4A96"/>
    <w:rsid w:val="00AB4ACE"/>
    <w:rsid w:val="00AB4AD7"/>
    <w:rsid w:val="00AB4ADE"/>
    <w:rsid w:val="00AB4AEF"/>
    <w:rsid w:val="00AB4AFA"/>
    <w:rsid w:val="00AB4B1A"/>
    <w:rsid w:val="00AB4B1C"/>
    <w:rsid w:val="00AB4B1E"/>
    <w:rsid w:val="00AB4B34"/>
    <w:rsid w:val="00AB4B9D"/>
    <w:rsid w:val="00AB4B9E"/>
    <w:rsid w:val="00AB4BC6"/>
    <w:rsid w:val="00AB4BCA"/>
    <w:rsid w:val="00AB4C63"/>
    <w:rsid w:val="00AB4CCF"/>
    <w:rsid w:val="00AB4CDA"/>
    <w:rsid w:val="00AB4D04"/>
    <w:rsid w:val="00AB4D08"/>
    <w:rsid w:val="00AB4D89"/>
    <w:rsid w:val="00AB4DBE"/>
    <w:rsid w:val="00AB4E0D"/>
    <w:rsid w:val="00AB4E5F"/>
    <w:rsid w:val="00AB4E77"/>
    <w:rsid w:val="00AB4E79"/>
    <w:rsid w:val="00AB4F2F"/>
    <w:rsid w:val="00AB4F98"/>
    <w:rsid w:val="00AB4F9D"/>
    <w:rsid w:val="00AB5009"/>
    <w:rsid w:val="00AB5017"/>
    <w:rsid w:val="00AB5029"/>
    <w:rsid w:val="00AB50BD"/>
    <w:rsid w:val="00AB50F3"/>
    <w:rsid w:val="00AB5112"/>
    <w:rsid w:val="00AB512C"/>
    <w:rsid w:val="00AB5195"/>
    <w:rsid w:val="00AB51F1"/>
    <w:rsid w:val="00AB51FE"/>
    <w:rsid w:val="00AB5228"/>
    <w:rsid w:val="00AB52DA"/>
    <w:rsid w:val="00AB52DF"/>
    <w:rsid w:val="00AB52FC"/>
    <w:rsid w:val="00AB5331"/>
    <w:rsid w:val="00AB5341"/>
    <w:rsid w:val="00AB536F"/>
    <w:rsid w:val="00AB5377"/>
    <w:rsid w:val="00AB5379"/>
    <w:rsid w:val="00AB53BC"/>
    <w:rsid w:val="00AB545B"/>
    <w:rsid w:val="00AB545C"/>
    <w:rsid w:val="00AB5470"/>
    <w:rsid w:val="00AB54E3"/>
    <w:rsid w:val="00AB54EB"/>
    <w:rsid w:val="00AB5549"/>
    <w:rsid w:val="00AB5592"/>
    <w:rsid w:val="00AB559C"/>
    <w:rsid w:val="00AB55BB"/>
    <w:rsid w:val="00AB5604"/>
    <w:rsid w:val="00AB5654"/>
    <w:rsid w:val="00AB56AC"/>
    <w:rsid w:val="00AB56DD"/>
    <w:rsid w:val="00AB56EE"/>
    <w:rsid w:val="00AB5719"/>
    <w:rsid w:val="00AB571C"/>
    <w:rsid w:val="00AB5792"/>
    <w:rsid w:val="00AB57F4"/>
    <w:rsid w:val="00AB57F7"/>
    <w:rsid w:val="00AB5830"/>
    <w:rsid w:val="00AB5836"/>
    <w:rsid w:val="00AB5838"/>
    <w:rsid w:val="00AB584A"/>
    <w:rsid w:val="00AB58F1"/>
    <w:rsid w:val="00AB595D"/>
    <w:rsid w:val="00AB595E"/>
    <w:rsid w:val="00AB5967"/>
    <w:rsid w:val="00AB5989"/>
    <w:rsid w:val="00AB599F"/>
    <w:rsid w:val="00AB59D9"/>
    <w:rsid w:val="00AB59FB"/>
    <w:rsid w:val="00AB5A27"/>
    <w:rsid w:val="00AB5ADE"/>
    <w:rsid w:val="00AB5ADF"/>
    <w:rsid w:val="00AB5AEA"/>
    <w:rsid w:val="00AB5AF4"/>
    <w:rsid w:val="00AB5AF6"/>
    <w:rsid w:val="00AB5B46"/>
    <w:rsid w:val="00AB5B98"/>
    <w:rsid w:val="00AB5BB1"/>
    <w:rsid w:val="00AB5BD0"/>
    <w:rsid w:val="00AB5BD8"/>
    <w:rsid w:val="00AB5BE6"/>
    <w:rsid w:val="00AB5BFA"/>
    <w:rsid w:val="00AB5C13"/>
    <w:rsid w:val="00AB5C26"/>
    <w:rsid w:val="00AB5C35"/>
    <w:rsid w:val="00AB5C59"/>
    <w:rsid w:val="00AB5C5E"/>
    <w:rsid w:val="00AB5C9D"/>
    <w:rsid w:val="00AB5CBD"/>
    <w:rsid w:val="00AB5CDC"/>
    <w:rsid w:val="00AB5D01"/>
    <w:rsid w:val="00AB5D0D"/>
    <w:rsid w:val="00AB5DA8"/>
    <w:rsid w:val="00AB5DC4"/>
    <w:rsid w:val="00AB5DD5"/>
    <w:rsid w:val="00AB5DEC"/>
    <w:rsid w:val="00AB5E76"/>
    <w:rsid w:val="00AB5EB4"/>
    <w:rsid w:val="00AB5EC9"/>
    <w:rsid w:val="00AB5ED0"/>
    <w:rsid w:val="00AB5F05"/>
    <w:rsid w:val="00AB5FC6"/>
    <w:rsid w:val="00AB5FF3"/>
    <w:rsid w:val="00AB600A"/>
    <w:rsid w:val="00AB601E"/>
    <w:rsid w:val="00AB609C"/>
    <w:rsid w:val="00AB60D3"/>
    <w:rsid w:val="00AB611F"/>
    <w:rsid w:val="00AB613B"/>
    <w:rsid w:val="00AB6148"/>
    <w:rsid w:val="00AB619F"/>
    <w:rsid w:val="00AB61B9"/>
    <w:rsid w:val="00AB61D8"/>
    <w:rsid w:val="00AB61F5"/>
    <w:rsid w:val="00AB61F6"/>
    <w:rsid w:val="00AB6218"/>
    <w:rsid w:val="00AB6247"/>
    <w:rsid w:val="00AB6257"/>
    <w:rsid w:val="00AB62B7"/>
    <w:rsid w:val="00AB62C8"/>
    <w:rsid w:val="00AB6354"/>
    <w:rsid w:val="00AB6380"/>
    <w:rsid w:val="00AB63B3"/>
    <w:rsid w:val="00AB63BF"/>
    <w:rsid w:val="00AB63C1"/>
    <w:rsid w:val="00AB640D"/>
    <w:rsid w:val="00AB6453"/>
    <w:rsid w:val="00AB6483"/>
    <w:rsid w:val="00AB64C6"/>
    <w:rsid w:val="00AB64DD"/>
    <w:rsid w:val="00AB64E0"/>
    <w:rsid w:val="00AB64F0"/>
    <w:rsid w:val="00AB64FF"/>
    <w:rsid w:val="00AB6528"/>
    <w:rsid w:val="00AB654C"/>
    <w:rsid w:val="00AB65C8"/>
    <w:rsid w:val="00AB65DA"/>
    <w:rsid w:val="00AB661F"/>
    <w:rsid w:val="00AB662F"/>
    <w:rsid w:val="00AB664B"/>
    <w:rsid w:val="00AB6660"/>
    <w:rsid w:val="00AB66D5"/>
    <w:rsid w:val="00AB66E3"/>
    <w:rsid w:val="00AB6714"/>
    <w:rsid w:val="00AB672F"/>
    <w:rsid w:val="00AB67A4"/>
    <w:rsid w:val="00AB67A6"/>
    <w:rsid w:val="00AB6854"/>
    <w:rsid w:val="00AB68A5"/>
    <w:rsid w:val="00AB68D5"/>
    <w:rsid w:val="00AB690B"/>
    <w:rsid w:val="00AB6927"/>
    <w:rsid w:val="00AB6945"/>
    <w:rsid w:val="00AB6952"/>
    <w:rsid w:val="00AB69DB"/>
    <w:rsid w:val="00AB69DD"/>
    <w:rsid w:val="00AB69E7"/>
    <w:rsid w:val="00AB69F6"/>
    <w:rsid w:val="00AB6A4B"/>
    <w:rsid w:val="00AB6A66"/>
    <w:rsid w:val="00AB6AC1"/>
    <w:rsid w:val="00AB6AC8"/>
    <w:rsid w:val="00AB6AD4"/>
    <w:rsid w:val="00AB6AF8"/>
    <w:rsid w:val="00AB6B17"/>
    <w:rsid w:val="00AB6B42"/>
    <w:rsid w:val="00AB6B5E"/>
    <w:rsid w:val="00AB6BCD"/>
    <w:rsid w:val="00AB6BCE"/>
    <w:rsid w:val="00AB6BEA"/>
    <w:rsid w:val="00AB6BED"/>
    <w:rsid w:val="00AB6C0A"/>
    <w:rsid w:val="00AB6C4D"/>
    <w:rsid w:val="00AB6C64"/>
    <w:rsid w:val="00AB6C72"/>
    <w:rsid w:val="00AB6CA4"/>
    <w:rsid w:val="00AB6CB2"/>
    <w:rsid w:val="00AB6CCA"/>
    <w:rsid w:val="00AB6CEA"/>
    <w:rsid w:val="00AB6CF4"/>
    <w:rsid w:val="00AB6D45"/>
    <w:rsid w:val="00AB6D4E"/>
    <w:rsid w:val="00AB6D70"/>
    <w:rsid w:val="00AB6D73"/>
    <w:rsid w:val="00AB6D96"/>
    <w:rsid w:val="00AB6DA4"/>
    <w:rsid w:val="00AB6DF5"/>
    <w:rsid w:val="00AB6E05"/>
    <w:rsid w:val="00AB6E28"/>
    <w:rsid w:val="00AB6E8E"/>
    <w:rsid w:val="00AB6E95"/>
    <w:rsid w:val="00AB6EB4"/>
    <w:rsid w:val="00AB6EB6"/>
    <w:rsid w:val="00AB6F6B"/>
    <w:rsid w:val="00AB6FD7"/>
    <w:rsid w:val="00AB7011"/>
    <w:rsid w:val="00AB7061"/>
    <w:rsid w:val="00AB7067"/>
    <w:rsid w:val="00AB707A"/>
    <w:rsid w:val="00AB7080"/>
    <w:rsid w:val="00AB7096"/>
    <w:rsid w:val="00AB7114"/>
    <w:rsid w:val="00AB7158"/>
    <w:rsid w:val="00AB71A1"/>
    <w:rsid w:val="00AB71CE"/>
    <w:rsid w:val="00AB71DA"/>
    <w:rsid w:val="00AB71F4"/>
    <w:rsid w:val="00AB720F"/>
    <w:rsid w:val="00AB7228"/>
    <w:rsid w:val="00AB723E"/>
    <w:rsid w:val="00AB7252"/>
    <w:rsid w:val="00AB72D2"/>
    <w:rsid w:val="00AB7307"/>
    <w:rsid w:val="00AB733E"/>
    <w:rsid w:val="00AB7380"/>
    <w:rsid w:val="00AB73AD"/>
    <w:rsid w:val="00AB73BE"/>
    <w:rsid w:val="00AB73E7"/>
    <w:rsid w:val="00AB7416"/>
    <w:rsid w:val="00AB7427"/>
    <w:rsid w:val="00AB7478"/>
    <w:rsid w:val="00AB748B"/>
    <w:rsid w:val="00AB7505"/>
    <w:rsid w:val="00AB75AF"/>
    <w:rsid w:val="00AB75CC"/>
    <w:rsid w:val="00AB75F8"/>
    <w:rsid w:val="00AB7608"/>
    <w:rsid w:val="00AB7636"/>
    <w:rsid w:val="00AB767B"/>
    <w:rsid w:val="00AB769A"/>
    <w:rsid w:val="00AB76AB"/>
    <w:rsid w:val="00AB76CD"/>
    <w:rsid w:val="00AB7716"/>
    <w:rsid w:val="00AB7722"/>
    <w:rsid w:val="00AB778C"/>
    <w:rsid w:val="00AB77BD"/>
    <w:rsid w:val="00AB77D9"/>
    <w:rsid w:val="00AB7811"/>
    <w:rsid w:val="00AB7822"/>
    <w:rsid w:val="00AB7862"/>
    <w:rsid w:val="00AB78AD"/>
    <w:rsid w:val="00AB78AE"/>
    <w:rsid w:val="00AB78B0"/>
    <w:rsid w:val="00AB797D"/>
    <w:rsid w:val="00AB7982"/>
    <w:rsid w:val="00AB7986"/>
    <w:rsid w:val="00AB7998"/>
    <w:rsid w:val="00AB79B8"/>
    <w:rsid w:val="00AB79BB"/>
    <w:rsid w:val="00AB79EE"/>
    <w:rsid w:val="00AB7A2D"/>
    <w:rsid w:val="00AB7A48"/>
    <w:rsid w:val="00AB7B6A"/>
    <w:rsid w:val="00AB7B86"/>
    <w:rsid w:val="00AB7B89"/>
    <w:rsid w:val="00AB7B9B"/>
    <w:rsid w:val="00AB7BDE"/>
    <w:rsid w:val="00AB7BE1"/>
    <w:rsid w:val="00AB7BF7"/>
    <w:rsid w:val="00AB7C07"/>
    <w:rsid w:val="00AB7C1E"/>
    <w:rsid w:val="00AB7C64"/>
    <w:rsid w:val="00AB7C8A"/>
    <w:rsid w:val="00AB7CE8"/>
    <w:rsid w:val="00AB7D2C"/>
    <w:rsid w:val="00AB7D2E"/>
    <w:rsid w:val="00AB7D31"/>
    <w:rsid w:val="00AB7D35"/>
    <w:rsid w:val="00AB7D57"/>
    <w:rsid w:val="00AB7DD6"/>
    <w:rsid w:val="00AB7DEC"/>
    <w:rsid w:val="00AB7DFF"/>
    <w:rsid w:val="00AB7E43"/>
    <w:rsid w:val="00AB7EA7"/>
    <w:rsid w:val="00AB7EC5"/>
    <w:rsid w:val="00AB7ECC"/>
    <w:rsid w:val="00AB7F0A"/>
    <w:rsid w:val="00AB7F2E"/>
    <w:rsid w:val="00AB7F60"/>
    <w:rsid w:val="00AB7FA4"/>
    <w:rsid w:val="00AB7FAD"/>
    <w:rsid w:val="00AB7FD8"/>
    <w:rsid w:val="00AC0001"/>
    <w:rsid w:val="00AC0035"/>
    <w:rsid w:val="00AC00A6"/>
    <w:rsid w:val="00AC00B0"/>
    <w:rsid w:val="00AC00BC"/>
    <w:rsid w:val="00AC00E1"/>
    <w:rsid w:val="00AC0118"/>
    <w:rsid w:val="00AC011B"/>
    <w:rsid w:val="00AC011E"/>
    <w:rsid w:val="00AC01B0"/>
    <w:rsid w:val="00AC01B2"/>
    <w:rsid w:val="00AC0255"/>
    <w:rsid w:val="00AC0288"/>
    <w:rsid w:val="00AC0295"/>
    <w:rsid w:val="00AC02CE"/>
    <w:rsid w:val="00AC02D1"/>
    <w:rsid w:val="00AC0311"/>
    <w:rsid w:val="00AC0322"/>
    <w:rsid w:val="00AC03B6"/>
    <w:rsid w:val="00AC03FA"/>
    <w:rsid w:val="00AC0401"/>
    <w:rsid w:val="00AC040D"/>
    <w:rsid w:val="00AC0426"/>
    <w:rsid w:val="00AC0430"/>
    <w:rsid w:val="00AC045F"/>
    <w:rsid w:val="00AC0473"/>
    <w:rsid w:val="00AC04A1"/>
    <w:rsid w:val="00AC04A5"/>
    <w:rsid w:val="00AC04AC"/>
    <w:rsid w:val="00AC04B8"/>
    <w:rsid w:val="00AC04C0"/>
    <w:rsid w:val="00AC050B"/>
    <w:rsid w:val="00AC0515"/>
    <w:rsid w:val="00AC054C"/>
    <w:rsid w:val="00AC0556"/>
    <w:rsid w:val="00AC0594"/>
    <w:rsid w:val="00AC05A2"/>
    <w:rsid w:val="00AC05A3"/>
    <w:rsid w:val="00AC05AD"/>
    <w:rsid w:val="00AC05D4"/>
    <w:rsid w:val="00AC05F0"/>
    <w:rsid w:val="00AC0611"/>
    <w:rsid w:val="00AC0643"/>
    <w:rsid w:val="00AC064F"/>
    <w:rsid w:val="00AC068B"/>
    <w:rsid w:val="00AC0747"/>
    <w:rsid w:val="00AC0763"/>
    <w:rsid w:val="00AC0799"/>
    <w:rsid w:val="00AC07AD"/>
    <w:rsid w:val="00AC07D6"/>
    <w:rsid w:val="00AC07DD"/>
    <w:rsid w:val="00AC07E6"/>
    <w:rsid w:val="00AC0859"/>
    <w:rsid w:val="00AC0885"/>
    <w:rsid w:val="00AC089C"/>
    <w:rsid w:val="00AC08B0"/>
    <w:rsid w:val="00AC08D0"/>
    <w:rsid w:val="00AC0901"/>
    <w:rsid w:val="00AC093F"/>
    <w:rsid w:val="00AC0979"/>
    <w:rsid w:val="00AC09E1"/>
    <w:rsid w:val="00AC0A1B"/>
    <w:rsid w:val="00AC0A67"/>
    <w:rsid w:val="00AC0A70"/>
    <w:rsid w:val="00AC0A71"/>
    <w:rsid w:val="00AC0AB3"/>
    <w:rsid w:val="00AC0AD1"/>
    <w:rsid w:val="00AC0ADB"/>
    <w:rsid w:val="00AC0B0D"/>
    <w:rsid w:val="00AC0B23"/>
    <w:rsid w:val="00AC0B3B"/>
    <w:rsid w:val="00AC0B86"/>
    <w:rsid w:val="00AC0B9C"/>
    <w:rsid w:val="00AC0BA6"/>
    <w:rsid w:val="00AC0BDA"/>
    <w:rsid w:val="00AC0BEB"/>
    <w:rsid w:val="00AC0C03"/>
    <w:rsid w:val="00AC0C15"/>
    <w:rsid w:val="00AC0C22"/>
    <w:rsid w:val="00AC0C7A"/>
    <w:rsid w:val="00AC0C88"/>
    <w:rsid w:val="00AC0C8B"/>
    <w:rsid w:val="00AC0C90"/>
    <w:rsid w:val="00AC0CA2"/>
    <w:rsid w:val="00AC0CAA"/>
    <w:rsid w:val="00AC0CC8"/>
    <w:rsid w:val="00AC0D06"/>
    <w:rsid w:val="00AC0D58"/>
    <w:rsid w:val="00AC0D5E"/>
    <w:rsid w:val="00AC0D72"/>
    <w:rsid w:val="00AC0D96"/>
    <w:rsid w:val="00AC0DC3"/>
    <w:rsid w:val="00AC0DC5"/>
    <w:rsid w:val="00AC0E76"/>
    <w:rsid w:val="00AC0ECB"/>
    <w:rsid w:val="00AC0ED6"/>
    <w:rsid w:val="00AC0F0F"/>
    <w:rsid w:val="00AC0F55"/>
    <w:rsid w:val="00AC0FBC"/>
    <w:rsid w:val="00AC0FF3"/>
    <w:rsid w:val="00AC1028"/>
    <w:rsid w:val="00AC1055"/>
    <w:rsid w:val="00AC1073"/>
    <w:rsid w:val="00AC1085"/>
    <w:rsid w:val="00AC10B9"/>
    <w:rsid w:val="00AC110B"/>
    <w:rsid w:val="00AC1113"/>
    <w:rsid w:val="00AC112A"/>
    <w:rsid w:val="00AC116F"/>
    <w:rsid w:val="00AC1194"/>
    <w:rsid w:val="00AC11BD"/>
    <w:rsid w:val="00AC11D8"/>
    <w:rsid w:val="00AC11DE"/>
    <w:rsid w:val="00AC1223"/>
    <w:rsid w:val="00AC1230"/>
    <w:rsid w:val="00AC124A"/>
    <w:rsid w:val="00AC1295"/>
    <w:rsid w:val="00AC12B9"/>
    <w:rsid w:val="00AC1355"/>
    <w:rsid w:val="00AC138E"/>
    <w:rsid w:val="00AC13A8"/>
    <w:rsid w:val="00AC13AD"/>
    <w:rsid w:val="00AC1468"/>
    <w:rsid w:val="00AC146E"/>
    <w:rsid w:val="00AC14D5"/>
    <w:rsid w:val="00AC14EA"/>
    <w:rsid w:val="00AC1517"/>
    <w:rsid w:val="00AC151B"/>
    <w:rsid w:val="00AC1522"/>
    <w:rsid w:val="00AC1531"/>
    <w:rsid w:val="00AC155F"/>
    <w:rsid w:val="00AC15B1"/>
    <w:rsid w:val="00AC15BB"/>
    <w:rsid w:val="00AC15EA"/>
    <w:rsid w:val="00AC15F5"/>
    <w:rsid w:val="00AC1623"/>
    <w:rsid w:val="00AC162D"/>
    <w:rsid w:val="00AC1657"/>
    <w:rsid w:val="00AC16B6"/>
    <w:rsid w:val="00AC16EF"/>
    <w:rsid w:val="00AC16FE"/>
    <w:rsid w:val="00AC172B"/>
    <w:rsid w:val="00AC175B"/>
    <w:rsid w:val="00AC177F"/>
    <w:rsid w:val="00AC1795"/>
    <w:rsid w:val="00AC17BB"/>
    <w:rsid w:val="00AC182F"/>
    <w:rsid w:val="00AC1841"/>
    <w:rsid w:val="00AC186C"/>
    <w:rsid w:val="00AC187E"/>
    <w:rsid w:val="00AC18AE"/>
    <w:rsid w:val="00AC18C9"/>
    <w:rsid w:val="00AC1916"/>
    <w:rsid w:val="00AC1935"/>
    <w:rsid w:val="00AC194A"/>
    <w:rsid w:val="00AC1964"/>
    <w:rsid w:val="00AC196C"/>
    <w:rsid w:val="00AC19AD"/>
    <w:rsid w:val="00AC1A45"/>
    <w:rsid w:val="00AC1A63"/>
    <w:rsid w:val="00AC1A7D"/>
    <w:rsid w:val="00AC1B1E"/>
    <w:rsid w:val="00AC1B5B"/>
    <w:rsid w:val="00AC1B6F"/>
    <w:rsid w:val="00AC1B73"/>
    <w:rsid w:val="00AC1B81"/>
    <w:rsid w:val="00AC1B8B"/>
    <w:rsid w:val="00AC1BFE"/>
    <w:rsid w:val="00AC1C14"/>
    <w:rsid w:val="00AC1C52"/>
    <w:rsid w:val="00AC1C69"/>
    <w:rsid w:val="00AC1CC8"/>
    <w:rsid w:val="00AC1CD9"/>
    <w:rsid w:val="00AC1CF1"/>
    <w:rsid w:val="00AC1D39"/>
    <w:rsid w:val="00AC1D66"/>
    <w:rsid w:val="00AC1D7A"/>
    <w:rsid w:val="00AC1DA5"/>
    <w:rsid w:val="00AC1DD0"/>
    <w:rsid w:val="00AC1E07"/>
    <w:rsid w:val="00AC1E4C"/>
    <w:rsid w:val="00AC1E57"/>
    <w:rsid w:val="00AC1E9C"/>
    <w:rsid w:val="00AC1EA2"/>
    <w:rsid w:val="00AC1EC4"/>
    <w:rsid w:val="00AC1F51"/>
    <w:rsid w:val="00AC1F85"/>
    <w:rsid w:val="00AC1F90"/>
    <w:rsid w:val="00AC1FBD"/>
    <w:rsid w:val="00AC1FC7"/>
    <w:rsid w:val="00AC2007"/>
    <w:rsid w:val="00AC2044"/>
    <w:rsid w:val="00AC205D"/>
    <w:rsid w:val="00AC2061"/>
    <w:rsid w:val="00AC20DC"/>
    <w:rsid w:val="00AC2103"/>
    <w:rsid w:val="00AC2168"/>
    <w:rsid w:val="00AC217E"/>
    <w:rsid w:val="00AC218D"/>
    <w:rsid w:val="00AC21A5"/>
    <w:rsid w:val="00AC21B9"/>
    <w:rsid w:val="00AC21BE"/>
    <w:rsid w:val="00AC21E1"/>
    <w:rsid w:val="00AC224A"/>
    <w:rsid w:val="00AC2259"/>
    <w:rsid w:val="00AC2260"/>
    <w:rsid w:val="00AC229F"/>
    <w:rsid w:val="00AC22A3"/>
    <w:rsid w:val="00AC2331"/>
    <w:rsid w:val="00AC234C"/>
    <w:rsid w:val="00AC237D"/>
    <w:rsid w:val="00AC2391"/>
    <w:rsid w:val="00AC239D"/>
    <w:rsid w:val="00AC23C8"/>
    <w:rsid w:val="00AC23F8"/>
    <w:rsid w:val="00AC240F"/>
    <w:rsid w:val="00AC2490"/>
    <w:rsid w:val="00AC24D5"/>
    <w:rsid w:val="00AC24FF"/>
    <w:rsid w:val="00AC2517"/>
    <w:rsid w:val="00AC2541"/>
    <w:rsid w:val="00AC2583"/>
    <w:rsid w:val="00AC259F"/>
    <w:rsid w:val="00AC25C3"/>
    <w:rsid w:val="00AC25DE"/>
    <w:rsid w:val="00AC2640"/>
    <w:rsid w:val="00AC26B6"/>
    <w:rsid w:val="00AC26F0"/>
    <w:rsid w:val="00AC270B"/>
    <w:rsid w:val="00AC273C"/>
    <w:rsid w:val="00AC274D"/>
    <w:rsid w:val="00AC27CE"/>
    <w:rsid w:val="00AC27D7"/>
    <w:rsid w:val="00AC27E3"/>
    <w:rsid w:val="00AC27F6"/>
    <w:rsid w:val="00AC282A"/>
    <w:rsid w:val="00AC2847"/>
    <w:rsid w:val="00AC284C"/>
    <w:rsid w:val="00AC285A"/>
    <w:rsid w:val="00AC2869"/>
    <w:rsid w:val="00AC288E"/>
    <w:rsid w:val="00AC28A2"/>
    <w:rsid w:val="00AC28A8"/>
    <w:rsid w:val="00AC28C6"/>
    <w:rsid w:val="00AC28F6"/>
    <w:rsid w:val="00AC2906"/>
    <w:rsid w:val="00AC2911"/>
    <w:rsid w:val="00AC2920"/>
    <w:rsid w:val="00AC2983"/>
    <w:rsid w:val="00AC2992"/>
    <w:rsid w:val="00AC2A40"/>
    <w:rsid w:val="00AC2A47"/>
    <w:rsid w:val="00AC2A7C"/>
    <w:rsid w:val="00AC2A87"/>
    <w:rsid w:val="00AC2AB0"/>
    <w:rsid w:val="00AC2AB4"/>
    <w:rsid w:val="00AC2ABE"/>
    <w:rsid w:val="00AC2AC0"/>
    <w:rsid w:val="00AC2B12"/>
    <w:rsid w:val="00AC2B47"/>
    <w:rsid w:val="00AC2B5F"/>
    <w:rsid w:val="00AC2B72"/>
    <w:rsid w:val="00AC2B92"/>
    <w:rsid w:val="00AC2C29"/>
    <w:rsid w:val="00AC2C2F"/>
    <w:rsid w:val="00AC2CCB"/>
    <w:rsid w:val="00AC2D72"/>
    <w:rsid w:val="00AC2D7C"/>
    <w:rsid w:val="00AC2D89"/>
    <w:rsid w:val="00AC2D96"/>
    <w:rsid w:val="00AC2DA3"/>
    <w:rsid w:val="00AC2DAE"/>
    <w:rsid w:val="00AC2E2A"/>
    <w:rsid w:val="00AC2E4F"/>
    <w:rsid w:val="00AC2E8A"/>
    <w:rsid w:val="00AC2E97"/>
    <w:rsid w:val="00AC2E9F"/>
    <w:rsid w:val="00AC2EE0"/>
    <w:rsid w:val="00AC2EFB"/>
    <w:rsid w:val="00AC2F12"/>
    <w:rsid w:val="00AC2F20"/>
    <w:rsid w:val="00AC2FCC"/>
    <w:rsid w:val="00AC2FCD"/>
    <w:rsid w:val="00AC300C"/>
    <w:rsid w:val="00AC301D"/>
    <w:rsid w:val="00AC303B"/>
    <w:rsid w:val="00AC3040"/>
    <w:rsid w:val="00AC3054"/>
    <w:rsid w:val="00AC3062"/>
    <w:rsid w:val="00AC3095"/>
    <w:rsid w:val="00AC30C9"/>
    <w:rsid w:val="00AC30CA"/>
    <w:rsid w:val="00AC30E0"/>
    <w:rsid w:val="00AC30ED"/>
    <w:rsid w:val="00AC3109"/>
    <w:rsid w:val="00AC312F"/>
    <w:rsid w:val="00AC3140"/>
    <w:rsid w:val="00AC315A"/>
    <w:rsid w:val="00AC315D"/>
    <w:rsid w:val="00AC3163"/>
    <w:rsid w:val="00AC3185"/>
    <w:rsid w:val="00AC31BD"/>
    <w:rsid w:val="00AC31CB"/>
    <w:rsid w:val="00AC3200"/>
    <w:rsid w:val="00AC3265"/>
    <w:rsid w:val="00AC3271"/>
    <w:rsid w:val="00AC32FE"/>
    <w:rsid w:val="00AC3302"/>
    <w:rsid w:val="00AC330E"/>
    <w:rsid w:val="00AC3322"/>
    <w:rsid w:val="00AC3330"/>
    <w:rsid w:val="00AC3338"/>
    <w:rsid w:val="00AC3357"/>
    <w:rsid w:val="00AC336C"/>
    <w:rsid w:val="00AC3399"/>
    <w:rsid w:val="00AC33A6"/>
    <w:rsid w:val="00AC33DF"/>
    <w:rsid w:val="00AC33E3"/>
    <w:rsid w:val="00AC33F0"/>
    <w:rsid w:val="00AC33F1"/>
    <w:rsid w:val="00AC3411"/>
    <w:rsid w:val="00AC3456"/>
    <w:rsid w:val="00AC34BE"/>
    <w:rsid w:val="00AC34CC"/>
    <w:rsid w:val="00AC34CE"/>
    <w:rsid w:val="00AC34CF"/>
    <w:rsid w:val="00AC34F2"/>
    <w:rsid w:val="00AC3523"/>
    <w:rsid w:val="00AC355E"/>
    <w:rsid w:val="00AC3569"/>
    <w:rsid w:val="00AC356E"/>
    <w:rsid w:val="00AC3587"/>
    <w:rsid w:val="00AC3589"/>
    <w:rsid w:val="00AC35D9"/>
    <w:rsid w:val="00AC3609"/>
    <w:rsid w:val="00AC3639"/>
    <w:rsid w:val="00AC365C"/>
    <w:rsid w:val="00AC36D6"/>
    <w:rsid w:val="00AC36DB"/>
    <w:rsid w:val="00AC36E0"/>
    <w:rsid w:val="00AC3745"/>
    <w:rsid w:val="00AC375E"/>
    <w:rsid w:val="00AC3812"/>
    <w:rsid w:val="00AC381C"/>
    <w:rsid w:val="00AC384A"/>
    <w:rsid w:val="00AC385B"/>
    <w:rsid w:val="00AC3865"/>
    <w:rsid w:val="00AC38A3"/>
    <w:rsid w:val="00AC38A8"/>
    <w:rsid w:val="00AC38AD"/>
    <w:rsid w:val="00AC38D1"/>
    <w:rsid w:val="00AC38E5"/>
    <w:rsid w:val="00AC393B"/>
    <w:rsid w:val="00AC3965"/>
    <w:rsid w:val="00AC398F"/>
    <w:rsid w:val="00AC3993"/>
    <w:rsid w:val="00AC39AC"/>
    <w:rsid w:val="00AC39F3"/>
    <w:rsid w:val="00AC39F8"/>
    <w:rsid w:val="00AC3A18"/>
    <w:rsid w:val="00AC3A55"/>
    <w:rsid w:val="00AC3A67"/>
    <w:rsid w:val="00AC3A83"/>
    <w:rsid w:val="00AC3AC2"/>
    <w:rsid w:val="00AC3B38"/>
    <w:rsid w:val="00AC3B4E"/>
    <w:rsid w:val="00AC3B52"/>
    <w:rsid w:val="00AC3B8D"/>
    <w:rsid w:val="00AC3BD5"/>
    <w:rsid w:val="00AC3C14"/>
    <w:rsid w:val="00AC3C17"/>
    <w:rsid w:val="00AC3C6A"/>
    <w:rsid w:val="00AC3C79"/>
    <w:rsid w:val="00AC3C84"/>
    <w:rsid w:val="00AC3CC6"/>
    <w:rsid w:val="00AC3CFA"/>
    <w:rsid w:val="00AC3D48"/>
    <w:rsid w:val="00AC3D5A"/>
    <w:rsid w:val="00AC3D6F"/>
    <w:rsid w:val="00AC3D77"/>
    <w:rsid w:val="00AC3D84"/>
    <w:rsid w:val="00AC3D8A"/>
    <w:rsid w:val="00AC3D9B"/>
    <w:rsid w:val="00AC3E07"/>
    <w:rsid w:val="00AC3EAA"/>
    <w:rsid w:val="00AC3ED0"/>
    <w:rsid w:val="00AC3ED6"/>
    <w:rsid w:val="00AC3EFC"/>
    <w:rsid w:val="00AC3F29"/>
    <w:rsid w:val="00AC3F6F"/>
    <w:rsid w:val="00AC3FAE"/>
    <w:rsid w:val="00AC3FB3"/>
    <w:rsid w:val="00AC404D"/>
    <w:rsid w:val="00AC4086"/>
    <w:rsid w:val="00AC40B1"/>
    <w:rsid w:val="00AC40C9"/>
    <w:rsid w:val="00AC4150"/>
    <w:rsid w:val="00AC4157"/>
    <w:rsid w:val="00AC416F"/>
    <w:rsid w:val="00AC4199"/>
    <w:rsid w:val="00AC41AA"/>
    <w:rsid w:val="00AC41C4"/>
    <w:rsid w:val="00AC423E"/>
    <w:rsid w:val="00AC428C"/>
    <w:rsid w:val="00AC42A3"/>
    <w:rsid w:val="00AC42CA"/>
    <w:rsid w:val="00AC42D6"/>
    <w:rsid w:val="00AC42DF"/>
    <w:rsid w:val="00AC4303"/>
    <w:rsid w:val="00AC4320"/>
    <w:rsid w:val="00AC4343"/>
    <w:rsid w:val="00AC434D"/>
    <w:rsid w:val="00AC436E"/>
    <w:rsid w:val="00AC43B9"/>
    <w:rsid w:val="00AC43CB"/>
    <w:rsid w:val="00AC43D2"/>
    <w:rsid w:val="00AC43EB"/>
    <w:rsid w:val="00AC43EE"/>
    <w:rsid w:val="00AC43F9"/>
    <w:rsid w:val="00AC4401"/>
    <w:rsid w:val="00AC442C"/>
    <w:rsid w:val="00AC4430"/>
    <w:rsid w:val="00AC4431"/>
    <w:rsid w:val="00AC443B"/>
    <w:rsid w:val="00AC4483"/>
    <w:rsid w:val="00AC44A0"/>
    <w:rsid w:val="00AC44D0"/>
    <w:rsid w:val="00AC44EE"/>
    <w:rsid w:val="00AC4546"/>
    <w:rsid w:val="00AC456B"/>
    <w:rsid w:val="00AC4574"/>
    <w:rsid w:val="00AC45B3"/>
    <w:rsid w:val="00AC45C5"/>
    <w:rsid w:val="00AC45D4"/>
    <w:rsid w:val="00AC462F"/>
    <w:rsid w:val="00AC464B"/>
    <w:rsid w:val="00AC46A9"/>
    <w:rsid w:val="00AC46B9"/>
    <w:rsid w:val="00AC4721"/>
    <w:rsid w:val="00AC4771"/>
    <w:rsid w:val="00AC479A"/>
    <w:rsid w:val="00AC47AC"/>
    <w:rsid w:val="00AC47CD"/>
    <w:rsid w:val="00AC47FC"/>
    <w:rsid w:val="00AC4839"/>
    <w:rsid w:val="00AC485D"/>
    <w:rsid w:val="00AC4864"/>
    <w:rsid w:val="00AC4869"/>
    <w:rsid w:val="00AC487C"/>
    <w:rsid w:val="00AC4894"/>
    <w:rsid w:val="00AC4897"/>
    <w:rsid w:val="00AC48D7"/>
    <w:rsid w:val="00AC48EF"/>
    <w:rsid w:val="00AC492A"/>
    <w:rsid w:val="00AC4975"/>
    <w:rsid w:val="00AC4999"/>
    <w:rsid w:val="00AC499A"/>
    <w:rsid w:val="00AC4A08"/>
    <w:rsid w:val="00AC4A1C"/>
    <w:rsid w:val="00AC4A2F"/>
    <w:rsid w:val="00AC4A3A"/>
    <w:rsid w:val="00AC4A4D"/>
    <w:rsid w:val="00AC4A54"/>
    <w:rsid w:val="00AC4ACC"/>
    <w:rsid w:val="00AC4AE1"/>
    <w:rsid w:val="00AC4B38"/>
    <w:rsid w:val="00AC4B4C"/>
    <w:rsid w:val="00AC4B85"/>
    <w:rsid w:val="00AC4B88"/>
    <w:rsid w:val="00AC4BAC"/>
    <w:rsid w:val="00AC4BED"/>
    <w:rsid w:val="00AC4C26"/>
    <w:rsid w:val="00AC4C73"/>
    <w:rsid w:val="00AC4CBF"/>
    <w:rsid w:val="00AC4CC3"/>
    <w:rsid w:val="00AC4CD4"/>
    <w:rsid w:val="00AC4CD8"/>
    <w:rsid w:val="00AC4D19"/>
    <w:rsid w:val="00AC4D20"/>
    <w:rsid w:val="00AC4D29"/>
    <w:rsid w:val="00AC4D2B"/>
    <w:rsid w:val="00AC4D6B"/>
    <w:rsid w:val="00AC4D96"/>
    <w:rsid w:val="00AC4DB8"/>
    <w:rsid w:val="00AC4DE1"/>
    <w:rsid w:val="00AC4DEB"/>
    <w:rsid w:val="00AC4E02"/>
    <w:rsid w:val="00AC4E0E"/>
    <w:rsid w:val="00AC4E52"/>
    <w:rsid w:val="00AC4E57"/>
    <w:rsid w:val="00AC4E74"/>
    <w:rsid w:val="00AC4E9B"/>
    <w:rsid w:val="00AC4EB2"/>
    <w:rsid w:val="00AC4EBB"/>
    <w:rsid w:val="00AC4ECD"/>
    <w:rsid w:val="00AC4ED0"/>
    <w:rsid w:val="00AC4ED7"/>
    <w:rsid w:val="00AC4EDD"/>
    <w:rsid w:val="00AC4EFF"/>
    <w:rsid w:val="00AC4F10"/>
    <w:rsid w:val="00AC4F1E"/>
    <w:rsid w:val="00AC4F7B"/>
    <w:rsid w:val="00AC4FAD"/>
    <w:rsid w:val="00AC4FB3"/>
    <w:rsid w:val="00AC4FD0"/>
    <w:rsid w:val="00AC4FF8"/>
    <w:rsid w:val="00AC5023"/>
    <w:rsid w:val="00AC5049"/>
    <w:rsid w:val="00AC508B"/>
    <w:rsid w:val="00AC50A8"/>
    <w:rsid w:val="00AC50AD"/>
    <w:rsid w:val="00AC50AF"/>
    <w:rsid w:val="00AC50E3"/>
    <w:rsid w:val="00AC514E"/>
    <w:rsid w:val="00AC51B1"/>
    <w:rsid w:val="00AC51C5"/>
    <w:rsid w:val="00AC5288"/>
    <w:rsid w:val="00AC5295"/>
    <w:rsid w:val="00AC5296"/>
    <w:rsid w:val="00AC52A6"/>
    <w:rsid w:val="00AC52D4"/>
    <w:rsid w:val="00AC52DB"/>
    <w:rsid w:val="00AC52FB"/>
    <w:rsid w:val="00AC5310"/>
    <w:rsid w:val="00AC5345"/>
    <w:rsid w:val="00AC5361"/>
    <w:rsid w:val="00AC536F"/>
    <w:rsid w:val="00AC5372"/>
    <w:rsid w:val="00AC539E"/>
    <w:rsid w:val="00AC540A"/>
    <w:rsid w:val="00AC5413"/>
    <w:rsid w:val="00AC5439"/>
    <w:rsid w:val="00AC54E4"/>
    <w:rsid w:val="00AC54EA"/>
    <w:rsid w:val="00AC551C"/>
    <w:rsid w:val="00AC5530"/>
    <w:rsid w:val="00AC557D"/>
    <w:rsid w:val="00AC5613"/>
    <w:rsid w:val="00AC5624"/>
    <w:rsid w:val="00AC5712"/>
    <w:rsid w:val="00AC571B"/>
    <w:rsid w:val="00AC5750"/>
    <w:rsid w:val="00AC577C"/>
    <w:rsid w:val="00AC5781"/>
    <w:rsid w:val="00AC57C8"/>
    <w:rsid w:val="00AC585A"/>
    <w:rsid w:val="00AC585F"/>
    <w:rsid w:val="00AC5867"/>
    <w:rsid w:val="00AC58E2"/>
    <w:rsid w:val="00AC590F"/>
    <w:rsid w:val="00AC5959"/>
    <w:rsid w:val="00AC5963"/>
    <w:rsid w:val="00AC5985"/>
    <w:rsid w:val="00AC5987"/>
    <w:rsid w:val="00AC5996"/>
    <w:rsid w:val="00AC59AE"/>
    <w:rsid w:val="00AC59B1"/>
    <w:rsid w:val="00AC59C2"/>
    <w:rsid w:val="00AC59D7"/>
    <w:rsid w:val="00AC5A00"/>
    <w:rsid w:val="00AC5A38"/>
    <w:rsid w:val="00AC5A44"/>
    <w:rsid w:val="00AC5B22"/>
    <w:rsid w:val="00AC5B8D"/>
    <w:rsid w:val="00AC5B8E"/>
    <w:rsid w:val="00AC5BBD"/>
    <w:rsid w:val="00AC5BD0"/>
    <w:rsid w:val="00AC5BD1"/>
    <w:rsid w:val="00AC5BE4"/>
    <w:rsid w:val="00AC5BEF"/>
    <w:rsid w:val="00AC5C2E"/>
    <w:rsid w:val="00AC5C32"/>
    <w:rsid w:val="00AC5C53"/>
    <w:rsid w:val="00AC5C68"/>
    <w:rsid w:val="00AC5C6E"/>
    <w:rsid w:val="00AC5C95"/>
    <w:rsid w:val="00AC5C9F"/>
    <w:rsid w:val="00AC5CA4"/>
    <w:rsid w:val="00AC5CBD"/>
    <w:rsid w:val="00AC5CCC"/>
    <w:rsid w:val="00AC5CD0"/>
    <w:rsid w:val="00AC5D41"/>
    <w:rsid w:val="00AC5D5B"/>
    <w:rsid w:val="00AC5D7D"/>
    <w:rsid w:val="00AC5D84"/>
    <w:rsid w:val="00AC5DA4"/>
    <w:rsid w:val="00AC5DBE"/>
    <w:rsid w:val="00AC5DFC"/>
    <w:rsid w:val="00AC5E27"/>
    <w:rsid w:val="00AC5E90"/>
    <w:rsid w:val="00AC5E9C"/>
    <w:rsid w:val="00AC5EA5"/>
    <w:rsid w:val="00AC5EBE"/>
    <w:rsid w:val="00AC5ED3"/>
    <w:rsid w:val="00AC5ED4"/>
    <w:rsid w:val="00AC5F14"/>
    <w:rsid w:val="00AC5F49"/>
    <w:rsid w:val="00AC5F4F"/>
    <w:rsid w:val="00AC5F70"/>
    <w:rsid w:val="00AC5F78"/>
    <w:rsid w:val="00AC5F9D"/>
    <w:rsid w:val="00AC5FAD"/>
    <w:rsid w:val="00AC600C"/>
    <w:rsid w:val="00AC601B"/>
    <w:rsid w:val="00AC604D"/>
    <w:rsid w:val="00AC60E2"/>
    <w:rsid w:val="00AC6115"/>
    <w:rsid w:val="00AC6142"/>
    <w:rsid w:val="00AC6150"/>
    <w:rsid w:val="00AC6170"/>
    <w:rsid w:val="00AC6175"/>
    <w:rsid w:val="00AC6192"/>
    <w:rsid w:val="00AC6196"/>
    <w:rsid w:val="00AC61CF"/>
    <w:rsid w:val="00AC61EA"/>
    <w:rsid w:val="00AC620D"/>
    <w:rsid w:val="00AC627D"/>
    <w:rsid w:val="00AC62BC"/>
    <w:rsid w:val="00AC62F3"/>
    <w:rsid w:val="00AC6305"/>
    <w:rsid w:val="00AC632B"/>
    <w:rsid w:val="00AC6361"/>
    <w:rsid w:val="00AC6375"/>
    <w:rsid w:val="00AC63C0"/>
    <w:rsid w:val="00AC63CF"/>
    <w:rsid w:val="00AC640C"/>
    <w:rsid w:val="00AC6446"/>
    <w:rsid w:val="00AC64AD"/>
    <w:rsid w:val="00AC64B4"/>
    <w:rsid w:val="00AC64B5"/>
    <w:rsid w:val="00AC64CB"/>
    <w:rsid w:val="00AC64E9"/>
    <w:rsid w:val="00AC64EB"/>
    <w:rsid w:val="00AC6526"/>
    <w:rsid w:val="00AC6543"/>
    <w:rsid w:val="00AC6564"/>
    <w:rsid w:val="00AC6583"/>
    <w:rsid w:val="00AC658A"/>
    <w:rsid w:val="00AC65D3"/>
    <w:rsid w:val="00AC65F3"/>
    <w:rsid w:val="00AC6612"/>
    <w:rsid w:val="00AC66BC"/>
    <w:rsid w:val="00AC66E1"/>
    <w:rsid w:val="00AC6701"/>
    <w:rsid w:val="00AC6755"/>
    <w:rsid w:val="00AC675B"/>
    <w:rsid w:val="00AC6769"/>
    <w:rsid w:val="00AC677A"/>
    <w:rsid w:val="00AC677B"/>
    <w:rsid w:val="00AC67D2"/>
    <w:rsid w:val="00AC67EF"/>
    <w:rsid w:val="00AC6810"/>
    <w:rsid w:val="00AC681F"/>
    <w:rsid w:val="00AC6835"/>
    <w:rsid w:val="00AC6840"/>
    <w:rsid w:val="00AC684E"/>
    <w:rsid w:val="00AC691E"/>
    <w:rsid w:val="00AC69D7"/>
    <w:rsid w:val="00AC6A1D"/>
    <w:rsid w:val="00AC6A3D"/>
    <w:rsid w:val="00AC6A4C"/>
    <w:rsid w:val="00AC6AAB"/>
    <w:rsid w:val="00AC6B20"/>
    <w:rsid w:val="00AC6B2F"/>
    <w:rsid w:val="00AC6B46"/>
    <w:rsid w:val="00AC6BAE"/>
    <w:rsid w:val="00AC6BC7"/>
    <w:rsid w:val="00AC6BE7"/>
    <w:rsid w:val="00AC6C01"/>
    <w:rsid w:val="00AC6C05"/>
    <w:rsid w:val="00AC6C07"/>
    <w:rsid w:val="00AC6C66"/>
    <w:rsid w:val="00AC6C8A"/>
    <w:rsid w:val="00AC6CBE"/>
    <w:rsid w:val="00AC6CCA"/>
    <w:rsid w:val="00AC6CE6"/>
    <w:rsid w:val="00AC6CFD"/>
    <w:rsid w:val="00AC6D1A"/>
    <w:rsid w:val="00AC6D52"/>
    <w:rsid w:val="00AC6D57"/>
    <w:rsid w:val="00AC6D74"/>
    <w:rsid w:val="00AC6D7A"/>
    <w:rsid w:val="00AC6DCD"/>
    <w:rsid w:val="00AC6E08"/>
    <w:rsid w:val="00AC6E16"/>
    <w:rsid w:val="00AC6E3A"/>
    <w:rsid w:val="00AC6E6B"/>
    <w:rsid w:val="00AC6E83"/>
    <w:rsid w:val="00AC6EC2"/>
    <w:rsid w:val="00AC6F07"/>
    <w:rsid w:val="00AC6FC7"/>
    <w:rsid w:val="00AC6FE7"/>
    <w:rsid w:val="00AC700A"/>
    <w:rsid w:val="00AC701E"/>
    <w:rsid w:val="00AC7041"/>
    <w:rsid w:val="00AC7045"/>
    <w:rsid w:val="00AC7087"/>
    <w:rsid w:val="00AC7089"/>
    <w:rsid w:val="00AC70BF"/>
    <w:rsid w:val="00AC70C7"/>
    <w:rsid w:val="00AC70D7"/>
    <w:rsid w:val="00AC7109"/>
    <w:rsid w:val="00AC710F"/>
    <w:rsid w:val="00AC712B"/>
    <w:rsid w:val="00AC7134"/>
    <w:rsid w:val="00AC7141"/>
    <w:rsid w:val="00AC717B"/>
    <w:rsid w:val="00AC71F4"/>
    <w:rsid w:val="00AC7203"/>
    <w:rsid w:val="00AC724D"/>
    <w:rsid w:val="00AC725E"/>
    <w:rsid w:val="00AC7265"/>
    <w:rsid w:val="00AC727A"/>
    <w:rsid w:val="00AC729F"/>
    <w:rsid w:val="00AC72AF"/>
    <w:rsid w:val="00AC72D1"/>
    <w:rsid w:val="00AC72DC"/>
    <w:rsid w:val="00AC731E"/>
    <w:rsid w:val="00AC7333"/>
    <w:rsid w:val="00AC738E"/>
    <w:rsid w:val="00AC73BC"/>
    <w:rsid w:val="00AC73D2"/>
    <w:rsid w:val="00AC73E7"/>
    <w:rsid w:val="00AC73E8"/>
    <w:rsid w:val="00AC743B"/>
    <w:rsid w:val="00AC7469"/>
    <w:rsid w:val="00AC74B1"/>
    <w:rsid w:val="00AC7519"/>
    <w:rsid w:val="00AC7540"/>
    <w:rsid w:val="00AC754E"/>
    <w:rsid w:val="00AC7552"/>
    <w:rsid w:val="00AC756B"/>
    <w:rsid w:val="00AC7583"/>
    <w:rsid w:val="00AC7591"/>
    <w:rsid w:val="00AC75B9"/>
    <w:rsid w:val="00AC75C2"/>
    <w:rsid w:val="00AC7646"/>
    <w:rsid w:val="00AC766E"/>
    <w:rsid w:val="00AC7687"/>
    <w:rsid w:val="00AC7695"/>
    <w:rsid w:val="00AC76DF"/>
    <w:rsid w:val="00AC76EB"/>
    <w:rsid w:val="00AC76ED"/>
    <w:rsid w:val="00AC7723"/>
    <w:rsid w:val="00AC7738"/>
    <w:rsid w:val="00AC7748"/>
    <w:rsid w:val="00AC77A0"/>
    <w:rsid w:val="00AC77C5"/>
    <w:rsid w:val="00AC77FA"/>
    <w:rsid w:val="00AC7809"/>
    <w:rsid w:val="00AC7832"/>
    <w:rsid w:val="00AC78AE"/>
    <w:rsid w:val="00AC78D7"/>
    <w:rsid w:val="00AC78E1"/>
    <w:rsid w:val="00AC78EB"/>
    <w:rsid w:val="00AC7925"/>
    <w:rsid w:val="00AC79A0"/>
    <w:rsid w:val="00AC79DB"/>
    <w:rsid w:val="00AC7A3E"/>
    <w:rsid w:val="00AC7A7C"/>
    <w:rsid w:val="00AC7AA4"/>
    <w:rsid w:val="00AC7B23"/>
    <w:rsid w:val="00AC7B42"/>
    <w:rsid w:val="00AC7BB0"/>
    <w:rsid w:val="00AC7BB7"/>
    <w:rsid w:val="00AC7BC5"/>
    <w:rsid w:val="00AC7BDF"/>
    <w:rsid w:val="00AC7C3E"/>
    <w:rsid w:val="00AC7C53"/>
    <w:rsid w:val="00AC7CBD"/>
    <w:rsid w:val="00AC7CC6"/>
    <w:rsid w:val="00AC7CC9"/>
    <w:rsid w:val="00AC7D45"/>
    <w:rsid w:val="00AC7D47"/>
    <w:rsid w:val="00AC7D48"/>
    <w:rsid w:val="00AC7D4E"/>
    <w:rsid w:val="00AC7D79"/>
    <w:rsid w:val="00AC7D7F"/>
    <w:rsid w:val="00AC7D85"/>
    <w:rsid w:val="00AC7D90"/>
    <w:rsid w:val="00AC7D9D"/>
    <w:rsid w:val="00AC7DD4"/>
    <w:rsid w:val="00AC7DDE"/>
    <w:rsid w:val="00AC7DF3"/>
    <w:rsid w:val="00AC7E02"/>
    <w:rsid w:val="00AC7E96"/>
    <w:rsid w:val="00AC7EAD"/>
    <w:rsid w:val="00AC7ECE"/>
    <w:rsid w:val="00AC7EFE"/>
    <w:rsid w:val="00AC7F14"/>
    <w:rsid w:val="00AC7F41"/>
    <w:rsid w:val="00AC7F54"/>
    <w:rsid w:val="00AC7FA8"/>
    <w:rsid w:val="00AC7FF6"/>
    <w:rsid w:val="00AD0021"/>
    <w:rsid w:val="00AD008A"/>
    <w:rsid w:val="00AD00DD"/>
    <w:rsid w:val="00AD0110"/>
    <w:rsid w:val="00AD011B"/>
    <w:rsid w:val="00AD0138"/>
    <w:rsid w:val="00AD015E"/>
    <w:rsid w:val="00AD0188"/>
    <w:rsid w:val="00AD01C4"/>
    <w:rsid w:val="00AD01D1"/>
    <w:rsid w:val="00AD01E0"/>
    <w:rsid w:val="00AD01FB"/>
    <w:rsid w:val="00AD0217"/>
    <w:rsid w:val="00AD0243"/>
    <w:rsid w:val="00AD0280"/>
    <w:rsid w:val="00AD0325"/>
    <w:rsid w:val="00AD0358"/>
    <w:rsid w:val="00AD039A"/>
    <w:rsid w:val="00AD03AD"/>
    <w:rsid w:val="00AD03BA"/>
    <w:rsid w:val="00AD03DE"/>
    <w:rsid w:val="00AD0403"/>
    <w:rsid w:val="00AD04C8"/>
    <w:rsid w:val="00AD04E3"/>
    <w:rsid w:val="00AD050E"/>
    <w:rsid w:val="00AD0526"/>
    <w:rsid w:val="00AD053C"/>
    <w:rsid w:val="00AD0542"/>
    <w:rsid w:val="00AD054A"/>
    <w:rsid w:val="00AD0560"/>
    <w:rsid w:val="00AD056B"/>
    <w:rsid w:val="00AD0582"/>
    <w:rsid w:val="00AD0609"/>
    <w:rsid w:val="00AD0635"/>
    <w:rsid w:val="00AD065E"/>
    <w:rsid w:val="00AD06DB"/>
    <w:rsid w:val="00AD06FA"/>
    <w:rsid w:val="00AD0753"/>
    <w:rsid w:val="00AD07D0"/>
    <w:rsid w:val="00AD082B"/>
    <w:rsid w:val="00AD0836"/>
    <w:rsid w:val="00AD0855"/>
    <w:rsid w:val="00AD0860"/>
    <w:rsid w:val="00AD088C"/>
    <w:rsid w:val="00AD08A4"/>
    <w:rsid w:val="00AD08D2"/>
    <w:rsid w:val="00AD0913"/>
    <w:rsid w:val="00AD092A"/>
    <w:rsid w:val="00AD092B"/>
    <w:rsid w:val="00AD095A"/>
    <w:rsid w:val="00AD0973"/>
    <w:rsid w:val="00AD09CC"/>
    <w:rsid w:val="00AD0A1D"/>
    <w:rsid w:val="00AD0A4F"/>
    <w:rsid w:val="00AD0A73"/>
    <w:rsid w:val="00AD0B01"/>
    <w:rsid w:val="00AD0B71"/>
    <w:rsid w:val="00AD0BB7"/>
    <w:rsid w:val="00AD0BCC"/>
    <w:rsid w:val="00AD0BD2"/>
    <w:rsid w:val="00AD0C04"/>
    <w:rsid w:val="00AD0C30"/>
    <w:rsid w:val="00AD0C71"/>
    <w:rsid w:val="00AD0C81"/>
    <w:rsid w:val="00AD0CC6"/>
    <w:rsid w:val="00AD0CFF"/>
    <w:rsid w:val="00AD0D42"/>
    <w:rsid w:val="00AD0D53"/>
    <w:rsid w:val="00AD0D58"/>
    <w:rsid w:val="00AD0D88"/>
    <w:rsid w:val="00AD0D92"/>
    <w:rsid w:val="00AD0D96"/>
    <w:rsid w:val="00AD0DDA"/>
    <w:rsid w:val="00AD0E07"/>
    <w:rsid w:val="00AD0E2A"/>
    <w:rsid w:val="00AD0E6A"/>
    <w:rsid w:val="00AD0E6C"/>
    <w:rsid w:val="00AD0E9E"/>
    <w:rsid w:val="00AD0EA2"/>
    <w:rsid w:val="00AD0EA5"/>
    <w:rsid w:val="00AD0F17"/>
    <w:rsid w:val="00AD0F27"/>
    <w:rsid w:val="00AD0F31"/>
    <w:rsid w:val="00AD0F3D"/>
    <w:rsid w:val="00AD0F5A"/>
    <w:rsid w:val="00AD0F69"/>
    <w:rsid w:val="00AD0F6A"/>
    <w:rsid w:val="00AD0F6B"/>
    <w:rsid w:val="00AD0F96"/>
    <w:rsid w:val="00AD0FF5"/>
    <w:rsid w:val="00AD1005"/>
    <w:rsid w:val="00AD100D"/>
    <w:rsid w:val="00AD101E"/>
    <w:rsid w:val="00AD1044"/>
    <w:rsid w:val="00AD1052"/>
    <w:rsid w:val="00AD109C"/>
    <w:rsid w:val="00AD10CE"/>
    <w:rsid w:val="00AD1185"/>
    <w:rsid w:val="00AD118A"/>
    <w:rsid w:val="00AD1193"/>
    <w:rsid w:val="00AD11B3"/>
    <w:rsid w:val="00AD11F3"/>
    <w:rsid w:val="00AD11F5"/>
    <w:rsid w:val="00AD11FA"/>
    <w:rsid w:val="00AD1202"/>
    <w:rsid w:val="00AD1207"/>
    <w:rsid w:val="00AD122A"/>
    <w:rsid w:val="00AD1271"/>
    <w:rsid w:val="00AD127E"/>
    <w:rsid w:val="00AD129D"/>
    <w:rsid w:val="00AD12D2"/>
    <w:rsid w:val="00AD12E7"/>
    <w:rsid w:val="00AD12EC"/>
    <w:rsid w:val="00AD12FB"/>
    <w:rsid w:val="00AD1329"/>
    <w:rsid w:val="00AD1389"/>
    <w:rsid w:val="00AD138C"/>
    <w:rsid w:val="00AD1395"/>
    <w:rsid w:val="00AD13A3"/>
    <w:rsid w:val="00AD13DA"/>
    <w:rsid w:val="00AD1413"/>
    <w:rsid w:val="00AD144D"/>
    <w:rsid w:val="00AD14A1"/>
    <w:rsid w:val="00AD14CB"/>
    <w:rsid w:val="00AD14DB"/>
    <w:rsid w:val="00AD14DE"/>
    <w:rsid w:val="00AD14EF"/>
    <w:rsid w:val="00AD14F8"/>
    <w:rsid w:val="00AD1518"/>
    <w:rsid w:val="00AD1529"/>
    <w:rsid w:val="00AD152F"/>
    <w:rsid w:val="00AD157C"/>
    <w:rsid w:val="00AD15EA"/>
    <w:rsid w:val="00AD1618"/>
    <w:rsid w:val="00AD164F"/>
    <w:rsid w:val="00AD1679"/>
    <w:rsid w:val="00AD167D"/>
    <w:rsid w:val="00AD1680"/>
    <w:rsid w:val="00AD1681"/>
    <w:rsid w:val="00AD169B"/>
    <w:rsid w:val="00AD16B7"/>
    <w:rsid w:val="00AD16C2"/>
    <w:rsid w:val="00AD16C5"/>
    <w:rsid w:val="00AD16C6"/>
    <w:rsid w:val="00AD16E3"/>
    <w:rsid w:val="00AD16F0"/>
    <w:rsid w:val="00AD170E"/>
    <w:rsid w:val="00AD1720"/>
    <w:rsid w:val="00AD1742"/>
    <w:rsid w:val="00AD174D"/>
    <w:rsid w:val="00AD1761"/>
    <w:rsid w:val="00AD17AC"/>
    <w:rsid w:val="00AD17AE"/>
    <w:rsid w:val="00AD17B1"/>
    <w:rsid w:val="00AD17DD"/>
    <w:rsid w:val="00AD17F8"/>
    <w:rsid w:val="00AD1820"/>
    <w:rsid w:val="00AD18B4"/>
    <w:rsid w:val="00AD18B7"/>
    <w:rsid w:val="00AD18E6"/>
    <w:rsid w:val="00AD18E8"/>
    <w:rsid w:val="00AD190F"/>
    <w:rsid w:val="00AD1919"/>
    <w:rsid w:val="00AD192C"/>
    <w:rsid w:val="00AD192E"/>
    <w:rsid w:val="00AD1964"/>
    <w:rsid w:val="00AD1992"/>
    <w:rsid w:val="00AD19A3"/>
    <w:rsid w:val="00AD19B9"/>
    <w:rsid w:val="00AD19C3"/>
    <w:rsid w:val="00AD19C7"/>
    <w:rsid w:val="00AD19E3"/>
    <w:rsid w:val="00AD19E9"/>
    <w:rsid w:val="00AD19F5"/>
    <w:rsid w:val="00AD1A13"/>
    <w:rsid w:val="00AD1A64"/>
    <w:rsid w:val="00AD1A65"/>
    <w:rsid w:val="00AD1A6E"/>
    <w:rsid w:val="00AD1AD4"/>
    <w:rsid w:val="00AD1B14"/>
    <w:rsid w:val="00AD1B3B"/>
    <w:rsid w:val="00AD1B60"/>
    <w:rsid w:val="00AD1B90"/>
    <w:rsid w:val="00AD1B9F"/>
    <w:rsid w:val="00AD1BA8"/>
    <w:rsid w:val="00AD1BD1"/>
    <w:rsid w:val="00AD1BF0"/>
    <w:rsid w:val="00AD1C27"/>
    <w:rsid w:val="00AD1C5F"/>
    <w:rsid w:val="00AD1C98"/>
    <w:rsid w:val="00AD1CCA"/>
    <w:rsid w:val="00AD1D11"/>
    <w:rsid w:val="00AD1D4C"/>
    <w:rsid w:val="00AD1D58"/>
    <w:rsid w:val="00AD1D6A"/>
    <w:rsid w:val="00AD1D94"/>
    <w:rsid w:val="00AD1DA9"/>
    <w:rsid w:val="00AD1DF0"/>
    <w:rsid w:val="00AD1E17"/>
    <w:rsid w:val="00AD1E19"/>
    <w:rsid w:val="00AD1E38"/>
    <w:rsid w:val="00AD1E5E"/>
    <w:rsid w:val="00AD1E80"/>
    <w:rsid w:val="00AD1E8E"/>
    <w:rsid w:val="00AD1E9F"/>
    <w:rsid w:val="00AD1EA3"/>
    <w:rsid w:val="00AD1EA9"/>
    <w:rsid w:val="00AD1EB9"/>
    <w:rsid w:val="00AD1EEA"/>
    <w:rsid w:val="00AD1EF9"/>
    <w:rsid w:val="00AD1FBC"/>
    <w:rsid w:val="00AD2000"/>
    <w:rsid w:val="00AD2019"/>
    <w:rsid w:val="00AD201C"/>
    <w:rsid w:val="00AD2061"/>
    <w:rsid w:val="00AD2063"/>
    <w:rsid w:val="00AD20C1"/>
    <w:rsid w:val="00AD20ED"/>
    <w:rsid w:val="00AD20F4"/>
    <w:rsid w:val="00AD213D"/>
    <w:rsid w:val="00AD218A"/>
    <w:rsid w:val="00AD21A4"/>
    <w:rsid w:val="00AD21A5"/>
    <w:rsid w:val="00AD21C6"/>
    <w:rsid w:val="00AD21EE"/>
    <w:rsid w:val="00AD2200"/>
    <w:rsid w:val="00AD2247"/>
    <w:rsid w:val="00AD2252"/>
    <w:rsid w:val="00AD22B2"/>
    <w:rsid w:val="00AD22CA"/>
    <w:rsid w:val="00AD2346"/>
    <w:rsid w:val="00AD2353"/>
    <w:rsid w:val="00AD2382"/>
    <w:rsid w:val="00AD2388"/>
    <w:rsid w:val="00AD23F1"/>
    <w:rsid w:val="00AD2401"/>
    <w:rsid w:val="00AD2457"/>
    <w:rsid w:val="00AD247C"/>
    <w:rsid w:val="00AD2499"/>
    <w:rsid w:val="00AD24AA"/>
    <w:rsid w:val="00AD24B5"/>
    <w:rsid w:val="00AD24BD"/>
    <w:rsid w:val="00AD24BF"/>
    <w:rsid w:val="00AD24F3"/>
    <w:rsid w:val="00AD25B8"/>
    <w:rsid w:val="00AD25FB"/>
    <w:rsid w:val="00AD2607"/>
    <w:rsid w:val="00AD260A"/>
    <w:rsid w:val="00AD262B"/>
    <w:rsid w:val="00AD2633"/>
    <w:rsid w:val="00AD2643"/>
    <w:rsid w:val="00AD266D"/>
    <w:rsid w:val="00AD2690"/>
    <w:rsid w:val="00AD26F3"/>
    <w:rsid w:val="00AD2756"/>
    <w:rsid w:val="00AD27A9"/>
    <w:rsid w:val="00AD27AC"/>
    <w:rsid w:val="00AD27AF"/>
    <w:rsid w:val="00AD27B2"/>
    <w:rsid w:val="00AD27BA"/>
    <w:rsid w:val="00AD27BF"/>
    <w:rsid w:val="00AD27CE"/>
    <w:rsid w:val="00AD27E5"/>
    <w:rsid w:val="00AD27F7"/>
    <w:rsid w:val="00AD27FE"/>
    <w:rsid w:val="00AD280C"/>
    <w:rsid w:val="00AD2822"/>
    <w:rsid w:val="00AD2858"/>
    <w:rsid w:val="00AD288C"/>
    <w:rsid w:val="00AD28B5"/>
    <w:rsid w:val="00AD28B6"/>
    <w:rsid w:val="00AD28EA"/>
    <w:rsid w:val="00AD2937"/>
    <w:rsid w:val="00AD2944"/>
    <w:rsid w:val="00AD297C"/>
    <w:rsid w:val="00AD297E"/>
    <w:rsid w:val="00AD298A"/>
    <w:rsid w:val="00AD29A1"/>
    <w:rsid w:val="00AD29CE"/>
    <w:rsid w:val="00AD29D4"/>
    <w:rsid w:val="00AD29D7"/>
    <w:rsid w:val="00AD29DA"/>
    <w:rsid w:val="00AD2A32"/>
    <w:rsid w:val="00AD2A7A"/>
    <w:rsid w:val="00AD2A9D"/>
    <w:rsid w:val="00AD2AD5"/>
    <w:rsid w:val="00AD2B2E"/>
    <w:rsid w:val="00AD2B5E"/>
    <w:rsid w:val="00AD2B68"/>
    <w:rsid w:val="00AD2BA3"/>
    <w:rsid w:val="00AD2BA4"/>
    <w:rsid w:val="00AD2BAD"/>
    <w:rsid w:val="00AD2BB0"/>
    <w:rsid w:val="00AD2BB4"/>
    <w:rsid w:val="00AD2BBF"/>
    <w:rsid w:val="00AD2BFE"/>
    <w:rsid w:val="00AD2C68"/>
    <w:rsid w:val="00AD2CC9"/>
    <w:rsid w:val="00AD2CE4"/>
    <w:rsid w:val="00AD2CEA"/>
    <w:rsid w:val="00AD2CEE"/>
    <w:rsid w:val="00AD2D23"/>
    <w:rsid w:val="00AD2D60"/>
    <w:rsid w:val="00AD2D71"/>
    <w:rsid w:val="00AD2D90"/>
    <w:rsid w:val="00AD2DA3"/>
    <w:rsid w:val="00AD2DAB"/>
    <w:rsid w:val="00AD2DE3"/>
    <w:rsid w:val="00AD2E22"/>
    <w:rsid w:val="00AD2E39"/>
    <w:rsid w:val="00AD2E53"/>
    <w:rsid w:val="00AD2E6C"/>
    <w:rsid w:val="00AD2EBD"/>
    <w:rsid w:val="00AD2EC0"/>
    <w:rsid w:val="00AD2ECA"/>
    <w:rsid w:val="00AD2EED"/>
    <w:rsid w:val="00AD2F08"/>
    <w:rsid w:val="00AD2F23"/>
    <w:rsid w:val="00AD2F3D"/>
    <w:rsid w:val="00AD2F5E"/>
    <w:rsid w:val="00AD2FC1"/>
    <w:rsid w:val="00AD2FD8"/>
    <w:rsid w:val="00AD300E"/>
    <w:rsid w:val="00AD308D"/>
    <w:rsid w:val="00AD30C8"/>
    <w:rsid w:val="00AD3117"/>
    <w:rsid w:val="00AD3127"/>
    <w:rsid w:val="00AD312A"/>
    <w:rsid w:val="00AD3160"/>
    <w:rsid w:val="00AD3174"/>
    <w:rsid w:val="00AD317D"/>
    <w:rsid w:val="00AD3194"/>
    <w:rsid w:val="00AD31B0"/>
    <w:rsid w:val="00AD31B2"/>
    <w:rsid w:val="00AD321B"/>
    <w:rsid w:val="00AD3271"/>
    <w:rsid w:val="00AD32BA"/>
    <w:rsid w:val="00AD32F8"/>
    <w:rsid w:val="00AD331C"/>
    <w:rsid w:val="00AD334C"/>
    <w:rsid w:val="00AD3394"/>
    <w:rsid w:val="00AD33F4"/>
    <w:rsid w:val="00AD344A"/>
    <w:rsid w:val="00AD345C"/>
    <w:rsid w:val="00AD345D"/>
    <w:rsid w:val="00AD346B"/>
    <w:rsid w:val="00AD34A9"/>
    <w:rsid w:val="00AD34DE"/>
    <w:rsid w:val="00AD350D"/>
    <w:rsid w:val="00AD352D"/>
    <w:rsid w:val="00AD352F"/>
    <w:rsid w:val="00AD354C"/>
    <w:rsid w:val="00AD355E"/>
    <w:rsid w:val="00AD358A"/>
    <w:rsid w:val="00AD35AB"/>
    <w:rsid w:val="00AD35CC"/>
    <w:rsid w:val="00AD35D2"/>
    <w:rsid w:val="00AD35E5"/>
    <w:rsid w:val="00AD363F"/>
    <w:rsid w:val="00AD3659"/>
    <w:rsid w:val="00AD366E"/>
    <w:rsid w:val="00AD368D"/>
    <w:rsid w:val="00AD3698"/>
    <w:rsid w:val="00AD36CD"/>
    <w:rsid w:val="00AD36FA"/>
    <w:rsid w:val="00AD3711"/>
    <w:rsid w:val="00AD3721"/>
    <w:rsid w:val="00AD375B"/>
    <w:rsid w:val="00AD376A"/>
    <w:rsid w:val="00AD3785"/>
    <w:rsid w:val="00AD378C"/>
    <w:rsid w:val="00AD37A0"/>
    <w:rsid w:val="00AD37D4"/>
    <w:rsid w:val="00AD3823"/>
    <w:rsid w:val="00AD3860"/>
    <w:rsid w:val="00AD391B"/>
    <w:rsid w:val="00AD3975"/>
    <w:rsid w:val="00AD39B9"/>
    <w:rsid w:val="00AD39CA"/>
    <w:rsid w:val="00AD39D4"/>
    <w:rsid w:val="00AD3A14"/>
    <w:rsid w:val="00AD3A2D"/>
    <w:rsid w:val="00AD3A83"/>
    <w:rsid w:val="00AD3AAE"/>
    <w:rsid w:val="00AD3AB6"/>
    <w:rsid w:val="00AD3B53"/>
    <w:rsid w:val="00AD3B72"/>
    <w:rsid w:val="00AD3B9B"/>
    <w:rsid w:val="00AD3BCB"/>
    <w:rsid w:val="00AD3BD3"/>
    <w:rsid w:val="00AD3BEA"/>
    <w:rsid w:val="00AD3BFE"/>
    <w:rsid w:val="00AD3C53"/>
    <w:rsid w:val="00AD3C65"/>
    <w:rsid w:val="00AD3C80"/>
    <w:rsid w:val="00AD3C88"/>
    <w:rsid w:val="00AD3C91"/>
    <w:rsid w:val="00AD3CB3"/>
    <w:rsid w:val="00AD3CC1"/>
    <w:rsid w:val="00AD3CD7"/>
    <w:rsid w:val="00AD3CDB"/>
    <w:rsid w:val="00AD3CDD"/>
    <w:rsid w:val="00AD3D87"/>
    <w:rsid w:val="00AD3DE6"/>
    <w:rsid w:val="00AD3DEB"/>
    <w:rsid w:val="00AD3DEC"/>
    <w:rsid w:val="00AD3E87"/>
    <w:rsid w:val="00AD3E94"/>
    <w:rsid w:val="00AD3EDF"/>
    <w:rsid w:val="00AD3EE9"/>
    <w:rsid w:val="00AD3F0E"/>
    <w:rsid w:val="00AD3F5A"/>
    <w:rsid w:val="00AD3F97"/>
    <w:rsid w:val="00AD3FB3"/>
    <w:rsid w:val="00AD3FCF"/>
    <w:rsid w:val="00AD3FD6"/>
    <w:rsid w:val="00AD4003"/>
    <w:rsid w:val="00AD403C"/>
    <w:rsid w:val="00AD405F"/>
    <w:rsid w:val="00AD40D3"/>
    <w:rsid w:val="00AD40EC"/>
    <w:rsid w:val="00AD415D"/>
    <w:rsid w:val="00AD4168"/>
    <w:rsid w:val="00AD4175"/>
    <w:rsid w:val="00AD4181"/>
    <w:rsid w:val="00AD4199"/>
    <w:rsid w:val="00AD419E"/>
    <w:rsid w:val="00AD41AF"/>
    <w:rsid w:val="00AD41BC"/>
    <w:rsid w:val="00AD41D4"/>
    <w:rsid w:val="00AD41E1"/>
    <w:rsid w:val="00AD421B"/>
    <w:rsid w:val="00AD4255"/>
    <w:rsid w:val="00AD427E"/>
    <w:rsid w:val="00AD429D"/>
    <w:rsid w:val="00AD42A3"/>
    <w:rsid w:val="00AD42E2"/>
    <w:rsid w:val="00AD4307"/>
    <w:rsid w:val="00AD430B"/>
    <w:rsid w:val="00AD4355"/>
    <w:rsid w:val="00AD437C"/>
    <w:rsid w:val="00AD43D1"/>
    <w:rsid w:val="00AD43F0"/>
    <w:rsid w:val="00AD4410"/>
    <w:rsid w:val="00AD4418"/>
    <w:rsid w:val="00AD441C"/>
    <w:rsid w:val="00AD4439"/>
    <w:rsid w:val="00AD4443"/>
    <w:rsid w:val="00AD4458"/>
    <w:rsid w:val="00AD44CE"/>
    <w:rsid w:val="00AD44E2"/>
    <w:rsid w:val="00AD44E6"/>
    <w:rsid w:val="00AD44EA"/>
    <w:rsid w:val="00AD44EE"/>
    <w:rsid w:val="00AD4533"/>
    <w:rsid w:val="00AD4554"/>
    <w:rsid w:val="00AD45D6"/>
    <w:rsid w:val="00AD45E7"/>
    <w:rsid w:val="00AD4655"/>
    <w:rsid w:val="00AD4656"/>
    <w:rsid w:val="00AD465E"/>
    <w:rsid w:val="00AD467A"/>
    <w:rsid w:val="00AD4687"/>
    <w:rsid w:val="00AD469F"/>
    <w:rsid w:val="00AD46B0"/>
    <w:rsid w:val="00AD46B4"/>
    <w:rsid w:val="00AD46D4"/>
    <w:rsid w:val="00AD4720"/>
    <w:rsid w:val="00AD4734"/>
    <w:rsid w:val="00AD4755"/>
    <w:rsid w:val="00AD475C"/>
    <w:rsid w:val="00AD4780"/>
    <w:rsid w:val="00AD47C6"/>
    <w:rsid w:val="00AD47CD"/>
    <w:rsid w:val="00AD4813"/>
    <w:rsid w:val="00AD482C"/>
    <w:rsid w:val="00AD4846"/>
    <w:rsid w:val="00AD484D"/>
    <w:rsid w:val="00AD4864"/>
    <w:rsid w:val="00AD488A"/>
    <w:rsid w:val="00AD488E"/>
    <w:rsid w:val="00AD4893"/>
    <w:rsid w:val="00AD4899"/>
    <w:rsid w:val="00AD48A4"/>
    <w:rsid w:val="00AD4903"/>
    <w:rsid w:val="00AD4987"/>
    <w:rsid w:val="00AD49A0"/>
    <w:rsid w:val="00AD49A7"/>
    <w:rsid w:val="00AD49CF"/>
    <w:rsid w:val="00AD49D0"/>
    <w:rsid w:val="00AD49E6"/>
    <w:rsid w:val="00AD49EF"/>
    <w:rsid w:val="00AD4A29"/>
    <w:rsid w:val="00AD4AB1"/>
    <w:rsid w:val="00AD4ABF"/>
    <w:rsid w:val="00AD4B52"/>
    <w:rsid w:val="00AD4BAE"/>
    <w:rsid w:val="00AD4C15"/>
    <w:rsid w:val="00AD4C17"/>
    <w:rsid w:val="00AD4C30"/>
    <w:rsid w:val="00AD4C32"/>
    <w:rsid w:val="00AD4C33"/>
    <w:rsid w:val="00AD4C4C"/>
    <w:rsid w:val="00AD4C57"/>
    <w:rsid w:val="00AD4C5D"/>
    <w:rsid w:val="00AD4D2A"/>
    <w:rsid w:val="00AD4D59"/>
    <w:rsid w:val="00AD4DC3"/>
    <w:rsid w:val="00AD4DC8"/>
    <w:rsid w:val="00AD4DE7"/>
    <w:rsid w:val="00AD4DEF"/>
    <w:rsid w:val="00AD4DF0"/>
    <w:rsid w:val="00AD4E34"/>
    <w:rsid w:val="00AD4F35"/>
    <w:rsid w:val="00AD4F4A"/>
    <w:rsid w:val="00AD4F9F"/>
    <w:rsid w:val="00AD4FC7"/>
    <w:rsid w:val="00AD4FE7"/>
    <w:rsid w:val="00AD5015"/>
    <w:rsid w:val="00AD5025"/>
    <w:rsid w:val="00AD503A"/>
    <w:rsid w:val="00AD5087"/>
    <w:rsid w:val="00AD508A"/>
    <w:rsid w:val="00AD50BA"/>
    <w:rsid w:val="00AD50C6"/>
    <w:rsid w:val="00AD50E4"/>
    <w:rsid w:val="00AD515A"/>
    <w:rsid w:val="00AD5186"/>
    <w:rsid w:val="00AD518F"/>
    <w:rsid w:val="00AD51E9"/>
    <w:rsid w:val="00AD51EA"/>
    <w:rsid w:val="00AD524B"/>
    <w:rsid w:val="00AD5259"/>
    <w:rsid w:val="00AD5294"/>
    <w:rsid w:val="00AD5340"/>
    <w:rsid w:val="00AD5357"/>
    <w:rsid w:val="00AD5390"/>
    <w:rsid w:val="00AD5391"/>
    <w:rsid w:val="00AD53A3"/>
    <w:rsid w:val="00AD53BC"/>
    <w:rsid w:val="00AD53C5"/>
    <w:rsid w:val="00AD53DF"/>
    <w:rsid w:val="00AD5464"/>
    <w:rsid w:val="00AD54A5"/>
    <w:rsid w:val="00AD54AC"/>
    <w:rsid w:val="00AD54EE"/>
    <w:rsid w:val="00AD5546"/>
    <w:rsid w:val="00AD557D"/>
    <w:rsid w:val="00AD557F"/>
    <w:rsid w:val="00AD55B0"/>
    <w:rsid w:val="00AD55D4"/>
    <w:rsid w:val="00AD55DC"/>
    <w:rsid w:val="00AD55DD"/>
    <w:rsid w:val="00AD55E5"/>
    <w:rsid w:val="00AD5604"/>
    <w:rsid w:val="00AD5642"/>
    <w:rsid w:val="00AD566A"/>
    <w:rsid w:val="00AD56AF"/>
    <w:rsid w:val="00AD56C1"/>
    <w:rsid w:val="00AD5712"/>
    <w:rsid w:val="00AD5714"/>
    <w:rsid w:val="00AD573C"/>
    <w:rsid w:val="00AD5741"/>
    <w:rsid w:val="00AD577A"/>
    <w:rsid w:val="00AD5782"/>
    <w:rsid w:val="00AD57C1"/>
    <w:rsid w:val="00AD585A"/>
    <w:rsid w:val="00AD5882"/>
    <w:rsid w:val="00AD588C"/>
    <w:rsid w:val="00AD588D"/>
    <w:rsid w:val="00AD58E6"/>
    <w:rsid w:val="00AD5919"/>
    <w:rsid w:val="00AD591C"/>
    <w:rsid w:val="00AD592A"/>
    <w:rsid w:val="00AD597C"/>
    <w:rsid w:val="00AD5A10"/>
    <w:rsid w:val="00AD5A21"/>
    <w:rsid w:val="00AD5A37"/>
    <w:rsid w:val="00AD5A43"/>
    <w:rsid w:val="00AD5A6D"/>
    <w:rsid w:val="00AD5A74"/>
    <w:rsid w:val="00AD5ADA"/>
    <w:rsid w:val="00AD5AE0"/>
    <w:rsid w:val="00AD5AF4"/>
    <w:rsid w:val="00AD5B5B"/>
    <w:rsid w:val="00AD5B5E"/>
    <w:rsid w:val="00AD5B68"/>
    <w:rsid w:val="00AD5B85"/>
    <w:rsid w:val="00AD5B9E"/>
    <w:rsid w:val="00AD5BA8"/>
    <w:rsid w:val="00AD5BB2"/>
    <w:rsid w:val="00AD5BC5"/>
    <w:rsid w:val="00AD5BDB"/>
    <w:rsid w:val="00AD5BF1"/>
    <w:rsid w:val="00AD5C23"/>
    <w:rsid w:val="00AD5C30"/>
    <w:rsid w:val="00AD5CA6"/>
    <w:rsid w:val="00AD5CAB"/>
    <w:rsid w:val="00AD5CBD"/>
    <w:rsid w:val="00AD5CF5"/>
    <w:rsid w:val="00AD5CF6"/>
    <w:rsid w:val="00AD5D19"/>
    <w:rsid w:val="00AD5D32"/>
    <w:rsid w:val="00AD5D41"/>
    <w:rsid w:val="00AD5D44"/>
    <w:rsid w:val="00AD5D46"/>
    <w:rsid w:val="00AD5D9C"/>
    <w:rsid w:val="00AD5DEB"/>
    <w:rsid w:val="00AD5DF3"/>
    <w:rsid w:val="00AD5E16"/>
    <w:rsid w:val="00AD5E22"/>
    <w:rsid w:val="00AD5E2C"/>
    <w:rsid w:val="00AD5E54"/>
    <w:rsid w:val="00AD5E89"/>
    <w:rsid w:val="00AD5E92"/>
    <w:rsid w:val="00AD5EA6"/>
    <w:rsid w:val="00AD5EEC"/>
    <w:rsid w:val="00AD5F09"/>
    <w:rsid w:val="00AD5F26"/>
    <w:rsid w:val="00AD5F49"/>
    <w:rsid w:val="00AD5F4C"/>
    <w:rsid w:val="00AD5F5D"/>
    <w:rsid w:val="00AD5F8A"/>
    <w:rsid w:val="00AD5FDD"/>
    <w:rsid w:val="00AD6022"/>
    <w:rsid w:val="00AD60EE"/>
    <w:rsid w:val="00AD60F1"/>
    <w:rsid w:val="00AD6143"/>
    <w:rsid w:val="00AD6150"/>
    <w:rsid w:val="00AD6176"/>
    <w:rsid w:val="00AD6177"/>
    <w:rsid w:val="00AD61B8"/>
    <w:rsid w:val="00AD61CC"/>
    <w:rsid w:val="00AD6227"/>
    <w:rsid w:val="00AD6281"/>
    <w:rsid w:val="00AD6296"/>
    <w:rsid w:val="00AD62B5"/>
    <w:rsid w:val="00AD62C2"/>
    <w:rsid w:val="00AD6315"/>
    <w:rsid w:val="00AD6341"/>
    <w:rsid w:val="00AD6356"/>
    <w:rsid w:val="00AD638F"/>
    <w:rsid w:val="00AD63CE"/>
    <w:rsid w:val="00AD63DE"/>
    <w:rsid w:val="00AD6461"/>
    <w:rsid w:val="00AD6479"/>
    <w:rsid w:val="00AD64CD"/>
    <w:rsid w:val="00AD64ED"/>
    <w:rsid w:val="00AD6504"/>
    <w:rsid w:val="00AD6544"/>
    <w:rsid w:val="00AD6554"/>
    <w:rsid w:val="00AD65E2"/>
    <w:rsid w:val="00AD65FE"/>
    <w:rsid w:val="00AD6619"/>
    <w:rsid w:val="00AD6644"/>
    <w:rsid w:val="00AD665D"/>
    <w:rsid w:val="00AD6695"/>
    <w:rsid w:val="00AD66E5"/>
    <w:rsid w:val="00AD6748"/>
    <w:rsid w:val="00AD674B"/>
    <w:rsid w:val="00AD6766"/>
    <w:rsid w:val="00AD6799"/>
    <w:rsid w:val="00AD67AB"/>
    <w:rsid w:val="00AD67BA"/>
    <w:rsid w:val="00AD67E0"/>
    <w:rsid w:val="00AD67ED"/>
    <w:rsid w:val="00AD680B"/>
    <w:rsid w:val="00AD681F"/>
    <w:rsid w:val="00AD6824"/>
    <w:rsid w:val="00AD688E"/>
    <w:rsid w:val="00AD68AF"/>
    <w:rsid w:val="00AD68F7"/>
    <w:rsid w:val="00AD6926"/>
    <w:rsid w:val="00AD6945"/>
    <w:rsid w:val="00AD6967"/>
    <w:rsid w:val="00AD69A2"/>
    <w:rsid w:val="00AD69BF"/>
    <w:rsid w:val="00AD69C8"/>
    <w:rsid w:val="00AD69DB"/>
    <w:rsid w:val="00AD69E2"/>
    <w:rsid w:val="00AD6A23"/>
    <w:rsid w:val="00AD6A2F"/>
    <w:rsid w:val="00AD6A47"/>
    <w:rsid w:val="00AD6A4F"/>
    <w:rsid w:val="00AD6A54"/>
    <w:rsid w:val="00AD6AA5"/>
    <w:rsid w:val="00AD6AD2"/>
    <w:rsid w:val="00AD6AD7"/>
    <w:rsid w:val="00AD6AE5"/>
    <w:rsid w:val="00AD6AE8"/>
    <w:rsid w:val="00AD6B0C"/>
    <w:rsid w:val="00AD6B16"/>
    <w:rsid w:val="00AD6B2C"/>
    <w:rsid w:val="00AD6B37"/>
    <w:rsid w:val="00AD6B62"/>
    <w:rsid w:val="00AD6B76"/>
    <w:rsid w:val="00AD6B97"/>
    <w:rsid w:val="00AD6C16"/>
    <w:rsid w:val="00AD6C23"/>
    <w:rsid w:val="00AD6C67"/>
    <w:rsid w:val="00AD6CA5"/>
    <w:rsid w:val="00AD6D09"/>
    <w:rsid w:val="00AD6D33"/>
    <w:rsid w:val="00AD6D58"/>
    <w:rsid w:val="00AD6D72"/>
    <w:rsid w:val="00AD6DAC"/>
    <w:rsid w:val="00AD6DBD"/>
    <w:rsid w:val="00AD6E37"/>
    <w:rsid w:val="00AD6E8A"/>
    <w:rsid w:val="00AD6F15"/>
    <w:rsid w:val="00AD6F32"/>
    <w:rsid w:val="00AD6F9A"/>
    <w:rsid w:val="00AD6FA5"/>
    <w:rsid w:val="00AD6FC3"/>
    <w:rsid w:val="00AD6FDD"/>
    <w:rsid w:val="00AD6FDF"/>
    <w:rsid w:val="00AD6FEA"/>
    <w:rsid w:val="00AD7084"/>
    <w:rsid w:val="00AD708A"/>
    <w:rsid w:val="00AD70BC"/>
    <w:rsid w:val="00AD70E1"/>
    <w:rsid w:val="00AD71BC"/>
    <w:rsid w:val="00AD71E6"/>
    <w:rsid w:val="00AD721F"/>
    <w:rsid w:val="00AD7242"/>
    <w:rsid w:val="00AD7287"/>
    <w:rsid w:val="00AD729D"/>
    <w:rsid w:val="00AD72A9"/>
    <w:rsid w:val="00AD72B9"/>
    <w:rsid w:val="00AD72D0"/>
    <w:rsid w:val="00AD7314"/>
    <w:rsid w:val="00AD734B"/>
    <w:rsid w:val="00AD7361"/>
    <w:rsid w:val="00AD736B"/>
    <w:rsid w:val="00AD73EE"/>
    <w:rsid w:val="00AD7408"/>
    <w:rsid w:val="00AD741E"/>
    <w:rsid w:val="00AD742F"/>
    <w:rsid w:val="00AD7436"/>
    <w:rsid w:val="00AD743A"/>
    <w:rsid w:val="00AD7481"/>
    <w:rsid w:val="00AD74C7"/>
    <w:rsid w:val="00AD74CA"/>
    <w:rsid w:val="00AD74E2"/>
    <w:rsid w:val="00AD7515"/>
    <w:rsid w:val="00AD7544"/>
    <w:rsid w:val="00AD7574"/>
    <w:rsid w:val="00AD75B3"/>
    <w:rsid w:val="00AD75CA"/>
    <w:rsid w:val="00AD75F7"/>
    <w:rsid w:val="00AD7631"/>
    <w:rsid w:val="00AD766C"/>
    <w:rsid w:val="00AD76AB"/>
    <w:rsid w:val="00AD76FB"/>
    <w:rsid w:val="00AD76FC"/>
    <w:rsid w:val="00AD770B"/>
    <w:rsid w:val="00AD775F"/>
    <w:rsid w:val="00AD777C"/>
    <w:rsid w:val="00AD77D3"/>
    <w:rsid w:val="00AD77F8"/>
    <w:rsid w:val="00AD77FF"/>
    <w:rsid w:val="00AD7875"/>
    <w:rsid w:val="00AD7882"/>
    <w:rsid w:val="00AD78A5"/>
    <w:rsid w:val="00AD78A6"/>
    <w:rsid w:val="00AD78F6"/>
    <w:rsid w:val="00AD7902"/>
    <w:rsid w:val="00AD790D"/>
    <w:rsid w:val="00AD796B"/>
    <w:rsid w:val="00AD79A8"/>
    <w:rsid w:val="00AD7A10"/>
    <w:rsid w:val="00AD7A14"/>
    <w:rsid w:val="00AD7A21"/>
    <w:rsid w:val="00AD7A31"/>
    <w:rsid w:val="00AD7A48"/>
    <w:rsid w:val="00AD7A4E"/>
    <w:rsid w:val="00AD7A6C"/>
    <w:rsid w:val="00AD7A82"/>
    <w:rsid w:val="00AD7AF6"/>
    <w:rsid w:val="00AD7B1D"/>
    <w:rsid w:val="00AD7B51"/>
    <w:rsid w:val="00AD7B6E"/>
    <w:rsid w:val="00AD7B77"/>
    <w:rsid w:val="00AD7B80"/>
    <w:rsid w:val="00AD7BDB"/>
    <w:rsid w:val="00AD7C0E"/>
    <w:rsid w:val="00AD7C3C"/>
    <w:rsid w:val="00AD7C88"/>
    <w:rsid w:val="00AD7C8F"/>
    <w:rsid w:val="00AD7D46"/>
    <w:rsid w:val="00AD7D73"/>
    <w:rsid w:val="00AD7D74"/>
    <w:rsid w:val="00AD7D82"/>
    <w:rsid w:val="00AD7D87"/>
    <w:rsid w:val="00AD7DE7"/>
    <w:rsid w:val="00AD7E39"/>
    <w:rsid w:val="00AD7E3E"/>
    <w:rsid w:val="00AD7E46"/>
    <w:rsid w:val="00AD7E4F"/>
    <w:rsid w:val="00AD7E65"/>
    <w:rsid w:val="00AD7F16"/>
    <w:rsid w:val="00AD7F8F"/>
    <w:rsid w:val="00AD7F91"/>
    <w:rsid w:val="00AD7FD0"/>
    <w:rsid w:val="00AE0019"/>
    <w:rsid w:val="00AE0031"/>
    <w:rsid w:val="00AE00A9"/>
    <w:rsid w:val="00AE00FE"/>
    <w:rsid w:val="00AE0116"/>
    <w:rsid w:val="00AE018C"/>
    <w:rsid w:val="00AE01BD"/>
    <w:rsid w:val="00AE01DB"/>
    <w:rsid w:val="00AE01E8"/>
    <w:rsid w:val="00AE01EA"/>
    <w:rsid w:val="00AE01FC"/>
    <w:rsid w:val="00AE0225"/>
    <w:rsid w:val="00AE022F"/>
    <w:rsid w:val="00AE0233"/>
    <w:rsid w:val="00AE0244"/>
    <w:rsid w:val="00AE0248"/>
    <w:rsid w:val="00AE024F"/>
    <w:rsid w:val="00AE0252"/>
    <w:rsid w:val="00AE0256"/>
    <w:rsid w:val="00AE026D"/>
    <w:rsid w:val="00AE02DC"/>
    <w:rsid w:val="00AE02F7"/>
    <w:rsid w:val="00AE02FF"/>
    <w:rsid w:val="00AE0314"/>
    <w:rsid w:val="00AE0330"/>
    <w:rsid w:val="00AE033B"/>
    <w:rsid w:val="00AE033E"/>
    <w:rsid w:val="00AE035A"/>
    <w:rsid w:val="00AE0389"/>
    <w:rsid w:val="00AE03D7"/>
    <w:rsid w:val="00AE03D8"/>
    <w:rsid w:val="00AE042B"/>
    <w:rsid w:val="00AE0440"/>
    <w:rsid w:val="00AE045B"/>
    <w:rsid w:val="00AE0482"/>
    <w:rsid w:val="00AE04A8"/>
    <w:rsid w:val="00AE04DF"/>
    <w:rsid w:val="00AE0528"/>
    <w:rsid w:val="00AE0547"/>
    <w:rsid w:val="00AE054A"/>
    <w:rsid w:val="00AE0562"/>
    <w:rsid w:val="00AE0580"/>
    <w:rsid w:val="00AE058B"/>
    <w:rsid w:val="00AE05B7"/>
    <w:rsid w:val="00AE05C9"/>
    <w:rsid w:val="00AE05CE"/>
    <w:rsid w:val="00AE061E"/>
    <w:rsid w:val="00AE0628"/>
    <w:rsid w:val="00AE0641"/>
    <w:rsid w:val="00AE065A"/>
    <w:rsid w:val="00AE065F"/>
    <w:rsid w:val="00AE0684"/>
    <w:rsid w:val="00AE06C7"/>
    <w:rsid w:val="00AE072C"/>
    <w:rsid w:val="00AE0758"/>
    <w:rsid w:val="00AE075B"/>
    <w:rsid w:val="00AE0774"/>
    <w:rsid w:val="00AE0782"/>
    <w:rsid w:val="00AE0784"/>
    <w:rsid w:val="00AE07B9"/>
    <w:rsid w:val="00AE07CF"/>
    <w:rsid w:val="00AE0800"/>
    <w:rsid w:val="00AE082F"/>
    <w:rsid w:val="00AE0879"/>
    <w:rsid w:val="00AE089D"/>
    <w:rsid w:val="00AE08A4"/>
    <w:rsid w:val="00AE08B9"/>
    <w:rsid w:val="00AE08BB"/>
    <w:rsid w:val="00AE08DD"/>
    <w:rsid w:val="00AE08EE"/>
    <w:rsid w:val="00AE091A"/>
    <w:rsid w:val="00AE0995"/>
    <w:rsid w:val="00AE09BF"/>
    <w:rsid w:val="00AE09D4"/>
    <w:rsid w:val="00AE09D6"/>
    <w:rsid w:val="00AE0A45"/>
    <w:rsid w:val="00AE0A80"/>
    <w:rsid w:val="00AE0AB3"/>
    <w:rsid w:val="00AE0ACF"/>
    <w:rsid w:val="00AE0AF5"/>
    <w:rsid w:val="00AE0B36"/>
    <w:rsid w:val="00AE0B6F"/>
    <w:rsid w:val="00AE0B71"/>
    <w:rsid w:val="00AE0BF7"/>
    <w:rsid w:val="00AE0C16"/>
    <w:rsid w:val="00AE0CAF"/>
    <w:rsid w:val="00AE0CE0"/>
    <w:rsid w:val="00AE0CF6"/>
    <w:rsid w:val="00AE0D33"/>
    <w:rsid w:val="00AE0DE1"/>
    <w:rsid w:val="00AE0DFF"/>
    <w:rsid w:val="00AE0E96"/>
    <w:rsid w:val="00AE0EFD"/>
    <w:rsid w:val="00AE0F14"/>
    <w:rsid w:val="00AE0F2A"/>
    <w:rsid w:val="00AE0F3D"/>
    <w:rsid w:val="00AE0F7D"/>
    <w:rsid w:val="00AE0FD8"/>
    <w:rsid w:val="00AE1035"/>
    <w:rsid w:val="00AE1087"/>
    <w:rsid w:val="00AE109E"/>
    <w:rsid w:val="00AE10D8"/>
    <w:rsid w:val="00AE111C"/>
    <w:rsid w:val="00AE114F"/>
    <w:rsid w:val="00AE11C7"/>
    <w:rsid w:val="00AE1208"/>
    <w:rsid w:val="00AE1238"/>
    <w:rsid w:val="00AE1257"/>
    <w:rsid w:val="00AE1267"/>
    <w:rsid w:val="00AE1275"/>
    <w:rsid w:val="00AE127E"/>
    <w:rsid w:val="00AE12A3"/>
    <w:rsid w:val="00AE12BB"/>
    <w:rsid w:val="00AE131C"/>
    <w:rsid w:val="00AE1329"/>
    <w:rsid w:val="00AE133F"/>
    <w:rsid w:val="00AE136A"/>
    <w:rsid w:val="00AE13CD"/>
    <w:rsid w:val="00AE13D9"/>
    <w:rsid w:val="00AE1402"/>
    <w:rsid w:val="00AE140F"/>
    <w:rsid w:val="00AE147E"/>
    <w:rsid w:val="00AE148C"/>
    <w:rsid w:val="00AE1491"/>
    <w:rsid w:val="00AE14C8"/>
    <w:rsid w:val="00AE1517"/>
    <w:rsid w:val="00AE16A6"/>
    <w:rsid w:val="00AE16CA"/>
    <w:rsid w:val="00AE16CD"/>
    <w:rsid w:val="00AE16F7"/>
    <w:rsid w:val="00AE1704"/>
    <w:rsid w:val="00AE172A"/>
    <w:rsid w:val="00AE174E"/>
    <w:rsid w:val="00AE175E"/>
    <w:rsid w:val="00AE17B7"/>
    <w:rsid w:val="00AE17F4"/>
    <w:rsid w:val="00AE1816"/>
    <w:rsid w:val="00AE1827"/>
    <w:rsid w:val="00AE182A"/>
    <w:rsid w:val="00AE1856"/>
    <w:rsid w:val="00AE1879"/>
    <w:rsid w:val="00AE187C"/>
    <w:rsid w:val="00AE18AF"/>
    <w:rsid w:val="00AE18B7"/>
    <w:rsid w:val="00AE190E"/>
    <w:rsid w:val="00AE1920"/>
    <w:rsid w:val="00AE192B"/>
    <w:rsid w:val="00AE1964"/>
    <w:rsid w:val="00AE198B"/>
    <w:rsid w:val="00AE199F"/>
    <w:rsid w:val="00AE19A2"/>
    <w:rsid w:val="00AE19FF"/>
    <w:rsid w:val="00AE1A25"/>
    <w:rsid w:val="00AE1A4A"/>
    <w:rsid w:val="00AE1A50"/>
    <w:rsid w:val="00AE1A86"/>
    <w:rsid w:val="00AE1B15"/>
    <w:rsid w:val="00AE1B20"/>
    <w:rsid w:val="00AE1B26"/>
    <w:rsid w:val="00AE1B2C"/>
    <w:rsid w:val="00AE1B52"/>
    <w:rsid w:val="00AE1B66"/>
    <w:rsid w:val="00AE1B76"/>
    <w:rsid w:val="00AE1B80"/>
    <w:rsid w:val="00AE1BD4"/>
    <w:rsid w:val="00AE1BDB"/>
    <w:rsid w:val="00AE1BE1"/>
    <w:rsid w:val="00AE1C1F"/>
    <w:rsid w:val="00AE1C44"/>
    <w:rsid w:val="00AE1C5A"/>
    <w:rsid w:val="00AE1C78"/>
    <w:rsid w:val="00AE1CBD"/>
    <w:rsid w:val="00AE1CC5"/>
    <w:rsid w:val="00AE1D20"/>
    <w:rsid w:val="00AE1D57"/>
    <w:rsid w:val="00AE1D5F"/>
    <w:rsid w:val="00AE1DBF"/>
    <w:rsid w:val="00AE1E02"/>
    <w:rsid w:val="00AE1E37"/>
    <w:rsid w:val="00AE1E3C"/>
    <w:rsid w:val="00AE1E4E"/>
    <w:rsid w:val="00AE1E78"/>
    <w:rsid w:val="00AE1E81"/>
    <w:rsid w:val="00AE1ECB"/>
    <w:rsid w:val="00AE1F2E"/>
    <w:rsid w:val="00AE1F35"/>
    <w:rsid w:val="00AE1F65"/>
    <w:rsid w:val="00AE1F6F"/>
    <w:rsid w:val="00AE1FA8"/>
    <w:rsid w:val="00AE1FBE"/>
    <w:rsid w:val="00AE1FE3"/>
    <w:rsid w:val="00AE1FE8"/>
    <w:rsid w:val="00AE201E"/>
    <w:rsid w:val="00AE2020"/>
    <w:rsid w:val="00AE2028"/>
    <w:rsid w:val="00AE2036"/>
    <w:rsid w:val="00AE2051"/>
    <w:rsid w:val="00AE205A"/>
    <w:rsid w:val="00AE206D"/>
    <w:rsid w:val="00AE2077"/>
    <w:rsid w:val="00AE2097"/>
    <w:rsid w:val="00AE20B0"/>
    <w:rsid w:val="00AE20B1"/>
    <w:rsid w:val="00AE2121"/>
    <w:rsid w:val="00AE213F"/>
    <w:rsid w:val="00AE2191"/>
    <w:rsid w:val="00AE21A7"/>
    <w:rsid w:val="00AE21F5"/>
    <w:rsid w:val="00AE2246"/>
    <w:rsid w:val="00AE2255"/>
    <w:rsid w:val="00AE228A"/>
    <w:rsid w:val="00AE22E0"/>
    <w:rsid w:val="00AE22F1"/>
    <w:rsid w:val="00AE233F"/>
    <w:rsid w:val="00AE2348"/>
    <w:rsid w:val="00AE238A"/>
    <w:rsid w:val="00AE23C8"/>
    <w:rsid w:val="00AE23FC"/>
    <w:rsid w:val="00AE2489"/>
    <w:rsid w:val="00AE2498"/>
    <w:rsid w:val="00AE24DD"/>
    <w:rsid w:val="00AE2522"/>
    <w:rsid w:val="00AE2543"/>
    <w:rsid w:val="00AE254F"/>
    <w:rsid w:val="00AE2551"/>
    <w:rsid w:val="00AE25A0"/>
    <w:rsid w:val="00AE25CD"/>
    <w:rsid w:val="00AE25DF"/>
    <w:rsid w:val="00AE25ED"/>
    <w:rsid w:val="00AE25F8"/>
    <w:rsid w:val="00AE2604"/>
    <w:rsid w:val="00AE263E"/>
    <w:rsid w:val="00AE2647"/>
    <w:rsid w:val="00AE264E"/>
    <w:rsid w:val="00AE26C4"/>
    <w:rsid w:val="00AE26F3"/>
    <w:rsid w:val="00AE26F4"/>
    <w:rsid w:val="00AE276B"/>
    <w:rsid w:val="00AE2787"/>
    <w:rsid w:val="00AE2798"/>
    <w:rsid w:val="00AE279F"/>
    <w:rsid w:val="00AE27FA"/>
    <w:rsid w:val="00AE281C"/>
    <w:rsid w:val="00AE2833"/>
    <w:rsid w:val="00AE2844"/>
    <w:rsid w:val="00AE2849"/>
    <w:rsid w:val="00AE289B"/>
    <w:rsid w:val="00AE2910"/>
    <w:rsid w:val="00AE2911"/>
    <w:rsid w:val="00AE293A"/>
    <w:rsid w:val="00AE293D"/>
    <w:rsid w:val="00AE2943"/>
    <w:rsid w:val="00AE2975"/>
    <w:rsid w:val="00AE2988"/>
    <w:rsid w:val="00AE29A6"/>
    <w:rsid w:val="00AE29D9"/>
    <w:rsid w:val="00AE2A1F"/>
    <w:rsid w:val="00AE2A2A"/>
    <w:rsid w:val="00AE2A2B"/>
    <w:rsid w:val="00AE2A3B"/>
    <w:rsid w:val="00AE2A40"/>
    <w:rsid w:val="00AE2A4D"/>
    <w:rsid w:val="00AE2A58"/>
    <w:rsid w:val="00AE2A94"/>
    <w:rsid w:val="00AE2AA0"/>
    <w:rsid w:val="00AE2AE8"/>
    <w:rsid w:val="00AE2B35"/>
    <w:rsid w:val="00AE2B65"/>
    <w:rsid w:val="00AE2B90"/>
    <w:rsid w:val="00AE2B9A"/>
    <w:rsid w:val="00AE2BAE"/>
    <w:rsid w:val="00AE2BD3"/>
    <w:rsid w:val="00AE2BDF"/>
    <w:rsid w:val="00AE2C0E"/>
    <w:rsid w:val="00AE2C20"/>
    <w:rsid w:val="00AE2C23"/>
    <w:rsid w:val="00AE2C3D"/>
    <w:rsid w:val="00AE2C52"/>
    <w:rsid w:val="00AE2C5C"/>
    <w:rsid w:val="00AE2C9C"/>
    <w:rsid w:val="00AE2CA8"/>
    <w:rsid w:val="00AE2CCE"/>
    <w:rsid w:val="00AE2D05"/>
    <w:rsid w:val="00AE2D5B"/>
    <w:rsid w:val="00AE2D80"/>
    <w:rsid w:val="00AE2DE8"/>
    <w:rsid w:val="00AE2E04"/>
    <w:rsid w:val="00AE2E07"/>
    <w:rsid w:val="00AE2E18"/>
    <w:rsid w:val="00AE2E41"/>
    <w:rsid w:val="00AE2E57"/>
    <w:rsid w:val="00AE2E75"/>
    <w:rsid w:val="00AE2E86"/>
    <w:rsid w:val="00AE2E90"/>
    <w:rsid w:val="00AE2E9B"/>
    <w:rsid w:val="00AE2EA1"/>
    <w:rsid w:val="00AE2F13"/>
    <w:rsid w:val="00AE2F51"/>
    <w:rsid w:val="00AE2F57"/>
    <w:rsid w:val="00AE2F9E"/>
    <w:rsid w:val="00AE2FC2"/>
    <w:rsid w:val="00AE2FD5"/>
    <w:rsid w:val="00AE2FEE"/>
    <w:rsid w:val="00AE3010"/>
    <w:rsid w:val="00AE302F"/>
    <w:rsid w:val="00AE3051"/>
    <w:rsid w:val="00AE3075"/>
    <w:rsid w:val="00AE30AC"/>
    <w:rsid w:val="00AE30BC"/>
    <w:rsid w:val="00AE30CD"/>
    <w:rsid w:val="00AE30D9"/>
    <w:rsid w:val="00AE30E2"/>
    <w:rsid w:val="00AE30EA"/>
    <w:rsid w:val="00AE311E"/>
    <w:rsid w:val="00AE316C"/>
    <w:rsid w:val="00AE31A4"/>
    <w:rsid w:val="00AE31B0"/>
    <w:rsid w:val="00AE31D0"/>
    <w:rsid w:val="00AE3224"/>
    <w:rsid w:val="00AE322B"/>
    <w:rsid w:val="00AE324B"/>
    <w:rsid w:val="00AE326A"/>
    <w:rsid w:val="00AE326C"/>
    <w:rsid w:val="00AE32A2"/>
    <w:rsid w:val="00AE32E7"/>
    <w:rsid w:val="00AE32F2"/>
    <w:rsid w:val="00AE330C"/>
    <w:rsid w:val="00AE33B7"/>
    <w:rsid w:val="00AE33C4"/>
    <w:rsid w:val="00AE33EA"/>
    <w:rsid w:val="00AE33FB"/>
    <w:rsid w:val="00AE3499"/>
    <w:rsid w:val="00AE349D"/>
    <w:rsid w:val="00AE34C1"/>
    <w:rsid w:val="00AE34C3"/>
    <w:rsid w:val="00AE34C7"/>
    <w:rsid w:val="00AE34D0"/>
    <w:rsid w:val="00AE3532"/>
    <w:rsid w:val="00AE354C"/>
    <w:rsid w:val="00AE3556"/>
    <w:rsid w:val="00AE356B"/>
    <w:rsid w:val="00AE3574"/>
    <w:rsid w:val="00AE358F"/>
    <w:rsid w:val="00AE35D1"/>
    <w:rsid w:val="00AE35D4"/>
    <w:rsid w:val="00AE35DA"/>
    <w:rsid w:val="00AE35E1"/>
    <w:rsid w:val="00AE35E5"/>
    <w:rsid w:val="00AE3627"/>
    <w:rsid w:val="00AE362B"/>
    <w:rsid w:val="00AE363C"/>
    <w:rsid w:val="00AE3662"/>
    <w:rsid w:val="00AE3666"/>
    <w:rsid w:val="00AE3668"/>
    <w:rsid w:val="00AE3757"/>
    <w:rsid w:val="00AE3772"/>
    <w:rsid w:val="00AE3791"/>
    <w:rsid w:val="00AE37A6"/>
    <w:rsid w:val="00AE37E1"/>
    <w:rsid w:val="00AE37E7"/>
    <w:rsid w:val="00AE3824"/>
    <w:rsid w:val="00AE387F"/>
    <w:rsid w:val="00AE3881"/>
    <w:rsid w:val="00AE3897"/>
    <w:rsid w:val="00AE38C5"/>
    <w:rsid w:val="00AE3906"/>
    <w:rsid w:val="00AE396B"/>
    <w:rsid w:val="00AE397F"/>
    <w:rsid w:val="00AE3987"/>
    <w:rsid w:val="00AE39BA"/>
    <w:rsid w:val="00AE3A0C"/>
    <w:rsid w:val="00AE3A0F"/>
    <w:rsid w:val="00AE3A1A"/>
    <w:rsid w:val="00AE3A48"/>
    <w:rsid w:val="00AE3A83"/>
    <w:rsid w:val="00AE3A9B"/>
    <w:rsid w:val="00AE3AA7"/>
    <w:rsid w:val="00AE3AB8"/>
    <w:rsid w:val="00AE3ACE"/>
    <w:rsid w:val="00AE3B19"/>
    <w:rsid w:val="00AE3B56"/>
    <w:rsid w:val="00AE3B58"/>
    <w:rsid w:val="00AE3B63"/>
    <w:rsid w:val="00AE3B77"/>
    <w:rsid w:val="00AE3BAB"/>
    <w:rsid w:val="00AE3BB7"/>
    <w:rsid w:val="00AE3C29"/>
    <w:rsid w:val="00AE3C31"/>
    <w:rsid w:val="00AE3CAD"/>
    <w:rsid w:val="00AE3CBB"/>
    <w:rsid w:val="00AE3CEA"/>
    <w:rsid w:val="00AE3D08"/>
    <w:rsid w:val="00AE3D45"/>
    <w:rsid w:val="00AE3D9B"/>
    <w:rsid w:val="00AE3DAC"/>
    <w:rsid w:val="00AE3E01"/>
    <w:rsid w:val="00AE3E08"/>
    <w:rsid w:val="00AE3E27"/>
    <w:rsid w:val="00AE3E2D"/>
    <w:rsid w:val="00AE3E2E"/>
    <w:rsid w:val="00AE3E38"/>
    <w:rsid w:val="00AE3E5F"/>
    <w:rsid w:val="00AE3E93"/>
    <w:rsid w:val="00AE3ED1"/>
    <w:rsid w:val="00AE3EF0"/>
    <w:rsid w:val="00AE3EF5"/>
    <w:rsid w:val="00AE3F00"/>
    <w:rsid w:val="00AE3F02"/>
    <w:rsid w:val="00AE3F26"/>
    <w:rsid w:val="00AE3F81"/>
    <w:rsid w:val="00AE3F9A"/>
    <w:rsid w:val="00AE3F9B"/>
    <w:rsid w:val="00AE3FBF"/>
    <w:rsid w:val="00AE3FC5"/>
    <w:rsid w:val="00AE3FD8"/>
    <w:rsid w:val="00AE4001"/>
    <w:rsid w:val="00AE4012"/>
    <w:rsid w:val="00AE4064"/>
    <w:rsid w:val="00AE40B4"/>
    <w:rsid w:val="00AE40D0"/>
    <w:rsid w:val="00AE40DE"/>
    <w:rsid w:val="00AE40EB"/>
    <w:rsid w:val="00AE4105"/>
    <w:rsid w:val="00AE412F"/>
    <w:rsid w:val="00AE416B"/>
    <w:rsid w:val="00AE418F"/>
    <w:rsid w:val="00AE4191"/>
    <w:rsid w:val="00AE419B"/>
    <w:rsid w:val="00AE41A3"/>
    <w:rsid w:val="00AE41A7"/>
    <w:rsid w:val="00AE41E1"/>
    <w:rsid w:val="00AE41F7"/>
    <w:rsid w:val="00AE4207"/>
    <w:rsid w:val="00AE420E"/>
    <w:rsid w:val="00AE424F"/>
    <w:rsid w:val="00AE42A8"/>
    <w:rsid w:val="00AE42B0"/>
    <w:rsid w:val="00AE42C4"/>
    <w:rsid w:val="00AE42FA"/>
    <w:rsid w:val="00AE4318"/>
    <w:rsid w:val="00AE4335"/>
    <w:rsid w:val="00AE43B0"/>
    <w:rsid w:val="00AE43C6"/>
    <w:rsid w:val="00AE43F2"/>
    <w:rsid w:val="00AE441F"/>
    <w:rsid w:val="00AE443C"/>
    <w:rsid w:val="00AE444C"/>
    <w:rsid w:val="00AE444E"/>
    <w:rsid w:val="00AE4455"/>
    <w:rsid w:val="00AE4489"/>
    <w:rsid w:val="00AE4499"/>
    <w:rsid w:val="00AE449E"/>
    <w:rsid w:val="00AE4536"/>
    <w:rsid w:val="00AE45C4"/>
    <w:rsid w:val="00AE45C8"/>
    <w:rsid w:val="00AE45CC"/>
    <w:rsid w:val="00AE45E4"/>
    <w:rsid w:val="00AE45F8"/>
    <w:rsid w:val="00AE462B"/>
    <w:rsid w:val="00AE4648"/>
    <w:rsid w:val="00AE4689"/>
    <w:rsid w:val="00AE4699"/>
    <w:rsid w:val="00AE469B"/>
    <w:rsid w:val="00AE46AE"/>
    <w:rsid w:val="00AE471C"/>
    <w:rsid w:val="00AE4741"/>
    <w:rsid w:val="00AE4786"/>
    <w:rsid w:val="00AE47BA"/>
    <w:rsid w:val="00AE47CC"/>
    <w:rsid w:val="00AE47F8"/>
    <w:rsid w:val="00AE4800"/>
    <w:rsid w:val="00AE4803"/>
    <w:rsid w:val="00AE480B"/>
    <w:rsid w:val="00AE4827"/>
    <w:rsid w:val="00AE487F"/>
    <w:rsid w:val="00AE48B3"/>
    <w:rsid w:val="00AE48C1"/>
    <w:rsid w:val="00AE48EF"/>
    <w:rsid w:val="00AE493E"/>
    <w:rsid w:val="00AE4972"/>
    <w:rsid w:val="00AE4998"/>
    <w:rsid w:val="00AE4999"/>
    <w:rsid w:val="00AE49EE"/>
    <w:rsid w:val="00AE4A3C"/>
    <w:rsid w:val="00AE4A40"/>
    <w:rsid w:val="00AE4AE9"/>
    <w:rsid w:val="00AE4AF8"/>
    <w:rsid w:val="00AE4AFB"/>
    <w:rsid w:val="00AE4B03"/>
    <w:rsid w:val="00AE4B2C"/>
    <w:rsid w:val="00AE4B36"/>
    <w:rsid w:val="00AE4B5B"/>
    <w:rsid w:val="00AE4B8B"/>
    <w:rsid w:val="00AE4C00"/>
    <w:rsid w:val="00AE4C1E"/>
    <w:rsid w:val="00AE4C82"/>
    <w:rsid w:val="00AE4C8B"/>
    <w:rsid w:val="00AE4CCA"/>
    <w:rsid w:val="00AE4CE2"/>
    <w:rsid w:val="00AE4D0C"/>
    <w:rsid w:val="00AE4D21"/>
    <w:rsid w:val="00AE4D2F"/>
    <w:rsid w:val="00AE4D60"/>
    <w:rsid w:val="00AE4D91"/>
    <w:rsid w:val="00AE4DA0"/>
    <w:rsid w:val="00AE4DF9"/>
    <w:rsid w:val="00AE4E1B"/>
    <w:rsid w:val="00AE4E73"/>
    <w:rsid w:val="00AE4E7E"/>
    <w:rsid w:val="00AE4E80"/>
    <w:rsid w:val="00AE4E8C"/>
    <w:rsid w:val="00AE4EAD"/>
    <w:rsid w:val="00AE4EE1"/>
    <w:rsid w:val="00AE4EEF"/>
    <w:rsid w:val="00AE4F0F"/>
    <w:rsid w:val="00AE4F54"/>
    <w:rsid w:val="00AE4FE6"/>
    <w:rsid w:val="00AE4FFD"/>
    <w:rsid w:val="00AE5020"/>
    <w:rsid w:val="00AE502C"/>
    <w:rsid w:val="00AE5070"/>
    <w:rsid w:val="00AE507C"/>
    <w:rsid w:val="00AE508C"/>
    <w:rsid w:val="00AE50A1"/>
    <w:rsid w:val="00AE50DA"/>
    <w:rsid w:val="00AE5106"/>
    <w:rsid w:val="00AE512D"/>
    <w:rsid w:val="00AE5162"/>
    <w:rsid w:val="00AE5186"/>
    <w:rsid w:val="00AE51AC"/>
    <w:rsid w:val="00AE51F6"/>
    <w:rsid w:val="00AE520F"/>
    <w:rsid w:val="00AE521D"/>
    <w:rsid w:val="00AE524A"/>
    <w:rsid w:val="00AE5262"/>
    <w:rsid w:val="00AE5288"/>
    <w:rsid w:val="00AE528B"/>
    <w:rsid w:val="00AE52AF"/>
    <w:rsid w:val="00AE52C4"/>
    <w:rsid w:val="00AE52C5"/>
    <w:rsid w:val="00AE52CE"/>
    <w:rsid w:val="00AE532A"/>
    <w:rsid w:val="00AE5334"/>
    <w:rsid w:val="00AE5349"/>
    <w:rsid w:val="00AE536A"/>
    <w:rsid w:val="00AE5466"/>
    <w:rsid w:val="00AE5481"/>
    <w:rsid w:val="00AE5496"/>
    <w:rsid w:val="00AE54C0"/>
    <w:rsid w:val="00AE54C2"/>
    <w:rsid w:val="00AE54E3"/>
    <w:rsid w:val="00AE5511"/>
    <w:rsid w:val="00AE5522"/>
    <w:rsid w:val="00AE5532"/>
    <w:rsid w:val="00AE5546"/>
    <w:rsid w:val="00AE555F"/>
    <w:rsid w:val="00AE5575"/>
    <w:rsid w:val="00AE5586"/>
    <w:rsid w:val="00AE559A"/>
    <w:rsid w:val="00AE55D0"/>
    <w:rsid w:val="00AE55DA"/>
    <w:rsid w:val="00AE5632"/>
    <w:rsid w:val="00AE569B"/>
    <w:rsid w:val="00AE569E"/>
    <w:rsid w:val="00AE56C8"/>
    <w:rsid w:val="00AE56CE"/>
    <w:rsid w:val="00AE56DA"/>
    <w:rsid w:val="00AE56ED"/>
    <w:rsid w:val="00AE5764"/>
    <w:rsid w:val="00AE5768"/>
    <w:rsid w:val="00AE5781"/>
    <w:rsid w:val="00AE5792"/>
    <w:rsid w:val="00AE57A5"/>
    <w:rsid w:val="00AE57B7"/>
    <w:rsid w:val="00AE57E9"/>
    <w:rsid w:val="00AE57FB"/>
    <w:rsid w:val="00AE5849"/>
    <w:rsid w:val="00AE5857"/>
    <w:rsid w:val="00AE585F"/>
    <w:rsid w:val="00AE5860"/>
    <w:rsid w:val="00AE5863"/>
    <w:rsid w:val="00AE58A2"/>
    <w:rsid w:val="00AE58BB"/>
    <w:rsid w:val="00AE58C7"/>
    <w:rsid w:val="00AE58EF"/>
    <w:rsid w:val="00AE58FB"/>
    <w:rsid w:val="00AE5917"/>
    <w:rsid w:val="00AE5930"/>
    <w:rsid w:val="00AE5951"/>
    <w:rsid w:val="00AE595D"/>
    <w:rsid w:val="00AE598E"/>
    <w:rsid w:val="00AE59AE"/>
    <w:rsid w:val="00AE59B8"/>
    <w:rsid w:val="00AE59CA"/>
    <w:rsid w:val="00AE5A96"/>
    <w:rsid w:val="00AE5AAA"/>
    <w:rsid w:val="00AE5AC6"/>
    <w:rsid w:val="00AE5ADB"/>
    <w:rsid w:val="00AE5ADC"/>
    <w:rsid w:val="00AE5B5C"/>
    <w:rsid w:val="00AE5B68"/>
    <w:rsid w:val="00AE5B86"/>
    <w:rsid w:val="00AE5B91"/>
    <w:rsid w:val="00AE5BC8"/>
    <w:rsid w:val="00AE5BDC"/>
    <w:rsid w:val="00AE5BFE"/>
    <w:rsid w:val="00AE5C1B"/>
    <w:rsid w:val="00AE5C66"/>
    <w:rsid w:val="00AE5C70"/>
    <w:rsid w:val="00AE5C7F"/>
    <w:rsid w:val="00AE5C98"/>
    <w:rsid w:val="00AE5D40"/>
    <w:rsid w:val="00AE5D56"/>
    <w:rsid w:val="00AE5D76"/>
    <w:rsid w:val="00AE5D89"/>
    <w:rsid w:val="00AE5DE4"/>
    <w:rsid w:val="00AE5E28"/>
    <w:rsid w:val="00AE5E2C"/>
    <w:rsid w:val="00AE5E3E"/>
    <w:rsid w:val="00AE5E56"/>
    <w:rsid w:val="00AE5E5E"/>
    <w:rsid w:val="00AE5EB6"/>
    <w:rsid w:val="00AE5EC9"/>
    <w:rsid w:val="00AE5ECE"/>
    <w:rsid w:val="00AE5EF4"/>
    <w:rsid w:val="00AE5F10"/>
    <w:rsid w:val="00AE5F38"/>
    <w:rsid w:val="00AE5F57"/>
    <w:rsid w:val="00AE5F9D"/>
    <w:rsid w:val="00AE5FAB"/>
    <w:rsid w:val="00AE5FE1"/>
    <w:rsid w:val="00AE5FF4"/>
    <w:rsid w:val="00AE5FF6"/>
    <w:rsid w:val="00AE5FFB"/>
    <w:rsid w:val="00AE6102"/>
    <w:rsid w:val="00AE611F"/>
    <w:rsid w:val="00AE613C"/>
    <w:rsid w:val="00AE61BE"/>
    <w:rsid w:val="00AE61DE"/>
    <w:rsid w:val="00AE61FE"/>
    <w:rsid w:val="00AE61FF"/>
    <w:rsid w:val="00AE620B"/>
    <w:rsid w:val="00AE620F"/>
    <w:rsid w:val="00AE6210"/>
    <w:rsid w:val="00AE6244"/>
    <w:rsid w:val="00AE624A"/>
    <w:rsid w:val="00AE624E"/>
    <w:rsid w:val="00AE626B"/>
    <w:rsid w:val="00AE62A0"/>
    <w:rsid w:val="00AE62D7"/>
    <w:rsid w:val="00AE62EF"/>
    <w:rsid w:val="00AE630F"/>
    <w:rsid w:val="00AE6314"/>
    <w:rsid w:val="00AE6335"/>
    <w:rsid w:val="00AE6344"/>
    <w:rsid w:val="00AE63BB"/>
    <w:rsid w:val="00AE63BC"/>
    <w:rsid w:val="00AE63CD"/>
    <w:rsid w:val="00AE63D5"/>
    <w:rsid w:val="00AE63F9"/>
    <w:rsid w:val="00AE6418"/>
    <w:rsid w:val="00AE6431"/>
    <w:rsid w:val="00AE645C"/>
    <w:rsid w:val="00AE6469"/>
    <w:rsid w:val="00AE649B"/>
    <w:rsid w:val="00AE64AB"/>
    <w:rsid w:val="00AE64BA"/>
    <w:rsid w:val="00AE64C3"/>
    <w:rsid w:val="00AE64E4"/>
    <w:rsid w:val="00AE6503"/>
    <w:rsid w:val="00AE6508"/>
    <w:rsid w:val="00AE6548"/>
    <w:rsid w:val="00AE658E"/>
    <w:rsid w:val="00AE65A0"/>
    <w:rsid w:val="00AE65BB"/>
    <w:rsid w:val="00AE65D2"/>
    <w:rsid w:val="00AE65D3"/>
    <w:rsid w:val="00AE65D5"/>
    <w:rsid w:val="00AE65F9"/>
    <w:rsid w:val="00AE6640"/>
    <w:rsid w:val="00AE6662"/>
    <w:rsid w:val="00AE6678"/>
    <w:rsid w:val="00AE6694"/>
    <w:rsid w:val="00AE679C"/>
    <w:rsid w:val="00AE67D5"/>
    <w:rsid w:val="00AE67D6"/>
    <w:rsid w:val="00AE67F9"/>
    <w:rsid w:val="00AE68A7"/>
    <w:rsid w:val="00AE68B1"/>
    <w:rsid w:val="00AE68BC"/>
    <w:rsid w:val="00AE68E8"/>
    <w:rsid w:val="00AE6928"/>
    <w:rsid w:val="00AE692D"/>
    <w:rsid w:val="00AE6930"/>
    <w:rsid w:val="00AE6962"/>
    <w:rsid w:val="00AE698D"/>
    <w:rsid w:val="00AE69C8"/>
    <w:rsid w:val="00AE69D2"/>
    <w:rsid w:val="00AE69D9"/>
    <w:rsid w:val="00AE69E3"/>
    <w:rsid w:val="00AE69EE"/>
    <w:rsid w:val="00AE69F2"/>
    <w:rsid w:val="00AE6A29"/>
    <w:rsid w:val="00AE6A61"/>
    <w:rsid w:val="00AE6A9B"/>
    <w:rsid w:val="00AE6AAF"/>
    <w:rsid w:val="00AE6AB0"/>
    <w:rsid w:val="00AE6AF2"/>
    <w:rsid w:val="00AE6B46"/>
    <w:rsid w:val="00AE6B63"/>
    <w:rsid w:val="00AE6BE6"/>
    <w:rsid w:val="00AE6C45"/>
    <w:rsid w:val="00AE6C55"/>
    <w:rsid w:val="00AE6C69"/>
    <w:rsid w:val="00AE6C7E"/>
    <w:rsid w:val="00AE6C84"/>
    <w:rsid w:val="00AE6CB7"/>
    <w:rsid w:val="00AE6CC6"/>
    <w:rsid w:val="00AE6CDC"/>
    <w:rsid w:val="00AE6D15"/>
    <w:rsid w:val="00AE6D35"/>
    <w:rsid w:val="00AE6D7A"/>
    <w:rsid w:val="00AE6D7C"/>
    <w:rsid w:val="00AE6D93"/>
    <w:rsid w:val="00AE6DA8"/>
    <w:rsid w:val="00AE6DC7"/>
    <w:rsid w:val="00AE6E2C"/>
    <w:rsid w:val="00AE6E36"/>
    <w:rsid w:val="00AE6E52"/>
    <w:rsid w:val="00AE6E67"/>
    <w:rsid w:val="00AE6E9D"/>
    <w:rsid w:val="00AE6EC3"/>
    <w:rsid w:val="00AE6F5E"/>
    <w:rsid w:val="00AE6F63"/>
    <w:rsid w:val="00AE6F7F"/>
    <w:rsid w:val="00AE6FA5"/>
    <w:rsid w:val="00AE6FC5"/>
    <w:rsid w:val="00AE6FD0"/>
    <w:rsid w:val="00AE6FD7"/>
    <w:rsid w:val="00AE7009"/>
    <w:rsid w:val="00AE7036"/>
    <w:rsid w:val="00AE70CB"/>
    <w:rsid w:val="00AE70D7"/>
    <w:rsid w:val="00AE7105"/>
    <w:rsid w:val="00AE710D"/>
    <w:rsid w:val="00AE7188"/>
    <w:rsid w:val="00AE71A5"/>
    <w:rsid w:val="00AE71D1"/>
    <w:rsid w:val="00AE71EC"/>
    <w:rsid w:val="00AE7202"/>
    <w:rsid w:val="00AE7216"/>
    <w:rsid w:val="00AE723B"/>
    <w:rsid w:val="00AE728A"/>
    <w:rsid w:val="00AE72BD"/>
    <w:rsid w:val="00AE72BE"/>
    <w:rsid w:val="00AE72C7"/>
    <w:rsid w:val="00AE72DA"/>
    <w:rsid w:val="00AE731B"/>
    <w:rsid w:val="00AE7336"/>
    <w:rsid w:val="00AE7369"/>
    <w:rsid w:val="00AE736B"/>
    <w:rsid w:val="00AE737E"/>
    <w:rsid w:val="00AE73C2"/>
    <w:rsid w:val="00AE73D9"/>
    <w:rsid w:val="00AE7416"/>
    <w:rsid w:val="00AE7425"/>
    <w:rsid w:val="00AE747A"/>
    <w:rsid w:val="00AE74C7"/>
    <w:rsid w:val="00AE7507"/>
    <w:rsid w:val="00AE7513"/>
    <w:rsid w:val="00AE7547"/>
    <w:rsid w:val="00AE7552"/>
    <w:rsid w:val="00AE7557"/>
    <w:rsid w:val="00AE7558"/>
    <w:rsid w:val="00AE756E"/>
    <w:rsid w:val="00AE7584"/>
    <w:rsid w:val="00AE75AA"/>
    <w:rsid w:val="00AE75AB"/>
    <w:rsid w:val="00AE75FF"/>
    <w:rsid w:val="00AE7612"/>
    <w:rsid w:val="00AE7617"/>
    <w:rsid w:val="00AE7633"/>
    <w:rsid w:val="00AE7645"/>
    <w:rsid w:val="00AE7683"/>
    <w:rsid w:val="00AE76BD"/>
    <w:rsid w:val="00AE773A"/>
    <w:rsid w:val="00AE7741"/>
    <w:rsid w:val="00AE7798"/>
    <w:rsid w:val="00AE77AD"/>
    <w:rsid w:val="00AE77B1"/>
    <w:rsid w:val="00AE7816"/>
    <w:rsid w:val="00AE781A"/>
    <w:rsid w:val="00AE7824"/>
    <w:rsid w:val="00AE7855"/>
    <w:rsid w:val="00AE7856"/>
    <w:rsid w:val="00AE7870"/>
    <w:rsid w:val="00AE78B3"/>
    <w:rsid w:val="00AE7917"/>
    <w:rsid w:val="00AE792F"/>
    <w:rsid w:val="00AE794E"/>
    <w:rsid w:val="00AE796F"/>
    <w:rsid w:val="00AE798A"/>
    <w:rsid w:val="00AE7996"/>
    <w:rsid w:val="00AE79A5"/>
    <w:rsid w:val="00AE79AD"/>
    <w:rsid w:val="00AE7A19"/>
    <w:rsid w:val="00AE7A25"/>
    <w:rsid w:val="00AE7A28"/>
    <w:rsid w:val="00AE7A33"/>
    <w:rsid w:val="00AE7A37"/>
    <w:rsid w:val="00AE7A3E"/>
    <w:rsid w:val="00AE7A4C"/>
    <w:rsid w:val="00AE7A57"/>
    <w:rsid w:val="00AE7AE2"/>
    <w:rsid w:val="00AE7AEB"/>
    <w:rsid w:val="00AE7B51"/>
    <w:rsid w:val="00AE7B61"/>
    <w:rsid w:val="00AE7B6D"/>
    <w:rsid w:val="00AE7B71"/>
    <w:rsid w:val="00AE7B75"/>
    <w:rsid w:val="00AE7C0B"/>
    <w:rsid w:val="00AE7C0E"/>
    <w:rsid w:val="00AE7C6D"/>
    <w:rsid w:val="00AE7C9F"/>
    <w:rsid w:val="00AE7CEA"/>
    <w:rsid w:val="00AE7CF1"/>
    <w:rsid w:val="00AE7D3B"/>
    <w:rsid w:val="00AE7DA7"/>
    <w:rsid w:val="00AE7DE1"/>
    <w:rsid w:val="00AE7E8B"/>
    <w:rsid w:val="00AE7E93"/>
    <w:rsid w:val="00AE7EF2"/>
    <w:rsid w:val="00AE7F50"/>
    <w:rsid w:val="00AE7F59"/>
    <w:rsid w:val="00AE7F5E"/>
    <w:rsid w:val="00AE7F90"/>
    <w:rsid w:val="00AE7FB5"/>
    <w:rsid w:val="00AE7FD5"/>
    <w:rsid w:val="00AF0014"/>
    <w:rsid w:val="00AF00A3"/>
    <w:rsid w:val="00AF00BB"/>
    <w:rsid w:val="00AF00DB"/>
    <w:rsid w:val="00AF00DF"/>
    <w:rsid w:val="00AF00F7"/>
    <w:rsid w:val="00AF0128"/>
    <w:rsid w:val="00AF017F"/>
    <w:rsid w:val="00AF019E"/>
    <w:rsid w:val="00AF01A0"/>
    <w:rsid w:val="00AF01A3"/>
    <w:rsid w:val="00AF01A4"/>
    <w:rsid w:val="00AF01D2"/>
    <w:rsid w:val="00AF01DB"/>
    <w:rsid w:val="00AF01DE"/>
    <w:rsid w:val="00AF01E6"/>
    <w:rsid w:val="00AF022B"/>
    <w:rsid w:val="00AF0271"/>
    <w:rsid w:val="00AF02C0"/>
    <w:rsid w:val="00AF02D1"/>
    <w:rsid w:val="00AF02F2"/>
    <w:rsid w:val="00AF02FE"/>
    <w:rsid w:val="00AF0313"/>
    <w:rsid w:val="00AF032E"/>
    <w:rsid w:val="00AF0337"/>
    <w:rsid w:val="00AF035B"/>
    <w:rsid w:val="00AF0373"/>
    <w:rsid w:val="00AF038A"/>
    <w:rsid w:val="00AF039B"/>
    <w:rsid w:val="00AF03C4"/>
    <w:rsid w:val="00AF03E1"/>
    <w:rsid w:val="00AF0410"/>
    <w:rsid w:val="00AF0433"/>
    <w:rsid w:val="00AF0469"/>
    <w:rsid w:val="00AF049D"/>
    <w:rsid w:val="00AF0502"/>
    <w:rsid w:val="00AF051E"/>
    <w:rsid w:val="00AF05A9"/>
    <w:rsid w:val="00AF05D8"/>
    <w:rsid w:val="00AF0668"/>
    <w:rsid w:val="00AF067F"/>
    <w:rsid w:val="00AF06E1"/>
    <w:rsid w:val="00AF0729"/>
    <w:rsid w:val="00AF0743"/>
    <w:rsid w:val="00AF0755"/>
    <w:rsid w:val="00AF078F"/>
    <w:rsid w:val="00AF07B5"/>
    <w:rsid w:val="00AF07D0"/>
    <w:rsid w:val="00AF07F1"/>
    <w:rsid w:val="00AF07F6"/>
    <w:rsid w:val="00AF080E"/>
    <w:rsid w:val="00AF0843"/>
    <w:rsid w:val="00AF0857"/>
    <w:rsid w:val="00AF085C"/>
    <w:rsid w:val="00AF08C4"/>
    <w:rsid w:val="00AF090C"/>
    <w:rsid w:val="00AF0952"/>
    <w:rsid w:val="00AF098C"/>
    <w:rsid w:val="00AF09DB"/>
    <w:rsid w:val="00AF09EE"/>
    <w:rsid w:val="00AF0A21"/>
    <w:rsid w:val="00AF0A49"/>
    <w:rsid w:val="00AF0A6F"/>
    <w:rsid w:val="00AF0ADB"/>
    <w:rsid w:val="00AF0AF8"/>
    <w:rsid w:val="00AF0B24"/>
    <w:rsid w:val="00AF0B44"/>
    <w:rsid w:val="00AF0B70"/>
    <w:rsid w:val="00AF0B73"/>
    <w:rsid w:val="00AF0B7C"/>
    <w:rsid w:val="00AF0B85"/>
    <w:rsid w:val="00AF0B96"/>
    <w:rsid w:val="00AF0BD8"/>
    <w:rsid w:val="00AF0C60"/>
    <w:rsid w:val="00AF0C7F"/>
    <w:rsid w:val="00AF0C82"/>
    <w:rsid w:val="00AF0C8C"/>
    <w:rsid w:val="00AF0C91"/>
    <w:rsid w:val="00AF0CAF"/>
    <w:rsid w:val="00AF0CB6"/>
    <w:rsid w:val="00AF0D2E"/>
    <w:rsid w:val="00AF0D38"/>
    <w:rsid w:val="00AF0D61"/>
    <w:rsid w:val="00AF0DBA"/>
    <w:rsid w:val="00AF0DFC"/>
    <w:rsid w:val="00AF0E08"/>
    <w:rsid w:val="00AF0E94"/>
    <w:rsid w:val="00AF0E99"/>
    <w:rsid w:val="00AF0E9F"/>
    <w:rsid w:val="00AF0F0C"/>
    <w:rsid w:val="00AF0F36"/>
    <w:rsid w:val="00AF103C"/>
    <w:rsid w:val="00AF1045"/>
    <w:rsid w:val="00AF1075"/>
    <w:rsid w:val="00AF10A7"/>
    <w:rsid w:val="00AF10B2"/>
    <w:rsid w:val="00AF10B4"/>
    <w:rsid w:val="00AF10CD"/>
    <w:rsid w:val="00AF10D0"/>
    <w:rsid w:val="00AF10E2"/>
    <w:rsid w:val="00AF10E5"/>
    <w:rsid w:val="00AF10EE"/>
    <w:rsid w:val="00AF111B"/>
    <w:rsid w:val="00AF11D8"/>
    <w:rsid w:val="00AF120E"/>
    <w:rsid w:val="00AF122D"/>
    <w:rsid w:val="00AF1250"/>
    <w:rsid w:val="00AF1254"/>
    <w:rsid w:val="00AF125C"/>
    <w:rsid w:val="00AF125E"/>
    <w:rsid w:val="00AF1280"/>
    <w:rsid w:val="00AF1281"/>
    <w:rsid w:val="00AF1286"/>
    <w:rsid w:val="00AF128B"/>
    <w:rsid w:val="00AF12AC"/>
    <w:rsid w:val="00AF12FF"/>
    <w:rsid w:val="00AF131A"/>
    <w:rsid w:val="00AF133B"/>
    <w:rsid w:val="00AF138E"/>
    <w:rsid w:val="00AF13EE"/>
    <w:rsid w:val="00AF13F6"/>
    <w:rsid w:val="00AF1423"/>
    <w:rsid w:val="00AF142C"/>
    <w:rsid w:val="00AF1477"/>
    <w:rsid w:val="00AF1498"/>
    <w:rsid w:val="00AF14A3"/>
    <w:rsid w:val="00AF14DB"/>
    <w:rsid w:val="00AF1510"/>
    <w:rsid w:val="00AF1546"/>
    <w:rsid w:val="00AF157C"/>
    <w:rsid w:val="00AF15AA"/>
    <w:rsid w:val="00AF161A"/>
    <w:rsid w:val="00AF1640"/>
    <w:rsid w:val="00AF169C"/>
    <w:rsid w:val="00AF16B7"/>
    <w:rsid w:val="00AF16F9"/>
    <w:rsid w:val="00AF177B"/>
    <w:rsid w:val="00AF17A2"/>
    <w:rsid w:val="00AF17B4"/>
    <w:rsid w:val="00AF17D0"/>
    <w:rsid w:val="00AF17F8"/>
    <w:rsid w:val="00AF1855"/>
    <w:rsid w:val="00AF1863"/>
    <w:rsid w:val="00AF18BC"/>
    <w:rsid w:val="00AF18E2"/>
    <w:rsid w:val="00AF18E8"/>
    <w:rsid w:val="00AF1939"/>
    <w:rsid w:val="00AF195A"/>
    <w:rsid w:val="00AF19CE"/>
    <w:rsid w:val="00AF19D8"/>
    <w:rsid w:val="00AF19DE"/>
    <w:rsid w:val="00AF19FC"/>
    <w:rsid w:val="00AF1A44"/>
    <w:rsid w:val="00AF1A5B"/>
    <w:rsid w:val="00AF1A6F"/>
    <w:rsid w:val="00AF1ADD"/>
    <w:rsid w:val="00AF1AF7"/>
    <w:rsid w:val="00AF1B06"/>
    <w:rsid w:val="00AF1C41"/>
    <w:rsid w:val="00AF1C63"/>
    <w:rsid w:val="00AF1C65"/>
    <w:rsid w:val="00AF1C6E"/>
    <w:rsid w:val="00AF1C83"/>
    <w:rsid w:val="00AF1CB5"/>
    <w:rsid w:val="00AF1D02"/>
    <w:rsid w:val="00AF1D1F"/>
    <w:rsid w:val="00AF1D39"/>
    <w:rsid w:val="00AF1D48"/>
    <w:rsid w:val="00AF1D52"/>
    <w:rsid w:val="00AF1D63"/>
    <w:rsid w:val="00AF1D6C"/>
    <w:rsid w:val="00AF1D90"/>
    <w:rsid w:val="00AF1DA0"/>
    <w:rsid w:val="00AF1DD1"/>
    <w:rsid w:val="00AF1DD4"/>
    <w:rsid w:val="00AF1DDC"/>
    <w:rsid w:val="00AF1DEE"/>
    <w:rsid w:val="00AF1DFB"/>
    <w:rsid w:val="00AF1E06"/>
    <w:rsid w:val="00AF1E1F"/>
    <w:rsid w:val="00AF1E72"/>
    <w:rsid w:val="00AF1ECA"/>
    <w:rsid w:val="00AF1EED"/>
    <w:rsid w:val="00AF1F02"/>
    <w:rsid w:val="00AF1F14"/>
    <w:rsid w:val="00AF1F1A"/>
    <w:rsid w:val="00AF1F4F"/>
    <w:rsid w:val="00AF1F87"/>
    <w:rsid w:val="00AF1F98"/>
    <w:rsid w:val="00AF1FA4"/>
    <w:rsid w:val="00AF1FD5"/>
    <w:rsid w:val="00AF2039"/>
    <w:rsid w:val="00AF205B"/>
    <w:rsid w:val="00AF2060"/>
    <w:rsid w:val="00AF206E"/>
    <w:rsid w:val="00AF207E"/>
    <w:rsid w:val="00AF2088"/>
    <w:rsid w:val="00AF20D9"/>
    <w:rsid w:val="00AF20E8"/>
    <w:rsid w:val="00AF20F5"/>
    <w:rsid w:val="00AF20FE"/>
    <w:rsid w:val="00AF210E"/>
    <w:rsid w:val="00AF212C"/>
    <w:rsid w:val="00AF2164"/>
    <w:rsid w:val="00AF21A1"/>
    <w:rsid w:val="00AF21F3"/>
    <w:rsid w:val="00AF225F"/>
    <w:rsid w:val="00AF226D"/>
    <w:rsid w:val="00AF2283"/>
    <w:rsid w:val="00AF22EA"/>
    <w:rsid w:val="00AF234F"/>
    <w:rsid w:val="00AF2369"/>
    <w:rsid w:val="00AF237F"/>
    <w:rsid w:val="00AF238F"/>
    <w:rsid w:val="00AF2418"/>
    <w:rsid w:val="00AF2434"/>
    <w:rsid w:val="00AF24A3"/>
    <w:rsid w:val="00AF24B7"/>
    <w:rsid w:val="00AF24D1"/>
    <w:rsid w:val="00AF24FA"/>
    <w:rsid w:val="00AF2519"/>
    <w:rsid w:val="00AF251E"/>
    <w:rsid w:val="00AF2549"/>
    <w:rsid w:val="00AF257A"/>
    <w:rsid w:val="00AF258A"/>
    <w:rsid w:val="00AF25A1"/>
    <w:rsid w:val="00AF25C6"/>
    <w:rsid w:val="00AF25F0"/>
    <w:rsid w:val="00AF2600"/>
    <w:rsid w:val="00AF2623"/>
    <w:rsid w:val="00AF2627"/>
    <w:rsid w:val="00AF264F"/>
    <w:rsid w:val="00AF2677"/>
    <w:rsid w:val="00AF26AE"/>
    <w:rsid w:val="00AF26D3"/>
    <w:rsid w:val="00AF26F8"/>
    <w:rsid w:val="00AF270A"/>
    <w:rsid w:val="00AF2739"/>
    <w:rsid w:val="00AF27B3"/>
    <w:rsid w:val="00AF27BA"/>
    <w:rsid w:val="00AF27F0"/>
    <w:rsid w:val="00AF27FA"/>
    <w:rsid w:val="00AF2836"/>
    <w:rsid w:val="00AF2868"/>
    <w:rsid w:val="00AF2874"/>
    <w:rsid w:val="00AF28D4"/>
    <w:rsid w:val="00AF2909"/>
    <w:rsid w:val="00AF292A"/>
    <w:rsid w:val="00AF29A9"/>
    <w:rsid w:val="00AF29E4"/>
    <w:rsid w:val="00AF2A01"/>
    <w:rsid w:val="00AF2A11"/>
    <w:rsid w:val="00AF2A1F"/>
    <w:rsid w:val="00AF2A23"/>
    <w:rsid w:val="00AF2A43"/>
    <w:rsid w:val="00AF2A5F"/>
    <w:rsid w:val="00AF2A85"/>
    <w:rsid w:val="00AF2A96"/>
    <w:rsid w:val="00AF2AC2"/>
    <w:rsid w:val="00AF2AEA"/>
    <w:rsid w:val="00AF2AEE"/>
    <w:rsid w:val="00AF2AF0"/>
    <w:rsid w:val="00AF2B23"/>
    <w:rsid w:val="00AF2B26"/>
    <w:rsid w:val="00AF2B46"/>
    <w:rsid w:val="00AF2B55"/>
    <w:rsid w:val="00AF2BCA"/>
    <w:rsid w:val="00AF2BFC"/>
    <w:rsid w:val="00AF2C10"/>
    <w:rsid w:val="00AF2C11"/>
    <w:rsid w:val="00AF2C34"/>
    <w:rsid w:val="00AF2C58"/>
    <w:rsid w:val="00AF2C73"/>
    <w:rsid w:val="00AF2C75"/>
    <w:rsid w:val="00AF2C8D"/>
    <w:rsid w:val="00AF2CBB"/>
    <w:rsid w:val="00AF2CEA"/>
    <w:rsid w:val="00AF2D2B"/>
    <w:rsid w:val="00AF2D69"/>
    <w:rsid w:val="00AF2DAF"/>
    <w:rsid w:val="00AF2DC2"/>
    <w:rsid w:val="00AF2E5B"/>
    <w:rsid w:val="00AF2EBA"/>
    <w:rsid w:val="00AF2EC0"/>
    <w:rsid w:val="00AF2EC2"/>
    <w:rsid w:val="00AF2EF9"/>
    <w:rsid w:val="00AF2F2C"/>
    <w:rsid w:val="00AF2F3A"/>
    <w:rsid w:val="00AF2F62"/>
    <w:rsid w:val="00AF2F6B"/>
    <w:rsid w:val="00AF2F6F"/>
    <w:rsid w:val="00AF2FA2"/>
    <w:rsid w:val="00AF2FA9"/>
    <w:rsid w:val="00AF2FBA"/>
    <w:rsid w:val="00AF2FEB"/>
    <w:rsid w:val="00AF2FF5"/>
    <w:rsid w:val="00AF3055"/>
    <w:rsid w:val="00AF3056"/>
    <w:rsid w:val="00AF306F"/>
    <w:rsid w:val="00AF3074"/>
    <w:rsid w:val="00AF30B7"/>
    <w:rsid w:val="00AF30C2"/>
    <w:rsid w:val="00AF30CB"/>
    <w:rsid w:val="00AF30CE"/>
    <w:rsid w:val="00AF3101"/>
    <w:rsid w:val="00AF314B"/>
    <w:rsid w:val="00AF3185"/>
    <w:rsid w:val="00AF31EB"/>
    <w:rsid w:val="00AF3202"/>
    <w:rsid w:val="00AF320A"/>
    <w:rsid w:val="00AF323A"/>
    <w:rsid w:val="00AF3246"/>
    <w:rsid w:val="00AF3251"/>
    <w:rsid w:val="00AF3259"/>
    <w:rsid w:val="00AF3291"/>
    <w:rsid w:val="00AF32B3"/>
    <w:rsid w:val="00AF32C9"/>
    <w:rsid w:val="00AF32F8"/>
    <w:rsid w:val="00AF331A"/>
    <w:rsid w:val="00AF333D"/>
    <w:rsid w:val="00AF3352"/>
    <w:rsid w:val="00AF3355"/>
    <w:rsid w:val="00AF33A6"/>
    <w:rsid w:val="00AF33C8"/>
    <w:rsid w:val="00AF33F4"/>
    <w:rsid w:val="00AF340F"/>
    <w:rsid w:val="00AF3429"/>
    <w:rsid w:val="00AF3447"/>
    <w:rsid w:val="00AF3466"/>
    <w:rsid w:val="00AF348B"/>
    <w:rsid w:val="00AF348F"/>
    <w:rsid w:val="00AF349E"/>
    <w:rsid w:val="00AF34DB"/>
    <w:rsid w:val="00AF34DC"/>
    <w:rsid w:val="00AF34F9"/>
    <w:rsid w:val="00AF3511"/>
    <w:rsid w:val="00AF3529"/>
    <w:rsid w:val="00AF3551"/>
    <w:rsid w:val="00AF3586"/>
    <w:rsid w:val="00AF35E0"/>
    <w:rsid w:val="00AF35E3"/>
    <w:rsid w:val="00AF35EE"/>
    <w:rsid w:val="00AF3609"/>
    <w:rsid w:val="00AF3620"/>
    <w:rsid w:val="00AF3631"/>
    <w:rsid w:val="00AF3651"/>
    <w:rsid w:val="00AF3665"/>
    <w:rsid w:val="00AF36BA"/>
    <w:rsid w:val="00AF36BB"/>
    <w:rsid w:val="00AF36D7"/>
    <w:rsid w:val="00AF36DF"/>
    <w:rsid w:val="00AF3729"/>
    <w:rsid w:val="00AF373E"/>
    <w:rsid w:val="00AF3746"/>
    <w:rsid w:val="00AF374E"/>
    <w:rsid w:val="00AF3777"/>
    <w:rsid w:val="00AF3790"/>
    <w:rsid w:val="00AF3799"/>
    <w:rsid w:val="00AF37A9"/>
    <w:rsid w:val="00AF37C0"/>
    <w:rsid w:val="00AF37EF"/>
    <w:rsid w:val="00AF3891"/>
    <w:rsid w:val="00AF38F3"/>
    <w:rsid w:val="00AF3907"/>
    <w:rsid w:val="00AF3918"/>
    <w:rsid w:val="00AF3947"/>
    <w:rsid w:val="00AF3953"/>
    <w:rsid w:val="00AF3973"/>
    <w:rsid w:val="00AF3981"/>
    <w:rsid w:val="00AF3993"/>
    <w:rsid w:val="00AF39A4"/>
    <w:rsid w:val="00AF39AF"/>
    <w:rsid w:val="00AF39C2"/>
    <w:rsid w:val="00AF3A34"/>
    <w:rsid w:val="00AF3A75"/>
    <w:rsid w:val="00AF3A89"/>
    <w:rsid w:val="00AF3AFD"/>
    <w:rsid w:val="00AF3B04"/>
    <w:rsid w:val="00AF3B07"/>
    <w:rsid w:val="00AF3B3E"/>
    <w:rsid w:val="00AF3B41"/>
    <w:rsid w:val="00AF3B69"/>
    <w:rsid w:val="00AF3B7B"/>
    <w:rsid w:val="00AF3B7E"/>
    <w:rsid w:val="00AF3B96"/>
    <w:rsid w:val="00AF3BF4"/>
    <w:rsid w:val="00AF3C1E"/>
    <w:rsid w:val="00AF3C3A"/>
    <w:rsid w:val="00AF3C4B"/>
    <w:rsid w:val="00AF3C64"/>
    <w:rsid w:val="00AF3CCD"/>
    <w:rsid w:val="00AF3CDC"/>
    <w:rsid w:val="00AF3D27"/>
    <w:rsid w:val="00AF3D53"/>
    <w:rsid w:val="00AF3D6F"/>
    <w:rsid w:val="00AF3D71"/>
    <w:rsid w:val="00AF3D96"/>
    <w:rsid w:val="00AF3DF6"/>
    <w:rsid w:val="00AF3E42"/>
    <w:rsid w:val="00AF3E5C"/>
    <w:rsid w:val="00AF3E61"/>
    <w:rsid w:val="00AF3EFD"/>
    <w:rsid w:val="00AF3F0B"/>
    <w:rsid w:val="00AF3F62"/>
    <w:rsid w:val="00AF3FAA"/>
    <w:rsid w:val="00AF3FBD"/>
    <w:rsid w:val="00AF3FC8"/>
    <w:rsid w:val="00AF3FFC"/>
    <w:rsid w:val="00AF4000"/>
    <w:rsid w:val="00AF4046"/>
    <w:rsid w:val="00AF408A"/>
    <w:rsid w:val="00AF40BD"/>
    <w:rsid w:val="00AF40D1"/>
    <w:rsid w:val="00AF40E4"/>
    <w:rsid w:val="00AF40F9"/>
    <w:rsid w:val="00AF40FD"/>
    <w:rsid w:val="00AF411C"/>
    <w:rsid w:val="00AF41B2"/>
    <w:rsid w:val="00AF41CB"/>
    <w:rsid w:val="00AF41F1"/>
    <w:rsid w:val="00AF4216"/>
    <w:rsid w:val="00AF4239"/>
    <w:rsid w:val="00AF4253"/>
    <w:rsid w:val="00AF427A"/>
    <w:rsid w:val="00AF428D"/>
    <w:rsid w:val="00AF42C1"/>
    <w:rsid w:val="00AF4321"/>
    <w:rsid w:val="00AF436D"/>
    <w:rsid w:val="00AF43C3"/>
    <w:rsid w:val="00AF43E1"/>
    <w:rsid w:val="00AF4414"/>
    <w:rsid w:val="00AF4446"/>
    <w:rsid w:val="00AF44A0"/>
    <w:rsid w:val="00AF451B"/>
    <w:rsid w:val="00AF4555"/>
    <w:rsid w:val="00AF4560"/>
    <w:rsid w:val="00AF4568"/>
    <w:rsid w:val="00AF4569"/>
    <w:rsid w:val="00AF457D"/>
    <w:rsid w:val="00AF45BB"/>
    <w:rsid w:val="00AF45DC"/>
    <w:rsid w:val="00AF45E6"/>
    <w:rsid w:val="00AF4604"/>
    <w:rsid w:val="00AF4651"/>
    <w:rsid w:val="00AF4661"/>
    <w:rsid w:val="00AF4678"/>
    <w:rsid w:val="00AF468C"/>
    <w:rsid w:val="00AF4696"/>
    <w:rsid w:val="00AF46B7"/>
    <w:rsid w:val="00AF46BA"/>
    <w:rsid w:val="00AF46C9"/>
    <w:rsid w:val="00AF4712"/>
    <w:rsid w:val="00AF4728"/>
    <w:rsid w:val="00AF473A"/>
    <w:rsid w:val="00AF474A"/>
    <w:rsid w:val="00AF47EC"/>
    <w:rsid w:val="00AF47FA"/>
    <w:rsid w:val="00AF4834"/>
    <w:rsid w:val="00AF4849"/>
    <w:rsid w:val="00AF487A"/>
    <w:rsid w:val="00AF489B"/>
    <w:rsid w:val="00AF48BB"/>
    <w:rsid w:val="00AF4910"/>
    <w:rsid w:val="00AF492F"/>
    <w:rsid w:val="00AF4932"/>
    <w:rsid w:val="00AF4958"/>
    <w:rsid w:val="00AF495B"/>
    <w:rsid w:val="00AF4963"/>
    <w:rsid w:val="00AF4967"/>
    <w:rsid w:val="00AF4969"/>
    <w:rsid w:val="00AF49BE"/>
    <w:rsid w:val="00AF49DE"/>
    <w:rsid w:val="00AF49FC"/>
    <w:rsid w:val="00AF4A54"/>
    <w:rsid w:val="00AF4A6A"/>
    <w:rsid w:val="00AF4AA5"/>
    <w:rsid w:val="00AF4AE5"/>
    <w:rsid w:val="00AF4AFB"/>
    <w:rsid w:val="00AF4B1E"/>
    <w:rsid w:val="00AF4B94"/>
    <w:rsid w:val="00AF4BAB"/>
    <w:rsid w:val="00AF4BB0"/>
    <w:rsid w:val="00AF4BE5"/>
    <w:rsid w:val="00AF4BF9"/>
    <w:rsid w:val="00AF4C09"/>
    <w:rsid w:val="00AF4C6F"/>
    <w:rsid w:val="00AF4C79"/>
    <w:rsid w:val="00AF4CA6"/>
    <w:rsid w:val="00AF4CFE"/>
    <w:rsid w:val="00AF4D1B"/>
    <w:rsid w:val="00AF4D32"/>
    <w:rsid w:val="00AF4D3A"/>
    <w:rsid w:val="00AF4DBF"/>
    <w:rsid w:val="00AF4DC6"/>
    <w:rsid w:val="00AF4DF1"/>
    <w:rsid w:val="00AF4E1C"/>
    <w:rsid w:val="00AF4E47"/>
    <w:rsid w:val="00AF4E87"/>
    <w:rsid w:val="00AF4EBF"/>
    <w:rsid w:val="00AF4ED4"/>
    <w:rsid w:val="00AF4EFF"/>
    <w:rsid w:val="00AF4F03"/>
    <w:rsid w:val="00AF4F2B"/>
    <w:rsid w:val="00AF4F3C"/>
    <w:rsid w:val="00AF4FC3"/>
    <w:rsid w:val="00AF5044"/>
    <w:rsid w:val="00AF504B"/>
    <w:rsid w:val="00AF5050"/>
    <w:rsid w:val="00AF5067"/>
    <w:rsid w:val="00AF50F0"/>
    <w:rsid w:val="00AF50FA"/>
    <w:rsid w:val="00AF5125"/>
    <w:rsid w:val="00AF5166"/>
    <w:rsid w:val="00AF5186"/>
    <w:rsid w:val="00AF5191"/>
    <w:rsid w:val="00AF51A5"/>
    <w:rsid w:val="00AF51F1"/>
    <w:rsid w:val="00AF5207"/>
    <w:rsid w:val="00AF5211"/>
    <w:rsid w:val="00AF5236"/>
    <w:rsid w:val="00AF5238"/>
    <w:rsid w:val="00AF524E"/>
    <w:rsid w:val="00AF526C"/>
    <w:rsid w:val="00AF529B"/>
    <w:rsid w:val="00AF52B2"/>
    <w:rsid w:val="00AF5359"/>
    <w:rsid w:val="00AF53AD"/>
    <w:rsid w:val="00AF53B2"/>
    <w:rsid w:val="00AF5435"/>
    <w:rsid w:val="00AF5467"/>
    <w:rsid w:val="00AF546F"/>
    <w:rsid w:val="00AF547C"/>
    <w:rsid w:val="00AF5499"/>
    <w:rsid w:val="00AF54BF"/>
    <w:rsid w:val="00AF553C"/>
    <w:rsid w:val="00AF553F"/>
    <w:rsid w:val="00AF5540"/>
    <w:rsid w:val="00AF5546"/>
    <w:rsid w:val="00AF55DF"/>
    <w:rsid w:val="00AF5614"/>
    <w:rsid w:val="00AF5667"/>
    <w:rsid w:val="00AF5668"/>
    <w:rsid w:val="00AF5670"/>
    <w:rsid w:val="00AF5696"/>
    <w:rsid w:val="00AF56BF"/>
    <w:rsid w:val="00AF56E7"/>
    <w:rsid w:val="00AF56F0"/>
    <w:rsid w:val="00AF5744"/>
    <w:rsid w:val="00AF574E"/>
    <w:rsid w:val="00AF5775"/>
    <w:rsid w:val="00AF57B0"/>
    <w:rsid w:val="00AF57C2"/>
    <w:rsid w:val="00AF57D4"/>
    <w:rsid w:val="00AF57EE"/>
    <w:rsid w:val="00AF586A"/>
    <w:rsid w:val="00AF5876"/>
    <w:rsid w:val="00AF589F"/>
    <w:rsid w:val="00AF5914"/>
    <w:rsid w:val="00AF5921"/>
    <w:rsid w:val="00AF592F"/>
    <w:rsid w:val="00AF59EE"/>
    <w:rsid w:val="00AF5A09"/>
    <w:rsid w:val="00AF5A4C"/>
    <w:rsid w:val="00AF5A5A"/>
    <w:rsid w:val="00AF5A6E"/>
    <w:rsid w:val="00AF5A8F"/>
    <w:rsid w:val="00AF5AC5"/>
    <w:rsid w:val="00AF5ADF"/>
    <w:rsid w:val="00AF5AF6"/>
    <w:rsid w:val="00AF5B1E"/>
    <w:rsid w:val="00AF5B2A"/>
    <w:rsid w:val="00AF5B35"/>
    <w:rsid w:val="00AF5B3E"/>
    <w:rsid w:val="00AF5B3F"/>
    <w:rsid w:val="00AF5B75"/>
    <w:rsid w:val="00AF5B76"/>
    <w:rsid w:val="00AF5B8A"/>
    <w:rsid w:val="00AF5BD8"/>
    <w:rsid w:val="00AF5BEA"/>
    <w:rsid w:val="00AF5C3B"/>
    <w:rsid w:val="00AF5C65"/>
    <w:rsid w:val="00AF5C66"/>
    <w:rsid w:val="00AF5C7F"/>
    <w:rsid w:val="00AF5CB2"/>
    <w:rsid w:val="00AF5CC1"/>
    <w:rsid w:val="00AF5CE7"/>
    <w:rsid w:val="00AF5CF6"/>
    <w:rsid w:val="00AF5D1E"/>
    <w:rsid w:val="00AF5D38"/>
    <w:rsid w:val="00AF5D49"/>
    <w:rsid w:val="00AF5DAB"/>
    <w:rsid w:val="00AF5DCF"/>
    <w:rsid w:val="00AF5DD5"/>
    <w:rsid w:val="00AF5E70"/>
    <w:rsid w:val="00AF5E83"/>
    <w:rsid w:val="00AF5EB3"/>
    <w:rsid w:val="00AF5F22"/>
    <w:rsid w:val="00AF5F97"/>
    <w:rsid w:val="00AF5FC7"/>
    <w:rsid w:val="00AF5FCB"/>
    <w:rsid w:val="00AF5FD6"/>
    <w:rsid w:val="00AF5FD7"/>
    <w:rsid w:val="00AF5FFB"/>
    <w:rsid w:val="00AF600E"/>
    <w:rsid w:val="00AF603E"/>
    <w:rsid w:val="00AF605F"/>
    <w:rsid w:val="00AF6068"/>
    <w:rsid w:val="00AF6098"/>
    <w:rsid w:val="00AF60AA"/>
    <w:rsid w:val="00AF60B7"/>
    <w:rsid w:val="00AF60EA"/>
    <w:rsid w:val="00AF615A"/>
    <w:rsid w:val="00AF61C8"/>
    <w:rsid w:val="00AF61EA"/>
    <w:rsid w:val="00AF6220"/>
    <w:rsid w:val="00AF6249"/>
    <w:rsid w:val="00AF6251"/>
    <w:rsid w:val="00AF6261"/>
    <w:rsid w:val="00AF6276"/>
    <w:rsid w:val="00AF6286"/>
    <w:rsid w:val="00AF6287"/>
    <w:rsid w:val="00AF628B"/>
    <w:rsid w:val="00AF62F3"/>
    <w:rsid w:val="00AF6312"/>
    <w:rsid w:val="00AF634E"/>
    <w:rsid w:val="00AF63A9"/>
    <w:rsid w:val="00AF63D5"/>
    <w:rsid w:val="00AF63FB"/>
    <w:rsid w:val="00AF6421"/>
    <w:rsid w:val="00AF643D"/>
    <w:rsid w:val="00AF645A"/>
    <w:rsid w:val="00AF6462"/>
    <w:rsid w:val="00AF647F"/>
    <w:rsid w:val="00AF64B6"/>
    <w:rsid w:val="00AF64FC"/>
    <w:rsid w:val="00AF6549"/>
    <w:rsid w:val="00AF6588"/>
    <w:rsid w:val="00AF65D0"/>
    <w:rsid w:val="00AF65D5"/>
    <w:rsid w:val="00AF65E5"/>
    <w:rsid w:val="00AF6626"/>
    <w:rsid w:val="00AF6642"/>
    <w:rsid w:val="00AF6676"/>
    <w:rsid w:val="00AF667B"/>
    <w:rsid w:val="00AF669D"/>
    <w:rsid w:val="00AF6729"/>
    <w:rsid w:val="00AF675F"/>
    <w:rsid w:val="00AF6769"/>
    <w:rsid w:val="00AF676A"/>
    <w:rsid w:val="00AF67D7"/>
    <w:rsid w:val="00AF67F3"/>
    <w:rsid w:val="00AF6807"/>
    <w:rsid w:val="00AF682F"/>
    <w:rsid w:val="00AF6853"/>
    <w:rsid w:val="00AF6865"/>
    <w:rsid w:val="00AF6888"/>
    <w:rsid w:val="00AF68CE"/>
    <w:rsid w:val="00AF68FF"/>
    <w:rsid w:val="00AF6912"/>
    <w:rsid w:val="00AF6922"/>
    <w:rsid w:val="00AF6936"/>
    <w:rsid w:val="00AF694B"/>
    <w:rsid w:val="00AF6963"/>
    <w:rsid w:val="00AF6978"/>
    <w:rsid w:val="00AF6990"/>
    <w:rsid w:val="00AF69DA"/>
    <w:rsid w:val="00AF69EB"/>
    <w:rsid w:val="00AF6A1B"/>
    <w:rsid w:val="00AF6A32"/>
    <w:rsid w:val="00AF6A41"/>
    <w:rsid w:val="00AF6A5A"/>
    <w:rsid w:val="00AF6A61"/>
    <w:rsid w:val="00AF6AFD"/>
    <w:rsid w:val="00AF6B03"/>
    <w:rsid w:val="00AF6B2C"/>
    <w:rsid w:val="00AF6B4D"/>
    <w:rsid w:val="00AF6B6D"/>
    <w:rsid w:val="00AF6B6E"/>
    <w:rsid w:val="00AF6BA3"/>
    <w:rsid w:val="00AF6BAC"/>
    <w:rsid w:val="00AF6C07"/>
    <w:rsid w:val="00AF6C0F"/>
    <w:rsid w:val="00AF6C1B"/>
    <w:rsid w:val="00AF6C24"/>
    <w:rsid w:val="00AF6C2D"/>
    <w:rsid w:val="00AF6C52"/>
    <w:rsid w:val="00AF6CB2"/>
    <w:rsid w:val="00AF6CBB"/>
    <w:rsid w:val="00AF6CDC"/>
    <w:rsid w:val="00AF6D01"/>
    <w:rsid w:val="00AF6D1F"/>
    <w:rsid w:val="00AF6D43"/>
    <w:rsid w:val="00AF6D46"/>
    <w:rsid w:val="00AF6DC4"/>
    <w:rsid w:val="00AF6DCA"/>
    <w:rsid w:val="00AF6DFC"/>
    <w:rsid w:val="00AF6E17"/>
    <w:rsid w:val="00AF6E3D"/>
    <w:rsid w:val="00AF6E4C"/>
    <w:rsid w:val="00AF6E7C"/>
    <w:rsid w:val="00AF6EB4"/>
    <w:rsid w:val="00AF6EFC"/>
    <w:rsid w:val="00AF6F2F"/>
    <w:rsid w:val="00AF6F3E"/>
    <w:rsid w:val="00AF6F41"/>
    <w:rsid w:val="00AF6F88"/>
    <w:rsid w:val="00AF6F8B"/>
    <w:rsid w:val="00AF6FB8"/>
    <w:rsid w:val="00AF6FCF"/>
    <w:rsid w:val="00AF6FD9"/>
    <w:rsid w:val="00AF7055"/>
    <w:rsid w:val="00AF7062"/>
    <w:rsid w:val="00AF7093"/>
    <w:rsid w:val="00AF7095"/>
    <w:rsid w:val="00AF70E9"/>
    <w:rsid w:val="00AF70FC"/>
    <w:rsid w:val="00AF7125"/>
    <w:rsid w:val="00AF713E"/>
    <w:rsid w:val="00AF71B0"/>
    <w:rsid w:val="00AF71C1"/>
    <w:rsid w:val="00AF7214"/>
    <w:rsid w:val="00AF7225"/>
    <w:rsid w:val="00AF725A"/>
    <w:rsid w:val="00AF725F"/>
    <w:rsid w:val="00AF7278"/>
    <w:rsid w:val="00AF727B"/>
    <w:rsid w:val="00AF727F"/>
    <w:rsid w:val="00AF7295"/>
    <w:rsid w:val="00AF72B6"/>
    <w:rsid w:val="00AF7315"/>
    <w:rsid w:val="00AF732D"/>
    <w:rsid w:val="00AF7338"/>
    <w:rsid w:val="00AF7341"/>
    <w:rsid w:val="00AF7358"/>
    <w:rsid w:val="00AF7363"/>
    <w:rsid w:val="00AF7364"/>
    <w:rsid w:val="00AF737C"/>
    <w:rsid w:val="00AF7382"/>
    <w:rsid w:val="00AF73A5"/>
    <w:rsid w:val="00AF73C2"/>
    <w:rsid w:val="00AF73CC"/>
    <w:rsid w:val="00AF7436"/>
    <w:rsid w:val="00AF7459"/>
    <w:rsid w:val="00AF7475"/>
    <w:rsid w:val="00AF749B"/>
    <w:rsid w:val="00AF7554"/>
    <w:rsid w:val="00AF757D"/>
    <w:rsid w:val="00AF758C"/>
    <w:rsid w:val="00AF7599"/>
    <w:rsid w:val="00AF75AB"/>
    <w:rsid w:val="00AF75FC"/>
    <w:rsid w:val="00AF764B"/>
    <w:rsid w:val="00AF7673"/>
    <w:rsid w:val="00AF76AE"/>
    <w:rsid w:val="00AF771C"/>
    <w:rsid w:val="00AF773E"/>
    <w:rsid w:val="00AF7743"/>
    <w:rsid w:val="00AF7744"/>
    <w:rsid w:val="00AF7752"/>
    <w:rsid w:val="00AF77B6"/>
    <w:rsid w:val="00AF77D6"/>
    <w:rsid w:val="00AF77FF"/>
    <w:rsid w:val="00AF7809"/>
    <w:rsid w:val="00AF780C"/>
    <w:rsid w:val="00AF7827"/>
    <w:rsid w:val="00AF782D"/>
    <w:rsid w:val="00AF7838"/>
    <w:rsid w:val="00AF7855"/>
    <w:rsid w:val="00AF78DD"/>
    <w:rsid w:val="00AF78E5"/>
    <w:rsid w:val="00AF78EA"/>
    <w:rsid w:val="00AF78EB"/>
    <w:rsid w:val="00AF78FD"/>
    <w:rsid w:val="00AF790B"/>
    <w:rsid w:val="00AF7936"/>
    <w:rsid w:val="00AF7956"/>
    <w:rsid w:val="00AF7988"/>
    <w:rsid w:val="00AF798A"/>
    <w:rsid w:val="00AF79A2"/>
    <w:rsid w:val="00AF79AD"/>
    <w:rsid w:val="00AF79DD"/>
    <w:rsid w:val="00AF7A19"/>
    <w:rsid w:val="00AF7A1F"/>
    <w:rsid w:val="00AF7A49"/>
    <w:rsid w:val="00AF7A6E"/>
    <w:rsid w:val="00AF7AA0"/>
    <w:rsid w:val="00AF7AF4"/>
    <w:rsid w:val="00AF7BD0"/>
    <w:rsid w:val="00AF7BDA"/>
    <w:rsid w:val="00AF7BDD"/>
    <w:rsid w:val="00AF7C29"/>
    <w:rsid w:val="00AF7C2F"/>
    <w:rsid w:val="00AF7C61"/>
    <w:rsid w:val="00AF7C7E"/>
    <w:rsid w:val="00AF7C86"/>
    <w:rsid w:val="00AF7C93"/>
    <w:rsid w:val="00AF7CCC"/>
    <w:rsid w:val="00AF7CFD"/>
    <w:rsid w:val="00AF7D5E"/>
    <w:rsid w:val="00AF7DB3"/>
    <w:rsid w:val="00AF7E06"/>
    <w:rsid w:val="00AF7E4D"/>
    <w:rsid w:val="00AF7E5E"/>
    <w:rsid w:val="00AF7E65"/>
    <w:rsid w:val="00AF7E78"/>
    <w:rsid w:val="00AF7E8F"/>
    <w:rsid w:val="00AF7EA8"/>
    <w:rsid w:val="00AF7EBE"/>
    <w:rsid w:val="00AF7F07"/>
    <w:rsid w:val="00AF7F24"/>
    <w:rsid w:val="00AF7F56"/>
    <w:rsid w:val="00AF7FBE"/>
    <w:rsid w:val="00AFDFA2"/>
    <w:rsid w:val="00AFEE22"/>
    <w:rsid w:val="00AFFFCF"/>
    <w:rsid w:val="00B0001A"/>
    <w:rsid w:val="00B00072"/>
    <w:rsid w:val="00B00083"/>
    <w:rsid w:val="00B000BB"/>
    <w:rsid w:val="00B000C3"/>
    <w:rsid w:val="00B000CB"/>
    <w:rsid w:val="00B00120"/>
    <w:rsid w:val="00B001F0"/>
    <w:rsid w:val="00B001F2"/>
    <w:rsid w:val="00B002AE"/>
    <w:rsid w:val="00B002EA"/>
    <w:rsid w:val="00B0030C"/>
    <w:rsid w:val="00B00343"/>
    <w:rsid w:val="00B0037B"/>
    <w:rsid w:val="00B00383"/>
    <w:rsid w:val="00B00384"/>
    <w:rsid w:val="00B003BF"/>
    <w:rsid w:val="00B003C4"/>
    <w:rsid w:val="00B003CE"/>
    <w:rsid w:val="00B0040F"/>
    <w:rsid w:val="00B00422"/>
    <w:rsid w:val="00B00443"/>
    <w:rsid w:val="00B0044D"/>
    <w:rsid w:val="00B0053F"/>
    <w:rsid w:val="00B005E2"/>
    <w:rsid w:val="00B005E7"/>
    <w:rsid w:val="00B00653"/>
    <w:rsid w:val="00B0069B"/>
    <w:rsid w:val="00B006A2"/>
    <w:rsid w:val="00B006B5"/>
    <w:rsid w:val="00B006D0"/>
    <w:rsid w:val="00B00711"/>
    <w:rsid w:val="00B00717"/>
    <w:rsid w:val="00B0073E"/>
    <w:rsid w:val="00B00760"/>
    <w:rsid w:val="00B0076F"/>
    <w:rsid w:val="00B0079E"/>
    <w:rsid w:val="00B007B7"/>
    <w:rsid w:val="00B007C6"/>
    <w:rsid w:val="00B00832"/>
    <w:rsid w:val="00B0086B"/>
    <w:rsid w:val="00B00870"/>
    <w:rsid w:val="00B008DA"/>
    <w:rsid w:val="00B00934"/>
    <w:rsid w:val="00B00948"/>
    <w:rsid w:val="00B00952"/>
    <w:rsid w:val="00B00953"/>
    <w:rsid w:val="00B00964"/>
    <w:rsid w:val="00B00965"/>
    <w:rsid w:val="00B0096D"/>
    <w:rsid w:val="00B0097E"/>
    <w:rsid w:val="00B00991"/>
    <w:rsid w:val="00B00A1D"/>
    <w:rsid w:val="00B00A6D"/>
    <w:rsid w:val="00B00ADB"/>
    <w:rsid w:val="00B00AE1"/>
    <w:rsid w:val="00B00AED"/>
    <w:rsid w:val="00B00AFA"/>
    <w:rsid w:val="00B00B16"/>
    <w:rsid w:val="00B00B2B"/>
    <w:rsid w:val="00B00BBF"/>
    <w:rsid w:val="00B00C21"/>
    <w:rsid w:val="00B00C93"/>
    <w:rsid w:val="00B00CD3"/>
    <w:rsid w:val="00B00D31"/>
    <w:rsid w:val="00B00D6C"/>
    <w:rsid w:val="00B00DD4"/>
    <w:rsid w:val="00B00DF9"/>
    <w:rsid w:val="00B00E0D"/>
    <w:rsid w:val="00B00E1F"/>
    <w:rsid w:val="00B00E2D"/>
    <w:rsid w:val="00B00E74"/>
    <w:rsid w:val="00B00E9A"/>
    <w:rsid w:val="00B00E9E"/>
    <w:rsid w:val="00B00EDB"/>
    <w:rsid w:val="00B00EF0"/>
    <w:rsid w:val="00B00F02"/>
    <w:rsid w:val="00B00F1A"/>
    <w:rsid w:val="00B00F3A"/>
    <w:rsid w:val="00B00F80"/>
    <w:rsid w:val="00B00FA5"/>
    <w:rsid w:val="00B00FAD"/>
    <w:rsid w:val="00B00FCE"/>
    <w:rsid w:val="00B01039"/>
    <w:rsid w:val="00B0104B"/>
    <w:rsid w:val="00B01087"/>
    <w:rsid w:val="00B01088"/>
    <w:rsid w:val="00B0112A"/>
    <w:rsid w:val="00B011CB"/>
    <w:rsid w:val="00B0121F"/>
    <w:rsid w:val="00B0124A"/>
    <w:rsid w:val="00B01254"/>
    <w:rsid w:val="00B01267"/>
    <w:rsid w:val="00B012C4"/>
    <w:rsid w:val="00B012C8"/>
    <w:rsid w:val="00B01307"/>
    <w:rsid w:val="00B01337"/>
    <w:rsid w:val="00B0134C"/>
    <w:rsid w:val="00B01350"/>
    <w:rsid w:val="00B01361"/>
    <w:rsid w:val="00B01366"/>
    <w:rsid w:val="00B013B9"/>
    <w:rsid w:val="00B01434"/>
    <w:rsid w:val="00B0143C"/>
    <w:rsid w:val="00B014C3"/>
    <w:rsid w:val="00B0150B"/>
    <w:rsid w:val="00B01510"/>
    <w:rsid w:val="00B01517"/>
    <w:rsid w:val="00B01532"/>
    <w:rsid w:val="00B0153F"/>
    <w:rsid w:val="00B0154C"/>
    <w:rsid w:val="00B0156C"/>
    <w:rsid w:val="00B01579"/>
    <w:rsid w:val="00B0157C"/>
    <w:rsid w:val="00B015C7"/>
    <w:rsid w:val="00B015DB"/>
    <w:rsid w:val="00B015DF"/>
    <w:rsid w:val="00B01615"/>
    <w:rsid w:val="00B01641"/>
    <w:rsid w:val="00B0164D"/>
    <w:rsid w:val="00B0168B"/>
    <w:rsid w:val="00B01694"/>
    <w:rsid w:val="00B016FA"/>
    <w:rsid w:val="00B016FE"/>
    <w:rsid w:val="00B01764"/>
    <w:rsid w:val="00B0176E"/>
    <w:rsid w:val="00B01772"/>
    <w:rsid w:val="00B01784"/>
    <w:rsid w:val="00B0178D"/>
    <w:rsid w:val="00B017BE"/>
    <w:rsid w:val="00B017CC"/>
    <w:rsid w:val="00B017DC"/>
    <w:rsid w:val="00B017F4"/>
    <w:rsid w:val="00B0180D"/>
    <w:rsid w:val="00B01868"/>
    <w:rsid w:val="00B01870"/>
    <w:rsid w:val="00B01875"/>
    <w:rsid w:val="00B0189A"/>
    <w:rsid w:val="00B018F9"/>
    <w:rsid w:val="00B018FE"/>
    <w:rsid w:val="00B01946"/>
    <w:rsid w:val="00B0194D"/>
    <w:rsid w:val="00B019B6"/>
    <w:rsid w:val="00B019B8"/>
    <w:rsid w:val="00B019D1"/>
    <w:rsid w:val="00B01A10"/>
    <w:rsid w:val="00B01A11"/>
    <w:rsid w:val="00B01A3E"/>
    <w:rsid w:val="00B01A72"/>
    <w:rsid w:val="00B01A7D"/>
    <w:rsid w:val="00B01AAA"/>
    <w:rsid w:val="00B01AE3"/>
    <w:rsid w:val="00B01B71"/>
    <w:rsid w:val="00B01B85"/>
    <w:rsid w:val="00B01B98"/>
    <w:rsid w:val="00B01BCD"/>
    <w:rsid w:val="00B01BE5"/>
    <w:rsid w:val="00B01C03"/>
    <w:rsid w:val="00B01C66"/>
    <w:rsid w:val="00B01C6B"/>
    <w:rsid w:val="00B01C79"/>
    <w:rsid w:val="00B01CD4"/>
    <w:rsid w:val="00B01D00"/>
    <w:rsid w:val="00B01D93"/>
    <w:rsid w:val="00B01DDD"/>
    <w:rsid w:val="00B01E02"/>
    <w:rsid w:val="00B01E14"/>
    <w:rsid w:val="00B01E37"/>
    <w:rsid w:val="00B01E51"/>
    <w:rsid w:val="00B01E68"/>
    <w:rsid w:val="00B01EC2"/>
    <w:rsid w:val="00B01EC5"/>
    <w:rsid w:val="00B01EFF"/>
    <w:rsid w:val="00B01F07"/>
    <w:rsid w:val="00B01F13"/>
    <w:rsid w:val="00B01F20"/>
    <w:rsid w:val="00B01F3B"/>
    <w:rsid w:val="00B01F3F"/>
    <w:rsid w:val="00B01F75"/>
    <w:rsid w:val="00B01F83"/>
    <w:rsid w:val="00B01F95"/>
    <w:rsid w:val="00B01FAC"/>
    <w:rsid w:val="00B01FFE"/>
    <w:rsid w:val="00B0205A"/>
    <w:rsid w:val="00B02131"/>
    <w:rsid w:val="00B02132"/>
    <w:rsid w:val="00B02151"/>
    <w:rsid w:val="00B0215E"/>
    <w:rsid w:val="00B0217F"/>
    <w:rsid w:val="00B02187"/>
    <w:rsid w:val="00B021C4"/>
    <w:rsid w:val="00B021CF"/>
    <w:rsid w:val="00B021D7"/>
    <w:rsid w:val="00B021E6"/>
    <w:rsid w:val="00B02208"/>
    <w:rsid w:val="00B02236"/>
    <w:rsid w:val="00B02254"/>
    <w:rsid w:val="00B0229C"/>
    <w:rsid w:val="00B022B8"/>
    <w:rsid w:val="00B022C9"/>
    <w:rsid w:val="00B022CF"/>
    <w:rsid w:val="00B02332"/>
    <w:rsid w:val="00B0233A"/>
    <w:rsid w:val="00B0233C"/>
    <w:rsid w:val="00B02342"/>
    <w:rsid w:val="00B02349"/>
    <w:rsid w:val="00B02359"/>
    <w:rsid w:val="00B02397"/>
    <w:rsid w:val="00B023A2"/>
    <w:rsid w:val="00B02404"/>
    <w:rsid w:val="00B02432"/>
    <w:rsid w:val="00B02450"/>
    <w:rsid w:val="00B0247D"/>
    <w:rsid w:val="00B0251F"/>
    <w:rsid w:val="00B0252B"/>
    <w:rsid w:val="00B02531"/>
    <w:rsid w:val="00B025B1"/>
    <w:rsid w:val="00B025D9"/>
    <w:rsid w:val="00B02651"/>
    <w:rsid w:val="00B02655"/>
    <w:rsid w:val="00B02697"/>
    <w:rsid w:val="00B026AD"/>
    <w:rsid w:val="00B026C7"/>
    <w:rsid w:val="00B026DD"/>
    <w:rsid w:val="00B02725"/>
    <w:rsid w:val="00B0273C"/>
    <w:rsid w:val="00B02741"/>
    <w:rsid w:val="00B02776"/>
    <w:rsid w:val="00B0278C"/>
    <w:rsid w:val="00B027E3"/>
    <w:rsid w:val="00B027EB"/>
    <w:rsid w:val="00B0280E"/>
    <w:rsid w:val="00B02841"/>
    <w:rsid w:val="00B0286C"/>
    <w:rsid w:val="00B02898"/>
    <w:rsid w:val="00B028C5"/>
    <w:rsid w:val="00B028F1"/>
    <w:rsid w:val="00B02952"/>
    <w:rsid w:val="00B02994"/>
    <w:rsid w:val="00B029B8"/>
    <w:rsid w:val="00B029D3"/>
    <w:rsid w:val="00B029E0"/>
    <w:rsid w:val="00B02A1A"/>
    <w:rsid w:val="00B02A39"/>
    <w:rsid w:val="00B02A4A"/>
    <w:rsid w:val="00B02A95"/>
    <w:rsid w:val="00B02B00"/>
    <w:rsid w:val="00B02B27"/>
    <w:rsid w:val="00B02BA9"/>
    <w:rsid w:val="00B02BB5"/>
    <w:rsid w:val="00B02BE1"/>
    <w:rsid w:val="00B02C42"/>
    <w:rsid w:val="00B02C73"/>
    <w:rsid w:val="00B02C75"/>
    <w:rsid w:val="00B02C76"/>
    <w:rsid w:val="00B02C8F"/>
    <w:rsid w:val="00B02CA1"/>
    <w:rsid w:val="00B02CA4"/>
    <w:rsid w:val="00B02CC5"/>
    <w:rsid w:val="00B02D15"/>
    <w:rsid w:val="00B02D1D"/>
    <w:rsid w:val="00B02D4D"/>
    <w:rsid w:val="00B02D4F"/>
    <w:rsid w:val="00B02D8F"/>
    <w:rsid w:val="00B02D93"/>
    <w:rsid w:val="00B02DBC"/>
    <w:rsid w:val="00B02DCF"/>
    <w:rsid w:val="00B02DE5"/>
    <w:rsid w:val="00B02DF8"/>
    <w:rsid w:val="00B02E02"/>
    <w:rsid w:val="00B02E1C"/>
    <w:rsid w:val="00B02E3C"/>
    <w:rsid w:val="00B02E6E"/>
    <w:rsid w:val="00B02E87"/>
    <w:rsid w:val="00B02E8E"/>
    <w:rsid w:val="00B02EB3"/>
    <w:rsid w:val="00B02EBC"/>
    <w:rsid w:val="00B02EE3"/>
    <w:rsid w:val="00B02F30"/>
    <w:rsid w:val="00B02F55"/>
    <w:rsid w:val="00B02F5B"/>
    <w:rsid w:val="00B02F89"/>
    <w:rsid w:val="00B02F9D"/>
    <w:rsid w:val="00B02FA5"/>
    <w:rsid w:val="00B0301D"/>
    <w:rsid w:val="00B0303D"/>
    <w:rsid w:val="00B03042"/>
    <w:rsid w:val="00B03055"/>
    <w:rsid w:val="00B0305D"/>
    <w:rsid w:val="00B03070"/>
    <w:rsid w:val="00B03082"/>
    <w:rsid w:val="00B03094"/>
    <w:rsid w:val="00B030BD"/>
    <w:rsid w:val="00B030F0"/>
    <w:rsid w:val="00B0313B"/>
    <w:rsid w:val="00B03190"/>
    <w:rsid w:val="00B031DB"/>
    <w:rsid w:val="00B031E5"/>
    <w:rsid w:val="00B03255"/>
    <w:rsid w:val="00B0327F"/>
    <w:rsid w:val="00B03286"/>
    <w:rsid w:val="00B032A3"/>
    <w:rsid w:val="00B032AA"/>
    <w:rsid w:val="00B032B4"/>
    <w:rsid w:val="00B032D8"/>
    <w:rsid w:val="00B032F7"/>
    <w:rsid w:val="00B0330C"/>
    <w:rsid w:val="00B0333C"/>
    <w:rsid w:val="00B03348"/>
    <w:rsid w:val="00B03361"/>
    <w:rsid w:val="00B033A9"/>
    <w:rsid w:val="00B033B4"/>
    <w:rsid w:val="00B033BE"/>
    <w:rsid w:val="00B033F7"/>
    <w:rsid w:val="00B033FD"/>
    <w:rsid w:val="00B03482"/>
    <w:rsid w:val="00B034D1"/>
    <w:rsid w:val="00B034EA"/>
    <w:rsid w:val="00B03510"/>
    <w:rsid w:val="00B0354F"/>
    <w:rsid w:val="00B035CF"/>
    <w:rsid w:val="00B03619"/>
    <w:rsid w:val="00B03623"/>
    <w:rsid w:val="00B0369B"/>
    <w:rsid w:val="00B0371C"/>
    <w:rsid w:val="00B0371D"/>
    <w:rsid w:val="00B0372A"/>
    <w:rsid w:val="00B03731"/>
    <w:rsid w:val="00B03774"/>
    <w:rsid w:val="00B03775"/>
    <w:rsid w:val="00B037AD"/>
    <w:rsid w:val="00B037C1"/>
    <w:rsid w:val="00B037C3"/>
    <w:rsid w:val="00B037C4"/>
    <w:rsid w:val="00B037DB"/>
    <w:rsid w:val="00B037EC"/>
    <w:rsid w:val="00B0381B"/>
    <w:rsid w:val="00B038A7"/>
    <w:rsid w:val="00B038B6"/>
    <w:rsid w:val="00B03900"/>
    <w:rsid w:val="00B03901"/>
    <w:rsid w:val="00B0390A"/>
    <w:rsid w:val="00B03918"/>
    <w:rsid w:val="00B03921"/>
    <w:rsid w:val="00B0395C"/>
    <w:rsid w:val="00B03960"/>
    <w:rsid w:val="00B03991"/>
    <w:rsid w:val="00B03998"/>
    <w:rsid w:val="00B039AA"/>
    <w:rsid w:val="00B039BC"/>
    <w:rsid w:val="00B03A23"/>
    <w:rsid w:val="00B03A7E"/>
    <w:rsid w:val="00B03AB1"/>
    <w:rsid w:val="00B03AB8"/>
    <w:rsid w:val="00B03ACB"/>
    <w:rsid w:val="00B03AD1"/>
    <w:rsid w:val="00B03AF1"/>
    <w:rsid w:val="00B03AF8"/>
    <w:rsid w:val="00B03B29"/>
    <w:rsid w:val="00B03B2A"/>
    <w:rsid w:val="00B03B61"/>
    <w:rsid w:val="00B03B67"/>
    <w:rsid w:val="00B03BA8"/>
    <w:rsid w:val="00B03BC8"/>
    <w:rsid w:val="00B03BC9"/>
    <w:rsid w:val="00B03BD0"/>
    <w:rsid w:val="00B03BD6"/>
    <w:rsid w:val="00B03BD8"/>
    <w:rsid w:val="00B03BDE"/>
    <w:rsid w:val="00B03C09"/>
    <w:rsid w:val="00B03C0B"/>
    <w:rsid w:val="00B03C0D"/>
    <w:rsid w:val="00B03C21"/>
    <w:rsid w:val="00B03C22"/>
    <w:rsid w:val="00B03C6D"/>
    <w:rsid w:val="00B03C8C"/>
    <w:rsid w:val="00B03CD2"/>
    <w:rsid w:val="00B03DB0"/>
    <w:rsid w:val="00B03DC4"/>
    <w:rsid w:val="00B03DDE"/>
    <w:rsid w:val="00B03DE2"/>
    <w:rsid w:val="00B03DE7"/>
    <w:rsid w:val="00B03E02"/>
    <w:rsid w:val="00B03E06"/>
    <w:rsid w:val="00B03E22"/>
    <w:rsid w:val="00B03E37"/>
    <w:rsid w:val="00B03E3F"/>
    <w:rsid w:val="00B03E5A"/>
    <w:rsid w:val="00B03E86"/>
    <w:rsid w:val="00B03EDD"/>
    <w:rsid w:val="00B03F52"/>
    <w:rsid w:val="00B03F58"/>
    <w:rsid w:val="00B03F5E"/>
    <w:rsid w:val="00B03FBC"/>
    <w:rsid w:val="00B03FC1"/>
    <w:rsid w:val="00B03FFC"/>
    <w:rsid w:val="00B0401B"/>
    <w:rsid w:val="00B04058"/>
    <w:rsid w:val="00B04069"/>
    <w:rsid w:val="00B0409E"/>
    <w:rsid w:val="00B04115"/>
    <w:rsid w:val="00B0411E"/>
    <w:rsid w:val="00B0412B"/>
    <w:rsid w:val="00B04136"/>
    <w:rsid w:val="00B04143"/>
    <w:rsid w:val="00B0416F"/>
    <w:rsid w:val="00B0418B"/>
    <w:rsid w:val="00B04197"/>
    <w:rsid w:val="00B0419F"/>
    <w:rsid w:val="00B041AD"/>
    <w:rsid w:val="00B041FE"/>
    <w:rsid w:val="00B0421C"/>
    <w:rsid w:val="00B04244"/>
    <w:rsid w:val="00B0429B"/>
    <w:rsid w:val="00B042EF"/>
    <w:rsid w:val="00B04372"/>
    <w:rsid w:val="00B0439C"/>
    <w:rsid w:val="00B0439F"/>
    <w:rsid w:val="00B043FB"/>
    <w:rsid w:val="00B0441D"/>
    <w:rsid w:val="00B04444"/>
    <w:rsid w:val="00B0444E"/>
    <w:rsid w:val="00B04492"/>
    <w:rsid w:val="00B044E6"/>
    <w:rsid w:val="00B044FB"/>
    <w:rsid w:val="00B04515"/>
    <w:rsid w:val="00B04518"/>
    <w:rsid w:val="00B0451F"/>
    <w:rsid w:val="00B0452B"/>
    <w:rsid w:val="00B04546"/>
    <w:rsid w:val="00B04550"/>
    <w:rsid w:val="00B04579"/>
    <w:rsid w:val="00B04584"/>
    <w:rsid w:val="00B04592"/>
    <w:rsid w:val="00B045A3"/>
    <w:rsid w:val="00B045D7"/>
    <w:rsid w:val="00B045E9"/>
    <w:rsid w:val="00B045EF"/>
    <w:rsid w:val="00B0460D"/>
    <w:rsid w:val="00B04612"/>
    <w:rsid w:val="00B04687"/>
    <w:rsid w:val="00B046CE"/>
    <w:rsid w:val="00B046ED"/>
    <w:rsid w:val="00B046FA"/>
    <w:rsid w:val="00B04709"/>
    <w:rsid w:val="00B0474C"/>
    <w:rsid w:val="00B04750"/>
    <w:rsid w:val="00B04780"/>
    <w:rsid w:val="00B047A4"/>
    <w:rsid w:val="00B0481C"/>
    <w:rsid w:val="00B04826"/>
    <w:rsid w:val="00B048A3"/>
    <w:rsid w:val="00B048CA"/>
    <w:rsid w:val="00B048E0"/>
    <w:rsid w:val="00B048F1"/>
    <w:rsid w:val="00B0490B"/>
    <w:rsid w:val="00B04955"/>
    <w:rsid w:val="00B04959"/>
    <w:rsid w:val="00B049B1"/>
    <w:rsid w:val="00B04A08"/>
    <w:rsid w:val="00B04A21"/>
    <w:rsid w:val="00B04A5C"/>
    <w:rsid w:val="00B04A73"/>
    <w:rsid w:val="00B04AE8"/>
    <w:rsid w:val="00B04B2D"/>
    <w:rsid w:val="00B04B3B"/>
    <w:rsid w:val="00B04BB1"/>
    <w:rsid w:val="00B04BB3"/>
    <w:rsid w:val="00B04BC0"/>
    <w:rsid w:val="00B04BE0"/>
    <w:rsid w:val="00B04BE9"/>
    <w:rsid w:val="00B04C33"/>
    <w:rsid w:val="00B04C35"/>
    <w:rsid w:val="00B04C65"/>
    <w:rsid w:val="00B04C71"/>
    <w:rsid w:val="00B04C8B"/>
    <w:rsid w:val="00B04C98"/>
    <w:rsid w:val="00B04CA0"/>
    <w:rsid w:val="00B04CCD"/>
    <w:rsid w:val="00B04CDA"/>
    <w:rsid w:val="00B04D08"/>
    <w:rsid w:val="00B04D27"/>
    <w:rsid w:val="00B04D71"/>
    <w:rsid w:val="00B04D75"/>
    <w:rsid w:val="00B04D9B"/>
    <w:rsid w:val="00B04DB5"/>
    <w:rsid w:val="00B04DB7"/>
    <w:rsid w:val="00B04DB8"/>
    <w:rsid w:val="00B04DBA"/>
    <w:rsid w:val="00B04DDF"/>
    <w:rsid w:val="00B04DF0"/>
    <w:rsid w:val="00B04E01"/>
    <w:rsid w:val="00B04E06"/>
    <w:rsid w:val="00B04E2D"/>
    <w:rsid w:val="00B04EFE"/>
    <w:rsid w:val="00B04F32"/>
    <w:rsid w:val="00B04F42"/>
    <w:rsid w:val="00B04F46"/>
    <w:rsid w:val="00B04F66"/>
    <w:rsid w:val="00B04FF3"/>
    <w:rsid w:val="00B04FFB"/>
    <w:rsid w:val="00B0502E"/>
    <w:rsid w:val="00B05049"/>
    <w:rsid w:val="00B05068"/>
    <w:rsid w:val="00B050BD"/>
    <w:rsid w:val="00B050D9"/>
    <w:rsid w:val="00B05110"/>
    <w:rsid w:val="00B05122"/>
    <w:rsid w:val="00B0513A"/>
    <w:rsid w:val="00B05175"/>
    <w:rsid w:val="00B05194"/>
    <w:rsid w:val="00B051AA"/>
    <w:rsid w:val="00B051FA"/>
    <w:rsid w:val="00B05232"/>
    <w:rsid w:val="00B05285"/>
    <w:rsid w:val="00B05289"/>
    <w:rsid w:val="00B052E9"/>
    <w:rsid w:val="00B05322"/>
    <w:rsid w:val="00B0534B"/>
    <w:rsid w:val="00B05359"/>
    <w:rsid w:val="00B05394"/>
    <w:rsid w:val="00B053A6"/>
    <w:rsid w:val="00B053B5"/>
    <w:rsid w:val="00B053B8"/>
    <w:rsid w:val="00B053EC"/>
    <w:rsid w:val="00B05436"/>
    <w:rsid w:val="00B0544D"/>
    <w:rsid w:val="00B05463"/>
    <w:rsid w:val="00B05470"/>
    <w:rsid w:val="00B05486"/>
    <w:rsid w:val="00B0549B"/>
    <w:rsid w:val="00B054AF"/>
    <w:rsid w:val="00B054BF"/>
    <w:rsid w:val="00B054C7"/>
    <w:rsid w:val="00B054E8"/>
    <w:rsid w:val="00B054EB"/>
    <w:rsid w:val="00B05521"/>
    <w:rsid w:val="00B05526"/>
    <w:rsid w:val="00B05537"/>
    <w:rsid w:val="00B0557C"/>
    <w:rsid w:val="00B055FE"/>
    <w:rsid w:val="00B05639"/>
    <w:rsid w:val="00B0566E"/>
    <w:rsid w:val="00B05685"/>
    <w:rsid w:val="00B056D5"/>
    <w:rsid w:val="00B056EB"/>
    <w:rsid w:val="00B056FC"/>
    <w:rsid w:val="00B05719"/>
    <w:rsid w:val="00B05728"/>
    <w:rsid w:val="00B05796"/>
    <w:rsid w:val="00B057D9"/>
    <w:rsid w:val="00B0581F"/>
    <w:rsid w:val="00B0583F"/>
    <w:rsid w:val="00B05845"/>
    <w:rsid w:val="00B0588B"/>
    <w:rsid w:val="00B058B8"/>
    <w:rsid w:val="00B05925"/>
    <w:rsid w:val="00B0593D"/>
    <w:rsid w:val="00B0599D"/>
    <w:rsid w:val="00B059AC"/>
    <w:rsid w:val="00B059F5"/>
    <w:rsid w:val="00B05A10"/>
    <w:rsid w:val="00B05A3B"/>
    <w:rsid w:val="00B05A78"/>
    <w:rsid w:val="00B05A97"/>
    <w:rsid w:val="00B05AB9"/>
    <w:rsid w:val="00B05B30"/>
    <w:rsid w:val="00B05B34"/>
    <w:rsid w:val="00B05B54"/>
    <w:rsid w:val="00B05B94"/>
    <w:rsid w:val="00B05BCB"/>
    <w:rsid w:val="00B05BFF"/>
    <w:rsid w:val="00B05C0A"/>
    <w:rsid w:val="00B05C17"/>
    <w:rsid w:val="00B05C32"/>
    <w:rsid w:val="00B05C3B"/>
    <w:rsid w:val="00B05C45"/>
    <w:rsid w:val="00B05C5A"/>
    <w:rsid w:val="00B05C97"/>
    <w:rsid w:val="00B05CD0"/>
    <w:rsid w:val="00B05CFD"/>
    <w:rsid w:val="00B05D44"/>
    <w:rsid w:val="00B05D57"/>
    <w:rsid w:val="00B05D58"/>
    <w:rsid w:val="00B05D5A"/>
    <w:rsid w:val="00B05D73"/>
    <w:rsid w:val="00B05DC1"/>
    <w:rsid w:val="00B05DC3"/>
    <w:rsid w:val="00B05DD3"/>
    <w:rsid w:val="00B05E00"/>
    <w:rsid w:val="00B05EA0"/>
    <w:rsid w:val="00B05EA8"/>
    <w:rsid w:val="00B05EF1"/>
    <w:rsid w:val="00B05F04"/>
    <w:rsid w:val="00B05F71"/>
    <w:rsid w:val="00B05F9E"/>
    <w:rsid w:val="00B05F9F"/>
    <w:rsid w:val="00B05FC8"/>
    <w:rsid w:val="00B06056"/>
    <w:rsid w:val="00B06057"/>
    <w:rsid w:val="00B06058"/>
    <w:rsid w:val="00B0605D"/>
    <w:rsid w:val="00B06065"/>
    <w:rsid w:val="00B06067"/>
    <w:rsid w:val="00B060BD"/>
    <w:rsid w:val="00B060E2"/>
    <w:rsid w:val="00B060F4"/>
    <w:rsid w:val="00B06104"/>
    <w:rsid w:val="00B0611D"/>
    <w:rsid w:val="00B06176"/>
    <w:rsid w:val="00B06183"/>
    <w:rsid w:val="00B061E6"/>
    <w:rsid w:val="00B06221"/>
    <w:rsid w:val="00B0625D"/>
    <w:rsid w:val="00B0627B"/>
    <w:rsid w:val="00B0627D"/>
    <w:rsid w:val="00B0627E"/>
    <w:rsid w:val="00B06288"/>
    <w:rsid w:val="00B0628D"/>
    <w:rsid w:val="00B062AE"/>
    <w:rsid w:val="00B062C4"/>
    <w:rsid w:val="00B062FC"/>
    <w:rsid w:val="00B06304"/>
    <w:rsid w:val="00B06325"/>
    <w:rsid w:val="00B06330"/>
    <w:rsid w:val="00B063C8"/>
    <w:rsid w:val="00B063C9"/>
    <w:rsid w:val="00B063D5"/>
    <w:rsid w:val="00B06407"/>
    <w:rsid w:val="00B06450"/>
    <w:rsid w:val="00B06465"/>
    <w:rsid w:val="00B0647D"/>
    <w:rsid w:val="00B06487"/>
    <w:rsid w:val="00B064BE"/>
    <w:rsid w:val="00B064D5"/>
    <w:rsid w:val="00B064F4"/>
    <w:rsid w:val="00B06510"/>
    <w:rsid w:val="00B06517"/>
    <w:rsid w:val="00B0651C"/>
    <w:rsid w:val="00B0654F"/>
    <w:rsid w:val="00B06562"/>
    <w:rsid w:val="00B06594"/>
    <w:rsid w:val="00B065A3"/>
    <w:rsid w:val="00B065A7"/>
    <w:rsid w:val="00B065BF"/>
    <w:rsid w:val="00B065EB"/>
    <w:rsid w:val="00B0660C"/>
    <w:rsid w:val="00B06630"/>
    <w:rsid w:val="00B06643"/>
    <w:rsid w:val="00B06661"/>
    <w:rsid w:val="00B06671"/>
    <w:rsid w:val="00B066C1"/>
    <w:rsid w:val="00B066DA"/>
    <w:rsid w:val="00B066FB"/>
    <w:rsid w:val="00B06708"/>
    <w:rsid w:val="00B06715"/>
    <w:rsid w:val="00B0671F"/>
    <w:rsid w:val="00B0674A"/>
    <w:rsid w:val="00B0674D"/>
    <w:rsid w:val="00B0676B"/>
    <w:rsid w:val="00B067A5"/>
    <w:rsid w:val="00B067B9"/>
    <w:rsid w:val="00B067C0"/>
    <w:rsid w:val="00B06826"/>
    <w:rsid w:val="00B06841"/>
    <w:rsid w:val="00B0684B"/>
    <w:rsid w:val="00B06860"/>
    <w:rsid w:val="00B06934"/>
    <w:rsid w:val="00B06945"/>
    <w:rsid w:val="00B06948"/>
    <w:rsid w:val="00B06950"/>
    <w:rsid w:val="00B06991"/>
    <w:rsid w:val="00B06A15"/>
    <w:rsid w:val="00B06A4A"/>
    <w:rsid w:val="00B06A4F"/>
    <w:rsid w:val="00B06A63"/>
    <w:rsid w:val="00B06A69"/>
    <w:rsid w:val="00B06A7D"/>
    <w:rsid w:val="00B06A8E"/>
    <w:rsid w:val="00B06A95"/>
    <w:rsid w:val="00B06AAB"/>
    <w:rsid w:val="00B06ACE"/>
    <w:rsid w:val="00B06AD9"/>
    <w:rsid w:val="00B06AEC"/>
    <w:rsid w:val="00B06B19"/>
    <w:rsid w:val="00B06B23"/>
    <w:rsid w:val="00B06B2C"/>
    <w:rsid w:val="00B06B2D"/>
    <w:rsid w:val="00B06B46"/>
    <w:rsid w:val="00B06B4D"/>
    <w:rsid w:val="00B06B76"/>
    <w:rsid w:val="00B06B81"/>
    <w:rsid w:val="00B06B9E"/>
    <w:rsid w:val="00B06BB9"/>
    <w:rsid w:val="00B06BD4"/>
    <w:rsid w:val="00B06C08"/>
    <w:rsid w:val="00B06C18"/>
    <w:rsid w:val="00B06C47"/>
    <w:rsid w:val="00B06C52"/>
    <w:rsid w:val="00B06C53"/>
    <w:rsid w:val="00B06C61"/>
    <w:rsid w:val="00B06C65"/>
    <w:rsid w:val="00B06C7C"/>
    <w:rsid w:val="00B06CB7"/>
    <w:rsid w:val="00B06D0A"/>
    <w:rsid w:val="00B06D32"/>
    <w:rsid w:val="00B06D59"/>
    <w:rsid w:val="00B06DA3"/>
    <w:rsid w:val="00B06DD3"/>
    <w:rsid w:val="00B06DE6"/>
    <w:rsid w:val="00B06E1E"/>
    <w:rsid w:val="00B06E27"/>
    <w:rsid w:val="00B06E2C"/>
    <w:rsid w:val="00B06E4A"/>
    <w:rsid w:val="00B06EB3"/>
    <w:rsid w:val="00B06F64"/>
    <w:rsid w:val="00B06F65"/>
    <w:rsid w:val="00B06FD0"/>
    <w:rsid w:val="00B06FEE"/>
    <w:rsid w:val="00B07004"/>
    <w:rsid w:val="00B07015"/>
    <w:rsid w:val="00B07024"/>
    <w:rsid w:val="00B0709F"/>
    <w:rsid w:val="00B07112"/>
    <w:rsid w:val="00B0711A"/>
    <w:rsid w:val="00B07153"/>
    <w:rsid w:val="00B0716A"/>
    <w:rsid w:val="00B07191"/>
    <w:rsid w:val="00B071AA"/>
    <w:rsid w:val="00B071B8"/>
    <w:rsid w:val="00B071D4"/>
    <w:rsid w:val="00B0723C"/>
    <w:rsid w:val="00B07242"/>
    <w:rsid w:val="00B072DA"/>
    <w:rsid w:val="00B07391"/>
    <w:rsid w:val="00B073B0"/>
    <w:rsid w:val="00B073BC"/>
    <w:rsid w:val="00B073C0"/>
    <w:rsid w:val="00B073DF"/>
    <w:rsid w:val="00B073EE"/>
    <w:rsid w:val="00B073F8"/>
    <w:rsid w:val="00B07412"/>
    <w:rsid w:val="00B07429"/>
    <w:rsid w:val="00B07430"/>
    <w:rsid w:val="00B0745B"/>
    <w:rsid w:val="00B07464"/>
    <w:rsid w:val="00B07498"/>
    <w:rsid w:val="00B074AA"/>
    <w:rsid w:val="00B074CC"/>
    <w:rsid w:val="00B074D8"/>
    <w:rsid w:val="00B074E2"/>
    <w:rsid w:val="00B074F4"/>
    <w:rsid w:val="00B0750D"/>
    <w:rsid w:val="00B0751F"/>
    <w:rsid w:val="00B07522"/>
    <w:rsid w:val="00B07570"/>
    <w:rsid w:val="00B075AA"/>
    <w:rsid w:val="00B075DC"/>
    <w:rsid w:val="00B075FF"/>
    <w:rsid w:val="00B0761B"/>
    <w:rsid w:val="00B076E9"/>
    <w:rsid w:val="00B07704"/>
    <w:rsid w:val="00B07730"/>
    <w:rsid w:val="00B07765"/>
    <w:rsid w:val="00B07788"/>
    <w:rsid w:val="00B077BC"/>
    <w:rsid w:val="00B077DC"/>
    <w:rsid w:val="00B077E3"/>
    <w:rsid w:val="00B077EC"/>
    <w:rsid w:val="00B0783A"/>
    <w:rsid w:val="00B0786A"/>
    <w:rsid w:val="00B078CE"/>
    <w:rsid w:val="00B078FC"/>
    <w:rsid w:val="00B07905"/>
    <w:rsid w:val="00B0790F"/>
    <w:rsid w:val="00B0791A"/>
    <w:rsid w:val="00B07958"/>
    <w:rsid w:val="00B0797D"/>
    <w:rsid w:val="00B07989"/>
    <w:rsid w:val="00B079AF"/>
    <w:rsid w:val="00B079C9"/>
    <w:rsid w:val="00B079E2"/>
    <w:rsid w:val="00B07A2B"/>
    <w:rsid w:val="00B07A37"/>
    <w:rsid w:val="00B07A42"/>
    <w:rsid w:val="00B07A43"/>
    <w:rsid w:val="00B07A56"/>
    <w:rsid w:val="00B07ACE"/>
    <w:rsid w:val="00B07AD9"/>
    <w:rsid w:val="00B07B2F"/>
    <w:rsid w:val="00B07B58"/>
    <w:rsid w:val="00B07B7C"/>
    <w:rsid w:val="00B07B9D"/>
    <w:rsid w:val="00B07BFD"/>
    <w:rsid w:val="00B07C26"/>
    <w:rsid w:val="00B07C61"/>
    <w:rsid w:val="00B07CD8"/>
    <w:rsid w:val="00B07D01"/>
    <w:rsid w:val="00B07D11"/>
    <w:rsid w:val="00B07D17"/>
    <w:rsid w:val="00B07D20"/>
    <w:rsid w:val="00B07D33"/>
    <w:rsid w:val="00B07D6F"/>
    <w:rsid w:val="00B07DAC"/>
    <w:rsid w:val="00B07DDB"/>
    <w:rsid w:val="00B07E64"/>
    <w:rsid w:val="00B07E65"/>
    <w:rsid w:val="00B07E78"/>
    <w:rsid w:val="00B07E7D"/>
    <w:rsid w:val="00B07E8B"/>
    <w:rsid w:val="00B07EC1"/>
    <w:rsid w:val="00B07EE9"/>
    <w:rsid w:val="00B07F85"/>
    <w:rsid w:val="00B07FEE"/>
    <w:rsid w:val="00B10041"/>
    <w:rsid w:val="00B10069"/>
    <w:rsid w:val="00B10070"/>
    <w:rsid w:val="00B10099"/>
    <w:rsid w:val="00B1009E"/>
    <w:rsid w:val="00B100A9"/>
    <w:rsid w:val="00B100AE"/>
    <w:rsid w:val="00B100C2"/>
    <w:rsid w:val="00B101D1"/>
    <w:rsid w:val="00B10235"/>
    <w:rsid w:val="00B1026B"/>
    <w:rsid w:val="00B1027A"/>
    <w:rsid w:val="00B1027B"/>
    <w:rsid w:val="00B102BD"/>
    <w:rsid w:val="00B102F7"/>
    <w:rsid w:val="00B102FE"/>
    <w:rsid w:val="00B1032B"/>
    <w:rsid w:val="00B10378"/>
    <w:rsid w:val="00B1039A"/>
    <w:rsid w:val="00B103B3"/>
    <w:rsid w:val="00B103DD"/>
    <w:rsid w:val="00B103F0"/>
    <w:rsid w:val="00B10401"/>
    <w:rsid w:val="00B10420"/>
    <w:rsid w:val="00B10428"/>
    <w:rsid w:val="00B10442"/>
    <w:rsid w:val="00B1045E"/>
    <w:rsid w:val="00B10470"/>
    <w:rsid w:val="00B10496"/>
    <w:rsid w:val="00B104A3"/>
    <w:rsid w:val="00B10504"/>
    <w:rsid w:val="00B10528"/>
    <w:rsid w:val="00B1053A"/>
    <w:rsid w:val="00B1055B"/>
    <w:rsid w:val="00B10561"/>
    <w:rsid w:val="00B10563"/>
    <w:rsid w:val="00B10588"/>
    <w:rsid w:val="00B10609"/>
    <w:rsid w:val="00B10638"/>
    <w:rsid w:val="00B10682"/>
    <w:rsid w:val="00B106A2"/>
    <w:rsid w:val="00B106B2"/>
    <w:rsid w:val="00B106BA"/>
    <w:rsid w:val="00B106D5"/>
    <w:rsid w:val="00B10751"/>
    <w:rsid w:val="00B1079F"/>
    <w:rsid w:val="00B107DC"/>
    <w:rsid w:val="00B107E4"/>
    <w:rsid w:val="00B1081D"/>
    <w:rsid w:val="00B10834"/>
    <w:rsid w:val="00B10852"/>
    <w:rsid w:val="00B10882"/>
    <w:rsid w:val="00B108C0"/>
    <w:rsid w:val="00B108D2"/>
    <w:rsid w:val="00B10936"/>
    <w:rsid w:val="00B10937"/>
    <w:rsid w:val="00B10940"/>
    <w:rsid w:val="00B10995"/>
    <w:rsid w:val="00B10A1B"/>
    <w:rsid w:val="00B10A31"/>
    <w:rsid w:val="00B10A3B"/>
    <w:rsid w:val="00B10A4B"/>
    <w:rsid w:val="00B10A5D"/>
    <w:rsid w:val="00B10A8C"/>
    <w:rsid w:val="00B10ACC"/>
    <w:rsid w:val="00B10AFD"/>
    <w:rsid w:val="00B10B35"/>
    <w:rsid w:val="00B10B3F"/>
    <w:rsid w:val="00B10BD0"/>
    <w:rsid w:val="00B10BD1"/>
    <w:rsid w:val="00B10BE2"/>
    <w:rsid w:val="00B10BEF"/>
    <w:rsid w:val="00B10C2A"/>
    <w:rsid w:val="00B10C6F"/>
    <w:rsid w:val="00B10C7A"/>
    <w:rsid w:val="00B10C7E"/>
    <w:rsid w:val="00B10CD5"/>
    <w:rsid w:val="00B10CE2"/>
    <w:rsid w:val="00B10D32"/>
    <w:rsid w:val="00B10D6C"/>
    <w:rsid w:val="00B10D84"/>
    <w:rsid w:val="00B10DA6"/>
    <w:rsid w:val="00B10DB4"/>
    <w:rsid w:val="00B10DBC"/>
    <w:rsid w:val="00B10DE4"/>
    <w:rsid w:val="00B10DF9"/>
    <w:rsid w:val="00B10E13"/>
    <w:rsid w:val="00B10E31"/>
    <w:rsid w:val="00B10E40"/>
    <w:rsid w:val="00B10E91"/>
    <w:rsid w:val="00B10EC9"/>
    <w:rsid w:val="00B10F20"/>
    <w:rsid w:val="00B10F27"/>
    <w:rsid w:val="00B10F47"/>
    <w:rsid w:val="00B10F56"/>
    <w:rsid w:val="00B10F5A"/>
    <w:rsid w:val="00B10F89"/>
    <w:rsid w:val="00B10FDB"/>
    <w:rsid w:val="00B10FEE"/>
    <w:rsid w:val="00B11005"/>
    <w:rsid w:val="00B11016"/>
    <w:rsid w:val="00B11025"/>
    <w:rsid w:val="00B1103D"/>
    <w:rsid w:val="00B11048"/>
    <w:rsid w:val="00B11051"/>
    <w:rsid w:val="00B110C5"/>
    <w:rsid w:val="00B110FC"/>
    <w:rsid w:val="00B1111E"/>
    <w:rsid w:val="00B11133"/>
    <w:rsid w:val="00B1113B"/>
    <w:rsid w:val="00B11170"/>
    <w:rsid w:val="00B111A9"/>
    <w:rsid w:val="00B111B2"/>
    <w:rsid w:val="00B111C4"/>
    <w:rsid w:val="00B11208"/>
    <w:rsid w:val="00B1120E"/>
    <w:rsid w:val="00B11219"/>
    <w:rsid w:val="00B11226"/>
    <w:rsid w:val="00B11235"/>
    <w:rsid w:val="00B11244"/>
    <w:rsid w:val="00B1125E"/>
    <w:rsid w:val="00B112B7"/>
    <w:rsid w:val="00B112BB"/>
    <w:rsid w:val="00B112C5"/>
    <w:rsid w:val="00B11311"/>
    <w:rsid w:val="00B11351"/>
    <w:rsid w:val="00B11358"/>
    <w:rsid w:val="00B11375"/>
    <w:rsid w:val="00B1138E"/>
    <w:rsid w:val="00B113F7"/>
    <w:rsid w:val="00B1140C"/>
    <w:rsid w:val="00B11446"/>
    <w:rsid w:val="00B11480"/>
    <w:rsid w:val="00B114A0"/>
    <w:rsid w:val="00B114A4"/>
    <w:rsid w:val="00B114BF"/>
    <w:rsid w:val="00B114F4"/>
    <w:rsid w:val="00B11501"/>
    <w:rsid w:val="00B1152B"/>
    <w:rsid w:val="00B1153C"/>
    <w:rsid w:val="00B1153E"/>
    <w:rsid w:val="00B1157D"/>
    <w:rsid w:val="00B1158D"/>
    <w:rsid w:val="00B1159B"/>
    <w:rsid w:val="00B115A5"/>
    <w:rsid w:val="00B115A8"/>
    <w:rsid w:val="00B115B9"/>
    <w:rsid w:val="00B115C4"/>
    <w:rsid w:val="00B115D1"/>
    <w:rsid w:val="00B115EF"/>
    <w:rsid w:val="00B11631"/>
    <w:rsid w:val="00B11636"/>
    <w:rsid w:val="00B11665"/>
    <w:rsid w:val="00B11671"/>
    <w:rsid w:val="00B11678"/>
    <w:rsid w:val="00B11682"/>
    <w:rsid w:val="00B116B6"/>
    <w:rsid w:val="00B11717"/>
    <w:rsid w:val="00B11721"/>
    <w:rsid w:val="00B1172A"/>
    <w:rsid w:val="00B11738"/>
    <w:rsid w:val="00B117D5"/>
    <w:rsid w:val="00B117E1"/>
    <w:rsid w:val="00B1183E"/>
    <w:rsid w:val="00B11844"/>
    <w:rsid w:val="00B11885"/>
    <w:rsid w:val="00B1189F"/>
    <w:rsid w:val="00B118AA"/>
    <w:rsid w:val="00B118BA"/>
    <w:rsid w:val="00B11917"/>
    <w:rsid w:val="00B1195C"/>
    <w:rsid w:val="00B119C4"/>
    <w:rsid w:val="00B119D8"/>
    <w:rsid w:val="00B119DC"/>
    <w:rsid w:val="00B119ED"/>
    <w:rsid w:val="00B11A71"/>
    <w:rsid w:val="00B11A75"/>
    <w:rsid w:val="00B11A77"/>
    <w:rsid w:val="00B11A8B"/>
    <w:rsid w:val="00B11A9A"/>
    <w:rsid w:val="00B11AA5"/>
    <w:rsid w:val="00B11AB2"/>
    <w:rsid w:val="00B11AE3"/>
    <w:rsid w:val="00B11B04"/>
    <w:rsid w:val="00B11B77"/>
    <w:rsid w:val="00B11B87"/>
    <w:rsid w:val="00B11BA8"/>
    <w:rsid w:val="00B11BB0"/>
    <w:rsid w:val="00B11BBA"/>
    <w:rsid w:val="00B11BF4"/>
    <w:rsid w:val="00B11C48"/>
    <w:rsid w:val="00B11C73"/>
    <w:rsid w:val="00B11CAE"/>
    <w:rsid w:val="00B11D06"/>
    <w:rsid w:val="00B11D3A"/>
    <w:rsid w:val="00B11D6A"/>
    <w:rsid w:val="00B11DA4"/>
    <w:rsid w:val="00B11DB2"/>
    <w:rsid w:val="00B11DE0"/>
    <w:rsid w:val="00B11E15"/>
    <w:rsid w:val="00B11E51"/>
    <w:rsid w:val="00B11E8F"/>
    <w:rsid w:val="00B11E94"/>
    <w:rsid w:val="00B11EFD"/>
    <w:rsid w:val="00B11F64"/>
    <w:rsid w:val="00B11FD4"/>
    <w:rsid w:val="00B11FED"/>
    <w:rsid w:val="00B12015"/>
    <w:rsid w:val="00B12027"/>
    <w:rsid w:val="00B120B7"/>
    <w:rsid w:val="00B120C2"/>
    <w:rsid w:val="00B120F2"/>
    <w:rsid w:val="00B1210A"/>
    <w:rsid w:val="00B12113"/>
    <w:rsid w:val="00B12126"/>
    <w:rsid w:val="00B1212A"/>
    <w:rsid w:val="00B12146"/>
    <w:rsid w:val="00B12182"/>
    <w:rsid w:val="00B121B3"/>
    <w:rsid w:val="00B121BA"/>
    <w:rsid w:val="00B121C7"/>
    <w:rsid w:val="00B121E1"/>
    <w:rsid w:val="00B1221B"/>
    <w:rsid w:val="00B12270"/>
    <w:rsid w:val="00B12281"/>
    <w:rsid w:val="00B12298"/>
    <w:rsid w:val="00B122A5"/>
    <w:rsid w:val="00B122BB"/>
    <w:rsid w:val="00B122C4"/>
    <w:rsid w:val="00B122D1"/>
    <w:rsid w:val="00B12342"/>
    <w:rsid w:val="00B12347"/>
    <w:rsid w:val="00B12362"/>
    <w:rsid w:val="00B1236D"/>
    <w:rsid w:val="00B12398"/>
    <w:rsid w:val="00B1239D"/>
    <w:rsid w:val="00B123CF"/>
    <w:rsid w:val="00B123E0"/>
    <w:rsid w:val="00B12448"/>
    <w:rsid w:val="00B12493"/>
    <w:rsid w:val="00B124A5"/>
    <w:rsid w:val="00B124CF"/>
    <w:rsid w:val="00B124D3"/>
    <w:rsid w:val="00B124E8"/>
    <w:rsid w:val="00B12533"/>
    <w:rsid w:val="00B12568"/>
    <w:rsid w:val="00B1259F"/>
    <w:rsid w:val="00B125D1"/>
    <w:rsid w:val="00B1261A"/>
    <w:rsid w:val="00B12684"/>
    <w:rsid w:val="00B126AF"/>
    <w:rsid w:val="00B126FD"/>
    <w:rsid w:val="00B1276A"/>
    <w:rsid w:val="00B127B9"/>
    <w:rsid w:val="00B127EA"/>
    <w:rsid w:val="00B1282B"/>
    <w:rsid w:val="00B12834"/>
    <w:rsid w:val="00B12847"/>
    <w:rsid w:val="00B12888"/>
    <w:rsid w:val="00B12894"/>
    <w:rsid w:val="00B128E0"/>
    <w:rsid w:val="00B128E3"/>
    <w:rsid w:val="00B128FA"/>
    <w:rsid w:val="00B1290F"/>
    <w:rsid w:val="00B12940"/>
    <w:rsid w:val="00B1297B"/>
    <w:rsid w:val="00B129E1"/>
    <w:rsid w:val="00B129EC"/>
    <w:rsid w:val="00B129F7"/>
    <w:rsid w:val="00B12A13"/>
    <w:rsid w:val="00B12A1E"/>
    <w:rsid w:val="00B12A34"/>
    <w:rsid w:val="00B12A9B"/>
    <w:rsid w:val="00B12AD4"/>
    <w:rsid w:val="00B12B1F"/>
    <w:rsid w:val="00B12B3C"/>
    <w:rsid w:val="00B12B8F"/>
    <w:rsid w:val="00B12B94"/>
    <w:rsid w:val="00B12BB3"/>
    <w:rsid w:val="00B12BF6"/>
    <w:rsid w:val="00B12C17"/>
    <w:rsid w:val="00B12C5B"/>
    <w:rsid w:val="00B12C8A"/>
    <w:rsid w:val="00B12CB5"/>
    <w:rsid w:val="00B12D00"/>
    <w:rsid w:val="00B12D41"/>
    <w:rsid w:val="00B12D5C"/>
    <w:rsid w:val="00B12D63"/>
    <w:rsid w:val="00B12E45"/>
    <w:rsid w:val="00B12E72"/>
    <w:rsid w:val="00B12E73"/>
    <w:rsid w:val="00B12EBA"/>
    <w:rsid w:val="00B12EC5"/>
    <w:rsid w:val="00B12F08"/>
    <w:rsid w:val="00B12F17"/>
    <w:rsid w:val="00B12F1B"/>
    <w:rsid w:val="00B12F2A"/>
    <w:rsid w:val="00B12F33"/>
    <w:rsid w:val="00B12F44"/>
    <w:rsid w:val="00B12F62"/>
    <w:rsid w:val="00B12FA5"/>
    <w:rsid w:val="00B12FDA"/>
    <w:rsid w:val="00B12FDC"/>
    <w:rsid w:val="00B13017"/>
    <w:rsid w:val="00B1302B"/>
    <w:rsid w:val="00B13038"/>
    <w:rsid w:val="00B1305A"/>
    <w:rsid w:val="00B130EA"/>
    <w:rsid w:val="00B130F9"/>
    <w:rsid w:val="00B13162"/>
    <w:rsid w:val="00B131AA"/>
    <w:rsid w:val="00B131B7"/>
    <w:rsid w:val="00B131D7"/>
    <w:rsid w:val="00B131D9"/>
    <w:rsid w:val="00B131E7"/>
    <w:rsid w:val="00B13209"/>
    <w:rsid w:val="00B13218"/>
    <w:rsid w:val="00B1321A"/>
    <w:rsid w:val="00B1321F"/>
    <w:rsid w:val="00B13223"/>
    <w:rsid w:val="00B1323F"/>
    <w:rsid w:val="00B13254"/>
    <w:rsid w:val="00B1328B"/>
    <w:rsid w:val="00B132F3"/>
    <w:rsid w:val="00B132FA"/>
    <w:rsid w:val="00B13327"/>
    <w:rsid w:val="00B13382"/>
    <w:rsid w:val="00B133EF"/>
    <w:rsid w:val="00B13402"/>
    <w:rsid w:val="00B13426"/>
    <w:rsid w:val="00B13463"/>
    <w:rsid w:val="00B13470"/>
    <w:rsid w:val="00B134C0"/>
    <w:rsid w:val="00B1350D"/>
    <w:rsid w:val="00B13534"/>
    <w:rsid w:val="00B13581"/>
    <w:rsid w:val="00B13618"/>
    <w:rsid w:val="00B1365C"/>
    <w:rsid w:val="00B1366E"/>
    <w:rsid w:val="00B13673"/>
    <w:rsid w:val="00B136CC"/>
    <w:rsid w:val="00B13737"/>
    <w:rsid w:val="00B13761"/>
    <w:rsid w:val="00B137AE"/>
    <w:rsid w:val="00B137D5"/>
    <w:rsid w:val="00B13800"/>
    <w:rsid w:val="00B13881"/>
    <w:rsid w:val="00B13895"/>
    <w:rsid w:val="00B138A2"/>
    <w:rsid w:val="00B138DC"/>
    <w:rsid w:val="00B13904"/>
    <w:rsid w:val="00B13936"/>
    <w:rsid w:val="00B13949"/>
    <w:rsid w:val="00B13975"/>
    <w:rsid w:val="00B1397C"/>
    <w:rsid w:val="00B13990"/>
    <w:rsid w:val="00B1399A"/>
    <w:rsid w:val="00B1399D"/>
    <w:rsid w:val="00B139BA"/>
    <w:rsid w:val="00B139DB"/>
    <w:rsid w:val="00B13A66"/>
    <w:rsid w:val="00B13A7C"/>
    <w:rsid w:val="00B13A84"/>
    <w:rsid w:val="00B13A9E"/>
    <w:rsid w:val="00B13AB9"/>
    <w:rsid w:val="00B13AC3"/>
    <w:rsid w:val="00B13B22"/>
    <w:rsid w:val="00B13B45"/>
    <w:rsid w:val="00B13B65"/>
    <w:rsid w:val="00B13BA8"/>
    <w:rsid w:val="00B13BAA"/>
    <w:rsid w:val="00B13BDB"/>
    <w:rsid w:val="00B13BDC"/>
    <w:rsid w:val="00B13BE4"/>
    <w:rsid w:val="00B13BF9"/>
    <w:rsid w:val="00B13C06"/>
    <w:rsid w:val="00B13C25"/>
    <w:rsid w:val="00B13C3A"/>
    <w:rsid w:val="00B13C7A"/>
    <w:rsid w:val="00B13C7B"/>
    <w:rsid w:val="00B13CF6"/>
    <w:rsid w:val="00B13CFE"/>
    <w:rsid w:val="00B13D1E"/>
    <w:rsid w:val="00B13D4D"/>
    <w:rsid w:val="00B13DAD"/>
    <w:rsid w:val="00B13DC5"/>
    <w:rsid w:val="00B13DD5"/>
    <w:rsid w:val="00B13E04"/>
    <w:rsid w:val="00B13E07"/>
    <w:rsid w:val="00B13E20"/>
    <w:rsid w:val="00B13E4D"/>
    <w:rsid w:val="00B13E71"/>
    <w:rsid w:val="00B13E9F"/>
    <w:rsid w:val="00B13EF9"/>
    <w:rsid w:val="00B13EFB"/>
    <w:rsid w:val="00B13F03"/>
    <w:rsid w:val="00B13F0B"/>
    <w:rsid w:val="00B13F18"/>
    <w:rsid w:val="00B13F33"/>
    <w:rsid w:val="00B13F60"/>
    <w:rsid w:val="00B13F63"/>
    <w:rsid w:val="00B14022"/>
    <w:rsid w:val="00B1408E"/>
    <w:rsid w:val="00B140A1"/>
    <w:rsid w:val="00B140AD"/>
    <w:rsid w:val="00B14152"/>
    <w:rsid w:val="00B141B7"/>
    <w:rsid w:val="00B141FD"/>
    <w:rsid w:val="00B1421B"/>
    <w:rsid w:val="00B14278"/>
    <w:rsid w:val="00B142C1"/>
    <w:rsid w:val="00B142D9"/>
    <w:rsid w:val="00B142EE"/>
    <w:rsid w:val="00B1432A"/>
    <w:rsid w:val="00B14343"/>
    <w:rsid w:val="00B14376"/>
    <w:rsid w:val="00B143B2"/>
    <w:rsid w:val="00B143B3"/>
    <w:rsid w:val="00B143F0"/>
    <w:rsid w:val="00B1443A"/>
    <w:rsid w:val="00B14473"/>
    <w:rsid w:val="00B14497"/>
    <w:rsid w:val="00B144DB"/>
    <w:rsid w:val="00B144F9"/>
    <w:rsid w:val="00B1451F"/>
    <w:rsid w:val="00B145FB"/>
    <w:rsid w:val="00B14616"/>
    <w:rsid w:val="00B14653"/>
    <w:rsid w:val="00B1465D"/>
    <w:rsid w:val="00B146A5"/>
    <w:rsid w:val="00B146DF"/>
    <w:rsid w:val="00B146EC"/>
    <w:rsid w:val="00B14717"/>
    <w:rsid w:val="00B14731"/>
    <w:rsid w:val="00B1474F"/>
    <w:rsid w:val="00B14757"/>
    <w:rsid w:val="00B1476C"/>
    <w:rsid w:val="00B14774"/>
    <w:rsid w:val="00B14789"/>
    <w:rsid w:val="00B147B5"/>
    <w:rsid w:val="00B1480D"/>
    <w:rsid w:val="00B1483B"/>
    <w:rsid w:val="00B14841"/>
    <w:rsid w:val="00B14869"/>
    <w:rsid w:val="00B14878"/>
    <w:rsid w:val="00B14899"/>
    <w:rsid w:val="00B148DC"/>
    <w:rsid w:val="00B14920"/>
    <w:rsid w:val="00B14922"/>
    <w:rsid w:val="00B14924"/>
    <w:rsid w:val="00B14975"/>
    <w:rsid w:val="00B1499A"/>
    <w:rsid w:val="00B149AF"/>
    <w:rsid w:val="00B149B1"/>
    <w:rsid w:val="00B149F2"/>
    <w:rsid w:val="00B14A26"/>
    <w:rsid w:val="00B14A2D"/>
    <w:rsid w:val="00B14A49"/>
    <w:rsid w:val="00B14A6C"/>
    <w:rsid w:val="00B14A73"/>
    <w:rsid w:val="00B14A84"/>
    <w:rsid w:val="00B14A9F"/>
    <w:rsid w:val="00B14AFD"/>
    <w:rsid w:val="00B14B6F"/>
    <w:rsid w:val="00B14B87"/>
    <w:rsid w:val="00B14BA5"/>
    <w:rsid w:val="00B14BBC"/>
    <w:rsid w:val="00B14BC0"/>
    <w:rsid w:val="00B14BC9"/>
    <w:rsid w:val="00B14BF0"/>
    <w:rsid w:val="00B14BF8"/>
    <w:rsid w:val="00B14C0D"/>
    <w:rsid w:val="00B14C83"/>
    <w:rsid w:val="00B14C8A"/>
    <w:rsid w:val="00B14CCF"/>
    <w:rsid w:val="00B14CF7"/>
    <w:rsid w:val="00B14CF8"/>
    <w:rsid w:val="00B14D1C"/>
    <w:rsid w:val="00B14D2C"/>
    <w:rsid w:val="00B14D9F"/>
    <w:rsid w:val="00B14DAE"/>
    <w:rsid w:val="00B14DC3"/>
    <w:rsid w:val="00B14DDA"/>
    <w:rsid w:val="00B14E3D"/>
    <w:rsid w:val="00B14E45"/>
    <w:rsid w:val="00B14E64"/>
    <w:rsid w:val="00B14E82"/>
    <w:rsid w:val="00B14E92"/>
    <w:rsid w:val="00B14E9A"/>
    <w:rsid w:val="00B14F1A"/>
    <w:rsid w:val="00B14F4E"/>
    <w:rsid w:val="00B14F5B"/>
    <w:rsid w:val="00B14F5F"/>
    <w:rsid w:val="00B14FC3"/>
    <w:rsid w:val="00B14FE8"/>
    <w:rsid w:val="00B15038"/>
    <w:rsid w:val="00B15047"/>
    <w:rsid w:val="00B1505A"/>
    <w:rsid w:val="00B1509C"/>
    <w:rsid w:val="00B150A7"/>
    <w:rsid w:val="00B150C8"/>
    <w:rsid w:val="00B150EF"/>
    <w:rsid w:val="00B150FF"/>
    <w:rsid w:val="00B15100"/>
    <w:rsid w:val="00B1511A"/>
    <w:rsid w:val="00B1511C"/>
    <w:rsid w:val="00B15141"/>
    <w:rsid w:val="00B1515C"/>
    <w:rsid w:val="00B15189"/>
    <w:rsid w:val="00B151DF"/>
    <w:rsid w:val="00B151F8"/>
    <w:rsid w:val="00B1523B"/>
    <w:rsid w:val="00B15269"/>
    <w:rsid w:val="00B152CE"/>
    <w:rsid w:val="00B152F9"/>
    <w:rsid w:val="00B1533C"/>
    <w:rsid w:val="00B1539C"/>
    <w:rsid w:val="00B153AA"/>
    <w:rsid w:val="00B153DB"/>
    <w:rsid w:val="00B15422"/>
    <w:rsid w:val="00B15437"/>
    <w:rsid w:val="00B15451"/>
    <w:rsid w:val="00B15452"/>
    <w:rsid w:val="00B15493"/>
    <w:rsid w:val="00B154AB"/>
    <w:rsid w:val="00B154CC"/>
    <w:rsid w:val="00B154D0"/>
    <w:rsid w:val="00B154FC"/>
    <w:rsid w:val="00B15525"/>
    <w:rsid w:val="00B15586"/>
    <w:rsid w:val="00B155BB"/>
    <w:rsid w:val="00B155E2"/>
    <w:rsid w:val="00B155EE"/>
    <w:rsid w:val="00B15625"/>
    <w:rsid w:val="00B1565B"/>
    <w:rsid w:val="00B1568A"/>
    <w:rsid w:val="00B1568D"/>
    <w:rsid w:val="00B1568E"/>
    <w:rsid w:val="00B15691"/>
    <w:rsid w:val="00B156A3"/>
    <w:rsid w:val="00B156A9"/>
    <w:rsid w:val="00B156E8"/>
    <w:rsid w:val="00B1571C"/>
    <w:rsid w:val="00B15758"/>
    <w:rsid w:val="00B157AA"/>
    <w:rsid w:val="00B157B1"/>
    <w:rsid w:val="00B157B3"/>
    <w:rsid w:val="00B157C5"/>
    <w:rsid w:val="00B15849"/>
    <w:rsid w:val="00B158C8"/>
    <w:rsid w:val="00B15910"/>
    <w:rsid w:val="00B1592F"/>
    <w:rsid w:val="00B15948"/>
    <w:rsid w:val="00B1596D"/>
    <w:rsid w:val="00B15978"/>
    <w:rsid w:val="00B159EE"/>
    <w:rsid w:val="00B159F2"/>
    <w:rsid w:val="00B15A0B"/>
    <w:rsid w:val="00B15A32"/>
    <w:rsid w:val="00B15A3C"/>
    <w:rsid w:val="00B15A9F"/>
    <w:rsid w:val="00B15B3B"/>
    <w:rsid w:val="00B15B63"/>
    <w:rsid w:val="00B15BA6"/>
    <w:rsid w:val="00B15BB6"/>
    <w:rsid w:val="00B15BC8"/>
    <w:rsid w:val="00B15BCD"/>
    <w:rsid w:val="00B15C00"/>
    <w:rsid w:val="00B15C08"/>
    <w:rsid w:val="00B15C47"/>
    <w:rsid w:val="00B15C6D"/>
    <w:rsid w:val="00B15C7E"/>
    <w:rsid w:val="00B15CAF"/>
    <w:rsid w:val="00B15DD6"/>
    <w:rsid w:val="00B15E14"/>
    <w:rsid w:val="00B15E1F"/>
    <w:rsid w:val="00B15E2C"/>
    <w:rsid w:val="00B15E34"/>
    <w:rsid w:val="00B15EB4"/>
    <w:rsid w:val="00B15EBE"/>
    <w:rsid w:val="00B15F06"/>
    <w:rsid w:val="00B15F4C"/>
    <w:rsid w:val="00B15F7C"/>
    <w:rsid w:val="00B15F85"/>
    <w:rsid w:val="00B15FB0"/>
    <w:rsid w:val="00B15FCF"/>
    <w:rsid w:val="00B15FE1"/>
    <w:rsid w:val="00B16070"/>
    <w:rsid w:val="00B1608E"/>
    <w:rsid w:val="00B160A2"/>
    <w:rsid w:val="00B160F2"/>
    <w:rsid w:val="00B16101"/>
    <w:rsid w:val="00B1613F"/>
    <w:rsid w:val="00B16192"/>
    <w:rsid w:val="00B161CE"/>
    <w:rsid w:val="00B161E1"/>
    <w:rsid w:val="00B161F2"/>
    <w:rsid w:val="00B16216"/>
    <w:rsid w:val="00B1623B"/>
    <w:rsid w:val="00B16244"/>
    <w:rsid w:val="00B162EA"/>
    <w:rsid w:val="00B16314"/>
    <w:rsid w:val="00B1631D"/>
    <w:rsid w:val="00B1634A"/>
    <w:rsid w:val="00B16362"/>
    <w:rsid w:val="00B16365"/>
    <w:rsid w:val="00B1637D"/>
    <w:rsid w:val="00B163F6"/>
    <w:rsid w:val="00B163F8"/>
    <w:rsid w:val="00B1640E"/>
    <w:rsid w:val="00B16411"/>
    <w:rsid w:val="00B16446"/>
    <w:rsid w:val="00B1646D"/>
    <w:rsid w:val="00B1648C"/>
    <w:rsid w:val="00B164A8"/>
    <w:rsid w:val="00B164AD"/>
    <w:rsid w:val="00B164CD"/>
    <w:rsid w:val="00B16579"/>
    <w:rsid w:val="00B16599"/>
    <w:rsid w:val="00B165D9"/>
    <w:rsid w:val="00B1660D"/>
    <w:rsid w:val="00B16613"/>
    <w:rsid w:val="00B16629"/>
    <w:rsid w:val="00B1667D"/>
    <w:rsid w:val="00B1668C"/>
    <w:rsid w:val="00B16729"/>
    <w:rsid w:val="00B16755"/>
    <w:rsid w:val="00B16774"/>
    <w:rsid w:val="00B1677E"/>
    <w:rsid w:val="00B16783"/>
    <w:rsid w:val="00B1678F"/>
    <w:rsid w:val="00B167A4"/>
    <w:rsid w:val="00B167AA"/>
    <w:rsid w:val="00B167E8"/>
    <w:rsid w:val="00B1681D"/>
    <w:rsid w:val="00B16831"/>
    <w:rsid w:val="00B16846"/>
    <w:rsid w:val="00B16858"/>
    <w:rsid w:val="00B1685F"/>
    <w:rsid w:val="00B16875"/>
    <w:rsid w:val="00B168B0"/>
    <w:rsid w:val="00B168C6"/>
    <w:rsid w:val="00B168D6"/>
    <w:rsid w:val="00B1693E"/>
    <w:rsid w:val="00B1694E"/>
    <w:rsid w:val="00B16956"/>
    <w:rsid w:val="00B169B9"/>
    <w:rsid w:val="00B169C8"/>
    <w:rsid w:val="00B169FA"/>
    <w:rsid w:val="00B169FD"/>
    <w:rsid w:val="00B16A04"/>
    <w:rsid w:val="00B16A0B"/>
    <w:rsid w:val="00B16A29"/>
    <w:rsid w:val="00B16A42"/>
    <w:rsid w:val="00B16AC7"/>
    <w:rsid w:val="00B16ACA"/>
    <w:rsid w:val="00B16AE6"/>
    <w:rsid w:val="00B16B08"/>
    <w:rsid w:val="00B16B6A"/>
    <w:rsid w:val="00B16B71"/>
    <w:rsid w:val="00B16B7B"/>
    <w:rsid w:val="00B16B85"/>
    <w:rsid w:val="00B16B9E"/>
    <w:rsid w:val="00B16BCB"/>
    <w:rsid w:val="00B16BED"/>
    <w:rsid w:val="00B16C26"/>
    <w:rsid w:val="00B16C3B"/>
    <w:rsid w:val="00B16C7E"/>
    <w:rsid w:val="00B16C89"/>
    <w:rsid w:val="00B16C90"/>
    <w:rsid w:val="00B16CC0"/>
    <w:rsid w:val="00B16CFE"/>
    <w:rsid w:val="00B16D04"/>
    <w:rsid w:val="00B16D52"/>
    <w:rsid w:val="00B16D73"/>
    <w:rsid w:val="00B16D88"/>
    <w:rsid w:val="00B16DA4"/>
    <w:rsid w:val="00B16DB0"/>
    <w:rsid w:val="00B16DB2"/>
    <w:rsid w:val="00B16DE7"/>
    <w:rsid w:val="00B16E3E"/>
    <w:rsid w:val="00B16E76"/>
    <w:rsid w:val="00B16E9E"/>
    <w:rsid w:val="00B16EA9"/>
    <w:rsid w:val="00B16EBB"/>
    <w:rsid w:val="00B16ED2"/>
    <w:rsid w:val="00B16EDC"/>
    <w:rsid w:val="00B16F8C"/>
    <w:rsid w:val="00B16FB2"/>
    <w:rsid w:val="00B16FC5"/>
    <w:rsid w:val="00B16FD4"/>
    <w:rsid w:val="00B16FDA"/>
    <w:rsid w:val="00B16FF7"/>
    <w:rsid w:val="00B1701A"/>
    <w:rsid w:val="00B17075"/>
    <w:rsid w:val="00B17113"/>
    <w:rsid w:val="00B1715C"/>
    <w:rsid w:val="00B17180"/>
    <w:rsid w:val="00B171E5"/>
    <w:rsid w:val="00B171FE"/>
    <w:rsid w:val="00B17225"/>
    <w:rsid w:val="00B1722C"/>
    <w:rsid w:val="00B17242"/>
    <w:rsid w:val="00B1729E"/>
    <w:rsid w:val="00B172CD"/>
    <w:rsid w:val="00B17351"/>
    <w:rsid w:val="00B17363"/>
    <w:rsid w:val="00B17389"/>
    <w:rsid w:val="00B17394"/>
    <w:rsid w:val="00B173A6"/>
    <w:rsid w:val="00B173B5"/>
    <w:rsid w:val="00B173DE"/>
    <w:rsid w:val="00B173E1"/>
    <w:rsid w:val="00B173FC"/>
    <w:rsid w:val="00B17468"/>
    <w:rsid w:val="00B17475"/>
    <w:rsid w:val="00B17490"/>
    <w:rsid w:val="00B174B3"/>
    <w:rsid w:val="00B174EC"/>
    <w:rsid w:val="00B17520"/>
    <w:rsid w:val="00B17548"/>
    <w:rsid w:val="00B17584"/>
    <w:rsid w:val="00B175A6"/>
    <w:rsid w:val="00B175A8"/>
    <w:rsid w:val="00B17616"/>
    <w:rsid w:val="00B1762E"/>
    <w:rsid w:val="00B17684"/>
    <w:rsid w:val="00B1768A"/>
    <w:rsid w:val="00B176FB"/>
    <w:rsid w:val="00B1770C"/>
    <w:rsid w:val="00B17727"/>
    <w:rsid w:val="00B17739"/>
    <w:rsid w:val="00B1774B"/>
    <w:rsid w:val="00B1778A"/>
    <w:rsid w:val="00B17791"/>
    <w:rsid w:val="00B177C6"/>
    <w:rsid w:val="00B17801"/>
    <w:rsid w:val="00B17824"/>
    <w:rsid w:val="00B17885"/>
    <w:rsid w:val="00B178A4"/>
    <w:rsid w:val="00B178C8"/>
    <w:rsid w:val="00B178CF"/>
    <w:rsid w:val="00B178DE"/>
    <w:rsid w:val="00B178F3"/>
    <w:rsid w:val="00B17911"/>
    <w:rsid w:val="00B1793A"/>
    <w:rsid w:val="00B17969"/>
    <w:rsid w:val="00B1798A"/>
    <w:rsid w:val="00B179DC"/>
    <w:rsid w:val="00B179E6"/>
    <w:rsid w:val="00B17A1D"/>
    <w:rsid w:val="00B17A2D"/>
    <w:rsid w:val="00B17A83"/>
    <w:rsid w:val="00B17A89"/>
    <w:rsid w:val="00B17A8A"/>
    <w:rsid w:val="00B17A8B"/>
    <w:rsid w:val="00B17AA1"/>
    <w:rsid w:val="00B17AC1"/>
    <w:rsid w:val="00B17AFA"/>
    <w:rsid w:val="00B17B0D"/>
    <w:rsid w:val="00B17B14"/>
    <w:rsid w:val="00B17B23"/>
    <w:rsid w:val="00B17B3E"/>
    <w:rsid w:val="00B17B42"/>
    <w:rsid w:val="00B17B63"/>
    <w:rsid w:val="00B17B7B"/>
    <w:rsid w:val="00B17BB7"/>
    <w:rsid w:val="00B17C16"/>
    <w:rsid w:val="00B17C1C"/>
    <w:rsid w:val="00B17C34"/>
    <w:rsid w:val="00B17CAE"/>
    <w:rsid w:val="00B17CC1"/>
    <w:rsid w:val="00B17D2F"/>
    <w:rsid w:val="00B17D47"/>
    <w:rsid w:val="00B17D4A"/>
    <w:rsid w:val="00B17D5D"/>
    <w:rsid w:val="00B17D93"/>
    <w:rsid w:val="00B17E1A"/>
    <w:rsid w:val="00B17E28"/>
    <w:rsid w:val="00B17E7D"/>
    <w:rsid w:val="00B17E93"/>
    <w:rsid w:val="00B17EE2"/>
    <w:rsid w:val="00B17EE6"/>
    <w:rsid w:val="00B17F2C"/>
    <w:rsid w:val="00B17F47"/>
    <w:rsid w:val="00B17F4C"/>
    <w:rsid w:val="00B17F52"/>
    <w:rsid w:val="00B17F9D"/>
    <w:rsid w:val="00B17FA9"/>
    <w:rsid w:val="00B17FD1"/>
    <w:rsid w:val="00B17FE5"/>
    <w:rsid w:val="00B2002E"/>
    <w:rsid w:val="00B20036"/>
    <w:rsid w:val="00B2009B"/>
    <w:rsid w:val="00B200A1"/>
    <w:rsid w:val="00B20106"/>
    <w:rsid w:val="00B20140"/>
    <w:rsid w:val="00B20142"/>
    <w:rsid w:val="00B2014F"/>
    <w:rsid w:val="00B2015E"/>
    <w:rsid w:val="00B2016C"/>
    <w:rsid w:val="00B201B9"/>
    <w:rsid w:val="00B201C7"/>
    <w:rsid w:val="00B2023E"/>
    <w:rsid w:val="00B20253"/>
    <w:rsid w:val="00B20271"/>
    <w:rsid w:val="00B20280"/>
    <w:rsid w:val="00B202A1"/>
    <w:rsid w:val="00B202E3"/>
    <w:rsid w:val="00B2031D"/>
    <w:rsid w:val="00B2031F"/>
    <w:rsid w:val="00B20329"/>
    <w:rsid w:val="00B2032F"/>
    <w:rsid w:val="00B2034A"/>
    <w:rsid w:val="00B2036A"/>
    <w:rsid w:val="00B20383"/>
    <w:rsid w:val="00B20387"/>
    <w:rsid w:val="00B203B7"/>
    <w:rsid w:val="00B203F4"/>
    <w:rsid w:val="00B2040A"/>
    <w:rsid w:val="00B20447"/>
    <w:rsid w:val="00B2047D"/>
    <w:rsid w:val="00B204A5"/>
    <w:rsid w:val="00B204AF"/>
    <w:rsid w:val="00B204D0"/>
    <w:rsid w:val="00B2051C"/>
    <w:rsid w:val="00B20521"/>
    <w:rsid w:val="00B2056B"/>
    <w:rsid w:val="00B2057F"/>
    <w:rsid w:val="00B205D0"/>
    <w:rsid w:val="00B205DB"/>
    <w:rsid w:val="00B2060B"/>
    <w:rsid w:val="00B20648"/>
    <w:rsid w:val="00B20687"/>
    <w:rsid w:val="00B206D9"/>
    <w:rsid w:val="00B2071E"/>
    <w:rsid w:val="00B207B1"/>
    <w:rsid w:val="00B207B4"/>
    <w:rsid w:val="00B207B7"/>
    <w:rsid w:val="00B207EE"/>
    <w:rsid w:val="00B2082E"/>
    <w:rsid w:val="00B20832"/>
    <w:rsid w:val="00B2083D"/>
    <w:rsid w:val="00B20857"/>
    <w:rsid w:val="00B2088A"/>
    <w:rsid w:val="00B2088D"/>
    <w:rsid w:val="00B208BF"/>
    <w:rsid w:val="00B208C8"/>
    <w:rsid w:val="00B208E9"/>
    <w:rsid w:val="00B2091C"/>
    <w:rsid w:val="00B2092E"/>
    <w:rsid w:val="00B2095F"/>
    <w:rsid w:val="00B2097B"/>
    <w:rsid w:val="00B20989"/>
    <w:rsid w:val="00B2099B"/>
    <w:rsid w:val="00B20A1A"/>
    <w:rsid w:val="00B20A5D"/>
    <w:rsid w:val="00B20A5F"/>
    <w:rsid w:val="00B20A8A"/>
    <w:rsid w:val="00B20A9A"/>
    <w:rsid w:val="00B20AC0"/>
    <w:rsid w:val="00B20B10"/>
    <w:rsid w:val="00B20B22"/>
    <w:rsid w:val="00B20B23"/>
    <w:rsid w:val="00B20B36"/>
    <w:rsid w:val="00B20B6A"/>
    <w:rsid w:val="00B20B82"/>
    <w:rsid w:val="00B20BBE"/>
    <w:rsid w:val="00B20BCE"/>
    <w:rsid w:val="00B20BFA"/>
    <w:rsid w:val="00B20C13"/>
    <w:rsid w:val="00B20C3E"/>
    <w:rsid w:val="00B20C5A"/>
    <w:rsid w:val="00B20C5C"/>
    <w:rsid w:val="00B20C8E"/>
    <w:rsid w:val="00B20CB8"/>
    <w:rsid w:val="00B20D2F"/>
    <w:rsid w:val="00B20D83"/>
    <w:rsid w:val="00B20D90"/>
    <w:rsid w:val="00B20E0F"/>
    <w:rsid w:val="00B20E40"/>
    <w:rsid w:val="00B20E91"/>
    <w:rsid w:val="00B20E9A"/>
    <w:rsid w:val="00B20EAF"/>
    <w:rsid w:val="00B20ED6"/>
    <w:rsid w:val="00B20EE3"/>
    <w:rsid w:val="00B20EF1"/>
    <w:rsid w:val="00B20F92"/>
    <w:rsid w:val="00B2102D"/>
    <w:rsid w:val="00B2105F"/>
    <w:rsid w:val="00B21073"/>
    <w:rsid w:val="00B210AA"/>
    <w:rsid w:val="00B2112C"/>
    <w:rsid w:val="00B21139"/>
    <w:rsid w:val="00B2114E"/>
    <w:rsid w:val="00B21159"/>
    <w:rsid w:val="00B21183"/>
    <w:rsid w:val="00B211B6"/>
    <w:rsid w:val="00B211DB"/>
    <w:rsid w:val="00B211E0"/>
    <w:rsid w:val="00B211FC"/>
    <w:rsid w:val="00B21214"/>
    <w:rsid w:val="00B21240"/>
    <w:rsid w:val="00B21291"/>
    <w:rsid w:val="00B2129B"/>
    <w:rsid w:val="00B212CA"/>
    <w:rsid w:val="00B212F1"/>
    <w:rsid w:val="00B21337"/>
    <w:rsid w:val="00B21348"/>
    <w:rsid w:val="00B2134C"/>
    <w:rsid w:val="00B213E1"/>
    <w:rsid w:val="00B21431"/>
    <w:rsid w:val="00B21462"/>
    <w:rsid w:val="00B2147D"/>
    <w:rsid w:val="00B214D6"/>
    <w:rsid w:val="00B214D9"/>
    <w:rsid w:val="00B214DC"/>
    <w:rsid w:val="00B214E9"/>
    <w:rsid w:val="00B21561"/>
    <w:rsid w:val="00B215C4"/>
    <w:rsid w:val="00B215CB"/>
    <w:rsid w:val="00B215D8"/>
    <w:rsid w:val="00B2161C"/>
    <w:rsid w:val="00B2162E"/>
    <w:rsid w:val="00B21654"/>
    <w:rsid w:val="00B2165C"/>
    <w:rsid w:val="00B216DF"/>
    <w:rsid w:val="00B216EF"/>
    <w:rsid w:val="00B216F7"/>
    <w:rsid w:val="00B21744"/>
    <w:rsid w:val="00B2175F"/>
    <w:rsid w:val="00B21788"/>
    <w:rsid w:val="00B217B4"/>
    <w:rsid w:val="00B21809"/>
    <w:rsid w:val="00B21851"/>
    <w:rsid w:val="00B21854"/>
    <w:rsid w:val="00B21859"/>
    <w:rsid w:val="00B2188E"/>
    <w:rsid w:val="00B21890"/>
    <w:rsid w:val="00B2189E"/>
    <w:rsid w:val="00B218AB"/>
    <w:rsid w:val="00B21910"/>
    <w:rsid w:val="00B21926"/>
    <w:rsid w:val="00B2195D"/>
    <w:rsid w:val="00B21986"/>
    <w:rsid w:val="00B2199D"/>
    <w:rsid w:val="00B219BE"/>
    <w:rsid w:val="00B21A6B"/>
    <w:rsid w:val="00B21A73"/>
    <w:rsid w:val="00B21A76"/>
    <w:rsid w:val="00B21A87"/>
    <w:rsid w:val="00B21A97"/>
    <w:rsid w:val="00B21A9E"/>
    <w:rsid w:val="00B21AC6"/>
    <w:rsid w:val="00B21B57"/>
    <w:rsid w:val="00B21B79"/>
    <w:rsid w:val="00B21B7B"/>
    <w:rsid w:val="00B21B7C"/>
    <w:rsid w:val="00B21B9C"/>
    <w:rsid w:val="00B21BC7"/>
    <w:rsid w:val="00B21BDF"/>
    <w:rsid w:val="00B21BE6"/>
    <w:rsid w:val="00B21BED"/>
    <w:rsid w:val="00B21C31"/>
    <w:rsid w:val="00B21C79"/>
    <w:rsid w:val="00B21C81"/>
    <w:rsid w:val="00B21C95"/>
    <w:rsid w:val="00B21C97"/>
    <w:rsid w:val="00B21CA4"/>
    <w:rsid w:val="00B21CC2"/>
    <w:rsid w:val="00B21D05"/>
    <w:rsid w:val="00B21DB9"/>
    <w:rsid w:val="00B21DE4"/>
    <w:rsid w:val="00B21E12"/>
    <w:rsid w:val="00B21E26"/>
    <w:rsid w:val="00B21E63"/>
    <w:rsid w:val="00B21E6E"/>
    <w:rsid w:val="00B21E87"/>
    <w:rsid w:val="00B21ED0"/>
    <w:rsid w:val="00B21EE4"/>
    <w:rsid w:val="00B21EF5"/>
    <w:rsid w:val="00B21EF9"/>
    <w:rsid w:val="00B21F09"/>
    <w:rsid w:val="00B21F7B"/>
    <w:rsid w:val="00B21FE7"/>
    <w:rsid w:val="00B21FF4"/>
    <w:rsid w:val="00B22003"/>
    <w:rsid w:val="00B22016"/>
    <w:rsid w:val="00B22019"/>
    <w:rsid w:val="00B22025"/>
    <w:rsid w:val="00B22067"/>
    <w:rsid w:val="00B220EA"/>
    <w:rsid w:val="00B220FC"/>
    <w:rsid w:val="00B220FD"/>
    <w:rsid w:val="00B22153"/>
    <w:rsid w:val="00B221D6"/>
    <w:rsid w:val="00B221FF"/>
    <w:rsid w:val="00B2222C"/>
    <w:rsid w:val="00B22261"/>
    <w:rsid w:val="00B22284"/>
    <w:rsid w:val="00B22288"/>
    <w:rsid w:val="00B222BA"/>
    <w:rsid w:val="00B222CC"/>
    <w:rsid w:val="00B222E1"/>
    <w:rsid w:val="00B2230F"/>
    <w:rsid w:val="00B22347"/>
    <w:rsid w:val="00B22365"/>
    <w:rsid w:val="00B223D8"/>
    <w:rsid w:val="00B22433"/>
    <w:rsid w:val="00B224C4"/>
    <w:rsid w:val="00B2251C"/>
    <w:rsid w:val="00B22530"/>
    <w:rsid w:val="00B2257A"/>
    <w:rsid w:val="00B225A1"/>
    <w:rsid w:val="00B225A6"/>
    <w:rsid w:val="00B225DB"/>
    <w:rsid w:val="00B225DC"/>
    <w:rsid w:val="00B225E4"/>
    <w:rsid w:val="00B22622"/>
    <w:rsid w:val="00B22638"/>
    <w:rsid w:val="00B22675"/>
    <w:rsid w:val="00B226B7"/>
    <w:rsid w:val="00B226D1"/>
    <w:rsid w:val="00B226DE"/>
    <w:rsid w:val="00B226E7"/>
    <w:rsid w:val="00B22733"/>
    <w:rsid w:val="00B22758"/>
    <w:rsid w:val="00B22768"/>
    <w:rsid w:val="00B22781"/>
    <w:rsid w:val="00B2278E"/>
    <w:rsid w:val="00B22793"/>
    <w:rsid w:val="00B2279C"/>
    <w:rsid w:val="00B227BA"/>
    <w:rsid w:val="00B227BD"/>
    <w:rsid w:val="00B227E2"/>
    <w:rsid w:val="00B22836"/>
    <w:rsid w:val="00B2283A"/>
    <w:rsid w:val="00B22846"/>
    <w:rsid w:val="00B22856"/>
    <w:rsid w:val="00B228B1"/>
    <w:rsid w:val="00B228D1"/>
    <w:rsid w:val="00B228D3"/>
    <w:rsid w:val="00B228DE"/>
    <w:rsid w:val="00B228EC"/>
    <w:rsid w:val="00B228F4"/>
    <w:rsid w:val="00B2291E"/>
    <w:rsid w:val="00B2293C"/>
    <w:rsid w:val="00B2294F"/>
    <w:rsid w:val="00B22956"/>
    <w:rsid w:val="00B22965"/>
    <w:rsid w:val="00B2299C"/>
    <w:rsid w:val="00B229B4"/>
    <w:rsid w:val="00B229D8"/>
    <w:rsid w:val="00B22A1A"/>
    <w:rsid w:val="00B22A51"/>
    <w:rsid w:val="00B22A5F"/>
    <w:rsid w:val="00B22A69"/>
    <w:rsid w:val="00B22AB2"/>
    <w:rsid w:val="00B22ABE"/>
    <w:rsid w:val="00B22ACA"/>
    <w:rsid w:val="00B22ACB"/>
    <w:rsid w:val="00B22AE2"/>
    <w:rsid w:val="00B22AEE"/>
    <w:rsid w:val="00B22AF0"/>
    <w:rsid w:val="00B22AFB"/>
    <w:rsid w:val="00B22B27"/>
    <w:rsid w:val="00B22B51"/>
    <w:rsid w:val="00B22BFE"/>
    <w:rsid w:val="00B22C1B"/>
    <w:rsid w:val="00B22C9D"/>
    <w:rsid w:val="00B22CBA"/>
    <w:rsid w:val="00B22CD1"/>
    <w:rsid w:val="00B22CF1"/>
    <w:rsid w:val="00B22D1C"/>
    <w:rsid w:val="00B22D3B"/>
    <w:rsid w:val="00B22D5D"/>
    <w:rsid w:val="00B22D9B"/>
    <w:rsid w:val="00B22D9F"/>
    <w:rsid w:val="00B22DFA"/>
    <w:rsid w:val="00B22E03"/>
    <w:rsid w:val="00B22E49"/>
    <w:rsid w:val="00B22E6E"/>
    <w:rsid w:val="00B22E82"/>
    <w:rsid w:val="00B22E85"/>
    <w:rsid w:val="00B22E87"/>
    <w:rsid w:val="00B22E93"/>
    <w:rsid w:val="00B22EA4"/>
    <w:rsid w:val="00B22EA6"/>
    <w:rsid w:val="00B22EC6"/>
    <w:rsid w:val="00B22F10"/>
    <w:rsid w:val="00B22F4A"/>
    <w:rsid w:val="00B22F5B"/>
    <w:rsid w:val="00B22F7A"/>
    <w:rsid w:val="00B22FC6"/>
    <w:rsid w:val="00B22FD7"/>
    <w:rsid w:val="00B22FF6"/>
    <w:rsid w:val="00B23001"/>
    <w:rsid w:val="00B2300D"/>
    <w:rsid w:val="00B23026"/>
    <w:rsid w:val="00B2302F"/>
    <w:rsid w:val="00B23050"/>
    <w:rsid w:val="00B2305A"/>
    <w:rsid w:val="00B23060"/>
    <w:rsid w:val="00B230AA"/>
    <w:rsid w:val="00B230AF"/>
    <w:rsid w:val="00B230BA"/>
    <w:rsid w:val="00B230DB"/>
    <w:rsid w:val="00B23132"/>
    <w:rsid w:val="00B23139"/>
    <w:rsid w:val="00B2314B"/>
    <w:rsid w:val="00B23154"/>
    <w:rsid w:val="00B23156"/>
    <w:rsid w:val="00B23170"/>
    <w:rsid w:val="00B23189"/>
    <w:rsid w:val="00B23192"/>
    <w:rsid w:val="00B2319D"/>
    <w:rsid w:val="00B231A9"/>
    <w:rsid w:val="00B231D1"/>
    <w:rsid w:val="00B231EB"/>
    <w:rsid w:val="00B231FE"/>
    <w:rsid w:val="00B23207"/>
    <w:rsid w:val="00B23213"/>
    <w:rsid w:val="00B23229"/>
    <w:rsid w:val="00B23281"/>
    <w:rsid w:val="00B2334F"/>
    <w:rsid w:val="00B233C2"/>
    <w:rsid w:val="00B233C6"/>
    <w:rsid w:val="00B233E1"/>
    <w:rsid w:val="00B233EE"/>
    <w:rsid w:val="00B233FC"/>
    <w:rsid w:val="00B23407"/>
    <w:rsid w:val="00B23432"/>
    <w:rsid w:val="00B23454"/>
    <w:rsid w:val="00B23462"/>
    <w:rsid w:val="00B2357E"/>
    <w:rsid w:val="00B23580"/>
    <w:rsid w:val="00B235B6"/>
    <w:rsid w:val="00B235D4"/>
    <w:rsid w:val="00B2364F"/>
    <w:rsid w:val="00B2368F"/>
    <w:rsid w:val="00B236C6"/>
    <w:rsid w:val="00B236E9"/>
    <w:rsid w:val="00B236F0"/>
    <w:rsid w:val="00B2373D"/>
    <w:rsid w:val="00B2378C"/>
    <w:rsid w:val="00B237A8"/>
    <w:rsid w:val="00B237EB"/>
    <w:rsid w:val="00B23810"/>
    <w:rsid w:val="00B23848"/>
    <w:rsid w:val="00B238C1"/>
    <w:rsid w:val="00B238F4"/>
    <w:rsid w:val="00B238FB"/>
    <w:rsid w:val="00B238FD"/>
    <w:rsid w:val="00B23901"/>
    <w:rsid w:val="00B23919"/>
    <w:rsid w:val="00B23930"/>
    <w:rsid w:val="00B23997"/>
    <w:rsid w:val="00B239CB"/>
    <w:rsid w:val="00B23A00"/>
    <w:rsid w:val="00B23A11"/>
    <w:rsid w:val="00B23A1E"/>
    <w:rsid w:val="00B23A20"/>
    <w:rsid w:val="00B23A39"/>
    <w:rsid w:val="00B23A3B"/>
    <w:rsid w:val="00B23A67"/>
    <w:rsid w:val="00B23A93"/>
    <w:rsid w:val="00B23AEB"/>
    <w:rsid w:val="00B23B22"/>
    <w:rsid w:val="00B23B2B"/>
    <w:rsid w:val="00B23B46"/>
    <w:rsid w:val="00B23B50"/>
    <w:rsid w:val="00B23B79"/>
    <w:rsid w:val="00B23B87"/>
    <w:rsid w:val="00B23BB7"/>
    <w:rsid w:val="00B23BDB"/>
    <w:rsid w:val="00B23BF8"/>
    <w:rsid w:val="00B23C24"/>
    <w:rsid w:val="00B23C39"/>
    <w:rsid w:val="00B23C3D"/>
    <w:rsid w:val="00B23C7E"/>
    <w:rsid w:val="00B23C8E"/>
    <w:rsid w:val="00B23D0D"/>
    <w:rsid w:val="00B23D1B"/>
    <w:rsid w:val="00B23DC8"/>
    <w:rsid w:val="00B23DDB"/>
    <w:rsid w:val="00B23DE5"/>
    <w:rsid w:val="00B23E1A"/>
    <w:rsid w:val="00B23E2F"/>
    <w:rsid w:val="00B23E42"/>
    <w:rsid w:val="00B23E85"/>
    <w:rsid w:val="00B23ECB"/>
    <w:rsid w:val="00B23ED6"/>
    <w:rsid w:val="00B23F32"/>
    <w:rsid w:val="00B23F3A"/>
    <w:rsid w:val="00B23F48"/>
    <w:rsid w:val="00B23F49"/>
    <w:rsid w:val="00B23F84"/>
    <w:rsid w:val="00B23F92"/>
    <w:rsid w:val="00B23FB1"/>
    <w:rsid w:val="00B23FDB"/>
    <w:rsid w:val="00B24004"/>
    <w:rsid w:val="00B240C7"/>
    <w:rsid w:val="00B240F7"/>
    <w:rsid w:val="00B2410F"/>
    <w:rsid w:val="00B241E7"/>
    <w:rsid w:val="00B241E9"/>
    <w:rsid w:val="00B2420B"/>
    <w:rsid w:val="00B2422F"/>
    <w:rsid w:val="00B2424D"/>
    <w:rsid w:val="00B24281"/>
    <w:rsid w:val="00B242B3"/>
    <w:rsid w:val="00B242BB"/>
    <w:rsid w:val="00B242BD"/>
    <w:rsid w:val="00B242C2"/>
    <w:rsid w:val="00B24329"/>
    <w:rsid w:val="00B24330"/>
    <w:rsid w:val="00B2434D"/>
    <w:rsid w:val="00B2438B"/>
    <w:rsid w:val="00B243D9"/>
    <w:rsid w:val="00B243F2"/>
    <w:rsid w:val="00B243FD"/>
    <w:rsid w:val="00B24425"/>
    <w:rsid w:val="00B2446D"/>
    <w:rsid w:val="00B244D6"/>
    <w:rsid w:val="00B24501"/>
    <w:rsid w:val="00B2457C"/>
    <w:rsid w:val="00B2458C"/>
    <w:rsid w:val="00B245AC"/>
    <w:rsid w:val="00B245B5"/>
    <w:rsid w:val="00B245C7"/>
    <w:rsid w:val="00B245E6"/>
    <w:rsid w:val="00B24642"/>
    <w:rsid w:val="00B24665"/>
    <w:rsid w:val="00B24674"/>
    <w:rsid w:val="00B24689"/>
    <w:rsid w:val="00B2469C"/>
    <w:rsid w:val="00B246A8"/>
    <w:rsid w:val="00B24720"/>
    <w:rsid w:val="00B24737"/>
    <w:rsid w:val="00B247A3"/>
    <w:rsid w:val="00B247EA"/>
    <w:rsid w:val="00B2480F"/>
    <w:rsid w:val="00B24813"/>
    <w:rsid w:val="00B24814"/>
    <w:rsid w:val="00B24862"/>
    <w:rsid w:val="00B24877"/>
    <w:rsid w:val="00B24910"/>
    <w:rsid w:val="00B24916"/>
    <w:rsid w:val="00B2493D"/>
    <w:rsid w:val="00B24974"/>
    <w:rsid w:val="00B2497A"/>
    <w:rsid w:val="00B24999"/>
    <w:rsid w:val="00B249B0"/>
    <w:rsid w:val="00B249D8"/>
    <w:rsid w:val="00B249E9"/>
    <w:rsid w:val="00B24A23"/>
    <w:rsid w:val="00B24A37"/>
    <w:rsid w:val="00B24A41"/>
    <w:rsid w:val="00B24A78"/>
    <w:rsid w:val="00B24A83"/>
    <w:rsid w:val="00B24A87"/>
    <w:rsid w:val="00B24AC0"/>
    <w:rsid w:val="00B24AE9"/>
    <w:rsid w:val="00B24B17"/>
    <w:rsid w:val="00B24B41"/>
    <w:rsid w:val="00B24B83"/>
    <w:rsid w:val="00B24B90"/>
    <w:rsid w:val="00B24BAC"/>
    <w:rsid w:val="00B24BC0"/>
    <w:rsid w:val="00B24BF1"/>
    <w:rsid w:val="00B24C09"/>
    <w:rsid w:val="00B24C25"/>
    <w:rsid w:val="00B24C58"/>
    <w:rsid w:val="00B24C89"/>
    <w:rsid w:val="00B24CA5"/>
    <w:rsid w:val="00B24CF1"/>
    <w:rsid w:val="00B24D10"/>
    <w:rsid w:val="00B24D3F"/>
    <w:rsid w:val="00B24D42"/>
    <w:rsid w:val="00B24DD1"/>
    <w:rsid w:val="00B24E0F"/>
    <w:rsid w:val="00B24E50"/>
    <w:rsid w:val="00B24E7A"/>
    <w:rsid w:val="00B24E92"/>
    <w:rsid w:val="00B24EA0"/>
    <w:rsid w:val="00B24F4A"/>
    <w:rsid w:val="00B24F54"/>
    <w:rsid w:val="00B24F5F"/>
    <w:rsid w:val="00B24F7A"/>
    <w:rsid w:val="00B24FA5"/>
    <w:rsid w:val="00B24FAF"/>
    <w:rsid w:val="00B25018"/>
    <w:rsid w:val="00B25029"/>
    <w:rsid w:val="00B2504E"/>
    <w:rsid w:val="00B2505A"/>
    <w:rsid w:val="00B2507C"/>
    <w:rsid w:val="00B2509E"/>
    <w:rsid w:val="00B250C8"/>
    <w:rsid w:val="00B250CC"/>
    <w:rsid w:val="00B250D2"/>
    <w:rsid w:val="00B250E0"/>
    <w:rsid w:val="00B250FB"/>
    <w:rsid w:val="00B2510D"/>
    <w:rsid w:val="00B2513F"/>
    <w:rsid w:val="00B25151"/>
    <w:rsid w:val="00B251C4"/>
    <w:rsid w:val="00B251E1"/>
    <w:rsid w:val="00B251F0"/>
    <w:rsid w:val="00B25231"/>
    <w:rsid w:val="00B25252"/>
    <w:rsid w:val="00B25258"/>
    <w:rsid w:val="00B2525A"/>
    <w:rsid w:val="00B25269"/>
    <w:rsid w:val="00B2527E"/>
    <w:rsid w:val="00B25287"/>
    <w:rsid w:val="00B2528A"/>
    <w:rsid w:val="00B25298"/>
    <w:rsid w:val="00B252B7"/>
    <w:rsid w:val="00B25358"/>
    <w:rsid w:val="00B25436"/>
    <w:rsid w:val="00B2545A"/>
    <w:rsid w:val="00B25467"/>
    <w:rsid w:val="00B25470"/>
    <w:rsid w:val="00B254FE"/>
    <w:rsid w:val="00B2551D"/>
    <w:rsid w:val="00B25536"/>
    <w:rsid w:val="00B255A5"/>
    <w:rsid w:val="00B255C6"/>
    <w:rsid w:val="00B255DC"/>
    <w:rsid w:val="00B2560A"/>
    <w:rsid w:val="00B25623"/>
    <w:rsid w:val="00B25626"/>
    <w:rsid w:val="00B25633"/>
    <w:rsid w:val="00B25647"/>
    <w:rsid w:val="00B25650"/>
    <w:rsid w:val="00B256B9"/>
    <w:rsid w:val="00B256CD"/>
    <w:rsid w:val="00B2570E"/>
    <w:rsid w:val="00B2571D"/>
    <w:rsid w:val="00B25762"/>
    <w:rsid w:val="00B2579E"/>
    <w:rsid w:val="00B257B4"/>
    <w:rsid w:val="00B2584A"/>
    <w:rsid w:val="00B2586B"/>
    <w:rsid w:val="00B25893"/>
    <w:rsid w:val="00B258B8"/>
    <w:rsid w:val="00B258DC"/>
    <w:rsid w:val="00B2591B"/>
    <w:rsid w:val="00B2594A"/>
    <w:rsid w:val="00B2595B"/>
    <w:rsid w:val="00B2596F"/>
    <w:rsid w:val="00B259D0"/>
    <w:rsid w:val="00B259D9"/>
    <w:rsid w:val="00B259DC"/>
    <w:rsid w:val="00B25A20"/>
    <w:rsid w:val="00B25A78"/>
    <w:rsid w:val="00B25AD8"/>
    <w:rsid w:val="00B25B03"/>
    <w:rsid w:val="00B25B14"/>
    <w:rsid w:val="00B25B1D"/>
    <w:rsid w:val="00B25B2C"/>
    <w:rsid w:val="00B25B42"/>
    <w:rsid w:val="00B25B56"/>
    <w:rsid w:val="00B25BAD"/>
    <w:rsid w:val="00B25BDC"/>
    <w:rsid w:val="00B25BF0"/>
    <w:rsid w:val="00B25C22"/>
    <w:rsid w:val="00B25C5C"/>
    <w:rsid w:val="00B25C67"/>
    <w:rsid w:val="00B25C72"/>
    <w:rsid w:val="00B25C93"/>
    <w:rsid w:val="00B25CB8"/>
    <w:rsid w:val="00B25CF4"/>
    <w:rsid w:val="00B25CF8"/>
    <w:rsid w:val="00B25D49"/>
    <w:rsid w:val="00B25D61"/>
    <w:rsid w:val="00B25D76"/>
    <w:rsid w:val="00B25D7D"/>
    <w:rsid w:val="00B25DB9"/>
    <w:rsid w:val="00B25DE3"/>
    <w:rsid w:val="00B25E16"/>
    <w:rsid w:val="00B25E80"/>
    <w:rsid w:val="00B25EAF"/>
    <w:rsid w:val="00B25ED9"/>
    <w:rsid w:val="00B25F01"/>
    <w:rsid w:val="00B25F18"/>
    <w:rsid w:val="00B25F3D"/>
    <w:rsid w:val="00B25F72"/>
    <w:rsid w:val="00B25FA6"/>
    <w:rsid w:val="00B25FC5"/>
    <w:rsid w:val="00B25FF1"/>
    <w:rsid w:val="00B26052"/>
    <w:rsid w:val="00B2607E"/>
    <w:rsid w:val="00B2608E"/>
    <w:rsid w:val="00B26139"/>
    <w:rsid w:val="00B2613F"/>
    <w:rsid w:val="00B2615F"/>
    <w:rsid w:val="00B26175"/>
    <w:rsid w:val="00B261C1"/>
    <w:rsid w:val="00B261D8"/>
    <w:rsid w:val="00B261DA"/>
    <w:rsid w:val="00B2626C"/>
    <w:rsid w:val="00B26285"/>
    <w:rsid w:val="00B26291"/>
    <w:rsid w:val="00B2629E"/>
    <w:rsid w:val="00B262F7"/>
    <w:rsid w:val="00B262FC"/>
    <w:rsid w:val="00B26382"/>
    <w:rsid w:val="00B26383"/>
    <w:rsid w:val="00B263BA"/>
    <w:rsid w:val="00B263E2"/>
    <w:rsid w:val="00B26407"/>
    <w:rsid w:val="00B26419"/>
    <w:rsid w:val="00B2643A"/>
    <w:rsid w:val="00B2643D"/>
    <w:rsid w:val="00B264A9"/>
    <w:rsid w:val="00B264DB"/>
    <w:rsid w:val="00B264E7"/>
    <w:rsid w:val="00B264EC"/>
    <w:rsid w:val="00B2653C"/>
    <w:rsid w:val="00B2653D"/>
    <w:rsid w:val="00B26545"/>
    <w:rsid w:val="00B2655C"/>
    <w:rsid w:val="00B2656A"/>
    <w:rsid w:val="00B26590"/>
    <w:rsid w:val="00B265DC"/>
    <w:rsid w:val="00B26672"/>
    <w:rsid w:val="00B26674"/>
    <w:rsid w:val="00B2669D"/>
    <w:rsid w:val="00B266E2"/>
    <w:rsid w:val="00B266FA"/>
    <w:rsid w:val="00B2677A"/>
    <w:rsid w:val="00B26785"/>
    <w:rsid w:val="00B267BB"/>
    <w:rsid w:val="00B2680E"/>
    <w:rsid w:val="00B26838"/>
    <w:rsid w:val="00B2683B"/>
    <w:rsid w:val="00B26840"/>
    <w:rsid w:val="00B2685B"/>
    <w:rsid w:val="00B26876"/>
    <w:rsid w:val="00B26887"/>
    <w:rsid w:val="00B268C0"/>
    <w:rsid w:val="00B268F2"/>
    <w:rsid w:val="00B26917"/>
    <w:rsid w:val="00B2692D"/>
    <w:rsid w:val="00B2695E"/>
    <w:rsid w:val="00B269B3"/>
    <w:rsid w:val="00B269ED"/>
    <w:rsid w:val="00B26A28"/>
    <w:rsid w:val="00B26A6D"/>
    <w:rsid w:val="00B26A8C"/>
    <w:rsid w:val="00B26A90"/>
    <w:rsid w:val="00B26AC6"/>
    <w:rsid w:val="00B26B29"/>
    <w:rsid w:val="00B26B2E"/>
    <w:rsid w:val="00B26B5A"/>
    <w:rsid w:val="00B26B64"/>
    <w:rsid w:val="00B26BA4"/>
    <w:rsid w:val="00B26BBC"/>
    <w:rsid w:val="00B26C6C"/>
    <w:rsid w:val="00B26C81"/>
    <w:rsid w:val="00B26CED"/>
    <w:rsid w:val="00B26D2D"/>
    <w:rsid w:val="00B26D45"/>
    <w:rsid w:val="00B26D4E"/>
    <w:rsid w:val="00B26D6E"/>
    <w:rsid w:val="00B26D7A"/>
    <w:rsid w:val="00B26DED"/>
    <w:rsid w:val="00B26E1D"/>
    <w:rsid w:val="00B26E24"/>
    <w:rsid w:val="00B26E3C"/>
    <w:rsid w:val="00B26E46"/>
    <w:rsid w:val="00B26E75"/>
    <w:rsid w:val="00B26E96"/>
    <w:rsid w:val="00B26EBD"/>
    <w:rsid w:val="00B26EC5"/>
    <w:rsid w:val="00B26EF5"/>
    <w:rsid w:val="00B26F39"/>
    <w:rsid w:val="00B26FC8"/>
    <w:rsid w:val="00B26FCB"/>
    <w:rsid w:val="00B26FCD"/>
    <w:rsid w:val="00B27013"/>
    <w:rsid w:val="00B27014"/>
    <w:rsid w:val="00B27071"/>
    <w:rsid w:val="00B270B6"/>
    <w:rsid w:val="00B270C0"/>
    <w:rsid w:val="00B270DE"/>
    <w:rsid w:val="00B27106"/>
    <w:rsid w:val="00B2710E"/>
    <w:rsid w:val="00B271E9"/>
    <w:rsid w:val="00B27218"/>
    <w:rsid w:val="00B27255"/>
    <w:rsid w:val="00B27291"/>
    <w:rsid w:val="00B272B9"/>
    <w:rsid w:val="00B272DD"/>
    <w:rsid w:val="00B272E0"/>
    <w:rsid w:val="00B272F4"/>
    <w:rsid w:val="00B27303"/>
    <w:rsid w:val="00B27370"/>
    <w:rsid w:val="00B273C3"/>
    <w:rsid w:val="00B273F1"/>
    <w:rsid w:val="00B273F4"/>
    <w:rsid w:val="00B27420"/>
    <w:rsid w:val="00B2743B"/>
    <w:rsid w:val="00B27479"/>
    <w:rsid w:val="00B27499"/>
    <w:rsid w:val="00B2749C"/>
    <w:rsid w:val="00B27519"/>
    <w:rsid w:val="00B2754D"/>
    <w:rsid w:val="00B27570"/>
    <w:rsid w:val="00B2758E"/>
    <w:rsid w:val="00B275AF"/>
    <w:rsid w:val="00B275D3"/>
    <w:rsid w:val="00B27617"/>
    <w:rsid w:val="00B2768A"/>
    <w:rsid w:val="00B276CB"/>
    <w:rsid w:val="00B276CC"/>
    <w:rsid w:val="00B2771E"/>
    <w:rsid w:val="00B277B0"/>
    <w:rsid w:val="00B277D2"/>
    <w:rsid w:val="00B277D9"/>
    <w:rsid w:val="00B2783E"/>
    <w:rsid w:val="00B2784A"/>
    <w:rsid w:val="00B2787B"/>
    <w:rsid w:val="00B27892"/>
    <w:rsid w:val="00B278C2"/>
    <w:rsid w:val="00B278D4"/>
    <w:rsid w:val="00B278D9"/>
    <w:rsid w:val="00B27903"/>
    <w:rsid w:val="00B2790D"/>
    <w:rsid w:val="00B2793A"/>
    <w:rsid w:val="00B27982"/>
    <w:rsid w:val="00B27988"/>
    <w:rsid w:val="00B279DC"/>
    <w:rsid w:val="00B279E3"/>
    <w:rsid w:val="00B279EA"/>
    <w:rsid w:val="00B279EE"/>
    <w:rsid w:val="00B27A13"/>
    <w:rsid w:val="00B27A27"/>
    <w:rsid w:val="00B27A39"/>
    <w:rsid w:val="00B27A63"/>
    <w:rsid w:val="00B27A69"/>
    <w:rsid w:val="00B27A6A"/>
    <w:rsid w:val="00B27A7B"/>
    <w:rsid w:val="00B27A8F"/>
    <w:rsid w:val="00B27AAF"/>
    <w:rsid w:val="00B27AE1"/>
    <w:rsid w:val="00B27AEA"/>
    <w:rsid w:val="00B27B6E"/>
    <w:rsid w:val="00B27BBA"/>
    <w:rsid w:val="00B27BCA"/>
    <w:rsid w:val="00B27BED"/>
    <w:rsid w:val="00B27BF9"/>
    <w:rsid w:val="00B27C0A"/>
    <w:rsid w:val="00B27C15"/>
    <w:rsid w:val="00B27C29"/>
    <w:rsid w:val="00B27C4A"/>
    <w:rsid w:val="00B27C53"/>
    <w:rsid w:val="00B27C8D"/>
    <w:rsid w:val="00B27C9D"/>
    <w:rsid w:val="00B27CD3"/>
    <w:rsid w:val="00B27CE7"/>
    <w:rsid w:val="00B27D52"/>
    <w:rsid w:val="00B27DCB"/>
    <w:rsid w:val="00B27E27"/>
    <w:rsid w:val="00B27E6D"/>
    <w:rsid w:val="00B27E82"/>
    <w:rsid w:val="00B27F15"/>
    <w:rsid w:val="00B27F38"/>
    <w:rsid w:val="00B27F7F"/>
    <w:rsid w:val="00B3006E"/>
    <w:rsid w:val="00B30080"/>
    <w:rsid w:val="00B30084"/>
    <w:rsid w:val="00B300A5"/>
    <w:rsid w:val="00B300D7"/>
    <w:rsid w:val="00B300E8"/>
    <w:rsid w:val="00B30105"/>
    <w:rsid w:val="00B30106"/>
    <w:rsid w:val="00B30121"/>
    <w:rsid w:val="00B3015F"/>
    <w:rsid w:val="00B30162"/>
    <w:rsid w:val="00B30166"/>
    <w:rsid w:val="00B3016E"/>
    <w:rsid w:val="00B301BA"/>
    <w:rsid w:val="00B301BE"/>
    <w:rsid w:val="00B301CB"/>
    <w:rsid w:val="00B301EF"/>
    <w:rsid w:val="00B3028E"/>
    <w:rsid w:val="00B30299"/>
    <w:rsid w:val="00B302CF"/>
    <w:rsid w:val="00B302E3"/>
    <w:rsid w:val="00B302E7"/>
    <w:rsid w:val="00B302F2"/>
    <w:rsid w:val="00B30302"/>
    <w:rsid w:val="00B3030D"/>
    <w:rsid w:val="00B3030F"/>
    <w:rsid w:val="00B3033F"/>
    <w:rsid w:val="00B30356"/>
    <w:rsid w:val="00B30365"/>
    <w:rsid w:val="00B303B9"/>
    <w:rsid w:val="00B303BB"/>
    <w:rsid w:val="00B303C0"/>
    <w:rsid w:val="00B303C4"/>
    <w:rsid w:val="00B303D7"/>
    <w:rsid w:val="00B30400"/>
    <w:rsid w:val="00B30460"/>
    <w:rsid w:val="00B3046D"/>
    <w:rsid w:val="00B30473"/>
    <w:rsid w:val="00B3048B"/>
    <w:rsid w:val="00B304AB"/>
    <w:rsid w:val="00B304B8"/>
    <w:rsid w:val="00B304CC"/>
    <w:rsid w:val="00B30535"/>
    <w:rsid w:val="00B3054D"/>
    <w:rsid w:val="00B30558"/>
    <w:rsid w:val="00B3056A"/>
    <w:rsid w:val="00B30570"/>
    <w:rsid w:val="00B30593"/>
    <w:rsid w:val="00B305DF"/>
    <w:rsid w:val="00B3065B"/>
    <w:rsid w:val="00B30667"/>
    <w:rsid w:val="00B30671"/>
    <w:rsid w:val="00B30689"/>
    <w:rsid w:val="00B3068C"/>
    <w:rsid w:val="00B306AB"/>
    <w:rsid w:val="00B306C3"/>
    <w:rsid w:val="00B306CB"/>
    <w:rsid w:val="00B306D1"/>
    <w:rsid w:val="00B306F3"/>
    <w:rsid w:val="00B30748"/>
    <w:rsid w:val="00B30755"/>
    <w:rsid w:val="00B30771"/>
    <w:rsid w:val="00B307A3"/>
    <w:rsid w:val="00B307CE"/>
    <w:rsid w:val="00B307EA"/>
    <w:rsid w:val="00B3080D"/>
    <w:rsid w:val="00B30835"/>
    <w:rsid w:val="00B30836"/>
    <w:rsid w:val="00B3083A"/>
    <w:rsid w:val="00B3083F"/>
    <w:rsid w:val="00B30892"/>
    <w:rsid w:val="00B308E9"/>
    <w:rsid w:val="00B3091E"/>
    <w:rsid w:val="00B30925"/>
    <w:rsid w:val="00B30929"/>
    <w:rsid w:val="00B30935"/>
    <w:rsid w:val="00B30938"/>
    <w:rsid w:val="00B3093E"/>
    <w:rsid w:val="00B30954"/>
    <w:rsid w:val="00B30961"/>
    <w:rsid w:val="00B30964"/>
    <w:rsid w:val="00B3097F"/>
    <w:rsid w:val="00B30982"/>
    <w:rsid w:val="00B309B0"/>
    <w:rsid w:val="00B309F8"/>
    <w:rsid w:val="00B309FB"/>
    <w:rsid w:val="00B30AB6"/>
    <w:rsid w:val="00B30ACA"/>
    <w:rsid w:val="00B30B32"/>
    <w:rsid w:val="00B30BCB"/>
    <w:rsid w:val="00B30BF6"/>
    <w:rsid w:val="00B30C46"/>
    <w:rsid w:val="00B30C5A"/>
    <w:rsid w:val="00B30C90"/>
    <w:rsid w:val="00B30CCB"/>
    <w:rsid w:val="00B30D24"/>
    <w:rsid w:val="00B30D50"/>
    <w:rsid w:val="00B30DE0"/>
    <w:rsid w:val="00B30DE7"/>
    <w:rsid w:val="00B30E32"/>
    <w:rsid w:val="00B30E4C"/>
    <w:rsid w:val="00B30E6A"/>
    <w:rsid w:val="00B30E73"/>
    <w:rsid w:val="00B30E74"/>
    <w:rsid w:val="00B30E81"/>
    <w:rsid w:val="00B30E96"/>
    <w:rsid w:val="00B30EB2"/>
    <w:rsid w:val="00B30EBA"/>
    <w:rsid w:val="00B30ED7"/>
    <w:rsid w:val="00B30EDB"/>
    <w:rsid w:val="00B30F2C"/>
    <w:rsid w:val="00B30F6B"/>
    <w:rsid w:val="00B30F8E"/>
    <w:rsid w:val="00B30FAD"/>
    <w:rsid w:val="00B30FB9"/>
    <w:rsid w:val="00B30FCC"/>
    <w:rsid w:val="00B31009"/>
    <w:rsid w:val="00B3103B"/>
    <w:rsid w:val="00B31071"/>
    <w:rsid w:val="00B31080"/>
    <w:rsid w:val="00B31094"/>
    <w:rsid w:val="00B31095"/>
    <w:rsid w:val="00B310B2"/>
    <w:rsid w:val="00B310BF"/>
    <w:rsid w:val="00B310C6"/>
    <w:rsid w:val="00B310D6"/>
    <w:rsid w:val="00B310FF"/>
    <w:rsid w:val="00B31100"/>
    <w:rsid w:val="00B31101"/>
    <w:rsid w:val="00B31119"/>
    <w:rsid w:val="00B31130"/>
    <w:rsid w:val="00B31138"/>
    <w:rsid w:val="00B31162"/>
    <w:rsid w:val="00B31179"/>
    <w:rsid w:val="00B31196"/>
    <w:rsid w:val="00B311AA"/>
    <w:rsid w:val="00B31227"/>
    <w:rsid w:val="00B312F0"/>
    <w:rsid w:val="00B31381"/>
    <w:rsid w:val="00B3138A"/>
    <w:rsid w:val="00B3138F"/>
    <w:rsid w:val="00B31396"/>
    <w:rsid w:val="00B31399"/>
    <w:rsid w:val="00B313A6"/>
    <w:rsid w:val="00B313CA"/>
    <w:rsid w:val="00B313CD"/>
    <w:rsid w:val="00B313FE"/>
    <w:rsid w:val="00B31461"/>
    <w:rsid w:val="00B3146C"/>
    <w:rsid w:val="00B314A1"/>
    <w:rsid w:val="00B314D1"/>
    <w:rsid w:val="00B314DF"/>
    <w:rsid w:val="00B3150A"/>
    <w:rsid w:val="00B31525"/>
    <w:rsid w:val="00B3153D"/>
    <w:rsid w:val="00B31540"/>
    <w:rsid w:val="00B31547"/>
    <w:rsid w:val="00B31591"/>
    <w:rsid w:val="00B315C1"/>
    <w:rsid w:val="00B3161F"/>
    <w:rsid w:val="00B31629"/>
    <w:rsid w:val="00B3165A"/>
    <w:rsid w:val="00B31662"/>
    <w:rsid w:val="00B31683"/>
    <w:rsid w:val="00B316C3"/>
    <w:rsid w:val="00B316DB"/>
    <w:rsid w:val="00B31715"/>
    <w:rsid w:val="00B31742"/>
    <w:rsid w:val="00B3174B"/>
    <w:rsid w:val="00B3174E"/>
    <w:rsid w:val="00B31780"/>
    <w:rsid w:val="00B3178D"/>
    <w:rsid w:val="00B317AE"/>
    <w:rsid w:val="00B317C9"/>
    <w:rsid w:val="00B31808"/>
    <w:rsid w:val="00B3180A"/>
    <w:rsid w:val="00B31823"/>
    <w:rsid w:val="00B3186B"/>
    <w:rsid w:val="00B318CE"/>
    <w:rsid w:val="00B318D5"/>
    <w:rsid w:val="00B3196A"/>
    <w:rsid w:val="00B3196F"/>
    <w:rsid w:val="00B319D1"/>
    <w:rsid w:val="00B319DC"/>
    <w:rsid w:val="00B319E7"/>
    <w:rsid w:val="00B319F5"/>
    <w:rsid w:val="00B31A0F"/>
    <w:rsid w:val="00B31A59"/>
    <w:rsid w:val="00B31A72"/>
    <w:rsid w:val="00B31B03"/>
    <w:rsid w:val="00B31B04"/>
    <w:rsid w:val="00B31B2D"/>
    <w:rsid w:val="00B31B4E"/>
    <w:rsid w:val="00B31B56"/>
    <w:rsid w:val="00B31B5C"/>
    <w:rsid w:val="00B31B69"/>
    <w:rsid w:val="00B31B78"/>
    <w:rsid w:val="00B31B79"/>
    <w:rsid w:val="00B31B83"/>
    <w:rsid w:val="00B31BD2"/>
    <w:rsid w:val="00B31BF7"/>
    <w:rsid w:val="00B31BFB"/>
    <w:rsid w:val="00B31C0C"/>
    <w:rsid w:val="00B31C5D"/>
    <w:rsid w:val="00B31CDD"/>
    <w:rsid w:val="00B31D09"/>
    <w:rsid w:val="00B31D43"/>
    <w:rsid w:val="00B31D56"/>
    <w:rsid w:val="00B31DA7"/>
    <w:rsid w:val="00B31DA9"/>
    <w:rsid w:val="00B31DC5"/>
    <w:rsid w:val="00B31DE6"/>
    <w:rsid w:val="00B31E1A"/>
    <w:rsid w:val="00B31E24"/>
    <w:rsid w:val="00B31E3B"/>
    <w:rsid w:val="00B31E49"/>
    <w:rsid w:val="00B31EA4"/>
    <w:rsid w:val="00B31ED0"/>
    <w:rsid w:val="00B31EF9"/>
    <w:rsid w:val="00B31EFC"/>
    <w:rsid w:val="00B31F0B"/>
    <w:rsid w:val="00B31F13"/>
    <w:rsid w:val="00B31F17"/>
    <w:rsid w:val="00B31F22"/>
    <w:rsid w:val="00B31F43"/>
    <w:rsid w:val="00B31F97"/>
    <w:rsid w:val="00B31F9D"/>
    <w:rsid w:val="00B31FE1"/>
    <w:rsid w:val="00B32050"/>
    <w:rsid w:val="00B320AC"/>
    <w:rsid w:val="00B320C1"/>
    <w:rsid w:val="00B320DF"/>
    <w:rsid w:val="00B3213B"/>
    <w:rsid w:val="00B32154"/>
    <w:rsid w:val="00B32156"/>
    <w:rsid w:val="00B3219A"/>
    <w:rsid w:val="00B321C3"/>
    <w:rsid w:val="00B321CB"/>
    <w:rsid w:val="00B32215"/>
    <w:rsid w:val="00B32291"/>
    <w:rsid w:val="00B32298"/>
    <w:rsid w:val="00B322C4"/>
    <w:rsid w:val="00B3233C"/>
    <w:rsid w:val="00B3234D"/>
    <w:rsid w:val="00B32359"/>
    <w:rsid w:val="00B32385"/>
    <w:rsid w:val="00B323CB"/>
    <w:rsid w:val="00B323DB"/>
    <w:rsid w:val="00B3240B"/>
    <w:rsid w:val="00B324FF"/>
    <w:rsid w:val="00B32561"/>
    <w:rsid w:val="00B32594"/>
    <w:rsid w:val="00B325F8"/>
    <w:rsid w:val="00B32602"/>
    <w:rsid w:val="00B32636"/>
    <w:rsid w:val="00B32651"/>
    <w:rsid w:val="00B32668"/>
    <w:rsid w:val="00B326C1"/>
    <w:rsid w:val="00B326C3"/>
    <w:rsid w:val="00B326D9"/>
    <w:rsid w:val="00B32710"/>
    <w:rsid w:val="00B3273C"/>
    <w:rsid w:val="00B32756"/>
    <w:rsid w:val="00B32769"/>
    <w:rsid w:val="00B32787"/>
    <w:rsid w:val="00B327A9"/>
    <w:rsid w:val="00B327D4"/>
    <w:rsid w:val="00B3281B"/>
    <w:rsid w:val="00B3283F"/>
    <w:rsid w:val="00B3284E"/>
    <w:rsid w:val="00B32864"/>
    <w:rsid w:val="00B3286A"/>
    <w:rsid w:val="00B32878"/>
    <w:rsid w:val="00B328B8"/>
    <w:rsid w:val="00B328F7"/>
    <w:rsid w:val="00B32902"/>
    <w:rsid w:val="00B3290D"/>
    <w:rsid w:val="00B3292C"/>
    <w:rsid w:val="00B3293E"/>
    <w:rsid w:val="00B32993"/>
    <w:rsid w:val="00B32998"/>
    <w:rsid w:val="00B329A4"/>
    <w:rsid w:val="00B32A15"/>
    <w:rsid w:val="00B32A18"/>
    <w:rsid w:val="00B32A1B"/>
    <w:rsid w:val="00B32A40"/>
    <w:rsid w:val="00B32A45"/>
    <w:rsid w:val="00B32A48"/>
    <w:rsid w:val="00B32A52"/>
    <w:rsid w:val="00B32A5E"/>
    <w:rsid w:val="00B32B12"/>
    <w:rsid w:val="00B32B22"/>
    <w:rsid w:val="00B32B2D"/>
    <w:rsid w:val="00B32B89"/>
    <w:rsid w:val="00B32B9B"/>
    <w:rsid w:val="00B32BB5"/>
    <w:rsid w:val="00B32BD2"/>
    <w:rsid w:val="00B32C10"/>
    <w:rsid w:val="00B32C56"/>
    <w:rsid w:val="00B32C61"/>
    <w:rsid w:val="00B32C79"/>
    <w:rsid w:val="00B32CBA"/>
    <w:rsid w:val="00B32CCD"/>
    <w:rsid w:val="00B32CEC"/>
    <w:rsid w:val="00B32CFE"/>
    <w:rsid w:val="00B32D14"/>
    <w:rsid w:val="00B32D2E"/>
    <w:rsid w:val="00B32D31"/>
    <w:rsid w:val="00B32D7D"/>
    <w:rsid w:val="00B32D9C"/>
    <w:rsid w:val="00B32E11"/>
    <w:rsid w:val="00B32E4F"/>
    <w:rsid w:val="00B32E64"/>
    <w:rsid w:val="00B32E97"/>
    <w:rsid w:val="00B32E9F"/>
    <w:rsid w:val="00B32EA3"/>
    <w:rsid w:val="00B32EA6"/>
    <w:rsid w:val="00B32ED5"/>
    <w:rsid w:val="00B32F14"/>
    <w:rsid w:val="00B32F3E"/>
    <w:rsid w:val="00B32F49"/>
    <w:rsid w:val="00B32F6A"/>
    <w:rsid w:val="00B32F73"/>
    <w:rsid w:val="00B32F86"/>
    <w:rsid w:val="00B32FA9"/>
    <w:rsid w:val="00B32FD0"/>
    <w:rsid w:val="00B32FDE"/>
    <w:rsid w:val="00B3303B"/>
    <w:rsid w:val="00B33050"/>
    <w:rsid w:val="00B33076"/>
    <w:rsid w:val="00B330A6"/>
    <w:rsid w:val="00B330FB"/>
    <w:rsid w:val="00B33144"/>
    <w:rsid w:val="00B331AD"/>
    <w:rsid w:val="00B331D5"/>
    <w:rsid w:val="00B331F5"/>
    <w:rsid w:val="00B331FE"/>
    <w:rsid w:val="00B33220"/>
    <w:rsid w:val="00B3322B"/>
    <w:rsid w:val="00B33261"/>
    <w:rsid w:val="00B332A5"/>
    <w:rsid w:val="00B332C7"/>
    <w:rsid w:val="00B332CD"/>
    <w:rsid w:val="00B33301"/>
    <w:rsid w:val="00B33308"/>
    <w:rsid w:val="00B33309"/>
    <w:rsid w:val="00B33313"/>
    <w:rsid w:val="00B33319"/>
    <w:rsid w:val="00B3333C"/>
    <w:rsid w:val="00B3335E"/>
    <w:rsid w:val="00B33373"/>
    <w:rsid w:val="00B333A2"/>
    <w:rsid w:val="00B333A6"/>
    <w:rsid w:val="00B333B9"/>
    <w:rsid w:val="00B333D5"/>
    <w:rsid w:val="00B333D7"/>
    <w:rsid w:val="00B333DF"/>
    <w:rsid w:val="00B33410"/>
    <w:rsid w:val="00B33418"/>
    <w:rsid w:val="00B33428"/>
    <w:rsid w:val="00B33429"/>
    <w:rsid w:val="00B33457"/>
    <w:rsid w:val="00B33486"/>
    <w:rsid w:val="00B334BA"/>
    <w:rsid w:val="00B334CC"/>
    <w:rsid w:val="00B334FC"/>
    <w:rsid w:val="00B33516"/>
    <w:rsid w:val="00B33585"/>
    <w:rsid w:val="00B335BC"/>
    <w:rsid w:val="00B335D0"/>
    <w:rsid w:val="00B335E4"/>
    <w:rsid w:val="00B335E7"/>
    <w:rsid w:val="00B335F4"/>
    <w:rsid w:val="00B33647"/>
    <w:rsid w:val="00B33686"/>
    <w:rsid w:val="00B3376B"/>
    <w:rsid w:val="00B337B4"/>
    <w:rsid w:val="00B3382D"/>
    <w:rsid w:val="00B33852"/>
    <w:rsid w:val="00B3387A"/>
    <w:rsid w:val="00B338C0"/>
    <w:rsid w:val="00B338D8"/>
    <w:rsid w:val="00B3390A"/>
    <w:rsid w:val="00B3390F"/>
    <w:rsid w:val="00B33924"/>
    <w:rsid w:val="00B3394E"/>
    <w:rsid w:val="00B33975"/>
    <w:rsid w:val="00B3397C"/>
    <w:rsid w:val="00B33999"/>
    <w:rsid w:val="00B3399A"/>
    <w:rsid w:val="00B3399C"/>
    <w:rsid w:val="00B33A04"/>
    <w:rsid w:val="00B33A50"/>
    <w:rsid w:val="00B33A9D"/>
    <w:rsid w:val="00B33AE0"/>
    <w:rsid w:val="00B33AEE"/>
    <w:rsid w:val="00B33AF7"/>
    <w:rsid w:val="00B33B1A"/>
    <w:rsid w:val="00B33B32"/>
    <w:rsid w:val="00B33B3D"/>
    <w:rsid w:val="00B33B40"/>
    <w:rsid w:val="00B33B77"/>
    <w:rsid w:val="00B33C05"/>
    <w:rsid w:val="00B33C39"/>
    <w:rsid w:val="00B33C41"/>
    <w:rsid w:val="00B33C43"/>
    <w:rsid w:val="00B33C6B"/>
    <w:rsid w:val="00B33CB7"/>
    <w:rsid w:val="00B33CBD"/>
    <w:rsid w:val="00B33CCE"/>
    <w:rsid w:val="00B33CE7"/>
    <w:rsid w:val="00B33D0B"/>
    <w:rsid w:val="00B33D13"/>
    <w:rsid w:val="00B33D17"/>
    <w:rsid w:val="00B33D25"/>
    <w:rsid w:val="00B33D3E"/>
    <w:rsid w:val="00B33D55"/>
    <w:rsid w:val="00B33D6E"/>
    <w:rsid w:val="00B33DB3"/>
    <w:rsid w:val="00B33DD5"/>
    <w:rsid w:val="00B33DE3"/>
    <w:rsid w:val="00B33E50"/>
    <w:rsid w:val="00B33E6A"/>
    <w:rsid w:val="00B33E79"/>
    <w:rsid w:val="00B33E7E"/>
    <w:rsid w:val="00B33E9E"/>
    <w:rsid w:val="00B33EAA"/>
    <w:rsid w:val="00B33EE0"/>
    <w:rsid w:val="00B33F07"/>
    <w:rsid w:val="00B33F3C"/>
    <w:rsid w:val="00B33F65"/>
    <w:rsid w:val="00B33F7F"/>
    <w:rsid w:val="00B33F85"/>
    <w:rsid w:val="00B33F89"/>
    <w:rsid w:val="00B33FB3"/>
    <w:rsid w:val="00B33FC1"/>
    <w:rsid w:val="00B33FF0"/>
    <w:rsid w:val="00B34033"/>
    <w:rsid w:val="00B34055"/>
    <w:rsid w:val="00B34058"/>
    <w:rsid w:val="00B3405D"/>
    <w:rsid w:val="00B340A9"/>
    <w:rsid w:val="00B340BC"/>
    <w:rsid w:val="00B340C0"/>
    <w:rsid w:val="00B34112"/>
    <w:rsid w:val="00B34125"/>
    <w:rsid w:val="00B3412F"/>
    <w:rsid w:val="00B34135"/>
    <w:rsid w:val="00B34145"/>
    <w:rsid w:val="00B34150"/>
    <w:rsid w:val="00B34151"/>
    <w:rsid w:val="00B3415B"/>
    <w:rsid w:val="00B3416C"/>
    <w:rsid w:val="00B3417D"/>
    <w:rsid w:val="00B34185"/>
    <w:rsid w:val="00B34189"/>
    <w:rsid w:val="00B341CF"/>
    <w:rsid w:val="00B341FA"/>
    <w:rsid w:val="00B34202"/>
    <w:rsid w:val="00B34241"/>
    <w:rsid w:val="00B3426F"/>
    <w:rsid w:val="00B34291"/>
    <w:rsid w:val="00B342B2"/>
    <w:rsid w:val="00B342E6"/>
    <w:rsid w:val="00B34341"/>
    <w:rsid w:val="00B3436A"/>
    <w:rsid w:val="00B3437F"/>
    <w:rsid w:val="00B343EB"/>
    <w:rsid w:val="00B34405"/>
    <w:rsid w:val="00B34445"/>
    <w:rsid w:val="00B3448F"/>
    <w:rsid w:val="00B344E0"/>
    <w:rsid w:val="00B344EA"/>
    <w:rsid w:val="00B34501"/>
    <w:rsid w:val="00B34506"/>
    <w:rsid w:val="00B34584"/>
    <w:rsid w:val="00B34590"/>
    <w:rsid w:val="00B34607"/>
    <w:rsid w:val="00B3460F"/>
    <w:rsid w:val="00B34642"/>
    <w:rsid w:val="00B3468F"/>
    <w:rsid w:val="00B34696"/>
    <w:rsid w:val="00B346AE"/>
    <w:rsid w:val="00B346DA"/>
    <w:rsid w:val="00B346DD"/>
    <w:rsid w:val="00B346FE"/>
    <w:rsid w:val="00B3472B"/>
    <w:rsid w:val="00B34751"/>
    <w:rsid w:val="00B3475E"/>
    <w:rsid w:val="00B34785"/>
    <w:rsid w:val="00B347BA"/>
    <w:rsid w:val="00B347C7"/>
    <w:rsid w:val="00B347E6"/>
    <w:rsid w:val="00B34843"/>
    <w:rsid w:val="00B34860"/>
    <w:rsid w:val="00B34876"/>
    <w:rsid w:val="00B3489C"/>
    <w:rsid w:val="00B34908"/>
    <w:rsid w:val="00B3491F"/>
    <w:rsid w:val="00B34931"/>
    <w:rsid w:val="00B3493E"/>
    <w:rsid w:val="00B34958"/>
    <w:rsid w:val="00B34969"/>
    <w:rsid w:val="00B3497D"/>
    <w:rsid w:val="00B349C4"/>
    <w:rsid w:val="00B349D2"/>
    <w:rsid w:val="00B34A16"/>
    <w:rsid w:val="00B34A28"/>
    <w:rsid w:val="00B34A31"/>
    <w:rsid w:val="00B34A3D"/>
    <w:rsid w:val="00B34A87"/>
    <w:rsid w:val="00B34AE7"/>
    <w:rsid w:val="00B34B2D"/>
    <w:rsid w:val="00B34B3D"/>
    <w:rsid w:val="00B34B46"/>
    <w:rsid w:val="00B34BB0"/>
    <w:rsid w:val="00B34BB4"/>
    <w:rsid w:val="00B34C2C"/>
    <w:rsid w:val="00B34C4A"/>
    <w:rsid w:val="00B34C80"/>
    <w:rsid w:val="00B34CE8"/>
    <w:rsid w:val="00B34CF6"/>
    <w:rsid w:val="00B34D38"/>
    <w:rsid w:val="00B34D48"/>
    <w:rsid w:val="00B34D68"/>
    <w:rsid w:val="00B34D86"/>
    <w:rsid w:val="00B34D98"/>
    <w:rsid w:val="00B34DAA"/>
    <w:rsid w:val="00B34DC1"/>
    <w:rsid w:val="00B34DCC"/>
    <w:rsid w:val="00B34DD1"/>
    <w:rsid w:val="00B34DE2"/>
    <w:rsid w:val="00B34DFE"/>
    <w:rsid w:val="00B34E2D"/>
    <w:rsid w:val="00B34E4A"/>
    <w:rsid w:val="00B34E4C"/>
    <w:rsid w:val="00B34E63"/>
    <w:rsid w:val="00B34E99"/>
    <w:rsid w:val="00B34EBB"/>
    <w:rsid w:val="00B34EC5"/>
    <w:rsid w:val="00B34EC9"/>
    <w:rsid w:val="00B34ED4"/>
    <w:rsid w:val="00B34F09"/>
    <w:rsid w:val="00B34F58"/>
    <w:rsid w:val="00B34F86"/>
    <w:rsid w:val="00B34FBA"/>
    <w:rsid w:val="00B34FC8"/>
    <w:rsid w:val="00B34FD1"/>
    <w:rsid w:val="00B3502F"/>
    <w:rsid w:val="00B35069"/>
    <w:rsid w:val="00B3509A"/>
    <w:rsid w:val="00B350A0"/>
    <w:rsid w:val="00B350AD"/>
    <w:rsid w:val="00B350B4"/>
    <w:rsid w:val="00B350EF"/>
    <w:rsid w:val="00B35101"/>
    <w:rsid w:val="00B35103"/>
    <w:rsid w:val="00B3510A"/>
    <w:rsid w:val="00B35115"/>
    <w:rsid w:val="00B35138"/>
    <w:rsid w:val="00B35145"/>
    <w:rsid w:val="00B35161"/>
    <w:rsid w:val="00B35176"/>
    <w:rsid w:val="00B35182"/>
    <w:rsid w:val="00B351A2"/>
    <w:rsid w:val="00B351C5"/>
    <w:rsid w:val="00B351C7"/>
    <w:rsid w:val="00B351CA"/>
    <w:rsid w:val="00B351E2"/>
    <w:rsid w:val="00B35228"/>
    <w:rsid w:val="00B35232"/>
    <w:rsid w:val="00B35244"/>
    <w:rsid w:val="00B35261"/>
    <w:rsid w:val="00B3526C"/>
    <w:rsid w:val="00B352C1"/>
    <w:rsid w:val="00B352DD"/>
    <w:rsid w:val="00B352F7"/>
    <w:rsid w:val="00B3537B"/>
    <w:rsid w:val="00B353AE"/>
    <w:rsid w:val="00B353C9"/>
    <w:rsid w:val="00B35424"/>
    <w:rsid w:val="00B35437"/>
    <w:rsid w:val="00B3546C"/>
    <w:rsid w:val="00B354CD"/>
    <w:rsid w:val="00B354E9"/>
    <w:rsid w:val="00B354F3"/>
    <w:rsid w:val="00B3552C"/>
    <w:rsid w:val="00B3560D"/>
    <w:rsid w:val="00B35613"/>
    <w:rsid w:val="00B35623"/>
    <w:rsid w:val="00B356AA"/>
    <w:rsid w:val="00B356C6"/>
    <w:rsid w:val="00B356C8"/>
    <w:rsid w:val="00B356E4"/>
    <w:rsid w:val="00B356E6"/>
    <w:rsid w:val="00B356EF"/>
    <w:rsid w:val="00B356F8"/>
    <w:rsid w:val="00B35741"/>
    <w:rsid w:val="00B35743"/>
    <w:rsid w:val="00B35754"/>
    <w:rsid w:val="00B35775"/>
    <w:rsid w:val="00B3577B"/>
    <w:rsid w:val="00B357A4"/>
    <w:rsid w:val="00B357B2"/>
    <w:rsid w:val="00B357E2"/>
    <w:rsid w:val="00B35803"/>
    <w:rsid w:val="00B3580C"/>
    <w:rsid w:val="00B35818"/>
    <w:rsid w:val="00B35821"/>
    <w:rsid w:val="00B35829"/>
    <w:rsid w:val="00B3589C"/>
    <w:rsid w:val="00B358BF"/>
    <w:rsid w:val="00B358EF"/>
    <w:rsid w:val="00B35905"/>
    <w:rsid w:val="00B35979"/>
    <w:rsid w:val="00B3598F"/>
    <w:rsid w:val="00B35A00"/>
    <w:rsid w:val="00B35A05"/>
    <w:rsid w:val="00B35A08"/>
    <w:rsid w:val="00B35A2A"/>
    <w:rsid w:val="00B35A38"/>
    <w:rsid w:val="00B35A40"/>
    <w:rsid w:val="00B35A6C"/>
    <w:rsid w:val="00B35A71"/>
    <w:rsid w:val="00B35A7E"/>
    <w:rsid w:val="00B35AB6"/>
    <w:rsid w:val="00B35ADA"/>
    <w:rsid w:val="00B35B19"/>
    <w:rsid w:val="00B35B1D"/>
    <w:rsid w:val="00B35B30"/>
    <w:rsid w:val="00B35B58"/>
    <w:rsid w:val="00B35B73"/>
    <w:rsid w:val="00B35B8E"/>
    <w:rsid w:val="00B35BBD"/>
    <w:rsid w:val="00B35BD2"/>
    <w:rsid w:val="00B35C01"/>
    <w:rsid w:val="00B35C09"/>
    <w:rsid w:val="00B35C39"/>
    <w:rsid w:val="00B35C50"/>
    <w:rsid w:val="00B35C5D"/>
    <w:rsid w:val="00B35CBC"/>
    <w:rsid w:val="00B35CC0"/>
    <w:rsid w:val="00B35CCF"/>
    <w:rsid w:val="00B35CEA"/>
    <w:rsid w:val="00B35CF2"/>
    <w:rsid w:val="00B35D00"/>
    <w:rsid w:val="00B35D16"/>
    <w:rsid w:val="00B35D26"/>
    <w:rsid w:val="00B35D28"/>
    <w:rsid w:val="00B35D67"/>
    <w:rsid w:val="00B35D83"/>
    <w:rsid w:val="00B35D86"/>
    <w:rsid w:val="00B35DCF"/>
    <w:rsid w:val="00B35E23"/>
    <w:rsid w:val="00B35E32"/>
    <w:rsid w:val="00B35E4B"/>
    <w:rsid w:val="00B35E96"/>
    <w:rsid w:val="00B35EDE"/>
    <w:rsid w:val="00B35EF2"/>
    <w:rsid w:val="00B35EF6"/>
    <w:rsid w:val="00B35F02"/>
    <w:rsid w:val="00B35F0B"/>
    <w:rsid w:val="00B35F29"/>
    <w:rsid w:val="00B35F34"/>
    <w:rsid w:val="00B35FA5"/>
    <w:rsid w:val="00B35FAB"/>
    <w:rsid w:val="00B35FB4"/>
    <w:rsid w:val="00B35FD8"/>
    <w:rsid w:val="00B3603C"/>
    <w:rsid w:val="00B36052"/>
    <w:rsid w:val="00B3605D"/>
    <w:rsid w:val="00B360E7"/>
    <w:rsid w:val="00B360F4"/>
    <w:rsid w:val="00B3616B"/>
    <w:rsid w:val="00B36182"/>
    <w:rsid w:val="00B36192"/>
    <w:rsid w:val="00B361AC"/>
    <w:rsid w:val="00B361C1"/>
    <w:rsid w:val="00B36203"/>
    <w:rsid w:val="00B3620F"/>
    <w:rsid w:val="00B36241"/>
    <w:rsid w:val="00B36255"/>
    <w:rsid w:val="00B3626B"/>
    <w:rsid w:val="00B36358"/>
    <w:rsid w:val="00B3635A"/>
    <w:rsid w:val="00B36363"/>
    <w:rsid w:val="00B3636C"/>
    <w:rsid w:val="00B36383"/>
    <w:rsid w:val="00B36389"/>
    <w:rsid w:val="00B363B7"/>
    <w:rsid w:val="00B363D4"/>
    <w:rsid w:val="00B363F3"/>
    <w:rsid w:val="00B3642B"/>
    <w:rsid w:val="00B36459"/>
    <w:rsid w:val="00B364FC"/>
    <w:rsid w:val="00B3654C"/>
    <w:rsid w:val="00B36559"/>
    <w:rsid w:val="00B36590"/>
    <w:rsid w:val="00B365AD"/>
    <w:rsid w:val="00B365D0"/>
    <w:rsid w:val="00B3661A"/>
    <w:rsid w:val="00B36623"/>
    <w:rsid w:val="00B36662"/>
    <w:rsid w:val="00B366A3"/>
    <w:rsid w:val="00B366A6"/>
    <w:rsid w:val="00B366CB"/>
    <w:rsid w:val="00B366FA"/>
    <w:rsid w:val="00B366FD"/>
    <w:rsid w:val="00B3670B"/>
    <w:rsid w:val="00B367A4"/>
    <w:rsid w:val="00B36820"/>
    <w:rsid w:val="00B3682E"/>
    <w:rsid w:val="00B3682F"/>
    <w:rsid w:val="00B36848"/>
    <w:rsid w:val="00B3684D"/>
    <w:rsid w:val="00B36866"/>
    <w:rsid w:val="00B368A1"/>
    <w:rsid w:val="00B368F7"/>
    <w:rsid w:val="00B3691C"/>
    <w:rsid w:val="00B36985"/>
    <w:rsid w:val="00B3699C"/>
    <w:rsid w:val="00B369C0"/>
    <w:rsid w:val="00B36A3C"/>
    <w:rsid w:val="00B36A56"/>
    <w:rsid w:val="00B36A57"/>
    <w:rsid w:val="00B36AB6"/>
    <w:rsid w:val="00B36AD7"/>
    <w:rsid w:val="00B36ADD"/>
    <w:rsid w:val="00B36B00"/>
    <w:rsid w:val="00B36B1B"/>
    <w:rsid w:val="00B36B74"/>
    <w:rsid w:val="00B36B81"/>
    <w:rsid w:val="00B36B8D"/>
    <w:rsid w:val="00B36BD2"/>
    <w:rsid w:val="00B36BD9"/>
    <w:rsid w:val="00B36BEA"/>
    <w:rsid w:val="00B36C1C"/>
    <w:rsid w:val="00B36C36"/>
    <w:rsid w:val="00B36C44"/>
    <w:rsid w:val="00B36C8C"/>
    <w:rsid w:val="00B36CD7"/>
    <w:rsid w:val="00B36CF4"/>
    <w:rsid w:val="00B36D1E"/>
    <w:rsid w:val="00B36D29"/>
    <w:rsid w:val="00B36D3B"/>
    <w:rsid w:val="00B36D68"/>
    <w:rsid w:val="00B36D69"/>
    <w:rsid w:val="00B36DED"/>
    <w:rsid w:val="00B36DEF"/>
    <w:rsid w:val="00B36E7B"/>
    <w:rsid w:val="00B36EDA"/>
    <w:rsid w:val="00B36EE4"/>
    <w:rsid w:val="00B36EF9"/>
    <w:rsid w:val="00B36F27"/>
    <w:rsid w:val="00B36F3C"/>
    <w:rsid w:val="00B36F5B"/>
    <w:rsid w:val="00B36F87"/>
    <w:rsid w:val="00B37001"/>
    <w:rsid w:val="00B37016"/>
    <w:rsid w:val="00B37054"/>
    <w:rsid w:val="00B3706D"/>
    <w:rsid w:val="00B370BB"/>
    <w:rsid w:val="00B370F9"/>
    <w:rsid w:val="00B3711A"/>
    <w:rsid w:val="00B3711D"/>
    <w:rsid w:val="00B37122"/>
    <w:rsid w:val="00B37174"/>
    <w:rsid w:val="00B371BE"/>
    <w:rsid w:val="00B371EE"/>
    <w:rsid w:val="00B371F2"/>
    <w:rsid w:val="00B37201"/>
    <w:rsid w:val="00B37218"/>
    <w:rsid w:val="00B3722C"/>
    <w:rsid w:val="00B37251"/>
    <w:rsid w:val="00B37275"/>
    <w:rsid w:val="00B3728E"/>
    <w:rsid w:val="00B372B3"/>
    <w:rsid w:val="00B372B4"/>
    <w:rsid w:val="00B372DA"/>
    <w:rsid w:val="00B372DC"/>
    <w:rsid w:val="00B372E2"/>
    <w:rsid w:val="00B372EA"/>
    <w:rsid w:val="00B3732F"/>
    <w:rsid w:val="00B3733C"/>
    <w:rsid w:val="00B3734D"/>
    <w:rsid w:val="00B37355"/>
    <w:rsid w:val="00B37356"/>
    <w:rsid w:val="00B37374"/>
    <w:rsid w:val="00B3738D"/>
    <w:rsid w:val="00B373AF"/>
    <w:rsid w:val="00B373D2"/>
    <w:rsid w:val="00B373D9"/>
    <w:rsid w:val="00B373E7"/>
    <w:rsid w:val="00B373F2"/>
    <w:rsid w:val="00B373FD"/>
    <w:rsid w:val="00B37437"/>
    <w:rsid w:val="00B3744C"/>
    <w:rsid w:val="00B37472"/>
    <w:rsid w:val="00B3749C"/>
    <w:rsid w:val="00B374AE"/>
    <w:rsid w:val="00B374B9"/>
    <w:rsid w:val="00B37511"/>
    <w:rsid w:val="00B3754E"/>
    <w:rsid w:val="00B37555"/>
    <w:rsid w:val="00B37593"/>
    <w:rsid w:val="00B375D6"/>
    <w:rsid w:val="00B375D9"/>
    <w:rsid w:val="00B3765A"/>
    <w:rsid w:val="00B37670"/>
    <w:rsid w:val="00B37695"/>
    <w:rsid w:val="00B376B0"/>
    <w:rsid w:val="00B376CE"/>
    <w:rsid w:val="00B376E4"/>
    <w:rsid w:val="00B376E7"/>
    <w:rsid w:val="00B37703"/>
    <w:rsid w:val="00B37764"/>
    <w:rsid w:val="00B37791"/>
    <w:rsid w:val="00B377C0"/>
    <w:rsid w:val="00B377C4"/>
    <w:rsid w:val="00B37807"/>
    <w:rsid w:val="00B3784D"/>
    <w:rsid w:val="00B3787B"/>
    <w:rsid w:val="00B378A1"/>
    <w:rsid w:val="00B378C6"/>
    <w:rsid w:val="00B378CA"/>
    <w:rsid w:val="00B378F2"/>
    <w:rsid w:val="00B3792B"/>
    <w:rsid w:val="00B37A2F"/>
    <w:rsid w:val="00B37A31"/>
    <w:rsid w:val="00B37A39"/>
    <w:rsid w:val="00B37A41"/>
    <w:rsid w:val="00B37A55"/>
    <w:rsid w:val="00B37A92"/>
    <w:rsid w:val="00B37A94"/>
    <w:rsid w:val="00B37AB9"/>
    <w:rsid w:val="00B37AE3"/>
    <w:rsid w:val="00B37AFD"/>
    <w:rsid w:val="00B37B0C"/>
    <w:rsid w:val="00B37B1A"/>
    <w:rsid w:val="00B37B28"/>
    <w:rsid w:val="00B37B5A"/>
    <w:rsid w:val="00B37B79"/>
    <w:rsid w:val="00B37BA9"/>
    <w:rsid w:val="00B37BED"/>
    <w:rsid w:val="00B37C2C"/>
    <w:rsid w:val="00B37C35"/>
    <w:rsid w:val="00B37C3E"/>
    <w:rsid w:val="00B37C49"/>
    <w:rsid w:val="00B37C72"/>
    <w:rsid w:val="00B37C76"/>
    <w:rsid w:val="00B37C94"/>
    <w:rsid w:val="00B37C9C"/>
    <w:rsid w:val="00B37CD2"/>
    <w:rsid w:val="00B37CE6"/>
    <w:rsid w:val="00B37CF2"/>
    <w:rsid w:val="00B37D00"/>
    <w:rsid w:val="00B37D29"/>
    <w:rsid w:val="00B37DB5"/>
    <w:rsid w:val="00B37E97"/>
    <w:rsid w:val="00B37E9F"/>
    <w:rsid w:val="00B37EB7"/>
    <w:rsid w:val="00B37EE6"/>
    <w:rsid w:val="00B37EE9"/>
    <w:rsid w:val="00B37F22"/>
    <w:rsid w:val="00B37F5F"/>
    <w:rsid w:val="00B37F74"/>
    <w:rsid w:val="00B37F7F"/>
    <w:rsid w:val="00B37F87"/>
    <w:rsid w:val="00B37F8D"/>
    <w:rsid w:val="00B37FDF"/>
    <w:rsid w:val="00B40022"/>
    <w:rsid w:val="00B4003A"/>
    <w:rsid w:val="00B400C7"/>
    <w:rsid w:val="00B40140"/>
    <w:rsid w:val="00B4015F"/>
    <w:rsid w:val="00B4019B"/>
    <w:rsid w:val="00B401D4"/>
    <w:rsid w:val="00B40202"/>
    <w:rsid w:val="00B40211"/>
    <w:rsid w:val="00B40264"/>
    <w:rsid w:val="00B402AB"/>
    <w:rsid w:val="00B402AD"/>
    <w:rsid w:val="00B4037C"/>
    <w:rsid w:val="00B40387"/>
    <w:rsid w:val="00B40391"/>
    <w:rsid w:val="00B403AA"/>
    <w:rsid w:val="00B403AF"/>
    <w:rsid w:val="00B403C0"/>
    <w:rsid w:val="00B403CD"/>
    <w:rsid w:val="00B4040B"/>
    <w:rsid w:val="00B40411"/>
    <w:rsid w:val="00B40419"/>
    <w:rsid w:val="00B40428"/>
    <w:rsid w:val="00B4044C"/>
    <w:rsid w:val="00B40450"/>
    <w:rsid w:val="00B404BE"/>
    <w:rsid w:val="00B404DC"/>
    <w:rsid w:val="00B404FD"/>
    <w:rsid w:val="00B40556"/>
    <w:rsid w:val="00B4056A"/>
    <w:rsid w:val="00B40571"/>
    <w:rsid w:val="00B405C9"/>
    <w:rsid w:val="00B405D9"/>
    <w:rsid w:val="00B40636"/>
    <w:rsid w:val="00B4068A"/>
    <w:rsid w:val="00B406A3"/>
    <w:rsid w:val="00B406A6"/>
    <w:rsid w:val="00B406AE"/>
    <w:rsid w:val="00B406CD"/>
    <w:rsid w:val="00B40717"/>
    <w:rsid w:val="00B4076E"/>
    <w:rsid w:val="00B40777"/>
    <w:rsid w:val="00B4077F"/>
    <w:rsid w:val="00B40789"/>
    <w:rsid w:val="00B407CF"/>
    <w:rsid w:val="00B407E4"/>
    <w:rsid w:val="00B40844"/>
    <w:rsid w:val="00B40876"/>
    <w:rsid w:val="00B4088D"/>
    <w:rsid w:val="00B408CF"/>
    <w:rsid w:val="00B408E4"/>
    <w:rsid w:val="00B40947"/>
    <w:rsid w:val="00B409BC"/>
    <w:rsid w:val="00B409C5"/>
    <w:rsid w:val="00B409DA"/>
    <w:rsid w:val="00B409E8"/>
    <w:rsid w:val="00B409F7"/>
    <w:rsid w:val="00B40A13"/>
    <w:rsid w:val="00B40A85"/>
    <w:rsid w:val="00B40A8A"/>
    <w:rsid w:val="00B40AE9"/>
    <w:rsid w:val="00B40BA1"/>
    <w:rsid w:val="00B40BAA"/>
    <w:rsid w:val="00B40BE5"/>
    <w:rsid w:val="00B40BFF"/>
    <w:rsid w:val="00B40C09"/>
    <w:rsid w:val="00B40CA2"/>
    <w:rsid w:val="00B40CA8"/>
    <w:rsid w:val="00B40CD9"/>
    <w:rsid w:val="00B40CDD"/>
    <w:rsid w:val="00B40CEC"/>
    <w:rsid w:val="00B40CF2"/>
    <w:rsid w:val="00B40CF5"/>
    <w:rsid w:val="00B40D11"/>
    <w:rsid w:val="00B40D49"/>
    <w:rsid w:val="00B40D86"/>
    <w:rsid w:val="00B40DA4"/>
    <w:rsid w:val="00B40E3F"/>
    <w:rsid w:val="00B40E68"/>
    <w:rsid w:val="00B40EA8"/>
    <w:rsid w:val="00B40EB4"/>
    <w:rsid w:val="00B40EBF"/>
    <w:rsid w:val="00B40EE6"/>
    <w:rsid w:val="00B40F2D"/>
    <w:rsid w:val="00B40F3E"/>
    <w:rsid w:val="00B40F56"/>
    <w:rsid w:val="00B40FA0"/>
    <w:rsid w:val="00B40FAA"/>
    <w:rsid w:val="00B40FB9"/>
    <w:rsid w:val="00B40FCA"/>
    <w:rsid w:val="00B41045"/>
    <w:rsid w:val="00B41054"/>
    <w:rsid w:val="00B41074"/>
    <w:rsid w:val="00B41075"/>
    <w:rsid w:val="00B41094"/>
    <w:rsid w:val="00B410AE"/>
    <w:rsid w:val="00B410E9"/>
    <w:rsid w:val="00B410F8"/>
    <w:rsid w:val="00B41102"/>
    <w:rsid w:val="00B41128"/>
    <w:rsid w:val="00B41130"/>
    <w:rsid w:val="00B4115A"/>
    <w:rsid w:val="00B41166"/>
    <w:rsid w:val="00B4116E"/>
    <w:rsid w:val="00B41176"/>
    <w:rsid w:val="00B41210"/>
    <w:rsid w:val="00B41289"/>
    <w:rsid w:val="00B412B8"/>
    <w:rsid w:val="00B412C9"/>
    <w:rsid w:val="00B41303"/>
    <w:rsid w:val="00B41370"/>
    <w:rsid w:val="00B413E6"/>
    <w:rsid w:val="00B41415"/>
    <w:rsid w:val="00B4142D"/>
    <w:rsid w:val="00B4143E"/>
    <w:rsid w:val="00B41457"/>
    <w:rsid w:val="00B41484"/>
    <w:rsid w:val="00B414DF"/>
    <w:rsid w:val="00B4151E"/>
    <w:rsid w:val="00B41568"/>
    <w:rsid w:val="00B4159A"/>
    <w:rsid w:val="00B415A7"/>
    <w:rsid w:val="00B415C7"/>
    <w:rsid w:val="00B415CA"/>
    <w:rsid w:val="00B41630"/>
    <w:rsid w:val="00B41649"/>
    <w:rsid w:val="00B4167B"/>
    <w:rsid w:val="00B416AA"/>
    <w:rsid w:val="00B416B1"/>
    <w:rsid w:val="00B416B3"/>
    <w:rsid w:val="00B416D4"/>
    <w:rsid w:val="00B416F7"/>
    <w:rsid w:val="00B41735"/>
    <w:rsid w:val="00B41751"/>
    <w:rsid w:val="00B4176F"/>
    <w:rsid w:val="00B41775"/>
    <w:rsid w:val="00B4177C"/>
    <w:rsid w:val="00B41799"/>
    <w:rsid w:val="00B4179B"/>
    <w:rsid w:val="00B417EC"/>
    <w:rsid w:val="00B41837"/>
    <w:rsid w:val="00B41844"/>
    <w:rsid w:val="00B41845"/>
    <w:rsid w:val="00B41852"/>
    <w:rsid w:val="00B41871"/>
    <w:rsid w:val="00B418B2"/>
    <w:rsid w:val="00B418D1"/>
    <w:rsid w:val="00B418E5"/>
    <w:rsid w:val="00B418EC"/>
    <w:rsid w:val="00B418EE"/>
    <w:rsid w:val="00B418F7"/>
    <w:rsid w:val="00B4190D"/>
    <w:rsid w:val="00B41933"/>
    <w:rsid w:val="00B41943"/>
    <w:rsid w:val="00B4194A"/>
    <w:rsid w:val="00B41952"/>
    <w:rsid w:val="00B41960"/>
    <w:rsid w:val="00B41999"/>
    <w:rsid w:val="00B419DB"/>
    <w:rsid w:val="00B419DF"/>
    <w:rsid w:val="00B419E8"/>
    <w:rsid w:val="00B419EC"/>
    <w:rsid w:val="00B41A18"/>
    <w:rsid w:val="00B41A35"/>
    <w:rsid w:val="00B41A3A"/>
    <w:rsid w:val="00B41A78"/>
    <w:rsid w:val="00B41AB9"/>
    <w:rsid w:val="00B41AD1"/>
    <w:rsid w:val="00B41AE8"/>
    <w:rsid w:val="00B41AF5"/>
    <w:rsid w:val="00B41B1A"/>
    <w:rsid w:val="00B41B6B"/>
    <w:rsid w:val="00B41BBD"/>
    <w:rsid w:val="00B41BEF"/>
    <w:rsid w:val="00B41BF7"/>
    <w:rsid w:val="00B41BFE"/>
    <w:rsid w:val="00B41C10"/>
    <w:rsid w:val="00B41C50"/>
    <w:rsid w:val="00B41C51"/>
    <w:rsid w:val="00B41CC4"/>
    <w:rsid w:val="00B41CDE"/>
    <w:rsid w:val="00B41D44"/>
    <w:rsid w:val="00B41DCC"/>
    <w:rsid w:val="00B41DE9"/>
    <w:rsid w:val="00B41DEE"/>
    <w:rsid w:val="00B41DFB"/>
    <w:rsid w:val="00B41E2A"/>
    <w:rsid w:val="00B41E33"/>
    <w:rsid w:val="00B41E5F"/>
    <w:rsid w:val="00B41EAC"/>
    <w:rsid w:val="00B41EAE"/>
    <w:rsid w:val="00B41ED8"/>
    <w:rsid w:val="00B41EF2"/>
    <w:rsid w:val="00B41F15"/>
    <w:rsid w:val="00B41F20"/>
    <w:rsid w:val="00B41F48"/>
    <w:rsid w:val="00B41F6C"/>
    <w:rsid w:val="00B42029"/>
    <w:rsid w:val="00B4203A"/>
    <w:rsid w:val="00B4204C"/>
    <w:rsid w:val="00B42068"/>
    <w:rsid w:val="00B4207B"/>
    <w:rsid w:val="00B42083"/>
    <w:rsid w:val="00B420DA"/>
    <w:rsid w:val="00B420DD"/>
    <w:rsid w:val="00B420E3"/>
    <w:rsid w:val="00B42151"/>
    <w:rsid w:val="00B42163"/>
    <w:rsid w:val="00B42186"/>
    <w:rsid w:val="00B421A8"/>
    <w:rsid w:val="00B4226E"/>
    <w:rsid w:val="00B42275"/>
    <w:rsid w:val="00B4227F"/>
    <w:rsid w:val="00B422DA"/>
    <w:rsid w:val="00B422DD"/>
    <w:rsid w:val="00B42316"/>
    <w:rsid w:val="00B42348"/>
    <w:rsid w:val="00B4235D"/>
    <w:rsid w:val="00B42365"/>
    <w:rsid w:val="00B4243D"/>
    <w:rsid w:val="00B4244C"/>
    <w:rsid w:val="00B42452"/>
    <w:rsid w:val="00B42466"/>
    <w:rsid w:val="00B42491"/>
    <w:rsid w:val="00B4249E"/>
    <w:rsid w:val="00B424C9"/>
    <w:rsid w:val="00B424D8"/>
    <w:rsid w:val="00B424F6"/>
    <w:rsid w:val="00B42503"/>
    <w:rsid w:val="00B42551"/>
    <w:rsid w:val="00B42598"/>
    <w:rsid w:val="00B425B2"/>
    <w:rsid w:val="00B425BA"/>
    <w:rsid w:val="00B425C7"/>
    <w:rsid w:val="00B425EB"/>
    <w:rsid w:val="00B425F2"/>
    <w:rsid w:val="00B425F8"/>
    <w:rsid w:val="00B42618"/>
    <w:rsid w:val="00B4264B"/>
    <w:rsid w:val="00B4266F"/>
    <w:rsid w:val="00B42674"/>
    <w:rsid w:val="00B42676"/>
    <w:rsid w:val="00B42693"/>
    <w:rsid w:val="00B4271B"/>
    <w:rsid w:val="00B4271D"/>
    <w:rsid w:val="00B42727"/>
    <w:rsid w:val="00B42789"/>
    <w:rsid w:val="00B42798"/>
    <w:rsid w:val="00B427AC"/>
    <w:rsid w:val="00B4283D"/>
    <w:rsid w:val="00B42848"/>
    <w:rsid w:val="00B42857"/>
    <w:rsid w:val="00B428F9"/>
    <w:rsid w:val="00B42904"/>
    <w:rsid w:val="00B42953"/>
    <w:rsid w:val="00B429AA"/>
    <w:rsid w:val="00B429B1"/>
    <w:rsid w:val="00B42A62"/>
    <w:rsid w:val="00B42A96"/>
    <w:rsid w:val="00B42AE1"/>
    <w:rsid w:val="00B42AFF"/>
    <w:rsid w:val="00B42B0C"/>
    <w:rsid w:val="00B42B24"/>
    <w:rsid w:val="00B42B25"/>
    <w:rsid w:val="00B42B58"/>
    <w:rsid w:val="00B42B61"/>
    <w:rsid w:val="00B42B64"/>
    <w:rsid w:val="00B42B65"/>
    <w:rsid w:val="00B42BF7"/>
    <w:rsid w:val="00B42BFB"/>
    <w:rsid w:val="00B42BFF"/>
    <w:rsid w:val="00B42C03"/>
    <w:rsid w:val="00B42C13"/>
    <w:rsid w:val="00B42C1E"/>
    <w:rsid w:val="00B42C7F"/>
    <w:rsid w:val="00B42CE3"/>
    <w:rsid w:val="00B42D12"/>
    <w:rsid w:val="00B42D37"/>
    <w:rsid w:val="00B42DE7"/>
    <w:rsid w:val="00B42DE8"/>
    <w:rsid w:val="00B42DF1"/>
    <w:rsid w:val="00B42E07"/>
    <w:rsid w:val="00B42E18"/>
    <w:rsid w:val="00B42E61"/>
    <w:rsid w:val="00B42E71"/>
    <w:rsid w:val="00B42E83"/>
    <w:rsid w:val="00B42EB4"/>
    <w:rsid w:val="00B42EC9"/>
    <w:rsid w:val="00B42EE0"/>
    <w:rsid w:val="00B42EF4"/>
    <w:rsid w:val="00B42F07"/>
    <w:rsid w:val="00B42F4A"/>
    <w:rsid w:val="00B42F7A"/>
    <w:rsid w:val="00B42F88"/>
    <w:rsid w:val="00B42F93"/>
    <w:rsid w:val="00B42FA7"/>
    <w:rsid w:val="00B42FB2"/>
    <w:rsid w:val="00B42FF0"/>
    <w:rsid w:val="00B43022"/>
    <w:rsid w:val="00B43030"/>
    <w:rsid w:val="00B43037"/>
    <w:rsid w:val="00B43042"/>
    <w:rsid w:val="00B43054"/>
    <w:rsid w:val="00B43072"/>
    <w:rsid w:val="00B430C3"/>
    <w:rsid w:val="00B430D2"/>
    <w:rsid w:val="00B43130"/>
    <w:rsid w:val="00B43137"/>
    <w:rsid w:val="00B43173"/>
    <w:rsid w:val="00B431B8"/>
    <w:rsid w:val="00B431E0"/>
    <w:rsid w:val="00B431E8"/>
    <w:rsid w:val="00B431EA"/>
    <w:rsid w:val="00B431F5"/>
    <w:rsid w:val="00B43277"/>
    <w:rsid w:val="00B43293"/>
    <w:rsid w:val="00B432AE"/>
    <w:rsid w:val="00B432B2"/>
    <w:rsid w:val="00B432FB"/>
    <w:rsid w:val="00B432FC"/>
    <w:rsid w:val="00B43340"/>
    <w:rsid w:val="00B4337B"/>
    <w:rsid w:val="00B43389"/>
    <w:rsid w:val="00B433C4"/>
    <w:rsid w:val="00B433D3"/>
    <w:rsid w:val="00B433F4"/>
    <w:rsid w:val="00B43433"/>
    <w:rsid w:val="00B4346E"/>
    <w:rsid w:val="00B434A7"/>
    <w:rsid w:val="00B434EF"/>
    <w:rsid w:val="00B43585"/>
    <w:rsid w:val="00B43594"/>
    <w:rsid w:val="00B435AF"/>
    <w:rsid w:val="00B435C7"/>
    <w:rsid w:val="00B43624"/>
    <w:rsid w:val="00B43644"/>
    <w:rsid w:val="00B4364E"/>
    <w:rsid w:val="00B43656"/>
    <w:rsid w:val="00B43679"/>
    <w:rsid w:val="00B4369A"/>
    <w:rsid w:val="00B436AB"/>
    <w:rsid w:val="00B436B7"/>
    <w:rsid w:val="00B43781"/>
    <w:rsid w:val="00B43783"/>
    <w:rsid w:val="00B43784"/>
    <w:rsid w:val="00B43799"/>
    <w:rsid w:val="00B437B2"/>
    <w:rsid w:val="00B437BB"/>
    <w:rsid w:val="00B437DA"/>
    <w:rsid w:val="00B437F6"/>
    <w:rsid w:val="00B4382E"/>
    <w:rsid w:val="00B43856"/>
    <w:rsid w:val="00B438AB"/>
    <w:rsid w:val="00B43923"/>
    <w:rsid w:val="00B4394D"/>
    <w:rsid w:val="00B4399E"/>
    <w:rsid w:val="00B439AE"/>
    <w:rsid w:val="00B439EB"/>
    <w:rsid w:val="00B439F1"/>
    <w:rsid w:val="00B43A5A"/>
    <w:rsid w:val="00B43A5B"/>
    <w:rsid w:val="00B43A71"/>
    <w:rsid w:val="00B43A7F"/>
    <w:rsid w:val="00B43A91"/>
    <w:rsid w:val="00B43AE3"/>
    <w:rsid w:val="00B43AEF"/>
    <w:rsid w:val="00B43B03"/>
    <w:rsid w:val="00B43B0B"/>
    <w:rsid w:val="00B43B17"/>
    <w:rsid w:val="00B43B1D"/>
    <w:rsid w:val="00B43B31"/>
    <w:rsid w:val="00B43B62"/>
    <w:rsid w:val="00B43B82"/>
    <w:rsid w:val="00B43B95"/>
    <w:rsid w:val="00B43C2F"/>
    <w:rsid w:val="00B43C33"/>
    <w:rsid w:val="00B43C34"/>
    <w:rsid w:val="00B43C38"/>
    <w:rsid w:val="00B43C51"/>
    <w:rsid w:val="00B43C69"/>
    <w:rsid w:val="00B43CA8"/>
    <w:rsid w:val="00B43CB8"/>
    <w:rsid w:val="00B43CC8"/>
    <w:rsid w:val="00B43CCE"/>
    <w:rsid w:val="00B43CDB"/>
    <w:rsid w:val="00B43CF4"/>
    <w:rsid w:val="00B43D3E"/>
    <w:rsid w:val="00B43D84"/>
    <w:rsid w:val="00B43DED"/>
    <w:rsid w:val="00B43DFE"/>
    <w:rsid w:val="00B43E0C"/>
    <w:rsid w:val="00B43E13"/>
    <w:rsid w:val="00B43E68"/>
    <w:rsid w:val="00B43E8E"/>
    <w:rsid w:val="00B43EA9"/>
    <w:rsid w:val="00B43EC1"/>
    <w:rsid w:val="00B43ECE"/>
    <w:rsid w:val="00B43EDE"/>
    <w:rsid w:val="00B43F48"/>
    <w:rsid w:val="00B43F88"/>
    <w:rsid w:val="00B43FC8"/>
    <w:rsid w:val="00B43FD4"/>
    <w:rsid w:val="00B43FD9"/>
    <w:rsid w:val="00B43FE9"/>
    <w:rsid w:val="00B43FFE"/>
    <w:rsid w:val="00B4402F"/>
    <w:rsid w:val="00B44080"/>
    <w:rsid w:val="00B4409C"/>
    <w:rsid w:val="00B440E3"/>
    <w:rsid w:val="00B4413F"/>
    <w:rsid w:val="00B44145"/>
    <w:rsid w:val="00B44149"/>
    <w:rsid w:val="00B44194"/>
    <w:rsid w:val="00B4419A"/>
    <w:rsid w:val="00B441C7"/>
    <w:rsid w:val="00B441D2"/>
    <w:rsid w:val="00B441DC"/>
    <w:rsid w:val="00B4425B"/>
    <w:rsid w:val="00B4425D"/>
    <w:rsid w:val="00B4427A"/>
    <w:rsid w:val="00B44297"/>
    <w:rsid w:val="00B442B2"/>
    <w:rsid w:val="00B44311"/>
    <w:rsid w:val="00B44368"/>
    <w:rsid w:val="00B44384"/>
    <w:rsid w:val="00B443F1"/>
    <w:rsid w:val="00B443FC"/>
    <w:rsid w:val="00B4440B"/>
    <w:rsid w:val="00B44430"/>
    <w:rsid w:val="00B4444D"/>
    <w:rsid w:val="00B4446A"/>
    <w:rsid w:val="00B444C8"/>
    <w:rsid w:val="00B444DD"/>
    <w:rsid w:val="00B4451F"/>
    <w:rsid w:val="00B4457A"/>
    <w:rsid w:val="00B4457F"/>
    <w:rsid w:val="00B44596"/>
    <w:rsid w:val="00B445AC"/>
    <w:rsid w:val="00B445DA"/>
    <w:rsid w:val="00B44640"/>
    <w:rsid w:val="00B44671"/>
    <w:rsid w:val="00B446D4"/>
    <w:rsid w:val="00B446E1"/>
    <w:rsid w:val="00B446F6"/>
    <w:rsid w:val="00B4473D"/>
    <w:rsid w:val="00B44757"/>
    <w:rsid w:val="00B44793"/>
    <w:rsid w:val="00B4479E"/>
    <w:rsid w:val="00B447A4"/>
    <w:rsid w:val="00B447C2"/>
    <w:rsid w:val="00B44800"/>
    <w:rsid w:val="00B44814"/>
    <w:rsid w:val="00B4489D"/>
    <w:rsid w:val="00B448A4"/>
    <w:rsid w:val="00B448CE"/>
    <w:rsid w:val="00B44918"/>
    <w:rsid w:val="00B44937"/>
    <w:rsid w:val="00B44946"/>
    <w:rsid w:val="00B44977"/>
    <w:rsid w:val="00B44986"/>
    <w:rsid w:val="00B4499B"/>
    <w:rsid w:val="00B4499D"/>
    <w:rsid w:val="00B44A74"/>
    <w:rsid w:val="00B44A7E"/>
    <w:rsid w:val="00B44A9D"/>
    <w:rsid w:val="00B44ABF"/>
    <w:rsid w:val="00B44AE6"/>
    <w:rsid w:val="00B44B20"/>
    <w:rsid w:val="00B44B34"/>
    <w:rsid w:val="00B44B64"/>
    <w:rsid w:val="00B44B7F"/>
    <w:rsid w:val="00B44BAA"/>
    <w:rsid w:val="00B44BDA"/>
    <w:rsid w:val="00B44C28"/>
    <w:rsid w:val="00B44C74"/>
    <w:rsid w:val="00B44C77"/>
    <w:rsid w:val="00B44C85"/>
    <w:rsid w:val="00B44C93"/>
    <w:rsid w:val="00B44CB6"/>
    <w:rsid w:val="00B44CE8"/>
    <w:rsid w:val="00B44D0C"/>
    <w:rsid w:val="00B44D1E"/>
    <w:rsid w:val="00B44D2D"/>
    <w:rsid w:val="00B44D6A"/>
    <w:rsid w:val="00B44DAF"/>
    <w:rsid w:val="00B44DCE"/>
    <w:rsid w:val="00B44E40"/>
    <w:rsid w:val="00B44EA6"/>
    <w:rsid w:val="00B44EC1"/>
    <w:rsid w:val="00B44ED0"/>
    <w:rsid w:val="00B44ED8"/>
    <w:rsid w:val="00B44ED9"/>
    <w:rsid w:val="00B44EF8"/>
    <w:rsid w:val="00B44EFF"/>
    <w:rsid w:val="00B44F43"/>
    <w:rsid w:val="00B44FAD"/>
    <w:rsid w:val="00B4501D"/>
    <w:rsid w:val="00B45020"/>
    <w:rsid w:val="00B45022"/>
    <w:rsid w:val="00B4502D"/>
    <w:rsid w:val="00B4503B"/>
    <w:rsid w:val="00B45050"/>
    <w:rsid w:val="00B45055"/>
    <w:rsid w:val="00B4505C"/>
    <w:rsid w:val="00B4507D"/>
    <w:rsid w:val="00B4509E"/>
    <w:rsid w:val="00B450F0"/>
    <w:rsid w:val="00B45110"/>
    <w:rsid w:val="00B45115"/>
    <w:rsid w:val="00B4515B"/>
    <w:rsid w:val="00B45177"/>
    <w:rsid w:val="00B4518F"/>
    <w:rsid w:val="00B45197"/>
    <w:rsid w:val="00B45201"/>
    <w:rsid w:val="00B452D3"/>
    <w:rsid w:val="00B452E8"/>
    <w:rsid w:val="00B452FE"/>
    <w:rsid w:val="00B45304"/>
    <w:rsid w:val="00B4532F"/>
    <w:rsid w:val="00B4534F"/>
    <w:rsid w:val="00B45352"/>
    <w:rsid w:val="00B4535D"/>
    <w:rsid w:val="00B45363"/>
    <w:rsid w:val="00B453B2"/>
    <w:rsid w:val="00B453C8"/>
    <w:rsid w:val="00B453DE"/>
    <w:rsid w:val="00B45449"/>
    <w:rsid w:val="00B4544B"/>
    <w:rsid w:val="00B45476"/>
    <w:rsid w:val="00B45491"/>
    <w:rsid w:val="00B454B1"/>
    <w:rsid w:val="00B454D6"/>
    <w:rsid w:val="00B4551B"/>
    <w:rsid w:val="00B4552E"/>
    <w:rsid w:val="00B4554F"/>
    <w:rsid w:val="00B45550"/>
    <w:rsid w:val="00B455A4"/>
    <w:rsid w:val="00B455DD"/>
    <w:rsid w:val="00B455E7"/>
    <w:rsid w:val="00B45627"/>
    <w:rsid w:val="00B4563B"/>
    <w:rsid w:val="00B45658"/>
    <w:rsid w:val="00B45684"/>
    <w:rsid w:val="00B456A5"/>
    <w:rsid w:val="00B456AC"/>
    <w:rsid w:val="00B456E7"/>
    <w:rsid w:val="00B456E9"/>
    <w:rsid w:val="00B457AE"/>
    <w:rsid w:val="00B458BE"/>
    <w:rsid w:val="00B458F4"/>
    <w:rsid w:val="00B458F6"/>
    <w:rsid w:val="00B45962"/>
    <w:rsid w:val="00B45977"/>
    <w:rsid w:val="00B4597B"/>
    <w:rsid w:val="00B459B9"/>
    <w:rsid w:val="00B45A52"/>
    <w:rsid w:val="00B45AB0"/>
    <w:rsid w:val="00B45AB6"/>
    <w:rsid w:val="00B45AC3"/>
    <w:rsid w:val="00B45ADB"/>
    <w:rsid w:val="00B45AF3"/>
    <w:rsid w:val="00B45AF5"/>
    <w:rsid w:val="00B45B0B"/>
    <w:rsid w:val="00B45B2A"/>
    <w:rsid w:val="00B45B61"/>
    <w:rsid w:val="00B45B7D"/>
    <w:rsid w:val="00B45B94"/>
    <w:rsid w:val="00B45B96"/>
    <w:rsid w:val="00B45BBB"/>
    <w:rsid w:val="00B45BE8"/>
    <w:rsid w:val="00B45BF7"/>
    <w:rsid w:val="00B45C47"/>
    <w:rsid w:val="00B45C49"/>
    <w:rsid w:val="00B45C5C"/>
    <w:rsid w:val="00B45C92"/>
    <w:rsid w:val="00B45C97"/>
    <w:rsid w:val="00B45C98"/>
    <w:rsid w:val="00B45CB8"/>
    <w:rsid w:val="00B45CC6"/>
    <w:rsid w:val="00B45CE4"/>
    <w:rsid w:val="00B45D53"/>
    <w:rsid w:val="00B45D90"/>
    <w:rsid w:val="00B45DF3"/>
    <w:rsid w:val="00B45DFA"/>
    <w:rsid w:val="00B45E21"/>
    <w:rsid w:val="00B45E6F"/>
    <w:rsid w:val="00B45EA3"/>
    <w:rsid w:val="00B45EA6"/>
    <w:rsid w:val="00B45EA8"/>
    <w:rsid w:val="00B45EF8"/>
    <w:rsid w:val="00B45EFC"/>
    <w:rsid w:val="00B45F4F"/>
    <w:rsid w:val="00B45F60"/>
    <w:rsid w:val="00B45F84"/>
    <w:rsid w:val="00B4600C"/>
    <w:rsid w:val="00B46051"/>
    <w:rsid w:val="00B4608E"/>
    <w:rsid w:val="00B460A7"/>
    <w:rsid w:val="00B460BC"/>
    <w:rsid w:val="00B4610A"/>
    <w:rsid w:val="00B46176"/>
    <w:rsid w:val="00B461B3"/>
    <w:rsid w:val="00B461C2"/>
    <w:rsid w:val="00B461C6"/>
    <w:rsid w:val="00B46210"/>
    <w:rsid w:val="00B46258"/>
    <w:rsid w:val="00B46277"/>
    <w:rsid w:val="00B4628E"/>
    <w:rsid w:val="00B462B5"/>
    <w:rsid w:val="00B462C1"/>
    <w:rsid w:val="00B462E2"/>
    <w:rsid w:val="00B46322"/>
    <w:rsid w:val="00B4636E"/>
    <w:rsid w:val="00B463CF"/>
    <w:rsid w:val="00B463E0"/>
    <w:rsid w:val="00B463EC"/>
    <w:rsid w:val="00B46413"/>
    <w:rsid w:val="00B4641F"/>
    <w:rsid w:val="00B4642C"/>
    <w:rsid w:val="00B46433"/>
    <w:rsid w:val="00B46449"/>
    <w:rsid w:val="00B46475"/>
    <w:rsid w:val="00B46485"/>
    <w:rsid w:val="00B464AE"/>
    <w:rsid w:val="00B464B2"/>
    <w:rsid w:val="00B46502"/>
    <w:rsid w:val="00B46518"/>
    <w:rsid w:val="00B4653D"/>
    <w:rsid w:val="00B46550"/>
    <w:rsid w:val="00B46563"/>
    <w:rsid w:val="00B465B3"/>
    <w:rsid w:val="00B465E0"/>
    <w:rsid w:val="00B465F4"/>
    <w:rsid w:val="00B465F8"/>
    <w:rsid w:val="00B46619"/>
    <w:rsid w:val="00B46642"/>
    <w:rsid w:val="00B46658"/>
    <w:rsid w:val="00B466A1"/>
    <w:rsid w:val="00B4671D"/>
    <w:rsid w:val="00B4676F"/>
    <w:rsid w:val="00B46770"/>
    <w:rsid w:val="00B46781"/>
    <w:rsid w:val="00B4679E"/>
    <w:rsid w:val="00B467B4"/>
    <w:rsid w:val="00B467B5"/>
    <w:rsid w:val="00B4684E"/>
    <w:rsid w:val="00B46854"/>
    <w:rsid w:val="00B46873"/>
    <w:rsid w:val="00B4687D"/>
    <w:rsid w:val="00B46894"/>
    <w:rsid w:val="00B468AD"/>
    <w:rsid w:val="00B4690A"/>
    <w:rsid w:val="00B4697C"/>
    <w:rsid w:val="00B469B1"/>
    <w:rsid w:val="00B469BD"/>
    <w:rsid w:val="00B469C1"/>
    <w:rsid w:val="00B469F9"/>
    <w:rsid w:val="00B46A66"/>
    <w:rsid w:val="00B46A74"/>
    <w:rsid w:val="00B46A7A"/>
    <w:rsid w:val="00B46AA4"/>
    <w:rsid w:val="00B46AB3"/>
    <w:rsid w:val="00B46AE4"/>
    <w:rsid w:val="00B46AF1"/>
    <w:rsid w:val="00B46B01"/>
    <w:rsid w:val="00B46B34"/>
    <w:rsid w:val="00B46B57"/>
    <w:rsid w:val="00B46B6B"/>
    <w:rsid w:val="00B46B9C"/>
    <w:rsid w:val="00B46BD3"/>
    <w:rsid w:val="00B46BF8"/>
    <w:rsid w:val="00B46C01"/>
    <w:rsid w:val="00B46C18"/>
    <w:rsid w:val="00B46C24"/>
    <w:rsid w:val="00B46C4E"/>
    <w:rsid w:val="00B46C78"/>
    <w:rsid w:val="00B46CE3"/>
    <w:rsid w:val="00B46CE7"/>
    <w:rsid w:val="00B46D17"/>
    <w:rsid w:val="00B46D4D"/>
    <w:rsid w:val="00B46D57"/>
    <w:rsid w:val="00B46E12"/>
    <w:rsid w:val="00B46E20"/>
    <w:rsid w:val="00B46E33"/>
    <w:rsid w:val="00B46E3F"/>
    <w:rsid w:val="00B46E7D"/>
    <w:rsid w:val="00B46E84"/>
    <w:rsid w:val="00B46EAE"/>
    <w:rsid w:val="00B46EF1"/>
    <w:rsid w:val="00B46EF2"/>
    <w:rsid w:val="00B46F7D"/>
    <w:rsid w:val="00B46F99"/>
    <w:rsid w:val="00B46FAA"/>
    <w:rsid w:val="00B46FB3"/>
    <w:rsid w:val="00B47079"/>
    <w:rsid w:val="00B4707E"/>
    <w:rsid w:val="00B47086"/>
    <w:rsid w:val="00B470CE"/>
    <w:rsid w:val="00B470D6"/>
    <w:rsid w:val="00B4712C"/>
    <w:rsid w:val="00B47134"/>
    <w:rsid w:val="00B47192"/>
    <w:rsid w:val="00B4719B"/>
    <w:rsid w:val="00B471C3"/>
    <w:rsid w:val="00B471DF"/>
    <w:rsid w:val="00B471E1"/>
    <w:rsid w:val="00B471E3"/>
    <w:rsid w:val="00B4722F"/>
    <w:rsid w:val="00B47241"/>
    <w:rsid w:val="00B47266"/>
    <w:rsid w:val="00B47282"/>
    <w:rsid w:val="00B47308"/>
    <w:rsid w:val="00B47338"/>
    <w:rsid w:val="00B47394"/>
    <w:rsid w:val="00B473B2"/>
    <w:rsid w:val="00B473D9"/>
    <w:rsid w:val="00B4740C"/>
    <w:rsid w:val="00B47443"/>
    <w:rsid w:val="00B47474"/>
    <w:rsid w:val="00B4747E"/>
    <w:rsid w:val="00B47493"/>
    <w:rsid w:val="00B474CD"/>
    <w:rsid w:val="00B474D7"/>
    <w:rsid w:val="00B47517"/>
    <w:rsid w:val="00B47521"/>
    <w:rsid w:val="00B47556"/>
    <w:rsid w:val="00B47566"/>
    <w:rsid w:val="00B47568"/>
    <w:rsid w:val="00B4757A"/>
    <w:rsid w:val="00B475C9"/>
    <w:rsid w:val="00B4760B"/>
    <w:rsid w:val="00B47627"/>
    <w:rsid w:val="00B47645"/>
    <w:rsid w:val="00B47663"/>
    <w:rsid w:val="00B476C7"/>
    <w:rsid w:val="00B476EC"/>
    <w:rsid w:val="00B47743"/>
    <w:rsid w:val="00B47763"/>
    <w:rsid w:val="00B4778F"/>
    <w:rsid w:val="00B4779B"/>
    <w:rsid w:val="00B477D8"/>
    <w:rsid w:val="00B477F0"/>
    <w:rsid w:val="00B47821"/>
    <w:rsid w:val="00B4787B"/>
    <w:rsid w:val="00B478A8"/>
    <w:rsid w:val="00B478BA"/>
    <w:rsid w:val="00B478D2"/>
    <w:rsid w:val="00B478E3"/>
    <w:rsid w:val="00B478EA"/>
    <w:rsid w:val="00B4793F"/>
    <w:rsid w:val="00B47971"/>
    <w:rsid w:val="00B47994"/>
    <w:rsid w:val="00B479A7"/>
    <w:rsid w:val="00B479B0"/>
    <w:rsid w:val="00B479C3"/>
    <w:rsid w:val="00B479CE"/>
    <w:rsid w:val="00B479E2"/>
    <w:rsid w:val="00B47A2A"/>
    <w:rsid w:val="00B47A3F"/>
    <w:rsid w:val="00B47A7D"/>
    <w:rsid w:val="00B47A82"/>
    <w:rsid w:val="00B47A83"/>
    <w:rsid w:val="00B47A84"/>
    <w:rsid w:val="00B47ACF"/>
    <w:rsid w:val="00B47ADB"/>
    <w:rsid w:val="00B47B8F"/>
    <w:rsid w:val="00B47C05"/>
    <w:rsid w:val="00B47C11"/>
    <w:rsid w:val="00B47C27"/>
    <w:rsid w:val="00B47C2B"/>
    <w:rsid w:val="00B47C90"/>
    <w:rsid w:val="00B47CA4"/>
    <w:rsid w:val="00B47CEA"/>
    <w:rsid w:val="00B47D00"/>
    <w:rsid w:val="00B47D32"/>
    <w:rsid w:val="00B47D3B"/>
    <w:rsid w:val="00B47D46"/>
    <w:rsid w:val="00B47D51"/>
    <w:rsid w:val="00B47D65"/>
    <w:rsid w:val="00B47D73"/>
    <w:rsid w:val="00B47D85"/>
    <w:rsid w:val="00B47D99"/>
    <w:rsid w:val="00B47DCF"/>
    <w:rsid w:val="00B47E10"/>
    <w:rsid w:val="00B47E12"/>
    <w:rsid w:val="00B47E37"/>
    <w:rsid w:val="00B47E50"/>
    <w:rsid w:val="00B47E63"/>
    <w:rsid w:val="00B47E82"/>
    <w:rsid w:val="00B47EBF"/>
    <w:rsid w:val="00B47F15"/>
    <w:rsid w:val="00B47F3D"/>
    <w:rsid w:val="00B47F48"/>
    <w:rsid w:val="00B47F74"/>
    <w:rsid w:val="00B47F96"/>
    <w:rsid w:val="00B47FA6"/>
    <w:rsid w:val="00B50042"/>
    <w:rsid w:val="00B50077"/>
    <w:rsid w:val="00B5007D"/>
    <w:rsid w:val="00B500DA"/>
    <w:rsid w:val="00B500F5"/>
    <w:rsid w:val="00B5010C"/>
    <w:rsid w:val="00B5010D"/>
    <w:rsid w:val="00B50111"/>
    <w:rsid w:val="00B5013E"/>
    <w:rsid w:val="00B50145"/>
    <w:rsid w:val="00B5017F"/>
    <w:rsid w:val="00B5018B"/>
    <w:rsid w:val="00B501A2"/>
    <w:rsid w:val="00B501AD"/>
    <w:rsid w:val="00B501C8"/>
    <w:rsid w:val="00B501F4"/>
    <w:rsid w:val="00B501F8"/>
    <w:rsid w:val="00B501FE"/>
    <w:rsid w:val="00B50259"/>
    <w:rsid w:val="00B50294"/>
    <w:rsid w:val="00B50315"/>
    <w:rsid w:val="00B50327"/>
    <w:rsid w:val="00B5039B"/>
    <w:rsid w:val="00B503AB"/>
    <w:rsid w:val="00B503C4"/>
    <w:rsid w:val="00B503E5"/>
    <w:rsid w:val="00B503F7"/>
    <w:rsid w:val="00B5040D"/>
    <w:rsid w:val="00B5042B"/>
    <w:rsid w:val="00B5042E"/>
    <w:rsid w:val="00B5047E"/>
    <w:rsid w:val="00B50483"/>
    <w:rsid w:val="00B50491"/>
    <w:rsid w:val="00B504BD"/>
    <w:rsid w:val="00B504F1"/>
    <w:rsid w:val="00B5050B"/>
    <w:rsid w:val="00B5052A"/>
    <w:rsid w:val="00B505FD"/>
    <w:rsid w:val="00B50625"/>
    <w:rsid w:val="00B50676"/>
    <w:rsid w:val="00B50697"/>
    <w:rsid w:val="00B506C4"/>
    <w:rsid w:val="00B50711"/>
    <w:rsid w:val="00B50782"/>
    <w:rsid w:val="00B507B0"/>
    <w:rsid w:val="00B507F2"/>
    <w:rsid w:val="00B507F9"/>
    <w:rsid w:val="00B507FB"/>
    <w:rsid w:val="00B5083D"/>
    <w:rsid w:val="00B50849"/>
    <w:rsid w:val="00B50857"/>
    <w:rsid w:val="00B5085A"/>
    <w:rsid w:val="00B5085F"/>
    <w:rsid w:val="00B5086C"/>
    <w:rsid w:val="00B50889"/>
    <w:rsid w:val="00B508B8"/>
    <w:rsid w:val="00B508FE"/>
    <w:rsid w:val="00B5090D"/>
    <w:rsid w:val="00B50937"/>
    <w:rsid w:val="00B5093F"/>
    <w:rsid w:val="00B50941"/>
    <w:rsid w:val="00B5096A"/>
    <w:rsid w:val="00B509BD"/>
    <w:rsid w:val="00B50A0F"/>
    <w:rsid w:val="00B50A19"/>
    <w:rsid w:val="00B50A65"/>
    <w:rsid w:val="00B50A92"/>
    <w:rsid w:val="00B50AAF"/>
    <w:rsid w:val="00B50AE8"/>
    <w:rsid w:val="00B50AF6"/>
    <w:rsid w:val="00B50AFB"/>
    <w:rsid w:val="00B50AFC"/>
    <w:rsid w:val="00B50B3D"/>
    <w:rsid w:val="00B50B6B"/>
    <w:rsid w:val="00B50B6F"/>
    <w:rsid w:val="00B50BC7"/>
    <w:rsid w:val="00B50BCA"/>
    <w:rsid w:val="00B50C10"/>
    <w:rsid w:val="00B50C22"/>
    <w:rsid w:val="00B50C37"/>
    <w:rsid w:val="00B50C39"/>
    <w:rsid w:val="00B50CD3"/>
    <w:rsid w:val="00B50CDF"/>
    <w:rsid w:val="00B50CE7"/>
    <w:rsid w:val="00B50CEE"/>
    <w:rsid w:val="00B50D08"/>
    <w:rsid w:val="00B50D23"/>
    <w:rsid w:val="00B50D80"/>
    <w:rsid w:val="00B50DAE"/>
    <w:rsid w:val="00B50DB7"/>
    <w:rsid w:val="00B50DC3"/>
    <w:rsid w:val="00B50DDE"/>
    <w:rsid w:val="00B50DFA"/>
    <w:rsid w:val="00B50E0D"/>
    <w:rsid w:val="00B50E1A"/>
    <w:rsid w:val="00B50E20"/>
    <w:rsid w:val="00B50E52"/>
    <w:rsid w:val="00B50E9E"/>
    <w:rsid w:val="00B50EA1"/>
    <w:rsid w:val="00B50EA7"/>
    <w:rsid w:val="00B50EEB"/>
    <w:rsid w:val="00B50EF9"/>
    <w:rsid w:val="00B50F20"/>
    <w:rsid w:val="00B50FC0"/>
    <w:rsid w:val="00B50FD0"/>
    <w:rsid w:val="00B50FDF"/>
    <w:rsid w:val="00B5101C"/>
    <w:rsid w:val="00B51052"/>
    <w:rsid w:val="00B51082"/>
    <w:rsid w:val="00B51089"/>
    <w:rsid w:val="00B510D2"/>
    <w:rsid w:val="00B510DB"/>
    <w:rsid w:val="00B510E8"/>
    <w:rsid w:val="00B5114C"/>
    <w:rsid w:val="00B511C3"/>
    <w:rsid w:val="00B511F2"/>
    <w:rsid w:val="00B51203"/>
    <w:rsid w:val="00B512C6"/>
    <w:rsid w:val="00B512D0"/>
    <w:rsid w:val="00B512F2"/>
    <w:rsid w:val="00B51313"/>
    <w:rsid w:val="00B5134E"/>
    <w:rsid w:val="00B5135B"/>
    <w:rsid w:val="00B5139B"/>
    <w:rsid w:val="00B513E4"/>
    <w:rsid w:val="00B5141D"/>
    <w:rsid w:val="00B51477"/>
    <w:rsid w:val="00B51496"/>
    <w:rsid w:val="00B514A8"/>
    <w:rsid w:val="00B514B4"/>
    <w:rsid w:val="00B514CD"/>
    <w:rsid w:val="00B51507"/>
    <w:rsid w:val="00B51522"/>
    <w:rsid w:val="00B51529"/>
    <w:rsid w:val="00B5155D"/>
    <w:rsid w:val="00B5157B"/>
    <w:rsid w:val="00B51582"/>
    <w:rsid w:val="00B515A6"/>
    <w:rsid w:val="00B51631"/>
    <w:rsid w:val="00B51654"/>
    <w:rsid w:val="00B51680"/>
    <w:rsid w:val="00B516E5"/>
    <w:rsid w:val="00B516F6"/>
    <w:rsid w:val="00B51733"/>
    <w:rsid w:val="00B51750"/>
    <w:rsid w:val="00B517C2"/>
    <w:rsid w:val="00B517FC"/>
    <w:rsid w:val="00B51842"/>
    <w:rsid w:val="00B518F7"/>
    <w:rsid w:val="00B5194D"/>
    <w:rsid w:val="00B5197F"/>
    <w:rsid w:val="00B519B5"/>
    <w:rsid w:val="00B519D1"/>
    <w:rsid w:val="00B519DE"/>
    <w:rsid w:val="00B519E9"/>
    <w:rsid w:val="00B519F8"/>
    <w:rsid w:val="00B519FC"/>
    <w:rsid w:val="00B51A50"/>
    <w:rsid w:val="00B51A8D"/>
    <w:rsid w:val="00B51ADD"/>
    <w:rsid w:val="00B51AE1"/>
    <w:rsid w:val="00B51B6E"/>
    <w:rsid w:val="00B51B8C"/>
    <w:rsid w:val="00B51BD5"/>
    <w:rsid w:val="00B51C38"/>
    <w:rsid w:val="00B51C41"/>
    <w:rsid w:val="00B51C5C"/>
    <w:rsid w:val="00B51C95"/>
    <w:rsid w:val="00B51CC0"/>
    <w:rsid w:val="00B51CD2"/>
    <w:rsid w:val="00B51CEB"/>
    <w:rsid w:val="00B51D0C"/>
    <w:rsid w:val="00B51D14"/>
    <w:rsid w:val="00B51D19"/>
    <w:rsid w:val="00B51D1E"/>
    <w:rsid w:val="00B51D35"/>
    <w:rsid w:val="00B51DE7"/>
    <w:rsid w:val="00B51E4C"/>
    <w:rsid w:val="00B51E75"/>
    <w:rsid w:val="00B51ECB"/>
    <w:rsid w:val="00B51EFC"/>
    <w:rsid w:val="00B51F4E"/>
    <w:rsid w:val="00B51F73"/>
    <w:rsid w:val="00B51F75"/>
    <w:rsid w:val="00B51F7F"/>
    <w:rsid w:val="00B51F8D"/>
    <w:rsid w:val="00B51FCC"/>
    <w:rsid w:val="00B51FF0"/>
    <w:rsid w:val="00B52026"/>
    <w:rsid w:val="00B52154"/>
    <w:rsid w:val="00B52167"/>
    <w:rsid w:val="00B52168"/>
    <w:rsid w:val="00B52181"/>
    <w:rsid w:val="00B52182"/>
    <w:rsid w:val="00B52192"/>
    <w:rsid w:val="00B521BC"/>
    <w:rsid w:val="00B521C8"/>
    <w:rsid w:val="00B521DD"/>
    <w:rsid w:val="00B52209"/>
    <w:rsid w:val="00B52212"/>
    <w:rsid w:val="00B52213"/>
    <w:rsid w:val="00B52221"/>
    <w:rsid w:val="00B52223"/>
    <w:rsid w:val="00B52230"/>
    <w:rsid w:val="00B52280"/>
    <w:rsid w:val="00B52289"/>
    <w:rsid w:val="00B5229F"/>
    <w:rsid w:val="00B522B4"/>
    <w:rsid w:val="00B5234B"/>
    <w:rsid w:val="00B5235B"/>
    <w:rsid w:val="00B5239E"/>
    <w:rsid w:val="00B523B5"/>
    <w:rsid w:val="00B52402"/>
    <w:rsid w:val="00B52460"/>
    <w:rsid w:val="00B52464"/>
    <w:rsid w:val="00B5249E"/>
    <w:rsid w:val="00B524BD"/>
    <w:rsid w:val="00B524F1"/>
    <w:rsid w:val="00B52507"/>
    <w:rsid w:val="00B5254E"/>
    <w:rsid w:val="00B52575"/>
    <w:rsid w:val="00B525E7"/>
    <w:rsid w:val="00B5260B"/>
    <w:rsid w:val="00B52648"/>
    <w:rsid w:val="00B52652"/>
    <w:rsid w:val="00B526C2"/>
    <w:rsid w:val="00B526E1"/>
    <w:rsid w:val="00B526EF"/>
    <w:rsid w:val="00B526F9"/>
    <w:rsid w:val="00B52723"/>
    <w:rsid w:val="00B5273D"/>
    <w:rsid w:val="00B52759"/>
    <w:rsid w:val="00B5277D"/>
    <w:rsid w:val="00B527EF"/>
    <w:rsid w:val="00B52812"/>
    <w:rsid w:val="00B52829"/>
    <w:rsid w:val="00B5283E"/>
    <w:rsid w:val="00B5287D"/>
    <w:rsid w:val="00B5289A"/>
    <w:rsid w:val="00B528AB"/>
    <w:rsid w:val="00B528C5"/>
    <w:rsid w:val="00B528C6"/>
    <w:rsid w:val="00B528EF"/>
    <w:rsid w:val="00B528F2"/>
    <w:rsid w:val="00B5292F"/>
    <w:rsid w:val="00B52946"/>
    <w:rsid w:val="00B52999"/>
    <w:rsid w:val="00B5299A"/>
    <w:rsid w:val="00B529F8"/>
    <w:rsid w:val="00B52A04"/>
    <w:rsid w:val="00B52A1A"/>
    <w:rsid w:val="00B52A89"/>
    <w:rsid w:val="00B52AAC"/>
    <w:rsid w:val="00B52AF4"/>
    <w:rsid w:val="00B52B0D"/>
    <w:rsid w:val="00B52B22"/>
    <w:rsid w:val="00B52B43"/>
    <w:rsid w:val="00B52B6F"/>
    <w:rsid w:val="00B52B82"/>
    <w:rsid w:val="00B52B9B"/>
    <w:rsid w:val="00B52BC5"/>
    <w:rsid w:val="00B52C36"/>
    <w:rsid w:val="00B52C50"/>
    <w:rsid w:val="00B52C73"/>
    <w:rsid w:val="00B52C76"/>
    <w:rsid w:val="00B52CC2"/>
    <w:rsid w:val="00B52CCB"/>
    <w:rsid w:val="00B52CDE"/>
    <w:rsid w:val="00B52D05"/>
    <w:rsid w:val="00B52D16"/>
    <w:rsid w:val="00B52D40"/>
    <w:rsid w:val="00B52D71"/>
    <w:rsid w:val="00B52D79"/>
    <w:rsid w:val="00B52D7D"/>
    <w:rsid w:val="00B52DAB"/>
    <w:rsid w:val="00B52DAC"/>
    <w:rsid w:val="00B52DEE"/>
    <w:rsid w:val="00B52DEF"/>
    <w:rsid w:val="00B52DFC"/>
    <w:rsid w:val="00B52E51"/>
    <w:rsid w:val="00B52EB7"/>
    <w:rsid w:val="00B52ED3"/>
    <w:rsid w:val="00B52EDB"/>
    <w:rsid w:val="00B52EE4"/>
    <w:rsid w:val="00B52F0D"/>
    <w:rsid w:val="00B52F66"/>
    <w:rsid w:val="00B52FA3"/>
    <w:rsid w:val="00B52FB6"/>
    <w:rsid w:val="00B53074"/>
    <w:rsid w:val="00B530D6"/>
    <w:rsid w:val="00B530D9"/>
    <w:rsid w:val="00B530E2"/>
    <w:rsid w:val="00B530F0"/>
    <w:rsid w:val="00B530FA"/>
    <w:rsid w:val="00B53100"/>
    <w:rsid w:val="00B53114"/>
    <w:rsid w:val="00B53190"/>
    <w:rsid w:val="00B5319F"/>
    <w:rsid w:val="00B531A9"/>
    <w:rsid w:val="00B531DC"/>
    <w:rsid w:val="00B5320A"/>
    <w:rsid w:val="00B53241"/>
    <w:rsid w:val="00B5327F"/>
    <w:rsid w:val="00B532B0"/>
    <w:rsid w:val="00B532D2"/>
    <w:rsid w:val="00B532F4"/>
    <w:rsid w:val="00B53315"/>
    <w:rsid w:val="00B53322"/>
    <w:rsid w:val="00B53362"/>
    <w:rsid w:val="00B53390"/>
    <w:rsid w:val="00B533FE"/>
    <w:rsid w:val="00B53421"/>
    <w:rsid w:val="00B5348D"/>
    <w:rsid w:val="00B534D0"/>
    <w:rsid w:val="00B534DE"/>
    <w:rsid w:val="00B534E3"/>
    <w:rsid w:val="00B53509"/>
    <w:rsid w:val="00B53529"/>
    <w:rsid w:val="00B535AE"/>
    <w:rsid w:val="00B535EA"/>
    <w:rsid w:val="00B53619"/>
    <w:rsid w:val="00B5361F"/>
    <w:rsid w:val="00B53682"/>
    <w:rsid w:val="00B536AF"/>
    <w:rsid w:val="00B536B4"/>
    <w:rsid w:val="00B536BD"/>
    <w:rsid w:val="00B536D1"/>
    <w:rsid w:val="00B536E7"/>
    <w:rsid w:val="00B53755"/>
    <w:rsid w:val="00B53763"/>
    <w:rsid w:val="00B5379E"/>
    <w:rsid w:val="00B537F0"/>
    <w:rsid w:val="00B53837"/>
    <w:rsid w:val="00B5383B"/>
    <w:rsid w:val="00B53868"/>
    <w:rsid w:val="00B5390A"/>
    <w:rsid w:val="00B53949"/>
    <w:rsid w:val="00B53962"/>
    <w:rsid w:val="00B53986"/>
    <w:rsid w:val="00B539E4"/>
    <w:rsid w:val="00B539EB"/>
    <w:rsid w:val="00B53A4D"/>
    <w:rsid w:val="00B53A60"/>
    <w:rsid w:val="00B53A82"/>
    <w:rsid w:val="00B53A97"/>
    <w:rsid w:val="00B53AAE"/>
    <w:rsid w:val="00B53ADA"/>
    <w:rsid w:val="00B53B17"/>
    <w:rsid w:val="00B53B30"/>
    <w:rsid w:val="00B53B41"/>
    <w:rsid w:val="00B53B6B"/>
    <w:rsid w:val="00B53BE3"/>
    <w:rsid w:val="00B53BF6"/>
    <w:rsid w:val="00B53C00"/>
    <w:rsid w:val="00B53C3B"/>
    <w:rsid w:val="00B53C54"/>
    <w:rsid w:val="00B53C97"/>
    <w:rsid w:val="00B53CCA"/>
    <w:rsid w:val="00B53D10"/>
    <w:rsid w:val="00B53D16"/>
    <w:rsid w:val="00B53D18"/>
    <w:rsid w:val="00B53D2B"/>
    <w:rsid w:val="00B53D45"/>
    <w:rsid w:val="00B53D6F"/>
    <w:rsid w:val="00B53D8E"/>
    <w:rsid w:val="00B53DA9"/>
    <w:rsid w:val="00B53DE6"/>
    <w:rsid w:val="00B53E58"/>
    <w:rsid w:val="00B53E91"/>
    <w:rsid w:val="00B53EA2"/>
    <w:rsid w:val="00B53EC9"/>
    <w:rsid w:val="00B53EDF"/>
    <w:rsid w:val="00B53EE5"/>
    <w:rsid w:val="00B53EEE"/>
    <w:rsid w:val="00B53EFD"/>
    <w:rsid w:val="00B53F0A"/>
    <w:rsid w:val="00B53F1F"/>
    <w:rsid w:val="00B53F46"/>
    <w:rsid w:val="00B53FA1"/>
    <w:rsid w:val="00B53FA5"/>
    <w:rsid w:val="00B53FC2"/>
    <w:rsid w:val="00B53FDF"/>
    <w:rsid w:val="00B53FEE"/>
    <w:rsid w:val="00B54016"/>
    <w:rsid w:val="00B54031"/>
    <w:rsid w:val="00B54095"/>
    <w:rsid w:val="00B540F4"/>
    <w:rsid w:val="00B54124"/>
    <w:rsid w:val="00B54137"/>
    <w:rsid w:val="00B5413D"/>
    <w:rsid w:val="00B54141"/>
    <w:rsid w:val="00B54193"/>
    <w:rsid w:val="00B54215"/>
    <w:rsid w:val="00B5422A"/>
    <w:rsid w:val="00B5422E"/>
    <w:rsid w:val="00B54230"/>
    <w:rsid w:val="00B54263"/>
    <w:rsid w:val="00B542A5"/>
    <w:rsid w:val="00B542AF"/>
    <w:rsid w:val="00B542B7"/>
    <w:rsid w:val="00B542C9"/>
    <w:rsid w:val="00B54315"/>
    <w:rsid w:val="00B5431C"/>
    <w:rsid w:val="00B5433E"/>
    <w:rsid w:val="00B5436E"/>
    <w:rsid w:val="00B543B6"/>
    <w:rsid w:val="00B543D8"/>
    <w:rsid w:val="00B543F0"/>
    <w:rsid w:val="00B5441F"/>
    <w:rsid w:val="00B54426"/>
    <w:rsid w:val="00B54473"/>
    <w:rsid w:val="00B5447F"/>
    <w:rsid w:val="00B54498"/>
    <w:rsid w:val="00B5454A"/>
    <w:rsid w:val="00B54556"/>
    <w:rsid w:val="00B5457A"/>
    <w:rsid w:val="00B54585"/>
    <w:rsid w:val="00B545A8"/>
    <w:rsid w:val="00B545DE"/>
    <w:rsid w:val="00B54636"/>
    <w:rsid w:val="00B54648"/>
    <w:rsid w:val="00B5465E"/>
    <w:rsid w:val="00B546E0"/>
    <w:rsid w:val="00B5470C"/>
    <w:rsid w:val="00B54795"/>
    <w:rsid w:val="00B547B4"/>
    <w:rsid w:val="00B547BC"/>
    <w:rsid w:val="00B547D8"/>
    <w:rsid w:val="00B547DA"/>
    <w:rsid w:val="00B547ED"/>
    <w:rsid w:val="00B54813"/>
    <w:rsid w:val="00B5486D"/>
    <w:rsid w:val="00B54870"/>
    <w:rsid w:val="00B5487D"/>
    <w:rsid w:val="00B548BE"/>
    <w:rsid w:val="00B548C7"/>
    <w:rsid w:val="00B548D8"/>
    <w:rsid w:val="00B548F9"/>
    <w:rsid w:val="00B54908"/>
    <w:rsid w:val="00B5490F"/>
    <w:rsid w:val="00B5492A"/>
    <w:rsid w:val="00B54954"/>
    <w:rsid w:val="00B549E8"/>
    <w:rsid w:val="00B549ED"/>
    <w:rsid w:val="00B549FB"/>
    <w:rsid w:val="00B54A08"/>
    <w:rsid w:val="00B54A5E"/>
    <w:rsid w:val="00B54AA8"/>
    <w:rsid w:val="00B54B0A"/>
    <w:rsid w:val="00B54B1E"/>
    <w:rsid w:val="00B54B33"/>
    <w:rsid w:val="00B54B43"/>
    <w:rsid w:val="00B54B4D"/>
    <w:rsid w:val="00B54B57"/>
    <w:rsid w:val="00B54B7F"/>
    <w:rsid w:val="00B54B96"/>
    <w:rsid w:val="00B54B9A"/>
    <w:rsid w:val="00B54B9B"/>
    <w:rsid w:val="00B54BAF"/>
    <w:rsid w:val="00B54BCB"/>
    <w:rsid w:val="00B54BEE"/>
    <w:rsid w:val="00B54C02"/>
    <w:rsid w:val="00B54C5E"/>
    <w:rsid w:val="00B54C70"/>
    <w:rsid w:val="00B54C7D"/>
    <w:rsid w:val="00B54CA5"/>
    <w:rsid w:val="00B54CB0"/>
    <w:rsid w:val="00B54CB8"/>
    <w:rsid w:val="00B54D43"/>
    <w:rsid w:val="00B54D93"/>
    <w:rsid w:val="00B54D99"/>
    <w:rsid w:val="00B54DB4"/>
    <w:rsid w:val="00B54E16"/>
    <w:rsid w:val="00B54E1B"/>
    <w:rsid w:val="00B54E59"/>
    <w:rsid w:val="00B54E7B"/>
    <w:rsid w:val="00B54EFB"/>
    <w:rsid w:val="00B54F0B"/>
    <w:rsid w:val="00B54F0D"/>
    <w:rsid w:val="00B54F6A"/>
    <w:rsid w:val="00B54F80"/>
    <w:rsid w:val="00B54FB1"/>
    <w:rsid w:val="00B54FC2"/>
    <w:rsid w:val="00B54FF7"/>
    <w:rsid w:val="00B55003"/>
    <w:rsid w:val="00B55074"/>
    <w:rsid w:val="00B55097"/>
    <w:rsid w:val="00B550B1"/>
    <w:rsid w:val="00B550D5"/>
    <w:rsid w:val="00B550DC"/>
    <w:rsid w:val="00B5511B"/>
    <w:rsid w:val="00B55170"/>
    <w:rsid w:val="00B551B1"/>
    <w:rsid w:val="00B551CB"/>
    <w:rsid w:val="00B551D7"/>
    <w:rsid w:val="00B551E7"/>
    <w:rsid w:val="00B551F1"/>
    <w:rsid w:val="00B551F2"/>
    <w:rsid w:val="00B55247"/>
    <w:rsid w:val="00B55272"/>
    <w:rsid w:val="00B5527A"/>
    <w:rsid w:val="00B552A6"/>
    <w:rsid w:val="00B552C4"/>
    <w:rsid w:val="00B552ED"/>
    <w:rsid w:val="00B552F2"/>
    <w:rsid w:val="00B552FE"/>
    <w:rsid w:val="00B55340"/>
    <w:rsid w:val="00B55354"/>
    <w:rsid w:val="00B55398"/>
    <w:rsid w:val="00B553F2"/>
    <w:rsid w:val="00B55420"/>
    <w:rsid w:val="00B55437"/>
    <w:rsid w:val="00B554F3"/>
    <w:rsid w:val="00B5552A"/>
    <w:rsid w:val="00B55575"/>
    <w:rsid w:val="00B555A5"/>
    <w:rsid w:val="00B555DB"/>
    <w:rsid w:val="00B555EC"/>
    <w:rsid w:val="00B55686"/>
    <w:rsid w:val="00B5568C"/>
    <w:rsid w:val="00B556BC"/>
    <w:rsid w:val="00B556D6"/>
    <w:rsid w:val="00B556E9"/>
    <w:rsid w:val="00B55727"/>
    <w:rsid w:val="00B5575F"/>
    <w:rsid w:val="00B5579F"/>
    <w:rsid w:val="00B557C8"/>
    <w:rsid w:val="00B557DD"/>
    <w:rsid w:val="00B55837"/>
    <w:rsid w:val="00B5583F"/>
    <w:rsid w:val="00B55857"/>
    <w:rsid w:val="00B55860"/>
    <w:rsid w:val="00B55879"/>
    <w:rsid w:val="00B5587E"/>
    <w:rsid w:val="00B55898"/>
    <w:rsid w:val="00B558E3"/>
    <w:rsid w:val="00B558F0"/>
    <w:rsid w:val="00B558F3"/>
    <w:rsid w:val="00B55929"/>
    <w:rsid w:val="00B5592E"/>
    <w:rsid w:val="00B55955"/>
    <w:rsid w:val="00B5596C"/>
    <w:rsid w:val="00B5598C"/>
    <w:rsid w:val="00B559A2"/>
    <w:rsid w:val="00B559AF"/>
    <w:rsid w:val="00B559DE"/>
    <w:rsid w:val="00B55A12"/>
    <w:rsid w:val="00B55A3B"/>
    <w:rsid w:val="00B55A7F"/>
    <w:rsid w:val="00B55A85"/>
    <w:rsid w:val="00B55AA2"/>
    <w:rsid w:val="00B55ADD"/>
    <w:rsid w:val="00B55B16"/>
    <w:rsid w:val="00B55B29"/>
    <w:rsid w:val="00B55B5B"/>
    <w:rsid w:val="00B55B76"/>
    <w:rsid w:val="00B55BCC"/>
    <w:rsid w:val="00B55BCF"/>
    <w:rsid w:val="00B55BEA"/>
    <w:rsid w:val="00B55C28"/>
    <w:rsid w:val="00B55C4B"/>
    <w:rsid w:val="00B55C7E"/>
    <w:rsid w:val="00B55C87"/>
    <w:rsid w:val="00B55CB1"/>
    <w:rsid w:val="00B55CDC"/>
    <w:rsid w:val="00B55D1C"/>
    <w:rsid w:val="00B55D34"/>
    <w:rsid w:val="00B55D38"/>
    <w:rsid w:val="00B55D40"/>
    <w:rsid w:val="00B55D88"/>
    <w:rsid w:val="00B55D9F"/>
    <w:rsid w:val="00B55DC1"/>
    <w:rsid w:val="00B55DF4"/>
    <w:rsid w:val="00B55E02"/>
    <w:rsid w:val="00B55E17"/>
    <w:rsid w:val="00B55E4B"/>
    <w:rsid w:val="00B55E69"/>
    <w:rsid w:val="00B55ECE"/>
    <w:rsid w:val="00B55EFA"/>
    <w:rsid w:val="00B55F06"/>
    <w:rsid w:val="00B55F28"/>
    <w:rsid w:val="00B55F6E"/>
    <w:rsid w:val="00B55F70"/>
    <w:rsid w:val="00B55F8E"/>
    <w:rsid w:val="00B55F92"/>
    <w:rsid w:val="00B55F9E"/>
    <w:rsid w:val="00B55FAE"/>
    <w:rsid w:val="00B55FBD"/>
    <w:rsid w:val="00B55FE1"/>
    <w:rsid w:val="00B55FEA"/>
    <w:rsid w:val="00B56001"/>
    <w:rsid w:val="00B5604B"/>
    <w:rsid w:val="00B5609D"/>
    <w:rsid w:val="00B56184"/>
    <w:rsid w:val="00B5619E"/>
    <w:rsid w:val="00B561BA"/>
    <w:rsid w:val="00B561D3"/>
    <w:rsid w:val="00B56211"/>
    <w:rsid w:val="00B5622D"/>
    <w:rsid w:val="00B5625B"/>
    <w:rsid w:val="00B56279"/>
    <w:rsid w:val="00B562B7"/>
    <w:rsid w:val="00B562FD"/>
    <w:rsid w:val="00B56300"/>
    <w:rsid w:val="00B5634B"/>
    <w:rsid w:val="00B5636C"/>
    <w:rsid w:val="00B563A4"/>
    <w:rsid w:val="00B563D4"/>
    <w:rsid w:val="00B563E8"/>
    <w:rsid w:val="00B56442"/>
    <w:rsid w:val="00B56445"/>
    <w:rsid w:val="00B56482"/>
    <w:rsid w:val="00B5648E"/>
    <w:rsid w:val="00B56499"/>
    <w:rsid w:val="00B564CC"/>
    <w:rsid w:val="00B564F8"/>
    <w:rsid w:val="00B5657B"/>
    <w:rsid w:val="00B565DC"/>
    <w:rsid w:val="00B565F3"/>
    <w:rsid w:val="00B56648"/>
    <w:rsid w:val="00B56661"/>
    <w:rsid w:val="00B56672"/>
    <w:rsid w:val="00B56678"/>
    <w:rsid w:val="00B566A8"/>
    <w:rsid w:val="00B566B3"/>
    <w:rsid w:val="00B566BB"/>
    <w:rsid w:val="00B566DD"/>
    <w:rsid w:val="00B566EE"/>
    <w:rsid w:val="00B566FE"/>
    <w:rsid w:val="00B5674E"/>
    <w:rsid w:val="00B5675B"/>
    <w:rsid w:val="00B56770"/>
    <w:rsid w:val="00B567A6"/>
    <w:rsid w:val="00B567B2"/>
    <w:rsid w:val="00B567F6"/>
    <w:rsid w:val="00B5685F"/>
    <w:rsid w:val="00B568DD"/>
    <w:rsid w:val="00B56918"/>
    <w:rsid w:val="00B56919"/>
    <w:rsid w:val="00B5691D"/>
    <w:rsid w:val="00B5692C"/>
    <w:rsid w:val="00B5697B"/>
    <w:rsid w:val="00B5699D"/>
    <w:rsid w:val="00B569E0"/>
    <w:rsid w:val="00B569F4"/>
    <w:rsid w:val="00B569F9"/>
    <w:rsid w:val="00B56A57"/>
    <w:rsid w:val="00B56A9C"/>
    <w:rsid w:val="00B56ACE"/>
    <w:rsid w:val="00B56AD9"/>
    <w:rsid w:val="00B56AEC"/>
    <w:rsid w:val="00B56B05"/>
    <w:rsid w:val="00B56B1A"/>
    <w:rsid w:val="00B56B21"/>
    <w:rsid w:val="00B56B34"/>
    <w:rsid w:val="00B56BEB"/>
    <w:rsid w:val="00B56BFF"/>
    <w:rsid w:val="00B56C04"/>
    <w:rsid w:val="00B56C23"/>
    <w:rsid w:val="00B56CA0"/>
    <w:rsid w:val="00B56CAE"/>
    <w:rsid w:val="00B56CC4"/>
    <w:rsid w:val="00B56CE5"/>
    <w:rsid w:val="00B56CEB"/>
    <w:rsid w:val="00B56CF0"/>
    <w:rsid w:val="00B56D0B"/>
    <w:rsid w:val="00B56D11"/>
    <w:rsid w:val="00B56D14"/>
    <w:rsid w:val="00B56D2F"/>
    <w:rsid w:val="00B56D34"/>
    <w:rsid w:val="00B56D6E"/>
    <w:rsid w:val="00B56DAF"/>
    <w:rsid w:val="00B56E66"/>
    <w:rsid w:val="00B56EFE"/>
    <w:rsid w:val="00B56F12"/>
    <w:rsid w:val="00B56F3D"/>
    <w:rsid w:val="00B56FD8"/>
    <w:rsid w:val="00B57020"/>
    <w:rsid w:val="00B5702A"/>
    <w:rsid w:val="00B5704E"/>
    <w:rsid w:val="00B57059"/>
    <w:rsid w:val="00B5707F"/>
    <w:rsid w:val="00B57088"/>
    <w:rsid w:val="00B57100"/>
    <w:rsid w:val="00B57177"/>
    <w:rsid w:val="00B57194"/>
    <w:rsid w:val="00B571B4"/>
    <w:rsid w:val="00B571D5"/>
    <w:rsid w:val="00B571E5"/>
    <w:rsid w:val="00B57213"/>
    <w:rsid w:val="00B5722C"/>
    <w:rsid w:val="00B5727C"/>
    <w:rsid w:val="00B572FA"/>
    <w:rsid w:val="00B57329"/>
    <w:rsid w:val="00B57344"/>
    <w:rsid w:val="00B57386"/>
    <w:rsid w:val="00B573A5"/>
    <w:rsid w:val="00B573D3"/>
    <w:rsid w:val="00B573F7"/>
    <w:rsid w:val="00B5741A"/>
    <w:rsid w:val="00B57422"/>
    <w:rsid w:val="00B5747D"/>
    <w:rsid w:val="00B57531"/>
    <w:rsid w:val="00B5753E"/>
    <w:rsid w:val="00B57588"/>
    <w:rsid w:val="00B575DB"/>
    <w:rsid w:val="00B57603"/>
    <w:rsid w:val="00B57643"/>
    <w:rsid w:val="00B5766B"/>
    <w:rsid w:val="00B57672"/>
    <w:rsid w:val="00B576A1"/>
    <w:rsid w:val="00B576BC"/>
    <w:rsid w:val="00B576C9"/>
    <w:rsid w:val="00B576DD"/>
    <w:rsid w:val="00B576FD"/>
    <w:rsid w:val="00B5770C"/>
    <w:rsid w:val="00B57726"/>
    <w:rsid w:val="00B57736"/>
    <w:rsid w:val="00B57774"/>
    <w:rsid w:val="00B5778C"/>
    <w:rsid w:val="00B5786A"/>
    <w:rsid w:val="00B57896"/>
    <w:rsid w:val="00B578CD"/>
    <w:rsid w:val="00B578ED"/>
    <w:rsid w:val="00B5790A"/>
    <w:rsid w:val="00B57969"/>
    <w:rsid w:val="00B57A5B"/>
    <w:rsid w:val="00B57A5D"/>
    <w:rsid w:val="00B57A95"/>
    <w:rsid w:val="00B57A9F"/>
    <w:rsid w:val="00B57AAC"/>
    <w:rsid w:val="00B57AB3"/>
    <w:rsid w:val="00B57AC7"/>
    <w:rsid w:val="00B57AFF"/>
    <w:rsid w:val="00B57B3E"/>
    <w:rsid w:val="00B57B69"/>
    <w:rsid w:val="00B57B72"/>
    <w:rsid w:val="00B57BC9"/>
    <w:rsid w:val="00B57BDD"/>
    <w:rsid w:val="00B57C15"/>
    <w:rsid w:val="00B57CDE"/>
    <w:rsid w:val="00B57D03"/>
    <w:rsid w:val="00B57D71"/>
    <w:rsid w:val="00B57D8C"/>
    <w:rsid w:val="00B57DD9"/>
    <w:rsid w:val="00B57DEE"/>
    <w:rsid w:val="00B57E2A"/>
    <w:rsid w:val="00B57E74"/>
    <w:rsid w:val="00B57E82"/>
    <w:rsid w:val="00B57EAE"/>
    <w:rsid w:val="00B57F39"/>
    <w:rsid w:val="00B57F7D"/>
    <w:rsid w:val="00B57F82"/>
    <w:rsid w:val="00B57F96"/>
    <w:rsid w:val="00B57FC7"/>
    <w:rsid w:val="00B60003"/>
    <w:rsid w:val="00B60034"/>
    <w:rsid w:val="00B60050"/>
    <w:rsid w:val="00B6008E"/>
    <w:rsid w:val="00B600BF"/>
    <w:rsid w:val="00B600C0"/>
    <w:rsid w:val="00B600DD"/>
    <w:rsid w:val="00B600E6"/>
    <w:rsid w:val="00B600E7"/>
    <w:rsid w:val="00B60131"/>
    <w:rsid w:val="00B6014C"/>
    <w:rsid w:val="00B601DA"/>
    <w:rsid w:val="00B6024E"/>
    <w:rsid w:val="00B6030E"/>
    <w:rsid w:val="00B6032A"/>
    <w:rsid w:val="00B6032B"/>
    <w:rsid w:val="00B6035A"/>
    <w:rsid w:val="00B60380"/>
    <w:rsid w:val="00B603AA"/>
    <w:rsid w:val="00B603BD"/>
    <w:rsid w:val="00B603CC"/>
    <w:rsid w:val="00B603F0"/>
    <w:rsid w:val="00B6046D"/>
    <w:rsid w:val="00B6048D"/>
    <w:rsid w:val="00B60494"/>
    <w:rsid w:val="00B604CD"/>
    <w:rsid w:val="00B60540"/>
    <w:rsid w:val="00B6054C"/>
    <w:rsid w:val="00B60556"/>
    <w:rsid w:val="00B60595"/>
    <w:rsid w:val="00B605A7"/>
    <w:rsid w:val="00B605CC"/>
    <w:rsid w:val="00B605D4"/>
    <w:rsid w:val="00B605DD"/>
    <w:rsid w:val="00B60623"/>
    <w:rsid w:val="00B6062E"/>
    <w:rsid w:val="00B60659"/>
    <w:rsid w:val="00B60673"/>
    <w:rsid w:val="00B606A8"/>
    <w:rsid w:val="00B606C6"/>
    <w:rsid w:val="00B6070F"/>
    <w:rsid w:val="00B60769"/>
    <w:rsid w:val="00B607E5"/>
    <w:rsid w:val="00B607F4"/>
    <w:rsid w:val="00B60810"/>
    <w:rsid w:val="00B6085F"/>
    <w:rsid w:val="00B608A4"/>
    <w:rsid w:val="00B608B3"/>
    <w:rsid w:val="00B60920"/>
    <w:rsid w:val="00B60936"/>
    <w:rsid w:val="00B6093D"/>
    <w:rsid w:val="00B60940"/>
    <w:rsid w:val="00B60959"/>
    <w:rsid w:val="00B6096B"/>
    <w:rsid w:val="00B609A3"/>
    <w:rsid w:val="00B609A6"/>
    <w:rsid w:val="00B609E8"/>
    <w:rsid w:val="00B60A51"/>
    <w:rsid w:val="00B60A7C"/>
    <w:rsid w:val="00B60ABE"/>
    <w:rsid w:val="00B60AC4"/>
    <w:rsid w:val="00B60AFE"/>
    <w:rsid w:val="00B60B08"/>
    <w:rsid w:val="00B60B42"/>
    <w:rsid w:val="00B60B51"/>
    <w:rsid w:val="00B60B6E"/>
    <w:rsid w:val="00B60B74"/>
    <w:rsid w:val="00B60B7D"/>
    <w:rsid w:val="00B60B9E"/>
    <w:rsid w:val="00B60BE4"/>
    <w:rsid w:val="00B60C10"/>
    <w:rsid w:val="00B60C8D"/>
    <w:rsid w:val="00B60D1F"/>
    <w:rsid w:val="00B60D47"/>
    <w:rsid w:val="00B60D52"/>
    <w:rsid w:val="00B60D5B"/>
    <w:rsid w:val="00B60D5E"/>
    <w:rsid w:val="00B60D98"/>
    <w:rsid w:val="00B60DD3"/>
    <w:rsid w:val="00B60DD4"/>
    <w:rsid w:val="00B60E20"/>
    <w:rsid w:val="00B60E4C"/>
    <w:rsid w:val="00B60EAD"/>
    <w:rsid w:val="00B60EB9"/>
    <w:rsid w:val="00B60EE0"/>
    <w:rsid w:val="00B60EE1"/>
    <w:rsid w:val="00B60F00"/>
    <w:rsid w:val="00B60F7C"/>
    <w:rsid w:val="00B60FDA"/>
    <w:rsid w:val="00B6102B"/>
    <w:rsid w:val="00B61049"/>
    <w:rsid w:val="00B6104D"/>
    <w:rsid w:val="00B61052"/>
    <w:rsid w:val="00B61069"/>
    <w:rsid w:val="00B61077"/>
    <w:rsid w:val="00B61092"/>
    <w:rsid w:val="00B610D6"/>
    <w:rsid w:val="00B610F0"/>
    <w:rsid w:val="00B610FD"/>
    <w:rsid w:val="00B61117"/>
    <w:rsid w:val="00B6114A"/>
    <w:rsid w:val="00B61153"/>
    <w:rsid w:val="00B61168"/>
    <w:rsid w:val="00B6117E"/>
    <w:rsid w:val="00B61198"/>
    <w:rsid w:val="00B61260"/>
    <w:rsid w:val="00B61261"/>
    <w:rsid w:val="00B6126E"/>
    <w:rsid w:val="00B612FD"/>
    <w:rsid w:val="00B6130E"/>
    <w:rsid w:val="00B6131B"/>
    <w:rsid w:val="00B6132E"/>
    <w:rsid w:val="00B61339"/>
    <w:rsid w:val="00B61375"/>
    <w:rsid w:val="00B6138C"/>
    <w:rsid w:val="00B6138E"/>
    <w:rsid w:val="00B6139F"/>
    <w:rsid w:val="00B613AB"/>
    <w:rsid w:val="00B613CA"/>
    <w:rsid w:val="00B613DB"/>
    <w:rsid w:val="00B61434"/>
    <w:rsid w:val="00B6145B"/>
    <w:rsid w:val="00B61488"/>
    <w:rsid w:val="00B614AB"/>
    <w:rsid w:val="00B614C7"/>
    <w:rsid w:val="00B61517"/>
    <w:rsid w:val="00B6153E"/>
    <w:rsid w:val="00B61564"/>
    <w:rsid w:val="00B6159E"/>
    <w:rsid w:val="00B615B1"/>
    <w:rsid w:val="00B615B8"/>
    <w:rsid w:val="00B615D7"/>
    <w:rsid w:val="00B61631"/>
    <w:rsid w:val="00B6164D"/>
    <w:rsid w:val="00B616E7"/>
    <w:rsid w:val="00B61703"/>
    <w:rsid w:val="00B61726"/>
    <w:rsid w:val="00B6173E"/>
    <w:rsid w:val="00B61744"/>
    <w:rsid w:val="00B61790"/>
    <w:rsid w:val="00B617EC"/>
    <w:rsid w:val="00B617F0"/>
    <w:rsid w:val="00B61818"/>
    <w:rsid w:val="00B618B7"/>
    <w:rsid w:val="00B618BA"/>
    <w:rsid w:val="00B618DA"/>
    <w:rsid w:val="00B618F3"/>
    <w:rsid w:val="00B618F4"/>
    <w:rsid w:val="00B61904"/>
    <w:rsid w:val="00B61939"/>
    <w:rsid w:val="00B61946"/>
    <w:rsid w:val="00B6195F"/>
    <w:rsid w:val="00B61978"/>
    <w:rsid w:val="00B6198A"/>
    <w:rsid w:val="00B61997"/>
    <w:rsid w:val="00B619AB"/>
    <w:rsid w:val="00B619B7"/>
    <w:rsid w:val="00B619DB"/>
    <w:rsid w:val="00B61A20"/>
    <w:rsid w:val="00B61A21"/>
    <w:rsid w:val="00B61A57"/>
    <w:rsid w:val="00B61AAC"/>
    <w:rsid w:val="00B61AAD"/>
    <w:rsid w:val="00B61ACF"/>
    <w:rsid w:val="00B61B0E"/>
    <w:rsid w:val="00B61B75"/>
    <w:rsid w:val="00B61B83"/>
    <w:rsid w:val="00B61B88"/>
    <w:rsid w:val="00B61B8B"/>
    <w:rsid w:val="00B61B8F"/>
    <w:rsid w:val="00B61B9C"/>
    <w:rsid w:val="00B61BB9"/>
    <w:rsid w:val="00B61BC1"/>
    <w:rsid w:val="00B61C1F"/>
    <w:rsid w:val="00B61C20"/>
    <w:rsid w:val="00B61C32"/>
    <w:rsid w:val="00B61C50"/>
    <w:rsid w:val="00B61C63"/>
    <w:rsid w:val="00B61CDB"/>
    <w:rsid w:val="00B61CDF"/>
    <w:rsid w:val="00B61CFE"/>
    <w:rsid w:val="00B61D7D"/>
    <w:rsid w:val="00B61D7E"/>
    <w:rsid w:val="00B61D9A"/>
    <w:rsid w:val="00B61DCD"/>
    <w:rsid w:val="00B61DD2"/>
    <w:rsid w:val="00B61DDE"/>
    <w:rsid w:val="00B61E0D"/>
    <w:rsid w:val="00B61E38"/>
    <w:rsid w:val="00B61E43"/>
    <w:rsid w:val="00B61E4A"/>
    <w:rsid w:val="00B61E5E"/>
    <w:rsid w:val="00B61EA4"/>
    <w:rsid w:val="00B61EA5"/>
    <w:rsid w:val="00B61ECB"/>
    <w:rsid w:val="00B61F2F"/>
    <w:rsid w:val="00B61F36"/>
    <w:rsid w:val="00B61F4D"/>
    <w:rsid w:val="00B61F76"/>
    <w:rsid w:val="00B61F7A"/>
    <w:rsid w:val="00B61FA9"/>
    <w:rsid w:val="00B61FBD"/>
    <w:rsid w:val="00B61FFE"/>
    <w:rsid w:val="00B62046"/>
    <w:rsid w:val="00B62083"/>
    <w:rsid w:val="00B6208B"/>
    <w:rsid w:val="00B620BD"/>
    <w:rsid w:val="00B620E2"/>
    <w:rsid w:val="00B62161"/>
    <w:rsid w:val="00B62182"/>
    <w:rsid w:val="00B62188"/>
    <w:rsid w:val="00B62196"/>
    <w:rsid w:val="00B621A4"/>
    <w:rsid w:val="00B62228"/>
    <w:rsid w:val="00B62230"/>
    <w:rsid w:val="00B62232"/>
    <w:rsid w:val="00B62233"/>
    <w:rsid w:val="00B6223C"/>
    <w:rsid w:val="00B622E7"/>
    <w:rsid w:val="00B62346"/>
    <w:rsid w:val="00B6234A"/>
    <w:rsid w:val="00B623BF"/>
    <w:rsid w:val="00B623DF"/>
    <w:rsid w:val="00B623F5"/>
    <w:rsid w:val="00B624B7"/>
    <w:rsid w:val="00B624BC"/>
    <w:rsid w:val="00B624EC"/>
    <w:rsid w:val="00B62548"/>
    <w:rsid w:val="00B62554"/>
    <w:rsid w:val="00B6257E"/>
    <w:rsid w:val="00B625C6"/>
    <w:rsid w:val="00B625E2"/>
    <w:rsid w:val="00B625EE"/>
    <w:rsid w:val="00B62661"/>
    <w:rsid w:val="00B6275D"/>
    <w:rsid w:val="00B627D2"/>
    <w:rsid w:val="00B627D6"/>
    <w:rsid w:val="00B627D8"/>
    <w:rsid w:val="00B62872"/>
    <w:rsid w:val="00B62875"/>
    <w:rsid w:val="00B62879"/>
    <w:rsid w:val="00B628C3"/>
    <w:rsid w:val="00B628F3"/>
    <w:rsid w:val="00B62929"/>
    <w:rsid w:val="00B6292B"/>
    <w:rsid w:val="00B629D1"/>
    <w:rsid w:val="00B629E1"/>
    <w:rsid w:val="00B62A02"/>
    <w:rsid w:val="00B62A43"/>
    <w:rsid w:val="00B62A44"/>
    <w:rsid w:val="00B62A56"/>
    <w:rsid w:val="00B62AA0"/>
    <w:rsid w:val="00B62AB9"/>
    <w:rsid w:val="00B62AC3"/>
    <w:rsid w:val="00B62AE6"/>
    <w:rsid w:val="00B62B23"/>
    <w:rsid w:val="00B62B2F"/>
    <w:rsid w:val="00B62B53"/>
    <w:rsid w:val="00B62B61"/>
    <w:rsid w:val="00B62BE6"/>
    <w:rsid w:val="00B62C08"/>
    <w:rsid w:val="00B62C0C"/>
    <w:rsid w:val="00B62C26"/>
    <w:rsid w:val="00B62C40"/>
    <w:rsid w:val="00B62C94"/>
    <w:rsid w:val="00B62C96"/>
    <w:rsid w:val="00B62CB1"/>
    <w:rsid w:val="00B62CB7"/>
    <w:rsid w:val="00B62CD4"/>
    <w:rsid w:val="00B62CD6"/>
    <w:rsid w:val="00B62CE6"/>
    <w:rsid w:val="00B62D22"/>
    <w:rsid w:val="00B62D6C"/>
    <w:rsid w:val="00B62DC9"/>
    <w:rsid w:val="00B62DE7"/>
    <w:rsid w:val="00B62E0F"/>
    <w:rsid w:val="00B62E1F"/>
    <w:rsid w:val="00B62E35"/>
    <w:rsid w:val="00B62E3A"/>
    <w:rsid w:val="00B62E54"/>
    <w:rsid w:val="00B62E67"/>
    <w:rsid w:val="00B62EAF"/>
    <w:rsid w:val="00B62EC6"/>
    <w:rsid w:val="00B62EC9"/>
    <w:rsid w:val="00B62ECC"/>
    <w:rsid w:val="00B62EDF"/>
    <w:rsid w:val="00B62F24"/>
    <w:rsid w:val="00B62F2D"/>
    <w:rsid w:val="00B62F59"/>
    <w:rsid w:val="00B62F65"/>
    <w:rsid w:val="00B62F93"/>
    <w:rsid w:val="00B62FA3"/>
    <w:rsid w:val="00B6303C"/>
    <w:rsid w:val="00B6303D"/>
    <w:rsid w:val="00B63082"/>
    <w:rsid w:val="00B630BA"/>
    <w:rsid w:val="00B630D4"/>
    <w:rsid w:val="00B630F8"/>
    <w:rsid w:val="00B63129"/>
    <w:rsid w:val="00B6313C"/>
    <w:rsid w:val="00B6317D"/>
    <w:rsid w:val="00B631E5"/>
    <w:rsid w:val="00B63212"/>
    <w:rsid w:val="00B6323B"/>
    <w:rsid w:val="00B6324A"/>
    <w:rsid w:val="00B63297"/>
    <w:rsid w:val="00B632B9"/>
    <w:rsid w:val="00B63326"/>
    <w:rsid w:val="00B633CE"/>
    <w:rsid w:val="00B633E7"/>
    <w:rsid w:val="00B633F8"/>
    <w:rsid w:val="00B6347B"/>
    <w:rsid w:val="00B634D6"/>
    <w:rsid w:val="00B634D8"/>
    <w:rsid w:val="00B634DC"/>
    <w:rsid w:val="00B6351D"/>
    <w:rsid w:val="00B63526"/>
    <w:rsid w:val="00B63584"/>
    <w:rsid w:val="00B635F4"/>
    <w:rsid w:val="00B63622"/>
    <w:rsid w:val="00B63662"/>
    <w:rsid w:val="00B636A6"/>
    <w:rsid w:val="00B636BF"/>
    <w:rsid w:val="00B63722"/>
    <w:rsid w:val="00B63733"/>
    <w:rsid w:val="00B6373B"/>
    <w:rsid w:val="00B63770"/>
    <w:rsid w:val="00B637A1"/>
    <w:rsid w:val="00B637AB"/>
    <w:rsid w:val="00B637AE"/>
    <w:rsid w:val="00B637C2"/>
    <w:rsid w:val="00B637F0"/>
    <w:rsid w:val="00B63825"/>
    <w:rsid w:val="00B6383C"/>
    <w:rsid w:val="00B63846"/>
    <w:rsid w:val="00B63871"/>
    <w:rsid w:val="00B63875"/>
    <w:rsid w:val="00B63878"/>
    <w:rsid w:val="00B6387D"/>
    <w:rsid w:val="00B6389A"/>
    <w:rsid w:val="00B638AB"/>
    <w:rsid w:val="00B638DD"/>
    <w:rsid w:val="00B63955"/>
    <w:rsid w:val="00B6396A"/>
    <w:rsid w:val="00B63990"/>
    <w:rsid w:val="00B639B3"/>
    <w:rsid w:val="00B639D7"/>
    <w:rsid w:val="00B639F9"/>
    <w:rsid w:val="00B63A42"/>
    <w:rsid w:val="00B63A45"/>
    <w:rsid w:val="00B63A7B"/>
    <w:rsid w:val="00B63AFA"/>
    <w:rsid w:val="00B63B2D"/>
    <w:rsid w:val="00B63B52"/>
    <w:rsid w:val="00B63BA2"/>
    <w:rsid w:val="00B63BD1"/>
    <w:rsid w:val="00B63BDA"/>
    <w:rsid w:val="00B63C2F"/>
    <w:rsid w:val="00B63C3F"/>
    <w:rsid w:val="00B63C50"/>
    <w:rsid w:val="00B63C63"/>
    <w:rsid w:val="00B63C69"/>
    <w:rsid w:val="00B63C6C"/>
    <w:rsid w:val="00B63C81"/>
    <w:rsid w:val="00B63CFC"/>
    <w:rsid w:val="00B63D06"/>
    <w:rsid w:val="00B63D2C"/>
    <w:rsid w:val="00B63D46"/>
    <w:rsid w:val="00B63D4B"/>
    <w:rsid w:val="00B63DAF"/>
    <w:rsid w:val="00B63DB1"/>
    <w:rsid w:val="00B63DD8"/>
    <w:rsid w:val="00B63E24"/>
    <w:rsid w:val="00B63E2B"/>
    <w:rsid w:val="00B63E58"/>
    <w:rsid w:val="00B63EA2"/>
    <w:rsid w:val="00B63EAF"/>
    <w:rsid w:val="00B63EFF"/>
    <w:rsid w:val="00B63F07"/>
    <w:rsid w:val="00B63F18"/>
    <w:rsid w:val="00B63F27"/>
    <w:rsid w:val="00B63F33"/>
    <w:rsid w:val="00B63F5D"/>
    <w:rsid w:val="00B64029"/>
    <w:rsid w:val="00B64059"/>
    <w:rsid w:val="00B64085"/>
    <w:rsid w:val="00B640A0"/>
    <w:rsid w:val="00B640B2"/>
    <w:rsid w:val="00B640B6"/>
    <w:rsid w:val="00B640C3"/>
    <w:rsid w:val="00B640D7"/>
    <w:rsid w:val="00B64108"/>
    <w:rsid w:val="00B64198"/>
    <w:rsid w:val="00B641AC"/>
    <w:rsid w:val="00B641C4"/>
    <w:rsid w:val="00B641CE"/>
    <w:rsid w:val="00B641D3"/>
    <w:rsid w:val="00B64263"/>
    <w:rsid w:val="00B64266"/>
    <w:rsid w:val="00B6427A"/>
    <w:rsid w:val="00B64311"/>
    <w:rsid w:val="00B64357"/>
    <w:rsid w:val="00B64398"/>
    <w:rsid w:val="00B643E3"/>
    <w:rsid w:val="00B643EE"/>
    <w:rsid w:val="00B64413"/>
    <w:rsid w:val="00B64472"/>
    <w:rsid w:val="00B64475"/>
    <w:rsid w:val="00B644A9"/>
    <w:rsid w:val="00B644B5"/>
    <w:rsid w:val="00B644CD"/>
    <w:rsid w:val="00B644DB"/>
    <w:rsid w:val="00B644DF"/>
    <w:rsid w:val="00B64537"/>
    <w:rsid w:val="00B64562"/>
    <w:rsid w:val="00B645B1"/>
    <w:rsid w:val="00B645CC"/>
    <w:rsid w:val="00B645D8"/>
    <w:rsid w:val="00B645F2"/>
    <w:rsid w:val="00B645F8"/>
    <w:rsid w:val="00B64609"/>
    <w:rsid w:val="00B64623"/>
    <w:rsid w:val="00B64659"/>
    <w:rsid w:val="00B64695"/>
    <w:rsid w:val="00B646DF"/>
    <w:rsid w:val="00B64738"/>
    <w:rsid w:val="00B64768"/>
    <w:rsid w:val="00B64777"/>
    <w:rsid w:val="00B647A9"/>
    <w:rsid w:val="00B647DF"/>
    <w:rsid w:val="00B6482F"/>
    <w:rsid w:val="00B6485B"/>
    <w:rsid w:val="00B64864"/>
    <w:rsid w:val="00B648D0"/>
    <w:rsid w:val="00B648D6"/>
    <w:rsid w:val="00B64920"/>
    <w:rsid w:val="00B64948"/>
    <w:rsid w:val="00B6495C"/>
    <w:rsid w:val="00B64987"/>
    <w:rsid w:val="00B6498D"/>
    <w:rsid w:val="00B649C1"/>
    <w:rsid w:val="00B64A09"/>
    <w:rsid w:val="00B64A31"/>
    <w:rsid w:val="00B64A4C"/>
    <w:rsid w:val="00B64A5D"/>
    <w:rsid w:val="00B64A5E"/>
    <w:rsid w:val="00B64A7A"/>
    <w:rsid w:val="00B64A95"/>
    <w:rsid w:val="00B64AAD"/>
    <w:rsid w:val="00B64AC1"/>
    <w:rsid w:val="00B64AEB"/>
    <w:rsid w:val="00B64B11"/>
    <w:rsid w:val="00B64B70"/>
    <w:rsid w:val="00B64B97"/>
    <w:rsid w:val="00B64BAB"/>
    <w:rsid w:val="00B64BF3"/>
    <w:rsid w:val="00B64C45"/>
    <w:rsid w:val="00B64C4C"/>
    <w:rsid w:val="00B64C89"/>
    <w:rsid w:val="00B64C9D"/>
    <w:rsid w:val="00B64CA0"/>
    <w:rsid w:val="00B64CC9"/>
    <w:rsid w:val="00B64D3C"/>
    <w:rsid w:val="00B64D48"/>
    <w:rsid w:val="00B64D86"/>
    <w:rsid w:val="00B64DAF"/>
    <w:rsid w:val="00B64DBF"/>
    <w:rsid w:val="00B64DE9"/>
    <w:rsid w:val="00B64E27"/>
    <w:rsid w:val="00B64E6E"/>
    <w:rsid w:val="00B64E7F"/>
    <w:rsid w:val="00B64E91"/>
    <w:rsid w:val="00B64EAC"/>
    <w:rsid w:val="00B64EC0"/>
    <w:rsid w:val="00B64EE5"/>
    <w:rsid w:val="00B64F12"/>
    <w:rsid w:val="00B64F24"/>
    <w:rsid w:val="00B64F4B"/>
    <w:rsid w:val="00B64FD1"/>
    <w:rsid w:val="00B64FE0"/>
    <w:rsid w:val="00B64FFA"/>
    <w:rsid w:val="00B65002"/>
    <w:rsid w:val="00B65019"/>
    <w:rsid w:val="00B65045"/>
    <w:rsid w:val="00B650D2"/>
    <w:rsid w:val="00B650F6"/>
    <w:rsid w:val="00B65100"/>
    <w:rsid w:val="00B65106"/>
    <w:rsid w:val="00B65109"/>
    <w:rsid w:val="00B6511C"/>
    <w:rsid w:val="00B65124"/>
    <w:rsid w:val="00B6515C"/>
    <w:rsid w:val="00B6516C"/>
    <w:rsid w:val="00B65181"/>
    <w:rsid w:val="00B65184"/>
    <w:rsid w:val="00B6518C"/>
    <w:rsid w:val="00B65195"/>
    <w:rsid w:val="00B65281"/>
    <w:rsid w:val="00B65287"/>
    <w:rsid w:val="00B652CA"/>
    <w:rsid w:val="00B652DE"/>
    <w:rsid w:val="00B65339"/>
    <w:rsid w:val="00B6537B"/>
    <w:rsid w:val="00B653A5"/>
    <w:rsid w:val="00B653A6"/>
    <w:rsid w:val="00B653D7"/>
    <w:rsid w:val="00B65422"/>
    <w:rsid w:val="00B6544B"/>
    <w:rsid w:val="00B6544D"/>
    <w:rsid w:val="00B6545B"/>
    <w:rsid w:val="00B65471"/>
    <w:rsid w:val="00B654CA"/>
    <w:rsid w:val="00B654FB"/>
    <w:rsid w:val="00B65506"/>
    <w:rsid w:val="00B65513"/>
    <w:rsid w:val="00B6557E"/>
    <w:rsid w:val="00B6559D"/>
    <w:rsid w:val="00B655E0"/>
    <w:rsid w:val="00B655F6"/>
    <w:rsid w:val="00B65629"/>
    <w:rsid w:val="00B65636"/>
    <w:rsid w:val="00B65656"/>
    <w:rsid w:val="00B6569A"/>
    <w:rsid w:val="00B6569E"/>
    <w:rsid w:val="00B656B2"/>
    <w:rsid w:val="00B656B4"/>
    <w:rsid w:val="00B656BB"/>
    <w:rsid w:val="00B656CA"/>
    <w:rsid w:val="00B656FE"/>
    <w:rsid w:val="00B65765"/>
    <w:rsid w:val="00B65779"/>
    <w:rsid w:val="00B65787"/>
    <w:rsid w:val="00B6579A"/>
    <w:rsid w:val="00B657B9"/>
    <w:rsid w:val="00B657DC"/>
    <w:rsid w:val="00B65814"/>
    <w:rsid w:val="00B65840"/>
    <w:rsid w:val="00B65862"/>
    <w:rsid w:val="00B6586A"/>
    <w:rsid w:val="00B65946"/>
    <w:rsid w:val="00B6594A"/>
    <w:rsid w:val="00B65971"/>
    <w:rsid w:val="00B659A5"/>
    <w:rsid w:val="00B659BE"/>
    <w:rsid w:val="00B659DA"/>
    <w:rsid w:val="00B659FC"/>
    <w:rsid w:val="00B65A01"/>
    <w:rsid w:val="00B65A0F"/>
    <w:rsid w:val="00B65A21"/>
    <w:rsid w:val="00B65A41"/>
    <w:rsid w:val="00B65A9C"/>
    <w:rsid w:val="00B65AA1"/>
    <w:rsid w:val="00B65AB7"/>
    <w:rsid w:val="00B65AD5"/>
    <w:rsid w:val="00B65B09"/>
    <w:rsid w:val="00B65B74"/>
    <w:rsid w:val="00B65B8B"/>
    <w:rsid w:val="00B65BDD"/>
    <w:rsid w:val="00B65BEC"/>
    <w:rsid w:val="00B65C37"/>
    <w:rsid w:val="00B65C3A"/>
    <w:rsid w:val="00B65C53"/>
    <w:rsid w:val="00B65C5F"/>
    <w:rsid w:val="00B65CB6"/>
    <w:rsid w:val="00B65CE0"/>
    <w:rsid w:val="00B65CE4"/>
    <w:rsid w:val="00B65D01"/>
    <w:rsid w:val="00B65D15"/>
    <w:rsid w:val="00B65D21"/>
    <w:rsid w:val="00B65D26"/>
    <w:rsid w:val="00B65D2D"/>
    <w:rsid w:val="00B65D56"/>
    <w:rsid w:val="00B65D73"/>
    <w:rsid w:val="00B65D75"/>
    <w:rsid w:val="00B65D7D"/>
    <w:rsid w:val="00B65D9B"/>
    <w:rsid w:val="00B65DC2"/>
    <w:rsid w:val="00B65E01"/>
    <w:rsid w:val="00B65E11"/>
    <w:rsid w:val="00B65E2D"/>
    <w:rsid w:val="00B65EC9"/>
    <w:rsid w:val="00B65EDB"/>
    <w:rsid w:val="00B65EF2"/>
    <w:rsid w:val="00B65F3A"/>
    <w:rsid w:val="00B65F4C"/>
    <w:rsid w:val="00B65FD2"/>
    <w:rsid w:val="00B65FF2"/>
    <w:rsid w:val="00B65FF3"/>
    <w:rsid w:val="00B66014"/>
    <w:rsid w:val="00B6601F"/>
    <w:rsid w:val="00B6603F"/>
    <w:rsid w:val="00B66041"/>
    <w:rsid w:val="00B66048"/>
    <w:rsid w:val="00B66049"/>
    <w:rsid w:val="00B6605F"/>
    <w:rsid w:val="00B6607A"/>
    <w:rsid w:val="00B66099"/>
    <w:rsid w:val="00B660D3"/>
    <w:rsid w:val="00B660FF"/>
    <w:rsid w:val="00B66116"/>
    <w:rsid w:val="00B66145"/>
    <w:rsid w:val="00B661B4"/>
    <w:rsid w:val="00B661F4"/>
    <w:rsid w:val="00B66237"/>
    <w:rsid w:val="00B6624D"/>
    <w:rsid w:val="00B66252"/>
    <w:rsid w:val="00B66262"/>
    <w:rsid w:val="00B66271"/>
    <w:rsid w:val="00B662F8"/>
    <w:rsid w:val="00B66305"/>
    <w:rsid w:val="00B66316"/>
    <w:rsid w:val="00B66317"/>
    <w:rsid w:val="00B66330"/>
    <w:rsid w:val="00B6639C"/>
    <w:rsid w:val="00B663A7"/>
    <w:rsid w:val="00B663B1"/>
    <w:rsid w:val="00B663B9"/>
    <w:rsid w:val="00B663C3"/>
    <w:rsid w:val="00B663D2"/>
    <w:rsid w:val="00B66439"/>
    <w:rsid w:val="00B6643B"/>
    <w:rsid w:val="00B6644D"/>
    <w:rsid w:val="00B66466"/>
    <w:rsid w:val="00B66480"/>
    <w:rsid w:val="00B6648C"/>
    <w:rsid w:val="00B66493"/>
    <w:rsid w:val="00B6649D"/>
    <w:rsid w:val="00B664DD"/>
    <w:rsid w:val="00B664E6"/>
    <w:rsid w:val="00B66541"/>
    <w:rsid w:val="00B665C6"/>
    <w:rsid w:val="00B665DA"/>
    <w:rsid w:val="00B665E5"/>
    <w:rsid w:val="00B66600"/>
    <w:rsid w:val="00B6661A"/>
    <w:rsid w:val="00B66642"/>
    <w:rsid w:val="00B6664C"/>
    <w:rsid w:val="00B66676"/>
    <w:rsid w:val="00B666B7"/>
    <w:rsid w:val="00B6673B"/>
    <w:rsid w:val="00B667A6"/>
    <w:rsid w:val="00B667D2"/>
    <w:rsid w:val="00B66824"/>
    <w:rsid w:val="00B6682F"/>
    <w:rsid w:val="00B66853"/>
    <w:rsid w:val="00B6687B"/>
    <w:rsid w:val="00B668CE"/>
    <w:rsid w:val="00B668E7"/>
    <w:rsid w:val="00B66914"/>
    <w:rsid w:val="00B66977"/>
    <w:rsid w:val="00B669C6"/>
    <w:rsid w:val="00B669CD"/>
    <w:rsid w:val="00B669D8"/>
    <w:rsid w:val="00B669DB"/>
    <w:rsid w:val="00B66A06"/>
    <w:rsid w:val="00B66A32"/>
    <w:rsid w:val="00B66A60"/>
    <w:rsid w:val="00B66A82"/>
    <w:rsid w:val="00B66AB2"/>
    <w:rsid w:val="00B66AD6"/>
    <w:rsid w:val="00B66B13"/>
    <w:rsid w:val="00B66B4D"/>
    <w:rsid w:val="00B66B8D"/>
    <w:rsid w:val="00B66BB0"/>
    <w:rsid w:val="00B66BB1"/>
    <w:rsid w:val="00B66BE1"/>
    <w:rsid w:val="00B66C04"/>
    <w:rsid w:val="00B66C50"/>
    <w:rsid w:val="00B66CA2"/>
    <w:rsid w:val="00B66CD8"/>
    <w:rsid w:val="00B66D3F"/>
    <w:rsid w:val="00B66D6A"/>
    <w:rsid w:val="00B66D88"/>
    <w:rsid w:val="00B66DC3"/>
    <w:rsid w:val="00B66E13"/>
    <w:rsid w:val="00B66E35"/>
    <w:rsid w:val="00B66E44"/>
    <w:rsid w:val="00B66E4C"/>
    <w:rsid w:val="00B66E66"/>
    <w:rsid w:val="00B66E6A"/>
    <w:rsid w:val="00B66EB7"/>
    <w:rsid w:val="00B66EDA"/>
    <w:rsid w:val="00B66EDD"/>
    <w:rsid w:val="00B66F57"/>
    <w:rsid w:val="00B66F99"/>
    <w:rsid w:val="00B66FA0"/>
    <w:rsid w:val="00B66FAC"/>
    <w:rsid w:val="00B66FCB"/>
    <w:rsid w:val="00B6702A"/>
    <w:rsid w:val="00B6703F"/>
    <w:rsid w:val="00B67086"/>
    <w:rsid w:val="00B67096"/>
    <w:rsid w:val="00B670F2"/>
    <w:rsid w:val="00B67117"/>
    <w:rsid w:val="00B67138"/>
    <w:rsid w:val="00B6713E"/>
    <w:rsid w:val="00B6717B"/>
    <w:rsid w:val="00B671BC"/>
    <w:rsid w:val="00B671F2"/>
    <w:rsid w:val="00B67205"/>
    <w:rsid w:val="00B6723D"/>
    <w:rsid w:val="00B6724E"/>
    <w:rsid w:val="00B6724F"/>
    <w:rsid w:val="00B67257"/>
    <w:rsid w:val="00B67285"/>
    <w:rsid w:val="00B6729C"/>
    <w:rsid w:val="00B672AE"/>
    <w:rsid w:val="00B672B1"/>
    <w:rsid w:val="00B672CD"/>
    <w:rsid w:val="00B672CE"/>
    <w:rsid w:val="00B672E2"/>
    <w:rsid w:val="00B672FC"/>
    <w:rsid w:val="00B67328"/>
    <w:rsid w:val="00B6732F"/>
    <w:rsid w:val="00B6733D"/>
    <w:rsid w:val="00B67366"/>
    <w:rsid w:val="00B6736A"/>
    <w:rsid w:val="00B67379"/>
    <w:rsid w:val="00B67398"/>
    <w:rsid w:val="00B673B1"/>
    <w:rsid w:val="00B67427"/>
    <w:rsid w:val="00B6742C"/>
    <w:rsid w:val="00B67444"/>
    <w:rsid w:val="00B67453"/>
    <w:rsid w:val="00B674BD"/>
    <w:rsid w:val="00B67520"/>
    <w:rsid w:val="00B67569"/>
    <w:rsid w:val="00B6759A"/>
    <w:rsid w:val="00B675D6"/>
    <w:rsid w:val="00B675F3"/>
    <w:rsid w:val="00B675F4"/>
    <w:rsid w:val="00B6767B"/>
    <w:rsid w:val="00B67685"/>
    <w:rsid w:val="00B676C3"/>
    <w:rsid w:val="00B676E2"/>
    <w:rsid w:val="00B676E4"/>
    <w:rsid w:val="00B676FC"/>
    <w:rsid w:val="00B676FD"/>
    <w:rsid w:val="00B6770B"/>
    <w:rsid w:val="00B67749"/>
    <w:rsid w:val="00B6774A"/>
    <w:rsid w:val="00B67781"/>
    <w:rsid w:val="00B67795"/>
    <w:rsid w:val="00B67821"/>
    <w:rsid w:val="00B67822"/>
    <w:rsid w:val="00B6782F"/>
    <w:rsid w:val="00B6783C"/>
    <w:rsid w:val="00B6786D"/>
    <w:rsid w:val="00B67887"/>
    <w:rsid w:val="00B6788E"/>
    <w:rsid w:val="00B67893"/>
    <w:rsid w:val="00B678B0"/>
    <w:rsid w:val="00B678D5"/>
    <w:rsid w:val="00B678DC"/>
    <w:rsid w:val="00B678E7"/>
    <w:rsid w:val="00B678F4"/>
    <w:rsid w:val="00B67931"/>
    <w:rsid w:val="00B67951"/>
    <w:rsid w:val="00B67975"/>
    <w:rsid w:val="00B67995"/>
    <w:rsid w:val="00B679A2"/>
    <w:rsid w:val="00B679B3"/>
    <w:rsid w:val="00B67A0A"/>
    <w:rsid w:val="00B67A0C"/>
    <w:rsid w:val="00B67A77"/>
    <w:rsid w:val="00B67A7C"/>
    <w:rsid w:val="00B67A7D"/>
    <w:rsid w:val="00B67ABF"/>
    <w:rsid w:val="00B67ADD"/>
    <w:rsid w:val="00B67B40"/>
    <w:rsid w:val="00B67B5C"/>
    <w:rsid w:val="00B67B9E"/>
    <w:rsid w:val="00B67BEA"/>
    <w:rsid w:val="00B67C0B"/>
    <w:rsid w:val="00B67C0D"/>
    <w:rsid w:val="00B67C17"/>
    <w:rsid w:val="00B67C29"/>
    <w:rsid w:val="00B67C41"/>
    <w:rsid w:val="00B67C6B"/>
    <w:rsid w:val="00B67C70"/>
    <w:rsid w:val="00B67CB7"/>
    <w:rsid w:val="00B67CBE"/>
    <w:rsid w:val="00B67CD5"/>
    <w:rsid w:val="00B67CD9"/>
    <w:rsid w:val="00B67D1D"/>
    <w:rsid w:val="00B67D58"/>
    <w:rsid w:val="00B67D95"/>
    <w:rsid w:val="00B67DFA"/>
    <w:rsid w:val="00B67DFF"/>
    <w:rsid w:val="00B67E4B"/>
    <w:rsid w:val="00B67E70"/>
    <w:rsid w:val="00B67ECD"/>
    <w:rsid w:val="00B67ED4"/>
    <w:rsid w:val="00B67F58"/>
    <w:rsid w:val="00B67F74"/>
    <w:rsid w:val="00B67F87"/>
    <w:rsid w:val="00B67F8D"/>
    <w:rsid w:val="00B67FD7"/>
    <w:rsid w:val="00B67FDA"/>
    <w:rsid w:val="00B67FDE"/>
    <w:rsid w:val="00B70012"/>
    <w:rsid w:val="00B7003F"/>
    <w:rsid w:val="00B70095"/>
    <w:rsid w:val="00B700C9"/>
    <w:rsid w:val="00B700E6"/>
    <w:rsid w:val="00B700FA"/>
    <w:rsid w:val="00B7014F"/>
    <w:rsid w:val="00B70197"/>
    <w:rsid w:val="00B701B2"/>
    <w:rsid w:val="00B701BB"/>
    <w:rsid w:val="00B701BE"/>
    <w:rsid w:val="00B701C9"/>
    <w:rsid w:val="00B701F2"/>
    <w:rsid w:val="00B701F5"/>
    <w:rsid w:val="00B70206"/>
    <w:rsid w:val="00B7024F"/>
    <w:rsid w:val="00B70252"/>
    <w:rsid w:val="00B70278"/>
    <w:rsid w:val="00B702F6"/>
    <w:rsid w:val="00B70325"/>
    <w:rsid w:val="00B70365"/>
    <w:rsid w:val="00B703C1"/>
    <w:rsid w:val="00B703C7"/>
    <w:rsid w:val="00B70465"/>
    <w:rsid w:val="00B704F8"/>
    <w:rsid w:val="00B70504"/>
    <w:rsid w:val="00B70528"/>
    <w:rsid w:val="00B7056C"/>
    <w:rsid w:val="00B70582"/>
    <w:rsid w:val="00B705A4"/>
    <w:rsid w:val="00B705B0"/>
    <w:rsid w:val="00B705B5"/>
    <w:rsid w:val="00B705C6"/>
    <w:rsid w:val="00B705EB"/>
    <w:rsid w:val="00B7060E"/>
    <w:rsid w:val="00B70630"/>
    <w:rsid w:val="00B70639"/>
    <w:rsid w:val="00B70661"/>
    <w:rsid w:val="00B70676"/>
    <w:rsid w:val="00B7069C"/>
    <w:rsid w:val="00B7069E"/>
    <w:rsid w:val="00B706B2"/>
    <w:rsid w:val="00B706C9"/>
    <w:rsid w:val="00B706EB"/>
    <w:rsid w:val="00B70704"/>
    <w:rsid w:val="00B7073B"/>
    <w:rsid w:val="00B7073F"/>
    <w:rsid w:val="00B70747"/>
    <w:rsid w:val="00B7078E"/>
    <w:rsid w:val="00B70791"/>
    <w:rsid w:val="00B70797"/>
    <w:rsid w:val="00B707B0"/>
    <w:rsid w:val="00B70803"/>
    <w:rsid w:val="00B708E0"/>
    <w:rsid w:val="00B708F0"/>
    <w:rsid w:val="00B70916"/>
    <w:rsid w:val="00B70930"/>
    <w:rsid w:val="00B7094C"/>
    <w:rsid w:val="00B709A6"/>
    <w:rsid w:val="00B709A9"/>
    <w:rsid w:val="00B709B8"/>
    <w:rsid w:val="00B70A57"/>
    <w:rsid w:val="00B70ABD"/>
    <w:rsid w:val="00B70AE5"/>
    <w:rsid w:val="00B70AEC"/>
    <w:rsid w:val="00B70AFA"/>
    <w:rsid w:val="00B70B15"/>
    <w:rsid w:val="00B70B29"/>
    <w:rsid w:val="00B70B70"/>
    <w:rsid w:val="00B70B86"/>
    <w:rsid w:val="00B70BB1"/>
    <w:rsid w:val="00B70BBD"/>
    <w:rsid w:val="00B70BDC"/>
    <w:rsid w:val="00B70C1B"/>
    <w:rsid w:val="00B70C3A"/>
    <w:rsid w:val="00B70C4E"/>
    <w:rsid w:val="00B70C96"/>
    <w:rsid w:val="00B70CA4"/>
    <w:rsid w:val="00B70CB7"/>
    <w:rsid w:val="00B70CBC"/>
    <w:rsid w:val="00B70CFB"/>
    <w:rsid w:val="00B70D0F"/>
    <w:rsid w:val="00B70D23"/>
    <w:rsid w:val="00B70D41"/>
    <w:rsid w:val="00B70D7A"/>
    <w:rsid w:val="00B70D80"/>
    <w:rsid w:val="00B70DED"/>
    <w:rsid w:val="00B70E76"/>
    <w:rsid w:val="00B70EAD"/>
    <w:rsid w:val="00B70EE4"/>
    <w:rsid w:val="00B70F04"/>
    <w:rsid w:val="00B70F0C"/>
    <w:rsid w:val="00B70F2E"/>
    <w:rsid w:val="00B70F3C"/>
    <w:rsid w:val="00B70F41"/>
    <w:rsid w:val="00B70F4D"/>
    <w:rsid w:val="00B70F69"/>
    <w:rsid w:val="00B70F75"/>
    <w:rsid w:val="00B70F85"/>
    <w:rsid w:val="00B70FBE"/>
    <w:rsid w:val="00B70FCD"/>
    <w:rsid w:val="00B71053"/>
    <w:rsid w:val="00B7109A"/>
    <w:rsid w:val="00B7109B"/>
    <w:rsid w:val="00B710A2"/>
    <w:rsid w:val="00B710BE"/>
    <w:rsid w:val="00B710EF"/>
    <w:rsid w:val="00B71128"/>
    <w:rsid w:val="00B71180"/>
    <w:rsid w:val="00B711D0"/>
    <w:rsid w:val="00B711E8"/>
    <w:rsid w:val="00B71272"/>
    <w:rsid w:val="00B7129A"/>
    <w:rsid w:val="00B71338"/>
    <w:rsid w:val="00B7138C"/>
    <w:rsid w:val="00B713D6"/>
    <w:rsid w:val="00B713F9"/>
    <w:rsid w:val="00B71422"/>
    <w:rsid w:val="00B7142F"/>
    <w:rsid w:val="00B7143A"/>
    <w:rsid w:val="00B71472"/>
    <w:rsid w:val="00B7147E"/>
    <w:rsid w:val="00B714B7"/>
    <w:rsid w:val="00B714BF"/>
    <w:rsid w:val="00B715A4"/>
    <w:rsid w:val="00B715D4"/>
    <w:rsid w:val="00B715E3"/>
    <w:rsid w:val="00B715FD"/>
    <w:rsid w:val="00B71604"/>
    <w:rsid w:val="00B7160C"/>
    <w:rsid w:val="00B71614"/>
    <w:rsid w:val="00B71617"/>
    <w:rsid w:val="00B71634"/>
    <w:rsid w:val="00B7166B"/>
    <w:rsid w:val="00B7167D"/>
    <w:rsid w:val="00B716CF"/>
    <w:rsid w:val="00B716FD"/>
    <w:rsid w:val="00B7172C"/>
    <w:rsid w:val="00B71790"/>
    <w:rsid w:val="00B717A9"/>
    <w:rsid w:val="00B717D8"/>
    <w:rsid w:val="00B717D9"/>
    <w:rsid w:val="00B717E9"/>
    <w:rsid w:val="00B717FA"/>
    <w:rsid w:val="00B71839"/>
    <w:rsid w:val="00B7184C"/>
    <w:rsid w:val="00B718AA"/>
    <w:rsid w:val="00B718D6"/>
    <w:rsid w:val="00B71912"/>
    <w:rsid w:val="00B71925"/>
    <w:rsid w:val="00B7198F"/>
    <w:rsid w:val="00B719AB"/>
    <w:rsid w:val="00B719DB"/>
    <w:rsid w:val="00B719DE"/>
    <w:rsid w:val="00B71A11"/>
    <w:rsid w:val="00B71A3B"/>
    <w:rsid w:val="00B71A52"/>
    <w:rsid w:val="00B71A53"/>
    <w:rsid w:val="00B71A5D"/>
    <w:rsid w:val="00B71A7B"/>
    <w:rsid w:val="00B71A7E"/>
    <w:rsid w:val="00B71A94"/>
    <w:rsid w:val="00B71AC3"/>
    <w:rsid w:val="00B71B57"/>
    <w:rsid w:val="00B71BB7"/>
    <w:rsid w:val="00B71BF8"/>
    <w:rsid w:val="00B71C08"/>
    <w:rsid w:val="00B71C1F"/>
    <w:rsid w:val="00B71C25"/>
    <w:rsid w:val="00B71C63"/>
    <w:rsid w:val="00B71C7B"/>
    <w:rsid w:val="00B71CA8"/>
    <w:rsid w:val="00B71CAE"/>
    <w:rsid w:val="00B71CBC"/>
    <w:rsid w:val="00B71CCD"/>
    <w:rsid w:val="00B71CD5"/>
    <w:rsid w:val="00B71CE4"/>
    <w:rsid w:val="00B71CEA"/>
    <w:rsid w:val="00B71D01"/>
    <w:rsid w:val="00B71D2A"/>
    <w:rsid w:val="00B71D53"/>
    <w:rsid w:val="00B71D64"/>
    <w:rsid w:val="00B71D65"/>
    <w:rsid w:val="00B71D88"/>
    <w:rsid w:val="00B71DBD"/>
    <w:rsid w:val="00B71DEB"/>
    <w:rsid w:val="00B71E13"/>
    <w:rsid w:val="00B71E64"/>
    <w:rsid w:val="00B71E80"/>
    <w:rsid w:val="00B71EAF"/>
    <w:rsid w:val="00B71EBE"/>
    <w:rsid w:val="00B71F3E"/>
    <w:rsid w:val="00B71F55"/>
    <w:rsid w:val="00B71F5B"/>
    <w:rsid w:val="00B71F6C"/>
    <w:rsid w:val="00B71F6F"/>
    <w:rsid w:val="00B71F7B"/>
    <w:rsid w:val="00B72035"/>
    <w:rsid w:val="00B72054"/>
    <w:rsid w:val="00B72063"/>
    <w:rsid w:val="00B720C2"/>
    <w:rsid w:val="00B720F0"/>
    <w:rsid w:val="00B720F4"/>
    <w:rsid w:val="00B720FD"/>
    <w:rsid w:val="00B72102"/>
    <w:rsid w:val="00B72121"/>
    <w:rsid w:val="00B72138"/>
    <w:rsid w:val="00B72178"/>
    <w:rsid w:val="00B72211"/>
    <w:rsid w:val="00B7221D"/>
    <w:rsid w:val="00B72268"/>
    <w:rsid w:val="00B7227D"/>
    <w:rsid w:val="00B7229C"/>
    <w:rsid w:val="00B722B5"/>
    <w:rsid w:val="00B722D1"/>
    <w:rsid w:val="00B722DA"/>
    <w:rsid w:val="00B7231A"/>
    <w:rsid w:val="00B72357"/>
    <w:rsid w:val="00B72390"/>
    <w:rsid w:val="00B723B0"/>
    <w:rsid w:val="00B723C6"/>
    <w:rsid w:val="00B723D8"/>
    <w:rsid w:val="00B723E1"/>
    <w:rsid w:val="00B723FF"/>
    <w:rsid w:val="00B7240D"/>
    <w:rsid w:val="00B7241C"/>
    <w:rsid w:val="00B72454"/>
    <w:rsid w:val="00B72469"/>
    <w:rsid w:val="00B724BE"/>
    <w:rsid w:val="00B72511"/>
    <w:rsid w:val="00B72535"/>
    <w:rsid w:val="00B725B2"/>
    <w:rsid w:val="00B725B3"/>
    <w:rsid w:val="00B725D6"/>
    <w:rsid w:val="00B72657"/>
    <w:rsid w:val="00B72661"/>
    <w:rsid w:val="00B726A4"/>
    <w:rsid w:val="00B726AA"/>
    <w:rsid w:val="00B726DA"/>
    <w:rsid w:val="00B72732"/>
    <w:rsid w:val="00B72779"/>
    <w:rsid w:val="00B727A0"/>
    <w:rsid w:val="00B727A3"/>
    <w:rsid w:val="00B727C7"/>
    <w:rsid w:val="00B727F4"/>
    <w:rsid w:val="00B7283C"/>
    <w:rsid w:val="00B7284F"/>
    <w:rsid w:val="00B72852"/>
    <w:rsid w:val="00B728AF"/>
    <w:rsid w:val="00B728B5"/>
    <w:rsid w:val="00B7293B"/>
    <w:rsid w:val="00B7297B"/>
    <w:rsid w:val="00B7298A"/>
    <w:rsid w:val="00B72990"/>
    <w:rsid w:val="00B729C5"/>
    <w:rsid w:val="00B729F6"/>
    <w:rsid w:val="00B72A13"/>
    <w:rsid w:val="00B72A55"/>
    <w:rsid w:val="00B72A5D"/>
    <w:rsid w:val="00B72A7C"/>
    <w:rsid w:val="00B72AF1"/>
    <w:rsid w:val="00B72B07"/>
    <w:rsid w:val="00B72B0A"/>
    <w:rsid w:val="00B72B35"/>
    <w:rsid w:val="00B72B57"/>
    <w:rsid w:val="00B72B9D"/>
    <w:rsid w:val="00B72BF4"/>
    <w:rsid w:val="00B72C75"/>
    <w:rsid w:val="00B72C83"/>
    <w:rsid w:val="00B72CC6"/>
    <w:rsid w:val="00B72D0E"/>
    <w:rsid w:val="00B72D31"/>
    <w:rsid w:val="00B72D33"/>
    <w:rsid w:val="00B72D6B"/>
    <w:rsid w:val="00B72D94"/>
    <w:rsid w:val="00B72E0E"/>
    <w:rsid w:val="00B72E2B"/>
    <w:rsid w:val="00B72E2D"/>
    <w:rsid w:val="00B72E3E"/>
    <w:rsid w:val="00B72E63"/>
    <w:rsid w:val="00B72E70"/>
    <w:rsid w:val="00B72E9A"/>
    <w:rsid w:val="00B72F08"/>
    <w:rsid w:val="00B72F1E"/>
    <w:rsid w:val="00B72F46"/>
    <w:rsid w:val="00B72F51"/>
    <w:rsid w:val="00B72F77"/>
    <w:rsid w:val="00B72FC8"/>
    <w:rsid w:val="00B73017"/>
    <w:rsid w:val="00B73087"/>
    <w:rsid w:val="00B73093"/>
    <w:rsid w:val="00B730A2"/>
    <w:rsid w:val="00B730B9"/>
    <w:rsid w:val="00B73111"/>
    <w:rsid w:val="00B7311A"/>
    <w:rsid w:val="00B73129"/>
    <w:rsid w:val="00B73143"/>
    <w:rsid w:val="00B73184"/>
    <w:rsid w:val="00B731AB"/>
    <w:rsid w:val="00B731D8"/>
    <w:rsid w:val="00B731F1"/>
    <w:rsid w:val="00B73217"/>
    <w:rsid w:val="00B73299"/>
    <w:rsid w:val="00B732F9"/>
    <w:rsid w:val="00B73308"/>
    <w:rsid w:val="00B7330F"/>
    <w:rsid w:val="00B73342"/>
    <w:rsid w:val="00B73397"/>
    <w:rsid w:val="00B733C8"/>
    <w:rsid w:val="00B733CE"/>
    <w:rsid w:val="00B733D3"/>
    <w:rsid w:val="00B73422"/>
    <w:rsid w:val="00B73424"/>
    <w:rsid w:val="00B73441"/>
    <w:rsid w:val="00B73457"/>
    <w:rsid w:val="00B734B6"/>
    <w:rsid w:val="00B73511"/>
    <w:rsid w:val="00B73540"/>
    <w:rsid w:val="00B73570"/>
    <w:rsid w:val="00B73574"/>
    <w:rsid w:val="00B7357B"/>
    <w:rsid w:val="00B73594"/>
    <w:rsid w:val="00B735A0"/>
    <w:rsid w:val="00B735BC"/>
    <w:rsid w:val="00B735C0"/>
    <w:rsid w:val="00B735D2"/>
    <w:rsid w:val="00B735FC"/>
    <w:rsid w:val="00B73602"/>
    <w:rsid w:val="00B7360A"/>
    <w:rsid w:val="00B7361A"/>
    <w:rsid w:val="00B73628"/>
    <w:rsid w:val="00B73629"/>
    <w:rsid w:val="00B7370F"/>
    <w:rsid w:val="00B7371A"/>
    <w:rsid w:val="00B73757"/>
    <w:rsid w:val="00B73768"/>
    <w:rsid w:val="00B737AD"/>
    <w:rsid w:val="00B737C7"/>
    <w:rsid w:val="00B737DF"/>
    <w:rsid w:val="00B7380A"/>
    <w:rsid w:val="00B73819"/>
    <w:rsid w:val="00B73842"/>
    <w:rsid w:val="00B73888"/>
    <w:rsid w:val="00B738F3"/>
    <w:rsid w:val="00B73928"/>
    <w:rsid w:val="00B73A03"/>
    <w:rsid w:val="00B73A0F"/>
    <w:rsid w:val="00B73A38"/>
    <w:rsid w:val="00B73A43"/>
    <w:rsid w:val="00B73A4B"/>
    <w:rsid w:val="00B73A51"/>
    <w:rsid w:val="00B73A82"/>
    <w:rsid w:val="00B73AC8"/>
    <w:rsid w:val="00B73B14"/>
    <w:rsid w:val="00B73B7A"/>
    <w:rsid w:val="00B73BA4"/>
    <w:rsid w:val="00B73BA9"/>
    <w:rsid w:val="00B73BBA"/>
    <w:rsid w:val="00B73BC8"/>
    <w:rsid w:val="00B73BCD"/>
    <w:rsid w:val="00B73BCE"/>
    <w:rsid w:val="00B73C0C"/>
    <w:rsid w:val="00B73C1E"/>
    <w:rsid w:val="00B73C64"/>
    <w:rsid w:val="00B73C70"/>
    <w:rsid w:val="00B73C71"/>
    <w:rsid w:val="00B73CD0"/>
    <w:rsid w:val="00B73CF3"/>
    <w:rsid w:val="00B73D5F"/>
    <w:rsid w:val="00B73DB4"/>
    <w:rsid w:val="00B73DB6"/>
    <w:rsid w:val="00B73DBD"/>
    <w:rsid w:val="00B73DF9"/>
    <w:rsid w:val="00B73EA2"/>
    <w:rsid w:val="00B73EA4"/>
    <w:rsid w:val="00B73EE4"/>
    <w:rsid w:val="00B73EF4"/>
    <w:rsid w:val="00B73F6C"/>
    <w:rsid w:val="00B73F9A"/>
    <w:rsid w:val="00B73FA3"/>
    <w:rsid w:val="00B73FCD"/>
    <w:rsid w:val="00B73FFE"/>
    <w:rsid w:val="00B74057"/>
    <w:rsid w:val="00B7406A"/>
    <w:rsid w:val="00B740E2"/>
    <w:rsid w:val="00B7410A"/>
    <w:rsid w:val="00B74155"/>
    <w:rsid w:val="00B74159"/>
    <w:rsid w:val="00B741B9"/>
    <w:rsid w:val="00B741BE"/>
    <w:rsid w:val="00B741C0"/>
    <w:rsid w:val="00B741EF"/>
    <w:rsid w:val="00B7420E"/>
    <w:rsid w:val="00B7424F"/>
    <w:rsid w:val="00B74301"/>
    <w:rsid w:val="00B7431C"/>
    <w:rsid w:val="00B74336"/>
    <w:rsid w:val="00B7434B"/>
    <w:rsid w:val="00B7437B"/>
    <w:rsid w:val="00B74391"/>
    <w:rsid w:val="00B743F0"/>
    <w:rsid w:val="00B74412"/>
    <w:rsid w:val="00B7445A"/>
    <w:rsid w:val="00B74497"/>
    <w:rsid w:val="00B74499"/>
    <w:rsid w:val="00B744A7"/>
    <w:rsid w:val="00B744AB"/>
    <w:rsid w:val="00B744B7"/>
    <w:rsid w:val="00B744BE"/>
    <w:rsid w:val="00B7450B"/>
    <w:rsid w:val="00B74529"/>
    <w:rsid w:val="00B7457F"/>
    <w:rsid w:val="00B745A2"/>
    <w:rsid w:val="00B745B7"/>
    <w:rsid w:val="00B745FC"/>
    <w:rsid w:val="00B7466E"/>
    <w:rsid w:val="00B74680"/>
    <w:rsid w:val="00B746D7"/>
    <w:rsid w:val="00B74704"/>
    <w:rsid w:val="00B74711"/>
    <w:rsid w:val="00B74714"/>
    <w:rsid w:val="00B74738"/>
    <w:rsid w:val="00B7475C"/>
    <w:rsid w:val="00B7476D"/>
    <w:rsid w:val="00B74786"/>
    <w:rsid w:val="00B747C5"/>
    <w:rsid w:val="00B7482B"/>
    <w:rsid w:val="00B74863"/>
    <w:rsid w:val="00B7489F"/>
    <w:rsid w:val="00B748A5"/>
    <w:rsid w:val="00B748B9"/>
    <w:rsid w:val="00B7492F"/>
    <w:rsid w:val="00B749AE"/>
    <w:rsid w:val="00B749E2"/>
    <w:rsid w:val="00B74A1A"/>
    <w:rsid w:val="00B74A59"/>
    <w:rsid w:val="00B74A68"/>
    <w:rsid w:val="00B74A6A"/>
    <w:rsid w:val="00B74A8E"/>
    <w:rsid w:val="00B74AB0"/>
    <w:rsid w:val="00B74AB1"/>
    <w:rsid w:val="00B74ACC"/>
    <w:rsid w:val="00B74B04"/>
    <w:rsid w:val="00B74B1C"/>
    <w:rsid w:val="00B74B6D"/>
    <w:rsid w:val="00B74BEB"/>
    <w:rsid w:val="00B74C06"/>
    <w:rsid w:val="00B74C41"/>
    <w:rsid w:val="00B74CA1"/>
    <w:rsid w:val="00B74CA5"/>
    <w:rsid w:val="00B74D30"/>
    <w:rsid w:val="00B74D70"/>
    <w:rsid w:val="00B74DA9"/>
    <w:rsid w:val="00B74DCE"/>
    <w:rsid w:val="00B74DD0"/>
    <w:rsid w:val="00B74DFA"/>
    <w:rsid w:val="00B74E4B"/>
    <w:rsid w:val="00B74E77"/>
    <w:rsid w:val="00B74EAB"/>
    <w:rsid w:val="00B74ED1"/>
    <w:rsid w:val="00B74ED7"/>
    <w:rsid w:val="00B74EDC"/>
    <w:rsid w:val="00B74EF1"/>
    <w:rsid w:val="00B74EFB"/>
    <w:rsid w:val="00B74F11"/>
    <w:rsid w:val="00B74F45"/>
    <w:rsid w:val="00B74F6E"/>
    <w:rsid w:val="00B74F77"/>
    <w:rsid w:val="00B74F7D"/>
    <w:rsid w:val="00B74FAC"/>
    <w:rsid w:val="00B74FC4"/>
    <w:rsid w:val="00B7502C"/>
    <w:rsid w:val="00B75040"/>
    <w:rsid w:val="00B75062"/>
    <w:rsid w:val="00B7509B"/>
    <w:rsid w:val="00B750C0"/>
    <w:rsid w:val="00B750F1"/>
    <w:rsid w:val="00B75100"/>
    <w:rsid w:val="00B7512A"/>
    <w:rsid w:val="00B75145"/>
    <w:rsid w:val="00B75169"/>
    <w:rsid w:val="00B7516D"/>
    <w:rsid w:val="00B7518F"/>
    <w:rsid w:val="00B751B1"/>
    <w:rsid w:val="00B751C4"/>
    <w:rsid w:val="00B751EE"/>
    <w:rsid w:val="00B75211"/>
    <w:rsid w:val="00B75213"/>
    <w:rsid w:val="00B75257"/>
    <w:rsid w:val="00B75268"/>
    <w:rsid w:val="00B7527E"/>
    <w:rsid w:val="00B75285"/>
    <w:rsid w:val="00B75291"/>
    <w:rsid w:val="00B752A1"/>
    <w:rsid w:val="00B7531E"/>
    <w:rsid w:val="00B7532A"/>
    <w:rsid w:val="00B7532B"/>
    <w:rsid w:val="00B75388"/>
    <w:rsid w:val="00B75397"/>
    <w:rsid w:val="00B7539D"/>
    <w:rsid w:val="00B753AA"/>
    <w:rsid w:val="00B753AE"/>
    <w:rsid w:val="00B753B7"/>
    <w:rsid w:val="00B753B9"/>
    <w:rsid w:val="00B75473"/>
    <w:rsid w:val="00B75482"/>
    <w:rsid w:val="00B754EE"/>
    <w:rsid w:val="00B75510"/>
    <w:rsid w:val="00B75511"/>
    <w:rsid w:val="00B75518"/>
    <w:rsid w:val="00B75519"/>
    <w:rsid w:val="00B75526"/>
    <w:rsid w:val="00B75569"/>
    <w:rsid w:val="00B75570"/>
    <w:rsid w:val="00B7557D"/>
    <w:rsid w:val="00B75593"/>
    <w:rsid w:val="00B755CD"/>
    <w:rsid w:val="00B75607"/>
    <w:rsid w:val="00B75608"/>
    <w:rsid w:val="00B75621"/>
    <w:rsid w:val="00B7562C"/>
    <w:rsid w:val="00B75708"/>
    <w:rsid w:val="00B75795"/>
    <w:rsid w:val="00B7579F"/>
    <w:rsid w:val="00B757B8"/>
    <w:rsid w:val="00B757C6"/>
    <w:rsid w:val="00B757FC"/>
    <w:rsid w:val="00B757FE"/>
    <w:rsid w:val="00B75800"/>
    <w:rsid w:val="00B75862"/>
    <w:rsid w:val="00B75875"/>
    <w:rsid w:val="00B75892"/>
    <w:rsid w:val="00B758AE"/>
    <w:rsid w:val="00B758B3"/>
    <w:rsid w:val="00B758D5"/>
    <w:rsid w:val="00B758E5"/>
    <w:rsid w:val="00B7592B"/>
    <w:rsid w:val="00B7598B"/>
    <w:rsid w:val="00B7599F"/>
    <w:rsid w:val="00B759A0"/>
    <w:rsid w:val="00B75A02"/>
    <w:rsid w:val="00B75A15"/>
    <w:rsid w:val="00B75A1E"/>
    <w:rsid w:val="00B75A6F"/>
    <w:rsid w:val="00B75A86"/>
    <w:rsid w:val="00B75A9D"/>
    <w:rsid w:val="00B75AAF"/>
    <w:rsid w:val="00B75ADC"/>
    <w:rsid w:val="00B75AFA"/>
    <w:rsid w:val="00B75B1F"/>
    <w:rsid w:val="00B75B22"/>
    <w:rsid w:val="00B75B28"/>
    <w:rsid w:val="00B75B3C"/>
    <w:rsid w:val="00B75B42"/>
    <w:rsid w:val="00B75B51"/>
    <w:rsid w:val="00B75B62"/>
    <w:rsid w:val="00B75BB5"/>
    <w:rsid w:val="00B75C13"/>
    <w:rsid w:val="00B75C63"/>
    <w:rsid w:val="00B75CAB"/>
    <w:rsid w:val="00B75CB7"/>
    <w:rsid w:val="00B75CE5"/>
    <w:rsid w:val="00B75D12"/>
    <w:rsid w:val="00B75D44"/>
    <w:rsid w:val="00B75D51"/>
    <w:rsid w:val="00B75D79"/>
    <w:rsid w:val="00B75DC2"/>
    <w:rsid w:val="00B75DD8"/>
    <w:rsid w:val="00B75E11"/>
    <w:rsid w:val="00B75E22"/>
    <w:rsid w:val="00B75E3A"/>
    <w:rsid w:val="00B75E78"/>
    <w:rsid w:val="00B75E85"/>
    <w:rsid w:val="00B75E86"/>
    <w:rsid w:val="00B75E8B"/>
    <w:rsid w:val="00B75EA1"/>
    <w:rsid w:val="00B75EA8"/>
    <w:rsid w:val="00B75ED8"/>
    <w:rsid w:val="00B75F18"/>
    <w:rsid w:val="00B75F27"/>
    <w:rsid w:val="00B75F2D"/>
    <w:rsid w:val="00B75F39"/>
    <w:rsid w:val="00B75F42"/>
    <w:rsid w:val="00B75F51"/>
    <w:rsid w:val="00B75F5D"/>
    <w:rsid w:val="00B75F7B"/>
    <w:rsid w:val="00B75F93"/>
    <w:rsid w:val="00B75FA5"/>
    <w:rsid w:val="00B75FAE"/>
    <w:rsid w:val="00B75FE0"/>
    <w:rsid w:val="00B76074"/>
    <w:rsid w:val="00B7608B"/>
    <w:rsid w:val="00B760E0"/>
    <w:rsid w:val="00B76154"/>
    <w:rsid w:val="00B761B0"/>
    <w:rsid w:val="00B761D0"/>
    <w:rsid w:val="00B76215"/>
    <w:rsid w:val="00B76233"/>
    <w:rsid w:val="00B76236"/>
    <w:rsid w:val="00B76237"/>
    <w:rsid w:val="00B76281"/>
    <w:rsid w:val="00B762B1"/>
    <w:rsid w:val="00B76303"/>
    <w:rsid w:val="00B7635F"/>
    <w:rsid w:val="00B76362"/>
    <w:rsid w:val="00B76367"/>
    <w:rsid w:val="00B76393"/>
    <w:rsid w:val="00B763A8"/>
    <w:rsid w:val="00B763AF"/>
    <w:rsid w:val="00B763D1"/>
    <w:rsid w:val="00B7640F"/>
    <w:rsid w:val="00B7641E"/>
    <w:rsid w:val="00B7642D"/>
    <w:rsid w:val="00B7648B"/>
    <w:rsid w:val="00B764D7"/>
    <w:rsid w:val="00B764F8"/>
    <w:rsid w:val="00B76539"/>
    <w:rsid w:val="00B765AC"/>
    <w:rsid w:val="00B765CB"/>
    <w:rsid w:val="00B765E8"/>
    <w:rsid w:val="00B7660B"/>
    <w:rsid w:val="00B76632"/>
    <w:rsid w:val="00B7665D"/>
    <w:rsid w:val="00B766A8"/>
    <w:rsid w:val="00B766BF"/>
    <w:rsid w:val="00B766E3"/>
    <w:rsid w:val="00B766F8"/>
    <w:rsid w:val="00B76728"/>
    <w:rsid w:val="00B76755"/>
    <w:rsid w:val="00B767A2"/>
    <w:rsid w:val="00B767A5"/>
    <w:rsid w:val="00B767B9"/>
    <w:rsid w:val="00B767BA"/>
    <w:rsid w:val="00B767EF"/>
    <w:rsid w:val="00B7686F"/>
    <w:rsid w:val="00B76877"/>
    <w:rsid w:val="00B76882"/>
    <w:rsid w:val="00B7688F"/>
    <w:rsid w:val="00B768B2"/>
    <w:rsid w:val="00B768C5"/>
    <w:rsid w:val="00B768F3"/>
    <w:rsid w:val="00B76936"/>
    <w:rsid w:val="00B76944"/>
    <w:rsid w:val="00B76986"/>
    <w:rsid w:val="00B76995"/>
    <w:rsid w:val="00B769C6"/>
    <w:rsid w:val="00B76A0A"/>
    <w:rsid w:val="00B76A2B"/>
    <w:rsid w:val="00B76A3E"/>
    <w:rsid w:val="00B76A3F"/>
    <w:rsid w:val="00B76A99"/>
    <w:rsid w:val="00B76ADF"/>
    <w:rsid w:val="00B76B1A"/>
    <w:rsid w:val="00B76B5D"/>
    <w:rsid w:val="00B76BBC"/>
    <w:rsid w:val="00B76BD7"/>
    <w:rsid w:val="00B76BEE"/>
    <w:rsid w:val="00B76C41"/>
    <w:rsid w:val="00B76C96"/>
    <w:rsid w:val="00B76C9A"/>
    <w:rsid w:val="00B76CC0"/>
    <w:rsid w:val="00B76CD6"/>
    <w:rsid w:val="00B76D34"/>
    <w:rsid w:val="00B76D53"/>
    <w:rsid w:val="00B76D57"/>
    <w:rsid w:val="00B76D59"/>
    <w:rsid w:val="00B76E0E"/>
    <w:rsid w:val="00B76E10"/>
    <w:rsid w:val="00B76E2E"/>
    <w:rsid w:val="00B76E48"/>
    <w:rsid w:val="00B76E54"/>
    <w:rsid w:val="00B76E59"/>
    <w:rsid w:val="00B76E67"/>
    <w:rsid w:val="00B76E75"/>
    <w:rsid w:val="00B76EA6"/>
    <w:rsid w:val="00B76EF9"/>
    <w:rsid w:val="00B76F12"/>
    <w:rsid w:val="00B76F13"/>
    <w:rsid w:val="00B76F67"/>
    <w:rsid w:val="00B76F9C"/>
    <w:rsid w:val="00B76F9D"/>
    <w:rsid w:val="00B76FC2"/>
    <w:rsid w:val="00B7702F"/>
    <w:rsid w:val="00B7704B"/>
    <w:rsid w:val="00B770A6"/>
    <w:rsid w:val="00B770AE"/>
    <w:rsid w:val="00B7715F"/>
    <w:rsid w:val="00B77168"/>
    <w:rsid w:val="00B7717C"/>
    <w:rsid w:val="00B7721E"/>
    <w:rsid w:val="00B77221"/>
    <w:rsid w:val="00B77239"/>
    <w:rsid w:val="00B77241"/>
    <w:rsid w:val="00B77243"/>
    <w:rsid w:val="00B77245"/>
    <w:rsid w:val="00B7724A"/>
    <w:rsid w:val="00B77250"/>
    <w:rsid w:val="00B7727D"/>
    <w:rsid w:val="00B7727F"/>
    <w:rsid w:val="00B772C5"/>
    <w:rsid w:val="00B77333"/>
    <w:rsid w:val="00B7734C"/>
    <w:rsid w:val="00B77365"/>
    <w:rsid w:val="00B773A6"/>
    <w:rsid w:val="00B773C4"/>
    <w:rsid w:val="00B77422"/>
    <w:rsid w:val="00B7743B"/>
    <w:rsid w:val="00B77451"/>
    <w:rsid w:val="00B77457"/>
    <w:rsid w:val="00B77462"/>
    <w:rsid w:val="00B7746B"/>
    <w:rsid w:val="00B774E0"/>
    <w:rsid w:val="00B774E4"/>
    <w:rsid w:val="00B77508"/>
    <w:rsid w:val="00B77548"/>
    <w:rsid w:val="00B77568"/>
    <w:rsid w:val="00B7759C"/>
    <w:rsid w:val="00B77628"/>
    <w:rsid w:val="00B77630"/>
    <w:rsid w:val="00B7764F"/>
    <w:rsid w:val="00B77670"/>
    <w:rsid w:val="00B7768A"/>
    <w:rsid w:val="00B77691"/>
    <w:rsid w:val="00B776A8"/>
    <w:rsid w:val="00B776D9"/>
    <w:rsid w:val="00B776DB"/>
    <w:rsid w:val="00B776EC"/>
    <w:rsid w:val="00B776ED"/>
    <w:rsid w:val="00B776F6"/>
    <w:rsid w:val="00B776FF"/>
    <w:rsid w:val="00B77723"/>
    <w:rsid w:val="00B7778A"/>
    <w:rsid w:val="00B777B4"/>
    <w:rsid w:val="00B777EC"/>
    <w:rsid w:val="00B777F0"/>
    <w:rsid w:val="00B77825"/>
    <w:rsid w:val="00B7784D"/>
    <w:rsid w:val="00B77879"/>
    <w:rsid w:val="00B7787E"/>
    <w:rsid w:val="00B77902"/>
    <w:rsid w:val="00B7793C"/>
    <w:rsid w:val="00B77969"/>
    <w:rsid w:val="00B779EC"/>
    <w:rsid w:val="00B77A20"/>
    <w:rsid w:val="00B77A4C"/>
    <w:rsid w:val="00B77AA2"/>
    <w:rsid w:val="00B77B01"/>
    <w:rsid w:val="00B77B2D"/>
    <w:rsid w:val="00B77B98"/>
    <w:rsid w:val="00B77BD1"/>
    <w:rsid w:val="00B77BD5"/>
    <w:rsid w:val="00B77C02"/>
    <w:rsid w:val="00B77CE7"/>
    <w:rsid w:val="00B77D2D"/>
    <w:rsid w:val="00B77D44"/>
    <w:rsid w:val="00B77D65"/>
    <w:rsid w:val="00B77D8D"/>
    <w:rsid w:val="00B77DE6"/>
    <w:rsid w:val="00B77E98"/>
    <w:rsid w:val="00B77EB2"/>
    <w:rsid w:val="00B77ED7"/>
    <w:rsid w:val="00B77EEF"/>
    <w:rsid w:val="00B77F13"/>
    <w:rsid w:val="00B77F35"/>
    <w:rsid w:val="00B77F40"/>
    <w:rsid w:val="00B77FA5"/>
    <w:rsid w:val="00B77FDF"/>
    <w:rsid w:val="00B78A15"/>
    <w:rsid w:val="00B8000A"/>
    <w:rsid w:val="00B8001A"/>
    <w:rsid w:val="00B8003B"/>
    <w:rsid w:val="00B8004E"/>
    <w:rsid w:val="00B8007E"/>
    <w:rsid w:val="00B8009B"/>
    <w:rsid w:val="00B80150"/>
    <w:rsid w:val="00B80155"/>
    <w:rsid w:val="00B8018D"/>
    <w:rsid w:val="00B8019E"/>
    <w:rsid w:val="00B801B6"/>
    <w:rsid w:val="00B801DA"/>
    <w:rsid w:val="00B80220"/>
    <w:rsid w:val="00B80231"/>
    <w:rsid w:val="00B80285"/>
    <w:rsid w:val="00B802B4"/>
    <w:rsid w:val="00B802E8"/>
    <w:rsid w:val="00B802F6"/>
    <w:rsid w:val="00B80357"/>
    <w:rsid w:val="00B80399"/>
    <w:rsid w:val="00B803D8"/>
    <w:rsid w:val="00B803E9"/>
    <w:rsid w:val="00B80408"/>
    <w:rsid w:val="00B8040E"/>
    <w:rsid w:val="00B80482"/>
    <w:rsid w:val="00B804B7"/>
    <w:rsid w:val="00B804ED"/>
    <w:rsid w:val="00B804FD"/>
    <w:rsid w:val="00B80507"/>
    <w:rsid w:val="00B8052D"/>
    <w:rsid w:val="00B8059A"/>
    <w:rsid w:val="00B80654"/>
    <w:rsid w:val="00B80692"/>
    <w:rsid w:val="00B806D8"/>
    <w:rsid w:val="00B806FC"/>
    <w:rsid w:val="00B80760"/>
    <w:rsid w:val="00B807A6"/>
    <w:rsid w:val="00B807CC"/>
    <w:rsid w:val="00B80836"/>
    <w:rsid w:val="00B8083D"/>
    <w:rsid w:val="00B80860"/>
    <w:rsid w:val="00B8086B"/>
    <w:rsid w:val="00B80884"/>
    <w:rsid w:val="00B80891"/>
    <w:rsid w:val="00B808C5"/>
    <w:rsid w:val="00B808D2"/>
    <w:rsid w:val="00B80936"/>
    <w:rsid w:val="00B8095F"/>
    <w:rsid w:val="00B80968"/>
    <w:rsid w:val="00B80969"/>
    <w:rsid w:val="00B8097A"/>
    <w:rsid w:val="00B80980"/>
    <w:rsid w:val="00B809B7"/>
    <w:rsid w:val="00B809D7"/>
    <w:rsid w:val="00B80A08"/>
    <w:rsid w:val="00B80A20"/>
    <w:rsid w:val="00B80A2B"/>
    <w:rsid w:val="00B80AA1"/>
    <w:rsid w:val="00B80AA7"/>
    <w:rsid w:val="00B80ABA"/>
    <w:rsid w:val="00B80AE1"/>
    <w:rsid w:val="00B80AFA"/>
    <w:rsid w:val="00B80B1B"/>
    <w:rsid w:val="00B80B6F"/>
    <w:rsid w:val="00B80B8A"/>
    <w:rsid w:val="00B80BCF"/>
    <w:rsid w:val="00B80BE6"/>
    <w:rsid w:val="00B80C3B"/>
    <w:rsid w:val="00B80C40"/>
    <w:rsid w:val="00B80C5A"/>
    <w:rsid w:val="00B80C61"/>
    <w:rsid w:val="00B80CB0"/>
    <w:rsid w:val="00B80CF1"/>
    <w:rsid w:val="00B80D71"/>
    <w:rsid w:val="00B80D78"/>
    <w:rsid w:val="00B80D91"/>
    <w:rsid w:val="00B80DA9"/>
    <w:rsid w:val="00B80DE2"/>
    <w:rsid w:val="00B80DFA"/>
    <w:rsid w:val="00B80E19"/>
    <w:rsid w:val="00B80E70"/>
    <w:rsid w:val="00B80E7A"/>
    <w:rsid w:val="00B80E87"/>
    <w:rsid w:val="00B80E91"/>
    <w:rsid w:val="00B80E93"/>
    <w:rsid w:val="00B80EA0"/>
    <w:rsid w:val="00B80ED1"/>
    <w:rsid w:val="00B80F29"/>
    <w:rsid w:val="00B80F4E"/>
    <w:rsid w:val="00B80F77"/>
    <w:rsid w:val="00B8100B"/>
    <w:rsid w:val="00B8104C"/>
    <w:rsid w:val="00B810AA"/>
    <w:rsid w:val="00B810CF"/>
    <w:rsid w:val="00B810D9"/>
    <w:rsid w:val="00B81104"/>
    <w:rsid w:val="00B81158"/>
    <w:rsid w:val="00B811AE"/>
    <w:rsid w:val="00B81215"/>
    <w:rsid w:val="00B81236"/>
    <w:rsid w:val="00B8128C"/>
    <w:rsid w:val="00B812B9"/>
    <w:rsid w:val="00B81302"/>
    <w:rsid w:val="00B81324"/>
    <w:rsid w:val="00B8133E"/>
    <w:rsid w:val="00B8133F"/>
    <w:rsid w:val="00B81343"/>
    <w:rsid w:val="00B8135A"/>
    <w:rsid w:val="00B813EE"/>
    <w:rsid w:val="00B81404"/>
    <w:rsid w:val="00B81444"/>
    <w:rsid w:val="00B81451"/>
    <w:rsid w:val="00B814AD"/>
    <w:rsid w:val="00B8150F"/>
    <w:rsid w:val="00B8153A"/>
    <w:rsid w:val="00B81549"/>
    <w:rsid w:val="00B81594"/>
    <w:rsid w:val="00B815EF"/>
    <w:rsid w:val="00B81624"/>
    <w:rsid w:val="00B81635"/>
    <w:rsid w:val="00B8169D"/>
    <w:rsid w:val="00B816AD"/>
    <w:rsid w:val="00B816B3"/>
    <w:rsid w:val="00B81718"/>
    <w:rsid w:val="00B8172B"/>
    <w:rsid w:val="00B8174B"/>
    <w:rsid w:val="00B81797"/>
    <w:rsid w:val="00B817B1"/>
    <w:rsid w:val="00B817EC"/>
    <w:rsid w:val="00B817FE"/>
    <w:rsid w:val="00B81805"/>
    <w:rsid w:val="00B8184C"/>
    <w:rsid w:val="00B81856"/>
    <w:rsid w:val="00B81874"/>
    <w:rsid w:val="00B8187A"/>
    <w:rsid w:val="00B81890"/>
    <w:rsid w:val="00B8189D"/>
    <w:rsid w:val="00B818C9"/>
    <w:rsid w:val="00B818E4"/>
    <w:rsid w:val="00B81911"/>
    <w:rsid w:val="00B81924"/>
    <w:rsid w:val="00B8193C"/>
    <w:rsid w:val="00B81969"/>
    <w:rsid w:val="00B8196B"/>
    <w:rsid w:val="00B81974"/>
    <w:rsid w:val="00B81995"/>
    <w:rsid w:val="00B819A0"/>
    <w:rsid w:val="00B819FA"/>
    <w:rsid w:val="00B81A00"/>
    <w:rsid w:val="00B81A4D"/>
    <w:rsid w:val="00B81A80"/>
    <w:rsid w:val="00B81A92"/>
    <w:rsid w:val="00B81A98"/>
    <w:rsid w:val="00B81AA0"/>
    <w:rsid w:val="00B81AA5"/>
    <w:rsid w:val="00B81AB2"/>
    <w:rsid w:val="00B81AE3"/>
    <w:rsid w:val="00B81AF9"/>
    <w:rsid w:val="00B81B08"/>
    <w:rsid w:val="00B81B45"/>
    <w:rsid w:val="00B81B5A"/>
    <w:rsid w:val="00B81B5F"/>
    <w:rsid w:val="00B81B71"/>
    <w:rsid w:val="00B81B94"/>
    <w:rsid w:val="00B81BB5"/>
    <w:rsid w:val="00B81BBB"/>
    <w:rsid w:val="00B81BCA"/>
    <w:rsid w:val="00B81BD3"/>
    <w:rsid w:val="00B81BD6"/>
    <w:rsid w:val="00B81C14"/>
    <w:rsid w:val="00B81C60"/>
    <w:rsid w:val="00B81C65"/>
    <w:rsid w:val="00B81C88"/>
    <w:rsid w:val="00B81C9C"/>
    <w:rsid w:val="00B81CA3"/>
    <w:rsid w:val="00B81CED"/>
    <w:rsid w:val="00B81CF8"/>
    <w:rsid w:val="00B81D1C"/>
    <w:rsid w:val="00B81D20"/>
    <w:rsid w:val="00B81D2F"/>
    <w:rsid w:val="00B81D38"/>
    <w:rsid w:val="00B81D60"/>
    <w:rsid w:val="00B81D71"/>
    <w:rsid w:val="00B81D80"/>
    <w:rsid w:val="00B81D86"/>
    <w:rsid w:val="00B81DD5"/>
    <w:rsid w:val="00B81E66"/>
    <w:rsid w:val="00B81E70"/>
    <w:rsid w:val="00B81E7F"/>
    <w:rsid w:val="00B81E83"/>
    <w:rsid w:val="00B81E9F"/>
    <w:rsid w:val="00B81F27"/>
    <w:rsid w:val="00B81F31"/>
    <w:rsid w:val="00B81F5B"/>
    <w:rsid w:val="00B81F79"/>
    <w:rsid w:val="00B81FA1"/>
    <w:rsid w:val="00B81FA8"/>
    <w:rsid w:val="00B81FAD"/>
    <w:rsid w:val="00B81FB4"/>
    <w:rsid w:val="00B81FC5"/>
    <w:rsid w:val="00B82060"/>
    <w:rsid w:val="00B820E5"/>
    <w:rsid w:val="00B82128"/>
    <w:rsid w:val="00B8212C"/>
    <w:rsid w:val="00B82135"/>
    <w:rsid w:val="00B821A9"/>
    <w:rsid w:val="00B821AB"/>
    <w:rsid w:val="00B821B4"/>
    <w:rsid w:val="00B821C1"/>
    <w:rsid w:val="00B821DE"/>
    <w:rsid w:val="00B82208"/>
    <w:rsid w:val="00B8220E"/>
    <w:rsid w:val="00B8221F"/>
    <w:rsid w:val="00B82262"/>
    <w:rsid w:val="00B82270"/>
    <w:rsid w:val="00B8227B"/>
    <w:rsid w:val="00B82281"/>
    <w:rsid w:val="00B82293"/>
    <w:rsid w:val="00B822A6"/>
    <w:rsid w:val="00B822AF"/>
    <w:rsid w:val="00B822E1"/>
    <w:rsid w:val="00B82369"/>
    <w:rsid w:val="00B82376"/>
    <w:rsid w:val="00B82430"/>
    <w:rsid w:val="00B82446"/>
    <w:rsid w:val="00B8245F"/>
    <w:rsid w:val="00B82464"/>
    <w:rsid w:val="00B824AF"/>
    <w:rsid w:val="00B824C9"/>
    <w:rsid w:val="00B824CE"/>
    <w:rsid w:val="00B8252E"/>
    <w:rsid w:val="00B82533"/>
    <w:rsid w:val="00B82543"/>
    <w:rsid w:val="00B825C0"/>
    <w:rsid w:val="00B825D2"/>
    <w:rsid w:val="00B825D8"/>
    <w:rsid w:val="00B82630"/>
    <w:rsid w:val="00B82647"/>
    <w:rsid w:val="00B82663"/>
    <w:rsid w:val="00B826A5"/>
    <w:rsid w:val="00B826A8"/>
    <w:rsid w:val="00B826B7"/>
    <w:rsid w:val="00B826E4"/>
    <w:rsid w:val="00B82724"/>
    <w:rsid w:val="00B82738"/>
    <w:rsid w:val="00B8276A"/>
    <w:rsid w:val="00B8276C"/>
    <w:rsid w:val="00B8278A"/>
    <w:rsid w:val="00B8279E"/>
    <w:rsid w:val="00B82807"/>
    <w:rsid w:val="00B82830"/>
    <w:rsid w:val="00B82851"/>
    <w:rsid w:val="00B82878"/>
    <w:rsid w:val="00B828C1"/>
    <w:rsid w:val="00B82956"/>
    <w:rsid w:val="00B82962"/>
    <w:rsid w:val="00B829DB"/>
    <w:rsid w:val="00B82A1A"/>
    <w:rsid w:val="00B82A1D"/>
    <w:rsid w:val="00B82A8D"/>
    <w:rsid w:val="00B82A94"/>
    <w:rsid w:val="00B82A96"/>
    <w:rsid w:val="00B82A9A"/>
    <w:rsid w:val="00B82B4B"/>
    <w:rsid w:val="00B82B4F"/>
    <w:rsid w:val="00B82BF4"/>
    <w:rsid w:val="00B82C36"/>
    <w:rsid w:val="00B82C4C"/>
    <w:rsid w:val="00B82C7D"/>
    <w:rsid w:val="00B82CAF"/>
    <w:rsid w:val="00B82CBA"/>
    <w:rsid w:val="00B82CE9"/>
    <w:rsid w:val="00B82D61"/>
    <w:rsid w:val="00B82D6E"/>
    <w:rsid w:val="00B82D85"/>
    <w:rsid w:val="00B82DA8"/>
    <w:rsid w:val="00B82E76"/>
    <w:rsid w:val="00B82EB8"/>
    <w:rsid w:val="00B82ECE"/>
    <w:rsid w:val="00B82EDF"/>
    <w:rsid w:val="00B82EF1"/>
    <w:rsid w:val="00B82F2A"/>
    <w:rsid w:val="00B82F3E"/>
    <w:rsid w:val="00B8300D"/>
    <w:rsid w:val="00B83059"/>
    <w:rsid w:val="00B8305E"/>
    <w:rsid w:val="00B83086"/>
    <w:rsid w:val="00B83088"/>
    <w:rsid w:val="00B83096"/>
    <w:rsid w:val="00B830D7"/>
    <w:rsid w:val="00B830E8"/>
    <w:rsid w:val="00B830F7"/>
    <w:rsid w:val="00B83127"/>
    <w:rsid w:val="00B83139"/>
    <w:rsid w:val="00B83158"/>
    <w:rsid w:val="00B8318D"/>
    <w:rsid w:val="00B831D4"/>
    <w:rsid w:val="00B83203"/>
    <w:rsid w:val="00B83215"/>
    <w:rsid w:val="00B8323B"/>
    <w:rsid w:val="00B83268"/>
    <w:rsid w:val="00B832AE"/>
    <w:rsid w:val="00B83371"/>
    <w:rsid w:val="00B83388"/>
    <w:rsid w:val="00B8338A"/>
    <w:rsid w:val="00B8338E"/>
    <w:rsid w:val="00B833DA"/>
    <w:rsid w:val="00B8343D"/>
    <w:rsid w:val="00B83459"/>
    <w:rsid w:val="00B834C0"/>
    <w:rsid w:val="00B834C4"/>
    <w:rsid w:val="00B834E8"/>
    <w:rsid w:val="00B8354A"/>
    <w:rsid w:val="00B83553"/>
    <w:rsid w:val="00B8356F"/>
    <w:rsid w:val="00B8359B"/>
    <w:rsid w:val="00B8359D"/>
    <w:rsid w:val="00B8359E"/>
    <w:rsid w:val="00B835B4"/>
    <w:rsid w:val="00B835C0"/>
    <w:rsid w:val="00B835D3"/>
    <w:rsid w:val="00B8361E"/>
    <w:rsid w:val="00B83627"/>
    <w:rsid w:val="00B83636"/>
    <w:rsid w:val="00B836AF"/>
    <w:rsid w:val="00B836BF"/>
    <w:rsid w:val="00B836C1"/>
    <w:rsid w:val="00B83706"/>
    <w:rsid w:val="00B8377E"/>
    <w:rsid w:val="00B8378E"/>
    <w:rsid w:val="00B837BE"/>
    <w:rsid w:val="00B837E5"/>
    <w:rsid w:val="00B837FA"/>
    <w:rsid w:val="00B83818"/>
    <w:rsid w:val="00B8383D"/>
    <w:rsid w:val="00B8384A"/>
    <w:rsid w:val="00B83851"/>
    <w:rsid w:val="00B83855"/>
    <w:rsid w:val="00B83866"/>
    <w:rsid w:val="00B83876"/>
    <w:rsid w:val="00B838F1"/>
    <w:rsid w:val="00B83935"/>
    <w:rsid w:val="00B83936"/>
    <w:rsid w:val="00B83943"/>
    <w:rsid w:val="00B83966"/>
    <w:rsid w:val="00B83984"/>
    <w:rsid w:val="00B83996"/>
    <w:rsid w:val="00B83A04"/>
    <w:rsid w:val="00B83A11"/>
    <w:rsid w:val="00B83A5C"/>
    <w:rsid w:val="00B83A62"/>
    <w:rsid w:val="00B83A68"/>
    <w:rsid w:val="00B83A6A"/>
    <w:rsid w:val="00B83B3B"/>
    <w:rsid w:val="00B83B6E"/>
    <w:rsid w:val="00B83BBA"/>
    <w:rsid w:val="00B83BCC"/>
    <w:rsid w:val="00B83C38"/>
    <w:rsid w:val="00B83C75"/>
    <w:rsid w:val="00B83CC8"/>
    <w:rsid w:val="00B83CE9"/>
    <w:rsid w:val="00B83CEA"/>
    <w:rsid w:val="00B83D8B"/>
    <w:rsid w:val="00B83DC9"/>
    <w:rsid w:val="00B83DEE"/>
    <w:rsid w:val="00B83E46"/>
    <w:rsid w:val="00B83E5F"/>
    <w:rsid w:val="00B83E74"/>
    <w:rsid w:val="00B83EB3"/>
    <w:rsid w:val="00B83F10"/>
    <w:rsid w:val="00B83F1F"/>
    <w:rsid w:val="00B83F56"/>
    <w:rsid w:val="00B83FA2"/>
    <w:rsid w:val="00B83FA5"/>
    <w:rsid w:val="00B83FA7"/>
    <w:rsid w:val="00B84007"/>
    <w:rsid w:val="00B8403B"/>
    <w:rsid w:val="00B84052"/>
    <w:rsid w:val="00B8409A"/>
    <w:rsid w:val="00B840AC"/>
    <w:rsid w:val="00B840C8"/>
    <w:rsid w:val="00B84104"/>
    <w:rsid w:val="00B8415E"/>
    <w:rsid w:val="00B841A8"/>
    <w:rsid w:val="00B841CB"/>
    <w:rsid w:val="00B841D4"/>
    <w:rsid w:val="00B84214"/>
    <w:rsid w:val="00B84220"/>
    <w:rsid w:val="00B8424D"/>
    <w:rsid w:val="00B84255"/>
    <w:rsid w:val="00B84273"/>
    <w:rsid w:val="00B842B6"/>
    <w:rsid w:val="00B842ED"/>
    <w:rsid w:val="00B84321"/>
    <w:rsid w:val="00B843D6"/>
    <w:rsid w:val="00B843F2"/>
    <w:rsid w:val="00B843F7"/>
    <w:rsid w:val="00B84424"/>
    <w:rsid w:val="00B84436"/>
    <w:rsid w:val="00B8446C"/>
    <w:rsid w:val="00B84480"/>
    <w:rsid w:val="00B84485"/>
    <w:rsid w:val="00B84487"/>
    <w:rsid w:val="00B8451A"/>
    <w:rsid w:val="00B8451B"/>
    <w:rsid w:val="00B84560"/>
    <w:rsid w:val="00B845E1"/>
    <w:rsid w:val="00B845F4"/>
    <w:rsid w:val="00B845FB"/>
    <w:rsid w:val="00B8460D"/>
    <w:rsid w:val="00B84637"/>
    <w:rsid w:val="00B84660"/>
    <w:rsid w:val="00B8469B"/>
    <w:rsid w:val="00B846B6"/>
    <w:rsid w:val="00B846CB"/>
    <w:rsid w:val="00B846E0"/>
    <w:rsid w:val="00B84709"/>
    <w:rsid w:val="00B84760"/>
    <w:rsid w:val="00B84761"/>
    <w:rsid w:val="00B84774"/>
    <w:rsid w:val="00B847C5"/>
    <w:rsid w:val="00B847CC"/>
    <w:rsid w:val="00B847F9"/>
    <w:rsid w:val="00B84857"/>
    <w:rsid w:val="00B8485D"/>
    <w:rsid w:val="00B84864"/>
    <w:rsid w:val="00B8497D"/>
    <w:rsid w:val="00B84988"/>
    <w:rsid w:val="00B849ED"/>
    <w:rsid w:val="00B849F7"/>
    <w:rsid w:val="00B849FA"/>
    <w:rsid w:val="00B84A22"/>
    <w:rsid w:val="00B84A27"/>
    <w:rsid w:val="00B84A3C"/>
    <w:rsid w:val="00B84A3F"/>
    <w:rsid w:val="00B84A43"/>
    <w:rsid w:val="00B84A9E"/>
    <w:rsid w:val="00B84AFA"/>
    <w:rsid w:val="00B84B1E"/>
    <w:rsid w:val="00B84B7E"/>
    <w:rsid w:val="00B84B87"/>
    <w:rsid w:val="00B84BC0"/>
    <w:rsid w:val="00B84BD3"/>
    <w:rsid w:val="00B84C44"/>
    <w:rsid w:val="00B84C48"/>
    <w:rsid w:val="00B84C8C"/>
    <w:rsid w:val="00B84C9C"/>
    <w:rsid w:val="00B84D43"/>
    <w:rsid w:val="00B84D8A"/>
    <w:rsid w:val="00B84E06"/>
    <w:rsid w:val="00B84E61"/>
    <w:rsid w:val="00B84E6F"/>
    <w:rsid w:val="00B84E76"/>
    <w:rsid w:val="00B84EA8"/>
    <w:rsid w:val="00B84F0C"/>
    <w:rsid w:val="00B84F23"/>
    <w:rsid w:val="00B84F31"/>
    <w:rsid w:val="00B84F48"/>
    <w:rsid w:val="00B84F4B"/>
    <w:rsid w:val="00B84F4D"/>
    <w:rsid w:val="00B84F7C"/>
    <w:rsid w:val="00B84FB9"/>
    <w:rsid w:val="00B85075"/>
    <w:rsid w:val="00B85091"/>
    <w:rsid w:val="00B850AE"/>
    <w:rsid w:val="00B850F4"/>
    <w:rsid w:val="00B85108"/>
    <w:rsid w:val="00B85151"/>
    <w:rsid w:val="00B8516F"/>
    <w:rsid w:val="00B85189"/>
    <w:rsid w:val="00B851AB"/>
    <w:rsid w:val="00B85222"/>
    <w:rsid w:val="00B85230"/>
    <w:rsid w:val="00B85260"/>
    <w:rsid w:val="00B85269"/>
    <w:rsid w:val="00B85274"/>
    <w:rsid w:val="00B852AB"/>
    <w:rsid w:val="00B852AC"/>
    <w:rsid w:val="00B852AD"/>
    <w:rsid w:val="00B852D6"/>
    <w:rsid w:val="00B852F0"/>
    <w:rsid w:val="00B85328"/>
    <w:rsid w:val="00B85353"/>
    <w:rsid w:val="00B8536D"/>
    <w:rsid w:val="00B85382"/>
    <w:rsid w:val="00B85395"/>
    <w:rsid w:val="00B853C8"/>
    <w:rsid w:val="00B85403"/>
    <w:rsid w:val="00B8543D"/>
    <w:rsid w:val="00B8549A"/>
    <w:rsid w:val="00B854D5"/>
    <w:rsid w:val="00B854E3"/>
    <w:rsid w:val="00B85526"/>
    <w:rsid w:val="00B8553C"/>
    <w:rsid w:val="00B8553D"/>
    <w:rsid w:val="00B8554A"/>
    <w:rsid w:val="00B85559"/>
    <w:rsid w:val="00B8557F"/>
    <w:rsid w:val="00B855E1"/>
    <w:rsid w:val="00B855E9"/>
    <w:rsid w:val="00B8561E"/>
    <w:rsid w:val="00B85643"/>
    <w:rsid w:val="00B8564C"/>
    <w:rsid w:val="00B85694"/>
    <w:rsid w:val="00B856A0"/>
    <w:rsid w:val="00B856C0"/>
    <w:rsid w:val="00B856C9"/>
    <w:rsid w:val="00B856D7"/>
    <w:rsid w:val="00B85717"/>
    <w:rsid w:val="00B8575B"/>
    <w:rsid w:val="00B8577D"/>
    <w:rsid w:val="00B8579A"/>
    <w:rsid w:val="00B857CD"/>
    <w:rsid w:val="00B857D4"/>
    <w:rsid w:val="00B857EE"/>
    <w:rsid w:val="00B857FA"/>
    <w:rsid w:val="00B85802"/>
    <w:rsid w:val="00B85823"/>
    <w:rsid w:val="00B8582A"/>
    <w:rsid w:val="00B85844"/>
    <w:rsid w:val="00B85863"/>
    <w:rsid w:val="00B8587A"/>
    <w:rsid w:val="00B858D5"/>
    <w:rsid w:val="00B85913"/>
    <w:rsid w:val="00B85920"/>
    <w:rsid w:val="00B85934"/>
    <w:rsid w:val="00B85943"/>
    <w:rsid w:val="00B859DB"/>
    <w:rsid w:val="00B85A17"/>
    <w:rsid w:val="00B85A25"/>
    <w:rsid w:val="00B85AAC"/>
    <w:rsid w:val="00B85AD6"/>
    <w:rsid w:val="00B85ADC"/>
    <w:rsid w:val="00B85AE7"/>
    <w:rsid w:val="00B85B68"/>
    <w:rsid w:val="00B85B79"/>
    <w:rsid w:val="00B85B8A"/>
    <w:rsid w:val="00B85B95"/>
    <w:rsid w:val="00B85C40"/>
    <w:rsid w:val="00B85C42"/>
    <w:rsid w:val="00B85C4F"/>
    <w:rsid w:val="00B85CC8"/>
    <w:rsid w:val="00B85CE2"/>
    <w:rsid w:val="00B85D22"/>
    <w:rsid w:val="00B85D3E"/>
    <w:rsid w:val="00B85D63"/>
    <w:rsid w:val="00B85D6E"/>
    <w:rsid w:val="00B85DD7"/>
    <w:rsid w:val="00B85E8E"/>
    <w:rsid w:val="00B85E9B"/>
    <w:rsid w:val="00B85EA2"/>
    <w:rsid w:val="00B85EB0"/>
    <w:rsid w:val="00B85ED5"/>
    <w:rsid w:val="00B85EFB"/>
    <w:rsid w:val="00B85F1C"/>
    <w:rsid w:val="00B85F2E"/>
    <w:rsid w:val="00B85F34"/>
    <w:rsid w:val="00B85F37"/>
    <w:rsid w:val="00B85F42"/>
    <w:rsid w:val="00B85F5A"/>
    <w:rsid w:val="00B85F65"/>
    <w:rsid w:val="00B85F6D"/>
    <w:rsid w:val="00B85F8A"/>
    <w:rsid w:val="00B85FD1"/>
    <w:rsid w:val="00B85FDE"/>
    <w:rsid w:val="00B85FEE"/>
    <w:rsid w:val="00B85FFD"/>
    <w:rsid w:val="00B8600A"/>
    <w:rsid w:val="00B86032"/>
    <w:rsid w:val="00B8604E"/>
    <w:rsid w:val="00B86050"/>
    <w:rsid w:val="00B8606F"/>
    <w:rsid w:val="00B8608E"/>
    <w:rsid w:val="00B8609E"/>
    <w:rsid w:val="00B8610B"/>
    <w:rsid w:val="00B861BD"/>
    <w:rsid w:val="00B861C2"/>
    <w:rsid w:val="00B861ED"/>
    <w:rsid w:val="00B861F3"/>
    <w:rsid w:val="00B8620A"/>
    <w:rsid w:val="00B8622B"/>
    <w:rsid w:val="00B86234"/>
    <w:rsid w:val="00B8625E"/>
    <w:rsid w:val="00B86289"/>
    <w:rsid w:val="00B86312"/>
    <w:rsid w:val="00B8638A"/>
    <w:rsid w:val="00B86395"/>
    <w:rsid w:val="00B863E2"/>
    <w:rsid w:val="00B863E6"/>
    <w:rsid w:val="00B863EC"/>
    <w:rsid w:val="00B86409"/>
    <w:rsid w:val="00B86428"/>
    <w:rsid w:val="00B86489"/>
    <w:rsid w:val="00B864C8"/>
    <w:rsid w:val="00B864EE"/>
    <w:rsid w:val="00B864FE"/>
    <w:rsid w:val="00B8653A"/>
    <w:rsid w:val="00B86549"/>
    <w:rsid w:val="00B865E2"/>
    <w:rsid w:val="00B86624"/>
    <w:rsid w:val="00B8662A"/>
    <w:rsid w:val="00B866C9"/>
    <w:rsid w:val="00B866CB"/>
    <w:rsid w:val="00B86721"/>
    <w:rsid w:val="00B86723"/>
    <w:rsid w:val="00B86740"/>
    <w:rsid w:val="00B86755"/>
    <w:rsid w:val="00B867B8"/>
    <w:rsid w:val="00B867CA"/>
    <w:rsid w:val="00B867CC"/>
    <w:rsid w:val="00B867E9"/>
    <w:rsid w:val="00B8687E"/>
    <w:rsid w:val="00B8687F"/>
    <w:rsid w:val="00B868C1"/>
    <w:rsid w:val="00B8691A"/>
    <w:rsid w:val="00B86926"/>
    <w:rsid w:val="00B869AC"/>
    <w:rsid w:val="00B86A16"/>
    <w:rsid w:val="00B86A5A"/>
    <w:rsid w:val="00B86A91"/>
    <w:rsid w:val="00B86AD5"/>
    <w:rsid w:val="00B86B22"/>
    <w:rsid w:val="00B86B5C"/>
    <w:rsid w:val="00B86B67"/>
    <w:rsid w:val="00B86B6E"/>
    <w:rsid w:val="00B86BD6"/>
    <w:rsid w:val="00B86BFA"/>
    <w:rsid w:val="00B86BFE"/>
    <w:rsid w:val="00B86C2C"/>
    <w:rsid w:val="00B86C3A"/>
    <w:rsid w:val="00B86C3B"/>
    <w:rsid w:val="00B86C58"/>
    <w:rsid w:val="00B86C5D"/>
    <w:rsid w:val="00B86C6A"/>
    <w:rsid w:val="00B86C75"/>
    <w:rsid w:val="00B86C7A"/>
    <w:rsid w:val="00B86C81"/>
    <w:rsid w:val="00B86CBD"/>
    <w:rsid w:val="00B86CD3"/>
    <w:rsid w:val="00B86CE2"/>
    <w:rsid w:val="00B86D49"/>
    <w:rsid w:val="00B86D7A"/>
    <w:rsid w:val="00B86D9B"/>
    <w:rsid w:val="00B86E07"/>
    <w:rsid w:val="00B86E4E"/>
    <w:rsid w:val="00B86E7A"/>
    <w:rsid w:val="00B86EB3"/>
    <w:rsid w:val="00B86F00"/>
    <w:rsid w:val="00B86FBA"/>
    <w:rsid w:val="00B8701D"/>
    <w:rsid w:val="00B8702A"/>
    <w:rsid w:val="00B87048"/>
    <w:rsid w:val="00B8705D"/>
    <w:rsid w:val="00B87065"/>
    <w:rsid w:val="00B87074"/>
    <w:rsid w:val="00B87077"/>
    <w:rsid w:val="00B87082"/>
    <w:rsid w:val="00B87096"/>
    <w:rsid w:val="00B870A7"/>
    <w:rsid w:val="00B870C1"/>
    <w:rsid w:val="00B870D3"/>
    <w:rsid w:val="00B870F1"/>
    <w:rsid w:val="00B870FC"/>
    <w:rsid w:val="00B87116"/>
    <w:rsid w:val="00B87142"/>
    <w:rsid w:val="00B8715E"/>
    <w:rsid w:val="00B871E6"/>
    <w:rsid w:val="00B871EE"/>
    <w:rsid w:val="00B8721F"/>
    <w:rsid w:val="00B8724B"/>
    <w:rsid w:val="00B8726C"/>
    <w:rsid w:val="00B872BA"/>
    <w:rsid w:val="00B872C2"/>
    <w:rsid w:val="00B872CC"/>
    <w:rsid w:val="00B87301"/>
    <w:rsid w:val="00B87316"/>
    <w:rsid w:val="00B8733F"/>
    <w:rsid w:val="00B87358"/>
    <w:rsid w:val="00B87365"/>
    <w:rsid w:val="00B87379"/>
    <w:rsid w:val="00B87387"/>
    <w:rsid w:val="00B87416"/>
    <w:rsid w:val="00B87427"/>
    <w:rsid w:val="00B8747F"/>
    <w:rsid w:val="00B874C1"/>
    <w:rsid w:val="00B874F5"/>
    <w:rsid w:val="00B874FA"/>
    <w:rsid w:val="00B87507"/>
    <w:rsid w:val="00B87522"/>
    <w:rsid w:val="00B8754D"/>
    <w:rsid w:val="00B875BC"/>
    <w:rsid w:val="00B875E7"/>
    <w:rsid w:val="00B8760E"/>
    <w:rsid w:val="00B87612"/>
    <w:rsid w:val="00B87618"/>
    <w:rsid w:val="00B87694"/>
    <w:rsid w:val="00B876A6"/>
    <w:rsid w:val="00B876AC"/>
    <w:rsid w:val="00B876D8"/>
    <w:rsid w:val="00B876D9"/>
    <w:rsid w:val="00B876ED"/>
    <w:rsid w:val="00B876F3"/>
    <w:rsid w:val="00B87751"/>
    <w:rsid w:val="00B87779"/>
    <w:rsid w:val="00B87794"/>
    <w:rsid w:val="00B87799"/>
    <w:rsid w:val="00B877D8"/>
    <w:rsid w:val="00B877DE"/>
    <w:rsid w:val="00B8780D"/>
    <w:rsid w:val="00B87820"/>
    <w:rsid w:val="00B87841"/>
    <w:rsid w:val="00B878A5"/>
    <w:rsid w:val="00B878BE"/>
    <w:rsid w:val="00B878DF"/>
    <w:rsid w:val="00B878E3"/>
    <w:rsid w:val="00B87961"/>
    <w:rsid w:val="00B8796C"/>
    <w:rsid w:val="00B87A2F"/>
    <w:rsid w:val="00B87A5B"/>
    <w:rsid w:val="00B87A7F"/>
    <w:rsid w:val="00B87A8A"/>
    <w:rsid w:val="00B87AB9"/>
    <w:rsid w:val="00B87B22"/>
    <w:rsid w:val="00B87B78"/>
    <w:rsid w:val="00B87BCC"/>
    <w:rsid w:val="00B87BD3"/>
    <w:rsid w:val="00B87BE5"/>
    <w:rsid w:val="00B87BEE"/>
    <w:rsid w:val="00B87C0C"/>
    <w:rsid w:val="00B87C32"/>
    <w:rsid w:val="00B87C41"/>
    <w:rsid w:val="00B87C4E"/>
    <w:rsid w:val="00B87C63"/>
    <w:rsid w:val="00B87CDD"/>
    <w:rsid w:val="00B87CEB"/>
    <w:rsid w:val="00B87CFB"/>
    <w:rsid w:val="00B87D28"/>
    <w:rsid w:val="00B87D5A"/>
    <w:rsid w:val="00B87D63"/>
    <w:rsid w:val="00B87D70"/>
    <w:rsid w:val="00B87DE7"/>
    <w:rsid w:val="00B87E51"/>
    <w:rsid w:val="00B87E54"/>
    <w:rsid w:val="00B87E7D"/>
    <w:rsid w:val="00B87EA0"/>
    <w:rsid w:val="00B87EB9"/>
    <w:rsid w:val="00B87F0C"/>
    <w:rsid w:val="00B87F37"/>
    <w:rsid w:val="00B87F3C"/>
    <w:rsid w:val="00B87F4F"/>
    <w:rsid w:val="00B87FA4"/>
    <w:rsid w:val="00B87FAF"/>
    <w:rsid w:val="00B87FB0"/>
    <w:rsid w:val="00B87FDC"/>
    <w:rsid w:val="00B90023"/>
    <w:rsid w:val="00B90032"/>
    <w:rsid w:val="00B9003D"/>
    <w:rsid w:val="00B90065"/>
    <w:rsid w:val="00B90087"/>
    <w:rsid w:val="00B90091"/>
    <w:rsid w:val="00B90098"/>
    <w:rsid w:val="00B900D3"/>
    <w:rsid w:val="00B900D8"/>
    <w:rsid w:val="00B90115"/>
    <w:rsid w:val="00B90147"/>
    <w:rsid w:val="00B9014E"/>
    <w:rsid w:val="00B9016D"/>
    <w:rsid w:val="00B9018C"/>
    <w:rsid w:val="00B901A3"/>
    <w:rsid w:val="00B901BE"/>
    <w:rsid w:val="00B901CE"/>
    <w:rsid w:val="00B901F6"/>
    <w:rsid w:val="00B901F8"/>
    <w:rsid w:val="00B901FC"/>
    <w:rsid w:val="00B90214"/>
    <w:rsid w:val="00B9025E"/>
    <w:rsid w:val="00B90261"/>
    <w:rsid w:val="00B90277"/>
    <w:rsid w:val="00B9028B"/>
    <w:rsid w:val="00B90300"/>
    <w:rsid w:val="00B90308"/>
    <w:rsid w:val="00B90334"/>
    <w:rsid w:val="00B9037F"/>
    <w:rsid w:val="00B90384"/>
    <w:rsid w:val="00B9038E"/>
    <w:rsid w:val="00B903A8"/>
    <w:rsid w:val="00B903AF"/>
    <w:rsid w:val="00B903CC"/>
    <w:rsid w:val="00B9044B"/>
    <w:rsid w:val="00B90464"/>
    <w:rsid w:val="00B904A7"/>
    <w:rsid w:val="00B904E0"/>
    <w:rsid w:val="00B904E2"/>
    <w:rsid w:val="00B904FB"/>
    <w:rsid w:val="00B9052C"/>
    <w:rsid w:val="00B9053D"/>
    <w:rsid w:val="00B90550"/>
    <w:rsid w:val="00B90576"/>
    <w:rsid w:val="00B90579"/>
    <w:rsid w:val="00B905E0"/>
    <w:rsid w:val="00B9060E"/>
    <w:rsid w:val="00B90613"/>
    <w:rsid w:val="00B90626"/>
    <w:rsid w:val="00B90631"/>
    <w:rsid w:val="00B90636"/>
    <w:rsid w:val="00B90658"/>
    <w:rsid w:val="00B90674"/>
    <w:rsid w:val="00B9067F"/>
    <w:rsid w:val="00B906FE"/>
    <w:rsid w:val="00B90752"/>
    <w:rsid w:val="00B90762"/>
    <w:rsid w:val="00B90784"/>
    <w:rsid w:val="00B90790"/>
    <w:rsid w:val="00B90791"/>
    <w:rsid w:val="00B90794"/>
    <w:rsid w:val="00B907CE"/>
    <w:rsid w:val="00B907E3"/>
    <w:rsid w:val="00B9083C"/>
    <w:rsid w:val="00B90850"/>
    <w:rsid w:val="00B9085F"/>
    <w:rsid w:val="00B9088A"/>
    <w:rsid w:val="00B908BB"/>
    <w:rsid w:val="00B908D0"/>
    <w:rsid w:val="00B90900"/>
    <w:rsid w:val="00B90907"/>
    <w:rsid w:val="00B90952"/>
    <w:rsid w:val="00B90A8A"/>
    <w:rsid w:val="00B90AB8"/>
    <w:rsid w:val="00B90ABB"/>
    <w:rsid w:val="00B90AC3"/>
    <w:rsid w:val="00B90B21"/>
    <w:rsid w:val="00B90B91"/>
    <w:rsid w:val="00B90BA9"/>
    <w:rsid w:val="00B90BCE"/>
    <w:rsid w:val="00B90BDE"/>
    <w:rsid w:val="00B90BF3"/>
    <w:rsid w:val="00B90C63"/>
    <w:rsid w:val="00B90CB8"/>
    <w:rsid w:val="00B90D09"/>
    <w:rsid w:val="00B90D4E"/>
    <w:rsid w:val="00B90D6F"/>
    <w:rsid w:val="00B90D7E"/>
    <w:rsid w:val="00B90D91"/>
    <w:rsid w:val="00B90DB6"/>
    <w:rsid w:val="00B90DC4"/>
    <w:rsid w:val="00B90DF1"/>
    <w:rsid w:val="00B90E0F"/>
    <w:rsid w:val="00B90E1B"/>
    <w:rsid w:val="00B90E5B"/>
    <w:rsid w:val="00B90ED2"/>
    <w:rsid w:val="00B90EDB"/>
    <w:rsid w:val="00B90EEB"/>
    <w:rsid w:val="00B90F1C"/>
    <w:rsid w:val="00B90F32"/>
    <w:rsid w:val="00B90F40"/>
    <w:rsid w:val="00B90F4A"/>
    <w:rsid w:val="00B90F5A"/>
    <w:rsid w:val="00B90FA3"/>
    <w:rsid w:val="00B90FCA"/>
    <w:rsid w:val="00B90FDE"/>
    <w:rsid w:val="00B90FED"/>
    <w:rsid w:val="00B9101B"/>
    <w:rsid w:val="00B91058"/>
    <w:rsid w:val="00B91071"/>
    <w:rsid w:val="00B910B5"/>
    <w:rsid w:val="00B910B6"/>
    <w:rsid w:val="00B910DB"/>
    <w:rsid w:val="00B910E1"/>
    <w:rsid w:val="00B910F7"/>
    <w:rsid w:val="00B91125"/>
    <w:rsid w:val="00B911FD"/>
    <w:rsid w:val="00B91247"/>
    <w:rsid w:val="00B91256"/>
    <w:rsid w:val="00B9127B"/>
    <w:rsid w:val="00B912FB"/>
    <w:rsid w:val="00B9133E"/>
    <w:rsid w:val="00B9134B"/>
    <w:rsid w:val="00B91359"/>
    <w:rsid w:val="00B91376"/>
    <w:rsid w:val="00B913A8"/>
    <w:rsid w:val="00B913B8"/>
    <w:rsid w:val="00B913CE"/>
    <w:rsid w:val="00B913D2"/>
    <w:rsid w:val="00B91425"/>
    <w:rsid w:val="00B91426"/>
    <w:rsid w:val="00B9142A"/>
    <w:rsid w:val="00B91445"/>
    <w:rsid w:val="00B9146D"/>
    <w:rsid w:val="00B91478"/>
    <w:rsid w:val="00B914F3"/>
    <w:rsid w:val="00B91518"/>
    <w:rsid w:val="00B91520"/>
    <w:rsid w:val="00B9156D"/>
    <w:rsid w:val="00B91570"/>
    <w:rsid w:val="00B9157C"/>
    <w:rsid w:val="00B9158B"/>
    <w:rsid w:val="00B915B8"/>
    <w:rsid w:val="00B915D7"/>
    <w:rsid w:val="00B9162B"/>
    <w:rsid w:val="00B91639"/>
    <w:rsid w:val="00B9167B"/>
    <w:rsid w:val="00B916EE"/>
    <w:rsid w:val="00B916FB"/>
    <w:rsid w:val="00B91726"/>
    <w:rsid w:val="00B91777"/>
    <w:rsid w:val="00B91799"/>
    <w:rsid w:val="00B917E0"/>
    <w:rsid w:val="00B917FC"/>
    <w:rsid w:val="00B91833"/>
    <w:rsid w:val="00B9183D"/>
    <w:rsid w:val="00B91853"/>
    <w:rsid w:val="00B918B4"/>
    <w:rsid w:val="00B918BF"/>
    <w:rsid w:val="00B918CE"/>
    <w:rsid w:val="00B918F8"/>
    <w:rsid w:val="00B91920"/>
    <w:rsid w:val="00B9192A"/>
    <w:rsid w:val="00B91974"/>
    <w:rsid w:val="00B919F5"/>
    <w:rsid w:val="00B91A1D"/>
    <w:rsid w:val="00B91A32"/>
    <w:rsid w:val="00B91A8B"/>
    <w:rsid w:val="00B91A9A"/>
    <w:rsid w:val="00B91AA1"/>
    <w:rsid w:val="00B91ABA"/>
    <w:rsid w:val="00B91AD0"/>
    <w:rsid w:val="00B91AF1"/>
    <w:rsid w:val="00B91B14"/>
    <w:rsid w:val="00B91B8B"/>
    <w:rsid w:val="00B91B96"/>
    <w:rsid w:val="00B91BDE"/>
    <w:rsid w:val="00B91BE1"/>
    <w:rsid w:val="00B91BFA"/>
    <w:rsid w:val="00B91C0E"/>
    <w:rsid w:val="00B91C54"/>
    <w:rsid w:val="00B91D16"/>
    <w:rsid w:val="00B91D61"/>
    <w:rsid w:val="00B91D6B"/>
    <w:rsid w:val="00B91DD7"/>
    <w:rsid w:val="00B91DDA"/>
    <w:rsid w:val="00B91E06"/>
    <w:rsid w:val="00B91E12"/>
    <w:rsid w:val="00B91E22"/>
    <w:rsid w:val="00B91E5E"/>
    <w:rsid w:val="00B91E68"/>
    <w:rsid w:val="00B91ED5"/>
    <w:rsid w:val="00B91ED8"/>
    <w:rsid w:val="00B91EEE"/>
    <w:rsid w:val="00B91F18"/>
    <w:rsid w:val="00B91F3C"/>
    <w:rsid w:val="00B91F53"/>
    <w:rsid w:val="00B91F62"/>
    <w:rsid w:val="00B91F63"/>
    <w:rsid w:val="00B91F64"/>
    <w:rsid w:val="00B91F7A"/>
    <w:rsid w:val="00B91F7E"/>
    <w:rsid w:val="00B91FAC"/>
    <w:rsid w:val="00B9202C"/>
    <w:rsid w:val="00B9207F"/>
    <w:rsid w:val="00B9208A"/>
    <w:rsid w:val="00B920DA"/>
    <w:rsid w:val="00B920F5"/>
    <w:rsid w:val="00B92122"/>
    <w:rsid w:val="00B92181"/>
    <w:rsid w:val="00B9218F"/>
    <w:rsid w:val="00B921D3"/>
    <w:rsid w:val="00B92230"/>
    <w:rsid w:val="00B9226D"/>
    <w:rsid w:val="00B9229B"/>
    <w:rsid w:val="00B922D9"/>
    <w:rsid w:val="00B9235A"/>
    <w:rsid w:val="00B9235B"/>
    <w:rsid w:val="00B9238A"/>
    <w:rsid w:val="00B923A8"/>
    <w:rsid w:val="00B923EF"/>
    <w:rsid w:val="00B9244E"/>
    <w:rsid w:val="00B9248C"/>
    <w:rsid w:val="00B924B7"/>
    <w:rsid w:val="00B924DE"/>
    <w:rsid w:val="00B9250B"/>
    <w:rsid w:val="00B92535"/>
    <w:rsid w:val="00B9258D"/>
    <w:rsid w:val="00B9259F"/>
    <w:rsid w:val="00B925A1"/>
    <w:rsid w:val="00B925FA"/>
    <w:rsid w:val="00B92610"/>
    <w:rsid w:val="00B92611"/>
    <w:rsid w:val="00B92647"/>
    <w:rsid w:val="00B9266F"/>
    <w:rsid w:val="00B9268F"/>
    <w:rsid w:val="00B926EC"/>
    <w:rsid w:val="00B926FC"/>
    <w:rsid w:val="00B92761"/>
    <w:rsid w:val="00B92779"/>
    <w:rsid w:val="00B92789"/>
    <w:rsid w:val="00B9278E"/>
    <w:rsid w:val="00B927B4"/>
    <w:rsid w:val="00B927CF"/>
    <w:rsid w:val="00B927F9"/>
    <w:rsid w:val="00B927FF"/>
    <w:rsid w:val="00B92859"/>
    <w:rsid w:val="00B92877"/>
    <w:rsid w:val="00B9287F"/>
    <w:rsid w:val="00B9288D"/>
    <w:rsid w:val="00B92895"/>
    <w:rsid w:val="00B92898"/>
    <w:rsid w:val="00B928BB"/>
    <w:rsid w:val="00B92900"/>
    <w:rsid w:val="00B92942"/>
    <w:rsid w:val="00B9298A"/>
    <w:rsid w:val="00B929AA"/>
    <w:rsid w:val="00B92A46"/>
    <w:rsid w:val="00B92A47"/>
    <w:rsid w:val="00B92A77"/>
    <w:rsid w:val="00B92AC4"/>
    <w:rsid w:val="00B92ADB"/>
    <w:rsid w:val="00B92AFF"/>
    <w:rsid w:val="00B92B16"/>
    <w:rsid w:val="00B92B2D"/>
    <w:rsid w:val="00B92B42"/>
    <w:rsid w:val="00B92B50"/>
    <w:rsid w:val="00B92B7C"/>
    <w:rsid w:val="00B92B8D"/>
    <w:rsid w:val="00B92B9C"/>
    <w:rsid w:val="00B92BDE"/>
    <w:rsid w:val="00B92BDF"/>
    <w:rsid w:val="00B92C73"/>
    <w:rsid w:val="00B92C85"/>
    <w:rsid w:val="00B92CAB"/>
    <w:rsid w:val="00B92D1F"/>
    <w:rsid w:val="00B92DBC"/>
    <w:rsid w:val="00B92DC1"/>
    <w:rsid w:val="00B92DC7"/>
    <w:rsid w:val="00B92DEB"/>
    <w:rsid w:val="00B92DF5"/>
    <w:rsid w:val="00B92E03"/>
    <w:rsid w:val="00B92E08"/>
    <w:rsid w:val="00B92EDF"/>
    <w:rsid w:val="00B92F0E"/>
    <w:rsid w:val="00B92F1A"/>
    <w:rsid w:val="00B92F2B"/>
    <w:rsid w:val="00B92F39"/>
    <w:rsid w:val="00B92F4C"/>
    <w:rsid w:val="00B92F76"/>
    <w:rsid w:val="00B92FEA"/>
    <w:rsid w:val="00B93035"/>
    <w:rsid w:val="00B9305A"/>
    <w:rsid w:val="00B93074"/>
    <w:rsid w:val="00B9307E"/>
    <w:rsid w:val="00B93099"/>
    <w:rsid w:val="00B9309E"/>
    <w:rsid w:val="00B930E0"/>
    <w:rsid w:val="00B930F7"/>
    <w:rsid w:val="00B9310E"/>
    <w:rsid w:val="00B9315A"/>
    <w:rsid w:val="00B9316C"/>
    <w:rsid w:val="00B9319E"/>
    <w:rsid w:val="00B931AA"/>
    <w:rsid w:val="00B931C4"/>
    <w:rsid w:val="00B93203"/>
    <w:rsid w:val="00B9321B"/>
    <w:rsid w:val="00B93265"/>
    <w:rsid w:val="00B9326D"/>
    <w:rsid w:val="00B9327A"/>
    <w:rsid w:val="00B93291"/>
    <w:rsid w:val="00B932A8"/>
    <w:rsid w:val="00B932EC"/>
    <w:rsid w:val="00B93312"/>
    <w:rsid w:val="00B93315"/>
    <w:rsid w:val="00B933B3"/>
    <w:rsid w:val="00B933FE"/>
    <w:rsid w:val="00B93422"/>
    <w:rsid w:val="00B9342D"/>
    <w:rsid w:val="00B93452"/>
    <w:rsid w:val="00B93461"/>
    <w:rsid w:val="00B9346F"/>
    <w:rsid w:val="00B934A0"/>
    <w:rsid w:val="00B934C1"/>
    <w:rsid w:val="00B934C7"/>
    <w:rsid w:val="00B934CE"/>
    <w:rsid w:val="00B9352A"/>
    <w:rsid w:val="00B93534"/>
    <w:rsid w:val="00B93551"/>
    <w:rsid w:val="00B93599"/>
    <w:rsid w:val="00B935EA"/>
    <w:rsid w:val="00B935F0"/>
    <w:rsid w:val="00B935FA"/>
    <w:rsid w:val="00B935FB"/>
    <w:rsid w:val="00B93647"/>
    <w:rsid w:val="00B9367C"/>
    <w:rsid w:val="00B936B1"/>
    <w:rsid w:val="00B9371E"/>
    <w:rsid w:val="00B93728"/>
    <w:rsid w:val="00B93734"/>
    <w:rsid w:val="00B937B2"/>
    <w:rsid w:val="00B937DB"/>
    <w:rsid w:val="00B93800"/>
    <w:rsid w:val="00B93814"/>
    <w:rsid w:val="00B9381E"/>
    <w:rsid w:val="00B93821"/>
    <w:rsid w:val="00B9383F"/>
    <w:rsid w:val="00B93850"/>
    <w:rsid w:val="00B93865"/>
    <w:rsid w:val="00B938A0"/>
    <w:rsid w:val="00B938A1"/>
    <w:rsid w:val="00B938DF"/>
    <w:rsid w:val="00B93984"/>
    <w:rsid w:val="00B93997"/>
    <w:rsid w:val="00B939C7"/>
    <w:rsid w:val="00B93A0D"/>
    <w:rsid w:val="00B93A3D"/>
    <w:rsid w:val="00B93A85"/>
    <w:rsid w:val="00B93A98"/>
    <w:rsid w:val="00B93AAD"/>
    <w:rsid w:val="00B93AB5"/>
    <w:rsid w:val="00B93AD4"/>
    <w:rsid w:val="00B93B1F"/>
    <w:rsid w:val="00B93B29"/>
    <w:rsid w:val="00B93B2B"/>
    <w:rsid w:val="00B93B48"/>
    <w:rsid w:val="00B93B6E"/>
    <w:rsid w:val="00B93B8F"/>
    <w:rsid w:val="00B93B97"/>
    <w:rsid w:val="00B93BE2"/>
    <w:rsid w:val="00B93BED"/>
    <w:rsid w:val="00B93C4C"/>
    <w:rsid w:val="00B93C4E"/>
    <w:rsid w:val="00B93CCF"/>
    <w:rsid w:val="00B93D00"/>
    <w:rsid w:val="00B93D12"/>
    <w:rsid w:val="00B93D1E"/>
    <w:rsid w:val="00B93D30"/>
    <w:rsid w:val="00B93D33"/>
    <w:rsid w:val="00B93D45"/>
    <w:rsid w:val="00B93D92"/>
    <w:rsid w:val="00B93E31"/>
    <w:rsid w:val="00B93E72"/>
    <w:rsid w:val="00B93E8B"/>
    <w:rsid w:val="00B93EC1"/>
    <w:rsid w:val="00B93EF4"/>
    <w:rsid w:val="00B93EF5"/>
    <w:rsid w:val="00B93F40"/>
    <w:rsid w:val="00B93F4D"/>
    <w:rsid w:val="00B93F74"/>
    <w:rsid w:val="00B93F86"/>
    <w:rsid w:val="00B93FED"/>
    <w:rsid w:val="00B93FFB"/>
    <w:rsid w:val="00B94071"/>
    <w:rsid w:val="00B94076"/>
    <w:rsid w:val="00B940A4"/>
    <w:rsid w:val="00B940CA"/>
    <w:rsid w:val="00B940D7"/>
    <w:rsid w:val="00B940E7"/>
    <w:rsid w:val="00B94159"/>
    <w:rsid w:val="00B9415D"/>
    <w:rsid w:val="00B94190"/>
    <w:rsid w:val="00B94199"/>
    <w:rsid w:val="00B941D1"/>
    <w:rsid w:val="00B941DC"/>
    <w:rsid w:val="00B94212"/>
    <w:rsid w:val="00B94239"/>
    <w:rsid w:val="00B9428C"/>
    <w:rsid w:val="00B9429B"/>
    <w:rsid w:val="00B942AC"/>
    <w:rsid w:val="00B942B2"/>
    <w:rsid w:val="00B94317"/>
    <w:rsid w:val="00B94338"/>
    <w:rsid w:val="00B94381"/>
    <w:rsid w:val="00B94390"/>
    <w:rsid w:val="00B94397"/>
    <w:rsid w:val="00B9439A"/>
    <w:rsid w:val="00B943BC"/>
    <w:rsid w:val="00B943D9"/>
    <w:rsid w:val="00B94477"/>
    <w:rsid w:val="00B94484"/>
    <w:rsid w:val="00B944E2"/>
    <w:rsid w:val="00B9453B"/>
    <w:rsid w:val="00B94541"/>
    <w:rsid w:val="00B9454F"/>
    <w:rsid w:val="00B94555"/>
    <w:rsid w:val="00B94594"/>
    <w:rsid w:val="00B945A0"/>
    <w:rsid w:val="00B945B9"/>
    <w:rsid w:val="00B945F2"/>
    <w:rsid w:val="00B94619"/>
    <w:rsid w:val="00B94620"/>
    <w:rsid w:val="00B94625"/>
    <w:rsid w:val="00B94687"/>
    <w:rsid w:val="00B946B2"/>
    <w:rsid w:val="00B946D6"/>
    <w:rsid w:val="00B946F7"/>
    <w:rsid w:val="00B94710"/>
    <w:rsid w:val="00B9471E"/>
    <w:rsid w:val="00B94744"/>
    <w:rsid w:val="00B94778"/>
    <w:rsid w:val="00B94797"/>
    <w:rsid w:val="00B947AE"/>
    <w:rsid w:val="00B947C6"/>
    <w:rsid w:val="00B947F3"/>
    <w:rsid w:val="00B9481B"/>
    <w:rsid w:val="00B9482B"/>
    <w:rsid w:val="00B94845"/>
    <w:rsid w:val="00B9489F"/>
    <w:rsid w:val="00B9495D"/>
    <w:rsid w:val="00B94992"/>
    <w:rsid w:val="00B949A3"/>
    <w:rsid w:val="00B949CD"/>
    <w:rsid w:val="00B94A0A"/>
    <w:rsid w:val="00B94A0C"/>
    <w:rsid w:val="00B94A1B"/>
    <w:rsid w:val="00B94A39"/>
    <w:rsid w:val="00B94A60"/>
    <w:rsid w:val="00B94A9C"/>
    <w:rsid w:val="00B94AC7"/>
    <w:rsid w:val="00B94AFD"/>
    <w:rsid w:val="00B94B17"/>
    <w:rsid w:val="00B94B1D"/>
    <w:rsid w:val="00B94B2D"/>
    <w:rsid w:val="00B94B4A"/>
    <w:rsid w:val="00B94B64"/>
    <w:rsid w:val="00B94B8F"/>
    <w:rsid w:val="00B94BC8"/>
    <w:rsid w:val="00B94BE2"/>
    <w:rsid w:val="00B94BF2"/>
    <w:rsid w:val="00B94C8C"/>
    <w:rsid w:val="00B94CAA"/>
    <w:rsid w:val="00B94D30"/>
    <w:rsid w:val="00B94D3F"/>
    <w:rsid w:val="00B94D7F"/>
    <w:rsid w:val="00B94D87"/>
    <w:rsid w:val="00B94DA7"/>
    <w:rsid w:val="00B94DBE"/>
    <w:rsid w:val="00B94DBF"/>
    <w:rsid w:val="00B94DCF"/>
    <w:rsid w:val="00B94DDE"/>
    <w:rsid w:val="00B94E56"/>
    <w:rsid w:val="00B94EA6"/>
    <w:rsid w:val="00B94ED1"/>
    <w:rsid w:val="00B94EDA"/>
    <w:rsid w:val="00B94F5C"/>
    <w:rsid w:val="00B94FDE"/>
    <w:rsid w:val="00B94FE4"/>
    <w:rsid w:val="00B95007"/>
    <w:rsid w:val="00B9500A"/>
    <w:rsid w:val="00B95021"/>
    <w:rsid w:val="00B9509F"/>
    <w:rsid w:val="00B950A3"/>
    <w:rsid w:val="00B950BE"/>
    <w:rsid w:val="00B95108"/>
    <w:rsid w:val="00B9510C"/>
    <w:rsid w:val="00B95129"/>
    <w:rsid w:val="00B95153"/>
    <w:rsid w:val="00B9519C"/>
    <w:rsid w:val="00B9519F"/>
    <w:rsid w:val="00B951A9"/>
    <w:rsid w:val="00B951BA"/>
    <w:rsid w:val="00B951F4"/>
    <w:rsid w:val="00B9522B"/>
    <w:rsid w:val="00B95269"/>
    <w:rsid w:val="00B952A9"/>
    <w:rsid w:val="00B952C8"/>
    <w:rsid w:val="00B952D5"/>
    <w:rsid w:val="00B95310"/>
    <w:rsid w:val="00B9539E"/>
    <w:rsid w:val="00B953FE"/>
    <w:rsid w:val="00B95405"/>
    <w:rsid w:val="00B95479"/>
    <w:rsid w:val="00B954BC"/>
    <w:rsid w:val="00B95507"/>
    <w:rsid w:val="00B955D0"/>
    <w:rsid w:val="00B955EE"/>
    <w:rsid w:val="00B9560C"/>
    <w:rsid w:val="00B95696"/>
    <w:rsid w:val="00B956B8"/>
    <w:rsid w:val="00B956BE"/>
    <w:rsid w:val="00B956C4"/>
    <w:rsid w:val="00B956C6"/>
    <w:rsid w:val="00B956C7"/>
    <w:rsid w:val="00B956D3"/>
    <w:rsid w:val="00B956FF"/>
    <w:rsid w:val="00B95741"/>
    <w:rsid w:val="00B957DF"/>
    <w:rsid w:val="00B957E8"/>
    <w:rsid w:val="00B9580E"/>
    <w:rsid w:val="00B95838"/>
    <w:rsid w:val="00B9584A"/>
    <w:rsid w:val="00B958A5"/>
    <w:rsid w:val="00B958AF"/>
    <w:rsid w:val="00B958B7"/>
    <w:rsid w:val="00B958BD"/>
    <w:rsid w:val="00B95908"/>
    <w:rsid w:val="00B9593E"/>
    <w:rsid w:val="00B95985"/>
    <w:rsid w:val="00B959ED"/>
    <w:rsid w:val="00B95A24"/>
    <w:rsid w:val="00B95A43"/>
    <w:rsid w:val="00B95AD5"/>
    <w:rsid w:val="00B95B10"/>
    <w:rsid w:val="00B95B51"/>
    <w:rsid w:val="00B95BAB"/>
    <w:rsid w:val="00B95BB0"/>
    <w:rsid w:val="00B95BCE"/>
    <w:rsid w:val="00B95BE1"/>
    <w:rsid w:val="00B95BE9"/>
    <w:rsid w:val="00B95C2B"/>
    <w:rsid w:val="00B95C8E"/>
    <w:rsid w:val="00B95C93"/>
    <w:rsid w:val="00B95C9A"/>
    <w:rsid w:val="00B95CA5"/>
    <w:rsid w:val="00B95CA7"/>
    <w:rsid w:val="00B95CB6"/>
    <w:rsid w:val="00B95CD8"/>
    <w:rsid w:val="00B95D1B"/>
    <w:rsid w:val="00B95D28"/>
    <w:rsid w:val="00B95D29"/>
    <w:rsid w:val="00B95DA3"/>
    <w:rsid w:val="00B95DDB"/>
    <w:rsid w:val="00B95E1A"/>
    <w:rsid w:val="00B95E55"/>
    <w:rsid w:val="00B95EAC"/>
    <w:rsid w:val="00B95EBA"/>
    <w:rsid w:val="00B95F07"/>
    <w:rsid w:val="00B95F1E"/>
    <w:rsid w:val="00B95F3F"/>
    <w:rsid w:val="00B95FBE"/>
    <w:rsid w:val="00B95FDA"/>
    <w:rsid w:val="00B95FFC"/>
    <w:rsid w:val="00B95FFD"/>
    <w:rsid w:val="00B96031"/>
    <w:rsid w:val="00B96092"/>
    <w:rsid w:val="00B96099"/>
    <w:rsid w:val="00B960AB"/>
    <w:rsid w:val="00B960B3"/>
    <w:rsid w:val="00B960BA"/>
    <w:rsid w:val="00B960CC"/>
    <w:rsid w:val="00B960EA"/>
    <w:rsid w:val="00B96154"/>
    <w:rsid w:val="00B9619F"/>
    <w:rsid w:val="00B961BB"/>
    <w:rsid w:val="00B961D7"/>
    <w:rsid w:val="00B961E9"/>
    <w:rsid w:val="00B96211"/>
    <w:rsid w:val="00B96226"/>
    <w:rsid w:val="00B9624D"/>
    <w:rsid w:val="00B96256"/>
    <w:rsid w:val="00B9625D"/>
    <w:rsid w:val="00B9626F"/>
    <w:rsid w:val="00B96296"/>
    <w:rsid w:val="00B962B2"/>
    <w:rsid w:val="00B96302"/>
    <w:rsid w:val="00B96340"/>
    <w:rsid w:val="00B96343"/>
    <w:rsid w:val="00B96380"/>
    <w:rsid w:val="00B9639F"/>
    <w:rsid w:val="00B963A5"/>
    <w:rsid w:val="00B963C7"/>
    <w:rsid w:val="00B963DF"/>
    <w:rsid w:val="00B963E9"/>
    <w:rsid w:val="00B9642B"/>
    <w:rsid w:val="00B96432"/>
    <w:rsid w:val="00B96456"/>
    <w:rsid w:val="00B96474"/>
    <w:rsid w:val="00B964AD"/>
    <w:rsid w:val="00B964B3"/>
    <w:rsid w:val="00B964D5"/>
    <w:rsid w:val="00B964DC"/>
    <w:rsid w:val="00B96509"/>
    <w:rsid w:val="00B9656B"/>
    <w:rsid w:val="00B965A9"/>
    <w:rsid w:val="00B965B4"/>
    <w:rsid w:val="00B96600"/>
    <w:rsid w:val="00B96609"/>
    <w:rsid w:val="00B96694"/>
    <w:rsid w:val="00B966C8"/>
    <w:rsid w:val="00B966CD"/>
    <w:rsid w:val="00B96710"/>
    <w:rsid w:val="00B96766"/>
    <w:rsid w:val="00B96793"/>
    <w:rsid w:val="00B967C5"/>
    <w:rsid w:val="00B96806"/>
    <w:rsid w:val="00B96824"/>
    <w:rsid w:val="00B96832"/>
    <w:rsid w:val="00B96837"/>
    <w:rsid w:val="00B9683D"/>
    <w:rsid w:val="00B968A6"/>
    <w:rsid w:val="00B968A8"/>
    <w:rsid w:val="00B968B0"/>
    <w:rsid w:val="00B968C5"/>
    <w:rsid w:val="00B968DD"/>
    <w:rsid w:val="00B96922"/>
    <w:rsid w:val="00B96927"/>
    <w:rsid w:val="00B9696B"/>
    <w:rsid w:val="00B96992"/>
    <w:rsid w:val="00B969CD"/>
    <w:rsid w:val="00B96A01"/>
    <w:rsid w:val="00B96A91"/>
    <w:rsid w:val="00B96AA3"/>
    <w:rsid w:val="00B96AB8"/>
    <w:rsid w:val="00B96AB9"/>
    <w:rsid w:val="00B96AFA"/>
    <w:rsid w:val="00B96B01"/>
    <w:rsid w:val="00B96B02"/>
    <w:rsid w:val="00B96B45"/>
    <w:rsid w:val="00B96B82"/>
    <w:rsid w:val="00B96C1E"/>
    <w:rsid w:val="00B96C20"/>
    <w:rsid w:val="00B96C88"/>
    <w:rsid w:val="00B96D3D"/>
    <w:rsid w:val="00B96DC2"/>
    <w:rsid w:val="00B96DC6"/>
    <w:rsid w:val="00B96DE5"/>
    <w:rsid w:val="00B96E24"/>
    <w:rsid w:val="00B96E2C"/>
    <w:rsid w:val="00B96E85"/>
    <w:rsid w:val="00B96EEC"/>
    <w:rsid w:val="00B96EF4"/>
    <w:rsid w:val="00B96F40"/>
    <w:rsid w:val="00B96F74"/>
    <w:rsid w:val="00B96FD7"/>
    <w:rsid w:val="00B97002"/>
    <w:rsid w:val="00B97029"/>
    <w:rsid w:val="00B9702A"/>
    <w:rsid w:val="00B9705C"/>
    <w:rsid w:val="00B97089"/>
    <w:rsid w:val="00B970C3"/>
    <w:rsid w:val="00B970D8"/>
    <w:rsid w:val="00B970DB"/>
    <w:rsid w:val="00B970FA"/>
    <w:rsid w:val="00B97108"/>
    <w:rsid w:val="00B9717D"/>
    <w:rsid w:val="00B9718D"/>
    <w:rsid w:val="00B9719D"/>
    <w:rsid w:val="00B971CC"/>
    <w:rsid w:val="00B97236"/>
    <w:rsid w:val="00B9723E"/>
    <w:rsid w:val="00B9724D"/>
    <w:rsid w:val="00B97275"/>
    <w:rsid w:val="00B9727C"/>
    <w:rsid w:val="00B97286"/>
    <w:rsid w:val="00B9730E"/>
    <w:rsid w:val="00B97315"/>
    <w:rsid w:val="00B9738E"/>
    <w:rsid w:val="00B973C5"/>
    <w:rsid w:val="00B97409"/>
    <w:rsid w:val="00B97437"/>
    <w:rsid w:val="00B9743E"/>
    <w:rsid w:val="00B9746D"/>
    <w:rsid w:val="00B97471"/>
    <w:rsid w:val="00B9748B"/>
    <w:rsid w:val="00B974BA"/>
    <w:rsid w:val="00B974BF"/>
    <w:rsid w:val="00B974CF"/>
    <w:rsid w:val="00B974D4"/>
    <w:rsid w:val="00B974E6"/>
    <w:rsid w:val="00B974F1"/>
    <w:rsid w:val="00B974FE"/>
    <w:rsid w:val="00B9753B"/>
    <w:rsid w:val="00B97547"/>
    <w:rsid w:val="00B97570"/>
    <w:rsid w:val="00B975C6"/>
    <w:rsid w:val="00B975E2"/>
    <w:rsid w:val="00B9764D"/>
    <w:rsid w:val="00B97726"/>
    <w:rsid w:val="00B97779"/>
    <w:rsid w:val="00B97780"/>
    <w:rsid w:val="00B977DE"/>
    <w:rsid w:val="00B9780F"/>
    <w:rsid w:val="00B97847"/>
    <w:rsid w:val="00B9786C"/>
    <w:rsid w:val="00B97886"/>
    <w:rsid w:val="00B97894"/>
    <w:rsid w:val="00B978AA"/>
    <w:rsid w:val="00B978FC"/>
    <w:rsid w:val="00B97901"/>
    <w:rsid w:val="00B9790C"/>
    <w:rsid w:val="00B97925"/>
    <w:rsid w:val="00B97932"/>
    <w:rsid w:val="00B97971"/>
    <w:rsid w:val="00B97981"/>
    <w:rsid w:val="00B979F8"/>
    <w:rsid w:val="00B979FA"/>
    <w:rsid w:val="00B97A23"/>
    <w:rsid w:val="00B97A41"/>
    <w:rsid w:val="00B97A46"/>
    <w:rsid w:val="00B97A68"/>
    <w:rsid w:val="00B97A81"/>
    <w:rsid w:val="00B97A8A"/>
    <w:rsid w:val="00B97A98"/>
    <w:rsid w:val="00B97AD1"/>
    <w:rsid w:val="00B97AD4"/>
    <w:rsid w:val="00B97AFF"/>
    <w:rsid w:val="00B97B05"/>
    <w:rsid w:val="00B97B0D"/>
    <w:rsid w:val="00B97B39"/>
    <w:rsid w:val="00B97B5D"/>
    <w:rsid w:val="00B97B6F"/>
    <w:rsid w:val="00B97BB8"/>
    <w:rsid w:val="00B97BBA"/>
    <w:rsid w:val="00B97BDC"/>
    <w:rsid w:val="00B97BF0"/>
    <w:rsid w:val="00B97C3A"/>
    <w:rsid w:val="00B97C43"/>
    <w:rsid w:val="00B97C4A"/>
    <w:rsid w:val="00B97C66"/>
    <w:rsid w:val="00B97CA2"/>
    <w:rsid w:val="00B97D03"/>
    <w:rsid w:val="00B97D17"/>
    <w:rsid w:val="00B97D93"/>
    <w:rsid w:val="00B97D9E"/>
    <w:rsid w:val="00B97DDA"/>
    <w:rsid w:val="00B97DE2"/>
    <w:rsid w:val="00B97E0C"/>
    <w:rsid w:val="00B97E5E"/>
    <w:rsid w:val="00B97E60"/>
    <w:rsid w:val="00B97E6B"/>
    <w:rsid w:val="00B97E6E"/>
    <w:rsid w:val="00B97E70"/>
    <w:rsid w:val="00B97EB5"/>
    <w:rsid w:val="00B97F38"/>
    <w:rsid w:val="00B97F51"/>
    <w:rsid w:val="00B97F5A"/>
    <w:rsid w:val="00B97F5B"/>
    <w:rsid w:val="00B97F5D"/>
    <w:rsid w:val="00B97F6A"/>
    <w:rsid w:val="00B97F8C"/>
    <w:rsid w:val="00B97FA7"/>
    <w:rsid w:val="00BA0017"/>
    <w:rsid w:val="00BA0031"/>
    <w:rsid w:val="00BA003A"/>
    <w:rsid w:val="00BA004D"/>
    <w:rsid w:val="00BA005D"/>
    <w:rsid w:val="00BA0062"/>
    <w:rsid w:val="00BA0066"/>
    <w:rsid w:val="00BA007A"/>
    <w:rsid w:val="00BA00B1"/>
    <w:rsid w:val="00BA00B2"/>
    <w:rsid w:val="00BA00DF"/>
    <w:rsid w:val="00BA00E5"/>
    <w:rsid w:val="00BA0176"/>
    <w:rsid w:val="00BA017F"/>
    <w:rsid w:val="00BA0213"/>
    <w:rsid w:val="00BA022B"/>
    <w:rsid w:val="00BA0279"/>
    <w:rsid w:val="00BA0296"/>
    <w:rsid w:val="00BA02B1"/>
    <w:rsid w:val="00BA02D1"/>
    <w:rsid w:val="00BA02E6"/>
    <w:rsid w:val="00BA0317"/>
    <w:rsid w:val="00BA0353"/>
    <w:rsid w:val="00BA0379"/>
    <w:rsid w:val="00BA039A"/>
    <w:rsid w:val="00BA03A1"/>
    <w:rsid w:val="00BA03A2"/>
    <w:rsid w:val="00BA03AE"/>
    <w:rsid w:val="00BA03B2"/>
    <w:rsid w:val="00BA0422"/>
    <w:rsid w:val="00BA0482"/>
    <w:rsid w:val="00BA0505"/>
    <w:rsid w:val="00BA0513"/>
    <w:rsid w:val="00BA051F"/>
    <w:rsid w:val="00BA052A"/>
    <w:rsid w:val="00BA0541"/>
    <w:rsid w:val="00BA05DA"/>
    <w:rsid w:val="00BA0608"/>
    <w:rsid w:val="00BA06AA"/>
    <w:rsid w:val="00BA072A"/>
    <w:rsid w:val="00BA0750"/>
    <w:rsid w:val="00BA076D"/>
    <w:rsid w:val="00BA0789"/>
    <w:rsid w:val="00BA0790"/>
    <w:rsid w:val="00BA079C"/>
    <w:rsid w:val="00BA07A8"/>
    <w:rsid w:val="00BA07C6"/>
    <w:rsid w:val="00BA07ED"/>
    <w:rsid w:val="00BA0807"/>
    <w:rsid w:val="00BA0819"/>
    <w:rsid w:val="00BA0841"/>
    <w:rsid w:val="00BA08E2"/>
    <w:rsid w:val="00BA08EC"/>
    <w:rsid w:val="00BA0911"/>
    <w:rsid w:val="00BA0912"/>
    <w:rsid w:val="00BA095A"/>
    <w:rsid w:val="00BA096C"/>
    <w:rsid w:val="00BA0998"/>
    <w:rsid w:val="00BA09A2"/>
    <w:rsid w:val="00BA09B6"/>
    <w:rsid w:val="00BA09EA"/>
    <w:rsid w:val="00BA0A20"/>
    <w:rsid w:val="00BA0A33"/>
    <w:rsid w:val="00BA0A48"/>
    <w:rsid w:val="00BA0A4A"/>
    <w:rsid w:val="00BA0AE2"/>
    <w:rsid w:val="00BA0AE5"/>
    <w:rsid w:val="00BA0B0D"/>
    <w:rsid w:val="00BA0B72"/>
    <w:rsid w:val="00BA0B89"/>
    <w:rsid w:val="00BA0BD3"/>
    <w:rsid w:val="00BA0BD4"/>
    <w:rsid w:val="00BA0BE8"/>
    <w:rsid w:val="00BA0BEF"/>
    <w:rsid w:val="00BA0BF2"/>
    <w:rsid w:val="00BA0C15"/>
    <w:rsid w:val="00BA0C23"/>
    <w:rsid w:val="00BA0C83"/>
    <w:rsid w:val="00BA0CA9"/>
    <w:rsid w:val="00BA0CF2"/>
    <w:rsid w:val="00BA0CF3"/>
    <w:rsid w:val="00BA0CFC"/>
    <w:rsid w:val="00BA0D26"/>
    <w:rsid w:val="00BA0D48"/>
    <w:rsid w:val="00BA0D69"/>
    <w:rsid w:val="00BA0D6E"/>
    <w:rsid w:val="00BA0DB8"/>
    <w:rsid w:val="00BA0DFF"/>
    <w:rsid w:val="00BA0E53"/>
    <w:rsid w:val="00BA0F6E"/>
    <w:rsid w:val="00BA0F73"/>
    <w:rsid w:val="00BA0F9F"/>
    <w:rsid w:val="00BA0FE1"/>
    <w:rsid w:val="00BA0FE7"/>
    <w:rsid w:val="00BA1027"/>
    <w:rsid w:val="00BA102E"/>
    <w:rsid w:val="00BA1038"/>
    <w:rsid w:val="00BA1041"/>
    <w:rsid w:val="00BA105E"/>
    <w:rsid w:val="00BA1060"/>
    <w:rsid w:val="00BA107C"/>
    <w:rsid w:val="00BA108E"/>
    <w:rsid w:val="00BA10A0"/>
    <w:rsid w:val="00BA10EE"/>
    <w:rsid w:val="00BA11B8"/>
    <w:rsid w:val="00BA11C1"/>
    <w:rsid w:val="00BA11D9"/>
    <w:rsid w:val="00BA11DB"/>
    <w:rsid w:val="00BA1220"/>
    <w:rsid w:val="00BA1228"/>
    <w:rsid w:val="00BA123D"/>
    <w:rsid w:val="00BA1250"/>
    <w:rsid w:val="00BA125F"/>
    <w:rsid w:val="00BA129C"/>
    <w:rsid w:val="00BA139A"/>
    <w:rsid w:val="00BA13EA"/>
    <w:rsid w:val="00BA13FB"/>
    <w:rsid w:val="00BA1412"/>
    <w:rsid w:val="00BA1423"/>
    <w:rsid w:val="00BA143F"/>
    <w:rsid w:val="00BA1468"/>
    <w:rsid w:val="00BA14D4"/>
    <w:rsid w:val="00BA14DD"/>
    <w:rsid w:val="00BA1535"/>
    <w:rsid w:val="00BA155A"/>
    <w:rsid w:val="00BA1561"/>
    <w:rsid w:val="00BA156F"/>
    <w:rsid w:val="00BA1598"/>
    <w:rsid w:val="00BA15B5"/>
    <w:rsid w:val="00BA15BF"/>
    <w:rsid w:val="00BA15DA"/>
    <w:rsid w:val="00BA1601"/>
    <w:rsid w:val="00BA1630"/>
    <w:rsid w:val="00BA1635"/>
    <w:rsid w:val="00BA167C"/>
    <w:rsid w:val="00BA1696"/>
    <w:rsid w:val="00BA169F"/>
    <w:rsid w:val="00BA16C5"/>
    <w:rsid w:val="00BA16CC"/>
    <w:rsid w:val="00BA170D"/>
    <w:rsid w:val="00BA1766"/>
    <w:rsid w:val="00BA17AB"/>
    <w:rsid w:val="00BA17DD"/>
    <w:rsid w:val="00BA17EA"/>
    <w:rsid w:val="00BA17EE"/>
    <w:rsid w:val="00BA1853"/>
    <w:rsid w:val="00BA1881"/>
    <w:rsid w:val="00BA18A0"/>
    <w:rsid w:val="00BA18AE"/>
    <w:rsid w:val="00BA18C9"/>
    <w:rsid w:val="00BA18F1"/>
    <w:rsid w:val="00BA196D"/>
    <w:rsid w:val="00BA196F"/>
    <w:rsid w:val="00BA1988"/>
    <w:rsid w:val="00BA1991"/>
    <w:rsid w:val="00BA19BF"/>
    <w:rsid w:val="00BA19C4"/>
    <w:rsid w:val="00BA1A5B"/>
    <w:rsid w:val="00BA1A73"/>
    <w:rsid w:val="00BA1AA0"/>
    <w:rsid w:val="00BA1AA8"/>
    <w:rsid w:val="00BA1AB0"/>
    <w:rsid w:val="00BA1B37"/>
    <w:rsid w:val="00BA1B43"/>
    <w:rsid w:val="00BA1BDF"/>
    <w:rsid w:val="00BA1C3C"/>
    <w:rsid w:val="00BA1C60"/>
    <w:rsid w:val="00BA1C65"/>
    <w:rsid w:val="00BA1C94"/>
    <w:rsid w:val="00BA1CAA"/>
    <w:rsid w:val="00BA1CCC"/>
    <w:rsid w:val="00BA1CD4"/>
    <w:rsid w:val="00BA1CE5"/>
    <w:rsid w:val="00BA1CED"/>
    <w:rsid w:val="00BA1D08"/>
    <w:rsid w:val="00BA1D25"/>
    <w:rsid w:val="00BA1D43"/>
    <w:rsid w:val="00BA1D47"/>
    <w:rsid w:val="00BA1D7C"/>
    <w:rsid w:val="00BA1DCE"/>
    <w:rsid w:val="00BA1DD0"/>
    <w:rsid w:val="00BA1DDA"/>
    <w:rsid w:val="00BA1DE0"/>
    <w:rsid w:val="00BA1E43"/>
    <w:rsid w:val="00BA1E63"/>
    <w:rsid w:val="00BA1ED7"/>
    <w:rsid w:val="00BA1EDF"/>
    <w:rsid w:val="00BA1EE2"/>
    <w:rsid w:val="00BA1F55"/>
    <w:rsid w:val="00BA1F97"/>
    <w:rsid w:val="00BA1FAF"/>
    <w:rsid w:val="00BA1FC6"/>
    <w:rsid w:val="00BA1FD9"/>
    <w:rsid w:val="00BA200F"/>
    <w:rsid w:val="00BA2023"/>
    <w:rsid w:val="00BA2059"/>
    <w:rsid w:val="00BA2061"/>
    <w:rsid w:val="00BA2077"/>
    <w:rsid w:val="00BA20BB"/>
    <w:rsid w:val="00BA20C3"/>
    <w:rsid w:val="00BA2139"/>
    <w:rsid w:val="00BA2142"/>
    <w:rsid w:val="00BA2153"/>
    <w:rsid w:val="00BA216B"/>
    <w:rsid w:val="00BA217A"/>
    <w:rsid w:val="00BA218D"/>
    <w:rsid w:val="00BA2196"/>
    <w:rsid w:val="00BA219B"/>
    <w:rsid w:val="00BA21B0"/>
    <w:rsid w:val="00BA21D0"/>
    <w:rsid w:val="00BA2217"/>
    <w:rsid w:val="00BA2244"/>
    <w:rsid w:val="00BA2246"/>
    <w:rsid w:val="00BA22D1"/>
    <w:rsid w:val="00BA22EA"/>
    <w:rsid w:val="00BA231B"/>
    <w:rsid w:val="00BA2337"/>
    <w:rsid w:val="00BA2380"/>
    <w:rsid w:val="00BA23AC"/>
    <w:rsid w:val="00BA23F8"/>
    <w:rsid w:val="00BA23FD"/>
    <w:rsid w:val="00BA2405"/>
    <w:rsid w:val="00BA2416"/>
    <w:rsid w:val="00BA2444"/>
    <w:rsid w:val="00BA2447"/>
    <w:rsid w:val="00BA2473"/>
    <w:rsid w:val="00BA24C1"/>
    <w:rsid w:val="00BA24C7"/>
    <w:rsid w:val="00BA24FB"/>
    <w:rsid w:val="00BA2577"/>
    <w:rsid w:val="00BA25D5"/>
    <w:rsid w:val="00BA265E"/>
    <w:rsid w:val="00BA2667"/>
    <w:rsid w:val="00BA266C"/>
    <w:rsid w:val="00BA26C2"/>
    <w:rsid w:val="00BA26CC"/>
    <w:rsid w:val="00BA2719"/>
    <w:rsid w:val="00BA2722"/>
    <w:rsid w:val="00BA272B"/>
    <w:rsid w:val="00BA2730"/>
    <w:rsid w:val="00BA2734"/>
    <w:rsid w:val="00BA2777"/>
    <w:rsid w:val="00BA2794"/>
    <w:rsid w:val="00BA27D9"/>
    <w:rsid w:val="00BA283E"/>
    <w:rsid w:val="00BA285D"/>
    <w:rsid w:val="00BA288D"/>
    <w:rsid w:val="00BA28C1"/>
    <w:rsid w:val="00BA28D8"/>
    <w:rsid w:val="00BA28EB"/>
    <w:rsid w:val="00BA2918"/>
    <w:rsid w:val="00BA29A0"/>
    <w:rsid w:val="00BA29B2"/>
    <w:rsid w:val="00BA29F5"/>
    <w:rsid w:val="00BA29FC"/>
    <w:rsid w:val="00BA2A36"/>
    <w:rsid w:val="00BA2A7F"/>
    <w:rsid w:val="00BA2AAE"/>
    <w:rsid w:val="00BA2ABC"/>
    <w:rsid w:val="00BA2ACF"/>
    <w:rsid w:val="00BA2AD6"/>
    <w:rsid w:val="00BA2AD8"/>
    <w:rsid w:val="00BA2AE3"/>
    <w:rsid w:val="00BA2B06"/>
    <w:rsid w:val="00BA2B73"/>
    <w:rsid w:val="00BA2C2B"/>
    <w:rsid w:val="00BA2C31"/>
    <w:rsid w:val="00BA2C3C"/>
    <w:rsid w:val="00BA2C43"/>
    <w:rsid w:val="00BA2C4A"/>
    <w:rsid w:val="00BA2C54"/>
    <w:rsid w:val="00BA2C85"/>
    <w:rsid w:val="00BA2CBB"/>
    <w:rsid w:val="00BA2CBD"/>
    <w:rsid w:val="00BA2CCB"/>
    <w:rsid w:val="00BA2CCF"/>
    <w:rsid w:val="00BA2CEB"/>
    <w:rsid w:val="00BA2CF2"/>
    <w:rsid w:val="00BA2CF9"/>
    <w:rsid w:val="00BA2D03"/>
    <w:rsid w:val="00BA2DC8"/>
    <w:rsid w:val="00BA2DCF"/>
    <w:rsid w:val="00BA2E06"/>
    <w:rsid w:val="00BA2E1C"/>
    <w:rsid w:val="00BA2E3C"/>
    <w:rsid w:val="00BA2E62"/>
    <w:rsid w:val="00BA2E67"/>
    <w:rsid w:val="00BA2EE0"/>
    <w:rsid w:val="00BA2EF7"/>
    <w:rsid w:val="00BA2FAA"/>
    <w:rsid w:val="00BA2FF3"/>
    <w:rsid w:val="00BA2FFD"/>
    <w:rsid w:val="00BA3000"/>
    <w:rsid w:val="00BA3002"/>
    <w:rsid w:val="00BA3066"/>
    <w:rsid w:val="00BA3079"/>
    <w:rsid w:val="00BA3081"/>
    <w:rsid w:val="00BA3083"/>
    <w:rsid w:val="00BA3091"/>
    <w:rsid w:val="00BA3095"/>
    <w:rsid w:val="00BA30B9"/>
    <w:rsid w:val="00BA30D6"/>
    <w:rsid w:val="00BA30E1"/>
    <w:rsid w:val="00BA312C"/>
    <w:rsid w:val="00BA3144"/>
    <w:rsid w:val="00BA31AD"/>
    <w:rsid w:val="00BA31EE"/>
    <w:rsid w:val="00BA3231"/>
    <w:rsid w:val="00BA325B"/>
    <w:rsid w:val="00BA329B"/>
    <w:rsid w:val="00BA32B3"/>
    <w:rsid w:val="00BA32D3"/>
    <w:rsid w:val="00BA32E1"/>
    <w:rsid w:val="00BA32ED"/>
    <w:rsid w:val="00BA3320"/>
    <w:rsid w:val="00BA339A"/>
    <w:rsid w:val="00BA3401"/>
    <w:rsid w:val="00BA341C"/>
    <w:rsid w:val="00BA343A"/>
    <w:rsid w:val="00BA348D"/>
    <w:rsid w:val="00BA349C"/>
    <w:rsid w:val="00BA34B1"/>
    <w:rsid w:val="00BA3502"/>
    <w:rsid w:val="00BA3508"/>
    <w:rsid w:val="00BA351A"/>
    <w:rsid w:val="00BA3545"/>
    <w:rsid w:val="00BA3551"/>
    <w:rsid w:val="00BA3581"/>
    <w:rsid w:val="00BA35CB"/>
    <w:rsid w:val="00BA35DA"/>
    <w:rsid w:val="00BA3621"/>
    <w:rsid w:val="00BA364C"/>
    <w:rsid w:val="00BA3651"/>
    <w:rsid w:val="00BA365F"/>
    <w:rsid w:val="00BA36E3"/>
    <w:rsid w:val="00BA372D"/>
    <w:rsid w:val="00BA3737"/>
    <w:rsid w:val="00BA3747"/>
    <w:rsid w:val="00BA375E"/>
    <w:rsid w:val="00BA3774"/>
    <w:rsid w:val="00BA378F"/>
    <w:rsid w:val="00BA379A"/>
    <w:rsid w:val="00BA37D6"/>
    <w:rsid w:val="00BA37DE"/>
    <w:rsid w:val="00BA37FD"/>
    <w:rsid w:val="00BA381A"/>
    <w:rsid w:val="00BA3843"/>
    <w:rsid w:val="00BA3848"/>
    <w:rsid w:val="00BA3897"/>
    <w:rsid w:val="00BA38A3"/>
    <w:rsid w:val="00BA38CF"/>
    <w:rsid w:val="00BA38D9"/>
    <w:rsid w:val="00BA38FC"/>
    <w:rsid w:val="00BA391C"/>
    <w:rsid w:val="00BA3962"/>
    <w:rsid w:val="00BA3986"/>
    <w:rsid w:val="00BA3A0E"/>
    <w:rsid w:val="00BA3A44"/>
    <w:rsid w:val="00BA3A70"/>
    <w:rsid w:val="00BA3A86"/>
    <w:rsid w:val="00BA3B15"/>
    <w:rsid w:val="00BA3B4E"/>
    <w:rsid w:val="00BA3B56"/>
    <w:rsid w:val="00BA3BA1"/>
    <w:rsid w:val="00BA3BAE"/>
    <w:rsid w:val="00BA3C02"/>
    <w:rsid w:val="00BA3C37"/>
    <w:rsid w:val="00BA3CA3"/>
    <w:rsid w:val="00BA3D2B"/>
    <w:rsid w:val="00BA3D37"/>
    <w:rsid w:val="00BA3D43"/>
    <w:rsid w:val="00BA3D66"/>
    <w:rsid w:val="00BA3D69"/>
    <w:rsid w:val="00BA3D96"/>
    <w:rsid w:val="00BA3DCF"/>
    <w:rsid w:val="00BA3DE3"/>
    <w:rsid w:val="00BA3E03"/>
    <w:rsid w:val="00BA3E3A"/>
    <w:rsid w:val="00BA3E41"/>
    <w:rsid w:val="00BA3E59"/>
    <w:rsid w:val="00BA3E79"/>
    <w:rsid w:val="00BA3E82"/>
    <w:rsid w:val="00BA3E8E"/>
    <w:rsid w:val="00BA3EC7"/>
    <w:rsid w:val="00BA3EEB"/>
    <w:rsid w:val="00BA3F15"/>
    <w:rsid w:val="00BA3F25"/>
    <w:rsid w:val="00BA3F4B"/>
    <w:rsid w:val="00BA3F66"/>
    <w:rsid w:val="00BA3F98"/>
    <w:rsid w:val="00BA3FBF"/>
    <w:rsid w:val="00BA3FDC"/>
    <w:rsid w:val="00BA3FE6"/>
    <w:rsid w:val="00BA3FFB"/>
    <w:rsid w:val="00BA3FFE"/>
    <w:rsid w:val="00BA402F"/>
    <w:rsid w:val="00BA4074"/>
    <w:rsid w:val="00BA4097"/>
    <w:rsid w:val="00BA409D"/>
    <w:rsid w:val="00BA409F"/>
    <w:rsid w:val="00BA40C1"/>
    <w:rsid w:val="00BA4144"/>
    <w:rsid w:val="00BA4166"/>
    <w:rsid w:val="00BA4175"/>
    <w:rsid w:val="00BA4195"/>
    <w:rsid w:val="00BA41CE"/>
    <w:rsid w:val="00BA423C"/>
    <w:rsid w:val="00BA4269"/>
    <w:rsid w:val="00BA4277"/>
    <w:rsid w:val="00BA4287"/>
    <w:rsid w:val="00BA4295"/>
    <w:rsid w:val="00BA42CA"/>
    <w:rsid w:val="00BA4314"/>
    <w:rsid w:val="00BA434E"/>
    <w:rsid w:val="00BA4353"/>
    <w:rsid w:val="00BA4377"/>
    <w:rsid w:val="00BA437D"/>
    <w:rsid w:val="00BA4396"/>
    <w:rsid w:val="00BA4397"/>
    <w:rsid w:val="00BA439F"/>
    <w:rsid w:val="00BA43B5"/>
    <w:rsid w:val="00BA43C9"/>
    <w:rsid w:val="00BA43EF"/>
    <w:rsid w:val="00BA4419"/>
    <w:rsid w:val="00BA4424"/>
    <w:rsid w:val="00BA4438"/>
    <w:rsid w:val="00BA443F"/>
    <w:rsid w:val="00BA4453"/>
    <w:rsid w:val="00BA4466"/>
    <w:rsid w:val="00BA4479"/>
    <w:rsid w:val="00BA4483"/>
    <w:rsid w:val="00BA4486"/>
    <w:rsid w:val="00BA44A1"/>
    <w:rsid w:val="00BA44A7"/>
    <w:rsid w:val="00BA44C7"/>
    <w:rsid w:val="00BA44E5"/>
    <w:rsid w:val="00BA452A"/>
    <w:rsid w:val="00BA4552"/>
    <w:rsid w:val="00BA4588"/>
    <w:rsid w:val="00BA459E"/>
    <w:rsid w:val="00BA45FF"/>
    <w:rsid w:val="00BA461D"/>
    <w:rsid w:val="00BA466D"/>
    <w:rsid w:val="00BA4692"/>
    <w:rsid w:val="00BA46B1"/>
    <w:rsid w:val="00BA4759"/>
    <w:rsid w:val="00BA47C6"/>
    <w:rsid w:val="00BA47DB"/>
    <w:rsid w:val="00BA47E0"/>
    <w:rsid w:val="00BA4829"/>
    <w:rsid w:val="00BA483B"/>
    <w:rsid w:val="00BA48E6"/>
    <w:rsid w:val="00BA48EC"/>
    <w:rsid w:val="00BA490B"/>
    <w:rsid w:val="00BA4911"/>
    <w:rsid w:val="00BA4946"/>
    <w:rsid w:val="00BA4994"/>
    <w:rsid w:val="00BA49D4"/>
    <w:rsid w:val="00BA49D8"/>
    <w:rsid w:val="00BA49E3"/>
    <w:rsid w:val="00BA4A05"/>
    <w:rsid w:val="00BA4A13"/>
    <w:rsid w:val="00BA4A29"/>
    <w:rsid w:val="00BA4A30"/>
    <w:rsid w:val="00BA4A48"/>
    <w:rsid w:val="00BA4A4C"/>
    <w:rsid w:val="00BA4A86"/>
    <w:rsid w:val="00BA4ABE"/>
    <w:rsid w:val="00BA4B4F"/>
    <w:rsid w:val="00BA4B8A"/>
    <w:rsid w:val="00BA4BBE"/>
    <w:rsid w:val="00BA4BE9"/>
    <w:rsid w:val="00BA4BEA"/>
    <w:rsid w:val="00BA4C0D"/>
    <w:rsid w:val="00BA4C86"/>
    <w:rsid w:val="00BA4CA7"/>
    <w:rsid w:val="00BA4D1B"/>
    <w:rsid w:val="00BA4D50"/>
    <w:rsid w:val="00BA4D60"/>
    <w:rsid w:val="00BA4DC8"/>
    <w:rsid w:val="00BA4DE5"/>
    <w:rsid w:val="00BA4DE7"/>
    <w:rsid w:val="00BA4DF2"/>
    <w:rsid w:val="00BA4E05"/>
    <w:rsid w:val="00BA4E06"/>
    <w:rsid w:val="00BA4E09"/>
    <w:rsid w:val="00BA4E31"/>
    <w:rsid w:val="00BA4E37"/>
    <w:rsid w:val="00BA4E9A"/>
    <w:rsid w:val="00BA4F11"/>
    <w:rsid w:val="00BA4F41"/>
    <w:rsid w:val="00BA4F48"/>
    <w:rsid w:val="00BA4F69"/>
    <w:rsid w:val="00BA4F86"/>
    <w:rsid w:val="00BA4FA2"/>
    <w:rsid w:val="00BA4FCC"/>
    <w:rsid w:val="00BA4FD1"/>
    <w:rsid w:val="00BA4FDB"/>
    <w:rsid w:val="00BA4FE8"/>
    <w:rsid w:val="00BA502D"/>
    <w:rsid w:val="00BA5032"/>
    <w:rsid w:val="00BA5041"/>
    <w:rsid w:val="00BA506D"/>
    <w:rsid w:val="00BA5089"/>
    <w:rsid w:val="00BA50A5"/>
    <w:rsid w:val="00BA50AF"/>
    <w:rsid w:val="00BA50D7"/>
    <w:rsid w:val="00BA50FE"/>
    <w:rsid w:val="00BA5123"/>
    <w:rsid w:val="00BA5144"/>
    <w:rsid w:val="00BA5178"/>
    <w:rsid w:val="00BA5189"/>
    <w:rsid w:val="00BA519E"/>
    <w:rsid w:val="00BA51A1"/>
    <w:rsid w:val="00BA51CC"/>
    <w:rsid w:val="00BA5262"/>
    <w:rsid w:val="00BA527F"/>
    <w:rsid w:val="00BA52A7"/>
    <w:rsid w:val="00BA52AF"/>
    <w:rsid w:val="00BA52BC"/>
    <w:rsid w:val="00BA52E8"/>
    <w:rsid w:val="00BA52F6"/>
    <w:rsid w:val="00BA5313"/>
    <w:rsid w:val="00BA5325"/>
    <w:rsid w:val="00BA5328"/>
    <w:rsid w:val="00BA533D"/>
    <w:rsid w:val="00BA5358"/>
    <w:rsid w:val="00BA5386"/>
    <w:rsid w:val="00BA538E"/>
    <w:rsid w:val="00BA538F"/>
    <w:rsid w:val="00BA53A5"/>
    <w:rsid w:val="00BA53C1"/>
    <w:rsid w:val="00BA53CB"/>
    <w:rsid w:val="00BA53CF"/>
    <w:rsid w:val="00BA53E0"/>
    <w:rsid w:val="00BA5444"/>
    <w:rsid w:val="00BA548C"/>
    <w:rsid w:val="00BA5493"/>
    <w:rsid w:val="00BA5498"/>
    <w:rsid w:val="00BA54AF"/>
    <w:rsid w:val="00BA5525"/>
    <w:rsid w:val="00BA5578"/>
    <w:rsid w:val="00BA55A9"/>
    <w:rsid w:val="00BA55FF"/>
    <w:rsid w:val="00BA5616"/>
    <w:rsid w:val="00BA562D"/>
    <w:rsid w:val="00BA5638"/>
    <w:rsid w:val="00BA5649"/>
    <w:rsid w:val="00BA564A"/>
    <w:rsid w:val="00BA564B"/>
    <w:rsid w:val="00BA5665"/>
    <w:rsid w:val="00BA5682"/>
    <w:rsid w:val="00BA5698"/>
    <w:rsid w:val="00BA56E5"/>
    <w:rsid w:val="00BA56F2"/>
    <w:rsid w:val="00BA5745"/>
    <w:rsid w:val="00BA5750"/>
    <w:rsid w:val="00BA5761"/>
    <w:rsid w:val="00BA5797"/>
    <w:rsid w:val="00BA57E2"/>
    <w:rsid w:val="00BA57EA"/>
    <w:rsid w:val="00BA57F8"/>
    <w:rsid w:val="00BA5816"/>
    <w:rsid w:val="00BA5821"/>
    <w:rsid w:val="00BA5827"/>
    <w:rsid w:val="00BA5841"/>
    <w:rsid w:val="00BA5842"/>
    <w:rsid w:val="00BA586D"/>
    <w:rsid w:val="00BA5871"/>
    <w:rsid w:val="00BA5878"/>
    <w:rsid w:val="00BA589C"/>
    <w:rsid w:val="00BA58B7"/>
    <w:rsid w:val="00BA58D0"/>
    <w:rsid w:val="00BA58D6"/>
    <w:rsid w:val="00BA58DF"/>
    <w:rsid w:val="00BA58E8"/>
    <w:rsid w:val="00BA58EA"/>
    <w:rsid w:val="00BA590F"/>
    <w:rsid w:val="00BA5924"/>
    <w:rsid w:val="00BA592E"/>
    <w:rsid w:val="00BA59A7"/>
    <w:rsid w:val="00BA59BB"/>
    <w:rsid w:val="00BA5A07"/>
    <w:rsid w:val="00BA5A48"/>
    <w:rsid w:val="00BA5A77"/>
    <w:rsid w:val="00BA5A9B"/>
    <w:rsid w:val="00BA5AAC"/>
    <w:rsid w:val="00BA5ABF"/>
    <w:rsid w:val="00BA5ACD"/>
    <w:rsid w:val="00BA5AE7"/>
    <w:rsid w:val="00BA5B14"/>
    <w:rsid w:val="00BA5B43"/>
    <w:rsid w:val="00BA5B4B"/>
    <w:rsid w:val="00BA5B5C"/>
    <w:rsid w:val="00BA5BC7"/>
    <w:rsid w:val="00BA5BE1"/>
    <w:rsid w:val="00BA5C4A"/>
    <w:rsid w:val="00BA5C86"/>
    <w:rsid w:val="00BA5C95"/>
    <w:rsid w:val="00BA5CC9"/>
    <w:rsid w:val="00BA5CD4"/>
    <w:rsid w:val="00BA5CF8"/>
    <w:rsid w:val="00BA5D14"/>
    <w:rsid w:val="00BA5D15"/>
    <w:rsid w:val="00BA5D23"/>
    <w:rsid w:val="00BA5D33"/>
    <w:rsid w:val="00BA5D45"/>
    <w:rsid w:val="00BA5D9F"/>
    <w:rsid w:val="00BA5DA2"/>
    <w:rsid w:val="00BA5E10"/>
    <w:rsid w:val="00BA5E24"/>
    <w:rsid w:val="00BA5E36"/>
    <w:rsid w:val="00BA5E64"/>
    <w:rsid w:val="00BA5F43"/>
    <w:rsid w:val="00BA5FCA"/>
    <w:rsid w:val="00BA5FCF"/>
    <w:rsid w:val="00BA5FE0"/>
    <w:rsid w:val="00BA5FE6"/>
    <w:rsid w:val="00BA600D"/>
    <w:rsid w:val="00BA6018"/>
    <w:rsid w:val="00BA6060"/>
    <w:rsid w:val="00BA6086"/>
    <w:rsid w:val="00BA60EA"/>
    <w:rsid w:val="00BA61B2"/>
    <w:rsid w:val="00BA61CD"/>
    <w:rsid w:val="00BA61F5"/>
    <w:rsid w:val="00BA6261"/>
    <w:rsid w:val="00BA626C"/>
    <w:rsid w:val="00BA6290"/>
    <w:rsid w:val="00BA62B0"/>
    <w:rsid w:val="00BA62CF"/>
    <w:rsid w:val="00BA62FF"/>
    <w:rsid w:val="00BA634F"/>
    <w:rsid w:val="00BA6371"/>
    <w:rsid w:val="00BA638D"/>
    <w:rsid w:val="00BA6392"/>
    <w:rsid w:val="00BA63A0"/>
    <w:rsid w:val="00BA6489"/>
    <w:rsid w:val="00BA649F"/>
    <w:rsid w:val="00BA64EA"/>
    <w:rsid w:val="00BA64EB"/>
    <w:rsid w:val="00BA6550"/>
    <w:rsid w:val="00BA6564"/>
    <w:rsid w:val="00BA65EF"/>
    <w:rsid w:val="00BA65F2"/>
    <w:rsid w:val="00BA6610"/>
    <w:rsid w:val="00BA661D"/>
    <w:rsid w:val="00BA6638"/>
    <w:rsid w:val="00BA665C"/>
    <w:rsid w:val="00BA668B"/>
    <w:rsid w:val="00BA668F"/>
    <w:rsid w:val="00BA66B3"/>
    <w:rsid w:val="00BA66B4"/>
    <w:rsid w:val="00BA66B9"/>
    <w:rsid w:val="00BA66BE"/>
    <w:rsid w:val="00BA66D3"/>
    <w:rsid w:val="00BA6721"/>
    <w:rsid w:val="00BA672A"/>
    <w:rsid w:val="00BA6779"/>
    <w:rsid w:val="00BA677A"/>
    <w:rsid w:val="00BA6784"/>
    <w:rsid w:val="00BA6796"/>
    <w:rsid w:val="00BA6884"/>
    <w:rsid w:val="00BA6888"/>
    <w:rsid w:val="00BA688C"/>
    <w:rsid w:val="00BA6892"/>
    <w:rsid w:val="00BA694E"/>
    <w:rsid w:val="00BA6955"/>
    <w:rsid w:val="00BA695D"/>
    <w:rsid w:val="00BA6964"/>
    <w:rsid w:val="00BA6965"/>
    <w:rsid w:val="00BA6976"/>
    <w:rsid w:val="00BA6993"/>
    <w:rsid w:val="00BA699D"/>
    <w:rsid w:val="00BA699E"/>
    <w:rsid w:val="00BA69A9"/>
    <w:rsid w:val="00BA69D3"/>
    <w:rsid w:val="00BA69D5"/>
    <w:rsid w:val="00BA69EF"/>
    <w:rsid w:val="00BA6A15"/>
    <w:rsid w:val="00BA6A61"/>
    <w:rsid w:val="00BA6A96"/>
    <w:rsid w:val="00BA6AD9"/>
    <w:rsid w:val="00BA6AE9"/>
    <w:rsid w:val="00BA6B35"/>
    <w:rsid w:val="00BA6B3D"/>
    <w:rsid w:val="00BA6B41"/>
    <w:rsid w:val="00BA6B62"/>
    <w:rsid w:val="00BA6B74"/>
    <w:rsid w:val="00BA6B7A"/>
    <w:rsid w:val="00BA6BC3"/>
    <w:rsid w:val="00BA6C4D"/>
    <w:rsid w:val="00BA6C70"/>
    <w:rsid w:val="00BA6C74"/>
    <w:rsid w:val="00BA6C78"/>
    <w:rsid w:val="00BA6CAB"/>
    <w:rsid w:val="00BA6CC7"/>
    <w:rsid w:val="00BA6CCB"/>
    <w:rsid w:val="00BA6CDA"/>
    <w:rsid w:val="00BA6CE8"/>
    <w:rsid w:val="00BA6D2D"/>
    <w:rsid w:val="00BA6D49"/>
    <w:rsid w:val="00BA6D53"/>
    <w:rsid w:val="00BA6DB6"/>
    <w:rsid w:val="00BA6DBF"/>
    <w:rsid w:val="00BA6DE3"/>
    <w:rsid w:val="00BA6DEF"/>
    <w:rsid w:val="00BA6E11"/>
    <w:rsid w:val="00BA6E6D"/>
    <w:rsid w:val="00BA6EA9"/>
    <w:rsid w:val="00BA6ED1"/>
    <w:rsid w:val="00BA6EFD"/>
    <w:rsid w:val="00BA6F30"/>
    <w:rsid w:val="00BA6F37"/>
    <w:rsid w:val="00BA6F40"/>
    <w:rsid w:val="00BA6F63"/>
    <w:rsid w:val="00BA6F75"/>
    <w:rsid w:val="00BA6FAA"/>
    <w:rsid w:val="00BA6FC3"/>
    <w:rsid w:val="00BA6FD1"/>
    <w:rsid w:val="00BA700D"/>
    <w:rsid w:val="00BA7074"/>
    <w:rsid w:val="00BA7147"/>
    <w:rsid w:val="00BA71B5"/>
    <w:rsid w:val="00BA71BF"/>
    <w:rsid w:val="00BA71F1"/>
    <w:rsid w:val="00BA7207"/>
    <w:rsid w:val="00BA7283"/>
    <w:rsid w:val="00BA72B8"/>
    <w:rsid w:val="00BA72DB"/>
    <w:rsid w:val="00BA7300"/>
    <w:rsid w:val="00BA7320"/>
    <w:rsid w:val="00BA7353"/>
    <w:rsid w:val="00BA735E"/>
    <w:rsid w:val="00BA73E9"/>
    <w:rsid w:val="00BA740A"/>
    <w:rsid w:val="00BA741A"/>
    <w:rsid w:val="00BA7431"/>
    <w:rsid w:val="00BA745F"/>
    <w:rsid w:val="00BA747B"/>
    <w:rsid w:val="00BA7487"/>
    <w:rsid w:val="00BA74D4"/>
    <w:rsid w:val="00BA74D6"/>
    <w:rsid w:val="00BA7501"/>
    <w:rsid w:val="00BA7549"/>
    <w:rsid w:val="00BA7590"/>
    <w:rsid w:val="00BA7601"/>
    <w:rsid w:val="00BA7623"/>
    <w:rsid w:val="00BA7707"/>
    <w:rsid w:val="00BA7720"/>
    <w:rsid w:val="00BA7738"/>
    <w:rsid w:val="00BA77B0"/>
    <w:rsid w:val="00BA77DE"/>
    <w:rsid w:val="00BA7817"/>
    <w:rsid w:val="00BA7842"/>
    <w:rsid w:val="00BA7843"/>
    <w:rsid w:val="00BA7849"/>
    <w:rsid w:val="00BA785D"/>
    <w:rsid w:val="00BA7864"/>
    <w:rsid w:val="00BA788C"/>
    <w:rsid w:val="00BA788F"/>
    <w:rsid w:val="00BA78AF"/>
    <w:rsid w:val="00BA78F1"/>
    <w:rsid w:val="00BA78F5"/>
    <w:rsid w:val="00BA790D"/>
    <w:rsid w:val="00BA7911"/>
    <w:rsid w:val="00BA792F"/>
    <w:rsid w:val="00BA7934"/>
    <w:rsid w:val="00BA794A"/>
    <w:rsid w:val="00BA7952"/>
    <w:rsid w:val="00BA79D9"/>
    <w:rsid w:val="00BA79F3"/>
    <w:rsid w:val="00BA7A05"/>
    <w:rsid w:val="00BA7A38"/>
    <w:rsid w:val="00BA7A41"/>
    <w:rsid w:val="00BA7A5F"/>
    <w:rsid w:val="00BA7A75"/>
    <w:rsid w:val="00BA7A77"/>
    <w:rsid w:val="00BA7AB0"/>
    <w:rsid w:val="00BA7AD8"/>
    <w:rsid w:val="00BA7AF8"/>
    <w:rsid w:val="00BA7B28"/>
    <w:rsid w:val="00BA7B2F"/>
    <w:rsid w:val="00BA7B48"/>
    <w:rsid w:val="00BA7B78"/>
    <w:rsid w:val="00BA7B9D"/>
    <w:rsid w:val="00BA7BBA"/>
    <w:rsid w:val="00BA7BC5"/>
    <w:rsid w:val="00BA7BC7"/>
    <w:rsid w:val="00BA7BE1"/>
    <w:rsid w:val="00BA7BEE"/>
    <w:rsid w:val="00BA7C1A"/>
    <w:rsid w:val="00BA7C76"/>
    <w:rsid w:val="00BA7C78"/>
    <w:rsid w:val="00BA7C8A"/>
    <w:rsid w:val="00BA7C9D"/>
    <w:rsid w:val="00BA7CA8"/>
    <w:rsid w:val="00BA7CC7"/>
    <w:rsid w:val="00BA7CD2"/>
    <w:rsid w:val="00BA7CF9"/>
    <w:rsid w:val="00BA7D0B"/>
    <w:rsid w:val="00BA7D2B"/>
    <w:rsid w:val="00BA7D63"/>
    <w:rsid w:val="00BA7D6C"/>
    <w:rsid w:val="00BA7E1D"/>
    <w:rsid w:val="00BA7E8D"/>
    <w:rsid w:val="00BA7EC9"/>
    <w:rsid w:val="00BA7ECD"/>
    <w:rsid w:val="00BA7EE7"/>
    <w:rsid w:val="00BA7F12"/>
    <w:rsid w:val="00BA7FF7"/>
    <w:rsid w:val="00BB0008"/>
    <w:rsid w:val="00BB0013"/>
    <w:rsid w:val="00BB002C"/>
    <w:rsid w:val="00BB0036"/>
    <w:rsid w:val="00BB003D"/>
    <w:rsid w:val="00BB0087"/>
    <w:rsid w:val="00BB00AC"/>
    <w:rsid w:val="00BB00C3"/>
    <w:rsid w:val="00BB00F7"/>
    <w:rsid w:val="00BB0163"/>
    <w:rsid w:val="00BB017A"/>
    <w:rsid w:val="00BB017D"/>
    <w:rsid w:val="00BB01A7"/>
    <w:rsid w:val="00BB01B1"/>
    <w:rsid w:val="00BB01BF"/>
    <w:rsid w:val="00BB01CF"/>
    <w:rsid w:val="00BB0201"/>
    <w:rsid w:val="00BB021A"/>
    <w:rsid w:val="00BB021F"/>
    <w:rsid w:val="00BB0265"/>
    <w:rsid w:val="00BB0272"/>
    <w:rsid w:val="00BB02BB"/>
    <w:rsid w:val="00BB02D1"/>
    <w:rsid w:val="00BB02DF"/>
    <w:rsid w:val="00BB02F3"/>
    <w:rsid w:val="00BB02F8"/>
    <w:rsid w:val="00BB030E"/>
    <w:rsid w:val="00BB0354"/>
    <w:rsid w:val="00BB0386"/>
    <w:rsid w:val="00BB039C"/>
    <w:rsid w:val="00BB0404"/>
    <w:rsid w:val="00BB045A"/>
    <w:rsid w:val="00BB046A"/>
    <w:rsid w:val="00BB04A5"/>
    <w:rsid w:val="00BB04AC"/>
    <w:rsid w:val="00BB0510"/>
    <w:rsid w:val="00BB056A"/>
    <w:rsid w:val="00BB0595"/>
    <w:rsid w:val="00BB05EA"/>
    <w:rsid w:val="00BB0601"/>
    <w:rsid w:val="00BB0612"/>
    <w:rsid w:val="00BB063A"/>
    <w:rsid w:val="00BB06A0"/>
    <w:rsid w:val="00BB06AE"/>
    <w:rsid w:val="00BB072D"/>
    <w:rsid w:val="00BB0770"/>
    <w:rsid w:val="00BB0775"/>
    <w:rsid w:val="00BB0793"/>
    <w:rsid w:val="00BB07E1"/>
    <w:rsid w:val="00BB07F0"/>
    <w:rsid w:val="00BB07FF"/>
    <w:rsid w:val="00BB0852"/>
    <w:rsid w:val="00BB086C"/>
    <w:rsid w:val="00BB0879"/>
    <w:rsid w:val="00BB08B3"/>
    <w:rsid w:val="00BB08B9"/>
    <w:rsid w:val="00BB0940"/>
    <w:rsid w:val="00BB09B4"/>
    <w:rsid w:val="00BB09B9"/>
    <w:rsid w:val="00BB09F8"/>
    <w:rsid w:val="00BB0A3D"/>
    <w:rsid w:val="00BB0A68"/>
    <w:rsid w:val="00BB0A81"/>
    <w:rsid w:val="00BB0A87"/>
    <w:rsid w:val="00BB0ACD"/>
    <w:rsid w:val="00BB0AEB"/>
    <w:rsid w:val="00BB0B18"/>
    <w:rsid w:val="00BB0B4E"/>
    <w:rsid w:val="00BB0B57"/>
    <w:rsid w:val="00BB0B7F"/>
    <w:rsid w:val="00BB0BCF"/>
    <w:rsid w:val="00BB0BDF"/>
    <w:rsid w:val="00BB0BE1"/>
    <w:rsid w:val="00BB0BF6"/>
    <w:rsid w:val="00BB0C1E"/>
    <w:rsid w:val="00BB0C42"/>
    <w:rsid w:val="00BB0C44"/>
    <w:rsid w:val="00BB0C55"/>
    <w:rsid w:val="00BB0C9B"/>
    <w:rsid w:val="00BB0CD0"/>
    <w:rsid w:val="00BB0D94"/>
    <w:rsid w:val="00BB0DA0"/>
    <w:rsid w:val="00BB0DA9"/>
    <w:rsid w:val="00BB0DBC"/>
    <w:rsid w:val="00BB0DD5"/>
    <w:rsid w:val="00BB0DDC"/>
    <w:rsid w:val="00BB0E48"/>
    <w:rsid w:val="00BB0E5B"/>
    <w:rsid w:val="00BB0E7C"/>
    <w:rsid w:val="00BB0E86"/>
    <w:rsid w:val="00BB0E94"/>
    <w:rsid w:val="00BB0E9D"/>
    <w:rsid w:val="00BB0EC2"/>
    <w:rsid w:val="00BB0EC5"/>
    <w:rsid w:val="00BB0F28"/>
    <w:rsid w:val="00BB0F35"/>
    <w:rsid w:val="00BB0F68"/>
    <w:rsid w:val="00BB0FA5"/>
    <w:rsid w:val="00BB0FDA"/>
    <w:rsid w:val="00BB100F"/>
    <w:rsid w:val="00BB102A"/>
    <w:rsid w:val="00BB1043"/>
    <w:rsid w:val="00BB107E"/>
    <w:rsid w:val="00BB10FD"/>
    <w:rsid w:val="00BB1114"/>
    <w:rsid w:val="00BB113D"/>
    <w:rsid w:val="00BB1183"/>
    <w:rsid w:val="00BB11A6"/>
    <w:rsid w:val="00BB11B3"/>
    <w:rsid w:val="00BB11C4"/>
    <w:rsid w:val="00BB11D3"/>
    <w:rsid w:val="00BB11E4"/>
    <w:rsid w:val="00BB11E6"/>
    <w:rsid w:val="00BB1229"/>
    <w:rsid w:val="00BB12E9"/>
    <w:rsid w:val="00BB1325"/>
    <w:rsid w:val="00BB1333"/>
    <w:rsid w:val="00BB133A"/>
    <w:rsid w:val="00BB1391"/>
    <w:rsid w:val="00BB13AE"/>
    <w:rsid w:val="00BB13F5"/>
    <w:rsid w:val="00BB1404"/>
    <w:rsid w:val="00BB141E"/>
    <w:rsid w:val="00BB1431"/>
    <w:rsid w:val="00BB145D"/>
    <w:rsid w:val="00BB146C"/>
    <w:rsid w:val="00BB147E"/>
    <w:rsid w:val="00BB1491"/>
    <w:rsid w:val="00BB1492"/>
    <w:rsid w:val="00BB14D1"/>
    <w:rsid w:val="00BB14E6"/>
    <w:rsid w:val="00BB14EE"/>
    <w:rsid w:val="00BB154E"/>
    <w:rsid w:val="00BB158C"/>
    <w:rsid w:val="00BB1635"/>
    <w:rsid w:val="00BB1663"/>
    <w:rsid w:val="00BB1672"/>
    <w:rsid w:val="00BB169D"/>
    <w:rsid w:val="00BB169F"/>
    <w:rsid w:val="00BB174D"/>
    <w:rsid w:val="00BB1768"/>
    <w:rsid w:val="00BB1774"/>
    <w:rsid w:val="00BB177C"/>
    <w:rsid w:val="00BB1782"/>
    <w:rsid w:val="00BB1783"/>
    <w:rsid w:val="00BB17AD"/>
    <w:rsid w:val="00BB17CE"/>
    <w:rsid w:val="00BB17DB"/>
    <w:rsid w:val="00BB17EB"/>
    <w:rsid w:val="00BB1800"/>
    <w:rsid w:val="00BB1831"/>
    <w:rsid w:val="00BB185A"/>
    <w:rsid w:val="00BB185E"/>
    <w:rsid w:val="00BB18B4"/>
    <w:rsid w:val="00BB18EC"/>
    <w:rsid w:val="00BB18F0"/>
    <w:rsid w:val="00BB1912"/>
    <w:rsid w:val="00BB1934"/>
    <w:rsid w:val="00BB193E"/>
    <w:rsid w:val="00BB1940"/>
    <w:rsid w:val="00BB1953"/>
    <w:rsid w:val="00BB1956"/>
    <w:rsid w:val="00BB1975"/>
    <w:rsid w:val="00BB19AB"/>
    <w:rsid w:val="00BB19AF"/>
    <w:rsid w:val="00BB19B1"/>
    <w:rsid w:val="00BB19E0"/>
    <w:rsid w:val="00BB1A00"/>
    <w:rsid w:val="00BB1A11"/>
    <w:rsid w:val="00BB1A5D"/>
    <w:rsid w:val="00BB1A60"/>
    <w:rsid w:val="00BB1A66"/>
    <w:rsid w:val="00BB1A67"/>
    <w:rsid w:val="00BB1A70"/>
    <w:rsid w:val="00BB1A9A"/>
    <w:rsid w:val="00BB1AB9"/>
    <w:rsid w:val="00BB1B12"/>
    <w:rsid w:val="00BB1B16"/>
    <w:rsid w:val="00BB1B1B"/>
    <w:rsid w:val="00BB1B44"/>
    <w:rsid w:val="00BB1B55"/>
    <w:rsid w:val="00BB1B69"/>
    <w:rsid w:val="00BB1BA4"/>
    <w:rsid w:val="00BB1BCB"/>
    <w:rsid w:val="00BB1BF1"/>
    <w:rsid w:val="00BB1BF9"/>
    <w:rsid w:val="00BB1C0D"/>
    <w:rsid w:val="00BB1C10"/>
    <w:rsid w:val="00BB1C13"/>
    <w:rsid w:val="00BB1C66"/>
    <w:rsid w:val="00BB1CA5"/>
    <w:rsid w:val="00BB1D20"/>
    <w:rsid w:val="00BB1D57"/>
    <w:rsid w:val="00BB1D60"/>
    <w:rsid w:val="00BB1DD0"/>
    <w:rsid w:val="00BB1DE4"/>
    <w:rsid w:val="00BB1E3B"/>
    <w:rsid w:val="00BB1E49"/>
    <w:rsid w:val="00BB1E8F"/>
    <w:rsid w:val="00BB1ECA"/>
    <w:rsid w:val="00BB1ECB"/>
    <w:rsid w:val="00BB1EF6"/>
    <w:rsid w:val="00BB1F21"/>
    <w:rsid w:val="00BB1FA6"/>
    <w:rsid w:val="00BB1FBD"/>
    <w:rsid w:val="00BB1FD6"/>
    <w:rsid w:val="00BB204A"/>
    <w:rsid w:val="00BB2056"/>
    <w:rsid w:val="00BB205A"/>
    <w:rsid w:val="00BB206F"/>
    <w:rsid w:val="00BB2089"/>
    <w:rsid w:val="00BB20AB"/>
    <w:rsid w:val="00BB20C9"/>
    <w:rsid w:val="00BB2161"/>
    <w:rsid w:val="00BB21AD"/>
    <w:rsid w:val="00BB21CA"/>
    <w:rsid w:val="00BB21D8"/>
    <w:rsid w:val="00BB2203"/>
    <w:rsid w:val="00BB2214"/>
    <w:rsid w:val="00BB221D"/>
    <w:rsid w:val="00BB2227"/>
    <w:rsid w:val="00BB222D"/>
    <w:rsid w:val="00BB2286"/>
    <w:rsid w:val="00BB228D"/>
    <w:rsid w:val="00BB22B5"/>
    <w:rsid w:val="00BB234E"/>
    <w:rsid w:val="00BB2366"/>
    <w:rsid w:val="00BB2384"/>
    <w:rsid w:val="00BB2398"/>
    <w:rsid w:val="00BB2399"/>
    <w:rsid w:val="00BB23BA"/>
    <w:rsid w:val="00BB23CB"/>
    <w:rsid w:val="00BB23CC"/>
    <w:rsid w:val="00BB23EB"/>
    <w:rsid w:val="00BB2457"/>
    <w:rsid w:val="00BB246C"/>
    <w:rsid w:val="00BB246F"/>
    <w:rsid w:val="00BB24B6"/>
    <w:rsid w:val="00BB24BC"/>
    <w:rsid w:val="00BB24CA"/>
    <w:rsid w:val="00BB24F1"/>
    <w:rsid w:val="00BB251E"/>
    <w:rsid w:val="00BB2526"/>
    <w:rsid w:val="00BB2585"/>
    <w:rsid w:val="00BB25D2"/>
    <w:rsid w:val="00BB261B"/>
    <w:rsid w:val="00BB262D"/>
    <w:rsid w:val="00BB2637"/>
    <w:rsid w:val="00BB2651"/>
    <w:rsid w:val="00BB2660"/>
    <w:rsid w:val="00BB2682"/>
    <w:rsid w:val="00BB26A4"/>
    <w:rsid w:val="00BB26DD"/>
    <w:rsid w:val="00BB2727"/>
    <w:rsid w:val="00BB2773"/>
    <w:rsid w:val="00BB27BF"/>
    <w:rsid w:val="00BB27E4"/>
    <w:rsid w:val="00BB27E6"/>
    <w:rsid w:val="00BB27FA"/>
    <w:rsid w:val="00BB2815"/>
    <w:rsid w:val="00BB2817"/>
    <w:rsid w:val="00BB283E"/>
    <w:rsid w:val="00BB2856"/>
    <w:rsid w:val="00BB2878"/>
    <w:rsid w:val="00BB28C1"/>
    <w:rsid w:val="00BB28CB"/>
    <w:rsid w:val="00BB2921"/>
    <w:rsid w:val="00BB2949"/>
    <w:rsid w:val="00BB2998"/>
    <w:rsid w:val="00BB29A0"/>
    <w:rsid w:val="00BB29CB"/>
    <w:rsid w:val="00BB2A0A"/>
    <w:rsid w:val="00BB2A1F"/>
    <w:rsid w:val="00BB2A20"/>
    <w:rsid w:val="00BB2A5F"/>
    <w:rsid w:val="00BB2A75"/>
    <w:rsid w:val="00BB2A77"/>
    <w:rsid w:val="00BB2AAB"/>
    <w:rsid w:val="00BB2AAC"/>
    <w:rsid w:val="00BB2AD3"/>
    <w:rsid w:val="00BB2AFC"/>
    <w:rsid w:val="00BB2AFD"/>
    <w:rsid w:val="00BB2BC9"/>
    <w:rsid w:val="00BB2BE9"/>
    <w:rsid w:val="00BB2C31"/>
    <w:rsid w:val="00BB2C45"/>
    <w:rsid w:val="00BB2CBA"/>
    <w:rsid w:val="00BB2D45"/>
    <w:rsid w:val="00BB2D5B"/>
    <w:rsid w:val="00BB2D8A"/>
    <w:rsid w:val="00BB2DA0"/>
    <w:rsid w:val="00BB2DA7"/>
    <w:rsid w:val="00BB2DA8"/>
    <w:rsid w:val="00BB2DBE"/>
    <w:rsid w:val="00BB2E1F"/>
    <w:rsid w:val="00BB2E49"/>
    <w:rsid w:val="00BB2E57"/>
    <w:rsid w:val="00BB2EA5"/>
    <w:rsid w:val="00BB2EC3"/>
    <w:rsid w:val="00BB2EC8"/>
    <w:rsid w:val="00BB2EE1"/>
    <w:rsid w:val="00BB2F05"/>
    <w:rsid w:val="00BB2F0C"/>
    <w:rsid w:val="00BB2F12"/>
    <w:rsid w:val="00BB2F2F"/>
    <w:rsid w:val="00BB2F8E"/>
    <w:rsid w:val="00BB2FA4"/>
    <w:rsid w:val="00BB2FD1"/>
    <w:rsid w:val="00BB2FE4"/>
    <w:rsid w:val="00BB2FE6"/>
    <w:rsid w:val="00BB2FEE"/>
    <w:rsid w:val="00BB305D"/>
    <w:rsid w:val="00BB3090"/>
    <w:rsid w:val="00BB3096"/>
    <w:rsid w:val="00BB30A6"/>
    <w:rsid w:val="00BB30A8"/>
    <w:rsid w:val="00BB313F"/>
    <w:rsid w:val="00BB3162"/>
    <w:rsid w:val="00BB3178"/>
    <w:rsid w:val="00BB3181"/>
    <w:rsid w:val="00BB31B0"/>
    <w:rsid w:val="00BB31B8"/>
    <w:rsid w:val="00BB31DB"/>
    <w:rsid w:val="00BB31E0"/>
    <w:rsid w:val="00BB31EB"/>
    <w:rsid w:val="00BB320D"/>
    <w:rsid w:val="00BB320E"/>
    <w:rsid w:val="00BB3222"/>
    <w:rsid w:val="00BB325F"/>
    <w:rsid w:val="00BB3271"/>
    <w:rsid w:val="00BB328E"/>
    <w:rsid w:val="00BB3296"/>
    <w:rsid w:val="00BB32E5"/>
    <w:rsid w:val="00BB3344"/>
    <w:rsid w:val="00BB3347"/>
    <w:rsid w:val="00BB3367"/>
    <w:rsid w:val="00BB3392"/>
    <w:rsid w:val="00BB340B"/>
    <w:rsid w:val="00BB3415"/>
    <w:rsid w:val="00BB34D6"/>
    <w:rsid w:val="00BB351C"/>
    <w:rsid w:val="00BB351F"/>
    <w:rsid w:val="00BB35AC"/>
    <w:rsid w:val="00BB35B1"/>
    <w:rsid w:val="00BB35BA"/>
    <w:rsid w:val="00BB35FB"/>
    <w:rsid w:val="00BB3626"/>
    <w:rsid w:val="00BB3644"/>
    <w:rsid w:val="00BB3658"/>
    <w:rsid w:val="00BB36B5"/>
    <w:rsid w:val="00BB36BD"/>
    <w:rsid w:val="00BB36DC"/>
    <w:rsid w:val="00BB36DF"/>
    <w:rsid w:val="00BB36E3"/>
    <w:rsid w:val="00BB370E"/>
    <w:rsid w:val="00BB3728"/>
    <w:rsid w:val="00BB375A"/>
    <w:rsid w:val="00BB37C9"/>
    <w:rsid w:val="00BB37F7"/>
    <w:rsid w:val="00BB380D"/>
    <w:rsid w:val="00BB384D"/>
    <w:rsid w:val="00BB385B"/>
    <w:rsid w:val="00BB3879"/>
    <w:rsid w:val="00BB3886"/>
    <w:rsid w:val="00BB38B4"/>
    <w:rsid w:val="00BB38E3"/>
    <w:rsid w:val="00BB395A"/>
    <w:rsid w:val="00BB396A"/>
    <w:rsid w:val="00BB39B0"/>
    <w:rsid w:val="00BB39B2"/>
    <w:rsid w:val="00BB39EA"/>
    <w:rsid w:val="00BB3A0F"/>
    <w:rsid w:val="00BB3A44"/>
    <w:rsid w:val="00BB3A54"/>
    <w:rsid w:val="00BB3A59"/>
    <w:rsid w:val="00BB3ABE"/>
    <w:rsid w:val="00BB3ADE"/>
    <w:rsid w:val="00BB3AF5"/>
    <w:rsid w:val="00BB3B0D"/>
    <w:rsid w:val="00BB3B24"/>
    <w:rsid w:val="00BB3B88"/>
    <w:rsid w:val="00BB3BA3"/>
    <w:rsid w:val="00BB3BAD"/>
    <w:rsid w:val="00BB3C20"/>
    <w:rsid w:val="00BB3C28"/>
    <w:rsid w:val="00BB3C59"/>
    <w:rsid w:val="00BB3C70"/>
    <w:rsid w:val="00BB3C84"/>
    <w:rsid w:val="00BB3C8B"/>
    <w:rsid w:val="00BB3C8E"/>
    <w:rsid w:val="00BB3CB2"/>
    <w:rsid w:val="00BB3CB6"/>
    <w:rsid w:val="00BB3CD1"/>
    <w:rsid w:val="00BB3CD4"/>
    <w:rsid w:val="00BB3DC9"/>
    <w:rsid w:val="00BB3EAF"/>
    <w:rsid w:val="00BB3ECC"/>
    <w:rsid w:val="00BB3ED5"/>
    <w:rsid w:val="00BB3EDC"/>
    <w:rsid w:val="00BB3EE8"/>
    <w:rsid w:val="00BB3F09"/>
    <w:rsid w:val="00BB3F10"/>
    <w:rsid w:val="00BB3F12"/>
    <w:rsid w:val="00BB3F51"/>
    <w:rsid w:val="00BB3F54"/>
    <w:rsid w:val="00BB3FB5"/>
    <w:rsid w:val="00BB3FBA"/>
    <w:rsid w:val="00BB3FF3"/>
    <w:rsid w:val="00BB4008"/>
    <w:rsid w:val="00BB4099"/>
    <w:rsid w:val="00BB40C7"/>
    <w:rsid w:val="00BB40CD"/>
    <w:rsid w:val="00BB40EC"/>
    <w:rsid w:val="00BB40FB"/>
    <w:rsid w:val="00BB410A"/>
    <w:rsid w:val="00BB4129"/>
    <w:rsid w:val="00BB4146"/>
    <w:rsid w:val="00BB41DB"/>
    <w:rsid w:val="00BB41DD"/>
    <w:rsid w:val="00BB41DF"/>
    <w:rsid w:val="00BB422F"/>
    <w:rsid w:val="00BB4254"/>
    <w:rsid w:val="00BB4258"/>
    <w:rsid w:val="00BB4282"/>
    <w:rsid w:val="00BB42CC"/>
    <w:rsid w:val="00BB42EF"/>
    <w:rsid w:val="00BB4360"/>
    <w:rsid w:val="00BB43AC"/>
    <w:rsid w:val="00BB43CA"/>
    <w:rsid w:val="00BB43EB"/>
    <w:rsid w:val="00BB4420"/>
    <w:rsid w:val="00BB447C"/>
    <w:rsid w:val="00BB44A9"/>
    <w:rsid w:val="00BB44BC"/>
    <w:rsid w:val="00BB450F"/>
    <w:rsid w:val="00BB4540"/>
    <w:rsid w:val="00BB45CA"/>
    <w:rsid w:val="00BB45E0"/>
    <w:rsid w:val="00BB469D"/>
    <w:rsid w:val="00BB46EE"/>
    <w:rsid w:val="00BB4703"/>
    <w:rsid w:val="00BB4707"/>
    <w:rsid w:val="00BB4720"/>
    <w:rsid w:val="00BB4777"/>
    <w:rsid w:val="00BB478D"/>
    <w:rsid w:val="00BB479F"/>
    <w:rsid w:val="00BB47A9"/>
    <w:rsid w:val="00BB47AC"/>
    <w:rsid w:val="00BB47E5"/>
    <w:rsid w:val="00BB483E"/>
    <w:rsid w:val="00BB4840"/>
    <w:rsid w:val="00BB4898"/>
    <w:rsid w:val="00BB4905"/>
    <w:rsid w:val="00BB4934"/>
    <w:rsid w:val="00BB4944"/>
    <w:rsid w:val="00BB4952"/>
    <w:rsid w:val="00BB4956"/>
    <w:rsid w:val="00BB497C"/>
    <w:rsid w:val="00BB4995"/>
    <w:rsid w:val="00BB49BE"/>
    <w:rsid w:val="00BB49CA"/>
    <w:rsid w:val="00BB49D6"/>
    <w:rsid w:val="00BB49E9"/>
    <w:rsid w:val="00BB4A0B"/>
    <w:rsid w:val="00BB4A26"/>
    <w:rsid w:val="00BB4A59"/>
    <w:rsid w:val="00BB4A62"/>
    <w:rsid w:val="00BB4ADF"/>
    <w:rsid w:val="00BB4AEB"/>
    <w:rsid w:val="00BB4AFD"/>
    <w:rsid w:val="00BB4B0B"/>
    <w:rsid w:val="00BB4B1B"/>
    <w:rsid w:val="00BB4BCA"/>
    <w:rsid w:val="00BB4BE9"/>
    <w:rsid w:val="00BB4C30"/>
    <w:rsid w:val="00BB4C46"/>
    <w:rsid w:val="00BB4C5D"/>
    <w:rsid w:val="00BB4C96"/>
    <w:rsid w:val="00BB4C97"/>
    <w:rsid w:val="00BB4CF6"/>
    <w:rsid w:val="00BB4CFA"/>
    <w:rsid w:val="00BB4CFD"/>
    <w:rsid w:val="00BB4D1B"/>
    <w:rsid w:val="00BB4D5D"/>
    <w:rsid w:val="00BB4DB9"/>
    <w:rsid w:val="00BB4DC8"/>
    <w:rsid w:val="00BB4DF4"/>
    <w:rsid w:val="00BB4DFA"/>
    <w:rsid w:val="00BB4E22"/>
    <w:rsid w:val="00BB4E61"/>
    <w:rsid w:val="00BB4E69"/>
    <w:rsid w:val="00BB4E8B"/>
    <w:rsid w:val="00BB4EC0"/>
    <w:rsid w:val="00BB4EC8"/>
    <w:rsid w:val="00BB4EF9"/>
    <w:rsid w:val="00BB4EFB"/>
    <w:rsid w:val="00BB4F3B"/>
    <w:rsid w:val="00BB4F64"/>
    <w:rsid w:val="00BB4FB5"/>
    <w:rsid w:val="00BB5046"/>
    <w:rsid w:val="00BB5080"/>
    <w:rsid w:val="00BB509D"/>
    <w:rsid w:val="00BB50C3"/>
    <w:rsid w:val="00BB5152"/>
    <w:rsid w:val="00BB5158"/>
    <w:rsid w:val="00BB5162"/>
    <w:rsid w:val="00BB5196"/>
    <w:rsid w:val="00BB51A5"/>
    <w:rsid w:val="00BB51FF"/>
    <w:rsid w:val="00BB5204"/>
    <w:rsid w:val="00BB5217"/>
    <w:rsid w:val="00BB525F"/>
    <w:rsid w:val="00BB52BE"/>
    <w:rsid w:val="00BB52DE"/>
    <w:rsid w:val="00BB5324"/>
    <w:rsid w:val="00BB5329"/>
    <w:rsid w:val="00BB5349"/>
    <w:rsid w:val="00BB5351"/>
    <w:rsid w:val="00BB5369"/>
    <w:rsid w:val="00BB536A"/>
    <w:rsid w:val="00BB542D"/>
    <w:rsid w:val="00BB546E"/>
    <w:rsid w:val="00BB5475"/>
    <w:rsid w:val="00BB549C"/>
    <w:rsid w:val="00BB54D5"/>
    <w:rsid w:val="00BB54E9"/>
    <w:rsid w:val="00BB550D"/>
    <w:rsid w:val="00BB5514"/>
    <w:rsid w:val="00BB5532"/>
    <w:rsid w:val="00BB5561"/>
    <w:rsid w:val="00BB556A"/>
    <w:rsid w:val="00BB5578"/>
    <w:rsid w:val="00BB5585"/>
    <w:rsid w:val="00BB55A2"/>
    <w:rsid w:val="00BB55A8"/>
    <w:rsid w:val="00BB55B5"/>
    <w:rsid w:val="00BB55D6"/>
    <w:rsid w:val="00BB55DF"/>
    <w:rsid w:val="00BB5611"/>
    <w:rsid w:val="00BB5630"/>
    <w:rsid w:val="00BB5663"/>
    <w:rsid w:val="00BB566C"/>
    <w:rsid w:val="00BB569E"/>
    <w:rsid w:val="00BB5752"/>
    <w:rsid w:val="00BB575C"/>
    <w:rsid w:val="00BB575E"/>
    <w:rsid w:val="00BB578D"/>
    <w:rsid w:val="00BB57B9"/>
    <w:rsid w:val="00BB57CF"/>
    <w:rsid w:val="00BB57D1"/>
    <w:rsid w:val="00BB5810"/>
    <w:rsid w:val="00BB5812"/>
    <w:rsid w:val="00BB588D"/>
    <w:rsid w:val="00BB58A2"/>
    <w:rsid w:val="00BB58AE"/>
    <w:rsid w:val="00BB58EA"/>
    <w:rsid w:val="00BB5900"/>
    <w:rsid w:val="00BB592B"/>
    <w:rsid w:val="00BB5942"/>
    <w:rsid w:val="00BB597D"/>
    <w:rsid w:val="00BB59E7"/>
    <w:rsid w:val="00BB59F5"/>
    <w:rsid w:val="00BB5A09"/>
    <w:rsid w:val="00BB5A15"/>
    <w:rsid w:val="00BB5A42"/>
    <w:rsid w:val="00BB5A5D"/>
    <w:rsid w:val="00BB5A83"/>
    <w:rsid w:val="00BB5B01"/>
    <w:rsid w:val="00BB5B06"/>
    <w:rsid w:val="00BB5B10"/>
    <w:rsid w:val="00BB5B23"/>
    <w:rsid w:val="00BB5B2D"/>
    <w:rsid w:val="00BB5B2F"/>
    <w:rsid w:val="00BB5B59"/>
    <w:rsid w:val="00BB5B64"/>
    <w:rsid w:val="00BB5BE7"/>
    <w:rsid w:val="00BB5BEA"/>
    <w:rsid w:val="00BB5BF5"/>
    <w:rsid w:val="00BB5C1C"/>
    <w:rsid w:val="00BB5C5C"/>
    <w:rsid w:val="00BB5CA2"/>
    <w:rsid w:val="00BB5CAD"/>
    <w:rsid w:val="00BB5CFF"/>
    <w:rsid w:val="00BB5D4E"/>
    <w:rsid w:val="00BB5D60"/>
    <w:rsid w:val="00BB5DEA"/>
    <w:rsid w:val="00BB5E41"/>
    <w:rsid w:val="00BB5E56"/>
    <w:rsid w:val="00BB5E62"/>
    <w:rsid w:val="00BB5E80"/>
    <w:rsid w:val="00BB5EC3"/>
    <w:rsid w:val="00BB5ED8"/>
    <w:rsid w:val="00BB5F4B"/>
    <w:rsid w:val="00BB5FF6"/>
    <w:rsid w:val="00BB606C"/>
    <w:rsid w:val="00BB608C"/>
    <w:rsid w:val="00BB60C9"/>
    <w:rsid w:val="00BB60D3"/>
    <w:rsid w:val="00BB60E9"/>
    <w:rsid w:val="00BB612B"/>
    <w:rsid w:val="00BB6162"/>
    <w:rsid w:val="00BB616A"/>
    <w:rsid w:val="00BB6182"/>
    <w:rsid w:val="00BB618A"/>
    <w:rsid w:val="00BB61AD"/>
    <w:rsid w:val="00BB61BD"/>
    <w:rsid w:val="00BB61F3"/>
    <w:rsid w:val="00BB61F6"/>
    <w:rsid w:val="00BB6205"/>
    <w:rsid w:val="00BB6287"/>
    <w:rsid w:val="00BB6290"/>
    <w:rsid w:val="00BB62C9"/>
    <w:rsid w:val="00BB62E9"/>
    <w:rsid w:val="00BB6301"/>
    <w:rsid w:val="00BB6321"/>
    <w:rsid w:val="00BB63BD"/>
    <w:rsid w:val="00BB63E3"/>
    <w:rsid w:val="00BB643A"/>
    <w:rsid w:val="00BB645A"/>
    <w:rsid w:val="00BB6488"/>
    <w:rsid w:val="00BB64B8"/>
    <w:rsid w:val="00BB6501"/>
    <w:rsid w:val="00BB6507"/>
    <w:rsid w:val="00BB652D"/>
    <w:rsid w:val="00BB6567"/>
    <w:rsid w:val="00BB6575"/>
    <w:rsid w:val="00BB65AF"/>
    <w:rsid w:val="00BB65F1"/>
    <w:rsid w:val="00BB6657"/>
    <w:rsid w:val="00BB6683"/>
    <w:rsid w:val="00BB66A3"/>
    <w:rsid w:val="00BB66DD"/>
    <w:rsid w:val="00BB6714"/>
    <w:rsid w:val="00BB671E"/>
    <w:rsid w:val="00BB674A"/>
    <w:rsid w:val="00BB6773"/>
    <w:rsid w:val="00BB677B"/>
    <w:rsid w:val="00BB6797"/>
    <w:rsid w:val="00BB6830"/>
    <w:rsid w:val="00BB6877"/>
    <w:rsid w:val="00BB6892"/>
    <w:rsid w:val="00BB68CD"/>
    <w:rsid w:val="00BB68F0"/>
    <w:rsid w:val="00BB690C"/>
    <w:rsid w:val="00BB690E"/>
    <w:rsid w:val="00BB6910"/>
    <w:rsid w:val="00BB6924"/>
    <w:rsid w:val="00BB6977"/>
    <w:rsid w:val="00BB6984"/>
    <w:rsid w:val="00BB69F9"/>
    <w:rsid w:val="00BB6A41"/>
    <w:rsid w:val="00BB6A52"/>
    <w:rsid w:val="00BB6A5D"/>
    <w:rsid w:val="00BB6A69"/>
    <w:rsid w:val="00BB6A6F"/>
    <w:rsid w:val="00BB6AB4"/>
    <w:rsid w:val="00BB6AC0"/>
    <w:rsid w:val="00BB6AF3"/>
    <w:rsid w:val="00BB6B8B"/>
    <w:rsid w:val="00BB6B8F"/>
    <w:rsid w:val="00BB6BC1"/>
    <w:rsid w:val="00BB6C06"/>
    <w:rsid w:val="00BB6C2F"/>
    <w:rsid w:val="00BB6C5A"/>
    <w:rsid w:val="00BB6C99"/>
    <w:rsid w:val="00BB6CAC"/>
    <w:rsid w:val="00BB6CF4"/>
    <w:rsid w:val="00BB6D2D"/>
    <w:rsid w:val="00BB6D43"/>
    <w:rsid w:val="00BB6D52"/>
    <w:rsid w:val="00BB6D5E"/>
    <w:rsid w:val="00BB6D71"/>
    <w:rsid w:val="00BB6D7A"/>
    <w:rsid w:val="00BB6D8F"/>
    <w:rsid w:val="00BB6D92"/>
    <w:rsid w:val="00BB6E50"/>
    <w:rsid w:val="00BB6ECC"/>
    <w:rsid w:val="00BB6EF7"/>
    <w:rsid w:val="00BB6F67"/>
    <w:rsid w:val="00BB6F8A"/>
    <w:rsid w:val="00BB6FA4"/>
    <w:rsid w:val="00BB6FD7"/>
    <w:rsid w:val="00BB7036"/>
    <w:rsid w:val="00BB703D"/>
    <w:rsid w:val="00BB7092"/>
    <w:rsid w:val="00BB70FD"/>
    <w:rsid w:val="00BB711D"/>
    <w:rsid w:val="00BB7126"/>
    <w:rsid w:val="00BB7136"/>
    <w:rsid w:val="00BB7157"/>
    <w:rsid w:val="00BB7168"/>
    <w:rsid w:val="00BB71C7"/>
    <w:rsid w:val="00BB71F4"/>
    <w:rsid w:val="00BB71FB"/>
    <w:rsid w:val="00BB71FE"/>
    <w:rsid w:val="00BB7227"/>
    <w:rsid w:val="00BB7242"/>
    <w:rsid w:val="00BB7254"/>
    <w:rsid w:val="00BB725D"/>
    <w:rsid w:val="00BB7288"/>
    <w:rsid w:val="00BB7297"/>
    <w:rsid w:val="00BB72EA"/>
    <w:rsid w:val="00BB731B"/>
    <w:rsid w:val="00BB73BA"/>
    <w:rsid w:val="00BB7454"/>
    <w:rsid w:val="00BB7471"/>
    <w:rsid w:val="00BB747C"/>
    <w:rsid w:val="00BB74F0"/>
    <w:rsid w:val="00BB74F2"/>
    <w:rsid w:val="00BB7507"/>
    <w:rsid w:val="00BB751A"/>
    <w:rsid w:val="00BB753A"/>
    <w:rsid w:val="00BB7550"/>
    <w:rsid w:val="00BB755B"/>
    <w:rsid w:val="00BB7570"/>
    <w:rsid w:val="00BB7578"/>
    <w:rsid w:val="00BB75B9"/>
    <w:rsid w:val="00BB75CA"/>
    <w:rsid w:val="00BB7601"/>
    <w:rsid w:val="00BB763C"/>
    <w:rsid w:val="00BB763D"/>
    <w:rsid w:val="00BB763F"/>
    <w:rsid w:val="00BB7651"/>
    <w:rsid w:val="00BB7653"/>
    <w:rsid w:val="00BB7675"/>
    <w:rsid w:val="00BB7687"/>
    <w:rsid w:val="00BB769F"/>
    <w:rsid w:val="00BB76DB"/>
    <w:rsid w:val="00BB76E3"/>
    <w:rsid w:val="00BB7709"/>
    <w:rsid w:val="00BB7761"/>
    <w:rsid w:val="00BB77CD"/>
    <w:rsid w:val="00BB7811"/>
    <w:rsid w:val="00BB7816"/>
    <w:rsid w:val="00BB7853"/>
    <w:rsid w:val="00BB7854"/>
    <w:rsid w:val="00BB7856"/>
    <w:rsid w:val="00BB787E"/>
    <w:rsid w:val="00BB7884"/>
    <w:rsid w:val="00BB7947"/>
    <w:rsid w:val="00BB7983"/>
    <w:rsid w:val="00BB79C9"/>
    <w:rsid w:val="00BB79CC"/>
    <w:rsid w:val="00BB7A40"/>
    <w:rsid w:val="00BB7A75"/>
    <w:rsid w:val="00BB7A84"/>
    <w:rsid w:val="00BB7A86"/>
    <w:rsid w:val="00BB7A92"/>
    <w:rsid w:val="00BB7ADC"/>
    <w:rsid w:val="00BB7AE5"/>
    <w:rsid w:val="00BB7B12"/>
    <w:rsid w:val="00BB7B6C"/>
    <w:rsid w:val="00BB7B8F"/>
    <w:rsid w:val="00BB7B98"/>
    <w:rsid w:val="00BB7C1B"/>
    <w:rsid w:val="00BB7C59"/>
    <w:rsid w:val="00BB7C78"/>
    <w:rsid w:val="00BB7C7C"/>
    <w:rsid w:val="00BB7C89"/>
    <w:rsid w:val="00BB7CA7"/>
    <w:rsid w:val="00BB7CAC"/>
    <w:rsid w:val="00BB7D08"/>
    <w:rsid w:val="00BB7D27"/>
    <w:rsid w:val="00BB7DAE"/>
    <w:rsid w:val="00BB7DED"/>
    <w:rsid w:val="00BB7E2C"/>
    <w:rsid w:val="00BB7E33"/>
    <w:rsid w:val="00BB7E37"/>
    <w:rsid w:val="00BB7E3B"/>
    <w:rsid w:val="00BB7E88"/>
    <w:rsid w:val="00BB7E96"/>
    <w:rsid w:val="00BB7F3E"/>
    <w:rsid w:val="00BB7FF9"/>
    <w:rsid w:val="00BC0021"/>
    <w:rsid w:val="00BC004C"/>
    <w:rsid w:val="00BC0053"/>
    <w:rsid w:val="00BC009E"/>
    <w:rsid w:val="00BC00C7"/>
    <w:rsid w:val="00BC00CD"/>
    <w:rsid w:val="00BC00CF"/>
    <w:rsid w:val="00BC00D1"/>
    <w:rsid w:val="00BC00D7"/>
    <w:rsid w:val="00BC00E0"/>
    <w:rsid w:val="00BC00F4"/>
    <w:rsid w:val="00BC010C"/>
    <w:rsid w:val="00BC0114"/>
    <w:rsid w:val="00BC015D"/>
    <w:rsid w:val="00BC01AD"/>
    <w:rsid w:val="00BC01BF"/>
    <w:rsid w:val="00BC01F4"/>
    <w:rsid w:val="00BC0212"/>
    <w:rsid w:val="00BC022E"/>
    <w:rsid w:val="00BC027E"/>
    <w:rsid w:val="00BC02A0"/>
    <w:rsid w:val="00BC0389"/>
    <w:rsid w:val="00BC0399"/>
    <w:rsid w:val="00BC03E3"/>
    <w:rsid w:val="00BC044D"/>
    <w:rsid w:val="00BC0485"/>
    <w:rsid w:val="00BC048B"/>
    <w:rsid w:val="00BC04DF"/>
    <w:rsid w:val="00BC04E0"/>
    <w:rsid w:val="00BC04F8"/>
    <w:rsid w:val="00BC0535"/>
    <w:rsid w:val="00BC0582"/>
    <w:rsid w:val="00BC05A2"/>
    <w:rsid w:val="00BC05D6"/>
    <w:rsid w:val="00BC05E3"/>
    <w:rsid w:val="00BC05EC"/>
    <w:rsid w:val="00BC0608"/>
    <w:rsid w:val="00BC0639"/>
    <w:rsid w:val="00BC064D"/>
    <w:rsid w:val="00BC064E"/>
    <w:rsid w:val="00BC0667"/>
    <w:rsid w:val="00BC067E"/>
    <w:rsid w:val="00BC0687"/>
    <w:rsid w:val="00BC06A3"/>
    <w:rsid w:val="00BC06EF"/>
    <w:rsid w:val="00BC071B"/>
    <w:rsid w:val="00BC0726"/>
    <w:rsid w:val="00BC0742"/>
    <w:rsid w:val="00BC0752"/>
    <w:rsid w:val="00BC078F"/>
    <w:rsid w:val="00BC07AC"/>
    <w:rsid w:val="00BC07CA"/>
    <w:rsid w:val="00BC0801"/>
    <w:rsid w:val="00BC082D"/>
    <w:rsid w:val="00BC0835"/>
    <w:rsid w:val="00BC085C"/>
    <w:rsid w:val="00BC0896"/>
    <w:rsid w:val="00BC089C"/>
    <w:rsid w:val="00BC08D7"/>
    <w:rsid w:val="00BC092B"/>
    <w:rsid w:val="00BC094E"/>
    <w:rsid w:val="00BC094F"/>
    <w:rsid w:val="00BC09AA"/>
    <w:rsid w:val="00BC09BB"/>
    <w:rsid w:val="00BC09CD"/>
    <w:rsid w:val="00BC09DE"/>
    <w:rsid w:val="00BC09EF"/>
    <w:rsid w:val="00BC0A58"/>
    <w:rsid w:val="00BC0A5A"/>
    <w:rsid w:val="00BC0A5C"/>
    <w:rsid w:val="00BC0A92"/>
    <w:rsid w:val="00BC0AAA"/>
    <w:rsid w:val="00BC0AB8"/>
    <w:rsid w:val="00BC0B76"/>
    <w:rsid w:val="00BC0B9A"/>
    <w:rsid w:val="00BC0BA0"/>
    <w:rsid w:val="00BC0BAC"/>
    <w:rsid w:val="00BC0BC3"/>
    <w:rsid w:val="00BC0BFF"/>
    <w:rsid w:val="00BC0C1C"/>
    <w:rsid w:val="00BC0C2C"/>
    <w:rsid w:val="00BC0C33"/>
    <w:rsid w:val="00BC0C6F"/>
    <w:rsid w:val="00BC0CDB"/>
    <w:rsid w:val="00BC0D07"/>
    <w:rsid w:val="00BC0D10"/>
    <w:rsid w:val="00BC0D69"/>
    <w:rsid w:val="00BC0D8D"/>
    <w:rsid w:val="00BC0DDD"/>
    <w:rsid w:val="00BC0DF7"/>
    <w:rsid w:val="00BC0E0F"/>
    <w:rsid w:val="00BC0E1A"/>
    <w:rsid w:val="00BC0E6F"/>
    <w:rsid w:val="00BC0EA0"/>
    <w:rsid w:val="00BC0EB6"/>
    <w:rsid w:val="00BC0F3F"/>
    <w:rsid w:val="00BC0F4E"/>
    <w:rsid w:val="00BC0FAF"/>
    <w:rsid w:val="00BC0FB2"/>
    <w:rsid w:val="00BC0FEC"/>
    <w:rsid w:val="00BC101A"/>
    <w:rsid w:val="00BC104E"/>
    <w:rsid w:val="00BC105C"/>
    <w:rsid w:val="00BC1074"/>
    <w:rsid w:val="00BC10C2"/>
    <w:rsid w:val="00BC10EA"/>
    <w:rsid w:val="00BC10EB"/>
    <w:rsid w:val="00BC1128"/>
    <w:rsid w:val="00BC1147"/>
    <w:rsid w:val="00BC1178"/>
    <w:rsid w:val="00BC119E"/>
    <w:rsid w:val="00BC11B0"/>
    <w:rsid w:val="00BC1244"/>
    <w:rsid w:val="00BC126B"/>
    <w:rsid w:val="00BC126E"/>
    <w:rsid w:val="00BC128F"/>
    <w:rsid w:val="00BC12EE"/>
    <w:rsid w:val="00BC130A"/>
    <w:rsid w:val="00BC1320"/>
    <w:rsid w:val="00BC1342"/>
    <w:rsid w:val="00BC1344"/>
    <w:rsid w:val="00BC13B9"/>
    <w:rsid w:val="00BC13F1"/>
    <w:rsid w:val="00BC144D"/>
    <w:rsid w:val="00BC1526"/>
    <w:rsid w:val="00BC1532"/>
    <w:rsid w:val="00BC1549"/>
    <w:rsid w:val="00BC1557"/>
    <w:rsid w:val="00BC1582"/>
    <w:rsid w:val="00BC15A7"/>
    <w:rsid w:val="00BC15FC"/>
    <w:rsid w:val="00BC1613"/>
    <w:rsid w:val="00BC1616"/>
    <w:rsid w:val="00BC1631"/>
    <w:rsid w:val="00BC167F"/>
    <w:rsid w:val="00BC1680"/>
    <w:rsid w:val="00BC1695"/>
    <w:rsid w:val="00BC16A5"/>
    <w:rsid w:val="00BC16C4"/>
    <w:rsid w:val="00BC16C8"/>
    <w:rsid w:val="00BC16F1"/>
    <w:rsid w:val="00BC1712"/>
    <w:rsid w:val="00BC1729"/>
    <w:rsid w:val="00BC1752"/>
    <w:rsid w:val="00BC1801"/>
    <w:rsid w:val="00BC1812"/>
    <w:rsid w:val="00BC1815"/>
    <w:rsid w:val="00BC1831"/>
    <w:rsid w:val="00BC1872"/>
    <w:rsid w:val="00BC18B1"/>
    <w:rsid w:val="00BC18C0"/>
    <w:rsid w:val="00BC1902"/>
    <w:rsid w:val="00BC1938"/>
    <w:rsid w:val="00BC197D"/>
    <w:rsid w:val="00BC199E"/>
    <w:rsid w:val="00BC19DA"/>
    <w:rsid w:val="00BC19E4"/>
    <w:rsid w:val="00BC1A06"/>
    <w:rsid w:val="00BC1A0C"/>
    <w:rsid w:val="00BC1A3B"/>
    <w:rsid w:val="00BC1A8B"/>
    <w:rsid w:val="00BC1ADD"/>
    <w:rsid w:val="00BC1AE5"/>
    <w:rsid w:val="00BC1AF4"/>
    <w:rsid w:val="00BC1AF6"/>
    <w:rsid w:val="00BC1AF8"/>
    <w:rsid w:val="00BC1B59"/>
    <w:rsid w:val="00BC1B5C"/>
    <w:rsid w:val="00BC1B6E"/>
    <w:rsid w:val="00BC1B89"/>
    <w:rsid w:val="00BC1B9D"/>
    <w:rsid w:val="00BC1BD7"/>
    <w:rsid w:val="00BC1BDB"/>
    <w:rsid w:val="00BC1BDE"/>
    <w:rsid w:val="00BC1BFE"/>
    <w:rsid w:val="00BC1C10"/>
    <w:rsid w:val="00BC1C2F"/>
    <w:rsid w:val="00BC1C42"/>
    <w:rsid w:val="00BC1C51"/>
    <w:rsid w:val="00BC1C61"/>
    <w:rsid w:val="00BC1C73"/>
    <w:rsid w:val="00BC1CC4"/>
    <w:rsid w:val="00BC1CDF"/>
    <w:rsid w:val="00BC1CE4"/>
    <w:rsid w:val="00BC1CED"/>
    <w:rsid w:val="00BC1D23"/>
    <w:rsid w:val="00BC1D4A"/>
    <w:rsid w:val="00BC1DE0"/>
    <w:rsid w:val="00BC1DE5"/>
    <w:rsid w:val="00BC1DEF"/>
    <w:rsid w:val="00BC1E7B"/>
    <w:rsid w:val="00BC1E97"/>
    <w:rsid w:val="00BC1EA3"/>
    <w:rsid w:val="00BC1EE8"/>
    <w:rsid w:val="00BC1EF3"/>
    <w:rsid w:val="00BC1EFB"/>
    <w:rsid w:val="00BC1F09"/>
    <w:rsid w:val="00BC1F1D"/>
    <w:rsid w:val="00BC1F79"/>
    <w:rsid w:val="00BC1F8C"/>
    <w:rsid w:val="00BC1FD9"/>
    <w:rsid w:val="00BC1FF5"/>
    <w:rsid w:val="00BC2011"/>
    <w:rsid w:val="00BC2038"/>
    <w:rsid w:val="00BC208D"/>
    <w:rsid w:val="00BC211C"/>
    <w:rsid w:val="00BC2131"/>
    <w:rsid w:val="00BC2141"/>
    <w:rsid w:val="00BC2171"/>
    <w:rsid w:val="00BC219F"/>
    <w:rsid w:val="00BC21AD"/>
    <w:rsid w:val="00BC21B9"/>
    <w:rsid w:val="00BC21C7"/>
    <w:rsid w:val="00BC21CF"/>
    <w:rsid w:val="00BC2206"/>
    <w:rsid w:val="00BC220C"/>
    <w:rsid w:val="00BC2230"/>
    <w:rsid w:val="00BC22CB"/>
    <w:rsid w:val="00BC22F8"/>
    <w:rsid w:val="00BC2305"/>
    <w:rsid w:val="00BC234E"/>
    <w:rsid w:val="00BC23B8"/>
    <w:rsid w:val="00BC23C8"/>
    <w:rsid w:val="00BC23FD"/>
    <w:rsid w:val="00BC2454"/>
    <w:rsid w:val="00BC245F"/>
    <w:rsid w:val="00BC246C"/>
    <w:rsid w:val="00BC24A8"/>
    <w:rsid w:val="00BC24D7"/>
    <w:rsid w:val="00BC24F7"/>
    <w:rsid w:val="00BC2537"/>
    <w:rsid w:val="00BC2565"/>
    <w:rsid w:val="00BC2576"/>
    <w:rsid w:val="00BC25F0"/>
    <w:rsid w:val="00BC2603"/>
    <w:rsid w:val="00BC2639"/>
    <w:rsid w:val="00BC2672"/>
    <w:rsid w:val="00BC26DB"/>
    <w:rsid w:val="00BC26FD"/>
    <w:rsid w:val="00BC270E"/>
    <w:rsid w:val="00BC2726"/>
    <w:rsid w:val="00BC2733"/>
    <w:rsid w:val="00BC2785"/>
    <w:rsid w:val="00BC27C6"/>
    <w:rsid w:val="00BC27C8"/>
    <w:rsid w:val="00BC27D4"/>
    <w:rsid w:val="00BC27DD"/>
    <w:rsid w:val="00BC2860"/>
    <w:rsid w:val="00BC286D"/>
    <w:rsid w:val="00BC288E"/>
    <w:rsid w:val="00BC289A"/>
    <w:rsid w:val="00BC28E0"/>
    <w:rsid w:val="00BC28EC"/>
    <w:rsid w:val="00BC2928"/>
    <w:rsid w:val="00BC292A"/>
    <w:rsid w:val="00BC292C"/>
    <w:rsid w:val="00BC29B3"/>
    <w:rsid w:val="00BC29DA"/>
    <w:rsid w:val="00BC2A34"/>
    <w:rsid w:val="00BC2A47"/>
    <w:rsid w:val="00BC2A5C"/>
    <w:rsid w:val="00BC2A72"/>
    <w:rsid w:val="00BC2A99"/>
    <w:rsid w:val="00BC2A9A"/>
    <w:rsid w:val="00BC2AAD"/>
    <w:rsid w:val="00BC2AC1"/>
    <w:rsid w:val="00BC2AD4"/>
    <w:rsid w:val="00BC2B29"/>
    <w:rsid w:val="00BC2B50"/>
    <w:rsid w:val="00BC2B98"/>
    <w:rsid w:val="00BC2B9C"/>
    <w:rsid w:val="00BC2BD8"/>
    <w:rsid w:val="00BC2BE9"/>
    <w:rsid w:val="00BC2C30"/>
    <w:rsid w:val="00BC2C4B"/>
    <w:rsid w:val="00BC2C80"/>
    <w:rsid w:val="00BC2C9F"/>
    <w:rsid w:val="00BC2CCA"/>
    <w:rsid w:val="00BC2CEA"/>
    <w:rsid w:val="00BC2D16"/>
    <w:rsid w:val="00BC2D37"/>
    <w:rsid w:val="00BC2D3B"/>
    <w:rsid w:val="00BC2D68"/>
    <w:rsid w:val="00BC2D79"/>
    <w:rsid w:val="00BC2D93"/>
    <w:rsid w:val="00BC2DE4"/>
    <w:rsid w:val="00BC2DF4"/>
    <w:rsid w:val="00BC2E35"/>
    <w:rsid w:val="00BC2E39"/>
    <w:rsid w:val="00BC2E55"/>
    <w:rsid w:val="00BC2E62"/>
    <w:rsid w:val="00BC2E90"/>
    <w:rsid w:val="00BC2EBD"/>
    <w:rsid w:val="00BC2EBE"/>
    <w:rsid w:val="00BC2EFA"/>
    <w:rsid w:val="00BC2F2C"/>
    <w:rsid w:val="00BC2F2F"/>
    <w:rsid w:val="00BC2F37"/>
    <w:rsid w:val="00BC2F97"/>
    <w:rsid w:val="00BC2FC9"/>
    <w:rsid w:val="00BC301C"/>
    <w:rsid w:val="00BC3052"/>
    <w:rsid w:val="00BC30D5"/>
    <w:rsid w:val="00BC315C"/>
    <w:rsid w:val="00BC3186"/>
    <w:rsid w:val="00BC319F"/>
    <w:rsid w:val="00BC322D"/>
    <w:rsid w:val="00BC328E"/>
    <w:rsid w:val="00BC32E3"/>
    <w:rsid w:val="00BC32E7"/>
    <w:rsid w:val="00BC332F"/>
    <w:rsid w:val="00BC337A"/>
    <w:rsid w:val="00BC3389"/>
    <w:rsid w:val="00BC33AC"/>
    <w:rsid w:val="00BC33D2"/>
    <w:rsid w:val="00BC33DD"/>
    <w:rsid w:val="00BC33FE"/>
    <w:rsid w:val="00BC3423"/>
    <w:rsid w:val="00BC3432"/>
    <w:rsid w:val="00BC344E"/>
    <w:rsid w:val="00BC3492"/>
    <w:rsid w:val="00BC3495"/>
    <w:rsid w:val="00BC34BF"/>
    <w:rsid w:val="00BC34C6"/>
    <w:rsid w:val="00BC34F2"/>
    <w:rsid w:val="00BC34F8"/>
    <w:rsid w:val="00BC3509"/>
    <w:rsid w:val="00BC3535"/>
    <w:rsid w:val="00BC3539"/>
    <w:rsid w:val="00BC3559"/>
    <w:rsid w:val="00BC3573"/>
    <w:rsid w:val="00BC35F8"/>
    <w:rsid w:val="00BC3634"/>
    <w:rsid w:val="00BC366A"/>
    <w:rsid w:val="00BC3676"/>
    <w:rsid w:val="00BC36A8"/>
    <w:rsid w:val="00BC36CA"/>
    <w:rsid w:val="00BC3729"/>
    <w:rsid w:val="00BC373B"/>
    <w:rsid w:val="00BC375B"/>
    <w:rsid w:val="00BC3766"/>
    <w:rsid w:val="00BC3787"/>
    <w:rsid w:val="00BC37AE"/>
    <w:rsid w:val="00BC37DB"/>
    <w:rsid w:val="00BC3849"/>
    <w:rsid w:val="00BC385B"/>
    <w:rsid w:val="00BC385E"/>
    <w:rsid w:val="00BC387F"/>
    <w:rsid w:val="00BC38BE"/>
    <w:rsid w:val="00BC3912"/>
    <w:rsid w:val="00BC3929"/>
    <w:rsid w:val="00BC3947"/>
    <w:rsid w:val="00BC3954"/>
    <w:rsid w:val="00BC39C9"/>
    <w:rsid w:val="00BC39E7"/>
    <w:rsid w:val="00BC3A6B"/>
    <w:rsid w:val="00BC3A6C"/>
    <w:rsid w:val="00BC3A6F"/>
    <w:rsid w:val="00BC3A84"/>
    <w:rsid w:val="00BC3ACC"/>
    <w:rsid w:val="00BC3B2D"/>
    <w:rsid w:val="00BC3B57"/>
    <w:rsid w:val="00BC3B76"/>
    <w:rsid w:val="00BC3B7E"/>
    <w:rsid w:val="00BC3C1B"/>
    <w:rsid w:val="00BC3C42"/>
    <w:rsid w:val="00BC3C81"/>
    <w:rsid w:val="00BC3CB4"/>
    <w:rsid w:val="00BC3CD2"/>
    <w:rsid w:val="00BC3CEB"/>
    <w:rsid w:val="00BC3D5E"/>
    <w:rsid w:val="00BC3D8B"/>
    <w:rsid w:val="00BC3DEF"/>
    <w:rsid w:val="00BC3E20"/>
    <w:rsid w:val="00BC3E30"/>
    <w:rsid w:val="00BC3E42"/>
    <w:rsid w:val="00BC3E59"/>
    <w:rsid w:val="00BC3E6F"/>
    <w:rsid w:val="00BC3E84"/>
    <w:rsid w:val="00BC3E88"/>
    <w:rsid w:val="00BC3E8B"/>
    <w:rsid w:val="00BC3E9E"/>
    <w:rsid w:val="00BC3EC2"/>
    <w:rsid w:val="00BC3EC3"/>
    <w:rsid w:val="00BC3EDA"/>
    <w:rsid w:val="00BC3F06"/>
    <w:rsid w:val="00BC3F0C"/>
    <w:rsid w:val="00BC3F13"/>
    <w:rsid w:val="00BC3F6C"/>
    <w:rsid w:val="00BC3FF6"/>
    <w:rsid w:val="00BC4036"/>
    <w:rsid w:val="00BC4069"/>
    <w:rsid w:val="00BC408D"/>
    <w:rsid w:val="00BC40C0"/>
    <w:rsid w:val="00BC4138"/>
    <w:rsid w:val="00BC4164"/>
    <w:rsid w:val="00BC4165"/>
    <w:rsid w:val="00BC41B2"/>
    <w:rsid w:val="00BC4226"/>
    <w:rsid w:val="00BC4239"/>
    <w:rsid w:val="00BC429A"/>
    <w:rsid w:val="00BC42C0"/>
    <w:rsid w:val="00BC4302"/>
    <w:rsid w:val="00BC438B"/>
    <w:rsid w:val="00BC4396"/>
    <w:rsid w:val="00BC43E7"/>
    <w:rsid w:val="00BC443C"/>
    <w:rsid w:val="00BC4441"/>
    <w:rsid w:val="00BC4468"/>
    <w:rsid w:val="00BC4470"/>
    <w:rsid w:val="00BC44C8"/>
    <w:rsid w:val="00BC44CD"/>
    <w:rsid w:val="00BC450B"/>
    <w:rsid w:val="00BC4541"/>
    <w:rsid w:val="00BC4549"/>
    <w:rsid w:val="00BC455A"/>
    <w:rsid w:val="00BC456C"/>
    <w:rsid w:val="00BC4572"/>
    <w:rsid w:val="00BC4594"/>
    <w:rsid w:val="00BC45A0"/>
    <w:rsid w:val="00BC45D6"/>
    <w:rsid w:val="00BC45F6"/>
    <w:rsid w:val="00BC4604"/>
    <w:rsid w:val="00BC4613"/>
    <w:rsid w:val="00BC4638"/>
    <w:rsid w:val="00BC4643"/>
    <w:rsid w:val="00BC4672"/>
    <w:rsid w:val="00BC467D"/>
    <w:rsid w:val="00BC469C"/>
    <w:rsid w:val="00BC46B1"/>
    <w:rsid w:val="00BC46D6"/>
    <w:rsid w:val="00BC46E1"/>
    <w:rsid w:val="00BC46F6"/>
    <w:rsid w:val="00BC470A"/>
    <w:rsid w:val="00BC475A"/>
    <w:rsid w:val="00BC477C"/>
    <w:rsid w:val="00BC47A1"/>
    <w:rsid w:val="00BC47AC"/>
    <w:rsid w:val="00BC47D9"/>
    <w:rsid w:val="00BC47E0"/>
    <w:rsid w:val="00BC4847"/>
    <w:rsid w:val="00BC4890"/>
    <w:rsid w:val="00BC489F"/>
    <w:rsid w:val="00BC48A5"/>
    <w:rsid w:val="00BC48DD"/>
    <w:rsid w:val="00BC4959"/>
    <w:rsid w:val="00BC49D1"/>
    <w:rsid w:val="00BC4A01"/>
    <w:rsid w:val="00BC4A64"/>
    <w:rsid w:val="00BC4A76"/>
    <w:rsid w:val="00BC4A83"/>
    <w:rsid w:val="00BC4AE1"/>
    <w:rsid w:val="00BC4AE4"/>
    <w:rsid w:val="00BC4AE7"/>
    <w:rsid w:val="00BC4B12"/>
    <w:rsid w:val="00BC4B14"/>
    <w:rsid w:val="00BC4B18"/>
    <w:rsid w:val="00BC4B68"/>
    <w:rsid w:val="00BC4B72"/>
    <w:rsid w:val="00BC4BC6"/>
    <w:rsid w:val="00BC4BEB"/>
    <w:rsid w:val="00BC4C05"/>
    <w:rsid w:val="00BC4C24"/>
    <w:rsid w:val="00BC4C8F"/>
    <w:rsid w:val="00BC4CA7"/>
    <w:rsid w:val="00BC4D36"/>
    <w:rsid w:val="00BC4D4B"/>
    <w:rsid w:val="00BC4D52"/>
    <w:rsid w:val="00BC4DA5"/>
    <w:rsid w:val="00BC4DAC"/>
    <w:rsid w:val="00BC4DD4"/>
    <w:rsid w:val="00BC4E26"/>
    <w:rsid w:val="00BC4E9B"/>
    <w:rsid w:val="00BC4F1B"/>
    <w:rsid w:val="00BC4F46"/>
    <w:rsid w:val="00BC4F54"/>
    <w:rsid w:val="00BC4F84"/>
    <w:rsid w:val="00BC4FA5"/>
    <w:rsid w:val="00BC4FBD"/>
    <w:rsid w:val="00BC4FD3"/>
    <w:rsid w:val="00BC4FD6"/>
    <w:rsid w:val="00BC4FDD"/>
    <w:rsid w:val="00BC4FDF"/>
    <w:rsid w:val="00BC4FF3"/>
    <w:rsid w:val="00BC5005"/>
    <w:rsid w:val="00BC5016"/>
    <w:rsid w:val="00BC5025"/>
    <w:rsid w:val="00BC5052"/>
    <w:rsid w:val="00BC505A"/>
    <w:rsid w:val="00BC506D"/>
    <w:rsid w:val="00BC50F0"/>
    <w:rsid w:val="00BC5133"/>
    <w:rsid w:val="00BC5137"/>
    <w:rsid w:val="00BC514B"/>
    <w:rsid w:val="00BC5164"/>
    <w:rsid w:val="00BC5190"/>
    <w:rsid w:val="00BC520F"/>
    <w:rsid w:val="00BC5221"/>
    <w:rsid w:val="00BC5231"/>
    <w:rsid w:val="00BC523B"/>
    <w:rsid w:val="00BC5245"/>
    <w:rsid w:val="00BC525B"/>
    <w:rsid w:val="00BC5295"/>
    <w:rsid w:val="00BC52DE"/>
    <w:rsid w:val="00BC530B"/>
    <w:rsid w:val="00BC5312"/>
    <w:rsid w:val="00BC532C"/>
    <w:rsid w:val="00BC534D"/>
    <w:rsid w:val="00BC535C"/>
    <w:rsid w:val="00BC535D"/>
    <w:rsid w:val="00BC5382"/>
    <w:rsid w:val="00BC5391"/>
    <w:rsid w:val="00BC53A0"/>
    <w:rsid w:val="00BC53F6"/>
    <w:rsid w:val="00BC5427"/>
    <w:rsid w:val="00BC5470"/>
    <w:rsid w:val="00BC54A9"/>
    <w:rsid w:val="00BC54C1"/>
    <w:rsid w:val="00BC54DA"/>
    <w:rsid w:val="00BC5571"/>
    <w:rsid w:val="00BC55A8"/>
    <w:rsid w:val="00BC55C8"/>
    <w:rsid w:val="00BC55F6"/>
    <w:rsid w:val="00BC5628"/>
    <w:rsid w:val="00BC5642"/>
    <w:rsid w:val="00BC5653"/>
    <w:rsid w:val="00BC565E"/>
    <w:rsid w:val="00BC5674"/>
    <w:rsid w:val="00BC56B2"/>
    <w:rsid w:val="00BC56B5"/>
    <w:rsid w:val="00BC56BC"/>
    <w:rsid w:val="00BC56DA"/>
    <w:rsid w:val="00BC56E4"/>
    <w:rsid w:val="00BC5714"/>
    <w:rsid w:val="00BC571F"/>
    <w:rsid w:val="00BC572E"/>
    <w:rsid w:val="00BC5750"/>
    <w:rsid w:val="00BC577B"/>
    <w:rsid w:val="00BC5781"/>
    <w:rsid w:val="00BC5794"/>
    <w:rsid w:val="00BC57BC"/>
    <w:rsid w:val="00BC57D8"/>
    <w:rsid w:val="00BC57FD"/>
    <w:rsid w:val="00BC5810"/>
    <w:rsid w:val="00BC5833"/>
    <w:rsid w:val="00BC584C"/>
    <w:rsid w:val="00BC5897"/>
    <w:rsid w:val="00BC58C6"/>
    <w:rsid w:val="00BC58EF"/>
    <w:rsid w:val="00BC5947"/>
    <w:rsid w:val="00BC594B"/>
    <w:rsid w:val="00BC5980"/>
    <w:rsid w:val="00BC598C"/>
    <w:rsid w:val="00BC599D"/>
    <w:rsid w:val="00BC59A3"/>
    <w:rsid w:val="00BC59BE"/>
    <w:rsid w:val="00BC5A0B"/>
    <w:rsid w:val="00BC5A38"/>
    <w:rsid w:val="00BC5A60"/>
    <w:rsid w:val="00BC5A83"/>
    <w:rsid w:val="00BC5AC8"/>
    <w:rsid w:val="00BC5AD0"/>
    <w:rsid w:val="00BC5AD5"/>
    <w:rsid w:val="00BC5B48"/>
    <w:rsid w:val="00BC5C01"/>
    <w:rsid w:val="00BC5C62"/>
    <w:rsid w:val="00BC5C70"/>
    <w:rsid w:val="00BC5C9A"/>
    <w:rsid w:val="00BC5CC0"/>
    <w:rsid w:val="00BC5D1A"/>
    <w:rsid w:val="00BC5D30"/>
    <w:rsid w:val="00BC5D36"/>
    <w:rsid w:val="00BC5D70"/>
    <w:rsid w:val="00BC5DA1"/>
    <w:rsid w:val="00BC5DA5"/>
    <w:rsid w:val="00BC5DA6"/>
    <w:rsid w:val="00BC5DB4"/>
    <w:rsid w:val="00BC5DCA"/>
    <w:rsid w:val="00BC5DE5"/>
    <w:rsid w:val="00BC5DFA"/>
    <w:rsid w:val="00BC5DFB"/>
    <w:rsid w:val="00BC5E86"/>
    <w:rsid w:val="00BC5E96"/>
    <w:rsid w:val="00BC5EAB"/>
    <w:rsid w:val="00BC5EE0"/>
    <w:rsid w:val="00BC5EE8"/>
    <w:rsid w:val="00BC5F15"/>
    <w:rsid w:val="00BC5F7C"/>
    <w:rsid w:val="00BC5FCD"/>
    <w:rsid w:val="00BC6001"/>
    <w:rsid w:val="00BC603B"/>
    <w:rsid w:val="00BC609B"/>
    <w:rsid w:val="00BC60D3"/>
    <w:rsid w:val="00BC610B"/>
    <w:rsid w:val="00BC613F"/>
    <w:rsid w:val="00BC6164"/>
    <w:rsid w:val="00BC616F"/>
    <w:rsid w:val="00BC618E"/>
    <w:rsid w:val="00BC6191"/>
    <w:rsid w:val="00BC619D"/>
    <w:rsid w:val="00BC61A1"/>
    <w:rsid w:val="00BC61E2"/>
    <w:rsid w:val="00BC61E7"/>
    <w:rsid w:val="00BC6214"/>
    <w:rsid w:val="00BC623E"/>
    <w:rsid w:val="00BC6266"/>
    <w:rsid w:val="00BC6273"/>
    <w:rsid w:val="00BC62C2"/>
    <w:rsid w:val="00BC62CE"/>
    <w:rsid w:val="00BC62D5"/>
    <w:rsid w:val="00BC6357"/>
    <w:rsid w:val="00BC6381"/>
    <w:rsid w:val="00BC63A6"/>
    <w:rsid w:val="00BC63AB"/>
    <w:rsid w:val="00BC63B3"/>
    <w:rsid w:val="00BC63BB"/>
    <w:rsid w:val="00BC63E7"/>
    <w:rsid w:val="00BC640D"/>
    <w:rsid w:val="00BC6440"/>
    <w:rsid w:val="00BC64A1"/>
    <w:rsid w:val="00BC64F6"/>
    <w:rsid w:val="00BC650D"/>
    <w:rsid w:val="00BC6519"/>
    <w:rsid w:val="00BC6548"/>
    <w:rsid w:val="00BC6553"/>
    <w:rsid w:val="00BC6570"/>
    <w:rsid w:val="00BC65A1"/>
    <w:rsid w:val="00BC6637"/>
    <w:rsid w:val="00BC6681"/>
    <w:rsid w:val="00BC66D9"/>
    <w:rsid w:val="00BC66F8"/>
    <w:rsid w:val="00BC66FB"/>
    <w:rsid w:val="00BC6703"/>
    <w:rsid w:val="00BC670F"/>
    <w:rsid w:val="00BC6724"/>
    <w:rsid w:val="00BC679B"/>
    <w:rsid w:val="00BC67B7"/>
    <w:rsid w:val="00BC6817"/>
    <w:rsid w:val="00BC682D"/>
    <w:rsid w:val="00BC683C"/>
    <w:rsid w:val="00BC6870"/>
    <w:rsid w:val="00BC6871"/>
    <w:rsid w:val="00BC6892"/>
    <w:rsid w:val="00BC68EA"/>
    <w:rsid w:val="00BC6903"/>
    <w:rsid w:val="00BC6925"/>
    <w:rsid w:val="00BC693A"/>
    <w:rsid w:val="00BC6971"/>
    <w:rsid w:val="00BC6990"/>
    <w:rsid w:val="00BC69D7"/>
    <w:rsid w:val="00BC6A00"/>
    <w:rsid w:val="00BC6A75"/>
    <w:rsid w:val="00BC6A77"/>
    <w:rsid w:val="00BC6A7C"/>
    <w:rsid w:val="00BC6A92"/>
    <w:rsid w:val="00BC6A93"/>
    <w:rsid w:val="00BC6AAD"/>
    <w:rsid w:val="00BC6ABB"/>
    <w:rsid w:val="00BC6AFB"/>
    <w:rsid w:val="00BC6B3E"/>
    <w:rsid w:val="00BC6B3F"/>
    <w:rsid w:val="00BC6B63"/>
    <w:rsid w:val="00BC6B73"/>
    <w:rsid w:val="00BC6C1B"/>
    <w:rsid w:val="00BC6C3E"/>
    <w:rsid w:val="00BC6CA6"/>
    <w:rsid w:val="00BC6D07"/>
    <w:rsid w:val="00BC6D1B"/>
    <w:rsid w:val="00BC6D23"/>
    <w:rsid w:val="00BC6D42"/>
    <w:rsid w:val="00BC6D5A"/>
    <w:rsid w:val="00BC6D64"/>
    <w:rsid w:val="00BC6D69"/>
    <w:rsid w:val="00BC6D6C"/>
    <w:rsid w:val="00BC6D92"/>
    <w:rsid w:val="00BC6DDD"/>
    <w:rsid w:val="00BC6E1A"/>
    <w:rsid w:val="00BC6E4D"/>
    <w:rsid w:val="00BC6E66"/>
    <w:rsid w:val="00BC6E77"/>
    <w:rsid w:val="00BC6E8A"/>
    <w:rsid w:val="00BC6E9A"/>
    <w:rsid w:val="00BC6EC7"/>
    <w:rsid w:val="00BC6F04"/>
    <w:rsid w:val="00BC6F6A"/>
    <w:rsid w:val="00BC6FAB"/>
    <w:rsid w:val="00BC6FC2"/>
    <w:rsid w:val="00BC6FF9"/>
    <w:rsid w:val="00BC7005"/>
    <w:rsid w:val="00BC7019"/>
    <w:rsid w:val="00BC7053"/>
    <w:rsid w:val="00BC7079"/>
    <w:rsid w:val="00BC709C"/>
    <w:rsid w:val="00BC70B1"/>
    <w:rsid w:val="00BC70D8"/>
    <w:rsid w:val="00BC70EB"/>
    <w:rsid w:val="00BC70F0"/>
    <w:rsid w:val="00BC70F8"/>
    <w:rsid w:val="00BC7107"/>
    <w:rsid w:val="00BC7162"/>
    <w:rsid w:val="00BC7178"/>
    <w:rsid w:val="00BC7193"/>
    <w:rsid w:val="00BC71C9"/>
    <w:rsid w:val="00BC71D6"/>
    <w:rsid w:val="00BC721D"/>
    <w:rsid w:val="00BC7228"/>
    <w:rsid w:val="00BC722E"/>
    <w:rsid w:val="00BC724A"/>
    <w:rsid w:val="00BC724B"/>
    <w:rsid w:val="00BC7252"/>
    <w:rsid w:val="00BC72E9"/>
    <w:rsid w:val="00BC72FD"/>
    <w:rsid w:val="00BC7449"/>
    <w:rsid w:val="00BC7453"/>
    <w:rsid w:val="00BC745B"/>
    <w:rsid w:val="00BC7480"/>
    <w:rsid w:val="00BC7495"/>
    <w:rsid w:val="00BC74AA"/>
    <w:rsid w:val="00BC74BA"/>
    <w:rsid w:val="00BC74C7"/>
    <w:rsid w:val="00BC74E5"/>
    <w:rsid w:val="00BC7515"/>
    <w:rsid w:val="00BC7556"/>
    <w:rsid w:val="00BC7567"/>
    <w:rsid w:val="00BC75D1"/>
    <w:rsid w:val="00BC7601"/>
    <w:rsid w:val="00BC764B"/>
    <w:rsid w:val="00BC7669"/>
    <w:rsid w:val="00BC767E"/>
    <w:rsid w:val="00BC7684"/>
    <w:rsid w:val="00BC7690"/>
    <w:rsid w:val="00BC7736"/>
    <w:rsid w:val="00BC7757"/>
    <w:rsid w:val="00BC775D"/>
    <w:rsid w:val="00BC7781"/>
    <w:rsid w:val="00BC77A4"/>
    <w:rsid w:val="00BC77F3"/>
    <w:rsid w:val="00BC7868"/>
    <w:rsid w:val="00BC787B"/>
    <w:rsid w:val="00BC78C6"/>
    <w:rsid w:val="00BC7947"/>
    <w:rsid w:val="00BC7950"/>
    <w:rsid w:val="00BC7955"/>
    <w:rsid w:val="00BC795B"/>
    <w:rsid w:val="00BC7960"/>
    <w:rsid w:val="00BC796F"/>
    <w:rsid w:val="00BC7986"/>
    <w:rsid w:val="00BC7989"/>
    <w:rsid w:val="00BC7991"/>
    <w:rsid w:val="00BC79AB"/>
    <w:rsid w:val="00BC79AD"/>
    <w:rsid w:val="00BC79B0"/>
    <w:rsid w:val="00BC79C9"/>
    <w:rsid w:val="00BC79D3"/>
    <w:rsid w:val="00BC79D6"/>
    <w:rsid w:val="00BC79DD"/>
    <w:rsid w:val="00BC79DE"/>
    <w:rsid w:val="00BC79E2"/>
    <w:rsid w:val="00BC79F9"/>
    <w:rsid w:val="00BC7A2A"/>
    <w:rsid w:val="00BC7A48"/>
    <w:rsid w:val="00BC7A5C"/>
    <w:rsid w:val="00BC7A79"/>
    <w:rsid w:val="00BC7AA4"/>
    <w:rsid w:val="00BC7AC4"/>
    <w:rsid w:val="00BC7AD5"/>
    <w:rsid w:val="00BC7AF4"/>
    <w:rsid w:val="00BC7B24"/>
    <w:rsid w:val="00BC7B40"/>
    <w:rsid w:val="00BC7B49"/>
    <w:rsid w:val="00BC7B5F"/>
    <w:rsid w:val="00BC7B71"/>
    <w:rsid w:val="00BC7B88"/>
    <w:rsid w:val="00BC7BB0"/>
    <w:rsid w:val="00BC7BC9"/>
    <w:rsid w:val="00BC7BCC"/>
    <w:rsid w:val="00BC7BD9"/>
    <w:rsid w:val="00BC7BDB"/>
    <w:rsid w:val="00BC7BE7"/>
    <w:rsid w:val="00BC7C02"/>
    <w:rsid w:val="00BC7C05"/>
    <w:rsid w:val="00BC7C0D"/>
    <w:rsid w:val="00BC7C25"/>
    <w:rsid w:val="00BC7C29"/>
    <w:rsid w:val="00BC7C59"/>
    <w:rsid w:val="00BC7D05"/>
    <w:rsid w:val="00BC7D82"/>
    <w:rsid w:val="00BC7E0F"/>
    <w:rsid w:val="00BC7E13"/>
    <w:rsid w:val="00BC7E2C"/>
    <w:rsid w:val="00BC7E4F"/>
    <w:rsid w:val="00BC7E8C"/>
    <w:rsid w:val="00BC7EA7"/>
    <w:rsid w:val="00BC7EC0"/>
    <w:rsid w:val="00BC7EEC"/>
    <w:rsid w:val="00BC7F3E"/>
    <w:rsid w:val="00BC7F41"/>
    <w:rsid w:val="00BC7F62"/>
    <w:rsid w:val="00BC7F6F"/>
    <w:rsid w:val="00BC7FB2"/>
    <w:rsid w:val="00BC7FCE"/>
    <w:rsid w:val="00BC7FE5"/>
    <w:rsid w:val="00BC7FEC"/>
    <w:rsid w:val="00BD0017"/>
    <w:rsid w:val="00BD001C"/>
    <w:rsid w:val="00BD002C"/>
    <w:rsid w:val="00BD0082"/>
    <w:rsid w:val="00BD008F"/>
    <w:rsid w:val="00BD0098"/>
    <w:rsid w:val="00BD00C8"/>
    <w:rsid w:val="00BD00E3"/>
    <w:rsid w:val="00BD010E"/>
    <w:rsid w:val="00BD0128"/>
    <w:rsid w:val="00BD012F"/>
    <w:rsid w:val="00BD013B"/>
    <w:rsid w:val="00BD0168"/>
    <w:rsid w:val="00BD0178"/>
    <w:rsid w:val="00BD0195"/>
    <w:rsid w:val="00BD01BC"/>
    <w:rsid w:val="00BD01BE"/>
    <w:rsid w:val="00BD01E7"/>
    <w:rsid w:val="00BD0202"/>
    <w:rsid w:val="00BD0227"/>
    <w:rsid w:val="00BD026F"/>
    <w:rsid w:val="00BD0294"/>
    <w:rsid w:val="00BD0298"/>
    <w:rsid w:val="00BD02E9"/>
    <w:rsid w:val="00BD02FC"/>
    <w:rsid w:val="00BD030E"/>
    <w:rsid w:val="00BD033A"/>
    <w:rsid w:val="00BD03A8"/>
    <w:rsid w:val="00BD03F4"/>
    <w:rsid w:val="00BD0434"/>
    <w:rsid w:val="00BD0470"/>
    <w:rsid w:val="00BD0485"/>
    <w:rsid w:val="00BD0547"/>
    <w:rsid w:val="00BD0563"/>
    <w:rsid w:val="00BD05B3"/>
    <w:rsid w:val="00BD05F5"/>
    <w:rsid w:val="00BD060D"/>
    <w:rsid w:val="00BD0610"/>
    <w:rsid w:val="00BD0635"/>
    <w:rsid w:val="00BD0669"/>
    <w:rsid w:val="00BD0677"/>
    <w:rsid w:val="00BD06DB"/>
    <w:rsid w:val="00BD0768"/>
    <w:rsid w:val="00BD078A"/>
    <w:rsid w:val="00BD07A2"/>
    <w:rsid w:val="00BD07A3"/>
    <w:rsid w:val="00BD07DB"/>
    <w:rsid w:val="00BD08A9"/>
    <w:rsid w:val="00BD08BA"/>
    <w:rsid w:val="00BD08BB"/>
    <w:rsid w:val="00BD08FD"/>
    <w:rsid w:val="00BD0922"/>
    <w:rsid w:val="00BD093B"/>
    <w:rsid w:val="00BD0946"/>
    <w:rsid w:val="00BD0958"/>
    <w:rsid w:val="00BD096B"/>
    <w:rsid w:val="00BD0A23"/>
    <w:rsid w:val="00BD0A2D"/>
    <w:rsid w:val="00BD0A5D"/>
    <w:rsid w:val="00BD0A81"/>
    <w:rsid w:val="00BD0AA9"/>
    <w:rsid w:val="00BD0AE0"/>
    <w:rsid w:val="00BD0B00"/>
    <w:rsid w:val="00BD0B6B"/>
    <w:rsid w:val="00BD0B86"/>
    <w:rsid w:val="00BD0B94"/>
    <w:rsid w:val="00BD0B9D"/>
    <w:rsid w:val="00BD0BD0"/>
    <w:rsid w:val="00BD0BD7"/>
    <w:rsid w:val="00BD0C05"/>
    <w:rsid w:val="00BD0C18"/>
    <w:rsid w:val="00BD0C45"/>
    <w:rsid w:val="00BD0C65"/>
    <w:rsid w:val="00BD0CED"/>
    <w:rsid w:val="00BD0CEF"/>
    <w:rsid w:val="00BD0CFF"/>
    <w:rsid w:val="00BD0D0F"/>
    <w:rsid w:val="00BD0D29"/>
    <w:rsid w:val="00BD0D50"/>
    <w:rsid w:val="00BD0D69"/>
    <w:rsid w:val="00BD0D6D"/>
    <w:rsid w:val="00BD0DC4"/>
    <w:rsid w:val="00BD0DCA"/>
    <w:rsid w:val="00BD0E12"/>
    <w:rsid w:val="00BD0E21"/>
    <w:rsid w:val="00BD0E47"/>
    <w:rsid w:val="00BD0E9E"/>
    <w:rsid w:val="00BD0EBF"/>
    <w:rsid w:val="00BD0EE5"/>
    <w:rsid w:val="00BD0F1D"/>
    <w:rsid w:val="00BD0FA7"/>
    <w:rsid w:val="00BD0FAD"/>
    <w:rsid w:val="00BD0FCF"/>
    <w:rsid w:val="00BD0FEB"/>
    <w:rsid w:val="00BD1003"/>
    <w:rsid w:val="00BD1019"/>
    <w:rsid w:val="00BD101F"/>
    <w:rsid w:val="00BD1041"/>
    <w:rsid w:val="00BD1042"/>
    <w:rsid w:val="00BD108B"/>
    <w:rsid w:val="00BD10AC"/>
    <w:rsid w:val="00BD10CE"/>
    <w:rsid w:val="00BD1153"/>
    <w:rsid w:val="00BD115B"/>
    <w:rsid w:val="00BD11B8"/>
    <w:rsid w:val="00BD11D0"/>
    <w:rsid w:val="00BD11D5"/>
    <w:rsid w:val="00BD11E8"/>
    <w:rsid w:val="00BD11FB"/>
    <w:rsid w:val="00BD1259"/>
    <w:rsid w:val="00BD1261"/>
    <w:rsid w:val="00BD126B"/>
    <w:rsid w:val="00BD127B"/>
    <w:rsid w:val="00BD127D"/>
    <w:rsid w:val="00BD1289"/>
    <w:rsid w:val="00BD12A6"/>
    <w:rsid w:val="00BD12CB"/>
    <w:rsid w:val="00BD12D1"/>
    <w:rsid w:val="00BD12D4"/>
    <w:rsid w:val="00BD1301"/>
    <w:rsid w:val="00BD1305"/>
    <w:rsid w:val="00BD130C"/>
    <w:rsid w:val="00BD132E"/>
    <w:rsid w:val="00BD1339"/>
    <w:rsid w:val="00BD13BC"/>
    <w:rsid w:val="00BD13CB"/>
    <w:rsid w:val="00BD1418"/>
    <w:rsid w:val="00BD1458"/>
    <w:rsid w:val="00BD1459"/>
    <w:rsid w:val="00BD146E"/>
    <w:rsid w:val="00BD147C"/>
    <w:rsid w:val="00BD148C"/>
    <w:rsid w:val="00BD14A2"/>
    <w:rsid w:val="00BD14D0"/>
    <w:rsid w:val="00BD1525"/>
    <w:rsid w:val="00BD159E"/>
    <w:rsid w:val="00BD1621"/>
    <w:rsid w:val="00BD1631"/>
    <w:rsid w:val="00BD1649"/>
    <w:rsid w:val="00BD168F"/>
    <w:rsid w:val="00BD16BD"/>
    <w:rsid w:val="00BD17B6"/>
    <w:rsid w:val="00BD17B7"/>
    <w:rsid w:val="00BD1827"/>
    <w:rsid w:val="00BD1870"/>
    <w:rsid w:val="00BD1884"/>
    <w:rsid w:val="00BD189F"/>
    <w:rsid w:val="00BD18E4"/>
    <w:rsid w:val="00BD1923"/>
    <w:rsid w:val="00BD1945"/>
    <w:rsid w:val="00BD1959"/>
    <w:rsid w:val="00BD195B"/>
    <w:rsid w:val="00BD19C2"/>
    <w:rsid w:val="00BD19DA"/>
    <w:rsid w:val="00BD19F0"/>
    <w:rsid w:val="00BD1A0F"/>
    <w:rsid w:val="00BD1A15"/>
    <w:rsid w:val="00BD1A54"/>
    <w:rsid w:val="00BD1A6D"/>
    <w:rsid w:val="00BD1AAD"/>
    <w:rsid w:val="00BD1AB0"/>
    <w:rsid w:val="00BD1AF1"/>
    <w:rsid w:val="00BD1AF5"/>
    <w:rsid w:val="00BD1B27"/>
    <w:rsid w:val="00BD1B2E"/>
    <w:rsid w:val="00BD1B2F"/>
    <w:rsid w:val="00BD1B3D"/>
    <w:rsid w:val="00BD1B43"/>
    <w:rsid w:val="00BD1B60"/>
    <w:rsid w:val="00BD1B67"/>
    <w:rsid w:val="00BD1B96"/>
    <w:rsid w:val="00BD1B9A"/>
    <w:rsid w:val="00BD1BB8"/>
    <w:rsid w:val="00BD1BC6"/>
    <w:rsid w:val="00BD1BE0"/>
    <w:rsid w:val="00BD1BE7"/>
    <w:rsid w:val="00BD1C38"/>
    <w:rsid w:val="00BD1C3D"/>
    <w:rsid w:val="00BD1C42"/>
    <w:rsid w:val="00BD1C47"/>
    <w:rsid w:val="00BD1C52"/>
    <w:rsid w:val="00BD1C68"/>
    <w:rsid w:val="00BD1CA7"/>
    <w:rsid w:val="00BD1CB3"/>
    <w:rsid w:val="00BD1CD7"/>
    <w:rsid w:val="00BD1D17"/>
    <w:rsid w:val="00BD1DAC"/>
    <w:rsid w:val="00BD1E48"/>
    <w:rsid w:val="00BD1E4D"/>
    <w:rsid w:val="00BD1E55"/>
    <w:rsid w:val="00BD1E61"/>
    <w:rsid w:val="00BD1E6D"/>
    <w:rsid w:val="00BD1E8D"/>
    <w:rsid w:val="00BD1E90"/>
    <w:rsid w:val="00BD1EA1"/>
    <w:rsid w:val="00BD1EF0"/>
    <w:rsid w:val="00BD1EF2"/>
    <w:rsid w:val="00BD1F6B"/>
    <w:rsid w:val="00BD1F9B"/>
    <w:rsid w:val="00BD1FB5"/>
    <w:rsid w:val="00BD1FD2"/>
    <w:rsid w:val="00BD2037"/>
    <w:rsid w:val="00BD205A"/>
    <w:rsid w:val="00BD20A1"/>
    <w:rsid w:val="00BD20B4"/>
    <w:rsid w:val="00BD20E0"/>
    <w:rsid w:val="00BD2100"/>
    <w:rsid w:val="00BD2129"/>
    <w:rsid w:val="00BD2160"/>
    <w:rsid w:val="00BD21AE"/>
    <w:rsid w:val="00BD21C1"/>
    <w:rsid w:val="00BD2208"/>
    <w:rsid w:val="00BD220E"/>
    <w:rsid w:val="00BD225D"/>
    <w:rsid w:val="00BD2285"/>
    <w:rsid w:val="00BD22CB"/>
    <w:rsid w:val="00BD22CE"/>
    <w:rsid w:val="00BD22E0"/>
    <w:rsid w:val="00BD2303"/>
    <w:rsid w:val="00BD2326"/>
    <w:rsid w:val="00BD232F"/>
    <w:rsid w:val="00BD2369"/>
    <w:rsid w:val="00BD2379"/>
    <w:rsid w:val="00BD23A8"/>
    <w:rsid w:val="00BD23E5"/>
    <w:rsid w:val="00BD23FD"/>
    <w:rsid w:val="00BD241F"/>
    <w:rsid w:val="00BD2453"/>
    <w:rsid w:val="00BD245C"/>
    <w:rsid w:val="00BD24B6"/>
    <w:rsid w:val="00BD24BD"/>
    <w:rsid w:val="00BD24D5"/>
    <w:rsid w:val="00BD251F"/>
    <w:rsid w:val="00BD2523"/>
    <w:rsid w:val="00BD2591"/>
    <w:rsid w:val="00BD25E3"/>
    <w:rsid w:val="00BD2619"/>
    <w:rsid w:val="00BD261B"/>
    <w:rsid w:val="00BD264A"/>
    <w:rsid w:val="00BD264F"/>
    <w:rsid w:val="00BD2666"/>
    <w:rsid w:val="00BD2708"/>
    <w:rsid w:val="00BD271A"/>
    <w:rsid w:val="00BD278B"/>
    <w:rsid w:val="00BD27C3"/>
    <w:rsid w:val="00BD27E8"/>
    <w:rsid w:val="00BD2821"/>
    <w:rsid w:val="00BD285E"/>
    <w:rsid w:val="00BD28A4"/>
    <w:rsid w:val="00BD28BB"/>
    <w:rsid w:val="00BD28BC"/>
    <w:rsid w:val="00BD2928"/>
    <w:rsid w:val="00BD2991"/>
    <w:rsid w:val="00BD2999"/>
    <w:rsid w:val="00BD299E"/>
    <w:rsid w:val="00BD29F1"/>
    <w:rsid w:val="00BD29FB"/>
    <w:rsid w:val="00BD2A0E"/>
    <w:rsid w:val="00BD2A20"/>
    <w:rsid w:val="00BD2A46"/>
    <w:rsid w:val="00BD2A6F"/>
    <w:rsid w:val="00BD2AB1"/>
    <w:rsid w:val="00BD2AB6"/>
    <w:rsid w:val="00BD2AEB"/>
    <w:rsid w:val="00BD2B52"/>
    <w:rsid w:val="00BD2B6C"/>
    <w:rsid w:val="00BD2B8A"/>
    <w:rsid w:val="00BD2B99"/>
    <w:rsid w:val="00BD2BA0"/>
    <w:rsid w:val="00BD2BA7"/>
    <w:rsid w:val="00BD2BC6"/>
    <w:rsid w:val="00BD2BC7"/>
    <w:rsid w:val="00BD2BDE"/>
    <w:rsid w:val="00BD2C03"/>
    <w:rsid w:val="00BD2C33"/>
    <w:rsid w:val="00BD2C4F"/>
    <w:rsid w:val="00BD2C80"/>
    <w:rsid w:val="00BD2CC3"/>
    <w:rsid w:val="00BD2CCC"/>
    <w:rsid w:val="00BD2CD8"/>
    <w:rsid w:val="00BD2CDF"/>
    <w:rsid w:val="00BD2D88"/>
    <w:rsid w:val="00BD2D8A"/>
    <w:rsid w:val="00BD2D8F"/>
    <w:rsid w:val="00BD2DEF"/>
    <w:rsid w:val="00BD2E0B"/>
    <w:rsid w:val="00BD2E0F"/>
    <w:rsid w:val="00BD2E7A"/>
    <w:rsid w:val="00BD2E7F"/>
    <w:rsid w:val="00BD2E86"/>
    <w:rsid w:val="00BD2EA2"/>
    <w:rsid w:val="00BD2EA3"/>
    <w:rsid w:val="00BD2EA5"/>
    <w:rsid w:val="00BD2EBC"/>
    <w:rsid w:val="00BD2EC8"/>
    <w:rsid w:val="00BD2EE3"/>
    <w:rsid w:val="00BD2F00"/>
    <w:rsid w:val="00BD2F18"/>
    <w:rsid w:val="00BD2F30"/>
    <w:rsid w:val="00BD2F78"/>
    <w:rsid w:val="00BD2FB2"/>
    <w:rsid w:val="00BD2FD5"/>
    <w:rsid w:val="00BD2FE4"/>
    <w:rsid w:val="00BD303D"/>
    <w:rsid w:val="00BD3049"/>
    <w:rsid w:val="00BD304A"/>
    <w:rsid w:val="00BD3093"/>
    <w:rsid w:val="00BD30BC"/>
    <w:rsid w:val="00BD30D5"/>
    <w:rsid w:val="00BD30DB"/>
    <w:rsid w:val="00BD30EB"/>
    <w:rsid w:val="00BD30F5"/>
    <w:rsid w:val="00BD3147"/>
    <w:rsid w:val="00BD315B"/>
    <w:rsid w:val="00BD3176"/>
    <w:rsid w:val="00BD31AA"/>
    <w:rsid w:val="00BD31AB"/>
    <w:rsid w:val="00BD3230"/>
    <w:rsid w:val="00BD3238"/>
    <w:rsid w:val="00BD3290"/>
    <w:rsid w:val="00BD32CF"/>
    <w:rsid w:val="00BD32E5"/>
    <w:rsid w:val="00BD32ED"/>
    <w:rsid w:val="00BD330C"/>
    <w:rsid w:val="00BD3342"/>
    <w:rsid w:val="00BD336B"/>
    <w:rsid w:val="00BD3396"/>
    <w:rsid w:val="00BD339C"/>
    <w:rsid w:val="00BD33BC"/>
    <w:rsid w:val="00BD33EE"/>
    <w:rsid w:val="00BD344F"/>
    <w:rsid w:val="00BD3482"/>
    <w:rsid w:val="00BD3491"/>
    <w:rsid w:val="00BD34AE"/>
    <w:rsid w:val="00BD34D6"/>
    <w:rsid w:val="00BD3500"/>
    <w:rsid w:val="00BD351F"/>
    <w:rsid w:val="00BD355F"/>
    <w:rsid w:val="00BD3595"/>
    <w:rsid w:val="00BD35DB"/>
    <w:rsid w:val="00BD35EE"/>
    <w:rsid w:val="00BD3603"/>
    <w:rsid w:val="00BD364B"/>
    <w:rsid w:val="00BD3696"/>
    <w:rsid w:val="00BD36D0"/>
    <w:rsid w:val="00BD36ED"/>
    <w:rsid w:val="00BD36F2"/>
    <w:rsid w:val="00BD371F"/>
    <w:rsid w:val="00BD372D"/>
    <w:rsid w:val="00BD3731"/>
    <w:rsid w:val="00BD374C"/>
    <w:rsid w:val="00BD3755"/>
    <w:rsid w:val="00BD376C"/>
    <w:rsid w:val="00BD3781"/>
    <w:rsid w:val="00BD378F"/>
    <w:rsid w:val="00BD380F"/>
    <w:rsid w:val="00BD385B"/>
    <w:rsid w:val="00BD3878"/>
    <w:rsid w:val="00BD38A0"/>
    <w:rsid w:val="00BD38A5"/>
    <w:rsid w:val="00BD38B5"/>
    <w:rsid w:val="00BD392C"/>
    <w:rsid w:val="00BD397E"/>
    <w:rsid w:val="00BD39B6"/>
    <w:rsid w:val="00BD39D4"/>
    <w:rsid w:val="00BD3A06"/>
    <w:rsid w:val="00BD3A51"/>
    <w:rsid w:val="00BD3B29"/>
    <w:rsid w:val="00BD3B46"/>
    <w:rsid w:val="00BD3BC6"/>
    <w:rsid w:val="00BD3C04"/>
    <w:rsid w:val="00BD3C2E"/>
    <w:rsid w:val="00BD3C3A"/>
    <w:rsid w:val="00BD3CB3"/>
    <w:rsid w:val="00BD3CCA"/>
    <w:rsid w:val="00BD3CCC"/>
    <w:rsid w:val="00BD3D56"/>
    <w:rsid w:val="00BD3D59"/>
    <w:rsid w:val="00BD3D65"/>
    <w:rsid w:val="00BD3D71"/>
    <w:rsid w:val="00BD3D74"/>
    <w:rsid w:val="00BD3D87"/>
    <w:rsid w:val="00BD3DBE"/>
    <w:rsid w:val="00BD3E10"/>
    <w:rsid w:val="00BD3E32"/>
    <w:rsid w:val="00BD3E83"/>
    <w:rsid w:val="00BD3E9A"/>
    <w:rsid w:val="00BD3EBF"/>
    <w:rsid w:val="00BD3ECC"/>
    <w:rsid w:val="00BD3F29"/>
    <w:rsid w:val="00BD3F50"/>
    <w:rsid w:val="00BD3F5B"/>
    <w:rsid w:val="00BD3F63"/>
    <w:rsid w:val="00BD3F68"/>
    <w:rsid w:val="00BD3F75"/>
    <w:rsid w:val="00BD3FAE"/>
    <w:rsid w:val="00BD3FBA"/>
    <w:rsid w:val="00BD3FD8"/>
    <w:rsid w:val="00BD3FEF"/>
    <w:rsid w:val="00BD4017"/>
    <w:rsid w:val="00BD4021"/>
    <w:rsid w:val="00BD4048"/>
    <w:rsid w:val="00BD4072"/>
    <w:rsid w:val="00BD40CB"/>
    <w:rsid w:val="00BD40D3"/>
    <w:rsid w:val="00BD40EC"/>
    <w:rsid w:val="00BD40F0"/>
    <w:rsid w:val="00BD4109"/>
    <w:rsid w:val="00BD411C"/>
    <w:rsid w:val="00BD412F"/>
    <w:rsid w:val="00BD4130"/>
    <w:rsid w:val="00BD4162"/>
    <w:rsid w:val="00BD419E"/>
    <w:rsid w:val="00BD41A5"/>
    <w:rsid w:val="00BD41B1"/>
    <w:rsid w:val="00BD41D8"/>
    <w:rsid w:val="00BD4216"/>
    <w:rsid w:val="00BD4246"/>
    <w:rsid w:val="00BD4253"/>
    <w:rsid w:val="00BD4288"/>
    <w:rsid w:val="00BD42A8"/>
    <w:rsid w:val="00BD4325"/>
    <w:rsid w:val="00BD4362"/>
    <w:rsid w:val="00BD4392"/>
    <w:rsid w:val="00BD43A6"/>
    <w:rsid w:val="00BD43B4"/>
    <w:rsid w:val="00BD43B6"/>
    <w:rsid w:val="00BD43C9"/>
    <w:rsid w:val="00BD43CA"/>
    <w:rsid w:val="00BD43E3"/>
    <w:rsid w:val="00BD43E7"/>
    <w:rsid w:val="00BD43F9"/>
    <w:rsid w:val="00BD4400"/>
    <w:rsid w:val="00BD440B"/>
    <w:rsid w:val="00BD442B"/>
    <w:rsid w:val="00BD4479"/>
    <w:rsid w:val="00BD448C"/>
    <w:rsid w:val="00BD4491"/>
    <w:rsid w:val="00BD44C6"/>
    <w:rsid w:val="00BD451C"/>
    <w:rsid w:val="00BD4520"/>
    <w:rsid w:val="00BD45A0"/>
    <w:rsid w:val="00BD45CA"/>
    <w:rsid w:val="00BD45DB"/>
    <w:rsid w:val="00BD4616"/>
    <w:rsid w:val="00BD466C"/>
    <w:rsid w:val="00BD466F"/>
    <w:rsid w:val="00BD4695"/>
    <w:rsid w:val="00BD469A"/>
    <w:rsid w:val="00BD46D4"/>
    <w:rsid w:val="00BD46DE"/>
    <w:rsid w:val="00BD46DF"/>
    <w:rsid w:val="00BD46F0"/>
    <w:rsid w:val="00BD4701"/>
    <w:rsid w:val="00BD472D"/>
    <w:rsid w:val="00BD4804"/>
    <w:rsid w:val="00BD4847"/>
    <w:rsid w:val="00BD484B"/>
    <w:rsid w:val="00BD4869"/>
    <w:rsid w:val="00BD489D"/>
    <w:rsid w:val="00BD48AC"/>
    <w:rsid w:val="00BD48EA"/>
    <w:rsid w:val="00BD490B"/>
    <w:rsid w:val="00BD490D"/>
    <w:rsid w:val="00BD4931"/>
    <w:rsid w:val="00BD4946"/>
    <w:rsid w:val="00BD4964"/>
    <w:rsid w:val="00BD4969"/>
    <w:rsid w:val="00BD496B"/>
    <w:rsid w:val="00BD4975"/>
    <w:rsid w:val="00BD4977"/>
    <w:rsid w:val="00BD498A"/>
    <w:rsid w:val="00BD4998"/>
    <w:rsid w:val="00BD49AE"/>
    <w:rsid w:val="00BD49B7"/>
    <w:rsid w:val="00BD49E1"/>
    <w:rsid w:val="00BD4A40"/>
    <w:rsid w:val="00BD4A5D"/>
    <w:rsid w:val="00BD4A64"/>
    <w:rsid w:val="00BD4AB3"/>
    <w:rsid w:val="00BD4AD9"/>
    <w:rsid w:val="00BD4ADD"/>
    <w:rsid w:val="00BD4B2D"/>
    <w:rsid w:val="00BD4B51"/>
    <w:rsid w:val="00BD4B61"/>
    <w:rsid w:val="00BD4BB6"/>
    <w:rsid w:val="00BD4BD1"/>
    <w:rsid w:val="00BD4C03"/>
    <w:rsid w:val="00BD4C1B"/>
    <w:rsid w:val="00BD4C27"/>
    <w:rsid w:val="00BD4C87"/>
    <w:rsid w:val="00BD4C8D"/>
    <w:rsid w:val="00BD4CA4"/>
    <w:rsid w:val="00BD4CAE"/>
    <w:rsid w:val="00BD4CC8"/>
    <w:rsid w:val="00BD4CD5"/>
    <w:rsid w:val="00BD4D4D"/>
    <w:rsid w:val="00BD4D8B"/>
    <w:rsid w:val="00BD4DE9"/>
    <w:rsid w:val="00BD4E02"/>
    <w:rsid w:val="00BD4E30"/>
    <w:rsid w:val="00BD4E51"/>
    <w:rsid w:val="00BD4E54"/>
    <w:rsid w:val="00BD4E55"/>
    <w:rsid w:val="00BD4E9C"/>
    <w:rsid w:val="00BD4EE5"/>
    <w:rsid w:val="00BD4EFC"/>
    <w:rsid w:val="00BD4F1F"/>
    <w:rsid w:val="00BD4F64"/>
    <w:rsid w:val="00BD4F9C"/>
    <w:rsid w:val="00BD4FB7"/>
    <w:rsid w:val="00BD500E"/>
    <w:rsid w:val="00BD503F"/>
    <w:rsid w:val="00BD5063"/>
    <w:rsid w:val="00BD50A4"/>
    <w:rsid w:val="00BD5126"/>
    <w:rsid w:val="00BD5133"/>
    <w:rsid w:val="00BD517E"/>
    <w:rsid w:val="00BD5186"/>
    <w:rsid w:val="00BD519F"/>
    <w:rsid w:val="00BD51BA"/>
    <w:rsid w:val="00BD51F6"/>
    <w:rsid w:val="00BD5253"/>
    <w:rsid w:val="00BD5257"/>
    <w:rsid w:val="00BD5296"/>
    <w:rsid w:val="00BD52D2"/>
    <w:rsid w:val="00BD52EE"/>
    <w:rsid w:val="00BD52F8"/>
    <w:rsid w:val="00BD5334"/>
    <w:rsid w:val="00BD5344"/>
    <w:rsid w:val="00BD5346"/>
    <w:rsid w:val="00BD5353"/>
    <w:rsid w:val="00BD53A1"/>
    <w:rsid w:val="00BD545C"/>
    <w:rsid w:val="00BD5463"/>
    <w:rsid w:val="00BD54B7"/>
    <w:rsid w:val="00BD54CD"/>
    <w:rsid w:val="00BD54D8"/>
    <w:rsid w:val="00BD5512"/>
    <w:rsid w:val="00BD553A"/>
    <w:rsid w:val="00BD5586"/>
    <w:rsid w:val="00BD55BC"/>
    <w:rsid w:val="00BD55F5"/>
    <w:rsid w:val="00BD55FD"/>
    <w:rsid w:val="00BD5609"/>
    <w:rsid w:val="00BD560C"/>
    <w:rsid w:val="00BD56BC"/>
    <w:rsid w:val="00BD56BD"/>
    <w:rsid w:val="00BD56F7"/>
    <w:rsid w:val="00BD570F"/>
    <w:rsid w:val="00BD5744"/>
    <w:rsid w:val="00BD575C"/>
    <w:rsid w:val="00BD576A"/>
    <w:rsid w:val="00BD576E"/>
    <w:rsid w:val="00BD5798"/>
    <w:rsid w:val="00BD57E4"/>
    <w:rsid w:val="00BD583B"/>
    <w:rsid w:val="00BD583D"/>
    <w:rsid w:val="00BD584F"/>
    <w:rsid w:val="00BD588B"/>
    <w:rsid w:val="00BD5897"/>
    <w:rsid w:val="00BD5899"/>
    <w:rsid w:val="00BD589E"/>
    <w:rsid w:val="00BD58CE"/>
    <w:rsid w:val="00BD58EA"/>
    <w:rsid w:val="00BD58F3"/>
    <w:rsid w:val="00BD5918"/>
    <w:rsid w:val="00BD5928"/>
    <w:rsid w:val="00BD593E"/>
    <w:rsid w:val="00BD5953"/>
    <w:rsid w:val="00BD5970"/>
    <w:rsid w:val="00BD59BE"/>
    <w:rsid w:val="00BD59BF"/>
    <w:rsid w:val="00BD5A29"/>
    <w:rsid w:val="00BD5AA0"/>
    <w:rsid w:val="00BD5AF5"/>
    <w:rsid w:val="00BD5AFA"/>
    <w:rsid w:val="00BD5B33"/>
    <w:rsid w:val="00BD5B39"/>
    <w:rsid w:val="00BD5B53"/>
    <w:rsid w:val="00BD5B59"/>
    <w:rsid w:val="00BD5B8B"/>
    <w:rsid w:val="00BD5BB7"/>
    <w:rsid w:val="00BD5BDC"/>
    <w:rsid w:val="00BD5BFF"/>
    <w:rsid w:val="00BD5C53"/>
    <w:rsid w:val="00BD5C57"/>
    <w:rsid w:val="00BD5C75"/>
    <w:rsid w:val="00BD5C7F"/>
    <w:rsid w:val="00BD5CAC"/>
    <w:rsid w:val="00BD5CBA"/>
    <w:rsid w:val="00BD5CE4"/>
    <w:rsid w:val="00BD5CEF"/>
    <w:rsid w:val="00BD5CFE"/>
    <w:rsid w:val="00BD5D66"/>
    <w:rsid w:val="00BD5D72"/>
    <w:rsid w:val="00BD5D7B"/>
    <w:rsid w:val="00BD5D9C"/>
    <w:rsid w:val="00BD5DA5"/>
    <w:rsid w:val="00BD5DAB"/>
    <w:rsid w:val="00BD5DD9"/>
    <w:rsid w:val="00BD5DEB"/>
    <w:rsid w:val="00BD5E19"/>
    <w:rsid w:val="00BD5E1D"/>
    <w:rsid w:val="00BD5E34"/>
    <w:rsid w:val="00BD5E57"/>
    <w:rsid w:val="00BD5E58"/>
    <w:rsid w:val="00BD5E87"/>
    <w:rsid w:val="00BD5E93"/>
    <w:rsid w:val="00BD5ECA"/>
    <w:rsid w:val="00BD5EE3"/>
    <w:rsid w:val="00BD5F57"/>
    <w:rsid w:val="00BD5F88"/>
    <w:rsid w:val="00BD5F91"/>
    <w:rsid w:val="00BD5F93"/>
    <w:rsid w:val="00BD6004"/>
    <w:rsid w:val="00BD6006"/>
    <w:rsid w:val="00BD6010"/>
    <w:rsid w:val="00BD6029"/>
    <w:rsid w:val="00BD6035"/>
    <w:rsid w:val="00BD6049"/>
    <w:rsid w:val="00BD6065"/>
    <w:rsid w:val="00BD6089"/>
    <w:rsid w:val="00BD60D7"/>
    <w:rsid w:val="00BD6106"/>
    <w:rsid w:val="00BD6141"/>
    <w:rsid w:val="00BD6153"/>
    <w:rsid w:val="00BD6181"/>
    <w:rsid w:val="00BD61C2"/>
    <w:rsid w:val="00BD61C8"/>
    <w:rsid w:val="00BD61EC"/>
    <w:rsid w:val="00BD623D"/>
    <w:rsid w:val="00BD6250"/>
    <w:rsid w:val="00BD6264"/>
    <w:rsid w:val="00BD626C"/>
    <w:rsid w:val="00BD62AB"/>
    <w:rsid w:val="00BD62C0"/>
    <w:rsid w:val="00BD62F6"/>
    <w:rsid w:val="00BD6316"/>
    <w:rsid w:val="00BD6333"/>
    <w:rsid w:val="00BD638D"/>
    <w:rsid w:val="00BD63C1"/>
    <w:rsid w:val="00BD63DD"/>
    <w:rsid w:val="00BD63E6"/>
    <w:rsid w:val="00BD6475"/>
    <w:rsid w:val="00BD6483"/>
    <w:rsid w:val="00BD64FD"/>
    <w:rsid w:val="00BD6540"/>
    <w:rsid w:val="00BD654F"/>
    <w:rsid w:val="00BD6573"/>
    <w:rsid w:val="00BD6576"/>
    <w:rsid w:val="00BD657E"/>
    <w:rsid w:val="00BD65C6"/>
    <w:rsid w:val="00BD662C"/>
    <w:rsid w:val="00BD6676"/>
    <w:rsid w:val="00BD6691"/>
    <w:rsid w:val="00BD669D"/>
    <w:rsid w:val="00BD66A5"/>
    <w:rsid w:val="00BD6701"/>
    <w:rsid w:val="00BD670A"/>
    <w:rsid w:val="00BD671F"/>
    <w:rsid w:val="00BD6736"/>
    <w:rsid w:val="00BD674F"/>
    <w:rsid w:val="00BD675C"/>
    <w:rsid w:val="00BD679C"/>
    <w:rsid w:val="00BD67C8"/>
    <w:rsid w:val="00BD6804"/>
    <w:rsid w:val="00BD6835"/>
    <w:rsid w:val="00BD6864"/>
    <w:rsid w:val="00BD688E"/>
    <w:rsid w:val="00BD6899"/>
    <w:rsid w:val="00BD68A1"/>
    <w:rsid w:val="00BD68EC"/>
    <w:rsid w:val="00BD6933"/>
    <w:rsid w:val="00BD6953"/>
    <w:rsid w:val="00BD69AD"/>
    <w:rsid w:val="00BD69B8"/>
    <w:rsid w:val="00BD6A1A"/>
    <w:rsid w:val="00BD6A45"/>
    <w:rsid w:val="00BD6A97"/>
    <w:rsid w:val="00BD6AC2"/>
    <w:rsid w:val="00BD6AD5"/>
    <w:rsid w:val="00BD6AE1"/>
    <w:rsid w:val="00BD6AE3"/>
    <w:rsid w:val="00BD6B27"/>
    <w:rsid w:val="00BD6B6A"/>
    <w:rsid w:val="00BD6B74"/>
    <w:rsid w:val="00BD6B8A"/>
    <w:rsid w:val="00BD6B8C"/>
    <w:rsid w:val="00BD6B9B"/>
    <w:rsid w:val="00BD6BCB"/>
    <w:rsid w:val="00BD6BCF"/>
    <w:rsid w:val="00BD6BEC"/>
    <w:rsid w:val="00BD6C0A"/>
    <w:rsid w:val="00BD6C62"/>
    <w:rsid w:val="00BD6C73"/>
    <w:rsid w:val="00BD6C8F"/>
    <w:rsid w:val="00BD6CA5"/>
    <w:rsid w:val="00BD6CCB"/>
    <w:rsid w:val="00BD6D00"/>
    <w:rsid w:val="00BD6D16"/>
    <w:rsid w:val="00BD6D19"/>
    <w:rsid w:val="00BD6D6D"/>
    <w:rsid w:val="00BD6DAD"/>
    <w:rsid w:val="00BD6DC4"/>
    <w:rsid w:val="00BD6E23"/>
    <w:rsid w:val="00BD6E56"/>
    <w:rsid w:val="00BD6E71"/>
    <w:rsid w:val="00BD6ED3"/>
    <w:rsid w:val="00BD6EE6"/>
    <w:rsid w:val="00BD6EFD"/>
    <w:rsid w:val="00BD6F1C"/>
    <w:rsid w:val="00BD6F47"/>
    <w:rsid w:val="00BD6F4A"/>
    <w:rsid w:val="00BD6F50"/>
    <w:rsid w:val="00BD6F57"/>
    <w:rsid w:val="00BD6F59"/>
    <w:rsid w:val="00BD6F7E"/>
    <w:rsid w:val="00BD6FB4"/>
    <w:rsid w:val="00BD6FCA"/>
    <w:rsid w:val="00BD6FCB"/>
    <w:rsid w:val="00BD6FE6"/>
    <w:rsid w:val="00BD7097"/>
    <w:rsid w:val="00BD709B"/>
    <w:rsid w:val="00BD70BC"/>
    <w:rsid w:val="00BD7104"/>
    <w:rsid w:val="00BD7124"/>
    <w:rsid w:val="00BD7126"/>
    <w:rsid w:val="00BD7148"/>
    <w:rsid w:val="00BD716A"/>
    <w:rsid w:val="00BD717F"/>
    <w:rsid w:val="00BD71A0"/>
    <w:rsid w:val="00BD71F0"/>
    <w:rsid w:val="00BD7201"/>
    <w:rsid w:val="00BD720E"/>
    <w:rsid w:val="00BD721D"/>
    <w:rsid w:val="00BD7288"/>
    <w:rsid w:val="00BD72B5"/>
    <w:rsid w:val="00BD72E7"/>
    <w:rsid w:val="00BD72E9"/>
    <w:rsid w:val="00BD730F"/>
    <w:rsid w:val="00BD731A"/>
    <w:rsid w:val="00BD7369"/>
    <w:rsid w:val="00BD7371"/>
    <w:rsid w:val="00BD7376"/>
    <w:rsid w:val="00BD738F"/>
    <w:rsid w:val="00BD7398"/>
    <w:rsid w:val="00BD73B7"/>
    <w:rsid w:val="00BD744E"/>
    <w:rsid w:val="00BD7460"/>
    <w:rsid w:val="00BD74EA"/>
    <w:rsid w:val="00BD74F2"/>
    <w:rsid w:val="00BD7526"/>
    <w:rsid w:val="00BD755D"/>
    <w:rsid w:val="00BD7563"/>
    <w:rsid w:val="00BD7572"/>
    <w:rsid w:val="00BD7578"/>
    <w:rsid w:val="00BD757E"/>
    <w:rsid w:val="00BD75A4"/>
    <w:rsid w:val="00BD75C1"/>
    <w:rsid w:val="00BD75CF"/>
    <w:rsid w:val="00BD7615"/>
    <w:rsid w:val="00BD7622"/>
    <w:rsid w:val="00BD7648"/>
    <w:rsid w:val="00BD767E"/>
    <w:rsid w:val="00BD767F"/>
    <w:rsid w:val="00BD76A7"/>
    <w:rsid w:val="00BD76CA"/>
    <w:rsid w:val="00BD76D2"/>
    <w:rsid w:val="00BD7702"/>
    <w:rsid w:val="00BD7710"/>
    <w:rsid w:val="00BD7723"/>
    <w:rsid w:val="00BD774C"/>
    <w:rsid w:val="00BD775F"/>
    <w:rsid w:val="00BD7765"/>
    <w:rsid w:val="00BD778C"/>
    <w:rsid w:val="00BD77B9"/>
    <w:rsid w:val="00BD780D"/>
    <w:rsid w:val="00BD7842"/>
    <w:rsid w:val="00BD7880"/>
    <w:rsid w:val="00BD788A"/>
    <w:rsid w:val="00BD78E7"/>
    <w:rsid w:val="00BD792F"/>
    <w:rsid w:val="00BD7958"/>
    <w:rsid w:val="00BD798B"/>
    <w:rsid w:val="00BD79D8"/>
    <w:rsid w:val="00BD79FA"/>
    <w:rsid w:val="00BD7A22"/>
    <w:rsid w:val="00BD7A56"/>
    <w:rsid w:val="00BD7A6B"/>
    <w:rsid w:val="00BD7A7A"/>
    <w:rsid w:val="00BD7B0F"/>
    <w:rsid w:val="00BD7B1E"/>
    <w:rsid w:val="00BD7BA2"/>
    <w:rsid w:val="00BD7BBA"/>
    <w:rsid w:val="00BD7C18"/>
    <w:rsid w:val="00BD7C2A"/>
    <w:rsid w:val="00BD7C2B"/>
    <w:rsid w:val="00BD7C40"/>
    <w:rsid w:val="00BD7C80"/>
    <w:rsid w:val="00BD7CBB"/>
    <w:rsid w:val="00BD7CBF"/>
    <w:rsid w:val="00BD7CCC"/>
    <w:rsid w:val="00BD7CCF"/>
    <w:rsid w:val="00BD7CD7"/>
    <w:rsid w:val="00BD7CEF"/>
    <w:rsid w:val="00BD7D59"/>
    <w:rsid w:val="00BD7D5D"/>
    <w:rsid w:val="00BD7D72"/>
    <w:rsid w:val="00BD7D74"/>
    <w:rsid w:val="00BD7DA6"/>
    <w:rsid w:val="00BD7DBE"/>
    <w:rsid w:val="00BD7DC0"/>
    <w:rsid w:val="00BD7E13"/>
    <w:rsid w:val="00BD7E33"/>
    <w:rsid w:val="00BD7EB9"/>
    <w:rsid w:val="00BD7EFC"/>
    <w:rsid w:val="00BD7F71"/>
    <w:rsid w:val="00BD7F8C"/>
    <w:rsid w:val="00BD7FAA"/>
    <w:rsid w:val="00BD7FAB"/>
    <w:rsid w:val="00BDAD89"/>
    <w:rsid w:val="00BE0087"/>
    <w:rsid w:val="00BE00C2"/>
    <w:rsid w:val="00BE00F1"/>
    <w:rsid w:val="00BE0139"/>
    <w:rsid w:val="00BE0145"/>
    <w:rsid w:val="00BE0154"/>
    <w:rsid w:val="00BE016B"/>
    <w:rsid w:val="00BE018D"/>
    <w:rsid w:val="00BE01EC"/>
    <w:rsid w:val="00BE01FA"/>
    <w:rsid w:val="00BE020F"/>
    <w:rsid w:val="00BE0232"/>
    <w:rsid w:val="00BE0249"/>
    <w:rsid w:val="00BE0250"/>
    <w:rsid w:val="00BE02A6"/>
    <w:rsid w:val="00BE02BB"/>
    <w:rsid w:val="00BE02C3"/>
    <w:rsid w:val="00BE02C6"/>
    <w:rsid w:val="00BE02E7"/>
    <w:rsid w:val="00BE0325"/>
    <w:rsid w:val="00BE032E"/>
    <w:rsid w:val="00BE03C6"/>
    <w:rsid w:val="00BE03C7"/>
    <w:rsid w:val="00BE03CC"/>
    <w:rsid w:val="00BE042C"/>
    <w:rsid w:val="00BE0439"/>
    <w:rsid w:val="00BE04A6"/>
    <w:rsid w:val="00BE04D1"/>
    <w:rsid w:val="00BE04D6"/>
    <w:rsid w:val="00BE0505"/>
    <w:rsid w:val="00BE0545"/>
    <w:rsid w:val="00BE0560"/>
    <w:rsid w:val="00BE0564"/>
    <w:rsid w:val="00BE0566"/>
    <w:rsid w:val="00BE05EA"/>
    <w:rsid w:val="00BE05F0"/>
    <w:rsid w:val="00BE05FD"/>
    <w:rsid w:val="00BE062F"/>
    <w:rsid w:val="00BE0632"/>
    <w:rsid w:val="00BE0638"/>
    <w:rsid w:val="00BE06E4"/>
    <w:rsid w:val="00BE0737"/>
    <w:rsid w:val="00BE0743"/>
    <w:rsid w:val="00BE0760"/>
    <w:rsid w:val="00BE07BE"/>
    <w:rsid w:val="00BE07DE"/>
    <w:rsid w:val="00BE0828"/>
    <w:rsid w:val="00BE0878"/>
    <w:rsid w:val="00BE088D"/>
    <w:rsid w:val="00BE088F"/>
    <w:rsid w:val="00BE08C1"/>
    <w:rsid w:val="00BE08F0"/>
    <w:rsid w:val="00BE092A"/>
    <w:rsid w:val="00BE0963"/>
    <w:rsid w:val="00BE096B"/>
    <w:rsid w:val="00BE09D0"/>
    <w:rsid w:val="00BE09E8"/>
    <w:rsid w:val="00BE0A10"/>
    <w:rsid w:val="00BE0A15"/>
    <w:rsid w:val="00BE0AA9"/>
    <w:rsid w:val="00BE0ACF"/>
    <w:rsid w:val="00BE0B18"/>
    <w:rsid w:val="00BE0B51"/>
    <w:rsid w:val="00BE0B8F"/>
    <w:rsid w:val="00BE0BB2"/>
    <w:rsid w:val="00BE0BB9"/>
    <w:rsid w:val="00BE0BDF"/>
    <w:rsid w:val="00BE0C34"/>
    <w:rsid w:val="00BE0C62"/>
    <w:rsid w:val="00BE0C6A"/>
    <w:rsid w:val="00BE0C85"/>
    <w:rsid w:val="00BE0C97"/>
    <w:rsid w:val="00BE0CCC"/>
    <w:rsid w:val="00BE0CDA"/>
    <w:rsid w:val="00BE0D36"/>
    <w:rsid w:val="00BE0D7C"/>
    <w:rsid w:val="00BE0DD1"/>
    <w:rsid w:val="00BE0DEA"/>
    <w:rsid w:val="00BE0E00"/>
    <w:rsid w:val="00BE0E32"/>
    <w:rsid w:val="00BE0E96"/>
    <w:rsid w:val="00BE0EAB"/>
    <w:rsid w:val="00BE0F18"/>
    <w:rsid w:val="00BE0F1D"/>
    <w:rsid w:val="00BE0F26"/>
    <w:rsid w:val="00BE0F65"/>
    <w:rsid w:val="00BE0F7E"/>
    <w:rsid w:val="00BE0FA7"/>
    <w:rsid w:val="00BE0FB1"/>
    <w:rsid w:val="00BE0FCD"/>
    <w:rsid w:val="00BE100E"/>
    <w:rsid w:val="00BE1052"/>
    <w:rsid w:val="00BE105B"/>
    <w:rsid w:val="00BE105F"/>
    <w:rsid w:val="00BE10A9"/>
    <w:rsid w:val="00BE10BF"/>
    <w:rsid w:val="00BE10E7"/>
    <w:rsid w:val="00BE10ED"/>
    <w:rsid w:val="00BE1128"/>
    <w:rsid w:val="00BE1135"/>
    <w:rsid w:val="00BE1143"/>
    <w:rsid w:val="00BE116E"/>
    <w:rsid w:val="00BE11BE"/>
    <w:rsid w:val="00BE11E9"/>
    <w:rsid w:val="00BE11EE"/>
    <w:rsid w:val="00BE11F5"/>
    <w:rsid w:val="00BE11F6"/>
    <w:rsid w:val="00BE1220"/>
    <w:rsid w:val="00BE122F"/>
    <w:rsid w:val="00BE1245"/>
    <w:rsid w:val="00BE1259"/>
    <w:rsid w:val="00BE1277"/>
    <w:rsid w:val="00BE128D"/>
    <w:rsid w:val="00BE129B"/>
    <w:rsid w:val="00BE129C"/>
    <w:rsid w:val="00BE12F7"/>
    <w:rsid w:val="00BE1326"/>
    <w:rsid w:val="00BE1327"/>
    <w:rsid w:val="00BE132B"/>
    <w:rsid w:val="00BE132E"/>
    <w:rsid w:val="00BE1330"/>
    <w:rsid w:val="00BE1359"/>
    <w:rsid w:val="00BE1368"/>
    <w:rsid w:val="00BE13CA"/>
    <w:rsid w:val="00BE13D9"/>
    <w:rsid w:val="00BE1471"/>
    <w:rsid w:val="00BE14AD"/>
    <w:rsid w:val="00BE14CD"/>
    <w:rsid w:val="00BE154D"/>
    <w:rsid w:val="00BE1595"/>
    <w:rsid w:val="00BE15A0"/>
    <w:rsid w:val="00BE160D"/>
    <w:rsid w:val="00BE1614"/>
    <w:rsid w:val="00BE165D"/>
    <w:rsid w:val="00BE1679"/>
    <w:rsid w:val="00BE16A3"/>
    <w:rsid w:val="00BE16B5"/>
    <w:rsid w:val="00BE1741"/>
    <w:rsid w:val="00BE1752"/>
    <w:rsid w:val="00BE1789"/>
    <w:rsid w:val="00BE1802"/>
    <w:rsid w:val="00BE180D"/>
    <w:rsid w:val="00BE1811"/>
    <w:rsid w:val="00BE1846"/>
    <w:rsid w:val="00BE189C"/>
    <w:rsid w:val="00BE189D"/>
    <w:rsid w:val="00BE18F6"/>
    <w:rsid w:val="00BE18F9"/>
    <w:rsid w:val="00BE190E"/>
    <w:rsid w:val="00BE19F1"/>
    <w:rsid w:val="00BE1A0A"/>
    <w:rsid w:val="00BE1A0D"/>
    <w:rsid w:val="00BE1A16"/>
    <w:rsid w:val="00BE1A19"/>
    <w:rsid w:val="00BE1A6D"/>
    <w:rsid w:val="00BE1A86"/>
    <w:rsid w:val="00BE1A96"/>
    <w:rsid w:val="00BE1AD2"/>
    <w:rsid w:val="00BE1BA5"/>
    <w:rsid w:val="00BE1BC2"/>
    <w:rsid w:val="00BE1BCF"/>
    <w:rsid w:val="00BE1BE3"/>
    <w:rsid w:val="00BE1BE7"/>
    <w:rsid w:val="00BE1C6A"/>
    <w:rsid w:val="00BE1C7D"/>
    <w:rsid w:val="00BE1CBF"/>
    <w:rsid w:val="00BE1CF5"/>
    <w:rsid w:val="00BE1D01"/>
    <w:rsid w:val="00BE1D15"/>
    <w:rsid w:val="00BE1D16"/>
    <w:rsid w:val="00BE1D6E"/>
    <w:rsid w:val="00BE1D76"/>
    <w:rsid w:val="00BE1D93"/>
    <w:rsid w:val="00BE1DC4"/>
    <w:rsid w:val="00BE1DCD"/>
    <w:rsid w:val="00BE1DED"/>
    <w:rsid w:val="00BE1E63"/>
    <w:rsid w:val="00BE1E68"/>
    <w:rsid w:val="00BE1E8D"/>
    <w:rsid w:val="00BE1EF4"/>
    <w:rsid w:val="00BE1F11"/>
    <w:rsid w:val="00BE1F6D"/>
    <w:rsid w:val="00BE1FB1"/>
    <w:rsid w:val="00BE1FFA"/>
    <w:rsid w:val="00BE2042"/>
    <w:rsid w:val="00BE2054"/>
    <w:rsid w:val="00BE2055"/>
    <w:rsid w:val="00BE2069"/>
    <w:rsid w:val="00BE206F"/>
    <w:rsid w:val="00BE2095"/>
    <w:rsid w:val="00BE20C0"/>
    <w:rsid w:val="00BE20C5"/>
    <w:rsid w:val="00BE20E8"/>
    <w:rsid w:val="00BE20E9"/>
    <w:rsid w:val="00BE2180"/>
    <w:rsid w:val="00BE2189"/>
    <w:rsid w:val="00BE21CE"/>
    <w:rsid w:val="00BE21EB"/>
    <w:rsid w:val="00BE228F"/>
    <w:rsid w:val="00BE229B"/>
    <w:rsid w:val="00BE231B"/>
    <w:rsid w:val="00BE232B"/>
    <w:rsid w:val="00BE233F"/>
    <w:rsid w:val="00BE23D0"/>
    <w:rsid w:val="00BE240B"/>
    <w:rsid w:val="00BE248B"/>
    <w:rsid w:val="00BE24A3"/>
    <w:rsid w:val="00BE24B9"/>
    <w:rsid w:val="00BE24EF"/>
    <w:rsid w:val="00BE2539"/>
    <w:rsid w:val="00BE2542"/>
    <w:rsid w:val="00BE2554"/>
    <w:rsid w:val="00BE259D"/>
    <w:rsid w:val="00BE25A0"/>
    <w:rsid w:val="00BE25B2"/>
    <w:rsid w:val="00BE2601"/>
    <w:rsid w:val="00BE2607"/>
    <w:rsid w:val="00BE260A"/>
    <w:rsid w:val="00BE2611"/>
    <w:rsid w:val="00BE2630"/>
    <w:rsid w:val="00BE267E"/>
    <w:rsid w:val="00BE270B"/>
    <w:rsid w:val="00BE2722"/>
    <w:rsid w:val="00BE275E"/>
    <w:rsid w:val="00BE279F"/>
    <w:rsid w:val="00BE27A5"/>
    <w:rsid w:val="00BE27A8"/>
    <w:rsid w:val="00BE2821"/>
    <w:rsid w:val="00BE282F"/>
    <w:rsid w:val="00BE2871"/>
    <w:rsid w:val="00BE2893"/>
    <w:rsid w:val="00BE299B"/>
    <w:rsid w:val="00BE29BB"/>
    <w:rsid w:val="00BE2A09"/>
    <w:rsid w:val="00BE2A0C"/>
    <w:rsid w:val="00BE2A1B"/>
    <w:rsid w:val="00BE2A50"/>
    <w:rsid w:val="00BE2A54"/>
    <w:rsid w:val="00BE2A8B"/>
    <w:rsid w:val="00BE2ADA"/>
    <w:rsid w:val="00BE2AE3"/>
    <w:rsid w:val="00BE2B88"/>
    <w:rsid w:val="00BE2BA9"/>
    <w:rsid w:val="00BE2BEC"/>
    <w:rsid w:val="00BE2BF3"/>
    <w:rsid w:val="00BE2C0C"/>
    <w:rsid w:val="00BE2C2F"/>
    <w:rsid w:val="00BE2C56"/>
    <w:rsid w:val="00BE2CB3"/>
    <w:rsid w:val="00BE2CD9"/>
    <w:rsid w:val="00BE2CDF"/>
    <w:rsid w:val="00BE2CE1"/>
    <w:rsid w:val="00BE2D02"/>
    <w:rsid w:val="00BE2D1C"/>
    <w:rsid w:val="00BE2D2D"/>
    <w:rsid w:val="00BE2D73"/>
    <w:rsid w:val="00BE2D85"/>
    <w:rsid w:val="00BE2DC9"/>
    <w:rsid w:val="00BE2E0E"/>
    <w:rsid w:val="00BE2E1B"/>
    <w:rsid w:val="00BE2E77"/>
    <w:rsid w:val="00BE2E7F"/>
    <w:rsid w:val="00BE2EC9"/>
    <w:rsid w:val="00BE2EED"/>
    <w:rsid w:val="00BE2EF0"/>
    <w:rsid w:val="00BE2F0E"/>
    <w:rsid w:val="00BE2F2F"/>
    <w:rsid w:val="00BE2F48"/>
    <w:rsid w:val="00BE2F7B"/>
    <w:rsid w:val="00BE2FD3"/>
    <w:rsid w:val="00BE30A6"/>
    <w:rsid w:val="00BE30C1"/>
    <w:rsid w:val="00BE30FC"/>
    <w:rsid w:val="00BE3124"/>
    <w:rsid w:val="00BE3135"/>
    <w:rsid w:val="00BE313E"/>
    <w:rsid w:val="00BE3191"/>
    <w:rsid w:val="00BE31AE"/>
    <w:rsid w:val="00BE31E4"/>
    <w:rsid w:val="00BE31EE"/>
    <w:rsid w:val="00BE31F3"/>
    <w:rsid w:val="00BE31FD"/>
    <w:rsid w:val="00BE3208"/>
    <w:rsid w:val="00BE3224"/>
    <w:rsid w:val="00BE3239"/>
    <w:rsid w:val="00BE3251"/>
    <w:rsid w:val="00BE3260"/>
    <w:rsid w:val="00BE327B"/>
    <w:rsid w:val="00BE32E1"/>
    <w:rsid w:val="00BE32FE"/>
    <w:rsid w:val="00BE3320"/>
    <w:rsid w:val="00BE3347"/>
    <w:rsid w:val="00BE3368"/>
    <w:rsid w:val="00BE3391"/>
    <w:rsid w:val="00BE33AF"/>
    <w:rsid w:val="00BE33C0"/>
    <w:rsid w:val="00BE33F4"/>
    <w:rsid w:val="00BE340F"/>
    <w:rsid w:val="00BE344D"/>
    <w:rsid w:val="00BE3476"/>
    <w:rsid w:val="00BE348A"/>
    <w:rsid w:val="00BE34B3"/>
    <w:rsid w:val="00BE34BC"/>
    <w:rsid w:val="00BE34BE"/>
    <w:rsid w:val="00BE34E9"/>
    <w:rsid w:val="00BE357B"/>
    <w:rsid w:val="00BE35E0"/>
    <w:rsid w:val="00BE35EC"/>
    <w:rsid w:val="00BE3646"/>
    <w:rsid w:val="00BE3650"/>
    <w:rsid w:val="00BE365A"/>
    <w:rsid w:val="00BE365D"/>
    <w:rsid w:val="00BE3662"/>
    <w:rsid w:val="00BE36C8"/>
    <w:rsid w:val="00BE3736"/>
    <w:rsid w:val="00BE3792"/>
    <w:rsid w:val="00BE37B0"/>
    <w:rsid w:val="00BE37B7"/>
    <w:rsid w:val="00BE37CD"/>
    <w:rsid w:val="00BE37FA"/>
    <w:rsid w:val="00BE3848"/>
    <w:rsid w:val="00BE387A"/>
    <w:rsid w:val="00BE388B"/>
    <w:rsid w:val="00BE38D1"/>
    <w:rsid w:val="00BE3900"/>
    <w:rsid w:val="00BE3944"/>
    <w:rsid w:val="00BE3953"/>
    <w:rsid w:val="00BE3970"/>
    <w:rsid w:val="00BE398F"/>
    <w:rsid w:val="00BE39BC"/>
    <w:rsid w:val="00BE3A16"/>
    <w:rsid w:val="00BE3A32"/>
    <w:rsid w:val="00BE3A4F"/>
    <w:rsid w:val="00BE3A73"/>
    <w:rsid w:val="00BE3A77"/>
    <w:rsid w:val="00BE3A92"/>
    <w:rsid w:val="00BE3AB2"/>
    <w:rsid w:val="00BE3B26"/>
    <w:rsid w:val="00BE3B2F"/>
    <w:rsid w:val="00BE3B3F"/>
    <w:rsid w:val="00BE3B6C"/>
    <w:rsid w:val="00BE3B8A"/>
    <w:rsid w:val="00BE3C0D"/>
    <w:rsid w:val="00BE3C2F"/>
    <w:rsid w:val="00BE3C41"/>
    <w:rsid w:val="00BE3C58"/>
    <w:rsid w:val="00BE3CA0"/>
    <w:rsid w:val="00BE3CA3"/>
    <w:rsid w:val="00BE3CEC"/>
    <w:rsid w:val="00BE3D33"/>
    <w:rsid w:val="00BE3D3D"/>
    <w:rsid w:val="00BE3D74"/>
    <w:rsid w:val="00BE3D7C"/>
    <w:rsid w:val="00BE3D8E"/>
    <w:rsid w:val="00BE3DAE"/>
    <w:rsid w:val="00BE3DEC"/>
    <w:rsid w:val="00BE3E5D"/>
    <w:rsid w:val="00BE3E81"/>
    <w:rsid w:val="00BE3E86"/>
    <w:rsid w:val="00BE3ECA"/>
    <w:rsid w:val="00BE3EE9"/>
    <w:rsid w:val="00BE3EEC"/>
    <w:rsid w:val="00BE3F0F"/>
    <w:rsid w:val="00BE3F1C"/>
    <w:rsid w:val="00BE3F2A"/>
    <w:rsid w:val="00BE3F4E"/>
    <w:rsid w:val="00BE3F5A"/>
    <w:rsid w:val="00BE3F62"/>
    <w:rsid w:val="00BE3F86"/>
    <w:rsid w:val="00BE3FC2"/>
    <w:rsid w:val="00BE405D"/>
    <w:rsid w:val="00BE407A"/>
    <w:rsid w:val="00BE40DE"/>
    <w:rsid w:val="00BE40E4"/>
    <w:rsid w:val="00BE40F9"/>
    <w:rsid w:val="00BE410B"/>
    <w:rsid w:val="00BE4110"/>
    <w:rsid w:val="00BE4111"/>
    <w:rsid w:val="00BE4174"/>
    <w:rsid w:val="00BE419F"/>
    <w:rsid w:val="00BE41C1"/>
    <w:rsid w:val="00BE4213"/>
    <w:rsid w:val="00BE4233"/>
    <w:rsid w:val="00BE424C"/>
    <w:rsid w:val="00BE4278"/>
    <w:rsid w:val="00BE42C1"/>
    <w:rsid w:val="00BE42D3"/>
    <w:rsid w:val="00BE42EF"/>
    <w:rsid w:val="00BE42F6"/>
    <w:rsid w:val="00BE42FC"/>
    <w:rsid w:val="00BE4347"/>
    <w:rsid w:val="00BE4349"/>
    <w:rsid w:val="00BE434D"/>
    <w:rsid w:val="00BE435F"/>
    <w:rsid w:val="00BE4369"/>
    <w:rsid w:val="00BE437D"/>
    <w:rsid w:val="00BE43CC"/>
    <w:rsid w:val="00BE43F5"/>
    <w:rsid w:val="00BE43FC"/>
    <w:rsid w:val="00BE4413"/>
    <w:rsid w:val="00BE4438"/>
    <w:rsid w:val="00BE44A5"/>
    <w:rsid w:val="00BE44AD"/>
    <w:rsid w:val="00BE44F7"/>
    <w:rsid w:val="00BE4555"/>
    <w:rsid w:val="00BE4559"/>
    <w:rsid w:val="00BE456F"/>
    <w:rsid w:val="00BE4582"/>
    <w:rsid w:val="00BE45EB"/>
    <w:rsid w:val="00BE4638"/>
    <w:rsid w:val="00BE464F"/>
    <w:rsid w:val="00BE4654"/>
    <w:rsid w:val="00BE4665"/>
    <w:rsid w:val="00BE4667"/>
    <w:rsid w:val="00BE46A8"/>
    <w:rsid w:val="00BE46B8"/>
    <w:rsid w:val="00BE46BB"/>
    <w:rsid w:val="00BE46BC"/>
    <w:rsid w:val="00BE46DF"/>
    <w:rsid w:val="00BE474C"/>
    <w:rsid w:val="00BE4755"/>
    <w:rsid w:val="00BE4760"/>
    <w:rsid w:val="00BE476F"/>
    <w:rsid w:val="00BE47C1"/>
    <w:rsid w:val="00BE47CE"/>
    <w:rsid w:val="00BE47DB"/>
    <w:rsid w:val="00BE47F6"/>
    <w:rsid w:val="00BE4812"/>
    <w:rsid w:val="00BE4838"/>
    <w:rsid w:val="00BE483F"/>
    <w:rsid w:val="00BE485C"/>
    <w:rsid w:val="00BE4865"/>
    <w:rsid w:val="00BE487B"/>
    <w:rsid w:val="00BE48A0"/>
    <w:rsid w:val="00BE48A9"/>
    <w:rsid w:val="00BE48AB"/>
    <w:rsid w:val="00BE48B6"/>
    <w:rsid w:val="00BE493B"/>
    <w:rsid w:val="00BE499C"/>
    <w:rsid w:val="00BE49A4"/>
    <w:rsid w:val="00BE49F9"/>
    <w:rsid w:val="00BE4A0B"/>
    <w:rsid w:val="00BE4A21"/>
    <w:rsid w:val="00BE4AA5"/>
    <w:rsid w:val="00BE4AE0"/>
    <w:rsid w:val="00BE4AFA"/>
    <w:rsid w:val="00BE4B6D"/>
    <w:rsid w:val="00BE4B7C"/>
    <w:rsid w:val="00BE4B82"/>
    <w:rsid w:val="00BE4B93"/>
    <w:rsid w:val="00BE4BAA"/>
    <w:rsid w:val="00BE4BFC"/>
    <w:rsid w:val="00BE4C04"/>
    <w:rsid w:val="00BE4C1B"/>
    <w:rsid w:val="00BE4C37"/>
    <w:rsid w:val="00BE4C55"/>
    <w:rsid w:val="00BE4C57"/>
    <w:rsid w:val="00BE4C7B"/>
    <w:rsid w:val="00BE4CB8"/>
    <w:rsid w:val="00BE4CE0"/>
    <w:rsid w:val="00BE4D21"/>
    <w:rsid w:val="00BE4D45"/>
    <w:rsid w:val="00BE4D6E"/>
    <w:rsid w:val="00BE4D76"/>
    <w:rsid w:val="00BE4D87"/>
    <w:rsid w:val="00BE4DA3"/>
    <w:rsid w:val="00BE4DBA"/>
    <w:rsid w:val="00BE4E08"/>
    <w:rsid w:val="00BE4E15"/>
    <w:rsid w:val="00BE4E1F"/>
    <w:rsid w:val="00BE4E51"/>
    <w:rsid w:val="00BE4E79"/>
    <w:rsid w:val="00BE4E86"/>
    <w:rsid w:val="00BE4EBE"/>
    <w:rsid w:val="00BE4EE5"/>
    <w:rsid w:val="00BE4F0E"/>
    <w:rsid w:val="00BE4F38"/>
    <w:rsid w:val="00BE4F99"/>
    <w:rsid w:val="00BE4FAA"/>
    <w:rsid w:val="00BE4FC2"/>
    <w:rsid w:val="00BE502D"/>
    <w:rsid w:val="00BE5059"/>
    <w:rsid w:val="00BE5075"/>
    <w:rsid w:val="00BE5078"/>
    <w:rsid w:val="00BE50CC"/>
    <w:rsid w:val="00BE5167"/>
    <w:rsid w:val="00BE51A8"/>
    <w:rsid w:val="00BE51BB"/>
    <w:rsid w:val="00BE51D6"/>
    <w:rsid w:val="00BE51FE"/>
    <w:rsid w:val="00BE522D"/>
    <w:rsid w:val="00BE528A"/>
    <w:rsid w:val="00BE5295"/>
    <w:rsid w:val="00BE52A3"/>
    <w:rsid w:val="00BE52B5"/>
    <w:rsid w:val="00BE52BC"/>
    <w:rsid w:val="00BE52F5"/>
    <w:rsid w:val="00BE5318"/>
    <w:rsid w:val="00BE5327"/>
    <w:rsid w:val="00BE53CA"/>
    <w:rsid w:val="00BE53E6"/>
    <w:rsid w:val="00BE5418"/>
    <w:rsid w:val="00BE547E"/>
    <w:rsid w:val="00BE5482"/>
    <w:rsid w:val="00BE5487"/>
    <w:rsid w:val="00BE54A3"/>
    <w:rsid w:val="00BE54A4"/>
    <w:rsid w:val="00BE550F"/>
    <w:rsid w:val="00BE55A3"/>
    <w:rsid w:val="00BE55A5"/>
    <w:rsid w:val="00BE5610"/>
    <w:rsid w:val="00BE56BC"/>
    <w:rsid w:val="00BE56FA"/>
    <w:rsid w:val="00BE5776"/>
    <w:rsid w:val="00BE57A4"/>
    <w:rsid w:val="00BE57BD"/>
    <w:rsid w:val="00BE57F6"/>
    <w:rsid w:val="00BE5817"/>
    <w:rsid w:val="00BE583F"/>
    <w:rsid w:val="00BE5859"/>
    <w:rsid w:val="00BE58A4"/>
    <w:rsid w:val="00BE58AE"/>
    <w:rsid w:val="00BE58C2"/>
    <w:rsid w:val="00BE58E8"/>
    <w:rsid w:val="00BE58EC"/>
    <w:rsid w:val="00BE5929"/>
    <w:rsid w:val="00BE593A"/>
    <w:rsid w:val="00BE5943"/>
    <w:rsid w:val="00BE5986"/>
    <w:rsid w:val="00BE599C"/>
    <w:rsid w:val="00BE59B2"/>
    <w:rsid w:val="00BE59BB"/>
    <w:rsid w:val="00BE59EB"/>
    <w:rsid w:val="00BE5A1A"/>
    <w:rsid w:val="00BE5AA3"/>
    <w:rsid w:val="00BE5AAA"/>
    <w:rsid w:val="00BE5AE2"/>
    <w:rsid w:val="00BE5AF0"/>
    <w:rsid w:val="00BE5B11"/>
    <w:rsid w:val="00BE5B61"/>
    <w:rsid w:val="00BE5B7C"/>
    <w:rsid w:val="00BE5B89"/>
    <w:rsid w:val="00BE5B9A"/>
    <w:rsid w:val="00BE5BA8"/>
    <w:rsid w:val="00BE5C22"/>
    <w:rsid w:val="00BE5C42"/>
    <w:rsid w:val="00BE5C57"/>
    <w:rsid w:val="00BE5C73"/>
    <w:rsid w:val="00BE5C7C"/>
    <w:rsid w:val="00BE5C8C"/>
    <w:rsid w:val="00BE5C92"/>
    <w:rsid w:val="00BE5CCF"/>
    <w:rsid w:val="00BE5D22"/>
    <w:rsid w:val="00BE5D27"/>
    <w:rsid w:val="00BE5D2F"/>
    <w:rsid w:val="00BE5D5B"/>
    <w:rsid w:val="00BE5D87"/>
    <w:rsid w:val="00BE5D88"/>
    <w:rsid w:val="00BE5DC1"/>
    <w:rsid w:val="00BE5E25"/>
    <w:rsid w:val="00BE5E74"/>
    <w:rsid w:val="00BE5E8C"/>
    <w:rsid w:val="00BE5ECB"/>
    <w:rsid w:val="00BE5ECC"/>
    <w:rsid w:val="00BE5ED8"/>
    <w:rsid w:val="00BE5EF3"/>
    <w:rsid w:val="00BE5F0A"/>
    <w:rsid w:val="00BE5F12"/>
    <w:rsid w:val="00BE5F39"/>
    <w:rsid w:val="00BE5F3A"/>
    <w:rsid w:val="00BE5F4A"/>
    <w:rsid w:val="00BE5F76"/>
    <w:rsid w:val="00BE5F7F"/>
    <w:rsid w:val="00BE5FC5"/>
    <w:rsid w:val="00BE5FCD"/>
    <w:rsid w:val="00BE5FE8"/>
    <w:rsid w:val="00BE5FEE"/>
    <w:rsid w:val="00BE6012"/>
    <w:rsid w:val="00BE6024"/>
    <w:rsid w:val="00BE602D"/>
    <w:rsid w:val="00BE6061"/>
    <w:rsid w:val="00BE60AF"/>
    <w:rsid w:val="00BE610B"/>
    <w:rsid w:val="00BE6155"/>
    <w:rsid w:val="00BE6176"/>
    <w:rsid w:val="00BE6191"/>
    <w:rsid w:val="00BE61AD"/>
    <w:rsid w:val="00BE61BD"/>
    <w:rsid w:val="00BE61F8"/>
    <w:rsid w:val="00BE6209"/>
    <w:rsid w:val="00BE6217"/>
    <w:rsid w:val="00BE6252"/>
    <w:rsid w:val="00BE626E"/>
    <w:rsid w:val="00BE62A9"/>
    <w:rsid w:val="00BE6301"/>
    <w:rsid w:val="00BE6319"/>
    <w:rsid w:val="00BE6355"/>
    <w:rsid w:val="00BE6381"/>
    <w:rsid w:val="00BE6384"/>
    <w:rsid w:val="00BE6388"/>
    <w:rsid w:val="00BE638C"/>
    <w:rsid w:val="00BE63CE"/>
    <w:rsid w:val="00BE63FA"/>
    <w:rsid w:val="00BE642D"/>
    <w:rsid w:val="00BE6445"/>
    <w:rsid w:val="00BE645E"/>
    <w:rsid w:val="00BE6492"/>
    <w:rsid w:val="00BE64E3"/>
    <w:rsid w:val="00BE64EC"/>
    <w:rsid w:val="00BE64F9"/>
    <w:rsid w:val="00BE6530"/>
    <w:rsid w:val="00BE6534"/>
    <w:rsid w:val="00BE656A"/>
    <w:rsid w:val="00BE65CD"/>
    <w:rsid w:val="00BE65F4"/>
    <w:rsid w:val="00BE65F7"/>
    <w:rsid w:val="00BE6653"/>
    <w:rsid w:val="00BE665E"/>
    <w:rsid w:val="00BE6668"/>
    <w:rsid w:val="00BE66BB"/>
    <w:rsid w:val="00BE66C0"/>
    <w:rsid w:val="00BE66D2"/>
    <w:rsid w:val="00BE66DE"/>
    <w:rsid w:val="00BE66EA"/>
    <w:rsid w:val="00BE6716"/>
    <w:rsid w:val="00BE673A"/>
    <w:rsid w:val="00BE674D"/>
    <w:rsid w:val="00BE674F"/>
    <w:rsid w:val="00BE675E"/>
    <w:rsid w:val="00BE6782"/>
    <w:rsid w:val="00BE6787"/>
    <w:rsid w:val="00BE67B5"/>
    <w:rsid w:val="00BE67CD"/>
    <w:rsid w:val="00BE67DB"/>
    <w:rsid w:val="00BE67E8"/>
    <w:rsid w:val="00BE6805"/>
    <w:rsid w:val="00BE6809"/>
    <w:rsid w:val="00BE6869"/>
    <w:rsid w:val="00BE6882"/>
    <w:rsid w:val="00BE68A8"/>
    <w:rsid w:val="00BE68D3"/>
    <w:rsid w:val="00BE6925"/>
    <w:rsid w:val="00BE6950"/>
    <w:rsid w:val="00BE69B5"/>
    <w:rsid w:val="00BE6A31"/>
    <w:rsid w:val="00BE6A44"/>
    <w:rsid w:val="00BE6A8F"/>
    <w:rsid w:val="00BE6ACF"/>
    <w:rsid w:val="00BE6B40"/>
    <w:rsid w:val="00BE6B49"/>
    <w:rsid w:val="00BE6B59"/>
    <w:rsid w:val="00BE6B85"/>
    <w:rsid w:val="00BE6BD0"/>
    <w:rsid w:val="00BE6C12"/>
    <w:rsid w:val="00BE6C14"/>
    <w:rsid w:val="00BE6C1E"/>
    <w:rsid w:val="00BE6C36"/>
    <w:rsid w:val="00BE6C37"/>
    <w:rsid w:val="00BE6C45"/>
    <w:rsid w:val="00BE6C62"/>
    <w:rsid w:val="00BE6C81"/>
    <w:rsid w:val="00BE6C98"/>
    <w:rsid w:val="00BE6CA8"/>
    <w:rsid w:val="00BE6CC7"/>
    <w:rsid w:val="00BE6D46"/>
    <w:rsid w:val="00BE6D47"/>
    <w:rsid w:val="00BE6D60"/>
    <w:rsid w:val="00BE6D92"/>
    <w:rsid w:val="00BE6DA4"/>
    <w:rsid w:val="00BE6DF6"/>
    <w:rsid w:val="00BE6E70"/>
    <w:rsid w:val="00BE6EE5"/>
    <w:rsid w:val="00BE6F6F"/>
    <w:rsid w:val="00BE6FB0"/>
    <w:rsid w:val="00BE6FE7"/>
    <w:rsid w:val="00BE700C"/>
    <w:rsid w:val="00BE700E"/>
    <w:rsid w:val="00BE704D"/>
    <w:rsid w:val="00BE7056"/>
    <w:rsid w:val="00BE7065"/>
    <w:rsid w:val="00BE7072"/>
    <w:rsid w:val="00BE7088"/>
    <w:rsid w:val="00BE70A6"/>
    <w:rsid w:val="00BE70C5"/>
    <w:rsid w:val="00BE70CA"/>
    <w:rsid w:val="00BE70D6"/>
    <w:rsid w:val="00BE70EF"/>
    <w:rsid w:val="00BE70F6"/>
    <w:rsid w:val="00BE713E"/>
    <w:rsid w:val="00BE716F"/>
    <w:rsid w:val="00BE71B1"/>
    <w:rsid w:val="00BE71B9"/>
    <w:rsid w:val="00BE71BE"/>
    <w:rsid w:val="00BE71DA"/>
    <w:rsid w:val="00BE723B"/>
    <w:rsid w:val="00BE7254"/>
    <w:rsid w:val="00BE72CA"/>
    <w:rsid w:val="00BE72D7"/>
    <w:rsid w:val="00BE72EB"/>
    <w:rsid w:val="00BE7332"/>
    <w:rsid w:val="00BE733A"/>
    <w:rsid w:val="00BE7381"/>
    <w:rsid w:val="00BE7383"/>
    <w:rsid w:val="00BE7387"/>
    <w:rsid w:val="00BE73A1"/>
    <w:rsid w:val="00BE73AF"/>
    <w:rsid w:val="00BE73CE"/>
    <w:rsid w:val="00BE73D3"/>
    <w:rsid w:val="00BE73D7"/>
    <w:rsid w:val="00BE742D"/>
    <w:rsid w:val="00BE7433"/>
    <w:rsid w:val="00BE7445"/>
    <w:rsid w:val="00BE74B3"/>
    <w:rsid w:val="00BE74E4"/>
    <w:rsid w:val="00BE751C"/>
    <w:rsid w:val="00BE753A"/>
    <w:rsid w:val="00BE758A"/>
    <w:rsid w:val="00BE759C"/>
    <w:rsid w:val="00BE75EA"/>
    <w:rsid w:val="00BE7631"/>
    <w:rsid w:val="00BE7638"/>
    <w:rsid w:val="00BE7651"/>
    <w:rsid w:val="00BE767B"/>
    <w:rsid w:val="00BE768D"/>
    <w:rsid w:val="00BE769F"/>
    <w:rsid w:val="00BE76A6"/>
    <w:rsid w:val="00BE76FA"/>
    <w:rsid w:val="00BE770D"/>
    <w:rsid w:val="00BE7722"/>
    <w:rsid w:val="00BE7746"/>
    <w:rsid w:val="00BE7770"/>
    <w:rsid w:val="00BE777A"/>
    <w:rsid w:val="00BE7780"/>
    <w:rsid w:val="00BE7796"/>
    <w:rsid w:val="00BE77A0"/>
    <w:rsid w:val="00BE7820"/>
    <w:rsid w:val="00BE7847"/>
    <w:rsid w:val="00BE78C5"/>
    <w:rsid w:val="00BE78CE"/>
    <w:rsid w:val="00BE78D1"/>
    <w:rsid w:val="00BE78EC"/>
    <w:rsid w:val="00BE78ED"/>
    <w:rsid w:val="00BE78FB"/>
    <w:rsid w:val="00BE7907"/>
    <w:rsid w:val="00BE790D"/>
    <w:rsid w:val="00BE7911"/>
    <w:rsid w:val="00BE79A2"/>
    <w:rsid w:val="00BE79B3"/>
    <w:rsid w:val="00BE79D6"/>
    <w:rsid w:val="00BE79FB"/>
    <w:rsid w:val="00BE7A36"/>
    <w:rsid w:val="00BE7A4D"/>
    <w:rsid w:val="00BE7A67"/>
    <w:rsid w:val="00BE7A7D"/>
    <w:rsid w:val="00BE7AA8"/>
    <w:rsid w:val="00BE7ACA"/>
    <w:rsid w:val="00BE7AF5"/>
    <w:rsid w:val="00BE7AF8"/>
    <w:rsid w:val="00BE7B11"/>
    <w:rsid w:val="00BE7B28"/>
    <w:rsid w:val="00BE7B82"/>
    <w:rsid w:val="00BE7B8C"/>
    <w:rsid w:val="00BE7B9C"/>
    <w:rsid w:val="00BE7BB0"/>
    <w:rsid w:val="00BE7BE9"/>
    <w:rsid w:val="00BE7C40"/>
    <w:rsid w:val="00BE7CAF"/>
    <w:rsid w:val="00BE7CB4"/>
    <w:rsid w:val="00BE7CD0"/>
    <w:rsid w:val="00BE7CFD"/>
    <w:rsid w:val="00BE7D83"/>
    <w:rsid w:val="00BE7D95"/>
    <w:rsid w:val="00BE7D9C"/>
    <w:rsid w:val="00BE7DA1"/>
    <w:rsid w:val="00BE7DAC"/>
    <w:rsid w:val="00BE7DB0"/>
    <w:rsid w:val="00BE7DEF"/>
    <w:rsid w:val="00BE7E4F"/>
    <w:rsid w:val="00BE7E76"/>
    <w:rsid w:val="00BE7E77"/>
    <w:rsid w:val="00BE7E7F"/>
    <w:rsid w:val="00BE7E81"/>
    <w:rsid w:val="00BE7E96"/>
    <w:rsid w:val="00BE7EC6"/>
    <w:rsid w:val="00BE7EDF"/>
    <w:rsid w:val="00BE7EEA"/>
    <w:rsid w:val="00BE7F3C"/>
    <w:rsid w:val="00BE7F47"/>
    <w:rsid w:val="00BE7FA5"/>
    <w:rsid w:val="00BE7FDA"/>
    <w:rsid w:val="00BF000F"/>
    <w:rsid w:val="00BF002E"/>
    <w:rsid w:val="00BF003C"/>
    <w:rsid w:val="00BF00A0"/>
    <w:rsid w:val="00BF00BA"/>
    <w:rsid w:val="00BF00BD"/>
    <w:rsid w:val="00BF00EA"/>
    <w:rsid w:val="00BF00F4"/>
    <w:rsid w:val="00BF0104"/>
    <w:rsid w:val="00BF0109"/>
    <w:rsid w:val="00BF0123"/>
    <w:rsid w:val="00BF0129"/>
    <w:rsid w:val="00BF0163"/>
    <w:rsid w:val="00BF0171"/>
    <w:rsid w:val="00BF0180"/>
    <w:rsid w:val="00BF01F8"/>
    <w:rsid w:val="00BF0251"/>
    <w:rsid w:val="00BF0272"/>
    <w:rsid w:val="00BF02AE"/>
    <w:rsid w:val="00BF02B5"/>
    <w:rsid w:val="00BF02C8"/>
    <w:rsid w:val="00BF0307"/>
    <w:rsid w:val="00BF0380"/>
    <w:rsid w:val="00BF03A2"/>
    <w:rsid w:val="00BF03DF"/>
    <w:rsid w:val="00BF03EF"/>
    <w:rsid w:val="00BF040E"/>
    <w:rsid w:val="00BF046C"/>
    <w:rsid w:val="00BF046F"/>
    <w:rsid w:val="00BF0481"/>
    <w:rsid w:val="00BF049E"/>
    <w:rsid w:val="00BF04C1"/>
    <w:rsid w:val="00BF0522"/>
    <w:rsid w:val="00BF054B"/>
    <w:rsid w:val="00BF0578"/>
    <w:rsid w:val="00BF058A"/>
    <w:rsid w:val="00BF0593"/>
    <w:rsid w:val="00BF059E"/>
    <w:rsid w:val="00BF05AA"/>
    <w:rsid w:val="00BF05CC"/>
    <w:rsid w:val="00BF05D1"/>
    <w:rsid w:val="00BF05FD"/>
    <w:rsid w:val="00BF05FE"/>
    <w:rsid w:val="00BF0623"/>
    <w:rsid w:val="00BF0653"/>
    <w:rsid w:val="00BF06B4"/>
    <w:rsid w:val="00BF06C3"/>
    <w:rsid w:val="00BF06E2"/>
    <w:rsid w:val="00BF0708"/>
    <w:rsid w:val="00BF0772"/>
    <w:rsid w:val="00BF07BC"/>
    <w:rsid w:val="00BF07F5"/>
    <w:rsid w:val="00BF080C"/>
    <w:rsid w:val="00BF0833"/>
    <w:rsid w:val="00BF0837"/>
    <w:rsid w:val="00BF087C"/>
    <w:rsid w:val="00BF088C"/>
    <w:rsid w:val="00BF088D"/>
    <w:rsid w:val="00BF08C0"/>
    <w:rsid w:val="00BF08ED"/>
    <w:rsid w:val="00BF08F1"/>
    <w:rsid w:val="00BF0927"/>
    <w:rsid w:val="00BF092C"/>
    <w:rsid w:val="00BF093F"/>
    <w:rsid w:val="00BF096E"/>
    <w:rsid w:val="00BF0975"/>
    <w:rsid w:val="00BF09B2"/>
    <w:rsid w:val="00BF09BF"/>
    <w:rsid w:val="00BF09C9"/>
    <w:rsid w:val="00BF0A1A"/>
    <w:rsid w:val="00BF0A26"/>
    <w:rsid w:val="00BF0A50"/>
    <w:rsid w:val="00BF0A6E"/>
    <w:rsid w:val="00BF0A99"/>
    <w:rsid w:val="00BF0B05"/>
    <w:rsid w:val="00BF0B31"/>
    <w:rsid w:val="00BF0B4A"/>
    <w:rsid w:val="00BF0B55"/>
    <w:rsid w:val="00BF0BC6"/>
    <w:rsid w:val="00BF0BE7"/>
    <w:rsid w:val="00BF0C23"/>
    <w:rsid w:val="00BF0C33"/>
    <w:rsid w:val="00BF0C59"/>
    <w:rsid w:val="00BF0CAB"/>
    <w:rsid w:val="00BF0CBE"/>
    <w:rsid w:val="00BF0CCF"/>
    <w:rsid w:val="00BF0CEA"/>
    <w:rsid w:val="00BF0D01"/>
    <w:rsid w:val="00BF0D1D"/>
    <w:rsid w:val="00BF0D1E"/>
    <w:rsid w:val="00BF0D1F"/>
    <w:rsid w:val="00BF0D53"/>
    <w:rsid w:val="00BF0D6F"/>
    <w:rsid w:val="00BF0D77"/>
    <w:rsid w:val="00BF0DA0"/>
    <w:rsid w:val="00BF0DCC"/>
    <w:rsid w:val="00BF0DDC"/>
    <w:rsid w:val="00BF0E3F"/>
    <w:rsid w:val="00BF0E53"/>
    <w:rsid w:val="00BF0E73"/>
    <w:rsid w:val="00BF0E84"/>
    <w:rsid w:val="00BF0E8D"/>
    <w:rsid w:val="00BF0EF1"/>
    <w:rsid w:val="00BF0EF4"/>
    <w:rsid w:val="00BF0EFC"/>
    <w:rsid w:val="00BF0F04"/>
    <w:rsid w:val="00BF0F14"/>
    <w:rsid w:val="00BF0F2E"/>
    <w:rsid w:val="00BF0F32"/>
    <w:rsid w:val="00BF0F3F"/>
    <w:rsid w:val="00BF0F5A"/>
    <w:rsid w:val="00BF0F86"/>
    <w:rsid w:val="00BF0FA1"/>
    <w:rsid w:val="00BF0FA9"/>
    <w:rsid w:val="00BF0FAD"/>
    <w:rsid w:val="00BF0FCE"/>
    <w:rsid w:val="00BF0FCF"/>
    <w:rsid w:val="00BF0FDE"/>
    <w:rsid w:val="00BF0FFF"/>
    <w:rsid w:val="00BF1037"/>
    <w:rsid w:val="00BF10B2"/>
    <w:rsid w:val="00BF10BA"/>
    <w:rsid w:val="00BF10CF"/>
    <w:rsid w:val="00BF10E8"/>
    <w:rsid w:val="00BF10F4"/>
    <w:rsid w:val="00BF1119"/>
    <w:rsid w:val="00BF116D"/>
    <w:rsid w:val="00BF117D"/>
    <w:rsid w:val="00BF1197"/>
    <w:rsid w:val="00BF11DA"/>
    <w:rsid w:val="00BF1268"/>
    <w:rsid w:val="00BF126E"/>
    <w:rsid w:val="00BF1272"/>
    <w:rsid w:val="00BF1292"/>
    <w:rsid w:val="00BF1297"/>
    <w:rsid w:val="00BF129C"/>
    <w:rsid w:val="00BF12BE"/>
    <w:rsid w:val="00BF1344"/>
    <w:rsid w:val="00BF1352"/>
    <w:rsid w:val="00BF1354"/>
    <w:rsid w:val="00BF1369"/>
    <w:rsid w:val="00BF13CD"/>
    <w:rsid w:val="00BF13D2"/>
    <w:rsid w:val="00BF144C"/>
    <w:rsid w:val="00BF1481"/>
    <w:rsid w:val="00BF1498"/>
    <w:rsid w:val="00BF14F0"/>
    <w:rsid w:val="00BF14F7"/>
    <w:rsid w:val="00BF156A"/>
    <w:rsid w:val="00BF1574"/>
    <w:rsid w:val="00BF159C"/>
    <w:rsid w:val="00BF15AE"/>
    <w:rsid w:val="00BF161B"/>
    <w:rsid w:val="00BF1676"/>
    <w:rsid w:val="00BF16BB"/>
    <w:rsid w:val="00BF1719"/>
    <w:rsid w:val="00BF178C"/>
    <w:rsid w:val="00BF1800"/>
    <w:rsid w:val="00BF1854"/>
    <w:rsid w:val="00BF186C"/>
    <w:rsid w:val="00BF1879"/>
    <w:rsid w:val="00BF187C"/>
    <w:rsid w:val="00BF189E"/>
    <w:rsid w:val="00BF18B4"/>
    <w:rsid w:val="00BF1906"/>
    <w:rsid w:val="00BF1919"/>
    <w:rsid w:val="00BF1941"/>
    <w:rsid w:val="00BF194A"/>
    <w:rsid w:val="00BF195B"/>
    <w:rsid w:val="00BF1963"/>
    <w:rsid w:val="00BF199A"/>
    <w:rsid w:val="00BF199E"/>
    <w:rsid w:val="00BF19B3"/>
    <w:rsid w:val="00BF19F4"/>
    <w:rsid w:val="00BF1A00"/>
    <w:rsid w:val="00BF1A30"/>
    <w:rsid w:val="00BF1A36"/>
    <w:rsid w:val="00BF1A4E"/>
    <w:rsid w:val="00BF1A58"/>
    <w:rsid w:val="00BF1A5C"/>
    <w:rsid w:val="00BF1A7B"/>
    <w:rsid w:val="00BF1AAD"/>
    <w:rsid w:val="00BF1AF9"/>
    <w:rsid w:val="00BF1B00"/>
    <w:rsid w:val="00BF1B3B"/>
    <w:rsid w:val="00BF1B67"/>
    <w:rsid w:val="00BF1B7C"/>
    <w:rsid w:val="00BF1BE4"/>
    <w:rsid w:val="00BF1BE9"/>
    <w:rsid w:val="00BF1C2F"/>
    <w:rsid w:val="00BF1C95"/>
    <w:rsid w:val="00BF1D28"/>
    <w:rsid w:val="00BF1D35"/>
    <w:rsid w:val="00BF1D84"/>
    <w:rsid w:val="00BF1E02"/>
    <w:rsid w:val="00BF1E0C"/>
    <w:rsid w:val="00BF1E1E"/>
    <w:rsid w:val="00BF1E22"/>
    <w:rsid w:val="00BF1E3A"/>
    <w:rsid w:val="00BF1E4A"/>
    <w:rsid w:val="00BF1E75"/>
    <w:rsid w:val="00BF1E91"/>
    <w:rsid w:val="00BF1E95"/>
    <w:rsid w:val="00BF1E9D"/>
    <w:rsid w:val="00BF1EF3"/>
    <w:rsid w:val="00BF1EFF"/>
    <w:rsid w:val="00BF1F1A"/>
    <w:rsid w:val="00BF1F25"/>
    <w:rsid w:val="00BF1F33"/>
    <w:rsid w:val="00BF1FA8"/>
    <w:rsid w:val="00BF1FDA"/>
    <w:rsid w:val="00BF2022"/>
    <w:rsid w:val="00BF2028"/>
    <w:rsid w:val="00BF204E"/>
    <w:rsid w:val="00BF2059"/>
    <w:rsid w:val="00BF2080"/>
    <w:rsid w:val="00BF2098"/>
    <w:rsid w:val="00BF209D"/>
    <w:rsid w:val="00BF20BC"/>
    <w:rsid w:val="00BF20BD"/>
    <w:rsid w:val="00BF2110"/>
    <w:rsid w:val="00BF212B"/>
    <w:rsid w:val="00BF2135"/>
    <w:rsid w:val="00BF2137"/>
    <w:rsid w:val="00BF2161"/>
    <w:rsid w:val="00BF217F"/>
    <w:rsid w:val="00BF21A4"/>
    <w:rsid w:val="00BF21D6"/>
    <w:rsid w:val="00BF21EA"/>
    <w:rsid w:val="00BF21FC"/>
    <w:rsid w:val="00BF2245"/>
    <w:rsid w:val="00BF224B"/>
    <w:rsid w:val="00BF2255"/>
    <w:rsid w:val="00BF2303"/>
    <w:rsid w:val="00BF230A"/>
    <w:rsid w:val="00BF2349"/>
    <w:rsid w:val="00BF23D0"/>
    <w:rsid w:val="00BF2404"/>
    <w:rsid w:val="00BF2432"/>
    <w:rsid w:val="00BF243C"/>
    <w:rsid w:val="00BF2443"/>
    <w:rsid w:val="00BF2445"/>
    <w:rsid w:val="00BF244F"/>
    <w:rsid w:val="00BF2468"/>
    <w:rsid w:val="00BF2496"/>
    <w:rsid w:val="00BF24A6"/>
    <w:rsid w:val="00BF2541"/>
    <w:rsid w:val="00BF257C"/>
    <w:rsid w:val="00BF2582"/>
    <w:rsid w:val="00BF2587"/>
    <w:rsid w:val="00BF25D0"/>
    <w:rsid w:val="00BF25F7"/>
    <w:rsid w:val="00BF2603"/>
    <w:rsid w:val="00BF261C"/>
    <w:rsid w:val="00BF2647"/>
    <w:rsid w:val="00BF265C"/>
    <w:rsid w:val="00BF2699"/>
    <w:rsid w:val="00BF26A2"/>
    <w:rsid w:val="00BF272F"/>
    <w:rsid w:val="00BF27AC"/>
    <w:rsid w:val="00BF27C7"/>
    <w:rsid w:val="00BF280A"/>
    <w:rsid w:val="00BF2825"/>
    <w:rsid w:val="00BF2830"/>
    <w:rsid w:val="00BF2863"/>
    <w:rsid w:val="00BF286A"/>
    <w:rsid w:val="00BF2889"/>
    <w:rsid w:val="00BF2898"/>
    <w:rsid w:val="00BF290A"/>
    <w:rsid w:val="00BF292D"/>
    <w:rsid w:val="00BF2952"/>
    <w:rsid w:val="00BF297F"/>
    <w:rsid w:val="00BF29BC"/>
    <w:rsid w:val="00BF29EA"/>
    <w:rsid w:val="00BF29F3"/>
    <w:rsid w:val="00BF29F6"/>
    <w:rsid w:val="00BF29FE"/>
    <w:rsid w:val="00BF2A16"/>
    <w:rsid w:val="00BF2A3B"/>
    <w:rsid w:val="00BF2AB1"/>
    <w:rsid w:val="00BF2B1A"/>
    <w:rsid w:val="00BF2B30"/>
    <w:rsid w:val="00BF2B38"/>
    <w:rsid w:val="00BF2B44"/>
    <w:rsid w:val="00BF2B50"/>
    <w:rsid w:val="00BF2B89"/>
    <w:rsid w:val="00BF2BD3"/>
    <w:rsid w:val="00BF2BDE"/>
    <w:rsid w:val="00BF2BF1"/>
    <w:rsid w:val="00BF2C09"/>
    <w:rsid w:val="00BF2C32"/>
    <w:rsid w:val="00BF2C92"/>
    <w:rsid w:val="00BF2CB4"/>
    <w:rsid w:val="00BF2CBC"/>
    <w:rsid w:val="00BF2CE3"/>
    <w:rsid w:val="00BF2CF1"/>
    <w:rsid w:val="00BF2D02"/>
    <w:rsid w:val="00BF2D6F"/>
    <w:rsid w:val="00BF2D81"/>
    <w:rsid w:val="00BF2DB6"/>
    <w:rsid w:val="00BF2DC1"/>
    <w:rsid w:val="00BF2DD3"/>
    <w:rsid w:val="00BF2DF4"/>
    <w:rsid w:val="00BF2E0F"/>
    <w:rsid w:val="00BF2E32"/>
    <w:rsid w:val="00BF2E47"/>
    <w:rsid w:val="00BF2E71"/>
    <w:rsid w:val="00BF2ED0"/>
    <w:rsid w:val="00BF2EF3"/>
    <w:rsid w:val="00BF2EFE"/>
    <w:rsid w:val="00BF2F01"/>
    <w:rsid w:val="00BF2FAE"/>
    <w:rsid w:val="00BF2FBE"/>
    <w:rsid w:val="00BF2FFB"/>
    <w:rsid w:val="00BF300E"/>
    <w:rsid w:val="00BF3018"/>
    <w:rsid w:val="00BF3037"/>
    <w:rsid w:val="00BF308A"/>
    <w:rsid w:val="00BF3098"/>
    <w:rsid w:val="00BF309C"/>
    <w:rsid w:val="00BF30AA"/>
    <w:rsid w:val="00BF30B1"/>
    <w:rsid w:val="00BF30C5"/>
    <w:rsid w:val="00BF30CC"/>
    <w:rsid w:val="00BF30ED"/>
    <w:rsid w:val="00BF30EE"/>
    <w:rsid w:val="00BF30F4"/>
    <w:rsid w:val="00BF310B"/>
    <w:rsid w:val="00BF3176"/>
    <w:rsid w:val="00BF3199"/>
    <w:rsid w:val="00BF31E6"/>
    <w:rsid w:val="00BF31F0"/>
    <w:rsid w:val="00BF3252"/>
    <w:rsid w:val="00BF325C"/>
    <w:rsid w:val="00BF325D"/>
    <w:rsid w:val="00BF3277"/>
    <w:rsid w:val="00BF32B0"/>
    <w:rsid w:val="00BF32B7"/>
    <w:rsid w:val="00BF32C9"/>
    <w:rsid w:val="00BF32F1"/>
    <w:rsid w:val="00BF33A1"/>
    <w:rsid w:val="00BF33C5"/>
    <w:rsid w:val="00BF33CB"/>
    <w:rsid w:val="00BF33DA"/>
    <w:rsid w:val="00BF33F7"/>
    <w:rsid w:val="00BF3428"/>
    <w:rsid w:val="00BF3433"/>
    <w:rsid w:val="00BF3445"/>
    <w:rsid w:val="00BF3453"/>
    <w:rsid w:val="00BF345F"/>
    <w:rsid w:val="00BF3474"/>
    <w:rsid w:val="00BF3479"/>
    <w:rsid w:val="00BF3480"/>
    <w:rsid w:val="00BF353F"/>
    <w:rsid w:val="00BF355C"/>
    <w:rsid w:val="00BF35BC"/>
    <w:rsid w:val="00BF360E"/>
    <w:rsid w:val="00BF3648"/>
    <w:rsid w:val="00BF3666"/>
    <w:rsid w:val="00BF3686"/>
    <w:rsid w:val="00BF36A9"/>
    <w:rsid w:val="00BF36B4"/>
    <w:rsid w:val="00BF36B5"/>
    <w:rsid w:val="00BF36CF"/>
    <w:rsid w:val="00BF3715"/>
    <w:rsid w:val="00BF372F"/>
    <w:rsid w:val="00BF3758"/>
    <w:rsid w:val="00BF376D"/>
    <w:rsid w:val="00BF37C5"/>
    <w:rsid w:val="00BF37DF"/>
    <w:rsid w:val="00BF37FE"/>
    <w:rsid w:val="00BF3811"/>
    <w:rsid w:val="00BF3852"/>
    <w:rsid w:val="00BF3859"/>
    <w:rsid w:val="00BF3886"/>
    <w:rsid w:val="00BF3888"/>
    <w:rsid w:val="00BF3899"/>
    <w:rsid w:val="00BF38AF"/>
    <w:rsid w:val="00BF38BB"/>
    <w:rsid w:val="00BF38C5"/>
    <w:rsid w:val="00BF397A"/>
    <w:rsid w:val="00BF3983"/>
    <w:rsid w:val="00BF39B1"/>
    <w:rsid w:val="00BF39C2"/>
    <w:rsid w:val="00BF39E8"/>
    <w:rsid w:val="00BF3A60"/>
    <w:rsid w:val="00BF3B54"/>
    <w:rsid w:val="00BF3C00"/>
    <w:rsid w:val="00BF3C04"/>
    <w:rsid w:val="00BF3C2E"/>
    <w:rsid w:val="00BF3C4B"/>
    <w:rsid w:val="00BF3C4F"/>
    <w:rsid w:val="00BF3C67"/>
    <w:rsid w:val="00BF3C87"/>
    <w:rsid w:val="00BF3CAE"/>
    <w:rsid w:val="00BF3CB6"/>
    <w:rsid w:val="00BF3CBB"/>
    <w:rsid w:val="00BF3CD0"/>
    <w:rsid w:val="00BF3CD4"/>
    <w:rsid w:val="00BF3CF3"/>
    <w:rsid w:val="00BF3CFE"/>
    <w:rsid w:val="00BF3D07"/>
    <w:rsid w:val="00BF3D2E"/>
    <w:rsid w:val="00BF3D96"/>
    <w:rsid w:val="00BF3DB7"/>
    <w:rsid w:val="00BF3DCD"/>
    <w:rsid w:val="00BF3DEF"/>
    <w:rsid w:val="00BF3E6A"/>
    <w:rsid w:val="00BF3EA7"/>
    <w:rsid w:val="00BF3EC3"/>
    <w:rsid w:val="00BF3EC9"/>
    <w:rsid w:val="00BF3F40"/>
    <w:rsid w:val="00BF3F85"/>
    <w:rsid w:val="00BF3FA5"/>
    <w:rsid w:val="00BF3FE3"/>
    <w:rsid w:val="00BF3FF0"/>
    <w:rsid w:val="00BF4001"/>
    <w:rsid w:val="00BF402F"/>
    <w:rsid w:val="00BF4066"/>
    <w:rsid w:val="00BF409F"/>
    <w:rsid w:val="00BF40A2"/>
    <w:rsid w:val="00BF40E9"/>
    <w:rsid w:val="00BF4115"/>
    <w:rsid w:val="00BF4129"/>
    <w:rsid w:val="00BF4147"/>
    <w:rsid w:val="00BF4154"/>
    <w:rsid w:val="00BF415B"/>
    <w:rsid w:val="00BF4193"/>
    <w:rsid w:val="00BF41CB"/>
    <w:rsid w:val="00BF41FF"/>
    <w:rsid w:val="00BF4206"/>
    <w:rsid w:val="00BF4217"/>
    <w:rsid w:val="00BF423C"/>
    <w:rsid w:val="00BF4250"/>
    <w:rsid w:val="00BF427E"/>
    <w:rsid w:val="00BF42A1"/>
    <w:rsid w:val="00BF42C6"/>
    <w:rsid w:val="00BF42DD"/>
    <w:rsid w:val="00BF433E"/>
    <w:rsid w:val="00BF4396"/>
    <w:rsid w:val="00BF43AF"/>
    <w:rsid w:val="00BF43ED"/>
    <w:rsid w:val="00BF4421"/>
    <w:rsid w:val="00BF4424"/>
    <w:rsid w:val="00BF446F"/>
    <w:rsid w:val="00BF4472"/>
    <w:rsid w:val="00BF44B3"/>
    <w:rsid w:val="00BF4599"/>
    <w:rsid w:val="00BF45A2"/>
    <w:rsid w:val="00BF45A9"/>
    <w:rsid w:val="00BF45C5"/>
    <w:rsid w:val="00BF45DA"/>
    <w:rsid w:val="00BF462A"/>
    <w:rsid w:val="00BF462F"/>
    <w:rsid w:val="00BF4685"/>
    <w:rsid w:val="00BF4708"/>
    <w:rsid w:val="00BF4720"/>
    <w:rsid w:val="00BF4721"/>
    <w:rsid w:val="00BF4734"/>
    <w:rsid w:val="00BF4737"/>
    <w:rsid w:val="00BF474D"/>
    <w:rsid w:val="00BF4797"/>
    <w:rsid w:val="00BF47A3"/>
    <w:rsid w:val="00BF47B0"/>
    <w:rsid w:val="00BF47DF"/>
    <w:rsid w:val="00BF47FB"/>
    <w:rsid w:val="00BF4823"/>
    <w:rsid w:val="00BF484E"/>
    <w:rsid w:val="00BF48BF"/>
    <w:rsid w:val="00BF4918"/>
    <w:rsid w:val="00BF493A"/>
    <w:rsid w:val="00BF493B"/>
    <w:rsid w:val="00BF4963"/>
    <w:rsid w:val="00BF49BF"/>
    <w:rsid w:val="00BF49F2"/>
    <w:rsid w:val="00BF4A08"/>
    <w:rsid w:val="00BF4A2C"/>
    <w:rsid w:val="00BF4A53"/>
    <w:rsid w:val="00BF4A5E"/>
    <w:rsid w:val="00BF4A68"/>
    <w:rsid w:val="00BF4A81"/>
    <w:rsid w:val="00BF4B3C"/>
    <w:rsid w:val="00BF4B4B"/>
    <w:rsid w:val="00BF4B8C"/>
    <w:rsid w:val="00BF4BDD"/>
    <w:rsid w:val="00BF4BFA"/>
    <w:rsid w:val="00BF4C24"/>
    <w:rsid w:val="00BF4C27"/>
    <w:rsid w:val="00BF4C71"/>
    <w:rsid w:val="00BF4C91"/>
    <w:rsid w:val="00BF4C9B"/>
    <w:rsid w:val="00BF4D0B"/>
    <w:rsid w:val="00BF4D43"/>
    <w:rsid w:val="00BF4DD6"/>
    <w:rsid w:val="00BF4DF8"/>
    <w:rsid w:val="00BF4E09"/>
    <w:rsid w:val="00BF4E10"/>
    <w:rsid w:val="00BF4E37"/>
    <w:rsid w:val="00BF4E43"/>
    <w:rsid w:val="00BF4E8B"/>
    <w:rsid w:val="00BF4E93"/>
    <w:rsid w:val="00BF4EB3"/>
    <w:rsid w:val="00BF4EBB"/>
    <w:rsid w:val="00BF4EF7"/>
    <w:rsid w:val="00BF4F49"/>
    <w:rsid w:val="00BF4FB2"/>
    <w:rsid w:val="00BF4FE6"/>
    <w:rsid w:val="00BF5002"/>
    <w:rsid w:val="00BF5014"/>
    <w:rsid w:val="00BF5018"/>
    <w:rsid w:val="00BF502C"/>
    <w:rsid w:val="00BF5040"/>
    <w:rsid w:val="00BF5049"/>
    <w:rsid w:val="00BF508F"/>
    <w:rsid w:val="00BF50A4"/>
    <w:rsid w:val="00BF50B7"/>
    <w:rsid w:val="00BF50F8"/>
    <w:rsid w:val="00BF513E"/>
    <w:rsid w:val="00BF5141"/>
    <w:rsid w:val="00BF51DB"/>
    <w:rsid w:val="00BF51F9"/>
    <w:rsid w:val="00BF528C"/>
    <w:rsid w:val="00BF52D7"/>
    <w:rsid w:val="00BF533C"/>
    <w:rsid w:val="00BF535C"/>
    <w:rsid w:val="00BF535D"/>
    <w:rsid w:val="00BF538D"/>
    <w:rsid w:val="00BF53E6"/>
    <w:rsid w:val="00BF544C"/>
    <w:rsid w:val="00BF545C"/>
    <w:rsid w:val="00BF549F"/>
    <w:rsid w:val="00BF54A5"/>
    <w:rsid w:val="00BF54C7"/>
    <w:rsid w:val="00BF5506"/>
    <w:rsid w:val="00BF550E"/>
    <w:rsid w:val="00BF5517"/>
    <w:rsid w:val="00BF552B"/>
    <w:rsid w:val="00BF5548"/>
    <w:rsid w:val="00BF5595"/>
    <w:rsid w:val="00BF5603"/>
    <w:rsid w:val="00BF560A"/>
    <w:rsid w:val="00BF5686"/>
    <w:rsid w:val="00BF56CB"/>
    <w:rsid w:val="00BF56ED"/>
    <w:rsid w:val="00BF5707"/>
    <w:rsid w:val="00BF577E"/>
    <w:rsid w:val="00BF578E"/>
    <w:rsid w:val="00BF57A6"/>
    <w:rsid w:val="00BF57A7"/>
    <w:rsid w:val="00BF57BC"/>
    <w:rsid w:val="00BF57E4"/>
    <w:rsid w:val="00BF57F6"/>
    <w:rsid w:val="00BF5800"/>
    <w:rsid w:val="00BF5809"/>
    <w:rsid w:val="00BF5812"/>
    <w:rsid w:val="00BF5824"/>
    <w:rsid w:val="00BF58CF"/>
    <w:rsid w:val="00BF58D0"/>
    <w:rsid w:val="00BF58F8"/>
    <w:rsid w:val="00BF5902"/>
    <w:rsid w:val="00BF5914"/>
    <w:rsid w:val="00BF5947"/>
    <w:rsid w:val="00BF594D"/>
    <w:rsid w:val="00BF5957"/>
    <w:rsid w:val="00BF597C"/>
    <w:rsid w:val="00BF5993"/>
    <w:rsid w:val="00BF599A"/>
    <w:rsid w:val="00BF59E1"/>
    <w:rsid w:val="00BF5A09"/>
    <w:rsid w:val="00BF5A4E"/>
    <w:rsid w:val="00BF5A7B"/>
    <w:rsid w:val="00BF5A93"/>
    <w:rsid w:val="00BF5B06"/>
    <w:rsid w:val="00BF5B20"/>
    <w:rsid w:val="00BF5B4A"/>
    <w:rsid w:val="00BF5B4F"/>
    <w:rsid w:val="00BF5B50"/>
    <w:rsid w:val="00BF5B54"/>
    <w:rsid w:val="00BF5BEE"/>
    <w:rsid w:val="00BF5C0B"/>
    <w:rsid w:val="00BF5C0F"/>
    <w:rsid w:val="00BF5C1B"/>
    <w:rsid w:val="00BF5C51"/>
    <w:rsid w:val="00BF5C5E"/>
    <w:rsid w:val="00BF5C72"/>
    <w:rsid w:val="00BF5CB7"/>
    <w:rsid w:val="00BF5CFA"/>
    <w:rsid w:val="00BF5D00"/>
    <w:rsid w:val="00BF5D06"/>
    <w:rsid w:val="00BF5D0D"/>
    <w:rsid w:val="00BF5D20"/>
    <w:rsid w:val="00BF5D38"/>
    <w:rsid w:val="00BF5D47"/>
    <w:rsid w:val="00BF5D52"/>
    <w:rsid w:val="00BF5D74"/>
    <w:rsid w:val="00BF5D75"/>
    <w:rsid w:val="00BF5DCF"/>
    <w:rsid w:val="00BF5DFB"/>
    <w:rsid w:val="00BF5E3A"/>
    <w:rsid w:val="00BF5E5D"/>
    <w:rsid w:val="00BF5E77"/>
    <w:rsid w:val="00BF5EA6"/>
    <w:rsid w:val="00BF5EE6"/>
    <w:rsid w:val="00BF5EFB"/>
    <w:rsid w:val="00BF5F4A"/>
    <w:rsid w:val="00BF5F56"/>
    <w:rsid w:val="00BF5F5B"/>
    <w:rsid w:val="00BF5F86"/>
    <w:rsid w:val="00BF5FB7"/>
    <w:rsid w:val="00BF6012"/>
    <w:rsid w:val="00BF6027"/>
    <w:rsid w:val="00BF6077"/>
    <w:rsid w:val="00BF6094"/>
    <w:rsid w:val="00BF6104"/>
    <w:rsid w:val="00BF6177"/>
    <w:rsid w:val="00BF6178"/>
    <w:rsid w:val="00BF617A"/>
    <w:rsid w:val="00BF61AD"/>
    <w:rsid w:val="00BF61CE"/>
    <w:rsid w:val="00BF623D"/>
    <w:rsid w:val="00BF6283"/>
    <w:rsid w:val="00BF628A"/>
    <w:rsid w:val="00BF6297"/>
    <w:rsid w:val="00BF629F"/>
    <w:rsid w:val="00BF6397"/>
    <w:rsid w:val="00BF639B"/>
    <w:rsid w:val="00BF63A9"/>
    <w:rsid w:val="00BF63AB"/>
    <w:rsid w:val="00BF63C0"/>
    <w:rsid w:val="00BF63DB"/>
    <w:rsid w:val="00BF63E6"/>
    <w:rsid w:val="00BF6403"/>
    <w:rsid w:val="00BF642C"/>
    <w:rsid w:val="00BF645F"/>
    <w:rsid w:val="00BF6477"/>
    <w:rsid w:val="00BF6483"/>
    <w:rsid w:val="00BF64EF"/>
    <w:rsid w:val="00BF64F4"/>
    <w:rsid w:val="00BF64F5"/>
    <w:rsid w:val="00BF64FE"/>
    <w:rsid w:val="00BF650E"/>
    <w:rsid w:val="00BF6535"/>
    <w:rsid w:val="00BF653E"/>
    <w:rsid w:val="00BF6557"/>
    <w:rsid w:val="00BF65A1"/>
    <w:rsid w:val="00BF65BB"/>
    <w:rsid w:val="00BF65BF"/>
    <w:rsid w:val="00BF65EA"/>
    <w:rsid w:val="00BF6648"/>
    <w:rsid w:val="00BF669B"/>
    <w:rsid w:val="00BF6751"/>
    <w:rsid w:val="00BF6783"/>
    <w:rsid w:val="00BF6799"/>
    <w:rsid w:val="00BF67B1"/>
    <w:rsid w:val="00BF67B7"/>
    <w:rsid w:val="00BF67C8"/>
    <w:rsid w:val="00BF67D1"/>
    <w:rsid w:val="00BF67E1"/>
    <w:rsid w:val="00BF6851"/>
    <w:rsid w:val="00BF6852"/>
    <w:rsid w:val="00BF6876"/>
    <w:rsid w:val="00BF68A1"/>
    <w:rsid w:val="00BF68BE"/>
    <w:rsid w:val="00BF68C1"/>
    <w:rsid w:val="00BF6908"/>
    <w:rsid w:val="00BF694A"/>
    <w:rsid w:val="00BF6960"/>
    <w:rsid w:val="00BF6995"/>
    <w:rsid w:val="00BF699C"/>
    <w:rsid w:val="00BF69CA"/>
    <w:rsid w:val="00BF69DD"/>
    <w:rsid w:val="00BF6A40"/>
    <w:rsid w:val="00BF6A72"/>
    <w:rsid w:val="00BF6ABB"/>
    <w:rsid w:val="00BF6AC5"/>
    <w:rsid w:val="00BF6ACD"/>
    <w:rsid w:val="00BF6B18"/>
    <w:rsid w:val="00BF6B4D"/>
    <w:rsid w:val="00BF6B9D"/>
    <w:rsid w:val="00BF6BE5"/>
    <w:rsid w:val="00BF6BEF"/>
    <w:rsid w:val="00BF6BF8"/>
    <w:rsid w:val="00BF6C1F"/>
    <w:rsid w:val="00BF6C5B"/>
    <w:rsid w:val="00BF6C7C"/>
    <w:rsid w:val="00BF6C88"/>
    <w:rsid w:val="00BF6CA8"/>
    <w:rsid w:val="00BF6D0C"/>
    <w:rsid w:val="00BF6D28"/>
    <w:rsid w:val="00BF6D2A"/>
    <w:rsid w:val="00BF6D36"/>
    <w:rsid w:val="00BF6D58"/>
    <w:rsid w:val="00BF6D5D"/>
    <w:rsid w:val="00BF6D85"/>
    <w:rsid w:val="00BF6D95"/>
    <w:rsid w:val="00BF6D97"/>
    <w:rsid w:val="00BF6DA3"/>
    <w:rsid w:val="00BF6DDE"/>
    <w:rsid w:val="00BF6E72"/>
    <w:rsid w:val="00BF6EBB"/>
    <w:rsid w:val="00BF6EC0"/>
    <w:rsid w:val="00BF6EE3"/>
    <w:rsid w:val="00BF6EE7"/>
    <w:rsid w:val="00BF6F17"/>
    <w:rsid w:val="00BF6F1F"/>
    <w:rsid w:val="00BF6F23"/>
    <w:rsid w:val="00BF6F25"/>
    <w:rsid w:val="00BF6F48"/>
    <w:rsid w:val="00BF6F83"/>
    <w:rsid w:val="00BF6F9A"/>
    <w:rsid w:val="00BF6FA4"/>
    <w:rsid w:val="00BF6FEE"/>
    <w:rsid w:val="00BF6FF9"/>
    <w:rsid w:val="00BF6FFC"/>
    <w:rsid w:val="00BF7011"/>
    <w:rsid w:val="00BF7033"/>
    <w:rsid w:val="00BF705C"/>
    <w:rsid w:val="00BF706D"/>
    <w:rsid w:val="00BF707E"/>
    <w:rsid w:val="00BF709D"/>
    <w:rsid w:val="00BF7107"/>
    <w:rsid w:val="00BF712B"/>
    <w:rsid w:val="00BF7149"/>
    <w:rsid w:val="00BF7168"/>
    <w:rsid w:val="00BF7199"/>
    <w:rsid w:val="00BF71B6"/>
    <w:rsid w:val="00BF71BA"/>
    <w:rsid w:val="00BF71D5"/>
    <w:rsid w:val="00BF7229"/>
    <w:rsid w:val="00BF722A"/>
    <w:rsid w:val="00BF722B"/>
    <w:rsid w:val="00BF72A9"/>
    <w:rsid w:val="00BF72ED"/>
    <w:rsid w:val="00BF7316"/>
    <w:rsid w:val="00BF7334"/>
    <w:rsid w:val="00BF7370"/>
    <w:rsid w:val="00BF737E"/>
    <w:rsid w:val="00BF7380"/>
    <w:rsid w:val="00BF73A2"/>
    <w:rsid w:val="00BF73D9"/>
    <w:rsid w:val="00BF73E2"/>
    <w:rsid w:val="00BF7434"/>
    <w:rsid w:val="00BF7454"/>
    <w:rsid w:val="00BF7497"/>
    <w:rsid w:val="00BF7499"/>
    <w:rsid w:val="00BF74B7"/>
    <w:rsid w:val="00BF74F0"/>
    <w:rsid w:val="00BF74FC"/>
    <w:rsid w:val="00BF750F"/>
    <w:rsid w:val="00BF7518"/>
    <w:rsid w:val="00BF7527"/>
    <w:rsid w:val="00BF756F"/>
    <w:rsid w:val="00BF7573"/>
    <w:rsid w:val="00BF75B3"/>
    <w:rsid w:val="00BF75B4"/>
    <w:rsid w:val="00BF75C0"/>
    <w:rsid w:val="00BF75DB"/>
    <w:rsid w:val="00BF761A"/>
    <w:rsid w:val="00BF762E"/>
    <w:rsid w:val="00BF765C"/>
    <w:rsid w:val="00BF765E"/>
    <w:rsid w:val="00BF7666"/>
    <w:rsid w:val="00BF7693"/>
    <w:rsid w:val="00BF76E5"/>
    <w:rsid w:val="00BF76F7"/>
    <w:rsid w:val="00BF7706"/>
    <w:rsid w:val="00BF7714"/>
    <w:rsid w:val="00BF771D"/>
    <w:rsid w:val="00BF7731"/>
    <w:rsid w:val="00BF7734"/>
    <w:rsid w:val="00BF773C"/>
    <w:rsid w:val="00BF776A"/>
    <w:rsid w:val="00BF7792"/>
    <w:rsid w:val="00BF77F6"/>
    <w:rsid w:val="00BF77FC"/>
    <w:rsid w:val="00BF77FF"/>
    <w:rsid w:val="00BF7829"/>
    <w:rsid w:val="00BF782D"/>
    <w:rsid w:val="00BF784A"/>
    <w:rsid w:val="00BF7891"/>
    <w:rsid w:val="00BF789B"/>
    <w:rsid w:val="00BF78A1"/>
    <w:rsid w:val="00BF78BE"/>
    <w:rsid w:val="00BF78C0"/>
    <w:rsid w:val="00BF78EB"/>
    <w:rsid w:val="00BF794E"/>
    <w:rsid w:val="00BF79FA"/>
    <w:rsid w:val="00BF7A46"/>
    <w:rsid w:val="00BF7A49"/>
    <w:rsid w:val="00BF7A58"/>
    <w:rsid w:val="00BF7A6C"/>
    <w:rsid w:val="00BF7A91"/>
    <w:rsid w:val="00BF7A94"/>
    <w:rsid w:val="00BF7AAC"/>
    <w:rsid w:val="00BF7AC7"/>
    <w:rsid w:val="00BF7AC8"/>
    <w:rsid w:val="00BF7AE4"/>
    <w:rsid w:val="00BF7B00"/>
    <w:rsid w:val="00BF7B60"/>
    <w:rsid w:val="00BF7B70"/>
    <w:rsid w:val="00BF7BBD"/>
    <w:rsid w:val="00BF7BD0"/>
    <w:rsid w:val="00BF7C41"/>
    <w:rsid w:val="00BF7C78"/>
    <w:rsid w:val="00BF7C88"/>
    <w:rsid w:val="00BF7C99"/>
    <w:rsid w:val="00BF7C9F"/>
    <w:rsid w:val="00BF7CC5"/>
    <w:rsid w:val="00BF7CCF"/>
    <w:rsid w:val="00BF7CD7"/>
    <w:rsid w:val="00BF7D28"/>
    <w:rsid w:val="00BF7D3E"/>
    <w:rsid w:val="00BF7D46"/>
    <w:rsid w:val="00BF7D85"/>
    <w:rsid w:val="00BF7DDC"/>
    <w:rsid w:val="00BF7E29"/>
    <w:rsid w:val="00BF7E39"/>
    <w:rsid w:val="00BF7E61"/>
    <w:rsid w:val="00BF7F1A"/>
    <w:rsid w:val="00BF7F34"/>
    <w:rsid w:val="00BF7FFA"/>
    <w:rsid w:val="00BF7FFE"/>
    <w:rsid w:val="00C00060"/>
    <w:rsid w:val="00C00084"/>
    <w:rsid w:val="00C00095"/>
    <w:rsid w:val="00C000D5"/>
    <w:rsid w:val="00C000DF"/>
    <w:rsid w:val="00C000FD"/>
    <w:rsid w:val="00C00107"/>
    <w:rsid w:val="00C0012A"/>
    <w:rsid w:val="00C0012C"/>
    <w:rsid w:val="00C0017A"/>
    <w:rsid w:val="00C00180"/>
    <w:rsid w:val="00C00183"/>
    <w:rsid w:val="00C00185"/>
    <w:rsid w:val="00C0019C"/>
    <w:rsid w:val="00C001A5"/>
    <w:rsid w:val="00C001A9"/>
    <w:rsid w:val="00C001AA"/>
    <w:rsid w:val="00C001F2"/>
    <w:rsid w:val="00C00201"/>
    <w:rsid w:val="00C00214"/>
    <w:rsid w:val="00C00219"/>
    <w:rsid w:val="00C00256"/>
    <w:rsid w:val="00C00280"/>
    <w:rsid w:val="00C002B8"/>
    <w:rsid w:val="00C002CC"/>
    <w:rsid w:val="00C0032A"/>
    <w:rsid w:val="00C00371"/>
    <w:rsid w:val="00C00374"/>
    <w:rsid w:val="00C00375"/>
    <w:rsid w:val="00C00383"/>
    <w:rsid w:val="00C003A8"/>
    <w:rsid w:val="00C003D8"/>
    <w:rsid w:val="00C003DA"/>
    <w:rsid w:val="00C003F3"/>
    <w:rsid w:val="00C0044B"/>
    <w:rsid w:val="00C00476"/>
    <w:rsid w:val="00C0047E"/>
    <w:rsid w:val="00C004AA"/>
    <w:rsid w:val="00C004C9"/>
    <w:rsid w:val="00C00500"/>
    <w:rsid w:val="00C00541"/>
    <w:rsid w:val="00C0058E"/>
    <w:rsid w:val="00C0058F"/>
    <w:rsid w:val="00C005BE"/>
    <w:rsid w:val="00C005D0"/>
    <w:rsid w:val="00C005D7"/>
    <w:rsid w:val="00C005F4"/>
    <w:rsid w:val="00C005FA"/>
    <w:rsid w:val="00C005FB"/>
    <w:rsid w:val="00C00608"/>
    <w:rsid w:val="00C00622"/>
    <w:rsid w:val="00C00627"/>
    <w:rsid w:val="00C00633"/>
    <w:rsid w:val="00C006C2"/>
    <w:rsid w:val="00C006D6"/>
    <w:rsid w:val="00C006E8"/>
    <w:rsid w:val="00C006E9"/>
    <w:rsid w:val="00C007AB"/>
    <w:rsid w:val="00C007DA"/>
    <w:rsid w:val="00C007DE"/>
    <w:rsid w:val="00C00842"/>
    <w:rsid w:val="00C0085D"/>
    <w:rsid w:val="00C0087B"/>
    <w:rsid w:val="00C00935"/>
    <w:rsid w:val="00C00956"/>
    <w:rsid w:val="00C0095D"/>
    <w:rsid w:val="00C00960"/>
    <w:rsid w:val="00C00977"/>
    <w:rsid w:val="00C009A9"/>
    <w:rsid w:val="00C009E8"/>
    <w:rsid w:val="00C009F7"/>
    <w:rsid w:val="00C00A0A"/>
    <w:rsid w:val="00C00A22"/>
    <w:rsid w:val="00C00A39"/>
    <w:rsid w:val="00C00A5B"/>
    <w:rsid w:val="00C00A74"/>
    <w:rsid w:val="00C00A86"/>
    <w:rsid w:val="00C00AC5"/>
    <w:rsid w:val="00C00AF3"/>
    <w:rsid w:val="00C00AFC"/>
    <w:rsid w:val="00C00B3A"/>
    <w:rsid w:val="00C00BAF"/>
    <w:rsid w:val="00C00BB4"/>
    <w:rsid w:val="00C00BDA"/>
    <w:rsid w:val="00C00BF2"/>
    <w:rsid w:val="00C00C31"/>
    <w:rsid w:val="00C00C32"/>
    <w:rsid w:val="00C00CA4"/>
    <w:rsid w:val="00C00CC5"/>
    <w:rsid w:val="00C00D2C"/>
    <w:rsid w:val="00C00D2D"/>
    <w:rsid w:val="00C00D2E"/>
    <w:rsid w:val="00C00D49"/>
    <w:rsid w:val="00C00D54"/>
    <w:rsid w:val="00C00D5D"/>
    <w:rsid w:val="00C00D85"/>
    <w:rsid w:val="00C00D91"/>
    <w:rsid w:val="00C00D94"/>
    <w:rsid w:val="00C00D99"/>
    <w:rsid w:val="00C00DB0"/>
    <w:rsid w:val="00C00E38"/>
    <w:rsid w:val="00C00E68"/>
    <w:rsid w:val="00C00E98"/>
    <w:rsid w:val="00C00ED7"/>
    <w:rsid w:val="00C00EDD"/>
    <w:rsid w:val="00C00EFD"/>
    <w:rsid w:val="00C00F25"/>
    <w:rsid w:val="00C00FA9"/>
    <w:rsid w:val="00C00FB6"/>
    <w:rsid w:val="00C00FBE"/>
    <w:rsid w:val="00C00FCB"/>
    <w:rsid w:val="00C00FE4"/>
    <w:rsid w:val="00C01049"/>
    <w:rsid w:val="00C0106A"/>
    <w:rsid w:val="00C01094"/>
    <w:rsid w:val="00C010B2"/>
    <w:rsid w:val="00C010B3"/>
    <w:rsid w:val="00C010CD"/>
    <w:rsid w:val="00C01147"/>
    <w:rsid w:val="00C0115C"/>
    <w:rsid w:val="00C01190"/>
    <w:rsid w:val="00C0119F"/>
    <w:rsid w:val="00C011B8"/>
    <w:rsid w:val="00C011DC"/>
    <w:rsid w:val="00C01215"/>
    <w:rsid w:val="00C01248"/>
    <w:rsid w:val="00C0127F"/>
    <w:rsid w:val="00C0129D"/>
    <w:rsid w:val="00C012BC"/>
    <w:rsid w:val="00C012C9"/>
    <w:rsid w:val="00C013AC"/>
    <w:rsid w:val="00C013F2"/>
    <w:rsid w:val="00C01486"/>
    <w:rsid w:val="00C014A1"/>
    <w:rsid w:val="00C014B2"/>
    <w:rsid w:val="00C014C8"/>
    <w:rsid w:val="00C014C9"/>
    <w:rsid w:val="00C014D0"/>
    <w:rsid w:val="00C014E2"/>
    <w:rsid w:val="00C0152D"/>
    <w:rsid w:val="00C01588"/>
    <w:rsid w:val="00C015AC"/>
    <w:rsid w:val="00C015CA"/>
    <w:rsid w:val="00C015E8"/>
    <w:rsid w:val="00C015F7"/>
    <w:rsid w:val="00C0161B"/>
    <w:rsid w:val="00C01661"/>
    <w:rsid w:val="00C016AD"/>
    <w:rsid w:val="00C016C0"/>
    <w:rsid w:val="00C016DD"/>
    <w:rsid w:val="00C0171D"/>
    <w:rsid w:val="00C017D7"/>
    <w:rsid w:val="00C01802"/>
    <w:rsid w:val="00C01806"/>
    <w:rsid w:val="00C01826"/>
    <w:rsid w:val="00C01870"/>
    <w:rsid w:val="00C018C4"/>
    <w:rsid w:val="00C0194F"/>
    <w:rsid w:val="00C01960"/>
    <w:rsid w:val="00C01988"/>
    <w:rsid w:val="00C0198E"/>
    <w:rsid w:val="00C01998"/>
    <w:rsid w:val="00C0199D"/>
    <w:rsid w:val="00C019BC"/>
    <w:rsid w:val="00C019D8"/>
    <w:rsid w:val="00C01A0F"/>
    <w:rsid w:val="00C01A90"/>
    <w:rsid w:val="00C01A9E"/>
    <w:rsid w:val="00C01AFC"/>
    <w:rsid w:val="00C01AFF"/>
    <w:rsid w:val="00C01B03"/>
    <w:rsid w:val="00C01B0E"/>
    <w:rsid w:val="00C01B16"/>
    <w:rsid w:val="00C01B4A"/>
    <w:rsid w:val="00C01B52"/>
    <w:rsid w:val="00C01BCB"/>
    <w:rsid w:val="00C01BDF"/>
    <w:rsid w:val="00C01BF3"/>
    <w:rsid w:val="00C01C4C"/>
    <w:rsid w:val="00C01C5B"/>
    <w:rsid w:val="00C01C82"/>
    <w:rsid w:val="00C01C8F"/>
    <w:rsid w:val="00C01CBF"/>
    <w:rsid w:val="00C01D5B"/>
    <w:rsid w:val="00C01D7F"/>
    <w:rsid w:val="00C01D94"/>
    <w:rsid w:val="00C01DA0"/>
    <w:rsid w:val="00C01DAD"/>
    <w:rsid w:val="00C01DAF"/>
    <w:rsid w:val="00C01DB4"/>
    <w:rsid w:val="00C01E22"/>
    <w:rsid w:val="00C01E27"/>
    <w:rsid w:val="00C01E2B"/>
    <w:rsid w:val="00C01E7C"/>
    <w:rsid w:val="00C01E8C"/>
    <w:rsid w:val="00C01EA9"/>
    <w:rsid w:val="00C01EBB"/>
    <w:rsid w:val="00C01ED9"/>
    <w:rsid w:val="00C01EF4"/>
    <w:rsid w:val="00C01F04"/>
    <w:rsid w:val="00C01F43"/>
    <w:rsid w:val="00C01F4F"/>
    <w:rsid w:val="00C01F7A"/>
    <w:rsid w:val="00C01F8C"/>
    <w:rsid w:val="00C01FB3"/>
    <w:rsid w:val="00C01FE4"/>
    <w:rsid w:val="00C01FF6"/>
    <w:rsid w:val="00C01FF8"/>
    <w:rsid w:val="00C02001"/>
    <w:rsid w:val="00C02007"/>
    <w:rsid w:val="00C0200F"/>
    <w:rsid w:val="00C02024"/>
    <w:rsid w:val="00C0202B"/>
    <w:rsid w:val="00C02041"/>
    <w:rsid w:val="00C02058"/>
    <w:rsid w:val="00C02081"/>
    <w:rsid w:val="00C020B8"/>
    <w:rsid w:val="00C020CE"/>
    <w:rsid w:val="00C020D1"/>
    <w:rsid w:val="00C020E1"/>
    <w:rsid w:val="00C0210E"/>
    <w:rsid w:val="00C02161"/>
    <w:rsid w:val="00C02163"/>
    <w:rsid w:val="00C02179"/>
    <w:rsid w:val="00C02195"/>
    <w:rsid w:val="00C02216"/>
    <w:rsid w:val="00C02223"/>
    <w:rsid w:val="00C0224B"/>
    <w:rsid w:val="00C02277"/>
    <w:rsid w:val="00C022AF"/>
    <w:rsid w:val="00C022CC"/>
    <w:rsid w:val="00C02303"/>
    <w:rsid w:val="00C0233C"/>
    <w:rsid w:val="00C023B3"/>
    <w:rsid w:val="00C023BA"/>
    <w:rsid w:val="00C02402"/>
    <w:rsid w:val="00C02443"/>
    <w:rsid w:val="00C02462"/>
    <w:rsid w:val="00C0248A"/>
    <w:rsid w:val="00C0251F"/>
    <w:rsid w:val="00C02527"/>
    <w:rsid w:val="00C0252C"/>
    <w:rsid w:val="00C0252D"/>
    <w:rsid w:val="00C02532"/>
    <w:rsid w:val="00C0255E"/>
    <w:rsid w:val="00C02566"/>
    <w:rsid w:val="00C0258E"/>
    <w:rsid w:val="00C025CC"/>
    <w:rsid w:val="00C025DD"/>
    <w:rsid w:val="00C0261D"/>
    <w:rsid w:val="00C0263E"/>
    <w:rsid w:val="00C0265F"/>
    <w:rsid w:val="00C026AC"/>
    <w:rsid w:val="00C026DA"/>
    <w:rsid w:val="00C026DD"/>
    <w:rsid w:val="00C026DE"/>
    <w:rsid w:val="00C02734"/>
    <w:rsid w:val="00C02737"/>
    <w:rsid w:val="00C02746"/>
    <w:rsid w:val="00C02787"/>
    <w:rsid w:val="00C02796"/>
    <w:rsid w:val="00C02808"/>
    <w:rsid w:val="00C0280E"/>
    <w:rsid w:val="00C0283C"/>
    <w:rsid w:val="00C028A6"/>
    <w:rsid w:val="00C028C9"/>
    <w:rsid w:val="00C028DD"/>
    <w:rsid w:val="00C02915"/>
    <w:rsid w:val="00C0291D"/>
    <w:rsid w:val="00C02950"/>
    <w:rsid w:val="00C02988"/>
    <w:rsid w:val="00C029BD"/>
    <w:rsid w:val="00C02A15"/>
    <w:rsid w:val="00C02A18"/>
    <w:rsid w:val="00C02A36"/>
    <w:rsid w:val="00C02A3C"/>
    <w:rsid w:val="00C02A68"/>
    <w:rsid w:val="00C02B04"/>
    <w:rsid w:val="00C02B15"/>
    <w:rsid w:val="00C02B4E"/>
    <w:rsid w:val="00C02B9A"/>
    <w:rsid w:val="00C02BA3"/>
    <w:rsid w:val="00C02BA6"/>
    <w:rsid w:val="00C02BB0"/>
    <w:rsid w:val="00C02BCC"/>
    <w:rsid w:val="00C02C0D"/>
    <w:rsid w:val="00C02C1A"/>
    <w:rsid w:val="00C02C29"/>
    <w:rsid w:val="00C02C7B"/>
    <w:rsid w:val="00C02CDA"/>
    <w:rsid w:val="00C02D17"/>
    <w:rsid w:val="00C02D30"/>
    <w:rsid w:val="00C02D5D"/>
    <w:rsid w:val="00C02D61"/>
    <w:rsid w:val="00C02D62"/>
    <w:rsid w:val="00C02D67"/>
    <w:rsid w:val="00C02DCA"/>
    <w:rsid w:val="00C02DCD"/>
    <w:rsid w:val="00C02DDF"/>
    <w:rsid w:val="00C02DF2"/>
    <w:rsid w:val="00C02E17"/>
    <w:rsid w:val="00C02E27"/>
    <w:rsid w:val="00C02E54"/>
    <w:rsid w:val="00C02E89"/>
    <w:rsid w:val="00C02E97"/>
    <w:rsid w:val="00C02EC2"/>
    <w:rsid w:val="00C02EDB"/>
    <w:rsid w:val="00C02EE5"/>
    <w:rsid w:val="00C02EFE"/>
    <w:rsid w:val="00C02F10"/>
    <w:rsid w:val="00C02F20"/>
    <w:rsid w:val="00C02F6C"/>
    <w:rsid w:val="00C02FA8"/>
    <w:rsid w:val="00C02FCF"/>
    <w:rsid w:val="00C02FF1"/>
    <w:rsid w:val="00C02FF6"/>
    <w:rsid w:val="00C0300F"/>
    <w:rsid w:val="00C03041"/>
    <w:rsid w:val="00C030A4"/>
    <w:rsid w:val="00C030AE"/>
    <w:rsid w:val="00C030B0"/>
    <w:rsid w:val="00C030ED"/>
    <w:rsid w:val="00C030FB"/>
    <w:rsid w:val="00C0311B"/>
    <w:rsid w:val="00C03141"/>
    <w:rsid w:val="00C0314B"/>
    <w:rsid w:val="00C03184"/>
    <w:rsid w:val="00C0318E"/>
    <w:rsid w:val="00C031C3"/>
    <w:rsid w:val="00C031E7"/>
    <w:rsid w:val="00C0320B"/>
    <w:rsid w:val="00C03226"/>
    <w:rsid w:val="00C0324A"/>
    <w:rsid w:val="00C032BD"/>
    <w:rsid w:val="00C032D7"/>
    <w:rsid w:val="00C032E6"/>
    <w:rsid w:val="00C032F5"/>
    <w:rsid w:val="00C03312"/>
    <w:rsid w:val="00C03321"/>
    <w:rsid w:val="00C03389"/>
    <w:rsid w:val="00C033E0"/>
    <w:rsid w:val="00C033E3"/>
    <w:rsid w:val="00C034CA"/>
    <w:rsid w:val="00C03515"/>
    <w:rsid w:val="00C03528"/>
    <w:rsid w:val="00C03546"/>
    <w:rsid w:val="00C03548"/>
    <w:rsid w:val="00C03583"/>
    <w:rsid w:val="00C035C6"/>
    <w:rsid w:val="00C035C9"/>
    <w:rsid w:val="00C035F0"/>
    <w:rsid w:val="00C03639"/>
    <w:rsid w:val="00C03648"/>
    <w:rsid w:val="00C03671"/>
    <w:rsid w:val="00C03679"/>
    <w:rsid w:val="00C036E3"/>
    <w:rsid w:val="00C036F5"/>
    <w:rsid w:val="00C0374D"/>
    <w:rsid w:val="00C03758"/>
    <w:rsid w:val="00C03774"/>
    <w:rsid w:val="00C037CE"/>
    <w:rsid w:val="00C037D0"/>
    <w:rsid w:val="00C037EA"/>
    <w:rsid w:val="00C0380D"/>
    <w:rsid w:val="00C03848"/>
    <w:rsid w:val="00C0386F"/>
    <w:rsid w:val="00C03871"/>
    <w:rsid w:val="00C038B3"/>
    <w:rsid w:val="00C038C2"/>
    <w:rsid w:val="00C038CF"/>
    <w:rsid w:val="00C038E5"/>
    <w:rsid w:val="00C03932"/>
    <w:rsid w:val="00C03938"/>
    <w:rsid w:val="00C03945"/>
    <w:rsid w:val="00C0396E"/>
    <w:rsid w:val="00C039BE"/>
    <w:rsid w:val="00C039CD"/>
    <w:rsid w:val="00C03A8E"/>
    <w:rsid w:val="00C03A97"/>
    <w:rsid w:val="00C03AA4"/>
    <w:rsid w:val="00C03AAA"/>
    <w:rsid w:val="00C03AC5"/>
    <w:rsid w:val="00C03ACC"/>
    <w:rsid w:val="00C03B0D"/>
    <w:rsid w:val="00C03B2B"/>
    <w:rsid w:val="00C03B2F"/>
    <w:rsid w:val="00C03B36"/>
    <w:rsid w:val="00C03B43"/>
    <w:rsid w:val="00C03B62"/>
    <w:rsid w:val="00C03B6A"/>
    <w:rsid w:val="00C03B9E"/>
    <w:rsid w:val="00C03BCE"/>
    <w:rsid w:val="00C03BD1"/>
    <w:rsid w:val="00C03C11"/>
    <w:rsid w:val="00C03C19"/>
    <w:rsid w:val="00C03C35"/>
    <w:rsid w:val="00C03C74"/>
    <w:rsid w:val="00C03C92"/>
    <w:rsid w:val="00C03D46"/>
    <w:rsid w:val="00C03DC8"/>
    <w:rsid w:val="00C03DFC"/>
    <w:rsid w:val="00C03E2D"/>
    <w:rsid w:val="00C03E2F"/>
    <w:rsid w:val="00C03E87"/>
    <w:rsid w:val="00C03E88"/>
    <w:rsid w:val="00C03EC3"/>
    <w:rsid w:val="00C03EF4"/>
    <w:rsid w:val="00C03F22"/>
    <w:rsid w:val="00C03F89"/>
    <w:rsid w:val="00C03F8C"/>
    <w:rsid w:val="00C03FC4"/>
    <w:rsid w:val="00C03FCA"/>
    <w:rsid w:val="00C03FF6"/>
    <w:rsid w:val="00C0400C"/>
    <w:rsid w:val="00C04011"/>
    <w:rsid w:val="00C04041"/>
    <w:rsid w:val="00C04043"/>
    <w:rsid w:val="00C0404C"/>
    <w:rsid w:val="00C04053"/>
    <w:rsid w:val="00C04074"/>
    <w:rsid w:val="00C04084"/>
    <w:rsid w:val="00C04098"/>
    <w:rsid w:val="00C040D1"/>
    <w:rsid w:val="00C040EE"/>
    <w:rsid w:val="00C04171"/>
    <w:rsid w:val="00C041E8"/>
    <w:rsid w:val="00C04203"/>
    <w:rsid w:val="00C0420B"/>
    <w:rsid w:val="00C0425B"/>
    <w:rsid w:val="00C04269"/>
    <w:rsid w:val="00C042F5"/>
    <w:rsid w:val="00C0431F"/>
    <w:rsid w:val="00C0433B"/>
    <w:rsid w:val="00C04364"/>
    <w:rsid w:val="00C04373"/>
    <w:rsid w:val="00C043D2"/>
    <w:rsid w:val="00C043D5"/>
    <w:rsid w:val="00C043DA"/>
    <w:rsid w:val="00C043DE"/>
    <w:rsid w:val="00C043F4"/>
    <w:rsid w:val="00C04420"/>
    <w:rsid w:val="00C0443D"/>
    <w:rsid w:val="00C04468"/>
    <w:rsid w:val="00C0446E"/>
    <w:rsid w:val="00C044BF"/>
    <w:rsid w:val="00C044CC"/>
    <w:rsid w:val="00C044EE"/>
    <w:rsid w:val="00C044EF"/>
    <w:rsid w:val="00C04506"/>
    <w:rsid w:val="00C04537"/>
    <w:rsid w:val="00C04572"/>
    <w:rsid w:val="00C0457C"/>
    <w:rsid w:val="00C045F5"/>
    <w:rsid w:val="00C045F7"/>
    <w:rsid w:val="00C045FA"/>
    <w:rsid w:val="00C0460A"/>
    <w:rsid w:val="00C0465C"/>
    <w:rsid w:val="00C046F7"/>
    <w:rsid w:val="00C04712"/>
    <w:rsid w:val="00C0471F"/>
    <w:rsid w:val="00C04728"/>
    <w:rsid w:val="00C0472F"/>
    <w:rsid w:val="00C0473B"/>
    <w:rsid w:val="00C04743"/>
    <w:rsid w:val="00C0475C"/>
    <w:rsid w:val="00C0475F"/>
    <w:rsid w:val="00C04767"/>
    <w:rsid w:val="00C047A8"/>
    <w:rsid w:val="00C0488A"/>
    <w:rsid w:val="00C048F3"/>
    <w:rsid w:val="00C04911"/>
    <w:rsid w:val="00C04922"/>
    <w:rsid w:val="00C04927"/>
    <w:rsid w:val="00C0492E"/>
    <w:rsid w:val="00C04989"/>
    <w:rsid w:val="00C049F8"/>
    <w:rsid w:val="00C04A5C"/>
    <w:rsid w:val="00C04A77"/>
    <w:rsid w:val="00C04AAD"/>
    <w:rsid w:val="00C04AB5"/>
    <w:rsid w:val="00C04ADF"/>
    <w:rsid w:val="00C04B01"/>
    <w:rsid w:val="00C04B2C"/>
    <w:rsid w:val="00C04B44"/>
    <w:rsid w:val="00C04B6A"/>
    <w:rsid w:val="00C04B6E"/>
    <w:rsid w:val="00C04B78"/>
    <w:rsid w:val="00C04B8F"/>
    <w:rsid w:val="00C04B99"/>
    <w:rsid w:val="00C04BAB"/>
    <w:rsid w:val="00C04BB8"/>
    <w:rsid w:val="00C04BBB"/>
    <w:rsid w:val="00C04BE8"/>
    <w:rsid w:val="00C04C02"/>
    <w:rsid w:val="00C04C36"/>
    <w:rsid w:val="00C04C56"/>
    <w:rsid w:val="00C04D12"/>
    <w:rsid w:val="00C04D15"/>
    <w:rsid w:val="00C04D58"/>
    <w:rsid w:val="00C04D96"/>
    <w:rsid w:val="00C04DCD"/>
    <w:rsid w:val="00C04DDA"/>
    <w:rsid w:val="00C04DDE"/>
    <w:rsid w:val="00C04E00"/>
    <w:rsid w:val="00C04E06"/>
    <w:rsid w:val="00C04E1F"/>
    <w:rsid w:val="00C04E2D"/>
    <w:rsid w:val="00C04E3A"/>
    <w:rsid w:val="00C04E6D"/>
    <w:rsid w:val="00C04E74"/>
    <w:rsid w:val="00C04E7C"/>
    <w:rsid w:val="00C04EBA"/>
    <w:rsid w:val="00C04ECF"/>
    <w:rsid w:val="00C04F04"/>
    <w:rsid w:val="00C04F3F"/>
    <w:rsid w:val="00C04F45"/>
    <w:rsid w:val="00C04F48"/>
    <w:rsid w:val="00C04F6C"/>
    <w:rsid w:val="00C04F7E"/>
    <w:rsid w:val="00C04F9A"/>
    <w:rsid w:val="00C04FCA"/>
    <w:rsid w:val="00C04FF5"/>
    <w:rsid w:val="00C05030"/>
    <w:rsid w:val="00C05069"/>
    <w:rsid w:val="00C05071"/>
    <w:rsid w:val="00C0509B"/>
    <w:rsid w:val="00C050B6"/>
    <w:rsid w:val="00C050BE"/>
    <w:rsid w:val="00C050CF"/>
    <w:rsid w:val="00C0510F"/>
    <w:rsid w:val="00C051AC"/>
    <w:rsid w:val="00C051DD"/>
    <w:rsid w:val="00C051EB"/>
    <w:rsid w:val="00C0527E"/>
    <w:rsid w:val="00C0528B"/>
    <w:rsid w:val="00C052D5"/>
    <w:rsid w:val="00C052D9"/>
    <w:rsid w:val="00C052ED"/>
    <w:rsid w:val="00C052FC"/>
    <w:rsid w:val="00C05308"/>
    <w:rsid w:val="00C05358"/>
    <w:rsid w:val="00C05396"/>
    <w:rsid w:val="00C053CA"/>
    <w:rsid w:val="00C053FB"/>
    <w:rsid w:val="00C05446"/>
    <w:rsid w:val="00C0545F"/>
    <w:rsid w:val="00C05471"/>
    <w:rsid w:val="00C054F5"/>
    <w:rsid w:val="00C05529"/>
    <w:rsid w:val="00C0552D"/>
    <w:rsid w:val="00C05549"/>
    <w:rsid w:val="00C05556"/>
    <w:rsid w:val="00C0556F"/>
    <w:rsid w:val="00C0559F"/>
    <w:rsid w:val="00C055F0"/>
    <w:rsid w:val="00C055F2"/>
    <w:rsid w:val="00C05615"/>
    <w:rsid w:val="00C056E1"/>
    <w:rsid w:val="00C056FE"/>
    <w:rsid w:val="00C05704"/>
    <w:rsid w:val="00C057B0"/>
    <w:rsid w:val="00C05804"/>
    <w:rsid w:val="00C0581A"/>
    <w:rsid w:val="00C0582F"/>
    <w:rsid w:val="00C05847"/>
    <w:rsid w:val="00C0586F"/>
    <w:rsid w:val="00C05873"/>
    <w:rsid w:val="00C058AC"/>
    <w:rsid w:val="00C058DF"/>
    <w:rsid w:val="00C058E7"/>
    <w:rsid w:val="00C0592E"/>
    <w:rsid w:val="00C05942"/>
    <w:rsid w:val="00C0597C"/>
    <w:rsid w:val="00C0598F"/>
    <w:rsid w:val="00C059B1"/>
    <w:rsid w:val="00C059F0"/>
    <w:rsid w:val="00C05A05"/>
    <w:rsid w:val="00C05A06"/>
    <w:rsid w:val="00C05A1C"/>
    <w:rsid w:val="00C05A3E"/>
    <w:rsid w:val="00C05A67"/>
    <w:rsid w:val="00C05A82"/>
    <w:rsid w:val="00C05AA7"/>
    <w:rsid w:val="00C05ACB"/>
    <w:rsid w:val="00C05B11"/>
    <w:rsid w:val="00C05B5E"/>
    <w:rsid w:val="00C05B69"/>
    <w:rsid w:val="00C05B9E"/>
    <w:rsid w:val="00C05BD2"/>
    <w:rsid w:val="00C05BD3"/>
    <w:rsid w:val="00C05C60"/>
    <w:rsid w:val="00C05CA7"/>
    <w:rsid w:val="00C05CA9"/>
    <w:rsid w:val="00C05CBE"/>
    <w:rsid w:val="00C05CD0"/>
    <w:rsid w:val="00C05CDA"/>
    <w:rsid w:val="00C05CF5"/>
    <w:rsid w:val="00C05D41"/>
    <w:rsid w:val="00C05D5E"/>
    <w:rsid w:val="00C05DB0"/>
    <w:rsid w:val="00C05DD4"/>
    <w:rsid w:val="00C05DEE"/>
    <w:rsid w:val="00C05DF7"/>
    <w:rsid w:val="00C05E1D"/>
    <w:rsid w:val="00C05E20"/>
    <w:rsid w:val="00C05E3A"/>
    <w:rsid w:val="00C05E9A"/>
    <w:rsid w:val="00C05ECF"/>
    <w:rsid w:val="00C05ED1"/>
    <w:rsid w:val="00C05EEC"/>
    <w:rsid w:val="00C05EFB"/>
    <w:rsid w:val="00C05F09"/>
    <w:rsid w:val="00C05F3D"/>
    <w:rsid w:val="00C05FFB"/>
    <w:rsid w:val="00C06022"/>
    <w:rsid w:val="00C0602C"/>
    <w:rsid w:val="00C06040"/>
    <w:rsid w:val="00C06052"/>
    <w:rsid w:val="00C0609F"/>
    <w:rsid w:val="00C060C2"/>
    <w:rsid w:val="00C060CA"/>
    <w:rsid w:val="00C06101"/>
    <w:rsid w:val="00C06124"/>
    <w:rsid w:val="00C06133"/>
    <w:rsid w:val="00C06139"/>
    <w:rsid w:val="00C06147"/>
    <w:rsid w:val="00C06161"/>
    <w:rsid w:val="00C06182"/>
    <w:rsid w:val="00C061BF"/>
    <w:rsid w:val="00C061F7"/>
    <w:rsid w:val="00C061FB"/>
    <w:rsid w:val="00C06226"/>
    <w:rsid w:val="00C06258"/>
    <w:rsid w:val="00C0625E"/>
    <w:rsid w:val="00C0629E"/>
    <w:rsid w:val="00C062B5"/>
    <w:rsid w:val="00C062C8"/>
    <w:rsid w:val="00C062C9"/>
    <w:rsid w:val="00C06333"/>
    <w:rsid w:val="00C06339"/>
    <w:rsid w:val="00C063D3"/>
    <w:rsid w:val="00C063D4"/>
    <w:rsid w:val="00C0640B"/>
    <w:rsid w:val="00C06434"/>
    <w:rsid w:val="00C06461"/>
    <w:rsid w:val="00C0647D"/>
    <w:rsid w:val="00C064AA"/>
    <w:rsid w:val="00C064CD"/>
    <w:rsid w:val="00C065A3"/>
    <w:rsid w:val="00C065C0"/>
    <w:rsid w:val="00C065F3"/>
    <w:rsid w:val="00C065FE"/>
    <w:rsid w:val="00C06660"/>
    <w:rsid w:val="00C06684"/>
    <w:rsid w:val="00C0669A"/>
    <w:rsid w:val="00C066CA"/>
    <w:rsid w:val="00C066DC"/>
    <w:rsid w:val="00C0672D"/>
    <w:rsid w:val="00C06773"/>
    <w:rsid w:val="00C067B9"/>
    <w:rsid w:val="00C06856"/>
    <w:rsid w:val="00C068AE"/>
    <w:rsid w:val="00C068C2"/>
    <w:rsid w:val="00C068DC"/>
    <w:rsid w:val="00C068EA"/>
    <w:rsid w:val="00C06917"/>
    <w:rsid w:val="00C06939"/>
    <w:rsid w:val="00C0697A"/>
    <w:rsid w:val="00C069A7"/>
    <w:rsid w:val="00C069C1"/>
    <w:rsid w:val="00C06A09"/>
    <w:rsid w:val="00C06A16"/>
    <w:rsid w:val="00C06A6A"/>
    <w:rsid w:val="00C06AB4"/>
    <w:rsid w:val="00C06AE9"/>
    <w:rsid w:val="00C06AFB"/>
    <w:rsid w:val="00C06B53"/>
    <w:rsid w:val="00C06B63"/>
    <w:rsid w:val="00C06B91"/>
    <w:rsid w:val="00C06BA2"/>
    <w:rsid w:val="00C06BD5"/>
    <w:rsid w:val="00C06C4D"/>
    <w:rsid w:val="00C06C5E"/>
    <w:rsid w:val="00C06C7A"/>
    <w:rsid w:val="00C06C89"/>
    <w:rsid w:val="00C06CBA"/>
    <w:rsid w:val="00C06CC6"/>
    <w:rsid w:val="00C06CC9"/>
    <w:rsid w:val="00C06CF7"/>
    <w:rsid w:val="00C06D23"/>
    <w:rsid w:val="00C06D99"/>
    <w:rsid w:val="00C06DA5"/>
    <w:rsid w:val="00C06DF4"/>
    <w:rsid w:val="00C06DFE"/>
    <w:rsid w:val="00C06E2A"/>
    <w:rsid w:val="00C06E33"/>
    <w:rsid w:val="00C06E4E"/>
    <w:rsid w:val="00C06E9D"/>
    <w:rsid w:val="00C06E9E"/>
    <w:rsid w:val="00C06EB6"/>
    <w:rsid w:val="00C06ED2"/>
    <w:rsid w:val="00C06F31"/>
    <w:rsid w:val="00C06F64"/>
    <w:rsid w:val="00C06F74"/>
    <w:rsid w:val="00C06F76"/>
    <w:rsid w:val="00C06F7C"/>
    <w:rsid w:val="00C06F8B"/>
    <w:rsid w:val="00C06FD4"/>
    <w:rsid w:val="00C07004"/>
    <w:rsid w:val="00C0701F"/>
    <w:rsid w:val="00C07099"/>
    <w:rsid w:val="00C070CB"/>
    <w:rsid w:val="00C070CD"/>
    <w:rsid w:val="00C0710D"/>
    <w:rsid w:val="00C0712C"/>
    <w:rsid w:val="00C07136"/>
    <w:rsid w:val="00C0715A"/>
    <w:rsid w:val="00C07184"/>
    <w:rsid w:val="00C07194"/>
    <w:rsid w:val="00C07199"/>
    <w:rsid w:val="00C071AC"/>
    <w:rsid w:val="00C07201"/>
    <w:rsid w:val="00C07210"/>
    <w:rsid w:val="00C07240"/>
    <w:rsid w:val="00C07245"/>
    <w:rsid w:val="00C07263"/>
    <w:rsid w:val="00C07270"/>
    <w:rsid w:val="00C07273"/>
    <w:rsid w:val="00C072A1"/>
    <w:rsid w:val="00C072BB"/>
    <w:rsid w:val="00C07334"/>
    <w:rsid w:val="00C07372"/>
    <w:rsid w:val="00C0738B"/>
    <w:rsid w:val="00C073A5"/>
    <w:rsid w:val="00C073D8"/>
    <w:rsid w:val="00C0740D"/>
    <w:rsid w:val="00C07429"/>
    <w:rsid w:val="00C07448"/>
    <w:rsid w:val="00C074A1"/>
    <w:rsid w:val="00C074BA"/>
    <w:rsid w:val="00C07515"/>
    <w:rsid w:val="00C07558"/>
    <w:rsid w:val="00C075DD"/>
    <w:rsid w:val="00C0760C"/>
    <w:rsid w:val="00C07613"/>
    <w:rsid w:val="00C0761F"/>
    <w:rsid w:val="00C0762C"/>
    <w:rsid w:val="00C0765A"/>
    <w:rsid w:val="00C076A5"/>
    <w:rsid w:val="00C076BA"/>
    <w:rsid w:val="00C076BB"/>
    <w:rsid w:val="00C076CD"/>
    <w:rsid w:val="00C076E6"/>
    <w:rsid w:val="00C076FC"/>
    <w:rsid w:val="00C07723"/>
    <w:rsid w:val="00C07734"/>
    <w:rsid w:val="00C0773E"/>
    <w:rsid w:val="00C0775C"/>
    <w:rsid w:val="00C07819"/>
    <w:rsid w:val="00C078DC"/>
    <w:rsid w:val="00C078DF"/>
    <w:rsid w:val="00C0790B"/>
    <w:rsid w:val="00C07930"/>
    <w:rsid w:val="00C07932"/>
    <w:rsid w:val="00C0796A"/>
    <w:rsid w:val="00C0797D"/>
    <w:rsid w:val="00C07A5C"/>
    <w:rsid w:val="00C07A7B"/>
    <w:rsid w:val="00C07A84"/>
    <w:rsid w:val="00C07AB4"/>
    <w:rsid w:val="00C07AB5"/>
    <w:rsid w:val="00C07ADA"/>
    <w:rsid w:val="00C07ADF"/>
    <w:rsid w:val="00C07B13"/>
    <w:rsid w:val="00C07B3E"/>
    <w:rsid w:val="00C07B49"/>
    <w:rsid w:val="00C07B60"/>
    <w:rsid w:val="00C07B77"/>
    <w:rsid w:val="00C07BA7"/>
    <w:rsid w:val="00C07BAB"/>
    <w:rsid w:val="00C07BAC"/>
    <w:rsid w:val="00C07BDC"/>
    <w:rsid w:val="00C07C18"/>
    <w:rsid w:val="00C07C53"/>
    <w:rsid w:val="00C07C77"/>
    <w:rsid w:val="00C07C8F"/>
    <w:rsid w:val="00C07C90"/>
    <w:rsid w:val="00C07CAE"/>
    <w:rsid w:val="00C07CB8"/>
    <w:rsid w:val="00C07CBC"/>
    <w:rsid w:val="00C07CBF"/>
    <w:rsid w:val="00C07CEE"/>
    <w:rsid w:val="00C07D3C"/>
    <w:rsid w:val="00C07D50"/>
    <w:rsid w:val="00C07D57"/>
    <w:rsid w:val="00C07D61"/>
    <w:rsid w:val="00C07D77"/>
    <w:rsid w:val="00C07D79"/>
    <w:rsid w:val="00C07D97"/>
    <w:rsid w:val="00C07DF1"/>
    <w:rsid w:val="00C07E89"/>
    <w:rsid w:val="00C07E8D"/>
    <w:rsid w:val="00C07EBB"/>
    <w:rsid w:val="00C07ECA"/>
    <w:rsid w:val="00C07EDC"/>
    <w:rsid w:val="00C07F0E"/>
    <w:rsid w:val="00C07F37"/>
    <w:rsid w:val="00C07F4E"/>
    <w:rsid w:val="00C07F79"/>
    <w:rsid w:val="00C07F99"/>
    <w:rsid w:val="00C1000D"/>
    <w:rsid w:val="00C10012"/>
    <w:rsid w:val="00C10030"/>
    <w:rsid w:val="00C10057"/>
    <w:rsid w:val="00C1005D"/>
    <w:rsid w:val="00C10099"/>
    <w:rsid w:val="00C100A3"/>
    <w:rsid w:val="00C100E2"/>
    <w:rsid w:val="00C100F0"/>
    <w:rsid w:val="00C10113"/>
    <w:rsid w:val="00C10120"/>
    <w:rsid w:val="00C1013A"/>
    <w:rsid w:val="00C101EF"/>
    <w:rsid w:val="00C101FD"/>
    <w:rsid w:val="00C101FE"/>
    <w:rsid w:val="00C10202"/>
    <w:rsid w:val="00C1020C"/>
    <w:rsid w:val="00C10228"/>
    <w:rsid w:val="00C1024E"/>
    <w:rsid w:val="00C1026E"/>
    <w:rsid w:val="00C10296"/>
    <w:rsid w:val="00C102DD"/>
    <w:rsid w:val="00C102DF"/>
    <w:rsid w:val="00C102E3"/>
    <w:rsid w:val="00C102E9"/>
    <w:rsid w:val="00C1030A"/>
    <w:rsid w:val="00C10327"/>
    <w:rsid w:val="00C10348"/>
    <w:rsid w:val="00C10355"/>
    <w:rsid w:val="00C10356"/>
    <w:rsid w:val="00C10358"/>
    <w:rsid w:val="00C1036E"/>
    <w:rsid w:val="00C103B9"/>
    <w:rsid w:val="00C103C3"/>
    <w:rsid w:val="00C103C4"/>
    <w:rsid w:val="00C1040F"/>
    <w:rsid w:val="00C1042A"/>
    <w:rsid w:val="00C10465"/>
    <w:rsid w:val="00C1046F"/>
    <w:rsid w:val="00C10475"/>
    <w:rsid w:val="00C104C6"/>
    <w:rsid w:val="00C104D1"/>
    <w:rsid w:val="00C104DD"/>
    <w:rsid w:val="00C104F0"/>
    <w:rsid w:val="00C104FA"/>
    <w:rsid w:val="00C10504"/>
    <w:rsid w:val="00C1051D"/>
    <w:rsid w:val="00C10524"/>
    <w:rsid w:val="00C1053F"/>
    <w:rsid w:val="00C1056C"/>
    <w:rsid w:val="00C10593"/>
    <w:rsid w:val="00C105BA"/>
    <w:rsid w:val="00C105BE"/>
    <w:rsid w:val="00C105D6"/>
    <w:rsid w:val="00C105DF"/>
    <w:rsid w:val="00C10610"/>
    <w:rsid w:val="00C1065B"/>
    <w:rsid w:val="00C106A0"/>
    <w:rsid w:val="00C1070C"/>
    <w:rsid w:val="00C1072A"/>
    <w:rsid w:val="00C1074B"/>
    <w:rsid w:val="00C10768"/>
    <w:rsid w:val="00C1077F"/>
    <w:rsid w:val="00C107FC"/>
    <w:rsid w:val="00C10830"/>
    <w:rsid w:val="00C10832"/>
    <w:rsid w:val="00C1086B"/>
    <w:rsid w:val="00C10881"/>
    <w:rsid w:val="00C108AD"/>
    <w:rsid w:val="00C1094C"/>
    <w:rsid w:val="00C10962"/>
    <w:rsid w:val="00C1097B"/>
    <w:rsid w:val="00C1097C"/>
    <w:rsid w:val="00C109F4"/>
    <w:rsid w:val="00C10A14"/>
    <w:rsid w:val="00C10A4D"/>
    <w:rsid w:val="00C10A68"/>
    <w:rsid w:val="00C10A74"/>
    <w:rsid w:val="00C10A7D"/>
    <w:rsid w:val="00C10A87"/>
    <w:rsid w:val="00C10A98"/>
    <w:rsid w:val="00C10AB5"/>
    <w:rsid w:val="00C10ACE"/>
    <w:rsid w:val="00C10AD1"/>
    <w:rsid w:val="00C10B3E"/>
    <w:rsid w:val="00C10B40"/>
    <w:rsid w:val="00C10B65"/>
    <w:rsid w:val="00C10B6C"/>
    <w:rsid w:val="00C10B74"/>
    <w:rsid w:val="00C10B96"/>
    <w:rsid w:val="00C10B9A"/>
    <w:rsid w:val="00C10BBF"/>
    <w:rsid w:val="00C10BFE"/>
    <w:rsid w:val="00C10C28"/>
    <w:rsid w:val="00C10C2F"/>
    <w:rsid w:val="00C10C62"/>
    <w:rsid w:val="00C10C7E"/>
    <w:rsid w:val="00C10C83"/>
    <w:rsid w:val="00C10C88"/>
    <w:rsid w:val="00C10C95"/>
    <w:rsid w:val="00C10CD2"/>
    <w:rsid w:val="00C10D46"/>
    <w:rsid w:val="00C10E4C"/>
    <w:rsid w:val="00C10E69"/>
    <w:rsid w:val="00C10E7A"/>
    <w:rsid w:val="00C10EBC"/>
    <w:rsid w:val="00C10EE9"/>
    <w:rsid w:val="00C10EEA"/>
    <w:rsid w:val="00C10EF4"/>
    <w:rsid w:val="00C10F15"/>
    <w:rsid w:val="00C10F30"/>
    <w:rsid w:val="00C10F71"/>
    <w:rsid w:val="00C10FD1"/>
    <w:rsid w:val="00C11044"/>
    <w:rsid w:val="00C11085"/>
    <w:rsid w:val="00C1108C"/>
    <w:rsid w:val="00C1109A"/>
    <w:rsid w:val="00C11191"/>
    <w:rsid w:val="00C11197"/>
    <w:rsid w:val="00C1119A"/>
    <w:rsid w:val="00C11221"/>
    <w:rsid w:val="00C1124E"/>
    <w:rsid w:val="00C112CD"/>
    <w:rsid w:val="00C11315"/>
    <w:rsid w:val="00C11331"/>
    <w:rsid w:val="00C11368"/>
    <w:rsid w:val="00C113B7"/>
    <w:rsid w:val="00C113C4"/>
    <w:rsid w:val="00C113C8"/>
    <w:rsid w:val="00C11411"/>
    <w:rsid w:val="00C11418"/>
    <w:rsid w:val="00C11447"/>
    <w:rsid w:val="00C1144D"/>
    <w:rsid w:val="00C11489"/>
    <w:rsid w:val="00C114B2"/>
    <w:rsid w:val="00C114B4"/>
    <w:rsid w:val="00C114F9"/>
    <w:rsid w:val="00C1150F"/>
    <w:rsid w:val="00C1155B"/>
    <w:rsid w:val="00C115A5"/>
    <w:rsid w:val="00C115C6"/>
    <w:rsid w:val="00C115FD"/>
    <w:rsid w:val="00C11613"/>
    <w:rsid w:val="00C11635"/>
    <w:rsid w:val="00C11639"/>
    <w:rsid w:val="00C11654"/>
    <w:rsid w:val="00C1165B"/>
    <w:rsid w:val="00C116B9"/>
    <w:rsid w:val="00C116F7"/>
    <w:rsid w:val="00C11700"/>
    <w:rsid w:val="00C11718"/>
    <w:rsid w:val="00C11764"/>
    <w:rsid w:val="00C11779"/>
    <w:rsid w:val="00C117B7"/>
    <w:rsid w:val="00C117FA"/>
    <w:rsid w:val="00C11859"/>
    <w:rsid w:val="00C11896"/>
    <w:rsid w:val="00C118F4"/>
    <w:rsid w:val="00C1190C"/>
    <w:rsid w:val="00C11926"/>
    <w:rsid w:val="00C11940"/>
    <w:rsid w:val="00C11941"/>
    <w:rsid w:val="00C11969"/>
    <w:rsid w:val="00C1197A"/>
    <w:rsid w:val="00C119C3"/>
    <w:rsid w:val="00C11A42"/>
    <w:rsid w:val="00C11AB1"/>
    <w:rsid w:val="00C11AFA"/>
    <w:rsid w:val="00C11B12"/>
    <w:rsid w:val="00C11B2B"/>
    <w:rsid w:val="00C11B3D"/>
    <w:rsid w:val="00C11B40"/>
    <w:rsid w:val="00C11B48"/>
    <w:rsid w:val="00C11B85"/>
    <w:rsid w:val="00C11B93"/>
    <w:rsid w:val="00C11BCE"/>
    <w:rsid w:val="00C11BE2"/>
    <w:rsid w:val="00C11BFB"/>
    <w:rsid w:val="00C11C03"/>
    <w:rsid w:val="00C11C0E"/>
    <w:rsid w:val="00C11C1D"/>
    <w:rsid w:val="00C11C2C"/>
    <w:rsid w:val="00C11C30"/>
    <w:rsid w:val="00C11C62"/>
    <w:rsid w:val="00C11C67"/>
    <w:rsid w:val="00C11C87"/>
    <w:rsid w:val="00C11C93"/>
    <w:rsid w:val="00C11C99"/>
    <w:rsid w:val="00C11D2E"/>
    <w:rsid w:val="00C11D74"/>
    <w:rsid w:val="00C11E12"/>
    <w:rsid w:val="00C11E3A"/>
    <w:rsid w:val="00C11E3D"/>
    <w:rsid w:val="00C11E41"/>
    <w:rsid w:val="00C11E8F"/>
    <w:rsid w:val="00C11EA4"/>
    <w:rsid w:val="00C11F64"/>
    <w:rsid w:val="00C11FF2"/>
    <w:rsid w:val="00C12009"/>
    <w:rsid w:val="00C12031"/>
    <w:rsid w:val="00C1203C"/>
    <w:rsid w:val="00C1206C"/>
    <w:rsid w:val="00C120A3"/>
    <w:rsid w:val="00C120A9"/>
    <w:rsid w:val="00C120AB"/>
    <w:rsid w:val="00C120BB"/>
    <w:rsid w:val="00C120D0"/>
    <w:rsid w:val="00C120E6"/>
    <w:rsid w:val="00C12136"/>
    <w:rsid w:val="00C12176"/>
    <w:rsid w:val="00C121BA"/>
    <w:rsid w:val="00C121D1"/>
    <w:rsid w:val="00C1220B"/>
    <w:rsid w:val="00C1221B"/>
    <w:rsid w:val="00C12255"/>
    <w:rsid w:val="00C12280"/>
    <w:rsid w:val="00C1233E"/>
    <w:rsid w:val="00C123C0"/>
    <w:rsid w:val="00C123E9"/>
    <w:rsid w:val="00C123F7"/>
    <w:rsid w:val="00C124BC"/>
    <w:rsid w:val="00C124C3"/>
    <w:rsid w:val="00C124D6"/>
    <w:rsid w:val="00C12538"/>
    <w:rsid w:val="00C1253C"/>
    <w:rsid w:val="00C12543"/>
    <w:rsid w:val="00C12573"/>
    <w:rsid w:val="00C12587"/>
    <w:rsid w:val="00C1259B"/>
    <w:rsid w:val="00C1259C"/>
    <w:rsid w:val="00C125C0"/>
    <w:rsid w:val="00C125FC"/>
    <w:rsid w:val="00C12632"/>
    <w:rsid w:val="00C1264B"/>
    <w:rsid w:val="00C1264F"/>
    <w:rsid w:val="00C1266C"/>
    <w:rsid w:val="00C1267D"/>
    <w:rsid w:val="00C126FC"/>
    <w:rsid w:val="00C12703"/>
    <w:rsid w:val="00C1271C"/>
    <w:rsid w:val="00C1275B"/>
    <w:rsid w:val="00C1277E"/>
    <w:rsid w:val="00C127BF"/>
    <w:rsid w:val="00C12806"/>
    <w:rsid w:val="00C1283C"/>
    <w:rsid w:val="00C1283D"/>
    <w:rsid w:val="00C12844"/>
    <w:rsid w:val="00C1284C"/>
    <w:rsid w:val="00C12880"/>
    <w:rsid w:val="00C12886"/>
    <w:rsid w:val="00C128C8"/>
    <w:rsid w:val="00C128DA"/>
    <w:rsid w:val="00C1293D"/>
    <w:rsid w:val="00C12951"/>
    <w:rsid w:val="00C1296A"/>
    <w:rsid w:val="00C129C8"/>
    <w:rsid w:val="00C129C9"/>
    <w:rsid w:val="00C129D3"/>
    <w:rsid w:val="00C129F3"/>
    <w:rsid w:val="00C12A7A"/>
    <w:rsid w:val="00C12AA6"/>
    <w:rsid w:val="00C12AA9"/>
    <w:rsid w:val="00C12AAC"/>
    <w:rsid w:val="00C12ABB"/>
    <w:rsid w:val="00C12ABF"/>
    <w:rsid w:val="00C12B3C"/>
    <w:rsid w:val="00C12B45"/>
    <w:rsid w:val="00C12B51"/>
    <w:rsid w:val="00C12B9F"/>
    <w:rsid w:val="00C12BC4"/>
    <w:rsid w:val="00C12BFB"/>
    <w:rsid w:val="00C12C29"/>
    <w:rsid w:val="00C12CA2"/>
    <w:rsid w:val="00C12D2A"/>
    <w:rsid w:val="00C12D5E"/>
    <w:rsid w:val="00C12D8C"/>
    <w:rsid w:val="00C12DA4"/>
    <w:rsid w:val="00C12DA9"/>
    <w:rsid w:val="00C12DF1"/>
    <w:rsid w:val="00C12E1A"/>
    <w:rsid w:val="00C12EDB"/>
    <w:rsid w:val="00C12EE2"/>
    <w:rsid w:val="00C12F14"/>
    <w:rsid w:val="00C12F1C"/>
    <w:rsid w:val="00C12F66"/>
    <w:rsid w:val="00C12F83"/>
    <w:rsid w:val="00C12FB5"/>
    <w:rsid w:val="00C1300C"/>
    <w:rsid w:val="00C1304E"/>
    <w:rsid w:val="00C1305A"/>
    <w:rsid w:val="00C13061"/>
    <w:rsid w:val="00C130CE"/>
    <w:rsid w:val="00C130EE"/>
    <w:rsid w:val="00C130FC"/>
    <w:rsid w:val="00C1310A"/>
    <w:rsid w:val="00C13112"/>
    <w:rsid w:val="00C13123"/>
    <w:rsid w:val="00C13137"/>
    <w:rsid w:val="00C13164"/>
    <w:rsid w:val="00C1318A"/>
    <w:rsid w:val="00C13193"/>
    <w:rsid w:val="00C131A1"/>
    <w:rsid w:val="00C131B2"/>
    <w:rsid w:val="00C131B4"/>
    <w:rsid w:val="00C131E4"/>
    <w:rsid w:val="00C1325D"/>
    <w:rsid w:val="00C132B2"/>
    <w:rsid w:val="00C132D0"/>
    <w:rsid w:val="00C132D6"/>
    <w:rsid w:val="00C13323"/>
    <w:rsid w:val="00C13329"/>
    <w:rsid w:val="00C1332F"/>
    <w:rsid w:val="00C13339"/>
    <w:rsid w:val="00C13348"/>
    <w:rsid w:val="00C13358"/>
    <w:rsid w:val="00C1336B"/>
    <w:rsid w:val="00C13389"/>
    <w:rsid w:val="00C133AA"/>
    <w:rsid w:val="00C133FA"/>
    <w:rsid w:val="00C1342D"/>
    <w:rsid w:val="00C13443"/>
    <w:rsid w:val="00C1347A"/>
    <w:rsid w:val="00C134DC"/>
    <w:rsid w:val="00C1355E"/>
    <w:rsid w:val="00C13562"/>
    <w:rsid w:val="00C135B4"/>
    <w:rsid w:val="00C135D6"/>
    <w:rsid w:val="00C13605"/>
    <w:rsid w:val="00C1368E"/>
    <w:rsid w:val="00C136B3"/>
    <w:rsid w:val="00C13714"/>
    <w:rsid w:val="00C1371D"/>
    <w:rsid w:val="00C1374C"/>
    <w:rsid w:val="00C13769"/>
    <w:rsid w:val="00C13776"/>
    <w:rsid w:val="00C137AA"/>
    <w:rsid w:val="00C137B3"/>
    <w:rsid w:val="00C137CE"/>
    <w:rsid w:val="00C137E2"/>
    <w:rsid w:val="00C13826"/>
    <w:rsid w:val="00C138F2"/>
    <w:rsid w:val="00C13925"/>
    <w:rsid w:val="00C1394D"/>
    <w:rsid w:val="00C13951"/>
    <w:rsid w:val="00C1398C"/>
    <w:rsid w:val="00C1398F"/>
    <w:rsid w:val="00C139AA"/>
    <w:rsid w:val="00C13A01"/>
    <w:rsid w:val="00C13A0C"/>
    <w:rsid w:val="00C13A64"/>
    <w:rsid w:val="00C13AAE"/>
    <w:rsid w:val="00C13AF7"/>
    <w:rsid w:val="00C13B31"/>
    <w:rsid w:val="00C13B62"/>
    <w:rsid w:val="00C13BC3"/>
    <w:rsid w:val="00C13BD5"/>
    <w:rsid w:val="00C13C07"/>
    <w:rsid w:val="00C13C12"/>
    <w:rsid w:val="00C13C6D"/>
    <w:rsid w:val="00C13C92"/>
    <w:rsid w:val="00C13CC7"/>
    <w:rsid w:val="00C13CD8"/>
    <w:rsid w:val="00C13D7A"/>
    <w:rsid w:val="00C13D91"/>
    <w:rsid w:val="00C13DE4"/>
    <w:rsid w:val="00C13DFB"/>
    <w:rsid w:val="00C13E24"/>
    <w:rsid w:val="00C13E27"/>
    <w:rsid w:val="00C13E2B"/>
    <w:rsid w:val="00C13E50"/>
    <w:rsid w:val="00C13EC9"/>
    <w:rsid w:val="00C13F6C"/>
    <w:rsid w:val="00C13F93"/>
    <w:rsid w:val="00C13FFA"/>
    <w:rsid w:val="00C1401A"/>
    <w:rsid w:val="00C1402E"/>
    <w:rsid w:val="00C14043"/>
    <w:rsid w:val="00C14054"/>
    <w:rsid w:val="00C14069"/>
    <w:rsid w:val="00C1406E"/>
    <w:rsid w:val="00C140B3"/>
    <w:rsid w:val="00C140B6"/>
    <w:rsid w:val="00C140B8"/>
    <w:rsid w:val="00C1410D"/>
    <w:rsid w:val="00C14150"/>
    <w:rsid w:val="00C1416C"/>
    <w:rsid w:val="00C14175"/>
    <w:rsid w:val="00C14180"/>
    <w:rsid w:val="00C141F3"/>
    <w:rsid w:val="00C14241"/>
    <w:rsid w:val="00C14251"/>
    <w:rsid w:val="00C14299"/>
    <w:rsid w:val="00C142DF"/>
    <w:rsid w:val="00C14304"/>
    <w:rsid w:val="00C14329"/>
    <w:rsid w:val="00C14359"/>
    <w:rsid w:val="00C1435E"/>
    <w:rsid w:val="00C143A8"/>
    <w:rsid w:val="00C143B0"/>
    <w:rsid w:val="00C143B1"/>
    <w:rsid w:val="00C143DD"/>
    <w:rsid w:val="00C14424"/>
    <w:rsid w:val="00C1447F"/>
    <w:rsid w:val="00C1449E"/>
    <w:rsid w:val="00C144D2"/>
    <w:rsid w:val="00C144E6"/>
    <w:rsid w:val="00C1450B"/>
    <w:rsid w:val="00C14544"/>
    <w:rsid w:val="00C14565"/>
    <w:rsid w:val="00C1456E"/>
    <w:rsid w:val="00C1458E"/>
    <w:rsid w:val="00C1459B"/>
    <w:rsid w:val="00C1459C"/>
    <w:rsid w:val="00C145A5"/>
    <w:rsid w:val="00C145A8"/>
    <w:rsid w:val="00C145B2"/>
    <w:rsid w:val="00C145BC"/>
    <w:rsid w:val="00C145C1"/>
    <w:rsid w:val="00C145DB"/>
    <w:rsid w:val="00C145F2"/>
    <w:rsid w:val="00C14615"/>
    <w:rsid w:val="00C14629"/>
    <w:rsid w:val="00C14635"/>
    <w:rsid w:val="00C1464D"/>
    <w:rsid w:val="00C146E7"/>
    <w:rsid w:val="00C146F1"/>
    <w:rsid w:val="00C14710"/>
    <w:rsid w:val="00C14751"/>
    <w:rsid w:val="00C14759"/>
    <w:rsid w:val="00C147A4"/>
    <w:rsid w:val="00C147A9"/>
    <w:rsid w:val="00C147DA"/>
    <w:rsid w:val="00C147E5"/>
    <w:rsid w:val="00C147FB"/>
    <w:rsid w:val="00C147FD"/>
    <w:rsid w:val="00C14875"/>
    <w:rsid w:val="00C1489D"/>
    <w:rsid w:val="00C148DA"/>
    <w:rsid w:val="00C148E5"/>
    <w:rsid w:val="00C1491D"/>
    <w:rsid w:val="00C1492C"/>
    <w:rsid w:val="00C1492F"/>
    <w:rsid w:val="00C1498B"/>
    <w:rsid w:val="00C149CE"/>
    <w:rsid w:val="00C149DF"/>
    <w:rsid w:val="00C14A54"/>
    <w:rsid w:val="00C14A55"/>
    <w:rsid w:val="00C14A76"/>
    <w:rsid w:val="00C14A81"/>
    <w:rsid w:val="00C14A83"/>
    <w:rsid w:val="00C14B20"/>
    <w:rsid w:val="00C14B4A"/>
    <w:rsid w:val="00C14B4C"/>
    <w:rsid w:val="00C14B55"/>
    <w:rsid w:val="00C14B6D"/>
    <w:rsid w:val="00C14C40"/>
    <w:rsid w:val="00C14C4A"/>
    <w:rsid w:val="00C14C70"/>
    <w:rsid w:val="00C14C92"/>
    <w:rsid w:val="00C14C93"/>
    <w:rsid w:val="00C14CAE"/>
    <w:rsid w:val="00C14CBE"/>
    <w:rsid w:val="00C14CF1"/>
    <w:rsid w:val="00C14CF7"/>
    <w:rsid w:val="00C14D3D"/>
    <w:rsid w:val="00C14D3F"/>
    <w:rsid w:val="00C14D44"/>
    <w:rsid w:val="00C14D56"/>
    <w:rsid w:val="00C14D9F"/>
    <w:rsid w:val="00C14DA8"/>
    <w:rsid w:val="00C14DBD"/>
    <w:rsid w:val="00C14DDE"/>
    <w:rsid w:val="00C14DED"/>
    <w:rsid w:val="00C14E28"/>
    <w:rsid w:val="00C14E78"/>
    <w:rsid w:val="00C14EB4"/>
    <w:rsid w:val="00C14F01"/>
    <w:rsid w:val="00C14F08"/>
    <w:rsid w:val="00C14F11"/>
    <w:rsid w:val="00C14F29"/>
    <w:rsid w:val="00C14F51"/>
    <w:rsid w:val="00C14F53"/>
    <w:rsid w:val="00C14F55"/>
    <w:rsid w:val="00C14F5D"/>
    <w:rsid w:val="00C14F68"/>
    <w:rsid w:val="00C14F79"/>
    <w:rsid w:val="00C14F7D"/>
    <w:rsid w:val="00C14F9D"/>
    <w:rsid w:val="00C14FAA"/>
    <w:rsid w:val="00C14FBB"/>
    <w:rsid w:val="00C14FC5"/>
    <w:rsid w:val="00C14FDD"/>
    <w:rsid w:val="00C14FF0"/>
    <w:rsid w:val="00C15006"/>
    <w:rsid w:val="00C1500D"/>
    <w:rsid w:val="00C15060"/>
    <w:rsid w:val="00C150A1"/>
    <w:rsid w:val="00C150D3"/>
    <w:rsid w:val="00C1511D"/>
    <w:rsid w:val="00C151E6"/>
    <w:rsid w:val="00C15216"/>
    <w:rsid w:val="00C15223"/>
    <w:rsid w:val="00C1522B"/>
    <w:rsid w:val="00C15244"/>
    <w:rsid w:val="00C1527F"/>
    <w:rsid w:val="00C15291"/>
    <w:rsid w:val="00C152C0"/>
    <w:rsid w:val="00C152CC"/>
    <w:rsid w:val="00C15336"/>
    <w:rsid w:val="00C15354"/>
    <w:rsid w:val="00C15359"/>
    <w:rsid w:val="00C1535B"/>
    <w:rsid w:val="00C15360"/>
    <w:rsid w:val="00C1537C"/>
    <w:rsid w:val="00C15383"/>
    <w:rsid w:val="00C15388"/>
    <w:rsid w:val="00C153AF"/>
    <w:rsid w:val="00C153C8"/>
    <w:rsid w:val="00C153DD"/>
    <w:rsid w:val="00C153DE"/>
    <w:rsid w:val="00C153ED"/>
    <w:rsid w:val="00C153FA"/>
    <w:rsid w:val="00C15408"/>
    <w:rsid w:val="00C15431"/>
    <w:rsid w:val="00C1547F"/>
    <w:rsid w:val="00C1549E"/>
    <w:rsid w:val="00C1549F"/>
    <w:rsid w:val="00C154A9"/>
    <w:rsid w:val="00C154C1"/>
    <w:rsid w:val="00C154D4"/>
    <w:rsid w:val="00C1557A"/>
    <w:rsid w:val="00C15654"/>
    <w:rsid w:val="00C15680"/>
    <w:rsid w:val="00C15686"/>
    <w:rsid w:val="00C156DA"/>
    <w:rsid w:val="00C1576F"/>
    <w:rsid w:val="00C157BB"/>
    <w:rsid w:val="00C157C2"/>
    <w:rsid w:val="00C157E2"/>
    <w:rsid w:val="00C157FD"/>
    <w:rsid w:val="00C15801"/>
    <w:rsid w:val="00C15811"/>
    <w:rsid w:val="00C15818"/>
    <w:rsid w:val="00C1583D"/>
    <w:rsid w:val="00C1586B"/>
    <w:rsid w:val="00C158A9"/>
    <w:rsid w:val="00C158F6"/>
    <w:rsid w:val="00C15916"/>
    <w:rsid w:val="00C15978"/>
    <w:rsid w:val="00C15981"/>
    <w:rsid w:val="00C15982"/>
    <w:rsid w:val="00C159F1"/>
    <w:rsid w:val="00C159F7"/>
    <w:rsid w:val="00C15A01"/>
    <w:rsid w:val="00C15A0C"/>
    <w:rsid w:val="00C15A26"/>
    <w:rsid w:val="00C15A76"/>
    <w:rsid w:val="00C15A7A"/>
    <w:rsid w:val="00C15AB0"/>
    <w:rsid w:val="00C15AD8"/>
    <w:rsid w:val="00C15B25"/>
    <w:rsid w:val="00C15B27"/>
    <w:rsid w:val="00C15B60"/>
    <w:rsid w:val="00C15B8B"/>
    <w:rsid w:val="00C15B9E"/>
    <w:rsid w:val="00C15BB3"/>
    <w:rsid w:val="00C15BBA"/>
    <w:rsid w:val="00C15BCC"/>
    <w:rsid w:val="00C15BE2"/>
    <w:rsid w:val="00C15BE9"/>
    <w:rsid w:val="00C15BEC"/>
    <w:rsid w:val="00C15C4E"/>
    <w:rsid w:val="00C15C58"/>
    <w:rsid w:val="00C15CD4"/>
    <w:rsid w:val="00C15CE8"/>
    <w:rsid w:val="00C15CF6"/>
    <w:rsid w:val="00C15D4F"/>
    <w:rsid w:val="00C15D5B"/>
    <w:rsid w:val="00C15D5C"/>
    <w:rsid w:val="00C15D63"/>
    <w:rsid w:val="00C15D6E"/>
    <w:rsid w:val="00C15D79"/>
    <w:rsid w:val="00C15DE9"/>
    <w:rsid w:val="00C15DED"/>
    <w:rsid w:val="00C15E16"/>
    <w:rsid w:val="00C15E40"/>
    <w:rsid w:val="00C15E67"/>
    <w:rsid w:val="00C15EFE"/>
    <w:rsid w:val="00C15F04"/>
    <w:rsid w:val="00C15F33"/>
    <w:rsid w:val="00C15F5A"/>
    <w:rsid w:val="00C15F6B"/>
    <w:rsid w:val="00C16027"/>
    <w:rsid w:val="00C1602F"/>
    <w:rsid w:val="00C16041"/>
    <w:rsid w:val="00C16064"/>
    <w:rsid w:val="00C1607A"/>
    <w:rsid w:val="00C1609F"/>
    <w:rsid w:val="00C160A8"/>
    <w:rsid w:val="00C16132"/>
    <w:rsid w:val="00C16133"/>
    <w:rsid w:val="00C1614E"/>
    <w:rsid w:val="00C16164"/>
    <w:rsid w:val="00C16178"/>
    <w:rsid w:val="00C16180"/>
    <w:rsid w:val="00C1618B"/>
    <w:rsid w:val="00C161B8"/>
    <w:rsid w:val="00C16267"/>
    <w:rsid w:val="00C16273"/>
    <w:rsid w:val="00C1628E"/>
    <w:rsid w:val="00C1633E"/>
    <w:rsid w:val="00C16369"/>
    <w:rsid w:val="00C16396"/>
    <w:rsid w:val="00C163AE"/>
    <w:rsid w:val="00C16409"/>
    <w:rsid w:val="00C16411"/>
    <w:rsid w:val="00C16452"/>
    <w:rsid w:val="00C1649A"/>
    <w:rsid w:val="00C164D3"/>
    <w:rsid w:val="00C164F2"/>
    <w:rsid w:val="00C1651B"/>
    <w:rsid w:val="00C1654B"/>
    <w:rsid w:val="00C16580"/>
    <w:rsid w:val="00C16592"/>
    <w:rsid w:val="00C165A4"/>
    <w:rsid w:val="00C165C0"/>
    <w:rsid w:val="00C165D2"/>
    <w:rsid w:val="00C165DC"/>
    <w:rsid w:val="00C165EC"/>
    <w:rsid w:val="00C165F7"/>
    <w:rsid w:val="00C165FB"/>
    <w:rsid w:val="00C16622"/>
    <w:rsid w:val="00C1662B"/>
    <w:rsid w:val="00C1663F"/>
    <w:rsid w:val="00C1664F"/>
    <w:rsid w:val="00C16652"/>
    <w:rsid w:val="00C1665C"/>
    <w:rsid w:val="00C16663"/>
    <w:rsid w:val="00C16683"/>
    <w:rsid w:val="00C166A0"/>
    <w:rsid w:val="00C166E4"/>
    <w:rsid w:val="00C1676B"/>
    <w:rsid w:val="00C16773"/>
    <w:rsid w:val="00C1678D"/>
    <w:rsid w:val="00C167AD"/>
    <w:rsid w:val="00C167B1"/>
    <w:rsid w:val="00C167DA"/>
    <w:rsid w:val="00C167F0"/>
    <w:rsid w:val="00C16810"/>
    <w:rsid w:val="00C1684C"/>
    <w:rsid w:val="00C16855"/>
    <w:rsid w:val="00C16861"/>
    <w:rsid w:val="00C16862"/>
    <w:rsid w:val="00C1686E"/>
    <w:rsid w:val="00C16877"/>
    <w:rsid w:val="00C16898"/>
    <w:rsid w:val="00C1691D"/>
    <w:rsid w:val="00C1692B"/>
    <w:rsid w:val="00C1694A"/>
    <w:rsid w:val="00C16953"/>
    <w:rsid w:val="00C1696A"/>
    <w:rsid w:val="00C169B2"/>
    <w:rsid w:val="00C169F0"/>
    <w:rsid w:val="00C169F8"/>
    <w:rsid w:val="00C16A28"/>
    <w:rsid w:val="00C16A31"/>
    <w:rsid w:val="00C16A64"/>
    <w:rsid w:val="00C16A7E"/>
    <w:rsid w:val="00C16A94"/>
    <w:rsid w:val="00C16ABA"/>
    <w:rsid w:val="00C16AF8"/>
    <w:rsid w:val="00C16B36"/>
    <w:rsid w:val="00C16B4B"/>
    <w:rsid w:val="00C16B62"/>
    <w:rsid w:val="00C16B96"/>
    <w:rsid w:val="00C16BD2"/>
    <w:rsid w:val="00C16BF1"/>
    <w:rsid w:val="00C16C2D"/>
    <w:rsid w:val="00C16C53"/>
    <w:rsid w:val="00C16C5A"/>
    <w:rsid w:val="00C16C77"/>
    <w:rsid w:val="00C16C83"/>
    <w:rsid w:val="00C16C86"/>
    <w:rsid w:val="00C16D2C"/>
    <w:rsid w:val="00C16D3C"/>
    <w:rsid w:val="00C16D5B"/>
    <w:rsid w:val="00C16D95"/>
    <w:rsid w:val="00C16DC9"/>
    <w:rsid w:val="00C16DCA"/>
    <w:rsid w:val="00C16DEA"/>
    <w:rsid w:val="00C16DFA"/>
    <w:rsid w:val="00C16E21"/>
    <w:rsid w:val="00C16E4F"/>
    <w:rsid w:val="00C16EB2"/>
    <w:rsid w:val="00C16EC9"/>
    <w:rsid w:val="00C16ECA"/>
    <w:rsid w:val="00C16ED3"/>
    <w:rsid w:val="00C16F07"/>
    <w:rsid w:val="00C16F18"/>
    <w:rsid w:val="00C16F50"/>
    <w:rsid w:val="00C16F51"/>
    <w:rsid w:val="00C16F5E"/>
    <w:rsid w:val="00C16F70"/>
    <w:rsid w:val="00C16F79"/>
    <w:rsid w:val="00C16F89"/>
    <w:rsid w:val="00C16FD0"/>
    <w:rsid w:val="00C16FEB"/>
    <w:rsid w:val="00C1701A"/>
    <w:rsid w:val="00C1702C"/>
    <w:rsid w:val="00C1704A"/>
    <w:rsid w:val="00C1704C"/>
    <w:rsid w:val="00C1704F"/>
    <w:rsid w:val="00C17067"/>
    <w:rsid w:val="00C170D7"/>
    <w:rsid w:val="00C170F2"/>
    <w:rsid w:val="00C1712A"/>
    <w:rsid w:val="00C17168"/>
    <w:rsid w:val="00C171F7"/>
    <w:rsid w:val="00C171F9"/>
    <w:rsid w:val="00C171FD"/>
    <w:rsid w:val="00C17232"/>
    <w:rsid w:val="00C1728F"/>
    <w:rsid w:val="00C17294"/>
    <w:rsid w:val="00C17298"/>
    <w:rsid w:val="00C1729C"/>
    <w:rsid w:val="00C172DD"/>
    <w:rsid w:val="00C172F9"/>
    <w:rsid w:val="00C17394"/>
    <w:rsid w:val="00C173BA"/>
    <w:rsid w:val="00C17420"/>
    <w:rsid w:val="00C1743C"/>
    <w:rsid w:val="00C17440"/>
    <w:rsid w:val="00C17463"/>
    <w:rsid w:val="00C174FD"/>
    <w:rsid w:val="00C17503"/>
    <w:rsid w:val="00C1752A"/>
    <w:rsid w:val="00C1752D"/>
    <w:rsid w:val="00C17557"/>
    <w:rsid w:val="00C17563"/>
    <w:rsid w:val="00C17566"/>
    <w:rsid w:val="00C175AE"/>
    <w:rsid w:val="00C175CE"/>
    <w:rsid w:val="00C1760B"/>
    <w:rsid w:val="00C17691"/>
    <w:rsid w:val="00C1772F"/>
    <w:rsid w:val="00C177FE"/>
    <w:rsid w:val="00C17807"/>
    <w:rsid w:val="00C17838"/>
    <w:rsid w:val="00C1783D"/>
    <w:rsid w:val="00C1787A"/>
    <w:rsid w:val="00C178CF"/>
    <w:rsid w:val="00C178D9"/>
    <w:rsid w:val="00C178FC"/>
    <w:rsid w:val="00C1791D"/>
    <w:rsid w:val="00C1793C"/>
    <w:rsid w:val="00C17943"/>
    <w:rsid w:val="00C1799E"/>
    <w:rsid w:val="00C179C1"/>
    <w:rsid w:val="00C179C4"/>
    <w:rsid w:val="00C17A03"/>
    <w:rsid w:val="00C17A18"/>
    <w:rsid w:val="00C17A20"/>
    <w:rsid w:val="00C17A30"/>
    <w:rsid w:val="00C17AAB"/>
    <w:rsid w:val="00C17ACB"/>
    <w:rsid w:val="00C17B29"/>
    <w:rsid w:val="00C17B45"/>
    <w:rsid w:val="00C17B6C"/>
    <w:rsid w:val="00C17BFF"/>
    <w:rsid w:val="00C17C18"/>
    <w:rsid w:val="00C17C4C"/>
    <w:rsid w:val="00C17C4F"/>
    <w:rsid w:val="00C17C5A"/>
    <w:rsid w:val="00C17C69"/>
    <w:rsid w:val="00C17C75"/>
    <w:rsid w:val="00C17C95"/>
    <w:rsid w:val="00C17CB3"/>
    <w:rsid w:val="00C17CDE"/>
    <w:rsid w:val="00C17D17"/>
    <w:rsid w:val="00C17D37"/>
    <w:rsid w:val="00C17D3C"/>
    <w:rsid w:val="00C17D86"/>
    <w:rsid w:val="00C17D8A"/>
    <w:rsid w:val="00C17DAD"/>
    <w:rsid w:val="00C17DCF"/>
    <w:rsid w:val="00C17DE6"/>
    <w:rsid w:val="00C17DEA"/>
    <w:rsid w:val="00C17E40"/>
    <w:rsid w:val="00C17E6B"/>
    <w:rsid w:val="00C17E92"/>
    <w:rsid w:val="00C17EA0"/>
    <w:rsid w:val="00C17EC7"/>
    <w:rsid w:val="00C17EF8"/>
    <w:rsid w:val="00C17F00"/>
    <w:rsid w:val="00C17F01"/>
    <w:rsid w:val="00C17F0B"/>
    <w:rsid w:val="00C17F23"/>
    <w:rsid w:val="00C17F59"/>
    <w:rsid w:val="00C17F78"/>
    <w:rsid w:val="00C17F8D"/>
    <w:rsid w:val="00C17FB6"/>
    <w:rsid w:val="00C20050"/>
    <w:rsid w:val="00C20060"/>
    <w:rsid w:val="00C20099"/>
    <w:rsid w:val="00C2009B"/>
    <w:rsid w:val="00C200BA"/>
    <w:rsid w:val="00C200D8"/>
    <w:rsid w:val="00C200E7"/>
    <w:rsid w:val="00C2012B"/>
    <w:rsid w:val="00C20133"/>
    <w:rsid w:val="00C20174"/>
    <w:rsid w:val="00C201A3"/>
    <w:rsid w:val="00C201E8"/>
    <w:rsid w:val="00C201EA"/>
    <w:rsid w:val="00C201FA"/>
    <w:rsid w:val="00C20237"/>
    <w:rsid w:val="00C20244"/>
    <w:rsid w:val="00C2025D"/>
    <w:rsid w:val="00C20293"/>
    <w:rsid w:val="00C20306"/>
    <w:rsid w:val="00C2032F"/>
    <w:rsid w:val="00C2034C"/>
    <w:rsid w:val="00C20386"/>
    <w:rsid w:val="00C2038B"/>
    <w:rsid w:val="00C203ED"/>
    <w:rsid w:val="00C203F8"/>
    <w:rsid w:val="00C20403"/>
    <w:rsid w:val="00C20412"/>
    <w:rsid w:val="00C20413"/>
    <w:rsid w:val="00C20422"/>
    <w:rsid w:val="00C20429"/>
    <w:rsid w:val="00C2047C"/>
    <w:rsid w:val="00C20498"/>
    <w:rsid w:val="00C204B2"/>
    <w:rsid w:val="00C204B8"/>
    <w:rsid w:val="00C204E8"/>
    <w:rsid w:val="00C20549"/>
    <w:rsid w:val="00C2054A"/>
    <w:rsid w:val="00C205DF"/>
    <w:rsid w:val="00C205E1"/>
    <w:rsid w:val="00C205E5"/>
    <w:rsid w:val="00C205EB"/>
    <w:rsid w:val="00C20628"/>
    <w:rsid w:val="00C20636"/>
    <w:rsid w:val="00C2063A"/>
    <w:rsid w:val="00C20665"/>
    <w:rsid w:val="00C206FC"/>
    <w:rsid w:val="00C20708"/>
    <w:rsid w:val="00C2076D"/>
    <w:rsid w:val="00C207A3"/>
    <w:rsid w:val="00C207C5"/>
    <w:rsid w:val="00C207DD"/>
    <w:rsid w:val="00C207E4"/>
    <w:rsid w:val="00C207EF"/>
    <w:rsid w:val="00C207F1"/>
    <w:rsid w:val="00C20820"/>
    <w:rsid w:val="00C20831"/>
    <w:rsid w:val="00C2083D"/>
    <w:rsid w:val="00C208A8"/>
    <w:rsid w:val="00C208BE"/>
    <w:rsid w:val="00C208E6"/>
    <w:rsid w:val="00C20913"/>
    <w:rsid w:val="00C20920"/>
    <w:rsid w:val="00C20923"/>
    <w:rsid w:val="00C2092D"/>
    <w:rsid w:val="00C20937"/>
    <w:rsid w:val="00C2096F"/>
    <w:rsid w:val="00C2097A"/>
    <w:rsid w:val="00C2099F"/>
    <w:rsid w:val="00C209E4"/>
    <w:rsid w:val="00C20A36"/>
    <w:rsid w:val="00C20A72"/>
    <w:rsid w:val="00C20A85"/>
    <w:rsid w:val="00C20A9E"/>
    <w:rsid w:val="00C20AA9"/>
    <w:rsid w:val="00C20AAC"/>
    <w:rsid w:val="00C20AB9"/>
    <w:rsid w:val="00C20AD0"/>
    <w:rsid w:val="00C20B0A"/>
    <w:rsid w:val="00C20B18"/>
    <w:rsid w:val="00C20B21"/>
    <w:rsid w:val="00C20B3A"/>
    <w:rsid w:val="00C20B3E"/>
    <w:rsid w:val="00C20BAB"/>
    <w:rsid w:val="00C20BB3"/>
    <w:rsid w:val="00C20BB5"/>
    <w:rsid w:val="00C20BEF"/>
    <w:rsid w:val="00C20C18"/>
    <w:rsid w:val="00C20C4D"/>
    <w:rsid w:val="00C20C58"/>
    <w:rsid w:val="00C20C6E"/>
    <w:rsid w:val="00C20CA8"/>
    <w:rsid w:val="00C20CA9"/>
    <w:rsid w:val="00C20CB9"/>
    <w:rsid w:val="00C20CBA"/>
    <w:rsid w:val="00C20CBF"/>
    <w:rsid w:val="00C20CEE"/>
    <w:rsid w:val="00C20CF5"/>
    <w:rsid w:val="00C20D25"/>
    <w:rsid w:val="00C20D2B"/>
    <w:rsid w:val="00C20D75"/>
    <w:rsid w:val="00C20D7F"/>
    <w:rsid w:val="00C20D96"/>
    <w:rsid w:val="00C20DE4"/>
    <w:rsid w:val="00C20ECF"/>
    <w:rsid w:val="00C20EFE"/>
    <w:rsid w:val="00C20F42"/>
    <w:rsid w:val="00C20F44"/>
    <w:rsid w:val="00C20F74"/>
    <w:rsid w:val="00C20FC3"/>
    <w:rsid w:val="00C20FE1"/>
    <w:rsid w:val="00C21008"/>
    <w:rsid w:val="00C21014"/>
    <w:rsid w:val="00C21043"/>
    <w:rsid w:val="00C21072"/>
    <w:rsid w:val="00C21079"/>
    <w:rsid w:val="00C210F9"/>
    <w:rsid w:val="00C21133"/>
    <w:rsid w:val="00C21148"/>
    <w:rsid w:val="00C2115E"/>
    <w:rsid w:val="00C21187"/>
    <w:rsid w:val="00C21197"/>
    <w:rsid w:val="00C211A0"/>
    <w:rsid w:val="00C211C4"/>
    <w:rsid w:val="00C211FE"/>
    <w:rsid w:val="00C21248"/>
    <w:rsid w:val="00C2125F"/>
    <w:rsid w:val="00C2127E"/>
    <w:rsid w:val="00C212CB"/>
    <w:rsid w:val="00C212E3"/>
    <w:rsid w:val="00C21354"/>
    <w:rsid w:val="00C2135C"/>
    <w:rsid w:val="00C213CF"/>
    <w:rsid w:val="00C213EB"/>
    <w:rsid w:val="00C21435"/>
    <w:rsid w:val="00C21445"/>
    <w:rsid w:val="00C2144E"/>
    <w:rsid w:val="00C21492"/>
    <w:rsid w:val="00C214A1"/>
    <w:rsid w:val="00C214AA"/>
    <w:rsid w:val="00C214D4"/>
    <w:rsid w:val="00C214DF"/>
    <w:rsid w:val="00C214F3"/>
    <w:rsid w:val="00C2151A"/>
    <w:rsid w:val="00C21528"/>
    <w:rsid w:val="00C21564"/>
    <w:rsid w:val="00C21565"/>
    <w:rsid w:val="00C2158D"/>
    <w:rsid w:val="00C2159C"/>
    <w:rsid w:val="00C215C6"/>
    <w:rsid w:val="00C215FC"/>
    <w:rsid w:val="00C21664"/>
    <w:rsid w:val="00C2169C"/>
    <w:rsid w:val="00C216C0"/>
    <w:rsid w:val="00C2173B"/>
    <w:rsid w:val="00C21742"/>
    <w:rsid w:val="00C2176D"/>
    <w:rsid w:val="00C21789"/>
    <w:rsid w:val="00C217FC"/>
    <w:rsid w:val="00C2180F"/>
    <w:rsid w:val="00C21849"/>
    <w:rsid w:val="00C2186C"/>
    <w:rsid w:val="00C21880"/>
    <w:rsid w:val="00C2188E"/>
    <w:rsid w:val="00C218AF"/>
    <w:rsid w:val="00C218C0"/>
    <w:rsid w:val="00C218D0"/>
    <w:rsid w:val="00C21900"/>
    <w:rsid w:val="00C21940"/>
    <w:rsid w:val="00C21961"/>
    <w:rsid w:val="00C21981"/>
    <w:rsid w:val="00C219AA"/>
    <w:rsid w:val="00C219C8"/>
    <w:rsid w:val="00C219DC"/>
    <w:rsid w:val="00C219E1"/>
    <w:rsid w:val="00C21A23"/>
    <w:rsid w:val="00C21A5D"/>
    <w:rsid w:val="00C21A6C"/>
    <w:rsid w:val="00C21A88"/>
    <w:rsid w:val="00C21AF6"/>
    <w:rsid w:val="00C21B09"/>
    <w:rsid w:val="00C21B0B"/>
    <w:rsid w:val="00C21B41"/>
    <w:rsid w:val="00C21B8D"/>
    <w:rsid w:val="00C21BA2"/>
    <w:rsid w:val="00C21BBF"/>
    <w:rsid w:val="00C21C2D"/>
    <w:rsid w:val="00C21C44"/>
    <w:rsid w:val="00C21C9C"/>
    <w:rsid w:val="00C21CD7"/>
    <w:rsid w:val="00C21CE9"/>
    <w:rsid w:val="00C21D0A"/>
    <w:rsid w:val="00C21D2E"/>
    <w:rsid w:val="00C21D8B"/>
    <w:rsid w:val="00C21D9F"/>
    <w:rsid w:val="00C21DF8"/>
    <w:rsid w:val="00C21E0E"/>
    <w:rsid w:val="00C21E12"/>
    <w:rsid w:val="00C21E3B"/>
    <w:rsid w:val="00C21E6F"/>
    <w:rsid w:val="00C21EB1"/>
    <w:rsid w:val="00C21EBD"/>
    <w:rsid w:val="00C21EF8"/>
    <w:rsid w:val="00C21EFF"/>
    <w:rsid w:val="00C21F15"/>
    <w:rsid w:val="00C21F4C"/>
    <w:rsid w:val="00C21F7A"/>
    <w:rsid w:val="00C21FED"/>
    <w:rsid w:val="00C2201F"/>
    <w:rsid w:val="00C2203E"/>
    <w:rsid w:val="00C2204A"/>
    <w:rsid w:val="00C220B9"/>
    <w:rsid w:val="00C220D3"/>
    <w:rsid w:val="00C220D5"/>
    <w:rsid w:val="00C220F4"/>
    <w:rsid w:val="00C22168"/>
    <w:rsid w:val="00C22178"/>
    <w:rsid w:val="00C2217F"/>
    <w:rsid w:val="00C22184"/>
    <w:rsid w:val="00C2220A"/>
    <w:rsid w:val="00C22214"/>
    <w:rsid w:val="00C22244"/>
    <w:rsid w:val="00C2224D"/>
    <w:rsid w:val="00C22285"/>
    <w:rsid w:val="00C2228B"/>
    <w:rsid w:val="00C222B9"/>
    <w:rsid w:val="00C222C5"/>
    <w:rsid w:val="00C22323"/>
    <w:rsid w:val="00C2232D"/>
    <w:rsid w:val="00C2233C"/>
    <w:rsid w:val="00C22385"/>
    <w:rsid w:val="00C223AA"/>
    <w:rsid w:val="00C223AC"/>
    <w:rsid w:val="00C223DE"/>
    <w:rsid w:val="00C223E2"/>
    <w:rsid w:val="00C2241B"/>
    <w:rsid w:val="00C22462"/>
    <w:rsid w:val="00C224DF"/>
    <w:rsid w:val="00C224F4"/>
    <w:rsid w:val="00C225C3"/>
    <w:rsid w:val="00C225C8"/>
    <w:rsid w:val="00C225E7"/>
    <w:rsid w:val="00C22627"/>
    <w:rsid w:val="00C2265B"/>
    <w:rsid w:val="00C22662"/>
    <w:rsid w:val="00C22680"/>
    <w:rsid w:val="00C22687"/>
    <w:rsid w:val="00C226C1"/>
    <w:rsid w:val="00C22739"/>
    <w:rsid w:val="00C22742"/>
    <w:rsid w:val="00C2274F"/>
    <w:rsid w:val="00C227D1"/>
    <w:rsid w:val="00C227EB"/>
    <w:rsid w:val="00C227F7"/>
    <w:rsid w:val="00C227FD"/>
    <w:rsid w:val="00C2280C"/>
    <w:rsid w:val="00C2281A"/>
    <w:rsid w:val="00C2281C"/>
    <w:rsid w:val="00C2285D"/>
    <w:rsid w:val="00C22881"/>
    <w:rsid w:val="00C22889"/>
    <w:rsid w:val="00C2288C"/>
    <w:rsid w:val="00C228CC"/>
    <w:rsid w:val="00C228D1"/>
    <w:rsid w:val="00C228D2"/>
    <w:rsid w:val="00C228D5"/>
    <w:rsid w:val="00C2296B"/>
    <w:rsid w:val="00C22992"/>
    <w:rsid w:val="00C229BA"/>
    <w:rsid w:val="00C229CC"/>
    <w:rsid w:val="00C229FD"/>
    <w:rsid w:val="00C22A08"/>
    <w:rsid w:val="00C22A1C"/>
    <w:rsid w:val="00C22A1D"/>
    <w:rsid w:val="00C22A2F"/>
    <w:rsid w:val="00C22A36"/>
    <w:rsid w:val="00C22A7F"/>
    <w:rsid w:val="00C22AB0"/>
    <w:rsid w:val="00C22AB4"/>
    <w:rsid w:val="00C22ABA"/>
    <w:rsid w:val="00C22AF4"/>
    <w:rsid w:val="00C22AF6"/>
    <w:rsid w:val="00C22B21"/>
    <w:rsid w:val="00C22B41"/>
    <w:rsid w:val="00C22B7F"/>
    <w:rsid w:val="00C22BB7"/>
    <w:rsid w:val="00C22BBD"/>
    <w:rsid w:val="00C22BC0"/>
    <w:rsid w:val="00C22C1D"/>
    <w:rsid w:val="00C22C1E"/>
    <w:rsid w:val="00C22C2C"/>
    <w:rsid w:val="00C22CA8"/>
    <w:rsid w:val="00C22CE8"/>
    <w:rsid w:val="00C22D0F"/>
    <w:rsid w:val="00C22D57"/>
    <w:rsid w:val="00C22D81"/>
    <w:rsid w:val="00C22D94"/>
    <w:rsid w:val="00C22DA8"/>
    <w:rsid w:val="00C22E12"/>
    <w:rsid w:val="00C22E2B"/>
    <w:rsid w:val="00C22EB2"/>
    <w:rsid w:val="00C22EE0"/>
    <w:rsid w:val="00C22EFB"/>
    <w:rsid w:val="00C22F10"/>
    <w:rsid w:val="00C22F1A"/>
    <w:rsid w:val="00C22F38"/>
    <w:rsid w:val="00C22F41"/>
    <w:rsid w:val="00C22F54"/>
    <w:rsid w:val="00C22F57"/>
    <w:rsid w:val="00C22FA7"/>
    <w:rsid w:val="00C22FB1"/>
    <w:rsid w:val="00C2302F"/>
    <w:rsid w:val="00C23039"/>
    <w:rsid w:val="00C2304C"/>
    <w:rsid w:val="00C23057"/>
    <w:rsid w:val="00C23078"/>
    <w:rsid w:val="00C230D1"/>
    <w:rsid w:val="00C230FA"/>
    <w:rsid w:val="00C23176"/>
    <w:rsid w:val="00C231DF"/>
    <w:rsid w:val="00C231E3"/>
    <w:rsid w:val="00C231EF"/>
    <w:rsid w:val="00C231F7"/>
    <w:rsid w:val="00C23286"/>
    <w:rsid w:val="00C232D5"/>
    <w:rsid w:val="00C232DC"/>
    <w:rsid w:val="00C232FF"/>
    <w:rsid w:val="00C23314"/>
    <w:rsid w:val="00C2332A"/>
    <w:rsid w:val="00C2332B"/>
    <w:rsid w:val="00C2334E"/>
    <w:rsid w:val="00C23369"/>
    <w:rsid w:val="00C2339B"/>
    <w:rsid w:val="00C233E3"/>
    <w:rsid w:val="00C23418"/>
    <w:rsid w:val="00C234E0"/>
    <w:rsid w:val="00C234F3"/>
    <w:rsid w:val="00C23508"/>
    <w:rsid w:val="00C23527"/>
    <w:rsid w:val="00C23565"/>
    <w:rsid w:val="00C23576"/>
    <w:rsid w:val="00C235C1"/>
    <w:rsid w:val="00C235F6"/>
    <w:rsid w:val="00C23630"/>
    <w:rsid w:val="00C23652"/>
    <w:rsid w:val="00C23669"/>
    <w:rsid w:val="00C2368D"/>
    <w:rsid w:val="00C23705"/>
    <w:rsid w:val="00C2373D"/>
    <w:rsid w:val="00C23743"/>
    <w:rsid w:val="00C23761"/>
    <w:rsid w:val="00C23785"/>
    <w:rsid w:val="00C2378E"/>
    <w:rsid w:val="00C23790"/>
    <w:rsid w:val="00C237F0"/>
    <w:rsid w:val="00C23867"/>
    <w:rsid w:val="00C2386E"/>
    <w:rsid w:val="00C2392A"/>
    <w:rsid w:val="00C23939"/>
    <w:rsid w:val="00C2395D"/>
    <w:rsid w:val="00C23971"/>
    <w:rsid w:val="00C239C0"/>
    <w:rsid w:val="00C239C6"/>
    <w:rsid w:val="00C239C8"/>
    <w:rsid w:val="00C23A06"/>
    <w:rsid w:val="00C23A6D"/>
    <w:rsid w:val="00C23A89"/>
    <w:rsid w:val="00C23A98"/>
    <w:rsid w:val="00C23AF1"/>
    <w:rsid w:val="00C23B10"/>
    <w:rsid w:val="00C23B71"/>
    <w:rsid w:val="00C23B8C"/>
    <w:rsid w:val="00C23BA7"/>
    <w:rsid w:val="00C23BCD"/>
    <w:rsid w:val="00C23BD6"/>
    <w:rsid w:val="00C23BE2"/>
    <w:rsid w:val="00C23C18"/>
    <w:rsid w:val="00C23C37"/>
    <w:rsid w:val="00C23C79"/>
    <w:rsid w:val="00C23C97"/>
    <w:rsid w:val="00C23D14"/>
    <w:rsid w:val="00C23D4B"/>
    <w:rsid w:val="00C23DA5"/>
    <w:rsid w:val="00C23DAA"/>
    <w:rsid w:val="00C23DC2"/>
    <w:rsid w:val="00C23E1B"/>
    <w:rsid w:val="00C23EC6"/>
    <w:rsid w:val="00C23EE6"/>
    <w:rsid w:val="00C23F19"/>
    <w:rsid w:val="00C23F32"/>
    <w:rsid w:val="00C23F44"/>
    <w:rsid w:val="00C23F73"/>
    <w:rsid w:val="00C23F75"/>
    <w:rsid w:val="00C2400C"/>
    <w:rsid w:val="00C2400F"/>
    <w:rsid w:val="00C24045"/>
    <w:rsid w:val="00C2406B"/>
    <w:rsid w:val="00C2406D"/>
    <w:rsid w:val="00C24103"/>
    <w:rsid w:val="00C24131"/>
    <w:rsid w:val="00C2414A"/>
    <w:rsid w:val="00C2416D"/>
    <w:rsid w:val="00C2419D"/>
    <w:rsid w:val="00C241BC"/>
    <w:rsid w:val="00C241C3"/>
    <w:rsid w:val="00C24234"/>
    <w:rsid w:val="00C2423F"/>
    <w:rsid w:val="00C2425E"/>
    <w:rsid w:val="00C24276"/>
    <w:rsid w:val="00C242BD"/>
    <w:rsid w:val="00C242C0"/>
    <w:rsid w:val="00C242EB"/>
    <w:rsid w:val="00C242FE"/>
    <w:rsid w:val="00C24317"/>
    <w:rsid w:val="00C2435F"/>
    <w:rsid w:val="00C243D8"/>
    <w:rsid w:val="00C243E9"/>
    <w:rsid w:val="00C24452"/>
    <w:rsid w:val="00C24453"/>
    <w:rsid w:val="00C24481"/>
    <w:rsid w:val="00C24492"/>
    <w:rsid w:val="00C24495"/>
    <w:rsid w:val="00C244AE"/>
    <w:rsid w:val="00C244D5"/>
    <w:rsid w:val="00C244DC"/>
    <w:rsid w:val="00C244E5"/>
    <w:rsid w:val="00C244ED"/>
    <w:rsid w:val="00C24522"/>
    <w:rsid w:val="00C24560"/>
    <w:rsid w:val="00C24563"/>
    <w:rsid w:val="00C2457D"/>
    <w:rsid w:val="00C2458E"/>
    <w:rsid w:val="00C245A2"/>
    <w:rsid w:val="00C245AC"/>
    <w:rsid w:val="00C245B9"/>
    <w:rsid w:val="00C245D5"/>
    <w:rsid w:val="00C245E3"/>
    <w:rsid w:val="00C2461B"/>
    <w:rsid w:val="00C2462B"/>
    <w:rsid w:val="00C2463C"/>
    <w:rsid w:val="00C2464F"/>
    <w:rsid w:val="00C246D6"/>
    <w:rsid w:val="00C246D8"/>
    <w:rsid w:val="00C246D9"/>
    <w:rsid w:val="00C246DF"/>
    <w:rsid w:val="00C246F0"/>
    <w:rsid w:val="00C246F9"/>
    <w:rsid w:val="00C24745"/>
    <w:rsid w:val="00C24784"/>
    <w:rsid w:val="00C247A5"/>
    <w:rsid w:val="00C247A8"/>
    <w:rsid w:val="00C247CD"/>
    <w:rsid w:val="00C247F9"/>
    <w:rsid w:val="00C24801"/>
    <w:rsid w:val="00C2480C"/>
    <w:rsid w:val="00C24824"/>
    <w:rsid w:val="00C24833"/>
    <w:rsid w:val="00C2483D"/>
    <w:rsid w:val="00C24887"/>
    <w:rsid w:val="00C2491C"/>
    <w:rsid w:val="00C24966"/>
    <w:rsid w:val="00C2498E"/>
    <w:rsid w:val="00C24996"/>
    <w:rsid w:val="00C249B4"/>
    <w:rsid w:val="00C249C2"/>
    <w:rsid w:val="00C249C9"/>
    <w:rsid w:val="00C249D4"/>
    <w:rsid w:val="00C24A23"/>
    <w:rsid w:val="00C24A4C"/>
    <w:rsid w:val="00C24A57"/>
    <w:rsid w:val="00C24A70"/>
    <w:rsid w:val="00C24AA8"/>
    <w:rsid w:val="00C24AD2"/>
    <w:rsid w:val="00C24AEE"/>
    <w:rsid w:val="00C24AFB"/>
    <w:rsid w:val="00C24B06"/>
    <w:rsid w:val="00C24B09"/>
    <w:rsid w:val="00C24B24"/>
    <w:rsid w:val="00C24B33"/>
    <w:rsid w:val="00C24B41"/>
    <w:rsid w:val="00C24B55"/>
    <w:rsid w:val="00C24B85"/>
    <w:rsid w:val="00C24B8B"/>
    <w:rsid w:val="00C24BBA"/>
    <w:rsid w:val="00C24BC2"/>
    <w:rsid w:val="00C24BC5"/>
    <w:rsid w:val="00C24BCC"/>
    <w:rsid w:val="00C24BFA"/>
    <w:rsid w:val="00C24C02"/>
    <w:rsid w:val="00C24C13"/>
    <w:rsid w:val="00C24C2B"/>
    <w:rsid w:val="00C24C31"/>
    <w:rsid w:val="00C24C7E"/>
    <w:rsid w:val="00C24C8A"/>
    <w:rsid w:val="00C24CBD"/>
    <w:rsid w:val="00C24CF1"/>
    <w:rsid w:val="00C24D6A"/>
    <w:rsid w:val="00C24DAC"/>
    <w:rsid w:val="00C24DC0"/>
    <w:rsid w:val="00C24DCE"/>
    <w:rsid w:val="00C24DD9"/>
    <w:rsid w:val="00C24DF4"/>
    <w:rsid w:val="00C24E09"/>
    <w:rsid w:val="00C24E21"/>
    <w:rsid w:val="00C24E49"/>
    <w:rsid w:val="00C24E8D"/>
    <w:rsid w:val="00C24EAB"/>
    <w:rsid w:val="00C24EB7"/>
    <w:rsid w:val="00C24EC2"/>
    <w:rsid w:val="00C24F0E"/>
    <w:rsid w:val="00C24FA4"/>
    <w:rsid w:val="00C24FB7"/>
    <w:rsid w:val="00C24FD3"/>
    <w:rsid w:val="00C24FD5"/>
    <w:rsid w:val="00C25029"/>
    <w:rsid w:val="00C2503F"/>
    <w:rsid w:val="00C25062"/>
    <w:rsid w:val="00C25098"/>
    <w:rsid w:val="00C25103"/>
    <w:rsid w:val="00C25113"/>
    <w:rsid w:val="00C2515F"/>
    <w:rsid w:val="00C25178"/>
    <w:rsid w:val="00C251AD"/>
    <w:rsid w:val="00C251B1"/>
    <w:rsid w:val="00C251DD"/>
    <w:rsid w:val="00C251FA"/>
    <w:rsid w:val="00C25223"/>
    <w:rsid w:val="00C2526C"/>
    <w:rsid w:val="00C25277"/>
    <w:rsid w:val="00C2529A"/>
    <w:rsid w:val="00C25305"/>
    <w:rsid w:val="00C2532E"/>
    <w:rsid w:val="00C25398"/>
    <w:rsid w:val="00C253C0"/>
    <w:rsid w:val="00C253D4"/>
    <w:rsid w:val="00C253F0"/>
    <w:rsid w:val="00C25402"/>
    <w:rsid w:val="00C25407"/>
    <w:rsid w:val="00C2541B"/>
    <w:rsid w:val="00C25432"/>
    <w:rsid w:val="00C25457"/>
    <w:rsid w:val="00C254AC"/>
    <w:rsid w:val="00C254EF"/>
    <w:rsid w:val="00C2551A"/>
    <w:rsid w:val="00C2551B"/>
    <w:rsid w:val="00C25534"/>
    <w:rsid w:val="00C25552"/>
    <w:rsid w:val="00C25585"/>
    <w:rsid w:val="00C2558E"/>
    <w:rsid w:val="00C2559D"/>
    <w:rsid w:val="00C255D3"/>
    <w:rsid w:val="00C25605"/>
    <w:rsid w:val="00C25684"/>
    <w:rsid w:val="00C2569A"/>
    <w:rsid w:val="00C256AF"/>
    <w:rsid w:val="00C256DD"/>
    <w:rsid w:val="00C25700"/>
    <w:rsid w:val="00C25751"/>
    <w:rsid w:val="00C25756"/>
    <w:rsid w:val="00C2575C"/>
    <w:rsid w:val="00C25768"/>
    <w:rsid w:val="00C2576A"/>
    <w:rsid w:val="00C25799"/>
    <w:rsid w:val="00C257BC"/>
    <w:rsid w:val="00C257C4"/>
    <w:rsid w:val="00C257CD"/>
    <w:rsid w:val="00C257D2"/>
    <w:rsid w:val="00C257D4"/>
    <w:rsid w:val="00C25811"/>
    <w:rsid w:val="00C2586F"/>
    <w:rsid w:val="00C25886"/>
    <w:rsid w:val="00C258FF"/>
    <w:rsid w:val="00C2592D"/>
    <w:rsid w:val="00C25971"/>
    <w:rsid w:val="00C25979"/>
    <w:rsid w:val="00C259B3"/>
    <w:rsid w:val="00C259E4"/>
    <w:rsid w:val="00C25A17"/>
    <w:rsid w:val="00C25A20"/>
    <w:rsid w:val="00C25AD1"/>
    <w:rsid w:val="00C25B1D"/>
    <w:rsid w:val="00C25B62"/>
    <w:rsid w:val="00C25C07"/>
    <w:rsid w:val="00C25CC3"/>
    <w:rsid w:val="00C25CF0"/>
    <w:rsid w:val="00C25CF4"/>
    <w:rsid w:val="00C25D1D"/>
    <w:rsid w:val="00C25D31"/>
    <w:rsid w:val="00C25D69"/>
    <w:rsid w:val="00C25D6A"/>
    <w:rsid w:val="00C25DAD"/>
    <w:rsid w:val="00C25DBD"/>
    <w:rsid w:val="00C25DCA"/>
    <w:rsid w:val="00C25E49"/>
    <w:rsid w:val="00C25E52"/>
    <w:rsid w:val="00C25E92"/>
    <w:rsid w:val="00C25E96"/>
    <w:rsid w:val="00C25ECA"/>
    <w:rsid w:val="00C25ED4"/>
    <w:rsid w:val="00C25EDA"/>
    <w:rsid w:val="00C25F2E"/>
    <w:rsid w:val="00C25F88"/>
    <w:rsid w:val="00C25F90"/>
    <w:rsid w:val="00C25FBF"/>
    <w:rsid w:val="00C25FD0"/>
    <w:rsid w:val="00C26011"/>
    <w:rsid w:val="00C26065"/>
    <w:rsid w:val="00C26066"/>
    <w:rsid w:val="00C26078"/>
    <w:rsid w:val="00C2612E"/>
    <w:rsid w:val="00C26137"/>
    <w:rsid w:val="00C26141"/>
    <w:rsid w:val="00C2618D"/>
    <w:rsid w:val="00C261AD"/>
    <w:rsid w:val="00C261B1"/>
    <w:rsid w:val="00C261EA"/>
    <w:rsid w:val="00C26220"/>
    <w:rsid w:val="00C26240"/>
    <w:rsid w:val="00C26282"/>
    <w:rsid w:val="00C262A8"/>
    <w:rsid w:val="00C262E9"/>
    <w:rsid w:val="00C26350"/>
    <w:rsid w:val="00C26371"/>
    <w:rsid w:val="00C263C9"/>
    <w:rsid w:val="00C26409"/>
    <w:rsid w:val="00C26415"/>
    <w:rsid w:val="00C2643A"/>
    <w:rsid w:val="00C26484"/>
    <w:rsid w:val="00C2648F"/>
    <w:rsid w:val="00C264B7"/>
    <w:rsid w:val="00C264C9"/>
    <w:rsid w:val="00C264D0"/>
    <w:rsid w:val="00C264F5"/>
    <w:rsid w:val="00C2652A"/>
    <w:rsid w:val="00C26530"/>
    <w:rsid w:val="00C26574"/>
    <w:rsid w:val="00C265AC"/>
    <w:rsid w:val="00C265C3"/>
    <w:rsid w:val="00C265E6"/>
    <w:rsid w:val="00C265EE"/>
    <w:rsid w:val="00C265FD"/>
    <w:rsid w:val="00C26607"/>
    <w:rsid w:val="00C2660C"/>
    <w:rsid w:val="00C2662F"/>
    <w:rsid w:val="00C26640"/>
    <w:rsid w:val="00C26652"/>
    <w:rsid w:val="00C26697"/>
    <w:rsid w:val="00C266AC"/>
    <w:rsid w:val="00C266C2"/>
    <w:rsid w:val="00C266CA"/>
    <w:rsid w:val="00C266F7"/>
    <w:rsid w:val="00C2670F"/>
    <w:rsid w:val="00C26749"/>
    <w:rsid w:val="00C2674C"/>
    <w:rsid w:val="00C26755"/>
    <w:rsid w:val="00C2677E"/>
    <w:rsid w:val="00C26784"/>
    <w:rsid w:val="00C267B7"/>
    <w:rsid w:val="00C267D7"/>
    <w:rsid w:val="00C26825"/>
    <w:rsid w:val="00C2683D"/>
    <w:rsid w:val="00C26845"/>
    <w:rsid w:val="00C26856"/>
    <w:rsid w:val="00C2688E"/>
    <w:rsid w:val="00C26891"/>
    <w:rsid w:val="00C26894"/>
    <w:rsid w:val="00C268BB"/>
    <w:rsid w:val="00C268BE"/>
    <w:rsid w:val="00C268C4"/>
    <w:rsid w:val="00C26943"/>
    <w:rsid w:val="00C26949"/>
    <w:rsid w:val="00C2694A"/>
    <w:rsid w:val="00C2695E"/>
    <w:rsid w:val="00C26967"/>
    <w:rsid w:val="00C269C3"/>
    <w:rsid w:val="00C269E2"/>
    <w:rsid w:val="00C269F9"/>
    <w:rsid w:val="00C26A5F"/>
    <w:rsid w:val="00C26AD3"/>
    <w:rsid w:val="00C26AD4"/>
    <w:rsid w:val="00C26B33"/>
    <w:rsid w:val="00C26B38"/>
    <w:rsid w:val="00C26B58"/>
    <w:rsid w:val="00C26BCA"/>
    <w:rsid w:val="00C26BF8"/>
    <w:rsid w:val="00C26C00"/>
    <w:rsid w:val="00C26C39"/>
    <w:rsid w:val="00C26C63"/>
    <w:rsid w:val="00C26C96"/>
    <w:rsid w:val="00C26CB0"/>
    <w:rsid w:val="00C26CBA"/>
    <w:rsid w:val="00C26CFB"/>
    <w:rsid w:val="00C26CFC"/>
    <w:rsid w:val="00C26CFE"/>
    <w:rsid w:val="00C26D24"/>
    <w:rsid w:val="00C26D4F"/>
    <w:rsid w:val="00C26D64"/>
    <w:rsid w:val="00C26D70"/>
    <w:rsid w:val="00C26DB0"/>
    <w:rsid w:val="00C26DB6"/>
    <w:rsid w:val="00C26DBC"/>
    <w:rsid w:val="00C26DDB"/>
    <w:rsid w:val="00C26DE5"/>
    <w:rsid w:val="00C26E63"/>
    <w:rsid w:val="00C26EEE"/>
    <w:rsid w:val="00C26F1A"/>
    <w:rsid w:val="00C26F5D"/>
    <w:rsid w:val="00C26F9F"/>
    <w:rsid w:val="00C26FA1"/>
    <w:rsid w:val="00C27058"/>
    <w:rsid w:val="00C2705F"/>
    <w:rsid w:val="00C27075"/>
    <w:rsid w:val="00C2707B"/>
    <w:rsid w:val="00C2708E"/>
    <w:rsid w:val="00C270A6"/>
    <w:rsid w:val="00C270AC"/>
    <w:rsid w:val="00C270D0"/>
    <w:rsid w:val="00C27102"/>
    <w:rsid w:val="00C2712A"/>
    <w:rsid w:val="00C27142"/>
    <w:rsid w:val="00C27157"/>
    <w:rsid w:val="00C271AB"/>
    <w:rsid w:val="00C271E0"/>
    <w:rsid w:val="00C27222"/>
    <w:rsid w:val="00C27226"/>
    <w:rsid w:val="00C272FC"/>
    <w:rsid w:val="00C27316"/>
    <w:rsid w:val="00C2732D"/>
    <w:rsid w:val="00C2733E"/>
    <w:rsid w:val="00C2735C"/>
    <w:rsid w:val="00C2737C"/>
    <w:rsid w:val="00C273AB"/>
    <w:rsid w:val="00C273AE"/>
    <w:rsid w:val="00C273BA"/>
    <w:rsid w:val="00C273C5"/>
    <w:rsid w:val="00C273D6"/>
    <w:rsid w:val="00C27446"/>
    <w:rsid w:val="00C2746F"/>
    <w:rsid w:val="00C274AA"/>
    <w:rsid w:val="00C274B8"/>
    <w:rsid w:val="00C27576"/>
    <w:rsid w:val="00C27591"/>
    <w:rsid w:val="00C2759C"/>
    <w:rsid w:val="00C275AA"/>
    <w:rsid w:val="00C275C0"/>
    <w:rsid w:val="00C275CB"/>
    <w:rsid w:val="00C275E3"/>
    <w:rsid w:val="00C27608"/>
    <w:rsid w:val="00C27618"/>
    <w:rsid w:val="00C27629"/>
    <w:rsid w:val="00C2766D"/>
    <w:rsid w:val="00C2767F"/>
    <w:rsid w:val="00C27684"/>
    <w:rsid w:val="00C276D9"/>
    <w:rsid w:val="00C27734"/>
    <w:rsid w:val="00C2774A"/>
    <w:rsid w:val="00C277B3"/>
    <w:rsid w:val="00C277C1"/>
    <w:rsid w:val="00C277F8"/>
    <w:rsid w:val="00C277FC"/>
    <w:rsid w:val="00C277FF"/>
    <w:rsid w:val="00C27819"/>
    <w:rsid w:val="00C27830"/>
    <w:rsid w:val="00C27840"/>
    <w:rsid w:val="00C2787A"/>
    <w:rsid w:val="00C2787C"/>
    <w:rsid w:val="00C27897"/>
    <w:rsid w:val="00C278BF"/>
    <w:rsid w:val="00C278C5"/>
    <w:rsid w:val="00C278E6"/>
    <w:rsid w:val="00C27990"/>
    <w:rsid w:val="00C279A8"/>
    <w:rsid w:val="00C279CB"/>
    <w:rsid w:val="00C279D1"/>
    <w:rsid w:val="00C279D5"/>
    <w:rsid w:val="00C27A0A"/>
    <w:rsid w:val="00C27A0B"/>
    <w:rsid w:val="00C27A15"/>
    <w:rsid w:val="00C27A78"/>
    <w:rsid w:val="00C27A79"/>
    <w:rsid w:val="00C27A7B"/>
    <w:rsid w:val="00C27AB7"/>
    <w:rsid w:val="00C27ACC"/>
    <w:rsid w:val="00C27AF7"/>
    <w:rsid w:val="00C27B1A"/>
    <w:rsid w:val="00C27B1D"/>
    <w:rsid w:val="00C27B4D"/>
    <w:rsid w:val="00C27C1E"/>
    <w:rsid w:val="00C27C34"/>
    <w:rsid w:val="00C27C8D"/>
    <w:rsid w:val="00C27CAB"/>
    <w:rsid w:val="00C27D7D"/>
    <w:rsid w:val="00C27DA2"/>
    <w:rsid w:val="00C27DAC"/>
    <w:rsid w:val="00C27DBD"/>
    <w:rsid w:val="00C27DD6"/>
    <w:rsid w:val="00C27E40"/>
    <w:rsid w:val="00C27E81"/>
    <w:rsid w:val="00C27EAF"/>
    <w:rsid w:val="00C27EBD"/>
    <w:rsid w:val="00C27EC7"/>
    <w:rsid w:val="00C27EE9"/>
    <w:rsid w:val="00C27F10"/>
    <w:rsid w:val="00C27F77"/>
    <w:rsid w:val="00C27F8B"/>
    <w:rsid w:val="00C27FA6"/>
    <w:rsid w:val="00C27FB9"/>
    <w:rsid w:val="00C27FE9"/>
    <w:rsid w:val="00C30006"/>
    <w:rsid w:val="00C3000B"/>
    <w:rsid w:val="00C3003F"/>
    <w:rsid w:val="00C3006F"/>
    <w:rsid w:val="00C30088"/>
    <w:rsid w:val="00C300B4"/>
    <w:rsid w:val="00C300FF"/>
    <w:rsid w:val="00C30139"/>
    <w:rsid w:val="00C3013E"/>
    <w:rsid w:val="00C30151"/>
    <w:rsid w:val="00C301B3"/>
    <w:rsid w:val="00C301FD"/>
    <w:rsid w:val="00C30214"/>
    <w:rsid w:val="00C30226"/>
    <w:rsid w:val="00C3024F"/>
    <w:rsid w:val="00C30264"/>
    <w:rsid w:val="00C30284"/>
    <w:rsid w:val="00C3029F"/>
    <w:rsid w:val="00C302C6"/>
    <w:rsid w:val="00C302CB"/>
    <w:rsid w:val="00C302E3"/>
    <w:rsid w:val="00C30315"/>
    <w:rsid w:val="00C30322"/>
    <w:rsid w:val="00C30344"/>
    <w:rsid w:val="00C30390"/>
    <w:rsid w:val="00C3039E"/>
    <w:rsid w:val="00C303DB"/>
    <w:rsid w:val="00C30428"/>
    <w:rsid w:val="00C30433"/>
    <w:rsid w:val="00C30456"/>
    <w:rsid w:val="00C3045D"/>
    <w:rsid w:val="00C304A6"/>
    <w:rsid w:val="00C304A8"/>
    <w:rsid w:val="00C304B6"/>
    <w:rsid w:val="00C30508"/>
    <w:rsid w:val="00C30511"/>
    <w:rsid w:val="00C30513"/>
    <w:rsid w:val="00C30520"/>
    <w:rsid w:val="00C30575"/>
    <w:rsid w:val="00C305C1"/>
    <w:rsid w:val="00C3060C"/>
    <w:rsid w:val="00C30630"/>
    <w:rsid w:val="00C30644"/>
    <w:rsid w:val="00C30694"/>
    <w:rsid w:val="00C306EC"/>
    <w:rsid w:val="00C306F7"/>
    <w:rsid w:val="00C306F8"/>
    <w:rsid w:val="00C3071B"/>
    <w:rsid w:val="00C3071F"/>
    <w:rsid w:val="00C30723"/>
    <w:rsid w:val="00C3076F"/>
    <w:rsid w:val="00C307CF"/>
    <w:rsid w:val="00C307FA"/>
    <w:rsid w:val="00C30831"/>
    <w:rsid w:val="00C30890"/>
    <w:rsid w:val="00C30894"/>
    <w:rsid w:val="00C30946"/>
    <w:rsid w:val="00C30964"/>
    <w:rsid w:val="00C30983"/>
    <w:rsid w:val="00C3099D"/>
    <w:rsid w:val="00C309CF"/>
    <w:rsid w:val="00C309F9"/>
    <w:rsid w:val="00C309FA"/>
    <w:rsid w:val="00C30A59"/>
    <w:rsid w:val="00C30A85"/>
    <w:rsid w:val="00C30AD4"/>
    <w:rsid w:val="00C30AF4"/>
    <w:rsid w:val="00C30B05"/>
    <w:rsid w:val="00C30B40"/>
    <w:rsid w:val="00C30BC6"/>
    <w:rsid w:val="00C30BD7"/>
    <w:rsid w:val="00C30BE4"/>
    <w:rsid w:val="00C30BFF"/>
    <w:rsid w:val="00C30C18"/>
    <w:rsid w:val="00C30C62"/>
    <w:rsid w:val="00C30C75"/>
    <w:rsid w:val="00C30C92"/>
    <w:rsid w:val="00C30C98"/>
    <w:rsid w:val="00C30C9B"/>
    <w:rsid w:val="00C30CA4"/>
    <w:rsid w:val="00C30CB2"/>
    <w:rsid w:val="00C30CC3"/>
    <w:rsid w:val="00C30DB7"/>
    <w:rsid w:val="00C30DEC"/>
    <w:rsid w:val="00C30E18"/>
    <w:rsid w:val="00C30E33"/>
    <w:rsid w:val="00C30E37"/>
    <w:rsid w:val="00C30E54"/>
    <w:rsid w:val="00C30E66"/>
    <w:rsid w:val="00C30E90"/>
    <w:rsid w:val="00C30E9D"/>
    <w:rsid w:val="00C30EAE"/>
    <w:rsid w:val="00C30EBD"/>
    <w:rsid w:val="00C30EE8"/>
    <w:rsid w:val="00C30F23"/>
    <w:rsid w:val="00C30F58"/>
    <w:rsid w:val="00C30F6A"/>
    <w:rsid w:val="00C30F6C"/>
    <w:rsid w:val="00C30F7A"/>
    <w:rsid w:val="00C30F86"/>
    <w:rsid w:val="00C30FA9"/>
    <w:rsid w:val="00C30FC9"/>
    <w:rsid w:val="00C3102E"/>
    <w:rsid w:val="00C31067"/>
    <w:rsid w:val="00C31095"/>
    <w:rsid w:val="00C310C6"/>
    <w:rsid w:val="00C310DC"/>
    <w:rsid w:val="00C31115"/>
    <w:rsid w:val="00C3111D"/>
    <w:rsid w:val="00C31139"/>
    <w:rsid w:val="00C31142"/>
    <w:rsid w:val="00C31152"/>
    <w:rsid w:val="00C311C0"/>
    <w:rsid w:val="00C311CE"/>
    <w:rsid w:val="00C311D7"/>
    <w:rsid w:val="00C31229"/>
    <w:rsid w:val="00C31245"/>
    <w:rsid w:val="00C31264"/>
    <w:rsid w:val="00C3129A"/>
    <w:rsid w:val="00C3131B"/>
    <w:rsid w:val="00C31338"/>
    <w:rsid w:val="00C31340"/>
    <w:rsid w:val="00C31382"/>
    <w:rsid w:val="00C31392"/>
    <w:rsid w:val="00C313CD"/>
    <w:rsid w:val="00C3140E"/>
    <w:rsid w:val="00C31425"/>
    <w:rsid w:val="00C3145D"/>
    <w:rsid w:val="00C31469"/>
    <w:rsid w:val="00C3147C"/>
    <w:rsid w:val="00C314E1"/>
    <w:rsid w:val="00C314E2"/>
    <w:rsid w:val="00C3150A"/>
    <w:rsid w:val="00C3150C"/>
    <w:rsid w:val="00C3153C"/>
    <w:rsid w:val="00C3160E"/>
    <w:rsid w:val="00C31616"/>
    <w:rsid w:val="00C31638"/>
    <w:rsid w:val="00C31649"/>
    <w:rsid w:val="00C31657"/>
    <w:rsid w:val="00C31697"/>
    <w:rsid w:val="00C316A3"/>
    <w:rsid w:val="00C316B5"/>
    <w:rsid w:val="00C3173B"/>
    <w:rsid w:val="00C3175B"/>
    <w:rsid w:val="00C31794"/>
    <w:rsid w:val="00C3179A"/>
    <w:rsid w:val="00C317EE"/>
    <w:rsid w:val="00C3180E"/>
    <w:rsid w:val="00C31827"/>
    <w:rsid w:val="00C31865"/>
    <w:rsid w:val="00C31872"/>
    <w:rsid w:val="00C31876"/>
    <w:rsid w:val="00C318F3"/>
    <w:rsid w:val="00C31900"/>
    <w:rsid w:val="00C3191D"/>
    <w:rsid w:val="00C31985"/>
    <w:rsid w:val="00C319B9"/>
    <w:rsid w:val="00C319EA"/>
    <w:rsid w:val="00C319FA"/>
    <w:rsid w:val="00C31A19"/>
    <w:rsid w:val="00C31A39"/>
    <w:rsid w:val="00C31A3C"/>
    <w:rsid w:val="00C31A5D"/>
    <w:rsid w:val="00C31A70"/>
    <w:rsid w:val="00C31AC3"/>
    <w:rsid w:val="00C31B17"/>
    <w:rsid w:val="00C31B49"/>
    <w:rsid w:val="00C31B5F"/>
    <w:rsid w:val="00C31BAA"/>
    <w:rsid w:val="00C31BD9"/>
    <w:rsid w:val="00C31C3F"/>
    <w:rsid w:val="00C31C45"/>
    <w:rsid w:val="00C31C47"/>
    <w:rsid w:val="00C31C7B"/>
    <w:rsid w:val="00C31CCF"/>
    <w:rsid w:val="00C31CE1"/>
    <w:rsid w:val="00C31CE8"/>
    <w:rsid w:val="00C31CF2"/>
    <w:rsid w:val="00C31D2A"/>
    <w:rsid w:val="00C31D3D"/>
    <w:rsid w:val="00C31D53"/>
    <w:rsid w:val="00C31D91"/>
    <w:rsid w:val="00C31D99"/>
    <w:rsid w:val="00C31DCC"/>
    <w:rsid w:val="00C31DF6"/>
    <w:rsid w:val="00C31E4B"/>
    <w:rsid w:val="00C31E50"/>
    <w:rsid w:val="00C31EA0"/>
    <w:rsid w:val="00C31EC8"/>
    <w:rsid w:val="00C31EE7"/>
    <w:rsid w:val="00C31EE8"/>
    <w:rsid w:val="00C31F17"/>
    <w:rsid w:val="00C31F31"/>
    <w:rsid w:val="00C31F4F"/>
    <w:rsid w:val="00C3209E"/>
    <w:rsid w:val="00C320AD"/>
    <w:rsid w:val="00C320D9"/>
    <w:rsid w:val="00C3216E"/>
    <w:rsid w:val="00C32175"/>
    <w:rsid w:val="00C32183"/>
    <w:rsid w:val="00C321DB"/>
    <w:rsid w:val="00C321E4"/>
    <w:rsid w:val="00C32254"/>
    <w:rsid w:val="00C3227E"/>
    <w:rsid w:val="00C32288"/>
    <w:rsid w:val="00C322EA"/>
    <w:rsid w:val="00C32339"/>
    <w:rsid w:val="00C32364"/>
    <w:rsid w:val="00C32385"/>
    <w:rsid w:val="00C323BA"/>
    <w:rsid w:val="00C3245B"/>
    <w:rsid w:val="00C3246F"/>
    <w:rsid w:val="00C324B0"/>
    <w:rsid w:val="00C324C1"/>
    <w:rsid w:val="00C324D0"/>
    <w:rsid w:val="00C32508"/>
    <w:rsid w:val="00C32517"/>
    <w:rsid w:val="00C32538"/>
    <w:rsid w:val="00C32559"/>
    <w:rsid w:val="00C32561"/>
    <w:rsid w:val="00C3259B"/>
    <w:rsid w:val="00C325A1"/>
    <w:rsid w:val="00C325EB"/>
    <w:rsid w:val="00C3260C"/>
    <w:rsid w:val="00C32653"/>
    <w:rsid w:val="00C3266B"/>
    <w:rsid w:val="00C3267B"/>
    <w:rsid w:val="00C32685"/>
    <w:rsid w:val="00C326CB"/>
    <w:rsid w:val="00C3270F"/>
    <w:rsid w:val="00C3271F"/>
    <w:rsid w:val="00C32754"/>
    <w:rsid w:val="00C32778"/>
    <w:rsid w:val="00C327CA"/>
    <w:rsid w:val="00C327EE"/>
    <w:rsid w:val="00C327F1"/>
    <w:rsid w:val="00C3280E"/>
    <w:rsid w:val="00C32825"/>
    <w:rsid w:val="00C32873"/>
    <w:rsid w:val="00C32897"/>
    <w:rsid w:val="00C328AE"/>
    <w:rsid w:val="00C328DF"/>
    <w:rsid w:val="00C3290F"/>
    <w:rsid w:val="00C329A9"/>
    <w:rsid w:val="00C329B2"/>
    <w:rsid w:val="00C329BD"/>
    <w:rsid w:val="00C329C6"/>
    <w:rsid w:val="00C329E8"/>
    <w:rsid w:val="00C32A0E"/>
    <w:rsid w:val="00C32A1E"/>
    <w:rsid w:val="00C32A23"/>
    <w:rsid w:val="00C32A52"/>
    <w:rsid w:val="00C32B15"/>
    <w:rsid w:val="00C32B9A"/>
    <w:rsid w:val="00C32BD2"/>
    <w:rsid w:val="00C32BEF"/>
    <w:rsid w:val="00C32C12"/>
    <w:rsid w:val="00C32C49"/>
    <w:rsid w:val="00C32CC5"/>
    <w:rsid w:val="00C32CC6"/>
    <w:rsid w:val="00C32CEE"/>
    <w:rsid w:val="00C32D42"/>
    <w:rsid w:val="00C32D6D"/>
    <w:rsid w:val="00C32D80"/>
    <w:rsid w:val="00C32D9D"/>
    <w:rsid w:val="00C32DB1"/>
    <w:rsid w:val="00C32DF5"/>
    <w:rsid w:val="00C32DF9"/>
    <w:rsid w:val="00C32E0A"/>
    <w:rsid w:val="00C32E5D"/>
    <w:rsid w:val="00C32E6A"/>
    <w:rsid w:val="00C32E6B"/>
    <w:rsid w:val="00C32E6D"/>
    <w:rsid w:val="00C32E79"/>
    <w:rsid w:val="00C32E81"/>
    <w:rsid w:val="00C32E8E"/>
    <w:rsid w:val="00C32EE1"/>
    <w:rsid w:val="00C32F71"/>
    <w:rsid w:val="00C32F7F"/>
    <w:rsid w:val="00C330C9"/>
    <w:rsid w:val="00C33129"/>
    <w:rsid w:val="00C3316A"/>
    <w:rsid w:val="00C33173"/>
    <w:rsid w:val="00C33178"/>
    <w:rsid w:val="00C3319B"/>
    <w:rsid w:val="00C331FF"/>
    <w:rsid w:val="00C3320D"/>
    <w:rsid w:val="00C33213"/>
    <w:rsid w:val="00C33231"/>
    <w:rsid w:val="00C332C3"/>
    <w:rsid w:val="00C332D3"/>
    <w:rsid w:val="00C332DD"/>
    <w:rsid w:val="00C332E2"/>
    <w:rsid w:val="00C3330F"/>
    <w:rsid w:val="00C33322"/>
    <w:rsid w:val="00C33336"/>
    <w:rsid w:val="00C333D6"/>
    <w:rsid w:val="00C333F2"/>
    <w:rsid w:val="00C333FF"/>
    <w:rsid w:val="00C33456"/>
    <w:rsid w:val="00C33458"/>
    <w:rsid w:val="00C3347A"/>
    <w:rsid w:val="00C334BF"/>
    <w:rsid w:val="00C334D7"/>
    <w:rsid w:val="00C334DA"/>
    <w:rsid w:val="00C33533"/>
    <w:rsid w:val="00C33557"/>
    <w:rsid w:val="00C3357A"/>
    <w:rsid w:val="00C33598"/>
    <w:rsid w:val="00C335E6"/>
    <w:rsid w:val="00C335E8"/>
    <w:rsid w:val="00C335F9"/>
    <w:rsid w:val="00C3363F"/>
    <w:rsid w:val="00C33642"/>
    <w:rsid w:val="00C3364F"/>
    <w:rsid w:val="00C33662"/>
    <w:rsid w:val="00C33676"/>
    <w:rsid w:val="00C33677"/>
    <w:rsid w:val="00C3368E"/>
    <w:rsid w:val="00C336A4"/>
    <w:rsid w:val="00C336DF"/>
    <w:rsid w:val="00C336E3"/>
    <w:rsid w:val="00C33725"/>
    <w:rsid w:val="00C33736"/>
    <w:rsid w:val="00C3374B"/>
    <w:rsid w:val="00C33766"/>
    <w:rsid w:val="00C3377E"/>
    <w:rsid w:val="00C3377F"/>
    <w:rsid w:val="00C3378C"/>
    <w:rsid w:val="00C3380E"/>
    <w:rsid w:val="00C33824"/>
    <w:rsid w:val="00C33876"/>
    <w:rsid w:val="00C338D1"/>
    <w:rsid w:val="00C3391A"/>
    <w:rsid w:val="00C3391F"/>
    <w:rsid w:val="00C33941"/>
    <w:rsid w:val="00C3394D"/>
    <w:rsid w:val="00C3395A"/>
    <w:rsid w:val="00C33967"/>
    <w:rsid w:val="00C339C1"/>
    <w:rsid w:val="00C33A1A"/>
    <w:rsid w:val="00C33A2E"/>
    <w:rsid w:val="00C33A74"/>
    <w:rsid w:val="00C33A8A"/>
    <w:rsid w:val="00C33AA6"/>
    <w:rsid w:val="00C33ADD"/>
    <w:rsid w:val="00C33B7D"/>
    <w:rsid w:val="00C33BBD"/>
    <w:rsid w:val="00C33C08"/>
    <w:rsid w:val="00C33C11"/>
    <w:rsid w:val="00C33C3D"/>
    <w:rsid w:val="00C33CAB"/>
    <w:rsid w:val="00C33CAD"/>
    <w:rsid w:val="00C33D30"/>
    <w:rsid w:val="00C33D83"/>
    <w:rsid w:val="00C33E08"/>
    <w:rsid w:val="00C33E5F"/>
    <w:rsid w:val="00C33E73"/>
    <w:rsid w:val="00C33EF0"/>
    <w:rsid w:val="00C33F34"/>
    <w:rsid w:val="00C33F4D"/>
    <w:rsid w:val="00C33F6C"/>
    <w:rsid w:val="00C33F7B"/>
    <w:rsid w:val="00C33F94"/>
    <w:rsid w:val="00C33F99"/>
    <w:rsid w:val="00C33F9C"/>
    <w:rsid w:val="00C33FB1"/>
    <w:rsid w:val="00C33FC6"/>
    <w:rsid w:val="00C33FEF"/>
    <w:rsid w:val="00C34043"/>
    <w:rsid w:val="00C34047"/>
    <w:rsid w:val="00C3404B"/>
    <w:rsid w:val="00C34063"/>
    <w:rsid w:val="00C34074"/>
    <w:rsid w:val="00C3409B"/>
    <w:rsid w:val="00C3409E"/>
    <w:rsid w:val="00C340BC"/>
    <w:rsid w:val="00C34111"/>
    <w:rsid w:val="00C3412C"/>
    <w:rsid w:val="00C34167"/>
    <w:rsid w:val="00C341CA"/>
    <w:rsid w:val="00C341DC"/>
    <w:rsid w:val="00C341EA"/>
    <w:rsid w:val="00C34213"/>
    <w:rsid w:val="00C3421A"/>
    <w:rsid w:val="00C3421D"/>
    <w:rsid w:val="00C3422B"/>
    <w:rsid w:val="00C34271"/>
    <w:rsid w:val="00C3427B"/>
    <w:rsid w:val="00C3427E"/>
    <w:rsid w:val="00C3428E"/>
    <w:rsid w:val="00C342A0"/>
    <w:rsid w:val="00C342AA"/>
    <w:rsid w:val="00C342B1"/>
    <w:rsid w:val="00C342C9"/>
    <w:rsid w:val="00C342E1"/>
    <w:rsid w:val="00C342E9"/>
    <w:rsid w:val="00C34313"/>
    <w:rsid w:val="00C34324"/>
    <w:rsid w:val="00C3436C"/>
    <w:rsid w:val="00C343D6"/>
    <w:rsid w:val="00C343DB"/>
    <w:rsid w:val="00C34468"/>
    <w:rsid w:val="00C344B1"/>
    <w:rsid w:val="00C344EE"/>
    <w:rsid w:val="00C344F5"/>
    <w:rsid w:val="00C34530"/>
    <w:rsid w:val="00C3453C"/>
    <w:rsid w:val="00C3455B"/>
    <w:rsid w:val="00C3456A"/>
    <w:rsid w:val="00C3459D"/>
    <w:rsid w:val="00C345BA"/>
    <w:rsid w:val="00C345E5"/>
    <w:rsid w:val="00C3460F"/>
    <w:rsid w:val="00C3462E"/>
    <w:rsid w:val="00C34652"/>
    <w:rsid w:val="00C3465F"/>
    <w:rsid w:val="00C346A0"/>
    <w:rsid w:val="00C346AF"/>
    <w:rsid w:val="00C3472E"/>
    <w:rsid w:val="00C3474D"/>
    <w:rsid w:val="00C34789"/>
    <w:rsid w:val="00C3478B"/>
    <w:rsid w:val="00C34796"/>
    <w:rsid w:val="00C347D0"/>
    <w:rsid w:val="00C347E7"/>
    <w:rsid w:val="00C347E8"/>
    <w:rsid w:val="00C34855"/>
    <w:rsid w:val="00C3486D"/>
    <w:rsid w:val="00C348AA"/>
    <w:rsid w:val="00C348C5"/>
    <w:rsid w:val="00C348D1"/>
    <w:rsid w:val="00C34931"/>
    <w:rsid w:val="00C34948"/>
    <w:rsid w:val="00C34982"/>
    <w:rsid w:val="00C34984"/>
    <w:rsid w:val="00C34995"/>
    <w:rsid w:val="00C349D6"/>
    <w:rsid w:val="00C349E1"/>
    <w:rsid w:val="00C349E9"/>
    <w:rsid w:val="00C34A03"/>
    <w:rsid w:val="00C34A0A"/>
    <w:rsid w:val="00C34A21"/>
    <w:rsid w:val="00C34A47"/>
    <w:rsid w:val="00C34A68"/>
    <w:rsid w:val="00C34B06"/>
    <w:rsid w:val="00C34B08"/>
    <w:rsid w:val="00C34B26"/>
    <w:rsid w:val="00C34B3F"/>
    <w:rsid w:val="00C34B7C"/>
    <w:rsid w:val="00C34B7E"/>
    <w:rsid w:val="00C34BB0"/>
    <w:rsid w:val="00C34BC3"/>
    <w:rsid w:val="00C34BC4"/>
    <w:rsid w:val="00C34BDC"/>
    <w:rsid w:val="00C34BF2"/>
    <w:rsid w:val="00C34C11"/>
    <w:rsid w:val="00C34C15"/>
    <w:rsid w:val="00C34C1E"/>
    <w:rsid w:val="00C34C20"/>
    <w:rsid w:val="00C34C33"/>
    <w:rsid w:val="00C34C35"/>
    <w:rsid w:val="00C34C62"/>
    <w:rsid w:val="00C34C70"/>
    <w:rsid w:val="00C34CA1"/>
    <w:rsid w:val="00C34D5A"/>
    <w:rsid w:val="00C34D83"/>
    <w:rsid w:val="00C34DCE"/>
    <w:rsid w:val="00C34E5B"/>
    <w:rsid w:val="00C34E70"/>
    <w:rsid w:val="00C34ECB"/>
    <w:rsid w:val="00C34F0A"/>
    <w:rsid w:val="00C34F48"/>
    <w:rsid w:val="00C34F6E"/>
    <w:rsid w:val="00C34F7D"/>
    <w:rsid w:val="00C34FB7"/>
    <w:rsid w:val="00C34FC9"/>
    <w:rsid w:val="00C34FCC"/>
    <w:rsid w:val="00C34FD9"/>
    <w:rsid w:val="00C34FDA"/>
    <w:rsid w:val="00C34FF0"/>
    <w:rsid w:val="00C35000"/>
    <w:rsid w:val="00C35017"/>
    <w:rsid w:val="00C35049"/>
    <w:rsid w:val="00C3507A"/>
    <w:rsid w:val="00C350AE"/>
    <w:rsid w:val="00C35103"/>
    <w:rsid w:val="00C3516D"/>
    <w:rsid w:val="00C35178"/>
    <w:rsid w:val="00C35186"/>
    <w:rsid w:val="00C35193"/>
    <w:rsid w:val="00C351C4"/>
    <w:rsid w:val="00C351D6"/>
    <w:rsid w:val="00C3520C"/>
    <w:rsid w:val="00C35242"/>
    <w:rsid w:val="00C35263"/>
    <w:rsid w:val="00C352B6"/>
    <w:rsid w:val="00C352BF"/>
    <w:rsid w:val="00C352CD"/>
    <w:rsid w:val="00C352DF"/>
    <w:rsid w:val="00C35305"/>
    <w:rsid w:val="00C35327"/>
    <w:rsid w:val="00C3532F"/>
    <w:rsid w:val="00C3535F"/>
    <w:rsid w:val="00C3538A"/>
    <w:rsid w:val="00C35397"/>
    <w:rsid w:val="00C353B0"/>
    <w:rsid w:val="00C353B3"/>
    <w:rsid w:val="00C353D6"/>
    <w:rsid w:val="00C353FD"/>
    <w:rsid w:val="00C35416"/>
    <w:rsid w:val="00C35481"/>
    <w:rsid w:val="00C35496"/>
    <w:rsid w:val="00C3549F"/>
    <w:rsid w:val="00C354CC"/>
    <w:rsid w:val="00C354D9"/>
    <w:rsid w:val="00C35512"/>
    <w:rsid w:val="00C3554E"/>
    <w:rsid w:val="00C35550"/>
    <w:rsid w:val="00C355C6"/>
    <w:rsid w:val="00C355D4"/>
    <w:rsid w:val="00C35607"/>
    <w:rsid w:val="00C3561A"/>
    <w:rsid w:val="00C35626"/>
    <w:rsid w:val="00C35658"/>
    <w:rsid w:val="00C356A0"/>
    <w:rsid w:val="00C356FD"/>
    <w:rsid w:val="00C3572C"/>
    <w:rsid w:val="00C3572F"/>
    <w:rsid w:val="00C35768"/>
    <w:rsid w:val="00C35796"/>
    <w:rsid w:val="00C357A4"/>
    <w:rsid w:val="00C357B1"/>
    <w:rsid w:val="00C357BF"/>
    <w:rsid w:val="00C357D5"/>
    <w:rsid w:val="00C35845"/>
    <w:rsid w:val="00C35888"/>
    <w:rsid w:val="00C358D4"/>
    <w:rsid w:val="00C35923"/>
    <w:rsid w:val="00C3592A"/>
    <w:rsid w:val="00C35949"/>
    <w:rsid w:val="00C35959"/>
    <w:rsid w:val="00C35969"/>
    <w:rsid w:val="00C35982"/>
    <w:rsid w:val="00C359CC"/>
    <w:rsid w:val="00C35A1B"/>
    <w:rsid w:val="00C35A50"/>
    <w:rsid w:val="00C35A62"/>
    <w:rsid w:val="00C35A6F"/>
    <w:rsid w:val="00C35B3D"/>
    <w:rsid w:val="00C35B74"/>
    <w:rsid w:val="00C35BC0"/>
    <w:rsid w:val="00C35BCF"/>
    <w:rsid w:val="00C35C08"/>
    <w:rsid w:val="00C35CA5"/>
    <w:rsid w:val="00C35CBE"/>
    <w:rsid w:val="00C35CD9"/>
    <w:rsid w:val="00C35CEB"/>
    <w:rsid w:val="00C35CF4"/>
    <w:rsid w:val="00C35D1F"/>
    <w:rsid w:val="00C35D54"/>
    <w:rsid w:val="00C35D55"/>
    <w:rsid w:val="00C35D58"/>
    <w:rsid w:val="00C35D7F"/>
    <w:rsid w:val="00C35D9A"/>
    <w:rsid w:val="00C35DC7"/>
    <w:rsid w:val="00C35DF4"/>
    <w:rsid w:val="00C35E0E"/>
    <w:rsid w:val="00C35E11"/>
    <w:rsid w:val="00C35E54"/>
    <w:rsid w:val="00C35E66"/>
    <w:rsid w:val="00C35E7E"/>
    <w:rsid w:val="00C35EA6"/>
    <w:rsid w:val="00C35F0F"/>
    <w:rsid w:val="00C35FA9"/>
    <w:rsid w:val="00C35FAB"/>
    <w:rsid w:val="00C35FD3"/>
    <w:rsid w:val="00C35FFE"/>
    <w:rsid w:val="00C36009"/>
    <w:rsid w:val="00C36039"/>
    <w:rsid w:val="00C3603B"/>
    <w:rsid w:val="00C36049"/>
    <w:rsid w:val="00C36082"/>
    <w:rsid w:val="00C3608E"/>
    <w:rsid w:val="00C360A0"/>
    <w:rsid w:val="00C360A9"/>
    <w:rsid w:val="00C360B1"/>
    <w:rsid w:val="00C360E4"/>
    <w:rsid w:val="00C3610B"/>
    <w:rsid w:val="00C3610C"/>
    <w:rsid w:val="00C36178"/>
    <w:rsid w:val="00C3619A"/>
    <w:rsid w:val="00C361B6"/>
    <w:rsid w:val="00C361C5"/>
    <w:rsid w:val="00C361CF"/>
    <w:rsid w:val="00C36212"/>
    <w:rsid w:val="00C36247"/>
    <w:rsid w:val="00C36248"/>
    <w:rsid w:val="00C3626E"/>
    <w:rsid w:val="00C3627A"/>
    <w:rsid w:val="00C362B6"/>
    <w:rsid w:val="00C362D4"/>
    <w:rsid w:val="00C36316"/>
    <w:rsid w:val="00C3632F"/>
    <w:rsid w:val="00C3633D"/>
    <w:rsid w:val="00C36361"/>
    <w:rsid w:val="00C36370"/>
    <w:rsid w:val="00C363AF"/>
    <w:rsid w:val="00C363E0"/>
    <w:rsid w:val="00C363E7"/>
    <w:rsid w:val="00C36404"/>
    <w:rsid w:val="00C36440"/>
    <w:rsid w:val="00C3644E"/>
    <w:rsid w:val="00C36467"/>
    <w:rsid w:val="00C364BF"/>
    <w:rsid w:val="00C3650A"/>
    <w:rsid w:val="00C3658F"/>
    <w:rsid w:val="00C365B9"/>
    <w:rsid w:val="00C365BD"/>
    <w:rsid w:val="00C365CF"/>
    <w:rsid w:val="00C365FF"/>
    <w:rsid w:val="00C36625"/>
    <w:rsid w:val="00C36630"/>
    <w:rsid w:val="00C36639"/>
    <w:rsid w:val="00C36646"/>
    <w:rsid w:val="00C3664A"/>
    <w:rsid w:val="00C366FC"/>
    <w:rsid w:val="00C36716"/>
    <w:rsid w:val="00C36723"/>
    <w:rsid w:val="00C36759"/>
    <w:rsid w:val="00C367DF"/>
    <w:rsid w:val="00C367FE"/>
    <w:rsid w:val="00C3685F"/>
    <w:rsid w:val="00C3687A"/>
    <w:rsid w:val="00C368C1"/>
    <w:rsid w:val="00C368D8"/>
    <w:rsid w:val="00C368FB"/>
    <w:rsid w:val="00C3696D"/>
    <w:rsid w:val="00C369E1"/>
    <w:rsid w:val="00C36A08"/>
    <w:rsid w:val="00C36A20"/>
    <w:rsid w:val="00C36A54"/>
    <w:rsid w:val="00C36AE0"/>
    <w:rsid w:val="00C36AF8"/>
    <w:rsid w:val="00C36B01"/>
    <w:rsid w:val="00C36B25"/>
    <w:rsid w:val="00C36B44"/>
    <w:rsid w:val="00C36B7F"/>
    <w:rsid w:val="00C36B9A"/>
    <w:rsid w:val="00C36BE1"/>
    <w:rsid w:val="00C36C08"/>
    <w:rsid w:val="00C36C26"/>
    <w:rsid w:val="00C36C2D"/>
    <w:rsid w:val="00C36C30"/>
    <w:rsid w:val="00C36C3F"/>
    <w:rsid w:val="00C36C57"/>
    <w:rsid w:val="00C36C7D"/>
    <w:rsid w:val="00C36CAA"/>
    <w:rsid w:val="00C36CF8"/>
    <w:rsid w:val="00C36D0E"/>
    <w:rsid w:val="00C36D1A"/>
    <w:rsid w:val="00C36D20"/>
    <w:rsid w:val="00C36D7D"/>
    <w:rsid w:val="00C36D9B"/>
    <w:rsid w:val="00C36DAF"/>
    <w:rsid w:val="00C36E33"/>
    <w:rsid w:val="00C36EF5"/>
    <w:rsid w:val="00C36F0B"/>
    <w:rsid w:val="00C36F31"/>
    <w:rsid w:val="00C36F5E"/>
    <w:rsid w:val="00C36F7F"/>
    <w:rsid w:val="00C36FE3"/>
    <w:rsid w:val="00C36FF0"/>
    <w:rsid w:val="00C37000"/>
    <w:rsid w:val="00C37029"/>
    <w:rsid w:val="00C37030"/>
    <w:rsid w:val="00C37040"/>
    <w:rsid w:val="00C3705A"/>
    <w:rsid w:val="00C3709A"/>
    <w:rsid w:val="00C370E4"/>
    <w:rsid w:val="00C370EF"/>
    <w:rsid w:val="00C37123"/>
    <w:rsid w:val="00C3714A"/>
    <w:rsid w:val="00C3715F"/>
    <w:rsid w:val="00C37180"/>
    <w:rsid w:val="00C371AD"/>
    <w:rsid w:val="00C371CE"/>
    <w:rsid w:val="00C371D4"/>
    <w:rsid w:val="00C37207"/>
    <w:rsid w:val="00C37234"/>
    <w:rsid w:val="00C37264"/>
    <w:rsid w:val="00C3726F"/>
    <w:rsid w:val="00C37285"/>
    <w:rsid w:val="00C372BE"/>
    <w:rsid w:val="00C372DB"/>
    <w:rsid w:val="00C3731C"/>
    <w:rsid w:val="00C3734C"/>
    <w:rsid w:val="00C37388"/>
    <w:rsid w:val="00C373C2"/>
    <w:rsid w:val="00C373E8"/>
    <w:rsid w:val="00C37418"/>
    <w:rsid w:val="00C3741D"/>
    <w:rsid w:val="00C3744E"/>
    <w:rsid w:val="00C37451"/>
    <w:rsid w:val="00C3745D"/>
    <w:rsid w:val="00C3747A"/>
    <w:rsid w:val="00C37492"/>
    <w:rsid w:val="00C374C4"/>
    <w:rsid w:val="00C374DC"/>
    <w:rsid w:val="00C37537"/>
    <w:rsid w:val="00C375A7"/>
    <w:rsid w:val="00C375B2"/>
    <w:rsid w:val="00C375F3"/>
    <w:rsid w:val="00C37605"/>
    <w:rsid w:val="00C37609"/>
    <w:rsid w:val="00C37612"/>
    <w:rsid w:val="00C37629"/>
    <w:rsid w:val="00C3763C"/>
    <w:rsid w:val="00C37648"/>
    <w:rsid w:val="00C376A1"/>
    <w:rsid w:val="00C376B4"/>
    <w:rsid w:val="00C376E9"/>
    <w:rsid w:val="00C3773F"/>
    <w:rsid w:val="00C3774B"/>
    <w:rsid w:val="00C37771"/>
    <w:rsid w:val="00C377CB"/>
    <w:rsid w:val="00C377CF"/>
    <w:rsid w:val="00C377DC"/>
    <w:rsid w:val="00C377DD"/>
    <w:rsid w:val="00C377EE"/>
    <w:rsid w:val="00C37803"/>
    <w:rsid w:val="00C37806"/>
    <w:rsid w:val="00C3785D"/>
    <w:rsid w:val="00C3786D"/>
    <w:rsid w:val="00C378E0"/>
    <w:rsid w:val="00C378E4"/>
    <w:rsid w:val="00C378F3"/>
    <w:rsid w:val="00C37907"/>
    <w:rsid w:val="00C37912"/>
    <w:rsid w:val="00C3793A"/>
    <w:rsid w:val="00C37961"/>
    <w:rsid w:val="00C379B9"/>
    <w:rsid w:val="00C37A14"/>
    <w:rsid w:val="00C37A48"/>
    <w:rsid w:val="00C37A69"/>
    <w:rsid w:val="00C37ADC"/>
    <w:rsid w:val="00C37AF9"/>
    <w:rsid w:val="00C37AFB"/>
    <w:rsid w:val="00C37B30"/>
    <w:rsid w:val="00C37B84"/>
    <w:rsid w:val="00C37BDF"/>
    <w:rsid w:val="00C37BE6"/>
    <w:rsid w:val="00C37C0F"/>
    <w:rsid w:val="00C37C23"/>
    <w:rsid w:val="00C37C45"/>
    <w:rsid w:val="00C37C5F"/>
    <w:rsid w:val="00C37C88"/>
    <w:rsid w:val="00C37C8B"/>
    <w:rsid w:val="00C37CD7"/>
    <w:rsid w:val="00C37CD8"/>
    <w:rsid w:val="00C37CEB"/>
    <w:rsid w:val="00C37D12"/>
    <w:rsid w:val="00C37D28"/>
    <w:rsid w:val="00C37D3E"/>
    <w:rsid w:val="00C37D41"/>
    <w:rsid w:val="00C37D54"/>
    <w:rsid w:val="00C37D56"/>
    <w:rsid w:val="00C37D68"/>
    <w:rsid w:val="00C37D7E"/>
    <w:rsid w:val="00C37DC0"/>
    <w:rsid w:val="00C37DDA"/>
    <w:rsid w:val="00C37E09"/>
    <w:rsid w:val="00C37E49"/>
    <w:rsid w:val="00C37E4C"/>
    <w:rsid w:val="00C37E69"/>
    <w:rsid w:val="00C37E6B"/>
    <w:rsid w:val="00C37EA1"/>
    <w:rsid w:val="00C37EBF"/>
    <w:rsid w:val="00C37EC6"/>
    <w:rsid w:val="00C37EE0"/>
    <w:rsid w:val="00C37EEA"/>
    <w:rsid w:val="00C37F0E"/>
    <w:rsid w:val="00C37F1E"/>
    <w:rsid w:val="00C37FA1"/>
    <w:rsid w:val="00C39011"/>
    <w:rsid w:val="00C40008"/>
    <w:rsid w:val="00C40024"/>
    <w:rsid w:val="00C40060"/>
    <w:rsid w:val="00C40099"/>
    <w:rsid w:val="00C400B6"/>
    <w:rsid w:val="00C400C2"/>
    <w:rsid w:val="00C400E3"/>
    <w:rsid w:val="00C400F6"/>
    <w:rsid w:val="00C40118"/>
    <w:rsid w:val="00C40171"/>
    <w:rsid w:val="00C40172"/>
    <w:rsid w:val="00C4018F"/>
    <w:rsid w:val="00C401A1"/>
    <w:rsid w:val="00C401DF"/>
    <w:rsid w:val="00C401E5"/>
    <w:rsid w:val="00C401F3"/>
    <w:rsid w:val="00C401F7"/>
    <w:rsid w:val="00C40220"/>
    <w:rsid w:val="00C40242"/>
    <w:rsid w:val="00C40281"/>
    <w:rsid w:val="00C402B7"/>
    <w:rsid w:val="00C402EB"/>
    <w:rsid w:val="00C402F6"/>
    <w:rsid w:val="00C40326"/>
    <w:rsid w:val="00C4032B"/>
    <w:rsid w:val="00C4034E"/>
    <w:rsid w:val="00C4035F"/>
    <w:rsid w:val="00C4036E"/>
    <w:rsid w:val="00C4038C"/>
    <w:rsid w:val="00C403B8"/>
    <w:rsid w:val="00C403C8"/>
    <w:rsid w:val="00C403E6"/>
    <w:rsid w:val="00C403ED"/>
    <w:rsid w:val="00C403EE"/>
    <w:rsid w:val="00C40409"/>
    <w:rsid w:val="00C40466"/>
    <w:rsid w:val="00C4049D"/>
    <w:rsid w:val="00C4049F"/>
    <w:rsid w:val="00C404A9"/>
    <w:rsid w:val="00C404D7"/>
    <w:rsid w:val="00C404E1"/>
    <w:rsid w:val="00C40550"/>
    <w:rsid w:val="00C40590"/>
    <w:rsid w:val="00C405A7"/>
    <w:rsid w:val="00C405CD"/>
    <w:rsid w:val="00C405FD"/>
    <w:rsid w:val="00C40609"/>
    <w:rsid w:val="00C40631"/>
    <w:rsid w:val="00C40648"/>
    <w:rsid w:val="00C40649"/>
    <w:rsid w:val="00C406A2"/>
    <w:rsid w:val="00C406CD"/>
    <w:rsid w:val="00C406D9"/>
    <w:rsid w:val="00C406EF"/>
    <w:rsid w:val="00C4071C"/>
    <w:rsid w:val="00C4071E"/>
    <w:rsid w:val="00C40733"/>
    <w:rsid w:val="00C4073A"/>
    <w:rsid w:val="00C40745"/>
    <w:rsid w:val="00C4077A"/>
    <w:rsid w:val="00C4079D"/>
    <w:rsid w:val="00C407AA"/>
    <w:rsid w:val="00C407BD"/>
    <w:rsid w:val="00C40814"/>
    <w:rsid w:val="00C40823"/>
    <w:rsid w:val="00C40830"/>
    <w:rsid w:val="00C4083F"/>
    <w:rsid w:val="00C4086A"/>
    <w:rsid w:val="00C4086C"/>
    <w:rsid w:val="00C4087D"/>
    <w:rsid w:val="00C40891"/>
    <w:rsid w:val="00C408E9"/>
    <w:rsid w:val="00C408EB"/>
    <w:rsid w:val="00C408F1"/>
    <w:rsid w:val="00C40902"/>
    <w:rsid w:val="00C40903"/>
    <w:rsid w:val="00C40968"/>
    <w:rsid w:val="00C40971"/>
    <w:rsid w:val="00C4098B"/>
    <w:rsid w:val="00C409A7"/>
    <w:rsid w:val="00C409B5"/>
    <w:rsid w:val="00C409EB"/>
    <w:rsid w:val="00C40A2E"/>
    <w:rsid w:val="00C40A3B"/>
    <w:rsid w:val="00C40A68"/>
    <w:rsid w:val="00C40A80"/>
    <w:rsid w:val="00C40AC1"/>
    <w:rsid w:val="00C40ADE"/>
    <w:rsid w:val="00C40AF2"/>
    <w:rsid w:val="00C40B00"/>
    <w:rsid w:val="00C40B10"/>
    <w:rsid w:val="00C40B17"/>
    <w:rsid w:val="00C40B21"/>
    <w:rsid w:val="00C40B48"/>
    <w:rsid w:val="00C40B5B"/>
    <w:rsid w:val="00C40BD1"/>
    <w:rsid w:val="00C40C02"/>
    <w:rsid w:val="00C40C32"/>
    <w:rsid w:val="00C40CE0"/>
    <w:rsid w:val="00C40D06"/>
    <w:rsid w:val="00C40D71"/>
    <w:rsid w:val="00C40DA0"/>
    <w:rsid w:val="00C40DE1"/>
    <w:rsid w:val="00C40DF8"/>
    <w:rsid w:val="00C40E09"/>
    <w:rsid w:val="00C40EA4"/>
    <w:rsid w:val="00C40EEA"/>
    <w:rsid w:val="00C40EF5"/>
    <w:rsid w:val="00C40F3C"/>
    <w:rsid w:val="00C40F40"/>
    <w:rsid w:val="00C40F6C"/>
    <w:rsid w:val="00C40FCA"/>
    <w:rsid w:val="00C40FCB"/>
    <w:rsid w:val="00C40FFD"/>
    <w:rsid w:val="00C41010"/>
    <w:rsid w:val="00C4101F"/>
    <w:rsid w:val="00C41033"/>
    <w:rsid w:val="00C41047"/>
    <w:rsid w:val="00C41063"/>
    <w:rsid w:val="00C41110"/>
    <w:rsid w:val="00C41166"/>
    <w:rsid w:val="00C411A2"/>
    <w:rsid w:val="00C411C8"/>
    <w:rsid w:val="00C411CE"/>
    <w:rsid w:val="00C411D0"/>
    <w:rsid w:val="00C41204"/>
    <w:rsid w:val="00C41207"/>
    <w:rsid w:val="00C4121D"/>
    <w:rsid w:val="00C41230"/>
    <w:rsid w:val="00C41242"/>
    <w:rsid w:val="00C41247"/>
    <w:rsid w:val="00C412E1"/>
    <w:rsid w:val="00C412F2"/>
    <w:rsid w:val="00C412F8"/>
    <w:rsid w:val="00C41300"/>
    <w:rsid w:val="00C4130C"/>
    <w:rsid w:val="00C413B2"/>
    <w:rsid w:val="00C4143C"/>
    <w:rsid w:val="00C4143E"/>
    <w:rsid w:val="00C41441"/>
    <w:rsid w:val="00C41453"/>
    <w:rsid w:val="00C41466"/>
    <w:rsid w:val="00C41472"/>
    <w:rsid w:val="00C414E2"/>
    <w:rsid w:val="00C414F5"/>
    <w:rsid w:val="00C4152C"/>
    <w:rsid w:val="00C41530"/>
    <w:rsid w:val="00C4154F"/>
    <w:rsid w:val="00C41624"/>
    <w:rsid w:val="00C4165C"/>
    <w:rsid w:val="00C41683"/>
    <w:rsid w:val="00C416D3"/>
    <w:rsid w:val="00C41728"/>
    <w:rsid w:val="00C4175E"/>
    <w:rsid w:val="00C417CC"/>
    <w:rsid w:val="00C41833"/>
    <w:rsid w:val="00C41837"/>
    <w:rsid w:val="00C41873"/>
    <w:rsid w:val="00C418A0"/>
    <w:rsid w:val="00C418A9"/>
    <w:rsid w:val="00C418DE"/>
    <w:rsid w:val="00C418FB"/>
    <w:rsid w:val="00C41925"/>
    <w:rsid w:val="00C4193E"/>
    <w:rsid w:val="00C41948"/>
    <w:rsid w:val="00C41970"/>
    <w:rsid w:val="00C4197C"/>
    <w:rsid w:val="00C419C8"/>
    <w:rsid w:val="00C419D5"/>
    <w:rsid w:val="00C419E7"/>
    <w:rsid w:val="00C41A47"/>
    <w:rsid w:val="00C41ADB"/>
    <w:rsid w:val="00C41AF2"/>
    <w:rsid w:val="00C41B05"/>
    <w:rsid w:val="00C41B07"/>
    <w:rsid w:val="00C41B0D"/>
    <w:rsid w:val="00C41B23"/>
    <w:rsid w:val="00C41B2E"/>
    <w:rsid w:val="00C41B7B"/>
    <w:rsid w:val="00C41B8D"/>
    <w:rsid w:val="00C41BBD"/>
    <w:rsid w:val="00C41BD5"/>
    <w:rsid w:val="00C41C0E"/>
    <w:rsid w:val="00C41C31"/>
    <w:rsid w:val="00C41C38"/>
    <w:rsid w:val="00C41C49"/>
    <w:rsid w:val="00C41C5D"/>
    <w:rsid w:val="00C41C6C"/>
    <w:rsid w:val="00C41C76"/>
    <w:rsid w:val="00C41C94"/>
    <w:rsid w:val="00C41C99"/>
    <w:rsid w:val="00C41CA7"/>
    <w:rsid w:val="00C41CE1"/>
    <w:rsid w:val="00C41CEC"/>
    <w:rsid w:val="00C41CF7"/>
    <w:rsid w:val="00C41D06"/>
    <w:rsid w:val="00C41D09"/>
    <w:rsid w:val="00C41D1D"/>
    <w:rsid w:val="00C41D45"/>
    <w:rsid w:val="00C41D4B"/>
    <w:rsid w:val="00C41D5B"/>
    <w:rsid w:val="00C41D81"/>
    <w:rsid w:val="00C41DF3"/>
    <w:rsid w:val="00C41E05"/>
    <w:rsid w:val="00C41E0F"/>
    <w:rsid w:val="00C41E13"/>
    <w:rsid w:val="00C41E1F"/>
    <w:rsid w:val="00C41E35"/>
    <w:rsid w:val="00C41E36"/>
    <w:rsid w:val="00C41E71"/>
    <w:rsid w:val="00C41E77"/>
    <w:rsid w:val="00C41EDF"/>
    <w:rsid w:val="00C41EE9"/>
    <w:rsid w:val="00C41F06"/>
    <w:rsid w:val="00C41F85"/>
    <w:rsid w:val="00C42075"/>
    <w:rsid w:val="00C42092"/>
    <w:rsid w:val="00C42093"/>
    <w:rsid w:val="00C420DF"/>
    <w:rsid w:val="00C420EB"/>
    <w:rsid w:val="00C420F1"/>
    <w:rsid w:val="00C42102"/>
    <w:rsid w:val="00C4210B"/>
    <w:rsid w:val="00C4213C"/>
    <w:rsid w:val="00C42140"/>
    <w:rsid w:val="00C42164"/>
    <w:rsid w:val="00C42188"/>
    <w:rsid w:val="00C42197"/>
    <w:rsid w:val="00C421A9"/>
    <w:rsid w:val="00C421B8"/>
    <w:rsid w:val="00C421BD"/>
    <w:rsid w:val="00C421C0"/>
    <w:rsid w:val="00C4223F"/>
    <w:rsid w:val="00C42241"/>
    <w:rsid w:val="00C42263"/>
    <w:rsid w:val="00C4228B"/>
    <w:rsid w:val="00C4229C"/>
    <w:rsid w:val="00C422B3"/>
    <w:rsid w:val="00C422BC"/>
    <w:rsid w:val="00C422CC"/>
    <w:rsid w:val="00C422DD"/>
    <w:rsid w:val="00C422F9"/>
    <w:rsid w:val="00C4232D"/>
    <w:rsid w:val="00C42342"/>
    <w:rsid w:val="00C42409"/>
    <w:rsid w:val="00C42412"/>
    <w:rsid w:val="00C42416"/>
    <w:rsid w:val="00C42418"/>
    <w:rsid w:val="00C4244A"/>
    <w:rsid w:val="00C42480"/>
    <w:rsid w:val="00C42493"/>
    <w:rsid w:val="00C424C5"/>
    <w:rsid w:val="00C424D6"/>
    <w:rsid w:val="00C424F0"/>
    <w:rsid w:val="00C424F1"/>
    <w:rsid w:val="00C424FC"/>
    <w:rsid w:val="00C42507"/>
    <w:rsid w:val="00C4252C"/>
    <w:rsid w:val="00C4252E"/>
    <w:rsid w:val="00C42542"/>
    <w:rsid w:val="00C42543"/>
    <w:rsid w:val="00C4254A"/>
    <w:rsid w:val="00C42552"/>
    <w:rsid w:val="00C42559"/>
    <w:rsid w:val="00C425CA"/>
    <w:rsid w:val="00C425CD"/>
    <w:rsid w:val="00C425D4"/>
    <w:rsid w:val="00C425DD"/>
    <w:rsid w:val="00C42601"/>
    <w:rsid w:val="00C4263C"/>
    <w:rsid w:val="00C42677"/>
    <w:rsid w:val="00C42686"/>
    <w:rsid w:val="00C426E8"/>
    <w:rsid w:val="00C42745"/>
    <w:rsid w:val="00C42798"/>
    <w:rsid w:val="00C427E2"/>
    <w:rsid w:val="00C42803"/>
    <w:rsid w:val="00C42807"/>
    <w:rsid w:val="00C4280F"/>
    <w:rsid w:val="00C42832"/>
    <w:rsid w:val="00C4288E"/>
    <w:rsid w:val="00C428E0"/>
    <w:rsid w:val="00C428F8"/>
    <w:rsid w:val="00C42905"/>
    <w:rsid w:val="00C42954"/>
    <w:rsid w:val="00C42968"/>
    <w:rsid w:val="00C429EB"/>
    <w:rsid w:val="00C429FA"/>
    <w:rsid w:val="00C42A0A"/>
    <w:rsid w:val="00C42A35"/>
    <w:rsid w:val="00C42A60"/>
    <w:rsid w:val="00C42A6F"/>
    <w:rsid w:val="00C42ABE"/>
    <w:rsid w:val="00C42ACF"/>
    <w:rsid w:val="00C42AF3"/>
    <w:rsid w:val="00C42B39"/>
    <w:rsid w:val="00C42B6D"/>
    <w:rsid w:val="00C42B95"/>
    <w:rsid w:val="00C42C58"/>
    <w:rsid w:val="00C42C67"/>
    <w:rsid w:val="00C42C85"/>
    <w:rsid w:val="00C42D0B"/>
    <w:rsid w:val="00C42D16"/>
    <w:rsid w:val="00C42D3E"/>
    <w:rsid w:val="00C42D69"/>
    <w:rsid w:val="00C42DA1"/>
    <w:rsid w:val="00C42DBC"/>
    <w:rsid w:val="00C42DD7"/>
    <w:rsid w:val="00C42DE5"/>
    <w:rsid w:val="00C42E95"/>
    <w:rsid w:val="00C42EA0"/>
    <w:rsid w:val="00C42EAB"/>
    <w:rsid w:val="00C42EEC"/>
    <w:rsid w:val="00C42F47"/>
    <w:rsid w:val="00C42F61"/>
    <w:rsid w:val="00C42FD4"/>
    <w:rsid w:val="00C43009"/>
    <w:rsid w:val="00C43060"/>
    <w:rsid w:val="00C430EB"/>
    <w:rsid w:val="00C430EC"/>
    <w:rsid w:val="00C43119"/>
    <w:rsid w:val="00C43150"/>
    <w:rsid w:val="00C4315C"/>
    <w:rsid w:val="00C43185"/>
    <w:rsid w:val="00C431CA"/>
    <w:rsid w:val="00C43222"/>
    <w:rsid w:val="00C43254"/>
    <w:rsid w:val="00C43281"/>
    <w:rsid w:val="00C4328A"/>
    <w:rsid w:val="00C432A0"/>
    <w:rsid w:val="00C432A2"/>
    <w:rsid w:val="00C432BA"/>
    <w:rsid w:val="00C432BC"/>
    <w:rsid w:val="00C432BF"/>
    <w:rsid w:val="00C432C1"/>
    <w:rsid w:val="00C4335D"/>
    <w:rsid w:val="00C43364"/>
    <w:rsid w:val="00C4337C"/>
    <w:rsid w:val="00C433A5"/>
    <w:rsid w:val="00C433CA"/>
    <w:rsid w:val="00C433CB"/>
    <w:rsid w:val="00C433ED"/>
    <w:rsid w:val="00C43420"/>
    <w:rsid w:val="00C43484"/>
    <w:rsid w:val="00C434C2"/>
    <w:rsid w:val="00C43601"/>
    <w:rsid w:val="00C43612"/>
    <w:rsid w:val="00C43647"/>
    <w:rsid w:val="00C43667"/>
    <w:rsid w:val="00C43677"/>
    <w:rsid w:val="00C436D9"/>
    <w:rsid w:val="00C436DA"/>
    <w:rsid w:val="00C43700"/>
    <w:rsid w:val="00C4370B"/>
    <w:rsid w:val="00C4375D"/>
    <w:rsid w:val="00C43785"/>
    <w:rsid w:val="00C43788"/>
    <w:rsid w:val="00C4379F"/>
    <w:rsid w:val="00C437FA"/>
    <w:rsid w:val="00C43834"/>
    <w:rsid w:val="00C4384D"/>
    <w:rsid w:val="00C4384E"/>
    <w:rsid w:val="00C43856"/>
    <w:rsid w:val="00C438AC"/>
    <w:rsid w:val="00C438BD"/>
    <w:rsid w:val="00C438C6"/>
    <w:rsid w:val="00C43944"/>
    <w:rsid w:val="00C43958"/>
    <w:rsid w:val="00C4397A"/>
    <w:rsid w:val="00C439E0"/>
    <w:rsid w:val="00C439F3"/>
    <w:rsid w:val="00C43A03"/>
    <w:rsid w:val="00C43A31"/>
    <w:rsid w:val="00C43A58"/>
    <w:rsid w:val="00C43AB7"/>
    <w:rsid w:val="00C43AC5"/>
    <w:rsid w:val="00C43B2C"/>
    <w:rsid w:val="00C43B41"/>
    <w:rsid w:val="00C43B6D"/>
    <w:rsid w:val="00C43B7D"/>
    <w:rsid w:val="00C43B87"/>
    <w:rsid w:val="00C43B8E"/>
    <w:rsid w:val="00C43B9C"/>
    <w:rsid w:val="00C43BC3"/>
    <w:rsid w:val="00C43BC6"/>
    <w:rsid w:val="00C43BD1"/>
    <w:rsid w:val="00C43BE8"/>
    <w:rsid w:val="00C43BF8"/>
    <w:rsid w:val="00C43C86"/>
    <w:rsid w:val="00C43CC4"/>
    <w:rsid w:val="00C43D54"/>
    <w:rsid w:val="00C43D60"/>
    <w:rsid w:val="00C43D66"/>
    <w:rsid w:val="00C43DFF"/>
    <w:rsid w:val="00C43E22"/>
    <w:rsid w:val="00C43E31"/>
    <w:rsid w:val="00C43EB4"/>
    <w:rsid w:val="00C43EE5"/>
    <w:rsid w:val="00C43FB9"/>
    <w:rsid w:val="00C44057"/>
    <w:rsid w:val="00C4405D"/>
    <w:rsid w:val="00C44063"/>
    <w:rsid w:val="00C440A2"/>
    <w:rsid w:val="00C440FB"/>
    <w:rsid w:val="00C44123"/>
    <w:rsid w:val="00C44130"/>
    <w:rsid w:val="00C44146"/>
    <w:rsid w:val="00C44155"/>
    <w:rsid w:val="00C441BC"/>
    <w:rsid w:val="00C441C8"/>
    <w:rsid w:val="00C44273"/>
    <w:rsid w:val="00C442B3"/>
    <w:rsid w:val="00C442CD"/>
    <w:rsid w:val="00C44337"/>
    <w:rsid w:val="00C44348"/>
    <w:rsid w:val="00C44360"/>
    <w:rsid w:val="00C44371"/>
    <w:rsid w:val="00C44395"/>
    <w:rsid w:val="00C443D2"/>
    <w:rsid w:val="00C44432"/>
    <w:rsid w:val="00C4447C"/>
    <w:rsid w:val="00C4449F"/>
    <w:rsid w:val="00C4450F"/>
    <w:rsid w:val="00C44537"/>
    <w:rsid w:val="00C4455D"/>
    <w:rsid w:val="00C44592"/>
    <w:rsid w:val="00C445D2"/>
    <w:rsid w:val="00C44612"/>
    <w:rsid w:val="00C44631"/>
    <w:rsid w:val="00C44639"/>
    <w:rsid w:val="00C44641"/>
    <w:rsid w:val="00C446F1"/>
    <w:rsid w:val="00C44711"/>
    <w:rsid w:val="00C44796"/>
    <w:rsid w:val="00C447A3"/>
    <w:rsid w:val="00C447A4"/>
    <w:rsid w:val="00C447AA"/>
    <w:rsid w:val="00C447CB"/>
    <w:rsid w:val="00C447CC"/>
    <w:rsid w:val="00C44806"/>
    <w:rsid w:val="00C4483B"/>
    <w:rsid w:val="00C448F0"/>
    <w:rsid w:val="00C44922"/>
    <w:rsid w:val="00C44932"/>
    <w:rsid w:val="00C4494D"/>
    <w:rsid w:val="00C44987"/>
    <w:rsid w:val="00C449D3"/>
    <w:rsid w:val="00C449F3"/>
    <w:rsid w:val="00C44BA1"/>
    <w:rsid w:val="00C44BA4"/>
    <w:rsid w:val="00C44C15"/>
    <w:rsid w:val="00C44C22"/>
    <w:rsid w:val="00C44C34"/>
    <w:rsid w:val="00C44C9A"/>
    <w:rsid w:val="00C44CB2"/>
    <w:rsid w:val="00C44D1B"/>
    <w:rsid w:val="00C44D37"/>
    <w:rsid w:val="00C44D44"/>
    <w:rsid w:val="00C44D76"/>
    <w:rsid w:val="00C44D86"/>
    <w:rsid w:val="00C44D94"/>
    <w:rsid w:val="00C44DD8"/>
    <w:rsid w:val="00C44DFB"/>
    <w:rsid w:val="00C44E12"/>
    <w:rsid w:val="00C44E9B"/>
    <w:rsid w:val="00C44EA5"/>
    <w:rsid w:val="00C44ECB"/>
    <w:rsid w:val="00C44ED8"/>
    <w:rsid w:val="00C44F8A"/>
    <w:rsid w:val="00C44FC5"/>
    <w:rsid w:val="00C44FE5"/>
    <w:rsid w:val="00C44FF6"/>
    <w:rsid w:val="00C4500E"/>
    <w:rsid w:val="00C45034"/>
    <w:rsid w:val="00C45046"/>
    <w:rsid w:val="00C4505F"/>
    <w:rsid w:val="00C4508F"/>
    <w:rsid w:val="00C45153"/>
    <w:rsid w:val="00C45161"/>
    <w:rsid w:val="00C451BF"/>
    <w:rsid w:val="00C45218"/>
    <w:rsid w:val="00C45223"/>
    <w:rsid w:val="00C4522A"/>
    <w:rsid w:val="00C4523B"/>
    <w:rsid w:val="00C45286"/>
    <w:rsid w:val="00C45287"/>
    <w:rsid w:val="00C452BB"/>
    <w:rsid w:val="00C452D9"/>
    <w:rsid w:val="00C452DB"/>
    <w:rsid w:val="00C452E2"/>
    <w:rsid w:val="00C452F0"/>
    <w:rsid w:val="00C45329"/>
    <w:rsid w:val="00C45353"/>
    <w:rsid w:val="00C45380"/>
    <w:rsid w:val="00C453A5"/>
    <w:rsid w:val="00C453AA"/>
    <w:rsid w:val="00C453C0"/>
    <w:rsid w:val="00C453C4"/>
    <w:rsid w:val="00C453E6"/>
    <w:rsid w:val="00C453F4"/>
    <w:rsid w:val="00C45403"/>
    <w:rsid w:val="00C45475"/>
    <w:rsid w:val="00C454AF"/>
    <w:rsid w:val="00C45570"/>
    <w:rsid w:val="00C455B1"/>
    <w:rsid w:val="00C455BE"/>
    <w:rsid w:val="00C455D0"/>
    <w:rsid w:val="00C45639"/>
    <w:rsid w:val="00C4564B"/>
    <w:rsid w:val="00C4564F"/>
    <w:rsid w:val="00C4568A"/>
    <w:rsid w:val="00C45698"/>
    <w:rsid w:val="00C45699"/>
    <w:rsid w:val="00C456E0"/>
    <w:rsid w:val="00C4573C"/>
    <w:rsid w:val="00C4574E"/>
    <w:rsid w:val="00C457E0"/>
    <w:rsid w:val="00C457F0"/>
    <w:rsid w:val="00C45801"/>
    <w:rsid w:val="00C45802"/>
    <w:rsid w:val="00C45816"/>
    <w:rsid w:val="00C45818"/>
    <w:rsid w:val="00C458C7"/>
    <w:rsid w:val="00C458DB"/>
    <w:rsid w:val="00C458FA"/>
    <w:rsid w:val="00C45936"/>
    <w:rsid w:val="00C4593F"/>
    <w:rsid w:val="00C45987"/>
    <w:rsid w:val="00C45994"/>
    <w:rsid w:val="00C459AB"/>
    <w:rsid w:val="00C459AD"/>
    <w:rsid w:val="00C459BA"/>
    <w:rsid w:val="00C459BB"/>
    <w:rsid w:val="00C45A01"/>
    <w:rsid w:val="00C45A6A"/>
    <w:rsid w:val="00C45AAE"/>
    <w:rsid w:val="00C45ABB"/>
    <w:rsid w:val="00C45AC0"/>
    <w:rsid w:val="00C45AD7"/>
    <w:rsid w:val="00C45B07"/>
    <w:rsid w:val="00C45B43"/>
    <w:rsid w:val="00C45B97"/>
    <w:rsid w:val="00C45BF0"/>
    <w:rsid w:val="00C45C07"/>
    <w:rsid w:val="00C45C1F"/>
    <w:rsid w:val="00C45C22"/>
    <w:rsid w:val="00C45C2D"/>
    <w:rsid w:val="00C45C38"/>
    <w:rsid w:val="00C45C8D"/>
    <w:rsid w:val="00C45CAA"/>
    <w:rsid w:val="00C45CBF"/>
    <w:rsid w:val="00C45CDD"/>
    <w:rsid w:val="00C45D3E"/>
    <w:rsid w:val="00C45D4C"/>
    <w:rsid w:val="00C45DD3"/>
    <w:rsid w:val="00C45DF0"/>
    <w:rsid w:val="00C45E25"/>
    <w:rsid w:val="00C45E40"/>
    <w:rsid w:val="00C45E5B"/>
    <w:rsid w:val="00C45E6C"/>
    <w:rsid w:val="00C45E7A"/>
    <w:rsid w:val="00C45E9E"/>
    <w:rsid w:val="00C45F03"/>
    <w:rsid w:val="00C45F1D"/>
    <w:rsid w:val="00C45F25"/>
    <w:rsid w:val="00C45F63"/>
    <w:rsid w:val="00C45F82"/>
    <w:rsid w:val="00C45FBF"/>
    <w:rsid w:val="00C45FED"/>
    <w:rsid w:val="00C46029"/>
    <w:rsid w:val="00C46049"/>
    <w:rsid w:val="00C46052"/>
    <w:rsid w:val="00C46059"/>
    <w:rsid w:val="00C46064"/>
    <w:rsid w:val="00C46067"/>
    <w:rsid w:val="00C4606C"/>
    <w:rsid w:val="00C46089"/>
    <w:rsid w:val="00C460EF"/>
    <w:rsid w:val="00C460F1"/>
    <w:rsid w:val="00C460FD"/>
    <w:rsid w:val="00C46148"/>
    <w:rsid w:val="00C4618A"/>
    <w:rsid w:val="00C4618F"/>
    <w:rsid w:val="00C4619C"/>
    <w:rsid w:val="00C46292"/>
    <w:rsid w:val="00C462A2"/>
    <w:rsid w:val="00C462BF"/>
    <w:rsid w:val="00C462DF"/>
    <w:rsid w:val="00C462E9"/>
    <w:rsid w:val="00C462F7"/>
    <w:rsid w:val="00C46300"/>
    <w:rsid w:val="00C46339"/>
    <w:rsid w:val="00C4639D"/>
    <w:rsid w:val="00C463AA"/>
    <w:rsid w:val="00C463E7"/>
    <w:rsid w:val="00C4640C"/>
    <w:rsid w:val="00C4641C"/>
    <w:rsid w:val="00C46454"/>
    <w:rsid w:val="00C464B8"/>
    <w:rsid w:val="00C46516"/>
    <w:rsid w:val="00C46533"/>
    <w:rsid w:val="00C46590"/>
    <w:rsid w:val="00C46593"/>
    <w:rsid w:val="00C46595"/>
    <w:rsid w:val="00C4661A"/>
    <w:rsid w:val="00C4662C"/>
    <w:rsid w:val="00C46687"/>
    <w:rsid w:val="00C46696"/>
    <w:rsid w:val="00C4669F"/>
    <w:rsid w:val="00C46711"/>
    <w:rsid w:val="00C46748"/>
    <w:rsid w:val="00C4675A"/>
    <w:rsid w:val="00C46760"/>
    <w:rsid w:val="00C467A2"/>
    <w:rsid w:val="00C467B4"/>
    <w:rsid w:val="00C467C4"/>
    <w:rsid w:val="00C467D4"/>
    <w:rsid w:val="00C467DC"/>
    <w:rsid w:val="00C467E7"/>
    <w:rsid w:val="00C46806"/>
    <w:rsid w:val="00C4682F"/>
    <w:rsid w:val="00C46858"/>
    <w:rsid w:val="00C468C3"/>
    <w:rsid w:val="00C468CE"/>
    <w:rsid w:val="00C4690C"/>
    <w:rsid w:val="00C46920"/>
    <w:rsid w:val="00C46945"/>
    <w:rsid w:val="00C46973"/>
    <w:rsid w:val="00C46AA8"/>
    <w:rsid w:val="00C46AAD"/>
    <w:rsid w:val="00C46AB4"/>
    <w:rsid w:val="00C46AF7"/>
    <w:rsid w:val="00C46B67"/>
    <w:rsid w:val="00C46B7A"/>
    <w:rsid w:val="00C46B8C"/>
    <w:rsid w:val="00C46B8F"/>
    <w:rsid w:val="00C46BAF"/>
    <w:rsid w:val="00C46BBF"/>
    <w:rsid w:val="00C46BE3"/>
    <w:rsid w:val="00C46CB5"/>
    <w:rsid w:val="00C46CED"/>
    <w:rsid w:val="00C46D51"/>
    <w:rsid w:val="00C46D65"/>
    <w:rsid w:val="00C46DE9"/>
    <w:rsid w:val="00C46DED"/>
    <w:rsid w:val="00C46DFD"/>
    <w:rsid w:val="00C46E14"/>
    <w:rsid w:val="00C46E2E"/>
    <w:rsid w:val="00C46E46"/>
    <w:rsid w:val="00C46E51"/>
    <w:rsid w:val="00C46E5B"/>
    <w:rsid w:val="00C46EB8"/>
    <w:rsid w:val="00C46EF3"/>
    <w:rsid w:val="00C46F53"/>
    <w:rsid w:val="00C46F8F"/>
    <w:rsid w:val="00C4700E"/>
    <w:rsid w:val="00C47011"/>
    <w:rsid w:val="00C47017"/>
    <w:rsid w:val="00C4704F"/>
    <w:rsid w:val="00C47085"/>
    <w:rsid w:val="00C470C6"/>
    <w:rsid w:val="00C470D7"/>
    <w:rsid w:val="00C47111"/>
    <w:rsid w:val="00C47154"/>
    <w:rsid w:val="00C4715B"/>
    <w:rsid w:val="00C471C0"/>
    <w:rsid w:val="00C47222"/>
    <w:rsid w:val="00C47245"/>
    <w:rsid w:val="00C472D2"/>
    <w:rsid w:val="00C472F8"/>
    <w:rsid w:val="00C473A0"/>
    <w:rsid w:val="00C473AA"/>
    <w:rsid w:val="00C473BE"/>
    <w:rsid w:val="00C473CE"/>
    <w:rsid w:val="00C47486"/>
    <w:rsid w:val="00C474DD"/>
    <w:rsid w:val="00C47506"/>
    <w:rsid w:val="00C4753C"/>
    <w:rsid w:val="00C47560"/>
    <w:rsid w:val="00C47561"/>
    <w:rsid w:val="00C4758B"/>
    <w:rsid w:val="00C475D7"/>
    <w:rsid w:val="00C47607"/>
    <w:rsid w:val="00C4762C"/>
    <w:rsid w:val="00C47664"/>
    <w:rsid w:val="00C47679"/>
    <w:rsid w:val="00C476F8"/>
    <w:rsid w:val="00C47742"/>
    <w:rsid w:val="00C47748"/>
    <w:rsid w:val="00C47754"/>
    <w:rsid w:val="00C47798"/>
    <w:rsid w:val="00C477A0"/>
    <w:rsid w:val="00C477B5"/>
    <w:rsid w:val="00C477FB"/>
    <w:rsid w:val="00C47808"/>
    <w:rsid w:val="00C47839"/>
    <w:rsid w:val="00C4783D"/>
    <w:rsid w:val="00C47856"/>
    <w:rsid w:val="00C478CE"/>
    <w:rsid w:val="00C478FD"/>
    <w:rsid w:val="00C4790B"/>
    <w:rsid w:val="00C47951"/>
    <w:rsid w:val="00C47957"/>
    <w:rsid w:val="00C4798E"/>
    <w:rsid w:val="00C479A8"/>
    <w:rsid w:val="00C47A15"/>
    <w:rsid w:val="00C47A1B"/>
    <w:rsid w:val="00C47A46"/>
    <w:rsid w:val="00C47A4A"/>
    <w:rsid w:val="00C47A73"/>
    <w:rsid w:val="00C47AA1"/>
    <w:rsid w:val="00C47AA2"/>
    <w:rsid w:val="00C47AAE"/>
    <w:rsid w:val="00C47AB2"/>
    <w:rsid w:val="00C47ABF"/>
    <w:rsid w:val="00C47ACC"/>
    <w:rsid w:val="00C47B13"/>
    <w:rsid w:val="00C47B43"/>
    <w:rsid w:val="00C47B4B"/>
    <w:rsid w:val="00C47BA6"/>
    <w:rsid w:val="00C47BAC"/>
    <w:rsid w:val="00C47BBC"/>
    <w:rsid w:val="00C47BFA"/>
    <w:rsid w:val="00C47C01"/>
    <w:rsid w:val="00C47C8F"/>
    <w:rsid w:val="00C47CB4"/>
    <w:rsid w:val="00C47CD6"/>
    <w:rsid w:val="00C47D36"/>
    <w:rsid w:val="00C47D48"/>
    <w:rsid w:val="00C47D4D"/>
    <w:rsid w:val="00C47D6D"/>
    <w:rsid w:val="00C47D8E"/>
    <w:rsid w:val="00C47D96"/>
    <w:rsid w:val="00C47DA4"/>
    <w:rsid w:val="00C47DAF"/>
    <w:rsid w:val="00C47DED"/>
    <w:rsid w:val="00C47E09"/>
    <w:rsid w:val="00C47E27"/>
    <w:rsid w:val="00C47E38"/>
    <w:rsid w:val="00C47E60"/>
    <w:rsid w:val="00C47E80"/>
    <w:rsid w:val="00C47EA1"/>
    <w:rsid w:val="00C47EDD"/>
    <w:rsid w:val="00C47EEF"/>
    <w:rsid w:val="00C47F19"/>
    <w:rsid w:val="00C47F1B"/>
    <w:rsid w:val="00C47F2B"/>
    <w:rsid w:val="00C47F5D"/>
    <w:rsid w:val="00C47F7D"/>
    <w:rsid w:val="00C47F83"/>
    <w:rsid w:val="00C47FB2"/>
    <w:rsid w:val="00C47FE0"/>
    <w:rsid w:val="00C50019"/>
    <w:rsid w:val="00C500A8"/>
    <w:rsid w:val="00C500D2"/>
    <w:rsid w:val="00C500E1"/>
    <w:rsid w:val="00C500ED"/>
    <w:rsid w:val="00C5015A"/>
    <w:rsid w:val="00C501D6"/>
    <w:rsid w:val="00C501EB"/>
    <w:rsid w:val="00C5021F"/>
    <w:rsid w:val="00C50244"/>
    <w:rsid w:val="00C5024A"/>
    <w:rsid w:val="00C5026C"/>
    <w:rsid w:val="00C502D2"/>
    <w:rsid w:val="00C50304"/>
    <w:rsid w:val="00C50306"/>
    <w:rsid w:val="00C50316"/>
    <w:rsid w:val="00C50335"/>
    <w:rsid w:val="00C5035A"/>
    <w:rsid w:val="00C50365"/>
    <w:rsid w:val="00C5036C"/>
    <w:rsid w:val="00C5037A"/>
    <w:rsid w:val="00C5037B"/>
    <w:rsid w:val="00C503A6"/>
    <w:rsid w:val="00C503DB"/>
    <w:rsid w:val="00C50438"/>
    <w:rsid w:val="00C5047C"/>
    <w:rsid w:val="00C50482"/>
    <w:rsid w:val="00C504A5"/>
    <w:rsid w:val="00C504B3"/>
    <w:rsid w:val="00C504C6"/>
    <w:rsid w:val="00C504C8"/>
    <w:rsid w:val="00C504DC"/>
    <w:rsid w:val="00C504FA"/>
    <w:rsid w:val="00C50530"/>
    <w:rsid w:val="00C50539"/>
    <w:rsid w:val="00C505BB"/>
    <w:rsid w:val="00C505C7"/>
    <w:rsid w:val="00C505D4"/>
    <w:rsid w:val="00C50615"/>
    <w:rsid w:val="00C5062C"/>
    <w:rsid w:val="00C50633"/>
    <w:rsid w:val="00C50634"/>
    <w:rsid w:val="00C5063F"/>
    <w:rsid w:val="00C50677"/>
    <w:rsid w:val="00C506DD"/>
    <w:rsid w:val="00C506F7"/>
    <w:rsid w:val="00C5070E"/>
    <w:rsid w:val="00C50715"/>
    <w:rsid w:val="00C50734"/>
    <w:rsid w:val="00C50744"/>
    <w:rsid w:val="00C50747"/>
    <w:rsid w:val="00C50749"/>
    <w:rsid w:val="00C50766"/>
    <w:rsid w:val="00C50795"/>
    <w:rsid w:val="00C507BB"/>
    <w:rsid w:val="00C507C0"/>
    <w:rsid w:val="00C50845"/>
    <w:rsid w:val="00C50887"/>
    <w:rsid w:val="00C5089C"/>
    <w:rsid w:val="00C508C5"/>
    <w:rsid w:val="00C508F1"/>
    <w:rsid w:val="00C5093F"/>
    <w:rsid w:val="00C50974"/>
    <w:rsid w:val="00C50987"/>
    <w:rsid w:val="00C5099D"/>
    <w:rsid w:val="00C509C4"/>
    <w:rsid w:val="00C509CF"/>
    <w:rsid w:val="00C509E8"/>
    <w:rsid w:val="00C50A01"/>
    <w:rsid w:val="00C50A0A"/>
    <w:rsid w:val="00C50A45"/>
    <w:rsid w:val="00C50A48"/>
    <w:rsid w:val="00C50A53"/>
    <w:rsid w:val="00C50A91"/>
    <w:rsid w:val="00C50A97"/>
    <w:rsid w:val="00C50AA2"/>
    <w:rsid w:val="00C50AAF"/>
    <w:rsid w:val="00C50AB8"/>
    <w:rsid w:val="00C50ABF"/>
    <w:rsid w:val="00C50AC7"/>
    <w:rsid w:val="00C50ACF"/>
    <w:rsid w:val="00C50AF0"/>
    <w:rsid w:val="00C50B1C"/>
    <w:rsid w:val="00C50B57"/>
    <w:rsid w:val="00C50B5A"/>
    <w:rsid w:val="00C50B85"/>
    <w:rsid w:val="00C50B9A"/>
    <w:rsid w:val="00C50BB4"/>
    <w:rsid w:val="00C50BBD"/>
    <w:rsid w:val="00C50BD0"/>
    <w:rsid w:val="00C50C3C"/>
    <w:rsid w:val="00C50C6F"/>
    <w:rsid w:val="00C50C7B"/>
    <w:rsid w:val="00C50C87"/>
    <w:rsid w:val="00C50CD9"/>
    <w:rsid w:val="00C50D01"/>
    <w:rsid w:val="00C50D2A"/>
    <w:rsid w:val="00C50D79"/>
    <w:rsid w:val="00C50D87"/>
    <w:rsid w:val="00C50DF4"/>
    <w:rsid w:val="00C50DFD"/>
    <w:rsid w:val="00C50E41"/>
    <w:rsid w:val="00C50E62"/>
    <w:rsid w:val="00C50EEE"/>
    <w:rsid w:val="00C50F41"/>
    <w:rsid w:val="00C50F42"/>
    <w:rsid w:val="00C50F58"/>
    <w:rsid w:val="00C50F87"/>
    <w:rsid w:val="00C50F93"/>
    <w:rsid w:val="00C50FC3"/>
    <w:rsid w:val="00C50FF7"/>
    <w:rsid w:val="00C5105D"/>
    <w:rsid w:val="00C510FE"/>
    <w:rsid w:val="00C51133"/>
    <w:rsid w:val="00C51146"/>
    <w:rsid w:val="00C5115D"/>
    <w:rsid w:val="00C511B1"/>
    <w:rsid w:val="00C511F8"/>
    <w:rsid w:val="00C511FF"/>
    <w:rsid w:val="00C51202"/>
    <w:rsid w:val="00C51223"/>
    <w:rsid w:val="00C51241"/>
    <w:rsid w:val="00C51245"/>
    <w:rsid w:val="00C5125A"/>
    <w:rsid w:val="00C51296"/>
    <w:rsid w:val="00C5129F"/>
    <w:rsid w:val="00C51307"/>
    <w:rsid w:val="00C51328"/>
    <w:rsid w:val="00C513C6"/>
    <w:rsid w:val="00C51417"/>
    <w:rsid w:val="00C51430"/>
    <w:rsid w:val="00C51433"/>
    <w:rsid w:val="00C51455"/>
    <w:rsid w:val="00C51471"/>
    <w:rsid w:val="00C51494"/>
    <w:rsid w:val="00C51517"/>
    <w:rsid w:val="00C5156C"/>
    <w:rsid w:val="00C5157F"/>
    <w:rsid w:val="00C5158C"/>
    <w:rsid w:val="00C515B9"/>
    <w:rsid w:val="00C515D8"/>
    <w:rsid w:val="00C51606"/>
    <w:rsid w:val="00C51616"/>
    <w:rsid w:val="00C51626"/>
    <w:rsid w:val="00C5162D"/>
    <w:rsid w:val="00C51632"/>
    <w:rsid w:val="00C5163C"/>
    <w:rsid w:val="00C51649"/>
    <w:rsid w:val="00C516AF"/>
    <w:rsid w:val="00C516B4"/>
    <w:rsid w:val="00C51734"/>
    <w:rsid w:val="00C51791"/>
    <w:rsid w:val="00C517B6"/>
    <w:rsid w:val="00C517E3"/>
    <w:rsid w:val="00C51832"/>
    <w:rsid w:val="00C51869"/>
    <w:rsid w:val="00C51875"/>
    <w:rsid w:val="00C51879"/>
    <w:rsid w:val="00C51893"/>
    <w:rsid w:val="00C5189D"/>
    <w:rsid w:val="00C518BF"/>
    <w:rsid w:val="00C518D7"/>
    <w:rsid w:val="00C518E5"/>
    <w:rsid w:val="00C51928"/>
    <w:rsid w:val="00C5195B"/>
    <w:rsid w:val="00C51973"/>
    <w:rsid w:val="00C51979"/>
    <w:rsid w:val="00C519B9"/>
    <w:rsid w:val="00C519DC"/>
    <w:rsid w:val="00C519FC"/>
    <w:rsid w:val="00C51A2A"/>
    <w:rsid w:val="00C51A59"/>
    <w:rsid w:val="00C51A5A"/>
    <w:rsid w:val="00C51A62"/>
    <w:rsid w:val="00C51A9B"/>
    <w:rsid w:val="00C51AA7"/>
    <w:rsid w:val="00C51ADD"/>
    <w:rsid w:val="00C51AE3"/>
    <w:rsid w:val="00C51AE6"/>
    <w:rsid w:val="00C51AEC"/>
    <w:rsid w:val="00C51B8A"/>
    <w:rsid w:val="00C51B9E"/>
    <w:rsid w:val="00C51BFE"/>
    <w:rsid w:val="00C51C4B"/>
    <w:rsid w:val="00C51C8C"/>
    <w:rsid w:val="00C51D0C"/>
    <w:rsid w:val="00C51D1F"/>
    <w:rsid w:val="00C51D2F"/>
    <w:rsid w:val="00C51D69"/>
    <w:rsid w:val="00C51D7E"/>
    <w:rsid w:val="00C51DA8"/>
    <w:rsid w:val="00C51DD6"/>
    <w:rsid w:val="00C51E2D"/>
    <w:rsid w:val="00C51E74"/>
    <w:rsid w:val="00C51EE0"/>
    <w:rsid w:val="00C51EE5"/>
    <w:rsid w:val="00C51EFF"/>
    <w:rsid w:val="00C51F0C"/>
    <w:rsid w:val="00C51F27"/>
    <w:rsid w:val="00C51F29"/>
    <w:rsid w:val="00C51F42"/>
    <w:rsid w:val="00C51FE3"/>
    <w:rsid w:val="00C52010"/>
    <w:rsid w:val="00C52015"/>
    <w:rsid w:val="00C52031"/>
    <w:rsid w:val="00C520A2"/>
    <w:rsid w:val="00C520D0"/>
    <w:rsid w:val="00C520D3"/>
    <w:rsid w:val="00C520E7"/>
    <w:rsid w:val="00C5213C"/>
    <w:rsid w:val="00C5213F"/>
    <w:rsid w:val="00C52185"/>
    <w:rsid w:val="00C5218F"/>
    <w:rsid w:val="00C521C8"/>
    <w:rsid w:val="00C521DD"/>
    <w:rsid w:val="00C521EA"/>
    <w:rsid w:val="00C52204"/>
    <w:rsid w:val="00C52217"/>
    <w:rsid w:val="00C52248"/>
    <w:rsid w:val="00C5226A"/>
    <w:rsid w:val="00C5229E"/>
    <w:rsid w:val="00C522A6"/>
    <w:rsid w:val="00C52319"/>
    <w:rsid w:val="00C5231F"/>
    <w:rsid w:val="00C52339"/>
    <w:rsid w:val="00C5236B"/>
    <w:rsid w:val="00C52375"/>
    <w:rsid w:val="00C52379"/>
    <w:rsid w:val="00C523A9"/>
    <w:rsid w:val="00C523B2"/>
    <w:rsid w:val="00C523DC"/>
    <w:rsid w:val="00C523DD"/>
    <w:rsid w:val="00C523E1"/>
    <w:rsid w:val="00C523F1"/>
    <w:rsid w:val="00C52445"/>
    <w:rsid w:val="00C52467"/>
    <w:rsid w:val="00C524B2"/>
    <w:rsid w:val="00C524BF"/>
    <w:rsid w:val="00C524EB"/>
    <w:rsid w:val="00C524F3"/>
    <w:rsid w:val="00C5254A"/>
    <w:rsid w:val="00C52568"/>
    <w:rsid w:val="00C5257C"/>
    <w:rsid w:val="00C52580"/>
    <w:rsid w:val="00C525CB"/>
    <w:rsid w:val="00C525E2"/>
    <w:rsid w:val="00C525E9"/>
    <w:rsid w:val="00C525F6"/>
    <w:rsid w:val="00C52651"/>
    <w:rsid w:val="00C5266F"/>
    <w:rsid w:val="00C52681"/>
    <w:rsid w:val="00C52743"/>
    <w:rsid w:val="00C5277C"/>
    <w:rsid w:val="00C527C3"/>
    <w:rsid w:val="00C527E7"/>
    <w:rsid w:val="00C5281A"/>
    <w:rsid w:val="00C52839"/>
    <w:rsid w:val="00C52842"/>
    <w:rsid w:val="00C52854"/>
    <w:rsid w:val="00C52898"/>
    <w:rsid w:val="00C528CE"/>
    <w:rsid w:val="00C5292E"/>
    <w:rsid w:val="00C52934"/>
    <w:rsid w:val="00C52938"/>
    <w:rsid w:val="00C52939"/>
    <w:rsid w:val="00C52952"/>
    <w:rsid w:val="00C529A4"/>
    <w:rsid w:val="00C529AA"/>
    <w:rsid w:val="00C529C2"/>
    <w:rsid w:val="00C529ED"/>
    <w:rsid w:val="00C52A0B"/>
    <w:rsid w:val="00C52A18"/>
    <w:rsid w:val="00C52A2D"/>
    <w:rsid w:val="00C52A2E"/>
    <w:rsid w:val="00C52A5C"/>
    <w:rsid w:val="00C52A77"/>
    <w:rsid w:val="00C52A8A"/>
    <w:rsid w:val="00C52AB0"/>
    <w:rsid w:val="00C52ABB"/>
    <w:rsid w:val="00C52AD4"/>
    <w:rsid w:val="00C52ADE"/>
    <w:rsid w:val="00C52AE0"/>
    <w:rsid w:val="00C52AE4"/>
    <w:rsid w:val="00C52B05"/>
    <w:rsid w:val="00C52B0E"/>
    <w:rsid w:val="00C52B1D"/>
    <w:rsid w:val="00C52B3C"/>
    <w:rsid w:val="00C52B3D"/>
    <w:rsid w:val="00C52B42"/>
    <w:rsid w:val="00C52B4D"/>
    <w:rsid w:val="00C52B70"/>
    <w:rsid w:val="00C52BB4"/>
    <w:rsid w:val="00C52C06"/>
    <w:rsid w:val="00C52C12"/>
    <w:rsid w:val="00C52C3E"/>
    <w:rsid w:val="00C52C50"/>
    <w:rsid w:val="00C52C52"/>
    <w:rsid w:val="00C52C61"/>
    <w:rsid w:val="00C52C7B"/>
    <w:rsid w:val="00C52C94"/>
    <w:rsid w:val="00C52CA2"/>
    <w:rsid w:val="00C52CAF"/>
    <w:rsid w:val="00C52CD5"/>
    <w:rsid w:val="00C52CD6"/>
    <w:rsid w:val="00C52D65"/>
    <w:rsid w:val="00C52DCD"/>
    <w:rsid w:val="00C52E15"/>
    <w:rsid w:val="00C52E35"/>
    <w:rsid w:val="00C52E44"/>
    <w:rsid w:val="00C52E87"/>
    <w:rsid w:val="00C52E94"/>
    <w:rsid w:val="00C52F2F"/>
    <w:rsid w:val="00C52F67"/>
    <w:rsid w:val="00C52F8F"/>
    <w:rsid w:val="00C52FA6"/>
    <w:rsid w:val="00C52FCE"/>
    <w:rsid w:val="00C5301F"/>
    <w:rsid w:val="00C53098"/>
    <w:rsid w:val="00C530CD"/>
    <w:rsid w:val="00C53140"/>
    <w:rsid w:val="00C53151"/>
    <w:rsid w:val="00C531E2"/>
    <w:rsid w:val="00C5322A"/>
    <w:rsid w:val="00C5327D"/>
    <w:rsid w:val="00C532A2"/>
    <w:rsid w:val="00C532A4"/>
    <w:rsid w:val="00C532AB"/>
    <w:rsid w:val="00C532AC"/>
    <w:rsid w:val="00C532D3"/>
    <w:rsid w:val="00C532DC"/>
    <w:rsid w:val="00C532DF"/>
    <w:rsid w:val="00C5332C"/>
    <w:rsid w:val="00C53348"/>
    <w:rsid w:val="00C5338A"/>
    <w:rsid w:val="00C5339B"/>
    <w:rsid w:val="00C533FD"/>
    <w:rsid w:val="00C53409"/>
    <w:rsid w:val="00C53413"/>
    <w:rsid w:val="00C5345C"/>
    <w:rsid w:val="00C5346D"/>
    <w:rsid w:val="00C53486"/>
    <w:rsid w:val="00C53497"/>
    <w:rsid w:val="00C534D3"/>
    <w:rsid w:val="00C5351D"/>
    <w:rsid w:val="00C5352B"/>
    <w:rsid w:val="00C53534"/>
    <w:rsid w:val="00C53544"/>
    <w:rsid w:val="00C53564"/>
    <w:rsid w:val="00C535C3"/>
    <w:rsid w:val="00C535CE"/>
    <w:rsid w:val="00C535F2"/>
    <w:rsid w:val="00C53616"/>
    <w:rsid w:val="00C5364F"/>
    <w:rsid w:val="00C53652"/>
    <w:rsid w:val="00C5368F"/>
    <w:rsid w:val="00C536B1"/>
    <w:rsid w:val="00C536D2"/>
    <w:rsid w:val="00C536DB"/>
    <w:rsid w:val="00C536F8"/>
    <w:rsid w:val="00C53705"/>
    <w:rsid w:val="00C5378F"/>
    <w:rsid w:val="00C53795"/>
    <w:rsid w:val="00C5382F"/>
    <w:rsid w:val="00C53862"/>
    <w:rsid w:val="00C5386B"/>
    <w:rsid w:val="00C53889"/>
    <w:rsid w:val="00C538D1"/>
    <w:rsid w:val="00C538E9"/>
    <w:rsid w:val="00C538F5"/>
    <w:rsid w:val="00C53929"/>
    <w:rsid w:val="00C53938"/>
    <w:rsid w:val="00C53992"/>
    <w:rsid w:val="00C539D7"/>
    <w:rsid w:val="00C539E2"/>
    <w:rsid w:val="00C539EE"/>
    <w:rsid w:val="00C539F2"/>
    <w:rsid w:val="00C53A30"/>
    <w:rsid w:val="00C53A35"/>
    <w:rsid w:val="00C53A75"/>
    <w:rsid w:val="00C53A8C"/>
    <w:rsid w:val="00C53AB1"/>
    <w:rsid w:val="00C53ADD"/>
    <w:rsid w:val="00C53B26"/>
    <w:rsid w:val="00C53B3C"/>
    <w:rsid w:val="00C53B46"/>
    <w:rsid w:val="00C53B5F"/>
    <w:rsid w:val="00C53BC4"/>
    <w:rsid w:val="00C53BDD"/>
    <w:rsid w:val="00C53C03"/>
    <w:rsid w:val="00C53C1F"/>
    <w:rsid w:val="00C53C3D"/>
    <w:rsid w:val="00C53C4F"/>
    <w:rsid w:val="00C53C88"/>
    <w:rsid w:val="00C53C89"/>
    <w:rsid w:val="00C53C8B"/>
    <w:rsid w:val="00C53CA2"/>
    <w:rsid w:val="00C53D07"/>
    <w:rsid w:val="00C53D08"/>
    <w:rsid w:val="00C53D29"/>
    <w:rsid w:val="00C53D36"/>
    <w:rsid w:val="00C53D7E"/>
    <w:rsid w:val="00C53D84"/>
    <w:rsid w:val="00C53D8E"/>
    <w:rsid w:val="00C53D98"/>
    <w:rsid w:val="00C53D9D"/>
    <w:rsid w:val="00C53DBE"/>
    <w:rsid w:val="00C53E11"/>
    <w:rsid w:val="00C53E1B"/>
    <w:rsid w:val="00C53E4F"/>
    <w:rsid w:val="00C53E60"/>
    <w:rsid w:val="00C53E76"/>
    <w:rsid w:val="00C53E8B"/>
    <w:rsid w:val="00C53E99"/>
    <w:rsid w:val="00C53EAB"/>
    <w:rsid w:val="00C53ECD"/>
    <w:rsid w:val="00C53EEC"/>
    <w:rsid w:val="00C53F47"/>
    <w:rsid w:val="00C53FA6"/>
    <w:rsid w:val="00C53FD0"/>
    <w:rsid w:val="00C53FEA"/>
    <w:rsid w:val="00C53FF1"/>
    <w:rsid w:val="00C54073"/>
    <w:rsid w:val="00C540BE"/>
    <w:rsid w:val="00C540D7"/>
    <w:rsid w:val="00C540E1"/>
    <w:rsid w:val="00C540E3"/>
    <w:rsid w:val="00C540F1"/>
    <w:rsid w:val="00C540F5"/>
    <w:rsid w:val="00C5413E"/>
    <w:rsid w:val="00C54189"/>
    <w:rsid w:val="00C5418E"/>
    <w:rsid w:val="00C54197"/>
    <w:rsid w:val="00C5419D"/>
    <w:rsid w:val="00C541AA"/>
    <w:rsid w:val="00C541DA"/>
    <w:rsid w:val="00C541E2"/>
    <w:rsid w:val="00C541E3"/>
    <w:rsid w:val="00C54217"/>
    <w:rsid w:val="00C54218"/>
    <w:rsid w:val="00C54220"/>
    <w:rsid w:val="00C5423A"/>
    <w:rsid w:val="00C5423C"/>
    <w:rsid w:val="00C54244"/>
    <w:rsid w:val="00C54250"/>
    <w:rsid w:val="00C54252"/>
    <w:rsid w:val="00C54257"/>
    <w:rsid w:val="00C542C0"/>
    <w:rsid w:val="00C542CE"/>
    <w:rsid w:val="00C542ED"/>
    <w:rsid w:val="00C54348"/>
    <w:rsid w:val="00C543BD"/>
    <w:rsid w:val="00C543F8"/>
    <w:rsid w:val="00C54429"/>
    <w:rsid w:val="00C54467"/>
    <w:rsid w:val="00C5447C"/>
    <w:rsid w:val="00C544B3"/>
    <w:rsid w:val="00C54535"/>
    <w:rsid w:val="00C54549"/>
    <w:rsid w:val="00C5454C"/>
    <w:rsid w:val="00C54557"/>
    <w:rsid w:val="00C54558"/>
    <w:rsid w:val="00C545A8"/>
    <w:rsid w:val="00C545E0"/>
    <w:rsid w:val="00C545E6"/>
    <w:rsid w:val="00C54614"/>
    <w:rsid w:val="00C54632"/>
    <w:rsid w:val="00C54688"/>
    <w:rsid w:val="00C54698"/>
    <w:rsid w:val="00C5469A"/>
    <w:rsid w:val="00C546A4"/>
    <w:rsid w:val="00C546C2"/>
    <w:rsid w:val="00C546C4"/>
    <w:rsid w:val="00C546F2"/>
    <w:rsid w:val="00C5471E"/>
    <w:rsid w:val="00C5471F"/>
    <w:rsid w:val="00C5472C"/>
    <w:rsid w:val="00C54740"/>
    <w:rsid w:val="00C54749"/>
    <w:rsid w:val="00C54766"/>
    <w:rsid w:val="00C5476C"/>
    <w:rsid w:val="00C54798"/>
    <w:rsid w:val="00C547C1"/>
    <w:rsid w:val="00C547C4"/>
    <w:rsid w:val="00C54804"/>
    <w:rsid w:val="00C54806"/>
    <w:rsid w:val="00C5480D"/>
    <w:rsid w:val="00C5481E"/>
    <w:rsid w:val="00C54843"/>
    <w:rsid w:val="00C54874"/>
    <w:rsid w:val="00C54879"/>
    <w:rsid w:val="00C548B1"/>
    <w:rsid w:val="00C548BD"/>
    <w:rsid w:val="00C548C2"/>
    <w:rsid w:val="00C548F0"/>
    <w:rsid w:val="00C54915"/>
    <w:rsid w:val="00C5499A"/>
    <w:rsid w:val="00C549AE"/>
    <w:rsid w:val="00C549D5"/>
    <w:rsid w:val="00C54A10"/>
    <w:rsid w:val="00C54A98"/>
    <w:rsid w:val="00C54AB8"/>
    <w:rsid w:val="00C54AC0"/>
    <w:rsid w:val="00C54ACD"/>
    <w:rsid w:val="00C54AE2"/>
    <w:rsid w:val="00C54AEA"/>
    <w:rsid w:val="00C54B28"/>
    <w:rsid w:val="00C54B64"/>
    <w:rsid w:val="00C54B66"/>
    <w:rsid w:val="00C54B73"/>
    <w:rsid w:val="00C54B8F"/>
    <w:rsid w:val="00C54BD0"/>
    <w:rsid w:val="00C54BE9"/>
    <w:rsid w:val="00C54C05"/>
    <w:rsid w:val="00C54C1B"/>
    <w:rsid w:val="00C54C2C"/>
    <w:rsid w:val="00C54C48"/>
    <w:rsid w:val="00C54C53"/>
    <w:rsid w:val="00C54D10"/>
    <w:rsid w:val="00C54D15"/>
    <w:rsid w:val="00C54D3B"/>
    <w:rsid w:val="00C54D51"/>
    <w:rsid w:val="00C54D5F"/>
    <w:rsid w:val="00C54D67"/>
    <w:rsid w:val="00C54D8E"/>
    <w:rsid w:val="00C54DF6"/>
    <w:rsid w:val="00C54E04"/>
    <w:rsid w:val="00C54E4F"/>
    <w:rsid w:val="00C54E7A"/>
    <w:rsid w:val="00C54E7F"/>
    <w:rsid w:val="00C54EA6"/>
    <w:rsid w:val="00C54EC1"/>
    <w:rsid w:val="00C54EC7"/>
    <w:rsid w:val="00C54F4F"/>
    <w:rsid w:val="00C54F56"/>
    <w:rsid w:val="00C54F5E"/>
    <w:rsid w:val="00C54FCC"/>
    <w:rsid w:val="00C54FCE"/>
    <w:rsid w:val="00C54FED"/>
    <w:rsid w:val="00C54FEF"/>
    <w:rsid w:val="00C5502D"/>
    <w:rsid w:val="00C55035"/>
    <w:rsid w:val="00C5503E"/>
    <w:rsid w:val="00C550AA"/>
    <w:rsid w:val="00C550B2"/>
    <w:rsid w:val="00C5510F"/>
    <w:rsid w:val="00C55140"/>
    <w:rsid w:val="00C55146"/>
    <w:rsid w:val="00C5514A"/>
    <w:rsid w:val="00C5514B"/>
    <w:rsid w:val="00C55153"/>
    <w:rsid w:val="00C5519D"/>
    <w:rsid w:val="00C551D8"/>
    <w:rsid w:val="00C551EA"/>
    <w:rsid w:val="00C551F5"/>
    <w:rsid w:val="00C551F8"/>
    <w:rsid w:val="00C551FF"/>
    <w:rsid w:val="00C55255"/>
    <w:rsid w:val="00C55269"/>
    <w:rsid w:val="00C55283"/>
    <w:rsid w:val="00C5528C"/>
    <w:rsid w:val="00C552A4"/>
    <w:rsid w:val="00C552C7"/>
    <w:rsid w:val="00C552D0"/>
    <w:rsid w:val="00C552E5"/>
    <w:rsid w:val="00C55319"/>
    <w:rsid w:val="00C55371"/>
    <w:rsid w:val="00C553E2"/>
    <w:rsid w:val="00C55408"/>
    <w:rsid w:val="00C55423"/>
    <w:rsid w:val="00C55435"/>
    <w:rsid w:val="00C55462"/>
    <w:rsid w:val="00C5549C"/>
    <w:rsid w:val="00C554E7"/>
    <w:rsid w:val="00C55521"/>
    <w:rsid w:val="00C55562"/>
    <w:rsid w:val="00C55577"/>
    <w:rsid w:val="00C5557A"/>
    <w:rsid w:val="00C5559C"/>
    <w:rsid w:val="00C555DF"/>
    <w:rsid w:val="00C55610"/>
    <w:rsid w:val="00C55638"/>
    <w:rsid w:val="00C55655"/>
    <w:rsid w:val="00C556A2"/>
    <w:rsid w:val="00C556B3"/>
    <w:rsid w:val="00C55719"/>
    <w:rsid w:val="00C55743"/>
    <w:rsid w:val="00C55756"/>
    <w:rsid w:val="00C5575C"/>
    <w:rsid w:val="00C55799"/>
    <w:rsid w:val="00C557B7"/>
    <w:rsid w:val="00C557D1"/>
    <w:rsid w:val="00C557D2"/>
    <w:rsid w:val="00C557D5"/>
    <w:rsid w:val="00C557DA"/>
    <w:rsid w:val="00C5580C"/>
    <w:rsid w:val="00C55813"/>
    <w:rsid w:val="00C55855"/>
    <w:rsid w:val="00C55887"/>
    <w:rsid w:val="00C5588B"/>
    <w:rsid w:val="00C5588C"/>
    <w:rsid w:val="00C55897"/>
    <w:rsid w:val="00C558B8"/>
    <w:rsid w:val="00C558BE"/>
    <w:rsid w:val="00C558C0"/>
    <w:rsid w:val="00C558D2"/>
    <w:rsid w:val="00C558E8"/>
    <w:rsid w:val="00C558EB"/>
    <w:rsid w:val="00C55925"/>
    <w:rsid w:val="00C55948"/>
    <w:rsid w:val="00C5597A"/>
    <w:rsid w:val="00C5597F"/>
    <w:rsid w:val="00C559B5"/>
    <w:rsid w:val="00C559BD"/>
    <w:rsid w:val="00C559C9"/>
    <w:rsid w:val="00C559E1"/>
    <w:rsid w:val="00C559E4"/>
    <w:rsid w:val="00C559EA"/>
    <w:rsid w:val="00C55A08"/>
    <w:rsid w:val="00C55A39"/>
    <w:rsid w:val="00C55A40"/>
    <w:rsid w:val="00C55AAE"/>
    <w:rsid w:val="00C55B0C"/>
    <w:rsid w:val="00C55B29"/>
    <w:rsid w:val="00C55B31"/>
    <w:rsid w:val="00C55B42"/>
    <w:rsid w:val="00C55B7E"/>
    <w:rsid w:val="00C55B80"/>
    <w:rsid w:val="00C55B97"/>
    <w:rsid w:val="00C55BA0"/>
    <w:rsid w:val="00C55BEA"/>
    <w:rsid w:val="00C55C3F"/>
    <w:rsid w:val="00C55CBF"/>
    <w:rsid w:val="00C55CC3"/>
    <w:rsid w:val="00C55D2B"/>
    <w:rsid w:val="00C55D64"/>
    <w:rsid w:val="00C55D94"/>
    <w:rsid w:val="00C55DAC"/>
    <w:rsid w:val="00C55F65"/>
    <w:rsid w:val="00C55F68"/>
    <w:rsid w:val="00C55FBF"/>
    <w:rsid w:val="00C55FD1"/>
    <w:rsid w:val="00C560D0"/>
    <w:rsid w:val="00C560F6"/>
    <w:rsid w:val="00C56106"/>
    <w:rsid w:val="00C5610F"/>
    <w:rsid w:val="00C56166"/>
    <w:rsid w:val="00C56188"/>
    <w:rsid w:val="00C5623C"/>
    <w:rsid w:val="00C562AA"/>
    <w:rsid w:val="00C562C1"/>
    <w:rsid w:val="00C562D4"/>
    <w:rsid w:val="00C562FE"/>
    <w:rsid w:val="00C56364"/>
    <w:rsid w:val="00C56374"/>
    <w:rsid w:val="00C563DB"/>
    <w:rsid w:val="00C563EE"/>
    <w:rsid w:val="00C56411"/>
    <w:rsid w:val="00C56472"/>
    <w:rsid w:val="00C564CC"/>
    <w:rsid w:val="00C56530"/>
    <w:rsid w:val="00C5653E"/>
    <w:rsid w:val="00C56560"/>
    <w:rsid w:val="00C56579"/>
    <w:rsid w:val="00C56586"/>
    <w:rsid w:val="00C56592"/>
    <w:rsid w:val="00C5659B"/>
    <w:rsid w:val="00C565C1"/>
    <w:rsid w:val="00C565CA"/>
    <w:rsid w:val="00C565E9"/>
    <w:rsid w:val="00C56619"/>
    <w:rsid w:val="00C5664F"/>
    <w:rsid w:val="00C56661"/>
    <w:rsid w:val="00C56678"/>
    <w:rsid w:val="00C566AE"/>
    <w:rsid w:val="00C566D5"/>
    <w:rsid w:val="00C566D7"/>
    <w:rsid w:val="00C566DC"/>
    <w:rsid w:val="00C566E8"/>
    <w:rsid w:val="00C566E9"/>
    <w:rsid w:val="00C56722"/>
    <w:rsid w:val="00C56727"/>
    <w:rsid w:val="00C5673E"/>
    <w:rsid w:val="00C56740"/>
    <w:rsid w:val="00C56744"/>
    <w:rsid w:val="00C567A0"/>
    <w:rsid w:val="00C567A2"/>
    <w:rsid w:val="00C567FB"/>
    <w:rsid w:val="00C5680E"/>
    <w:rsid w:val="00C5681D"/>
    <w:rsid w:val="00C5682A"/>
    <w:rsid w:val="00C5683B"/>
    <w:rsid w:val="00C5685D"/>
    <w:rsid w:val="00C5685F"/>
    <w:rsid w:val="00C56897"/>
    <w:rsid w:val="00C568B8"/>
    <w:rsid w:val="00C568B9"/>
    <w:rsid w:val="00C568FA"/>
    <w:rsid w:val="00C56916"/>
    <w:rsid w:val="00C56918"/>
    <w:rsid w:val="00C56976"/>
    <w:rsid w:val="00C5697F"/>
    <w:rsid w:val="00C5698A"/>
    <w:rsid w:val="00C569A8"/>
    <w:rsid w:val="00C56A28"/>
    <w:rsid w:val="00C56A41"/>
    <w:rsid w:val="00C56A45"/>
    <w:rsid w:val="00C56A5A"/>
    <w:rsid w:val="00C56A70"/>
    <w:rsid w:val="00C56A98"/>
    <w:rsid w:val="00C56AC5"/>
    <w:rsid w:val="00C56AC7"/>
    <w:rsid w:val="00C56AE5"/>
    <w:rsid w:val="00C56B03"/>
    <w:rsid w:val="00C56B79"/>
    <w:rsid w:val="00C56BB8"/>
    <w:rsid w:val="00C56BD2"/>
    <w:rsid w:val="00C56BE5"/>
    <w:rsid w:val="00C56C02"/>
    <w:rsid w:val="00C56C07"/>
    <w:rsid w:val="00C56C3B"/>
    <w:rsid w:val="00C56C66"/>
    <w:rsid w:val="00C56C67"/>
    <w:rsid w:val="00C56CAE"/>
    <w:rsid w:val="00C56CAF"/>
    <w:rsid w:val="00C56CD3"/>
    <w:rsid w:val="00C56D12"/>
    <w:rsid w:val="00C56D39"/>
    <w:rsid w:val="00C56D62"/>
    <w:rsid w:val="00C56D77"/>
    <w:rsid w:val="00C56D88"/>
    <w:rsid w:val="00C56DA2"/>
    <w:rsid w:val="00C56DA7"/>
    <w:rsid w:val="00C56DB6"/>
    <w:rsid w:val="00C56DBA"/>
    <w:rsid w:val="00C56DC0"/>
    <w:rsid w:val="00C56DDB"/>
    <w:rsid w:val="00C56E66"/>
    <w:rsid w:val="00C56E75"/>
    <w:rsid w:val="00C56E7C"/>
    <w:rsid w:val="00C56E9D"/>
    <w:rsid w:val="00C56F2F"/>
    <w:rsid w:val="00C56F3A"/>
    <w:rsid w:val="00C56F52"/>
    <w:rsid w:val="00C56F93"/>
    <w:rsid w:val="00C56FC2"/>
    <w:rsid w:val="00C5702D"/>
    <w:rsid w:val="00C57044"/>
    <w:rsid w:val="00C57087"/>
    <w:rsid w:val="00C5708F"/>
    <w:rsid w:val="00C570A6"/>
    <w:rsid w:val="00C570BF"/>
    <w:rsid w:val="00C570DC"/>
    <w:rsid w:val="00C57140"/>
    <w:rsid w:val="00C5719F"/>
    <w:rsid w:val="00C571BC"/>
    <w:rsid w:val="00C571C0"/>
    <w:rsid w:val="00C5725D"/>
    <w:rsid w:val="00C5725F"/>
    <w:rsid w:val="00C57282"/>
    <w:rsid w:val="00C572CF"/>
    <w:rsid w:val="00C572DB"/>
    <w:rsid w:val="00C572EE"/>
    <w:rsid w:val="00C573AE"/>
    <w:rsid w:val="00C573B7"/>
    <w:rsid w:val="00C573BD"/>
    <w:rsid w:val="00C573D1"/>
    <w:rsid w:val="00C573EF"/>
    <w:rsid w:val="00C573F2"/>
    <w:rsid w:val="00C5740E"/>
    <w:rsid w:val="00C57441"/>
    <w:rsid w:val="00C5745B"/>
    <w:rsid w:val="00C57471"/>
    <w:rsid w:val="00C57496"/>
    <w:rsid w:val="00C57497"/>
    <w:rsid w:val="00C574E7"/>
    <w:rsid w:val="00C57560"/>
    <w:rsid w:val="00C575C0"/>
    <w:rsid w:val="00C575C5"/>
    <w:rsid w:val="00C57633"/>
    <w:rsid w:val="00C57649"/>
    <w:rsid w:val="00C57688"/>
    <w:rsid w:val="00C576AA"/>
    <w:rsid w:val="00C576BD"/>
    <w:rsid w:val="00C576E6"/>
    <w:rsid w:val="00C576F0"/>
    <w:rsid w:val="00C5772D"/>
    <w:rsid w:val="00C57742"/>
    <w:rsid w:val="00C57776"/>
    <w:rsid w:val="00C577A7"/>
    <w:rsid w:val="00C577CD"/>
    <w:rsid w:val="00C577CE"/>
    <w:rsid w:val="00C577E4"/>
    <w:rsid w:val="00C577F2"/>
    <w:rsid w:val="00C5781C"/>
    <w:rsid w:val="00C57854"/>
    <w:rsid w:val="00C57893"/>
    <w:rsid w:val="00C578B8"/>
    <w:rsid w:val="00C578BE"/>
    <w:rsid w:val="00C578CD"/>
    <w:rsid w:val="00C578F3"/>
    <w:rsid w:val="00C5792F"/>
    <w:rsid w:val="00C5796A"/>
    <w:rsid w:val="00C5798A"/>
    <w:rsid w:val="00C579BE"/>
    <w:rsid w:val="00C579C5"/>
    <w:rsid w:val="00C579D9"/>
    <w:rsid w:val="00C579E0"/>
    <w:rsid w:val="00C579E1"/>
    <w:rsid w:val="00C579F5"/>
    <w:rsid w:val="00C57A0F"/>
    <w:rsid w:val="00C57A5C"/>
    <w:rsid w:val="00C57A98"/>
    <w:rsid w:val="00C57A9B"/>
    <w:rsid w:val="00C57ACF"/>
    <w:rsid w:val="00C57ADE"/>
    <w:rsid w:val="00C57B12"/>
    <w:rsid w:val="00C57B71"/>
    <w:rsid w:val="00C57BA3"/>
    <w:rsid w:val="00C57BA9"/>
    <w:rsid w:val="00C57BC4"/>
    <w:rsid w:val="00C57BDE"/>
    <w:rsid w:val="00C57BF1"/>
    <w:rsid w:val="00C57C06"/>
    <w:rsid w:val="00C57C08"/>
    <w:rsid w:val="00C57C0F"/>
    <w:rsid w:val="00C57C4D"/>
    <w:rsid w:val="00C57C51"/>
    <w:rsid w:val="00C57C8E"/>
    <w:rsid w:val="00C57D2A"/>
    <w:rsid w:val="00C57D6B"/>
    <w:rsid w:val="00C57D72"/>
    <w:rsid w:val="00C57D79"/>
    <w:rsid w:val="00C57DD6"/>
    <w:rsid w:val="00C57E23"/>
    <w:rsid w:val="00C57E7F"/>
    <w:rsid w:val="00C57E97"/>
    <w:rsid w:val="00C57EA7"/>
    <w:rsid w:val="00C57EDD"/>
    <w:rsid w:val="00C57EDE"/>
    <w:rsid w:val="00C57EE2"/>
    <w:rsid w:val="00C57F30"/>
    <w:rsid w:val="00C57F48"/>
    <w:rsid w:val="00C57F71"/>
    <w:rsid w:val="00C57F76"/>
    <w:rsid w:val="00C57F7E"/>
    <w:rsid w:val="00C57F9C"/>
    <w:rsid w:val="00C60005"/>
    <w:rsid w:val="00C60011"/>
    <w:rsid w:val="00C6004F"/>
    <w:rsid w:val="00C60062"/>
    <w:rsid w:val="00C6007F"/>
    <w:rsid w:val="00C600EA"/>
    <w:rsid w:val="00C60138"/>
    <w:rsid w:val="00C60164"/>
    <w:rsid w:val="00C60171"/>
    <w:rsid w:val="00C60185"/>
    <w:rsid w:val="00C6019A"/>
    <w:rsid w:val="00C601CE"/>
    <w:rsid w:val="00C601F0"/>
    <w:rsid w:val="00C60203"/>
    <w:rsid w:val="00C60231"/>
    <w:rsid w:val="00C60237"/>
    <w:rsid w:val="00C60242"/>
    <w:rsid w:val="00C60263"/>
    <w:rsid w:val="00C60268"/>
    <w:rsid w:val="00C60276"/>
    <w:rsid w:val="00C6029B"/>
    <w:rsid w:val="00C6029F"/>
    <w:rsid w:val="00C602CA"/>
    <w:rsid w:val="00C602D3"/>
    <w:rsid w:val="00C6032D"/>
    <w:rsid w:val="00C6032F"/>
    <w:rsid w:val="00C603D1"/>
    <w:rsid w:val="00C60422"/>
    <w:rsid w:val="00C6043C"/>
    <w:rsid w:val="00C60446"/>
    <w:rsid w:val="00C60451"/>
    <w:rsid w:val="00C60474"/>
    <w:rsid w:val="00C6048B"/>
    <w:rsid w:val="00C604B4"/>
    <w:rsid w:val="00C604DD"/>
    <w:rsid w:val="00C604DE"/>
    <w:rsid w:val="00C604DF"/>
    <w:rsid w:val="00C60520"/>
    <w:rsid w:val="00C60530"/>
    <w:rsid w:val="00C60547"/>
    <w:rsid w:val="00C60566"/>
    <w:rsid w:val="00C6056E"/>
    <w:rsid w:val="00C6059D"/>
    <w:rsid w:val="00C605A3"/>
    <w:rsid w:val="00C605BC"/>
    <w:rsid w:val="00C605CF"/>
    <w:rsid w:val="00C605D7"/>
    <w:rsid w:val="00C605F3"/>
    <w:rsid w:val="00C60632"/>
    <w:rsid w:val="00C60645"/>
    <w:rsid w:val="00C60692"/>
    <w:rsid w:val="00C606A8"/>
    <w:rsid w:val="00C606CD"/>
    <w:rsid w:val="00C606CE"/>
    <w:rsid w:val="00C6075C"/>
    <w:rsid w:val="00C6076A"/>
    <w:rsid w:val="00C607CC"/>
    <w:rsid w:val="00C607D2"/>
    <w:rsid w:val="00C607E5"/>
    <w:rsid w:val="00C607F2"/>
    <w:rsid w:val="00C60826"/>
    <w:rsid w:val="00C60836"/>
    <w:rsid w:val="00C6087D"/>
    <w:rsid w:val="00C6089E"/>
    <w:rsid w:val="00C608BA"/>
    <w:rsid w:val="00C608C2"/>
    <w:rsid w:val="00C60962"/>
    <w:rsid w:val="00C60977"/>
    <w:rsid w:val="00C6098A"/>
    <w:rsid w:val="00C60999"/>
    <w:rsid w:val="00C6099E"/>
    <w:rsid w:val="00C6099F"/>
    <w:rsid w:val="00C609B6"/>
    <w:rsid w:val="00C60A11"/>
    <w:rsid w:val="00C60A42"/>
    <w:rsid w:val="00C60AC1"/>
    <w:rsid w:val="00C60ADE"/>
    <w:rsid w:val="00C60B45"/>
    <w:rsid w:val="00C60B79"/>
    <w:rsid w:val="00C60B7C"/>
    <w:rsid w:val="00C60BB2"/>
    <w:rsid w:val="00C60C12"/>
    <w:rsid w:val="00C60C2D"/>
    <w:rsid w:val="00C60C47"/>
    <w:rsid w:val="00C60C63"/>
    <w:rsid w:val="00C60C6E"/>
    <w:rsid w:val="00C60C82"/>
    <w:rsid w:val="00C60C91"/>
    <w:rsid w:val="00C60CC7"/>
    <w:rsid w:val="00C60CF4"/>
    <w:rsid w:val="00C60CF7"/>
    <w:rsid w:val="00C60D05"/>
    <w:rsid w:val="00C60DAF"/>
    <w:rsid w:val="00C60DB7"/>
    <w:rsid w:val="00C60DC4"/>
    <w:rsid w:val="00C60E29"/>
    <w:rsid w:val="00C60E8E"/>
    <w:rsid w:val="00C60EA1"/>
    <w:rsid w:val="00C60ECB"/>
    <w:rsid w:val="00C60F20"/>
    <w:rsid w:val="00C60F2E"/>
    <w:rsid w:val="00C60FA9"/>
    <w:rsid w:val="00C61038"/>
    <w:rsid w:val="00C6103C"/>
    <w:rsid w:val="00C61073"/>
    <w:rsid w:val="00C6112D"/>
    <w:rsid w:val="00C6116A"/>
    <w:rsid w:val="00C61171"/>
    <w:rsid w:val="00C6118C"/>
    <w:rsid w:val="00C61194"/>
    <w:rsid w:val="00C61196"/>
    <w:rsid w:val="00C611A9"/>
    <w:rsid w:val="00C611B6"/>
    <w:rsid w:val="00C611D0"/>
    <w:rsid w:val="00C611F0"/>
    <w:rsid w:val="00C611F3"/>
    <w:rsid w:val="00C61201"/>
    <w:rsid w:val="00C6120A"/>
    <w:rsid w:val="00C61226"/>
    <w:rsid w:val="00C61229"/>
    <w:rsid w:val="00C61285"/>
    <w:rsid w:val="00C6129F"/>
    <w:rsid w:val="00C61307"/>
    <w:rsid w:val="00C61320"/>
    <w:rsid w:val="00C61323"/>
    <w:rsid w:val="00C61331"/>
    <w:rsid w:val="00C6135A"/>
    <w:rsid w:val="00C61361"/>
    <w:rsid w:val="00C61388"/>
    <w:rsid w:val="00C61389"/>
    <w:rsid w:val="00C6138E"/>
    <w:rsid w:val="00C613C5"/>
    <w:rsid w:val="00C613D6"/>
    <w:rsid w:val="00C61415"/>
    <w:rsid w:val="00C61418"/>
    <w:rsid w:val="00C61434"/>
    <w:rsid w:val="00C6144F"/>
    <w:rsid w:val="00C6147A"/>
    <w:rsid w:val="00C61485"/>
    <w:rsid w:val="00C61492"/>
    <w:rsid w:val="00C61498"/>
    <w:rsid w:val="00C614B3"/>
    <w:rsid w:val="00C614DF"/>
    <w:rsid w:val="00C614F8"/>
    <w:rsid w:val="00C6150B"/>
    <w:rsid w:val="00C6151A"/>
    <w:rsid w:val="00C6151E"/>
    <w:rsid w:val="00C6155F"/>
    <w:rsid w:val="00C61570"/>
    <w:rsid w:val="00C6157C"/>
    <w:rsid w:val="00C615AC"/>
    <w:rsid w:val="00C615B4"/>
    <w:rsid w:val="00C615D4"/>
    <w:rsid w:val="00C615E4"/>
    <w:rsid w:val="00C6163A"/>
    <w:rsid w:val="00C6168C"/>
    <w:rsid w:val="00C616AF"/>
    <w:rsid w:val="00C616C7"/>
    <w:rsid w:val="00C616D6"/>
    <w:rsid w:val="00C61700"/>
    <w:rsid w:val="00C61703"/>
    <w:rsid w:val="00C61780"/>
    <w:rsid w:val="00C6179F"/>
    <w:rsid w:val="00C617F6"/>
    <w:rsid w:val="00C61815"/>
    <w:rsid w:val="00C61859"/>
    <w:rsid w:val="00C618A3"/>
    <w:rsid w:val="00C618A9"/>
    <w:rsid w:val="00C618D6"/>
    <w:rsid w:val="00C6192E"/>
    <w:rsid w:val="00C61964"/>
    <w:rsid w:val="00C61967"/>
    <w:rsid w:val="00C619C6"/>
    <w:rsid w:val="00C619D2"/>
    <w:rsid w:val="00C619E6"/>
    <w:rsid w:val="00C61A04"/>
    <w:rsid w:val="00C61A29"/>
    <w:rsid w:val="00C61A31"/>
    <w:rsid w:val="00C61A50"/>
    <w:rsid w:val="00C61A93"/>
    <w:rsid w:val="00C61AB4"/>
    <w:rsid w:val="00C61B0A"/>
    <w:rsid w:val="00C61B71"/>
    <w:rsid w:val="00C61B75"/>
    <w:rsid w:val="00C61BB0"/>
    <w:rsid w:val="00C61BC2"/>
    <w:rsid w:val="00C61C07"/>
    <w:rsid w:val="00C61C21"/>
    <w:rsid w:val="00C61C23"/>
    <w:rsid w:val="00C61C3F"/>
    <w:rsid w:val="00C61C5A"/>
    <w:rsid w:val="00C61C6B"/>
    <w:rsid w:val="00C61C7D"/>
    <w:rsid w:val="00C61CAB"/>
    <w:rsid w:val="00C61CAC"/>
    <w:rsid w:val="00C61CC9"/>
    <w:rsid w:val="00C61CD2"/>
    <w:rsid w:val="00C61CFC"/>
    <w:rsid w:val="00C61D3F"/>
    <w:rsid w:val="00C61D6F"/>
    <w:rsid w:val="00C61D73"/>
    <w:rsid w:val="00C61D80"/>
    <w:rsid w:val="00C61D8F"/>
    <w:rsid w:val="00C61D99"/>
    <w:rsid w:val="00C61DC0"/>
    <w:rsid w:val="00C61DD1"/>
    <w:rsid w:val="00C61DFD"/>
    <w:rsid w:val="00C61E0D"/>
    <w:rsid w:val="00C61E0E"/>
    <w:rsid w:val="00C61E84"/>
    <w:rsid w:val="00C61E8B"/>
    <w:rsid w:val="00C61EC1"/>
    <w:rsid w:val="00C61EDF"/>
    <w:rsid w:val="00C61EE3"/>
    <w:rsid w:val="00C61F17"/>
    <w:rsid w:val="00C61F19"/>
    <w:rsid w:val="00C61F2D"/>
    <w:rsid w:val="00C61F35"/>
    <w:rsid w:val="00C61F64"/>
    <w:rsid w:val="00C61F8A"/>
    <w:rsid w:val="00C61FBF"/>
    <w:rsid w:val="00C61FD0"/>
    <w:rsid w:val="00C6200D"/>
    <w:rsid w:val="00C62016"/>
    <w:rsid w:val="00C6201A"/>
    <w:rsid w:val="00C62031"/>
    <w:rsid w:val="00C62042"/>
    <w:rsid w:val="00C6207B"/>
    <w:rsid w:val="00C6209F"/>
    <w:rsid w:val="00C620AC"/>
    <w:rsid w:val="00C620C2"/>
    <w:rsid w:val="00C62108"/>
    <w:rsid w:val="00C621B3"/>
    <w:rsid w:val="00C621BD"/>
    <w:rsid w:val="00C621D5"/>
    <w:rsid w:val="00C621F0"/>
    <w:rsid w:val="00C621F1"/>
    <w:rsid w:val="00C62207"/>
    <w:rsid w:val="00C6223B"/>
    <w:rsid w:val="00C62254"/>
    <w:rsid w:val="00C6225C"/>
    <w:rsid w:val="00C62261"/>
    <w:rsid w:val="00C622DC"/>
    <w:rsid w:val="00C6230A"/>
    <w:rsid w:val="00C62315"/>
    <w:rsid w:val="00C62321"/>
    <w:rsid w:val="00C62344"/>
    <w:rsid w:val="00C623A1"/>
    <w:rsid w:val="00C623D0"/>
    <w:rsid w:val="00C623F7"/>
    <w:rsid w:val="00C623FB"/>
    <w:rsid w:val="00C6240B"/>
    <w:rsid w:val="00C62417"/>
    <w:rsid w:val="00C6243F"/>
    <w:rsid w:val="00C6246D"/>
    <w:rsid w:val="00C62478"/>
    <w:rsid w:val="00C624C1"/>
    <w:rsid w:val="00C624C2"/>
    <w:rsid w:val="00C624C4"/>
    <w:rsid w:val="00C624CA"/>
    <w:rsid w:val="00C624F0"/>
    <w:rsid w:val="00C6252B"/>
    <w:rsid w:val="00C62530"/>
    <w:rsid w:val="00C62533"/>
    <w:rsid w:val="00C62540"/>
    <w:rsid w:val="00C62565"/>
    <w:rsid w:val="00C625B9"/>
    <w:rsid w:val="00C625D1"/>
    <w:rsid w:val="00C625D4"/>
    <w:rsid w:val="00C625DD"/>
    <w:rsid w:val="00C62603"/>
    <w:rsid w:val="00C6262A"/>
    <w:rsid w:val="00C62667"/>
    <w:rsid w:val="00C62675"/>
    <w:rsid w:val="00C6267E"/>
    <w:rsid w:val="00C6268C"/>
    <w:rsid w:val="00C626C6"/>
    <w:rsid w:val="00C626E6"/>
    <w:rsid w:val="00C626E8"/>
    <w:rsid w:val="00C62712"/>
    <w:rsid w:val="00C6272E"/>
    <w:rsid w:val="00C62732"/>
    <w:rsid w:val="00C6274A"/>
    <w:rsid w:val="00C62772"/>
    <w:rsid w:val="00C627CB"/>
    <w:rsid w:val="00C627FA"/>
    <w:rsid w:val="00C6281D"/>
    <w:rsid w:val="00C62836"/>
    <w:rsid w:val="00C62843"/>
    <w:rsid w:val="00C62846"/>
    <w:rsid w:val="00C628EA"/>
    <w:rsid w:val="00C628FE"/>
    <w:rsid w:val="00C62907"/>
    <w:rsid w:val="00C6290E"/>
    <w:rsid w:val="00C62993"/>
    <w:rsid w:val="00C629A5"/>
    <w:rsid w:val="00C629C4"/>
    <w:rsid w:val="00C629F5"/>
    <w:rsid w:val="00C62A5A"/>
    <w:rsid w:val="00C62A8A"/>
    <w:rsid w:val="00C62A8C"/>
    <w:rsid w:val="00C62A99"/>
    <w:rsid w:val="00C62AAC"/>
    <w:rsid w:val="00C62AE9"/>
    <w:rsid w:val="00C62B07"/>
    <w:rsid w:val="00C62B0D"/>
    <w:rsid w:val="00C62B51"/>
    <w:rsid w:val="00C62B52"/>
    <w:rsid w:val="00C62B5A"/>
    <w:rsid w:val="00C62B66"/>
    <w:rsid w:val="00C62B74"/>
    <w:rsid w:val="00C62B87"/>
    <w:rsid w:val="00C62BCB"/>
    <w:rsid w:val="00C62C9B"/>
    <w:rsid w:val="00C62CD2"/>
    <w:rsid w:val="00C62CD7"/>
    <w:rsid w:val="00C62CEA"/>
    <w:rsid w:val="00C62CF5"/>
    <w:rsid w:val="00C62D2A"/>
    <w:rsid w:val="00C62D43"/>
    <w:rsid w:val="00C62D9B"/>
    <w:rsid w:val="00C62DDB"/>
    <w:rsid w:val="00C62E18"/>
    <w:rsid w:val="00C62F20"/>
    <w:rsid w:val="00C62F35"/>
    <w:rsid w:val="00C62F43"/>
    <w:rsid w:val="00C62F46"/>
    <w:rsid w:val="00C63026"/>
    <w:rsid w:val="00C6302C"/>
    <w:rsid w:val="00C63036"/>
    <w:rsid w:val="00C63076"/>
    <w:rsid w:val="00C6307C"/>
    <w:rsid w:val="00C63083"/>
    <w:rsid w:val="00C63089"/>
    <w:rsid w:val="00C6308A"/>
    <w:rsid w:val="00C630E0"/>
    <w:rsid w:val="00C63106"/>
    <w:rsid w:val="00C63130"/>
    <w:rsid w:val="00C63153"/>
    <w:rsid w:val="00C6315F"/>
    <w:rsid w:val="00C63160"/>
    <w:rsid w:val="00C631BE"/>
    <w:rsid w:val="00C631E5"/>
    <w:rsid w:val="00C631E7"/>
    <w:rsid w:val="00C63257"/>
    <w:rsid w:val="00C6329C"/>
    <w:rsid w:val="00C632E3"/>
    <w:rsid w:val="00C63307"/>
    <w:rsid w:val="00C6333D"/>
    <w:rsid w:val="00C6333E"/>
    <w:rsid w:val="00C6334F"/>
    <w:rsid w:val="00C6338C"/>
    <w:rsid w:val="00C63393"/>
    <w:rsid w:val="00C633C0"/>
    <w:rsid w:val="00C633E4"/>
    <w:rsid w:val="00C633E8"/>
    <w:rsid w:val="00C633FD"/>
    <w:rsid w:val="00C63421"/>
    <w:rsid w:val="00C6347D"/>
    <w:rsid w:val="00C63483"/>
    <w:rsid w:val="00C6348C"/>
    <w:rsid w:val="00C63512"/>
    <w:rsid w:val="00C63573"/>
    <w:rsid w:val="00C63579"/>
    <w:rsid w:val="00C6359B"/>
    <w:rsid w:val="00C63636"/>
    <w:rsid w:val="00C636F0"/>
    <w:rsid w:val="00C63764"/>
    <w:rsid w:val="00C6377B"/>
    <w:rsid w:val="00C63786"/>
    <w:rsid w:val="00C63799"/>
    <w:rsid w:val="00C637C1"/>
    <w:rsid w:val="00C637DB"/>
    <w:rsid w:val="00C6381F"/>
    <w:rsid w:val="00C63854"/>
    <w:rsid w:val="00C6391F"/>
    <w:rsid w:val="00C63979"/>
    <w:rsid w:val="00C639A4"/>
    <w:rsid w:val="00C63A3F"/>
    <w:rsid w:val="00C63A78"/>
    <w:rsid w:val="00C63A90"/>
    <w:rsid w:val="00C63A98"/>
    <w:rsid w:val="00C63AE5"/>
    <w:rsid w:val="00C63B2B"/>
    <w:rsid w:val="00C63B46"/>
    <w:rsid w:val="00C63BAD"/>
    <w:rsid w:val="00C63BEA"/>
    <w:rsid w:val="00C63C20"/>
    <w:rsid w:val="00C63C41"/>
    <w:rsid w:val="00C63C5E"/>
    <w:rsid w:val="00C63C62"/>
    <w:rsid w:val="00C63C78"/>
    <w:rsid w:val="00C63CAF"/>
    <w:rsid w:val="00C63CD4"/>
    <w:rsid w:val="00C63D5D"/>
    <w:rsid w:val="00C63D73"/>
    <w:rsid w:val="00C63D77"/>
    <w:rsid w:val="00C63DB8"/>
    <w:rsid w:val="00C63DCD"/>
    <w:rsid w:val="00C63DE9"/>
    <w:rsid w:val="00C63E2E"/>
    <w:rsid w:val="00C63E61"/>
    <w:rsid w:val="00C63E75"/>
    <w:rsid w:val="00C63EB0"/>
    <w:rsid w:val="00C63EB6"/>
    <w:rsid w:val="00C63ECB"/>
    <w:rsid w:val="00C63EFA"/>
    <w:rsid w:val="00C63F50"/>
    <w:rsid w:val="00C63F87"/>
    <w:rsid w:val="00C63FAA"/>
    <w:rsid w:val="00C63FE8"/>
    <w:rsid w:val="00C64006"/>
    <w:rsid w:val="00C64010"/>
    <w:rsid w:val="00C64017"/>
    <w:rsid w:val="00C64040"/>
    <w:rsid w:val="00C64047"/>
    <w:rsid w:val="00C6405D"/>
    <w:rsid w:val="00C64081"/>
    <w:rsid w:val="00C640E6"/>
    <w:rsid w:val="00C640F7"/>
    <w:rsid w:val="00C64100"/>
    <w:rsid w:val="00C64112"/>
    <w:rsid w:val="00C64120"/>
    <w:rsid w:val="00C64191"/>
    <w:rsid w:val="00C6419C"/>
    <w:rsid w:val="00C641AA"/>
    <w:rsid w:val="00C641B7"/>
    <w:rsid w:val="00C641F7"/>
    <w:rsid w:val="00C642CC"/>
    <w:rsid w:val="00C64301"/>
    <w:rsid w:val="00C6430D"/>
    <w:rsid w:val="00C6437F"/>
    <w:rsid w:val="00C64396"/>
    <w:rsid w:val="00C643AB"/>
    <w:rsid w:val="00C64401"/>
    <w:rsid w:val="00C64458"/>
    <w:rsid w:val="00C64474"/>
    <w:rsid w:val="00C644A8"/>
    <w:rsid w:val="00C644D3"/>
    <w:rsid w:val="00C64529"/>
    <w:rsid w:val="00C6452B"/>
    <w:rsid w:val="00C64546"/>
    <w:rsid w:val="00C64568"/>
    <w:rsid w:val="00C64582"/>
    <w:rsid w:val="00C645B0"/>
    <w:rsid w:val="00C645B9"/>
    <w:rsid w:val="00C645BF"/>
    <w:rsid w:val="00C645F3"/>
    <w:rsid w:val="00C645FF"/>
    <w:rsid w:val="00C6460D"/>
    <w:rsid w:val="00C6461F"/>
    <w:rsid w:val="00C64648"/>
    <w:rsid w:val="00C6464F"/>
    <w:rsid w:val="00C64650"/>
    <w:rsid w:val="00C646B1"/>
    <w:rsid w:val="00C646B4"/>
    <w:rsid w:val="00C646C5"/>
    <w:rsid w:val="00C646FD"/>
    <w:rsid w:val="00C64790"/>
    <w:rsid w:val="00C6479E"/>
    <w:rsid w:val="00C647C6"/>
    <w:rsid w:val="00C64805"/>
    <w:rsid w:val="00C64823"/>
    <w:rsid w:val="00C64838"/>
    <w:rsid w:val="00C64863"/>
    <w:rsid w:val="00C64872"/>
    <w:rsid w:val="00C64891"/>
    <w:rsid w:val="00C648CB"/>
    <w:rsid w:val="00C648DF"/>
    <w:rsid w:val="00C6496A"/>
    <w:rsid w:val="00C6498D"/>
    <w:rsid w:val="00C64993"/>
    <w:rsid w:val="00C64998"/>
    <w:rsid w:val="00C649CA"/>
    <w:rsid w:val="00C64A31"/>
    <w:rsid w:val="00C64A54"/>
    <w:rsid w:val="00C64A72"/>
    <w:rsid w:val="00C64B1E"/>
    <w:rsid w:val="00C64B26"/>
    <w:rsid w:val="00C64B49"/>
    <w:rsid w:val="00C64BA9"/>
    <w:rsid w:val="00C64BDC"/>
    <w:rsid w:val="00C64BF0"/>
    <w:rsid w:val="00C64C17"/>
    <w:rsid w:val="00C64C6C"/>
    <w:rsid w:val="00C64C81"/>
    <w:rsid w:val="00C64C8D"/>
    <w:rsid w:val="00C64C9D"/>
    <w:rsid w:val="00C64D49"/>
    <w:rsid w:val="00C64D8C"/>
    <w:rsid w:val="00C64DD1"/>
    <w:rsid w:val="00C64DE2"/>
    <w:rsid w:val="00C64E04"/>
    <w:rsid w:val="00C64E25"/>
    <w:rsid w:val="00C64E41"/>
    <w:rsid w:val="00C64E55"/>
    <w:rsid w:val="00C64E61"/>
    <w:rsid w:val="00C64E9B"/>
    <w:rsid w:val="00C64EA3"/>
    <w:rsid w:val="00C64EE1"/>
    <w:rsid w:val="00C64EEF"/>
    <w:rsid w:val="00C64EFA"/>
    <w:rsid w:val="00C64F00"/>
    <w:rsid w:val="00C64F2E"/>
    <w:rsid w:val="00C64F2F"/>
    <w:rsid w:val="00C64F61"/>
    <w:rsid w:val="00C64F62"/>
    <w:rsid w:val="00C64F72"/>
    <w:rsid w:val="00C64FF0"/>
    <w:rsid w:val="00C6500F"/>
    <w:rsid w:val="00C6501D"/>
    <w:rsid w:val="00C6503B"/>
    <w:rsid w:val="00C6506F"/>
    <w:rsid w:val="00C650CE"/>
    <w:rsid w:val="00C650E1"/>
    <w:rsid w:val="00C65116"/>
    <w:rsid w:val="00C6512D"/>
    <w:rsid w:val="00C65180"/>
    <w:rsid w:val="00C6520E"/>
    <w:rsid w:val="00C65253"/>
    <w:rsid w:val="00C65264"/>
    <w:rsid w:val="00C6527F"/>
    <w:rsid w:val="00C652B0"/>
    <w:rsid w:val="00C652C4"/>
    <w:rsid w:val="00C652E7"/>
    <w:rsid w:val="00C65311"/>
    <w:rsid w:val="00C65371"/>
    <w:rsid w:val="00C653AB"/>
    <w:rsid w:val="00C653B6"/>
    <w:rsid w:val="00C653B8"/>
    <w:rsid w:val="00C653CE"/>
    <w:rsid w:val="00C653D6"/>
    <w:rsid w:val="00C653E0"/>
    <w:rsid w:val="00C6541B"/>
    <w:rsid w:val="00C65426"/>
    <w:rsid w:val="00C6542F"/>
    <w:rsid w:val="00C65433"/>
    <w:rsid w:val="00C6549C"/>
    <w:rsid w:val="00C654CB"/>
    <w:rsid w:val="00C654DA"/>
    <w:rsid w:val="00C654DE"/>
    <w:rsid w:val="00C654E4"/>
    <w:rsid w:val="00C65550"/>
    <w:rsid w:val="00C6556E"/>
    <w:rsid w:val="00C6557A"/>
    <w:rsid w:val="00C65602"/>
    <w:rsid w:val="00C65630"/>
    <w:rsid w:val="00C65661"/>
    <w:rsid w:val="00C6568C"/>
    <w:rsid w:val="00C656B0"/>
    <w:rsid w:val="00C656B6"/>
    <w:rsid w:val="00C65704"/>
    <w:rsid w:val="00C65705"/>
    <w:rsid w:val="00C65715"/>
    <w:rsid w:val="00C65717"/>
    <w:rsid w:val="00C6571E"/>
    <w:rsid w:val="00C65778"/>
    <w:rsid w:val="00C6578D"/>
    <w:rsid w:val="00C65790"/>
    <w:rsid w:val="00C6579A"/>
    <w:rsid w:val="00C657D7"/>
    <w:rsid w:val="00C657D8"/>
    <w:rsid w:val="00C657E2"/>
    <w:rsid w:val="00C657F6"/>
    <w:rsid w:val="00C65814"/>
    <w:rsid w:val="00C65844"/>
    <w:rsid w:val="00C65866"/>
    <w:rsid w:val="00C65894"/>
    <w:rsid w:val="00C658EF"/>
    <w:rsid w:val="00C65944"/>
    <w:rsid w:val="00C659A3"/>
    <w:rsid w:val="00C659C4"/>
    <w:rsid w:val="00C659DB"/>
    <w:rsid w:val="00C659F6"/>
    <w:rsid w:val="00C65A26"/>
    <w:rsid w:val="00C65A31"/>
    <w:rsid w:val="00C65A69"/>
    <w:rsid w:val="00C65A7B"/>
    <w:rsid w:val="00C65A97"/>
    <w:rsid w:val="00C65B0E"/>
    <w:rsid w:val="00C65B28"/>
    <w:rsid w:val="00C65B2D"/>
    <w:rsid w:val="00C65B33"/>
    <w:rsid w:val="00C65B57"/>
    <w:rsid w:val="00C65B59"/>
    <w:rsid w:val="00C65B66"/>
    <w:rsid w:val="00C65B67"/>
    <w:rsid w:val="00C65B8F"/>
    <w:rsid w:val="00C65B93"/>
    <w:rsid w:val="00C65BBF"/>
    <w:rsid w:val="00C65BC1"/>
    <w:rsid w:val="00C65BCB"/>
    <w:rsid w:val="00C65BF8"/>
    <w:rsid w:val="00C65C19"/>
    <w:rsid w:val="00C65C54"/>
    <w:rsid w:val="00C65C7C"/>
    <w:rsid w:val="00C65C84"/>
    <w:rsid w:val="00C65CD5"/>
    <w:rsid w:val="00C65CEC"/>
    <w:rsid w:val="00C65D94"/>
    <w:rsid w:val="00C65D96"/>
    <w:rsid w:val="00C65DD7"/>
    <w:rsid w:val="00C65E09"/>
    <w:rsid w:val="00C65E66"/>
    <w:rsid w:val="00C65E7A"/>
    <w:rsid w:val="00C65E7C"/>
    <w:rsid w:val="00C65E8B"/>
    <w:rsid w:val="00C65E93"/>
    <w:rsid w:val="00C65E9B"/>
    <w:rsid w:val="00C65F2B"/>
    <w:rsid w:val="00C65F2D"/>
    <w:rsid w:val="00C65F36"/>
    <w:rsid w:val="00C65F37"/>
    <w:rsid w:val="00C65F60"/>
    <w:rsid w:val="00C65F73"/>
    <w:rsid w:val="00C65F82"/>
    <w:rsid w:val="00C65F84"/>
    <w:rsid w:val="00C65FB6"/>
    <w:rsid w:val="00C65FBE"/>
    <w:rsid w:val="00C65FEE"/>
    <w:rsid w:val="00C65FFD"/>
    <w:rsid w:val="00C66003"/>
    <w:rsid w:val="00C6605D"/>
    <w:rsid w:val="00C66075"/>
    <w:rsid w:val="00C66099"/>
    <w:rsid w:val="00C660AA"/>
    <w:rsid w:val="00C660E6"/>
    <w:rsid w:val="00C66103"/>
    <w:rsid w:val="00C6610C"/>
    <w:rsid w:val="00C66138"/>
    <w:rsid w:val="00C6613E"/>
    <w:rsid w:val="00C6614A"/>
    <w:rsid w:val="00C6614F"/>
    <w:rsid w:val="00C661CD"/>
    <w:rsid w:val="00C661E5"/>
    <w:rsid w:val="00C6622E"/>
    <w:rsid w:val="00C66233"/>
    <w:rsid w:val="00C66249"/>
    <w:rsid w:val="00C66265"/>
    <w:rsid w:val="00C662A4"/>
    <w:rsid w:val="00C662C6"/>
    <w:rsid w:val="00C6635A"/>
    <w:rsid w:val="00C66371"/>
    <w:rsid w:val="00C663AA"/>
    <w:rsid w:val="00C6643D"/>
    <w:rsid w:val="00C66457"/>
    <w:rsid w:val="00C66474"/>
    <w:rsid w:val="00C66478"/>
    <w:rsid w:val="00C664F7"/>
    <w:rsid w:val="00C66507"/>
    <w:rsid w:val="00C6650C"/>
    <w:rsid w:val="00C66511"/>
    <w:rsid w:val="00C6651B"/>
    <w:rsid w:val="00C66530"/>
    <w:rsid w:val="00C66574"/>
    <w:rsid w:val="00C66584"/>
    <w:rsid w:val="00C665BA"/>
    <w:rsid w:val="00C665F3"/>
    <w:rsid w:val="00C665F4"/>
    <w:rsid w:val="00C6660D"/>
    <w:rsid w:val="00C6660E"/>
    <w:rsid w:val="00C66625"/>
    <w:rsid w:val="00C66634"/>
    <w:rsid w:val="00C6666A"/>
    <w:rsid w:val="00C66677"/>
    <w:rsid w:val="00C66696"/>
    <w:rsid w:val="00C666C3"/>
    <w:rsid w:val="00C666C9"/>
    <w:rsid w:val="00C66719"/>
    <w:rsid w:val="00C66720"/>
    <w:rsid w:val="00C6676A"/>
    <w:rsid w:val="00C6676D"/>
    <w:rsid w:val="00C6676F"/>
    <w:rsid w:val="00C667D8"/>
    <w:rsid w:val="00C66822"/>
    <w:rsid w:val="00C6686F"/>
    <w:rsid w:val="00C668E3"/>
    <w:rsid w:val="00C668E9"/>
    <w:rsid w:val="00C668ED"/>
    <w:rsid w:val="00C6692E"/>
    <w:rsid w:val="00C66957"/>
    <w:rsid w:val="00C6696D"/>
    <w:rsid w:val="00C66990"/>
    <w:rsid w:val="00C669C3"/>
    <w:rsid w:val="00C669E1"/>
    <w:rsid w:val="00C66A1D"/>
    <w:rsid w:val="00C66A2F"/>
    <w:rsid w:val="00C66A3A"/>
    <w:rsid w:val="00C66AA8"/>
    <w:rsid w:val="00C66ADE"/>
    <w:rsid w:val="00C66AF7"/>
    <w:rsid w:val="00C66B05"/>
    <w:rsid w:val="00C66B10"/>
    <w:rsid w:val="00C66B38"/>
    <w:rsid w:val="00C66B3B"/>
    <w:rsid w:val="00C66B7A"/>
    <w:rsid w:val="00C66B94"/>
    <w:rsid w:val="00C66BA1"/>
    <w:rsid w:val="00C66BC8"/>
    <w:rsid w:val="00C66BD5"/>
    <w:rsid w:val="00C66BFC"/>
    <w:rsid w:val="00C66C07"/>
    <w:rsid w:val="00C66C30"/>
    <w:rsid w:val="00C66C41"/>
    <w:rsid w:val="00C66C51"/>
    <w:rsid w:val="00C66C53"/>
    <w:rsid w:val="00C66C92"/>
    <w:rsid w:val="00C66CFF"/>
    <w:rsid w:val="00C66D34"/>
    <w:rsid w:val="00C66DB8"/>
    <w:rsid w:val="00C66DF4"/>
    <w:rsid w:val="00C66E08"/>
    <w:rsid w:val="00C66E1C"/>
    <w:rsid w:val="00C66E38"/>
    <w:rsid w:val="00C66E4D"/>
    <w:rsid w:val="00C66E77"/>
    <w:rsid w:val="00C66E86"/>
    <w:rsid w:val="00C66E88"/>
    <w:rsid w:val="00C66EAC"/>
    <w:rsid w:val="00C66EE0"/>
    <w:rsid w:val="00C66EFD"/>
    <w:rsid w:val="00C66EFF"/>
    <w:rsid w:val="00C66F25"/>
    <w:rsid w:val="00C66F5F"/>
    <w:rsid w:val="00C66F6F"/>
    <w:rsid w:val="00C66FD8"/>
    <w:rsid w:val="00C67026"/>
    <w:rsid w:val="00C6702E"/>
    <w:rsid w:val="00C67031"/>
    <w:rsid w:val="00C67054"/>
    <w:rsid w:val="00C670E5"/>
    <w:rsid w:val="00C6715A"/>
    <w:rsid w:val="00C6715B"/>
    <w:rsid w:val="00C671AA"/>
    <w:rsid w:val="00C671CC"/>
    <w:rsid w:val="00C671E3"/>
    <w:rsid w:val="00C671F8"/>
    <w:rsid w:val="00C6721A"/>
    <w:rsid w:val="00C6725E"/>
    <w:rsid w:val="00C67261"/>
    <w:rsid w:val="00C67269"/>
    <w:rsid w:val="00C67282"/>
    <w:rsid w:val="00C672A3"/>
    <w:rsid w:val="00C672BD"/>
    <w:rsid w:val="00C6737E"/>
    <w:rsid w:val="00C67389"/>
    <w:rsid w:val="00C6739A"/>
    <w:rsid w:val="00C6740A"/>
    <w:rsid w:val="00C6740E"/>
    <w:rsid w:val="00C67444"/>
    <w:rsid w:val="00C67460"/>
    <w:rsid w:val="00C67471"/>
    <w:rsid w:val="00C67492"/>
    <w:rsid w:val="00C674A6"/>
    <w:rsid w:val="00C67509"/>
    <w:rsid w:val="00C67526"/>
    <w:rsid w:val="00C67533"/>
    <w:rsid w:val="00C67546"/>
    <w:rsid w:val="00C67548"/>
    <w:rsid w:val="00C6756A"/>
    <w:rsid w:val="00C6761A"/>
    <w:rsid w:val="00C67630"/>
    <w:rsid w:val="00C676BD"/>
    <w:rsid w:val="00C676EC"/>
    <w:rsid w:val="00C6773B"/>
    <w:rsid w:val="00C67753"/>
    <w:rsid w:val="00C67757"/>
    <w:rsid w:val="00C6776D"/>
    <w:rsid w:val="00C67770"/>
    <w:rsid w:val="00C67784"/>
    <w:rsid w:val="00C677A3"/>
    <w:rsid w:val="00C677C4"/>
    <w:rsid w:val="00C6783A"/>
    <w:rsid w:val="00C6786E"/>
    <w:rsid w:val="00C678B6"/>
    <w:rsid w:val="00C678FF"/>
    <w:rsid w:val="00C67919"/>
    <w:rsid w:val="00C6793D"/>
    <w:rsid w:val="00C67950"/>
    <w:rsid w:val="00C6797B"/>
    <w:rsid w:val="00C679C7"/>
    <w:rsid w:val="00C67A0A"/>
    <w:rsid w:val="00C67A25"/>
    <w:rsid w:val="00C67A83"/>
    <w:rsid w:val="00C67A87"/>
    <w:rsid w:val="00C67A8D"/>
    <w:rsid w:val="00C67AAB"/>
    <w:rsid w:val="00C67ADB"/>
    <w:rsid w:val="00C67B23"/>
    <w:rsid w:val="00C67B3E"/>
    <w:rsid w:val="00C67BBA"/>
    <w:rsid w:val="00C67BC6"/>
    <w:rsid w:val="00C67BCE"/>
    <w:rsid w:val="00C67BF6"/>
    <w:rsid w:val="00C67C52"/>
    <w:rsid w:val="00C67C7A"/>
    <w:rsid w:val="00C67CA4"/>
    <w:rsid w:val="00C67CAB"/>
    <w:rsid w:val="00C67CBE"/>
    <w:rsid w:val="00C67CDA"/>
    <w:rsid w:val="00C67D57"/>
    <w:rsid w:val="00C67D62"/>
    <w:rsid w:val="00C67D78"/>
    <w:rsid w:val="00C67DBA"/>
    <w:rsid w:val="00C67DD0"/>
    <w:rsid w:val="00C67DDC"/>
    <w:rsid w:val="00C67DFF"/>
    <w:rsid w:val="00C67E04"/>
    <w:rsid w:val="00C67E07"/>
    <w:rsid w:val="00C67E4C"/>
    <w:rsid w:val="00C67E65"/>
    <w:rsid w:val="00C67E82"/>
    <w:rsid w:val="00C67E93"/>
    <w:rsid w:val="00C67F42"/>
    <w:rsid w:val="00C67FBC"/>
    <w:rsid w:val="00C67FDE"/>
    <w:rsid w:val="00C7005C"/>
    <w:rsid w:val="00C70060"/>
    <w:rsid w:val="00C70086"/>
    <w:rsid w:val="00C700C0"/>
    <w:rsid w:val="00C700D9"/>
    <w:rsid w:val="00C700F3"/>
    <w:rsid w:val="00C7011B"/>
    <w:rsid w:val="00C70186"/>
    <w:rsid w:val="00C70189"/>
    <w:rsid w:val="00C701DA"/>
    <w:rsid w:val="00C701F2"/>
    <w:rsid w:val="00C70220"/>
    <w:rsid w:val="00C70265"/>
    <w:rsid w:val="00C7027D"/>
    <w:rsid w:val="00C7028F"/>
    <w:rsid w:val="00C702D7"/>
    <w:rsid w:val="00C702DD"/>
    <w:rsid w:val="00C70367"/>
    <w:rsid w:val="00C703B7"/>
    <w:rsid w:val="00C703C9"/>
    <w:rsid w:val="00C703E9"/>
    <w:rsid w:val="00C7040E"/>
    <w:rsid w:val="00C70416"/>
    <w:rsid w:val="00C70449"/>
    <w:rsid w:val="00C7047A"/>
    <w:rsid w:val="00C704A4"/>
    <w:rsid w:val="00C704CC"/>
    <w:rsid w:val="00C704CF"/>
    <w:rsid w:val="00C704EF"/>
    <w:rsid w:val="00C70518"/>
    <w:rsid w:val="00C70535"/>
    <w:rsid w:val="00C705AA"/>
    <w:rsid w:val="00C705AB"/>
    <w:rsid w:val="00C705D5"/>
    <w:rsid w:val="00C70617"/>
    <w:rsid w:val="00C70620"/>
    <w:rsid w:val="00C7062E"/>
    <w:rsid w:val="00C7065D"/>
    <w:rsid w:val="00C7069E"/>
    <w:rsid w:val="00C70706"/>
    <w:rsid w:val="00C70730"/>
    <w:rsid w:val="00C70740"/>
    <w:rsid w:val="00C70743"/>
    <w:rsid w:val="00C70749"/>
    <w:rsid w:val="00C7077B"/>
    <w:rsid w:val="00C707AD"/>
    <w:rsid w:val="00C707F7"/>
    <w:rsid w:val="00C707FB"/>
    <w:rsid w:val="00C70814"/>
    <w:rsid w:val="00C70824"/>
    <w:rsid w:val="00C70826"/>
    <w:rsid w:val="00C70828"/>
    <w:rsid w:val="00C7084A"/>
    <w:rsid w:val="00C70858"/>
    <w:rsid w:val="00C7085C"/>
    <w:rsid w:val="00C7089E"/>
    <w:rsid w:val="00C708A0"/>
    <w:rsid w:val="00C708A2"/>
    <w:rsid w:val="00C70906"/>
    <w:rsid w:val="00C70923"/>
    <w:rsid w:val="00C70963"/>
    <w:rsid w:val="00C70995"/>
    <w:rsid w:val="00C7099E"/>
    <w:rsid w:val="00C709A4"/>
    <w:rsid w:val="00C709D4"/>
    <w:rsid w:val="00C70A09"/>
    <w:rsid w:val="00C70A2A"/>
    <w:rsid w:val="00C70A3F"/>
    <w:rsid w:val="00C70A8E"/>
    <w:rsid w:val="00C70AB2"/>
    <w:rsid w:val="00C70ACC"/>
    <w:rsid w:val="00C70AD4"/>
    <w:rsid w:val="00C70AE8"/>
    <w:rsid w:val="00C70B2B"/>
    <w:rsid w:val="00C70B47"/>
    <w:rsid w:val="00C70B66"/>
    <w:rsid w:val="00C70B6D"/>
    <w:rsid w:val="00C70BB7"/>
    <w:rsid w:val="00C70BB8"/>
    <w:rsid w:val="00C70BE6"/>
    <w:rsid w:val="00C70C06"/>
    <w:rsid w:val="00C70C22"/>
    <w:rsid w:val="00C70C79"/>
    <w:rsid w:val="00C70CAC"/>
    <w:rsid w:val="00C70CF4"/>
    <w:rsid w:val="00C70D18"/>
    <w:rsid w:val="00C70D30"/>
    <w:rsid w:val="00C70D3F"/>
    <w:rsid w:val="00C70D66"/>
    <w:rsid w:val="00C70D9C"/>
    <w:rsid w:val="00C70DA0"/>
    <w:rsid w:val="00C70DCF"/>
    <w:rsid w:val="00C70E00"/>
    <w:rsid w:val="00C70E03"/>
    <w:rsid w:val="00C70E1D"/>
    <w:rsid w:val="00C70E30"/>
    <w:rsid w:val="00C70E43"/>
    <w:rsid w:val="00C70E5F"/>
    <w:rsid w:val="00C70EBF"/>
    <w:rsid w:val="00C70ED0"/>
    <w:rsid w:val="00C70ED4"/>
    <w:rsid w:val="00C70F29"/>
    <w:rsid w:val="00C70F2F"/>
    <w:rsid w:val="00C70F3A"/>
    <w:rsid w:val="00C70F76"/>
    <w:rsid w:val="00C70F7C"/>
    <w:rsid w:val="00C70FB6"/>
    <w:rsid w:val="00C70FD8"/>
    <w:rsid w:val="00C70FF2"/>
    <w:rsid w:val="00C71010"/>
    <w:rsid w:val="00C71051"/>
    <w:rsid w:val="00C71088"/>
    <w:rsid w:val="00C7116F"/>
    <w:rsid w:val="00C71197"/>
    <w:rsid w:val="00C7123C"/>
    <w:rsid w:val="00C712AE"/>
    <w:rsid w:val="00C712D3"/>
    <w:rsid w:val="00C712D5"/>
    <w:rsid w:val="00C712E1"/>
    <w:rsid w:val="00C71300"/>
    <w:rsid w:val="00C71353"/>
    <w:rsid w:val="00C71356"/>
    <w:rsid w:val="00C7136D"/>
    <w:rsid w:val="00C71376"/>
    <w:rsid w:val="00C713FF"/>
    <w:rsid w:val="00C71405"/>
    <w:rsid w:val="00C71418"/>
    <w:rsid w:val="00C7142B"/>
    <w:rsid w:val="00C71471"/>
    <w:rsid w:val="00C71490"/>
    <w:rsid w:val="00C714DF"/>
    <w:rsid w:val="00C714E4"/>
    <w:rsid w:val="00C7151F"/>
    <w:rsid w:val="00C7156A"/>
    <w:rsid w:val="00C71586"/>
    <w:rsid w:val="00C715B1"/>
    <w:rsid w:val="00C715BD"/>
    <w:rsid w:val="00C7160B"/>
    <w:rsid w:val="00C7164C"/>
    <w:rsid w:val="00C71670"/>
    <w:rsid w:val="00C716E1"/>
    <w:rsid w:val="00C71748"/>
    <w:rsid w:val="00C717B4"/>
    <w:rsid w:val="00C71828"/>
    <w:rsid w:val="00C7182A"/>
    <w:rsid w:val="00C7187A"/>
    <w:rsid w:val="00C7189E"/>
    <w:rsid w:val="00C718D4"/>
    <w:rsid w:val="00C718EE"/>
    <w:rsid w:val="00C71933"/>
    <w:rsid w:val="00C71983"/>
    <w:rsid w:val="00C719AB"/>
    <w:rsid w:val="00C719D0"/>
    <w:rsid w:val="00C719FE"/>
    <w:rsid w:val="00C71A06"/>
    <w:rsid w:val="00C71A19"/>
    <w:rsid w:val="00C71A41"/>
    <w:rsid w:val="00C71A64"/>
    <w:rsid w:val="00C71A75"/>
    <w:rsid w:val="00C71A90"/>
    <w:rsid w:val="00C71ABD"/>
    <w:rsid w:val="00C71AE2"/>
    <w:rsid w:val="00C71AF2"/>
    <w:rsid w:val="00C71B4B"/>
    <w:rsid w:val="00C71B90"/>
    <w:rsid w:val="00C71B9C"/>
    <w:rsid w:val="00C71C27"/>
    <w:rsid w:val="00C71C4A"/>
    <w:rsid w:val="00C71C4F"/>
    <w:rsid w:val="00C71C75"/>
    <w:rsid w:val="00C71C8B"/>
    <w:rsid w:val="00C71D17"/>
    <w:rsid w:val="00C71D3A"/>
    <w:rsid w:val="00C71D4D"/>
    <w:rsid w:val="00C71D86"/>
    <w:rsid w:val="00C71D88"/>
    <w:rsid w:val="00C71D9A"/>
    <w:rsid w:val="00C71D9F"/>
    <w:rsid w:val="00C71DB8"/>
    <w:rsid w:val="00C71E68"/>
    <w:rsid w:val="00C71E8A"/>
    <w:rsid w:val="00C71F03"/>
    <w:rsid w:val="00C71F0A"/>
    <w:rsid w:val="00C71F26"/>
    <w:rsid w:val="00C71F86"/>
    <w:rsid w:val="00C71F9B"/>
    <w:rsid w:val="00C71FAD"/>
    <w:rsid w:val="00C71FB3"/>
    <w:rsid w:val="00C71FE4"/>
    <w:rsid w:val="00C7201C"/>
    <w:rsid w:val="00C72024"/>
    <w:rsid w:val="00C7202F"/>
    <w:rsid w:val="00C72044"/>
    <w:rsid w:val="00C7205D"/>
    <w:rsid w:val="00C72081"/>
    <w:rsid w:val="00C720F8"/>
    <w:rsid w:val="00C720FC"/>
    <w:rsid w:val="00C72104"/>
    <w:rsid w:val="00C72123"/>
    <w:rsid w:val="00C72161"/>
    <w:rsid w:val="00C7218C"/>
    <w:rsid w:val="00C721AF"/>
    <w:rsid w:val="00C721D2"/>
    <w:rsid w:val="00C72258"/>
    <w:rsid w:val="00C72278"/>
    <w:rsid w:val="00C72285"/>
    <w:rsid w:val="00C72287"/>
    <w:rsid w:val="00C722A7"/>
    <w:rsid w:val="00C72300"/>
    <w:rsid w:val="00C72377"/>
    <w:rsid w:val="00C723CB"/>
    <w:rsid w:val="00C72413"/>
    <w:rsid w:val="00C7241B"/>
    <w:rsid w:val="00C72421"/>
    <w:rsid w:val="00C72438"/>
    <w:rsid w:val="00C7243D"/>
    <w:rsid w:val="00C72453"/>
    <w:rsid w:val="00C72497"/>
    <w:rsid w:val="00C72499"/>
    <w:rsid w:val="00C724A5"/>
    <w:rsid w:val="00C724B0"/>
    <w:rsid w:val="00C7251C"/>
    <w:rsid w:val="00C7252B"/>
    <w:rsid w:val="00C72557"/>
    <w:rsid w:val="00C7260A"/>
    <w:rsid w:val="00C72610"/>
    <w:rsid w:val="00C72651"/>
    <w:rsid w:val="00C7265F"/>
    <w:rsid w:val="00C72697"/>
    <w:rsid w:val="00C726B8"/>
    <w:rsid w:val="00C726D5"/>
    <w:rsid w:val="00C7271B"/>
    <w:rsid w:val="00C72752"/>
    <w:rsid w:val="00C7277F"/>
    <w:rsid w:val="00C727C5"/>
    <w:rsid w:val="00C727E7"/>
    <w:rsid w:val="00C727F5"/>
    <w:rsid w:val="00C7281E"/>
    <w:rsid w:val="00C7284E"/>
    <w:rsid w:val="00C728F4"/>
    <w:rsid w:val="00C72908"/>
    <w:rsid w:val="00C7290C"/>
    <w:rsid w:val="00C72920"/>
    <w:rsid w:val="00C72932"/>
    <w:rsid w:val="00C729D9"/>
    <w:rsid w:val="00C72A16"/>
    <w:rsid w:val="00C72A2E"/>
    <w:rsid w:val="00C72A9E"/>
    <w:rsid w:val="00C72B05"/>
    <w:rsid w:val="00C72B2E"/>
    <w:rsid w:val="00C72B6A"/>
    <w:rsid w:val="00C72B92"/>
    <w:rsid w:val="00C72BB6"/>
    <w:rsid w:val="00C72BE3"/>
    <w:rsid w:val="00C72BE7"/>
    <w:rsid w:val="00C72C1B"/>
    <w:rsid w:val="00C72CA3"/>
    <w:rsid w:val="00C72CCA"/>
    <w:rsid w:val="00C72D57"/>
    <w:rsid w:val="00C72D5E"/>
    <w:rsid w:val="00C72DA0"/>
    <w:rsid w:val="00C72DA1"/>
    <w:rsid w:val="00C72DCC"/>
    <w:rsid w:val="00C72DDF"/>
    <w:rsid w:val="00C72E15"/>
    <w:rsid w:val="00C72E7D"/>
    <w:rsid w:val="00C72E85"/>
    <w:rsid w:val="00C72ED5"/>
    <w:rsid w:val="00C72EF3"/>
    <w:rsid w:val="00C72EF6"/>
    <w:rsid w:val="00C72F1F"/>
    <w:rsid w:val="00C72F23"/>
    <w:rsid w:val="00C72F2A"/>
    <w:rsid w:val="00C72F31"/>
    <w:rsid w:val="00C72F36"/>
    <w:rsid w:val="00C72F5F"/>
    <w:rsid w:val="00C72FD0"/>
    <w:rsid w:val="00C72FEE"/>
    <w:rsid w:val="00C73028"/>
    <w:rsid w:val="00C7302F"/>
    <w:rsid w:val="00C7304A"/>
    <w:rsid w:val="00C7304C"/>
    <w:rsid w:val="00C73091"/>
    <w:rsid w:val="00C73124"/>
    <w:rsid w:val="00C7312B"/>
    <w:rsid w:val="00C731C6"/>
    <w:rsid w:val="00C731FD"/>
    <w:rsid w:val="00C73214"/>
    <w:rsid w:val="00C73245"/>
    <w:rsid w:val="00C732B8"/>
    <w:rsid w:val="00C73419"/>
    <w:rsid w:val="00C7342D"/>
    <w:rsid w:val="00C7345A"/>
    <w:rsid w:val="00C73475"/>
    <w:rsid w:val="00C73478"/>
    <w:rsid w:val="00C73496"/>
    <w:rsid w:val="00C734CB"/>
    <w:rsid w:val="00C734E1"/>
    <w:rsid w:val="00C734EC"/>
    <w:rsid w:val="00C734F1"/>
    <w:rsid w:val="00C7351E"/>
    <w:rsid w:val="00C7356C"/>
    <w:rsid w:val="00C73605"/>
    <w:rsid w:val="00C73611"/>
    <w:rsid w:val="00C73641"/>
    <w:rsid w:val="00C73691"/>
    <w:rsid w:val="00C73697"/>
    <w:rsid w:val="00C736B8"/>
    <w:rsid w:val="00C736FA"/>
    <w:rsid w:val="00C73702"/>
    <w:rsid w:val="00C73731"/>
    <w:rsid w:val="00C73786"/>
    <w:rsid w:val="00C737A0"/>
    <w:rsid w:val="00C737BD"/>
    <w:rsid w:val="00C737E8"/>
    <w:rsid w:val="00C737F4"/>
    <w:rsid w:val="00C73807"/>
    <w:rsid w:val="00C7381B"/>
    <w:rsid w:val="00C73832"/>
    <w:rsid w:val="00C73833"/>
    <w:rsid w:val="00C73839"/>
    <w:rsid w:val="00C7384D"/>
    <w:rsid w:val="00C7386F"/>
    <w:rsid w:val="00C7387A"/>
    <w:rsid w:val="00C738B3"/>
    <w:rsid w:val="00C738B4"/>
    <w:rsid w:val="00C738B6"/>
    <w:rsid w:val="00C738F2"/>
    <w:rsid w:val="00C73920"/>
    <w:rsid w:val="00C73939"/>
    <w:rsid w:val="00C73952"/>
    <w:rsid w:val="00C73987"/>
    <w:rsid w:val="00C73992"/>
    <w:rsid w:val="00C739D0"/>
    <w:rsid w:val="00C739F5"/>
    <w:rsid w:val="00C739FA"/>
    <w:rsid w:val="00C739FC"/>
    <w:rsid w:val="00C73A2F"/>
    <w:rsid w:val="00C73A30"/>
    <w:rsid w:val="00C73A35"/>
    <w:rsid w:val="00C73A5A"/>
    <w:rsid w:val="00C73A60"/>
    <w:rsid w:val="00C73A9A"/>
    <w:rsid w:val="00C73AB1"/>
    <w:rsid w:val="00C73AB6"/>
    <w:rsid w:val="00C73AB8"/>
    <w:rsid w:val="00C73B15"/>
    <w:rsid w:val="00C73B32"/>
    <w:rsid w:val="00C73B69"/>
    <w:rsid w:val="00C73B73"/>
    <w:rsid w:val="00C73B75"/>
    <w:rsid w:val="00C73BE3"/>
    <w:rsid w:val="00C73C33"/>
    <w:rsid w:val="00C73C3F"/>
    <w:rsid w:val="00C73C4B"/>
    <w:rsid w:val="00C73C52"/>
    <w:rsid w:val="00C73C80"/>
    <w:rsid w:val="00C73C9A"/>
    <w:rsid w:val="00C73CA9"/>
    <w:rsid w:val="00C73CC7"/>
    <w:rsid w:val="00C73CDA"/>
    <w:rsid w:val="00C73CE6"/>
    <w:rsid w:val="00C73CFE"/>
    <w:rsid w:val="00C73D70"/>
    <w:rsid w:val="00C73D7E"/>
    <w:rsid w:val="00C73DA4"/>
    <w:rsid w:val="00C73DC6"/>
    <w:rsid w:val="00C73DD1"/>
    <w:rsid w:val="00C73DF5"/>
    <w:rsid w:val="00C73E22"/>
    <w:rsid w:val="00C73E2C"/>
    <w:rsid w:val="00C73E41"/>
    <w:rsid w:val="00C73E56"/>
    <w:rsid w:val="00C73E70"/>
    <w:rsid w:val="00C73E73"/>
    <w:rsid w:val="00C73EB8"/>
    <w:rsid w:val="00C73ECA"/>
    <w:rsid w:val="00C73ED4"/>
    <w:rsid w:val="00C73F17"/>
    <w:rsid w:val="00C73F20"/>
    <w:rsid w:val="00C73F77"/>
    <w:rsid w:val="00C73FAD"/>
    <w:rsid w:val="00C73FC4"/>
    <w:rsid w:val="00C7402B"/>
    <w:rsid w:val="00C740B2"/>
    <w:rsid w:val="00C740C4"/>
    <w:rsid w:val="00C74100"/>
    <w:rsid w:val="00C74103"/>
    <w:rsid w:val="00C74117"/>
    <w:rsid w:val="00C74165"/>
    <w:rsid w:val="00C7417F"/>
    <w:rsid w:val="00C741A3"/>
    <w:rsid w:val="00C741AE"/>
    <w:rsid w:val="00C741BD"/>
    <w:rsid w:val="00C741F6"/>
    <w:rsid w:val="00C74202"/>
    <w:rsid w:val="00C742D3"/>
    <w:rsid w:val="00C742E2"/>
    <w:rsid w:val="00C742E6"/>
    <w:rsid w:val="00C74301"/>
    <w:rsid w:val="00C7434B"/>
    <w:rsid w:val="00C7436A"/>
    <w:rsid w:val="00C74379"/>
    <w:rsid w:val="00C743A9"/>
    <w:rsid w:val="00C743C2"/>
    <w:rsid w:val="00C743C5"/>
    <w:rsid w:val="00C7449D"/>
    <w:rsid w:val="00C74549"/>
    <w:rsid w:val="00C7454E"/>
    <w:rsid w:val="00C74550"/>
    <w:rsid w:val="00C74557"/>
    <w:rsid w:val="00C7457C"/>
    <w:rsid w:val="00C745F6"/>
    <w:rsid w:val="00C74613"/>
    <w:rsid w:val="00C74628"/>
    <w:rsid w:val="00C74636"/>
    <w:rsid w:val="00C7464C"/>
    <w:rsid w:val="00C74650"/>
    <w:rsid w:val="00C74709"/>
    <w:rsid w:val="00C7471D"/>
    <w:rsid w:val="00C7471E"/>
    <w:rsid w:val="00C74721"/>
    <w:rsid w:val="00C7475F"/>
    <w:rsid w:val="00C74797"/>
    <w:rsid w:val="00C747A9"/>
    <w:rsid w:val="00C747AB"/>
    <w:rsid w:val="00C747B1"/>
    <w:rsid w:val="00C747C0"/>
    <w:rsid w:val="00C7481F"/>
    <w:rsid w:val="00C7482C"/>
    <w:rsid w:val="00C7484D"/>
    <w:rsid w:val="00C74860"/>
    <w:rsid w:val="00C74875"/>
    <w:rsid w:val="00C7488D"/>
    <w:rsid w:val="00C748A5"/>
    <w:rsid w:val="00C748C8"/>
    <w:rsid w:val="00C74942"/>
    <w:rsid w:val="00C74964"/>
    <w:rsid w:val="00C74996"/>
    <w:rsid w:val="00C74998"/>
    <w:rsid w:val="00C749BD"/>
    <w:rsid w:val="00C749CC"/>
    <w:rsid w:val="00C74A02"/>
    <w:rsid w:val="00C74A26"/>
    <w:rsid w:val="00C74A2C"/>
    <w:rsid w:val="00C74A3C"/>
    <w:rsid w:val="00C74A89"/>
    <w:rsid w:val="00C74AB9"/>
    <w:rsid w:val="00C74AD9"/>
    <w:rsid w:val="00C74AF2"/>
    <w:rsid w:val="00C74AFA"/>
    <w:rsid w:val="00C74B71"/>
    <w:rsid w:val="00C74B80"/>
    <w:rsid w:val="00C74B83"/>
    <w:rsid w:val="00C74BC5"/>
    <w:rsid w:val="00C74BC8"/>
    <w:rsid w:val="00C74BEF"/>
    <w:rsid w:val="00C74C2D"/>
    <w:rsid w:val="00C74C4C"/>
    <w:rsid w:val="00C74C77"/>
    <w:rsid w:val="00C74CA8"/>
    <w:rsid w:val="00C74CE0"/>
    <w:rsid w:val="00C74CEC"/>
    <w:rsid w:val="00C74D46"/>
    <w:rsid w:val="00C74D53"/>
    <w:rsid w:val="00C74D89"/>
    <w:rsid w:val="00C74D9F"/>
    <w:rsid w:val="00C74DCC"/>
    <w:rsid w:val="00C74DDA"/>
    <w:rsid w:val="00C74DE1"/>
    <w:rsid w:val="00C74DF7"/>
    <w:rsid w:val="00C74E42"/>
    <w:rsid w:val="00C74EB1"/>
    <w:rsid w:val="00C74EB7"/>
    <w:rsid w:val="00C74F18"/>
    <w:rsid w:val="00C74F6C"/>
    <w:rsid w:val="00C74F79"/>
    <w:rsid w:val="00C74F88"/>
    <w:rsid w:val="00C74FB9"/>
    <w:rsid w:val="00C74FC4"/>
    <w:rsid w:val="00C74FF3"/>
    <w:rsid w:val="00C74FFC"/>
    <w:rsid w:val="00C7501E"/>
    <w:rsid w:val="00C750B4"/>
    <w:rsid w:val="00C75151"/>
    <w:rsid w:val="00C7519D"/>
    <w:rsid w:val="00C75211"/>
    <w:rsid w:val="00C7523A"/>
    <w:rsid w:val="00C75272"/>
    <w:rsid w:val="00C7528B"/>
    <w:rsid w:val="00C752A0"/>
    <w:rsid w:val="00C752A2"/>
    <w:rsid w:val="00C752DD"/>
    <w:rsid w:val="00C7531F"/>
    <w:rsid w:val="00C75336"/>
    <w:rsid w:val="00C75357"/>
    <w:rsid w:val="00C7535B"/>
    <w:rsid w:val="00C7536E"/>
    <w:rsid w:val="00C7536F"/>
    <w:rsid w:val="00C753BB"/>
    <w:rsid w:val="00C753E7"/>
    <w:rsid w:val="00C7541B"/>
    <w:rsid w:val="00C7549B"/>
    <w:rsid w:val="00C754A8"/>
    <w:rsid w:val="00C754AD"/>
    <w:rsid w:val="00C754AE"/>
    <w:rsid w:val="00C754DA"/>
    <w:rsid w:val="00C75540"/>
    <w:rsid w:val="00C75546"/>
    <w:rsid w:val="00C7556F"/>
    <w:rsid w:val="00C75596"/>
    <w:rsid w:val="00C756A4"/>
    <w:rsid w:val="00C756B2"/>
    <w:rsid w:val="00C756D0"/>
    <w:rsid w:val="00C756D5"/>
    <w:rsid w:val="00C756E5"/>
    <w:rsid w:val="00C75714"/>
    <w:rsid w:val="00C7573B"/>
    <w:rsid w:val="00C75781"/>
    <w:rsid w:val="00C75798"/>
    <w:rsid w:val="00C757CB"/>
    <w:rsid w:val="00C7588F"/>
    <w:rsid w:val="00C758BD"/>
    <w:rsid w:val="00C758FA"/>
    <w:rsid w:val="00C75921"/>
    <w:rsid w:val="00C7595C"/>
    <w:rsid w:val="00C75970"/>
    <w:rsid w:val="00C759B1"/>
    <w:rsid w:val="00C759BC"/>
    <w:rsid w:val="00C759E5"/>
    <w:rsid w:val="00C759F7"/>
    <w:rsid w:val="00C75A10"/>
    <w:rsid w:val="00C75A2E"/>
    <w:rsid w:val="00C75A73"/>
    <w:rsid w:val="00C75A76"/>
    <w:rsid w:val="00C75A8B"/>
    <w:rsid w:val="00C75B0A"/>
    <w:rsid w:val="00C75B1F"/>
    <w:rsid w:val="00C75B22"/>
    <w:rsid w:val="00C75C1A"/>
    <w:rsid w:val="00C75C29"/>
    <w:rsid w:val="00C75CA8"/>
    <w:rsid w:val="00C75CE1"/>
    <w:rsid w:val="00C75D11"/>
    <w:rsid w:val="00C75D1C"/>
    <w:rsid w:val="00C75D8D"/>
    <w:rsid w:val="00C75DBB"/>
    <w:rsid w:val="00C75DBE"/>
    <w:rsid w:val="00C75DE0"/>
    <w:rsid w:val="00C75DE3"/>
    <w:rsid w:val="00C75E2E"/>
    <w:rsid w:val="00C75E5A"/>
    <w:rsid w:val="00C75E67"/>
    <w:rsid w:val="00C75E69"/>
    <w:rsid w:val="00C75EED"/>
    <w:rsid w:val="00C75F30"/>
    <w:rsid w:val="00C75F93"/>
    <w:rsid w:val="00C75F94"/>
    <w:rsid w:val="00C75FA7"/>
    <w:rsid w:val="00C75FBF"/>
    <w:rsid w:val="00C75FCE"/>
    <w:rsid w:val="00C75FFC"/>
    <w:rsid w:val="00C76026"/>
    <w:rsid w:val="00C76054"/>
    <w:rsid w:val="00C76069"/>
    <w:rsid w:val="00C7607F"/>
    <w:rsid w:val="00C760C3"/>
    <w:rsid w:val="00C760C6"/>
    <w:rsid w:val="00C760EF"/>
    <w:rsid w:val="00C76107"/>
    <w:rsid w:val="00C7612F"/>
    <w:rsid w:val="00C76167"/>
    <w:rsid w:val="00C76175"/>
    <w:rsid w:val="00C7617D"/>
    <w:rsid w:val="00C76193"/>
    <w:rsid w:val="00C761BE"/>
    <w:rsid w:val="00C76207"/>
    <w:rsid w:val="00C76234"/>
    <w:rsid w:val="00C7623C"/>
    <w:rsid w:val="00C7623E"/>
    <w:rsid w:val="00C76240"/>
    <w:rsid w:val="00C76278"/>
    <w:rsid w:val="00C7628E"/>
    <w:rsid w:val="00C76296"/>
    <w:rsid w:val="00C7629D"/>
    <w:rsid w:val="00C762B8"/>
    <w:rsid w:val="00C762BB"/>
    <w:rsid w:val="00C76305"/>
    <w:rsid w:val="00C76332"/>
    <w:rsid w:val="00C76334"/>
    <w:rsid w:val="00C76335"/>
    <w:rsid w:val="00C7635D"/>
    <w:rsid w:val="00C76399"/>
    <w:rsid w:val="00C763DE"/>
    <w:rsid w:val="00C763FC"/>
    <w:rsid w:val="00C76412"/>
    <w:rsid w:val="00C76476"/>
    <w:rsid w:val="00C764AC"/>
    <w:rsid w:val="00C764EB"/>
    <w:rsid w:val="00C76555"/>
    <w:rsid w:val="00C7659A"/>
    <w:rsid w:val="00C765AA"/>
    <w:rsid w:val="00C765AF"/>
    <w:rsid w:val="00C765B8"/>
    <w:rsid w:val="00C765DD"/>
    <w:rsid w:val="00C7664F"/>
    <w:rsid w:val="00C76657"/>
    <w:rsid w:val="00C7665D"/>
    <w:rsid w:val="00C76680"/>
    <w:rsid w:val="00C766AE"/>
    <w:rsid w:val="00C766B5"/>
    <w:rsid w:val="00C766BE"/>
    <w:rsid w:val="00C766CE"/>
    <w:rsid w:val="00C766E7"/>
    <w:rsid w:val="00C766EF"/>
    <w:rsid w:val="00C766F8"/>
    <w:rsid w:val="00C76712"/>
    <w:rsid w:val="00C76720"/>
    <w:rsid w:val="00C76740"/>
    <w:rsid w:val="00C76762"/>
    <w:rsid w:val="00C7676F"/>
    <w:rsid w:val="00C76794"/>
    <w:rsid w:val="00C767AB"/>
    <w:rsid w:val="00C767B5"/>
    <w:rsid w:val="00C767C5"/>
    <w:rsid w:val="00C767E2"/>
    <w:rsid w:val="00C7681A"/>
    <w:rsid w:val="00C76857"/>
    <w:rsid w:val="00C7685B"/>
    <w:rsid w:val="00C768CE"/>
    <w:rsid w:val="00C7691C"/>
    <w:rsid w:val="00C7693E"/>
    <w:rsid w:val="00C76947"/>
    <w:rsid w:val="00C7697E"/>
    <w:rsid w:val="00C76986"/>
    <w:rsid w:val="00C76A05"/>
    <w:rsid w:val="00C76A32"/>
    <w:rsid w:val="00C76A84"/>
    <w:rsid w:val="00C76A85"/>
    <w:rsid w:val="00C76AA0"/>
    <w:rsid w:val="00C76AA3"/>
    <w:rsid w:val="00C76ACB"/>
    <w:rsid w:val="00C76B60"/>
    <w:rsid w:val="00C76BAB"/>
    <w:rsid w:val="00C76BBC"/>
    <w:rsid w:val="00C76BC1"/>
    <w:rsid w:val="00C76C0C"/>
    <w:rsid w:val="00C76C0F"/>
    <w:rsid w:val="00C76C17"/>
    <w:rsid w:val="00C76C28"/>
    <w:rsid w:val="00C76C44"/>
    <w:rsid w:val="00C76D66"/>
    <w:rsid w:val="00C76D98"/>
    <w:rsid w:val="00C76DD5"/>
    <w:rsid w:val="00C76DDA"/>
    <w:rsid w:val="00C76DDB"/>
    <w:rsid w:val="00C76E06"/>
    <w:rsid w:val="00C76E1D"/>
    <w:rsid w:val="00C76E24"/>
    <w:rsid w:val="00C76E46"/>
    <w:rsid w:val="00C76F12"/>
    <w:rsid w:val="00C76F3E"/>
    <w:rsid w:val="00C76F43"/>
    <w:rsid w:val="00C76F4A"/>
    <w:rsid w:val="00C76F60"/>
    <w:rsid w:val="00C76F7D"/>
    <w:rsid w:val="00C76F9F"/>
    <w:rsid w:val="00C76FEF"/>
    <w:rsid w:val="00C76FF8"/>
    <w:rsid w:val="00C77010"/>
    <w:rsid w:val="00C7701A"/>
    <w:rsid w:val="00C77045"/>
    <w:rsid w:val="00C7706B"/>
    <w:rsid w:val="00C77075"/>
    <w:rsid w:val="00C7708A"/>
    <w:rsid w:val="00C770A2"/>
    <w:rsid w:val="00C770D9"/>
    <w:rsid w:val="00C770F9"/>
    <w:rsid w:val="00C77131"/>
    <w:rsid w:val="00C7715D"/>
    <w:rsid w:val="00C77171"/>
    <w:rsid w:val="00C77198"/>
    <w:rsid w:val="00C771FC"/>
    <w:rsid w:val="00C7720B"/>
    <w:rsid w:val="00C77225"/>
    <w:rsid w:val="00C77230"/>
    <w:rsid w:val="00C7724C"/>
    <w:rsid w:val="00C7724E"/>
    <w:rsid w:val="00C7727E"/>
    <w:rsid w:val="00C772DA"/>
    <w:rsid w:val="00C772DD"/>
    <w:rsid w:val="00C772F1"/>
    <w:rsid w:val="00C772FF"/>
    <w:rsid w:val="00C77342"/>
    <w:rsid w:val="00C7736F"/>
    <w:rsid w:val="00C7739F"/>
    <w:rsid w:val="00C773B0"/>
    <w:rsid w:val="00C773D6"/>
    <w:rsid w:val="00C773FC"/>
    <w:rsid w:val="00C7742B"/>
    <w:rsid w:val="00C7744D"/>
    <w:rsid w:val="00C77470"/>
    <w:rsid w:val="00C7748A"/>
    <w:rsid w:val="00C7748C"/>
    <w:rsid w:val="00C774B2"/>
    <w:rsid w:val="00C774B7"/>
    <w:rsid w:val="00C774BD"/>
    <w:rsid w:val="00C77507"/>
    <w:rsid w:val="00C77533"/>
    <w:rsid w:val="00C77541"/>
    <w:rsid w:val="00C7754E"/>
    <w:rsid w:val="00C7755A"/>
    <w:rsid w:val="00C7755E"/>
    <w:rsid w:val="00C77589"/>
    <w:rsid w:val="00C775FC"/>
    <w:rsid w:val="00C7762D"/>
    <w:rsid w:val="00C7763A"/>
    <w:rsid w:val="00C77649"/>
    <w:rsid w:val="00C77650"/>
    <w:rsid w:val="00C776DF"/>
    <w:rsid w:val="00C776F0"/>
    <w:rsid w:val="00C776FA"/>
    <w:rsid w:val="00C7772A"/>
    <w:rsid w:val="00C77776"/>
    <w:rsid w:val="00C7777E"/>
    <w:rsid w:val="00C7779E"/>
    <w:rsid w:val="00C77803"/>
    <w:rsid w:val="00C7780B"/>
    <w:rsid w:val="00C7783E"/>
    <w:rsid w:val="00C77875"/>
    <w:rsid w:val="00C778A6"/>
    <w:rsid w:val="00C778D0"/>
    <w:rsid w:val="00C778D5"/>
    <w:rsid w:val="00C778E0"/>
    <w:rsid w:val="00C778F4"/>
    <w:rsid w:val="00C77931"/>
    <w:rsid w:val="00C77945"/>
    <w:rsid w:val="00C77992"/>
    <w:rsid w:val="00C779A0"/>
    <w:rsid w:val="00C779A5"/>
    <w:rsid w:val="00C779CD"/>
    <w:rsid w:val="00C779E9"/>
    <w:rsid w:val="00C779F0"/>
    <w:rsid w:val="00C77A26"/>
    <w:rsid w:val="00C77A27"/>
    <w:rsid w:val="00C77A57"/>
    <w:rsid w:val="00C77A62"/>
    <w:rsid w:val="00C77A75"/>
    <w:rsid w:val="00C77A89"/>
    <w:rsid w:val="00C77A92"/>
    <w:rsid w:val="00C77AA2"/>
    <w:rsid w:val="00C77AC7"/>
    <w:rsid w:val="00C77AF1"/>
    <w:rsid w:val="00C77AFD"/>
    <w:rsid w:val="00C77B07"/>
    <w:rsid w:val="00C77B65"/>
    <w:rsid w:val="00C77B69"/>
    <w:rsid w:val="00C77BDA"/>
    <w:rsid w:val="00C77C15"/>
    <w:rsid w:val="00C77C3A"/>
    <w:rsid w:val="00C77C54"/>
    <w:rsid w:val="00C77CC8"/>
    <w:rsid w:val="00C77CF9"/>
    <w:rsid w:val="00C77CFA"/>
    <w:rsid w:val="00C77D1F"/>
    <w:rsid w:val="00C77D32"/>
    <w:rsid w:val="00C77D64"/>
    <w:rsid w:val="00C77D8E"/>
    <w:rsid w:val="00C77D93"/>
    <w:rsid w:val="00C77DB9"/>
    <w:rsid w:val="00C77DF7"/>
    <w:rsid w:val="00C77E09"/>
    <w:rsid w:val="00C77E14"/>
    <w:rsid w:val="00C77E95"/>
    <w:rsid w:val="00C77ED0"/>
    <w:rsid w:val="00C77EE9"/>
    <w:rsid w:val="00C77F0D"/>
    <w:rsid w:val="00C77F3D"/>
    <w:rsid w:val="00C77F84"/>
    <w:rsid w:val="00C77FB2"/>
    <w:rsid w:val="00C77FC8"/>
    <w:rsid w:val="00C77FDC"/>
    <w:rsid w:val="00C77FE8"/>
    <w:rsid w:val="00C77FFE"/>
    <w:rsid w:val="00C8000D"/>
    <w:rsid w:val="00C8000F"/>
    <w:rsid w:val="00C8004D"/>
    <w:rsid w:val="00C80051"/>
    <w:rsid w:val="00C80070"/>
    <w:rsid w:val="00C80073"/>
    <w:rsid w:val="00C8007B"/>
    <w:rsid w:val="00C800ED"/>
    <w:rsid w:val="00C80127"/>
    <w:rsid w:val="00C8012C"/>
    <w:rsid w:val="00C80130"/>
    <w:rsid w:val="00C80131"/>
    <w:rsid w:val="00C80137"/>
    <w:rsid w:val="00C8013E"/>
    <w:rsid w:val="00C80155"/>
    <w:rsid w:val="00C80215"/>
    <w:rsid w:val="00C80240"/>
    <w:rsid w:val="00C80267"/>
    <w:rsid w:val="00C80276"/>
    <w:rsid w:val="00C80284"/>
    <w:rsid w:val="00C802B4"/>
    <w:rsid w:val="00C802E3"/>
    <w:rsid w:val="00C802FD"/>
    <w:rsid w:val="00C8032B"/>
    <w:rsid w:val="00C80360"/>
    <w:rsid w:val="00C80367"/>
    <w:rsid w:val="00C80379"/>
    <w:rsid w:val="00C803A3"/>
    <w:rsid w:val="00C803B1"/>
    <w:rsid w:val="00C803D6"/>
    <w:rsid w:val="00C803E2"/>
    <w:rsid w:val="00C803FA"/>
    <w:rsid w:val="00C803FF"/>
    <w:rsid w:val="00C80413"/>
    <w:rsid w:val="00C80453"/>
    <w:rsid w:val="00C80469"/>
    <w:rsid w:val="00C80487"/>
    <w:rsid w:val="00C8048E"/>
    <w:rsid w:val="00C804AF"/>
    <w:rsid w:val="00C804B8"/>
    <w:rsid w:val="00C804E8"/>
    <w:rsid w:val="00C804F3"/>
    <w:rsid w:val="00C80519"/>
    <w:rsid w:val="00C80550"/>
    <w:rsid w:val="00C80551"/>
    <w:rsid w:val="00C8056A"/>
    <w:rsid w:val="00C8059B"/>
    <w:rsid w:val="00C805A5"/>
    <w:rsid w:val="00C805B6"/>
    <w:rsid w:val="00C805C1"/>
    <w:rsid w:val="00C805DF"/>
    <w:rsid w:val="00C805E2"/>
    <w:rsid w:val="00C80645"/>
    <w:rsid w:val="00C80663"/>
    <w:rsid w:val="00C80742"/>
    <w:rsid w:val="00C80759"/>
    <w:rsid w:val="00C80769"/>
    <w:rsid w:val="00C8076D"/>
    <w:rsid w:val="00C8077B"/>
    <w:rsid w:val="00C807A4"/>
    <w:rsid w:val="00C807B2"/>
    <w:rsid w:val="00C807C2"/>
    <w:rsid w:val="00C80818"/>
    <w:rsid w:val="00C80821"/>
    <w:rsid w:val="00C80828"/>
    <w:rsid w:val="00C80860"/>
    <w:rsid w:val="00C808A6"/>
    <w:rsid w:val="00C808B8"/>
    <w:rsid w:val="00C808D3"/>
    <w:rsid w:val="00C808DB"/>
    <w:rsid w:val="00C80908"/>
    <w:rsid w:val="00C80934"/>
    <w:rsid w:val="00C8093F"/>
    <w:rsid w:val="00C8097B"/>
    <w:rsid w:val="00C809B9"/>
    <w:rsid w:val="00C809E8"/>
    <w:rsid w:val="00C809EA"/>
    <w:rsid w:val="00C809EC"/>
    <w:rsid w:val="00C80A25"/>
    <w:rsid w:val="00C80A2E"/>
    <w:rsid w:val="00C80ADF"/>
    <w:rsid w:val="00C80AE9"/>
    <w:rsid w:val="00C80B02"/>
    <w:rsid w:val="00C80B0A"/>
    <w:rsid w:val="00C80B55"/>
    <w:rsid w:val="00C80B5C"/>
    <w:rsid w:val="00C80B78"/>
    <w:rsid w:val="00C80B80"/>
    <w:rsid w:val="00C80BC7"/>
    <w:rsid w:val="00C80C0A"/>
    <w:rsid w:val="00C80C3B"/>
    <w:rsid w:val="00C80C7A"/>
    <w:rsid w:val="00C80CFF"/>
    <w:rsid w:val="00C80D66"/>
    <w:rsid w:val="00C80D6F"/>
    <w:rsid w:val="00C80DC0"/>
    <w:rsid w:val="00C80DCD"/>
    <w:rsid w:val="00C80E68"/>
    <w:rsid w:val="00C80E81"/>
    <w:rsid w:val="00C80E97"/>
    <w:rsid w:val="00C80ED3"/>
    <w:rsid w:val="00C80EE1"/>
    <w:rsid w:val="00C80EEC"/>
    <w:rsid w:val="00C80F1C"/>
    <w:rsid w:val="00C80F8A"/>
    <w:rsid w:val="00C80F92"/>
    <w:rsid w:val="00C80FA0"/>
    <w:rsid w:val="00C80FF7"/>
    <w:rsid w:val="00C80FFD"/>
    <w:rsid w:val="00C80FFF"/>
    <w:rsid w:val="00C81017"/>
    <w:rsid w:val="00C81028"/>
    <w:rsid w:val="00C81037"/>
    <w:rsid w:val="00C81064"/>
    <w:rsid w:val="00C81075"/>
    <w:rsid w:val="00C810B0"/>
    <w:rsid w:val="00C81150"/>
    <w:rsid w:val="00C811D2"/>
    <w:rsid w:val="00C811E9"/>
    <w:rsid w:val="00C811F0"/>
    <w:rsid w:val="00C81257"/>
    <w:rsid w:val="00C8126A"/>
    <w:rsid w:val="00C81271"/>
    <w:rsid w:val="00C81292"/>
    <w:rsid w:val="00C812C9"/>
    <w:rsid w:val="00C8131C"/>
    <w:rsid w:val="00C8132C"/>
    <w:rsid w:val="00C81331"/>
    <w:rsid w:val="00C8135A"/>
    <w:rsid w:val="00C81369"/>
    <w:rsid w:val="00C8136A"/>
    <w:rsid w:val="00C81382"/>
    <w:rsid w:val="00C8139B"/>
    <w:rsid w:val="00C813C0"/>
    <w:rsid w:val="00C8140C"/>
    <w:rsid w:val="00C8143C"/>
    <w:rsid w:val="00C81441"/>
    <w:rsid w:val="00C81460"/>
    <w:rsid w:val="00C81476"/>
    <w:rsid w:val="00C81489"/>
    <w:rsid w:val="00C8149C"/>
    <w:rsid w:val="00C814B6"/>
    <w:rsid w:val="00C814B9"/>
    <w:rsid w:val="00C814F3"/>
    <w:rsid w:val="00C8150C"/>
    <w:rsid w:val="00C81552"/>
    <w:rsid w:val="00C81584"/>
    <w:rsid w:val="00C815E6"/>
    <w:rsid w:val="00C81612"/>
    <w:rsid w:val="00C81630"/>
    <w:rsid w:val="00C81661"/>
    <w:rsid w:val="00C816E6"/>
    <w:rsid w:val="00C81711"/>
    <w:rsid w:val="00C81724"/>
    <w:rsid w:val="00C81739"/>
    <w:rsid w:val="00C8173F"/>
    <w:rsid w:val="00C81760"/>
    <w:rsid w:val="00C817C3"/>
    <w:rsid w:val="00C81816"/>
    <w:rsid w:val="00C81834"/>
    <w:rsid w:val="00C81864"/>
    <w:rsid w:val="00C8187A"/>
    <w:rsid w:val="00C818B6"/>
    <w:rsid w:val="00C818F7"/>
    <w:rsid w:val="00C818FA"/>
    <w:rsid w:val="00C81900"/>
    <w:rsid w:val="00C81957"/>
    <w:rsid w:val="00C81985"/>
    <w:rsid w:val="00C81991"/>
    <w:rsid w:val="00C819A7"/>
    <w:rsid w:val="00C819AB"/>
    <w:rsid w:val="00C819B9"/>
    <w:rsid w:val="00C819FE"/>
    <w:rsid w:val="00C81A23"/>
    <w:rsid w:val="00C81A5A"/>
    <w:rsid w:val="00C81A63"/>
    <w:rsid w:val="00C81A65"/>
    <w:rsid w:val="00C81A7D"/>
    <w:rsid w:val="00C81A93"/>
    <w:rsid w:val="00C81ABF"/>
    <w:rsid w:val="00C81AFE"/>
    <w:rsid w:val="00C81B93"/>
    <w:rsid w:val="00C81B96"/>
    <w:rsid w:val="00C81B97"/>
    <w:rsid w:val="00C81BA8"/>
    <w:rsid w:val="00C81C39"/>
    <w:rsid w:val="00C81CD8"/>
    <w:rsid w:val="00C81D19"/>
    <w:rsid w:val="00C81D80"/>
    <w:rsid w:val="00C81DA0"/>
    <w:rsid w:val="00C81DE9"/>
    <w:rsid w:val="00C81DF8"/>
    <w:rsid w:val="00C81E18"/>
    <w:rsid w:val="00C81E90"/>
    <w:rsid w:val="00C81EAD"/>
    <w:rsid w:val="00C81EE2"/>
    <w:rsid w:val="00C81F14"/>
    <w:rsid w:val="00C81F31"/>
    <w:rsid w:val="00C81F39"/>
    <w:rsid w:val="00C81F3A"/>
    <w:rsid w:val="00C81F4B"/>
    <w:rsid w:val="00C81F68"/>
    <w:rsid w:val="00C81FB4"/>
    <w:rsid w:val="00C82002"/>
    <w:rsid w:val="00C82010"/>
    <w:rsid w:val="00C82098"/>
    <w:rsid w:val="00C820A4"/>
    <w:rsid w:val="00C820A9"/>
    <w:rsid w:val="00C820B5"/>
    <w:rsid w:val="00C82120"/>
    <w:rsid w:val="00C8213F"/>
    <w:rsid w:val="00C82168"/>
    <w:rsid w:val="00C8218A"/>
    <w:rsid w:val="00C821B5"/>
    <w:rsid w:val="00C821CE"/>
    <w:rsid w:val="00C821EA"/>
    <w:rsid w:val="00C821F1"/>
    <w:rsid w:val="00C8225D"/>
    <w:rsid w:val="00C8225E"/>
    <w:rsid w:val="00C82272"/>
    <w:rsid w:val="00C822A0"/>
    <w:rsid w:val="00C822AF"/>
    <w:rsid w:val="00C822C0"/>
    <w:rsid w:val="00C822EA"/>
    <w:rsid w:val="00C82306"/>
    <w:rsid w:val="00C8231C"/>
    <w:rsid w:val="00C82358"/>
    <w:rsid w:val="00C82373"/>
    <w:rsid w:val="00C823D8"/>
    <w:rsid w:val="00C823F9"/>
    <w:rsid w:val="00C82429"/>
    <w:rsid w:val="00C82466"/>
    <w:rsid w:val="00C8248B"/>
    <w:rsid w:val="00C824AC"/>
    <w:rsid w:val="00C824BB"/>
    <w:rsid w:val="00C824C0"/>
    <w:rsid w:val="00C824FC"/>
    <w:rsid w:val="00C82504"/>
    <w:rsid w:val="00C82569"/>
    <w:rsid w:val="00C8256C"/>
    <w:rsid w:val="00C825C3"/>
    <w:rsid w:val="00C825C5"/>
    <w:rsid w:val="00C825D0"/>
    <w:rsid w:val="00C82606"/>
    <w:rsid w:val="00C82645"/>
    <w:rsid w:val="00C82686"/>
    <w:rsid w:val="00C826B4"/>
    <w:rsid w:val="00C8270E"/>
    <w:rsid w:val="00C82715"/>
    <w:rsid w:val="00C8276F"/>
    <w:rsid w:val="00C82782"/>
    <w:rsid w:val="00C82784"/>
    <w:rsid w:val="00C827C6"/>
    <w:rsid w:val="00C827C9"/>
    <w:rsid w:val="00C827D6"/>
    <w:rsid w:val="00C827F4"/>
    <w:rsid w:val="00C8281A"/>
    <w:rsid w:val="00C82848"/>
    <w:rsid w:val="00C82857"/>
    <w:rsid w:val="00C82859"/>
    <w:rsid w:val="00C82874"/>
    <w:rsid w:val="00C82884"/>
    <w:rsid w:val="00C828AA"/>
    <w:rsid w:val="00C828BA"/>
    <w:rsid w:val="00C828EE"/>
    <w:rsid w:val="00C82918"/>
    <w:rsid w:val="00C82924"/>
    <w:rsid w:val="00C82945"/>
    <w:rsid w:val="00C82955"/>
    <w:rsid w:val="00C8296F"/>
    <w:rsid w:val="00C8297F"/>
    <w:rsid w:val="00C82995"/>
    <w:rsid w:val="00C8299B"/>
    <w:rsid w:val="00C8299E"/>
    <w:rsid w:val="00C829B0"/>
    <w:rsid w:val="00C82A40"/>
    <w:rsid w:val="00C82A83"/>
    <w:rsid w:val="00C82A95"/>
    <w:rsid w:val="00C82AF9"/>
    <w:rsid w:val="00C82B1E"/>
    <w:rsid w:val="00C82B8F"/>
    <w:rsid w:val="00C82BBC"/>
    <w:rsid w:val="00C82BC4"/>
    <w:rsid w:val="00C82BD9"/>
    <w:rsid w:val="00C82BDA"/>
    <w:rsid w:val="00C82BFF"/>
    <w:rsid w:val="00C82C1A"/>
    <w:rsid w:val="00C82C45"/>
    <w:rsid w:val="00C82C92"/>
    <w:rsid w:val="00C82C9E"/>
    <w:rsid w:val="00C82CDA"/>
    <w:rsid w:val="00C82CE4"/>
    <w:rsid w:val="00C82CEF"/>
    <w:rsid w:val="00C82D1C"/>
    <w:rsid w:val="00C82D33"/>
    <w:rsid w:val="00C82DDC"/>
    <w:rsid w:val="00C82E52"/>
    <w:rsid w:val="00C82E7E"/>
    <w:rsid w:val="00C82E8B"/>
    <w:rsid w:val="00C82E9E"/>
    <w:rsid w:val="00C82EF8"/>
    <w:rsid w:val="00C82F30"/>
    <w:rsid w:val="00C82F3F"/>
    <w:rsid w:val="00C82F47"/>
    <w:rsid w:val="00C82F56"/>
    <w:rsid w:val="00C82F67"/>
    <w:rsid w:val="00C82F6D"/>
    <w:rsid w:val="00C82F90"/>
    <w:rsid w:val="00C82F9F"/>
    <w:rsid w:val="00C82FC5"/>
    <w:rsid w:val="00C82FEC"/>
    <w:rsid w:val="00C8300A"/>
    <w:rsid w:val="00C83014"/>
    <w:rsid w:val="00C83024"/>
    <w:rsid w:val="00C83084"/>
    <w:rsid w:val="00C83085"/>
    <w:rsid w:val="00C8308F"/>
    <w:rsid w:val="00C83092"/>
    <w:rsid w:val="00C830EF"/>
    <w:rsid w:val="00C83104"/>
    <w:rsid w:val="00C83113"/>
    <w:rsid w:val="00C83159"/>
    <w:rsid w:val="00C83183"/>
    <w:rsid w:val="00C831AE"/>
    <w:rsid w:val="00C831C0"/>
    <w:rsid w:val="00C831C2"/>
    <w:rsid w:val="00C831CB"/>
    <w:rsid w:val="00C831CF"/>
    <w:rsid w:val="00C831DA"/>
    <w:rsid w:val="00C831F0"/>
    <w:rsid w:val="00C83206"/>
    <w:rsid w:val="00C83212"/>
    <w:rsid w:val="00C83284"/>
    <w:rsid w:val="00C832C0"/>
    <w:rsid w:val="00C83305"/>
    <w:rsid w:val="00C83338"/>
    <w:rsid w:val="00C833AD"/>
    <w:rsid w:val="00C833B8"/>
    <w:rsid w:val="00C833DE"/>
    <w:rsid w:val="00C83405"/>
    <w:rsid w:val="00C83409"/>
    <w:rsid w:val="00C83432"/>
    <w:rsid w:val="00C834EC"/>
    <w:rsid w:val="00C834F9"/>
    <w:rsid w:val="00C834FA"/>
    <w:rsid w:val="00C83514"/>
    <w:rsid w:val="00C83574"/>
    <w:rsid w:val="00C835BE"/>
    <w:rsid w:val="00C835FD"/>
    <w:rsid w:val="00C83621"/>
    <w:rsid w:val="00C83665"/>
    <w:rsid w:val="00C83682"/>
    <w:rsid w:val="00C83696"/>
    <w:rsid w:val="00C836A0"/>
    <w:rsid w:val="00C8370A"/>
    <w:rsid w:val="00C83739"/>
    <w:rsid w:val="00C8373D"/>
    <w:rsid w:val="00C83757"/>
    <w:rsid w:val="00C83775"/>
    <w:rsid w:val="00C837C3"/>
    <w:rsid w:val="00C837CF"/>
    <w:rsid w:val="00C8380B"/>
    <w:rsid w:val="00C8381D"/>
    <w:rsid w:val="00C83833"/>
    <w:rsid w:val="00C8383C"/>
    <w:rsid w:val="00C83844"/>
    <w:rsid w:val="00C83879"/>
    <w:rsid w:val="00C838B1"/>
    <w:rsid w:val="00C838C8"/>
    <w:rsid w:val="00C83936"/>
    <w:rsid w:val="00C83937"/>
    <w:rsid w:val="00C83960"/>
    <w:rsid w:val="00C83966"/>
    <w:rsid w:val="00C8396B"/>
    <w:rsid w:val="00C839A0"/>
    <w:rsid w:val="00C839E2"/>
    <w:rsid w:val="00C83A3A"/>
    <w:rsid w:val="00C83A3C"/>
    <w:rsid w:val="00C83A51"/>
    <w:rsid w:val="00C83A59"/>
    <w:rsid w:val="00C83AF8"/>
    <w:rsid w:val="00C83B03"/>
    <w:rsid w:val="00C83B10"/>
    <w:rsid w:val="00C83B49"/>
    <w:rsid w:val="00C83B7F"/>
    <w:rsid w:val="00C83B9E"/>
    <w:rsid w:val="00C83BA2"/>
    <w:rsid w:val="00C83BA3"/>
    <w:rsid w:val="00C83BBF"/>
    <w:rsid w:val="00C83BFA"/>
    <w:rsid w:val="00C83C4C"/>
    <w:rsid w:val="00C83CC0"/>
    <w:rsid w:val="00C83CD1"/>
    <w:rsid w:val="00C83D0D"/>
    <w:rsid w:val="00C83D14"/>
    <w:rsid w:val="00C83D20"/>
    <w:rsid w:val="00C83D4B"/>
    <w:rsid w:val="00C83D6E"/>
    <w:rsid w:val="00C83D75"/>
    <w:rsid w:val="00C83DAF"/>
    <w:rsid w:val="00C83DBE"/>
    <w:rsid w:val="00C83DD6"/>
    <w:rsid w:val="00C83DF3"/>
    <w:rsid w:val="00C83E0D"/>
    <w:rsid w:val="00C83E15"/>
    <w:rsid w:val="00C83E29"/>
    <w:rsid w:val="00C83E71"/>
    <w:rsid w:val="00C83E89"/>
    <w:rsid w:val="00C83EA2"/>
    <w:rsid w:val="00C83EDD"/>
    <w:rsid w:val="00C83F1D"/>
    <w:rsid w:val="00C83F42"/>
    <w:rsid w:val="00C83F46"/>
    <w:rsid w:val="00C83F89"/>
    <w:rsid w:val="00C83FB1"/>
    <w:rsid w:val="00C83FB5"/>
    <w:rsid w:val="00C83FB6"/>
    <w:rsid w:val="00C84014"/>
    <w:rsid w:val="00C84037"/>
    <w:rsid w:val="00C84050"/>
    <w:rsid w:val="00C8407F"/>
    <w:rsid w:val="00C840E5"/>
    <w:rsid w:val="00C840F2"/>
    <w:rsid w:val="00C840F8"/>
    <w:rsid w:val="00C84197"/>
    <w:rsid w:val="00C841C1"/>
    <w:rsid w:val="00C8421F"/>
    <w:rsid w:val="00C84245"/>
    <w:rsid w:val="00C8425A"/>
    <w:rsid w:val="00C842D0"/>
    <w:rsid w:val="00C84301"/>
    <w:rsid w:val="00C84317"/>
    <w:rsid w:val="00C8435E"/>
    <w:rsid w:val="00C843E2"/>
    <w:rsid w:val="00C84486"/>
    <w:rsid w:val="00C844E9"/>
    <w:rsid w:val="00C84519"/>
    <w:rsid w:val="00C8454B"/>
    <w:rsid w:val="00C84553"/>
    <w:rsid w:val="00C84568"/>
    <w:rsid w:val="00C84585"/>
    <w:rsid w:val="00C845BD"/>
    <w:rsid w:val="00C845C6"/>
    <w:rsid w:val="00C8463E"/>
    <w:rsid w:val="00C84645"/>
    <w:rsid w:val="00C8468B"/>
    <w:rsid w:val="00C8469E"/>
    <w:rsid w:val="00C84723"/>
    <w:rsid w:val="00C8472C"/>
    <w:rsid w:val="00C8474F"/>
    <w:rsid w:val="00C84755"/>
    <w:rsid w:val="00C84795"/>
    <w:rsid w:val="00C84802"/>
    <w:rsid w:val="00C84814"/>
    <w:rsid w:val="00C84830"/>
    <w:rsid w:val="00C84858"/>
    <w:rsid w:val="00C8485F"/>
    <w:rsid w:val="00C8487D"/>
    <w:rsid w:val="00C848C4"/>
    <w:rsid w:val="00C848E6"/>
    <w:rsid w:val="00C84901"/>
    <w:rsid w:val="00C84923"/>
    <w:rsid w:val="00C849A8"/>
    <w:rsid w:val="00C849C9"/>
    <w:rsid w:val="00C849E3"/>
    <w:rsid w:val="00C84A82"/>
    <w:rsid w:val="00C84A8A"/>
    <w:rsid w:val="00C84AA6"/>
    <w:rsid w:val="00C84AE8"/>
    <w:rsid w:val="00C84B17"/>
    <w:rsid w:val="00C84B46"/>
    <w:rsid w:val="00C84BF1"/>
    <w:rsid w:val="00C84BF8"/>
    <w:rsid w:val="00C84C0B"/>
    <w:rsid w:val="00C84C1B"/>
    <w:rsid w:val="00C84C20"/>
    <w:rsid w:val="00C84C31"/>
    <w:rsid w:val="00C84C44"/>
    <w:rsid w:val="00C84C4A"/>
    <w:rsid w:val="00C84C65"/>
    <w:rsid w:val="00C84C69"/>
    <w:rsid w:val="00C84C9C"/>
    <w:rsid w:val="00C84CAE"/>
    <w:rsid w:val="00C84CB2"/>
    <w:rsid w:val="00C84D59"/>
    <w:rsid w:val="00C84D5E"/>
    <w:rsid w:val="00C84D70"/>
    <w:rsid w:val="00C84DC4"/>
    <w:rsid w:val="00C84E17"/>
    <w:rsid w:val="00C84E23"/>
    <w:rsid w:val="00C84E51"/>
    <w:rsid w:val="00C84E58"/>
    <w:rsid w:val="00C84E8C"/>
    <w:rsid w:val="00C84EA6"/>
    <w:rsid w:val="00C84EAF"/>
    <w:rsid w:val="00C84EBC"/>
    <w:rsid w:val="00C84EE2"/>
    <w:rsid w:val="00C84EE3"/>
    <w:rsid w:val="00C84F0B"/>
    <w:rsid w:val="00C84F19"/>
    <w:rsid w:val="00C84F6F"/>
    <w:rsid w:val="00C84FAD"/>
    <w:rsid w:val="00C84FC6"/>
    <w:rsid w:val="00C84FC8"/>
    <w:rsid w:val="00C84FCD"/>
    <w:rsid w:val="00C85026"/>
    <w:rsid w:val="00C8502C"/>
    <w:rsid w:val="00C85032"/>
    <w:rsid w:val="00C850E1"/>
    <w:rsid w:val="00C8515F"/>
    <w:rsid w:val="00C85187"/>
    <w:rsid w:val="00C85191"/>
    <w:rsid w:val="00C851E1"/>
    <w:rsid w:val="00C8525D"/>
    <w:rsid w:val="00C85290"/>
    <w:rsid w:val="00C8529D"/>
    <w:rsid w:val="00C852B5"/>
    <w:rsid w:val="00C852F4"/>
    <w:rsid w:val="00C85319"/>
    <w:rsid w:val="00C85344"/>
    <w:rsid w:val="00C85355"/>
    <w:rsid w:val="00C8535B"/>
    <w:rsid w:val="00C85363"/>
    <w:rsid w:val="00C8537B"/>
    <w:rsid w:val="00C85416"/>
    <w:rsid w:val="00C8546E"/>
    <w:rsid w:val="00C854A2"/>
    <w:rsid w:val="00C854F2"/>
    <w:rsid w:val="00C85511"/>
    <w:rsid w:val="00C85559"/>
    <w:rsid w:val="00C85594"/>
    <w:rsid w:val="00C855CF"/>
    <w:rsid w:val="00C85648"/>
    <w:rsid w:val="00C8564C"/>
    <w:rsid w:val="00C8566C"/>
    <w:rsid w:val="00C85698"/>
    <w:rsid w:val="00C856BA"/>
    <w:rsid w:val="00C856BC"/>
    <w:rsid w:val="00C856BD"/>
    <w:rsid w:val="00C8572D"/>
    <w:rsid w:val="00C85749"/>
    <w:rsid w:val="00C85777"/>
    <w:rsid w:val="00C857F3"/>
    <w:rsid w:val="00C85800"/>
    <w:rsid w:val="00C8580E"/>
    <w:rsid w:val="00C85811"/>
    <w:rsid w:val="00C8582F"/>
    <w:rsid w:val="00C8583E"/>
    <w:rsid w:val="00C85843"/>
    <w:rsid w:val="00C85849"/>
    <w:rsid w:val="00C85874"/>
    <w:rsid w:val="00C858BA"/>
    <w:rsid w:val="00C8590E"/>
    <w:rsid w:val="00C85919"/>
    <w:rsid w:val="00C85942"/>
    <w:rsid w:val="00C85943"/>
    <w:rsid w:val="00C8599F"/>
    <w:rsid w:val="00C859D2"/>
    <w:rsid w:val="00C859EC"/>
    <w:rsid w:val="00C859FB"/>
    <w:rsid w:val="00C85A35"/>
    <w:rsid w:val="00C85A45"/>
    <w:rsid w:val="00C85A5F"/>
    <w:rsid w:val="00C85A60"/>
    <w:rsid w:val="00C85A68"/>
    <w:rsid w:val="00C85A89"/>
    <w:rsid w:val="00C85ADC"/>
    <w:rsid w:val="00C85B2D"/>
    <w:rsid w:val="00C85B54"/>
    <w:rsid w:val="00C85BB1"/>
    <w:rsid w:val="00C85BC9"/>
    <w:rsid w:val="00C85BDA"/>
    <w:rsid w:val="00C85BF6"/>
    <w:rsid w:val="00C85C02"/>
    <w:rsid w:val="00C85C04"/>
    <w:rsid w:val="00C85C0E"/>
    <w:rsid w:val="00C85C16"/>
    <w:rsid w:val="00C85CE7"/>
    <w:rsid w:val="00C85D57"/>
    <w:rsid w:val="00C85D58"/>
    <w:rsid w:val="00C85D60"/>
    <w:rsid w:val="00C85D8A"/>
    <w:rsid w:val="00C85D9E"/>
    <w:rsid w:val="00C85DA8"/>
    <w:rsid w:val="00C85DFA"/>
    <w:rsid w:val="00C85DFE"/>
    <w:rsid w:val="00C85E14"/>
    <w:rsid w:val="00C85E90"/>
    <w:rsid w:val="00C85ED6"/>
    <w:rsid w:val="00C85F04"/>
    <w:rsid w:val="00C85F22"/>
    <w:rsid w:val="00C85F3E"/>
    <w:rsid w:val="00C85F76"/>
    <w:rsid w:val="00C85F7D"/>
    <w:rsid w:val="00C8604F"/>
    <w:rsid w:val="00C86055"/>
    <w:rsid w:val="00C8607E"/>
    <w:rsid w:val="00C86094"/>
    <w:rsid w:val="00C860A9"/>
    <w:rsid w:val="00C860B1"/>
    <w:rsid w:val="00C860B3"/>
    <w:rsid w:val="00C860DC"/>
    <w:rsid w:val="00C860E2"/>
    <w:rsid w:val="00C86148"/>
    <w:rsid w:val="00C86199"/>
    <w:rsid w:val="00C861E0"/>
    <w:rsid w:val="00C86203"/>
    <w:rsid w:val="00C8623A"/>
    <w:rsid w:val="00C8623C"/>
    <w:rsid w:val="00C8624D"/>
    <w:rsid w:val="00C86250"/>
    <w:rsid w:val="00C8625D"/>
    <w:rsid w:val="00C8625F"/>
    <w:rsid w:val="00C862BC"/>
    <w:rsid w:val="00C862DE"/>
    <w:rsid w:val="00C86301"/>
    <w:rsid w:val="00C86334"/>
    <w:rsid w:val="00C8636A"/>
    <w:rsid w:val="00C863B1"/>
    <w:rsid w:val="00C863CB"/>
    <w:rsid w:val="00C863E6"/>
    <w:rsid w:val="00C86424"/>
    <w:rsid w:val="00C86448"/>
    <w:rsid w:val="00C864E2"/>
    <w:rsid w:val="00C86564"/>
    <w:rsid w:val="00C86583"/>
    <w:rsid w:val="00C8658A"/>
    <w:rsid w:val="00C865AE"/>
    <w:rsid w:val="00C865B5"/>
    <w:rsid w:val="00C86605"/>
    <w:rsid w:val="00C8664A"/>
    <w:rsid w:val="00C86666"/>
    <w:rsid w:val="00C86670"/>
    <w:rsid w:val="00C866DE"/>
    <w:rsid w:val="00C8670C"/>
    <w:rsid w:val="00C8672A"/>
    <w:rsid w:val="00C86744"/>
    <w:rsid w:val="00C8674A"/>
    <w:rsid w:val="00C86798"/>
    <w:rsid w:val="00C86803"/>
    <w:rsid w:val="00C86810"/>
    <w:rsid w:val="00C86872"/>
    <w:rsid w:val="00C8687D"/>
    <w:rsid w:val="00C868C2"/>
    <w:rsid w:val="00C868F0"/>
    <w:rsid w:val="00C86938"/>
    <w:rsid w:val="00C8693C"/>
    <w:rsid w:val="00C8697C"/>
    <w:rsid w:val="00C86992"/>
    <w:rsid w:val="00C86997"/>
    <w:rsid w:val="00C869E7"/>
    <w:rsid w:val="00C869EA"/>
    <w:rsid w:val="00C86A5A"/>
    <w:rsid w:val="00C86AD5"/>
    <w:rsid w:val="00C86AE3"/>
    <w:rsid w:val="00C86B09"/>
    <w:rsid w:val="00C86B60"/>
    <w:rsid w:val="00C86B61"/>
    <w:rsid w:val="00C86B80"/>
    <w:rsid w:val="00C86BE4"/>
    <w:rsid w:val="00C86BE5"/>
    <w:rsid w:val="00C86C37"/>
    <w:rsid w:val="00C86C3F"/>
    <w:rsid w:val="00C86C49"/>
    <w:rsid w:val="00C86C6F"/>
    <w:rsid w:val="00C86C79"/>
    <w:rsid w:val="00C86CC6"/>
    <w:rsid w:val="00C86D18"/>
    <w:rsid w:val="00C86D5B"/>
    <w:rsid w:val="00C86D99"/>
    <w:rsid w:val="00C86DC1"/>
    <w:rsid w:val="00C86DE2"/>
    <w:rsid w:val="00C86E01"/>
    <w:rsid w:val="00C86E07"/>
    <w:rsid w:val="00C86E56"/>
    <w:rsid w:val="00C86E57"/>
    <w:rsid w:val="00C86E80"/>
    <w:rsid w:val="00C86E9D"/>
    <w:rsid w:val="00C86EC7"/>
    <w:rsid w:val="00C86ECE"/>
    <w:rsid w:val="00C86ED8"/>
    <w:rsid w:val="00C86F69"/>
    <w:rsid w:val="00C86F83"/>
    <w:rsid w:val="00C86F8A"/>
    <w:rsid w:val="00C86F97"/>
    <w:rsid w:val="00C86FA1"/>
    <w:rsid w:val="00C86FA6"/>
    <w:rsid w:val="00C86FD2"/>
    <w:rsid w:val="00C87004"/>
    <w:rsid w:val="00C8704C"/>
    <w:rsid w:val="00C87084"/>
    <w:rsid w:val="00C870A3"/>
    <w:rsid w:val="00C870C1"/>
    <w:rsid w:val="00C870CB"/>
    <w:rsid w:val="00C87106"/>
    <w:rsid w:val="00C87147"/>
    <w:rsid w:val="00C8715D"/>
    <w:rsid w:val="00C87186"/>
    <w:rsid w:val="00C87189"/>
    <w:rsid w:val="00C8718A"/>
    <w:rsid w:val="00C8719E"/>
    <w:rsid w:val="00C871AD"/>
    <w:rsid w:val="00C87235"/>
    <w:rsid w:val="00C872C5"/>
    <w:rsid w:val="00C87333"/>
    <w:rsid w:val="00C873A4"/>
    <w:rsid w:val="00C873D8"/>
    <w:rsid w:val="00C873E0"/>
    <w:rsid w:val="00C8740C"/>
    <w:rsid w:val="00C8741C"/>
    <w:rsid w:val="00C87443"/>
    <w:rsid w:val="00C874C9"/>
    <w:rsid w:val="00C874DD"/>
    <w:rsid w:val="00C874DE"/>
    <w:rsid w:val="00C87550"/>
    <w:rsid w:val="00C87566"/>
    <w:rsid w:val="00C87577"/>
    <w:rsid w:val="00C875B6"/>
    <w:rsid w:val="00C87658"/>
    <w:rsid w:val="00C87661"/>
    <w:rsid w:val="00C8767E"/>
    <w:rsid w:val="00C876E4"/>
    <w:rsid w:val="00C8778A"/>
    <w:rsid w:val="00C877BB"/>
    <w:rsid w:val="00C877F0"/>
    <w:rsid w:val="00C87839"/>
    <w:rsid w:val="00C87843"/>
    <w:rsid w:val="00C878D8"/>
    <w:rsid w:val="00C878E8"/>
    <w:rsid w:val="00C87905"/>
    <w:rsid w:val="00C87910"/>
    <w:rsid w:val="00C87943"/>
    <w:rsid w:val="00C87949"/>
    <w:rsid w:val="00C8794F"/>
    <w:rsid w:val="00C87962"/>
    <w:rsid w:val="00C879EE"/>
    <w:rsid w:val="00C879F5"/>
    <w:rsid w:val="00C87A02"/>
    <w:rsid w:val="00C87A1D"/>
    <w:rsid w:val="00C87A20"/>
    <w:rsid w:val="00C87A26"/>
    <w:rsid w:val="00C87A42"/>
    <w:rsid w:val="00C87A45"/>
    <w:rsid w:val="00C87A64"/>
    <w:rsid w:val="00C87A79"/>
    <w:rsid w:val="00C87A9A"/>
    <w:rsid w:val="00C87AA4"/>
    <w:rsid w:val="00C87AAB"/>
    <w:rsid w:val="00C87B18"/>
    <w:rsid w:val="00C87B3F"/>
    <w:rsid w:val="00C87B5A"/>
    <w:rsid w:val="00C87B61"/>
    <w:rsid w:val="00C87BCB"/>
    <w:rsid w:val="00C87BDE"/>
    <w:rsid w:val="00C87C1F"/>
    <w:rsid w:val="00C87CB4"/>
    <w:rsid w:val="00C87CEF"/>
    <w:rsid w:val="00C87D05"/>
    <w:rsid w:val="00C87D6B"/>
    <w:rsid w:val="00C87D76"/>
    <w:rsid w:val="00C87D95"/>
    <w:rsid w:val="00C87DA2"/>
    <w:rsid w:val="00C87DC2"/>
    <w:rsid w:val="00C87DF1"/>
    <w:rsid w:val="00C87E01"/>
    <w:rsid w:val="00C87E14"/>
    <w:rsid w:val="00C87E1A"/>
    <w:rsid w:val="00C87E5F"/>
    <w:rsid w:val="00C87E72"/>
    <w:rsid w:val="00C87EAD"/>
    <w:rsid w:val="00C87ED8"/>
    <w:rsid w:val="00C87EE7"/>
    <w:rsid w:val="00C87F02"/>
    <w:rsid w:val="00C87F0A"/>
    <w:rsid w:val="00C87F48"/>
    <w:rsid w:val="00C87F71"/>
    <w:rsid w:val="00C87FA6"/>
    <w:rsid w:val="00C87FB7"/>
    <w:rsid w:val="00C87FD5"/>
    <w:rsid w:val="00C87FE3"/>
    <w:rsid w:val="00C87FFE"/>
    <w:rsid w:val="00C90023"/>
    <w:rsid w:val="00C90039"/>
    <w:rsid w:val="00C9003D"/>
    <w:rsid w:val="00C90045"/>
    <w:rsid w:val="00C90066"/>
    <w:rsid w:val="00C9011A"/>
    <w:rsid w:val="00C90142"/>
    <w:rsid w:val="00C901C2"/>
    <w:rsid w:val="00C901D3"/>
    <w:rsid w:val="00C90261"/>
    <w:rsid w:val="00C9026A"/>
    <w:rsid w:val="00C90329"/>
    <w:rsid w:val="00C9033D"/>
    <w:rsid w:val="00C9034F"/>
    <w:rsid w:val="00C9039C"/>
    <w:rsid w:val="00C903BC"/>
    <w:rsid w:val="00C903C3"/>
    <w:rsid w:val="00C903EB"/>
    <w:rsid w:val="00C90401"/>
    <w:rsid w:val="00C90404"/>
    <w:rsid w:val="00C90429"/>
    <w:rsid w:val="00C90453"/>
    <w:rsid w:val="00C90457"/>
    <w:rsid w:val="00C90470"/>
    <w:rsid w:val="00C90495"/>
    <w:rsid w:val="00C904CD"/>
    <w:rsid w:val="00C904E1"/>
    <w:rsid w:val="00C904E2"/>
    <w:rsid w:val="00C90503"/>
    <w:rsid w:val="00C90539"/>
    <w:rsid w:val="00C9054F"/>
    <w:rsid w:val="00C90578"/>
    <w:rsid w:val="00C905B7"/>
    <w:rsid w:val="00C905BA"/>
    <w:rsid w:val="00C905DA"/>
    <w:rsid w:val="00C9060C"/>
    <w:rsid w:val="00C90615"/>
    <w:rsid w:val="00C90632"/>
    <w:rsid w:val="00C9064F"/>
    <w:rsid w:val="00C9065A"/>
    <w:rsid w:val="00C906D5"/>
    <w:rsid w:val="00C9072D"/>
    <w:rsid w:val="00C90734"/>
    <w:rsid w:val="00C9075E"/>
    <w:rsid w:val="00C90783"/>
    <w:rsid w:val="00C9078A"/>
    <w:rsid w:val="00C907EB"/>
    <w:rsid w:val="00C90817"/>
    <w:rsid w:val="00C9087D"/>
    <w:rsid w:val="00C90892"/>
    <w:rsid w:val="00C908A3"/>
    <w:rsid w:val="00C908E8"/>
    <w:rsid w:val="00C908EB"/>
    <w:rsid w:val="00C90901"/>
    <w:rsid w:val="00C9092F"/>
    <w:rsid w:val="00C90964"/>
    <w:rsid w:val="00C90989"/>
    <w:rsid w:val="00C9098C"/>
    <w:rsid w:val="00C909A0"/>
    <w:rsid w:val="00C909A5"/>
    <w:rsid w:val="00C909A8"/>
    <w:rsid w:val="00C90A22"/>
    <w:rsid w:val="00C90AB0"/>
    <w:rsid w:val="00C90AB2"/>
    <w:rsid w:val="00C90AD7"/>
    <w:rsid w:val="00C90AE8"/>
    <w:rsid w:val="00C90B41"/>
    <w:rsid w:val="00C90B44"/>
    <w:rsid w:val="00C90B8E"/>
    <w:rsid w:val="00C90BAF"/>
    <w:rsid w:val="00C90BEB"/>
    <w:rsid w:val="00C90BF8"/>
    <w:rsid w:val="00C90C71"/>
    <w:rsid w:val="00C90C87"/>
    <w:rsid w:val="00C90C94"/>
    <w:rsid w:val="00C90D2A"/>
    <w:rsid w:val="00C90D46"/>
    <w:rsid w:val="00C90DC4"/>
    <w:rsid w:val="00C90DCF"/>
    <w:rsid w:val="00C90DF4"/>
    <w:rsid w:val="00C90E53"/>
    <w:rsid w:val="00C90E59"/>
    <w:rsid w:val="00C90E85"/>
    <w:rsid w:val="00C90EAF"/>
    <w:rsid w:val="00C90EBF"/>
    <w:rsid w:val="00C90EFA"/>
    <w:rsid w:val="00C90F20"/>
    <w:rsid w:val="00C90F4A"/>
    <w:rsid w:val="00C90F4B"/>
    <w:rsid w:val="00C90F9D"/>
    <w:rsid w:val="00C90FD1"/>
    <w:rsid w:val="00C90FFA"/>
    <w:rsid w:val="00C9101A"/>
    <w:rsid w:val="00C910C6"/>
    <w:rsid w:val="00C910D4"/>
    <w:rsid w:val="00C910EC"/>
    <w:rsid w:val="00C9112B"/>
    <w:rsid w:val="00C9114D"/>
    <w:rsid w:val="00C91152"/>
    <w:rsid w:val="00C91178"/>
    <w:rsid w:val="00C9119C"/>
    <w:rsid w:val="00C91202"/>
    <w:rsid w:val="00C91203"/>
    <w:rsid w:val="00C9121B"/>
    <w:rsid w:val="00C91220"/>
    <w:rsid w:val="00C91251"/>
    <w:rsid w:val="00C91270"/>
    <w:rsid w:val="00C91272"/>
    <w:rsid w:val="00C912A0"/>
    <w:rsid w:val="00C912AC"/>
    <w:rsid w:val="00C912CE"/>
    <w:rsid w:val="00C912D6"/>
    <w:rsid w:val="00C91364"/>
    <w:rsid w:val="00C9136A"/>
    <w:rsid w:val="00C913F6"/>
    <w:rsid w:val="00C913FA"/>
    <w:rsid w:val="00C91458"/>
    <w:rsid w:val="00C914B3"/>
    <w:rsid w:val="00C914FB"/>
    <w:rsid w:val="00C91533"/>
    <w:rsid w:val="00C9154F"/>
    <w:rsid w:val="00C91566"/>
    <w:rsid w:val="00C9156C"/>
    <w:rsid w:val="00C9159B"/>
    <w:rsid w:val="00C915B5"/>
    <w:rsid w:val="00C915C6"/>
    <w:rsid w:val="00C915D9"/>
    <w:rsid w:val="00C915DE"/>
    <w:rsid w:val="00C915ED"/>
    <w:rsid w:val="00C915F1"/>
    <w:rsid w:val="00C915FD"/>
    <w:rsid w:val="00C91600"/>
    <w:rsid w:val="00C91605"/>
    <w:rsid w:val="00C916B5"/>
    <w:rsid w:val="00C916C9"/>
    <w:rsid w:val="00C916D6"/>
    <w:rsid w:val="00C91703"/>
    <w:rsid w:val="00C9171A"/>
    <w:rsid w:val="00C9175C"/>
    <w:rsid w:val="00C9176C"/>
    <w:rsid w:val="00C917A1"/>
    <w:rsid w:val="00C917E1"/>
    <w:rsid w:val="00C91816"/>
    <w:rsid w:val="00C91827"/>
    <w:rsid w:val="00C9182F"/>
    <w:rsid w:val="00C91849"/>
    <w:rsid w:val="00C9184A"/>
    <w:rsid w:val="00C91880"/>
    <w:rsid w:val="00C9189F"/>
    <w:rsid w:val="00C918A3"/>
    <w:rsid w:val="00C918CC"/>
    <w:rsid w:val="00C918CE"/>
    <w:rsid w:val="00C91907"/>
    <w:rsid w:val="00C91932"/>
    <w:rsid w:val="00C9194D"/>
    <w:rsid w:val="00C919F3"/>
    <w:rsid w:val="00C91A38"/>
    <w:rsid w:val="00C91A5C"/>
    <w:rsid w:val="00C91A76"/>
    <w:rsid w:val="00C91AAB"/>
    <w:rsid w:val="00C91AE3"/>
    <w:rsid w:val="00C91B03"/>
    <w:rsid w:val="00C91B0E"/>
    <w:rsid w:val="00C91B3F"/>
    <w:rsid w:val="00C91B4A"/>
    <w:rsid w:val="00C91B7E"/>
    <w:rsid w:val="00C91BB1"/>
    <w:rsid w:val="00C91C07"/>
    <w:rsid w:val="00C91C1D"/>
    <w:rsid w:val="00C91C24"/>
    <w:rsid w:val="00C91C26"/>
    <w:rsid w:val="00C91C33"/>
    <w:rsid w:val="00C91C93"/>
    <w:rsid w:val="00C91CCE"/>
    <w:rsid w:val="00C91CD9"/>
    <w:rsid w:val="00C91CF7"/>
    <w:rsid w:val="00C91D1A"/>
    <w:rsid w:val="00C91D30"/>
    <w:rsid w:val="00C91D84"/>
    <w:rsid w:val="00C91D89"/>
    <w:rsid w:val="00C91D8A"/>
    <w:rsid w:val="00C91DAE"/>
    <w:rsid w:val="00C91DB1"/>
    <w:rsid w:val="00C91DCB"/>
    <w:rsid w:val="00C91DCC"/>
    <w:rsid w:val="00C91DF4"/>
    <w:rsid w:val="00C91DF6"/>
    <w:rsid w:val="00C91E0D"/>
    <w:rsid w:val="00C91E36"/>
    <w:rsid w:val="00C91E78"/>
    <w:rsid w:val="00C91E8C"/>
    <w:rsid w:val="00C91EE0"/>
    <w:rsid w:val="00C91F3A"/>
    <w:rsid w:val="00C91F3B"/>
    <w:rsid w:val="00C91F4B"/>
    <w:rsid w:val="00C91FE1"/>
    <w:rsid w:val="00C92003"/>
    <w:rsid w:val="00C92050"/>
    <w:rsid w:val="00C92059"/>
    <w:rsid w:val="00C9206B"/>
    <w:rsid w:val="00C92089"/>
    <w:rsid w:val="00C920A4"/>
    <w:rsid w:val="00C920C3"/>
    <w:rsid w:val="00C920DB"/>
    <w:rsid w:val="00C920E2"/>
    <w:rsid w:val="00C92125"/>
    <w:rsid w:val="00C92146"/>
    <w:rsid w:val="00C92155"/>
    <w:rsid w:val="00C9215B"/>
    <w:rsid w:val="00C9217C"/>
    <w:rsid w:val="00C9219A"/>
    <w:rsid w:val="00C921A9"/>
    <w:rsid w:val="00C921C0"/>
    <w:rsid w:val="00C921C1"/>
    <w:rsid w:val="00C921CE"/>
    <w:rsid w:val="00C92217"/>
    <w:rsid w:val="00C9224A"/>
    <w:rsid w:val="00C9225C"/>
    <w:rsid w:val="00C92265"/>
    <w:rsid w:val="00C9228B"/>
    <w:rsid w:val="00C92309"/>
    <w:rsid w:val="00C92324"/>
    <w:rsid w:val="00C9234A"/>
    <w:rsid w:val="00C92364"/>
    <w:rsid w:val="00C92396"/>
    <w:rsid w:val="00C923C1"/>
    <w:rsid w:val="00C923C5"/>
    <w:rsid w:val="00C923D1"/>
    <w:rsid w:val="00C923DB"/>
    <w:rsid w:val="00C9247C"/>
    <w:rsid w:val="00C924B4"/>
    <w:rsid w:val="00C924FF"/>
    <w:rsid w:val="00C92553"/>
    <w:rsid w:val="00C92558"/>
    <w:rsid w:val="00C925BB"/>
    <w:rsid w:val="00C925BE"/>
    <w:rsid w:val="00C925F7"/>
    <w:rsid w:val="00C925FA"/>
    <w:rsid w:val="00C925FB"/>
    <w:rsid w:val="00C92608"/>
    <w:rsid w:val="00C92637"/>
    <w:rsid w:val="00C9264D"/>
    <w:rsid w:val="00C9274E"/>
    <w:rsid w:val="00C92779"/>
    <w:rsid w:val="00C92784"/>
    <w:rsid w:val="00C927E9"/>
    <w:rsid w:val="00C92803"/>
    <w:rsid w:val="00C9288B"/>
    <w:rsid w:val="00C92892"/>
    <w:rsid w:val="00C9289D"/>
    <w:rsid w:val="00C928B2"/>
    <w:rsid w:val="00C92908"/>
    <w:rsid w:val="00C9291F"/>
    <w:rsid w:val="00C92926"/>
    <w:rsid w:val="00C9295B"/>
    <w:rsid w:val="00C92961"/>
    <w:rsid w:val="00C92964"/>
    <w:rsid w:val="00C9296C"/>
    <w:rsid w:val="00C92981"/>
    <w:rsid w:val="00C92995"/>
    <w:rsid w:val="00C92999"/>
    <w:rsid w:val="00C9299E"/>
    <w:rsid w:val="00C929BB"/>
    <w:rsid w:val="00C929CA"/>
    <w:rsid w:val="00C929F5"/>
    <w:rsid w:val="00C92AA6"/>
    <w:rsid w:val="00C92ACB"/>
    <w:rsid w:val="00C92B2E"/>
    <w:rsid w:val="00C92B4C"/>
    <w:rsid w:val="00C92B6D"/>
    <w:rsid w:val="00C92B9B"/>
    <w:rsid w:val="00C92BB6"/>
    <w:rsid w:val="00C92BD9"/>
    <w:rsid w:val="00C92BFD"/>
    <w:rsid w:val="00C92C27"/>
    <w:rsid w:val="00C92C3F"/>
    <w:rsid w:val="00C92C70"/>
    <w:rsid w:val="00C92CA5"/>
    <w:rsid w:val="00C92CDA"/>
    <w:rsid w:val="00C92CDB"/>
    <w:rsid w:val="00C92CE9"/>
    <w:rsid w:val="00C92D32"/>
    <w:rsid w:val="00C92D3A"/>
    <w:rsid w:val="00C92D7A"/>
    <w:rsid w:val="00C92DB5"/>
    <w:rsid w:val="00C92DD3"/>
    <w:rsid w:val="00C92E0E"/>
    <w:rsid w:val="00C92E32"/>
    <w:rsid w:val="00C92E74"/>
    <w:rsid w:val="00C92E8C"/>
    <w:rsid w:val="00C92ED1"/>
    <w:rsid w:val="00C92F63"/>
    <w:rsid w:val="00C92F72"/>
    <w:rsid w:val="00C92FC6"/>
    <w:rsid w:val="00C92FD9"/>
    <w:rsid w:val="00C93027"/>
    <w:rsid w:val="00C93028"/>
    <w:rsid w:val="00C93071"/>
    <w:rsid w:val="00C9308A"/>
    <w:rsid w:val="00C93091"/>
    <w:rsid w:val="00C930AB"/>
    <w:rsid w:val="00C930C4"/>
    <w:rsid w:val="00C930D4"/>
    <w:rsid w:val="00C930F0"/>
    <w:rsid w:val="00C930FA"/>
    <w:rsid w:val="00C930FF"/>
    <w:rsid w:val="00C93130"/>
    <w:rsid w:val="00C93142"/>
    <w:rsid w:val="00C93174"/>
    <w:rsid w:val="00C931B5"/>
    <w:rsid w:val="00C931C5"/>
    <w:rsid w:val="00C931E3"/>
    <w:rsid w:val="00C9321A"/>
    <w:rsid w:val="00C93246"/>
    <w:rsid w:val="00C93250"/>
    <w:rsid w:val="00C932CC"/>
    <w:rsid w:val="00C932F7"/>
    <w:rsid w:val="00C93301"/>
    <w:rsid w:val="00C93306"/>
    <w:rsid w:val="00C93337"/>
    <w:rsid w:val="00C9334D"/>
    <w:rsid w:val="00C9335D"/>
    <w:rsid w:val="00C93375"/>
    <w:rsid w:val="00C933EB"/>
    <w:rsid w:val="00C93402"/>
    <w:rsid w:val="00C9343C"/>
    <w:rsid w:val="00C93471"/>
    <w:rsid w:val="00C934C4"/>
    <w:rsid w:val="00C934E9"/>
    <w:rsid w:val="00C9350D"/>
    <w:rsid w:val="00C93514"/>
    <w:rsid w:val="00C93538"/>
    <w:rsid w:val="00C9355A"/>
    <w:rsid w:val="00C93560"/>
    <w:rsid w:val="00C935CA"/>
    <w:rsid w:val="00C935F6"/>
    <w:rsid w:val="00C93632"/>
    <w:rsid w:val="00C93644"/>
    <w:rsid w:val="00C9365A"/>
    <w:rsid w:val="00C93660"/>
    <w:rsid w:val="00C936F1"/>
    <w:rsid w:val="00C936FD"/>
    <w:rsid w:val="00C93765"/>
    <w:rsid w:val="00C93770"/>
    <w:rsid w:val="00C93771"/>
    <w:rsid w:val="00C93778"/>
    <w:rsid w:val="00C9378A"/>
    <w:rsid w:val="00C937C6"/>
    <w:rsid w:val="00C937D4"/>
    <w:rsid w:val="00C93823"/>
    <w:rsid w:val="00C93895"/>
    <w:rsid w:val="00C938E1"/>
    <w:rsid w:val="00C938E3"/>
    <w:rsid w:val="00C938EE"/>
    <w:rsid w:val="00C938F4"/>
    <w:rsid w:val="00C9391A"/>
    <w:rsid w:val="00C93979"/>
    <w:rsid w:val="00C9398F"/>
    <w:rsid w:val="00C939D9"/>
    <w:rsid w:val="00C939F8"/>
    <w:rsid w:val="00C93A0A"/>
    <w:rsid w:val="00C93A0D"/>
    <w:rsid w:val="00C93A2E"/>
    <w:rsid w:val="00C93A3E"/>
    <w:rsid w:val="00C93A53"/>
    <w:rsid w:val="00C93A57"/>
    <w:rsid w:val="00C93A72"/>
    <w:rsid w:val="00C93A81"/>
    <w:rsid w:val="00C93AB7"/>
    <w:rsid w:val="00C93AC9"/>
    <w:rsid w:val="00C93B5B"/>
    <w:rsid w:val="00C93B6E"/>
    <w:rsid w:val="00C93B96"/>
    <w:rsid w:val="00C93BF1"/>
    <w:rsid w:val="00C93BFF"/>
    <w:rsid w:val="00C93C02"/>
    <w:rsid w:val="00C93C2A"/>
    <w:rsid w:val="00C93C63"/>
    <w:rsid w:val="00C93C69"/>
    <w:rsid w:val="00C93C81"/>
    <w:rsid w:val="00C93C86"/>
    <w:rsid w:val="00C93CE7"/>
    <w:rsid w:val="00C93D01"/>
    <w:rsid w:val="00C93D27"/>
    <w:rsid w:val="00C93D42"/>
    <w:rsid w:val="00C93D5C"/>
    <w:rsid w:val="00C93D73"/>
    <w:rsid w:val="00C93DBF"/>
    <w:rsid w:val="00C93DC3"/>
    <w:rsid w:val="00C93DCC"/>
    <w:rsid w:val="00C93DFE"/>
    <w:rsid w:val="00C93E6F"/>
    <w:rsid w:val="00C93F29"/>
    <w:rsid w:val="00C93F2C"/>
    <w:rsid w:val="00C93F37"/>
    <w:rsid w:val="00C93F8C"/>
    <w:rsid w:val="00C93F97"/>
    <w:rsid w:val="00C93FC3"/>
    <w:rsid w:val="00C93FC7"/>
    <w:rsid w:val="00C93FCD"/>
    <w:rsid w:val="00C93FF5"/>
    <w:rsid w:val="00C9400D"/>
    <w:rsid w:val="00C9409D"/>
    <w:rsid w:val="00C940C0"/>
    <w:rsid w:val="00C940E5"/>
    <w:rsid w:val="00C94150"/>
    <w:rsid w:val="00C94174"/>
    <w:rsid w:val="00C9418C"/>
    <w:rsid w:val="00C94193"/>
    <w:rsid w:val="00C941A0"/>
    <w:rsid w:val="00C941A7"/>
    <w:rsid w:val="00C941D9"/>
    <w:rsid w:val="00C941DB"/>
    <w:rsid w:val="00C941DC"/>
    <w:rsid w:val="00C9420A"/>
    <w:rsid w:val="00C94254"/>
    <w:rsid w:val="00C942C1"/>
    <w:rsid w:val="00C942CD"/>
    <w:rsid w:val="00C942CE"/>
    <w:rsid w:val="00C942FF"/>
    <w:rsid w:val="00C94307"/>
    <w:rsid w:val="00C94311"/>
    <w:rsid w:val="00C94313"/>
    <w:rsid w:val="00C94354"/>
    <w:rsid w:val="00C9436D"/>
    <w:rsid w:val="00C943CE"/>
    <w:rsid w:val="00C943D3"/>
    <w:rsid w:val="00C943E2"/>
    <w:rsid w:val="00C94409"/>
    <w:rsid w:val="00C9440D"/>
    <w:rsid w:val="00C9442B"/>
    <w:rsid w:val="00C94447"/>
    <w:rsid w:val="00C944AA"/>
    <w:rsid w:val="00C944B5"/>
    <w:rsid w:val="00C94503"/>
    <w:rsid w:val="00C94511"/>
    <w:rsid w:val="00C94521"/>
    <w:rsid w:val="00C94523"/>
    <w:rsid w:val="00C9452A"/>
    <w:rsid w:val="00C9452F"/>
    <w:rsid w:val="00C9459B"/>
    <w:rsid w:val="00C94634"/>
    <w:rsid w:val="00C94635"/>
    <w:rsid w:val="00C946B4"/>
    <w:rsid w:val="00C946B5"/>
    <w:rsid w:val="00C946E4"/>
    <w:rsid w:val="00C946FF"/>
    <w:rsid w:val="00C9472B"/>
    <w:rsid w:val="00C9478E"/>
    <w:rsid w:val="00C947A2"/>
    <w:rsid w:val="00C94813"/>
    <w:rsid w:val="00C94830"/>
    <w:rsid w:val="00C94832"/>
    <w:rsid w:val="00C9488F"/>
    <w:rsid w:val="00C948AC"/>
    <w:rsid w:val="00C948B8"/>
    <w:rsid w:val="00C948D0"/>
    <w:rsid w:val="00C94986"/>
    <w:rsid w:val="00C9498D"/>
    <w:rsid w:val="00C949B1"/>
    <w:rsid w:val="00C949B2"/>
    <w:rsid w:val="00C949F3"/>
    <w:rsid w:val="00C949F4"/>
    <w:rsid w:val="00C94A21"/>
    <w:rsid w:val="00C94A40"/>
    <w:rsid w:val="00C94A85"/>
    <w:rsid w:val="00C94AA9"/>
    <w:rsid w:val="00C94AB1"/>
    <w:rsid w:val="00C94ACC"/>
    <w:rsid w:val="00C94AEC"/>
    <w:rsid w:val="00C94AF1"/>
    <w:rsid w:val="00C94B37"/>
    <w:rsid w:val="00C94B3E"/>
    <w:rsid w:val="00C94B60"/>
    <w:rsid w:val="00C94B9B"/>
    <w:rsid w:val="00C94B9E"/>
    <w:rsid w:val="00C94BA8"/>
    <w:rsid w:val="00C94BB8"/>
    <w:rsid w:val="00C94BC2"/>
    <w:rsid w:val="00C94BEA"/>
    <w:rsid w:val="00C94C1D"/>
    <w:rsid w:val="00C94C2A"/>
    <w:rsid w:val="00C94C3B"/>
    <w:rsid w:val="00C94C70"/>
    <w:rsid w:val="00C94C8A"/>
    <w:rsid w:val="00C94CAD"/>
    <w:rsid w:val="00C94CBD"/>
    <w:rsid w:val="00C94CC8"/>
    <w:rsid w:val="00C94CE1"/>
    <w:rsid w:val="00C94CEF"/>
    <w:rsid w:val="00C94D0A"/>
    <w:rsid w:val="00C94D2B"/>
    <w:rsid w:val="00C94D57"/>
    <w:rsid w:val="00C94D63"/>
    <w:rsid w:val="00C94D9D"/>
    <w:rsid w:val="00C94DAD"/>
    <w:rsid w:val="00C94DFA"/>
    <w:rsid w:val="00C94E14"/>
    <w:rsid w:val="00C94E26"/>
    <w:rsid w:val="00C94E9E"/>
    <w:rsid w:val="00C94EB1"/>
    <w:rsid w:val="00C94ECF"/>
    <w:rsid w:val="00C94EDC"/>
    <w:rsid w:val="00C94EF9"/>
    <w:rsid w:val="00C94F31"/>
    <w:rsid w:val="00C94F43"/>
    <w:rsid w:val="00C94F56"/>
    <w:rsid w:val="00C94F9D"/>
    <w:rsid w:val="00C94FA4"/>
    <w:rsid w:val="00C9501A"/>
    <w:rsid w:val="00C95035"/>
    <w:rsid w:val="00C95047"/>
    <w:rsid w:val="00C95068"/>
    <w:rsid w:val="00C9508B"/>
    <w:rsid w:val="00C950AD"/>
    <w:rsid w:val="00C950B2"/>
    <w:rsid w:val="00C950ED"/>
    <w:rsid w:val="00C9510D"/>
    <w:rsid w:val="00C9512E"/>
    <w:rsid w:val="00C95139"/>
    <w:rsid w:val="00C95147"/>
    <w:rsid w:val="00C95148"/>
    <w:rsid w:val="00C95167"/>
    <w:rsid w:val="00C95179"/>
    <w:rsid w:val="00C9518E"/>
    <w:rsid w:val="00C951E3"/>
    <w:rsid w:val="00C9522B"/>
    <w:rsid w:val="00C95241"/>
    <w:rsid w:val="00C95270"/>
    <w:rsid w:val="00C9527C"/>
    <w:rsid w:val="00C952BC"/>
    <w:rsid w:val="00C9530D"/>
    <w:rsid w:val="00C9531B"/>
    <w:rsid w:val="00C95322"/>
    <w:rsid w:val="00C95347"/>
    <w:rsid w:val="00C95373"/>
    <w:rsid w:val="00C95399"/>
    <w:rsid w:val="00C9539B"/>
    <w:rsid w:val="00C9539F"/>
    <w:rsid w:val="00C953AC"/>
    <w:rsid w:val="00C953B9"/>
    <w:rsid w:val="00C953E2"/>
    <w:rsid w:val="00C95434"/>
    <w:rsid w:val="00C9543C"/>
    <w:rsid w:val="00C95445"/>
    <w:rsid w:val="00C95459"/>
    <w:rsid w:val="00C954A2"/>
    <w:rsid w:val="00C954E4"/>
    <w:rsid w:val="00C95512"/>
    <w:rsid w:val="00C9551F"/>
    <w:rsid w:val="00C9554C"/>
    <w:rsid w:val="00C95564"/>
    <w:rsid w:val="00C95569"/>
    <w:rsid w:val="00C9556C"/>
    <w:rsid w:val="00C9557C"/>
    <w:rsid w:val="00C9559C"/>
    <w:rsid w:val="00C955A1"/>
    <w:rsid w:val="00C955A3"/>
    <w:rsid w:val="00C955BE"/>
    <w:rsid w:val="00C955E5"/>
    <w:rsid w:val="00C955E8"/>
    <w:rsid w:val="00C95637"/>
    <w:rsid w:val="00C956CD"/>
    <w:rsid w:val="00C956FD"/>
    <w:rsid w:val="00C95722"/>
    <w:rsid w:val="00C95735"/>
    <w:rsid w:val="00C9574D"/>
    <w:rsid w:val="00C9576F"/>
    <w:rsid w:val="00C9579B"/>
    <w:rsid w:val="00C957B7"/>
    <w:rsid w:val="00C957D2"/>
    <w:rsid w:val="00C957E5"/>
    <w:rsid w:val="00C957F6"/>
    <w:rsid w:val="00C95856"/>
    <w:rsid w:val="00C95867"/>
    <w:rsid w:val="00C9589D"/>
    <w:rsid w:val="00C958A6"/>
    <w:rsid w:val="00C958CF"/>
    <w:rsid w:val="00C958EE"/>
    <w:rsid w:val="00C95902"/>
    <w:rsid w:val="00C9591C"/>
    <w:rsid w:val="00C95924"/>
    <w:rsid w:val="00C95943"/>
    <w:rsid w:val="00C9594D"/>
    <w:rsid w:val="00C95998"/>
    <w:rsid w:val="00C959DE"/>
    <w:rsid w:val="00C959F4"/>
    <w:rsid w:val="00C95A19"/>
    <w:rsid w:val="00C95A3D"/>
    <w:rsid w:val="00C95A45"/>
    <w:rsid w:val="00C95A4F"/>
    <w:rsid w:val="00C95A89"/>
    <w:rsid w:val="00C95A93"/>
    <w:rsid w:val="00C95A9D"/>
    <w:rsid w:val="00C95AE6"/>
    <w:rsid w:val="00C95B15"/>
    <w:rsid w:val="00C95B38"/>
    <w:rsid w:val="00C95B5B"/>
    <w:rsid w:val="00C95B62"/>
    <w:rsid w:val="00C95B81"/>
    <w:rsid w:val="00C95BA5"/>
    <w:rsid w:val="00C95BAD"/>
    <w:rsid w:val="00C95BE3"/>
    <w:rsid w:val="00C95BE5"/>
    <w:rsid w:val="00C95BEE"/>
    <w:rsid w:val="00C95BFA"/>
    <w:rsid w:val="00C95C5F"/>
    <w:rsid w:val="00C95D21"/>
    <w:rsid w:val="00C95D25"/>
    <w:rsid w:val="00C95D93"/>
    <w:rsid w:val="00C95D9E"/>
    <w:rsid w:val="00C95DA4"/>
    <w:rsid w:val="00C95E41"/>
    <w:rsid w:val="00C95E66"/>
    <w:rsid w:val="00C95E87"/>
    <w:rsid w:val="00C95EC5"/>
    <w:rsid w:val="00C95EFA"/>
    <w:rsid w:val="00C95F1A"/>
    <w:rsid w:val="00C95F32"/>
    <w:rsid w:val="00C95F9A"/>
    <w:rsid w:val="00C95FA5"/>
    <w:rsid w:val="00C95FE0"/>
    <w:rsid w:val="00C96015"/>
    <w:rsid w:val="00C9603C"/>
    <w:rsid w:val="00C96058"/>
    <w:rsid w:val="00C9605A"/>
    <w:rsid w:val="00C9608F"/>
    <w:rsid w:val="00C960BD"/>
    <w:rsid w:val="00C960C5"/>
    <w:rsid w:val="00C960C8"/>
    <w:rsid w:val="00C960CA"/>
    <w:rsid w:val="00C96122"/>
    <w:rsid w:val="00C961C2"/>
    <w:rsid w:val="00C961D8"/>
    <w:rsid w:val="00C961FE"/>
    <w:rsid w:val="00C9620B"/>
    <w:rsid w:val="00C9620E"/>
    <w:rsid w:val="00C96251"/>
    <w:rsid w:val="00C96271"/>
    <w:rsid w:val="00C96290"/>
    <w:rsid w:val="00C962E0"/>
    <w:rsid w:val="00C962EC"/>
    <w:rsid w:val="00C96318"/>
    <w:rsid w:val="00C9632C"/>
    <w:rsid w:val="00C96338"/>
    <w:rsid w:val="00C96364"/>
    <w:rsid w:val="00C96369"/>
    <w:rsid w:val="00C963D0"/>
    <w:rsid w:val="00C9640C"/>
    <w:rsid w:val="00C96452"/>
    <w:rsid w:val="00C96454"/>
    <w:rsid w:val="00C9648E"/>
    <w:rsid w:val="00C964CA"/>
    <w:rsid w:val="00C964D0"/>
    <w:rsid w:val="00C9650D"/>
    <w:rsid w:val="00C96527"/>
    <w:rsid w:val="00C96543"/>
    <w:rsid w:val="00C96548"/>
    <w:rsid w:val="00C96590"/>
    <w:rsid w:val="00C96616"/>
    <w:rsid w:val="00C96644"/>
    <w:rsid w:val="00C96652"/>
    <w:rsid w:val="00C96667"/>
    <w:rsid w:val="00C966B5"/>
    <w:rsid w:val="00C966D5"/>
    <w:rsid w:val="00C966DE"/>
    <w:rsid w:val="00C96705"/>
    <w:rsid w:val="00C9672F"/>
    <w:rsid w:val="00C9678B"/>
    <w:rsid w:val="00C967CB"/>
    <w:rsid w:val="00C967D0"/>
    <w:rsid w:val="00C96884"/>
    <w:rsid w:val="00C9688A"/>
    <w:rsid w:val="00C96896"/>
    <w:rsid w:val="00C968A3"/>
    <w:rsid w:val="00C968C8"/>
    <w:rsid w:val="00C968D6"/>
    <w:rsid w:val="00C968DE"/>
    <w:rsid w:val="00C968FE"/>
    <w:rsid w:val="00C96921"/>
    <w:rsid w:val="00C96923"/>
    <w:rsid w:val="00C9699B"/>
    <w:rsid w:val="00C969AB"/>
    <w:rsid w:val="00C969AD"/>
    <w:rsid w:val="00C969C8"/>
    <w:rsid w:val="00C969D0"/>
    <w:rsid w:val="00C969E9"/>
    <w:rsid w:val="00C969EB"/>
    <w:rsid w:val="00C969EC"/>
    <w:rsid w:val="00C96A01"/>
    <w:rsid w:val="00C96A09"/>
    <w:rsid w:val="00C96A73"/>
    <w:rsid w:val="00C96AA0"/>
    <w:rsid w:val="00C96B07"/>
    <w:rsid w:val="00C96B4D"/>
    <w:rsid w:val="00C96B63"/>
    <w:rsid w:val="00C96B6F"/>
    <w:rsid w:val="00C96B79"/>
    <w:rsid w:val="00C96BAA"/>
    <w:rsid w:val="00C96BBE"/>
    <w:rsid w:val="00C96C0B"/>
    <w:rsid w:val="00C96C3F"/>
    <w:rsid w:val="00C96C50"/>
    <w:rsid w:val="00C96C5C"/>
    <w:rsid w:val="00C96C6D"/>
    <w:rsid w:val="00C96C97"/>
    <w:rsid w:val="00C96CB4"/>
    <w:rsid w:val="00C96CCA"/>
    <w:rsid w:val="00C96CCC"/>
    <w:rsid w:val="00C96CDA"/>
    <w:rsid w:val="00C96CED"/>
    <w:rsid w:val="00C96D09"/>
    <w:rsid w:val="00C96D24"/>
    <w:rsid w:val="00C96D38"/>
    <w:rsid w:val="00C96D3D"/>
    <w:rsid w:val="00C96DBA"/>
    <w:rsid w:val="00C96DBC"/>
    <w:rsid w:val="00C96DC5"/>
    <w:rsid w:val="00C96DCE"/>
    <w:rsid w:val="00C96E5A"/>
    <w:rsid w:val="00C96E6C"/>
    <w:rsid w:val="00C96E9B"/>
    <w:rsid w:val="00C96EB9"/>
    <w:rsid w:val="00C96EF2"/>
    <w:rsid w:val="00C96F27"/>
    <w:rsid w:val="00C96F38"/>
    <w:rsid w:val="00C96F4E"/>
    <w:rsid w:val="00C96F54"/>
    <w:rsid w:val="00C96FAD"/>
    <w:rsid w:val="00C96FB0"/>
    <w:rsid w:val="00C96FB1"/>
    <w:rsid w:val="00C97000"/>
    <w:rsid w:val="00C97003"/>
    <w:rsid w:val="00C970E3"/>
    <w:rsid w:val="00C97104"/>
    <w:rsid w:val="00C97122"/>
    <w:rsid w:val="00C97145"/>
    <w:rsid w:val="00C97175"/>
    <w:rsid w:val="00C971D4"/>
    <w:rsid w:val="00C971DE"/>
    <w:rsid w:val="00C971ED"/>
    <w:rsid w:val="00C971F5"/>
    <w:rsid w:val="00C97204"/>
    <w:rsid w:val="00C97218"/>
    <w:rsid w:val="00C97266"/>
    <w:rsid w:val="00C97276"/>
    <w:rsid w:val="00C9729F"/>
    <w:rsid w:val="00C97325"/>
    <w:rsid w:val="00C97335"/>
    <w:rsid w:val="00C97369"/>
    <w:rsid w:val="00C973A6"/>
    <w:rsid w:val="00C973BA"/>
    <w:rsid w:val="00C97425"/>
    <w:rsid w:val="00C97427"/>
    <w:rsid w:val="00C9745D"/>
    <w:rsid w:val="00C974CC"/>
    <w:rsid w:val="00C974D2"/>
    <w:rsid w:val="00C97501"/>
    <w:rsid w:val="00C97544"/>
    <w:rsid w:val="00C97586"/>
    <w:rsid w:val="00C97631"/>
    <w:rsid w:val="00C97646"/>
    <w:rsid w:val="00C97660"/>
    <w:rsid w:val="00C97686"/>
    <w:rsid w:val="00C976C7"/>
    <w:rsid w:val="00C976F6"/>
    <w:rsid w:val="00C9778E"/>
    <w:rsid w:val="00C9779D"/>
    <w:rsid w:val="00C977B0"/>
    <w:rsid w:val="00C977D1"/>
    <w:rsid w:val="00C977D3"/>
    <w:rsid w:val="00C977FD"/>
    <w:rsid w:val="00C97824"/>
    <w:rsid w:val="00C97828"/>
    <w:rsid w:val="00C9783F"/>
    <w:rsid w:val="00C978C5"/>
    <w:rsid w:val="00C978C8"/>
    <w:rsid w:val="00C97913"/>
    <w:rsid w:val="00C9791F"/>
    <w:rsid w:val="00C9792E"/>
    <w:rsid w:val="00C97956"/>
    <w:rsid w:val="00C979B1"/>
    <w:rsid w:val="00C979C0"/>
    <w:rsid w:val="00C979C5"/>
    <w:rsid w:val="00C979E4"/>
    <w:rsid w:val="00C979E7"/>
    <w:rsid w:val="00C97A8A"/>
    <w:rsid w:val="00C97A8B"/>
    <w:rsid w:val="00C97A9C"/>
    <w:rsid w:val="00C97AAC"/>
    <w:rsid w:val="00C97AFB"/>
    <w:rsid w:val="00C97B74"/>
    <w:rsid w:val="00C97BAB"/>
    <w:rsid w:val="00C97BAC"/>
    <w:rsid w:val="00C97BB1"/>
    <w:rsid w:val="00C97BFF"/>
    <w:rsid w:val="00C97C07"/>
    <w:rsid w:val="00C97C34"/>
    <w:rsid w:val="00C97C58"/>
    <w:rsid w:val="00C97C8E"/>
    <w:rsid w:val="00C97CBD"/>
    <w:rsid w:val="00C97CEA"/>
    <w:rsid w:val="00C97D09"/>
    <w:rsid w:val="00C97D11"/>
    <w:rsid w:val="00C97D4E"/>
    <w:rsid w:val="00C97DC1"/>
    <w:rsid w:val="00C97E03"/>
    <w:rsid w:val="00C97E2B"/>
    <w:rsid w:val="00C97EB6"/>
    <w:rsid w:val="00C97F04"/>
    <w:rsid w:val="00C97F0B"/>
    <w:rsid w:val="00C97F14"/>
    <w:rsid w:val="00C97F38"/>
    <w:rsid w:val="00C97F58"/>
    <w:rsid w:val="00C97FDA"/>
    <w:rsid w:val="00C97FDC"/>
    <w:rsid w:val="00C97FE1"/>
    <w:rsid w:val="00C97FE6"/>
    <w:rsid w:val="00C97FEF"/>
    <w:rsid w:val="00CA001F"/>
    <w:rsid w:val="00CA005F"/>
    <w:rsid w:val="00CA009D"/>
    <w:rsid w:val="00CA00D3"/>
    <w:rsid w:val="00CA00F1"/>
    <w:rsid w:val="00CA016C"/>
    <w:rsid w:val="00CA0247"/>
    <w:rsid w:val="00CA0279"/>
    <w:rsid w:val="00CA028A"/>
    <w:rsid w:val="00CA028D"/>
    <w:rsid w:val="00CA02A4"/>
    <w:rsid w:val="00CA02B0"/>
    <w:rsid w:val="00CA02C0"/>
    <w:rsid w:val="00CA02CA"/>
    <w:rsid w:val="00CA02D4"/>
    <w:rsid w:val="00CA02FE"/>
    <w:rsid w:val="00CA02FF"/>
    <w:rsid w:val="00CA0331"/>
    <w:rsid w:val="00CA0386"/>
    <w:rsid w:val="00CA03E3"/>
    <w:rsid w:val="00CA03F7"/>
    <w:rsid w:val="00CA040B"/>
    <w:rsid w:val="00CA040D"/>
    <w:rsid w:val="00CA0442"/>
    <w:rsid w:val="00CA046F"/>
    <w:rsid w:val="00CA0488"/>
    <w:rsid w:val="00CA04A6"/>
    <w:rsid w:val="00CA0503"/>
    <w:rsid w:val="00CA0514"/>
    <w:rsid w:val="00CA0529"/>
    <w:rsid w:val="00CA053D"/>
    <w:rsid w:val="00CA0550"/>
    <w:rsid w:val="00CA055E"/>
    <w:rsid w:val="00CA056C"/>
    <w:rsid w:val="00CA059B"/>
    <w:rsid w:val="00CA05E9"/>
    <w:rsid w:val="00CA0639"/>
    <w:rsid w:val="00CA0663"/>
    <w:rsid w:val="00CA0669"/>
    <w:rsid w:val="00CA06B4"/>
    <w:rsid w:val="00CA06BF"/>
    <w:rsid w:val="00CA06ED"/>
    <w:rsid w:val="00CA071E"/>
    <w:rsid w:val="00CA076E"/>
    <w:rsid w:val="00CA07AE"/>
    <w:rsid w:val="00CA07E4"/>
    <w:rsid w:val="00CA083D"/>
    <w:rsid w:val="00CA085A"/>
    <w:rsid w:val="00CA08D5"/>
    <w:rsid w:val="00CA0942"/>
    <w:rsid w:val="00CA094F"/>
    <w:rsid w:val="00CA096E"/>
    <w:rsid w:val="00CA0980"/>
    <w:rsid w:val="00CA0999"/>
    <w:rsid w:val="00CA09AC"/>
    <w:rsid w:val="00CA09C4"/>
    <w:rsid w:val="00CA09CC"/>
    <w:rsid w:val="00CA0A40"/>
    <w:rsid w:val="00CA0A4E"/>
    <w:rsid w:val="00CA0A4F"/>
    <w:rsid w:val="00CA0A9B"/>
    <w:rsid w:val="00CA0AA4"/>
    <w:rsid w:val="00CA0AC2"/>
    <w:rsid w:val="00CA0AD2"/>
    <w:rsid w:val="00CA0AE0"/>
    <w:rsid w:val="00CA0B39"/>
    <w:rsid w:val="00CA0B68"/>
    <w:rsid w:val="00CA0B7D"/>
    <w:rsid w:val="00CA0BEC"/>
    <w:rsid w:val="00CA0C08"/>
    <w:rsid w:val="00CA0C15"/>
    <w:rsid w:val="00CA0C49"/>
    <w:rsid w:val="00CA0C4C"/>
    <w:rsid w:val="00CA0CB6"/>
    <w:rsid w:val="00CA0CE1"/>
    <w:rsid w:val="00CA0D02"/>
    <w:rsid w:val="00CA0D0F"/>
    <w:rsid w:val="00CA0D14"/>
    <w:rsid w:val="00CA0D3F"/>
    <w:rsid w:val="00CA0DB5"/>
    <w:rsid w:val="00CA0DC5"/>
    <w:rsid w:val="00CA0DF7"/>
    <w:rsid w:val="00CA0DFE"/>
    <w:rsid w:val="00CA0E08"/>
    <w:rsid w:val="00CA0E09"/>
    <w:rsid w:val="00CA0E84"/>
    <w:rsid w:val="00CA0E9E"/>
    <w:rsid w:val="00CA0EA9"/>
    <w:rsid w:val="00CA0ECE"/>
    <w:rsid w:val="00CA0F0B"/>
    <w:rsid w:val="00CA0F20"/>
    <w:rsid w:val="00CA0F47"/>
    <w:rsid w:val="00CA0F59"/>
    <w:rsid w:val="00CA0FCA"/>
    <w:rsid w:val="00CA100E"/>
    <w:rsid w:val="00CA102A"/>
    <w:rsid w:val="00CA1058"/>
    <w:rsid w:val="00CA1116"/>
    <w:rsid w:val="00CA112D"/>
    <w:rsid w:val="00CA1151"/>
    <w:rsid w:val="00CA1153"/>
    <w:rsid w:val="00CA115B"/>
    <w:rsid w:val="00CA116A"/>
    <w:rsid w:val="00CA1177"/>
    <w:rsid w:val="00CA1179"/>
    <w:rsid w:val="00CA11DF"/>
    <w:rsid w:val="00CA1213"/>
    <w:rsid w:val="00CA1280"/>
    <w:rsid w:val="00CA12C5"/>
    <w:rsid w:val="00CA1316"/>
    <w:rsid w:val="00CA1380"/>
    <w:rsid w:val="00CA1455"/>
    <w:rsid w:val="00CA1469"/>
    <w:rsid w:val="00CA14A2"/>
    <w:rsid w:val="00CA14B6"/>
    <w:rsid w:val="00CA14E3"/>
    <w:rsid w:val="00CA1531"/>
    <w:rsid w:val="00CA1533"/>
    <w:rsid w:val="00CA154D"/>
    <w:rsid w:val="00CA157A"/>
    <w:rsid w:val="00CA159F"/>
    <w:rsid w:val="00CA15AE"/>
    <w:rsid w:val="00CA15C2"/>
    <w:rsid w:val="00CA160D"/>
    <w:rsid w:val="00CA1651"/>
    <w:rsid w:val="00CA1668"/>
    <w:rsid w:val="00CA168C"/>
    <w:rsid w:val="00CA16BA"/>
    <w:rsid w:val="00CA16D4"/>
    <w:rsid w:val="00CA1727"/>
    <w:rsid w:val="00CA173B"/>
    <w:rsid w:val="00CA1799"/>
    <w:rsid w:val="00CA17B8"/>
    <w:rsid w:val="00CA1883"/>
    <w:rsid w:val="00CA18A1"/>
    <w:rsid w:val="00CA18D2"/>
    <w:rsid w:val="00CA1900"/>
    <w:rsid w:val="00CA190E"/>
    <w:rsid w:val="00CA1929"/>
    <w:rsid w:val="00CA192E"/>
    <w:rsid w:val="00CA194E"/>
    <w:rsid w:val="00CA1956"/>
    <w:rsid w:val="00CA19B6"/>
    <w:rsid w:val="00CA19BE"/>
    <w:rsid w:val="00CA19C1"/>
    <w:rsid w:val="00CA19D2"/>
    <w:rsid w:val="00CA19EA"/>
    <w:rsid w:val="00CA1A15"/>
    <w:rsid w:val="00CA1A25"/>
    <w:rsid w:val="00CA1A51"/>
    <w:rsid w:val="00CA1A7C"/>
    <w:rsid w:val="00CA1A87"/>
    <w:rsid w:val="00CA1A8C"/>
    <w:rsid w:val="00CA1A96"/>
    <w:rsid w:val="00CA1B15"/>
    <w:rsid w:val="00CA1B56"/>
    <w:rsid w:val="00CA1B85"/>
    <w:rsid w:val="00CA1BA3"/>
    <w:rsid w:val="00CA1BBD"/>
    <w:rsid w:val="00CA1BCE"/>
    <w:rsid w:val="00CA1BF2"/>
    <w:rsid w:val="00CA1C21"/>
    <w:rsid w:val="00CA1C22"/>
    <w:rsid w:val="00CA1C33"/>
    <w:rsid w:val="00CA1CD2"/>
    <w:rsid w:val="00CA1D3F"/>
    <w:rsid w:val="00CA1D83"/>
    <w:rsid w:val="00CA1DE0"/>
    <w:rsid w:val="00CA1DFF"/>
    <w:rsid w:val="00CA1E7F"/>
    <w:rsid w:val="00CA1EB7"/>
    <w:rsid w:val="00CA1EDB"/>
    <w:rsid w:val="00CA1EFB"/>
    <w:rsid w:val="00CA1F29"/>
    <w:rsid w:val="00CA1F95"/>
    <w:rsid w:val="00CA2049"/>
    <w:rsid w:val="00CA204B"/>
    <w:rsid w:val="00CA2128"/>
    <w:rsid w:val="00CA212F"/>
    <w:rsid w:val="00CA215B"/>
    <w:rsid w:val="00CA2196"/>
    <w:rsid w:val="00CA21AB"/>
    <w:rsid w:val="00CA21E8"/>
    <w:rsid w:val="00CA225C"/>
    <w:rsid w:val="00CA2295"/>
    <w:rsid w:val="00CA22A0"/>
    <w:rsid w:val="00CA22B2"/>
    <w:rsid w:val="00CA22E0"/>
    <w:rsid w:val="00CA22EE"/>
    <w:rsid w:val="00CA2328"/>
    <w:rsid w:val="00CA2353"/>
    <w:rsid w:val="00CA2382"/>
    <w:rsid w:val="00CA238A"/>
    <w:rsid w:val="00CA23C9"/>
    <w:rsid w:val="00CA23E5"/>
    <w:rsid w:val="00CA23ED"/>
    <w:rsid w:val="00CA23F1"/>
    <w:rsid w:val="00CA2436"/>
    <w:rsid w:val="00CA2453"/>
    <w:rsid w:val="00CA246D"/>
    <w:rsid w:val="00CA24BC"/>
    <w:rsid w:val="00CA24C1"/>
    <w:rsid w:val="00CA24DD"/>
    <w:rsid w:val="00CA24ED"/>
    <w:rsid w:val="00CA24F3"/>
    <w:rsid w:val="00CA2520"/>
    <w:rsid w:val="00CA2552"/>
    <w:rsid w:val="00CA2555"/>
    <w:rsid w:val="00CA2557"/>
    <w:rsid w:val="00CA25A5"/>
    <w:rsid w:val="00CA25A9"/>
    <w:rsid w:val="00CA25CC"/>
    <w:rsid w:val="00CA25F4"/>
    <w:rsid w:val="00CA2627"/>
    <w:rsid w:val="00CA265D"/>
    <w:rsid w:val="00CA2668"/>
    <w:rsid w:val="00CA26DA"/>
    <w:rsid w:val="00CA26F0"/>
    <w:rsid w:val="00CA2740"/>
    <w:rsid w:val="00CA276B"/>
    <w:rsid w:val="00CA27E2"/>
    <w:rsid w:val="00CA27E3"/>
    <w:rsid w:val="00CA2857"/>
    <w:rsid w:val="00CA2858"/>
    <w:rsid w:val="00CA2869"/>
    <w:rsid w:val="00CA288D"/>
    <w:rsid w:val="00CA288E"/>
    <w:rsid w:val="00CA289D"/>
    <w:rsid w:val="00CA28BD"/>
    <w:rsid w:val="00CA2959"/>
    <w:rsid w:val="00CA298B"/>
    <w:rsid w:val="00CA29C5"/>
    <w:rsid w:val="00CA29C6"/>
    <w:rsid w:val="00CA29C8"/>
    <w:rsid w:val="00CA29CA"/>
    <w:rsid w:val="00CA29E3"/>
    <w:rsid w:val="00CA29F3"/>
    <w:rsid w:val="00CA29F7"/>
    <w:rsid w:val="00CA2A60"/>
    <w:rsid w:val="00CA2A77"/>
    <w:rsid w:val="00CA2A85"/>
    <w:rsid w:val="00CA2A9E"/>
    <w:rsid w:val="00CA2AA9"/>
    <w:rsid w:val="00CA2ACB"/>
    <w:rsid w:val="00CA2AF5"/>
    <w:rsid w:val="00CA2B42"/>
    <w:rsid w:val="00CA2BC4"/>
    <w:rsid w:val="00CA2C1E"/>
    <w:rsid w:val="00CA2C3C"/>
    <w:rsid w:val="00CA2C58"/>
    <w:rsid w:val="00CA2C82"/>
    <w:rsid w:val="00CA2C8A"/>
    <w:rsid w:val="00CA2CFD"/>
    <w:rsid w:val="00CA2D14"/>
    <w:rsid w:val="00CA2D63"/>
    <w:rsid w:val="00CA2D75"/>
    <w:rsid w:val="00CA2D8E"/>
    <w:rsid w:val="00CA2D8F"/>
    <w:rsid w:val="00CA2D90"/>
    <w:rsid w:val="00CA2DAE"/>
    <w:rsid w:val="00CA2DB9"/>
    <w:rsid w:val="00CA2DCC"/>
    <w:rsid w:val="00CA2DF6"/>
    <w:rsid w:val="00CA2E31"/>
    <w:rsid w:val="00CA2E38"/>
    <w:rsid w:val="00CA2E46"/>
    <w:rsid w:val="00CA2E4A"/>
    <w:rsid w:val="00CA2E5C"/>
    <w:rsid w:val="00CA2E81"/>
    <w:rsid w:val="00CA2E86"/>
    <w:rsid w:val="00CA2EE5"/>
    <w:rsid w:val="00CA2F1F"/>
    <w:rsid w:val="00CA2F38"/>
    <w:rsid w:val="00CA2F4C"/>
    <w:rsid w:val="00CA2F6A"/>
    <w:rsid w:val="00CA2F78"/>
    <w:rsid w:val="00CA3006"/>
    <w:rsid w:val="00CA302A"/>
    <w:rsid w:val="00CA3054"/>
    <w:rsid w:val="00CA307C"/>
    <w:rsid w:val="00CA308C"/>
    <w:rsid w:val="00CA30A2"/>
    <w:rsid w:val="00CA30B4"/>
    <w:rsid w:val="00CA3129"/>
    <w:rsid w:val="00CA3139"/>
    <w:rsid w:val="00CA3174"/>
    <w:rsid w:val="00CA31A3"/>
    <w:rsid w:val="00CA31D4"/>
    <w:rsid w:val="00CA31E4"/>
    <w:rsid w:val="00CA3226"/>
    <w:rsid w:val="00CA3229"/>
    <w:rsid w:val="00CA32AF"/>
    <w:rsid w:val="00CA32F2"/>
    <w:rsid w:val="00CA333A"/>
    <w:rsid w:val="00CA336B"/>
    <w:rsid w:val="00CA338D"/>
    <w:rsid w:val="00CA338E"/>
    <w:rsid w:val="00CA33AB"/>
    <w:rsid w:val="00CA33B5"/>
    <w:rsid w:val="00CA33D4"/>
    <w:rsid w:val="00CA33E3"/>
    <w:rsid w:val="00CA33F3"/>
    <w:rsid w:val="00CA3408"/>
    <w:rsid w:val="00CA3420"/>
    <w:rsid w:val="00CA342A"/>
    <w:rsid w:val="00CA344C"/>
    <w:rsid w:val="00CA345B"/>
    <w:rsid w:val="00CA34D5"/>
    <w:rsid w:val="00CA34E5"/>
    <w:rsid w:val="00CA34FD"/>
    <w:rsid w:val="00CA352C"/>
    <w:rsid w:val="00CA3544"/>
    <w:rsid w:val="00CA3557"/>
    <w:rsid w:val="00CA357F"/>
    <w:rsid w:val="00CA3633"/>
    <w:rsid w:val="00CA36E1"/>
    <w:rsid w:val="00CA36FC"/>
    <w:rsid w:val="00CA36FF"/>
    <w:rsid w:val="00CA3738"/>
    <w:rsid w:val="00CA3745"/>
    <w:rsid w:val="00CA374C"/>
    <w:rsid w:val="00CA37A7"/>
    <w:rsid w:val="00CA37FE"/>
    <w:rsid w:val="00CA3811"/>
    <w:rsid w:val="00CA3849"/>
    <w:rsid w:val="00CA3855"/>
    <w:rsid w:val="00CA387F"/>
    <w:rsid w:val="00CA38AB"/>
    <w:rsid w:val="00CA38B5"/>
    <w:rsid w:val="00CA38CE"/>
    <w:rsid w:val="00CA38E4"/>
    <w:rsid w:val="00CA38F8"/>
    <w:rsid w:val="00CA392F"/>
    <w:rsid w:val="00CA398B"/>
    <w:rsid w:val="00CA39A6"/>
    <w:rsid w:val="00CA39BB"/>
    <w:rsid w:val="00CA3A50"/>
    <w:rsid w:val="00CA3A51"/>
    <w:rsid w:val="00CA3A69"/>
    <w:rsid w:val="00CA3AAC"/>
    <w:rsid w:val="00CA3AD7"/>
    <w:rsid w:val="00CA3B20"/>
    <w:rsid w:val="00CA3B2F"/>
    <w:rsid w:val="00CA3B36"/>
    <w:rsid w:val="00CA3B78"/>
    <w:rsid w:val="00CA3B7B"/>
    <w:rsid w:val="00CA3B93"/>
    <w:rsid w:val="00CA3C3C"/>
    <w:rsid w:val="00CA3C49"/>
    <w:rsid w:val="00CA3C57"/>
    <w:rsid w:val="00CA3CA2"/>
    <w:rsid w:val="00CA3CAB"/>
    <w:rsid w:val="00CA3CC3"/>
    <w:rsid w:val="00CA3CC8"/>
    <w:rsid w:val="00CA3CD1"/>
    <w:rsid w:val="00CA3CE0"/>
    <w:rsid w:val="00CA3D4F"/>
    <w:rsid w:val="00CA3D74"/>
    <w:rsid w:val="00CA3D7B"/>
    <w:rsid w:val="00CA3E13"/>
    <w:rsid w:val="00CA3E24"/>
    <w:rsid w:val="00CA3E3E"/>
    <w:rsid w:val="00CA3E73"/>
    <w:rsid w:val="00CA3E9B"/>
    <w:rsid w:val="00CA3EA8"/>
    <w:rsid w:val="00CA3F37"/>
    <w:rsid w:val="00CA3F7A"/>
    <w:rsid w:val="00CA3FB5"/>
    <w:rsid w:val="00CA3FD8"/>
    <w:rsid w:val="00CA3FE7"/>
    <w:rsid w:val="00CA3FE9"/>
    <w:rsid w:val="00CA4023"/>
    <w:rsid w:val="00CA403F"/>
    <w:rsid w:val="00CA4117"/>
    <w:rsid w:val="00CA4156"/>
    <w:rsid w:val="00CA4195"/>
    <w:rsid w:val="00CA41F1"/>
    <w:rsid w:val="00CA41FF"/>
    <w:rsid w:val="00CA42D7"/>
    <w:rsid w:val="00CA430D"/>
    <w:rsid w:val="00CA432B"/>
    <w:rsid w:val="00CA4349"/>
    <w:rsid w:val="00CA436C"/>
    <w:rsid w:val="00CA437F"/>
    <w:rsid w:val="00CA4387"/>
    <w:rsid w:val="00CA438B"/>
    <w:rsid w:val="00CA4396"/>
    <w:rsid w:val="00CA43AD"/>
    <w:rsid w:val="00CA43C3"/>
    <w:rsid w:val="00CA4427"/>
    <w:rsid w:val="00CA4434"/>
    <w:rsid w:val="00CA44D0"/>
    <w:rsid w:val="00CA450B"/>
    <w:rsid w:val="00CA45B9"/>
    <w:rsid w:val="00CA45BE"/>
    <w:rsid w:val="00CA45F5"/>
    <w:rsid w:val="00CA45F6"/>
    <w:rsid w:val="00CA4612"/>
    <w:rsid w:val="00CA4614"/>
    <w:rsid w:val="00CA4617"/>
    <w:rsid w:val="00CA4643"/>
    <w:rsid w:val="00CA46A8"/>
    <w:rsid w:val="00CA46B7"/>
    <w:rsid w:val="00CA4708"/>
    <w:rsid w:val="00CA472F"/>
    <w:rsid w:val="00CA47A3"/>
    <w:rsid w:val="00CA47B0"/>
    <w:rsid w:val="00CA4808"/>
    <w:rsid w:val="00CA4859"/>
    <w:rsid w:val="00CA485B"/>
    <w:rsid w:val="00CA4895"/>
    <w:rsid w:val="00CA489A"/>
    <w:rsid w:val="00CA48CD"/>
    <w:rsid w:val="00CA490E"/>
    <w:rsid w:val="00CA491E"/>
    <w:rsid w:val="00CA4946"/>
    <w:rsid w:val="00CA494A"/>
    <w:rsid w:val="00CA494F"/>
    <w:rsid w:val="00CA496C"/>
    <w:rsid w:val="00CA4975"/>
    <w:rsid w:val="00CA49A3"/>
    <w:rsid w:val="00CA49C1"/>
    <w:rsid w:val="00CA49C3"/>
    <w:rsid w:val="00CA49CE"/>
    <w:rsid w:val="00CA49D3"/>
    <w:rsid w:val="00CA49DE"/>
    <w:rsid w:val="00CA4A3C"/>
    <w:rsid w:val="00CA4A7B"/>
    <w:rsid w:val="00CA4A95"/>
    <w:rsid w:val="00CA4AB5"/>
    <w:rsid w:val="00CA4B38"/>
    <w:rsid w:val="00CA4B63"/>
    <w:rsid w:val="00CA4BB0"/>
    <w:rsid w:val="00CA4BDE"/>
    <w:rsid w:val="00CA4BFE"/>
    <w:rsid w:val="00CA4C23"/>
    <w:rsid w:val="00CA4C6C"/>
    <w:rsid w:val="00CA4C74"/>
    <w:rsid w:val="00CA4C76"/>
    <w:rsid w:val="00CA4C81"/>
    <w:rsid w:val="00CA4CF8"/>
    <w:rsid w:val="00CA4D4B"/>
    <w:rsid w:val="00CA4D73"/>
    <w:rsid w:val="00CA4D7C"/>
    <w:rsid w:val="00CA4D8F"/>
    <w:rsid w:val="00CA4DB2"/>
    <w:rsid w:val="00CA4DE3"/>
    <w:rsid w:val="00CA4E21"/>
    <w:rsid w:val="00CA4E24"/>
    <w:rsid w:val="00CA4E25"/>
    <w:rsid w:val="00CA4E4E"/>
    <w:rsid w:val="00CA4EA5"/>
    <w:rsid w:val="00CA4EFC"/>
    <w:rsid w:val="00CA4EFD"/>
    <w:rsid w:val="00CA4F05"/>
    <w:rsid w:val="00CA4F07"/>
    <w:rsid w:val="00CA4FB2"/>
    <w:rsid w:val="00CA4FC4"/>
    <w:rsid w:val="00CA4FC7"/>
    <w:rsid w:val="00CA5017"/>
    <w:rsid w:val="00CA501A"/>
    <w:rsid w:val="00CA5021"/>
    <w:rsid w:val="00CA50CB"/>
    <w:rsid w:val="00CA50E2"/>
    <w:rsid w:val="00CA513A"/>
    <w:rsid w:val="00CA5169"/>
    <w:rsid w:val="00CA51BC"/>
    <w:rsid w:val="00CA51DE"/>
    <w:rsid w:val="00CA523B"/>
    <w:rsid w:val="00CA5244"/>
    <w:rsid w:val="00CA5249"/>
    <w:rsid w:val="00CA5266"/>
    <w:rsid w:val="00CA52D1"/>
    <w:rsid w:val="00CA530E"/>
    <w:rsid w:val="00CA531A"/>
    <w:rsid w:val="00CA5331"/>
    <w:rsid w:val="00CA5352"/>
    <w:rsid w:val="00CA5367"/>
    <w:rsid w:val="00CA536F"/>
    <w:rsid w:val="00CA5374"/>
    <w:rsid w:val="00CA541D"/>
    <w:rsid w:val="00CA5423"/>
    <w:rsid w:val="00CA5498"/>
    <w:rsid w:val="00CA54B4"/>
    <w:rsid w:val="00CA54D1"/>
    <w:rsid w:val="00CA5534"/>
    <w:rsid w:val="00CA5543"/>
    <w:rsid w:val="00CA555B"/>
    <w:rsid w:val="00CA5565"/>
    <w:rsid w:val="00CA556B"/>
    <w:rsid w:val="00CA55B7"/>
    <w:rsid w:val="00CA55C8"/>
    <w:rsid w:val="00CA563E"/>
    <w:rsid w:val="00CA56E3"/>
    <w:rsid w:val="00CA56F1"/>
    <w:rsid w:val="00CA574D"/>
    <w:rsid w:val="00CA5767"/>
    <w:rsid w:val="00CA5790"/>
    <w:rsid w:val="00CA57C6"/>
    <w:rsid w:val="00CA57EF"/>
    <w:rsid w:val="00CA5801"/>
    <w:rsid w:val="00CA5806"/>
    <w:rsid w:val="00CA5846"/>
    <w:rsid w:val="00CA5858"/>
    <w:rsid w:val="00CA5859"/>
    <w:rsid w:val="00CA5882"/>
    <w:rsid w:val="00CA5894"/>
    <w:rsid w:val="00CA58A0"/>
    <w:rsid w:val="00CA58A3"/>
    <w:rsid w:val="00CA58C5"/>
    <w:rsid w:val="00CA58E7"/>
    <w:rsid w:val="00CA5912"/>
    <w:rsid w:val="00CA598E"/>
    <w:rsid w:val="00CA59A5"/>
    <w:rsid w:val="00CA59CD"/>
    <w:rsid w:val="00CA59D7"/>
    <w:rsid w:val="00CA5A0F"/>
    <w:rsid w:val="00CA5A35"/>
    <w:rsid w:val="00CA5AD4"/>
    <w:rsid w:val="00CA5B00"/>
    <w:rsid w:val="00CA5B0A"/>
    <w:rsid w:val="00CA5B5C"/>
    <w:rsid w:val="00CA5B63"/>
    <w:rsid w:val="00CA5BBD"/>
    <w:rsid w:val="00CA5BC3"/>
    <w:rsid w:val="00CA5BEB"/>
    <w:rsid w:val="00CA5C02"/>
    <w:rsid w:val="00CA5C05"/>
    <w:rsid w:val="00CA5C5A"/>
    <w:rsid w:val="00CA5C63"/>
    <w:rsid w:val="00CA5C77"/>
    <w:rsid w:val="00CA5C80"/>
    <w:rsid w:val="00CA5C93"/>
    <w:rsid w:val="00CA5CA5"/>
    <w:rsid w:val="00CA5CB7"/>
    <w:rsid w:val="00CA5D0F"/>
    <w:rsid w:val="00CA5D3D"/>
    <w:rsid w:val="00CA5D61"/>
    <w:rsid w:val="00CA5D6A"/>
    <w:rsid w:val="00CA5D6E"/>
    <w:rsid w:val="00CA5DA0"/>
    <w:rsid w:val="00CA5DF9"/>
    <w:rsid w:val="00CA5EC0"/>
    <w:rsid w:val="00CA5ED6"/>
    <w:rsid w:val="00CA5EDD"/>
    <w:rsid w:val="00CA5FD3"/>
    <w:rsid w:val="00CA5FD6"/>
    <w:rsid w:val="00CA5FD9"/>
    <w:rsid w:val="00CA5FF2"/>
    <w:rsid w:val="00CA5FFA"/>
    <w:rsid w:val="00CA6004"/>
    <w:rsid w:val="00CA6005"/>
    <w:rsid w:val="00CA6030"/>
    <w:rsid w:val="00CA6033"/>
    <w:rsid w:val="00CA6056"/>
    <w:rsid w:val="00CA6066"/>
    <w:rsid w:val="00CA607B"/>
    <w:rsid w:val="00CA6092"/>
    <w:rsid w:val="00CA609F"/>
    <w:rsid w:val="00CA60DA"/>
    <w:rsid w:val="00CA60E5"/>
    <w:rsid w:val="00CA60E9"/>
    <w:rsid w:val="00CA6134"/>
    <w:rsid w:val="00CA616B"/>
    <w:rsid w:val="00CA6176"/>
    <w:rsid w:val="00CA6194"/>
    <w:rsid w:val="00CA61AB"/>
    <w:rsid w:val="00CA61FB"/>
    <w:rsid w:val="00CA6248"/>
    <w:rsid w:val="00CA6249"/>
    <w:rsid w:val="00CA6260"/>
    <w:rsid w:val="00CA6269"/>
    <w:rsid w:val="00CA6296"/>
    <w:rsid w:val="00CA629A"/>
    <w:rsid w:val="00CA62DD"/>
    <w:rsid w:val="00CA62E7"/>
    <w:rsid w:val="00CA62EB"/>
    <w:rsid w:val="00CA62F3"/>
    <w:rsid w:val="00CA6317"/>
    <w:rsid w:val="00CA6323"/>
    <w:rsid w:val="00CA632E"/>
    <w:rsid w:val="00CA6330"/>
    <w:rsid w:val="00CA6389"/>
    <w:rsid w:val="00CA6395"/>
    <w:rsid w:val="00CA63A6"/>
    <w:rsid w:val="00CA63B4"/>
    <w:rsid w:val="00CA63CD"/>
    <w:rsid w:val="00CA6406"/>
    <w:rsid w:val="00CA6411"/>
    <w:rsid w:val="00CA6452"/>
    <w:rsid w:val="00CA6475"/>
    <w:rsid w:val="00CA64AA"/>
    <w:rsid w:val="00CA64C6"/>
    <w:rsid w:val="00CA64CB"/>
    <w:rsid w:val="00CA64E7"/>
    <w:rsid w:val="00CA64F7"/>
    <w:rsid w:val="00CA6577"/>
    <w:rsid w:val="00CA65B2"/>
    <w:rsid w:val="00CA6601"/>
    <w:rsid w:val="00CA6619"/>
    <w:rsid w:val="00CA667F"/>
    <w:rsid w:val="00CA669D"/>
    <w:rsid w:val="00CA66BD"/>
    <w:rsid w:val="00CA6703"/>
    <w:rsid w:val="00CA6722"/>
    <w:rsid w:val="00CA672D"/>
    <w:rsid w:val="00CA6739"/>
    <w:rsid w:val="00CA673F"/>
    <w:rsid w:val="00CA6742"/>
    <w:rsid w:val="00CA6747"/>
    <w:rsid w:val="00CA674D"/>
    <w:rsid w:val="00CA6752"/>
    <w:rsid w:val="00CA678B"/>
    <w:rsid w:val="00CA67DB"/>
    <w:rsid w:val="00CA67DD"/>
    <w:rsid w:val="00CA67E8"/>
    <w:rsid w:val="00CA6808"/>
    <w:rsid w:val="00CA6814"/>
    <w:rsid w:val="00CA6826"/>
    <w:rsid w:val="00CA6842"/>
    <w:rsid w:val="00CA685B"/>
    <w:rsid w:val="00CA686B"/>
    <w:rsid w:val="00CA68B0"/>
    <w:rsid w:val="00CA68B4"/>
    <w:rsid w:val="00CA68BA"/>
    <w:rsid w:val="00CA68DE"/>
    <w:rsid w:val="00CA6986"/>
    <w:rsid w:val="00CA6A17"/>
    <w:rsid w:val="00CA6A25"/>
    <w:rsid w:val="00CA6A50"/>
    <w:rsid w:val="00CA6A5E"/>
    <w:rsid w:val="00CA6A6D"/>
    <w:rsid w:val="00CA6AA5"/>
    <w:rsid w:val="00CA6AF0"/>
    <w:rsid w:val="00CA6AF8"/>
    <w:rsid w:val="00CA6B0B"/>
    <w:rsid w:val="00CA6B2A"/>
    <w:rsid w:val="00CA6B2D"/>
    <w:rsid w:val="00CA6B99"/>
    <w:rsid w:val="00CA6B9B"/>
    <w:rsid w:val="00CA6BAC"/>
    <w:rsid w:val="00CA6BB4"/>
    <w:rsid w:val="00CA6C22"/>
    <w:rsid w:val="00CA6C28"/>
    <w:rsid w:val="00CA6C4D"/>
    <w:rsid w:val="00CA6C80"/>
    <w:rsid w:val="00CA6C90"/>
    <w:rsid w:val="00CA6CA1"/>
    <w:rsid w:val="00CA6D13"/>
    <w:rsid w:val="00CA6D4C"/>
    <w:rsid w:val="00CA6D4F"/>
    <w:rsid w:val="00CA6D64"/>
    <w:rsid w:val="00CA6D69"/>
    <w:rsid w:val="00CA6D76"/>
    <w:rsid w:val="00CA6D7A"/>
    <w:rsid w:val="00CA6D81"/>
    <w:rsid w:val="00CA6D86"/>
    <w:rsid w:val="00CA6DBE"/>
    <w:rsid w:val="00CA6E4C"/>
    <w:rsid w:val="00CA6E60"/>
    <w:rsid w:val="00CA6EE9"/>
    <w:rsid w:val="00CA6F07"/>
    <w:rsid w:val="00CA6F10"/>
    <w:rsid w:val="00CA6F4D"/>
    <w:rsid w:val="00CA6F59"/>
    <w:rsid w:val="00CA6F91"/>
    <w:rsid w:val="00CA6F9A"/>
    <w:rsid w:val="00CA6F9B"/>
    <w:rsid w:val="00CA6FA4"/>
    <w:rsid w:val="00CA6FAB"/>
    <w:rsid w:val="00CA6FD3"/>
    <w:rsid w:val="00CA6FF4"/>
    <w:rsid w:val="00CA7014"/>
    <w:rsid w:val="00CA7048"/>
    <w:rsid w:val="00CA7072"/>
    <w:rsid w:val="00CA7073"/>
    <w:rsid w:val="00CA7089"/>
    <w:rsid w:val="00CA709C"/>
    <w:rsid w:val="00CA70A4"/>
    <w:rsid w:val="00CA70B9"/>
    <w:rsid w:val="00CA70CF"/>
    <w:rsid w:val="00CA70DF"/>
    <w:rsid w:val="00CA712A"/>
    <w:rsid w:val="00CA713E"/>
    <w:rsid w:val="00CA7179"/>
    <w:rsid w:val="00CA7192"/>
    <w:rsid w:val="00CA71C9"/>
    <w:rsid w:val="00CA71ED"/>
    <w:rsid w:val="00CA722E"/>
    <w:rsid w:val="00CA723C"/>
    <w:rsid w:val="00CA7289"/>
    <w:rsid w:val="00CA72FA"/>
    <w:rsid w:val="00CA732B"/>
    <w:rsid w:val="00CA7342"/>
    <w:rsid w:val="00CA7346"/>
    <w:rsid w:val="00CA7364"/>
    <w:rsid w:val="00CA7399"/>
    <w:rsid w:val="00CA73D6"/>
    <w:rsid w:val="00CA73E8"/>
    <w:rsid w:val="00CA73F3"/>
    <w:rsid w:val="00CA73F7"/>
    <w:rsid w:val="00CA7403"/>
    <w:rsid w:val="00CA74A2"/>
    <w:rsid w:val="00CA74C8"/>
    <w:rsid w:val="00CA7525"/>
    <w:rsid w:val="00CA7527"/>
    <w:rsid w:val="00CA757D"/>
    <w:rsid w:val="00CA7584"/>
    <w:rsid w:val="00CA75A1"/>
    <w:rsid w:val="00CA75E9"/>
    <w:rsid w:val="00CA762C"/>
    <w:rsid w:val="00CA7633"/>
    <w:rsid w:val="00CA7645"/>
    <w:rsid w:val="00CA7650"/>
    <w:rsid w:val="00CA7695"/>
    <w:rsid w:val="00CA773F"/>
    <w:rsid w:val="00CA7784"/>
    <w:rsid w:val="00CA77E9"/>
    <w:rsid w:val="00CA77EA"/>
    <w:rsid w:val="00CA77F0"/>
    <w:rsid w:val="00CA7827"/>
    <w:rsid w:val="00CA7838"/>
    <w:rsid w:val="00CA7843"/>
    <w:rsid w:val="00CA7867"/>
    <w:rsid w:val="00CA7894"/>
    <w:rsid w:val="00CA7895"/>
    <w:rsid w:val="00CA78B3"/>
    <w:rsid w:val="00CA78F7"/>
    <w:rsid w:val="00CA7991"/>
    <w:rsid w:val="00CA79A7"/>
    <w:rsid w:val="00CA79A9"/>
    <w:rsid w:val="00CA79C3"/>
    <w:rsid w:val="00CA7A17"/>
    <w:rsid w:val="00CA7A1F"/>
    <w:rsid w:val="00CA7A30"/>
    <w:rsid w:val="00CA7A39"/>
    <w:rsid w:val="00CA7A67"/>
    <w:rsid w:val="00CA7ABF"/>
    <w:rsid w:val="00CA7AED"/>
    <w:rsid w:val="00CA7AFD"/>
    <w:rsid w:val="00CA7B25"/>
    <w:rsid w:val="00CA7B57"/>
    <w:rsid w:val="00CA7B6D"/>
    <w:rsid w:val="00CA7B70"/>
    <w:rsid w:val="00CA7B8D"/>
    <w:rsid w:val="00CA7BB4"/>
    <w:rsid w:val="00CA7BB8"/>
    <w:rsid w:val="00CA7C0F"/>
    <w:rsid w:val="00CA7C3B"/>
    <w:rsid w:val="00CA7C3D"/>
    <w:rsid w:val="00CA7CC3"/>
    <w:rsid w:val="00CA7CE5"/>
    <w:rsid w:val="00CA7CF3"/>
    <w:rsid w:val="00CA7CF4"/>
    <w:rsid w:val="00CA7D3A"/>
    <w:rsid w:val="00CA7D4E"/>
    <w:rsid w:val="00CA7D51"/>
    <w:rsid w:val="00CA7D78"/>
    <w:rsid w:val="00CA7D7F"/>
    <w:rsid w:val="00CA7DFD"/>
    <w:rsid w:val="00CA7DFF"/>
    <w:rsid w:val="00CA7E4C"/>
    <w:rsid w:val="00CA7EC0"/>
    <w:rsid w:val="00CA7EFE"/>
    <w:rsid w:val="00CA7F04"/>
    <w:rsid w:val="00CA7F0B"/>
    <w:rsid w:val="00CA7F63"/>
    <w:rsid w:val="00CA7F64"/>
    <w:rsid w:val="00CA7F6E"/>
    <w:rsid w:val="00CA7F8D"/>
    <w:rsid w:val="00CA7FCC"/>
    <w:rsid w:val="00CA7FF1"/>
    <w:rsid w:val="00CA9583"/>
    <w:rsid w:val="00CAD227"/>
    <w:rsid w:val="00CB0018"/>
    <w:rsid w:val="00CB0023"/>
    <w:rsid w:val="00CB0031"/>
    <w:rsid w:val="00CB00A6"/>
    <w:rsid w:val="00CB00CB"/>
    <w:rsid w:val="00CB00DE"/>
    <w:rsid w:val="00CB012A"/>
    <w:rsid w:val="00CB013C"/>
    <w:rsid w:val="00CB013D"/>
    <w:rsid w:val="00CB0143"/>
    <w:rsid w:val="00CB0154"/>
    <w:rsid w:val="00CB015F"/>
    <w:rsid w:val="00CB0179"/>
    <w:rsid w:val="00CB018D"/>
    <w:rsid w:val="00CB01E9"/>
    <w:rsid w:val="00CB0221"/>
    <w:rsid w:val="00CB0247"/>
    <w:rsid w:val="00CB0254"/>
    <w:rsid w:val="00CB0278"/>
    <w:rsid w:val="00CB028E"/>
    <w:rsid w:val="00CB02B6"/>
    <w:rsid w:val="00CB0333"/>
    <w:rsid w:val="00CB03D1"/>
    <w:rsid w:val="00CB03E7"/>
    <w:rsid w:val="00CB0445"/>
    <w:rsid w:val="00CB0466"/>
    <w:rsid w:val="00CB04A6"/>
    <w:rsid w:val="00CB04CB"/>
    <w:rsid w:val="00CB04D3"/>
    <w:rsid w:val="00CB04FD"/>
    <w:rsid w:val="00CB0518"/>
    <w:rsid w:val="00CB0561"/>
    <w:rsid w:val="00CB056A"/>
    <w:rsid w:val="00CB0624"/>
    <w:rsid w:val="00CB0629"/>
    <w:rsid w:val="00CB0655"/>
    <w:rsid w:val="00CB067A"/>
    <w:rsid w:val="00CB0699"/>
    <w:rsid w:val="00CB06AF"/>
    <w:rsid w:val="00CB06F8"/>
    <w:rsid w:val="00CB0706"/>
    <w:rsid w:val="00CB0738"/>
    <w:rsid w:val="00CB0750"/>
    <w:rsid w:val="00CB0768"/>
    <w:rsid w:val="00CB082E"/>
    <w:rsid w:val="00CB0845"/>
    <w:rsid w:val="00CB084F"/>
    <w:rsid w:val="00CB086B"/>
    <w:rsid w:val="00CB0895"/>
    <w:rsid w:val="00CB0896"/>
    <w:rsid w:val="00CB08B0"/>
    <w:rsid w:val="00CB08C0"/>
    <w:rsid w:val="00CB08EA"/>
    <w:rsid w:val="00CB0904"/>
    <w:rsid w:val="00CB0923"/>
    <w:rsid w:val="00CB0976"/>
    <w:rsid w:val="00CB097D"/>
    <w:rsid w:val="00CB09A2"/>
    <w:rsid w:val="00CB09C3"/>
    <w:rsid w:val="00CB0A2E"/>
    <w:rsid w:val="00CB0A75"/>
    <w:rsid w:val="00CB0AA6"/>
    <w:rsid w:val="00CB0AC0"/>
    <w:rsid w:val="00CB0AC3"/>
    <w:rsid w:val="00CB0AF7"/>
    <w:rsid w:val="00CB0B5B"/>
    <w:rsid w:val="00CB0B72"/>
    <w:rsid w:val="00CB0B77"/>
    <w:rsid w:val="00CB0B80"/>
    <w:rsid w:val="00CB0BB8"/>
    <w:rsid w:val="00CB0BBE"/>
    <w:rsid w:val="00CB0BF0"/>
    <w:rsid w:val="00CB0C02"/>
    <w:rsid w:val="00CB0C0F"/>
    <w:rsid w:val="00CB0C2F"/>
    <w:rsid w:val="00CB0C3B"/>
    <w:rsid w:val="00CB0C55"/>
    <w:rsid w:val="00CB0C80"/>
    <w:rsid w:val="00CB0D3B"/>
    <w:rsid w:val="00CB0D3E"/>
    <w:rsid w:val="00CB0D52"/>
    <w:rsid w:val="00CB0D5D"/>
    <w:rsid w:val="00CB0DB4"/>
    <w:rsid w:val="00CB0DB7"/>
    <w:rsid w:val="00CB0DD0"/>
    <w:rsid w:val="00CB0DD7"/>
    <w:rsid w:val="00CB0DE7"/>
    <w:rsid w:val="00CB0E4C"/>
    <w:rsid w:val="00CB0E71"/>
    <w:rsid w:val="00CB0EAA"/>
    <w:rsid w:val="00CB0EDA"/>
    <w:rsid w:val="00CB0F26"/>
    <w:rsid w:val="00CB0F6A"/>
    <w:rsid w:val="00CB0F6D"/>
    <w:rsid w:val="00CB0F6E"/>
    <w:rsid w:val="00CB0F87"/>
    <w:rsid w:val="00CB0F90"/>
    <w:rsid w:val="00CB0FA8"/>
    <w:rsid w:val="00CB1042"/>
    <w:rsid w:val="00CB1047"/>
    <w:rsid w:val="00CB1088"/>
    <w:rsid w:val="00CB109B"/>
    <w:rsid w:val="00CB10A5"/>
    <w:rsid w:val="00CB10E6"/>
    <w:rsid w:val="00CB10F6"/>
    <w:rsid w:val="00CB112D"/>
    <w:rsid w:val="00CB1152"/>
    <w:rsid w:val="00CB11D3"/>
    <w:rsid w:val="00CB11ED"/>
    <w:rsid w:val="00CB120B"/>
    <w:rsid w:val="00CB1256"/>
    <w:rsid w:val="00CB1298"/>
    <w:rsid w:val="00CB12A2"/>
    <w:rsid w:val="00CB12A4"/>
    <w:rsid w:val="00CB12B3"/>
    <w:rsid w:val="00CB12D1"/>
    <w:rsid w:val="00CB1362"/>
    <w:rsid w:val="00CB1370"/>
    <w:rsid w:val="00CB139C"/>
    <w:rsid w:val="00CB13AD"/>
    <w:rsid w:val="00CB13CD"/>
    <w:rsid w:val="00CB13F7"/>
    <w:rsid w:val="00CB1404"/>
    <w:rsid w:val="00CB1439"/>
    <w:rsid w:val="00CB14B2"/>
    <w:rsid w:val="00CB14CD"/>
    <w:rsid w:val="00CB14F0"/>
    <w:rsid w:val="00CB1514"/>
    <w:rsid w:val="00CB1550"/>
    <w:rsid w:val="00CB1561"/>
    <w:rsid w:val="00CB15A4"/>
    <w:rsid w:val="00CB15B0"/>
    <w:rsid w:val="00CB15D4"/>
    <w:rsid w:val="00CB15E8"/>
    <w:rsid w:val="00CB15F0"/>
    <w:rsid w:val="00CB164B"/>
    <w:rsid w:val="00CB1684"/>
    <w:rsid w:val="00CB1690"/>
    <w:rsid w:val="00CB169C"/>
    <w:rsid w:val="00CB16FB"/>
    <w:rsid w:val="00CB172F"/>
    <w:rsid w:val="00CB175F"/>
    <w:rsid w:val="00CB17CE"/>
    <w:rsid w:val="00CB1815"/>
    <w:rsid w:val="00CB1830"/>
    <w:rsid w:val="00CB1838"/>
    <w:rsid w:val="00CB185E"/>
    <w:rsid w:val="00CB1864"/>
    <w:rsid w:val="00CB1888"/>
    <w:rsid w:val="00CB188C"/>
    <w:rsid w:val="00CB18DF"/>
    <w:rsid w:val="00CB18F4"/>
    <w:rsid w:val="00CB18F7"/>
    <w:rsid w:val="00CB1949"/>
    <w:rsid w:val="00CB197E"/>
    <w:rsid w:val="00CB1996"/>
    <w:rsid w:val="00CB19A1"/>
    <w:rsid w:val="00CB19A2"/>
    <w:rsid w:val="00CB19A3"/>
    <w:rsid w:val="00CB19EB"/>
    <w:rsid w:val="00CB1A2F"/>
    <w:rsid w:val="00CB1A38"/>
    <w:rsid w:val="00CB1A50"/>
    <w:rsid w:val="00CB1A97"/>
    <w:rsid w:val="00CB1AC5"/>
    <w:rsid w:val="00CB1ACC"/>
    <w:rsid w:val="00CB1AE5"/>
    <w:rsid w:val="00CB1B24"/>
    <w:rsid w:val="00CB1B60"/>
    <w:rsid w:val="00CB1B79"/>
    <w:rsid w:val="00CB1BA8"/>
    <w:rsid w:val="00CB1BD6"/>
    <w:rsid w:val="00CB1C28"/>
    <w:rsid w:val="00CB1C68"/>
    <w:rsid w:val="00CB1CBC"/>
    <w:rsid w:val="00CB1CC8"/>
    <w:rsid w:val="00CB1CD3"/>
    <w:rsid w:val="00CB1CE8"/>
    <w:rsid w:val="00CB1CE9"/>
    <w:rsid w:val="00CB1D0A"/>
    <w:rsid w:val="00CB1D57"/>
    <w:rsid w:val="00CB1D58"/>
    <w:rsid w:val="00CB1D6D"/>
    <w:rsid w:val="00CB1D70"/>
    <w:rsid w:val="00CB1DBF"/>
    <w:rsid w:val="00CB1DF2"/>
    <w:rsid w:val="00CB1E44"/>
    <w:rsid w:val="00CB1E66"/>
    <w:rsid w:val="00CB1E7B"/>
    <w:rsid w:val="00CB1EB3"/>
    <w:rsid w:val="00CB1EDB"/>
    <w:rsid w:val="00CB1EEB"/>
    <w:rsid w:val="00CB1EEC"/>
    <w:rsid w:val="00CB1F02"/>
    <w:rsid w:val="00CB1F4E"/>
    <w:rsid w:val="00CB1F54"/>
    <w:rsid w:val="00CB1F58"/>
    <w:rsid w:val="00CB1FBF"/>
    <w:rsid w:val="00CB1FEF"/>
    <w:rsid w:val="00CB2033"/>
    <w:rsid w:val="00CB2098"/>
    <w:rsid w:val="00CB209B"/>
    <w:rsid w:val="00CB20BD"/>
    <w:rsid w:val="00CB20F3"/>
    <w:rsid w:val="00CB217D"/>
    <w:rsid w:val="00CB218F"/>
    <w:rsid w:val="00CB2239"/>
    <w:rsid w:val="00CB2255"/>
    <w:rsid w:val="00CB22C3"/>
    <w:rsid w:val="00CB2313"/>
    <w:rsid w:val="00CB2314"/>
    <w:rsid w:val="00CB238A"/>
    <w:rsid w:val="00CB238F"/>
    <w:rsid w:val="00CB23B3"/>
    <w:rsid w:val="00CB23C8"/>
    <w:rsid w:val="00CB23D6"/>
    <w:rsid w:val="00CB23E5"/>
    <w:rsid w:val="00CB23E6"/>
    <w:rsid w:val="00CB2416"/>
    <w:rsid w:val="00CB2438"/>
    <w:rsid w:val="00CB244B"/>
    <w:rsid w:val="00CB24C7"/>
    <w:rsid w:val="00CB2505"/>
    <w:rsid w:val="00CB2529"/>
    <w:rsid w:val="00CB2535"/>
    <w:rsid w:val="00CB2548"/>
    <w:rsid w:val="00CB25B7"/>
    <w:rsid w:val="00CB2602"/>
    <w:rsid w:val="00CB2632"/>
    <w:rsid w:val="00CB266E"/>
    <w:rsid w:val="00CB26C4"/>
    <w:rsid w:val="00CB270C"/>
    <w:rsid w:val="00CB2725"/>
    <w:rsid w:val="00CB2729"/>
    <w:rsid w:val="00CB272A"/>
    <w:rsid w:val="00CB2743"/>
    <w:rsid w:val="00CB2763"/>
    <w:rsid w:val="00CB27DB"/>
    <w:rsid w:val="00CB27F5"/>
    <w:rsid w:val="00CB2802"/>
    <w:rsid w:val="00CB285D"/>
    <w:rsid w:val="00CB287A"/>
    <w:rsid w:val="00CB287F"/>
    <w:rsid w:val="00CB2904"/>
    <w:rsid w:val="00CB293C"/>
    <w:rsid w:val="00CB2942"/>
    <w:rsid w:val="00CB295D"/>
    <w:rsid w:val="00CB2974"/>
    <w:rsid w:val="00CB29D3"/>
    <w:rsid w:val="00CB29DD"/>
    <w:rsid w:val="00CB29ED"/>
    <w:rsid w:val="00CB2A00"/>
    <w:rsid w:val="00CB2A2A"/>
    <w:rsid w:val="00CB2A37"/>
    <w:rsid w:val="00CB2A42"/>
    <w:rsid w:val="00CB2A55"/>
    <w:rsid w:val="00CB2A7D"/>
    <w:rsid w:val="00CB2AAD"/>
    <w:rsid w:val="00CB2AF7"/>
    <w:rsid w:val="00CB2AFE"/>
    <w:rsid w:val="00CB2B08"/>
    <w:rsid w:val="00CB2B22"/>
    <w:rsid w:val="00CB2B40"/>
    <w:rsid w:val="00CB2B44"/>
    <w:rsid w:val="00CB2B4B"/>
    <w:rsid w:val="00CB2B55"/>
    <w:rsid w:val="00CB2B8A"/>
    <w:rsid w:val="00CB2BA6"/>
    <w:rsid w:val="00CB2BA8"/>
    <w:rsid w:val="00CB2BE8"/>
    <w:rsid w:val="00CB2C37"/>
    <w:rsid w:val="00CB2C3B"/>
    <w:rsid w:val="00CB2C4E"/>
    <w:rsid w:val="00CB2D10"/>
    <w:rsid w:val="00CB2D6B"/>
    <w:rsid w:val="00CB2D76"/>
    <w:rsid w:val="00CB2D98"/>
    <w:rsid w:val="00CB2DA8"/>
    <w:rsid w:val="00CB2E1E"/>
    <w:rsid w:val="00CB2E46"/>
    <w:rsid w:val="00CB2E5E"/>
    <w:rsid w:val="00CB2E92"/>
    <w:rsid w:val="00CB2E9F"/>
    <w:rsid w:val="00CB2F74"/>
    <w:rsid w:val="00CB2F86"/>
    <w:rsid w:val="00CB2F9C"/>
    <w:rsid w:val="00CB2FF2"/>
    <w:rsid w:val="00CB2FF8"/>
    <w:rsid w:val="00CB3011"/>
    <w:rsid w:val="00CB301A"/>
    <w:rsid w:val="00CB3044"/>
    <w:rsid w:val="00CB3051"/>
    <w:rsid w:val="00CB30D3"/>
    <w:rsid w:val="00CB30FF"/>
    <w:rsid w:val="00CB312C"/>
    <w:rsid w:val="00CB314F"/>
    <w:rsid w:val="00CB3169"/>
    <w:rsid w:val="00CB3176"/>
    <w:rsid w:val="00CB317A"/>
    <w:rsid w:val="00CB3184"/>
    <w:rsid w:val="00CB31AF"/>
    <w:rsid w:val="00CB31E3"/>
    <w:rsid w:val="00CB31E5"/>
    <w:rsid w:val="00CB3279"/>
    <w:rsid w:val="00CB32C6"/>
    <w:rsid w:val="00CB3305"/>
    <w:rsid w:val="00CB330A"/>
    <w:rsid w:val="00CB3345"/>
    <w:rsid w:val="00CB3363"/>
    <w:rsid w:val="00CB33C1"/>
    <w:rsid w:val="00CB3412"/>
    <w:rsid w:val="00CB3417"/>
    <w:rsid w:val="00CB3424"/>
    <w:rsid w:val="00CB345B"/>
    <w:rsid w:val="00CB348D"/>
    <w:rsid w:val="00CB34A2"/>
    <w:rsid w:val="00CB34AD"/>
    <w:rsid w:val="00CB34BC"/>
    <w:rsid w:val="00CB34F9"/>
    <w:rsid w:val="00CB3514"/>
    <w:rsid w:val="00CB352D"/>
    <w:rsid w:val="00CB3539"/>
    <w:rsid w:val="00CB354B"/>
    <w:rsid w:val="00CB354E"/>
    <w:rsid w:val="00CB35B6"/>
    <w:rsid w:val="00CB35CF"/>
    <w:rsid w:val="00CB35F1"/>
    <w:rsid w:val="00CB3622"/>
    <w:rsid w:val="00CB363B"/>
    <w:rsid w:val="00CB365B"/>
    <w:rsid w:val="00CB36E7"/>
    <w:rsid w:val="00CB3711"/>
    <w:rsid w:val="00CB3723"/>
    <w:rsid w:val="00CB3732"/>
    <w:rsid w:val="00CB3762"/>
    <w:rsid w:val="00CB376B"/>
    <w:rsid w:val="00CB378C"/>
    <w:rsid w:val="00CB379B"/>
    <w:rsid w:val="00CB37D5"/>
    <w:rsid w:val="00CB37E1"/>
    <w:rsid w:val="00CB37E9"/>
    <w:rsid w:val="00CB3837"/>
    <w:rsid w:val="00CB3883"/>
    <w:rsid w:val="00CB3885"/>
    <w:rsid w:val="00CB38CC"/>
    <w:rsid w:val="00CB3965"/>
    <w:rsid w:val="00CB39B0"/>
    <w:rsid w:val="00CB39CB"/>
    <w:rsid w:val="00CB39DC"/>
    <w:rsid w:val="00CB39E8"/>
    <w:rsid w:val="00CB39F0"/>
    <w:rsid w:val="00CB3A68"/>
    <w:rsid w:val="00CB3A77"/>
    <w:rsid w:val="00CB3ABA"/>
    <w:rsid w:val="00CB3ABE"/>
    <w:rsid w:val="00CB3ACD"/>
    <w:rsid w:val="00CB3AE7"/>
    <w:rsid w:val="00CB3B18"/>
    <w:rsid w:val="00CB3B9A"/>
    <w:rsid w:val="00CB3BD7"/>
    <w:rsid w:val="00CB3BF4"/>
    <w:rsid w:val="00CB3BFC"/>
    <w:rsid w:val="00CB3C08"/>
    <w:rsid w:val="00CB3C40"/>
    <w:rsid w:val="00CB3C8C"/>
    <w:rsid w:val="00CB3C9E"/>
    <w:rsid w:val="00CB3CC3"/>
    <w:rsid w:val="00CB3CFF"/>
    <w:rsid w:val="00CB3D05"/>
    <w:rsid w:val="00CB3D59"/>
    <w:rsid w:val="00CB3D7F"/>
    <w:rsid w:val="00CB3D84"/>
    <w:rsid w:val="00CB3DA8"/>
    <w:rsid w:val="00CB3DBD"/>
    <w:rsid w:val="00CB3E88"/>
    <w:rsid w:val="00CB3EBA"/>
    <w:rsid w:val="00CB3F0E"/>
    <w:rsid w:val="00CB3F2F"/>
    <w:rsid w:val="00CB3F34"/>
    <w:rsid w:val="00CB3F3E"/>
    <w:rsid w:val="00CB3F45"/>
    <w:rsid w:val="00CB3F49"/>
    <w:rsid w:val="00CB3F4C"/>
    <w:rsid w:val="00CB3F5E"/>
    <w:rsid w:val="00CB3FF8"/>
    <w:rsid w:val="00CB4016"/>
    <w:rsid w:val="00CB402B"/>
    <w:rsid w:val="00CB402F"/>
    <w:rsid w:val="00CB407A"/>
    <w:rsid w:val="00CB40A2"/>
    <w:rsid w:val="00CB40FE"/>
    <w:rsid w:val="00CB4142"/>
    <w:rsid w:val="00CB414B"/>
    <w:rsid w:val="00CB4189"/>
    <w:rsid w:val="00CB418A"/>
    <w:rsid w:val="00CB4193"/>
    <w:rsid w:val="00CB41A4"/>
    <w:rsid w:val="00CB41F4"/>
    <w:rsid w:val="00CB4225"/>
    <w:rsid w:val="00CB423F"/>
    <w:rsid w:val="00CB425D"/>
    <w:rsid w:val="00CB42A2"/>
    <w:rsid w:val="00CB42BB"/>
    <w:rsid w:val="00CB42F5"/>
    <w:rsid w:val="00CB430F"/>
    <w:rsid w:val="00CB4377"/>
    <w:rsid w:val="00CB43FD"/>
    <w:rsid w:val="00CB4410"/>
    <w:rsid w:val="00CB4436"/>
    <w:rsid w:val="00CB4449"/>
    <w:rsid w:val="00CB446C"/>
    <w:rsid w:val="00CB448F"/>
    <w:rsid w:val="00CB449C"/>
    <w:rsid w:val="00CB44F5"/>
    <w:rsid w:val="00CB450A"/>
    <w:rsid w:val="00CB4538"/>
    <w:rsid w:val="00CB454A"/>
    <w:rsid w:val="00CB4550"/>
    <w:rsid w:val="00CB4555"/>
    <w:rsid w:val="00CB45AC"/>
    <w:rsid w:val="00CB45B1"/>
    <w:rsid w:val="00CB4651"/>
    <w:rsid w:val="00CB465C"/>
    <w:rsid w:val="00CB4704"/>
    <w:rsid w:val="00CB477E"/>
    <w:rsid w:val="00CB4788"/>
    <w:rsid w:val="00CB482A"/>
    <w:rsid w:val="00CB483E"/>
    <w:rsid w:val="00CB4847"/>
    <w:rsid w:val="00CB4869"/>
    <w:rsid w:val="00CB48B7"/>
    <w:rsid w:val="00CB48BD"/>
    <w:rsid w:val="00CB48C8"/>
    <w:rsid w:val="00CB490D"/>
    <w:rsid w:val="00CB4911"/>
    <w:rsid w:val="00CB4923"/>
    <w:rsid w:val="00CB494F"/>
    <w:rsid w:val="00CB4951"/>
    <w:rsid w:val="00CB4979"/>
    <w:rsid w:val="00CB4982"/>
    <w:rsid w:val="00CB4992"/>
    <w:rsid w:val="00CB49AD"/>
    <w:rsid w:val="00CB49B5"/>
    <w:rsid w:val="00CB49BE"/>
    <w:rsid w:val="00CB49E4"/>
    <w:rsid w:val="00CB4A4B"/>
    <w:rsid w:val="00CB4A78"/>
    <w:rsid w:val="00CB4AA2"/>
    <w:rsid w:val="00CB4ADC"/>
    <w:rsid w:val="00CB4AEA"/>
    <w:rsid w:val="00CB4B0C"/>
    <w:rsid w:val="00CB4B11"/>
    <w:rsid w:val="00CB4B15"/>
    <w:rsid w:val="00CB4B1A"/>
    <w:rsid w:val="00CB4B54"/>
    <w:rsid w:val="00CB4B63"/>
    <w:rsid w:val="00CB4B68"/>
    <w:rsid w:val="00CB4B81"/>
    <w:rsid w:val="00CB4BBC"/>
    <w:rsid w:val="00CB4BBE"/>
    <w:rsid w:val="00CB4BD1"/>
    <w:rsid w:val="00CB4BE8"/>
    <w:rsid w:val="00CB4BF6"/>
    <w:rsid w:val="00CB4C42"/>
    <w:rsid w:val="00CB4C5F"/>
    <w:rsid w:val="00CB4C64"/>
    <w:rsid w:val="00CB4CAC"/>
    <w:rsid w:val="00CB4D21"/>
    <w:rsid w:val="00CB4D4F"/>
    <w:rsid w:val="00CB4D81"/>
    <w:rsid w:val="00CB4DF0"/>
    <w:rsid w:val="00CB4E00"/>
    <w:rsid w:val="00CB4E2D"/>
    <w:rsid w:val="00CB4E31"/>
    <w:rsid w:val="00CB4E56"/>
    <w:rsid w:val="00CB4E5B"/>
    <w:rsid w:val="00CB4E71"/>
    <w:rsid w:val="00CB4E87"/>
    <w:rsid w:val="00CB4E8A"/>
    <w:rsid w:val="00CB4EBC"/>
    <w:rsid w:val="00CB4ECA"/>
    <w:rsid w:val="00CB4EE0"/>
    <w:rsid w:val="00CB4EF3"/>
    <w:rsid w:val="00CB4EF4"/>
    <w:rsid w:val="00CB4F6A"/>
    <w:rsid w:val="00CB4F72"/>
    <w:rsid w:val="00CB4F7C"/>
    <w:rsid w:val="00CB4FDA"/>
    <w:rsid w:val="00CB4FF4"/>
    <w:rsid w:val="00CB5008"/>
    <w:rsid w:val="00CB5050"/>
    <w:rsid w:val="00CB5062"/>
    <w:rsid w:val="00CB50CD"/>
    <w:rsid w:val="00CB50D0"/>
    <w:rsid w:val="00CB50D6"/>
    <w:rsid w:val="00CB511C"/>
    <w:rsid w:val="00CB5167"/>
    <w:rsid w:val="00CB51BA"/>
    <w:rsid w:val="00CB51CC"/>
    <w:rsid w:val="00CB51EA"/>
    <w:rsid w:val="00CB5202"/>
    <w:rsid w:val="00CB5220"/>
    <w:rsid w:val="00CB5266"/>
    <w:rsid w:val="00CB5274"/>
    <w:rsid w:val="00CB52C2"/>
    <w:rsid w:val="00CB5350"/>
    <w:rsid w:val="00CB5376"/>
    <w:rsid w:val="00CB537F"/>
    <w:rsid w:val="00CB53B1"/>
    <w:rsid w:val="00CB53DF"/>
    <w:rsid w:val="00CB53E0"/>
    <w:rsid w:val="00CB540A"/>
    <w:rsid w:val="00CB545E"/>
    <w:rsid w:val="00CB54B0"/>
    <w:rsid w:val="00CB54DA"/>
    <w:rsid w:val="00CB54EC"/>
    <w:rsid w:val="00CB556A"/>
    <w:rsid w:val="00CB55E7"/>
    <w:rsid w:val="00CB5633"/>
    <w:rsid w:val="00CB568E"/>
    <w:rsid w:val="00CB56A6"/>
    <w:rsid w:val="00CB56BE"/>
    <w:rsid w:val="00CB56C2"/>
    <w:rsid w:val="00CB5740"/>
    <w:rsid w:val="00CB574C"/>
    <w:rsid w:val="00CB5835"/>
    <w:rsid w:val="00CB585E"/>
    <w:rsid w:val="00CB5897"/>
    <w:rsid w:val="00CB5899"/>
    <w:rsid w:val="00CB589A"/>
    <w:rsid w:val="00CB58AB"/>
    <w:rsid w:val="00CB58E0"/>
    <w:rsid w:val="00CB58E4"/>
    <w:rsid w:val="00CB58E9"/>
    <w:rsid w:val="00CB5918"/>
    <w:rsid w:val="00CB591B"/>
    <w:rsid w:val="00CB5983"/>
    <w:rsid w:val="00CB598C"/>
    <w:rsid w:val="00CB59D0"/>
    <w:rsid w:val="00CB5A1C"/>
    <w:rsid w:val="00CB5A1F"/>
    <w:rsid w:val="00CB5A57"/>
    <w:rsid w:val="00CB5A5E"/>
    <w:rsid w:val="00CB5AA1"/>
    <w:rsid w:val="00CB5AB5"/>
    <w:rsid w:val="00CB5AB9"/>
    <w:rsid w:val="00CB5AC4"/>
    <w:rsid w:val="00CB5B92"/>
    <w:rsid w:val="00CB5BC1"/>
    <w:rsid w:val="00CB5BF6"/>
    <w:rsid w:val="00CB5C00"/>
    <w:rsid w:val="00CB5C02"/>
    <w:rsid w:val="00CB5C66"/>
    <w:rsid w:val="00CB5C90"/>
    <w:rsid w:val="00CB5CAF"/>
    <w:rsid w:val="00CB5CBE"/>
    <w:rsid w:val="00CB5CC1"/>
    <w:rsid w:val="00CB5CDF"/>
    <w:rsid w:val="00CB5CF3"/>
    <w:rsid w:val="00CB5CF8"/>
    <w:rsid w:val="00CB5D09"/>
    <w:rsid w:val="00CB5D5A"/>
    <w:rsid w:val="00CB5D62"/>
    <w:rsid w:val="00CB5DC8"/>
    <w:rsid w:val="00CB5DE8"/>
    <w:rsid w:val="00CB5E71"/>
    <w:rsid w:val="00CB5E7E"/>
    <w:rsid w:val="00CB5EAF"/>
    <w:rsid w:val="00CB5ED5"/>
    <w:rsid w:val="00CB5F02"/>
    <w:rsid w:val="00CB5F0E"/>
    <w:rsid w:val="00CB5F1E"/>
    <w:rsid w:val="00CB5F5E"/>
    <w:rsid w:val="00CB5F72"/>
    <w:rsid w:val="00CB5F8A"/>
    <w:rsid w:val="00CB5FA0"/>
    <w:rsid w:val="00CB5FA9"/>
    <w:rsid w:val="00CB5FC4"/>
    <w:rsid w:val="00CB5FCE"/>
    <w:rsid w:val="00CB6019"/>
    <w:rsid w:val="00CB6027"/>
    <w:rsid w:val="00CB602D"/>
    <w:rsid w:val="00CB602E"/>
    <w:rsid w:val="00CB6040"/>
    <w:rsid w:val="00CB605E"/>
    <w:rsid w:val="00CB608C"/>
    <w:rsid w:val="00CB60A3"/>
    <w:rsid w:val="00CB60EF"/>
    <w:rsid w:val="00CB6167"/>
    <w:rsid w:val="00CB616E"/>
    <w:rsid w:val="00CB6173"/>
    <w:rsid w:val="00CB61F2"/>
    <w:rsid w:val="00CB621B"/>
    <w:rsid w:val="00CB622D"/>
    <w:rsid w:val="00CB6232"/>
    <w:rsid w:val="00CB623F"/>
    <w:rsid w:val="00CB62AC"/>
    <w:rsid w:val="00CB62EE"/>
    <w:rsid w:val="00CB6333"/>
    <w:rsid w:val="00CB634E"/>
    <w:rsid w:val="00CB6354"/>
    <w:rsid w:val="00CB6357"/>
    <w:rsid w:val="00CB63D3"/>
    <w:rsid w:val="00CB641B"/>
    <w:rsid w:val="00CB6446"/>
    <w:rsid w:val="00CB6488"/>
    <w:rsid w:val="00CB64D5"/>
    <w:rsid w:val="00CB64E5"/>
    <w:rsid w:val="00CB64EE"/>
    <w:rsid w:val="00CB6507"/>
    <w:rsid w:val="00CB650A"/>
    <w:rsid w:val="00CB657A"/>
    <w:rsid w:val="00CB65E1"/>
    <w:rsid w:val="00CB65EC"/>
    <w:rsid w:val="00CB660C"/>
    <w:rsid w:val="00CB6617"/>
    <w:rsid w:val="00CB6618"/>
    <w:rsid w:val="00CB6625"/>
    <w:rsid w:val="00CB6650"/>
    <w:rsid w:val="00CB6652"/>
    <w:rsid w:val="00CB6666"/>
    <w:rsid w:val="00CB671E"/>
    <w:rsid w:val="00CB674F"/>
    <w:rsid w:val="00CB67CC"/>
    <w:rsid w:val="00CB681B"/>
    <w:rsid w:val="00CB6867"/>
    <w:rsid w:val="00CB6888"/>
    <w:rsid w:val="00CB68EE"/>
    <w:rsid w:val="00CB6904"/>
    <w:rsid w:val="00CB6911"/>
    <w:rsid w:val="00CB6942"/>
    <w:rsid w:val="00CB6993"/>
    <w:rsid w:val="00CB699C"/>
    <w:rsid w:val="00CB69A4"/>
    <w:rsid w:val="00CB69CE"/>
    <w:rsid w:val="00CB69E7"/>
    <w:rsid w:val="00CB6A31"/>
    <w:rsid w:val="00CB6A3D"/>
    <w:rsid w:val="00CB6A73"/>
    <w:rsid w:val="00CB6AB4"/>
    <w:rsid w:val="00CB6AB7"/>
    <w:rsid w:val="00CB6B7E"/>
    <w:rsid w:val="00CB6B84"/>
    <w:rsid w:val="00CB6BA3"/>
    <w:rsid w:val="00CB6BAF"/>
    <w:rsid w:val="00CB6BC0"/>
    <w:rsid w:val="00CB6BCB"/>
    <w:rsid w:val="00CB6C0D"/>
    <w:rsid w:val="00CB6C50"/>
    <w:rsid w:val="00CB6C7F"/>
    <w:rsid w:val="00CB6C87"/>
    <w:rsid w:val="00CB6C8D"/>
    <w:rsid w:val="00CB6C9F"/>
    <w:rsid w:val="00CB6CA1"/>
    <w:rsid w:val="00CB6CB2"/>
    <w:rsid w:val="00CB6CED"/>
    <w:rsid w:val="00CB6D96"/>
    <w:rsid w:val="00CB6DDA"/>
    <w:rsid w:val="00CB6E0E"/>
    <w:rsid w:val="00CB6E0F"/>
    <w:rsid w:val="00CB6E36"/>
    <w:rsid w:val="00CB6E4A"/>
    <w:rsid w:val="00CB6E5F"/>
    <w:rsid w:val="00CB6E92"/>
    <w:rsid w:val="00CB6EC3"/>
    <w:rsid w:val="00CB6EE4"/>
    <w:rsid w:val="00CB6EF4"/>
    <w:rsid w:val="00CB6F31"/>
    <w:rsid w:val="00CB6F80"/>
    <w:rsid w:val="00CB6F9C"/>
    <w:rsid w:val="00CB6F9F"/>
    <w:rsid w:val="00CB6FAF"/>
    <w:rsid w:val="00CB6FB5"/>
    <w:rsid w:val="00CB6FBD"/>
    <w:rsid w:val="00CB6FC6"/>
    <w:rsid w:val="00CB6FE4"/>
    <w:rsid w:val="00CB7034"/>
    <w:rsid w:val="00CB7072"/>
    <w:rsid w:val="00CB7092"/>
    <w:rsid w:val="00CB70B0"/>
    <w:rsid w:val="00CB70B7"/>
    <w:rsid w:val="00CB711A"/>
    <w:rsid w:val="00CB7127"/>
    <w:rsid w:val="00CB7174"/>
    <w:rsid w:val="00CB717F"/>
    <w:rsid w:val="00CB7190"/>
    <w:rsid w:val="00CB71C8"/>
    <w:rsid w:val="00CB71E6"/>
    <w:rsid w:val="00CB71F9"/>
    <w:rsid w:val="00CB7235"/>
    <w:rsid w:val="00CB723B"/>
    <w:rsid w:val="00CB723C"/>
    <w:rsid w:val="00CB724A"/>
    <w:rsid w:val="00CB72CA"/>
    <w:rsid w:val="00CB734E"/>
    <w:rsid w:val="00CB7362"/>
    <w:rsid w:val="00CB737F"/>
    <w:rsid w:val="00CB73A0"/>
    <w:rsid w:val="00CB73FB"/>
    <w:rsid w:val="00CB74E3"/>
    <w:rsid w:val="00CB74EF"/>
    <w:rsid w:val="00CB74F2"/>
    <w:rsid w:val="00CB750C"/>
    <w:rsid w:val="00CB7524"/>
    <w:rsid w:val="00CB7530"/>
    <w:rsid w:val="00CB756F"/>
    <w:rsid w:val="00CB759A"/>
    <w:rsid w:val="00CB75B5"/>
    <w:rsid w:val="00CB75DB"/>
    <w:rsid w:val="00CB75EF"/>
    <w:rsid w:val="00CB7639"/>
    <w:rsid w:val="00CB764C"/>
    <w:rsid w:val="00CB767C"/>
    <w:rsid w:val="00CB7693"/>
    <w:rsid w:val="00CB76C1"/>
    <w:rsid w:val="00CB7720"/>
    <w:rsid w:val="00CB773D"/>
    <w:rsid w:val="00CB774A"/>
    <w:rsid w:val="00CB775D"/>
    <w:rsid w:val="00CB7835"/>
    <w:rsid w:val="00CB788C"/>
    <w:rsid w:val="00CB7895"/>
    <w:rsid w:val="00CB7897"/>
    <w:rsid w:val="00CB78B3"/>
    <w:rsid w:val="00CB78BA"/>
    <w:rsid w:val="00CB7952"/>
    <w:rsid w:val="00CB7A1A"/>
    <w:rsid w:val="00CB7A1D"/>
    <w:rsid w:val="00CB7A38"/>
    <w:rsid w:val="00CB7A53"/>
    <w:rsid w:val="00CB7A77"/>
    <w:rsid w:val="00CB7A93"/>
    <w:rsid w:val="00CB7AD5"/>
    <w:rsid w:val="00CB7ADA"/>
    <w:rsid w:val="00CB7AF6"/>
    <w:rsid w:val="00CB7AFA"/>
    <w:rsid w:val="00CB7B18"/>
    <w:rsid w:val="00CB7B8D"/>
    <w:rsid w:val="00CB7BF7"/>
    <w:rsid w:val="00CB7BF9"/>
    <w:rsid w:val="00CB7C02"/>
    <w:rsid w:val="00CB7C17"/>
    <w:rsid w:val="00CB7C1F"/>
    <w:rsid w:val="00CB7C79"/>
    <w:rsid w:val="00CB7C8F"/>
    <w:rsid w:val="00CB7C9A"/>
    <w:rsid w:val="00CB7CB1"/>
    <w:rsid w:val="00CB7CB5"/>
    <w:rsid w:val="00CB7D26"/>
    <w:rsid w:val="00CB7D38"/>
    <w:rsid w:val="00CB7D39"/>
    <w:rsid w:val="00CB7D83"/>
    <w:rsid w:val="00CB7D9F"/>
    <w:rsid w:val="00CB7DE5"/>
    <w:rsid w:val="00CB7DEC"/>
    <w:rsid w:val="00CB7E27"/>
    <w:rsid w:val="00CB7E37"/>
    <w:rsid w:val="00CB7E47"/>
    <w:rsid w:val="00CB7E5D"/>
    <w:rsid w:val="00CB7EF5"/>
    <w:rsid w:val="00CB7EFF"/>
    <w:rsid w:val="00CB7F4D"/>
    <w:rsid w:val="00CB7F88"/>
    <w:rsid w:val="00CB7FF2"/>
    <w:rsid w:val="00CC0078"/>
    <w:rsid w:val="00CC0099"/>
    <w:rsid w:val="00CC00B9"/>
    <w:rsid w:val="00CC00D9"/>
    <w:rsid w:val="00CC00EC"/>
    <w:rsid w:val="00CC0114"/>
    <w:rsid w:val="00CC0141"/>
    <w:rsid w:val="00CC0157"/>
    <w:rsid w:val="00CC01D0"/>
    <w:rsid w:val="00CC0222"/>
    <w:rsid w:val="00CC0235"/>
    <w:rsid w:val="00CC023E"/>
    <w:rsid w:val="00CC0247"/>
    <w:rsid w:val="00CC0250"/>
    <w:rsid w:val="00CC0299"/>
    <w:rsid w:val="00CC02AB"/>
    <w:rsid w:val="00CC02C5"/>
    <w:rsid w:val="00CC02C7"/>
    <w:rsid w:val="00CC02CC"/>
    <w:rsid w:val="00CC02F4"/>
    <w:rsid w:val="00CC031E"/>
    <w:rsid w:val="00CC031F"/>
    <w:rsid w:val="00CC0354"/>
    <w:rsid w:val="00CC0360"/>
    <w:rsid w:val="00CC0368"/>
    <w:rsid w:val="00CC037D"/>
    <w:rsid w:val="00CC038D"/>
    <w:rsid w:val="00CC03A8"/>
    <w:rsid w:val="00CC03C4"/>
    <w:rsid w:val="00CC0416"/>
    <w:rsid w:val="00CC0422"/>
    <w:rsid w:val="00CC0460"/>
    <w:rsid w:val="00CC0475"/>
    <w:rsid w:val="00CC0485"/>
    <w:rsid w:val="00CC04B5"/>
    <w:rsid w:val="00CC04EF"/>
    <w:rsid w:val="00CC0578"/>
    <w:rsid w:val="00CC058E"/>
    <w:rsid w:val="00CC0595"/>
    <w:rsid w:val="00CC05A9"/>
    <w:rsid w:val="00CC05B7"/>
    <w:rsid w:val="00CC062D"/>
    <w:rsid w:val="00CC0652"/>
    <w:rsid w:val="00CC0658"/>
    <w:rsid w:val="00CC067E"/>
    <w:rsid w:val="00CC0682"/>
    <w:rsid w:val="00CC0686"/>
    <w:rsid w:val="00CC06E6"/>
    <w:rsid w:val="00CC0708"/>
    <w:rsid w:val="00CC070F"/>
    <w:rsid w:val="00CC0725"/>
    <w:rsid w:val="00CC0728"/>
    <w:rsid w:val="00CC0748"/>
    <w:rsid w:val="00CC0761"/>
    <w:rsid w:val="00CC0771"/>
    <w:rsid w:val="00CC0782"/>
    <w:rsid w:val="00CC0785"/>
    <w:rsid w:val="00CC079B"/>
    <w:rsid w:val="00CC079F"/>
    <w:rsid w:val="00CC07A3"/>
    <w:rsid w:val="00CC07FB"/>
    <w:rsid w:val="00CC080B"/>
    <w:rsid w:val="00CC0825"/>
    <w:rsid w:val="00CC0830"/>
    <w:rsid w:val="00CC0837"/>
    <w:rsid w:val="00CC0888"/>
    <w:rsid w:val="00CC08BB"/>
    <w:rsid w:val="00CC08D7"/>
    <w:rsid w:val="00CC08D9"/>
    <w:rsid w:val="00CC08DD"/>
    <w:rsid w:val="00CC093A"/>
    <w:rsid w:val="00CC096E"/>
    <w:rsid w:val="00CC09AC"/>
    <w:rsid w:val="00CC09F1"/>
    <w:rsid w:val="00CC09F9"/>
    <w:rsid w:val="00CC0A17"/>
    <w:rsid w:val="00CC0A94"/>
    <w:rsid w:val="00CC0A97"/>
    <w:rsid w:val="00CC0A98"/>
    <w:rsid w:val="00CC0AF5"/>
    <w:rsid w:val="00CC0B1A"/>
    <w:rsid w:val="00CC0B36"/>
    <w:rsid w:val="00CC0B62"/>
    <w:rsid w:val="00CC0B87"/>
    <w:rsid w:val="00CC0B8C"/>
    <w:rsid w:val="00CC0BB9"/>
    <w:rsid w:val="00CC0BE8"/>
    <w:rsid w:val="00CC0BF0"/>
    <w:rsid w:val="00CC0BF5"/>
    <w:rsid w:val="00CC0C43"/>
    <w:rsid w:val="00CC0C5C"/>
    <w:rsid w:val="00CC0C92"/>
    <w:rsid w:val="00CC0CB3"/>
    <w:rsid w:val="00CC0CE1"/>
    <w:rsid w:val="00CC0CF6"/>
    <w:rsid w:val="00CC0CF8"/>
    <w:rsid w:val="00CC0D1A"/>
    <w:rsid w:val="00CC0D7C"/>
    <w:rsid w:val="00CC0DA1"/>
    <w:rsid w:val="00CC0DA2"/>
    <w:rsid w:val="00CC0E1A"/>
    <w:rsid w:val="00CC0E60"/>
    <w:rsid w:val="00CC0E8C"/>
    <w:rsid w:val="00CC0E9D"/>
    <w:rsid w:val="00CC0EBA"/>
    <w:rsid w:val="00CC0EE2"/>
    <w:rsid w:val="00CC0F22"/>
    <w:rsid w:val="00CC0F7D"/>
    <w:rsid w:val="00CC0F96"/>
    <w:rsid w:val="00CC0FE9"/>
    <w:rsid w:val="00CC103E"/>
    <w:rsid w:val="00CC1057"/>
    <w:rsid w:val="00CC107D"/>
    <w:rsid w:val="00CC108A"/>
    <w:rsid w:val="00CC1092"/>
    <w:rsid w:val="00CC10B0"/>
    <w:rsid w:val="00CC114D"/>
    <w:rsid w:val="00CC121E"/>
    <w:rsid w:val="00CC125F"/>
    <w:rsid w:val="00CC1270"/>
    <w:rsid w:val="00CC12B5"/>
    <w:rsid w:val="00CC12D1"/>
    <w:rsid w:val="00CC12F7"/>
    <w:rsid w:val="00CC1304"/>
    <w:rsid w:val="00CC133C"/>
    <w:rsid w:val="00CC13A1"/>
    <w:rsid w:val="00CC13A2"/>
    <w:rsid w:val="00CC13A5"/>
    <w:rsid w:val="00CC13AB"/>
    <w:rsid w:val="00CC13CF"/>
    <w:rsid w:val="00CC13D9"/>
    <w:rsid w:val="00CC1400"/>
    <w:rsid w:val="00CC1413"/>
    <w:rsid w:val="00CC1414"/>
    <w:rsid w:val="00CC1467"/>
    <w:rsid w:val="00CC1474"/>
    <w:rsid w:val="00CC14E2"/>
    <w:rsid w:val="00CC150D"/>
    <w:rsid w:val="00CC150F"/>
    <w:rsid w:val="00CC1559"/>
    <w:rsid w:val="00CC15DF"/>
    <w:rsid w:val="00CC1637"/>
    <w:rsid w:val="00CC1642"/>
    <w:rsid w:val="00CC1647"/>
    <w:rsid w:val="00CC1660"/>
    <w:rsid w:val="00CC1696"/>
    <w:rsid w:val="00CC169F"/>
    <w:rsid w:val="00CC16A0"/>
    <w:rsid w:val="00CC16CE"/>
    <w:rsid w:val="00CC1755"/>
    <w:rsid w:val="00CC1799"/>
    <w:rsid w:val="00CC17BD"/>
    <w:rsid w:val="00CC17F6"/>
    <w:rsid w:val="00CC180D"/>
    <w:rsid w:val="00CC1851"/>
    <w:rsid w:val="00CC1863"/>
    <w:rsid w:val="00CC1875"/>
    <w:rsid w:val="00CC1881"/>
    <w:rsid w:val="00CC188E"/>
    <w:rsid w:val="00CC1893"/>
    <w:rsid w:val="00CC190B"/>
    <w:rsid w:val="00CC1912"/>
    <w:rsid w:val="00CC1930"/>
    <w:rsid w:val="00CC1941"/>
    <w:rsid w:val="00CC194F"/>
    <w:rsid w:val="00CC1955"/>
    <w:rsid w:val="00CC195F"/>
    <w:rsid w:val="00CC1961"/>
    <w:rsid w:val="00CC1970"/>
    <w:rsid w:val="00CC1991"/>
    <w:rsid w:val="00CC199D"/>
    <w:rsid w:val="00CC19BE"/>
    <w:rsid w:val="00CC19CC"/>
    <w:rsid w:val="00CC19F9"/>
    <w:rsid w:val="00CC1A1D"/>
    <w:rsid w:val="00CC1A25"/>
    <w:rsid w:val="00CC1A37"/>
    <w:rsid w:val="00CC1A5A"/>
    <w:rsid w:val="00CC1A78"/>
    <w:rsid w:val="00CC1A79"/>
    <w:rsid w:val="00CC1A84"/>
    <w:rsid w:val="00CC1A9C"/>
    <w:rsid w:val="00CC1A9F"/>
    <w:rsid w:val="00CC1AC2"/>
    <w:rsid w:val="00CC1AC5"/>
    <w:rsid w:val="00CC1AC7"/>
    <w:rsid w:val="00CC1AD0"/>
    <w:rsid w:val="00CC1B09"/>
    <w:rsid w:val="00CC1B0F"/>
    <w:rsid w:val="00CC1B15"/>
    <w:rsid w:val="00CC1B4F"/>
    <w:rsid w:val="00CC1B57"/>
    <w:rsid w:val="00CC1C5C"/>
    <w:rsid w:val="00CC1C62"/>
    <w:rsid w:val="00CC1CE5"/>
    <w:rsid w:val="00CC1D06"/>
    <w:rsid w:val="00CC1D2E"/>
    <w:rsid w:val="00CC1D2F"/>
    <w:rsid w:val="00CC1D61"/>
    <w:rsid w:val="00CC1DA1"/>
    <w:rsid w:val="00CC1DBF"/>
    <w:rsid w:val="00CC1DC4"/>
    <w:rsid w:val="00CC1DE5"/>
    <w:rsid w:val="00CC1E0A"/>
    <w:rsid w:val="00CC1E0C"/>
    <w:rsid w:val="00CC1E4A"/>
    <w:rsid w:val="00CC1E5B"/>
    <w:rsid w:val="00CC1E9E"/>
    <w:rsid w:val="00CC1EB8"/>
    <w:rsid w:val="00CC1EE1"/>
    <w:rsid w:val="00CC1EE2"/>
    <w:rsid w:val="00CC1F05"/>
    <w:rsid w:val="00CC1F21"/>
    <w:rsid w:val="00CC1F47"/>
    <w:rsid w:val="00CC1FA5"/>
    <w:rsid w:val="00CC1FA9"/>
    <w:rsid w:val="00CC1FE1"/>
    <w:rsid w:val="00CC1FE7"/>
    <w:rsid w:val="00CC2013"/>
    <w:rsid w:val="00CC2021"/>
    <w:rsid w:val="00CC2056"/>
    <w:rsid w:val="00CC2062"/>
    <w:rsid w:val="00CC2063"/>
    <w:rsid w:val="00CC207F"/>
    <w:rsid w:val="00CC20DA"/>
    <w:rsid w:val="00CC211B"/>
    <w:rsid w:val="00CC2147"/>
    <w:rsid w:val="00CC2183"/>
    <w:rsid w:val="00CC2184"/>
    <w:rsid w:val="00CC218A"/>
    <w:rsid w:val="00CC21CE"/>
    <w:rsid w:val="00CC21E6"/>
    <w:rsid w:val="00CC2277"/>
    <w:rsid w:val="00CC228B"/>
    <w:rsid w:val="00CC229B"/>
    <w:rsid w:val="00CC22A5"/>
    <w:rsid w:val="00CC2328"/>
    <w:rsid w:val="00CC237A"/>
    <w:rsid w:val="00CC237D"/>
    <w:rsid w:val="00CC2383"/>
    <w:rsid w:val="00CC23B5"/>
    <w:rsid w:val="00CC2418"/>
    <w:rsid w:val="00CC2422"/>
    <w:rsid w:val="00CC24EA"/>
    <w:rsid w:val="00CC24F6"/>
    <w:rsid w:val="00CC2547"/>
    <w:rsid w:val="00CC2552"/>
    <w:rsid w:val="00CC255D"/>
    <w:rsid w:val="00CC2568"/>
    <w:rsid w:val="00CC258F"/>
    <w:rsid w:val="00CC25AA"/>
    <w:rsid w:val="00CC25C6"/>
    <w:rsid w:val="00CC25C7"/>
    <w:rsid w:val="00CC25D9"/>
    <w:rsid w:val="00CC2607"/>
    <w:rsid w:val="00CC2634"/>
    <w:rsid w:val="00CC26CE"/>
    <w:rsid w:val="00CC26D6"/>
    <w:rsid w:val="00CC26DB"/>
    <w:rsid w:val="00CC26F0"/>
    <w:rsid w:val="00CC26F5"/>
    <w:rsid w:val="00CC2741"/>
    <w:rsid w:val="00CC2758"/>
    <w:rsid w:val="00CC275F"/>
    <w:rsid w:val="00CC2780"/>
    <w:rsid w:val="00CC27AA"/>
    <w:rsid w:val="00CC27AB"/>
    <w:rsid w:val="00CC27FC"/>
    <w:rsid w:val="00CC2821"/>
    <w:rsid w:val="00CC2828"/>
    <w:rsid w:val="00CC2867"/>
    <w:rsid w:val="00CC2869"/>
    <w:rsid w:val="00CC2874"/>
    <w:rsid w:val="00CC2878"/>
    <w:rsid w:val="00CC2882"/>
    <w:rsid w:val="00CC2898"/>
    <w:rsid w:val="00CC28CE"/>
    <w:rsid w:val="00CC2902"/>
    <w:rsid w:val="00CC2940"/>
    <w:rsid w:val="00CC2946"/>
    <w:rsid w:val="00CC29B3"/>
    <w:rsid w:val="00CC29FC"/>
    <w:rsid w:val="00CC2A00"/>
    <w:rsid w:val="00CC2A0E"/>
    <w:rsid w:val="00CC2A11"/>
    <w:rsid w:val="00CC2A72"/>
    <w:rsid w:val="00CC2A7E"/>
    <w:rsid w:val="00CC2AC3"/>
    <w:rsid w:val="00CC2AF0"/>
    <w:rsid w:val="00CC2AFD"/>
    <w:rsid w:val="00CC2B49"/>
    <w:rsid w:val="00CC2B8E"/>
    <w:rsid w:val="00CC2BA2"/>
    <w:rsid w:val="00CC2BD7"/>
    <w:rsid w:val="00CC2C09"/>
    <w:rsid w:val="00CC2C92"/>
    <w:rsid w:val="00CC2CCA"/>
    <w:rsid w:val="00CC2CCC"/>
    <w:rsid w:val="00CC2CD5"/>
    <w:rsid w:val="00CC2CD8"/>
    <w:rsid w:val="00CC2D06"/>
    <w:rsid w:val="00CC2D30"/>
    <w:rsid w:val="00CC2D63"/>
    <w:rsid w:val="00CC2D7C"/>
    <w:rsid w:val="00CC2D8A"/>
    <w:rsid w:val="00CC2DC9"/>
    <w:rsid w:val="00CC2DDE"/>
    <w:rsid w:val="00CC2DF7"/>
    <w:rsid w:val="00CC2DF8"/>
    <w:rsid w:val="00CC2E32"/>
    <w:rsid w:val="00CC2E37"/>
    <w:rsid w:val="00CC2E70"/>
    <w:rsid w:val="00CC2EDA"/>
    <w:rsid w:val="00CC2F01"/>
    <w:rsid w:val="00CC2F1A"/>
    <w:rsid w:val="00CC2F1D"/>
    <w:rsid w:val="00CC2F20"/>
    <w:rsid w:val="00CC2F41"/>
    <w:rsid w:val="00CC2F46"/>
    <w:rsid w:val="00CC2F48"/>
    <w:rsid w:val="00CC2F50"/>
    <w:rsid w:val="00CC2F69"/>
    <w:rsid w:val="00CC2F9E"/>
    <w:rsid w:val="00CC302D"/>
    <w:rsid w:val="00CC3047"/>
    <w:rsid w:val="00CC308E"/>
    <w:rsid w:val="00CC30A7"/>
    <w:rsid w:val="00CC30AC"/>
    <w:rsid w:val="00CC30BE"/>
    <w:rsid w:val="00CC30F6"/>
    <w:rsid w:val="00CC30F7"/>
    <w:rsid w:val="00CC30F8"/>
    <w:rsid w:val="00CC3108"/>
    <w:rsid w:val="00CC312D"/>
    <w:rsid w:val="00CC3160"/>
    <w:rsid w:val="00CC316B"/>
    <w:rsid w:val="00CC316F"/>
    <w:rsid w:val="00CC319D"/>
    <w:rsid w:val="00CC31B1"/>
    <w:rsid w:val="00CC3201"/>
    <w:rsid w:val="00CC3206"/>
    <w:rsid w:val="00CC323E"/>
    <w:rsid w:val="00CC3244"/>
    <w:rsid w:val="00CC325E"/>
    <w:rsid w:val="00CC325F"/>
    <w:rsid w:val="00CC3267"/>
    <w:rsid w:val="00CC3357"/>
    <w:rsid w:val="00CC3376"/>
    <w:rsid w:val="00CC339D"/>
    <w:rsid w:val="00CC33A5"/>
    <w:rsid w:val="00CC33A7"/>
    <w:rsid w:val="00CC33E1"/>
    <w:rsid w:val="00CC3414"/>
    <w:rsid w:val="00CC3424"/>
    <w:rsid w:val="00CC34A8"/>
    <w:rsid w:val="00CC34E2"/>
    <w:rsid w:val="00CC3530"/>
    <w:rsid w:val="00CC3633"/>
    <w:rsid w:val="00CC366B"/>
    <w:rsid w:val="00CC366F"/>
    <w:rsid w:val="00CC3673"/>
    <w:rsid w:val="00CC367C"/>
    <w:rsid w:val="00CC367F"/>
    <w:rsid w:val="00CC3686"/>
    <w:rsid w:val="00CC3692"/>
    <w:rsid w:val="00CC36A7"/>
    <w:rsid w:val="00CC36AE"/>
    <w:rsid w:val="00CC36C8"/>
    <w:rsid w:val="00CC36DC"/>
    <w:rsid w:val="00CC3704"/>
    <w:rsid w:val="00CC371A"/>
    <w:rsid w:val="00CC37CB"/>
    <w:rsid w:val="00CC3878"/>
    <w:rsid w:val="00CC388E"/>
    <w:rsid w:val="00CC38E9"/>
    <w:rsid w:val="00CC38FD"/>
    <w:rsid w:val="00CC3954"/>
    <w:rsid w:val="00CC3A06"/>
    <w:rsid w:val="00CC3A77"/>
    <w:rsid w:val="00CC3AA1"/>
    <w:rsid w:val="00CC3AAC"/>
    <w:rsid w:val="00CC3AD8"/>
    <w:rsid w:val="00CC3B1D"/>
    <w:rsid w:val="00CC3B44"/>
    <w:rsid w:val="00CC3B52"/>
    <w:rsid w:val="00CC3B62"/>
    <w:rsid w:val="00CC3B6A"/>
    <w:rsid w:val="00CC3BC5"/>
    <w:rsid w:val="00CC3BD8"/>
    <w:rsid w:val="00CC3C1D"/>
    <w:rsid w:val="00CC3C70"/>
    <w:rsid w:val="00CC3C79"/>
    <w:rsid w:val="00CC3C91"/>
    <w:rsid w:val="00CC3C97"/>
    <w:rsid w:val="00CC3CEE"/>
    <w:rsid w:val="00CC3D21"/>
    <w:rsid w:val="00CC3D27"/>
    <w:rsid w:val="00CC3D32"/>
    <w:rsid w:val="00CC3D69"/>
    <w:rsid w:val="00CC3D86"/>
    <w:rsid w:val="00CC3DBF"/>
    <w:rsid w:val="00CC3DCB"/>
    <w:rsid w:val="00CC3E60"/>
    <w:rsid w:val="00CC3ECA"/>
    <w:rsid w:val="00CC3F16"/>
    <w:rsid w:val="00CC3F35"/>
    <w:rsid w:val="00CC3F7F"/>
    <w:rsid w:val="00CC4073"/>
    <w:rsid w:val="00CC4098"/>
    <w:rsid w:val="00CC40A4"/>
    <w:rsid w:val="00CC40DA"/>
    <w:rsid w:val="00CC4136"/>
    <w:rsid w:val="00CC4151"/>
    <w:rsid w:val="00CC4168"/>
    <w:rsid w:val="00CC416B"/>
    <w:rsid w:val="00CC4175"/>
    <w:rsid w:val="00CC4197"/>
    <w:rsid w:val="00CC41AA"/>
    <w:rsid w:val="00CC4208"/>
    <w:rsid w:val="00CC4215"/>
    <w:rsid w:val="00CC4243"/>
    <w:rsid w:val="00CC4250"/>
    <w:rsid w:val="00CC4261"/>
    <w:rsid w:val="00CC4271"/>
    <w:rsid w:val="00CC42F4"/>
    <w:rsid w:val="00CC4301"/>
    <w:rsid w:val="00CC4323"/>
    <w:rsid w:val="00CC4371"/>
    <w:rsid w:val="00CC439B"/>
    <w:rsid w:val="00CC43D7"/>
    <w:rsid w:val="00CC43F5"/>
    <w:rsid w:val="00CC441B"/>
    <w:rsid w:val="00CC442C"/>
    <w:rsid w:val="00CC4440"/>
    <w:rsid w:val="00CC444A"/>
    <w:rsid w:val="00CC445E"/>
    <w:rsid w:val="00CC446D"/>
    <w:rsid w:val="00CC451B"/>
    <w:rsid w:val="00CC4557"/>
    <w:rsid w:val="00CC456C"/>
    <w:rsid w:val="00CC457F"/>
    <w:rsid w:val="00CC458B"/>
    <w:rsid w:val="00CC45A0"/>
    <w:rsid w:val="00CC45A3"/>
    <w:rsid w:val="00CC4603"/>
    <w:rsid w:val="00CC4649"/>
    <w:rsid w:val="00CC464F"/>
    <w:rsid w:val="00CC466B"/>
    <w:rsid w:val="00CC46BD"/>
    <w:rsid w:val="00CC4790"/>
    <w:rsid w:val="00CC47D4"/>
    <w:rsid w:val="00CC47D8"/>
    <w:rsid w:val="00CC47D9"/>
    <w:rsid w:val="00CC47DA"/>
    <w:rsid w:val="00CC47FE"/>
    <w:rsid w:val="00CC4828"/>
    <w:rsid w:val="00CC483C"/>
    <w:rsid w:val="00CC4883"/>
    <w:rsid w:val="00CC48A4"/>
    <w:rsid w:val="00CC4915"/>
    <w:rsid w:val="00CC492F"/>
    <w:rsid w:val="00CC4962"/>
    <w:rsid w:val="00CC4963"/>
    <w:rsid w:val="00CC4965"/>
    <w:rsid w:val="00CC497C"/>
    <w:rsid w:val="00CC4995"/>
    <w:rsid w:val="00CC49DC"/>
    <w:rsid w:val="00CC4A1A"/>
    <w:rsid w:val="00CC4A22"/>
    <w:rsid w:val="00CC4A29"/>
    <w:rsid w:val="00CC4A5A"/>
    <w:rsid w:val="00CC4A7B"/>
    <w:rsid w:val="00CC4A96"/>
    <w:rsid w:val="00CC4ABB"/>
    <w:rsid w:val="00CC4ABF"/>
    <w:rsid w:val="00CC4ACC"/>
    <w:rsid w:val="00CC4B0C"/>
    <w:rsid w:val="00CC4B21"/>
    <w:rsid w:val="00CC4B4B"/>
    <w:rsid w:val="00CC4B65"/>
    <w:rsid w:val="00CC4B84"/>
    <w:rsid w:val="00CC4BA1"/>
    <w:rsid w:val="00CC4BE9"/>
    <w:rsid w:val="00CC4C4E"/>
    <w:rsid w:val="00CC4C56"/>
    <w:rsid w:val="00CC4C98"/>
    <w:rsid w:val="00CC4CA5"/>
    <w:rsid w:val="00CC4CA6"/>
    <w:rsid w:val="00CC4D78"/>
    <w:rsid w:val="00CC4D9B"/>
    <w:rsid w:val="00CC4DC7"/>
    <w:rsid w:val="00CC4E04"/>
    <w:rsid w:val="00CC4E17"/>
    <w:rsid w:val="00CC4E2E"/>
    <w:rsid w:val="00CC4EBE"/>
    <w:rsid w:val="00CC4EC5"/>
    <w:rsid w:val="00CC4EFE"/>
    <w:rsid w:val="00CC4F1E"/>
    <w:rsid w:val="00CC4F48"/>
    <w:rsid w:val="00CC4F6A"/>
    <w:rsid w:val="00CC4F6C"/>
    <w:rsid w:val="00CC4F8E"/>
    <w:rsid w:val="00CC4F99"/>
    <w:rsid w:val="00CC4FA8"/>
    <w:rsid w:val="00CC4FCB"/>
    <w:rsid w:val="00CC5008"/>
    <w:rsid w:val="00CC502E"/>
    <w:rsid w:val="00CC5052"/>
    <w:rsid w:val="00CC5078"/>
    <w:rsid w:val="00CC5087"/>
    <w:rsid w:val="00CC50DC"/>
    <w:rsid w:val="00CC50EA"/>
    <w:rsid w:val="00CC50F0"/>
    <w:rsid w:val="00CC5125"/>
    <w:rsid w:val="00CC51D7"/>
    <w:rsid w:val="00CC5214"/>
    <w:rsid w:val="00CC5218"/>
    <w:rsid w:val="00CC521A"/>
    <w:rsid w:val="00CC5260"/>
    <w:rsid w:val="00CC52E7"/>
    <w:rsid w:val="00CC52FF"/>
    <w:rsid w:val="00CC530A"/>
    <w:rsid w:val="00CC5329"/>
    <w:rsid w:val="00CC5345"/>
    <w:rsid w:val="00CC5361"/>
    <w:rsid w:val="00CC536E"/>
    <w:rsid w:val="00CC5398"/>
    <w:rsid w:val="00CC539E"/>
    <w:rsid w:val="00CC53BB"/>
    <w:rsid w:val="00CC53BE"/>
    <w:rsid w:val="00CC53E3"/>
    <w:rsid w:val="00CC53EA"/>
    <w:rsid w:val="00CC53FA"/>
    <w:rsid w:val="00CC5417"/>
    <w:rsid w:val="00CC543C"/>
    <w:rsid w:val="00CC5449"/>
    <w:rsid w:val="00CC5465"/>
    <w:rsid w:val="00CC54BD"/>
    <w:rsid w:val="00CC54C1"/>
    <w:rsid w:val="00CC54DD"/>
    <w:rsid w:val="00CC550C"/>
    <w:rsid w:val="00CC5540"/>
    <w:rsid w:val="00CC554F"/>
    <w:rsid w:val="00CC5571"/>
    <w:rsid w:val="00CC55A6"/>
    <w:rsid w:val="00CC5615"/>
    <w:rsid w:val="00CC5617"/>
    <w:rsid w:val="00CC561A"/>
    <w:rsid w:val="00CC562F"/>
    <w:rsid w:val="00CC5630"/>
    <w:rsid w:val="00CC565F"/>
    <w:rsid w:val="00CC5668"/>
    <w:rsid w:val="00CC5711"/>
    <w:rsid w:val="00CC572E"/>
    <w:rsid w:val="00CC5742"/>
    <w:rsid w:val="00CC577B"/>
    <w:rsid w:val="00CC577F"/>
    <w:rsid w:val="00CC57A2"/>
    <w:rsid w:val="00CC57AE"/>
    <w:rsid w:val="00CC57ED"/>
    <w:rsid w:val="00CC582F"/>
    <w:rsid w:val="00CC5846"/>
    <w:rsid w:val="00CC5851"/>
    <w:rsid w:val="00CC5867"/>
    <w:rsid w:val="00CC58D0"/>
    <w:rsid w:val="00CC5904"/>
    <w:rsid w:val="00CC5922"/>
    <w:rsid w:val="00CC5950"/>
    <w:rsid w:val="00CC5969"/>
    <w:rsid w:val="00CC5984"/>
    <w:rsid w:val="00CC5988"/>
    <w:rsid w:val="00CC59D0"/>
    <w:rsid w:val="00CC59E4"/>
    <w:rsid w:val="00CC5A0F"/>
    <w:rsid w:val="00CC5A37"/>
    <w:rsid w:val="00CC5A79"/>
    <w:rsid w:val="00CC5A9D"/>
    <w:rsid w:val="00CC5AD9"/>
    <w:rsid w:val="00CC5AE5"/>
    <w:rsid w:val="00CC5AF5"/>
    <w:rsid w:val="00CC5AFE"/>
    <w:rsid w:val="00CC5B47"/>
    <w:rsid w:val="00CC5B48"/>
    <w:rsid w:val="00CC5B4E"/>
    <w:rsid w:val="00CC5B70"/>
    <w:rsid w:val="00CC5B7F"/>
    <w:rsid w:val="00CC5BBC"/>
    <w:rsid w:val="00CC5BF7"/>
    <w:rsid w:val="00CC5C12"/>
    <w:rsid w:val="00CC5C2E"/>
    <w:rsid w:val="00CC5C3B"/>
    <w:rsid w:val="00CC5C64"/>
    <w:rsid w:val="00CC5C9C"/>
    <w:rsid w:val="00CC5CAC"/>
    <w:rsid w:val="00CC5CB9"/>
    <w:rsid w:val="00CC5CC1"/>
    <w:rsid w:val="00CC5CE9"/>
    <w:rsid w:val="00CC5D32"/>
    <w:rsid w:val="00CC5DC1"/>
    <w:rsid w:val="00CC5DD7"/>
    <w:rsid w:val="00CC5E1A"/>
    <w:rsid w:val="00CC5E31"/>
    <w:rsid w:val="00CC5E37"/>
    <w:rsid w:val="00CC5E68"/>
    <w:rsid w:val="00CC5E7F"/>
    <w:rsid w:val="00CC5E96"/>
    <w:rsid w:val="00CC5EA7"/>
    <w:rsid w:val="00CC5EE3"/>
    <w:rsid w:val="00CC5EEA"/>
    <w:rsid w:val="00CC5F14"/>
    <w:rsid w:val="00CC5F15"/>
    <w:rsid w:val="00CC5F7C"/>
    <w:rsid w:val="00CC5F9D"/>
    <w:rsid w:val="00CC5F9E"/>
    <w:rsid w:val="00CC5FEC"/>
    <w:rsid w:val="00CC6093"/>
    <w:rsid w:val="00CC60AD"/>
    <w:rsid w:val="00CC60B3"/>
    <w:rsid w:val="00CC6118"/>
    <w:rsid w:val="00CC6121"/>
    <w:rsid w:val="00CC612B"/>
    <w:rsid w:val="00CC61D1"/>
    <w:rsid w:val="00CC61DB"/>
    <w:rsid w:val="00CC61E4"/>
    <w:rsid w:val="00CC6201"/>
    <w:rsid w:val="00CC620F"/>
    <w:rsid w:val="00CC6219"/>
    <w:rsid w:val="00CC6258"/>
    <w:rsid w:val="00CC6276"/>
    <w:rsid w:val="00CC6280"/>
    <w:rsid w:val="00CC62A5"/>
    <w:rsid w:val="00CC62E1"/>
    <w:rsid w:val="00CC6304"/>
    <w:rsid w:val="00CC6333"/>
    <w:rsid w:val="00CC6344"/>
    <w:rsid w:val="00CC6372"/>
    <w:rsid w:val="00CC637B"/>
    <w:rsid w:val="00CC6389"/>
    <w:rsid w:val="00CC6396"/>
    <w:rsid w:val="00CC643C"/>
    <w:rsid w:val="00CC6460"/>
    <w:rsid w:val="00CC64EB"/>
    <w:rsid w:val="00CC64ED"/>
    <w:rsid w:val="00CC64F2"/>
    <w:rsid w:val="00CC6506"/>
    <w:rsid w:val="00CC650B"/>
    <w:rsid w:val="00CC6510"/>
    <w:rsid w:val="00CC6554"/>
    <w:rsid w:val="00CC6570"/>
    <w:rsid w:val="00CC657B"/>
    <w:rsid w:val="00CC6586"/>
    <w:rsid w:val="00CC65B4"/>
    <w:rsid w:val="00CC65C9"/>
    <w:rsid w:val="00CC65EF"/>
    <w:rsid w:val="00CC6632"/>
    <w:rsid w:val="00CC664C"/>
    <w:rsid w:val="00CC665C"/>
    <w:rsid w:val="00CC6695"/>
    <w:rsid w:val="00CC66B0"/>
    <w:rsid w:val="00CC6705"/>
    <w:rsid w:val="00CC671E"/>
    <w:rsid w:val="00CC6730"/>
    <w:rsid w:val="00CC6737"/>
    <w:rsid w:val="00CC676A"/>
    <w:rsid w:val="00CC67A9"/>
    <w:rsid w:val="00CC67AB"/>
    <w:rsid w:val="00CC67D9"/>
    <w:rsid w:val="00CC67FB"/>
    <w:rsid w:val="00CC67FE"/>
    <w:rsid w:val="00CC67FF"/>
    <w:rsid w:val="00CC6838"/>
    <w:rsid w:val="00CC683D"/>
    <w:rsid w:val="00CC6845"/>
    <w:rsid w:val="00CC685D"/>
    <w:rsid w:val="00CC68A0"/>
    <w:rsid w:val="00CC68C5"/>
    <w:rsid w:val="00CC68E8"/>
    <w:rsid w:val="00CC68FE"/>
    <w:rsid w:val="00CC6957"/>
    <w:rsid w:val="00CC696C"/>
    <w:rsid w:val="00CC698E"/>
    <w:rsid w:val="00CC6992"/>
    <w:rsid w:val="00CC69DA"/>
    <w:rsid w:val="00CC6A50"/>
    <w:rsid w:val="00CC6A9E"/>
    <w:rsid w:val="00CC6ABE"/>
    <w:rsid w:val="00CC6AF3"/>
    <w:rsid w:val="00CC6B31"/>
    <w:rsid w:val="00CC6B74"/>
    <w:rsid w:val="00CC6B9A"/>
    <w:rsid w:val="00CC6B9D"/>
    <w:rsid w:val="00CC6BA2"/>
    <w:rsid w:val="00CC6BC0"/>
    <w:rsid w:val="00CC6BFF"/>
    <w:rsid w:val="00CC6C22"/>
    <w:rsid w:val="00CC6C8E"/>
    <w:rsid w:val="00CC6CAE"/>
    <w:rsid w:val="00CC6CC9"/>
    <w:rsid w:val="00CC6CD3"/>
    <w:rsid w:val="00CC6D0E"/>
    <w:rsid w:val="00CC6D46"/>
    <w:rsid w:val="00CC6D95"/>
    <w:rsid w:val="00CC6DAD"/>
    <w:rsid w:val="00CC6E22"/>
    <w:rsid w:val="00CC6E53"/>
    <w:rsid w:val="00CC6E7A"/>
    <w:rsid w:val="00CC6EA3"/>
    <w:rsid w:val="00CC6EB6"/>
    <w:rsid w:val="00CC6ECA"/>
    <w:rsid w:val="00CC6ED3"/>
    <w:rsid w:val="00CC6ED7"/>
    <w:rsid w:val="00CC6F1D"/>
    <w:rsid w:val="00CC6F33"/>
    <w:rsid w:val="00CC6F5B"/>
    <w:rsid w:val="00CC6F61"/>
    <w:rsid w:val="00CC6F83"/>
    <w:rsid w:val="00CC6FCD"/>
    <w:rsid w:val="00CC7004"/>
    <w:rsid w:val="00CC7005"/>
    <w:rsid w:val="00CC7021"/>
    <w:rsid w:val="00CC7053"/>
    <w:rsid w:val="00CC707E"/>
    <w:rsid w:val="00CC70A4"/>
    <w:rsid w:val="00CC70B6"/>
    <w:rsid w:val="00CC7116"/>
    <w:rsid w:val="00CC7184"/>
    <w:rsid w:val="00CC71E5"/>
    <w:rsid w:val="00CC7238"/>
    <w:rsid w:val="00CC724A"/>
    <w:rsid w:val="00CC7270"/>
    <w:rsid w:val="00CC728B"/>
    <w:rsid w:val="00CC7295"/>
    <w:rsid w:val="00CC72A2"/>
    <w:rsid w:val="00CC72A7"/>
    <w:rsid w:val="00CC72AD"/>
    <w:rsid w:val="00CC72AF"/>
    <w:rsid w:val="00CC72C2"/>
    <w:rsid w:val="00CC7310"/>
    <w:rsid w:val="00CC7317"/>
    <w:rsid w:val="00CC7332"/>
    <w:rsid w:val="00CC7341"/>
    <w:rsid w:val="00CC738B"/>
    <w:rsid w:val="00CC73B4"/>
    <w:rsid w:val="00CC73EE"/>
    <w:rsid w:val="00CC7411"/>
    <w:rsid w:val="00CC7415"/>
    <w:rsid w:val="00CC748F"/>
    <w:rsid w:val="00CC749E"/>
    <w:rsid w:val="00CC74C6"/>
    <w:rsid w:val="00CC751F"/>
    <w:rsid w:val="00CC7521"/>
    <w:rsid w:val="00CC7529"/>
    <w:rsid w:val="00CC754F"/>
    <w:rsid w:val="00CC7558"/>
    <w:rsid w:val="00CC7587"/>
    <w:rsid w:val="00CC75C8"/>
    <w:rsid w:val="00CC75F7"/>
    <w:rsid w:val="00CC762D"/>
    <w:rsid w:val="00CC763A"/>
    <w:rsid w:val="00CC7665"/>
    <w:rsid w:val="00CC7697"/>
    <w:rsid w:val="00CC76E4"/>
    <w:rsid w:val="00CC76F6"/>
    <w:rsid w:val="00CC771A"/>
    <w:rsid w:val="00CC775E"/>
    <w:rsid w:val="00CC7767"/>
    <w:rsid w:val="00CC779D"/>
    <w:rsid w:val="00CC77C8"/>
    <w:rsid w:val="00CC7818"/>
    <w:rsid w:val="00CC7880"/>
    <w:rsid w:val="00CC78A9"/>
    <w:rsid w:val="00CC78BC"/>
    <w:rsid w:val="00CC78D0"/>
    <w:rsid w:val="00CC78EF"/>
    <w:rsid w:val="00CC7911"/>
    <w:rsid w:val="00CC7915"/>
    <w:rsid w:val="00CC791B"/>
    <w:rsid w:val="00CC7950"/>
    <w:rsid w:val="00CC7955"/>
    <w:rsid w:val="00CC7972"/>
    <w:rsid w:val="00CC79AC"/>
    <w:rsid w:val="00CC7A6B"/>
    <w:rsid w:val="00CC7A73"/>
    <w:rsid w:val="00CC7A7E"/>
    <w:rsid w:val="00CC7AE8"/>
    <w:rsid w:val="00CC7AFF"/>
    <w:rsid w:val="00CC7B2B"/>
    <w:rsid w:val="00CC7B2D"/>
    <w:rsid w:val="00CC7B3A"/>
    <w:rsid w:val="00CC7B8D"/>
    <w:rsid w:val="00CC7B97"/>
    <w:rsid w:val="00CC7BB8"/>
    <w:rsid w:val="00CC7BC1"/>
    <w:rsid w:val="00CC7C1E"/>
    <w:rsid w:val="00CC7C4C"/>
    <w:rsid w:val="00CC7C56"/>
    <w:rsid w:val="00CC7C5E"/>
    <w:rsid w:val="00CC7C66"/>
    <w:rsid w:val="00CC7C7D"/>
    <w:rsid w:val="00CC7C8B"/>
    <w:rsid w:val="00CC7CB4"/>
    <w:rsid w:val="00CC7CB7"/>
    <w:rsid w:val="00CC7CD2"/>
    <w:rsid w:val="00CC7D0C"/>
    <w:rsid w:val="00CC7D40"/>
    <w:rsid w:val="00CC7D4B"/>
    <w:rsid w:val="00CC7D97"/>
    <w:rsid w:val="00CC7D9E"/>
    <w:rsid w:val="00CC7DAA"/>
    <w:rsid w:val="00CC7DBE"/>
    <w:rsid w:val="00CC7DD4"/>
    <w:rsid w:val="00CC7DE4"/>
    <w:rsid w:val="00CC7DFC"/>
    <w:rsid w:val="00CC7E0E"/>
    <w:rsid w:val="00CC7E2A"/>
    <w:rsid w:val="00CC7E71"/>
    <w:rsid w:val="00CC7E82"/>
    <w:rsid w:val="00CC7E85"/>
    <w:rsid w:val="00CC7E9F"/>
    <w:rsid w:val="00CC7EAD"/>
    <w:rsid w:val="00CC7ECA"/>
    <w:rsid w:val="00CC7EF7"/>
    <w:rsid w:val="00CC7F04"/>
    <w:rsid w:val="00CC7F16"/>
    <w:rsid w:val="00CC7F37"/>
    <w:rsid w:val="00CC7F3D"/>
    <w:rsid w:val="00CC7F65"/>
    <w:rsid w:val="00CC7F67"/>
    <w:rsid w:val="00CC7FB3"/>
    <w:rsid w:val="00CC7FB4"/>
    <w:rsid w:val="00CC7FBA"/>
    <w:rsid w:val="00CC7FD6"/>
    <w:rsid w:val="00CC7FF3"/>
    <w:rsid w:val="00CD001F"/>
    <w:rsid w:val="00CD0028"/>
    <w:rsid w:val="00CD0031"/>
    <w:rsid w:val="00CD004F"/>
    <w:rsid w:val="00CD005A"/>
    <w:rsid w:val="00CD005C"/>
    <w:rsid w:val="00CD006C"/>
    <w:rsid w:val="00CD00F0"/>
    <w:rsid w:val="00CD00FC"/>
    <w:rsid w:val="00CD0124"/>
    <w:rsid w:val="00CD0137"/>
    <w:rsid w:val="00CD0139"/>
    <w:rsid w:val="00CD0198"/>
    <w:rsid w:val="00CD01A0"/>
    <w:rsid w:val="00CD01C6"/>
    <w:rsid w:val="00CD01E2"/>
    <w:rsid w:val="00CD020B"/>
    <w:rsid w:val="00CD0276"/>
    <w:rsid w:val="00CD02B0"/>
    <w:rsid w:val="00CD02C0"/>
    <w:rsid w:val="00CD02C2"/>
    <w:rsid w:val="00CD033D"/>
    <w:rsid w:val="00CD033E"/>
    <w:rsid w:val="00CD03E8"/>
    <w:rsid w:val="00CD0417"/>
    <w:rsid w:val="00CD046A"/>
    <w:rsid w:val="00CD048D"/>
    <w:rsid w:val="00CD0491"/>
    <w:rsid w:val="00CD0537"/>
    <w:rsid w:val="00CD053C"/>
    <w:rsid w:val="00CD059C"/>
    <w:rsid w:val="00CD059E"/>
    <w:rsid w:val="00CD05A3"/>
    <w:rsid w:val="00CD05E1"/>
    <w:rsid w:val="00CD0613"/>
    <w:rsid w:val="00CD063D"/>
    <w:rsid w:val="00CD0670"/>
    <w:rsid w:val="00CD0744"/>
    <w:rsid w:val="00CD07AB"/>
    <w:rsid w:val="00CD07C7"/>
    <w:rsid w:val="00CD0815"/>
    <w:rsid w:val="00CD0816"/>
    <w:rsid w:val="00CD0819"/>
    <w:rsid w:val="00CD08B7"/>
    <w:rsid w:val="00CD08BD"/>
    <w:rsid w:val="00CD08C7"/>
    <w:rsid w:val="00CD08D2"/>
    <w:rsid w:val="00CD08F1"/>
    <w:rsid w:val="00CD0926"/>
    <w:rsid w:val="00CD0933"/>
    <w:rsid w:val="00CD0977"/>
    <w:rsid w:val="00CD0993"/>
    <w:rsid w:val="00CD09AF"/>
    <w:rsid w:val="00CD09DA"/>
    <w:rsid w:val="00CD0AEE"/>
    <w:rsid w:val="00CD0B19"/>
    <w:rsid w:val="00CD0B40"/>
    <w:rsid w:val="00CD0B5A"/>
    <w:rsid w:val="00CD0B62"/>
    <w:rsid w:val="00CD0BCA"/>
    <w:rsid w:val="00CD0C0D"/>
    <w:rsid w:val="00CD0C1D"/>
    <w:rsid w:val="00CD0C73"/>
    <w:rsid w:val="00CD0C83"/>
    <w:rsid w:val="00CD0C9F"/>
    <w:rsid w:val="00CD0CDE"/>
    <w:rsid w:val="00CD0CEF"/>
    <w:rsid w:val="00CD0CF7"/>
    <w:rsid w:val="00CD0D8A"/>
    <w:rsid w:val="00CD0E2B"/>
    <w:rsid w:val="00CD0E37"/>
    <w:rsid w:val="00CD0E86"/>
    <w:rsid w:val="00CD0F03"/>
    <w:rsid w:val="00CD0F6B"/>
    <w:rsid w:val="00CD0F73"/>
    <w:rsid w:val="00CD0F79"/>
    <w:rsid w:val="00CD0F87"/>
    <w:rsid w:val="00CD0FFC"/>
    <w:rsid w:val="00CD0FFD"/>
    <w:rsid w:val="00CD1002"/>
    <w:rsid w:val="00CD1003"/>
    <w:rsid w:val="00CD108A"/>
    <w:rsid w:val="00CD108D"/>
    <w:rsid w:val="00CD1095"/>
    <w:rsid w:val="00CD10BD"/>
    <w:rsid w:val="00CD10C8"/>
    <w:rsid w:val="00CD1100"/>
    <w:rsid w:val="00CD1108"/>
    <w:rsid w:val="00CD1117"/>
    <w:rsid w:val="00CD1148"/>
    <w:rsid w:val="00CD11CD"/>
    <w:rsid w:val="00CD11CF"/>
    <w:rsid w:val="00CD11D6"/>
    <w:rsid w:val="00CD11DE"/>
    <w:rsid w:val="00CD122B"/>
    <w:rsid w:val="00CD1232"/>
    <w:rsid w:val="00CD125F"/>
    <w:rsid w:val="00CD12AF"/>
    <w:rsid w:val="00CD12E9"/>
    <w:rsid w:val="00CD1307"/>
    <w:rsid w:val="00CD130B"/>
    <w:rsid w:val="00CD1356"/>
    <w:rsid w:val="00CD1398"/>
    <w:rsid w:val="00CD13A6"/>
    <w:rsid w:val="00CD13EA"/>
    <w:rsid w:val="00CD13F4"/>
    <w:rsid w:val="00CD1446"/>
    <w:rsid w:val="00CD1490"/>
    <w:rsid w:val="00CD14CC"/>
    <w:rsid w:val="00CD14F6"/>
    <w:rsid w:val="00CD14F8"/>
    <w:rsid w:val="00CD15A2"/>
    <w:rsid w:val="00CD15B6"/>
    <w:rsid w:val="00CD167E"/>
    <w:rsid w:val="00CD1688"/>
    <w:rsid w:val="00CD1695"/>
    <w:rsid w:val="00CD16AD"/>
    <w:rsid w:val="00CD16C1"/>
    <w:rsid w:val="00CD173D"/>
    <w:rsid w:val="00CD17A1"/>
    <w:rsid w:val="00CD17E6"/>
    <w:rsid w:val="00CD17F2"/>
    <w:rsid w:val="00CD180B"/>
    <w:rsid w:val="00CD182B"/>
    <w:rsid w:val="00CD1856"/>
    <w:rsid w:val="00CD1863"/>
    <w:rsid w:val="00CD189E"/>
    <w:rsid w:val="00CD18B7"/>
    <w:rsid w:val="00CD18E6"/>
    <w:rsid w:val="00CD1904"/>
    <w:rsid w:val="00CD1955"/>
    <w:rsid w:val="00CD198C"/>
    <w:rsid w:val="00CD19FB"/>
    <w:rsid w:val="00CD19FF"/>
    <w:rsid w:val="00CD1A12"/>
    <w:rsid w:val="00CD1AF8"/>
    <w:rsid w:val="00CD1AFB"/>
    <w:rsid w:val="00CD1B09"/>
    <w:rsid w:val="00CD1B17"/>
    <w:rsid w:val="00CD1B38"/>
    <w:rsid w:val="00CD1B53"/>
    <w:rsid w:val="00CD1B83"/>
    <w:rsid w:val="00CD1BA5"/>
    <w:rsid w:val="00CD1C10"/>
    <w:rsid w:val="00CD1C14"/>
    <w:rsid w:val="00CD1C2F"/>
    <w:rsid w:val="00CD1C3E"/>
    <w:rsid w:val="00CD1C6E"/>
    <w:rsid w:val="00CD1C97"/>
    <w:rsid w:val="00CD1CE6"/>
    <w:rsid w:val="00CD1CF0"/>
    <w:rsid w:val="00CD1D0B"/>
    <w:rsid w:val="00CD1D29"/>
    <w:rsid w:val="00CD1D6B"/>
    <w:rsid w:val="00CD1D8E"/>
    <w:rsid w:val="00CD1E0A"/>
    <w:rsid w:val="00CD1E1D"/>
    <w:rsid w:val="00CD1E49"/>
    <w:rsid w:val="00CD1E7E"/>
    <w:rsid w:val="00CD1E99"/>
    <w:rsid w:val="00CD1E9A"/>
    <w:rsid w:val="00CD1E9C"/>
    <w:rsid w:val="00CD1E9D"/>
    <w:rsid w:val="00CD1EA9"/>
    <w:rsid w:val="00CD1F0C"/>
    <w:rsid w:val="00CD1FA8"/>
    <w:rsid w:val="00CD1FC6"/>
    <w:rsid w:val="00CD1FFF"/>
    <w:rsid w:val="00CD2017"/>
    <w:rsid w:val="00CD2033"/>
    <w:rsid w:val="00CD2054"/>
    <w:rsid w:val="00CD206E"/>
    <w:rsid w:val="00CD2078"/>
    <w:rsid w:val="00CD207C"/>
    <w:rsid w:val="00CD210D"/>
    <w:rsid w:val="00CD211E"/>
    <w:rsid w:val="00CD2120"/>
    <w:rsid w:val="00CD213F"/>
    <w:rsid w:val="00CD2187"/>
    <w:rsid w:val="00CD21CE"/>
    <w:rsid w:val="00CD21D5"/>
    <w:rsid w:val="00CD21DC"/>
    <w:rsid w:val="00CD2215"/>
    <w:rsid w:val="00CD222B"/>
    <w:rsid w:val="00CD2239"/>
    <w:rsid w:val="00CD2254"/>
    <w:rsid w:val="00CD2279"/>
    <w:rsid w:val="00CD2286"/>
    <w:rsid w:val="00CD22E0"/>
    <w:rsid w:val="00CD22FD"/>
    <w:rsid w:val="00CD2362"/>
    <w:rsid w:val="00CD2372"/>
    <w:rsid w:val="00CD2398"/>
    <w:rsid w:val="00CD2432"/>
    <w:rsid w:val="00CD247C"/>
    <w:rsid w:val="00CD24B6"/>
    <w:rsid w:val="00CD24B7"/>
    <w:rsid w:val="00CD24C0"/>
    <w:rsid w:val="00CD24C1"/>
    <w:rsid w:val="00CD2522"/>
    <w:rsid w:val="00CD2586"/>
    <w:rsid w:val="00CD2589"/>
    <w:rsid w:val="00CD25A8"/>
    <w:rsid w:val="00CD25C3"/>
    <w:rsid w:val="00CD25FF"/>
    <w:rsid w:val="00CD265C"/>
    <w:rsid w:val="00CD26AA"/>
    <w:rsid w:val="00CD26E4"/>
    <w:rsid w:val="00CD2770"/>
    <w:rsid w:val="00CD2794"/>
    <w:rsid w:val="00CD27BD"/>
    <w:rsid w:val="00CD27C4"/>
    <w:rsid w:val="00CD27D2"/>
    <w:rsid w:val="00CD27E2"/>
    <w:rsid w:val="00CD27FF"/>
    <w:rsid w:val="00CD280E"/>
    <w:rsid w:val="00CD2879"/>
    <w:rsid w:val="00CD2880"/>
    <w:rsid w:val="00CD2884"/>
    <w:rsid w:val="00CD2902"/>
    <w:rsid w:val="00CD2953"/>
    <w:rsid w:val="00CD2960"/>
    <w:rsid w:val="00CD29CA"/>
    <w:rsid w:val="00CD29D5"/>
    <w:rsid w:val="00CD29E8"/>
    <w:rsid w:val="00CD29F9"/>
    <w:rsid w:val="00CD2A0D"/>
    <w:rsid w:val="00CD2A3C"/>
    <w:rsid w:val="00CD2A4D"/>
    <w:rsid w:val="00CD2A60"/>
    <w:rsid w:val="00CD2AAA"/>
    <w:rsid w:val="00CD2ACC"/>
    <w:rsid w:val="00CD2AD3"/>
    <w:rsid w:val="00CD2B24"/>
    <w:rsid w:val="00CD2B7A"/>
    <w:rsid w:val="00CD2B88"/>
    <w:rsid w:val="00CD2BA3"/>
    <w:rsid w:val="00CD2BCE"/>
    <w:rsid w:val="00CD2C7E"/>
    <w:rsid w:val="00CD2C87"/>
    <w:rsid w:val="00CD2CAA"/>
    <w:rsid w:val="00CD2CBF"/>
    <w:rsid w:val="00CD2CE8"/>
    <w:rsid w:val="00CD2D0D"/>
    <w:rsid w:val="00CD2D65"/>
    <w:rsid w:val="00CD2DA3"/>
    <w:rsid w:val="00CD2E4D"/>
    <w:rsid w:val="00CD2E89"/>
    <w:rsid w:val="00CD2EBF"/>
    <w:rsid w:val="00CD2EC7"/>
    <w:rsid w:val="00CD2F1F"/>
    <w:rsid w:val="00CD2F21"/>
    <w:rsid w:val="00CD2F50"/>
    <w:rsid w:val="00CD2F5C"/>
    <w:rsid w:val="00CD2F66"/>
    <w:rsid w:val="00CD2F87"/>
    <w:rsid w:val="00CD2FA5"/>
    <w:rsid w:val="00CD2FAF"/>
    <w:rsid w:val="00CD304B"/>
    <w:rsid w:val="00CD3064"/>
    <w:rsid w:val="00CD307D"/>
    <w:rsid w:val="00CD30A9"/>
    <w:rsid w:val="00CD30ED"/>
    <w:rsid w:val="00CD3132"/>
    <w:rsid w:val="00CD314E"/>
    <w:rsid w:val="00CD31A9"/>
    <w:rsid w:val="00CD3279"/>
    <w:rsid w:val="00CD327D"/>
    <w:rsid w:val="00CD3281"/>
    <w:rsid w:val="00CD32B4"/>
    <w:rsid w:val="00CD32E1"/>
    <w:rsid w:val="00CD32F2"/>
    <w:rsid w:val="00CD3306"/>
    <w:rsid w:val="00CD333A"/>
    <w:rsid w:val="00CD3386"/>
    <w:rsid w:val="00CD33AD"/>
    <w:rsid w:val="00CD33E1"/>
    <w:rsid w:val="00CD33E3"/>
    <w:rsid w:val="00CD33E5"/>
    <w:rsid w:val="00CD33FC"/>
    <w:rsid w:val="00CD3493"/>
    <w:rsid w:val="00CD34D7"/>
    <w:rsid w:val="00CD34E3"/>
    <w:rsid w:val="00CD34F8"/>
    <w:rsid w:val="00CD350F"/>
    <w:rsid w:val="00CD3536"/>
    <w:rsid w:val="00CD3537"/>
    <w:rsid w:val="00CD3561"/>
    <w:rsid w:val="00CD357F"/>
    <w:rsid w:val="00CD35D5"/>
    <w:rsid w:val="00CD35D6"/>
    <w:rsid w:val="00CD35E2"/>
    <w:rsid w:val="00CD3647"/>
    <w:rsid w:val="00CD364D"/>
    <w:rsid w:val="00CD3662"/>
    <w:rsid w:val="00CD369B"/>
    <w:rsid w:val="00CD36A2"/>
    <w:rsid w:val="00CD371C"/>
    <w:rsid w:val="00CD3740"/>
    <w:rsid w:val="00CD3756"/>
    <w:rsid w:val="00CD37BC"/>
    <w:rsid w:val="00CD3886"/>
    <w:rsid w:val="00CD38D3"/>
    <w:rsid w:val="00CD3917"/>
    <w:rsid w:val="00CD3929"/>
    <w:rsid w:val="00CD3932"/>
    <w:rsid w:val="00CD3934"/>
    <w:rsid w:val="00CD394D"/>
    <w:rsid w:val="00CD395E"/>
    <w:rsid w:val="00CD3990"/>
    <w:rsid w:val="00CD39D5"/>
    <w:rsid w:val="00CD39E8"/>
    <w:rsid w:val="00CD39F3"/>
    <w:rsid w:val="00CD3A0A"/>
    <w:rsid w:val="00CD3A31"/>
    <w:rsid w:val="00CD3AD3"/>
    <w:rsid w:val="00CD3AD7"/>
    <w:rsid w:val="00CD3B2F"/>
    <w:rsid w:val="00CD3B43"/>
    <w:rsid w:val="00CD3B79"/>
    <w:rsid w:val="00CD3B7F"/>
    <w:rsid w:val="00CD3B8A"/>
    <w:rsid w:val="00CD3BD9"/>
    <w:rsid w:val="00CD3BE9"/>
    <w:rsid w:val="00CD3C5C"/>
    <w:rsid w:val="00CD3C90"/>
    <w:rsid w:val="00CD3D19"/>
    <w:rsid w:val="00CD3D50"/>
    <w:rsid w:val="00CD3D5A"/>
    <w:rsid w:val="00CD3D86"/>
    <w:rsid w:val="00CD3DBA"/>
    <w:rsid w:val="00CD3DBD"/>
    <w:rsid w:val="00CD3DC7"/>
    <w:rsid w:val="00CD3DCB"/>
    <w:rsid w:val="00CD3DD1"/>
    <w:rsid w:val="00CD3E33"/>
    <w:rsid w:val="00CD3E50"/>
    <w:rsid w:val="00CD3E8B"/>
    <w:rsid w:val="00CD3EB7"/>
    <w:rsid w:val="00CD3ED5"/>
    <w:rsid w:val="00CD3F26"/>
    <w:rsid w:val="00CD3F50"/>
    <w:rsid w:val="00CD3F6A"/>
    <w:rsid w:val="00CD3F8E"/>
    <w:rsid w:val="00CD3F9B"/>
    <w:rsid w:val="00CD3F9C"/>
    <w:rsid w:val="00CD3F9F"/>
    <w:rsid w:val="00CD3FA9"/>
    <w:rsid w:val="00CD3FAE"/>
    <w:rsid w:val="00CD3FD2"/>
    <w:rsid w:val="00CD3FE1"/>
    <w:rsid w:val="00CD3FF6"/>
    <w:rsid w:val="00CD4009"/>
    <w:rsid w:val="00CD4023"/>
    <w:rsid w:val="00CD407B"/>
    <w:rsid w:val="00CD407F"/>
    <w:rsid w:val="00CD4080"/>
    <w:rsid w:val="00CD4088"/>
    <w:rsid w:val="00CD40D3"/>
    <w:rsid w:val="00CD40D8"/>
    <w:rsid w:val="00CD40E0"/>
    <w:rsid w:val="00CD40EC"/>
    <w:rsid w:val="00CD4115"/>
    <w:rsid w:val="00CD414D"/>
    <w:rsid w:val="00CD4152"/>
    <w:rsid w:val="00CD415B"/>
    <w:rsid w:val="00CD4189"/>
    <w:rsid w:val="00CD41DD"/>
    <w:rsid w:val="00CD4278"/>
    <w:rsid w:val="00CD4281"/>
    <w:rsid w:val="00CD4289"/>
    <w:rsid w:val="00CD429B"/>
    <w:rsid w:val="00CD42CE"/>
    <w:rsid w:val="00CD42E1"/>
    <w:rsid w:val="00CD4302"/>
    <w:rsid w:val="00CD4314"/>
    <w:rsid w:val="00CD43E7"/>
    <w:rsid w:val="00CD43F1"/>
    <w:rsid w:val="00CD43F4"/>
    <w:rsid w:val="00CD445A"/>
    <w:rsid w:val="00CD447C"/>
    <w:rsid w:val="00CD4487"/>
    <w:rsid w:val="00CD44AD"/>
    <w:rsid w:val="00CD44BD"/>
    <w:rsid w:val="00CD44DA"/>
    <w:rsid w:val="00CD44E1"/>
    <w:rsid w:val="00CD4503"/>
    <w:rsid w:val="00CD4559"/>
    <w:rsid w:val="00CD45BA"/>
    <w:rsid w:val="00CD45FC"/>
    <w:rsid w:val="00CD4617"/>
    <w:rsid w:val="00CD4650"/>
    <w:rsid w:val="00CD46BF"/>
    <w:rsid w:val="00CD46C0"/>
    <w:rsid w:val="00CD46CA"/>
    <w:rsid w:val="00CD46CB"/>
    <w:rsid w:val="00CD4726"/>
    <w:rsid w:val="00CD478E"/>
    <w:rsid w:val="00CD47C8"/>
    <w:rsid w:val="00CD4817"/>
    <w:rsid w:val="00CD4825"/>
    <w:rsid w:val="00CD4860"/>
    <w:rsid w:val="00CD48BB"/>
    <w:rsid w:val="00CD48C0"/>
    <w:rsid w:val="00CD4930"/>
    <w:rsid w:val="00CD495B"/>
    <w:rsid w:val="00CD4966"/>
    <w:rsid w:val="00CD49BF"/>
    <w:rsid w:val="00CD49C9"/>
    <w:rsid w:val="00CD4A03"/>
    <w:rsid w:val="00CD4A2A"/>
    <w:rsid w:val="00CD4A45"/>
    <w:rsid w:val="00CD4A79"/>
    <w:rsid w:val="00CD4AB4"/>
    <w:rsid w:val="00CD4ABB"/>
    <w:rsid w:val="00CD4B43"/>
    <w:rsid w:val="00CD4B69"/>
    <w:rsid w:val="00CD4B84"/>
    <w:rsid w:val="00CD4BBB"/>
    <w:rsid w:val="00CD4BC2"/>
    <w:rsid w:val="00CD4BE1"/>
    <w:rsid w:val="00CD4C19"/>
    <w:rsid w:val="00CD4C23"/>
    <w:rsid w:val="00CD4C24"/>
    <w:rsid w:val="00CD4C7F"/>
    <w:rsid w:val="00CD4C80"/>
    <w:rsid w:val="00CD4C9D"/>
    <w:rsid w:val="00CD4CE4"/>
    <w:rsid w:val="00CD4CF6"/>
    <w:rsid w:val="00CD4D3C"/>
    <w:rsid w:val="00CD4D4E"/>
    <w:rsid w:val="00CD4D6F"/>
    <w:rsid w:val="00CD4D72"/>
    <w:rsid w:val="00CD4DAC"/>
    <w:rsid w:val="00CD4DFF"/>
    <w:rsid w:val="00CD4E0A"/>
    <w:rsid w:val="00CD4E17"/>
    <w:rsid w:val="00CD4E68"/>
    <w:rsid w:val="00CD4E6B"/>
    <w:rsid w:val="00CD4E87"/>
    <w:rsid w:val="00CD4EB0"/>
    <w:rsid w:val="00CD4EC1"/>
    <w:rsid w:val="00CD4EC6"/>
    <w:rsid w:val="00CD4ED1"/>
    <w:rsid w:val="00CD4EFD"/>
    <w:rsid w:val="00CD4F22"/>
    <w:rsid w:val="00CD4F2F"/>
    <w:rsid w:val="00CD4F66"/>
    <w:rsid w:val="00CD4F72"/>
    <w:rsid w:val="00CD4FBC"/>
    <w:rsid w:val="00CD4FFB"/>
    <w:rsid w:val="00CD500A"/>
    <w:rsid w:val="00CD505A"/>
    <w:rsid w:val="00CD5074"/>
    <w:rsid w:val="00CD50B7"/>
    <w:rsid w:val="00CD5102"/>
    <w:rsid w:val="00CD514C"/>
    <w:rsid w:val="00CD514D"/>
    <w:rsid w:val="00CD5167"/>
    <w:rsid w:val="00CD5176"/>
    <w:rsid w:val="00CD517D"/>
    <w:rsid w:val="00CD51CA"/>
    <w:rsid w:val="00CD51D3"/>
    <w:rsid w:val="00CD51E4"/>
    <w:rsid w:val="00CD51ED"/>
    <w:rsid w:val="00CD5202"/>
    <w:rsid w:val="00CD5228"/>
    <w:rsid w:val="00CD522C"/>
    <w:rsid w:val="00CD5258"/>
    <w:rsid w:val="00CD525B"/>
    <w:rsid w:val="00CD5260"/>
    <w:rsid w:val="00CD5297"/>
    <w:rsid w:val="00CD529A"/>
    <w:rsid w:val="00CD52D2"/>
    <w:rsid w:val="00CD52EC"/>
    <w:rsid w:val="00CD5310"/>
    <w:rsid w:val="00CD53A9"/>
    <w:rsid w:val="00CD53B0"/>
    <w:rsid w:val="00CD546B"/>
    <w:rsid w:val="00CD5471"/>
    <w:rsid w:val="00CD54A3"/>
    <w:rsid w:val="00CD54AA"/>
    <w:rsid w:val="00CD54F3"/>
    <w:rsid w:val="00CD550A"/>
    <w:rsid w:val="00CD551D"/>
    <w:rsid w:val="00CD5543"/>
    <w:rsid w:val="00CD55DD"/>
    <w:rsid w:val="00CD55F4"/>
    <w:rsid w:val="00CD560C"/>
    <w:rsid w:val="00CD5611"/>
    <w:rsid w:val="00CD5662"/>
    <w:rsid w:val="00CD5687"/>
    <w:rsid w:val="00CD568B"/>
    <w:rsid w:val="00CD56DC"/>
    <w:rsid w:val="00CD56E7"/>
    <w:rsid w:val="00CD56EF"/>
    <w:rsid w:val="00CD571E"/>
    <w:rsid w:val="00CD572F"/>
    <w:rsid w:val="00CD5734"/>
    <w:rsid w:val="00CD5755"/>
    <w:rsid w:val="00CD577F"/>
    <w:rsid w:val="00CD57AC"/>
    <w:rsid w:val="00CD57E0"/>
    <w:rsid w:val="00CD581B"/>
    <w:rsid w:val="00CD5837"/>
    <w:rsid w:val="00CD5856"/>
    <w:rsid w:val="00CD585F"/>
    <w:rsid w:val="00CD5881"/>
    <w:rsid w:val="00CD58A3"/>
    <w:rsid w:val="00CD58DC"/>
    <w:rsid w:val="00CD58E3"/>
    <w:rsid w:val="00CD591F"/>
    <w:rsid w:val="00CD593C"/>
    <w:rsid w:val="00CD596B"/>
    <w:rsid w:val="00CD596C"/>
    <w:rsid w:val="00CD5977"/>
    <w:rsid w:val="00CD59AA"/>
    <w:rsid w:val="00CD59B6"/>
    <w:rsid w:val="00CD59D8"/>
    <w:rsid w:val="00CD59F7"/>
    <w:rsid w:val="00CD59FE"/>
    <w:rsid w:val="00CD5A1E"/>
    <w:rsid w:val="00CD5A2E"/>
    <w:rsid w:val="00CD5A55"/>
    <w:rsid w:val="00CD5A5F"/>
    <w:rsid w:val="00CD5A66"/>
    <w:rsid w:val="00CD5AB5"/>
    <w:rsid w:val="00CD5AF9"/>
    <w:rsid w:val="00CD5B60"/>
    <w:rsid w:val="00CD5B6E"/>
    <w:rsid w:val="00CD5B74"/>
    <w:rsid w:val="00CD5BD0"/>
    <w:rsid w:val="00CD5BE4"/>
    <w:rsid w:val="00CD5C13"/>
    <w:rsid w:val="00CD5C34"/>
    <w:rsid w:val="00CD5C44"/>
    <w:rsid w:val="00CD5C80"/>
    <w:rsid w:val="00CD5D1E"/>
    <w:rsid w:val="00CD5D38"/>
    <w:rsid w:val="00CD5D70"/>
    <w:rsid w:val="00CD5D7D"/>
    <w:rsid w:val="00CD5DE7"/>
    <w:rsid w:val="00CD5DFE"/>
    <w:rsid w:val="00CD5E2F"/>
    <w:rsid w:val="00CD5E6A"/>
    <w:rsid w:val="00CD5E6E"/>
    <w:rsid w:val="00CD5EE5"/>
    <w:rsid w:val="00CD5EFF"/>
    <w:rsid w:val="00CD5F28"/>
    <w:rsid w:val="00CD5F40"/>
    <w:rsid w:val="00CD5F46"/>
    <w:rsid w:val="00CD5FA1"/>
    <w:rsid w:val="00CD5FB5"/>
    <w:rsid w:val="00CD5FC4"/>
    <w:rsid w:val="00CD5FCC"/>
    <w:rsid w:val="00CD5FFA"/>
    <w:rsid w:val="00CD6000"/>
    <w:rsid w:val="00CD602F"/>
    <w:rsid w:val="00CD6035"/>
    <w:rsid w:val="00CD6079"/>
    <w:rsid w:val="00CD60D7"/>
    <w:rsid w:val="00CD60DF"/>
    <w:rsid w:val="00CD60F5"/>
    <w:rsid w:val="00CD610C"/>
    <w:rsid w:val="00CD6115"/>
    <w:rsid w:val="00CD6124"/>
    <w:rsid w:val="00CD6138"/>
    <w:rsid w:val="00CD61CC"/>
    <w:rsid w:val="00CD6213"/>
    <w:rsid w:val="00CD6270"/>
    <w:rsid w:val="00CD62F1"/>
    <w:rsid w:val="00CD62F7"/>
    <w:rsid w:val="00CD6337"/>
    <w:rsid w:val="00CD6375"/>
    <w:rsid w:val="00CD6387"/>
    <w:rsid w:val="00CD63D3"/>
    <w:rsid w:val="00CD6408"/>
    <w:rsid w:val="00CD642B"/>
    <w:rsid w:val="00CD6440"/>
    <w:rsid w:val="00CD6462"/>
    <w:rsid w:val="00CD6472"/>
    <w:rsid w:val="00CD64D1"/>
    <w:rsid w:val="00CD64DE"/>
    <w:rsid w:val="00CD64E2"/>
    <w:rsid w:val="00CD65EC"/>
    <w:rsid w:val="00CD65F2"/>
    <w:rsid w:val="00CD6636"/>
    <w:rsid w:val="00CD667C"/>
    <w:rsid w:val="00CD667F"/>
    <w:rsid w:val="00CD6699"/>
    <w:rsid w:val="00CD66A1"/>
    <w:rsid w:val="00CD66BA"/>
    <w:rsid w:val="00CD66D1"/>
    <w:rsid w:val="00CD66DE"/>
    <w:rsid w:val="00CD6746"/>
    <w:rsid w:val="00CD6777"/>
    <w:rsid w:val="00CD6778"/>
    <w:rsid w:val="00CD678B"/>
    <w:rsid w:val="00CD679E"/>
    <w:rsid w:val="00CD67B3"/>
    <w:rsid w:val="00CD67FD"/>
    <w:rsid w:val="00CD6854"/>
    <w:rsid w:val="00CD687F"/>
    <w:rsid w:val="00CD68D0"/>
    <w:rsid w:val="00CD68E8"/>
    <w:rsid w:val="00CD6944"/>
    <w:rsid w:val="00CD6945"/>
    <w:rsid w:val="00CD6947"/>
    <w:rsid w:val="00CD6986"/>
    <w:rsid w:val="00CD6992"/>
    <w:rsid w:val="00CD69A4"/>
    <w:rsid w:val="00CD69B1"/>
    <w:rsid w:val="00CD69D1"/>
    <w:rsid w:val="00CD69E8"/>
    <w:rsid w:val="00CD6A20"/>
    <w:rsid w:val="00CD6A34"/>
    <w:rsid w:val="00CD6A53"/>
    <w:rsid w:val="00CD6AA8"/>
    <w:rsid w:val="00CD6AC5"/>
    <w:rsid w:val="00CD6B22"/>
    <w:rsid w:val="00CD6B2D"/>
    <w:rsid w:val="00CD6B2E"/>
    <w:rsid w:val="00CD6B74"/>
    <w:rsid w:val="00CD6BA7"/>
    <w:rsid w:val="00CD6BC3"/>
    <w:rsid w:val="00CD6C34"/>
    <w:rsid w:val="00CD6C3B"/>
    <w:rsid w:val="00CD6C71"/>
    <w:rsid w:val="00CD6CA0"/>
    <w:rsid w:val="00CD6CA3"/>
    <w:rsid w:val="00CD6CCE"/>
    <w:rsid w:val="00CD6D23"/>
    <w:rsid w:val="00CD6D4C"/>
    <w:rsid w:val="00CD6D4E"/>
    <w:rsid w:val="00CD6D6D"/>
    <w:rsid w:val="00CD6D6F"/>
    <w:rsid w:val="00CD6DCD"/>
    <w:rsid w:val="00CD6DD2"/>
    <w:rsid w:val="00CD6DEB"/>
    <w:rsid w:val="00CD6DF9"/>
    <w:rsid w:val="00CD6E30"/>
    <w:rsid w:val="00CD6E5E"/>
    <w:rsid w:val="00CD6F17"/>
    <w:rsid w:val="00CD6F1E"/>
    <w:rsid w:val="00CD6F2C"/>
    <w:rsid w:val="00CD6F31"/>
    <w:rsid w:val="00CD6F39"/>
    <w:rsid w:val="00CD6F3B"/>
    <w:rsid w:val="00CD6F3C"/>
    <w:rsid w:val="00CD6F8A"/>
    <w:rsid w:val="00CD6FB9"/>
    <w:rsid w:val="00CD6FDD"/>
    <w:rsid w:val="00CD6FE3"/>
    <w:rsid w:val="00CD6FE6"/>
    <w:rsid w:val="00CD6FEC"/>
    <w:rsid w:val="00CD6FF9"/>
    <w:rsid w:val="00CD700F"/>
    <w:rsid w:val="00CD70A0"/>
    <w:rsid w:val="00CD70A4"/>
    <w:rsid w:val="00CD70B9"/>
    <w:rsid w:val="00CD70CA"/>
    <w:rsid w:val="00CD70D0"/>
    <w:rsid w:val="00CD70EA"/>
    <w:rsid w:val="00CD7100"/>
    <w:rsid w:val="00CD717E"/>
    <w:rsid w:val="00CD717F"/>
    <w:rsid w:val="00CD71D3"/>
    <w:rsid w:val="00CD7220"/>
    <w:rsid w:val="00CD7242"/>
    <w:rsid w:val="00CD7267"/>
    <w:rsid w:val="00CD7331"/>
    <w:rsid w:val="00CD7339"/>
    <w:rsid w:val="00CD738F"/>
    <w:rsid w:val="00CD73B4"/>
    <w:rsid w:val="00CD73CC"/>
    <w:rsid w:val="00CD73D6"/>
    <w:rsid w:val="00CD7429"/>
    <w:rsid w:val="00CD742C"/>
    <w:rsid w:val="00CD744F"/>
    <w:rsid w:val="00CD7459"/>
    <w:rsid w:val="00CD745A"/>
    <w:rsid w:val="00CD7486"/>
    <w:rsid w:val="00CD74B1"/>
    <w:rsid w:val="00CD74D1"/>
    <w:rsid w:val="00CD74FA"/>
    <w:rsid w:val="00CD7532"/>
    <w:rsid w:val="00CD75F4"/>
    <w:rsid w:val="00CD75FB"/>
    <w:rsid w:val="00CD7616"/>
    <w:rsid w:val="00CD7634"/>
    <w:rsid w:val="00CD7650"/>
    <w:rsid w:val="00CD766E"/>
    <w:rsid w:val="00CD7694"/>
    <w:rsid w:val="00CD76BD"/>
    <w:rsid w:val="00CD76FF"/>
    <w:rsid w:val="00CD772D"/>
    <w:rsid w:val="00CD777A"/>
    <w:rsid w:val="00CD77AB"/>
    <w:rsid w:val="00CD77DE"/>
    <w:rsid w:val="00CD77FA"/>
    <w:rsid w:val="00CD780D"/>
    <w:rsid w:val="00CD7838"/>
    <w:rsid w:val="00CD7877"/>
    <w:rsid w:val="00CD78D0"/>
    <w:rsid w:val="00CD792D"/>
    <w:rsid w:val="00CD793C"/>
    <w:rsid w:val="00CD79BE"/>
    <w:rsid w:val="00CD79C7"/>
    <w:rsid w:val="00CD79D2"/>
    <w:rsid w:val="00CD79E4"/>
    <w:rsid w:val="00CD7A14"/>
    <w:rsid w:val="00CD7A3B"/>
    <w:rsid w:val="00CD7A43"/>
    <w:rsid w:val="00CD7A61"/>
    <w:rsid w:val="00CD7A79"/>
    <w:rsid w:val="00CD7AEA"/>
    <w:rsid w:val="00CD7AFA"/>
    <w:rsid w:val="00CD7AFE"/>
    <w:rsid w:val="00CD7B23"/>
    <w:rsid w:val="00CD7B85"/>
    <w:rsid w:val="00CD7BA2"/>
    <w:rsid w:val="00CD7BAD"/>
    <w:rsid w:val="00CD7BDF"/>
    <w:rsid w:val="00CD7C0E"/>
    <w:rsid w:val="00CD7C4F"/>
    <w:rsid w:val="00CD7C56"/>
    <w:rsid w:val="00CD7C5F"/>
    <w:rsid w:val="00CD7CD0"/>
    <w:rsid w:val="00CD7D2B"/>
    <w:rsid w:val="00CD7D4B"/>
    <w:rsid w:val="00CD7D4F"/>
    <w:rsid w:val="00CD7D62"/>
    <w:rsid w:val="00CD7D7D"/>
    <w:rsid w:val="00CD7DAB"/>
    <w:rsid w:val="00CD7DE2"/>
    <w:rsid w:val="00CD7DE6"/>
    <w:rsid w:val="00CD7DEB"/>
    <w:rsid w:val="00CD7DF3"/>
    <w:rsid w:val="00CD7DFA"/>
    <w:rsid w:val="00CD7E3D"/>
    <w:rsid w:val="00CD7E3E"/>
    <w:rsid w:val="00CD7ED5"/>
    <w:rsid w:val="00CD7EE3"/>
    <w:rsid w:val="00CD7F3E"/>
    <w:rsid w:val="00CD7F41"/>
    <w:rsid w:val="00CD7F42"/>
    <w:rsid w:val="00CD7F84"/>
    <w:rsid w:val="00CD7FB1"/>
    <w:rsid w:val="00CD7FCC"/>
    <w:rsid w:val="00CD7FDD"/>
    <w:rsid w:val="00CE001D"/>
    <w:rsid w:val="00CE0038"/>
    <w:rsid w:val="00CE00A5"/>
    <w:rsid w:val="00CE00D3"/>
    <w:rsid w:val="00CE0105"/>
    <w:rsid w:val="00CE0122"/>
    <w:rsid w:val="00CE0137"/>
    <w:rsid w:val="00CE0170"/>
    <w:rsid w:val="00CE018A"/>
    <w:rsid w:val="00CE01CC"/>
    <w:rsid w:val="00CE0209"/>
    <w:rsid w:val="00CE022F"/>
    <w:rsid w:val="00CE0241"/>
    <w:rsid w:val="00CE029F"/>
    <w:rsid w:val="00CE02AA"/>
    <w:rsid w:val="00CE02AE"/>
    <w:rsid w:val="00CE02D3"/>
    <w:rsid w:val="00CE0357"/>
    <w:rsid w:val="00CE035E"/>
    <w:rsid w:val="00CE0364"/>
    <w:rsid w:val="00CE0397"/>
    <w:rsid w:val="00CE03AB"/>
    <w:rsid w:val="00CE03CC"/>
    <w:rsid w:val="00CE03F9"/>
    <w:rsid w:val="00CE03FC"/>
    <w:rsid w:val="00CE0474"/>
    <w:rsid w:val="00CE04BC"/>
    <w:rsid w:val="00CE04FC"/>
    <w:rsid w:val="00CE0501"/>
    <w:rsid w:val="00CE054A"/>
    <w:rsid w:val="00CE0550"/>
    <w:rsid w:val="00CE055F"/>
    <w:rsid w:val="00CE05A2"/>
    <w:rsid w:val="00CE05B5"/>
    <w:rsid w:val="00CE0611"/>
    <w:rsid w:val="00CE0621"/>
    <w:rsid w:val="00CE063D"/>
    <w:rsid w:val="00CE0668"/>
    <w:rsid w:val="00CE068F"/>
    <w:rsid w:val="00CE06EB"/>
    <w:rsid w:val="00CE0724"/>
    <w:rsid w:val="00CE07A1"/>
    <w:rsid w:val="00CE0814"/>
    <w:rsid w:val="00CE084E"/>
    <w:rsid w:val="00CE0855"/>
    <w:rsid w:val="00CE0874"/>
    <w:rsid w:val="00CE0883"/>
    <w:rsid w:val="00CE08A2"/>
    <w:rsid w:val="00CE08C5"/>
    <w:rsid w:val="00CE08C9"/>
    <w:rsid w:val="00CE08EB"/>
    <w:rsid w:val="00CE08FA"/>
    <w:rsid w:val="00CE0933"/>
    <w:rsid w:val="00CE0950"/>
    <w:rsid w:val="00CE0976"/>
    <w:rsid w:val="00CE0981"/>
    <w:rsid w:val="00CE09D1"/>
    <w:rsid w:val="00CE09F3"/>
    <w:rsid w:val="00CE0A01"/>
    <w:rsid w:val="00CE0A48"/>
    <w:rsid w:val="00CE0A70"/>
    <w:rsid w:val="00CE0A77"/>
    <w:rsid w:val="00CE0A93"/>
    <w:rsid w:val="00CE0A94"/>
    <w:rsid w:val="00CE0A97"/>
    <w:rsid w:val="00CE0A98"/>
    <w:rsid w:val="00CE0B03"/>
    <w:rsid w:val="00CE0B28"/>
    <w:rsid w:val="00CE0B43"/>
    <w:rsid w:val="00CE0B49"/>
    <w:rsid w:val="00CE0BB1"/>
    <w:rsid w:val="00CE0BC7"/>
    <w:rsid w:val="00CE0BF8"/>
    <w:rsid w:val="00CE0BFC"/>
    <w:rsid w:val="00CE0C14"/>
    <w:rsid w:val="00CE0C19"/>
    <w:rsid w:val="00CE0C21"/>
    <w:rsid w:val="00CE0C8E"/>
    <w:rsid w:val="00CE0C92"/>
    <w:rsid w:val="00CE0CD9"/>
    <w:rsid w:val="00CE0CDB"/>
    <w:rsid w:val="00CE0CF9"/>
    <w:rsid w:val="00CE0D23"/>
    <w:rsid w:val="00CE0D7D"/>
    <w:rsid w:val="00CE0DA5"/>
    <w:rsid w:val="00CE0DCA"/>
    <w:rsid w:val="00CE0DD5"/>
    <w:rsid w:val="00CE0DDB"/>
    <w:rsid w:val="00CE0E13"/>
    <w:rsid w:val="00CE0E20"/>
    <w:rsid w:val="00CE0E38"/>
    <w:rsid w:val="00CE0E55"/>
    <w:rsid w:val="00CE0E64"/>
    <w:rsid w:val="00CE0E80"/>
    <w:rsid w:val="00CE0EEE"/>
    <w:rsid w:val="00CE0EFD"/>
    <w:rsid w:val="00CE0F06"/>
    <w:rsid w:val="00CE0F25"/>
    <w:rsid w:val="00CE0F2F"/>
    <w:rsid w:val="00CE0FBC"/>
    <w:rsid w:val="00CE0FD0"/>
    <w:rsid w:val="00CE1009"/>
    <w:rsid w:val="00CE10A4"/>
    <w:rsid w:val="00CE10F8"/>
    <w:rsid w:val="00CE1107"/>
    <w:rsid w:val="00CE1110"/>
    <w:rsid w:val="00CE112B"/>
    <w:rsid w:val="00CE1140"/>
    <w:rsid w:val="00CE1161"/>
    <w:rsid w:val="00CE11C7"/>
    <w:rsid w:val="00CE11CC"/>
    <w:rsid w:val="00CE11D8"/>
    <w:rsid w:val="00CE1231"/>
    <w:rsid w:val="00CE125A"/>
    <w:rsid w:val="00CE125E"/>
    <w:rsid w:val="00CE12AC"/>
    <w:rsid w:val="00CE12BB"/>
    <w:rsid w:val="00CE12F0"/>
    <w:rsid w:val="00CE12F1"/>
    <w:rsid w:val="00CE12FD"/>
    <w:rsid w:val="00CE138C"/>
    <w:rsid w:val="00CE1393"/>
    <w:rsid w:val="00CE1394"/>
    <w:rsid w:val="00CE142A"/>
    <w:rsid w:val="00CE1460"/>
    <w:rsid w:val="00CE1479"/>
    <w:rsid w:val="00CE148F"/>
    <w:rsid w:val="00CE14A7"/>
    <w:rsid w:val="00CE14E2"/>
    <w:rsid w:val="00CE14FC"/>
    <w:rsid w:val="00CE15F3"/>
    <w:rsid w:val="00CE1600"/>
    <w:rsid w:val="00CE1610"/>
    <w:rsid w:val="00CE1614"/>
    <w:rsid w:val="00CE162A"/>
    <w:rsid w:val="00CE163F"/>
    <w:rsid w:val="00CE1641"/>
    <w:rsid w:val="00CE1648"/>
    <w:rsid w:val="00CE164C"/>
    <w:rsid w:val="00CE165A"/>
    <w:rsid w:val="00CE168D"/>
    <w:rsid w:val="00CE16B0"/>
    <w:rsid w:val="00CE16B3"/>
    <w:rsid w:val="00CE16BD"/>
    <w:rsid w:val="00CE16E6"/>
    <w:rsid w:val="00CE170B"/>
    <w:rsid w:val="00CE1714"/>
    <w:rsid w:val="00CE171C"/>
    <w:rsid w:val="00CE1748"/>
    <w:rsid w:val="00CE174A"/>
    <w:rsid w:val="00CE17AE"/>
    <w:rsid w:val="00CE17E9"/>
    <w:rsid w:val="00CE185F"/>
    <w:rsid w:val="00CE18B6"/>
    <w:rsid w:val="00CE18D0"/>
    <w:rsid w:val="00CE19F2"/>
    <w:rsid w:val="00CE1A04"/>
    <w:rsid w:val="00CE1A87"/>
    <w:rsid w:val="00CE1AED"/>
    <w:rsid w:val="00CE1B04"/>
    <w:rsid w:val="00CE1B0B"/>
    <w:rsid w:val="00CE1B23"/>
    <w:rsid w:val="00CE1B4C"/>
    <w:rsid w:val="00CE1B6B"/>
    <w:rsid w:val="00CE1B75"/>
    <w:rsid w:val="00CE1B9A"/>
    <w:rsid w:val="00CE1B9F"/>
    <w:rsid w:val="00CE1BA8"/>
    <w:rsid w:val="00CE1BDC"/>
    <w:rsid w:val="00CE1BDF"/>
    <w:rsid w:val="00CE1BE0"/>
    <w:rsid w:val="00CE1CBE"/>
    <w:rsid w:val="00CE1CD6"/>
    <w:rsid w:val="00CE1CF6"/>
    <w:rsid w:val="00CE1CF9"/>
    <w:rsid w:val="00CE1D40"/>
    <w:rsid w:val="00CE1D6A"/>
    <w:rsid w:val="00CE1D7A"/>
    <w:rsid w:val="00CE1D99"/>
    <w:rsid w:val="00CE1DC0"/>
    <w:rsid w:val="00CE1DC9"/>
    <w:rsid w:val="00CE1DCE"/>
    <w:rsid w:val="00CE1DFB"/>
    <w:rsid w:val="00CE1E4C"/>
    <w:rsid w:val="00CE1EB6"/>
    <w:rsid w:val="00CE1EC3"/>
    <w:rsid w:val="00CE1EE5"/>
    <w:rsid w:val="00CE1EFA"/>
    <w:rsid w:val="00CE1F32"/>
    <w:rsid w:val="00CE1F66"/>
    <w:rsid w:val="00CE1F70"/>
    <w:rsid w:val="00CE1F74"/>
    <w:rsid w:val="00CE1F88"/>
    <w:rsid w:val="00CE1F98"/>
    <w:rsid w:val="00CE1FA9"/>
    <w:rsid w:val="00CE1FB5"/>
    <w:rsid w:val="00CE1FBF"/>
    <w:rsid w:val="00CE1FF5"/>
    <w:rsid w:val="00CE200F"/>
    <w:rsid w:val="00CE205E"/>
    <w:rsid w:val="00CE206A"/>
    <w:rsid w:val="00CE2083"/>
    <w:rsid w:val="00CE209C"/>
    <w:rsid w:val="00CE20A2"/>
    <w:rsid w:val="00CE20AD"/>
    <w:rsid w:val="00CE20EF"/>
    <w:rsid w:val="00CE2118"/>
    <w:rsid w:val="00CE211C"/>
    <w:rsid w:val="00CE2124"/>
    <w:rsid w:val="00CE214F"/>
    <w:rsid w:val="00CE21C5"/>
    <w:rsid w:val="00CE21E8"/>
    <w:rsid w:val="00CE2276"/>
    <w:rsid w:val="00CE2280"/>
    <w:rsid w:val="00CE2286"/>
    <w:rsid w:val="00CE228C"/>
    <w:rsid w:val="00CE22C4"/>
    <w:rsid w:val="00CE22D4"/>
    <w:rsid w:val="00CE22DF"/>
    <w:rsid w:val="00CE22F8"/>
    <w:rsid w:val="00CE22F9"/>
    <w:rsid w:val="00CE2341"/>
    <w:rsid w:val="00CE2381"/>
    <w:rsid w:val="00CE2387"/>
    <w:rsid w:val="00CE23A3"/>
    <w:rsid w:val="00CE23EA"/>
    <w:rsid w:val="00CE2416"/>
    <w:rsid w:val="00CE2422"/>
    <w:rsid w:val="00CE2433"/>
    <w:rsid w:val="00CE2457"/>
    <w:rsid w:val="00CE246F"/>
    <w:rsid w:val="00CE2481"/>
    <w:rsid w:val="00CE24B5"/>
    <w:rsid w:val="00CE24F9"/>
    <w:rsid w:val="00CE2510"/>
    <w:rsid w:val="00CE256C"/>
    <w:rsid w:val="00CE2598"/>
    <w:rsid w:val="00CE25BF"/>
    <w:rsid w:val="00CE25CB"/>
    <w:rsid w:val="00CE25D8"/>
    <w:rsid w:val="00CE25D9"/>
    <w:rsid w:val="00CE2634"/>
    <w:rsid w:val="00CE2679"/>
    <w:rsid w:val="00CE26C7"/>
    <w:rsid w:val="00CE26F4"/>
    <w:rsid w:val="00CE26FA"/>
    <w:rsid w:val="00CE2718"/>
    <w:rsid w:val="00CE2767"/>
    <w:rsid w:val="00CE278D"/>
    <w:rsid w:val="00CE2795"/>
    <w:rsid w:val="00CE28B8"/>
    <w:rsid w:val="00CE28BD"/>
    <w:rsid w:val="00CE294F"/>
    <w:rsid w:val="00CE2965"/>
    <w:rsid w:val="00CE29A1"/>
    <w:rsid w:val="00CE29DB"/>
    <w:rsid w:val="00CE29E6"/>
    <w:rsid w:val="00CE29F2"/>
    <w:rsid w:val="00CE29F8"/>
    <w:rsid w:val="00CE2A09"/>
    <w:rsid w:val="00CE2A0A"/>
    <w:rsid w:val="00CE2A1F"/>
    <w:rsid w:val="00CE2A74"/>
    <w:rsid w:val="00CE2A91"/>
    <w:rsid w:val="00CE2AD0"/>
    <w:rsid w:val="00CE2B9F"/>
    <w:rsid w:val="00CE2BD4"/>
    <w:rsid w:val="00CE2C37"/>
    <w:rsid w:val="00CE2C58"/>
    <w:rsid w:val="00CE2C59"/>
    <w:rsid w:val="00CE2C8D"/>
    <w:rsid w:val="00CE2CDA"/>
    <w:rsid w:val="00CE2CF5"/>
    <w:rsid w:val="00CE2D0B"/>
    <w:rsid w:val="00CE2D1B"/>
    <w:rsid w:val="00CE2D37"/>
    <w:rsid w:val="00CE2D3C"/>
    <w:rsid w:val="00CE2D4B"/>
    <w:rsid w:val="00CE2D7E"/>
    <w:rsid w:val="00CE2DBA"/>
    <w:rsid w:val="00CE2DFC"/>
    <w:rsid w:val="00CE2E0B"/>
    <w:rsid w:val="00CE2E24"/>
    <w:rsid w:val="00CE2E77"/>
    <w:rsid w:val="00CE2EFA"/>
    <w:rsid w:val="00CE2F03"/>
    <w:rsid w:val="00CE2F67"/>
    <w:rsid w:val="00CE2F70"/>
    <w:rsid w:val="00CE2FAC"/>
    <w:rsid w:val="00CE2FCD"/>
    <w:rsid w:val="00CE2FCE"/>
    <w:rsid w:val="00CE2FFA"/>
    <w:rsid w:val="00CE3023"/>
    <w:rsid w:val="00CE3046"/>
    <w:rsid w:val="00CE3068"/>
    <w:rsid w:val="00CE307A"/>
    <w:rsid w:val="00CE3097"/>
    <w:rsid w:val="00CE3098"/>
    <w:rsid w:val="00CE30A1"/>
    <w:rsid w:val="00CE30A5"/>
    <w:rsid w:val="00CE30B9"/>
    <w:rsid w:val="00CE30C5"/>
    <w:rsid w:val="00CE30CC"/>
    <w:rsid w:val="00CE30E1"/>
    <w:rsid w:val="00CE30F0"/>
    <w:rsid w:val="00CE3151"/>
    <w:rsid w:val="00CE315F"/>
    <w:rsid w:val="00CE31ED"/>
    <w:rsid w:val="00CE31F1"/>
    <w:rsid w:val="00CE3223"/>
    <w:rsid w:val="00CE3231"/>
    <w:rsid w:val="00CE3235"/>
    <w:rsid w:val="00CE3238"/>
    <w:rsid w:val="00CE3251"/>
    <w:rsid w:val="00CE327A"/>
    <w:rsid w:val="00CE32A8"/>
    <w:rsid w:val="00CE32C5"/>
    <w:rsid w:val="00CE32E3"/>
    <w:rsid w:val="00CE32FA"/>
    <w:rsid w:val="00CE3333"/>
    <w:rsid w:val="00CE3337"/>
    <w:rsid w:val="00CE3366"/>
    <w:rsid w:val="00CE33B8"/>
    <w:rsid w:val="00CE33EC"/>
    <w:rsid w:val="00CE33F6"/>
    <w:rsid w:val="00CE3400"/>
    <w:rsid w:val="00CE3415"/>
    <w:rsid w:val="00CE343A"/>
    <w:rsid w:val="00CE3463"/>
    <w:rsid w:val="00CE3489"/>
    <w:rsid w:val="00CE34B2"/>
    <w:rsid w:val="00CE3529"/>
    <w:rsid w:val="00CE3532"/>
    <w:rsid w:val="00CE3537"/>
    <w:rsid w:val="00CE353C"/>
    <w:rsid w:val="00CE354B"/>
    <w:rsid w:val="00CE355B"/>
    <w:rsid w:val="00CE35A7"/>
    <w:rsid w:val="00CE35B8"/>
    <w:rsid w:val="00CE3615"/>
    <w:rsid w:val="00CE3628"/>
    <w:rsid w:val="00CE3642"/>
    <w:rsid w:val="00CE3647"/>
    <w:rsid w:val="00CE369C"/>
    <w:rsid w:val="00CE36F6"/>
    <w:rsid w:val="00CE36F7"/>
    <w:rsid w:val="00CE3747"/>
    <w:rsid w:val="00CE3766"/>
    <w:rsid w:val="00CE3799"/>
    <w:rsid w:val="00CE37B4"/>
    <w:rsid w:val="00CE37E1"/>
    <w:rsid w:val="00CE37EC"/>
    <w:rsid w:val="00CE37FA"/>
    <w:rsid w:val="00CE380A"/>
    <w:rsid w:val="00CE3817"/>
    <w:rsid w:val="00CE382C"/>
    <w:rsid w:val="00CE3874"/>
    <w:rsid w:val="00CE3881"/>
    <w:rsid w:val="00CE38A1"/>
    <w:rsid w:val="00CE38EC"/>
    <w:rsid w:val="00CE38F4"/>
    <w:rsid w:val="00CE390C"/>
    <w:rsid w:val="00CE3916"/>
    <w:rsid w:val="00CE3969"/>
    <w:rsid w:val="00CE397B"/>
    <w:rsid w:val="00CE39B4"/>
    <w:rsid w:val="00CE39E3"/>
    <w:rsid w:val="00CE39F3"/>
    <w:rsid w:val="00CE39F8"/>
    <w:rsid w:val="00CE3A47"/>
    <w:rsid w:val="00CE3A55"/>
    <w:rsid w:val="00CE3A7A"/>
    <w:rsid w:val="00CE3AAF"/>
    <w:rsid w:val="00CE3AB0"/>
    <w:rsid w:val="00CE3AB2"/>
    <w:rsid w:val="00CE3AC7"/>
    <w:rsid w:val="00CE3AE4"/>
    <w:rsid w:val="00CE3B3A"/>
    <w:rsid w:val="00CE3B3E"/>
    <w:rsid w:val="00CE3B54"/>
    <w:rsid w:val="00CE3BB3"/>
    <w:rsid w:val="00CE3BB7"/>
    <w:rsid w:val="00CE3BC3"/>
    <w:rsid w:val="00CE3BE4"/>
    <w:rsid w:val="00CE3C01"/>
    <w:rsid w:val="00CE3C1A"/>
    <w:rsid w:val="00CE3C38"/>
    <w:rsid w:val="00CE3C53"/>
    <w:rsid w:val="00CE3C78"/>
    <w:rsid w:val="00CE3C91"/>
    <w:rsid w:val="00CE3CBB"/>
    <w:rsid w:val="00CE3CDC"/>
    <w:rsid w:val="00CE3D37"/>
    <w:rsid w:val="00CE3D74"/>
    <w:rsid w:val="00CE3D78"/>
    <w:rsid w:val="00CE3DA6"/>
    <w:rsid w:val="00CE3DBF"/>
    <w:rsid w:val="00CE3E12"/>
    <w:rsid w:val="00CE3E14"/>
    <w:rsid w:val="00CE3E31"/>
    <w:rsid w:val="00CE3EAF"/>
    <w:rsid w:val="00CE3EBB"/>
    <w:rsid w:val="00CE3EC0"/>
    <w:rsid w:val="00CE3F1E"/>
    <w:rsid w:val="00CE3F41"/>
    <w:rsid w:val="00CE3F45"/>
    <w:rsid w:val="00CE3F97"/>
    <w:rsid w:val="00CE3FAB"/>
    <w:rsid w:val="00CE4002"/>
    <w:rsid w:val="00CE4039"/>
    <w:rsid w:val="00CE4050"/>
    <w:rsid w:val="00CE407D"/>
    <w:rsid w:val="00CE4093"/>
    <w:rsid w:val="00CE4097"/>
    <w:rsid w:val="00CE4099"/>
    <w:rsid w:val="00CE40A3"/>
    <w:rsid w:val="00CE4156"/>
    <w:rsid w:val="00CE41BB"/>
    <w:rsid w:val="00CE41C9"/>
    <w:rsid w:val="00CE41D6"/>
    <w:rsid w:val="00CE41FC"/>
    <w:rsid w:val="00CE4234"/>
    <w:rsid w:val="00CE424D"/>
    <w:rsid w:val="00CE424F"/>
    <w:rsid w:val="00CE4292"/>
    <w:rsid w:val="00CE4320"/>
    <w:rsid w:val="00CE433C"/>
    <w:rsid w:val="00CE4358"/>
    <w:rsid w:val="00CE438C"/>
    <w:rsid w:val="00CE43AF"/>
    <w:rsid w:val="00CE43C3"/>
    <w:rsid w:val="00CE43DA"/>
    <w:rsid w:val="00CE43F3"/>
    <w:rsid w:val="00CE4408"/>
    <w:rsid w:val="00CE4478"/>
    <w:rsid w:val="00CE449B"/>
    <w:rsid w:val="00CE44BE"/>
    <w:rsid w:val="00CE44CE"/>
    <w:rsid w:val="00CE4518"/>
    <w:rsid w:val="00CE459B"/>
    <w:rsid w:val="00CE45BD"/>
    <w:rsid w:val="00CE45C3"/>
    <w:rsid w:val="00CE45D7"/>
    <w:rsid w:val="00CE46CE"/>
    <w:rsid w:val="00CE46D4"/>
    <w:rsid w:val="00CE46E5"/>
    <w:rsid w:val="00CE46F9"/>
    <w:rsid w:val="00CE4719"/>
    <w:rsid w:val="00CE4741"/>
    <w:rsid w:val="00CE475C"/>
    <w:rsid w:val="00CE475D"/>
    <w:rsid w:val="00CE4793"/>
    <w:rsid w:val="00CE47C4"/>
    <w:rsid w:val="00CE4819"/>
    <w:rsid w:val="00CE484C"/>
    <w:rsid w:val="00CE4877"/>
    <w:rsid w:val="00CE48AD"/>
    <w:rsid w:val="00CE48AF"/>
    <w:rsid w:val="00CE48B4"/>
    <w:rsid w:val="00CE48BE"/>
    <w:rsid w:val="00CE4984"/>
    <w:rsid w:val="00CE4988"/>
    <w:rsid w:val="00CE49D7"/>
    <w:rsid w:val="00CE4AFA"/>
    <w:rsid w:val="00CE4AFD"/>
    <w:rsid w:val="00CE4B0E"/>
    <w:rsid w:val="00CE4B17"/>
    <w:rsid w:val="00CE4B41"/>
    <w:rsid w:val="00CE4B59"/>
    <w:rsid w:val="00CE4B6C"/>
    <w:rsid w:val="00CE4B74"/>
    <w:rsid w:val="00CE4B7D"/>
    <w:rsid w:val="00CE4B82"/>
    <w:rsid w:val="00CE4BFD"/>
    <w:rsid w:val="00CE4C26"/>
    <w:rsid w:val="00CE4C29"/>
    <w:rsid w:val="00CE4C3B"/>
    <w:rsid w:val="00CE4C43"/>
    <w:rsid w:val="00CE4CB1"/>
    <w:rsid w:val="00CE4D58"/>
    <w:rsid w:val="00CE4D60"/>
    <w:rsid w:val="00CE4DEE"/>
    <w:rsid w:val="00CE4DEF"/>
    <w:rsid w:val="00CE4E09"/>
    <w:rsid w:val="00CE4E29"/>
    <w:rsid w:val="00CE4E3B"/>
    <w:rsid w:val="00CE4E4D"/>
    <w:rsid w:val="00CE4EE6"/>
    <w:rsid w:val="00CE4EFC"/>
    <w:rsid w:val="00CE4F02"/>
    <w:rsid w:val="00CE4F3F"/>
    <w:rsid w:val="00CE4F42"/>
    <w:rsid w:val="00CE4F4C"/>
    <w:rsid w:val="00CE4F66"/>
    <w:rsid w:val="00CE4F88"/>
    <w:rsid w:val="00CE5029"/>
    <w:rsid w:val="00CE502C"/>
    <w:rsid w:val="00CE503A"/>
    <w:rsid w:val="00CE5042"/>
    <w:rsid w:val="00CE50E0"/>
    <w:rsid w:val="00CE512D"/>
    <w:rsid w:val="00CE512F"/>
    <w:rsid w:val="00CE5130"/>
    <w:rsid w:val="00CE5132"/>
    <w:rsid w:val="00CE513F"/>
    <w:rsid w:val="00CE5142"/>
    <w:rsid w:val="00CE51BE"/>
    <w:rsid w:val="00CE51FA"/>
    <w:rsid w:val="00CE5219"/>
    <w:rsid w:val="00CE5270"/>
    <w:rsid w:val="00CE5276"/>
    <w:rsid w:val="00CE5290"/>
    <w:rsid w:val="00CE52E2"/>
    <w:rsid w:val="00CE530A"/>
    <w:rsid w:val="00CE530B"/>
    <w:rsid w:val="00CE53A2"/>
    <w:rsid w:val="00CE5415"/>
    <w:rsid w:val="00CE541D"/>
    <w:rsid w:val="00CE542C"/>
    <w:rsid w:val="00CE5439"/>
    <w:rsid w:val="00CE543E"/>
    <w:rsid w:val="00CE5488"/>
    <w:rsid w:val="00CE5496"/>
    <w:rsid w:val="00CE549B"/>
    <w:rsid w:val="00CE54B0"/>
    <w:rsid w:val="00CE54DC"/>
    <w:rsid w:val="00CE54E1"/>
    <w:rsid w:val="00CE54E6"/>
    <w:rsid w:val="00CE54E7"/>
    <w:rsid w:val="00CE5500"/>
    <w:rsid w:val="00CE551B"/>
    <w:rsid w:val="00CE5521"/>
    <w:rsid w:val="00CE555D"/>
    <w:rsid w:val="00CE55F1"/>
    <w:rsid w:val="00CE560D"/>
    <w:rsid w:val="00CE564F"/>
    <w:rsid w:val="00CE5692"/>
    <w:rsid w:val="00CE56A6"/>
    <w:rsid w:val="00CE56DA"/>
    <w:rsid w:val="00CE5705"/>
    <w:rsid w:val="00CE5724"/>
    <w:rsid w:val="00CE57A1"/>
    <w:rsid w:val="00CE57A2"/>
    <w:rsid w:val="00CE5812"/>
    <w:rsid w:val="00CE581D"/>
    <w:rsid w:val="00CE582F"/>
    <w:rsid w:val="00CE5846"/>
    <w:rsid w:val="00CE58EA"/>
    <w:rsid w:val="00CE58F1"/>
    <w:rsid w:val="00CE596C"/>
    <w:rsid w:val="00CE597D"/>
    <w:rsid w:val="00CE59A3"/>
    <w:rsid w:val="00CE59BF"/>
    <w:rsid w:val="00CE59C3"/>
    <w:rsid w:val="00CE59E9"/>
    <w:rsid w:val="00CE5A48"/>
    <w:rsid w:val="00CE5A85"/>
    <w:rsid w:val="00CE5A9E"/>
    <w:rsid w:val="00CE5ABA"/>
    <w:rsid w:val="00CE5AC7"/>
    <w:rsid w:val="00CE5AFC"/>
    <w:rsid w:val="00CE5B00"/>
    <w:rsid w:val="00CE5B0E"/>
    <w:rsid w:val="00CE5B18"/>
    <w:rsid w:val="00CE5B6E"/>
    <w:rsid w:val="00CE5B7F"/>
    <w:rsid w:val="00CE5B9C"/>
    <w:rsid w:val="00CE5BBA"/>
    <w:rsid w:val="00CE5BEF"/>
    <w:rsid w:val="00CE5C09"/>
    <w:rsid w:val="00CE5C4A"/>
    <w:rsid w:val="00CE5C4C"/>
    <w:rsid w:val="00CE5C81"/>
    <w:rsid w:val="00CE5CC3"/>
    <w:rsid w:val="00CE5D3D"/>
    <w:rsid w:val="00CE5D73"/>
    <w:rsid w:val="00CE5D80"/>
    <w:rsid w:val="00CE5D94"/>
    <w:rsid w:val="00CE5DA9"/>
    <w:rsid w:val="00CE5E0D"/>
    <w:rsid w:val="00CE5E40"/>
    <w:rsid w:val="00CE5EA8"/>
    <w:rsid w:val="00CE5EB1"/>
    <w:rsid w:val="00CE5EB4"/>
    <w:rsid w:val="00CE5EDE"/>
    <w:rsid w:val="00CE5EFB"/>
    <w:rsid w:val="00CE5F0E"/>
    <w:rsid w:val="00CE5F21"/>
    <w:rsid w:val="00CE5F26"/>
    <w:rsid w:val="00CE5F35"/>
    <w:rsid w:val="00CE5F44"/>
    <w:rsid w:val="00CE5F4C"/>
    <w:rsid w:val="00CE5F87"/>
    <w:rsid w:val="00CE5F8B"/>
    <w:rsid w:val="00CE5FA1"/>
    <w:rsid w:val="00CE5FA8"/>
    <w:rsid w:val="00CE5FFF"/>
    <w:rsid w:val="00CE601A"/>
    <w:rsid w:val="00CE603F"/>
    <w:rsid w:val="00CE6066"/>
    <w:rsid w:val="00CE60C4"/>
    <w:rsid w:val="00CE60F5"/>
    <w:rsid w:val="00CE6108"/>
    <w:rsid w:val="00CE6129"/>
    <w:rsid w:val="00CE6136"/>
    <w:rsid w:val="00CE613C"/>
    <w:rsid w:val="00CE6152"/>
    <w:rsid w:val="00CE617F"/>
    <w:rsid w:val="00CE620D"/>
    <w:rsid w:val="00CE6229"/>
    <w:rsid w:val="00CE622D"/>
    <w:rsid w:val="00CE6244"/>
    <w:rsid w:val="00CE62CF"/>
    <w:rsid w:val="00CE62D1"/>
    <w:rsid w:val="00CE62E6"/>
    <w:rsid w:val="00CE62F8"/>
    <w:rsid w:val="00CE6374"/>
    <w:rsid w:val="00CE6377"/>
    <w:rsid w:val="00CE6380"/>
    <w:rsid w:val="00CE6464"/>
    <w:rsid w:val="00CE648F"/>
    <w:rsid w:val="00CE64CC"/>
    <w:rsid w:val="00CE64DB"/>
    <w:rsid w:val="00CE64F5"/>
    <w:rsid w:val="00CE64F6"/>
    <w:rsid w:val="00CE6506"/>
    <w:rsid w:val="00CE6524"/>
    <w:rsid w:val="00CE653E"/>
    <w:rsid w:val="00CE654F"/>
    <w:rsid w:val="00CE6575"/>
    <w:rsid w:val="00CE659D"/>
    <w:rsid w:val="00CE65BF"/>
    <w:rsid w:val="00CE65CA"/>
    <w:rsid w:val="00CE662B"/>
    <w:rsid w:val="00CE6637"/>
    <w:rsid w:val="00CE6643"/>
    <w:rsid w:val="00CE6651"/>
    <w:rsid w:val="00CE6655"/>
    <w:rsid w:val="00CE666A"/>
    <w:rsid w:val="00CE666C"/>
    <w:rsid w:val="00CE6673"/>
    <w:rsid w:val="00CE668C"/>
    <w:rsid w:val="00CE6695"/>
    <w:rsid w:val="00CE66C7"/>
    <w:rsid w:val="00CE6732"/>
    <w:rsid w:val="00CE673A"/>
    <w:rsid w:val="00CE673D"/>
    <w:rsid w:val="00CE6748"/>
    <w:rsid w:val="00CE6752"/>
    <w:rsid w:val="00CE678B"/>
    <w:rsid w:val="00CE67B2"/>
    <w:rsid w:val="00CE67CB"/>
    <w:rsid w:val="00CE67CE"/>
    <w:rsid w:val="00CE67D0"/>
    <w:rsid w:val="00CE67D3"/>
    <w:rsid w:val="00CE686B"/>
    <w:rsid w:val="00CE68B3"/>
    <w:rsid w:val="00CE6929"/>
    <w:rsid w:val="00CE697D"/>
    <w:rsid w:val="00CE6993"/>
    <w:rsid w:val="00CE6998"/>
    <w:rsid w:val="00CE69B5"/>
    <w:rsid w:val="00CE69E6"/>
    <w:rsid w:val="00CE6A63"/>
    <w:rsid w:val="00CE6A6D"/>
    <w:rsid w:val="00CE6B0C"/>
    <w:rsid w:val="00CE6B28"/>
    <w:rsid w:val="00CE6B2A"/>
    <w:rsid w:val="00CE6B2E"/>
    <w:rsid w:val="00CE6B62"/>
    <w:rsid w:val="00CE6BD4"/>
    <w:rsid w:val="00CE6C1B"/>
    <w:rsid w:val="00CE6C84"/>
    <w:rsid w:val="00CE6C8F"/>
    <w:rsid w:val="00CE6CCB"/>
    <w:rsid w:val="00CE6CF6"/>
    <w:rsid w:val="00CE6D1F"/>
    <w:rsid w:val="00CE6D42"/>
    <w:rsid w:val="00CE6D67"/>
    <w:rsid w:val="00CE6D6E"/>
    <w:rsid w:val="00CE6DDA"/>
    <w:rsid w:val="00CE6DE4"/>
    <w:rsid w:val="00CE6E12"/>
    <w:rsid w:val="00CE6E22"/>
    <w:rsid w:val="00CE6E2C"/>
    <w:rsid w:val="00CE6E63"/>
    <w:rsid w:val="00CE6EAD"/>
    <w:rsid w:val="00CE6EBC"/>
    <w:rsid w:val="00CE6ECB"/>
    <w:rsid w:val="00CE6ED7"/>
    <w:rsid w:val="00CE6EE4"/>
    <w:rsid w:val="00CE6EFA"/>
    <w:rsid w:val="00CE6F0A"/>
    <w:rsid w:val="00CE6F22"/>
    <w:rsid w:val="00CE6F2E"/>
    <w:rsid w:val="00CE6F67"/>
    <w:rsid w:val="00CE6F7D"/>
    <w:rsid w:val="00CE6F8C"/>
    <w:rsid w:val="00CE6F9D"/>
    <w:rsid w:val="00CE6FB6"/>
    <w:rsid w:val="00CE6FC3"/>
    <w:rsid w:val="00CE6FF5"/>
    <w:rsid w:val="00CE701C"/>
    <w:rsid w:val="00CE701F"/>
    <w:rsid w:val="00CE7033"/>
    <w:rsid w:val="00CE7034"/>
    <w:rsid w:val="00CE7076"/>
    <w:rsid w:val="00CE7089"/>
    <w:rsid w:val="00CE70D2"/>
    <w:rsid w:val="00CE70DB"/>
    <w:rsid w:val="00CE70DD"/>
    <w:rsid w:val="00CE70ED"/>
    <w:rsid w:val="00CE7100"/>
    <w:rsid w:val="00CE712E"/>
    <w:rsid w:val="00CE7142"/>
    <w:rsid w:val="00CE7158"/>
    <w:rsid w:val="00CE7180"/>
    <w:rsid w:val="00CE71FF"/>
    <w:rsid w:val="00CE7202"/>
    <w:rsid w:val="00CE720E"/>
    <w:rsid w:val="00CE7215"/>
    <w:rsid w:val="00CE72A8"/>
    <w:rsid w:val="00CE72DE"/>
    <w:rsid w:val="00CE7317"/>
    <w:rsid w:val="00CE7354"/>
    <w:rsid w:val="00CE7356"/>
    <w:rsid w:val="00CE7386"/>
    <w:rsid w:val="00CE742C"/>
    <w:rsid w:val="00CE742E"/>
    <w:rsid w:val="00CE7443"/>
    <w:rsid w:val="00CE7468"/>
    <w:rsid w:val="00CE746B"/>
    <w:rsid w:val="00CE7482"/>
    <w:rsid w:val="00CE74D2"/>
    <w:rsid w:val="00CE74DA"/>
    <w:rsid w:val="00CE74F4"/>
    <w:rsid w:val="00CE7539"/>
    <w:rsid w:val="00CE753A"/>
    <w:rsid w:val="00CE754E"/>
    <w:rsid w:val="00CE756A"/>
    <w:rsid w:val="00CE756F"/>
    <w:rsid w:val="00CE75AE"/>
    <w:rsid w:val="00CE75B5"/>
    <w:rsid w:val="00CE75C4"/>
    <w:rsid w:val="00CE75D1"/>
    <w:rsid w:val="00CE75F9"/>
    <w:rsid w:val="00CE7657"/>
    <w:rsid w:val="00CE7662"/>
    <w:rsid w:val="00CE7693"/>
    <w:rsid w:val="00CE76A8"/>
    <w:rsid w:val="00CE76AA"/>
    <w:rsid w:val="00CE76E0"/>
    <w:rsid w:val="00CE76FE"/>
    <w:rsid w:val="00CE772B"/>
    <w:rsid w:val="00CE7743"/>
    <w:rsid w:val="00CE7798"/>
    <w:rsid w:val="00CE77B2"/>
    <w:rsid w:val="00CE77C5"/>
    <w:rsid w:val="00CE77F7"/>
    <w:rsid w:val="00CE780F"/>
    <w:rsid w:val="00CE7877"/>
    <w:rsid w:val="00CE78C0"/>
    <w:rsid w:val="00CE78E8"/>
    <w:rsid w:val="00CE7940"/>
    <w:rsid w:val="00CE795E"/>
    <w:rsid w:val="00CE796D"/>
    <w:rsid w:val="00CE798F"/>
    <w:rsid w:val="00CE79A6"/>
    <w:rsid w:val="00CE79D4"/>
    <w:rsid w:val="00CE7A1F"/>
    <w:rsid w:val="00CE7A46"/>
    <w:rsid w:val="00CE7A90"/>
    <w:rsid w:val="00CE7AB6"/>
    <w:rsid w:val="00CE7AB7"/>
    <w:rsid w:val="00CE7AD1"/>
    <w:rsid w:val="00CE7B04"/>
    <w:rsid w:val="00CE7B06"/>
    <w:rsid w:val="00CE7B63"/>
    <w:rsid w:val="00CE7BAA"/>
    <w:rsid w:val="00CE7BB1"/>
    <w:rsid w:val="00CE7BC0"/>
    <w:rsid w:val="00CE7BC4"/>
    <w:rsid w:val="00CE7BD1"/>
    <w:rsid w:val="00CE7C02"/>
    <w:rsid w:val="00CE7C04"/>
    <w:rsid w:val="00CE7C1B"/>
    <w:rsid w:val="00CE7C39"/>
    <w:rsid w:val="00CE7C49"/>
    <w:rsid w:val="00CE7C86"/>
    <w:rsid w:val="00CE7CCA"/>
    <w:rsid w:val="00CE7D00"/>
    <w:rsid w:val="00CE7DB9"/>
    <w:rsid w:val="00CE7E19"/>
    <w:rsid w:val="00CE7E9E"/>
    <w:rsid w:val="00CE7ECA"/>
    <w:rsid w:val="00CE7EF5"/>
    <w:rsid w:val="00CE7F15"/>
    <w:rsid w:val="00CE7F5C"/>
    <w:rsid w:val="00CE7F91"/>
    <w:rsid w:val="00CE7FB7"/>
    <w:rsid w:val="00CE7FC1"/>
    <w:rsid w:val="00CE7FE5"/>
    <w:rsid w:val="00CF000A"/>
    <w:rsid w:val="00CF000B"/>
    <w:rsid w:val="00CF0019"/>
    <w:rsid w:val="00CF0069"/>
    <w:rsid w:val="00CF0086"/>
    <w:rsid w:val="00CF0087"/>
    <w:rsid w:val="00CF0090"/>
    <w:rsid w:val="00CF00C8"/>
    <w:rsid w:val="00CF00EB"/>
    <w:rsid w:val="00CF00F5"/>
    <w:rsid w:val="00CF0128"/>
    <w:rsid w:val="00CF0140"/>
    <w:rsid w:val="00CF0148"/>
    <w:rsid w:val="00CF01BE"/>
    <w:rsid w:val="00CF01C9"/>
    <w:rsid w:val="00CF01F8"/>
    <w:rsid w:val="00CF024C"/>
    <w:rsid w:val="00CF0283"/>
    <w:rsid w:val="00CF029A"/>
    <w:rsid w:val="00CF02AB"/>
    <w:rsid w:val="00CF034D"/>
    <w:rsid w:val="00CF035A"/>
    <w:rsid w:val="00CF036D"/>
    <w:rsid w:val="00CF0381"/>
    <w:rsid w:val="00CF043F"/>
    <w:rsid w:val="00CF048C"/>
    <w:rsid w:val="00CF0495"/>
    <w:rsid w:val="00CF049C"/>
    <w:rsid w:val="00CF04AC"/>
    <w:rsid w:val="00CF04B8"/>
    <w:rsid w:val="00CF04E6"/>
    <w:rsid w:val="00CF04F5"/>
    <w:rsid w:val="00CF0500"/>
    <w:rsid w:val="00CF0506"/>
    <w:rsid w:val="00CF0513"/>
    <w:rsid w:val="00CF0518"/>
    <w:rsid w:val="00CF0537"/>
    <w:rsid w:val="00CF0538"/>
    <w:rsid w:val="00CF0543"/>
    <w:rsid w:val="00CF067E"/>
    <w:rsid w:val="00CF068D"/>
    <w:rsid w:val="00CF0740"/>
    <w:rsid w:val="00CF074B"/>
    <w:rsid w:val="00CF07A8"/>
    <w:rsid w:val="00CF07D2"/>
    <w:rsid w:val="00CF080F"/>
    <w:rsid w:val="00CF081E"/>
    <w:rsid w:val="00CF0871"/>
    <w:rsid w:val="00CF0881"/>
    <w:rsid w:val="00CF0888"/>
    <w:rsid w:val="00CF0896"/>
    <w:rsid w:val="00CF08C3"/>
    <w:rsid w:val="00CF08EB"/>
    <w:rsid w:val="00CF0906"/>
    <w:rsid w:val="00CF0945"/>
    <w:rsid w:val="00CF0949"/>
    <w:rsid w:val="00CF0993"/>
    <w:rsid w:val="00CF09AC"/>
    <w:rsid w:val="00CF09CB"/>
    <w:rsid w:val="00CF09E1"/>
    <w:rsid w:val="00CF0A44"/>
    <w:rsid w:val="00CF0A45"/>
    <w:rsid w:val="00CF0A65"/>
    <w:rsid w:val="00CF0A7D"/>
    <w:rsid w:val="00CF0A84"/>
    <w:rsid w:val="00CF0AA8"/>
    <w:rsid w:val="00CF0AE2"/>
    <w:rsid w:val="00CF0B1B"/>
    <w:rsid w:val="00CF0B3E"/>
    <w:rsid w:val="00CF0B41"/>
    <w:rsid w:val="00CF0B62"/>
    <w:rsid w:val="00CF0B64"/>
    <w:rsid w:val="00CF0B67"/>
    <w:rsid w:val="00CF0B8A"/>
    <w:rsid w:val="00CF0C03"/>
    <w:rsid w:val="00CF0C26"/>
    <w:rsid w:val="00CF0C4E"/>
    <w:rsid w:val="00CF0C69"/>
    <w:rsid w:val="00CF0CCF"/>
    <w:rsid w:val="00CF0CD0"/>
    <w:rsid w:val="00CF0CD9"/>
    <w:rsid w:val="00CF0CF0"/>
    <w:rsid w:val="00CF0CFC"/>
    <w:rsid w:val="00CF0CFD"/>
    <w:rsid w:val="00CF0D10"/>
    <w:rsid w:val="00CF0D39"/>
    <w:rsid w:val="00CF0D3D"/>
    <w:rsid w:val="00CF0D9E"/>
    <w:rsid w:val="00CF0E03"/>
    <w:rsid w:val="00CF0E1E"/>
    <w:rsid w:val="00CF0E2C"/>
    <w:rsid w:val="00CF0E3D"/>
    <w:rsid w:val="00CF0E53"/>
    <w:rsid w:val="00CF0E93"/>
    <w:rsid w:val="00CF0EC2"/>
    <w:rsid w:val="00CF0ECC"/>
    <w:rsid w:val="00CF0EF2"/>
    <w:rsid w:val="00CF0EF9"/>
    <w:rsid w:val="00CF0FBA"/>
    <w:rsid w:val="00CF0FCA"/>
    <w:rsid w:val="00CF1036"/>
    <w:rsid w:val="00CF1047"/>
    <w:rsid w:val="00CF1067"/>
    <w:rsid w:val="00CF1084"/>
    <w:rsid w:val="00CF109C"/>
    <w:rsid w:val="00CF111B"/>
    <w:rsid w:val="00CF115B"/>
    <w:rsid w:val="00CF11A5"/>
    <w:rsid w:val="00CF11B7"/>
    <w:rsid w:val="00CF11FD"/>
    <w:rsid w:val="00CF1229"/>
    <w:rsid w:val="00CF1249"/>
    <w:rsid w:val="00CF1264"/>
    <w:rsid w:val="00CF12E9"/>
    <w:rsid w:val="00CF135E"/>
    <w:rsid w:val="00CF1377"/>
    <w:rsid w:val="00CF13C1"/>
    <w:rsid w:val="00CF13FA"/>
    <w:rsid w:val="00CF141D"/>
    <w:rsid w:val="00CF1444"/>
    <w:rsid w:val="00CF146B"/>
    <w:rsid w:val="00CF148E"/>
    <w:rsid w:val="00CF14B2"/>
    <w:rsid w:val="00CF14C2"/>
    <w:rsid w:val="00CF14D4"/>
    <w:rsid w:val="00CF14F4"/>
    <w:rsid w:val="00CF1513"/>
    <w:rsid w:val="00CF1532"/>
    <w:rsid w:val="00CF1559"/>
    <w:rsid w:val="00CF15FE"/>
    <w:rsid w:val="00CF164D"/>
    <w:rsid w:val="00CF1682"/>
    <w:rsid w:val="00CF16D5"/>
    <w:rsid w:val="00CF16E3"/>
    <w:rsid w:val="00CF16E9"/>
    <w:rsid w:val="00CF1714"/>
    <w:rsid w:val="00CF1715"/>
    <w:rsid w:val="00CF1717"/>
    <w:rsid w:val="00CF1760"/>
    <w:rsid w:val="00CF1774"/>
    <w:rsid w:val="00CF17B9"/>
    <w:rsid w:val="00CF17D4"/>
    <w:rsid w:val="00CF17FE"/>
    <w:rsid w:val="00CF1844"/>
    <w:rsid w:val="00CF185E"/>
    <w:rsid w:val="00CF187D"/>
    <w:rsid w:val="00CF188A"/>
    <w:rsid w:val="00CF1894"/>
    <w:rsid w:val="00CF18A5"/>
    <w:rsid w:val="00CF18AF"/>
    <w:rsid w:val="00CF18DF"/>
    <w:rsid w:val="00CF1900"/>
    <w:rsid w:val="00CF1921"/>
    <w:rsid w:val="00CF1928"/>
    <w:rsid w:val="00CF1929"/>
    <w:rsid w:val="00CF1952"/>
    <w:rsid w:val="00CF198E"/>
    <w:rsid w:val="00CF19FE"/>
    <w:rsid w:val="00CF1A0C"/>
    <w:rsid w:val="00CF1A30"/>
    <w:rsid w:val="00CF1A46"/>
    <w:rsid w:val="00CF1A5A"/>
    <w:rsid w:val="00CF1A6B"/>
    <w:rsid w:val="00CF1AF6"/>
    <w:rsid w:val="00CF1AFC"/>
    <w:rsid w:val="00CF1B00"/>
    <w:rsid w:val="00CF1B10"/>
    <w:rsid w:val="00CF1B49"/>
    <w:rsid w:val="00CF1B5D"/>
    <w:rsid w:val="00CF1B67"/>
    <w:rsid w:val="00CF1B6F"/>
    <w:rsid w:val="00CF1B70"/>
    <w:rsid w:val="00CF1C03"/>
    <w:rsid w:val="00CF1C06"/>
    <w:rsid w:val="00CF1C1B"/>
    <w:rsid w:val="00CF1C6A"/>
    <w:rsid w:val="00CF1C6F"/>
    <w:rsid w:val="00CF1CBA"/>
    <w:rsid w:val="00CF1CD1"/>
    <w:rsid w:val="00CF1CEE"/>
    <w:rsid w:val="00CF1D23"/>
    <w:rsid w:val="00CF1D2F"/>
    <w:rsid w:val="00CF1D5F"/>
    <w:rsid w:val="00CF1D89"/>
    <w:rsid w:val="00CF1DFD"/>
    <w:rsid w:val="00CF1E3A"/>
    <w:rsid w:val="00CF1E76"/>
    <w:rsid w:val="00CF1E79"/>
    <w:rsid w:val="00CF1E7B"/>
    <w:rsid w:val="00CF1E90"/>
    <w:rsid w:val="00CF1EAA"/>
    <w:rsid w:val="00CF1EAB"/>
    <w:rsid w:val="00CF1EBC"/>
    <w:rsid w:val="00CF1EE5"/>
    <w:rsid w:val="00CF1EF5"/>
    <w:rsid w:val="00CF1EFF"/>
    <w:rsid w:val="00CF1F04"/>
    <w:rsid w:val="00CF1F0C"/>
    <w:rsid w:val="00CF1F24"/>
    <w:rsid w:val="00CF1F58"/>
    <w:rsid w:val="00CF1F88"/>
    <w:rsid w:val="00CF1FBF"/>
    <w:rsid w:val="00CF1FCA"/>
    <w:rsid w:val="00CF2023"/>
    <w:rsid w:val="00CF2026"/>
    <w:rsid w:val="00CF205C"/>
    <w:rsid w:val="00CF2060"/>
    <w:rsid w:val="00CF206D"/>
    <w:rsid w:val="00CF2076"/>
    <w:rsid w:val="00CF20A0"/>
    <w:rsid w:val="00CF20B7"/>
    <w:rsid w:val="00CF20C0"/>
    <w:rsid w:val="00CF20D3"/>
    <w:rsid w:val="00CF20D4"/>
    <w:rsid w:val="00CF2104"/>
    <w:rsid w:val="00CF2115"/>
    <w:rsid w:val="00CF215C"/>
    <w:rsid w:val="00CF2186"/>
    <w:rsid w:val="00CF2198"/>
    <w:rsid w:val="00CF219E"/>
    <w:rsid w:val="00CF21D2"/>
    <w:rsid w:val="00CF21D8"/>
    <w:rsid w:val="00CF2261"/>
    <w:rsid w:val="00CF226F"/>
    <w:rsid w:val="00CF2283"/>
    <w:rsid w:val="00CF22A7"/>
    <w:rsid w:val="00CF22B0"/>
    <w:rsid w:val="00CF22D0"/>
    <w:rsid w:val="00CF22DB"/>
    <w:rsid w:val="00CF2331"/>
    <w:rsid w:val="00CF2334"/>
    <w:rsid w:val="00CF238C"/>
    <w:rsid w:val="00CF23AA"/>
    <w:rsid w:val="00CF23BA"/>
    <w:rsid w:val="00CF2409"/>
    <w:rsid w:val="00CF2411"/>
    <w:rsid w:val="00CF2430"/>
    <w:rsid w:val="00CF2449"/>
    <w:rsid w:val="00CF2455"/>
    <w:rsid w:val="00CF2492"/>
    <w:rsid w:val="00CF249B"/>
    <w:rsid w:val="00CF24A7"/>
    <w:rsid w:val="00CF24AF"/>
    <w:rsid w:val="00CF24F3"/>
    <w:rsid w:val="00CF24F4"/>
    <w:rsid w:val="00CF2535"/>
    <w:rsid w:val="00CF2548"/>
    <w:rsid w:val="00CF254F"/>
    <w:rsid w:val="00CF255F"/>
    <w:rsid w:val="00CF25C5"/>
    <w:rsid w:val="00CF25C6"/>
    <w:rsid w:val="00CF25CE"/>
    <w:rsid w:val="00CF25FF"/>
    <w:rsid w:val="00CF2606"/>
    <w:rsid w:val="00CF267C"/>
    <w:rsid w:val="00CF26B5"/>
    <w:rsid w:val="00CF270A"/>
    <w:rsid w:val="00CF2711"/>
    <w:rsid w:val="00CF271F"/>
    <w:rsid w:val="00CF276C"/>
    <w:rsid w:val="00CF2777"/>
    <w:rsid w:val="00CF279D"/>
    <w:rsid w:val="00CF27B0"/>
    <w:rsid w:val="00CF27CB"/>
    <w:rsid w:val="00CF27CD"/>
    <w:rsid w:val="00CF27D7"/>
    <w:rsid w:val="00CF27E3"/>
    <w:rsid w:val="00CF27F5"/>
    <w:rsid w:val="00CF2814"/>
    <w:rsid w:val="00CF282D"/>
    <w:rsid w:val="00CF2843"/>
    <w:rsid w:val="00CF2881"/>
    <w:rsid w:val="00CF28D1"/>
    <w:rsid w:val="00CF28DD"/>
    <w:rsid w:val="00CF28E0"/>
    <w:rsid w:val="00CF2943"/>
    <w:rsid w:val="00CF2994"/>
    <w:rsid w:val="00CF29A5"/>
    <w:rsid w:val="00CF29BD"/>
    <w:rsid w:val="00CF29D5"/>
    <w:rsid w:val="00CF29F9"/>
    <w:rsid w:val="00CF2A0F"/>
    <w:rsid w:val="00CF2A11"/>
    <w:rsid w:val="00CF2A2F"/>
    <w:rsid w:val="00CF2A30"/>
    <w:rsid w:val="00CF2A83"/>
    <w:rsid w:val="00CF2A8E"/>
    <w:rsid w:val="00CF2A97"/>
    <w:rsid w:val="00CF2AA2"/>
    <w:rsid w:val="00CF2AA7"/>
    <w:rsid w:val="00CF2AF8"/>
    <w:rsid w:val="00CF2AFA"/>
    <w:rsid w:val="00CF2AFF"/>
    <w:rsid w:val="00CF2B00"/>
    <w:rsid w:val="00CF2BA5"/>
    <w:rsid w:val="00CF2BD7"/>
    <w:rsid w:val="00CF2C23"/>
    <w:rsid w:val="00CF2C6D"/>
    <w:rsid w:val="00CF2C71"/>
    <w:rsid w:val="00CF2C9A"/>
    <w:rsid w:val="00CF2CA3"/>
    <w:rsid w:val="00CF2CCE"/>
    <w:rsid w:val="00CF2CF5"/>
    <w:rsid w:val="00CF2CFF"/>
    <w:rsid w:val="00CF2D1F"/>
    <w:rsid w:val="00CF2D58"/>
    <w:rsid w:val="00CF2D5C"/>
    <w:rsid w:val="00CF2DF2"/>
    <w:rsid w:val="00CF2E1A"/>
    <w:rsid w:val="00CF2F5D"/>
    <w:rsid w:val="00CF2FB4"/>
    <w:rsid w:val="00CF2FB8"/>
    <w:rsid w:val="00CF2FBB"/>
    <w:rsid w:val="00CF2FEC"/>
    <w:rsid w:val="00CF2FEF"/>
    <w:rsid w:val="00CF2FFF"/>
    <w:rsid w:val="00CF3041"/>
    <w:rsid w:val="00CF3048"/>
    <w:rsid w:val="00CF3092"/>
    <w:rsid w:val="00CF30A8"/>
    <w:rsid w:val="00CF30D0"/>
    <w:rsid w:val="00CF30D5"/>
    <w:rsid w:val="00CF30E4"/>
    <w:rsid w:val="00CF3108"/>
    <w:rsid w:val="00CF3123"/>
    <w:rsid w:val="00CF3137"/>
    <w:rsid w:val="00CF31BA"/>
    <w:rsid w:val="00CF31CB"/>
    <w:rsid w:val="00CF31FC"/>
    <w:rsid w:val="00CF322C"/>
    <w:rsid w:val="00CF3249"/>
    <w:rsid w:val="00CF3378"/>
    <w:rsid w:val="00CF3381"/>
    <w:rsid w:val="00CF338A"/>
    <w:rsid w:val="00CF339E"/>
    <w:rsid w:val="00CF33A4"/>
    <w:rsid w:val="00CF33B8"/>
    <w:rsid w:val="00CF33FD"/>
    <w:rsid w:val="00CF3414"/>
    <w:rsid w:val="00CF345C"/>
    <w:rsid w:val="00CF34AB"/>
    <w:rsid w:val="00CF34E1"/>
    <w:rsid w:val="00CF3500"/>
    <w:rsid w:val="00CF350A"/>
    <w:rsid w:val="00CF353D"/>
    <w:rsid w:val="00CF355E"/>
    <w:rsid w:val="00CF3593"/>
    <w:rsid w:val="00CF35D1"/>
    <w:rsid w:val="00CF369E"/>
    <w:rsid w:val="00CF370A"/>
    <w:rsid w:val="00CF37CE"/>
    <w:rsid w:val="00CF37DE"/>
    <w:rsid w:val="00CF37F3"/>
    <w:rsid w:val="00CF3831"/>
    <w:rsid w:val="00CF3887"/>
    <w:rsid w:val="00CF388A"/>
    <w:rsid w:val="00CF38A1"/>
    <w:rsid w:val="00CF38CA"/>
    <w:rsid w:val="00CF38CE"/>
    <w:rsid w:val="00CF38D0"/>
    <w:rsid w:val="00CF38D2"/>
    <w:rsid w:val="00CF38E2"/>
    <w:rsid w:val="00CF38E6"/>
    <w:rsid w:val="00CF3906"/>
    <w:rsid w:val="00CF3919"/>
    <w:rsid w:val="00CF391C"/>
    <w:rsid w:val="00CF392E"/>
    <w:rsid w:val="00CF3936"/>
    <w:rsid w:val="00CF3997"/>
    <w:rsid w:val="00CF39AC"/>
    <w:rsid w:val="00CF39CA"/>
    <w:rsid w:val="00CF39F5"/>
    <w:rsid w:val="00CF39FB"/>
    <w:rsid w:val="00CF39FD"/>
    <w:rsid w:val="00CF3A37"/>
    <w:rsid w:val="00CF3AA1"/>
    <w:rsid w:val="00CF3AA6"/>
    <w:rsid w:val="00CF3AAC"/>
    <w:rsid w:val="00CF3ADF"/>
    <w:rsid w:val="00CF3B07"/>
    <w:rsid w:val="00CF3B37"/>
    <w:rsid w:val="00CF3B48"/>
    <w:rsid w:val="00CF3B4F"/>
    <w:rsid w:val="00CF3B7F"/>
    <w:rsid w:val="00CF3BD4"/>
    <w:rsid w:val="00CF3C20"/>
    <w:rsid w:val="00CF3C56"/>
    <w:rsid w:val="00CF3CCA"/>
    <w:rsid w:val="00CF3CCD"/>
    <w:rsid w:val="00CF3CDE"/>
    <w:rsid w:val="00CF3CE3"/>
    <w:rsid w:val="00CF3CE5"/>
    <w:rsid w:val="00CF3CE7"/>
    <w:rsid w:val="00CF3CFF"/>
    <w:rsid w:val="00CF3D0C"/>
    <w:rsid w:val="00CF3D45"/>
    <w:rsid w:val="00CF3D5A"/>
    <w:rsid w:val="00CF3D83"/>
    <w:rsid w:val="00CF3D84"/>
    <w:rsid w:val="00CF3D9A"/>
    <w:rsid w:val="00CF3DD1"/>
    <w:rsid w:val="00CF3E1F"/>
    <w:rsid w:val="00CF3E2C"/>
    <w:rsid w:val="00CF3E47"/>
    <w:rsid w:val="00CF3E48"/>
    <w:rsid w:val="00CF3E4A"/>
    <w:rsid w:val="00CF3E60"/>
    <w:rsid w:val="00CF3E79"/>
    <w:rsid w:val="00CF3EA8"/>
    <w:rsid w:val="00CF3ED6"/>
    <w:rsid w:val="00CF3EF1"/>
    <w:rsid w:val="00CF3F3D"/>
    <w:rsid w:val="00CF3F41"/>
    <w:rsid w:val="00CF3F5F"/>
    <w:rsid w:val="00CF3F6A"/>
    <w:rsid w:val="00CF3FBE"/>
    <w:rsid w:val="00CF3FBF"/>
    <w:rsid w:val="00CF4017"/>
    <w:rsid w:val="00CF401A"/>
    <w:rsid w:val="00CF401B"/>
    <w:rsid w:val="00CF4078"/>
    <w:rsid w:val="00CF40A4"/>
    <w:rsid w:val="00CF40B0"/>
    <w:rsid w:val="00CF40E4"/>
    <w:rsid w:val="00CF4120"/>
    <w:rsid w:val="00CF4199"/>
    <w:rsid w:val="00CF41B2"/>
    <w:rsid w:val="00CF41BA"/>
    <w:rsid w:val="00CF41E7"/>
    <w:rsid w:val="00CF422D"/>
    <w:rsid w:val="00CF4251"/>
    <w:rsid w:val="00CF4259"/>
    <w:rsid w:val="00CF4275"/>
    <w:rsid w:val="00CF4292"/>
    <w:rsid w:val="00CF429B"/>
    <w:rsid w:val="00CF42F1"/>
    <w:rsid w:val="00CF42F5"/>
    <w:rsid w:val="00CF42F8"/>
    <w:rsid w:val="00CF42FA"/>
    <w:rsid w:val="00CF4351"/>
    <w:rsid w:val="00CF435B"/>
    <w:rsid w:val="00CF43D2"/>
    <w:rsid w:val="00CF43F4"/>
    <w:rsid w:val="00CF4478"/>
    <w:rsid w:val="00CF447E"/>
    <w:rsid w:val="00CF4486"/>
    <w:rsid w:val="00CF44C5"/>
    <w:rsid w:val="00CF450A"/>
    <w:rsid w:val="00CF450F"/>
    <w:rsid w:val="00CF45A3"/>
    <w:rsid w:val="00CF45B8"/>
    <w:rsid w:val="00CF4616"/>
    <w:rsid w:val="00CF4645"/>
    <w:rsid w:val="00CF466F"/>
    <w:rsid w:val="00CF4679"/>
    <w:rsid w:val="00CF4682"/>
    <w:rsid w:val="00CF4697"/>
    <w:rsid w:val="00CF4698"/>
    <w:rsid w:val="00CF46E7"/>
    <w:rsid w:val="00CF46EC"/>
    <w:rsid w:val="00CF4758"/>
    <w:rsid w:val="00CF479C"/>
    <w:rsid w:val="00CF47AB"/>
    <w:rsid w:val="00CF47B2"/>
    <w:rsid w:val="00CF47B9"/>
    <w:rsid w:val="00CF47CE"/>
    <w:rsid w:val="00CF47D5"/>
    <w:rsid w:val="00CF47DE"/>
    <w:rsid w:val="00CF47EA"/>
    <w:rsid w:val="00CF47F0"/>
    <w:rsid w:val="00CF4811"/>
    <w:rsid w:val="00CF4814"/>
    <w:rsid w:val="00CF484D"/>
    <w:rsid w:val="00CF48B5"/>
    <w:rsid w:val="00CF48F0"/>
    <w:rsid w:val="00CF4928"/>
    <w:rsid w:val="00CF4957"/>
    <w:rsid w:val="00CF496B"/>
    <w:rsid w:val="00CF4973"/>
    <w:rsid w:val="00CF499A"/>
    <w:rsid w:val="00CF49E1"/>
    <w:rsid w:val="00CF49FE"/>
    <w:rsid w:val="00CF4A08"/>
    <w:rsid w:val="00CF4A0A"/>
    <w:rsid w:val="00CF4A1F"/>
    <w:rsid w:val="00CF4A2A"/>
    <w:rsid w:val="00CF4A33"/>
    <w:rsid w:val="00CF4A3F"/>
    <w:rsid w:val="00CF4A47"/>
    <w:rsid w:val="00CF4A8D"/>
    <w:rsid w:val="00CF4A91"/>
    <w:rsid w:val="00CF4A9C"/>
    <w:rsid w:val="00CF4A9F"/>
    <w:rsid w:val="00CF4AD8"/>
    <w:rsid w:val="00CF4B35"/>
    <w:rsid w:val="00CF4B97"/>
    <w:rsid w:val="00CF4BD6"/>
    <w:rsid w:val="00CF4BDF"/>
    <w:rsid w:val="00CF4BFB"/>
    <w:rsid w:val="00CF4C01"/>
    <w:rsid w:val="00CF4C0E"/>
    <w:rsid w:val="00CF4C15"/>
    <w:rsid w:val="00CF4C42"/>
    <w:rsid w:val="00CF4C7C"/>
    <w:rsid w:val="00CF4CE1"/>
    <w:rsid w:val="00CF4CE4"/>
    <w:rsid w:val="00CF4CFC"/>
    <w:rsid w:val="00CF4D2D"/>
    <w:rsid w:val="00CF4D5B"/>
    <w:rsid w:val="00CF4D76"/>
    <w:rsid w:val="00CF4D83"/>
    <w:rsid w:val="00CF4D9B"/>
    <w:rsid w:val="00CF4DBD"/>
    <w:rsid w:val="00CF4DCD"/>
    <w:rsid w:val="00CF4DCF"/>
    <w:rsid w:val="00CF4DDE"/>
    <w:rsid w:val="00CF4DF7"/>
    <w:rsid w:val="00CF4DF8"/>
    <w:rsid w:val="00CF4E2E"/>
    <w:rsid w:val="00CF4E3B"/>
    <w:rsid w:val="00CF4E49"/>
    <w:rsid w:val="00CF4EC3"/>
    <w:rsid w:val="00CF4ECF"/>
    <w:rsid w:val="00CF4ED8"/>
    <w:rsid w:val="00CF4F81"/>
    <w:rsid w:val="00CF4FAF"/>
    <w:rsid w:val="00CF5034"/>
    <w:rsid w:val="00CF5046"/>
    <w:rsid w:val="00CF5049"/>
    <w:rsid w:val="00CF5070"/>
    <w:rsid w:val="00CF507E"/>
    <w:rsid w:val="00CF5082"/>
    <w:rsid w:val="00CF5091"/>
    <w:rsid w:val="00CF5093"/>
    <w:rsid w:val="00CF50C7"/>
    <w:rsid w:val="00CF50D8"/>
    <w:rsid w:val="00CF50DD"/>
    <w:rsid w:val="00CF50F7"/>
    <w:rsid w:val="00CF512A"/>
    <w:rsid w:val="00CF5149"/>
    <w:rsid w:val="00CF51A8"/>
    <w:rsid w:val="00CF51A9"/>
    <w:rsid w:val="00CF51C7"/>
    <w:rsid w:val="00CF51D5"/>
    <w:rsid w:val="00CF51D6"/>
    <w:rsid w:val="00CF51DB"/>
    <w:rsid w:val="00CF520F"/>
    <w:rsid w:val="00CF5241"/>
    <w:rsid w:val="00CF5252"/>
    <w:rsid w:val="00CF5255"/>
    <w:rsid w:val="00CF526F"/>
    <w:rsid w:val="00CF527D"/>
    <w:rsid w:val="00CF5286"/>
    <w:rsid w:val="00CF5295"/>
    <w:rsid w:val="00CF52A3"/>
    <w:rsid w:val="00CF52AB"/>
    <w:rsid w:val="00CF52DB"/>
    <w:rsid w:val="00CF52E5"/>
    <w:rsid w:val="00CF5316"/>
    <w:rsid w:val="00CF5372"/>
    <w:rsid w:val="00CF537B"/>
    <w:rsid w:val="00CF538D"/>
    <w:rsid w:val="00CF5395"/>
    <w:rsid w:val="00CF539E"/>
    <w:rsid w:val="00CF53A5"/>
    <w:rsid w:val="00CF53A6"/>
    <w:rsid w:val="00CF5417"/>
    <w:rsid w:val="00CF541A"/>
    <w:rsid w:val="00CF5428"/>
    <w:rsid w:val="00CF5434"/>
    <w:rsid w:val="00CF5440"/>
    <w:rsid w:val="00CF545C"/>
    <w:rsid w:val="00CF5464"/>
    <w:rsid w:val="00CF54BE"/>
    <w:rsid w:val="00CF54C4"/>
    <w:rsid w:val="00CF54F2"/>
    <w:rsid w:val="00CF54F6"/>
    <w:rsid w:val="00CF54F7"/>
    <w:rsid w:val="00CF5512"/>
    <w:rsid w:val="00CF5525"/>
    <w:rsid w:val="00CF5529"/>
    <w:rsid w:val="00CF5543"/>
    <w:rsid w:val="00CF5545"/>
    <w:rsid w:val="00CF5593"/>
    <w:rsid w:val="00CF55B6"/>
    <w:rsid w:val="00CF55F1"/>
    <w:rsid w:val="00CF560E"/>
    <w:rsid w:val="00CF5631"/>
    <w:rsid w:val="00CF5665"/>
    <w:rsid w:val="00CF5693"/>
    <w:rsid w:val="00CF56AD"/>
    <w:rsid w:val="00CF56DC"/>
    <w:rsid w:val="00CF5718"/>
    <w:rsid w:val="00CF5721"/>
    <w:rsid w:val="00CF57A4"/>
    <w:rsid w:val="00CF582A"/>
    <w:rsid w:val="00CF582B"/>
    <w:rsid w:val="00CF583B"/>
    <w:rsid w:val="00CF585D"/>
    <w:rsid w:val="00CF588D"/>
    <w:rsid w:val="00CF589E"/>
    <w:rsid w:val="00CF58CD"/>
    <w:rsid w:val="00CF58E2"/>
    <w:rsid w:val="00CF58E8"/>
    <w:rsid w:val="00CF58EC"/>
    <w:rsid w:val="00CF592A"/>
    <w:rsid w:val="00CF59DF"/>
    <w:rsid w:val="00CF59F9"/>
    <w:rsid w:val="00CF5A04"/>
    <w:rsid w:val="00CF5A34"/>
    <w:rsid w:val="00CF5A3D"/>
    <w:rsid w:val="00CF5A4F"/>
    <w:rsid w:val="00CF5A65"/>
    <w:rsid w:val="00CF5A8D"/>
    <w:rsid w:val="00CF5AD6"/>
    <w:rsid w:val="00CF5B24"/>
    <w:rsid w:val="00CF5B37"/>
    <w:rsid w:val="00CF5B3F"/>
    <w:rsid w:val="00CF5B58"/>
    <w:rsid w:val="00CF5B9E"/>
    <w:rsid w:val="00CF5BDB"/>
    <w:rsid w:val="00CF5BE8"/>
    <w:rsid w:val="00CF5BFD"/>
    <w:rsid w:val="00CF5C10"/>
    <w:rsid w:val="00CF5C33"/>
    <w:rsid w:val="00CF5C92"/>
    <w:rsid w:val="00CF5C93"/>
    <w:rsid w:val="00CF5CFE"/>
    <w:rsid w:val="00CF5D07"/>
    <w:rsid w:val="00CF5D4D"/>
    <w:rsid w:val="00CF5D4F"/>
    <w:rsid w:val="00CF5D77"/>
    <w:rsid w:val="00CF5D7F"/>
    <w:rsid w:val="00CF5DCC"/>
    <w:rsid w:val="00CF5E12"/>
    <w:rsid w:val="00CF5E42"/>
    <w:rsid w:val="00CF5E72"/>
    <w:rsid w:val="00CF5EA3"/>
    <w:rsid w:val="00CF5EB4"/>
    <w:rsid w:val="00CF5EF9"/>
    <w:rsid w:val="00CF5F8A"/>
    <w:rsid w:val="00CF6006"/>
    <w:rsid w:val="00CF6071"/>
    <w:rsid w:val="00CF60A4"/>
    <w:rsid w:val="00CF60BC"/>
    <w:rsid w:val="00CF60E7"/>
    <w:rsid w:val="00CF60F5"/>
    <w:rsid w:val="00CF60F7"/>
    <w:rsid w:val="00CF6119"/>
    <w:rsid w:val="00CF619B"/>
    <w:rsid w:val="00CF61C4"/>
    <w:rsid w:val="00CF61D2"/>
    <w:rsid w:val="00CF6269"/>
    <w:rsid w:val="00CF6287"/>
    <w:rsid w:val="00CF62A3"/>
    <w:rsid w:val="00CF62AA"/>
    <w:rsid w:val="00CF62B3"/>
    <w:rsid w:val="00CF62BE"/>
    <w:rsid w:val="00CF62EB"/>
    <w:rsid w:val="00CF6360"/>
    <w:rsid w:val="00CF636E"/>
    <w:rsid w:val="00CF63BF"/>
    <w:rsid w:val="00CF6438"/>
    <w:rsid w:val="00CF64A2"/>
    <w:rsid w:val="00CF64AA"/>
    <w:rsid w:val="00CF64CA"/>
    <w:rsid w:val="00CF64CE"/>
    <w:rsid w:val="00CF6534"/>
    <w:rsid w:val="00CF653E"/>
    <w:rsid w:val="00CF6546"/>
    <w:rsid w:val="00CF65AB"/>
    <w:rsid w:val="00CF65BB"/>
    <w:rsid w:val="00CF65CC"/>
    <w:rsid w:val="00CF6609"/>
    <w:rsid w:val="00CF661F"/>
    <w:rsid w:val="00CF664D"/>
    <w:rsid w:val="00CF6655"/>
    <w:rsid w:val="00CF6685"/>
    <w:rsid w:val="00CF66B0"/>
    <w:rsid w:val="00CF66B2"/>
    <w:rsid w:val="00CF66BE"/>
    <w:rsid w:val="00CF66E3"/>
    <w:rsid w:val="00CF66F7"/>
    <w:rsid w:val="00CF6775"/>
    <w:rsid w:val="00CF67F7"/>
    <w:rsid w:val="00CF6838"/>
    <w:rsid w:val="00CF685D"/>
    <w:rsid w:val="00CF68B1"/>
    <w:rsid w:val="00CF68B3"/>
    <w:rsid w:val="00CF68BD"/>
    <w:rsid w:val="00CF68DD"/>
    <w:rsid w:val="00CF6962"/>
    <w:rsid w:val="00CF69AC"/>
    <w:rsid w:val="00CF69BD"/>
    <w:rsid w:val="00CF69E7"/>
    <w:rsid w:val="00CF6A33"/>
    <w:rsid w:val="00CF6A58"/>
    <w:rsid w:val="00CF6A73"/>
    <w:rsid w:val="00CF6A8A"/>
    <w:rsid w:val="00CF6B0A"/>
    <w:rsid w:val="00CF6B2D"/>
    <w:rsid w:val="00CF6B2E"/>
    <w:rsid w:val="00CF6B51"/>
    <w:rsid w:val="00CF6B9B"/>
    <w:rsid w:val="00CF6BBA"/>
    <w:rsid w:val="00CF6BD3"/>
    <w:rsid w:val="00CF6C0D"/>
    <w:rsid w:val="00CF6C30"/>
    <w:rsid w:val="00CF6C32"/>
    <w:rsid w:val="00CF6C39"/>
    <w:rsid w:val="00CF6C6D"/>
    <w:rsid w:val="00CF6CAA"/>
    <w:rsid w:val="00CF6CE9"/>
    <w:rsid w:val="00CF6D02"/>
    <w:rsid w:val="00CF6D06"/>
    <w:rsid w:val="00CF6D6A"/>
    <w:rsid w:val="00CF6DB3"/>
    <w:rsid w:val="00CF6DB5"/>
    <w:rsid w:val="00CF6DF3"/>
    <w:rsid w:val="00CF6DF4"/>
    <w:rsid w:val="00CF6E0E"/>
    <w:rsid w:val="00CF6E15"/>
    <w:rsid w:val="00CF6EA2"/>
    <w:rsid w:val="00CF6ECC"/>
    <w:rsid w:val="00CF6F0C"/>
    <w:rsid w:val="00CF6F22"/>
    <w:rsid w:val="00CF6F2C"/>
    <w:rsid w:val="00CF6F3A"/>
    <w:rsid w:val="00CF6F3F"/>
    <w:rsid w:val="00CF6F4E"/>
    <w:rsid w:val="00CF702F"/>
    <w:rsid w:val="00CF707F"/>
    <w:rsid w:val="00CF70A2"/>
    <w:rsid w:val="00CF70F1"/>
    <w:rsid w:val="00CF7111"/>
    <w:rsid w:val="00CF716F"/>
    <w:rsid w:val="00CF71A1"/>
    <w:rsid w:val="00CF71CA"/>
    <w:rsid w:val="00CF71F6"/>
    <w:rsid w:val="00CF7211"/>
    <w:rsid w:val="00CF7254"/>
    <w:rsid w:val="00CF7268"/>
    <w:rsid w:val="00CF72FB"/>
    <w:rsid w:val="00CF72FE"/>
    <w:rsid w:val="00CF7368"/>
    <w:rsid w:val="00CF73AE"/>
    <w:rsid w:val="00CF73BD"/>
    <w:rsid w:val="00CF73E6"/>
    <w:rsid w:val="00CF73FD"/>
    <w:rsid w:val="00CF7419"/>
    <w:rsid w:val="00CF741D"/>
    <w:rsid w:val="00CF743D"/>
    <w:rsid w:val="00CF7485"/>
    <w:rsid w:val="00CF7488"/>
    <w:rsid w:val="00CF74A2"/>
    <w:rsid w:val="00CF7529"/>
    <w:rsid w:val="00CF755F"/>
    <w:rsid w:val="00CF7582"/>
    <w:rsid w:val="00CF75A4"/>
    <w:rsid w:val="00CF75CE"/>
    <w:rsid w:val="00CF75D2"/>
    <w:rsid w:val="00CF75D3"/>
    <w:rsid w:val="00CF7612"/>
    <w:rsid w:val="00CF763B"/>
    <w:rsid w:val="00CF764C"/>
    <w:rsid w:val="00CF76EA"/>
    <w:rsid w:val="00CF771F"/>
    <w:rsid w:val="00CF776C"/>
    <w:rsid w:val="00CF77AA"/>
    <w:rsid w:val="00CF77DC"/>
    <w:rsid w:val="00CF781B"/>
    <w:rsid w:val="00CF7820"/>
    <w:rsid w:val="00CF7848"/>
    <w:rsid w:val="00CF7867"/>
    <w:rsid w:val="00CF78A7"/>
    <w:rsid w:val="00CF78E1"/>
    <w:rsid w:val="00CF7916"/>
    <w:rsid w:val="00CF7929"/>
    <w:rsid w:val="00CF7934"/>
    <w:rsid w:val="00CF794A"/>
    <w:rsid w:val="00CF7976"/>
    <w:rsid w:val="00CF799A"/>
    <w:rsid w:val="00CF79DB"/>
    <w:rsid w:val="00CF7A8C"/>
    <w:rsid w:val="00CF7A8D"/>
    <w:rsid w:val="00CF7AAD"/>
    <w:rsid w:val="00CF7AD4"/>
    <w:rsid w:val="00CF7AFD"/>
    <w:rsid w:val="00CF7B00"/>
    <w:rsid w:val="00CF7B36"/>
    <w:rsid w:val="00CF7B6F"/>
    <w:rsid w:val="00CF7B8A"/>
    <w:rsid w:val="00CF7B95"/>
    <w:rsid w:val="00CF7BA8"/>
    <w:rsid w:val="00CF7BB2"/>
    <w:rsid w:val="00CF7BF5"/>
    <w:rsid w:val="00CF7C43"/>
    <w:rsid w:val="00CF7C61"/>
    <w:rsid w:val="00CF7C8A"/>
    <w:rsid w:val="00CF7C8C"/>
    <w:rsid w:val="00CF7CCC"/>
    <w:rsid w:val="00CF7CF8"/>
    <w:rsid w:val="00CF7D29"/>
    <w:rsid w:val="00CF7D42"/>
    <w:rsid w:val="00CF7D99"/>
    <w:rsid w:val="00CF7DBA"/>
    <w:rsid w:val="00CF7DF1"/>
    <w:rsid w:val="00CF7DF5"/>
    <w:rsid w:val="00CF7E31"/>
    <w:rsid w:val="00CF7E3F"/>
    <w:rsid w:val="00CF7E5F"/>
    <w:rsid w:val="00CF7E8B"/>
    <w:rsid w:val="00CF7EB1"/>
    <w:rsid w:val="00CF7EC6"/>
    <w:rsid w:val="00CF7EF1"/>
    <w:rsid w:val="00CF7EF9"/>
    <w:rsid w:val="00CF7F0A"/>
    <w:rsid w:val="00CF7F0C"/>
    <w:rsid w:val="00CF7F14"/>
    <w:rsid w:val="00CF7F1E"/>
    <w:rsid w:val="00CF7F5C"/>
    <w:rsid w:val="00CF7F60"/>
    <w:rsid w:val="00CF7F68"/>
    <w:rsid w:val="00CF7FA8"/>
    <w:rsid w:val="00CF7FAB"/>
    <w:rsid w:val="00CF7FB8"/>
    <w:rsid w:val="00D00002"/>
    <w:rsid w:val="00D000A0"/>
    <w:rsid w:val="00D000EB"/>
    <w:rsid w:val="00D00107"/>
    <w:rsid w:val="00D00219"/>
    <w:rsid w:val="00D0025C"/>
    <w:rsid w:val="00D00278"/>
    <w:rsid w:val="00D00280"/>
    <w:rsid w:val="00D00297"/>
    <w:rsid w:val="00D0029C"/>
    <w:rsid w:val="00D002C5"/>
    <w:rsid w:val="00D002D6"/>
    <w:rsid w:val="00D002E2"/>
    <w:rsid w:val="00D0034E"/>
    <w:rsid w:val="00D00353"/>
    <w:rsid w:val="00D00364"/>
    <w:rsid w:val="00D00387"/>
    <w:rsid w:val="00D003B3"/>
    <w:rsid w:val="00D003C5"/>
    <w:rsid w:val="00D003F7"/>
    <w:rsid w:val="00D00419"/>
    <w:rsid w:val="00D00440"/>
    <w:rsid w:val="00D00444"/>
    <w:rsid w:val="00D00485"/>
    <w:rsid w:val="00D004AB"/>
    <w:rsid w:val="00D004AC"/>
    <w:rsid w:val="00D004ED"/>
    <w:rsid w:val="00D004EF"/>
    <w:rsid w:val="00D0050F"/>
    <w:rsid w:val="00D00520"/>
    <w:rsid w:val="00D00536"/>
    <w:rsid w:val="00D0053E"/>
    <w:rsid w:val="00D00557"/>
    <w:rsid w:val="00D0055A"/>
    <w:rsid w:val="00D00577"/>
    <w:rsid w:val="00D005DD"/>
    <w:rsid w:val="00D005F6"/>
    <w:rsid w:val="00D00630"/>
    <w:rsid w:val="00D0063C"/>
    <w:rsid w:val="00D00664"/>
    <w:rsid w:val="00D0067C"/>
    <w:rsid w:val="00D00697"/>
    <w:rsid w:val="00D006D3"/>
    <w:rsid w:val="00D006E5"/>
    <w:rsid w:val="00D006ED"/>
    <w:rsid w:val="00D00705"/>
    <w:rsid w:val="00D0071D"/>
    <w:rsid w:val="00D0075C"/>
    <w:rsid w:val="00D007A7"/>
    <w:rsid w:val="00D007C9"/>
    <w:rsid w:val="00D007D0"/>
    <w:rsid w:val="00D00840"/>
    <w:rsid w:val="00D00847"/>
    <w:rsid w:val="00D00876"/>
    <w:rsid w:val="00D008EA"/>
    <w:rsid w:val="00D008F0"/>
    <w:rsid w:val="00D00931"/>
    <w:rsid w:val="00D0098A"/>
    <w:rsid w:val="00D00993"/>
    <w:rsid w:val="00D00994"/>
    <w:rsid w:val="00D00999"/>
    <w:rsid w:val="00D009D1"/>
    <w:rsid w:val="00D00A1D"/>
    <w:rsid w:val="00D00AA7"/>
    <w:rsid w:val="00D00B0F"/>
    <w:rsid w:val="00D00BA3"/>
    <w:rsid w:val="00D00BA7"/>
    <w:rsid w:val="00D00C12"/>
    <w:rsid w:val="00D00C15"/>
    <w:rsid w:val="00D00C21"/>
    <w:rsid w:val="00D00C38"/>
    <w:rsid w:val="00D00C3E"/>
    <w:rsid w:val="00D00C9D"/>
    <w:rsid w:val="00D00CCB"/>
    <w:rsid w:val="00D00CCD"/>
    <w:rsid w:val="00D00D02"/>
    <w:rsid w:val="00D00D28"/>
    <w:rsid w:val="00D00D5E"/>
    <w:rsid w:val="00D00D91"/>
    <w:rsid w:val="00D00DAE"/>
    <w:rsid w:val="00D00E63"/>
    <w:rsid w:val="00D00E7D"/>
    <w:rsid w:val="00D00E94"/>
    <w:rsid w:val="00D00EC1"/>
    <w:rsid w:val="00D00EE5"/>
    <w:rsid w:val="00D00EF3"/>
    <w:rsid w:val="00D00F0C"/>
    <w:rsid w:val="00D01010"/>
    <w:rsid w:val="00D01022"/>
    <w:rsid w:val="00D0105B"/>
    <w:rsid w:val="00D01090"/>
    <w:rsid w:val="00D010AA"/>
    <w:rsid w:val="00D010CD"/>
    <w:rsid w:val="00D01180"/>
    <w:rsid w:val="00D01193"/>
    <w:rsid w:val="00D011B1"/>
    <w:rsid w:val="00D011B2"/>
    <w:rsid w:val="00D0123C"/>
    <w:rsid w:val="00D0126E"/>
    <w:rsid w:val="00D012B9"/>
    <w:rsid w:val="00D012DC"/>
    <w:rsid w:val="00D01309"/>
    <w:rsid w:val="00D01339"/>
    <w:rsid w:val="00D0133E"/>
    <w:rsid w:val="00D01347"/>
    <w:rsid w:val="00D01360"/>
    <w:rsid w:val="00D01365"/>
    <w:rsid w:val="00D013A0"/>
    <w:rsid w:val="00D013A8"/>
    <w:rsid w:val="00D013AD"/>
    <w:rsid w:val="00D013B3"/>
    <w:rsid w:val="00D013FC"/>
    <w:rsid w:val="00D01424"/>
    <w:rsid w:val="00D0146B"/>
    <w:rsid w:val="00D01484"/>
    <w:rsid w:val="00D014A6"/>
    <w:rsid w:val="00D014C5"/>
    <w:rsid w:val="00D014D4"/>
    <w:rsid w:val="00D014D7"/>
    <w:rsid w:val="00D01508"/>
    <w:rsid w:val="00D01521"/>
    <w:rsid w:val="00D01522"/>
    <w:rsid w:val="00D0153C"/>
    <w:rsid w:val="00D01546"/>
    <w:rsid w:val="00D0156F"/>
    <w:rsid w:val="00D01579"/>
    <w:rsid w:val="00D01591"/>
    <w:rsid w:val="00D01597"/>
    <w:rsid w:val="00D015B9"/>
    <w:rsid w:val="00D015D4"/>
    <w:rsid w:val="00D015E1"/>
    <w:rsid w:val="00D01607"/>
    <w:rsid w:val="00D01639"/>
    <w:rsid w:val="00D0166A"/>
    <w:rsid w:val="00D01682"/>
    <w:rsid w:val="00D016F4"/>
    <w:rsid w:val="00D01729"/>
    <w:rsid w:val="00D0176E"/>
    <w:rsid w:val="00D017D2"/>
    <w:rsid w:val="00D0182C"/>
    <w:rsid w:val="00D0185B"/>
    <w:rsid w:val="00D01867"/>
    <w:rsid w:val="00D018A7"/>
    <w:rsid w:val="00D018D1"/>
    <w:rsid w:val="00D018D7"/>
    <w:rsid w:val="00D0193A"/>
    <w:rsid w:val="00D0195D"/>
    <w:rsid w:val="00D01994"/>
    <w:rsid w:val="00D01A12"/>
    <w:rsid w:val="00D01A6B"/>
    <w:rsid w:val="00D01A85"/>
    <w:rsid w:val="00D01A93"/>
    <w:rsid w:val="00D01AA6"/>
    <w:rsid w:val="00D01ABD"/>
    <w:rsid w:val="00D01AC0"/>
    <w:rsid w:val="00D01ACE"/>
    <w:rsid w:val="00D01AE8"/>
    <w:rsid w:val="00D01AF9"/>
    <w:rsid w:val="00D01B63"/>
    <w:rsid w:val="00D01BCF"/>
    <w:rsid w:val="00D01BEF"/>
    <w:rsid w:val="00D01C0A"/>
    <w:rsid w:val="00D01C22"/>
    <w:rsid w:val="00D01C5D"/>
    <w:rsid w:val="00D01C7B"/>
    <w:rsid w:val="00D01C7E"/>
    <w:rsid w:val="00D01CB9"/>
    <w:rsid w:val="00D01CE7"/>
    <w:rsid w:val="00D01D2B"/>
    <w:rsid w:val="00D01D2E"/>
    <w:rsid w:val="00D01D60"/>
    <w:rsid w:val="00D01D65"/>
    <w:rsid w:val="00D01D69"/>
    <w:rsid w:val="00D01DD9"/>
    <w:rsid w:val="00D01DED"/>
    <w:rsid w:val="00D01E37"/>
    <w:rsid w:val="00D01E3E"/>
    <w:rsid w:val="00D01E43"/>
    <w:rsid w:val="00D01E6C"/>
    <w:rsid w:val="00D01E6F"/>
    <w:rsid w:val="00D01E73"/>
    <w:rsid w:val="00D01EAD"/>
    <w:rsid w:val="00D01EB8"/>
    <w:rsid w:val="00D01F14"/>
    <w:rsid w:val="00D01F1C"/>
    <w:rsid w:val="00D01F2A"/>
    <w:rsid w:val="00D01F3C"/>
    <w:rsid w:val="00D01FA4"/>
    <w:rsid w:val="00D01FCC"/>
    <w:rsid w:val="00D01FCE"/>
    <w:rsid w:val="00D01FD7"/>
    <w:rsid w:val="00D02059"/>
    <w:rsid w:val="00D02087"/>
    <w:rsid w:val="00D020DD"/>
    <w:rsid w:val="00D02107"/>
    <w:rsid w:val="00D02121"/>
    <w:rsid w:val="00D0213E"/>
    <w:rsid w:val="00D02149"/>
    <w:rsid w:val="00D02193"/>
    <w:rsid w:val="00D021A5"/>
    <w:rsid w:val="00D021AE"/>
    <w:rsid w:val="00D021E6"/>
    <w:rsid w:val="00D02263"/>
    <w:rsid w:val="00D0227D"/>
    <w:rsid w:val="00D022A0"/>
    <w:rsid w:val="00D022D3"/>
    <w:rsid w:val="00D022E0"/>
    <w:rsid w:val="00D022E8"/>
    <w:rsid w:val="00D022EE"/>
    <w:rsid w:val="00D0230B"/>
    <w:rsid w:val="00D02349"/>
    <w:rsid w:val="00D0235E"/>
    <w:rsid w:val="00D0235F"/>
    <w:rsid w:val="00D0239F"/>
    <w:rsid w:val="00D023A9"/>
    <w:rsid w:val="00D023C9"/>
    <w:rsid w:val="00D023EB"/>
    <w:rsid w:val="00D0240B"/>
    <w:rsid w:val="00D02427"/>
    <w:rsid w:val="00D0243C"/>
    <w:rsid w:val="00D0246D"/>
    <w:rsid w:val="00D024A9"/>
    <w:rsid w:val="00D024B2"/>
    <w:rsid w:val="00D024B7"/>
    <w:rsid w:val="00D0251E"/>
    <w:rsid w:val="00D0252B"/>
    <w:rsid w:val="00D025B7"/>
    <w:rsid w:val="00D025C1"/>
    <w:rsid w:val="00D0261A"/>
    <w:rsid w:val="00D0261F"/>
    <w:rsid w:val="00D0264C"/>
    <w:rsid w:val="00D0264E"/>
    <w:rsid w:val="00D02683"/>
    <w:rsid w:val="00D0268C"/>
    <w:rsid w:val="00D0268F"/>
    <w:rsid w:val="00D026B4"/>
    <w:rsid w:val="00D0270C"/>
    <w:rsid w:val="00D0271F"/>
    <w:rsid w:val="00D02739"/>
    <w:rsid w:val="00D0275F"/>
    <w:rsid w:val="00D02762"/>
    <w:rsid w:val="00D02766"/>
    <w:rsid w:val="00D02782"/>
    <w:rsid w:val="00D027CD"/>
    <w:rsid w:val="00D028AB"/>
    <w:rsid w:val="00D028C4"/>
    <w:rsid w:val="00D028FB"/>
    <w:rsid w:val="00D02917"/>
    <w:rsid w:val="00D0292C"/>
    <w:rsid w:val="00D02937"/>
    <w:rsid w:val="00D02997"/>
    <w:rsid w:val="00D029D5"/>
    <w:rsid w:val="00D02AEA"/>
    <w:rsid w:val="00D02B2E"/>
    <w:rsid w:val="00D02B31"/>
    <w:rsid w:val="00D02B34"/>
    <w:rsid w:val="00D02B3A"/>
    <w:rsid w:val="00D02B5B"/>
    <w:rsid w:val="00D02B63"/>
    <w:rsid w:val="00D02B69"/>
    <w:rsid w:val="00D02B7A"/>
    <w:rsid w:val="00D02BA5"/>
    <w:rsid w:val="00D02BC4"/>
    <w:rsid w:val="00D02BCC"/>
    <w:rsid w:val="00D02BEB"/>
    <w:rsid w:val="00D02C45"/>
    <w:rsid w:val="00D02C47"/>
    <w:rsid w:val="00D02C48"/>
    <w:rsid w:val="00D02C5A"/>
    <w:rsid w:val="00D02C65"/>
    <w:rsid w:val="00D02C96"/>
    <w:rsid w:val="00D02C9A"/>
    <w:rsid w:val="00D02CC0"/>
    <w:rsid w:val="00D02CFB"/>
    <w:rsid w:val="00D02D26"/>
    <w:rsid w:val="00D02D4B"/>
    <w:rsid w:val="00D02D58"/>
    <w:rsid w:val="00D02D77"/>
    <w:rsid w:val="00D02D92"/>
    <w:rsid w:val="00D02DFA"/>
    <w:rsid w:val="00D02E10"/>
    <w:rsid w:val="00D02E1B"/>
    <w:rsid w:val="00D02E21"/>
    <w:rsid w:val="00D02E3C"/>
    <w:rsid w:val="00D02E70"/>
    <w:rsid w:val="00D02E9D"/>
    <w:rsid w:val="00D02ECD"/>
    <w:rsid w:val="00D02EE0"/>
    <w:rsid w:val="00D02F03"/>
    <w:rsid w:val="00D02F1A"/>
    <w:rsid w:val="00D02F8E"/>
    <w:rsid w:val="00D02FA3"/>
    <w:rsid w:val="00D02FCB"/>
    <w:rsid w:val="00D02FDC"/>
    <w:rsid w:val="00D03009"/>
    <w:rsid w:val="00D03026"/>
    <w:rsid w:val="00D030E5"/>
    <w:rsid w:val="00D030F8"/>
    <w:rsid w:val="00D030FA"/>
    <w:rsid w:val="00D0310D"/>
    <w:rsid w:val="00D03124"/>
    <w:rsid w:val="00D03183"/>
    <w:rsid w:val="00D031AC"/>
    <w:rsid w:val="00D031CA"/>
    <w:rsid w:val="00D03206"/>
    <w:rsid w:val="00D03252"/>
    <w:rsid w:val="00D03378"/>
    <w:rsid w:val="00D03519"/>
    <w:rsid w:val="00D03562"/>
    <w:rsid w:val="00D0357E"/>
    <w:rsid w:val="00D035B4"/>
    <w:rsid w:val="00D035BE"/>
    <w:rsid w:val="00D0360C"/>
    <w:rsid w:val="00D0362A"/>
    <w:rsid w:val="00D03631"/>
    <w:rsid w:val="00D0363F"/>
    <w:rsid w:val="00D0364C"/>
    <w:rsid w:val="00D0365A"/>
    <w:rsid w:val="00D0367C"/>
    <w:rsid w:val="00D0368A"/>
    <w:rsid w:val="00D0370A"/>
    <w:rsid w:val="00D03780"/>
    <w:rsid w:val="00D037B7"/>
    <w:rsid w:val="00D037C0"/>
    <w:rsid w:val="00D037C8"/>
    <w:rsid w:val="00D037CB"/>
    <w:rsid w:val="00D037DC"/>
    <w:rsid w:val="00D037F7"/>
    <w:rsid w:val="00D0380A"/>
    <w:rsid w:val="00D03812"/>
    <w:rsid w:val="00D0382A"/>
    <w:rsid w:val="00D03880"/>
    <w:rsid w:val="00D03891"/>
    <w:rsid w:val="00D038B6"/>
    <w:rsid w:val="00D038D1"/>
    <w:rsid w:val="00D038F1"/>
    <w:rsid w:val="00D03925"/>
    <w:rsid w:val="00D0395B"/>
    <w:rsid w:val="00D03965"/>
    <w:rsid w:val="00D03971"/>
    <w:rsid w:val="00D039AC"/>
    <w:rsid w:val="00D039D2"/>
    <w:rsid w:val="00D039F6"/>
    <w:rsid w:val="00D03A1A"/>
    <w:rsid w:val="00D03A1E"/>
    <w:rsid w:val="00D03A2B"/>
    <w:rsid w:val="00D03A38"/>
    <w:rsid w:val="00D03A8C"/>
    <w:rsid w:val="00D03AAB"/>
    <w:rsid w:val="00D03ABC"/>
    <w:rsid w:val="00D03AE5"/>
    <w:rsid w:val="00D03B00"/>
    <w:rsid w:val="00D03B08"/>
    <w:rsid w:val="00D03B0E"/>
    <w:rsid w:val="00D03B29"/>
    <w:rsid w:val="00D03B32"/>
    <w:rsid w:val="00D03B50"/>
    <w:rsid w:val="00D03B77"/>
    <w:rsid w:val="00D03B85"/>
    <w:rsid w:val="00D03BB2"/>
    <w:rsid w:val="00D03C64"/>
    <w:rsid w:val="00D03C96"/>
    <w:rsid w:val="00D03CB6"/>
    <w:rsid w:val="00D03CBF"/>
    <w:rsid w:val="00D03D1F"/>
    <w:rsid w:val="00D03D36"/>
    <w:rsid w:val="00D03D39"/>
    <w:rsid w:val="00D03D46"/>
    <w:rsid w:val="00D03D82"/>
    <w:rsid w:val="00D03DA1"/>
    <w:rsid w:val="00D03DD4"/>
    <w:rsid w:val="00D03DF3"/>
    <w:rsid w:val="00D03E0A"/>
    <w:rsid w:val="00D03E4D"/>
    <w:rsid w:val="00D03E56"/>
    <w:rsid w:val="00D03E8A"/>
    <w:rsid w:val="00D03ECE"/>
    <w:rsid w:val="00D03EED"/>
    <w:rsid w:val="00D03F03"/>
    <w:rsid w:val="00D03F17"/>
    <w:rsid w:val="00D03F1A"/>
    <w:rsid w:val="00D03F43"/>
    <w:rsid w:val="00D03F51"/>
    <w:rsid w:val="00D03F54"/>
    <w:rsid w:val="00D03F62"/>
    <w:rsid w:val="00D03FB1"/>
    <w:rsid w:val="00D03FB6"/>
    <w:rsid w:val="00D03FBF"/>
    <w:rsid w:val="00D04074"/>
    <w:rsid w:val="00D040BB"/>
    <w:rsid w:val="00D040BD"/>
    <w:rsid w:val="00D040BF"/>
    <w:rsid w:val="00D04104"/>
    <w:rsid w:val="00D0411E"/>
    <w:rsid w:val="00D04146"/>
    <w:rsid w:val="00D04151"/>
    <w:rsid w:val="00D04152"/>
    <w:rsid w:val="00D04199"/>
    <w:rsid w:val="00D0419E"/>
    <w:rsid w:val="00D041B3"/>
    <w:rsid w:val="00D041D8"/>
    <w:rsid w:val="00D041EC"/>
    <w:rsid w:val="00D041EE"/>
    <w:rsid w:val="00D041FD"/>
    <w:rsid w:val="00D041FF"/>
    <w:rsid w:val="00D0420E"/>
    <w:rsid w:val="00D04213"/>
    <w:rsid w:val="00D0421C"/>
    <w:rsid w:val="00D04269"/>
    <w:rsid w:val="00D0427B"/>
    <w:rsid w:val="00D04280"/>
    <w:rsid w:val="00D04285"/>
    <w:rsid w:val="00D0430B"/>
    <w:rsid w:val="00D0432E"/>
    <w:rsid w:val="00D043A0"/>
    <w:rsid w:val="00D043D5"/>
    <w:rsid w:val="00D043F8"/>
    <w:rsid w:val="00D04408"/>
    <w:rsid w:val="00D0443B"/>
    <w:rsid w:val="00D044C6"/>
    <w:rsid w:val="00D044C7"/>
    <w:rsid w:val="00D044F0"/>
    <w:rsid w:val="00D044FF"/>
    <w:rsid w:val="00D04506"/>
    <w:rsid w:val="00D0453F"/>
    <w:rsid w:val="00D0455E"/>
    <w:rsid w:val="00D0456A"/>
    <w:rsid w:val="00D04587"/>
    <w:rsid w:val="00D0458B"/>
    <w:rsid w:val="00D0459A"/>
    <w:rsid w:val="00D0459C"/>
    <w:rsid w:val="00D045BB"/>
    <w:rsid w:val="00D045C0"/>
    <w:rsid w:val="00D045E3"/>
    <w:rsid w:val="00D0465A"/>
    <w:rsid w:val="00D04687"/>
    <w:rsid w:val="00D04689"/>
    <w:rsid w:val="00D046C8"/>
    <w:rsid w:val="00D046D8"/>
    <w:rsid w:val="00D046EA"/>
    <w:rsid w:val="00D046EB"/>
    <w:rsid w:val="00D047A5"/>
    <w:rsid w:val="00D047E4"/>
    <w:rsid w:val="00D04824"/>
    <w:rsid w:val="00D04850"/>
    <w:rsid w:val="00D048B6"/>
    <w:rsid w:val="00D0490B"/>
    <w:rsid w:val="00D04953"/>
    <w:rsid w:val="00D04989"/>
    <w:rsid w:val="00D049E0"/>
    <w:rsid w:val="00D049EF"/>
    <w:rsid w:val="00D049F4"/>
    <w:rsid w:val="00D04A57"/>
    <w:rsid w:val="00D04A5F"/>
    <w:rsid w:val="00D04AEF"/>
    <w:rsid w:val="00D04AF9"/>
    <w:rsid w:val="00D04B1E"/>
    <w:rsid w:val="00D04B23"/>
    <w:rsid w:val="00D04B25"/>
    <w:rsid w:val="00D04B4F"/>
    <w:rsid w:val="00D04B70"/>
    <w:rsid w:val="00D04B9C"/>
    <w:rsid w:val="00D04BAE"/>
    <w:rsid w:val="00D04BB0"/>
    <w:rsid w:val="00D04BC6"/>
    <w:rsid w:val="00D04C5A"/>
    <w:rsid w:val="00D04CC0"/>
    <w:rsid w:val="00D04CCC"/>
    <w:rsid w:val="00D04CF8"/>
    <w:rsid w:val="00D04D82"/>
    <w:rsid w:val="00D04E2A"/>
    <w:rsid w:val="00D04E65"/>
    <w:rsid w:val="00D04E95"/>
    <w:rsid w:val="00D04E9C"/>
    <w:rsid w:val="00D04ECC"/>
    <w:rsid w:val="00D04ED8"/>
    <w:rsid w:val="00D04EEC"/>
    <w:rsid w:val="00D04EF2"/>
    <w:rsid w:val="00D04F09"/>
    <w:rsid w:val="00D04F43"/>
    <w:rsid w:val="00D04F4F"/>
    <w:rsid w:val="00D04FEB"/>
    <w:rsid w:val="00D0501E"/>
    <w:rsid w:val="00D05055"/>
    <w:rsid w:val="00D050CD"/>
    <w:rsid w:val="00D05142"/>
    <w:rsid w:val="00D05168"/>
    <w:rsid w:val="00D051B0"/>
    <w:rsid w:val="00D051B1"/>
    <w:rsid w:val="00D05201"/>
    <w:rsid w:val="00D05244"/>
    <w:rsid w:val="00D0524B"/>
    <w:rsid w:val="00D0526E"/>
    <w:rsid w:val="00D0527B"/>
    <w:rsid w:val="00D052BB"/>
    <w:rsid w:val="00D052CC"/>
    <w:rsid w:val="00D052D4"/>
    <w:rsid w:val="00D052EA"/>
    <w:rsid w:val="00D052F4"/>
    <w:rsid w:val="00D0530B"/>
    <w:rsid w:val="00D05313"/>
    <w:rsid w:val="00D0533E"/>
    <w:rsid w:val="00D05346"/>
    <w:rsid w:val="00D05395"/>
    <w:rsid w:val="00D053BC"/>
    <w:rsid w:val="00D053BE"/>
    <w:rsid w:val="00D053CE"/>
    <w:rsid w:val="00D05401"/>
    <w:rsid w:val="00D0541A"/>
    <w:rsid w:val="00D05426"/>
    <w:rsid w:val="00D0542C"/>
    <w:rsid w:val="00D05443"/>
    <w:rsid w:val="00D05466"/>
    <w:rsid w:val="00D0546B"/>
    <w:rsid w:val="00D0546E"/>
    <w:rsid w:val="00D05474"/>
    <w:rsid w:val="00D05496"/>
    <w:rsid w:val="00D0549C"/>
    <w:rsid w:val="00D054A4"/>
    <w:rsid w:val="00D054EC"/>
    <w:rsid w:val="00D0550F"/>
    <w:rsid w:val="00D05516"/>
    <w:rsid w:val="00D0554D"/>
    <w:rsid w:val="00D0555B"/>
    <w:rsid w:val="00D055A1"/>
    <w:rsid w:val="00D055F7"/>
    <w:rsid w:val="00D05606"/>
    <w:rsid w:val="00D0560A"/>
    <w:rsid w:val="00D05643"/>
    <w:rsid w:val="00D056BE"/>
    <w:rsid w:val="00D056BF"/>
    <w:rsid w:val="00D05702"/>
    <w:rsid w:val="00D05716"/>
    <w:rsid w:val="00D0571F"/>
    <w:rsid w:val="00D0572D"/>
    <w:rsid w:val="00D05779"/>
    <w:rsid w:val="00D0579E"/>
    <w:rsid w:val="00D057B1"/>
    <w:rsid w:val="00D057EE"/>
    <w:rsid w:val="00D058CF"/>
    <w:rsid w:val="00D058D0"/>
    <w:rsid w:val="00D058E4"/>
    <w:rsid w:val="00D05906"/>
    <w:rsid w:val="00D0591D"/>
    <w:rsid w:val="00D0591F"/>
    <w:rsid w:val="00D05948"/>
    <w:rsid w:val="00D0597A"/>
    <w:rsid w:val="00D05980"/>
    <w:rsid w:val="00D0598C"/>
    <w:rsid w:val="00D05998"/>
    <w:rsid w:val="00D059B3"/>
    <w:rsid w:val="00D059D4"/>
    <w:rsid w:val="00D059DE"/>
    <w:rsid w:val="00D059DF"/>
    <w:rsid w:val="00D05A6B"/>
    <w:rsid w:val="00D05A7C"/>
    <w:rsid w:val="00D05AF8"/>
    <w:rsid w:val="00D05B60"/>
    <w:rsid w:val="00D05B65"/>
    <w:rsid w:val="00D05B70"/>
    <w:rsid w:val="00D05B80"/>
    <w:rsid w:val="00D05BC2"/>
    <w:rsid w:val="00D05BCA"/>
    <w:rsid w:val="00D05BFF"/>
    <w:rsid w:val="00D05C1B"/>
    <w:rsid w:val="00D05C29"/>
    <w:rsid w:val="00D05C4D"/>
    <w:rsid w:val="00D05C61"/>
    <w:rsid w:val="00D05C6A"/>
    <w:rsid w:val="00D05C7B"/>
    <w:rsid w:val="00D05C8C"/>
    <w:rsid w:val="00D05C94"/>
    <w:rsid w:val="00D05CDA"/>
    <w:rsid w:val="00D05D26"/>
    <w:rsid w:val="00D05D89"/>
    <w:rsid w:val="00D05D8C"/>
    <w:rsid w:val="00D05DFC"/>
    <w:rsid w:val="00D05E25"/>
    <w:rsid w:val="00D05E50"/>
    <w:rsid w:val="00D05E88"/>
    <w:rsid w:val="00D05E90"/>
    <w:rsid w:val="00D05E9B"/>
    <w:rsid w:val="00D05EBE"/>
    <w:rsid w:val="00D05F01"/>
    <w:rsid w:val="00D05F25"/>
    <w:rsid w:val="00D05F46"/>
    <w:rsid w:val="00D05FC4"/>
    <w:rsid w:val="00D05FFE"/>
    <w:rsid w:val="00D06035"/>
    <w:rsid w:val="00D0605F"/>
    <w:rsid w:val="00D06065"/>
    <w:rsid w:val="00D060DF"/>
    <w:rsid w:val="00D060F2"/>
    <w:rsid w:val="00D06118"/>
    <w:rsid w:val="00D0611C"/>
    <w:rsid w:val="00D06142"/>
    <w:rsid w:val="00D06144"/>
    <w:rsid w:val="00D0614D"/>
    <w:rsid w:val="00D0615C"/>
    <w:rsid w:val="00D06160"/>
    <w:rsid w:val="00D06198"/>
    <w:rsid w:val="00D061A0"/>
    <w:rsid w:val="00D061E4"/>
    <w:rsid w:val="00D061EB"/>
    <w:rsid w:val="00D06231"/>
    <w:rsid w:val="00D06244"/>
    <w:rsid w:val="00D06288"/>
    <w:rsid w:val="00D062AA"/>
    <w:rsid w:val="00D062E9"/>
    <w:rsid w:val="00D062EC"/>
    <w:rsid w:val="00D06369"/>
    <w:rsid w:val="00D06391"/>
    <w:rsid w:val="00D063D9"/>
    <w:rsid w:val="00D063E7"/>
    <w:rsid w:val="00D063F9"/>
    <w:rsid w:val="00D06404"/>
    <w:rsid w:val="00D0643B"/>
    <w:rsid w:val="00D06443"/>
    <w:rsid w:val="00D06467"/>
    <w:rsid w:val="00D06493"/>
    <w:rsid w:val="00D06497"/>
    <w:rsid w:val="00D064EA"/>
    <w:rsid w:val="00D064F3"/>
    <w:rsid w:val="00D06531"/>
    <w:rsid w:val="00D0655E"/>
    <w:rsid w:val="00D06565"/>
    <w:rsid w:val="00D06568"/>
    <w:rsid w:val="00D0660C"/>
    <w:rsid w:val="00D0661E"/>
    <w:rsid w:val="00D0662B"/>
    <w:rsid w:val="00D0663A"/>
    <w:rsid w:val="00D06645"/>
    <w:rsid w:val="00D0666D"/>
    <w:rsid w:val="00D066FE"/>
    <w:rsid w:val="00D06709"/>
    <w:rsid w:val="00D06747"/>
    <w:rsid w:val="00D0674E"/>
    <w:rsid w:val="00D06770"/>
    <w:rsid w:val="00D067AA"/>
    <w:rsid w:val="00D067D4"/>
    <w:rsid w:val="00D0683B"/>
    <w:rsid w:val="00D0685F"/>
    <w:rsid w:val="00D06861"/>
    <w:rsid w:val="00D06870"/>
    <w:rsid w:val="00D06897"/>
    <w:rsid w:val="00D068AD"/>
    <w:rsid w:val="00D06902"/>
    <w:rsid w:val="00D0692C"/>
    <w:rsid w:val="00D06943"/>
    <w:rsid w:val="00D069CE"/>
    <w:rsid w:val="00D069D8"/>
    <w:rsid w:val="00D06A27"/>
    <w:rsid w:val="00D06A29"/>
    <w:rsid w:val="00D06A31"/>
    <w:rsid w:val="00D06A36"/>
    <w:rsid w:val="00D06A3A"/>
    <w:rsid w:val="00D06A51"/>
    <w:rsid w:val="00D06AC5"/>
    <w:rsid w:val="00D06B11"/>
    <w:rsid w:val="00D06B16"/>
    <w:rsid w:val="00D06B31"/>
    <w:rsid w:val="00D06B3E"/>
    <w:rsid w:val="00D06B45"/>
    <w:rsid w:val="00D06BA2"/>
    <w:rsid w:val="00D06BDD"/>
    <w:rsid w:val="00D06CDE"/>
    <w:rsid w:val="00D06D13"/>
    <w:rsid w:val="00D06D26"/>
    <w:rsid w:val="00D06DA5"/>
    <w:rsid w:val="00D06E2C"/>
    <w:rsid w:val="00D06E35"/>
    <w:rsid w:val="00D06F15"/>
    <w:rsid w:val="00D06F38"/>
    <w:rsid w:val="00D06F6F"/>
    <w:rsid w:val="00D06FC5"/>
    <w:rsid w:val="00D06FD5"/>
    <w:rsid w:val="00D06FD8"/>
    <w:rsid w:val="00D07015"/>
    <w:rsid w:val="00D0706F"/>
    <w:rsid w:val="00D07070"/>
    <w:rsid w:val="00D07097"/>
    <w:rsid w:val="00D070A5"/>
    <w:rsid w:val="00D070C4"/>
    <w:rsid w:val="00D070CC"/>
    <w:rsid w:val="00D070CD"/>
    <w:rsid w:val="00D070CF"/>
    <w:rsid w:val="00D070E0"/>
    <w:rsid w:val="00D07121"/>
    <w:rsid w:val="00D0719F"/>
    <w:rsid w:val="00D071A7"/>
    <w:rsid w:val="00D071AB"/>
    <w:rsid w:val="00D071BC"/>
    <w:rsid w:val="00D071F6"/>
    <w:rsid w:val="00D07207"/>
    <w:rsid w:val="00D0720A"/>
    <w:rsid w:val="00D0720E"/>
    <w:rsid w:val="00D07225"/>
    <w:rsid w:val="00D07228"/>
    <w:rsid w:val="00D0728B"/>
    <w:rsid w:val="00D072CD"/>
    <w:rsid w:val="00D072E2"/>
    <w:rsid w:val="00D0731D"/>
    <w:rsid w:val="00D0734D"/>
    <w:rsid w:val="00D0739E"/>
    <w:rsid w:val="00D073BA"/>
    <w:rsid w:val="00D073CC"/>
    <w:rsid w:val="00D073DB"/>
    <w:rsid w:val="00D073EC"/>
    <w:rsid w:val="00D07406"/>
    <w:rsid w:val="00D07413"/>
    <w:rsid w:val="00D0746D"/>
    <w:rsid w:val="00D074BD"/>
    <w:rsid w:val="00D074F4"/>
    <w:rsid w:val="00D074F6"/>
    <w:rsid w:val="00D07517"/>
    <w:rsid w:val="00D07552"/>
    <w:rsid w:val="00D075A2"/>
    <w:rsid w:val="00D075D5"/>
    <w:rsid w:val="00D075FD"/>
    <w:rsid w:val="00D07614"/>
    <w:rsid w:val="00D07619"/>
    <w:rsid w:val="00D0761B"/>
    <w:rsid w:val="00D07644"/>
    <w:rsid w:val="00D07675"/>
    <w:rsid w:val="00D076A5"/>
    <w:rsid w:val="00D076F2"/>
    <w:rsid w:val="00D0772A"/>
    <w:rsid w:val="00D07766"/>
    <w:rsid w:val="00D077F0"/>
    <w:rsid w:val="00D07816"/>
    <w:rsid w:val="00D0782E"/>
    <w:rsid w:val="00D07880"/>
    <w:rsid w:val="00D078C9"/>
    <w:rsid w:val="00D078E2"/>
    <w:rsid w:val="00D078F7"/>
    <w:rsid w:val="00D07916"/>
    <w:rsid w:val="00D07966"/>
    <w:rsid w:val="00D0798B"/>
    <w:rsid w:val="00D079C8"/>
    <w:rsid w:val="00D079EF"/>
    <w:rsid w:val="00D07A0D"/>
    <w:rsid w:val="00D07A25"/>
    <w:rsid w:val="00D07A34"/>
    <w:rsid w:val="00D07A3C"/>
    <w:rsid w:val="00D07A57"/>
    <w:rsid w:val="00D07A88"/>
    <w:rsid w:val="00D07A8A"/>
    <w:rsid w:val="00D07ABA"/>
    <w:rsid w:val="00D07AD8"/>
    <w:rsid w:val="00D07B03"/>
    <w:rsid w:val="00D07B32"/>
    <w:rsid w:val="00D07B42"/>
    <w:rsid w:val="00D07B4E"/>
    <w:rsid w:val="00D07B62"/>
    <w:rsid w:val="00D07B81"/>
    <w:rsid w:val="00D07B91"/>
    <w:rsid w:val="00D07BA1"/>
    <w:rsid w:val="00D07BA5"/>
    <w:rsid w:val="00D07BD3"/>
    <w:rsid w:val="00D07BF1"/>
    <w:rsid w:val="00D07C1B"/>
    <w:rsid w:val="00D07C44"/>
    <w:rsid w:val="00D07C9B"/>
    <w:rsid w:val="00D07CC5"/>
    <w:rsid w:val="00D07CED"/>
    <w:rsid w:val="00D07D05"/>
    <w:rsid w:val="00D07D97"/>
    <w:rsid w:val="00D07DA1"/>
    <w:rsid w:val="00D07E4D"/>
    <w:rsid w:val="00D07E53"/>
    <w:rsid w:val="00D07E5B"/>
    <w:rsid w:val="00D07E96"/>
    <w:rsid w:val="00D07EA1"/>
    <w:rsid w:val="00D07EC5"/>
    <w:rsid w:val="00D07F2F"/>
    <w:rsid w:val="00D07F32"/>
    <w:rsid w:val="00D07F8F"/>
    <w:rsid w:val="00D07FA9"/>
    <w:rsid w:val="00D07FCE"/>
    <w:rsid w:val="00D07FDA"/>
    <w:rsid w:val="00D07FF3"/>
    <w:rsid w:val="00D07FF8"/>
    <w:rsid w:val="00D10016"/>
    <w:rsid w:val="00D10056"/>
    <w:rsid w:val="00D1006C"/>
    <w:rsid w:val="00D10095"/>
    <w:rsid w:val="00D100D6"/>
    <w:rsid w:val="00D10106"/>
    <w:rsid w:val="00D10161"/>
    <w:rsid w:val="00D10184"/>
    <w:rsid w:val="00D101C6"/>
    <w:rsid w:val="00D101D8"/>
    <w:rsid w:val="00D101F2"/>
    <w:rsid w:val="00D10273"/>
    <w:rsid w:val="00D10282"/>
    <w:rsid w:val="00D1028B"/>
    <w:rsid w:val="00D102AB"/>
    <w:rsid w:val="00D102BE"/>
    <w:rsid w:val="00D102C8"/>
    <w:rsid w:val="00D102EC"/>
    <w:rsid w:val="00D10317"/>
    <w:rsid w:val="00D10336"/>
    <w:rsid w:val="00D1034E"/>
    <w:rsid w:val="00D10379"/>
    <w:rsid w:val="00D103B7"/>
    <w:rsid w:val="00D103F7"/>
    <w:rsid w:val="00D10408"/>
    <w:rsid w:val="00D10445"/>
    <w:rsid w:val="00D1044C"/>
    <w:rsid w:val="00D10456"/>
    <w:rsid w:val="00D1047F"/>
    <w:rsid w:val="00D104BD"/>
    <w:rsid w:val="00D10510"/>
    <w:rsid w:val="00D10514"/>
    <w:rsid w:val="00D10515"/>
    <w:rsid w:val="00D1059F"/>
    <w:rsid w:val="00D105C5"/>
    <w:rsid w:val="00D105D1"/>
    <w:rsid w:val="00D1061F"/>
    <w:rsid w:val="00D10627"/>
    <w:rsid w:val="00D106A4"/>
    <w:rsid w:val="00D106CE"/>
    <w:rsid w:val="00D106DA"/>
    <w:rsid w:val="00D10726"/>
    <w:rsid w:val="00D1073C"/>
    <w:rsid w:val="00D1074E"/>
    <w:rsid w:val="00D10780"/>
    <w:rsid w:val="00D10782"/>
    <w:rsid w:val="00D1078A"/>
    <w:rsid w:val="00D10794"/>
    <w:rsid w:val="00D107C3"/>
    <w:rsid w:val="00D107C5"/>
    <w:rsid w:val="00D10810"/>
    <w:rsid w:val="00D10811"/>
    <w:rsid w:val="00D10833"/>
    <w:rsid w:val="00D1087A"/>
    <w:rsid w:val="00D1088C"/>
    <w:rsid w:val="00D108B0"/>
    <w:rsid w:val="00D108B7"/>
    <w:rsid w:val="00D108C1"/>
    <w:rsid w:val="00D10909"/>
    <w:rsid w:val="00D1093B"/>
    <w:rsid w:val="00D1094E"/>
    <w:rsid w:val="00D10959"/>
    <w:rsid w:val="00D10982"/>
    <w:rsid w:val="00D10994"/>
    <w:rsid w:val="00D10995"/>
    <w:rsid w:val="00D1099C"/>
    <w:rsid w:val="00D109C8"/>
    <w:rsid w:val="00D109CA"/>
    <w:rsid w:val="00D109CD"/>
    <w:rsid w:val="00D109D6"/>
    <w:rsid w:val="00D10A10"/>
    <w:rsid w:val="00D10A21"/>
    <w:rsid w:val="00D10A71"/>
    <w:rsid w:val="00D10AA1"/>
    <w:rsid w:val="00D10AA3"/>
    <w:rsid w:val="00D10AB0"/>
    <w:rsid w:val="00D10B1D"/>
    <w:rsid w:val="00D10B43"/>
    <w:rsid w:val="00D10B93"/>
    <w:rsid w:val="00D10C08"/>
    <w:rsid w:val="00D10C45"/>
    <w:rsid w:val="00D10C50"/>
    <w:rsid w:val="00D10C53"/>
    <w:rsid w:val="00D10C67"/>
    <w:rsid w:val="00D10C69"/>
    <w:rsid w:val="00D10C80"/>
    <w:rsid w:val="00D10C94"/>
    <w:rsid w:val="00D10C97"/>
    <w:rsid w:val="00D10CC4"/>
    <w:rsid w:val="00D10CC6"/>
    <w:rsid w:val="00D10CE5"/>
    <w:rsid w:val="00D10CEF"/>
    <w:rsid w:val="00D10D17"/>
    <w:rsid w:val="00D10D1B"/>
    <w:rsid w:val="00D10D2E"/>
    <w:rsid w:val="00D10D87"/>
    <w:rsid w:val="00D10DC5"/>
    <w:rsid w:val="00D10DED"/>
    <w:rsid w:val="00D10E14"/>
    <w:rsid w:val="00D10E6C"/>
    <w:rsid w:val="00D10E83"/>
    <w:rsid w:val="00D10ED7"/>
    <w:rsid w:val="00D10EE2"/>
    <w:rsid w:val="00D10F26"/>
    <w:rsid w:val="00D10F6D"/>
    <w:rsid w:val="00D10F7D"/>
    <w:rsid w:val="00D10F8E"/>
    <w:rsid w:val="00D10F8F"/>
    <w:rsid w:val="00D10FD1"/>
    <w:rsid w:val="00D10FDD"/>
    <w:rsid w:val="00D11019"/>
    <w:rsid w:val="00D1101D"/>
    <w:rsid w:val="00D11038"/>
    <w:rsid w:val="00D1104F"/>
    <w:rsid w:val="00D1107A"/>
    <w:rsid w:val="00D1107B"/>
    <w:rsid w:val="00D1108A"/>
    <w:rsid w:val="00D110BC"/>
    <w:rsid w:val="00D110D4"/>
    <w:rsid w:val="00D110E5"/>
    <w:rsid w:val="00D110EB"/>
    <w:rsid w:val="00D11119"/>
    <w:rsid w:val="00D1116B"/>
    <w:rsid w:val="00D1116D"/>
    <w:rsid w:val="00D11170"/>
    <w:rsid w:val="00D111C3"/>
    <w:rsid w:val="00D111F3"/>
    <w:rsid w:val="00D111FC"/>
    <w:rsid w:val="00D11216"/>
    <w:rsid w:val="00D11232"/>
    <w:rsid w:val="00D11263"/>
    <w:rsid w:val="00D11274"/>
    <w:rsid w:val="00D11287"/>
    <w:rsid w:val="00D1129C"/>
    <w:rsid w:val="00D112C1"/>
    <w:rsid w:val="00D112D5"/>
    <w:rsid w:val="00D112F5"/>
    <w:rsid w:val="00D11325"/>
    <w:rsid w:val="00D1132B"/>
    <w:rsid w:val="00D11363"/>
    <w:rsid w:val="00D11365"/>
    <w:rsid w:val="00D11384"/>
    <w:rsid w:val="00D11388"/>
    <w:rsid w:val="00D11393"/>
    <w:rsid w:val="00D113A1"/>
    <w:rsid w:val="00D113D9"/>
    <w:rsid w:val="00D11431"/>
    <w:rsid w:val="00D11449"/>
    <w:rsid w:val="00D11467"/>
    <w:rsid w:val="00D1147C"/>
    <w:rsid w:val="00D114A1"/>
    <w:rsid w:val="00D114AA"/>
    <w:rsid w:val="00D114D3"/>
    <w:rsid w:val="00D114DE"/>
    <w:rsid w:val="00D114E2"/>
    <w:rsid w:val="00D11514"/>
    <w:rsid w:val="00D1151C"/>
    <w:rsid w:val="00D11529"/>
    <w:rsid w:val="00D11533"/>
    <w:rsid w:val="00D115DC"/>
    <w:rsid w:val="00D115DD"/>
    <w:rsid w:val="00D115DE"/>
    <w:rsid w:val="00D115E5"/>
    <w:rsid w:val="00D11614"/>
    <w:rsid w:val="00D1161C"/>
    <w:rsid w:val="00D11630"/>
    <w:rsid w:val="00D11642"/>
    <w:rsid w:val="00D11712"/>
    <w:rsid w:val="00D11738"/>
    <w:rsid w:val="00D1174D"/>
    <w:rsid w:val="00D117AA"/>
    <w:rsid w:val="00D11895"/>
    <w:rsid w:val="00D11898"/>
    <w:rsid w:val="00D118AF"/>
    <w:rsid w:val="00D118C1"/>
    <w:rsid w:val="00D118EA"/>
    <w:rsid w:val="00D1191F"/>
    <w:rsid w:val="00D11929"/>
    <w:rsid w:val="00D119BB"/>
    <w:rsid w:val="00D119C9"/>
    <w:rsid w:val="00D119D3"/>
    <w:rsid w:val="00D119D5"/>
    <w:rsid w:val="00D11A3D"/>
    <w:rsid w:val="00D11A48"/>
    <w:rsid w:val="00D11A76"/>
    <w:rsid w:val="00D11A85"/>
    <w:rsid w:val="00D11A9F"/>
    <w:rsid w:val="00D11ABE"/>
    <w:rsid w:val="00D11AC5"/>
    <w:rsid w:val="00D11AD1"/>
    <w:rsid w:val="00D11AE8"/>
    <w:rsid w:val="00D11B02"/>
    <w:rsid w:val="00D11C03"/>
    <w:rsid w:val="00D11C2C"/>
    <w:rsid w:val="00D11C48"/>
    <w:rsid w:val="00D11C84"/>
    <w:rsid w:val="00D11CB8"/>
    <w:rsid w:val="00D11CC4"/>
    <w:rsid w:val="00D11CF0"/>
    <w:rsid w:val="00D11D24"/>
    <w:rsid w:val="00D11D34"/>
    <w:rsid w:val="00D11D5C"/>
    <w:rsid w:val="00D11D62"/>
    <w:rsid w:val="00D11D6F"/>
    <w:rsid w:val="00D11DB7"/>
    <w:rsid w:val="00D11DD4"/>
    <w:rsid w:val="00D11DF1"/>
    <w:rsid w:val="00D11DF9"/>
    <w:rsid w:val="00D11DFC"/>
    <w:rsid w:val="00D11E05"/>
    <w:rsid w:val="00D11E0C"/>
    <w:rsid w:val="00D11EA5"/>
    <w:rsid w:val="00D11EA8"/>
    <w:rsid w:val="00D11EAD"/>
    <w:rsid w:val="00D11EC4"/>
    <w:rsid w:val="00D11EF8"/>
    <w:rsid w:val="00D11F2C"/>
    <w:rsid w:val="00D11F85"/>
    <w:rsid w:val="00D11F93"/>
    <w:rsid w:val="00D11FA1"/>
    <w:rsid w:val="00D11FA6"/>
    <w:rsid w:val="00D11FDC"/>
    <w:rsid w:val="00D1201A"/>
    <w:rsid w:val="00D12034"/>
    <w:rsid w:val="00D12097"/>
    <w:rsid w:val="00D120A2"/>
    <w:rsid w:val="00D120B5"/>
    <w:rsid w:val="00D120D5"/>
    <w:rsid w:val="00D120D9"/>
    <w:rsid w:val="00D120EF"/>
    <w:rsid w:val="00D12109"/>
    <w:rsid w:val="00D12153"/>
    <w:rsid w:val="00D12176"/>
    <w:rsid w:val="00D1218B"/>
    <w:rsid w:val="00D121B3"/>
    <w:rsid w:val="00D121C8"/>
    <w:rsid w:val="00D121CD"/>
    <w:rsid w:val="00D121E5"/>
    <w:rsid w:val="00D121FE"/>
    <w:rsid w:val="00D1226D"/>
    <w:rsid w:val="00D12296"/>
    <w:rsid w:val="00D122B3"/>
    <w:rsid w:val="00D12329"/>
    <w:rsid w:val="00D1234D"/>
    <w:rsid w:val="00D12360"/>
    <w:rsid w:val="00D12373"/>
    <w:rsid w:val="00D123B4"/>
    <w:rsid w:val="00D123EB"/>
    <w:rsid w:val="00D123FC"/>
    <w:rsid w:val="00D12448"/>
    <w:rsid w:val="00D12475"/>
    <w:rsid w:val="00D1248B"/>
    <w:rsid w:val="00D1248C"/>
    <w:rsid w:val="00D1249E"/>
    <w:rsid w:val="00D124F2"/>
    <w:rsid w:val="00D12509"/>
    <w:rsid w:val="00D1255B"/>
    <w:rsid w:val="00D125A5"/>
    <w:rsid w:val="00D125C3"/>
    <w:rsid w:val="00D125C4"/>
    <w:rsid w:val="00D12624"/>
    <w:rsid w:val="00D12635"/>
    <w:rsid w:val="00D12668"/>
    <w:rsid w:val="00D1268C"/>
    <w:rsid w:val="00D126B2"/>
    <w:rsid w:val="00D126CF"/>
    <w:rsid w:val="00D126F3"/>
    <w:rsid w:val="00D126F6"/>
    <w:rsid w:val="00D1272F"/>
    <w:rsid w:val="00D1275C"/>
    <w:rsid w:val="00D127EC"/>
    <w:rsid w:val="00D127F9"/>
    <w:rsid w:val="00D12846"/>
    <w:rsid w:val="00D128B4"/>
    <w:rsid w:val="00D128B7"/>
    <w:rsid w:val="00D128C2"/>
    <w:rsid w:val="00D128F7"/>
    <w:rsid w:val="00D12906"/>
    <w:rsid w:val="00D1290D"/>
    <w:rsid w:val="00D12918"/>
    <w:rsid w:val="00D1293A"/>
    <w:rsid w:val="00D1295A"/>
    <w:rsid w:val="00D12973"/>
    <w:rsid w:val="00D12996"/>
    <w:rsid w:val="00D12999"/>
    <w:rsid w:val="00D1299B"/>
    <w:rsid w:val="00D129A3"/>
    <w:rsid w:val="00D129BA"/>
    <w:rsid w:val="00D129BB"/>
    <w:rsid w:val="00D129C2"/>
    <w:rsid w:val="00D129C7"/>
    <w:rsid w:val="00D129DF"/>
    <w:rsid w:val="00D12A11"/>
    <w:rsid w:val="00D12A16"/>
    <w:rsid w:val="00D12A1A"/>
    <w:rsid w:val="00D12A48"/>
    <w:rsid w:val="00D12A85"/>
    <w:rsid w:val="00D12AB4"/>
    <w:rsid w:val="00D12AE9"/>
    <w:rsid w:val="00D12AF2"/>
    <w:rsid w:val="00D12B45"/>
    <w:rsid w:val="00D12B7E"/>
    <w:rsid w:val="00D12B80"/>
    <w:rsid w:val="00D12BBF"/>
    <w:rsid w:val="00D12BC4"/>
    <w:rsid w:val="00D12BC5"/>
    <w:rsid w:val="00D12BEA"/>
    <w:rsid w:val="00D12BED"/>
    <w:rsid w:val="00D12C2E"/>
    <w:rsid w:val="00D12C4C"/>
    <w:rsid w:val="00D12C65"/>
    <w:rsid w:val="00D12CA0"/>
    <w:rsid w:val="00D12CA5"/>
    <w:rsid w:val="00D12D10"/>
    <w:rsid w:val="00D12D64"/>
    <w:rsid w:val="00D12D98"/>
    <w:rsid w:val="00D12DBD"/>
    <w:rsid w:val="00D12DD2"/>
    <w:rsid w:val="00D12E24"/>
    <w:rsid w:val="00D12E26"/>
    <w:rsid w:val="00D12E3F"/>
    <w:rsid w:val="00D12E50"/>
    <w:rsid w:val="00D12E7A"/>
    <w:rsid w:val="00D12E80"/>
    <w:rsid w:val="00D12E83"/>
    <w:rsid w:val="00D12E96"/>
    <w:rsid w:val="00D12EC8"/>
    <w:rsid w:val="00D12ED3"/>
    <w:rsid w:val="00D12EDA"/>
    <w:rsid w:val="00D12EED"/>
    <w:rsid w:val="00D12EEE"/>
    <w:rsid w:val="00D12F95"/>
    <w:rsid w:val="00D1302A"/>
    <w:rsid w:val="00D13043"/>
    <w:rsid w:val="00D13058"/>
    <w:rsid w:val="00D13069"/>
    <w:rsid w:val="00D13075"/>
    <w:rsid w:val="00D130A6"/>
    <w:rsid w:val="00D130A8"/>
    <w:rsid w:val="00D130CD"/>
    <w:rsid w:val="00D130ED"/>
    <w:rsid w:val="00D13115"/>
    <w:rsid w:val="00D13164"/>
    <w:rsid w:val="00D13187"/>
    <w:rsid w:val="00D131C9"/>
    <w:rsid w:val="00D131E1"/>
    <w:rsid w:val="00D1323E"/>
    <w:rsid w:val="00D13248"/>
    <w:rsid w:val="00D13274"/>
    <w:rsid w:val="00D13281"/>
    <w:rsid w:val="00D13284"/>
    <w:rsid w:val="00D13290"/>
    <w:rsid w:val="00D132D6"/>
    <w:rsid w:val="00D132E2"/>
    <w:rsid w:val="00D1331F"/>
    <w:rsid w:val="00D133BA"/>
    <w:rsid w:val="00D133C3"/>
    <w:rsid w:val="00D133CE"/>
    <w:rsid w:val="00D1344D"/>
    <w:rsid w:val="00D134B0"/>
    <w:rsid w:val="00D134FE"/>
    <w:rsid w:val="00D13540"/>
    <w:rsid w:val="00D13557"/>
    <w:rsid w:val="00D135DB"/>
    <w:rsid w:val="00D1367A"/>
    <w:rsid w:val="00D136CD"/>
    <w:rsid w:val="00D1370C"/>
    <w:rsid w:val="00D1376B"/>
    <w:rsid w:val="00D13790"/>
    <w:rsid w:val="00D137E9"/>
    <w:rsid w:val="00D137F3"/>
    <w:rsid w:val="00D13811"/>
    <w:rsid w:val="00D1382A"/>
    <w:rsid w:val="00D13847"/>
    <w:rsid w:val="00D1386B"/>
    <w:rsid w:val="00D1388A"/>
    <w:rsid w:val="00D13892"/>
    <w:rsid w:val="00D138A3"/>
    <w:rsid w:val="00D138A6"/>
    <w:rsid w:val="00D1391A"/>
    <w:rsid w:val="00D13926"/>
    <w:rsid w:val="00D13934"/>
    <w:rsid w:val="00D13937"/>
    <w:rsid w:val="00D139D7"/>
    <w:rsid w:val="00D13A01"/>
    <w:rsid w:val="00D13A1E"/>
    <w:rsid w:val="00D13A24"/>
    <w:rsid w:val="00D13A3B"/>
    <w:rsid w:val="00D13A4D"/>
    <w:rsid w:val="00D13A96"/>
    <w:rsid w:val="00D13AEA"/>
    <w:rsid w:val="00D13B2A"/>
    <w:rsid w:val="00D13B2E"/>
    <w:rsid w:val="00D13B4C"/>
    <w:rsid w:val="00D13B86"/>
    <w:rsid w:val="00D13B89"/>
    <w:rsid w:val="00D13BB3"/>
    <w:rsid w:val="00D13BD2"/>
    <w:rsid w:val="00D13BF6"/>
    <w:rsid w:val="00D13C25"/>
    <w:rsid w:val="00D13C41"/>
    <w:rsid w:val="00D13C6F"/>
    <w:rsid w:val="00D13C8B"/>
    <w:rsid w:val="00D13CAE"/>
    <w:rsid w:val="00D13D0E"/>
    <w:rsid w:val="00D13D12"/>
    <w:rsid w:val="00D13D21"/>
    <w:rsid w:val="00D13D34"/>
    <w:rsid w:val="00D13D58"/>
    <w:rsid w:val="00D13D6B"/>
    <w:rsid w:val="00D13DA8"/>
    <w:rsid w:val="00D13DB0"/>
    <w:rsid w:val="00D13E42"/>
    <w:rsid w:val="00D13E48"/>
    <w:rsid w:val="00D13E9E"/>
    <w:rsid w:val="00D13EAE"/>
    <w:rsid w:val="00D13EBA"/>
    <w:rsid w:val="00D13EBC"/>
    <w:rsid w:val="00D13EC8"/>
    <w:rsid w:val="00D13F91"/>
    <w:rsid w:val="00D13FA1"/>
    <w:rsid w:val="00D13FA3"/>
    <w:rsid w:val="00D13FA7"/>
    <w:rsid w:val="00D13FCA"/>
    <w:rsid w:val="00D13FF0"/>
    <w:rsid w:val="00D14024"/>
    <w:rsid w:val="00D140A9"/>
    <w:rsid w:val="00D140B0"/>
    <w:rsid w:val="00D140D4"/>
    <w:rsid w:val="00D140DD"/>
    <w:rsid w:val="00D140E5"/>
    <w:rsid w:val="00D1410D"/>
    <w:rsid w:val="00D14118"/>
    <w:rsid w:val="00D14122"/>
    <w:rsid w:val="00D14149"/>
    <w:rsid w:val="00D14168"/>
    <w:rsid w:val="00D141A1"/>
    <w:rsid w:val="00D141C0"/>
    <w:rsid w:val="00D141C9"/>
    <w:rsid w:val="00D1421D"/>
    <w:rsid w:val="00D14253"/>
    <w:rsid w:val="00D14264"/>
    <w:rsid w:val="00D1426A"/>
    <w:rsid w:val="00D1426F"/>
    <w:rsid w:val="00D14276"/>
    <w:rsid w:val="00D14284"/>
    <w:rsid w:val="00D142D2"/>
    <w:rsid w:val="00D142ED"/>
    <w:rsid w:val="00D1436E"/>
    <w:rsid w:val="00D143D7"/>
    <w:rsid w:val="00D14411"/>
    <w:rsid w:val="00D14417"/>
    <w:rsid w:val="00D14453"/>
    <w:rsid w:val="00D14482"/>
    <w:rsid w:val="00D14494"/>
    <w:rsid w:val="00D14501"/>
    <w:rsid w:val="00D1452F"/>
    <w:rsid w:val="00D14579"/>
    <w:rsid w:val="00D1457B"/>
    <w:rsid w:val="00D1459C"/>
    <w:rsid w:val="00D145B0"/>
    <w:rsid w:val="00D145E4"/>
    <w:rsid w:val="00D14632"/>
    <w:rsid w:val="00D1463D"/>
    <w:rsid w:val="00D146CA"/>
    <w:rsid w:val="00D146CC"/>
    <w:rsid w:val="00D146CD"/>
    <w:rsid w:val="00D146E3"/>
    <w:rsid w:val="00D14702"/>
    <w:rsid w:val="00D1470C"/>
    <w:rsid w:val="00D14717"/>
    <w:rsid w:val="00D14755"/>
    <w:rsid w:val="00D14787"/>
    <w:rsid w:val="00D147BE"/>
    <w:rsid w:val="00D147C0"/>
    <w:rsid w:val="00D147C9"/>
    <w:rsid w:val="00D147FE"/>
    <w:rsid w:val="00D1483E"/>
    <w:rsid w:val="00D1488F"/>
    <w:rsid w:val="00D148B7"/>
    <w:rsid w:val="00D148CA"/>
    <w:rsid w:val="00D148E5"/>
    <w:rsid w:val="00D14929"/>
    <w:rsid w:val="00D14952"/>
    <w:rsid w:val="00D1496A"/>
    <w:rsid w:val="00D149A5"/>
    <w:rsid w:val="00D149BD"/>
    <w:rsid w:val="00D149ED"/>
    <w:rsid w:val="00D149EF"/>
    <w:rsid w:val="00D14A01"/>
    <w:rsid w:val="00D14A34"/>
    <w:rsid w:val="00D14A66"/>
    <w:rsid w:val="00D14A78"/>
    <w:rsid w:val="00D14A7F"/>
    <w:rsid w:val="00D14A96"/>
    <w:rsid w:val="00D14A9F"/>
    <w:rsid w:val="00D14B66"/>
    <w:rsid w:val="00D14B9D"/>
    <w:rsid w:val="00D14BA6"/>
    <w:rsid w:val="00D14BCE"/>
    <w:rsid w:val="00D14BD3"/>
    <w:rsid w:val="00D14BF1"/>
    <w:rsid w:val="00D14C0C"/>
    <w:rsid w:val="00D14C1F"/>
    <w:rsid w:val="00D14C3A"/>
    <w:rsid w:val="00D14C4A"/>
    <w:rsid w:val="00D14C4D"/>
    <w:rsid w:val="00D14C4F"/>
    <w:rsid w:val="00D14C54"/>
    <w:rsid w:val="00D14C73"/>
    <w:rsid w:val="00D14C8F"/>
    <w:rsid w:val="00D14CE2"/>
    <w:rsid w:val="00D14CEE"/>
    <w:rsid w:val="00D14CFE"/>
    <w:rsid w:val="00D14D0F"/>
    <w:rsid w:val="00D14D39"/>
    <w:rsid w:val="00D14D4F"/>
    <w:rsid w:val="00D14D83"/>
    <w:rsid w:val="00D14DB7"/>
    <w:rsid w:val="00D14DDE"/>
    <w:rsid w:val="00D14DFA"/>
    <w:rsid w:val="00D14E01"/>
    <w:rsid w:val="00D14E3A"/>
    <w:rsid w:val="00D14E59"/>
    <w:rsid w:val="00D14E5E"/>
    <w:rsid w:val="00D14ECA"/>
    <w:rsid w:val="00D14ECC"/>
    <w:rsid w:val="00D14F17"/>
    <w:rsid w:val="00D14F5B"/>
    <w:rsid w:val="00D14F6F"/>
    <w:rsid w:val="00D14FC9"/>
    <w:rsid w:val="00D14FCF"/>
    <w:rsid w:val="00D14FFC"/>
    <w:rsid w:val="00D15039"/>
    <w:rsid w:val="00D1505C"/>
    <w:rsid w:val="00D15084"/>
    <w:rsid w:val="00D150A0"/>
    <w:rsid w:val="00D150ED"/>
    <w:rsid w:val="00D15113"/>
    <w:rsid w:val="00D15127"/>
    <w:rsid w:val="00D15186"/>
    <w:rsid w:val="00D15192"/>
    <w:rsid w:val="00D15194"/>
    <w:rsid w:val="00D15199"/>
    <w:rsid w:val="00D151E8"/>
    <w:rsid w:val="00D151ED"/>
    <w:rsid w:val="00D1520C"/>
    <w:rsid w:val="00D1521B"/>
    <w:rsid w:val="00D15276"/>
    <w:rsid w:val="00D152C0"/>
    <w:rsid w:val="00D152CD"/>
    <w:rsid w:val="00D152E0"/>
    <w:rsid w:val="00D152F6"/>
    <w:rsid w:val="00D1531F"/>
    <w:rsid w:val="00D15330"/>
    <w:rsid w:val="00D15333"/>
    <w:rsid w:val="00D15351"/>
    <w:rsid w:val="00D1537A"/>
    <w:rsid w:val="00D15386"/>
    <w:rsid w:val="00D1539D"/>
    <w:rsid w:val="00D153E3"/>
    <w:rsid w:val="00D153FA"/>
    <w:rsid w:val="00D1542C"/>
    <w:rsid w:val="00D1545D"/>
    <w:rsid w:val="00D15485"/>
    <w:rsid w:val="00D154B9"/>
    <w:rsid w:val="00D154C7"/>
    <w:rsid w:val="00D154D8"/>
    <w:rsid w:val="00D154E1"/>
    <w:rsid w:val="00D15501"/>
    <w:rsid w:val="00D15525"/>
    <w:rsid w:val="00D1554B"/>
    <w:rsid w:val="00D15560"/>
    <w:rsid w:val="00D155F5"/>
    <w:rsid w:val="00D15636"/>
    <w:rsid w:val="00D15649"/>
    <w:rsid w:val="00D1569C"/>
    <w:rsid w:val="00D156C8"/>
    <w:rsid w:val="00D15717"/>
    <w:rsid w:val="00D15809"/>
    <w:rsid w:val="00D15810"/>
    <w:rsid w:val="00D1582D"/>
    <w:rsid w:val="00D1583F"/>
    <w:rsid w:val="00D1585C"/>
    <w:rsid w:val="00D15864"/>
    <w:rsid w:val="00D15879"/>
    <w:rsid w:val="00D158C1"/>
    <w:rsid w:val="00D158CB"/>
    <w:rsid w:val="00D1590A"/>
    <w:rsid w:val="00D1595B"/>
    <w:rsid w:val="00D1597B"/>
    <w:rsid w:val="00D159A8"/>
    <w:rsid w:val="00D159E8"/>
    <w:rsid w:val="00D15A25"/>
    <w:rsid w:val="00D15AAF"/>
    <w:rsid w:val="00D15AC3"/>
    <w:rsid w:val="00D15ACA"/>
    <w:rsid w:val="00D15AF0"/>
    <w:rsid w:val="00D15AF4"/>
    <w:rsid w:val="00D15AF7"/>
    <w:rsid w:val="00D15B0E"/>
    <w:rsid w:val="00D15B13"/>
    <w:rsid w:val="00D15B29"/>
    <w:rsid w:val="00D15BE4"/>
    <w:rsid w:val="00D15BF2"/>
    <w:rsid w:val="00D15C18"/>
    <w:rsid w:val="00D15C5F"/>
    <w:rsid w:val="00D15CF4"/>
    <w:rsid w:val="00D15D04"/>
    <w:rsid w:val="00D15D1B"/>
    <w:rsid w:val="00D15D50"/>
    <w:rsid w:val="00D15DB5"/>
    <w:rsid w:val="00D15E1D"/>
    <w:rsid w:val="00D15ECD"/>
    <w:rsid w:val="00D15ED3"/>
    <w:rsid w:val="00D15EF3"/>
    <w:rsid w:val="00D15F11"/>
    <w:rsid w:val="00D15F36"/>
    <w:rsid w:val="00D15F41"/>
    <w:rsid w:val="00D15F8B"/>
    <w:rsid w:val="00D15F92"/>
    <w:rsid w:val="00D15FAB"/>
    <w:rsid w:val="00D15FD3"/>
    <w:rsid w:val="00D15FE0"/>
    <w:rsid w:val="00D16003"/>
    <w:rsid w:val="00D16066"/>
    <w:rsid w:val="00D160C9"/>
    <w:rsid w:val="00D160E9"/>
    <w:rsid w:val="00D1611A"/>
    <w:rsid w:val="00D16183"/>
    <w:rsid w:val="00D16199"/>
    <w:rsid w:val="00D161AE"/>
    <w:rsid w:val="00D161EC"/>
    <w:rsid w:val="00D16205"/>
    <w:rsid w:val="00D16208"/>
    <w:rsid w:val="00D16256"/>
    <w:rsid w:val="00D16285"/>
    <w:rsid w:val="00D16295"/>
    <w:rsid w:val="00D162B0"/>
    <w:rsid w:val="00D162CF"/>
    <w:rsid w:val="00D162D4"/>
    <w:rsid w:val="00D162F2"/>
    <w:rsid w:val="00D16311"/>
    <w:rsid w:val="00D16312"/>
    <w:rsid w:val="00D16359"/>
    <w:rsid w:val="00D163A1"/>
    <w:rsid w:val="00D163DB"/>
    <w:rsid w:val="00D1641B"/>
    <w:rsid w:val="00D164C8"/>
    <w:rsid w:val="00D1651D"/>
    <w:rsid w:val="00D1653C"/>
    <w:rsid w:val="00D1656E"/>
    <w:rsid w:val="00D165BB"/>
    <w:rsid w:val="00D165BC"/>
    <w:rsid w:val="00D165C7"/>
    <w:rsid w:val="00D165E6"/>
    <w:rsid w:val="00D16607"/>
    <w:rsid w:val="00D16642"/>
    <w:rsid w:val="00D16644"/>
    <w:rsid w:val="00D16649"/>
    <w:rsid w:val="00D166C2"/>
    <w:rsid w:val="00D166D6"/>
    <w:rsid w:val="00D166DA"/>
    <w:rsid w:val="00D1672C"/>
    <w:rsid w:val="00D1674A"/>
    <w:rsid w:val="00D167C8"/>
    <w:rsid w:val="00D16864"/>
    <w:rsid w:val="00D1686C"/>
    <w:rsid w:val="00D16880"/>
    <w:rsid w:val="00D168A4"/>
    <w:rsid w:val="00D168A6"/>
    <w:rsid w:val="00D168BF"/>
    <w:rsid w:val="00D168D2"/>
    <w:rsid w:val="00D168F4"/>
    <w:rsid w:val="00D168F9"/>
    <w:rsid w:val="00D16929"/>
    <w:rsid w:val="00D1692E"/>
    <w:rsid w:val="00D16977"/>
    <w:rsid w:val="00D16988"/>
    <w:rsid w:val="00D169AD"/>
    <w:rsid w:val="00D169EA"/>
    <w:rsid w:val="00D169FB"/>
    <w:rsid w:val="00D16A1F"/>
    <w:rsid w:val="00D16A4A"/>
    <w:rsid w:val="00D16A5F"/>
    <w:rsid w:val="00D16A6F"/>
    <w:rsid w:val="00D16ABC"/>
    <w:rsid w:val="00D16ABE"/>
    <w:rsid w:val="00D16AC0"/>
    <w:rsid w:val="00D16ADF"/>
    <w:rsid w:val="00D16B1D"/>
    <w:rsid w:val="00D16B35"/>
    <w:rsid w:val="00D16B49"/>
    <w:rsid w:val="00D16B7E"/>
    <w:rsid w:val="00D16BAC"/>
    <w:rsid w:val="00D16BB9"/>
    <w:rsid w:val="00D16BD3"/>
    <w:rsid w:val="00D16BFB"/>
    <w:rsid w:val="00D16C31"/>
    <w:rsid w:val="00D16C4D"/>
    <w:rsid w:val="00D16C83"/>
    <w:rsid w:val="00D16C8F"/>
    <w:rsid w:val="00D16C9B"/>
    <w:rsid w:val="00D16CE8"/>
    <w:rsid w:val="00D16CEE"/>
    <w:rsid w:val="00D16D39"/>
    <w:rsid w:val="00D16D9F"/>
    <w:rsid w:val="00D16DB0"/>
    <w:rsid w:val="00D16DCC"/>
    <w:rsid w:val="00D16DE5"/>
    <w:rsid w:val="00D16DFC"/>
    <w:rsid w:val="00D16E11"/>
    <w:rsid w:val="00D16E14"/>
    <w:rsid w:val="00D16E5B"/>
    <w:rsid w:val="00D16E70"/>
    <w:rsid w:val="00D16E95"/>
    <w:rsid w:val="00D16E98"/>
    <w:rsid w:val="00D16E9A"/>
    <w:rsid w:val="00D16EB3"/>
    <w:rsid w:val="00D16EC2"/>
    <w:rsid w:val="00D16ED4"/>
    <w:rsid w:val="00D16F0F"/>
    <w:rsid w:val="00D16F1C"/>
    <w:rsid w:val="00D16F1F"/>
    <w:rsid w:val="00D16F6A"/>
    <w:rsid w:val="00D16F73"/>
    <w:rsid w:val="00D16F87"/>
    <w:rsid w:val="00D16FA3"/>
    <w:rsid w:val="00D16FC6"/>
    <w:rsid w:val="00D16FDB"/>
    <w:rsid w:val="00D1701F"/>
    <w:rsid w:val="00D17033"/>
    <w:rsid w:val="00D170C5"/>
    <w:rsid w:val="00D170E7"/>
    <w:rsid w:val="00D1715C"/>
    <w:rsid w:val="00D17197"/>
    <w:rsid w:val="00D171A1"/>
    <w:rsid w:val="00D171C8"/>
    <w:rsid w:val="00D171CA"/>
    <w:rsid w:val="00D171E8"/>
    <w:rsid w:val="00D171FA"/>
    <w:rsid w:val="00D171FE"/>
    <w:rsid w:val="00D17223"/>
    <w:rsid w:val="00D1724B"/>
    <w:rsid w:val="00D1724D"/>
    <w:rsid w:val="00D172C5"/>
    <w:rsid w:val="00D172E2"/>
    <w:rsid w:val="00D17320"/>
    <w:rsid w:val="00D17351"/>
    <w:rsid w:val="00D173E0"/>
    <w:rsid w:val="00D1740B"/>
    <w:rsid w:val="00D17420"/>
    <w:rsid w:val="00D174D3"/>
    <w:rsid w:val="00D174E9"/>
    <w:rsid w:val="00D17501"/>
    <w:rsid w:val="00D17514"/>
    <w:rsid w:val="00D17538"/>
    <w:rsid w:val="00D17564"/>
    <w:rsid w:val="00D17574"/>
    <w:rsid w:val="00D175A5"/>
    <w:rsid w:val="00D175C0"/>
    <w:rsid w:val="00D175C6"/>
    <w:rsid w:val="00D175E6"/>
    <w:rsid w:val="00D1760B"/>
    <w:rsid w:val="00D176F6"/>
    <w:rsid w:val="00D17748"/>
    <w:rsid w:val="00D1775A"/>
    <w:rsid w:val="00D1775B"/>
    <w:rsid w:val="00D1776A"/>
    <w:rsid w:val="00D1777E"/>
    <w:rsid w:val="00D177AF"/>
    <w:rsid w:val="00D177E2"/>
    <w:rsid w:val="00D177E7"/>
    <w:rsid w:val="00D17855"/>
    <w:rsid w:val="00D178FF"/>
    <w:rsid w:val="00D17930"/>
    <w:rsid w:val="00D1795D"/>
    <w:rsid w:val="00D17962"/>
    <w:rsid w:val="00D17964"/>
    <w:rsid w:val="00D1796A"/>
    <w:rsid w:val="00D17980"/>
    <w:rsid w:val="00D17998"/>
    <w:rsid w:val="00D179A3"/>
    <w:rsid w:val="00D179D0"/>
    <w:rsid w:val="00D17A19"/>
    <w:rsid w:val="00D17A70"/>
    <w:rsid w:val="00D17A89"/>
    <w:rsid w:val="00D17AAA"/>
    <w:rsid w:val="00D17AC4"/>
    <w:rsid w:val="00D17AF0"/>
    <w:rsid w:val="00D17B24"/>
    <w:rsid w:val="00D17B64"/>
    <w:rsid w:val="00D17BAB"/>
    <w:rsid w:val="00D17BE5"/>
    <w:rsid w:val="00D17C39"/>
    <w:rsid w:val="00D17C64"/>
    <w:rsid w:val="00D17C65"/>
    <w:rsid w:val="00D17CCF"/>
    <w:rsid w:val="00D17CE8"/>
    <w:rsid w:val="00D17CF9"/>
    <w:rsid w:val="00D17D49"/>
    <w:rsid w:val="00D17D8A"/>
    <w:rsid w:val="00D17DD3"/>
    <w:rsid w:val="00D17DFA"/>
    <w:rsid w:val="00D17E0C"/>
    <w:rsid w:val="00D17E21"/>
    <w:rsid w:val="00D17E89"/>
    <w:rsid w:val="00D17ED3"/>
    <w:rsid w:val="00D17ED6"/>
    <w:rsid w:val="00D17F6C"/>
    <w:rsid w:val="00D17F7F"/>
    <w:rsid w:val="00D17F89"/>
    <w:rsid w:val="00D17FA2"/>
    <w:rsid w:val="00D17FF0"/>
    <w:rsid w:val="00D17FF3"/>
    <w:rsid w:val="00D20048"/>
    <w:rsid w:val="00D2005A"/>
    <w:rsid w:val="00D20070"/>
    <w:rsid w:val="00D200DB"/>
    <w:rsid w:val="00D200F7"/>
    <w:rsid w:val="00D20153"/>
    <w:rsid w:val="00D2016E"/>
    <w:rsid w:val="00D20180"/>
    <w:rsid w:val="00D201C2"/>
    <w:rsid w:val="00D201DF"/>
    <w:rsid w:val="00D20297"/>
    <w:rsid w:val="00D202BF"/>
    <w:rsid w:val="00D202C4"/>
    <w:rsid w:val="00D202F2"/>
    <w:rsid w:val="00D20338"/>
    <w:rsid w:val="00D2033D"/>
    <w:rsid w:val="00D20353"/>
    <w:rsid w:val="00D20365"/>
    <w:rsid w:val="00D203A3"/>
    <w:rsid w:val="00D203B1"/>
    <w:rsid w:val="00D203F3"/>
    <w:rsid w:val="00D203F4"/>
    <w:rsid w:val="00D20401"/>
    <w:rsid w:val="00D20417"/>
    <w:rsid w:val="00D2043D"/>
    <w:rsid w:val="00D2044E"/>
    <w:rsid w:val="00D204A0"/>
    <w:rsid w:val="00D204B4"/>
    <w:rsid w:val="00D204D9"/>
    <w:rsid w:val="00D204DE"/>
    <w:rsid w:val="00D204F6"/>
    <w:rsid w:val="00D204FB"/>
    <w:rsid w:val="00D20539"/>
    <w:rsid w:val="00D20598"/>
    <w:rsid w:val="00D205DA"/>
    <w:rsid w:val="00D2060E"/>
    <w:rsid w:val="00D20629"/>
    <w:rsid w:val="00D20634"/>
    <w:rsid w:val="00D20658"/>
    <w:rsid w:val="00D2068F"/>
    <w:rsid w:val="00D206C0"/>
    <w:rsid w:val="00D20729"/>
    <w:rsid w:val="00D20759"/>
    <w:rsid w:val="00D207A4"/>
    <w:rsid w:val="00D207EB"/>
    <w:rsid w:val="00D207FE"/>
    <w:rsid w:val="00D20806"/>
    <w:rsid w:val="00D20811"/>
    <w:rsid w:val="00D2084E"/>
    <w:rsid w:val="00D2088C"/>
    <w:rsid w:val="00D2089C"/>
    <w:rsid w:val="00D208A0"/>
    <w:rsid w:val="00D208B3"/>
    <w:rsid w:val="00D208DA"/>
    <w:rsid w:val="00D208E7"/>
    <w:rsid w:val="00D20915"/>
    <w:rsid w:val="00D2092C"/>
    <w:rsid w:val="00D2093D"/>
    <w:rsid w:val="00D20943"/>
    <w:rsid w:val="00D209B9"/>
    <w:rsid w:val="00D20A37"/>
    <w:rsid w:val="00D20A5D"/>
    <w:rsid w:val="00D20A6F"/>
    <w:rsid w:val="00D20A7E"/>
    <w:rsid w:val="00D20A98"/>
    <w:rsid w:val="00D20ABE"/>
    <w:rsid w:val="00D20AFB"/>
    <w:rsid w:val="00D20B3F"/>
    <w:rsid w:val="00D20B5E"/>
    <w:rsid w:val="00D20B82"/>
    <w:rsid w:val="00D20BB6"/>
    <w:rsid w:val="00D20BE3"/>
    <w:rsid w:val="00D20C59"/>
    <w:rsid w:val="00D20C69"/>
    <w:rsid w:val="00D20CF5"/>
    <w:rsid w:val="00D20D29"/>
    <w:rsid w:val="00D20D3A"/>
    <w:rsid w:val="00D20D5C"/>
    <w:rsid w:val="00D20D79"/>
    <w:rsid w:val="00D20D8A"/>
    <w:rsid w:val="00D20D93"/>
    <w:rsid w:val="00D20DA1"/>
    <w:rsid w:val="00D20DAD"/>
    <w:rsid w:val="00D20DC2"/>
    <w:rsid w:val="00D20DE8"/>
    <w:rsid w:val="00D20E41"/>
    <w:rsid w:val="00D20E78"/>
    <w:rsid w:val="00D20EF2"/>
    <w:rsid w:val="00D20EF7"/>
    <w:rsid w:val="00D20F2D"/>
    <w:rsid w:val="00D20F34"/>
    <w:rsid w:val="00D20F51"/>
    <w:rsid w:val="00D20F9C"/>
    <w:rsid w:val="00D20F9D"/>
    <w:rsid w:val="00D20FBE"/>
    <w:rsid w:val="00D20FD1"/>
    <w:rsid w:val="00D20FD8"/>
    <w:rsid w:val="00D21019"/>
    <w:rsid w:val="00D21033"/>
    <w:rsid w:val="00D21037"/>
    <w:rsid w:val="00D21043"/>
    <w:rsid w:val="00D21058"/>
    <w:rsid w:val="00D21066"/>
    <w:rsid w:val="00D2106E"/>
    <w:rsid w:val="00D21078"/>
    <w:rsid w:val="00D21099"/>
    <w:rsid w:val="00D2109D"/>
    <w:rsid w:val="00D210F2"/>
    <w:rsid w:val="00D2111B"/>
    <w:rsid w:val="00D2114F"/>
    <w:rsid w:val="00D21159"/>
    <w:rsid w:val="00D211CE"/>
    <w:rsid w:val="00D211F9"/>
    <w:rsid w:val="00D21212"/>
    <w:rsid w:val="00D21238"/>
    <w:rsid w:val="00D2125D"/>
    <w:rsid w:val="00D212AE"/>
    <w:rsid w:val="00D212BB"/>
    <w:rsid w:val="00D21305"/>
    <w:rsid w:val="00D21321"/>
    <w:rsid w:val="00D21373"/>
    <w:rsid w:val="00D21396"/>
    <w:rsid w:val="00D21483"/>
    <w:rsid w:val="00D2148E"/>
    <w:rsid w:val="00D21499"/>
    <w:rsid w:val="00D214C9"/>
    <w:rsid w:val="00D214E3"/>
    <w:rsid w:val="00D2152A"/>
    <w:rsid w:val="00D21538"/>
    <w:rsid w:val="00D2159A"/>
    <w:rsid w:val="00D215D1"/>
    <w:rsid w:val="00D215D2"/>
    <w:rsid w:val="00D215EC"/>
    <w:rsid w:val="00D21607"/>
    <w:rsid w:val="00D2165E"/>
    <w:rsid w:val="00D21686"/>
    <w:rsid w:val="00D2169A"/>
    <w:rsid w:val="00D216B5"/>
    <w:rsid w:val="00D216C3"/>
    <w:rsid w:val="00D216C5"/>
    <w:rsid w:val="00D216C6"/>
    <w:rsid w:val="00D216E8"/>
    <w:rsid w:val="00D21747"/>
    <w:rsid w:val="00D21752"/>
    <w:rsid w:val="00D21755"/>
    <w:rsid w:val="00D21775"/>
    <w:rsid w:val="00D217A7"/>
    <w:rsid w:val="00D217F2"/>
    <w:rsid w:val="00D21810"/>
    <w:rsid w:val="00D2183B"/>
    <w:rsid w:val="00D21853"/>
    <w:rsid w:val="00D21855"/>
    <w:rsid w:val="00D218C2"/>
    <w:rsid w:val="00D218CB"/>
    <w:rsid w:val="00D218DA"/>
    <w:rsid w:val="00D2192D"/>
    <w:rsid w:val="00D2196E"/>
    <w:rsid w:val="00D2199F"/>
    <w:rsid w:val="00D219AE"/>
    <w:rsid w:val="00D219B5"/>
    <w:rsid w:val="00D219BA"/>
    <w:rsid w:val="00D219DE"/>
    <w:rsid w:val="00D21A44"/>
    <w:rsid w:val="00D21A5E"/>
    <w:rsid w:val="00D21AAE"/>
    <w:rsid w:val="00D21AC8"/>
    <w:rsid w:val="00D21AE1"/>
    <w:rsid w:val="00D21B0B"/>
    <w:rsid w:val="00D21B0E"/>
    <w:rsid w:val="00D21B1A"/>
    <w:rsid w:val="00D21B82"/>
    <w:rsid w:val="00D21B8A"/>
    <w:rsid w:val="00D21BBA"/>
    <w:rsid w:val="00D21BD8"/>
    <w:rsid w:val="00D21BFB"/>
    <w:rsid w:val="00D21C3F"/>
    <w:rsid w:val="00D21C4F"/>
    <w:rsid w:val="00D21C60"/>
    <w:rsid w:val="00D21C75"/>
    <w:rsid w:val="00D21C76"/>
    <w:rsid w:val="00D21C7F"/>
    <w:rsid w:val="00D21CA4"/>
    <w:rsid w:val="00D21CA7"/>
    <w:rsid w:val="00D21CB4"/>
    <w:rsid w:val="00D21D16"/>
    <w:rsid w:val="00D21D7B"/>
    <w:rsid w:val="00D21D82"/>
    <w:rsid w:val="00D21DA9"/>
    <w:rsid w:val="00D21E04"/>
    <w:rsid w:val="00D21E37"/>
    <w:rsid w:val="00D21EA1"/>
    <w:rsid w:val="00D21EF6"/>
    <w:rsid w:val="00D21F1E"/>
    <w:rsid w:val="00D21F81"/>
    <w:rsid w:val="00D21FA9"/>
    <w:rsid w:val="00D21FB0"/>
    <w:rsid w:val="00D21FC7"/>
    <w:rsid w:val="00D21FDB"/>
    <w:rsid w:val="00D21FF5"/>
    <w:rsid w:val="00D22013"/>
    <w:rsid w:val="00D22029"/>
    <w:rsid w:val="00D2204A"/>
    <w:rsid w:val="00D22085"/>
    <w:rsid w:val="00D2208B"/>
    <w:rsid w:val="00D220A0"/>
    <w:rsid w:val="00D220E5"/>
    <w:rsid w:val="00D220EB"/>
    <w:rsid w:val="00D22116"/>
    <w:rsid w:val="00D2213A"/>
    <w:rsid w:val="00D2215B"/>
    <w:rsid w:val="00D2215D"/>
    <w:rsid w:val="00D221FB"/>
    <w:rsid w:val="00D22205"/>
    <w:rsid w:val="00D22245"/>
    <w:rsid w:val="00D2229F"/>
    <w:rsid w:val="00D222D6"/>
    <w:rsid w:val="00D222D9"/>
    <w:rsid w:val="00D222DE"/>
    <w:rsid w:val="00D22340"/>
    <w:rsid w:val="00D22354"/>
    <w:rsid w:val="00D2236A"/>
    <w:rsid w:val="00D2237B"/>
    <w:rsid w:val="00D22396"/>
    <w:rsid w:val="00D223B2"/>
    <w:rsid w:val="00D223E3"/>
    <w:rsid w:val="00D22417"/>
    <w:rsid w:val="00D22447"/>
    <w:rsid w:val="00D2245E"/>
    <w:rsid w:val="00D22473"/>
    <w:rsid w:val="00D22481"/>
    <w:rsid w:val="00D22488"/>
    <w:rsid w:val="00D224A0"/>
    <w:rsid w:val="00D224A2"/>
    <w:rsid w:val="00D224D9"/>
    <w:rsid w:val="00D224DA"/>
    <w:rsid w:val="00D224DF"/>
    <w:rsid w:val="00D22503"/>
    <w:rsid w:val="00D22527"/>
    <w:rsid w:val="00D22533"/>
    <w:rsid w:val="00D22562"/>
    <w:rsid w:val="00D2256A"/>
    <w:rsid w:val="00D2256B"/>
    <w:rsid w:val="00D22596"/>
    <w:rsid w:val="00D225B5"/>
    <w:rsid w:val="00D2260E"/>
    <w:rsid w:val="00D22644"/>
    <w:rsid w:val="00D22671"/>
    <w:rsid w:val="00D22687"/>
    <w:rsid w:val="00D22698"/>
    <w:rsid w:val="00D226BF"/>
    <w:rsid w:val="00D226D1"/>
    <w:rsid w:val="00D226F3"/>
    <w:rsid w:val="00D22723"/>
    <w:rsid w:val="00D22734"/>
    <w:rsid w:val="00D22756"/>
    <w:rsid w:val="00D22765"/>
    <w:rsid w:val="00D2279E"/>
    <w:rsid w:val="00D227AD"/>
    <w:rsid w:val="00D227B0"/>
    <w:rsid w:val="00D227F4"/>
    <w:rsid w:val="00D22819"/>
    <w:rsid w:val="00D22845"/>
    <w:rsid w:val="00D22875"/>
    <w:rsid w:val="00D228BA"/>
    <w:rsid w:val="00D228DC"/>
    <w:rsid w:val="00D228E8"/>
    <w:rsid w:val="00D228FF"/>
    <w:rsid w:val="00D22921"/>
    <w:rsid w:val="00D2295E"/>
    <w:rsid w:val="00D229BE"/>
    <w:rsid w:val="00D229DE"/>
    <w:rsid w:val="00D22A39"/>
    <w:rsid w:val="00D22A4C"/>
    <w:rsid w:val="00D22A5E"/>
    <w:rsid w:val="00D22B94"/>
    <w:rsid w:val="00D22BA6"/>
    <w:rsid w:val="00D22BCC"/>
    <w:rsid w:val="00D22BD1"/>
    <w:rsid w:val="00D22BE1"/>
    <w:rsid w:val="00D22C35"/>
    <w:rsid w:val="00D22C37"/>
    <w:rsid w:val="00D22C46"/>
    <w:rsid w:val="00D22C5A"/>
    <w:rsid w:val="00D22C76"/>
    <w:rsid w:val="00D22C8E"/>
    <w:rsid w:val="00D22CAE"/>
    <w:rsid w:val="00D22CBF"/>
    <w:rsid w:val="00D22CC4"/>
    <w:rsid w:val="00D22CCB"/>
    <w:rsid w:val="00D22D03"/>
    <w:rsid w:val="00D22E03"/>
    <w:rsid w:val="00D22E0C"/>
    <w:rsid w:val="00D22E23"/>
    <w:rsid w:val="00D22E40"/>
    <w:rsid w:val="00D22E44"/>
    <w:rsid w:val="00D22E85"/>
    <w:rsid w:val="00D22E86"/>
    <w:rsid w:val="00D22ED8"/>
    <w:rsid w:val="00D22F04"/>
    <w:rsid w:val="00D22F31"/>
    <w:rsid w:val="00D22F8F"/>
    <w:rsid w:val="00D22FA0"/>
    <w:rsid w:val="00D22FAB"/>
    <w:rsid w:val="00D22FBE"/>
    <w:rsid w:val="00D23006"/>
    <w:rsid w:val="00D23026"/>
    <w:rsid w:val="00D2303C"/>
    <w:rsid w:val="00D2305C"/>
    <w:rsid w:val="00D2305E"/>
    <w:rsid w:val="00D2306F"/>
    <w:rsid w:val="00D230B4"/>
    <w:rsid w:val="00D230DE"/>
    <w:rsid w:val="00D2310F"/>
    <w:rsid w:val="00D23140"/>
    <w:rsid w:val="00D23150"/>
    <w:rsid w:val="00D231AA"/>
    <w:rsid w:val="00D231F3"/>
    <w:rsid w:val="00D231F8"/>
    <w:rsid w:val="00D2321F"/>
    <w:rsid w:val="00D23268"/>
    <w:rsid w:val="00D2328C"/>
    <w:rsid w:val="00D23293"/>
    <w:rsid w:val="00D232C5"/>
    <w:rsid w:val="00D232C6"/>
    <w:rsid w:val="00D232E0"/>
    <w:rsid w:val="00D2330A"/>
    <w:rsid w:val="00D2331C"/>
    <w:rsid w:val="00D23373"/>
    <w:rsid w:val="00D23375"/>
    <w:rsid w:val="00D2337A"/>
    <w:rsid w:val="00D23383"/>
    <w:rsid w:val="00D23391"/>
    <w:rsid w:val="00D233E9"/>
    <w:rsid w:val="00D234DE"/>
    <w:rsid w:val="00D234E1"/>
    <w:rsid w:val="00D23504"/>
    <w:rsid w:val="00D2350F"/>
    <w:rsid w:val="00D23533"/>
    <w:rsid w:val="00D2354D"/>
    <w:rsid w:val="00D23562"/>
    <w:rsid w:val="00D23564"/>
    <w:rsid w:val="00D2359F"/>
    <w:rsid w:val="00D235BE"/>
    <w:rsid w:val="00D235F9"/>
    <w:rsid w:val="00D235FD"/>
    <w:rsid w:val="00D2360D"/>
    <w:rsid w:val="00D23625"/>
    <w:rsid w:val="00D2364F"/>
    <w:rsid w:val="00D23666"/>
    <w:rsid w:val="00D2369D"/>
    <w:rsid w:val="00D236AB"/>
    <w:rsid w:val="00D236AD"/>
    <w:rsid w:val="00D236AE"/>
    <w:rsid w:val="00D236B6"/>
    <w:rsid w:val="00D236BF"/>
    <w:rsid w:val="00D236E1"/>
    <w:rsid w:val="00D2375E"/>
    <w:rsid w:val="00D237A4"/>
    <w:rsid w:val="00D237B5"/>
    <w:rsid w:val="00D237DB"/>
    <w:rsid w:val="00D237F1"/>
    <w:rsid w:val="00D237F5"/>
    <w:rsid w:val="00D237F8"/>
    <w:rsid w:val="00D2380B"/>
    <w:rsid w:val="00D23845"/>
    <w:rsid w:val="00D23846"/>
    <w:rsid w:val="00D23848"/>
    <w:rsid w:val="00D23877"/>
    <w:rsid w:val="00D238C7"/>
    <w:rsid w:val="00D238D9"/>
    <w:rsid w:val="00D23915"/>
    <w:rsid w:val="00D2391B"/>
    <w:rsid w:val="00D23925"/>
    <w:rsid w:val="00D239AD"/>
    <w:rsid w:val="00D239D2"/>
    <w:rsid w:val="00D239E1"/>
    <w:rsid w:val="00D239F7"/>
    <w:rsid w:val="00D239FB"/>
    <w:rsid w:val="00D23A40"/>
    <w:rsid w:val="00D23A46"/>
    <w:rsid w:val="00D23A5B"/>
    <w:rsid w:val="00D23A7A"/>
    <w:rsid w:val="00D23AC4"/>
    <w:rsid w:val="00D23AC7"/>
    <w:rsid w:val="00D23B0D"/>
    <w:rsid w:val="00D23B37"/>
    <w:rsid w:val="00D23B57"/>
    <w:rsid w:val="00D23B5E"/>
    <w:rsid w:val="00D23B9E"/>
    <w:rsid w:val="00D23BCE"/>
    <w:rsid w:val="00D23BD6"/>
    <w:rsid w:val="00D23C0A"/>
    <w:rsid w:val="00D23C1A"/>
    <w:rsid w:val="00D23C6F"/>
    <w:rsid w:val="00D23C9F"/>
    <w:rsid w:val="00D23CA4"/>
    <w:rsid w:val="00D23CEE"/>
    <w:rsid w:val="00D23CFC"/>
    <w:rsid w:val="00D23CFF"/>
    <w:rsid w:val="00D23D64"/>
    <w:rsid w:val="00D23D87"/>
    <w:rsid w:val="00D23DBD"/>
    <w:rsid w:val="00D23DF1"/>
    <w:rsid w:val="00D23DFA"/>
    <w:rsid w:val="00D23E13"/>
    <w:rsid w:val="00D23E55"/>
    <w:rsid w:val="00D23EA3"/>
    <w:rsid w:val="00D23EB4"/>
    <w:rsid w:val="00D23EC4"/>
    <w:rsid w:val="00D23EE5"/>
    <w:rsid w:val="00D23F1B"/>
    <w:rsid w:val="00D23F2E"/>
    <w:rsid w:val="00D23F3F"/>
    <w:rsid w:val="00D23F7A"/>
    <w:rsid w:val="00D23FC2"/>
    <w:rsid w:val="00D23FF2"/>
    <w:rsid w:val="00D23FF4"/>
    <w:rsid w:val="00D2401C"/>
    <w:rsid w:val="00D24025"/>
    <w:rsid w:val="00D24046"/>
    <w:rsid w:val="00D24083"/>
    <w:rsid w:val="00D24094"/>
    <w:rsid w:val="00D240AE"/>
    <w:rsid w:val="00D240EF"/>
    <w:rsid w:val="00D24106"/>
    <w:rsid w:val="00D24157"/>
    <w:rsid w:val="00D241A1"/>
    <w:rsid w:val="00D241D5"/>
    <w:rsid w:val="00D241E6"/>
    <w:rsid w:val="00D24239"/>
    <w:rsid w:val="00D24274"/>
    <w:rsid w:val="00D242C7"/>
    <w:rsid w:val="00D242DC"/>
    <w:rsid w:val="00D242E3"/>
    <w:rsid w:val="00D2433C"/>
    <w:rsid w:val="00D2433E"/>
    <w:rsid w:val="00D24354"/>
    <w:rsid w:val="00D2436A"/>
    <w:rsid w:val="00D24417"/>
    <w:rsid w:val="00D24429"/>
    <w:rsid w:val="00D2444E"/>
    <w:rsid w:val="00D2448A"/>
    <w:rsid w:val="00D244D1"/>
    <w:rsid w:val="00D24500"/>
    <w:rsid w:val="00D24508"/>
    <w:rsid w:val="00D24517"/>
    <w:rsid w:val="00D2451F"/>
    <w:rsid w:val="00D2454E"/>
    <w:rsid w:val="00D24554"/>
    <w:rsid w:val="00D2457C"/>
    <w:rsid w:val="00D2457D"/>
    <w:rsid w:val="00D24586"/>
    <w:rsid w:val="00D245FA"/>
    <w:rsid w:val="00D24619"/>
    <w:rsid w:val="00D24694"/>
    <w:rsid w:val="00D24695"/>
    <w:rsid w:val="00D246A1"/>
    <w:rsid w:val="00D246F5"/>
    <w:rsid w:val="00D246F8"/>
    <w:rsid w:val="00D24724"/>
    <w:rsid w:val="00D2475B"/>
    <w:rsid w:val="00D24768"/>
    <w:rsid w:val="00D247AC"/>
    <w:rsid w:val="00D247B3"/>
    <w:rsid w:val="00D247C3"/>
    <w:rsid w:val="00D24822"/>
    <w:rsid w:val="00D2487C"/>
    <w:rsid w:val="00D2489D"/>
    <w:rsid w:val="00D24941"/>
    <w:rsid w:val="00D2499C"/>
    <w:rsid w:val="00D249A7"/>
    <w:rsid w:val="00D249D5"/>
    <w:rsid w:val="00D24A05"/>
    <w:rsid w:val="00D24A25"/>
    <w:rsid w:val="00D24A7B"/>
    <w:rsid w:val="00D24A7E"/>
    <w:rsid w:val="00D24A94"/>
    <w:rsid w:val="00D24ACE"/>
    <w:rsid w:val="00D24AF0"/>
    <w:rsid w:val="00D24AF1"/>
    <w:rsid w:val="00D24AFB"/>
    <w:rsid w:val="00D24B23"/>
    <w:rsid w:val="00D24B32"/>
    <w:rsid w:val="00D24B39"/>
    <w:rsid w:val="00D24B45"/>
    <w:rsid w:val="00D24B7B"/>
    <w:rsid w:val="00D24BDF"/>
    <w:rsid w:val="00D24C13"/>
    <w:rsid w:val="00D24CD1"/>
    <w:rsid w:val="00D24D14"/>
    <w:rsid w:val="00D24DBD"/>
    <w:rsid w:val="00D24DDD"/>
    <w:rsid w:val="00D24DF4"/>
    <w:rsid w:val="00D24E40"/>
    <w:rsid w:val="00D24E5A"/>
    <w:rsid w:val="00D24E88"/>
    <w:rsid w:val="00D24EB2"/>
    <w:rsid w:val="00D24EB9"/>
    <w:rsid w:val="00D24EC6"/>
    <w:rsid w:val="00D24ED9"/>
    <w:rsid w:val="00D24EE4"/>
    <w:rsid w:val="00D24EEE"/>
    <w:rsid w:val="00D24F13"/>
    <w:rsid w:val="00D24F2A"/>
    <w:rsid w:val="00D24F99"/>
    <w:rsid w:val="00D24FCE"/>
    <w:rsid w:val="00D24FDF"/>
    <w:rsid w:val="00D25040"/>
    <w:rsid w:val="00D25056"/>
    <w:rsid w:val="00D25063"/>
    <w:rsid w:val="00D2506E"/>
    <w:rsid w:val="00D25089"/>
    <w:rsid w:val="00D250A7"/>
    <w:rsid w:val="00D250BA"/>
    <w:rsid w:val="00D250CF"/>
    <w:rsid w:val="00D250D1"/>
    <w:rsid w:val="00D250D2"/>
    <w:rsid w:val="00D250E6"/>
    <w:rsid w:val="00D2511C"/>
    <w:rsid w:val="00D25140"/>
    <w:rsid w:val="00D25185"/>
    <w:rsid w:val="00D251D2"/>
    <w:rsid w:val="00D25237"/>
    <w:rsid w:val="00D2524D"/>
    <w:rsid w:val="00D2524E"/>
    <w:rsid w:val="00D25253"/>
    <w:rsid w:val="00D25261"/>
    <w:rsid w:val="00D25271"/>
    <w:rsid w:val="00D2527E"/>
    <w:rsid w:val="00D2529C"/>
    <w:rsid w:val="00D252A9"/>
    <w:rsid w:val="00D252C0"/>
    <w:rsid w:val="00D252CB"/>
    <w:rsid w:val="00D252DD"/>
    <w:rsid w:val="00D252ED"/>
    <w:rsid w:val="00D25338"/>
    <w:rsid w:val="00D25357"/>
    <w:rsid w:val="00D2539B"/>
    <w:rsid w:val="00D253AB"/>
    <w:rsid w:val="00D253C4"/>
    <w:rsid w:val="00D25406"/>
    <w:rsid w:val="00D25464"/>
    <w:rsid w:val="00D25469"/>
    <w:rsid w:val="00D254E5"/>
    <w:rsid w:val="00D25502"/>
    <w:rsid w:val="00D2550C"/>
    <w:rsid w:val="00D25519"/>
    <w:rsid w:val="00D25532"/>
    <w:rsid w:val="00D2556C"/>
    <w:rsid w:val="00D25586"/>
    <w:rsid w:val="00D2559A"/>
    <w:rsid w:val="00D255FD"/>
    <w:rsid w:val="00D25607"/>
    <w:rsid w:val="00D2561B"/>
    <w:rsid w:val="00D2562E"/>
    <w:rsid w:val="00D25659"/>
    <w:rsid w:val="00D2569C"/>
    <w:rsid w:val="00D256E6"/>
    <w:rsid w:val="00D256EA"/>
    <w:rsid w:val="00D2571E"/>
    <w:rsid w:val="00D25748"/>
    <w:rsid w:val="00D25752"/>
    <w:rsid w:val="00D25779"/>
    <w:rsid w:val="00D257DA"/>
    <w:rsid w:val="00D257EC"/>
    <w:rsid w:val="00D257F1"/>
    <w:rsid w:val="00D257FC"/>
    <w:rsid w:val="00D25811"/>
    <w:rsid w:val="00D25816"/>
    <w:rsid w:val="00D25868"/>
    <w:rsid w:val="00D2586A"/>
    <w:rsid w:val="00D258A9"/>
    <w:rsid w:val="00D258B1"/>
    <w:rsid w:val="00D25909"/>
    <w:rsid w:val="00D2592D"/>
    <w:rsid w:val="00D25993"/>
    <w:rsid w:val="00D259A4"/>
    <w:rsid w:val="00D259BF"/>
    <w:rsid w:val="00D259CF"/>
    <w:rsid w:val="00D259EC"/>
    <w:rsid w:val="00D25A02"/>
    <w:rsid w:val="00D25A10"/>
    <w:rsid w:val="00D25A11"/>
    <w:rsid w:val="00D25A4E"/>
    <w:rsid w:val="00D25A93"/>
    <w:rsid w:val="00D25AA5"/>
    <w:rsid w:val="00D25AC1"/>
    <w:rsid w:val="00D25AC2"/>
    <w:rsid w:val="00D25B1A"/>
    <w:rsid w:val="00D25B69"/>
    <w:rsid w:val="00D25BC2"/>
    <w:rsid w:val="00D25BF0"/>
    <w:rsid w:val="00D25C07"/>
    <w:rsid w:val="00D25C38"/>
    <w:rsid w:val="00D25C7D"/>
    <w:rsid w:val="00D25CB2"/>
    <w:rsid w:val="00D25CC2"/>
    <w:rsid w:val="00D25CED"/>
    <w:rsid w:val="00D25D68"/>
    <w:rsid w:val="00D25D71"/>
    <w:rsid w:val="00D25D92"/>
    <w:rsid w:val="00D25DA8"/>
    <w:rsid w:val="00D25DAA"/>
    <w:rsid w:val="00D25DF8"/>
    <w:rsid w:val="00D25E00"/>
    <w:rsid w:val="00D25E09"/>
    <w:rsid w:val="00D25E23"/>
    <w:rsid w:val="00D25E72"/>
    <w:rsid w:val="00D25E81"/>
    <w:rsid w:val="00D25EB8"/>
    <w:rsid w:val="00D25ED9"/>
    <w:rsid w:val="00D25EFE"/>
    <w:rsid w:val="00D25F68"/>
    <w:rsid w:val="00D25F7F"/>
    <w:rsid w:val="00D25FC2"/>
    <w:rsid w:val="00D25FCB"/>
    <w:rsid w:val="00D26097"/>
    <w:rsid w:val="00D260C6"/>
    <w:rsid w:val="00D260CC"/>
    <w:rsid w:val="00D260E9"/>
    <w:rsid w:val="00D260EB"/>
    <w:rsid w:val="00D26175"/>
    <w:rsid w:val="00D261B4"/>
    <w:rsid w:val="00D261C6"/>
    <w:rsid w:val="00D261EB"/>
    <w:rsid w:val="00D2621C"/>
    <w:rsid w:val="00D26269"/>
    <w:rsid w:val="00D26283"/>
    <w:rsid w:val="00D26284"/>
    <w:rsid w:val="00D26294"/>
    <w:rsid w:val="00D2630A"/>
    <w:rsid w:val="00D2631A"/>
    <w:rsid w:val="00D263C2"/>
    <w:rsid w:val="00D263CF"/>
    <w:rsid w:val="00D26401"/>
    <w:rsid w:val="00D26460"/>
    <w:rsid w:val="00D26481"/>
    <w:rsid w:val="00D264F7"/>
    <w:rsid w:val="00D26533"/>
    <w:rsid w:val="00D26534"/>
    <w:rsid w:val="00D265CF"/>
    <w:rsid w:val="00D265EA"/>
    <w:rsid w:val="00D26621"/>
    <w:rsid w:val="00D2667C"/>
    <w:rsid w:val="00D2667E"/>
    <w:rsid w:val="00D26689"/>
    <w:rsid w:val="00D26694"/>
    <w:rsid w:val="00D266B2"/>
    <w:rsid w:val="00D266DB"/>
    <w:rsid w:val="00D26719"/>
    <w:rsid w:val="00D26745"/>
    <w:rsid w:val="00D26748"/>
    <w:rsid w:val="00D26756"/>
    <w:rsid w:val="00D2676B"/>
    <w:rsid w:val="00D267A0"/>
    <w:rsid w:val="00D267A3"/>
    <w:rsid w:val="00D267B0"/>
    <w:rsid w:val="00D267EB"/>
    <w:rsid w:val="00D267F9"/>
    <w:rsid w:val="00D2680A"/>
    <w:rsid w:val="00D26812"/>
    <w:rsid w:val="00D26827"/>
    <w:rsid w:val="00D2686C"/>
    <w:rsid w:val="00D268B3"/>
    <w:rsid w:val="00D268D7"/>
    <w:rsid w:val="00D268DC"/>
    <w:rsid w:val="00D2690A"/>
    <w:rsid w:val="00D26918"/>
    <w:rsid w:val="00D26927"/>
    <w:rsid w:val="00D26929"/>
    <w:rsid w:val="00D2694B"/>
    <w:rsid w:val="00D26958"/>
    <w:rsid w:val="00D2695D"/>
    <w:rsid w:val="00D26976"/>
    <w:rsid w:val="00D26989"/>
    <w:rsid w:val="00D269A9"/>
    <w:rsid w:val="00D269E0"/>
    <w:rsid w:val="00D26A18"/>
    <w:rsid w:val="00D26A1A"/>
    <w:rsid w:val="00D26A44"/>
    <w:rsid w:val="00D26A58"/>
    <w:rsid w:val="00D26ACD"/>
    <w:rsid w:val="00D26AD6"/>
    <w:rsid w:val="00D26AFB"/>
    <w:rsid w:val="00D26B23"/>
    <w:rsid w:val="00D26B3E"/>
    <w:rsid w:val="00D26B6F"/>
    <w:rsid w:val="00D26BC7"/>
    <w:rsid w:val="00D26BE3"/>
    <w:rsid w:val="00D26C03"/>
    <w:rsid w:val="00D26C07"/>
    <w:rsid w:val="00D26C2B"/>
    <w:rsid w:val="00D26C39"/>
    <w:rsid w:val="00D26C60"/>
    <w:rsid w:val="00D26C62"/>
    <w:rsid w:val="00D26CAA"/>
    <w:rsid w:val="00D26CAB"/>
    <w:rsid w:val="00D26CB9"/>
    <w:rsid w:val="00D26CCC"/>
    <w:rsid w:val="00D26CE1"/>
    <w:rsid w:val="00D26D04"/>
    <w:rsid w:val="00D26D17"/>
    <w:rsid w:val="00D26D73"/>
    <w:rsid w:val="00D26D8A"/>
    <w:rsid w:val="00D26DA0"/>
    <w:rsid w:val="00D26DD0"/>
    <w:rsid w:val="00D26E1B"/>
    <w:rsid w:val="00D26E50"/>
    <w:rsid w:val="00D26E5C"/>
    <w:rsid w:val="00D26EAB"/>
    <w:rsid w:val="00D26EAD"/>
    <w:rsid w:val="00D26EC1"/>
    <w:rsid w:val="00D26ECB"/>
    <w:rsid w:val="00D26EF4"/>
    <w:rsid w:val="00D26F6A"/>
    <w:rsid w:val="00D26F70"/>
    <w:rsid w:val="00D26FE7"/>
    <w:rsid w:val="00D27023"/>
    <w:rsid w:val="00D2703B"/>
    <w:rsid w:val="00D2704C"/>
    <w:rsid w:val="00D27078"/>
    <w:rsid w:val="00D27095"/>
    <w:rsid w:val="00D270DA"/>
    <w:rsid w:val="00D270F3"/>
    <w:rsid w:val="00D27106"/>
    <w:rsid w:val="00D2712F"/>
    <w:rsid w:val="00D27143"/>
    <w:rsid w:val="00D271D1"/>
    <w:rsid w:val="00D271F4"/>
    <w:rsid w:val="00D271FC"/>
    <w:rsid w:val="00D27226"/>
    <w:rsid w:val="00D2722D"/>
    <w:rsid w:val="00D2726F"/>
    <w:rsid w:val="00D27275"/>
    <w:rsid w:val="00D272AF"/>
    <w:rsid w:val="00D272C2"/>
    <w:rsid w:val="00D272FB"/>
    <w:rsid w:val="00D2731E"/>
    <w:rsid w:val="00D2733C"/>
    <w:rsid w:val="00D27342"/>
    <w:rsid w:val="00D27344"/>
    <w:rsid w:val="00D27375"/>
    <w:rsid w:val="00D273A3"/>
    <w:rsid w:val="00D2740D"/>
    <w:rsid w:val="00D27411"/>
    <w:rsid w:val="00D2741B"/>
    <w:rsid w:val="00D2741D"/>
    <w:rsid w:val="00D27436"/>
    <w:rsid w:val="00D27438"/>
    <w:rsid w:val="00D2745B"/>
    <w:rsid w:val="00D27467"/>
    <w:rsid w:val="00D2747B"/>
    <w:rsid w:val="00D27499"/>
    <w:rsid w:val="00D274F4"/>
    <w:rsid w:val="00D27534"/>
    <w:rsid w:val="00D2756A"/>
    <w:rsid w:val="00D2759B"/>
    <w:rsid w:val="00D275A0"/>
    <w:rsid w:val="00D275B3"/>
    <w:rsid w:val="00D275C7"/>
    <w:rsid w:val="00D275CA"/>
    <w:rsid w:val="00D275D3"/>
    <w:rsid w:val="00D275D6"/>
    <w:rsid w:val="00D275F1"/>
    <w:rsid w:val="00D27608"/>
    <w:rsid w:val="00D27631"/>
    <w:rsid w:val="00D27635"/>
    <w:rsid w:val="00D27647"/>
    <w:rsid w:val="00D27668"/>
    <w:rsid w:val="00D27693"/>
    <w:rsid w:val="00D276DC"/>
    <w:rsid w:val="00D276E9"/>
    <w:rsid w:val="00D276F0"/>
    <w:rsid w:val="00D2773B"/>
    <w:rsid w:val="00D27744"/>
    <w:rsid w:val="00D27752"/>
    <w:rsid w:val="00D2777E"/>
    <w:rsid w:val="00D27792"/>
    <w:rsid w:val="00D277A9"/>
    <w:rsid w:val="00D277BE"/>
    <w:rsid w:val="00D277E2"/>
    <w:rsid w:val="00D277EC"/>
    <w:rsid w:val="00D2781A"/>
    <w:rsid w:val="00D278AE"/>
    <w:rsid w:val="00D278CD"/>
    <w:rsid w:val="00D278FC"/>
    <w:rsid w:val="00D27935"/>
    <w:rsid w:val="00D2798B"/>
    <w:rsid w:val="00D27997"/>
    <w:rsid w:val="00D279A7"/>
    <w:rsid w:val="00D279C6"/>
    <w:rsid w:val="00D279CE"/>
    <w:rsid w:val="00D279F1"/>
    <w:rsid w:val="00D27A14"/>
    <w:rsid w:val="00D27A3A"/>
    <w:rsid w:val="00D27A5E"/>
    <w:rsid w:val="00D27A62"/>
    <w:rsid w:val="00D27A79"/>
    <w:rsid w:val="00D27A7F"/>
    <w:rsid w:val="00D27B1E"/>
    <w:rsid w:val="00D27B35"/>
    <w:rsid w:val="00D27B62"/>
    <w:rsid w:val="00D27B9D"/>
    <w:rsid w:val="00D27B9E"/>
    <w:rsid w:val="00D27BB3"/>
    <w:rsid w:val="00D27BBE"/>
    <w:rsid w:val="00D27BD0"/>
    <w:rsid w:val="00D27BF9"/>
    <w:rsid w:val="00D27C32"/>
    <w:rsid w:val="00D27C3E"/>
    <w:rsid w:val="00D27C52"/>
    <w:rsid w:val="00D27C56"/>
    <w:rsid w:val="00D27CB9"/>
    <w:rsid w:val="00D27D2B"/>
    <w:rsid w:val="00D27DAC"/>
    <w:rsid w:val="00D27DB3"/>
    <w:rsid w:val="00D27DDE"/>
    <w:rsid w:val="00D27E1C"/>
    <w:rsid w:val="00D27E2C"/>
    <w:rsid w:val="00D27E3F"/>
    <w:rsid w:val="00D27E6B"/>
    <w:rsid w:val="00D27E73"/>
    <w:rsid w:val="00D27E76"/>
    <w:rsid w:val="00D27E80"/>
    <w:rsid w:val="00D27F21"/>
    <w:rsid w:val="00D27F30"/>
    <w:rsid w:val="00D27F7E"/>
    <w:rsid w:val="00D27F9A"/>
    <w:rsid w:val="00D27F9D"/>
    <w:rsid w:val="00D30008"/>
    <w:rsid w:val="00D3004A"/>
    <w:rsid w:val="00D300C4"/>
    <w:rsid w:val="00D300DB"/>
    <w:rsid w:val="00D300DD"/>
    <w:rsid w:val="00D300E1"/>
    <w:rsid w:val="00D300E3"/>
    <w:rsid w:val="00D300E7"/>
    <w:rsid w:val="00D30120"/>
    <w:rsid w:val="00D30149"/>
    <w:rsid w:val="00D30194"/>
    <w:rsid w:val="00D301AD"/>
    <w:rsid w:val="00D301CA"/>
    <w:rsid w:val="00D301D3"/>
    <w:rsid w:val="00D30234"/>
    <w:rsid w:val="00D30256"/>
    <w:rsid w:val="00D3025F"/>
    <w:rsid w:val="00D302B5"/>
    <w:rsid w:val="00D302E5"/>
    <w:rsid w:val="00D302E9"/>
    <w:rsid w:val="00D3030D"/>
    <w:rsid w:val="00D30323"/>
    <w:rsid w:val="00D30333"/>
    <w:rsid w:val="00D3033F"/>
    <w:rsid w:val="00D30345"/>
    <w:rsid w:val="00D3034B"/>
    <w:rsid w:val="00D3034E"/>
    <w:rsid w:val="00D303BD"/>
    <w:rsid w:val="00D304B1"/>
    <w:rsid w:val="00D304ED"/>
    <w:rsid w:val="00D304F8"/>
    <w:rsid w:val="00D30500"/>
    <w:rsid w:val="00D3051A"/>
    <w:rsid w:val="00D30535"/>
    <w:rsid w:val="00D30578"/>
    <w:rsid w:val="00D305C4"/>
    <w:rsid w:val="00D305D0"/>
    <w:rsid w:val="00D305EB"/>
    <w:rsid w:val="00D305F7"/>
    <w:rsid w:val="00D30662"/>
    <w:rsid w:val="00D30663"/>
    <w:rsid w:val="00D30664"/>
    <w:rsid w:val="00D3066D"/>
    <w:rsid w:val="00D306E5"/>
    <w:rsid w:val="00D3070C"/>
    <w:rsid w:val="00D3073D"/>
    <w:rsid w:val="00D30772"/>
    <w:rsid w:val="00D30796"/>
    <w:rsid w:val="00D3081A"/>
    <w:rsid w:val="00D30849"/>
    <w:rsid w:val="00D30869"/>
    <w:rsid w:val="00D3087A"/>
    <w:rsid w:val="00D308D1"/>
    <w:rsid w:val="00D308FF"/>
    <w:rsid w:val="00D30915"/>
    <w:rsid w:val="00D30943"/>
    <w:rsid w:val="00D30949"/>
    <w:rsid w:val="00D30955"/>
    <w:rsid w:val="00D3095B"/>
    <w:rsid w:val="00D3096D"/>
    <w:rsid w:val="00D309F4"/>
    <w:rsid w:val="00D30A8D"/>
    <w:rsid w:val="00D30AAC"/>
    <w:rsid w:val="00D30ACE"/>
    <w:rsid w:val="00D30AF6"/>
    <w:rsid w:val="00D30B61"/>
    <w:rsid w:val="00D30B77"/>
    <w:rsid w:val="00D30B9F"/>
    <w:rsid w:val="00D30C94"/>
    <w:rsid w:val="00D30CB1"/>
    <w:rsid w:val="00D30CD2"/>
    <w:rsid w:val="00D30CF2"/>
    <w:rsid w:val="00D30D53"/>
    <w:rsid w:val="00D30D55"/>
    <w:rsid w:val="00D30D98"/>
    <w:rsid w:val="00D30DAC"/>
    <w:rsid w:val="00D30DB5"/>
    <w:rsid w:val="00D30E03"/>
    <w:rsid w:val="00D30E23"/>
    <w:rsid w:val="00D30E3B"/>
    <w:rsid w:val="00D30E3E"/>
    <w:rsid w:val="00D30E56"/>
    <w:rsid w:val="00D30EB0"/>
    <w:rsid w:val="00D30ED2"/>
    <w:rsid w:val="00D30F47"/>
    <w:rsid w:val="00D30F4C"/>
    <w:rsid w:val="00D30F53"/>
    <w:rsid w:val="00D30F71"/>
    <w:rsid w:val="00D30F86"/>
    <w:rsid w:val="00D30FFB"/>
    <w:rsid w:val="00D3104D"/>
    <w:rsid w:val="00D31090"/>
    <w:rsid w:val="00D310C3"/>
    <w:rsid w:val="00D310C4"/>
    <w:rsid w:val="00D310CD"/>
    <w:rsid w:val="00D3111A"/>
    <w:rsid w:val="00D3113C"/>
    <w:rsid w:val="00D3113D"/>
    <w:rsid w:val="00D31141"/>
    <w:rsid w:val="00D3116E"/>
    <w:rsid w:val="00D31189"/>
    <w:rsid w:val="00D31191"/>
    <w:rsid w:val="00D31193"/>
    <w:rsid w:val="00D311E9"/>
    <w:rsid w:val="00D31231"/>
    <w:rsid w:val="00D3123B"/>
    <w:rsid w:val="00D31271"/>
    <w:rsid w:val="00D312B4"/>
    <w:rsid w:val="00D31336"/>
    <w:rsid w:val="00D3133F"/>
    <w:rsid w:val="00D31399"/>
    <w:rsid w:val="00D313C3"/>
    <w:rsid w:val="00D313E5"/>
    <w:rsid w:val="00D31402"/>
    <w:rsid w:val="00D31426"/>
    <w:rsid w:val="00D3143A"/>
    <w:rsid w:val="00D3143F"/>
    <w:rsid w:val="00D3144D"/>
    <w:rsid w:val="00D3145C"/>
    <w:rsid w:val="00D31464"/>
    <w:rsid w:val="00D314C7"/>
    <w:rsid w:val="00D314D9"/>
    <w:rsid w:val="00D314E1"/>
    <w:rsid w:val="00D3151D"/>
    <w:rsid w:val="00D3153F"/>
    <w:rsid w:val="00D31560"/>
    <w:rsid w:val="00D31592"/>
    <w:rsid w:val="00D3159E"/>
    <w:rsid w:val="00D315B0"/>
    <w:rsid w:val="00D315C9"/>
    <w:rsid w:val="00D315D6"/>
    <w:rsid w:val="00D315E2"/>
    <w:rsid w:val="00D315ED"/>
    <w:rsid w:val="00D31613"/>
    <w:rsid w:val="00D31678"/>
    <w:rsid w:val="00D316C4"/>
    <w:rsid w:val="00D31747"/>
    <w:rsid w:val="00D31793"/>
    <w:rsid w:val="00D31797"/>
    <w:rsid w:val="00D317F2"/>
    <w:rsid w:val="00D3180F"/>
    <w:rsid w:val="00D31817"/>
    <w:rsid w:val="00D31854"/>
    <w:rsid w:val="00D3189D"/>
    <w:rsid w:val="00D3189E"/>
    <w:rsid w:val="00D318BD"/>
    <w:rsid w:val="00D318E9"/>
    <w:rsid w:val="00D31950"/>
    <w:rsid w:val="00D31954"/>
    <w:rsid w:val="00D3196E"/>
    <w:rsid w:val="00D319B4"/>
    <w:rsid w:val="00D319C3"/>
    <w:rsid w:val="00D319CD"/>
    <w:rsid w:val="00D319D4"/>
    <w:rsid w:val="00D319E1"/>
    <w:rsid w:val="00D319F9"/>
    <w:rsid w:val="00D31A03"/>
    <w:rsid w:val="00D31A1C"/>
    <w:rsid w:val="00D31A25"/>
    <w:rsid w:val="00D31A98"/>
    <w:rsid w:val="00D31AD4"/>
    <w:rsid w:val="00D31AD5"/>
    <w:rsid w:val="00D31AFA"/>
    <w:rsid w:val="00D31AFF"/>
    <w:rsid w:val="00D31B03"/>
    <w:rsid w:val="00D31B8E"/>
    <w:rsid w:val="00D31BB4"/>
    <w:rsid w:val="00D31BC2"/>
    <w:rsid w:val="00D31BC6"/>
    <w:rsid w:val="00D31BD9"/>
    <w:rsid w:val="00D31BE3"/>
    <w:rsid w:val="00D31C1A"/>
    <w:rsid w:val="00D31C33"/>
    <w:rsid w:val="00D31C3A"/>
    <w:rsid w:val="00D31C73"/>
    <w:rsid w:val="00D31C7A"/>
    <w:rsid w:val="00D31C8D"/>
    <w:rsid w:val="00D31C99"/>
    <w:rsid w:val="00D31CBD"/>
    <w:rsid w:val="00D31CDA"/>
    <w:rsid w:val="00D31CE4"/>
    <w:rsid w:val="00D31D85"/>
    <w:rsid w:val="00D31DD7"/>
    <w:rsid w:val="00D31DDC"/>
    <w:rsid w:val="00D31DDD"/>
    <w:rsid w:val="00D31DDE"/>
    <w:rsid w:val="00D31DF7"/>
    <w:rsid w:val="00D31DFB"/>
    <w:rsid w:val="00D31E33"/>
    <w:rsid w:val="00D31E4C"/>
    <w:rsid w:val="00D31E78"/>
    <w:rsid w:val="00D31EC4"/>
    <w:rsid w:val="00D31EC7"/>
    <w:rsid w:val="00D31EEF"/>
    <w:rsid w:val="00D31EF2"/>
    <w:rsid w:val="00D31F42"/>
    <w:rsid w:val="00D31F49"/>
    <w:rsid w:val="00D31F69"/>
    <w:rsid w:val="00D31F6B"/>
    <w:rsid w:val="00D31FDC"/>
    <w:rsid w:val="00D31FF3"/>
    <w:rsid w:val="00D32064"/>
    <w:rsid w:val="00D3208A"/>
    <w:rsid w:val="00D32125"/>
    <w:rsid w:val="00D32140"/>
    <w:rsid w:val="00D32153"/>
    <w:rsid w:val="00D32158"/>
    <w:rsid w:val="00D3215A"/>
    <w:rsid w:val="00D321D5"/>
    <w:rsid w:val="00D32209"/>
    <w:rsid w:val="00D3226F"/>
    <w:rsid w:val="00D32286"/>
    <w:rsid w:val="00D322E1"/>
    <w:rsid w:val="00D3231B"/>
    <w:rsid w:val="00D3234D"/>
    <w:rsid w:val="00D32357"/>
    <w:rsid w:val="00D32365"/>
    <w:rsid w:val="00D32398"/>
    <w:rsid w:val="00D323A2"/>
    <w:rsid w:val="00D323EE"/>
    <w:rsid w:val="00D32413"/>
    <w:rsid w:val="00D3243E"/>
    <w:rsid w:val="00D32450"/>
    <w:rsid w:val="00D32504"/>
    <w:rsid w:val="00D32516"/>
    <w:rsid w:val="00D32540"/>
    <w:rsid w:val="00D32592"/>
    <w:rsid w:val="00D325BA"/>
    <w:rsid w:val="00D325C8"/>
    <w:rsid w:val="00D325DC"/>
    <w:rsid w:val="00D325E6"/>
    <w:rsid w:val="00D325E9"/>
    <w:rsid w:val="00D32602"/>
    <w:rsid w:val="00D32610"/>
    <w:rsid w:val="00D3263B"/>
    <w:rsid w:val="00D32651"/>
    <w:rsid w:val="00D32657"/>
    <w:rsid w:val="00D32677"/>
    <w:rsid w:val="00D326BA"/>
    <w:rsid w:val="00D3273D"/>
    <w:rsid w:val="00D3278D"/>
    <w:rsid w:val="00D327BE"/>
    <w:rsid w:val="00D327E1"/>
    <w:rsid w:val="00D32836"/>
    <w:rsid w:val="00D32889"/>
    <w:rsid w:val="00D328C8"/>
    <w:rsid w:val="00D328E6"/>
    <w:rsid w:val="00D328F6"/>
    <w:rsid w:val="00D32934"/>
    <w:rsid w:val="00D3293C"/>
    <w:rsid w:val="00D3295E"/>
    <w:rsid w:val="00D32978"/>
    <w:rsid w:val="00D32982"/>
    <w:rsid w:val="00D3299E"/>
    <w:rsid w:val="00D329C5"/>
    <w:rsid w:val="00D329DA"/>
    <w:rsid w:val="00D32A2C"/>
    <w:rsid w:val="00D32A52"/>
    <w:rsid w:val="00D32A5F"/>
    <w:rsid w:val="00D32A60"/>
    <w:rsid w:val="00D32AB4"/>
    <w:rsid w:val="00D32AD7"/>
    <w:rsid w:val="00D32B61"/>
    <w:rsid w:val="00D32B62"/>
    <w:rsid w:val="00D32B7C"/>
    <w:rsid w:val="00D32B7F"/>
    <w:rsid w:val="00D32C45"/>
    <w:rsid w:val="00D32C49"/>
    <w:rsid w:val="00D32C6D"/>
    <w:rsid w:val="00D32C7A"/>
    <w:rsid w:val="00D32C8B"/>
    <w:rsid w:val="00D32C95"/>
    <w:rsid w:val="00D32CA1"/>
    <w:rsid w:val="00D32CAA"/>
    <w:rsid w:val="00D32CB4"/>
    <w:rsid w:val="00D32D1E"/>
    <w:rsid w:val="00D32D3B"/>
    <w:rsid w:val="00D32D58"/>
    <w:rsid w:val="00D32D5E"/>
    <w:rsid w:val="00D32E41"/>
    <w:rsid w:val="00D32E48"/>
    <w:rsid w:val="00D32E9A"/>
    <w:rsid w:val="00D32EB0"/>
    <w:rsid w:val="00D32ECA"/>
    <w:rsid w:val="00D32ED0"/>
    <w:rsid w:val="00D32EFA"/>
    <w:rsid w:val="00D32EFD"/>
    <w:rsid w:val="00D32F64"/>
    <w:rsid w:val="00D32F68"/>
    <w:rsid w:val="00D32F9E"/>
    <w:rsid w:val="00D32FA1"/>
    <w:rsid w:val="00D32FB4"/>
    <w:rsid w:val="00D32FDA"/>
    <w:rsid w:val="00D32FDC"/>
    <w:rsid w:val="00D32FED"/>
    <w:rsid w:val="00D33012"/>
    <w:rsid w:val="00D3301C"/>
    <w:rsid w:val="00D33020"/>
    <w:rsid w:val="00D33027"/>
    <w:rsid w:val="00D33052"/>
    <w:rsid w:val="00D3306A"/>
    <w:rsid w:val="00D3306E"/>
    <w:rsid w:val="00D33098"/>
    <w:rsid w:val="00D330CB"/>
    <w:rsid w:val="00D330FD"/>
    <w:rsid w:val="00D33109"/>
    <w:rsid w:val="00D33145"/>
    <w:rsid w:val="00D3315A"/>
    <w:rsid w:val="00D3319A"/>
    <w:rsid w:val="00D3319D"/>
    <w:rsid w:val="00D331A5"/>
    <w:rsid w:val="00D3323D"/>
    <w:rsid w:val="00D332C4"/>
    <w:rsid w:val="00D332CD"/>
    <w:rsid w:val="00D332E4"/>
    <w:rsid w:val="00D332E5"/>
    <w:rsid w:val="00D33316"/>
    <w:rsid w:val="00D3342F"/>
    <w:rsid w:val="00D3345F"/>
    <w:rsid w:val="00D33466"/>
    <w:rsid w:val="00D33470"/>
    <w:rsid w:val="00D334A8"/>
    <w:rsid w:val="00D334B2"/>
    <w:rsid w:val="00D334CD"/>
    <w:rsid w:val="00D334D6"/>
    <w:rsid w:val="00D33523"/>
    <w:rsid w:val="00D33529"/>
    <w:rsid w:val="00D3357F"/>
    <w:rsid w:val="00D33580"/>
    <w:rsid w:val="00D335BD"/>
    <w:rsid w:val="00D33619"/>
    <w:rsid w:val="00D33657"/>
    <w:rsid w:val="00D33681"/>
    <w:rsid w:val="00D336E2"/>
    <w:rsid w:val="00D336F0"/>
    <w:rsid w:val="00D336FA"/>
    <w:rsid w:val="00D33708"/>
    <w:rsid w:val="00D33737"/>
    <w:rsid w:val="00D337C5"/>
    <w:rsid w:val="00D337FA"/>
    <w:rsid w:val="00D33821"/>
    <w:rsid w:val="00D33833"/>
    <w:rsid w:val="00D3386C"/>
    <w:rsid w:val="00D33896"/>
    <w:rsid w:val="00D33898"/>
    <w:rsid w:val="00D338A0"/>
    <w:rsid w:val="00D338D1"/>
    <w:rsid w:val="00D3391E"/>
    <w:rsid w:val="00D3394D"/>
    <w:rsid w:val="00D3395D"/>
    <w:rsid w:val="00D33965"/>
    <w:rsid w:val="00D33972"/>
    <w:rsid w:val="00D339B7"/>
    <w:rsid w:val="00D339F4"/>
    <w:rsid w:val="00D33A62"/>
    <w:rsid w:val="00D33A8F"/>
    <w:rsid w:val="00D33AD6"/>
    <w:rsid w:val="00D33B10"/>
    <w:rsid w:val="00D33B1E"/>
    <w:rsid w:val="00D33B28"/>
    <w:rsid w:val="00D33B2F"/>
    <w:rsid w:val="00D33B3A"/>
    <w:rsid w:val="00D33B3F"/>
    <w:rsid w:val="00D33B4A"/>
    <w:rsid w:val="00D33B57"/>
    <w:rsid w:val="00D33B88"/>
    <w:rsid w:val="00D33BA0"/>
    <w:rsid w:val="00D33BAA"/>
    <w:rsid w:val="00D33BBD"/>
    <w:rsid w:val="00D33C1E"/>
    <w:rsid w:val="00D33C53"/>
    <w:rsid w:val="00D33C5C"/>
    <w:rsid w:val="00D33C6D"/>
    <w:rsid w:val="00D33CA0"/>
    <w:rsid w:val="00D33CB9"/>
    <w:rsid w:val="00D33CC5"/>
    <w:rsid w:val="00D33CCF"/>
    <w:rsid w:val="00D33CE4"/>
    <w:rsid w:val="00D33D3C"/>
    <w:rsid w:val="00D33D7A"/>
    <w:rsid w:val="00D33DB7"/>
    <w:rsid w:val="00D33DC8"/>
    <w:rsid w:val="00D33DCD"/>
    <w:rsid w:val="00D33DCE"/>
    <w:rsid w:val="00D33DE6"/>
    <w:rsid w:val="00D33DF0"/>
    <w:rsid w:val="00D33E47"/>
    <w:rsid w:val="00D33E87"/>
    <w:rsid w:val="00D33EFE"/>
    <w:rsid w:val="00D33F48"/>
    <w:rsid w:val="00D33F61"/>
    <w:rsid w:val="00D33F66"/>
    <w:rsid w:val="00D33F76"/>
    <w:rsid w:val="00D33F89"/>
    <w:rsid w:val="00D33FB7"/>
    <w:rsid w:val="00D3400A"/>
    <w:rsid w:val="00D34022"/>
    <w:rsid w:val="00D34041"/>
    <w:rsid w:val="00D3407E"/>
    <w:rsid w:val="00D340A6"/>
    <w:rsid w:val="00D340DA"/>
    <w:rsid w:val="00D340E0"/>
    <w:rsid w:val="00D340EC"/>
    <w:rsid w:val="00D340F1"/>
    <w:rsid w:val="00D34151"/>
    <w:rsid w:val="00D34159"/>
    <w:rsid w:val="00D34179"/>
    <w:rsid w:val="00D341C0"/>
    <w:rsid w:val="00D341D5"/>
    <w:rsid w:val="00D341DC"/>
    <w:rsid w:val="00D3422E"/>
    <w:rsid w:val="00D3423B"/>
    <w:rsid w:val="00D3426E"/>
    <w:rsid w:val="00D34281"/>
    <w:rsid w:val="00D3429E"/>
    <w:rsid w:val="00D342E1"/>
    <w:rsid w:val="00D3432E"/>
    <w:rsid w:val="00D34340"/>
    <w:rsid w:val="00D343DB"/>
    <w:rsid w:val="00D343F6"/>
    <w:rsid w:val="00D34400"/>
    <w:rsid w:val="00D3440E"/>
    <w:rsid w:val="00D3441E"/>
    <w:rsid w:val="00D34478"/>
    <w:rsid w:val="00D34494"/>
    <w:rsid w:val="00D344B9"/>
    <w:rsid w:val="00D344CF"/>
    <w:rsid w:val="00D344F6"/>
    <w:rsid w:val="00D34503"/>
    <w:rsid w:val="00D34572"/>
    <w:rsid w:val="00D34587"/>
    <w:rsid w:val="00D3461D"/>
    <w:rsid w:val="00D3462E"/>
    <w:rsid w:val="00D34660"/>
    <w:rsid w:val="00D3466E"/>
    <w:rsid w:val="00D3469E"/>
    <w:rsid w:val="00D346CD"/>
    <w:rsid w:val="00D346E9"/>
    <w:rsid w:val="00D34729"/>
    <w:rsid w:val="00D34740"/>
    <w:rsid w:val="00D3478D"/>
    <w:rsid w:val="00D34792"/>
    <w:rsid w:val="00D347B3"/>
    <w:rsid w:val="00D347C4"/>
    <w:rsid w:val="00D347CA"/>
    <w:rsid w:val="00D347D3"/>
    <w:rsid w:val="00D347EC"/>
    <w:rsid w:val="00D34826"/>
    <w:rsid w:val="00D34837"/>
    <w:rsid w:val="00D348B6"/>
    <w:rsid w:val="00D3491F"/>
    <w:rsid w:val="00D34925"/>
    <w:rsid w:val="00D34981"/>
    <w:rsid w:val="00D3498F"/>
    <w:rsid w:val="00D349AA"/>
    <w:rsid w:val="00D34A13"/>
    <w:rsid w:val="00D34A2A"/>
    <w:rsid w:val="00D34A3B"/>
    <w:rsid w:val="00D34A5D"/>
    <w:rsid w:val="00D34A90"/>
    <w:rsid w:val="00D34A95"/>
    <w:rsid w:val="00D34AB1"/>
    <w:rsid w:val="00D34AE6"/>
    <w:rsid w:val="00D34AF3"/>
    <w:rsid w:val="00D34B2B"/>
    <w:rsid w:val="00D34B39"/>
    <w:rsid w:val="00D34B4C"/>
    <w:rsid w:val="00D34BB2"/>
    <w:rsid w:val="00D34BC8"/>
    <w:rsid w:val="00D34BE3"/>
    <w:rsid w:val="00D34BF5"/>
    <w:rsid w:val="00D34C03"/>
    <w:rsid w:val="00D34C11"/>
    <w:rsid w:val="00D34C18"/>
    <w:rsid w:val="00D34C3C"/>
    <w:rsid w:val="00D34C6A"/>
    <w:rsid w:val="00D34D34"/>
    <w:rsid w:val="00D34D36"/>
    <w:rsid w:val="00D34D69"/>
    <w:rsid w:val="00D34D7B"/>
    <w:rsid w:val="00D34D85"/>
    <w:rsid w:val="00D34DA8"/>
    <w:rsid w:val="00D34DD0"/>
    <w:rsid w:val="00D34DD3"/>
    <w:rsid w:val="00D34DFC"/>
    <w:rsid w:val="00D34E1C"/>
    <w:rsid w:val="00D34E2A"/>
    <w:rsid w:val="00D34E2E"/>
    <w:rsid w:val="00D34E66"/>
    <w:rsid w:val="00D34EBB"/>
    <w:rsid w:val="00D34EC2"/>
    <w:rsid w:val="00D34ECC"/>
    <w:rsid w:val="00D34EE1"/>
    <w:rsid w:val="00D34EE2"/>
    <w:rsid w:val="00D34EEC"/>
    <w:rsid w:val="00D34EFD"/>
    <w:rsid w:val="00D34F0B"/>
    <w:rsid w:val="00D34F26"/>
    <w:rsid w:val="00D34F28"/>
    <w:rsid w:val="00D34FB8"/>
    <w:rsid w:val="00D34FC7"/>
    <w:rsid w:val="00D34FD5"/>
    <w:rsid w:val="00D3500F"/>
    <w:rsid w:val="00D3501A"/>
    <w:rsid w:val="00D35024"/>
    <w:rsid w:val="00D3502D"/>
    <w:rsid w:val="00D350A6"/>
    <w:rsid w:val="00D350AD"/>
    <w:rsid w:val="00D350B8"/>
    <w:rsid w:val="00D350B9"/>
    <w:rsid w:val="00D350FC"/>
    <w:rsid w:val="00D35128"/>
    <w:rsid w:val="00D35147"/>
    <w:rsid w:val="00D35148"/>
    <w:rsid w:val="00D351BF"/>
    <w:rsid w:val="00D351EB"/>
    <w:rsid w:val="00D35214"/>
    <w:rsid w:val="00D35217"/>
    <w:rsid w:val="00D35263"/>
    <w:rsid w:val="00D35287"/>
    <w:rsid w:val="00D3529B"/>
    <w:rsid w:val="00D352D0"/>
    <w:rsid w:val="00D3531B"/>
    <w:rsid w:val="00D3531D"/>
    <w:rsid w:val="00D35326"/>
    <w:rsid w:val="00D3535B"/>
    <w:rsid w:val="00D3536B"/>
    <w:rsid w:val="00D35378"/>
    <w:rsid w:val="00D35381"/>
    <w:rsid w:val="00D353C9"/>
    <w:rsid w:val="00D353E0"/>
    <w:rsid w:val="00D35405"/>
    <w:rsid w:val="00D35407"/>
    <w:rsid w:val="00D35451"/>
    <w:rsid w:val="00D35461"/>
    <w:rsid w:val="00D3547D"/>
    <w:rsid w:val="00D3547F"/>
    <w:rsid w:val="00D3548F"/>
    <w:rsid w:val="00D354C2"/>
    <w:rsid w:val="00D354D5"/>
    <w:rsid w:val="00D354D9"/>
    <w:rsid w:val="00D35502"/>
    <w:rsid w:val="00D3551C"/>
    <w:rsid w:val="00D35566"/>
    <w:rsid w:val="00D35592"/>
    <w:rsid w:val="00D355DE"/>
    <w:rsid w:val="00D355E7"/>
    <w:rsid w:val="00D355EA"/>
    <w:rsid w:val="00D35614"/>
    <w:rsid w:val="00D35696"/>
    <w:rsid w:val="00D356B1"/>
    <w:rsid w:val="00D35708"/>
    <w:rsid w:val="00D35716"/>
    <w:rsid w:val="00D3571E"/>
    <w:rsid w:val="00D3574C"/>
    <w:rsid w:val="00D35752"/>
    <w:rsid w:val="00D35778"/>
    <w:rsid w:val="00D3577F"/>
    <w:rsid w:val="00D35795"/>
    <w:rsid w:val="00D357AF"/>
    <w:rsid w:val="00D357B1"/>
    <w:rsid w:val="00D357C2"/>
    <w:rsid w:val="00D357CA"/>
    <w:rsid w:val="00D35802"/>
    <w:rsid w:val="00D35826"/>
    <w:rsid w:val="00D35858"/>
    <w:rsid w:val="00D35879"/>
    <w:rsid w:val="00D358E1"/>
    <w:rsid w:val="00D3595E"/>
    <w:rsid w:val="00D3596A"/>
    <w:rsid w:val="00D35987"/>
    <w:rsid w:val="00D359F5"/>
    <w:rsid w:val="00D35A8D"/>
    <w:rsid w:val="00D35AAB"/>
    <w:rsid w:val="00D35AE2"/>
    <w:rsid w:val="00D35AEE"/>
    <w:rsid w:val="00D35B3A"/>
    <w:rsid w:val="00D35B3D"/>
    <w:rsid w:val="00D35BBF"/>
    <w:rsid w:val="00D35C08"/>
    <w:rsid w:val="00D35C22"/>
    <w:rsid w:val="00D35C2D"/>
    <w:rsid w:val="00D35C53"/>
    <w:rsid w:val="00D35C5F"/>
    <w:rsid w:val="00D35C76"/>
    <w:rsid w:val="00D35C77"/>
    <w:rsid w:val="00D35CBD"/>
    <w:rsid w:val="00D35CE4"/>
    <w:rsid w:val="00D35D06"/>
    <w:rsid w:val="00D35D58"/>
    <w:rsid w:val="00D35D60"/>
    <w:rsid w:val="00D35D6F"/>
    <w:rsid w:val="00D35DA4"/>
    <w:rsid w:val="00D35E4B"/>
    <w:rsid w:val="00D35E86"/>
    <w:rsid w:val="00D35ED5"/>
    <w:rsid w:val="00D35EEA"/>
    <w:rsid w:val="00D35F00"/>
    <w:rsid w:val="00D35F05"/>
    <w:rsid w:val="00D35F0C"/>
    <w:rsid w:val="00D35F40"/>
    <w:rsid w:val="00D35F81"/>
    <w:rsid w:val="00D35FA1"/>
    <w:rsid w:val="00D35FA9"/>
    <w:rsid w:val="00D35FC3"/>
    <w:rsid w:val="00D35FE7"/>
    <w:rsid w:val="00D35FFE"/>
    <w:rsid w:val="00D36028"/>
    <w:rsid w:val="00D3602C"/>
    <w:rsid w:val="00D36068"/>
    <w:rsid w:val="00D36072"/>
    <w:rsid w:val="00D360C0"/>
    <w:rsid w:val="00D3610A"/>
    <w:rsid w:val="00D36119"/>
    <w:rsid w:val="00D36120"/>
    <w:rsid w:val="00D36168"/>
    <w:rsid w:val="00D361A3"/>
    <w:rsid w:val="00D361B4"/>
    <w:rsid w:val="00D361D6"/>
    <w:rsid w:val="00D3621D"/>
    <w:rsid w:val="00D3623F"/>
    <w:rsid w:val="00D3627D"/>
    <w:rsid w:val="00D3628F"/>
    <w:rsid w:val="00D36308"/>
    <w:rsid w:val="00D3632D"/>
    <w:rsid w:val="00D3639B"/>
    <w:rsid w:val="00D36403"/>
    <w:rsid w:val="00D3646F"/>
    <w:rsid w:val="00D364B8"/>
    <w:rsid w:val="00D364C8"/>
    <w:rsid w:val="00D36555"/>
    <w:rsid w:val="00D36597"/>
    <w:rsid w:val="00D365C7"/>
    <w:rsid w:val="00D365D6"/>
    <w:rsid w:val="00D3667F"/>
    <w:rsid w:val="00D366A0"/>
    <w:rsid w:val="00D366BA"/>
    <w:rsid w:val="00D366D4"/>
    <w:rsid w:val="00D36717"/>
    <w:rsid w:val="00D36782"/>
    <w:rsid w:val="00D367A3"/>
    <w:rsid w:val="00D367B6"/>
    <w:rsid w:val="00D367CC"/>
    <w:rsid w:val="00D3681F"/>
    <w:rsid w:val="00D3685F"/>
    <w:rsid w:val="00D36864"/>
    <w:rsid w:val="00D3686A"/>
    <w:rsid w:val="00D36890"/>
    <w:rsid w:val="00D368A9"/>
    <w:rsid w:val="00D368C9"/>
    <w:rsid w:val="00D368D4"/>
    <w:rsid w:val="00D368F7"/>
    <w:rsid w:val="00D368FB"/>
    <w:rsid w:val="00D36908"/>
    <w:rsid w:val="00D3692E"/>
    <w:rsid w:val="00D36938"/>
    <w:rsid w:val="00D3694F"/>
    <w:rsid w:val="00D369B1"/>
    <w:rsid w:val="00D369E4"/>
    <w:rsid w:val="00D36A0D"/>
    <w:rsid w:val="00D36A1B"/>
    <w:rsid w:val="00D36A1E"/>
    <w:rsid w:val="00D36A42"/>
    <w:rsid w:val="00D36A58"/>
    <w:rsid w:val="00D36A96"/>
    <w:rsid w:val="00D36AB8"/>
    <w:rsid w:val="00D36AD4"/>
    <w:rsid w:val="00D36ADC"/>
    <w:rsid w:val="00D36AE4"/>
    <w:rsid w:val="00D36B37"/>
    <w:rsid w:val="00D36BB8"/>
    <w:rsid w:val="00D36C05"/>
    <w:rsid w:val="00D36C09"/>
    <w:rsid w:val="00D36C0B"/>
    <w:rsid w:val="00D36CA7"/>
    <w:rsid w:val="00D36CC3"/>
    <w:rsid w:val="00D36CC7"/>
    <w:rsid w:val="00D36D12"/>
    <w:rsid w:val="00D36D17"/>
    <w:rsid w:val="00D36D50"/>
    <w:rsid w:val="00D36D83"/>
    <w:rsid w:val="00D36D8A"/>
    <w:rsid w:val="00D36DD5"/>
    <w:rsid w:val="00D36DE6"/>
    <w:rsid w:val="00D36E7F"/>
    <w:rsid w:val="00D36E97"/>
    <w:rsid w:val="00D36ECC"/>
    <w:rsid w:val="00D36F29"/>
    <w:rsid w:val="00D36F2D"/>
    <w:rsid w:val="00D36F4A"/>
    <w:rsid w:val="00D36F72"/>
    <w:rsid w:val="00D36FF0"/>
    <w:rsid w:val="00D36FF6"/>
    <w:rsid w:val="00D37004"/>
    <w:rsid w:val="00D370DA"/>
    <w:rsid w:val="00D370E2"/>
    <w:rsid w:val="00D37104"/>
    <w:rsid w:val="00D3716A"/>
    <w:rsid w:val="00D371E8"/>
    <w:rsid w:val="00D37232"/>
    <w:rsid w:val="00D3725E"/>
    <w:rsid w:val="00D37275"/>
    <w:rsid w:val="00D372A5"/>
    <w:rsid w:val="00D37309"/>
    <w:rsid w:val="00D37338"/>
    <w:rsid w:val="00D3734F"/>
    <w:rsid w:val="00D37373"/>
    <w:rsid w:val="00D37390"/>
    <w:rsid w:val="00D3739F"/>
    <w:rsid w:val="00D373F1"/>
    <w:rsid w:val="00D3740F"/>
    <w:rsid w:val="00D37435"/>
    <w:rsid w:val="00D37502"/>
    <w:rsid w:val="00D3753B"/>
    <w:rsid w:val="00D37598"/>
    <w:rsid w:val="00D375E0"/>
    <w:rsid w:val="00D375E1"/>
    <w:rsid w:val="00D375ED"/>
    <w:rsid w:val="00D37606"/>
    <w:rsid w:val="00D3763B"/>
    <w:rsid w:val="00D37678"/>
    <w:rsid w:val="00D3767D"/>
    <w:rsid w:val="00D376C2"/>
    <w:rsid w:val="00D376DA"/>
    <w:rsid w:val="00D376FE"/>
    <w:rsid w:val="00D37712"/>
    <w:rsid w:val="00D37727"/>
    <w:rsid w:val="00D3775C"/>
    <w:rsid w:val="00D37762"/>
    <w:rsid w:val="00D37772"/>
    <w:rsid w:val="00D377AF"/>
    <w:rsid w:val="00D377B5"/>
    <w:rsid w:val="00D377B9"/>
    <w:rsid w:val="00D3783E"/>
    <w:rsid w:val="00D3785A"/>
    <w:rsid w:val="00D3786F"/>
    <w:rsid w:val="00D3787E"/>
    <w:rsid w:val="00D378E2"/>
    <w:rsid w:val="00D3790C"/>
    <w:rsid w:val="00D37938"/>
    <w:rsid w:val="00D37979"/>
    <w:rsid w:val="00D379CD"/>
    <w:rsid w:val="00D379D2"/>
    <w:rsid w:val="00D379DF"/>
    <w:rsid w:val="00D379EB"/>
    <w:rsid w:val="00D37A18"/>
    <w:rsid w:val="00D37A65"/>
    <w:rsid w:val="00D37AB7"/>
    <w:rsid w:val="00D37AD1"/>
    <w:rsid w:val="00D37AE7"/>
    <w:rsid w:val="00D37B0A"/>
    <w:rsid w:val="00D37B3F"/>
    <w:rsid w:val="00D37BAF"/>
    <w:rsid w:val="00D37BF6"/>
    <w:rsid w:val="00D37C0A"/>
    <w:rsid w:val="00D37C18"/>
    <w:rsid w:val="00D37C39"/>
    <w:rsid w:val="00D37C99"/>
    <w:rsid w:val="00D37D87"/>
    <w:rsid w:val="00D37D91"/>
    <w:rsid w:val="00D37DAC"/>
    <w:rsid w:val="00D37DE0"/>
    <w:rsid w:val="00D37E44"/>
    <w:rsid w:val="00D37E79"/>
    <w:rsid w:val="00D37EAE"/>
    <w:rsid w:val="00D37ED0"/>
    <w:rsid w:val="00D37EDF"/>
    <w:rsid w:val="00D37EFB"/>
    <w:rsid w:val="00D37F0F"/>
    <w:rsid w:val="00D37F24"/>
    <w:rsid w:val="00D37F9F"/>
    <w:rsid w:val="00D37FF9"/>
    <w:rsid w:val="00D4001C"/>
    <w:rsid w:val="00D40040"/>
    <w:rsid w:val="00D40048"/>
    <w:rsid w:val="00D40057"/>
    <w:rsid w:val="00D4005B"/>
    <w:rsid w:val="00D40081"/>
    <w:rsid w:val="00D4009F"/>
    <w:rsid w:val="00D400CF"/>
    <w:rsid w:val="00D400E5"/>
    <w:rsid w:val="00D400FA"/>
    <w:rsid w:val="00D4010A"/>
    <w:rsid w:val="00D40128"/>
    <w:rsid w:val="00D40142"/>
    <w:rsid w:val="00D40173"/>
    <w:rsid w:val="00D4018B"/>
    <w:rsid w:val="00D401A4"/>
    <w:rsid w:val="00D401B3"/>
    <w:rsid w:val="00D401CF"/>
    <w:rsid w:val="00D401D8"/>
    <w:rsid w:val="00D40243"/>
    <w:rsid w:val="00D40256"/>
    <w:rsid w:val="00D4025E"/>
    <w:rsid w:val="00D40280"/>
    <w:rsid w:val="00D40285"/>
    <w:rsid w:val="00D40293"/>
    <w:rsid w:val="00D402AF"/>
    <w:rsid w:val="00D402C9"/>
    <w:rsid w:val="00D40301"/>
    <w:rsid w:val="00D4031F"/>
    <w:rsid w:val="00D40339"/>
    <w:rsid w:val="00D40353"/>
    <w:rsid w:val="00D4037E"/>
    <w:rsid w:val="00D403D3"/>
    <w:rsid w:val="00D403FB"/>
    <w:rsid w:val="00D40411"/>
    <w:rsid w:val="00D40499"/>
    <w:rsid w:val="00D404AB"/>
    <w:rsid w:val="00D404AC"/>
    <w:rsid w:val="00D404D7"/>
    <w:rsid w:val="00D40571"/>
    <w:rsid w:val="00D4057A"/>
    <w:rsid w:val="00D40589"/>
    <w:rsid w:val="00D405B9"/>
    <w:rsid w:val="00D40602"/>
    <w:rsid w:val="00D40645"/>
    <w:rsid w:val="00D40665"/>
    <w:rsid w:val="00D4066E"/>
    <w:rsid w:val="00D40695"/>
    <w:rsid w:val="00D40696"/>
    <w:rsid w:val="00D406B4"/>
    <w:rsid w:val="00D406CA"/>
    <w:rsid w:val="00D406FA"/>
    <w:rsid w:val="00D40739"/>
    <w:rsid w:val="00D4074F"/>
    <w:rsid w:val="00D4075A"/>
    <w:rsid w:val="00D4075C"/>
    <w:rsid w:val="00D4078B"/>
    <w:rsid w:val="00D407B5"/>
    <w:rsid w:val="00D407C2"/>
    <w:rsid w:val="00D407E5"/>
    <w:rsid w:val="00D4080C"/>
    <w:rsid w:val="00D4080F"/>
    <w:rsid w:val="00D40815"/>
    <w:rsid w:val="00D40829"/>
    <w:rsid w:val="00D40872"/>
    <w:rsid w:val="00D40889"/>
    <w:rsid w:val="00D4089A"/>
    <w:rsid w:val="00D408CB"/>
    <w:rsid w:val="00D4090E"/>
    <w:rsid w:val="00D4091A"/>
    <w:rsid w:val="00D40924"/>
    <w:rsid w:val="00D40942"/>
    <w:rsid w:val="00D4094C"/>
    <w:rsid w:val="00D40972"/>
    <w:rsid w:val="00D4098B"/>
    <w:rsid w:val="00D409A3"/>
    <w:rsid w:val="00D409E7"/>
    <w:rsid w:val="00D40A3A"/>
    <w:rsid w:val="00D40A49"/>
    <w:rsid w:val="00D40A67"/>
    <w:rsid w:val="00D40AC4"/>
    <w:rsid w:val="00D40B48"/>
    <w:rsid w:val="00D40B66"/>
    <w:rsid w:val="00D40BAA"/>
    <w:rsid w:val="00D40BF0"/>
    <w:rsid w:val="00D40BFE"/>
    <w:rsid w:val="00D40C1F"/>
    <w:rsid w:val="00D40C74"/>
    <w:rsid w:val="00D40C88"/>
    <w:rsid w:val="00D40CE5"/>
    <w:rsid w:val="00D40CF0"/>
    <w:rsid w:val="00D40D1B"/>
    <w:rsid w:val="00D40D48"/>
    <w:rsid w:val="00D40D7A"/>
    <w:rsid w:val="00D40D8E"/>
    <w:rsid w:val="00D40D9F"/>
    <w:rsid w:val="00D40DA8"/>
    <w:rsid w:val="00D40DB5"/>
    <w:rsid w:val="00D40DE2"/>
    <w:rsid w:val="00D40E0D"/>
    <w:rsid w:val="00D40E84"/>
    <w:rsid w:val="00D40EDC"/>
    <w:rsid w:val="00D40EE2"/>
    <w:rsid w:val="00D40F8B"/>
    <w:rsid w:val="00D40FB2"/>
    <w:rsid w:val="00D40FE9"/>
    <w:rsid w:val="00D40FEE"/>
    <w:rsid w:val="00D40FEF"/>
    <w:rsid w:val="00D41007"/>
    <w:rsid w:val="00D4105F"/>
    <w:rsid w:val="00D41074"/>
    <w:rsid w:val="00D41096"/>
    <w:rsid w:val="00D410A2"/>
    <w:rsid w:val="00D410F2"/>
    <w:rsid w:val="00D41146"/>
    <w:rsid w:val="00D4114C"/>
    <w:rsid w:val="00D41159"/>
    <w:rsid w:val="00D4116B"/>
    <w:rsid w:val="00D411FB"/>
    <w:rsid w:val="00D4121D"/>
    <w:rsid w:val="00D41242"/>
    <w:rsid w:val="00D41285"/>
    <w:rsid w:val="00D4128C"/>
    <w:rsid w:val="00D41298"/>
    <w:rsid w:val="00D412C6"/>
    <w:rsid w:val="00D41358"/>
    <w:rsid w:val="00D41364"/>
    <w:rsid w:val="00D4138B"/>
    <w:rsid w:val="00D41390"/>
    <w:rsid w:val="00D413A8"/>
    <w:rsid w:val="00D413C4"/>
    <w:rsid w:val="00D413D3"/>
    <w:rsid w:val="00D413D5"/>
    <w:rsid w:val="00D413F2"/>
    <w:rsid w:val="00D4141B"/>
    <w:rsid w:val="00D41442"/>
    <w:rsid w:val="00D41447"/>
    <w:rsid w:val="00D41466"/>
    <w:rsid w:val="00D4150D"/>
    <w:rsid w:val="00D41579"/>
    <w:rsid w:val="00D4159A"/>
    <w:rsid w:val="00D415BF"/>
    <w:rsid w:val="00D415C5"/>
    <w:rsid w:val="00D415D2"/>
    <w:rsid w:val="00D415EB"/>
    <w:rsid w:val="00D415F6"/>
    <w:rsid w:val="00D415FB"/>
    <w:rsid w:val="00D41629"/>
    <w:rsid w:val="00D4167E"/>
    <w:rsid w:val="00D41693"/>
    <w:rsid w:val="00D416BD"/>
    <w:rsid w:val="00D41725"/>
    <w:rsid w:val="00D41730"/>
    <w:rsid w:val="00D41747"/>
    <w:rsid w:val="00D4177F"/>
    <w:rsid w:val="00D417EE"/>
    <w:rsid w:val="00D417FE"/>
    <w:rsid w:val="00D4182B"/>
    <w:rsid w:val="00D41852"/>
    <w:rsid w:val="00D41878"/>
    <w:rsid w:val="00D4188F"/>
    <w:rsid w:val="00D41893"/>
    <w:rsid w:val="00D418AD"/>
    <w:rsid w:val="00D418FC"/>
    <w:rsid w:val="00D41937"/>
    <w:rsid w:val="00D4193E"/>
    <w:rsid w:val="00D4196E"/>
    <w:rsid w:val="00D41980"/>
    <w:rsid w:val="00D419BD"/>
    <w:rsid w:val="00D41A10"/>
    <w:rsid w:val="00D41A5A"/>
    <w:rsid w:val="00D41AB1"/>
    <w:rsid w:val="00D41AD1"/>
    <w:rsid w:val="00D41AF1"/>
    <w:rsid w:val="00D41B54"/>
    <w:rsid w:val="00D41BA4"/>
    <w:rsid w:val="00D41BE1"/>
    <w:rsid w:val="00D41BFA"/>
    <w:rsid w:val="00D41C03"/>
    <w:rsid w:val="00D41C1D"/>
    <w:rsid w:val="00D41C29"/>
    <w:rsid w:val="00D41C32"/>
    <w:rsid w:val="00D41C3E"/>
    <w:rsid w:val="00D41C44"/>
    <w:rsid w:val="00D41C52"/>
    <w:rsid w:val="00D41C77"/>
    <w:rsid w:val="00D41C8D"/>
    <w:rsid w:val="00D41C8E"/>
    <w:rsid w:val="00D41C91"/>
    <w:rsid w:val="00D41CC9"/>
    <w:rsid w:val="00D41D2A"/>
    <w:rsid w:val="00D41D51"/>
    <w:rsid w:val="00D41D64"/>
    <w:rsid w:val="00D41D7E"/>
    <w:rsid w:val="00D41D96"/>
    <w:rsid w:val="00D41DAA"/>
    <w:rsid w:val="00D41DBF"/>
    <w:rsid w:val="00D41DFA"/>
    <w:rsid w:val="00D41E6C"/>
    <w:rsid w:val="00D41ECA"/>
    <w:rsid w:val="00D41EE1"/>
    <w:rsid w:val="00D41EF1"/>
    <w:rsid w:val="00D41F41"/>
    <w:rsid w:val="00D41F63"/>
    <w:rsid w:val="00D41F68"/>
    <w:rsid w:val="00D41FA1"/>
    <w:rsid w:val="00D41FA2"/>
    <w:rsid w:val="00D41FAF"/>
    <w:rsid w:val="00D41FBA"/>
    <w:rsid w:val="00D41FDF"/>
    <w:rsid w:val="00D41FF8"/>
    <w:rsid w:val="00D42007"/>
    <w:rsid w:val="00D42024"/>
    <w:rsid w:val="00D42033"/>
    <w:rsid w:val="00D42047"/>
    <w:rsid w:val="00D4204C"/>
    <w:rsid w:val="00D4204F"/>
    <w:rsid w:val="00D42062"/>
    <w:rsid w:val="00D420A6"/>
    <w:rsid w:val="00D420E7"/>
    <w:rsid w:val="00D420F3"/>
    <w:rsid w:val="00D4212E"/>
    <w:rsid w:val="00D4213F"/>
    <w:rsid w:val="00D42176"/>
    <w:rsid w:val="00D42212"/>
    <w:rsid w:val="00D42218"/>
    <w:rsid w:val="00D42245"/>
    <w:rsid w:val="00D4225C"/>
    <w:rsid w:val="00D4228F"/>
    <w:rsid w:val="00D42305"/>
    <w:rsid w:val="00D42375"/>
    <w:rsid w:val="00D4240C"/>
    <w:rsid w:val="00D4241B"/>
    <w:rsid w:val="00D42421"/>
    <w:rsid w:val="00D4243C"/>
    <w:rsid w:val="00D42475"/>
    <w:rsid w:val="00D424DF"/>
    <w:rsid w:val="00D42510"/>
    <w:rsid w:val="00D42535"/>
    <w:rsid w:val="00D42540"/>
    <w:rsid w:val="00D4257E"/>
    <w:rsid w:val="00D42616"/>
    <w:rsid w:val="00D4262E"/>
    <w:rsid w:val="00D4264D"/>
    <w:rsid w:val="00D4265C"/>
    <w:rsid w:val="00D4269D"/>
    <w:rsid w:val="00D426D2"/>
    <w:rsid w:val="00D426D7"/>
    <w:rsid w:val="00D426F3"/>
    <w:rsid w:val="00D426F6"/>
    <w:rsid w:val="00D42709"/>
    <w:rsid w:val="00D4273C"/>
    <w:rsid w:val="00D4275A"/>
    <w:rsid w:val="00D42773"/>
    <w:rsid w:val="00D428BE"/>
    <w:rsid w:val="00D428D0"/>
    <w:rsid w:val="00D428D8"/>
    <w:rsid w:val="00D428DF"/>
    <w:rsid w:val="00D4294A"/>
    <w:rsid w:val="00D429AE"/>
    <w:rsid w:val="00D429CF"/>
    <w:rsid w:val="00D429EF"/>
    <w:rsid w:val="00D42A0B"/>
    <w:rsid w:val="00D42A2D"/>
    <w:rsid w:val="00D42A35"/>
    <w:rsid w:val="00D42A70"/>
    <w:rsid w:val="00D42A8C"/>
    <w:rsid w:val="00D42A8E"/>
    <w:rsid w:val="00D42ABD"/>
    <w:rsid w:val="00D42ACC"/>
    <w:rsid w:val="00D42AE9"/>
    <w:rsid w:val="00D42B3B"/>
    <w:rsid w:val="00D42B9D"/>
    <w:rsid w:val="00D42BA8"/>
    <w:rsid w:val="00D42BCF"/>
    <w:rsid w:val="00D42C01"/>
    <w:rsid w:val="00D42C0C"/>
    <w:rsid w:val="00D42C6F"/>
    <w:rsid w:val="00D42C71"/>
    <w:rsid w:val="00D42C84"/>
    <w:rsid w:val="00D42CA5"/>
    <w:rsid w:val="00D42CB9"/>
    <w:rsid w:val="00D42CC8"/>
    <w:rsid w:val="00D42CD7"/>
    <w:rsid w:val="00D42CF8"/>
    <w:rsid w:val="00D42D26"/>
    <w:rsid w:val="00D42D27"/>
    <w:rsid w:val="00D42DA3"/>
    <w:rsid w:val="00D42DA9"/>
    <w:rsid w:val="00D42DB8"/>
    <w:rsid w:val="00D42DD3"/>
    <w:rsid w:val="00D42DDB"/>
    <w:rsid w:val="00D42DF5"/>
    <w:rsid w:val="00D42E42"/>
    <w:rsid w:val="00D42E51"/>
    <w:rsid w:val="00D42E91"/>
    <w:rsid w:val="00D42EA1"/>
    <w:rsid w:val="00D42EB7"/>
    <w:rsid w:val="00D42EE1"/>
    <w:rsid w:val="00D42F2D"/>
    <w:rsid w:val="00D42F2F"/>
    <w:rsid w:val="00D42F3A"/>
    <w:rsid w:val="00D42F7F"/>
    <w:rsid w:val="00D42F93"/>
    <w:rsid w:val="00D42FD9"/>
    <w:rsid w:val="00D43029"/>
    <w:rsid w:val="00D43062"/>
    <w:rsid w:val="00D43091"/>
    <w:rsid w:val="00D4309A"/>
    <w:rsid w:val="00D430D2"/>
    <w:rsid w:val="00D43160"/>
    <w:rsid w:val="00D4316C"/>
    <w:rsid w:val="00D43235"/>
    <w:rsid w:val="00D43240"/>
    <w:rsid w:val="00D4327B"/>
    <w:rsid w:val="00D4328D"/>
    <w:rsid w:val="00D4329E"/>
    <w:rsid w:val="00D432AE"/>
    <w:rsid w:val="00D43347"/>
    <w:rsid w:val="00D4334B"/>
    <w:rsid w:val="00D4336F"/>
    <w:rsid w:val="00D4338A"/>
    <w:rsid w:val="00D433B2"/>
    <w:rsid w:val="00D433CA"/>
    <w:rsid w:val="00D433E1"/>
    <w:rsid w:val="00D4344D"/>
    <w:rsid w:val="00D434BC"/>
    <w:rsid w:val="00D434FD"/>
    <w:rsid w:val="00D43546"/>
    <w:rsid w:val="00D43571"/>
    <w:rsid w:val="00D43579"/>
    <w:rsid w:val="00D435A9"/>
    <w:rsid w:val="00D435C5"/>
    <w:rsid w:val="00D435D1"/>
    <w:rsid w:val="00D435DE"/>
    <w:rsid w:val="00D43640"/>
    <w:rsid w:val="00D43649"/>
    <w:rsid w:val="00D4365D"/>
    <w:rsid w:val="00D43663"/>
    <w:rsid w:val="00D4367B"/>
    <w:rsid w:val="00D436B2"/>
    <w:rsid w:val="00D436CA"/>
    <w:rsid w:val="00D436CB"/>
    <w:rsid w:val="00D436DC"/>
    <w:rsid w:val="00D436E3"/>
    <w:rsid w:val="00D436F6"/>
    <w:rsid w:val="00D43703"/>
    <w:rsid w:val="00D4370B"/>
    <w:rsid w:val="00D4371F"/>
    <w:rsid w:val="00D43752"/>
    <w:rsid w:val="00D4378A"/>
    <w:rsid w:val="00D437C4"/>
    <w:rsid w:val="00D43825"/>
    <w:rsid w:val="00D43845"/>
    <w:rsid w:val="00D43853"/>
    <w:rsid w:val="00D438D9"/>
    <w:rsid w:val="00D43910"/>
    <w:rsid w:val="00D43913"/>
    <w:rsid w:val="00D4395B"/>
    <w:rsid w:val="00D439F2"/>
    <w:rsid w:val="00D43A01"/>
    <w:rsid w:val="00D43A0E"/>
    <w:rsid w:val="00D43A14"/>
    <w:rsid w:val="00D43A21"/>
    <w:rsid w:val="00D43A74"/>
    <w:rsid w:val="00D43A87"/>
    <w:rsid w:val="00D43A90"/>
    <w:rsid w:val="00D43B1B"/>
    <w:rsid w:val="00D43B4B"/>
    <w:rsid w:val="00D43B5B"/>
    <w:rsid w:val="00D43B7F"/>
    <w:rsid w:val="00D43BC8"/>
    <w:rsid w:val="00D43BEC"/>
    <w:rsid w:val="00D43BF2"/>
    <w:rsid w:val="00D43BFD"/>
    <w:rsid w:val="00D43CB3"/>
    <w:rsid w:val="00D43CFF"/>
    <w:rsid w:val="00D43D00"/>
    <w:rsid w:val="00D43D1A"/>
    <w:rsid w:val="00D43D4B"/>
    <w:rsid w:val="00D43D4C"/>
    <w:rsid w:val="00D43D9C"/>
    <w:rsid w:val="00D43DAF"/>
    <w:rsid w:val="00D43E17"/>
    <w:rsid w:val="00D43E79"/>
    <w:rsid w:val="00D43E82"/>
    <w:rsid w:val="00D43E95"/>
    <w:rsid w:val="00D43ED4"/>
    <w:rsid w:val="00D43EDA"/>
    <w:rsid w:val="00D43EFC"/>
    <w:rsid w:val="00D43F07"/>
    <w:rsid w:val="00D43F15"/>
    <w:rsid w:val="00D43F41"/>
    <w:rsid w:val="00D43F47"/>
    <w:rsid w:val="00D43F6F"/>
    <w:rsid w:val="00D43F82"/>
    <w:rsid w:val="00D43F8A"/>
    <w:rsid w:val="00D43FD3"/>
    <w:rsid w:val="00D43FD8"/>
    <w:rsid w:val="00D44002"/>
    <w:rsid w:val="00D44033"/>
    <w:rsid w:val="00D44042"/>
    <w:rsid w:val="00D4404E"/>
    <w:rsid w:val="00D44079"/>
    <w:rsid w:val="00D4407B"/>
    <w:rsid w:val="00D44081"/>
    <w:rsid w:val="00D440A0"/>
    <w:rsid w:val="00D440C7"/>
    <w:rsid w:val="00D440E2"/>
    <w:rsid w:val="00D440ED"/>
    <w:rsid w:val="00D44120"/>
    <w:rsid w:val="00D4412A"/>
    <w:rsid w:val="00D4417A"/>
    <w:rsid w:val="00D441AF"/>
    <w:rsid w:val="00D44238"/>
    <w:rsid w:val="00D44296"/>
    <w:rsid w:val="00D442A8"/>
    <w:rsid w:val="00D442B6"/>
    <w:rsid w:val="00D44336"/>
    <w:rsid w:val="00D44395"/>
    <w:rsid w:val="00D443B2"/>
    <w:rsid w:val="00D443BC"/>
    <w:rsid w:val="00D443C9"/>
    <w:rsid w:val="00D443EE"/>
    <w:rsid w:val="00D443F0"/>
    <w:rsid w:val="00D44406"/>
    <w:rsid w:val="00D4440B"/>
    <w:rsid w:val="00D44423"/>
    <w:rsid w:val="00D44459"/>
    <w:rsid w:val="00D444C6"/>
    <w:rsid w:val="00D444FD"/>
    <w:rsid w:val="00D44533"/>
    <w:rsid w:val="00D44544"/>
    <w:rsid w:val="00D44572"/>
    <w:rsid w:val="00D44589"/>
    <w:rsid w:val="00D445B3"/>
    <w:rsid w:val="00D445BE"/>
    <w:rsid w:val="00D445D7"/>
    <w:rsid w:val="00D445F9"/>
    <w:rsid w:val="00D4461E"/>
    <w:rsid w:val="00D44623"/>
    <w:rsid w:val="00D446A9"/>
    <w:rsid w:val="00D446B4"/>
    <w:rsid w:val="00D446B5"/>
    <w:rsid w:val="00D44748"/>
    <w:rsid w:val="00D44755"/>
    <w:rsid w:val="00D4476B"/>
    <w:rsid w:val="00D447B9"/>
    <w:rsid w:val="00D447C7"/>
    <w:rsid w:val="00D447F7"/>
    <w:rsid w:val="00D4484A"/>
    <w:rsid w:val="00D44900"/>
    <w:rsid w:val="00D4493C"/>
    <w:rsid w:val="00D449AB"/>
    <w:rsid w:val="00D449B7"/>
    <w:rsid w:val="00D449BC"/>
    <w:rsid w:val="00D449ED"/>
    <w:rsid w:val="00D449FF"/>
    <w:rsid w:val="00D44A03"/>
    <w:rsid w:val="00D44A10"/>
    <w:rsid w:val="00D44A3F"/>
    <w:rsid w:val="00D44A45"/>
    <w:rsid w:val="00D44A56"/>
    <w:rsid w:val="00D44AF0"/>
    <w:rsid w:val="00D44AF3"/>
    <w:rsid w:val="00D44AFA"/>
    <w:rsid w:val="00D44B02"/>
    <w:rsid w:val="00D44BCD"/>
    <w:rsid w:val="00D44C05"/>
    <w:rsid w:val="00D44C56"/>
    <w:rsid w:val="00D44C82"/>
    <w:rsid w:val="00D44C9F"/>
    <w:rsid w:val="00D44CBA"/>
    <w:rsid w:val="00D44CF7"/>
    <w:rsid w:val="00D44D1B"/>
    <w:rsid w:val="00D44D58"/>
    <w:rsid w:val="00D44D92"/>
    <w:rsid w:val="00D44E35"/>
    <w:rsid w:val="00D44E36"/>
    <w:rsid w:val="00D44E63"/>
    <w:rsid w:val="00D44EA0"/>
    <w:rsid w:val="00D44EAD"/>
    <w:rsid w:val="00D44EE4"/>
    <w:rsid w:val="00D44F49"/>
    <w:rsid w:val="00D44F4C"/>
    <w:rsid w:val="00D44F66"/>
    <w:rsid w:val="00D44FC6"/>
    <w:rsid w:val="00D44FD0"/>
    <w:rsid w:val="00D44FE1"/>
    <w:rsid w:val="00D45005"/>
    <w:rsid w:val="00D45054"/>
    <w:rsid w:val="00D45062"/>
    <w:rsid w:val="00D45063"/>
    <w:rsid w:val="00D45091"/>
    <w:rsid w:val="00D45097"/>
    <w:rsid w:val="00D450B6"/>
    <w:rsid w:val="00D450C5"/>
    <w:rsid w:val="00D450D9"/>
    <w:rsid w:val="00D45154"/>
    <w:rsid w:val="00D45166"/>
    <w:rsid w:val="00D451A7"/>
    <w:rsid w:val="00D451B5"/>
    <w:rsid w:val="00D451BB"/>
    <w:rsid w:val="00D4523C"/>
    <w:rsid w:val="00D45268"/>
    <w:rsid w:val="00D45269"/>
    <w:rsid w:val="00D45297"/>
    <w:rsid w:val="00D452A6"/>
    <w:rsid w:val="00D452AD"/>
    <w:rsid w:val="00D452CB"/>
    <w:rsid w:val="00D452CF"/>
    <w:rsid w:val="00D452DD"/>
    <w:rsid w:val="00D45339"/>
    <w:rsid w:val="00D4537B"/>
    <w:rsid w:val="00D45453"/>
    <w:rsid w:val="00D4546E"/>
    <w:rsid w:val="00D45484"/>
    <w:rsid w:val="00D454A0"/>
    <w:rsid w:val="00D454C1"/>
    <w:rsid w:val="00D454E3"/>
    <w:rsid w:val="00D4552B"/>
    <w:rsid w:val="00D4552E"/>
    <w:rsid w:val="00D4553E"/>
    <w:rsid w:val="00D455CE"/>
    <w:rsid w:val="00D455F3"/>
    <w:rsid w:val="00D45641"/>
    <w:rsid w:val="00D45668"/>
    <w:rsid w:val="00D456CE"/>
    <w:rsid w:val="00D45705"/>
    <w:rsid w:val="00D45720"/>
    <w:rsid w:val="00D45727"/>
    <w:rsid w:val="00D45767"/>
    <w:rsid w:val="00D4576E"/>
    <w:rsid w:val="00D4579F"/>
    <w:rsid w:val="00D457D4"/>
    <w:rsid w:val="00D457DF"/>
    <w:rsid w:val="00D457E1"/>
    <w:rsid w:val="00D45812"/>
    <w:rsid w:val="00D45840"/>
    <w:rsid w:val="00D45849"/>
    <w:rsid w:val="00D45880"/>
    <w:rsid w:val="00D458AA"/>
    <w:rsid w:val="00D458D7"/>
    <w:rsid w:val="00D458F5"/>
    <w:rsid w:val="00D45924"/>
    <w:rsid w:val="00D459B9"/>
    <w:rsid w:val="00D459C3"/>
    <w:rsid w:val="00D459CC"/>
    <w:rsid w:val="00D459EE"/>
    <w:rsid w:val="00D459EF"/>
    <w:rsid w:val="00D45A0F"/>
    <w:rsid w:val="00D45A16"/>
    <w:rsid w:val="00D45A34"/>
    <w:rsid w:val="00D45A90"/>
    <w:rsid w:val="00D45ACB"/>
    <w:rsid w:val="00D45AF8"/>
    <w:rsid w:val="00D45AFC"/>
    <w:rsid w:val="00D45B18"/>
    <w:rsid w:val="00D45B52"/>
    <w:rsid w:val="00D45B64"/>
    <w:rsid w:val="00D45B7A"/>
    <w:rsid w:val="00D45B89"/>
    <w:rsid w:val="00D45BCF"/>
    <w:rsid w:val="00D45BD6"/>
    <w:rsid w:val="00D45C2B"/>
    <w:rsid w:val="00D45C50"/>
    <w:rsid w:val="00D45C55"/>
    <w:rsid w:val="00D45CBE"/>
    <w:rsid w:val="00D45CCF"/>
    <w:rsid w:val="00D45D28"/>
    <w:rsid w:val="00D45D36"/>
    <w:rsid w:val="00D45D47"/>
    <w:rsid w:val="00D45D76"/>
    <w:rsid w:val="00D45D9A"/>
    <w:rsid w:val="00D45DCB"/>
    <w:rsid w:val="00D45DD0"/>
    <w:rsid w:val="00D45DD2"/>
    <w:rsid w:val="00D45DF8"/>
    <w:rsid w:val="00D45E15"/>
    <w:rsid w:val="00D45E38"/>
    <w:rsid w:val="00D45E5C"/>
    <w:rsid w:val="00D45E90"/>
    <w:rsid w:val="00D45EB5"/>
    <w:rsid w:val="00D45F67"/>
    <w:rsid w:val="00D45FA3"/>
    <w:rsid w:val="00D45FA4"/>
    <w:rsid w:val="00D45FCE"/>
    <w:rsid w:val="00D45FF6"/>
    <w:rsid w:val="00D46004"/>
    <w:rsid w:val="00D46033"/>
    <w:rsid w:val="00D46089"/>
    <w:rsid w:val="00D460B4"/>
    <w:rsid w:val="00D460DA"/>
    <w:rsid w:val="00D460F9"/>
    <w:rsid w:val="00D4611A"/>
    <w:rsid w:val="00D4611E"/>
    <w:rsid w:val="00D46135"/>
    <w:rsid w:val="00D46172"/>
    <w:rsid w:val="00D46179"/>
    <w:rsid w:val="00D461AB"/>
    <w:rsid w:val="00D461BB"/>
    <w:rsid w:val="00D461DA"/>
    <w:rsid w:val="00D461E1"/>
    <w:rsid w:val="00D461E5"/>
    <w:rsid w:val="00D46211"/>
    <w:rsid w:val="00D46235"/>
    <w:rsid w:val="00D4628A"/>
    <w:rsid w:val="00D4628F"/>
    <w:rsid w:val="00D462A6"/>
    <w:rsid w:val="00D462AC"/>
    <w:rsid w:val="00D462B0"/>
    <w:rsid w:val="00D462CC"/>
    <w:rsid w:val="00D462FF"/>
    <w:rsid w:val="00D46308"/>
    <w:rsid w:val="00D4631F"/>
    <w:rsid w:val="00D46331"/>
    <w:rsid w:val="00D4635A"/>
    <w:rsid w:val="00D46364"/>
    <w:rsid w:val="00D4637F"/>
    <w:rsid w:val="00D463A2"/>
    <w:rsid w:val="00D463A6"/>
    <w:rsid w:val="00D463AE"/>
    <w:rsid w:val="00D463BE"/>
    <w:rsid w:val="00D463F5"/>
    <w:rsid w:val="00D46416"/>
    <w:rsid w:val="00D4644B"/>
    <w:rsid w:val="00D4647E"/>
    <w:rsid w:val="00D464E4"/>
    <w:rsid w:val="00D464F8"/>
    <w:rsid w:val="00D46510"/>
    <w:rsid w:val="00D4652C"/>
    <w:rsid w:val="00D46570"/>
    <w:rsid w:val="00D465A0"/>
    <w:rsid w:val="00D465A9"/>
    <w:rsid w:val="00D465B9"/>
    <w:rsid w:val="00D46612"/>
    <w:rsid w:val="00D46683"/>
    <w:rsid w:val="00D466CB"/>
    <w:rsid w:val="00D4671A"/>
    <w:rsid w:val="00D46728"/>
    <w:rsid w:val="00D46755"/>
    <w:rsid w:val="00D467AF"/>
    <w:rsid w:val="00D467C7"/>
    <w:rsid w:val="00D467D9"/>
    <w:rsid w:val="00D467F0"/>
    <w:rsid w:val="00D46828"/>
    <w:rsid w:val="00D46838"/>
    <w:rsid w:val="00D4683A"/>
    <w:rsid w:val="00D46860"/>
    <w:rsid w:val="00D4686A"/>
    <w:rsid w:val="00D4688C"/>
    <w:rsid w:val="00D468A5"/>
    <w:rsid w:val="00D468B3"/>
    <w:rsid w:val="00D468CB"/>
    <w:rsid w:val="00D468D6"/>
    <w:rsid w:val="00D468F7"/>
    <w:rsid w:val="00D468F8"/>
    <w:rsid w:val="00D46908"/>
    <w:rsid w:val="00D46925"/>
    <w:rsid w:val="00D4695B"/>
    <w:rsid w:val="00D4699A"/>
    <w:rsid w:val="00D469BB"/>
    <w:rsid w:val="00D469BF"/>
    <w:rsid w:val="00D469C5"/>
    <w:rsid w:val="00D469E9"/>
    <w:rsid w:val="00D46A23"/>
    <w:rsid w:val="00D46A4D"/>
    <w:rsid w:val="00D46A5B"/>
    <w:rsid w:val="00D46A68"/>
    <w:rsid w:val="00D46A7E"/>
    <w:rsid w:val="00D46AFF"/>
    <w:rsid w:val="00D46B5D"/>
    <w:rsid w:val="00D46B5F"/>
    <w:rsid w:val="00D46B65"/>
    <w:rsid w:val="00D46BE3"/>
    <w:rsid w:val="00D46BE5"/>
    <w:rsid w:val="00D46BF0"/>
    <w:rsid w:val="00D46BF3"/>
    <w:rsid w:val="00D46BF5"/>
    <w:rsid w:val="00D46C0B"/>
    <w:rsid w:val="00D46C2D"/>
    <w:rsid w:val="00D46C32"/>
    <w:rsid w:val="00D46C8A"/>
    <w:rsid w:val="00D46C8D"/>
    <w:rsid w:val="00D46CA9"/>
    <w:rsid w:val="00D46CED"/>
    <w:rsid w:val="00D46D6C"/>
    <w:rsid w:val="00D46D80"/>
    <w:rsid w:val="00D46D92"/>
    <w:rsid w:val="00D46DBC"/>
    <w:rsid w:val="00D46DD5"/>
    <w:rsid w:val="00D46DDA"/>
    <w:rsid w:val="00D46DE7"/>
    <w:rsid w:val="00D46DEE"/>
    <w:rsid w:val="00D46E07"/>
    <w:rsid w:val="00D46E18"/>
    <w:rsid w:val="00D46E6E"/>
    <w:rsid w:val="00D46E85"/>
    <w:rsid w:val="00D46EF9"/>
    <w:rsid w:val="00D46F1C"/>
    <w:rsid w:val="00D46FA3"/>
    <w:rsid w:val="00D46FBD"/>
    <w:rsid w:val="00D47024"/>
    <w:rsid w:val="00D4703A"/>
    <w:rsid w:val="00D4706E"/>
    <w:rsid w:val="00D47076"/>
    <w:rsid w:val="00D47082"/>
    <w:rsid w:val="00D470BF"/>
    <w:rsid w:val="00D470EC"/>
    <w:rsid w:val="00D470F4"/>
    <w:rsid w:val="00D4711F"/>
    <w:rsid w:val="00D47158"/>
    <w:rsid w:val="00D4715D"/>
    <w:rsid w:val="00D4715E"/>
    <w:rsid w:val="00D4716F"/>
    <w:rsid w:val="00D47171"/>
    <w:rsid w:val="00D47178"/>
    <w:rsid w:val="00D47183"/>
    <w:rsid w:val="00D471C2"/>
    <w:rsid w:val="00D471DB"/>
    <w:rsid w:val="00D471E8"/>
    <w:rsid w:val="00D47240"/>
    <w:rsid w:val="00D47242"/>
    <w:rsid w:val="00D47302"/>
    <w:rsid w:val="00D47308"/>
    <w:rsid w:val="00D4730D"/>
    <w:rsid w:val="00D47328"/>
    <w:rsid w:val="00D47333"/>
    <w:rsid w:val="00D4733E"/>
    <w:rsid w:val="00D47402"/>
    <w:rsid w:val="00D47426"/>
    <w:rsid w:val="00D47447"/>
    <w:rsid w:val="00D4744C"/>
    <w:rsid w:val="00D4748B"/>
    <w:rsid w:val="00D47497"/>
    <w:rsid w:val="00D474A4"/>
    <w:rsid w:val="00D474E7"/>
    <w:rsid w:val="00D47505"/>
    <w:rsid w:val="00D47508"/>
    <w:rsid w:val="00D4754F"/>
    <w:rsid w:val="00D475A1"/>
    <w:rsid w:val="00D475A8"/>
    <w:rsid w:val="00D475E6"/>
    <w:rsid w:val="00D47616"/>
    <w:rsid w:val="00D47620"/>
    <w:rsid w:val="00D47621"/>
    <w:rsid w:val="00D4763C"/>
    <w:rsid w:val="00D476C9"/>
    <w:rsid w:val="00D476D1"/>
    <w:rsid w:val="00D476F5"/>
    <w:rsid w:val="00D47703"/>
    <w:rsid w:val="00D4770D"/>
    <w:rsid w:val="00D4770F"/>
    <w:rsid w:val="00D4771D"/>
    <w:rsid w:val="00D47735"/>
    <w:rsid w:val="00D47764"/>
    <w:rsid w:val="00D47766"/>
    <w:rsid w:val="00D47790"/>
    <w:rsid w:val="00D477A5"/>
    <w:rsid w:val="00D477A6"/>
    <w:rsid w:val="00D477A9"/>
    <w:rsid w:val="00D477C6"/>
    <w:rsid w:val="00D47809"/>
    <w:rsid w:val="00D47833"/>
    <w:rsid w:val="00D4783B"/>
    <w:rsid w:val="00D4783E"/>
    <w:rsid w:val="00D47846"/>
    <w:rsid w:val="00D47847"/>
    <w:rsid w:val="00D478CF"/>
    <w:rsid w:val="00D478F2"/>
    <w:rsid w:val="00D47901"/>
    <w:rsid w:val="00D4792F"/>
    <w:rsid w:val="00D47990"/>
    <w:rsid w:val="00D479B5"/>
    <w:rsid w:val="00D479BE"/>
    <w:rsid w:val="00D47A09"/>
    <w:rsid w:val="00D47A4D"/>
    <w:rsid w:val="00D47A5B"/>
    <w:rsid w:val="00D47A65"/>
    <w:rsid w:val="00D47A75"/>
    <w:rsid w:val="00D47AA1"/>
    <w:rsid w:val="00D47AB1"/>
    <w:rsid w:val="00D47AC7"/>
    <w:rsid w:val="00D47B47"/>
    <w:rsid w:val="00D47B86"/>
    <w:rsid w:val="00D47BA0"/>
    <w:rsid w:val="00D47BB9"/>
    <w:rsid w:val="00D47BD5"/>
    <w:rsid w:val="00D47BEF"/>
    <w:rsid w:val="00D47BF5"/>
    <w:rsid w:val="00D47BF6"/>
    <w:rsid w:val="00D47C0F"/>
    <w:rsid w:val="00D47C27"/>
    <w:rsid w:val="00D47C2C"/>
    <w:rsid w:val="00D47C3B"/>
    <w:rsid w:val="00D47C6C"/>
    <w:rsid w:val="00D47C87"/>
    <w:rsid w:val="00D47C90"/>
    <w:rsid w:val="00D47CBE"/>
    <w:rsid w:val="00D47CC9"/>
    <w:rsid w:val="00D47CEF"/>
    <w:rsid w:val="00D47D4A"/>
    <w:rsid w:val="00D47D72"/>
    <w:rsid w:val="00D47D73"/>
    <w:rsid w:val="00D47D98"/>
    <w:rsid w:val="00D47DC4"/>
    <w:rsid w:val="00D47DD1"/>
    <w:rsid w:val="00D47E18"/>
    <w:rsid w:val="00D47E23"/>
    <w:rsid w:val="00D47E55"/>
    <w:rsid w:val="00D47E67"/>
    <w:rsid w:val="00D47E80"/>
    <w:rsid w:val="00D47EB7"/>
    <w:rsid w:val="00D47F13"/>
    <w:rsid w:val="00D47F85"/>
    <w:rsid w:val="00D50047"/>
    <w:rsid w:val="00D50053"/>
    <w:rsid w:val="00D500A8"/>
    <w:rsid w:val="00D50134"/>
    <w:rsid w:val="00D50138"/>
    <w:rsid w:val="00D5017A"/>
    <w:rsid w:val="00D50199"/>
    <w:rsid w:val="00D5022C"/>
    <w:rsid w:val="00D50246"/>
    <w:rsid w:val="00D50294"/>
    <w:rsid w:val="00D50297"/>
    <w:rsid w:val="00D502BC"/>
    <w:rsid w:val="00D502C3"/>
    <w:rsid w:val="00D502D8"/>
    <w:rsid w:val="00D502D9"/>
    <w:rsid w:val="00D502E2"/>
    <w:rsid w:val="00D502E3"/>
    <w:rsid w:val="00D5030D"/>
    <w:rsid w:val="00D5031D"/>
    <w:rsid w:val="00D5032E"/>
    <w:rsid w:val="00D50349"/>
    <w:rsid w:val="00D503B3"/>
    <w:rsid w:val="00D503E3"/>
    <w:rsid w:val="00D5042C"/>
    <w:rsid w:val="00D50436"/>
    <w:rsid w:val="00D50439"/>
    <w:rsid w:val="00D5043A"/>
    <w:rsid w:val="00D50446"/>
    <w:rsid w:val="00D50539"/>
    <w:rsid w:val="00D5056E"/>
    <w:rsid w:val="00D505B1"/>
    <w:rsid w:val="00D505B3"/>
    <w:rsid w:val="00D505FD"/>
    <w:rsid w:val="00D50624"/>
    <w:rsid w:val="00D50638"/>
    <w:rsid w:val="00D506D4"/>
    <w:rsid w:val="00D506EA"/>
    <w:rsid w:val="00D506F1"/>
    <w:rsid w:val="00D50719"/>
    <w:rsid w:val="00D507A5"/>
    <w:rsid w:val="00D507A9"/>
    <w:rsid w:val="00D507C8"/>
    <w:rsid w:val="00D507D2"/>
    <w:rsid w:val="00D507E4"/>
    <w:rsid w:val="00D507FD"/>
    <w:rsid w:val="00D50841"/>
    <w:rsid w:val="00D50855"/>
    <w:rsid w:val="00D508A3"/>
    <w:rsid w:val="00D508BB"/>
    <w:rsid w:val="00D508BF"/>
    <w:rsid w:val="00D508F6"/>
    <w:rsid w:val="00D50907"/>
    <w:rsid w:val="00D5095E"/>
    <w:rsid w:val="00D50965"/>
    <w:rsid w:val="00D50974"/>
    <w:rsid w:val="00D509A4"/>
    <w:rsid w:val="00D50A5A"/>
    <w:rsid w:val="00D50A5C"/>
    <w:rsid w:val="00D50A81"/>
    <w:rsid w:val="00D50ABF"/>
    <w:rsid w:val="00D50AF1"/>
    <w:rsid w:val="00D50AF6"/>
    <w:rsid w:val="00D50B0F"/>
    <w:rsid w:val="00D50B12"/>
    <w:rsid w:val="00D50B65"/>
    <w:rsid w:val="00D50B74"/>
    <w:rsid w:val="00D50B91"/>
    <w:rsid w:val="00D50BA2"/>
    <w:rsid w:val="00D50BB3"/>
    <w:rsid w:val="00D50BFB"/>
    <w:rsid w:val="00D50C0F"/>
    <w:rsid w:val="00D50C64"/>
    <w:rsid w:val="00D50CB3"/>
    <w:rsid w:val="00D50CC3"/>
    <w:rsid w:val="00D50CD2"/>
    <w:rsid w:val="00D50D2F"/>
    <w:rsid w:val="00D50D58"/>
    <w:rsid w:val="00D50DB2"/>
    <w:rsid w:val="00D50DF5"/>
    <w:rsid w:val="00D50E06"/>
    <w:rsid w:val="00D50E17"/>
    <w:rsid w:val="00D50E64"/>
    <w:rsid w:val="00D50E6E"/>
    <w:rsid w:val="00D50E85"/>
    <w:rsid w:val="00D50EAB"/>
    <w:rsid w:val="00D50EAD"/>
    <w:rsid w:val="00D50EC9"/>
    <w:rsid w:val="00D50ECF"/>
    <w:rsid w:val="00D50ED1"/>
    <w:rsid w:val="00D50ED2"/>
    <w:rsid w:val="00D50EFE"/>
    <w:rsid w:val="00D50F10"/>
    <w:rsid w:val="00D50FAD"/>
    <w:rsid w:val="00D50FC0"/>
    <w:rsid w:val="00D50FC9"/>
    <w:rsid w:val="00D50FD5"/>
    <w:rsid w:val="00D50FE7"/>
    <w:rsid w:val="00D51007"/>
    <w:rsid w:val="00D51046"/>
    <w:rsid w:val="00D5104F"/>
    <w:rsid w:val="00D51056"/>
    <w:rsid w:val="00D51088"/>
    <w:rsid w:val="00D5108B"/>
    <w:rsid w:val="00D510EE"/>
    <w:rsid w:val="00D5112B"/>
    <w:rsid w:val="00D5113B"/>
    <w:rsid w:val="00D511B6"/>
    <w:rsid w:val="00D511CB"/>
    <w:rsid w:val="00D511D5"/>
    <w:rsid w:val="00D511F8"/>
    <w:rsid w:val="00D51211"/>
    <w:rsid w:val="00D5122E"/>
    <w:rsid w:val="00D512A4"/>
    <w:rsid w:val="00D512DD"/>
    <w:rsid w:val="00D51326"/>
    <w:rsid w:val="00D51336"/>
    <w:rsid w:val="00D5134F"/>
    <w:rsid w:val="00D513A3"/>
    <w:rsid w:val="00D513A9"/>
    <w:rsid w:val="00D513D2"/>
    <w:rsid w:val="00D513DC"/>
    <w:rsid w:val="00D513F2"/>
    <w:rsid w:val="00D51406"/>
    <w:rsid w:val="00D51439"/>
    <w:rsid w:val="00D51450"/>
    <w:rsid w:val="00D514A7"/>
    <w:rsid w:val="00D514D0"/>
    <w:rsid w:val="00D514D2"/>
    <w:rsid w:val="00D514ED"/>
    <w:rsid w:val="00D5157E"/>
    <w:rsid w:val="00D5159E"/>
    <w:rsid w:val="00D515BC"/>
    <w:rsid w:val="00D5160D"/>
    <w:rsid w:val="00D51629"/>
    <w:rsid w:val="00D5165B"/>
    <w:rsid w:val="00D51664"/>
    <w:rsid w:val="00D5167E"/>
    <w:rsid w:val="00D516AC"/>
    <w:rsid w:val="00D516B4"/>
    <w:rsid w:val="00D516E5"/>
    <w:rsid w:val="00D516F0"/>
    <w:rsid w:val="00D51773"/>
    <w:rsid w:val="00D5177D"/>
    <w:rsid w:val="00D517B8"/>
    <w:rsid w:val="00D517C4"/>
    <w:rsid w:val="00D51817"/>
    <w:rsid w:val="00D51822"/>
    <w:rsid w:val="00D51823"/>
    <w:rsid w:val="00D51830"/>
    <w:rsid w:val="00D5185D"/>
    <w:rsid w:val="00D5189F"/>
    <w:rsid w:val="00D518B2"/>
    <w:rsid w:val="00D518E0"/>
    <w:rsid w:val="00D518FE"/>
    <w:rsid w:val="00D51918"/>
    <w:rsid w:val="00D51923"/>
    <w:rsid w:val="00D51928"/>
    <w:rsid w:val="00D51A43"/>
    <w:rsid w:val="00D51A8E"/>
    <w:rsid w:val="00D51A9F"/>
    <w:rsid w:val="00D51AF9"/>
    <w:rsid w:val="00D51B61"/>
    <w:rsid w:val="00D51B6B"/>
    <w:rsid w:val="00D51B82"/>
    <w:rsid w:val="00D51BBB"/>
    <w:rsid w:val="00D51BC3"/>
    <w:rsid w:val="00D51BDD"/>
    <w:rsid w:val="00D51BFF"/>
    <w:rsid w:val="00D51C26"/>
    <w:rsid w:val="00D51C4F"/>
    <w:rsid w:val="00D51C57"/>
    <w:rsid w:val="00D51C5C"/>
    <w:rsid w:val="00D51C96"/>
    <w:rsid w:val="00D51CDA"/>
    <w:rsid w:val="00D51CF0"/>
    <w:rsid w:val="00D51CFE"/>
    <w:rsid w:val="00D51D19"/>
    <w:rsid w:val="00D51D39"/>
    <w:rsid w:val="00D51D3F"/>
    <w:rsid w:val="00D51D4E"/>
    <w:rsid w:val="00D51D89"/>
    <w:rsid w:val="00D51D92"/>
    <w:rsid w:val="00D51DA9"/>
    <w:rsid w:val="00D51E5C"/>
    <w:rsid w:val="00D51E74"/>
    <w:rsid w:val="00D51E77"/>
    <w:rsid w:val="00D51EB3"/>
    <w:rsid w:val="00D51EC0"/>
    <w:rsid w:val="00D51EF5"/>
    <w:rsid w:val="00D51F04"/>
    <w:rsid w:val="00D51F1B"/>
    <w:rsid w:val="00D51F80"/>
    <w:rsid w:val="00D51FB4"/>
    <w:rsid w:val="00D51FD0"/>
    <w:rsid w:val="00D51FF7"/>
    <w:rsid w:val="00D52006"/>
    <w:rsid w:val="00D5205A"/>
    <w:rsid w:val="00D52068"/>
    <w:rsid w:val="00D52085"/>
    <w:rsid w:val="00D5208E"/>
    <w:rsid w:val="00D520BD"/>
    <w:rsid w:val="00D520D1"/>
    <w:rsid w:val="00D520D7"/>
    <w:rsid w:val="00D520DB"/>
    <w:rsid w:val="00D52120"/>
    <w:rsid w:val="00D52127"/>
    <w:rsid w:val="00D5212A"/>
    <w:rsid w:val="00D52143"/>
    <w:rsid w:val="00D52156"/>
    <w:rsid w:val="00D5219C"/>
    <w:rsid w:val="00D521CC"/>
    <w:rsid w:val="00D521E1"/>
    <w:rsid w:val="00D521EE"/>
    <w:rsid w:val="00D5221A"/>
    <w:rsid w:val="00D52244"/>
    <w:rsid w:val="00D522AC"/>
    <w:rsid w:val="00D522DE"/>
    <w:rsid w:val="00D522FF"/>
    <w:rsid w:val="00D5231C"/>
    <w:rsid w:val="00D5237D"/>
    <w:rsid w:val="00D523C4"/>
    <w:rsid w:val="00D523D9"/>
    <w:rsid w:val="00D52419"/>
    <w:rsid w:val="00D5243A"/>
    <w:rsid w:val="00D5243B"/>
    <w:rsid w:val="00D52498"/>
    <w:rsid w:val="00D525B4"/>
    <w:rsid w:val="00D525DA"/>
    <w:rsid w:val="00D525E2"/>
    <w:rsid w:val="00D525F2"/>
    <w:rsid w:val="00D52617"/>
    <w:rsid w:val="00D52638"/>
    <w:rsid w:val="00D52645"/>
    <w:rsid w:val="00D5266E"/>
    <w:rsid w:val="00D52678"/>
    <w:rsid w:val="00D52711"/>
    <w:rsid w:val="00D527B1"/>
    <w:rsid w:val="00D527C1"/>
    <w:rsid w:val="00D527C7"/>
    <w:rsid w:val="00D527F8"/>
    <w:rsid w:val="00D52816"/>
    <w:rsid w:val="00D52869"/>
    <w:rsid w:val="00D52871"/>
    <w:rsid w:val="00D52892"/>
    <w:rsid w:val="00D5289D"/>
    <w:rsid w:val="00D528B8"/>
    <w:rsid w:val="00D528F3"/>
    <w:rsid w:val="00D5290D"/>
    <w:rsid w:val="00D52945"/>
    <w:rsid w:val="00D5294A"/>
    <w:rsid w:val="00D5294C"/>
    <w:rsid w:val="00D52966"/>
    <w:rsid w:val="00D529B4"/>
    <w:rsid w:val="00D529D0"/>
    <w:rsid w:val="00D529F2"/>
    <w:rsid w:val="00D52A5F"/>
    <w:rsid w:val="00D52A8E"/>
    <w:rsid w:val="00D52B0B"/>
    <w:rsid w:val="00D52B13"/>
    <w:rsid w:val="00D52B29"/>
    <w:rsid w:val="00D52B2F"/>
    <w:rsid w:val="00D52B4C"/>
    <w:rsid w:val="00D52B53"/>
    <w:rsid w:val="00D52B87"/>
    <w:rsid w:val="00D52C47"/>
    <w:rsid w:val="00D52C52"/>
    <w:rsid w:val="00D52C6D"/>
    <w:rsid w:val="00D52CB9"/>
    <w:rsid w:val="00D52CFD"/>
    <w:rsid w:val="00D52D2A"/>
    <w:rsid w:val="00D52D42"/>
    <w:rsid w:val="00D52D7E"/>
    <w:rsid w:val="00D52D8E"/>
    <w:rsid w:val="00D52DA6"/>
    <w:rsid w:val="00D52DB0"/>
    <w:rsid w:val="00D52DCA"/>
    <w:rsid w:val="00D52DDE"/>
    <w:rsid w:val="00D52E3E"/>
    <w:rsid w:val="00D52E57"/>
    <w:rsid w:val="00D52E7B"/>
    <w:rsid w:val="00D52E90"/>
    <w:rsid w:val="00D52EC9"/>
    <w:rsid w:val="00D52EE5"/>
    <w:rsid w:val="00D52F15"/>
    <w:rsid w:val="00D52F29"/>
    <w:rsid w:val="00D52F38"/>
    <w:rsid w:val="00D52F3C"/>
    <w:rsid w:val="00D52F6E"/>
    <w:rsid w:val="00D52FD1"/>
    <w:rsid w:val="00D53017"/>
    <w:rsid w:val="00D5301F"/>
    <w:rsid w:val="00D53036"/>
    <w:rsid w:val="00D53052"/>
    <w:rsid w:val="00D53068"/>
    <w:rsid w:val="00D53096"/>
    <w:rsid w:val="00D5310E"/>
    <w:rsid w:val="00D5311B"/>
    <w:rsid w:val="00D53140"/>
    <w:rsid w:val="00D53183"/>
    <w:rsid w:val="00D53198"/>
    <w:rsid w:val="00D53262"/>
    <w:rsid w:val="00D53282"/>
    <w:rsid w:val="00D532B3"/>
    <w:rsid w:val="00D532BA"/>
    <w:rsid w:val="00D532F5"/>
    <w:rsid w:val="00D5330C"/>
    <w:rsid w:val="00D53311"/>
    <w:rsid w:val="00D5332E"/>
    <w:rsid w:val="00D533E4"/>
    <w:rsid w:val="00D53414"/>
    <w:rsid w:val="00D5343B"/>
    <w:rsid w:val="00D53461"/>
    <w:rsid w:val="00D534BA"/>
    <w:rsid w:val="00D534BC"/>
    <w:rsid w:val="00D534CC"/>
    <w:rsid w:val="00D534CF"/>
    <w:rsid w:val="00D534FB"/>
    <w:rsid w:val="00D53511"/>
    <w:rsid w:val="00D53519"/>
    <w:rsid w:val="00D53525"/>
    <w:rsid w:val="00D5353E"/>
    <w:rsid w:val="00D53561"/>
    <w:rsid w:val="00D53598"/>
    <w:rsid w:val="00D5359D"/>
    <w:rsid w:val="00D535AF"/>
    <w:rsid w:val="00D53600"/>
    <w:rsid w:val="00D53640"/>
    <w:rsid w:val="00D53766"/>
    <w:rsid w:val="00D537A1"/>
    <w:rsid w:val="00D537C1"/>
    <w:rsid w:val="00D53807"/>
    <w:rsid w:val="00D5381B"/>
    <w:rsid w:val="00D5381E"/>
    <w:rsid w:val="00D5383B"/>
    <w:rsid w:val="00D5385A"/>
    <w:rsid w:val="00D53876"/>
    <w:rsid w:val="00D53879"/>
    <w:rsid w:val="00D5389D"/>
    <w:rsid w:val="00D538CA"/>
    <w:rsid w:val="00D538FD"/>
    <w:rsid w:val="00D53906"/>
    <w:rsid w:val="00D5391E"/>
    <w:rsid w:val="00D53989"/>
    <w:rsid w:val="00D539F2"/>
    <w:rsid w:val="00D53A55"/>
    <w:rsid w:val="00D53A81"/>
    <w:rsid w:val="00D53AAE"/>
    <w:rsid w:val="00D53B24"/>
    <w:rsid w:val="00D53B47"/>
    <w:rsid w:val="00D53B5B"/>
    <w:rsid w:val="00D53B78"/>
    <w:rsid w:val="00D53B8C"/>
    <w:rsid w:val="00D53B8D"/>
    <w:rsid w:val="00D53B8E"/>
    <w:rsid w:val="00D53B9F"/>
    <w:rsid w:val="00D53BC7"/>
    <w:rsid w:val="00D53BD2"/>
    <w:rsid w:val="00D53C36"/>
    <w:rsid w:val="00D53C3D"/>
    <w:rsid w:val="00D53C3F"/>
    <w:rsid w:val="00D53C97"/>
    <w:rsid w:val="00D53D04"/>
    <w:rsid w:val="00D53D14"/>
    <w:rsid w:val="00D53D30"/>
    <w:rsid w:val="00D53D48"/>
    <w:rsid w:val="00D53D53"/>
    <w:rsid w:val="00D53D6B"/>
    <w:rsid w:val="00D53DB5"/>
    <w:rsid w:val="00D53DD4"/>
    <w:rsid w:val="00D53E04"/>
    <w:rsid w:val="00D53E1E"/>
    <w:rsid w:val="00D53E1F"/>
    <w:rsid w:val="00D53E30"/>
    <w:rsid w:val="00D53E7B"/>
    <w:rsid w:val="00D53E87"/>
    <w:rsid w:val="00D53E88"/>
    <w:rsid w:val="00D53ED3"/>
    <w:rsid w:val="00D53ED8"/>
    <w:rsid w:val="00D53EFC"/>
    <w:rsid w:val="00D53F0F"/>
    <w:rsid w:val="00D53F3B"/>
    <w:rsid w:val="00D53F48"/>
    <w:rsid w:val="00D53F6A"/>
    <w:rsid w:val="00D53F9C"/>
    <w:rsid w:val="00D53FAA"/>
    <w:rsid w:val="00D53FF0"/>
    <w:rsid w:val="00D54031"/>
    <w:rsid w:val="00D54039"/>
    <w:rsid w:val="00D54071"/>
    <w:rsid w:val="00D54086"/>
    <w:rsid w:val="00D540A3"/>
    <w:rsid w:val="00D540F3"/>
    <w:rsid w:val="00D540F5"/>
    <w:rsid w:val="00D54134"/>
    <w:rsid w:val="00D54140"/>
    <w:rsid w:val="00D54146"/>
    <w:rsid w:val="00D5417B"/>
    <w:rsid w:val="00D541A6"/>
    <w:rsid w:val="00D541B9"/>
    <w:rsid w:val="00D541C7"/>
    <w:rsid w:val="00D541DF"/>
    <w:rsid w:val="00D541F5"/>
    <w:rsid w:val="00D541FC"/>
    <w:rsid w:val="00D5422A"/>
    <w:rsid w:val="00D5422D"/>
    <w:rsid w:val="00D54258"/>
    <w:rsid w:val="00D542A0"/>
    <w:rsid w:val="00D542A5"/>
    <w:rsid w:val="00D542B0"/>
    <w:rsid w:val="00D542C1"/>
    <w:rsid w:val="00D542D4"/>
    <w:rsid w:val="00D542D7"/>
    <w:rsid w:val="00D54300"/>
    <w:rsid w:val="00D54306"/>
    <w:rsid w:val="00D5432A"/>
    <w:rsid w:val="00D5434A"/>
    <w:rsid w:val="00D54352"/>
    <w:rsid w:val="00D54364"/>
    <w:rsid w:val="00D543E3"/>
    <w:rsid w:val="00D54421"/>
    <w:rsid w:val="00D5443A"/>
    <w:rsid w:val="00D5444C"/>
    <w:rsid w:val="00D5444F"/>
    <w:rsid w:val="00D54457"/>
    <w:rsid w:val="00D5445A"/>
    <w:rsid w:val="00D544A1"/>
    <w:rsid w:val="00D544A4"/>
    <w:rsid w:val="00D544BB"/>
    <w:rsid w:val="00D54516"/>
    <w:rsid w:val="00D5451D"/>
    <w:rsid w:val="00D545AE"/>
    <w:rsid w:val="00D54620"/>
    <w:rsid w:val="00D54648"/>
    <w:rsid w:val="00D546F1"/>
    <w:rsid w:val="00D54753"/>
    <w:rsid w:val="00D54778"/>
    <w:rsid w:val="00D547AB"/>
    <w:rsid w:val="00D547B4"/>
    <w:rsid w:val="00D547B5"/>
    <w:rsid w:val="00D54838"/>
    <w:rsid w:val="00D5484C"/>
    <w:rsid w:val="00D548EC"/>
    <w:rsid w:val="00D54954"/>
    <w:rsid w:val="00D549A6"/>
    <w:rsid w:val="00D54A1B"/>
    <w:rsid w:val="00D54A35"/>
    <w:rsid w:val="00D54A79"/>
    <w:rsid w:val="00D54AA1"/>
    <w:rsid w:val="00D54B9D"/>
    <w:rsid w:val="00D54BAB"/>
    <w:rsid w:val="00D54BDD"/>
    <w:rsid w:val="00D54CEE"/>
    <w:rsid w:val="00D54D76"/>
    <w:rsid w:val="00D54D79"/>
    <w:rsid w:val="00D54D8C"/>
    <w:rsid w:val="00D54D94"/>
    <w:rsid w:val="00D54DD8"/>
    <w:rsid w:val="00D54DFB"/>
    <w:rsid w:val="00D54E47"/>
    <w:rsid w:val="00D54E57"/>
    <w:rsid w:val="00D54EBA"/>
    <w:rsid w:val="00D54EF0"/>
    <w:rsid w:val="00D54F18"/>
    <w:rsid w:val="00D54F25"/>
    <w:rsid w:val="00D54F45"/>
    <w:rsid w:val="00D54FA3"/>
    <w:rsid w:val="00D54FEB"/>
    <w:rsid w:val="00D55049"/>
    <w:rsid w:val="00D55072"/>
    <w:rsid w:val="00D5509C"/>
    <w:rsid w:val="00D550E3"/>
    <w:rsid w:val="00D550EB"/>
    <w:rsid w:val="00D5511D"/>
    <w:rsid w:val="00D55142"/>
    <w:rsid w:val="00D55199"/>
    <w:rsid w:val="00D55224"/>
    <w:rsid w:val="00D55225"/>
    <w:rsid w:val="00D5523D"/>
    <w:rsid w:val="00D55247"/>
    <w:rsid w:val="00D55268"/>
    <w:rsid w:val="00D55271"/>
    <w:rsid w:val="00D55288"/>
    <w:rsid w:val="00D552E7"/>
    <w:rsid w:val="00D5536E"/>
    <w:rsid w:val="00D5537F"/>
    <w:rsid w:val="00D553C8"/>
    <w:rsid w:val="00D553E7"/>
    <w:rsid w:val="00D55411"/>
    <w:rsid w:val="00D5541D"/>
    <w:rsid w:val="00D5543C"/>
    <w:rsid w:val="00D55445"/>
    <w:rsid w:val="00D5549B"/>
    <w:rsid w:val="00D554F1"/>
    <w:rsid w:val="00D55524"/>
    <w:rsid w:val="00D55549"/>
    <w:rsid w:val="00D555E5"/>
    <w:rsid w:val="00D5562A"/>
    <w:rsid w:val="00D55661"/>
    <w:rsid w:val="00D55674"/>
    <w:rsid w:val="00D5568A"/>
    <w:rsid w:val="00D556B1"/>
    <w:rsid w:val="00D556C4"/>
    <w:rsid w:val="00D55709"/>
    <w:rsid w:val="00D55717"/>
    <w:rsid w:val="00D5572D"/>
    <w:rsid w:val="00D5579C"/>
    <w:rsid w:val="00D557CA"/>
    <w:rsid w:val="00D557F4"/>
    <w:rsid w:val="00D5586C"/>
    <w:rsid w:val="00D55882"/>
    <w:rsid w:val="00D558C6"/>
    <w:rsid w:val="00D55911"/>
    <w:rsid w:val="00D5591B"/>
    <w:rsid w:val="00D5599D"/>
    <w:rsid w:val="00D559AD"/>
    <w:rsid w:val="00D559C2"/>
    <w:rsid w:val="00D559C3"/>
    <w:rsid w:val="00D559D0"/>
    <w:rsid w:val="00D55A01"/>
    <w:rsid w:val="00D55A0E"/>
    <w:rsid w:val="00D55A13"/>
    <w:rsid w:val="00D55A91"/>
    <w:rsid w:val="00D55AB4"/>
    <w:rsid w:val="00D55B16"/>
    <w:rsid w:val="00D55B3E"/>
    <w:rsid w:val="00D55B4D"/>
    <w:rsid w:val="00D55B52"/>
    <w:rsid w:val="00D55B9A"/>
    <w:rsid w:val="00D55C0A"/>
    <w:rsid w:val="00D55C1F"/>
    <w:rsid w:val="00D55C2A"/>
    <w:rsid w:val="00D55C43"/>
    <w:rsid w:val="00D55C67"/>
    <w:rsid w:val="00D55C6F"/>
    <w:rsid w:val="00D55C70"/>
    <w:rsid w:val="00D55C7D"/>
    <w:rsid w:val="00D55C82"/>
    <w:rsid w:val="00D55CF6"/>
    <w:rsid w:val="00D55D07"/>
    <w:rsid w:val="00D55D68"/>
    <w:rsid w:val="00D55D86"/>
    <w:rsid w:val="00D55D96"/>
    <w:rsid w:val="00D55DA4"/>
    <w:rsid w:val="00D55E30"/>
    <w:rsid w:val="00D55E3B"/>
    <w:rsid w:val="00D55E46"/>
    <w:rsid w:val="00D55E7C"/>
    <w:rsid w:val="00D55E7F"/>
    <w:rsid w:val="00D55ECC"/>
    <w:rsid w:val="00D55EDE"/>
    <w:rsid w:val="00D55EE5"/>
    <w:rsid w:val="00D55F3A"/>
    <w:rsid w:val="00D55F4A"/>
    <w:rsid w:val="00D55F4D"/>
    <w:rsid w:val="00D55F79"/>
    <w:rsid w:val="00D55F93"/>
    <w:rsid w:val="00D55FC7"/>
    <w:rsid w:val="00D55FC8"/>
    <w:rsid w:val="00D55FCD"/>
    <w:rsid w:val="00D55FE2"/>
    <w:rsid w:val="00D56014"/>
    <w:rsid w:val="00D56064"/>
    <w:rsid w:val="00D56070"/>
    <w:rsid w:val="00D560A2"/>
    <w:rsid w:val="00D56112"/>
    <w:rsid w:val="00D56144"/>
    <w:rsid w:val="00D56180"/>
    <w:rsid w:val="00D56247"/>
    <w:rsid w:val="00D5629C"/>
    <w:rsid w:val="00D562DC"/>
    <w:rsid w:val="00D5631E"/>
    <w:rsid w:val="00D56356"/>
    <w:rsid w:val="00D56375"/>
    <w:rsid w:val="00D56386"/>
    <w:rsid w:val="00D5639E"/>
    <w:rsid w:val="00D563D2"/>
    <w:rsid w:val="00D563D4"/>
    <w:rsid w:val="00D563F3"/>
    <w:rsid w:val="00D56407"/>
    <w:rsid w:val="00D56423"/>
    <w:rsid w:val="00D56424"/>
    <w:rsid w:val="00D5643A"/>
    <w:rsid w:val="00D56452"/>
    <w:rsid w:val="00D56457"/>
    <w:rsid w:val="00D5648C"/>
    <w:rsid w:val="00D564A0"/>
    <w:rsid w:val="00D564F9"/>
    <w:rsid w:val="00D56575"/>
    <w:rsid w:val="00D565CB"/>
    <w:rsid w:val="00D56619"/>
    <w:rsid w:val="00D56647"/>
    <w:rsid w:val="00D5664D"/>
    <w:rsid w:val="00D5666D"/>
    <w:rsid w:val="00D5667B"/>
    <w:rsid w:val="00D566B2"/>
    <w:rsid w:val="00D566D8"/>
    <w:rsid w:val="00D56705"/>
    <w:rsid w:val="00D56708"/>
    <w:rsid w:val="00D5670F"/>
    <w:rsid w:val="00D5672A"/>
    <w:rsid w:val="00D56734"/>
    <w:rsid w:val="00D5673E"/>
    <w:rsid w:val="00D5674B"/>
    <w:rsid w:val="00D56754"/>
    <w:rsid w:val="00D56767"/>
    <w:rsid w:val="00D567B4"/>
    <w:rsid w:val="00D567DE"/>
    <w:rsid w:val="00D567EB"/>
    <w:rsid w:val="00D56806"/>
    <w:rsid w:val="00D5684E"/>
    <w:rsid w:val="00D568BA"/>
    <w:rsid w:val="00D568E7"/>
    <w:rsid w:val="00D56907"/>
    <w:rsid w:val="00D56911"/>
    <w:rsid w:val="00D56937"/>
    <w:rsid w:val="00D56940"/>
    <w:rsid w:val="00D56946"/>
    <w:rsid w:val="00D56986"/>
    <w:rsid w:val="00D5699D"/>
    <w:rsid w:val="00D569A4"/>
    <w:rsid w:val="00D569A6"/>
    <w:rsid w:val="00D569C1"/>
    <w:rsid w:val="00D569D2"/>
    <w:rsid w:val="00D569D8"/>
    <w:rsid w:val="00D56A70"/>
    <w:rsid w:val="00D56A76"/>
    <w:rsid w:val="00D56A8D"/>
    <w:rsid w:val="00D56AA0"/>
    <w:rsid w:val="00D56AB1"/>
    <w:rsid w:val="00D56ABB"/>
    <w:rsid w:val="00D56AED"/>
    <w:rsid w:val="00D56B7D"/>
    <w:rsid w:val="00D56B83"/>
    <w:rsid w:val="00D56BAA"/>
    <w:rsid w:val="00D56C21"/>
    <w:rsid w:val="00D56C49"/>
    <w:rsid w:val="00D56C4A"/>
    <w:rsid w:val="00D56C62"/>
    <w:rsid w:val="00D56C92"/>
    <w:rsid w:val="00D56CCA"/>
    <w:rsid w:val="00D56CDE"/>
    <w:rsid w:val="00D56CF1"/>
    <w:rsid w:val="00D56D30"/>
    <w:rsid w:val="00D56D41"/>
    <w:rsid w:val="00D56D55"/>
    <w:rsid w:val="00D56D78"/>
    <w:rsid w:val="00D56D79"/>
    <w:rsid w:val="00D56DCA"/>
    <w:rsid w:val="00D56E1D"/>
    <w:rsid w:val="00D56E3C"/>
    <w:rsid w:val="00D56E5B"/>
    <w:rsid w:val="00D56E5D"/>
    <w:rsid w:val="00D56EAB"/>
    <w:rsid w:val="00D56EB8"/>
    <w:rsid w:val="00D56EBA"/>
    <w:rsid w:val="00D56F07"/>
    <w:rsid w:val="00D56F43"/>
    <w:rsid w:val="00D56F89"/>
    <w:rsid w:val="00D56F90"/>
    <w:rsid w:val="00D56FB5"/>
    <w:rsid w:val="00D56FC9"/>
    <w:rsid w:val="00D56FE8"/>
    <w:rsid w:val="00D5701F"/>
    <w:rsid w:val="00D57026"/>
    <w:rsid w:val="00D5702C"/>
    <w:rsid w:val="00D57033"/>
    <w:rsid w:val="00D57068"/>
    <w:rsid w:val="00D570D9"/>
    <w:rsid w:val="00D570FA"/>
    <w:rsid w:val="00D57157"/>
    <w:rsid w:val="00D57167"/>
    <w:rsid w:val="00D5716A"/>
    <w:rsid w:val="00D571A4"/>
    <w:rsid w:val="00D571C3"/>
    <w:rsid w:val="00D571D7"/>
    <w:rsid w:val="00D571FC"/>
    <w:rsid w:val="00D5723F"/>
    <w:rsid w:val="00D57240"/>
    <w:rsid w:val="00D57265"/>
    <w:rsid w:val="00D572A9"/>
    <w:rsid w:val="00D572C2"/>
    <w:rsid w:val="00D573C1"/>
    <w:rsid w:val="00D573C4"/>
    <w:rsid w:val="00D573CC"/>
    <w:rsid w:val="00D57418"/>
    <w:rsid w:val="00D5741E"/>
    <w:rsid w:val="00D57446"/>
    <w:rsid w:val="00D57451"/>
    <w:rsid w:val="00D5745B"/>
    <w:rsid w:val="00D5746B"/>
    <w:rsid w:val="00D5746E"/>
    <w:rsid w:val="00D5748D"/>
    <w:rsid w:val="00D574CB"/>
    <w:rsid w:val="00D574D3"/>
    <w:rsid w:val="00D574EA"/>
    <w:rsid w:val="00D574FE"/>
    <w:rsid w:val="00D57500"/>
    <w:rsid w:val="00D57502"/>
    <w:rsid w:val="00D5752E"/>
    <w:rsid w:val="00D57561"/>
    <w:rsid w:val="00D57572"/>
    <w:rsid w:val="00D5757D"/>
    <w:rsid w:val="00D575B7"/>
    <w:rsid w:val="00D575D3"/>
    <w:rsid w:val="00D575D9"/>
    <w:rsid w:val="00D575E8"/>
    <w:rsid w:val="00D57623"/>
    <w:rsid w:val="00D57642"/>
    <w:rsid w:val="00D5765F"/>
    <w:rsid w:val="00D57671"/>
    <w:rsid w:val="00D57673"/>
    <w:rsid w:val="00D57675"/>
    <w:rsid w:val="00D57698"/>
    <w:rsid w:val="00D57699"/>
    <w:rsid w:val="00D576C2"/>
    <w:rsid w:val="00D576DB"/>
    <w:rsid w:val="00D5774B"/>
    <w:rsid w:val="00D577C0"/>
    <w:rsid w:val="00D5790E"/>
    <w:rsid w:val="00D57913"/>
    <w:rsid w:val="00D5794D"/>
    <w:rsid w:val="00D5795C"/>
    <w:rsid w:val="00D57970"/>
    <w:rsid w:val="00D57995"/>
    <w:rsid w:val="00D57997"/>
    <w:rsid w:val="00D579A7"/>
    <w:rsid w:val="00D579EE"/>
    <w:rsid w:val="00D579FD"/>
    <w:rsid w:val="00D57A1B"/>
    <w:rsid w:val="00D57A37"/>
    <w:rsid w:val="00D57A73"/>
    <w:rsid w:val="00D57A7F"/>
    <w:rsid w:val="00D57A8F"/>
    <w:rsid w:val="00D57AF7"/>
    <w:rsid w:val="00D57B62"/>
    <w:rsid w:val="00D57B71"/>
    <w:rsid w:val="00D57BA4"/>
    <w:rsid w:val="00D57BC0"/>
    <w:rsid w:val="00D57BD1"/>
    <w:rsid w:val="00D57BFA"/>
    <w:rsid w:val="00D57C05"/>
    <w:rsid w:val="00D57C18"/>
    <w:rsid w:val="00D57C56"/>
    <w:rsid w:val="00D57C67"/>
    <w:rsid w:val="00D57C72"/>
    <w:rsid w:val="00D57C88"/>
    <w:rsid w:val="00D57CB5"/>
    <w:rsid w:val="00D57CC4"/>
    <w:rsid w:val="00D57CD2"/>
    <w:rsid w:val="00D57CE5"/>
    <w:rsid w:val="00D57D3E"/>
    <w:rsid w:val="00D57D46"/>
    <w:rsid w:val="00D57D65"/>
    <w:rsid w:val="00D57DAF"/>
    <w:rsid w:val="00D57DB7"/>
    <w:rsid w:val="00D57DCF"/>
    <w:rsid w:val="00D57E08"/>
    <w:rsid w:val="00D57E35"/>
    <w:rsid w:val="00D57E3B"/>
    <w:rsid w:val="00D57E46"/>
    <w:rsid w:val="00D57E60"/>
    <w:rsid w:val="00D57EAF"/>
    <w:rsid w:val="00D57EBE"/>
    <w:rsid w:val="00D57ECB"/>
    <w:rsid w:val="00D57ECC"/>
    <w:rsid w:val="00D57EDF"/>
    <w:rsid w:val="00D57F91"/>
    <w:rsid w:val="00D57FA3"/>
    <w:rsid w:val="00D57FC7"/>
    <w:rsid w:val="00D58233"/>
    <w:rsid w:val="00D6001E"/>
    <w:rsid w:val="00D60025"/>
    <w:rsid w:val="00D6007E"/>
    <w:rsid w:val="00D60087"/>
    <w:rsid w:val="00D6008F"/>
    <w:rsid w:val="00D600B9"/>
    <w:rsid w:val="00D600BB"/>
    <w:rsid w:val="00D60100"/>
    <w:rsid w:val="00D60152"/>
    <w:rsid w:val="00D60179"/>
    <w:rsid w:val="00D6018C"/>
    <w:rsid w:val="00D60191"/>
    <w:rsid w:val="00D601DA"/>
    <w:rsid w:val="00D601E1"/>
    <w:rsid w:val="00D60296"/>
    <w:rsid w:val="00D602E9"/>
    <w:rsid w:val="00D602EA"/>
    <w:rsid w:val="00D602FF"/>
    <w:rsid w:val="00D6032B"/>
    <w:rsid w:val="00D60341"/>
    <w:rsid w:val="00D60372"/>
    <w:rsid w:val="00D60381"/>
    <w:rsid w:val="00D603BB"/>
    <w:rsid w:val="00D603C2"/>
    <w:rsid w:val="00D603CB"/>
    <w:rsid w:val="00D603D4"/>
    <w:rsid w:val="00D603DE"/>
    <w:rsid w:val="00D603E3"/>
    <w:rsid w:val="00D603F9"/>
    <w:rsid w:val="00D6043F"/>
    <w:rsid w:val="00D60447"/>
    <w:rsid w:val="00D6044B"/>
    <w:rsid w:val="00D60451"/>
    <w:rsid w:val="00D6046D"/>
    <w:rsid w:val="00D60483"/>
    <w:rsid w:val="00D604B8"/>
    <w:rsid w:val="00D604C4"/>
    <w:rsid w:val="00D604E8"/>
    <w:rsid w:val="00D60531"/>
    <w:rsid w:val="00D60537"/>
    <w:rsid w:val="00D6054C"/>
    <w:rsid w:val="00D6059E"/>
    <w:rsid w:val="00D60645"/>
    <w:rsid w:val="00D6064C"/>
    <w:rsid w:val="00D6066D"/>
    <w:rsid w:val="00D606F5"/>
    <w:rsid w:val="00D606F8"/>
    <w:rsid w:val="00D60732"/>
    <w:rsid w:val="00D6075F"/>
    <w:rsid w:val="00D60769"/>
    <w:rsid w:val="00D607D0"/>
    <w:rsid w:val="00D607D4"/>
    <w:rsid w:val="00D607E6"/>
    <w:rsid w:val="00D607ED"/>
    <w:rsid w:val="00D6080E"/>
    <w:rsid w:val="00D6082E"/>
    <w:rsid w:val="00D6085B"/>
    <w:rsid w:val="00D608BF"/>
    <w:rsid w:val="00D608D1"/>
    <w:rsid w:val="00D608D5"/>
    <w:rsid w:val="00D608FC"/>
    <w:rsid w:val="00D6093D"/>
    <w:rsid w:val="00D6098A"/>
    <w:rsid w:val="00D609CA"/>
    <w:rsid w:val="00D609CC"/>
    <w:rsid w:val="00D609DE"/>
    <w:rsid w:val="00D60A1E"/>
    <w:rsid w:val="00D60A93"/>
    <w:rsid w:val="00D60AB8"/>
    <w:rsid w:val="00D60AC0"/>
    <w:rsid w:val="00D60AD2"/>
    <w:rsid w:val="00D60AD9"/>
    <w:rsid w:val="00D60AF5"/>
    <w:rsid w:val="00D60B22"/>
    <w:rsid w:val="00D60BBD"/>
    <w:rsid w:val="00D60BE5"/>
    <w:rsid w:val="00D60C01"/>
    <w:rsid w:val="00D60C06"/>
    <w:rsid w:val="00D60C0E"/>
    <w:rsid w:val="00D60C76"/>
    <w:rsid w:val="00D60C94"/>
    <w:rsid w:val="00D60CD6"/>
    <w:rsid w:val="00D60CE3"/>
    <w:rsid w:val="00D60D07"/>
    <w:rsid w:val="00D60D16"/>
    <w:rsid w:val="00D60D87"/>
    <w:rsid w:val="00D60DAA"/>
    <w:rsid w:val="00D60DF7"/>
    <w:rsid w:val="00D60E0A"/>
    <w:rsid w:val="00D60E10"/>
    <w:rsid w:val="00D60E24"/>
    <w:rsid w:val="00D60E5B"/>
    <w:rsid w:val="00D60EA5"/>
    <w:rsid w:val="00D60EE1"/>
    <w:rsid w:val="00D60F13"/>
    <w:rsid w:val="00D60F48"/>
    <w:rsid w:val="00D60F71"/>
    <w:rsid w:val="00D60FA6"/>
    <w:rsid w:val="00D60FB3"/>
    <w:rsid w:val="00D60FF2"/>
    <w:rsid w:val="00D61013"/>
    <w:rsid w:val="00D6101B"/>
    <w:rsid w:val="00D61031"/>
    <w:rsid w:val="00D61036"/>
    <w:rsid w:val="00D6105D"/>
    <w:rsid w:val="00D610C0"/>
    <w:rsid w:val="00D6113F"/>
    <w:rsid w:val="00D61159"/>
    <w:rsid w:val="00D61187"/>
    <w:rsid w:val="00D611AE"/>
    <w:rsid w:val="00D611CA"/>
    <w:rsid w:val="00D611CE"/>
    <w:rsid w:val="00D611E8"/>
    <w:rsid w:val="00D61242"/>
    <w:rsid w:val="00D6124E"/>
    <w:rsid w:val="00D61297"/>
    <w:rsid w:val="00D612B6"/>
    <w:rsid w:val="00D612B7"/>
    <w:rsid w:val="00D612C1"/>
    <w:rsid w:val="00D612D2"/>
    <w:rsid w:val="00D612F1"/>
    <w:rsid w:val="00D612FF"/>
    <w:rsid w:val="00D6130A"/>
    <w:rsid w:val="00D6130F"/>
    <w:rsid w:val="00D61323"/>
    <w:rsid w:val="00D61356"/>
    <w:rsid w:val="00D61366"/>
    <w:rsid w:val="00D61387"/>
    <w:rsid w:val="00D613B4"/>
    <w:rsid w:val="00D613EB"/>
    <w:rsid w:val="00D613EE"/>
    <w:rsid w:val="00D61418"/>
    <w:rsid w:val="00D61477"/>
    <w:rsid w:val="00D614A1"/>
    <w:rsid w:val="00D614B3"/>
    <w:rsid w:val="00D614C9"/>
    <w:rsid w:val="00D614E8"/>
    <w:rsid w:val="00D61528"/>
    <w:rsid w:val="00D6156B"/>
    <w:rsid w:val="00D61598"/>
    <w:rsid w:val="00D6159A"/>
    <w:rsid w:val="00D615B8"/>
    <w:rsid w:val="00D615D0"/>
    <w:rsid w:val="00D61646"/>
    <w:rsid w:val="00D6164D"/>
    <w:rsid w:val="00D6164F"/>
    <w:rsid w:val="00D61668"/>
    <w:rsid w:val="00D61679"/>
    <w:rsid w:val="00D616D5"/>
    <w:rsid w:val="00D616DD"/>
    <w:rsid w:val="00D616E1"/>
    <w:rsid w:val="00D616EC"/>
    <w:rsid w:val="00D61756"/>
    <w:rsid w:val="00D61774"/>
    <w:rsid w:val="00D6178E"/>
    <w:rsid w:val="00D617D1"/>
    <w:rsid w:val="00D617FF"/>
    <w:rsid w:val="00D61838"/>
    <w:rsid w:val="00D6183A"/>
    <w:rsid w:val="00D6183D"/>
    <w:rsid w:val="00D618C0"/>
    <w:rsid w:val="00D618C2"/>
    <w:rsid w:val="00D618E1"/>
    <w:rsid w:val="00D61910"/>
    <w:rsid w:val="00D6196F"/>
    <w:rsid w:val="00D61980"/>
    <w:rsid w:val="00D61990"/>
    <w:rsid w:val="00D6199B"/>
    <w:rsid w:val="00D619A3"/>
    <w:rsid w:val="00D619A8"/>
    <w:rsid w:val="00D61A02"/>
    <w:rsid w:val="00D61A03"/>
    <w:rsid w:val="00D61A34"/>
    <w:rsid w:val="00D61A67"/>
    <w:rsid w:val="00D61A7C"/>
    <w:rsid w:val="00D61AAB"/>
    <w:rsid w:val="00D61AE6"/>
    <w:rsid w:val="00D61B28"/>
    <w:rsid w:val="00D61B2E"/>
    <w:rsid w:val="00D61B50"/>
    <w:rsid w:val="00D61B84"/>
    <w:rsid w:val="00D61BB5"/>
    <w:rsid w:val="00D61BC9"/>
    <w:rsid w:val="00D61BCD"/>
    <w:rsid w:val="00D61BF9"/>
    <w:rsid w:val="00D61C19"/>
    <w:rsid w:val="00D61C1E"/>
    <w:rsid w:val="00D61C5B"/>
    <w:rsid w:val="00D61C5F"/>
    <w:rsid w:val="00D61C88"/>
    <w:rsid w:val="00D61C8D"/>
    <w:rsid w:val="00D61C97"/>
    <w:rsid w:val="00D61CA4"/>
    <w:rsid w:val="00D61CE5"/>
    <w:rsid w:val="00D61CE6"/>
    <w:rsid w:val="00D61CF5"/>
    <w:rsid w:val="00D61D13"/>
    <w:rsid w:val="00D61D23"/>
    <w:rsid w:val="00D61D4E"/>
    <w:rsid w:val="00D61D5B"/>
    <w:rsid w:val="00D61D5E"/>
    <w:rsid w:val="00D61D87"/>
    <w:rsid w:val="00D61DE5"/>
    <w:rsid w:val="00D61DFD"/>
    <w:rsid w:val="00D61E80"/>
    <w:rsid w:val="00D61E87"/>
    <w:rsid w:val="00D61E89"/>
    <w:rsid w:val="00D61E9F"/>
    <w:rsid w:val="00D61EE8"/>
    <w:rsid w:val="00D61F58"/>
    <w:rsid w:val="00D61F5E"/>
    <w:rsid w:val="00D61FB8"/>
    <w:rsid w:val="00D62027"/>
    <w:rsid w:val="00D62033"/>
    <w:rsid w:val="00D6209A"/>
    <w:rsid w:val="00D620A6"/>
    <w:rsid w:val="00D620A7"/>
    <w:rsid w:val="00D6213A"/>
    <w:rsid w:val="00D6214E"/>
    <w:rsid w:val="00D6214F"/>
    <w:rsid w:val="00D6216E"/>
    <w:rsid w:val="00D62177"/>
    <w:rsid w:val="00D621A5"/>
    <w:rsid w:val="00D621E3"/>
    <w:rsid w:val="00D621E8"/>
    <w:rsid w:val="00D62203"/>
    <w:rsid w:val="00D6221E"/>
    <w:rsid w:val="00D6222B"/>
    <w:rsid w:val="00D62265"/>
    <w:rsid w:val="00D6227D"/>
    <w:rsid w:val="00D62285"/>
    <w:rsid w:val="00D62290"/>
    <w:rsid w:val="00D622E4"/>
    <w:rsid w:val="00D622EC"/>
    <w:rsid w:val="00D622EF"/>
    <w:rsid w:val="00D622FE"/>
    <w:rsid w:val="00D6231A"/>
    <w:rsid w:val="00D6231B"/>
    <w:rsid w:val="00D6235D"/>
    <w:rsid w:val="00D6237D"/>
    <w:rsid w:val="00D62389"/>
    <w:rsid w:val="00D623A2"/>
    <w:rsid w:val="00D623D7"/>
    <w:rsid w:val="00D623ED"/>
    <w:rsid w:val="00D62404"/>
    <w:rsid w:val="00D6244D"/>
    <w:rsid w:val="00D62482"/>
    <w:rsid w:val="00D624A8"/>
    <w:rsid w:val="00D624B2"/>
    <w:rsid w:val="00D624D7"/>
    <w:rsid w:val="00D624F8"/>
    <w:rsid w:val="00D62512"/>
    <w:rsid w:val="00D62527"/>
    <w:rsid w:val="00D62534"/>
    <w:rsid w:val="00D6255C"/>
    <w:rsid w:val="00D62570"/>
    <w:rsid w:val="00D62590"/>
    <w:rsid w:val="00D62592"/>
    <w:rsid w:val="00D625BE"/>
    <w:rsid w:val="00D625E9"/>
    <w:rsid w:val="00D625F4"/>
    <w:rsid w:val="00D62665"/>
    <w:rsid w:val="00D6268E"/>
    <w:rsid w:val="00D626B9"/>
    <w:rsid w:val="00D626E7"/>
    <w:rsid w:val="00D62704"/>
    <w:rsid w:val="00D62736"/>
    <w:rsid w:val="00D6273D"/>
    <w:rsid w:val="00D6274D"/>
    <w:rsid w:val="00D62770"/>
    <w:rsid w:val="00D6277A"/>
    <w:rsid w:val="00D627A7"/>
    <w:rsid w:val="00D627B2"/>
    <w:rsid w:val="00D627C5"/>
    <w:rsid w:val="00D6280A"/>
    <w:rsid w:val="00D6285C"/>
    <w:rsid w:val="00D62890"/>
    <w:rsid w:val="00D628AE"/>
    <w:rsid w:val="00D628CF"/>
    <w:rsid w:val="00D6290A"/>
    <w:rsid w:val="00D6290E"/>
    <w:rsid w:val="00D62917"/>
    <w:rsid w:val="00D62975"/>
    <w:rsid w:val="00D62986"/>
    <w:rsid w:val="00D6299D"/>
    <w:rsid w:val="00D629B8"/>
    <w:rsid w:val="00D629CD"/>
    <w:rsid w:val="00D629D3"/>
    <w:rsid w:val="00D62A53"/>
    <w:rsid w:val="00D62A6E"/>
    <w:rsid w:val="00D62A8D"/>
    <w:rsid w:val="00D62A8E"/>
    <w:rsid w:val="00D62A92"/>
    <w:rsid w:val="00D62AC3"/>
    <w:rsid w:val="00D62B06"/>
    <w:rsid w:val="00D62B07"/>
    <w:rsid w:val="00D62B1A"/>
    <w:rsid w:val="00D62B5E"/>
    <w:rsid w:val="00D62B66"/>
    <w:rsid w:val="00D62B7E"/>
    <w:rsid w:val="00D62B94"/>
    <w:rsid w:val="00D62BBA"/>
    <w:rsid w:val="00D62C36"/>
    <w:rsid w:val="00D62C44"/>
    <w:rsid w:val="00D62C57"/>
    <w:rsid w:val="00D62C86"/>
    <w:rsid w:val="00D62CA0"/>
    <w:rsid w:val="00D62CB9"/>
    <w:rsid w:val="00D62CC0"/>
    <w:rsid w:val="00D62CF2"/>
    <w:rsid w:val="00D62D16"/>
    <w:rsid w:val="00D62D24"/>
    <w:rsid w:val="00D62D59"/>
    <w:rsid w:val="00D62D5F"/>
    <w:rsid w:val="00D62D71"/>
    <w:rsid w:val="00D62DBA"/>
    <w:rsid w:val="00D62DE5"/>
    <w:rsid w:val="00D62E0D"/>
    <w:rsid w:val="00D62E10"/>
    <w:rsid w:val="00D62E11"/>
    <w:rsid w:val="00D62E2B"/>
    <w:rsid w:val="00D62E46"/>
    <w:rsid w:val="00D62E61"/>
    <w:rsid w:val="00D62EBF"/>
    <w:rsid w:val="00D62ECA"/>
    <w:rsid w:val="00D62ED6"/>
    <w:rsid w:val="00D62EE2"/>
    <w:rsid w:val="00D62F02"/>
    <w:rsid w:val="00D62F13"/>
    <w:rsid w:val="00D62F25"/>
    <w:rsid w:val="00D62FBF"/>
    <w:rsid w:val="00D62FC9"/>
    <w:rsid w:val="00D62FE5"/>
    <w:rsid w:val="00D62FE9"/>
    <w:rsid w:val="00D63005"/>
    <w:rsid w:val="00D63009"/>
    <w:rsid w:val="00D6303F"/>
    <w:rsid w:val="00D6306C"/>
    <w:rsid w:val="00D63095"/>
    <w:rsid w:val="00D630B3"/>
    <w:rsid w:val="00D631D2"/>
    <w:rsid w:val="00D6328F"/>
    <w:rsid w:val="00D6329B"/>
    <w:rsid w:val="00D632A2"/>
    <w:rsid w:val="00D632F7"/>
    <w:rsid w:val="00D63303"/>
    <w:rsid w:val="00D6335D"/>
    <w:rsid w:val="00D63387"/>
    <w:rsid w:val="00D633C5"/>
    <w:rsid w:val="00D633E2"/>
    <w:rsid w:val="00D63406"/>
    <w:rsid w:val="00D63434"/>
    <w:rsid w:val="00D63473"/>
    <w:rsid w:val="00D634AE"/>
    <w:rsid w:val="00D634B6"/>
    <w:rsid w:val="00D634CA"/>
    <w:rsid w:val="00D63550"/>
    <w:rsid w:val="00D6355A"/>
    <w:rsid w:val="00D63573"/>
    <w:rsid w:val="00D63590"/>
    <w:rsid w:val="00D635E1"/>
    <w:rsid w:val="00D635E9"/>
    <w:rsid w:val="00D6362F"/>
    <w:rsid w:val="00D63647"/>
    <w:rsid w:val="00D6365F"/>
    <w:rsid w:val="00D63697"/>
    <w:rsid w:val="00D6369B"/>
    <w:rsid w:val="00D636EB"/>
    <w:rsid w:val="00D63708"/>
    <w:rsid w:val="00D63721"/>
    <w:rsid w:val="00D63739"/>
    <w:rsid w:val="00D63759"/>
    <w:rsid w:val="00D63761"/>
    <w:rsid w:val="00D637FE"/>
    <w:rsid w:val="00D63807"/>
    <w:rsid w:val="00D63816"/>
    <w:rsid w:val="00D6383E"/>
    <w:rsid w:val="00D63840"/>
    <w:rsid w:val="00D638B3"/>
    <w:rsid w:val="00D638F7"/>
    <w:rsid w:val="00D63909"/>
    <w:rsid w:val="00D6392B"/>
    <w:rsid w:val="00D63952"/>
    <w:rsid w:val="00D63970"/>
    <w:rsid w:val="00D63A60"/>
    <w:rsid w:val="00D63A77"/>
    <w:rsid w:val="00D63A96"/>
    <w:rsid w:val="00D63AC6"/>
    <w:rsid w:val="00D63ACC"/>
    <w:rsid w:val="00D63ACE"/>
    <w:rsid w:val="00D63AEB"/>
    <w:rsid w:val="00D63B21"/>
    <w:rsid w:val="00D63B36"/>
    <w:rsid w:val="00D63B47"/>
    <w:rsid w:val="00D63B70"/>
    <w:rsid w:val="00D63BC0"/>
    <w:rsid w:val="00D63BD3"/>
    <w:rsid w:val="00D63BDD"/>
    <w:rsid w:val="00D63BDE"/>
    <w:rsid w:val="00D63C0D"/>
    <w:rsid w:val="00D63C19"/>
    <w:rsid w:val="00D63C30"/>
    <w:rsid w:val="00D63C32"/>
    <w:rsid w:val="00D63C35"/>
    <w:rsid w:val="00D63C3D"/>
    <w:rsid w:val="00D63C4E"/>
    <w:rsid w:val="00D63C8B"/>
    <w:rsid w:val="00D63CB5"/>
    <w:rsid w:val="00D63CBC"/>
    <w:rsid w:val="00D63D25"/>
    <w:rsid w:val="00D63D45"/>
    <w:rsid w:val="00D63D6D"/>
    <w:rsid w:val="00D63D78"/>
    <w:rsid w:val="00D63D79"/>
    <w:rsid w:val="00D63DEB"/>
    <w:rsid w:val="00D63DF1"/>
    <w:rsid w:val="00D63E07"/>
    <w:rsid w:val="00D63E23"/>
    <w:rsid w:val="00D63E88"/>
    <w:rsid w:val="00D63EC5"/>
    <w:rsid w:val="00D63ECF"/>
    <w:rsid w:val="00D63F0A"/>
    <w:rsid w:val="00D63F21"/>
    <w:rsid w:val="00D63FA5"/>
    <w:rsid w:val="00D63FDF"/>
    <w:rsid w:val="00D6400A"/>
    <w:rsid w:val="00D64091"/>
    <w:rsid w:val="00D64145"/>
    <w:rsid w:val="00D6416A"/>
    <w:rsid w:val="00D64198"/>
    <w:rsid w:val="00D641E1"/>
    <w:rsid w:val="00D641FA"/>
    <w:rsid w:val="00D64246"/>
    <w:rsid w:val="00D64261"/>
    <w:rsid w:val="00D6427C"/>
    <w:rsid w:val="00D64302"/>
    <w:rsid w:val="00D6435B"/>
    <w:rsid w:val="00D643E1"/>
    <w:rsid w:val="00D64411"/>
    <w:rsid w:val="00D64446"/>
    <w:rsid w:val="00D6445A"/>
    <w:rsid w:val="00D6445D"/>
    <w:rsid w:val="00D644C0"/>
    <w:rsid w:val="00D64514"/>
    <w:rsid w:val="00D64562"/>
    <w:rsid w:val="00D64571"/>
    <w:rsid w:val="00D645AB"/>
    <w:rsid w:val="00D645B1"/>
    <w:rsid w:val="00D645D6"/>
    <w:rsid w:val="00D64630"/>
    <w:rsid w:val="00D64658"/>
    <w:rsid w:val="00D646BD"/>
    <w:rsid w:val="00D646C7"/>
    <w:rsid w:val="00D646D3"/>
    <w:rsid w:val="00D646E8"/>
    <w:rsid w:val="00D646F5"/>
    <w:rsid w:val="00D64730"/>
    <w:rsid w:val="00D64751"/>
    <w:rsid w:val="00D647BB"/>
    <w:rsid w:val="00D6480F"/>
    <w:rsid w:val="00D64815"/>
    <w:rsid w:val="00D64828"/>
    <w:rsid w:val="00D64877"/>
    <w:rsid w:val="00D648AB"/>
    <w:rsid w:val="00D648C1"/>
    <w:rsid w:val="00D648D4"/>
    <w:rsid w:val="00D648D6"/>
    <w:rsid w:val="00D6490F"/>
    <w:rsid w:val="00D6495D"/>
    <w:rsid w:val="00D6497E"/>
    <w:rsid w:val="00D649AC"/>
    <w:rsid w:val="00D649D9"/>
    <w:rsid w:val="00D649F4"/>
    <w:rsid w:val="00D64A1E"/>
    <w:rsid w:val="00D64A60"/>
    <w:rsid w:val="00D64B22"/>
    <w:rsid w:val="00D64B38"/>
    <w:rsid w:val="00D64B56"/>
    <w:rsid w:val="00D64BA0"/>
    <w:rsid w:val="00D64BAB"/>
    <w:rsid w:val="00D64BB7"/>
    <w:rsid w:val="00D64BB9"/>
    <w:rsid w:val="00D64BD2"/>
    <w:rsid w:val="00D64BD9"/>
    <w:rsid w:val="00D64C5D"/>
    <w:rsid w:val="00D64C8B"/>
    <w:rsid w:val="00D64CA5"/>
    <w:rsid w:val="00D64CC4"/>
    <w:rsid w:val="00D64CCC"/>
    <w:rsid w:val="00D64CDA"/>
    <w:rsid w:val="00D64CDC"/>
    <w:rsid w:val="00D64CE7"/>
    <w:rsid w:val="00D64CEB"/>
    <w:rsid w:val="00D64D1C"/>
    <w:rsid w:val="00D64D86"/>
    <w:rsid w:val="00D64DBA"/>
    <w:rsid w:val="00D64E2F"/>
    <w:rsid w:val="00D64E4A"/>
    <w:rsid w:val="00D64E69"/>
    <w:rsid w:val="00D64E8B"/>
    <w:rsid w:val="00D64F00"/>
    <w:rsid w:val="00D64F25"/>
    <w:rsid w:val="00D64F78"/>
    <w:rsid w:val="00D64FDF"/>
    <w:rsid w:val="00D64FE4"/>
    <w:rsid w:val="00D64FFD"/>
    <w:rsid w:val="00D65029"/>
    <w:rsid w:val="00D6503C"/>
    <w:rsid w:val="00D6508B"/>
    <w:rsid w:val="00D650BB"/>
    <w:rsid w:val="00D650E3"/>
    <w:rsid w:val="00D65101"/>
    <w:rsid w:val="00D65127"/>
    <w:rsid w:val="00D651AA"/>
    <w:rsid w:val="00D651AD"/>
    <w:rsid w:val="00D651C3"/>
    <w:rsid w:val="00D651F1"/>
    <w:rsid w:val="00D6520A"/>
    <w:rsid w:val="00D65211"/>
    <w:rsid w:val="00D65255"/>
    <w:rsid w:val="00D65272"/>
    <w:rsid w:val="00D65285"/>
    <w:rsid w:val="00D652AF"/>
    <w:rsid w:val="00D652B0"/>
    <w:rsid w:val="00D6530B"/>
    <w:rsid w:val="00D65361"/>
    <w:rsid w:val="00D65396"/>
    <w:rsid w:val="00D653A3"/>
    <w:rsid w:val="00D653B9"/>
    <w:rsid w:val="00D6540E"/>
    <w:rsid w:val="00D65433"/>
    <w:rsid w:val="00D654BE"/>
    <w:rsid w:val="00D654D8"/>
    <w:rsid w:val="00D654F2"/>
    <w:rsid w:val="00D65500"/>
    <w:rsid w:val="00D65522"/>
    <w:rsid w:val="00D65526"/>
    <w:rsid w:val="00D65550"/>
    <w:rsid w:val="00D65554"/>
    <w:rsid w:val="00D65594"/>
    <w:rsid w:val="00D655B8"/>
    <w:rsid w:val="00D655BF"/>
    <w:rsid w:val="00D655EE"/>
    <w:rsid w:val="00D655FA"/>
    <w:rsid w:val="00D65609"/>
    <w:rsid w:val="00D6562F"/>
    <w:rsid w:val="00D65675"/>
    <w:rsid w:val="00D6569D"/>
    <w:rsid w:val="00D65733"/>
    <w:rsid w:val="00D65739"/>
    <w:rsid w:val="00D65753"/>
    <w:rsid w:val="00D6576F"/>
    <w:rsid w:val="00D6578C"/>
    <w:rsid w:val="00D65790"/>
    <w:rsid w:val="00D65793"/>
    <w:rsid w:val="00D657A9"/>
    <w:rsid w:val="00D657E7"/>
    <w:rsid w:val="00D657F6"/>
    <w:rsid w:val="00D65809"/>
    <w:rsid w:val="00D65835"/>
    <w:rsid w:val="00D65839"/>
    <w:rsid w:val="00D658DD"/>
    <w:rsid w:val="00D6595B"/>
    <w:rsid w:val="00D6596C"/>
    <w:rsid w:val="00D659AD"/>
    <w:rsid w:val="00D659B8"/>
    <w:rsid w:val="00D659D0"/>
    <w:rsid w:val="00D659DE"/>
    <w:rsid w:val="00D65AE2"/>
    <w:rsid w:val="00D65AEF"/>
    <w:rsid w:val="00D65B36"/>
    <w:rsid w:val="00D65B8C"/>
    <w:rsid w:val="00D65B96"/>
    <w:rsid w:val="00D65BA0"/>
    <w:rsid w:val="00D65BB5"/>
    <w:rsid w:val="00D65BC3"/>
    <w:rsid w:val="00D65C1E"/>
    <w:rsid w:val="00D65C21"/>
    <w:rsid w:val="00D65C37"/>
    <w:rsid w:val="00D65C70"/>
    <w:rsid w:val="00D65C8B"/>
    <w:rsid w:val="00D65CA3"/>
    <w:rsid w:val="00D65CA6"/>
    <w:rsid w:val="00D65CC3"/>
    <w:rsid w:val="00D65CE4"/>
    <w:rsid w:val="00D65D22"/>
    <w:rsid w:val="00D65D3B"/>
    <w:rsid w:val="00D65D3C"/>
    <w:rsid w:val="00D65D4F"/>
    <w:rsid w:val="00D65D64"/>
    <w:rsid w:val="00D65D97"/>
    <w:rsid w:val="00D65DDC"/>
    <w:rsid w:val="00D65DEB"/>
    <w:rsid w:val="00D65DF0"/>
    <w:rsid w:val="00D65E36"/>
    <w:rsid w:val="00D65E4A"/>
    <w:rsid w:val="00D65E8F"/>
    <w:rsid w:val="00D65EA9"/>
    <w:rsid w:val="00D65F10"/>
    <w:rsid w:val="00D65F7B"/>
    <w:rsid w:val="00D65F82"/>
    <w:rsid w:val="00D65F90"/>
    <w:rsid w:val="00D65FA7"/>
    <w:rsid w:val="00D65FB4"/>
    <w:rsid w:val="00D65FC6"/>
    <w:rsid w:val="00D65FC7"/>
    <w:rsid w:val="00D6600A"/>
    <w:rsid w:val="00D66025"/>
    <w:rsid w:val="00D66049"/>
    <w:rsid w:val="00D66076"/>
    <w:rsid w:val="00D66081"/>
    <w:rsid w:val="00D660A2"/>
    <w:rsid w:val="00D660E4"/>
    <w:rsid w:val="00D660F1"/>
    <w:rsid w:val="00D660F3"/>
    <w:rsid w:val="00D66144"/>
    <w:rsid w:val="00D66157"/>
    <w:rsid w:val="00D6615B"/>
    <w:rsid w:val="00D66169"/>
    <w:rsid w:val="00D66180"/>
    <w:rsid w:val="00D6619A"/>
    <w:rsid w:val="00D661BA"/>
    <w:rsid w:val="00D661F1"/>
    <w:rsid w:val="00D66215"/>
    <w:rsid w:val="00D6621B"/>
    <w:rsid w:val="00D6625F"/>
    <w:rsid w:val="00D66289"/>
    <w:rsid w:val="00D6628B"/>
    <w:rsid w:val="00D662A2"/>
    <w:rsid w:val="00D662C0"/>
    <w:rsid w:val="00D662C2"/>
    <w:rsid w:val="00D6631A"/>
    <w:rsid w:val="00D6631C"/>
    <w:rsid w:val="00D66389"/>
    <w:rsid w:val="00D66394"/>
    <w:rsid w:val="00D663C0"/>
    <w:rsid w:val="00D663C4"/>
    <w:rsid w:val="00D663F1"/>
    <w:rsid w:val="00D663F8"/>
    <w:rsid w:val="00D663FB"/>
    <w:rsid w:val="00D66469"/>
    <w:rsid w:val="00D66477"/>
    <w:rsid w:val="00D6647D"/>
    <w:rsid w:val="00D66487"/>
    <w:rsid w:val="00D664BB"/>
    <w:rsid w:val="00D664C0"/>
    <w:rsid w:val="00D664F3"/>
    <w:rsid w:val="00D66513"/>
    <w:rsid w:val="00D66534"/>
    <w:rsid w:val="00D66561"/>
    <w:rsid w:val="00D66565"/>
    <w:rsid w:val="00D6657C"/>
    <w:rsid w:val="00D665E7"/>
    <w:rsid w:val="00D665FF"/>
    <w:rsid w:val="00D66640"/>
    <w:rsid w:val="00D6666D"/>
    <w:rsid w:val="00D66680"/>
    <w:rsid w:val="00D666E7"/>
    <w:rsid w:val="00D66710"/>
    <w:rsid w:val="00D66760"/>
    <w:rsid w:val="00D667B1"/>
    <w:rsid w:val="00D667E2"/>
    <w:rsid w:val="00D66829"/>
    <w:rsid w:val="00D66865"/>
    <w:rsid w:val="00D66896"/>
    <w:rsid w:val="00D668D3"/>
    <w:rsid w:val="00D668D5"/>
    <w:rsid w:val="00D668ED"/>
    <w:rsid w:val="00D668F7"/>
    <w:rsid w:val="00D66905"/>
    <w:rsid w:val="00D66922"/>
    <w:rsid w:val="00D6692C"/>
    <w:rsid w:val="00D66937"/>
    <w:rsid w:val="00D669CD"/>
    <w:rsid w:val="00D669D2"/>
    <w:rsid w:val="00D66A0B"/>
    <w:rsid w:val="00D66A73"/>
    <w:rsid w:val="00D66A81"/>
    <w:rsid w:val="00D66ABF"/>
    <w:rsid w:val="00D66AE8"/>
    <w:rsid w:val="00D66B21"/>
    <w:rsid w:val="00D66B3E"/>
    <w:rsid w:val="00D66B43"/>
    <w:rsid w:val="00D66B4D"/>
    <w:rsid w:val="00D66B56"/>
    <w:rsid w:val="00D66B9E"/>
    <w:rsid w:val="00D66C02"/>
    <w:rsid w:val="00D66C45"/>
    <w:rsid w:val="00D66C4E"/>
    <w:rsid w:val="00D66C68"/>
    <w:rsid w:val="00D66CB0"/>
    <w:rsid w:val="00D66CB2"/>
    <w:rsid w:val="00D66CED"/>
    <w:rsid w:val="00D66D1E"/>
    <w:rsid w:val="00D66D4E"/>
    <w:rsid w:val="00D66D9F"/>
    <w:rsid w:val="00D66DB7"/>
    <w:rsid w:val="00D66E0B"/>
    <w:rsid w:val="00D66E13"/>
    <w:rsid w:val="00D66E23"/>
    <w:rsid w:val="00D66E50"/>
    <w:rsid w:val="00D66E76"/>
    <w:rsid w:val="00D66E87"/>
    <w:rsid w:val="00D66F27"/>
    <w:rsid w:val="00D66F3E"/>
    <w:rsid w:val="00D66F47"/>
    <w:rsid w:val="00D66F51"/>
    <w:rsid w:val="00D66FB7"/>
    <w:rsid w:val="00D66FC6"/>
    <w:rsid w:val="00D66FFE"/>
    <w:rsid w:val="00D6700C"/>
    <w:rsid w:val="00D67035"/>
    <w:rsid w:val="00D6705B"/>
    <w:rsid w:val="00D6709D"/>
    <w:rsid w:val="00D670E8"/>
    <w:rsid w:val="00D67120"/>
    <w:rsid w:val="00D671BB"/>
    <w:rsid w:val="00D671D2"/>
    <w:rsid w:val="00D67212"/>
    <w:rsid w:val="00D6721E"/>
    <w:rsid w:val="00D672A2"/>
    <w:rsid w:val="00D67316"/>
    <w:rsid w:val="00D67327"/>
    <w:rsid w:val="00D6732A"/>
    <w:rsid w:val="00D67352"/>
    <w:rsid w:val="00D6739D"/>
    <w:rsid w:val="00D673D0"/>
    <w:rsid w:val="00D673EF"/>
    <w:rsid w:val="00D67428"/>
    <w:rsid w:val="00D67449"/>
    <w:rsid w:val="00D67461"/>
    <w:rsid w:val="00D67463"/>
    <w:rsid w:val="00D674DB"/>
    <w:rsid w:val="00D67521"/>
    <w:rsid w:val="00D67534"/>
    <w:rsid w:val="00D67559"/>
    <w:rsid w:val="00D67597"/>
    <w:rsid w:val="00D675EA"/>
    <w:rsid w:val="00D675EF"/>
    <w:rsid w:val="00D67625"/>
    <w:rsid w:val="00D6764A"/>
    <w:rsid w:val="00D67673"/>
    <w:rsid w:val="00D6767E"/>
    <w:rsid w:val="00D676E3"/>
    <w:rsid w:val="00D67700"/>
    <w:rsid w:val="00D67711"/>
    <w:rsid w:val="00D6774E"/>
    <w:rsid w:val="00D67762"/>
    <w:rsid w:val="00D67768"/>
    <w:rsid w:val="00D6776E"/>
    <w:rsid w:val="00D6777E"/>
    <w:rsid w:val="00D677B3"/>
    <w:rsid w:val="00D677C0"/>
    <w:rsid w:val="00D677CB"/>
    <w:rsid w:val="00D677CF"/>
    <w:rsid w:val="00D67838"/>
    <w:rsid w:val="00D67863"/>
    <w:rsid w:val="00D6787D"/>
    <w:rsid w:val="00D67882"/>
    <w:rsid w:val="00D678F1"/>
    <w:rsid w:val="00D67902"/>
    <w:rsid w:val="00D6791F"/>
    <w:rsid w:val="00D6799E"/>
    <w:rsid w:val="00D67A09"/>
    <w:rsid w:val="00D67A0C"/>
    <w:rsid w:val="00D67A33"/>
    <w:rsid w:val="00D67A3E"/>
    <w:rsid w:val="00D67A8A"/>
    <w:rsid w:val="00D67AB9"/>
    <w:rsid w:val="00D67AC1"/>
    <w:rsid w:val="00D67B1A"/>
    <w:rsid w:val="00D67B1D"/>
    <w:rsid w:val="00D67B31"/>
    <w:rsid w:val="00D67B62"/>
    <w:rsid w:val="00D67BA3"/>
    <w:rsid w:val="00D67BEB"/>
    <w:rsid w:val="00D67C1A"/>
    <w:rsid w:val="00D67C9C"/>
    <w:rsid w:val="00D67CE9"/>
    <w:rsid w:val="00D67D49"/>
    <w:rsid w:val="00D67D57"/>
    <w:rsid w:val="00D67D93"/>
    <w:rsid w:val="00D67DEF"/>
    <w:rsid w:val="00D67DF0"/>
    <w:rsid w:val="00D67E33"/>
    <w:rsid w:val="00D67E4C"/>
    <w:rsid w:val="00D67E6A"/>
    <w:rsid w:val="00D67EB0"/>
    <w:rsid w:val="00D67ED4"/>
    <w:rsid w:val="00D67ED5"/>
    <w:rsid w:val="00D67EE2"/>
    <w:rsid w:val="00D67F2B"/>
    <w:rsid w:val="00D67F7C"/>
    <w:rsid w:val="00D67F8A"/>
    <w:rsid w:val="00D67FC2"/>
    <w:rsid w:val="00D67FE7"/>
    <w:rsid w:val="00D6D04F"/>
    <w:rsid w:val="00D6D857"/>
    <w:rsid w:val="00D70029"/>
    <w:rsid w:val="00D70072"/>
    <w:rsid w:val="00D70073"/>
    <w:rsid w:val="00D7007D"/>
    <w:rsid w:val="00D70090"/>
    <w:rsid w:val="00D700BB"/>
    <w:rsid w:val="00D70143"/>
    <w:rsid w:val="00D7015D"/>
    <w:rsid w:val="00D70172"/>
    <w:rsid w:val="00D70173"/>
    <w:rsid w:val="00D70195"/>
    <w:rsid w:val="00D701AF"/>
    <w:rsid w:val="00D70209"/>
    <w:rsid w:val="00D70226"/>
    <w:rsid w:val="00D70280"/>
    <w:rsid w:val="00D70281"/>
    <w:rsid w:val="00D702BA"/>
    <w:rsid w:val="00D702C7"/>
    <w:rsid w:val="00D702D5"/>
    <w:rsid w:val="00D7031C"/>
    <w:rsid w:val="00D7033B"/>
    <w:rsid w:val="00D70341"/>
    <w:rsid w:val="00D70366"/>
    <w:rsid w:val="00D703AF"/>
    <w:rsid w:val="00D703B1"/>
    <w:rsid w:val="00D703E2"/>
    <w:rsid w:val="00D7042F"/>
    <w:rsid w:val="00D70440"/>
    <w:rsid w:val="00D70451"/>
    <w:rsid w:val="00D70482"/>
    <w:rsid w:val="00D7048E"/>
    <w:rsid w:val="00D704A4"/>
    <w:rsid w:val="00D70526"/>
    <w:rsid w:val="00D70560"/>
    <w:rsid w:val="00D705DB"/>
    <w:rsid w:val="00D705DD"/>
    <w:rsid w:val="00D705F4"/>
    <w:rsid w:val="00D705F9"/>
    <w:rsid w:val="00D7060C"/>
    <w:rsid w:val="00D70615"/>
    <w:rsid w:val="00D70642"/>
    <w:rsid w:val="00D7068F"/>
    <w:rsid w:val="00D706A7"/>
    <w:rsid w:val="00D706E3"/>
    <w:rsid w:val="00D706E7"/>
    <w:rsid w:val="00D706EB"/>
    <w:rsid w:val="00D706F6"/>
    <w:rsid w:val="00D70744"/>
    <w:rsid w:val="00D7074C"/>
    <w:rsid w:val="00D70751"/>
    <w:rsid w:val="00D70775"/>
    <w:rsid w:val="00D7077B"/>
    <w:rsid w:val="00D70799"/>
    <w:rsid w:val="00D707DE"/>
    <w:rsid w:val="00D70826"/>
    <w:rsid w:val="00D70828"/>
    <w:rsid w:val="00D70848"/>
    <w:rsid w:val="00D70859"/>
    <w:rsid w:val="00D70874"/>
    <w:rsid w:val="00D708B7"/>
    <w:rsid w:val="00D708D9"/>
    <w:rsid w:val="00D70923"/>
    <w:rsid w:val="00D7093A"/>
    <w:rsid w:val="00D70979"/>
    <w:rsid w:val="00D709A4"/>
    <w:rsid w:val="00D709AE"/>
    <w:rsid w:val="00D70A43"/>
    <w:rsid w:val="00D70A65"/>
    <w:rsid w:val="00D70A7D"/>
    <w:rsid w:val="00D70ACE"/>
    <w:rsid w:val="00D70AF2"/>
    <w:rsid w:val="00D70B23"/>
    <w:rsid w:val="00D70B38"/>
    <w:rsid w:val="00D70B51"/>
    <w:rsid w:val="00D70B77"/>
    <w:rsid w:val="00D70BFA"/>
    <w:rsid w:val="00D70C0F"/>
    <w:rsid w:val="00D70C3D"/>
    <w:rsid w:val="00D70C6F"/>
    <w:rsid w:val="00D70C71"/>
    <w:rsid w:val="00D70C8B"/>
    <w:rsid w:val="00D70CA4"/>
    <w:rsid w:val="00D70CB9"/>
    <w:rsid w:val="00D70CCA"/>
    <w:rsid w:val="00D70D07"/>
    <w:rsid w:val="00D70D09"/>
    <w:rsid w:val="00D70D69"/>
    <w:rsid w:val="00D70D73"/>
    <w:rsid w:val="00D70D80"/>
    <w:rsid w:val="00D70D83"/>
    <w:rsid w:val="00D70D94"/>
    <w:rsid w:val="00D70DDF"/>
    <w:rsid w:val="00D70DE3"/>
    <w:rsid w:val="00D70DE8"/>
    <w:rsid w:val="00D70E10"/>
    <w:rsid w:val="00D70E31"/>
    <w:rsid w:val="00D70E50"/>
    <w:rsid w:val="00D70E98"/>
    <w:rsid w:val="00D70EB9"/>
    <w:rsid w:val="00D70ECF"/>
    <w:rsid w:val="00D70EEF"/>
    <w:rsid w:val="00D70EFD"/>
    <w:rsid w:val="00D70F08"/>
    <w:rsid w:val="00D70F61"/>
    <w:rsid w:val="00D70F76"/>
    <w:rsid w:val="00D70F9B"/>
    <w:rsid w:val="00D70FB1"/>
    <w:rsid w:val="00D70FF1"/>
    <w:rsid w:val="00D7104B"/>
    <w:rsid w:val="00D71083"/>
    <w:rsid w:val="00D71104"/>
    <w:rsid w:val="00D71118"/>
    <w:rsid w:val="00D7111A"/>
    <w:rsid w:val="00D7113B"/>
    <w:rsid w:val="00D7117F"/>
    <w:rsid w:val="00D71198"/>
    <w:rsid w:val="00D711EC"/>
    <w:rsid w:val="00D71235"/>
    <w:rsid w:val="00D71236"/>
    <w:rsid w:val="00D7123B"/>
    <w:rsid w:val="00D71249"/>
    <w:rsid w:val="00D71250"/>
    <w:rsid w:val="00D71253"/>
    <w:rsid w:val="00D7126D"/>
    <w:rsid w:val="00D71285"/>
    <w:rsid w:val="00D7129F"/>
    <w:rsid w:val="00D71313"/>
    <w:rsid w:val="00D7138A"/>
    <w:rsid w:val="00D7139C"/>
    <w:rsid w:val="00D713BA"/>
    <w:rsid w:val="00D713CF"/>
    <w:rsid w:val="00D713D1"/>
    <w:rsid w:val="00D71456"/>
    <w:rsid w:val="00D7145F"/>
    <w:rsid w:val="00D71462"/>
    <w:rsid w:val="00D71498"/>
    <w:rsid w:val="00D7149D"/>
    <w:rsid w:val="00D7149F"/>
    <w:rsid w:val="00D714B9"/>
    <w:rsid w:val="00D714D7"/>
    <w:rsid w:val="00D714DC"/>
    <w:rsid w:val="00D714FF"/>
    <w:rsid w:val="00D7150F"/>
    <w:rsid w:val="00D71513"/>
    <w:rsid w:val="00D71532"/>
    <w:rsid w:val="00D71533"/>
    <w:rsid w:val="00D71550"/>
    <w:rsid w:val="00D71568"/>
    <w:rsid w:val="00D71596"/>
    <w:rsid w:val="00D715D9"/>
    <w:rsid w:val="00D7161E"/>
    <w:rsid w:val="00D71657"/>
    <w:rsid w:val="00D71684"/>
    <w:rsid w:val="00D716A5"/>
    <w:rsid w:val="00D716EC"/>
    <w:rsid w:val="00D716F0"/>
    <w:rsid w:val="00D71703"/>
    <w:rsid w:val="00D71771"/>
    <w:rsid w:val="00D717A7"/>
    <w:rsid w:val="00D717C0"/>
    <w:rsid w:val="00D717E3"/>
    <w:rsid w:val="00D71830"/>
    <w:rsid w:val="00D71836"/>
    <w:rsid w:val="00D71840"/>
    <w:rsid w:val="00D7189D"/>
    <w:rsid w:val="00D718AB"/>
    <w:rsid w:val="00D718FD"/>
    <w:rsid w:val="00D7197A"/>
    <w:rsid w:val="00D719C6"/>
    <w:rsid w:val="00D71A13"/>
    <w:rsid w:val="00D71A71"/>
    <w:rsid w:val="00D71A9F"/>
    <w:rsid w:val="00D71AD4"/>
    <w:rsid w:val="00D71AF7"/>
    <w:rsid w:val="00D71B2E"/>
    <w:rsid w:val="00D71B32"/>
    <w:rsid w:val="00D71B35"/>
    <w:rsid w:val="00D71B75"/>
    <w:rsid w:val="00D71BB8"/>
    <w:rsid w:val="00D71BD0"/>
    <w:rsid w:val="00D71BEB"/>
    <w:rsid w:val="00D71C21"/>
    <w:rsid w:val="00D71C37"/>
    <w:rsid w:val="00D71C8A"/>
    <w:rsid w:val="00D71CB6"/>
    <w:rsid w:val="00D71CDE"/>
    <w:rsid w:val="00D71CF4"/>
    <w:rsid w:val="00D71D69"/>
    <w:rsid w:val="00D71D6A"/>
    <w:rsid w:val="00D71D7E"/>
    <w:rsid w:val="00D71DCA"/>
    <w:rsid w:val="00D71E26"/>
    <w:rsid w:val="00D71E33"/>
    <w:rsid w:val="00D71E63"/>
    <w:rsid w:val="00D71E7B"/>
    <w:rsid w:val="00D71E7C"/>
    <w:rsid w:val="00D71E84"/>
    <w:rsid w:val="00D71EAE"/>
    <w:rsid w:val="00D71EBB"/>
    <w:rsid w:val="00D71ED1"/>
    <w:rsid w:val="00D71EEB"/>
    <w:rsid w:val="00D71EFF"/>
    <w:rsid w:val="00D71F0C"/>
    <w:rsid w:val="00D71F54"/>
    <w:rsid w:val="00D71F55"/>
    <w:rsid w:val="00D71F65"/>
    <w:rsid w:val="00D71F9E"/>
    <w:rsid w:val="00D71FB4"/>
    <w:rsid w:val="00D71FE1"/>
    <w:rsid w:val="00D72008"/>
    <w:rsid w:val="00D72029"/>
    <w:rsid w:val="00D72047"/>
    <w:rsid w:val="00D720A8"/>
    <w:rsid w:val="00D720B0"/>
    <w:rsid w:val="00D720B1"/>
    <w:rsid w:val="00D720C0"/>
    <w:rsid w:val="00D720CA"/>
    <w:rsid w:val="00D720D4"/>
    <w:rsid w:val="00D720F4"/>
    <w:rsid w:val="00D72133"/>
    <w:rsid w:val="00D72139"/>
    <w:rsid w:val="00D7213B"/>
    <w:rsid w:val="00D7214D"/>
    <w:rsid w:val="00D72153"/>
    <w:rsid w:val="00D72160"/>
    <w:rsid w:val="00D721BA"/>
    <w:rsid w:val="00D721EC"/>
    <w:rsid w:val="00D7224A"/>
    <w:rsid w:val="00D7224F"/>
    <w:rsid w:val="00D72262"/>
    <w:rsid w:val="00D72278"/>
    <w:rsid w:val="00D72293"/>
    <w:rsid w:val="00D72305"/>
    <w:rsid w:val="00D72328"/>
    <w:rsid w:val="00D7235E"/>
    <w:rsid w:val="00D72375"/>
    <w:rsid w:val="00D723A3"/>
    <w:rsid w:val="00D723A4"/>
    <w:rsid w:val="00D723C4"/>
    <w:rsid w:val="00D7241D"/>
    <w:rsid w:val="00D72425"/>
    <w:rsid w:val="00D7242D"/>
    <w:rsid w:val="00D72444"/>
    <w:rsid w:val="00D72463"/>
    <w:rsid w:val="00D72465"/>
    <w:rsid w:val="00D72476"/>
    <w:rsid w:val="00D724B2"/>
    <w:rsid w:val="00D724CB"/>
    <w:rsid w:val="00D724DE"/>
    <w:rsid w:val="00D724E3"/>
    <w:rsid w:val="00D724F5"/>
    <w:rsid w:val="00D724F8"/>
    <w:rsid w:val="00D72547"/>
    <w:rsid w:val="00D725AD"/>
    <w:rsid w:val="00D725FF"/>
    <w:rsid w:val="00D72609"/>
    <w:rsid w:val="00D72623"/>
    <w:rsid w:val="00D726C2"/>
    <w:rsid w:val="00D726D2"/>
    <w:rsid w:val="00D726D9"/>
    <w:rsid w:val="00D726E5"/>
    <w:rsid w:val="00D726EE"/>
    <w:rsid w:val="00D72712"/>
    <w:rsid w:val="00D72761"/>
    <w:rsid w:val="00D727DC"/>
    <w:rsid w:val="00D727F4"/>
    <w:rsid w:val="00D727FC"/>
    <w:rsid w:val="00D7280B"/>
    <w:rsid w:val="00D72822"/>
    <w:rsid w:val="00D7284F"/>
    <w:rsid w:val="00D72850"/>
    <w:rsid w:val="00D72880"/>
    <w:rsid w:val="00D72890"/>
    <w:rsid w:val="00D728BF"/>
    <w:rsid w:val="00D728FC"/>
    <w:rsid w:val="00D72909"/>
    <w:rsid w:val="00D7291F"/>
    <w:rsid w:val="00D72978"/>
    <w:rsid w:val="00D729D7"/>
    <w:rsid w:val="00D72A00"/>
    <w:rsid w:val="00D72A14"/>
    <w:rsid w:val="00D72A45"/>
    <w:rsid w:val="00D72ABE"/>
    <w:rsid w:val="00D72AC0"/>
    <w:rsid w:val="00D72B2E"/>
    <w:rsid w:val="00D72B36"/>
    <w:rsid w:val="00D72B42"/>
    <w:rsid w:val="00D72B5D"/>
    <w:rsid w:val="00D72BA3"/>
    <w:rsid w:val="00D72BCE"/>
    <w:rsid w:val="00D72BDC"/>
    <w:rsid w:val="00D72C22"/>
    <w:rsid w:val="00D72C4B"/>
    <w:rsid w:val="00D72C57"/>
    <w:rsid w:val="00D72CD9"/>
    <w:rsid w:val="00D72CE4"/>
    <w:rsid w:val="00D72D22"/>
    <w:rsid w:val="00D72D2B"/>
    <w:rsid w:val="00D72D2E"/>
    <w:rsid w:val="00D72D51"/>
    <w:rsid w:val="00D72D7B"/>
    <w:rsid w:val="00D72D8E"/>
    <w:rsid w:val="00D72DB8"/>
    <w:rsid w:val="00D72DC3"/>
    <w:rsid w:val="00D72DD0"/>
    <w:rsid w:val="00D72DE1"/>
    <w:rsid w:val="00D72E02"/>
    <w:rsid w:val="00D72E11"/>
    <w:rsid w:val="00D72E1E"/>
    <w:rsid w:val="00D72E49"/>
    <w:rsid w:val="00D72E91"/>
    <w:rsid w:val="00D72EB0"/>
    <w:rsid w:val="00D72F12"/>
    <w:rsid w:val="00D72F30"/>
    <w:rsid w:val="00D72F69"/>
    <w:rsid w:val="00D72F6E"/>
    <w:rsid w:val="00D72F73"/>
    <w:rsid w:val="00D72F9B"/>
    <w:rsid w:val="00D72FA7"/>
    <w:rsid w:val="00D72FC0"/>
    <w:rsid w:val="00D72FCA"/>
    <w:rsid w:val="00D73002"/>
    <w:rsid w:val="00D7303D"/>
    <w:rsid w:val="00D73042"/>
    <w:rsid w:val="00D73081"/>
    <w:rsid w:val="00D730FC"/>
    <w:rsid w:val="00D73121"/>
    <w:rsid w:val="00D73136"/>
    <w:rsid w:val="00D7314E"/>
    <w:rsid w:val="00D73193"/>
    <w:rsid w:val="00D731AD"/>
    <w:rsid w:val="00D731BC"/>
    <w:rsid w:val="00D731F2"/>
    <w:rsid w:val="00D731FC"/>
    <w:rsid w:val="00D73212"/>
    <w:rsid w:val="00D73223"/>
    <w:rsid w:val="00D7322C"/>
    <w:rsid w:val="00D73237"/>
    <w:rsid w:val="00D73239"/>
    <w:rsid w:val="00D7329F"/>
    <w:rsid w:val="00D732CC"/>
    <w:rsid w:val="00D732DD"/>
    <w:rsid w:val="00D732FA"/>
    <w:rsid w:val="00D73323"/>
    <w:rsid w:val="00D73326"/>
    <w:rsid w:val="00D733D0"/>
    <w:rsid w:val="00D733E3"/>
    <w:rsid w:val="00D73428"/>
    <w:rsid w:val="00D73459"/>
    <w:rsid w:val="00D73472"/>
    <w:rsid w:val="00D73490"/>
    <w:rsid w:val="00D734A3"/>
    <w:rsid w:val="00D734E1"/>
    <w:rsid w:val="00D7350E"/>
    <w:rsid w:val="00D7351A"/>
    <w:rsid w:val="00D73540"/>
    <w:rsid w:val="00D7355D"/>
    <w:rsid w:val="00D7358C"/>
    <w:rsid w:val="00D7358E"/>
    <w:rsid w:val="00D735DD"/>
    <w:rsid w:val="00D73605"/>
    <w:rsid w:val="00D73614"/>
    <w:rsid w:val="00D7361D"/>
    <w:rsid w:val="00D7363B"/>
    <w:rsid w:val="00D73676"/>
    <w:rsid w:val="00D736AA"/>
    <w:rsid w:val="00D736B1"/>
    <w:rsid w:val="00D736F1"/>
    <w:rsid w:val="00D736FA"/>
    <w:rsid w:val="00D736FE"/>
    <w:rsid w:val="00D73704"/>
    <w:rsid w:val="00D7370E"/>
    <w:rsid w:val="00D73806"/>
    <w:rsid w:val="00D73816"/>
    <w:rsid w:val="00D73840"/>
    <w:rsid w:val="00D73864"/>
    <w:rsid w:val="00D73883"/>
    <w:rsid w:val="00D738A0"/>
    <w:rsid w:val="00D738F4"/>
    <w:rsid w:val="00D738FE"/>
    <w:rsid w:val="00D73901"/>
    <w:rsid w:val="00D73912"/>
    <w:rsid w:val="00D73913"/>
    <w:rsid w:val="00D7392F"/>
    <w:rsid w:val="00D7393E"/>
    <w:rsid w:val="00D7395B"/>
    <w:rsid w:val="00D73962"/>
    <w:rsid w:val="00D73965"/>
    <w:rsid w:val="00D7399A"/>
    <w:rsid w:val="00D7399B"/>
    <w:rsid w:val="00D739A1"/>
    <w:rsid w:val="00D739A4"/>
    <w:rsid w:val="00D739D6"/>
    <w:rsid w:val="00D739DA"/>
    <w:rsid w:val="00D73A8A"/>
    <w:rsid w:val="00D73ABC"/>
    <w:rsid w:val="00D73B44"/>
    <w:rsid w:val="00D73B55"/>
    <w:rsid w:val="00D73B83"/>
    <w:rsid w:val="00D73B84"/>
    <w:rsid w:val="00D73B92"/>
    <w:rsid w:val="00D73BEA"/>
    <w:rsid w:val="00D73C36"/>
    <w:rsid w:val="00D73C67"/>
    <w:rsid w:val="00D73C72"/>
    <w:rsid w:val="00D73C74"/>
    <w:rsid w:val="00D73CE7"/>
    <w:rsid w:val="00D73D37"/>
    <w:rsid w:val="00D73D9A"/>
    <w:rsid w:val="00D73DBC"/>
    <w:rsid w:val="00D73DCA"/>
    <w:rsid w:val="00D73DCF"/>
    <w:rsid w:val="00D73DE4"/>
    <w:rsid w:val="00D73DEC"/>
    <w:rsid w:val="00D73DF2"/>
    <w:rsid w:val="00D73E13"/>
    <w:rsid w:val="00D73E14"/>
    <w:rsid w:val="00D73E47"/>
    <w:rsid w:val="00D73E8C"/>
    <w:rsid w:val="00D73EB4"/>
    <w:rsid w:val="00D73EC0"/>
    <w:rsid w:val="00D73EE8"/>
    <w:rsid w:val="00D73F70"/>
    <w:rsid w:val="00D73F97"/>
    <w:rsid w:val="00D73F9A"/>
    <w:rsid w:val="00D73FB2"/>
    <w:rsid w:val="00D73FBE"/>
    <w:rsid w:val="00D73FD9"/>
    <w:rsid w:val="00D74028"/>
    <w:rsid w:val="00D7402E"/>
    <w:rsid w:val="00D74061"/>
    <w:rsid w:val="00D7407D"/>
    <w:rsid w:val="00D7408B"/>
    <w:rsid w:val="00D740AF"/>
    <w:rsid w:val="00D740C7"/>
    <w:rsid w:val="00D740D1"/>
    <w:rsid w:val="00D7416E"/>
    <w:rsid w:val="00D74170"/>
    <w:rsid w:val="00D7418A"/>
    <w:rsid w:val="00D74196"/>
    <w:rsid w:val="00D741A4"/>
    <w:rsid w:val="00D741B9"/>
    <w:rsid w:val="00D74208"/>
    <w:rsid w:val="00D74214"/>
    <w:rsid w:val="00D7422E"/>
    <w:rsid w:val="00D7423B"/>
    <w:rsid w:val="00D74291"/>
    <w:rsid w:val="00D74294"/>
    <w:rsid w:val="00D742B1"/>
    <w:rsid w:val="00D74313"/>
    <w:rsid w:val="00D74331"/>
    <w:rsid w:val="00D74366"/>
    <w:rsid w:val="00D7436A"/>
    <w:rsid w:val="00D743BE"/>
    <w:rsid w:val="00D743F2"/>
    <w:rsid w:val="00D743F6"/>
    <w:rsid w:val="00D74400"/>
    <w:rsid w:val="00D7443F"/>
    <w:rsid w:val="00D74441"/>
    <w:rsid w:val="00D74454"/>
    <w:rsid w:val="00D7445D"/>
    <w:rsid w:val="00D74461"/>
    <w:rsid w:val="00D744A6"/>
    <w:rsid w:val="00D744D6"/>
    <w:rsid w:val="00D744E4"/>
    <w:rsid w:val="00D744EE"/>
    <w:rsid w:val="00D74515"/>
    <w:rsid w:val="00D74540"/>
    <w:rsid w:val="00D745B1"/>
    <w:rsid w:val="00D745F2"/>
    <w:rsid w:val="00D74609"/>
    <w:rsid w:val="00D746A5"/>
    <w:rsid w:val="00D746AB"/>
    <w:rsid w:val="00D746F0"/>
    <w:rsid w:val="00D746FE"/>
    <w:rsid w:val="00D7470A"/>
    <w:rsid w:val="00D74732"/>
    <w:rsid w:val="00D74751"/>
    <w:rsid w:val="00D747B0"/>
    <w:rsid w:val="00D747D8"/>
    <w:rsid w:val="00D747DE"/>
    <w:rsid w:val="00D747E8"/>
    <w:rsid w:val="00D747FC"/>
    <w:rsid w:val="00D74839"/>
    <w:rsid w:val="00D74857"/>
    <w:rsid w:val="00D74864"/>
    <w:rsid w:val="00D74866"/>
    <w:rsid w:val="00D74869"/>
    <w:rsid w:val="00D748B4"/>
    <w:rsid w:val="00D748ED"/>
    <w:rsid w:val="00D74928"/>
    <w:rsid w:val="00D749BD"/>
    <w:rsid w:val="00D749E1"/>
    <w:rsid w:val="00D749FA"/>
    <w:rsid w:val="00D74A31"/>
    <w:rsid w:val="00D74A69"/>
    <w:rsid w:val="00D74A6A"/>
    <w:rsid w:val="00D74AA4"/>
    <w:rsid w:val="00D74AA8"/>
    <w:rsid w:val="00D74ABD"/>
    <w:rsid w:val="00D74AE5"/>
    <w:rsid w:val="00D74B0A"/>
    <w:rsid w:val="00D74B38"/>
    <w:rsid w:val="00D74B59"/>
    <w:rsid w:val="00D74B69"/>
    <w:rsid w:val="00D74B71"/>
    <w:rsid w:val="00D74B76"/>
    <w:rsid w:val="00D74B85"/>
    <w:rsid w:val="00D74B86"/>
    <w:rsid w:val="00D74BA4"/>
    <w:rsid w:val="00D74BDD"/>
    <w:rsid w:val="00D74BEB"/>
    <w:rsid w:val="00D74C69"/>
    <w:rsid w:val="00D74C7E"/>
    <w:rsid w:val="00D74CA5"/>
    <w:rsid w:val="00D74CB8"/>
    <w:rsid w:val="00D74CC1"/>
    <w:rsid w:val="00D74CDB"/>
    <w:rsid w:val="00D74CDC"/>
    <w:rsid w:val="00D74CE6"/>
    <w:rsid w:val="00D74CEE"/>
    <w:rsid w:val="00D74CEF"/>
    <w:rsid w:val="00D74D24"/>
    <w:rsid w:val="00D74D42"/>
    <w:rsid w:val="00D74D68"/>
    <w:rsid w:val="00D74D9C"/>
    <w:rsid w:val="00D74DB4"/>
    <w:rsid w:val="00D74DE2"/>
    <w:rsid w:val="00D74DEA"/>
    <w:rsid w:val="00D74DEF"/>
    <w:rsid w:val="00D74E12"/>
    <w:rsid w:val="00D74E33"/>
    <w:rsid w:val="00D74E48"/>
    <w:rsid w:val="00D74E68"/>
    <w:rsid w:val="00D74E72"/>
    <w:rsid w:val="00D74E79"/>
    <w:rsid w:val="00D74EA2"/>
    <w:rsid w:val="00D74EAB"/>
    <w:rsid w:val="00D74EB3"/>
    <w:rsid w:val="00D74ECF"/>
    <w:rsid w:val="00D74F19"/>
    <w:rsid w:val="00D74F2A"/>
    <w:rsid w:val="00D74F2D"/>
    <w:rsid w:val="00D74F51"/>
    <w:rsid w:val="00D74F75"/>
    <w:rsid w:val="00D74F9D"/>
    <w:rsid w:val="00D74FAD"/>
    <w:rsid w:val="00D74FC4"/>
    <w:rsid w:val="00D74FCA"/>
    <w:rsid w:val="00D75001"/>
    <w:rsid w:val="00D75002"/>
    <w:rsid w:val="00D7500E"/>
    <w:rsid w:val="00D75019"/>
    <w:rsid w:val="00D7503D"/>
    <w:rsid w:val="00D7504A"/>
    <w:rsid w:val="00D75057"/>
    <w:rsid w:val="00D75062"/>
    <w:rsid w:val="00D750BA"/>
    <w:rsid w:val="00D75182"/>
    <w:rsid w:val="00D751DE"/>
    <w:rsid w:val="00D751E7"/>
    <w:rsid w:val="00D751EB"/>
    <w:rsid w:val="00D75216"/>
    <w:rsid w:val="00D75273"/>
    <w:rsid w:val="00D752E8"/>
    <w:rsid w:val="00D7537B"/>
    <w:rsid w:val="00D7537D"/>
    <w:rsid w:val="00D753AB"/>
    <w:rsid w:val="00D753C3"/>
    <w:rsid w:val="00D753CD"/>
    <w:rsid w:val="00D753DB"/>
    <w:rsid w:val="00D75401"/>
    <w:rsid w:val="00D75416"/>
    <w:rsid w:val="00D75454"/>
    <w:rsid w:val="00D7545D"/>
    <w:rsid w:val="00D7545F"/>
    <w:rsid w:val="00D7546E"/>
    <w:rsid w:val="00D754A3"/>
    <w:rsid w:val="00D754C7"/>
    <w:rsid w:val="00D754FA"/>
    <w:rsid w:val="00D75533"/>
    <w:rsid w:val="00D75535"/>
    <w:rsid w:val="00D75561"/>
    <w:rsid w:val="00D755A7"/>
    <w:rsid w:val="00D755E4"/>
    <w:rsid w:val="00D75608"/>
    <w:rsid w:val="00D7560D"/>
    <w:rsid w:val="00D7565D"/>
    <w:rsid w:val="00D75669"/>
    <w:rsid w:val="00D7568D"/>
    <w:rsid w:val="00D756E8"/>
    <w:rsid w:val="00D756F3"/>
    <w:rsid w:val="00D7570A"/>
    <w:rsid w:val="00D7576F"/>
    <w:rsid w:val="00D75774"/>
    <w:rsid w:val="00D7579B"/>
    <w:rsid w:val="00D757DF"/>
    <w:rsid w:val="00D75844"/>
    <w:rsid w:val="00D75865"/>
    <w:rsid w:val="00D75871"/>
    <w:rsid w:val="00D75873"/>
    <w:rsid w:val="00D758AE"/>
    <w:rsid w:val="00D758B3"/>
    <w:rsid w:val="00D758C5"/>
    <w:rsid w:val="00D758E0"/>
    <w:rsid w:val="00D758FC"/>
    <w:rsid w:val="00D75922"/>
    <w:rsid w:val="00D7593D"/>
    <w:rsid w:val="00D75944"/>
    <w:rsid w:val="00D7594B"/>
    <w:rsid w:val="00D75957"/>
    <w:rsid w:val="00D7595C"/>
    <w:rsid w:val="00D75966"/>
    <w:rsid w:val="00D75977"/>
    <w:rsid w:val="00D75992"/>
    <w:rsid w:val="00D759C4"/>
    <w:rsid w:val="00D759C7"/>
    <w:rsid w:val="00D759DF"/>
    <w:rsid w:val="00D759EB"/>
    <w:rsid w:val="00D759F5"/>
    <w:rsid w:val="00D75A04"/>
    <w:rsid w:val="00D75A42"/>
    <w:rsid w:val="00D75A8B"/>
    <w:rsid w:val="00D75AA7"/>
    <w:rsid w:val="00D75B18"/>
    <w:rsid w:val="00D75B23"/>
    <w:rsid w:val="00D75B2F"/>
    <w:rsid w:val="00D75B4D"/>
    <w:rsid w:val="00D75B57"/>
    <w:rsid w:val="00D75B81"/>
    <w:rsid w:val="00D75B8A"/>
    <w:rsid w:val="00D75BA4"/>
    <w:rsid w:val="00D75BC5"/>
    <w:rsid w:val="00D75C0B"/>
    <w:rsid w:val="00D75CBF"/>
    <w:rsid w:val="00D75CDB"/>
    <w:rsid w:val="00D75D88"/>
    <w:rsid w:val="00D75E09"/>
    <w:rsid w:val="00D75E1C"/>
    <w:rsid w:val="00D75E4D"/>
    <w:rsid w:val="00D75E58"/>
    <w:rsid w:val="00D75EC2"/>
    <w:rsid w:val="00D75ED8"/>
    <w:rsid w:val="00D75EE1"/>
    <w:rsid w:val="00D75F09"/>
    <w:rsid w:val="00D75F0F"/>
    <w:rsid w:val="00D75F75"/>
    <w:rsid w:val="00D75F94"/>
    <w:rsid w:val="00D75F98"/>
    <w:rsid w:val="00D75F9B"/>
    <w:rsid w:val="00D76037"/>
    <w:rsid w:val="00D760AF"/>
    <w:rsid w:val="00D760B9"/>
    <w:rsid w:val="00D760EA"/>
    <w:rsid w:val="00D760EB"/>
    <w:rsid w:val="00D76135"/>
    <w:rsid w:val="00D76158"/>
    <w:rsid w:val="00D7616C"/>
    <w:rsid w:val="00D761ED"/>
    <w:rsid w:val="00D76248"/>
    <w:rsid w:val="00D76252"/>
    <w:rsid w:val="00D7625A"/>
    <w:rsid w:val="00D76261"/>
    <w:rsid w:val="00D762BB"/>
    <w:rsid w:val="00D762C6"/>
    <w:rsid w:val="00D762CE"/>
    <w:rsid w:val="00D762DD"/>
    <w:rsid w:val="00D762F4"/>
    <w:rsid w:val="00D76305"/>
    <w:rsid w:val="00D7633C"/>
    <w:rsid w:val="00D76386"/>
    <w:rsid w:val="00D76391"/>
    <w:rsid w:val="00D763A0"/>
    <w:rsid w:val="00D763B1"/>
    <w:rsid w:val="00D763C6"/>
    <w:rsid w:val="00D763C7"/>
    <w:rsid w:val="00D763DD"/>
    <w:rsid w:val="00D76404"/>
    <w:rsid w:val="00D76409"/>
    <w:rsid w:val="00D76413"/>
    <w:rsid w:val="00D7642A"/>
    <w:rsid w:val="00D76437"/>
    <w:rsid w:val="00D76440"/>
    <w:rsid w:val="00D7646F"/>
    <w:rsid w:val="00D76481"/>
    <w:rsid w:val="00D76499"/>
    <w:rsid w:val="00D764AC"/>
    <w:rsid w:val="00D764BB"/>
    <w:rsid w:val="00D764E6"/>
    <w:rsid w:val="00D76516"/>
    <w:rsid w:val="00D7652F"/>
    <w:rsid w:val="00D7656D"/>
    <w:rsid w:val="00D76577"/>
    <w:rsid w:val="00D7658E"/>
    <w:rsid w:val="00D765BD"/>
    <w:rsid w:val="00D765C4"/>
    <w:rsid w:val="00D765E3"/>
    <w:rsid w:val="00D7661D"/>
    <w:rsid w:val="00D7662C"/>
    <w:rsid w:val="00D76632"/>
    <w:rsid w:val="00D76637"/>
    <w:rsid w:val="00D7666C"/>
    <w:rsid w:val="00D7668D"/>
    <w:rsid w:val="00D76695"/>
    <w:rsid w:val="00D766A0"/>
    <w:rsid w:val="00D766AC"/>
    <w:rsid w:val="00D766C8"/>
    <w:rsid w:val="00D766D2"/>
    <w:rsid w:val="00D766E7"/>
    <w:rsid w:val="00D7671A"/>
    <w:rsid w:val="00D76755"/>
    <w:rsid w:val="00D76761"/>
    <w:rsid w:val="00D767B8"/>
    <w:rsid w:val="00D767C0"/>
    <w:rsid w:val="00D767E6"/>
    <w:rsid w:val="00D767EE"/>
    <w:rsid w:val="00D7683E"/>
    <w:rsid w:val="00D76887"/>
    <w:rsid w:val="00D76896"/>
    <w:rsid w:val="00D7689A"/>
    <w:rsid w:val="00D7689F"/>
    <w:rsid w:val="00D768A7"/>
    <w:rsid w:val="00D768A8"/>
    <w:rsid w:val="00D768F5"/>
    <w:rsid w:val="00D768F6"/>
    <w:rsid w:val="00D76903"/>
    <w:rsid w:val="00D7690A"/>
    <w:rsid w:val="00D76911"/>
    <w:rsid w:val="00D76938"/>
    <w:rsid w:val="00D76942"/>
    <w:rsid w:val="00D76947"/>
    <w:rsid w:val="00D76951"/>
    <w:rsid w:val="00D76981"/>
    <w:rsid w:val="00D76A07"/>
    <w:rsid w:val="00D76A19"/>
    <w:rsid w:val="00D76A7C"/>
    <w:rsid w:val="00D76AAD"/>
    <w:rsid w:val="00D76ABF"/>
    <w:rsid w:val="00D76B40"/>
    <w:rsid w:val="00D76B4F"/>
    <w:rsid w:val="00D76B78"/>
    <w:rsid w:val="00D76C91"/>
    <w:rsid w:val="00D76CE0"/>
    <w:rsid w:val="00D76CFA"/>
    <w:rsid w:val="00D76D2A"/>
    <w:rsid w:val="00D76D76"/>
    <w:rsid w:val="00D76D8F"/>
    <w:rsid w:val="00D76DBC"/>
    <w:rsid w:val="00D76DBE"/>
    <w:rsid w:val="00D76DFA"/>
    <w:rsid w:val="00D76E2E"/>
    <w:rsid w:val="00D76E3C"/>
    <w:rsid w:val="00D76E59"/>
    <w:rsid w:val="00D76E60"/>
    <w:rsid w:val="00D76E8F"/>
    <w:rsid w:val="00D76ED9"/>
    <w:rsid w:val="00D76EEA"/>
    <w:rsid w:val="00D76F16"/>
    <w:rsid w:val="00D76F41"/>
    <w:rsid w:val="00D76F45"/>
    <w:rsid w:val="00D76F4B"/>
    <w:rsid w:val="00D76F6F"/>
    <w:rsid w:val="00D76F84"/>
    <w:rsid w:val="00D76F91"/>
    <w:rsid w:val="00D77002"/>
    <w:rsid w:val="00D77003"/>
    <w:rsid w:val="00D77048"/>
    <w:rsid w:val="00D77098"/>
    <w:rsid w:val="00D7709A"/>
    <w:rsid w:val="00D770C2"/>
    <w:rsid w:val="00D770E3"/>
    <w:rsid w:val="00D770EF"/>
    <w:rsid w:val="00D77132"/>
    <w:rsid w:val="00D77143"/>
    <w:rsid w:val="00D7720F"/>
    <w:rsid w:val="00D77239"/>
    <w:rsid w:val="00D772E4"/>
    <w:rsid w:val="00D77301"/>
    <w:rsid w:val="00D77316"/>
    <w:rsid w:val="00D77321"/>
    <w:rsid w:val="00D7733F"/>
    <w:rsid w:val="00D7739F"/>
    <w:rsid w:val="00D773E6"/>
    <w:rsid w:val="00D7740B"/>
    <w:rsid w:val="00D77420"/>
    <w:rsid w:val="00D77483"/>
    <w:rsid w:val="00D774EC"/>
    <w:rsid w:val="00D774F3"/>
    <w:rsid w:val="00D77502"/>
    <w:rsid w:val="00D7750F"/>
    <w:rsid w:val="00D77549"/>
    <w:rsid w:val="00D7758A"/>
    <w:rsid w:val="00D775A5"/>
    <w:rsid w:val="00D775B2"/>
    <w:rsid w:val="00D775BC"/>
    <w:rsid w:val="00D7760D"/>
    <w:rsid w:val="00D7763B"/>
    <w:rsid w:val="00D77645"/>
    <w:rsid w:val="00D776DF"/>
    <w:rsid w:val="00D776F6"/>
    <w:rsid w:val="00D77718"/>
    <w:rsid w:val="00D7776F"/>
    <w:rsid w:val="00D77783"/>
    <w:rsid w:val="00D77796"/>
    <w:rsid w:val="00D777C1"/>
    <w:rsid w:val="00D777C8"/>
    <w:rsid w:val="00D777D2"/>
    <w:rsid w:val="00D777E8"/>
    <w:rsid w:val="00D77848"/>
    <w:rsid w:val="00D77849"/>
    <w:rsid w:val="00D77864"/>
    <w:rsid w:val="00D77873"/>
    <w:rsid w:val="00D778C6"/>
    <w:rsid w:val="00D7794D"/>
    <w:rsid w:val="00D77952"/>
    <w:rsid w:val="00D77979"/>
    <w:rsid w:val="00D779C4"/>
    <w:rsid w:val="00D77A0F"/>
    <w:rsid w:val="00D77A51"/>
    <w:rsid w:val="00D77A85"/>
    <w:rsid w:val="00D77A8E"/>
    <w:rsid w:val="00D77A91"/>
    <w:rsid w:val="00D77A95"/>
    <w:rsid w:val="00D77AAE"/>
    <w:rsid w:val="00D77B2E"/>
    <w:rsid w:val="00D77B4E"/>
    <w:rsid w:val="00D77B6A"/>
    <w:rsid w:val="00D77BF1"/>
    <w:rsid w:val="00D77BF4"/>
    <w:rsid w:val="00D77BF9"/>
    <w:rsid w:val="00D77C5C"/>
    <w:rsid w:val="00D77C7A"/>
    <w:rsid w:val="00D77C8A"/>
    <w:rsid w:val="00D77C8C"/>
    <w:rsid w:val="00D77C94"/>
    <w:rsid w:val="00D77CD5"/>
    <w:rsid w:val="00D77D1E"/>
    <w:rsid w:val="00D77D7F"/>
    <w:rsid w:val="00D77D88"/>
    <w:rsid w:val="00D77DFD"/>
    <w:rsid w:val="00D77E1B"/>
    <w:rsid w:val="00D77E9D"/>
    <w:rsid w:val="00D77EB0"/>
    <w:rsid w:val="00D77EB2"/>
    <w:rsid w:val="00D77EC2"/>
    <w:rsid w:val="00D77EEB"/>
    <w:rsid w:val="00D77F3D"/>
    <w:rsid w:val="00D77F93"/>
    <w:rsid w:val="00D77FB2"/>
    <w:rsid w:val="00D77FE3"/>
    <w:rsid w:val="00D7FD3D"/>
    <w:rsid w:val="00D8000F"/>
    <w:rsid w:val="00D80024"/>
    <w:rsid w:val="00D80058"/>
    <w:rsid w:val="00D80081"/>
    <w:rsid w:val="00D800B7"/>
    <w:rsid w:val="00D800CD"/>
    <w:rsid w:val="00D800EB"/>
    <w:rsid w:val="00D800F1"/>
    <w:rsid w:val="00D80117"/>
    <w:rsid w:val="00D80165"/>
    <w:rsid w:val="00D80214"/>
    <w:rsid w:val="00D8021B"/>
    <w:rsid w:val="00D80225"/>
    <w:rsid w:val="00D80257"/>
    <w:rsid w:val="00D80284"/>
    <w:rsid w:val="00D80293"/>
    <w:rsid w:val="00D802CA"/>
    <w:rsid w:val="00D802D9"/>
    <w:rsid w:val="00D802F4"/>
    <w:rsid w:val="00D803E3"/>
    <w:rsid w:val="00D803F2"/>
    <w:rsid w:val="00D803F3"/>
    <w:rsid w:val="00D8042F"/>
    <w:rsid w:val="00D8043D"/>
    <w:rsid w:val="00D8044B"/>
    <w:rsid w:val="00D8045A"/>
    <w:rsid w:val="00D80483"/>
    <w:rsid w:val="00D804A0"/>
    <w:rsid w:val="00D804AF"/>
    <w:rsid w:val="00D804D4"/>
    <w:rsid w:val="00D80553"/>
    <w:rsid w:val="00D8057D"/>
    <w:rsid w:val="00D8058C"/>
    <w:rsid w:val="00D80592"/>
    <w:rsid w:val="00D805F4"/>
    <w:rsid w:val="00D805F8"/>
    <w:rsid w:val="00D805F9"/>
    <w:rsid w:val="00D80641"/>
    <w:rsid w:val="00D80653"/>
    <w:rsid w:val="00D80673"/>
    <w:rsid w:val="00D8067E"/>
    <w:rsid w:val="00D806FA"/>
    <w:rsid w:val="00D80722"/>
    <w:rsid w:val="00D8072F"/>
    <w:rsid w:val="00D80779"/>
    <w:rsid w:val="00D807CD"/>
    <w:rsid w:val="00D807E5"/>
    <w:rsid w:val="00D807EB"/>
    <w:rsid w:val="00D807F5"/>
    <w:rsid w:val="00D8080B"/>
    <w:rsid w:val="00D80882"/>
    <w:rsid w:val="00D80888"/>
    <w:rsid w:val="00D808B0"/>
    <w:rsid w:val="00D80901"/>
    <w:rsid w:val="00D80902"/>
    <w:rsid w:val="00D80913"/>
    <w:rsid w:val="00D8091C"/>
    <w:rsid w:val="00D8092A"/>
    <w:rsid w:val="00D80955"/>
    <w:rsid w:val="00D8095A"/>
    <w:rsid w:val="00D80968"/>
    <w:rsid w:val="00D80971"/>
    <w:rsid w:val="00D809AA"/>
    <w:rsid w:val="00D809B1"/>
    <w:rsid w:val="00D809B8"/>
    <w:rsid w:val="00D809CB"/>
    <w:rsid w:val="00D809DC"/>
    <w:rsid w:val="00D809DE"/>
    <w:rsid w:val="00D80A50"/>
    <w:rsid w:val="00D80A59"/>
    <w:rsid w:val="00D80A6B"/>
    <w:rsid w:val="00D80AA4"/>
    <w:rsid w:val="00D80AB5"/>
    <w:rsid w:val="00D80ADA"/>
    <w:rsid w:val="00D80AEA"/>
    <w:rsid w:val="00D80B69"/>
    <w:rsid w:val="00D80BA4"/>
    <w:rsid w:val="00D80BF2"/>
    <w:rsid w:val="00D80C1E"/>
    <w:rsid w:val="00D80C21"/>
    <w:rsid w:val="00D80C3D"/>
    <w:rsid w:val="00D80D07"/>
    <w:rsid w:val="00D80D39"/>
    <w:rsid w:val="00D80DB4"/>
    <w:rsid w:val="00D80DC0"/>
    <w:rsid w:val="00D80DC5"/>
    <w:rsid w:val="00D80DD9"/>
    <w:rsid w:val="00D80DDC"/>
    <w:rsid w:val="00D80E00"/>
    <w:rsid w:val="00D80E10"/>
    <w:rsid w:val="00D80E1B"/>
    <w:rsid w:val="00D80E45"/>
    <w:rsid w:val="00D80E61"/>
    <w:rsid w:val="00D80E6D"/>
    <w:rsid w:val="00D80EB0"/>
    <w:rsid w:val="00D80F19"/>
    <w:rsid w:val="00D80F1B"/>
    <w:rsid w:val="00D80F74"/>
    <w:rsid w:val="00D80F87"/>
    <w:rsid w:val="00D80FA8"/>
    <w:rsid w:val="00D8100F"/>
    <w:rsid w:val="00D810E6"/>
    <w:rsid w:val="00D81157"/>
    <w:rsid w:val="00D8117B"/>
    <w:rsid w:val="00D81206"/>
    <w:rsid w:val="00D81215"/>
    <w:rsid w:val="00D81218"/>
    <w:rsid w:val="00D8121C"/>
    <w:rsid w:val="00D81225"/>
    <w:rsid w:val="00D81241"/>
    <w:rsid w:val="00D81253"/>
    <w:rsid w:val="00D812B4"/>
    <w:rsid w:val="00D812D5"/>
    <w:rsid w:val="00D8131E"/>
    <w:rsid w:val="00D8131F"/>
    <w:rsid w:val="00D81360"/>
    <w:rsid w:val="00D81375"/>
    <w:rsid w:val="00D81382"/>
    <w:rsid w:val="00D813B6"/>
    <w:rsid w:val="00D813C5"/>
    <w:rsid w:val="00D813CD"/>
    <w:rsid w:val="00D81407"/>
    <w:rsid w:val="00D81431"/>
    <w:rsid w:val="00D8143F"/>
    <w:rsid w:val="00D8147F"/>
    <w:rsid w:val="00D814A7"/>
    <w:rsid w:val="00D814E8"/>
    <w:rsid w:val="00D81509"/>
    <w:rsid w:val="00D81551"/>
    <w:rsid w:val="00D81574"/>
    <w:rsid w:val="00D81591"/>
    <w:rsid w:val="00D81594"/>
    <w:rsid w:val="00D815FE"/>
    <w:rsid w:val="00D816F7"/>
    <w:rsid w:val="00D81714"/>
    <w:rsid w:val="00D8174F"/>
    <w:rsid w:val="00D81750"/>
    <w:rsid w:val="00D8177F"/>
    <w:rsid w:val="00D81788"/>
    <w:rsid w:val="00D817BE"/>
    <w:rsid w:val="00D817D8"/>
    <w:rsid w:val="00D817E6"/>
    <w:rsid w:val="00D817FC"/>
    <w:rsid w:val="00D81846"/>
    <w:rsid w:val="00D81854"/>
    <w:rsid w:val="00D8185E"/>
    <w:rsid w:val="00D818A2"/>
    <w:rsid w:val="00D818DC"/>
    <w:rsid w:val="00D818F4"/>
    <w:rsid w:val="00D818F8"/>
    <w:rsid w:val="00D818FC"/>
    <w:rsid w:val="00D81943"/>
    <w:rsid w:val="00D81954"/>
    <w:rsid w:val="00D8195E"/>
    <w:rsid w:val="00D819B0"/>
    <w:rsid w:val="00D819B7"/>
    <w:rsid w:val="00D819D9"/>
    <w:rsid w:val="00D819F3"/>
    <w:rsid w:val="00D819FC"/>
    <w:rsid w:val="00D81A13"/>
    <w:rsid w:val="00D81A31"/>
    <w:rsid w:val="00D81A32"/>
    <w:rsid w:val="00D81A39"/>
    <w:rsid w:val="00D81A97"/>
    <w:rsid w:val="00D81AA6"/>
    <w:rsid w:val="00D81AAC"/>
    <w:rsid w:val="00D81AE7"/>
    <w:rsid w:val="00D81B34"/>
    <w:rsid w:val="00D81B38"/>
    <w:rsid w:val="00D81B8A"/>
    <w:rsid w:val="00D81B90"/>
    <w:rsid w:val="00D81B9F"/>
    <w:rsid w:val="00D81BC5"/>
    <w:rsid w:val="00D81C2B"/>
    <w:rsid w:val="00D81C40"/>
    <w:rsid w:val="00D81CAE"/>
    <w:rsid w:val="00D81CC6"/>
    <w:rsid w:val="00D81CC7"/>
    <w:rsid w:val="00D81CEA"/>
    <w:rsid w:val="00D81D54"/>
    <w:rsid w:val="00D81DB4"/>
    <w:rsid w:val="00D81DB8"/>
    <w:rsid w:val="00D81DD4"/>
    <w:rsid w:val="00D81DD6"/>
    <w:rsid w:val="00D81E74"/>
    <w:rsid w:val="00D81E77"/>
    <w:rsid w:val="00D81EAA"/>
    <w:rsid w:val="00D81EBF"/>
    <w:rsid w:val="00D81EDD"/>
    <w:rsid w:val="00D81EF7"/>
    <w:rsid w:val="00D81F28"/>
    <w:rsid w:val="00D81F46"/>
    <w:rsid w:val="00D81FA0"/>
    <w:rsid w:val="00D82005"/>
    <w:rsid w:val="00D82025"/>
    <w:rsid w:val="00D82040"/>
    <w:rsid w:val="00D82049"/>
    <w:rsid w:val="00D82058"/>
    <w:rsid w:val="00D82062"/>
    <w:rsid w:val="00D820BC"/>
    <w:rsid w:val="00D820E2"/>
    <w:rsid w:val="00D820E3"/>
    <w:rsid w:val="00D82100"/>
    <w:rsid w:val="00D8211A"/>
    <w:rsid w:val="00D82126"/>
    <w:rsid w:val="00D8215C"/>
    <w:rsid w:val="00D821DF"/>
    <w:rsid w:val="00D8223B"/>
    <w:rsid w:val="00D822B6"/>
    <w:rsid w:val="00D822C2"/>
    <w:rsid w:val="00D82308"/>
    <w:rsid w:val="00D8230F"/>
    <w:rsid w:val="00D82310"/>
    <w:rsid w:val="00D82347"/>
    <w:rsid w:val="00D8237E"/>
    <w:rsid w:val="00D82389"/>
    <w:rsid w:val="00D82390"/>
    <w:rsid w:val="00D823B1"/>
    <w:rsid w:val="00D823D2"/>
    <w:rsid w:val="00D823DA"/>
    <w:rsid w:val="00D82410"/>
    <w:rsid w:val="00D8242F"/>
    <w:rsid w:val="00D82475"/>
    <w:rsid w:val="00D82497"/>
    <w:rsid w:val="00D8249B"/>
    <w:rsid w:val="00D824C2"/>
    <w:rsid w:val="00D824DC"/>
    <w:rsid w:val="00D824EE"/>
    <w:rsid w:val="00D824F8"/>
    <w:rsid w:val="00D8252B"/>
    <w:rsid w:val="00D82530"/>
    <w:rsid w:val="00D8253C"/>
    <w:rsid w:val="00D825C1"/>
    <w:rsid w:val="00D825C7"/>
    <w:rsid w:val="00D825D1"/>
    <w:rsid w:val="00D825E9"/>
    <w:rsid w:val="00D825F7"/>
    <w:rsid w:val="00D825FE"/>
    <w:rsid w:val="00D82605"/>
    <w:rsid w:val="00D82624"/>
    <w:rsid w:val="00D8262A"/>
    <w:rsid w:val="00D82649"/>
    <w:rsid w:val="00D82655"/>
    <w:rsid w:val="00D82692"/>
    <w:rsid w:val="00D82695"/>
    <w:rsid w:val="00D826A6"/>
    <w:rsid w:val="00D826C8"/>
    <w:rsid w:val="00D826E0"/>
    <w:rsid w:val="00D82789"/>
    <w:rsid w:val="00D8278B"/>
    <w:rsid w:val="00D827A3"/>
    <w:rsid w:val="00D827D5"/>
    <w:rsid w:val="00D82805"/>
    <w:rsid w:val="00D82846"/>
    <w:rsid w:val="00D82868"/>
    <w:rsid w:val="00D8289B"/>
    <w:rsid w:val="00D828B1"/>
    <w:rsid w:val="00D828CE"/>
    <w:rsid w:val="00D828E8"/>
    <w:rsid w:val="00D828F9"/>
    <w:rsid w:val="00D828FF"/>
    <w:rsid w:val="00D8294C"/>
    <w:rsid w:val="00D82966"/>
    <w:rsid w:val="00D82972"/>
    <w:rsid w:val="00D82986"/>
    <w:rsid w:val="00D82995"/>
    <w:rsid w:val="00D829B3"/>
    <w:rsid w:val="00D829BC"/>
    <w:rsid w:val="00D82A1C"/>
    <w:rsid w:val="00D82A30"/>
    <w:rsid w:val="00D82A3B"/>
    <w:rsid w:val="00D82A3D"/>
    <w:rsid w:val="00D82A75"/>
    <w:rsid w:val="00D82A89"/>
    <w:rsid w:val="00D82AEB"/>
    <w:rsid w:val="00D82B0D"/>
    <w:rsid w:val="00D82B20"/>
    <w:rsid w:val="00D82B48"/>
    <w:rsid w:val="00D82B64"/>
    <w:rsid w:val="00D82B80"/>
    <w:rsid w:val="00D82BA0"/>
    <w:rsid w:val="00D82BCA"/>
    <w:rsid w:val="00D82BCD"/>
    <w:rsid w:val="00D82C29"/>
    <w:rsid w:val="00D82C3C"/>
    <w:rsid w:val="00D82C54"/>
    <w:rsid w:val="00D82C7F"/>
    <w:rsid w:val="00D82C90"/>
    <w:rsid w:val="00D82D23"/>
    <w:rsid w:val="00D82D2A"/>
    <w:rsid w:val="00D82D34"/>
    <w:rsid w:val="00D82D37"/>
    <w:rsid w:val="00D82D52"/>
    <w:rsid w:val="00D82D62"/>
    <w:rsid w:val="00D82D63"/>
    <w:rsid w:val="00D82DC4"/>
    <w:rsid w:val="00D82DD9"/>
    <w:rsid w:val="00D82DE5"/>
    <w:rsid w:val="00D82E10"/>
    <w:rsid w:val="00D82E60"/>
    <w:rsid w:val="00D82ED2"/>
    <w:rsid w:val="00D82F1A"/>
    <w:rsid w:val="00D82F3C"/>
    <w:rsid w:val="00D82F63"/>
    <w:rsid w:val="00D82F6E"/>
    <w:rsid w:val="00D82F75"/>
    <w:rsid w:val="00D82F7B"/>
    <w:rsid w:val="00D83025"/>
    <w:rsid w:val="00D83083"/>
    <w:rsid w:val="00D83085"/>
    <w:rsid w:val="00D830DB"/>
    <w:rsid w:val="00D830FF"/>
    <w:rsid w:val="00D8310F"/>
    <w:rsid w:val="00D83129"/>
    <w:rsid w:val="00D83133"/>
    <w:rsid w:val="00D83171"/>
    <w:rsid w:val="00D83173"/>
    <w:rsid w:val="00D831AB"/>
    <w:rsid w:val="00D83239"/>
    <w:rsid w:val="00D83247"/>
    <w:rsid w:val="00D8327C"/>
    <w:rsid w:val="00D8329B"/>
    <w:rsid w:val="00D832D3"/>
    <w:rsid w:val="00D832DE"/>
    <w:rsid w:val="00D832F1"/>
    <w:rsid w:val="00D8331E"/>
    <w:rsid w:val="00D83327"/>
    <w:rsid w:val="00D833A8"/>
    <w:rsid w:val="00D8342B"/>
    <w:rsid w:val="00D83430"/>
    <w:rsid w:val="00D8343D"/>
    <w:rsid w:val="00D8343F"/>
    <w:rsid w:val="00D8347B"/>
    <w:rsid w:val="00D83490"/>
    <w:rsid w:val="00D834D8"/>
    <w:rsid w:val="00D834E7"/>
    <w:rsid w:val="00D834EB"/>
    <w:rsid w:val="00D834F0"/>
    <w:rsid w:val="00D83508"/>
    <w:rsid w:val="00D83528"/>
    <w:rsid w:val="00D8359B"/>
    <w:rsid w:val="00D835A4"/>
    <w:rsid w:val="00D83649"/>
    <w:rsid w:val="00D8364F"/>
    <w:rsid w:val="00D83650"/>
    <w:rsid w:val="00D83657"/>
    <w:rsid w:val="00D83660"/>
    <w:rsid w:val="00D836A0"/>
    <w:rsid w:val="00D83788"/>
    <w:rsid w:val="00D8379A"/>
    <w:rsid w:val="00D837DE"/>
    <w:rsid w:val="00D8380E"/>
    <w:rsid w:val="00D83820"/>
    <w:rsid w:val="00D83821"/>
    <w:rsid w:val="00D83835"/>
    <w:rsid w:val="00D83887"/>
    <w:rsid w:val="00D8389D"/>
    <w:rsid w:val="00D838C1"/>
    <w:rsid w:val="00D838D2"/>
    <w:rsid w:val="00D838E7"/>
    <w:rsid w:val="00D83904"/>
    <w:rsid w:val="00D83916"/>
    <w:rsid w:val="00D83930"/>
    <w:rsid w:val="00D8396E"/>
    <w:rsid w:val="00D83A11"/>
    <w:rsid w:val="00D83A6B"/>
    <w:rsid w:val="00D83ADC"/>
    <w:rsid w:val="00D83AF9"/>
    <w:rsid w:val="00D83B37"/>
    <w:rsid w:val="00D83B3C"/>
    <w:rsid w:val="00D83B45"/>
    <w:rsid w:val="00D83B8C"/>
    <w:rsid w:val="00D83B90"/>
    <w:rsid w:val="00D83BB3"/>
    <w:rsid w:val="00D83BB8"/>
    <w:rsid w:val="00D83BF5"/>
    <w:rsid w:val="00D83C4D"/>
    <w:rsid w:val="00D83CC0"/>
    <w:rsid w:val="00D83CFE"/>
    <w:rsid w:val="00D83D38"/>
    <w:rsid w:val="00D83D3F"/>
    <w:rsid w:val="00D83D6B"/>
    <w:rsid w:val="00D83DBA"/>
    <w:rsid w:val="00D83DCC"/>
    <w:rsid w:val="00D83DE0"/>
    <w:rsid w:val="00D83DF5"/>
    <w:rsid w:val="00D83DF9"/>
    <w:rsid w:val="00D83E2E"/>
    <w:rsid w:val="00D83EA5"/>
    <w:rsid w:val="00D83EC3"/>
    <w:rsid w:val="00D83EF0"/>
    <w:rsid w:val="00D83F32"/>
    <w:rsid w:val="00D83F40"/>
    <w:rsid w:val="00D83F52"/>
    <w:rsid w:val="00D83F77"/>
    <w:rsid w:val="00D83F86"/>
    <w:rsid w:val="00D83FE9"/>
    <w:rsid w:val="00D84044"/>
    <w:rsid w:val="00D84090"/>
    <w:rsid w:val="00D840BB"/>
    <w:rsid w:val="00D84107"/>
    <w:rsid w:val="00D84124"/>
    <w:rsid w:val="00D84162"/>
    <w:rsid w:val="00D8416F"/>
    <w:rsid w:val="00D841A0"/>
    <w:rsid w:val="00D841C9"/>
    <w:rsid w:val="00D841E2"/>
    <w:rsid w:val="00D8420B"/>
    <w:rsid w:val="00D84216"/>
    <w:rsid w:val="00D84249"/>
    <w:rsid w:val="00D84274"/>
    <w:rsid w:val="00D842C0"/>
    <w:rsid w:val="00D842C1"/>
    <w:rsid w:val="00D8434C"/>
    <w:rsid w:val="00D84377"/>
    <w:rsid w:val="00D8438A"/>
    <w:rsid w:val="00D84397"/>
    <w:rsid w:val="00D843D0"/>
    <w:rsid w:val="00D843FE"/>
    <w:rsid w:val="00D8441A"/>
    <w:rsid w:val="00D8443A"/>
    <w:rsid w:val="00D84451"/>
    <w:rsid w:val="00D844A4"/>
    <w:rsid w:val="00D844A7"/>
    <w:rsid w:val="00D844AD"/>
    <w:rsid w:val="00D844B4"/>
    <w:rsid w:val="00D844EB"/>
    <w:rsid w:val="00D844FA"/>
    <w:rsid w:val="00D8450F"/>
    <w:rsid w:val="00D8451C"/>
    <w:rsid w:val="00D84596"/>
    <w:rsid w:val="00D845BE"/>
    <w:rsid w:val="00D845F7"/>
    <w:rsid w:val="00D84681"/>
    <w:rsid w:val="00D84689"/>
    <w:rsid w:val="00D8469C"/>
    <w:rsid w:val="00D846D1"/>
    <w:rsid w:val="00D84720"/>
    <w:rsid w:val="00D8475E"/>
    <w:rsid w:val="00D84794"/>
    <w:rsid w:val="00D84830"/>
    <w:rsid w:val="00D8483C"/>
    <w:rsid w:val="00D84893"/>
    <w:rsid w:val="00D848AE"/>
    <w:rsid w:val="00D848BB"/>
    <w:rsid w:val="00D848E0"/>
    <w:rsid w:val="00D848F0"/>
    <w:rsid w:val="00D84905"/>
    <w:rsid w:val="00D8491F"/>
    <w:rsid w:val="00D84926"/>
    <w:rsid w:val="00D84950"/>
    <w:rsid w:val="00D84A0B"/>
    <w:rsid w:val="00D84A34"/>
    <w:rsid w:val="00D84A9E"/>
    <w:rsid w:val="00D84ACB"/>
    <w:rsid w:val="00D84ADC"/>
    <w:rsid w:val="00D84AFE"/>
    <w:rsid w:val="00D84AFF"/>
    <w:rsid w:val="00D84B29"/>
    <w:rsid w:val="00D84B77"/>
    <w:rsid w:val="00D84B78"/>
    <w:rsid w:val="00D84BB1"/>
    <w:rsid w:val="00D84BF6"/>
    <w:rsid w:val="00D84BFF"/>
    <w:rsid w:val="00D84C11"/>
    <w:rsid w:val="00D84C87"/>
    <w:rsid w:val="00D84C97"/>
    <w:rsid w:val="00D84CD3"/>
    <w:rsid w:val="00D84CEB"/>
    <w:rsid w:val="00D84D19"/>
    <w:rsid w:val="00D84D43"/>
    <w:rsid w:val="00D84D75"/>
    <w:rsid w:val="00D84D82"/>
    <w:rsid w:val="00D84DAC"/>
    <w:rsid w:val="00D84E2C"/>
    <w:rsid w:val="00D84E37"/>
    <w:rsid w:val="00D84E4A"/>
    <w:rsid w:val="00D84E66"/>
    <w:rsid w:val="00D84EAC"/>
    <w:rsid w:val="00D84EFC"/>
    <w:rsid w:val="00D84F09"/>
    <w:rsid w:val="00D84F50"/>
    <w:rsid w:val="00D84F71"/>
    <w:rsid w:val="00D84F7C"/>
    <w:rsid w:val="00D84F8B"/>
    <w:rsid w:val="00D85007"/>
    <w:rsid w:val="00D8504A"/>
    <w:rsid w:val="00D85061"/>
    <w:rsid w:val="00D85066"/>
    <w:rsid w:val="00D850A1"/>
    <w:rsid w:val="00D85105"/>
    <w:rsid w:val="00D8514E"/>
    <w:rsid w:val="00D85168"/>
    <w:rsid w:val="00D85176"/>
    <w:rsid w:val="00D8518F"/>
    <w:rsid w:val="00D851AF"/>
    <w:rsid w:val="00D851B2"/>
    <w:rsid w:val="00D8522F"/>
    <w:rsid w:val="00D8528E"/>
    <w:rsid w:val="00D8530C"/>
    <w:rsid w:val="00D85342"/>
    <w:rsid w:val="00D8534B"/>
    <w:rsid w:val="00D85362"/>
    <w:rsid w:val="00D85376"/>
    <w:rsid w:val="00D85385"/>
    <w:rsid w:val="00D853AA"/>
    <w:rsid w:val="00D853C8"/>
    <w:rsid w:val="00D8540D"/>
    <w:rsid w:val="00D85412"/>
    <w:rsid w:val="00D85422"/>
    <w:rsid w:val="00D8545E"/>
    <w:rsid w:val="00D85472"/>
    <w:rsid w:val="00D85496"/>
    <w:rsid w:val="00D854AD"/>
    <w:rsid w:val="00D854C9"/>
    <w:rsid w:val="00D854F0"/>
    <w:rsid w:val="00D854F2"/>
    <w:rsid w:val="00D8550F"/>
    <w:rsid w:val="00D85550"/>
    <w:rsid w:val="00D85565"/>
    <w:rsid w:val="00D855CD"/>
    <w:rsid w:val="00D855CF"/>
    <w:rsid w:val="00D855F8"/>
    <w:rsid w:val="00D855FB"/>
    <w:rsid w:val="00D8561B"/>
    <w:rsid w:val="00D8564C"/>
    <w:rsid w:val="00D85652"/>
    <w:rsid w:val="00D85672"/>
    <w:rsid w:val="00D8568E"/>
    <w:rsid w:val="00D856CE"/>
    <w:rsid w:val="00D856EF"/>
    <w:rsid w:val="00D85792"/>
    <w:rsid w:val="00D857B4"/>
    <w:rsid w:val="00D857BD"/>
    <w:rsid w:val="00D857DC"/>
    <w:rsid w:val="00D857FC"/>
    <w:rsid w:val="00D85808"/>
    <w:rsid w:val="00D85818"/>
    <w:rsid w:val="00D85839"/>
    <w:rsid w:val="00D85878"/>
    <w:rsid w:val="00D858B5"/>
    <w:rsid w:val="00D858E9"/>
    <w:rsid w:val="00D85931"/>
    <w:rsid w:val="00D85948"/>
    <w:rsid w:val="00D8594F"/>
    <w:rsid w:val="00D85984"/>
    <w:rsid w:val="00D859B6"/>
    <w:rsid w:val="00D859CF"/>
    <w:rsid w:val="00D85A1E"/>
    <w:rsid w:val="00D85A25"/>
    <w:rsid w:val="00D85A26"/>
    <w:rsid w:val="00D85A30"/>
    <w:rsid w:val="00D85A5D"/>
    <w:rsid w:val="00D85A71"/>
    <w:rsid w:val="00D85A81"/>
    <w:rsid w:val="00D85ABA"/>
    <w:rsid w:val="00D85AE8"/>
    <w:rsid w:val="00D85AEA"/>
    <w:rsid w:val="00D85AED"/>
    <w:rsid w:val="00D85AEF"/>
    <w:rsid w:val="00D85B44"/>
    <w:rsid w:val="00D85B70"/>
    <w:rsid w:val="00D85BA1"/>
    <w:rsid w:val="00D85BC2"/>
    <w:rsid w:val="00D85BC9"/>
    <w:rsid w:val="00D85BE0"/>
    <w:rsid w:val="00D85C16"/>
    <w:rsid w:val="00D85C30"/>
    <w:rsid w:val="00D85C37"/>
    <w:rsid w:val="00D85C8F"/>
    <w:rsid w:val="00D85CC9"/>
    <w:rsid w:val="00D85CF5"/>
    <w:rsid w:val="00D85D04"/>
    <w:rsid w:val="00D85D37"/>
    <w:rsid w:val="00D85D52"/>
    <w:rsid w:val="00D85D59"/>
    <w:rsid w:val="00D85D5A"/>
    <w:rsid w:val="00D85D84"/>
    <w:rsid w:val="00D85DD0"/>
    <w:rsid w:val="00D85DFB"/>
    <w:rsid w:val="00D85E09"/>
    <w:rsid w:val="00D85E54"/>
    <w:rsid w:val="00D85E6D"/>
    <w:rsid w:val="00D85E7A"/>
    <w:rsid w:val="00D85EB4"/>
    <w:rsid w:val="00D85EBF"/>
    <w:rsid w:val="00D85ED3"/>
    <w:rsid w:val="00D85F07"/>
    <w:rsid w:val="00D85F17"/>
    <w:rsid w:val="00D85F34"/>
    <w:rsid w:val="00D85FAF"/>
    <w:rsid w:val="00D85FB8"/>
    <w:rsid w:val="00D85FCD"/>
    <w:rsid w:val="00D8603A"/>
    <w:rsid w:val="00D86061"/>
    <w:rsid w:val="00D86063"/>
    <w:rsid w:val="00D86065"/>
    <w:rsid w:val="00D860E5"/>
    <w:rsid w:val="00D860EE"/>
    <w:rsid w:val="00D8615F"/>
    <w:rsid w:val="00D86160"/>
    <w:rsid w:val="00D86198"/>
    <w:rsid w:val="00D861A5"/>
    <w:rsid w:val="00D861AB"/>
    <w:rsid w:val="00D861CF"/>
    <w:rsid w:val="00D861D5"/>
    <w:rsid w:val="00D861D8"/>
    <w:rsid w:val="00D86209"/>
    <w:rsid w:val="00D86233"/>
    <w:rsid w:val="00D86266"/>
    <w:rsid w:val="00D8628C"/>
    <w:rsid w:val="00D862A7"/>
    <w:rsid w:val="00D862C1"/>
    <w:rsid w:val="00D862F7"/>
    <w:rsid w:val="00D862FB"/>
    <w:rsid w:val="00D86302"/>
    <w:rsid w:val="00D86366"/>
    <w:rsid w:val="00D86379"/>
    <w:rsid w:val="00D8639A"/>
    <w:rsid w:val="00D86424"/>
    <w:rsid w:val="00D86430"/>
    <w:rsid w:val="00D86438"/>
    <w:rsid w:val="00D8644B"/>
    <w:rsid w:val="00D8646A"/>
    <w:rsid w:val="00D86471"/>
    <w:rsid w:val="00D86497"/>
    <w:rsid w:val="00D864A4"/>
    <w:rsid w:val="00D8650F"/>
    <w:rsid w:val="00D8651B"/>
    <w:rsid w:val="00D86535"/>
    <w:rsid w:val="00D86563"/>
    <w:rsid w:val="00D86580"/>
    <w:rsid w:val="00D86588"/>
    <w:rsid w:val="00D865A7"/>
    <w:rsid w:val="00D865DF"/>
    <w:rsid w:val="00D865E2"/>
    <w:rsid w:val="00D865FE"/>
    <w:rsid w:val="00D8660E"/>
    <w:rsid w:val="00D86610"/>
    <w:rsid w:val="00D8661D"/>
    <w:rsid w:val="00D8662A"/>
    <w:rsid w:val="00D8662F"/>
    <w:rsid w:val="00D86636"/>
    <w:rsid w:val="00D86646"/>
    <w:rsid w:val="00D866C5"/>
    <w:rsid w:val="00D866D9"/>
    <w:rsid w:val="00D866F8"/>
    <w:rsid w:val="00D86723"/>
    <w:rsid w:val="00D8673F"/>
    <w:rsid w:val="00D8675B"/>
    <w:rsid w:val="00D86768"/>
    <w:rsid w:val="00D867E6"/>
    <w:rsid w:val="00D86804"/>
    <w:rsid w:val="00D86846"/>
    <w:rsid w:val="00D8684B"/>
    <w:rsid w:val="00D8684E"/>
    <w:rsid w:val="00D86850"/>
    <w:rsid w:val="00D86868"/>
    <w:rsid w:val="00D86869"/>
    <w:rsid w:val="00D8686F"/>
    <w:rsid w:val="00D86872"/>
    <w:rsid w:val="00D86875"/>
    <w:rsid w:val="00D868BF"/>
    <w:rsid w:val="00D868E0"/>
    <w:rsid w:val="00D868F1"/>
    <w:rsid w:val="00D868FB"/>
    <w:rsid w:val="00D86902"/>
    <w:rsid w:val="00D8691B"/>
    <w:rsid w:val="00D8694B"/>
    <w:rsid w:val="00D86997"/>
    <w:rsid w:val="00D869C9"/>
    <w:rsid w:val="00D869DE"/>
    <w:rsid w:val="00D869F7"/>
    <w:rsid w:val="00D86A1F"/>
    <w:rsid w:val="00D86A32"/>
    <w:rsid w:val="00D86A4F"/>
    <w:rsid w:val="00D86A66"/>
    <w:rsid w:val="00D86A6F"/>
    <w:rsid w:val="00D86A84"/>
    <w:rsid w:val="00D86AFE"/>
    <w:rsid w:val="00D86B33"/>
    <w:rsid w:val="00D86B49"/>
    <w:rsid w:val="00D86B6A"/>
    <w:rsid w:val="00D86B6C"/>
    <w:rsid w:val="00D86BB9"/>
    <w:rsid w:val="00D86BE0"/>
    <w:rsid w:val="00D86BF3"/>
    <w:rsid w:val="00D86C09"/>
    <w:rsid w:val="00D86C23"/>
    <w:rsid w:val="00D86C36"/>
    <w:rsid w:val="00D86C47"/>
    <w:rsid w:val="00D86C81"/>
    <w:rsid w:val="00D86CAF"/>
    <w:rsid w:val="00D86CC7"/>
    <w:rsid w:val="00D86CE1"/>
    <w:rsid w:val="00D86D4D"/>
    <w:rsid w:val="00D86DD9"/>
    <w:rsid w:val="00D86DE7"/>
    <w:rsid w:val="00D86DF7"/>
    <w:rsid w:val="00D86E0D"/>
    <w:rsid w:val="00D86E60"/>
    <w:rsid w:val="00D86E62"/>
    <w:rsid w:val="00D86E9B"/>
    <w:rsid w:val="00D86F03"/>
    <w:rsid w:val="00D86F07"/>
    <w:rsid w:val="00D86F14"/>
    <w:rsid w:val="00D86F31"/>
    <w:rsid w:val="00D86F8C"/>
    <w:rsid w:val="00D86F92"/>
    <w:rsid w:val="00D86FD4"/>
    <w:rsid w:val="00D86FDB"/>
    <w:rsid w:val="00D8701E"/>
    <w:rsid w:val="00D8702A"/>
    <w:rsid w:val="00D87041"/>
    <w:rsid w:val="00D87044"/>
    <w:rsid w:val="00D87050"/>
    <w:rsid w:val="00D87075"/>
    <w:rsid w:val="00D87108"/>
    <w:rsid w:val="00D8713A"/>
    <w:rsid w:val="00D87143"/>
    <w:rsid w:val="00D8715F"/>
    <w:rsid w:val="00D871A9"/>
    <w:rsid w:val="00D871F2"/>
    <w:rsid w:val="00D87218"/>
    <w:rsid w:val="00D87226"/>
    <w:rsid w:val="00D87250"/>
    <w:rsid w:val="00D8727B"/>
    <w:rsid w:val="00D872B0"/>
    <w:rsid w:val="00D872D2"/>
    <w:rsid w:val="00D872EE"/>
    <w:rsid w:val="00D872F8"/>
    <w:rsid w:val="00D8731D"/>
    <w:rsid w:val="00D87325"/>
    <w:rsid w:val="00D87335"/>
    <w:rsid w:val="00D87367"/>
    <w:rsid w:val="00D8736A"/>
    <w:rsid w:val="00D87373"/>
    <w:rsid w:val="00D873C1"/>
    <w:rsid w:val="00D873CC"/>
    <w:rsid w:val="00D8742D"/>
    <w:rsid w:val="00D87434"/>
    <w:rsid w:val="00D87458"/>
    <w:rsid w:val="00D87464"/>
    <w:rsid w:val="00D874A7"/>
    <w:rsid w:val="00D874CF"/>
    <w:rsid w:val="00D8752D"/>
    <w:rsid w:val="00D87556"/>
    <w:rsid w:val="00D87564"/>
    <w:rsid w:val="00D8756C"/>
    <w:rsid w:val="00D8758B"/>
    <w:rsid w:val="00D875CC"/>
    <w:rsid w:val="00D875E4"/>
    <w:rsid w:val="00D875FC"/>
    <w:rsid w:val="00D875FE"/>
    <w:rsid w:val="00D8769F"/>
    <w:rsid w:val="00D876BB"/>
    <w:rsid w:val="00D87701"/>
    <w:rsid w:val="00D8770E"/>
    <w:rsid w:val="00D87735"/>
    <w:rsid w:val="00D8775C"/>
    <w:rsid w:val="00D877D2"/>
    <w:rsid w:val="00D877D8"/>
    <w:rsid w:val="00D87801"/>
    <w:rsid w:val="00D8780C"/>
    <w:rsid w:val="00D8782A"/>
    <w:rsid w:val="00D8787D"/>
    <w:rsid w:val="00D878DC"/>
    <w:rsid w:val="00D878DD"/>
    <w:rsid w:val="00D8792E"/>
    <w:rsid w:val="00D87931"/>
    <w:rsid w:val="00D87933"/>
    <w:rsid w:val="00D87942"/>
    <w:rsid w:val="00D87943"/>
    <w:rsid w:val="00D87958"/>
    <w:rsid w:val="00D8795E"/>
    <w:rsid w:val="00D8797A"/>
    <w:rsid w:val="00D879F1"/>
    <w:rsid w:val="00D87A0F"/>
    <w:rsid w:val="00D87A30"/>
    <w:rsid w:val="00D87A53"/>
    <w:rsid w:val="00D87A8D"/>
    <w:rsid w:val="00D87A9C"/>
    <w:rsid w:val="00D87AA6"/>
    <w:rsid w:val="00D87AD1"/>
    <w:rsid w:val="00D87B06"/>
    <w:rsid w:val="00D87B4E"/>
    <w:rsid w:val="00D87B73"/>
    <w:rsid w:val="00D87B7E"/>
    <w:rsid w:val="00D87BA7"/>
    <w:rsid w:val="00D87BAF"/>
    <w:rsid w:val="00D87BBB"/>
    <w:rsid w:val="00D87BC5"/>
    <w:rsid w:val="00D87BCA"/>
    <w:rsid w:val="00D87C19"/>
    <w:rsid w:val="00D87C57"/>
    <w:rsid w:val="00D87C9F"/>
    <w:rsid w:val="00D87CB2"/>
    <w:rsid w:val="00D87CC9"/>
    <w:rsid w:val="00D87CFE"/>
    <w:rsid w:val="00D87D11"/>
    <w:rsid w:val="00D87D1A"/>
    <w:rsid w:val="00D87D4F"/>
    <w:rsid w:val="00D87D70"/>
    <w:rsid w:val="00D87D7E"/>
    <w:rsid w:val="00D87DE0"/>
    <w:rsid w:val="00D87DF6"/>
    <w:rsid w:val="00D87E08"/>
    <w:rsid w:val="00D87E27"/>
    <w:rsid w:val="00D87E52"/>
    <w:rsid w:val="00D87E68"/>
    <w:rsid w:val="00D87E76"/>
    <w:rsid w:val="00D87E96"/>
    <w:rsid w:val="00D87EA4"/>
    <w:rsid w:val="00D87F28"/>
    <w:rsid w:val="00D87F2B"/>
    <w:rsid w:val="00D87F31"/>
    <w:rsid w:val="00D87F50"/>
    <w:rsid w:val="00D87FD5"/>
    <w:rsid w:val="00D87FE1"/>
    <w:rsid w:val="00D9007B"/>
    <w:rsid w:val="00D9007D"/>
    <w:rsid w:val="00D9009A"/>
    <w:rsid w:val="00D900A4"/>
    <w:rsid w:val="00D900CB"/>
    <w:rsid w:val="00D900DD"/>
    <w:rsid w:val="00D900F7"/>
    <w:rsid w:val="00D90102"/>
    <w:rsid w:val="00D9012F"/>
    <w:rsid w:val="00D9014D"/>
    <w:rsid w:val="00D9017B"/>
    <w:rsid w:val="00D90180"/>
    <w:rsid w:val="00D9018D"/>
    <w:rsid w:val="00D901AA"/>
    <w:rsid w:val="00D901EB"/>
    <w:rsid w:val="00D90224"/>
    <w:rsid w:val="00D90266"/>
    <w:rsid w:val="00D90275"/>
    <w:rsid w:val="00D90280"/>
    <w:rsid w:val="00D90331"/>
    <w:rsid w:val="00D90379"/>
    <w:rsid w:val="00D90386"/>
    <w:rsid w:val="00D903A6"/>
    <w:rsid w:val="00D903E1"/>
    <w:rsid w:val="00D903F6"/>
    <w:rsid w:val="00D9040F"/>
    <w:rsid w:val="00D9041A"/>
    <w:rsid w:val="00D90433"/>
    <w:rsid w:val="00D90450"/>
    <w:rsid w:val="00D90461"/>
    <w:rsid w:val="00D904C6"/>
    <w:rsid w:val="00D904DD"/>
    <w:rsid w:val="00D904E4"/>
    <w:rsid w:val="00D90507"/>
    <w:rsid w:val="00D90526"/>
    <w:rsid w:val="00D9055D"/>
    <w:rsid w:val="00D9056B"/>
    <w:rsid w:val="00D90579"/>
    <w:rsid w:val="00D9059C"/>
    <w:rsid w:val="00D905A0"/>
    <w:rsid w:val="00D905DA"/>
    <w:rsid w:val="00D90655"/>
    <w:rsid w:val="00D90689"/>
    <w:rsid w:val="00D90699"/>
    <w:rsid w:val="00D906CA"/>
    <w:rsid w:val="00D906CF"/>
    <w:rsid w:val="00D906F4"/>
    <w:rsid w:val="00D9073C"/>
    <w:rsid w:val="00D9073D"/>
    <w:rsid w:val="00D90755"/>
    <w:rsid w:val="00D90794"/>
    <w:rsid w:val="00D907A8"/>
    <w:rsid w:val="00D907C6"/>
    <w:rsid w:val="00D907E5"/>
    <w:rsid w:val="00D907E8"/>
    <w:rsid w:val="00D907EF"/>
    <w:rsid w:val="00D907F1"/>
    <w:rsid w:val="00D90814"/>
    <w:rsid w:val="00D9081E"/>
    <w:rsid w:val="00D90863"/>
    <w:rsid w:val="00D908B4"/>
    <w:rsid w:val="00D9093D"/>
    <w:rsid w:val="00D9098B"/>
    <w:rsid w:val="00D909A0"/>
    <w:rsid w:val="00D909B3"/>
    <w:rsid w:val="00D909BE"/>
    <w:rsid w:val="00D909C8"/>
    <w:rsid w:val="00D90A13"/>
    <w:rsid w:val="00D90A35"/>
    <w:rsid w:val="00D90A4F"/>
    <w:rsid w:val="00D90A6F"/>
    <w:rsid w:val="00D90A7D"/>
    <w:rsid w:val="00D90A86"/>
    <w:rsid w:val="00D90A91"/>
    <w:rsid w:val="00D90AAD"/>
    <w:rsid w:val="00D90AC7"/>
    <w:rsid w:val="00D90AE0"/>
    <w:rsid w:val="00D90AE8"/>
    <w:rsid w:val="00D90AF1"/>
    <w:rsid w:val="00D90B01"/>
    <w:rsid w:val="00D90B2E"/>
    <w:rsid w:val="00D90B31"/>
    <w:rsid w:val="00D90B6F"/>
    <w:rsid w:val="00D90B72"/>
    <w:rsid w:val="00D90B84"/>
    <w:rsid w:val="00D90BEF"/>
    <w:rsid w:val="00D90C34"/>
    <w:rsid w:val="00D90C76"/>
    <w:rsid w:val="00D90C87"/>
    <w:rsid w:val="00D90CBE"/>
    <w:rsid w:val="00D90CE8"/>
    <w:rsid w:val="00D90CF7"/>
    <w:rsid w:val="00D90D16"/>
    <w:rsid w:val="00D90D40"/>
    <w:rsid w:val="00D90D85"/>
    <w:rsid w:val="00D90D99"/>
    <w:rsid w:val="00D90DA2"/>
    <w:rsid w:val="00D90DBB"/>
    <w:rsid w:val="00D90E2B"/>
    <w:rsid w:val="00D90E3F"/>
    <w:rsid w:val="00D90E4C"/>
    <w:rsid w:val="00D90E56"/>
    <w:rsid w:val="00D90E76"/>
    <w:rsid w:val="00D90E9D"/>
    <w:rsid w:val="00D90EAE"/>
    <w:rsid w:val="00D90EBD"/>
    <w:rsid w:val="00D90F04"/>
    <w:rsid w:val="00D90F2D"/>
    <w:rsid w:val="00D90F6B"/>
    <w:rsid w:val="00D90F8E"/>
    <w:rsid w:val="00D90FAD"/>
    <w:rsid w:val="00D90FB3"/>
    <w:rsid w:val="00D90FC3"/>
    <w:rsid w:val="00D90FDB"/>
    <w:rsid w:val="00D90FF5"/>
    <w:rsid w:val="00D91000"/>
    <w:rsid w:val="00D91017"/>
    <w:rsid w:val="00D91027"/>
    <w:rsid w:val="00D9102D"/>
    <w:rsid w:val="00D9104B"/>
    <w:rsid w:val="00D9105D"/>
    <w:rsid w:val="00D91090"/>
    <w:rsid w:val="00D9113E"/>
    <w:rsid w:val="00D911D2"/>
    <w:rsid w:val="00D91215"/>
    <w:rsid w:val="00D91221"/>
    <w:rsid w:val="00D9122D"/>
    <w:rsid w:val="00D91234"/>
    <w:rsid w:val="00D91251"/>
    <w:rsid w:val="00D91278"/>
    <w:rsid w:val="00D912D0"/>
    <w:rsid w:val="00D91327"/>
    <w:rsid w:val="00D91335"/>
    <w:rsid w:val="00D9134B"/>
    <w:rsid w:val="00D913B0"/>
    <w:rsid w:val="00D913F2"/>
    <w:rsid w:val="00D913F4"/>
    <w:rsid w:val="00D913FB"/>
    <w:rsid w:val="00D9140F"/>
    <w:rsid w:val="00D91410"/>
    <w:rsid w:val="00D91416"/>
    <w:rsid w:val="00D91484"/>
    <w:rsid w:val="00D91488"/>
    <w:rsid w:val="00D914B4"/>
    <w:rsid w:val="00D914CB"/>
    <w:rsid w:val="00D914F2"/>
    <w:rsid w:val="00D91533"/>
    <w:rsid w:val="00D9153A"/>
    <w:rsid w:val="00D9155A"/>
    <w:rsid w:val="00D9157B"/>
    <w:rsid w:val="00D91586"/>
    <w:rsid w:val="00D9159B"/>
    <w:rsid w:val="00D9164D"/>
    <w:rsid w:val="00D91650"/>
    <w:rsid w:val="00D9168F"/>
    <w:rsid w:val="00D916E0"/>
    <w:rsid w:val="00D91745"/>
    <w:rsid w:val="00D9174E"/>
    <w:rsid w:val="00D9176E"/>
    <w:rsid w:val="00D9177E"/>
    <w:rsid w:val="00D917B0"/>
    <w:rsid w:val="00D917B9"/>
    <w:rsid w:val="00D917ED"/>
    <w:rsid w:val="00D9180E"/>
    <w:rsid w:val="00D9181B"/>
    <w:rsid w:val="00D9184A"/>
    <w:rsid w:val="00D9186D"/>
    <w:rsid w:val="00D918BA"/>
    <w:rsid w:val="00D918CF"/>
    <w:rsid w:val="00D918E6"/>
    <w:rsid w:val="00D91906"/>
    <w:rsid w:val="00D91927"/>
    <w:rsid w:val="00D91932"/>
    <w:rsid w:val="00D91935"/>
    <w:rsid w:val="00D919A1"/>
    <w:rsid w:val="00D919B6"/>
    <w:rsid w:val="00D91A34"/>
    <w:rsid w:val="00D91A95"/>
    <w:rsid w:val="00D91B3B"/>
    <w:rsid w:val="00D91B47"/>
    <w:rsid w:val="00D91B75"/>
    <w:rsid w:val="00D91BB4"/>
    <w:rsid w:val="00D91BBA"/>
    <w:rsid w:val="00D91BCA"/>
    <w:rsid w:val="00D91BEC"/>
    <w:rsid w:val="00D91C0C"/>
    <w:rsid w:val="00D91C20"/>
    <w:rsid w:val="00D91C5C"/>
    <w:rsid w:val="00D91C61"/>
    <w:rsid w:val="00D91C96"/>
    <w:rsid w:val="00D91CE6"/>
    <w:rsid w:val="00D91CFA"/>
    <w:rsid w:val="00D91D1C"/>
    <w:rsid w:val="00D91D24"/>
    <w:rsid w:val="00D91D27"/>
    <w:rsid w:val="00D91D28"/>
    <w:rsid w:val="00D91D31"/>
    <w:rsid w:val="00D91D3B"/>
    <w:rsid w:val="00D91D43"/>
    <w:rsid w:val="00D91D64"/>
    <w:rsid w:val="00D91D70"/>
    <w:rsid w:val="00D91DF9"/>
    <w:rsid w:val="00D91E2E"/>
    <w:rsid w:val="00D91E5A"/>
    <w:rsid w:val="00D91E5C"/>
    <w:rsid w:val="00D91E89"/>
    <w:rsid w:val="00D91EDB"/>
    <w:rsid w:val="00D91F0D"/>
    <w:rsid w:val="00D91F13"/>
    <w:rsid w:val="00D91F27"/>
    <w:rsid w:val="00D91F38"/>
    <w:rsid w:val="00D91F5E"/>
    <w:rsid w:val="00D91F78"/>
    <w:rsid w:val="00D91F89"/>
    <w:rsid w:val="00D91FC4"/>
    <w:rsid w:val="00D91FE8"/>
    <w:rsid w:val="00D91FF9"/>
    <w:rsid w:val="00D92024"/>
    <w:rsid w:val="00D920AD"/>
    <w:rsid w:val="00D920D3"/>
    <w:rsid w:val="00D920FF"/>
    <w:rsid w:val="00D9213E"/>
    <w:rsid w:val="00D9213F"/>
    <w:rsid w:val="00D9216B"/>
    <w:rsid w:val="00D9218B"/>
    <w:rsid w:val="00D921A5"/>
    <w:rsid w:val="00D921F5"/>
    <w:rsid w:val="00D92222"/>
    <w:rsid w:val="00D92229"/>
    <w:rsid w:val="00D9226E"/>
    <w:rsid w:val="00D922E7"/>
    <w:rsid w:val="00D92376"/>
    <w:rsid w:val="00D9237B"/>
    <w:rsid w:val="00D9238D"/>
    <w:rsid w:val="00D9239A"/>
    <w:rsid w:val="00D92400"/>
    <w:rsid w:val="00D92441"/>
    <w:rsid w:val="00D92466"/>
    <w:rsid w:val="00D9247A"/>
    <w:rsid w:val="00D924BF"/>
    <w:rsid w:val="00D924E6"/>
    <w:rsid w:val="00D924FD"/>
    <w:rsid w:val="00D92503"/>
    <w:rsid w:val="00D9251B"/>
    <w:rsid w:val="00D92576"/>
    <w:rsid w:val="00D9257B"/>
    <w:rsid w:val="00D925AD"/>
    <w:rsid w:val="00D925C4"/>
    <w:rsid w:val="00D925D3"/>
    <w:rsid w:val="00D925F9"/>
    <w:rsid w:val="00D9260C"/>
    <w:rsid w:val="00D9262E"/>
    <w:rsid w:val="00D926EA"/>
    <w:rsid w:val="00D926FD"/>
    <w:rsid w:val="00D92721"/>
    <w:rsid w:val="00D92753"/>
    <w:rsid w:val="00D92799"/>
    <w:rsid w:val="00D927B9"/>
    <w:rsid w:val="00D927EF"/>
    <w:rsid w:val="00D92802"/>
    <w:rsid w:val="00D92819"/>
    <w:rsid w:val="00D92841"/>
    <w:rsid w:val="00D9289A"/>
    <w:rsid w:val="00D928CE"/>
    <w:rsid w:val="00D928EA"/>
    <w:rsid w:val="00D928F4"/>
    <w:rsid w:val="00D92962"/>
    <w:rsid w:val="00D9299B"/>
    <w:rsid w:val="00D929CC"/>
    <w:rsid w:val="00D929CD"/>
    <w:rsid w:val="00D929DA"/>
    <w:rsid w:val="00D92A64"/>
    <w:rsid w:val="00D92A8E"/>
    <w:rsid w:val="00D92ADA"/>
    <w:rsid w:val="00D92B34"/>
    <w:rsid w:val="00D92B7D"/>
    <w:rsid w:val="00D92B80"/>
    <w:rsid w:val="00D92B84"/>
    <w:rsid w:val="00D92B91"/>
    <w:rsid w:val="00D92BA8"/>
    <w:rsid w:val="00D92BFD"/>
    <w:rsid w:val="00D92C04"/>
    <w:rsid w:val="00D92C0A"/>
    <w:rsid w:val="00D92C13"/>
    <w:rsid w:val="00D92C87"/>
    <w:rsid w:val="00D92CC6"/>
    <w:rsid w:val="00D92CFD"/>
    <w:rsid w:val="00D92D0F"/>
    <w:rsid w:val="00D92D10"/>
    <w:rsid w:val="00D92D29"/>
    <w:rsid w:val="00D92D34"/>
    <w:rsid w:val="00D92D87"/>
    <w:rsid w:val="00D92DC3"/>
    <w:rsid w:val="00D92E3B"/>
    <w:rsid w:val="00D92E6A"/>
    <w:rsid w:val="00D92E80"/>
    <w:rsid w:val="00D92E90"/>
    <w:rsid w:val="00D92EC2"/>
    <w:rsid w:val="00D92ED9"/>
    <w:rsid w:val="00D92F49"/>
    <w:rsid w:val="00D92F58"/>
    <w:rsid w:val="00D92F65"/>
    <w:rsid w:val="00D92F96"/>
    <w:rsid w:val="00D92FEC"/>
    <w:rsid w:val="00D9302E"/>
    <w:rsid w:val="00D9303D"/>
    <w:rsid w:val="00D93047"/>
    <w:rsid w:val="00D93056"/>
    <w:rsid w:val="00D9306A"/>
    <w:rsid w:val="00D930A8"/>
    <w:rsid w:val="00D930CE"/>
    <w:rsid w:val="00D930E4"/>
    <w:rsid w:val="00D93106"/>
    <w:rsid w:val="00D93125"/>
    <w:rsid w:val="00D9316F"/>
    <w:rsid w:val="00D931B8"/>
    <w:rsid w:val="00D931FD"/>
    <w:rsid w:val="00D931FF"/>
    <w:rsid w:val="00D93257"/>
    <w:rsid w:val="00D9326D"/>
    <w:rsid w:val="00D932A2"/>
    <w:rsid w:val="00D932ED"/>
    <w:rsid w:val="00D932FC"/>
    <w:rsid w:val="00D933D8"/>
    <w:rsid w:val="00D933E0"/>
    <w:rsid w:val="00D93415"/>
    <w:rsid w:val="00D93424"/>
    <w:rsid w:val="00D9346D"/>
    <w:rsid w:val="00D93479"/>
    <w:rsid w:val="00D93484"/>
    <w:rsid w:val="00D934DF"/>
    <w:rsid w:val="00D934E3"/>
    <w:rsid w:val="00D93503"/>
    <w:rsid w:val="00D93508"/>
    <w:rsid w:val="00D9351D"/>
    <w:rsid w:val="00D93561"/>
    <w:rsid w:val="00D9358E"/>
    <w:rsid w:val="00D9359C"/>
    <w:rsid w:val="00D935DD"/>
    <w:rsid w:val="00D935F5"/>
    <w:rsid w:val="00D9360B"/>
    <w:rsid w:val="00D93616"/>
    <w:rsid w:val="00D93632"/>
    <w:rsid w:val="00D93645"/>
    <w:rsid w:val="00D93649"/>
    <w:rsid w:val="00D9366D"/>
    <w:rsid w:val="00D93699"/>
    <w:rsid w:val="00D936BF"/>
    <w:rsid w:val="00D936D6"/>
    <w:rsid w:val="00D936FE"/>
    <w:rsid w:val="00D9372D"/>
    <w:rsid w:val="00D93737"/>
    <w:rsid w:val="00D9374E"/>
    <w:rsid w:val="00D937EE"/>
    <w:rsid w:val="00D93809"/>
    <w:rsid w:val="00D9380C"/>
    <w:rsid w:val="00D93815"/>
    <w:rsid w:val="00D93822"/>
    <w:rsid w:val="00D9382F"/>
    <w:rsid w:val="00D9383C"/>
    <w:rsid w:val="00D93862"/>
    <w:rsid w:val="00D938B1"/>
    <w:rsid w:val="00D938C4"/>
    <w:rsid w:val="00D938C6"/>
    <w:rsid w:val="00D9391F"/>
    <w:rsid w:val="00D93938"/>
    <w:rsid w:val="00D93941"/>
    <w:rsid w:val="00D93944"/>
    <w:rsid w:val="00D9394B"/>
    <w:rsid w:val="00D9394D"/>
    <w:rsid w:val="00D9398C"/>
    <w:rsid w:val="00D939B5"/>
    <w:rsid w:val="00D939C9"/>
    <w:rsid w:val="00D939E5"/>
    <w:rsid w:val="00D93A30"/>
    <w:rsid w:val="00D93A48"/>
    <w:rsid w:val="00D93A4E"/>
    <w:rsid w:val="00D93A52"/>
    <w:rsid w:val="00D93A65"/>
    <w:rsid w:val="00D93A68"/>
    <w:rsid w:val="00D93A69"/>
    <w:rsid w:val="00D93A6E"/>
    <w:rsid w:val="00D93A75"/>
    <w:rsid w:val="00D93A87"/>
    <w:rsid w:val="00D93A96"/>
    <w:rsid w:val="00D93A98"/>
    <w:rsid w:val="00D93AE2"/>
    <w:rsid w:val="00D93B36"/>
    <w:rsid w:val="00D93B50"/>
    <w:rsid w:val="00D93B77"/>
    <w:rsid w:val="00D93B83"/>
    <w:rsid w:val="00D93BBA"/>
    <w:rsid w:val="00D93BDA"/>
    <w:rsid w:val="00D93C44"/>
    <w:rsid w:val="00D93C53"/>
    <w:rsid w:val="00D93CBB"/>
    <w:rsid w:val="00D93CD8"/>
    <w:rsid w:val="00D93CE5"/>
    <w:rsid w:val="00D93CED"/>
    <w:rsid w:val="00D93D18"/>
    <w:rsid w:val="00D93D7A"/>
    <w:rsid w:val="00D93DB6"/>
    <w:rsid w:val="00D93DB7"/>
    <w:rsid w:val="00D93DDA"/>
    <w:rsid w:val="00D93E25"/>
    <w:rsid w:val="00D93E82"/>
    <w:rsid w:val="00D93E97"/>
    <w:rsid w:val="00D93EAD"/>
    <w:rsid w:val="00D93EBE"/>
    <w:rsid w:val="00D93EFC"/>
    <w:rsid w:val="00D93F31"/>
    <w:rsid w:val="00D93F42"/>
    <w:rsid w:val="00D93F51"/>
    <w:rsid w:val="00D93F6E"/>
    <w:rsid w:val="00D93F85"/>
    <w:rsid w:val="00D93FA5"/>
    <w:rsid w:val="00D94020"/>
    <w:rsid w:val="00D94057"/>
    <w:rsid w:val="00D9405E"/>
    <w:rsid w:val="00D940A4"/>
    <w:rsid w:val="00D940ED"/>
    <w:rsid w:val="00D940EE"/>
    <w:rsid w:val="00D94182"/>
    <w:rsid w:val="00D94186"/>
    <w:rsid w:val="00D94199"/>
    <w:rsid w:val="00D941D9"/>
    <w:rsid w:val="00D941E0"/>
    <w:rsid w:val="00D941F2"/>
    <w:rsid w:val="00D941FB"/>
    <w:rsid w:val="00D94223"/>
    <w:rsid w:val="00D9424C"/>
    <w:rsid w:val="00D9426F"/>
    <w:rsid w:val="00D9427C"/>
    <w:rsid w:val="00D942C9"/>
    <w:rsid w:val="00D94302"/>
    <w:rsid w:val="00D9433B"/>
    <w:rsid w:val="00D94394"/>
    <w:rsid w:val="00D943DE"/>
    <w:rsid w:val="00D943F1"/>
    <w:rsid w:val="00D94428"/>
    <w:rsid w:val="00D9442A"/>
    <w:rsid w:val="00D9446E"/>
    <w:rsid w:val="00D9448F"/>
    <w:rsid w:val="00D9449D"/>
    <w:rsid w:val="00D944DE"/>
    <w:rsid w:val="00D944F4"/>
    <w:rsid w:val="00D9453C"/>
    <w:rsid w:val="00D9454E"/>
    <w:rsid w:val="00D9456E"/>
    <w:rsid w:val="00D9456F"/>
    <w:rsid w:val="00D9458D"/>
    <w:rsid w:val="00D945A0"/>
    <w:rsid w:val="00D945B8"/>
    <w:rsid w:val="00D945E8"/>
    <w:rsid w:val="00D94620"/>
    <w:rsid w:val="00D94635"/>
    <w:rsid w:val="00D94661"/>
    <w:rsid w:val="00D94676"/>
    <w:rsid w:val="00D946D0"/>
    <w:rsid w:val="00D946E4"/>
    <w:rsid w:val="00D946E5"/>
    <w:rsid w:val="00D946EE"/>
    <w:rsid w:val="00D94713"/>
    <w:rsid w:val="00D9472B"/>
    <w:rsid w:val="00D9478A"/>
    <w:rsid w:val="00D947CC"/>
    <w:rsid w:val="00D94839"/>
    <w:rsid w:val="00D9485A"/>
    <w:rsid w:val="00D94875"/>
    <w:rsid w:val="00D9488D"/>
    <w:rsid w:val="00D9488E"/>
    <w:rsid w:val="00D948AE"/>
    <w:rsid w:val="00D948FC"/>
    <w:rsid w:val="00D9493B"/>
    <w:rsid w:val="00D9493D"/>
    <w:rsid w:val="00D94940"/>
    <w:rsid w:val="00D94944"/>
    <w:rsid w:val="00D94966"/>
    <w:rsid w:val="00D949A5"/>
    <w:rsid w:val="00D949FE"/>
    <w:rsid w:val="00D94A18"/>
    <w:rsid w:val="00D94A43"/>
    <w:rsid w:val="00D94B6B"/>
    <w:rsid w:val="00D94C2A"/>
    <w:rsid w:val="00D94C4E"/>
    <w:rsid w:val="00D94C7F"/>
    <w:rsid w:val="00D94C8F"/>
    <w:rsid w:val="00D94C93"/>
    <w:rsid w:val="00D94D55"/>
    <w:rsid w:val="00D94D88"/>
    <w:rsid w:val="00D94D8C"/>
    <w:rsid w:val="00D94D92"/>
    <w:rsid w:val="00D94DB8"/>
    <w:rsid w:val="00D94DBD"/>
    <w:rsid w:val="00D94DE5"/>
    <w:rsid w:val="00D94E01"/>
    <w:rsid w:val="00D94E68"/>
    <w:rsid w:val="00D94EDA"/>
    <w:rsid w:val="00D94EE4"/>
    <w:rsid w:val="00D94F08"/>
    <w:rsid w:val="00D94F3E"/>
    <w:rsid w:val="00D94F4E"/>
    <w:rsid w:val="00D94F52"/>
    <w:rsid w:val="00D94FAA"/>
    <w:rsid w:val="00D94FBB"/>
    <w:rsid w:val="00D94FFB"/>
    <w:rsid w:val="00D9502A"/>
    <w:rsid w:val="00D9503D"/>
    <w:rsid w:val="00D9505B"/>
    <w:rsid w:val="00D95087"/>
    <w:rsid w:val="00D950CE"/>
    <w:rsid w:val="00D950D6"/>
    <w:rsid w:val="00D950D7"/>
    <w:rsid w:val="00D95133"/>
    <w:rsid w:val="00D9514E"/>
    <w:rsid w:val="00D95174"/>
    <w:rsid w:val="00D95184"/>
    <w:rsid w:val="00D95216"/>
    <w:rsid w:val="00D9521C"/>
    <w:rsid w:val="00D95234"/>
    <w:rsid w:val="00D95236"/>
    <w:rsid w:val="00D95254"/>
    <w:rsid w:val="00D9525B"/>
    <w:rsid w:val="00D9526D"/>
    <w:rsid w:val="00D952B8"/>
    <w:rsid w:val="00D95310"/>
    <w:rsid w:val="00D95329"/>
    <w:rsid w:val="00D95340"/>
    <w:rsid w:val="00D95379"/>
    <w:rsid w:val="00D9537C"/>
    <w:rsid w:val="00D9537D"/>
    <w:rsid w:val="00D9537E"/>
    <w:rsid w:val="00D9538A"/>
    <w:rsid w:val="00D9538C"/>
    <w:rsid w:val="00D9539D"/>
    <w:rsid w:val="00D953AF"/>
    <w:rsid w:val="00D953D1"/>
    <w:rsid w:val="00D953D7"/>
    <w:rsid w:val="00D9541E"/>
    <w:rsid w:val="00D9545D"/>
    <w:rsid w:val="00D954B9"/>
    <w:rsid w:val="00D95560"/>
    <w:rsid w:val="00D955A7"/>
    <w:rsid w:val="00D955C1"/>
    <w:rsid w:val="00D9560D"/>
    <w:rsid w:val="00D95611"/>
    <w:rsid w:val="00D95634"/>
    <w:rsid w:val="00D9567A"/>
    <w:rsid w:val="00D95696"/>
    <w:rsid w:val="00D956A9"/>
    <w:rsid w:val="00D956BA"/>
    <w:rsid w:val="00D956DC"/>
    <w:rsid w:val="00D956DF"/>
    <w:rsid w:val="00D9574C"/>
    <w:rsid w:val="00D95759"/>
    <w:rsid w:val="00D9576A"/>
    <w:rsid w:val="00D95774"/>
    <w:rsid w:val="00D9579E"/>
    <w:rsid w:val="00D957AD"/>
    <w:rsid w:val="00D957CF"/>
    <w:rsid w:val="00D957D6"/>
    <w:rsid w:val="00D957E6"/>
    <w:rsid w:val="00D957FE"/>
    <w:rsid w:val="00D95801"/>
    <w:rsid w:val="00D95819"/>
    <w:rsid w:val="00D9584F"/>
    <w:rsid w:val="00D95898"/>
    <w:rsid w:val="00D95922"/>
    <w:rsid w:val="00D95947"/>
    <w:rsid w:val="00D9595C"/>
    <w:rsid w:val="00D95977"/>
    <w:rsid w:val="00D95998"/>
    <w:rsid w:val="00D959C8"/>
    <w:rsid w:val="00D95A6A"/>
    <w:rsid w:val="00D95AC6"/>
    <w:rsid w:val="00D95AED"/>
    <w:rsid w:val="00D95B22"/>
    <w:rsid w:val="00D95B26"/>
    <w:rsid w:val="00D95B27"/>
    <w:rsid w:val="00D95B54"/>
    <w:rsid w:val="00D95B88"/>
    <w:rsid w:val="00D95BAB"/>
    <w:rsid w:val="00D95BCE"/>
    <w:rsid w:val="00D95BD9"/>
    <w:rsid w:val="00D95BDD"/>
    <w:rsid w:val="00D95BE8"/>
    <w:rsid w:val="00D95C1E"/>
    <w:rsid w:val="00D95C5A"/>
    <w:rsid w:val="00D95C66"/>
    <w:rsid w:val="00D95C6C"/>
    <w:rsid w:val="00D95C88"/>
    <w:rsid w:val="00D95CBF"/>
    <w:rsid w:val="00D95CEB"/>
    <w:rsid w:val="00D95CF0"/>
    <w:rsid w:val="00D95D5A"/>
    <w:rsid w:val="00D95DAA"/>
    <w:rsid w:val="00D95DF0"/>
    <w:rsid w:val="00D95E31"/>
    <w:rsid w:val="00D95E4F"/>
    <w:rsid w:val="00D95F0B"/>
    <w:rsid w:val="00D95F52"/>
    <w:rsid w:val="00D95F7E"/>
    <w:rsid w:val="00D95F96"/>
    <w:rsid w:val="00D96019"/>
    <w:rsid w:val="00D9602C"/>
    <w:rsid w:val="00D96045"/>
    <w:rsid w:val="00D960DE"/>
    <w:rsid w:val="00D960E5"/>
    <w:rsid w:val="00D96101"/>
    <w:rsid w:val="00D9622F"/>
    <w:rsid w:val="00D96246"/>
    <w:rsid w:val="00D9624E"/>
    <w:rsid w:val="00D96278"/>
    <w:rsid w:val="00D96288"/>
    <w:rsid w:val="00D9628E"/>
    <w:rsid w:val="00D9629E"/>
    <w:rsid w:val="00D962DF"/>
    <w:rsid w:val="00D962E4"/>
    <w:rsid w:val="00D9631A"/>
    <w:rsid w:val="00D96320"/>
    <w:rsid w:val="00D96322"/>
    <w:rsid w:val="00D9635C"/>
    <w:rsid w:val="00D96367"/>
    <w:rsid w:val="00D963B9"/>
    <w:rsid w:val="00D96416"/>
    <w:rsid w:val="00D9642F"/>
    <w:rsid w:val="00D96432"/>
    <w:rsid w:val="00D9646C"/>
    <w:rsid w:val="00D96494"/>
    <w:rsid w:val="00D9649E"/>
    <w:rsid w:val="00D964B2"/>
    <w:rsid w:val="00D964E3"/>
    <w:rsid w:val="00D96557"/>
    <w:rsid w:val="00D9657F"/>
    <w:rsid w:val="00D9658E"/>
    <w:rsid w:val="00D965BB"/>
    <w:rsid w:val="00D965EC"/>
    <w:rsid w:val="00D9660A"/>
    <w:rsid w:val="00D9661C"/>
    <w:rsid w:val="00D96620"/>
    <w:rsid w:val="00D96656"/>
    <w:rsid w:val="00D96669"/>
    <w:rsid w:val="00D9666C"/>
    <w:rsid w:val="00D96674"/>
    <w:rsid w:val="00D966A6"/>
    <w:rsid w:val="00D966DF"/>
    <w:rsid w:val="00D966E7"/>
    <w:rsid w:val="00D966EC"/>
    <w:rsid w:val="00D9670A"/>
    <w:rsid w:val="00D96794"/>
    <w:rsid w:val="00D967A9"/>
    <w:rsid w:val="00D967C7"/>
    <w:rsid w:val="00D96860"/>
    <w:rsid w:val="00D9687C"/>
    <w:rsid w:val="00D9688D"/>
    <w:rsid w:val="00D9688E"/>
    <w:rsid w:val="00D96896"/>
    <w:rsid w:val="00D968AE"/>
    <w:rsid w:val="00D968BB"/>
    <w:rsid w:val="00D968E5"/>
    <w:rsid w:val="00D968F0"/>
    <w:rsid w:val="00D96927"/>
    <w:rsid w:val="00D96974"/>
    <w:rsid w:val="00D9699C"/>
    <w:rsid w:val="00D969B4"/>
    <w:rsid w:val="00D969FA"/>
    <w:rsid w:val="00D969FE"/>
    <w:rsid w:val="00D96A38"/>
    <w:rsid w:val="00D96A9A"/>
    <w:rsid w:val="00D96AD3"/>
    <w:rsid w:val="00D96B0D"/>
    <w:rsid w:val="00D96B24"/>
    <w:rsid w:val="00D96B6A"/>
    <w:rsid w:val="00D96B71"/>
    <w:rsid w:val="00D96BB8"/>
    <w:rsid w:val="00D96BEE"/>
    <w:rsid w:val="00D96BF5"/>
    <w:rsid w:val="00D96C42"/>
    <w:rsid w:val="00D96CCF"/>
    <w:rsid w:val="00D96CD9"/>
    <w:rsid w:val="00D96CDB"/>
    <w:rsid w:val="00D96D22"/>
    <w:rsid w:val="00D96D2D"/>
    <w:rsid w:val="00D96D62"/>
    <w:rsid w:val="00D96D66"/>
    <w:rsid w:val="00D96DA8"/>
    <w:rsid w:val="00D96DC0"/>
    <w:rsid w:val="00D96E39"/>
    <w:rsid w:val="00D96E85"/>
    <w:rsid w:val="00D96E8B"/>
    <w:rsid w:val="00D96F22"/>
    <w:rsid w:val="00D96F5D"/>
    <w:rsid w:val="00D96F70"/>
    <w:rsid w:val="00D96F89"/>
    <w:rsid w:val="00D96FB0"/>
    <w:rsid w:val="00D96FB9"/>
    <w:rsid w:val="00D96FC5"/>
    <w:rsid w:val="00D96FD8"/>
    <w:rsid w:val="00D96FE9"/>
    <w:rsid w:val="00D96FEB"/>
    <w:rsid w:val="00D96FEC"/>
    <w:rsid w:val="00D9702A"/>
    <w:rsid w:val="00D97071"/>
    <w:rsid w:val="00D970E3"/>
    <w:rsid w:val="00D97111"/>
    <w:rsid w:val="00D97136"/>
    <w:rsid w:val="00D97180"/>
    <w:rsid w:val="00D9720C"/>
    <w:rsid w:val="00D9720E"/>
    <w:rsid w:val="00D97221"/>
    <w:rsid w:val="00D9726C"/>
    <w:rsid w:val="00D972D4"/>
    <w:rsid w:val="00D97369"/>
    <w:rsid w:val="00D973ED"/>
    <w:rsid w:val="00D97410"/>
    <w:rsid w:val="00D9741A"/>
    <w:rsid w:val="00D97421"/>
    <w:rsid w:val="00D9743F"/>
    <w:rsid w:val="00D974F5"/>
    <w:rsid w:val="00D9750D"/>
    <w:rsid w:val="00D97511"/>
    <w:rsid w:val="00D97612"/>
    <w:rsid w:val="00D9762A"/>
    <w:rsid w:val="00D97643"/>
    <w:rsid w:val="00D97653"/>
    <w:rsid w:val="00D9765C"/>
    <w:rsid w:val="00D97693"/>
    <w:rsid w:val="00D9769F"/>
    <w:rsid w:val="00D976A4"/>
    <w:rsid w:val="00D97754"/>
    <w:rsid w:val="00D9775E"/>
    <w:rsid w:val="00D977CA"/>
    <w:rsid w:val="00D9780E"/>
    <w:rsid w:val="00D97826"/>
    <w:rsid w:val="00D97835"/>
    <w:rsid w:val="00D9783F"/>
    <w:rsid w:val="00D97867"/>
    <w:rsid w:val="00D9786C"/>
    <w:rsid w:val="00D97897"/>
    <w:rsid w:val="00D978BD"/>
    <w:rsid w:val="00D978FE"/>
    <w:rsid w:val="00D9793E"/>
    <w:rsid w:val="00D979AF"/>
    <w:rsid w:val="00D979B5"/>
    <w:rsid w:val="00D97A44"/>
    <w:rsid w:val="00D97A53"/>
    <w:rsid w:val="00D97A7D"/>
    <w:rsid w:val="00D97A80"/>
    <w:rsid w:val="00D97A8B"/>
    <w:rsid w:val="00D97AC4"/>
    <w:rsid w:val="00D97AE5"/>
    <w:rsid w:val="00D97B1D"/>
    <w:rsid w:val="00D97B33"/>
    <w:rsid w:val="00D97B58"/>
    <w:rsid w:val="00D97BA0"/>
    <w:rsid w:val="00D97BC0"/>
    <w:rsid w:val="00D97BE0"/>
    <w:rsid w:val="00D97C03"/>
    <w:rsid w:val="00D97C12"/>
    <w:rsid w:val="00D97C61"/>
    <w:rsid w:val="00D97CDF"/>
    <w:rsid w:val="00D97CFF"/>
    <w:rsid w:val="00D97D12"/>
    <w:rsid w:val="00D97D31"/>
    <w:rsid w:val="00D97D6E"/>
    <w:rsid w:val="00D97DB2"/>
    <w:rsid w:val="00D97DC3"/>
    <w:rsid w:val="00D97DE4"/>
    <w:rsid w:val="00D97E37"/>
    <w:rsid w:val="00D97E44"/>
    <w:rsid w:val="00D97E74"/>
    <w:rsid w:val="00D97E77"/>
    <w:rsid w:val="00D97EAE"/>
    <w:rsid w:val="00D97EBD"/>
    <w:rsid w:val="00D97EC0"/>
    <w:rsid w:val="00D97ECF"/>
    <w:rsid w:val="00D97F0F"/>
    <w:rsid w:val="00D97F59"/>
    <w:rsid w:val="00D97F9A"/>
    <w:rsid w:val="00D9BB22"/>
    <w:rsid w:val="00DA000D"/>
    <w:rsid w:val="00DA000F"/>
    <w:rsid w:val="00DA0014"/>
    <w:rsid w:val="00DA001C"/>
    <w:rsid w:val="00DA004F"/>
    <w:rsid w:val="00DA008E"/>
    <w:rsid w:val="00DA00E8"/>
    <w:rsid w:val="00DA00EC"/>
    <w:rsid w:val="00DA01A7"/>
    <w:rsid w:val="00DA01B2"/>
    <w:rsid w:val="00DA01CC"/>
    <w:rsid w:val="00DA01D4"/>
    <w:rsid w:val="00DA01EA"/>
    <w:rsid w:val="00DA0214"/>
    <w:rsid w:val="00DA0235"/>
    <w:rsid w:val="00DA0274"/>
    <w:rsid w:val="00DA0276"/>
    <w:rsid w:val="00DA02DC"/>
    <w:rsid w:val="00DA02FC"/>
    <w:rsid w:val="00DA02FD"/>
    <w:rsid w:val="00DA0310"/>
    <w:rsid w:val="00DA03A9"/>
    <w:rsid w:val="00DA03EC"/>
    <w:rsid w:val="00DA048C"/>
    <w:rsid w:val="00DA04F3"/>
    <w:rsid w:val="00DA04FE"/>
    <w:rsid w:val="00DA051A"/>
    <w:rsid w:val="00DA0524"/>
    <w:rsid w:val="00DA0527"/>
    <w:rsid w:val="00DA0531"/>
    <w:rsid w:val="00DA0533"/>
    <w:rsid w:val="00DA0557"/>
    <w:rsid w:val="00DA05E4"/>
    <w:rsid w:val="00DA0616"/>
    <w:rsid w:val="00DA069A"/>
    <w:rsid w:val="00DA06C5"/>
    <w:rsid w:val="00DA06C6"/>
    <w:rsid w:val="00DA06F7"/>
    <w:rsid w:val="00DA06FF"/>
    <w:rsid w:val="00DA0747"/>
    <w:rsid w:val="00DA0753"/>
    <w:rsid w:val="00DA07A7"/>
    <w:rsid w:val="00DA07BD"/>
    <w:rsid w:val="00DA07F9"/>
    <w:rsid w:val="00DA080C"/>
    <w:rsid w:val="00DA0901"/>
    <w:rsid w:val="00DA0924"/>
    <w:rsid w:val="00DA0967"/>
    <w:rsid w:val="00DA0975"/>
    <w:rsid w:val="00DA097A"/>
    <w:rsid w:val="00DA0988"/>
    <w:rsid w:val="00DA09D8"/>
    <w:rsid w:val="00DA09E5"/>
    <w:rsid w:val="00DA09E9"/>
    <w:rsid w:val="00DA0A1D"/>
    <w:rsid w:val="00DA0A2D"/>
    <w:rsid w:val="00DA0A4F"/>
    <w:rsid w:val="00DA0A82"/>
    <w:rsid w:val="00DA0A9A"/>
    <w:rsid w:val="00DA0AE2"/>
    <w:rsid w:val="00DA0B27"/>
    <w:rsid w:val="00DA0B3F"/>
    <w:rsid w:val="00DA0B71"/>
    <w:rsid w:val="00DA0BC9"/>
    <w:rsid w:val="00DA0BE3"/>
    <w:rsid w:val="00DA0BE8"/>
    <w:rsid w:val="00DA0C09"/>
    <w:rsid w:val="00DA0C42"/>
    <w:rsid w:val="00DA0C5C"/>
    <w:rsid w:val="00DA0C8F"/>
    <w:rsid w:val="00DA0CDC"/>
    <w:rsid w:val="00DA0D05"/>
    <w:rsid w:val="00DA0D99"/>
    <w:rsid w:val="00DA0DA7"/>
    <w:rsid w:val="00DA0DD0"/>
    <w:rsid w:val="00DA0DE1"/>
    <w:rsid w:val="00DA0DF7"/>
    <w:rsid w:val="00DA0E35"/>
    <w:rsid w:val="00DA0E44"/>
    <w:rsid w:val="00DA0EA1"/>
    <w:rsid w:val="00DA0EA2"/>
    <w:rsid w:val="00DA0EB1"/>
    <w:rsid w:val="00DA0EDA"/>
    <w:rsid w:val="00DA0EE8"/>
    <w:rsid w:val="00DA0EF8"/>
    <w:rsid w:val="00DA0EFA"/>
    <w:rsid w:val="00DA0F01"/>
    <w:rsid w:val="00DA0F11"/>
    <w:rsid w:val="00DA0F1B"/>
    <w:rsid w:val="00DA0F25"/>
    <w:rsid w:val="00DA0F29"/>
    <w:rsid w:val="00DA0F7A"/>
    <w:rsid w:val="00DA0F9C"/>
    <w:rsid w:val="00DA0FAF"/>
    <w:rsid w:val="00DA0FB0"/>
    <w:rsid w:val="00DA1017"/>
    <w:rsid w:val="00DA1025"/>
    <w:rsid w:val="00DA1031"/>
    <w:rsid w:val="00DA105B"/>
    <w:rsid w:val="00DA1074"/>
    <w:rsid w:val="00DA10A4"/>
    <w:rsid w:val="00DA10C4"/>
    <w:rsid w:val="00DA10F3"/>
    <w:rsid w:val="00DA10F4"/>
    <w:rsid w:val="00DA111E"/>
    <w:rsid w:val="00DA1156"/>
    <w:rsid w:val="00DA1212"/>
    <w:rsid w:val="00DA121A"/>
    <w:rsid w:val="00DA127F"/>
    <w:rsid w:val="00DA12CD"/>
    <w:rsid w:val="00DA12DF"/>
    <w:rsid w:val="00DA12ED"/>
    <w:rsid w:val="00DA12F0"/>
    <w:rsid w:val="00DA1331"/>
    <w:rsid w:val="00DA133A"/>
    <w:rsid w:val="00DA1358"/>
    <w:rsid w:val="00DA1359"/>
    <w:rsid w:val="00DA138F"/>
    <w:rsid w:val="00DA13D1"/>
    <w:rsid w:val="00DA140F"/>
    <w:rsid w:val="00DA1463"/>
    <w:rsid w:val="00DA14A8"/>
    <w:rsid w:val="00DA14CB"/>
    <w:rsid w:val="00DA14D2"/>
    <w:rsid w:val="00DA14F5"/>
    <w:rsid w:val="00DA150B"/>
    <w:rsid w:val="00DA1556"/>
    <w:rsid w:val="00DA158C"/>
    <w:rsid w:val="00DA160F"/>
    <w:rsid w:val="00DA162C"/>
    <w:rsid w:val="00DA1653"/>
    <w:rsid w:val="00DA1696"/>
    <w:rsid w:val="00DA16CF"/>
    <w:rsid w:val="00DA16DC"/>
    <w:rsid w:val="00DA16E9"/>
    <w:rsid w:val="00DA171F"/>
    <w:rsid w:val="00DA1737"/>
    <w:rsid w:val="00DA17A9"/>
    <w:rsid w:val="00DA17C0"/>
    <w:rsid w:val="00DA17CE"/>
    <w:rsid w:val="00DA17DC"/>
    <w:rsid w:val="00DA17ED"/>
    <w:rsid w:val="00DA17F6"/>
    <w:rsid w:val="00DA1809"/>
    <w:rsid w:val="00DA1838"/>
    <w:rsid w:val="00DA1856"/>
    <w:rsid w:val="00DA18C2"/>
    <w:rsid w:val="00DA18D2"/>
    <w:rsid w:val="00DA1912"/>
    <w:rsid w:val="00DA1961"/>
    <w:rsid w:val="00DA196C"/>
    <w:rsid w:val="00DA1995"/>
    <w:rsid w:val="00DA199A"/>
    <w:rsid w:val="00DA19BE"/>
    <w:rsid w:val="00DA1A39"/>
    <w:rsid w:val="00DA1A3D"/>
    <w:rsid w:val="00DA1A7E"/>
    <w:rsid w:val="00DA1AA8"/>
    <w:rsid w:val="00DA1AF4"/>
    <w:rsid w:val="00DA1B2B"/>
    <w:rsid w:val="00DA1B53"/>
    <w:rsid w:val="00DA1B71"/>
    <w:rsid w:val="00DA1B7D"/>
    <w:rsid w:val="00DA1B8B"/>
    <w:rsid w:val="00DA1B91"/>
    <w:rsid w:val="00DA1BB5"/>
    <w:rsid w:val="00DA1BFB"/>
    <w:rsid w:val="00DA1BFE"/>
    <w:rsid w:val="00DA1C41"/>
    <w:rsid w:val="00DA1C42"/>
    <w:rsid w:val="00DA1C4C"/>
    <w:rsid w:val="00DA1C86"/>
    <w:rsid w:val="00DA1C8B"/>
    <w:rsid w:val="00DA1C9D"/>
    <w:rsid w:val="00DA1CD0"/>
    <w:rsid w:val="00DA1D1C"/>
    <w:rsid w:val="00DA1D4F"/>
    <w:rsid w:val="00DA1D56"/>
    <w:rsid w:val="00DA1D5E"/>
    <w:rsid w:val="00DA1D85"/>
    <w:rsid w:val="00DA1DB7"/>
    <w:rsid w:val="00DA1DDA"/>
    <w:rsid w:val="00DA1DF0"/>
    <w:rsid w:val="00DA1E07"/>
    <w:rsid w:val="00DA1E11"/>
    <w:rsid w:val="00DA1E60"/>
    <w:rsid w:val="00DA1E85"/>
    <w:rsid w:val="00DA1EBA"/>
    <w:rsid w:val="00DA1F65"/>
    <w:rsid w:val="00DA1FB6"/>
    <w:rsid w:val="00DA2002"/>
    <w:rsid w:val="00DA2053"/>
    <w:rsid w:val="00DA2077"/>
    <w:rsid w:val="00DA20B1"/>
    <w:rsid w:val="00DA2128"/>
    <w:rsid w:val="00DA212D"/>
    <w:rsid w:val="00DA2157"/>
    <w:rsid w:val="00DA2161"/>
    <w:rsid w:val="00DA2170"/>
    <w:rsid w:val="00DA227A"/>
    <w:rsid w:val="00DA2284"/>
    <w:rsid w:val="00DA2286"/>
    <w:rsid w:val="00DA22E9"/>
    <w:rsid w:val="00DA22FE"/>
    <w:rsid w:val="00DA2304"/>
    <w:rsid w:val="00DA2317"/>
    <w:rsid w:val="00DA233E"/>
    <w:rsid w:val="00DA234E"/>
    <w:rsid w:val="00DA237B"/>
    <w:rsid w:val="00DA2388"/>
    <w:rsid w:val="00DA2397"/>
    <w:rsid w:val="00DA23B7"/>
    <w:rsid w:val="00DA2469"/>
    <w:rsid w:val="00DA24D1"/>
    <w:rsid w:val="00DA24FB"/>
    <w:rsid w:val="00DA24FF"/>
    <w:rsid w:val="00DA252E"/>
    <w:rsid w:val="00DA255C"/>
    <w:rsid w:val="00DA25DE"/>
    <w:rsid w:val="00DA25FC"/>
    <w:rsid w:val="00DA261D"/>
    <w:rsid w:val="00DA2680"/>
    <w:rsid w:val="00DA2699"/>
    <w:rsid w:val="00DA26AB"/>
    <w:rsid w:val="00DA26C5"/>
    <w:rsid w:val="00DA26DD"/>
    <w:rsid w:val="00DA26E1"/>
    <w:rsid w:val="00DA26FE"/>
    <w:rsid w:val="00DA2712"/>
    <w:rsid w:val="00DA2781"/>
    <w:rsid w:val="00DA278B"/>
    <w:rsid w:val="00DA278E"/>
    <w:rsid w:val="00DA2791"/>
    <w:rsid w:val="00DA27E9"/>
    <w:rsid w:val="00DA2827"/>
    <w:rsid w:val="00DA2833"/>
    <w:rsid w:val="00DA288E"/>
    <w:rsid w:val="00DA2896"/>
    <w:rsid w:val="00DA28A0"/>
    <w:rsid w:val="00DA28B1"/>
    <w:rsid w:val="00DA28D5"/>
    <w:rsid w:val="00DA28E6"/>
    <w:rsid w:val="00DA2934"/>
    <w:rsid w:val="00DA2950"/>
    <w:rsid w:val="00DA2A1F"/>
    <w:rsid w:val="00DA2A22"/>
    <w:rsid w:val="00DA2A54"/>
    <w:rsid w:val="00DA2AAE"/>
    <w:rsid w:val="00DA2AE8"/>
    <w:rsid w:val="00DA2B04"/>
    <w:rsid w:val="00DA2B90"/>
    <w:rsid w:val="00DA2BCD"/>
    <w:rsid w:val="00DA2BE8"/>
    <w:rsid w:val="00DA2C2C"/>
    <w:rsid w:val="00DA2C46"/>
    <w:rsid w:val="00DA2C5D"/>
    <w:rsid w:val="00DA2CF4"/>
    <w:rsid w:val="00DA2D28"/>
    <w:rsid w:val="00DA2D3F"/>
    <w:rsid w:val="00DA2D45"/>
    <w:rsid w:val="00DA2EB8"/>
    <w:rsid w:val="00DA2EF8"/>
    <w:rsid w:val="00DA2EFC"/>
    <w:rsid w:val="00DA2F01"/>
    <w:rsid w:val="00DA2F0B"/>
    <w:rsid w:val="00DA2F0E"/>
    <w:rsid w:val="00DA2F17"/>
    <w:rsid w:val="00DA2F4D"/>
    <w:rsid w:val="00DA2F4F"/>
    <w:rsid w:val="00DA2F51"/>
    <w:rsid w:val="00DA2F80"/>
    <w:rsid w:val="00DA2F8F"/>
    <w:rsid w:val="00DA2F9C"/>
    <w:rsid w:val="00DA2FA1"/>
    <w:rsid w:val="00DA2FB2"/>
    <w:rsid w:val="00DA3094"/>
    <w:rsid w:val="00DA30B8"/>
    <w:rsid w:val="00DA30BC"/>
    <w:rsid w:val="00DA30F6"/>
    <w:rsid w:val="00DA30FD"/>
    <w:rsid w:val="00DA3121"/>
    <w:rsid w:val="00DA315F"/>
    <w:rsid w:val="00DA3161"/>
    <w:rsid w:val="00DA3184"/>
    <w:rsid w:val="00DA3199"/>
    <w:rsid w:val="00DA31B5"/>
    <w:rsid w:val="00DA328D"/>
    <w:rsid w:val="00DA3294"/>
    <w:rsid w:val="00DA3297"/>
    <w:rsid w:val="00DA330C"/>
    <w:rsid w:val="00DA3314"/>
    <w:rsid w:val="00DA332C"/>
    <w:rsid w:val="00DA332E"/>
    <w:rsid w:val="00DA337E"/>
    <w:rsid w:val="00DA33A6"/>
    <w:rsid w:val="00DA33CE"/>
    <w:rsid w:val="00DA344E"/>
    <w:rsid w:val="00DA3458"/>
    <w:rsid w:val="00DA348C"/>
    <w:rsid w:val="00DA349B"/>
    <w:rsid w:val="00DA34BD"/>
    <w:rsid w:val="00DA34F8"/>
    <w:rsid w:val="00DA34FF"/>
    <w:rsid w:val="00DA351D"/>
    <w:rsid w:val="00DA357F"/>
    <w:rsid w:val="00DA3584"/>
    <w:rsid w:val="00DA3633"/>
    <w:rsid w:val="00DA365B"/>
    <w:rsid w:val="00DA3695"/>
    <w:rsid w:val="00DA36B6"/>
    <w:rsid w:val="00DA36DC"/>
    <w:rsid w:val="00DA36FE"/>
    <w:rsid w:val="00DA370B"/>
    <w:rsid w:val="00DA370D"/>
    <w:rsid w:val="00DA376E"/>
    <w:rsid w:val="00DA3784"/>
    <w:rsid w:val="00DA3803"/>
    <w:rsid w:val="00DA380E"/>
    <w:rsid w:val="00DA3833"/>
    <w:rsid w:val="00DA387B"/>
    <w:rsid w:val="00DA38A1"/>
    <w:rsid w:val="00DA38BC"/>
    <w:rsid w:val="00DA38C2"/>
    <w:rsid w:val="00DA38DA"/>
    <w:rsid w:val="00DA38E3"/>
    <w:rsid w:val="00DA390F"/>
    <w:rsid w:val="00DA3913"/>
    <w:rsid w:val="00DA3914"/>
    <w:rsid w:val="00DA392A"/>
    <w:rsid w:val="00DA392F"/>
    <w:rsid w:val="00DA3956"/>
    <w:rsid w:val="00DA39F4"/>
    <w:rsid w:val="00DA3A2A"/>
    <w:rsid w:val="00DA3A68"/>
    <w:rsid w:val="00DA3A73"/>
    <w:rsid w:val="00DA3AA3"/>
    <w:rsid w:val="00DA3AAE"/>
    <w:rsid w:val="00DA3AC5"/>
    <w:rsid w:val="00DA3AFD"/>
    <w:rsid w:val="00DA3B1B"/>
    <w:rsid w:val="00DA3B37"/>
    <w:rsid w:val="00DA3B61"/>
    <w:rsid w:val="00DA3B65"/>
    <w:rsid w:val="00DA3BB6"/>
    <w:rsid w:val="00DA3BD9"/>
    <w:rsid w:val="00DA3C30"/>
    <w:rsid w:val="00DA3C48"/>
    <w:rsid w:val="00DA3C5B"/>
    <w:rsid w:val="00DA3C65"/>
    <w:rsid w:val="00DA3C73"/>
    <w:rsid w:val="00DA3C74"/>
    <w:rsid w:val="00DA3C81"/>
    <w:rsid w:val="00DA3C8F"/>
    <w:rsid w:val="00DA3C96"/>
    <w:rsid w:val="00DA3CCD"/>
    <w:rsid w:val="00DA3CD0"/>
    <w:rsid w:val="00DA3CF4"/>
    <w:rsid w:val="00DA3CF6"/>
    <w:rsid w:val="00DA3CFC"/>
    <w:rsid w:val="00DA3D0D"/>
    <w:rsid w:val="00DA3D21"/>
    <w:rsid w:val="00DA3D45"/>
    <w:rsid w:val="00DA3D62"/>
    <w:rsid w:val="00DA3D6C"/>
    <w:rsid w:val="00DA3D8B"/>
    <w:rsid w:val="00DA3D8C"/>
    <w:rsid w:val="00DA3DC6"/>
    <w:rsid w:val="00DA3DFB"/>
    <w:rsid w:val="00DA3E30"/>
    <w:rsid w:val="00DA3EAC"/>
    <w:rsid w:val="00DA3EC5"/>
    <w:rsid w:val="00DA3F04"/>
    <w:rsid w:val="00DA3F0D"/>
    <w:rsid w:val="00DA3F2A"/>
    <w:rsid w:val="00DA3F44"/>
    <w:rsid w:val="00DA3F4D"/>
    <w:rsid w:val="00DA3F6F"/>
    <w:rsid w:val="00DA3F88"/>
    <w:rsid w:val="00DA3F90"/>
    <w:rsid w:val="00DA3F9F"/>
    <w:rsid w:val="00DA3FBD"/>
    <w:rsid w:val="00DA3FE6"/>
    <w:rsid w:val="00DA402E"/>
    <w:rsid w:val="00DA4067"/>
    <w:rsid w:val="00DA4093"/>
    <w:rsid w:val="00DA40C9"/>
    <w:rsid w:val="00DA40D9"/>
    <w:rsid w:val="00DA4133"/>
    <w:rsid w:val="00DA4140"/>
    <w:rsid w:val="00DA4161"/>
    <w:rsid w:val="00DA4190"/>
    <w:rsid w:val="00DA41C0"/>
    <w:rsid w:val="00DA41C6"/>
    <w:rsid w:val="00DA41DC"/>
    <w:rsid w:val="00DA41E6"/>
    <w:rsid w:val="00DA41EA"/>
    <w:rsid w:val="00DA41F6"/>
    <w:rsid w:val="00DA426F"/>
    <w:rsid w:val="00DA42AA"/>
    <w:rsid w:val="00DA42B0"/>
    <w:rsid w:val="00DA42E0"/>
    <w:rsid w:val="00DA4327"/>
    <w:rsid w:val="00DA432C"/>
    <w:rsid w:val="00DA435D"/>
    <w:rsid w:val="00DA437A"/>
    <w:rsid w:val="00DA4387"/>
    <w:rsid w:val="00DA43C0"/>
    <w:rsid w:val="00DA43DC"/>
    <w:rsid w:val="00DA43EA"/>
    <w:rsid w:val="00DA43F0"/>
    <w:rsid w:val="00DA43FB"/>
    <w:rsid w:val="00DA4444"/>
    <w:rsid w:val="00DA4484"/>
    <w:rsid w:val="00DA448E"/>
    <w:rsid w:val="00DA448F"/>
    <w:rsid w:val="00DA4493"/>
    <w:rsid w:val="00DA44A6"/>
    <w:rsid w:val="00DA44D0"/>
    <w:rsid w:val="00DA4503"/>
    <w:rsid w:val="00DA4510"/>
    <w:rsid w:val="00DA459F"/>
    <w:rsid w:val="00DA45DD"/>
    <w:rsid w:val="00DA45F7"/>
    <w:rsid w:val="00DA4618"/>
    <w:rsid w:val="00DA4659"/>
    <w:rsid w:val="00DA4668"/>
    <w:rsid w:val="00DA46D0"/>
    <w:rsid w:val="00DA46E8"/>
    <w:rsid w:val="00DA46FA"/>
    <w:rsid w:val="00DA4719"/>
    <w:rsid w:val="00DA4757"/>
    <w:rsid w:val="00DA4761"/>
    <w:rsid w:val="00DA47C2"/>
    <w:rsid w:val="00DA47EF"/>
    <w:rsid w:val="00DA480F"/>
    <w:rsid w:val="00DA4810"/>
    <w:rsid w:val="00DA4835"/>
    <w:rsid w:val="00DA4850"/>
    <w:rsid w:val="00DA4858"/>
    <w:rsid w:val="00DA4870"/>
    <w:rsid w:val="00DA48C8"/>
    <w:rsid w:val="00DA48C9"/>
    <w:rsid w:val="00DA48E4"/>
    <w:rsid w:val="00DA48E6"/>
    <w:rsid w:val="00DA4955"/>
    <w:rsid w:val="00DA4965"/>
    <w:rsid w:val="00DA496D"/>
    <w:rsid w:val="00DA498A"/>
    <w:rsid w:val="00DA498C"/>
    <w:rsid w:val="00DA49E7"/>
    <w:rsid w:val="00DA49E9"/>
    <w:rsid w:val="00DA4A0E"/>
    <w:rsid w:val="00DA4A10"/>
    <w:rsid w:val="00DA4A4A"/>
    <w:rsid w:val="00DA4A66"/>
    <w:rsid w:val="00DA4ACE"/>
    <w:rsid w:val="00DA4B09"/>
    <w:rsid w:val="00DA4B19"/>
    <w:rsid w:val="00DA4B24"/>
    <w:rsid w:val="00DA4B48"/>
    <w:rsid w:val="00DA4B4E"/>
    <w:rsid w:val="00DA4BEB"/>
    <w:rsid w:val="00DA4C0D"/>
    <w:rsid w:val="00DA4C36"/>
    <w:rsid w:val="00DA4C50"/>
    <w:rsid w:val="00DA4C73"/>
    <w:rsid w:val="00DA4CC0"/>
    <w:rsid w:val="00DA4CE3"/>
    <w:rsid w:val="00DA4D31"/>
    <w:rsid w:val="00DA4D55"/>
    <w:rsid w:val="00DA4D76"/>
    <w:rsid w:val="00DA4DA2"/>
    <w:rsid w:val="00DA4DB9"/>
    <w:rsid w:val="00DA4DF5"/>
    <w:rsid w:val="00DA4E05"/>
    <w:rsid w:val="00DA4E23"/>
    <w:rsid w:val="00DA4E6F"/>
    <w:rsid w:val="00DA4E9D"/>
    <w:rsid w:val="00DA4EB6"/>
    <w:rsid w:val="00DA4ED3"/>
    <w:rsid w:val="00DA4EDD"/>
    <w:rsid w:val="00DA4EFD"/>
    <w:rsid w:val="00DA4EFE"/>
    <w:rsid w:val="00DA4F9E"/>
    <w:rsid w:val="00DA4FAC"/>
    <w:rsid w:val="00DA4FB2"/>
    <w:rsid w:val="00DA501B"/>
    <w:rsid w:val="00DA5022"/>
    <w:rsid w:val="00DA5038"/>
    <w:rsid w:val="00DA5098"/>
    <w:rsid w:val="00DA5122"/>
    <w:rsid w:val="00DA5158"/>
    <w:rsid w:val="00DA5164"/>
    <w:rsid w:val="00DA5187"/>
    <w:rsid w:val="00DA519E"/>
    <w:rsid w:val="00DA51E6"/>
    <w:rsid w:val="00DA5203"/>
    <w:rsid w:val="00DA5204"/>
    <w:rsid w:val="00DA5211"/>
    <w:rsid w:val="00DA5213"/>
    <w:rsid w:val="00DA5219"/>
    <w:rsid w:val="00DA5251"/>
    <w:rsid w:val="00DA528B"/>
    <w:rsid w:val="00DA5291"/>
    <w:rsid w:val="00DA52A8"/>
    <w:rsid w:val="00DA52C7"/>
    <w:rsid w:val="00DA52FF"/>
    <w:rsid w:val="00DA531D"/>
    <w:rsid w:val="00DA5340"/>
    <w:rsid w:val="00DA535A"/>
    <w:rsid w:val="00DA5376"/>
    <w:rsid w:val="00DA53B4"/>
    <w:rsid w:val="00DA53B8"/>
    <w:rsid w:val="00DA5417"/>
    <w:rsid w:val="00DA5479"/>
    <w:rsid w:val="00DA54EE"/>
    <w:rsid w:val="00DA5534"/>
    <w:rsid w:val="00DA556D"/>
    <w:rsid w:val="00DA55B3"/>
    <w:rsid w:val="00DA55CB"/>
    <w:rsid w:val="00DA55EC"/>
    <w:rsid w:val="00DA55F4"/>
    <w:rsid w:val="00DA5600"/>
    <w:rsid w:val="00DA5613"/>
    <w:rsid w:val="00DA561F"/>
    <w:rsid w:val="00DA5628"/>
    <w:rsid w:val="00DA5637"/>
    <w:rsid w:val="00DA5650"/>
    <w:rsid w:val="00DA5676"/>
    <w:rsid w:val="00DA5679"/>
    <w:rsid w:val="00DA56AC"/>
    <w:rsid w:val="00DA5727"/>
    <w:rsid w:val="00DA575A"/>
    <w:rsid w:val="00DA5762"/>
    <w:rsid w:val="00DA5777"/>
    <w:rsid w:val="00DA57AE"/>
    <w:rsid w:val="00DA57C3"/>
    <w:rsid w:val="00DA580D"/>
    <w:rsid w:val="00DA5821"/>
    <w:rsid w:val="00DA586E"/>
    <w:rsid w:val="00DA586F"/>
    <w:rsid w:val="00DA58CA"/>
    <w:rsid w:val="00DA58CB"/>
    <w:rsid w:val="00DA5931"/>
    <w:rsid w:val="00DA5956"/>
    <w:rsid w:val="00DA598D"/>
    <w:rsid w:val="00DA599C"/>
    <w:rsid w:val="00DA59BA"/>
    <w:rsid w:val="00DA59CE"/>
    <w:rsid w:val="00DA59E7"/>
    <w:rsid w:val="00DA5A0C"/>
    <w:rsid w:val="00DA5A83"/>
    <w:rsid w:val="00DA5A86"/>
    <w:rsid w:val="00DA5AB1"/>
    <w:rsid w:val="00DA5AEF"/>
    <w:rsid w:val="00DA5B22"/>
    <w:rsid w:val="00DA5B6C"/>
    <w:rsid w:val="00DA5B83"/>
    <w:rsid w:val="00DA5B9C"/>
    <w:rsid w:val="00DA5BE2"/>
    <w:rsid w:val="00DA5BE5"/>
    <w:rsid w:val="00DA5C32"/>
    <w:rsid w:val="00DA5C68"/>
    <w:rsid w:val="00DA5CAB"/>
    <w:rsid w:val="00DA5D01"/>
    <w:rsid w:val="00DA5D1F"/>
    <w:rsid w:val="00DA5D43"/>
    <w:rsid w:val="00DA5D9E"/>
    <w:rsid w:val="00DA5DA6"/>
    <w:rsid w:val="00DA5E87"/>
    <w:rsid w:val="00DA5E9E"/>
    <w:rsid w:val="00DA5EA4"/>
    <w:rsid w:val="00DA5EC4"/>
    <w:rsid w:val="00DA5EC8"/>
    <w:rsid w:val="00DA5F0B"/>
    <w:rsid w:val="00DA5F22"/>
    <w:rsid w:val="00DA5F50"/>
    <w:rsid w:val="00DA5F57"/>
    <w:rsid w:val="00DA5F81"/>
    <w:rsid w:val="00DA5F83"/>
    <w:rsid w:val="00DA5F91"/>
    <w:rsid w:val="00DA5FA2"/>
    <w:rsid w:val="00DA5FDD"/>
    <w:rsid w:val="00DA600D"/>
    <w:rsid w:val="00DA6059"/>
    <w:rsid w:val="00DA6082"/>
    <w:rsid w:val="00DA60F6"/>
    <w:rsid w:val="00DA6109"/>
    <w:rsid w:val="00DA6121"/>
    <w:rsid w:val="00DA6132"/>
    <w:rsid w:val="00DA615C"/>
    <w:rsid w:val="00DA619D"/>
    <w:rsid w:val="00DA61BC"/>
    <w:rsid w:val="00DA620D"/>
    <w:rsid w:val="00DA6220"/>
    <w:rsid w:val="00DA6275"/>
    <w:rsid w:val="00DA62B3"/>
    <w:rsid w:val="00DA62C2"/>
    <w:rsid w:val="00DA62E8"/>
    <w:rsid w:val="00DA6302"/>
    <w:rsid w:val="00DA63BF"/>
    <w:rsid w:val="00DA63F2"/>
    <w:rsid w:val="00DA6446"/>
    <w:rsid w:val="00DA6495"/>
    <w:rsid w:val="00DA64AB"/>
    <w:rsid w:val="00DA64C8"/>
    <w:rsid w:val="00DA64D7"/>
    <w:rsid w:val="00DA64DB"/>
    <w:rsid w:val="00DA64DE"/>
    <w:rsid w:val="00DA64F3"/>
    <w:rsid w:val="00DA6567"/>
    <w:rsid w:val="00DA6578"/>
    <w:rsid w:val="00DA65BB"/>
    <w:rsid w:val="00DA65F1"/>
    <w:rsid w:val="00DA65F4"/>
    <w:rsid w:val="00DA661E"/>
    <w:rsid w:val="00DA6676"/>
    <w:rsid w:val="00DA6678"/>
    <w:rsid w:val="00DA6685"/>
    <w:rsid w:val="00DA66D1"/>
    <w:rsid w:val="00DA671E"/>
    <w:rsid w:val="00DA672C"/>
    <w:rsid w:val="00DA6770"/>
    <w:rsid w:val="00DA67B6"/>
    <w:rsid w:val="00DA67BD"/>
    <w:rsid w:val="00DA67F5"/>
    <w:rsid w:val="00DA67F9"/>
    <w:rsid w:val="00DA6832"/>
    <w:rsid w:val="00DA6834"/>
    <w:rsid w:val="00DA6839"/>
    <w:rsid w:val="00DA6855"/>
    <w:rsid w:val="00DA6884"/>
    <w:rsid w:val="00DA68A3"/>
    <w:rsid w:val="00DA68E5"/>
    <w:rsid w:val="00DA68F2"/>
    <w:rsid w:val="00DA6901"/>
    <w:rsid w:val="00DA6911"/>
    <w:rsid w:val="00DA694E"/>
    <w:rsid w:val="00DA698D"/>
    <w:rsid w:val="00DA6994"/>
    <w:rsid w:val="00DA69BD"/>
    <w:rsid w:val="00DA69F7"/>
    <w:rsid w:val="00DA6A0A"/>
    <w:rsid w:val="00DA6A5E"/>
    <w:rsid w:val="00DA6A7D"/>
    <w:rsid w:val="00DA6A99"/>
    <w:rsid w:val="00DA6B12"/>
    <w:rsid w:val="00DA6B26"/>
    <w:rsid w:val="00DA6B3E"/>
    <w:rsid w:val="00DA6B9C"/>
    <w:rsid w:val="00DA6BA9"/>
    <w:rsid w:val="00DA6BAD"/>
    <w:rsid w:val="00DA6BB1"/>
    <w:rsid w:val="00DA6BC1"/>
    <w:rsid w:val="00DA6BC2"/>
    <w:rsid w:val="00DA6C72"/>
    <w:rsid w:val="00DA6CED"/>
    <w:rsid w:val="00DA6D36"/>
    <w:rsid w:val="00DA6D3B"/>
    <w:rsid w:val="00DA6D5D"/>
    <w:rsid w:val="00DA6DA5"/>
    <w:rsid w:val="00DA6DED"/>
    <w:rsid w:val="00DA6DEE"/>
    <w:rsid w:val="00DA6E84"/>
    <w:rsid w:val="00DA6E8B"/>
    <w:rsid w:val="00DA6E8E"/>
    <w:rsid w:val="00DA6EDC"/>
    <w:rsid w:val="00DA6EE7"/>
    <w:rsid w:val="00DA6F30"/>
    <w:rsid w:val="00DA6F99"/>
    <w:rsid w:val="00DA6FBB"/>
    <w:rsid w:val="00DA7075"/>
    <w:rsid w:val="00DA7086"/>
    <w:rsid w:val="00DA70A3"/>
    <w:rsid w:val="00DA7104"/>
    <w:rsid w:val="00DA7111"/>
    <w:rsid w:val="00DA711B"/>
    <w:rsid w:val="00DA714D"/>
    <w:rsid w:val="00DA7180"/>
    <w:rsid w:val="00DA71AA"/>
    <w:rsid w:val="00DA71BE"/>
    <w:rsid w:val="00DA71DC"/>
    <w:rsid w:val="00DA7226"/>
    <w:rsid w:val="00DA729A"/>
    <w:rsid w:val="00DA72BD"/>
    <w:rsid w:val="00DA72BF"/>
    <w:rsid w:val="00DA72CE"/>
    <w:rsid w:val="00DA73F3"/>
    <w:rsid w:val="00DA7455"/>
    <w:rsid w:val="00DA7473"/>
    <w:rsid w:val="00DA7477"/>
    <w:rsid w:val="00DA7489"/>
    <w:rsid w:val="00DA7496"/>
    <w:rsid w:val="00DA749F"/>
    <w:rsid w:val="00DA74A3"/>
    <w:rsid w:val="00DA74BD"/>
    <w:rsid w:val="00DA74E9"/>
    <w:rsid w:val="00DA7502"/>
    <w:rsid w:val="00DA75B4"/>
    <w:rsid w:val="00DA75DD"/>
    <w:rsid w:val="00DA7624"/>
    <w:rsid w:val="00DA7672"/>
    <w:rsid w:val="00DA7687"/>
    <w:rsid w:val="00DA769C"/>
    <w:rsid w:val="00DA769F"/>
    <w:rsid w:val="00DA76BD"/>
    <w:rsid w:val="00DA76E3"/>
    <w:rsid w:val="00DA76FE"/>
    <w:rsid w:val="00DA7715"/>
    <w:rsid w:val="00DA771A"/>
    <w:rsid w:val="00DA772B"/>
    <w:rsid w:val="00DA773A"/>
    <w:rsid w:val="00DA7748"/>
    <w:rsid w:val="00DA779F"/>
    <w:rsid w:val="00DA77F5"/>
    <w:rsid w:val="00DA783B"/>
    <w:rsid w:val="00DA7853"/>
    <w:rsid w:val="00DA7859"/>
    <w:rsid w:val="00DA78A5"/>
    <w:rsid w:val="00DA7968"/>
    <w:rsid w:val="00DA79F1"/>
    <w:rsid w:val="00DA7A14"/>
    <w:rsid w:val="00DA7A61"/>
    <w:rsid w:val="00DA7A9B"/>
    <w:rsid w:val="00DA7AAB"/>
    <w:rsid w:val="00DA7B25"/>
    <w:rsid w:val="00DA7B2C"/>
    <w:rsid w:val="00DA7B39"/>
    <w:rsid w:val="00DA7BC2"/>
    <w:rsid w:val="00DA7BCA"/>
    <w:rsid w:val="00DA7BF6"/>
    <w:rsid w:val="00DA7C12"/>
    <w:rsid w:val="00DA7C4A"/>
    <w:rsid w:val="00DA7CAA"/>
    <w:rsid w:val="00DA7CB5"/>
    <w:rsid w:val="00DA7CBE"/>
    <w:rsid w:val="00DA7CCE"/>
    <w:rsid w:val="00DA7CDE"/>
    <w:rsid w:val="00DA7CFC"/>
    <w:rsid w:val="00DA7D14"/>
    <w:rsid w:val="00DA7D19"/>
    <w:rsid w:val="00DA7D31"/>
    <w:rsid w:val="00DA7D61"/>
    <w:rsid w:val="00DA7D7A"/>
    <w:rsid w:val="00DA7DAB"/>
    <w:rsid w:val="00DA7DCA"/>
    <w:rsid w:val="00DA7DED"/>
    <w:rsid w:val="00DA7E21"/>
    <w:rsid w:val="00DA7E57"/>
    <w:rsid w:val="00DA7E77"/>
    <w:rsid w:val="00DA7E87"/>
    <w:rsid w:val="00DA7EA3"/>
    <w:rsid w:val="00DA7EAD"/>
    <w:rsid w:val="00DA7EEA"/>
    <w:rsid w:val="00DA7EEE"/>
    <w:rsid w:val="00DA7F0F"/>
    <w:rsid w:val="00DA7F13"/>
    <w:rsid w:val="00DA7F2A"/>
    <w:rsid w:val="00DA7F2F"/>
    <w:rsid w:val="00DA7F60"/>
    <w:rsid w:val="00DA7F62"/>
    <w:rsid w:val="00DA7F87"/>
    <w:rsid w:val="00DA7FF6"/>
    <w:rsid w:val="00DB001B"/>
    <w:rsid w:val="00DB001C"/>
    <w:rsid w:val="00DB001F"/>
    <w:rsid w:val="00DB0022"/>
    <w:rsid w:val="00DB0040"/>
    <w:rsid w:val="00DB00E4"/>
    <w:rsid w:val="00DB0111"/>
    <w:rsid w:val="00DB0118"/>
    <w:rsid w:val="00DB0123"/>
    <w:rsid w:val="00DB017B"/>
    <w:rsid w:val="00DB01A5"/>
    <w:rsid w:val="00DB01C6"/>
    <w:rsid w:val="00DB01CA"/>
    <w:rsid w:val="00DB0223"/>
    <w:rsid w:val="00DB0228"/>
    <w:rsid w:val="00DB0232"/>
    <w:rsid w:val="00DB024D"/>
    <w:rsid w:val="00DB0253"/>
    <w:rsid w:val="00DB02F9"/>
    <w:rsid w:val="00DB0329"/>
    <w:rsid w:val="00DB0349"/>
    <w:rsid w:val="00DB0382"/>
    <w:rsid w:val="00DB0387"/>
    <w:rsid w:val="00DB03C2"/>
    <w:rsid w:val="00DB03E1"/>
    <w:rsid w:val="00DB03F3"/>
    <w:rsid w:val="00DB0414"/>
    <w:rsid w:val="00DB044C"/>
    <w:rsid w:val="00DB04A6"/>
    <w:rsid w:val="00DB04C9"/>
    <w:rsid w:val="00DB0540"/>
    <w:rsid w:val="00DB055A"/>
    <w:rsid w:val="00DB0595"/>
    <w:rsid w:val="00DB05BF"/>
    <w:rsid w:val="00DB05CE"/>
    <w:rsid w:val="00DB061D"/>
    <w:rsid w:val="00DB0628"/>
    <w:rsid w:val="00DB0635"/>
    <w:rsid w:val="00DB0668"/>
    <w:rsid w:val="00DB0674"/>
    <w:rsid w:val="00DB06A7"/>
    <w:rsid w:val="00DB06C9"/>
    <w:rsid w:val="00DB06E4"/>
    <w:rsid w:val="00DB07B5"/>
    <w:rsid w:val="00DB07CF"/>
    <w:rsid w:val="00DB07E4"/>
    <w:rsid w:val="00DB0816"/>
    <w:rsid w:val="00DB0842"/>
    <w:rsid w:val="00DB0864"/>
    <w:rsid w:val="00DB0896"/>
    <w:rsid w:val="00DB0913"/>
    <w:rsid w:val="00DB096E"/>
    <w:rsid w:val="00DB0974"/>
    <w:rsid w:val="00DB0992"/>
    <w:rsid w:val="00DB09A8"/>
    <w:rsid w:val="00DB0A35"/>
    <w:rsid w:val="00DB0A3D"/>
    <w:rsid w:val="00DB0A48"/>
    <w:rsid w:val="00DB0A5D"/>
    <w:rsid w:val="00DB0A83"/>
    <w:rsid w:val="00DB0A88"/>
    <w:rsid w:val="00DB0A8F"/>
    <w:rsid w:val="00DB0AA3"/>
    <w:rsid w:val="00DB0AAE"/>
    <w:rsid w:val="00DB0AD8"/>
    <w:rsid w:val="00DB0B11"/>
    <w:rsid w:val="00DB0B40"/>
    <w:rsid w:val="00DB0B5E"/>
    <w:rsid w:val="00DB0B6F"/>
    <w:rsid w:val="00DB0B7E"/>
    <w:rsid w:val="00DB0BA0"/>
    <w:rsid w:val="00DB0BB8"/>
    <w:rsid w:val="00DB0BD8"/>
    <w:rsid w:val="00DB0BDA"/>
    <w:rsid w:val="00DB0C0A"/>
    <w:rsid w:val="00DB0C1F"/>
    <w:rsid w:val="00DB0C9C"/>
    <w:rsid w:val="00DB0CAD"/>
    <w:rsid w:val="00DB0D0C"/>
    <w:rsid w:val="00DB0D2C"/>
    <w:rsid w:val="00DB0D35"/>
    <w:rsid w:val="00DB0D4F"/>
    <w:rsid w:val="00DB0D66"/>
    <w:rsid w:val="00DB0D8D"/>
    <w:rsid w:val="00DB0DA0"/>
    <w:rsid w:val="00DB0DC0"/>
    <w:rsid w:val="00DB0DEE"/>
    <w:rsid w:val="00DB0DFD"/>
    <w:rsid w:val="00DB0E03"/>
    <w:rsid w:val="00DB0E06"/>
    <w:rsid w:val="00DB0E1A"/>
    <w:rsid w:val="00DB0E3B"/>
    <w:rsid w:val="00DB0E71"/>
    <w:rsid w:val="00DB0E98"/>
    <w:rsid w:val="00DB0EAE"/>
    <w:rsid w:val="00DB0ED9"/>
    <w:rsid w:val="00DB0EF9"/>
    <w:rsid w:val="00DB0F07"/>
    <w:rsid w:val="00DB0F15"/>
    <w:rsid w:val="00DB0F2F"/>
    <w:rsid w:val="00DB0F64"/>
    <w:rsid w:val="00DB0F78"/>
    <w:rsid w:val="00DB0FC4"/>
    <w:rsid w:val="00DB0FCE"/>
    <w:rsid w:val="00DB0FD5"/>
    <w:rsid w:val="00DB1019"/>
    <w:rsid w:val="00DB1080"/>
    <w:rsid w:val="00DB1093"/>
    <w:rsid w:val="00DB109F"/>
    <w:rsid w:val="00DB10A2"/>
    <w:rsid w:val="00DB10DB"/>
    <w:rsid w:val="00DB10EE"/>
    <w:rsid w:val="00DB110B"/>
    <w:rsid w:val="00DB1124"/>
    <w:rsid w:val="00DB115D"/>
    <w:rsid w:val="00DB11E0"/>
    <w:rsid w:val="00DB1216"/>
    <w:rsid w:val="00DB121A"/>
    <w:rsid w:val="00DB1238"/>
    <w:rsid w:val="00DB1245"/>
    <w:rsid w:val="00DB1289"/>
    <w:rsid w:val="00DB12E7"/>
    <w:rsid w:val="00DB12F9"/>
    <w:rsid w:val="00DB1337"/>
    <w:rsid w:val="00DB133B"/>
    <w:rsid w:val="00DB1362"/>
    <w:rsid w:val="00DB1385"/>
    <w:rsid w:val="00DB1392"/>
    <w:rsid w:val="00DB13D6"/>
    <w:rsid w:val="00DB1407"/>
    <w:rsid w:val="00DB1415"/>
    <w:rsid w:val="00DB1421"/>
    <w:rsid w:val="00DB142F"/>
    <w:rsid w:val="00DB146E"/>
    <w:rsid w:val="00DB1475"/>
    <w:rsid w:val="00DB148C"/>
    <w:rsid w:val="00DB14A9"/>
    <w:rsid w:val="00DB14B0"/>
    <w:rsid w:val="00DB14C2"/>
    <w:rsid w:val="00DB14EE"/>
    <w:rsid w:val="00DB153A"/>
    <w:rsid w:val="00DB1574"/>
    <w:rsid w:val="00DB159B"/>
    <w:rsid w:val="00DB15C2"/>
    <w:rsid w:val="00DB15E3"/>
    <w:rsid w:val="00DB1605"/>
    <w:rsid w:val="00DB1608"/>
    <w:rsid w:val="00DB161B"/>
    <w:rsid w:val="00DB1639"/>
    <w:rsid w:val="00DB1655"/>
    <w:rsid w:val="00DB1667"/>
    <w:rsid w:val="00DB167B"/>
    <w:rsid w:val="00DB16F5"/>
    <w:rsid w:val="00DB16FA"/>
    <w:rsid w:val="00DB1716"/>
    <w:rsid w:val="00DB1746"/>
    <w:rsid w:val="00DB1747"/>
    <w:rsid w:val="00DB174E"/>
    <w:rsid w:val="00DB1781"/>
    <w:rsid w:val="00DB179C"/>
    <w:rsid w:val="00DB1822"/>
    <w:rsid w:val="00DB1847"/>
    <w:rsid w:val="00DB1851"/>
    <w:rsid w:val="00DB188E"/>
    <w:rsid w:val="00DB18A2"/>
    <w:rsid w:val="00DB1910"/>
    <w:rsid w:val="00DB197F"/>
    <w:rsid w:val="00DB199F"/>
    <w:rsid w:val="00DB19AD"/>
    <w:rsid w:val="00DB19B2"/>
    <w:rsid w:val="00DB19F0"/>
    <w:rsid w:val="00DB1A1B"/>
    <w:rsid w:val="00DB1A27"/>
    <w:rsid w:val="00DB1A70"/>
    <w:rsid w:val="00DB1AA5"/>
    <w:rsid w:val="00DB1AB6"/>
    <w:rsid w:val="00DB1AC7"/>
    <w:rsid w:val="00DB1AD2"/>
    <w:rsid w:val="00DB1B08"/>
    <w:rsid w:val="00DB1B55"/>
    <w:rsid w:val="00DB1B62"/>
    <w:rsid w:val="00DB1B99"/>
    <w:rsid w:val="00DB1BB9"/>
    <w:rsid w:val="00DB1BFA"/>
    <w:rsid w:val="00DB1C17"/>
    <w:rsid w:val="00DB1C3E"/>
    <w:rsid w:val="00DB1C4F"/>
    <w:rsid w:val="00DB1C50"/>
    <w:rsid w:val="00DB1C76"/>
    <w:rsid w:val="00DB1C93"/>
    <w:rsid w:val="00DB1CEF"/>
    <w:rsid w:val="00DB1D19"/>
    <w:rsid w:val="00DB1D73"/>
    <w:rsid w:val="00DB1D85"/>
    <w:rsid w:val="00DB1D8D"/>
    <w:rsid w:val="00DB1D9B"/>
    <w:rsid w:val="00DB1D9F"/>
    <w:rsid w:val="00DB1DDA"/>
    <w:rsid w:val="00DB1E0E"/>
    <w:rsid w:val="00DB1E36"/>
    <w:rsid w:val="00DB1E89"/>
    <w:rsid w:val="00DB1EDF"/>
    <w:rsid w:val="00DB1EFA"/>
    <w:rsid w:val="00DB1F0C"/>
    <w:rsid w:val="00DB1F0F"/>
    <w:rsid w:val="00DB1F14"/>
    <w:rsid w:val="00DB1F16"/>
    <w:rsid w:val="00DB1F6E"/>
    <w:rsid w:val="00DB1F90"/>
    <w:rsid w:val="00DB1FB3"/>
    <w:rsid w:val="00DB1FD0"/>
    <w:rsid w:val="00DB1FDB"/>
    <w:rsid w:val="00DB1FED"/>
    <w:rsid w:val="00DB200A"/>
    <w:rsid w:val="00DB2020"/>
    <w:rsid w:val="00DB202C"/>
    <w:rsid w:val="00DB2030"/>
    <w:rsid w:val="00DB205F"/>
    <w:rsid w:val="00DB2064"/>
    <w:rsid w:val="00DB2095"/>
    <w:rsid w:val="00DB2105"/>
    <w:rsid w:val="00DB2108"/>
    <w:rsid w:val="00DB215E"/>
    <w:rsid w:val="00DB217C"/>
    <w:rsid w:val="00DB2187"/>
    <w:rsid w:val="00DB218A"/>
    <w:rsid w:val="00DB21A7"/>
    <w:rsid w:val="00DB21F1"/>
    <w:rsid w:val="00DB220B"/>
    <w:rsid w:val="00DB223F"/>
    <w:rsid w:val="00DB224A"/>
    <w:rsid w:val="00DB2258"/>
    <w:rsid w:val="00DB2267"/>
    <w:rsid w:val="00DB2276"/>
    <w:rsid w:val="00DB2287"/>
    <w:rsid w:val="00DB2298"/>
    <w:rsid w:val="00DB2346"/>
    <w:rsid w:val="00DB234A"/>
    <w:rsid w:val="00DB2353"/>
    <w:rsid w:val="00DB2357"/>
    <w:rsid w:val="00DB238E"/>
    <w:rsid w:val="00DB238F"/>
    <w:rsid w:val="00DB23B5"/>
    <w:rsid w:val="00DB23E2"/>
    <w:rsid w:val="00DB23EC"/>
    <w:rsid w:val="00DB241B"/>
    <w:rsid w:val="00DB2438"/>
    <w:rsid w:val="00DB2487"/>
    <w:rsid w:val="00DB24C6"/>
    <w:rsid w:val="00DB24D0"/>
    <w:rsid w:val="00DB24FF"/>
    <w:rsid w:val="00DB2519"/>
    <w:rsid w:val="00DB2536"/>
    <w:rsid w:val="00DB2578"/>
    <w:rsid w:val="00DB2604"/>
    <w:rsid w:val="00DB2642"/>
    <w:rsid w:val="00DB266C"/>
    <w:rsid w:val="00DB26A2"/>
    <w:rsid w:val="00DB26FF"/>
    <w:rsid w:val="00DB2783"/>
    <w:rsid w:val="00DB27ED"/>
    <w:rsid w:val="00DB27FF"/>
    <w:rsid w:val="00DB2802"/>
    <w:rsid w:val="00DB282A"/>
    <w:rsid w:val="00DB284B"/>
    <w:rsid w:val="00DB284D"/>
    <w:rsid w:val="00DB288A"/>
    <w:rsid w:val="00DB2895"/>
    <w:rsid w:val="00DB28B6"/>
    <w:rsid w:val="00DB28B9"/>
    <w:rsid w:val="00DB294F"/>
    <w:rsid w:val="00DB2983"/>
    <w:rsid w:val="00DB29CD"/>
    <w:rsid w:val="00DB2A3C"/>
    <w:rsid w:val="00DB2A49"/>
    <w:rsid w:val="00DB2A75"/>
    <w:rsid w:val="00DB2A83"/>
    <w:rsid w:val="00DB2A84"/>
    <w:rsid w:val="00DB2AA8"/>
    <w:rsid w:val="00DB2AD5"/>
    <w:rsid w:val="00DB2AFE"/>
    <w:rsid w:val="00DB2B53"/>
    <w:rsid w:val="00DB2B7E"/>
    <w:rsid w:val="00DB2BAE"/>
    <w:rsid w:val="00DB2BC3"/>
    <w:rsid w:val="00DB2BFB"/>
    <w:rsid w:val="00DB2C06"/>
    <w:rsid w:val="00DB2C0E"/>
    <w:rsid w:val="00DB2C33"/>
    <w:rsid w:val="00DB2C34"/>
    <w:rsid w:val="00DB2C4F"/>
    <w:rsid w:val="00DB2CAB"/>
    <w:rsid w:val="00DB2CEA"/>
    <w:rsid w:val="00DB2D06"/>
    <w:rsid w:val="00DB2D19"/>
    <w:rsid w:val="00DB2D1D"/>
    <w:rsid w:val="00DB2D25"/>
    <w:rsid w:val="00DB2D5B"/>
    <w:rsid w:val="00DB2D5D"/>
    <w:rsid w:val="00DB2DDD"/>
    <w:rsid w:val="00DB2DF1"/>
    <w:rsid w:val="00DB2E00"/>
    <w:rsid w:val="00DB2E06"/>
    <w:rsid w:val="00DB2E2E"/>
    <w:rsid w:val="00DB2E48"/>
    <w:rsid w:val="00DB2E9B"/>
    <w:rsid w:val="00DB2EBF"/>
    <w:rsid w:val="00DB2EC1"/>
    <w:rsid w:val="00DB2F1E"/>
    <w:rsid w:val="00DB2F45"/>
    <w:rsid w:val="00DB2F5A"/>
    <w:rsid w:val="00DB2F87"/>
    <w:rsid w:val="00DB2FA0"/>
    <w:rsid w:val="00DB2FEA"/>
    <w:rsid w:val="00DB300C"/>
    <w:rsid w:val="00DB302F"/>
    <w:rsid w:val="00DB3079"/>
    <w:rsid w:val="00DB30BA"/>
    <w:rsid w:val="00DB30D1"/>
    <w:rsid w:val="00DB312A"/>
    <w:rsid w:val="00DB316A"/>
    <w:rsid w:val="00DB3176"/>
    <w:rsid w:val="00DB318B"/>
    <w:rsid w:val="00DB3192"/>
    <w:rsid w:val="00DB3218"/>
    <w:rsid w:val="00DB3226"/>
    <w:rsid w:val="00DB3252"/>
    <w:rsid w:val="00DB32DC"/>
    <w:rsid w:val="00DB32E0"/>
    <w:rsid w:val="00DB32E9"/>
    <w:rsid w:val="00DB32ED"/>
    <w:rsid w:val="00DB331E"/>
    <w:rsid w:val="00DB334C"/>
    <w:rsid w:val="00DB334E"/>
    <w:rsid w:val="00DB3351"/>
    <w:rsid w:val="00DB336A"/>
    <w:rsid w:val="00DB33D7"/>
    <w:rsid w:val="00DB33FD"/>
    <w:rsid w:val="00DB3416"/>
    <w:rsid w:val="00DB3422"/>
    <w:rsid w:val="00DB3459"/>
    <w:rsid w:val="00DB348C"/>
    <w:rsid w:val="00DB34A8"/>
    <w:rsid w:val="00DB34C9"/>
    <w:rsid w:val="00DB34CB"/>
    <w:rsid w:val="00DB34CF"/>
    <w:rsid w:val="00DB350E"/>
    <w:rsid w:val="00DB3524"/>
    <w:rsid w:val="00DB352F"/>
    <w:rsid w:val="00DB3559"/>
    <w:rsid w:val="00DB355A"/>
    <w:rsid w:val="00DB3583"/>
    <w:rsid w:val="00DB359E"/>
    <w:rsid w:val="00DB35AD"/>
    <w:rsid w:val="00DB35F9"/>
    <w:rsid w:val="00DB361B"/>
    <w:rsid w:val="00DB364F"/>
    <w:rsid w:val="00DB3689"/>
    <w:rsid w:val="00DB36E9"/>
    <w:rsid w:val="00DB3727"/>
    <w:rsid w:val="00DB372E"/>
    <w:rsid w:val="00DB3748"/>
    <w:rsid w:val="00DB377F"/>
    <w:rsid w:val="00DB378A"/>
    <w:rsid w:val="00DB37B0"/>
    <w:rsid w:val="00DB37BB"/>
    <w:rsid w:val="00DB37D1"/>
    <w:rsid w:val="00DB37EE"/>
    <w:rsid w:val="00DB37F5"/>
    <w:rsid w:val="00DB3800"/>
    <w:rsid w:val="00DB380A"/>
    <w:rsid w:val="00DB380F"/>
    <w:rsid w:val="00DB385E"/>
    <w:rsid w:val="00DB3896"/>
    <w:rsid w:val="00DB38A8"/>
    <w:rsid w:val="00DB39B1"/>
    <w:rsid w:val="00DB39C0"/>
    <w:rsid w:val="00DB39C3"/>
    <w:rsid w:val="00DB39EA"/>
    <w:rsid w:val="00DB3A03"/>
    <w:rsid w:val="00DB3A08"/>
    <w:rsid w:val="00DB3A51"/>
    <w:rsid w:val="00DB3A69"/>
    <w:rsid w:val="00DB3A7C"/>
    <w:rsid w:val="00DB3AB5"/>
    <w:rsid w:val="00DB3ADA"/>
    <w:rsid w:val="00DB3AEE"/>
    <w:rsid w:val="00DB3B0D"/>
    <w:rsid w:val="00DB3B30"/>
    <w:rsid w:val="00DB3BC7"/>
    <w:rsid w:val="00DB3BEF"/>
    <w:rsid w:val="00DB3BF2"/>
    <w:rsid w:val="00DB3C18"/>
    <w:rsid w:val="00DB3C67"/>
    <w:rsid w:val="00DB3D05"/>
    <w:rsid w:val="00DB3D10"/>
    <w:rsid w:val="00DB3D46"/>
    <w:rsid w:val="00DB3D54"/>
    <w:rsid w:val="00DB3D7F"/>
    <w:rsid w:val="00DB3D9D"/>
    <w:rsid w:val="00DB3DB0"/>
    <w:rsid w:val="00DB3DE4"/>
    <w:rsid w:val="00DB3DF2"/>
    <w:rsid w:val="00DB3DF4"/>
    <w:rsid w:val="00DB3E19"/>
    <w:rsid w:val="00DB3E1E"/>
    <w:rsid w:val="00DB3E2A"/>
    <w:rsid w:val="00DB3EF1"/>
    <w:rsid w:val="00DB3F12"/>
    <w:rsid w:val="00DB3F30"/>
    <w:rsid w:val="00DB3F5D"/>
    <w:rsid w:val="00DB3F8D"/>
    <w:rsid w:val="00DB3F95"/>
    <w:rsid w:val="00DB3F9F"/>
    <w:rsid w:val="00DB3FA3"/>
    <w:rsid w:val="00DB4043"/>
    <w:rsid w:val="00DB4083"/>
    <w:rsid w:val="00DB40A3"/>
    <w:rsid w:val="00DB40B2"/>
    <w:rsid w:val="00DB40BD"/>
    <w:rsid w:val="00DB40C3"/>
    <w:rsid w:val="00DB40C8"/>
    <w:rsid w:val="00DB40E5"/>
    <w:rsid w:val="00DB40F3"/>
    <w:rsid w:val="00DB410E"/>
    <w:rsid w:val="00DB4117"/>
    <w:rsid w:val="00DB415B"/>
    <w:rsid w:val="00DB4176"/>
    <w:rsid w:val="00DB41A0"/>
    <w:rsid w:val="00DB41AC"/>
    <w:rsid w:val="00DB41CA"/>
    <w:rsid w:val="00DB41D3"/>
    <w:rsid w:val="00DB41D6"/>
    <w:rsid w:val="00DB421E"/>
    <w:rsid w:val="00DB4248"/>
    <w:rsid w:val="00DB4293"/>
    <w:rsid w:val="00DB42A0"/>
    <w:rsid w:val="00DB42C7"/>
    <w:rsid w:val="00DB42CE"/>
    <w:rsid w:val="00DB42D4"/>
    <w:rsid w:val="00DB42E0"/>
    <w:rsid w:val="00DB42ED"/>
    <w:rsid w:val="00DB430B"/>
    <w:rsid w:val="00DB430D"/>
    <w:rsid w:val="00DB432E"/>
    <w:rsid w:val="00DB433F"/>
    <w:rsid w:val="00DB436B"/>
    <w:rsid w:val="00DB43F6"/>
    <w:rsid w:val="00DB4434"/>
    <w:rsid w:val="00DB444B"/>
    <w:rsid w:val="00DB4491"/>
    <w:rsid w:val="00DB44BD"/>
    <w:rsid w:val="00DB453B"/>
    <w:rsid w:val="00DB45A8"/>
    <w:rsid w:val="00DB45AD"/>
    <w:rsid w:val="00DB46A1"/>
    <w:rsid w:val="00DB46B3"/>
    <w:rsid w:val="00DB46C6"/>
    <w:rsid w:val="00DB470C"/>
    <w:rsid w:val="00DB471E"/>
    <w:rsid w:val="00DB474C"/>
    <w:rsid w:val="00DB4776"/>
    <w:rsid w:val="00DB4794"/>
    <w:rsid w:val="00DB479C"/>
    <w:rsid w:val="00DB47E4"/>
    <w:rsid w:val="00DB480E"/>
    <w:rsid w:val="00DB481A"/>
    <w:rsid w:val="00DB4833"/>
    <w:rsid w:val="00DB487E"/>
    <w:rsid w:val="00DB48BA"/>
    <w:rsid w:val="00DB48F2"/>
    <w:rsid w:val="00DB48FE"/>
    <w:rsid w:val="00DB48FF"/>
    <w:rsid w:val="00DB4917"/>
    <w:rsid w:val="00DB4939"/>
    <w:rsid w:val="00DB4991"/>
    <w:rsid w:val="00DB49F4"/>
    <w:rsid w:val="00DB49F8"/>
    <w:rsid w:val="00DB4A0F"/>
    <w:rsid w:val="00DB4A16"/>
    <w:rsid w:val="00DB4A22"/>
    <w:rsid w:val="00DB4AA0"/>
    <w:rsid w:val="00DB4ACE"/>
    <w:rsid w:val="00DB4AD6"/>
    <w:rsid w:val="00DB4B04"/>
    <w:rsid w:val="00DB4B1D"/>
    <w:rsid w:val="00DB4B45"/>
    <w:rsid w:val="00DB4B7A"/>
    <w:rsid w:val="00DB4BB1"/>
    <w:rsid w:val="00DB4BDE"/>
    <w:rsid w:val="00DB4BE8"/>
    <w:rsid w:val="00DB4C0E"/>
    <w:rsid w:val="00DB4C8C"/>
    <w:rsid w:val="00DB4C8E"/>
    <w:rsid w:val="00DB4C9D"/>
    <w:rsid w:val="00DB4D1E"/>
    <w:rsid w:val="00DB4DA5"/>
    <w:rsid w:val="00DB4DAA"/>
    <w:rsid w:val="00DB4DFA"/>
    <w:rsid w:val="00DB4E47"/>
    <w:rsid w:val="00DB4E5C"/>
    <w:rsid w:val="00DB4E78"/>
    <w:rsid w:val="00DB4E91"/>
    <w:rsid w:val="00DB4EAA"/>
    <w:rsid w:val="00DB4ED4"/>
    <w:rsid w:val="00DB4EE6"/>
    <w:rsid w:val="00DB4F07"/>
    <w:rsid w:val="00DB4F2F"/>
    <w:rsid w:val="00DB4F49"/>
    <w:rsid w:val="00DB4F7A"/>
    <w:rsid w:val="00DB4FE4"/>
    <w:rsid w:val="00DB5019"/>
    <w:rsid w:val="00DB504C"/>
    <w:rsid w:val="00DB50B7"/>
    <w:rsid w:val="00DB50CD"/>
    <w:rsid w:val="00DB50D8"/>
    <w:rsid w:val="00DB5132"/>
    <w:rsid w:val="00DB5161"/>
    <w:rsid w:val="00DB516D"/>
    <w:rsid w:val="00DB5176"/>
    <w:rsid w:val="00DB517D"/>
    <w:rsid w:val="00DB5185"/>
    <w:rsid w:val="00DB520F"/>
    <w:rsid w:val="00DB5267"/>
    <w:rsid w:val="00DB5287"/>
    <w:rsid w:val="00DB529A"/>
    <w:rsid w:val="00DB52A2"/>
    <w:rsid w:val="00DB5356"/>
    <w:rsid w:val="00DB5372"/>
    <w:rsid w:val="00DB53D4"/>
    <w:rsid w:val="00DB53E3"/>
    <w:rsid w:val="00DB53F1"/>
    <w:rsid w:val="00DB5404"/>
    <w:rsid w:val="00DB540A"/>
    <w:rsid w:val="00DB543E"/>
    <w:rsid w:val="00DB5445"/>
    <w:rsid w:val="00DB5450"/>
    <w:rsid w:val="00DB546B"/>
    <w:rsid w:val="00DB546D"/>
    <w:rsid w:val="00DB5473"/>
    <w:rsid w:val="00DB547E"/>
    <w:rsid w:val="00DB548E"/>
    <w:rsid w:val="00DB54A7"/>
    <w:rsid w:val="00DB54EB"/>
    <w:rsid w:val="00DB5500"/>
    <w:rsid w:val="00DB5513"/>
    <w:rsid w:val="00DB555D"/>
    <w:rsid w:val="00DB559E"/>
    <w:rsid w:val="00DB55ED"/>
    <w:rsid w:val="00DB567B"/>
    <w:rsid w:val="00DB569F"/>
    <w:rsid w:val="00DB56B7"/>
    <w:rsid w:val="00DB56C9"/>
    <w:rsid w:val="00DB56E1"/>
    <w:rsid w:val="00DB56F3"/>
    <w:rsid w:val="00DB570B"/>
    <w:rsid w:val="00DB5724"/>
    <w:rsid w:val="00DB5757"/>
    <w:rsid w:val="00DB5764"/>
    <w:rsid w:val="00DB576E"/>
    <w:rsid w:val="00DB5797"/>
    <w:rsid w:val="00DB57B9"/>
    <w:rsid w:val="00DB57CA"/>
    <w:rsid w:val="00DB57D4"/>
    <w:rsid w:val="00DB57F1"/>
    <w:rsid w:val="00DB57F6"/>
    <w:rsid w:val="00DB5843"/>
    <w:rsid w:val="00DB584F"/>
    <w:rsid w:val="00DB5869"/>
    <w:rsid w:val="00DB5870"/>
    <w:rsid w:val="00DB5876"/>
    <w:rsid w:val="00DB58C6"/>
    <w:rsid w:val="00DB58CB"/>
    <w:rsid w:val="00DB58D2"/>
    <w:rsid w:val="00DB58F2"/>
    <w:rsid w:val="00DB591E"/>
    <w:rsid w:val="00DB5928"/>
    <w:rsid w:val="00DB5966"/>
    <w:rsid w:val="00DB596B"/>
    <w:rsid w:val="00DB5990"/>
    <w:rsid w:val="00DB599C"/>
    <w:rsid w:val="00DB59A0"/>
    <w:rsid w:val="00DB59A6"/>
    <w:rsid w:val="00DB59B9"/>
    <w:rsid w:val="00DB5A1F"/>
    <w:rsid w:val="00DB5A47"/>
    <w:rsid w:val="00DB5A51"/>
    <w:rsid w:val="00DB5ADF"/>
    <w:rsid w:val="00DB5AEC"/>
    <w:rsid w:val="00DB5B40"/>
    <w:rsid w:val="00DB5B4A"/>
    <w:rsid w:val="00DB5B93"/>
    <w:rsid w:val="00DB5BA4"/>
    <w:rsid w:val="00DB5BDB"/>
    <w:rsid w:val="00DB5BE9"/>
    <w:rsid w:val="00DB5C20"/>
    <w:rsid w:val="00DB5C37"/>
    <w:rsid w:val="00DB5CA2"/>
    <w:rsid w:val="00DB5CC0"/>
    <w:rsid w:val="00DB5CDB"/>
    <w:rsid w:val="00DB5CDF"/>
    <w:rsid w:val="00DB5D14"/>
    <w:rsid w:val="00DB5D84"/>
    <w:rsid w:val="00DB5D85"/>
    <w:rsid w:val="00DB5D86"/>
    <w:rsid w:val="00DB5D87"/>
    <w:rsid w:val="00DB5DBB"/>
    <w:rsid w:val="00DB5DBD"/>
    <w:rsid w:val="00DB5DE4"/>
    <w:rsid w:val="00DB5DEC"/>
    <w:rsid w:val="00DB5DFF"/>
    <w:rsid w:val="00DB5E04"/>
    <w:rsid w:val="00DB5E07"/>
    <w:rsid w:val="00DB5E1C"/>
    <w:rsid w:val="00DB5E1F"/>
    <w:rsid w:val="00DB5E26"/>
    <w:rsid w:val="00DB5E4C"/>
    <w:rsid w:val="00DB5E7F"/>
    <w:rsid w:val="00DB5EF8"/>
    <w:rsid w:val="00DB5EFB"/>
    <w:rsid w:val="00DB5F00"/>
    <w:rsid w:val="00DB5F35"/>
    <w:rsid w:val="00DB5F3F"/>
    <w:rsid w:val="00DB5F58"/>
    <w:rsid w:val="00DB5F69"/>
    <w:rsid w:val="00DB5F71"/>
    <w:rsid w:val="00DB5F77"/>
    <w:rsid w:val="00DB5FDB"/>
    <w:rsid w:val="00DB5FFB"/>
    <w:rsid w:val="00DB6008"/>
    <w:rsid w:val="00DB602C"/>
    <w:rsid w:val="00DB6075"/>
    <w:rsid w:val="00DB607C"/>
    <w:rsid w:val="00DB608D"/>
    <w:rsid w:val="00DB60BF"/>
    <w:rsid w:val="00DB60D3"/>
    <w:rsid w:val="00DB60EB"/>
    <w:rsid w:val="00DB60F6"/>
    <w:rsid w:val="00DB6113"/>
    <w:rsid w:val="00DB6130"/>
    <w:rsid w:val="00DB6148"/>
    <w:rsid w:val="00DB6152"/>
    <w:rsid w:val="00DB615D"/>
    <w:rsid w:val="00DB6160"/>
    <w:rsid w:val="00DB61B8"/>
    <w:rsid w:val="00DB61CC"/>
    <w:rsid w:val="00DB61DC"/>
    <w:rsid w:val="00DB6230"/>
    <w:rsid w:val="00DB623F"/>
    <w:rsid w:val="00DB6261"/>
    <w:rsid w:val="00DB6289"/>
    <w:rsid w:val="00DB62B0"/>
    <w:rsid w:val="00DB630B"/>
    <w:rsid w:val="00DB632D"/>
    <w:rsid w:val="00DB6332"/>
    <w:rsid w:val="00DB6390"/>
    <w:rsid w:val="00DB63EE"/>
    <w:rsid w:val="00DB63F4"/>
    <w:rsid w:val="00DB63FE"/>
    <w:rsid w:val="00DB6431"/>
    <w:rsid w:val="00DB643D"/>
    <w:rsid w:val="00DB6443"/>
    <w:rsid w:val="00DB6445"/>
    <w:rsid w:val="00DB644C"/>
    <w:rsid w:val="00DB645B"/>
    <w:rsid w:val="00DB6473"/>
    <w:rsid w:val="00DB64AB"/>
    <w:rsid w:val="00DB64CC"/>
    <w:rsid w:val="00DB64D1"/>
    <w:rsid w:val="00DB64D8"/>
    <w:rsid w:val="00DB64E5"/>
    <w:rsid w:val="00DB64E8"/>
    <w:rsid w:val="00DB64F9"/>
    <w:rsid w:val="00DB6513"/>
    <w:rsid w:val="00DB6536"/>
    <w:rsid w:val="00DB6556"/>
    <w:rsid w:val="00DB6582"/>
    <w:rsid w:val="00DB6599"/>
    <w:rsid w:val="00DB65AC"/>
    <w:rsid w:val="00DB65D4"/>
    <w:rsid w:val="00DB6601"/>
    <w:rsid w:val="00DB6610"/>
    <w:rsid w:val="00DB6622"/>
    <w:rsid w:val="00DB664D"/>
    <w:rsid w:val="00DB666E"/>
    <w:rsid w:val="00DB66C7"/>
    <w:rsid w:val="00DB66EF"/>
    <w:rsid w:val="00DB673A"/>
    <w:rsid w:val="00DB675E"/>
    <w:rsid w:val="00DB6777"/>
    <w:rsid w:val="00DB67CD"/>
    <w:rsid w:val="00DB67F5"/>
    <w:rsid w:val="00DB680F"/>
    <w:rsid w:val="00DB6824"/>
    <w:rsid w:val="00DB6869"/>
    <w:rsid w:val="00DB686C"/>
    <w:rsid w:val="00DB68A6"/>
    <w:rsid w:val="00DB68C3"/>
    <w:rsid w:val="00DB691F"/>
    <w:rsid w:val="00DB6931"/>
    <w:rsid w:val="00DB6943"/>
    <w:rsid w:val="00DB697B"/>
    <w:rsid w:val="00DB698B"/>
    <w:rsid w:val="00DB699B"/>
    <w:rsid w:val="00DB69AF"/>
    <w:rsid w:val="00DB69B2"/>
    <w:rsid w:val="00DB69CF"/>
    <w:rsid w:val="00DB69ED"/>
    <w:rsid w:val="00DB6A1F"/>
    <w:rsid w:val="00DB6A29"/>
    <w:rsid w:val="00DB6A4A"/>
    <w:rsid w:val="00DB6AB3"/>
    <w:rsid w:val="00DB6AC9"/>
    <w:rsid w:val="00DB6AE4"/>
    <w:rsid w:val="00DB6AF0"/>
    <w:rsid w:val="00DB6AFB"/>
    <w:rsid w:val="00DB6B3F"/>
    <w:rsid w:val="00DB6B5F"/>
    <w:rsid w:val="00DB6B66"/>
    <w:rsid w:val="00DB6B76"/>
    <w:rsid w:val="00DB6B7B"/>
    <w:rsid w:val="00DB6B7F"/>
    <w:rsid w:val="00DB6B90"/>
    <w:rsid w:val="00DB6BC8"/>
    <w:rsid w:val="00DB6BF4"/>
    <w:rsid w:val="00DB6C2B"/>
    <w:rsid w:val="00DB6C46"/>
    <w:rsid w:val="00DB6C5A"/>
    <w:rsid w:val="00DB6D2B"/>
    <w:rsid w:val="00DB6D2E"/>
    <w:rsid w:val="00DB6D3A"/>
    <w:rsid w:val="00DB6D48"/>
    <w:rsid w:val="00DB6D55"/>
    <w:rsid w:val="00DB6D7D"/>
    <w:rsid w:val="00DB6DBF"/>
    <w:rsid w:val="00DB6E0F"/>
    <w:rsid w:val="00DB6E32"/>
    <w:rsid w:val="00DB6E3D"/>
    <w:rsid w:val="00DB6E59"/>
    <w:rsid w:val="00DB6E5B"/>
    <w:rsid w:val="00DB6E71"/>
    <w:rsid w:val="00DB6E76"/>
    <w:rsid w:val="00DB6E9E"/>
    <w:rsid w:val="00DB6EA9"/>
    <w:rsid w:val="00DB6EC4"/>
    <w:rsid w:val="00DB6F02"/>
    <w:rsid w:val="00DB6F20"/>
    <w:rsid w:val="00DB6F26"/>
    <w:rsid w:val="00DB6F37"/>
    <w:rsid w:val="00DB6F42"/>
    <w:rsid w:val="00DB6F68"/>
    <w:rsid w:val="00DB6FE1"/>
    <w:rsid w:val="00DB7012"/>
    <w:rsid w:val="00DB701E"/>
    <w:rsid w:val="00DB703F"/>
    <w:rsid w:val="00DB709E"/>
    <w:rsid w:val="00DB70A6"/>
    <w:rsid w:val="00DB70B5"/>
    <w:rsid w:val="00DB70D2"/>
    <w:rsid w:val="00DB70F9"/>
    <w:rsid w:val="00DB710D"/>
    <w:rsid w:val="00DB7137"/>
    <w:rsid w:val="00DB7163"/>
    <w:rsid w:val="00DB7185"/>
    <w:rsid w:val="00DB719A"/>
    <w:rsid w:val="00DB71A5"/>
    <w:rsid w:val="00DB71CB"/>
    <w:rsid w:val="00DB720C"/>
    <w:rsid w:val="00DB7220"/>
    <w:rsid w:val="00DB7230"/>
    <w:rsid w:val="00DB723E"/>
    <w:rsid w:val="00DB725E"/>
    <w:rsid w:val="00DB7289"/>
    <w:rsid w:val="00DB72AE"/>
    <w:rsid w:val="00DB72E3"/>
    <w:rsid w:val="00DB7301"/>
    <w:rsid w:val="00DB7394"/>
    <w:rsid w:val="00DB73A7"/>
    <w:rsid w:val="00DB73D1"/>
    <w:rsid w:val="00DB73E1"/>
    <w:rsid w:val="00DB73F1"/>
    <w:rsid w:val="00DB749F"/>
    <w:rsid w:val="00DB74A3"/>
    <w:rsid w:val="00DB74DA"/>
    <w:rsid w:val="00DB7542"/>
    <w:rsid w:val="00DB756B"/>
    <w:rsid w:val="00DB75B8"/>
    <w:rsid w:val="00DB75C7"/>
    <w:rsid w:val="00DB75DF"/>
    <w:rsid w:val="00DB7603"/>
    <w:rsid w:val="00DB7644"/>
    <w:rsid w:val="00DB7645"/>
    <w:rsid w:val="00DB76AC"/>
    <w:rsid w:val="00DB76BD"/>
    <w:rsid w:val="00DB7725"/>
    <w:rsid w:val="00DB7757"/>
    <w:rsid w:val="00DB77FE"/>
    <w:rsid w:val="00DB7810"/>
    <w:rsid w:val="00DB7817"/>
    <w:rsid w:val="00DB783B"/>
    <w:rsid w:val="00DB789D"/>
    <w:rsid w:val="00DB78AC"/>
    <w:rsid w:val="00DB791C"/>
    <w:rsid w:val="00DB7988"/>
    <w:rsid w:val="00DB7993"/>
    <w:rsid w:val="00DB79D3"/>
    <w:rsid w:val="00DB79D6"/>
    <w:rsid w:val="00DB79EF"/>
    <w:rsid w:val="00DB7AB8"/>
    <w:rsid w:val="00DB7ACF"/>
    <w:rsid w:val="00DB7AD9"/>
    <w:rsid w:val="00DB7AE6"/>
    <w:rsid w:val="00DB7B17"/>
    <w:rsid w:val="00DB7B29"/>
    <w:rsid w:val="00DB7B32"/>
    <w:rsid w:val="00DB7B64"/>
    <w:rsid w:val="00DB7B78"/>
    <w:rsid w:val="00DB7C5C"/>
    <w:rsid w:val="00DB7CA8"/>
    <w:rsid w:val="00DB7CDE"/>
    <w:rsid w:val="00DB7CE0"/>
    <w:rsid w:val="00DB7D4B"/>
    <w:rsid w:val="00DB7DA9"/>
    <w:rsid w:val="00DB7DE1"/>
    <w:rsid w:val="00DB7DE2"/>
    <w:rsid w:val="00DB7E11"/>
    <w:rsid w:val="00DB7E2D"/>
    <w:rsid w:val="00DB7E44"/>
    <w:rsid w:val="00DB7E8F"/>
    <w:rsid w:val="00DB7EBB"/>
    <w:rsid w:val="00DB7EF1"/>
    <w:rsid w:val="00DB7F11"/>
    <w:rsid w:val="00DB7F74"/>
    <w:rsid w:val="00DB7F8F"/>
    <w:rsid w:val="00DB7FA6"/>
    <w:rsid w:val="00DB7FCD"/>
    <w:rsid w:val="00DB7FCF"/>
    <w:rsid w:val="00DB7FDE"/>
    <w:rsid w:val="00DC0046"/>
    <w:rsid w:val="00DC004A"/>
    <w:rsid w:val="00DC0053"/>
    <w:rsid w:val="00DC0060"/>
    <w:rsid w:val="00DC008B"/>
    <w:rsid w:val="00DC009F"/>
    <w:rsid w:val="00DC00AE"/>
    <w:rsid w:val="00DC00B4"/>
    <w:rsid w:val="00DC0103"/>
    <w:rsid w:val="00DC0124"/>
    <w:rsid w:val="00DC013E"/>
    <w:rsid w:val="00DC0144"/>
    <w:rsid w:val="00DC0165"/>
    <w:rsid w:val="00DC017F"/>
    <w:rsid w:val="00DC0180"/>
    <w:rsid w:val="00DC01D7"/>
    <w:rsid w:val="00DC01F6"/>
    <w:rsid w:val="00DC024B"/>
    <w:rsid w:val="00DC024C"/>
    <w:rsid w:val="00DC0282"/>
    <w:rsid w:val="00DC028C"/>
    <w:rsid w:val="00DC02A3"/>
    <w:rsid w:val="00DC02D5"/>
    <w:rsid w:val="00DC02D8"/>
    <w:rsid w:val="00DC02E2"/>
    <w:rsid w:val="00DC0305"/>
    <w:rsid w:val="00DC0341"/>
    <w:rsid w:val="00DC0358"/>
    <w:rsid w:val="00DC037D"/>
    <w:rsid w:val="00DC038E"/>
    <w:rsid w:val="00DC03DB"/>
    <w:rsid w:val="00DC03EA"/>
    <w:rsid w:val="00DC03FC"/>
    <w:rsid w:val="00DC0401"/>
    <w:rsid w:val="00DC0442"/>
    <w:rsid w:val="00DC0457"/>
    <w:rsid w:val="00DC045B"/>
    <w:rsid w:val="00DC048E"/>
    <w:rsid w:val="00DC049B"/>
    <w:rsid w:val="00DC04B3"/>
    <w:rsid w:val="00DC04E7"/>
    <w:rsid w:val="00DC04F6"/>
    <w:rsid w:val="00DC0508"/>
    <w:rsid w:val="00DC0569"/>
    <w:rsid w:val="00DC056A"/>
    <w:rsid w:val="00DC056D"/>
    <w:rsid w:val="00DC05BB"/>
    <w:rsid w:val="00DC05E7"/>
    <w:rsid w:val="00DC0605"/>
    <w:rsid w:val="00DC061A"/>
    <w:rsid w:val="00DC0656"/>
    <w:rsid w:val="00DC068F"/>
    <w:rsid w:val="00DC0691"/>
    <w:rsid w:val="00DC06C3"/>
    <w:rsid w:val="00DC06F0"/>
    <w:rsid w:val="00DC070D"/>
    <w:rsid w:val="00DC077E"/>
    <w:rsid w:val="00DC07C8"/>
    <w:rsid w:val="00DC07D3"/>
    <w:rsid w:val="00DC07E2"/>
    <w:rsid w:val="00DC07E4"/>
    <w:rsid w:val="00DC07E7"/>
    <w:rsid w:val="00DC080D"/>
    <w:rsid w:val="00DC0829"/>
    <w:rsid w:val="00DC0831"/>
    <w:rsid w:val="00DC0864"/>
    <w:rsid w:val="00DC0895"/>
    <w:rsid w:val="00DC090E"/>
    <w:rsid w:val="00DC095C"/>
    <w:rsid w:val="00DC09A4"/>
    <w:rsid w:val="00DC09D0"/>
    <w:rsid w:val="00DC09EC"/>
    <w:rsid w:val="00DC0A36"/>
    <w:rsid w:val="00DC0A44"/>
    <w:rsid w:val="00DC0A6F"/>
    <w:rsid w:val="00DC0A71"/>
    <w:rsid w:val="00DC0A88"/>
    <w:rsid w:val="00DC0AE5"/>
    <w:rsid w:val="00DC0AFB"/>
    <w:rsid w:val="00DC0B3A"/>
    <w:rsid w:val="00DC0B8D"/>
    <w:rsid w:val="00DC0BF0"/>
    <w:rsid w:val="00DC0C33"/>
    <w:rsid w:val="00DC0C5E"/>
    <w:rsid w:val="00DC0C76"/>
    <w:rsid w:val="00DC0C85"/>
    <w:rsid w:val="00DC0CB6"/>
    <w:rsid w:val="00DC0D04"/>
    <w:rsid w:val="00DC0D2A"/>
    <w:rsid w:val="00DC0D36"/>
    <w:rsid w:val="00DC0D38"/>
    <w:rsid w:val="00DC0D4E"/>
    <w:rsid w:val="00DC0D77"/>
    <w:rsid w:val="00DC0D98"/>
    <w:rsid w:val="00DC0DB3"/>
    <w:rsid w:val="00DC0DF3"/>
    <w:rsid w:val="00DC0E03"/>
    <w:rsid w:val="00DC0E22"/>
    <w:rsid w:val="00DC0E54"/>
    <w:rsid w:val="00DC0E56"/>
    <w:rsid w:val="00DC0EA4"/>
    <w:rsid w:val="00DC0FBF"/>
    <w:rsid w:val="00DC0FDA"/>
    <w:rsid w:val="00DC1035"/>
    <w:rsid w:val="00DC1041"/>
    <w:rsid w:val="00DC1051"/>
    <w:rsid w:val="00DC1054"/>
    <w:rsid w:val="00DC105D"/>
    <w:rsid w:val="00DC10DE"/>
    <w:rsid w:val="00DC1133"/>
    <w:rsid w:val="00DC113B"/>
    <w:rsid w:val="00DC114A"/>
    <w:rsid w:val="00DC1156"/>
    <w:rsid w:val="00DC116A"/>
    <w:rsid w:val="00DC11A0"/>
    <w:rsid w:val="00DC11C2"/>
    <w:rsid w:val="00DC11CE"/>
    <w:rsid w:val="00DC1212"/>
    <w:rsid w:val="00DC121D"/>
    <w:rsid w:val="00DC123F"/>
    <w:rsid w:val="00DC1248"/>
    <w:rsid w:val="00DC127B"/>
    <w:rsid w:val="00DC12A8"/>
    <w:rsid w:val="00DC1300"/>
    <w:rsid w:val="00DC1334"/>
    <w:rsid w:val="00DC13B7"/>
    <w:rsid w:val="00DC13C9"/>
    <w:rsid w:val="00DC142A"/>
    <w:rsid w:val="00DC142B"/>
    <w:rsid w:val="00DC1485"/>
    <w:rsid w:val="00DC1496"/>
    <w:rsid w:val="00DC14A7"/>
    <w:rsid w:val="00DC14BF"/>
    <w:rsid w:val="00DC14E0"/>
    <w:rsid w:val="00DC153B"/>
    <w:rsid w:val="00DC155D"/>
    <w:rsid w:val="00DC1562"/>
    <w:rsid w:val="00DC1581"/>
    <w:rsid w:val="00DC15E1"/>
    <w:rsid w:val="00DC1631"/>
    <w:rsid w:val="00DC1699"/>
    <w:rsid w:val="00DC16A5"/>
    <w:rsid w:val="00DC16BE"/>
    <w:rsid w:val="00DC16C5"/>
    <w:rsid w:val="00DC16F8"/>
    <w:rsid w:val="00DC1757"/>
    <w:rsid w:val="00DC1776"/>
    <w:rsid w:val="00DC177E"/>
    <w:rsid w:val="00DC1798"/>
    <w:rsid w:val="00DC180B"/>
    <w:rsid w:val="00DC1821"/>
    <w:rsid w:val="00DC1843"/>
    <w:rsid w:val="00DC1859"/>
    <w:rsid w:val="00DC186C"/>
    <w:rsid w:val="00DC18B7"/>
    <w:rsid w:val="00DC18C9"/>
    <w:rsid w:val="00DC19CB"/>
    <w:rsid w:val="00DC19DD"/>
    <w:rsid w:val="00DC19F5"/>
    <w:rsid w:val="00DC19FA"/>
    <w:rsid w:val="00DC1A01"/>
    <w:rsid w:val="00DC1A3D"/>
    <w:rsid w:val="00DC1A43"/>
    <w:rsid w:val="00DC1A75"/>
    <w:rsid w:val="00DC1AC2"/>
    <w:rsid w:val="00DC1ADA"/>
    <w:rsid w:val="00DC1AF4"/>
    <w:rsid w:val="00DC1AFA"/>
    <w:rsid w:val="00DC1B08"/>
    <w:rsid w:val="00DC1B3E"/>
    <w:rsid w:val="00DC1B4C"/>
    <w:rsid w:val="00DC1B75"/>
    <w:rsid w:val="00DC1B9A"/>
    <w:rsid w:val="00DC1BB2"/>
    <w:rsid w:val="00DC1BC5"/>
    <w:rsid w:val="00DC1BD7"/>
    <w:rsid w:val="00DC1BF5"/>
    <w:rsid w:val="00DC1C08"/>
    <w:rsid w:val="00DC1C14"/>
    <w:rsid w:val="00DC1C15"/>
    <w:rsid w:val="00DC1C59"/>
    <w:rsid w:val="00DC1C88"/>
    <w:rsid w:val="00DC1C94"/>
    <w:rsid w:val="00DC1CB1"/>
    <w:rsid w:val="00DC1CD0"/>
    <w:rsid w:val="00DC1CE1"/>
    <w:rsid w:val="00DC1D28"/>
    <w:rsid w:val="00DC1D32"/>
    <w:rsid w:val="00DC1D6F"/>
    <w:rsid w:val="00DC1D7D"/>
    <w:rsid w:val="00DC1DCA"/>
    <w:rsid w:val="00DC1DE6"/>
    <w:rsid w:val="00DC1DEF"/>
    <w:rsid w:val="00DC1E43"/>
    <w:rsid w:val="00DC1E7F"/>
    <w:rsid w:val="00DC1ED4"/>
    <w:rsid w:val="00DC1EFC"/>
    <w:rsid w:val="00DC1F02"/>
    <w:rsid w:val="00DC1F8C"/>
    <w:rsid w:val="00DC1FB4"/>
    <w:rsid w:val="00DC1FCD"/>
    <w:rsid w:val="00DC2005"/>
    <w:rsid w:val="00DC20A3"/>
    <w:rsid w:val="00DC212E"/>
    <w:rsid w:val="00DC2161"/>
    <w:rsid w:val="00DC21BE"/>
    <w:rsid w:val="00DC21C0"/>
    <w:rsid w:val="00DC21C3"/>
    <w:rsid w:val="00DC223F"/>
    <w:rsid w:val="00DC2244"/>
    <w:rsid w:val="00DC2269"/>
    <w:rsid w:val="00DC2276"/>
    <w:rsid w:val="00DC227D"/>
    <w:rsid w:val="00DC22B1"/>
    <w:rsid w:val="00DC22B3"/>
    <w:rsid w:val="00DC22B9"/>
    <w:rsid w:val="00DC22CF"/>
    <w:rsid w:val="00DC22E1"/>
    <w:rsid w:val="00DC22E6"/>
    <w:rsid w:val="00DC22F3"/>
    <w:rsid w:val="00DC22F5"/>
    <w:rsid w:val="00DC2322"/>
    <w:rsid w:val="00DC23AE"/>
    <w:rsid w:val="00DC23FE"/>
    <w:rsid w:val="00DC241C"/>
    <w:rsid w:val="00DC2424"/>
    <w:rsid w:val="00DC2446"/>
    <w:rsid w:val="00DC2453"/>
    <w:rsid w:val="00DC2472"/>
    <w:rsid w:val="00DC2493"/>
    <w:rsid w:val="00DC24B0"/>
    <w:rsid w:val="00DC2514"/>
    <w:rsid w:val="00DC251E"/>
    <w:rsid w:val="00DC2532"/>
    <w:rsid w:val="00DC2556"/>
    <w:rsid w:val="00DC25A3"/>
    <w:rsid w:val="00DC25C3"/>
    <w:rsid w:val="00DC260D"/>
    <w:rsid w:val="00DC2623"/>
    <w:rsid w:val="00DC2651"/>
    <w:rsid w:val="00DC269D"/>
    <w:rsid w:val="00DC26C3"/>
    <w:rsid w:val="00DC2740"/>
    <w:rsid w:val="00DC27D3"/>
    <w:rsid w:val="00DC2851"/>
    <w:rsid w:val="00DC28B2"/>
    <w:rsid w:val="00DC28D4"/>
    <w:rsid w:val="00DC28DC"/>
    <w:rsid w:val="00DC2905"/>
    <w:rsid w:val="00DC2908"/>
    <w:rsid w:val="00DC294B"/>
    <w:rsid w:val="00DC2969"/>
    <w:rsid w:val="00DC297B"/>
    <w:rsid w:val="00DC297F"/>
    <w:rsid w:val="00DC29C7"/>
    <w:rsid w:val="00DC29D5"/>
    <w:rsid w:val="00DC29F0"/>
    <w:rsid w:val="00DC2A37"/>
    <w:rsid w:val="00DC2A45"/>
    <w:rsid w:val="00DC2A60"/>
    <w:rsid w:val="00DC2A81"/>
    <w:rsid w:val="00DC2A87"/>
    <w:rsid w:val="00DC2A93"/>
    <w:rsid w:val="00DC2AB1"/>
    <w:rsid w:val="00DC2AB4"/>
    <w:rsid w:val="00DC2B13"/>
    <w:rsid w:val="00DC2B31"/>
    <w:rsid w:val="00DC2B9B"/>
    <w:rsid w:val="00DC2BB6"/>
    <w:rsid w:val="00DC2BCE"/>
    <w:rsid w:val="00DC2C45"/>
    <w:rsid w:val="00DC2C75"/>
    <w:rsid w:val="00DC2CEE"/>
    <w:rsid w:val="00DC2D16"/>
    <w:rsid w:val="00DC2D40"/>
    <w:rsid w:val="00DC2D59"/>
    <w:rsid w:val="00DC2D5E"/>
    <w:rsid w:val="00DC2D61"/>
    <w:rsid w:val="00DC2D93"/>
    <w:rsid w:val="00DC2D99"/>
    <w:rsid w:val="00DC2DB3"/>
    <w:rsid w:val="00DC2DBC"/>
    <w:rsid w:val="00DC2DD4"/>
    <w:rsid w:val="00DC2DD9"/>
    <w:rsid w:val="00DC2DEB"/>
    <w:rsid w:val="00DC2DF8"/>
    <w:rsid w:val="00DC2E25"/>
    <w:rsid w:val="00DC2E3C"/>
    <w:rsid w:val="00DC2E62"/>
    <w:rsid w:val="00DC2E8A"/>
    <w:rsid w:val="00DC2E9B"/>
    <w:rsid w:val="00DC2EB4"/>
    <w:rsid w:val="00DC2ED1"/>
    <w:rsid w:val="00DC2ED7"/>
    <w:rsid w:val="00DC2EE2"/>
    <w:rsid w:val="00DC2F1E"/>
    <w:rsid w:val="00DC2F23"/>
    <w:rsid w:val="00DC2F27"/>
    <w:rsid w:val="00DC2F64"/>
    <w:rsid w:val="00DC2F7C"/>
    <w:rsid w:val="00DC2FDC"/>
    <w:rsid w:val="00DC2FDE"/>
    <w:rsid w:val="00DC2FFC"/>
    <w:rsid w:val="00DC300B"/>
    <w:rsid w:val="00DC302D"/>
    <w:rsid w:val="00DC303F"/>
    <w:rsid w:val="00DC3097"/>
    <w:rsid w:val="00DC30AF"/>
    <w:rsid w:val="00DC30BE"/>
    <w:rsid w:val="00DC30C5"/>
    <w:rsid w:val="00DC30D0"/>
    <w:rsid w:val="00DC30DD"/>
    <w:rsid w:val="00DC3117"/>
    <w:rsid w:val="00DC319C"/>
    <w:rsid w:val="00DC31B8"/>
    <w:rsid w:val="00DC31E4"/>
    <w:rsid w:val="00DC31EA"/>
    <w:rsid w:val="00DC31F9"/>
    <w:rsid w:val="00DC326F"/>
    <w:rsid w:val="00DC328A"/>
    <w:rsid w:val="00DC328D"/>
    <w:rsid w:val="00DC32AD"/>
    <w:rsid w:val="00DC32D5"/>
    <w:rsid w:val="00DC3327"/>
    <w:rsid w:val="00DC3359"/>
    <w:rsid w:val="00DC3399"/>
    <w:rsid w:val="00DC33CB"/>
    <w:rsid w:val="00DC33D0"/>
    <w:rsid w:val="00DC33D5"/>
    <w:rsid w:val="00DC346E"/>
    <w:rsid w:val="00DC347D"/>
    <w:rsid w:val="00DC34C9"/>
    <w:rsid w:val="00DC34DF"/>
    <w:rsid w:val="00DC3540"/>
    <w:rsid w:val="00DC3543"/>
    <w:rsid w:val="00DC355B"/>
    <w:rsid w:val="00DC35DC"/>
    <w:rsid w:val="00DC35EC"/>
    <w:rsid w:val="00DC35ED"/>
    <w:rsid w:val="00DC3605"/>
    <w:rsid w:val="00DC3652"/>
    <w:rsid w:val="00DC3664"/>
    <w:rsid w:val="00DC369B"/>
    <w:rsid w:val="00DC36AB"/>
    <w:rsid w:val="00DC36C7"/>
    <w:rsid w:val="00DC36E7"/>
    <w:rsid w:val="00DC371F"/>
    <w:rsid w:val="00DC372A"/>
    <w:rsid w:val="00DC374E"/>
    <w:rsid w:val="00DC375D"/>
    <w:rsid w:val="00DC3789"/>
    <w:rsid w:val="00DC378C"/>
    <w:rsid w:val="00DC3796"/>
    <w:rsid w:val="00DC3799"/>
    <w:rsid w:val="00DC37AC"/>
    <w:rsid w:val="00DC37AE"/>
    <w:rsid w:val="00DC37C2"/>
    <w:rsid w:val="00DC37DF"/>
    <w:rsid w:val="00DC380D"/>
    <w:rsid w:val="00DC3823"/>
    <w:rsid w:val="00DC383E"/>
    <w:rsid w:val="00DC3851"/>
    <w:rsid w:val="00DC3867"/>
    <w:rsid w:val="00DC3871"/>
    <w:rsid w:val="00DC38CA"/>
    <w:rsid w:val="00DC38F6"/>
    <w:rsid w:val="00DC3933"/>
    <w:rsid w:val="00DC396A"/>
    <w:rsid w:val="00DC3971"/>
    <w:rsid w:val="00DC3989"/>
    <w:rsid w:val="00DC3993"/>
    <w:rsid w:val="00DC399E"/>
    <w:rsid w:val="00DC39B6"/>
    <w:rsid w:val="00DC39C5"/>
    <w:rsid w:val="00DC39D8"/>
    <w:rsid w:val="00DC39DF"/>
    <w:rsid w:val="00DC3A0F"/>
    <w:rsid w:val="00DC3A13"/>
    <w:rsid w:val="00DC3A6A"/>
    <w:rsid w:val="00DC3A7A"/>
    <w:rsid w:val="00DC3A7D"/>
    <w:rsid w:val="00DC3AFC"/>
    <w:rsid w:val="00DC3AFF"/>
    <w:rsid w:val="00DC3B0C"/>
    <w:rsid w:val="00DC3B79"/>
    <w:rsid w:val="00DC3BAD"/>
    <w:rsid w:val="00DC3BB6"/>
    <w:rsid w:val="00DC3BF4"/>
    <w:rsid w:val="00DC3C33"/>
    <w:rsid w:val="00DC3C40"/>
    <w:rsid w:val="00DC3C46"/>
    <w:rsid w:val="00DC3C47"/>
    <w:rsid w:val="00DC3C72"/>
    <w:rsid w:val="00DC3C82"/>
    <w:rsid w:val="00DC3CB0"/>
    <w:rsid w:val="00DC3CC5"/>
    <w:rsid w:val="00DC3CC9"/>
    <w:rsid w:val="00DC3CDF"/>
    <w:rsid w:val="00DC3CF5"/>
    <w:rsid w:val="00DC3DC8"/>
    <w:rsid w:val="00DC3DE0"/>
    <w:rsid w:val="00DC3E3A"/>
    <w:rsid w:val="00DC3E61"/>
    <w:rsid w:val="00DC3E8E"/>
    <w:rsid w:val="00DC3ECB"/>
    <w:rsid w:val="00DC3EE6"/>
    <w:rsid w:val="00DC3EFA"/>
    <w:rsid w:val="00DC3EFD"/>
    <w:rsid w:val="00DC3F4F"/>
    <w:rsid w:val="00DC3F9D"/>
    <w:rsid w:val="00DC3FBA"/>
    <w:rsid w:val="00DC3FC0"/>
    <w:rsid w:val="00DC3FDD"/>
    <w:rsid w:val="00DC3FF9"/>
    <w:rsid w:val="00DC4038"/>
    <w:rsid w:val="00DC403C"/>
    <w:rsid w:val="00DC404E"/>
    <w:rsid w:val="00DC4068"/>
    <w:rsid w:val="00DC4098"/>
    <w:rsid w:val="00DC4136"/>
    <w:rsid w:val="00DC4195"/>
    <w:rsid w:val="00DC41DE"/>
    <w:rsid w:val="00DC41EC"/>
    <w:rsid w:val="00DC421F"/>
    <w:rsid w:val="00DC4251"/>
    <w:rsid w:val="00DC425E"/>
    <w:rsid w:val="00DC4275"/>
    <w:rsid w:val="00DC427C"/>
    <w:rsid w:val="00DC42A4"/>
    <w:rsid w:val="00DC42EA"/>
    <w:rsid w:val="00DC42EC"/>
    <w:rsid w:val="00DC4312"/>
    <w:rsid w:val="00DC434C"/>
    <w:rsid w:val="00DC4358"/>
    <w:rsid w:val="00DC4390"/>
    <w:rsid w:val="00DC43B7"/>
    <w:rsid w:val="00DC43DD"/>
    <w:rsid w:val="00DC4438"/>
    <w:rsid w:val="00DC4492"/>
    <w:rsid w:val="00DC449B"/>
    <w:rsid w:val="00DC44CB"/>
    <w:rsid w:val="00DC44CD"/>
    <w:rsid w:val="00DC44D1"/>
    <w:rsid w:val="00DC450C"/>
    <w:rsid w:val="00DC4543"/>
    <w:rsid w:val="00DC45CB"/>
    <w:rsid w:val="00DC45CD"/>
    <w:rsid w:val="00DC45E2"/>
    <w:rsid w:val="00DC45E7"/>
    <w:rsid w:val="00DC45F1"/>
    <w:rsid w:val="00DC4601"/>
    <w:rsid w:val="00DC46AD"/>
    <w:rsid w:val="00DC46D3"/>
    <w:rsid w:val="00DC46DD"/>
    <w:rsid w:val="00DC470C"/>
    <w:rsid w:val="00DC471B"/>
    <w:rsid w:val="00DC476A"/>
    <w:rsid w:val="00DC476F"/>
    <w:rsid w:val="00DC477C"/>
    <w:rsid w:val="00DC4795"/>
    <w:rsid w:val="00DC47AC"/>
    <w:rsid w:val="00DC47FB"/>
    <w:rsid w:val="00DC4806"/>
    <w:rsid w:val="00DC4855"/>
    <w:rsid w:val="00DC486E"/>
    <w:rsid w:val="00DC4899"/>
    <w:rsid w:val="00DC4912"/>
    <w:rsid w:val="00DC4916"/>
    <w:rsid w:val="00DC4944"/>
    <w:rsid w:val="00DC4954"/>
    <w:rsid w:val="00DC4955"/>
    <w:rsid w:val="00DC495A"/>
    <w:rsid w:val="00DC4980"/>
    <w:rsid w:val="00DC4981"/>
    <w:rsid w:val="00DC499D"/>
    <w:rsid w:val="00DC49D9"/>
    <w:rsid w:val="00DC49DC"/>
    <w:rsid w:val="00DC4A45"/>
    <w:rsid w:val="00DC4A8C"/>
    <w:rsid w:val="00DC4AA6"/>
    <w:rsid w:val="00DC4AEF"/>
    <w:rsid w:val="00DC4B0D"/>
    <w:rsid w:val="00DC4BDB"/>
    <w:rsid w:val="00DC4C22"/>
    <w:rsid w:val="00DC4C6D"/>
    <w:rsid w:val="00DC4C8F"/>
    <w:rsid w:val="00DC4D07"/>
    <w:rsid w:val="00DC4D34"/>
    <w:rsid w:val="00DC4DF0"/>
    <w:rsid w:val="00DC4DFC"/>
    <w:rsid w:val="00DC4E04"/>
    <w:rsid w:val="00DC4E17"/>
    <w:rsid w:val="00DC4E24"/>
    <w:rsid w:val="00DC4E29"/>
    <w:rsid w:val="00DC4E83"/>
    <w:rsid w:val="00DC4EF1"/>
    <w:rsid w:val="00DC4F08"/>
    <w:rsid w:val="00DC4F4A"/>
    <w:rsid w:val="00DC4F5F"/>
    <w:rsid w:val="00DC4F61"/>
    <w:rsid w:val="00DC4F6A"/>
    <w:rsid w:val="00DC4F83"/>
    <w:rsid w:val="00DC4F8D"/>
    <w:rsid w:val="00DC4FA8"/>
    <w:rsid w:val="00DC4FBD"/>
    <w:rsid w:val="00DC4FFD"/>
    <w:rsid w:val="00DC5050"/>
    <w:rsid w:val="00DC5054"/>
    <w:rsid w:val="00DC507B"/>
    <w:rsid w:val="00DC50B7"/>
    <w:rsid w:val="00DC50D5"/>
    <w:rsid w:val="00DC5118"/>
    <w:rsid w:val="00DC515B"/>
    <w:rsid w:val="00DC5164"/>
    <w:rsid w:val="00DC51C5"/>
    <w:rsid w:val="00DC51CE"/>
    <w:rsid w:val="00DC51D9"/>
    <w:rsid w:val="00DC51EE"/>
    <w:rsid w:val="00DC5200"/>
    <w:rsid w:val="00DC5226"/>
    <w:rsid w:val="00DC522E"/>
    <w:rsid w:val="00DC5237"/>
    <w:rsid w:val="00DC52BA"/>
    <w:rsid w:val="00DC5319"/>
    <w:rsid w:val="00DC533A"/>
    <w:rsid w:val="00DC5346"/>
    <w:rsid w:val="00DC5395"/>
    <w:rsid w:val="00DC53A1"/>
    <w:rsid w:val="00DC53AC"/>
    <w:rsid w:val="00DC541A"/>
    <w:rsid w:val="00DC545C"/>
    <w:rsid w:val="00DC546E"/>
    <w:rsid w:val="00DC5470"/>
    <w:rsid w:val="00DC54EE"/>
    <w:rsid w:val="00DC551C"/>
    <w:rsid w:val="00DC555B"/>
    <w:rsid w:val="00DC5596"/>
    <w:rsid w:val="00DC55BD"/>
    <w:rsid w:val="00DC55D7"/>
    <w:rsid w:val="00DC55FB"/>
    <w:rsid w:val="00DC561B"/>
    <w:rsid w:val="00DC5641"/>
    <w:rsid w:val="00DC5671"/>
    <w:rsid w:val="00DC567B"/>
    <w:rsid w:val="00DC56AF"/>
    <w:rsid w:val="00DC570F"/>
    <w:rsid w:val="00DC5710"/>
    <w:rsid w:val="00DC5738"/>
    <w:rsid w:val="00DC5741"/>
    <w:rsid w:val="00DC57B5"/>
    <w:rsid w:val="00DC57D0"/>
    <w:rsid w:val="00DC586E"/>
    <w:rsid w:val="00DC588F"/>
    <w:rsid w:val="00DC58C0"/>
    <w:rsid w:val="00DC58D8"/>
    <w:rsid w:val="00DC590A"/>
    <w:rsid w:val="00DC5917"/>
    <w:rsid w:val="00DC595D"/>
    <w:rsid w:val="00DC5964"/>
    <w:rsid w:val="00DC5989"/>
    <w:rsid w:val="00DC598A"/>
    <w:rsid w:val="00DC59A9"/>
    <w:rsid w:val="00DC59C8"/>
    <w:rsid w:val="00DC59CF"/>
    <w:rsid w:val="00DC59D5"/>
    <w:rsid w:val="00DC59D7"/>
    <w:rsid w:val="00DC5A38"/>
    <w:rsid w:val="00DC5A49"/>
    <w:rsid w:val="00DC5A57"/>
    <w:rsid w:val="00DC5A64"/>
    <w:rsid w:val="00DC5A77"/>
    <w:rsid w:val="00DC5A86"/>
    <w:rsid w:val="00DC5A99"/>
    <w:rsid w:val="00DC5A9A"/>
    <w:rsid w:val="00DC5AAC"/>
    <w:rsid w:val="00DC5ABB"/>
    <w:rsid w:val="00DC5AC7"/>
    <w:rsid w:val="00DC5ACE"/>
    <w:rsid w:val="00DC5AD0"/>
    <w:rsid w:val="00DC5B18"/>
    <w:rsid w:val="00DC5B25"/>
    <w:rsid w:val="00DC5B51"/>
    <w:rsid w:val="00DC5B54"/>
    <w:rsid w:val="00DC5C3B"/>
    <w:rsid w:val="00DC5C5E"/>
    <w:rsid w:val="00DC5D07"/>
    <w:rsid w:val="00DC5D2A"/>
    <w:rsid w:val="00DC5D48"/>
    <w:rsid w:val="00DC5D63"/>
    <w:rsid w:val="00DC5D8F"/>
    <w:rsid w:val="00DC5DC2"/>
    <w:rsid w:val="00DC5DFB"/>
    <w:rsid w:val="00DC5E23"/>
    <w:rsid w:val="00DC5E6A"/>
    <w:rsid w:val="00DC5E83"/>
    <w:rsid w:val="00DC5EC2"/>
    <w:rsid w:val="00DC5ED8"/>
    <w:rsid w:val="00DC5F39"/>
    <w:rsid w:val="00DC5F48"/>
    <w:rsid w:val="00DC5F93"/>
    <w:rsid w:val="00DC5F9B"/>
    <w:rsid w:val="00DC5FCB"/>
    <w:rsid w:val="00DC6025"/>
    <w:rsid w:val="00DC6073"/>
    <w:rsid w:val="00DC60B2"/>
    <w:rsid w:val="00DC60B5"/>
    <w:rsid w:val="00DC60BE"/>
    <w:rsid w:val="00DC60C7"/>
    <w:rsid w:val="00DC6115"/>
    <w:rsid w:val="00DC611C"/>
    <w:rsid w:val="00DC611F"/>
    <w:rsid w:val="00DC6141"/>
    <w:rsid w:val="00DC6152"/>
    <w:rsid w:val="00DC615E"/>
    <w:rsid w:val="00DC6167"/>
    <w:rsid w:val="00DC61BA"/>
    <w:rsid w:val="00DC61D0"/>
    <w:rsid w:val="00DC61E1"/>
    <w:rsid w:val="00DC61EB"/>
    <w:rsid w:val="00DC61F6"/>
    <w:rsid w:val="00DC6210"/>
    <w:rsid w:val="00DC62A2"/>
    <w:rsid w:val="00DC62C8"/>
    <w:rsid w:val="00DC62E7"/>
    <w:rsid w:val="00DC62FD"/>
    <w:rsid w:val="00DC6349"/>
    <w:rsid w:val="00DC6401"/>
    <w:rsid w:val="00DC6410"/>
    <w:rsid w:val="00DC641D"/>
    <w:rsid w:val="00DC6425"/>
    <w:rsid w:val="00DC6444"/>
    <w:rsid w:val="00DC644D"/>
    <w:rsid w:val="00DC6462"/>
    <w:rsid w:val="00DC64E9"/>
    <w:rsid w:val="00DC652C"/>
    <w:rsid w:val="00DC65AA"/>
    <w:rsid w:val="00DC6673"/>
    <w:rsid w:val="00DC6677"/>
    <w:rsid w:val="00DC66A1"/>
    <w:rsid w:val="00DC66AC"/>
    <w:rsid w:val="00DC66B5"/>
    <w:rsid w:val="00DC6707"/>
    <w:rsid w:val="00DC6709"/>
    <w:rsid w:val="00DC671B"/>
    <w:rsid w:val="00DC671E"/>
    <w:rsid w:val="00DC674A"/>
    <w:rsid w:val="00DC67C0"/>
    <w:rsid w:val="00DC67DA"/>
    <w:rsid w:val="00DC685E"/>
    <w:rsid w:val="00DC6891"/>
    <w:rsid w:val="00DC68A4"/>
    <w:rsid w:val="00DC68A6"/>
    <w:rsid w:val="00DC68B8"/>
    <w:rsid w:val="00DC6911"/>
    <w:rsid w:val="00DC691D"/>
    <w:rsid w:val="00DC691E"/>
    <w:rsid w:val="00DC6925"/>
    <w:rsid w:val="00DC6939"/>
    <w:rsid w:val="00DC6965"/>
    <w:rsid w:val="00DC6987"/>
    <w:rsid w:val="00DC69BE"/>
    <w:rsid w:val="00DC6A04"/>
    <w:rsid w:val="00DC6A67"/>
    <w:rsid w:val="00DC6ABF"/>
    <w:rsid w:val="00DC6ADC"/>
    <w:rsid w:val="00DC6AFC"/>
    <w:rsid w:val="00DC6B09"/>
    <w:rsid w:val="00DC6B0E"/>
    <w:rsid w:val="00DC6B22"/>
    <w:rsid w:val="00DC6B9E"/>
    <w:rsid w:val="00DC6BAE"/>
    <w:rsid w:val="00DC6BB7"/>
    <w:rsid w:val="00DC6BD7"/>
    <w:rsid w:val="00DC6BE8"/>
    <w:rsid w:val="00DC6BFD"/>
    <w:rsid w:val="00DC6C4D"/>
    <w:rsid w:val="00DC6CB1"/>
    <w:rsid w:val="00DC6CC8"/>
    <w:rsid w:val="00DC6CCF"/>
    <w:rsid w:val="00DC6CD5"/>
    <w:rsid w:val="00DC6CF5"/>
    <w:rsid w:val="00DC6D05"/>
    <w:rsid w:val="00DC6D32"/>
    <w:rsid w:val="00DC6D46"/>
    <w:rsid w:val="00DC6D48"/>
    <w:rsid w:val="00DC6D73"/>
    <w:rsid w:val="00DC6D98"/>
    <w:rsid w:val="00DC6D9F"/>
    <w:rsid w:val="00DC6DC0"/>
    <w:rsid w:val="00DC6E19"/>
    <w:rsid w:val="00DC6E24"/>
    <w:rsid w:val="00DC6E3A"/>
    <w:rsid w:val="00DC6E4A"/>
    <w:rsid w:val="00DC6E70"/>
    <w:rsid w:val="00DC6E81"/>
    <w:rsid w:val="00DC6ECA"/>
    <w:rsid w:val="00DC6EE3"/>
    <w:rsid w:val="00DC6F08"/>
    <w:rsid w:val="00DC6F14"/>
    <w:rsid w:val="00DC6F53"/>
    <w:rsid w:val="00DC6F69"/>
    <w:rsid w:val="00DC6F6F"/>
    <w:rsid w:val="00DC6F7F"/>
    <w:rsid w:val="00DC6F91"/>
    <w:rsid w:val="00DC6FCF"/>
    <w:rsid w:val="00DC6FE3"/>
    <w:rsid w:val="00DC7005"/>
    <w:rsid w:val="00DC705C"/>
    <w:rsid w:val="00DC7076"/>
    <w:rsid w:val="00DC70D9"/>
    <w:rsid w:val="00DC7105"/>
    <w:rsid w:val="00DC710A"/>
    <w:rsid w:val="00DC7144"/>
    <w:rsid w:val="00DC714C"/>
    <w:rsid w:val="00DC7193"/>
    <w:rsid w:val="00DC71B0"/>
    <w:rsid w:val="00DC71B3"/>
    <w:rsid w:val="00DC71C2"/>
    <w:rsid w:val="00DC71C6"/>
    <w:rsid w:val="00DC71D2"/>
    <w:rsid w:val="00DC71E1"/>
    <w:rsid w:val="00DC7236"/>
    <w:rsid w:val="00DC7254"/>
    <w:rsid w:val="00DC7260"/>
    <w:rsid w:val="00DC7264"/>
    <w:rsid w:val="00DC7274"/>
    <w:rsid w:val="00DC7279"/>
    <w:rsid w:val="00DC727F"/>
    <w:rsid w:val="00DC72CC"/>
    <w:rsid w:val="00DC72F5"/>
    <w:rsid w:val="00DC7309"/>
    <w:rsid w:val="00DC7338"/>
    <w:rsid w:val="00DC7350"/>
    <w:rsid w:val="00DC7357"/>
    <w:rsid w:val="00DC739D"/>
    <w:rsid w:val="00DC73C3"/>
    <w:rsid w:val="00DC73CA"/>
    <w:rsid w:val="00DC7434"/>
    <w:rsid w:val="00DC746A"/>
    <w:rsid w:val="00DC747B"/>
    <w:rsid w:val="00DC747F"/>
    <w:rsid w:val="00DC74A1"/>
    <w:rsid w:val="00DC74BA"/>
    <w:rsid w:val="00DC753D"/>
    <w:rsid w:val="00DC7555"/>
    <w:rsid w:val="00DC755D"/>
    <w:rsid w:val="00DC7562"/>
    <w:rsid w:val="00DC75C5"/>
    <w:rsid w:val="00DC7614"/>
    <w:rsid w:val="00DC7735"/>
    <w:rsid w:val="00DC7785"/>
    <w:rsid w:val="00DC778E"/>
    <w:rsid w:val="00DC77C6"/>
    <w:rsid w:val="00DC77CE"/>
    <w:rsid w:val="00DC77E0"/>
    <w:rsid w:val="00DC77F8"/>
    <w:rsid w:val="00DC780A"/>
    <w:rsid w:val="00DC7813"/>
    <w:rsid w:val="00DC7827"/>
    <w:rsid w:val="00DC782F"/>
    <w:rsid w:val="00DC7887"/>
    <w:rsid w:val="00DC7896"/>
    <w:rsid w:val="00DC78A5"/>
    <w:rsid w:val="00DC78CA"/>
    <w:rsid w:val="00DC78CD"/>
    <w:rsid w:val="00DC78DC"/>
    <w:rsid w:val="00DC78F5"/>
    <w:rsid w:val="00DC7936"/>
    <w:rsid w:val="00DC797C"/>
    <w:rsid w:val="00DC7989"/>
    <w:rsid w:val="00DC79A6"/>
    <w:rsid w:val="00DC79A9"/>
    <w:rsid w:val="00DC79B7"/>
    <w:rsid w:val="00DC7A01"/>
    <w:rsid w:val="00DC7A1A"/>
    <w:rsid w:val="00DC7A62"/>
    <w:rsid w:val="00DC7A71"/>
    <w:rsid w:val="00DC7A98"/>
    <w:rsid w:val="00DC7AD3"/>
    <w:rsid w:val="00DC7AE0"/>
    <w:rsid w:val="00DC7B35"/>
    <w:rsid w:val="00DC7B3E"/>
    <w:rsid w:val="00DC7B9F"/>
    <w:rsid w:val="00DC7BB0"/>
    <w:rsid w:val="00DC7BF9"/>
    <w:rsid w:val="00DC7C1E"/>
    <w:rsid w:val="00DC7C26"/>
    <w:rsid w:val="00DC7C76"/>
    <w:rsid w:val="00DC7CCC"/>
    <w:rsid w:val="00DC7CE6"/>
    <w:rsid w:val="00DC7D01"/>
    <w:rsid w:val="00DC7D18"/>
    <w:rsid w:val="00DC7D1D"/>
    <w:rsid w:val="00DC7D44"/>
    <w:rsid w:val="00DC7D4C"/>
    <w:rsid w:val="00DC7D8C"/>
    <w:rsid w:val="00DC7D91"/>
    <w:rsid w:val="00DC7DA1"/>
    <w:rsid w:val="00DC7DC8"/>
    <w:rsid w:val="00DC7DD7"/>
    <w:rsid w:val="00DC7DF8"/>
    <w:rsid w:val="00DC7E0A"/>
    <w:rsid w:val="00DC7E22"/>
    <w:rsid w:val="00DC7E3D"/>
    <w:rsid w:val="00DC7E51"/>
    <w:rsid w:val="00DC7E5B"/>
    <w:rsid w:val="00DC7E97"/>
    <w:rsid w:val="00DC7EA4"/>
    <w:rsid w:val="00DC7EAF"/>
    <w:rsid w:val="00DC7EE7"/>
    <w:rsid w:val="00DC7EFF"/>
    <w:rsid w:val="00DC7F15"/>
    <w:rsid w:val="00DC7F54"/>
    <w:rsid w:val="00DC7F7C"/>
    <w:rsid w:val="00DC7FF1"/>
    <w:rsid w:val="00DD000F"/>
    <w:rsid w:val="00DD0010"/>
    <w:rsid w:val="00DD002D"/>
    <w:rsid w:val="00DD0066"/>
    <w:rsid w:val="00DD008E"/>
    <w:rsid w:val="00DD00AE"/>
    <w:rsid w:val="00DD00D4"/>
    <w:rsid w:val="00DD00F2"/>
    <w:rsid w:val="00DD0112"/>
    <w:rsid w:val="00DD0125"/>
    <w:rsid w:val="00DD0128"/>
    <w:rsid w:val="00DD0155"/>
    <w:rsid w:val="00DD018F"/>
    <w:rsid w:val="00DD01AD"/>
    <w:rsid w:val="00DD01CB"/>
    <w:rsid w:val="00DD01D1"/>
    <w:rsid w:val="00DD0218"/>
    <w:rsid w:val="00DD022A"/>
    <w:rsid w:val="00DD0230"/>
    <w:rsid w:val="00DD0233"/>
    <w:rsid w:val="00DD0238"/>
    <w:rsid w:val="00DD023B"/>
    <w:rsid w:val="00DD024F"/>
    <w:rsid w:val="00DD029A"/>
    <w:rsid w:val="00DD032C"/>
    <w:rsid w:val="00DD032F"/>
    <w:rsid w:val="00DD035B"/>
    <w:rsid w:val="00DD0368"/>
    <w:rsid w:val="00DD03A2"/>
    <w:rsid w:val="00DD03CA"/>
    <w:rsid w:val="00DD03F5"/>
    <w:rsid w:val="00DD0410"/>
    <w:rsid w:val="00DD0416"/>
    <w:rsid w:val="00DD0427"/>
    <w:rsid w:val="00DD0457"/>
    <w:rsid w:val="00DD0464"/>
    <w:rsid w:val="00DD04E4"/>
    <w:rsid w:val="00DD04E7"/>
    <w:rsid w:val="00DD0505"/>
    <w:rsid w:val="00DD0512"/>
    <w:rsid w:val="00DD0514"/>
    <w:rsid w:val="00DD0546"/>
    <w:rsid w:val="00DD0563"/>
    <w:rsid w:val="00DD0588"/>
    <w:rsid w:val="00DD059A"/>
    <w:rsid w:val="00DD0611"/>
    <w:rsid w:val="00DD063C"/>
    <w:rsid w:val="00DD0682"/>
    <w:rsid w:val="00DD06C4"/>
    <w:rsid w:val="00DD06F3"/>
    <w:rsid w:val="00DD06F7"/>
    <w:rsid w:val="00DD0729"/>
    <w:rsid w:val="00DD072C"/>
    <w:rsid w:val="00DD0750"/>
    <w:rsid w:val="00DD0754"/>
    <w:rsid w:val="00DD0762"/>
    <w:rsid w:val="00DD07F9"/>
    <w:rsid w:val="00DD0807"/>
    <w:rsid w:val="00DD0815"/>
    <w:rsid w:val="00DD0844"/>
    <w:rsid w:val="00DD0856"/>
    <w:rsid w:val="00DD0860"/>
    <w:rsid w:val="00DD08D4"/>
    <w:rsid w:val="00DD0947"/>
    <w:rsid w:val="00DD098E"/>
    <w:rsid w:val="00DD0995"/>
    <w:rsid w:val="00DD09DC"/>
    <w:rsid w:val="00DD09DE"/>
    <w:rsid w:val="00DD09EB"/>
    <w:rsid w:val="00DD09FA"/>
    <w:rsid w:val="00DD0A14"/>
    <w:rsid w:val="00DD0A17"/>
    <w:rsid w:val="00DD0A35"/>
    <w:rsid w:val="00DD0ABF"/>
    <w:rsid w:val="00DD0AE4"/>
    <w:rsid w:val="00DD0B1E"/>
    <w:rsid w:val="00DD0B43"/>
    <w:rsid w:val="00DD0B65"/>
    <w:rsid w:val="00DD0B84"/>
    <w:rsid w:val="00DD0B8F"/>
    <w:rsid w:val="00DD0B90"/>
    <w:rsid w:val="00DD0BCA"/>
    <w:rsid w:val="00DD0C32"/>
    <w:rsid w:val="00DD0C39"/>
    <w:rsid w:val="00DD0C3C"/>
    <w:rsid w:val="00DD0CA6"/>
    <w:rsid w:val="00DD0D13"/>
    <w:rsid w:val="00DD0D3C"/>
    <w:rsid w:val="00DD0D5E"/>
    <w:rsid w:val="00DD0D62"/>
    <w:rsid w:val="00DD0D8A"/>
    <w:rsid w:val="00DD0D8C"/>
    <w:rsid w:val="00DD0E2E"/>
    <w:rsid w:val="00DD0EC8"/>
    <w:rsid w:val="00DD0EF8"/>
    <w:rsid w:val="00DD0F08"/>
    <w:rsid w:val="00DD0F21"/>
    <w:rsid w:val="00DD0F2D"/>
    <w:rsid w:val="00DD0F37"/>
    <w:rsid w:val="00DD0F44"/>
    <w:rsid w:val="00DD0F80"/>
    <w:rsid w:val="00DD0F88"/>
    <w:rsid w:val="00DD0F90"/>
    <w:rsid w:val="00DD0FD8"/>
    <w:rsid w:val="00DD0FE9"/>
    <w:rsid w:val="00DD0FF0"/>
    <w:rsid w:val="00DD0FF7"/>
    <w:rsid w:val="00DD106E"/>
    <w:rsid w:val="00DD10BE"/>
    <w:rsid w:val="00DD10C1"/>
    <w:rsid w:val="00DD1155"/>
    <w:rsid w:val="00DD1185"/>
    <w:rsid w:val="00DD118D"/>
    <w:rsid w:val="00DD11A9"/>
    <w:rsid w:val="00DD11DF"/>
    <w:rsid w:val="00DD1292"/>
    <w:rsid w:val="00DD12E5"/>
    <w:rsid w:val="00DD12EF"/>
    <w:rsid w:val="00DD12F5"/>
    <w:rsid w:val="00DD1306"/>
    <w:rsid w:val="00DD134F"/>
    <w:rsid w:val="00DD1372"/>
    <w:rsid w:val="00DD1390"/>
    <w:rsid w:val="00DD1469"/>
    <w:rsid w:val="00DD147C"/>
    <w:rsid w:val="00DD14C1"/>
    <w:rsid w:val="00DD14CB"/>
    <w:rsid w:val="00DD14E1"/>
    <w:rsid w:val="00DD14FD"/>
    <w:rsid w:val="00DD1511"/>
    <w:rsid w:val="00DD152F"/>
    <w:rsid w:val="00DD154A"/>
    <w:rsid w:val="00DD1569"/>
    <w:rsid w:val="00DD15A7"/>
    <w:rsid w:val="00DD15ED"/>
    <w:rsid w:val="00DD15FD"/>
    <w:rsid w:val="00DD1625"/>
    <w:rsid w:val="00DD1645"/>
    <w:rsid w:val="00DD1650"/>
    <w:rsid w:val="00DD1670"/>
    <w:rsid w:val="00DD16A9"/>
    <w:rsid w:val="00DD16FB"/>
    <w:rsid w:val="00DD1724"/>
    <w:rsid w:val="00DD172B"/>
    <w:rsid w:val="00DD1740"/>
    <w:rsid w:val="00DD1753"/>
    <w:rsid w:val="00DD1788"/>
    <w:rsid w:val="00DD17C6"/>
    <w:rsid w:val="00DD17CD"/>
    <w:rsid w:val="00DD17D4"/>
    <w:rsid w:val="00DD17F1"/>
    <w:rsid w:val="00DD183F"/>
    <w:rsid w:val="00DD1849"/>
    <w:rsid w:val="00DD18DF"/>
    <w:rsid w:val="00DD1936"/>
    <w:rsid w:val="00DD1955"/>
    <w:rsid w:val="00DD199F"/>
    <w:rsid w:val="00DD1A05"/>
    <w:rsid w:val="00DD1A18"/>
    <w:rsid w:val="00DD1A28"/>
    <w:rsid w:val="00DD1AA1"/>
    <w:rsid w:val="00DD1AA4"/>
    <w:rsid w:val="00DD1AAB"/>
    <w:rsid w:val="00DD1ADC"/>
    <w:rsid w:val="00DD1AE2"/>
    <w:rsid w:val="00DD1AF9"/>
    <w:rsid w:val="00DD1B2F"/>
    <w:rsid w:val="00DD1B57"/>
    <w:rsid w:val="00DD1B60"/>
    <w:rsid w:val="00DD1BAE"/>
    <w:rsid w:val="00DD1BBF"/>
    <w:rsid w:val="00DD1BCD"/>
    <w:rsid w:val="00DD1BDF"/>
    <w:rsid w:val="00DD1BE6"/>
    <w:rsid w:val="00DD1CBF"/>
    <w:rsid w:val="00DD1CC0"/>
    <w:rsid w:val="00DD1CC6"/>
    <w:rsid w:val="00DD1D5C"/>
    <w:rsid w:val="00DD1D8B"/>
    <w:rsid w:val="00DD1DD9"/>
    <w:rsid w:val="00DD1E52"/>
    <w:rsid w:val="00DD1E54"/>
    <w:rsid w:val="00DD1E71"/>
    <w:rsid w:val="00DD1E7F"/>
    <w:rsid w:val="00DD1EA3"/>
    <w:rsid w:val="00DD1EB4"/>
    <w:rsid w:val="00DD1EB5"/>
    <w:rsid w:val="00DD1EB9"/>
    <w:rsid w:val="00DD1F45"/>
    <w:rsid w:val="00DD1F48"/>
    <w:rsid w:val="00DD1FBA"/>
    <w:rsid w:val="00DD1FBE"/>
    <w:rsid w:val="00DD1FC3"/>
    <w:rsid w:val="00DD1FC8"/>
    <w:rsid w:val="00DD1FF3"/>
    <w:rsid w:val="00DD200E"/>
    <w:rsid w:val="00DD2093"/>
    <w:rsid w:val="00DD20A8"/>
    <w:rsid w:val="00DD20AA"/>
    <w:rsid w:val="00DD20D7"/>
    <w:rsid w:val="00DD20E4"/>
    <w:rsid w:val="00DD210C"/>
    <w:rsid w:val="00DD2110"/>
    <w:rsid w:val="00DD2174"/>
    <w:rsid w:val="00DD21D0"/>
    <w:rsid w:val="00DD21DD"/>
    <w:rsid w:val="00DD2209"/>
    <w:rsid w:val="00DD2259"/>
    <w:rsid w:val="00DD2288"/>
    <w:rsid w:val="00DD22A8"/>
    <w:rsid w:val="00DD22C1"/>
    <w:rsid w:val="00DD22DC"/>
    <w:rsid w:val="00DD231A"/>
    <w:rsid w:val="00DD2330"/>
    <w:rsid w:val="00DD2332"/>
    <w:rsid w:val="00DD2346"/>
    <w:rsid w:val="00DD236C"/>
    <w:rsid w:val="00DD2389"/>
    <w:rsid w:val="00DD2391"/>
    <w:rsid w:val="00DD2398"/>
    <w:rsid w:val="00DD23B1"/>
    <w:rsid w:val="00DD2400"/>
    <w:rsid w:val="00DD240D"/>
    <w:rsid w:val="00DD2443"/>
    <w:rsid w:val="00DD248E"/>
    <w:rsid w:val="00DD2518"/>
    <w:rsid w:val="00DD2534"/>
    <w:rsid w:val="00DD2546"/>
    <w:rsid w:val="00DD2596"/>
    <w:rsid w:val="00DD25A1"/>
    <w:rsid w:val="00DD25D4"/>
    <w:rsid w:val="00DD2611"/>
    <w:rsid w:val="00DD2636"/>
    <w:rsid w:val="00DD2645"/>
    <w:rsid w:val="00DD2659"/>
    <w:rsid w:val="00DD2685"/>
    <w:rsid w:val="00DD26B8"/>
    <w:rsid w:val="00DD26BE"/>
    <w:rsid w:val="00DD2750"/>
    <w:rsid w:val="00DD27B3"/>
    <w:rsid w:val="00DD27BF"/>
    <w:rsid w:val="00DD27F6"/>
    <w:rsid w:val="00DD2840"/>
    <w:rsid w:val="00DD285E"/>
    <w:rsid w:val="00DD287A"/>
    <w:rsid w:val="00DD288E"/>
    <w:rsid w:val="00DD28B7"/>
    <w:rsid w:val="00DD28BE"/>
    <w:rsid w:val="00DD28EE"/>
    <w:rsid w:val="00DD290E"/>
    <w:rsid w:val="00DD291F"/>
    <w:rsid w:val="00DD2959"/>
    <w:rsid w:val="00DD29A3"/>
    <w:rsid w:val="00DD29B3"/>
    <w:rsid w:val="00DD29B5"/>
    <w:rsid w:val="00DD29D1"/>
    <w:rsid w:val="00DD29E8"/>
    <w:rsid w:val="00DD29F0"/>
    <w:rsid w:val="00DD2A01"/>
    <w:rsid w:val="00DD2A04"/>
    <w:rsid w:val="00DD2A17"/>
    <w:rsid w:val="00DD2A28"/>
    <w:rsid w:val="00DD2A3A"/>
    <w:rsid w:val="00DD2A3D"/>
    <w:rsid w:val="00DD2A5F"/>
    <w:rsid w:val="00DD2A6C"/>
    <w:rsid w:val="00DD2A7F"/>
    <w:rsid w:val="00DD2A97"/>
    <w:rsid w:val="00DD2AEC"/>
    <w:rsid w:val="00DD2AFA"/>
    <w:rsid w:val="00DD2B17"/>
    <w:rsid w:val="00DD2BC1"/>
    <w:rsid w:val="00DD2BF2"/>
    <w:rsid w:val="00DD2C24"/>
    <w:rsid w:val="00DD2C2B"/>
    <w:rsid w:val="00DD2C41"/>
    <w:rsid w:val="00DD2C77"/>
    <w:rsid w:val="00DD2CD0"/>
    <w:rsid w:val="00DD2CD9"/>
    <w:rsid w:val="00DD2D3C"/>
    <w:rsid w:val="00DD2D44"/>
    <w:rsid w:val="00DD2D4E"/>
    <w:rsid w:val="00DD2D57"/>
    <w:rsid w:val="00DD2D97"/>
    <w:rsid w:val="00DD2D9D"/>
    <w:rsid w:val="00DD2DAC"/>
    <w:rsid w:val="00DD2DB7"/>
    <w:rsid w:val="00DD2DC4"/>
    <w:rsid w:val="00DD2E02"/>
    <w:rsid w:val="00DD2E14"/>
    <w:rsid w:val="00DD2E4C"/>
    <w:rsid w:val="00DD2E7C"/>
    <w:rsid w:val="00DD2E98"/>
    <w:rsid w:val="00DD2E9E"/>
    <w:rsid w:val="00DD2EA4"/>
    <w:rsid w:val="00DD2EBC"/>
    <w:rsid w:val="00DD2ED6"/>
    <w:rsid w:val="00DD2EDB"/>
    <w:rsid w:val="00DD2EED"/>
    <w:rsid w:val="00DD2EF4"/>
    <w:rsid w:val="00DD2F7C"/>
    <w:rsid w:val="00DD2FD7"/>
    <w:rsid w:val="00DD2FE8"/>
    <w:rsid w:val="00DD3018"/>
    <w:rsid w:val="00DD303E"/>
    <w:rsid w:val="00DD305B"/>
    <w:rsid w:val="00DD307E"/>
    <w:rsid w:val="00DD307F"/>
    <w:rsid w:val="00DD30AD"/>
    <w:rsid w:val="00DD30B9"/>
    <w:rsid w:val="00DD30C7"/>
    <w:rsid w:val="00DD30C8"/>
    <w:rsid w:val="00DD30CE"/>
    <w:rsid w:val="00DD30DD"/>
    <w:rsid w:val="00DD30E4"/>
    <w:rsid w:val="00DD3130"/>
    <w:rsid w:val="00DD3157"/>
    <w:rsid w:val="00DD315C"/>
    <w:rsid w:val="00DD3170"/>
    <w:rsid w:val="00DD31D5"/>
    <w:rsid w:val="00DD31D6"/>
    <w:rsid w:val="00DD31EB"/>
    <w:rsid w:val="00DD31F8"/>
    <w:rsid w:val="00DD3201"/>
    <w:rsid w:val="00DD3265"/>
    <w:rsid w:val="00DD3282"/>
    <w:rsid w:val="00DD329F"/>
    <w:rsid w:val="00DD32A5"/>
    <w:rsid w:val="00DD32BB"/>
    <w:rsid w:val="00DD32D9"/>
    <w:rsid w:val="00DD32DB"/>
    <w:rsid w:val="00DD32DC"/>
    <w:rsid w:val="00DD3325"/>
    <w:rsid w:val="00DD333A"/>
    <w:rsid w:val="00DD3393"/>
    <w:rsid w:val="00DD33B4"/>
    <w:rsid w:val="00DD33C6"/>
    <w:rsid w:val="00DD3409"/>
    <w:rsid w:val="00DD3414"/>
    <w:rsid w:val="00DD3417"/>
    <w:rsid w:val="00DD342A"/>
    <w:rsid w:val="00DD3431"/>
    <w:rsid w:val="00DD349D"/>
    <w:rsid w:val="00DD34BF"/>
    <w:rsid w:val="00DD34E3"/>
    <w:rsid w:val="00DD34F0"/>
    <w:rsid w:val="00DD34F3"/>
    <w:rsid w:val="00DD3508"/>
    <w:rsid w:val="00DD3568"/>
    <w:rsid w:val="00DD357E"/>
    <w:rsid w:val="00DD3592"/>
    <w:rsid w:val="00DD35BE"/>
    <w:rsid w:val="00DD35D2"/>
    <w:rsid w:val="00DD3600"/>
    <w:rsid w:val="00DD3616"/>
    <w:rsid w:val="00DD364A"/>
    <w:rsid w:val="00DD3652"/>
    <w:rsid w:val="00DD3675"/>
    <w:rsid w:val="00DD3683"/>
    <w:rsid w:val="00DD3693"/>
    <w:rsid w:val="00DD36D0"/>
    <w:rsid w:val="00DD36D8"/>
    <w:rsid w:val="00DD36DF"/>
    <w:rsid w:val="00DD3765"/>
    <w:rsid w:val="00DD3793"/>
    <w:rsid w:val="00DD37AD"/>
    <w:rsid w:val="00DD37AF"/>
    <w:rsid w:val="00DD37B6"/>
    <w:rsid w:val="00DD37BA"/>
    <w:rsid w:val="00DD37D7"/>
    <w:rsid w:val="00DD37FC"/>
    <w:rsid w:val="00DD3824"/>
    <w:rsid w:val="00DD3857"/>
    <w:rsid w:val="00DD3895"/>
    <w:rsid w:val="00DD38E0"/>
    <w:rsid w:val="00DD3914"/>
    <w:rsid w:val="00DD392C"/>
    <w:rsid w:val="00DD3947"/>
    <w:rsid w:val="00DD39AF"/>
    <w:rsid w:val="00DD3A28"/>
    <w:rsid w:val="00DD3A72"/>
    <w:rsid w:val="00DD3A96"/>
    <w:rsid w:val="00DD3B08"/>
    <w:rsid w:val="00DD3B39"/>
    <w:rsid w:val="00DD3B3A"/>
    <w:rsid w:val="00DD3B47"/>
    <w:rsid w:val="00DD3B4E"/>
    <w:rsid w:val="00DD3B85"/>
    <w:rsid w:val="00DD3B88"/>
    <w:rsid w:val="00DD3BAC"/>
    <w:rsid w:val="00DD3BF9"/>
    <w:rsid w:val="00DD3C2D"/>
    <w:rsid w:val="00DD3C36"/>
    <w:rsid w:val="00DD3C63"/>
    <w:rsid w:val="00DD3C69"/>
    <w:rsid w:val="00DD3C86"/>
    <w:rsid w:val="00DD3C90"/>
    <w:rsid w:val="00DD3C96"/>
    <w:rsid w:val="00DD3CA4"/>
    <w:rsid w:val="00DD3CD4"/>
    <w:rsid w:val="00DD3D3F"/>
    <w:rsid w:val="00DD3D5E"/>
    <w:rsid w:val="00DD3D9C"/>
    <w:rsid w:val="00DD3DF1"/>
    <w:rsid w:val="00DD3DF3"/>
    <w:rsid w:val="00DD3E6D"/>
    <w:rsid w:val="00DD3E7D"/>
    <w:rsid w:val="00DD3ED2"/>
    <w:rsid w:val="00DD3F16"/>
    <w:rsid w:val="00DD3F17"/>
    <w:rsid w:val="00DD3F1A"/>
    <w:rsid w:val="00DD3F96"/>
    <w:rsid w:val="00DD3FFD"/>
    <w:rsid w:val="00DD402D"/>
    <w:rsid w:val="00DD402E"/>
    <w:rsid w:val="00DD408B"/>
    <w:rsid w:val="00DD408E"/>
    <w:rsid w:val="00DD4090"/>
    <w:rsid w:val="00DD4098"/>
    <w:rsid w:val="00DD40BA"/>
    <w:rsid w:val="00DD40D5"/>
    <w:rsid w:val="00DD4165"/>
    <w:rsid w:val="00DD417C"/>
    <w:rsid w:val="00DD4185"/>
    <w:rsid w:val="00DD4188"/>
    <w:rsid w:val="00DD4227"/>
    <w:rsid w:val="00DD422A"/>
    <w:rsid w:val="00DD422C"/>
    <w:rsid w:val="00DD4240"/>
    <w:rsid w:val="00DD4253"/>
    <w:rsid w:val="00DD4284"/>
    <w:rsid w:val="00DD428F"/>
    <w:rsid w:val="00DD429F"/>
    <w:rsid w:val="00DD42E6"/>
    <w:rsid w:val="00DD433B"/>
    <w:rsid w:val="00DD43F3"/>
    <w:rsid w:val="00DD441C"/>
    <w:rsid w:val="00DD444F"/>
    <w:rsid w:val="00DD4470"/>
    <w:rsid w:val="00DD44D0"/>
    <w:rsid w:val="00DD4571"/>
    <w:rsid w:val="00DD459D"/>
    <w:rsid w:val="00DD45A8"/>
    <w:rsid w:val="00DD45EF"/>
    <w:rsid w:val="00DD4605"/>
    <w:rsid w:val="00DD4643"/>
    <w:rsid w:val="00DD4692"/>
    <w:rsid w:val="00DD472F"/>
    <w:rsid w:val="00DD4765"/>
    <w:rsid w:val="00DD476D"/>
    <w:rsid w:val="00DD4783"/>
    <w:rsid w:val="00DD47BF"/>
    <w:rsid w:val="00DD47C6"/>
    <w:rsid w:val="00DD47F2"/>
    <w:rsid w:val="00DD47F9"/>
    <w:rsid w:val="00DD4812"/>
    <w:rsid w:val="00DD48DF"/>
    <w:rsid w:val="00DD4929"/>
    <w:rsid w:val="00DD4941"/>
    <w:rsid w:val="00DD4972"/>
    <w:rsid w:val="00DD499A"/>
    <w:rsid w:val="00DD49AD"/>
    <w:rsid w:val="00DD49C8"/>
    <w:rsid w:val="00DD49D0"/>
    <w:rsid w:val="00DD49D4"/>
    <w:rsid w:val="00DD49D5"/>
    <w:rsid w:val="00DD49DB"/>
    <w:rsid w:val="00DD49DC"/>
    <w:rsid w:val="00DD49E5"/>
    <w:rsid w:val="00DD49E6"/>
    <w:rsid w:val="00DD49FD"/>
    <w:rsid w:val="00DD4A04"/>
    <w:rsid w:val="00DD4A0D"/>
    <w:rsid w:val="00DD4A2E"/>
    <w:rsid w:val="00DD4A71"/>
    <w:rsid w:val="00DD4A85"/>
    <w:rsid w:val="00DD4A9E"/>
    <w:rsid w:val="00DD4B04"/>
    <w:rsid w:val="00DD4B53"/>
    <w:rsid w:val="00DD4B89"/>
    <w:rsid w:val="00DD4C03"/>
    <w:rsid w:val="00DD4C14"/>
    <w:rsid w:val="00DD4C26"/>
    <w:rsid w:val="00DD4C43"/>
    <w:rsid w:val="00DD4C85"/>
    <w:rsid w:val="00DD4C96"/>
    <w:rsid w:val="00DD4CBA"/>
    <w:rsid w:val="00DD4CBF"/>
    <w:rsid w:val="00DD4CDB"/>
    <w:rsid w:val="00DD4D09"/>
    <w:rsid w:val="00DD4D21"/>
    <w:rsid w:val="00DD4D28"/>
    <w:rsid w:val="00DD4D58"/>
    <w:rsid w:val="00DD4D76"/>
    <w:rsid w:val="00DD4D8C"/>
    <w:rsid w:val="00DD4D8D"/>
    <w:rsid w:val="00DD4DE0"/>
    <w:rsid w:val="00DD4DE4"/>
    <w:rsid w:val="00DD4E15"/>
    <w:rsid w:val="00DD4E38"/>
    <w:rsid w:val="00DD4E4A"/>
    <w:rsid w:val="00DD4E9D"/>
    <w:rsid w:val="00DD4EAD"/>
    <w:rsid w:val="00DD4EF8"/>
    <w:rsid w:val="00DD4EFC"/>
    <w:rsid w:val="00DD4F10"/>
    <w:rsid w:val="00DD4F14"/>
    <w:rsid w:val="00DD4F49"/>
    <w:rsid w:val="00DD4F93"/>
    <w:rsid w:val="00DD4F97"/>
    <w:rsid w:val="00DD4FC5"/>
    <w:rsid w:val="00DD4FF1"/>
    <w:rsid w:val="00DD4FF3"/>
    <w:rsid w:val="00DD5014"/>
    <w:rsid w:val="00DD503D"/>
    <w:rsid w:val="00DD5051"/>
    <w:rsid w:val="00DD506E"/>
    <w:rsid w:val="00DD508B"/>
    <w:rsid w:val="00DD50B1"/>
    <w:rsid w:val="00DD50C8"/>
    <w:rsid w:val="00DD511F"/>
    <w:rsid w:val="00DD513A"/>
    <w:rsid w:val="00DD5160"/>
    <w:rsid w:val="00DD5175"/>
    <w:rsid w:val="00DD5189"/>
    <w:rsid w:val="00DD51CE"/>
    <w:rsid w:val="00DD51F9"/>
    <w:rsid w:val="00DD5248"/>
    <w:rsid w:val="00DD5262"/>
    <w:rsid w:val="00DD52D1"/>
    <w:rsid w:val="00DD52D3"/>
    <w:rsid w:val="00DD52DB"/>
    <w:rsid w:val="00DD5304"/>
    <w:rsid w:val="00DD5316"/>
    <w:rsid w:val="00DD532D"/>
    <w:rsid w:val="00DD5383"/>
    <w:rsid w:val="00DD53C8"/>
    <w:rsid w:val="00DD53D2"/>
    <w:rsid w:val="00DD53F7"/>
    <w:rsid w:val="00DD5439"/>
    <w:rsid w:val="00DD54BA"/>
    <w:rsid w:val="00DD54BF"/>
    <w:rsid w:val="00DD550D"/>
    <w:rsid w:val="00DD5513"/>
    <w:rsid w:val="00DD553F"/>
    <w:rsid w:val="00DD5594"/>
    <w:rsid w:val="00DD55A0"/>
    <w:rsid w:val="00DD55C1"/>
    <w:rsid w:val="00DD55C7"/>
    <w:rsid w:val="00DD5627"/>
    <w:rsid w:val="00DD564E"/>
    <w:rsid w:val="00DD5663"/>
    <w:rsid w:val="00DD56C9"/>
    <w:rsid w:val="00DD571F"/>
    <w:rsid w:val="00DD5789"/>
    <w:rsid w:val="00DD57A1"/>
    <w:rsid w:val="00DD57DF"/>
    <w:rsid w:val="00DD57EF"/>
    <w:rsid w:val="00DD5809"/>
    <w:rsid w:val="00DD5822"/>
    <w:rsid w:val="00DD589F"/>
    <w:rsid w:val="00DD58A4"/>
    <w:rsid w:val="00DD591B"/>
    <w:rsid w:val="00DD5948"/>
    <w:rsid w:val="00DD59BB"/>
    <w:rsid w:val="00DD59C2"/>
    <w:rsid w:val="00DD59D5"/>
    <w:rsid w:val="00DD59DB"/>
    <w:rsid w:val="00DD5A08"/>
    <w:rsid w:val="00DD5A39"/>
    <w:rsid w:val="00DD5A43"/>
    <w:rsid w:val="00DD5AAC"/>
    <w:rsid w:val="00DD5AB9"/>
    <w:rsid w:val="00DD5B1F"/>
    <w:rsid w:val="00DD5B26"/>
    <w:rsid w:val="00DD5B2C"/>
    <w:rsid w:val="00DD5B34"/>
    <w:rsid w:val="00DD5B3C"/>
    <w:rsid w:val="00DD5B49"/>
    <w:rsid w:val="00DD5BC4"/>
    <w:rsid w:val="00DD5BC9"/>
    <w:rsid w:val="00DD5BED"/>
    <w:rsid w:val="00DD5C01"/>
    <w:rsid w:val="00DD5C1C"/>
    <w:rsid w:val="00DD5C79"/>
    <w:rsid w:val="00DD5CA9"/>
    <w:rsid w:val="00DD5CC5"/>
    <w:rsid w:val="00DD5DA5"/>
    <w:rsid w:val="00DD5E22"/>
    <w:rsid w:val="00DD5E2E"/>
    <w:rsid w:val="00DD5E42"/>
    <w:rsid w:val="00DD5E59"/>
    <w:rsid w:val="00DD5E6F"/>
    <w:rsid w:val="00DD5E9A"/>
    <w:rsid w:val="00DD5EAD"/>
    <w:rsid w:val="00DD5ECF"/>
    <w:rsid w:val="00DD5ED7"/>
    <w:rsid w:val="00DD5EFE"/>
    <w:rsid w:val="00DD5EFF"/>
    <w:rsid w:val="00DD5F2D"/>
    <w:rsid w:val="00DD5F45"/>
    <w:rsid w:val="00DD5F52"/>
    <w:rsid w:val="00DD5F6C"/>
    <w:rsid w:val="00DD5FA8"/>
    <w:rsid w:val="00DD6017"/>
    <w:rsid w:val="00DD6066"/>
    <w:rsid w:val="00DD607E"/>
    <w:rsid w:val="00DD608B"/>
    <w:rsid w:val="00DD609D"/>
    <w:rsid w:val="00DD60B2"/>
    <w:rsid w:val="00DD60C9"/>
    <w:rsid w:val="00DD60E7"/>
    <w:rsid w:val="00DD60FA"/>
    <w:rsid w:val="00DD612A"/>
    <w:rsid w:val="00DD6148"/>
    <w:rsid w:val="00DD6166"/>
    <w:rsid w:val="00DD621A"/>
    <w:rsid w:val="00DD6266"/>
    <w:rsid w:val="00DD6296"/>
    <w:rsid w:val="00DD62C4"/>
    <w:rsid w:val="00DD62EE"/>
    <w:rsid w:val="00DD634B"/>
    <w:rsid w:val="00DD6353"/>
    <w:rsid w:val="00DD6369"/>
    <w:rsid w:val="00DD6393"/>
    <w:rsid w:val="00DD639C"/>
    <w:rsid w:val="00DD63B1"/>
    <w:rsid w:val="00DD63DC"/>
    <w:rsid w:val="00DD6436"/>
    <w:rsid w:val="00DD64B5"/>
    <w:rsid w:val="00DD64DD"/>
    <w:rsid w:val="00DD64F9"/>
    <w:rsid w:val="00DD656D"/>
    <w:rsid w:val="00DD65B3"/>
    <w:rsid w:val="00DD65B8"/>
    <w:rsid w:val="00DD65EF"/>
    <w:rsid w:val="00DD6614"/>
    <w:rsid w:val="00DD6617"/>
    <w:rsid w:val="00DD663A"/>
    <w:rsid w:val="00DD668D"/>
    <w:rsid w:val="00DD66A5"/>
    <w:rsid w:val="00DD66D4"/>
    <w:rsid w:val="00DD66FF"/>
    <w:rsid w:val="00DD672B"/>
    <w:rsid w:val="00DD6730"/>
    <w:rsid w:val="00DD673F"/>
    <w:rsid w:val="00DD6757"/>
    <w:rsid w:val="00DD6789"/>
    <w:rsid w:val="00DD67A3"/>
    <w:rsid w:val="00DD67C8"/>
    <w:rsid w:val="00DD67CA"/>
    <w:rsid w:val="00DD67EB"/>
    <w:rsid w:val="00DD6816"/>
    <w:rsid w:val="00DD6868"/>
    <w:rsid w:val="00DD6893"/>
    <w:rsid w:val="00DD689F"/>
    <w:rsid w:val="00DD68D8"/>
    <w:rsid w:val="00DD68EB"/>
    <w:rsid w:val="00DD68EF"/>
    <w:rsid w:val="00DD6908"/>
    <w:rsid w:val="00DD6962"/>
    <w:rsid w:val="00DD6967"/>
    <w:rsid w:val="00DD69D1"/>
    <w:rsid w:val="00DD69F3"/>
    <w:rsid w:val="00DD6A06"/>
    <w:rsid w:val="00DD6A0D"/>
    <w:rsid w:val="00DD6A29"/>
    <w:rsid w:val="00DD6A47"/>
    <w:rsid w:val="00DD6A61"/>
    <w:rsid w:val="00DD6A6C"/>
    <w:rsid w:val="00DD6A7F"/>
    <w:rsid w:val="00DD6AA1"/>
    <w:rsid w:val="00DD6AA3"/>
    <w:rsid w:val="00DD6AC6"/>
    <w:rsid w:val="00DD6ACE"/>
    <w:rsid w:val="00DD6AE0"/>
    <w:rsid w:val="00DD6B09"/>
    <w:rsid w:val="00DD6B44"/>
    <w:rsid w:val="00DD6B5D"/>
    <w:rsid w:val="00DD6BD0"/>
    <w:rsid w:val="00DD6BFE"/>
    <w:rsid w:val="00DD6C2E"/>
    <w:rsid w:val="00DD6C92"/>
    <w:rsid w:val="00DD6CB2"/>
    <w:rsid w:val="00DD6D01"/>
    <w:rsid w:val="00DD6D29"/>
    <w:rsid w:val="00DD6D42"/>
    <w:rsid w:val="00DD6DAB"/>
    <w:rsid w:val="00DD6DAC"/>
    <w:rsid w:val="00DD6DD1"/>
    <w:rsid w:val="00DD6DD6"/>
    <w:rsid w:val="00DD6E0B"/>
    <w:rsid w:val="00DD6E1F"/>
    <w:rsid w:val="00DD6E23"/>
    <w:rsid w:val="00DD6E28"/>
    <w:rsid w:val="00DD6E2E"/>
    <w:rsid w:val="00DD6E3E"/>
    <w:rsid w:val="00DD6E8F"/>
    <w:rsid w:val="00DD6E9A"/>
    <w:rsid w:val="00DD6EB7"/>
    <w:rsid w:val="00DD6EBE"/>
    <w:rsid w:val="00DD6EF0"/>
    <w:rsid w:val="00DD6F13"/>
    <w:rsid w:val="00DD6F4A"/>
    <w:rsid w:val="00DD6FE2"/>
    <w:rsid w:val="00DD6FFD"/>
    <w:rsid w:val="00DD7056"/>
    <w:rsid w:val="00DD70EF"/>
    <w:rsid w:val="00DD7102"/>
    <w:rsid w:val="00DD7160"/>
    <w:rsid w:val="00DD7168"/>
    <w:rsid w:val="00DD71CB"/>
    <w:rsid w:val="00DD71E6"/>
    <w:rsid w:val="00DD72B4"/>
    <w:rsid w:val="00DD72C7"/>
    <w:rsid w:val="00DD7317"/>
    <w:rsid w:val="00DD731C"/>
    <w:rsid w:val="00DD7386"/>
    <w:rsid w:val="00DD7390"/>
    <w:rsid w:val="00DD73A1"/>
    <w:rsid w:val="00DD73A2"/>
    <w:rsid w:val="00DD73BF"/>
    <w:rsid w:val="00DD73D2"/>
    <w:rsid w:val="00DD73E9"/>
    <w:rsid w:val="00DD73F5"/>
    <w:rsid w:val="00DD7418"/>
    <w:rsid w:val="00DD741E"/>
    <w:rsid w:val="00DD7454"/>
    <w:rsid w:val="00DD7468"/>
    <w:rsid w:val="00DD7470"/>
    <w:rsid w:val="00DD7489"/>
    <w:rsid w:val="00DD748E"/>
    <w:rsid w:val="00DD74F5"/>
    <w:rsid w:val="00DD7524"/>
    <w:rsid w:val="00DD7529"/>
    <w:rsid w:val="00DD759B"/>
    <w:rsid w:val="00DD75C2"/>
    <w:rsid w:val="00DD75D1"/>
    <w:rsid w:val="00DD761F"/>
    <w:rsid w:val="00DD7623"/>
    <w:rsid w:val="00DD7657"/>
    <w:rsid w:val="00DD767E"/>
    <w:rsid w:val="00DD7693"/>
    <w:rsid w:val="00DD7699"/>
    <w:rsid w:val="00DD76E6"/>
    <w:rsid w:val="00DD7722"/>
    <w:rsid w:val="00DD7733"/>
    <w:rsid w:val="00DD7782"/>
    <w:rsid w:val="00DD77AB"/>
    <w:rsid w:val="00DD7829"/>
    <w:rsid w:val="00DD7847"/>
    <w:rsid w:val="00DD791F"/>
    <w:rsid w:val="00DD792C"/>
    <w:rsid w:val="00DD793B"/>
    <w:rsid w:val="00DD7975"/>
    <w:rsid w:val="00DD798C"/>
    <w:rsid w:val="00DD799F"/>
    <w:rsid w:val="00DD79A6"/>
    <w:rsid w:val="00DD79A8"/>
    <w:rsid w:val="00DD79B8"/>
    <w:rsid w:val="00DD79E1"/>
    <w:rsid w:val="00DD7A28"/>
    <w:rsid w:val="00DD7AA3"/>
    <w:rsid w:val="00DD7AD5"/>
    <w:rsid w:val="00DD7B44"/>
    <w:rsid w:val="00DD7B50"/>
    <w:rsid w:val="00DD7BD8"/>
    <w:rsid w:val="00DD7BE6"/>
    <w:rsid w:val="00DD7BF2"/>
    <w:rsid w:val="00DD7C19"/>
    <w:rsid w:val="00DD7C1F"/>
    <w:rsid w:val="00DD7C95"/>
    <w:rsid w:val="00DD7CC5"/>
    <w:rsid w:val="00DD7CE8"/>
    <w:rsid w:val="00DD7CEA"/>
    <w:rsid w:val="00DD7D22"/>
    <w:rsid w:val="00DD7D44"/>
    <w:rsid w:val="00DD7D92"/>
    <w:rsid w:val="00DD7DA7"/>
    <w:rsid w:val="00DD7DF6"/>
    <w:rsid w:val="00DD7E0D"/>
    <w:rsid w:val="00DD7E2F"/>
    <w:rsid w:val="00DD7E53"/>
    <w:rsid w:val="00DD7E5B"/>
    <w:rsid w:val="00DD7E5E"/>
    <w:rsid w:val="00DD7EC1"/>
    <w:rsid w:val="00DD7EC4"/>
    <w:rsid w:val="00DD7ECA"/>
    <w:rsid w:val="00DD7EEB"/>
    <w:rsid w:val="00DD7F03"/>
    <w:rsid w:val="00DD7F05"/>
    <w:rsid w:val="00DD7F06"/>
    <w:rsid w:val="00DD7F58"/>
    <w:rsid w:val="00DD7F6A"/>
    <w:rsid w:val="00DD7FBE"/>
    <w:rsid w:val="00DD7FDD"/>
    <w:rsid w:val="00DD7FF6"/>
    <w:rsid w:val="00DE00A9"/>
    <w:rsid w:val="00DE00B6"/>
    <w:rsid w:val="00DE00CA"/>
    <w:rsid w:val="00DE00D3"/>
    <w:rsid w:val="00DE00F2"/>
    <w:rsid w:val="00DE010A"/>
    <w:rsid w:val="00DE011F"/>
    <w:rsid w:val="00DE019F"/>
    <w:rsid w:val="00DE01B4"/>
    <w:rsid w:val="00DE01DA"/>
    <w:rsid w:val="00DE01E6"/>
    <w:rsid w:val="00DE0202"/>
    <w:rsid w:val="00DE0245"/>
    <w:rsid w:val="00DE024D"/>
    <w:rsid w:val="00DE026E"/>
    <w:rsid w:val="00DE0271"/>
    <w:rsid w:val="00DE02A1"/>
    <w:rsid w:val="00DE02B8"/>
    <w:rsid w:val="00DE02EE"/>
    <w:rsid w:val="00DE02F0"/>
    <w:rsid w:val="00DE032B"/>
    <w:rsid w:val="00DE033C"/>
    <w:rsid w:val="00DE0364"/>
    <w:rsid w:val="00DE0370"/>
    <w:rsid w:val="00DE0385"/>
    <w:rsid w:val="00DE03AC"/>
    <w:rsid w:val="00DE03D4"/>
    <w:rsid w:val="00DE045F"/>
    <w:rsid w:val="00DE0467"/>
    <w:rsid w:val="00DE0477"/>
    <w:rsid w:val="00DE0507"/>
    <w:rsid w:val="00DE054C"/>
    <w:rsid w:val="00DE0552"/>
    <w:rsid w:val="00DE0572"/>
    <w:rsid w:val="00DE05B2"/>
    <w:rsid w:val="00DE05B3"/>
    <w:rsid w:val="00DE05C4"/>
    <w:rsid w:val="00DE05F6"/>
    <w:rsid w:val="00DE064D"/>
    <w:rsid w:val="00DE069A"/>
    <w:rsid w:val="00DE06A2"/>
    <w:rsid w:val="00DE06AA"/>
    <w:rsid w:val="00DE06C0"/>
    <w:rsid w:val="00DE071D"/>
    <w:rsid w:val="00DE071E"/>
    <w:rsid w:val="00DE0752"/>
    <w:rsid w:val="00DE07A8"/>
    <w:rsid w:val="00DE07CD"/>
    <w:rsid w:val="00DE07D8"/>
    <w:rsid w:val="00DE07DA"/>
    <w:rsid w:val="00DE07E6"/>
    <w:rsid w:val="00DE0868"/>
    <w:rsid w:val="00DE086D"/>
    <w:rsid w:val="00DE0897"/>
    <w:rsid w:val="00DE08A0"/>
    <w:rsid w:val="00DE092F"/>
    <w:rsid w:val="00DE0934"/>
    <w:rsid w:val="00DE0943"/>
    <w:rsid w:val="00DE0971"/>
    <w:rsid w:val="00DE0997"/>
    <w:rsid w:val="00DE09C1"/>
    <w:rsid w:val="00DE09C2"/>
    <w:rsid w:val="00DE09CA"/>
    <w:rsid w:val="00DE0A28"/>
    <w:rsid w:val="00DE0A69"/>
    <w:rsid w:val="00DE0ABA"/>
    <w:rsid w:val="00DE0AF2"/>
    <w:rsid w:val="00DE0B72"/>
    <w:rsid w:val="00DE0B80"/>
    <w:rsid w:val="00DE0BF9"/>
    <w:rsid w:val="00DE0C06"/>
    <w:rsid w:val="00DE0C31"/>
    <w:rsid w:val="00DE0C55"/>
    <w:rsid w:val="00DE0C80"/>
    <w:rsid w:val="00DE0C92"/>
    <w:rsid w:val="00DE0CBF"/>
    <w:rsid w:val="00DE0CCF"/>
    <w:rsid w:val="00DE0D0C"/>
    <w:rsid w:val="00DE0D2A"/>
    <w:rsid w:val="00DE0D5E"/>
    <w:rsid w:val="00DE0D81"/>
    <w:rsid w:val="00DE0DB5"/>
    <w:rsid w:val="00DE0DE7"/>
    <w:rsid w:val="00DE0E20"/>
    <w:rsid w:val="00DE0E40"/>
    <w:rsid w:val="00DE0E6A"/>
    <w:rsid w:val="00DE0E71"/>
    <w:rsid w:val="00DE0E8E"/>
    <w:rsid w:val="00DE0EC9"/>
    <w:rsid w:val="00DE0F14"/>
    <w:rsid w:val="00DE0F2A"/>
    <w:rsid w:val="00DE0F5B"/>
    <w:rsid w:val="00DE0F78"/>
    <w:rsid w:val="00DE0F84"/>
    <w:rsid w:val="00DE0FBB"/>
    <w:rsid w:val="00DE0FFE"/>
    <w:rsid w:val="00DE1003"/>
    <w:rsid w:val="00DE1022"/>
    <w:rsid w:val="00DE1047"/>
    <w:rsid w:val="00DE1052"/>
    <w:rsid w:val="00DE1065"/>
    <w:rsid w:val="00DE1087"/>
    <w:rsid w:val="00DE1099"/>
    <w:rsid w:val="00DE10B4"/>
    <w:rsid w:val="00DE10DD"/>
    <w:rsid w:val="00DE10F9"/>
    <w:rsid w:val="00DE110F"/>
    <w:rsid w:val="00DE1129"/>
    <w:rsid w:val="00DE1131"/>
    <w:rsid w:val="00DE1167"/>
    <w:rsid w:val="00DE116A"/>
    <w:rsid w:val="00DE11AF"/>
    <w:rsid w:val="00DE1225"/>
    <w:rsid w:val="00DE1234"/>
    <w:rsid w:val="00DE126F"/>
    <w:rsid w:val="00DE1270"/>
    <w:rsid w:val="00DE1274"/>
    <w:rsid w:val="00DE127A"/>
    <w:rsid w:val="00DE128A"/>
    <w:rsid w:val="00DE12DA"/>
    <w:rsid w:val="00DE1317"/>
    <w:rsid w:val="00DE1328"/>
    <w:rsid w:val="00DE1399"/>
    <w:rsid w:val="00DE139A"/>
    <w:rsid w:val="00DE13AC"/>
    <w:rsid w:val="00DE13FE"/>
    <w:rsid w:val="00DE1401"/>
    <w:rsid w:val="00DE1449"/>
    <w:rsid w:val="00DE144B"/>
    <w:rsid w:val="00DE146B"/>
    <w:rsid w:val="00DE1474"/>
    <w:rsid w:val="00DE149B"/>
    <w:rsid w:val="00DE14E2"/>
    <w:rsid w:val="00DE152B"/>
    <w:rsid w:val="00DE1531"/>
    <w:rsid w:val="00DE156A"/>
    <w:rsid w:val="00DE158A"/>
    <w:rsid w:val="00DE15A7"/>
    <w:rsid w:val="00DE15D6"/>
    <w:rsid w:val="00DE1652"/>
    <w:rsid w:val="00DE1656"/>
    <w:rsid w:val="00DE1679"/>
    <w:rsid w:val="00DE169F"/>
    <w:rsid w:val="00DE16E6"/>
    <w:rsid w:val="00DE16F7"/>
    <w:rsid w:val="00DE1706"/>
    <w:rsid w:val="00DE1714"/>
    <w:rsid w:val="00DE1725"/>
    <w:rsid w:val="00DE173D"/>
    <w:rsid w:val="00DE1761"/>
    <w:rsid w:val="00DE17A5"/>
    <w:rsid w:val="00DE17C0"/>
    <w:rsid w:val="00DE17E4"/>
    <w:rsid w:val="00DE17FF"/>
    <w:rsid w:val="00DE182A"/>
    <w:rsid w:val="00DE185D"/>
    <w:rsid w:val="00DE1866"/>
    <w:rsid w:val="00DE1874"/>
    <w:rsid w:val="00DE18B9"/>
    <w:rsid w:val="00DE18BA"/>
    <w:rsid w:val="00DE18FB"/>
    <w:rsid w:val="00DE196A"/>
    <w:rsid w:val="00DE19C0"/>
    <w:rsid w:val="00DE19F6"/>
    <w:rsid w:val="00DE1A00"/>
    <w:rsid w:val="00DE1A13"/>
    <w:rsid w:val="00DE1A27"/>
    <w:rsid w:val="00DE1A69"/>
    <w:rsid w:val="00DE1A72"/>
    <w:rsid w:val="00DE1A8D"/>
    <w:rsid w:val="00DE1AA2"/>
    <w:rsid w:val="00DE1AD5"/>
    <w:rsid w:val="00DE1ADD"/>
    <w:rsid w:val="00DE1AF2"/>
    <w:rsid w:val="00DE1B09"/>
    <w:rsid w:val="00DE1B6C"/>
    <w:rsid w:val="00DE1C5C"/>
    <w:rsid w:val="00DE1C78"/>
    <w:rsid w:val="00DE1C88"/>
    <w:rsid w:val="00DE1CF2"/>
    <w:rsid w:val="00DE1CFD"/>
    <w:rsid w:val="00DE1D98"/>
    <w:rsid w:val="00DE1DA5"/>
    <w:rsid w:val="00DE1E15"/>
    <w:rsid w:val="00DE1E1A"/>
    <w:rsid w:val="00DE1E26"/>
    <w:rsid w:val="00DE1E39"/>
    <w:rsid w:val="00DE1E6D"/>
    <w:rsid w:val="00DE1E76"/>
    <w:rsid w:val="00DE1E87"/>
    <w:rsid w:val="00DE1E88"/>
    <w:rsid w:val="00DE1EB5"/>
    <w:rsid w:val="00DE1EC8"/>
    <w:rsid w:val="00DE1ED8"/>
    <w:rsid w:val="00DE1F02"/>
    <w:rsid w:val="00DE1F0D"/>
    <w:rsid w:val="00DE1F16"/>
    <w:rsid w:val="00DE1F34"/>
    <w:rsid w:val="00DE1F37"/>
    <w:rsid w:val="00DE1F52"/>
    <w:rsid w:val="00DE1F54"/>
    <w:rsid w:val="00DE1F71"/>
    <w:rsid w:val="00DE1F8B"/>
    <w:rsid w:val="00DE1FA0"/>
    <w:rsid w:val="00DE1FAD"/>
    <w:rsid w:val="00DE1FBA"/>
    <w:rsid w:val="00DE1FBF"/>
    <w:rsid w:val="00DE1FC5"/>
    <w:rsid w:val="00DE1FD0"/>
    <w:rsid w:val="00DE1FE5"/>
    <w:rsid w:val="00DE1FFC"/>
    <w:rsid w:val="00DE2025"/>
    <w:rsid w:val="00DE207B"/>
    <w:rsid w:val="00DE2115"/>
    <w:rsid w:val="00DE215D"/>
    <w:rsid w:val="00DE219B"/>
    <w:rsid w:val="00DE21B6"/>
    <w:rsid w:val="00DE21D1"/>
    <w:rsid w:val="00DE21E2"/>
    <w:rsid w:val="00DE222F"/>
    <w:rsid w:val="00DE2269"/>
    <w:rsid w:val="00DE2299"/>
    <w:rsid w:val="00DE22FB"/>
    <w:rsid w:val="00DE2327"/>
    <w:rsid w:val="00DE234D"/>
    <w:rsid w:val="00DE236D"/>
    <w:rsid w:val="00DE2377"/>
    <w:rsid w:val="00DE23CC"/>
    <w:rsid w:val="00DE23D8"/>
    <w:rsid w:val="00DE23E7"/>
    <w:rsid w:val="00DE23FC"/>
    <w:rsid w:val="00DE240A"/>
    <w:rsid w:val="00DE2464"/>
    <w:rsid w:val="00DE248D"/>
    <w:rsid w:val="00DE24A3"/>
    <w:rsid w:val="00DE24B2"/>
    <w:rsid w:val="00DE24C0"/>
    <w:rsid w:val="00DE24D6"/>
    <w:rsid w:val="00DE2546"/>
    <w:rsid w:val="00DE2566"/>
    <w:rsid w:val="00DE25AA"/>
    <w:rsid w:val="00DE2603"/>
    <w:rsid w:val="00DE260B"/>
    <w:rsid w:val="00DE2656"/>
    <w:rsid w:val="00DE2693"/>
    <w:rsid w:val="00DE269F"/>
    <w:rsid w:val="00DE26A9"/>
    <w:rsid w:val="00DE26B6"/>
    <w:rsid w:val="00DE26B8"/>
    <w:rsid w:val="00DE26D8"/>
    <w:rsid w:val="00DE2717"/>
    <w:rsid w:val="00DE2719"/>
    <w:rsid w:val="00DE273C"/>
    <w:rsid w:val="00DE277E"/>
    <w:rsid w:val="00DE2785"/>
    <w:rsid w:val="00DE27BD"/>
    <w:rsid w:val="00DE27D5"/>
    <w:rsid w:val="00DE2812"/>
    <w:rsid w:val="00DE2818"/>
    <w:rsid w:val="00DE281E"/>
    <w:rsid w:val="00DE2826"/>
    <w:rsid w:val="00DE2834"/>
    <w:rsid w:val="00DE2839"/>
    <w:rsid w:val="00DE283A"/>
    <w:rsid w:val="00DE2856"/>
    <w:rsid w:val="00DE2862"/>
    <w:rsid w:val="00DE28A2"/>
    <w:rsid w:val="00DE28AF"/>
    <w:rsid w:val="00DE28BC"/>
    <w:rsid w:val="00DE28D8"/>
    <w:rsid w:val="00DE28F0"/>
    <w:rsid w:val="00DE2900"/>
    <w:rsid w:val="00DE29B1"/>
    <w:rsid w:val="00DE29CE"/>
    <w:rsid w:val="00DE29F4"/>
    <w:rsid w:val="00DE2A1C"/>
    <w:rsid w:val="00DE2A60"/>
    <w:rsid w:val="00DE2ADC"/>
    <w:rsid w:val="00DE2B2F"/>
    <w:rsid w:val="00DE2B51"/>
    <w:rsid w:val="00DE2B57"/>
    <w:rsid w:val="00DE2B64"/>
    <w:rsid w:val="00DE2B68"/>
    <w:rsid w:val="00DE2B85"/>
    <w:rsid w:val="00DE2BEC"/>
    <w:rsid w:val="00DE2BFF"/>
    <w:rsid w:val="00DE2C11"/>
    <w:rsid w:val="00DE2C35"/>
    <w:rsid w:val="00DE2C48"/>
    <w:rsid w:val="00DE2C82"/>
    <w:rsid w:val="00DE2CA8"/>
    <w:rsid w:val="00DE2CC3"/>
    <w:rsid w:val="00DE2CF5"/>
    <w:rsid w:val="00DE2D14"/>
    <w:rsid w:val="00DE2D3F"/>
    <w:rsid w:val="00DE2D7B"/>
    <w:rsid w:val="00DE2D7D"/>
    <w:rsid w:val="00DE2DE5"/>
    <w:rsid w:val="00DE2DEE"/>
    <w:rsid w:val="00DE2E00"/>
    <w:rsid w:val="00DE2E15"/>
    <w:rsid w:val="00DE2EB9"/>
    <w:rsid w:val="00DE2EEB"/>
    <w:rsid w:val="00DE2EFA"/>
    <w:rsid w:val="00DE2F13"/>
    <w:rsid w:val="00DE2F69"/>
    <w:rsid w:val="00DE2F6B"/>
    <w:rsid w:val="00DE2F78"/>
    <w:rsid w:val="00DE2FB6"/>
    <w:rsid w:val="00DE2FBB"/>
    <w:rsid w:val="00DE2FC9"/>
    <w:rsid w:val="00DE2FEC"/>
    <w:rsid w:val="00DE3030"/>
    <w:rsid w:val="00DE3034"/>
    <w:rsid w:val="00DE3043"/>
    <w:rsid w:val="00DE304C"/>
    <w:rsid w:val="00DE3059"/>
    <w:rsid w:val="00DE30A3"/>
    <w:rsid w:val="00DE30AB"/>
    <w:rsid w:val="00DE30D8"/>
    <w:rsid w:val="00DE30DA"/>
    <w:rsid w:val="00DE30F3"/>
    <w:rsid w:val="00DE31B7"/>
    <w:rsid w:val="00DE31DB"/>
    <w:rsid w:val="00DE321B"/>
    <w:rsid w:val="00DE3231"/>
    <w:rsid w:val="00DE3233"/>
    <w:rsid w:val="00DE325F"/>
    <w:rsid w:val="00DE326E"/>
    <w:rsid w:val="00DE327F"/>
    <w:rsid w:val="00DE32AD"/>
    <w:rsid w:val="00DE32D8"/>
    <w:rsid w:val="00DE334C"/>
    <w:rsid w:val="00DE3379"/>
    <w:rsid w:val="00DE3384"/>
    <w:rsid w:val="00DE33BC"/>
    <w:rsid w:val="00DE33FD"/>
    <w:rsid w:val="00DE3405"/>
    <w:rsid w:val="00DE3407"/>
    <w:rsid w:val="00DE341A"/>
    <w:rsid w:val="00DE347A"/>
    <w:rsid w:val="00DE34A4"/>
    <w:rsid w:val="00DE34AE"/>
    <w:rsid w:val="00DE34D2"/>
    <w:rsid w:val="00DE3505"/>
    <w:rsid w:val="00DE352E"/>
    <w:rsid w:val="00DE354D"/>
    <w:rsid w:val="00DE358E"/>
    <w:rsid w:val="00DE35CE"/>
    <w:rsid w:val="00DE35EA"/>
    <w:rsid w:val="00DE35F7"/>
    <w:rsid w:val="00DE3615"/>
    <w:rsid w:val="00DE3623"/>
    <w:rsid w:val="00DE3645"/>
    <w:rsid w:val="00DE368A"/>
    <w:rsid w:val="00DE36B0"/>
    <w:rsid w:val="00DE3701"/>
    <w:rsid w:val="00DE376A"/>
    <w:rsid w:val="00DE376B"/>
    <w:rsid w:val="00DE379D"/>
    <w:rsid w:val="00DE37B4"/>
    <w:rsid w:val="00DE37DB"/>
    <w:rsid w:val="00DE3819"/>
    <w:rsid w:val="00DE384E"/>
    <w:rsid w:val="00DE386C"/>
    <w:rsid w:val="00DE3885"/>
    <w:rsid w:val="00DE389E"/>
    <w:rsid w:val="00DE38A2"/>
    <w:rsid w:val="00DE38BD"/>
    <w:rsid w:val="00DE38DA"/>
    <w:rsid w:val="00DE38EB"/>
    <w:rsid w:val="00DE38F1"/>
    <w:rsid w:val="00DE38FC"/>
    <w:rsid w:val="00DE3909"/>
    <w:rsid w:val="00DE393A"/>
    <w:rsid w:val="00DE393C"/>
    <w:rsid w:val="00DE396D"/>
    <w:rsid w:val="00DE39B7"/>
    <w:rsid w:val="00DE3A5A"/>
    <w:rsid w:val="00DE3A69"/>
    <w:rsid w:val="00DE3A9A"/>
    <w:rsid w:val="00DE3AB3"/>
    <w:rsid w:val="00DE3AD9"/>
    <w:rsid w:val="00DE3ADC"/>
    <w:rsid w:val="00DE3B7D"/>
    <w:rsid w:val="00DE3BAB"/>
    <w:rsid w:val="00DE3BAD"/>
    <w:rsid w:val="00DE3BC3"/>
    <w:rsid w:val="00DE3BD0"/>
    <w:rsid w:val="00DE3C76"/>
    <w:rsid w:val="00DE3CDB"/>
    <w:rsid w:val="00DE3CEC"/>
    <w:rsid w:val="00DE3CF3"/>
    <w:rsid w:val="00DE3D27"/>
    <w:rsid w:val="00DE3D54"/>
    <w:rsid w:val="00DE3DBA"/>
    <w:rsid w:val="00DE3DD2"/>
    <w:rsid w:val="00DE3DF5"/>
    <w:rsid w:val="00DE3E04"/>
    <w:rsid w:val="00DE3E0C"/>
    <w:rsid w:val="00DE3E2F"/>
    <w:rsid w:val="00DE3E3B"/>
    <w:rsid w:val="00DE3E4C"/>
    <w:rsid w:val="00DE3E5D"/>
    <w:rsid w:val="00DE3E64"/>
    <w:rsid w:val="00DE3E6D"/>
    <w:rsid w:val="00DE3EA1"/>
    <w:rsid w:val="00DE3EDA"/>
    <w:rsid w:val="00DE3EEB"/>
    <w:rsid w:val="00DE3EED"/>
    <w:rsid w:val="00DE3F24"/>
    <w:rsid w:val="00DE3F5C"/>
    <w:rsid w:val="00DE3F8A"/>
    <w:rsid w:val="00DE3F91"/>
    <w:rsid w:val="00DE3FBD"/>
    <w:rsid w:val="00DE3FE1"/>
    <w:rsid w:val="00DE4011"/>
    <w:rsid w:val="00DE4013"/>
    <w:rsid w:val="00DE4016"/>
    <w:rsid w:val="00DE402B"/>
    <w:rsid w:val="00DE4091"/>
    <w:rsid w:val="00DE4098"/>
    <w:rsid w:val="00DE40F4"/>
    <w:rsid w:val="00DE4120"/>
    <w:rsid w:val="00DE415E"/>
    <w:rsid w:val="00DE416C"/>
    <w:rsid w:val="00DE4175"/>
    <w:rsid w:val="00DE419D"/>
    <w:rsid w:val="00DE4231"/>
    <w:rsid w:val="00DE4259"/>
    <w:rsid w:val="00DE42D7"/>
    <w:rsid w:val="00DE432D"/>
    <w:rsid w:val="00DE433D"/>
    <w:rsid w:val="00DE4343"/>
    <w:rsid w:val="00DE4396"/>
    <w:rsid w:val="00DE43A2"/>
    <w:rsid w:val="00DE43B4"/>
    <w:rsid w:val="00DE441C"/>
    <w:rsid w:val="00DE4432"/>
    <w:rsid w:val="00DE4438"/>
    <w:rsid w:val="00DE447A"/>
    <w:rsid w:val="00DE44BF"/>
    <w:rsid w:val="00DE44D3"/>
    <w:rsid w:val="00DE451A"/>
    <w:rsid w:val="00DE4524"/>
    <w:rsid w:val="00DE454E"/>
    <w:rsid w:val="00DE45B9"/>
    <w:rsid w:val="00DE45D1"/>
    <w:rsid w:val="00DE45EF"/>
    <w:rsid w:val="00DE45F8"/>
    <w:rsid w:val="00DE4649"/>
    <w:rsid w:val="00DE466E"/>
    <w:rsid w:val="00DE4695"/>
    <w:rsid w:val="00DE46FD"/>
    <w:rsid w:val="00DE4709"/>
    <w:rsid w:val="00DE4793"/>
    <w:rsid w:val="00DE47B5"/>
    <w:rsid w:val="00DE47E2"/>
    <w:rsid w:val="00DE47F5"/>
    <w:rsid w:val="00DE4808"/>
    <w:rsid w:val="00DE481F"/>
    <w:rsid w:val="00DE483C"/>
    <w:rsid w:val="00DE484B"/>
    <w:rsid w:val="00DE485B"/>
    <w:rsid w:val="00DE487B"/>
    <w:rsid w:val="00DE48C6"/>
    <w:rsid w:val="00DE48CE"/>
    <w:rsid w:val="00DE48D7"/>
    <w:rsid w:val="00DE4905"/>
    <w:rsid w:val="00DE492A"/>
    <w:rsid w:val="00DE493F"/>
    <w:rsid w:val="00DE4958"/>
    <w:rsid w:val="00DE49CE"/>
    <w:rsid w:val="00DE49E8"/>
    <w:rsid w:val="00DE49EA"/>
    <w:rsid w:val="00DE4A01"/>
    <w:rsid w:val="00DE4A3D"/>
    <w:rsid w:val="00DE4A47"/>
    <w:rsid w:val="00DE4A81"/>
    <w:rsid w:val="00DE4A83"/>
    <w:rsid w:val="00DE4AF4"/>
    <w:rsid w:val="00DE4B08"/>
    <w:rsid w:val="00DE4B0F"/>
    <w:rsid w:val="00DE4B24"/>
    <w:rsid w:val="00DE4B3A"/>
    <w:rsid w:val="00DE4B63"/>
    <w:rsid w:val="00DE4B97"/>
    <w:rsid w:val="00DE4BC0"/>
    <w:rsid w:val="00DE4BC3"/>
    <w:rsid w:val="00DE4BCD"/>
    <w:rsid w:val="00DE4BE2"/>
    <w:rsid w:val="00DE4BE4"/>
    <w:rsid w:val="00DE4C08"/>
    <w:rsid w:val="00DE4C0B"/>
    <w:rsid w:val="00DE4C25"/>
    <w:rsid w:val="00DE4C3F"/>
    <w:rsid w:val="00DE4C97"/>
    <w:rsid w:val="00DE4CE8"/>
    <w:rsid w:val="00DE4D20"/>
    <w:rsid w:val="00DE4D43"/>
    <w:rsid w:val="00DE4D71"/>
    <w:rsid w:val="00DE4DED"/>
    <w:rsid w:val="00DE4E1C"/>
    <w:rsid w:val="00DE4E3C"/>
    <w:rsid w:val="00DE4E52"/>
    <w:rsid w:val="00DE4EF5"/>
    <w:rsid w:val="00DE4F35"/>
    <w:rsid w:val="00DE4F51"/>
    <w:rsid w:val="00DE5012"/>
    <w:rsid w:val="00DE5014"/>
    <w:rsid w:val="00DE507C"/>
    <w:rsid w:val="00DE507F"/>
    <w:rsid w:val="00DE50C2"/>
    <w:rsid w:val="00DE50FD"/>
    <w:rsid w:val="00DE5124"/>
    <w:rsid w:val="00DE5125"/>
    <w:rsid w:val="00DE51A2"/>
    <w:rsid w:val="00DE51A4"/>
    <w:rsid w:val="00DE51E0"/>
    <w:rsid w:val="00DE521F"/>
    <w:rsid w:val="00DE5227"/>
    <w:rsid w:val="00DE5230"/>
    <w:rsid w:val="00DE524D"/>
    <w:rsid w:val="00DE5267"/>
    <w:rsid w:val="00DE52CB"/>
    <w:rsid w:val="00DE52D9"/>
    <w:rsid w:val="00DE52E3"/>
    <w:rsid w:val="00DE52F1"/>
    <w:rsid w:val="00DE5319"/>
    <w:rsid w:val="00DE5349"/>
    <w:rsid w:val="00DE535E"/>
    <w:rsid w:val="00DE536C"/>
    <w:rsid w:val="00DE5376"/>
    <w:rsid w:val="00DE539E"/>
    <w:rsid w:val="00DE53E8"/>
    <w:rsid w:val="00DE53EC"/>
    <w:rsid w:val="00DE53F2"/>
    <w:rsid w:val="00DE5439"/>
    <w:rsid w:val="00DE5460"/>
    <w:rsid w:val="00DE546B"/>
    <w:rsid w:val="00DE5531"/>
    <w:rsid w:val="00DE553C"/>
    <w:rsid w:val="00DE5546"/>
    <w:rsid w:val="00DE5559"/>
    <w:rsid w:val="00DE5577"/>
    <w:rsid w:val="00DE557D"/>
    <w:rsid w:val="00DE55B4"/>
    <w:rsid w:val="00DE55CE"/>
    <w:rsid w:val="00DE55CF"/>
    <w:rsid w:val="00DE55E4"/>
    <w:rsid w:val="00DE55EE"/>
    <w:rsid w:val="00DE5606"/>
    <w:rsid w:val="00DE561E"/>
    <w:rsid w:val="00DE567E"/>
    <w:rsid w:val="00DE56D5"/>
    <w:rsid w:val="00DE56F0"/>
    <w:rsid w:val="00DE571A"/>
    <w:rsid w:val="00DE574F"/>
    <w:rsid w:val="00DE5759"/>
    <w:rsid w:val="00DE576D"/>
    <w:rsid w:val="00DE577A"/>
    <w:rsid w:val="00DE5785"/>
    <w:rsid w:val="00DE57C8"/>
    <w:rsid w:val="00DE57D5"/>
    <w:rsid w:val="00DE57E4"/>
    <w:rsid w:val="00DE57E8"/>
    <w:rsid w:val="00DE57FC"/>
    <w:rsid w:val="00DE5821"/>
    <w:rsid w:val="00DE5829"/>
    <w:rsid w:val="00DE5850"/>
    <w:rsid w:val="00DE5853"/>
    <w:rsid w:val="00DE5855"/>
    <w:rsid w:val="00DE5946"/>
    <w:rsid w:val="00DE596F"/>
    <w:rsid w:val="00DE5981"/>
    <w:rsid w:val="00DE59B4"/>
    <w:rsid w:val="00DE59C6"/>
    <w:rsid w:val="00DE59F6"/>
    <w:rsid w:val="00DE5A51"/>
    <w:rsid w:val="00DE5A6A"/>
    <w:rsid w:val="00DE5A6F"/>
    <w:rsid w:val="00DE5A83"/>
    <w:rsid w:val="00DE5A89"/>
    <w:rsid w:val="00DE5A9C"/>
    <w:rsid w:val="00DE5AA7"/>
    <w:rsid w:val="00DE5AB6"/>
    <w:rsid w:val="00DE5AC2"/>
    <w:rsid w:val="00DE5AD3"/>
    <w:rsid w:val="00DE5ADB"/>
    <w:rsid w:val="00DE5AE8"/>
    <w:rsid w:val="00DE5B50"/>
    <w:rsid w:val="00DE5B53"/>
    <w:rsid w:val="00DE5BAA"/>
    <w:rsid w:val="00DE5BBB"/>
    <w:rsid w:val="00DE5BC4"/>
    <w:rsid w:val="00DE5BC5"/>
    <w:rsid w:val="00DE5C02"/>
    <w:rsid w:val="00DE5C13"/>
    <w:rsid w:val="00DE5C32"/>
    <w:rsid w:val="00DE5C83"/>
    <w:rsid w:val="00DE5C89"/>
    <w:rsid w:val="00DE5C92"/>
    <w:rsid w:val="00DE5CB0"/>
    <w:rsid w:val="00DE5CC6"/>
    <w:rsid w:val="00DE5CFB"/>
    <w:rsid w:val="00DE5D24"/>
    <w:rsid w:val="00DE5D60"/>
    <w:rsid w:val="00DE5D96"/>
    <w:rsid w:val="00DE5DAF"/>
    <w:rsid w:val="00DE5DE2"/>
    <w:rsid w:val="00DE5DF6"/>
    <w:rsid w:val="00DE5E15"/>
    <w:rsid w:val="00DE5E16"/>
    <w:rsid w:val="00DE5E2B"/>
    <w:rsid w:val="00DE5E4A"/>
    <w:rsid w:val="00DE5E57"/>
    <w:rsid w:val="00DE5E6B"/>
    <w:rsid w:val="00DE5E74"/>
    <w:rsid w:val="00DE5EF3"/>
    <w:rsid w:val="00DE5F7F"/>
    <w:rsid w:val="00DE5F8A"/>
    <w:rsid w:val="00DE5F8F"/>
    <w:rsid w:val="00DE5F91"/>
    <w:rsid w:val="00DE5F94"/>
    <w:rsid w:val="00DE5F9F"/>
    <w:rsid w:val="00DE5FED"/>
    <w:rsid w:val="00DE600E"/>
    <w:rsid w:val="00DE6025"/>
    <w:rsid w:val="00DE608A"/>
    <w:rsid w:val="00DE6095"/>
    <w:rsid w:val="00DE60B6"/>
    <w:rsid w:val="00DE60F6"/>
    <w:rsid w:val="00DE6117"/>
    <w:rsid w:val="00DE6118"/>
    <w:rsid w:val="00DE6135"/>
    <w:rsid w:val="00DE6142"/>
    <w:rsid w:val="00DE617F"/>
    <w:rsid w:val="00DE61A5"/>
    <w:rsid w:val="00DE61B2"/>
    <w:rsid w:val="00DE6214"/>
    <w:rsid w:val="00DE621B"/>
    <w:rsid w:val="00DE622E"/>
    <w:rsid w:val="00DE6230"/>
    <w:rsid w:val="00DE625E"/>
    <w:rsid w:val="00DE62C7"/>
    <w:rsid w:val="00DE62D7"/>
    <w:rsid w:val="00DE62F5"/>
    <w:rsid w:val="00DE6301"/>
    <w:rsid w:val="00DE6333"/>
    <w:rsid w:val="00DE6336"/>
    <w:rsid w:val="00DE634F"/>
    <w:rsid w:val="00DE6398"/>
    <w:rsid w:val="00DE63AF"/>
    <w:rsid w:val="00DE63B0"/>
    <w:rsid w:val="00DE6408"/>
    <w:rsid w:val="00DE6434"/>
    <w:rsid w:val="00DE645A"/>
    <w:rsid w:val="00DE647A"/>
    <w:rsid w:val="00DE649A"/>
    <w:rsid w:val="00DE64E7"/>
    <w:rsid w:val="00DE651B"/>
    <w:rsid w:val="00DE652B"/>
    <w:rsid w:val="00DE6578"/>
    <w:rsid w:val="00DE65A5"/>
    <w:rsid w:val="00DE65CC"/>
    <w:rsid w:val="00DE65D0"/>
    <w:rsid w:val="00DE6631"/>
    <w:rsid w:val="00DE6668"/>
    <w:rsid w:val="00DE6693"/>
    <w:rsid w:val="00DE66A3"/>
    <w:rsid w:val="00DE66BF"/>
    <w:rsid w:val="00DE66EC"/>
    <w:rsid w:val="00DE66F2"/>
    <w:rsid w:val="00DE66F8"/>
    <w:rsid w:val="00DE6703"/>
    <w:rsid w:val="00DE6743"/>
    <w:rsid w:val="00DE6817"/>
    <w:rsid w:val="00DE6818"/>
    <w:rsid w:val="00DE6859"/>
    <w:rsid w:val="00DE686F"/>
    <w:rsid w:val="00DE6878"/>
    <w:rsid w:val="00DE688C"/>
    <w:rsid w:val="00DE68A2"/>
    <w:rsid w:val="00DE68E7"/>
    <w:rsid w:val="00DE6966"/>
    <w:rsid w:val="00DE699D"/>
    <w:rsid w:val="00DE69E6"/>
    <w:rsid w:val="00DE69FA"/>
    <w:rsid w:val="00DE6A38"/>
    <w:rsid w:val="00DE6A78"/>
    <w:rsid w:val="00DE6AC6"/>
    <w:rsid w:val="00DE6AD2"/>
    <w:rsid w:val="00DE6ADF"/>
    <w:rsid w:val="00DE6AFE"/>
    <w:rsid w:val="00DE6B0B"/>
    <w:rsid w:val="00DE6B1C"/>
    <w:rsid w:val="00DE6B66"/>
    <w:rsid w:val="00DE6B8D"/>
    <w:rsid w:val="00DE6BA6"/>
    <w:rsid w:val="00DE6BAB"/>
    <w:rsid w:val="00DE6C1B"/>
    <w:rsid w:val="00DE6C2E"/>
    <w:rsid w:val="00DE6C6F"/>
    <w:rsid w:val="00DE6C8F"/>
    <w:rsid w:val="00DE6C9F"/>
    <w:rsid w:val="00DE6CBC"/>
    <w:rsid w:val="00DE6D5A"/>
    <w:rsid w:val="00DE6D83"/>
    <w:rsid w:val="00DE6D86"/>
    <w:rsid w:val="00DE6D8D"/>
    <w:rsid w:val="00DE6D9C"/>
    <w:rsid w:val="00DE6E03"/>
    <w:rsid w:val="00DE6E1F"/>
    <w:rsid w:val="00DE6E61"/>
    <w:rsid w:val="00DE6E77"/>
    <w:rsid w:val="00DE6E99"/>
    <w:rsid w:val="00DE6F31"/>
    <w:rsid w:val="00DE6F34"/>
    <w:rsid w:val="00DE6F4E"/>
    <w:rsid w:val="00DE6F4F"/>
    <w:rsid w:val="00DE6F5A"/>
    <w:rsid w:val="00DE6F8E"/>
    <w:rsid w:val="00DE6FAA"/>
    <w:rsid w:val="00DE6FD6"/>
    <w:rsid w:val="00DE702A"/>
    <w:rsid w:val="00DE706C"/>
    <w:rsid w:val="00DE7084"/>
    <w:rsid w:val="00DE70C7"/>
    <w:rsid w:val="00DE7123"/>
    <w:rsid w:val="00DE7164"/>
    <w:rsid w:val="00DE7178"/>
    <w:rsid w:val="00DE717E"/>
    <w:rsid w:val="00DE7196"/>
    <w:rsid w:val="00DE719F"/>
    <w:rsid w:val="00DE71F6"/>
    <w:rsid w:val="00DE71FF"/>
    <w:rsid w:val="00DE7209"/>
    <w:rsid w:val="00DE7217"/>
    <w:rsid w:val="00DE7227"/>
    <w:rsid w:val="00DE7251"/>
    <w:rsid w:val="00DE727D"/>
    <w:rsid w:val="00DE72E3"/>
    <w:rsid w:val="00DE7309"/>
    <w:rsid w:val="00DE7330"/>
    <w:rsid w:val="00DE735E"/>
    <w:rsid w:val="00DE7382"/>
    <w:rsid w:val="00DE7388"/>
    <w:rsid w:val="00DE73A3"/>
    <w:rsid w:val="00DE73A5"/>
    <w:rsid w:val="00DE73ED"/>
    <w:rsid w:val="00DE7429"/>
    <w:rsid w:val="00DE742C"/>
    <w:rsid w:val="00DE74A8"/>
    <w:rsid w:val="00DE74B6"/>
    <w:rsid w:val="00DE74EC"/>
    <w:rsid w:val="00DE750D"/>
    <w:rsid w:val="00DE7585"/>
    <w:rsid w:val="00DE758C"/>
    <w:rsid w:val="00DE7594"/>
    <w:rsid w:val="00DE75B9"/>
    <w:rsid w:val="00DE75C1"/>
    <w:rsid w:val="00DE75D0"/>
    <w:rsid w:val="00DE75F3"/>
    <w:rsid w:val="00DE7614"/>
    <w:rsid w:val="00DE7623"/>
    <w:rsid w:val="00DE762A"/>
    <w:rsid w:val="00DE7641"/>
    <w:rsid w:val="00DE7660"/>
    <w:rsid w:val="00DE7685"/>
    <w:rsid w:val="00DE768F"/>
    <w:rsid w:val="00DE76B0"/>
    <w:rsid w:val="00DE76E1"/>
    <w:rsid w:val="00DE76FD"/>
    <w:rsid w:val="00DE7732"/>
    <w:rsid w:val="00DE7764"/>
    <w:rsid w:val="00DE7776"/>
    <w:rsid w:val="00DE77F6"/>
    <w:rsid w:val="00DE77FC"/>
    <w:rsid w:val="00DE7823"/>
    <w:rsid w:val="00DE7884"/>
    <w:rsid w:val="00DE78B5"/>
    <w:rsid w:val="00DE78CD"/>
    <w:rsid w:val="00DE78F3"/>
    <w:rsid w:val="00DE7909"/>
    <w:rsid w:val="00DE7916"/>
    <w:rsid w:val="00DE794B"/>
    <w:rsid w:val="00DE794F"/>
    <w:rsid w:val="00DE7954"/>
    <w:rsid w:val="00DE7963"/>
    <w:rsid w:val="00DE7966"/>
    <w:rsid w:val="00DE7980"/>
    <w:rsid w:val="00DE7A0B"/>
    <w:rsid w:val="00DE7A7F"/>
    <w:rsid w:val="00DE7AEE"/>
    <w:rsid w:val="00DE7B35"/>
    <w:rsid w:val="00DE7B52"/>
    <w:rsid w:val="00DE7B72"/>
    <w:rsid w:val="00DE7B75"/>
    <w:rsid w:val="00DE7B9E"/>
    <w:rsid w:val="00DE7BB6"/>
    <w:rsid w:val="00DE7C2A"/>
    <w:rsid w:val="00DE7C2E"/>
    <w:rsid w:val="00DE7C5C"/>
    <w:rsid w:val="00DE7C62"/>
    <w:rsid w:val="00DE7C67"/>
    <w:rsid w:val="00DE7C7B"/>
    <w:rsid w:val="00DE7C81"/>
    <w:rsid w:val="00DE7CC9"/>
    <w:rsid w:val="00DE7CD2"/>
    <w:rsid w:val="00DE7CE4"/>
    <w:rsid w:val="00DE7CF4"/>
    <w:rsid w:val="00DE7CF6"/>
    <w:rsid w:val="00DE7D03"/>
    <w:rsid w:val="00DE7D23"/>
    <w:rsid w:val="00DE7D31"/>
    <w:rsid w:val="00DE7D42"/>
    <w:rsid w:val="00DE7D47"/>
    <w:rsid w:val="00DE7D65"/>
    <w:rsid w:val="00DE7D80"/>
    <w:rsid w:val="00DE7D9C"/>
    <w:rsid w:val="00DE7DA8"/>
    <w:rsid w:val="00DE7DBC"/>
    <w:rsid w:val="00DE7DCB"/>
    <w:rsid w:val="00DE7DE6"/>
    <w:rsid w:val="00DE7DEE"/>
    <w:rsid w:val="00DE7E23"/>
    <w:rsid w:val="00DE7E42"/>
    <w:rsid w:val="00DE7E4F"/>
    <w:rsid w:val="00DE7E8F"/>
    <w:rsid w:val="00DE7E9B"/>
    <w:rsid w:val="00DE7EE2"/>
    <w:rsid w:val="00DE7EE8"/>
    <w:rsid w:val="00DE7EF5"/>
    <w:rsid w:val="00DE7F44"/>
    <w:rsid w:val="00DE7F84"/>
    <w:rsid w:val="00DE7FAD"/>
    <w:rsid w:val="00DE7FAE"/>
    <w:rsid w:val="00DE7FDF"/>
    <w:rsid w:val="00DEB5ED"/>
    <w:rsid w:val="00DF0015"/>
    <w:rsid w:val="00DF002F"/>
    <w:rsid w:val="00DF0063"/>
    <w:rsid w:val="00DF00A7"/>
    <w:rsid w:val="00DF00B8"/>
    <w:rsid w:val="00DF00DF"/>
    <w:rsid w:val="00DF00E9"/>
    <w:rsid w:val="00DF00F3"/>
    <w:rsid w:val="00DF0102"/>
    <w:rsid w:val="00DF0140"/>
    <w:rsid w:val="00DF0148"/>
    <w:rsid w:val="00DF0164"/>
    <w:rsid w:val="00DF017E"/>
    <w:rsid w:val="00DF0191"/>
    <w:rsid w:val="00DF0197"/>
    <w:rsid w:val="00DF01BE"/>
    <w:rsid w:val="00DF01D6"/>
    <w:rsid w:val="00DF01FB"/>
    <w:rsid w:val="00DF022C"/>
    <w:rsid w:val="00DF026D"/>
    <w:rsid w:val="00DF027E"/>
    <w:rsid w:val="00DF029E"/>
    <w:rsid w:val="00DF02B9"/>
    <w:rsid w:val="00DF02BD"/>
    <w:rsid w:val="00DF02BF"/>
    <w:rsid w:val="00DF02C6"/>
    <w:rsid w:val="00DF02E7"/>
    <w:rsid w:val="00DF02FB"/>
    <w:rsid w:val="00DF0313"/>
    <w:rsid w:val="00DF034C"/>
    <w:rsid w:val="00DF037C"/>
    <w:rsid w:val="00DF0380"/>
    <w:rsid w:val="00DF03B6"/>
    <w:rsid w:val="00DF03F4"/>
    <w:rsid w:val="00DF044B"/>
    <w:rsid w:val="00DF045C"/>
    <w:rsid w:val="00DF049B"/>
    <w:rsid w:val="00DF04B9"/>
    <w:rsid w:val="00DF04CD"/>
    <w:rsid w:val="00DF04E4"/>
    <w:rsid w:val="00DF0520"/>
    <w:rsid w:val="00DF0525"/>
    <w:rsid w:val="00DF0546"/>
    <w:rsid w:val="00DF0582"/>
    <w:rsid w:val="00DF05BD"/>
    <w:rsid w:val="00DF05EE"/>
    <w:rsid w:val="00DF0646"/>
    <w:rsid w:val="00DF0671"/>
    <w:rsid w:val="00DF0699"/>
    <w:rsid w:val="00DF06A1"/>
    <w:rsid w:val="00DF06A9"/>
    <w:rsid w:val="00DF06BA"/>
    <w:rsid w:val="00DF0712"/>
    <w:rsid w:val="00DF0714"/>
    <w:rsid w:val="00DF0726"/>
    <w:rsid w:val="00DF074B"/>
    <w:rsid w:val="00DF0774"/>
    <w:rsid w:val="00DF0778"/>
    <w:rsid w:val="00DF07C0"/>
    <w:rsid w:val="00DF07CC"/>
    <w:rsid w:val="00DF07E7"/>
    <w:rsid w:val="00DF082B"/>
    <w:rsid w:val="00DF084A"/>
    <w:rsid w:val="00DF0880"/>
    <w:rsid w:val="00DF08C4"/>
    <w:rsid w:val="00DF08CA"/>
    <w:rsid w:val="00DF0943"/>
    <w:rsid w:val="00DF094B"/>
    <w:rsid w:val="00DF099C"/>
    <w:rsid w:val="00DF09B3"/>
    <w:rsid w:val="00DF09BD"/>
    <w:rsid w:val="00DF09C9"/>
    <w:rsid w:val="00DF0A16"/>
    <w:rsid w:val="00DF0A1A"/>
    <w:rsid w:val="00DF0A5B"/>
    <w:rsid w:val="00DF0A74"/>
    <w:rsid w:val="00DF0A8E"/>
    <w:rsid w:val="00DF0A90"/>
    <w:rsid w:val="00DF0AB7"/>
    <w:rsid w:val="00DF0AC5"/>
    <w:rsid w:val="00DF0AC9"/>
    <w:rsid w:val="00DF0AEA"/>
    <w:rsid w:val="00DF0AFF"/>
    <w:rsid w:val="00DF0B15"/>
    <w:rsid w:val="00DF0B3D"/>
    <w:rsid w:val="00DF0B4A"/>
    <w:rsid w:val="00DF0B4D"/>
    <w:rsid w:val="00DF0C13"/>
    <w:rsid w:val="00DF0C63"/>
    <w:rsid w:val="00DF0C7A"/>
    <w:rsid w:val="00DF0C93"/>
    <w:rsid w:val="00DF0CA1"/>
    <w:rsid w:val="00DF0CBD"/>
    <w:rsid w:val="00DF0CC8"/>
    <w:rsid w:val="00DF0CD3"/>
    <w:rsid w:val="00DF0D2B"/>
    <w:rsid w:val="00DF0D5D"/>
    <w:rsid w:val="00DF0E0A"/>
    <w:rsid w:val="00DF0E34"/>
    <w:rsid w:val="00DF0E87"/>
    <w:rsid w:val="00DF0EC1"/>
    <w:rsid w:val="00DF0F04"/>
    <w:rsid w:val="00DF0F36"/>
    <w:rsid w:val="00DF0F67"/>
    <w:rsid w:val="00DF0F6D"/>
    <w:rsid w:val="00DF0FDF"/>
    <w:rsid w:val="00DF0FE4"/>
    <w:rsid w:val="00DF101D"/>
    <w:rsid w:val="00DF102C"/>
    <w:rsid w:val="00DF102D"/>
    <w:rsid w:val="00DF1049"/>
    <w:rsid w:val="00DF1061"/>
    <w:rsid w:val="00DF1078"/>
    <w:rsid w:val="00DF1088"/>
    <w:rsid w:val="00DF108F"/>
    <w:rsid w:val="00DF110E"/>
    <w:rsid w:val="00DF111A"/>
    <w:rsid w:val="00DF1170"/>
    <w:rsid w:val="00DF118B"/>
    <w:rsid w:val="00DF118F"/>
    <w:rsid w:val="00DF11CA"/>
    <w:rsid w:val="00DF11FA"/>
    <w:rsid w:val="00DF11FE"/>
    <w:rsid w:val="00DF11FF"/>
    <w:rsid w:val="00DF1207"/>
    <w:rsid w:val="00DF1229"/>
    <w:rsid w:val="00DF123B"/>
    <w:rsid w:val="00DF128E"/>
    <w:rsid w:val="00DF12C4"/>
    <w:rsid w:val="00DF12E5"/>
    <w:rsid w:val="00DF12EA"/>
    <w:rsid w:val="00DF1306"/>
    <w:rsid w:val="00DF1315"/>
    <w:rsid w:val="00DF1322"/>
    <w:rsid w:val="00DF132A"/>
    <w:rsid w:val="00DF133A"/>
    <w:rsid w:val="00DF136F"/>
    <w:rsid w:val="00DF13B9"/>
    <w:rsid w:val="00DF13FE"/>
    <w:rsid w:val="00DF140E"/>
    <w:rsid w:val="00DF1413"/>
    <w:rsid w:val="00DF1425"/>
    <w:rsid w:val="00DF1441"/>
    <w:rsid w:val="00DF1466"/>
    <w:rsid w:val="00DF1470"/>
    <w:rsid w:val="00DF14B4"/>
    <w:rsid w:val="00DF14B5"/>
    <w:rsid w:val="00DF14BA"/>
    <w:rsid w:val="00DF14E7"/>
    <w:rsid w:val="00DF1567"/>
    <w:rsid w:val="00DF157F"/>
    <w:rsid w:val="00DF1591"/>
    <w:rsid w:val="00DF15D9"/>
    <w:rsid w:val="00DF15F7"/>
    <w:rsid w:val="00DF1632"/>
    <w:rsid w:val="00DF1645"/>
    <w:rsid w:val="00DF164F"/>
    <w:rsid w:val="00DF166D"/>
    <w:rsid w:val="00DF167F"/>
    <w:rsid w:val="00DF16B9"/>
    <w:rsid w:val="00DF16CA"/>
    <w:rsid w:val="00DF16CE"/>
    <w:rsid w:val="00DF16D7"/>
    <w:rsid w:val="00DF16F7"/>
    <w:rsid w:val="00DF1701"/>
    <w:rsid w:val="00DF1702"/>
    <w:rsid w:val="00DF1712"/>
    <w:rsid w:val="00DF1743"/>
    <w:rsid w:val="00DF1746"/>
    <w:rsid w:val="00DF1771"/>
    <w:rsid w:val="00DF177F"/>
    <w:rsid w:val="00DF17A4"/>
    <w:rsid w:val="00DF17B9"/>
    <w:rsid w:val="00DF17C0"/>
    <w:rsid w:val="00DF17D6"/>
    <w:rsid w:val="00DF17F7"/>
    <w:rsid w:val="00DF184E"/>
    <w:rsid w:val="00DF18E3"/>
    <w:rsid w:val="00DF1974"/>
    <w:rsid w:val="00DF1994"/>
    <w:rsid w:val="00DF19AA"/>
    <w:rsid w:val="00DF19AF"/>
    <w:rsid w:val="00DF1A1E"/>
    <w:rsid w:val="00DF1A34"/>
    <w:rsid w:val="00DF1AA4"/>
    <w:rsid w:val="00DF1AAC"/>
    <w:rsid w:val="00DF1ACD"/>
    <w:rsid w:val="00DF1ADD"/>
    <w:rsid w:val="00DF1AF3"/>
    <w:rsid w:val="00DF1AF9"/>
    <w:rsid w:val="00DF1AFD"/>
    <w:rsid w:val="00DF1B36"/>
    <w:rsid w:val="00DF1B84"/>
    <w:rsid w:val="00DF1B95"/>
    <w:rsid w:val="00DF1BF7"/>
    <w:rsid w:val="00DF1C18"/>
    <w:rsid w:val="00DF1C9B"/>
    <w:rsid w:val="00DF1CA7"/>
    <w:rsid w:val="00DF1CB1"/>
    <w:rsid w:val="00DF1CB9"/>
    <w:rsid w:val="00DF1CDA"/>
    <w:rsid w:val="00DF1CDD"/>
    <w:rsid w:val="00DF1CDE"/>
    <w:rsid w:val="00DF1D42"/>
    <w:rsid w:val="00DF1D5F"/>
    <w:rsid w:val="00DF1D6B"/>
    <w:rsid w:val="00DF1DE6"/>
    <w:rsid w:val="00DF1E18"/>
    <w:rsid w:val="00DF1E39"/>
    <w:rsid w:val="00DF1F20"/>
    <w:rsid w:val="00DF1F2F"/>
    <w:rsid w:val="00DF1F49"/>
    <w:rsid w:val="00DF1F65"/>
    <w:rsid w:val="00DF1F6C"/>
    <w:rsid w:val="00DF1F82"/>
    <w:rsid w:val="00DF1F9E"/>
    <w:rsid w:val="00DF1FA4"/>
    <w:rsid w:val="00DF1FF5"/>
    <w:rsid w:val="00DF2006"/>
    <w:rsid w:val="00DF2047"/>
    <w:rsid w:val="00DF206F"/>
    <w:rsid w:val="00DF2075"/>
    <w:rsid w:val="00DF208F"/>
    <w:rsid w:val="00DF2100"/>
    <w:rsid w:val="00DF213A"/>
    <w:rsid w:val="00DF213C"/>
    <w:rsid w:val="00DF213D"/>
    <w:rsid w:val="00DF216B"/>
    <w:rsid w:val="00DF21C0"/>
    <w:rsid w:val="00DF21CC"/>
    <w:rsid w:val="00DF21CD"/>
    <w:rsid w:val="00DF21FD"/>
    <w:rsid w:val="00DF2223"/>
    <w:rsid w:val="00DF226E"/>
    <w:rsid w:val="00DF2285"/>
    <w:rsid w:val="00DF228E"/>
    <w:rsid w:val="00DF229F"/>
    <w:rsid w:val="00DF22CC"/>
    <w:rsid w:val="00DF22DA"/>
    <w:rsid w:val="00DF22F4"/>
    <w:rsid w:val="00DF2324"/>
    <w:rsid w:val="00DF23AC"/>
    <w:rsid w:val="00DF23CF"/>
    <w:rsid w:val="00DF23F1"/>
    <w:rsid w:val="00DF243E"/>
    <w:rsid w:val="00DF245E"/>
    <w:rsid w:val="00DF247D"/>
    <w:rsid w:val="00DF2482"/>
    <w:rsid w:val="00DF2496"/>
    <w:rsid w:val="00DF249A"/>
    <w:rsid w:val="00DF249D"/>
    <w:rsid w:val="00DF24D5"/>
    <w:rsid w:val="00DF2517"/>
    <w:rsid w:val="00DF2523"/>
    <w:rsid w:val="00DF253C"/>
    <w:rsid w:val="00DF2573"/>
    <w:rsid w:val="00DF257F"/>
    <w:rsid w:val="00DF2584"/>
    <w:rsid w:val="00DF258B"/>
    <w:rsid w:val="00DF25BC"/>
    <w:rsid w:val="00DF25CC"/>
    <w:rsid w:val="00DF25DA"/>
    <w:rsid w:val="00DF25FF"/>
    <w:rsid w:val="00DF2616"/>
    <w:rsid w:val="00DF261D"/>
    <w:rsid w:val="00DF262C"/>
    <w:rsid w:val="00DF267B"/>
    <w:rsid w:val="00DF26A9"/>
    <w:rsid w:val="00DF26C6"/>
    <w:rsid w:val="00DF26C9"/>
    <w:rsid w:val="00DF26D5"/>
    <w:rsid w:val="00DF26E6"/>
    <w:rsid w:val="00DF26F4"/>
    <w:rsid w:val="00DF26FC"/>
    <w:rsid w:val="00DF270C"/>
    <w:rsid w:val="00DF275E"/>
    <w:rsid w:val="00DF27BA"/>
    <w:rsid w:val="00DF27CB"/>
    <w:rsid w:val="00DF27D6"/>
    <w:rsid w:val="00DF27E0"/>
    <w:rsid w:val="00DF27ED"/>
    <w:rsid w:val="00DF27F8"/>
    <w:rsid w:val="00DF2800"/>
    <w:rsid w:val="00DF2802"/>
    <w:rsid w:val="00DF287C"/>
    <w:rsid w:val="00DF2894"/>
    <w:rsid w:val="00DF28A1"/>
    <w:rsid w:val="00DF28C0"/>
    <w:rsid w:val="00DF28C4"/>
    <w:rsid w:val="00DF28E8"/>
    <w:rsid w:val="00DF2910"/>
    <w:rsid w:val="00DF293A"/>
    <w:rsid w:val="00DF293F"/>
    <w:rsid w:val="00DF29DA"/>
    <w:rsid w:val="00DF2A1A"/>
    <w:rsid w:val="00DF2A40"/>
    <w:rsid w:val="00DF2A4D"/>
    <w:rsid w:val="00DF2A70"/>
    <w:rsid w:val="00DF2A72"/>
    <w:rsid w:val="00DF2A8A"/>
    <w:rsid w:val="00DF2A97"/>
    <w:rsid w:val="00DF2A9D"/>
    <w:rsid w:val="00DF2ABE"/>
    <w:rsid w:val="00DF2AE0"/>
    <w:rsid w:val="00DF2AF0"/>
    <w:rsid w:val="00DF2B44"/>
    <w:rsid w:val="00DF2B89"/>
    <w:rsid w:val="00DF2BAC"/>
    <w:rsid w:val="00DF2BC3"/>
    <w:rsid w:val="00DF2BF1"/>
    <w:rsid w:val="00DF2C0C"/>
    <w:rsid w:val="00DF2C1B"/>
    <w:rsid w:val="00DF2C20"/>
    <w:rsid w:val="00DF2C5A"/>
    <w:rsid w:val="00DF2C5D"/>
    <w:rsid w:val="00DF2CF4"/>
    <w:rsid w:val="00DF2D2E"/>
    <w:rsid w:val="00DF2D4B"/>
    <w:rsid w:val="00DF2D53"/>
    <w:rsid w:val="00DF2D85"/>
    <w:rsid w:val="00DF2DBC"/>
    <w:rsid w:val="00DF2DD7"/>
    <w:rsid w:val="00DF2EAF"/>
    <w:rsid w:val="00DF2EB2"/>
    <w:rsid w:val="00DF2EBD"/>
    <w:rsid w:val="00DF2EE6"/>
    <w:rsid w:val="00DF2F1A"/>
    <w:rsid w:val="00DF2F32"/>
    <w:rsid w:val="00DF2F5C"/>
    <w:rsid w:val="00DF2F6F"/>
    <w:rsid w:val="00DF2F7A"/>
    <w:rsid w:val="00DF2F83"/>
    <w:rsid w:val="00DF2FE2"/>
    <w:rsid w:val="00DF3043"/>
    <w:rsid w:val="00DF3063"/>
    <w:rsid w:val="00DF3082"/>
    <w:rsid w:val="00DF30C0"/>
    <w:rsid w:val="00DF30FF"/>
    <w:rsid w:val="00DF3110"/>
    <w:rsid w:val="00DF3150"/>
    <w:rsid w:val="00DF3154"/>
    <w:rsid w:val="00DF31F7"/>
    <w:rsid w:val="00DF3226"/>
    <w:rsid w:val="00DF324C"/>
    <w:rsid w:val="00DF32A0"/>
    <w:rsid w:val="00DF32BC"/>
    <w:rsid w:val="00DF32C8"/>
    <w:rsid w:val="00DF32EF"/>
    <w:rsid w:val="00DF3310"/>
    <w:rsid w:val="00DF333F"/>
    <w:rsid w:val="00DF3353"/>
    <w:rsid w:val="00DF336A"/>
    <w:rsid w:val="00DF336E"/>
    <w:rsid w:val="00DF3385"/>
    <w:rsid w:val="00DF33A7"/>
    <w:rsid w:val="00DF33B1"/>
    <w:rsid w:val="00DF33D6"/>
    <w:rsid w:val="00DF343B"/>
    <w:rsid w:val="00DF3444"/>
    <w:rsid w:val="00DF345D"/>
    <w:rsid w:val="00DF34A3"/>
    <w:rsid w:val="00DF34A4"/>
    <w:rsid w:val="00DF34EF"/>
    <w:rsid w:val="00DF34F1"/>
    <w:rsid w:val="00DF3508"/>
    <w:rsid w:val="00DF3519"/>
    <w:rsid w:val="00DF3567"/>
    <w:rsid w:val="00DF35D9"/>
    <w:rsid w:val="00DF35F8"/>
    <w:rsid w:val="00DF35F9"/>
    <w:rsid w:val="00DF3653"/>
    <w:rsid w:val="00DF3654"/>
    <w:rsid w:val="00DF366A"/>
    <w:rsid w:val="00DF3696"/>
    <w:rsid w:val="00DF36BA"/>
    <w:rsid w:val="00DF3738"/>
    <w:rsid w:val="00DF3748"/>
    <w:rsid w:val="00DF376B"/>
    <w:rsid w:val="00DF378F"/>
    <w:rsid w:val="00DF37A1"/>
    <w:rsid w:val="00DF37F3"/>
    <w:rsid w:val="00DF3812"/>
    <w:rsid w:val="00DF382D"/>
    <w:rsid w:val="00DF3854"/>
    <w:rsid w:val="00DF386F"/>
    <w:rsid w:val="00DF3891"/>
    <w:rsid w:val="00DF38B0"/>
    <w:rsid w:val="00DF38C5"/>
    <w:rsid w:val="00DF38F3"/>
    <w:rsid w:val="00DF38F8"/>
    <w:rsid w:val="00DF3916"/>
    <w:rsid w:val="00DF3952"/>
    <w:rsid w:val="00DF3954"/>
    <w:rsid w:val="00DF3993"/>
    <w:rsid w:val="00DF39A8"/>
    <w:rsid w:val="00DF39DB"/>
    <w:rsid w:val="00DF39ED"/>
    <w:rsid w:val="00DF3A02"/>
    <w:rsid w:val="00DF3A19"/>
    <w:rsid w:val="00DF3A22"/>
    <w:rsid w:val="00DF3A4E"/>
    <w:rsid w:val="00DF3AD5"/>
    <w:rsid w:val="00DF3B1D"/>
    <w:rsid w:val="00DF3B26"/>
    <w:rsid w:val="00DF3B43"/>
    <w:rsid w:val="00DF3B7A"/>
    <w:rsid w:val="00DF3B85"/>
    <w:rsid w:val="00DF3B94"/>
    <w:rsid w:val="00DF3C2C"/>
    <w:rsid w:val="00DF3CFC"/>
    <w:rsid w:val="00DF3D18"/>
    <w:rsid w:val="00DF3D83"/>
    <w:rsid w:val="00DF3DA4"/>
    <w:rsid w:val="00DF3DB5"/>
    <w:rsid w:val="00DF3DD2"/>
    <w:rsid w:val="00DF3DDB"/>
    <w:rsid w:val="00DF3DED"/>
    <w:rsid w:val="00DF3DEE"/>
    <w:rsid w:val="00DF3E00"/>
    <w:rsid w:val="00DF3E02"/>
    <w:rsid w:val="00DF3E10"/>
    <w:rsid w:val="00DF3E12"/>
    <w:rsid w:val="00DF3E17"/>
    <w:rsid w:val="00DF3E49"/>
    <w:rsid w:val="00DF3E5A"/>
    <w:rsid w:val="00DF3E62"/>
    <w:rsid w:val="00DF3EED"/>
    <w:rsid w:val="00DF3F06"/>
    <w:rsid w:val="00DF3F07"/>
    <w:rsid w:val="00DF3F33"/>
    <w:rsid w:val="00DF3F3A"/>
    <w:rsid w:val="00DF3F4D"/>
    <w:rsid w:val="00DF3F75"/>
    <w:rsid w:val="00DF3FD5"/>
    <w:rsid w:val="00DF3FD8"/>
    <w:rsid w:val="00DF4016"/>
    <w:rsid w:val="00DF402F"/>
    <w:rsid w:val="00DF4062"/>
    <w:rsid w:val="00DF40D9"/>
    <w:rsid w:val="00DF40FD"/>
    <w:rsid w:val="00DF4166"/>
    <w:rsid w:val="00DF4176"/>
    <w:rsid w:val="00DF417C"/>
    <w:rsid w:val="00DF41B1"/>
    <w:rsid w:val="00DF4234"/>
    <w:rsid w:val="00DF4271"/>
    <w:rsid w:val="00DF42BC"/>
    <w:rsid w:val="00DF42C5"/>
    <w:rsid w:val="00DF42F5"/>
    <w:rsid w:val="00DF430D"/>
    <w:rsid w:val="00DF431A"/>
    <w:rsid w:val="00DF43A4"/>
    <w:rsid w:val="00DF43A5"/>
    <w:rsid w:val="00DF4468"/>
    <w:rsid w:val="00DF4497"/>
    <w:rsid w:val="00DF4499"/>
    <w:rsid w:val="00DF449B"/>
    <w:rsid w:val="00DF44C6"/>
    <w:rsid w:val="00DF44ED"/>
    <w:rsid w:val="00DF4503"/>
    <w:rsid w:val="00DF4540"/>
    <w:rsid w:val="00DF4544"/>
    <w:rsid w:val="00DF4547"/>
    <w:rsid w:val="00DF4593"/>
    <w:rsid w:val="00DF4595"/>
    <w:rsid w:val="00DF45AA"/>
    <w:rsid w:val="00DF45CD"/>
    <w:rsid w:val="00DF45E4"/>
    <w:rsid w:val="00DF4628"/>
    <w:rsid w:val="00DF4679"/>
    <w:rsid w:val="00DF4688"/>
    <w:rsid w:val="00DF46AF"/>
    <w:rsid w:val="00DF46B7"/>
    <w:rsid w:val="00DF4718"/>
    <w:rsid w:val="00DF477A"/>
    <w:rsid w:val="00DF477C"/>
    <w:rsid w:val="00DF47A9"/>
    <w:rsid w:val="00DF47AC"/>
    <w:rsid w:val="00DF47B6"/>
    <w:rsid w:val="00DF47B7"/>
    <w:rsid w:val="00DF47BD"/>
    <w:rsid w:val="00DF47E5"/>
    <w:rsid w:val="00DF47FF"/>
    <w:rsid w:val="00DF4803"/>
    <w:rsid w:val="00DF4804"/>
    <w:rsid w:val="00DF486A"/>
    <w:rsid w:val="00DF48AE"/>
    <w:rsid w:val="00DF48FB"/>
    <w:rsid w:val="00DF4921"/>
    <w:rsid w:val="00DF492D"/>
    <w:rsid w:val="00DF4935"/>
    <w:rsid w:val="00DF4992"/>
    <w:rsid w:val="00DF49EB"/>
    <w:rsid w:val="00DF49FC"/>
    <w:rsid w:val="00DF4A2E"/>
    <w:rsid w:val="00DF4A3F"/>
    <w:rsid w:val="00DF4A5A"/>
    <w:rsid w:val="00DF4A6E"/>
    <w:rsid w:val="00DF4A86"/>
    <w:rsid w:val="00DF4A8A"/>
    <w:rsid w:val="00DF4A9C"/>
    <w:rsid w:val="00DF4AAC"/>
    <w:rsid w:val="00DF4B30"/>
    <w:rsid w:val="00DF4B4E"/>
    <w:rsid w:val="00DF4B72"/>
    <w:rsid w:val="00DF4B74"/>
    <w:rsid w:val="00DF4BBD"/>
    <w:rsid w:val="00DF4BCC"/>
    <w:rsid w:val="00DF4BE3"/>
    <w:rsid w:val="00DF4BFD"/>
    <w:rsid w:val="00DF4C6B"/>
    <w:rsid w:val="00DF4C71"/>
    <w:rsid w:val="00DF4C92"/>
    <w:rsid w:val="00DF4C97"/>
    <w:rsid w:val="00DF4C9A"/>
    <w:rsid w:val="00DF4C9F"/>
    <w:rsid w:val="00DF4CCF"/>
    <w:rsid w:val="00DF4CEC"/>
    <w:rsid w:val="00DF4D40"/>
    <w:rsid w:val="00DF4D7A"/>
    <w:rsid w:val="00DF4D9F"/>
    <w:rsid w:val="00DF4DBF"/>
    <w:rsid w:val="00DF4DC1"/>
    <w:rsid w:val="00DF4DDE"/>
    <w:rsid w:val="00DF4DE9"/>
    <w:rsid w:val="00DF4DF0"/>
    <w:rsid w:val="00DF4E2D"/>
    <w:rsid w:val="00DF4F0D"/>
    <w:rsid w:val="00DF4FFB"/>
    <w:rsid w:val="00DF504B"/>
    <w:rsid w:val="00DF5076"/>
    <w:rsid w:val="00DF509C"/>
    <w:rsid w:val="00DF50D9"/>
    <w:rsid w:val="00DF5128"/>
    <w:rsid w:val="00DF5168"/>
    <w:rsid w:val="00DF517B"/>
    <w:rsid w:val="00DF51BF"/>
    <w:rsid w:val="00DF51D2"/>
    <w:rsid w:val="00DF51D3"/>
    <w:rsid w:val="00DF5252"/>
    <w:rsid w:val="00DF526C"/>
    <w:rsid w:val="00DF528A"/>
    <w:rsid w:val="00DF52A0"/>
    <w:rsid w:val="00DF5343"/>
    <w:rsid w:val="00DF5385"/>
    <w:rsid w:val="00DF539B"/>
    <w:rsid w:val="00DF53F3"/>
    <w:rsid w:val="00DF5424"/>
    <w:rsid w:val="00DF547C"/>
    <w:rsid w:val="00DF54A5"/>
    <w:rsid w:val="00DF54B2"/>
    <w:rsid w:val="00DF54D1"/>
    <w:rsid w:val="00DF5502"/>
    <w:rsid w:val="00DF5510"/>
    <w:rsid w:val="00DF553C"/>
    <w:rsid w:val="00DF5564"/>
    <w:rsid w:val="00DF5585"/>
    <w:rsid w:val="00DF55C8"/>
    <w:rsid w:val="00DF55E5"/>
    <w:rsid w:val="00DF55EA"/>
    <w:rsid w:val="00DF5683"/>
    <w:rsid w:val="00DF5688"/>
    <w:rsid w:val="00DF570B"/>
    <w:rsid w:val="00DF5738"/>
    <w:rsid w:val="00DF5768"/>
    <w:rsid w:val="00DF576A"/>
    <w:rsid w:val="00DF57B6"/>
    <w:rsid w:val="00DF57D0"/>
    <w:rsid w:val="00DF57F5"/>
    <w:rsid w:val="00DF5860"/>
    <w:rsid w:val="00DF586B"/>
    <w:rsid w:val="00DF5878"/>
    <w:rsid w:val="00DF58C7"/>
    <w:rsid w:val="00DF58E4"/>
    <w:rsid w:val="00DF58ED"/>
    <w:rsid w:val="00DF5900"/>
    <w:rsid w:val="00DF593D"/>
    <w:rsid w:val="00DF5981"/>
    <w:rsid w:val="00DF59D1"/>
    <w:rsid w:val="00DF59FE"/>
    <w:rsid w:val="00DF5A1B"/>
    <w:rsid w:val="00DF5A1C"/>
    <w:rsid w:val="00DF5A42"/>
    <w:rsid w:val="00DF5A6D"/>
    <w:rsid w:val="00DF5A7C"/>
    <w:rsid w:val="00DF5AA3"/>
    <w:rsid w:val="00DF5AC5"/>
    <w:rsid w:val="00DF5ADE"/>
    <w:rsid w:val="00DF5AF1"/>
    <w:rsid w:val="00DF5B36"/>
    <w:rsid w:val="00DF5B5C"/>
    <w:rsid w:val="00DF5B69"/>
    <w:rsid w:val="00DF5BCE"/>
    <w:rsid w:val="00DF5BD5"/>
    <w:rsid w:val="00DF5BDE"/>
    <w:rsid w:val="00DF5BDF"/>
    <w:rsid w:val="00DF5C4C"/>
    <w:rsid w:val="00DF5C52"/>
    <w:rsid w:val="00DF5C59"/>
    <w:rsid w:val="00DF5C7B"/>
    <w:rsid w:val="00DF5C7E"/>
    <w:rsid w:val="00DF5C93"/>
    <w:rsid w:val="00DF5CDF"/>
    <w:rsid w:val="00DF5CE3"/>
    <w:rsid w:val="00DF5D2B"/>
    <w:rsid w:val="00DF5D45"/>
    <w:rsid w:val="00DF5D5D"/>
    <w:rsid w:val="00DF5E38"/>
    <w:rsid w:val="00DF5E6C"/>
    <w:rsid w:val="00DF5E8D"/>
    <w:rsid w:val="00DF5E96"/>
    <w:rsid w:val="00DF5EBA"/>
    <w:rsid w:val="00DF5EC3"/>
    <w:rsid w:val="00DF5ED2"/>
    <w:rsid w:val="00DF5ED7"/>
    <w:rsid w:val="00DF5EF1"/>
    <w:rsid w:val="00DF5F08"/>
    <w:rsid w:val="00DF5F30"/>
    <w:rsid w:val="00DF5F78"/>
    <w:rsid w:val="00DF5F8F"/>
    <w:rsid w:val="00DF5FC9"/>
    <w:rsid w:val="00DF5FEF"/>
    <w:rsid w:val="00DF603F"/>
    <w:rsid w:val="00DF607D"/>
    <w:rsid w:val="00DF609D"/>
    <w:rsid w:val="00DF60BA"/>
    <w:rsid w:val="00DF60E2"/>
    <w:rsid w:val="00DF60E3"/>
    <w:rsid w:val="00DF6114"/>
    <w:rsid w:val="00DF612E"/>
    <w:rsid w:val="00DF6147"/>
    <w:rsid w:val="00DF61A9"/>
    <w:rsid w:val="00DF61B1"/>
    <w:rsid w:val="00DF6226"/>
    <w:rsid w:val="00DF624A"/>
    <w:rsid w:val="00DF62C6"/>
    <w:rsid w:val="00DF62FB"/>
    <w:rsid w:val="00DF6324"/>
    <w:rsid w:val="00DF6327"/>
    <w:rsid w:val="00DF6372"/>
    <w:rsid w:val="00DF63B8"/>
    <w:rsid w:val="00DF63F0"/>
    <w:rsid w:val="00DF6432"/>
    <w:rsid w:val="00DF6459"/>
    <w:rsid w:val="00DF64CD"/>
    <w:rsid w:val="00DF652E"/>
    <w:rsid w:val="00DF6569"/>
    <w:rsid w:val="00DF657E"/>
    <w:rsid w:val="00DF65AA"/>
    <w:rsid w:val="00DF65B2"/>
    <w:rsid w:val="00DF65CE"/>
    <w:rsid w:val="00DF65D4"/>
    <w:rsid w:val="00DF6604"/>
    <w:rsid w:val="00DF661C"/>
    <w:rsid w:val="00DF66AD"/>
    <w:rsid w:val="00DF66C8"/>
    <w:rsid w:val="00DF6734"/>
    <w:rsid w:val="00DF6748"/>
    <w:rsid w:val="00DF67B0"/>
    <w:rsid w:val="00DF67C4"/>
    <w:rsid w:val="00DF67CD"/>
    <w:rsid w:val="00DF67E0"/>
    <w:rsid w:val="00DF67FA"/>
    <w:rsid w:val="00DF6809"/>
    <w:rsid w:val="00DF6826"/>
    <w:rsid w:val="00DF68A0"/>
    <w:rsid w:val="00DF68A8"/>
    <w:rsid w:val="00DF691E"/>
    <w:rsid w:val="00DF6993"/>
    <w:rsid w:val="00DF6998"/>
    <w:rsid w:val="00DF6999"/>
    <w:rsid w:val="00DF699B"/>
    <w:rsid w:val="00DF69E7"/>
    <w:rsid w:val="00DF6A0A"/>
    <w:rsid w:val="00DF6A17"/>
    <w:rsid w:val="00DF6A60"/>
    <w:rsid w:val="00DF6AA5"/>
    <w:rsid w:val="00DF6B19"/>
    <w:rsid w:val="00DF6B65"/>
    <w:rsid w:val="00DF6B89"/>
    <w:rsid w:val="00DF6BAF"/>
    <w:rsid w:val="00DF6BBD"/>
    <w:rsid w:val="00DF6BCC"/>
    <w:rsid w:val="00DF6BDB"/>
    <w:rsid w:val="00DF6BFF"/>
    <w:rsid w:val="00DF6C2F"/>
    <w:rsid w:val="00DF6C49"/>
    <w:rsid w:val="00DF6C50"/>
    <w:rsid w:val="00DF6C54"/>
    <w:rsid w:val="00DF6CA0"/>
    <w:rsid w:val="00DF6CE2"/>
    <w:rsid w:val="00DF6CFA"/>
    <w:rsid w:val="00DF6CFB"/>
    <w:rsid w:val="00DF6D0A"/>
    <w:rsid w:val="00DF6D39"/>
    <w:rsid w:val="00DF6D48"/>
    <w:rsid w:val="00DF6D56"/>
    <w:rsid w:val="00DF6D63"/>
    <w:rsid w:val="00DF6D86"/>
    <w:rsid w:val="00DF6DFF"/>
    <w:rsid w:val="00DF6E01"/>
    <w:rsid w:val="00DF6E0A"/>
    <w:rsid w:val="00DF6E70"/>
    <w:rsid w:val="00DF6EA4"/>
    <w:rsid w:val="00DF6EAC"/>
    <w:rsid w:val="00DF6EDB"/>
    <w:rsid w:val="00DF6F57"/>
    <w:rsid w:val="00DF6FA8"/>
    <w:rsid w:val="00DF6FCA"/>
    <w:rsid w:val="00DF6FE6"/>
    <w:rsid w:val="00DF7010"/>
    <w:rsid w:val="00DF70A0"/>
    <w:rsid w:val="00DF70A9"/>
    <w:rsid w:val="00DF70C8"/>
    <w:rsid w:val="00DF7134"/>
    <w:rsid w:val="00DF719D"/>
    <w:rsid w:val="00DF71E6"/>
    <w:rsid w:val="00DF720A"/>
    <w:rsid w:val="00DF720B"/>
    <w:rsid w:val="00DF7232"/>
    <w:rsid w:val="00DF7243"/>
    <w:rsid w:val="00DF72BE"/>
    <w:rsid w:val="00DF72D7"/>
    <w:rsid w:val="00DF72DF"/>
    <w:rsid w:val="00DF730E"/>
    <w:rsid w:val="00DF730F"/>
    <w:rsid w:val="00DF7313"/>
    <w:rsid w:val="00DF735B"/>
    <w:rsid w:val="00DF7362"/>
    <w:rsid w:val="00DF7373"/>
    <w:rsid w:val="00DF7375"/>
    <w:rsid w:val="00DF73BE"/>
    <w:rsid w:val="00DF741B"/>
    <w:rsid w:val="00DF7435"/>
    <w:rsid w:val="00DF744C"/>
    <w:rsid w:val="00DF7458"/>
    <w:rsid w:val="00DF745C"/>
    <w:rsid w:val="00DF74AC"/>
    <w:rsid w:val="00DF74AE"/>
    <w:rsid w:val="00DF74B2"/>
    <w:rsid w:val="00DF74BD"/>
    <w:rsid w:val="00DF74F6"/>
    <w:rsid w:val="00DF74FC"/>
    <w:rsid w:val="00DF750D"/>
    <w:rsid w:val="00DF7525"/>
    <w:rsid w:val="00DF7541"/>
    <w:rsid w:val="00DF75B2"/>
    <w:rsid w:val="00DF75C1"/>
    <w:rsid w:val="00DF75DD"/>
    <w:rsid w:val="00DF768D"/>
    <w:rsid w:val="00DF76C0"/>
    <w:rsid w:val="00DF76C7"/>
    <w:rsid w:val="00DF76E9"/>
    <w:rsid w:val="00DF76EA"/>
    <w:rsid w:val="00DF7725"/>
    <w:rsid w:val="00DF7730"/>
    <w:rsid w:val="00DF775E"/>
    <w:rsid w:val="00DF7770"/>
    <w:rsid w:val="00DF7771"/>
    <w:rsid w:val="00DF778B"/>
    <w:rsid w:val="00DF77C3"/>
    <w:rsid w:val="00DF77DA"/>
    <w:rsid w:val="00DF77EA"/>
    <w:rsid w:val="00DF77F8"/>
    <w:rsid w:val="00DF782C"/>
    <w:rsid w:val="00DF7869"/>
    <w:rsid w:val="00DF7882"/>
    <w:rsid w:val="00DF7896"/>
    <w:rsid w:val="00DF7898"/>
    <w:rsid w:val="00DF78A3"/>
    <w:rsid w:val="00DF78DE"/>
    <w:rsid w:val="00DF78F3"/>
    <w:rsid w:val="00DF792B"/>
    <w:rsid w:val="00DF7951"/>
    <w:rsid w:val="00DF7989"/>
    <w:rsid w:val="00DF7992"/>
    <w:rsid w:val="00DF79B0"/>
    <w:rsid w:val="00DF79BD"/>
    <w:rsid w:val="00DF79CF"/>
    <w:rsid w:val="00DF7A06"/>
    <w:rsid w:val="00DF7A2F"/>
    <w:rsid w:val="00DF7A42"/>
    <w:rsid w:val="00DF7A5D"/>
    <w:rsid w:val="00DF7A77"/>
    <w:rsid w:val="00DF7AE8"/>
    <w:rsid w:val="00DF7AFB"/>
    <w:rsid w:val="00DF7B04"/>
    <w:rsid w:val="00DF7B1C"/>
    <w:rsid w:val="00DF7B54"/>
    <w:rsid w:val="00DF7B93"/>
    <w:rsid w:val="00DF7BA6"/>
    <w:rsid w:val="00DF7BCD"/>
    <w:rsid w:val="00DF7BD0"/>
    <w:rsid w:val="00DF7BD1"/>
    <w:rsid w:val="00DF7C02"/>
    <w:rsid w:val="00DF7C17"/>
    <w:rsid w:val="00DF7C39"/>
    <w:rsid w:val="00DF7C56"/>
    <w:rsid w:val="00DF7CCA"/>
    <w:rsid w:val="00DF7D14"/>
    <w:rsid w:val="00DF7D29"/>
    <w:rsid w:val="00DF7D54"/>
    <w:rsid w:val="00DF7DBA"/>
    <w:rsid w:val="00DF7DD2"/>
    <w:rsid w:val="00DF7E06"/>
    <w:rsid w:val="00DF7E54"/>
    <w:rsid w:val="00DF7E99"/>
    <w:rsid w:val="00DF7E9B"/>
    <w:rsid w:val="00DF7E9C"/>
    <w:rsid w:val="00DF7EB1"/>
    <w:rsid w:val="00DF7ECB"/>
    <w:rsid w:val="00DF7EE6"/>
    <w:rsid w:val="00DF7F18"/>
    <w:rsid w:val="00DF7F75"/>
    <w:rsid w:val="00DF7F8C"/>
    <w:rsid w:val="00DF7F94"/>
    <w:rsid w:val="00DF7FB4"/>
    <w:rsid w:val="00DF7FBD"/>
    <w:rsid w:val="00DF7FEC"/>
    <w:rsid w:val="00DF7FFE"/>
    <w:rsid w:val="00E00065"/>
    <w:rsid w:val="00E0006D"/>
    <w:rsid w:val="00E00080"/>
    <w:rsid w:val="00E000A2"/>
    <w:rsid w:val="00E000C7"/>
    <w:rsid w:val="00E00129"/>
    <w:rsid w:val="00E0024F"/>
    <w:rsid w:val="00E00293"/>
    <w:rsid w:val="00E002DD"/>
    <w:rsid w:val="00E002E5"/>
    <w:rsid w:val="00E002FF"/>
    <w:rsid w:val="00E0035E"/>
    <w:rsid w:val="00E00387"/>
    <w:rsid w:val="00E003B6"/>
    <w:rsid w:val="00E003F0"/>
    <w:rsid w:val="00E003F2"/>
    <w:rsid w:val="00E003F3"/>
    <w:rsid w:val="00E00428"/>
    <w:rsid w:val="00E00453"/>
    <w:rsid w:val="00E00454"/>
    <w:rsid w:val="00E00460"/>
    <w:rsid w:val="00E00474"/>
    <w:rsid w:val="00E00481"/>
    <w:rsid w:val="00E0048A"/>
    <w:rsid w:val="00E004A9"/>
    <w:rsid w:val="00E004B5"/>
    <w:rsid w:val="00E004C5"/>
    <w:rsid w:val="00E004C8"/>
    <w:rsid w:val="00E004DC"/>
    <w:rsid w:val="00E004F2"/>
    <w:rsid w:val="00E004FF"/>
    <w:rsid w:val="00E00511"/>
    <w:rsid w:val="00E00516"/>
    <w:rsid w:val="00E0051F"/>
    <w:rsid w:val="00E00553"/>
    <w:rsid w:val="00E0055E"/>
    <w:rsid w:val="00E00586"/>
    <w:rsid w:val="00E005A3"/>
    <w:rsid w:val="00E005D7"/>
    <w:rsid w:val="00E005EB"/>
    <w:rsid w:val="00E005F8"/>
    <w:rsid w:val="00E0062C"/>
    <w:rsid w:val="00E0063F"/>
    <w:rsid w:val="00E00674"/>
    <w:rsid w:val="00E00679"/>
    <w:rsid w:val="00E006FF"/>
    <w:rsid w:val="00E0075B"/>
    <w:rsid w:val="00E0078D"/>
    <w:rsid w:val="00E00796"/>
    <w:rsid w:val="00E007CE"/>
    <w:rsid w:val="00E00822"/>
    <w:rsid w:val="00E00884"/>
    <w:rsid w:val="00E008BC"/>
    <w:rsid w:val="00E008D9"/>
    <w:rsid w:val="00E008FA"/>
    <w:rsid w:val="00E00909"/>
    <w:rsid w:val="00E0091E"/>
    <w:rsid w:val="00E00971"/>
    <w:rsid w:val="00E00991"/>
    <w:rsid w:val="00E00A07"/>
    <w:rsid w:val="00E00A3C"/>
    <w:rsid w:val="00E00A9A"/>
    <w:rsid w:val="00E00AB3"/>
    <w:rsid w:val="00E00ACF"/>
    <w:rsid w:val="00E00AD0"/>
    <w:rsid w:val="00E00AE8"/>
    <w:rsid w:val="00E00B14"/>
    <w:rsid w:val="00E00B2F"/>
    <w:rsid w:val="00E00B43"/>
    <w:rsid w:val="00E00B46"/>
    <w:rsid w:val="00E00B73"/>
    <w:rsid w:val="00E00BC6"/>
    <w:rsid w:val="00E00BCF"/>
    <w:rsid w:val="00E00BD1"/>
    <w:rsid w:val="00E00BD9"/>
    <w:rsid w:val="00E00C22"/>
    <w:rsid w:val="00E00C2E"/>
    <w:rsid w:val="00E00C44"/>
    <w:rsid w:val="00E00C81"/>
    <w:rsid w:val="00E00C8D"/>
    <w:rsid w:val="00E00CB1"/>
    <w:rsid w:val="00E00CCD"/>
    <w:rsid w:val="00E00CDF"/>
    <w:rsid w:val="00E00CF6"/>
    <w:rsid w:val="00E00D64"/>
    <w:rsid w:val="00E00D71"/>
    <w:rsid w:val="00E00D7C"/>
    <w:rsid w:val="00E00D8D"/>
    <w:rsid w:val="00E00DE2"/>
    <w:rsid w:val="00E00E5E"/>
    <w:rsid w:val="00E00EAC"/>
    <w:rsid w:val="00E00EE7"/>
    <w:rsid w:val="00E00EF9"/>
    <w:rsid w:val="00E00F13"/>
    <w:rsid w:val="00E00F27"/>
    <w:rsid w:val="00E00F29"/>
    <w:rsid w:val="00E00F2B"/>
    <w:rsid w:val="00E00F91"/>
    <w:rsid w:val="00E00F96"/>
    <w:rsid w:val="00E00FAF"/>
    <w:rsid w:val="00E00FE3"/>
    <w:rsid w:val="00E00FFB"/>
    <w:rsid w:val="00E01036"/>
    <w:rsid w:val="00E01054"/>
    <w:rsid w:val="00E010B0"/>
    <w:rsid w:val="00E010D2"/>
    <w:rsid w:val="00E010EA"/>
    <w:rsid w:val="00E01105"/>
    <w:rsid w:val="00E0112A"/>
    <w:rsid w:val="00E0113A"/>
    <w:rsid w:val="00E01144"/>
    <w:rsid w:val="00E01157"/>
    <w:rsid w:val="00E0116F"/>
    <w:rsid w:val="00E011FE"/>
    <w:rsid w:val="00E01239"/>
    <w:rsid w:val="00E01242"/>
    <w:rsid w:val="00E01266"/>
    <w:rsid w:val="00E012E1"/>
    <w:rsid w:val="00E012EB"/>
    <w:rsid w:val="00E01319"/>
    <w:rsid w:val="00E01321"/>
    <w:rsid w:val="00E0134B"/>
    <w:rsid w:val="00E013AC"/>
    <w:rsid w:val="00E0140D"/>
    <w:rsid w:val="00E0141A"/>
    <w:rsid w:val="00E0144F"/>
    <w:rsid w:val="00E01450"/>
    <w:rsid w:val="00E01452"/>
    <w:rsid w:val="00E0146F"/>
    <w:rsid w:val="00E014AA"/>
    <w:rsid w:val="00E014E6"/>
    <w:rsid w:val="00E0150C"/>
    <w:rsid w:val="00E0155E"/>
    <w:rsid w:val="00E01578"/>
    <w:rsid w:val="00E01598"/>
    <w:rsid w:val="00E015AA"/>
    <w:rsid w:val="00E01604"/>
    <w:rsid w:val="00E01628"/>
    <w:rsid w:val="00E01644"/>
    <w:rsid w:val="00E01649"/>
    <w:rsid w:val="00E01650"/>
    <w:rsid w:val="00E01655"/>
    <w:rsid w:val="00E0168D"/>
    <w:rsid w:val="00E016C6"/>
    <w:rsid w:val="00E016DC"/>
    <w:rsid w:val="00E016DF"/>
    <w:rsid w:val="00E0170F"/>
    <w:rsid w:val="00E0172B"/>
    <w:rsid w:val="00E01744"/>
    <w:rsid w:val="00E01754"/>
    <w:rsid w:val="00E01769"/>
    <w:rsid w:val="00E01799"/>
    <w:rsid w:val="00E017B2"/>
    <w:rsid w:val="00E017CC"/>
    <w:rsid w:val="00E017DE"/>
    <w:rsid w:val="00E0182E"/>
    <w:rsid w:val="00E01831"/>
    <w:rsid w:val="00E01835"/>
    <w:rsid w:val="00E01856"/>
    <w:rsid w:val="00E018B5"/>
    <w:rsid w:val="00E018B8"/>
    <w:rsid w:val="00E018C0"/>
    <w:rsid w:val="00E018E2"/>
    <w:rsid w:val="00E018FC"/>
    <w:rsid w:val="00E018FD"/>
    <w:rsid w:val="00E0190F"/>
    <w:rsid w:val="00E0196A"/>
    <w:rsid w:val="00E01973"/>
    <w:rsid w:val="00E019EA"/>
    <w:rsid w:val="00E01A24"/>
    <w:rsid w:val="00E01A4F"/>
    <w:rsid w:val="00E01AA9"/>
    <w:rsid w:val="00E01AAE"/>
    <w:rsid w:val="00E01ABC"/>
    <w:rsid w:val="00E01B31"/>
    <w:rsid w:val="00E01B41"/>
    <w:rsid w:val="00E01B71"/>
    <w:rsid w:val="00E01B8F"/>
    <w:rsid w:val="00E01BFB"/>
    <w:rsid w:val="00E01C28"/>
    <w:rsid w:val="00E01C46"/>
    <w:rsid w:val="00E01C62"/>
    <w:rsid w:val="00E01CB0"/>
    <w:rsid w:val="00E01CD0"/>
    <w:rsid w:val="00E01D1C"/>
    <w:rsid w:val="00E01D7F"/>
    <w:rsid w:val="00E01D9B"/>
    <w:rsid w:val="00E01E3C"/>
    <w:rsid w:val="00E01E56"/>
    <w:rsid w:val="00E01E69"/>
    <w:rsid w:val="00E01E89"/>
    <w:rsid w:val="00E01EA9"/>
    <w:rsid w:val="00E01EAB"/>
    <w:rsid w:val="00E01EC0"/>
    <w:rsid w:val="00E01F5A"/>
    <w:rsid w:val="00E01F76"/>
    <w:rsid w:val="00E01F9F"/>
    <w:rsid w:val="00E01FEE"/>
    <w:rsid w:val="00E01FF3"/>
    <w:rsid w:val="00E01FF5"/>
    <w:rsid w:val="00E02009"/>
    <w:rsid w:val="00E02015"/>
    <w:rsid w:val="00E02024"/>
    <w:rsid w:val="00E0203F"/>
    <w:rsid w:val="00E0209D"/>
    <w:rsid w:val="00E020C2"/>
    <w:rsid w:val="00E02119"/>
    <w:rsid w:val="00E0213B"/>
    <w:rsid w:val="00E0213E"/>
    <w:rsid w:val="00E0216D"/>
    <w:rsid w:val="00E02190"/>
    <w:rsid w:val="00E021A7"/>
    <w:rsid w:val="00E021B6"/>
    <w:rsid w:val="00E0222B"/>
    <w:rsid w:val="00E02241"/>
    <w:rsid w:val="00E02278"/>
    <w:rsid w:val="00E022B1"/>
    <w:rsid w:val="00E022D5"/>
    <w:rsid w:val="00E022E9"/>
    <w:rsid w:val="00E02345"/>
    <w:rsid w:val="00E0235E"/>
    <w:rsid w:val="00E02360"/>
    <w:rsid w:val="00E02374"/>
    <w:rsid w:val="00E023AC"/>
    <w:rsid w:val="00E023E1"/>
    <w:rsid w:val="00E023F3"/>
    <w:rsid w:val="00E02421"/>
    <w:rsid w:val="00E02427"/>
    <w:rsid w:val="00E02442"/>
    <w:rsid w:val="00E02453"/>
    <w:rsid w:val="00E0245F"/>
    <w:rsid w:val="00E02464"/>
    <w:rsid w:val="00E024CC"/>
    <w:rsid w:val="00E024D3"/>
    <w:rsid w:val="00E024EC"/>
    <w:rsid w:val="00E024FD"/>
    <w:rsid w:val="00E02526"/>
    <w:rsid w:val="00E02529"/>
    <w:rsid w:val="00E0252D"/>
    <w:rsid w:val="00E02575"/>
    <w:rsid w:val="00E0259E"/>
    <w:rsid w:val="00E025AB"/>
    <w:rsid w:val="00E025C9"/>
    <w:rsid w:val="00E025DA"/>
    <w:rsid w:val="00E025E3"/>
    <w:rsid w:val="00E02672"/>
    <w:rsid w:val="00E02679"/>
    <w:rsid w:val="00E0267C"/>
    <w:rsid w:val="00E0267D"/>
    <w:rsid w:val="00E02683"/>
    <w:rsid w:val="00E0269E"/>
    <w:rsid w:val="00E026B0"/>
    <w:rsid w:val="00E026C1"/>
    <w:rsid w:val="00E026C4"/>
    <w:rsid w:val="00E026EA"/>
    <w:rsid w:val="00E0273C"/>
    <w:rsid w:val="00E0274C"/>
    <w:rsid w:val="00E0277F"/>
    <w:rsid w:val="00E02794"/>
    <w:rsid w:val="00E027BA"/>
    <w:rsid w:val="00E027E9"/>
    <w:rsid w:val="00E0282C"/>
    <w:rsid w:val="00E02843"/>
    <w:rsid w:val="00E02875"/>
    <w:rsid w:val="00E0288B"/>
    <w:rsid w:val="00E028D8"/>
    <w:rsid w:val="00E028FE"/>
    <w:rsid w:val="00E02906"/>
    <w:rsid w:val="00E0293E"/>
    <w:rsid w:val="00E0298F"/>
    <w:rsid w:val="00E029B8"/>
    <w:rsid w:val="00E02A68"/>
    <w:rsid w:val="00E02AB7"/>
    <w:rsid w:val="00E02BFB"/>
    <w:rsid w:val="00E02C33"/>
    <w:rsid w:val="00E02C3C"/>
    <w:rsid w:val="00E02C41"/>
    <w:rsid w:val="00E02C5B"/>
    <w:rsid w:val="00E02C71"/>
    <w:rsid w:val="00E02CBC"/>
    <w:rsid w:val="00E02D6D"/>
    <w:rsid w:val="00E02D8D"/>
    <w:rsid w:val="00E02E31"/>
    <w:rsid w:val="00E02E5C"/>
    <w:rsid w:val="00E02EAC"/>
    <w:rsid w:val="00E02F13"/>
    <w:rsid w:val="00E02F1C"/>
    <w:rsid w:val="00E02F6B"/>
    <w:rsid w:val="00E02F73"/>
    <w:rsid w:val="00E02F7C"/>
    <w:rsid w:val="00E02F8F"/>
    <w:rsid w:val="00E02FB1"/>
    <w:rsid w:val="00E03000"/>
    <w:rsid w:val="00E030ED"/>
    <w:rsid w:val="00E03115"/>
    <w:rsid w:val="00E03126"/>
    <w:rsid w:val="00E03137"/>
    <w:rsid w:val="00E03145"/>
    <w:rsid w:val="00E03149"/>
    <w:rsid w:val="00E0314B"/>
    <w:rsid w:val="00E0314C"/>
    <w:rsid w:val="00E03159"/>
    <w:rsid w:val="00E031A4"/>
    <w:rsid w:val="00E031AC"/>
    <w:rsid w:val="00E031B5"/>
    <w:rsid w:val="00E031E4"/>
    <w:rsid w:val="00E03224"/>
    <w:rsid w:val="00E03252"/>
    <w:rsid w:val="00E03285"/>
    <w:rsid w:val="00E032C9"/>
    <w:rsid w:val="00E032CA"/>
    <w:rsid w:val="00E0331C"/>
    <w:rsid w:val="00E03324"/>
    <w:rsid w:val="00E03364"/>
    <w:rsid w:val="00E03380"/>
    <w:rsid w:val="00E03392"/>
    <w:rsid w:val="00E03394"/>
    <w:rsid w:val="00E0339D"/>
    <w:rsid w:val="00E033AF"/>
    <w:rsid w:val="00E033D5"/>
    <w:rsid w:val="00E03418"/>
    <w:rsid w:val="00E0343C"/>
    <w:rsid w:val="00E0343D"/>
    <w:rsid w:val="00E03442"/>
    <w:rsid w:val="00E03455"/>
    <w:rsid w:val="00E03461"/>
    <w:rsid w:val="00E03467"/>
    <w:rsid w:val="00E03471"/>
    <w:rsid w:val="00E034CE"/>
    <w:rsid w:val="00E03515"/>
    <w:rsid w:val="00E0353F"/>
    <w:rsid w:val="00E03555"/>
    <w:rsid w:val="00E03578"/>
    <w:rsid w:val="00E03598"/>
    <w:rsid w:val="00E035E3"/>
    <w:rsid w:val="00E0360D"/>
    <w:rsid w:val="00E0366E"/>
    <w:rsid w:val="00E03687"/>
    <w:rsid w:val="00E036BC"/>
    <w:rsid w:val="00E036EA"/>
    <w:rsid w:val="00E036F5"/>
    <w:rsid w:val="00E0371D"/>
    <w:rsid w:val="00E03776"/>
    <w:rsid w:val="00E0378D"/>
    <w:rsid w:val="00E037B0"/>
    <w:rsid w:val="00E037CE"/>
    <w:rsid w:val="00E037D8"/>
    <w:rsid w:val="00E037F4"/>
    <w:rsid w:val="00E0381D"/>
    <w:rsid w:val="00E03822"/>
    <w:rsid w:val="00E03833"/>
    <w:rsid w:val="00E038BB"/>
    <w:rsid w:val="00E038E7"/>
    <w:rsid w:val="00E038F4"/>
    <w:rsid w:val="00E03937"/>
    <w:rsid w:val="00E03965"/>
    <w:rsid w:val="00E03977"/>
    <w:rsid w:val="00E03982"/>
    <w:rsid w:val="00E03995"/>
    <w:rsid w:val="00E03A37"/>
    <w:rsid w:val="00E03A54"/>
    <w:rsid w:val="00E03A70"/>
    <w:rsid w:val="00E03AB4"/>
    <w:rsid w:val="00E03ABA"/>
    <w:rsid w:val="00E03ACE"/>
    <w:rsid w:val="00E03AD6"/>
    <w:rsid w:val="00E03AEC"/>
    <w:rsid w:val="00E03B00"/>
    <w:rsid w:val="00E03B35"/>
    <w:rsid w:val="00E03B38"/>
    <w:rsid w:val="00E03B51"/>
    <w:rsid w:val="00E03B78"/>
    <w:rsid w:val="00E03B8D"/>
    <w:rsid w:val="00E03BBF"/>
    <w:rsid w:val="00E03C17"/>
    <w:rsid w:val="00E03C28"/>
    <w:rsid w:val="00E03C2B"/>
    <w:rsid w:val="00E03C90"/>
    <w:rsid w:val="00E03C9A"/>
    <w:rsid w:val="00E03CA5"/>
    <w:rsid w:val="00E03CC0"/>
    <w:rsid w:val="00E03CCE"/>
    <w:rsid w:val="00E03D98"/>
    <w:rsid w:val="00E03D99"/>
    <w:rsid w:val="00E03DB6"/>
    <w:rsid w:val="00E03DCE"/>
    <w:rsid w:val="00E03DEF"/>
    <w:rsid w:val="00E03E2D"/>
    <w:rsid w:val="00E03E6E"/>
    <w:rsid w:val="00E03E78"/>
    <w:rsid w:val="00E03E9C"/>
    <w:rsid w:val="00E03EEF"/>
    <w:rsid w:val="00E03F3C"/>
    <w:rsid w:val="00E03F49"/>
    <w:rsid w:val="00E03F60"/>
    <w:rsid w:val="00E03F84"/>
    <w:rsid w:val="00E03FB8"/>
    <w:rsid w:val="00E04013"/>
    <w:rsid w:val="00E0404E"/>
    <w:rsid w:val="00E04080"/>
    <w:rsid w:val="00E04081"/>
    <w:rsid w:val="00E04086"/>
    <w:rsid w:val="00E0410D"/>
    <w:rsid w:val="00E0411F"/>
    <w:rsid w:val="00E0413E"/>
    <w:rsid w:val="00E041E0"/>
    <w:rsid w:val="00E041E1"/>
    <w:rsid w:val="00E04235"/>
    <w:rsid w:val="00E04239"/>
    <w:rsid w:val="00E0423C"/>
    <w:rsid w:val="00E04256"/>
    <w:rsid w:val="00E04292"/>
    <w:rsid w:val="00E0429F"/>
    <w:rsid w:val="00E042AB"/>
    <w:rsid w:val="00E042B4"/>
    <w:rsid w:val="00E04309"/>
    <w:rsid w:val="00E04310"/>
    <w:rsid w:val="00E04311"/>
    <w:rsid w:val="00E04358"/>
    <w:rsid w:val="00E043DB"/>
    <w:rsid w:val="00E043F7"/>
    <w:rsid w:val="00E0440A"/>
    <w:rsid w:val="00E04428"/>
    <w:rsid w:val="00E04438"/>
    <w:rsid w:val="00E0444F"/>
    <w:rsid w:val="00E0449B"/>
    <w:rsid w:val="00E044A5"/>
    <w:rsid w:val="00E044E8"/>
    <w:rsid w:val="00E0454C"/>
    <w:rsid w:val="00E045C5"/>
    <w:rsid w:val="00E04607"/>
    <w:rsid w:val="00E0460B"/>
    <w:rsid w:val="00E0462B"/>
    <w:rsid w:val="00E04638"/>
    <w:rsid w:val="00E0465C"/>
    <w:rsid w:val="00E0466E"/>
    <w:rsid w:val="00E04683"/>
    <w:rsid w:val="00E0468A"/>
    <w:rsid w:val="00E04696"/>
    <w:rsid w:val="00E046B1"/>
    <w:rsid w:val="00E04708"/>
    <w:rsid w:val="00E04780"/>
    <w:rsid w:val="00E04787"/>
    <w:rsid w:val="00E047B8"/>
    <w:rsid w:val="00E047BD"/>
    <w:rsid w:val="00E047D6"/>
    <w:rsid w:val="00E047E1"/>
    <w:rsid w:val="00E047F2"/>
    <w:rsid w:val="00E04809"/>
    <w:rsid w:val="00E04862"/>
    <w:rsid w:val="00E04893"/>
    <w:rsid w:val="00E04898"/>
    <w:rsid w:val="00E0489F"/>
    <w:rsid w:val="00E048D5"/>
    <w:rsid w:val="00E04949"/>
    <w:rsid w:val="00E04991"/>
    <w:rsid w:val="00E049D6"/>
    <w:rsid w:val="00E049EE"/>
    <w:rsid w:val="00E04A09"/>
    <w:rsid w:val="00E04A1A"/>
    <w:rsid w:val="00E04A6D"/>
    <w:rsid w:val="00E04A81"/>
    <w:rsid w:val="00E04AF4"/>
    <w:rsid w:val="00E04B1A"/>
    <w:rsid w:val="00E04B88"/>
    <w:rsid w:val="00E04BAD"/>
    <w:rsid w:val="00E04BBC"/>
    <w:rsid w:val="00E04BE9"/>
    <w:rsid w:val="00E04C4E"/>
    <w:rsid w:val="00E04C5F"/>
    <w:rsid w:val="00E04C78"/>
    <w:rsid w:val="00E04CCF"/>
    <w:rsid w:val="00E04D38"/>
    <w:rsid w:val="00E04D6A"/>
    <w:rsid w:val="00E04D74"/>
    <w:rsid w:val="00E04D7A"/>
    <w:rsid w:val="00E04DA0"/>
    <w:rsid w:val="00E04DCF"/>
    <w:rsid w:val="00E04E03"/>
    <w:rsid w:val="00E04E5A"/>
    <w:rsid w:val="00E04EBC"/>
    <w:rsid w:val="00E04EE7"/>
    <w:rsid w:val="00E04EEE"/>
    <w:rsid w:val="00E04F0A"/>
    <w:rsid w:val="00E04F28"/>
    <w:rsid w:val="00E04F6E"/>
    <w:rsid w:val="00E04F74"/>
    <w:rsid w:val="00E04F7F"/>
    <w:rsid w:val="00E04F8D"/>
    <w:rsid w:val="00E04F8E"/>
    <w:rsid w:val="00E04FAB"/>
    <w:rsid w:val="00E04FB0"/>
    <w:rsid w:val="00E04FD8"/>
    <w:rsid w:val="00E05003"/>
    <w:rsid w:val="00E0500F"/>
    <w:rsid w:val="00E05033"/>
    <w:rsid w:val="00E05036"/>
    <w:rsid w:val="00E05058"/>
    <w:rsid w:val="00E05086"/>
    <w:rsid w:val="00E0508F"/>
    <w:rsid w:val="00E05097"/>
    <w:rsid w:val="00E0509D"/>
    <w:rsid w:val="00E0512F"/>
    <w:rsid w:val="00E0517B"/>
    <w:rsid w:val="00E051E0"/>
    <w:rsid w:val="00E051F2"/>
    <w:rsid w:val="00E051FA"/>
    <w:rsid w:val="00E051FD"/>
    <w:rsid w:val="00E0524C"/>
    <w:rsid w:val="00E05292"/>
    <w:rsid w:val="00E052BA"/>
    <w:rsid w:val="00E052C9"/>
    <w:rsid w:val="00E05312"/>
    <w:rsid w:val="00E05385"/>
    <w:rsid w:val="00E0542D"/>
    <w:rsid w:val="00E0545D"/>
    <w:rsid w:val="00E054A3"/>
    <w:rsid w:val="00E054D5"/>
    <w:rsid w:val="00E0550E"/>
    <w:rsid w:val="00E0552C"/>
    <w:rsid w:val="00E05530"/>
    <w:rsid w:val="00E05531"/>
    <w:rsid w:val="00E05548"/>
    <w:rsid w:val="00E05553"/>
    <w:rsid w:val="00E055C6"/>
    <w:rsid w:val="00E05656"/>
    <w:rsid w:val="00E0567B"/>
    <w:rsid w:val="00E056AE"/>
    <w:rsid w:val="00E056B5"/>
    <w:rsid w:val="00E056B8"/>
    <w:rsid w:val="00E056CF"/>
    <w:rsid w:val="00E056E6"/>
    <w:rsid w:val="00E05723"/>
    <w:rsid w:val="00E05726"/>
    <w:rsid w:val="00E0577C"/>
    <w:rsid w:val="00E0579F"/>
    <w:rsid w:val="00E05823"/>
    <w:rsid w:val="00E0585D"/>
    <w:rsid w:val="00E0588F"/>
    <w:rsid w:val="00E058BA"/>
    <w:rsid w:val="00E058EB"/>
    <w:rsid w:val="00E058F1"/>
    <w:rsid w:val="00E05947"/>
    <w:rsid w:val="00E0596D"/>
    <w:rsid w:val="00E05972"/>
    <w:rsid w:val="00E05989"/>
    <w:rsid w:val="00E05A03"/>
    <w:rsid w:val="00E05A17"/>
    <w:rsid w:val="00E05A7A"/>
    <w:rsid w:val="00E05A8C"/>
    <w:rsid w:val="00E05AB2"/>
    <w:rsid w:val="00E05AE6"/>
    <w:rsid w:val="00E05AE8"/>
    <w:rsid w:val="00E05AEC"/>
    <w:rsid w:val="00E05B50"/>
    <w:rsid w:val="00E05B80"/>
    <w:rsid w:val="00E05B8B"/>
    <w:rsid w:val="00E05BB8"/>
    <w:rsid w:val="00E05BB9"/>
    <w:rsid w:val="00E05BE9"/>
    <w:rsid w:val="00E05BF7"/>
    <w:rsid w:val="00E05C17"/>
    <w:rsid w:val="00E05C25"/>
    <w:rsid w:val="00E05C8D"/>
    <w:rsid w:val="00E05C9A"/>
    <w:rsid w:val="00E05CF2"/>
    <w:rsid w:val="00E05CF9"/>
    <w:rsid w:val="00E05D1A"/>
    <w:rsid w:val="00E05D22"/>
    <w:rsid w:val="00E05D69"/>
    <w:rsid w:val="00E05D7F"/>
    <w:rsid w:val="00E05DBB"/>
    <w:rsid w:val="00E05DBE"/>
    <w:rsid w:val="00E05E1A"/>
    <w:rsid w:val="00E05E2C"/>
    <w:rsid w:val="00E05E2D"/>
    <w:rsid w:val="00E05E4F"/>
    <w:rsid w:val="00E05E52"/>
    <w:rsid w:val="00E05EC8"/>
    <w:rsid w:val="00E05EFB"/>
    <w:rsid w:val="00E05F0F"/>
    <w:rsid w:val="00E05F30"/>
    <w:rsid w:val="00E05FD2"/>
    <w:rsid w:val="00E06017"/>
    <w:rsid w:val="00E0602A"/>
    <w:rsid w:val="00E06066"/>
    <w:rsid w:val="00E060C2"/>
    <w:rsid w:val="00E060F4"/>
    <w:rsid w:val="00E06112"/>
    <w:rsid w:val="00E06117"/>
    <w:rsid w:val="00E06135"/>
    <w:rsid w:val="00E0613D"/>
    <w:rsid w:val="00E0617F"/>
    <w:rsid w:val="00E06181"/>
    <w:rsid w:val="00E06184"/>
    <w:rsid w:val="00E061BB"/>
    <w:rsid w:val="00E061DA"/>
    <w:rsid w:val="00E061ED"/>
    <w:rsid w:val="00E0620B"/>
    <w:rsid w:val="00E0621D"/>
    <w:rsid w:val="00E06271"/>
    <w:rsid w:val="00E06282"/>
    <w:rsid w:val="00E062C3"/>
    <w:rsid w:val="00E062C9"/>
    <w:rsid w:val="00E062F2"/>
    <w:rsid w:val="00E062FE"/>
    <w:rsid w:val="00E06318"/>
    <w:rsid w:val="00E0631E"/>
    <w:rsid w:val="00E06323"/>
    <w:rsid w:val="00E06334"/>
    <w:rsid w:val="00E06335"/>
    <w:rsid w:val="00E06355"/>
    <w:rsid w:val="00E06359"/>
    <w:rsid w:val="00E0636E"/>
    <w:rsid w:val="00E06370"/>
    <w:rsid w:val="00E06373"/>
    <w:rsid w:val="00E06393"/>
    <w:rsid w:val="00E063AA"/>
    <w:rsid w:val="00E063CF"/>
    <w:rsid w:val="00E063E6"/>
    <w:rsid w:val="00E06402"/>
    <w:rsid w:val="00E0642F"/>
    <w:rsid w:val="00E0643C"/>
    <w:rsid w:val="00E06478"/>
    <w:rsid w:val="00E0647C"/>
    <w:rsid w:val="00E06481"/>
    <w:rsid w:val="00E064B9"/>
    <w:rsid w:val="00E064FF"/>
    <w:rsid w:val="00E06613"/>
    <w:rsid w:val="00E06641"/>
    <w:rsid w:val="00E06646"/>
    <w:rsid w:val="00E0666F"/>
    <w:rsid w:val="00E06696"/>
    <w:rsid w:val="00E066BF"/>
    <w:rsid w:val="00E066ED"/>
    <w:rsid w:val="00E06724"/>
    <w:rsid w:val="00E06737"/>
    <w:rsid w:val="00E06740"/>
    <w:rsid w:val="00E06743"/>
    <w:rsid w:val="00E0676F"/>
    <w:rsid w:val="00E067CA"/>
    <w:rsid w:val="00E067D4"/>
    <w:rsid w:val="00E067E2"/>
    <w:rsid w:val="00E067F4"/>
    <w:rsid w:val="00E06824"/>
    <w:rsid w:val="00E06843"/>
    <w:rsid w:val="00E06859"/>
    <w:rsid w:val="00E06881"/>
    <w:rsid w:val="00E068A3"/>
    <w:rsid w:val="00E068B5"/>
    <w:rsid w:val="00E068BB"/>
    <w:rsid w:val="00E068E3"/>
    <w:rsid w:val="00E068FD"/>
    <w:rsid w:val="00E069A6"/>
    <w:rsid w:val="00E069AF"/>
    <w:rsid w:val="00E069B1"/>
    <w:rsid w:val="00E06A47"/>
    <w:rsid w:val="00E06A58"/>
    <w:rsid w:val="00E06A5A"/>
    <w:rsid w:val="00E06AEC"/>
    <w:rsid w:val="00E06B06"/>
    <w:rsid w:val="00E06B27"/>
    <w:rsid w:val="00E06B62"/>
    <w:rsid w:val="00E06B71"/>
    <w:rsid w:val="00E06B73"/>
    <w:rsid w:val="00E06B92"/>
    <w:rsid w:val="00E06BE8"/>
    <w:rsid w:val="00E06C97"/>
    <w:rsid w:val="00E06CBD"/>
    <w:rsid w:val="00E06CCE"/>
    <w:rsid w:val="00E06D73"/>
    <w:rsid w:val="00E06D7A"/>
    <w:rsid w:val="00E06DAF"/>
    <w:rsid w:val="00E06DC7"/>
    <w:rsid w:val="00E06DEC"/>
    <w:rsid w:val="00E06E14"/>
    <w:rsid w:val="00E06E19"/>
    <w:rsid w:val="00E06ED0"/>
    <w:rsid w:val="00E06ED1"/>
    <w:rsid w:val="00E06F47"/>
    <w:rsid w:val="00E06F51"/>
    <w:rsid w:val="00E06F57"/>
    <w:rsid w:val="00E06F5C"/>
    <w:rsid w:val="00E06F62"/>
    <w:rsid w:val="00E06FC3"/>
    <w:rsid w:val="00E06FF4"/>
    <w:rsid w:val="00E07079"/>
    <w:rsid w:val="00E070AF"/>
    <w:rsid w:val="00E070E4"/>
    <w:rsid w:val="00E07133"/>
    <w:rsid w:val="00E0718F"/>
    <w:rsid w:val="00E071A5"/>
    <w:rsid w:val="00E071BF"/>
    <w:rsid w:val="00E071DB"/>
    <w:rsid w:val="00E07220"/>
    <w:rsid w:val="00E07229"/>
    <w:rsid w:val="00E072D6"/>
    <w:rsid w:val="00E07332"/>
    <w:rsid w:val="00E07375"/>
    <w:rsid w:val="00E0737D"/>
    <w:rsid w:val="00E073D3"/>
    <w:rsid w:val="00E073D7"/>
    <w:rsid w:val="00E07545"/>
    <w:rsid w:val="00E07559"/>
    <w:rsid w:val="00E0755E"/>
    <w:rsid w:val="00E07575"/>
    <w:rsid w:val="00E07583"/>
    <w:rsid w:val="00E0758B"/>
    <w:rsid w:val="00E075CF"/>
    <w:rsid w:val="00E075DF"/>
    <w:rsid w:val="00E0767E"/>
    <w:rsid w:val="00E076BF"/>
    <w:rsid w:val="00E076F0"/>
    <w:rsid w:val="00E07786"/>
    <w:rsid w:val="00E077BC"/>
    <w:rsid w:val="00E077F4"/>
    <w:rsid w:val="00E07802"/>
    <w:rsid w:val="00E07811"/>
    <w:rsid w:val="00E0782E"/>
    <w:rsid w:val="00E0783E"/>
    <w:rsid w:val="00E07903"/>
    <w:rsid w:val="00E07905"/>
    <w:rsid w:val="00E07914"/>
    <w:rsid w:val="00E07936"/>
    <w:rsid w:val="00E07951"/>
    <w:rsid w:val="00E07968"/>
    <w:rsid w:val="00E079E1"/>
    <w:rsid w:val="00E079E7"/>
    <w:rsid w:val="00E079F3"/>
    <w:rsid w:val="00E07A16"/>
    <w:rsid w:val="00E07A6C"/>
    <w:rsid w:val="00E07A7C"/>
    <w:rsid w:val="00E07AAF"/>
    <w:rsid w:val="00E07AB1"/>
    <w:rsid w:val="00E07ADE"/>
    <w:rsid w:val="00E07B57"/>
    <w:rsid w:val="00E07B62"/>
    <w:rsid w:val="00E07B8F"/>
    <w:rsid w:val="00E07B99"/>
    <w:rsid w:val="00E07BB6"/>
    <w:rsid w:val="00E07C2B"/>
    <w:rsid w:val="00E07C2D"/>
    <w:rsid w:val="00E07CCF"/>
    <w:rsid w:val="00E07D7A"/>
    <w:rsid w:val="00E07DAC"/>
    <w:rsid w:val="00E07DE2"/>
    <w:rsid w:val="00E07E62"/>
    <w:rsid w:val="00E07E9D"/>
    <w:rsid w:val="00E07EA1"/>
    <w:rsid w:val="00E07EA7"/>
    <w:rsid w:val="00E07EAA"/>
    <w:rsid w:val="00E07EB3"/>
    <w:rsid w:val="00E07EDF"/>
    <w:rsid w:val="00E07F25"/>
    <w:rsid w:val="00E07F30"/>
    <w:rsid w:val="00E07F3B"/>
    <w:rsid w:val="00E07F60"/>
    <w:rsid w:val="00E07F66"/>
    <w:rsid w:val="00E07F7A"/>
    <w:rsid w:val="00E07F8A"/>
    <w:rsid w:val="00E07FB8"/>
    <w:rsid w:val="00E07FBD"/>
    <w:rsid w:val="00E10004"/>
    <w:rsid w:val="00E10010"/>
    <w:rsid w:val="00E10017"/>
    <w:rsid w:val="00E1006F"/>
    <w:rsid w:val="00E10090"/>
    <w:rsid w:val="00E10099"/>
    <w:rsid w:val="00E100B5"/>
    <w:rsid w:val="00E1012F"/>
    <w:rsid w:val="00E10144"/>
    <w:rsid w:val="00E10156"/>
    <w:rsid w:val="00E1015A"/>
    <w:rsid w:val="00E1016E"/>
    <w:rsid w:val="00E10190"/>
    <w:rsid w:val="00E101C5"/>
    <w:rsid w:val="00E101F1"/>
    <w:rsid w:val="00E1020A"/>
    <w:rsid w:val="00E10237"/>
    <w:rsid w:val="00E10242"/>
    <w:rsid w:val="00E10261"/>
    <w:rsid w:val="00E10275"/>
    <w:rsid w:val="00E102C3"/>
    <w:rsid w:val="00E102CD"/>
    <w:rsid w:val="00E102D6"/>
    <w:rsid w:val="00E102DC"/>
    <w:rsid w:val="00E10310"/>
    <w:rsid w:val="00E1032D"/>
    <w:rsid w:val="00E1037A"/>
    <w:rsid w:val="00E10410"/>
    <w:rsid w:val="00E10423"/>
    <w:rsid w:val="00E1042C"/>
    <w:rsid w:val="00E10489"/>
    <w:rsid w:val="00E10496"/>
    <w:rsid w:val="00E104AF"/>
    <w:rsid w:val="00E104C0"/>
    <w:rsid w:val="00E10509"/>
    <w:rsid w:val="00E10520"/>
    <w:rsid w:val="00E10543"/>
    <w:rsid w:val="00E10587"/>
    <w:rsid w:val="00E105A2"/>
    <w:rsid w:val="00E105EB"/>
    <w:rsid w:val="00E10609"/>
    <w:rsid w:val="00E10665"/>
    <w:rsid w:val="00E10669"/>
    <w:rsid w:val="00E1066F"/>
    <w:rsid w:val="00E10670"/>
    <w:rsid w:val="00E106B0"/>
    <w:rsid w:val="00E106C1"/>
    <w:rsid w:val="00E106D0"/>
    <w:rsid w:val="00E106D9"/>
    <w:rsid w:val="00E106ED"/>
    <w:rsid w:val="00E106F4"/>
    <w:rsid w:val="00E10753"/>
    <w:rsid w:val="00E10781"/>
    <w:rsid w:val="00E107CB"/>
    <w:rsid w:val="00E107DA"/>
    <w:rsid w:val="00E1081B"/>
    <w:rsid w:val="00E10862"/>
    <w:rsid w:val="00E10868"/>
    <w:rsid w:val="00E1086F"/>
    <w:rsid w:val="00E108DA"/>
    <w:rsid w:val="00E1091B"/>
    <w:rsid w:val="00E1092D"/>
    <w:rsid w:val="00E1095D"/>
    <w:rsid w:val="00E10995"/>
    <w:rsid w:val="00E109AF"/>
    <w:rsid w:val="00E109BE"/>
    <w:rsid w:val="00E109DB"/>
    <w:rsid w:val="00E10A23"/>
    <w:rsid w:val="00E10A43"/>
    <w:rsid w:val="00E10A69"/>
    <w:rsid w:val="00E10A6C"/>
    <w:rsid w:val="00E10A8A"/>
    <w:rsid w:val="00E10ABE"/>
    <w:rsid w:val="00E10B32"/>
    <w:rsid w:val="00E10B7A"/>
    <w:rsid w:val="00E10BF8"/>
    <w:rsid w:val="00E10C10"/>
    <w:rsid w:val="00E10C22"/>
    <w:rsid w:val="00E10C5F"/>
    <w:rsid w:val="00E10C8C"/>
    <w:rsid w:val="00E10CB4"/>
    <w:rsid w:val="00E10CB5"/>
    <w:rsid w:val="00E10CD2"/>
    <w:rsid w:val="00E10CEC"/>
    <w:rsid w:val="00E10D39"/>
    <w:rsid w:val="00E10D3B"/>
    <w:rsid w:val="00E10E68"/>
    <w:rsid w:val="00E10E78"/>
    <w:rsid w:val="00E10EBE"/>
    <w:rsid w:val="00E10EE5"/>
    <w:rsid w:val="00E10EE6"/>
    <w:rsid w:val="00E10F1D"/>
    <w:rsid w:val="00E10F7C"/>
    <w:rsid w:val="00E10F8E"/>
    <w:rsid w:val="00E10FA0"/>
    <w:rsid w:val="00E10FCD"/>
    <w:rsid w:val="00E10FD2"/>
    <w:rsid w:val="00E1101C"/>
    <w:rsid w:val="00E11036"/>
    <w:rsid w:val="00E11058"/>
    <w:rsid w:val="00E110A6"/>
    <w:rsid w:val="00E110CB"/>
    <w:rsid w:val="00E110CD"/>
    <w:rsid w:val="00E110FA"/>
    <w:rsid w:val="00E11112"/>
    <w:rsid w:val="00E11159"/>
    <w:rsid w:val="00E11184"/>
    <w:rsid w:val="00E11189"/>
    <w:rsid w:val="00E111D3"/>
    <w:rsid w:val="00E11201"/>
    <w:rsid w:val="00E1120A"/>
    <w:rsid w:val="00E1120F"/>
    <w:rsid w:val="00E11234"/>
    <w:rsid w:val="00E1125A"/>
    <w:rsid w:val="00E1127A"/>
    <w:rsid w:val="00E112C9"/>
    <w:rsid w:val="00E1132B"/>
    <w:rsid w:val="00E11342"/>
    <w:rsid w:val="00E11360"/>
    <w:rsid w:val="00E11384"/>
    <w:rsid w:val="00E113B6"/>
    <w:rsid w:val="00E113EE"/>
    <w:rsid w:val="00E113EF"/>
    <w:rsid w:val="00E1144F"/>
    <w:rsid w:val="00E11474"/>
    <w:rsid w:val="00E114C6"/>
    <w:rsid w:val="00E114C7"/>
    <w:rsid w:val="00E114DE"/>
    <w:rsid w:val="00E114F5"/>
    <w:rsid w:val="00E11517"/>
    <w:rsid w:val="00E1152A"/>
    <w:rsid w:val="00E11535"/>
    <w:rsid w:val="00E11564"/>
    <w:rsid w:val="00E11576"/>
    <w:rsid w:val="00E1157E"/>
    <w:rsid w:val="00E11586"/>
    <w:rsid w:val="00E1161E"/>
    <w:rsid w:val="00E11621"/>
    <w:rsid w:val="00E11663"/>
    <w:rsid w:val="00E1166B"/>
    <w:rsid w:val="00E11683"/>
    <w:rsid w:val="00E11684"/>
    <w:rsid w:val="00E1168C"/>
    <w:rsid w:val="00E1169B"/>
    <w:rsid w:val="00E116D9"/>
    <w:rsid w:val="00E116E1"/>
    <w:rsid w:val="00E1178E"/>
    <w:rsid w:val="00E117B7"/>
    <w:rsid w:val="00E11833"/>
    <w:rsid w:val="00E1185E"/>
    <w:rsid w:val="00E11867"/>
    <w:rsid w:val="00E118B2"/>
    <w:rsid w:val="00E118B5"/>
    <w:rsid w:val="00E118C6"/>
    <w:rsid w:val="00E118D3"/>
    <w:rsid w:val="00E11951"/>
    <w:rsid w:val="00E1196B"/>
    <w:rsid w:val="00E119B3"/>
    <w:rsid w:val="00E119BC"/>
    <w:rsid w:val="00E11A07"/>
    <w:rsid w:val="00E11A0A"/>
    <w:rsid w:val="00E11A30"/>
    <w:rsid w:val="00E11A73"/>
    <w:rsid w:val="00E11A9F"/>
    <w:rsid w:val="00E11AA8"/>
    <w:rsid w:val="00E11AEC"/>
    <w:rsid w:val="00E11B5D"/>
    <w:rsid w:val="00E11B7B"/>
    <w:rsid w:val="00E11B80"/>
    <w:rsid w:val="00E11B90"/>
    <w:rsid w:val="00E11BB6"/>
    <w:rsid w:val="00E11BF4"/>
    <w:rsid w:val="00E11C1E"/>
    <w:rsid w:val="00E11C33"/>
    <w:rsid w:val="00E11C56"/>
    <w:rsid w:val="00E11C79"/>
    <w:rsid w:val="00E11C88"/>
    <w:rsid w:val="00E11C91"/>
    <w:rsid w:val="00E11D0B"/>
    <w:rsid w:val="00E11D37"/>
    <w:rsid w:val="00E11D49"/>
    <w:rsid w:val="00E11D65"/>
    <w:rsid w:val="00E11E3E"/>
    <w:rsid w:val="00E11E4F"/>
    <w:rsid w:val="00E11EC5"/>
    <w:rsid w:val="00E11FC5"/>
    <w:rsid w:val="00E11FD5"/>
    <w:rsid w:val="00E11FE8"/>
    <w:rsid w:val="00E11FEB"/>
    <w:rsid w:val="00E1202B"/>
    <w:rsid w:val="00E12045"/>
    <w:rsid w:val="00E12063"/>
    <w:rsid w:val="00E12067"/>
    <w:rsid w:val="00E120BC"/>
    <w:rsid w:val="00E120ED"/>
    <w:rsid w:val="00E120F2"/>
    <w:rsid w:val="00E12104"/>
    <w:rsid w:val="00E1211B"/>
    <w:rsid w:val="00E1213C"/>
    <w:rsid w:val="00E1214B"/>
    <w:rsid w:val="00E1215A"/>
    <w:rsid w:val="00E12198"/>
    <w:rsid w:val="00E1219C"/>
    <w:rsid w:val="00E121A5"/>
    <w:rsid w:val="00E121C2"/>
    <w:rsid w:val="00E121EF"/>
    <w:rsid w:val="00E1221B"/>
    <w:rsid w:val="00E12223"/>
    <w:rsid w:val="00E12267"/>
    <w:rsid w:val="00E122CD"/>
    <w:rsid w:val="00E122FB"/>
    <w:rsid w:val="00E12350"/>
    <w:rsid w:val="00E1235A"/>
    <w:rsid w:val="00E12365"/>
    <w:rsid w:val="00E1236F"/>
    <w:rsid w:val="00E1239A"/>
    <w:rsid w:val="00E123B6"/>
    <w:rsid w:val="00E123E9"/>
    <w:rsid w:val="00E12428"/>
    <w:rsid w:val="00E12454"/>
    <w:rsid w:val="00E12479"/>
    <w:rsid w:val="00E12486"/>
    <w:rsid w:val="00E1251B"/>
    <w:rsid w:val="00E12539"/>
    <w:rsid w:val="00E1253D"/>
    <w:rsid w:val="00E1256C"/>
    <w:rsid w:val="00E12636"/>
    <w:rsid w:val="00E12647"/>
    <w:rsid w:val="00E12690"/>
    <w:rsid w:val="00E126A9"/>
    <w:rsid w:val="00E126B6"/>
    <w:rsid w:val="00E126D4"/>
    <w:rsid w:val="00E12701"/>
    <w:rsid w:val="00E12706"/>
    <w:rsid w:val="00E12719"/>
    <w:rsid w:val="00E1274E"/>
    <w:rsid w:val="00E12770"/>
    <w:rsid w:val="00E127B6"/>
    <w:rsid w:val="00E127C8"/>
    <w:rsid w:val="00E127D1"/>
    <w:rsid w:val="00E127E9"/>
    <w:rsid w:val="00E127FB"/>
    <w:rsid w:val="00E127FF"/>
    <w:rsid w:val="00E1281B"/>
    <w:rsid w:val="00E12824"/>
    <w:rsid w:val="00E1284D"/>
    <w:rsid w:val="00E12877"/>
    <w:rsid w:val="00E1289F"/>
    <w:rsid w:val="00E128B4"/>
    <w:rsid w:val="00E128BA"/>
    <w:rsid w:val="00E128D7"/>
    <w:rsid w:val="00E128E4"/>
    <w:rsid w:val="00E128FA"/>
    <w:rsid w:val="00E12916"/>
    <w:rsid w:val="00E12930"/>
    <w:rsid w:val="00E12950"/>
    <w:rsid w:val="00E12970"/>
    <w:rsid w:val="00E129B2"/>
    <w:rsid w:val="00E129F2"/>
    <w:rsid w:val="00E12A02"/>
    <w:rsid w:val="00E12A26"/>
    <w:rsid w:val="00E12A72"/>
    <w:rsid w:val="00E12B2A"/>
    <w:rsid w:val="00E12B3E"/>
    <w:rsid w:val="00E12B7D"/>
    <w:rsid w:val="00E12BFF"/>
    <w:rsid w:val="00E12C21"/>
    <w:rsid w:val="00E12C7E"/>
    <w:rsid w:val="00E12C91"/>
    <w:rsid w:val="00E12CCC"/>
    <w:rsid w:val="00E12CF9"/>
    <w:rsid w:val="00E12D02"/>
    <w:rsid w:val="00E12D11"/>
    <w:rsid w:val="00E12D3B"/>
    <w:rsid w:val="00E12D41"/>
    <w:rsid w:val="00E12D70"/>
    <w:rsid w:val="00E12D8B"/>
    <w:rsid w:val="00E12D8D"/>
    <w:rsid w:val="00E12E11"/>
    <w:rsid w:val="00E12E42"/>
    <w:rsid w:val="00E12E54"/>
    <w:rsid w:val="00E12E63"/>
    <w:rsid w:val="00E12E78"/>
    <w:rsid w:val="00E12E89"/>
    <w:rsid w:val="00E12E8F"/>
    <w:rsid w:val="00E12EB3"/>
    <w:rsid w:val="00E12EBF"/>
    <w:rsid w:val="00E12EDC"/>
    <w:rsid w:val="00E12EEE"/>
    <w:rsid w:val="00E12F30"/>
    <w:rsid w:val="00E12F38"/>
    <w:rsid w:val="00E12F3C"/>
    <w:rsid w:val="00E12F49"/>
    <w:rsid w:val="00E12F52"/>
    <w:rsid w:val="00E12F5D"/>
    <w:rsid w:val="00E12F7A"/>
    <w:rsid w:val="00E12F81"/>
    <w:rsid w:val="00E12FBC"/>
    <w:rsid w:val="00E13018"/>
    <w:rsid w:val="00E13038"/>
    <w:rsid w:val="00E13045"/>
    <w:rsid w:val="00E13098"/>
    <w:rsid w:val="00E130A3"/>
    <w:rsid w:val="00E130F4"/>
    <w:rsid w:val="00E13105"/>
    <w:rsid w:val="00E13199"/>
    <w:rsid w:val="00E131BC"/>
    <w:rsid w:val="00E131E5"/>
    <w:rsid w:val="00E1320D"/>
    <w:rsid w:val="00E13214"/>
    <w:rsid w:val="00E1321C"/>
    <w:rsid w:val="00E13233"/>
    <w:rsid w:val="00E13235"/>
    <w:rsid w:val="00E132C2"/>
    <w:rsid w:val="00E132FB"/>
    <w:rsid w:val="00E13367"/>
    <w:rsid w:val="00E13372"/>
    <w:rsid w:val="00E1339B"/>
    <w:rsid w:val="00E13405"/>
    <w:rsid w:val="00E13406"/>
    <w:rsid w:val="00E13414"/>
    <w:rsid w:val="00E1342A"/>
    <w:rsid w:val="00E13447"/>
    <w:rsid w:val="00E1346C"/>
    <w:rsid w:val="00E134A8"/>
    <w:rsid w:val="00E134C3"/>
    <w:rsid w:val="00E134D1"/>
    <w:rsid w:val="00E13533"/>
    <w:rsid w:val="00E13587"/>
    <w:rsid w:val="00E135A4"/>
    <w:rsid w:val="00E13616"/>
    <w:rsid w:val="00E1363B"/>
    <w:rsid w:val="00E1363D"/>
    <w:rsid w:val="00E13656"/>
    <w:rsid w:val="00E13731"/>
    <w:rsid w:val="00E13746"/>
    <w:rsid w:val="00E13765"/>
    <w:rsid w:val="00E13796"/>
    <w:rsid w:val="00E137A3"/>
    <w:rsid w:val="00E137A9"/>
    <w:rsid w:val="00E137B8"/>
    <w:rsid w:val="00E13827"/>
    <w:rsid w:val="00E13853"/>
    <w:rsid w:val="00E1386D"/>
    <w:rsid w:val="00E1388A"/>
    <w:rsid w:val="00E13892"/>
    <w:rsid w:val="00E138BC"/>
    <w:rsid w:val="00E13908"/>
    <w:rsid w:val="00E1392F"/>
    <w:rsid w:val="00E1396D"/>
    <w:rsid w:val="00E139B2"/>
    <w:rsid w:val="00E139D4"/>
    <w:rsid w:val="00E13A3E"/>
    <w:rsid w:val="00E13A55"/>
    <w:rsid w:val="00E13AB0"/>
    <w:rsid w:val="00E13AE5"/>
    <w:rsid w:val="00E13AFF"/>
    <w:rsid w:val="00E13B01"/>
    <w:rsid w:val="00E13B21"/>
    <w:rsid w:val="00E13B33"/>
    <w:rsid w:val="00E13B4F"/>
    <w:rsid w:val="00E13B7D"/>
    <w:rsid w:val="00E13B7F"/>
    <w:rsid w:val="00E13BB4"/>
    <w:rsid w:val="00E13C28"/>
    <w:rsid w:val="00E13C4E"/>
    <w:rsid w:val="00E13C78"/>
    <w:rsid w:val="00E13C80"/>
    <w:rsid w:val="00E13C88"/>
    <w:rsid w:val="00E13CFC"/>
    <w:rsid w:val="00E13D31"/>
    <w:rsid w:val="00E13D4E"/>
    <w:rsid w:val="00E13D51"/>
    <w:rsid w:val="00E13D57"/>
    <w:rsid w:val="00E13DDA"/>
    <w:rsid w:val="00E13E3A"/>
    <w:rsid w:val="00E13E3B"/>
    <w:rsid w:val="00E13E44"/>
    <w:rsid w:val="00E13E9D"/>
    <w:rsid w:val="00E13EEF"/>
    <w:rsid w:val="00E13F19"/>
    <w:rsid w:val="00E13F1B"/>
    <w:rsid w:val="00E13F2A"/>
    <w:rsid w:val="00E13F4A"/>
    <w:rsid w:val="00E13F58"/>
    <w:rsid w:val="00E13FD9"/>
    <w:rsid w:val="00E13FDD"/>
    <w:rsid w:val="00E1400F"/>
    <w:rsid w:val="00E14056"/>
    <w:rsid w:val="00E1409E"/>
    <w:rsid w:val="00E140B0"/>
    <w:rsid w:val="00E140E4"/>
    <w:rsid w:val="00E14126"/>
    <w:rsid w:val="00E14137"/>
    <w:rsid w:val="00E1413A"/>
    <w:rsid w:val="00E1413D"/>
    <w:rsid w:val="00E14168"/>
    <w:rsid w:val="00E1423A"/>
    <w:rsid w:val="00E14254"/>
    <w:rsid w:val="00E1425E"/>
    <w:rsid w:val="00E14298"/>
    <w:rsid w:val="00E142D2"/>
    <w:rsid w:val="00E142DA"/>
    <w:rsid w:val="00E142FE"/>
    <w:rsid w:val="00E1431B"/>
    <w:rsid w:val="00E1434B"/>
    <w:rsid w:val="00E14356"/>
    <w:rsid w:val="00E14379"/>
    <w:rsid w:val="00E14394"/>
    <w:rsid w:val="00E143B0"/>
    <w:rsid w:val="00E143F1"/>
    <w:rsid w:val="00E14430"/>
    <w:rsid w:val="00E1444B"/>
    <w:rsid w:val="00E14499"/>
    <w:rsid w:val="00E1449A"/>
    <w:rsid w:val="00E144BE"/>
    <w:rsid w:val="00E144C0"/>
    <w:rsid w:val="00E144F0"/>
    <w:rsid w:val="00E144F4"/>
    <w:rsid w:val="00E144F9"/>
    <w:rsid w:val="00E144FF"/>
    <w:rsid w:val="00E14514"/>
    <w:rsid w:val="00E14536"/>
    <w:rsid w:val="00E1464B"/>
    <w:rsid w:val="00E14657"/>
    <w:rsid w:val="00E146AC"/>
    <w:rsid w:val="00E146D6"/>
    <w:rsid w:val="00E146E3"/>
    <w:rsid w:val="00E14714"/>
    <w:rsid w:val="00E1473C"/>
    <w:rsid w:val="00E14750"/>
    <w:rsid w:val="00E14765"/>
    <w:rsid w:val="00E14780"/>
    <w:rsid w:val="00E147A1"/>
    <w:rsid w:val="00E147A3"/>
    <w:rsid w:val="00E147AD"/>
    <w:rsid w:val="00E147C8"/>
    <w:rsid w:val="00E147CC"/>
    <w:rsid w:val="00E147D4"/>
    <w:rsid w:val="00E1481D"/>
    <w:rsid w:val="00E1485A"/>
    <w:rsid w:val="00E14877"/>
    <w:rsid w:val="00E14895"/>
    <w:rsid w:val="00E148E8"/>
    <w:rsid w:val="00E148F1"/>
    <w:rsid w:val="00E148F6"/>
    <w:rsid w:val="00E1490E"/>
    <w:rsid w:val="00E1494D"/>
    <w:rsid w:val="00E14951"/>
    <w:rsid w:val="00E1496E"/>
    <w:rsid w:val="00E149DE"/>
    <w:rsid w:val="00E149F4"/>
    <w:rsid w:val="00E14A3A"/>
    <w:rsid w:val="00E14A4F"/>
    <w:rsid w:val="00E14A5D"/>
    <w:rsid w:val="00E14AD3"/>
    <w:rsid w:val="00E14AF6"/>
    <w:rsid w:val="00E14B04"/>
    <w:rsid w:val="00E14B34"/>
    <w:rsid w:val="00E14B5B"/>
    <w:rsid w:val="00E14B7F"/>
    <w:rsid w:val="00E14B82"/>
    <w:rsid w:val="00E14BAC"/>
    <w:rsid w:val="00E14BC0"/>
    <w:rsid w:val="00E14BC4"/>
    <w:rsid w:val="00E14BCD"/>
    <w:rsid w:val="00E14BFF"/>
    <w:rsid w:val="00E14C15"/>
    <w:rsid w:val="00E14C1B"/>
    <w:rsid w:val="00E14C34"/>
    <w:rsid w:val="00E14C73"/>
    <w:rsid w:val="00E14C99"/>
    <w:rsid w:val="00E14CC1"/>
    <w:rsid w:val="00E14D36"/>
    <w:rsid w:val="00E14D7D"/>
    <w:rsid w:val="00E14DC0"/>
    <w:rsid w:val="00E14DC9"/>
    <w:rsid w:val="00E14DD5"/>
    <w:rsid w:val="00E14E28"/>
    <w:rsid w:val="00E14EB2"/>
    <w:rsid w:val="00E14ED0"/>
    <w:rsid w:val="00E14EF2"/>
    <w:rsid w:val="00E14F3F"/>
    <w:rsid w:val="00E14F46"/>
    <w:rsid w:val="00E14F4A"/>
    <w:rsid w:val="00E14FCC"/>
    <w:rsid w:val="00E14FCD"/>
    <w:rsid w:val="00E15005"/>
    <w:rsid w:val="00E15037"/>
    <w:rsid w:val="00E1504C"/>
    <w:rsid w:val="00E1509F"/>
    <w:rsid w:val="00E15135"/>
    <w:rsid w:val="00E1515C"/>
    <w:rsid w:val="00E15205"/>
    <w:rsid w:val="00E15237"/>
    <w:rsid w:val="00E15254"/>
    <w:rsid w:val="00E15280"/>
    <w:rsid w:val="00E15290"/>
    <w:rsid w:val="00E152AC"/>
    <w:rsid w:val="00E152B8"/>
    <w:rsid w:val="00E152EB"/>
    <w:rsid w:val="00E1531D"/>
    <w:rsid w:val="00E15326"/>
    <w:rsid w:val="00E1533F"/>
    <w:rsid w:val="00E1534C"/>
    <w:rsid w:val="00E15360"/>
    <w:rsid w:val="00E15381"/>
    <w:rsid w:val="00E153A3"/>
    <w:rsid w:val="00E153D7"/>
    <w:rsid w:val="00E15439"/>
    <w:rsid w:val="00E15447"/>
    <w:rsid w:val="00E1545E"/>
    <w:rsid w:val="00E154A1"/>
    <w:rsid w:val="00E154AC"/>
    <w:rsid w:val="00E154CE"/>
    <w:rsid w:val="00E154DB"/>
    <w:rsid w:val="00E154EC"/>
    <w:rsid w:val="00E154FC"/>
    <w:rsid w:val="00E15555"/>
    <w:rsid w:val="00E15570"/>
    <w:rsid w:val="00E15615"/>
    <w:rsid w:val="00E15617"/>
    <w:rsid w:val="00E1566E"/>
    <w:rsid w:val="00E156C7"/>
    <w:rsid w:val="00E156EF"/>
    <w:rsid w:val="00E156F9"/>
    <w:rsid w:val="00E15787"/>
    <w:rsid w:val="00E157A1"/>
    <w:rsid w:val="00E157BC"/>
    <w:rsid w:val="00E157ED"/>
    <w:rsid w:val="00E157F2"/>
    <w:rsid w:val="00E15822"/>
    <w:rsid w:val="00E15839"/>
    <w:rsid w:val="00E1583B"/>
    <w:rsid w:val="00E1585F"/>
    <w:rsid w:val="00E15884"/>
    <w:rsid w:val="00E158E8"/>
    <w:rsid w:val="00E15901"/>
    <w:rsid w:val="00E1593B"/>
    <w:rsid w:val="00E15946"/>
    <w:rsid w:val="00E15969"/>
    <w:rsid w:val="00E15981"/>
    <w:rsid w:val="00E159A9"/>
    <w:rsid w:val="00E159EF"/>
    <w:rsid w:val="00E15A52"/>
    <w:rsid w:val="00E15A53"/>
    <w:rsid w:val="00E15A56"/>
    <w:rsid w:val="00E15A6C"/>
    <w:rsid w:val="00E15A9E"/>
    <w:rsid w:val="00E15AA6"/>
    <w:rsid w:val="00E15AA8"/>
    <w:rsid w:val="00E15AA9"/>
    <w:rsid w:val="00E15ACA"/>
    <w:rsid w:val="00E15AE0"/>
    <w:rsid w:val="00E15AE6"/>
    <w:rsid w:val="00E15AEC"/>
    <w:rsid w:val="00E15AF0"/>
    <w:rsid w:val="00E15B0F"/>
    <w:rsid w:val="00E15B5D"/>
    <w:rsid w:val="00E15B88"/>
    <w:rsid w:val="00E15BB0"/>
    <w:rsid w:val="00E15BC0"/>
    <w:rsid w:val="00E15C00"/>
    <w:rsid w:val="00E15C16"/>
    <w:rsid w:val="00E15C25"/>
    <w:rsid w:val="00E15C55"/>
    <w:rsid w:val="00E15C66"/>
    <w:rsid w:val="00E15CFD"/>
    <w:rsid w:val="00E15D0E"/>
    <w:rsid w:val="00E15D16"/>
    <w:rsid w:val="00E15D75"/>
    <w:rsid w:val="00E15D7F"/>
    <w:rsid w:val="00E15D84"/>
    <w:rsid w:val="00E15DF4"/>
    <w:rsid w:val="00E15E1B"/>
    <w:rsid w:val="00E15E1D"/>
    <w:rsid w:val="00E15E1F"/>
    <w:rsid w:val="00E15E3C"/>
    <w:rsid w:val="00E15E7B"/>
    <w:rsid w:val="00E15E7F"/>
    <w:rsid w:val="00E15E84"/>
    <w:rsid w:val="00E15E9F"/>
    <w:rsid w:val="00E15EDC"/>
    <w:rsid w:val="00E15EF6"/>
    <w:rsid w:val="00E15F18"/>
    <w:rsid w:val="00E15F70"/>
    <w:rsid w:val="00E15F7B"/>
    <w:rsid w:val="00E15FAA"/>
    <w:rsid w:val="00E15FE0"/>
    <w:rsid w:val="00E16031"/>
    <w:rsid w:val="00E1604E"/>
    <w:rsid w:val="00E16084"/>
    <w:rsid w:val="00E160B1"/>
    <w:rsid w:val="00E1615A"/>
    <w:rsid w:val="00E1617E"/>
    <w:rsid w:val="00E161A9"/>
    <w:rsid w:val="00E161DD"/>
    <w:rsid w:val="00E161E1"/>
    <w:rsid w:val="00E16219"/>
    <w:rsid w:val="00E1625A"/>
    <w:rsid w:val="00E1626E"/>
    <w:rsid w:val="00E16270"/>
    <w:rsid w:val="00E162BE"/>
    <w:rsid w:val="00E16303"/>
    <w:rsid w:val="00E16356"/>
    <w:rsid w:val="00E16359"/>
    <w:rsid w:val="00E16363"/>
    <w:rsid w:val="00E16367"/>
    <w:rsid w:val="00E1636A"/>
    <w:rsid w:val="00E163CF"/>
    <w:rsid w:val="00E163D4"/>
    <w:rsid w:val="00E163E0"/>
    <w:rsid w:val="00E16417"/>
    <w:rsid w:val="00E16436"/>
    <w:rsid w:val="00E1644D"/>
    <w:rsid w:val="00E16461"/>
    <w:rsid w:val="00E1646C"/>
    <w:rsid w:val="00E16489"/>
    <w:rsid w:val="00E1649F"/>
    <w:rsid w:val="00E164C3"/>
    <w:rsid w:val="00E164CC"/>
    <w:rsid w:val="00E164E5"/>
    <w:rsid w:val="00E1653D"/>
    <w:rsid w:val="00E1654D"/>
    <w:rsid w:val="00E1657B"/>
    <w:rsid w:val="00E16583"/>
    <w:rsid w:val="00E16586"/>
    <w:rsid w:val="00E1659F"/>
    <w:rsid w:val="00E165A4"/>
    <w:rsid w:val="00E16615"/>
    <w:rsid w:val="00E166BB"/>
    <w:rsid w:val="00E16729"/>
    <w:rsid w:val="00E16741"/>
    <w:rsid w:val="00E16765"/>
    <w:rsid w:val="00E167CA"/>
    <w:rsid w:val="00E167D9"/>
    <w:rsid w:val="00E16898"/>
    <w:rsid w:val="00E168FF"/>
    <w:rsid w:val="00E16905"/>
    <w:rsid w:val="00E16922"/>
    <w:rsid w:val="00E16923"/>
    <w:rsid w:val="00E1694F"/>
    <w:rsid w:val="00E1695E"/>
    <w:rsid w:val="00E16990"/>
    <w:rsid w:val="00E169DF"/>
    <w:rsid w:val="00E169EF"/>
    <w:rsid w:val="00E16A09"/>
    <w:rsid w:val="00E16A38"/>
    <w:rsid w:val="00E16A5C"/>
    <w:rsid w:val="00E16A90"/>
    <w:rsid w:val="00E16AB1"/>
    <w:rsid w:val="00E16AB2"/>
    <w:rsid w:val="00E16ABA"/>
    <w:rsid w:val="00E16B0E"/>
    <w:rsid w:val="00E16B22"/>
    <w:rsid w:val="00E16B29"/>
    <w:rsid w:val="00E16B5D"/>
    <w:rsid w:val="00E16B81"/>
    <w:rsid w:val="00E16BA4"/>
    <w:rsid w:val="00E16BA8"/>
    <w:rsid w:val="00E16BB2"/>
    <w:rsid w:val="00E16BEC"/>
    <w:rsid w:val="00E16C1E"/>
    <w:rsid w:val="00E16C2F"/>
    <w:rsid w:val="00E16C60"/>
    <w:rsid w:val="00E16C63"/>
    <w:rsid w:val="00E16C65"/>
    <w:rsid w:val="00E16C70"/>
    <w:rsid w:val="00E16C77"/>
    <w:rsid w:val="00E16C79"/>
    <w:rsid w:val="00E16C8B"/>
    <w:rsid w:val="00E16C8F"/>
    <w:rsid w:val="00E16CC4"/>
    <w:rsid w:val="00E16D1E"/>
    <w:rsid w:val="00E16D53"/>
    <w:rsid w:val="00E16D61"/>
    <w:rsid w:val="00E16D64"/>
    <w:rsid w:val="00E16D83"/>
    <w:rsid w:val="00E16D8D"/>
    <w:rsid w:val="00E16DEC"/>
    <w:rsid w:val="00E16E17"/>
    <w:rsid w:val="00E16E5E"/>
    <w:rsid w:val="00E16E93"/>
    <w:rsid w:val="00E16EB4"/>
    <w:rsid w:val="00E16EC3"/>
    <w:rsid w:val="00E16ECA"/>
    <w:rsid w:val="00E16F35"/>
    <w:rsid w:val="00E16FAA"/>
    <w:rsid w:val="00E16FD1"/>
    <w:rsid w:val="00E16FE2"/>
    <w:rsid w:val="00E17049"/>
    <w:rsid w:val="00E17053"/>
    <w:rsid w:val="00E17118"/>
    <w:rsid w:val="00E17146"/>
    <w:rsid w:val="00E1714D"/>
    <w:rsid w:val="00E17159"/>
    <w:rsid w:val="00E171AE"/>
    <w:rsid w:val="00E171E9"/>
    <w:rsid w:val="00E171EC"/>
    <w:rsid w:val="00E1721E"/>
    <w:rsid w:val="00E17222"/>
    <w:rsid w:val="00E17230"/>
    <w:rsid w:val="00E17240"/>
    <w:rsid w:val="00E1727D"/>
    <w:rsid w:val="00E172C3"/>
    <w:rsid w:val="00E172C4"/>
    <w:rsid w:val="00E1730B"/>
    <w:rsid w:val="00E1731F"/>
    <w:rsid w:val="00E17344"/>
    <w:rsid w:val="00E1734E"/>
    <w:rsid w:val="00E17365"/>
    <w:rsid w:val="00E173F9"/>
    <w:rsid w:val="00E17494"/>
    <w:rsid w:val="00E174D4"/>
    <w:rsid w:val="00E17502"/>
    <w:rsid w:val="00E1751D"/>
    <w:rsid w:val="00E17552"/>
    <w:rsid w:val="00E1755C"/>
    <w:rsid w:val="00E1755F"/>
    <w:rsid w:val="00E17571"/>
    <w:rsid w:val="00E1758B"/>
    <w:rsid w:val="00E1760E"/>
    <w:rsid w:val="00E17647"/>
    <w:rsid w:val="00E1766F"/>
    <w:rsid w:val="00E17681"/>
    <w:rsid w:val="00E17697"/>
    <w:rsid w:val="00E176AC"/>
    <w:rsid w:val="00E176C2"/>
    <w:rsid w:val="00E176EA"/>
    <w:rsid w:val="00E176FE"/>
    <w:rsid w:val="00E17715"/>
    <w:rsid w:val="00E17804"/>
    <w:rsid w:val="00E17826"/>
    <w:rsid w:val="00E1785C"/>
    <w:rsid w:val="00E17872"/>
    <w:rsid w:val="00E178C7"/>
    <w:rsid w:val="00E178CB"/>
    <w:rsid w:val="00E17945"/>
    <w:rsid w:val="00E179A8"/>
    <w:rsid w:val="00E179F0"/>
    <w:rsid w:val="00E17A0C"/>
    <w:rsid w:val="00E17A47"/>
    <w:rsid w:val="00E17A53"/>
    <w:rsid w:val="00E17ABE"/>
    <w:rsid w:val="00E17AE5"/>
    <w:rsid w:val="00E17B2C"/>
    <w:rsid w:val="00E17B33"/>
    <w:rsid w:val="00E17B54"/>
    <w:rsid w:val="00E17B57"/>
    <w:rsid w:val="00E17BC4"/>
    <w:rsid w:val="00E17BF8"/>
    <w:rsid w:val="00E17BFB"/>
    <w:rsid w:val="00E17CD2"/>
    <w:rsid w:val="00E17CF4"/>
    <w:rsid w:val="00E17D83"/>
    <w:rsid w:val="00E17DAB"/>
    <w:rsid w:val="00E17DAE"/>
    <w:rsid w:val="00E17DBE"/>
    <w:rsid w:val="00E17E0C"/>
    <w:rsid w:val="00E17E5C"/>
    <w:rsid w:val="00E17E5D"/>
    <w:rsid w:val="00E17E63"/>
    <w:rsid w:val="00E17E6C"/>
    <w:rsid w:val="00E17EAE"/>
    <w:rsid w:val="00E17EB0"/>
    <w:rsid w:val="00E17ED9"/>
    <w:rsid w:val="00E17EDB"/>
    <w:rsid w:val="00E17EEF"/>
    <w:rsid w:val="00E17EFF"/>
    <w:rsid w:val="00E17F06"/>
    <w:rsid w:val="00E17F25"/>
    <w:rsid w:val="00E17F66"/>
    <w:rsid w:val="00E17F98"/>
    <w:rsid w:val="00E17FD9"/>
    <w:rsid w:val="00E17FE3"/>
    <w:rsid w:val="00E20031"/>
    <w:rsid w:val="00E20043"/>
    <w:rsid w:val="00E200A1"/>
    <w:rsid w:val="00E200B3"/>
    <w:rsid w:val="00E200B4"/>
    <w:rsid w:val="00E200D5"/>
    <w:rsid w:val="00E200F7"/>
    <w:rsid w:val="00E2011A"/>
    <w:rsid w:val="00E20172"/>
    <w:rsid w:val="00E201AF"/>
    <w:rsid w:val="00E201CB"/>
    <w:rsid w:val="00E201DA"/>
    <w:rsid w:val="00E2021B"/>
    <w:rsid w:val="00E202B5"/>
    <w:rsid w:val="00E202C0"/>
    <w:rsid w:val="00E202C4"/>
    <w:rsid w:val="00E202D0"/>
    <w:rsid w:val="00E20315"/>
    <w:rsid w:val="00E2037B"/>
    <w:rsid w:val="00E20381"/>
    <w:rsid w:val="00E20391"/>
    <w:rsid w:val="00E203B4"/>
    <w:rsid w:val="00E20449"/>
    <w:rsid w:val="00E20464"/>
    <w:rsid w:val="00E2046E"/>
    <w:rsid w:val="00E20477"/>
    <w:rsid w:val="00E2047C"/>
    <w:rsid w:val="00E2048C"/>
    <w:rsid w:val="00E2048D"/>
    <w:rsid w:val="00E204E3"/>
    <w:rsid w:val="00E20567"/>
    <w:rsid w:val="00E20568"/>
    <w:rsid w:val="00E2056B"/>
    <w:rsid w:val="00E2058C"/>
    <w:rsid w:val="00E205C8"/>
    <w:rsid w:val="00E205FE"/>
    <w:rsid w:val="00E206A9"/>
    <w:rsid w:val="00E206B0"/>
    <w:rsid w:val="00E206C0"/>
    <w:rsid w:val="00E206CF"/>
    <w:rsid w:val="00E206F3"/>
    <w:rsid w:val="00E2070A"/>
    <w:rsid w:val="00E2070D"/>
    <w:rsid w:val="00E2071B"/>
    <w:rsid w:val="00E2071E"/>
    <w:rsid w:val="00E207A0"/>
    <w:rsid w:val="00E207BD"/>
    <w:rsid w:val="00E207DD"/>
    <w:rsid w:val="00E20840"/>
    <w:rsid w:val="00E208A4"/>
    <w:rsid w:val="00E208E3"/>
    <w:rsid w:val="00E20908"/>
    <w:rsid w:val="00E2090D"/>
    <w:rsid w:val="00E2090E"/>
    <w:rsid w:val="00E20921"/>
    <w:rsid w:val="00E20941"/>
    <w:rsid w:val="00E20949"/>
    <w:rsid w:val="00E20970"/>
    <w:rsid w:val="00E2099C"/>
    <w:rsid w:val="00E20A4B"/>
    <w:rsid w:val="00E20A4C"/>
    <w:rsid w:val="00E20A76"/>
    <w:rsid w:val="00E20A94"/>
    <w:rsid w:val="00E20AB3"/>
    <w:rsid w:val="00E20ABE"/>
    <w:rsid w:val="00E20AC5"/>
    <w:rsid w:val="00E20B08"/>
    <w:rsid w:val="00E20B2F"/>
    <w:rsid w:val="00E20B35"/>
    <w:rsid w:val="00E20B38"/>
    <w:rsid w:val="00E20B40"/>
    <w:rsid w:val="00E20B43"/>
    <w:rsid w:val="00E20BD5"/>
    <w:rsid w:val="00E20C07"/>
    <w:rsid w:val="00E20C45"/>
    <w:rsid w:val="00E20C51"/>
    <w:rsid w:val="00E20C56"/>
    <w:rsid w:val="00E20C9D"/>
    <w:rsid w:val="00E20CBA"/>
    <w:rsid w:val="00E20D18"/>
    <w:rsid w:val="00E20D26"/>
    <w:rsid w:val="00E20D6A"/>
    <w:rsid w:val="00E20D9C"/>
    <w:rsid w:val="00E20DD8"/>
    <w:rsid w:val="00E20E2F"/>
    <w:rsid w:val="00E20E43"/>
    <w:rsid w:val="00E20E57"/>
    <w:rsid w:val="00E20E89"/>
    <w:rsid w:val="00E20E8E"/>
    <w:rsid w:val="00E20EB6"/>
    <w:rsid w:val="00E20EE6"/>
    <w:rsid w:val="00E20F05"/>
    <w:rsid w:val="00E20F2E"/>
    <w:rsid w:val="00E20F39"/>
    <w:rsid w:val="00E20F44"/>
    <w:rsid w:val="00E20F5C"/>
    <w:rsid w:val="00E20F7B"/>
    <w:rsid w:val="00E20F86"/>
    <w:rsid w:val="00E20FC4"/>
    <w:rsid w:val="00E20FE7"/>
    <w:rsid w:val="00E21050"/>
    <w:rsid w:val="00E21085"/>
    <w:rsid w:val="00E210C6"/>
    <w:rsid w:val="00E210D4"/>
    <w:rsid w:val="00E210DB"/>
    <w:rsid w:val="00E210E6"/>
    <w:rsid w:val="00E2110C"/>
    <w:rsid w:val="00E2111D"/>
    <w:rsid w:val="00E21151"/>
    <w:rsid w:val="00E211C6"/>
    <w:rsid w:val="00E211C7"/>
    <w:rsid w:val="00E211DE"/>
    <w:rsid w:val="00E211EE"/>
    <w:rsid w:val="00E2120B"/>
    <w:rsid w:val="00E2123A"/>
    <w:rsid w:val="00E2123B"/>
    <w:rsid w:val="00E21275"/>
    <w:rsid w:val="00E212B6"/>
    <w:rsid w:val="00E212BF"/>
    <w:rsid w:val="00E212D5"/>
    <w:rsid w:val="00E21331"/>
    <w:rsid w:val="00E21332"/>
    <w:rsid w:val="00E213AB"/>
    <w:rsid w:val="00E213D4"/>
    <w:rsid w:val="00E2144F"/>
    <w:rsid w:val="00E2145A"/>
    <w:rsid w:val="00E2147B"/>
    <w:rsid w:val="00E214B7"/>
    <w:rsid w:val="00E214BD"/>
    <w:rsid w:val="00E2150E"/>
    <w:rsid w:val="00E21563"/>
    <w:rsid w:val="00E21569"/>
    <w:rsid w:val="00E2156D"/>
    <w:rsid w:val="00E2157D"/>
    <w:rsid w:val="00E215AA"/>
    <w:rsid w:val="00E2160E"/>
    <w:rsid w:val="00E21620"/>
    <w:rsid w:val="00E2166F"/>
    <w:rsid w:val="00E216B3"/>
    <w:rsid w:val="00E216B6"/>
    <w:rsid w:val="00E216E5"/>
    <w:rsid w:val="00E216F4"/>
    <w:rsid w:val="00E21748"/>
    <w:rsid w:val="00E2175E"/>
    <w:rsid w:val="00E21786"/>
    <w:rsid w:val="00E2179A"/>
    <w:rsid w:val="00E217C7"/>
    <w:rsid w:val="00E217F5"/>
    <w:rsid w:val="00E21840"/>
    <w:rsid w:val="00E21856"/>
    <w:rsid w:val="00E21864"/>
    <w:rsid w:val="00E21890"/>
    <w:rsid w:val="00E218DA"/>
    <w:rsid w:val="00E218E0"/>
    <w:rsid w:val="00E21986"/>
    <w:rsid w:val="00E21A10"/>
    <w:rsid w:val="00E21A34"/>
    <w:rsid w:val="00E21AB7"/>
    <w:rsid w:val="00E21ABC"/>
    <w:rsid w:val="00E21AC0"/>
    <w:rsid w:val="00E21AF5"/>
    <w:rsid w:val="00E21B08"/>
    <w:rsid w:val="00E21B17"/>
    <w:rsid w:val="00E21B1F"/>
    <w:rsid w:val="00E21B30"/>
    <w:rsid w:val="00E21B3E"/>
    <w:rsid w:val="00E21B9D"/>
    <w:rsid w:val="00E21BA6"/>
    <w:rsid w:val="00E21BAB"/>
    <w:rsid w:val="00E21BDC"/>
    <w:rsid w:val="00E21BEA"/>
    <w:rsid w:val="00E21CC6"/>
    <w:rsid w:val="00E21CE7"/>
    <w:rsid w:val="00E21D18"/>
    <w:rsid w:val="00E21D26"/>
    <w:rsid w:val="00E21D42"/>
    <w:rsid w:val="00E21DB3"/>
    <w:rsid w:val="00E21DF8"/>
    <w:rsid w:val="00E21E03"/>
    <w:rsid w:val="00E21E9D"/>
    <w:rsid w:val="00E21EC3"/>
    <w:rsid w:val="00E21ECF"/>
    <w:rsid w:val="00E21ED4"/>
    <w:rsid w:val="00E21EE0"/>
    <w:rsid w:val="00E21EE1"/>
    <w:rsid w:val="00E21F03"/>
    <w:rsid w:val="00E21F2E"/>
    <w:rsid w:val="00E21FA4"/>
    <w:rsid w:val="00E21FB2"/>
    <w:rsid w:val="00E21FBF"/>
    <w:rsid w:val="00E21FC4"/>
    <w:rsid w:val="00E21FFB"/>
    <w:rsid w:val="00E21FFE"/>
    <w:rsid w:val="00E22011"/>
    <w:rsid w:val="00E22014"/>
    <w:rsid w:val="00E2204B"/>
    <w:rsid w:val="00E2204C"/>
    <w:rsid w:val="00E22057"/>
    <w:rsid w:val="00E22086"/>
    <w:rsid w:val="00E2208E"/>
    <w:rsid w:val="00E22090"/>
    <w:rsid w:val="00E2209D"/>
    <w:rsid w:val="00E220B2"/>
    <w:rsid w:val="00E220B7"/>
    <w:rsid w:val="00E220C3"/>
    <w:rsid w:val="00E220FA"/>
    <w:rsid w:val="00E2212C"/>
    <w:rsid w:val="00E22161"/>
    <w:rsid w:val="00E22167"/>
    <w:rsid w:val="00E221E5"/>
    <w:rsid w:val="00E22225"/>
    <w:rsid w:val="00E22298"/>
    <w:rsid w:val="00E222A0"/>
    <w:rsid w:val="00E222E2"/>
    <w:rsid w:val="00E222E5"/>
    <w:rsid w:val="00E222E6"/>
    <w:rsid w:val="00E22349"/>
    <w:rsid w:val="00E22393"/>
    <w:rsid w:val="00E223BD"/>
    <w:rsid w:val="00E223EB"/>
    <w:rsid w:val="00E22403"/>
    <w:rsid w:val="00E22424"/>
    <w:rsid w:val="00E22496"/>
    <w:rsid w:val="00E224C9"/>
    <w:rsid w:val="00E224EA"/>
    <w:rsid w:val="00E22516"/>
    <w:rsid w:val="00E22585"/>
    <w:rsid w:val="00E22597"/>
    <w:rsid w:val="00E225BA"/>
    <w:rsid w:val="00E22627"/>
    <w:rsid w:val="00E22641"/>
    <w:rsid w:val="00E22643"/>
    <w:rsid w:val="00E22644"/>
    <w:rsid w:val="00E22658"/>
    <w:rsid w:val="00E226B8"/>
    <w:rsid w:val="00E226C0"/>
    <w:rsid w:val="00E226CB"/>
    <w:rsid w:val="00E226ED"/>
    <w:rsid w:val="00E22772"/>
    <w:rsid w:val="00E2277D"/>
    <w:rsid w:val="00E2277F"/>
    <w:rsid w:val="00E22788"/>
    <w:rsid w:val="00E2279E"/>
    <w:rsid w:val="00E227A2"/>
    <w:rsid w:val="00E227B4"/>
    <w:rsid w:val="00E227B5"/>
    <w:rsid w:val="00E22802"/>
    <w:rsid w:val="00E2280B"/>
    <w:rsid w:val="00E22858"/>
    <w:rsid w:val="00E22859"/>
    <w:rsid w:val="00E22904"/>
    <w:rsid w:val="00E22947"/>
    <w:rsid w:val="00E22987"/>
    <w:rsid w:val="00E2298E"/>
    <w:rsid w:val="00E229D4"/>
    <w:rsid w:val="00E229D8"/>
    <w:rsid w:val="00E229EB"/>
    <w:rsid w:val="00E22A4E"/>
    <w:rsid w:val="00E22A68"/>
    <w:rsid w:val="00E22ADF"/>
    <w:rsid w:val="00E22AE1"/>
    <w:rsid w:val="00E22B14"/>
    <w:rsid w:val="00E22B3C"/>
    <w:rsid w:val="00E22B90"/>
    <w:rsid w:val="00E22BDE"/>
    <w:rsid w:val="00E22BDF"/>
    <w:rsid w:val="00E22BF6"/>
    <w:rsid w:val="00E22C0E"/>
    <w:rsid w:val="00E22C27"/>
    <w:rsid w:val="00E22C3E"/>
    <w:rsid w:val="00E22C77"/>
    <w:rsid w:val="00E22C88"/>
    <w:rsid w:val="00E22CED"/>
    <w:rsid w:val="00E22D64"/>
    <w:rsid w:val="00E22D6D"/>
    <w:rsid w:val="00E22D7A"/>
    <w:rsid w:val="00E22D93"/>
    <w:rsid w:val="00E22DA7"/>
    <w:rsid w:val="00E22DB5"/>
    <w:rsid w:val="00E22DBB"/>
    <w:rsid w:val="00E22E24"/>
    <w:rsid w:val="00E22E42"/>
    <w:rsid w:val="00E22E67"/>
    <w:rsid w:val="00E22E8A"/>
    <w:rsid w:val="00E22E92"/>
    <w:rsid w:val="00E22E99"/>
    <w:rsid w:val="00E22EC7"/>
    <w:rsid w:val="00E22EE5"/>
    <w:rsid w:val="00E22EF2"/>
    <w:rsid w:val="00E22F16"/>
    <w:rsid w:val="00E22F30"/>
    <w:rsid w:val="00E22FB9"/>
    <w:rsid w:val="00E22FE2"/>
    <w:rsid w:val="00E2312E"/>
    <w:rsid w:val="00E23151"/>
    <w:rsid w:val="00E231EB"/>
    <w:rsid w:val="00E231F0"/>
    <w:rsid w:val="00E231FA"/>
    <w:rsid w:val="00E231FC"/>
    <w:rsid w:val="00E23209"/>
    <w:rsid w:val="00E23216"/>
    <w:rsid w:val="00E2323E"/>
    <w:rsid w:val="00E23247"/>
    <w:rsid w:val="00E23251"/>
    <w:rsid w:val="00E23267"/>
    <w:rsid w:val="00E23289"/>
    <w:rsid w:val="00E23291"/>
    <w:rsid w:val="00E232F9"/>
    <w:rsid w:val="00E23354"/>
    <w:rsid w:val="00E233D7"/>
    <w:rsid w:val="00E233F0"/>
    <w:rsid w:val="00E2341F"/>
    <w:rsid w:val="00E2343F"/>
    <w:rsid w:val="00E23475"/>
    <w:rsid w:val="00E234EA"/>
    <w:rsid w:val="00E2355E"/>
    <w:rsid w:val="00E2356E"/>
    <w:rsid w:val="00E23579"/>
    <w:rsid w:val="00E23588"/>
    <w:rsid w:val="00E23598"/>
    <w:rsid w:val="00E235BF"/>
    <w:rsid w:val="00E235F1"/>
    <w:rsid w:val="00E23616"/>
    <w:rsid w:val="00E23643"/>
    <w:rsid w:val="00E2368B"/>
    <w:rsid w:val="00E2371F"/>
    <w:rsid w:val="00E2373F"/>
    <w:rsid w:val="00E237FF"/>
    <w:rsid w:val="00E23817"/>
    <w:rsid w:val="00E23878"/>
    <w:rsid w:val="00E23882"/>
    <w:rsid w:val="00E23896"/>
    <w:rsid w:val="00E238EC"/>
    <w:rsid w:val="00E238EE"/>
    <w:rsid w:val="00E238FC"/>
    <w:rsid w:val="00E23922"/>
    <w:rsid w:val="00E23944"/>
    <w:rsid w:val="00E23991"/>
    <w:rsid w:val="00E239BE"/>
    <w:rsid w:val="00E239E7"/>
    <w:rsid w:val="00E23AD0"/>
    <w:rsid w:val="00E23B61"/>
    <w:rsid w:val="00E23BAF"/>
    <w:rsid w:val="00E23BC3"/>
    <w:rsid w:val="00E23C5F"/>
    <w:rsid w:val="00E23C75"/>
    <w:rsid w:val="00E23C9C"/>
    <w:rsid w:val="00E23CB0"/>
    <w:rsid w:val="00E23CB8"/>
    <w:rsid w:val="00E23CC3"/>
    <w:rsid w:val="00E23CF8"/>
    <w:rsid w:val="00E23D04"/>
    <w:rsid w:val="00E23D3C"/>
    <w:rsid w:val="00E23D65"/>
    <w:rsid w:val="00E23D6E"/>
    <w:rsid w:val="00E23D7F"/>
    <w:rsid w:val="00E23DCF"/>
    <w:rsid w:val="00E23DE4"/>
    <w:rsid w:val="00E23DFE"/>
    <w:rsid w:val="00E23E3D"/>
    <w:rsid w:val="00E23E5A"/>
    <w:rsid w:val="00E23ED3"/>
    <w:rsid w:val="00E23F46"/>
    <w:rsid w:val="00E23F4F"/>
    <w:rsid w:val="00E23F71"/>
    <w:rsid w:val="00E23FAD"/>
    <w:rsid w:val="00E23FD5"/>
    <w:rsid w:val="00E23FD7"/>
    <w:rsid w:val="00E23FFB"/>
    <w:rsid w:val="00E24041"/>
    <w:rsid w:val="00E24053"/>
    <w:rsid w:val="00E24069"/>
    <w:rsid w:val="00E24097"/>
    <w:rsid w:val="00E240FF"/>
    <w:rsid w:val="00E24128"/>
    <w:rsid w:val="00E24152"/>
    <w:rsid w:val="00E2415F"/>
    <w:rsid w:val="00E24169"/>
    <w:rsid w:val="00E24193"/>
    <w:rsid w:val="00E24245"/>
    <w:rsid w:val="00E2428D"/>
    <w:rsid w:val="00E2429A"/>
    <w:rsid w:val="00E242A3"/>
    <w:rsid w:val="00E242CC"/>
    <w:rsid w:val="00E242D8"/>
    <w:rsid w:val="00E24326"/>
    <w:rsid w:val="00E24332"/>
    <w:rsid w:val="00E24344"/>
    <w:rsid w:val="00E24361"/>
    <w:rsid w:val="00E243BA"/>
    <w:rsid w:val="00E243BF"/>
    <w:rsid w:val="00E243CA"/>
    <w:rsid w:val="00E24442"/>
    <w:rsid w:val="00E24443"/>
    <w:rsid w:val="00E24463"/>
    <w:rsid w:val="00E24494"/>
    <w:rsid w:val="00E24498"/>
    <w:rsid w:val="00E2450E"/>
    <w:rsid w:val="00E2453F"/>
    <w:rsid w:val="00E24545"/>
    <w:rsid w:val="00E2454F"/>
    <w:rsid w:val="00E24584"/>
    <w:rsid w:val="00E245AD"/>
    <w:rsid w:val="00E245D4"/>
    <w:rsid w:val="00E245E9"/>
    <w:rsid w:val="00E2468A"/>
    <w:rsid w:val="00E246C5"/>
    <w:rsid w:val="00E246CD"/>
    <w:rsid w:val="00E246CE"/>
    <w:rsid w:val="00E2472B"/>
    <w:rsid w:val="00E2475C"/>
    <w:rsid w:val="00E2476A"/>
    <w:rsid w:val="00E24790"/>
    <w:rsid w:val="00E24797"/>
    <w:rsid w:val="00E2479E"/>
    <w:rsid w:val="00E247F5"/>
    <w:rsid w:val="00E247F9"/>
    <w:rsid w:val="00E247FF"/>
    <w:rsid w:val="00E24804"/>
    <w:rsid w:val="00E2484F"/>
    <w:rsid w:val="00E24861"/>
    <w:rsid w:val="00E24896"/>
    <w:rsid w:val="00E24899"/>
    <w:rsid w:val="00E248C5"/>
    <w:rsid w:val="00E248EE"/>
    <w:rsid w:val="00E24951"/>
    <w:rsid w:val="00E24991"/>
    <w:rsid w:val="00E24992"/>
    <w:rsid w:val="00E249A7"/>
    <w:rsid w:val="00E249AC"/>
    <w:rsid w:val="00E249AF"/>
    <w:rsid w:val="00E249BB"/>
    <w:rsid w:val="00E249DA"/>
    <w:rsid w:val="00E249E0"/>
    <w:rsid w:val="00E24A29"/>
    <w:rsid w:val="00E24AD9"/>
    <w:rsid w:val="00E24AED"/>
    <w:rsid w:val="00E24B30"/>
    <w:rsid w:val="00E24B34"/>
    <w:rsid w:val="00E24B42"/>
    <w:rsid w:val="00E24B4B"/>
    <w:rsid w:val="00E24B75"/>
    <w:rsid w:val="00E24B86"/>
    <w:rsid w:val="00E24B8E"/>
    <w:rsid w:val="00E24BC8"/>
    <w:rsid w:val="00E24C46"/>
    <w:rsid w:val="00E24C69"/>
    <w:rsid w:val="00E24C89"/>
    <w:rsid w:val="00E24CC9"/>
    <w:rsid w:val="00E24CCA"/>
    <w:rsid w:val="00E24D4C"/>
    <w:rsid w:val="00E24D86"/>
    <w:rsid w:val="00E24D8D"/>
    <w:rsid w:val="00E24DB2"/>
    <w:rsid w:val="00E24DCE"/>
    <w:rsid w:val="00E24E18"/>
    <w:rsid w:val="00E24E38"/>
    <w:rsid w:val="00E24E47"/>
    <w:rsid w:val="00E24E49"/>
    <w:rsid w:val="00E24E6D"/>
    <w:rsid w:val="00E24E8D"/>
    <w:rsid w:val="00E24E8E"/>
    <w:rsid w:val="00E24EB8"/>
    <w:rsid w:val="00E24EC6"/>
    <w:rsid w:val="00E24EFC"/>
    <w:rsid w:val="00E24F0E"/>
    <w:rsid w:val="00E24F10"/>
    <w:rsid w:val="00E24F2A"/>
    <w:rsid w:val="00E24F36"/>
    <w:rsid w:val="00E24F3A"/>
    <w:rsid w:val="00E24F58"/>
    <w:rsid w:val="00E24F71"/>
    <w:rsid w:val="00E24FC2"/>
    <w:rsid w:val="00E24FCD"/>
    <w:rsid w:val="00E24FE4"/>
    <w:rsid w:val="00E24FE9"/>
    <w:rsid w:val="00E24FFE"/>
    <w:rsid w:val="00E25014"/>
    <w:rsid w:val="00E2501D"/>
    <w:rsid w:val="00E25031"/>
    <w:rsid w:val="00E2509D"/>
    <w:rsid w:val="00E250B5"/>
    <w:rsid w:val="00E2511C"/>
    <w:rsid w:val="00E25142"/>
    <w:rsid w:val="00E25258"/>
    <w:rsid w:val="00E252C1"/>
    <w:rsid w:val="00E252D1"/>
    <w:rsid w:val="00E252E7"/>
    <w:rsid w:val="00E252F8"/>
    <w:rsid w:val="00E2530B"/>
    <w:rsid w:val="00E25311"/>
    <w:rsid w:val="00E25337"/>
    <w:rsid w:val="00E25360"/>
    <w:rsid w:val="00E25362"/>
    <w:rsid w:val="00E2537E"/>
    <w:rsid w:val="00E253CF"/>
    <w:rsid w:val="00E253E4"/>
    <w:rsid w:val="00E25415"/>
    <w:rsid w:val="00E25469"/>
    <w:rsid w:val="00E254A8"/>
    <w:rsid w:val="00E254AC"/>
    <w:rsid w:val="00E254FA"/>
    <w:rsid w:val="00E25502"/>
    <w:rsid w:val="00E2555F"/>
    <w:rsid w:val="00E25573"/>
    <w:rsid w:val="00E25589"/>
    <w:rsid w:val="00E255AD"/>
    <w:rsid w:val="00E255B2"/>
    <w:rsid w:val="00E255EA"/>
    <w:rsid w:val="00E25622"/>
    <w:rsid w:val="00E2566C"/>
    <w:rsid w:val="00E25675"/>
    <w:rsid w:val="00E2568C"/>
    <w:rsid w:val="00E256E8"/>
    <w:rsid w:val="00E25703"/>
    <w:rsid w:val="00E25708"/>
    <w:rsid w:val="00E2570C"/>
    <w:rsid w:val="00E25720"/>
    <w:rsid w:val="00E2574F"/>
    <w:rsid w:val="00E2575F"/>
    <w:rsid w:val="00E25774"/>
    <w:rsid w:val="00E2577A"/>
    <w:rsid w:val="00E25785"/>
    <w:rsid w:val="00E2578E"/>
    <w:rsid w:val="00E257C5"/>
    <w:rsid w:val="00E257E8"/>
    <w:rsid w:val="00E25815"/>
    <w:rsid w:val="00E25821"/>
    <w:rsid w:val="00E25842"/>
    <w:rsid w:val="00E25899"/>
    <w:rsid w:val="00E258FD"/>
    <w:rsid w:val="00E25901"/>
    <w:rsid w:val="00E25903"/>
    <w:rsid w:val="00E2595B"/>
    <w:rsid w:val="00E2597C"/>
    <w:rsid w:val="00E2598B"/>
    <w:rsid w:val="00E259FB"/>
    <w:rsid w:val="00E25A33"/>
    <w:rsid w:val="00E25A4B"/>
    <w:rsid w:val="00E25A52"/>
    <w:rsid w:val="00E25A5F"/>
    <w:rsid w:val="00E25A7D"/>
    <w:rsid w:val="00E25A94"/>
    <w:rsid w:val="00E25AA7"/>
    <w:rsid w:val="00E25AC1"/>
    <w:rsid w:val="00E25AEF"/>
    <w:rsid w:val="00E25B21"/>
    <w:rsid w:val="00E25B35"/>
    <w:rsid w:val="00E25B53"/>
    <w:rsid w:val="00E25BD1"/>
    <w:rsid w:val="00E25BDD"/>
    <w:rsid w:val="00E25BE8"/>
    <w:rsid w:val="00E25BF1"/>
    <w:rsid w:val="00E25BFD"/>
    <w:rsid w:val="00E25C15"/>
    <w:rsid w:val="00E25C3A"/>
    <w:rsid w:val="00E25C52"/>
    <w:rsid w:val="00E25CB9"/>
    <w:rsid w:val="00E25CDF"/>
    <w:rsid w:val="00E25D13"/>
    <w:rsid w:val="00E25D3F"/>
    <w:rsid w:val="00E25D4D"/>
    <w:rsid w:val="00E25DD3"/>
    <w:rsid w:val="00E25DDA"/>
    <w:rsid w:val="00E25E54"/>
    <w:rsid w:val="00E25E6B"/>
    <w:rsid w:val="00E25E93"/>
    <w:rsid w:val="00E25E9D"/>
    <w:rsid w:val="00E25EC6"/>
    <w:rsid w:val="00E25EDF"/>
    <w:rsid w:val="00E25F18"/>
    <w:rsid w:val="00E25F75"/>
    <w:rsid w:val="00E25F9D"/>
    <w:rsid w:val="00E25FB1"/>
    <w:rsid w:val="00E25FED"/>
    <w:rsid w:val="00E26083"/>
    <w:rsid w:val="00E260D6"/>
    <w:rsid w:val="00E26129"/>
    <w:rsid w:val="00E2613E"/>
    <w:rsid w:val="00E2616F"/>
    <w:rsid w:val="00E26170"/>
    <w:rsid w:val="00E26191"/>
    <w:rsid w:val="00E2619D"/>
    <w:rsid w:val="00E261B8"/>
    <w:rsid w:val="00E261E6"/>
    <w:rsid w:val="00E26207"/>
    <w:rsid w:val="00E26222"/>
    <w:rsid w:val="00E26223"/>
    <w:rsid w:val="00E26298"/>
    <w:rsid w:val="00E262C4"/>
    <w:rsid w:val="00E262CB"/>
    <w:rsid w:val="00E262EA"/>
    <w:rsid w:val="00E262F9"/>
    <w:rsid w:val="00E26301"/>
    <w:rsid w:val="00E2638D"/>
    <w:rsid w:val="00E26395"/>
    <w:rsid w:val="00E2639B"/>
    <w:rsid w:val="00E2639E"/>
    <w:rsid w:val="00E26400"/>
    <w:rsid w:val="00E2644A"/>
    <w:rsid w:val="00E26467"/>
    <w:rsid w:val="00E2646B"/>
    <w:rsid w:val="00E26499"/>
    <w:rsid w:val="00E264F3"/>
    <w:rsid w:val="00E26509"/>
    <w:rsid w:val="00E2651E"/>
    <w:rsid w:val="00E2654F"/>
    <w:rsid w:val="00E2655C"/>
    <w:rsid w:val="00E2656F"/>
    <w:rsid w:val="00E2657E"/>
    <w:rsid w:val="00E2658D"/>
    <w:rsid w:val="00E26599"/>
    <w:rsid w:val="00E265EF"/>
    <w:rsid w:val="00E26640"/>
    <w:rsid w:val="00E26645"/>
    <w:rsid w:val="00E26694"/>
    <w:rsid w:val="00E266A7"/>
    <w:rsid w:val="00E266B5"/>
    <w:rsid w:val="00E266F1"/>
    <w:rsid w:val="00E26736"/>
    <w:rsid w:val="00E267B5"/>
    <w:rsid w:val="00E267BA"/>
    <w:rsid w:val="00E267CB"/>
    <w:rsid w:val="00E267D9"/>
    <w:rsid w:val="00E267EE"/>
    <w:rsid w:val="00E2683D"/>
    <w:rsid w:val="00E26842"/>
    <w:rsid w:val="00E2685E"/>
    <w:rsid w:val="00E26875"/>
    <w:rsid w:val="00E268A4"/>
    <w:rsid w:val="00E268A7"/>
    <w:rsid w:val="00E268ED"/>
    <w:rsid w:val="00E268F3"/>
    <w:rsid w:val="00E2693C"/>
    <w:rsid w:val="00E26991"/>
    <w:rsid w:val="00E269C1"/>
    <w:rsid w:val="00E269D0"/>
    <w:rsid w:val="00E269D8"/>
    <w:rsid w:val="00E269DC"/>
    <w:rsid w:val="00E26A2C"/>
    <w:rsid w:val="00E26A38"/>
    <w:rsid w:val="00E26A5E"/>
    <w:rsid w:val="00E26A5F"/>
    <w:rsid w:val="00E26A75"/>
    <w:rsid w:val="00E26A8F"/>
    <w:rsid w:val="00E26AA2"/>
    <w:rsid w:val="00E26AE5"/>
    <w:rsid w:val="00E26B25"/>
    <w:rsid w:val="00E26B67"/>
    <w:rsid w:val="00E26B84"/>
    <w:rsid w:val="00E26BA5"/>
    <w:rsid w:val="00E26BC2"/>
    <w:rsid w:val="00E26BC9"/>
    <w:rsid w:val="00E26BD0"/>
    <w:rsid w:val="00E26BD6"/>
    <w:rsid w:val="00E26CBA"/>
    <w:rsid w:val="00E26D32"/>
    <w:rsid w:val="00E26D35"/>
    <w:rsid w:val="00E26D46"/>
    <w:rsid w:val="00E26D52"/>
    <w:rsid w:val="00E26D59"/>
    <w:rsid w:val="00E26D9E"/>
    <w:rsid w:val="00E26DEC"/>
    <w:rsid w:val="00E26DF2"/>
    <w:rsid w:val="00E26DF9"/>
    <w:rsid w:val="00E26E30"/>
    <w:rsid w:val="00E26E56"/>
    <w:rsid w:val="00E26E76"/>
    <w:rsid w:val="00E26EE7"/>
    <w:rsid w:val="00E26F47"/>
    <w:rsid w:val="00E26F65"/>
    <w:rsid w:val="00E26F8B"/>
    <w:rsid w:val="00E26F93"/>
    <w:rsid w:val="00E26F9D"/>
    <w:rsid w:val="00E26FAA"/>
    <w:rsid w:val="00E26FAD"/>
    <w:rsid w:val="00E26FDC"/>
    <w:rsid w:val="00E27026"/>
    <w:rsid w:val="00E27036"/>
    <w:rsid w:val="00E2704A"/>
    <w:rsid w:val="00E2704B"/>
    <w:rsid w:val="00E27072"/>
    <w:rsid w:val="00E2708A"/>
    <w:rsid w:val="00E27128"/>
    <w:rsid w:val="00E2713A"/>
    <w:rsid w:val="00E2715A"/>
    <w:rsid w:val="00E271C3"/>
    <w:rsid w:val="00E271E6"/>
    <w:rsid w:val="00E271F3"/>
    <w:rsid w:val="00E27217"/>
    <w:rsid w:val="00E27237"/>
    <w:rsid w:val="00E2727D"/>
    <w:rsid w:val="00E2728A"/>
    <w:rsid w:val="00E272E0"/>
    <w:rsid w:val="00E27301"/>
    <w:rsid w:val="00E2730F"/>
    <w:rsid w:val="00E2731F"/>
    <w:rsid w:val="00E27331"/>
    <w:rsid w:val="00E27380"/>
    <w:rsid w:val="00E27381"/>
    <w:rsid w:val="00E27398"/>
    <w:rsid w:val="00E273C5"/>
    <w:rsid w:val="00E273C8"/>
    <w:rsid w:val="00E2742D"/>
    <w:rsid w:val="00E2742F"/>
    <w:rsid w:val="00E2744B"/>
    <w:rsid w:val="00E27474"/>
    <w:rsid w:val="00E27475"/>
    <w:rsid w:val="00E27492"/>
    <w:rsid w:val="00E2753B"/>
    <w:rsid w:val="00E27550"/>
    <w:rsid w:val="00E27569"/>
    <w:rsid w:val="00E27599"/>
    <w:rsid w:val="00E2759C"/>
    <w:rsid w:val="00E275C2"/>
    <w:rsid w:val="00E2762D"/>
    <w:rsid w:val="00E2762F"/>
    <w:rsid w:val="00E2765A"/>
    <w:rsid w:val="00E27672"/>
    <w:rsid w:val="00E2767E"/>
    <w:rsid w:val="00E276A3"/>
    <w:rsid w:val="00E276CD"/>
    <w:rsid w:val="00E276E1"/>
    <w:rsid w:val="00E276EB"/>
    <w:rsid w:val="00E276F1"/>
    <w:rsid w:val="00E27716"/>
    <w:rsid w:val="00E27751"/>
    <w:rsid w:val="00E27752"/>
    <w:rsid w:val="00E27771"/>
    <w:rsid w:val="00E27789"/>
    <w:rsid w:val="00E27793"/>
    <w:rsid w:val="00E277D7"/>
    <w:rsid w:val="00E277DB"/>
    <w:rsid w:val="00E277DE"/>
    <w:rsid w:val="00E277FB"/>
    <w:rsid w:val="00E2786D"/>
    <w:rsid w:val="00E2788B"/>
    <w:rsid w:val="00E278AB"/>
    <w:rsid w:val="00E278B4"/>
    <w:rsid w:val="00E278B6"/>
    <w:rsid w:val="00E278CB"/>
    <w:rsid w:val="00E278E1"/>
    <w:rsid w:val="00E278E9"/>
    <w:rsid w:val="00E278EE"/>
    <w:rsid w:val="00E278FB"/>
    <w:rsid w:val="00E27902"/>
    <w:rsid w:val="00E2796B"/>
    <w:rsid w:val="00E27A36"/>
    <w:rsid w:val="00E27A3B"/>
    <w:rsid w:val="00E27A4E"/>
    <w:rsid w:val="00E27A5F"/>
    <w:rsid w:val="00E27A77"/>
    <w:rsid w:val="00E27A87"/>
    <w:rsid w:val="00E27A8B"/>
    <w:rsid w:val="00E27ACD"/>
    <w:rsid w:val="00E27ADF"/>
    <w:rsid w:val="00E27B43"/>
    <w:rsid w:val="00E27B87"/>
    <w:rsid w:val="00E27BA8"/>
    <w:rsid w:val="00E27BCF"/>
    <w:rsid w:val="00E27BDB"/>
    <w:rsid w:val="00E27BF5"/>
    <w:rsid w:val="00E27C46"/>
    <w:rsid w:val="00E27C51"/>
    <w:rsid w:val="00E27C56"/>
    <w:rsid w:val="00E27C77"/>
    <w:rsid w:val="00E27CBD"/>
    <w:rsid w:val="00E27D1C"/>
    <w:rsid w:val="00E27D38"/>
    <w:rsid w:val="00E27D93"/>
    <w:rsid w:val="00E27DC5"/>
    <w:rsid w:val="00E27DDF"/>
    <w:rsid w:val="00E27E3E"/>
    <w:rsid w:val="00E27E58"/>
    <w:rsid w:val="00E27EB3"/>
    <w:rsid w:val="00E27ECF"/>
    <w:rsid w:val="00E27F1B"/>
    <w:rsid w:val="00E27F25"/>
    <w:rsid w:val="00E27F2A"/>
    <w:rsid w:val="00E27F47"/>
    <w:rsid w:val="00E27F8F"/>
    <w:rsid w:val="00E30023"/>
    <w:rsid w:val="00E30029"/>
    <w:rsid w:val="00E3004A"/>
    <w:rsid w:val="00E30097"/>
    <w:rsid w:val="00E3009B"/>
    <w:rsid w:val="00E300AD"/>
    <w:rsid w:val="00E3010F"/>
    <w:rsid w:val="00E30138"/>
    <w:rsid w:val="00E3013F"/>
    <w:rsid w:val="00E3015C"/>
    <w:rsid w:val="00E30178"/>
    <w:rsid w:val="00E301B2"/>
    <w:rsid w:val="00E301B9"/>
    <w:rsid w:val="00E3021A"/>
    <w:rsid w:val="00E30238"/>
    <w:rsid w:val="00E3024E"/>
    <w:rsid w:val="00E30281"/>
    <w:rsid w:val="00E30294"/>
    <w:rsid w:val="00E3029C"/>
    <w:rsid w:val="00E302A0"/>
    <w:rsid w:val="00E302D1"/>
    <w:rsid w:val="00E302D3"/>
    <w:rsid w:val="00E302E2"/>
    <w:rsid w:val="00E302FE"/>
    <w:rsid w:val="00E30310"/>
    <w:rsid w:val="00E303BC"/>
    <w:rsid w:val="00E303C0"/>
    <w:rsid w:val="00E303CC"/>
    <w:rsid w:val="00E303E2"/>
    <w:rsid w:val="00E303FA"/>
    <w:rsid w:val="00E3044A"/>
    <w:rsid w:val="00E304AB"/>
    <w:rsid w:val="00E304D0"/>
    <w:rsid w:val="00E304F6"/>
    <w:rsid w:val="00E30522"/>
    <w:rsid w:val="00E30569"/>
    <w:rsid w:val="00E305A4"/>
    <w:rsid w:val="00E305CB"/>
    <w:rsid w:val="00E305F1"/>
    <w:rsid w:val="00E305F7"/>
    <w:rsid w:val="00E30618"/>
    <w:rsid w:val="00E3061D"/>
    <w:rsid w:val="00E30645"/>
    <w:rsid w:val="00E30648"/>
    <w:rsid w:val="00E306A9"/>
    <w:rsid w:val="00E306F1"/>
    <w:rsid w:val="00E30744"/>
    <w:rsid w:val="00E30768"/>
    <w:rsid w:val="00E30780"/>
    <w:rsid w:val="00E307FB"/>
    <w:rsid w:val="00E30805"/>
    <w:rsid w:val="00E30891"/>
    <w:rsid w:val="00E308A1"/>
    <w:rsid w:val="00E308AF"/>
    <w:rsid w:val="00E308F8"/>
    <w:rsid w:val="00E3099C"/>
    <w:rsid w:val="00E309B4"/>
    <w:rsid w:val="00E309E9"/>
    <w:rsid w:val="00E30A3B"/>
    <w:rsid w:val="00E30A93"/>
    <w:rsid w:val="00E30AA5"/>
    <w:rsid w:val="00E30AB7"/>
    <w:rsid w:val="00E30AE6"/>
    <w:rsid w:val="00E30B1C"/>
    <w:rsid w:val="00E30B65"/>
    <w:rsid w:val="00E30B6C"/>
    <w:rsid w:val="00E30B7E"/>
    <w:rsid w:val="00E30BA8"/>
    <w:rsid w:val="00E30C01"/>
    <w:rsid w:val="00E30C28"/>
    <w:rsid w:val="00E30C9C"/>
    <w:rsid w:val="00E30D15"/>
    <w:rsid w:val="00E30D4B"/>
    <w:rsid w:val="00E30D73"/>
    <w:rsid w:val="00E30DA8"/>
    <w:rsid w:val="00E30DB2"/>
    <w:rsid w:val="00E30DC0"/>
    <w:rsid w:val="00E30DD9"/>
    <w:rsid w:val="00E30DEB"/>
    <w:rsid w:val="00E30DFA"/>
    <w:rsid w:val="00E30E54"/>
    <w:rsid w:val="00E30E66"/>
    <w:rsid w:val="00E30EDD"/>
    <w:rsid w:val="00E30FA5"/>
    <w:rsid w:val="00E30FC5"/>
    <w:rsid w:val="00E30FDE"/>
    <w:rsid w:val="00E3100B"/>
    <w:rsid w:val="00E31091"/>
    <w:rsid w:val="00E310CF"/>
    <w:rsid w:val="00E310D1"/>
    <w:rsid w:val="00E310D6"/>
    <w:rsid w:val="00E3112A"/>
    <w:rsid w:val="00E31138"/>
    <w:rsid w:val="00E31158"/>
    <w:rsid w:val="00E3117B"/>
    <w:rsid w:val="00E31195"/>
    <w:rsid w:val="00E311F4"/>
    <w:rsid w:val="00E3127F"/>
    <w:rsid w:val="00E31296"/>
    <w:rsid w:val="00E3129C"/>
    <w:rsid w:val="00E312BB"/>
    <w:rsid w:val="00E312D6"/>
    <w:rsid w:val="00E312EE"/>
    <w:rsid w:val="00E312F8"/>
    <w:rsid w:val="00E31308"/>
    <w:rsid w:val="00E31334"/>
    <w:rsid w:val="00E31351"/>
    <w:rsid w:val="00E3135F"/>
    <w:rsid w:val="00E31395"/>
    <w:rsid w:val="00E313B8"/>
    <w:rsid w:val="00E313C0"/>
    <w:rsid w:val="00E313C2"/>
    <w:rsid w:val="00E313E1"/>
    <w:rsid w:val="00E31413"/>
    <w:rsid w:val="00E3141B"/>
    <w:rsid w:val="00E3143F"/>
    <w:rsid w:val="00E3145B"/>
    <w:rsid w:val="00E314D9"/>
    <w:rsid w:val="00E314DD"/>
    <w:rsid w:val="00E314F8"/>
    <w:rsid w:val="00E314FD"/>
    <w:rsid w:val="00E3152D"/>
    <w:rsid w:val="00E31584"/>
    <w:rsid w:val="00E31586"/>
    <w:rsid w:val="00E3158B"/>
    <w:rsid w:val="00E315DA"/>
    <w:rsid w:val="00E31603"/>
    <w:rsid w:val="00E3161C"/>
    <w:rsid w:val="00E31674"/>
    <w:rsid w:val="00E31676"/>
    <w:rsid w:val="00E31697"/>
    <w:rsid w:val="00E31699"/>
    <w:rsid w:val="00E316D7"/>
    <w:rsid w:val="00E3175F"/>
    <w:rsid w:val="00E31761"/>
    <w:rsid w:val="00E317A5"/>
    <w:rsid w:val="00E31813"/>
    <w:rsid w:val="00E318BF"/>
    <w:rsid w:val="00E318C2"/>
    <w:rsid w:val="00E318CA"/>
    <w:rsid w:val="00E318F2"/>
    <w:rsid w:val="00E31938"/>
    <w:rsid w:val="00E3193C"/>
    <w:rsid w:val="00E31959"/>
    <w:rsid w:val="00E3199F"/>
    <w:rsid w:val="00E319B1"/>
    <w:rsid w:val="00E319D2"/>
    <w:rsid w:val="00E31A11"/>
    <w:rsid w:val="00E31A1E"/>
    <w:rsid w:val="00E31A2C"/>
    <w:rsid w:val="00E31A5D"/>
    <w:rsid w:val="00E31ABA"/>
    <w:rsid w:val="00E31ADC"/>
    <w:rsid w:val="00E31AFE"/>
    <w:rsid w:val="00E31B12"/>
    <w:rsid w:val="00E31B35"/>
    <w:rsid w:val="00E31B42"/>
    <w:rsid w:val="00E31B6C"/>
    <w:rsid w:val="00E31B84"/>
    <w:rsid w:val="00E31B91"/>
    <w:rsid w:val="00E31BCD"/>
    <w:rsid w:val="00E31BD4"/>
    <w:rsid w:val="00E31BF2"/>
    <w:rsid w:val="00E31C0D"/>
    <w:rsid w:val="00E31C49"/>
    <w:rsid w:val="00E31C70"/>
    <w:rsid w:val="00E31C73"/>
    <w:rsid w:val="00E31CAF"/>
    <w:rsid w:val="00E31CBF"/>
    <w:rsid w:val="00E31CE3"/>
    <w:rsid w:val="00E31CEE"/>
    <w:rsid w:val="00E31D2C"/>
    <w:rsid w:val="00E31D32"/>
    <w:rsid w:val="00E31D5A"/>
    <w:rsid w:val="00E31D68"/>
    <w:rsid w:val="00E31D7E"/>
    <w:rsid w:val="00E31E0C"/>
    <w:rsid w:val="00E31E8A"/>
    <w:rsid w:val="00E31E9A"/>
    <w:rsid w:val="00E31EB5"/>
    <w:rsid w:val="00E31EDF"/>
    <w:rsid w:val="00E31F1B"/>
    <w:rsid w:val="00E31F4E"/>
    <w:rsid w:val="00E31F50"/>
    <w:rsid w:val="00E31F68"/>
    <w:rsid w:val="00E31F81"/>
    <w:rsid w:val="00E31FE1"/>
    <w:rsid w:val="00E3201C"/>
    <w:rsid w:val="00E3206B"/>
    <w:rsid w:val="00E32090"/>
    <w:rsid w:val="00E32105"/>
    <w:rsid w:val="00E3210C"/>
    <w:rsid w:val="00E32125"/>
    <w:rsid w:val="00E32128"/>
    <w:rsid w:val="00E3212B"/>
    <w:rsid w:val="00E3213F"/>
    <w:rsid w:val="00E32154"/>
    <w:rsid w:val="00E3219E"/>
    <w:rsid w:val="00E32241"/>
    <w:rsid w:val="00E322D1"/>
    <w:rsid w:val="00E322E2"/>
    <w:rsid w:val="00E322E6"/>
    <w:rsid w:val="00E32301"/>
    <w:rsid w:val="00E3233D"/>
    <w:rsid w:val="00E32343"/>
    <w:rsid w:val="00E3234C"/>
    <w:rsid w:val="00E323AD"/>
    <w:rsid w:val="00E323BB"/>
    <w:rsid w:val="00E323D1"/>
    <w:rsid w:val="00E3242D"/>
    <w:rsid w:val="00E32435"/>
    <w:rsid w:val="00E32472"/>
    <w:rsid w:val="00E324E3"/>
    <w:rsid w:val="00E32503"/>
    <w:rsid w:val="00E3250C"/>
    <w:rsid w:val="00E3257F"/>
    <w:rsid w:val="00E32595"/>
    <w:rsid w:val="00E325BA"/>
    <w:rsid w:val="00E325C2"/>
    <w:rsid w:val="00E325E4"/>
    <w:rsid w:val="00E325EB"/>
    <w:rsid w:val="00E32645"/>
    <w:rsid w:val="00E32660"/>
    <w:rsid w:val="00E32661"/>
    <w:rsid w:val="00E32682"/>
    <w:rsid w:val="00E326A0"/>
    <w:rsid w:val="00E326E7"/>
    <w:rsid w:val="00E32719"/>
    <w:rsid w:val="00E32725"/>
    <w:rsid w:val="00E3274A"/>
    <w:rsid w:val="00E32817"/>
    <w:rsid w:val="00E3281B"/>
    <w:rsid w:val="00E32844"/>
    <w:rsid w:val="00E32874"/>
    <w:rsid w:val="00E32884"/>
    <w:rsid w:val="00E328CD"/>
    <w:rsid w:val="00E328D5"/>
    <w:rsid w:val="00E3290C"/>
    <w:rsid w:val="00E32941"/>
    <w:rsid w:val="00E329A3"/>
    <w:rsid w:val="00E32A05"/>
    <w:rsid w:val="00E32A0D"/>
    <w:rsid w:val="00E32A70"/>
    <w:rsid w:val="00E32A83"/>
    <w:rsid w:val="00E32A9F"/>
    <w:rsid w:val="00E32B36"/>
    <w:rsid w:val="00E32B55"/>
    <w:rsid w:val="00E32B56"/>
    <w:rsid w:val="00E32B77"/>
    <w:rsid w:val="00E32C35"/>
    <w:rsid w:val="00E32C47"/>
    <w:rsid w:val="00E32C54"/>
    <w:rsid w:val="00E32C81"/>
    <w:rsid w:val="00E32CCB"/>
    <w:rsid w:val="00E32CD3"/>
    <w:rsid w:val="00E32D11"/>
    <w:rsid w:val="00E32D45"/>
    <w:rsid w:val="00E32D5C"/>
    <w:rsid w:val="00E32D76"/>
    <w:rsid w:val="00E32D7B"/>
    <w:rsid w:val="00E32D98"/>
    <w:rsid w:val="00E32DA9"/>
    <w:rsid w:val="00E32DAF"/>
    <w:rsid w:val="00E32DC0"/>
    <w:rsid w:val="00E32DCA"/>
    <w:rsid w:val="00E32DD3"/>
    <w:rsid w:val="00E32DE7"/>
    <w:rsid w:val="00E32E8A"/>
    <w:rsid w:val="00E32E99"/>
    <w:rsid w:val="00E32ED3"/>
    <w:rsid w:val="00E32F00"/>
    <w:rsid w:val="00E32F3D"/>
    <w:rsid w:val="00E32F43"/>
    <w:rsid w:val="00E32F67"/>
    <w:rsid w:val="00E32F96"/>
    <w:rsid w:val="00E32FC6"/>
    <w:rsid w:val="00E32FCB"/>
    <w:rsid w:val="00E32FD4"/>
    <w:rsid w:val="00E32FDA"/>
    <w:rsid w:val="00E33049"/>
    <w:rsid w:val="00E33061"/>
    <w:rsid w:val="00E33072"/>
    <w:rsid w:val="00E3308A"/>
    <w:rsid w:val="00E33091"/>
    <w:rsid w:val="00E330D6"/>
    <w:rsid w:val="00E33110"/>
    <w:rsid w:val="00E33138"/>
    <w:rsid w:val="00E3315A"/>
    <w:rsid w:val="00E3317B"/>
    <w:rsid w:val="00E3318D"/>
    <w:rsid w:val="00E331B6"/>
    <w:rsid w:val="00E331B7"/>
    <w:rsid w:val="00E331C3"/>
    <w:rsid w:val="00E331D0"/>
    <w:rsid w:val="00E331F2"/>
    <w:rsid w:val="00E33237"/>
    <w:rsid w:val="00E33242"/>
    <w:rsid w:val="00E33251"/>
    <w:rsid w:val="00E332CF"/>
    <w:rsid w:val="00E3330F"/>
    <w:rsid w:val="00E3336E"/>
    <w:rsid w:val="00E333CF"/>
    <w:rsid w:val="00E33410"/>
    <w:rsid w:val="00E33426"/>
    <w:rsid w:val="00E33431"/>
    <w:rsid w:val="00E33440"/>
    <w:rsid w:val="00E33443"/>
    <w:rsid w:val="00E33462"/>
    <w:rsid w:val="00E334A2"/>
    <w:rsid w:val="00E334B1"/>
    <w:rsid w:val="00E334B6"/>
    <w:rsid w:val="00E334CC"/>
    <w:rsid w:val="00E334D4"/>
    <w:rsid w:val="00E334D7"/>
    <w:rsid w:val="00E33508"/>
    <w:rsid w:val="00E33515"/>
    <w:rsid w:val="00E33518"/>
    <w:rsid w:val="00E3351E"/>
    <w:rsid w:val="00E33556"/>
    <w:rsid w:val="00E33557"/>
    <w:rsid w:val="00E335B3"/>
    <w:rsid w:val="00E33611"/>
    <w:rsid w:val="00E33643"/>
    <w:rsid w:val="00E336AD"/>
    <w:rsid w:val="00E336C1"/>
    <w:rsid w:val="00E336DF"/>
    <w:rsid w:val="00E33707"/>
    <w:rsid w:val="00E33719"/>
    <w:rsid w:val="00E33725"/>
    <w:rsid w:val="00E33735"/>
    <w:rsid w:val="00E3373D"/>
    <w:rsid w:val="00E3373F"/>
    <w:rsid w:val="00E3374F"/>
    <w:rsid w:val="00E33754"/>
    <w:rsid w:val="00E337CF"/>
    <w:rsid w:val="00E337DA"/>
    <w:rsid w:val="00E337E5"/>
    <w:rsid w:val="00E337E8"/>
    <w:rsid w:val="00E33828"/>
    <w:rsid w:val="00E33856"/>
    <w:rsid w:val="00E3385D"/>
    <w:rsid w:val="00E33866"/>
    <w:rsid w:val="00E33899"/>
    <w:rsid w:val="00E3389B"/>
    <w:rsid w:val="00E338C1"/>
    <w:rsid w:val="00E338D3"/>
    <w:rsid w:val="00E33948"/>
    <w:rsid w:val="00E339AF"/>
    <w:rsid w:val="00E339D9"/>
    <w:rsid w:val="00E339F0"/>
    <w:rsid w:val="00E339F7"/>
    <w:rsid w:val="00E33A6C"/>
    <w:rsid w:val="00E33AAD"/>
    <w:rsid w:val="00E33ACF"/>
    <w:rsid w:val="00E33B16"/>
    <w:rsid w:val="00E33B1A"/>
    <w:rsid w:val="00E33B1B"/>
    <w:rsid w:val="00E33B4B"/>
    <w:rsid w:val="00E33B6E"/>
    <w:rsid w:val="00E33BB2"/>
    <w:rsid w:val="00E33BF6"/>
    <w:rsid w:val="00E33C6F"/>
    <w:rsid w:val="00E33C8A"/>
    <w:rsid w:val="00E33CAC"/>
    <w:rsid w:val="00E33CB0"/>
    <w:rsid w:val="00E33CCB"/>
    <w:rsid w:val="00E33CDA"/>
    <w:rsid w:val="00E33CE4"/>
    <w:rsid w:val="00E33CFD"/>
    <w:rsid w:val="00E33D48"/>
    <w:rsid w:val="00E33D6A"/>
    <w:rsid w:val="00E33DA3"/>
    <w:rsid w:val="00E33DAF"/>
    <w:rsid w:val="00E33DD1"/>
    <w:rsid w:val="00E33E2A"/>
    <w:rsid w:val="00E33E3B"/>
    <w:rsid w:val="00E33E4B"/>
    <w:rsid w:val="00E33E4C"/>
    <w:rsid w:val="00E33E6D"/>
    <w:rsid w:val="00E33E83"/>
    <w:rsid w:val="00E33E84"/>
    <w:rsid w:val="00E33E8F"/>
    <w:rsid w:val="00E33E96"/>
    <w:rsid w:val="00E33EB6"/>
    <w:rsid w:val="00E33F0C"/>
    <w:rsid w:val="00E33F24"/>
    <w:rsid w:val="00E33F44"/>
    <w:rsid w:val="00E33F49"/>
    <w:rsid w:val="00E33F6D"/>
    <w:rsid w:val="00E33FBB"/>
    <w:rsid w:val="00E34008"/>
    <w:rsid w:val="00E34012"/>
    <w:rsid w:val="00E34049"/>
    <w:rsid w:val="00E34059"/>
    <w:rsid w:val="00E3405C"/>
    <w:rsid w:val="00E3407F"/>
    <w:rsid w:val="00E34084"/>
    <w:rsid w:val="00E340A2"/>
    <w:rsid w:val="00E340C2"/>
    <w:rsid w:val="00E340CA"/>
    <w:rsid w:val="00E340DA"/>
    <w:rsid w:val="00E340F8"/>
    <w:rsid w:val="00E3411E"/>
    <w:rsid w:val="00E34163"/>
    <w:rsid w:val="00E341C2"/>
    <w:rsid w:val="00E34211"/>
    <w:rsid w:val="00E34241"/>
    <w:rsid w:val="00E34242"/>
    <w:rsid w:val="00E3424C"/>
    <w:rsid w:val="00E34297"/>
    <w:rsid w:val="00E342A8"/>
    <w:rsid w:val="00E34307"/>
    <w:rsid w:val="00E34321"/>
    <w:rsid w:val="00E34323"/>
    <w:rsid w:val="00E34325"/>
    <w:rsid w:val="00E3435A"/>
    <w:rsid w:val="00E34363"/>
    <w:rsid w:val="00E3437E"/>
    <w:rsid w:val="00E34396"/>
    <w:rsid w:val="00E34411"/>
    <w:rsid w:val="00E34416"/>
    <w:rsid w:val="00E34436"/>
    <w:rsid w:val="00E3445A"/>
    <w:rsid w:val="00E344C5"/>
    <w:rsid w:val="00E344EC"/>
    <w:rsid w:val="00E34505"/>
    <w:rsid w:val="00E34595"/>
    <w:rsid w:val="00E345C0"/>
    <w:rsid w:val="00E345EF"/>
    <w:rsid w:val="00E3462A"/>
    <w:rsid w:val="00E3463E"/>
    <w:rsid w:val="00E34655"/>
    <w:rsid w:val="00E3467C"/>
    <w:rsid w:val="00E34698"/>
    <w:rsid w:val="00E346AE"/>
    <w:rsid w:val="00E346B8"/>
    <w:rsid w:val="00E346C7"/>
    <w:rsid w:val="00E346CE"/>
    <w:rsid w:val="00E346DD"/>
    <w:rsid w:val="00E346E1"/>
    <w:rsid w:val="00E34703"/>
    <w:rsid w:val="00E34744"/>
    <w:rsid w:val="00E34796"/>
    <w:rsid w:val="00E347AE"/>
    <w:rsid w:val="00E34808"/>
    <w:rsid w:val="00E34836"/>
    <w:rsid w:val="00E34886"/>
    <w:rsid w:val="00E34896"/>
    <w:rsid w:val="00E348B6"/>
    <w:rsid w:val="00E348EE"/>
    <w:rsid w:val="00E348F7"/>
    <w:rsid w:val="00E34939"/>
    <w:rsid w:val="00E3497C"/>
    <w:rsid w:val="00E349A0"/>
    <w:rsid w:val="00E34A26"/>
    <w:rsid w:val="00E34A40"/>
    <w:rsid w:val="00E34A59"/>
    <w:rsid w:val="00E34A69"/>
    <w:rsid w:val="00E34AC9"/>
    <w:rsid w:val="00E34B31"/>
    <w:rsid w:val="00E34B38"/>
    <w:rsid w:val="00E34BDB"/>
    <w:rsid w:val="00E34C16"/>
    <w:rsid w:val="00E34C1C"/>
    <w:rsid w:val="00E34C5B"/>
    <w:rsid w:val="00E34CA6"/>
    <w:rsid w:val="00E34CB6"/>
    <w:rsid w:val="00E34CBF"/>
    <w:rsid w:val="00E34CD5"/>
    <w:rsid w:val="00E34D05"/>
    <w:rsid w:val="00E34D49"/>
    <w:rsid w:val="00E34D4D"/>
    <w:rsid w:val="00E34D60"/>
    <w:rsid w:val="00E34DBD"/>
    <w:rsid w:val="00E34DD5"/>
    <w:rsid w:val="00E34DF3"/>
    <w:rsid w:val="00E34DFB"/>
    <w:rsid w:val="00E34E03"/>
    <w:rsid w:val="00E34E22"/>
    <w:rsid w:val="00E34E89"/>
    <w:rsid w:val="00E34E8A"/>
    <w:rsid w:val="00E34F83"/>
    <w:rsid w:val="00E34FB7"/>
    <w:rsid w:val="00E34FDB"/>
    <w:rsid w:val="00E34FE6"/>
    <w:rsid w:val="00E34FFB"/>
    <w:rsid w:val="00E3500E"/>
    <w:rsid w:val="00E35042"/>
    <w:rsid w:val="00E35043"/>
    <w:rsid w:val="00E3504B"/>
    <w:rsid w:val="00E3505B"/>
    <w:rsid w:val="00E3506F"/>
    <w:rsid w:val="00E350C1"/>
    <w:rsid w:val="00E350C7"/>
    <w:rsid w:val="00E350DF"/>
    <w:rsid w:val="00E350FE"/>
    <w:rsid w:val="00E35111"/>
    <w:rsid w:val="00E35177"/>
    <w:rsid w:val="00E35190"/>
    <w:rsid w:val="00E351C4"/>
    <w:rsid w:val="00E351D1"/>
    <w:rsid w:val="00E351D2"/>
    <w:rsid w:val="00E351D3"/>
    <w:rsid w:val="00E351F5"/>
    <w:rsid w:val="00E3520D"/>
    <w:rsid w:val="00E35228"/>
    <w:rsid w:val="00E3523E"/>
    <w:rsid w:val="00E35254"/>
    <w:rsid w:val="00E35286"/>
    <w:rsid w:val="00E352AA"/>
    <w:rsid w:val="00E352AC"/>
    <w:rsid w:val="00E352E9"/>
    <w:rsid w:val="00E352EF"/>
    <w:rsid w:val="00E3530E"/>
    <w:rsid w:val="00E3534B"/>
    <w:rsid w:val="00E35383"/>
    <w:rsid w:val="00E353C5"/>
    <w:rsid w:val="00E35406"/>
    <w:rsid w:val="00E3540D"/>
    <w:rsid w:val="00E3542A"/>
    <w:rsid w:val="00E35444"/>
    <w:rsid w:val="00E3544B"/>
    <w:rsid w:val="00E35472"/>
    <w:rsid w:val="00E354E1"/>
    <w:rsid w:val="00E3553F"/>
    <w:rsid w:val="00E35559"/>
    <w:rsid w:val="00E35585"/>
    <w:rsid w:val="00E35618"/>
    <w:rsid w:val="00E35642"/>
    <w:rsid w:val="00E35716"/>
    <w:rsid w:val="00E3574B"/>
    <w:rsid w:val="00E35758"/>
    <w:rsid w:val="00E357FC"/>
    <w:rsid w:val="00E357FD"/>
    <w:rsid w:val="00E3580C"/>
    <w:rsid w:val="00E35812"/>
    <w:rsid w:val="00E35824"/>
    <w:rsid w:val="00E358C0"/>
    <w:rsid w:val="00E358F9"/>
    <w:rsid w:val="00E35941"/>
    <w:rsid w:val="00E3594C"/>
    <w:rsid w:val="00E35962"/>
    <w:rsid w:val="00E35964"/>
    <w:rsid w:val="00E35975"/>
    <w:rsid w:val="00E3597E"/>
    <w:rsid w:val="00E3598C"/>
    <w:rsid w:val="00E35999"/>
    <w:rsid w:val="00E359B2"/>
    <w:rsid w:val="00E35A04"/>
    <w:rsid w:val="00E35A0E"/>
    <w:rsid w:val="00E35A20"/>
    <w:rsid w:val="00E35A56"/>
    <w:rsid w:val="00E35A74"/>
    <w:rsid w:val="00E35A82"/>
    <w:rsid w:val="00E35ABF"/>
    <w:rsid w:val="00E35AE7"/>
    <w:rsid w:val="00E35AEC"/>
    <w:rsid w:val="00E35B02"/>
    <w:rsid w:val="00E35B30"/>
    <w:rsid w:val="00E35B42"/>
    <w:rsid w:val="00E35B43"/>
    <w:rsid w:val="00E35B46"/>
    <w:rsid w:val="00E35B66"/>
    <w:rsid w:val="00E35B94"/>
    <w:rsid w:val="00E35BC0"/>
    <w:rsid w:val="00E35BD3"/>
    <w:rsid w:val="00E35BD8"/>
    <w:rsid w:val="00E35C0B"/>
    <w:rsid w:val="00E35C0E"/>
    <w:rsid w:val="00E35C1E"/>
    <w:rsid w:val="00E35C21"/>
    <w:rsid w:val="00E35C3D"/>
    <w:rsid w:val="00E35C45"/>
    <w:rsid w:val="00E35C6B"/>
    <w:rsid w:val="00E35C96"/>
    <w:rsid w:val="00E35CAC"/>
    <w:rsid w:val="00E35CCB"/>
    <w:rsid w:val="00E35CF8"/>
    <w:rsid w:val="00E35D01"/>
    <w:rsid w:val="00E35D08"/>
    <w:rsid w:val="00E35D09"/>
    <w:rsid w:val="00E35D23"/>
    <w:rsid w:val="00E35D31"/>
    <w:rsid w:val="00E35D90"/>
    <w:rsid w:val="00E35D94"/>
    <w:rsid w:val="00E35E06"/>
    <w:rsid w:val="00E35E3B"/>
    <w:rsid w:val="00E35E40"/>
    <w:rsid w:val="00E35E56"/>
    <w:rsid w:val="00E35E66"/>
    <w:rsid w:val="00E35E7A"/>
    <w:rsid w:val="00E35E8E"/>
    <w:rsid w:val="00E35ECD"/>
    <w:rsid w:val="00E35ED9"/>
    <w:rsid w:val="00E35EE3"/>
    <w:rsid w:val="00E35EEC"/>
    <w:rsid w:val="00E35EFE"/>
    <w:rsid w:val="00E35F0B"/>
    <w:rsid w:val="00E35F51"/>
    <w:rsid w:val="00E35F66"/>
    <w:rsid w:val="00E35FB2"/>
    <w:rsid w:val="00E35FBE"/>
    <w:rsid w:val="00E35FD8"/>
    <w:rsid w:val="00E3606A"/>
    <w:rsid w:val="00E36084"/>
    <w:rsid w:val="00E360B4"/>
    <w:rsid w:val="00E360BB"/>
    <w:rsid w:val="00E360C2"/>
    <w:rsid w:val="00E360EC"/>
    <w:rsid w:val="00E360FF"/>
    <w:rsid w:val="00E361BC"/>
    <w:rsid w:val="00E361C0"/>
    <w:rsid w:val="00E361D9"/>
    <w:rsid w:val="00E361E4"/>
    <w:rsid w:val="00E361FE"/>
    <w:rsid w:val="00E36212"/>
    <w:rsid w:val="00E36231"/>
    <w:rsid w:val="00E36232"/>
    <w:rsid w:val="00E3625D"/>
    <w:rsid w:val="00E36278"/>
    <w:rsid w:val="00E3629D"/>
    <w:rsid w:val="00E362C4"/>
    <w:rsid w:val="00E362D1"/>
    <w:rsid w:val="00E36304"/>
    <w:rsid w:val="00E36319"/>
    <w:rsid w:val="00E36334"/>
    <w:rsid w:val="00E3633E"/>
    <w:rsid w:val="00E36365"/>
    <w:rsid w:val="00E36371"/>
    <w:rsid w:val="00E363F8"/>
    <w:rsid w:val="00E36419"/>
    <w:rsid w:val="00E36456"/>
    <w:rsid w:val="00E36463"/>
    <w:rsid w:val="00E364B4"/>
    <w:rsid w:val="00E364CB"/>
    <w:rsid w:val="00E364E6"/>
    <w:rsid w:val="00E36508"/>
    <w:rsid w:val="00E3650C"/>
    <w:rsid w:val="00E36529"/>
    <w:rsid w:val="00E3657C"/>
    <w:rsid w:val="00E36580"/>
    <w:rsid w:val="00E3659B"/>
    <w:rsid w:val="00E365AC"/>
    <w:rsid w:val="00E365C7"/>
    <w:rsid w:val="00E365CF"/>
    <w:rsid w:val="00E365EE"/>
    <w:rsid w:val="00E3660F"/>
    <w:rsid w:val="00E3666C"/>
    <w:rsid w:val="00E36672"/>
    <w:rsid w:val="00E36686"/>
    <w:rsid w:val="00E3668F"/>
    <w:rsid w:val="00E3669E"/>
    <w:rsid w:val="00E366D1"/>
    <w:rsid w:val="00E36715"/>
    <w:rsid w:val="00E36721"/>
    <w:rsid w:val="00E36729"/>
    <w:rsid w:val="00E36731"/>
    <w:rsid w:val="00E36768"/>
    <w:rsid w:val="00E3679E"/>
    <w:rsid w:val="00E367B0"/>
    <w:rsid w:val="00E367C8"/>
    <w:rsid w:val="00E367D1"/>
    <w:rsid w:val="00E367D9"/>
    <w:rsid w:val="00E367E7"/>
    <w:rsid w:val="00E367FC"/>
    <w:rsid w:val="00E36810"/>
    <w:rsid w:val="00E3684B"/>
    <w:rsid w:val="00E368BC"/>
    <w:rsid w:val="00E368CB"/>
    <w:rsid w:val="00E36927"/>
    <w:rsid w:val="00E36940"/>
    <w:rsid w:val="00E3696F"/>
    <w:rsid w:val="00E36980"/>
    <w:rsid w:val="00E36988"/>
    <w:rsid w:val="00E3698B"/>
    <w:rsid w:val="00E36996"/>
    <w:rsid w:val="00E369A0"/>
    <w:rsid w:val="00E369A4"/>
    <w:rsid w:val="00E369FD"/>
    <w:rsid w:val="00E36A2F"/>
    <w:rsid w:val="00E36A98"/>
    <w:rsid w:val="00E36A9B"/>
    <w:rsid w:val="00E36AB3"/>
    <w:rsid w:val="00E36ACF"/>
    <w:rsid w:val="00E36AD2"/>
    <w:rsid w:val="00E36AEF"/>
    <w:rsid w:val="00E36AF1"/>
    <w:rsid w:val="00E36B05"/>
    <w:rsid w:val="00E36B18"/>
    <w:rsid w:val="00E36B59"/>
    <w:rsid w:val="00E36B7C"/>
    <w:rsid w:val="00E36C41"/>
    <w:rsid w:val="00E36C63"/>
    <w:rsid w:val="00E36C98"/>
    <w:rsid w:val="00E36D0D"/>
    <w:rsid w:val="00E36D44"/>
    <w:rsid w:val="00E36D4A"/>
    <w:rsid w:val="00E36D4D"/>
    <w:rsid w:val="00E36D52"/>
    <w:rsid w:val="00E36D60"/>
    <w:rsid w:val="00E36E38"/>
    <w:rsid w:val="00E36E3E"/>
    <w:rsid w:val="00E36E76"/>
    <w:rsid w:val="00E36E7B"/>
    <w:rsid w:val="00E36E8D"/>
    <w:rsid w:val="00E36EC2"/>
    <w:rsid w:val="00E36EE1"/>
    <w:rsid w:val="00E36EEC"/>
    <w:rsid w:val="00E36EF2"/>
    <w:rsid w:val="00E36EFB"/>
    <w:rsid w:val="00E36F2F"/>
    <w:rsid w:val="00E36F45"/>
    <w:rsid w:val="00E36F64"/>
    <w:rsid w:val="00E36F75"/>
    <w:rsid w:val="00E36FBA"/>
    <w:rsid w:val="00E36FE0"/>
    <w:rsid w:val="00E37018"/>
    <w:rsid w:val="00E3701C"/>
    <w:rsid w:val="00E37052"/>
    <w:rsid w:val="00E3705D"/>
    <w:rsid w:val="00E3706B"/>
    <w:rsid w:val="00E37096"/>
    <w:rsid w:val="00E370AB"/>
    <w:rsid w:val="00E370AF"/>
    <w:rsid w:val="00E370B9"/>
    <w:rsid w:val="00E370C1"/>
    <w:rsid w:val="00E3710C"/>
    <w:rsid w:val="00E3714A"/>
    <w:rsid w:val="00E37152"/>
    <w:rsid w:val="00E3715D"/>
    <w:rsid w:val="00E371D3"/>
    <w:rsid w:val="00E371F0"/>
    <w:rsid w:val="00E37203"/>
    <w:rsid w:val="00E37205"/>
    <w:rsid w:val="00E37247"/>
    <w:rsid w:val="00E37261"/>
    <w:rsid w:val="00E37274"/>
    <w:rsid w:val="00E37278"/>
    <w:rsid w:val="00E37299"/>
    <w:rsid w:val="00E372A5"/>
    <w:rsid w:val="00E372F2"/>
    <w:rsid w:val="00E37300"/>
    <w:rsid w:val="00E37373"/>
    <w:rsid w:val="00E37397"/>
    <w:rsid w:val="00E373BC"/>
    <w:rsid w:val="00E373BD"/>
    <w:rsid w:val="00E373BE"/>
    <w:rsid w:val="00E373E4"/>
    <w:rsid w:val="00E373EC"/>
    <w:rsid w:val="00E37418"/>
    <w:rsid w:val="00E37434"/>
    <w:rsid w:val="00E37444"/>
    <w:rsid w:val="00E37454"/>
    <w:rsid w:val="00E3746D"/>
    <w:rsid w:val="00E3749B"/>
    <w:rsid w:val="00E374BA"/>
    <w:rsid w:val="00E374CD"/>
    <w:rsid w:val="00E374F3"/>
    <w:rsid w:val="00E3751A"/>
    <w:rsid w:val="00E37524"/>
    <w:rsid w:val="00E3752F"/>
    <w:rsid w:val="00E37567"/>
    <w:rsid w:val="00E3756D"/>
    <w:rsid w:val="00E3756F"/>
    <w:rsid w:val="00E37575"/>
    <w:rsid w:val="00E3757E"/>
    <w:rsid w:val="00E375A3"/>
    <w:rsid w:val="00E375A8"/>
    <w:rsid w:val="00E375B2"/>
    <w:rsid w:val="00E375B3"/>
    <w:rsid w:val="00E375F9"/>
    <w:rsid w:val="00E37646"/>
    <w:rsid w:val="00E37674"/>
    <w:rsid w:val="00E37690"/>
    <w:rsid w:val="00E376AC"/>
    <w:rsid w:val="00E376D6"/>
    <w:rsid w:val="00E3777F"/>
    <w:rsid w:val="00E377AD"/>
    <w:rsid w:val="00E37842"/>
    <w:rsid w:val="00E3786F"/>
    <w:rsid w:val="00E37896"/>
    <w:rsid w:val="00E378E9"/>
    <w:rsid w:val="00E378F0"/>
    <w:rsid w:val="00E3792D"/>
    <w:rsid w:val="00E37930"/>
    <w:rsid w:val="00E3793C"/>
    <w:rsid w:val="00E37940"/>
    <w:rsid w:val="00E3795D"/>
    <w:rsid w:val="00E379CC"/>
    <w:rsid w:val="00E379DC"/>
    <w:rsid w:val="00E379F2"/>
    <w:rsid w:val="00E37A01"/>
    <w:rsid w:val="00E37A4A"/>
    <w:rsid w:val="00E37A68"/>
    <w:rsid w:val="00E37ABA"/>
    <w:rsid w:val="00E37AC7"/>
    <w:rsid w:val="00E37ACA"/>
    <w:rsid w:val="00E37B55"/>
    <w:rsid w:val="00E37BA3"/>
    <w:rsid w:val="00E37BE2"/>
    <w:rsid w:val="00E37BF8"/>
    <w:rsid w:val="00E37C44"/>
    <w:rsid w:val="00E37C7F"/>
    <w:rsid w:val="00E37CEF"/>
    <w:rsid w:val="00E37D21"/>
    <w:rsid w:val="00E37D5C"/>
    <w:rsid w:val="00E37D63"/>
    <w:rsid w:val="00E37D7F"/>
    <w:rsid w:val="00E37D93"/>
    <w:rsid w:val="00E37D9D"/>
    <w:rsid w:val="00E37DBD"/>
    <w:rsid w:val="00E37E0A"/>
    <w:rsid w:val="00E37E48"/>
    <w:rsid w:val="00E37E50"/>
    <w:rsid w:val="00E37E54"/>
    <w:rsid w:val="00E37E8C"/>
    <w:rsid w:val="00E37EEF"/>
    <w:rsid w:val="00E37F50"/>
    <w:rsid w:val="00E37F59"/>
    <w:rsid w:val="00E37F6B"/>
    <w:rsid w:val="00E37F7F"/>
    <w:rsid w:val="00E37F8A"/>
    <w:rsid w:val="00E37F9E"/>
    <w:rsid w:val="00E37FB7"/>
    <w:rsid w:val="00E40052"/>
    <w:rsid w:val="00E40057"/>
    <w:rsid w:val="00E40070"/>
    <w:rsid w:val="00E400B8"/>
    <w:rsid w:val="00E400EF"/>
    <w:rsid w:val="00E400F7"/>
    <w:rsid w:val="00E40160"/>
    <w:rsid w:val="00E4016D"/>
    <w:rsid w:val="00E401A3"/>
    <w:rsid w:val="00E401A5"/>
    <w:rsid w:val="00E401AD"/>
    <w:rsid w:val="00E401BE"/>
    <w:rsid w:val="00E40208"/>
    <w:rsid w:val="00E4022F"/>
    <w:rsid w:val="00E4023F"/>
    <w:rsid w:val="00E402D8"/>
    <w:rsid w:val="00E402E5"/>
    <w:rsid w:val="00E402F6"/>
    <w:rsid w:val="00E4033A"/>
    <w:rsid w:val="00E40366"/>
    <w:rsid w:val="00E403B3"/>
    <w:rsid w:val="00E403BF"/>
    <w:rsid w:val="00E403CC"/>
    <w:rsid w:val="00E40405"/>
    <w:rsid w:val="00E40413"/>
    <w:rsid w:val="00E40471"/>
    <w:rsid w:val="00E404AA"/>
    <w:rsid w:val="00E4050E"/>
    <w:rsid w:val="00E40581"/>
    <w:rsid w:val="00E4058A"/>
    <w:rsid w:val="00E405BC"/>
    <w:rsid w:val="00E405CC"/>
    <w:rsid w:val="00E405E3"/>
    <w:rsid w:val="00E40617"/>
    <w:rsid w:val="00E4063A"/>
    <w:rsid w:val="00E40651"/>
    <w:rsid w:val="00E40671"/>
    <w:rsid w:val="00E40684"/>
    <w:rsid w:val="00E406BC"/>
    <w:rsid w:val="00E40757"/>
    <w:rsid w:val="00E407B2"/>
    <w:rsid w:val="00E407CC"/>
    <w:rsid w:val="00E40827"/>
    <w:rsid w:val="00E4084E"/>
    <w:rsid w:val="00E4084F"/>
    <w:rsid w:val="00E40889"/>
    <w:rsid w:val="00E408A0"/>
    <w:rsid w:val="00E408B5"/>
    <w:rsid w:val="00E408B8"/>
    <w:rsid w:val="00E408C4"/>
    <w:rsid w:val="00E40980"/>
    <w:rsid w:val="00E4098A"/>
    <w:rsid w:val="00E409AE"/>
    <w:rsid w:val="00E409D8"/>
    <w:rsid w:val="00E409F8"/>
    <w:rsid w:val="00E409FF"/>
    <w:rsid w:val="00E40A42"/>
    <w:rsid w:val="00E40A80"/>
    <w:rsid w:val="00E40A8C"/>
    <w:rsid w:val="00E40AD2"/>
    <w:rsid w:val="00E40B47"/>
    <w:rsid w:val="00E40B58"/>
    <w:rsid w:val="00E40B96"/>
    <w:rsid w:val="00E40BBA"/>
    <w:rsid w:val="00E40BDE"/>
    <w:rsid w:val="00E40C61"/>
    <w:rsid w:val="00E40C71"/>
    <w:rsid w:val="00E40D56"/>
    <w:rsid w:val="00E40D65"/>
    <w:rsid w:val="00E40D71"/>
    <w:rsid w:val="00E40E03"/>
    <w:rsid w:val="00E40E59"/>
    <w:rsid w:val="00E40E5F"/>
    <w:rsid w:val="00E40F22"/>
    <w:rsid w:val="00E40F90"/>
    <w:rsid w:val="00E40FF7"/>
    <w:rsid w:val="00E4100A"/>
    <w:rsid w:val="00E41029"/>
    <w:rsid w:val="00E41036"/>
    <w:rsid w:val="00E41045"/>
    <w:rsid w:val="00E4104F"/>
    <w:rsid w:val="00E41063"/>
    <w:rsid w:val="00E41067"/>
    <w:rsid w:val="00E410FE"/>
    <w:rsid w:val="00E41126"/>
    <w:rsid w:val="00E4114C"/>
    <w:rsid w:val="00E4115E"/>
    <w:rsid w:val="00E411A0"/>
    <w:rsid w:val="00E41204"/>
    <w:rsid w:val="00E4120D"/>
    <w:rsid w:val="00E41222"/>
    <w:rsid w:val="00E4122E"/>
    <w:rsid w:val="00E41230"/>
    <w:rsid w:val="00E4123E"/>
    <w:rsid w:val="00E41240"/>
    <w:rsid w:val="00E41269"/>
    <w:rsid w:val="00E4126C"/>
    <w:rsid w:val="00E41274"/>
    <w:rsid w:val="00E41285"/>
    <w:rsid w:val="00E4128C"/>
    <w:rsid w:val="00E4129C"/>
    <w:rsid w:val="00E4129E"/>
    <w:rsid w:val="00E41314"/>
    <w:rsid w:val="00E41372"/>
    <w:rsid w:val="00E41396"/>
    <w:rsid w:val="00E413DD"/>
    <w:rsid w:val="00E41432"/>
    <w:rsid w:val="00E41488"/>
    <w:rsid w:val="00E4148A"/>
    <w:rsid w:val="00E414B4"/>
    <w:rsid w:val="00E41567"/>
    <w:rsid w:val="00E4157D"/>
    <w:rsid w:val="00E415D3"/>
    <w:rsid w:val="00E41658"/>
    <w:rsid w:val="00E41662"/>
    <w:rsid w:val="00E41664"/>
    <w:rsid w:val="00E4166D"/>
    <w:rsid w:val="00E41678"/>
    <w:rsid w:val="00E416D5"/>
    <w:rsid w:val="00E416D8"/>
    <w:rsid w:val="00E41704"/>
    <w:rsid w:val="00E41713"/>
    <w:rsid w:val="00E4173B"/>
    <w:rsid w:val="00E417AC"/>
    <w:rsid w:val="00E417AD"/>
    <w:rsid w:val="00E41800"/>
    <w:rsid w:val="00E4180C"/>
    <w:rsid w:val="00E41816"/>
    <w:rsid w:val="00E41839"/>
    <w:rsid w:val="00E41887"/>
    <w:rsid w:val="00E418BF"/>
    <w:rsid w:val="00E418CB"/>
    <w:rsid w:val="00E418E3"/>
    <w:rsid w:val="00E41917"/>
    <w:rsid w:val="00E41924"/>
    <w:rsid w:val="00E4193A"/>
    <w:rsid w:val="00E41944"/>
    <w:rsid w:val="00E41950"/>
    <w:rsid w:val="00E4197C"/>
    <w:rsid w:val="00E41981"/>
    <w:rsid w:val="00E4199A"/>
    <w:rsid w:val="00E419A3"/>
    <w:rsid w:val="00E419C4"/>
    <w:rsid w:val="00E419C9"/>
    <w:rsid w:val="00E419E3"/>
    <w:rsid w:val="00E419EB"/>
    <w:rsid w:val="00E419F0"/>
    <w:rsid w:val="00E41A31"/>
    <w:rsid w:val="00E41A33"/>
    <w:rsid w:val="00E41A7C"/>
    <w:rsid w:val="00E41AAB"/>
    <w:rsid w:val="00E41AB7"/>
    <w:rsid w:val="00E41AF5"/>
    <w:rsid w:val="00E41B56"/>
    <w:rsid w:val="00E41C13"/>
    <w:rsid w:val="00E41C45"/>
    <w:rsid w:val="00E41C58"/>
    <w:rsid w:val="00E41C66"/>
    <w:rsid w:val="00E41CB7"/>
    <w:rsid w:val="00E41CC4"/>
    <w:rsid w:val="00E41D2F"/>
    <w:rsid w:val="00E41D75"/>
    <w:rsid w:val="00E41D7B"/>
    <w:rsid w:val="00E41D7C"/>
    <w:rsid w:val="00E41D7F"/>
    <w:rsid w:val="00E41D81"/>
    <w:rsid w:val="00E41D8C"/>
    <w:rsid w:val="00E41D96"/>
    <w:rsid w:val="00E41D9D"/>
    <w:rsid w:val="00E41DE9"/>
    <w:rsid w:val="00E41DF3"/>
    <w:rsid w:val="00E41E6F"/>
    <w:rsid w:val="00E41E73"/>
    <w:rsid w:val="00E41ED8"/>
    <w:rsid w:val="00E41EFB"/>
    <w:rsid w:val="00E41EFD"/>
    <w:rsid w:val="00E41F23"/>
    <w:rsid w:val="00E41F40"/>
    <w:rsid w:val="00E41F57"/>
    <w:rsid w:val="00E41F81"/>
    <w:rsid w:val="00E41FA7"/>
    <w:rsid w:val="00E41FAA"/>
    <w:rsid w:val="00E41FCD"/>
    <w:rsid w:val="00E41FDB"/>
    <w:rsid w:val="00E42030"/>
    <w:rsid w:val="00E42093"/>
    <w:rsid w:val="00E42095"/>
    <w:rsid w:val="00E420D2"/>
    <w:rsid w:val="00E420D4"/>
    <w:rsid w:val="00E420F3"/>
    <w:rsid w:val="00E4210F"/>
    <w:rsid w:val="00E42121"/>
    <w:rsid w:val="00E42163"/>
    <w:rsid w:val="00E42176"/>
    <w:rsid w:val="00E42184"/>
    <w:rsid w:val="00E42188"/>
    <w:rsid w:val="00E42191"/>
    <w:rsid w:val="00E421C5"/>
    <w:rsid w:val="00E42205"/>
    <w:rsid w:val="00E42236"/>
    <w:rsid w:val="00E4224D"/>
    <w:rsid w:val="00E4225C"/>
    <w:rsid w:val="00E42285"/>
    <w:rsid w:val="00E42290"/>
    <w:rsid w:val="00E422D5"/>
    <w:rsid w:val="00E4235B"/>
    <w:rsid w:val="00E42399"/>
    <w:rsid w:val="00E423F0"/>
    <w:rsid w:val="00E423F9"/>
    <w:rsid w:val="00E42438"/>
    <w:rsid w:val="00E42451"/>
    <w:rsid w:val="00E42452"/>
    <w:rsid w:val="00E4245B"/>
    <w:rsid w:val="00E4247D"/>
    <w:rsid w:val="00E4248E"/>
    <w:rsid w:val="00E42577"/>
    <w:rsid w:val="00E4257C"/>
    <w:rsid w:val="00E425A9"/>
    <w:rsid w:val="00E425AB"/>
    <w:rsid w:val="00E4260A"/>
    <w:rsid w:val="00E42632"/>
    <w:rsid w:val="00E42667"/>
    <w:rsid w:val="00E4267F"/>
    <w:rsid w:val="00E426D2"/>
    <w:rsid w:val="00E426FE"/>
    <w:rsid w:val="00E4271F"/>
    <w:rsid w:val="00E42731"/>
    <w:rsid w:val="00E42761"/>
    <w:rsid w:val="00E4276D"/>
    <w:rsid w:val="00E427B6"/>
    <w:rsid w:val="00E427BA"/>
    <w:rsid w:val="00E427CE"/>
    <w:rsid w:val="00E42801"/>
    <w:rsid w:val="00E42806"/>
    <w:rsid w:val="00E42809"/>
    <w:rsid w:val="00E42867"/>
    <w:rsid w:val="00E42869"/>
    <w:rsid w:val="00E42882"/>
    <w:rsid w:val="00E428EF"/>
    <w:rsid w:val="00E42916"/>
    <w:rsid w:val="00E4292A"/>
    <w:rsid w:val="00E4294D"/>
    <w:rsid w:val="00E42954"/>
    <w:rsid w:val="00E4295C"/>
    <w:rsid w:val="00E42974"/>
    <w:rsid w:val="00E429B1"/>
    <w:rsid w:val="00E42A12"/>
    <w:rsid w:val="00E42A58"/>
    <w:rsid w:val="00E42AD3"/>
    <w:rsid w:val="00E42AF5"/>
    <w:rsid w:val="00E42BAE"/>
    <w:rsid w:val="00E42C10"/>
    <w:rsid w:val="00E42C2C"/>
    <w:rsid w:val="00E42C4A"/>
    <w:rsid w:val="00E42C54"/>
    <w:rsid w:val="00E42C93"/>
    <w:rsid w:val="00E42CA3"/>
    <w:rsid w:val="00E42CA8"/>
    <w:rsid w:val="00E42CB6"/>
    <w:rsid w:val="00E42CF9"/>
    <w:rsid w:val="00E42CFE"/>
    <w:rsid w:val="00E42D0C"/>
    <w:rsid w:val="00E42D12"/>
    <w:rsid w:val="00E42D49"/>
    <w:rsid w:val="00E42D5F"/>
    <w:rsid w:val="00E42DAD"/>
    <w:rsid w:val="00E42DB1"/>
    <w:rsid w:val="00E42DBF"/>
    <w:rsid w:val="00E42DCF"/>
    <w:rsid w:val="00E42DF0"/>
    <w:rsid w:val="00E42E2F"/>
    <w:rsid w:val="00E42E48"/>
    <w:rsid w:val="00E42E59"/>
    <w:rsid w:val="00E42E86"/>
    <w:rsid w:val="00E42EC7"/>
    <w:rsid w:val="00E42EDB"/>
    <w:rsid w:val="00E42F26"/>
    <w:rsid w:val="00E42F29"/>
    <w:rsid w:val="00E42F54"/>
    <w:rsid w:val="00E42FCC"/>
    <w:rsid w:val="00E42FE3"/>
    <w:rsid w:val="00E42FF9"/>
    <w:rsid w:val="00E4302E"/>
    <w:rsid w:val="00E43067"/>
    <w:rsid w:val="00E43093"/>
    <w:rsid w:val="00E430AD"/>
    <w:rsid w:val="00E430B2"/>
    <w:rsid w:val="00E430C9"/>
    <w:rsid w:val="00E43102"/>
    <w:rsid w:val="00E43172"/>
    <w:rsid w:val="00E4318F"/>
    <w:rsid w:val="00E431A1"/>
    <w:rsid w:val="00E431D7"/>
    <w:rsid w:val="00E431EE"/>
    <w:rsid w:val="00E431FE"/>
    <w:rsid w:val="00E4321D"/>
    <w:rsid w:val="00E43221"/>
    <w:rsid w:val="00E4322F"/>
    <w:rsid w:val="00E4327E"/>
    <w:rsid w:val="00E43292"/>
    <w:rsid w:val="00E432B0"/>
    <w:rsid w:val="00E432E5"/>
    <w:rsid w:val="00E43330"/>
    <w:rsid w:val="00E43342"/>
    <w:rsid w:val="00E4334F"/>
    <w:rsid w:val="00E4337E"/>
    <w:rsid w:val="00E4340B"/>
    <w:rsid w:val="00E43448"/>
    <w:rsid w:val="00E4346D"/>
    <w:rsid w:val="00E434A8"/>
    <w:rsid w:val="00E434B9"/>
    <w:rsid w:val="00E434FE"/>
    <w:rsid w:val="00E4351E"/>
    <w:rsid w:val="00E43575"/>
    <w:rsid w:val="00E43576"/>
    <w:rsid w:val="00E4358B"/>
    <w:rsid w:val="00E435A3"/>
    <w:rsid w:val="00E435AA"/>
    <w:rsid w:val="00E435E7"/>
    <w:rsid w:val="00E43606"/>
    <w:rsid w:val="00E43639"/>
    <w:rsid w:val="00E43681"/>
    <w:rsid w:val="00E4368C"/>
    <w:rsid w:val="00E43699"/>
    <w:rsid w:val="00E4369B"/>
    <w:rsid w:val="00E436A8"/>
    <w:rsid w:val="00E436CA"/>
    <w:rsid w:val="00E436D1"/>
    <w:rsid w:val="00E4371E"/>
    <w:rsid w:val="00E4374B"/>
    <w:rsid w:val="00E4375A"/>
    <w:rsid w:val="00E4379D"/>
    <w:rsid w:val="00E437C8"/>
    <w:rsid w:val="00E437D8"/>
    <w:rsid w:val="00E437DB"/>
    <w:rsid w:val="00E437FF"/>
    <w:rsid w:val="00E43890"/>
    <w:rsid w:val="00E438A3"/>
    <w:rsid w:val="00E438C8"/>
    <w:rsid w:val="00E43913"/>
    <w:rsid w:val="00E4394D"/>
    <w:rsid w:val="00E43952"/>
    <w:rsid w:val="00E43A0B"/>
    <w:rsid w:val="00E43A1A"/>
    <w:rsid w:val="00E43A1C"/>
    <w:rsid w:val="00E43B30"/>
    <w:rsid w:val="00E43B3B"/>
    <w:rsid w:val="00E43B58"/>
    <w:rsid w:val="00E43C3F"/>
    <w:rsid w:val="00E43CDC"/>
    <w:rsid w:val="00E43CF6"/>
    <w:rsid w:val="00E43D2D"/>
    <w:rsid w:val="00E43D50"/>
    <w:rsid w:val="00E43DA0"/>
    <w:rsid w:val="00E43DA3"/>
    <w:rsid w:val="00E43DB4"/>
    <w:rsid w:val="00E43E7D"/>
    <w:rsid w:val="00E43F32"/>
    <w:rsid w:val="00E43F37"/>
    <w:rsid w:val="00E43F66"/>
    <w:rsid w:val="00E43F78"/>
    <w:rsid w:val="00E43F82"/>
    <w:rsid w:val="00E43F84"/>
    <w:rsid w:val="00E43FC7"/>
    <w:rsid w:val="00E43FDB"/>
    <w:rsid w:val="00E43FE8"/>
    <w:rsid w:val="00E44008"/>
    <w:rsid w:val="00E44013"/>
    <w:rsid w:val="00E4402E"/>
    <w:rsid w:val="00E44053"/>
    <w:rsid w:val="00E44061"/>
    <w:rsid w:val="00E440AB"/>
    <w:rsid w:val="00E440B3"/>
    <w:rsid w:val="00E440D2"/>
    <w:rsid w:val="00E440F3"/>
    <w:rsid w:val="00E440FF"/>
    <w:rsid w:val="00E44195"/>
    <w:rsid w:val="00E441A6"/>
    <w:rsid w:val="00E441CC"/>
    <w:rsid w:val="00E44242"/>
    <w:rsid w:val="00E44249"/>
    <w:rsid w:val="00E4424C"/>
    <w:rsid w:val="00E44279"/>
    <w:rsid w:val="00E44283"/>
    <w:rsid w:val="00E442CB"/>
    <w:rsid w:val="00E442E8"/>
    <w:rsid w:val="00E442FE"/>
    <w:rsid w:val="00E44324"/>
    <w:rsid w:val="00E44355"/>
    <w:rsid w:val="00E44365"/>
    <w:rsid w:val="00E44396"/>
    <w:rsid w:val="00E443D4"/>
    <w:rsid w:val="00E4440B"/>
    <w:rsid w:val="00E44425"/>
    <w:rsid w:val="00E44430"/>
    <w:rsid w:val="00E44466"/>
    <w:rsid w:val="00E4448E"/>
    <w:rsid w:val="00E4449E"/>
    <w:rsid w:val="00E444A3"/>
    <w:rsid w:val="00E444B7"/>
    <w:rsid w:val="00E444C1"/>
    <w:rsid w:val="00E444E9"/>
    <w:rsid w:val="00E4452D"/>
    <w:rsid w:val="00E4454C"/>
    <w:rsid w:val="00E44552"/>
    <w:rsid w:val="00E44562"/>
    <w:rsid w:val="00E44586"/>
    <w:rsid w:val="00E4458B"/>
    <w:rsid w:val="00E445A0"/>
    <w:rsid w:val="00E445DB"/>
    <w:rsid w:val="00E445DD"/>
    <w:rsid w:val="00E445E3"/>
    <w:rsid w:val="00E445E6"/>
    <w:rsid w:val="00E4462C"/>
    <w:rsid w:val="00E44645"/>
    <w:rsid w:val="00E44676"/>
    <w:rsid w:val="00E446A2"/>
    <w:rsid w:val="00E446E4"/>
    <w:rsid w:val="00E44775"/>
    <w:rsid w:val="00E447A5"/>
    <w:rsid w:val="00E447B2"/>
    <w:rsid w:val="00E447D1"/>
    <w:rsid w:val="00E447D3"/>
    <w:rsid w:val="00E4480B"/>
    <w:rsid w:val="00E44841"/>
    <w:rsid w:val="00E44855"/>
    <w:rsid w:val="00E4486A"/>
    <w:rsid w:val="00E448CC"/>
    <w:rsid w:val="00E448D3"/>
    <w:rsid w:val="00E448D6"/>
    <w:rsid w:val="00E448EA"/>
    <w:rsid w:val="00E44939"/>
    <w:rsid w:val="00E4495C"/>
    <w:rsid w:val="00E44969"/>
    <w:rsid w:val="00E4497D"/>
    <w:rsid w:val="00E449BD"/>
    <w:rsid w:val="00E449C7"/>
    <w:rsid w:val="00E44A09"/>
    <w:rsid w:val="00E44A3B"/>
    <w:rsid w:val="00E44A51"/>
    <w:rsid w:val="00E44A5D"/>
    <w:rsid w:val="00E44AB6"/>
    <w:rsid w:val="00E44ABC"/>
    <w:rsid w:val="00E44B07"/>
    <w:rsid w:val="00E44B0F"/>
    <w:rsid w:val="00E44B18"/>
    <w:rsid w:val="00E44B1B"/>
    <w:rsid w:val="00E44B3A"/>
    <w:rsid w:val="00E44B9D"/>
    <w:rsid w:val="00E44BCC"/>
    <w:rsid w:val="00E44BDB"/>
    <w:rsid w:val="00E44BF2"/>
    <w:rsid w:val="00E44BFD"/>
    <w:rsid w:val="00E44C57"/>
    <w:rsid w:val="00E44C74"/>
    <w:rsid w:val="00E44CC3"/>
    <w:rsid w:val="00E44CD3"/>
    <w:rsid w:val="00E44CDF"/>
    <w:rsid w:val="00E44D15"/>
    <w:rsid w:val="00E44D83"/>
    <w:rsid w:val="00E44D8A"/>
    <w:rsid w:val="00E44DF3"/>
    <w:rsid w:val="00E44E36"/>
    <w:rsid w:val="00E44E98"/>
    <w:rsid w:val="00E44EA5"/>
    <w:rsid w:val="00E44ECA"/>
    <w:rsid w:val="00E44ECB"/>
    <w:rsid w:val="00E44EF3"/>
    <w:rsid w:val="00E44EFA"/>
    <w:rsid w:val="00E44F54"/>
    <w:rsid w:val="00E44F87"/>
    <w:rsid w:val="00E4503D"/>
    <w:rsid w:val="00E45051"/>
    <w:rsid w:val="00E4505B"/>
    <w:rsid w:val="00E45083"/>
    <w:rsid w:val="00E450EC"/>
    <w:rsid w:val="00E4513D"/>
    <w:rsid w:val="00E45173"/>
    <w:rsid w:val="00E4517B"/>
    <w:rsid w:val="00E451D3"/>
    <w:rsid w:val="00E451D7"/>
    <w:rsid w:val="00E451D8"/>
    <w:rsid w:val="00E451E1"/>
    <w:rsid w:val="00E45213"/>
    <w:rsid w:val="00E4521E"/>
    <w:rsid w:val="00E45251"/>
    <w:rsid w:val="00E45257"/>
    <w:rsid w:val="00E45263"/>
    <w:rsid w:val="00E452B1"/>
    <w:rsid w:val="00E452C2"/>
    <w:rsid w:val="00E452D1"/>
    <w:rsid w:val="00E4531A"/>
    <w:rsid w:val="00E4532D"/>
    <w:rsid w:val="00E45379"/>
    <w:rsid w:val="00E453A6"/>
    <w:rsid w:val="00E453A8"/>
    <w:rsid w:val="00E453CD"/>
    <w:rsid w:val="00E45413"/>
    <w:rsid w:val="00E4542C"/>
    <w:rsid w:val="00E45431"/>
    <w:rsid w:val="00E45461"/>
    <w:rsid w:val="00E45484"/>
    <w:rsid w:val="00E4548C"/>
    <w:rsid w:val="00E454C6"/>
    <w:rsid w:val="00E4550C"/>
    <w:rsid w:val="00E45557"/>
    <w:rsid w:val="00E45566"/>
    <w:rsid w:val="00E455AC"/>
    <w:rsid w:val="00E455C2"/>
    <w:rsid w:val="00E455D2"/>
    <w:rsid w:val="00E4560B"/>
    <w:rsid w:val="00E4561B"/>
    <w:rsid w:val="00E45643"/>
    <w:rsid w:val="00E4567C"/>
    <w:rsid w:val="00E456B9"/>
    <w:rsid w:val="00E456F2"/>
    <w:rsid w:val="00E456F5"/>
    <w:rsid w:val="00E456FD"/>
    <w:rsid w:val="00E457BB"/>
    <w:rsid w:val="00E457D4"/>
    <w:rsid w:val="00E457DC"/>
    <w:rsid w:val="00E457E4"/>
    <w:rsid w:val="00E4580C"/>
    <w:rsid w:val="00E458D1"/>
    <w:rsid w:val="00E458DC"/>
    <w:rsid w:val="00E458ED"/>
    <w:rsid w:val="00E458FE"/>
    <w:rsid w:val="00E4594A"/>
    <w:rsid w:val="00E4594F"/>
    <w:rsid w:val="00E4599F"/>
    <w:rsid w:val="00E459FC"/>
    <w:rsid w:val="00E45A00"/>
    <w:rsid w:val="00E45A12"/>
    <w:rsid w:val="00E45A28"/>
    <w:rsid w:val="00E45A33"/>
    <w:rsid w:val="00E45A76"/>
    <w:rsid w:val="00E45A7E"/>
    <w:rsid w:val="00E45A83"/>
    <w:rsid w:val="00E45AEA"/>
    <w:rsid w:val="00E45AEB"/>
    <w:rsid w:val="00E45AFC"/>
    <w:rsid w:val="00E45B29"/>
    <w:rsid w:val="00E45B51"/>
    <w:rsid w:val="00E45B86"/>
    <w:rsid w:val="00E45BAF"/>
    <w:rsid w:val="00E45BED"/>
    <w:rsid w:val="00E45D59"/>
    <w:rsid w:val="00E45D65"/>
    <w:rsid w:val="00E45D89"/>
    <w:rsid w:val="00E45D8A"/>
    <w:rsid w:val="00E45DDC"/>
    <w:rsid w:val="00E45E0B"/>
    <w:rsid w:val="00E45E65"/>
    <w:rsid w:val="00E45E82"/>
    <w:rsid w:val="00E45E9D"/>
    <w:rsid w:val="00E45ED4"/>
    <w:rsid w:val="00E45F11"/>
    <w:rsid w:val="00E45F39"/>
    <w:rsid w:val="00E45F7B"/>
    <w:rsid w:val="00E45F88"/>
    <w:rsid w:val="00E46010"/>
    <w:rsid w:val="00E4602D"/>
    <w:rsid w:val="00E46086"/>
    <w:rsid w:val="00E460C3"/>
    <w:rsid w:val="00E460CC"/>
    <w:rsid w:val="00E460EC"/>
    <w:rsid w:val="00E4610D"/>
    <w:rsid w:val="00E46158"/>
    <w:rsid w:val="00E46162"/>
    <w:rsid w:val="00E4616E"/>
    <w:rsid w:val="00E46176"/>
    <w:rsid w:val="00E4617E"/>
    <w:rsid w:val="00E4618D"/>
    <w:rsid w:val="00E461B2"/>
    <w:rsid w:val="00E46202"/>
    <w:rsid w:val="00E4620D"/>
    <w:rsid w:val="00E46264"/>
    <w:rsid w:val="00E46272"/>
    <w:rsid w:val="00E462AD"/>
    <w:rsid w:val="00E46308"/>
    <w:rsid w:val="00E46315"/>
    <w:rsid w:val="00E46318"/>
    <w:rsid w:val="00E46356"/>
    <w:rsid w:val="00E4635B"/>
    <w:rsid w:val="00E46365"/>
    <w:rsid w:val="00E46395"/>
    <w:rsid w:val="00E463E8"/>
    <w:rsid w:val="00E46415"/>
    <w:rsid w:val="00E46444"/>
    <w:rsid w:val="00E46458"/>
    <w:rsid w:val="00E46479"/>
    <w:rsid w:val="00E46483"/>
    <w:rsid w:val="00E464D9"/>
    <w:rsid w:val="00E46521"/>
    <w:rsid w:val="00E4658E"/>
    <w:rsid w:val="00E46594"/>
    <w:rsid w:val="00E46598"/>
    <w:rsid w:val="00E4659E"/>
    <w:rsid w:val="00E465B8"/>
    <w:rsid w:val="00E465C9"/>
    <w:rsid w:val="00E46620"/>
    <w:rsid w:val="00E46641"/>
    <w:rsid w:val="00E46659"/>
    <w:rsid w:val="00E4665E"/>
    <w:rsid w:val="00E4667A"/>
    <w:rsid w:val="00E46685"/>
    <w:rsid w:val="00E46688"/>
    <w:rsid w:val="00E466CC"/>
    <w:rsid w:val="00E466DE"/>
    <w:rsid w:val="00E466F1"/>
    <w:rsid w:val="00E46752"/>
    <w:rsid w:val="00E46782"/>
    <w:rsid w:val="00E46783"/>
    <w:rsid w:val="00E46787"/>
    <w:rsid w:val="00E4678E"/>
    <w:rsid w:val="00E46792"/>
    <w:rsid w:val="00E467CE"/>
    <w:rsid w:val="00E46817"/>
    <w:rsid w:val="00E4685C"/>
    <w:rsid w:val="00E46896"/>
    <w:rsid w:val="00E468BF"/>
    <w:rsid w:val="00E468D4"/>
    <w:rsid w:val="00E468F6"/>
    <w:rsid w:val="00E4690F"/>
    <w:rsid w:val="00E46945"/>
    <w:rsid w:val="00E46959"/>
    <w:rsid w:val="00E4699E"/>
    <w:rsid w:val="00E46A39"/>
    <w:rsid w:val="00E46A45"/>
    <w:rsid w:val="00E46A67"/>
    <w:rsid w:val="00E46AB0"/>
    <w:rsid w:val="00E46AC4"/>
    <w:rsid w:val="00E46AE3"/>
    <w:rsid w:val="00E46B0E"/>
    <w:rsid w:val="00E46B0F"/>
    <w:rsid w:val="00E46B1D"/>
    <w:rsid w:val="00E46B3F"/>
    <w:rsid w:val="00E46B72"/>
    <w:rsid w:val="00E46BAC"/>
    <w:rsid w:val="00E46BBE"/>
    <w:rsid w:val="00E46C14"/>
    <w:rsid w:val="00E46C31"/>
    <w:rsid w:val="00E46C93"/>
    <w:rsid w:val="00E46C96"/>
    <w:rsid w:val="00E46C9F"/>
    <w:rsid w:val="00E46CA7"/>
    <w:rsid w:val="00E46CD4"/>
    <w:rsid w:val="00E46D25"/>
    <w:rsid w:val="00E46D2A"/>
    <w:rsid w:val="00E46D38"/>
    <w:rsid w:val="00E46D44"/>
    <w:rsid w:val="00E46D70"/>
    <w:rsid w:val="00E46DEE"/>
    <w:rsid w:val="00E46DF3"/>
    <w:rsid w:val="00E46E34"/>
    <w:rsid w:val="00E46E3B"/>
    <w:rsid w:val="00E46E43"/>
    <w:rsid w:val="00E46E73"/>
    <w:rsid w:val="00E46E91"/>
    <w:rsid w:val="00E46EAF"/>
    <w:rsid w:val="00E46EBA"/>
    <w:rsid w:val="00E46EC9"/>
    <w:rsid w:val="00E46ECB"/>
    <w:rsid w:val="00E46EE8"/>
    <w:rsid w:val="00E46EEC"/>
    <w:rsid w:val="00E46F0C"/>
    <w:rsid w:val="00E46F10"/>
    <w:rsid w:val="00E46F5F"/>
    <w:rsid w:val="00E46FA6"/>
    <w:rsid w:val="00E46FB3"/>
    <w:rsid w:val="00E46FDD"/>
    <w:rsid w:val="00E46FE4"/>
    <w:rsid w:val="00E47004"/>
    <w:rsid w:val="00E47027"/>
    <w:rsid w:val="00E4704F"/>
    <w:rsid w:val="00E470A7"/>
    <w:rsid w:val="00E470FD"/>
    <w:rsid w:val="00E47189"/>
    <w:rsid w:val="00E471A8"/>
    <w:rsid w:val="00E471F5"/>
    <w:rsid w:val="00E471F7"/>
    <w:rsid w:val="00E47210"/>
    <w:rsid w:val="00E4722B"/>
    <w:rsid w:val="00E47244"/>
    <w:rsid w:val="00E47291"/>
    <w:rsid w:val="00E472A3"/>
    <w:rsid w:val="00E472B6"/>
    <w:rsid w:val="00E472C3"/>
    <w:rsid w:val="00E472E8"/>
    <w:rsid w:val="00E472FB"/>
    <w:rsid w:val="00E47312"/>
    <w:rsid w:val="00E47363"/>
    <w:rsid w:val="00E47371"/>
    <w:rsid w:val="00E473A2"/>
    <w:rsid w:val="00E47418"/>
    <w:rsid w:val="00E4742A"/>
    <w:rsid w:val="00E4743C"/>
    <w:rsid w:val="00E47447"/>
    <w:rsid w:val="00E4745E"/>
    <w:rsid w:val="00E47471"/>
    <w:rsid w:val="00E4747C"/>
    <w:rsid w:val="00E474BE"/>
    <w:rsid w:val="00E47513"/>
    <w:rsid w:val="00E47517"/>
    <w:rsid w:val="00E47549"/>
    <w:rsid w:val="00E47595"/>
    <w:rsid w:val="00E475F7"/>
    <w:rsid w:val="00E4760A"/>
    <w:rsid w:val="00E4763A"/>
    <w:rsid w:val="00E47682"/>
    <w:rsid w:val="00E47687"/>
    <w:rsid w:val="00E476D1"/>
    <w:rsid w:val="00E476EA"/>
    <w:rsid w:val="00E476F6"/>
    <w:rsid w:val="00E476F7"/>
    <w:rsid w:val="00E47702"/>
    <w:rsid w:val="00E47707"/>
    <w:rsid w:val="00E47708"/>
    <w:rsid w:val="00E47731"/>
    <w:rsid w:val="00E47742"/>
    <w:rsid w:val="00E47759"/>
    <w:rsid w:val="00E47769"/>
    <w:rsid w:val="00E4777D"/>
    <w:rsid w:val="00E47810"/>
    <w:rsid w:val="00E47821"/>
    <w:rsid w:val="00E4787C"/>
    <w:rsid w:val="00E478B7"/>
    <w:rsid w:val="00E478CF"/>
    <w:rsid w:val="00E47911"/>
    <w:rsid w:val="00E4792C"/>
    <w:rsid w:val="00E47981"/>
    <w:rsid w:val="00E4798F"/>
    <w:rsid w:val="00E479C4"/>
    <w:rsid w:val="00E479EC"/>
    <w:rsid w:val="00E47A12"/>
    <w:rsid w:val="00E47A33"/>
    <w:rsid w:val="00E47A85"/>
    <w:rsid w:val="00E47AC2"/>
    <w:rsid w:val="00E47AE7"/>
    <w:rsid w:val="00E47B05"/>
    <w:rsid w:val="00E47B2C"/>
    <w:rsid w:val="00E47B2D"/>
    <w:rsid w:val="00E47B6B"/>
    <w:rsid w:val="00E47BBF"/>
    <w:rsid w:val="00E47BDF"/>
    <w:rsid w:val="00E47C75"/>
    <w:rsid w:val="00E47C79"/>
    <w:rsid w:val="00E47CCB"/>
    <w:rsid w:val="00E47CD2"/>
    <w:rsid w:val="00E47D29"/>
    <w:rsid w:val="00E47D39"/>
    <w:rsid w:val="00E47D5A"/>
    <w:rsid w:val="00E47DBC"/>
    <w:rsid w:val="00E47DBF"/>
    <w:rsid w:val="00E47E37"/>
    <w:rsid w:val="00E47E4B"/>
    <w:rsid w:val="00E47E4E"/>
    <w:rsid w:val="00E47E75"/>
    <w:rsid w:val="00E47ECD"/>
    <w:rsid w:val="00E47EE4"/>
    <w:rsid w:val="00E47EFA"/>
    <w:rsid w:val="00E47F15"/>
    <w:rsid w:val="00E47F20"/>
    <w:rsid w:val="00E47F26"/>
    <w:rsid w:val="00E47F27"/>
    <w:rsid w:val="00E47F28"/>
    <w:rsid w:val="00E47F67"/>
    <w:rsid w:val="00E47F9A"/>
    <w:rsid w:val="00E47FB8"/>
    <w:rsid w:val="00E47FEF"/>
    <w:rsid w:val="00E47FF5"/>
    <w:rsid w:val="00E50042"/>
    <w:rsid w:val="00E500DD"/>
    <w:rsid w:val="00E500E6"/>
    <w:rsid w:val="00E500F0"/>
    <w:rsid w:val="00E5011E"/>
    <w:rsid w:val="00E50128"/>
    <w:rsid w:val="00E5013A"/>
    <w:rsid w:val="00E50140"/>
    <w:rsid w:val="00E501B8"/>
    <w:rsid w:val="00E501D2"/>
    <w:rsid w:val="00E50217"/>
    <w:rsid w:val="00E502DC"/>
    <w:rsid w:val="00E502F2"/>
    <w:rsid w:val="00E5033C"/>
    <w:rsid w:val="00E50348"/>
    <w:rsid w:val="00E50358"/>
    <w:rsid w:val="00E50389"/>
    <w:rsid w:val="00E5038E"/>
    <w:rsid w:val="00E503E6"/>
    <w:rsid w:val="00E50408"/>
    <w:rsid w:val="00E5040F"/>
    <w:rsid w:val="00E5041C"/>
    <w:rsid w:val="00E50444"/>
    <w:rsid w:val="00E50484"/>
    <w:rsid w:val="00E5049A"/>
    <w:rsid w:val="00E504FD"/>
    <w:rsid w:val="00E5050D"/>
    <w:rsid w:val="00E50526"/>
    <w:rsid w:val="00E5055F"/>
    <w:rsid w:val="00E50574"/>
    <w:rsid w:val="00E505BF"/>
    <w:rsid w:val="00E50614"/>
    <w:rsid w:val="00E50619"/>
    <w:rsid w:val="00E5061C"/>
    <w:rsid w:val="00E5062F"/>
    <w:rsid w:val="00E5063E"/>
    <w:rsid w:val="00E506D9"/>
    <w:rsid w:val="00E506ED"/>
    <w:rsid w:val="00E5070C"/>
    <w:rsid w:val="00E50739"/>
    <w:rsid w:val="00E50748"/>
    <w:rsid w:val="00E50758"/>
    <w:rsid w:val="00E50775"/>
    <w:rsid w:val="00E507C6"/>
    <w:rsid w:val="00E507F6"/>
    <w:rsid w:val="00E5080A"/>
    <w:rsid w:val="00E50823"/>
    <w:rsid w:val="00E5084A"/>
    <w:rsid w:val="00E50891"/>
    <w:rsid w:val="00E508CD"/>
    <w:rsid w:val="00E508E1"/>
    <w:rsid w:val="00E508FB"/>
    <w:rsid w:val="00E5092F"/>
    <w:rsid w:val="00E50940"/>
    <w:rsid w:val="00E50997"/>
    <w:rsid w:val="00E509E7"/>
    <w:rsid w:val="00E509F6"/>
    <w:rsid w:val="00E50A0B"/>
    <w:rsid w:val="00E50A23"/>
    <w:rsid w:val="00E50A81"/>
    <w:rsid w:val="00E50A9A"/>
    <w:rsid w:val="00E50AFA"/>
    <w:rsid w:val="00E50AFF"/>
    <w:rsid w:val="00E50B24"/>
    <w:rsid w:val="00E50B5D"/>
    <w:rsid w:val="00E50B71"/>
    <w:rsid w:val="00E50B99"/>
    <w:rsid w:val="00E50C2E"/>
    <w:rsid w:val="00E50CB8"/>
    <w:rsid w:val="00E50CC9"/>
    <w:rsid w:val="00E50D12"/>
    <w:rsid w:val="00E50D42"/>
    <w:rsid w:val="00E50D50"/>
    <w:rsid w:val="00E50D6D"/>
    <w:rsid w:val="00E50D7B"/>
    <w:rsid w:val="00E50D94"/>
    <w:rsid w:val="00E50DB6"/>
    <w:rsid w:val="00E50DE1"/>
    <w:rsid w:val="00E50E17"/>
    <w:rsid w:val="00E50EE0"/>
    <w:rsid w:val="00E50EFA"/>
    <w:rsid w:val="00E50F41"/>
    <w:rsid w:val="00E50F50"/>
    <w:rsid w:val="00E50F9D"/>
    <w:rsid w:val="00E51018"/>
    <w:rsid w:val="00E51041"/>
    <w:rsid w:val="00E51047"/>
    <w:rsid w:val="00E51057"/>
    <w:rsid w:val="00E51096"/>
    <w:rsid w:val="00E510C5"/>
    <w:rsid w:val="00E510D0"/>
    <w:rsid w:val="00E510D4"/>
    <w:rsid w:val="00E51187"/>
    <w:rsid w:val="00E511CA"/>
    <w:rsid w:val="00E511DF"/>
    <w:rsid w:val="00E5120A"/>
    <w:rsid w:val="00E51242"/>
    <w:rsid w:val="00E51248"/>
    <w:rsid w:val="00E5124E"/>
    <w:rsid w:val="00E5125F"/>
    <w:rsid w:val="00E512A0"/>
    <w:rsid w:val="00E512BC"/>
    <w:rsid w:val="00E512BE"/>
    <w:rsid w:val="00E512E9"/>
    <w:rsid w:val="00E51322"/>
    <w:rsid w:val="00E51365"/>
    <w:rsid w:val="00E51371"/>
    <w:rsid w:val="00E5137F"/>
    <w:rsid w:val="00E513A4"/>
    <w:rsid w:val="00E513EA"/>
    <w:rsid w:val="00E513FF"/>
    <w:rsid w:val="00E51475"/>
    <w:rsid w:val="00E514B5"/>
    <w:rsid w:val="00E5153D"/>
    <w:rsid w:val="00E51545"/>
    <w:rsid w:val="00E5155A"/>
    <w:rsid w:val="00E51577"/>
    <w:rsid w:val="00E5157A"/>
    <w:rsid w:val="00E5157E"/>
    <w:rsid w:val="00E515AC"/>
    <w:rsid w:val="00E51611"/>
    <w:rsid w:val="00E5168E"/>
    <w:rsid w:val="00E516A0"/>
    <w:rsid w:val="00E516CB"/>
    <w:rsid w:val="00E516EA"/>
    <w:rsid w:val="00E51761"/>
    <w:rsid w:val="00E517A9"/>
    <w:rsid w:val="00E517C0"/>
    <w:rsid w:val="00E517E2"/>
    <w:rsid w:val="00E517F3"/>
    <w:rsid w:val="00E51807"/>
    <w:rsid w:val="00E51808"/>
    <w:rsid w:val="00E5182E"/>
    <w:rsid w:val="00E51853"/>
    <w:rsid w:val="00E51867"/>
    <w:rsid w:val="00E5186B"/>
    <w:rsid w:val="00E51875"/>
    <w:rsid w:val="00E51878"/>
    <w:rsid w:val="00E5188F"/>
    <w:rsid w:val="00E518B8"/>
    <w:rsid w:val="00E518CD"/>
    <w:rsid w:val="00E518DE"/>
    <w:rsid w:val="00E518FE"/>
    <w:rsid w:val="00E51932"/>
    <w:rsid w:val="00E5193A"/>
    <w:rsid w:val="00E51958"/>
    <w:rsid w:val="00E51972"/>
    <w:rsid w:val="00E5198A"/>
    <w:rsid w:val="00E51993"/>
    <w:rsid w:val="00E51999"/>
    <w:rsid w:val="00E5199C"/>
    <w:rsid w:val="00E519D5"/>
    <w:rsid w:val="00E519E8"/>
    <w:rsid w:val="00E519EB"/>
    <w:rsid w:val="00E51A03"/>
    <w:rsid w:val="00E51A0A"/>
    <w:rsid w:val="00E51A4F"/>
    <w:rsid w:val="00E51A5B"/>
    <w:rsid w:val="00E51AAA"/>
    <w:rsid w:val="00E51ADE"/>
    <w:rsid w:val="00E51AE6"/>
    <w:rsid w:val="00E51B0B"/>
    <w:rsid w:val="00E51B72"/>
    <w:rsid w:val="00E51B9A"/>
    <w:rsid w:val="00E51BB0"/>
    <w:rsid w:val="00E51BBC"/>
    <w:rsid w:val="00E51BEB"/>
    <w:rsid w:val="00E51C1B"/>
    <w:rsid w:val="00E51C54"/>
    <w:rsid w:val="00E51C7A"/>
    <w:rsid w:val="00E51CDD"/>
    <w:rsid w:val="00E51CFC"/>
    <w:rsid w:val="00E51D32"/>
    <w:rsid w:val="00E51DC0"/>
    <w:rsid w:val="00E51E20"/>
    <w:rsid w:val="00E51E31"/>
    <w:rsid w:val="00E51E5A"/>
    <w:rsid w:val="00E51E69"/>
    <w:rsid w:val="00E51E72"/>
    <w:rsid w:val="00E51F51"/>
    <w:rsid w:val="00E51F5E"/>
    <w:rsid w:val="00E51F72"/>
    <w:rsid w:val="00E51FA9"/>
    <w:rsid w:val="00E51FCA"/>
    <w:rsid w:val="00E51FD5"/>
    <w:rsid w:val="00E51FF7"/>
    <w:rsid w:val="00E52005"/>
    <w:rsid w:val="00E52086"/>
    <w:rsid w:val="00E52089"/>
    <w:rsid w:val="00E5208F"/>
    <w:rsid w:val="00E52094"/>
    <w:rsid w:val="00E52097"/>
    <w:rsid w:val="00E520C4"/>
    <w:rsid w:val="00E52103"/>
    <w:rsid w:val="00E5211F"/>
    <w:rsid w:val="00E5214C"/>
    <w:rsid w:val="00E52159"/>
    <w:rsid w:val="00E5215A"/>
    <w:rsid w:val="00E521C7"/>
    <w:rsid w:val="00E521CF"/>
    <w:rsid w:val="00E521ED"/>
    <w:rsid w:val="00E52246"/>
    <w:rsid w:val="00E52250"/>
    <w:rsid w:val="00E52270"/>
    <w:rsid w:val="00E5227B"/>
    <w:rsid w:val="00E52289"/>
    <w:rsid w:val="00E522B4"/>
    <w:rsid w:val="00E522B5"/>
    <w:rsid w:val="00E522B6"/>
    <w:rsid w:val="00E522CA"/>
    <w:rsid w:val="00E52308"/>
    <w:rsid w:val="00E52365"/>
    <w:rsid w:val="00E523B6"/>
    <w:rsid w:val="00E523C7"/>
    <w:rsid w:val="00E523E6"/>
    <w:rsid w:val="00E523F2"/>
    <w:rsid w:val="00E52418"/>
    <w:rsid w:val="00E52437"/>
    <w:rsid w:val="00E52442"/>
    <w:rsid w:val="00E5245E"/>
    <w:rsid w:val="00E52482"/>
    <w:rsid w:val="00E524B1"/>
    <w:rsid w:val="00E524B2"/>
    <w:rsid w:val="00E524DE"/>
    <w:rsid w:val="00E5250B"/>
    <w:rsid w:val="00E5252D"/>
    <w:rsid w:val="00E52533"/>
    <w:rsid w:val="00E52559"/>
    <w:rsid w:val="00E52590"/>
    <w:rsid w:val="00E52591"/>
    <w:rsid w:val="00E525AA"/>
    <w:rsid w:val="00E525CB"/>
    <w:rsid w:val="00E525CE"/>
    <w:rsid w:val="00E525D2"/>
    <w:rsid w:val="00E525F9"/>
    <w:rsid w:val="00E52612"/>
    <w:rsid w:val="00E5265C"/>
    <w:rsid w:val="00E52675"/>
    <w:rsid w:val="00E52685"/>
    <w:rsid w:val="00E52686"/>
    <w:rsid w:val="00E52695"/>
    <w:rsid w:val="00E526C5"/>
    <w:rsid w:val="00E526CE"/>
    <w:rsid w:val="00E52716"/>
    <w:rsid w:val="00E52728"/>
    <w:rsid w:val="00E52790"/>
    <w:rsid w:val="00E527CE"/>
    <w:rsid w:val="00E527D2"/>
    <w:rsid w:val="00E527EC"/>
    <w:rsid w:val="00E527F8"/>
    <w:rsid w:val="00E52819"/>
    <w:rsid w:val="00E5281D"/>
    <w:rsid w:val="00E5284D"/>
    <w:rsid w:val="00E52882"/>
    <w:rsid w:val="00E52886"/>
    <w:rsid w:val="00E528A2"/>
    <w:rsid w:val="00E528A9"/>
    <w:rsid w:val="00E528DC"/>
    <w:rsid w:val="00E528F1"/>
    <w:rsid w:val="00E52906"/>
    <w:rsid w:val="00E5291E"/>
    <w:rsid w:val="00E52936"/>
    <w:rsid w:val="00E5295C"/>
    <w:rsid w:val="00E5296C"/>
    <w:rsid w:val="00E5297A"/>
    <w:rsid w:val="00E52A27"/>
    <w:rsid w:val="00E52A2B"/>
    <w:rsid w:val="00E52A4A"/>
    <w:rsid w:val="00E52A4F"/>
    <w:rsid w:val="00E52ABD"/>
    <w:rsid w:val="00E52ACB"/>
    <w:rsid w:val="00E52AEE"/>
    <w:rsid w:val="00E52B2F"/>
    <w:rsid w:val="00E52B53"/>
    <w:rsid w:val="00E52B7B"/>
    <w:rsid w:val="00E52B9E"/>
    <w:rsid w:val="00E52BA0"/>
    <w:rsid w:val="00E52BB0"/>
    <w:rsid w:val="00E52BB1"/>
    <w:rsid w:val="00E52BC1"/>
    <w:rsid w:val="00E52C06"/>
    <w:rsid w:val="00E52C14"/>
    <w:rsid w:val="00E52C6B"/>
    <w:rsid w:val="00E52C81"/>
    <w:rsid w:val="00E52C8C"/>
    <w:rsid w:val="00E52D90"/>
    <w:rsid w:val="00E52D91"/>
    <w:rsid w:val="00E52DDE"/>
    <w:rsid w:val="00E52E00"/>
    <w:rsid w:val="00E52E1D"/>
    <w:rsid w:val="00E52E69"/>
    <w:rsid w:val="00E52EEC"/>
    <w:rsid w:val="00E52F19"/>
    <w:rsid w:val="00E52F51"/>
    <w:rsid w:val="00E52FAA"/>
    <w:rsid w:val="00E52FD6"/>
    <w:rsid w:val="00E53006"/>
    <w:rsid w:val="00E5303E"/>
    <w:rsid w:val="00E53041"/>
    <w:rsid w:val="00E530EC"/>
    <w:rsid w:val="00E53106"/>
    <w:rsid w:val="00E5311E"/>
    <w:rsid w:val="00E53170"/>
    <w:rsid w:val="00E5318F"/>
    <w:rsid w:val="00E531C2"/>
    <w:rsid w:val="00E53211"/>
    <w:rsid w:val="00E53226"/>
    <w:rsid w:val="00E53230"/>
    <w:rsid w:val="00E5323A"/>
    <w:rsid w:val="00E53244"/>
    <w:rsid w:val="00E532BF"/>
    <w:rsid w:val="00E532F9"/>
    <w:rsid w:val="00E53309"/>
    <w:rsid w:val="00E53325"/>
    <w:rsid w:val="00E5333E"/>
    <w:rsid w:val="00E53389"/>
    <w:rsid w:val="00E533D8"/>
    <w:rsid w:val="00E53454"/>
    <w:rsid w:val="00E53464"/>
    <w:rsid w:val="00E53483"/>
    <w:rsid w:val="00E534A3"/>
    <w:rsid w:val="00E534B0"/>
    <w:rsid w:val="00E534C6"/>
    <w:rsid w:val="00E534C9"/>
    <w:rsid w:val="00E5352F"/>
    <w:rsid w:val="00E5354C"/>
    <w:rsid w:val="00E53583"/>
    <w:rsid w:val="00E535BF"/>
    <w:rsid w:val="00E535C1"/>
    <w:rsid w:val="00E535C4"/>
    <w:rsid w:val="00E535EF"/>
    <w:rsid w:val="00E535F7"/>
    <w:rsid w:val="00E535FD"/>
    <w:rsid w:val="00E53601"/>
    <w:rsid w:val="00E536A5"/>
    <w:rsid w:val="00E536BE"/>
    <w:rsid w:val="00E536C8"/>
    <w:rsid w:val="00E536D1"/>
    <w:rsid w:val="00E536E3"/>
    <w:rsid w:val="00E536F3"/>
    <w:rsid w:val="00E5374B"/>
    <w:rsid w:val="00E537AD"/>
    <w:rsid w:val="00E5381B"/>
    <w:rsid w:val="00E5381D"/>
    <w:rsid w:val="00E53824"/>
    <w:rsid w:val="00E53842"/>
    <w:rsid w:val="00E53862"/>
    <w:rsid w:val="00E53864"/>
    <w:rsid w:val="00E538E5"/>
    <w:rsid w:val="00E53944"/>
    <w:rsid w:val="00E539EE"/>
    <w:rsid w:val="00E53A1B"/>
    <w:rsid w:val="00E53A29"/>
    <w:rsid w:val="00E53A2D"/>
    <w:rsid w:val="00E53A43"/>
    <w:rsid w:val="00E53A5A"/>
    <w:rsid w:val="00E53A5E"/>
    <w:rsid w:val="00E53AA3"/>
    <w:rsid w:val="00E53AB2"/>
    <w:rsid w:val="00E53AC4"/>
    <w:rsid w:val="00E53ACA"/>
    <w:rsid w:val="00E53B23"/>
    <w:rsid w:val="00E53B3D"/>
    <w:rsid w:val="00E53B57"/>
    <w:rsid w:val="00E53B70"/>
    <w:rsid w:val="00E53B8E"/>
    <w:rsid w:val="00E53BBD"/>
    <w:rsid w:val="00E53BDC"/>
    <w:rsid w:val="00E53BFB"/>
    <w:rsid w:val="00E53C5C"/>
    <w:rsid w:val="00E53C6D"/>
    <w:rsid w:val="00E53CA3"/>
    <w:rsid w:val="00E53CB5"/>
    <w:rsid w:val="00E53CC1"/>
    <w:rsid w:val="00E53CD3"/>
    <w:rsid w:val="00E53CFD"/>
    <w:rsid w:val="00E53D37"/>
    <w:rsid w:val="00E53D3C"/>
    <w:rsid w:val="00E53D9A"/>
    <w:rsid w:val="00E53DD5"/>
    <w:rsid w:val="00E53DE0"/>
    <w:rsid w:val="00E53DF7"/>
    <w:rsid w:val="00E53DFA"/>
    <w:rsid w:val="00E53DFE"/>
    <w:rsid w:val="00E53E05"/>
    <w:rsid w:val="00E53E0F"/>
    <w:rsid w:val="00E53E30"/>
    <w:rsid w:val="00E53E3F"/>
    <w:rsid w:val="00E53E4C"/>
    <w:rsid w:val="00E53E5B"/>
    <w:rsid w:val="00E53E5C"/>
    <w:rsid w:val="00E53E67"/>
    <w:rsid w:val="00E53EB9"/>
    <w:rsid w:val="00E53EDB"/>
    <w:rsid w:val="00E53EE3"/>
    <w:rsid w:val="00E53F3D"/>
    <w:rsid w:val="00E53F45"/>
    <w:rsid w:val="00E53FE3"/>
    <w:rsid w:val="00E53FEC"/>
    <w:rsid w:val="00E53FFB"/>
    <w:rsid w:val="00E5401E"/>
    <w:rsid w:val="00E54043"/>
    <w:rsid w:val="00E54061"/>
    <w:rsid w:val="00E54080"/>
    <w:rsid w:val="00E5408D"/>
    <w:rsid w:val="00E54098"/>
    <w:rsid w:val="00E540B1"/>
    <w:rsid w:val="00E540C9"/>
    <w:rsid w:val="00E540CF"/>
    <w:rsid w:val="00E540D1"/>
    <w:rsid w:val="00E540E6"/>
    <w:rsid w:val="00E54110"/>
    <w:rsid w:val="00E54178"/>
    <w:rsid w:val="00E541A3"/>
    <w:rsid w:val="00E541C1"/>
    <w:rsid w:val="00E541D7"/>
    <w:rsid w:val="00E5422B"/>
    <w:rsid w:val="00E54242"/>
    <w:rsid w:val="00E5427E"/>
    <w:rsid w:val="00E542A3"/>
    <w:rsid w:val="00E542A9"/>
    <w:rsid w:val="00E542D4"/>
    <w:rsid w:val="00E542FE"/>
    <w:rsid w:val="00E5432D"/>
    <w:rsid w:val="00E54371"/>
    <w:rsid w:val="00E543D9"/>
    <w:rsid w:val="00E543EC"/>
    <w:rsid w:val="00E5442B"/>
    <w:rsid w:val="00E54437"/>
    <w:rsid w:val="00E5445B"/>
    <w:rsid w:val="00E544EE"/>
    <w:rsid w:val="00E54549"/>
    <w:rsid w:val="00E54550"/>
    <w:rsid w:val="00E545DC"/>
    <w:rsid w:val="00E5473A"/>
    <w:rsid w:val="00E5474A"/>
    <w:rsid w:val="00E5474B"/>
    <w:rsid w:val="00E5475D"/>
    <w:rsid w:val="00E54763"/>
    <w:rsid w:val="00E54773"/>
    <w:rsid w:val="00E54793"/>
    <w:rsid w:val="00E547C5"/>
    <w:rsid w:val="00E547FB"/>
    <w:rsid w:val="00E5480D"/>
    <w:rsid w:val="00E54825"/>
    <w:rsid w:val="00E5486B"/>
    <w:rsid w:val="00E54874"/>
    <w:rsid w:val="00E54897"/>
    <w:rsid w:val="00E5489C"/>
    <w:rsid w:val="00E548A4"/>
    <w:rsid w:val="00E548F0"/>
    <w:rsid w:val="00E5490E"/>
    <w:rsid w:val="00E54933"/>
    <w:rsid w:val="00E54958"/>
    <w:rsid w:val="00E549AB"/>
    <w:rsid w:val="00E549EE"/>
    <w:rsid w:val="00E54A60"/>
    <w:rsid w:val="00E54A67"/>
    <w:rsid w:val="00E54A7C"/>
    <w:rsid w:val="00E54A7D"/>
    <w:rsid w:val="00E54A9B"/>
    <w:rsid w:val="00E54AC0"/>
    <w:rsid w:val="00E54AC3"/>
    <w:rsid w:val="00E54AD3"/>
    <w:rsid w:val="00E54AEA"/>
    <w:rsid w:val="00E54B30"/>
    <w:rsid w:val="00E54B69"/>
    <w:rsid w:val="00E54B7C"/>
    <w:rsid w:val="00E54BAD"/>
    <w:rsid w:val="00E54BB5"/>
    <w:rsid w:val="00E54C09"/>
    <w:rsid w:val="00E54C5F"/>
    <w:rsid w:val="00E54C7F"/>
    <w:rsid w:val="00E54C83"/>
    <w:rsid w:val="00E54C96"/>
    <w:rsid w:val="00E54CC3"/>
    <w:rsid w:val="00E54D23"/>
    <w:rsid w:val="00E54D2A"/>
    <w:rsid w:val="00E54DBC"/>
    <w:rsid w:val="00E54DE7"/>
    <w:rsid w:val="00E54DF5"/>
    <w:rsid w:val="00E54E13"/>
    <w:rsid w:val="00E54E61"/>
    <w:rsid w:val="00E54E7C"/>
    <w:rsid w:val="00E54EA3"/>
    <w:rsid w:val="00E54EB0"/>
    <w:rsid w:val="00E54EB5"/>
    <w:rsid w:val="00E54EC0"/>
    <w:rsid w:val="00E54EF5"/>
    <w:rsid w:val="00E54EF8"/>
    <w:rsid w:val="00E54F33"/>
    <w:rsid w:val="00E54F49"/>
    <w:rsid w:val="00E54FBA"/>
    <w:rsid w:val="00E54FE0"/>
    <w:rsid w:val="00E55000"/>
    <w:rsid w:val="00E5502A"/>
    <w:rsid w:val="00E5502D"/>
    <w:rsid w:val="00E55035"/>
    <w:rsid w:val="00E55061"/>
    <w:rsid w:val="00E550B4"/>
    <w:rsid w:val="00E550B6"/>
    <w:rsid w:val="00E550DA"/>
    <w:rsid w:val="00E55110"/>
    <w:rsid w:val="00E55138"/>
    <w:rsid w:val="00E5513E"/>
    <w:rsid w:val="00E5514E"/>
    <w:rsid w:val="00E55186"/>
    <w:rsid w:val="00E551E6"/>
    <w:rsid w:val="00E551F9"/>
    <w:rsid w:val="00E55227"/>
    <w:rsid w:val="00E55238"/>
    <w:rsid w:val="00E55274"/>
    <w:rsid w:val="00E55286"/>
    <w:rsid w:val="00E552A0"/>
    <w:rsid w:val="00E552EA"/>
    <w:rsid w:val="00E55302"/>
    <w:rsid w:val="00E55322"/>
    <w:rsid w:val="00E553CD"/>
    <w:rsid w:val="00E553F0"/>
    <w:rsid w:val="00E55413"/>
    <w:rsid w:val="00E55461"/>
    <w:rsid w:val="00E5546A"/>
    <w:rsid w:val="00E5546B"/>
    <w:rsid w:val="00E554B1"/>
    <w:rsid w:val="00E554C7"/>
    <w:rsid w:val="00E554CD"/>
    <w:rsid w:val="00E55521"/>
    <w:rsid w:val="00E55591"/>
    <w:rsid w:val="00E555A8"/>
    <w:rsid w:val="00E55650"/>
    <w:rsid w:val="00E5567A"/>
    <w:rsid w:val="00E556AC"/>
    <w:rsid w:val="00E556BB"/>
    <w:rsid w:val="00E556D6"/>
    <w:rsid w:val="00E556DE"/>
    <w:rsid w:val="00E556EE"/>
    <w:rsid w:val="00E55735"/>
    <w:rsid w:val="00E55743"/>
    <w:rsid w:val="00E55776"/>
    <w:rsid w:val="00E5577A"/>
    <w:rsid w:val="00E557E9"/>
    <w:rsid w:val="00E55814"/>
    <w:rsid w:val="00E55824"/>
    <w:rsid w:val="00E5586C"/>
    <w:rsid w:val="00E55872"/>
    <w:rsid w:val="00E5587E"/>
    <w:rsid w:val="00E55893"/>
    <w:rsid w:val="00E558BA"/>
    <w:rsid w:val="00E558E4"/>
    <w:rsid w:val="00E55932"/>
    <w:rsid w:val="00E55972"/>
    <w:rsid w:val="00E559A2"/>
    <w:rsid w:val="00E559D9"/>
    <w:rsid w:val="00E559F4"/>
    <w:rsid w:val="00E55A33"/>
    <w:rsid w:val="00E55A36"/>
    <w:rsid w:val="00E55A8E"/>
    <w:rsid w:val="00E55AD0"/>
    <w:rsid w:val="00E55B67"/>
    <w:rsid w:val="00E55B8B"/>
    <w:rsid w:val="00E55BA1"/>
    <w:rsid w:val="00E55BA3"/>
    <w:rsid w:val="00E55BAE"/>
    <w:rsid w:val="00E55BB3"/>
    <w:rsid w:val="00E55BE7"/>
    <w:rsid w:val="00E55BE8"/>
    <w:rsid w:val="00E55BFD"/>
    <w:rsid w:val="00E55C03"/>
    <w:rsid w:val="00E55C11"/>
    <w:rsid w:val="00E55C35"/>
    <w:rsid w:val="00E55C3A"/>
    <w:rsid w:val="00E55C5E"/>
    <w:rsid w:val="00E55C6B"/>
    <w:rsid w:val="00E55CAA"/>
    <w:rsid w:val="00E55CD3"/>
    <w:rsid w:val="00E55CD5"/>
    <w:rsid w:val="00E55D18"/>
    <w:rsid w:val="00E55D70"/>
    <w:rsid w:val="00E55D95"/>
    <w:rsid w:val="00E55DCE"/>
    <w:rsid w:val="00E55DFE"/>
    <w:rsid w:val="00E55E05"/>
    <w:rsid w:val="00E55E79"/>
    <w:rsid w:val="00E55E9B"/>
    <w:rsid w:val="00E55E9E"/>
    <w:rsid w:val="00E55EAE"/>
    <w:rsid w:val="00E55EAF"/>
    <w:rsid w:val="00E55ED8"/>
    <w:rsid w:val="00E55F05"/>
    <w:rsid w:val="00E55F18"/>
    <w:rsid w:val="00E55F30"/>
    <w:rsid w:val="00E55F40"/>
    <w:rsid w:val="00E55F55"/>
    <w:rsid w:val="00E55F5E"/>
    <w:rsid w:val="00E55F67"/>
    <w:rsid w:val="00E55FAE"/>
    <w:rsid w:val="00E56006"/>
    <w:rsid w:val="00E56057"/>
    <w:rsid w:val="00E560B9"/>
    <w:rsid w:val="00E560C0"/>
    <w:rsid w:val="00E560E1"/>
    <w:rsid w:val="00E560FE"/>
    <w:rsid w:val="00E5611C"/>
    <w:rsid w:val="00E56125"/>
    <w:rsid w:val="00E56137"/>
    <w:rsid w:val="00E56163"/>
    <w:rsid w:val="00E56168"/>
    <w:rsid w:val="00E56193"/>
    <w:rsid w:val="00E561C9"/>
    <w:rsid w:val="00E561CC"/>
    <w:rsid w:val="00E561D8"/>
    <w:rsid w:val="00E5621C"/>
    <w:rsid w:val="00E56235"/>
    <w:rsid w:val="00E56244"/>
    <w:rsid w:val="00E5626A"/>
    <w:rsid w:val="00E5626C"/>
    <w:rsid w:val="00E56278"/>
    <w:rsid w:val="00E562CD"/>
    <w:rsid w:val="00E56330"/>
    <w:rsid w:val="00E56331"/>
    <w:rsid w:val="00E56338"/>
    <w:rsid w:val="00E56353"/>
    <w:rsid w:val="00E56371"/>
    <w:rsid w:val="00E5637E"/>
    <w:rsid w:val="00E5639A"/>
    <w:rsid w:val="00E563C2"/>
    <w:rsid w:val="00E563C6"/>
    <w:rsid w:val="00E56402"/>
    <w:rsid w:val="00E56456"/>
    <w:rsid w:val="00E56458"/>
    <w:rsid w:val="00E56490"/>
    <w:rsid w:val="00E564BB"/>
    <w:rsid w:val="00E564BC"/>
    <w:rsid w:val="00E564F0"/>
    <w:rsid w:val="00E56547"/>
    <w:rsid w:val="00E56565"/>
    <w:rsid w:val="00E565BA"/>
    <w:rsid w:val="00E565EC"/>
    <w:rsid w:val="00E56614"/>
    <w:rsid w:val="00E56661"/>
    <w:rsid w:val="00E566B3"/>
    <w:rsid w:val="00E566CF"/>
    <w:rsid w:val="00E56707"/>
    <w:rsid w:val="00E56737"/>
    <w:rsid w:val="00E56742"/>
    <w:rsid w:val="00E56753"/>
    <w:rsid w:val="00E56756"/>
    <w:rsid w:val="00E5675B"/>
    <w:rsid w:val="00E56761"/>
    <w:rsid w:val="00E5678C"/>
    <w:rsid w:val="00E567A7"/>
    <w:rsid w:val="00E567AE"/>
    <w:rsid w:val="00E5681A"/>
    <w:rsid w:val="00E568A0"/>
    <w:rsid w:val="00E568AE"/>
    <w:rsid w:val="00E568C8"/>
    <w:rsid w:val="00E56910"/>
    <w:rsid w:val="00E56940"/>
    <w:rsid w:val="00E56963"/>
    <w:rsid w:val="00E5696D"/>
    <w:rsid w:val="00E5697C"/>
    <w:rsid w:val="00E5698A"/>
    <w:rsid w:val="00E569C2"/>
    <w:rsid w:val="00E56A05"/>
    <w:rsid w:val="00E56A20"/>
    <w:rsid w:val="00E56A2F"/>
    <w:rsid w:val="00E56A59"/>
    <w:rsid w:val="00E56A61"/>
    <w:rsid w:val="00E56A72"/>
    <w:rsid w:val="00E56AA4"/>
    <w:rsid w:val="00E56ACF"/>
    <w:rsid w:val="00E56AD1"/>
    <w:rsid w:val="00E56AF5"/>
    <w:rsid w:val="00E56B00"/>
    <w:rsid w:val="00E56B06"/>
    <w:rsid w:val="00E56B52"/>
    <w:rsid w:val="00E56B83"/>
    <w:rsid w:val="00E56B88"/>
    <w:rsid w:val="00E56BB6"/>
    <w:rsid w:val="00E56BCA"/>
    <w:rsid w:val="00E56C1F"/>
    <w:rsid w:val="00E56C3D"/>
    <w:rsid w:val="00E56C5D"/>
    <w:rsid w:val="00E56C71"/>
    <w:rsid w:val="00E56C9B"/>
    <w:rsid w:val="00E56D14"/>
    <w:rsid w:val="00E56D18"/>
    <w:rsid w:val="00E56DA7"/>
    <w:rsid w:val="00E56E1B"/>
    <w:rsid w:val="00E56E78"/>
    <w:rsid w:val="00E56E7A"/>
    <w:rsid w:val="00E56E80"/>
    <w:rsid w:val="00E56E83"/>
    <w:rsid w:val="00E56E93"/>
    <w:rsid w:val="00E56EA4"/>
    <w:rsid w:val="00E56F0F"/>
    <w:rsid w:val="00E56F18"/>
    <w:rsid w:val="00E56F2C"/>
    <w:rsid w:val="00E56F3C"/>
    <w:rsid w:val="00E56F85"/>
    <w:rsid w:val="00E56F86"/>
    <w:rsid w:val="00E56F9E"/>
    <w:rsid w:val="00E56FCE"/>
    <w:rsid w:val="00E56FD6"/>
    <w:rsid w:val="00E57005"/>
    <w:rsid w:val="00E5707F"/>
    <w:rsid w:val="00E57119"/>
    <w:rsid w:val="00E5712B"/>
    <w:rsid w:val="00E57154"/>
    <w:rsid w:val="00E57163"/>
    <w:rsid w:val="00E57168"/>
    <w:rsid w:val="00E57174"/>
    <w:rsid w:val="00E5719F"/>
    <w:rsid w:val="00E571D4"/>
    <w:rsid w:val="00E571DA"/>
    <w:rsid w:val="00E571E7"/>
    <w:rsid w:val="00E571FC"/>
    <w:rsid w:val="00E5722C"/>
    <w:rsid w:val="00E5723D"/>
    <w:rsid w:val="00E5724A"/>
    <w:rsid w:val="00E57262"/>
    <w:rsid w:val="00E57265"/>
    <w:rsid w:val="00E5727F"/>
    <w:rsid w:val="00E572D2"/>
    <w:rsid w:val="00E572F9"/>
    <w:rsid w:val="00E57304"/>
    <w:rsid w:val="00E5734F"/>
    <w:rsid w:val="00E57380"/>
    <w:rsid w:val="00E573DA"/>
    <w:rsid w:val="00E573EA"/>
    <w:rsid w:val="00E57412"/>
    <w:rsid w:val="00E5741A"/>
    <w:rsid w:val="00E5741C"/>
    <w:rsid w:val="00E574AF"/>
    <w:rsid w:val="00E574C9"/>
    <w:rsid w:val="00E574D8"/>
    <w:rsid w:val="00E574DE"/>
    <w:rsid w:val="00E574DF"/>
    <w:rsid w:val="00E574F6"/>
    <w:rsid w:val="00E57534"/>
    <w:rsid w:val="00E57568"/>
    <w:rsid w:val="00E5756E"/>
    <w:rsid w:val="00E57585"/>
    <w:rsid w:val="00E575AF"/>
    <w:rsid w:val="00E57600"/>
    <w:rsid w:val="00E57635"/>
    <w:rsid w:val="00E57664"/>
    <w:rsid w:val="00E57675"/>
    <w:rsid w:val="00E5769B"/>
    <w:rsid w:val="00E576A2"/>
    <w:rsid w:val="00E576C6"/>
    <w:rsid w:val="00E576E4"/>
    <w:rsid w:val="00E5772C"/>
    <w:rsid w:val="00E5772F"/>
    <w:rsid w:val="00E577DF"/>
    <w:rsid w:val="00E57821"/>
    <w:rsid w:val="00E5786E"/>
    <w:rsid w:val="00E57890"/>
    <w:rsid w:val="00E578AA"/>
    <w:rsid w:val="00E578C5"/>
    <w:rsid w:val="00E578CF"/>
    <w:rsid w:val="00E578E3"/>
    <w:rsid w:val="00E578E6"/>
    <w:rsid w:val="00E57955"/>
    <w:rsid w:val="00E57987"/>
    <w:rsid w:val="00E5798E"/>
    <w:rsid w:val="00E57998"/>
    <w:rsid w:val="00E579A1"/>
    <w:rsid w:val="00E57A16"/>
    <w:rsid w:val="00E57A22"/>
    <w:rsid w:val="00E57A3D"/>
    <w:rsid w:val="00E57A41"/>
    <w:rsid w:val="00E57A4A"/>
    <w:rsid w:val="00E57A5F"/>
    <w:rsid w:val="00E57A68"/>
    <w:rsid w:val="00E57A69"/>
    <w:rsid w:val="00E57A6C"/>
    <w:rsid w:val="00E57A8D"/>
    <w:rsid w:val="00E57AE6"/>
    <w:rsid w:val="00E57AFB"/>
    <w:rsid w:val="00E57B04"/>
    <w:rsid w:val="00E57B24"/>
    <w:rsid w:val="00E57B4E"/>
    <w:rsid w:val="00E57B69"/>
    <w:rsid w:val="00E57B6D"/>
    <w:rsid w:val="00E57B72"/>
    <w:rsid w:val="00E57BE1"/>
    <w:rsid w:val="00E57C08"/>
    <w:rsid w:val="00E57C1A"/>
    <w:rsid w:val="00E57C27"/>
    <w:rsid w:val="00E57C45"/>
    <w:rsid w:val="00E57C46"/>
    <w:rsid w:val="00E57C88"/>
    <w:rsid w:val="00E57D62"/>
    <w:rsid w:val="00E57DB2"/>
    <w:rsid w:val="00E57DB6"/>
    <w:rsid w:val="00E57E3D"/>
    <w:rsid w:val="00E57E54"/>
    <w:rsid w:val="00E57E87"/>
    <w:rsid w:val="00E57EA1"/>
    <w:rsid w:val="00E57EB6"/>
    <w:rsid w:val="00E57EC5"/>
    <w:rsid w:val="00E57ECD"/>
    <w:rsid w:val="00E57EE4"/>
    <w:rsid w:val="00E57F24"/>
    <w:rsid w:val="00E57F3B"/>
    <w:rsid w:val="00E57F4C"/>
    <w:rsid w:val="00E57F70"/>
    <w:rsid w:val="00E57F76"/>
    <w:rsid w:val="00E57F7D"/>
    <w:rsid w:val="00E57F94"/>
    <w:rsid w:val="00E57F9D"/>
    <w:rsid w:val="00E57FAC"/>
    <w:rsid w:val="00E57FB4"/>
    <w:rsid w:val="00E57FB8"/>
    <w:rsid w:val="00E57FC7"/>
    <w:rsid w:val="00E57FDB"/>
    <w:rsid w:val="00E57FEE"/>
    <w:rsid w:val="00E60017"/>
    <w:rsid w:val="00E6002A"/>
    <w:rsid w:val="00E6005F"/>
    <w:rsid w:val="00E60062"/>
    <w:rsid w:val="00E60085"/>
    <w:rsid w:val="00E60097"/>
    <w:rsid w:val="00E600B6"/>
    <w:rsid w:val="00E600E3"/>
    <w:rsid w:val="00E600E5"/>
    <w:rsid w:val="00E60120"/>
    <w:rsid w:val="00E60139"/>
    <w:rsid w:val="00E60156"/>
    <w:rsid w:val="00E601C5"/>
    <w:rsid w:val="00E601D2"/>
    <w:rsid w:val="00E601D7"/>
    <w:rsid w:val="00E60207"/>
    <w:rsid w:val="00E60269"/>
    <w:rsid w:val="00E60271"/>
    <w:rsid w:val="00E6028A"/>
    <w:rsid w:val="00E602B1"/>
    <w:rsid w:val="00E602B5"/>
    <w:rsid w:val="00E602BF"/>
    <w:rsid w:val="00E602C6"/>
    <w:rsid w:val="00E602DD"/>
    <w:rsid w:val="00E602F7"/>
    <w:rsid w:val="00E60321"/>
    <w:rsid w:val="00E6033D"/>
    <w:rsid w:val="00E60385"/>
    <w:rsid w:val="00E6038D"/>
    <w:rsid w:val="00E603A3"/>
    <w:rsid w:val="00E603F4"/>
    <w:rsid w:val="00E60416"/>
    <w:rsid w:val="00E6041C"/>
    <w:rsid w:val="00E60424"/>
    <w:rsid w:val="00E6045B"/>
    <w:rsid w:val="00E60460"/>
    <w:rsid w:val="00E60475"/>
    <w:rsid w:val="00E60487"/>
    <w:rsid w:val="00E604AC"/>
    <w:rsid w:val="00E604DD"/>
    <w:rsid w:val="00E60548"/>
    <w:rsid w:val="00E6054A"/>
    <w:rsid w:val="00E60553"/>
    <w:rsid w:val="00E60573"/>
    <w:rsid w:val="00E60582"/>
    <w:rsid w:val="00E60596"/>
    <w:rsid w:val="00E605AF"/>
    <w:rsid w:val="00E60604"/>
    <w:rsid w:val="00E6061F"/>
    <w:rsid w:val="00E60693"/>
    <w:rsid w:val="00E606A2"/>
    <w:rsid w:val="00E606AD"/>
    <w:rsid w:val="00E606ED"/>
    <w:rsid w:val="00E60702"/>
    <w:rsid w:val="00E60717"/>
    <w:rsid w:val="00E60731"/>
    <w:rsid w:val="00E60738"/>
    <w:rsid w:val="00E607D4"/>
    <w:rsid w:val="00E607EA"/>
    <w:rsid w:val="00E607EE"/>
    <w:rsid w:val="00E6082C"/>
    <w:rsid w:val="00E6084F"/>
    <w:rsid w:val="00E60854"/>
    <w:rsid w:val="00E608DB"/>
    <w:rsid w:val="00E608E3"/>
    <w:rsid w:val="00E60929"/>
    <w:rsid w:val="00E60931"/>
    <w:rsid w:val="00E609DD"/>
    <w:rsid w:val="00E609E8"/>
    <w:rsid w:val="00E60A00"/>
    <w:rsid w:val="00E60A0A"/>
    <w:rsid w:val="00E60A8A"/>
    <w:rsid w:val="00E60A96"/>
    <w:rsid w:val="00E60A9F"/>
    <w:rsid w:val="00E60AA3"/>
    <w:rsid w:val="00E60AB2"/>
    <w:rsid w:val="00E60ADF"/>
    <w:rsid w:val="00E60B17"/>
    <w:rsid w:val="00E60BB1"/>
    <w:rsid w:val="00E60BC7"/>
    <w:rsid w:val="00E60BCE"/>
    <w:rsid w:val="00E60BEF"/>
    <w:rsid w:val="00E60BF3"/>
    <w:rsid w:val="00E60C0B"/>
    <w:rsid w:val="00E60C12"/>
    <w:rsid w:val="00E60C39"/>
    <w:rsid w:val="00E60C45"/>
    <w:rsid w:val="00E60C8F"/>
    <w:rsid w:val="00E60C96"/>
    <w:rsid w:val="00E60CA3"/>
    <w:rsid w:val="00E60CD1"/>
    <w:rsid w:val="00E60CD3"/>
    <w:rsid w:val="00E60D24"/>
    <w:rsid w:val="00E60D9B"/>
    <w:rsid w:val="00E60DA3"/>
    <w:rsid w:val="00E60DB5"/>
    <w:rsid w:val="00E60DBE"/>
    <w:rsid w:val="00E60DC0"/>
    <w:rsid w:val="00E60DE8"/>
    <w:rsid w:val="00E60DEE"/>
    <w:rsid w:val="00E60E27"/>
    <w:rsid w:val="00E60E5E"/>
    <w:rsid w:val="00E60F03"/>
    <w:rsid w:val="00E60F28"/>
    <w:rsid w:val="00E60F31"/>
    <w:rsid w:val="00E60F63"/>
    <w:rsid w:val="00E60F6C"/>
    <w:rsid w:val="00E60F72"/>
    <w:rsid w:val="00E60F8C"/>
    <w:rsid w:val="00E60FCD"/>
    <w:rsid w:val="00E60FEF"/>
    <w:rsid w:val="00E61039"/>
    <w:rsid w:val="00E61042"/>
    <w:rsid w:val="00E61049"/>
    <w:rsid w:val="00E6105E"/>
    <w:rsid w:val="00E61069"/>
    <w:rsid w:val="00E61095"/>
    <w:rsid w:val="00E610BC"/>
    <w:rsid w:val="00E610F6"/>
    <w:rsid w:val="00E610F9"/>
    <w:rsid w:val="00E61109"/>
    <w:rsid w:val="00E61180"/>
    <w:rsid w:val="00E6119A"/>
    <w:rsid w:val="00E611E5"/>
    <w:rsid w:val="00E611E9"/>
    <w:rsid w:val="00E6122B"/>
    <w:rsid w:val="00E61292"/>
    <w:rsid w:val="00E6129E"/>
    <w:rsid w:val="00E612B0"/>
    <w:rsid w:val="00E612B8"/>
    <w:rsid w:val="00E612F8"/>
    <w:rsid w:val="00E6131B"/>
    <w:rsid w:val="00E6136D"/>
    <w:rsid w:val="00E61399"/>
    <w:rsid w:val="00E6139B"/>
    <w:rsid w:val="00E6139E"/>
    <w:rsid w:val="00E613B7"/>
    <w:rsid w:val="00E613DB"/>
    <w:rsid w:val="00E613F7"/>
    <w:rsid w:val="00E61414"/>
    <w:rsid w:val="00E61436"/>
    <w:rsid w:val="00E61468"/>
    <w:rsid w:val="00E61478"/>
    <w:rsid w:val="00E61487"/>
    <w:rsid w:val="00E614A4"/>
    <w:rsid w:val="00E614FB"/>
    <w:rsid w:val="00E6151E"/>
    <w:rsid w:val="00E61576"/>
    <w:rsid w:val="00E6158A"/>
    <w:rsid w:val="00E61590"/>
    <w:rsid w:val="00E61594"/>
    <w:rsid w:val="00E615AC"/>
    <w:rsid w:val="00E615B5"/>
    <w:rsid w:val="00E615BE"/>
    <w:rsid w:val="00E615C6"/>
    <w:rsid w:val="00E615E6"/>
    <w:rsid w:val="00E615F4"/>
    <w:rsid w:val="00E61629"/>
    <w:rsid w:val="00E6162D"/>
    <w:rsid w:val="00E6163E"/>
    <w:rsid w:val="00E61654"/>
    <w:rsid w:val="00E61700"/>
    <w:rsid w:val="00E61743"/>
    <w:rsid w:val="00E61744"/>
    <w:rsid w:val="00E617B5"/>
    <w:rsid w:val="00E617F0"/>
    <w:rsid w:val="00E617FD"/>
    <w:rsid w:val="00E61808"/>
    <w:rsid w:val="00E61819"/>
    <w:rsid w:val="00E6182C"/>
    <w:rsid w:val="00E61834"/>
    <w:rsid w:val="00E61881"/>
    <w:rsid w:val="00E618AA"/>
    <w:rsid w:val="00E618CC"/>
    <w:rsid w:val="00E618D0"/>
    <w:rsid w:val="00E618EF"/>
    <w:rsid w:val="00E61959"/>
    <w:rsid w:val="00E6195F"/>
    <w:rsid w:val="00E6198B"/>
    <w:rsid w:val="00E619F9"/>
    <w:rsid w:val="00E61A17"/>
    <w:rsid w:val="00E61A8C"/>
    <w:rsid w:val="00E61A96"/>
    <w:rsid w:val="00E61A98"/>
    <w:rsid w:val="00E61AAC"/>
    <w:rsid w:val="00E61B06"/>
    <w:rsid w:val="00E61B5C"/>
    <w:rsid w:val="00E61B7F"/>
    <w:rsid w:val="00E61BB0"/>
    <w:rsid w:val="00E61BCC"/>
    <w:rsid w:val="00E61BD0"/>
    <w:rsid w:val="00E61BE9"/>
    <w:rsid w:val="00E61BED"/>
    <w:rsid w:val="00E61BFD"/>
    <w:rsid w:val="00E61C3C"/>
    <w:rsid w:val="00E61C58"/>
    <w:rsid w:val="00E61C8A"/>
    <w:rsid w:val="00E61CF9"/>
    <w:rsid w:val="00E61D15"/>
    <w:rsid w:val="00E61D9A"/>
    <w:rsid w:val="00E61DEA"/>
    <w:rsid w:val="00E61E9A"/>
    <w:rsid w:val="00E61E9D"/>
    <w:rsid w:val="00E61ECB"/>
    <w:rsid w:val="00E61EFC"/>
    <w:rsid w:val="00E61F5C"/>
    <w:rsid w:val="00E61F6A"/>
    <w:rsid w:val="00E61FA6"/>
    <w:rsid w:val="00E61FD7"/>
    <w:rsid w:val="00E62018"/>
    <w:rsid w:val="00E62040"/>
    <w:rsid w:val="00E62051"/>
    <w:rsid w:val="00E620BE"/>
    <w:rsid w:val="00E620E5"/>
    <w:rsid w:val="00E6215C"/>
    <w:rsid w:val="00E621AF"/>
    <w:rsid w:val="00E621E8"/>
    <w:rsid w:val="00E62212"/>
    <w:rsid w:val="00E6222D"/>
    <w:rsid w:val="00E62246"/>
    <w:rsid w:val="00E62259"/>
    <w:rsid w:val="00E622BF"/>
    <w:rsid w:val="00E622E3"/>
    <w:rsid w:val="00E622F9"/>
    <w:rsid w:val="00E62353"/>
    <w:rsid w:val="00E62362"/>
    <w:rsid w:val="00E62371"/>
    <w:rsid w:val="00E623C4"/>
    <w:rsid w:val="00E623C6"/>
    <w:rsid w:val="00E623D1"/>
    <w:rsid w:val="00E6240D"/>
    <w:rsid w:val="00E62459"/>
    <w:rsid w:val="00E6249A"/>
    <w:rsid w:val="00E624EA"/>
    <w:rsid w:val="00E624F4"/>
    <w:rsid w:val="00E6250A"/>
    <w:rsid w:val="00E62526"/>
    <w:rsid w:val="00E62549"/>
    <w:rsid w:val="00E625F3"/>
    <w:rsid w:val="00E6260D"/>
    <w:rsid w:val="00E62620"/>
    <w:rsid w:val="00E62635"/>
    <w:rsid w:val="00E6263E"/>
    <w:rsid w:val="00E6264C"/>
    <w:rsid w:val="00E62691"/>
    <w:rsid w:val="00E626E3"/>
    <w:rsid w:val="00E626F8"/>
    <w:rsid w:val="00E626FF"/>
    <w:rsid w:val="00E6270E"/>
    <w:rsid w:val="00E6271F"/>
    <w:rsid w:val="00E6274E"/>
    <w:rsid w:val="00E6275B"/>
    <w:rsid w:val="00E62763"/>
    <w:rsid w:val="00E6278D"/>
    <w:rsid w:val="00E62793"/>
    <w:rsid w:val="00E6279E"/>
    <w:rsid w:val="00E627A3"/>
    <w:rsid w:val="00E627BA"/>
    <w:rsid w:val="00E627E0"/>
    <w:rsid w:val="00E628C7"/>
    <w:rsid w:val="00E628D9"/>
    <w:rsid w:val="00E6290C"/>
    <w:rsid w:val="00E62920"/>
    <w:rsid w:val="00E6292A"/>
    <w:rsid w:val="00E6297A"/>
    <w:rsid w:val="00E629C2"/>
    <w:rsid w:val="00E629D2"/>
    <w:rsid w:val="00E629F0"/>
    <w:rsid w:val="00E629F3"/>
    <w:rsid w:val="00E62A13"/>
    <w:rsid w:val="00E62A30"/>
    <w:rsid w:val="00E62A58"/>
    <w:rsid w:val="00E62A7D"/>
    <w:rsid w:val="00E62ADF"/>
    <w:rsid w:val="00E62AE7"/>
    <w:rsid w:val="00E62B04"/>
    <w:rsid w:val="00E62B25"/>
    <w:rsid w:val="00E62B73"/>
    <w:rsid w:val="00E62B84"/>
    <w:rsid w:val="00E62B85"/>
    <w:rsid w:val="00E62B97"/>
    <w:rsid w:val="00E62C19"/>
    <w:rsid w:val="00E62C4C"/>
    <w:rsid w:val="00E62C63"/>
    <w:rsid w:val="00E62CAB"/>
    <w:rsid w:val="00E62CB2"/>
    <w:rsid w:val="00E62D0D"/>
    <w:rsid w:val="00E62D2B"/>
    <w:rsid w:val="00E62D4C"/>
    <w:rsid w:val="00E62D63"/>
    <w:rsid w:val="00E62D68"/>
    <w:rsid w:val="00E62D71"/>
    <w:rsid w:val="00E62DBF"/>
    <w:rsid w:val="00E62DEE"/>
    <w:rsid w:val="00E62DFE"/>
    <w:rsid w:val="00E62DFF"/>
    <w:rsid w:val="00E62E08"/>
    <w:rsid w:val="00E62E1F"/>
    <w:rsid w:val="00E62E7D"/>
    <w:rsid w:val="00E62ED3"/>
    <w:rsid w:val="00E62EF4"/>
    <w:rsid w:val="00E62EF6"/>
    <w:rsid w:val="00E62F0F"/>
    <w:rsid w:val="00E62F59"/>
    <w:rsid w:val="00E62F5F"/>
    <w:rsid w:val="00E62F75"/>
    <w:rsid w:val="00E62F7E"/>
    <w:rsid w:val="00E62F8E"/>
    <w:rsid w:val="00E62F9F"/>
    <w:rsid w:val="00E62FDD"/>
    <w:rsid w:val="00E62FF2"/>
    <w:rsid w:val="00E63018"/>
    <w:rsid w:val="00E6302E"/>
    <w:rsid w:val="00E6302F"/>
    <w:rsid w:val="00E63033"/>
    <w:rsid w:val="00E6305C"/>
    <w:rsid w:val="00E6306E"/>
    <w:rsid w:val="00E63099"/>
    <w:rsid w:val="00E630A2"/>
    <w:rsid w:val="00E6310E"/>
    <w:rsid w:val="00E63110"/>
    <w:rsid w:val="00E6318A"/>
    <w:rsid w:val="00E631B9"/>
    <w:rsid w:val="00E631BD"/>
    <w:rsid w:val="00E63224"/>
    <w:rsid w:val="00E63231"/>
    <w:rsid w:val="00E6328E"/>
    <w:rsid w:val="00E632A6"/>
    <w:rsid w:val="00E632B3"/>
    <w:rsid w:val="00E632FF"/>
    <w:rsid w:val="00E63303"/>
    <w:rsid w:val="00E63314"/>
    <w:rsid w:val="00E63335"/>
    <w:rsid w:val="00E6337D"/>
    <w:rsid w:val="00E63385"/>
    <w:rsid w:val="00E633DE"/>
    <w:rsid w:val="00E63435"/>
    <w:rsid w:val="00E63467"/>
    <w:rsid w:val="00E63487"/>
    <w:rsid w:val="00E6348B"/>
    <w:rsid w:val="00E634AC"/>
    <w:rsid w:val="00E634B8"/>
    <w:rsid w:val="00E634CB"/>
    <w:rsid w:val="00E63507"/>
    <w:rsid w:val="00E6352A"/>
    <w:rsid w:val="00E6352D"/>
    <w:rsid w:val="00E635D4"/>
    <w:rsid w:val="00E635D5"/>
    <w:rsid w:val="00E635F8"/>
    <w:rsid w:val="00E6363E"/>
    <w:rsid w:val="00E63647"/>
    <w:rsid w:val="00E636FE"/>
    <w:rsid w:val="00E63705"/>
    <w:rsid w:val="00E63716"/>
    <w:rsid w:val="00E63719"/>
    <w:rsid w:val="00E63771"/>
    <w:rsid w:val="00E6377F"/>
    <w:rsid w:val="00E63782"/>
    <w:rsid w:val="00E63789"/>
    <w:rsid w:val="00E6379F"/>
    <w:rsid w:val="00E637A2"/>
    <w:rsid w:val="00E637BA"/>
    <w:rsid w:val="00E637E8"/>
    <w:rsid w:val="00E63807"/>
    <w:rsid w:val="00E63860"/>
    <w:rsid w:val="00E63867"/>
    <w:rsid w:val="00E6388D"/>
    <w:rsid w:val="00E638D7"/>
    <w:rsid w:val="00E638EA"/>
    <w:rsid w:val="00E638FF"/>
    <w:rsid w:val="00E63954"/>
    <w:rsid w:val="00E6398C"/>
    <w:rsid w:val="00E6399D"/>
    <w:rsid w:val="00E639DE"/>
    <w:rsid w:val="00E639ED"/>
    <w:rsid w:val="00E63A30"/>
    <w:rsid w:val="00E63A38"/>
    <w:rsid w:val="00E63A64"/>
    <w:rsid w:val="00E63A6D"/>
    <w:rsid w:val="00E63AA8"/>
    <w:rsid w:val="00E63AB7"/>
    <w:rsid w:val="00E63AC5"/>
    <w:rsid w:val="00E63ACE"/>
    <w:rsid w:val="00E63B05"/>
    <w:rsid w:val="00E63B56"/>
    <w:rsid w:val="00E63B75"/>
    <w:rsid w:val="00E63B7D"/>
    <w:rsid w:val="00E63B84"/>
    <w:rsid w:val="00E63B85"/>
    <w:rsid w:val="00E63BBA"/>
    <w:rsid w:val="00E63BBE"/>
    <w:rsid w:val="00E63BC1"/>
    <w:rsid w:val="00E63BC7"/>
    <w:rsid w:val="00E63BC9"/>
    <w:rsid w:val="00E63BF2"/>
    <w:rsid w:val="00E63CA2"/>
    <w:rsid w:val="00E63CF2"/>
    <w:rsid w:val="00E63D17"/>
    <w:rsid w:val="00E63D18"/>
    <w:rsid w:val="00E63D20"/>
    <w:rsid w:val="00E63D3B"/>
    <w:rsid w:val="00E63D7C"/>
    <w:rsid w:val="00E63DBF"/>
    <w:rsid w:val="00E63DC1"/>
    <w:rsid w:val="00E63DD2"/>
    <w:rsid w:val="00E63DE5"/>
    <w:rsid w:val="00E63E15"/>
    <w:rsid w:val="00E63E24"/>
    <w:rsid w:val="00E63E25"/>
    <w:rsid w:val="00E63EA9"/>
    <w:rsid w:val="00E63EAC"/>
    <w:rsid w:val="00E63EC5"/>
    <w:rsid w:val="00E63EDD"/>
    <w:rsid w:val="00E63EED"/>
    <w:rsid w:val="00E63F16"/>
    <w:rsid w:val="00E63F17"/>
    <w:rsid w:val="00E63F27"/>
    <w:rsid w:val="00E63F40"/>
    <w:rsid w:val="00E63F4B"/>
    <w:rsid w:val="00E63F89"/>
    <w:rsid w:val="00E63F8D"/>
    <w:rsid w:val="00E63FD6"/>
    <w:rsid w:val="00E64017"/>
    <w:rsid w:val="00E64034"/>
    <w:rsid w:val="00E6405E"/>
    <w:rsid w:val="00E64061"/>
    <w:rsid w:val="00E6407B"/>
    <w:rsid w:val="00E6409A"/>
    <w:rsid w:val="00E640B3"/>
    <w:rsid w:val="00E640F3"/>
    <w:rsid w:val="00E64101"/>
    <w:rsid w:val="00E6410C"/>
    <w:rsid w:val="00E6411C"/>
    <w:rsid w:val="00E64120"/>
    <w:rsid w:val="00E64137"/>
    <w:rsid w:val="00E64153"/>
    <w:rsid w:val="00E6415B"/>
    <w:rsid w:val="00E64171"/>
    <w:rsid w:val="00E64174"/>
    <w:rsid w:val="00E64192"/>
    <w:rsid w:val="00E641B5"/>
    <w:rsid w:val="00E641D1"/>
    <w:rsid w:val="00E641DB"/>
    <w:rsid w:val="00E641DD"/>
    <w:rsid w:val="00E6423B"/>
    <w:rsid w:val="00E64295"/>
    <w:rsid w:val="00E642D1"/>
    <w:rsid w:val="00E64312"/>
    <w:rsid w:val="00E6433F"/>
    <w:rsid w:val="00E64349"/>
    <w:rsid w:val="00E64384"/>
    <w:rsid w:val="00E643A7"/>
    <w:rsid w:val="00E643C7"/>
    <w:rsid w:val="00E643CB"/>
    <w:rsid w:val="00E643D3"/>
    <w:rsid w:val="00E64429"/>
    <w:rsid w:val="00E64432"/>
    <w:rsid w:val="00E6446F"/>
    <w:rsid w:val="00E644BB"/>
    <w:rsid w:val="00E644D1"/>
    <w:rsid w:val="00E644D4"/>
    <w:rsid w:val="00E644E9"/>
    <w:rsid w:val="00E644FB"/>
    <w:rsid w:val="00E64511"/>
    <w:rsid w:val="00E64527"/>
    <w:rsid w:val="00E645C0"/>
    <w:rsid w:val="00E645D1"/>
    <w:rsid w:val="00E645E4"/>
    <w:rsid w:val="00E6464A"/>
    <w:rsid w:val="00E64653"/>
    <w:rsid w:val="00E6466B"/>
    <w:rsid w:val="00E6467A"/>
    <w:rsid w:val="00E64695"/>
    <w:rsid w:val="00E64697"/>
    <w:rsid w:val="00E646AC"/>
    <w:rsid w:val="00E646B2"/>
    <w:rsid w:val="00E64702"/>
    <w:rsid w:val="00E64708"/>
    <w:rsid w:val="00E64748"/>
    <w:rsid w:val="00E64749"/>
    <w:rsid w:val="00E64759"/>
    <w:rsid w:val="00E6475E"/>
    <w:rsid w:val="00E64786"/>
    <w:rsid w:val="00E6479A"/>
    <w:rsid w:val="00E647B1"/>
    <w:rsid w:val="00E647BC"/>
    <w:rsid w:val="00E647F1"/>
    <w:rsid w:val="00E64819"/>
    <w:rsid w:val="00E6481B"/>
    <w:rsid w:val="00E64827"/>
    <w:rsid w:val="00E64829"/>
    <w:rsid w:val="00E6489C"/>
    <w:rsid w:val="00E64915"/>
    <w:rsid w:val="00E64929"/>
    <w:rsid w:val="00E64944"/>
    <w:rsid w:val="00E64998"/>
    <w:rsid w:val="00E6499E"/>
    <w:rsid w:val="00E649AB"/>
    <w:rsid w:val="00E649E7"/>
    <w:rsid w:val="00E64A49"/>
    <w:rsid w:val="00E64A69"/>
    <w:rsid w:val="00E64B40"/>
    <w:rsid w:val="00E64BAB"/>
    <w:rsid w:val="00E64BC1"/>
    <w:rsid w:val="00E64C2B"/>
    <w:rsid w:val="00E64C35"/>
    <w:rsid w:val="00E64C6D"/>
    <w:rsid w:val="00E64C95"/>
    <w:rsid w:val="00E64D55"/>
    <w:rsid w:val="00E64D9D"/>
    <w:rsid w:val="00E64D9F"/>
    <w:rsid w:val="00E64DAC"/>
    <w:rsid w:val="00E64DC3"/>
    <w:rsid w:val="00E64DD2"/>
    <w:rsid w:val="00E64E6D"/>
    <w:rsid w:val="00E64E77"/>
    <w:rsid w:val="00E64ED4"/>
    <w:rsid w:val="00E64F9F"/>
    <w:rsid w:val="00E64FF6"/>
    <w:rsid w:val="00E65066"/>
    <w:rsid w:val="00E6507B"/>
    <w:rsid w:val="00E650C9"/>
    <w:rsid w:val="00E6510F"/>
    <w:rsid w:val="00E65149"/>
    <w:rsid w:val="00E6514F"/>
    <w:rsid w:val="00E6515D"/>
    <w:rsid w:val="00E6518C"/>
    <w:rsid w:val="00E651CC"/>
    <w:rsid w:val="00E65246"/>
    <w:rsid w:val="00E65249"/>
    <w:rsid w:val="00E65270"/>
    <w:rsid w:val="00E6528C"/>
    <w:rsid w:val="00E6529A"/>
    <w:rsid w:val="00E652E9"/>
    <w:rsid w:val="00E652F3"/>
    <w:rsid w:val="00E65311"/>
    <w:rsid w:val="00E65341"/>
    <w:rsid w:val="00E6534C"/>
    <w:rsid w:val="00E65359"/>
    <w:rsid w:val="00E65374"/>
    <w:rsid w:val="00E6539D"/>
    <w:rsid w:val="00E653B1"/>
    <w:rsid w:val="00E653ED"/>
    <w:rsid w:val="00E65424"/>
    <w:rsid w:val="00E65452"/>
    <w:rsid w:val="00E65469"/>
    <w:rsid w:val="00E6547C"/>
    <w:rsid w:val="00E65498"/>
    <w:rsid w:val="00E6549C"/>
    <w:rsid w:val="00E654AC"/>
    <w:rsid w:val="00E654E2"/>
    <w:rsid w:val="00E654F5"/>
    <w:rsid w:val="00E65572"/>
    <w:rsid w:val="00E655AC"/>
    <w:rsid w:val="00E655C8"/>
    <w:rsid w:val="00E655F7"/>
    <w:rsid w:val="00E65611"/>
    <w:rsid w:val="00E65612"/>
    <w:rsid w:val="00E65624"/>
    <w:rsid w:val="00E65628"/>
    <w:rsid w:val="00E65633"/>
    <w:rsid w:val="00E65640"/>
    <w:rsid w:val="00E65687"/>
    <w:rsid w:val="00E65691"/>
    <w:rsid w:val="00E656AE"/>
    <w:rsid w:val="00E656EC"/>
    <w:rsid w:val="00E65728"/>
    <w:rsid w:val="00E65729"/>
    <w:rsid w:val="00E6576D"/>
    <w:rsid w:val="00E6577C"/>
    <w:rsid w:val="00E6577E"/>
    <w:rsid w:val="00E657A8"/>
    <w:rsid w:val="00E657F4"/>
    <w:rsid w:val="00E6583D"/>
    <w:rsid w:val="00E65861"/>
    <w:rsid w:val="00E65864"/>
    <w:rsid w:val="00E65883"/>
    <w:rsid w:val="00E65948"/>
    <w:rsid w:val="00E65960"/>
    <w:rsid w:val="00E6596F"/>
    <w:rsid w:val="00E6597A"/>
    <w:rsid w:val="00E659B8"/>
    <w:rsid w:val="00E659D3"/>
    <w:rsid w:val="00E659D6"/>
    <w:rsid w:val="00E659DA"/>
    <w:rsid w:val="00E65A1F"/>
    <w:rsid w:val="00E65A74"/>
    <w:rsid w:val="00E65A8D"/>
    <w:rsid w:val="00E65A97"/>
    <w:rsid w:val="00E65A99"/>
    <w:rsid w:val="00E65A9A"/>
    <w:rsid w:val="00E65AAB"/>
    <w:rsid w:val="00E65AC2"/>
    <w:rsid w:val="00E65B27"/>
    <w:rsid w:val="00E65B56"/>
    <w:rsid w:val="00E65BA0"/>
    <w:rsid w:val="00E65C41"/>
    <w:rsid w:val="00E65C64"/>
    <w:rsid w:val="00E65C66"/>
    <w:rsid w:val="00E65C6E"/>
    <w:rsid w:val="00E65C81"/>
    <w:rsid w:val="00E65C87"/>
    <w:rsid w:val="00E65C98"/>
    <w:rsid w:val="00E65CE4"/>
    <w:rsid w:val="00E65D3C"/>
    <w:rsid w:val="00E65D77"/>
    <w:rsid w:val="00E65DB1"/>
    <w:rsid w:val="00E65E22"/>
    <w:rsid w:val="00E65E5F"/>
    <w:rsid w:val="00E65E77"/>
    <w:rsid w:val="00E65E80"/>
    <w:rsid w:val="00E65EC6"/>
    <w:rsid w:val="00E65F27"/>
    <w:rsid w:val="00E65F2C"/>
    <w:rsid w:val="00E65F47"/>
    <w:rsid w:val="00E65F54"/>
    <w:rsid w:val="00E65F7B"/>
    <w:rsid w:val="00E65F7E"/>
    <w:rsid w:val="00E65F82"/>
    <w:rsid w:val="00E65FB7"/>
    <w:rsid w:val="00E65FC8"/>
    <w:rsid w:val="00E65FE9"/>
    <w:rsid w:val="00E6602C"/>
    <w:rsid w:val="00E66046"/>
    <w:rsid w:val="00E66092"/>
    <w:rsid w:val="00E660AB"/>
    <w:rsid w:val="00E660F3"/>
    <w:rsid w:val="00E6617F"/>
    <w:rsid w:val="00E66186"/>
    <w:rsid w:val="00E661B3"/>
    <w:rsid w:val="00E661E5"/>
    <w:rsid w:val="00E661E6"/>
    <w:rsid w:val="00E661FA"/>
    <w:rsid w:val="00E66208"/>
    <w:rsid w:val="00E66223"/>
    <w:rsid w:val="00E66229"/>
    <w:rsid w:val="00E66236"/>
    <w:rsid w:val="00E66244"/>
    <w:rsid w:val="00E66250"/>
    <w:rsid w:val="00E66263"/>
    <w:rsid w:val="00E66280"/>
    <w:rsid w:val="00E662E9"/>
    <w:rsid w:val="00E6631D"/>
    <w:rsid w:val="00E6636D"/>
    <w:rsid w:val="00E66387"/>
    <w:rsid w:val="00E663E2"/>
    <w:rsid w:val="00E663FB"/>
    <w:rsid w:val="00E66413"/>
    <w:rsid w:val="00E6641F"/>
    <w:rsid w:val="00E66445"/>
    <w:rsid w:val="00E66465"/>
    <w:rsid w:val="00E6646F"/>
    <w:rsid w:val="00E664B5"/>
    <w:rsid w:val="00E6650B"/>
    <w:rsid w:val="00E66525"/>
    <w:rsid w:val="00E66528"/>
    <w:rsid w:val="00E66556"/>
    <w:rsid w:val="00E66575"/>
    <w:rsid w:val="00E66589"/>
    <w:rsid w:val="00E6658A"/>
    <w:rsid w:val="00E66595"/>
    <w:rsid w:val="00E665BB"/>
    <w:rsid w:val="00E66608"/>
    <w:rsid w:val="00E6661B"/>
    <w:rsid w:val="00E66644"/>
    <w:rsid w:val="00E6664D"/>
    <w:rsid w:val="00E6666A"/>
    <w:rsid w:val="00E6668B"/>
    <w:rsid w:val="00E666F1"/>
    <w:rsid w:val="00E6672B"/>
    <w:rsid w:val="00E6675D"/>
    <w:rsid w:val="00E66773"/>
    <w:rsid w:val="00E667E8"/>
    <w:rsid w:val="00E66808"/>
    <w:rsid w:val="00E6680F"/>
    <w:rsid w:val="00E66814"/>
    <w:rsid w:val="00E6681A"/>
    <w:rsid w:val="00E66857"/>
    <w:rsid w:val="00E66880"/>
    <w:rsid w:val="00E66896"/>
    <w:rsid w:val="00E668C4"/>
    <w:rsid w:val="00E668FD"/>
    <w:rsid w:val="00E66903"/>
    <w:rsid w:val="00E6695C"/>
    <w:rsid w:val="00E66994"/>
    <w:rsid w:val="00E669A3"/>
    <w:rsid w:val="00E66A31"/>
    <w:rsid w:val="00E66A43"/>
    <w:rsid w:val="00E66A4D"/>
    <w:rsid w:val="00E66ABF"/>
    <w:rsid w:val="00E66ADF"/>
    <w:rsid w:val="00E66AE6"/>
    <w:rsid w:val="00E66AEE"/>
    <w:rsid w:val="00E66B47"/>
    <w:rsid w:val="00E66B57"/>
    <w:rsid w:val="00E66B71"/>
    <w:rsid w:val="00E66B74"/>
    <w:rsid w:val="00E66B84"/>
    <w:rsid w:val="00E66BAB"/>
    <w:rsid w:val="00E66BD1"/>
    <w:rsid w:val="00E66BD4"/>
    <w:rsid w:val="00E66C5D"/>
    <w:rsid w:val="00E66C8D"/>
    <w:rsid w:val="00E66C8F"/>
    <w:rsid w:val="00E66CAC"/>
    <w:rsid w:val="00E66CDD"/>
    <w:rsid w:val="00E66CFC"/>
    <w:rsid w:val="00E66D06"/>
    <w:rsid w:val="00E66D0B"/>
    <w:rsid w:val="00E66D23"/>
    <w:rsid w:val="00E66D73"/>
    <w:rsid w:val="00E66D92"/>
    <w:rsid w:val="00E66D9A"/>
    <w:rsid w:val="00E66DC6"/>
    <w:rsid w:val="00E66DFD"/>
    <w:rsid w:val="00E66E1B"/>
    <w:rsid w:val="00E66E4C"/>
    <w:rsid w:val="00E66E69"/>
    <w:rsid w:val="00E66E89"/>
    <w:rsid w:val="00E66E98"/>
    <w:rsid w:val="00E66EA0"/>
    <w:rsid w:val="00E66EB5"/>
    <w:rsid w:val="00E66ECD"/>
    <w:rsid w:val="00E66F07"/>
    <w:rsid w:val="00E66F11"/>
    <w:rsid w:val="00E66F6C"/>
    <w:rsid w:val="00E66F77"/>
    <w:rsid w:val="00E66FB7"/>
    <w:rsid w:val="00E66FD7"/>
    <w:rsid w:val="00E66FDB"/>
    <w:rsid w:val="00E66FF7"/>
    <w:rsid w:val="00E67005"/>
    <w:rsid w:val="00E67031"/>
    <w:rsid w:val="00E6706B"/>
    <w:rsid w:val="00E67073"/>
    <w:rsid w:val="00E670C2"/>
    <w:rsid w:val="00E670E0"/>
    <w:rsid w:val="00E67124"/>
    <w:rsid w:val="00E6713A"/>
    <w:rsid w:val="00E67166"/>
    <w:rsid w:val="00E67167"/>
    <w:rsid w:val="00E67175"/>
    <w:rsid w:val="00E67195"/>
    <w:rsid w:val="00E671B3"/>
    <w:rsid w:val="00E671E8"/>
    <w:rsid w:val="00E67219"/>
    <w:rsid w:val="00E67285"/>
    <w:rsid w:val="00E67294"/>
    <w:rsid w:val="00E67326"/>
    <w:rsid w:val="00E67344"/>
    <w:rsid w:val="00E6735B"/>
    <w:rsid w:val="00E67361"/>
    <w:rsid w:val="00E673BD"/>
    <w:rsid w:val="00E673CD"/>
    <w:rsid w:val="00E673CF"/>
    <w:rsid w:val="00E67403"/>
    <w:rsid w:val="00E6744D"/>
    <w:rsid w:val="00E674AA"/>
    <w:rsid w:val="00E674B0"/>
    <w:rsid w:val="00E674C4"/>
    <w:rsid w:val="00E674E1"/>
    <w:rsid w:val="00E67513"/>
    <w:rsid w:val="00E67515"/>
    <w:rsid w:val="00E67535"/>
    <w:rsid w:val="00E6755C"/>
    <w:rsid w:val="00E67570"/>
    <w:rsid w:val="00E67594"/>
    <w:rsid w:val="00E675F2"/>
    <w:rsid w:val="00E6760C"/>
    <w:rsid w:val="00E67677"/>
    <w:rsid w:val="00E676B7"/>
    <w:rsid w:val="00E67730"/>
    <w:rsid w:val="00E67744"/>
    <w:rsid w:val="00E6774B"/>
    <w:rsid w:val="00E67755"/>
    <w:rsid w:val="00E67789"/>
    <w:rsid w:val="00E677B8"/>
    <w:rsid w:val="00E677C3"/>
    <w:rsid w:val="00E677DD"/>
    <w:rsid w:val="00E677FB"/>
    <w:rsid w:val="00E6780B"/>
    <w:rsid w:val="00E67830"/>
    <w:rsid w:val="00E678FE"/>
    <w:rsid w:val="00E6791E"/>
    <w:rsid w:val="00E67938"/>
    <w:rsid w:val="00E67975"/>
    <w:rsid w:val="00E679E1"/>
    <w:rsid w:val="00E67A23"/>
    <w:rsid w:val="00E67A5A"/>
    <w:rsid w:val="00E67A5D"/>
    <w:rsid w:val="00E67A64"/>
    <w:rsid w:val="00E67AA9"/>
    <w:rsid w:val="00E67AD2"/>
    <w:rsid w:val="00E67AE4"/>
    <w:rsid w:val="00E67B57"/>
    <w:rsid w:val="00E67B7F"/>
    <w:rsid w:val="00E67B9A"/>
    <w:rsid w:val="00E67BB7"/>
    <w:rsid w:val="00E67BE9"/>
    <w:rsid w:val="00E67C06"/>
    <w:rsid w:val="00E67C0C"/>
    <w:rsid w:val="00E67C71"/>
    <w:rsid w:val="00E67D1C"/>
    <w:rsid w:val="00E67D69"/>
    <w:rsid w:val="00E67DBC"/>
    <w:rsid w:val="00E67DC7"/>
    <w:rsid w:val="00E67DC9"/>
    <w:rsid w:val="00E67DF1"/>
    <w:rsid w:val="00E67DFC"/>
    <w:rsid w:val="00E67E0B"/>
    <w:rsid w:val="00E67E22"/>
    <w:rsid w:val="00E67E2D"/>
    <w:rsid w:val="00E67E67"/>
    <w:rsid w:val="00E67EDC"/>
    <w:rsid w:val="00E67F3A"/>
    <w:rsid w:val="00E67F66"/>
    <w:rsid w:val="00E67F73"/>
    <w:rsid w:val="00E7004C"/>
    <w:rsid w:val="00E70080"/>
    <w:rsid w:val="00E700AB"/>
    <w:rsid w:val="00E700CA"/>
    <w:rsid w:val="00E70134"/>
    <w:rsid w:val="00E7013D"/>
    <w:rsid w:val="00E7014D"/>
    <w:rsid w:val="00E7016C"/>
    <w:rsid w:val="00E70171"/>
    <w:rsid w:val="00E70214"/>
    <w:rsid w:val="00E70244"/>
    <w:rsid w:val="00E7025B"/>
    <w:rsid w:val="00E7028D"/>
    <w:rsid w:val="00E70298"/>
    <w:rsid w:val="00E702A9"/>
    <w:rsid w:val="00E702BB"/>
    <w:rsid w:val="00E702ED"/>
    <w:rsid w:val="00E702FF"/>
    <w:rsid w:val="00E70334"/>
    <w:rsid w:val="00E70360"/>
    <w:rsid w:val="00E70361"/>
    <w:rsid w:val="00E70396"/>
    <w:rsid w:val="00E7039F"/>
    <w:rsid w:val="00E703D2"/>
    <w:rsid w:val="00E7042F"/>
    <w:rsid w:val="00E70431"/>
    <w:rsid w:val="00E70441"/>
    <w:rsid w:val="00E70480"/>
    <w:rsid w:val="00E704DB"/>
    <w:rsid w:val="00E70515"/>
    <w:rsid w:val="00E70516"/>
    <w:rsid w:val="00E7055C"/>
    <w:rsid w:val="00E70582"/>
    <w:rsid w:val="00E7060B"/>
    <w:rsid w:val="00E70673"/>
    <w:rsid w:val="00E706C5"/>
    <w:rsid w:val="00E7072B"/>
    <w:rsid w:val="00E70784"/>
    <w:rsid w:val="00E707A5"/>
    <w:rsid w:val="00E707AA"/>
    <w:rsid w:val="00E707B9"/>
    <w:rsid w:val="00E707E4"/>
    <w:rsid w:val="00E7081E"/>
    <w:rsid w:val="00E70837"/>
    <w:rsid w:val="00E7083A"/>
    <w:rsid w:val="00E7083B"/>
    <w:rsid w:val="00E70897"/>
    <w:rsid w:val="00E708C6"/>
    <w:rsid w:val="00E70944"/>
    <w:rsid w:val="00E7096F"/>
    <w:rsid w:val="00E70987"/>
    <w:rsid w:val="00E709A3"/>
    <w:rsid w:val="00E709B3"/>
    <w:rsid w:val="00E709B6"/>
    <w:rsid w:val="00E709DD"/>
    <w:rsid w:val="00E709E9"/>
    <w:rsid w:val="00E70A3E"/>
    <w:rsid w:val="00E70A59"/>
    <w:rsid w:val="00E70A83"/>
    <w:rsid w:val="00E70ACE"/>
    <w:rsid w:val="00E70AED"/>
    <w:rsid w:val="00E70AFF"/>
    <w:rsid w:val="00E70B08"/>
    <w:rsid w:val="00E70B10"/>
    <w:rsid w:val="00E70B17"/>
    <w:rsid w:val="00E70B63"/>
    <w:rsid w:val="00E70B68"/>
    <w:rsid w:val="00E70BCF"/>
    <w:rsid w:val="00E70BE6"/>
    <w:rsid w:val="00E70C02"/>
    <w:rsid w:val="00E70C0D"/>
    <w:rsid w:val="00E70C48"/>
    <w:rsid w:val="00E70C65"/>
    <w:rsid w:val="00E70C78"/>
    <w:rsid w:val="00E70C8B"/>
    <w:rsid w:val="00E70CE5"/>
    <w:rsid w:val="00E70CFC"/>
    <w:rsid w:val="00E70D02"/>
    <w:rsid w:val="00E70DB0"/>
    <w:rsid w:val="00E70DD8"/>
    <w:rsid w:val="00E70DFB"/>
    <w:rsid w:val="00E70E0C"/>
    <w:rsid w:val="00E70E19"/>
    <w:rsid w:val="00E70E1A"/>
    <w:rsid w:val="00E70E65"/>
    <w:rsid w:val="00E70EA5"/>
    <w:rsid w:val="00E70EC8"/>
    <w:rsid w:val="00E70F42"/>
    <w:rsid w:val="00E70F7B"/>
    <w:rsid w:val="00E70F94"/>
    <w:rsid w:val="00E70FB2"/>
    <w:rsid w:val="00E70FDB"/>
    <w:rsid w:val="00E70FF3"/>
    <w:rsid w:val="00E70FFA"/>
    <w:rsid w:val="00E7100C"/>
    <w:rsid w:val="00E7100E"/>
    <w:rsid w:val="00E71042"/>
    <w:rsid w:val="00E71083"/>
    <w:rsid w:val="00E710D2"/>
    <w:rsid w:val="00E7111B"/>
    <w:rsid w:val="00E71139"/>
    <w:rsid w:val="00E71166"/>
    <w:rsid w:val="00E71192"/>
    <w:rsid w:val="00E711AC"/>
    <w:rsid w:val="00E711AE"/>
    <w:rsid w:val="00E711BA"/>
    <w:rsid w:val="00E711D8"/>
    <w:rsid w:val="00E711DA"/>
    <w:rsid w:val="00E7122D"/>
    <w:rsid w:val="00E712A7"/>
    <w:rsid w:val="00E712C0"/>
    <w:rsid w:val="00E712D6"/>
    <w:rsid w:val="00E71310"/>
    <w:rsid w:val="00E71370"/>
    <w:rsid w:val="00E71371"/>
    <w:rsid w:val="00E713CE"/>
    <w:rsid w:val="00E713DD"/>
    <w:rsid w:val="00E713DE"/>
    <w:rsid w:val="00E71439"/>
    <w:rsid w:val="00E7147C"/>
    <w:rsid w:val="00E714D8"/>
    <w:rsid w:val="00E7152A"/>
    <w:rsid w:val="00E71541"/>
    <w:rsid w:val="00E715B6"/>
    <w:rsid w:val="00E715FB"/>
    <w:rsid w:val="00E7163D"/>
    <w:rsid w:val="00E71662"/>
    <w:rsid w:val="00E716B7"/>
    <w:rsid w:val="00E7173F"/>
    <w:rsid w:val="00E7174C"/>
    <w:rsid w:val="00E71763"/>
    <w:rsid w:val="00E71770"/>
    <w:rsid w:val="00E717B3"/>
    <w:rsid w:val="00E717FC"/>
    <w:rsid w:val="00E7180C"/>
    <w:rsid w:val="00E718A9"/>
    <w:rsid w:val="00E718B6"/>
    <w:rsid w:val="00E718EF"/>
    <w:rsid w:val="00E718FD"/>
    <w:rsid w:val="00E71909"/>
    <w:rsid w:val="00E7191E"/>
    <w:rsid w:val="00E71930"/>
    <w:rsid w:val="00E719D3"/>
    <w:rsid w:val="00E719D6"/>
    <w:rsid w:val="00E71A09"/>
    <w:rsid w:val="00E71A2B"/>
    <w:rsid w:val="00E71A35"/>
    <w:rsid w:val="00E71ACC"/>
    <w:rsid w:val="00E71B3C"/>
    <w:rsid w:val="00E71B84"/>
    <w:rsid w:val="00E71B90"/>
    <w:rsid w:val="00E71BBF"/>
    <w:rsid w:val="00E71BEE"/>
    <w:rsid w:val="00E71C32"/>
    <w:rsid w:val="00E71C38"/>
    <w:rsid w:val="00E71C3B"/>
    <w:rsid w:val="00E71C4A"/>
    <w:rsid w:val="00E71C71"/>
    <w:rsid w:val="00E71C88"/>
    <w:rsid w:val="00E71C9B"/>
    <w:rsid w:val="00E71CAC"/>
    <w:rsid w:val="00E71CB5"/>
    <w:rsid w:val="00E71CFD"/>
    <w:rsid w:val="00E71D12"/>
    <w:rsid w:val="00E71D4F"/>
    <w:rsid w:val="00E71D92"/>
    <w:rsid w:val="00E71E07"/>
    <w:rsid w:val="00E71E23"/>
    <w:rsid w:val="00E71E2B"/>
    <w:rsid w:val="00E71E2D"/>
    <w:rsid w:val="00E71E3A"/>
    <w:rsid w:val="00E71E67"/>
    <w:rsid w:val="00E71E98"/>
    <w:rsid w:val="00E71EA5"/>
    <w:rsid w:val="00E71EA6"/>
    <w:rsid w:val="00E71F62"/>
    <w:rsid w:val="00E71F72"/>
    <w:rsid w:val="00E71F86"/>
    <w:rsid w:val="00E71F87"/>
    <w:rsid w:val="00E71F90"/>
    <w:rsid w:val="00E71FB8"/>
    <w:rsid w:val="00E71FD1"/>
    <w:rsid w:val="00E71FE1"/>
    <w:rsid w:val="00E71FF1"/>
    <w:rsid w:val="00E72001"/>
    <w:rsid w:val="00E7202B"/>
    <w:rsid w:val="00E7202E"/>
    <w:rsid w:val="00E7209A"/>
    <w:rsid w:val="00E720A9"/>
    <w:rsid w:val="00E720AB"/>
    <w:rsid w:val="00E720E1"/>
    <w:rsid w:val="00E720FE"/>
    <w:rsid w:val="00E7210B"/>
    <w:rsid w:val="00E72136"/>
    <w:rsid w:val="00E72189"/>
    <w:rsid w:val="00E7218B"/>
    <w:rsid w:val="00E721B3"/>
    <w:rsid w:val="00E721CE"/>
    <w:rsid w:val="00E721E4"/>
    <w:rsid w:val="00E721E8"/>
    <w:rsid w:val="00E72200"/>
    <w:rsid w:val="00E72259"/>
    <w:rsid w:val="00E72267"/>
    <w:rsid w:val="00E72286"/>
    <w:rsid w:val="00E72288"/>
    <w:rsid w:val="00E722A2"/>
    <w:rsid w:val="00E7231D"/>
    <w:rsid w:val="00E72360"/>
    <w:rsid w:val="00E723D0"/>
    <w:rsid w:val="00E723DC"/>
    <w:rsid w:val="00E723FD"/>
    <w:rsid w:val="00E72403"/>
    <w:rsid w:val="00E7240F"/>
    <w:rsid w:val="00E7245A"/>
    <w:rsid w:val="00E72466"/>
    <w:rsid w:val="00E72511"/>
    <w:rsid w:val="00E72540"/>
    <w:rsid w:val="00E72548"/>
    <w:rsid w:val="00E72550"/>
    <w:rsid w:val="00E725AD"/>
    <w:rsid w:val="00E725C8"/>
    <w:rsid w:val="00E725D3"/>
    <w:rsid w:val="00E7261F"/>
    <w:rsid w:val="00E7262E"/>
    <w:rsid w:val="00E72682"/>
    <w:rsid w:val="00E72683"/>
    <w:rsid w:val="00E7268B"/>
    <w:rsid w:val="00E7268D"/>
    <w:rsid w:val="00E7268F"/>
    <w:rsid w:val="00E7269A"/>
    <w:rsid w:val="00E726B2"/>
    <w:rsid w:val="00E726F3"/>
    <w:rsid w:val="00E72725"/>
    <w:rsid w:val="00E7273D"/>
    <w:rsid w:val="00E72761"/>
    <w:rsid w:val="00E727B1"/>
    <w:rsid w:val="00E727F5"/>
    <w:rsid w:val="00E72818"/>
    <w:rsid w:val="00E72836"/>
    <w:rsid w:val="00E72871"/>
    <w:rsid w:val="00E7289A"/>
    <w:rsid w:val="00E728CE"/>
    <w:rsid w:val="00E7297E"/>
    <w:rsid w:val="00E729F1"/>
    <w:rsid w:val="00E72A20"/>
    <w:rsid w:val="00E72A3C"/>
    <w:rsid w:val="00E72ABA"/>
    <w:rsid w:val="00E72AC9"/>
    <w:rsid w:val="00E72AE1"/>
    <w:rsid w:val="00E72B0D"/>
    <w:rsid w:val="00E72B14"/>
    <w:rsid w:val="00E72B46"/>
    <w:rsid w:val="00E72BF4"/>
    <w:rsid w:val="00E72C0A"/>
    <w:rsid w:val="00E72C48"/>
    <w:rsid w:val="00E72C98"/>
    <w:rsid w:val="00E72CBA"/>
    <w:rsid w:val="00E72CCC"/>
    <w:rsid w:val="00E72D16"/>
    <w:rsid w:val="00E72D1C"/>
    <w:rsid w:val="00E72D40"/>
    <w:rsid w:val="00E72D4E"/>
    <w:rsid w:val="00E72D61"/>
    <w:rsid w:val="00E72D63"/>
    <w:rsid w:val="00E72D67"/>
    <w:rsid w:val="00E72D7F"/>
    <w:rsid w:val="00E72D9D"/>
    <w:rsid w:val="00E72DA1"/>
    <w:rsid w:val="00E72DB6"/>
    <w:rsid w:val="00E72DDE"/>
    <w:rsid w:val="00E72DE4"/>
    <w:rsid w:val="00E72E05"/>
    <w:rsid w:val="00E72E09"/>
    <w:rsid w:val="00E72E29"/>
    <w:rsid w:val="00E72E38"/>
    <w:rsid w:val="00E72E3C"/>
    <w:rsid w:val="00E72EBD"/>
    <w:rsid w:val="00E72F32"/>
    <w:rsid w:val="00E72F38"/>
    <w:rsid w:val="00E72F69"/>
    <w:rsid w:val="00E72F8B"/>
    <w:rsid w:val="00E72FC3"/>
    <w:rsid w:val="00E73051"/>
    <w:rsid w:val="00E73065"/>
    <w:rsid w:val="00E73089"/>
    <w:rsid w:val="00E7308B"/>
    <w:rsid w:val="00E730BC"/>
    <w:rsid w:val="00E730C6"/>
    <w:rsid w:val="00E73114"/>
    <w:rsid w:val="00E73118"/>
    <w:rsid w:val="00E73169"/>
    <w:rsid w:val="00E73177"/>
    <w:rsid w:val="00E731C3"/>
    <w:rsid w:val="00E731E7"/>
    <w:rsid w:val="00E7322D"/>
    <w:rsid w:val="00E73244"/>
    <w:rsid w:val="00E73251"/>
    <w:rsid w:val="00E7325C"/>
    <w:rsid w:val="00E7327E"/>
    <w:rsid w:val="00E73298"/>
    <w:rsid w:val="00E732A7"/>
    <w:rsid w:val="00E732B8"/>
    <w:rsid w:val="00E733EF"/>
    <w:rsid w:val="00E7340E"/>
    <w:rsid w:val="00E7340F"/>
    <w:rsid w:val="00E7342C"/>
    <w:rsid w:val="00E7343C"/>
    <w:rsid w:val="00E73449"/>
    <w:rsid w:val="00E73454"/>
    <w:rsid w:val="00E73463"/>
    <w:rsid w:val="00E7347D"/>
    <w:rsid w:val="00E734B9"/>
    <w:rsid w:val="00E734E8"/>
    <w:rsid w:val="00E73515"/>
    <w:rsid w:val="00E73565"/>
    <w:rsid w:val="00E7357E"/>
    <w:rsid w:val="00E73581"/>
    <w:rsid w:val="00E735AE"/>
    <w:rsid w:val="00E735CD"/>
    <w:rsid w:val="00E735EF"/>
    <w:rsid w:val="00E73614"/>
    <w:rsid w:val="00E7365F"/>
    <w:rsid w:val="00E7366F"/>
    <w:rsid w:val="00E73671"/>
    <w:rsid w:val="00E7368A"/>
    <w:rsid w:val="00E7369F"/>
    <w:rsid w:val="00E736D8"/>
    <w:rsid w:val="00E736E8"/>
    <w:rsid w:val="00E73707"/>
    <w:rsid w:val="00E73723"/>
    <w:rsid w:val="00E7375A"/>
    <w:rsid w:val="00E73766"/>
    <w:rsid w:val="00E73767"/>
    <w:rsid w:val="00E737DD"/>
    <w:rsid w:val="00E737ED"/>
    <w:rsid w:val="00E73824"/>
    <w:rsid w:val="00E73859"/>
    <w:rsid w:val="00E7390B"/>
    <w:rsid w:val="00E73937"/>
    <w:rsid w:val="00E73963"/>
    <w:rsid w:val="00E73972"/>
    <w:rsid w:val="00E739A3"/>
    <w:rsid w:val="00E739D8"/>
    <w:rsid w:val="00E739E0"/>
    <w:rsid w:val="00E739EB"/>
    <w:rsid w:val="00E739F5"/>
    <w:rsid w:val="00E73A15"/>
    <w:rsid w:val="00E73A2B"/>
    <w:rsid w:val="00E73A36"/>
    <w:rsid w:val="00E73A4D"/>
    <w:rsid w:val="00E73A54"/>
    <w:rsid w:val="00E73A57"/>
    <w:rsid w:val="00E73A60"/>
    <w:rsid w:val="00E73A66"/>
    <w:rsid w:val="00E73A8D"/>
    <w:rsid w:val="00E73A98"/>
    <w:rsid w:val="00E73AE5"/>
    <w:rsid w:val="00E73B04"/>
    <w:rsid w:val="00E73B17"/>
    <w:rsid w:val="00E73B2F"/>
    <w:rsid w:val="00E73B54"/>
    <w:rsid w:val="00E73B6E"/>
    <w:rsid w:val="00E73B9F"/>
    <w:rsid w:val="00E73BBF"/>
    <w:rsid w:val="00E73BE1"/>
    <w:rsid w:val="00E73C1F"/>
    <w:rsid w:val="00E73C28"/>
    <w:rsid w:val="00E73C6D"/>
    <w:rsid w:val="00E73C7F"/>
    <w:rsid w:val="00E73C81"/>
    <w:rsid w:val="00E73C99"/>
    <w:rsid w:val="00E73C9D"/>
    <w:rsid w:val="00E73D10"/>
    <w:rsid w:val="00E73D5D"/>
    <w:rsid w:val="00E73D5F"/>
    <w:rsid w:val="00E73D92"/>
    <w:rsid w:val="00E73DED"/>
    <w:rsid w:val="00E73DFD"/>
    <w:rsid w:val="00E73E44"/>
    <w:rsid w:val="00E73E4B"/>
    <w:rsid w:val="00E73E6B"/>
    <w:rsid w:val="00E73E8B"/>
    <w:rsid w:val="00E73F05"/>
    <w:rsid w:val="00E73F22"/>
    <w:rsid w:val="00E73F3A"/>
    <w:rsid w:val="00E73F4E"/>
    <w:rsid w:val="00E73F4F"/>
    <w:rsid w:val="00E73FAD"/>
    <w:rsid w:val="00E73FFE"/>
    <w:rsid w:val="00E74037"/>
    <w:rsid w:val="00E7409D"/>
    <w:rsid w:val="00E740A6"/>
    <w:rsid w:val="00E7414E"/>
    <w:rsid w:val="00E7415E"/>
    <w:rsid w:val="00E74169"/>
    <w:rsid w:val="00E7419B"/>
    <w:rsid w:val="00E741B9"/>
    <w:rsid w:val="00E741C5"/>
    <w:rsid w:val="00E74273"/>
    <w:rsid w:val="00E7427C"/>
    <w:rsid w:val="00E74292"/>
    <w:rsid w:val="00E742AA"/>
    <w:rsid w:val="00E742BE"/>
    <w:rsid w:val="00E742D7"/>
    <w:rsid w:val="00E742DE"/>
    <w:rsid w:val="00E74314"/>
    <w:rsid w:val="00E74365"/>
    <w:rsid w:val="00E743BF"/>
    <w:rsid w:val="00E743CE"/>
    <w:rsid w:val="00E743E9"/>
    <w:rsid w:val="00E743FF"/>
    <w:rsid w:val="00E74416"/>
    <w:rsid w:val="00E74425"/>
    <w:rsid w:val="00E74444"/>
    <w:rsid w:val="00E7444E"/>
    <w:rsid w:val="00E74455"/>
    <w:rsid w:val="00E74482"/>
    <w:rsid w:val="00E74483"/>
    <w:rsid w:val="00E744C6"/>
    <w:rsid w:val="00E74525"/>
    <w:rsid w:val="00E74543"/>
    <w:rsid w:val="00E7455A"/>
    <w:rsid w:val="00E7459C"/>
    <w:rsid w:val="00E745A3"/>
    <w:rsid w:val="00E745AC"/>
    <w:rsid w:val="00E745BE"/>
    <w:rsid w:val="00E745E5"/>
    <w:rsid w:val="00E74690"/>
    <w:rsid w:val="00E74716"/>
    <w:rsid w:val="00E7473D"/>
    <w:rsid w:val="00E7474F"/>
    <w:rsid w:val="00E74778"/>
    <w:rsid w:val="00E7477B"/>
    <w:rsid w:val="00E747E7"/>
    <w:rsid w:val="00E747F5"/>
    <w:rsid w:val="00E7480D"/>
    <w:rsid w:val="00E74816"/>
    <w:rsid w:val="00E7482F"/>
    <w:rsid w:val="00E74882"/>
    <w:rsid w:val="00E748A2"/>
    <w:rsid w:val="00E748C7"/>
    <w:rsid w:val="00E7491B"/>
    <w:rsid w:val="00E74953"/>
    <w:rsid w:val="00E74973"/>
    <w:rsid w:val="00E74986"/>
    <w:rsid w:val="00E749EC"/>
    <w:rsid w:val="00E749FC"/>
    <w:rsid w:val="00E74A33"/>
    <w:rsid w:val="00E74A4D"/>
    <w:rsid w:val="00E74A81"/>
    <w:rsid w:val="00E74A89"/>
    <w:rsid w:val="00E74A8B"/>
    <w:rsid w:val="00E74A8D"/>
    <w:rsid w:val="00E74A90"/>
    <w:rsid w:val="00E74B4A"/>
    <w:rsid w:val="00E74B62"/>
    <w:rsid w:val="00E74B7D"/>
    <w:rsid w:val="00E74BA5"/>
    <w:rsid w:val="00E74BB2"/>
    <w:rsid w:val="00E74BB7"/>
    <w:rsid w:val="00E74BC0"/>
    <w:rsid w:val="00E74C03"/>
    <w:rsid w:val="00E74C04"/>
    <w:rsid w:val="00E74C12"/>
    <w:rsid w:val="00E74CF7"/>
    <w:rsid w:val="00E74CFD"/>
    <w:rsid w:val="00E74D0D"/>
    <w:rsid w:val="00E74D2C"/>
    <w:rsid w:val="00E74DD6"/>
    <w:rsid w:val="00E74E01"/>
    <w:rsid w:val="00E74E06"/>
    <w:rsid w:val="00E74E3E"/>
    <w:rsid w:val="00E74EC1"/>
    <w:rsid w:val="00E74ED2"/>
    <w:rsid w:val="00E74ED5"/>
    <w:rsid w:val="00E74EEE"/>
    <w:rsid w:val="00E74EF4"/>
    <w:rsid w:val="00E74EF8"/>
    <w:rsid w:val="00E74F0D"/>
    <w:rsid w:val="00E74F45"/>
    <w:rsid w:val="00E74F5E"/>
    <w:rsid w:val="00E74F80"/>
    <w:rsid w:val="00E74FAB"/>
    <w:rsid w:val="00E74FBA"/>
    <w:rsid w:val="00E74FD2"/>
    <w:rsid w:val="00E74FDA"/>
    <w:rsid w:val="00E7500D"/>
    <w:rsid w:val="00E75014"/>
    <w:rsid w:val="00E7505D"/>
    <w:rsid w:val="00E75062"/>
    <w:rsid w:val="00E7506D"/>
    <w:rsid w:val="00E7506E"/>
    <w:rsid w:val="00E7507B"/>
    <w:rsid w:val="00E75081"/>
    <w:rsid w:val="00E750C0"/>
    <w:rsid w:val="00E750F1"/>
    <w:rsid w:val="00E75106"/>
    <w:rsid w:val="00E75150"/>
    <w:rsid w:val="00E75156"/>
    <w:rsid w:val="00E7516E"/>
    <w:rsid w:val="00E751A1"/>
    <w:rsid w:val="00E751C7"/>
    <w:rsid w:val="00E751D7"/>
    <w:rsid w:val="00E751DF"/>
    <w:rsid w:val="00E75207"/>
    <w:rsid w:val="00E75238"/>
    <w:rsid w:val="00E75249"/>
    <w:rsid w:val="00E75277"/>
    <w:rsid w:val="00E7528C"/>
    <w:rsid w:val="00E75299"/>
    <w:rsid w:val="00E752D7"/>
    <w:rsid w:val="00E752E9"/>
    <w:rsid w:val="00E75334"/>
    <w:rsid w:val="00E75348"/>
    <w:rsid w:val="00E75358"/>
    <w:rsid w:val="00E7536F"/>
    <w:rsid w:val="00E7537D"/>
    <w:rsid w:val="00E753DD"/>
    <w:rsid w:val="00E753E8"/>
    <w:rsid w:val="00E75415"/>
    <w:rsid w:val="00E75430"/>
    <w:rsid w:val="00E75446"/>
    <w:rsid w:val="00E7544E"/>
    <w:rsid w:val="00E7545C"/>
    <w:rsid w:val="00E75461"/>
    <w:rsid w:val="00E75472"/>
    <w:rsid w:val="00E75504"/>
    <w:rsid w:val="00E7555F"/>
    <w:rsid w:val="00E75560"/>
    <w:rsid w:val="00E75562"/>
    <w:rsid w:val="00E75583"/>
    <w:rsid w:val="00E755B6"/>
    <w:rsid w:val="00E755C0"/>
    <w:rsid w:val="00E75601"/>
    <w:rsid w:val="00E75668"/>
    <w:rsid w:val="00E7568C"/>
    <w:rsid w:val="00E756C4"/>
    <w:rsid w:val="00E7570D"/>
    <w:rsid w:val="00E757B6"/>
    <w:rsid w:val="00E757BF"/>
    <w:rsid w:val="00E757C5"/>
    <w:rsid w:val="00E757CC"/>
    <w:rsid w:val="00E757D6"/>
    <w:rsid w:val="00E7581B"/>
    <w:rsid w:val="00E7582B"/>
    <w:rsid w:val="00E75870"/>
    <w:rsid w:val="00E7588A"/>
    <w:rsid w:val="00E758A0"/>
    <w:rsid w:val="00E758A7"/>
    <w:rsid w:val="00E758B0"/>
    <w:rsid w:val="00E7590D"/>
    <w:rsid w:val="00E7593B"/>
    <w:rsid w:val="00E759B5"/>
    <w:rsid w:val="00E759BC"/>
    <w:rsid w:val="00E759D3"/>
    <w:rsid w:val="00E759EE"/>
    <w:rsid w:val="00E759F8"/>
    <w:rsid w:val="00E75A19"/>
    <w:rsid w:val="00E75A2B"/>
    <w:rsid w:val="00E75A51"/>
    <w:rsid w:val="00E75A83"/>
    <w:rsid w:val="00E75A97"/>
    <w:rsid w:val="00E75AF4"/>
    <w:rsid w:val="00E75B02"/>
    <w:rsid w:val="00E75B0B"/>
    <w:rsid w:val="00E75B28"/>
    <w:rsid w:val="00E75B2C"/>
    <w:rsid w:val="00E75BA1"/>
    <w:rsid w:val="00E75BBE"/>
    <w:rsid w:val="00E75BE4"/>
    <w:rsid w:val="00E75BF3"/>
    <w:rsid w:val="00E75C14"/>
    <w:rsid w:val="00E75C6D"/>
    <w:rsid w:val="00E75C75"/>
    <w:rsid w:val="00E75C9F"/>
    <w:rsid w:val="00E75CC7"/>
    <w:rsid w:val="00E75D08"/>
    <w:rsid w:val="00E75D51"/>
    <w:rsid w:val="00E75D5D"/>
    <w:rsid w:val="00E75D69"/>
    <w:rsid w:val="00E75D6C"/>
    <w:rsid w:val="00E75D96"/>
    <w:rsid w:val="00E75DA4"/>
    <w:rsid w:val="00E75DFB"/>
    <w:rsid w:val="00E75E0F"/>
    <w:rsid w:val="00E75E20"/>
    <w:rsid w:val="00E75E62"/>
    <w:rsid w:val="00E75E73"/>
    <w:rsid w:val="00E75E7D"/>
    <w:rsid w:val="00E75EB3"/>
    <w:rsid w:val="00E75EB9"/>
    <w:rsid w:val="00E75EC1"/>
    <w:rsid w:val="00E75F0D"/>
    <w:rsid w:val="00E75F2A"/>
    <w:rsid w:val="00E75F72"/>
    <w:rsid w:val="00E75F9A"/>
    <w:rsid w:val="00E75F9B"/>
    <w:rsid w:val="00E75FA8"/>
    <w:rsid w:val="00E75FBC"/>
    <w:rsid w:val="00E7602A"/>
    <w:rsid w:val="00E76039"/>
    <w:rsid w:val="00E760D9"/>
    <w:rsid w:val="00E760F9"/>
    <w:rsid w:val="00E76127"/>
    <w:rsid w:val="00E76177"/>
    <w:rsid w:val="00E76183"/>
    <w:rsid w:val="00E76196"/>
    <w:rsid w:val="00E761F2"/>
    <w:rsid w:val="00E761FB"/>
    <w:rsid w:val="00E76223"/>
    <w:rsid w:val="00E76226"/>
    <w:rsid w:val="00E76241"/>
    <w:rsid w:val="00E76244"/>
    <w:rsid w:val="00E7625D"/>
    <w:rsid w:val="00E762B6"/>
    <w:rsid w:val="00E76350"/>
    <w:rsid w:val="00E76396"/>
    <w:rsid w:val="00E7639E"/>
    <w:rsid w:val="00E763AF"/>
    <w:rsid w:val="00E763B7"/>
    <w:rsid w:val="00E76408"/>
    <w:rsid w:val="00E76423"/>
    <w:rsid w:val="00E76426"/>
    <w:rsid w:val="00E76459"/>
    <w:rsid w:val="00E764AD"/>
    <w:rsid w:val="00E764B2"/>
    <w:rsid w:val="00E764C7"/>
    <w:rsid w:val="00E764C8"/>
    <w:rsid w:val="00E76505"/>
    <w:rsid w:val="00E7651B"/>
    <w:rsid w:val="00E76537"/>
    <w:rsid w:val="00E7653A"/>
    <w:rsid w:val="00E76687"/>
    <w:rsid w:val="00E766A2"/>
    <w:rsid w:val="00E766AE"/>
    <w:rsid w:val="00E766E4"/>
    <w:rsid w:val="00E7671A"/>
    <w:rsid w:val="00E76773"/>
    <w:rsid w:val="00E76783"/>
    <w:rsid w:val="00E76818"/>
    <w:rsid w:val="00E76820"/>
    <w:rsid w:val="00E76834"/>
    <w:rsid w:val="00E768F7"/>
    <w:rsid w:val="00E76912"/>
    <w:rsid w:val="00E76930"/>
    <w:rsid w:val="00E7695A"/>
    <w:rsid w:val="00E76965"/>
    <w:rsid w:val="00E7696E"/>
    <w:rsid w:val="00E76981"/>
    <w:rsid w:val="00E769C5"/>
    <w:rsid w:val="00E769EF"/>
    <w:rsid w:val="00E76A41"/>
    <w:rsid w:val="00E76A58"/>
    <w:rsid w:val="00E76AA8"/>
    <w:rsid w:val="00E76AF1"/>
    <w:rsid w:val="00E76B03"/>
    <w:rsid w:val="00E76B48"/>
    <w:rsid w:val="00E76B4A"/>
    <w:rsid w:val="00E76B75"/>
    <w:rsid w:val="00E76B89"/>
    <w:rsid w:val="00E76B9C"/>
    <w:rsid w:val="00E76BA2"/>
    <w:rsid w:val="00E76BB6"/>
    <w:rsid w:val="00E76BD8"/>
    <w:rsid w:val="00E76BE1"/>
    <w:rsid w:val="00E76BFD"/>
    <w:rsid w:val="00E76C6A"/>
    <w:rsid w:val="00E76C72"/>
    <w:rsid w:val="00E76CB5"/>
    <w:rsid w:val="00E76D59"/>
    <w:rsid w:val="00E76D6F"/>
    <w:rsid w:val="00E76D7A"/>
    <w:rsid w:val="00E76D85"/>
    <w:rsid w:val="00E76D88"/>
    <w:rsid w:val="00E76E05"/>
    <w:rsid w:val="00E76E80"/>
    <w:rsid w:val="00E76EBB"/>
    <w:rsid w:val="00E76ED5"/>
    <w:rsid w:val="00E76EE6"/>
    <w:rsid w:val="00E76F2B"/>
    <w:rsid w:val="00E76F54"/>
    <w:rsid w:val="00E76F5A"/>
    <w:rsid w:val="00E76F61"/>
    <w:rsid w:val="00E76FD2"/>
    <w:rsid w:val="00E76FDF"/>
    <w:rsid w:val="00E7703B"/>
    <w:rsid w:val="00E77043"/>
    <w:rsid w:val="00E77052"/>
    <w:rsid w:val="00E77071"/>
    <w:rsid w:val="00E77076"/>
    <w:rsid w:val="00E770AC"/>
    <w:rsid w:val="00E770B5"/>
    <w:rsid w:val="00E770C0"/>
    <w:rsid w:val="00E770CC"/>
    <w:rsid w:val="00E77148"/>
    <w:rsid w:val="00E77164"/>
    <w:rsid w:val="00E771E8"/>
    <w:rsid w:val="00E771F8"/>
    <w:rsid w:val="00E77247"/>
    <w:rsid w:val="00E77277"/>
    <w:rsid w:val="00E7728F"/>
    <w:rsid w:val="00E77290"/>
    <w:rsid w:val="00E772C7"/>
    <w:rsid w:val="00E772D4"/>
    <w:rsid w:val="00E77303"/>
    <w:rsid w:val="00E77310"/>
    <w:rsid w:val="00E77342"/>
    <w:rsid w:val="00E773F6"/>
    <w:rsid w:val="00E773FA"/>
    <w:rsid w:val="00E77428"/>
    <w:rsid w:val="00E77429"/>
    <w:rsid w:val="00E7748C"/>
    <w:rsid w:val="00E77495"/>
    <w:rsid w:val="00E774DB"/>
    <w:rsid w:val="00E774E0"/>
    <w:rsid w:val="00E774EC"/>
    <w:rsid w:val="00E77519"/>
    <w:rsid w:val="00E7751A"/>
    <w:rsid w:val="00E7751B"/>
    <w:rsid w:val="00E77531"/>
    <w:rsid w:val="00E7756D"/>
    <w:rsid w:val="00E77581"/>
    <w:rsid w:val="00E77585"/>
    <w:rsid w:val="00E7759F"/>
    <w:rsid w:val="00E775A6"/>
    <w:rsid w:val="00E775C0"/>
    <w:rsid w:val="00E775CB"/>
    <w:rsid w:val="00E775D4"/>
    <w:rsid w:val="00E77610"/>
    <w:rsid w:val="00E7762A"/>
    <w:rsid w:val="00E7763D"/>
    <w:rsid w:val="00E77642"/>
    <w:rsid w:val="00E77652"/>
    <w:rsid w:val="00E77663"/>
    <w:rsid w:val="00E77669"/>
    <w:rsid w:val="00E776B6"/>
    <w:rsid w:val="00E776C2"/>
    <w:rsid w:val="00E77707"/>
    <w:rsid w:val="00E77737"/>
    <w:rsid w:val="00E77781"/>
    <w:rsid w:val="00E77805"/>
    <w:rsid w:val="00E77813"/>
    <w:rsid w:val="00E7784E"/>
    <w:rsid w:val="00E778B0"/>
    <w:rsid w:val="00E778C3"/>
    <w:rsid w:val="00E77915"/>
    <w:rsid w:val="00E7792E"/>
    <w:rsid w:val="00E779C0"/>
    <w:rsid w:val="00E779C8"/>
    <w:rsid w:val="00E779F3"/>
    <w:rsid w:val="00E779F5"/>
    <w:rsid w:val="00E77A16"/>
    <w:rsid w:val="00E77A3E"/>
    <w:rsid w:val="00E77A49"/>
    <w:rsid w:val="00E77A6B"/>
    <w:rsid w:val="00E77AAB"/>
    <w:rsid w:val="00E77AEF"/>
    <w:rsid w:val="00E77BC9"/>
    <w:rsid w:val="00E77BCE"/>
    <w:rsid w:val="00E77BF1"/>
    <w:rsid w:val="00E77BF7"/>
    <w:rsid w:val="00E77C31"/>
    <w:rsid w:val="00E77C39"/>
    <w:rsid w:val="00E77C7F"/>
    <w:rsid w:val="00E77C9C"/>
    <w:rsid w:val="00E77CAD"/>
    <w:rsid w:val="00E77CDB"/>
    <w:rsid w:val="00E77D6F"/>
    <w:rsid w:val="00E77D79"/>
    <w:rsid w:val="00E77DA5"/>
    <w:rsid w:val="00E77DC8"/>
    <w:rsid w:val="00E77DD8"/>
    <w:rsid w:val="00E77DEF"/>
    <w:rsid w:val="00E77E01"/>
    <w:rsid w:val="00E77E05"/>
    <w:rsid w:val="00E77E39"/>
    <w:rsid w:val="00E77E73"/>
    <w:rsid w:val="00E77E8F"/>
    <w:rsid w:val="00E77E92"/>
    <w:rsid w:val="00E77EC7"/>
    <w:rsid w:val="00E77EFA"/>
    <w:rsid w:val="00E77F06"/>
    <w:rsid w:val="00E77F35"/>
    <w:rsid w:val="00E77F3A"/>
    <w:rsid w:val="00E77FA0"/>
    <w:rsid w:val="00E77FE7"/>
    <w:rsid w:val="00E80031"/>
    <w:rsid w:val="00E8003C"/>
    <w:rsid w:val="00E800A3"/>
    <w:rsid w:val="00E800E9"/>
    <w:rsid w:val="00E800F5"/>
    <w:rsid w:val="00E80133"/>
    <w:rsid w:val="00E80135"/>
    <w:rsid w:val="00E80169"/>
    <w:rsid w:val="00E80172"/>
    <w:rsid w:val="00E8017E"/>
    <w:rsid w:val="00E80182"/>
    <w:rsid w:val="00E8018E"/>
    <w:rsid w:val="00E801FC"/>
    <w:rsid w:val="00E80200"/>
    <w:rsid w:val="00E8023F"/>
    <w:rsid w:val="00E8025C"/>
    <w:rsid w:val="00E80288"/>
    <w:rsid w:val="00E80293"/>
    <w:rsid w:val="00E8029E"/>
    <w:rsid w:val="00E802AC"/>
    <w:rsid w:val="00E802B4"/>
    <w:rsid w:val="00E802D3"/>
    <w:rsid w:val="00E80333"/>
    <w:rsid w:val="00E80338"/>
    <w:rsid w:val="00E803AF"/>
    <w:rsid w:val="00E803DC"/>
    <w:rsid w:val="00E803EC"/>
    <w:rsid w:val="00E8040C"/>
    <w:rsid w:val="00E80419"/>
    <w:rsid w:val="00E80469"/>
    <w:rsid w:val="00E8047C"/>
    <w:rsid w:val="00E8047D"/>
    <w:rsid w:val="00E80486"/>
    <w:rsid w:val="00E80487"/>
    <w:rsid w:val="00E804BA"/>
    <w:rsid w:val="00E804C8"/>
    <w:rsid w:val="00E804E2"/>
    <w:rsid w:val="00E804E4"/>
    <w:rsid w:val="00E804F8"/>
    <w:rsid w:val="00E8051F"/>
    <w:rsid w:val="00E80526"/>
    <w:rsid w:val="00E80557"/>
    <w:rsid w:val="00E80575"/>
    <w:rsid w:val="00E80599"/>
    <w:rsid w:val="00E8059A"/>
    <w:rsid w:val="00E8059C"/>
    <w:rsid w:val="00E805AD"/>
    <w:rsid w:val="00E805B7"/>
    <w:rsid w:val="00E805CD"/>
    <w:rsid w:val="00E80618"/>
    <w:rsid w:val="00E80622"/>
    <w:rsid w:val="00E80644"/>
    <w:rsid w:val="00E80675"/>
    <w:rsid w:val="00E80678"/>
    <w:rsid w:val="00E80689"/>
    <w:rsid w:val="00E806C5"/>
    <w:rsid w:val="00E806F7"/>
    <w:rsid w:val="00E8074C"/>
    <w:rsid w:val="00E80773"/>
    <w:rsid w:val="00E80787"/>
    <w:rsid w:val="00E80789"/>
    <w:rsid w:val="00E80817"/>
    <w:rsid w:val="00E80852"/>
    <w:rsid w:val="00E8086F"/>
    <w:rsid w:val="00E8089C"/>
    <w:rsid w:val="00E8092D"/>
    <w:rsid w:val="00E80945"/>
    <w:rsid w:val="00E8096A"/>
    <w:rsid w:val="00E80987"/>
    <w:rsid w:val="00E809FF"/>
    <w:rsid w:val="00E80ADB"/>
    <w:rsid w:val="00E80B0F"/>
    <w:rsid w:val="00E80B31"/>
    <w:rsid w:val="00E80B47"/>
    <w:rsid w:val="00E80BE6"/>
    <w:rsid w:val="00E80BEA"/>
    <w:rsid w:val="00E80C03"/>
    <w:rsid w:val="00E80C36"/>
    <w:rsid w:val="00E80C85"/>
    <w:rsid w:val="00E80CA0"/>
    <w:rsid w:val="00E80CBB"/>
    <w:rsid w:val="00E80CD8"/>
    <w:rsid w:val="00E80CF4"/>
    <w:rsid w:val="00E80D07"/>
    <w:rsid w:val="00E80D09"/>
    <w:rsid w:val="00E80D0E"/>
    <w:rsid w:val="00E80DB2"/>
    <w:rsid w:val="00E80DD0"/>
    <w:rsid w:val="00E80DF5"/>
    <w:rsid w:val="00E80E04"/>
    <w:rsid w:val="00E80E0A"/>
    <w:rsid w:val="00E80E31"/>
    <w:rsid w:val="00E80EC4"/>
    <w:rsid w:val="00E80ED1"/>
    <w:rsid w:val="00E80EE5"/>
    <w:rsid w:val="00E80F50"/>
    <w:rsid w:val="00E80F6B"/>
    <w:rsid w:val="00E80F82"/>
    <w:rsid w:val="00E80FDC"/>
    <w:rsid w:val="00E80FF5"/>
    <w:rsid w:val="00E81023"/>
    <w:rsid w:val="00E81092"/>
    <w:rsid w:val="00E81096"/>
    <w:rsid w:val="00E8109B"/>
    <w:rsid w:val="00E810CD"/>
    <w:rsid w:val="00E81129"/>
    <w:rsid w:val="00E81131"/>
    <w:rsid w:val="00E81133"/>
    <w:rsid w:val="00E81135"/>
    <w:rsid w:val="00E81165"/>
    <w:rsid w:val="00E811EE"/>
    <w:rsid w:val="00E8120B"/>
    <w:rsid w:val="00E8123E"/>
    <w:rsid w:val="00E8128A"/>
    <w:rsid w:val="00E812C9"/>
    <w:rsid w:val="00E812D3"/>
    <w:rsid w:val="00E812D9"/>
    <w:rsid w:val="00E81302"/>
    <w:rsid w:val="00E81352"/>
    <w:rsid w:val="00E81354"/>
    <w:rsid w:val="00E813B8"/>
    <w:rsid w:val="00E813C2"/>
    <w:rsid w:val="00E813F2"/>
    <w:rsid w:val="00E81424"/>
    <w:rsid w:val="00E8147F"/>
    <w:rsid w:val="00E814C7"/>
    <w:rsid w:val="00E814EB"/>
    <w:rsid w:val="00E81534"/>
    <w:rsid w:val="00E81545"/>
    <w:rsid w:val="00E81564"/>
    <w:rsid w:val="00E8156E"/>
    <w:rsid w:val="00E81579"/>
    <w:rsid w:val="00E81584"/>
    <w:rsid w:val="00E815D1"/>
    <w:rsid w:val="00E815F9"/>
    <w:rsid w:val="00E8160E"/>
    <w:rsid w:val="00E81610"/>
    <w:rsid w:val="00E8164E"/>
    <w:rsid w:val="00E81652"/>
    <w:rsid w:val="00E81658"/>
    <w:rsid w:val="00E8165C"/>
    <w:rsid w:val="00E8167B"/>
    <w:rsid w:val="00E816B6"/>
    <w:rsid w:val="00E816C8"/>
    <w:rsid w:val="00E816EA"/>
    <w:rsid w:val="00E81715"/>
    <w:rsid w:val="00E8174E"/>
    <w:rsid w:val="00E81755"/>
    <w:rsid w:val="00E8175D"/>
    <w:rsid w:val="00E81761"/>
    <w:rsid w:val="00E8177C"/>
    <w:rsid w:val="00E81785"/>
    <w:rsid w:val="00E81796"/>
    <w:rsid w:val="00E8179A"/>
    <w:rsid w:val="00E817CB"/>
    <w:rsid w:val="00E81828"/>
    <w:rsid w:val="00E8182E"/>
    <w:rsid w:val="00E81835"/>
    <w:rsid w:val="00E8188A"/>
    <w:rsid w:val="00E818B5"/>
    <w:rsid w:val="00E818B6"/>
    <w:rsid w:val="00E818D6"/>
    <w:rsid w:val="00E818DB"/>
    <w:rsid w:val="00E81917"/>
    <w:rsid w:val="00E8191C"/>
    <w:rsid w:val="00E8196C"/>
    <w:rsid w:val="00E819D3"/>
    <w:rsid w:val="00E819EF"/>
    <w:rsid w:val="00E81A0B"/>
    <w:rsid w:val="00E81A25"/>
    <w:rsid w:val="00E81ABD"/>
    <w:rsid w:val="00E81B0B"/>
    <w:rsid w:val="00E81B36"/>
    <w:rsid w:val="00E81B3E"/>
    <w:rsid w:val="00E81BF7"/>
    <w:rsid w:val="00E81CC1"/>
    <w:rsid w:val="00E81CD2"/>
    <w:rsid w:val="00E81CDF"/>
    <w:rsid w:val="00E81CE2"/>
    <w:rsid w:val="00E81CF8"/>
    <w:rsid w:val="00E81D35"/>
    <w:rsid w:val="00E81D38"/>
    <w:rsid w:val="00E81D7E"/>
    <w:rsid w:val="00E81D87"/>
    <w:rsid w:val="00E81D97"/>
    <w:rsid w:val="00E81DD3"/>
    <w:rsid w:val="00E81E1F"/>
    <w:rsid w:val="00E81E4A"/>
    <w:rsid w:val="00E81E70"/>
    <w:rsid w:val="00E81E9F"/>
    <w:rsid w:val="00E81F41"/>
    <w:rsid w:val="00E81F4A"/>
    <w:rsid w:val="00E81F62"/>
    <w:rsid w:val="00E81F79"/>
    <w:rsid w:val="00E81F7C"/>
    <w:rsid w:val="00E81F8B"/>
    <w:rsid w:val="00E81FAC"/>
    <w:rsid w:val="00E8208E"/>
    <w:rsid w:val="00E820D6"/>
    <w:rsid w:val="00E820EE"/>
    <w:rsid w:val="00E820F1"/>
    <w:rsid w:val="00E82139"/>
    <w:rsid w:val="00E82148"/>
    <w:rsid w:val="00E82157"/>
    <w:rsid w:val="00E82165"/>
    <w:rsid w:val="00E82184"/>
    <w:rsid w:val="00E82197"/>
    <w:rsid w:val="00E8220C"/>
    <w:rsid w:val="00E82257"/>
    <w:rsid w:val="00E82259"/>
    <w:rsid w:val="00E82296"/>
    <w:rsid w:val="00E8229A"/>
    <w:rsid w:val="00E822DE"/>
    <w:rsid w:val="00E822FC"/>
    <w:rsid w:val="00E8230D"/>
    <w:rsid w:val="00E82356"/>
    <w:rsid w:val="00E823A7"/>
    <w:rsid w:val="00E823C4"/>
    <w:rsid w:val="00E823D6"/>
    <w:rsid w:val="00E823DA"/>
    <w:rsid w:val="00E823DC"/>
    <w:rsid w:val="00E823E2"/>
    <w:rsid w:val="00E82415"/>
    <w:rsid w:val="00E8241E"/>
    <w:rsid w:val="00E82422"/>
    <w:rsid w:val="00E8243D"/>
    <w:rsid w:val="00E82451"/>
    <w:rsid w:val="00E82492"/>
    <w:rsid w:val="00E824D7"/>
    <w:rsid w:val="00E824F6"/>
    <w:rsid w:val="00E8250C"/>
    <w:rsid w:val="00E82512"/>
    <w:rsid w:val="00E82591"/>
    <w:rsid w:val="00E825A1"/>
    <w:rsid w:val="00E825A3"/>
    <w:rsid w:val="00E825B2"/>
    <w:rsid w:val="00E825F0"/>
    <w:rsid w:val="00E82607"/>
    <w:rsid w:val="00E82637"/>
    <w:rsid w:val="00E82676"/>
    <w:rsid w:val="00E82686"/>
    <w:rsid w:val="00E82692"/>
    <w:rsid w:val="00E826F8"/>
    <w:rsid w:val="00E826FF"/>
    <w:rsid w:val="00E82734"/>
    <w:rsid w:val="00E82750"/>
    <w:rsid w:val="00E8276D"/>
    <w:rsid w:val="00E82783"/>
    <w:rsid w:val="00E827E0"/>
    <w:rsid w:val="00E827FC"/>
    <w:rsid w:val="00E82836"/>
    <w:rsid w:val="00E8283E"/>
    <w:rsid w:val="00E8284C"/>
    <w:rsid w:val="00E8284F"/>
    <w:rsid w:val="00E82851"/>
    <w:rsid w:val="00E82858"/>
    <w:rsid w:val="00E828AC"/>
    <w:rsid w:val="00E828C4"/>
    <w:rsid w:val="00E828D9"/>
    <w:rsid w:val="00E828DD"/>
    <w:rsid w:val="00E82953"/>
    <w:rsid w:val="00E8297A"/>
    <w:rsid w:val="00E8297C"/>
    <w:rsid w:val="00E82999"/>
    <w:rsid w:val="00E829AC"/>
    <w:rsid w:val="00E829B6"/>
    <w:rsid w:val="00E829CA"/>
    <w:rsid w:val="00E82A0D"/>
    <w:rsid w:val="00E82A24"/>
    <w:rsid w:val="00E82A2C"/>
    <w:rsid w:val="00E82A5F"/>
    <w:rsid w:val="00E82A86"/>
    <w:rsid w:val="00E82ADB"/>
    <w:rsid w:val="00E82AE7"/>
    <w:rsid w:val="00E82AF9"/>
    <w:rsid w:val="00E82B1A"/>
    <w:rsid w:val="00E82B23"/>
    <w:rsid w:val="00E82B3B"/>
    <w:rsid w:val="00E82B43"/>
    <w:rsid w:val="00E82B69"/>
    <w:rsid w:val="00E82B80"/>
    <w:rsid w:val="00E82B82"/>
    <w:rsid w:val="00E82BB0"/>
    <w:rsid w:val="00E82BE9"/>
    <w:rsid w:val="00E82BF3"/>
    <w:rsid w:val="00E82C0C"/>
    <w:rsid w:val="00E82C4B"/>
    <w:rsid w:val="00E82CB1"/>
    <w:rsid w:val="00E82CD7"/>
    <w:rsid w:val="00E82CEE"/>
    <w:rsid w:val="00E82CFA"/>
    <w:rsid w:val="00E82D22"/>
    <w:rsid w:val="00E82D40"/>
    <w:rsid w:val="00E82D75"/>
    <w:rsid w:val="00E82D9B"/>
    <w:rsid w:val="00E82D9D"/>
    <w:rsid w:val="00E82DEE"/>
    <w:rsid w:val="00E82E2A"/>
    <w:rsid w:val="00E82E4E"/>
    <w:rsid w:val="00E82E7D"/>
    <w:rsid w:val="00E82E87"/>
    <w:rsid w:val="00E82EF8"/>
    <w:rsid w:val="00E82F08"/>
    <w:rsid w:val="00E82F35"/>
    <w:rsid w:val="00E82F67"/>
    <w:rsid w:val="00E82F79"/>
    <w:rsid w:val="00E82F89"/>
    <w:rsid w:val="00E82F9B"/>
    <w:rsid w:val="00E82FBC"/>
    <w:rsid w:val="00E82FF9"/>
    <w:rsid w:val="00E8304D"/>
    <w:rsid w:val="00E83065"/>
    <w:rsid w:val="00E83094"/>
    <w:rsid w:val="00E830AF"/>
    <w:rsid w:val="00E830C4"/>
    <w:rsid w:val="00E830DF"/>
    <w:rsid w:val="00E830F7"/>
    <w:rsid w:val="00E830FC"/>
    <w:rsid w:val="00E8318F"/>
    <w:rsid w:val="00E831AA"/>
    <w:rsid w:val="00E831B5"/>
    <w:rsid w:val="00E831C9"/>
    <w:rsid w:val="00E8323F"/>
    <w:rsid w:val="00E8324A"/>
    <w:rsid w:val="00E8324B"/>
    <w:rsid w:val="00E8325F"/>
    <w:rsid w:val="00E83266"/>
    <w:rsid w:val="00E83293"/>
    <w:rsid w:val="00E8329F"/>
    <w:rsid w:val="00E832D8"/>
    <w:rsid w:val="00E832F1"/>
    <w:rsid w:val="00E832F3"/>
    <w:rsid w:val="00E8333B"/>
    <w:rsid w:val="00E83374"/>
    <w:rsid w:val="00E83386"/>
    <w:rsid w:val="00E8338A"/>
    <w:rsid w:val="00E8338E"/>
    <w:rsid w:val="00E833B9"/>
    <w:rsid w:val="00E833F1"/>
    <w:rsid w:val="00E833F6"/>
    <w:rsid w:val="00E83415"/>
    <w:rsid w:val="00E83435"/>
    <w:rsid w:val="00E83437"/>
    <w:rsid w:val="00E83444"/>
    <w:rsid w:val="00E83455"/>
    <w:rsid w:val="00E8349D"/>
    <w:rsid w:val="00E834C3"/>
    <w:rsid w:val="00E834CD"/>
    <w:rsid w:val="00E834E7"/>
    <w:rsid w:val="00E834EF"/>
    <w:rsid w:val="00E83504"/>
    <w:rsid w:val="00E83507"/>
    <w:rsid w:val="00E8350F"/>
    <w:rsid w:val="00E8352D"/>
    <w:rsid w:val="00E83558"/>
    <w:rsid w:val="00E83611"/>
    <w:rsid w:val="00E83640"/>
    <w:rsid w:val="00E8365E"/>
    <w:rsid w:val="00E8366B"/>
    <w:rsid w:val="00E83691"/>
    <w:rsid w:val="00E836AD"/>
    <w:rsid w:val="00E836BE"/>
    <w:rsid w:val="00E836DC"/>
    <w:rsid w:val="00E836E6"/>
    <w:rsid w:val="00E836F2"/>
    <w:rsid w:val="00E83700"/>
    <w:rsid w:val="00E8370E"/>
    <w:rsid w:val="00E83748"/>
    <w:rsid w:val="00E83759"/>
    <w:rsid w:val="00E837F3"/>
    <w:rsid w:val="00E837FA"/>
    <w:rsid w:val="00E8383C"/>
    <w:rsid w:val="00E8387B"/>
    <w:rsid w:val="00E8389E"/>
    <w:rsid w:val="00E838B0"/>
    <w:rsid w:val="00E838BB"/>
    <w:rsid w:val="00E838E5"/>
    <w:rsid w:val="00E838F4"/>
    <w:rsid w:val="00E838F7"/>
    <w:rsid w:val="00E838FC"/>
    <w:rsid w:val="00E83905"/>
    <w:rsid w:val="00E83979"/>
    <w:rsid w:val="00E83991"/>
    <w:rsid w:val="00E839B4"/>
    <w:rsid w:val="00E839D5"/>
    <w:rsid w:val="00E83A2F"/>
    <w:rsid w:val="00E83A3B"/>
    <w:rsid w:val="00E83A3F"/>
    <w:rsid w:val="00E83A5B"/>
    <w:rsid w:val="00E83A8B"/>
    <w:rsid w:val="00E83AB7"/>
    <w:rsid w:val="00E83ADA"/>
    <w:rsid w:val="00E83B5D"/>
    <w:rsid w:val="00E83B86"/>
    <w:rsid w:val="00E83BAB"/>
    <w:rsid w:val="00E83C3C"/>
    <w:rsid w:val="00E83C7E"/>
    <w:rsid w:val="00E83CAA"/>
    <w:rsid w:val="00E83CB2"/>
    <w:rsid w:val="00E83CC5"/>
    <w:rsid w:val="00E83CCA"/>
    <w:rsid w:val="00E83CE4"/>
    <w:rsid w:val="00E83CF5"/>
    <w:rsid w:val="00E83CFB"/>
    <w:rsid w:val="00E83D10"/>
    <w:rsid w:val="00E83D30"/>
    <w:rsid w:val="00E83D89"/>
    <w:rsid w:val="00E83D9D"/>
    <w:rsid w:val="00E83DA2"/>
    <w:rsid w:val="00E83DD3"/>
    <w:rsid w:val="00E83DEF"/>
    <w:rsid w:val="00E83E00"/>
    <w:rsid w:val="00E83E58"/>
    <w:rsid w:val="00E83E81"/>
    <w:rsid w:val="00E83EBD"/>
    <w:rsid w:val="00E83EE9"/>
    <w:rsid w:val="00E83EF3"/>
    <w:rsid w:val="00E83F26"/>
    <w:rsid w:val="00E83F27"/>
    <w:rsid w:val="00E83F77"/>
    <w:rsid w:val="00E83F7E"/>
    <w:rsid w:val="00E83FBD"/>
    <w:rsid w:val="00E83FCA"/>
    <w:rsid w:val="00E84005"/>
    <w:rsid w:val="00E8400E"/>
    <w:rsid w:val="00E84037"/>
    <w:rsid w:val="00E8403B"/>
    <w:rsid w:val="00E84058"/>
    <w:rsid w:val="00E8406B"/>
    <w:rsid w:val="00E840A6"/>
    <w:rsid w:val="00E840DA"/>
    <w:rsid w:val="00E8414E"/>
    <w:rsid w:val="00E84152"/>
    <w:rsid w:val="00E84198"/>
    <w:rsid w:val="00E841B4"/>
    <w:rsid w:val="00E84212"/>
    <w:rsid w:val="00E84216"/>
    <w:rsid w:val="00E84224"/>
    <w:rsid w:val="00E84237"/>
    <w:rsid w:val="00E842B3"/>
    <w:rsid w:val="00E842BF"/>
    <w:rsid w:val="00E842D3"/>
    <w:rsid w:val="00E842D7"/>
    <w:rsid w:val="00E842F6"/>
    <w:rsid w:val="00E84302"/>
    <w:rsid w:val="00E843B9"/>
    <w:rsid w:val="00E843BC"/>
    <w:rsid w:val="00E843CA"/>
    <w:rsid w:val="00E8445F"/>
    <w:rsid w:val="00E84489"/>
    <w:rsid w:val="00E844D1"/>
    <w:rsid w:val="00E844D8"/>
    <w:rsid w:val="00E84548"/>
    <w:rsid w:val="00E84586"/>
    <w:rsid w:val="00E845A7"/>
    <w:rsid w:val="00E8467B"/>
    <w:rsid w:val="00E8468A"/>
    <w:rsid w:val="00E8468B"/>
    <w:rsid w:val="00E846A8"/>
    <w:rsid w:val="00E846FC"/>
    <w:rsid w:val="00E847A2"/>
    <w:rsid w:val="00E847BC"/>
    <w:rsid w:val="00E847DA"/>
    <w:rsid w:val="00E847DD"/>
    <w:rsid w:val="00E847EB"/>
    <w:rsid w:val="00E847EC"/>
    <w:rsid w:val="00E847F8"/>
    <w:rsid w:val="00E84848"/>
    <w:rsid w:val="00E84889"/>
    <w:rsid w:val="00E8489A"/>
    <w:rsid w:val="00E848A9"/>
    <w:rsid w:val="00E848DA"/>
    <w:rsid w:val="00E848DD"/>
    <w:rsid w:val="00E84905"/>
    <w:rsid w:val="00E8496B"/>
    <w:rsid w:val="00E849A6"/>
    <w:rsid w:val="00E849BC"/>
    <w:rsid w:val="00E849D7"/>
    <w:rsid w:val="00E849EB"/>
    <w:rsid w:val="00E849EF"/>
    <w:rsid w:val="00E84A51"/>
    <w:rsid w:val="00E84A5C"/>
    <w:rsid w:val="00E84A80"/>
    <w:rsid w:val="00E84AB6"/>
    <w:rsid w:val="00E84ABE"/>
    <w:rsid w:val="00E84AF4"/>
    <w:rsid w:val="00E84B1C"/>
    <w:rsid w:val="00E84B4F"/>
    <w:rsid w:val="00E84B60"/>
    <w:rsid w:val="00E84B6C"/>
    <w:rsid w:val="00E84B7B"/>
    <w:rsid w:val="00E84B89"/>
    <w:rsid w:val="00E84BDD"/>
    <w:rsid w:val="00E84BEC"/>
    <w:rsid w:val="00E84BF1"/>
    <w:rsid w:val="00E84C05"/>
    <w:rsid w:val="00E84C3D"/>
    <w:rsid w:val="00E84C4C"/>
    <w:rsid w:val="00E84C5B"/>
    <w:rsid w:val="00E84C7D"/>
    <w:rsid w:val="00E84C86"/>
    <w:rsid w:val="00E84CD6"/>
    <w:rsid w:val="00E84CD8"/>
    <w:rsid w:val="00E84CE6"/>
    <w:rsid w:val="00E84D22"/>
    <w:rsid w:val="00E84D44"/>
    <w:rsid w:val="00E84D4F"/>
    <w:rsid w:val="00E84D6C"/>
    <w:rsid w:val="00E84DD2"/>
    <w:rsid w:val="00E84DF4"/>
    <w:rsid w:val="00E84E34"/>
    <w:rsid w:val="00E84E59"/>
    <w:rsid w:val="00E84EFC"/>
    <w:rsid w:val="00E84EFD"/>
    <w:rsid w:val="00E84F0D"/>
    <w:rsid w:val="00E84F17"/>
    <w:rsid w:val="00E84F18"/>
    <w:rsid w:val="00E84F53"/>
    <w:rsid w:val="00E84F7D"/>
    <w:rsid w:val="00E84FD9"/>
    <w:rsid w:val="00E85052"/>
    <w:rsid w:val="00E8506F"/>
    <w:rsid w:val="00E85078"/>
    <w:rsid w:val="00E85084"/>
    <w:rsid w:val="00E85099"/>
    <w:rsid w:val="00E8509B"/>
    <w:rsid w:val="00E850DA"/>
    <w:rsid w:val="00E850F5"/>
    <w:rsid w:val="00E85122"/>
    <w:rsid w:val="00E8516D"/>
    <w:rsid w:val="00E85191"/>
    <w:rsid w:val="00E851B1"/>
    <w:rsid w:val="00E851EA"/>
    <w:rsid w:val="00E85253"/>
    <w:rsid w:val="00E8528E"/>
    <w:rsid w:val="00E85293"/>
    <w:rsid w:val="00E852CA"/>
    <w:rsid w:val="00E85314"/>
    <w:rsid w:val="00E85369"/>
    <w:rsid w:val="00E8536F"/>
    <w:rsid w:val="00E85397"/>
    <w:rsid w:val="00E853C0"/>
    <w:rsid w:val="00E85453"/>
    <w:rsid w:val="00E85455"/>
    <w:rsid w:val="00E85460"/>
    <w:rsid w:val="00E85476"/>
    <w:rsid w:val="00E85489"/>
    <w:rsid w:val="00E854AE"/>
    <w:rsid w:val="00E854C3"/>
    <w:rsid w:val="00E85509"/>
    <w:rsid w:val="00E85539"/>
    <w:rsid w:val="00E85541"/>
    <w:rsid w:val="00E85599"/>
    <w:rsid w:val="00E855CC"/>
    <w:rsid w:val="00E855D6"/>
    <w:rsid w:val="00E85610"/>
    <w:rsid w:val="00E8561F"/>
    <w:rsid w:val="00E8562E"/>
    <w:rsid w:val="00E85636"/>
    <w:rsid w:val="00E85642"/>
    <w:rsid w:val="00E85646"/>
    <w:rsid w:val="00E85650"/>
    <w:rsid w:val="00E85660"/>
    <w:rsid w:val="00E856E7"/>
    <w:rsid w:val="00E85766"/>
    <w:rsid w:val="00E85779"/>
    <w:rsid w:val="00E8577C"/>
    <w:rsid w:val="00E85782"/>
    <w:rsid w:val="00E85783"/>
    <w:rsid w:val="00E857DD"/>
    <w:rsid w:val="00E857DE"/>
    <w:rsid w:val="00E857EB"/>
    <w:rsid w:val="00E8580D"/>
    <w:rsid w:val="00E85837"/>
    <w:rsid w:val="00E8583E"/>
    <w:rsid w:val="00E8587C"/>
    <w:rsid w:val="00E8588A"/>
    <w:rsid w:val="00E8589F"/>
    <w:rsid w:val="00E858A2"/>
    <w:rsid w:val="00E858B6"/>
    <w:rsid w:val="00E858C5"/>
    <w:rsid w:val="00E858FB"/>
    <w:rsid w:val="00E8591A"/>
    <w:rsid w:val="00E85948"/>
    <w:rsid w:val="00E8595C"/>
    <w:rsid w:val="00E85967"/>
    <w:rsid w:val="00E85974"/>
    <w:rsid w:val="00E8597A"/>
    <w:rsid w:val="00E85991"/>
    <w:rsid w:val="00E859A7"/>
    <w:rsid w:val="00E859A8"/>
    <w:rsid w:val="00E859D2"/>
    <w:rsid w:val="00E859E4"/>
    <w:rsid w:val="00E85A55"/>
    <w:rsid w:val="00E85A60"/>
    <w:rsid w:val="00E85A98"/>
    <w:rsid w:val="00E85AAE"/>
    <w:rsid w:val="00E85AD8"/>
    <w:rsid w:val="00E85B70"/>
    <w:rsid w:val="00E85B7C"/>
    <w:rsid w:val="00E85B7E"/>
    <w:rsid w:val="00E85BA6"/>
    <w:rsid w:val="00E85BC2"/>
    <w:rsid w:val="00E85BE7"/>
    <w:rsid w:val="00E85C08"/>
    <w:rsid w:val="00E85C18"/>
    <w:rsid w:val="00E85C86"/>
    <w:rsid w:val="00E85C89"/>
    <w:rsid w:val="00E85C9C"/>
    <w:rsid w:val="00E85CC8"/>
    <w:rsid w:val="00E85CFB"/>
    <w:rsid w:val="00E85D25"/>
    <w:rsid w:val="00E85D45"/>
    <w:rsid w:val="00E85D61"/>
    <w:rsid w:val="00E85D83"/>
    <w:rsid w:val="00E85DBD"/>
    <w:rsid w:val="00E85DC4"/>
    <w:rsid w:val="00E85DFB"/>
    <w:rsid w:val="00E85E5F"/>
    <w:rsid w:val="00E85E61"/>
    <w:rsid w:val="00E85ED2"/>
    <w:rsid w:val="00E85ED6"/>
    <w:rsid w:val="00E85EF6"/>
    <w:rsid w:val="00E85F09"/>
    <w:rsid w:val="00E85F0B"/>
    <w:rsid w:val="00E85F55"/>
    <w:rsid w:val="00E85F76"/>
    <w:rsid w:val="00E85FAF"/>
    <w:rsid w:val="00E85FC9"/>
    <w:rsid w:val="00E85FCE"/>
    <w:rsid w:val="00E85FD4"/>
    <w:rsid w:val="00E86057"/>
    <w:rsid w:val="00E8607E"/>
    <w:rsid w:val="00E8608B"/>
    <w:rsid w:val="00E8613F"/>
    <w:rsid w:val="00E86166"/>
    <w:rsid w:val="00E86178"/>
    <w:rsid w:val="00E861B2"/>
    <w:rsid w:val="00E861CB"/>
    <w:rsid w:val="00E861CF"/>
    <w:rsid w:val="00E86211"/>
    <w:rsid w:val="00E86282"/>
    <w:rsid w:val="00E862A3"/>
    <w:rsid w:val="00E862D5"/>
    <w:rsid w:val="00E862D8"/>
    <w:rsid w:val="00E862FD"/>
    <w:rsid w:val="00E8631F"/>
    <w:rsid w:val="00E86331"/>
    <w:rsid w:val="00E8633E"/>
    <w:rsid w:val="00E863C3"/>
    <w:rsid w:val="00E863D9"/>
    <w:rsid w:val="00E863E3"/>
    <w:rsid w:val="00E86420"/>
    <w:rsid w:val="00E86427"/>
    <w:rsid w:val="00E8643D"/>
    <w:rsid w:val="00E86440"/>
    <w:rsid w:val="00E8646E"/>
    <w:rsid w:val="00E86490"/>
    <w:rsid w:val="00E864A6"/>
    <w:rsid w:val="00E864C2"/>
    <w:rsid w:val="00E864FD"/>
    <w:rsid w:val="00E86522"/>
    <w:rsid w:val="00E8652E"/>
    <w:rsid w:val="00E86539"/>
    <w:rsid w:val="00E86549"/>
    <w:rsid w:val="00E865D8"/>
    <w:rsid w:val="00E865F4"/>
    <w:rsid w:val="00E866C1"/>
    <w:rsid w:val="00E866CD"/>
    <w:rsid w:val="00E866DC"/>
    <w:rsid w:val="00E866E1"/>
    <w:rsid w:val="00E8676C"/>
    <w:rsid w:val="00E867CD"/>
    <w:rsid w:val="00E867D5"/>
    <w:rsid w:val="00E86819"/>
    <w:rsid w:val="00E86824"/>
    <w:rsid w:val="00E86868"/>
    <w:rsid w:val="00E868B1"/>
    <w:rsid w:val="00E868D8"/>
    <w:rsid w:val="00E868FE"/>
    <w:rsid w:val="00E86934"/>
    <w:rsid w:val="00E869BE"/>
    <w:rsid w:val="00E869EF"/>
    <w:rsid w:val="00E86A3C"/>
    <w:rsid w:val="00E86AC1"/>
    <w:rsid w:val="00E86B33"/>
    <w:rsid w:val="00E86B86"/>
    <w:rsid w:val="00E86BD4"/>
    <w:rsid w:val="00E86BFF"/>
    <w:rsid w:val="00E86C50"/>
    <w:rsid w:val="00E86C52"/>
    <w:rsid w:val="00E86C56"/>
    <w:rsid w:val="00E86CAB"/>
    <w:rsid w:val="00E86CE8"/>
    <w:rsid w:val="00E86D27"/>
    <w:rsid w:val="00E86D3A"/>
    <w:rsid w:val="00E86D4B"/>
    <w:rsid w:val="00E86D76"/>
    <w:rsid w:val="00E86D7F"/>
    <w:rsid w:val="00E86D84"/>
    <w:rsid w:val="00E86DDC"/>
    <w:rsid w:val="00E86DE7"/>
    <w:rsid w:val="00E86E6B"/>
    <w:rsid w:val="00E86E87"/>
    <w:rsid w:val="00E86E8F"/>
    <w:rsid w:val="00E86EAD"/>
    <w:rsid w:val="00E86EB5"/>
    <w:rsid w:val="00E86EBD"/>
    <w:rsid w:val="00E86EE5"/>
    <w:rsid w:val="00E86EF2"/>
    <w:rsid w:val="00E86EFA"/>
    <w:rsid w:val="00E86F11"/>
    <w:rsid w:val="00E86F38"/>
    <w:rsid w:val="00E86FEE"/>
    <w:rsid w:val="00E8700A"/>
    <w:rsid w:val="00E87016"/>
    <w:rsid w:val="00E8702D"/>
    <w:rsid w:val="00E87081"/>
    <w:rsid w:val="00E87094"/>
    <w:rsid w:val="00E870D9"/>
    <w:rsid w:val="00E87107"/>
    <w:rsid w:val="00E8710A"/>
    <w:rsid w:val="00E87158"/>
    <w:rsid w:val="00E87189"/>
    <w:rsid w:val="00E871AF"/>
    <w:rsid w:val="00E871B9"/>
    <w:rsid w:val="00E871C1"/>
    <w:rsid w:val="00E87246"/>
    <w:rsid w:val="00E87269"/>
    <w:rsid w:val="00E8727B"/>
    <w:rsid w:val="00E872D2"/>
    <w:rsid w:val="00E872DD"/>
    <w:rsid w:val="00E872DE"/>
    <w:rsid w:val="00E87303"/>
    <w:rsid w:val="00E8730A"/>
    <w:rsid w:val="00E87330"/>
    <w:rsid w:val="00E87332"/>
    <w:rsid w:val="00E87358"/>
    <w:rsid w:val="00E873A4"/>
    <w:rsid w:val="00E87462"/>
    <w:rsid w:val="00E87466"/>
    <w:rsid w:val="00E87467"/>
    <w:rsid w:val="00E87475"/>
    <w:rsid w:val="00E8749E"/>
    <w:rsid w:val="00E874E9"/>
    <w:rsid w:val="00E8751B"/>
    <w:rsid w:val="00E875B1"/>
    <w:rsid w:val="00E875BC"/>
    <w:rsid w:val="00E875C2"/>
    <w:rsid w:val="00E8764F"/>
    <w:rsid w:val="00E8766E"/>
    <w:rsid w:val="00E876E7"/>
    <w:rsid w:val="00E876F8"/>
    <w:rsid w:val="00E87705"/>
    <w:rsid w:val="00E87718"/>
    <w:rsid w:val="00E87724"/>
    <w:rsid w:val="00E87744"/>
    <w:rsid w:val="00E87760"/>
    <w:rsid w:val="00E87763"/>
    <w:rsid w:val="00E877F2"/>
    <w:rsid w:val="00E87808"/>
    <w:rsid w:val="00E8781F"/>
    <w:rsid w:val="00E87846"/>
    <w:rsid w:val="00E87855"/>
    <w:rsid w:val="00E8789F"/>
    <w:rsid w:val="00E878C5"/>
    <w:rsid w:val="00E878D1"/>
    <w:rsid w:val="00E878EC"/>
    <w:rsid w:val="00E878F4"/>
    <w:rsid w:val="00E87904"/>
    <w:rsid w:val="00E87926"/>
    <w:rsid w:val="00E87930"/>
    <w:rsid w:val="00E87945"/>
    <w:rsid w:val="00E87962"/>
    <w:rsid w:val="00E87969"/>
    <w:rsid w:val="00E8796F"/>
    <w:rsid w:val="00E87974"/>
    <w:rsid w:val="00E879C2"/>
    <w:rsid w:val="00E879E8"/>
    <w:rsid w:val="00E87A0D"/>
    <w:rsid w:val="00E87A3C"/>
    <w:rsid w:val="00E87A52"/>
    <w:rsid w:val="00E87A7E"/>
    <w:rsid w:val="00E87AFA"/>
    <w:rsid w:val="00E87B0A"/>
    <w:rsid w:val="00E87B32"/>
    <w:rsid w:val="00E87B75"/>
    <w:rsid w:val="00E87B80"/>
    <w:rsid w:val="00E87BDA"/>
    <w:rsid w:val="00E87BFE"/>
    <w:rsid w:val="00E87C38"/>
    <w:rsid w:val="00E87C3A"/>
    <w:rsid w:val="00E87C4E"/>
    <w:rsid w:val="00E87C80"/>
    <w:rsid w:val="00E87C81"/>
    <w:rsid w:val="00E87C83"/>
    <w:rsid w:val="00E87C94"/>
    <w:rsid w:val="00E87CB7"/>
    <w:rsid w:val="00E87CF7"/>
    <w:rsid w:val="00E87CFC"/>
    <w:rsid w:val="00E87D01"/>
    <w:rsid w:val="00E87D30"/>
    <w:rsid w:val="00E87D3B"/>
    <w:rsid w:val="00E87D6A"/>
    <w:rsid w:val="00E87D6D"/>
    <w:rsid w:val="00E87D78"/>
    <w:rsid w:val="00E87E0D"/>
    <w:rsid w:val="00E87E1D"/>
    <w:rsid w:val="00E87E1E"/>
    <w:rsid w:val="00E87E6A"/>
    <w:rsid w:val="00E87E7A"/>
    <w:rsid w:val="00E87E87"/>
    <w:rsid w:val="00E87E92"/>
    <w:rsid w:val="00E87EAE"/>
    <w:rsid w:val="00E87EB1"/>
    <w:rsid w:val="00E87EDA"/>
    <w:rsid w:val="00E87F25"/>
    <w:rsid w:val="00E87F62"/>
    <w:rsid w:val="00E87F82"/>
    <w:rsid w:val="00E87FD1"/>
    <w:rsid w:val="00E87FFB"/>
    <w:rsid w:val="00E87FFC"/>
    <w:rsid w:val="00E8B953"/>
    <w:rsid w:val="00E90003"/>
    <w:rsid w:val="00E90053"/>
    <w:rsid w:val="00E9007E"/>
    <w:rsid w:val="00E9008C"/>
    <w:rsid w:val="00E9009F"/>
    <w:rsid w:val="00E900C9"/>
    <w:rsid w:val="00E900D6"/>
    <w:rsid w:val="00E900E9"/>
    <w:rsid w:val="00E90107"/>
    <w:rsid w:val="00E90111"/>
    <w:rsid w:val="00E90118"/>
    <w:rsid w:val="00E90127"/>
    <w:rsid w:val="00E90159"/>
    <w:rsid w:val="00E90163"/>
    <w:rsid w:val="00E9016C"/>
    <w:rsid w:val="00E901AE"/>
    <w:rsid w:val="00E90204"/>
    <w:rsid w:val="00E90247"/>
    <w:rsid w:val="00E90251"/>
    <w:rsid w:val="00E90253"/>
    <w:rsid w:val="00E90257"/>
    <w:rsid w:val="00E90264"/>
    <w:rsid w:val="00E9026F"/>
    <w:rsid w:val="00E90275"/>
    <w:rsid w:val="00E902C2"/>
    <w:rsid w:val="00E902E5"/>
    <w:rsid w:val="00E902FE"/>
    <w:rsid w:val="00E90361"/>
    <w:rsid w:val="00E90366"/>
    <w:rsid w:val="00E90373"/>
    <w:rsid w:val="00E90382"/>
    <w:rsid w:val="00E90383"/>
    <w:rsid w:val="00E9038C"/>
    <w:rsid w:val="00E9039C"/>
    <w:rsid w:val="00E903E2"/>
    <w:rsid w:val="00E90451"/>
    <w:rsid w:val="00E90452"/>
    <w:rsid w:val="00E904F3"/>
    <w:rsid w:val="00E90509"/>
    <w:rsid w:val="00E90511"/>
    <w:rsid w:val="00E9052D"/>
    <w:rsid w:val="00E90558"/>
    <w:rsid w:val="00E90562"/>
    <w:rsid w:val="00E9056C"/>
    <w:rsid w:val="00E9056E"/>
    <w:rsid w:val="00E905F3"/>
    <w:rsid w:val="00E90652"/>
    <w:rsid w:val="00E9067A"/>
    <w:rsid w:val="00E9067C"/>
    <w:rsid w:val="00E9068F"/>
    <w:rsid w:val="00E906E5"/>
    <w:rsid w:val="00E906F0"/>
    <w:rsid w:val="00E9070C"/>
    <w:rsid w:val="00E9071A"/>
    <w:rsid w:val="00E90774"/>
    <w:rsid w:val="00E9077E"/>
    <w:rsid w:val="00E90787"/>
    <w:rsid w:val="00E90792"/>
    <w:rsid w:val="00E907BD"/>
    <w:rsid w:val="00E907E5"/>
    <w:rsid w:val="00E907ED"/>
    <w:rsid w:val="00E90849"/>
    <w:rsid w:val="00E90863"/>
    <w:rsid w:val="00E9087B"/>
    <w:rsid w:val="00E90893"/>
    <w:rsid w:val="00E90898"/>
    <w:rsid w:val="00E908CC"/>
    <w:rsid w:val="00E908D9"/>
    <w:rsid w:val="00E908E8"/>
    <w:rsid w:val="00E908F1"/>
    <w:rsid w:val="00E90900"/>
    <w:rsid w:val="00E90967"/>
    <w:rsid w:val="00E90970"/>
    <w:rsid w:val="00E9097E"/>
    <w:rsid w:val="00E90990"/>
    <w:rsid w:val="00E909B3"/>
    <w:rsid w:val="00E909E7"/>
    <w:rsid w:val="00E909FE"/>
    <w:rsid w:val="00E90A0E"/>
    <w:rsid w:val="00E90A1C"/>
    <w:rsid w:val="00E90A36"/>
    <w:rsid w:val="00E90A8C"/>
    <w:rsid w:val="00E90AA1"/>
    <w:rsid w:val="00E90AB4"/>
    <w:rsid w:val="00E90ABA"/>
    <w:rsid w:val="00E90AC0"/>
    <w:rsid w:val="00E90AED"/>
    <w:rsid w:val="00E90B1A"/>
    <w:rsid w:val="00E90B9A"/>
    <w:rsid w:val="00E90C40"/>
    <w:rsid w:val="00E90C67"/>
    <w:rsid w:val="00E90C89"/>
    <w:rsid w:val="00E90D1F"/>
    <w:rsid w:val="00E90D2B"/>
    <w:rsid w:val="00E90D32"/>
    <w:rsid w:val="00E90D6C"/>
    <w:rsid w:val="00E90D92"/>
    <w:rsid w:val="00E90D9B"/>
    <w:rsid w:val="00E90DAB"/>
    <w:rsid w:val="00E90DCA"/>
    <w:rsid w:val="00E90DD1"/>
    <w:rsid w:val="00E90E25"/>
    <w:rsid w:val="00E90E34"/>
    <w:rsid w:val="00E90EB8"/>
    <w:rsid w:val="00E90F4F"/>
    <w:rsid w:val="00E90FB2"/>
    <w:rsid w:val="00E90FB3"/>
    <w:rsid w:val="00E90FEB"/>
    <w:rsid w:val="00E91015"/>
    <w:rsid w:val="00E91032"/>
    <w:rsid w:val="00E9104B"/>
    <w:rsid w:val="00E910A1"/>
    <w:rsid w:val="00E910CA"/>
    <w:rsid w:val="00E9110F"/>
    <w:rsid w:val="00E91130"/>
    <w:rsid w:val="00E91173"/>
    <w:rsid w:val="00E91179"/>
    <w:rsid w:val="00E911D2"/>
    <w:rsid w:val="00E911FD"/>
    <w:rsid w:val="00E91275"/>
    <w:rsid w:val="00E912A2"/>
    <w:rsid w:val="00E912A5"/>
    <w:rsid w:val="00E912B2"/>
    <w:rsid w:val="00E91304"/>
    <w:rsid w:val="00E91313"/>
    <w:rsid w:val="00E91317"/>
    <w:rsid w:val="00E9131F"/>
    <w:rsid w:val="00E91324"/>
    <w:rsid w:val="00E91327"/>
    <w:rsid w:val="00E91339"/>
    <w:rsid w:val="00E91350"/>
    <w:rsid w:val="00E9135C"/>
    <w:rsid w:val="00E9136A"/>
    <w:rsid w:val="00E9138A"/>
    <w:rsid w:val="00E913C5"/>
    <w:rsid w:val="00E913F6"/>
    <w:rsid w:val="00E91413"/>
    <w:rsid w:val="00E9141C"/>
    <w:rsid w:val="00E91420"/>
    <w:rsid w:val="00E9143E"/>
    <w:rsid w:val="00E9145A"/>
    <w:rsid w:val="00E9146F"/>
    <w:rsid w:val="00E914D7"/>
    <w:rsid w:val="00E914E3"/>
    <w:rsid w:val="00E9159C"/>
    <w:rsid w:val="00E915F7"/>
    <w:rsid w:val="00E91626"/>
    <w:rsid w:val="00E9165F"/>
    <w:rsid w:val="00E91664"/>
    <w:rsid w:val="00E91666"/>
    <w:rsid w:val="00E91670"/>
    <w:rsid w:val="00E916A9"/>
    <w:rsid w:val="00E916E3"/>
    <w:rsid w:val="00E91719"/>
    <w:rsid w:val="00E91775"/>
    <w:rsid w:val="00E9179B"/>
    <w:rsid w:val="00E917AF"/>
    <w:rsid w:val="00E917BA"/>
    <w:rsid w:val="00E917E1"/>
    <w:rsid w:val="00E9182B"/>
    <w:rsid w:val="00E9182D"/>
    <w:rsid w:val="00E91847"/>
    <w:rsid w:val="00E918E9"/>
    <w:rsid w:val="00E918FC"/>
    <w:rsid w:val="00E9190E"/>
    <w:rsid w:val="00E91916"/>
    <w:rsid w:val="00E919C4"/>
    <w:rsid w:val="00E919F5"/>
    <w:rsid w:val="00E91A09"/>
    <w:rsid w:val="00E91A37"/>
    <w:rsid w:val="00E91A62"/>
    <w:rsid w:val="00E91A71"/>
    <w:rsid w:val="00E91A8E"/>
    <w:rsid w:val="00E91AA4"/>
    <w:rsid w:val="00E91AAD"/>
    <w:rsid w:val="00E91AB3"/>
    <w:rsid w:val="00E91AE3"/>
    <w:rsid w:val="00E91AE9"/>
    <w:rsid w:val="00E91B21"/>
    <w:rsid w:val="00E91B2D"/>
    <w:rsid w:val="00E91B68"/>
    <w:rsid w:val="00E91B75"/>
    <w:rsid w:val="00E91B7D"/>
    <w:rsid w:val="00E91B84"/>
    <w:rsid w:val="00E91B8E"/>
    <w:rsid w:val="00E91BC7"/>
    <w:rsid w:val="00E91C09"/>
    <w:rsid w:val="00E91C10"/>
    <w:rsid w:val="00E91C13"/>
    <w:rsid w:val="00E91C16"/>
    <w:rsid w:val="00E91C3A"/>
    <w:rsid w:val="00E91C61"/>
    <w:rsid w:val="00E91C92"/>
    <w:rsid w:val="00E91CA9"/>
    <w:rsid w:val="00E91CF3"/>
    <w:rsid w:val="00E91D27"/>
    <w:rsid w:val="00E91D36"/>
    <w:rsid w:val="00E91D65"/>
    <w:rsid w:val="00E91D9B"/>
    <w:rsid w:val="00E91DB3"/>
    <w:rsid w:val="00E91DF0"/>
    <w:rsid w:val="00E91E22"/>
    <w:rsid w:val="00E91E2A"/>
    <w:rsid w:val="00E91E62"/>
    <w:rsid w:val="00E91E99"/>
    <w:rsid w:val="00E91EB4"/>
    <w:rsid w:val="00E91EC1"/>
    <w:rsid w:val="00E91F92"/>
    <w:rsid w:val="00E91F97"/>
    <w:rsid w:val="00E91FB3"/>
    <w:rsid w:val="00E91FC4"/>
    <w:rsid w:val="00E92002"/>
    <w:rsid w:val="00E9202D"/>
    <w:rsid w:val="00E9203B"/>
    <w:rsid w:val="00E920A0"/>
    <w:rsid w:val="00E920A7"/>
    <w:rsid w:val="00E92159"/>
    <w:rsid w:val="00E921C0"/>
    <w:rsid w:val="00E921CE"/>
    <w:rsid w:val="00E921DA"/>
    <w:rsid w:val="00E921F0"/>
    <w:rsid w:val="00E9222B"/>
    <w:rsid w:val="00E92236"/>
    <w:rsid w:val="00E92276"/>
    <w:rsid w:val="00E9227D"/>
    <w:rsid w:val="00E92297"/>
    <w:rsid w:val="00E922B3"/>
    <w:rsid w:val="00E922DD"/>
    <w:rsid w:val="00E922F8"/>
    <w:rsid w:val="00E9234C"/>
    <w:rsid w:val="00E92362"/>
    <w:rsid w:val="00E9237A"/>
    <w:rsid w:val="00E9238F"/>
    <w:rsid w:val="00E92399"/>
    <w:rsid w:val="00E923DC"/>
    <w:rsid w:val="00E923F8"/>
    <w:rsid w:val="00E9240F"/>
    <w:rsid w:val="00E9248B"/>
    <w:rsid w:val="00E924CD"/>
    <w:rsid w:val="00E92505"/>
    <w:rsid w:val="00E92511"/>
    <w:rsid w:val="00E92523"/>
    <w:rsid w:val="00E92533"/>
    <w:rsid w:val="00E92556"/>
    <w:rsid w:val="00E92581"/>
    <w:rsid w:val="00E92583"/>
    <w:rsid w:val="00E925F8"/>
    <w:rsid w:val="00E9260B"/>
    <w:rsid w:val="00E9260E"/>
    <w:rsid w:val="00E92652"/>
    <w:rsid w:val="00E92655"/>
    <w:rsid w:val="00E9269C"/>
    <w:rsid w:val="00E926D0"/>
    <w:rsid w:val="00E926D3"/>
    <w:rsid w:val="00E92714"/>
    <w:rsid w:val="00E9273B"/>
    <w:rsid w:val="00E92760"/>
    <w:rsid w:val="00E927A0"/>
    <w:rsid w:val="00E927A2"/>
    <w:rsid w:val="00E92821"/>
    <w:rsid w:val="00E9282E"/>
    <w:rsid w:val="00E92863"/>
    <w:rsid w:val="00E928B5"/>
    <w:rsid w:val="00E928F9"/>
    <w:rsid w:val="00E9290D"/>
    <w:rsid w:val="00E9292C"/>
    <w:rsid w:val="00E9294D"/>
    <w:rsid w:val="00E92955"/>
    <w:rsid w:val="00E92978"/>
    <w:rsid w:val="00E9298F"/>
    <w:rsid w:val="00E929E1"/>
    <w:rsid w:val="00E929E9"/>
    <w:rsid w:val="00E929FD"/>
    <w:rsid w:val="00E92A0F"/>
    <w:rsid w:val="00E92A76"/>
    <w:rsid w:val="00E92AC1"/>
    <w:rsid w:val="00E92AC8"/>
    <w:rsid w:val="00E92B1C"/>
    <w:rsid w:val="00E92B75"/>
    <w:rsid w:val="00E92B88"/>
    <w:rsid w:val="00E92BA1"/>
    <w:rsid w:val="00E92BC3"/>
    <w:rsid w:val="00E92BC8"/>
    <w:rsid w:val="00E92BFB"/>
    <w:rsid w:val="00E92C24"/>
    <w:rsid w:val="00E92C2A"/>
    <w:rsid w:val="00E92C33"/>
    <w:rsid w:val="00E92C4F"/>
    <w:rsid w:val="00E92C61"/>
    <w:rsid w:val="00E92C6C"/>
    <w:rsid w:val="00E92CBA"/>
    <w:rsid w:val="00E92CED"/>
    <w:rsid w:val="00E92D24"/>
    <w:rsid w:val="00E92D27"/>
    <w:rsid w:val="00E92D38"/>
    <w:rsid w:val="00E92D71"/>
    <w:rsid w:val="00E92D83"/>
    <w:rsid w:val="00E92D8D"/>
    <w:rsid w:val="00E92DF4"/>
    <w:rsid w:val="00E92E63"/>
    <w:rsid w:val="00E92EE3"/>
    <w:rsid w:val="00E92EE5"/>
    <w:rsid w:val="00E92F0A"/>
    <w:rsid w:val="00E92F9A"/>
    <w:rsid w:val="00E92FB3"/>
    <w:rsid w:val="00E92FB4"/>
    <w:rsid w:val="00E92FEC"/>
    <w:rsid w:val="00E93023"/>
    <w:rsid w:val="00E93027"/>
    <w:rsid w:val="00E93036"/>
    <w:rsid w:val="00E93044"/>
    <w:rsid w:val="00E93048"/>
    <w:rsid w:val="00E930E0"/>
    <w:rsid w:val="00E930E2"/>
    <w:rsid w:val="00E93120"/>
    <w:rsid w:val="00E93138"/>
    <w:rsid w:val="00E9313F"/>
    <w:rsid w:val="00E93155"/>
    <w:rsid w:val="00E93167"/>
    <w:rsid w:val="00E931F9"/>
    <w:rsid w:val="00E93243"/>
    <w:rsid w:val="00E93250"/>
    <w:rsid w:val="00E93253"/>
    <w:rsid w:val="00E93260"/>
    <w:rsid w:val="00E932B7"/>
    <w:rsid w:val="00E932BB"/>
    <w:rsid w:val="00E932F3"/>
    <w:rsid w:val="00E93353"/>
    <w:rsid w:val="00E9336E"/>
    <w:rsid w:val="00E933D8"/>
    <w:rsid w:val="00E933E7"/>
    <w:rsid w:val="00E933EA"/>
    <w:rsid w:val="00E93419"/>
    <w:rsid w:val="00E93432"/>
    <w:rsid w:val="00E93448"/>
    <w:rsid w:val="00E9344E"/>
    <w:rsid w:val="00E93461"/>
    <w:rsid w:val="00E9346F"/>
    <w:rsid w:val="00E934A6"/>
    <w:rsid w:val="00E934B9"/>
    <w:rsid w:val="00E934E2"/>
    <w:rsid w:val="00E93511"/>
    <w:rsid w:val="00E93556"/>
    <w:rsid w:val="00E93558"/>
    <w:rsid w:val="00E9355A"/>
    <w:rsid w:val="00E9355D"/>
    <w:rsid w:val="00E93564"/>
    <w:rsid w:val="00E93569"/>
    <w:rsid w:val="00E93598"/>
    <w:rsid w:val="00E935A4"/>
    <w:rsid w:val="00E935C7"/>
    <w:rsid w:val="00E935CD"/>
    <w:rsid w:val="00E935E2"/>
    <w:rsid w:val="00E93602"/>
    <w:rsid w:val="00E93611"/>
    <w:rsid w:val="00E93648"/>
    <w:rsid w:val="00E936C5"/>
    <w:rsid w:val="00E93715"/>
    <w:rsid w:val="00E93746"/>
    <w:rsid w:val="00E9374D"/>
    <w:rsid w:val="00E9376C"/>
    <w:rsid w:val="00E93785"/>
    <w:rsid w:val="00E93792"/>
    <w:rsid w:val="00E937BB"/>
    <w:rsid w:val="00E937C0"/>
    <w:rsid w:val="00E937E6"/>
    <w:rsid w:val="00E937F0"/>
    <w:rsid w:val="00E93807"/>
    <w:rsid w:val="00E9380C"/>
    <w:rsid w:val="00E93817"/>
    <w:rsid w:val="00E93847"/>
    <w:rsid w:val="00E93893"/>
    <w:rsid w:val="00E938CA"/>
    <w:rsid w:val="00E938D8"/>
    <w:rsid w:val="00E93902"/>
    <w:rsid w:val="00E9390C"/>
    <w:rsid w:val="00E9393D"/>
    <w:rsid w:val="00E93987"/>
    <w:rsid w:val="00E939B0"/>
    <w:rsid w:val="00E939BE"/>
    <w:rsid w:val="00E939F1"/>
    <w:rsid w:val="00E93A1A"/>
    <w:rsid w:val="00E93A22"/>
    <w:rsid w:val="00E93A2D"/>
    <w:rsid w:val="00E93A3F"/>
    <w:rsid w:val="00E93A41"/>
    <w:rsid w:val="00E93A4F"/>
    <w:rsid w:val="00E93A51"/>
    <w:rsid w:val="00E93A80"/>
    <w:rsid w:val="00E93A95"/>
    <w:rsid w:val="00E93B17"/>
    <w:rsid w:val="00E93B1A"/>
    <w:rsid w:val="00E93B23"/>
    <w:rsid w:val="00E93B36"/>
    <w:rsid w:val="00E93B48"/>
    <w:rsid w:val="00E93BA4"/>
    <w:rsid w:val="00E93BB5"/>
    <w:rsid w:val="00E93BD2"/>
    <w:rsid w:val="00E93BDA"/>
    <w:rsid w:val="00E93BF5"/>
    <w:rsid w:val="00E93C10"/>
    <w:rsid w:val="00E93C86"/>
    <w:rsid w:val="00E93C87"/>
    <w:rsid w:val="00E93CB6"/>
    <w:rsid w:val="00E93CBC"/>
    <w:rsid w:val="00E93CC3"/>
    <w:rsid w:val="00E93CCA"/>
    <w:rsid w:val="00E93CF1"/>
    <w:rsid w:val="00E93D07"/>
    <w:rsid w:val="00E93D30"/>
    <w:rsid w:val="00E93D3F"/>
    <w:rsid w:val="00E93D55"/>
    <w:rsid w:val="00E93DF4"/>
    <w:rsid w:val="00E93E1B"/>
    <w:rsid w:val="00E93E7C"/>
    <w:rsid w:val="00E93E96"/>
    <w:rsid w:val="00E93ED6"/>
    <w:rsid w:val="00E93EE7"/>
    <w:rsid w:val="00E93F42"/>
    <w:rsid w:val="00E93F7C"/>
    <w:rsid w:val="00E93FB1"/>
    <w:rsid w:val="00E93FB9"/>
    <w:rsid w:val="00E93FFA"/>
    <w:rsid w:val="00E9400A"/>
    <w:rsid w:val="00E9400D"/>
    <w:rsid w:val="00E94052"/>
    <w:rsid w:val="00E9408A"/>
    <w:rsid w:val="00E940B5"/>
    <w:rsid w:val="00E940FD"/>
    <w:rsid w:val="00E9412D"/>
    <w:rsid w:val="00E9412F"/>
    <w:rsid w:val="00E94140"/>
    <w:rsid w:val="00E9414C"/>
    <w:rsid w:val="00E94158"/>
    <w:rsid w:val="00E9416A"/>
    <w:rsid w:val="00E94202"/>
    <w:rsid w:val="00E94208"/>
    <w:rsid w:val="00E94228"/>
    <w:rsid w:val="00E9423C"/>
    <w:rsid w:val="00E9429C"/>
    <w:rsid w:val="00E942EB"/>
    <w:rsid w:val="00E94302"/>
    <w:rsid w:val="00E9431C"/>
    <w:rsid w:val="00E94354"/>
    <w:rsid w:val="00E943C2"/>
    <w:rsid w:val="00E943C7"/>
    <w:rsid w:val="00E943D7"/>
    <w:rsid w:val="00E943D9"/>
    <w:rsid w:val="00E943E0"/>
    <w:rsid w:val="00E94413"/>
    <w:rsid w:val="00E9446D"/>
    <w:rsid w:val="00E94490"/>
    <w:rsid w:val="00E944CB"/>
    <w:rsid w:val="00E944D3"/>
    <w:rsid w:val="00E944D8"/>
    <w:rsid w:val="00E94538"/>
    <w:rsid w:val="00E94577"/>
    <w:rsid w:val="00E94587"/>
    <w:rsid w:val="00E945A7"/>
    <w:rsid w:val="00E945BF"/>
    <w:rsid w:val="00E945C6"/>
    <w:rsid w:val="00E945E0"/>
    <w:rsid w:val="00E945FB"/>
    <w:rsid w:val="00E9462A"/>
    <w:rsid w:val="00E94632"/>
    <w:rsid w:val="00E9463D"/>
    <w:rsid w:val="00E94650"/>
    <w:rsid w:val="00E94659"/>
    <w:rsid w:val="00E94670"/>
    <w:rsid w:val="00E94687"/>
    <w:rsid w:val="00E946AD"/>
    <w:rsid w:val="00E9474B"/>
    <w:rsid w:val="00E9478A"/>
    <w:rsid w:val="00E947B5"/>
    <w:rsid w:val="00E947D7"/>
    <w:rsid w:val="00E9480B"/>
    <w:rsid w:val="00E9481E"/>
    <w:rsid w:val="00E94820"/>
    <w:rsid w:val="00E94826"/>
    <w:rsid w:val="00E9484B"/>
    <w:rsid w:val="00E9485E"/>
    <w:rsid w:val="00E9485F"/>
    <w:rsid w:val="00E94866"/>
    <w:rsid w:val="00E94883"/>
    <w:rsid w:val="00E9488B"/>
    <w:rsid w:val="00E9488C"/>
    <w:rsid w:val="00E948A3"/>
    <w:rsid w:val="00E948D9"/>
    <w:rsid w:val="00E94905"/>
    <w:rsid w:val="00E9491B"/>
    <w:rsid w:val="00E94925"/>
    <w:rsid w:val="00E9493E"/>
    <w:rsid w:val="00E94942"/>
    <w:rsid w:val="00E949F1"/>
    <w:rsid w:val="00E949FC"/>
    <w:rsid w:val="00E94A0D"/>
    <w:rsid w:val="00E94A4E"/>
    <w:rsid w:val="00E94A54"/>
    <w:rsid w:val="00E94A5E"/>
    <w:rsid w:val="00E94A76"/>
    <w:rsid w:val="00E94AA1"/>
    <w:rsid w:val="00E94AB0"/>
    <w:rsid w:val="00E94AFF"/>
    <w:rsid w:val="00E94B1D"/>
    <w:rsid w:val="00E94B68"/>
    <w:rsid w:val="00E94BA9"/>
    <w:rsid w:val="00E94BBE"/>
    <w:rsid w:val="00E94BED"/>
    <w:rsid w:val="00E94C10"/>
    <w:rsid w:val="00E94C29"/>
    <w:rsid w:val="00E94C42"/>
    <w:rsid w:val="00E94C44"/>
    <w:rsid w:val="00E94C5F"/>
    <w:rsid w:val="00E94C62"/>
    <w:rsid w:val="00E94C6C"/>
    <w:rsid w:val="00E94C8A"/>
    <w:rsid w:val="00E94C8C"/>
    <w:rsid w:val="00E94CA8"/>
    <w:rsid w:val="00E94CAE"/>
    <w:rsid w:val="00E94CD8"/>
    <w:rsid w:val="00E94CF7"/>
    <w:rsid w:val="00E94D17"/>
    <w:rsid w:val="00E94DAB"/>
    <w:rsid w:val="00E94DB2"/>
    <w:rsid w:val="00E94DDC"/>
    <w:rsid w:val="00E94E03"/>
    <w:rsid w:val="00E94E0B"/>
    <w:rsid w:val="00E94E2E"/>
    <w:rsid w:val="00E94E3C"/>
    <w:rsid w:val="00E94EB3"/>
    <w:rsid w:val="00E94EC0"/>
    <w:rsid w:val="00E94ED3"/>
    <w:rsid w:val="00E94EEE"/>
    <w:rsid w:val="00E94F33"/>
    <w:rsid w:val="00E94F58"/>
    <w:rsid w:val="00E94F82"/>
    <w:rsid w:val="00E95001"/>
    <w:rsid w:val="00E9504A"/>
    <w:rsid w:val="00E95050"/>
    <w:rsid w:val="00E9505D"/>
    <w:rsid w:val="00E950B2"/>
    <w:rsid w:val="00E950D0"/>
    <w:rsid w:val="00E950F0"/>
    <w:rsid w:val="00E950F5"/>
    <w:rsid w:val="00E950FD"/>
    <w:rsid w:val="00E95223"/>
    <w:rsid w:val="00E9523C"/>
    <w:rsid w:val="00E95251"/>
    <w:rsid w:val="00E952C0"/>
    <w:rsid w:val="00E95304"/>
    <w:rsid w:val="00E95332"/>
    <w:rsid w:val="00E9535B"/>
    <w:rsid w:val="00E9537C"/>
    <w:rsid w:val="00E95385"/>
    <w:rsid w:val="00E953FF"/>
    <w:rsid w:val="00E9541F"/>
    <w:rsid w:val="00E95467"/>
    <w:rsid w:val="00E9547C"/>
    <w:rsid w:val="00E954B9"/>
    <w:rsid w:val="00E954D7"/>
    <w:rsid w:val="00E95504"/>
    <w:rsid w:val="00E9551C"/>
    <w:rsid w:val="00E95532"/>
    <w:rsid w:val="00E9556C"/>
    <w:rsid w:val="00E95575"/>
    <w:rsid w:val="00E95576"/>
    <w:rsid w:val="00E9557C"/>
    <w:rsid w:val="00E955EF"/>
    <w:rsid w:val="00E95615"/>
    <w:rsid w:val="00E95621"/>
    <w:rsid w:val="00E95670"/>
    <w:rsid w:val="00E95678"/>
    <w:rsid w:val="00E9567F"/>
    <w:rsid w:val="00E95692"/>
    <w:rsid w:val="00E956AE"/>
    <w:rsid w:val="00E956D4"/>
    <w:rsid w:val="00E956F7"/>
    <w:rsid w:val="00E95737"/>
    <w:rsid w:val="00E957FC"/>
    <w:rsid w:val="00E95872"/>
    <w:rsid w:val="00E9587A"/>
    <w:rsid w:val="00E95883"/>
    <w:rsid w:val="00E95890"/>
    <w:rsid w:val="00E958A7"/>
    <w:rsid w:val="00E958AA"/>
    <w:rsid w:val="00E958BD"/>
    <w:rsid w:val="00E958CA"/>
    <w:rsid w:val="00E95907"/>
    <w:rsid w:val="00E95940"/>
    <w:rsid w:val="00E95948"/>
    <w:rsid w:val="00E959BF"/>
    <w:rsid w:val="00E959D1"/>
    <w:rsid w:val="00E959DA"/>
    <w:rsid w:val="00E959EE"/>
    <w:rsid w:val="00E95A00"/>
    <w:rsid w:val="00E95A2C"/>
    <w:rsid w:val="00E95A4C"/>
    <w:rsid w:val="00E95A94"/>
    <w:rsid w:val="00E95ACF"/>
    <w:rsid w:val="00E95AD8"/>
    <w:rsid w:val="00E95B1E"/>
    <w:rsid w:val="00E95B27"/>
    <w:rsid w:val="00E95B37"/>
    <w:rsid w:val="00E95B43"/>
    <w:rsid w:val="00E95B5C"/>
    <w:rsid w:val="00E95B75"/>
    <w:rsid w:val="00E95BB4"/>
    <w:rsid w:val="00E95BB5"/>
    <w:rsid w:val="00E95BCF"/>
    <w:rsid w:val="00E95BEF"/>
    <w:rsid w:val="00E95BF3"/>
    <w:rsid w:val="00E95C15"/>
    <w:rsid w:val="00E95C4F"/>
    <w:rsid w:val="00E95C91"/>
    <w:rsid w:val="00E95CC3"/>
    <w:rsid w:val="00E95D07"/>
    <w:rsid w:val="00E95D3A"/>
    <w:rsid w:val="00E95D8D"/>
    <w:rsid w:val="00E95E04"/>
    <w:rsid w:val="00E95E6C"/>
    <w:rsid w:val="00E95E78"/>
    <w:rsid w:val="00E95E83"/>
    <w:rsid w:val="00E95EE3"/>
    <w:rsid w:val="00E95F7D"/>
    <w:rsid w:val="00E95FA9"/>
    <w:rsid w:val="00E95FD5"/>
    <w:rsid w:val="00E96025"/>
    <w:rsid w:val="00E9602E"/>
    <w:rsid w:val="00E9603F"/>
    <w:rsid w:val="00E96079"/>
    <w:rsid w:val="00E96098"/>
    <w:rsid w:val="00E960A5"/>
    <w:rsid w:val="00E960B3"/>
    <w:rsid w:val="00E96118"/>
    <w:rsid w:val="00E9617D"/>
    <w:rsid w:val="00E961BD"/>
    <w:rsid w:val="00E96241"/>
    <w:rsid w:val="00E962A1"/>
    <w:rsid w:val="00E962BC"/>
    <w:rsid w:val="00E962CE"/>
    <w:rsid w:val="00E962D8"/>
    <w:rsid w:val="00E96307"/>
    <w:rsid w:val="00E96308"/>
    <w:rsid w:val="00E9630E"/>
    <w:rsid w:val="00E96350"/>
    <w:rsid w:val="00E963AD"/>
    <w:rsid w:val="00E963D8"/>
    <w:rsid w:val="00E963DE"/>
    <w:rsid w:val="00E963E3"/>
    <w:rsid w:val="00E963E5"/>
    <w:rsid w:val="00E96429"/>
    <w:rsid w:val="00E96480"/>
    <w:rsid w:val="00E96499"/>
    <w:rsid w:val="00E96527"/>
    <w:rsid w:val="00E96533"/>
    <w:rsid w:val="00E965E4"/>
    <w:rsid w:val="00E9661E"/>
    <w:rsid w:val="00E96652"/>
    <w:rsid w:val="00E9668B"/>
    <w:rsid w:val="00E9669D"/>
    <w:rsid w:val="00E966B4"/>
    <w:rsid w:val="00E966E1"/>
    <w:rsid w:val="00E966E8"/>
    <w:rsid w:val="00E96700"/>
    <w:rsid w:val="00E9671A"/>
    <w:rsid w:val="00E9672D"/>
    <w:rsid w:val="00E96751"/>
    <w:rsid w:val="00E9675F"/>
    <w:rsid w:val="00E96796"/>
    <w:rsid w:val="00E967A3"/>
    <w:rsid w:val="00E9686F"/>
    <w:rsid w:val="00E96883"/>
    <w:rsid w:val="00E96899"/>
    <w:rsid w:val="00E968CF"/>
    <w:rsid w:val="00E968F3"/>
    <w:rsid w:val="00E96985"/>
    <w:rsid w:val="00E969FB"/>
    <w:rsid w:val="00E96A05"/>
    <w:rsid w:val="00E96A32"/>
    <w:rsid w:val="00E96A45"/>
    <w:rsid w:val="00E96A47"/>
    <w:rsid w:val="00E96A54"/>
    <w:rsid w:val="00E96A85"/>
    <w:rsid w:val="00E96A99"/>
    <w:rsid w:val="00E96AAF"/>
    <w:rsid w:val="00E96AF1"/>
    <w:rsid w:val="00E96B40"/>
    <w:rsid w:val="00E96B43"/>
    <w:rsid w:val="00E96B9B"/>
    <w:rsid w:val="00E96BB5"/>
    <w:rsid w:val="00E96BC6"/>
    <w:rsid w:val="00E96BD1"/>
    <w:rsid w:val="00E96BD2"/>
    <w:rsid w:val="00E96BD3"/>
    <w:rsid w:val="00E96C24"/>
    <w:rsid w:val="00E96CAD"/>
    <w:rsid w:val="00E96CC4"/>
    <w:rsid w:val="00E96CE4"/>
    <w:rsid w:val="00E96CEF"/>
    <w:rsid w:val="00E96D17"/>
    <w:rsid w:val="00E96D3C"/>
    <w:rsid w:val="00E96D83"/>
    <w:rsid w:val="00E96DA3"/>
    <w:rsid w:val="00E96DA5"/>
    <w:rsid w:val="00E96DF2"/>
    <w:rsid w:val="00E96E1B"/>
    <w:rsid w:val="00E96E34"/>
    <w:rsid w:val="00E96E3B"/>
    <w:rsid w:val="00E96E47"/>
    <w:rsid w:val="00E96E6E"/>
    <w:rsid w:val="00E96EA0"/>
    <w:rsid w:val="00E96EA7"/>
    <w:rsid w:val="00E96F02"/>
    <w:rsid w:val="00E96F14"/>
    <w:rsid w:val="00E96F3A"/>
    <w:rsid w:val="00E96F4E"/>
    <w:rsid w:val="00E96FA5"/>
    <w:rsid w:val="00E96FD6"/>
    <w:rsid w:val="00E9702A"/>
    <w:rsid w:val="00E97057"/>
    <w:rsid w:val="00E97061"/>
    <w:rsid w:val="00E97073"/>
    <w:rsid w:val="00E97095"/>
    <w:rsid w:val="00E970B0"/>
    <w:rsid w:val="00E970B8"/>
    <w:rsid w:val="00E970D2"/>
    <w:rsid w:val="00E970FD"/>
    <w:rsid w:val="00E97107"/>
    <w:rsid w:val="00E97118"/>
    <w:rsid w:val="00E97119"/>
    <w:rsid w:val="00E97120"/>
    <w:rsid w:val="00E97121"/>
    <w:rsid w:val="00E9712B"/>
    <w:rsid w:val="00E97145"/>
    <w:rsid w:val="00E971AC"/>
    <w:rsid w:val="00E971C7"/>
    <w:rsid w:val="00E9720E"/>
    <w:rsid w:val="00E97220"/>
    <w:rsid w:val="00E9727B"/>
    <w:rsid w:val="00E9729F"/>
    <w:rsid w:val="00E972B5"/>
    <w:rsid w:val="00E972D4"/>
    <w:rsid w:val="00E972D5"/>
    <w:rsid w:val="00E972FE"/>
    <w:rsid w:val="00E9731A"/>
    <w:rsid w:val="00E97343"/>
    <w:rsid w:val="00E97345"/>
    <w:rsid w:val="00E97363"/>
    <w:rsid w:val="00E9737D"/>
    <w:rsid w:val="00E9738A"/>
    <w:rsid w:val="00E97394"/>
    <w:rsid w:val="00E973C2"/>
    <w:rsid w:val="00E973EB"/>
    <w:rsid w:val="00E973F1"/>
    <w:rsid w:val="00E973F3"/>
    <w:rsid w:val="00E97406"/>
    <w:rsid w:val="00E97426"/>
    <w:rsid w:val="00E97482"/>
    <w:rsid w:val="00E97485"/>
    <w:rsid w:val="00E974B2"/>
    <w:rsid w:val="00E974B5"/>
    <w:rsid w:val="00E974B6"/>
    <w:rsid w:val="00E974E3"/>
    <w:rsid w:val="00E974EA"/>
    <w:rsid w:val="00E974ED"/>
    <w:rsid w:val="00E97513"/>
    <w:rsid w:val="00E97524"/>
    <w:rsid w:val="00E97538"/>
    <w:rsid w:val="00E97548"/>
    <w:rsid w:val="00E9756A"/>
    <w:rsid w:val="00E975B3"/>
    <w:rsid w:val="00E975B4"/>
    <w:rsid w:val="00E975C1"/>
    <w:rsid w:val="00E975F5"/>
    <w:rsid w:val="00E9760B"/>
    <w:rsid w:val="00E9766D"/>
    <w:rsid w:val="00E976AF"/>
    <w:rsid w:val="00E97749"/>
    <w:rsid w:val="00E9778D"/>
    <w:rsid w:val="00E977D7"/>
    <w:rsid w:val="00E977DC"/>
    <w:rsid w:val="00E977E6"/>
    <w:rsid w:val="00E9781B"/>
    <w:rsid w:val="00E97874"/>
    <w:rsid w:val="00E97882"/>
    <w:rsid w:val="00E978D5"/>
    <w:rsid w:val="00E978DE"/>
    <w:rsid w:val="00E978E3"/>
    <w:rsid w:val="00E97926"/>
    <w:rsid w:val="00E9793A"/>
    <w:rsid w:val="00E97986"/>
    <w:rsid w:val="00E979D5"/>
    <w:rsid w:val="00E979E1"/>
    <w:rsid w:val="00E97A4C"/>
    <w:rsid w:val="00E97A9A"/>
    <w:rsid w:val="00E97AB3"/>
    <w:rsid w:val="00E97AC8"/>
    <w:rsid w:val="00E97AD8"/>
    <w:rsid w:val="00E97ADB"/>
    <w:rsid w:val="00E97AFF"/>
    <w:rsid w:val="00E97B03"/>
    <w:rsid w:val="00E97B07"/>
    <w:rsid w:val="00E97B51"/>
    <w:rsid w:val="00E97B6C"/>
    <w:rsid w:val="00E97B76"/>
    <w:rsid w:val="00E97B9A"/>
    <w:rsid w:val="00E97BC4"/>
    <w:rsid w:val="00E97BD6"/>
    <w:rsid w:val="00E97C20"/>
    <w:rsid w:val="00E97C22"/>
    <w:rsid w:val="00E97C25"/>
    <w:rsid w:val="00E97C32"/>
    <w:rsid w:val="00E97C47"/>
    <w:rsid w:val="00E97C85"/>
    <w:rsid w:val="00E97CA8"/>
    <w:rsid w:val="00E97CE0"/>
    <w:rsid w:val="00E97CE3"/>
    <w:rsid w:val="00E97D04"/>
    <w:rsid w:val="00E97D2E"/>
    <w:rsid w:val="00E97D40"/>
    <w:rsid w:val="00E97D56"/>
    <w:rsid w:val="00E97D92"/>
    <w:rsid w:val="00E97D95"/>
    <w:rsid w:val="00E97D9B"/>
    <w:rsid w:val="00E97DCD"/>
    <w:rsid w:val="00E97E1B"/>
    <w:rsid w:val="00E97E28"/>
    <w:rsid w:val="00E97E7B"/>
    <w:rsid w:val="00E97E82"/>
    <w:rsid w:val="00E97E83"/>
    <w:rsid w:val="00E97E8E"/>
    <w:rsid w:val="00E97E90"/>
    <w:rsid w:val="00E97EA8"/>
    <w:rsid w:val="00E97EE2"/>
    <w:rsid w:val="00E97EEF"/>
    <w:rsid w:val="00E97F02"/>
    <w:rsid w:val="00E97F0F"/>
    <w:rsid w:val="00E97F11"/>
    <w:rsid w:val="00E97F18"/>
    <w:rsid w:val="00E97F88"/>
    <w:rsid w:val="00E97FD9"/>
    <w:rsid w:val="00EA0006"/>
    <w:rsid w:val="00EA0007"/>
    <w:rsid w:val="00EA0014"/>
    <w:rsid w:val="00EA0079"/>
    <w:rsid w:val="00EA009E"/>
    <w:rsid w:val="00EA00E7"/>
    <w:rsid w:val="00EA00EE"/>
    <w:rsid w:val="00EA00F0"/>
    <w:rsid w:val="00EA00FD"/>
    <w:rsid w:val="00EA0151"/>
    <w:rsid w:val="00EA01A0"/>
    <w:rsid w:val="00EA01AF"/>
    <w:rsid w:val="00EA01C4"/>
    <w:rsid w:val="00EA0215"/>
    <w:rsid w:val="00EA0233"/>
    <w:rsid w:val="00EA0257"/>
    <w:rsid w:val="00EA027C"/>
    <w:rsid w:val="00EA0412"/>
    <w:rsid w:val="00EA0440"/>
    <w:rsid w:val="00EA045C"/>
    <w:rsid w:val="00EA0488"/>
    <w:rsid w:val="00EA048E"/>
    <w:rsid w:val="00EA04B2"/>
    <w:rsid w:val="00EA050E"/>
    <w:rsid w:val="00EA052A"/>
    <w:rsid w:val="00EA055B"/>
    <w:rsid w:val="00EA0566"/>
    <w:rsid w:val="00EA05C0"/>
    <w:rsid w:val="00EA05CC"/>
    <w:rsid w:val="00EA05DB"/>
    <w:rsid w:val="00EA05E1"/>
    <w:rsid w:val="00EA0634"/>
    <w:rsid w:val="00EA0662"/>
    <w:rsid w:val="00EA06B5"/>
    <w:rsid w:val="00EA06D1"/>
    <w:rsid w:val="00EA06D3"/>
    <w:rsid w:val="00EA06DD"/>
    <w:rsid w:val="00EA06F5"/>
    <w:rsid w:val="00EA0740"/>
    <w:rsid w:val="00EA075D"/>
    <w:rsid w:val="00EA07A3"/>
    <w:rsid w:val="00EA07BD"/>
    <w:rsid w:val="00EA07E2"/>
    <w:rsid w:val="00EA07E7"/>
    <w:rsid w:val="00EA0835"/>
    <w:rsid w:val="00EA0867"/>
    <w:rsid w:val="00EA0882"/>
    <w:rsid w:val="00EA089E"/>
    <w:rsid w:val="00EA08AF"/>
    <w:rsid w:val="00EA08C4"/>
    <w:rsid w:val="00EA08D8"/>
    <w:rsid w:val="00EA08F0"/>
    <w:rsid w:val="00EA0973"/>
    <w:rsid w:val="00EA0982"/>
    <w:rsid w:val="00EA0983"/>
    <w:rsid w:val="00EA09F3"/>
    <w:rsid w:val="00EA0A03"/>
    <w:rsid w:val="00EA0A13"/>
    <w:rsid w:val="00EA0A14"/>
    <w:rsid w:val="00EA0A5D"/>
    <w:rsid w:val="00EA0A60"/>
    <w:rsid w:val="00EA0A9A"/>
    <w:rsid w:val="00EA0AC5"/>
    <w:rsid w:val="00EA0AD0"/>
    <w:rsid w:val="00EA0AEA"/>
    <w:rsid w:val="00EA0B0B"/>
    <w:rsid w:val="00EA0BBA"/>
    <w:rsid w:val="00EA0C2B"/>
    <w:rsid w:val="00EA0C2C"/>
    <w:rsid w:val="00EA0C58"/>
    <w:rsid w:val="00EA0C63"/>
    <w:rsid w:val="00EA0C70"/>
    <w:rsid w:val="00EA0C96"/>
    <w:rsid w:val="00EA0CD3"/>
    <w:rsid w:val="00EA0CF2"/>
    <w:rsid w:val="00EA0CF3"/>
    <w:rsid w:val="00EA0CF7"/>
    <w:rsid w:val="00EA0D33"/>
    <w:rsid w:val="00EA0D5D"/>
    <w:rsid w:val="00EA0D62"/>
    <w:rsid w:val="00EA0D65"/>
    <w:rsid w:val="00EA0DA5"/>
    <w:rsid w:val="00EA0DCD"/>
    <w:rsid w:val="00EA0DDB"/>
    <w:rsid w:val="00EA0E05"/>
    <w:rsid w:val="00EA0E1F"/>
    <w:rsid w:val="00EA0E9E"/>
    <w:rsid w:val="00EA0EA1"/>
    <w:rsid w:val="00EA0EA4"/>
    <w:rsid w:val="00EA0EDD"/>
    <w:rsid w:val="00EA0F0E"/>
    <w:rsid w:val="00EA0F55"/>
    <w:rsid w:val="00EA0F60"/>
    <w:rsid w:val="00EA0F70"/>
    <w:rsid w:val="00EA0F79"/>
    <w:rsid w:val="00EA0FAA"/>
    <w:rsid w:val="00EA0FAB"/>
    <w:rsid w:val="00EA0FB1"/>
    <w:rsid w:val="00EA0FDF"/>
    <w:rsid w:val="00EA1014"/>
    <w:rsid w:val="00EA1028"/>
    <w:rsid w:val="00EA107F"/>
    <w:rsid w:val="00EA10E5"/>
    <w:rsid w:val="00EA10F6"/>
    <w:rsid w:val="00EA10FD"/>
    <w:rsid w:val="00EA1107"/>
    <w:rsid w:val="00EA1109"/>
    <w:rsid w:val="00EA1110"/>
    <w:rsid w:val="00EA1151"/>
    <w:rsid w:val="00EA1157"/>
    <w:rsid w:val="00EA1162"/>
    <w:rsid w:val="00EA1185"/>
    <w:rsid w:val="00EA11C1"/>
    <w:rsid w:val="00EA1203"/>
    <w:rsid w:val="00EA1218"/>
    <w:rsid w:val="00EA123F"/>
    <w:rsid w:val="00EA1297"/>
    <w:rsid w:val="00EA12B1"/>
    <w:rsid w:val="00EA12BE"/>
    <w:rsid w:val="00EA12D5"/>
    <w:rsid w:val="00EA12EC"/>
    <w:rsid w:val="00EA12EE"/>
    <w:rsid w:val="00EA1316"/>
    <w:rsid w:val="00EA1334"/>
    <w:rsid w:val="00EA1337"/>
    <w:rsid w:val="00EA1367"/>
    <w:rsid w:val="00EA1389"/>
    <w:rsid w:val="00EA1390"/>
    <w:rsid w:val="00EA13A3"/>
    <w:rsid w:val="00EA13B5"/>
    <w:rsid w:val="00EA13B6"/>
    <w:rsid w:val="00EA13ED"/>
    <w:rsid w:val="00EA144C"/>
    <w:rsid w:val="00EA1465"/>
    <w:rsid w:val="00EA146C"/>
    <w:rsid w:val="00EA1476"/>
    <w:rsid w:val="00EA149B"/>
    <w:rsid w:val="00EA14B1"/>
    <w:rsid w:val="00EA151A"/>
    <w:rsid w:val="00EA1537"/>
    <w:rsid w:val="00EA159B"/>
    <w:rsid w:val="00EA15A5"/>
    <w:rsid w:val="00EA15C7"/>
    <w:rsid w:val="00EA15F3"/>
    <w:rsid w:val="00EA1659"/>
    <w:rsid w:val="00EA1674"/>
    <w:rsid w:val="00EA168E"/>
    <w:rsid w:val="00EA16A1"/>
    <w:rsid w:val="00EA16D3"/>
    <w:rsid w:val="00EA16DF"/>
    <w:rsid w:val="00EA1715"/>
    <w:rsid w:val="00EA1740"/>
    <w:rsid w:val="00EA1750"/>
    <w:rsid w:val="00EA1769"/>
    <w:rsid w:val="00EA176A"/>
    <w:rsid w:val="00EA177C"/>
    <w:rsid w:val="00EA179D"/>
    <w:rsid w:val="00EA17EB"/>
    <w:rsid w:val="00EA1801"/>
    <w:rsid w:val="00EA1802"/>
    <w:rsid w:val="00EA182E"/>
    <w:rsid w:val="00EA1839"/>
    <w:rsid w:val="00EA185E"/>
    <w:rsid w:val="00EA18EC"/>
    <w:rsid w:val="00EA18F7"/>
    <w:rsid w:val="00EA1945"/>
    <w:rsid w:val="00EA1972"/>
    <w:rsid w:val="00EA1A14"/>
    <w:rsid w:val="00EA1A25"/>
    <w:rsid w:val="00EA1A73"/>
    <w:rsid w:val="00EA1A90"/>
    <w:rsid w:val="00EA1ABA"/>
    <w:rsid w:val="00EA1B51"/>
    <w:rsid w:val="00EA1B66"/>
    <w:rsid w:val="00EA1B8F"/>
    <w:rsid w:val="00EA1BA5"/>
    <w:rsid w:val="00EA1BE9"/>
    <w:rsid w:val="00EA1C5F"/>
    <w:rsid w:val="00EA1C78"/>
    <w:rsid w:val="00EA1CA4"/>
    <w:rsid w:val="00EA1D01"/>
    <w:rsid w:val="00EA1D27"/>
    <w:rsid w:val="00EA1D61"/>
    <w:rsid w:val="00EA1D78"/>
    <w:rsid w:val="00EA1D9E"/>
    <w:rsid w:val="00EA1DB2"/>
    <w:rsid w:val="00EA1DD9"/>
    <w:rsid w:val="00EA1DE1"/>
    <w:rsid w:val="00EA1E0C"/>
    <w:rsid w:val="00EA1E17"/>
    <w:rsid w:val="00EA1E47"/>
    <w:rsid w:val="00EA1E58"/>
    <w:rsid w:val="00EA1E6A"/>
    <w:rsid w:val="00EA1EC8"/>
    <w:rsid w:val="00EA1EFA"/>
    <w:rsid w:val="00EA1F4F"/>
    <w:rsid w:val="00EA1F65"/>
    <w:rsid w:val="00EA1F6F"/>
    <w:rsid w:val="00EA2087"/>
    <w:rsid w:val="00EA20B2"/>
    <w:rsid w:val="00EA210C"/>
    <w:rsid w:val="00EA2113"/>
    <w:rsid w:val="00EA2129"/>
    <w:rsid w:val="00EA2131"/>
    <w:rsid w:val="00EA2132"/>
    <w:rsid w:val="00EA2159"/>
    <w:rsid w:val="00EA218C"/>
    <w:rsid w:val="00EA21A2"/>
    <w:rsid w:val="00EA21C2"/>
    <w:rsid w:val="00EA21E2"/>
    <w:rsid w:val="00EA21EF"/>
    <w:rsid w:val="00EA220A"/>
    <w:rsid w:val="00EA2227"/>
    <w:rsid w:val="00EA2255"/>
    <w:rsid w:val="00EA2260"/>
    <w:rsid w:val="00EA2295"/>
    <w:rsid w:val="00EA22DB"/>
    <w:rsid w:val="00EA22F3"/>
    <w:rsid w:val="00EA2358"/>
    <w:rsid w:val="00EA2364"/>
    <w:rsid w:val="00EA2367"/>
    <w:rsid w:val="00EA237C"/>
    <w:rsid w:val="00EA2384"/>
    <w:rsid w:val="00EA2397"/>
    <w:rsid w:val="00EA239F"/>
    <w:rsid w:val="00EA241D"/>
    <w:rsid w:val="00EA2438"/>
    <w:rsid w:val="00EA244B"/>
    <w:rsid w:val="00EA247D"/>
    <w:rsid w:val="00EA2491"/>
    <w:rsid w:val="00EA2492"/>
    <w:rsid w:val="00EA24C6"/>
    <w:rsid w:val="00EA24E2"/>
    <w:rsid w:val="00EA24E8"/>
    <w:rsid w:val="00EA2505"/>
    <w:rsid w:val="00EA250E"/>
    <w:rsid w:val="00EA2523"/>
    <w:rsid w:val="00EA2525"/>
    <w:rsid w:val="00EA2530"/>
    <w:rsid w:val="00EA254B"/>
    <w:rsid w:val="00EA2564"/>
    <w:rsid w:val="00EA257C"/>
    <w:rsid w:val="00EA25B3"/>
    <w:rsid w:val="00EA25DE"/>
    <w:rsid w:val="00EA25F4"/>
    <w:rsid w:val="00EA267F"/>
    <w:rsid w:val="00EA268E"/>
    <w:rsid w:val="00EA26AA"/>
    <w:rsid w:val="00EA2733"/>
    <w:rsid w:val="00EA2750"/>
    <w:rsid w:val="00EA2758"/>
    <w:rsid w:val="00EA2770"/>
    <w:rsid w:val="00EA27A1"/>
    <w:rsid w:val="00EA27AC"/>
    <w:rsid w:val="00EA2821"/>
    <w:rsid w:val="00EA2825"/>
    <w:rsid w:val="00EA2831"/>
    <w:rsid w:val="00EA2903"/>
    <w:rsid w:val="00EA2915"/>
    <w:rsid w:val="00EA2917"/>
    <w:rsid w:val="00EA291A"/>
    <w:rsid w:val="00EA2994"/>
    <w:rsid w:val="00EA29A7"/>
    <w:rsid w:val="00EA29AB"/>
    <w:rsid w:val="00EA29BF"/>
    <w:rsid w:val="00EA29CF"/>
    <w:rsid w:val="00EA29F4"/>
    <w:rsid w:val="00EA2A20"/>
    <w:rsid w:val="00EA2A68"/>
    <w:rsid w:val="00EA2A69"/>
    <w:rsid w:val="00EA2A7E"/>
    <w:rsid w:val="00EA2AAC"/>
    <w:rsid w:val="00EA2ACB"/>
    <w:rsid w:val="00EA2B07"/>
    <w:rsid w:val="00EA2B32"/>
    <w:rsid w:val="00EA2BA1"/>
    <w:rsid w:val="00EA2BDB"/>
    <w:rsid w:val="00EA2BE4"/>
    <w:rsid w:val="00EA2BFD"/>
    <w:rsid w:val="00EA2C51"/>
    <w:rsid w:val="00EA2C69"/>
    <w:rsid w:val="00EA2C6E"/>
    <w:rsid w:val="00EA2C90"/>
    <w:rsid w:val="00EA2C9D"/>
    <w:rsid w:val="00EA2CA3"/>
    <w:rsid w:val="00EA2CAD"/>
    <w:rsid w:val="00EA2CD9"/>
    <w:rsid w:val="00EA2CF9"/>
    <w:rsid w:val="00EA2D01"/>
    <w:rsid w:val="00EA2D03"/>
    <w:rsid w:val="00EA2D1B"/>
    <w:rsid w:val="00EA2D5F"/>
    <w:rsid w:val="00EA2D65"/>
    <w:rsid w:val="00EA2D6A"/>
    <w:rsid w:val="00EA2DA2"/>
    <w:rsid w:val="00EA2DC6"/>
    <w:rsid w:val="00EA2DD2"/>
    <w:rsid w:val="00EA2DFC"/>
    <w:rsid w:val="00EA2E2C"/>
    <w:rsid w:val="00EA2E3D"/>
    <w:rsid w:val="00EA2E69"/>
    <w:rsid w:val="00EA2E7F"/>
    <w:rsid w:val="00EA2EAE"/>
    <w:rsid w:val="00EA2EC4"/>
    <w:rsid w:val="00EA2ECD"/>
    <w:rsid w:val="00EA2F2F"/>
    <w:rsid w:val="00EA2F5B"/>
    <w:rsid w:val="00EA2FC3"/>
    <w:rsid w:val="00EA2FF6"/>
    <w:rsid w:val="00EA3010"/>
    <w:rsid w:val="00EA3049"/>
    <w:rsid w:val="00EA3070"/>
    <w:rsid w:val="00EA3077"/>
    <w:rsid w:val="00EA3090"/>
    <w:rsid w:val="00EA30CF"/>
    <w:rsid w:val="00EA30D2"/>
    <w:rsid w:val="00EA30FA"/>
    <w:rsid w:val="00EA3102"/>
    <w:rsid w:val="00EA310C"/>
    <w:rsid w:val="00EA3110"/>
    <w:rsid w:val="00EA3116"/>
    <w:rsid w:val="00EA3138"/>
    <w:rsid w:val="00EA3158"/>
    <w:rsid w:val="00EA31AE"/>
    <w:rsid w:val="00EA31DA"/>
    <w:rsid w:val="00EA31EB"/>
    <w:rsid w:val="00EA3212"/>
    <w:rsid w:val="00EA3277"/>
    <w:rsid w:val="00EA32B0"/>
    <w:rsid w:val="00EA32DA"/>
    <w:rsid w:val="00EA32DE"/>
    <w:rsid w:val="00EA32F9"/>
    <w:rsid w:val="00EA3311"/>
    <w:rsid w:val="00EA33B3"/>
    <w:rsid w:val="00EA33B9"/>
    <w:rsid w:val="00EA33D0"/>
    <w:rsid w:val="00EA33E8"/>
    <w:rsid w:val="00EA341D"/>
    <w:rsid w:val="00EA348E"/>
    <w:rsid w:val="00EA3496"/>
    <w:rsid w:val="00EA34A9"/>
    <w:rsid w:val="00EA34FC"/>
    <w:rsid w:val="00EA3556"/>
    <w:rsid w:val="00EA3568"/>
    <w:rsid w:val="00EA35C4"/>
    <w:rsid w:val="00EA35DB"/>
    <w:rsid w:val="00EA35E9"/>
    <w:rsid w:val="00EA35EA"/>
    <w:rsid w:val="00EA362D"/>
    <w:rsid w:val="00EA3639"/>
    <w:rsid w:val="00EA3675"/>
    <w:rsid w:val="00EA3679"/>
    <w:rsid w:val="00EA3692"/>
    <w:rsid w:val="00EA3696"/>
    <w:rsid w:val="00EA36D5"/>
    <w:rsid w:val="00EA36D7"/>
    <w:rsid w:val="00EA36D8"/>
    <w:rsid w:val="00EA36DF"/>
    <w:rsid w:val="00EA36F0"/>
    <w:rsid w:val="00EA36FE"/>
    <w:rsid w:val="00EA36FF"/>
    <w:rsid w:val="00EA3700"/>
    <w:rsid w:val="00EA3726"/>
    <w:rsid w:val="00EA375B"/>
    <w:rsid w:val="00EA37BB"/>
    <w:rsid w:val="00EA37D3"/>
    <w:rsid w:val="00EA37DB"/>
    <w:rsid w:val="00EA37E6"/>
    <w:rsid w:val="00EA3803"/>
    <w:rsid w:val="00EA383D"/>
    <w:rsid w:val="00EA3851"/>
    <w:rsid w:val="00EA3868"/>
    <w:rsid w:val="00EA391A"/>
    <w:rsid w:val="00EA3949"/>
    <w:rsid w:val="00EA394C"/>
    <w:rsid w:val="00EA39A1"/>
    <w:rsid w:val="00EA39D0"/>
    <w:rsid w:val="00EA39E7"/>
    <w:rsid w:val="00EA3A11"/>
    <w:rsid w:val="00EA3A14"/>
    <w:rsid w:val="00EA3A57"/>
    <w:rsid w:val="00EA3A93"/>
    <w:rsid w:val="00EA3AA2"/>
    <w:rsid w:val="00EA3B27"/>
    <w:rsid w:val="00EA3B2E"/>
    <w:rsid w:val="00EA3B34"/>
    <w:rsid w:val="00EA3B35"/>
    <w:rsid w:val="00EA3B70"/>
    <w:rsid w:val="00EA3B8C"/>
    <w:rsid w:val="00EA3B90"/>
    <w:rsid w:val="00EA3B96"/>
    <w:rsid w:val="00EA3C77"/>
    <w:rsid w:val="00EA3C97"/>
    <w:rsid w:val="00EA3CA0"/>
    <w:rsid w:val="00EA3CC7"/>
    <w:rsid w:val="00EA3CF7"/>
    <w:rsid w:val="00EA3D0C"/>
    <w:rsid w:val="00EA3D4A"/>
    <w:rsid w:val="00EA3D75"/>
    <w:rsid w:val="00EA3D8C"/>
    <w:rsid w:val="00EA3D95"/>
    <w:rsid w:val="00EA3DBB"/>
    <w:rsid w:val="00EA3DBC"/>
    <w:rsid w:val="00EA3DCF"/>
    <w:rsid w:val="00EA3DDF"/>
    <w:rsid w:val="00EA3DE4"/>
    <w:rsid w:val="00EA3DF7"/>
    <w:rsid w:val="00EA3E0B"/>
    <w:rsid w:val="00EA3E11"/>
    <w:rsid w:val="00EA3E16"/>
    <w:rsid w:val="00EA3E4F"/>
    <w:rsid w:val="00EA3E51"/>
    <w:rsid w:val="00EA3E75"/>
    <w:rsid w:val="00EA3EA1"/>
    <w:rsid w:val="00EA3EB0"/>
    <w:rsid w:val="00EA3EC8"/>
    <w:rsid w:val="00EA3ED3"/>
    <w:rsid w:val="00EA3EE7"/>
    <w:rsid w:val="00EA3EFD"/>
    <w:rsid w:val="00EA3F36"/>
    <w:rsid w:val="00EA3F37"/>
    <w:rsid w:val="00EA3F44"/>
    <w:rsid w:val="00EA3F99"/>
    <w:rsid w:val="00EA3FB9"/>
    <w:rsid w:val="00EA3FBE"/>
    <w:rsid w:val="00EA3FCE"/>
    <w:rsid w:val="00EA3FF5"/>
    <w:rsid w:val="00EA402B"/>
    <w:rsid w:val="00EA402F"/>
    <w:rsid w:val="00EA4042"/>
    <w:rsid w:val="00EA4045"/>
    <w:rsid w:val="00EA4085"/>
    <w:rsid w:val="00EA40B4"/>
    <w:rsid w:val="00EA40C0"/>
    <w:rsid w:val="00EA40C9"/>
    <w:rsid w:val="00EA40E6"/>
    <w:rsid w:val="00EA40ED"/>
    <w:rsid w:val="00EA411D"/>
    <w:rsid w:val="00EA412C"/>
    <w:rsid w:val="00EA413D"/>
    <w:rsid w:val="00EA4140"/>
    <w:rsid w:val="00EA4141"/>
    <w:rsid w:val="00EA4143"/>
    <w:rsid w:val="00EA4151"/>
    <w:rsid w:val="00EA4160"/>
    <w:rsid w:val="00EA4162"/>
    <w:rsid w:val="00EA4172"/>
    <w:rsid w:val="00EA4173"/>
    <w:rsid w:val="00EA41C2"/>
    <w:rsid w:val="00EA41E0"/>
    <w:rsid w:val="00EA41FF"/>
    <w:rsid w:val="00EA4212"/>
    <w:rsid w:val="00EA422E"/>
    <w:rsid w:val="00EA4238"/>
    <w:rsid w:val="00EA424C"/>
    <w:rsid w:val="00EA4252"/>
    <w:rsid w:val="00EA4270"/>
    <w:rsid w:val="00EA429C"/>
    <w:rsid w:val="00EA42B3"/>
    <w:rsid w:val="00EA4351"/>
    <w:rsid w:val="00EA4356"/>
    <w:rsid w:val="00EA435A"/>
    <w:rsid w:val="00EA4365"/>
    <w:rsid w:val="00EA437C"/>
    <w:rsid w:val="00EA4395"/>
    <w:rsid w:val="00EA439D"/>
    <w:rsid w:val="00EA43AF"/>
    <w:rsid w:val="00EA4400"/>
    <w:rsid w:val="00EA4435"/>
    <w:rsid w:val="00EA4442"/>
    <w:rsid w:val="00EA444A"/>
    <w:rsid w:val="00EA444E"/>
    <w:rsid w:val="00EA446A"/>
    <w:rsid w:val="00EA44AB"/>
    <w:rsid w:val="00EA44CC"/>
    <w:rsid w:val="00EA44CD"/>
    <w:rsid w:val="00EA44E3"/>
    <w:rsid w:val="00EA44F8"/>
    <w:rsid w:val="00EA4517"/>
    <w:rsid w:val="00EA4524"/>
    <w:rsid w:val="00EA4535"/>
    <w:rsid w:val="00EA453C"/>
    <w:rsid w:val="00EA4548"/>
    <w:rsid w:val="00EA454E"/>
    <w:rsid w:val="00EA455C"/>
    <w:rsid w:val="00EA4564"/>
    <w:rsid w:val="00EA4567"/>
    <w:rsid w:val="00EA4595"/>
    <w:rsid w:val="00EA45A8"/>
    <w:rsid w:val="00EA45B1"/>
    <w:rsid w:val="00EA45B6"/>
    <w:rsid w:val="00EA45C5"/>
    <w:rsid w:val="00EA45E3"/>
    <w:rsid w:val="00EA45E8"/>
    <w:rsid w:val="00EA4603"/>
    <w:rsid w:val="00EA4610"/>
    <w:rsid w:val="00EA4640"/>
    <w:rsid w:val="00EA4644"/>
    <w:rsid w:val="00EA4665"/>
    <w:rsid w:val="00EA4695"/>
    <w:rsid w:val="00EA469C"/>
    <w:rsid w:val="00EA46BA"/>
    <w:rsid w:val="00EA46C4"/>
    <w:rsid w:val="00EA46D1"/>
    <w:rsid w:val="00EA4729"/>
    <w:rsid w:val="00EA4752"/>
    <w:rsid w:val="00EA47DD"/>
    <w:rsid w:val="00EA481A"/>
    <w:rsid w:val="00EA481D"/>
    <w:rsid w:val="00EA4828"/>
    <w:rsid w:val="00EA4868"/>
    <w:rsid w:val="00EA4883"/>
    <w:rsid w:val="00EA48AC"/>
    <w:rsid w:val="00EA48B6"/>
    <w:rsid w:val="00EA48C0"/>
    <w:rsid w:val="00EA490D"/>
    <w:rsid w:val="00EA496C"/>
    <w:rsid w:val="00EA4977"/>
    <w:rsid w:val="00EA4986"/>
    <w:rsid w:val="00EA49A6"/>
    <w:rsid w:val="00EA49A9"/>
    <w:rsid w:val="00EA49B0"/>
    <w:rsid w:val="00EA49BF"/>
    <w:rsid w:val="00EA49C0"/>
    <w:rsid w:val="00EA4A1E"/>
    <w:rsid w:val="00EA4A26"/>
    <w:rsid w:val="00EA4A45"/>
    <w:rsid w:val="00EA4A49"/>
    <w:rsid w:val="00EA4A55"/>
    <w:rsid w:val="00EA4A66"/>
    <w:rsid w:val="00EA4A80"/>
    <w:rsid w:val="00EA4AEB"/>
    <w:rsid w:val="00EA4AF3"/>
    <w:rsid w:val="00EA4B81"/>
    <w:rsid w:val="00EA4B9A"/>
    <w:rsid w:val="00EA4BAD"/>
    <w:rsid w:val="00EA4BDF"/>
    <w:rsid w:val="00EA4BF1"/>
    <w:rsid w:val="00EA4C16"/>
    <w:rsid w:val="00EA4C1D"/>
    <w:rsid w:val="00EA4C5C"/>
    <w:rsid w:val="00EA4C7A"/>
    <w:rsid w:val="00EA4C8C"/>
    <w:rsid w:val="00EA4C98"/>
    <w:rsid w:val="00EA4CDD"/>
    <w:rsid w:val="00EA4D05"/>
    <w:rsid w:val="00EA4D49"/>
    <w:rsid w:val="00EA4D56"/>
    <w:rsid w:val="00EA4D5D"/>
    <w:rsid w:val="00EA4DAB"/>
    <w:rsid w:val="00EA4DAF"/>
    <w:rsid w:val="00EA4DB9"/>
    <w:rsid w:val="00EA4DBE"/>
    <w:rsid w:val="00EA4DC5"/>
    <w:rsid w:val="00EA4DF3"/>
    <w:rsid w:val="00EA4DF5"/>
    <w:rsid w:val="00EA4DFF"/>
    <w:rsid w:val="00EA4E1D"/>
    <w:rsid w:val="00EA4E68"/>
    <w:rsid w:val="00EA4E7D"/>
    <w:rsid w:val="00EA4E8C"/>
    <w:rsid w:val="00EA4E92"/>
    <w:rsid w:val="00EA4EA3"/>
    <w:rsid w:val="00EA4ED2"/>
    <w:rsid w:val="00EA4F29"/>
    <w:rsid w:val="00EA4F56"/>
    <w:rsid w:val="00EA4F5F"/>
    <w:rsid w:val="00EA4F70"/>
    <w:rsid w:val="00EA4F71"/>
    <w:rsid w:val="00EA4F7A"/>
    <w:rsid w:val="00EA4FAB"/>
    <w:rsid w:val="00EA4FCF"/>
    <w:rsid w:val="00EA4FEC"/>
    <w:rsid w:val="00EA4FF6"/>
    <w:rsid w:val="00EA500C"/>
    <w:rsid w:val="00EA5017"/>
    <w:rsid w:val="00EA503A"/>
    <w:rsid w:val="00EA5052"/>
    <w:rsid w:val="00EA5074"/>
    <w:rsid w:val="00EA50B6"/>
    <w:rsid w:val="00EA50D9"/>
    <w:rsid w:val="00EA50DB"/>
    <w:rsid w:val="00EA5101"/>
    <w:rsid w:val="00EA510E"/>
    <w:rsid w:val="00EA511A"/>
    <w:rsid w:val="00EA5121"/>
    <w:rsid w:val="00EA5140"/>
    <w:rsid w:val="00EA516F"/>
    <w:rsid w:val="00EA5170"/>
    <w:rsid w:val="00EA5190"/>
    <w:rsid w:val="00EA51A3"/>
    <w:rsid w:val="00EA51A7"/>
    <w:rsid w:val="00EA51CA"/>
    <w:rsid w:val="00EA51CD"/>
    <w:rsid w:val="00EA5205"/>
    <w:rsid w:val="00EA5221"/>
    <w:rsid w:val="00EA522B"/>
    <w:rsid w:val="00EA5230"/>
    <w:rsid w:val="00EA523E"/>
    <w:rsid w:val="00EA5253"/>
    <w:rsid w:val="00EA525F"/>
    <w:rsid w:val="00EA5263"/>
    <w:rsid w:val="00EA5279"/>
    <w:rsid w:val="00EA527E"/>
    <w:rsid w:val="00EA5292"/>
    <w:rsid w:val="00EA5298"/>
    <w:rsid w:val="00EA52C1"/>
    <w:rsid w:val="00EA52C2"/>
    <w:rsid w:val="00EA52C8"/>
    <w:rsid w:val="00EA5363"/>
    <w:rsid w:val="00EA539D"/>
    <w:rsid w:val="00EA53AB"/>
    <w:rsid w:val="00EA544C"/>
    <w:rsid w:val="00EA5471"/>
    <w:rsid w:val="00EA547A"/>
    <w:rsid w:val="00EA5493"/>
    <w:rsid w:val="00EA54B9"/>
    <w:rsid w:val="00EA54BE"/>
    <w:rsid w:val="00EA54D5"/>
    <w:rsid w:val="00EA54D9"/>
    <w:rsid w:val="00EA54F0"/>
    <w:rsid w:val="00EA5507"/>
    <w:rsid w:val="00EA5515"/>
    <w:rsid w:val="00EA5543"/>
    <w:rsid w:val="00EA554C"/>
    <w:rsid w:val="00EA556C"/>
    <w:rsid w:val="00EA558E"/>
    <w:rsid w:val="00EA5629"/>
    <w:rsid w:val="00EA562F"/>
    <w:rsid w:val="00EA5631"/>
    <w:rsid w:val="00EA5639"/>
    <w:rsid w:val="00EA5648"/>
    <w:rsid w:val="00EA5673"/>
    <w:rsid w:val="00EA56C4"/>
    <w:rsid w:val="00EA572F"/>
    <w:rsid w:val="00EA5746"/>
    <w:rsid w:val="00EA5749"/>
    <w:rsid w:val="00EA5757"/>
    <w:rsid w:val="00EA5785"/>
    <w:rsid w:val="00EA57B3"/>
    <w:rsid w:val="00EA57C2"/>
    <w:rsid w:val="00EA583A"/>
    <w:rsid w:val="00EA583C"/>
    <w:rsid w:val="00EA5840"/>
    <w:rsid w:val="00EA58A7"/>
    <w:rsid w:val="00EA5934"/>
    <w:rsid w:val="00EA593A"/>
    <w:rsid w:val="00EA593B"/>
    <w:rsid w:val="00EA594D"/>
    <w:rsid w:val="00EA5968"/>
    <w:rsid w:val="00EA5981"/>
    <w:rsid w:val="00EA598C"/>
    <w:rsid w:val="00EA59F5"/>
    <w:rsid w:val="00EA5A18"/>
    <w:rsid w:val="00EA5A27"/>
    <w:rsid w:val="00EA5A2B"/>
    <w:rsid w:val="00EA5A2E"/>
    <w:rsid w:val="00EA5A39"/>
    <w:rsid w:val="00EA5A51"/>
    <w:rsid w:val="00EA5A9C"/>
    <w:rsid w:val="00EA5AE4"/>
    <w:rsid w:val="00EA5AEA"/>
    <w:rsid w:val="00EA5B1F"/>
    <w:rsid w:val="00EA5B24"/>
    <w:rsid w:val="00EA5B67"/>
    <w:rsid w:val="00EA5BBB"/>
    <w:rsid w:val="00EA5BCD"/>
    <w:rsid w:val="00EA5C14"/>
    <w:rsid w:val="00EA5C1E"/>
    <w:rsid w:val="00EA5C71"/>
    <w:rsid w:val="00EA5C78"/>
    <w:rsid w:val="00EA5CC0"/>
    <w:rsid w:val="00EA5CF8"/>
    <w:rsid w:val="00EA5D14"/>
    <w:rsid w:val="00EA5D1C"/>
    <w:rsid w:val="00EA5D24"/>
    <w:rsid w:val="00EA5D46"/>
    <w:rsid w:val="00EA5D6E"/>
    <w:rsid w:val="00EA5D7B"/>
    <w:rsid w:val="00EA5E70"/>
    <w:rsid w:val="00EA5E76"/>
    <w:rsid w:val="00EA5E92"/>
    <w:rsid w:val="00EA5E93"/>
    <w:rsid w:val="00EA5F31"/>
    <w:rsid w:val="00EA5F57"/>
    <w:rsid w:val="00EA5F5A"/>
    <w:rsid w:val="00EA5F85"/>
    <w:rsid w:val="00EA6083"/>
    <w:rsid w:val="00EA60AA"/>
    <w:rsid w:val="00EA60B1"/>
    <w:rsid w:val="00EA6140"/>
    <w:rsid w:val="00EA6199"/>
    <w:rsid w:val="00EA61E5"/>
    <w:rsid w:val="00EA622E"/>
    <w:rsid w:val="00EA626F"/>
    <w:rsid w:val="00EA6295"/>
    <w:rsid w:val="00EA6298"/>
    <w:rsid w:val="00EA62C5"/>
    <w:rsid w:val="00EA62E2"/>
    <w:rsid w:val="00EA62EA"/>
    <w:rsid w:val="00EA6323"/>
    <w:rsid w:val="00EA6327"/>
    <w:rsid w:val="00EA632F"/>
    <w:rsid w:val="00EA635C"/>
    <w:rsid w:val="00EA636B"/>
    <w:rsid w:val="00EA63CE"/>
    <w:rsid w:val="00EA6406"/>
    <w:rsid w:val="00EA6408"/>
    <w:rsid w:val="00EA643D"/>
    <w:rsid w:val="00EA6461"/>
    <w:rsid w:val="00EA64B8"/>
    <w:rsid w:val="00EA64C9"/>
    <w:rsid w:val="00EA64CE"/>
    <w:rsid w:val="00EA64CF"/>
    <w:rsid w:val="00EA6504"/>
    <w:rsid w:val="00EA6571"/>
    <w:rsid w:val="00EA658A"/>
    <w:rsid w:val="00EA65B3"/>
    <w:rsid w:val="00EA65DA"/>
    <w:rsid w:val="00EA6600"/>
    <w:rsid w:val="00EA663D"/>
    <w:rsid w:val="00EA6682"/>
    <w:rsid w:val="00EA66DF"/>
    <w:rsid w:val="00EA674B"/>
    <w:rsid w:val="00EA675F"/>
    <w:rsid w:val="00EA6792"/>
    <w:rsid w:val="00EA6794"/>
    <w:rsid w:val="00EA6873"/>
    <w:rsid w:val="00EA6878"/>
    <w:rsid w:val="00EA6899"/>
    <w:rsid w:val="00EA68C3"/>
    <w:rsid w:val="00EA6928"/>
    <w:rsid w:val="00EA6956"/>
    <w:rsid w:val="00EA697F"/>
    <w:rsid w:val="00EA6981"/>
    <w:rsid w:val="00EA69E5"/>
    <w:rsid w:val="00EA69ED"/>
    <w:rsid w:val="00EA6A3D"/>
    <w:rsid w:val="00EA6A7B"/>
    <w:rsid w:val="00EA6A87"/>
    <w:rsid w:val="00EA6A9B"/>
    <w:rsid w:val="00EA6AA4"/>
    <w:rsid w:val="00EA6AAA"/>
    <w:rsid w:val="00EA6AAF"/>
    <w:rsid w:val="00EA6ABA"/>
    <w:rsid w:val="00EA6ADD"/>
    <w:rsid w:val="00EA6AFC"/>
    <w:rsid w:val="00EA6B18"/>
    <w:rsid w:val="00EA6B75"/>
    <w:rsid w:val="00EA6B7B"/>
    <w:rsid w:val="00EA6B88"/>
    <w:rsid w:val="00EA6B98"/>
    <w:rsid w:val="00EA6BAD"/>
    <w:rsid w:val="00EA6BF3"/>
    <w:rsid w:val="00EA6C23"/>
    <w:rsid w:val="00EA6C47"/>
    <w:rsid w:val="00EA6C9D"/>
    <w:rsid w:val="00EA6CBE"/>
    <w:rsid w:val="00EA6CF0"/>
    <w:rsid w:val="00EA6D04"/>
    <w:rsid w:val="00EA6D0D"/>
    <w:rsid w:val="00EA6D5D"/>
    <w:rsid w:val="00EA6D7C"/>
    <w:rsid w:val="00EA6D84"/>
    <w:rsid w:val="00EA6DA2"/>
    <w:rsid w:val="00EA6DA7"/>
    <w:rsid w:val="00EA6DE8"/>
    <w:rsid w:val="00EA6E8B"/>
    <w:rsid w:val="00EA7053"/>
    <w:rsid w:val="00EA70B1"/>
    <w:rsid w:val="00EA70D3"/>
    <w:rsid w:val="00EA70D9"/>
    <w:rsid w:val="00EA70E0"/>
    <w:rsid w:val="00EA70FA"/>
    <w:rsid w:val="00EA7123"/>
    <w:rsid w:val="00EA7132"/>
    <w:rsid w:val="00EA7137"/>
    <w:rsid w:val="00EA717E"/>
    <w:rsid w:val="00EA7210"/>
    <w:rsid w:val="00EA721F"/>
    <w:rsid w:val="00EA7240"/>
    <w:rsid w:val="00EA7249"/>
    <w:rsid w:val="00EA7257"/>
    <w:rsid w:val="00EA726D"/>
    <w:rsid w:val="00EA72DF"/>
    <w:rsid w:val="00EA72E5"/>
    <w:rsid w:val="00EA72E9"/>
    <w:rsid w:val="00EA72F4"/>
    <w:rsid w:val="00EA7301"/>
    <w:rsid w:val="00EA7325"/>
    <w:rsid w:val="00EA732A"/>
    <w:rsid w:val="00EA7349"/>
    <w:rsid w:val="00EA737A"/>
    <w:rsid w:val="00EA7397"/>
    <w:rsid w:val="00EA73AB"/>
    <w:rsid w:val="00EA73D0"/>
    <w:rsid w:val="00EA73DA"/>
    <w:rsid w:val="00EA73F4"/>
    <w:rsid w:val="00EA7404"/>
    <w:rsid w:val="00EA740D"/>
    <w:rsid w:val="00EA7429"/>
    <w:rsid w:val="00EA7437"/>
    <w:rsid w:val="00EA744F"/>
    <w:rsid w:val="00EA747F"/>
    <w:rsid w:val="00EA7488"/>
    <w:rsid w:val="00EA748D"/>
    <w:rsid w:val="00EA74F6"/>
    <w:rsid w:val="00EA754E"/>
    <w:rsid w:val="00EA7553"/>
    <w:rsid w:val="00EA7591"/>
    <w:rsid w:val="00EA75E2"/>
    <w:rsid w:val="00EA75E6"/>
    <w:rsid w:val="00EA75E8"/>
    <w:rsid w:val="00EA75F0"/>
    <w:rsid w:val="00EA760B"/>
    <w:rsid w:val="00EA7636"/>
    <w:rsid w:val="00EA7648"/>
    <w:rsid w:val="00EA764F"/>
    <w:rsid w:val="00EA7672"/>
    <w:rsid w:val="00EA76C2"/>
    <w:rsid w:val="00EA76E9"/>
    <w:rsid w:val="00EA7709"/>
    <w:rsid w:val="00EA7722"/>
    <w:rsid w:val="00EA7735"/>
    <w:rsid w:val="00EA7776"/>
    <w:rsid w:val="00EA7797"/>
    <w:rsid w:val="00EA779C"/>
    <w:rsid w:val="00EA7800"/>
    <w:rsid w:val="00EA7835"/>
    <w:rsid w:val="00EA7870"/>
    <w:rsid w:val="00EA787B"/>
    <w:rsid w:val="00EA7898"/>
    <w:rsid w:val="00EA78B3"/>
    <w:rsid w:val="00EA78E7"/>
    <w:rsid w:val="00EA7911"/>
    <w:rsid w:val="00EA7916"/>
    <w:rsid w:val="00EA792D"/>
    <w:rsid w:val="00EA795C"/>
    <w:rsid w:val="00EA7994"/>
    <w:rsid w:val="00EA7999"/>
    <w:rsid w:val="00EA79A0"/>
    <w:rsid w:val="00EA79BD"/>
    <w:rsid w:val="00EA79D6"/>
    <w:rsid w:val="00EA79F6"/>
    <w:rsid w:val="00EA7A1A"/>
    <w:rsid w:val="00EA7A25"/>
    <w:rsid w:val="00EA7A43"/>
    <w:rsid w:val="00EA7A4F"/>
    <w:rsid w:val="00EA7A80"/>
    <w:rsid w:val="00EA7A8E"/>
    <w:rsid w:val="00EA7AD6"/>
    <w:rsid w:val="00EA7AE2"/>
    <w:rsid w:val="00EA7AEC"/>
    <w:rsid w:val="00EA7B1E"/>
    <w:rsid w:val="00EA7B32"/>
    <w:rsid w:val="00EA7BA4"/>
    <w:rsid w:val="00EA7BDF"/>
    <w:rsid w:val="00EA7BE2"/>
    <w:rsid w:val="00EA7C40"/>
    <w:rsid w:val="00EA7C7E"/>
    <w:rsid w:val="00EA7CC1"/>
    <w:rsid w:val="00EA7CCA"/>
    <w:rsid w:val="00EA7CD9"/>
    <w:rsid w:val="00EA7CF0"/>
    <w:rsid w:val="00EA7D12"/>
    <w:rsid w:val="00EA7D15"/>
    <w:rsid w:val="00EA7D2A"/>
    <w:rsid w:val="00EA7D3B"/>
    <w:rsid w:val="00EA7D58"/>
    <w:rsid w:val="00EA7D73"/>
    <w:rsid w:val="00EA7E28"/>
    <w:rsid w:val="00EA7E3D"/>
    <w:rsid w:val="00EA7E5B"/>
    <w:rsid w:val="00EA7E75"/>
    <w:rsid w:val="00EA7EB0"/>
    <w:rsid w:val="00EA7EDB"/>
    <w:rsid w:val="00EA7EDC"/>
    <w:rsid w:val="00EA7F01"/>
    <w:rsid w:val="00EA7F30"/>
    <w:rsid w:val="00EA7F57"/>
    <w:rsid w:val="00EA7F67"/>
    <w:rsid w:val="00EA7F88"/>
    <w:rsid w:val="00EA7FD3"/>
    <w:rsid w:val="00EA7FEB"/>
    <w:rsid w:val="00EB0040"/>
    <w:rsid w:val="00EB00A2"/>
    <w:rsid w:val="00EB00B2"/>
    <w:rsid w:val="00EB00BC"/>
    <w:rsid w:val="00EB00E1"/>
    <w:rsid w:val="00EB00FE"/>
    <w:rsid w:val="00EB0111"/>
    <w:rsid w:val="00EB0117"/>
    <w:rsid w:val="00EB014B"/>
    <w:rsid w:val="00EB015E"/>
    <w:rsid w:val="00EB016D"/>
    <w:rsid w:val="00EB0171"/>
    <w:rsid w:val="00EB0175"/>
    <w:rsid w:val="00EB0176"/>
    <w:rsid w:val="00EB0181"/>
    <w:rsid w:val="00EB01A8"/>
    <w:rsid w:val="00EB01C8"/>
    <w:rsid w:val="00EB01EC"/>
    <w:rsid w:val="00EB01FB"/>
    <w:rsid w:val="00EB0201"/>
    <w:rsid w:val="00EB021B"/>
    <w:rsid w:val="00EB0224"/>
    <w:rsid w:val="00EB0286"/>
    <w:rsid w:val="00EB0295"/>
    <w:rsid w:val="00EB02B4"/>
    <w:rsid w:val="00EB02C1"/>
    <w:rsid w:val="00EB02CE"/>
    <w:rsid w:val="00EB02D8"/>
    <w:rsid w:val="00EB02DB"/>
    <w:rsid w:val="00EB0312"/>
    <w:rsid w:val="00EB0377"/>
    <w:rsid w:val="00EB0394"/>
    <w:rsid w:val="00EB03C1"/>
    <w:rsid w:val="00EB03E7"/>
    <w:rsid w:val="00EB03EA"/>
    <w:rsid w:val="00EB0408"/>
    <w:rsid w:val="00EB0424"/>
    <w:rsid w:val="00EB0426"/>
    <w:rsid w:val="00EB0427"/>
    <w:rsid w:val="00EB043B"/>
    <w:rsid w:val="00EB043C"/>
    <w:rsid w:val="00EB043E"/>
    <w:rsid w:val="00EB046F"/>
    <w:rsid w:val="00EB0487"/>
    <w:rsid w:val="00EB0492"/>
    <w:rsid w:val="00EB04AE"/>
    <w:rsid w:val="00EB04B4"/>
    <w:rsid w:val="00EB04BC"/>
    <w:rsid w:val="00EB04C3"/>
    <w:rsid w:val="00EB04C8"/>
    <w:rsid w:val="00EB052E"/>
    <w:rsid w:val="00EB0535"/>
    <w:rsid w:val="00EB0592"/>
    <w:rsid w:val="00EB05B8"/>
    <w:rsid w:val="00EB0634"/>
    <w:rsid w:val="00EB0660"/>
    <w:rsid w:val="00EB067E"/>
    <w:rsid w:val="00EB0684"/>
    <w:rsid w:val="00EB06C2"/>
    <w:rsid w:val="00EB06CA"/>
    <w:rsid w:val="00EB06DF"/>
    <w:rsid w:val="00EB06E8"/>
    <w:rsid w:val="00EB06EF"/>
    <w:rsid w:val="00EB071C"/>
    <w:rsid w:val="00EB072C"/>
    <w:rsid w:val="00EB074B"/>
    <w:rsid w:val="00EB0752"/>
    <w:rsid w:val="00EB0761"/>
    <w:rsid w:val="00EB076B"/>
    <w:rsid w:val="00EB078E"/>
    <w:rsid w:val="00EB0798"/>
    <w:rsid w:val="00EB0862"/>
    <w:rsid w:val="00EB0880"/>
    <w:rsid w:val="00EB089B"/>
    <w:rsid w:val="00EB08CB"/>
    <w:rsid w:val="00EB091A"/>
    <w:rsid w:val="00EB092E"/>
    <w:rsid w:val="00EB0977"/>
    <w:rsid w:val="00EB099C"/>
    <w:rsid w:val="00EB09B5"/>
    <w:rsid w:val="00EB09F7"/>
    <w:rsid w:val="00EB0A27"/>
    <w:rsid w:val="00EB0A57"/>
    <w:rsid w:val="00EB0A93"/>
    <w:rsid w:val="00EB0ACC"/>
    <w:rsid w:val="00EB0ADC"/>
    <w:rsid w:val="00EB0AED"/>
    <w:rsid w:val="00EB0B10"/>
    <w:rsid w:val="00EB0B38"/>
    <w:rsid w:val="00EB0B3F"/>
    <w:rsid w:val="00EB0B48"/>
    <w:rsid w:val="00EB0B75"/>
    <w:rsid w:val="00EB0B7C"/>
    <w:rsid w:val="00EB0B92"/>
    <w:rsid w:val="00EB0BA5"/>
    <w:rsid w:val="00EB0BB8"/>
    <w:rsid w:val="00EB0BC4"/>
    <w:rsid w:val="00EB0BD1"/>
    <w:rsid w:val="00EB0C4B"/>
    <w:rsid w:val="00EB0C5D"/>
    <w:rsid w:val="00EB0C6A"/>
    <w:rsid w:val="00EB0C6D"/>
    <w:rsid w:val="00EB0CFD"/>
    <w:rsid w:val="00EB0D0D"/>
    <w:rsid w:val="00EB0D6C"/>
    <w:rsid w:val="00EB0D8F"/>
    <w:rsid w:val="00EB0D95"/>
    <w:rsid w:val="00EB0DA6"/>
    <w:rsid w:val="00EB0DCA"/>
    <w:rsid w:val="00EB0DE8"/>
    <w:rsid w:val="00EB0E02"/>
    <w:rsid w:val="00EB0E43"/>
    <w:rsid w:val="00EB0E71"/>
    <w:rsid w:val="00EB0E75"/>
    <w:rsid w:val="00EB0E8F"/>
    <w:rsid w:val="00EB0EA2"/>
    <w:rsid w:val="00EB0EC4"/>
    <w:rsid w:val="00EB0EE6"/>
    <w:rsid w:val="00EB0F78"/>
    <w:rsid w:val="00EB0FB9"/>
    <w:rsid w:val="00EB0FBD"/>
    <w:rsid w:val="00EB100D"/>
    <w:rsid w:val="00EB1051"/>
    <w:rsid w:val="00EB1055"/>
    <w:rsid w:val="00EB1078"/>
    <w:rsid w:val="00EB1082"/>
    <w:rsid w:val="00EB108F"/>
    <w:rsid w:val="00EB10CC"/>
    <w:rsid w:val="00EB115D"/>
    <w:rsid w:val="00EB1187"/>
    <w:rsid w:val="00EB1197"/>
    <w:rsid w:val="00EB11B6"/>
    <w:rsid w:val="00EB11E8"/>
    <w:rsid w:val="00EB11F5"/>
    <w:rsid w:val="00EB11FF"/>
    <w:rsid w:val="00EB122B"/>
    <w:rsid w:val="00EB123E"/>
    <w:rsid w:val="00EB127F"/>
    <w:rsid w:val="00EB12B9"/>
    <w:rsid w:val="00EB12C0"/>
    <w:rsid w:val="00EB12EF"/>
    <w:rsid w:val="00EB1328"/>
    <w:rsid w:val="00EB1380"/>
    <w:rsid w:val="00EB1388"/>
    <w:rsid w:val="00EB13FE"/>
    <w:rsid w:val="00EB1407"/>
    <w:rsid w:val="00EB141F"/>
    <w:rsid w:val="00EB145A"/>
    <w:rsid w:val="00EB1473"/>
    <w:rsid w:val="00EB1475"/>
    <w:rsid w:val="00EB149A"/>
    <w:rsid w:val="00EB14AC"/>
    <w:rsid w:val="00EB151C"/>
    <w:rsid w:val="00EB15A6"/>
    <w:rsid w:val="00EB15BE"/>
    <w:rsid w:val="00EB15DD"/>
    <w:rsid w:val="00EB15F5"/>
    <w:rsid w:val="00EB1603"/>
    <w:rsid w:val="00EB1614"/>
    <w:rsid w:val="00EB161F"/>
    <w:rsid w:val="00EB1642"/>
    <w:rsid w:val="00EB1675"/>
    <w:rsid w:val="00EB1699"/>
    <w:rsid w:val="00EB1721"/>
    <w:rsid w:val="00EB1747"/>
    <w:rsid w:val="00EB1762"/>
    <w:rsid w:val="00EB17AB"/>
    <w:rsid w:val="00EB17BC"/>
    <w:rsid w:val="00EB17CF"/>
    <w:rsid w:val="00EB1807"/>
    <w:rsid w:val="00EB1827"/>
    <w:rsid w:val="00EB1856"/>
    <w:rsid w:val="00EB18DF"/>
    <w:rsid w:val="00EB18EC"/>
    <w:rsid w:val="00EB1918"/>
    <w:rsid w:val="00EB1981"/>
    <w:rsid w:val="00EB19EF"/>
    <w:rsid w:val="00EB1A09"/>
    <w:rsid w:val="00EB1A0C"/>
    <w:rsid w:val="00EB1A9F"/>
    <w:rsid w:val="00EB1ADB"/>
    <w:rsid w:val="00EB1AF6"/>
    <w:rsid w:val="00EB1B33"/>
    <w:rsid w:val="00EB1B84"/>
    <w:rsid w:val="00EB1BB5"/>
    <w:rsid w:val="00EB1BCE"/>
    <w:rsid w:val="00EB1BD4"/>
    <w:rsid w:val="00EB1BE4"/>
    <w:rsid w:val="00EB1BFA"/>
    <w:rsid w:val="00EB1C51"/>
    <w:rsid w:val="00EB1C52"/>
    <w:rsid w:val="00EB1C6B"/>
    <w:rsid w:val="00EB1C7E"/>
    <w:rsid w:val="00EB1D01"/>
    <w:rsid w:val="00EB1D1F"/>
    <w:rsid w:val="00EB1D37"/>
    <w:rsid w:val="00EB1DDA"/>
    <w:rsid w:val="00EB1DDB"/>
    <w:rsid w:val="00EB1DE7"/>
    <w:rsid w:val="00EB1E35"/>
    <w:rsid w:val="00EB1E48"/>
    <w:rsid w:val="00EB1EBE"/>
    <w:rsid w:val="00EB1ECA"/>
    <w:rsid w:val="00EB1ED2"/>
    <w:rsid w:val="00EB1EE6"/>
    <w:rsid w:val="00EB1EF1"/>
    <w:rsid w:val="00EB1F13"/>
    <w:rsid w:val="00EB1F18"/>
    <w:rsid w:val="00EB1F31"/>
    <w:rsid w:val="00EB1F75"/>
    <w:rsid w:val="00EB1FA4"/>
    <w:rsid w:val="00EB1FBA"/>
    <w:rsid w:val="00EB2012"/>
    <w:rsid w:val="00EB202D"/>
    <w:rsid w:val="00EB2030"/>
    <w:rsid w:val="00EB205E"/>
    <w:rsid w:val="00EB2079"/>
    <w:rsid w:val="00EB2162"/>
    <w:rsid w:val="00EB2164"/>
    <w:rsid w:val="00EB217C"/>
    <w:rsid w:val="00EB2195"/>
    <w:rsid w:val="00EB21E4"/>
    <w:rsid w:val="00EB21E7"/>
    <w:rsid w:val="00EB21FE"/>
    <w:rsid w:val="00EB2200"/>
    <w:rsid w:val="00EB2202"/>
    <w:rsid w:val="00EB222A"/>
    <w:rsid w:val="00EB222F"/>
    <w:rsid w:val="00EB2230"/>
    <w:rsid w:val="00EB2237"/>
    <w:rsid w:val="00EB22A1"/>
    <w:rsid w:val="00EB22A5"/>
    <w:rsid w:val="00EB22BD"/>
    <w:rsid w:val="00EB22CE"/>
    <w:rsid w:val="00EB22DA"/>
    <w:rsid w:val="00EB22E8"/>
    <w:rsid w:val="00EB2314"/>
    <w:rsid w:val="00EB234C"/>
    <w:rsid w:val="00EB23E2"/>
    <w:rsid w:val="00EB2424"/>
    <w:rsid w:val="00EB245E"/>
    <w:rsid w:val="00EB2498"/>
    <w:rsid w:val="00EB24AA"/>
    <w:rsid w:val="00EB24D3"/>
    <w:rsid w:val="00EB2501"/>
    <w:rsid w:val="00EB250D"/>
    <w:rsid w:val="00EB254F"/>
    <w:rsid w:val="00EB2562"/>
    <w:rsid w:val="00EB2573"/>
    <w:rsid w:val="00EB25A3"/>
    <w:rsid w:val="00EB25A9"/>
    <w:rsid w:val="00EB25F6"/>
    <w:rsid w:val="00EB2649"/>
    <w:rsid w:val="00EB2676"/>
    <w:rsid w:val="00EB26B2"/>
    <w:rsid w:val="00EB26D4"/>
    <w:rsid w:val="00EB26F6"/>
    <w:rsid w:val="00EB26FC"/>
    <w:rsid w:val="00EB2732"/>
    <w:rsid w:val="00EB2740"/>
    <w:rsid w:val="00EB2741"/>
    <w:rsid w:val="00EB278F"/>
    <w:rsid w:val="00EB27A7"/>
    <w:rsid w:val="00EB27AF"/>
    <w:rsid w:val="00EB27DD"/>
    <w:rsid w:val="00EB27FA"/>
    <w:rsid w:val="00EB284B"/>
    <w:rsid w:val="00EB284C"/>
    <w:rsid w:val="00EB288B"/>
    <w:rsid w:val="00EB291B"/>
    <w:rsid w:val="00EB291C"/>
    <w:rsid w:val="00EB294A"/>
    <w:rsid w:val="00EB2997"/>
    <w:rsid w:val="00EB29D3"/>
    <w:rsid w:val="00EB29DC"/>
    <w:rsid w:val="00EB2A74"/>
    <w:rsid w:val="00EB2A9D"/>
    <w:rsid w:val="00EB2AC4"/>
    <w:rsid w:val="00EB2ADC"/>
    <w:rsid w:val="00EB2B2A"/>
    <w:rsid w:val="00EB2B2E"/>
    <w:rsid w:val="00EB2BC3"/>
    <w:rsid w:val="00EB2C0B"/>
    <w:rsid w:val="00EB2C47"/>
    <w:rsid w:val="00EB2C91"/>
    <w:rsid w:val="00EB2C9F"/>
    <w:rsid w:val="00EB2CA7"/>
    <w:rsid w:val="00EB2CB2"/>
    <w:rsid w:val="00EB2CB5"/>
    <w:rsid w:val="00EB2CCC"/>
    <w:rsid w:val="00EB2CDD"/>
    <w:rsid w:val="00EB2D23"/>
    <w:rsid w:val="00EB2D24"/>
    <w:rsid w:val="00EB2D2D"/>
    <w:rsid w:val="00EB2D3E"/>
    <w:rsid w:val="00EB2D61"/>
    <w:rsid w:val="00EB2D75"/>
    <w:rsid w:val="00EB2D81"/>
    <w:rsid w:val="00EB2D99"/>
    <w:rsid w:val="00EB2DAC"/>
    <w:rsid w:val="00EB2DE6"/>
    <w:rsid w:val="00EB2E2B"/>
    <w:rsid w:val="00EB2E58"/>
    <w:rsid w:val="00EB2EDD"/>
    <w:rsid w:val="00EB2FB9"/>
    <w:rsid w:val="00EB2FC0"/>
    <w:rsid w:val="00EB2FF2"/>
    <w:rsid w:val="00EB300E"/>
    <w:rsid w:val="00EB3087"/>
    <w:rsid w:val="00EB3089"/>
    <w:rsid w:val="00EB30F5"/>
    <w:rsid w:val="00EB30F9"/>
    <w:rsid w:val="00EB3156"/>
    <w:rsid w:val="00EB316C"/>
    <w:rsid w:val="00EB317E"/>
    <w:rsid w:val="00EB318C"/>
    <w:rsid w:val="00EB31B2"/>
    <w:rsid w:val="00EB31B7"/>
    <w:rsid w:val="00EB31E9"/>
    <w:rsid w:val="00EB31ED"/>
    <w:rsid w:val="00EB3221"/>
    <w:rsid w:val="00EB3256"/>
    <w:rsid w:val="00EB3263"/>
    <w:rsid w:val="00EB32BF"/>
    <w:rsid w:val="00EB32E9"/>
    <w:rsid w:val="00EB32F8"/>
    <w:rsid w:val="00EB3328"/>
    <w:rsid w:val="00EB334B"/>
    <w:rsid w:val="00EB336E"/>
    <w:rsid w:val="00EB3397"/>
    <w:rsid w:val="00EB33A2"/>
    <w:rsid w:val="00EB33D3"/>
    <w:rsid w:val="00EB33E3"/>
    <w:rsid w:val="00EB3435"/>
    <w:rsid w:val="00EB343B"/>
    <w:rsid w:val="00EB3441"/>
    <w:rsid w:val="00EB3456"/>
    <w:rsid w:val="00EB34B2"/>
    <w:rsid w:val="00EB34B6"/>
    <w:rsid w:val="00EB34C9"/>
    <w:rsid w:val="00EB34DA"/>
    <w:rsid w:val="00EB34DC"/>
    <w:rsid w:val="00EB34FE"/>
    <w:rsid w:val="00EB3567"/>
    <w:rsid w:val="00EB3578"/>
    <w:rsid w:val="00EB357A"/>
    <w:rsid w:val="00EB3588"/>
    <w:rsid w:val="00EB35AF"/>
    <w:rsid w:val="00EB35B5"/>
    <w:rsid w:val="00EB35CE"/>
    <w:rsid w:val="00EB35D0"/>
    <w:rsid w:val="00EB366A"/>
    <w:rsid w:val="00EB366E"/>
    <w:rsid w:val="00EB36ED"/>
    <w:rsid w:val="00EB3713"/>
    <w:rsid w:val="00EB3726"/>
    <w:rsid w:val="00EB373E"/>
    <w:rsid w:val="00EB3745"/>
    <w:rsid w:val="00EB374F"/>
    <w:rsid w:val="00EB3793"/>
    <w:rsid w:val="00EB37AC"/>
    <w:rsid w:val="00EB37BB"/>
    <w:rsid w:val="00EB37BD"/>
    <w:rsid w:val="00EB37C9"/>
    <w:rsid w:val="00EB37CC"/>
    <w:rsid w:val="00EB37F3"/>
    <w:rsid w:val="00EB381E"/>
    <w:rsid w:val="00EB3857"/>
    <w:rsid w:val="00EB387C"/>
    <w:rsid w:val="00EB38DA"/>
    <w:rsid w:val="00EB38EF"/>
    <w:rsid w:val="00EB391B"/>
    <w:rsid w:val="00EB3964"/>
    <w:rsid w:val="00EB398C"/>
    <w:rsid w:val="00EB39C7"/>
    <w:rsid w:val="00EB3A16"/>
    <w:rsid w:val="00EB3A26"/>
    <w:rsid w:val="00EB3A67"/>
    <w:rsid w:val="00EB3A73"/>
    <w:rsid w:val="00EB3A82"/>
    <w:rsid w:val="00EB3A90"/>
    <w:rsid w:val="00EB3B0B"/>
    <w:rsid w:val="00EB3B2A"/>
    <w:rsid w:val="00EB3B8A"/>
    <w:rsid w:val="00EB3BE8"/>
    <w:rsid w:val="00EB3C65"/>
    <w:rsid w:val="00EB3C81"/>
    <w:rsid w:val="00EB3CE4"/>
    <w:rsid w:val="00EB3CE6"/>
    <w:rsid w:val="00EB3CF3"/>
    <w:rsid w:val="00EB3CF5"/>
    <w:rsid w:val="00EB3CFD"/>
    <w:rsid w:val="00EB3D5E"/>
    <w:rsid w:val="00EB3DAA"/>
    <w:rsid w:val="00EB3E36"/>
    <w:rsid w:val="00EB3E3B"/>
    <w:rsid w:val="00EB3E73"/>
    <w:rsid w:val="00EB3E7A"/>
    <w:rsid w:val="00EB3E8B"/>
    <w:rsid w:val="00EB3ED5"/>
    <w:rsid w:val="00EB3F19"/>
    <w:rsid w:val="00EB3FA4"/>
    <w:rsid w:val="00EB4024"/>
    <w:rsid w:val="00EB403F"/>
    <w:rsid w:val="00EB4046"/>
    <w:rsid w:val="00EB404D"/>
    <w:rsid w:val="00EB4059"/>
    <w:rsid w:val="00EB40A0"/>
    <w:rsid w:val="00EB40B3"/>
    <w:rsid w:val="00EB40B8"/>
    <w:rsid w:val="00EB4109"/>
    <w:rsid w:val="00EB4145"/>
    <w:rsid w:val="00EB4189"/>
    <w:rsid w:val="00EB41D9"/>
    <w:rsid w:val="00EB4278"/>
    <w:rsid w:val="00EB427A"/>
    <w:rsid w:val="00EB430D"/>
    <w:rsid w:val="00EB432C"/>
    <w:rsid w:val="00EB434A"/>
    <w:rsid w:val="00EB4352"/>
    <w:rsid w:val="00EB438B"/>
    <w:rsid w:val="00EB4397"/>
    <w:rsid w:val="00EB439A"/>
    <w:rsid w:val="00EB43D6"/>
    <w:rsid w:val="00EB4400"/>
    <w:rsid w:val="00EB4449"/>
    <w:rsid w:val="00EB44A4"/>
    <w:rsid w:val="00EB44D0"/>
    <w:rsid w:val="00EB44DE"/>
    <w:rsid w:val="00EB4539"/>
    <w:rsid w:val="00EB4540"/>
    <w:rsid w:val="00EB4547"/>
    <w:rsid w:val="00EB4561"/>
    <w:rsid w:val="00EB456E"/>
    <w:rsid w:val="00EB457A"/>
    <w:rsid w:val="00EB459E"/>
    <w:rsid w:val="00EB45B7"/>
    <w:rsid w:val="00EB4655"/>
    <w:rsid w:val="00EB4660"/>
    <w:rsid w:val="00EB4661"/>
    <w:rsid w:val="00EB466C"/>
    <w:rsid w:val="00EB4671"/>
    <w:rsid w:val="00EB4692"/>
    <w:rsid w:val="00EB46ED"/>
    <w:rsid w:val="00EB46FB"/>
    <w:rsid w:val="00EB470C"/>
    <w:rsid w:val="00EB4759"/>
    <w:rsid w:val="00EB479F"/>
    <w:rsid w:val="00EB47AA"/>
    <w:rsid w:val="00EB47AC"/>
    <w:rsid w:val="00EB47B0"/>
    <w:rsid w:val="00EB4858"/>
    <w:rsid w:val="00EB4859"/>
    <w:rsid w:val="00EB4866"/>
    <w:rsid w:val="00EB48CA"/>
    <w:rsid w:val="00EB48E4"/>
    <w:rsid w:val="00EB48E8"/>
    <w:rsid w:val="00EB4983"/>
    <w:rsid w:val="00EB4992"/>
    <w:rsid w:val="00EB49DC"/>
    <w:rsid w:val="00EB49E7"/>
    <w:rsid w:val="00EB49EC"/>
    <w:rsid w:val="00EB49FF"/>
    <w:rsid w:val="00EB4A5B"/>
    <w:rsid w:val="00EB4ADB"/>
    <w:rsid w:val="00EB4AF2"/>
    <w:rsid w:val="00EB4AFD"/>
    <w:rsid w:val="00EB4B8A"/>
    <w:rsid w:val="00EB4B96"/>
    <w:rsid w:val="00EB4BEA"/>
    <w:rsid w:val="00EB4BF7"/>
    <w:rsid w:val="00EB4C0D"/>
    <w:rsid w:val="00EB4C1A"/>
    <w:rsid w:val="00EB4C44"/>
    <w:rsid w:val="00EB4C7E"/>
    <w:rsid w:val="00EB4CAC"/>
    <w:rsid w:val="00EB4CD5"/>
    <w:rsid w:val="00EB4CEF"/>
    <w:rsid w:val="00EB4D18"/>
    <w:rsid w:val="00EB4D4C"/>
    <w:rsid w:val="00EB4D70"/>
    <w:rsid w:val="00EB4D73"/>
    <w:rsid w:val="00EB4D9F"/>
    <w:rsid w:val="00EB4DB8"/>
    <w:rsid w:val="00EB4E34"/>
    <w:rsid w:val="00EB4E4B"/>
    <w:rsid w:val="00EB4E5F"/>
    <w:rsid w:val="00EB4E76"/>
    <w:rsid w:val="00EB4E97"/>
    <w:rsid w:val="00EB4EA1"/>
    <w:rsid w:val="00EB4EA2"/>
    <w:rsid w:val="00EB4EC0"/>
    <w:rsid w:val="00EB4ECB"/>
    <w:rsid w:val="00EB4EE7"/>
    <w:rsid w:val="00EB4F1D"/>
    <w:rsid w:val="00EB4F67"/>
    <w:rsid w:val="00EB4F7B"/>
    <w:rsid w:val="00EB4F84"/>
    <w:rsid w:val="00EB4F90"/>
    <w:rsid w:val="00EB500D"/>
    <w:rsid w:val="00EB5024"/>
    <w:rsid w:val="00EB504A"/>
    <w:rsid w:val="00EB5059"/>
    <w:rsid w:val="00EB506C"/>
    <w:rsid w:val="00EB50C6"/>
    <w:rsid w:val="00EB50D2"/>
    <w:rsid w:val="00EB50D9"/>
    <w:rsid w:val="00EB50E0"/>
    <w:rsid w:val="00EB510F"/>
    <w:rsid w:val="00EB517F"/>
    <w:rsid w:val="00EB51DC"/>
    <w:rsid w:val="00EB51E4"/>
    <w:rsid w:val="00EB5219"/>
    <w:rsid w:val="00EB524F"/>
    <w:rsid w:val="00EB52DD"/>
    <w:rsid w:val="00EB5336"/>
    <w:rsid w:val="00EB533F"/>
    <w:rsid w:val="00EB536E"/>
    <w:rsid w:val="00EB537D"/>
    <w:rsid w:val="00EB53A1"/>
    <w:rsid w:val="00EB53BD"/>
    <w:rsid w:val="00EB53D0"/>
    <w:rsid w:val="00EB5415"/>
    <w:rsid w:val="00EB543A"/>
    <w:rsid w:val="00EB544A"/>
    <w:rsid w:val="00EB5468"/>
    <w:rsid w:val="00EB5555"/>
    <w:rsid w:val="00EB5572"/>
    <w:rsid w:val="00EB558A"/>
    <w:rsid w:val="00EB5595"/>
    <w:rsid w:val="00EB55C3"/>
    <w:rsid w:val="00EB55EF"/>
    <w:rsid w:val="00EB5612"/>
    <w:rsid w:val="00EB56C2"/>
    <w:rsid w:val="00EB56F8"/>
    <w:rsid w:val="00EB5764"/>
    <w:rsid w:val="00EB577F"/>
    <w:rsid w:val="00EB57A4"/>
    <w:rsid w:val="00EB5810"/>
    <w:rsid w:val="00EB5815"/>
    <w:rsid w:val="00EB5826"/>
    <w:rsid w:val="00EB5861"/>
    <w:rsid w:val="00EB5862"/>
    <w:rsid w:val="00EB5883"/>
    <w:rsid w:val="00EB5884"/>
    <w:rsid w:val="00EB588A"/>
    <w:rsid w:val="00EB58CA"/>
    <w:rsid w:val="00EB58D5"/>
    <w:rsid w:val="00EB5919"/>
    <w:rsid w:val="00EB5929"/>
    <w:rsid w:val="00EB5953"/>
    <w:rsid w:val="00EB5954"/>
    <w:rsid w:val="00EB5963"/>
    <w:rsid w:val="00EB5999"/>
    <w:rsid w:val="00EB59A4"/>
    <w:rsid w:val="00EB59CD"/>
    <w:rsid w:val="00EB59D7"/>
    <w:rsid w:val="00EB59ED"/>
    <w:rsid w:val="00EB5A04"/>
    <w:rsid w:val="00EB5A35"/>
    <w:rsid w:val="00EB5A73"/>
    <w:rsid w:val="00EB5B0C"/>
    <w:rsid w:val="00EB5B18"/>
    <w:rsid w:val="00EB5B55"/>
    <w:rsid w:val="00EB5B5E"/>
    <w:rsid w:val="00EB5C62"/>
    <w:rsid w:val="00EB5CA8"/>
    <w:rsid w:val="00EB5CB8"/>
    <w:rsid w:val="00EB5CD7"/>
    <w:rsid w:val="00EB5D32"/>
    <w:rsid w:val="00EB5D4A"/>
    <w:rsid w:val="00EB5D86"/>
    <w:rsid w:val="00EB5D92"/>
    <w:rsid w:val="00EB5E49"/>
    <w:rsid w:val="00EB5E6E"/>
    <w:rsid w:val="00EB5E93"/>
    <w:rsid w:val="00EB5EC4"/>
    <w:rsid w:val="00EB5EC7"/>
    <w:rsid w:val="00EB5ECE"/>
    <w:rsid w:val="00EB5ED6"/>
    <w:rsid w:val="00EB5EEC"/>
    <w:rsid w:val="00EB5F29"/>
    <w:rsid w:val="00EB5F2D"/>
    <w:rsid w:val="00EB5F4B"/>
    <w:rsid w:val="00EB5F52"/>
    <w:rsid w:val="00EB5F98"/>
    <w:rsid w:val="00EB5FB6"/>
    <w:rsid w:val="00EB5FCC"/>
    <w:rsid w:val="00EB5FDC"/>
    <w:rsid w:val="00EB5FEE"/>
    <w:rsid w:val="00EB600B"/>
    <w:rsid w:val="00EB6028"/>
    <w:rsid w:val="00EB602D"/>
    <w:rsid w:val="00EB6033"/>
    <w:rsid w:val="00EB6047"/>
    <w:rsid w:val="00EB6061"/>
    <w:rsid w:val="00EB6062"/>
    <w:rsid w:val="00EB6065"/>
    <w:rsid w:val="00EB6082"/>
    <w:rsid w:val="00EB608D"/>
    <w:rsid w:val="00EB60AD"/>
    <w:rsid w:val="00EB6133"/>
    <w:rsid w:val="00EB613D"/>
    <w:rsid w:val="00EB616F"/>
    <w:rsid w:val="00EB61B8"/>
    <w:rsid w:val="00EB61CF"/>
    <w:rsid w:val="00EB6263"/>
    <w:rsid w:val="00EB6286"/>
    <w:rsid w:val="00EB62D6"/>
    <w:rsid w:val="00EB62D9"/>
    <w:rsid w:val="00EB62F2"/>
    <w:rsid w:val="00EB631C"/>
    <w:rsid w:val="00EB633C"/>
    <w:rsid w:val="00EB637F"/>
    <w:rsid w:val="00EB6382"/>
    <w:rsid w:val="00EB6386"/>
    <w:rsid w:val="00EB63A7"/>
    <w:rsid w:val="00EB63CA"/>
    <w:rsid w:val="00EB646B"/>
    <w:rsid w:val="00EB64B7"/>
    <w:rsid w:val="00EB64C7"/>
    <w:rsid w:val="00EB6507"/>
    <w:rsid w:val="00EB659C"/>
    <w:rsid w:val="00EB65C3"/>
    <w:rsid w:val="00EB65DF"/>
    <w:rsid w:val="00EB65F4"/>
    <w:rsid w:val="00EB662C"/>
    <w:rsid w:val="00EB664C"/>
    <w:rsid w:val="00EB6658"/>
    <w:rsid w:val="00EB668E"/>
    <w:rsid w:val="00EB66BC"/>
    <w:rsid w:val="00EB66FA"/>
    <w:rsid w:val="00EB67CD"/>
    <w:rsid w:val="00EB67FC"/>
    <w:rsid w:val="00EB680B"/>
    <w:rsid w:val="00EB683E"/>
    <w:rsid w:val="00EB6847"/>
    <w:rsid w:val="00EB6892"/>
    <w:rsid w:val="00EB68AD"/>
    <w:rsid w:val="00EB68AF"/>
    <w:rsid w:val="00EB68F4"/>
    <w:rsid w:val="00EB6903"/>
    <w:rsid w:val="00EB6925"/>
    <w:rsid w:val="00EB6939"/>
    <w:rsid w:val="00EB6941"/>
    <w:rsid w:val="00EB6986"/>
    <w:rsid w:val="00EB69BA"/>
    <w:rsid w:val="00EB69EE"/>
    <w:rsid w:val="00EB6A21"/>
    <w:rsid w:val="00EB6A34"/>
    <w:rsid w:val="00EB6A3E"/>
    <w:rsid w:val="00EB6A80"/>
    <w:rsid w:val="00EB6AB3"/>
    <w:rsid w:val="00EB6B05"/>
    <w:rsid w:val="00EB6B10"/>
    <w:rsid w:val="00EB6B18"/>
    <w:rsid w:val="00EB6B45"/>
    <w:rsid w:val="00EB6B4F"/>
    <w:rsid w:val="00EB6C54"/>
    <w:rsid w:val="00EB6C55"/>
    <w:rsid w:val="00EB6C68"/>
    <w:rsid w:val="00EB6D20"/>
    <w:rsid w:val="00EB6D65"/>
    <w:rsid w:val="00EB6D8C"/>
    <w:rsid w:val="00EB6DDE"/>
    <w:rsid w:val="00EB6E29"/>
    <w:rsid w:val="00EB6E59"/>
    <w:rsid w:val="00EB6E7B"/>
    <w:rsid w:val="00EB6E9D"/>
    <w:rsid w:val="00EB6EA8"/>
    <w:rsid w:val="00EB6EAE"/>
    <w:rsid w:val="00EB6EAF"/>
    <w:rsid w:val="00EB6EB4"/>
    <w:rsid w:val="00EB6EF6"/>
    <w:rsid w:val="00EB6F54"/>
    <w:rsid w:val="00EB6FED"/>
    <w:rsid w:val="00EB6FFE"/>
    <w:rsid w:val="00EB7014"/>
    <w:rsid w:val="00EB701B"/>
    <w:rsid w:val="00EB701C"/>
    <w:rsid w:val="00EB704C"/>
    <w:rsid w:val="00EB7053"/>
    <w:rsid w:val="00EB707B"/>
    <w:rsid w:val="00EB7087"/>
    <w:rsid w:val="00EB709D"/>
    <w:rsid w:val="00EB709E"/>
    <w:rsid w:val="00EB70DA"/>
    <w:rsid w:val="00EB70E8"/>
    <w:rsid w:val="00EB70F9"/>
    <w:rsid w:val="00EB712E"/>
    <w:rsid w:val="00EB7133"/>
    <w:rsid w:val="00EB7187"/>
    <w:rsid w:val="00EB71B3"/>
    <w:rsid w:val="00EB71F7"/>
    <w:rsid w:val="00EB7236"/>
    <w:rsid w:val="00EB7288"/>
    <w:rsid w:val="00EB72A3"/>
    <w:rsid w:val="00EB72EF"/>
    <w:rsid w:val="00EB7301"/>
    <w:rsid w:val="00EB7347"/>
    <w:rsid w:val="00EB7364"/>
    <w:rsid w:val="00EB73C4"/>
    <w:rsid w:val="00EB73CE"/>
    <w:rsid w:val="00EB73D4"/>
    <w:rsid w:val="00EB73D9"/>
    <w:rsid w:val="00EB73DE"/>
    <w:rsid w:val="00EB73E6"/>
    <w:rsid w:val="00EB7435"/>
    <w:rsid w:val="00EB7463"/>
    <w:rsid w:val="00EB750D"/>
    <w:rsid w:val="00EB751D"/>
    <w:rsid w:val="00EB7539"/>
    <w:rsid w:val="00EB7550"/>
    <w:rsid w:val="00EB7552"/>
    <w:rsid w:val="00EB755C"/>
    <w:rsid w:val="00EB755F"/>
    <w:rsid w:val="00EB7562"/>
    <w:rsid w:val="00EB7589"/>
    <w:rsid w:val="00EB75A5"/>
    <w:rsid w:val="00EB75AF"/>
    <w:rsid w:val="00EB7626"/>
    <w:rsid w:val="00EB7650"/>
    <w:rsid w:val="00EB76A1"/>
    <w:rsid w:val="00EB778E"/>
    <w:rsid w:val="00EB779D"/>
    <w:rsid w:val="00EB77CB"/>
    <w:rsid w:val="00EB77F9"/>
    <w:rsid w:val="00EB7817"/>
    <w:rsid w:val="00EB782B"/>
    <w:rsid w:val="00EB7858"/>
    <w:rsid w:val="00EB7878"/>
    <w:rsid w:val="00EB7887"/>
    <w:rsid w:val="00EB78F6"/>
    <w:rsid w:val="00EB7901"/>
    <w:rsid w:val="00EB7949"/>
    <w:rsid w:val="00EB794C"/>
    <w:rsid w:val="00EB7960"/>
    <w:rsid w:val="00EB7982"/>
    <w:rsid w:val="00EB7994"/>
    <w:rsid w:val="00EB79A6"/>
    <w:rsid w:val="00EB7A1A"/>
    <w:rsid w:val="00EB7A4F"/>
    <w:rsid w:val="00EB7A59"/>
    <w:rsid w:val="00EB7ABA"/>
    <w:rsid w:val="00EB7AC3"/>
    <w:rsid w:val="00EB7AEB"/>
    <w:rsid w:val="00EB7AEF"/>
    <w:rsid w:val="00EB7AFB"/>
    <w:rsid w:val="00EB7B11"/>
    <w:rsid w:val="00EB7B24"/>
    <w:rsid w:val="00EB7B7E"/>
    <w:rsid w:val="00EB7B84"/>
    <w:rsid w:val="00EB7BA1"/>
    <w:rsid w:val="00EB7BCD"/>
    <w:rsid w:val="00EB7BF4"/>
    <w:rsid w:val="00EB7C1A"/>
    <w:rsid w:val="00EB7C5C"/>
    <w:rsid w:val="00EB7C86"/>
    <w:rsid w:val="00EB7C8B"/>
    <w:rsid w:val="00EB7C9E"/>
    <w:rsid w:val="00EB7CA2"/>
    <w:rsid w:val="00EB7CB3"/>
    <w:rsid w:val="00EB7CE7"/>
    <w:rsid w:val="00EB7D11"/>
    <w:rsid w:val="00EB7D16"/>
    <w:rsid w:val="00EB7D31"/>
    <w:rsid w:val="00EB7D7B"/>
    <w:rsid w:val="00EB7D8B"/>
    <w:rsid w:val="00EB7DAF"/>
    <w:rsid w:val="00EB7E23"/>
    <w:rsid w:val="00EB7E38"/>
    <w:rsid w:val="00EB7E5E"/>
    <w:rsid w:val="00EB7E62"/>
    <w:rsid w:val="00EB7E78"/>
    <w:rsid w:val="00EB7E89"/>
    <w:rsid w:val="00EB7E8B"/>
    <w:rsid w:val="00EB7EC1"/>
    <w:rsid w:val="00EB7F15"/>
    <w:rsid w:val="00EB7F4D"/>
    <w:rsid w:val="00EB7F65"/>
    <w:rsid w:val="00EB7FC4"/>
    <w:rsid w:val="00EB7FF6"/>
    <w:rsid w:val="00EC0004"/>
    <w:rsid w:val="00EC0013"/>
    <w:rsid w:val="00EC0042"/>
    <w:rsid w:val="00EC006F"/>
    <w:rsid w:val="00EC0075"/>
    <w:rsid w:val="00EC00AE"/>
    <w:rsid w:val="00EC00E5"/>
    <w:rsid w:val="00EC00F5"/>
    <w:rsid w:val="00EC011A"/>
    <w:rsid w:val="00EC019F"/>
    <w:rsid w:val="00EC01CE"/>
    <w:rsid w:val="00EC01F4"/>
    <w:rsid w:val="00EC0204"/>
    <w:rsid w:val="00EC0246"/>
    <w:rsid w:val="00EC02AC"/>
    <w:rsid w:val="00EC02BB"/>
    <w:rsid w:val="00EC02CF"/>
    <w:rsid w:val="00EC02DA"/>
    <w:rsid w:val="00EC02FE"/>
    <w:rsid w:val="00EC0316"/>
    <w:rsid w:val="00EC032F"/>
    <w:rsid w:val="00EC038E"/>
    <w:rsid w:val="00EC03B4"/>
    <w:rsid w:val="00EC0430"/>
    <w:rsid w:val="00EC0452"/>
    <w:rsid w:val="00EC048D"/>
    <w:rsid w:val="00EC0495"/>
    <w:rsid w:val="00EC04B5"/>
    <w:rsid w:val="00EC04FD"/>
    <w:rsid w:val="00EC051D"/>
    <w:rsid w:val="00EC0549"/>
    <w:rsid w:val="00EC05A0"/>
    <w:rsid w:val="00EC05AB"/>
    <w:rsid w:val="00EC05D1"/>
    <w:rsid w:val="00EC05F2"/>
    <w:rsid w:val="00EC0649"/>
    <w:rsid w:val="00EC064C"/>
    <w:rsid w:val="00EC06B8"/>
    <w:rsid w:val="00EC06BE"/>
    <w:rsid w:val="00EC06E1"/>
    <w:rsid w:val="00EC0732"/>
    <w:rsid w:val="00EC073E"/>
    <w:rsid w:val="00EC0742"/>
    <w:rsid w:val="00EC076A"/>
    <w:rsid w:val="00EC0795"/>
    <w:rsid w:val="00EC07A8"/>
    <w:rsid w:val="00EC07DA"/>
    <w:rsid w:val="00EC07DE"/>
    <w:rsid w:val="00EC07EB"/>
    <w:rsid w:val="00EC07FF"/>
    <w:rsid w:val="00EC080B"/>
    <w:rsid w:val="00EC081C"/>
    <w:rsid w:val="00EC0856"/>
    <w:rsid w:val="00EC086D"/>
    <w:rsid w:val="00EC0872"/>
    <w:rsid w:val="00EC08E8"/>
    <w:rsid w:val="00EC08EF"/>
    <w:rsid w:val="00EC0976"/>
    <w:rsid w:val="00EC09A0"/>
    <w:rsid w:val="00EC09A2"/>
    <w:rsid w:val="00EC09CF"/>
    <w:rsid w:val="00EC09DB"/>
    <w:rsid w:val="00EC0A35"/>
    <w:rsid w:val="00EC0A5F"/>
    <w:rsid w:val="00EC0AA5"/>
    <w:rsid w:val="00EC0ACF"/>
    <w:rsid w:val="00EC0AD6"/>
    <w:rsid w:val="00EC0AE0"/>
    <w:rsid w:val="00EC0AE9"/>
    <w:rsid w:val="00EC0AFC"/>
    <w:rsid w:val="00EC0BE9"/>
    <w:rsid w:val="00EC0C19"/>
    <w:rsid w:val="00EC0C37"/>
    <w:rsid w:val="00EC0C55"/>
    <w:rsid w:val="00EC0C5D"/>
    <w:rsid w:val="00EC0C6C"/>
    <w:rsid w:val="00EC0C70"/>
    <w:rsid w:val="00EC0CA6"/>
    <w:rsid w:val="00EC0CA8"/>
    <w:rsid w:val="00EC0D05"/>
    <w:rsid w:val="00EC0D3A"/>
    <w:rsid w:val="00EC0D6F"/>
    <w:rsid w:val="00EC0D74"/>
    <w:rsid w:val="00EC0DDD"/>
    <w:rsid w:val="00EC0DEF"/>
    <w:rsid w:val="00EC0E09"/>
    <w:rsid w:val="00EC0E14"/>
    <w:rsid w:val="00EC0E2E"/>
    <w:rsid w:val="00EC0EB1"/>
    <w:rsid w:val="00EC0EE5"/>
    <w:rsid w:val="00EC0F12"/>
    <w:rsid w:val="00EC0F4D"/>
    <w:rsid w:val="00EC0F89"/>
    <w:rsid w:val="00EC0FC6"/>
    <w:rsid w:val="00EC0FDD"/>
    <w:rsid w:val="00EC0FE8"/>
    <w:rsid w:val="00EC1027"/>
    <w:rsid w:val="00EC1040"/>
    <w:rsid w:val="00EC1060"/>
    <w:rsid w:val="00EC107E"/>
    <w:rsid w:val="00EC1095"/>
    <w:rsid w:val="00EC10AD"/>
    <w:rsid w:val="00EC10B3"/>
    <w:rsid w:val="00EC10C5"/>
    <w:rsid w:val="00EC112E"/>
    <w:rsid w:val="00EC1154"/>
    <w:rsid w:val="00EC1172"/>
    <w:rsid w:val="00EC1173"/>
    <w:rsid w:val="00EC1175"/>
    <w:rsid w:val="00EC11D1"/>
    <w:rsid w:val="00EC11E5"/>
    <w:rsid w:val="00EC1222"/>
    <w:rsid w:val="00EC1244"/>
    <w:rsid w:val="00EC12A3"/>
    <w:rsid w:val="00EC12BB"/>
    <w:rsid w:val="00EC12D1"/>
    <w:rsid w:val="00EC12FE"/>
    <w:rsid w:val="00EC1302"/>
    <w:rsid w:val="00EC1338"/>
    <w:rsid w:val="00EC1353"/>
    <w:rsid w:val="00EC135A"/>
    <w:rsid w:val="00EC13B5"/>
    <w:rsid w:val="00EC13E2"/>
    <w:rsid w:val="00EC13EF"/>
    <w:rsid w:val="00EC148E"/>
    <w:rsid w:val="00EC152B"/>
    <w:rsid w:val="00EC1530"/>
    <w:rsid w:val="00EC1537"/>
    <w:rsid w:val="00EC153E"/>
    <w:rsid w:val="00EC1570"/>
    <w:rsid w:val="00EC1580"/>
    <w:rsid w:val="00EC1585"/>
    <w:rsid w:val="00EC15AC"/>
    <w:rsid w:val="00EC161C"/>
    <w:rsid w:val="00EC1646"/>
    <w:rsid w:val="00EC1677"/>
    <w:rsid w:val="00EC169E"/>
    <w:rsid w:val="00EC16EE"/>
    <w:rsid w:val="00EC16F3"/>
    <w:rsid w:val="00EC170E"/>
    <w:rsid w:val="00EC1715"/>
    <w:rsid w:val="00EC1721"/>
    <w:rsid w:val="00EC1736"/>
    <w:rsid w:val="00EC173A"/>
    <w:rsid w:val="00EC17AB"/>
    <w:rsid w:val="00EC17D2"/>
    <w:rsid w:val="00EC17F9"/>
    <w:rsid w:val="00EC1813"/>
    <w:rsid w:val="00EC181C"/>
    <w:rsid w:val="00EC1822"/>
    <w:rsid w:val="00EC185C"/>
    <w:rsid w:val="00EC1877"/>
    <w:rsid w:val="00EC187A"/>
    <w:rsid w:val="00EC189E"/>
    <w:rsid w:val="00EC18B9"/>
    <w:rsid w:val="00EC18F0"/>
    <w:rsid w:val="00EC1913"/>
    <w:rsid w:val="00EC19BB"/>
    <w:rsid w:val="00EC19C3"/>
    <w:rsid w:val="00EC1A63"/>
    <w:rsid w:val="00EC1A65"/>
    <w:rsid w:val="00EC1ACD"/>
    <w:rsid w:val="00EC1BAE"/>
    <w:rsid w:val="00EC1C04"/>
    <w:rsid w:val="00EC1C21"/>
    <w:rsid w:val="00EC1C38"/>
    <w:rsid w:val="00EC1C6F"/>
    <w:rsid w:val="00EC1C76"/>
    <w:rsid w:val="00EC1CBD"/>
    <w:rsid w:val="00EC1CCA"/>
    <w:rsid w:val="00EC1D03"/>
    <w:rsid w:val="00EC1D1A"/>
    <w:rsid w:val="00EC1D2B"/>
    <w:rsid w:val="00EC1D7C"/>
    <w:rsid w:val="00EC1DC5"/>
    <w:rsid w:val="00EC1DCB"/>
    <w:rsid w:val="00EC1DF6"/>
    <w:rsid w:val="00EC1E7B"/>
    <w:rsid w:val="00EC1EAA"/>
    <w:rsid w:val="00EC1EBF"/>
    <w:rsid w:val="00EC1ECB"/>
    <w:rsid w:val="00EC1ED4"/>
    <w:rsid w:val="00EC1EEA"/>
    <w:rsid w:val="00EC1EFB"/>
    <w:rsid w:val="00EC1F08"/>
    <w:rsid w:val="00EC1F3B"/>
    <w:rsid w:val="00EC1F94"/>
    <w:rsid w:val="00EC1FA6"/>
    <w:rsid w:val="00EC1FB8"/>
    <w:rsid w:val="00EC1FE2"/>
    <w:rsid w:val="00EC1FF1"/>
    <w:rsid w:val="00EC1FF9"/>
    <w:rsid w:val="00EC2084"/>
    <w:rsid w:val="00EC2092"/>
    <w:rsid w:val="00EC2098"/>
    <w:rsid w:val="00EC20B8"/>
    <w:rsid w:val="00EC20BA"/>
    <w:rsid w:val="00EC20C6"/>
    <w:rsid w:val="00EC20E3"/>
    <w:rsid w:val="00EC211E"/>
    <w:rsid w:val="00EC2123"/>
    <w:rsid w:val="00EC2125"/>
    <w:rsid w:val="00EC217D"/>
    <w:rsid w:val="00EC2190"/>
    <w:rsid w:val="00EC219F"/>
    <w:rsid w:val="00EC21C7"/>
    <w:rsid w:val="00EC221B"/>
    <w:rsid w:val="00EC223C"/>
    <w:rsid w:val="00EC2245"/>
    <w:rsid w:val="00EC2261"/>
    <w:rsid w:val="00EC2282"/>
    <w:rsid w:val="00EC22D5"/>
    <w:rsid w:val="00EC2308"/>
    <w:rsid w:val="00EC23A7"/>
    <w:rsid w:val="00EC23C3"/>
    <w:rsid w:val="00EC23D5"/>
    <w:rsid w:val="00EC23D8"/>
    <w:rsid w:val="00EC23E2"/>
    <w:rsid w:val="00EC23EF"/>
    <w:rsid w:val="00EC2475"/>
    <w:rsid w:val="00EC24A0"/>
    <w:rsid w:val="00EC24BD"/>
    <w:rsid w:val="00EC24DC"/>
    <w:rsid w:val="00EC24DD"/>
    <w:rsid w:val="00EC262B"/>
    <w:rsid w:val="00EC2674"/>
    <w:rsid w:val="00EC2676"/>
    <w:rsid w:val="00EC26B5"/>
    <w:rsid w:val="00EC26CA"/>
    <w:rsid w:val="00EC271F"/>
    <w:rsid w:val="00EC27C7"/>
    <w:rsid w:val="00EC27CF"/>
    <w:rsid w:val="00EC27F3"/>
    <w:rsid w:val="00EC2802"/>
    <w:rsid w:val="00EC280E"/>
    <w:rsid w:val="00EC2815"/>
    <w:rsid w:val="00EC2819"/>
    <w:rsid w:val="00EC2893"/>
    <w:rsid w:val="00EC28A7"/>
    <w:rsid w:val="00EC28CB"/>
    <w:rsid w:val="00EC28E1"/>
    <w:rsid w:val="00EC28EB"/>
    <w:rsid w:val="00EC28F4"/>
    <w:rsid w:val="00EC2904"/>
    <w:rsid w:val="00EC2954"/>
    <w:rsid w:val="00EC298B"/>
    <w:rsid w:val="00EC29C3"/>
    <w:rsid w:val="00EC29C7"/>
    <w:rsid w:val="00EC29DD"/>
    <w:rsid w:val="00EC29F7"/>
    <w:rsid w:val="00EC2A23"/>
    <w:rsid w:val="00EC2A3E"/>
    <w:rsid w:val="00EC2A8B"/>
    <w:rsid w:val="00EC2A96"/>
    <w:rsid w:val="00EC2A9A"/>
    <w:rsid w:val="00EC2AA4"/>
    <w:rsid w:val="00EC2ACE"/>
    <w:rsid w:val="00EC2B2B"/>
    <w:rsid w:val="00EC2B63"/>
    <w:rsid w:val="00EC2B64"/>
    <w:rsid w:val="00EC2BAB"/>
    <w:rsid w:val="00EC2BD3"/>
    <w:rsid w:val="00EC2BD7"/>
    <w:rsid w:val="00EC2BDD"/>
    <w:rsid w:val="00EC2BDF"/>
    <w:rsid w:val="00EC2BF7"/>
    <w:rsid w:val="00EC2C08"/>
    <w:rsid w:val="00EC2C57"/>
    <w:rsid w:val="00EC2C5B"/>
    <w:rsid w:val="00EC2C5E"/>
    <w:rsid w:val="00EC2C6E"/>
    <w:rsid w:val="00EC2C9F"/>
    <w:rsid w:val="00EC2CB0"/>
    <w:rsid w:val="00EC2CB3"/>
    <w:rsid w:val="00EC2CB4"/>
    <w:rsid w:val="00EC2D19"/>
    <w:rsid w:val="00EC2D1F"/>
    <w:rsid w:val="00EC2D21"/>
    <w:rsid w:val="00EC2D35"/>
    <w:rsid w:val="00EC2D97"/>
    <w:rsid w:val="00EC2DA1"/>
    <w:rsid w:val="00EC2DA3"/>
    <w:rsid w:val="00EC2DC9"/>
    <w:rsid w:val="00EC2E03"/>
    <w:rsid w:val="00EC2E29"/>
    <w:rsid w:val="00EC2E2D"/>
    <w:rsid w:val="00EC2E34"/>
    <w:rsid w:val="00EC2E62"/>
    <w:rsid w:val="00EC2E81"/>
    <w:rsid w:val="00EC2EA0"/>
    <w:rsid w:val="00EC2EEF"/>
    <w:rsid w:val="00EC2F17"/>
    <w:rsid w:val="00EC2F1A"/>
    <w:rsid w:val="00EC2F2C"/>
    <w:rsid w:val="00EC2F36"/>
    <w:rsid w:val="00EC2F4B"/>
    <w:rsid w:val="00EC2F5E"/>
    <w:rsid w:val="00EC2F92"/>
    <w:rsid w:val="00EC2F99"/>
    <w:rsid w:val="00EC2F9E"/>
    <w:rsid w:val="00EC2FC9"/>
    <w:rsid w:val="00EC3002"/>
    <w:rsid w:val="00EC3062"/>
    <w:rsid w:val="00EC3076"/>
    <w:rsid w:val="00EC307E"/>
    <w:rsid w:val="00EC3093"/>
    <w:rsid w:val="00EC30F4"/>
    <w:rsid w:val="00EC311B"/>
    <w:rsid w:val="00EC313F"/>
    <w:rsid w:val="00EC3151"/>
    <w:rsid w:val="00EC31C1"/>
    <w:rsid w:val="00EC31DD"/>
    <w:rsid w:val="00EC323C"/>
    <w:rsid w:val="00EC3248"/>
    <w:rsid w:val="00EC324F"/>
    <w:rsid w:val="00EC328D"/>
    <w:rsid w:val="00EC32EB"/>
    <w:rsid w:val="00EC33BA"/>
    <w:rsid w:val="00EC33F3"/>
    <w:rsid w:val="00EC347F"/>
    <w:rsid w:val="00EC3485"/>
    <w:rsid w:val="00EC34E6"/>
    <w:rsid w:val="00EC34F0"/>
    <w:rsid w:val="00EC34F1"/>
    <w:rsid w:val="00EC3510"/>
    <w:rsid w:val="00EC3549"/>
    <w:rsid w:val="00EC3574"/>
    <w:rsid w:val="00EC3576"/>
    <w:rsid w:val="00EC3591"/>
    <w:rsid w:val="00EC35B9"/>
    <w:rsid w:val="00EC35C2"/>
    <w:rsid w:val="00EC35C6"/>
    <w:rsid w:val="00EC35CC"/>
    <w:rsid w:val="00EC35EB"/>
    <w:rsid w:val="00EC35EE"/>
    <w:rsid w:val="00EC35FB"/>
    <w:rsid w:val="00EC3600"/>
    <w:rsid w:val="00EC3639"/>
    <w:rsid w:val="00EC364B"/>
    <w:rsid w:val="00EC366C"/>
    <w:rsid w:val="00EC368E"/>
    <w:rsid w:val="00EC3693"/>
    <w:rsid w:val="00EC36B2"/>
    <w:rsid w:val="00EC36B7"/>
    <w:rsid w:val="00EC36E4"/>
    <w:rsid w:val="00EC3734"/>
    <w:rsid w:val="00EC3741"/>
    <w:rsid w:val="00EC37B6"/>
    <w:rsid w:val="00EC37B9"/>
    <w:rsid w:val="00EC37FF"/>
    <w:rsid w:val="00EC380B"/>
    <w:rsid w:val="00EC382B"/>
    <w:rsid w:val="00EC383B"/>
    <w:rsid w:val="00EC38A2"/>
    <w:rsid w:val="00EC38DF"/>
    <w:rsid w:val="00EC38E4"/>
    <w:rsid w:val="00EC38EE"/>
    <w:rsid w:val="00EC3906"/>
    <w:rsid w:val="00EC391A"/>
    <w:rsid w:val="00EC394C"/>
    <w:rsid w:val="00EC3950"/>
    <w:rsid w:val="00EC3988"/>
    <w:rsid w:val="00EC398C"/>
    <w:rsid w:val="00EC39AD"/>
    <w:rsid w:val="00EC39C1"/>
    <w:rsid w:val="00EC3A24"/>
    <w:rsid w:val="00EC3A5A"/>
    <w:rsid w:val="00EC3A8A"/>
    <w:rsid w:val="00EC3A9A"/>
    <w:rsid w:val="00EC3AA6"/>
    <w:rsid w:val="00EC3AD0"/>
    <w:rsid w:val="00EC3B19"/>
    <w:rsid w:val="00EC3B54"/>
    <w:rsid w:val="00EC3B57"/>
    <w:rsid w:val="00EC3B74"/>
    <w:rsid w:val="00EC3B91"/>
    <w:rsid w:val="00EC3BD3"/>
    <w:rsid w:val="00EC3C0A"/>
    <w:rsid w:val="00EC3C74"/>
    <w:rsid w:val="00EC3C7D"/>
    <w:rsid w:val="00EC3CBF"/>
    <w:rsid w:val="00EC3CF8"/>
    <w:rsid w:val="00EC3CF9"/>
    <w:rsid w:val="00EC3D30"/>
    <w:rsid w:val="00EC3D47"/>
    <w:rsid w:val="00EC3D95"/>
    <w:rsid w:val="00EC3DA2"/>
    <w:rsid w:val="00EC3DD9"/>
    <w:rsid w:val="00EC3DED"/>
    <w:rsid w:val="00EC3E32"/>
    <w:rsid w:val="00EC3E42"/>
    <w:rsid w:val="00EC3EB3"/>
    <w:rsid w:val="00EC3EBA"/>
    <w:rsid w:val="00EC3ED8"/>
    <w:rsid w:val="00EC3EE7"/>
    <w:rsid w:val="00EC3F63"/>
    <w:rsid w:val="00EC3F8F"/>
    <w:rsid w:val="00EC3F91"/>
    <w:rsid w:val="00EC3FD6"/>
    <w:rsid w:val="00EC3FD9"/>
    <w:rsid w:val="00EC3FED"/>
    <w:rsid w:val="00EC4000"/>
    <w:rsid w:val="00EC4070"/>
    <w:rsid w:val="00EC4093"/>
    <w:rsid w:val="00EC4097"/>
    <w:rsid w:val="00EC40B8"/>
    <w:rsid w:val="00EC40C7"/>
    <w:rsid w:val="00EC41A2"/>
    <w:rsid w:val="00EC4214"/>
    <w:rsid w:val="00EC4226"/>
    <w:rsid w:val="00EC422C"/>
    <w:rsid w:val="00EC4234"/>
    <w:rsid w:val="00EC4240"/>
    <w:rsid w:val="00EC4245"/>
    <w:rsid w:val="00EC424A"/>
    <w:rsid w:val="00EC424E"/>
    <w:rsid w:val="00EC425B"/>
    <w:rsid w:val="00EC428F"/>
    <w:rsid w:val="00EC4292"/>
    <w:rsid w:val="00EC42C4"/>
    <w:rsid w:val="00EC42F8"/>
    <w:rsid w:val="00EC4300"/>
    <w:rsid w:val="00EC437B"/>
    <w:rsid w:val="00EC43BC"/>
    <w:rsid w:val="00EC43D4"/>
    <w:rsid w:val="00EC4408"/>
    <w:rsid w:val="00EC441D"/>
    <w:rsid w:val="00EC4431"/>
    <w:rsid w:val="00EC446B"/>
    <w:rsid w:val="00EC4479"/>
    <w:rsid w:val="00EC447D"/>
    <w:rsid w:val="00EC4482"/>
    <w:rsid w:val="00EC448A"/>
    <w:rsid w:val="00EC448F"/>
    <w:rsid w:val="00EC44A0"/>
    <w:rsid w:val="00EC44BF"/>
    <w:rsid w:val="00EC44D5"/>
    <w:rsid w:val="00EC44E4"/>
    <w:rsid w:val="00EC44E9"/>
    <w:rsid w:val="00EC4537"/>
    <w:rsid w:val="00EC453F"/>
    <w:rsid w:val="00EC4555"/>
    <w:rsid w:val="00EC4578"/>
    <w:rsid w:val="00EC458C"/>
    <w:rsid w:val="00EC4614"/>
    <w:rsid w:val="00EC4618"/>
    <w:rsid w:val="00EC461A"/>
    <w:rsid w:val="00EC4638"/>
    <w:rsid w:val="00EC4641"/>
    <w:rsid w:val="00EC466E"/>
    <w:rsid w:val="00EC4682"/>
    <w:rsid w:val="00EC46C8"/>
    <w:rsid w:val="00EC4706"/>
    <w:rsid w:val="00EC4715"/>
    <w:rsid w:val="00EC471C"/>
    <w:rsid w:val="00EC4730"/>
    <w:rsid w:val="00EC4735"/>
    <w:rsid w:val="00EC4769"/>
    <w:rsid w:val="00EC476B"/>
    <w:rsid w:val="00EC47AE"/>
    <w:rsid w:val="00EC4832"/>
    <w:rsid w:val="00EC4839"/>
    <w:rsid w:val="00EC484C"/>
    <w:rsid w:val="00EC485F"/>
    <w:rsid w:val="00EC4867"/>
    <w:rsid w:val="00EC4879"/>
    <w:rsid w:val="00EC48E7"/>
    <w:rsid w:val="00EC4910"/>
    <w:rsid w:val="00EC4919"/>
    <w:rsid w:val="00EC493F"/>
    <w:rsid w:val="00EC49D0"/>
    <w:rsid w:val="00EC4A1F"/>
    <w:rsid w:val="00EC4A2B"/>
    <w:rsid w:val="00EC4A30"/>
    <w:rsid w:val="00EC4A3F"/>
    <w:rsid w:val="00EC4A43"/>
    <w:rsid w:val="00EC4A46"/>
    <w:rsid w:val="00EC4A5B"/>
    <w:rsid w:val="00EC4A5D"/>
    <w:rsid w:val="00EC4A64"/>
    <w:rsid w:val="00EC4A6C"/>
    <w:rsid w:val="00EC4A76"/>
    <w:rsid w:val="00EC4A80"/>
    <w:rsid w:val="00EC4AC8"/>
    <w:rsid w:val="00EC4ADA"/>
    <w:rsid w:val="00EC4B04"/>
    <w:rsid w:val="00EC4B1C"/>
    <w:rsid w:val="00EC4B35"/>
    <w:rsid w:val="00EC4B83"/>
    <w:rsid w:val="00EC4BFE"/>
    <w:rsid w:val="00EC4C41"/>
    <w:rsid w:val="00EC4C4E"/>
    <w:rsid w:val="00EC4C6F"/>
    <w:rsid w:val="00EC4CA4"/>
    <w:rsid w:val="00EC4CCC"/>
    <w:rsid w:val="00EC4CD3"/>
    <w:rsid w:val="00EC4CE1"/>
    <w:rsid w:val="00EC4CE7"/>
    <w:rsid w:val="00EC4CF3"/>
    <w:rsid w:val="00EC4D15"/>
    <w:rsid w:val="00EC4D30"/>
    <w:rsid w:val="00EC4D3D"/>
    <w:rsid w:val="00EC4D61"/>
    <w:rsid w:val="00EC4DCA"/>
    <w:rsid w:val="00EC4DFD"/>
    <w:rsid w:val="00EC4E10"/>
    <w:rsid w:val="00EC4E1F"/>
    <w:rsid w:val="00EC4E22"/>
    <w:rsid w:val="00EC4E25"/>
    <w:rsid w:val="00EC4E4C"/>
    <w:rsid w:val="00EC4E4E"/>
    <w:rsid w:val="00EC4E70"/>
    <w:rsid w:val="00EC4E7C"/>
    <w:rsid w:val="00EC4E8A"/>
    <w:rsid w:val="00EC4ECE"/>
    <w:rsid w:val="00EC4ED9"/>
    <w:rsid w:val="00EC4EDB"/>
    <w:rsid w:val="00EC4EE5"/>
    <w:rsid w:val="00EC4F15"/>
    <w:rsid w:val="00EC4F22"/>
    <w:rsid w:val="00EC4F5B"/>
    <w:rsid w:val="00EC4F7C"/>
    <w:rsid w:val="00EC4FB3"/>
    <w:rsid w:val="00EC4FE0"/>
    <w:rsid w:val="00EC4FEC"/>
    <w:rsid w:val="00EC5024"/>
    <w:rsid w:val="00EC5048"/>
    <w:rsid w:val="00EC504A"/>
    <w:rsid w:val="00EC509D"/>
    <w:rsid w:val="00EC50C0"/>
    <w:rsid w:val="00EC50D2"/>
    <w:rsid w:val="00EC50F7"/>
    <w:rsid w:val="00EC5137"/>
    <w:rsid w:val="00EC5150"/>
    <w:rsid w:val="00EC5166"/>
    <w:rsid w:val="00EC5181"/>
    <w:rsid w:val="00EC51C5"/>
    <w:rsid w:val="00EC51D7"/>
    <w:rsid w:val="00EC51FF"/>
    <w:rsid w:val="00EC5224"/>
    <w:rsid w:val="00EC524F"/>
    <w:rsid w:val="00EC52A5"/>
    <w:rsid w:val="00EC52DA"/>
    <w:rsid w:val="00EC52FB"/>
    <w:rsid w:val="00EC5323"/>
    <w:rsid w:val="00EC533B"/>
    <w:rsid w:val="00EC534A"/>
    <w:rsid w:val="00EC5361"/>
    <w:rsid w:val="00EC5398"/>
    <w:rsid w:val="00EC5406"/>
    <w:rsid w:val="00EC5436"/>
    <w:rsid w:val="00EC5451"/>
    <w:rsid w:val="00EC5455"/>
    <w:rsid w:val="00EC5486"/>
    <w:rsid w:val="00EC54B5"/>
    <w:rsid w:val="00EC54C2"/>
    <w:rsid w:val="00EC54FF"/>
    <w:rsid w:val="00EC5549"/>
    <w:rsid w:val="00EC554B"/>
    <w:rsid w:val="00EC5579"/>
    <w:rsid w:val="00EC5585"/>
    <w:rsid w:val="00EC5652"/>
    <w:rsid w:val="00EC56DD"/>
    <w:rsid w:val="00EC56E9"/>
    <w:rsid w:val="00EC5709"/>
    <w:rsid w:val="00EC578F"/>
    <w:rsid w:val="00EC579A"/>
    <w:rsid w:val="00EC57B1"/>
    <w:rsid w:val="00EC57B9"/>
    <w:rsid w:val="00EC582E"/>
    <w:rsid w:val="00EC5833"/>
    <w:rsid w:val="00EC587B"/>
    <w:rsid w:val="00EC5893"/>
    <w:rsid w:val="00EC5898"/>
    <w:rsid w:val="00EC58AA"/>
    <w:rsid w:val="00EC58E0"/>
    <w:rsid w:val="00EC58F9"/>
    <w:rsid w:val="00EC590A"/>
    <w:rsid w:val="00EC5921"/>
    <w:rsid w:val="00EC597D"/>
    <w:rsid w:val="00EC59CA"/>
    <w:rsid w:val="00EC5A35"/>
    <w:rsid w:val="00EC5A45"/>
    <w:rsid w:val="00EC5A4C"/>
    <w:rsid w:val="00EC5A7E"/>
    <w:rsid w:val="00EC5AA3"/>
    <w:rsid w:val="00EC5AD0"/>
    <w:rsid w:val="00EC5ADF"/>
    <w:rsid w:val="00EC5B21"/>
    <w:rsid w:val="00EC5B55"/>
    <w:rsid w:val="00EC5BD9"/>
    <w:rsid w:val="00EC5BDD"/>
    <w:rsid w:val="00EC5BEB"/>
    <w:rsid w:val="00EC5C1E"/>
    <w:rsid w:val="00EC5C43"/>
    <w:rsid w:val="00EC5C46"/>
    <w:rsid w:val="00EC5C48"/>
    <w:rsid w:val="00EC5C55"/>
    <w:rsid w:val="00EC5C59"/>
    <w:rsid w:val="00EC5CD4"/>
    <w:rsid w:val="00EC5CEE"/>
    <w:rsid w:val="00EC5D08"/>
    <w:rsid w:val="00EC5D52"/>
    <w:rsid w:val="00EC5D57"/>
    <w:rsid w:val="00EC5D62"/>
    <w:rsid w:val="00EC5D8F"/>
    <w:rsid w:val="00EC5DAB"/>
    <w:rsid w:val="00EC5DBF"/>
    <w:rsid w:val="00EC5E09"/>
    <w:rsid w:val="00EC5E82"/>
    <w:rsid w:val="00EC5E83"/>
    <w:rsid w:val="00EC5EDD"/>
    <w:rsid w:val="00EC5EE4"/>
    <w:rsid w:val="00EC5EF8"/>
    <w:rsid w:val="00EC5F46"/>
    <w:rsid w:val="00EC5F4E"/>
    <w:rsid w:val="00EC5FC0"/>
    <w:rsid w:val="00EC600A"/>
    <w:rsid w:val="00EC603D"/>
    <w:rsid w:val="00EC6048"/>
    <w:rsid w:val="00EC604A"/>
    <w:rsid w:val="00EC60BA"/>
    <w:rsid w:val="00EC60CE"/>
    <w:rsid w:val="00EC60F7"/>
    <w:rsid w:val="00EC60FD"/>
    <w:rsid w:val="00EC610B"/>
    <w:rsid w:val="00EC6188"/>
    <w:rsid w:val="00EC618E"/>
    <w:rsid w:val="00EC61AA"/>
    <w:rsid w:val="00EC6228"/>
    <w:rsid w:val="00EC6250"/>
    <w:rsid w:val="00EC6280"/>
    <w:rsid w:val="00EC628E"/>
    <w:rsid w:val="00EC629F"/>
    <w:rsid w:val="00EC62B0"/>
    <w:rsid w:val="00EC62BF"/>
    <w:rsid w:val="00EC6339"/>
    <w:rsid w:val="00EC634A"/>
    <w:rsid w:val="00EC6352"/>
    <w:rsid w:val="00EC6384"/>
    <w:rsid w:val="00EC6389"/>
    <w:rsid w:val="00EC63A1"/>
    <w:rsid w:val="00EC63BD"/>
    <w:rsid w:val="00EC6469"/>
    <w:rsid w:val="00EC6486"/>
    <w:rsid w:val="00EC648E"/>
    <w:rsid w:val="00EC64DE"/>
    <w:rsid w:val="00EC64E4"/>
    <w:rsid w:val="00EC6533"/>
    <w:rsid w:val="00EC6544"/>
    <w:rsid w:val="00EC656A"/>
    <w:rsid w:val="00EC65D9"/>
    <w:rsid w:val="00EC65EE"/>
    <w:rsid w:val="00EC65FE"/>
    <w:rsid w:val="00EC663F"/>
    <w:rsid w:val="00EC6660"/>
    <w:rsid w:val="00EC6693"/>
    <w:rsid w:val="00EC66B7"/>
    <w:rsid w:val="00EC66C9"/>
    <w:rsid w:val="00EC66CF"/>
    <w:rsid w:val="00EC66F8"/>
    <w:rsid w:val="00EC6744"/>
    <w:rsid w:val="00EC6764"/>
    <w:rsid w:val="00EC67DA"/>
    <w:rsid w:val="00EC67DC"/>
    <w:rsid w:val="00EC67F1"/>
    <w:rsid w:val="00EC6807"/>
    <w:rsid w:val="00EC681E"/>
    <w:rsid w:val="00EC684A"/>
    <w:rsid w:val="00EC684D"/>
    <w:rsid w:val="00EC6876"/>
    <w:rsid w:val="00EC687D"/>
    <w:rsid w:val="00EC6894"/>
    <w:rsid w:val="00EC6899"/>
    <w:rsid w:val="00EC68B3"/>
    <w:rsid w:val="00EC68D7"/>
    <w:rsid w:val="00EC6957"/>
    <w:rsid w:val="00EC695E"/>
    <w:rsid w:val="00EC699B"/>
    <w:rsid w:val="00EC69C1"/>
    <w:rsid w:val="00EC69E2"/>
    <w:rsid w:val="00EC69E3"/>
    <w:rsid w:val="00EC69E5"/>
    <w:rsid w:val="00EC6A7A"/>
    <w:rsid w:val="00EC6A7B"/>
    <w:rsid w:val="00EC6AA1"/>
    <w:rsid w:val="00EC6AC2"/>
    <w:rsid w:val="00EC6AF2"/>
    <w:rsid w:val="00EC6B0D"/>
    <w:rsid w:val="00EC6B1D"/>
    <w:rsid w:val="00EC6B23"/>
    <w:rsid w:val="00EC6B7A"/>
    <w:rsid w:val="00EC6B83"/>
    <w:rsid w:val="00EC6B8A"/>
    <w:rsid w:val="00EC6BB1"/>
    <w:rsid w:val="00EC6BC0"/>
    <w:rsid w:val="00EC6BC1"/>
    <w:rsid w:val="00EC6BCE"/>
    <w:rsid w:val="00EC6BE0"/>
    <w:rsid w:val="00EC6C2A"/>
    <w:rsid w:val="00EC6C30"/>
    <w:rsid w:val="00EC6C5A"/>
    <w:rsid w:val="00EC6C68"/>
    <w:rsid w:val="00EC6CC4"/>
    <w:rsid w:val="00EC6CD8"/>
    <w:rsid w:val="00EC6CED"/>
    <w:rsid w:val="00EC6D0D"/>
    <w:rsid w:val="00EC6D4B"/>
    <w:rsid w:val="00EC6D56"/>
    <w:rsid w:val="00EC6DE0"/>
    <w:rsid w:val="00EC6E36"/>
    <w:rsid w:val="00EC6E5B"/>
    <w:rsid w:val="00EC6E64"/>
    <w:rsid w:val="00EC6E7F"/>
    <w:rsid w:val="00EC6EDA"/>
    <w:rsid w:val="00EC6F0D"/>
    <w:rsid w:val="00EC6F1C"/>
    <w:rsid w:val="00EC6F42"/>
    <w:rsid w:val="00EC6F46"/>
    <w:rsid w:val="00EC6F93"/>
    <w:rsid w:val="00EC6FB3"/>
    <w:rsid w:val="00EC6FF6"/>
    <w:rsid w:val="00EC700E"/>
    <w:rsid w:val="00EC701C"/>
    <w:rsid w:val="00EC7056"/>
    <w:rsid w:val="00EC7097"/>
    <w:rsid w:val="00EC70C1"/>
    <w:rsid w:val="00EC710A"/>
    <w:rsid w:val="00EC710B"/>
    <w:rsid w:val="00EC7163"/>
    <w:rsid w:val="00EC71C0"/>
    <w:rsid w:val="00EC7207"/>
    <w:rsid w:val="00EC721C"/>
    <w:rsid w:val="00EC7228"/>
    <w:rsid w:val="00EC7240"/>
    <w:rsid w:val="00EC727A"/>
    <w:rsid w:val="00EC72BC"/>
    <w:rsid w:val="00EC72C0"/>
    <w:rsid w:val="00EC7303"/>
    <w:rsid w:val="00EC7318"/>
    <w:rsid w:val="00EC731A"/>
    <w:rsid w:val="00EC7325"/>
    <w:rsid w:val="00EC7357"/>
    <w:rsid w:val="00EC7380"/>
    <w:rsid w:val="00EC7396"/>
    <w:rsid w:val="00EC73C6"/>
    <w:rsid w:val="00EC73D5"/>
    <w:rsid w:val="00EC7444"/>
    <w:rsid w:val="00EC7447"/>
    <w:rsid w:val="00EC74D2"/>
    <w:rsid w:val="00EC74DD"/>
    <w:rsid w:val="00EC74F0"/>
    <w:rsid w:val="00EC759F"/>
    <w:rsid w:val="00EC75C1"/>
    <w:rsid w:val="00EC75F9"/>
    <w:rsid w:val="00EC7658"/>
    <w:rsid w:val="00EC765C"/>
    <w:rsid w:val="00EC7667"/>
    <w:rsid w:val="00EC76CB"/>
    <w:rsid w:val="00EC7714"/>
    <w:rsid w:val="00EC7735"/>
    <w:rsid w:val="00EC77B3"/>
    <w:rsid w:val="00EC77BB"/>
    <w:rsid w:val="00EC77D9"/>
    <w:rsid w:val="00EC781A"/>
    <w:rsid w:val="00EC7850"/>
    <w:rsid w:val="00EC7883"/>
    <w:rsid w:val="00EC78F4"/>
    <w:rsid w:val="00EC7919"/>
    <w:rsid w:val="00EC7929"/>
    <w:rsid w:val="00EC7933"/>
    <w:rsid w:val="00EC7962"/>
    <w:rsid w:val="00EC7975"/>
    <w:rsid w:val="00EC7983"/>
    <w:rsid w:val="00EC79B5"/>
    <w:rsid w:val="00EC79CB"/>
    <w:rsid w:val="00EC79E0"/>
    <w:rsid w:val="00EC79FF"/>
    <w:rsid w:val="00EC7A08"/>
    <w:rsid w:val="00EC7A45"/>
    <w:rsid w:val="00EC7A88"/>
    <w:rsid w:val="00EC7A8F"/>
    <w:rsid w:val="00EC7AA9"/>
    <w:rsid w:val="00EC7AC1"/>
    <w:rsid w:val="00EC7AFE"/>
    <w:rsid w:val="00EC7B9B"/>
    <w:rsid w:val="00EC7BB3"/>
    <w:rsid w:val="00EC7C0D"/>
    <w:rsid w:val="00EC7C1B"/>
    <w:rsid w:val="00EC7C63"/>
    <w:rsid w:val="00EC7C7C"/>
    <w:rsid w:val="00EC7D1E"/>
    <w:rsid w:val="00EC7D20"/>
    <w:rsid w:val="00EC7D57"/>
    <w:rsid w:val="00EC7D6C"/>
    <w:rsid w:val="00EC7D73"/>
    <w:rsid w:val="00EC7DAD"/>
    <w:rsid w:val="00EC7E1F"/>
    <w:rsid w:val="00EC7E29"/>
    <w:rsid w:val="00EC7E3A"/>
    <w:rsid w:val="00EC7E41"/>
    <w:rsid w:val="00EC7E47"/>
    <w:rsid w:val="00EC7E8B"/>
    <w:rsid w:val="00EC7E8F"/>
    <w:rsid w:val="00EC7E95"/>
    <w:rsid w:val="00EC7E9F"/>
    <w:rsid w:val="00EC7EA0"/>
    <w:rsid w:val="00EC7F32"/>
    <w:rsid w:val="00EC7F43"/>
    <w:rsid w:val="00EC7F4E"/>
    <w:rsid w:val="00EC7F6B"/>
    <w:rsid w:val="00EC7FB5"/>
    <w:rsid w:val="00EC7FEC"/>
    <w:rsid w:val="00EC7FEE"/>
    <w:rsid w:val="00ED0012"/>
    <w:rsid w:val="00ED0018"/>
    <w:rsid w:val="00ED003B"/>
    <w:rsid w:val="00ED0045"/>
    <w:rsid w:val="00ED0090"/>
    <w:rsid w:val="00ED0091"/>
    <w:rsid w:val="00ED009B"/>
    <w:rsid w:val="00ED009D"/>
    <w:rsid w:val="00ED00BD"/>
    <w:rsid w:val="00ED00C8"/>
    <w:rsid w:val="00ED0131"/>
    <w:rsid w:val="00ED0169"/>
    <w:rsid w:val="00ED016C"/>
    <w:rsid w:val="00ED016E"/>
    <w:rsid w:val="00ED0170"/>
    <w:rsid w:val="00ED0187"/>
    <w:rsid w:val="00ED018A"/>
    <w:rsid w:val="00ED01E9"/>
    <w:rsid w:val="00ED0201"/>
    <w:rsid w:val="00ED0245"/>
    <w:rsid w:val="00ED0252"/>
    <w:rsid w:val="00ED0272"/>
    <w:rsid w:val="00ED0273"/>
    <w:rsid w:val="00ED02DE"/>
    <w:rsid w:val="00ED0302"/>
    <w:rsid w:val="00ED030F"/>
    <w:rsid w:val="00ED0321"/>
    <w:rsid w:val="00ED036E"/>
    <w:rsid w:val="00ED0372"/>
    <w:rsid w:val="00ED0375"/>
    <w:rsid w:val="00ED0387"/>
    <w:rsid w:val="00ED03D3"/>
    <w:rsid w:val="00ED03E3"/>
    <w:rsid w:val="00ED03E7"/>
    <w:rsid w:val="00ED0409"/>
    <w:rsid w:val="00ED0422"/>
    <w:rsid w:val="00ED042B"/>
    <w:rsid w:val="00ED0444"/>
    <w:rsid w:val="00ED046A"/>
    <w:rsid w:val="00ED0475"/>
    <w:rsid w:val="00ED04C8"/>
    <w:rsid w:val="00ED04CD"/>
    <w:rsid w:val="00ED04F5"/>
    <w:rsid w:val="00ED050A"/>
    <w:rsid w:val="00ED0537"/>
    <w:rsid w:val="00ED0573"/>
    <w:rsid w:val="00ED0582"/>
    <w:rsid w:val="00ED05D0"/>
    <w:rsid w:val="00ED0646"/>
    <w:rsid w:val="00ED0660"/>
    <w:rsid w:val="00ED067C"/>
    <w:rsid w:val="00ED06BD"/>
    <w:rsid w:val="00ED071F"/>
    <w:rsid w:val="00ED0745"/>
    <w:rsid w:val="00ED0776"/>
    <w:rsid w:val="00ED0778"/>
    <w:rsid w:val="00ED0797"/>
    <w:rsid w:val="00ED07D7"/>
    <w:rsid w:val="00ED07D8"/>
    <w:rsid w:val="00ED07F1"/>
    <w:rsid w:val="00ED080F"/>
    <w:rsid w:val="00ED0838"/>
    <w:rsid w:val="00ED08CA"/>
    <w:rsid w:val="00ED08D5"/>
    <w:rsid w:val="00ED08E6"/>
    <w:rsid w:val="00ED08EA"/>
    <w:rsid w:val="00ED08FB"/>
    <w:rsid w:val="00ED08FD"/>
    <w:rsid w:val="00ED092E"/>
    <w:rsid w:val="00ED093D"/>
    <w:rsid w:val="00ED0949"/>
    <w:rsid w:val="00ED094E"/>
    <w:rsid w:val="00ED09B2"/>
    <w:rsid w:val="00ED09B6"/>
    <w:rsid w:val="00ED09E3"/>
    <w:rsid w:val="00ED09ED"/>
    <w:rsid w:val="00ED0A10"/>
    <w:rsid w:val="00ED0A17"/>
    <w:rsid w:val="00ED0A20"/>
    <w:rsid w:val="00ED0A47"/>
    <w:rsid w:val="00ED0A6A"/>
    <w:rsid w:val="00ED0A6F"/>
    <w:rsid w:val="00ED0A85"/>
    <w:rsid w:val="00ED0A9E"/>
    <w:rsid w:val="00ED0ADA"/>
    <w:rsid w:val="00ED0AEE"/>
    <w:rsid w:val="00ED0AF8"/>
    <w:rsid w:val="00ED0B24"/>
    <w:rsid w:val="00ED0B27"/>
    <w:rsid w:val="00ED0B48"/>
    <w:rsid w:val="00ED0B7E"/>
    <w:rsid w:val="00ED0BED"/>
    <w:rsid w:val="00ED0CC4"/>
    <w:rsid w:val="00ED0CC9"/>
    <w:rsid w:val="00ED0CCA"/>
    <w:rsid w:val="00ED0D23"/>
    <w:rsid w:val="00ED0D2E"/>
    <w:rsid w:val="00ED0DAF"/>
    <w:rsid w:val="00ED0DC7"/>
    <w:rsid w:val="00ED0E2F"/>
    <w:rsid w:val="00ED0E68"/>
    <w:rsid w:val="00ED0E75"/>
    <w:rsid w:val="00ED0EAE"/>
    <w:rsid w:val="00ED0EAF"/>
    <w:rsid w:val="00ED0EF0"/>
    <w:rsid w:val="00ED0EF7"/>
    <w:rsid w:val="00ED0F04"/>
    <w:rsid w:val="00ED0F26"/>
    <w:rsid w:val="00ED0F37"/>
    <w:rsid w:val="00ED0F6F"/>
    <w:rsid w:val="00ED0FAA"/>
    <w:rsid w:val="00ED0FE0"/>
    <w:rsid w:val="00ED0FEC"/>
    <w:rsid w:val="00ED0FF9"/>
    <w:rsid w:val="00ED102E"/>
    <w:rsid w:val="00ED1041"/>
    <w:rsid w:val="00ED1053"/>
    <w:rsid w:val="00ED10B6"/>
    <w:rsid w:val="00ED10BD"/>
    <w:rsid w:val="00ED10DB"/>
    <w:rsid w:val="00ED10EB"/>
    <w:rsid w:val="00ED10F9"/>
    <w:rsid w:val="00ED110F"/>
    <w:rsid w:val="00ED111C"/>
    <w:rsid w:val="00ED111D"/>
    <w:rsid w:val="00ED1136"/>
    <w:rsid w:val="00ED114A"/>
    <w:rsid w:val="00ED1159"/>
    <w:rsid w:val="00ED117D"/>
    <w:rsid w:val="00ED11BE"/>
    <w:rsid w:val="00ED1222"/>
    <w:rsid w:val="00ED1224"/>
    <w:rsid w:val="00ED1250"/>
    <w:rsid w:val="00ED1285"/>
    <w:rsid w:val="00ED12AF"/>
    <w:rsid w:val="00ED12BB"/>
    <w:rsid w:val="00ED12C7"/>
    <w:rsid w:val="00ED12ED"/>
    <w:rsid w:val="00ED12F5"/>
    <w:rsid w:val="00ED1315"/>
    <w:rsid w:val="00ED1362"/>
    <w:rsid w:val="00ED13B2"/>
    <w:rsid w:val="00ED13EA"/>
    <w:rsid w:val="00ED1413"/>
    <w:rsid w:val="00ED1420"/>
    <w:rsid w:val="00ED1479"/>
    <w:rsid w:val="00ED1494"/>
    <w:rsid w:val="00ED1498"/>
    <w:rsid w:val="00ED14D2"/>
    <w:rsid w:val="00ED14E0"/>
    <w:rsid w:val="00ED14FF"/>
    <w:rsid w:val="00ED1504"/>
    <w:rsid w:val="00ED1505"/>
    <w:rsid w:val="00ED152A"/>
    <w:rsid w:val="00ED1565"/>
    <w:rsid w:val="00ED157A"/>
    <w:rsid w:val="00ED1597"/>
    <w:rsid w:val="00ED159E"/>
    <w:rsid w:val="00ED162E"/>
    <w:rsid w:val="00ED1651"/>
    <w:rsid w:val="00ED1662"/>
    <w:rsid w:val="00ED1677"/>
    <w:rsid w:val="00ED169A"/>
    <w:rsid w:val="00ED16BE"/>
    <w:rsid w:val="00ED1739"/>
    <w:rsid w:val="00ED176F"/>
    <w:rsid w:val="00ED179A"/>
    <w:rsid w:val="00ED17D3"/>
    <w:rsid w:val="00ED17E2"/>
    <w:rsid w:val="00ED1805"/>
    <w:rsid w:val="00ED1809"/>
    <w:rsid w:val="00ED1862"/>
    <w:rsid w:val="00ED1879"/>
    <w:rsid w:val="00ED18C5"/>
    <w:rsid w:val="00ED18E6"/>
    <w:rsid w:val="00ED18F7"/>
    <w:rsid w:val="00ED1901"/>
    <w:rsid w:val="00ED190C"/>
    <w:rsid w:val="00ED192A"/>
    <w:rsid w:val="00ED1943"/>
    <w:rsid w:val="00ED196B"/>
    <w:rsid w:val="00ED197C"/>
    <w:rsid w:val="00ED199E"/>
    <w:rsid w:val="00ED19A5"/>
    <w:rsid w:val="00ED19CA"/>
    <w:rsid w:val="00ED1A02"/>
    <w:rsid w:val="00ED1A0F"/>
    <w:rsid w:val="00ED1A27"/>
    <w:rsid w:val="00ED1A5F"/>
    <w:rsid w:val="00ED1A67"/>
    <w:rsid w:val="00ED1AD4"/>
    <w:rsid w:val="00ED1B6A"/>
    <w:rsid w:val="00ED1B78"/>
    <w:rsid w:val="00ED1B87"/>
    <w:rsid w:val="00ED1B8E"/>
    <w:rsid w:val="00ED1BB4"/>
    <w:rsid w:val="00ED1BD7"/>
    <w:rsid w:val="00ED1BE3"/>
    <w:rsid w:val="00ED1C10"/>
    <w:rsid w:val="00ED1C1C"/>
    <w:rsid w:val="00ED1C30"/>
    <w:rsid w:val="00ED1C31"/>
    <w:rsid w:val="00ED1C48"/>
    <w:rsid w:val="00ED1C87"/>
    <w:rsid w:val="00ED1CD8"/>
    <w:rsid w:val="00ED1D15"/>
    <w:rsid w:val="00ED1D1B"/>
    <w:rsid w:val="00ED1D59"/>
    <w:rsid w:val="00ED1D99"/>
    <w:rsid w:val="00ED1DC2"/>
    <w:rsid w:val="00ED1DDB"/>
    <w:rsid w:val="00ED1E33"/>
    <w:rsid w:val="00ED1E87"/>
    <w:rsid w:val="00ED1E9F"/>
    <w:rsid w:val="00ED1EB7"/>
    <w:rsid w:val="00ED1EE4"/>
    <w:rsid w:val="00ED1F16"/>
    <w:rsid w:val="00ED2008"/>
    <w:rsid w:val="00ED206F"/>
    <w:rsid w:val="00ED2095"/>
    <w:rsid w:val="00ED2163"/>
    <w:rsid w:val="00ED21F8"/>
    <w:rsid w:val="00ED2214"/>
    <w:rsid w:val="00ED2241"/>
    <w:rsid w:val="00ED229B"/>
    <w:rsid w:val="00ED22A2"/>
    <w:rsid w:val="00ED22A8"/>
    <w:rsid w:val="00ED22F3"/>
    <w:rsid w:val="00ED22F7"/>
    <w:rsid w:val="00ED2311"/>
    <w:rsid w:val="00ED2315"/>
    <w:rsid w:val="00ED2319"/>
    <w:rsid w:val="00ED2322"/>
    <w:rsid w:val="00ED232E"/>
    <w:rsid w:val="00ED233F"/>
    <w:rsid w:val="00ED234F"/>
    <w:rsid w:val="00ED2360"/>
    <w:rsid w:val="00ED2378"/>
    <w:rsid w:val="00ED238D"/>
    <w:rsid w:val="00ED239D"/>
    <w:rsid w:val="00ED23C1"/>
    <w:rsid w:val="00ED23C7"/>
    <w:rsid w:val="00ED23F5"/>
    <w:rsid w:val="00ED2420"/>
    <w:rsid w:val="00ED243D"/>
    <w:rsid w:val="00ED2483"/>
    <w:rsid w:val="00ED2492"/>
    <w:rsid w:val="00ED24CC"/>
    <w:rsid w:val="00ED24F2"/>
    <w:rsid w:val="00ED24F9"/>
    <w:rsid w:val="00ED250F"/>
    <w:rsid w:val="00ED251A"/>
    <w:rsid w:val="00ED2525"/>
    <w:rsid w:val="00ED25C8"/>
    <w:rsid w:val="00ED2601"/>
    <w:rsid w:val="00ED2654"/>
    <w:rsid w:val="00ED267D"/>
    <w:rsid w:val="00ED2682"/>
    <w:rsid w:val="00ED2696"/>
    <w:rsid w:val="00ED26BB"/>
    <w:rsid w:val="00ED26FD"/>
    <w:rsid w:val="00ED2739"/>
    <w:rsid w:val="00ED2775"/>
    <w:rsid w:val="00ED27A2"/>
    <w:rsid w:val="00ED27CF"/>
    <w:rsid w:val="00ED27DB"/>
    <w:rsid w:val="00ED2805"/>
    <w:rsid w:val="00ED281E"/>
    <w:rsid w:val="00ED2866"/>
    <w:rsid w:val="00ED2878"/>
    <w:rsid w:val="00ED2892"/>
    <w:rsid w:val="00ED2895"/>
    <w:rsid w:val="00ED28A0"/>
    <w:rsid w:val="00ED28D3"/>
    <w:rsid w:val="00ED2922"/>
    <w:rsid w:val="00ED2932"/>
    <w:rsid w:val="00ED2937"/>
    <w:rsid w:val="00ED2984"/>
    <w:rsid w:val="00ED298A"/>
    <w:rsid w:val="00ED2994"/>
    <w:rsid w:val="00ED29AD"/>
    <w:rsid w:val="00ED2A0B"/>
    <w:rsid w:val="00ED2A29"/>
    <w:rsid w:val="00ED2A41"/>
    <w:rsid w:val="00ED2A60"/>
    <w:rsid w:val="00ED2A68"/>
    <w:rsid w:val="00ED2ACD"/>
    <w:rsid w:val="00ED2AD4"/>
    <w:rsid w:val="00ED2ADB"/>
    <w:rsid w:val="00ED2AE0"/>
    <w:rsid w:val="00ED2B33"/>
    <w:rsid w:val="00ED2B4A"/>
    <w:rsid w:val="00ED2B50"/>
    <w:rsid w:val="00ED2B66"/>
    <w:rsid w:val="00ED2B72"/>
    <w:rsid w:val="00ED2BB5"/>
    <w:rsid w:val="00ED2BCB"/>
    <w:rsid w:val="00ED2BE3"/>
    <w:rsid w:val="00ED2BE8"/>
    <w:rsid w:val="00ED2C33"/>
    <w:rsid w:val="00ED2C5A"/>
    <w:rsid w:val="00ED2C8E"/>
    <w:rsid w:val="00ED2CA3"/>
    <w:rsid w:val="00ED2D17"/>
    <w:rsid w:val="00ED2D42"/>
    <w:rsid w:val="00ED2D62"/>
    <w:rsid w:val="00ED2D76"/>
    <w:rsid w:val="00ED2D88"/>
    <w:rsid w:val="00ED2D9F"/>
    <w:rsid w:val="00ED2DE5"/>
    <w:rsid w:val="00ED2DE8"/>
    <w:rsid w:val="00ED2DEE"/>
    <w:rsid w:val="00ED2DEF"/>
    <w:rsid w:val="00ED2DF9"/>
    <w:rsid w:val="00ED2E04"/>
    <w:rsid w:val="00ED2E09"/>
    <w:rsid w:val="00ED2E61"/>
    <w:rsid w:val="00ED2E73"/>
    <w:rsid w:val="00ED2E93"/>
    <w:rsid w:val="00ED2EB8"/>
    <w:rsid w:val="00ED2EF4"/>
    <w:rsid w:val="00ED2EF5"/>
    <w:rsid w:val="00ED2EF8"/>
    <w:rsid w:val="00ED2F12"/>
    <w:rsid w:val="00ED2F4B"/>
    <w:rsid w:val="00ED2F6C"/>
    <w:rsid w:val="00ED2FD3"/>
    <w:rsid w:val="00ED2FDD"/>
    <w:rsid w:val="00ED2FDF"/>
    <w:rsid w:val="00ED2FF4"/>
    <w:rsid w:val="00ED3002"/>
    <w:rsid w:val="00ED3007"/>
    <w:rsid w:val="00ED3029"/>
    <w:rsid w:val="00ED303F"/>
    <w:rsid w:val="00ED3084"/>
    <w:rsid w:val="00ED30A2"/>
    <w:rsid w:val="00ED30CF"/>
    <w:rsid w:val="00ED30EE"/>
    <w:rsid w:val="00ED30FC"/>
    <w:rsid w:val="00ED3164"/>
    <w:rsid w:val="00ED316E"/>
    <w:rsid w:val="00ED3195"/>
    <w:rsid w:val="00ED31AB"/>
    <w:rsid w:val="00ED31D5"/>
    <w:rsid w:val="00ED31DA"/>
    <w:rsid w:val="00ED31EB"/>
    <w:rsid w:val="00ED322F"/>
    <w:rsid w:val="00ED323A"/>
    <w:rsid w:val="00ED323E"/>
    <w:rsid w:val="00ED32A4"/>
    <w:rsid w:val="00ED32BD"/>
    <w:rsid w:val="00ED32CD"/>
    <w:rsid w:val="00ED3324"/>
    <w:rsid w:val="00ED3340"/>
    <w:rsid w:val="00ED336F"/>
    <w:rsid w:val="00ED33E2"/>
    <w:rsid w:val="00ED340A"/>
    <w:rsid w:val="00ED3422"/>
    <w:rsid w:val="00ED3426"/>
    <w:rsid w:val="00ED3442"/>
    <w:rsid w:val="00ED3446"/>
    <w:rsid w:val="00ED3456"/>
    <w:rsid w:val="00ED3466"/>
    <w:rsid w:val="00ED3497"/>
    <w:rsid w:val="00ED34AA"/>
    <w:rsid w:val="00ED34B8"/>
    <w:rsid w:val="00ED34BB"/>
    <w:rsid w:val="00ED34CE"/>
    <w:rsid w:val="00ED34DC"/>
    <w:rsid w:val="00ED351B"/>
    <w:rsid w:val="00ED353A"/>
    <w:rsid w:val="00ED353F"/>
    <w:rsid w:val="00ED35A3"/>
    <w:rsid w:val="00ED35EF"/>
    <w:rsid w:val="00ED3628"/>
    <w:rsid w:val="00ED3664"/>
    <w:rsid w:val="00ED3666"/>
    <w:rsid w:val="00ED366D"/>
    <w:rsid w:val="00ED366E"/>
    <w:rsid w:val="00ED36C3"/>
    <w:rsid w:val="00ED36E2"/>
    <w:rsid w:val="00ED36F5"/>
    <w:rsid w:val="00ED3716"/>
    <w:rsid w:val="00ED376B"/>
    <w:rsid w:val="00ED376F"/>
    <w:rsid w:val="00ED37AF"/>
    <w:rsid w:val="00ED37B4"/>
    <w:rsid w:val="00ED37CB"/>
    <w:rsid w:val="00ED37E5"/>
    <w:rsid w:val="00ED37EC"/>
    <w:rsid w:val="00ED384C"/>
    <w:rsid w:val="00ED3895"/>
    <w:rsid w:val="00ED38CA"/>
    <w:rsid w:val="00ED38CB"/>
    <w:rsid w:val="00ED3905"/>
    <w:rsid w:val="00ED3922"/>
    <w:rsid w:val="00ED3928"/>
    <w:rsid w:val="00ED3965"/>
    <w:rsid w:val="00ED39CD"/>
    <w:rsid w:val="00ED39D4"/>
    <w:rsid w:val="00ED3A03"/>
    <w:rsid w:val="00ED3A16"/>
    <w:rsid w:val="00ED3A19"/>
    <w:rsid w:val="00ED3A50"/>
    <w:rsid w:val="00ED3AA7"/>
    <w:rsid w:val="00ED3AD8"/>
    <w:rsid w:val="00ED3B0E"/>
    <w:rsid w:val="00ED3B22"/>
    <w:rsid w:val="00ED3B44"/>
    <w:rsid w:val="00ED3B67"/>
    <w:rsid w:val="00ED3B7C"/>
    <w:rsid w:val="00ED3B86"/>
    <w:rsid w:val="00ED3BE9"/>
    <w:rsid w:val="00ED3BF7"/>
    <w:rsid w:val="00ED3C1A"/>
    <w:rsid w:val="00ED3C1D"/>
    <w:rsid w:val="00ED3CAE"/>
    <w:rsid w:val="00ED3CB1"/>
    <w:rsid w:val="00ED3CBD"/>
    <w:rsid w:val="00ED3D0D"/>
    <w:rsid w:val="00ED3D33"/>
    <w:rsid w:val="00ED3D8D"/>
    <w:rsid w:val="00ED3D9F"/>
    <w:rsid w:val="00ED3DCA"/>
    <w:rsid w:val="00ED3E48"/>
    <w:rsid w:val="00ED3E50"/>
    <w:rsid w:val="00ED3E6B"/>
    <w:rsid w:val="00ED3E99"/>
    <w:rsid w:val="00ED3F3F"/>
    <w:rsid w:val="00ED3F6C"/>
    <w:rsid w:val="00ED3F87"/>
    <w:rsid w:val="00ED3FE3"/>
    <w:rsid w:val="00ED3FE8"/>
    <w:rsid w:val="00ED4007"/>
    <w:rsid w:val="00ED4053"/>
    <w:rsid w:val="00ED40C9"/>
    <w:rsid w:val="00ED40CE"/>
    <w:rsid w:val="00ED40DF"/>
    <w:rsid w:val="00ED410D"/>
    <w:rsid w:val="00ED4114"/>
    <w:rsid w:val="00ED414B"/>
    <w:rsid w:val="00ED417F"/>
    <w:rsid w:val="00ED41AC"/>
    <w:rsid w:val="00ED41B8"/>
    <w:rsid w:val="00ED41C9"/>
    <w:rsid w:val="00ED41E3"/>
    <w:rsid w:val="00ED420B"/>
    <w:rsid w:val="00ED4227"/>
    <w:rsid w:val="00ED42A5"/>
    <w:rsid w:val="00ED42C0"/>
    <w:rsid w:val="00ED42FC"/>
    <w:rsid w:val="00ED4346"/>
    <w:rsid w:val="00ED437F"/>
    <w:rsid w:val="00ED43D0"/>
    <w:rsid w:val="00ED4413"/>
    <w:rsid w:val="00ED441A"/>
    <w:rsid w:val="00ED44C0"/>
    <w:rsid w:val="00ED44C6"/>
    <w:rsid w:val="00ED44D2"/>
    <w:rsid w:val="00ED44FD"/>
    <w:rsid w:val="00ED450A"/>
    <w:rsid w:val="00ED4515"/>
    <w:rsid w:val="00ED4516"/>
    <w:rsid w:val="00ED452C"/>
    <w:rsid w:val="00ED4554"/>
    <w:rsid w:val="00ED455E"/>
    <w:rsid w:val="00ED4564"/>
    <w:rsid w:val="00ED458E"/>
    <w:rsid w:val="00ED4592"/>
    <w:rsid w:val="00ED45A9"/>
    <w:rsid w:val="00ED45BF"/>
    <w:rsid w:val="00ED45E0"/>
    <w:rsid w:val="00ED45F0"/>
    <w:rsid w:val="00ED45F5"/>
    <w:rsid w:val="00ED4620"/>
    <w:rsid w:val="00ED4646"/>
    <w:rsid w:val="00ED4657"/>
    <w:rsid w:val="00ED4687"/>
    <w:rsid w:val="00ED46B9"/>
    <w:rsid w:val="00ED46BF"/>
    <w:rsid w:val="00ED46CD"/>
    <w:rsid w:val="00ED46F3"/>
    <w:rsid w:val="00ED46FB"/>
    <w:rsid w:val="00ED4711"/>
    <w:rsid w:val="00ED4764"/>
    <w:rsid w:val="00ED4792"/>
    <w:rsid w:val="00ED47A9"/>
    <w:rsid w:val="00ED47D4"/>
    <w:rsid w:val="00ED47D9"/>
    <w:rsid w:val="00ED482D"/>
    <w:rsid w:val="00ED4888"/>
    <w:rsid w:val="00ED48DE"/>
    <w:rsid w:val="00ED4913"/>
    <w:rsid w:val="00ED4946"/>
    <w:rsid w:val="00ED4979"/>
    <w:rsid w:val="00ED49DD"/>
    <w:rsid w:val="00ED49FB"/>
    <w:rsid w:val="00ED49FD"/>
    <w:rsid w:val="00ED4A23"/>
    <w:rsid w:val="00ED4A81"/>
    <w:rsid w:val="00ED4A8B"/>
    <w:rsid w:val="00ED4ABB"/>
    <w:rsid w:val="00ED4ACC"/>
    <w:rsid w:val="00ED4AEF"/>
    <w:rsid w:val="00ED4B0A"/>
    <w:rsid w:val="00ED4B17"/>
    <w:rsid w:val="00ED4B38"/>
    <w:rsid w:val="00ED4B79"/>
    <w:rsid w:val="00ED4BA1"/>
    <w:rsid w:val="00ED4C4C"/>
    <w:rsid w:val="00ED4C81"/>
    <w:rsid w:val="00ED4C9D"/>
    <w:rsid w:val="00ED4CA6"/>
    <w:rsid w:val="00ED4CD1"/>
    <w:rsid w:val="00ED4CF3"/>
    <w:rsid w:val="00ED4D01"/>
    <w:rsid w:val="00ED4D25"/>
    <w:rsid w:val="00ED4D40"/>
    <w:rsid w:val="00ED4D9C"/>
    <w:rsid w:val="00ED4E1E"/>
    <w:rsid w:val="00ED4E60"/>
    <w:rsid w:val="00ED4E7E"/>
    <w:rsid w:val="00ED4EBB"/>
    <w:rsid w:val="00ED4ED1"/>
    <w:rsid w:val="00ED4ED9"/>
    <w:rsid w:val="00ED4F37"/>
    <w:rsid w:val="00ED4F8E"/>
    <w:rsid w:val="00ED4FF8"/>
    <w:rsid w:val="00ED5001"/>
    <w:rsid w:val="00ED500B"/>
    <w:rsid w:val="00ED500D"/>
    <w:rsid w:val="00ED5033"/>
    <w:rsid w:val="00ED5040"/>
    <w:rsid w:val="00ED506B"/>
    <w:rsid w:val="00ED50B1"/>
    <w:rsid w:val="00ED50C9"/>
    <w:rsid w:val="00ED50CF"/>
    <w:rsid w:val="00ED50D7"/>
    <w:rsid w:val="00ED50E7"/>
    <w:rsid w:val="00ED50EA"/>
    <w:rsid w:val="00ED5132"/>
    <w:rsid w:val="00ED513E"/>
    <w:rsid w:val="00ED51E5"/>
    <w:rsid w:val="00ED51F0"/>
    <w:rsid w:val="00ED525F"/>
    <w:rsid w:val="00ED5278"/>
    <w:rsid w:val="00ED52BA"/>
    <w:rsid w:val="00ED52D7"/>
    <w:rsid w:val="00ED52F7"/>
    <w:rsid w:val="00ED5303"/>
    <w:rsid w:val="00ED5308"/>
    <w:rsid w:val="00ED533C"/>
    <w:rsid w:val="00ED5394"/>
    <w:rsid w:val="00ED53C6"/>
    <w:rsid w:val="00ED53E5"/>
    <w:rsid w:val="00ED5426"/>
    <w:rsid w:val="00ED542F"/>
    <w:rsid w:val="00ED550A"/>
    <w:rsid w:val="00ED553A"/>
    <w:rsid w:val="00ED554D"/>
    <w:rsid w:val="00ED5550"/>
    <w:rsid w:val="00ED5572"/>
    <w:rsid w:val="00ED5587"/>
    <w:rsid w:val="00ED55A5"/>
    <w:rsid w:val="00ED55A6"/>
    <w:rsid w:val="00ED55AF"/>
    <w:rsid w:val="00ED55C2"/>
    <w:rsid w:val="00ED55F6"/>
    <w:rsid w:val="00ED5630"/>
    <w:rsid w:val="00ED5682"/>
    <w:rsid w:val="00ED56D1"/>
    <w:rsid w:val="00ED56F6"/>
    <w:rsid w:val="00ED5708"/>
    <w:rsid w:val="00ED5721"/>
    <w:rsid w:val="00ED573D"/>
    <w:rsid w:val="00ED5746"/>
    <w:rsid w:val="00ED5768"/>
    <w:rsid w:val="00ED576F"/>
    <w:rsid w:val="00ED577C"/>
    <w:rsid w:val="00ED57E0"/>
    <w:rsid w:val="00ED58DE"/>
    <w:rsid w:val="00ED58F0"/>
    <w:rsid w:val="00ED58F9"/>
    <w:rsid w:val="00ED5911"/>
    <w:rsid w:val="00ED5955"/>
    <w:rsid w:val="00ED596F"/>
    <w:rsid w:val="00ED597F"/>
    <w:rsid w:val="00ED5985"/>
    <w:rsid w:val="00ED59AA"/>
    <w:rsid w:val="00ED59EF"/>
    <w:rsid w:val="00ED5A2B"/>
    <w:rsid w:val="00ED5A86"/>
    <w:rsid w:val="00ED5AAA"/>
    <w:rsid w:val="00ED5AB2"/>
    <w:rsid w:val="00ED5B46"/>
    <w:rsid w:val="00ED5B71"/>
    <w:rsid w:val="00ED5BAC"/>
    <w:rsid w:val="00ED5BBB"/>
    <w:rsid w:val="00ED5C39"/>
    <w:rsid w:val="00ED5C3B"/>
    <w:rsid w:val="00ED5C43"/>
    <w:rsid w:val="00ED5C63"/>
    <w:rsid w:val="00ED5C66"/>
    <w:rsid w:val="00ED5C7F"/>
    <w:rsid w:val="00ED5C97"/>
    <w:rsid w:val="00ED5C9B"/>
    <w:rsid w:val="00ED5CD3"/>
    <w:rsid w:val="00ED5CF9"/>
    <w:rsid w:val="00ED5D02"/>
    <w:rsid w:val="00ED5D17"/>
    <w:rsid w:val="00ED5D22"/>
    <w:rsid w:val="00ED5D8D"/>
    <w:rsid w:val="00ED5DC4"/>
    <w:rsid w:val="00ED5DCF"/>
    <w:rsid w:val="00ED5DD2"/>
    <w:rsid w:val="00ED5E07"/>
    <w:rsid w:val="00ED5E2B"/>
    <w:rsid w:val="00ED5E43"/>
    <w:rsid w:val="00ED5E51"/>
    <w:rsid w:val="00ED5EAA"/>
    <w:rsid w:val="00ED5EB8"/>
    <w:rsid w:val="00ED5EBF"/>
    <w:rsid w:val="00ED5ED3"/>
    <w:rsid w:val="00ED5EE4"/>
    <w:rsid w:val="00ED5F32"/>
    <w:rsid w:val="00ED5F3D"/>
    <w:rsid w:val="00ED5F6B"/>
    <w:rsid w:val="00ED5F77"/>
    <w:rsid w:val="00ED5F89"/>
    <w:rsid w:val="00ED5F9D"/>
    <w:rsid w:val="00ED5FC4"/>
    <w:rsid w:val="00ED5FDE"/>
    <w:rsid w:val="00ED5FE5"/>
    <w:rsid w:val="00ED6001"/>
    <w:rsid w:val="00ED604C"/>
    <w:rsid w:val="00ED6068"/>
    <w:rsid w:val="00ED607F"/>
    <w:rsid w:val="00ED609D"/>
    <w:rsid w:val="00ED60B2"/>
    <w:rsid w:val="00ED612B"/>
    <w:rsid w:val="00ED6131"/>
    <w:rsid w:val="00ED6157"/>
    <w:rsid w:val="00ED6183"/>
    <w:rsid w:val="00ED61AC"/>
    <w:rsid w:val="00ED6201"/>
    <w:rsid w:val="00ED6203"/>
    <w:rsid w:val="00ED6214"/>
    <w:rsid w:val="00ED623D"/>
    <w:rsid w:val="00ED6262"/>
    <w:rsid w:val="00ED6265"/>
    <w:rsid w:val="00ED62BA"/>
    <w:rsid w:val="00ED62C6"/>
    <w:rsid w:val="00ED6326"/>
    <w:rsid w:val="00ED6343"/>
    <w:rsid w:val="00ED6346"/>
    <w:rsid w:val="00ED63C5"/>
    <w:rsid w:val="00ED6416"/>
    <w:rsid w:val="00ED642D"/>
    <w:rsid w:val="00ED6431"/>
    <w:rsid w:val="00ED644D"/>
    <w:rsid w:val="00ED645B"/>
    <w:rsid w:val="00ED6478"/>
    <w:rsid w:val="00ED64FB"/>
    <w:rsid w:val="00ED6536"/>
    <w:rsid w:val="00ED6599"/>
    <w:rsid w:val="00ED65AF"/>
    <w:rsid w:val="00ED65C7"/>
    <w:rsid w:val="00ED65EE"/>
    <w:rsid w:val="00ED6619"/>
    <w:rsid w:val="00ED668A"/>
    <w:rsid w:val="00ED668D"/>
    <w:rsid w:val="00ED66E0"/>
    <w:rsid w:val="00ED66FC"/>
    <w:rsid w:val="00ED6710"/>
    <w:rsid w:val="00ED6760"/>
    <w:rsid w:val="00ED6779"/>
    <w:rsid w:val="00ED680E"/>
    <w:rsid w:val="00ED6837"/>
    <w:rsid w:val="00ED6845"/>
    <w:rsid w:val="00ED684C"/>
    <w:rsid w:val="00ED6864"/>
    <w:rsid w:val="00ED68A9"/>
    <w:rsid w:val="00ED68B9"/>
    <w:rsid w:val="00ED68CF"/>
    <w:rsid w:val="00ED68E1"/>
    <w:rsid w:val="00ED6908"/>
    <w:rsid w:val="00ED6982"/>
    <w:rsid w:val="00ED6986"/>
    <w:rsid w:val="00ED698B"/>
    <w:rsid w:val="00ED6A31"/>
    <w:rsid w:val="00ED6A72"/>
    <w:rsid w:val="00ED6A77"/>
    <w:rsid w:val="00ED6A9C"/>
    <w:rsid w:val="00ED6B97"/>
    <w:rsid w:val="00ED6BB4"/>
    <w:rsid w:val="00ED6BB9"/>
    <w:rsid w:val="00ED6BEA"/>
    <w:rsid w:val="00ED6BF1"/>
    <w:rsid w:val="00ED6C21"/>
    <w:rsid w:val="00ED6C69"/>
    <w:rsid w:val="00ED6C6C"/>
    <w:rsid w:val="00ED6C8C"/>
    <w:rsid w:val="00ED6CC8"/>
    <w:rsid w:val="00ED6D0E"/>
    <w:rsid w:val="00ED6D3C"/>
    <w:rsid w:val="00ED6D54"/>
    <w:rsid w:val="00ED6D92"/>
    <w:rsid w:val="00ED6E80"/>
    <w:rsid w:val="00ED6EB7"/>
    <w:rsid w:val="00ED6EBC"/>
    <w:rsid w:val="00ED6EDD"/>
    <w:rsid w:val="00ED6F9D"/>
    <w:rsid w:val="00ED6FAA"/>
    <w:rsid w:val="00ED6FDE"/>
    <w:rsid w:val="00ED7026"/>
    <w:rsid w:val="00ED70B5"/>
    <w:rsid w:val="00ED70D8"/>
    <w:rsid w:val="00ED70E6"/>
    <w:rsid w:val="00ED7192"/>
    <w:rsid w:val="00ED719E"/>
    <w:rsid w:val="00ED71B8"/>
    <w:rsid w:val="00ED71D6"/>
    <w:rsid w:val="00ED7209"/>
    <w:rsid w:val="00ED7231"/>
    <w:rsid w:val="00ED724D"/>
    <w:rsid w:val="00ED72A8"/>
    <w:rsid w:val="00ED7323"/>
    <w:rsid w:val="00ED7325"/>
    <w:rsid w:val="00ED737D"/>
    <w:rsid w:val="00ED7396"/>
    <w:rsid w:val="00ED7399"/>
    <w:rsid w:val="00ED739D"/>
    <w:rsid w:val="00ED739F"/>
    <w:rsid w:val="00ED73A1"/>
    <w:rsid w:val="00ED73B6"/>
    <w:rsid w:val="00ED74AE"/>
    <w:rsid w:val="00ED74B5"/>
    <w:rsid w:val="00ED750D"/>
    <w:rsid w:val="00ED7533"/>
    <w:rsid w:val="00ED7547"/>
    <w:rsid w:val="00ED7555"/>
    <w:rsid w:val="00ED75D9"/>
    <w:rsid w:val="00ED75F4"/>
    <w:rsid w:val="00ED764B"/>
    <w:rsid w:val="00ED765F"/>
    <w:rsid w:val="00ED766D"/>
    <w:rsid w:val="00ED7672"/>
    <w:rsid w:val="00ED7685"/>
    <w:rsid w:val="00ED76A8"/>
    <w:rsid w:val="00ED76AB"/>
    <w:rsid w:val="00ED76BD"/>
    <w:rsid w:val="00ED76C1"/>
    <w:rsid w:val="00ED76C9"/>
    <w:rsid w:val="00ED76FA"/>
    <w:rsid w:val="00ED76FF"/>
    <w:rsid w:val="00ED7708"/>
    <w:rsid w:val="00ED7712"/>
    <w:rsid w:val="00ED772D"/>
    <w:rsid w:val="00ED7731"/>
    <w:rsid w:val="00ED7734"/>
    <w:rsid w:val="00ED7764"/>
    <w:rsid w:val="00ED777E"/>
    <w:rsid w:val="00ED777F"/>
    <w:rsid w:val="00ED77B3"/>
    <w:rsid w:val="00ED77C2"/>
    <w:rsid w:val="00ED781E"/>
    <w:rsid w:val="00ED7866"/>
    <w:rsid w:val="00ED7870"/>
    <w:rsid w:val="00ED7887"/>
    <w:rsid w:val="00ED7888"/>
    <w:rsid w:val="00ED7889"/>
    <w:rsid w:val="00ED78D4"/>
    <w:rsid w:val="00ED7907"/>
    <w:rsid w:val="00ED7955"/>
    <w:rsid w:val="00ED7989"/>
    <w:rsid w:val="00ED79A8"/>
    <w:rsid w:val="00ED79FC"/>
    <w:rsid w:val="00ED7A0A"/>
    <w:rsid w:val="00ED7A16"/>
    <w:rsid w:val="00ED7A2B"/>
    <w:rsid w:val="00ED7A53"/>
    <w:rsid w:val="00ED7A79"/>
    <w:rsid w:val="00ED7ACB"/>
    <w:rsid w:val="00ED7ADD"/>
    <w:rsid w:val="00ED7AEA"/>
    <w:rsid w:val="00ED7B2E"/>
    <w:rsid w:val="00ED7B46"/>
    <w:rsid w:val="00ED7BD7"/>
    <w:rsid w:val="00ED7BE2"/>
    <w:rsid w:val="00ED7C09"/>
    <w:rsid w:val="00ED7C20"/>
    <w:rsid w:val="00ED7C36"/>
    <w:rsid w:val="00ED7CA7"/>
    <w:rsid w:val="00ED7CA9"/>
    <w:rsid w:val="00ED7CB3"/>
    <w:rsid w:val="00ED7CCD"/>
    <w:rsid w:val="00ED7CD0"/>
    <w:rsid w:val="00ED7CD1"/>
    <w:rsid w:val="00ED7CDD"/>
    <w:rsid w:val="00ED7CF8"/>
    <w:rsid w:val="00ED7D18"/>
    <w:rsid w:val="00ED7D1D"/>
    <w:rsid w:val="00ED7D21"/>
    <w:rsid w:val="00ED7D4F"/>
    <w:rsid w:val="00ED7DA5"/>
    <w:rsid w:val="00ED7E7F"/>
    <w:rsid w:val="00ED7EA4"/>
    <w:rsid w:val="00ED7EE3"/>
    <w:rsid w:val="00ED7EEA"/>
    <w:rsid w:val="00ED7EF0"/>
    <w:rsid w:val="00ED7F46"/>
    <w:rsid w:val="00ED7F51"/>
    <w:rsid w:val="00ED7F5A"/>
    <w:rsid w:val="00ED7F6B"/>
    <w:rsid w:val="00ED7F84"/>
    <w:rsid w:val="00ED7FB4"/>
    <w:rsid w:val="00ED9E46"/>
    <w:rsid w:val="00EE005B"/>
    <w:rsid w:val="00EE0065"/>
    <w:rsid w:val="00EE0098"/>
    <w:rsid w:val="00EE00C3"/>
    <w:rsid w:val="00EE00DA"/>
    <w:rsid w:val="00EE00F4"/>
    <w:rsid w:val="00EE010A"/>
    <w:rsid w:val="00EE012D"/>
    <w:rsid w:val="00EE0145"/>
    <w:rsid w:val="00EE0206"/>
    <w:rsid w:val="00EE0218"/>
    <w:rsid w:val="00EE021A"/>
    <w:rsid w:val="00EE0220"/>
    <w:rsid w:val="00EE025E"/>
    <w:rsid w:val="00EE02DD"/>
    <w:rsid w:val="00EE02F7"/>
    <w:rsid w:val="00EE030E"/>
    <w:rsid w:val="00EE0325"/>
    <w:rsid w:val="00EE0334"/>
    <w:rsid w:val="00EE0380"/>
    <w:rsid w:val="00EE0385"/>
    <w:rsid w:val="00EE038C"/>
    <w:rsid w:val="00EE03A6"/>
    <w:rsid w:val="00EE03D3"/>
    <w:rsid w:val="00EE041B"/>
    <w:rsid w:val="00EE0424"/>
    <w:rsid w:val="00EE0435"/>
    <w:rsid w:val="00EE0447"/>
    <w:rsid w:val="00EE044A"/>
    <w:rsid w:val="00EE0453"/>
    <w:rsid w:val="00EE04A8"/>
    <w:rsid w:val="00EE04DD"/>
    <w:rsid w:val="00EE0512"/>
    <w:rsid w:val="00EE052B"/>
    <w:rsid w:val="00EE0546"/>
    <w:rsid w:val="00EE0553"/>
    <w:rsid w:val="00EE056B"/>
    <w:rsid w:val="00EE058F"/>
    <w:rsid w:val="00EE05CF"/>
    <w:rsid w:val="00EE05EC"/>
    <w:rsid w:val="00EE05F1"/>
    <w:rsid w:val="00EE05F4"/>
    <w:rsid w:val="00EE0616"/>
    <w:rsid w:val="00EE0645"/>
    <w:rsid w:val="00EE06A8"/>
    <w:rsid w:val="00EE06E6"/>
    <w:rsid w:val="00EE06EF"/>
    <w:rsid w:val="00EE0741"/>
    <w:rsid w:val="00EE074A"/>
    <w:rsid w:val="00EE0791"/>
    <w:rsid w:val="00EE07D5"/>
    <w:rsid w:val="00EE07ED"/>
    <w:rsid w:val="00EE07EE"/>
    <w:rsid w:val="00EE081C"/>
    <w:rsid w:val="00EE0863"/>
    <w:rsid w:val="00EE0866"/>
    <w:rsid w:val="00EE0871"/>
    <w:rsid w:val="00EE0873"/>
    <w:rsid w:val="00EE087D"/>
    <w:rsid w:val="00EE089C"/>
    <w:rsid w:val="00EE08B2"/>
    <w:rsid w:val="00EE08D3"/>
    <w:rsid w:val="00EE091A"/>
    <w:rsid w:val="00EE091B"/>
    <w:rsid w:val="00EE095A"/>
    <w:rsid w:val="00EE09A6"/>
    <w:rsid w:val="00EE09AF"/>
    <w:rsid w:val="00EE09B3"/>
    <w:rsid w:val="00EE09B7"/>
    <w:rsid w:val="00EE09D8"/>
    <w:rsid w:val="00EE09FD"/>
    <w:rsid w:val="00EE0A85"/>
    <w:rsid w:val="00EE0A99"/>
    <w:rsid w:val="00EE0AA1"/>
    <w:rsid w:val="00EE0ABB"/>
    <w:rsid w:val="00EE0ACC"/>
    <w:rsid w:val="00EE0AD6"/>
    <w:rsid w:val="00EE0B0D"/>
    <w:rsid w:val="00EE0B49"/>
    <w:rsid w:val="00EE0B60"/>
    <w:rsid w:val="00EE0B6F"/>
    <w:rsid w:val="00EE0B73"/>
    <w:rsid w:val="00EE0B86"/>
    <w:rsid w:val="00EE0BF1"/>
    <w:rsid w:val="00EE0C0B"/>
    <w:rsid w:val="00EE0C12"/>
    <w:rsid w:val="00EE0C19"/>
    <w:rsid w:val="00EE0C23"/>
    <w:rsid w:val="00EE0CBF"/>
    <w:rsid w:val="00EE0CCD"/>
    <w:rsid w:val="00EE0D3E"/>
    <w:rsid w:val="00EE0D4D"/>
    <w:rsid w:val="00EE0D4E"/>
    <w:rsid w:val="00EE0D62"/>
    <w:rsid w:val="00EE0D84"/>
    <w:rsid w:val="00EE0DB6"/>
    <w:rsid w:val="00EE0DC4"/>
    <w:rsid w:val="00EE0DDC"/>
    <w:rsid w:val="00EE0DFD"/>
    <w:rsid w:val="00EE0E17"/>
    <w:rsid w:val="00EE0E65"/>
    <w:rsid w:val="00EE0EE6"/>
    <w:rsid w:val="00EE0EFC"/>
    <w:rsid w:val="00EE0F12"/>
    <w:rsid w:val="00EE0F29"/>
    <w:rsid w:val="00EE0F2A"/>
    <w:rsid w:val="00EE0F35"/>
    <w:rsid w:val="00EE0FC9"/>
    <w:rsid w:val="00EE1015"/>
    <w:rsid w:val="00EE1037"/>
    <w:rsid w:val="00EE108B"/>
    <w:rsid w:val="00EE1091"/>
    <w:rsid w:val="00EE10BF"/>
    <w:rsid w:val="00EE10E1"/>
    <w:rsid w:val="00EE10EE"/>
    <w:rsid w:val="00EE1108"/>
    <w:rsid w:val="00EE1118"/>
    <w:rsid w:val="00EE1198"/>
    <w:rsid w:val="00EE11EF"/>
    <w:rsid w:val="00EE127A"/>
    <w:rsid w:val="00EE12C4"/>
    <w:rsid w:val="00EE12E6"/>
    <w:rsid w:val="00EE12EE"/>
    <w:rsid w:val="00EE132E"/>
    <w:rsid w:val="00EE1337"/>
    <w:rsid w:val="00EE1359"/>
    <w:rsid w:val="00EE138F"/>
    <w:rsid w:val="00EE13BE"/>
    <w:rsid w:val="00EE1410"/>
    <w:rsid w:val="00EE141E"/>
    <w:rsid w:val="00EE1477"/>
    <w:rsid w:val="00EE148E"/>
    <w:rsid w:val="00EE14FA"/>
    <w:rsid w:val="00EE1515"/>
    <w:rsid w:val="00EE1517"/>
    <w:rsid w:val="00EE155D"/>
    <w:rsid w:val="00EE1572"/>
    <w:rsid w:val="00EE15B1"/>
    <w:rsid w:val="00EE15BD"/>
    <w:rsid w:val="00EE15CE"/>
    <w:rsid w:val="00EE160B"/>
    <w:rsid w:val="00EE162E"/>
    <w:rsid w:val="00EE1691"/>
    <w:rsid w:val="00EE16AD"/>
    <w:rsid w:val="00EE16BA"/>
    <w:rsid w:val="00EE16D6"/>
    <w:rsid w:val="00EE1702"/>
    <w:rsid w:val="00EE1722"/>
    <w:rsid w:val="00EE172F"/>
    <w:rsid w:val="00EE176A"/>
    <w:rsid w:val="00EE1771"/>
    <w:rsid w:val="00EE1784"/>
    <w:rsid w:val="00EE17BC"/>
    <w:rsid w:val="00EE17D1"/>
    <w:rsid w:val="00EE17D5"/>
    <w:rsid w:val="00EE180C"/>
    <w:rsid w:val="00EE181B"/>
    <w:rsid w:val="00EE1830"/>
    <w:rsid w:val="00EE186B"/>
    <w:rsid w:val="00EE188B"/>
    <w:rsid w:val="00EE189D"/>
    <w:rsid w:val="00EE18D6"/>
    <w:rsid w:val="00EE1936"/>
    <w:rsid w:val="00EE194C"/>
    <w:rsid w:val="00EE1969"/>
    <w:rsid w:val="00EE1972"/>
    <w:rsid w:val="00EE19B6"/>
    <w:rsid w:val="00EE19B7"/>
    <w:rsid w:val="00EE19E6"/>
    <w:rsid w:val="00EE19EE"/>
    <w:rsid w:val="00EE19F2"/>
    <w:rsid w:val="00EE1A06"/>
    <w:rsid w:val="00EE1A08"/>
    <w:rsid w:val="00EE1A50"/>
    <w:rsid w:val="00EE1A94"/>
    <w:rsid w:val="00EE1A9C"/>
    <w:rsid w:val="00EE1AC0"/>
    <w:rsid w:val="00EE1AC2"/>
    <w:rsid w:val="00EE1B5B"/>
    <w:rsid w:val="00EE1B6C"/>
    <w:rsid w:val="00EE1B6F"/>
    <w:rsid w:val="00EE1B8A"/>
    <w:rsid w:val="00EE1BA3"/>
    <w:rsid w:val="00EE1BA7"/>
    <w:rsid w:val="00EE1BC0"/>
    <w:rsid w:val="00EE1BCD"/>
    <w:rsid w:val="00EE1BEE"/>
    <w:rsid w:val="00EE1BF5"/>
    <w:rsid w:val="00EE1BF8"/>
    <w:rsid w:val="00EE1C47"/>
    <w:rsid w:val="00EE1C59"/>
    <w:rsid w:val="00EE1C74"/>
    <w:rsid w:val="00EE1C92"/>
    <w:rsid w:val="00EE1CEB"/>
    <w:rsid w:val="00EE1D25"/>
    <w:rsid w:val="00EE1D2C"/>
    <w:rsid w:val="00EE1D91"/>
    <w:rsid w:val="00EE1DD8"/>
    <w:rsid w:val="00EE1DDD"/>
    <w:rsid w:val="00EE1DE2"/>
    <w:rsid w:val="00EE1DEA"/>
    <w:rsid w:val="00EE1E09"/>
    <w:rsid w:val="00EE1E0A"/>
    <w:rsid w:val="00EE1E40"/>
    <w:rsid w:val="00EE1E97"/>
    <w:rsid w:val="00EE1EB1"/>
    <w:rsid w:val="00EE1EC0"/>
    <w:rsid w:val="00EE1EC7"/>
    <w:rsid w:val="00EE1EFF"/>
    <w:rsid w:val="00EE1FD2"/>
    <w:rsid w:val="00EE1FD5"/>
    <w:rsid w:val="00EE2009"/>
    <w:rsid w:val="00EE2017"/>
    <w:rsid w:val="00EE2028"/>
    <w:rsid w:val="00EE205A"/>
    <w:rsid w:val="00EE2062"/>
    <w:rsid w:val="00EE206C"/>
    <w:rsid w:val="00EE208C"/>
    <w:rsid w:val="00EE2094"/>
    <w:rsid w:val="00EE20D3"/>
    <w:rsid w:val="00EE2101"/>
    <w:rsid w:val="00EE2124"/>
    <w:rsid w:val="00EE212C"/>
    <w:rsid w:val="00EE2130"/>
    <w:rsid w:val="00EE2136"/>
    <w:rsid w:val="00EE213F"/>
    <w:rsid w:val="00EE2152"/>
    <w:rsid w:val="00EE2176"/>
    <w:rsid w:val="00EE219E"/>
    <w:rsid w:val="00EE2226"/>
    <w:rsid w:val="00EE2227"/>
    <w:rsid w:val="00EE22B6"/>
    <w:rsid w:val="00EE22F6"/>
    <w:rsid w:val="00EE2395"/>
    <w:rsid w:val="00EE23A0"/>
    <w:rsid w:val="00EE23C8"/>
    <w:rsid w:val="00EE23EA"/>
    <w:rsid w:val="00EE2401"/>
    <w:rsid w:val="00EE2402"/>
    <w:rsid w:val="00EE2414"/>
    <w:rsid w:val="00EE2450"/>
    <w:rsid w:val="00EE2469"/>
    <w:rsid w:val="00EE2497"/>
    <w:rsid w:val="00EE24D3"/>
    <w:rsid w:val="00EE24D9"/>
    <w:rsid w:val="00EE24DA"/>
    <w:rsid w:val="00EE2501"/>
    <w:rsid w:val="00EE2518"/>
    <w:rsid w:val="00EE253D"/>
    <w:rsid w:val="00EE2544"/>
    <w:rsid w:val="00EE25B2"/>
    <w:rsid w:val="00EE25B3"/>
    <w:rsid w:val="00EE25CB"/>
    <w:rsid w:val="00EE25DA"/>
    <w:rsid w:val="00EE25DF"/>
    <w:rsid w:val="00EE2600"/>
    <w:rsid w:val="00EE262C"/>
    <w:rsid w:val="00EE2699"/>
    <w:rsid w:val="00EE26D2"/>
    <w:rsid w:val="00EE26FE"/>
    <w:rsid w:val="00EE2702"/>
    <w:rsid w:val="00EE277F"/>
    <w:rsid w:val="00EE27A2"/>
    <w:rsid w:val="00EE27D1"/>
    <w:rsid w:val="00EE27DB"/>
    <w:rsid w:val="00EE27E1"/>
    <w:rsid w:val="00EE282D"/>
    <w:rsid w:val="00EE2847"/>
    <w:rsid w:val="00EE2857"/>
    <w:rsid w:val="00EE286C"/>
    <w:rsid w:val="00EE2879"/>
    <w:rsid w:val="00EE287E"/>
    <w:rsid w:val="00EE2889"/>
    <w:rsid w:val="00EE2891"/>
    <w:rsid w:val="00EE2939"/>
    <w:rsid w:val="00EE2947"/>
    <w:rsid w:val="00EE2963"/>
    <w:rsid w:val="00EE2999"/>
    <w:rsid w:val="00EE29D0"/>
    <w:rsid w:val="00EE2A24"/>
    <w:rsid w:val="00EE2A27"/>
    <w:rsid w:val="00EE2A39"/>
    <w:rsid w:val="00EE2A3F"/>
    <w:rsid w:val="00EE2A43"/>
    <w:rsid w:val="00EE2A6F"/>
    <w:rsid w:val="00EE2A91"/>
    <w:rsid w:val="00EE2A9A"/>
    <w:rsid w:val="00EE2ACE"/>
    <w:rsid w:val="00EE2AD4"/>
    <w:rsid w:val="00EE2AE5"/>
    <w:rsid w:val="00EE2B5B"/>
    <w:rsid w:val="00EE2B87"/>
    <w:rsid w:val="00EE2BD4"/>
    <w:rsid w:val="00EE2BD8"/>
    <w:rsid w:val="00EE2BF3"/>
    <w:rsid w:val="00EE2C3D"/>
    <w:rsid w:val="00EE2C52"/>
    <w:rsid w:val="00EE2C72"/>
    <w:rsid w:val="00EE2C9E"/>
    <w:rsid w:val="00EE2CB5"/>
    <w:rsid w:val="00EE2CC2"/>
    <w:rsid w:val="00EE2CF5"/>
    <w:rsid w:val="00EE2D02"/>
    <w:rsid w:val="00EE2D2F"/>
    <w:rsid w:val="00EE2D3B"/>
    <w:rsid w:val="00EE2D5C"/>
    <w:rsid w:val="00EE2D78"/>
    <w:rsid w:val="00EE2DC9"/>
    <w:rsid w:val="00EE2E32"/>
    <w:rsid w:val="00EE2E53"/>
    <w:rsid w:val="00EE2F13"/>
    <w:rsid w:val="00EE2F28"/>
    <w:rsid w:val="00EE2F43"/>
    <w:rsid w:val="00EE2F55"/>
    <w:rsid w:val="00EE2FD6"/>
    <w:rsid w:val="00EE2FE8"/>
    <w:rsid w:val="00EE2FF3"/>
    <w:rsid w:val="00EE2FFD"/>
    <w:rsid w:val="00EE301E"/>
    <w:rsid w:val="00EE3049"/>
    <w:rsid w:val="00EE305B"/>
    <w:rsid w:val="00EE3075"/>
    <w:rsid w:val="00EE3081"/>
    <w:rsid w:val="00EE3091"/>
    <w:rsid w:val="00EE30AC"/>
    <w:rsid w:val="00EE30DE"/>
    <w:rsid w:val="00EE30EC"/>
    <w:rsid w:val="00EE30FB"/>
    <w:rsid w:val="00EE3114"/>
    <w:rsid w:val="00EE314B"/>
    <w:rsid w:val="00EE3155"/>
    <w:rsid w:val="00EE3180"/>
    <w:rsid w:val="00EE3188"/>
    <w:rsid w:val="00EE31E6"/>
    <w:rsid w:val="00EE31ED"/>
    <w:rsid w:val="00EE3216"/>
    <w:rsid w:val="00EE322B"/>
    <w:rsid w:val="00EE3266"/>
    <w:rsid w:val="00EE326B"/>
    <w:rsid w:val="00EE326C"/>
    <w:rsid w:val="00EE336A"/>
    <w:rsid w:val="00EE336B"/>
    <w:rsid w:val="00EE3398"/>
    <w:rsid w:val="00EE339E"/>
    <w:rsid w:val="00EE33D2"/>
    <w:rsid w:val="00EE33E6"/>
    <w:rsid w:val="00EE33F5"/>
    <w:rsid w:val="00EE344F"/>
    <w:rsid w:val="00EE3457"/>
    <w:rsid w:val="00EE3477"/>
    <w:rsid w:val="00EE347F"/>
    <w:rsid w:val="00EE34A4"/>
    <w:rsid w:val="00EE351F"/>
    <w:rsid w:val="00EE3533"/>
    <w:rsid w:val="00EE3560"/>
    <w:rsid w:val="00EE3593"/>
    <w:rsid w:val="00EE35E9"/>
    <w:rsid w:val="00EE3640"/>
    <w:rsid w:val="00EE36BD"/>
    <w:rsid w:val="00EE36C3"/>
    <w:rsid w:val="00EE36FC"/>
    <w:rsid w:val="00EE3741"/>
    <w:rsid w:val="00EE3742"/>
    <w:rsid w:val="00EE3765"/>
    <w:rsid w:val="00EE3791"/>
    <w:rsid w:val="00EE37B6"/>
    <w:rsid w:val="00EE37C4"/>
    <w:rsid w:val="00EE37C9"/>
    <w:rsid w:val="00EE37DB"/>
    <w:rsid w:val="00EE37ED"/>
    <w:rsid w:val="00EE380E"/>
    <w:rsid w:val="00EE3813"/>
    <w:rsid w:val="00EE389C"/>
    <w:rsid w:val="00EE38AA"/>
    <w:rsid w:val="00EE38D3"/>
    <w:rsid w:val="00EE38DF"/>
    <w:rsid w:val="00EE3909"/>
    <w:rsid w:val="00EE3916"/>
    <w:rsid w:val="00EE391F"/>
    <w:rsid w:val="00EE397D"/>
    <w:rsid w:val="00EE3980"/>
    <w:rsid w:val="00EE39A5"/>
    <w:rsid w:val="00EE39CD"/>
    <w:rsid w:val="00EE39E3"/>
    <w:rsid w:val="00EE39EF"/>
    <w:rsid w:val="00EE3A3B"/>
    <w:rsid w:val="00EE3A3F"/>
    <w:rsid w:val="00EE3A41"/>
    <w:rsid w:val="00EE3A85"/>
    <w:rsid w:val="00EE3AAC"/>
    <w:rsid w:val="00EE3B2B"/>
    <w:rsid w:val="00EE3B49"/>
    <w:rsid w:val="00EE3B87"/>
    <w:rsid w:val="00EE3BB5"/>
    <w:rsid w:val="00EE3BCC"/>
    <w:rsid w:val="00EE3BD5"/>
    <w:rsid w:val="00EE3BD9"/>
    <w:rsid w:val="00EE3BF3"/>
    <w:rsid w:val="00EE3C02"/>
    <w:rsid w:val="00EE3C64"/>
    <w:rsid w:val="00EE3C71"/>
    <w:rsid w:val="00EE3C85"/>
    <w:rsid w:val="00EE3CA6"/>
    <w:rsid w:val="00EE3CF5"/>
    <w:rsid w:val="00EE3D3B"/>
    <w:rsid w:val="00EE3D7F"/>
    <w:rsid w:val="00EE3D83"/>
    <w:rsid w:val="00EE3DAA"/>
    <w:rsid w:val="00EE3DCC"/>
    <w:rsid w:val="00EE3DD6"/>
    <w:rsid w:val="00EE3DEE"/>
    <w:rsid w:val="00EE3E4E"/>
    <w:rsid w:val="00EE3E54"/>
    <w:rsid w:val="00EE3E72"/>
    <w:rsid w:val="00EE3E9E"/>
    <w:rsid w:val="00EE3EA2"/>
    <w:rsid w:val="00EE3EA3"/>
    <w:rsid w:val="00EE3EA4"/>
    <w:rsid w:val="00EE3EB3"/>
    <w:rsid w:val="00EE3EF3"/>
    <w:rsid w:val="00EE3F07"/>
    <w:rsid w:val="00EE3F0D"/>
    <w:rsid w:val="00EE3F57"/>
    <w:rsid w:val="00EE3F5E"/>
    <w:rsid w:val="00EE3F76"/>
    <w:rsid w:val="00EE3FA0"/>
    <w:rsid w:val="00EE3FBD"/>
    <w:rsid w:val="00EE3FD6"/>
    <w:rsid w:val="00EE3FFF"/>
    <w:rsid w:val="00EE4030"/>
    <w:rsid w:val="00EE40B4"/>
    <w:rsid w:val="00EE40C5"/>
    <w:rsid w:val="00EE40CD"/>
    <w:rsid w:val="00EE4111"/>
    <w:rsid w:val="00EE4120"/>
    <w:rsid w:val="00EE4123"/>
    <w:rsid w:val="00EE4169"/>
    <w:rsid w:val="00EE416C"/>
    <w:rsid w:val="00EE4191"/>
    <w:rsid w:val="00EE41E5"/>
    <w:rsid w:val="00EE41F8"/>
    <w:rsid w:val="00EE4229"/>
    <w:rsid w:val="00EE4269"/>
    <w:rsid w:val="00EE42DF"/>
    <w:rsid w:val="00EE42E0"/>
    <w:rsid w:val="00EE4310"/>
    <w:rsid w:val="00EE432C"/>
    <w:rsid w:val="00EE4345"/>
    <w:rsid w:val="00EE435E"/>
    <w:rsid w:val="00EE43DD"/>
    <w:rsid w:val="00EE43FB"/>
    <w:rsid w:val="00EE43FF"/>
    <w:rsid w:val="00EE4422"/>
    <w:rsid w:val="00EE4462"/>
    <w:rsid w:val="00EE448A"/>
    <w:rsid w:val="00EE44AF"/>
    <w:rsid w:val="00EE4503"/>
    <w:rsid w:val="00EE4508"/>
    <w:rsid w:val="00EE451F"/>
    <w:rsid w:val="00EE4532"/>
    <w:rsid w:val="00EE456D"/>
    <w:rsid w:val="00EE4572"/>
    <w:rsid w:val="00EE4587"/>
    <w:rsid w:val="00EE458E"/>
    <w:rsid w:val="00EE45A3"/>
    <w:rsid w:val="00EE45A6"/>
    <w:rsid w:val="00EE464A"/>
    <w:rsid w:val="00EE468A"/>
    <w:rsid w:val="00EE468F"/>
    <w:rsid w:val="00EE46B8"/>
    <w:rsid w:val="00EE46BC"/>
    <w:rsid w:val="00EE46C1"/>
    <w:rsid w:val="00EE46F0"/>
    <w:rsid w:val="00EE4709"/>
    <w:rsid w:val="00EE471F"/>
    <w:rsid w:val="00EE4738"/>
    <w:rsid w:val="00EE4794"/>
    <w:rsid w:val="00EE47D5"/>
    <w:rsid w:val="00EE47FA"/>
    <w:rsid w:val="00EE4814"/>
    <w:rsid w:val="00EE481E"/>
    <w:rsid w:val="00EE4851"/>
    <w:rsid w:val="00EE4860"/>
    <w:rsid w:val="00EE4871"/>
    <w:rsid w:val="00EE4879"/>
    <w:rsid w:val="00EE48AF"/>
    <w:rsid w:val="00EE48B8"/>
    <w:rsid w:val="00EE48F0"/>
    <w:rsid w:val="00EE4953"/>
    <w:rsid w:val="00EE499F"/>
    <w:rsid w:val="00EE49D7"/>
    <w:rsid w:val="00EE49DD"/>
    <w:rsid w:val="00EE49F5"/>
    <w:rsid w:val="00EE4A50"/>
    <w:rsid w:val="00EE4A58"/>
    <w:rsid w:val="00EE4A67"/>
    <w:rsid w:val="00EE4A9C"/>
    <w:rsid w:val="00EE4AD5"/>
    <w:rsid w:val="00EE4B43"/>
    <w:rsid w:val="00EE4BB4"/>
    <w:rsid w:val="00EE4C62"/>
    <w:rsid w:val="00EE4C6B"/>
    <w:rsid w:val="00EE4C76"/>
    <w:rsid w:val="00EE4CB3"/>
    <w:rsid w:val="00EE4CE3"/>
    <w:rsid w:val="00EE4D35"/>
    <w:rsid w:val="00EE4D4A"/>
    <w:rsid w:val="00EE4D52"/>
    <w:rsid w:val="00EE4DBB"/>
    <w:rsid w:val="00EE4DF0"/>
    <w:rsid w:val="00EE4DF4"/>
    <w:rsid w:val="00EE4E04"/>
    <w:rsid w:val="00EE4E08"/>
    <w:rsid w:val="00EE4E27"/>
    <w:rsid w:val="00EE4E32"/>
    <w:rsid w:val="00EE4E96"/>
    <w:rsid w:val="00EE4EA6"/>
    <w:rsid w:val="00EE4EDE"/>
    <w:rsid w:val="00EE4F73"/>
    <w:rsid w:val="00EE4F98"/>
    <w:rsid w:val="00EE4FFF"/>
    <w:rsid w:val="00EE5015"/>
    <w:rsid w:val="00EE5019"/>
    <w:rsid w:val="00EE503B"/>
    <w:rsid w:val="00EE5043"/>
    <w:rsid w:val="00EE50A1"/>
    <w:rsid w:val="00EE50CB"/>
    <w:rsid w:val="00EE50CC"/>
    <w:rsid w:val="00EE50F4"/>
    <w:rsid w:val="00EE512C"/>
    <w:rsid w:val="00EE51A4"/>
    <w:rsid w:val="00EE51E0"/>
    <w:rsid w:val="00EE51E4"/>
    <w:rsid w:val="00EE520B"/>
    <w:rsid w:val="00EE5224"/>
    <w:rsid w:val="00EE5280"/>
    <w:rsid w:val="00EE5294"/>
    <w:rsid w:val="00EE5318"/>
    <w:rsid w:val="00EE531F"/>
    <w:rsid w:val="00EE532F"/>
    <w:rsid w:val="00EE538B"/>
    <w:rsid w:val="00EE53AE"/>
    <w:rsid w:val="00EE53E1"/>
    <w:rsid w:val="00EE53EB"/>
    <w:rsid w:val="00EE53F7"/>
    <w:rsid w:val="00EE542F"/>
    <w:rsid w:val="00EE5446"/>
    <w:rsid w:val="00EE5487"/>
    <w:rsid w:val="00EE5494"/>
    <w:rsid w:val="00EE54C8"/>
    <w:rsid w:val="00EE5501"/>
    <w:rsid w:val="00EE553D"/>
    <w:rsid w:val="00EE5542"/>
    <w:rsid w:val="00EE554C"/>
    <w:rsid w:val="00EE5578"/>
    <w:rsid w:val="00EE55E1"/>
    <w:rsid w:val="00EE55F2"/>
    <w:rsid w:val="00EE5606"/>
    <w:rsid w:val="00EE5644"/>
    <w:rsid w:val="00EE564D"/>
    <w:rsid w:val="00EE569C"/>
    <w:rsid w:val="00EE56A5"/>
    <w:rsid w:val="00EE56A6"/>
    <w:rsid w:val="00EE56F2"/>
    <w:rsid w:val="00EE570A"/>
    <w:rsid w:val="00EE572C"/>
    <w:rsid w:val="00EE575D"/>
    <w:rsid w:val="00EE5763"/>
    <w:rsid w:val="00EE576E"/>
    <w:rsid w:val="00EE57A2"/>
    <w:rsid w:val="00EE57D7"/>
    <w:rsid w:val="00EE57ED"/>
    <w:rsid w:val="00EE5808"/>
    <w:rsid w:val="00EE580E"/>
    <w:rsid w:val="00EE580F"/>
    <w:rsid w:val="00EE5829"/>
    <w:rsid w:val="00EE584D"/>
    <w:rsid w:val="00EE5854"/>
    <w:rsid w:val="00EE585F"/>
    <w:rsid w:val="00EE5863"/>
    <w:rsid w:val="00EE5884"/>
    <w:rsid w:val="00EE58F3"/>
    <w:rsid w:val="00EE5903"/>
    <w:rsid w:val="00EE5908"/>
    <w:rsid w:val="00EE5911"/>
    <w:rsid w:val="00EE5929"/>
    <w:rsid w:val="00EE595A"/>
    <w:rsid w:val="00EE596E"/>
    <w:rsid w:val="00EE598E"/>
    <w:rsid w:val="00EE59A1"/>
    <w:rsid w:val="00EE59D0"/>
    <w:rsid w:val="00EE59E7"/>
    <w:rsid w:val="00EE5A13"/>
    <w:rsid w:val="00EE5A31"/>
    <w:rsid w:val="00EE5A62"/>
    <w:rsid w:val="00EE5A9E"/>
    <w:rsid w:val="00EE5AC0"/>
    <w:rsid w:val="00EE5AEB"/>
    <w:rsid w:val="00EE5AF8"/>
    <w:rsid w:val="00EE5AF9"/>
    <w:rsid w:val="00EE5B1B"/>
    <w:rsid w:val="00EE5B3C"/>
    <w:rsid w:val="00EE5B4C"/>
    <w:rsid w:val="00EE5B79"/>
    <w:rsid w:val="00EE5B7B"/>
    <w:rsid w:val="00EE5B92"/>
    <w:rsid w:val="00EE5B9B"/>
    <w:rsid w:val="00EE5BAA"/>
    <w:rsid w:val="00EE5BB0"/>
    <w:rsid w:val="00EE5BBC"/>
    <w:rsid w:val="00EE5BD8"/>
    <w:rsid w:val="00EE5C0C"/>
    <w:rsid w:val="00EE5C1C"/>
    <w:rsid w:val="00EE5C4F"/>
    <w:rsid w:val="00EE5C75"/>
    <w:rsid w:val="00EE5C8D"/>
    <w:rsid w:val="00EE5CCA"/>
    <w:rsid w:val="00EE5CFF"/>
    <w:rsid w:val="00EE5D03"/>
    <w:rsid w:val="00EE5D17"/>
    <w:rsid w:val="00EE5D2F"/>
    <w:rsid w:val="00EE5D45"/>
    <w:rsid w:val="00EE5D47"/>
    <w:rsid w:val="00EE5D56"/>
    <w:rsid w:val="00EE5D58"/>
    <w:rsid w:val="00EE5D7F"/>
    <w:rsid w:val="00EE5D99"/>
    <w:rsid w:val="00EE5DB2"/>
    <w:rsid w:val="00EE5DD2"/>
    <w:rsid w:val="00EE5DFB"/>
    <w:rsid w:val="00EE5E00"/>
    <w:rsid w:val="00EE5E09"/>
    <w:rsid w:val="00EE5E8B"/>
    <w:rsid w:val="00EE5E98"/>
    <w:rsid w:val="00EE5EB3"/>
    <w:rsid w:val="00EE5EB5"/>
    <w:rsid w:val="00EE5EC5"/>
    <w:rsid w:val="00EE5F39"/>
    <w:rsid w:val="00EE5F41"/>
    <w:rsid w:val="00EE5F82"/>
    <w:rsid w:val="00EE5F8B"/>
    <w:rsid w:val="00EE5FA5"/>
    <w:rsid w:val="00EE5FC7"/>
    <w:rsid w:val="00EE5FDC"/>
    <w:rsid w:val="00EE5FEC"/>
    <w:rsid w:val="00EE5FFC"/>
    <w:rsid w:val="00EE5FFE"/>
    <w:rsid w:val="00EE6006"/>
    <w:rsid w:val="00EE6014"/>
    <w:rsid w:val="00EE6025"/>
    <w:rsid w:val="00EE6044"/>
    <w:rsid w:val="00EE6045"/>
    <w:rsid w:val="00EE604B"/>
    <w:rsid w:val="00EE608B"/>
    <w:rsid w:val="00EE60FF"/>
    <w:rsid w:val="00EE611A"/>
    <w:rsid w:val="00EE615B"/>
    <w:rsid w:val="00EE61F3"/>
    <w:rsid w:val="00EE6212"/>
    <w:rsid w:val="00EE6222"/>
    <w:rsid w:val="00EE62A4"/>
    <w:rsid w:val="00EE62B4"/>
    <w:rsid w:val="00EE62C4"/>
    <w:rsid w:val="00EE62DE"/>
    <w:rsid w:val="00EE62E6"/>
    <w:rsid w:val="00EE6302"/>
    <w:rsid w:val="00EE6303"/>
    <w:rsid w:val="00EE6353"/>
    <w:rsid w:val="00EE638E"/>
    <w:rsid w:val="00EE63B6"/>
    <w:rsid w:val="00EE6400"/>
    <w:rsid w:val="00EE6416"/>
    <w:rsid w:val="00EE643B"/>
    <w:rsid w:val="00EE644B"/>
    <w:rsid w:val="00EE6473"/>
    <w:rsid w:val="00EE647A"/>
    <w:rsid w:val="00EE64C6"/>
    <w:rsid w:val="00EE64CF"/>
    <w:rsid w:val="00EE64D1"/>
    <w:rsid w:val="00EE64D5"/>
    <w:rsid w:val="00EE64FF"/>
    <w:rsid w:val="00EE6517"/>
    <w:rsid w:val="00EE6524"/>
    <w:rsid w:val="00EE653E"/>
    <w:rsid w:val="00EE6560"/>
    <w:rsid w:val="00EE6610"/>
    <w:rsid w:val="00EE6643"/>
    <w:rsid w:val="00EE6688"/>
    <w:rsid w:val="00EE66D9"/>
    <w:rsid w:val="00EE672E"/>
    <w:rsid w:val="00EE6731"/>
    <w:rsid w:val="00EE678E"/>
    <w:rsid w:val="00EE67B6"/>
    <w:rsid w:val="00EE67B7"/>
    <w:rsid w:val="00EE67E5"/>
    <w:rsid w:val="00EE6829"/>
    <w:rsid w:val="00EE6850"/>
    <w:rsid w:val="00EE6872"/>
    <w:rsid w:val="00EE68A1"/>
    <w:rsid w:val="00EE68AC"/>
    <w:rsid w:val="00EE68B5"/>
    <w:rsid w:val="00EE68B9"/>
    <w:rsid w:val="00EE68E1"/>
    <w:rsid w:val="00EE6906"/>
    <w:rsid w:val="00EE6914"/>
    <w:rsid w:val="00EE696B"/>
    <w:rsid w:val="00EE696C"/>
    <w:rsid w:val="00EE699B"/>
    <w:rsid w:val="00EE69C4"/>
    <w:rsid w:val="00EE6A0E"/>
    <w:rsid w:val="00EE6A31"/>
    <w:rsid w:val="00EE6B4F"/>
    <w:rsid w:val="00EE6B52"/>
    <w:rsid w:val="00EE6B60"/>
    <w:rsid w:val="00EE6B66"/>
    <w:rsid w:val="00EE6B68"/>
    <w:rsid w:val="00EE6BB8"/>
    <w:rsid w:val="00EE6BC9"/>
    <w:rsid w:val="00EE6BD6"/>
    <w:rsid w:val="00EE6BD7"/>
    <w:rsid w:val="00EE6BFF"/>
    <w:rsid w:val="00EE6C9F"/>
    <w:rsid w:val="00EE6CEB"/>
    <w:rsid w:val="00EE6CF2"/>
    <w:rsid w:val="00EE6CFB"/>
    <w:rsid w:val="00EE6D35"/>
    <w:rsid w:val="00EE6D3A"/>
    <w:rsid w:val="00EE6D98"/>
    <w:rsid w:val="00EE6DED"/>
    <w:rsid w:val="00EE6E0F"/>
    <w:rsid w:val="00EE6E2F"/>
    <w:rsid w:val="00EE6E31"/>
    <w:rsid w:val="00EE6E3E"/>
    <w:rsid w:val="00EE6E58"/>
    <w:rsid w:val="00EE6E66"/>
    <w:rsid w:val="00EE6E73"/>
    <w:rsid w:val="00EE6E78"/>
    <w:rsid w:val="00EE6E7E"/>
    <w:rsid w:val="00EE6E87"/>
    <w:rsid w:val="00EE6E8D"/>
    <w:rsid w:val="00EE6F06"/>
    <w:rsid w:val="00EE6F31"/>
    <w:rsid w:val="00EE6F41"/>
    <w:rsid w:val="00EE6F7C"/>
    <w:rsid w:val="00EE6F9B"/>
    <w:rsid w:val="00EE6FF2"/>
    <w:rsid w:val="00EE7013"/>
    <w:rsid w:val="00EE701B"/>
    <w:rsid w:val="00EE7071"/>
    <w:rsid w:val="00EE7096"/>
    <w:rsid w:val="00EE70D4"/>
    <w:rsid w:val="00EE7113"/>
    <w:rsid w:val="00EE7214"/>
    <w:rsid w:val="00EE7255"/>
    <w:rsid w:val="00EE7278"/>
    <w:rsid w:val="00EE728F"/>
    <w:rsid w:val="00EE730A"/>
    <w:rsid w:val="00EE7394"/>
    <w:rsid w:val="00EE73FB"/>
    <w:rsid w:val="00EE7409"/>
    <w:rsid w:val="00EE745A"/>
    <w:rsid w:val="00EE7469"/>
    <w:rsid w:val="00EE749A"/>
    <w:rsid w:val="00EE74B6"/>
    <w:rsid w:val="00EE74CE"/>
    <w:rsid w:val="00EE74ED"/>
    <w:rsid w:val="00EE751B"/>
    <w:rsid w:val="00EE753E"/>
    <w:rsid w:val="00EE7541"/>
    <w:rsid w:val="00EE7553"/>
    <w:rsid w:val="00EE757C"/>
    <w:rsid w:val="00EE759F"/>
    <w:rsid w:val="00EE7618"/>
    <w:rsid w:val="00EE7619"/>
    <w:rsid w:val="00EE761E"/>
    <w:rsid w:val="00EE7644"/>
    <w:rsid w:val="00EE766A"/>
    <w:rsid w:val="00EE7675"/>
    <w:rsid w:val="00EE767A"/>
    <w:rsid w:val="00EE7692"/>
    <w:rsid w:val="00EE76A2"/>
    <w:rsid w:val="00EE76E1"/>
    <w:rsid w:val="00EE7791"/>
    <w:rsid w:val="00EE77BB"/>
    <w:rsid w:val="00EE77CD"/>
    <w:rsid w:val="00EE7806"/>
    <w:rsid w:val="00EE7816"/>
    <w:rsid w:val="00EE783F"/>
    <w:rsid w:val="00EE7868"/>
    <w:rsid w:val="00EE7885"/>
    <w:rsid w:val="00EE7891"/>
    <w:rsid w:val="00EE78E7"/>
    <w:rsid w:val="00EE790D"/>
    <w:rsid w:val="00EE790F"/>
    <w:rsid w:val="00EE7933"/>
    <w:rsid w:val="00EE7949"/>
    <w:rsid w:val="00EE7963"/>
    <w:rsid w:val="00EE7968"/>
    <w:rsid w:val="00EE79B3"/>
    <w:rsid w:val="00EE79DF"/>
    <w:rsid w:val="00EE79E6"/>
    <w:rsid w:val="00EE7A38"/>
    <w:rsid w:val="00EE7A64"/>
    <w:rsid w:val="00EE7A65"/>
    <w:rsid w:val="00EE7A8E"/>
    <w:rsid w:val="00EE7A97"/>
    <w:rsid w:val="00EE7AA1"/>
    <w:rsid w:val="00EE7B3B"/>
    <w:rsid w:val="00EE7BC5"/>
    <w:rsid w:val="00EE7C21"/>
    <w:rsid w:val="00EE7C28"/>
    <w:rsid w:val="00EE7C41"/>
    <w:rsid w:val="00EE7C56"/>
    <w:rsid w:val="00EE7CA5"/>
    <w:rsid w:val="00EE7CB9"/>
    <w:rsid w:val="00EE7CBF"/>
    <w:rsid w:val="00EE7CCE"/>
    <w:rsid w:val="00EE7CD1"/>
    <w:rsid w:val="00EE7CD4"/>
    <w:rsid w:val="00EE7D10"/>
    <w:rsid w:val="00EE7D20"/>
    <w:rsid w:val="00EE7D47"/>
    <w:rsid w:val="00EE7DBF"/>
    <w:rsid w:val="00EE7E11"/>
    <w:rsid w:val="00EE7E12"/>
    <w:rsid w:val="00EE7E24"/>
    <w:rsid w:val="00EE7E3C"/>
    <w:rsid w:val="00EE7E57"/>
    <w:rsid w:val="00EE7E64"/>
    <w:rsid w:val="00EE7E73"/>
    <w:rsid w:val="00EE7EC3"/>
    <w:rsid w:val="00EE7F1A"/>
    <w:rsid w:val="00EE7F20"/>
    <w:rsid w:val="00EE7FD1"/>
    <w:rsid w:val="00EE7FE0"/>
    <w:rsid w:val="00EE7FE9"/>
    <w:rsid w:val="00EF0000"/>
    <w:rsid w:val="00EF0069"/>
    <w:rsid w:val="00EF006A"/>
    <w:rsid w:val="00EF0091"/>
    <w:rsid w:val="00EF00B2"/>
    <w:rsid w:val="00EF00BC"/>
    <w:rsid w:val="00EF00CF"/>
    <w:rsid w:val="00EF00D5"/>
    <w:rsid w:val="00EF00EF"/>
    <w:rsid w:val="00EF010C"/>
    <w:rsid w:val="00EF0123"/>
    <w:rsid w:val="00EF0154"/>
    <w:rsid w:val="00EF018A"/>
    <w:rsid w:val="00EF01DA"/>
    <w:rsid w:val="00EF0206"/>
    <w:rsid w:val="00EF0218"/>
    <w:rsid w:val="00EF0257"/>
    <w:rsid w:val="00EF0285"/>
    <w:rsid w:val="00EF02E9"/>
    <w:rsid w:val="00EF0327"/>
    <w:rsid w:val="00EF0350"/>
    <w:rsid w:val="00EF0353"/>
    <w:rsid w:val="00EF03AB"/>
    <w:rsid w:val="00EF03B7"/>
    <w:rsid w:val="00EF0409"/>
    <w:rsid w:val="00EF041A"/>
    <w:rsid w:val="00EF043F"/>
    <w:rsid w:val="00EF0448"/>
    <w:rsid w:val="00EF0451"/>
    <w:rsid w:val="00EF0471"/>
    <w:rsid w:val="00EF04DD"/>
    <w:rsid w:val="00EF0505"/>
    <w:rsid w:val="00EF0526"/>
    <w:rsid w:val="00EF052C"/>
    <w:rsid w:val="00EF054F"/>
    <w:rsid w:val="00EF0560"/>
    <w:rsid w:val="00EF0590"/>
    <w:rsid w:val="00EF05A0"/>
    <w:rsid w:val="00EF05B8"/>
    <w:rsid w:val="00EF05C6"/>
    <w:rsid w:val="00EF05D6"/>
    <w:rsid w:val="00EF0625"/>
    <w:rsid w:val="00EF0647"/>
    <w:rsid w:val="00EF064C"/>
    <w:rsid w:val="00EF0668"/>
    <w:rsid w:val="00EF066B"/>
    <w:rsid w:val="00EF066D"/>
    <w:rsid w:val="00EF0688"/>
    <w:rsid w:val="00EF068E"/>
    <w:rsid w:val="00EF06F1"/>
    <w:rsid w:val="00EF06FE"/>
    <w:rsid w:val="00EF0728"/>
    <w:rsid w:val="00EF074B"/>
    <w:rsid w:val="00EF0768"/>
    <w:rsid w:val="00EF078D"/>
    <w:rsid w:val="00EF0799"/>
    <w:rsid w:val="00EF07BE"/>
    <w:rsid w:val="00EF07C6"/>
    <w:rsid w:val="00EF07F3"/>
    <w:rsid w:val="00EF07FB"/>
    <w:rsid w:val="00EF080C"/>
    <w:rsid w:val="00EF0831"/>
    <w:rsid w:val="00EF0889"/>
    <w:rsid w:val="00EF088A"/>
    <w:rsid w:val="00EF08B5"/>
    <w:rsid w:val="00EF08CF"/>
    <w:rsid w:val="00EF08E9"/>
    <w:rsid w:val="00EF08F6"/>
    <w:rsid w:val="00EF0902"/>
    <w:rsid w:val="00EF090A"/>
    <w:rsid w:val="00EF0910"/>
    <w:rsid w:val="00EF0911"/>
    <w:rsid w:val="00EF0920"/>
    <w:rsid w:val="00EF0946"/>
    <w:rsid w:val="00EF0971"/>
    <w:rsid w:val="00EF098C"/>
    <w:rsid w:val="00EF09B7"/>
    <w:rsid w:val="00EF09CA"/>
    <w:rsid w:val="00EF09D2"/>
    <w:rsid w:val="00EF09DA"/>
    <w:rsid w:val="00EF09E2"/>
    <w:rsid w:val="00EF0A1C"/>
    <w:rsid w:val="00EF0A28"/>
    <w:rsid w:val="00EF0A2B"/>
    <w:rsid w:val="00EF0A31"/>
    <w:rsid w:val="00EF0A66"/>
    <w:rsid w:val="00EF0A76"/>
    <w:rsid w:val="00EF0AA4"/>
    <w:rsid w:val="00EF0AD9"/>
    <w:rsid w:val="00EF0AE8"/>
    <w:rsid w:val="00EF0AF3"/>
    <w:rsid w:val="00EF0B04"/>
    <w:rsid w:val="00EF0B15"/>
    <w:rsid w:val="00EF0B2A"/>
    <w:rsid w:val="00EF0B37"/>
    <w:rsid w:val="00EF0B38"/>
    <w:rsid w:val="00EF0C30"/>
    <w:rsid w:val="00EF0C32"/>
    <w:rsid w:val="00EF0C36"/>
    <w:rsid w:val="00EF0C92"/>
    <w:rsid w:val="00EF0CFB"/>
    <w:rsid w:val="00EF0D15"/>
    <w:rsid w:val="00EF0D36"/>
    <w:rsid w:val="00EF0D44"/>
    <w:rsid w:val="00EF0DFC"/>
    <w:rsid w:val="00EF0E30"/>
    <w:rsid w:val="00EF0E5B"/>
    <w:rsid w:val="00EF0E69"/>
    <w:rsid w:val="00EF0E8D"/>
    <w:rsid w:val="00EF0EAA"/>
    <w:rsid w:val="00EF0EFE"/>
    <w:rsid w:val="00EF0F2D"/>
    <w:rsid w:val="00EF0F3E"/>
    <w:rsid w:val="00EF0F59"/>
    <w:rsid w:val="00EF0FA3"/>
    <w:rsid w:val="00EF1007"/>
    <w:rsid w:val="00EF100A"/>
    <w:rsid w:val="00EF1082"/>
    <w:rsid w:val="00EF1095"/>
    <w:rsid w:val="00EF10A3"/>
    <w:rsid w:val="00EF10FF"/>
    <w:rsid w:val="00EF110D"/>
    <w:rsid w:val="00EF113C"/>
    <w:rsid w:val="00EF1142"/>
    <w:rsid w:val="00EF1149"/>
    <w:rsid w:val="00EF115E"/>
    <w:rsid w:val="00EF11C4"/>
    <w:rsid w:val="00EF11DB"/>
    <w:rsid w:val="00EF11F3"/>
    <w:rsid w:val="00EF1207"/>
    <w:rsid w:val="00EF1222"/>
    <w:rsid w:val="00EF1255"/>
    <w:rsid w:val="00EF1272"/>
    <w:rsid w:val="00EF12AB"/>
    <w:rsid w:val="00EF12F0"/>
    <w:rsid w:val="00EF1309"/>
    <w:rsid w:val="00EF130D"/>
    <w:rsid w:val="00EF132E"/>
    <w:rsid w:val="00EF1348"/>
    <w:rsid w:val="00EF138E"/>
    <w:rsid w:val="00EF13AD"/>
    <w:rsid w:val="00EF13B1"/>
    <w:rsid w:val="00EF13EC"/>
    <w:rsid w:val="00EF142B"/>
    <w:rsid w:val="00EF145A"/>
    <w:rsid w:val="00EF149A"/>
    <w:rsid w:val="00EF149F"/>
    <w:rsid w:val="00EF14EB"/>
    <w:rsid w:val="00EF1525"/>
    <w:rsid w:val="00EF152B"/>
    <w:rsid w:val="00EF1535"/>
    <w:rsid w:val="00EF158A"/>
    <w:rsid w:val="00EF159D"/>
    <w:rsid w:val="00EF1645"/>
    <w:rsid w:val="00EF168E"/>
    <w:rsid w:val="00EF16D3"/>
    <w:rsid w:val="00EF16E8"/>
    <w:rsid w:val="00EF16FF"/>
    <w:rsid w:val="00EF1706"/>
    <w:rsid w:val="00EF1723"/>
    <w:rsid w:val="00EF176B"/>
    <w:rsid w:val="00EF179D"/>
    <w:rsid w:val="00EF17B0"/>
    <w:rsid w:val="00EF17BC"/>
    <w:rsid w:val="00EF182F"/>
    <w:rsid w:val="00EF1874"/>
    <w:rsid w:val="00EF1914"/>
    <w:rsid w:val="00EF1922"/>
    <w:rsid w:val="00EF1936"/>
    <w:rsid w:val="00EF1937"/>
    <w:rsid w:val="00EF193D"/>
    <w:rsid w:val="00EF1940"/>
    <w:rsid w:val="00EF194A"/>
    <w:rsid w:val="00EF1950"/>
    <w:rsid w:val="00EF196E"/>
    <w:rsid w:val="00EF196F"/>
    <w:rsid w:val="00EF19D6"/>
    <w:rsid w:val="00EF1A07"/>
    <w:rsid w:val="00EF1A0C"/>
    <w:rsid w:val="00EF1A14"/>
    <w:rsid w:val="00EF1A4F"/>
    <w:rsid w:val="00EF1A57"/>
    <w:rsid w:val="00EF1ABB"/>
    <w:rsid w:val="00EF1B17"/>
    <w:rsid w:val="00EF1B18"/>
    <w:rsid w:val="00EF1B1F"/>
    <w:rsid w:val="00EF1B29"/>
    <w:rsid w:val="00EF1B49"/>
    <w:rsid w:val="00EF1B88"/>
    <w:rsid w:val="00EF1B92"/>
    <w:rsid w:val="00EF1C0D"/>
    <w:rsid w:val="00EF1C1A"/>
    <w:rsid w:val="00EF1C3C"/>
    <w:rsid w:val="00EF1C60"/>
    <w:rsid w:val="00EF1C6D"/>
    <w:rsid w:val="00EF1C9E"/>
    <w:rsid w:val="00EF1CA9"/>
    <w:rsid w:val="00EF1CB9"/>
    <w:rsid w:val="00EF1CBE"/>
    <w:rsid w:val="00EF1CD2"/>
    <w:rsid w:val="00EF1CE8"/>
    <w:rsid w:val="00EF1D2E"/>
    <w:rsid w:val="00EF1D61"/>
    <w:rsid w:val="00EF1D82"/>
    <w:rsid w:val="00EF1DB4"/>
    <w:rsid w:val="00EF1DBD"/>
    <w:rsid w:val="00EF1DDF"/>
    <w:rsid w:val="00EF1DEB"/>
    <w:rsid w:val="00EF1E0C"/>
    <w:rsid w:val="00EF1E6A"/>
    <w:rsid w:val="00EF1F07"/>
    <w:rsid w:val="00EF1F20"/>
    <w:rsid w:val="00EF1F3C"/>
    <w:rsid w:val="00EF1F51"/>
    <w:rsid w:val="00EF1F7C"/>
    <w:rsid w:val="00EF1F7F"/>
    <w:rsid w:val="00EF1F8E"/>
    <w:rsid w:val="00EF1FA9"/>
    <w:rsid w:val="00EF1FE5"/>
    <w:rsid w:val="00EF206C"/>
    <w:rsid w:val="00EF206F"/>
    <w:rsid w:val="00EF2071"/>
    <w:rsid w:val="00EF2074"/>
    <w:rsid w:val="00EF20A1"/>
    <w:rsid w:val="00EF20D2"/>
    <w:rsid w:val="00EF20F6"/>
    <w:rsid w:val="00EF214D"/>
    <w:rsid w:val="00EF2173"/>
    <w:rsid w:val="00EF21CE"/>
    <w:rsid w:val="00EF21D2"/>
    <w:rsid w:val="00EF21D4"/>
    <w:rsid w:val="00EF222B"/>
    <w:rsid w:val="00EF2232"/>
    <w:rsid w:val="00EF2250"/>
    <w:rsid w:val="00EF2277"/>
    <w:rsid w:val="00EF22E2"/>
    <w:rsid w:val="00EF22FA"/>
    <w:rsid w:val="00EF2323"/>
    <w:rsid w:val="00EF235A"/>
    <w:rsid w:val="00EF237D"/>
    <w:rsid w:val="00EF23D8"/>
    <w:rsid w:val="00EF2436"/>
    <w:rsid w:val="00EF249B"/>
    <w:rsid w:val="00EF24A1"/>
    <w:rsid w:val="00EF24F6"/>
    <w:rsid w:val="00EF254B"/>
    <w:rsid w:val="00EF2552"/>
    <w:rsid w:val="00EF2557"/>
    <w:rsid w:val="00EF258F"/>
    <w:rsid w:val="00EF25AF"/>
    <w:rsid w:val="00EF25DC"/>
    <w:rsid w:val="00EF25E3"/>
    <w:rsid w:val="00EF2627"/>
    <w:rsid w:val="00EF2658"/>
    <w:rsid w:val="00EF26DC"/>
    <w:rsid w:val="00EF26E0"/>
    <w:rsid w:val="00EF2710"/>
    <w:rsid w:val="00EF272F"/>
    <w:rsid w:val="00EF274A"/>
    <w:rsid w:val="00EF277A"/>
    <w:rsid w:val="00EF277D"/>
    <w:rsid w:val="00EF277E"/>
    <w:rsid w:val="00EF27C3"/>
    <w:rsid w:val="00EF27DF"/>
    <w:rsid w:val="00EF27FB"/>
    <w:rsid w:val="00EF2810"/>
    <w:rsid w:val="00EF281C"/>
    <w:rsid w:val="00EF2835"/>
    <w:rsid w:val="00EF2849"/>
    <w:rsid w:val="00EF288B"/>
    <w:rsid w:val="00EF288E"/>
    <w:rsid w:val="00EF28D3"/>
    <w:rsid w:val="00EF2906"/>
    <w:rsid w:val="00EF2916"/>
    <w:rsid w:val="00EF2944"/>
    <w:rsid w:val="00EF2994"/>
    <w:rsid w:val="00EF29E8"/>
    <w:rsid w:val="00EF29FD"/>
    <w:rsid w:val="00EF2A08"/>
    <w:rsid w:val="00EF2A33"/>
    <w:rsid w:val="00EF2A42"/>
    <w:rsid w:val="00EF2A4B"/>
    <w:rsid w:val="00EF2A95"/>
    <w:rsid w:val="00EF2A9F"/>
    <w:rsid w:val="00EF2AF5"/>
    <w:rsid w:val="00EF2AFA"/>
    <w:rsid w:val="00EF2B75"/>
    <w:rsid w:val="00EF2B8C"/>
    <w:rsid w:val="00EF2B97"/>
    <w:rsid w:val="00EF2BA9"/>
    <w:rsid w:val="00EF2C0A"/>
    <w:rsid w:val="00EF2C1B"/>
    <w:rsid w:val="00EF2C2E"/>
    <w:rsid w:val="00EF2CE4"/>
    <w:rsid w:val="00EF2D07"/>
    <w:rsid w:val="00EF2D11"/>
    <w:rsid w:val="00EF2D23"/>
    <w:rsid w:val="00EF2D88"/>
    <w:rsid w:val="00EF2DED"/>
    <w:rsid w:val="00EF2DF8"/>
    <w:rsid w:val="00EF2DFA"/>
    <w:rsid w:val="00EF2E3D"/>
    <w:rsid w:val="00EF2EB8"/>
    <w:rsid w:val="00EF2F4B"/>
    <w:rsid w:val="00EF2F72"/>
    <w:rsid w:val="00EF2FB6"/>
    <w:rsid w:val="00EF2FC8"/>
    <w:rsid w:val="00EF2FF5"/>
    <w:rsid w:val="00EF300F"/>
    <w:rsid w:val="00EF301B"/>
    <w:rsid w:val="00EF301E"/>
    <w:rsid w:val="00EF302D"/>
    <w:rsid w:val="00EF3065"/>
    <w:rsid w:val="00EF306C"/>
    <w:rsid w:val="00EF30C3"/>
    <w:rsid w:val="00EF30D9"/>
    <w:rsid w:val="00EF30F1"/>
    <w:rsid w:val="00EF3114"/>
    <w:rsid w:val="00EF3126"/>
    <w:rsid w:val="00EF3143"/>
    <w:rsid w:val="00EF3177"/>
    <w:rsid w:val="00EF317C"/>
    <w:rsid w:val="00EF3187"/>
    <w:rsid w:val="00EF31AE"/>
    <w:rsid w:val="00EF31CA"/>
    <w:rsid w:val="00EF3216"/>
    <w:rsid w:val="00EF3228"/>
    <w:rsid w:val="00EF3239"/>
    <w:rsid w:val="00EF3250"/>
    <w:rsid w:val="00EF32B2"/>
    <w:rsid w:val="00EF32B3"/>
    <w:rsid w:val="00EF32D2"/>
    <w:rsid w:val="00EF32E0"/>
    <w:rsid w:val="00EF32ED"/>
    <w:rsid w:val="00EF32FA"/>
    <w:rsid w:val="00EF333A"/>
    <w:rsid w:val="00EF3347"/>
    <w:rsid w:val="00EF3391"/>
    <w:rsid w:val="00EF339E"/>
    <w:rsid w:val="00EF33CC"/>
    <w:rsid w:val="00EF340C"/>
    <w:rsid w:val="00EF3423"/>
    <w:rsid w:val="00EF342F"/>
    <w:rsid w:val="00EF3449"/>
    <w:rsid w:val="00EF3454"/>
    <w:rsid w:val="00EF3471"/>
    <w:rsid w:val="00EF348A"/>
    <w:rsid w:val="00EF348F"/>
    <w:rsid w:val="00EF34ED"/>
    <w:rsid w:val="00EF35B7"/>
    <w:rsid w:val="00EF35C7"/>
    <w:rsid w:val="00EF3600"/>
    <w:rsid w:val="00EF3601"/>
    <w:rsid w:val="00EF361F"/>
    <w:rsid w:val="00EF3649"/>
    <w:rsid w:val="00EF3689"/>
    <w:rsid w:val="00EF368F"/>
    <w:rsid w:val="00EF36AD"/>
    <w:rsid w:val="00EF36EF"/>
    <w:rsid w:val="00EF3756"/>
    <w:rsid w:val="00EF37D9"/>
    <w:rsid w:val="00EF382F"/>
    <w:rsid w:val="00EF384D"/>
    <w:rsid w:val="00EF3855"/>
    <w:rsid w:val="00EF3857"/>
    <w:rsid w:val="00EF385E"/>
    <w:rsid w:val="00EF3875"/>
    <w:rsid w:val="00EF390C"/>
    <w:rsid w:val="00EF392E"/>
    <w:rsid w:val="00EF39C6"/>
    <w:rsid w:val="00EF39D9"/>
    <w:rsid w:val="00EF39E9"/>
    <w:rsid w:val="00EF3A07"/>
    <w:rsid w:val="00EF3A4C"/>
    <w:rsid w:val="00EF3A57"/>
    <w:rsid w:val="00EF3A5C"/>
    <w:rsid w:val="00EF3A64"/>
    <w:rsid w:val="00EF3AD2"/>
    <w:rsid w:val="00EF3ADA"/>
    <w:rsid w:val="00EF3AF9"/>
    <w:rsid w:val="00EF3B44"/>
    <w:rsid w:val="00EF3B47"/>
    <w:rsid w:val="00EF3B77"/>
    <w:rsid w:val="00EF3B7A"/>
    <w:rsid w:val="00EF3B99"/>
    <w:rsid w:val="00EF3BAD"/>
    <w:rsid w:val="00EF3BC4"/>
    <w:rsid w:val="00EF3BE2"/>
    <w:rsid w:val="00EF3BEE"/>
    <w:rsid w:val="00EF3C57"/>
    <w:rsid w:val="00EF3C74"/>
    <w:rsid w:val="00EF3CCC"/>
    <w:rsid w:val="00EF3CDF"/>
    <w:rsid w:val="00EF3CE4"/>
    <w:rsid w:val="00EF3CEC"/>
    <w:rsid w:val="00EF3D00"/>
    <w:rsid w:val="00EF3D33"/>
    <w:rsid w:val="00EF3D45"/>
    <w:rsid w:val="00EF3DF7"/>
    <w:rsid w:val="00EF3DF8"/>
    <w:rsid w:val="00EF3E1A"/>
    <w:rsid w:val="00EF3E45"/>
    <w:rsid w:val="00EF3E5E"/>
    <w:rsid w:val="00EF3EC4"/>
    <w:rsid w:val="00EF3EC6"/>
    <w:rsid w:val="00EF3EEF"/>
    <w:rsid w:val="00EF3F19"/>
    <w:rsid w:val="00EF3F56"/>
    <w:rsid w:val="00EF3F78"/>
    <w:rsid w:val="00EF3FBE"/>
    <w:rsid w:val="00EF4011"/>
    <w:rsid w:val="00EF4049"/>
    <w:rsid w:val="00EF4061"/>
    <w:rsid w:val="00EF4063"/>
    <w:rsid w:val="00EF406A"/>
    <w:rsid w:val="00EF407A"/>
    <w:rsid w:val="00EF40B6"/>
    <w:rsid w:val="00EF40CD"/>
    <w:rsid w:val="00EF40FA"/>
    <w:rsid w:val="00EF40FF"/>
    <w:rsid w:val="00EF4136"/>
    <w:rsid w:val="00EF4142"/>
    <w:rsid w:val="00EF41FB"/>
    <w:rsid w:val="00EF4214"/>
    <w:rsid w:val="00EF4224"/>
    <w:rsid w:val="00EF4227"/>
    <w:rsid w:val="00EF427C"/>
    <w:rsid w:val="00EF4285"/>
    <w:rsid w:val="00EF428A"/>
    <w:rsid w:val="00EF42DD"/>
    <w:rsid w:val="00EF42FF"/>
    <w:rsid w:val="00EF4323"/>
    <w:rsid w:val="00EF434A"/>
    <w:rsid w:val="00EF435A"/>
    <w:rsid w:val="00EF43A3"/>
    <w:rsid w:val="00EF4417"/>
    <w:rsid w:val="00EF441E"/>
    <w:rsid w:val="00EF4420"/>
    <w:rsid w:val="00EF442C"/>
    <w:rsid w:val="00EF4444"/>
    <w:rsid w:val="00EF4486"/>
    <w:rsid w:val="00EF4517"/>
    <w:rsid w:val="00EF451B"/>
    <w:rsid w:val="00EF4521"/>
    <w:rsid w:val="00EF4550"/>
    <w:rsid w:val="00EF4599"/>
    <w:rsid w:val="00EF45CB"/>
    <w:rsid w:val="00EF465F"/>
    <w:rsid w:val="00EF46C3"/>
    <w:rsid w:val="00EF46ED"/>
    <w:rsid w:val="00EF46F1"/>
    <w:rsid w:val="00EF46FA"/>
    <w:rsid w:val="00EF470A"/>
    <w:rsid w:val="00EF471F"/>
    <w:rsid w:val="00EF4736"/>
    <w:rsid w:val="00EF4740"/>
    <w:rsid w:val="00EF476C"/>
    <w:rsid w:val="00EF47CA"/>
    <w:rsid w:val="00EF480D"/>
    <w:rsid w:val="00EF4825"/>
    <w:rsid w:val="00EF482F"/>
    <w:rsid w:val="00EF485D"/>
    <w:rsid w:val="00EF485E"/>
    <w:rsid w:val="00EF48A4"/>
    <w:rsid w:val="00EF48F4"/>
    <w:rsid w:val="00EF48FB"/>
    <w:rsid w:val="00EF48FF"/>
    <w:rsid w:val="00EF4931"/>
    <w:rsid w:val="00EF4934"/>
    <w:rsid w:val="00EF4936"/>
    <w:rsid w:val="00EF4951"/>
    <w:rsid w:val="00EF4956"/>
    <w:rsid w:val="00EF497D"/>
    <w:rsid w:val="00EF4985"/>
    <w:rsid w:val="00EF498B"/>
    <w:rsid w:val="00EF49AA"/>
    <w:rsid w:val="00EF4A58"/>
    <w:rsid w:val="00EF4A7D"/>
    <w:rsid w:val="00EF4AD5"/>
    <w:rsid w:val="00EF4ADC"/>
    <w:rsid w:val="00EF4AE9"/>
    <w:rsid w:val="00EF4AFB"/>
    <w:rsid w:val="00EF4B0F"/>
    <w:rsid w:val="00EF4B27"/>
    <w:rsid w:val="00EF4B29"/>
    <w:rsid w:val="00EF4B6B"/>
    <w:rsid w:val="00EF4B6F"/>
    <w:rsid w:val="00EF4B99"/>
    <w:rsid w:val="00EF4B9E"/>
    <w:rsid w:val="00EF4BDC"/>
    <w:rsid w:val="00EF4C44"/>
    <w:rsid w:val="00EF4C48"/>
    <w:rsid w:val="00EF4C5F"/>
    <w:rsid w:val="00EF4CCB"/>
    <w:rsid w:val="00EF4CD5"/>
    <w:rsid w:val="00EF4D0E"/>
    <w:rsid w:val="00EF4D28"/>
    <w:rsid w:val="00EF4D3B"/>
    <w:rsid w:val="00EF4D4F"/>
    <w:rsid w:val="00EF4D7E"/>
    <w:rsid w:val="00EF4D84"/>
    <w:rsid w:val="00EF4DD8"/>
    <w:rsid w:val="00EF4DF3"/>
    <w:rsid w:val="00EF4DFD"/>
    <w:rsid w:val="00EF4DFF"/>
    <w:rsid w:val="00EF4E02"/>
    <w:rsid w:val="00EF4E0B"/>
    <w:rsid w:val="00EF4E57"/>
    <w:rsid w:val="00EF4E59"/>
    <w:rsid w:val="00EF4E7C"/>
    <w:rsid w:val="00EF4ED0"/>
    <w:rsid w:val="00EF4F22"/>
    <w:rsid w:val="00EF4F81"/>
    <w:rsid w:val="00EF5009"/>
    <w:rsid w:val="00EF5053"/>
    <w:rsid w:val="00EF505D"/>
    <w:rsid w:val="00EF506A"/>
    <w:rsid w:val="00EF50D8"/>
    <w:rsid w:val="00EF5102"/>
    <w:rsid w:val="00EF5147"/>
    <w:rsid w:val="00EF51B9"/>
    <w:rsid w:val="00EF51CC"/>
    <w:rsid w:val="00EF51EA"/>
    <w:rsid w:val="00EF522F"/>
    <w:rsid w:val="00EF5232"/>
    <w:rsid w:val="00EF5272"/>
    <w:rsid w:val="00EF5292"/>
    <w:rsid w:val="00EF5297"/>
    <w:rsid w:val="00EF52D4"/>
    <w:rsid w:val="00EF533C"/>
    <w:rsid w:val="00EF5372"/>
    <w:rsid w:val="00EF5388"/>
    <w:rsid w:val="00EF538C"/>
    <w:rsid w:val="00EF538F"/>
    <w:rsid w:val="00EF5390"/>
    <w:rsid w:val="00EF5467"/>
    <w:rsid w:val="00EF548A"/>
    <w:rsid w:val="00EF548C"/>
    <w:rsid w:val="00EF549A"/>
    <w:rsid w:val="00EF54B2"/>
    <w:rsid w:val="00EF5527"/>
    <w:rsid w:val="00EF5556"/>
    <w:rsid w:val="00EF557D"/>
    <w:rsid w:val="00EF55AC"/>
    <w:rsid w:val="00EF55D7"/>
    <w:rsid w:val="00EF55F4"/>
    <w:rsid w:val="00EF5610"/>
    <w:rsid w:val="00EF5667"/>
    <w:rsid w:val="00EF56CE"/>
    <w:rsid w:val="00EF56D0"/>
    <w:rsid w:val="00EF56D5"/>
    <w:rsid w:val="00EF56F3"/>
    <w:rsid w:val="00EF5705"/>
    <w:rsid w:val="00EF571F"/>
    <w:rsid w:val="00EF576A"/>
    <w:rsid w:val="00EF576C"/>
    <w:rsid w:val="00EF57A1"/>
    <w:rsid w:val="00EF57CC"/>
    <w:rsid w:val="00EF581A"/>
    <w:rsid w:val="00EF5864"/>
    <w:rsid w:val="00EF586F"/>
    <w:rsid w:val="00EF5884"/>
    <w:rsid w:val="00EF589B"/>
    <w:rsid w:val="00EF58F9"/>
    <w:rsid w:val="00EF58FE"/>
    <w:rsid w:val="00EF5925"/>
    <w:rsid w:val="00EF5996"/>
    <w:rsid w:val="00EF59A2"/>
    <w:rsid w:val="00EF59B3"/>
    <w:rsid w:val="00EF59E4"/>
    <w:rsid w:val="00EF5A00"/>
    <w:rsid w:val="00EF5A09"/>
    <w:rsid w:val="00EF5A22"/>
    <w:rsid w:val="00EF5A3A"/>
    <w:rsid w:val="00EF5A3F"/>
    <w:rsid w:val="00EF5A78"/>
    <w:rsid w:val="00EF5AB2"/>
    <w:rsid w:val="00EF5B3C"/>
    <w:rsid w:val="00EF5B41"/>
    <w:rsid w:val="00EF5B50"/>
    <w:rsid w:val="00EF5B99"/>
    <w:rsid w:val="00EF5BAA"/>
    <w:rsid w:val="00EF5BB5"/>
    <w:rsid w:val="00EF5BE0"/>
    <w:rsid w:val="00EF5BF2"/>
    <w:rsid w:val="00EF5C45"/>
    <w:rsid w:val="00EF5C6D"/>
    <w:rsid w:val="00EF5CAD"/>
    <w:rsid w:val="00EF5CC0"/>
    <w:rsid w:val="00EF5D04"/>
    <w:rsid w:val="00EF5D35"/>
    <w:rsid w:val="00EF5D52"/>
    <w:rsid w:val="00EF5DC0"/>
    <w:rsid w:val="00EF5DC8"/>
    <w:rsid w:val="00EF5DE4"/>
    <w:rsid w:val="00EF5E27"/>
    <w:rsid w:val="00EF5E2F"/>
    <w:rsid w:val="00EF5E51"/>
    <w:rsid w:val="00EF5E7D"/>
    <w:rsid w:val="00EF5EA2"/>
    <w:rsid w:val="00EF5F1E"/>
    <w:rsid w:val="00EF5F38"/>
    <w:rsid w:val="00EF5F44"/>
    <w:rsid w:val="00EF5F5B"/>
    <w:rsid w:val="00EF5F5C"/>
    <w:rsid w:val="00EF5F67"/>
    <w:rsid w:val="00EF5F94"/>
    <w:rsid w:val="00EF5F95"/>
    <w:rsid w:val="00EF5FA6"/>
    <w:rsid w:val="00EF5FC6"/>
    <w:rsid w:val="00EF5FD0"/>
    <w:rsid w:val="00EF5FFF"/>
    <w:rsid w:val="00EF600F"/>
    <w:rsid w:val="00EF6019"/>
    <w:rsid w:val="00EF603D"/>
    <w:rsid w:val="00EF605A"/>
    <w:rsid w:val="00EF60A6"/>
    <w:rsid w:val="00EF60B5"/>
    <w:rsid w:val="00EF60C9"/>
    <w:rsid w:val="00EF60DB"/>
    <w:rsid w:val="00EF60EF"/>
    <w:rsid w:val="00EF60F2"/>
    <w:rsid w:val="00EF60F5"/>
    <w:rsid w:val="00EF60FA"/>
    <w:rsid w:val="00EF610B"/>
    <w:rsid w:val="00EF6110"/>
    <w:rsid w:val="00EF6125"/>
    <w:rsid w:val="00EF6133"/>
    <w:rsid w:val="00EF6185"/>
    <w:rsid w:val="00EF61A2"/>
    <w:rsid w:val="00EF61C9"/>
    <w:rsid w:val="00EF623F"/>
    <w:rsid w:val="00EF625D"/>
    <w:rsid w:val="00EF6270"/>
    <w:rsid w:val="00EF6275"/>
    <w:rsid w:val="00EF6279"/>
    <w:rsid w:val="00EF62A9"/>
    <w:rsid w:val="00EF62AA"/>
    <w:rsid w:val="00EF62BB"/>
    <w:rsid w:val="00EF6319"/>
    <w:rsid w:val="00EF631E"/>
    <w:rsid w:val="00EF6333"/>
    <w:rsid w:val="00EF6399"/>
    <w:rsid w:val="00EF63B3"/>
    <w:rsid w:val="00EF6400"/>
    <w:rsid w:val="00EF641C"/>
    <w:rsid w:val="00EF6427"/>
    <w:rsid w:val="00EF6439"/>
    <w:rsid w:val="00EF645B"/>
    <w:rsid w:val="00EF6473"/>
    <w:rsid w:val="00EF6476"/>
    <w:rsid w:val="00EF647D"/>
    <w:rsid w:val="00EF64A0"/>
    <w:rsid w:val="00EF6515"/>
    <w:rsid w:val="00EF6531"/>
    <w:rsid w:val="00EF6539"/>
    <w:rsid w:val="00EF653F"/>
    <w:rsid w:val="00EF65D4"/>
    <w:rsid w:val="00EF662B"/>
    <w:rsid w:val="00EF663C"/>
    <w:rsid w:val="00EF6650"/>
    <w:rsid w:val="00EF66BF"/>
    <w:rsid w:val="00EF66FF"/>
    <w:rsid w:val="00EF673E"/>
    <w:rsid w:val="00EF676A"/>
    <w:rsid w:val="00EF67DD"/>
    <w:rsid w:val="00EF682C"/>
    <w:rsid w:val="00EF686A"/>
    <w:rsid w:val="00EF689B"/>
    <w:rsid w:val="00EF689C"/>
    <w:rsid w:val="00EF689E"/>
    <w:rsid w:val="00EF68B6"/>
    <w:rsid w:val="00EF68DF"/>
    <w:rsid w:val="00EF68E6"/>
    <w:rsid w:val="00EF68EC"/>
    <w:rsid w:val="00EF6919"/>
    <w:rsid w:val="00EF6946"/>
    <w:rsid w:val="00EF6969"/>
    <w:rsid w:val="00EF69B4"/>
    <w:rsid w:val="00EF69D5"/>
    <w:rsid w:val="00EF69EF"/>
    <w:rsid w:val="00EF69F9"/>
    <w:rsid w:val="00EF69FB"/>
    <w:rsid w:val="00EF6A10"/>
    <w:rsid w:val="00EF6A55"/>
    <w:rsid w:val="00EF6A74"/>
    <w:rsid w:val="00EF6A7D"/>
    <w:rsid w:val="00EF6A8C"/>
    <w:rsid w:val="00EF6A9C"/>
    <w:rsid w:val="00EF6ADC"/>
    <w:rsid w:val="00EF6AFD"/>
    <w:rsid w:val="00EF6B4E"/>
    <w:rsid w:val="00EF6B59"/>
    <w:rsid w:val="00EF6B62"/>
    <w:rsid w:val="00EF6B7C"/>
    <w:rsid w:val="00EF6B97"/>
    <w:rsid w:val="00EF6BA5"/>
    <w:rsid w:val="00EF6BC1"/>
    <w:rsid w:val="00EF6BF3"/>
    <w:rsid w:val="00EF6C0B"/>
    <w:rsid w:val="00EF6C11"/>
    <w:rsid w:val="00EF6C79"/>
    <w:rsid w:val="00EF6C7D"/>
    <w:rsid w:val="00EF6C97"/>
    <w:rsid w:val="00EF6CA0"/>
    <w:rsid w:val="00EF6CD1"/>
    <w:rsid w:val="00EF6CF7"/>
    <w:rsid w:val="00EF6D24"/>
    <w:rsid w:val="00EF6D39"/>
    <w:rsid w:val="00EF6D3A"/>
    <w:rsid w:val="00EF6D4A"/>
    <w:rsid w:val="00EF6D83"/>
    <w:rsid w:val="00EF6D8B"/>
    <w:rsid w:val="00EF6D93"/>
    <w:rsid w:val="00EF6D9B"/>
    <w:rsid w:val="00EF6DA3"/>
    <w:rsid w:val="00EF6E02"/>
    <w:rsid w:val="00EF6E83"/>
    <w:rsid w:val="00EF6E97"/>
    <w:rsid w:val="00EF6EA1"/>
    <w:rsid w:val="00EF6EDB"/>
    <w:rsid w:val="00EF6EE9"/>
    <w:rsid w:val="00EF6EEB"/>
    <w:rsid w:val="00EF6EFA"/>
    <w:rsid w:val="00EF6F3F"/>
    <w:rsid w:val="00EF6F47"/>
    <w:rsid w:val="00EF6F4F"/>
    <w:rsid w:val="00EF6F68"/>
    <w:rsid w:val="00EF6F70"/>
    <w:rsid w:val="00EF6F9F"/>
    <w:rsid w:val="00EF6FB7"/>
    <w:rsid w:val="00EF6FC5"/>
    <w:rsid w:val="00EF6FF7"/>
    <w:rsid w:val="00EF7016"/>
    <w:rsid w:val="00EF7019"/>
    <w:rsid w:val="00EF701B"/>
    <w:rsid w:val="00EF7035"/>
    <w:rsid w:val="00EF705C"/>
    <w:rsid w:val="00EF711A"/>
    <w:rsid w:val="00EF714D"/>
    <w:rsid w:val="00EF714E"/>
    <w:rsid w:val="00EF7163"/>
    <w:rsid w:val="00EF7186"/>
    <w:rsid w:val="00EF71A9"/>
    <w:rsid w:val="00EF71D3"/>
    <w:rsid w:val="00EF71E9"/>
    <w:rsid w:val="00EF71FF"/>
    <w:rsid w:val="00EF7239"/>
    <w:rsid w:val="00EF724F"/>
    <w:rsid w:val="00EF728C"/>
    <w:rsid w:val="00EF728F"/>
    <w:rsid w:val="00EF72AC"/>
    <w:rsid w:val="00EF72DA"/>
    <w:rsid w:val="00EF72E7"/>
    <w:rsid w:val="00EF7332"/>
    <w:rsid w:val="00EF7359"/>
    <w:rsid w:val="00EF7397"/>
    <w:rsid w:val="00EF739D"/>
    <w:rsid w:val="00EF73BF"/>
    <w:rsid w:val="00EF73CC"/>
    <w:rsid w:val="00EF7424"/>
    <w:rsid w:val="00EF7446"/>
    <w:rsid w:val="00EF7454"/>
    <w:rsid w:val="00EF74BB"/>
    <w:rsid w:val="00EF74C7"/>
    <w:rsid w:val="00EF74CC"/>
    <w:rsid w:val="00EF7503"/>
    <w:rsid w:val="00EF750D"/>
    <w:rsid w:val="00EF751B"/>
    <w:rsid w:val="00EF7537"/>
    <w:rsid w:val="00EF754F"/>
    <w:rsid w:val="00EF7573"/>
    <w:rsid w:val="00EF758D"/>
    <w:rsid w:val="00EF7594"/>
    <w:rsid w:val="00EF759D"/>
    <w:rsid w:val="00EF759F"/>
    <w:rsid w:val="00EF75B7"/>
    <w:rsid w:val="00EF75DD"/>
    <w:rsid w:val="00EF75E4"/>
    <w:rsid w:val="00EF75EA"/>
    <w:rsid w:val="00EF7635"/>
    <w:rsid w:val="00EF76A6"/>
    <w:rsid w:val="00EF76C2"/>
    <w:rsid w:val="00EF76D0"/>
    <w:rsid w:val="00EF76E7"/>
    <w:rsid w:val="00EF7704"/>
    <w:rsid w:val="00EF7776"/>
    <w:rsid w:val="00EF7788"/>
    <w:rsid w:val="00EF778B"/>
    <w:rsid w:val="00EF77AA"/>
    <w:rsid w:val="00EF77DE"/>
    <w:rsid w:val="00EF77E3"/>
    <w:rsid w:val="00EF77ED"/>
    <w:rsid w:val="00EF783B"/>
    <w:rsid w:val="00EF784B"/>
    <w:rsid w:val="00EF78AA"/>
    <w:rsid w:val="00EF78AF"/>
    <w:rsid w:val="00EF78B0"/>
    <w:rsid w:val="00EF78BB"/>
    <w:rsid w:val="00EF78C0"/>
    <w:rsid w:val="00EF78D9"/>
    <w:rsid w:val="00EF78F0"/>
    <w:rsid w:val="00EF792A"/>
    <w:rsid w:val="00EF7941"/>
    <w:rsid w:val="00EF7942"/>
    <w:rsid w:val="00EF7948"/>
    <w:rsid w:val="00EF79A3"/>
    <w:rsid w:val="00EF79CC"/>
    <w:rsid w:val="00EF7A81"/>
    <w:rsid w:val="00EF7AAE"/>
    <w:rsid w:val="00EF7B0F"/>
    <w:rsid w:val="00EF7B10"/>
    <w:rsid w:val="00EF7B42"/>
    <w:rsid w:val="00EF7B78"/>
    <w:rsid w:val="00EF7B79"/>
    <w:rsid w:val="00EF7C54"/>
    <w:rsid w:val="00EF7C6B"/>
    <w:rsid w:val="00EF7CB1"/>
    <w:rsid w:val="00EF7CBC"/>
    <w:rsid w:val="00EF7CC0"/>
    <w:rsid w:val="00EF7CCE"/>
    <w:rsid w:val="00EF7CEC"/>
    <w:rsid w:val="00EF7CF1"/>
    <w:rsid w:val="00EF7D10"/>
    <w:rsid w:val="00EF7D16"/>
    <w:rsid w:val="00EF7D2D"/>
    <w:rsid w:val="00EF7D2E"/>
    <w:rsid w:val="00EF7D43"/>
    <w:rsid w:val="00EF7DF2"/>
    <w:rsid w:val="00EF7E5F"/>
    <w:rsid w:val="00EF7E86"/>
    <w:rsid w:val="00EF7E8F"/>
    <w:rsid w:val="00EF7E91"/>
    <w:rsid w:val="00EF7EE1"/>
    <w:rsid w:val="00EF7F34"/>
    <w:rsid w:val="00EF7F5E"/>
    <w:rsid w:val="00EF7F6B"/>
    <w:rsid w:val="00EF7F9F"/>
    <w:rsid w:val="00F00018"/>
    <w:rsid w:val="00F0006B"/>
    <w:rsid w:val="00F00093"/>
    <w:rsid w:val="00F00095"/>
    <w:rsid w:val="00F0011B"/>
    <w:rsid w:val="00F00196"/>
    <w:rsid w:val="00F0019D"/>
    <w:rsid w:val="00F001B7"/>
    <w:rsid w:val="00F001CE"/>
    <w:rsid w:val="00F001F6"/>
    <w:rsid w:val="00F00288"/>
    <w:rsid w:val="00F0028D"/>
    <w:rsid w:val="00F002C5"/>
    <w:rsid w:val="00F002F1"/>
    <w:rsid w:val="00F0032B"/>
    <w:rsid w:val="00F00372"/>
    <w:rsid w:val="00F0038D"/>
    <w:rsid w:val="00F003CF"/>
    <w:rsid w:val="00F0040C"/>
    <w:rsid w:val="00F00429"/>
    <w:rsid w:val="00F00438"/>
    <w:rsid w:val="00F004C5"/>
    <w:rsid w:val="00F004D6"/>
    <w:rsid w:val="00F004DA"/>
    <w:rsid w:val="00F0052B"/>
    <w:rsid w:val="00F00538"/>
    <w:rsid w:val="00F00551"/>
    <w:rsid w:val="00F00553"/>
    <w:rsid w:val="00F00569"/>
    <w:rsid w:val="00F005A1"/>
    <w:rsid w:val="00F005C9"/>
    <w:rsid w:val="00F005F1"/>
    <w:rsid w:val="00F005F2"/>
    <w:rsid w:val="00F00618"/>
    <w:rsid w:val="00F00640"/>
    <w:rsid w:val="00F0064A"/>
    <w:rsid w:val="00F0069A"/>
    <w:rsid w:val="00F006A1"/>
    <w:rsid w:val="00F006CE"/>
    <w:rsid w:val="00F006EC"/>
    <w:rsid w:val="00F00703"/>
    <w:rsid w:val="00F00756"/>
    <w:rsid w:val="00F0076F"/>
    <w:rsid w:val="00F00771"/>
    <w:rsid w:val="00F00780"/>
    <w:rsid w:val="00F0078B"/>
    <w:rsid w:val="00F007DF"/>
    <w:rsid w:val="00F007E5"/>
    <w:rsid w:val="00F00829"/>
    <w:rsid w:val="00F00871"/>
    <w:rsid w:val="00F00881"/>
    <w:rsid w:val="00F008B0"/>
    <w:rsid w:val="00F008F7"/>
    <w:rsid w:val="00F00905"/>
    <w:rsid w:val="00F0095B"/>
    <w:rsid w:val="00F009AD"/>
    <w:rsid w:val="00F009BD"/>
    <w:rsid w:val="00F00A0E"/>
    <w:rsid w:val="00F00A28"/>
    <w:rsid w:val="00F00A2F"/>
    <w:rsid w:val="00F00A48"/>
    <w:rsid w:val="00F00A4B"/>
    <w:rsid w:val="00F00A53"/>
    <w:rsid w:val="00F00A73"/>
    <w:rsid w:val="00F00A77"/>
    <w:rsid w:val="00F00A84"/>
    <w:rsid w:val="00F00A9E"/>
    <w:rsid w:val="00F00B04"/>
    <w:rsid w:val="00F00B2E"/>
    <w:rsid w:val="00F00B32"/>
    <w:rsid w:val="00F00B53"/>
    <w:rsid w:val="00F00B54"/>
    <w:rsid w:val="00F00B81"/>
    <w:rsid w:val="00F00B87"/>
    <w:rsid w:val="00F00B8A"/>
    <w:rsid w:val="00F00BA7"/>
    <w:rsid w:val="00F00BE0"/>
    <w:rsid w:val="00F00BE1"/>
    <w:rsid w:val="00F00C24"/>
    <w:rsid w:val="00F00C5F"/>
    <w:rsid w:val="00F00C6E"/>
    <w:rsid w:val="00F00D08"/>
    <w:rsid w:val="00F00D49"/>
    <w:rsid w:val="00F00D62"/>
    <w:rsid w:val="00F00D63"/>
    <w:rsid w:val="00F00D70"/>
    <w:rsid w:val="00F00D83"/>
    <w:rsid w:val="00F00D95"/>
    <w:rsid w:val="00F00DDA"/>
    <w:rsid w:val="00F00E25"/>
    <w:rsid w:val="00F00E48"/>
    <w:rsid w:val="00F00E69"/>
    <w:rsid w:val="00F00E93"/>
    <w:rsid w:val="00F00E9F"/>
    <w:rsid w:val="00F00EBF"/>
    <w:rsid w:val="00F00EF5"/>
    <w:rsid w:val="00F00F02"/>
    <w:rsid w:val="00F00F22"/>
    <w:rsid w:val="00F00F32"/>
    <w:rsid w:val="00F00F58"/>
    <w:rsid w:val="00F00F78"/>
    <w:rsid w:val="00F00F9F"/>
    <w:rsid w:val="00F00FE3"/>
    <w:rsid w:val="00F0101C"/>
    <w:rsid w:val="00F01037"/>
    <w:rsid w:val="00F01057"/>
    <w:rsid w:val="00F01078"/>
    <w:rsid w:val="00F01085"/>
    <w:rsid w:val="00F0108E"/>
    <w:rsid w:val="00F0109E"/>
    <w:rsid w:val="00F0112B"/>
    <w:rsid w:val="00F01132"/>
    <w:rsid w:val="00F01153"/>
    <w:rsid w:val="00F01174"/>
    <w:rsid w:val="00F011DD"/>
    <w:rsid w:val="00F011E0"/>
    <w:rsid w:val="00F011E6"/>
    <w:rsid w:val="00F01219"/>
    <w:rsid w:val="00F0121F"/>
    <w:rsid w:val="00F01232"/>
    <w:rsid w:val="00F01254"/>
    <w:rsid w:val="00F01267"/>
    <w:rsid w:val="00F012BB"/>
    <w:rsid w:val="00F012E1"/>
    <w:rsid w:val="00F01335"/>
    <w:rsid w:val="00F01343"/>
    <w:rsid w:val="00F01361"/>
    <w:rsid w:val="00F01390"/>
    <w:rsid w:val="00F01394"/>
    <w:rsid w:val="00F013A2"/>
    <w:rsid w:val="00F013E8"/>
    <w:rsid w:val="00F013EA"/>
    <w:rsid w:val="00F013F7"/>
    <w:rsid w:val="00F0140B"/>
    <w:rsid w:val="00F01413"/>
    <w:rsid w:val="00F01428"/>
    <w:rsid w:val="00F0148E"/>
    <w:rsid w:val="00F014D2"/>
    <w:rsid w:val="00F014D3"/>
    <w:rsid w:val="00F0154E"/>
    <w:rsid w:val="00F0156C"/>
    <w:rsid w:val="00F0159F"/>
    <w:rsid w:val="00F015C1"/>
    <w:rsid w:val="00F0160E"/>
    <w:rsid w:val="00F01637"/>
    <w:rsid w:val="00F01644"/>
    <w:rsid w:val="00F0164D"/>
    <w:rsid w:val="00F01660"/>
    <w:rsid w:val="00F01684"/>
    <w:rsid w:val="00F01698"/>
    <w:rsid w:val="00F016FB"/>
    <w:rsid w:val="00F01752"/>
    <w:rsid w:val="00F0177D"/>
    <w:rsid w:val="00F017A0"/>
    <w:rsid w:val="00F017DD"/>
    <w:rsid w:val="00F017DF"/>
    <w:rsid w:val="00F01812"/>
    <w:rsid w:val="00F01855"/>
    <w:rsid w:val="00F0186C"/>
    <w:rsid w:val="00F01895"/>
    <w:rsid w:val="00F018D7"/>
    <w:rsid w:val="00F01949"/>
    <w:rsid w:val="00F01979"/>
    <w:rsid w:val="00F0198B"/>
    <w:rsid w:val="00F01994"/>
    <w:rsid w:val="00F0199C"/>
    <w:rsid w:val="00F019A5"/>
    <w:rsid w:val="00F019C2"/>
    <w:rsid w:val="00F019D3"/>
    <w:rsid w:val="00F019F1"/>
    <w:rsid w:val="00F019F3"/>
    <w:rsid w:val="00F019FD"/>
    <w:rsid w:val="00F01A02"/>
    <w:rsid w:val="00F01A3B"/>
    <w:rsid w:val="00F01A55"/>
    <w:rsid w:val="00F01A68"/>
    <w:rsid w:val="00F01A83"/>
    <w:rsid w:val="00F01AA0"/>
    <w:rsid w:val="00F01B04"/>
    <w:rsid w:val="00F01B3C"/>
    <w:rsid w:val="00F01BAC"/>
    <w:rsid w:val="00F01BD5"/>
    <w:rsid w:val="00F01C0B"/>
    <w:rsid w:val="00F01C1D"/>
    <w:rsid w:val="00F01C4D"/>
    <w:rsid w:val="00F01C96"/>
    <w:rsid w:val="00F01CCB"/>
    <w:rsid w:val="00F01CEE"/>
    <w:rsid w:val="00F01D07"/>
    <w:rsid w:val="00F01D47"/>
    <w:rsid w:val="00F01D57"/>
    <w:rsid w:val="00F01D5E"/>
    <w:rsid w:val="00F01D6C"/>
    <w:rsid w:val="00F01DA5"/>
    <w:rsid w:val="00F01DAA"/>
    <w:rsid w:val="00F01DB2"/>
    <w:rsid w:val="00F01DBB"/>
    <w:rsid w:val="00F01DBE"/>
    <w:rsid w:val="00F01DC3"/>
    <w:rsid w:val="00F01DD0"/>
    <w:rsid w:val="00F01DD1"/>
    <w:rsid w:val="00F01DF6"/>
    <w:rsid w:val="00F01E34"/>
    <w:rsid w:val="00F01E38"/>
    <w:rsid w:val="00F01E44"/>
    <w:rsid w:val="00F01E69"/>
    <w:rsid w:val="00F01E75"/>
    <w:rsid w:val="00F01EED"/>
    <w:rsid w:val="00F01F03"/>
    <w:rsid w:val="00F01F83"/>
    <w:rsid w:val="00F01F88"/>
    <w:rsid w:val="00F01FBB"/>
    <w:rsid w:val="00F01FCC"/>
    <w:rsid w:val="00F01FE1"/>
    <w:rsid w:val="00F01FF4"/>
    <w:rsid w:val="00F02030"/>
    <w:rsid w:val="00F02032"/>
    <w:rsid w:val="00F02046"/>
    <w:rsid w:val="00F02066"/>
    <w:rsid w:val="00F02067"/>
    <w:rsid w:val="00F0207E"/>
    <w:rsid w:val="00F020C6"/>
    <w:rsid w:val="00F020DF"/>
    <w:rsid w:val="00F0214A"/>
    <w:rsid w:val="00F02155"/>
    <w:rsid w:val="00F02191"/>
    <w:rsid w:val="00F02197"/>
    <w:rsid w:val="00F021E5"/>
    <w:rsid w:val="00F02202"/>
    <w:rsid w:val="00F02205"/>
    <w:rsid w:val="00F0221A"/>
    <w:rsid w:val="00F02229"/>
    <w:rsid w:val="00F0223F"/>
    <w:rsid w:val="00F02264"/>
    <w:rsid w:val="00F02298"/>
    <w:rsid w:val="00F022B4"/>
    <w:rsid w:val="00F022B5"/>
    <w:rsid w:val="00F022D4"/>
    <w:rsid w:val="00F022DA"/>
    <w:rsid w:val="00F022EB"/>
    <w:rsid w:val="00F022F0"/>
    <w:rsid w:val="00F02307"/>
    <w:rsid w:val="00F0232F"/>
    <w:rsid w:val="00F02336"/>
    <w:rsid w:val="00F02369"/>
    <w:rsid w:val="00F02396"/>
    <w:rsid w:val="00F023BA"/>
    <w:rsid w:val="00F023BB"/>
    <w:rsid w:val="00F024B7"/>
    <w:rsid w:val="00F024B8"/>
    <w:rsid w:val="00F024EC"/>
    <w:rsid w:val="00F024F9"/>
    <w:rsid w:val="00F024FE"/>
    <w:rsid w:val="00F02518"/>
    <w:rsid w:val="00F02542"/>
    <w:rsid w:val="00F0255F"/>
    <w:rsid w:val="00F0257B"/>
    <w:rsid w:val="00F0259A"/>
    <w:rsid w:val="00F025C2"/>
    <w:rsid w:val="00F025C9"/>
    <w:rsid w:val="00F025DE"/>
    <w:rsid w:val="00F02619"/>
    <w:rsid w:val="00F0262B"/>
    <w:rsid w:val="00F02668"/>
    <w:rsid w:val="00F026AF"/>
    <w:rsid w:val="00F026D5"/>
    <w:rsid w:val="00F02710"/>
    <w:rsid w:val="00F0271C"/>
    <w:rsid w:val="00F0271D"/>
    <w:rsid w:val="00F0273A"/>
    <w:rsid w:val="00F02783"/>
    <w:rsid w:val="00F027C9"/>
    <w:rsid w:val="00F027D8"/>
    <w:rsid w:val="00F027D9"/>
    <w:rsid w:val="00F027DB"/>
    <w:rsid w:val="00F02823"/>
    <w:rsid w:val="00F02842"/>
    <w:rsid w:val="00F0289C"/>
    <w:rsid w:val="00F028D1"/>
    <w:rsid w:val="00F028E2"/>
    <w:rsid w:val="00F02904"/>
    <w:rsid w:val="00F02944"/>
    <w:rsid w:val="00F02989"/>
    <w:rsid w:val="00F029BC"/>
    <w:rsid w:val="00F029DF"/>
    <w:rsid w:val="00F02A57"/>
    <w:rsid w:val="00F02AA4"/>
    <w:rsid w:val="00F02ABD"/>
    <w:rsid w:val="00F02ACF"/>
    <w:rsid w:val="00F02B0C"/>
    <w:rsid w:val="00F02B63"/>
    <w:rsid w:val="00F02B82"/>
    <w:rsid w:val="00F02B94"/>
    <w:rsid w:val="00F02BE7"/>
    <w:rsid w:val="00F02C31"/>
    <w:rsid w:val="00F02C9E"/>
    <w:rsid w:val="00F02CAA"/>
    <w:rsid w:val="00F02CC3"/>
    <w:rsid w:val="00F02D00"/>
    <w:rsid w:val="00F02D18"/>
    <w:rsid w:val="00F02D2F"/>
    <w:rsid w:val="00F02D75"/>
    <w:rsid w:val="00F02D8F"/>
    <w:rsid w:val="00F02E0D"/>
    <w:rsid w:val="00F02E46"/>
    <w:rsid w:val="00F02E4E"/>
    <w:rsid w:val="00F02E6B"/>
    <w:rsid w:val="00F02E8D"/>
    <w:rsid w:val="00F02EC1"/>
    <w:rsid w:val="00F02EF6"/>
    <w:rsid w:val="00F02F07"/>
    <w:rsid w:val="00F02F21"/>
    <w:rsid w:val="00F02F4F"/>
    <w:rsid w:val="00F02F8C"/>
    <w:rsid w:val="00F02FAD"/>
    <w:rsid w:val="00F02FB2"/>
    <w:rsid w:val="00F02FE4"/>
    <w:rsid w:val="00F03003"/>
    <w:rsid w:val="00F03075"/>
    <w:rsid w:val="00F030A2"/>
    <w:rsid w:val="00F030C8"/>
    <w:rsid w:val="00F030D1"/>
    <w:rsid w:val="00F030D6"/>
    <w:rsid w:val="00F030FD"/>
    <w:rsid w:val="00F0317D"/>
    <w:rsid w:val="00F0319D"/>
    <w:rsid w:val="00F031B2"/>
    <w:rsid w:val="00F031B9"/>
    <w:rsid w:val="00F031C6"/>
    <w:rsid w:val="00F0325C"/>
    <w:rsid w:val="00F03264"/>
    <w:rsid w:val="00F0329E"/>
    <w:rsid w:val="00F032A1"/>
    <w:rsid w:val="00F032CB"/>
    <w:rsid w:val="00F032D7"/>
    <w:rsid w:val="00F03308"/>
    <w:rsid w:val="00F03320"/>
    <w:rsid w:val="00F03327"/>
    <w:rsid w:val="00F0333E"/>
    <w:rsid w:val="00F0339D"/>
    <w:rsid w:val="00F033A8"/>
    <w:rsid w:val="00F033DB"/>
    <w:rsid w:val="00F033FE"/>
    <w:rsid w:val="00F03418"/>
    <w:rsid w:val="00F034BD"/>
    <w:rsid w:val="00F034C2"/>
    <w:rsid w:val="00F034D8"/>
    <w:rsid w:val="00F0350D"/>
    <w:rsid w:val="00F03511"/>
    <w:rsid w:val="00F03521"/>
    <w:rsid w:val="00F0354E"/>
    <w:rsid w:val="00F0355F"/>
    <w:rsid w:val="00F035B7"/>
    <w:rsid w:val="00F035C8"/>
    <w:rsid w:val="00F03613"/>
    <w:rsid w:val="00F03617"/>
    <w:rsid w:val="00F03619"/>
    <w:rsid w:val="00F03623"/>
    <w:rsid w:val="00F0362C"/>
    <w:rsid w:val="00F03637"/>
    <w:rsid w:val="00F0366C"/>
    <w:rsid w:val="00F03681"/>
    <w:rsid w:val="00F03688"/>
    <w:rsid w:val="00F036D7"/>
    <w:rsid w:val="00F03731"/>
    <w:rsid w:val="00F03757"/>
    <w:rsid w:val="00F03798"/>
    <w:rsid w:val="00F037B7"/>
    <w:rsid w:val="00F037D2"/>
    <w:rsid w:val="00F03858"/>
    <w:rsid w:val="00F03875"/>
    <w:rsid w:val="00F038AD"/>
    <w:rsid w:val="00F038CB"/>
    <w:rsid w:val="00F038CE"/>
    <w:rsid w:val="00F0394C"/>
    <w:rsid w:val="00F03979"/>
    <w:rsid w:val="00F0397F"/>
    <w:rsid w:val="00F03A29"/>
    <w:rsid w:val="00F03A72"/>
    <w:rsid w:val="00F03A76"/>
    <w:rsid w:val="00F03A80"/>
    <w:rsid w:val="00F03AB2"/>
    <w:rsid w:val="00F03AB3"/>
    <w:rsid w:val="00F03AC1"/>
    <w:rsid w:val="00F03ADC"/>
    <w:rsid w:val="00F03AEE"/>
    <w:rsid w:val="00F03AF5"/>
    <w:rsid w:val="00F03B00"/>
    <w:rsid w:val="00F03B50"/>
    <w:rsid w:val="00F03BF2"/>
    <w:rsid w:val="00F03BF8"/>
    <w:rsid w:val="00F03C8D"/>
    <w:rsid w:val="00F03C91"/>
    <w:rsid w:val="00F03CA7"/>
    <w:rsid w:val="00F03CAA"/>
    <w:rsid w:val="00F03CB4"/>
    <w:rsid w:val="00F03CF7"/>
    <w:rsid w:val="00F03CFA"/>
    <w:rsid w:val="00F03D17"/>
    <w:rsid w:val="00F03D34"/>
    <w:rsid w:val="00F03D5F"/>
    <w:rsid w:val="00F03DAD"/>
    <w:rsid w:val="00F03DBE"/>
    <w:rsid w:val="00F03DF1"/>
    <w:rsid w:val="00F03E52"/>
    <w:rsid w:val="00F03E81"/>
    <w:rsid w:val="00F03E95"/>
    <w:rsid w:val="00F03E98"/>
    <w:rsid w:val="00F03F0D"/>
    <w:rsid w:val="00F03FDF"/>
    <w:rsid w:val="00F0401F"/>
    <w:rsid w:val="00F0402E"/>
    <w:rsid w:val="00F04065"/>
    <w:rsid w:val="00F04070"/>
    <w:rsid w:val="00F040F2"/>
    <w:rsid w:val="00F04102"/>
    <w:rsid w:val="00F04107"/>
    <w:rsid w:val="00F041BD"/>
    <w:rsid w:val="00F04202"/>
    <w:rsid w:val="00F0422F"/>
    <w:rsid w:val="00F042A1"/>
    <w:rsid w:val="00F04330"/>
    <w:rsid w:val="00F0434D"/>
    <w:rsid w:val="00F043E6"/>
    <w:rsid w:val="00F04402"/>
    <w:rsid w:val="00F0444B"/>
    <w:rsid w:val="00F04507"/>
    <w:rsid w:val="00F04532"/>
    <w:rsid w:val="00F04548"/>
    <w:rsid w:val="00F04559"/>
    <w:rsid w:val="00F0455D"/>
    <w:rsid w:val="00F0458E"/>
    <w:rsid w:val="00F045A5"/>
    <w:rsid w:val="00F045C1"/>
    <w:rsid w:val="00F045E6"/>
    <w:rsid w:val="00F045F2"/>
    <w:rsid w:val="00F04614"/>
    <w:rsid w:val="00F0464E"/>
    <w:rsid w:val="00F0467E"/>
    <w:rsid w:val="00F04684"/>
    <w:rsid w:val="00F046DB"/>
    <w:rsid w:val="00F046F4"/>
    <w:rsid w:val="00F04707"/>
    <w:rsid w:val="00F04721"/>
    <w:rsid w:val="00F04727"/>
    <w:rsid w:val="00F04744"/>
    <w:rsid w:val="00F04774"/>
    <w:rsid w:val="00F047B2"/>
    <w:rsid w:val="00F04812"/>
    <w:rsid w:val="00F04823"/>
    <w:rsid w:val="00F0483E"/>
    <w:rsid w:val="00F0484F"/>
    <w:rsid w:val="00F04854"/>
    <w:rsid w:val="00F04872"/>
    <w:rsid w:val="00F048A2"/>
    <w:rsid w:val="00F048B6"/>
    <w:rsid w:val="00F048E4"/>
    <w:rsid w:val="00F04900"/>
    <w:rsid w:val="00F0491B"/>
    <w:rsid w:val="00F04922"/>
    <w:rsid w:val="00F04948"/>
    <w:rsid w:val="00F04971"/>
    <w:rsid w:val="00F04977"/>
    <w:rsid w:val="00F0497D"/>
    <w:rsid w:val="00F04994"/>
    <w:rsid w:val="00F049A3"/>
    <w:rsid w:val="00F049A8"/>
    <w:rsid w:val="00F049C0"/>
    <w:rsid w:val="00F04A6E"/>
    <w:rsid w:val="00F04A70"/>
    <w:rsid w:val="00F04AB9"/>
    <w:rsid w:val="00F04AD0"/>
    <w:rsid w:val="00F04AD7"/>
    <w:rsid w:val="00F04AF2"/>
    <w:rsid w:val="00F04B3B"/>
    <w:rsid w:val="00F04B46"/>
    <w:rsid w:val="00F04B70"/>
    <w:rsid w:val="00F04B7E"/>
    <w:rsid w:val="00F04C1C"/>
    <w:rsid w:val="00F04C8C"/>
    <w:rsid w:val="00F04CEB"/>
    <w:rsid w:val="00F04D08"/>
    <w:rsid w:val="00F04D35"/>
    <w:rsid w:val="00F04D45"/>
    <w:rsid w:val="00F04D96"/>
    <w:rsid w:val="00F04DCF"/>
    <w:rsid w:val="00F04DDB"/>
    <w:rsid w:val="00F04DE7"/>
    <w:rsid w:val="00F04E0A"/>
    <w:rsid w:val="00F04E12"/>
    <w:rsid w:val="00F04E2A"/>
    <w:rsid w:val="00F04E34"/>
    <w:rsid w:val="00F04E41"/>
    <w:rsid w:val="00F04E4A"/>
    <w:rsid w:val="00F04E5A"/>
    <w:rsid w:val="00F04E6A"/>
    <w:rsid w:val="00F04E91"/>
    <w:rsid w:val="00F04EA4"/>
    <w:rsid w:val="00F04EBD"/>
    <w:rsid w:val="00F04EF5"/>
    <w:rsid w:val="00F04F05"/>
    <w:rsid w:val="00F04F35"/>
    <w:rsid w:val="00F04F3D"/>
    <w:rsid w:val="00F04F7A"/>
    <w:rsid w:val="00F04F83"/>
    <w:rsid w:val="00F04F94"/>
    <w:rsid w:val="00F04FD1"/>
    <w:rsid w:val="00F05040"/>
    <w:rsid w:val="00F05047"/>
    <w:rsid w:val="00F05065"/>
    <w:rsid w:val="00F05089"/>
    <w:rsid w:val="00F0509B"/>
    <w:rsid w:val="00F05117"/>
    <w:rsid w:val="00F0511A"/>
    <w:rsid w:val="00F0512D"/>
    <w:rsid w:val="00F0512F"/>
    <w:rsid w:val="00F05144"/>
    <w:rsid w:val="00F05147"/>
    <w:rsid w:val="00F05148"/>
    <w:rsid w:val="00F0514F"/>
    <w:rsid w:val="00F05151"/>
    <w:rsid w:val="00F05178"/>
    <w:rsid w:val="00F05183"/>
    <w:rsid w:val="00F05198"/>
    <w:rsid w:val="00F0519A"/>
    <w:rsid w:val="00F051DD"/>
    <w:rsid w:val="00F05200"/>
    <w:rsid w:val="00F0521D"/>
    <w:rsid w:val="00F0524B"/>
    <w:rsid w:val="00F05263"/>
    <w:rsid w:val="00F052D0"/>
    <w:rsid w:val="00F052D5"/>
    <w:rsid w:val="00F052DD"/>
    <w:rsid w:val="00F052E9"/>
    <w:rsid w:val="00F052FF"/>
    <w:rsid w:val="00F05354"/>
    <w:rsid w:val="00F05356"/>
    <w:rsid w:val="00F05369"/>
    <w:rsid w:val="00F0536F"/>
    <w:rsid w:val="00F0539D"/>
    <w:rsid w:val="00F053B9"/>
    <w:rsid w:val="00F053D4"/>
    <w:rsid w:val="00F0542D"/>
    <w:rsid w:val="00F05430"/>
    <w:rsid w:val="00F05445"/>
    <w:rsid w:val="00F05454"/>
    <w:rsid w:val="00F05459"/>
    <w:rsid w:val="00F05487"/>
    <w:rsid w:val="00F054BD"/>
    <w:rsid w:val="00F054EF"/>
    <w:rsid w:val="00F054FF"/>
    <w:rsid w:val="00F05506"/>
    <w:rsid w:val="00F05523"/>
    <w:rsid w:val="00F05536"/>
    <w:rsid w:val="00F0553A"/>
    <w:rsid w:val="00F05580"/>
    <w:rsid w:val="00F055CD"/>
    <w:rsid w:val="00F055DD"/>
    <w:rsid w:val="00F05671"/>
    <w:rsid w:val="00F056D1"/>
    <w:rsid w:val="00F056D8"/>
    <w:rsid w:val="00F056F7"/>
    <w:rsid w:val="00F0571D"/>
    <w:rsid w:val="00F05746"/>
    <w:rsid w:val="00F05753"/>
    <w:rsid w:val="00F05754"/>
    <w:rsid w:val="00F05765"/>
    <w:rsid w:val="00F05773"/>
    <w:rsid w:val="00F057BC"/>
    <w:rsid w:val="00F057BF"/>
    <w:rsid w:val="00F057FC"/>
    <w:rsid w:val="00F0582D"/>
    <w:rsid w:val="00F0583A"/>
    <w:rsid w:val="00F05843"/>
    <w:rsid w:val="00F0585A"/>
    <w:rsid w:val="00F05860"/>
    <w:rsid w:val="00F05867"/>
    <w:rsid w:val="00F0588B"/>
    <w:rsid w:val="00F058A7"/>
    <w:rsid w:val="00F058B0"/>
    <w:rsid w:val="00F058D6"/>
    <w:rsid w:val="00F058FC"/>
    <w:rsid w:val="00F05908"/>
    <w:rsid w:val="00F05912"/>
    <w:rsid w:val="00F05920"/>
    <w:rsid w:val="00F0594A"/>
    <w:rsid w:val="00F0597D"/>
    <w:rsid w:val="00F059B1"/>
    <w:rsid w:val="00F059DB"/>
    <w:rsid w:val="00F059EC"/>
    <w:rsid w:val="00F059F9"/>
    <w:rsid w:val="00F05A39"/>
    <w:rsid w:val="00F05A4D"/>
    <w:rsid w:val="00F05A5A"/>
    <w:rsid w:val="00F05A6C"/>
    <w:rsid w:val="00F05A8C"/>
    <w:rsid w:val="00F05AF7"/>
    <w:rsid w:val="00F05AFF"/>
    <w:rsid w:val="00F05B47"/>
    <w:rsid w:val="00F05BB1"/>
    <w:rsid w:val="00F05BBB"/>
    <w:rsid w:val="00F05C1E"/>
    <w:rsid w:val="00F05C23"/>
    <w:rsid w:val="00F05C55"/>
    <w:rsid w:val="00F05C96"/>
    <w:rsid w:val="00F05CED"/>
    <w:rsid w:val="00F05D25"/>
    <w:rsid w:val="00F05D26"/>
    <w:rsid w:val="00F05D3B"/>
    <w:rsid w:val="00F05D50"/>
    <w:rsid w:val="00F05D52"/>
    <w:rsid w:val="00F05D66"/>
    <w:rsid w:val="00F05DBD"/>
    <w:rsid w:val="00F05DD1"/>
    <w:rsid w:val="00F05EF8"/>
    <w:rsid w:val="00F05F07"/>
    <w:rsid w:val="00F05F42"/>
    <w:rsid w:val="00F05F4C"/>
    <w:rsid w:val="00F05FA2"/>
    <w:rsid w:val="00F05FD0"/>
    <w:rsid w:val="00F05FF2"/>
    <w:rsid w:val="00F0602D"/>
    <w:rsid w:val="00F06055"/>
    <w:rsid w:val="00F0607C"/>
    <w:rsid w:val="00F060A8"/>
    <w:rsid w:val="00F060C5"/>
    <w:rsid w:val="00F060F8"/>
    <w:rsid w:val="00F06112"/>
    <w:rsid w:val="00F0611C"/>
    <w:rsid w:val="00F0617D"/>
    <w:rsid w:val="00F06191"/>
    <w:rsid w:val="00F061C8"/>
    <w:rsid w:val="00F06240"/>
    <w:rsid w:val="00F06253"/>
    <w:rsid w:val="00F0626C"/>
    <w:rsid w:val="00F0627A"/>
    <w:rsid w:val="00F0627E"/>
    <w:rsid w:val="00F06288"/>
    <w:rsid w:val="00F062A1"/>
    <w:rsid w:val="00F062BB"/>
    <w:rsid w:val="00F062CE"/>
    <w:rsid w:val="00F062D0"/>
    <w:rsid w:val="00F062FB"/>
    <w:rsid w:val="00F0634F"/>
    <w:rsid w:val="00F0635D"/>
    <w:rsid w:val="00F063A0"/>
    <w:rsid w:val="00F063FC"/>
    <w:rsid w:val="00F0642A"/>
    <w:rsid w:val="00F06439"/>
    <w:rsid w:val="00F06477"/>
    <w:rsid w:val="00F0647D"/>
    <w:rsid w:val="00F0650D"/>
    <w:rsid w:val="00F06588"/>
    <w:rsid w:val="00F065A0"/>
    <w:rsid w:val="00F065B8"/>
    <w:rsid w:val="00F065E5"/>
    <w:rsid w:val="00F065E7"/>
    <w:rsid w:val="00F0664B"/>
    <w:rsid w:val="00F06663"/>
    <w:rsid w:val="00F0666F"/>
    <w:rsid w:val="00F06675"/>
    <w:rsid w:val="00F0667A"/>
    <w:rsid w:val="00F0669F"/>
    <w:rsid w:val="00F066B8"/>
    <w:rsid w:val="00F066F6"/>
    <w:rsid w:val="00F06712"/>
    <w:rsid w:val="00F06722"/>
    <w:rsid w:val="00F06761"/>
    <w:rsid w:val="00F06783"/>
    <w:rsid w:val="00F0678A"/>
    <w:rsid w:val="00F067A3"/>
    <w:rsid w:val="00F067F2"/>
    <w:rsid w:val="00F0686C"/>
    <w:rsid w:val="00F06871"/>
    <w:rsid w:val="00F068D9"/>
    <w:rsid w:val="00F0690A"/>
    <w:rsid w:val="00F06932"/>
    <w:rsid w:val="00F06973"/>
    <w:rsid w:val="00F06979"/>
    <w:rsid w:val="00F0697C"/>
    <w:rsid w:val="00F06997"/>
    <w:rsid w:val="00F069A9"/>
    <w:rsid w:val="00F069E3"/>
    <w:rsid w:val="00F069E9"/>
    <w:rsid w:val="00F06A72"/>
    <w:rsid w:val="00F06A78"/>
    <w:rsid w:val="00F06A8B"/>
    <w:rsid w:val="00F06AF2"/>
    <w:rsid w:val="00F06B01"/>
    <w:rsid w:val="00F06B16"/>
    <w:rsid w:val="00F06B8E"/>
    <w:rsid w:val="00F06B9C"/>
    <w:rsid w:val="00F06BEE"/>
    <w:rsid w:val="00F06BF6"/>
    <w:rsid w:val="00F06C1D"/>
    <w:rsid w:val="00F06C5B"/>
    <w:rsid w:val="00F06C6A"/>
    <w:rsid w:val="00F06CEB"/>
    <w:rsid w:val="00F06CFC"/>
    <w:rsid w:val="00F06D08"/>
    <w:rsid w:val="00F06D44"/>
    <w:rsid w:val="00F06D5F"/>
    <w:rsid w:val="00F06D66"/>
    <w:rsid w:val="00F06D84"/>
    <w:rsid w:val="00F06DA8"/>
    <w:rsid w:val="00F06DD1"/>
    <w:rsid w:val="00F06DDC"/>
    <w:rsid w:val="00F06DE7"/>
    <w:rsid w:val="00F06E02"/>
    <w:rsid w:val="00F06E17"/>
    <w:rsid w:val="00F06E24"/>
    <w:rsid w:val="00F06E40"/>
    <w:rsid w:val="00F06E55"/>
    <w:rsid w:val="00F06E7C"/>
    <w:rsid w:val="00F06EFA"/>
    <w:rsid w:val="00F06F11"/>
    <w:rsid w:val="00F0703A"/>
    <w:rsid w:val="00F07048"/>
    <w:rsid w:val="00F0705F"/>
    <w:rsid w:val="00F0706E"/>
    <w:rsid w:val="00F0707B"/>
    <w:rsid w:val="00F07096"/>
    <w:rsid w:val="00F070A7"/>
    <w:rsid w:val="00F070C3"/>
    <w:rsid w:val="00F070D5"/>
    <w:rsid w:val="00F070EB"/>
    <w:rsid w:val="00F070F3"/>
    <w:rsid w:val="00F07169"/>
    <w:rsid w:val="00F07190"/>
    <w:rsid w:val="00F071A5"/>
    <w:rsid w:val="00F071AE"/>
    <w:rsid w:val="00F071E6"/>
    <w:rsid w:val="00F071EF"/>
    <w:rsid w:val="00F07224"/>
    <w:rsid w:val="00F0724D"/>
    <w:rsid w:val="00F0725C"/>
    <w:rsid w:val="00F07273"/>
    <w:rsid w:val="00F07286"/>
    <w:rsid w:val="00F0728C"/>
    <w:rsid w:val="00F072E7"/>
    <w:rsid w:val="00F072EF"/>
    <w:rsid w:val="00F073D1"/>
    <w:rsid w:val="00F073DA"/>
    <w:rsid w:val="00F07435"/>
    <w:rsid w:val="00F0743E"/>
    <w:rsid w:val="00F07460"/>
    <w:rsid w:val="00F07477"/>
    <w:rsid w:val="00F074BD"/>
    <w:rsid w:val="00F074C2"/>
    <w:rsid w:val="00F074F5"/>
    <w:rsid w:val="00F07500"/>
    <w:rsid w:val="00F07520"/>
    <w:rsid w:val="00F0752A"/>
    <w:rsid w:val="00F07556"/>
    <w:rsid w:val="00F0756C"/>
    <w:rsid w:val="00F07584"/>
    <w:rsid w:val="00F0759E"/>
    <w:rsid w:val="00F075B5"/>
    <w:rsid w:val="00F075B6"/>
    <w:rsid w:val="00F075CC"/>
    <w:rsid w:val="00F075E7"/>
    <w:rsid w:val="00F07608"/>
    <w:rsid w:val="00F07620"/>
    <w:rsid w:val="00F07625"/>
    <w:rsid w:val="00F07644"/>
    <w:rsid w:val="00F07650"/>
    <w:rsid w:val="00F0766F"/>
    <w:rsid w:val="00F076B1"/>
    <w:rsid w:val="00F076C2"/>
    <w:rsid w:val="00F076DB"/>
    <w:rsid w:val="00F076DE"/>
    <w:rsid w:val="00F0771B"/>
    <w:rsid w:val="00F0777D"/>
    <w:rsid w:val="00F07794"/>
    <w:rsid w:val="00F077B4"/>
    <w:rsid w:val="00F077C3"/>
    <w:rsid w:val="00F07860"/>
    <w:rsid w:val="00F0787F"/>
    <w:rsid w:val="00F07945"/>
    <w:rsid w:val="00F07992"/>
    <w:rsid w:val="00F07997"/>
    <w:rsid w:val="00F079B1"/>
    <w:rsid w:val="00F079E1"/>
    <w:rsid w:val="00F07A03"/>
    <w:rsid w:val="00F07A1B"/>
    <w:rsid w:val="00F07A34"/>
    <w:rsid w:val="00F07AA8"/>
    <w:rsid w:val="00F07AB6"/>
    <w:rsid w:val="00F07AB9"/>
    <w:rsid w:val="00F07ADA"/>
    <w:rsid w:val="00F07B0F"/>
    <w:rsid w:val="00F07B25"/>
    <w:rsid w:val="00F07B44"/>
    <w:rsid w:val="00F07B6C"/>
    <w:rsid w:val="00F07B78"/>
    <w:rsid w:val="00F07BD7"/>
    <w:rsid w:val="00F07BEF"/>
    <w:rsid w:val="00F07BF2"/>
    <w:rsid w:val="00F07C2C"/>
    <w:rsid w:val="00F07C62"/>
    <w:rsid w:val="00F07C7A"/>
    <w:rsid w:val="00F07C82"/>
    <w:rsid w:val="00F07CC3"/>
    <w:rsid w:val="00F07CDE"/>
    <w:rsid w:val="00F07CE3"/>
    <w:rsid w:val="00F07CEC"/>
    <w:rsid w:val="00F07D2E"/>
    <w:rsid w:val="00F07D2F"/>
    <w:rsid w:val="00F07D4E"/>
    <w:rsid w:val="00F07D54"/>
    <w:rsid w:val="00F07D5C"/>
    <w:rsid w:val="00F07DB6"/>
    <w:rsid w:val="00F07DDA"/>
    <w:rsid w:val="00F07DEB"/>
    <w:rsid w:val="00F07DEC"/>
    <w:rsid w:val="00F07DF1"/>
    <w:rsid w:val="00F07DFB"/>
    <w:rsid w:val="00F07E19"/>
    <w:rsid w:val="00F07E25"/>
    <w:rsid w:val="00F07E28"/>
    <w:rsid w:val="00F07E5C"/>
    <w:rsid w:val="00F07E81"/>
    <w:rsid w:val="00F07EB8"/>
    <w:rsid w:val="00F07EBD"/>
    <w:rsid w:val="00F07EBF"/>
    <w:rsid w:val="00F07F2A"/>
    <w:rsid w:val="00F07F70"/>
    <w:rsid w:val="00F07FB5"/>
    <w:rsid w:val="00F07FE7"/>
    <w:rsid w:val="00F07FE8"/>
    <w:rsid w:val="00F07FF1"/>
    <w:rsid w:val="00F07FFE"/>
    <w:rsid w:val="00F1000C"/>
    <w:rsid w:val="00F100A1"/>
    <w:rsid w:val="00F100ED"/>
    <w:rsid w:val="00F100FA"/>
    <w:rsid w:val="00F1012D"/>
    <w:rsid w:val="00F1015F"/>
    <w:rsid w:val="00F10194"/>
    <w:rsid w:val="00F101A2"/>
    <w:rsid w:val="00F101C7"/>
    <w:rsid w:val="00F10228"/>
    <w:rsid w:val="00F10261"/>
    <w:rsid w:val="00F10269"/>
    <w:rsid w:val="00F10270"/>
    <w:rsid w:val="00F102C7"/>
    <w:rsid w:val="00F102F9"/>
    <w:rsid w:val="00F1033B"/>
    <w:rsid w:val="00F10377"/>
    <w:rsid w:val="00F103B2"/>
    <w:rsid w:val="00F103F9"/>
    <w:rsid w:val="00F10403"/>
    <w:rsid w:val="00F10421"/>
    <w:rsid w:val="00F1048D"/>
    <w:rsid w:val="00F1049F"/>
    <w:rsid w:val="00F104A4"/>
    <w:rsid w:val="00F104CB"/>
    <w:rsid w:val="00F104D5"/>
    <w:rsid w:val="00F104DD"/>
    <w:rsid w:val="00F1054B"/>
    <w:rsid w:val="00F10567"/>
    <w:rsid w:val="00F1056E"/>
    <w:rsid w:val="00F1060E"/>
    <w:rsid w:val="00F1061A"/>
    <w:rsid w:val="00F106A3"/>
    <w:rsid w:val="00F10703"/>
    <w:rsid w:val="00F10713"/>
    <w:rsid w:val="00F10787"/>
    <w:rsid w:val="00F107B1"/>
    <w:rsid w:val="00F107E6"/>
    <w:rsid w:val="00F107FD"/>
    <w:rsid w:val="00F10833"/>
    <w:rsid w:val="00F10873"/>
    <w:rsid w:val="00F10882"/>
    <w:rsid w:val="00F108E7"/>
    <w:rsid w:val="00F108F2"/>
    <w:rsid w:val="00F10907"/>
    <w:rsid w:val="00F10983"/>
    <w:rsid w:val="00F109B8"/>
    <w:rsid w:val="00F109C0"/>
    <w:rsid w:val="00F10A91"/>
    <w:rsid w:val="00F10A92"/>
    <w:rsid w:val="00F10AB3"/>
    <w:rsid w:val="00F10AD1"/>
    <w:rsid w:val="00F10AD3"/>
    <w:rsid w:val="00F10AEC"/>
    <w:rsid w:val="00F10AFE"/>
    <w:rsid w:val="00F10B1A"/>
    <w:rsid w:val="00F10B4F"/>
    <w:rsid w:val="00F10BA8"/>
    <w:rsid w:val="00F10BC1"/>
    <w:rsid w:val="00F10C0C"/>
    <w:rsid w:val="00F10C5B"/>
    <w:rsid w:val="00F10CD9"/>
    <w:rsid w:val="00F10D15"/>
    <w:rsid w:val="00F10D69"/>
    <w:rsid w:val="00F10D74"/>
    <w:rsid w:val="00F10D84"/>
    <w:rsid w:val="00F10DA7"/>
    <w:rsid w:val="00F10DC3"/>
    <w:rsid w:val="00F10DD2"/>
    <w:rsid w:val="00F10DDF"/>
    <w:rsid w:val="00F10E04"/>
    <w:rsid w:val="00F10E2D"/>
    <w:rsid w:val="00F10E99"/>
    <w:rsid w:val="00F10EB3"/>
    <w:rsid w:val="00F10EB4"/>
    <w:rsid w:val="00F10ECE"/>
    <w:rsid w:val="00F10ED8"/>
    <w:rsid w:val="00F10EF5"/>
    <w:rsid w:val="00F10F1C"/>
    <w:rsid w:val="00F10F4B"/>
    <w:rsid w:val="00F10F80"/>
    <w:rsid w:val="00F10FA6"/>
    <w:rsid w:val="00F10FAF"/>
    <w:rsid w:val="00F10FD5"/>
    <w:rsid w:val="00F11020"/>
    <w:rsid w:val="00F1102F"/>
    <w:rsid w:val="00F1105E"/>
    <w:rsid w:val="00F11061"/>
    <w:rsid w:val="00F11085"/>
    <w:rsid w:val="00F110B8"/>
    <w:rsid w:val="00F110CB"/>
    <w:rsid w:val="00F11105"/>
    <w:rsid w:val="00F1111A"/>
    <w:rsid w:val="00F1111E"/>
    <w:rsid w:val="00F11121"/>
    <w:rsid w:val="00F11161"/>
    <w:rsid w:val="00F111A8"/>
    <w:rsid w:val="00F111AC"/>
    <w:rsid w:val="00F111D6"/>
    <w:rsid w:val="00F11204"/>
    <w:rsid w:val="00F11205"/>
    <w:rsid w:val="00F11214"/>
    <w:rsid w:val="00F11268"/>
    <w:rsid w:val="00F11270"/>
    <w:rsid w:val="00F112B4"/>
    <w:rsid w:val="00F1133B"/>
    <w:rsid w:val="00F11342"/>
    <w:rsid w:val="00F11368"/>
    <w:rsid w:val="00F113A2"/>
    <w:rsid w:val="00F11404"/>
    <w:rsid w:val="00F11414"/>
    <w:rsid w:val="00F11422"/>
    <w:rsid w:val="00F11427"/>
    <w:rsid w:val="00F11455"/>
    <w:rsid w:val="00F11498"/>
    <w:rsid w:val="00F114A1"/>
    <w:rsid w:val="00F114E0"/>
    <w:rsid w:val="00F114E4"/>
    <w:rsid w:val="00F11528"/>
    <w:rsid w:val="00F11544"/>
    <w:rsid w:val="00F11561"/>
    <w:rsid w:val="00F11565"/>
    <w:rsid w:val="00F1158F"/>
    <w:rsid w:val="00F115A8"/>
    <w:rsid w:val="00F115CA"/>
    <w:rsid w:val="00F115EF"/>
    <w:rsid w:val="00F1161C"/>
    <w:rsid w:val="00F1165B"/>
    <w:rsid w:val="00F11683"/>
    <w:rsid w:val="00F116A6"/>
    <w:rsid w:val="00F116D9"/>
    <w:rsid w:val="00F116FB"/>
    <w:rsid w:val="00F11753"/>
    <w:rsid w:val="00F1175B"/>
    <w:rsid w:val="00F1176B"/>
    <w:rsid w:val="00F11790"/>
    <w:rsid w:val="00F1180D"/>
    <w:rsid w:val="00F11830"/>
    <w:rsid w:val="00F11877"/>
    <w:rsid w:val="00F1187B"/>
    <w:rsid w:val="00F1187C"/>
    <w:rsid w:val="00F118BA"/>
    <w:rsid w:val="00F118DF"/>
    <w:rsid w:val="00F118F7"/>
    <w:rsid w:val="00F11913"/>
    <w:rsid w:val="00F11945"/>
    <w:rsid w:val="00F119B4"/>
    <w:rsid w:val="00F119C9"/>
    <w:rsid w:val="00F11A1B"/>
    <w:rsid w:val="00F11A23"/>
    <w:rsid w:val="00F11A4D"/>
    <w:rsid w:val="00F11AB1"/>
    <w:rsid w:val="00F11ABC"/>
    <w:rsid w:val="00F11ACB"/>
    <w:rsid w:val="00F11AFB"/>
    <w:rsid w:val="00F11B01"/>
    <w:rsid w:val="00F11B4E"/>
    <w:rsid w:val="00F11B56"/>
    <w:rsid w:val="00F11BFE"/>
    <w:rsid w:val="00F11C04"/>
    <w:rsid w:val="00F11C90"/>
    <w:rsid w:val="00F11CB9"/>
    <w:rsid w:val="00F11CF0"/>
    <w:rsid w:val="00F11D03"/>
    <w:rsid w:val="00F11D2C"/>
    <w:rsid w:val="00F11D40"/>
    <w:rsid w:val="00F11D46"/>
    <w:rsid w:val="00F11D5F"/>
    <w:rsid w:val="00F11D8D"/>
    <w:rsid w:val="00F11D9A"/>
    <w:rsid w:val="00F11DAC"/>
    <w:rsid w:val="00F11DC0"/>
    <w:rsid w:val="00F11DFB"/>
    <w:rsid w:val="00F11E0A"/>
    <w:rsid w:val="00F11E85"/>
    <w:rsid w:val="00F11E89"/>
    <w:rsid w:val="00F11EBA"/>
    <w:rsid w:val="00F11EEE"/>
    <w:rsid w:val="00F11F2C"/>
    <w:rsid w:val="00F11F3A"/>
    <w:rsid w:val="00F11F55"/>
    <w:rsid w:val="00F11F89"/>
    <w:rsid w:val="00F11FB5"/>
    <w:rsid w:val="00F12000"/>
    <w:rsid w:val="00F12049"/>
    <w:rsid w:val="00F12066"/>
    <w:rsid w:val="00F12074"/>
    <w:rsid w:val="00F120A9"/>
    <w:rsid w:val="00F120BF"/>
    <w:rsid w:val="00F121AD"/>
    <w:rsid w:val="00F121BE"/>
    <w:rsid w:val="00F12226"/>
    <w:rsid w:val="00F12258"/>
    <w:rsid w:val="00F122A1"/>
    <w:rsid w:val="00F122AE"/>
    <w:rsid w:val="00F122F6"/>
    <w:rsid w:val="00F12325"/>
    <w:rsid w:val="00F1234B"/>
    <w:rsid w:val="00F12356"/>
    <w:rsid w:val="00F1237A"/>
    <w:rsid w:val="00F1238F"/>
    <w:rsid w:val="00F123C0"/>
    <w:rsid w:val="00F123C9"/>
    <w:rsid w:val="00F123F5"/>
    <w:rsid w:val="00F12423"/>
    <w:rsid w:val="00F12454"/>
    <w:rsid w:val="00F1245B"/>
    <w:rsid w:val="00F12475"/>
    <w:rsid w:val="00F12476"/>
    <w:rsid w:val="00F1248A"/>
    <w:rsid w:val="00F1248C"/>
    <w:rsid w:val="00F124C3"/>
    <w:rsid w:val="00F124F2"/>
    <w:rsid w:val="00F12522"/>
    <w:rsid w:val="00F12563"/>
    <w:rsid w:val="00F12564"/>
    <w:rsid w:val="00F12593"/>
    <w:rsid w:val="00F126EE"/>
    <w:rsid w:val="00F126FE"/>
    <w:rsid w:val="00F1272B"/>
    <w:rsid w:val="00F127DB"/>
    <w:rsid w:val="00F127FA"/>
    <w:rsid w:val="00F12800"/>
    <w:rsid w:val="00F12823"/>
    <w:rsid w:val="00F12839"/>
    <w:rsid w:val="00F12858"/>
    <w:rsid w:val="00F12874"/>
    <w:rsid w:val="00F12882"/>
    <w:rsid w:val="00F128FE"/>
    <w:rsid w:val="00F12993"/>
    <w:rsid w:val="00F129A8"/>
    <w:rsid w:val="00F129F9"/>
    <w:rsid w:val="00F12A22"/>
    <w:rsid w:val="00F12A30"/>
    <w:rsid w:val="00F12A75"/>
    <w:rsid w:val="00F12A77"/>
    <w:rsid w:val="00F12ADE"/>
    <w:rsid w:val="00F12ADF"/>
    <w:rsid w:val="00F12B14"/>
    <w:rsid w:val="00F12B16"/>
    <w:rsid w:val="00F12B5A"/>
    <w:rsid w:val="00F12BE1"/>
    <w:rsid w:val="00F12BEC"/>
    <w:rsid w:val="00F12BF0"/>
    <w:rsid w:val="00F12C40"/>
    <w:rsid w:val="00F12C47"/>
    <w:rsid w:val="00F12C72"/>
    <w:rsid w:val="00F12D0F"/>
    <w:rsid w:val="00F12D43"/>
    <w:rsid w:val="00F12D48"/>
    <w:rsid w:val="00F12D4C"/>
    <w:rsid w:val="00F12D5E"/>
    <w:rsid w:val="00F12DA2"/>
    <w:rsid w:val="00F12DDF"/>
    <w:rsid w:val="00F12E03"/>
    <w:rsid w:val="00F12E07"/>
    <w:rsid w:val="00F12E36"/>
    <w:rsid w:val="00F12E50"/>
    <w:rsid w:val="00F12E6B"/>
    <w:rsid w:val="00F12E9E"/>
    <w:rsid w:val="00F12EB2"/>
    <w:rsid w:val="00F12EE8"/>
    <w:rsid w:val="00F12F0D"/>
    <w:rsid w:val="00F12F0E"/>
    <w:rsid w:val="00F12F1C"/>
    <w:rsid w:val="00F12F20"/>
    <w:rsid w:val="00F12F34"/>
    <w:rsid w:val="00F12F40"/>
    <w:rsid w:val="00F12F70"/>
    <w:rsid w:val="00F12F7D"/>
    <w:rsid w:val="00F12FC0"/>
    <w:rsid w:val="00F12FCD"/>
    <w:rsid w:val="00F12FDA"/>
    <w:rsid w:val="00F13003"/>
    <w:rsid w:val="00F1300F"/>
    <w:rsid w:val="00F1301C"/>
    <w:rsid w:val="00F13039"/>
    <w:rsid w:val="00F1303E"/>
    <w:rsid w:val="00F13071"/>
    <w:rsid w:val="00F13073"/>
    <w:rsid w:val="00F13091"/>
    <w:rsid w:val="00F130BE"/>
    <w:rsid w:val="00F1310C"/>
    <w:rsid w:val="00F1315D"/>
    <w:rsid w:val="00F13190"/>
    <w:rsid w:val="00F131BB"/>
    <w:rsid w:val="00F131DA"/>
    <w:rsid w:val="00F131E7"/>
    <w:rsid w:val="00F13255"/>
    <w:rsid w:val="00F1329C"/>
    <w:rsid w:val="00F132ED"/>
    <w:rsid w:val="00F1333A"/>
    <w:rsid w:val="00F13354"/>
    <w:rsid w:val="00F1337D"/>
    <w:rsid w:val="00F1348B"/>
    <w:rsid w:val="00F13496"/>
    <w:rsid w:val="00F134AB"/>
    <w:rsid w:val="00F13502"/>
    <w:rsid w:val="00F1350A"/>
    <w:rsid w:val="00F1352E"/>
    <w:rsid w:val="00F13594"/>
    <w:rsid w:val="00F135A1"/>
    <w:rsid w:val="00F135D0"/>
    <w:rsid w:val="00F135ED"/>
    <w:rsid w:val="00F1369B"/>
    <w:rsid w:val="00F136C5"/>
    <w:rsid w:val="00F136CD"/>
    <w:rsid w:val="00F136E4"/>
    <w:rsid w:val="00F136FC"/>
    <w:rsid w:val="00F1370D"/>
    <w:rsid w:val="00F13743"/>
    <w:rsid w:val="00F137A7"/>
    <w:rsid w:val="00F137BC"/>
    <w:rsid w:val="00F13804"/>
    <w:rsid w:val="00F1383A"/>
    <w:rsid w:val="00F1383C"/>
    <w:rsid w:val="00F13851"/>
    <w:rsid w:val="00F138D2"/>
    <w:rsid w:val="00F138D3"/>
    <w:rsid w:val="00F138D8"/>
    <w:rsid w:val="00F138D9"/>
    <w:rsid w:val="00F13918"/>
    <w:rsid w:val="00F1395B"/>
    <w:rsid w:val="00F1396D"/>
    <w:rsid w:val="00F13996"/>
    <w:rsid w:val="00F139A3"/>
    <w:rsid w:val="00F139B6"/>
    <w:rsid w:val="00F139B7"/>
    <w:rsid w:val="00F139BC"/>
    <w:rsid w:val="00F139DB"/>
    <w:rsid w:val="00F139E5"/>
    <w:rsid w:val="00F13A33"/>
    <w:rsid w:val="00F13A5E"/>
    <w:rsid w:val="00F13A96"/>
    <w:rsid w:val="00F13AC1"/>
    <w:rsid w:val="00F13B51"/>
    <w:rsid w:val="00F13B9B"/>
    <w:rsid w:val="00F13BAD"/>
    <w:rsid w:val="00F13BC6"/>
    <w:rsid w:val="00F13BD9"/>
    <w:rsid w:val="00F13BF6"/>
    <w:rsid w:val="00F13BFB"/>
    <w:rsid w:val="00F13C16"/>
    <w:rsid w:val="00F13C41"/>
    <w:rsid w:val="00F13C43"/>
    <w:rsid w:val="00F13C54"/>
    <w:rsid w:val="00F13C73"/>
    <w:rsid w:val="00F13D05"/>
    <w:rsid w:val="00F13D4B"/>
    <w:rsid w:val="00F13D5C"/>
    <w:rsid w:val="00F13D95"/>
    <w:rsid w:val="00F13DCA"/>
    <w:rsid w:val="00F13DCC"/>
    <w:rsid w:val="00F13DFD"/>
    <w:rsid w:val="00F13E16"/>
    <w:rsid w:val="00F13E31"/>
    <w:rsid w:val="00F13E32"/>
    <w:rsid w:val="00F13E6E"/>
    <w:rsid w:val="00F13E79"/>
    <w:rsid w:val="00F13EC3"/>
    <w:rsid w:val="00F13EDB"/>
    <w:rsid w:val="00F13EF9"/>
    <w:rsid w:val="00F13F8A"/>
    <w:rsid w:val="00F13FB5"/>
    <w:rsid w:val="00F13FC2"/>
    <w:rsid w:val="00F14009"/>
    <w:rsid w:val="00F1401C"/>
    <w:rsid w:val="00F14035"/>
    <w:rsid w:val="00F14038"/>
    <w:rsid w:val="00F1403F"/>
    <w:rsid w:val="00F1405A"/>
    <w:rsid w:val="00F14077"/>
    <w:rsid w:val="00F1407D"/>
    <w:rsid w:val="00F14095"/>
    <w:rsid w:val="00F140A6"/>
    <w:rsid w:val="00F140AB"/>
    <w:rsid w:val="00F140E9"/>
    <w:rsid w:val="00F14115"/>
    <w:rsid w:val="00F1412C"/>
    <w:rsid w:val="00F14133"/>
    <w:rsid w:val="00F141B1"/>
    <w:rsid w:val="00F14214"/>
    <w:rsid w:val="00F14241"/>
    <w:rsid w:val="00F14245"/>
    <w:rsid w:val="00F1427E"/>
    <w:rsid w:val="00F1428A"/>
    <w:rsid w:val="00F14292"/>
    <w:rsid w:val="00F142E4"/>
    <w:rsid w:val="00F142EE"/>
    <w:rsid w:val="00F1430A"/>
    <w:rsid w:val="00F14332"/>
    <w:rsid w:val="00F143CD"/>
    <w:rsid w:val="00F14408"/>
    <w:rsid w:val="00F1440F"/>
    <w:rsid w:val="00F1441D"/>
    <w:rsid w:val="00F14475"/>
    <w:rsid w:val="00F1448B"/>
    <w:rsid w:val="00F144AA"/>
    <w:rsid w:val="00F144E3"/>
    <w:rsid w:val="00F14524"/>
    <w:rsid w:val="00F145DF"/>
    <w:rsid w:val="00F14651"/>
    <w:rsid w:val="00F14658"/>
    <w:rsid w:val="00F14677"/>
    <w:rsid w:val="00F14708"/>
    <w:rsid w:val="00F1471D"/>
    <w:rsid w:val="00F14757"/>
    <w:rsid w:val="00F1478A"/>
    <w:rsid w:val="00F147D0"/>
    <w:rsid w:val="00F1480A"/>
    <w:rsid w:val="00F14821"/>
    <w:rsid w:val="00F14855"/>
    <w:rsid w:val="00F14878"/>
    <w:rsid w:val="00F1490C"/>
    <w:rsid w:val="00F1492F"/>
    <w:rsid w:val="00F1493B"/>
    <w:rsid w:val="00F14946"/>
    <w:rsid w:val="00F14979"/>
    <w:rsid w:val="00F149A4"/>
    <w:rsid w:val="00F149A8"/>
    <w:rsid w:val="00F149B8"/>
    <w:rsid w:val="00F149D0"/>
    <w:rsid w:val="00F149D1"/>
    <w:rsid w:val="00F149D9"/>
    <w:rsid w:val="00F149EF"/>
    <w:rsid w:val="00F14A14"/>
    <w:rsid w:val="00F14A1B"/>
    <w:rsid w:val="00F14A64"/>
    <w:rsid w:val="00F14A9A"/>
    <w:rsid w:val="00F14AEA"/>
    <w:rsid w:val="00F14B4D"/>
    <w:rsid w:val="00F14BD5"/>
    <w:rsid w:val="00F14BE4"/>
    <w:rsid w:val="00F14C1A"/>
    <w:rsid w:val="00F14C31"/>
    <w:rsid w:val="00F14C62"/>
    <w:rsid w:val="00F14D55"/>
    <w:rsid w:val="00F14D93"/>
    <w:rsid w:val="00F14DB8"/>
    <w:rsid w:val="00F14E24"/>
    <w:rsid w:val="00F14E32"/>
    <w:rsid w:val="00F14E65"/>
    <w:rsid w:val="00F14E7D"/>
    <w:rsid w:val="00F14EB1"/>
    <w:rsid w:val="00F14ED2"/>
    <w:rsid w:val="00F14EDD"/>
    <w:rsid w:val="00F14EDF"/>
    <w:rsid w:val="00F14EF8"/>
    <w:rsid w:val="00F14F43"/>
    <w:rsid w:val="00F14FBF"/>
    <w:rsid w:val="00F14FEE"/>
    <w:rsid w:val="00F1501B"/>
    <w:rsid w:val="00F15032"/>
    <w:rsid w:val="00F1503B"/>
    <w:rsid w:val="00F1508D"/>
    <w:rsid w:val="00F150CA"/>
    <w:rsid w:val="00F15152"/>
    <w:rsid w:val="00F15193"/>
    <w:rsid w:val="00F151A2"/>
    <w:rsid w:val="00F151B3"/>
    <w:rsid w:val="00F15201"/>
    <w:rsid w:val="00F15203"/>
    <w:rsid w:val="00F1521B"/>
    <w:rsid w:val="00F1522F"/>
    <w:rsid w:val="00F15245"/>
    <w:rsid w:val="00F15254"/>
    <w:rsid w:val="00F15271"/>
    <w:rsid w:val="00F1528A"/>
    <w:rsid w:val="00F1528D"/>
    <w:rsid w:val="00F152D2"/>
    <w:rsid w:val="00F153A7"/>
    <w:rsid w:val="00F153E8"/>
    <w:rsid w:val="00F153FB"/>
    <w:rsid w:val="00F1540B"/>
    <w:rsid w:val="00F15465"/>
    <w:rsid w:val="00F154AB"/>
    <w:rsid w:val="00F1552A"/>
    <w:rsid w:val="00F1553C"/>
    <w:rsid w:val="00F15543"/>
    <w:rsid w:val="00F15545"/>
    <w:rsid w:val="00F1554D"/>
    <w:rsid w:val="00F1556F"/>
    <w:rsid w:val="00F15582"/>
    <w:rsid w:val="00F155C5"/>
    <w:rsid w:val="00F155D4"/>
    <w:rsid w:val="00F15649"/>
    <w:rsid w:val="00F1564C"/>
    <w:rsid w:val="00F15656"/>
    <w:rsid w:val="00F1567B"/>
    <w:rsid w:val="00F156AC"/>
    <w:rsid w:val="00F156B7"/>
    <w:rsid w:val="00F15732"/>
    <w:rsid w:val="00F15743"/>
    <w:rsid w:val="00F15789"/>
    <w:rsid w:val="00F1586D"/>
    <w:rsid w:val="00F15913"/>
    <w:rsid w:val="00F15916"/>
    <w:rsid w:val="00F1593B"/>
    <w:rsid w:val="00F15955"/>
    <w:rsid w:val="00F15960"/>
    <w:rsid w:val="00F159C4"/>
    <w:rsid w:val="00F159C5"/>
    <w:rsid w:val="00F15A0A"/>
    <w:rsid w:val="00F15A13"/>
    <w:rsid w:val="00F15A2B"/>
    <w:rsid w:val="00F15A48"/>
    <w:rsid w:val="00F15AA7"/>
    <w:rsid w:val="00F15B27"/>
    <w:rsid w:val="00F15B57"/>
    <w:rsid w:val="00F15B8F"/>
    <w:rsid w:val="00F15BA0"/>
    <w:rsid w:val="00F15BC4"/>
    <w:rsid w:val="00F15BC5"/>
    <w:rsid w:val="00F15C2D"/>
    <w:rsid w:val="00F15C37"/>
    <w:rsid w:val="00F15C3E"/>
    <w:rsid w:val="00F15C5D"/>
    <w:rsid w:val="00F15C87"/>
    <w:rsid w:val="00F15C88"/>
    <w:rsid w:val="00F15CA9"/>
    <w:rsid w:val="00F15CD4"/>
    <w:rsid w:val="00F15CEB"/>
    <w:rsid w:val="00F15CF0"/>
    <w:rsid w:val="00F15D09"/>
    <w:rsid w:val="00F15D7C"/>
    <w:rsid w:val="00F15D84"/>
    <w:rsid w:val="00F15D8A"/>
    <w:rsid w:val="00F15DC8"/>
    <w:rsid w:val="00F15DE1"/>
    <w:rsid w:val="00F15E49"/>
    <w:rsid w:val="00F15E52"/>
    <w:rsid w:val="00F15E6E"/>
    <w:rsid w:val="00F15E88"/>
    <w:rsid w:val="00F15E9F"/>
    <w:rsid w:val="00F15EAA"/>
    <w:rsid w:val="00F15ECD"/>
    <w:rsid w:val="00F15F29"/>
    <w:rsid w:val="00F15F34"/>
    <w:rsid w:val="00F15F4E"/>
    <w:rsid w:val="00F15F85"/>
    <w:rsid w:val="00F15F9C"/>
    <w:rsid w:val="00F15FC6"/>
    <w:rsid w:val="00F16075"/>
    <w:rsid w:val="00F16092"/>
    <w:rsid w:val="00F160B4"/>
    <w:rsid w:val="00F160B5"/>
    <w:rsid w:val="00F160E6"/>
    <w:rsid w:val="00F1614F"/>
    <w:rsid w:val="00F1618B"/>
    <w:rsid w:val="00F161BC"/>
    <w:rsid w:val="00F161CA"/>
    <w:rsid w:val="00F16216"/>
    <w:rsid w:val="00F16227"/>
    <w:rsid w:val="00F162C4"/>
    <w:rsid w:val="00F162EE"/>
    <w:rsid w:val="00F1632C"/>
    <w:rsid w:val="00F1632D"/>
    <w:rsid w:val="00F16333"/>
    <w:rsid w:val="00F1638D"/>
    <w:rsid w:val="00F163E6"/>
    <w:rsid w:val="00F16441"/>
    <w:rsid w:val="00F1646A"/>
    <w:rsid w:val="00F16489"/>
    <w:rsid w:val="00F164A2"/>
    <w:rsid w:val="00F164BD"/>
    <w:rsid w:val="00F164E3"/>
    <w:rsid w:val="00F16548"/>
    <w:rsid w:val="00F165AA"/>
    <w:rsid w:val="00F165B3"/>
    <w:rsid w:val="00F165FC"/>
    <w:rsid w:val="00F1666A"/>
    <w:rsid w:val="00F16690"/>
    <w:rsid w:val="00F16747"/>
    <w:rsid w:val="00F1675C"/>
    <w:rsid w:val="00F16778"/>
    <w:rsid w:val="00F1678C"/>
    <w:rsid w:val="00F16792"/>
    <w:rsid w:val="00F167B1"/>
    <w:rsid w:val="00F167DB"/>
    <w:rsid w:val="00F1684B"/>
    <w:rsid w:val="00F168BA"/>
    <w:rsid w:val="00F168F5"/>
    <w:rsid w:val="00F16949"/>
    <w:rsid w:val="00F16960"/>
    <w:rsid w:val="00F16992"/>
    <w:rsid w:val="00F169C5"/>
    <w:rsid w:val="00F169F3"/>
    <w:rsid w:val="00F16A1D"/>
    <w:rsid w:val="00F16A5E"/>
    <w:rsid w:val="00F16A8C"/>
    <w:rsid w:val="00F16AF9"/>
    <w:rsid w:val="00F16B07"/>
    <w:rsid w:val="00F16BFB"/>
    <w:rsid w:val="00F16C25"/>
    <w:rsid w:val="00F16C2C"/>
    <w:rsid w:val="00F16C45"/>
    <w:rsid w:val="00F16C66"/>
    <w:rsid w:val="00F16CDF"/>
    <w:rsid w:val="00F16D23"/>
    <w:rsid w:val="00F16D40"/>
    <w:rsid w:val="00F16D64"/>
    <w:rsid w:val="00F16D74"/>
    <w:rsid w:val="00F16DD2"/>
    <w:rsid w:val="00F16E00"/>
    <w:rsid w:val="00F16E3A"/>
    <w:rsid w:val="00F16E3C"/>
    <w:rsid w:val="00F16E7D"/>
    <w:rsid w:val="00F16E8D"/>
    <w:rsid w:val="00F16ECA"/>
    <w:rsid w:val="00F16EEC"/>
    <w:rsid w:val="00F16EF3"/>
    <w:rsid w:val="00F16EFF"/>
    <w:rsid w:val="00F16F1E"/>
    <w:rsid w:val="00F16F2A"/>
    <w:rsid w:val="00F16F3F"/>
    <w:rsid w:val="00F16F47"/>
    <w:rsid w:val="00F16F78"/>
    <w:rsid w:val="00F16F7D"/>
    <w:rsid w:val="00F16FC9"/>
    <w:rsid w:val="00F16FF0"/>
    <w:rsid w:val="00F1702E"/>
    <w:rsid w:val="00F17071"/>
    <w:rsid w:val="00F17092"/>
    <w:rsid w:val="00F17099"/>
    <w:rsid w:val="00F170AE"/>
    <w:rsid w:val="00F170B3"/>
    <w:rsid w:val="00F170BF"/>
    <w:rsid w:val="00F170F2"/>
    <w:rsid w:val="00F17137"/>
    <w:rsid w:val="00F17148"/>
    <w:rsid w:val="00F1719D"/>
    <w:rsid w:val="00F171BC"/>
    <w:rsid w:val="00F171DA"/>
    <w:rsid w:val="00F171E1"/>
    <w:rsid w:val="00F171F5"/>
    <w:rsid w:val="00F1720C"/>
    <w:rsid w:val="00F17226"/>
    <w:rsid w:val="00F17282"/>
    <w:rsid w:val="00F17293"/>
    <w:rsid w:val="00F172A2"/>
    <w:rsid w:val="00F172F4"/>
    <w:rsid w:val="00F1732E"/>
    <w:rsid w:val="00F17356"/>
    <w:rsid w:val="00F17359"/>
    <w:rsid w:val="00F1736B"/>
    <w:rsid w:val="00F17394"/>
    <w:rsid w:val="00F1739C"/>
    <w:rsid w:val="00F173B0"/>
    <w:rsid w:val="00F173B4"/>
    <w:rsid w:val="00F173F3"/>
    <w:rsid w:val="00F17448"/>
    <w:rsid w:val="00F17461"/>
    <w:rsid w:val="00F1746F"/>
    <w:rsid w:val="00F1747F"/>
    <w:rsid w:val="00F17486"/>
    <w:rsid w:val="00F174A1"/>
    <w:rsid w:val="00F174B7"/>
    <w:rsid w:val="00F174BF"/>
    <w:rsid w:val="00F17546"/>
    <w:rsid w:val="00F17557"/>
    <w:rsid w:val="00F17572"/>
    <w:rsid w:val="00F175B3"/>
    <w:rsid w:val="00F17609"/>
    <w:rsid w:val="00F1760F"/>
    <w:rsid w:val="00F17612"/>
    <w:rsid w:val="00F17641"/>
    <w:rsid w:val="00F17656"/>
    <w:rsid w:val="00F176B4"/>
    <w:rsid w:val="00F1774C"/>
    <w:rsid w:val="00F17786"/>
    <w:rsid w:val="00F17787"/>
    <w:rsid w:val="00F17793"/>
    <w:rsid w:val="00F177A4"/>
    <w:rsid w:val="00F177B2"/>
    <w:rsid w:val="00F177D6"/>
    <w:rsid w:val="00F1783E"/>
    <w:rsid w:val="00F178A9"/>
    <w:rsid w:val="00F178B7"/>
    <w:rsid w:val="00F178D2"/>
    <w:rsid w:val="00F178E1"/>
    <w:rsid w:val="00F178E7"/>
    <w:rsid w:val="00F17915"/>
    <w:rsid w:val="00F1792B"/>
    <w:rsid w:val="00F17951"/>
    <w:rsid w:val="00F17959"/>
    <w:rsid w:val="00F1795A"/>
    <w:rsid w:val="00F179B6"/>
    <w:rsid w:val="00F179BA"/>
    <w:rsid w:val="00F179ED"/>
    <w:rsid w:val="00F179F6"/>
    <w:rsid w:val="00F17A05"/>
    <w:rsid w:val="00F17A14"/>
    <w:rsid w:val="00F17A5A"/>
    <w:rsid w:val="00F17A5E"/>
    <w:rsid w:val="00F17A6F"/>
    <w:rsid w:val="00F17AAE"/>
    <w:rsid w:val="00F17AC6"/>
    <w:rsid w:val="00F17AC9"/>
    <w:rsid w:val="00F17AEA"/>
    <w:rsid w:val="00F17B49"/>
    <w:rsid w:val="00F17B77"/>
    <w:rsid w:val="00F17C0B"/>
    <w:rsid w:val="00F17C25"/>
    <w:rsid w:val="00F17C66"/>
    <w:rsid w:val="00F17C7D"/>
    <w:rsid w:val="00F17C8D"/>
    <w:rsid w:val="00F17C92"/>
    <w:rsid w:val="00F17C95"/>
    <w:rsid w:val="00F17C9A"/>
    <w:rsid w:val="00F17CA5"/>
    <w:rsid w:val="00F17CFA"/>
    <w:rsid w:val="00F17D34"/>
    <w:rsid w:val="00F17D45"/>
    <w:rsid w:val="00F17D5D"/>
    <w:rsid w:val="00F17D89"/>
    <w:rsid w:val="00F17E14"/>
    <w:rsid w:val="00F17E39"/>
    <w:rsid w:val="00F17E41"/>
    <w:rsid w:val="00F17E4A"/>
    <w:rsid w:val="00F17E77"/>
    <w:rsid w:val="00F17E91"/>
    <w:rsid w:val="00F17EA2"/>
    <w:rsid w:val="00F17EB9"/>
    <w:rsid w:val="00F17EDD"/>
    <w:rsid w:val="00F17EEB"/>
    <w:rsid w:val="00F17F04"/>
    <w:rsid w:val="00F17F0D"/>
    <w:rsid w:val="00F17F2B"/>
    <w:rsid w:val="00F17FA9"/>
    <w:rsid w:val="00F17FB9"/>
    <w:rsid w:val="00F17FC9"/>
    <w:rsid w:val="00F17FFD"/>
    <w:rsid w:val="00F20062"/>
    <w:rsid w:val="00F20066"/>
    <w:rsid w:val="00F200AB"/>
    <w:rsid w:val="00F200E1"/>
    <w:rsid w:val="00F200EB"/>
    <w:rsid w:val="00F200FC"/>
    <w:rsid w:val="00F20121"/>
    <w:rsid w:val="00F20132"/>
    <w:rsid w:val="00F2014F"/>
    <w:rsid w:val="00F2016A"/>
    <w:rsid w:val="00F201E9"/>
    <w:rsid w:val="00F20206"/>
    <w:rsid w:val="00F20237"/>
    <w:rsid w:val="00F2024A"/>
    <w:rsid w:val="00F2024E"/>
    <w:rsid w:val="00F20296"/>
    <w:rsid w:val="00F202A6"/>
    <w:rsid w:val="00F20343"/>
    <w:rsid w:val="00F2038B"/>
    <w:rsid w:val="00F203A0"/>
    <w:rsid w:val="00F203CF"/>
    <w:rsid w:val="00F2045E"/>
    <w:rsid w:val="00F2046A"/>
    <w:rsid w:val="00F204BB"/>
    <w:rsid w:val="00F2051B"/>
    <w:rsid w:val="00F2054E"/>
    <w:rsid w:val="00F20556"/>
    <w:rsid w:val="00F20558"/>
    <w:rsid w:val="00F20597"/>
    <w:rsid w:val="00F205B8"/>
    <w:rsid w:val="00F205BD"/>
    <w:rsid w:val="00F205C4"/>
    <w:rsid w:val="00F20603"/>
    <w:rsid w:val="00F20624"/>
    <w:rsid w:val="00F2065E"/>
    <w:rsid w:val="00F206BB"/>
    <w:rsid w:val="00F206D9"/>
    <w:rsid w:val="00F2074A"/>
    <w:rsid w:val="00F20786"/>
    <w:rsid w:val="00F207CA"/>
    <w:rsid w:val="00F207E4"/>
    <w:rsid w:val="00F207F4"/>
    <w:rsid w:val="00F20801"/>
    <w:rsid w:val="00F2080C"/>
    <w:rsid w:val="00F20834"/>
    <w:rsid w:val="00F20886"/>
    <w:rsid w:val="00F20895"/>
    <w:rsid w:val="00F208CC"/>
    <w:rsid w:val="00F208DA"/>
    <w:rsid w:val="00F208EF"/>
    <w:rsid w:val="00F2092A"/>
    <w:rsid w:val="00F20963"/>
    <w:rsid w:val="00F2096C"/>
    <w:rsid w:val="00F20A1C"/>
    <w:rsid w:val="00F20A32"/>
    <w:rsid w:val="00F20A50"/>
    <w:rsid w:val="00F20AD0"/>
    <w:rsid w:val="00F20B69"/>
    <w:rsid w:val="00F20BAC"/>
    <w:rsid w:val="00F20BC2"/>
    <w:rsid w:val="00F20BC9"/>
    <w:rsid w:val="00F20BCE"/>
    <w:rsid w:val="00F20BE7"/>
    <w:rsid w:val="00F20BF3"/>
    <w:rsid w:val="00F20C32"/>
    <w:rsid w:val="00F20C43"/>
    <w:rsid w:val="00F20CAB"/>
    <w:rsid w:val="00F20CE1"/>
    <w:rsid w:val="00F20CEC"/>
    <w:rsid w:val="00F20CF0"/>
    <w:rsid w:val="00F20D0B"/>
    <w:rsid w:val="00F20D1A"/>
    <w:rsid w:val="00F20D1E"/>
    <w:rsid w:val="00F20D3E"/>
    <w:rsid w:val="00F20D4E"/>
    <w:rsid w:val="00F20DAD"/>
    <w:rsid w:val="00F20DB6"/>
    <w:rsid w:val="00F20E4B"/>
    <w:rsid w:val="00F20E67"/>
    <w:rsid w:val="00F20ECE"/>
    <w:rsid w:val="00F20F16"/>
    <w:rsid w:val="00F20F5F"/>
    <w:rsid w:val="00F20F8C"/>
    <w:rsid w:val="00F20FB1"/>
    <w:rsid w:val="00F20FC9"/>
    <w:rsid w:val="00F20FF4"/>
    <w:rsid w:val="00F2100E"/>
    <w:rsid w:val="00F21069"/>
    <w:rsid w:val="00F210B9"/>
    <w:rsid w:val="00F210D4"/>
    <w:rsid w:val="00F21155"/>
    <w:rsid w:val="00F21173"/>
    <w:rsid w:val="00F2119B"/>
    <w:rsid w:val="00F211AE"/>
    <w:rsid w:val="00F211B5"/>
    <w:rsid w:val="00F211BF"/>
    <w:rsid w:val="00F211DE"/>
    <w:rsid w:val="00F211EC"/>
    <w:rsid w:val="00F21202"/>
    <w:rsid w:val="00F21223"/>
    <w:rsid w:val="00F2126D"/>
    <w:rsid w:val="00F2127C"/>
    <w:rsid w:val="00F21283"/>
    <w:rsid w:val="00F21294"/>
    <w:rsid w:val="00F212B1"/>
    <w:rsid w:val="00F212D0"/>
    <w:rsid w:val="00F212DB"/>
    <w:rsid w:val="00F21340"/>
    <w:rsid w:val="00F2135D"/>
    <w:rsid w:val="00F2137B"/>
    <w:rsid w:val="00F213AB"/>
    <w:rsid w:val="00F213C5"/>
    <w:rsid w:val="00F213CB"/>
    <w:rsid w:val="00F213D4"/>
    <w:rsid w:val="00F213F0"/>
    <w:rsid w:val="00F21434"/>
    <w:rsid w:val="00F21440"/>
    <w:rsid w:val="00F214AA"/>
    <w:rsid w:val="00F214D3"/>
    <w:rsid w:val="00F214F3"/>
    <w:rsid w:val="00F21523"/>
    <w:rsid w:val="00F21537"/>
    <w:rsid w:val="00F21578"/>
    <w:rsid w:val="00F21582"/>
    <w:rsid w:val="00F2158C"/>
    <w:rsid w:val="00F215F2"/>
    <w:rsid w:val="00F215F7"/>
    <w:rsid w:val="00F2161B"/>
    <w:rsid w:val="00F2164D"/>
    <w:rsid w:val="00F216FB"/>
    <w:rsid w:val="00F21717"/>
    <w:rsid w:val="00F21732"/>
    <w:rsid w:val="00F21775"/>
    <w:rsid w:val="00F21792"/>
    <w:rsid w:val="00F21827"/>
    <w:rsid w:val="00F21834"/>
    <w:rsid w:val="00F21889"/>
    <w:rsid w:val="00F218A8"/>
    <w:rsid w:val="00F21977"/>
    <w:rsid w:val="00F21980"/>
    <w:rsid w:val="00F21996"/>
    <w:rsid w:val="00F219B1"/>
    <w:rsid w:val="00F219F5"/>
    <w:rsid w:val="00F219FC"/>
    <w:rsid w:val="00F21A09"/>
    <w:rsid w:val="00F21A2B"/>
    <w:rsid w:val="00F21A36"/>
    <w:rsid w:val="00F21A5C"/>
    <w:rsid w:val="00F21A61"/>
    <w:rsid w:val="00F21A62"/>
    <w:rsid w:val="00F21A91"/>
    <w:rsid w:val="00F21AAB"/>
    <w:rsid w:val="00F21AC9"/>
    <w:rsid w:val="00F21ACA"/>
    <w:rsid w:val="00F21B1A"/>
    <w:rsid w:val="00F21B64"/>
    <w:rsid w:val="00F21B77"/>
    <w:rsid w:val="00F21B81"/>
    <w:rsid w:val="00F21B82"/>
    <w:rsid w:val="00F21BAF"/>
    <w:rsid w:val="00F21BBA"/>
    <w:rsid w:val="00F21BE9"/>
    <w:rsid w:val="00F21BFE"/>
    <w:rsid w:val="00F21C24"/>
    <w:rsid w:val="00F21C30"/>
    <w:rsid w:val="00F21C4F"/>
    <w:rsid w:val="00F21C57"/>
    <w:rsid w:val="00F21C5B"/>
    <w:rsid w:val="00F21C71"/>
    <w:rsid w:val="00F21C72"/>
    <w:rsid w:val="00F21C84"/>
    <w:rsid w:val="00F21CBA"/>
    <w:rsid w:val="00F21CDE"/>
    <w:rsid w:val="00F21CF0"/>
    <w:rsid w:val="00F21CFD"/>
    <w:rsid w:val="00F21D7E"/>
    <w:rsid w:val="00F21DB9"/>
    <w:rsid w:val="00F21DC3"/>
    <w:rsid w:val="00F21DEB"/>
    <w:rsid w:val="00F21DF0"/>
    <w:rsid w:val="00F21E4A"/>
    <w:rsid w:val="00F21E54"/>
    <w:rsid w:val="00F21EA2"/>
    <w:rsid w:val="00F21EA8"/>
    <w:rsid w:val="00F21EB2"/>
    <w:rsid w:val="00F21ECD"/>
    <w:rsid w:val="00F21ECF"/>
    <w:rsid w:val="00F21EDC"/>
    <w:rsid w:val="00F21EE8"/>
    <w:rsid w:val="00F21F0F"/>
    <w:rsid w:val="00F21F53"/>
    <w:rsid w:val="00F21F92"/>
    <w:rsid w:val="00F22032"/>
    <w:rsid w:val="00F22036"/>
    <w:rsid w:val="00F2203D"/>
    <w:rsid w:val="00F22045"/>
    <w:rsid w:val="00F2206D"/>
    <w:rsid w:val="00F22094"/>
    <w:rsid w:val="00F220A3"/>
    <w:rsid w:val="00F220C1"/>
    <w:rsid w:val="00F220E1"/>
    <w:rsid w:val="00F220EA"/>
    <w:rsid w:val="00F220FB"/>
    <w:rsid w:val="00F22135"/>
    <w:rsid w:val="00F22176"/>
    <w:rsid w:val="00F22194"/>
    <w:rsid w:val="00F221BD"/>
    <w:rsid w:val="00F2220B"/>
    <w:rsid w:val="00F22217"/>
    <w:rsid w:val="00F22228"/>
    <w:rsid w:val="00F22232"/>
    <w:rsid w:val="00F222F2"/>
    <w:rsid w:val="00F222F7"/>
    <w:rsid w:val="00F22359"/>
    <w:rsid w:val="00F223AB"/>
    <w:rsid w:val="00F22426"/>
    <w:rsid w:val="00F2242B"/>
    <w:rsid w:val="00F22441"/>
    <w:rsid w:val="00F2244B"/>
    <w:rsid w:val="00F22477"/>
    <w:rsid w:val="00F22484"/>
    <w:rsid w:val="00F224AD"/>
    <w:rsid w:val="00F224F6"/>
    <w:rsid w:val="00F2252F"/>
    <w:rsid w:val="00F2254F"/>
    <w:rsid w:val="00F22550"/>
    <w:rsid w:val="00F22604"/>
    <w:rsid w:val="00F2260B"/>
    <w:rsid w:val="00F2261F"/>
    <w:rsid w:val="00F22683"/>
    <w:rsid w:val="00F2269D"/>
    <w:rsid w:val="00F226A0"/>
    <w:rsid w:val="00F226B7"/>
    <w:rsid w:val="00F226D8"/>
    <w:rsid w:val="00F226DA"/>
    <w:rsid w:val="00F22701"/>
    <w:rsid w:val="00F2276E"/>
    <w:rsid w:val="00F2281A"/>
    <w:rsid w:val="00F22848"/>
    <w:rsid w:val="00F2285A"/>
    <w:rsid w:val="00F22889"/>
    <w:rsid w:val="00F22895"/>
    <w:rsid w:val="00F22899"/>
    <w:rsid w:val="00F228E9"/>
    <w:rsid w:val="00F228FB"/>
    <w:rsid w:val="00F22942"/>
    <w:rsid w:val="00F22948"/>
    <w:rsid w:val="00F2294B"/>
    <w:rsid w:val="00F22994"/>
    <w:rsid w:val="00F229A4"/>
    <w:rsid w:val="00F229DC"/>
    <w:rsid w:val="00F229E5"/>
    <w:rsid w:val="00F22A18"/>
    <w:rsid w:val="00F22AB7"/>
    <w:rsid w:val="00F22B33"/>
    <w:rsid w:val="00F22B42"/>
    <w:rsid w:val="00F22B47"/>
    <w:rsid w:val="00F22BB4"/>
    <w:rsid w:val="00F22BD5"/>
    <w:rsid w:val="00F22BEA"/>
    <w:rsid w:val="00F22C0D"/>
    <w:rsid w:val="00F22C3E"/>
    <w:rsid w:val="00F22C76"/>
    <w:rsid w:val="00F22C90"/>
    <w:rsid w:val="00F22CF0"/>
    <w:rsid w:val="00F22D43"/>
    <w:rsid w:val="00F22D51"/>
    <w:rsid w:val="00F22D52"/>
    <w:rsid w:val="00F22D78"/>
    <w:rsid w:val="00F22D87"/>
    <w:rsid w:val="00F22DA4"/>
    <w:rsid w:val="00F22DB8"/>
    <w:rsid w:val="00F22DD9"/>
    <w:rsid w:val="00F22DF8"/>
    <w:rsid w:val="00F22EA0"/>
    <w:rsid w:val="00F22F9C"/>
    <w:rsid w:val="00F23004"/>
    <w:rsid w:val="00F23008"/>
    <w:rsid w:val="00F23050"/>
    <w:rsid w:val="00F2306D"/>
    <w:rsid w:val="00F230DA"/>
    <w:rsid w:val="00F230F0"/>
    <w:rsid w:val="00F23129"/>
    <w:rsid w:val="00F2316F"/>
    <w:rsid w:val="00F2318A"/>
    <w:rsid w:val="00F23255"/>
    <w:rsid w:val="00F23260"/>
    <w:rsid w:val="00F23262"/>
    <w:rsid w:val="00F23271"/>
    <w:rsid w:val="00F232A7"/>
    <w:rsid w:val="00F232B7"/>
    <w:rsid w:val="00F232C3"/>
    <w:rsid w:val="00F232C7"/>
    <w:rsid w:val="00F232C9"/>
    <w:rsid w:val="00F2330D"/>
    <w:rsid w:val="00F2336C"/>
    <w:rsid w:val="00F23394"/>
    <w:rsid w:val="00F233EF"/>
    <w:rsid w:val="00F2340D"/>
    <w:rsid w:val="00F23438"/>
    <w:rsid w:val="00F23453"/>
    <w:rsid w:val="00F23464"/>
    <w:rsid w:val="00F234B5"/>
    <w:rsid w:val="00F234F6"/>
    <w:rsid w:val="00F234FE"/>
    <w:rsid w:val="00F23522"/>
    <w:rsid w:val="00F2354E"/>
    <w:rsid w:val="00F23555"/>
    <w:rsid w:val="00F235A0"/>
    <w:rsid w:val="00F235BD"/>
    <w:rsid w:val="00F235E4"/>
    <w:rsid w:val="00F235F3"/>
    <w:rsid w:val="00F2360F"/>
    <w:rsid w:val="00F23618"/>
    <w:rsid w:val="00F2361B"/>
    <w:rsid w:val="00F23665"/>
    <w:rsid w:val="00F23671"/>
    <w:rsid w:val="00F236B3"/>
    <w:rsid w:val="00F23701"/>
    <w:rsid w:val="00F23746"/>
    <w:rsid w:val="00F2379A"/>
    <w:rsid w:val="00F237CA"/>
    <w:rsid w:val="00F23812"/>
    <w:rsid w:val="00F2382F"/>
    <w:rsid w:val="00F23835"/>
    <w:rsid w:val="00F23847"/>
    <w:rsid w:val="00F23851"/>
    <w:rsid w:val="00F23863"/>
    <w:rsid w:val="00F2386B"/>
    <w:rsid w:val="00F23872"/>
    <w:rsid w:val="00F2388B"/>
    <w:rsid w:val="00F238AA"/>
    <w:rsid w:val="00F23949"/>
    <w:rsid w:val="00F23980"/>
    <w:rsid w:val="00F23984"/>
    <w:rsid w:val="00F23987"/>
    <w:rsid w:val="00F23989"/>
    <w:rsid w:val="00F239A0"/>
    <w:rsid w:val="00F239A2"/>
    <w:rsid w:val="00F239D6"/>
    <w:rsid w:val="00F23A5E"/>
    <w:rsid w:val="00F23AB2"/>
    <w:rsid w:val="00F23B71"/>
    <w:rsid w:val="00F23B94"/>
    <w:rsid w:val="00F23B9F"/>
    <w:rsid w:val="00F23C09"/>
    <w:rsid w:val="00F23C92"/>
    <w:rsid w:val="00F23CD7"/>
    <w:rsid w:val="00F23CFE"/>
    <w:rsid w:val="00F23D3A"/>
    <w:rsid w:val="00F23D4A"/>
    <w:rsid w:val="00F23D54"/>
    <w:rsid w:val="00F23D67"/>
    <w:rsid w:val="00F23D90"/>
    <w:rsid w:val="00F23E05"/>
    <w:rsid w:val="00F23E23"/>
    <w:rsid w:val="00F23E2B"/>
    <w:rsid w:val="00F23E9E"/>
    <w:rsid w:val="00F23EAC"/>
    <w:rsid w:val="00F23EC7"/>
    <w:rsid w:val="00F23ED8"/>
    <w:rsid w:val="00F23EF0"/>
    <w:rsid w:val="00F23F11"/>
    <w:rsid w:val="00F23F43"/>
    <w:rsid w:val="00F23F46"/>
    <w:rsid w:val="00F23F52"/>
    <w:rsid w:val="00F23F64"/>
    <w:rsid w:val="00F23FAC"/>
    <w:rsid w:val="00F23FB1"/>
    <w:rsid w:val="00F23FD3"/>
    <w:rsid w:val="00F24084"/>
    <w:rsid w:val="00F24100"/>
    <w:rsid w:val="00F2410F"/>
    <w:rsid w:val="00F24160"/>
    <w:rsid w:val="00F2416A"/>
    <w:rsid w:val="00F24182"/>
    <w:rsid w:val="00F241A0"/>
    <w:rsid w:val="00F241C4"/>
    <w:rsid w:val="00F241D0"/>
    <w:rsid w:val="00F2424E"/>
    <w:rsid w:val="00F24255"/>
    <w:rsid w:val="00F24270"/>
    <w:rsid w:val="00F24299"/>
    <w:rsid w:val="00F242E4"/>
    <w:rsid w:val="00F242EE"/>
    <w:rsid w:val="00F2434E"/>
    <w:rsid w:val="00F24372"/>
    <w:rsid w:val="00F24399"/>
    <w:rsid w:val="00F243BA"/>
    <w:rsid w:val="00F243C7"/>
    <w:rsid w:val="00F243E8"/>
    <w:rsid w:val="00F2441C"/>
    <w:rsid w:val="00F24469"/>
    <w:rsid w:val="00F2446D"/>
    <w:rsid w:val="00F2449D"/>
    <w:rsid w:val="00F244A8"/>
    <w:rsid w:val="00F244D8"/>
    <w:rsid w:val="00F244DE"/>
    <w:rsid w:val="00F244DF"/>
    <w:rsid w:val="00F2451C"/>
    <w:rsid w:val="00F2453A"/>
    <w:rsid w:val="00F2453B"/>
    <w:rsid w:val="00F24590"/>
    <w:rsid w:val="00F245B6"/>
    <w:rsid w:val="00F245F4"/>
    <w:rsid w:val="00F2462C"/>
    <w:rsid w:val="00F2465E"/>
    <w:rsid w:val="00F2468B"/>
    <w:rsid w:val="00F2469B"/>
    <w:rsid w:val="00F246AF"/>
    <w:rsid w:val="00F246B6"/>
    <w:rsid w:val="00F246EA"/>
    <w:rsid w:val="00F246EE"/>
    <w:rsid w:val="00F246F8"/>
    <w:rsid w:val="00F2471C"/>
    <w:rsid w:val="00F24768"/>
    <w:rsid w:val="00F247A4"/>
    <w:rsid w:val="00F247CD"/>
    <w:rsid w:val="00F247E9"/>
    <w:rsid w:val="00F247F3"/>
    <w:rsid w:val="00F247FD"/>
    <w:rsid w:val="00F24814"/>
    <w:rsid w:val="00F2483A"/>
    <w:rsid w:val="00F24846"/>
    <w:rsid w:val="00F2484F"/>
    <w:rsid w:val="00F2488A"/>
    <w:rsid w:val="00F248A8"/>
    <w:rsid w:val="00F248DC"/>
    <w:rsid w:val="00F248EE"/>
    <w:rsid w:val="00F248F1"/>
    <w:rsid w:val="00F2490F"/>
    <w:rsid w:val="00F2491F"/>
    <w:rsid w:val="00F24939"/>
    <w:rsid w:val="00F2494E"/>
    <w:rsid w:val="00F249A1"/>
    <w:rsid w:val="00F249BB"/>
    <w:rsid w:val="00F249CA"/>
    <w:rsid w:val="00F249D6"/>
    <w:rsid w:val="00F249EF"/>
    <w:rsid w:val="00F24A21"/>
    <w:rsid w:val="00F24A40"/>
    <w:rsid w:val="00F24A45"/>
    <w:rsid w:val="00F24A7E"/>
    <w:rsid w:val="00F24A7F"/>
    <w:rsid w:val="00F24A81"/>
    <w:rsid w:val="00F24A84"/>
    <w:rsid w:val="00F24A99"/>
    <w:rsid w:val="00F24AA7"/>
    <w:rsid w:val="00F24AF3"/>
    <w:rsid w:val="00F24B07"/>
    <w:rsid w:val="00F24B6A"/>
    <w:rsid w:val="00F24B90"/>
    <w:rsid w:val="00F24B9D"/>
    <w:rsid w:val="00F24CA0"/>
    <w:rsid w:val="00F24CCD"/>
    <w:rsid w:val="00F24CDD"/>
    <w:rsid w:val="00F24CE6"/>
    <w:rsid w:val="00F24CFD"/>
    <w:rsid w:val="00F24D4E"/>
    <w:rsid w:val="00F24D5F"/>
    <w:rsid w:val="00F24D93"/>
    <w:rsid w:val="00F24DAA"/>
    <w:rsid w:val="00F24DC4"/>
    <w:rsid w:val="00F24DCE"/>
    <w:rsid w:val="00F24E22"/>
    <w:rsid w:val="00F24E58"/>
    <w:rsid w:val="00F24E64"/>
    <w:rsid w:val="00F24E72"/>
    <w:rsid w:val="00F24FB3"/>
    <w:rsid w:val="00F24FB9"/>
    <w:rsid w:val="00F2501D"/>
    <w:rsid w:val="00F2502F"/>
    <w:rsid w:val="00F250C4"/>
    <w:rsid w:val="00F250DB"/>
    <w:rsid w:val="00F25133"/>
    <w:rsid w:val="00F25154"/>
    <w:rsid w:val="00F251C8"/>
    <w:rsid w:val="00F25244"/>
    <w:rsid w:val="00F252D5"/>
    <w:rsid w:val="00F25304"/>
    <w:rsid w:val="00F2530E"/>
    <w:rsid w:val="00F2532D"/>
    <w:rsid w:val="00F25345"/>
    <w:rsid w:val="00F2536B"/>
    <w:rsid w:val="00F253D8"/>
    <w:rsid w:val="00F253E1"/>
    <w:rsid w:val="00F253F0"/>
    <w:rsid w:val="00F25400"/>
    <w:rsid w:val="00F2542F"/>
    <w:rsid w:val="00F25433"/>
    <w:rsid w:val="00F25483"/>
    <w:rsid w:val="00F25489"/>
    <w:rsid w:val="00F254E3"/>
    <w:rsid w:val="00F25508"/>
    <w:rsid w:val="00F25572"/>
    <w:rsid w:val="00F25591"/>
    <w:rsid w:val="00F25594"/>
    <w:rsid w:val="00F255BF"/>
    <w:rsid w:val="00F2561C"/>
    <w:rsid w:val="00F2562E"/>
    <w:rsid w:val="00F2567B"/>
    <w:rsid w:val="00F2568E"/>
    <w:rsid w:val="00F2569B"/>
    <w:rsid w:val="00F256A3"/>
    <w:rsid w:val="00F256AF"/>
    <w:rsid w:val="00F256D4"/>
    <w:rsid w:val="00F256DA"/>
    <w:rsid w:val="00F256FC"/>
    <w:rsid w:val="00F25767"/>
    <w:rsid w:val="00F2578D"/>
    <w:rsid w:val="00F25792"/>
    <w:rsid w:val="00F257C1"/>
    <w:rsid w:val="00F257D1"/>
    <w:rsid w:val="00F257E3"/>
    <w:rsid w:val="00F257E4"/>
    <w:rsid w:val="00F257E5"/>
    <w:rsid w:val="00F257ED"/>
    <w:rsid w:val="00F25805"/>
    <w:rsid w:val="00F25806"/>
    <w:rsid w:val="00F25825"/>
    <w:rsid w:val="00F25849"/>
    <w:rsid w:val="00F25874"/>
    <w:rsid w:val="00F258A0"/>
    <w:rsid w:val="00F258AC"/>
    <w:rsid w:val="00F258EF"/>
    <w:rsid w:val="00F258F7"/>
    <w:rsid w:val="00F258F9"/>
    <w:rsid w:val="00F2590D"/>
    <w:rsid w:val="00F2595F"/>
    <w:rsid w:val="00F25963"/>
    <w:rsid w:val="00F259CD"/>
    <w:rsid w:val="00F25A07"/>
    <w:rsid w:val="00F25A26"/>
    <w:rsid w:val="00F25A4F"/>
    <w:rsid w:val="00F25A52"/>
    <w:rsid w:val="00F25A53"/>
    <w:rsid w:val="00F25A9E"/>
    <w:rsid w:val="00F25AB0"/>
    <w:rsid w:val="00F25ADC"/>
    <w:rsid w:val="00F25AF7"/>
    <w:rsid w:val="00F25B86"/>
    <w:rsid w:val="00F25B93"/>
    <w:rsid w:val="00F25BC5"/>
    <w:rsid w:val="00F25C21"/>
    <w:rsid w:val="00F25C48"/>
    <w:rsid w:val="00F25C5F"/>
    <w:rsid w:val="00F25C68"/>
    <w:rsid w:val="00F25CB7"/>
    <w:rsid w:val="00F25CE9"/>
    <w:rsid w:val="00F25CEA"/>
    <w:rsid w:val="00F25CF8"/>
    <w:rsid w:val="00F25D68"/>
    <w:rsid w:val="00F25D9C"/>
    <w:rsid w:val="00F25DD6"/>
    <w:rsid w:val="00F25DE2"/>
    <w:rsid w:val="00F25E03"/>
    <w:rsid w:val="00F25E1B"/>
    <w:rsid w:val="00F25E80"/>
    <w:rsid w:val="00F25EB0"/>
    <w:rsid w:val="00F25EB6"/>
    <w:rsid w:val="00F25EBB"/>
    <w:rsid w:val="00F25EC6"/>
    <w:rsid w:val="00F25EE6"/>
    <w:rsid w:val="00F25EED"/>
    <w:rsid w:val="00F25EFC"/>
    <w:rsid w:val="00F25F12"/>
    <w:rsid w:val="00F25F16"/>
    <w:rsid w:val="00F25F33"/>
    <w:rsid w:val="00F25FEA"/>
    <w:rsid w:val="00F2603C"/>
    <w:rsid w:val="00F2604A"/>
    <w:rsid w:val="00F2605C"/>
    <w:rsid w:val="00F2606D"/>
    <w:rsid w:val="00F26079"/>
    <w:rsid w:val="00F26082"/>
    <w:rsid w:val="00F2610A"/>
    <w:rsid w:val="00F2612C"/>
    <w:rsid w:val="00F26139"/>
    <w:rsid w:val="00F261A9"/>
    <w:rsid w:val="00F26246"/>
    <w:rsid w:val="00F26254"/>
    <w:rsid w:val="00F2627B"/>
    <w:rsid w:val="00F26290"/>
    <w:rsid w:val="00F262A6"/>
    <w:rsid w:val="00F262DE"/>
    <w:rsid w:val="00F262E5"/>
    <w:rsid w:val="00F26312"/>
    <w:rsid w:val="00F26347"/>
    <w:rsid w:val="00F2636B"/>
    <w:rsid w:val="00F263D3"/>
    <w:rsid w:val="00F26423"/>
    <w:rsid w:val="00F2645D"/>
    <w:rsid w:val="00F264A7"/>
    <w:rsid w:val="00F264B0"/>
    <w:rsid w:val="00F264BF"/>
    <w:rsid w:val="00F26503"/>
    <w:rsid w:val="00F26505"/>
    <w:rsid w:val="00F2650B"/>
    <w:rsid w:val="00F2653E"/>
    <w:rsid w:val="00F26555"/>
    <w:rsid w:val="00F2656F"/>
    <w:rsid w:val="00F2659F"/>
    <w:rsid w:val="00F265F7"/>
    <w:rsid w:val="00F26614"/>
    <w:rsid w:val="00F2664E"/>
    <w:rsid w:val="00F26680"/>
    <w:rsid w:val="00F2668B"/>
    <w:rsid w:val="00F266A0"/>
    <w:rsid w:val="00F266CD"/>
    <w:rsid w:val="00F266DC"/>
    <w:rsid w:val="00F2671B"/>
    <w:rsid w:val="00F26726"/>
    <w:rsid w:val="00F26729"/>
    <w:rsid w:val="00F26752"/>
    <w:rsid w:val="00F267D1"/>
    <w:rsid w:val="00F267E4"/>
    <w:rsid w:val="00F267E8"/>
    <w:rsid w:val="00F26827"/>
    <w:rsid w:val="00F26852"/>
    <w:rsid w:val="00F26863"/>
    <w:rsid w:val="00F26872"/>
    <w:rsid w:val="00F268EA"/>
    <w:rsid w:val="00F268FC"/>
    <w:rsid w:val="00F268FF"/>
    <w:rsid w:val="00F2699A"/>
    <w:rsid w:val="00F269A7"/>
    <w:rsid w:val="00F269B5"/>
    <w:rsid w:val="00F269D2"/>
    <w:rsid w:val="00F26A5F"/>
    <w:rsid w:val="00F26AD6"/>
    <w:rsid w:val="00F26AF9"/>
    <w:rsid w:val="00F26B39"/>
    <w:rsid w:val="00F26B3A"/>
    <w:rsid w:val="00F26B57"/>
    <w:rsid w:val="00F26B5D"/>
    <w:rsid w:val="00F26B71"/>
    <w:rsid w:val="00F26B7E"/>
    <w:rsid w:val="00F26BB3"/>
    <w:rsid w:val="00F26BBF"/>
    <w:rsid w:val="00F26C25"/>
    <w:rsid w:val="00F26C27"/>
    <w:rsid w:val="00F26C37"/>
    <w:rsid w:val="00F26C43"/>
    <w:rsid w:val="00F26C45"/>
    <w:rsid w:val="00F26C47"/>
    <w:rsid w:val="00F26C4C"/>
    <w:rsid w:val="00F26C66"/>
    <w:rsid w:val="00F26C84"/>
    <w:rsid w:val="00F26C90"/>
    <w:rsid w:val="00F26C99"/>
    <w:rsid w:val="00F26CD7"/>
    <w:rsid w:val="00F26D4B"/>
    <w:rsid w:val="00F26D53"/>
    <w:rsid w:val="00F26D6E"/>
    <w:rsid w:val="00F26D83"/>
    <w:rsid w:val="00F26DB1"/>
    <w:rsid w:val="00F26DD0"/>
    <w:rsid w:val="00F26DE8"/>
    <w:rsid w:val="00F26E07"/>
    <w:rsid w:val="00F26E2F"/>
    <w:rsid w:val="00F26E82"/>
    <w:rsid w:val="00F26E84"/>
    <w:rsid w:val="00F26E91"/>
    <w:rsid w:val="00F26EA1"/>
    <w:rsid w:val="00F26EAE"/>
    <w:rsid w:val="00F26EB1"/>
    <w:rsid w:val="00F26EC2"/>
    <w:rsid w:val="00F26EEA"/>
    <w:rsid w:val="00F26FB0"/>
    <w:rsid w:val="00F26FC8"/>
    <w:rsid w:val="00F26FE4"/>
    <w:rsid w:val="00F27012"/>
    <w:rsid w:val="00F27025"/>
    <w:rsid w:val="00F2702E"/>
    <w:rsid w:val="00F27040"/>
    <w:rsid w:val="00F27097"/>
    <w:rsid w:val="00F270B5"/>
    <w:rsid w:val="00F270CC"/>
    <w:rsid w:val="00F2712D"/>
    <w:rsid w:val="00F2714D"/>
    <w:rsid w:val="00F27170"/>
    <w:rsid w:val="00F2718E"/>
    <w:rsid w:val="00F27199"/>
    <w:rsid w:val="00F271B0"/>
    <w:rsid w:val="00F27213"/>
    <w:rsid w:val="00F27235"/>
    <w:rsid w:val="00F27269"/>
    <w:rsid w:val="00F27294"/>
    <w:rsid w:val="00F272D5"/>
    <w:rsid w:val="00F272FA"/>
    <w:rsid w:val="00F2730D"/>
    <w:rsid w:val="00F2735F"/>
    <w:rsid w:val="00F2736F"/>
    <w:rsid w:val="00F27393"/>
    <w:rsid w:val="00F273A1"/>
    <w:rsid w:val="00F273B1"/>
    <w:rsid w:val="00F273B4"/>
    <w:rsid w:val="00F273D3"/>
    <w:rsid w:val="00F273DE"/>
    <w:rsid w:val="00F273FA"/>
    <w:rsid w:val="00F2740F"/>
    <w:rsid w:val="00F27428"/>
    <w:rsid w:val="00F27482"/>
    <w:rsid w:val="00F274A8"/>
    <w:rsid w:val="00F274B8"/>
    <w:rsid w:val="00F274C2"/>
    <w:rsid w:val="00F274C5"/>
    <w:rsid w:val="00F274DD"/>
    <w:rsid w:val="00F27524"/>
    <w:rsid w:val="00F27594"/>
    <w:rsid w:val="00F27599"/>
    <w:rsid w:val="00F275DB"/>
    <w:rsid w:val="00F275E1"/>
    <w:rsid w:val="00F275E7"/>
    <w:rsid w:val="00F27623"/>
    <w:rsid w:val="00F2762C"/>
    <w:rsid w:val="00F2765B"/>
    <w:rsid w:val="00F27681"/>
    <w:rsid w:val="00F276AE"/>
    <w:rsid w:val="00F2773B"/>
    <w:rsid w:val="00F277A4"/>
    <w:rsid w:val="00F277BE"/>
    <w:rsid w:val="00F277BF"/>
    <w:rsid w:val="00F277E1"/>
    <w:rsid w:val="00F27856"/>
    <w:rsid w:val="00F27893"/>
    <w:rsid w:val="00F278AD"/>
    <w:rsid w:val="00F278FE"/>
    <w:rsid w:val="00F2790C"/>
    <w:rsid w:val="00F27915"/>
    <w:rsid w:val="00F2796B"/>
    <w:rsid w:val="00F27993"/>
    <w:rsid w:val="00F27999"/>
    <w:rsid w:val="00F279D8"/>
    <w:rsid w:val="00F27A1F"/>
    <w:rsid w:val="00F27A52"/>
    <w:rsid w:val="00F27A94"/>
    <w:rsid w:val="00F27AA8"/>
    <w:rsid w:val="00F27B46"/>
    <w:rsid w:val="00F27B4B"/>
    <w:rsid w:val="00F27BE9"/>
    <w:rsid w:val="00F27BF2"/>
    <w:rsid w:val="00F27C3A"/>
    <w:rsid w:val="00F27C5F"/>
    <w:rsid w:val="00F27C64"/>
    <w:rsid w:val="00F27D9D"/>
    <w:rsid w:val="00F27DA2"/>
    <w:rsid w:val="00F27DE4"/>
    <w:rsid w:val="00F27E05"/>
    <w:rsid w:val="00F27E48"/>
    <w:rsid w:val="00F27E52"/>
    <w:rsid w:val="00F27E57"/>
    <w:rsid w:val="00F27E94"/>
    <w:rsid w:val="00F27EC5"/>
    <w:rsid w:val="00F27ECC"/>
    <w:rsid w:val="00F27ED5"/>
    <w:rsid w:val="00F27EE5"/>
    <w:rsid w:val="00F27F6A"/>
    <w:rsid w:val="00F27F9D"/>
    <w:rsid w:val="00F30016"/>
    <w:rsid w:val="00F3009E"/>
    <w:rsid w:val="00F30100"/>
    <w:rsid w:val="00F30107"/>
    <w:rsid w:val="00F3012E"/>
    <w:rsid w:val="00F30188"/>
    <w:rsid w:val="00F301CC"/>
    <w:rsid w:val="00F301CE"/>
    <w:rsid w:val="00F301E8"/>
    <w:rsid w:val="00F301E9"/>
    <w:rsid w:val="00F301FC"/>
    <w:rsid w:val="00F3021A"/>
    <w:rsid w:val="00F3022B"/>
    <w:rsid w:val="00F30253"/>
    <w:rsid w:val="00F30280"/>
    <w:rsid w:val="00F302EE"/>
    <w:rsid w:val="00F30325"/>
    <w:rsid w:val="00F30379"/>
    <w:rsid w:val="00F3038A"/>
    <w:rsid w:val="00F30397"/>
    <w:rsid w:val="00F303A8"/>
    <w:rsid w:val="00F303B0"/>
    <w:rsid w:val="00F303B2"/>
    <w:rsid w:val="00F30401"/>
    <w:rsid w:val="00F30427"/>
    <w:rsid w:val="00F3042A"/>
    <w:rsid w:val="00F30479"/>
    <w:rsid w:val="00F3049B"/>
    <w:rsid w:val="00F304BB"/>
    <w:rsid w:val="00F304C3"/>
    <w:rsid w:val="00F304C5"/>
    <w:rsid w:val="00F304CC"/>
    <w:rsid w:val="00F304F9"/>
    <w:rsid w:val="00F30573"/>
    <w:rsid w:val="00F30585"/>
    <w:rsid w:val="00F3061E"/>
    <w:rsid w:val="00F3063B"/>
    <w:rsid w:val="00F30641"/>
    <w:rsid w:val="00F30652"/>
    <w:rsid w:val="00F30658"/>
    <w:rsid w:val="00F3065C"/>
    <w:rsid w:val="00F3066C"/>
    <w:rsid w:val="00F30670"/>
    <w:rsid w:val="00F30679"/>
    <w:rsid w:val="00F306C4"/>
    <w:rsid w:val="00F306D3"/>
    <w:rsid w:val="00F3070D"/>
    <w:rsid w:val="00F30713"/>
    <w:rsid w:val="00F30748"/>
    <w:rsid w:val="00F30778"/>
    <w:rsid w:val="00F30779"/>
    <w:rsid w:val="00F30790"/>
    <w:rsid w:val="00F307E1"/>
    <w:rsid w:val="00F3083D"/>
    <w:rsid w:val="00F30870"/>
    <w:rsid w:val="00F3087C"/>
    <w:rsid w:val="00F30885"/>
    <w:rsid w:val="00F30886"/>
    <w:rsid w:val="00F308CD"/>
    <w:rsid w:val="00F308D6"/>
    <w:rsid w:val="00F30911"/>
    <w:rsid w:val="00F30949"/>
    <w:rsid w:val="00F3094F"/>
    <w:rsid w:val="00F30966"/>
    <w:rsid w:val="00F30984"/>
    <w:rsid w:val="00F3099A"/>
    <w:rsid w:val="00F309AC"/>
    <w:rsid w:val="00F309CF"/>
    <w:rsid w:val="00F309D0"/>
    <w:rsid w:val="00F309FE"/>
    <w:rsid w:val="00F30A06"/>
    <w:rsid w:val="00F30A2B"/>
    <w:rsid w:val="00F30A6A"/>
    <w:rsid w:val="00F30A8E"/>
    <w:rsid w:val="00F30A9C"/>
    <w:rsid w:val="00F30A9D"/>
    <w:rsid w:val="00F30AA4"/>
    <w:rsid w:val="00F30ABE"/>
    <w:rsid w:val="00F30AFE"/>
    <w:rsid w:val="00F30B2E"/>
    <w:rsid w:val="00F30B83"/>
    <w:rsid w:val="00F30BBF"/>
    <w:rsid w:val="00F30BEE"/>
    <w:rsid w:val="00F30BFA"/>
    <w:rsid w:val="00F30C20"/>
    <w:rsid w:val="00F30C32"/>
    <w:rsid w:val="00F30C7A"/>
    <w:rsid w:val="00F30C82"/>
    <w:rsid w:val="00F30CC1"/>
    <w:rsid w:val="00F30CD9"/>
    <w:rsid w:val="00F30D2B"/>
    <w:rsid w:val="00F30DD7"/>
    <w:rsid w:val="00F30DDA"/>
    <w:rsid w:val="00F30E0E"/>
    <w:rsid w:val="00F30E30"/>
    <w:rsid w:val="00F30E79"/>
    <w:rsid w:val="00F30EAA"/>
    <w:rsid w:val="00F30ED6"/>
    <w:rsid w:val="00F30F1F"/>
    <w:rsid w:val="00F30F2F"/>
    <w:rsid w:val="00F30F31"/>
    <w:rsid w:val="00F30F3F"/>
    <w:rsid w:val="00F30FDB"/>
    <w:rsid w:val="00F31038"/>
    <w:rsid w:val="00F31049"/>
    <w:rsid w:val="00F3108F"/>
    <w:rsid w:val="00F310B4"/>
    <w:rsid w:val="00F31106"/>
    <w:rsid w:val="00F3110C"/>
    <w:rsid w:val="00F31128"/>
    <w:rsid w:val="00F3112F"/>
    <w:rsid w:val="00F31153"/>
    <w:rsid w:val="00F311AE"/>
    <w:rsid w:val="00F311F5"/>
    <w:rsid w:val="00F31213"/>
    <w:rsid w:val="00F31237"/>
    <w:rsid w:val="00F31251"/>
    <w:rsid w:val="00F3127D"/>
    <w:rsid w:val="00F3128C"/>
    <w:rsid w:val="00F312CB"/>
    <w:rsid w:val="00F3133C"/>
    <w:rsid w:val="00F3134E"/>
    <w:rsid w:val="00F313A0"/>
    <w:rsid w:val="00F313BE"/>
    <w:rsid w:val="00F313D1"/>
    <w:rsid w:val="00F313D3"/>
    <w:rsid w:val="00F313E4"/>
    <w:rsid w:val="00F3141A"/>
    <w:rsid w:val="00F3142D"/>
    <w:rsid w:val="00F31437"/>
    <w:rsid w:val="00F31450"/>
    <w:rsid w:val="00F3146C"/>
    <w:rsid w:val="00F31488"/>
    <w:rsid w:val="00F3148C"/>
    <w:rsid w:val="00F3148D"/>
    <w:rsid w:val="00F31513"/>
    <w:rsid w:val="00F31595"/>
    <w:rsid w:val="00F315DD"/>
    <w:rsid w:val="00F3163E"/>
    <w:rsid w:val="00F31663"/>
    <w:rsid w:val="00F3167B"/>
    <w:rsid w:val="00F316FA"/>
    <w:rsid w:val="00F316FC"/>
    <w:rsid w:val="00F31759"/>
    <w:rsid w:val="00F31762"/>
    <w:rsid w:val="00F31773"/>
    <w:rsid w:val="00F3179F"/>
    <w:rsid w:val="00F317BF"/>
    <w:rsid w:val="00F31811"/>
    <w:rsid w:val="00F3182C"/>
    <w:rsid w:val="00F31885"/>
    <w:rsid w:val="00F3188B"/>
    <w:rsid w:val="00F31897"/>
    <w:rsid w:val="00F31913"/>
    <w:rsid w:val="00F31925"/>
    <w:rsid w:val="00F3193F"/>
    <w:rsid w:val="00F31958"/>
    <w:rsid w:val="00F319D8"/>
    <w:rsid w:val="00F319F8"/>
    <w:rsid w:val="00F31A00"/>
    <w:rsid w:val="00F31A13"/>
    <w:rsid w:val="00F31A19"/>
    <w:rsid w:val="00F31A1B"/>
    <w:rsid w:val="00F31A21"/>
    <w:rsid w:val="00F31A53"/>
    <w:rsid w:val="00F31A72"/>
    <w:rsid w:val="00F31A7B"/>
    <w:rsid w:val="00F31A81"/>
    <w:rsid w:val="00F31A8E"/>
    <w:rsid w:val="00F31ABA"/>
    <w:rsid w:val="00F31AC7"/>
    <w:rsid w:val="00F31ACD"/>
    <w:rsid w:val="00F31AD6"/>
    <w:rsid w:val="00F31AD7"/>
    <w:rsid w:val="00F31AD8"/>
    <w:rsid w:val="00F31AEE"/>
    <w:rsid w:val="00F31B24"/>
    <w:rsid w:val="00F31B57"/>
    <w:rsid w:val="00F31B73"/>
    <w:rsid w:val="00F31B8A"/>
    <w:rsid w:val="00F31B99"/>
    <w:rsid w:val="00F31BC2"/>
    <w:rsid w:val="00F31BD1"/>
    <w:rsid w:val="00F31BF6"/>
    <w:rsid w:val="00F31C40"/>
    <w:rsid w:val="00F31C4B"/>
    <w:rsid w:val="00F31C57"/>
    <w:rsid w:val="00F31C73"/>
    <w:rsid w:val="00F31C95"/>
    <w:rsid w:val="00F31CC1"/>
    <w:rsid w:val="00F31CD8"/>
    <w:rsid w:val="00F31CE0"/>
    <w:rsid w:val="00F31D53"/>
    <w:rsid w:val="00F31D56"/>
    <w:rsid w:val="00F31D68"/>
    <w:rsid w:val="00F31D86"/>
    <w:rsid w:val="00F31D8E"/>
    <w:rsid w:val="00F31DA2"/>
    <w:rsid w:val="00F31DDA"/>
    <w:rsid w:val="00F31DEA"/>
    <w:rsid w:val="00F31DF0"/>
    <w:rsid w:val="00F31E25"/>
    <w:rsid w:val="00F31E3B"/>
    <w:rsid w:val="00F31EA4"/>
    <w:rsid w:val="00F31EAF"/>
    <w:rsid w:val="00F31F1C"/>
    <w:rsid w:val="00F31F6C"/>
    <w:rsid w:val="00F31F6D"/>
    <w:rsid w:val="00F31F85"/>
    <w:rsid w:val="00F31FA3"/>
    <w:rsid w:val="00F31FB5"/>
    <w:rsid w:val="00F31FF1"/>
    <w:rsid w:val="00F3200E"/>
    <w:rsid w:val="00F3201F"/>
    <w:rsid w:val="00F32030"/>
    <w:rsid w:val="00F32074"/>
    <w:rsid w:val="00F320A1"/>
    <w:rsid w:val="00F320BB"/>
    <w:rsid w:val="00F320FE"/>
    <w:rsid w:val="00F32158"/>
    <w:rsid w:val="00F3217A"/>
    <w:rsid w:val="00F3219D"/>
    <w:rsid w:val="00F321A1"/>
    <w:rsid w:val="00F321BF"/>
    <w:rsid w:val="00F321C2"/>
    <w:rsid w:val="00F321C4"/>
    <w:rsid w:val="00F321D2"/>
    <w:rsid w:val="00F32266"/>
    <w:rsid w:val="00F322A0"/>
    <w:rsid w:val="00F3231F"/>
    <w:rsid w:val="00F32338"/>
    <w:rsid w:val="00F3235B"/>
    <w:rsid w:val="00F32376"/>
    <w:rsid w:val="00F323DC"/>
    <w:rsid w:val="00F32405"/>
    <w:rsid w:val="00F32411"/>
    <w:rsid w:val="00F32493"/>
    <w:rsid w:val="00F32498"/>
    <w:rsid w:val="00F3249E"/>
    <w:rsid w:val="00F324AE"/>
    <w:rsid w:val="00F324B3"/>
    <w:rsid w:val="00F324D9"/>
    <w:rsid w:val="00F3251C"/>
    <w:rsid w:val="00F32537"/>
    <w:rsid w:val="00F32559"/>
    <w:rsid w:val="00F32578"/>
    <w:rsid w:val="00F3257F"/>
    <w:rsid w:val="00F32581"/>
    <w:rsid w:val="00F32586"/>
    <w:rsid w:val="00F325A4"/>
    <w:rsid w:val="00F325EE"/>
    <w:rsid w:val="00F325F5"/>
    <w:rsid w:val="00F325FD"/>
    <w:rsid w:val="00F32656"/>
    <w:rsid w:val="00F326B0"/>
    <w:rsid w:val="00F326BB"/>
    <w:rsid w:val="00F326C1"/>
    <w:rsid w:val="00F326CB"/>
    <w:rsid w:val="00F326DA"/>
    <w:rsid w:val="00F32703"/>
    <w:rsid w:val="00F3276C"/>
    <w:rsid w:val="00F32770"/>
    <w:rsid w:val="00F3278B"/>
    <w:rsid w:val="00F32792"/>
    <w:rsid w:val="00F32793"/>
    <w:rsid w:val="00F32797"/>
    <w:rsid w:val="00F3279D"/>
    <w:rsid w:val="00F32802"/>
    <w:rsid w:val="00F328F4"/>
    <w:rsid w:val="00F3296D"/>
    <w:rsid w:val="00F32983"/>
    <w:rsid w:val="00F329AF"/>
    <w:rsid w:val="00F329FC"/>
    <w:rsid w:val="00F32AA3"/>
    <w:rsid w:val="00F32B05"/>
    <w:rsid w:val="00F32B40"/>
    <w:rsid w:val="00F32B52"/>
    <w:rsid w:val="00F32B55"/>
    <w:rsid w:val="00F32B81"/>
    <w:rsid w:val="00F32BA0"/>
    <w:rsid w:val="00F32BA8"/>
    <w:rsid w:val="00F32BCE"/>
    <w:rsid w:val="00F32C8C"/>
    <w:rsid w:val="00F32CC1"/>
    <w:rsid w:val="00F32D8E"/>
    <w:rsid w:val="00F32D9B"/>
    <w:rsid w:val="00F32DCD"/>
    <w:rsid w:val="00F32DDD"/>
    <w:rsid w:val="00F32E28"/>
    <w:rsid w:val="00F32E5E"/>
    <w:rsid w:val="00F32E6C"/>
    <w:rsid w:val="00F32EB4"/>
    <w:rsid w:val="00F32ECE"/>
    <w:rsid w:val="00F32EED"/>
    <w:rsid w:val="00F32F5C"/>
    <w:rsid w:val="00F32F78"/>
    <w:rsid w:val="00F32FB9"/>
    <w:rsid w:val="00F32FCB"/>
    <w:rsid w:val="00F32FF1"/>
    <w:rsid w:val="00F32FF6"/>
    <w:rsid w:val="00F33000"/>
    <w:rsid w:val="00F33002"/>
    <w:rsid w:val="00F33039"/>
    <w:rsid w:val="00F33055"/>
    <w:rsid w:val="00F33093"/>
    <w:rsid w:val="00F330AC"/>
    <w:rsid w:val="00F330DD"/>
    <w:rsid w:val="00F330F9"/>
    <w:rsid w:val="00F33106"/>
    <w:rsid w:val="00F3310B"/>
    <w:rsid w:val="00F3310E"/>
    <w:rsid w:val="00F33142"/>
    <w:rsid w:val="00F33172"/>
    <w:rsid w:val="00F331DA"/>
    <w:rsid w:val="00F331F2"/>
    <w:rsid w:val="00F33203"/>
    <w:rsid w:val="00F3320D"/>
    <w:rsid w:val="00F3322E"/>
    <w:rsid w:val="00F33267"/>
    <w:rsid w:val="00F3326D"/>
    <w:rsid w:val="00F33293"/>
    <w:rsid w:val="00F332CF"/>
    <w:rsid w:val="00F332DF"/>
    <w:rsid w:val="00F332EC"/>
    <w:rsid w:val="00F33339"/>
    <w:rsid w:val="00F33396"/>
    <w:rsid w:val="00F333A2"/>
    <w:rsid w:val="00F333BA"/>
    <w:rsid w:val="00F333F0"/>
    <w:rsid w:val="00F33414"/>
    <w:rsid w:val="00F33417"/>
    <w:rsid w:val="00F33450"/>
    <w:rsid w:val="00F33458"/>
    <w:rsid w:val="00F334CB"/>
    <w:rsid w:val="00F334F5"/>
    <w:rsid w:val="00F33506"/>
    <w:rsid w:val="00F33509"/>
    <w:rsid w:val="00F3350E"/>
    <w:rsid w:val="00F33566"/>
    <w:rsid w:val="00F3356E"/>
    <w:rsid w:val="00F335A6"/>
    <w:rsid w:val="00F335E4"/>
    <w:rsid w:val="00F335FB"/>
    <w:rsid w:val="00F33612"/>
    <w:rsid w:val="00F33613"/>
    <w:rsid w:val="00F336BC"/>
    <w:rsid w:val="00F336C2"/>
    <w:rsid w:val="00F336CD"/>
    <w:rsid w:val="00F33728"/>
    <w:rsid w:val="00F3375C"/>
    <w:rsid w:val="00F3376B"/>
    <w:rsid w:val="00F3377E"/>
    <w:rsid w:val="00F337AB"/>
    <w:rsid w:val="00F337FA"/>
    <w:rsid w:val="00F33810"/>
    <w:rsid w:val="00F33836"/>
    <w:rsid w:val="00F3385C"/>
    <w:rsid w:val="00F3390F"/>
    <w:rsid w:val="00F33933"/>
    <w:rsid w:val="00F33956"/>
    <w:rsid w:val="00F3399D"/>
    <w:rsid w:val="00F339BE"/>
    <w:rsid w:val="00F33A08"/>
    <w:rsid w:val="00F33A1E"/>
    <w:rsid w:val="00F33A4D"/>
    <w:rsid w:val="00F33A6F"/>
    <w:rsid w:val="00F33AC0"/>
    <w:rsid w:val="00F33AC1"/>
    <w:rsid w:val="00F33ACC"/>
    <w:rsid w:val="00F33AD0"/>
    <w:rsid w:val="00F33AD4"/>
    <w:rsid w:val="00F33AEE"/>
    <w:rsid w:val="00F33B2B"/>
    <w:rsid w:val="00F33B4A"/>
    <w:rsid w:val="00F33B94"/>
    <w:rsid w:val="00F33BB7"/>
    <w:rsid w:val="00F33BDE"/>
    <w:rsid w:val="00F33BF6"/>
    <w:rsid w:val="00F33C49"/>
    <w:rsid w:val="00F33C52"/>
    <w:rsid w:val="00F33C7E"/>
    <w:rsid w:val="00F33CAE"/>
    <w:rsid w:val="00F33CB4"/>
    <w:rsid w:val="00F33CD0"/>
    <w:rsid w:val="00F33CFB"/>
    <w:rsid w:val="00F33D14"/>
    <w:rsid w:val="00F33D30"/>
    <w:rsid w:val="00F33D63"/>
    <w:rsid w:val="00F33D7A"/>
    <w:rsid w:val="00F33D7C"/>
    <w:rsid w:val="00F33D7E"/>
    <w:rsid w:val="00F33DB4"/>
    <w:rsid w:val="00F33DD6"/>
    <w:rsid w:val="00F33E07"/>
    <w:rsid w:val="00F33E16"/>
    <w:rsid w:val="00F33E29"/>
    <w:rsid w:val="00F33E4E"/>
    <w:rsid w:val="00F33E76"/>
    <w:rsid w:val="00F33EBE"/>
    <w:rsid w:val="00F33F07"/>
    <w:rsid w:val="00F33F7B"/>
    <w:rsid w:val="00F33F98"/>
    <w:rsid w:val="00F33FE9"/>
    <w:rsid w:val="00F3404F"/>
    <w:rsid w:val="00F340CF"/>
    <w:rsid w:val="00F340F0"/>
    <w:rsid w:val="00F34103"/>
    <w:rsid w:val="00F3410D"/>
    <w:rsid w:val="00F341B6"/>
    <w:rsid w:val="00F341C4"/>
    <w:rsid w:val="00F341F2"/>
    <w:rsid w:val="00F3420D"/>
    <w:rsid w:val="00F34215"/>
    <w:rsid w:val="00F34219"/>
    <w:rsid w:val="00F3424B"/>
    <w:rsid w:val="00F342AD"/>
    <w:rsid w:val="00F342B0"/>
    <w:rsid w:val="00F34309"/>
    <w:rsid w:val="00F3430B"/>
    <w:rsid w:val="00F34342"/>
    <w:rsid w:val="00F34365"/>
    <w:rsid w:val="00F34377"/>
    <w:rsid w:val="00F34383"/>
    <w:rsid w:val="00F343C6"/>
    <w:rsid w:val="00F3441C"/>
    <w:rsid w:val="00F3442E"/>
    <w:rsid w:val="00F34433"/>
    <w:rsid w:val="00F3443C"/>
    <w:rsid w:val="00F34447"/>
    <w:rsid w:val="00F34462"/>
    <w:rsid w:val="00F3446A"/>
    <w:rsid w:val="00F344AE"/>
    <w:rsid w:val="00F344D2"/>
    <w:rsid w:val="00F34559"/>
    <w:rsid w:val="00F34587"/>
    <w:rsid w:val="00F345D3"/>
    <w:rsid w:val="00F345FD"/>
    <w:rsid w:val="00F34609"/>
    <w:rsid w:val="00F34615"/>
    <w:rsid w:val="00F34617"/>
    <w:rsid w:val="00F34665"/>
    <w:rsid w:val="00F3469B"/>
    <w:rsid w:val="00F34700"/>
    <w:rsid w:val="00F34716"/>
    <w:rsid w:val="00F34729"/>
    <w:rsid w:val="00F34754"/>
    <w:rsid w:val="00F34772"/>
    <w:rsid w:val="00F347CE"/>
    <w:rsid w:val="00F3483F"/>
    <w:rsid w:val="00F34848"/>
    <w:rsid w:val="00F3486F"/>
    <w:rsid w:val="00F34870"/>
    <w:rsid w:val="00F3488C"/>
    <w:rsid w:val="00F348BA"/>
    <w:rsid w:val="00F348CB"/>
    <w:rsid w:val="00F348E4"/>
    <w:rsid w:val="00F34931"/>
    <w:rsid w:val="00F3498A"/>
    <w:rsid w:val="00F3498B"/>
    <w:rsid w:val="00F34A2A"/>
    <w:rsid w:val="00F34A5D"/>
    <w:rsid w:val="00F34A88"/>
    <w:rsid w:val="00F34AB6"/>
    <w:rsid w:val="00F34AC1"/>
    <w:rsid w:val="00F34AC9"/>
    <w:rsid w:val="00F34AE2"/>
    <w:rsid w:val="00F34AE8"/>
    <w:rsid w:val="00F34AF1"/>
    <w:rsid w:val="00F34AF7"/>
    <w:rsid w:val="00F34B29"/>
    <w:rsid w:val="00F34B2E"/>
    <w:rsid w:val="00F34B32"/>
    <w:rsid w:val="00F34B57"/>
    <w:rsid w:val="00F34B8A"/>
    <w:rsid w:val="00F34B98"/>
    <w:rsid w:val="00F34BBA"/>
    <w:rsid w:val="00F34BF5"/>
    <w:rsid w:val="00F34CCE"/>
    <w:rsid w:val="00F34D5C"/>
    <w:rsid w:val="00F34D5E"/>
    <w:rsid w:val="00F34D77"/>
    <w:rsid w:val="00F34D78"/>
    <w:rsid w:val="00F34D7B"/>
    <w:rsid w:val="00F34D85"/>
    <w:rsid w:val="00F34D9E"/>
    <w:rsid w:val="00F34DCE"/>
    <w:rsid w:val="00F34E19"/>
    <w:rsid w:val="00F34E45"/>
    <w:rsid w:val="00F34E51"/>
    <w:rsid w:val="00F34ECB"/>
    <w:rsid w:val="00F34EE5"/>
    <w:rsid w:val="00F34F1D"/>
    <w:rsid w:val="00F34F37"/>
    <w:rsid w:val="00F34F76"/>
    <w:rsid w:val="00F34FA6"/>
    <w:rsid w:val="00F34FDF"/>
    <w:rsid w:val="00F34FEB"/>
    <w:rsid w:val="00F34FF1"/>
    <w:rsid w:val="00F34FFF"/>
    <w:rsid w:val="00F35017"/>
    <w:rsid w:val="00F35019"/>
    <w:rsid w:val="00F3502A"/>
    <w:rsid w:val="00F35048"/>
    <w:rsid w:val="00F35054"/>
    <w:rsid w:val="00F35124"/>
    <w:rsid w:val="00F35142"/>
    <w:rsid w:val="00F3514A"/>
    <w:rsid w:val="00F35184"/>
    <w:rsid w:val="00F351ED"/>
    <w:rsid w:val="00F35204"/>
    <w:rsid w:val="00F35215"/>
    <w:rsid w:val="00F3521F"/>
    <w:rsid w:val="00F35255"/>
    <w:rsid w:val="00F352DC"/>
    <w:rsid w:val="00F35310"/>
    <w:rsid w:val="00F3532D"/>
    <w:rsid w:val="00F35366"/>
    <w:rsid w:val="00F35382"/>
    <w:rsid w:val="00F353A6"/>
    <w:rsid w:val="00F353D4"/>
    <w:rsid w:val="00F35422"/>
    <w:rsid w:val="00F3543C"/>
    <w:rsid w:val="00F3544A"/>
    <w:rsid w:val="00F35450"/>
    <w:rsid w:val="00F3546B"/>
    <w:rsid w:val="00F3549B"/>
    <w:rsid w:val="00F35539"/>
    <w:rsid w:val="00F35543"/>
    <w:rsid w:val="00F35549"/>
    <w:rsid w:val="00F3558E"/>
    <w:rsid w:val="00F35594"/>
    <w:rsid w:val="00F355AD"/>
    <w:rsid w:val="00F355BB"/>
    <w:rsid w:val="00F355C5"/>
    <w:rsid w:val="00F3560A"/>
    <w:rsid w:val="00F3566F"/>
    <w:rsid w:val="00F3569E"/>
    <w:rsid w:val="00F356A0"/>
    <w:rsid w:val="00F356A4"/>
    <w:rsid w:val="00F356A9"/>
    <w:rsid w:val="00F356E5"/>
    <w:rsid w:val="00F35779"/>
    <w:rsid w:val="00F357BB"/>
    <w:rsid w:val="00F357DF"/>
    <w:rsid w:val="00F357FE"/>
    <w:rsid w:val="00F35831"/>
    <w:rsid w:val="00F35851"/>
    <w:rsid w:val="00F35883"/>
    <w:rsid w:val="00F35896"/>
    <w:rsid w:val="00F358A8"/>
    <w:rsid w:val="00F358AC"/>
    <w:rsid w:val="00F358CD"/>
    <w:rsid w:val="00F358CF"/>
    <w:rsid w:val="00F358EC"/>
    <w:rsid w:val="00F35902"/>
    <w:rsid w:val="00F35903"/>
    <w:rsid w:val="00F35911"/>
    <w:rsid w:val="00F3592E"/>
    <w:rsid w:val="00F35995"/>
    <w:rsid w:val="00F359A0"/>
    <w:rsid w:val="00F359AA"/>
    <w:rsid w:val="00F359AC"/>
    <w:rsid w:val="00F359FA"/>
    <w:rsid w:val="00F35A2C"/>
    <w:rsid w:val="00F35A43"/>
    <w:rsid w:val="00F35A90"/>
    <w:rsid w:val="00F35A94"/>
    <w:rsid w:val="00F35A97"/>
    <w:rsid w:val="00F35AA3"/>
    <w:rsid w:val="00F35ABA"/>
    <w:rsid w:val="00F35AF1"/>
    <w:rsid w:val="00F35B3E"/>
    <w:rsid w:val="00F35B4D"/>
    <w:rsid w:val="00F35B4E"/>
    <w:rsid w:val="00F35B5A"/>
    <w:rsid w:val="00F35B69"/>
    <w:rsid w:val="00F35B9A"/>
    <w:rsid w:val="00F35B9B"/>
    <w:rsid w:val="00F35B9C"/>
    <w:rsid w:val="00F35BC1"/>
    <w:rsid w:val="00F35C01"/>
    <w:rsid w:val="00F35C1C"/>
    <w:rsid w:val="00F35C7A"/>
    <w:rsid w:val="00F35C8F"/>
    <w:rsid w:val="00F35CA6"/>
    <w:rsid w:val="00F35CC1"/>
    <w:rsid w:val="00F35CF8"/>
    <w:rsid w:val="00F35D06"/>
    <w:rsid w:val="00F35D28"/>
    <w:rsid w:val="00F35D38"/>
    <w:rsid w:val="00F35D60"/>
    <w:rsid w:val="00F35D82"/>
    <w:rsid w:val="00F35D95"/>
    <w:rsid w:val="00F35DA2"/>
    <w:rsid w:val="00F35DBD"/>
    <w:rsid w:val="00F35DE3"/>
    <w:rsid w:val="00F35E50"/>
    <w:rsid w:val="00F35E56"/>
    <w:rsid w:val="00F35E65"/>
    <w:rsid w:val="00F35E90"/>
    <w:rsid w:val="00F35F03"/>
    <w:rsid w:val="00F35F13"/>
    <w:rsid w:val="00F35F21"/>
    <w:rsid w:val="00F35F3B"/>
    <w:rsid w:val="00F35FA1"/>
    <w:rsid w:val="00F35FC5"/>
    <w:rsid w:val="00F35FD1"/>
    <w:rsid w:val="00F35FDD"/>
    <w:rsid w:val="00F35FE1"/>
    <w:rsid w:val="00F36061"/>
    <w:rsid w:val="00F36096"/>
    <w:rsid w:val="00F360B7"/>
    <w:rsid w:val="00F360FB"/>
    <w:rsid w:val="00F36126"/>
    <w:rsid w:val="00F36188"/>
    <w:rsid w:val="00F3618A"/>
    <w:rsid w:val="00F36197"/>
    <w:rsid w:val="00F361EA"/>
    <w:rsid w:val="00F361FA"/>
    <w:rsid w:val="00F3620E"/>
    <w:rsid w:val="00F36235"/>
    <w:rsid w:val="00F36266"/>
    <w:rsid w:val="00F3626C"/>
    <w:rsid w:val="00F3626F"/>
    <w:rsid w:val="00F3628E"/>
    <w:rsid w:val="00F362B1"/>
    <w:rsid w:val="00F362F8"/>
    <w:rsid w:val="00F362FC"/>
    <w:rsid w:val="00F3631F"/>
    <w:rsid w:val="00F36328"/>
    <w:rsid w:val="00F36332"/>
    <w:rsid w:val="00F363BE"/>
    <w:rsid w:val="00F36501"/>
    <w:rsid w:val="00F3650B"/>
    <w:rsid w:val="00F3652A"/>
    <w:rsid w:val="00F36573"/>
    <w:rsid w:val="00F36581"/>
    <w:rsid w:val="00F365DF"/>
    <w:rsid w:val="00F3661D"/>
    <w:rsid w:val="00F36686"/>
    <w:rsid w:val="00F3668D"/>
    <w:rsid w:val="00F36697"/>
    <w:rsid w:val="00F3670D"/>
    <w:rsid w:val="00F3671A"/>
    <w:rsid w:val="00F36728"/>
    <w:rsid w:val="00F3672D"/>
    <w:rsid w:val="00F36736"/>
    <w:rsid w:val="00F36767"/>
    <w:rsid w:val="00F36769"/>
    <w:rsid w:val="00F3679B"/>
    <w:rsid w:val="00F367C5"/>
    <w:rsid w:val="00F367DB"/>
    <w:rsid w:val="00F367E7"/>
    <w:rsid w:val="00F367FD"/>
    <w:rsid w:val="00F3682F"/>
    <w:rsid w:val="00F3685B"/>
    <w:rsid w:val="00F36871"/>
    <w:rsid w:val="00F3687A"/>
    <w:rsid w:val="00F36888"/>
    <w:rsid w:val="00F368B2"/>
    <w:rsid w:val="00F36904"/>
    <w:rsid w:val="00F3692B"/>
    <w:rsid w:val="00F36932"/>
    <w:rsid w:val="00F36965"/>
    <w:rsid w:val="00F3697D"/>
    <w:rsid w:val="00F369AE"/>
    <w:rsid w:val="00F369C1"/>
    <w:rsid w:val="00F369DA"/>
    <w:rsid w:val="00F369F6"/>
    <w:rsid w:val="00F36A1D"/>
    <w:rsid w:val="00F36A51"/>
    <w:rsid w:val="00F36A68"/>
    <w:rsid w:val="00F36AB0"/>
    <w:rsid w:val="00F36AFB"/>
    <w:rsid w:val="00F36B36"/>
    <w:rsid w:val="00F36B43"/>
    <w:rsid w:val="00F36B7F"/>
    <w:rsid w:val="00F36BC8"/>
    <w:rsid w:val="00F36BFB"/>
    <w:rsid w:val="00F36C04"/>
    <w:rsid w:val="00F36C19"/>
    <w:rsid w:val="00F36C49"/>
    <w:rsid w:val="00F36C6D"/>
    <w:rsid w:val="00F36C82"/>
    <w:rsid w:val="00F36CD1"/>
    <w:rsid w:val="00F36CF3"/>
    <w:rsid w:val="00F36D0B"/>
    <w:rsid w:val="00F36D27"/>
    <w:rsid w:val="00F36D28"/>
    <w:rsid w:val="00F36D57"/>
    <w:rsid w:val="00F36D5A"/>
    <w:rsid w:val="00F36D7A"/>
    <w:rsid w:val="00F36D8D"/>
    <w:rsid w:val="00F36DA2"/>
    <w:rsid w:val="00F36DB7"/>
    <w:rsid w:val="00F36DEB"/>
    <w:rsid w:val="00F36E20"/>
    <w:rsid w:val="00F36E65"/>
    <w:rsid w:val="00F36E69"/>
    <w:rsid w:val="00F36EED"/>
    <w:rsid w:val="00F36EFE"/>
    <w:rsid w:val="00F36F1A"/>
    <w:rsid w:val="00F36F1B"/>
    <w:rsid w:val="00F36F2C"/>
    <w:rsid w:val="00F36F3B"/>
    <w:rsid w:val="00F36F90"/>
    <w:rsid w:val="00F36FB5"/>
    <w:rsid w:val="00F36FBC"/>
    <w:rsid w:val="00F36FCE"/>
    <w:rsid w:val="00F36FEB"/>
    <w:rsid w:val="00F36FED"/>
    <w:rsid w:val="00F36FF4"/>
    <w:rsid w:val="00F37006"/>
    <w:rsid w:val="00F3703E"/>
    <w:rsid w:val="00F3705D"/>
    <w:rsid w:val="00F3706C"/>
    <w:rsid w:val="00F3706D"/>
    <w:rsid w:val="00F370E7"/>
    <w:rsid w:val="00F370FC"/>
    <w:rsid w:val="00F37105"/>
    <w:rsid w:val="00F37109"/>
    <w:rsid w:val="00F37147"/>
    <w:rsid w:val="00F3715B"/>
    <w:rsid w:val="00F37184"/>
    <w:rsid w:val="00F37190"/>
    <w:rsid w:val="00F371AE"/>
    <w:rsid w:val="00F371B4"/>
    <w:rsid w:val="00F371C7"/>
    <w:rsid w:val="00F371EA"/>
    <w:rsid w:val="00F371F0"/>
    <w:rsid w:val="00F3720E"/>
    <w:rsid w:val="00F37245"/>
    <w:rsid w:val="00F3724D"/>
    <w:rsid w:val="00F37253"/>
    <w:rsid w:val="00F37267"/>
    <w:rsid w:val="00F3727D"/>
    <w:rsid w:val="00F372B7"/>
    <w:rsid w:val="00F372FD"/>
    <w:rsid w:val="00F37306"/>
    <w:rsid w:val="00F37359"/>
    <w:rsid w:val="00F3735A"/>
    <w:rsid w:val="00F37372"/>
    <w:rsid w:val="00F37382"/>
    <w:rsid w:val="00F373BF"/>
    <w:rsid w:val="00F373CA"/>
    <w:rsid w:val="00F373E6"/>
    <w:rsid w:val="00F37411"/>
    <w:rsid w:val="00F37429"/>
    <w:rsid w:val="00F3743F"/>
    <w:rsid w:val="00F37495"/>
    <w:rsid w:val="00F374C6"/>
    <w:rsid w:val="00F374D9"/>
    <w:rsid w:val="00F374FB"/>
    <w:rsid w:val="00F37541"/>
    <w:rsid w:val="00F3758C"/>
    <w:rsid w:val="00F375AF"/>
    <w:rsid w:val="00F375D6"/>
    <w:rsid w:val="00F375E9"/>
    <w:rsid w:val="00F375EA"/>
    <w:rsid w:val="00F3760D"/>
    <w:rsid w:val="00F3762F"/>
    <w:rsid w:val="00F37637"/>
    <w:rsid w:val="00F3763B"/>
    <w:rsid w:val="00F37655"/>
    <w:rsid w:val="00F37679"/>
    <w:rsid w:val="00F376B9"/>
    <w:rsid w:val="00F376F7"/>
    <w:rsid w:val="00F3770F"/>
    <w:rsid w:val="00F37722"/>
    <w:rsid w:val="00F377B0"/>
    <w:rsid w:val="00F37805"/>
    <w:rsid w:val="00F37862"/>
    <w:rsid w:val="00F37891"/>
    <w:rsid w:val="00F378A4"/>
    <w:rsid w:val="00F378DA"/>
    <w:rsid w:val="00F378E7"/>
    <w:rsid w:val="00F37911"/>
    <w:rsid w:val="00F37937"/>
    <w:rsid w:val="00F37962"/>
    <w:rsid w:val="00F37966"/>
    <w:rsid w:val="00F379C7"/>
    <w:rsid w:val="00F379DC"/>
    <w:rsid w:val="00F379EA"/>
    <w:rsid w:val="00F37A32"/>
    <w:rsid w:val="00F37A63"/>
    <w:rsid w:val="00F37A82"/>
    <w:rsid w:val="00F37AC2"/>
    <w:rsid w:val="00F37ADA"/>
    <w:rsid w:val="00F37B5D"/>
    <w:rsid w:val="00F37B66"/>
    <w:rsid w:val="00F37B6C"/>
    <w:rsid w:val="00F37B82"/>
    <w:rsid w:val="00F37B9F"/>
    <w:rsid w:val="00F37BCA"/>
    <w:rsid w:val="00F37BD5"/>
    <w:rsid w:val="00F37BF9"/>
    <w:rsid w:val="00F37C19"/>
    <w:rsid w:val="00F37C7E"/>
    <w:rsid w:val="00F37C96"/>
    <w:rsid w:val="00F37CA4"/>
    <w:rsid w:val="00F37CD8"/>
    <w:rsid w:val="00F37CE8"/>
    <w:rsid w:val="00F37D01"/>
    <w:rsid w:val="00F37D50"/>
    <w:rsid w:val="00F37D71"/>
    <w:rsid w:val="00F37D76"/>
    <w:rsid w:val="00F37D80"/>
    <w:rsid w:val="00F37D96"/>
    <w:rsid w:val="00F37DBB"/>
    <w:rsid w:val="00F37DBF"/>
    <w:rsid w:val="00F37E25"/>
    <w:rsid w:val="00F37E4B"/>
    <w:rsid w:val="00F37E57"/>
    <w:rsid w:val="00F37E5C"/>
    <w:rsid w:val="00F37E98"/>
    <w:rsid w:val="00F37EC7"/>
    <w:rsid w:val="00F37EFD"/>
    <w:rsid w:val="00F37F08"/>
    <w:rsid w:val="00F37F0B"/>
    <w:rsid w:val="00F37F23"/>
    <w:rsid w:val="00F37F2E"/>
    <w:rsid w:val="00F37F7D"/>
    <w:rsid w:val="00F37F8C"/>
    <w:rsid w:val="00F37FAB"/>
    <w:rsid w:val="00F37FE9"/>
    <w:rsid w:val="00F40006"/>
    <w:rsid w:val="00F40024"/>
    <w:rsid w:val="00F4003F"/>
    <w:rsid w:val="00F400A9"/>
    <w:rsid w:val="00F400C0"/>
    <w:rsid w:val="00F400C3"/>
    <w:rsid w:val="00F400F6"/>
    <w:rsid w:val="00F4012B"/>
    <w:rsid w:val="00F40140"/>
    <w:rsid w:val="00F40154"/>
    <w:rsid w:val="00F40181"/>
    <w:rsid w:val="00F401AD"/>
    <w:rsid w:val="00F401B2"/>
    <w:rsid w:val="00F4020B"/>
    <w:rsid w:val="00F4026C"/>
    <w:rsid w:val="00F40270"/>
    <w:rsid w:val="00F402D3"/>
    <w:rsid w:val="00F402DC"/>
    <w:rsid w:val="00F402F6"/>
    <w:rsid w:val="00F40380"/>
    <w:rsid w:val="00F40382"/>
    <w:rsid w:val="00F403D4"/>
    <w:rsid w:val="00F403E9"/>
    <w:rsid w:val="00F40440"/>
    <w:rsid w:val="00F40482"/>
    <w:rsid w:val="00F40502"/>
    <w:rsid w:val="00F40556"/>
    <w:rsid w:val="00F40564"/>
    <w:rsid w:val="00F405BE"/>
    <w:rsid w:val="00F405DE"/>
    <w:rsid w:val="00F40618"/>
    <w:rsid w:val="00F4061C"/>
    <w:rsid w:val="00F40652"/>
    <w:rsid w:val="00F4065A"/>
    <w:rsid w:val="00F40707"/>
    <w:rsid w:val="00F4070B"/>
    <w:rsid w:val="00F4071E"/>
    <w:rsid w:val="00F40743"/>
    <w:rsid w:val="00F40764"/>
    <w:rsid w:val="00F4076B"/>
    <w:rsid w:val="00F407A5"/>
    <w:rsid w:val="00F407AC"/>
    <w:rsid w:val="00F407FA"/>
    <w:rsid w:val="00F4081A"/>
    <w:rsid w:val="00F40854"/>
    <w:rsid w:val="00F40879"/>
    <w:rsid w:val="00F4087F"/>
    <w:rsid w:val="00F408A3"/>
    <w:rsid w:val="00F408C7"/>
    <w:rsid w:val="00F40931"/>
    <w:rsid w:val="00F4093C"/>
    <w:rsid w:val="00F4096E"/>
    <w:rsid w:val="00F409D9"/>
    <w:rsid w:val="00F409F3"/>
    <w:rsid w:val="00F40A17"/>
    <w:rsid w:val="00F40A2A"/>
    <w:rsid w:val="00F40A3B"/>
    <w:rsid w:val="00F40A46"/>
    <w:rsid w:val="00F40A8C"/>
    <w:rsid w:val="00F40AB1"/>
    <w:rsid w:val="00F40AF3"/>
    <w:rsid w:val="00F40B03"/>
    <w:rsid w:val="00F40B26"/>
    <w:rsid w:val="00F40B5F"/>
    <w:rsid w:val="00F40B76"/>
    <w:rsid w:val="00F40B92"/>
    <w:rsid w:val="00F40B9F"/>
    <w:rsid w:val="00F40BA1"/>
    <w:rsid w:val="00F40BC9"/>
    <w:rsid w:val="00F40BF7"/>
    <w:rsid w:val="00F40BF8"/>
    <w:rsid w:val="00F40C4C"/>
    <w:rsid w:val="00F40CAB"/>
    <w:rsid w:val="00F40CC5"/>
    <w:rsid w:val="00F40CD6"/>
    <w:rsid w:val="00F40CFA"/>
    <w:rsid w:val="00F40CFE"/>
    <w:rsid w:val="00F40D2E"/>
    <w:rsid w:val="00F40D2F"/>
    <w:rsid w:val="00F40D49"/>
    <w:rsid w:val="00F40DA4"/>
    <w:rsid w:val="00F40DF9"/>
    <w:rsid w:val="00F40E23"/>
    <w:rsid w:val="00F40E35"/>
    <w:rsid w:val="00F40E3E"/>
    <w:rsid w:val="00F40E47"/>
    <w:rsid w:val="00F40EA4"/>
    <w:rsid w:val="00F40EC7"/>
    <w:rsid w:val="00F40F4E"/>
    <w:rsid w:val="00F40F54"/>
    <w:rsid w:val="00F40F70"/>
    <w:rsid w:val="00F40F7C"/>
    <w:rsid w:val="00F40FBE"/>
    <w:rsid w:val="00F40FE5"/>
    <w:rsid w:val="00F41012"/>
    <w:rsid w:val="00F41049"/>
    <w:rsid w:val="00F41054"/>
    <w:rsid w:val="00F4106A"/>
    <w:rsid w:val="00F4108C"/>
    <w:rsid w:val="00F4109E"/>
    <w:rsid w:val="00F410AE"/>
    <w:rsid w:val="00F410B5"/>
    <w:rsid w:val="00F410C6"/>
    <w:rsid w:val="00F410D5"/>
    <w:rsid w:val="00F41157"/>
    <w:rsid w:val="00F41169"/>
    <w:rsid w:val="00F41172"/>
    <w:rsid w:val="00F4119C"/>
    <w:rsid w:val="00F411A7"/>
    <w:rsid w:val="00F411CA"/>
    <w:rsid w:val="00F411D5"/>
    <w:rsid w:val="00F4122D"/>
    <w:rsid w:val="00F41296"/>
    <w:rsid w:val="00F4129C"/>
    <w:rsid w:val="00F412C9"/>
    <w:rsid w:val="00F412EC"/>
    <w:rsid w:val="00F41360"/>
    <w:rsid w:val="00F41366"/>
    <w:rsid w:val="00F41371"/>
    <w:rsid w:val="00F4137A"/>
    <w:rsid w:val="00F41440"/>
    <w:rsid w:val="00F41442"/>
    <w:rsid w:val="00F41456"/>
    <w:rsid w:val="00F4146A"/>
    <w:rsid w:val="00F4146D"/>
    <w:rsid w:val="00F41481"/>
    <w:rsid w:val="00F415B6"/>
    <w:rsid w:val="00F415BE"/>
    <w:rsid w:val="00F41609"/>
    <w:rsid w:val="00F4162A"/>
    <w:rsid w:val="00F4163E"/>
    <w:rsid w:val="00F41683"/>
    <w:rsid w:val="00F416A5"/>
    <w:rsid w:val="00F416DC"/>
    <w:rsid w:val="00F41752"/>
    <w:rsid w:val="00F41753"/>
    <w:rsid w:val="00F41769"/>
    <w:rsid w:val="00F4179A"/>
    <w:rsid w:val="00F417CF"/>
    <w:rsid w:val="00F417DD"/>
    <w:rsid w:val="00F41811"/>
    <w:rsid w:val="00F4181D"/>
    <w:rsid w:val="00F4184D"/>
    <w:rsid w:val="00F4184F"/>
    <w:rsid w:val="00F41862"/>
    <w:rsid w:val="00F4187B"/>
    <w:rsid w:val="00F418DE"/>
    <w:rsid w:val="00F418E1"/>
    <w:rsid w:val="00F41931"/>
    <w:rsid w:val="00F4197C"/>
    <w:rsid w:val="00F419B0"/>
    <w:rsid w:val="00F419CC"/>
    <w:rsid w:val="00F419CF"/>
    <w:rsid w:val="00F41A34"/>
    <w:rsid w:val="00F41A49"/>
    <w:rsid w:val="00F41A57"/>
    <w:rsid w:val="00F41A9D"/>
    <w:rsid w:val="00F41AF8"/>
    <w:rsid w:val="00F41B31"/>
    <w:rsid w:val="00F41B3E"/>
    <w:rsid w:val="00F41BCE"/>
    <w:rsid w:val="00F41BFB"/>
    <w:rsid w:val="00F41C15"/>
    <w:rsid w:val="00F41C2F"/>
    <w:rsid w:val="00F41C6A"/>
    <w:rsid w:val="00F41C6F"/>
    <w:rsid w:val="00F41C7A"/>
    <w:rsid w:val="00F41CE5"/>
    <w:rsid w:val="00F41D7D"/>
    <w:rsid w:val="00F41D93"/>
    <w:rsid w:val="00F41DD2"/>
    <w:rsid w:val="00F41DD6"/>
    <w:rsid w:val="00F41DDC"/>
    <w:rsid w:val="00F41E05"/>
    <w:rsid w:val="00F41E13"/>
    <w:rsid w:val="00F41E19"/>
    <w:rsid w:val="00F41E3B"/>
    <w:rsid w:val="00F41E4E"/>
    <w:rsid w:val="00F41E54"/>
    <w:rsid w:val="00F41EB6"/>
    <w:rsid w:val="00F41EC9"/>
    <w:rsid w:val="00F41EDC"/>
    <w:rsid w:val="00F41EF4"/>
    <w:rsid w:val="00F41EFC"/>
    <w:rsid w:val="00F41F10"/>
    <w:rsid w:val="00F41F2F"/>
    <w:rsid w:val="00F41F3E"/>
    <w:rsid w:val="00F41F46"/>
    <w:rsid w:val="00F41F84"/>
    <w:rsid w:val="00F41F89"/>
    <w:rsid w:val="00F41F99"/>
    <w:rsid w:val="00F41FDF"/>
    <w:rsid w:val="00F41FEE"/>
    <w:rsid w:val="00F420A0"/>
    <w:rsid w:val="00F420B6"/>
    <w:rsid w:val="00F420F2"/>
    <w:rsid w:val="00F42102"/>
    <w:rsid w:val="00F42111"/>
    <w:rsid w:val="00F421BE"/>
    <w:rsid w:val="00F421C0"/>
    <w:rsid w:val="00F421F2"/>
    <w:rsid w:val="00F4226A"/>
    <w:rsid w:val="00F42279"/>
    <w:rsid w:val="00F42295"/>
    <w:rsid w:val="00F422B2"/>
    <w:rsid w:val="00F422CA"/>
    <w:rsid w:val="00F422DA"/>
    <w:rsid w:val="00F422F3"/>
    <w:rsid w:val="00F4230F"/>
    <w:rsid w:val="00F42311"/>
    <w:rsid w:val="00F4232B"/>
    <w:rsid w:val="00F4232F"/>
    <w:rsid w:val="00F42347"/>
    <w:rsid w:val="00F4235C"/>
    <w:rsid w:val="00F4236E"/>
    <w:rsid w:val="00F4238C"/>
    <w:rsid w:val="00F423B7"/>
    <w:rsid w:val="00F424E6"/>
    <w:rsid w:val="00F42502"/>
    <w:rsid w:val="00F42522"/>
    <w:rsid w:val="00F42529"/>
    <w:rsid w:val="00F42575"/>
    <w:rsid w:val="00F425DA"/>
    <w:rsid w:val="00F425F5"/>
    <w:rsid w:val="00F4261C"/>
    <w:rsid w:val="00F42635"/>
    <w:rsid w:val="00F42675"/>
    <w:rsid w:val="00F426A6"/>
    <w:rsid w:val="00F426BE"/>
    <w:rsid w:val="00F426DB"/>
    <w:rsid w:val="00F426FE"/>
    <w:rsid w:val="00F42712"/>
    <w:rsid w:val="00F4271C"/>
    <w:rsid w:val="00F42721"/>
    <w:rsid w:val="00F42732"/>
    <w:rsid w:val="00F42733"/>
    <w:rsid w:val="00F42760"/>
    <w:rsid w:val="00F4277D"/>
    <w:rsid w:val="00F42789"/>
    <w:rsid w:val="00F427D4"/>
    <w:rsid w:val="00F427D9"/>
    <w:rsid w:val="00F427E6"/>
    <w:rsid w:val="00F427F5"/>
    <w:rsid w:val="00F427F8"/>
    <w:rsid w:val="00F42813"/>
    <w:rsid w:val="00F42833"/>
    <w:rsid w:val="00F42860"/>
    <w:rsid w:val="00F42867"/>
    <w:rsid w:val="00F4286E"/>
    <w:rsid w:val="00F4289B"/>
    <w:rsid w:val="00F428CB"/>
    <w:rsid w:val="00F428DC"/>
    <w:rsid w:val="00F4290E"/>
    <w:rsid w:val="00F42920"/>
    <w:rsid w:val="00F42929"/>
    <w:rsid w:val="00F42958"/>
    <w:rsid w:val="00F42959"/>
    <w:rsid w:val="00F4298E"/>
    <w:rsid w:val="00F42994"/>
    <w:rsid w:val="00F429C3"/>
    <w:rsid w:val="00F429E4"/>
    <w:rsid w:val="00F429E6"/>
    <w:rsid w:val="00F429EA"/>
    <w:rsid w:val="00F429EE"/>
    <w:rsid w:val="00F42A07"/>
    <w:rsid w:val="00F42A5F"/>
    <w:rsid w:val="00F42A6A"/>
    <w:rsid w:val="00F42AB8"/>
    <w:rsid w:val="00F42ADC"/>
    <w:rsid w:val="00F42ADD"/>
    <w:rsid w:val="00F42B5C"/>
    <w:rsid w:val="00F42B6A"/>
    <w:rsid w:val="00F42B85"/>
    <w:rsid w:val="00F42B8A"/>
    <w:rsid w:val="00F42B90"/>
    <w:rsid w:val="00F42C5D"/>
    <w:rsid w:val="00F42CB8"/>
    <w:rsid w:val="00F42CCB"/>
    <w:rsid w:val="00F42CF1"/>
    <w:rsid w:val="00F42D08"/>
    <w:rsid w:val="00F42D0C"/>
    <w:rsid w:val="00F42D22"/>
    <w:rsid w:val="00F42D48"/>
    <w:rsid w:val="00F42D5F"/>
    <w:rsid w:val="00F42D9F"/>
    <w:rsid w:val="00F42E06"/>
    <w:rsid w:val="00F42E2A"/>
    <w:rsid w:val="00F42E50"/>
    <w:rsid w:val="00F42E60"/>
    <w:rsid w:val="00F42E71"/>
    <w:rsid w:val="00F42E89"/>
    <w:rsid w:val="00F42EE5"/>
    <w:rsid w:val="00F42F08"/>
    <w:rsid w:val="00F42F3C"/>
    <w:rsid w:val="00F42F3F"/>
    <w:rsid w:val="00F42F54"/>
    <w:rsid w:val="00F42F75"/>
    <w:rsid w:val="00F42F92"/>
    <w:rsid w:val="00F42FBD"/>
    <w:rsid w:val="00F42FCC"/>
    <w:rsid w:val="00F42FF5"/>
    <w:rsid w:val="00F4300F"/>
    <w:rsid w:val="00F43035"/>
    <w:rsid w:val="00F43060"/>
    <w:rsid w:val="00F4308C"/>
    <w:rsid w:val="00F4309B"/>
    <w:rsid w:val="00F430A7"/>
    <w:rsid w:val="00F430A9"/>
    <w:rsid w:val="00F430C9"/>
    <w:rsid w:val="00F430CE"/>
    <w:rsid w:val="00F430DC"/>
    <w:rsid w:val="00F430EE"/>
    <w:rsid w:val="00F430F6"/>
    <w:rsid w:val="00F43178"/>
    <w:rsid w:val="00F431C8"/>
    <w:rsid w:val="00F431F6"/>
    <w:rsid w:val="00F431F7"/>
    <w:rsid w:val="00F43201"/>
    <w:rsid w:val="00F43252"/>
    <w:rsid w:val="00F4325E"/>
    <w:rsid w:val="00F4327F"/>
    <w:rsid w:val="00F43284"/>
    <w:rsid w:val="00F4328E"/>
    <w:rsid w:val="00F43298"/>
    <w:rsid w:val="00F4330D"/>
    <w:rsid w:val="00F43339"/>
    <w:rsid w:val="00F43350"/>
    <w:rsid w:val="00F43395"/>
    <w:rsid w:val="00F433A7"/>
    <w:rsid w:val="00F433B3"/>
    <w:rsid w:val="00F433C1"/>
    <w:rsid w:val="00F433D5"/>
    <w:rsid w:val="00F433E9"/>
    <w:rsid w:val="00F4345B"/>
    <w:rsid w:val="00F4348A"/>
    <w:rsid w:val="00F434AF"/>
    <w:rsid w:val="00F434B5"/>
    <w:rsid w:val="00F434C8"/>
    <w:rsid w:val="00F43519"/>
    <w:rsid w:val="00F43530"/>
    <w:rsid w:val="00F4355B"/>
    <w:rsid w:val="00F4356F"/>
    <w:rsid w:val="00F43598"/>
    <w:rsid w:val="00F435DB"/>
    <w:rsid w:val="00F4367A"/>
    <w:rsid w:val="00F43681"/>
    <w:rsid w:val="00F4368A"/>
    <w:rsid w:val="00F436BC"/>
    <w:rsid w:val="00F436FE"/>
    <w:rsid w:val="00F4371E"/>
    <w:rsid w:val="00F43722"/>
    <w:rsid w:val="00F43731"/>
    <w:rsid w:val="00F43734"/>
    <w:rsid w:val="00F43742"/>
    <w:rsid w:val="00F43745"/>
    <w:rsid w:val="00F4374C"/>
    <w:rsid w:val="00F43769"/>
    <w:rsid w:val="00F43775"/>
    <w:rsid w:val="00F43791"/>
    <w:rsid w:val="00F437BB"/>
    <w:rsid w:val="00F437C2"/>
    <w:rsid w:val="00F437C9"/>
    <w:rsid w:val="00F437E5"/>
    <w:rsid w:val="00F4381F"/>
    <w:rsid w:val="00F4383A"/>
    <w:rsid w:val="00F4388B"/>
    <w:rsid w:val="00F4389F"/>
    <w:rsid w:val="00F438B2"/>
    <w:rsid w:val="00F438B4"/>
    <w:rsid w:val="00F438D7"/>
    <w:rsid w:val="00F43911"/>
    <w:rsid w:val="00F4391E"/>
    <w:rsid w:val="00F43938"/>
    <w:rsid w:val="00F4393B"/>
    <w:rsid w:val="00F43945"/>
    <w:rsid w:val="00F43956"/>
    <w:rsid w:val="00F43972"/>
    <w:rsid w:val="00F439A1"/>
    <w:rsid w:val="00F43A09"/>
    <w:rsid w:val="00F43A0D"/>
    <w:rsid w:val="00F43A18"/>
    <w:rsid w:val="00F43A1F"/>
    <w:rsid w:val="00F43A2F"/>
    <w:rsid w:val="00F43A45"/>
    <w:rsid w:val="00F43A52"/>
    <w:rsid w:val="00F43A59"/>
    <w:rsid w:val="00F43A6B"/>
    <w:rsid w:val="00F43A73"/>
    <w:rsid w:val="00F43A85"/>
    <w:rsid w:val="00F43A96"/>
    <w:rsid w:val="00F43AB8"/>
    <w:rsid w:val="00F43AE1"/>
    <w:rsid w:val="00F43B14"/>
    <w:rsid w:val="00F43B3A"/>
    <w:rsid w:val="00F43B7E"/>
    <w:rsid w:val="00F43B96"/>
    <w:rsid w:val="00F43BC4"/>
    <w:rsid w:val="00F43C1B"/>
    <w:rsid w:val="00F43C30"/>
    <w:rsid w:val="00F43CD0"/>
    <w:rsid w:val="00F43CF0"/>
    <w:rsid w:val="00F43D38"/>
    <w:rsid w:val="00F43DC6"/>
    <w:rsid w:val="00F43E47"/>
    <w:rsid w:val="00F43E59"/>
    <w:rsid w:val="00F43E67"/>
    <w:rsid w:val="00F43F23"/>
    <w:rsid w:val="00F43F76"/>
    <w:rsid w:val="00F43F89"/>
    <w:rsid w:val="00F43F8D"/>
    <w:rsid w:val="00F43FE5"/>
    <w:rsid w:val="00F44003"/>
    <w:rsid w:val="00F44012"/>
    <w:rsid w:val="00F440F2"/>
    <w:rsid w:val="00F44107"/>
    <w:rsid w:val="00F44121"/>
    <w:rsid w:val="00F44126"/>
    <w:rsid w:val="00F4412F"/>
    <w:rsid w:val="00F44132"/>
    <w:rsid w:val="00F44155"/>
    <w:rsid w:val="00F44161"/>
    <w:rsid w:val="00F44184"/>
    <w:rsid w:val="00F441A2"/>
    <w:rsid w:val="00F441B3"/>
    <w:rsid w:val="00F44222"/>
    <w:rsid w:val="00F442B9"/>
    <w:rsid w:val="00F442D1"/>
    <w:rsid w:val="00F442FB"/>
    <w:rsid w:val="00F44304"/>
    <w:rsid w:val="00F4430D"/>
    <w:rsid w:val="00F44333"/>
    <w:rsid w:val="00F4435A"/>
    <w:rsid w:val="00F4435E"/>
    <w:rsid w:val="00F44362"/>
    <w:rsid w:val="00F443BB"/>
    <w:rsid w:val="00F443DD"/>
    <w:rsid w:val="00F443E1"/>
    <w:rsid w:val="00F4440A"/>
    <w:rsid w:val="00F4443A"/>
    <w:rsid w:val="00F44458"/>
    <w:rsid w:val="00F444C8"/>
    <w:rsid w:val="00F444EC"/>
    <w:rsid w:val="00F44520"/>
    <w:rsid w:val="00F4453F"/>
    <w:rsid w:val="00F445C8"/>
    <w:rsid w:val="00F44615"/>
    <w:rsid w:val="00F4462A"/>
    <w:rsid w:val="00F44630"/>
    <w:rsid w:val="00F4464E"/>
    <w:rsid w:val="00F44654"/>
    <w:rsid w:val="00F4465C"/>
    <w:rsid w:val="00F4467B"/>
    <w:rsid w:val="00F44696"/>
    <w:rsid w:val="00F446D3"/>
    <w:rsid w:val="00F446E6"/>
    <w:rsid w:val="00F4476C"/>
    <w:rsid w:val="00F44782"/>
    <w:rsid w:val="00F44794"/>
    <w:rsid w:val="00F447A3"/>
    <w:rsid w:val="00F447BE"/>
    <w:rsid w:val="00F447C3"/>
    <w:rsid w:val="00F447CE"/>
    <w:rsid w:val="00F4486C"/>
    <w:rsid w:val="00F44878"/>
    <w:rsid w:val="00F4487F"/>
    <w:rsid w:val="00F448DC"/>
    <w:rsid w:val="00F44959"/>
    <w:rsid w:val="00F44967"/>
    <w:rsid w:val="00F44990"/>
    <w:rsid w:val="00F44997"/>
    <w:rsid w:val="00F449A6"/>
    <w:rsid w:val="00F449D8"/>
    <w:rsid w:val="00F449F3"/>
    <w:rsid w:val="00F44A04"/>
    <w:rsid w:val="00F44A0E"/>
    <w:rsid w:val="00F44A16"/>
    <w:rsid w:val="00F44A64"/>
    <w:rsid w:val="00F44A72"/>
    <w:rsid w:val="00F44A7D"/>
    <w:rsid w:val="00F44A7F"/>
    <w:rsid w:val="00F44A84"/>
    <w:rsid w:val="00F44AA0"/>
    <w:rsid w:val="00F44AB5"/>
    <w:rsid w:val="00F44ADD"/>
    <w:rsid w:val="00F44B0D"/>
    <w:rsid w:val="00F44B1F"/>
    <w:rsid w:val="00F44B38"/>
    <w:rsid w:val="00F44B54"/>
    <w:rsid w:val="00F44BB1"/>
    <w:rsid w:val="00F44BBD"/>
    <w:rsid w:val="00F44BFD"/>
    <w:rsid w:val="00F44C51"/>
    <w:rsid w:val="00F44C65"/>
    <w:rsid w:val="00F44C69"/>
    <w:rsid w:val="00F44C88"/>
    <w:rsid w:val="00F44C8B"/>
    <w:rsid w:val="00F44CA3"/>
    <w:rsid w:val="00F44D05"/>
    <w:rsid w:val="00F44D27"/>
    <w:rsid w:val="00F44D44"/>
    <w:rsid w:val="00F44D47"/>
    <w:rsid w:val="00F44D62"/>
    <w:rsid w:val="00F44D96"/>
    <w:rsid w:val="00F44DC1"/>
    <w:rsid w:val="00F44DD9"/>
    <w:rsid w:val="00F44DDD"/>
    <w:rsid w:val="00F44DEC"/>
    <w:rsid w:val="00F44DF7"/>
    <w:rsid w:val="00F44DFB"/>
    <w:rsid w:val="00F44E21"/>
    <w:rsid w:val="00F44E8E"/>
    <w:rsid w:val="00F44EA5"/>
    <w:rsid w:val="00F44EC3"/>
    <w:rsid w:val="00F44ED3"/>
    <w:rsid w:val="00F44ED4"/>
    <w:rsid w:val="00F44EE2"/>
    <w:rsid w:val="00F44F31"/>
    <w:rsid w:val="00F44F45"/>
    <w:rsid w:val="00F44F6D"/>
    <w:rsid w:val="00F44F77"/>
    <w:rsid w:val="00F44F78"/>
    <w:rsid w:val="00F44F96"/>
    <w:rsid w:val="00F44F9B"/>
    <w:rsid w:val="00F44FAF"/>
    <w:rsid w:val="00F44FB7"/>
    <w:rsid w:val="00F44FE0"/>
    <w:rsid w:val="00F44FFA"/>
    <w:rsid w:val="00F4501B"/>
    <w:rsid w:val="00F4504F"/>
    <w:rsid w:val="00F45065"/>
    <w:rsid w:val="00F450B1"/>
    <w:rsid w:val="00F45139"/>
    <w:rsid w:val="00F4513D"/>
    <w:rsid w:val="00F45160"/>
    <w:rsid w:val="00F4518E"/>
    <w:rsid w:val="00F451AA"/>
    <w:rsid w:val="00F451BF"/>
    <w:rsid w:val="00F4523B"/>
    <w:rsid w:val="00F4525C"/>
    <w:rsid w:val="00F4525E"/>
    <w:rsid w:val="00F45276"/>
    <w:rsid w:val="00F45280"/>
    <w:rsid w:val="00F4528B"/>
    <w:rsid w:val="00F452B5"/>
    <w:rsid w:val="00F452B6"/>
    <w:rsid w:val="00F452C7"/>
    <w:rsid w:val="00F452F7"/>
    <w:rsid w:val="00F45396"/>
    <w:rsid w:val="00F453E1"/>
    <w:rsid w:val="00F453F6"/>
    <w:rsid w:val="00F4540D"/>
    <w:rsid w:val="00F4541F"/>
    <w:rsid w:val="00F45451"/>
    <w:rsid w:val="00F4545E"/>
    <w:rsid w:val="00F4547B"/>
    <w:rsid w:val="00F4548B"/>
    <w:rsid w:val="00F454B9"/>
    <w:rsid w:val="00F45526"/>
    <w:rsid w:val="00F45559"/>
    <w:rsid w:val="00F45599"/>
    <w:rsid w:val="00F455F0"/>
    <w:rsid w:val="00F45614"/>
    <w:rsid w:val="00F45619"/>
    <w:rsid w:val="00F45621"/>
    <w:rsid w:val="00F45626"/>
    <w:rsid w:val="00F45636"/>
    <w:rsid w:val="00F45669"/>
    <w:rsid w:val="00F4566A"/>
    <w:rsid w:val="00F4566C"/>
    <w:rsid w:val="00F456FF"/>
    <w:rsid w:val="00F45753"/>
    <w:rsid w:val="00F45767"/>
    <w:rsid w:val="00F45789"/>
    <w:rsid w:val="00F457B3"/>
    <w:rsid w:val="00F457CD"/>
    <w:rsid w:val="00F457F4"/>
    <w:rsid w:val="00F45823"/>
    <w:rsid w:val="00F45867"/>
    <w:rsid w:val="00F458AA"/>
    <w:rsid w:val="00F458B8"/>
    <w:rsid w:val="00F458BB"/>
    <w:rsid w:val="00F458C6"/>
    <w:rsid w:val="00F458E0"/>
    <w:rsid w:val="00F459A8"/>
    <w:rsid w:val="00F45A18"/>
    <w:rsid w:val="00F45A29"/>
    <w:rsid w:val="00F45A32"/>
    <w:rsid w:val="00F45A88"/>
    <w:rsid w:val="00F45AAB"/>
    <w:rsid w:val="00F45AEE"/>
    <w:rsid w:val="00F45B03"/>
    <w:rsid w:val="00F45B12"/>
    <w:rsid w:val="00F45B35"/>
    <w:rsid w:val="00F45B39"/>
    <w:rsid w:val="00F45B56"/>
    <w:rsid w:val="00F45B73"/>
    <w:rsid w:val="00F45B75"/>
    <w:rsid w:val="00F45B87"/>
    <w:rsid w:val="00F45BA0"/>
    <w:rsid w:val="00F45C1E"/>
    <w:rsid w:val="00F45C29"/>
    <w:rsid w:val="00F45C6C"/>
    <w:rsid w:val="00F45C9F"/>
    <w:rsid w:val="00F45D10"/>
    <w:rsid w:val="00F45D18"/>
    <w:rsid w:val="00F45D23"/>
    <w:rsid w:val="00F45D54"/>
    <w:rsid w:val="00F45D6E"/>
    <w:rsid w:val="00F45DBA"/>
    <w:rsid w:val="00F45E03"/>
    <w:rsid w:val="00F45E3F"/>
    <w:rsid w:val="00F45E4D"/>
    <w:rsid w:val="00F45E90"/>
    <w:rsid w:val="00F45E9E"/>
    <w:rsid w:val="00F45F2D"/>
    <w:rsid w:val="00F45F54"/>
    <w:rsid w:val="00F45F71"/>
    <w:rsid w:val="00F45FDC"/>
    <w:rsid w:val="00F46014"/>
    <w:rsid w:val="00F46064"/>
    <w:rsid w:val="00F4609B"/>
    <w:rsid w:val="00F460B5"/>
    <w:rsid w:val="00F460C0"/>
    <w:rsid w:val="00F4610D"/>
    <w:rsid w:val="00F4614D"/>
    <w:rsid w:val="00F46152"/>
    <w:rsid w:val="00F46170"/>
    <w:rsid w:val="00F46179"/>
    <w:rsid w:val="00F4618B"/>
    <w:rsid w:val="00F46192"/>
    <w:rsid w:val="00F461B7"/>
    <w:rsid w:val="00F461D0"/>
    <w:rsid w:val="00F46201"/>
    <w:rsid w:val="00F46267"/>
    <w:rsid w:val="00F4627C"/>
    <w:rsid w:val="00F4629F"/>
    <w:rsid w:val="00F462AF"/>
    <w:rsid w:val="00F462D9"/>
    <w:rsid w:val="00F46325"/>
    <w:rsid w:val="00F4633A"/>
    <w:rsid w:val="00F46394"/>
    <w:rsid w:val="00F4639A"/>
    <w:rsid w:val="00F463BF"/>
    <w:rsid w:val="00F46461"/>
    <w:rsid w:val="00F46465"/>
    <w:rsid w:val="00F46473"/>
    <w:rsid w:val="00F46482"/>
    <w:rsid w:val="00F4651E"/>
    <w:rsid w:val="00F46542"/>
    <w:rsid w:val="00F4654D"/>
    <w:rsid w:val="00F4655D"/>
    <w:rsid w:val="00F4656E"/>
    <w:rsid w:val="00F46575"/>
    <w:rsid w:val="00F4657B"/>
    <w:rsid w:val="00F4659B"/>
    <w:rsid w:val="00F465A8"/>
    <w:rsid w:val="00F465F4"/>
    <w:rsid w:val="00F465FF"/>
    <w:rsid w:val="00F46623"/>
    <w:rsid w:val="00F46675"/>
    <w:rsid w:val="00F4667B"/>
    <w:rsid w:val="00F4667D"/>
    <w:rsid w:val="00F466EE"/>
    <w:rsid w:val="00F466F2"/>
    <w:rsid w:val="00F46708"/>
    <w:rsid w:val="00F46741"/>
    <w:rsid w:val="00F4678E"/>
    <w:rsid w:val="00F467A5"/>
    <w:rsid w:val="00F467AE"/>
    <w:rsid w:val="00F467C6"/>
    <w:rsid w:val="00F4682D"/>
    <w:rsid w:val="00F46870"/>
    <w:rsid w:val="00F4687D"/>
    <w:rsid w:val="00F46882"/>
    <w:rsid w:val="00F4688A"/>
    <w:rsid w:val="00F468C2"/>
    <w:rsid w:val="00F4691E"/>
    <w:rsid w:val="00F46938"/>
    <w:rsid w:val="00F46948"/>
    <w:rsid w:val="00F46985"/>
    <w:rsid w:val="00F4698A"/>
    <w:rsid w:val="00F469D1"/>
    <w:rsid w:val="00F469DF"/>
    <w:rsid w:val="00F46A36"/>
    <w:rsid w:val="00F46AA7"/>
    <w:rsid w:val="00F46AE9"/>
    <w:rsid w:val="00F46AF8"/>
    <w:rsid w:val="00F46B07"/>
    <w:rsid w:val="00F46B11"/>
    <w:rsid w:val="00F46B26"/>
    <w:rsid w:val="00F46B5D"/>
    <w:rsid w:val="00F46B8F"/>
    <w:rsid w:val="00F46BA2"/>
    <w:rsid w:val="00F46BE1"/>
    <w:rsid w:val="00F46C0F"/>
    <w:rsid w:val="00F46C27"/>
    <w:rsid w:val="00F46C3C"/>
    <w:rsid w:val="00F46CDA"/>
    <w:rsid w:val="00F46CE0"/>
    <w:rsid w:val="00F46CFF"/>
    <w:rsid w:val="00F46D15"/>
    <w:rsid w:val="00F46D28"/>
    <w:rsid w:val="00F46D83"/>
    <w:rsid w:val="00F46DAA"/>
    <w:rsid w:val="00F46DAB"/>
    <w:rsid w:val="00F46DD5"/>
    <w:rsid w:val="00F46E0B"/>
    <w:rsid w:val="00F46E1E"/>
    <w:rsid w:val="00F46E44"/>
    <w:rsid w:val="00F46E45"/>
    <w:rsid w:val="00F46EFF"/>
    <w:rsid w:val="00F46F24"/>
    <w:rsid w:val="00F46F37"/>
    <w:rsid w:val="00F46F43"/>
    <w:rsid w:val="00F46F4E"/>
    <w:rsid w:val="00F46FC9"/>
    <w:rsid w:val="00F46FDD"/>
    <w:rsid w:val="00F4701F"/>
    <w:rsid w:val="00F47043"/>
    <w:rsid w:val="00F470AE"/>
    <w:rsid w:val="00F470AF"/>
    <w:rsid w:val="00F470B3"/>
    <w:rsid w:val="00F470C3"/>
    <w:rsid w:val="00F470C4"/>
    <w:rsid w:val="00F470CD"/>
    <w:rsid w:val="00F470D6"/>
    <w:rsid w:val="00F470F7"/>
    <w:rsid w:val="00F47176"/>
    <w:rsid w:val="00F47184"/>
    <w:rsid w:val="00F471C6"/>
    <w:rsid w:val="00F471C8"/>
    <w:rsid w:val="00F4720F"/>
    <w:rsid w:val="00F4722B"/>
    <w:rsid w:val="00F47243"/>
    <w:rsid w:val="00F4727D"/>
    <w:rsid w:val="00F4727E"/>
    <w:rsid w:val="00F472AB"/>
    <w:rsid w:val="00F47303"/>
    <w:rsid w:val="00F47323"/>
    <w:rsid w:val="00F4737B"/>
    <w:rsid w:val="00F473A0"/>
    <w:rsid w:val="00F473AC"/>
    <w:rsid w:val="00F473C2"/>
    <w:rsid w:val="00F473E8"/>
    <w:rsid w:val="00F473F3"/>
    <w:rsid w:val="00F47427"/>
    <w:rsid w:val="00F47459"/>
    <w:rsid w:val="00F474E9"/>
    <w:rsid w:val="00F4751A"/>
    <w:rsid w:val="00F47537"/>
    <w:rsid w:val="00F4754E"/>
    <w:rsid w:val="00F4758D"/>
    <w:rsid w:val="00F475BB"/>
    <w:rsid w:val="00F475D0"/>
    <w:rsid w:val="00F475E3"/>
    <w:rsid w:val="00F475FC"/>
    <w:rsid w:val="00F47614"/>
    <w:rsid w:val="00F47630"/>
    <w:rsid w:val="00F4763F"/>
    <w:rsid w:val="00F476B7"/>
    <w:rsid w:val="00F476EF"/>
    <w:rsid w:val="00F47753"/>
    <w:rsid w:val="00F4775E"/>
    <w:rsid w:val="00F47771"/>
    <w:rsid w:val="00F4778B"/>
    <w:rsid w:val="00F47798"/>
    <w:rsid w:val="00F477BC"/>
    <w:rsid w:val="00F4781B"/>
    <w:rsid w:val="00F47827"/>
    <w:rsid w:val="00F47847"/>
    <w:rsid w:val="00F4786D"/>
    <w:rsid w:val="00F4786F"/>
    <w:rsid w:val="00F478BE"/>
    <w:rsid w:val="00F478C3"/>
    <w:rsid w:val="00F478E4"/>
    <w:rsid w:val="00F478E7"/>
    <w:rsid w:val="00F47945"/>
    <w:rsid w:val="00F4795F"/>
    <w:rsid w:val="00F47971"/>
    <w:rsid w:val="00F479B8"/>
    <w:rsid w:val="00F479E2"/>
    <w:rsid w:val="00F479ED"/>
    <w:rsid w:val="00F47A1E"/>
    <w:rsid w:val="00F47A46"/>
    <w:rsid w:val="00F47A49"/>
    <w:rsid w:val="00F47A88"/>
    <w:rsid w:val="00F47A93"/>
    <w:rsid w:val="00F47AA4"/>
    <w:rsid w:val="00F47AB5"/>
    <w:rsid w:val="00F47ABE"/>
    <w:rsid w:val="00F47B01"/>
    <w:rsid w:val="00F47B19"/>
    <w:rsid w:val="00F47B38"/>
    <w:rsid w:val="00F47B4D"/>
    <w:rsid w:val="00F47B4E"/>
    <w:rsid w:val="00F47B5F"/>
    <w:rsid w:val="00F47BBF"/>
    <w:rsid w:val="00F47BD9"/>
    <w:rsid w:val="00F47BEE"/>
    <w:rsid w:val="00F47BFB"/>
    <w:rsid w:val="00F47C1C"/>
    <w:rsid w:val="00F47C33"/>
    <w:rsid w:val="00F47C46"/>
    <w:rsid w:val="00F47CB0"/>
    <w:rsid w:val="00F47CF2"/>
    <w:rsid w:val="00F47D79"/>
    <w:rsid w:val="00F47DB8"/>
    <w:rsid w:val="00F47DBE"/>
    <w:rsid w:val="00F47EA0"/>
    <w:rsid w:val="00F47EEF"/>
    <w:rsid w:val="00F47F12"/>
    <w:rsid w:val="00F47FAE"/>
    <w:rsid w:val="00F47FDF"/>
    <w:rsid w:val="00F47FE5"/>
    <w:rsid w:val="00F50001"/>
    <w:rsid w:val="00F50032"/>
    <w:rsid w:val="00F50038"/>
    <w:rsid w:val="00F5006A"/>
    <w:rsid w:val="00F500A3"/>
    <w:rsid w:val="00F500AB"/>
    <w:rsid w:val="00F500AC"/>
    <w:rsid w:val="00F500AD"/>
    <w:rsid w:val="00F500B9"/>
    <w:rsid w:val="00F500C0"/>
    <w:rsid w:val="00F500D2"/>
    <w:rsid w:val="00F500E8"/>
    <w:rsid w:val="00F5010A"/>
    <w:rsid w:val="00F5012C"/>
    <w:rsid w:val="00F50150"/>
    <w:rsid w:val="00F50156"/>
    <w:rsid w:val="00F50180"/>
    <w:rsid w:val="00F501EC"/>
    <w:rsid w:val="00F501F8"/>
    <w:rsid w:val="00F50215"/>
    <w:rsid w:val="00F50230"/>
    <w:rsid w:val="00F5028E"/>
    <w:rsid w:val="00F50295"/>
    <w:rsid w:val="00F502B7"/>
    <w:rsid w:val="00F502F0"/>
    <w:rsid w:val="00F5032C"/>
    <w:rsid w:val="00F50363"/>
    <w:rsid w:val="00F5039E"/>
    <w:rsid w:val="00F503B8"/>
    <w:rsid w:val="00F503CA"/>
    <w:rsid w:val="00F503FE"/>
    <w:rsid w:val="00F5041A"/>
    <w:rsid w:val="00F5043D"/>
    <w:rsid w:val="00F50491"/>
    <w:rsid w:val="00F504AC"/>
    <w:rsid w:val="00F50536"/>
    <w:rsid w:val="00F50591"/>
    <w:rsid w:val="00F505B5"/>
    <w:rsid w:val="00F50611"/>
    <w:rsid w:val="00F5061C"/>
    <w:rsid w:val="00F50658"/>
    <w:rsid w:val="00F5067F"/>
    <w:rsid w:val="00F50680"/>
    <w:rsid w:val="00F50705"/>
    <w:rsid w:val="00F50718"/>
    <w:rsid w:val="00F5071C"/>
    <w:rsid w:val="00F50742"/>
    <w:rsid w:val="00F50744"/>
    <w:rsid w:val="00F5074C"/>
    <w:rsid w:val="00F5074F"/>
    <w:rsid w:val="00F50800"/>
    <w:rsid w:val="00F50807"/>
    <w:rsid w:val="00F5082A"/>
    <w:rsid w:val="00F508A1"/>
    <w:rsid w:val="00F508C9"/>
    <w:rsid w:val="00F508DA"/>
    <w:rsid w:val="00F508EA"/>
    <w:rsid w:val="00F50905"/>
    <w:rsid w:val="00F50946"/>
    <w:rsid w:val="00F50A2C"/>
    <w:rsid w:val="00F50A50"/>
    <w:rsid w:val="00F50A86"/>
    <w:rsid w:val="00F50ACD"/>
    <w:rsid w:val="00F50ADF"/>
    <w:rsid w:val="00F50B04"/>
    <w:rsid w:val="00F50B0E"/>
    <w:rsid w:val="00F50B13"/>
    <w:rsid w:val="00F50B17"/>
    <w:rsid w:val="00F50B3A"/>
    <w:rsid w:val="00F50B68"/>
    <w:rsid w:val="00F50BB9"/>
    <w:rsid w:val="00F50BF4"/>
    <w:rsid w:val="00F50BFE"/>
    <w:rsid w:val="00F50C0F"/>
    <w:rsid w:val="00F50C6A"/>
    <w:rsid w:val="00F50C6C"/>
    <w:rsid w:val="00F50C75"/>
    <w:rsid w:val="00F50C9E"/>
    <w:rsid w:val="00F50CC6"/>
    <w:rsid w:val="00F50CD2"/>
    <w:rsid w:val="00F50D01"/>
    <w:rsid w:val="00F50D23"/>
    <w:rsid w:val="00F50D38"/>
    <w:rsid w:val="00F50D4B"/>
    <w:rsid w:val="00F50D56"/>
    <w:rsid w:val="00F50D64"/>
    <w:rsid w:val="00F50D7C"/>
    <w:rsid w:val="00F50D85"/>
    <w:rsid w:val="00F50DA1"/>
    <w:rsid w:val="00F50DCB"/>
    <w:rsid w:val="00F50DDD"/>
    <w:rsid w:val="00F50DEB"/>
    <w:rsid w:val="00F50E30"/>
    <w:rsid w:val="00F50E3C"/>
    <w:rsid w:val="00F50E3E"/>
    <w:rsid w:val="00F50E47"/>
    <w:rsid w:val="00F50EB0"/>
    <w:rsid w:val="00F50EB8"/>
    <w:rsid w:val="00F50EC7"/>
    <w:rsid w:val="00F50ECE"/>
    <w:rsid w:val="00F50EDA"/>
    <w:rsid w:val="00F50EE1"/>
    <w:rsid w:val="00F50F6B"/>
    <w:rsid w:val="00F50F70"/>
    <w:rsid w:val="00F50FAE"/>
    <w:rsid w:val="00F50FB5"/>
    <w:rsid w:val="00F50FE2"/>
    <w:rsid w:val="00F5100F"/>
    <w:rsid w:val="00F51055"/>
    <w:rsid w:val="00F51090"/>
    <w:rsid w:val="00F5109C"/>
    <w:rsid w:val="00F510A6"/>
    <w:rsid w:val="00F510D0"/>
    <w:rsid w:val="00F510F7"/>
    <w:rsid w:val="00F51144"/>
    <w:rsid w:val="00F51147"/>
    <w:rsid w:val="00F51168"/>
    <w:rsid w:val="00F511A5"/>
    <w:rsid w:val="00F511B4"/>
    <w:rsid w:val="00F511D0"/>
    <w:rsid w:val="00F511D5"/>
    <w:rsid w:val="00F5121B"/>
    <w:rsid w:val="00F51233"/>
    <w:rsid w:val="00F5123C"/>
    <w:rsid w:val="00F51251"/>
    <w:rsid w:val="00F5126D"/>
    <w:rsid w:val="00F512B5"/>
    <w:rsid w:val="00F512B7"/>
    <w:rsid w:val="00F51300"/>
    <w:rsid w:val="00F5134C"/>
    <w:rsid w:val="00F51361"/>
    <w:rsid w:val="00F5136A"/>
    <w:rsid w:val="00F5136E"/>
    <w:rsid w:val="00F513B2"/>
    <w:rsid w:val="00F513C1"/>
    <w:rsid w:val="00F5141E"/>
    <w:rsid w:val="00F51421"/>
    <w:rsid w:val="00F51424"/>
    <w:rsid w:val="00F51435"/>
    <w:rsid w:val="00F51477"/>
    <w:rsid w:val="00F51495"/>
    <w:rsid w:val="00F514F9"/>
    <w:rsid w:val="00F5150E"/>
    <w:rsid w:val="00F51513"/>
    <w:rsid w:val="00F5159E"/>
    <w:rsid w:val="00F515BC"/>
    <w:rsid w:val="00F515D2"/>
    <w:rsid w:val="00F51605"/>
    <w:rsid w:val="00F51622"/>
    <w:rsid w:val="00F51636"/>
    <w:rsid w:val="00F5163D"/>
    <w:rsid w:val="00F5164A"/>
    <w:rsid w:val="00F516C6"/>
    <w:rsid w:val="00F516E0"/>
    <w:rsid w:val="00F51737"/>
    <w:rsid w:val="00F5176B"/>
    <w:rsid w:val="00F51785"/>
    <w:rsid w:val="00F517A3"/>
    <w:rsid w:val="00F517A6"/>
    <w:rsid w:val="00F517C2"/>
    <w:rsid w:val="00F51815"/>
    <w:rsid w:val="00F5181A"/>
    <w:rsid w:val="00F51876"/>
    <w:rsid w:val="00F5187C"/>
    <w:rsid w:val="00F518C2"/>
    <w:rsid w:val="00F51914"/>
    <w:rsid w:val="00F51936"/>
    <w:rsid w:val="00F51945"/>
    <w:rsid w:val="00F5197E"/>
    <w:rsid w:val="00F5197F"/>
    <w:rsid w:val="00F519B0"/>
    <w:rsid w:val="00F519DB"/>
    <w:rsid w:val="00F51ABA"/>
    <w:rsid w:val="00F51B27"/>
    <w:rsid w:val="00F51B2E"/>
    <w:rsid w:val="00F51B80"/>
    <w:rsid w:val="00F51B87"/>
    <w:rsid w:val="00F51BAB"/>
    <w:rsid w:val="00F51BC1"/>
    <w:rsid w:val="00F51BF1"/>
    <w:rsid w:val="00F51C44"/>
    <w:rsid w:val="00F51C6F"/>
    <w:rsid w:val="00F51C76"/>
    <w:rsid w:val="00F51CDB"/>
    <w:rsid w:val="00F51D1C"/>
    <w:rsid w:val="00F51D24"/>
    <w:rsid w:val="00F51D48"/>
    <w:rsid w:val="00F51D71"/>
    <w:rsid w:val="00F51D89"/>
    <w:rsid w:val="00F51DA8"/>
    <w:rsid w:val="00F51DED"/>
    <w:rsid w:val="00F51E27"/>
    <w:rsid w:val="00F51E34"/>
    <w:rsid w:val="00F51EA7"/>
    <w:rsid w:val="00F51EBD"/>
    <w:rsid w:val="00F51ECC"/>
    <w:rsid w:val="00F51EEF"/>
    <w:rsid w:val="00F51F0B"/>
    <w:rsid w:val="00F51F5F"/>
    <w:rsid w:val="00F51FB1"/>
    <w:rsid w:val="00F52002"/>
    <w:rsid w:val="00F52018"/>
    <w:rsid w:val="00F52024"/>
    <w:rsid w:val="00F52046"/>
    <w:rsid w:val="00F5205F"/>
    <w:rsid w:val="00F5206C"/>
    <w:rsid w:val="00F52073"/>
    <w:rsid w:val="00F520A2"/>
    <w:rsid w:val="00F52124"/>
    <w:rsid w:val="00F52125"/>
    <w:rsid w:val="00F52173"/>
    <w:rsid w:val="00F5217E"/>
    <w:rsid w:val="00F52187"/>
    <w:rsid w:val="00F5219A"/>
    <w:rsid w:val="00F5219F"/>
    <w:rsid w:val="00F521B9"/>
    <w:rsid w:val="00F521E4"/>
    <w:rsid w:val="00F52267"/>
    <w:rsid w:val="00F52277"/>
    <w:rsid w:val="00F52286"/>
    <w:rsid w:val="00F522B7"/>
    <w:rsid w:val="00F52302"/>
    <w:rsid w:val="00F52353"/>
    <w:rsid w:val="00F5235C"/>
    <w:rsid w:val="00F52372"/>
    <w:rsid w:val="00F52387"/>
    <w:rsid w:val="00F523A3"/>
    <w:rsid w:val="00F523E3"/>
    <w:rsid w:val="00F523E7"/>
    <w:rsid w:val="00F52425"/>
    <w:rsid w:val="00F52465"/>
    <w:rsid w:val="00F52494"/>
    <w:rsid w:val="00F524CB"/>
    <w:rsid w:val="00F524E1"/>
    <w:rsid w:val="00F5252A"/>
    <w:rsid w:val="00F52551"/>
    <w:rsid w:val="00F5255A"/>
    <w:rsid w:val="00F5256C"/>
    <w:rsid w:val="00F52588"/>
    <w:rsid w:val="00F5258B"/>
    <w:rsid w:val="00F525C7"/>
    <w:rsid w:val="00F525C8"/>
    <w:rsid w:val="00F525CB"/>
    <w:rsid w:val="00F525CC"/>
    <w:rsid w:val="00F52603"/>
    <w:rsid w:val="00F5265B"/>
    <w:rsid w:val="00F526F3"/>
    <w:rsid w:val="00F52729"/>
    <w:rsid w:val="00F52738"/>
    <w:rsid w:val="00F5274A"/>
    <w:rsid w:val="00F52883"/>
    <w:rsid w:val="00F52887"/>
    <w:rsid w:val="00F5288D"/>
    <w:rsid w:val="00F528B0"/>
    <w:rsid w:val="00F528E1"/>
    <w:rsid w:val="00F528F4"/>
    <w:rsid w:val="00F528F7"/>
    <w:rsid w:val="00F52947"/>
    <w:rsid w:val="00F52950"/>
    <w:rsid w:val="00F52975"/>
    <w:rsid w:val="00F529BC"/>
    <w:rsid w:val="00F529ED"/>
    <w:rsid w:val="00F52A00"/>
    <w:rsid w:val="00F52A6A"/>
    <w:rsid w:val="00F52A6E"/>
    <w:rsid w:val="00F52AAE"/>
    <w:rsid w:val="00F52AAF"/>
    <w:rsid w:val="00F52AB2"/>
    <w:rsid w:val="00F52AD1"/>
    <w:rsid w:val="00F52AE7"/>
    <w:rsid w:val="00F52B22"/>
    <w:rsid w:val="00F52B4E"/>
    <w:rsid w:val="00F52B69"/>
    <w:rsid w:val="00F52B74"/>
    <w:rsid w:val="00F52B89"/>
    <w:rsid w:val="00F52B8D"/>
    <w:rsid w:val="00F52BEC"/>
    <w:rsid w:val="00F52C86"/>
    <w:rsid w:val="00F52CAC"/>
    <w:rsid w:val="00F52CC1"/>
    <w:rsid w:val="00F52D05"/>
    <w:rsid w:val="00F52D0E"/>
    <w:rsid w:val="00F52D25"/>
    <w:rsid w:val="00F52D46"/>
    <w:rsid w:val="00F52D64"/>
    <w:rsid w:val="00F52D65"/>
    <w:rsid w:val="00F52D68"/>
    <w:rsid w:val="00F52D7D"/>
    <w:rsid w:val="00F52DB7"/>
    <w:rsid w:val="00F52DE0"/>
    <w:rsid w:val="00F52DF1"/>
    <w:rsid w:val="00F52E00"/>
    <w:rsid w:val="00F52E16"/>
    <w:rsid w:val="00F52E48"/>
    <w:rsid w:val="00F52E62"/>
    <w:rsid w:val="00F52E73"/>
    <w:rsid w:val="00F52ECB"/>
    <w:rsid w:val="00F52ED6"/>
    <w:rsid w:val="00F52F1D"/>
    <w:rsid w:val="00F52F48"/>
    <w:rsid w:val="00F52FAC"/>
    <w:rsid w:val="00F52FE6"/>
    <w:rsid w:val="00F53029"/>
    <w:rsid w:val="00F53036"/>
    <w:rsid w:val="00F53064"/>
    <w:rsid w:val="00F530B4"/>
    <w:rsid w:val="00F530C6"/>
    <w:rsid w:val="00F530D8"/>
    <w:rsid w:val="00F530FC"/>
    <w:rsid w:val="00F53144"/>
    <w:rsid w:val="00F5314C"/>
    <w:rsid w:val="00F53195"/>
    <w:rsid w:val="00F531B1"/>
    <w:rsid w:val="00F53208"/>
    <w:rsid w:val="00F53219"/>
    <w:rsid w:val="00F53221"/>
    <w:rsid w:val="00F5323A"/>
    <w:rsid w:val="00F5328A"/>
    <w:rsid w:val="00F532C1"/>
    <w:rsid w:val="00F532CD"/>
    <w:rsid w:val="00F532E8"/>
    <w:rsid w:val="00F532ED"/>
    <w:rsid w:val="00F532FB"/>
    <w:rsid w:val="00F53352"/>
    <w:rsid w:val="00F53355"/>
    <w:rsid w:val="00F53389"/>
    <w:rsid w:val="00F533D0"/>
    <w:rsid w:val="00F533E5"/>
    <w:rsid w:val="00F5342D"/>
    <w:rsid w:val="00F5344F"/>
    <w:rsid w:val="00F53451"/>
    <w:rsid w:val="00F53499"/>
    <w:rsid w:val="00F5349C"/>
    <w:rsid w:val="00F534E6"/>
    <w:rsid w:val="00F53510"/>
    <w:rsid w:val="00F535D2"/>
    <w:rsid w:val="00F535E7"/>
    <w:rsid w:val="00F53649"/>
    <w:rsid w:val="00F53672"/>
    <w:rsid w:val="00F536B9"/>
    <w:rsid w:val="00F53706"/>
    <w:rsid w:val="00F537B6"/>
    <w:rsid w:val="00F537B7"/>
    <w:rsid w:val="00F537D6"/>
    <w:rsid w:val="00F537E0"/>
    <w:rsid w:val="00F537E5"/>
    <w:rsid w:val="00F53808"/>
    <w:rsid w:val="00F5382C"/>
    <w:rsid w:val="00F5384A"/>
    <w:rsid w:val="00F53857"/>
    <w:rsid w:val="00F538CC"/>
    <w:rsid w:val="00F538D0"/>
    <w:rsid w:val="00F5390C"/>
    <w:rsid w:val="00F53985"/>
    <w:rsid w:val="00F539EC"/>
    <w:rsid w:val="00F539EF"/>
    <w:rsid w:val="00F539FD"/>
    <w:rsid w:val="00F53A07"/>
    <w:rsid w:val="00F53A08"/>
    <w:rsid w:val="00F53A27"/>
    <w:rsid w:val="00F53A5B"/>
    <w:rsid w:val="00F53A75"/>
    <w:rsid w:val="00F53AB5"/>
    <w:rsid w:val="00F53B34"/>
    <w:rsid w:val="00F53B59"/>
    <w:rsid w:val="00F53B8F"/>
    <w:rsid w:val="00F53BC5"/>
    <w:rsid w:val="00F53C4E"/>
    <w:rsid w:val="00F53C60"/>
    <w:rsid w:val="00F53C9F"/>
    <w:rsid w:val="00F53CA2"/>
    <w:rsid w:val="00F53CC9"/>
    <w:rsid w:val="00F53CE3"/>
    <w:rsid w:val="00F53CED"/>
    <w:rsid w:val="00F53D46"/>
    <w:rsid w:val="00F53D68"/>
    <w:rsid w:val="00F53D85"/>
    <w:rsid w:val="00F53DD5"/>
    <w:rsid w:val="00F53DEE"/>
    <w:rsid w:val="00F53E00"/>
    <w:rsid w:val="00F53E01"/>
    <w:rsid w:val="00F53E0B"/>
    <w:rsid w:val="00F53E24"/>
    <w:rsid w:val="00F53E29"/>
    <w:rsid w:val="00F53E2C"/>
    <w:rsid w:val="00F53E33"/>
    <w:rsid w:val="00F53EE9"/>
    <w:rsid w:val="00F53EF6"/>
    <w:rsid w:val="00F53EF8"/>
    <w:rsid w:val="00F53F62"/>
    <w:rsid w:val="00F53FC4"/>
    <w:rsid w:val="00F53FC5"/>
    <w:rsid w:val="00F5401C"/>
    <w:rsid w:val="00F5402B"/>
    <w:rsid w:val="00F5402F"/>
    <w:rsid w:val="00F54044"/>
    <w:rsid w:val="00F54068"/>
    <w:rsid w:val="00F5409D"/>
    <w:rsid w:val="00F540F5"/>
    <w:rsid w:val="00F540FC"/>
    <w:rsid w:val="00F54123"/>
    <w:rsid w:val="00F54158"/>
    <w:rsid w:val="00F5415E"/>
    <w:rsid w:val="00F54185"/>
    <w:rsid w:val="00F54186"/>
    <w:rsid w:val="00F541EE"/>
    <w:rsid w:val="00F54215"/>
    <w:rsid w:val="00F5423E"/>
    <w:rsid w:val="00F54254"/>
    <w:rsid w:val="00F5425E"/>
    <w:rsid w:val="00F5425F"/>
    <w:rsid w:val="00F54279"/>
    <w:rsid w:val="00F542DB"/>
    <w:rsid w:val="00F542F2"/>
    <w:rsid w:val="00F542FE"/>
    <w:rsid w:val="00F54328"/>
    <w:rsid w:val="00F54342"/>
    <w:rsid w:val="00F5439D"/>
    <w:rsid w:val="00F54493"/>
    <w:rsid w:val="00F544BA"/>
    <w:rsid w:val="00F544F5"/>
    <w:rsid w:val="00F54507"/>
    <w:rsid w:val="00F5450A"/>
    <w:rsid w:val="00F54520"/>
    <w:rsid w:val="00F54524"/>
    <w:rsid w:val="00F545B3"/>
    <w:rsid w:val="00F545C7"/>
    <w:rsid w:val="00F54611"/>
    <w:rsid w:val="00F5465F"/>
    <w:rsid w:val="00F54676"/>
    <w:rsid w:val="00F546D7"/>
    <w:rsid w:val="00F546ED"/>
    <w:rsid w:val="00F546F3"/>
    <w:rsid w:val="00F54773"/>
    <w:rsid w:val="00F547A6"/>
    <w:rsid w:val="00F547AB"/>
    <w:rsid w:val="00F547ED"/>
    <w:rsid w:val="00F547FE"/>
    <w:rsid w:val="00F5481F"/>
    <w:rsid w:val="00F54835"/>
    <w:rsid w:val="00F5485D"/>
    <w:rsid w:val="00F54892"/>
    <w:rsid w:val="00F54894"/>
    <w:rsid w:val="00F548AE"/>
    <w:rsid w:val="00F549B8"/>
    <w:rsid w:val="00F549FA"/>
    <w:rsid w:val="00F54A16"/>
    <w:rsid w:val="00F54A22"/>
    <w:rsid w:val="00F54A36"/>
    <w:rsid w:val="00F54A47"/>
    <w:rsid w:val="00F54A81"/>
    <w:rsid w:val="00F54A8B"/>
    <w:rsid w:val="00F54A8D"/>
    <w:rsid w:val="00F54AB7"/>
    <w:rsid w:val="00F54AE6"/>
    <w:rsid w:val="00F54B6C"/>
    <w:rsid w:val="00F54B8D"/>
    <w:rsid w:val="00F54BE0"/>
    <w:rsid w:val="00F54C2A"/>
    <w:rsid w:val="00F54C90"/>
    <w:rsid w:val="00F54C94"/>
    <w:rsid w:val="00F54C9F"/>
    <w:rsid w:val="00F54CC4"/>
    <w:rsid w:val="00F54D22"/>
    <w:rsid w:val="00F54D4B"/>
    <w:rsid w:val="00F54D51"/>
    <w:rsid w:val="00F54D66"/>
    <w:rsid w:val="00F54D76"/>
    <w:rsid w:val="00F54D8F"/>
    <w:rsid w:val="00F54DBF"/>
    <w:rsid w:val="00F54E3A"/>
    <w:rsid w:val="00F54E6F"/>
    <w:rsid w:val="00F54E80"/>
    <w:rsid w:val="00F54EA2"/>
    <w:rsid w:val="00F54EB0"/>
    <w:rsid w:val="00F54EF3"/>
    <w:rsid w:val="00F54F10"/>
    <w:rsid w:val="00F54F15"/>
    <w:rsid w:val="00F54F26"/>
    <w:rsid w:val="00F54F31"/>
    <w:rsid w:val="00F54F89"/>
    <w:rsid w:val="00F54FEE"/>
    <w:rsid w:val="00F5504E"/>
    <w:rsid w:val="00F55078"/>
    <w:rsid w:val="00F55091"/>
    <w:rsid w:val="00F55092"/>
    <w:rsid w:val="00F5515F"/>
    <w:rsid w:val="00F551B5"/>
    <w:rsid w:val="00F551F9"/>
    <w:rsid w:val="00F551FB"/>
    <w:rsid w:val="00F55250"/>
    <w:rsid w:val="00F55257"/>
    <w:rsid w:val="00F55259"/>
    <w:rsid w:val="00F55277"/>
    <w:rsid w:val="00F5527B"/>
    <w:rsid w:val="00F5527D"/>
    <w:rsid w:val="00F55288"/>
    <w:rsid w:val="00F552B0"/>
    <w:rsid w:val="00F552BF"/>
    <w:rsid w:val="00F552DE"/>
    <w:rsid w:val="00F55345"/>
    <w:rsid w:val="00F5536A"/>
    <w:rsid w:val="00F553CB"/>
    <w:rsid w:val="00F553ED"/>
    <w:rsid w:val="00F55454"/>
    <w:rsid w:val="00F55456"/>
    <w:rsid w:val="00F5548D"/>
    <w:rsid w:val="00F55491"/>
    <w:rsid w:val="00F554A6"/>
    <w:rsid w:val="00F55548"/>
    <w:rsid w:val="00F5554C"/>
    <w:rsid w:val="00F55562"/>
    <w:rsid w:val="00F55578"/>
    <w:rsid w:val="00F5558E"/>
    <w:rsid w:val="00F55597"/>
    <w:rsid w:val="00F5559C"/>
    <w:rsid w:val="00F555D1"/>
    <w:rsid w:val="00F555D6"/>
    <w:rsid w:val="00F555E1"/>
    <w:rsid w:val="00F555E3"/>
    <w:rsid w:val="00F55625"/>
    <w:rsid w:val="00F55658"/>
    <w:rsid w:val="00F55681"/>
    <w:rsid w:val="00F556A5"/>
    <w:rsid w:val="00F556BC"/>
    <w:rsid w:val="00F556F5"/>
    <w:rsid w:val="00F55728"/>
    <w:rsid w:val="00F55746"/>
    <w:rsid w:val="00F55755"/>
    <w:rsid w:val="00F55767"/>
    <w:rsid w:val="00F5577D"/>
    <w:rsid w:val="00F5578E"/>
    <w:rsid w:val="00F557B1"/>
    <w:rsid w:val="00F557C2"/>
    <w:rsid w:val="00F557DA"/>
    <w:rsid w:val="00F557EB"/>
    <w:rsid w:val="00F55832"/>
    <w:rsid w:val="00F5583F"/>
    <w:rsid w:val="00F55841"/>
    <w:rsid w:val="00F55854"/>
    <w:rsid w:val="00F55872"/>
    <w:rsid w:val="00F5587B"/>
    <w:rsid w:val="00F558B3"/>
    <w:rsid w:val="00F558BC"/>
    <w:rsid w:val="00F558EE"/>
    <w:rsid w:val="00F558FE"/>
    <w:rsid w:val="00F55901"/>
    <w:rsid w:val="00F55929"/>
    <w:rsid w:val="00F5593A"/>
    <w:rsid w:val="00F55983"/>
    <w:rsid w:val="00F55986"/>
    <w:rsid w:val="00F5599F"/>
    <w:rsid w:val="00F559BF"/>
    <w:rsid w:val="00F559C1"/>
    <w:rsid w:val="00F559D0"/>
    <w:rsid w:val="00F559D7"/>
    <w:rsid w:val="00F559F5"/>
    <w:rsid w:val="00F55ADF"/>
    <w:rsid w:val="00F55B1B"/>
    <w:rsid w:val="00F55B2C"/>
    <w:rsid w:val="00F55B4B"/>
    <w:rsid w:val="00F55B7E"/>
    <w:rsid w:val="00F55B83"/>
    <w:rsid w:val="00F55BA2"/>
    <w:rsid w:val="00F55BAD"/>
    <w:rsid w:val="00F55BBB"/>
    <w:rsid w:val="00F55BBC"/>
    <w:rsid w:val="00F55BD5"/>
    <w:rsid w:val="00F55BEC"/>
    <w:rsid w:val="00F55C40"/>
    <w:rsid w:val="00F55C53"/>
    <w:rsid w:val="00F55CB2"/>
    <w:rsid w:val="00F55D4F"/>
    <w:rsid w:val="00F55D50"/>
    <w:rsid w:val="00F55D5C"/>
    <w:rsid w:val="00F55D62"/>
    <w:rsid w:val="00F55D65"/>
    <w:rsid w:val="00F55D83"/>
    <w:rsid w:val="00F55D8B"/>
    <w:rsid w:val="00F55DA8"/>
    <w:rsid w:val="00F55DD7"/>
    <w:rsid w:val="00F55DE3"/>
    <w:rsid w:val="00F55DEC"/>
    <w:rsid w:val="00F55DF7"/>
    <w:rsid w:val="00F55E16"/>
    <w:rsid w:val="00F55E22"/>
    <w:rsid w:val="00F55E56"/>
    <w:rsid w:val="00F55E66"/>
    <w:rsid w:val="00F55E8A"/>
    <w:rsid w:val="00F55ECE"/>
    <w:rsid w:val="00F55ED8"/>
    <w:rsid w:val="00F55F22"/>
    <w:rsid w:val="00F55F45"/>
    <w:rsid w:val="00F55FE5"/>
    <w:rsid w:val="00F56066"/>
    <w:rsid w:val="00F56068"/>
    <w:rsid w:val="00F560B9"/>
    <w:rsid w:val="00F560F8"/>
    <w:rsid w:val="00F56106"/>
    <w:rsid w:val="00F5611A"/>
    <w:rsid w:val="00F56137"/>
    <w:rsid w:val="00F56162"/>
    <w:rsid w:val="00F5618F"/>
    <w:rsid w:val="00F561AF"/>
    <w:rsid w:val="00F5628C"/>
    <w:rsid w:val="00F562C4"/>
    <w:rsid w:val="00F56348"/>
    <w:rsid w:val="00F56373"/>
    <w:rsid w:val="00F56381"/>
    <w:rsid w:val="00F56384"/>
    <w:rsid w:val="00F56394"/>
    <w:rsid w:val="00F563F2"/>
    <w:rsid w:val="00F56460"/>
    <w:rsid w:val="00F56494"/>
    <w:rsid w:val="00F564D3"/>
    <w:rsid w:val="00F564F1"/>
    <w:rsid w:val="00F5651C"/>
    <w:rsid w:val="00F5655F"/>
    <w:rsid w:val="00F56576"/>
    <w:rsid w:val="00F56588"/>
    <w:rsid w:val="00F5659C"/>
    <w:rsid w:val="00F565DB"/>
    <w:rsid w:val="00F565E8"/>
    <w:rsid w:val="00F565FE"/>
    <w:rsid w:val="00F56604"/>
    <w:rsid w:val="00F56610"/>
    <w:rsid w:val="00F56621"/>
    <w:rsid w:val="00F56629"/>
    <w:rsid w:val="00F56642"/>
    <w:rsid w:val="00F56646"/>
    <w:rsid w:val="00F56670"/>
    <w:rsid w:val="00F566AB"/>
    <w:rsid w:val="00F5672C"/>
    <w:rsid w:val="00F5674C"/>
    <w:rsid w:val="00F56776"/>
    <w:rsid w:val="00F567B5"/>
    <w:rsid w:val="00F567FE"/>
    <w:rsid w:val="00F56814"/>
    <w:rsid w:val="00F5685E"/>
    <w:rsid w:val="00F56888"/>
    <w:rsid w:val="00F568E2"/>
    <w:rsid w:val="00F56907"/>
    <w:rsid w:val="00F56942"/>
    <w:rsid w:val="00F569BB"/>
    <w:rsid w:val="00F569E9"/>
    <w:rsid w:val="00F56A16"/>
    <w:rsid w:val="00F56A50"/>
    <w:rsid w:val="00F56A65"/>
    <w:rsid w:val="00F56A6B"/>
    <w:rsid w:val="00F56A82"/>
    <w:rsid w:val="00F56AF2"/>
    <w:rsid w:val="00F56B6E"/>
    <w:rsid w:val="00F56B7D"/>
    <w:rsid w:val="00F56B8E"/>
    <w:rsid w:val="00F56BAB"/>
    <w:rsid w:val="00F56BB5"/>
    <w:rsid w:val="00F56BCC"/>
    <w:rsid w:val="00F56BCE"/>
    <w:rsid w:val="00F56BD1"/>
    <w:rsid w:val="00F56BEB"/>
    <w:rsid w:val="00F56C0F"/>
    <w:rsid w:val="00F56C4A"/>
    <w:rsid w:val="00F56C6D"/>
    <w:rsid w:val="00F56C75"/>
    <w:rsid w:val="00F56C79"/>
    <w:rsid w:val="00F56C85"/>
    <w:rsid w:val="00F56C9E"/>
    <w:rsid w:val="00F56CB8"/>
    <w:rsid w:val="00F56CC7"/>
    <w:rsid w:val="00F56CDF"/>
    <w:rsid w:val="00F56D05"/>
    <w:rsid w:val="00F56D21"/>
    <w:rsid w:val="00F56D53"/>
    <w:rsid w:val="00F56D5F"/>
    <w:rsid w:val="00F56D6B"/>
    <w:rsid w:val="00F56D6F"/>
    <w:rsid w:val="00F56D74"/>
    <w:rsid w:val="00F56DAF"/>
    <w:rsid w:val="00F56DD1"/>
    <w:rsid w:val="00F56DDB"/>
    <w:rsid w:val="00F56E0F"/>
    <w:rsid w:val="00F56E45"/>
    <w:rsid w:val="00F56E49"/>
    <w:rsid w:val="00F56E5B"/>
    <w:rsid w:val="00F56E5C"/>
    <w:rsid w:val="00F56E7D"/>
    <w:rsid w:val="00F56E91"/>
    <w:rsid w:val="00F56E99"/>
    <w:rsid w:val="00F56EAD"/>
    <w:rsid w:val="00F56ECB"/>
    <w:rsid w:val="00F56ECE"/>
    <w:rsid w:val="00F56EF6"/>
    <w:rsid w:val="00F56EFD"/>
    <w:rsid w:val="00F56F3C"/>
    <w:rsid w:val="00F56F50"/>
    <w:rsid w:val="00F56FCB"/>
    <w:rsid w:val="00F56FD8"/>
    <w:rsid w:val="00F57023"/>
    <w:rsid w:val="00F57029"/>
    <w:rsid w:val="00F570D9"/>
    <w:rsid w:val="00F57101"/>
    <w:rsid w:val="00F57191"/>
    <w:rsid w:val="00F571BF"/>
    <w:rsid w:val="00F571C5"/>
    <w:rsid w:val="00F571FF"/>
    <w:rsid w:val="00F57247"/>
    <w:rsid w:val="00F57248"/>
    <w:rsid w:val="00F57271"/>
    <w:rsid w:val="00F5727C"/>
    <w:rsid w:val="00F572BC"/>
    <w:rsid w:val="00F572E4"/>
    <w:rsid w:val="00F57319"/>
    <w:rsid w:val="00F5735C"/>
    <w:rsid w:val="00F5736D"/>
    <w:rsid w:val="00F573B0"/>
    <w:rsid w:val="00F573BC"/>
    <w:rsid w:val="00F573CE"/>
    <w:rsid w:val="00F573DE"/>
    <w:rsid w:val="00F57420"/>
    <w:rsid w:val="00F57438"/>
    <w:rsid w:val="00F57463"/>
    <w:rsid w:val="00F574A1"/>
    <w:rsid w:val="00F574B2"/>
    <w:rsid w:val="00F574F3"/>
    <w:rsid w:val="00F5750F"/>
    <w:rsid w:val="00F57518"/>
    <w:rsid w:val="00F57532"/>
    <w:rsid w:val="00F57558"/>
    <w:rsid w:val="00F57559"/>
    <w:rsid w:val="00F5757D"/>
    <w:rsid w:val="00F575C1"/>
    <w:rsid w:val="00F575C4"/>
    <w:rsid w:val="00F575F0"/>
    <w:rsid w:val="00F57625"/>
    <w:rsid w:val="00F57641"/>
    <w:rsid w:val="00F57642"/>
    <w:rsid w:val="00F57699"/>
    <w:rsid w:val="00F5769A"/>
    <w:rsid w:val="00F576B7"/>
    <w:rsid w:val="00F576C6"/>
    <w:rsid w:val="00F576CE"/>
    <w:rsid w:val="00F576E7"/>
    <w:rsid w:val="00F57736"/>
    <w:rsid w:val="00F577C1"/>
    <w:rsid w:val="00F577C3"/>
    <w:rsid w:val="00F577CB"/>
    <w:rsid w:val="00F577D5"/>
    <w:rsid w:val="00F57802"/>
    <w:rsid w:val="00F57863"/>
    <w:rsid w:val="00F578C6"/>
    <w:rsid w:val="00F578D2"/>
    <w:rsid w:val="00F5792E"/>
    <w:rsid w:val="00F5799A"/>
    <w:rsid w:val="00F579EC"/>
    <w:rsid w:val="00F57A05"/>
    <w:rsid w:val="00F57A43"/>
    <w:rsid w:val="00F57A46"/>
    <w:rsid w:val="00F57AC2"/>
    <w:rsid w:val="00F57ACA"/>
    <w:rsid w:val="00F57AF5"/>
    <w:rsid w:val="00F57B16"/>
    <w:rsid w:val="00F57B32"/>
    <w:rsid w:val="00F57B42"/>
    <w:rsid w:val="00F57B76"/>
    <w:rsid w:val="00F57B85"/>
    <w:rsid w:val="00F57B98"/>
    <w:rsid w:val="00F57BCA"/>
    <w:rsid w:val="00F57C23"/>
    <w:rsid w:val="00F57C29"/>
    <w:rsid w:val="00F57C4E"/>
    <w:rsid w:val="00F57C61"/>
    <w:rsid w:val="00F57C64"/>
    <w:rsid w:val="00F57C91"/>
    <w:rsid w:val="00F57CB7"/>
    <w:rsid w:val="00F57CBB"/>
    <w:rsid w:val="00F57CC5"/>
    <w:rsid w:val="00F57D2B"/>
    <w:rsid w:val="00F57D4D"/>
    <w:rsid w:val="00F57D56"/>
    <w:rsid w:val="00F57D6E"/>
    <w:rsid w:val="00F57DF4"/>
    <w:rsid w:val="00F57E38"/>
    <w:rsid w:val="00F57E39"/>
    <w:rsid w:val="00F57E45"/>
    <w:rsid w:val="00F57E52"/>
    <w:rsid w:val="00F57E58"/>
    <w:rsid w:val="00F57E67"/>
    <w:rsid w:val="00F57E8C"/>
    <w:rsid w:val="00F57EE0"/>
    <w:rsid w:val="00F57F0D"/>
    <w:rsid w:val="00F57F1E"/>
    <w:rsid w:val="00F57F8D"/>
    <w:rsid w:val="00F57FA2"/>
    <w:rsid w:val="00F57FC5"/>
    <w:rsid w:val="00F57FEF"/>
    <w:rsid w:val="00F57FF6"/>
    <w:rsid w:val="00F5DBA2"/>
    <w:rsid w:val="00F6004C"/>
    <w:rsid w:val="00F6008D"/>
    <w:rsid w:val="00F60090"/>
    <w:rsid w:val="00F6009D"/>
    <w:rsid w:val="00F600C6"/>
    <w:rsid w:val="00F600CA"/>
    <w:rsid w:val="00F600EA"/>
    <w:rsid w:val="00F600FC"/>
    <w:rsid w:val="00F60120"/>
    <w:rsid w:val="00F6012A"/>
    <w:rsid w:val="00F601AA"/>
    <w:rsid w:val="00F601E8"/>
    <w:rsid w:val="00F602AD"/>
    <w:rsid w:val="00F602CB"/>
    <w:rsid w:val="00F602D1"/>
    <w:rsid w:val="00F602F3"/>
    <w:rsid w:val="00F60303"/>
    <w:rsid w:val="00F6030C"/>
    <w:rsid w:val="00F6037C"/>
    <w:rsid w:val="00F60388"/>
    <w:rsid w:val="00F6038A"/>
    <w:rsid w:val="00F6038B"/>
    <w:rsid w:val="00F60416"/>
    <w:rsid w:val="00F6042E"/>
    <w:rsid w:val="00F60445"/>
    <w:rsid w:val="00F60467"/>
    <w:rsid w:val="00F6047B"/>
    <w:rsid w:val="00F60480"/>
    <w:rsid w:val="00F604A2"/>
    <w:rsid w:val="00F604AD"/>
    <w:rsid w:val="00F604F0"/>
    <w:rsid w:val="00F60505"/>
    <w:rsid w:val="00F6050D"/>
    <w:rsid w:val="00F60517"/>
    <w:rsid w:val="00F60569"/>
    <w:rsid w:val="00F60579"/>
    <w:rsid w:val="00F605BB"/>
    <w:rsid w:val="00F605DD"/>
    <w:rsid w:val="00F605EB"/>
    <w:rsid w:val="00F60667"/>
    <w:rsid w:val="00F60675"/>
    <w:rsid w:val="00F606FF"/>
    <w:rsid w:val="00F60701"/>
    <w:rsid w:val="00F60707"/>
    <w:rsid w:val="00F6073B"/>
    <w:rsid w:val="00F60740"/>
    <w:rsid w:val="00F60741"/>
    <w:rsid w:val="00F6074F"/>
    <w:rsid w:val="00F6076F"/>
    <w:rsid w:val="00F6077B"/>
    <w:rsid w:val="00F60790"/>
    <w:rsid w:val="00F607F0"/>
    <w:rsid w:val="00F607F4"/>
    <w:rsid w:val="00F60889"/>
    <w:rsid w:val="00F6088D"/>
    <w:rsid w:val="00F60899"/>
    <w:rsid w:val="00F608C0"/>
    <w:rsid w:val="00F608E3"/>
    <w:rsid w:val="00F60940"/>
    <w:rsid w:val="00F60949"/>
    <w:rsid w:val="00F6094F"/>
    <w:rsid w:val="00F6098E"/>
    <w:rsid w:val="00F60994"/>
    <w:rsid w:val="00F60999"/>
    <w:rsid w:val="00F60A09"/>
    <w:rsid w:val="00F60A31"/>
    <w:rsid w:val="00F60A49"/>
    <w:rsid w:val="00F60A6B"/>
    <w:rsid w:val="00F60A6D"/>
    <w:rsid w:val="00F60A8B"/>
    <w:rsid w:val="00F60AAC"/>
    <w:rsid w:val="00F60AE5"/>
    <w:rsid w:val="00F60B2E"/>
    <w:rsid w:val="00F60B39"/>
    <w:rsid w:val="00F60B3E"/>
    <w:rsid w:val="00F60C0B"/>
    <w:rsid w:val="00F60C1D"/>
    <w:rsid w:val="00F60C53"/>
    <w:rsid w:val="00F60C6A"/>
    <w:rsid w:val="00F60C6E"/>
    <w:rsid w:val="00F60C93"/>
    <w:rsid w:val="00F60D4F"/>
    <w:rsid w:val="00F60D71"/>
    <w:rsid w:val="00F60E03"/>
    <w:rsid w:val="00F60E1A"/>
    <w:rsid w:val="00F60E4B"/>
    <w:rsid w:val="00F60E50"/>
    <w:rsid w:val="00F60E81"/>
    <w:rsid w:val="00F60EB6"/>
    <w:rsid w:val="00F60EB7"/>
    <w:rsid w:val="00F60ECB"/>
    <w:rsid w:val="00F60ED1"/>
    <w:rsid w:val="00F60EDD"/>
    <w:rsid w:val="00F60F74"/>
    <w:rsid w:val="00F60F79"/>
    <w:rsid w:val="00F60F9E"/>
    <w:rsid w:val="00F60FA3"/>
    <w:rsid w:val="00F60FB2"/>
    <w:rsid w:val="00F61014"/>
    <w:rsid w:val="00F61039"/>
    <w:rsid w:val="00F610A5"/>
    <w:rsid w:val="00F610B7"/>
    <w:rsid w:val="00F610BF"/>
    <w:rsid w:val="00F610E3"/>
    <w:rsid w:val="00F610F0"/>
    <w:rsid w:val="00F61107"/>
    <w:rsid w:val="00F61108"/>
    <w:rsid w:val="00F61137"/>
    <w:rsid w:val="00F6113A"/>
    <w:rsid w:val="00F61148"/>
    <w:rsid w:val="00F61192"/>
    <w:rsid w:val="00F611C8"/>
    <w:rsid w:val="00F611E6"/>
    <w:rsid w:val="00F61243"/>
    <w:rsid w:val="00F61284"/>
    <w:rsid w:val="00F612D4"/>
    <w:rsid w:val="00F612EF"/>
    <w:rsid w:val="00F6132B"/>
    <w:rsid w:val="00F6136C"/>
    <w:rsid w:val="00F613A0"/>
    <w:rsid w:val="00F613B0"/>
    <w:rsid w:val="00F613C2"/>
    <w:rsid w:val="00F6141A"/>
    <w:rsid w:val="00F61432"/>
    <w:rsid w:val="00F6143C"/>
    <w:rsid w:val="00F6143E"/>
    <w:rsid w:val="00F6143F"/>
    <w:rsid w:val="00F6146A"/>
    <w:rsid w:val="00F6147E"/>
    <w:rsid w:val="00F6149A"/>
    <w:rsid w:val="00F614C5"/>
    <w:rsid w:val="00F615EB"/>
    <w:rsid w:val="00F615EF"/>
    <w:rsid w:val="00F615F5"/>
    <w:rsid w:val="00F61627"/>
    <w:rsid w:val="00F6162D"/>
    <w:rsid w:val="00F61631"/>
    <w:rsid w:val="00F6163E"/>
    <w:rsid w:val="00F6164D"/>
    <w:rsid w:val="00F616EA"/>
    <w:rsid w:val="00F6170E"/>
    <w:rsid w:val="00F6173D"/>
    <w:rsid w:val="00F6175D"/>
    <w:rsid w:val="00F617A6"/>
    <w:rsid w:val="00F617B2"/>
    <w:rsid w:val="00F617BF"/>
    <w:rsid w:val="00F617C4"/>
    <w:rsid w:val="00F617CF"/>
    <w:rsid w:val="00F617E3"/>
    <w:rsid w:val="00F61817"/>
    <w:rsid w:val="00F61824"/>
    <w:rsid w:val="00F6182E"/>
    <w:rsid w:val="00F61864"/>
    <w:rsid w:val="00F61890"/>
    <w:rsid w:val="00F61894"/>
    <w:rsid w:val="00F618A4"/>
    <w:rsid w:val="00F618B1"/>
    <w:rsid w:val="00F618B2"/>
    <w:rsid w:val="00F618F1"/>
    <w:rsid w:val="00F6190B"/>
    <w:rsid w:val="00F6193E"/>
    <w:rsid w:val="00F6194E"/>
    <w:rsid w:val="00F619AC"/>
    <w:rsid w:val="00F619CD"/>
    <w:rsid w:val="00F619E3"/>
    <w:rsid w:val="00F619F9"/>
    <w:rsid w:val="00F61A04"/>
    <w:rsid w:val="00F61A36"/>
    <w:rsid w:val="00F61A51"/>
    <w:rsid w:val="00F61A8E"/>
    <w:rsid w:val="00F61A9C"/>
    <w:rsid w:val="00F61A9E"/>
    <w:rsid w:val="00F61AA8"/>
    <w:rsid w:val="00F61ABE"/>
    <w:rsid w:val="00F61B4E"/>
    <w:rsid w:val="00F61B5A"/>
    <w:rsid w:val="00F61B9C"/>
    <w:rsid w:val="00F61BF3"/>
    <w:rsid w:val="00F61C31"/>
    <w:rsid w:val="00F61C35"/>
    <w:rsid w:val="00F61C6C"/>
    <w:rsid w:val="00F61C8A"/>
    <w:rsid w:val="00F61CE0"/>
    <w:rsid w:val="00F61CE6"/>
    <w:rsid w:val="00F61D0E"/>
    <w:rsid w:val="00F61D1C"/>
    <w:rsid w:val="00F61D25"/>
    <w:rsid w:val="00F61D53"/>
    <w:rsid w:val="00F61D5F"/>
    <w:rsid w:val="00F61D61"/>
    <w:rsid w:val="00F61D68"/>
    <w:rsid w:val="00F61D69"/>
    <w:rsid w:val="00F61DA5"/>
    <w:rsid w:val="00F61E1B"/>
    <w:rsid w:val="00F61E39"/>
    <w:rsid w:val="00F61E6A"/>
    <w:rsid w:val="00F61E8C"/>
    <w:rsid w:val="00F61ED4"/>
    <w:rsid w:val="00F61EEC"/>
    <w:rsid w:val="00F61F20"/>
    <w:rsid w:val="00F61F6C"/>
    <w:rsid w:val="00F61F84"/>
    <w:rsid w:val="00F6205F"/>
    <w:rsid w:val="00F620B5"/>
    <w:rsid w:val="00F620D0"/>
    <w:rsid w:val="00F620EB"/>
    <w:rsid w:val="00F62125"/>
    <w:rsid w:val="00F6218A"/>
    <w:rsid w:val="00F621BB"/>
    <w:rsid w:val="00F621CE"/>
    <w:rsid w:val="00F622DF"/>
    <w:rsid w:val="00F6230C"/>
    <w:rsid w:val="00F62385"/>
    <w:rsid w:val="00F62396"/>
    <w:rsid w:val="00F623A3"/>
    <w:rsid w:val="00F623A7"/>
    <w:rsid w:val="00F623AC"/>
    <w:rsid w:val="00F623B1"/>
    <w:rsid w:val="00F623BD"/>
    <w:rsid w:val="00F62415"/>
    <w:rsid w:val="00F6241E"/>
    <w:rsid w:val="00F6245E"/>
    <w:rsid w:val="00F6246D"/>
    <w:rsid w:val="00F62496"/>
    <w:rsid w:val="00F624A6"/>
    <w:rsid w:val="00F624C6"/>
    <w:rsid w:val="00F624C9"/>
    <w:rsid w:val="00F62535"/>
    <w:rsid w:val="00F62564"/>
    <w:rsid w:val="00F62578"/>
    <w:rsid w:val="00F62654"/>
    <w:rsid w:val="00F6267D"/>
    <w:rsid w:val="00F626B7"/>
    <w:rsid w:val="00F626E1"/>
    <w:rsid w:val="00F626F4"/>
    <w:rsid w:val="00F6271E"/>
    <w:rsid w:val="00F6272E"/>
    <w:rsid w:val="00F62737"/>
    <w:rsid w:val="00F627AE"/>
    <w:rsid w:val="00F627B2"/>
    <w:rsid w:val="00F627E0"/>
    <w:rsid w:val="00F627E1"/>
    <w:rsid w:val="00F62803"/>
    <w:rsid w:val="00F62830"/>
    <w:rsid w:val="00F62853"/>
    <w:rsid w:val="00F62911"/>
    <w:rsid w:val="00F62936"/>
    <w:rsid w:val="00F6293B"/>
    <w:rsid w:val="00F62942"/>
    <w:rsid w:val="00F62994"/>
    <w:rsid w:val="00F62996"/>
    <w:rsid w:val="00F629DC"/>
    <w:rsid w:val="00F62A95"/>
    <w:rsid w:val="00F62ABB"/>
    <w:rsid w:val="00F62B1A"/>
    <w:rsid w:val="00F62B2A"/>
    <w:rsid w:val="00F62B2F"/>
    <w:rsid w:val="00F62B3C"/>
    <w:rsid w:val="00F62B5D"/>
    <w:rsid w:val="00F62B8B"/>
    <w:rsid w:val="00F62BE4"/>
    <w:rsid w:val="00F62C6A"/>
    <w:rsid w:val="00F62CB9"/>
    <w:rsid w:val="00F62CE3"/>
    <w:rsid w:val="00F62CE6"/>
    <w:rsid w:val="00F62D29"/>
    <w:rsid w:val="00F62D35"/>
    <w:rsid w:val="00F62D4C"/>
    <w:rsid w:val="00F62D5B"/>
    <w:rsid w:val="00F62D62"/>
    <w:rsid w:val="00F62D85"/>
    <w:rsid w:val="00F62D9C"/>
    <w:rsid w:val="00F62D9F"/>
    <w:rsid w:val="00F62E07"/>
    <w:rsid w:val="00F62E33"/>
    <w:rsid w:val="00F62E3B"/>
    <w:rsid w:val="00F62E53"/>
    <w:rsid w:val="00F62E75"/>
    <w:rsid w:val="00F62E7C"/>
    <w:rsid w:val="00F62E9A"/>
    <w:rsid w:val="00F62EC8"/>
    <w:rsid w:val="00F62EC9"/>
    <w:rsid w:val="00F62EED"/>
    <w:rsid w:val="00F62EEF"/>
    <w:rsid w:val="00F62EF4"/>
    <w:rsid w:val="00F62EFB"/>
    <w:rsid w:val="00F62F35"/>
    <w:rsid w:val="00F62FB5"/>
    <w:rsid w:val="00F6301A"/>
    <w:rsid w:val="00F6301B"/>
    <w:rsid w:val="00F63022"/>
    <w:rsid w:val="00F6303F"/>
    <w:rsid w:val="00F63043"/>
    <w:rsid w:val="00F6306F"/>
    <w:rsid w:val="00F63084"/>
    <w:rsid w:val="00F6309E"/>
    <w:rsid w:val="00F630AA"/>
    <w:rsid w:val="00F630C3"/>
    <w:rsid w:val="00F630DB"/>
    <w:rsid w:val="00F631EB"/>
    <w:rsid w:val="00F63208"/>
    <w:rsid w:val="00F6320D"/>
    <w:rsid w:val="00F6321C"/>
    <w:rsid w:val="00F63243"/>
    <w:rsid w:val="00F63280"/>
    <w:rsid w:val="00F63285"/>
    <w:rsid w:val="00F632BC"/>
    <w:rsid w:val="00F632C7"/>
    <w:rsid w:val="00F632DC"/>
    <w:rsid w:val="00F632EE"/>
    <w:rsid w:val="00F6335A"/>
    <w:rsid w:val="00F6335E"/>
    <w:rsid w:val="00F63362"/>
    <w:rsid w:val="00F63385"/>
    <w:rsid w:val="00F633AE"/>
    <w:rsid w:val="00F633CF"/>
    <w:rsid w:val="00F6340B"/>
    <w:rsid w:val="00F63468"/>
    <w:rsid w:val="00F63479"/>
    <w:rsid w:val="00F63485"/>
    <w:rsid w:val="00F6349C"/>
    <w:rsid w:val="00F634C3"/>
    <w:rsid w:val="00F634D2"/>
    <w:rsid w:val="00F63508"/>
    <w:rsid w:val="00F6353E"/>
    <w:rsid w:val="00F63545"/>
    <w:rsid w:val="00F63555"/>
    <w:rsid w:val="00F6355B"/>
    <w:rsid w:val="00F6355F"/>
    <w:rsid w:val="00F635D2"/>
    <w:rsid w:val="00F635DF"/>
    <w:rsid w:val="00F635E0"/>
    <w:rsid w:val="00F6361B"/>
    <w:rsid w:val="00F6364E"/>
    <w:rsid w:val="00F63653"/>
    <w:rsid w:val="00F6366C"/>
    <w:rsid w:val="00F63691"/>
    <w:rsid w:val="00F636A5"/>
    <w:rsid w:val="00F636C5"/>
    <w:rsid w:val="00F636C8"/>
    <w:rsid w:val="00F6371C"/>
    <w:rsid w:val="00F63746"/>
    <w:rsid w:val="00F63779"/>
    <w:rsid w:val="00F637A1"/>
    <w:rsid w:val="00F637A5"/>
    <w:rsid w:val="00F637ED"/>
    <w:rsid w:val="00F637F0"/>
    <w:rsid w:val="00F637FC"/>
    <w:rsid w:val="00F6388D"/>
    <w:rsid w:val="00F638A2"/>
    <w:rsid w:val="00F638A6"/>
    <w:rsid w:val="00F638BF"/>
    <w:rsid w:val="00F638C4"/>
    <w:rsid w:val="00F638EB"/>
    <w:rsid w:val="00F638ED"/>
    <w:rsid w:val="00F63948"/>
    <w:rsid w:val="00F6399E"/>
    <w:rsid w:val="00F63A19"/>
    <w:rsid w:val="00F63A3F"/>
    <w:rsid w:val="00F63A6E"/>
    <w:rsid w:val="00F63A83"/>
    <w:rsid w:val="00F63A9C"/>
    <w:rsid w:val="00F63AAF"/>
    <w:rsid w:val="00F63AC5"/>
    <w:rsid w:val="00F63AE5"/>
    <w:rsid w:val="00F63AEB"/>
    <w:rsid w:val="00F63B00"/>
    <w:rsid w:val="00F63B23"/>
    <w:rsid w:val="00F63B4D"/>
    <w:rsid w:val="00F63B6F"/>
    <w:rsid w:val="00F63B7E"/>
    <w:rsid w:val="00F63BAA"/>
    <w:rsid w:val="00F63BCA"/>
    <w:rsid w:val="00F63C02"/>
    <w:rsid w:val="00F63C05"/>
    <w:rsid w:val="00F63C5C"/>
    <w:rsid w:val="00F63C78"/>
    <w:rsid w:val="00F63C8F"/>
    <w:rsid w:val="00F63C93"/>
    <w:rsid w:val="00F63C9C"/>
    <w:rsid w:val="00F63D49"/>
    <w:rsid w:val="00F63D5B"/>
    <w:rsid w:val="00F63DC4"/>
    <w:rsid w:val="00F63DF4"/>
    <w:rsid w:val="00F63E18"/>
    <w:rsid w:val="00F63E95"/>
    <w:rsid w:val="00F63ED4"/>
    <w:rsid w:val="00F63EDB"/>
    <w:rsid w:val="00F63EDD"/>
    <w:rsid w:val="00F63EFC"/>
    <w:rsid w:val="00F63F15"/>
    <w:rsid w:val="00F63F39"/>
    <w:rsid w:val="00F63F4A"/>
    <w:rsid w:val="00F63F5E"/>
    <w:rsid w:val="00F63F63"/>
    <w:rsid w:val="00F63F71"/>
    <w:rsid w:val="00F63F74"/>
    <w:rsid w:val="00F63F76"/>
    <w:rsid w:val="00F63F7D"/>
    <w:rsid w:val="00F63F98"/>
    <w:rsid w:val="00F64016"/>
    <w:rsid w:val="00F6407E"/>
    <w:rsid w:val="00F64097"/>
    <w:rsid w:val="00F640CC"/>
    <w:rsid w:val="00F640D6"/>
    <w:rsid w:val="00F640F3"/>
    <w:rsid w:val="00F6413E"/>
    <w:rsid w:val="00F6416A"/>
    <w:rsid w:val="00F64177"/>
    <w:rsid w:val="00F64194"/>
    <w:rsid w:val="00F641A0"/>
    <w:rsid w:val="00F6420B"/>
    <w:rsid w:val="00F6421A"/>
    <w:rsid w:val="00F64236"/>
    <w:rsid w:val="00F64238"/>
    <w:rsid w:val="00F64240"/>
    <w:rsid w:val="00F6426E"/>
    <w:rsid w:val="00F64272"/>
    <w:rsid w:val="00F642CD"/>
    <w:rsid w:val="00F642D6"/>
    <w:rsid w:val="00F64303"/>
    <w:rsid w:val="00F64324"/>
    <w:rsid w:val="00F6432D"/>
    <w:rsid w:val="00F64339"/>
    <w:rsid w:val="00F64361"/>
    <w:rsid w:val="00F643EC"/>
    <w:rsid w:val="00F6445A"/>
    <w:rsid w:val="00F64496"/>
    <w:rsid w:val="00F644AF"/>
    <w:rsid w:val="00F644DD"/>
    <w:rsid w:val="00F644EA"/>
    <w:rsid w:val="00F6458A"/>
    <w:rsid w:val="00F645A4"/>
    <w:rsid w:val="00F645C9"/>
    <w:rsid w:val="00F64629"/>
    <w:rsid w:val="00F64634"/>
    <w:rsid w:val="00F6463C"/>
    <w:rsid w:val="00F64654"/>
    <w:rsid w:val="00F64662"/>
    <w:rsid w:val="00F646CD"/>
    <w:rsid w:val="00F6470B"/>
    <w:rsid w:val="00F6473E"/>
    <w:rsid w:val="00F64760"/>
    <w:rsid w:val="00F64789"/>
    <w:rsid w:val="00F647A0"/>
    <w:rsid w:val="00F647EA"/>
    <w:rsid w:val="00F6482D"/>
    <w:rsid w:val="00F64890"/>
    <w:rsid w:val="00F648AB"/>
    <w:rsid w:val="00F648D4"/>
    <w:rsid w:val="00F6491D"/>
    <w:rsid w:val="00F6495F"/>
    <w:rsid w:val="00F649D8"/>
    <w:rsid w:val="00F649F1"/>
    <w:rsid w:val="00F649FE"/>
    <w:rsid w:val="00F64A12"/>
    <w:rsid w:val="00F64A86"/>
    <w:rsid w:val="00F64AA5"/>
    <w:rsid w:val="00F64AC7"/>
    <w:rsid w:val="00F64ADF"/>
    <w:rsid w:val="00F64B0A"/>
    <w:rsid w:val="00F64B18"/>
    <w:rsid w:val="00F64B6B"/>
    <w:rsid w:val="00F64BE6"/>
    <w:rsid w:val="00F64C0C"/>
    <w:rsid w:val="00F64C62"/>
    <w:rsid w:val="00F64C78"/>
    <w:rsid w:val="00F64CAC"/>
    <w:rsid w:val="00F64CB6"/>
    <w:rsid w:val="00F64CC4"/>
    <w:rsid w:val="00F64CCE"/>
    <w:rsid w:val="00F64CE1"/>
    <w:rsid w:val="00F64D2C"/>
    <w:rsid w:val="00F64DE2"/>
    <w:rsid w:val="00F64E08"/>
    <w:rsid w:val="00F64E0A"/>
    <w:rsid w:val="00F64E1E"/>
    <w:rsid w:val="00F64E24"/>
    <w:rsid w:val="00F64E5F"/>
    <w:rsid w:val="00F64E68"/>
    <w:rsid w:val="00F64EE8"/>
    <w:rsid w:val="00F64F8E"/>
    <w:rsid w:val="00F64F95"/>
    <w:rsid w:val="00F64FA2"/>
    <w:rsid w:val="00F64FA6"/>
    <w:rsid w:val="00F64FBD"/>
    <w:rsid w:val="00F65016"/>
    <w:rsid w:val="00F6503A"/>
    <w:rsid w:val="00F65079"/>
    <w:rsid w:val="00F6508B"/>
    <w:rsid w:val="00F650AC"/>
    <w:rsid w:val="00F650D2"/>
    <w:rsid w:val="00F650E0"/>
    <w:rsid w:val="00F650F4"/>
    <w:rsid w:val="00F6516E"/>
    <w:rsid w:val="00F65191"/>
    <w:rsid w:val="00F651C8"/>
    <w:rsid w:val="00F65218"/>
    <w:rsid w:val="00F6522D"/>
    <w:rsid w:val="00F65276"/>
    <w:rsid w:val="00F6527A"/>
    <w:rsid w:val="00F6528B"/>
    <w:rsid w:val="00F6530F"/>
    <w:rsid w:val="00F65324"/>
    <w:rsid w:val="00F6533F"/>
    <w:rsid w:val="00F653B7"/>
    <w:rsid w:val="00F65460"/>
    <w:rsid w:val="00F65471"/>
    <w:rsid w:val="00F654FD"/>
    <w:rsid w:val="00F6551E"/>
    <w:rsid w:val="00F6553F"/>
    <w:rsid w:val="00F655BF"/>
    <w:rsid w:val="00F6565D"/>
    <w:rsid w:val="00F6567B"/>
    <w:rsid w:val="00F65681"/>
    <w:rsid w:val="00F656AC"/>
    <w:rsid w:val="00F656B2"/>
    <w:rsid w:val="00F656D6"/>
    <w:rsid w:val="00F656F8"/>
    <w:rsid w:val="00F656FA"/>
    <w:rsid w:val="00F65736"/>
    <w:rsid w:val="00F657D2"/>
    <w:rsid w:val="00F65804"/>
    <w:rsid w:val="00F6580B"/>
    <w:rsid w:val="00F65825"/>
    <w:rsid w:val="00F6582C"/>
    <w:rsid w:val="00F6584C"/>
    <w:rsid w:val="00F65878"/>
    <w:rsid w:val="00F658B2"/>
    <w:rsid w:val="00F658C4"/>
    <w:rsid w:val="00F658E0"/>
    <w:rsid w:val="00F65905"/>
    <w:rsid w:val="00F65915"/>
    <w:rsid w:val="00F6592D"/>
    <w:rsid w:val="00F65967"/>
    <w:rsid w:val="00F6599E"/>
    <w:rsid w:val="00F659AF"/>
    <w:rsid w:val="00F659CA"/>
    <w:rsid w:val="00F659EE"/>
    <w:rsid w:val="00F65A48"/>
    <w:rsid w:val="00F65A4E"/>
    <w:rsid w:val="00F65A50"/>
    <w:rsid w:val="00F65A67"/>
    <w:rsid w:val="00F65A6E"/>
    <w:rsid w:val="00F65A83"/>
    <w:rsid w:val="00F65A9C"/>
    <w:rsid w:val="00F65AA8"/>
    <w:rsid w:val="00F65AD1"/>
    <w:rsid w:val="00F65B24"/>
    <w:rsid w:val="00F65B41"/>
    <w:rsid w:val="00F65B42"/>
    <w:rsid w:val="00F65B49"/>
    <w:rsid w:val="00F65B54"/>
    <w:rsid w:val="00F65B5F"/>
    <w:rsid w:val="00F65B96"/>
    <w:rsid w:val="00F65BC2"/>
    <w:rsid w:val="00F65BE0"/>
    <w:rsid w:val="00F65C42"/>
    <w:rsid w:val="00F65C6F"/>
    <w:rsid w:val="00F65C71"/>
    <w:rsid w:val="00F65C8F"/>
    <w:rsid w:val="00F65CB4"/>
    <w:rsid w:val="00F65CBF"/>
    <w:rsid w:val="00F65CD7"/>
    <w:rsid w:val="00F65CFD"/>
    <w:rsid w:val="00F65CFE"/>
    <w:rsid w:val="00F65D48"/>
    <w:rsid w:val="00F65D4F"/>
    <w:rsid w:val="00F65D88"/>
    <w:rsid w:val="00F65D9A"/>
    <w:rsid w:val="00F65DA7"/>
    <w:rsid w:val="00F65DBE"/>
    <w:rsid w:val="00F65DF4"/>
    <w:rsid w:val="00F65E06"/>
    <w:rsid w:val="00F65E14"/>
    <w:rsid w:val="00F65E61"/>
    <w:rsid w:val="00F65EAE"/>
    <w:rsid w:val="00F65EE7"/>
    <w:rsid w:val="00F65EF3"/>
    <w:rsid w:val="00F65EF4"/>
    <w:rsid w:val="00F65F00"/>
    <w:rsid w:val="00F65F0C"/>
    <w:rsid w:val="00F65F91"/>
    <w:rsid w:val="00F65FAE"/>
    <w:rsid w:val="00F65FC0"/>
    <w:rsid w:val="00F66096"/>
    <w:rsid w:val="00F660A0"/>
    <w:rsid w:val="00F660AB"/>
    <w:rsid w:val="00F660CC"/>
    <w:rsid w:val="00F660CF"/>
    <w:rsid w:val="00F660E7"/>
    <w:rsid w:val="00F6613B"/>
    <w:rsid w:val="00F66174"/>
    <w:rsid w:val="00F6619A"/>
    <w:rsid w:val="00F661AE"/>
    <w:rsid w:val="00F661C0"/>
    <w:rsid w:val="00F661D5"/>
    <w:rsid w:val="00F66220"/>
    <w:rsid w:val="00F6622A"/>
    <w:rsid w:val="00F6622E"/>
    <w:rsid w:val="00F66243"/>
    <w:rsid w:val="00F6624F"/>
    <w:rsid w:val="00F66260"/>
    <w:rsid w:val="00F662AE"/>
    <w:rsid w:val="00F662E0"/>
    <w:rsid w:val="00F662E8"/>
    <w:rsid w:val="00F662F4"/>
    <w:rsid w:val="00F6632E"/>
    <w:rsid w:val="00F66343"/>
    <w:rsid w:val="00F6634B"/>
    <w:rsid w:val="00F6634C"/>
    <w:rsid w:val="00F66356"/>
    <w:rsid w:val="00F6635E"/>
    <w:rsid w:val="00F6637F"/>
    <w:rsid w:val="00F663D4"/>
    <w:rsid w:val="00F663ED"/>
    <w:rsid w:val="00F6641B"/>
    <w:rsid w:val="00F6641C"/>
    <w:rsid w:val="00F6644B"/>
    <w:rsid w:val="00F66474"/>
    <w:rsid w:val="00F664A7"/>
    <w:rsid w:val="00F664AA"/>
    <w:rsid w:val="00F664E7"/>
    <w:rsid w:val="00F6652F"/>
    <w:rsid w:val="00F66538"/>
    <w:rsid w:val="00F6656E"/>
    <w:rsid w:val="00F6657E"/>
    <w:rsid w:val="00F66591"/>
    <w:rsid w:val="00F665D5"/>
    <w:rsid w:val="00F665F6"/>
    <w:rsid w:val="00F66624"/>
    <w:rsid w:val="00F66649"/>
    <w:rsid w:val="00F66695"/>
    <w:rsid w:val="00F666D2"/>
    <w:rsid w:val="00F666D7"/>
    <w:rsid w:val="00F666E3"/>
    <w:rsid w:val="00F6670C"/>
    <w:rsid w:val="00F66732"/>
    <w:rsid w:val="00F66783"/>
    <w:rsid w:val="00F66788"/>
    <w:rsid w:val="00F6678F"/>
    <w:rsid w:val="00F667A1"/>
    <w:rsid w:val="00F667A5"/>
    <w:rsid w:val="00F667B0"/>
    <w:rsid w:val="00F667B6"/>
    <w:rsid w:val="00F667D3"/>
    <w:rsid w:val="00F6681F"/>
    <w:rsid w:val="00F66866"/>
    <w:rsid w:val="00F66881"/>
    <w:rsid w:val="00F66886"/>
    <w:rsid w:val="00F6688F"/>
    <w:rsid w:val="00F66899"/>
    <w:rsid w:val="00F668FE"/>
    <w:rsid w:val="00F66916"/>
    <w:rsid w:val="00F6691B"/>
    <w:rsid w:val="00F6692C"/>
    <w:rsid w:val="00F66944"/>
    <w:rsid w:val="00F66953"/>
    <w:rsid w:val="00F66954"/>
    <w:rsid w:val="00F66962"/>
    <w:rsid w:val="00F669BE"/>
    <w:rsid w:val="00F66A08"/>
    <w:rsid w:val="00F66A4F"/>
    <w:rsid w:val="00F66AB8"/>
    <w:rsid w:val="00F66ABF"/>
    <w:rsid w:val="00F66AE1"/>
    <w:rsid w:val="00F66B54"/>
    <w:rsid w:val="00F66B5D"/>
    <w:rsid w:val="00F66B69"/>
    <w:rsid w:val="00F66BFA"/>
    <w:rsid w:val="00F66C18"/>
    <w:rsid w:val="00F66C59"/>
    <w:rsid w:val="00F66C67"/>
    <w:rsid w:val="00F66C80"/>
    <w:rsid w:val="00F66CBB"/>
    <w:rsid w:val="00F66CC4"/>
    <w:rsid w:val="00F66D07"/>
    <w:rsid w:val="00F66D52"/>
    <w:rsid w:val="00F66D85"/>
    <w:rsid w:val="00F66DB7"/>
    <w:rsid w:val="00F66DB9"/>
    <w:rsid w:val="00F66DF0"/>
    <w:rsid w:val="00F66E1B"/>
    <w:rsid w:val="00F66E24"/>
    <w:rsid w:val="00F66E66"/>
    <w:rsid w:val="00F66E92"/>
    <w:rsid w:val="00F66E99"/>
    <w:rsid w:val="00F66EA4"/>
    <w:rsid w:val="00F66ED0"/>
    <w:rsid w:val="00F66EED"/>
    <w:rsid w:val="00F66F3A"/>
    <w:rsid w:val="00F66F47"/>
    <w:rsid w:val="00F66F5F"/>
    <w:rsid w:val="00F66F6E"/>
    <w:rsid w:val="00F66F85"/>
    <w:rsid w:val="00F66FD9"/>
    <w:rsid w:val="00F6702E"/>
    <w:rsid w:val="00F6703A"/>
    <w:rsid w:val="00F6706A"/>
    <w:rsid w:val="00F67082"/>
    <w:rsid w:val="00F6708F"/>
    <w:rsid w:val="00F670B9"/>
    <w:rsid w:val="00F6711C"/>
    <w:rsid w:val="00F6712B"/>
    <w:rsid w:val="00F6717A"/>
    <w:rsid w:val="00F671B2"/>
    <w:rsid w:val="00F671E3"/>
    <w:rsid w:val="00F67242"/>
    <w:rsid w:val="00F67246"/>
    <w:rsid w:val="00F6724E"/>
    <w:rsid w:val="00F67291"/>
    <w:rsid w:val="00F672FF"/>
    <w:rsid w:val="00F6734E"/>
    <w:rsid w:val="00F67353"/>
    <w:rsid w:val="00F673B2"/>
    <w:rsid w:val="00F673B4"/>
    <w:rsid w:val="00F673C8"/>
    <w:rsid w:val="00F673D9"/>
    <w:rsid w:val="00F67430"/>
    <w:rsid w:val="00F674A9"/>
    <w:rsid w:val="00F674C8"/>
    <w:rsid w:val="00F674C9"/>
    <w:rsid w:val="00F674E3"/>
    <w:rsid w:val="00F67504"/>
    <w:rsid w:val="00F67506"/>
    <w:rsid w:val="00F6752B"/>
    <w:rsid w:val="00F6754E"/>
    <w:rsid w:val="00F67551"/>
    <w:rsid w:val="00F67561"/>
    <w:rsid w:val="00F6757F"/>
    <w:rsid w:val="00F675A3"/>
    <w:rsid w:val="00F675C6"/>
    <w:rsid w:val="00F675F9"/>
    <w:rsid w:val="00F6760F"/>
    <w:rsid w:val="00F67615"/>
    <w:rsid w:val="00F6764E"/>
    <w:rsid w:val="00F67660"/>
    <w:rsid w:val="00F67676"/>
    <w:rsid w:val="00F6768A"/>
    <w:rsid w:val="00F676D9"/>
    <w:rsid w:val="00F676DD"/>
    <w:rsid w:val="00F676FB"/>
    <w:rsid w:val="00F67748"/>
    <w:rsid w:val="00F6774D"/>
    <w:rsid w:val="00F67755"/>
    <w:rsid w:val="00F6775E"/>
    <w:rsid w:val="00F67770"/>
    <w:rsid w:val="00F67795"/>
    <w:rsid w:val="00F677B5"/>
    <w:rsid w:val="00F677CC"/>
    <w:rsid w:val="00F677E1"/>
    <w:rsid w:val="00F677E9"/>
    <w:rsid w:val="00F677EB"/>
    <w:rsid w:val="00F677F0"/>
    <w:rsid w:val="00F677F9"/>
    <w:rsid w:val="00F67850"/>
    <w:rsid w:val="00F678B2"/>
    <w:rsid w:val="00F678B6"/>
    <w:rsid w:val="00F678B8"/>
    <w:rsid w:val="00F678BA"/>
    <w:rsid w:val="00F678C5"/>
    <w:rsid w:val="00F678CE"/>
    <w:rsid w:val="00F678D6"/>
    <w:rsid w:val="00F678E0"/>
    <w:rsid w:val="00F67900"/>
    <w:rsid w:val="00F67901"/>
    <w:rsid w:val="00F6791B"/>
    <w:rsid w:val="00F67934"/>
    <w:rsid w:val="00F67954"/>
    <w:rsid w:val="00F6796D"/>
    <w:rsid w:val="00F67987"/>
    <w:rsid w:val="00F679B5"/>
    <w:rsid w:val="00F679C4"/>
    <w:rsid w:val="00F679D8"/>
    <w:rsid w:val="00F67A0B"/>
    <w:rsid w:val="00F67A74"/>
    <w:rsid w:val="00F67A80"/>
    <w:rsid w:val="00F67A9A"/>
    <w:rsid w:val="00F67AB7"/>
    <w:rsid w:val="00F67ACF"/>
    <w:rsid w:val="00F67AEF"/>
    <w:rsid w:val="00F67AF9"/>
    <w:rsid w:val="00F67B1A"/>
    <w:rsid w:val="00F67B1F"/>
    <w:rsid w:val="00F67B21"/>
    <w:rsid w:val="00F67B35"/>
    <w:rsid w:val="00F67B4F"/>
    <w:rsid w:val="00F67B71"/>
    <w:rsid w:val="00F67B7B"/>
    <w:rsid w:val="00F67B99"/>
    <w:rsid w:val="00F67BAD"/>
    <w:rsid w:val="00F67BB2"/>
    <w:rsid w:val="00F67BDD"/>
    <w:rsid w:val="00F67C29"/>
    <w:rsid w:val="00F67C50"/>
    <w:rsid w:val="00F67C74"/>
    <w:rsid w:val="00F67C75"/>
    <w:rsid w:val="00F67C7B"/>
    <w:rsid w:val="00F67C7F"/>
    <w:rsid w:val="00F67CB0"/>
    <w:rsid w:val="00F67CC4"/>
    <w:rsid w:val="00F67CCB"/>
    <w:rsid w:val="00F67D1D"/>
    <w:rsid w:val="00F67D3E"/>
    <w:rsid w:val="00F67D40"/>
    <w:rsid w:val="00F67D7E"/>
    <w:rsid w:val="00F67DF4"/>
    <w:rsid w:val="00F67E14"/>
    <w:rsid w:val="00F67E2C"/>
    <w:rsid w:val="00F67E36"/>
    <w:rsid w:val="00F67E4B"/>
    <w:rsid w:val="00F67E5E"/>
    <w:rsid w:val="00F67E68"/>
    <w:rsid w:val="00F67E83"/>
    <w:rsid w:val="00F67EFC"/>
    <w:rsid w:val="00F67F15"/>
    <w:rsid w:val="00F67F4C"/>
    <w:rsid w:val="00F67F76"/>
    <w:rsid w:val="00F67F81"/>
    <w:rsid w:val="00F67FA3"/>
    <w:rsid w:val="00F67FA7"/>
    <w:rsid w:val="00F67FBC"/>
    <w:rsid w:val="00F67FEB"/>
    <w:rsid w:val="00F67FF8"/>
    <w:rsid w:val="00F70069"/>
    <w:rsid w:val="00F701BB"/>
    <w:rsid w:val="00F701C8"/>
    <w:rsid w:val="00F701CA"/>
    <w:rsid w:val="00F701D4"/>
    <w:rsid w:val="00F701D9"/>
    <w:rsid w:val="00F70210"/>
    <w:rsid w:val="00F70247"/>
    <w:rsid w:val="00F70249"/>
    <w:rsid w:val="00F702D2"/>
    <w:rsid w:val="00F702FE"/>
    <w:rsid w:val="00F702FF"/>
    <w:rsid w:val="00F70339"/>
    <w:rsid w:val="00F7035A"/>
    <w:rsid w:val="00F703CB"/>
    <w:rsid w:val="00F703EE"/>
    <w:rsid w:val="00F7042C"/>
    <w:rsid w:val="00F70452"/>
    <w:rsid w:val="00F70494"/>
    <w:rsid w:val="00F704A2"/>
    <w:rsid w:val="00F704AF"/>
    <w:rsid w:val="00F704B7"/>
    <w:rsid w:val="00F704C1"/>
    <w:rsid w:val="00F704F1"/>
    <w:rsid w:val="00F70567"/>
    <w:rsid w:val="00F70570"/>
    <w:rsid w:val="00F70571"/>
    <w:rsid w:val="00F70579"/>
    <w:rsid w:val="00F7057E"/>
    <w:rsid w:val="00F70584"/>
    <w:rsid w:val="00F7058B"/>
    <w:rsid w:val="00F7059C"/>
    <w:rsid w:val="00F705B1"/>
    <w:rsid w:val="00F705FD"/>
    <w:rsid w:val="00F70675"/>
    <w:rsid w:val="00F70680"/>
    <w:rsid w:val="00F70690"/>
    <w:rsid w:val="00F706BE"/>
    <w:rsid w:val="00F707B0"/>
    <w:rsid w:val="00F707CD"/>
    <w:rsid w:val="00F707D6"/>
    <w:rsid w:val="00F707F2"/>
    <w:rsid w:val="00F70800"/>
    <w:rsid w:val="00F7085B"/>
    <w:rsid w:val="00F70877"/>
    <w:rsid w:val="00F708F0"/>
    <w:rsid w:val="00F709C1"/>
    <w:rsid w:val="00F709E1"/>
    <w:rsid w:val="00F70A03"/>
    <w:rsid w:val="00F70A1A"/>
    <w:rsid w:val="00F70AA3"/>
    <w:rsid w:val="00F70ACC"/>
    <w:rsid w:val="00F70AD9"/>
    <w:rsid w:val="00F70B1B"/>
    <w:rsid w:val="00F70B1F"/>
    <w:rsid w:val="00F70B5A"/>
    <w:rsid w:val="00F70B6D"/>
    <w:rsid w:val="00F70B6E"/>
    <w:rsid w:val="00F70B77"/>
    <w:rsid w:val="00F70BA6"/>
    <w:rsid w:val="00F70BAF"/>
    <w:rsid w:val="00F70BE1"/>
    <w:rsid w:val="00F70C8E"/>
    <w:rsid w:val="00F70CDA"/>
    <w:rsid w:val="00F70CF0"/>
    <w:rsid w:val="00F70D15"/>
    <w:rsid w:val="00F70D37"/>
    <w:rsid w:val="00F70D59"/>
    <w:rsid w:val="00F70D63"/>
    <w:rsid w:val="00F70D84"/>
    <w:rsid w:val="00F70D89"/>
    <w:rsid w:val="00F70D90"/>
    <w:rsid w:val="00F70D99"/>
    <w:rsid w:val="00F70DF1"/>
    <w:rsid w:val="00F70E06"/>
    <w:rsid w:val="00F70E2B"/>
    <w:rsid w:val="00F70E80"/>
    <w:rsid w:val="00F70EA4"/>
    <w:rsid w:val="00F70EDF"/>
    <w:rsid w:val="00F70EF4"/>
    <w:rsid w:val="00F70F35"/>
    <w:rsid w:val="00F70F4D"/>
    <w:rsid w:val="00F70F9B"/>
    <w:rsid w:val="00F70FBE"/>
    <w:rsid w:val="00F70FBF"/>
    <w:rsid w:val="00F71008"/>
    <w:rsid w:val="00F7100F"/>
    <w:rsid w:val="00F71010"/>
    <w:rsid w:val="00F7101D"/>
    <w:rsid w:val="00F71065"/>
    <w:rsid w:val="00F71066"/>
    <w:rsid w:val="00F71076"/>
    <w:rsid w:val="00F71098"/>
    <w:rsid w:val="00F7109E"/>
    <w:rsid w:val="00F710D5"/>
    <w:rsid w:val="00F710DE"/>
    <w:rsid w:val="00F71127"/>
    <w:rsid w:val="00F7113D"/>
    <w:rsid w:val="00F711AA"/>
    <w:rsid w:val="00F711AC"/>
    <w:rsid w:val="00F711CB"/>
    <w:rsid w:val="00F711E9"/>
    <w:rsid w:val="00F7121F"/>
    <w:rsid w:val="00F71245"/>
    <w:rsid w:val="00F7128C"/>
    <w:rsid w:val="00F712A5"/>
    <w:rsid w:val="00F712AC"/>
    <w:rsid w:val="00F712D2"/>
    <w:rsid w:val="00F712D3"/>
    <w:rsid w:val="00F7133D"/>
    <w:rsid w:val="00F71361"/>
    <w:rsid w:val="00F713F3"/>
    <w:rsid w:val="00F713F9"/>
    <w:rsid w:val="00F713FC"/>
    <w:rsid w:val="00F71423"/>
    <w:rsid w:val="00F71465"/>
    <w:rsid w:val="00F7150C"/>
    <w:rsid w:val="00F71551"/>
    <w:rsid w:val="00F71575"/>
    <w:rsid w:val="00F71590"/>
    <w:rsid w:val="00F715A7"/>
    <w:rsid w:val="00F715D8"/>
    <w:rsid w:val="00F715ED"/>
    <w:rsid w:val="00F71646"/>
    <w:rsid w:val="00F7164A"/>
    <w:rsid w:val="00F71663"/>
    <w:rsid w:val="00F71682"/>
    <w:rsid w:val="00F716EA"/>
    <w:rsid w:val="00F71721"/>
    <w:rsid w:val="00F71732"/>
    <w:rsid w:val="00F7176F"/>
    <w:rsid w:val="00F71785"/>
    <w:rsid w:val="00F71793"/>
    <w:rsid w:val="00F717CA"/>
    <w:rsid w:val="00F717CD"/>
    <w:rsid w:val="00F717D9"/>
    <w:rsid w:val="00F71808"/>
    <w:rsid w:val="00F71820"/>
    <w:rsid w:val="00F71841"/>
    <w:rsid w:val="00F7186F"/>
    <w:rsid w:val="00F71894"/>
    <w:rsid w:val="00F7190A"/>
    <w:rsid w:val="00F71922"/>
    <w:rsid w:val="00F71967"/>
    <w:rsid w:val="00F71994"/>
    <w:rsid w:val="00F719BA"/>
    <w:rsid w:val="00F719D1"/>
    <w:rsid w:val="00F719E9"/>
    <w:rsid w:val="00F719F8"/>
    <w:rsid w:val="00F71A30"/>
    <w:rsid w:val="00F71A9C"/>
    <w:rsid w:val="00F71A9F"/>
    <w:rsid w:val="00F71ADC"/>
    <w:rsid w:val="00F71AF1"/>
    <w:rsid w:val="00F71B08"/>
    <w:rsid w:val="00F71B26"/>
    <w:rsid w:val="00F71B34"/>
    <w:rsid w:val="00F71B91"/>
    <w:rsid w:val="00F71B9F"/>
    <w:rsid w:val="00F71BB7"/>
    <w:rsid w:val="00F71BD9"/>
    <w:rsid w:val="00F71C22"/>
    <w:rsid w:val="00F71C54"/>
    <w:rsid w:val="00F71C6E"/>
    <w:rsid w:val="00F71C7E"/>
    <w:rsid w:val="00F71CA0"/>
    <w:rsid w:val="00F71CAC"/>
    <w:rsid w:val="00F71CBD"/>
    <w:rsid w:val="00F71CC7"/>
    <w:rsid w:val="00F71CD1"/>
    <w:rsid w:val="00F71CD5"/>
    <w:rsid w:val="00F71D59"/>
    <w:rsid w:val="00F71D60"/>
    <w:rsid w:val="00F71DCD"/>
    <w:rsid w:val="00F71E0A"/>
    <w:rsid w:val="00F71E2F"/>
    <w:rsid w:val="00F71E88"/>
    <w:rsid w:val="00F71E91"/>
    <w:rsid w:val="00F71F15"/>
    <w:rsid w:val="00F71F2D"/>
    <w:rsid w:val="00F71F32"/>
    <w:rsid w:val="00F71F35"/>
    <w:rsid w:val="00F71F38"/>
    <w:rsid w:val="00F71F3C"/>
    <w:rsid w:val="00F71F41"/>
    <w:rsid w:val="00F71F6C"/>
    <w:rsid w:val="00F71F98"/>
    <w:rsid w:val="00F72010"/>
    <w:rsid w:val="00F72015"/>
    <w:rsid w:val="00F72019"/>
    <w:rsid w:val="00F72058"/>
    <w:rsid w:val="00F7205C"/>
    <w:rsid w:val="00F72080"/>
    <w:rsid w:val="00F720A5"/>
    <w:rsid w:val="00F720A9"/>
    <w:rsid w:val="00F720B1"/>
    <w:rsid w:val="00F720BF"/>
    <w:rsid w:val="00F7210B"/>
    <w:rsid w:val="00F72143"/>
    <w:rsid w:val="00F72150"/>
    <w:rsid w:val="00F72160"/>
    <w:rsid w:val="00F72164"/>
    <w:rsid w:val="00F721D7"/>
    <w:rsid w:val="00F721DC"/>
    <w:rsid w:val="00F721E6"/>
    <w:rsid w:val="00F72205"/>
    <w:rsid w:val="00F72206"/>
    <w:rsid w:val="00F72222"/>
    <w:rsid w:val="00F7222E"/>
    <w:rsid w:val="00F72233"/>
    <w:rsid w:val="00F7224C"/>
    <w:rsid w:val="00F7225F"/>
    <w:rsid w:val="00F722D9"/>
    <w:rsid w:val="00F722E9"/>
    <w:rsid w:val="00F72322"/>
    <w:rsid w:val="00F7232F"/>
    <w:rsid w:val="00F72341"/>
    <w:rsid w:val="00F72376"/>
    <w:rsid w:val="00F72379"/>
    <w:rsid w:val="00F7238A"/>
    <w:rsid w:val="00F7239D"/>
    <w:rsid w:val="00F723D7"/>
    <w:rsid w:val="00F72426"/>
    <w:rsid w:val="00F72445"/>
    <w:rsid w:val="00F7245A"/>
    <w:rsid w:val="00F7246D"/>
    <w:rsid w:val="00F72483"/>
    <w:rsid w:val="00F724C8"/>
    <w:rsid w:val="00F7252A"/>
    <w:rsid w:val="00F7252C"/>
    <w:rsid w:val="00F7253E"/>
    <w:rsid w:val="00F7253F"/>
    <w:rsid w:val="00F725B1"/>
    <w:rsid w:val="00F725E0"/>
    <w:rsid w:val="00F725F3"/>
    <w:rsid w:val="00F725F8"/>
    <w:rsid w:val="00F72644"/>
    <w:rsid w:val="00F7264D"/>
    <w:rsid w:val="00F7264F"/>
    <w:rsid w:val="00F7268B"/>
    <w:rsid w:val="00F72691"/>
    <w:rsid w:val="00F726AE"/>
    <w:rsid w:val="00F726C2"/>
    <w:rsid w:val="00F726C7"/>
    <w:rsid w:val="00F726C9"/>
    <w:rsid w:val="00F726DE"/>
    <w:rsid w:val="00F726E2"/>
    <w:rsid w:val="00F72753"/>
    <w:rsid w:val="00F72768"/>
    <w:rsid w:val="00F72779"/>
    <w:rsid w:val="00F727C7"/>
    <w:rsid w:val="00F727E3"/>
    <w:rsid w:val="00F7280D"/>
    <w:rsid w:val="00F7282A"/>
    <w:rsid w:val="00F7286A"/>
    <w:rsid w:val="00F7288A"/>
    <w:rsid w:val="00F728A4"/>
    <w:rsid w:val="00F7298A"/>
    <w:rsid w:val="00F729B9"/>
    <w:rsid w:val="00F729D8"/>
    <w:rsid w:val="00F729DF"/>
    <w:rsid w:val="00F729F1"/>
    <w:rsid w:val="00F72A07"/>
    <w:rsid w:val="00F72A39"/>
    <w:rsid w:val="00F72A79"/>
    <w:rsid w:val="00F72A8F"/>
    <w:rsid w:val="00F72A9E"/>
    <w:rsid w:val="00F72AB9"/>
    <w:rsid w:val="00F72ACB"/>
    <w:rsid w:val="00F72AE6"/>
    <w:rsid w:val="00F72B00"/>
    <w:rsid w:val="00F72B1F"/>
    <w:rsid w:val="00F72B3A"/>
    <w:rsid w:val="00F72B41"/>
    <w:rsid w:val="00F72B43"/>
    <w:rsid w:val="00F72B80"/>
    <w:rsid w:val="00F72C38"/>
    <w:rsid w:val="00F72C73"/>
    <w:rsid w:val="00F72C8B"/>
    <w:rsid w:val="00F72C96"/>
    <w:rsid w:val="00F72C97"/>
    <w:rsid w:val="00F72CD8"/>
    <w:rsid w:val="00F72D5B"/>
    <w:rsid w:val="00F72D72"/>
    <w:rsid w:val="00F72DC6"/>
    <w:rsid w:val="00F72DD8"/>
    <w:rsid w:val="00F72DEA"/>
    <w:rsid w:val="00F72E2E"/>
    <w:rsid w:val="00F72E44"/>
    <w:rsid w:val="00F72E4B"/>
    <w:rsid w:val="00F72E6D"/>
    <w:rsid w:val="00F72E7A"/>
    <w:rsid w:val="00F72EB9"/>
    <w:rsid w:val="00F72EC5"/>
    <w:rsid w:val="00F72EE0"/>
    <w:rsid w:val="00F72F3E"/>
    <w:rsid w:val="00F72F40"/>
    <w:rsid w:val="00F72F50"/>
    <w:rsid w:val="00F72F58"/>
    <w:rsid w:val="00F72F6B"/>
    <w:rsid w:val="00F72F82"/>
    <w:rsid w:val="00F72F95"/>
    <w:rsid w:val="00F72F9B"/>
    <w:rsid w:val="00F72FDB"/>
    <w:rsid w:val="00F73061"/>
    <w:rsid w:val="00F73069"/>
    <w:rsid w:val="00F73075"/>
    <w:rsid w:val="00F73085"/>
    <w:rsid w:val="00F73088"/>
    <w:rsid w:val="00F7308E"/>
    <w:rsid w:val="00F730B9"/>
    <w:rsid w:val="00F73105"/>
    <w:rsid w:val="00F7314E"/>
    <w:rsid w:val="00F73156"/>
    <w:rsid w:val="00F7315B"/>
    <w:rsid w:val="00F73169"/>
    <w:rsid w:val="00F73182"/>
    <w:rsid w:val="00F73195"/>
    <w:rsid w:val="00F73196"/>
    <w:rsid w:val="00F731D5"/>
    <w:rsid w:val="00F731DF"/>
    <w:rsid w:val="00F731EE"/>
    <w:rsid w:val="00F731F3"/>
    <w:rsid w:val="00F731FB"/>
    <w:rsid w:val="00F7320E"/>
    <w:rsid w:val="00F73221"/>
    <w:rsid w:val="00F7323D"/>
    <w:rsid w:val="00F73255"/>
    <w:rsid w:val="00F7327E"/>
    <w:rsid w:val="00F7328F"/>
    <w:rsid w:val="00F732D6"/>
    <w:rsid w:val="00F73360"/>
    <w:rsid w:val="00F7338C"/>
    <w:rsid w:val="00F733CA"/>
    <w:rsid w:val="00F7341F"/>
    <w:rsid w:val="00F7342B"/>
    <w:rsid w:val="00F7343A"/>
    <w:rsid w:val="00F734A6"/>
    <w:rsid w:val="00F73500"/>
    <w:rsid w:val="00F7354B"/>
    <w:rsid w:val="00F7354E"/>
    <w:rsid w:val="00F73555"/>
    <w:rsid w:val="00F73566"/>
    <w:rsid w:val="00F7358B"/>
    <w:rsid w:val="00F7358E"/>
    <w:rsid w:val="00F73597"/>
    <w:rsid w:val="00F735B4"/>
    <w:rsid w:val="00F73621"/>
    <w:rsid w:val="00F73659"/>
    <w:rsid w:val="00F73672"/>
    <w:rsid w:val="00F73691"/>
    <w:rsid w:val="00F73698"/>
    <w:rsid w:val="00F736A2"/>
    <w:rsid w:val="00F736A6"/>
    <w:rsid w:val="00F736BB"/>
    <w:rsid w:val="00F736BE"/>
    <w:rsid w:val="00F736D3"/>
    <w:rsid w:val="00F7370C"/>
    <w:rsid w:val="00F73718"/>
    <w:rsid w:val="00F73748"/>
    <w:rsid w:val="00F73776"/>
    <w:rsid w:val="00F73781"/>
    <w:rsid w:val="00F73794"/>
    <w:rsid w:val="00F737A5"/>
    <w:rsid w:val="00F73800"/>
    <w:rsid w:val="00F73848"/>
    <w:rsid w:val="00F73872"/>
    <w:rsid w:val="00F73874"/>
    <w:rsid w:val="00F738B3"/>
    <w:rsid w:val="00F738C5"/>
    <w:rsid w:val="00F7394B"/>
    <w:rsid w:val="00F73962"/>
    <w:rsid w:val="00F73997"/>
    <w:rsid w:val="00F739A4"/>
    <w:rsid w:val="00F73A5C"/>
    <w:rsid w:val="00F73A98"/>
    <w:rsid w:val="00F73AAC"/>
    <w:rsid w:val="00F73AC7"/>
    <w:rsid w:val="00F73B1C"/>
    <w:rsid w:val="00F73B44"/>
    <w:rsid w:val="00F73B69"/>
    <w:rsid w:val="00F73B6F"/>
    <w:rsid w:val="00F73BDD"/>
    <w:rsid w:val="00F73BF3"/>
    <w:rsid w:val="00F73BF8"/>
    <w:rsid w:val="00F73BFE"/>
    <w:rsid w:val="00F73C0F"/>
    <w:rsid w:val="00F73C20"/>
    <w:rsid w:val="00F73C30"/>
    <w:rsid w:val="00F73C3F"/>
    <w:rsid w:val="00F73C49"/>
    <w:rsid w:val="00F73C61"/>
    <w:rsid w:val="00F73C73"/>
    <w:rsid w:val="00F73C9D"/>
    <w:rsid w:val="00F73CBF"/>
    <w:rsid w:val="00F73CC7"/>
    <w:rsid w:val="00F73CFC"/>
    <w:rsid w:val="00F73D01"/>
    <w:rsid w:val="00F73D36"/>
    <w:rsid w:val="00F73D3A"/>
    <w:rsid w:val="00F73D53"/>
    <w:rsid w:val="00F73D9D"/>
    <w:rsid w:val="00F73DAF"/>
    <w:rsid w:val="00F73DDF"/>
    <w:rsid w:val="00F73DE2"/>
    <w:rsid w:val="00F73DE5"/>
    <w:rsid w:val="00F73E14"/>
    <w:rsid w:val="00F73E20"/>
    <w:rsid w:val="00F73E45"/>
    <w:rsid w:val="00F73E67"/>
    <w:rsid w:val="00F73EB3"/>
    <w:rsid w:val="00F73EE9"/>
    <w:rsid w:val="00F73F09"/>
    <w:rsid w:val="00F73F0B"/>
    <w:rsid w:val="00F73F40"/>
    <w:rsid w:val="00F73FAC"/>
    <w:rsid w:val="00F74012"/>
    <w:rsid w:val="00F74039"/>
    <w:rsid w:val="00F7403F"/>
    <w:rsid w:val="00F74068"/>
    <w:rsid w:val="00F7409D"/>
    <w:rsid w:val="00F740EE"/>
    <w:rsid w:val="00F740F8"/>
    <w:rsid w:val="00F741C6"/>
    <w:rsid w:val="00F741D5"/>
    <w:rsid w:val="00F741D6"/>
    <w:rsid w:val="00F741F5"/>
    <w:rsid w:val="00F74203"/>
    <w:rsid w:val="00F74252"/>
    <w:rsid w:val="00F74271"/>
    <w:rsid w:val="00F7427E"/>
    <w:rsid w:val="00F742B4"/>
    <w:rsid w:val="00F742BA"/>
    <w:rsid w:val="00F742C6"/>
    <w:rsid w:val="00F74324"/>
    <w:rsid w:val="00F74326"/>
    <w:rsid w:val="00F7436A"/>
    <w:rsid w:val="00F74378"/>
    <w:rsid w:val="00F743C3"/>
    <w:rsid w:val="00F743CB"/>
    <w:rsid w:val="00F743D9"/>
    <w:rsid w:val="00F74419"/>
    <w:rsid w:val="00F7445D"/>
    <w:rsid w:val="00F7450F"/>
    <w:rsid w:val="00F74544"/>
    <w:rsid w:val="00F74590"/>
    <w:rsid w:val="00F745AA"/>
    <w:rsid w:val="00F745B8"/>
    <w:rsid w:val="00F745BD"/>
    <w:rsid w:val="00F745D4"/>
    <w:rsid w:val="00F745F2"/>
    <w:rsid w:val="00F74612"/>
    <w:rsid w:val="00F74615"/>
    <w:rsid w:val="00F74677"/>
    <w:rsid w:val="00F7469C"/>
    <w:rsid w:val="00F746B8"/>
    <w:rsid w:val="00F746EC"/>
    <w:rsid w:val="00F7473C"/>
    <w:rsid w:val="00F74773"/>
    <w:rsid w:val="00F74780"/>
    <w:rsid w:val="00F747AC"/>
    <w:rsid w:val="00F747D3"/>
    <w:rsid w:val="00F747DC"/>
    <w:rsid w:val="00F7480F"/>
    <w:rsid w:val="00F7484F"/>
    <w:rsid w:val="00F74929"/>
    <w:rsid w:val="00F74963"/>
    <w:rsid w:val="00F7496F"/>
    <w:rsid w:val="00F74976"/>
    <w:rsid w:val="00F749A7"/>
    <w:rsid w:val="00F749DE"/>
    <w:rsid w:val="00F749E3"/>
    <w:rsid w:val="00F749F3"/>
    <w:rsid w:val="00F749F7"/>
    <w:rsid w:val="00F74A5F"/>
    <w:rsid w:val="00F74A74"/>
    <w:rsid w:val="00F74A79"/>
    <w:rsid w:val="00F74AB8"/>
    <w:rsid w:val="00F74ABF"/>
    <w:rsid w:val="00F74AF5"/>
    <w:rsid w:val="00F74B11"/>
    <w:rsid w:val="00F74B17"/>
    <w:rsid w:val="00F74B2B"/>
    <w:rsid w:val="00F74B2F"/>
    <w:rsid w:val="00F74B4E"/>
    <w:rsid w:val="00F74B53"/>
    <w:rsid w:val="00F74B5B"/>
    <w:rsid w:val="00F74B69"/>
    <w:rsid w:val="00F74BD9"/>
    <w:rsid w:val="00F74BED"/>
    <w:rsid w:val="00F74C17"/>
    <w:rsid w:val="00F74C1D"/>
    <w:rsid w:val="00F74C32"/>
    <w:rsid w:val="00F74C75"/>
    <w:rsid w:val="00F74D16"/>
    <w:rsid w:val="00F74D6B"/>
    <w:rsid w:val="00F74D82"/>
    <w:rsid w:val="00F74D86"/>
    <w:rsid w:val="00F74DD5"/>
    <w:rsid w:val="00F74E3C"/>
    <w:rsid w:val="00F74E49"/>
    <w:rsid w:val="00F74E79"/>
    <w:rsid w:val="00F74E7D"/>
    <w:rsid w:val="00F74ED2"/>
    <w:rsid w:val="00F74EFE"/>
    <w:rsid w:val="00F74F00"/>
    <w:rsid w:val="00F74F04"/>
    <w:rsid w:val="00F74F08"/>
    <w:rsid w:val="00F74F4C"/>
    <w:rsid w:val="00F74F50"/>
    <w:rsid w:val="00F74F94"/>
    <w:rsid w:val="00F74FB1"/>
    <w:rsid w:val="00F74FD3"/>
    <w:rsid w:val="00F75025"/>
    <w:rsid w:val="00F7508F"/>
    <w:rsid w:val="00F750BF"/>
    <w:rsid w:val="00F750E5"/>
    <w:rsid w:val="00F750F3"/>
    <w:rsid w:val="00F7510A"/>
    <w:rsid w:val="00F75145"/>
    <w:rsid w:val="00F75166"/>
    <w:rsid w:val="00F7517B"/>
    <w:rsid w:val="00F751D7"/>
    <w:rsid w:val="00F751D8"/>
    <w:rsid w:val="00F751F1"/>
    <w:rsid w:val="00F751F4"/>
    <w:rsid w:val="00F75234"/>
    <w:rsid w:val="00F75264"/>
    <w:rsid w:val="00F75278"/>
    <w:rsid w:val="00F75284"/>
    <w:rsid w:val="00F752C0"/>
    <w:rsid w:val="00F752FA"/>
    <w:rsid w:val="00F7532D"/>
    <w:rsid w:val="00F75354"/>
    <w:rsid w:val="00F7535E"/>
    <w:rsid w:val="00F75382"/>
    <w:rsid w:val="00F753A6"/>
    <w:rsid w:val="00F7541B"/>
    <w:rsid w:val="00F75445"/>
    <w:rsid w:val="00F75453"/>
    <w:rsid w:val="00F75484"/>
    <w:rsid w:val="00F754B8"/>
    <w:rsid w:val="00F754CD"/>
    <w:rsid w:val="00F75544"/>
    <w:rsid w:val="00F75585"/>
    <w:rsid w:val="00F75591"/>
    <w:rsid w:val="00F75592"/>
    <w:rsid w:val="00F755AA"/>
    <w:rsid w:val="00F755C3"/>
    <w:rsid w:val="00F75612"/>
    <w:rsid w:val="00F75620"/>
    <w:rsid w:val="00F756EB"/>
    <w:rsid w:val="00F75716"/>
    <w:rsid w:val="00F75721"/>
    <w:rsid w:val="00F7572F"/>
    <w:rsid w:val="00F75764"/>
    <w:rsid w:val="00F757A3"/>
    <w:rsid w:val="00F757C8"/>
    <w:rsid w:val="00F75827"/>
    <w:rsid w:val="00F75830"/>
    <w:rsid w:val="00F75857"/>
    <w:rsid w:val="00F75866"/>
    <w:rsid w:val="00F758C9"/>
    <w:rsid w:val="00F758CF"/>
    <w:rsid w:val="00F758D2"/>
    <w:rsid w:val="00F758EC"/>
    <w:rsid w:val="00F758FB"/>
    <w:rsid w:val="00F75908"/>
    <w:rsid w:val="00F75977"/>
    <w:rsid w:val="00F7597F"/>
    <w:rsid w:val="00F75988"/>
    <w:rsid w:val="00F759A5"/>
    <w:rsid w:val="00F759AD"/>
    <w:rsid w:val="00F759F0"/>
    <w:rsid w:val="00F75A52"/>
    <w:rsid w:val="00F75A78"/>
    <w:rsid w:val="00F75A91"/>
    <w:rsid w:val="00F75B15"/>
    <w:rsid w:val="00F75B32"/>
    <w:rsid w:val="00F75C08"/>
    <w:rsid w:val="00F75C13"/>
    <w:rsid w:val="00F75C22"/>
    <w:rsid w:val="00F75C2B"/>
    <w:rsid w:val="00F75C6F"/>
    <w:rsid w:val="00F75CA0"/>
    <w:rsid w:val="00F75CE7"/>
    <w:rsid w:val="00F75D2F"/>
    <w:rsid w:val="00F75D32"/>
    <w:rsid w:val="00F75D33"/>
    <w:rsid w:val="00F75D56"/>
    <w:rsid w:val="00F75D5D"/>
    <w:rsid w:val="00F75D78"/>
    <w:rsid w:val="00F75DC2"/>
    <w:rsid w:val="00F75DF3"/>
    <w:rsid w:val="00F75DFB"/>
    <w:rsid w:val="00F75E07"/>
    <w:rsid w:val="00F75E0C"/>
    <w:rsid w:val="00F75E44"/>
    <w:rsid w:val="00F75E65"/>
    <w:rsid w:val="00F75E7F"/>
    <w:rsid w:val="00F75EEC"/>
    <w:rsid w:val="00F75F47"/>
    <w:rsid w:val="00F75F58"/>
    <w:rsid w:val="00F75F7B"/>
    <w:rsid w:val="00F75FE3"/>
    <w:rsid w:val="00F7606E"/>
    <w:rsid w:val="00F7608D"/>
    <w:rsid w:val="00F760AB"/>
    <w:rsid w:val="00F760B0"/>
    <w:rsid w:val="00F760B9"/>
    <w:rsid w:val="00F76102"/>
    <w:rsid w:val="00F7613B"/>
    <w:rsid w:val="00F76155"/>
    <w:rsid w:val="00F76165"/>
    <w:rsid w:val="00F76172"/>
    <w:rsid w:val="00F76177"/>
    <w:rsid w:val="00F761BC"/>
    <w:rsid w:val="00F761C8"/>
    <w:rsid w:val="00F761D1"/>
    <w:rsid w:val="00F76208"/>
    <w:rsid w:val="00F7623F"/>
    <w:rsid w:val="00F76291"/>
    <w:rsid w:val="00F762D8"/>
    <w:rsid w:val="00F763AC"/>
    <w:rsid w:val="00F763CE"/>
    <w:rsid w:val="00F76401"/>
    <w:rsid w:val="00F76446"/>
    <w:rsid w:val="00F76451"/>
    <w:rsid w:val="00F7647E"/>
    <w:rsid w:val="00F76488"/>
    <w:rsid w:val="00F76492"/>
    <w:rsid w:val="00F764B1"/>
    <w:rsid w:val="00F764BB"/>
    <w:rsid w:val="00F764ED"/>
    <w:rsid w:val="00F764F4"/>
    <w:rsid w:val="00F764FB"/>
    <w:rsid w:val="00F76529"/>
    <w:rsid w:val="00F7652B"/>
    <w:rsid w:val="00F7652E"/>
    <w:rsid w:val="00F76541"/>
    <w:rsid w:val="00F76552"/>
    <w:rsid w:val="00F76559"/>
    <w:rsid w:val="00F76574"/>
    <w:rsid w:val="00F7658F"/>
    <w:rsid w:val="00F76598"/>
    <w:rsid w:val="00F765AE"/>
    <w:rsid w:val="00F765CB"/>
    <w:rsid w:val="00F76603"/>
    <w:rsid w:val="00F76641"/>
    <w:rsid w:val="00F76643"/>
    <w:rsid w:val="00F76657"/>
    <w:rsid w:val="00F7669C"/>
    <w:rsid w:val="00F766F5"/>
    <w:rsid w:val="00F7676B"/>
    <w:rsid w:val="00F767A8"/>
    <w:rsid w:val="00F767CE"/>
    <w:rsid w:val="00F767E8"/>
    <w:rsid w:val="00F7680F"/>
    <w:rsid w:val="00F76843"/>
    <w:rsid w:val="00F768AA"/>
    <w:rsid w:val="00F768C0"/>
    <w:rsid w:val="00F76904"/>
    <w:rsid w:val="00F7694E"/>
    <w:rsid w:val="00F76980"/>
    <w:rsid w:val="00F7698F"/>
    <w:rsid w:val="00F7699F"/>
    <w:rsid w:val="00F769A3"/>
    <w:rsid w:val="00F769B2"/>
    <w:rsid w:val="00F76A00"/>
    <w:rsid w:val="00F76A10"/>
    <w:rsid w:val="00F76A34"/>
    <w:rsid w:val="00F76A36"/>
    <w:rsid w:val="00F76A7B"/>
    <w:rsid w:val="00F76A80"/>
    <w:rsid w:val="00F76A9F"/>
    <w:rsid w:val="00F76AB5"/>
    <w:rsid w:val="00F76AF2"/>
    <w:rsid w:val="00F76AFF"/>
    <w:rsid w:val="00F76B00"/>
    <w:rsid w:val="00F76B03"/>
    <w:rsid w:val="00F76B2E"/>
    <w:rsid w:val="00F76B62"/>
    <w:rsid w:val="00F76B6E"/>
    <w:rsid w:val="00F76B8D"/>
    <w:rsid w:val="00F76B99"/>
    <w:rsid w:val="00F76BA8"/>
    <w:rsid w:val="00F76BC9"/>
    <w:rsid w:val="00F76BD3"/>
    <w:rsid w:val="00F76C09"/>
    <w:rsid w:val="00F76C51"/>
    <w:rsid w:val="00F76D18"/>
    <w:rsid w:val="00F76D56"/>
    <w:rsid w:val="00F76D76"/>
    <w:rsid w:val="00F76D90"/>
    <w:rsid w:val="00F76DD4"/>
    <w:rsid w:val="00F76DDA"/>
    <w:rsid w:val="00F76DDB"/>
    <w:rsid w:val="00F76E11"/>
    <w:rsid w:val="00F76E17"/>
    <w:rsid w:val="00F76E1B"/>
    <w:rsid w:val="00F76E3C"/>
    <w:rsid w:val="00F76E75"/>
    <w:rsid w:val="00F76E8B"/>
    <w:rsid w:val="00F76E8D"/>
    <w:rsid w:val="00F76E9C"/>
    <w:rsid w:val="00F76EB1"/>
    <w:rsid w:val="00F76EB9"/>
    <w:rsid w:val="00F76EDA"/>
    <w:rsid w:val="00F76F4E"/>
    <w:rsid w:val="00F76F76"/>
    <w:rsid w:val="00F76F87"/>
    <w:rsid w:val="00F76FBD"/>
    <w:rsid w:val="00F77056"/>
    <w:rsid w:val="00F770A2"/>
    <w:rsid w:val="00F770BF"/>
    <w:rsid w:val="00F770D9"/>
    <w:rsid w:val="00F77109"/>
    <w:rsid w:val="00F77181"/>
    <w:rsid w:val="00F7718F"/>
    <w:rsid w:val="00F771D4"/>
    <w:rsid w:val="00F771E4"/>
    <w:rsid w:val="00F771EC"/>
    <w:rsid w:val="00F77219"/>
    <w:rsid w:val="00F7725F"/>
    <w:rsid w:val="00F772D7"/>
    <w:rsid w:val="00F77361"/>
    <w:rsid w:val="00F773CF"/>
    <w:rsid w:val="00F77416"/>
    <w:rsid w:val="00F7744B"/>
    <w:rsid w:val="00F774B4"/>
    <w:rsid w:val="00F774DC"/>
    <w:rsid w:val="00F77513"/>
    <w:rsid w:val="00F77532"/>
    <w:rsid w:val="00F77534"/>
    <w:rsid w:val="00F77559"/>
    <w:rsid w:val="00F77560"/>
    <w:rsid w:val="00F7757A"/>
    <w:rsid w:val="00F775BD"/>
    <w:rsid w:val="00F775C1"/>
    <w:rsid w:val="00F775DB"/>
    <w:rsid w:val="00F775E6"/>
    <w:rsid w:val="00F77616"/>
    <w:rsid w:val="00F7763A"/>
    <w:rsid w:val="00F77659"/>
    <w:rsid w:val="00F77669"/>
    <w:rsid w:val="00F77677"/>
    <w:rsid w:val="00F77679"/>
    <w:rsid w:val="00F776C1"/>
    <w:rsid w:val="00F776D0"/>
    <w:rsid w:val="00F776E4"/>
    <w:rsid w:val="00F7773C"/>
    <w:rsid w:val="00F77769"/>
    <w:rsid w:val="00F77786"/>
    <w:rsid w:val="00F77788"/>
    <w:rsid w:val="00F7778E"/>
    <w:rsid w:val="00F77879"/>
    <w:rsid w:val="00F778BE"/>
    <w:rsid w:val="00F77906"/>
    <w:rsid w:val="00F7793F"/>
    <w:rsid w:val="00F7797B"/>
    <w:rsid w:val="00F7797D"/>
    <w:rsid w:val="00F77986"/>
    <w:rsid w:val="00F779A0"/>
    <w:rsid w:val="00F779A1"/>
    <w:rsid w:val="00F779BE"/>
    <w:rsid w:val="00F779C5"/>
    <w:rsid w:val="00F77A22"/>
    <w:rsid w:val="00F77A42"/>
    <w:rsid w:val="00F77A44"/>
    <w:rsid w:val="00F77A48"/>
    <w:rsid w:val="00F77A67"/>
    <w:rsid w:val="00F77A68"/>
    <w:rsid w:val="00F77A7A"/>
    <w:rsid w:val="00F77A9B"/>
    <w:rsid w:val="00F77AA2"/>
    <w:rsid w:val="00F77AAE"/>
    <w:rsid w:val="00F77AC2"/>
    <w:rsid w:val="00F77ADC"/>
    <w:rsid w:val="00F77ADD"/>
    <w:rsid w:val="00F77AE8"/>
    <w:rsid w:val="00F77AF8"/>
    <w:rsid w:val="00F77B2C"/>
    <w:rsid w:val="00F77B4D"/>
    <w:rsid w:val="00F77B60"/>
    <w:rsid w:val="00F77B64"/>
    <w:rsid w:val="00F77B7D"/>
    <w:rsid w:val="00F77B89"/>
    <w:rsid w:val="00F77BB7"/>
    <w:rsid w:val="00F77BCD"/>
    <w:rsid w:val="00F77BD8"/>
    <w:rsid w:val="00F77BE5"/>
    <w:rsid w:val="00F77C57"/>
    <w:rsid w:val="00F77C64"/>
    <w:rsid w:val="00F77C73"/>
    <w:rsid w:val="00F77C89"/>
    <w:rsid w:val="00F77C8B"/>
    <w:rsid w:val="00F77D13"/>
    <w:rsid w:val="00F77D70"/>
    <w:rsid w:val="00F77DB4"/>
    <w:rsid w:val="00F77DC5"/>
    <w:rsid w:val="00F77DD2"/>
    <w:rsid w:val="00F77E25"/>
    <w:rsid w:val="00F77E90"/>
    <w:rsid w:val="00F77E96"/>
    <w:rsid w:val="00F77EB5"/>
    <w:rsid w:val="00F77EC1"/>
    <w:rsid w:val="00F77F1E"/>
    <w:rsid w:val="00F77F23"/>
    <w:rsid w:val="00F77F42"/>
    <w:rsid w:val="00F77F5B"/>
    <w:rsid w:val="00F77F84"/>
    <w:rsid w:val="00F77F8F"/>
    <w:rsid w:val="00F77F9C"/>
    <w:rsid w:val="00F77FA5"/>
    <w:rsid w:val="00F77FDB"/>
    <w:rsid w:val="00F77FE6"/>
    <w:rsid w:val="00F77FEF"/>
    <w:rsid w:val="00F7DEA1"/>
    <w:rsid w:val="00F80082"/>
    <w:rsid w:val="00F80095"/>
    <w:rsid w:val="00F800D2"/>
    <w:rsid w:val="00F800FE"/>
    <w:rsid w:val="00F80152"/>
    <w:rsid w:val="00F80177"/>
    <w:rsid w:val="00F801A2"/>
    <w:rsid w:val="00F801AC"/>
    <w:rsid w:val="00F801DF"/>
    <w:rsid w:val="00F80222"/>
    <w:rsid w:val="00F80265"/>
    <w:rsid w:val="00F802AA"/>
    <w:rsid w:val="00F80308"/>
    <w:rsid w:val="00F80310"/>
    <w:rsid w:val="00F80325"/>
    <w:rsid w:val="00F80337"/>
    <w:rsid w:val="00F8036F"/>
    <w:rsid w:val="00F8037C"/>
    <w:rsid w:val="00F8039B"/>
    <w:rsid w:val="00F803DA"/>
    <w:rsid w:val="00F803F7"/>
    <w:rsid w:val="00F80417"/>
    <w:rsid w:val="00F8041B"/>
    <w:rsid w:val="00F8041D"/>
    <w:rsid w:val="00F80429"/>
    <w:rsid w:val="00F8045A"/>
    <w:rsid w:val="00F8046C"/>
    <w:rsid w:val="00F8046D"/>
    <w:rsid w:val="00F8047C"/>
    <w:rsid w:val="00F80495"/>
    <w:rsid w:val="00F804B0"/>
    <w:rsid w:val="00F804E4"/>
    <w:rsid w:val="00F804F1"/>
    <w:rsid w:val="00F80519"/>
    <w:rsid w:val="00F80557"/>
    <w:rsid w:val="00F805A5"/>
    <w:rsid w:val="00F805DB"/>
    <w:rsid w:val="00F8060A"/>
    <w:rsid w:val="00F80666"/>
    <w:rsid w:val="00F8067B"/>
    <w:rsid w:val="00F80681"/>
    <w:rsid w:val="00F8069B"/>
    <w:rsid w:val="00F80725"/>
    <w:rsid w:val="00F8073B"/>
    <w:rsid w:val="00F80760"/>
    <w:rsid w:val="00F80772"/>
    <w:rsid w:val="00F8079D"/>
    <w:rsid w:val="00F807B6"/>
    <w:rsid w:val="00F807E8"/>
    <w:rsid w:val="00F807EC"/>
    <w:rsid w:val="00F80815"/>
    <w:rsid w:val="00F80877"/>
    <w:rsid w:val="00F80894"/>
    <w:rsid w:val="00F808FA"/>
    <w:rsid w:val="00F808FC"/>
    <w:rsid w:val="00F80906"/>
    <w:rsid w:val="00F8091A"/>
    <w:rsid w:val="00F80923"/>
    <w:rsid w:val="00F80934"/>
    <w:rsid w:val="00F80961"/>
    <w:rsid w:val="00F80969"/>
    <w:rsid w:val="00F8098D"/>
    <w:rsid w:val="00F809A8"/>
    <w:rsid w:val="00F809B4"/>
    <w:rsid w:val="00F809EA"/>
    <w:rsid w:val="00F809FB"/>
    <w:rsid w:val="00F80A05"/>
    <w:rsid w:val="00F80A24"/>
    <w:rsid w:val="00F80A48"/>
    <w:rsid w:val="00F80A66"/>
    <w:rsid w:val="00F80A6B"/>
    <w:rsid w:val="00F80A70"/>
    <w:rsid w:val="00F80A92"/>
    <w:rsid w:val="00F80AA2"/>
    <w:rsid w:val="00F80ADE"/>
    <w:rsid w:val="00F80AEF"/>
    <w:rsid w:val="00F80AFE"/>
    <w:rsid w:val="00F80B05"/>
    <w:rsid w:val="00F80BB2"/>
    <w:rsid w:val="00F80BCC"/>
    <w:rsid w:val="00F80BFE"/>
    <w:rsid w:val="00F80C01"/>
    <w:rsid w:val="00F80C05"/>
    <w:rsid w:val="00F80C31"/>
    <w:rsid w:val="00F80C7D"/>
    <w:rsid w:val="00F80C8B"/>
    <w:rsid w:val="00F80CE9"/>
    <w:rsid w:val="00F80D6D"/>
    <w:rsid w:val="00F80DBD"/>
    <w:rsid w:val="00F80E02"/>
    <w:rsid w:val="00F80E7F"/>
    <w:rsid w:val="00F80EB9"/>
    <w:rsid w:val="00F80F09"/>
    <w:rsid w:val="00F80F1C"/>
    <w:rsid w:val="00F80F26"/>
    <w:rsid w:val="00F80F63"/>
    <w:rsid w:val="00F80F99"/>
    <w:rsid w:val="00F80FBA"/>
    <w:rsid w:val="00F80FD5"/>
    <w:rsid w:val="00F80FE5"/>
    <w:rsid w:val="00F81030"/>
    <w:rsid w:val="00F81038"/>
    <w:rsid w:val="00F810A2"/>
    <w:rsid w:val="00F810AD"/>
    <w:rsid w:val="00F810D3"/>
    <w:rsid w:val="00F810FB"/>
    <w:rsid w:val="00F81111"/>
    <w:rsid w:val="00F81118"/>
    <w:rsid w:val="00F8111D"/>
    <w:rsid w:val="00F8115D"/>
    <w:rsid w:val="00F81173"/>
    <w:rsid w:val="00F81194"/>
    <w:rsid w:val="00F811A0"/>
    <w:rsid w:val="00F811C4"/>
    <w:rsid w:val="00F811C7"/>
    <w:rsid w:val="00F81214"/>
    <w:rsid w:val="00F81215"/>
    <w:rsid w:val="00F8121D"/>
    <w:rsid w:val="00F8123D"/>
    <w:rsid w:val="00F8127E"/>
    <w:rsid w:val="00F812C6"/>
    <w:rsid w:val="00F812D0"/>
    <w:rsid w:val="00F812E7"/>
    <w:rsid w:val="00F813AD"/>
    <w:rsid w:val="00F813AF"/>
    <w:rsid w:val="00F81452"/>
    <w:rsid w:val="00F8145D"/>
    <w:rsid w:val="00F81470"/>
    <w:rsid w:val="00F8147F"/>
    <w:rsid w:val="00F8148E"/>
    <w:rsid w:val="00F814A5"/>
    <w:rsid w:val="00F81502"/>
    <w:rsid w:val="00F8153F"/>
    <w:rsid w:val="00F81557"/>
    <w:rsid w:val="00F81567"/>
    <w:rsid w:val="00F8158E"/>
    <w:rsid w:val="00F815B9"/>
    <w:rsid w:val="00F815E8"/>
    <w:rsid w:val="00F8166A"/>
    <w:rsid w:val="00F81675"/>
    <w:rsid w:val="00F81679"/>
    <w:rsid w:val="00F8168A"/>
    <w:rsid w:val="00F81691"/>
    <w:rsid w:val="00F816B0"/>
    <w:rsid w:val="00F81744"/>
    <w:rsid w:val="00F8177D"/>
    <w:rsid w:val="00F81783"/>
    <w:rsid w:val="00F817E9"/>
    <w:rsid w:val="00F8181B"/>
    <w:rsid w:val="00F8183C"/>
    <w:rsid w:val="00F8185B"/>
    <w:rsid w:val="00F81867"/>
    <w:rsid w:val="00F81885"/>
    <w:rsid w:val="00F818E5"/>
    <w:rsid w:val="00F818EF"/>
    <w:rsid w:val="00F818F8"/>
    <w:rsid w:val="00F81939"/>
    <w:rsid w:val="00F8193F"/>
    <w:rsid w:val="00F81946"/>
    <w:rsid w:val="00F8194A"/>
    <w:rsid w:val="00F8197F"/>
    <w:rsid w:val="00F8199F"/>
    <w:rsid w:val="00F81A1E"/>
    <w:rsid w:val="00F81A87"/>
    <w:rsid w:val="00F81B2C"/>
    <w:rsid w:val="00F81B7C"/>
    <w:rsid w:val="00F81B92"/>
    <w:rsid w:val="00F81BA9"/>
    <w:rsid w:val="00F81BB6"/>
    <w:rsid w:val="00F81C18"/>
    <w:rsid w:val="00F81C2A"/>
    <w:rsid w:val="00F81C59"/>
    <w:rsid w:val="00F81C63"/>
    <w:rsid w:val="00F81C6B"/>
    <w:rsid w:val="00F81C6D"/>
    <w:rsid w:val="00F81C8A"/>
    <w:rsid w:val="00F81C8C"/>
    <w:rsid w:val="00F81C91"/>
    <w:rsid w:val="00F81C9E"/>
    <w:rsid w:val="00F81CC6"/>
    <w:rsid w:val="00F81CED"/>
    <w:rsid w:val="00F81D55"/>
    <w:rsid w:val="00F81D6B"/>
    <w:rsid w:val="00F81D9D"/>
    <w:rsid w:val="00F81D9F"/>
    <w:rsid w:val="00F81DC9"/>
    <w:rsid w:val="00F81DE6"/>
    <w:rsid w:val="00F81DEA"/>
    <w:rsid w:val="00F81E36"/>
    <w:rsid w:val="00F81E81"/>
    <w:rsid w:val="00F81EE0"/>
    <w:rsid w:val="00F81F18"/>
    <w:rsid w:val="00F81F1B"/>
    <w:rsid w:val="00F81F2E"/>
    <w:rsid w:val="00F81F31"/>
    <w:rsid w:val="00F81F3F"/>
    <w:rsid w:val="00F81F63"/>
    <w:rsid w:val="00F81F78"/>
    <w:rsid w:val="00F81FFF"/>
    <w:rsid w:val="00F8201E"/>
    <w:rsid w:val="00F82037"/>
    <w:rsid w:val="00F820AB"/>
    <w:rsid w:val="00F82128"/>
    <w:rsid w:val="00F8214C"/>
    <w:rsid w:val="00F8215B"/>
    <w:rsid w:val="00F82170"/>
    <w:rsid w:val="00F82181"/>
    <w:rsid w:val="00F82193"/>
    <w:rsid w:val="00F821AD"/>
    <w:rsid w:val="00F821BB"/>
    <w:rsid w:val="00F821D2"/>
    <w:rsid w:val="00F821FC"/>
    <w:rsid w:val="00F8220A"/>
    <w:rsid w:val="00F8221B"/>
    <w:rsid w:val="00F82224"/>
    <w:rsid w:val="00F82225"/>
    <w:rsid w:val="00F82231"/>
    <w:rsid w:val="00F82254"/>
    <w:rsid w:val="00F82278"/>
    <w:rsid w:val="00F82294"/>
    <w:rsid w:val="00F822AF"/>
    <w:rsid w:val="00F822B1"/>
    <w:rsid w:val="00F822CF"/>
    <w:rsid w:val="00F822EC"/>
    <w:rsid w:val="00F822F3"/>
    <w:rsid w:val="00F82300"/>
    <w:rsid w:val="00F82319"/>
    <w:rsid w:val="00F8234C"/>
    <w:rsid w:val="00F8235C"/>
    <w:rsid w:val="00F82361"/>
    <w:rsid w:val="00F823AC"/>
    <w:rsid w:val="00F823AE"/>
    <w:rsid w:val="00F823D8"/>
    <w:rsid w:val="00F823E6"/>
    <w:rsid w:val="00F8243F"/>
    <w:rsid w:val="00F82477"/>
    <w:rsid w:val="00F824A9"/>
    <w:rsid w:val="00F824F9"/>
    <w:rsid w:val="00F8250A"/>
    <w:rsid w:val="00F82542"/>
    <w:rsid w:val="00F8255C"/>
    <w:rsid w:val="00F82560"/>
    <w:rsid w:val="00F825AB"/>
    <w:rsid w:val="00F825B6"/>
    <w:rsid w:val="00F825CD"/>
    <w:rsid w:val="00F8260E"/>
    <w:rsid w:val="00F8263E"/>
    <w:rsid w:val="00F82695"/>
    <w:rsid w:val="00F826D6"/>
    <w:rsid w:val="00F826F2"/>
    <w:rsid w:val="00F82703"/>
    <w:rsid w:val="00F8271F"/>
    <w:rsid w:val="00F82730"/>
    <w:rsid w:val="00F82733"/>
    <w:rsid w:val="00F8274F"/>
    <w:rsid w:val="00F82755"/>
    <w:rsid w:val="00F82759"/>
    <w:rsid w:val="00F8275D"/>
    <w:rsid w:val="00F827CF"/>
    <w:rsid w:val="00F827D6"/>
    <w:rsid w:val="00F827DC"/>
    <w:rsid w:val="00F827F5"/>
    <w:rsid w:val="00F82848"/>
    <w:rsid w:val="00F8285A"/>
    <w:rsid w:val="00F828A5"/>
    <w:rsid w:val="00F828B6"/>
    <w:rsid w:val="00F82942"/>
    <w:rsid w:val="00F8298B"/>
    <w:rsid w:val="00F829C5"/>
    <w:rsid w:val="00F829D5"/>
    <w:rsid w:val="00F829E2"/>
    <w:rsid w:val="00F82A0A"/>
    <w:rsid w:val="00F82A3B"/>
    <w:rsid w:val="00F82A49"/>
    <w:rsid w:val="00F82A90"/>
    <w:rsid w:val="00F82AAF"/>
    <w:rsid w:val="00F82AF0"/>
    <w:rsid w:val="00F82B65"/>
    <w:rsid w:val="00F82B83"/>
    <w:rsid w:val="00F82BB0"/>
    <w:rsid w:val="00F82BB1"/>
    <w:rsid w:val="00F82BBC"/>
    <w:rsid w:val="00F82BEC"/>
    <w:rsid w:val="00F82BED"/>
    <w:rsid w:val="00F82C3B"/>
    <w:rsid w:val="00F82C74"/>
    <w:rsid w:val="00F82CBE"/>
    <w:rsid w:val="00F82CE6"/>
    <w:rsid w:val="00F82D1F"/>
    <w:rsid w:val="00F82D20"/>
    <w:rsid w:val="00F82D5B"/>
    <w:rsid w:val="00F82D8C"/>
    <w:rsid w:val="00F82DA5"/>
    <w:rsid w:val="00F82DB0"/>
    <w:rsid w:val="00F82E3C"/>
    <w:rsid w:val="00F82E75"/>
    <w:rsid w:val="00F82EE4"/>
    <w:rsid w:val="00F82EEC"/>
    <w:rsid w:val="00F82EF9"/>
    <w:rsid w:val="00F82F1C"/>
    <w:rsid w:val="00F82F3B"/>
    <w:rsid w:val="00F82F42"/>
    <w:rsid w:val="00F82F59"/>
    <w:rsid w:val="00F8300E"/>
    <w:rsid w:val="00F83036"/>
    <w:rsid w:val="00F830A6"/>
    <w:rsid w:val="00F830C2"/>
    <w:rsid w:val="00F830CE"/>
    <w:rsid w:val="00F830D6"/>
    <w:rsid w:val="00F830D8"/>
    <w:rsid w:val="00F83191"/>
    <w:rsid w:val="00F831A0"/>
    <w:rsid w:val="00F831AB"/>
    <w:rsid w:val="00F831E3"/>
    <w:rsid w:val="00F831FE"/>
    <w:rsid w:val="00F8320F"/>
    <w:rsid w:val="00F8321D"/>
    <w:rsid w:val="00F8326B"/>
    <w:rsid w:val="00F83276"/>
    <w:rsid w:val="00F8329E"/>
    <w:rsid w:val="00F832BF"/>
    <w:rsid w:val="00F8333E"/>
    <w:rsid w:val="00F8336A"/>
    <w:rsid w:val="00F83374"/>
    <w:rsid w:val="00F83382"/>
    <w:rsid w:val="00F83388"/>
    <w:rsid w:val="00F833D4"/>
    <w:rsid w:val="00F833F2"/>
    <w:rsid w:val="00F833F3"/>
    <w:rsid w:val="00F8341A"/>
    <w:rsid w:val="00F83441"/>
    <w:rsid w:val="00F83446"/>
    <w:rsid w:val="00F83457"/>
    <w:rsid w:val="00F83466"/>
    <w:rsid w:val="00F834A5"/>
    <w:rsid w:val="00F834B2"/>
    <w:rsid w:val="00F83513"/>
    <w:rsid w:val="00F83552"/>
    <w:rsid w:val="00F83558"/>
    <w:rsid w:val="00F83561"/>
    <w:rsid w:val="00F83567"/>
    <w:rsid w:val="00F835AB"/>
    <w:rsid w:val="00F835E3"/>
    <w:rsid w:val="00F83650"/>
    <w:rsid w:val="00F8367B"/>
    <w:rsid w:val="00F836CC"/>
    <w:rsid w:val="00F8371B"/>
    <w:rsid w:val="00F83734"/>
    <w:rsid w:val="00F8374C"/>
    <w:rsid w:val="00F8376E"/>
    <w:rsid w:val="00F83775"/>
    <w:rsid w:val="00F837CA"/>
    <w:rsid w:val="00F837D2"/>
    <w:rsid w:val="00F837FC"/>
    <w:rsid w:val="00F83800"/>
    <w:rsid w:val="00F83823"/>
    <w:rsid w:val="00F8383B"/>
    <w:rsid w:val="00F83855"/>
    <w:rsid w:val="00F83875"/>
    <w:rsid w:val="00F83891"/>
    <w:rsid w:val="00F838A9"/>
    <w:rsid w:val="00F838BC"/>
    <w:rsid w:val="00F8390B"/>
    <w:rsid w:val="00F83926"/>
    <w:rsid w:val="00F83960"/>
    <w:rsid w:val="00F8398D"/>
    <w:rsid w:val="00F8399A"/>
    <w:rsid w:val="00F839A6"/>
    <w:rsid w:val="00F839C8"/>
    <w:rsid w:val="00F83A1E"/>
    <w:rsid w:val="00F83A25"/>
    <w:rsid w:val="00F83A31"/>
    <w:rsid w:val="00F83A3E"/>
    <w:rsid w:val="00F83A99"/>
    <w:rsid w:val="00F83AAA"/>
    <w:rsid w:val="00F83B08"/>
    <w:rsid w:val="00F83B45"/>
    <w:rsid w:val="00F83B4A"/>
    <w:rsid w:val="00F83BF0"/>
    <w:rsid w:val="00F83C09"/>
    <w:rsid w:val="00F83C60"/>
    <w:rsid w:val="00F83C90"/>
    <w:rsid w:val="00F83CB5"/>
    <w:rsid w:val="00F83CFA"/>
    <w:rsid w:val="00F83D1C"/>
    <w:rsid w:val="00F83D4B"/>
    <w:rsid w:val="00F83D79"/>
    <w:rsid w:val="00F83D7B"/>
    <w:rsid w:val="00F83D84"/>
    <w:rsid w:val="00F83D91"/>
    <w:rsid w:val="00F83D96"/>
    <w:rsid w:val="00F83DA0"/>
    <w:rsid w:val="00F83DAD"/>
    <w:rsid w:val="00F83DF5"/>
    <w:rsid w:val="00F83E1F"/>
    <w:rsid w:val="00F83E3A"/>
    <w:rsid w:val="00F83E4B"/>
    <w:rsid w:val="00F83E9A"/>
    <w:rsid w:val="00F83EBA"/>
    <w:rsid w:val="00F83EFA"/>
    <w:rsid w:val="00F83EFD"/>
    <w:rsid w:val="00F83F34"/>
    <w:rsid w:val="00F83F41"/>
    <w:rsid w:val="00F83FB4"/>
    <w:rsid w:val="00F83FD1"/>
    <w:rsid w:val="00F84008"/>
    <w:rsid w:val="00F84080"/>
    <w:rsid w:val="00F840A7"/>
    <w:rsid w:val="00F840AE"/>
    <w:rsid w:val="00F840E4"/>
    <w:rsid w:val="00F8411F"/>
    <w:rsid w:val="00F84141"/>
    <w:rsid w:val="00F8415B"/>
    <w:rsid w:val="00F84191"/>
    <w:rsid w:val="00F841A6"/>
    <w:rsid w:val="00F841BF"/>
    <w:rsid w:val="00F841D3"/>
    <w:rsid w:val="00F841F1"/>
    <w:rsid w:val="00F841FB"/>
    <w:rsid w:val="00F84203"/>
    <w:rsid w:val="00F84219"/>
    <w:rsid w:val="00F842A8"/>
    <w:rsid w:val="00F84320"/>
    <w:rsid w:val="00F84331"/>
    <w:rsid w:val="00F843CC"/>
    <w:rsid w:val="00F843EC"/>
    <w:rsid w:val="00F843F9"/>
    <w:rsid w:val="00F8442A"/>
    <w:rsid w:val="00F84464"/>
    <w:rsid w:val="00F8446C"/>
    <w:rsid w:val="00F84498"/>
    <w:rsid w:val="00F8449C"/>
    <w:rsid w:val="00F8449F"/>
    <w:rsid w:val="00F844ED"/>
    <w:rsid w:val="00F8450D"/>
    <w:rsid w:val="00F8451F"/>
    <w:rsid w:val="00F84532"/>
    <w:rsid w:val="00F845DB"/>
    <w:rsid w:val="00F845F6"/>
    <w:rsid w:val="00F845FC"/>
    <w:rsid w:val="00F84627"/>
    <w:rsid w:val="00F8464C"/>
    <w:rsid w:val="00F84655"/>
    <w:rsid w:val="00F8466D"/>
    <w:rsid w:val="00F84676"/>
    <w:rsid w:val="00F846C9"/>
    <w:rsid w:val="00F84713"/>
    <w:rsid w:val="00F8473A"/>
    <w:rsid w:val="00F84794"/>
    <w:rsid w:val="00F847B6"/>
    <w:rsid w:val="00F847BF"/>
    <w:rsid w:val="00F847C6"/>
    <w:rsid w:val="00F84826"/>
    <w:rsid w:val="00F8482E"/>
    <w:rsid w:val="00F8482F"/>
    <w:rsid w:val="00F84858"/>
    <w:rsid w:val="00F84873"/>
    <w:rsid w:val="00F8489D"/>
    <w:rsid w:val="00F848CB"/>
    <w:rsid w:val="00F84901"/>
    <w:rsid w:val="00F84917"/>
    <w:rsid w:val="00F8494C"/>
    <w:rsid w:val="00F8497E"/>
    <w:rsid w:val="00F8499A"/>
    <w:rsid w:val="00F849C9"/>
    <w:rsid w:val="00F849CF"/>
    <w:rsid w:val="00F84A7B"/>
    <w:rsid w:val="00F84A8D"/>
    <w:rsid w:val="00F84A99"/>
    <w:rsid w:val="00F84AA9"/>
    <w:rsid w:val="00F84AE9"/>
    <w:rsid w:val="00F84AF8"/>
    <w:rsid w:val="00F84B12"/>
    <w:rsid w:val="00F84B56"/>
    <w:rsid w:val="00F84B96"/>
    <w:rsid w:val="00F84BA2"/>
    <w:rsid w:val="00F84BC2"/>
    <w:rsid w:val="00F84BCD"/>
    <w:rsid w:val="00F84BD6"/>
    <w:rsid w:val="00F84BDF"/>
    <w:rsid w:val="00F84C52"/>
    <w:rsid w:val="00F84C65"/>
    <w:rsid w:val="00F84C76"/>
    <w:rsid w:val="00F84CAB"/>
    <w:rsid w:val="00F84D0C"/>
    <w:rsid w:val="00F84D2F"/>
    <w:rsid w:val="00F84D5A"/>
    <w:rsid w:val="00F84D75"/>
    <w:rsid w:val="00F84DAA"/>
    <w:rsid w:val="00F84DB0"/>
    <w:rsid w:val="00F84DB7"/>
    <w:rsid w:val="00F84DC3"/>
    <w:rsid w:val="00F84DDE"/>
    <w:rsid w:val="00F84E30"/>
    <w:rsid w:val="00F84E31"/>
    <w:rsid w:val="00F84E36"/>
    <w:rsid w:val="00F84E37"/>
    <w:rsid w:val="00F84E76"/>
    <w:rsid w:val="00F84EC2"/>
    <w:rsid w:val="00F84EEC"/>
    <w:rsid w:val="00F84EFE"/>
    <w:rsid w:val="00F84F01"/>
    <w:rsid w:val="00F84F0D"/>
    <w:rsid w:val="00F84F26"/>
    <w:rsid w:val="00F84F30"/>
    <w:rsid w:val="00F84F95"/>
    <w:rsid w:val="00F84FAA"/>
    <w:rsid w:val="00F84FC3"/>
    <w:rsid w:val="00F84FDF"/>
    <w:rsid w:val="00F8502B"/>
    <w:rsid w:val="00F85038"/>
    <w:rsid w:val="00F8503A"/>
    <w:rsid w:val="00F8505E"/>
    <w:rsid w:val="00F850A6"/>
    <w:rsid w:val="00F850C0"/>
    <w:rsid w:val="00F850DE"/>
    <w:rsid w:val="00F850E5"/>
    <w:rsid w:val="00F8510C"/>
    <w:rsid w:val="00F85190"/>
    <w:rsid w:val="00F851A1"/>
    <w:rsid w:val="00F851A4"/>
    <w:rsid w:val="00F851A9"/>
    <w:rsid w:val="00F851AE"/>
    <w:rsid w:val="00F851B3"/>
    <w:rsid w:val="00F85206"/>
    <w:rsid w:val="00F85207"/>
    <w:rsid w:val="00F852AF"/>
    <w:rsid w:val="00F852CB"/>
    <w:rsid w:val="00F852E2"/>
    <w:rsid w:val="00F852EB"/>
    <w:rsid w:val="00F852FA"/>
    <w:rsid w:val="00F85301"/>
    <w:rsid w:val="00F85338"/>
    <w:rsid w:val="00F85356"/>
    <w:rsid w:val="00F85374"/>
    <w:rsid w:val="00F853A1"/>
    <w:rsid w:val="00F853A6"/>
    <w:rsid w:val="00F853B4"/>
    <w:rsid w:val="00F853CB"/>
    <w:rsid w:val="00F85407"/>
    <w:rsid w:val="00F85415"/>
    <w:rsid w:val="00F85422"/>
    <w:rsid w:val="00F85430"/>
    <w:rsid w:val="00F8545A"/>
    <w:rsid w:val="00F85465"/>
    <w:rsid w:val="00F85494"/>
    <w:rsid w:val="00F854BD"/>
    <w:rsid w:val="00F854F7"/>
    <w:rsid w:val="00F85569"/>
    <w:rsid w:val="00F8556F"/>
    <w:rsid w:val="00F8558E"/>
    <w:rsid w:val="00F855AB"/>
    <w:rsid w:val="00F85621"/>
    <w:rsid w:val="00F85635"/>
    <w:rsid w:val="00F8565C"/>
    <w:rsid w:val="00F8565D"/>
    <w:rsid w:val="00F85663"/>
    <w:rsid w:val="00F856CA"/>
    <w:rsid w:val="00F856DE"/>
    <w:rsid w:val="00F856EA"/>
    <w:rsid w:val="00F8571C"/>
    <w:rsid w:val="00F85750"/>
    <w:rsid w:val="00F8577B"/>
    <w:rsid w:val="00F857F8"/>
    <w:rsid w:val="00F8584C"/>
    <w:rsid w:val="00F8584E"/>
    <w:rsid w:val="00F85858"/>
    <w:rsid w:val="00F85917"/>
    <w:rsid w:val="00F85930"/>
    <w:rsid w:val="00F85960"/>
    <w:rsid w:val="00F859D7"/>
    <w:rsid w:val="00F85A05"/>
    <w:rsid w:val="00F85A0B"/>
    <w:rsid w:val="00F85A21"/>
    <w:rsid w:val="00F85ABF"/>
    <w:rsid w:val="00F85AC1"/>
    <w:rsid w:val="00F85ADF"/>
    <w:rsid w:val="00F85AED"/>
    <w:rsid w:val="00F85AFF"/>
    <w:rsid w:val="00F85B23"/>
    <w:rsid w:val="00F85B4F"/>
    <w:rsid w:val="00F85B50"/>
    <w:rsid w:val="00F85BA0"/>
    <w:rsid w:val="00F85BCA"/>
    <w:rsid w:val="00F85BD7"/>
    <w:rsid w:val="00F85BE3"/>
    <w:rsid w:val="00F85BF8"/>
    <w:rsid w:val="00F85C02"/>
    <w:rsid w:val="00F85C16"/>
    <w:rsid w:val="00F85C3E"/>
    <w:rsid w:val="00F85C42"/>
    <w:rsid w:val="00F85C5C"/>
    <w:rsid w:val="00F85C92"/>
    <w:rsid w:val="00F85CA5"/>
    <w:rsid w:val="00F85CA9"/>
    <w:rsid w:val="00F85CE3"/>
    <w:rsid w:val="00F85D2D"/>
    <w:rsid w:val="00F85D61"/>
    <w:rsid w:val="00F85D8A"/>
    <w:rsid w:val="00F85D98"/>
    <w:rsid w:val="00F85DA4"/>
    <w:rsid w:val="00F85DD0"/>
    <w:rsid w:val="00F85DED"/>
    <w:rsid w:val="00F85E1A"/>
    <w:rsid w:val="00F85E1F"/>
    <w:rsid w:val="00F85E85"/>
    <w:rsid w:val="00F85EBC"/>
    <w:rsid w:val="00F85F91"/>
    <w:rsid w:val="00F85FC6"/>
    <w:rsid w:val="00F85FC8"/>
    <w:rsid w:val="00F8601E"/>
    <w:rsid w:val="00F86022"/>
    <w:rsid w:val="00F86034"/>
    <w:rsid w:val="00F86086"/>
    <w:rsid w:val="00F860C9"/>
    <w:rsid w:val="00F860FD"/>
    <w:rsid w:val="00F86107"/>
    <w:rsid w:val="00F8610F"/>
    <w:rsid w:val="00F8616B"/>
    <w:rsid w:val="00F86180"/>
    <w:rsid w:val="00F86184"/>
    <w:rsid w:val="00F8623C"/>
    <w:rsid w:val="00F8624D"/>
    <w:rsid w:val="00F86259"/>
    <w:rsid w:val="00F8626B"/>
    <w:rsid w:val="00F86286"/>
    <w:rsid w:val="00F86289"/>
    <w:rsid w:val="00F862A5"/>
    <w:rsid w:val="00F862D1"/>
    <w:rsid w:val="00F86327"/>
    <w:rsid w:val="00F86386"/>
    <w:rsid w:val="00F8638D"/>
    <w:rsid w:val="00F863B8"/>
    <w:rsid w:val="00F86440"/>
    <w:rsid w:val="00F86449"/>
    <w:rsid w:val="00F8645A"/>
    <w:rsid w:val="00F86461"/>
    <w:rsid w:val="00F86475"/>
    <w:rsid w:val="00F86479"/>
    <w:rsid w:val="00F8647A"/>
    <w:rsid w:val="00F86484"/>
    <w:rsid w:val="00F8648E"/>
    <w:rsid w:val="00F8649B"/>
    <w:rsid w:val="00F864D0"/>
    <w:rsid w:val="00F864EB"/>
    <w:rsid w:val="00F86503"/>
    <w:rsid w:val="00F86514"/>
    <w:rsid w:val="00F8651A"/>
    <w:rsid w:val="00F86557"/>
    <w:rsid w:val="00F8655C"/>
    <w:rsid w:val="00F86581"/>
    <w:rsid w:val="00F865D0"/>
    <w:rsid w:val="00F865F8"/>
    <w:rsid w:val="00F8660C"/>
    <w:rsid w:val="00F8669E"/>
    <w:rsid w:val="00F866C7"/>
    <w:rsid w:val="00F866F0"/>
    <w:rsid w:val="00F86768"/>
    <w:rsid w:val="00F867A6"/>
    <w:rsid w:val="00F867C9"/>
    <w:rsid w:val="00F867D1"/>
    <w:rsid w:val="00F867EA"/>
    <w:rsid w:val="00F868B4"/>
    <w:rsid w:val="00F868BB"/>
    <w:rsid w:val="00F868C0"/>
    <w:rsid w:val="00F868D4"/>
    <w:rsid w:val="00F868E6"/>
    <w:rsid w:val="00F868F6"/>
    <w:rsid w:val="00F86909"/>
    <w:rsid w:val="00F8696F"/>
    <w:rsid w:val="00F869AB"/>
    <w:rsid w:val="00F869B8"/>
    <w:rsid w:val="00F86A1D"/>
    <w:rsid w:val="00F86A29"/>
    <w:rsid w:val="00F86A54"/>
    <w:rsid w:val="00F86A5E"/>
    <w:rsid w:val="00F86A87"/>
    <w:rsid w:val="00F86A90"/>
    <w:rsid w:val="00F86A97"/>
    <w:rsid w:val="00F86A9F"/>
    <w:rsid w:val="00F86AB9"/>
    <w:rsid w:val="00F86ABF"/>
    <w:rsid w:val="00F86ADD"/>
    <w:rsid w:val="00F86B08"/>
    <w:rsid w:val="00F86B26"/>
    <w:rsid w:val="00F86B4C"/>
    <w:rsid w:val="00F86B57"/>
    <w:rsid w:val="00F86B70"/>
    <w:rsid w:val="00F86B73"/>
    <w:rsid w:val="00F86B8C"/>
    <w:rsid w:val="00F86BB3"/>
    <w:rsid w:val="00F86BEF"/>
    <w:rsid w:val="00F86BF9"/>
    <w:rsid w:val="00F86C16"/>
    <w:rsid w:val="00F86C2E"/>
    <w:rsid w:val="00F86CE9"/>
    <w:rsid w:val="00F86D4B"/>
    <w:rsid w:val="00F86D4F"/>
    <w:rsid w:val="00F86D56"/>
    <w:rsid w:val="00F86D74"/>
    <w:rsid w:val="00F86D83"/>
    <w:rsid w:val="00F86D84"/>
    <w:rsid w:val="00F86D8A"/>
    <w:rsid w:val="00F86DAD"/>
    <w:rsid w:val="00F86DCC"/>
    <w:rsid w:val="00F86DD6"/>
    <w:rsid w:val="00F86DDE"/>
    <w:rsid w:val="00F86E08"/>
    <w:rsid w:val="00F86E74"/>
    <w:rsid w:val="00F86EE2"/>
    <w:rsid w:val="00F86EF5"/>
    <w:rsid w:val="00F86F11"/>
    <w:rsid w:val="00F86F1A"/>
    <w:rsid w:val="00F86F5F"/>
    <w:rsid w:val="00F86F6D"/>
    <w:rsid w:val="00F86F6E"/>
    <w:rsid w:val="00F86F98"/>
    <w:rsid w:val="00F86FC9"/>
    <w:rsid w:val="00F870A6"/>
    <w:rsid w:val="00F870C8"/>
    <w:rsid w:val="00F870D6"/>
    <w:rsid w:val="00F87160"/>
    <w:rsid w:val="00F87163"/>
    <w:rsid w:val="00F871AB"/>
    <w:rsid w:val="00F871EF"/>
    <w:rsid w:val="00F871F1"/>
    <w:rsid w:val="00F8726F"/>
    <w:rsid w:val="00F87289"/>
    <w:rsid w:val="00F872ED"/>
    <w:rsid w:val="00F8730A"/>
    <w:rsid w:val="00F873D2"/>
    <w:rsid w:val="00F873F2"/>
    <w:rsid w:val="00F87409"/>
    <w:rsid w:val="00F87410"/>
    <w:rsid w:val="00F87448"/>
    <w:rsid w:val="00F87453"/>
    <w:rsid w:val="00F87454"/>
    <w:rsid w:val="00F87465"/>
    <w:rsid w:val="00F8746F"/>
    <w:rsid w:val="00F87481"/>
    <w:rsid w:val="00F874AA"/>
    <w:rsid w:val="00F8750C"/>
    <w:rsid w:val="00F8753E"/>
    <w:rsid w:val="00F875C2"/>
    <w:rsid w:val="00F875DF"/>
    <w:rsid w:val="00F8760B"/>
    <w:rsid w:val="00F87691"/>
    <w:rsid w:val="00F876FE"/>
    <w:rsid w:val="00F87788"/>
    <w:rsid w:val="00F87798"/>
    <w:rsid w:val="00F877D1"/>
    <w:rsid w:val="00F877E0"/>
    <w:rsid w:val="00F87821"/>
    <w:rsid w:val="00F87852"/>
    <w:rsid w:val="00F8785B"/>
    <w:rsid w:val="00F87896"/>
    <w:rsid w:val="00F878DE"/>
    <w:rsid w:val="00F8792A"/>
    <w:rsid w:val="00F8792B"/>
    <w:rsid w:val="00F8798F"/>
    <w:rsid w:val="00F87A26"/>
    <w:rsid w:val="00F87A3E"/>
    <w:rsid w:val="00F87ABB"/>
    <w:rsid w:val="00F87AC0"/>
    <w:rsid w:val="00F87AF9"/>
    <w:rsid w:val="00F87B05"/>
    <w:rsid w:val="00F87B4A"/>
    <w:rsid w:val="00F87B7D"/>
    <w:rsid w:val="00F87B7F"/>
    <w:rsid w:val="00F87BA1"/>
    <w:rsid w:val="00F87BC4"/>
    <w:rsid w:val="00F87C41"/>
    <w:rsid w:val="00F87C70"/>
    <w:rsid w:val="00F87C85"/>
    <w:rsid w:val="00F87CB9"/>
    <w:rsid w:val="00F87CBF"/>
    <w:rsid w:val="00F87CC3"/>
    <w:rsid w:val="00F87CD9"/>
    <w:rsid w:val="00F87CE5"/>
    <w:rsid w:val="00F87D03"/>
    <w:rsid w:val="00F87D08"/>
    <w:rsid w:val="00F87D96"/>
    <w:rsid w:val="00F87DC8"/>
    <w:rsid w:val="00F87DF7"/>
    <w:rsid w:val="00F87DFC"/>
    <w:rsid w:val="00F87E32"/>
    <w:rsid w:val="00F87E48"/>
    <w:rsid w:val="00F87E4A"/>
    <w:rsid w:val="00F87E9E"/>
    <w:rsid w:val="00F87ED1"/>
    <w:rsid w:val="00F87ED8"/>
    <w:rsid w:val="00F87F59"/>
    <w:rsid w:val="00F87F6C"/>
    <w:rsid w:val="00F87F73"/>
    <w:rsid w:val="00F87F91"/>
    <w:rsid w:val="00F87F9C"/>
    <w:rsid w:val="00F87FA2"/>
    <w:rsid w:val="00F87FB2"/>
    <w:rsid w:val="00F87FBC"/>
    <w:rsid w:val="00F9004F"/>
    <w:rsid w:val="00F9008A"/>
    <w:rsid w:val="00F900C2"/>
    <w:rsid w:val="00F90110"/>
    <w:rsid w:val="00F9017F"/>
    <w:rsid w:val="00F901DF"/>
    <w:rsid w:val="00F901F4"/>
    <w:rsid w:val="00F901FB"/>
    <w:rsid w:val="00F90275"/>
    <w:rsid w:val="00F902D5"/>
    <w:rsid w:val="00F9030D"/>
    <w:rsid w:val="00F90341"/>
    <w:rsid w:val="00F90342"/>
    <w:rsid w:val="00F90378"/>
    <w:rsid w:val="00F903A2"/>
    <w:rsid w:val="00F903B5"/>
    <w:rsid w:val="00F903E3"/>
    <w:rsid w:val="00F90443"/>
    <w:rsid w:val="00F90457"/>
    <w:rsid w:val="00F90482"/>
    <w:rsid w:val="00F90485"/>
    <w:rsid w:val="00F904C1"/>
    <w:rsid w:val="00F90504"/>
    <w:rsid w:val="00F905A5"/>
    <w:rsid w:val="00F9060F"/>
    <w:rsid w:val="00F90610"/>
    <w:rsid w:val="00F90630"/>
    <w:rsid w:val="00F90655"/>
    <w:rsid w:val="00F9065A"/>
    <w:rsid w:val="00F9066C"/>
    <w:rsid w:val="00F906BA"/>
    <w:rsid w:val="00F90722"/>
    <w:rsid w:val="00F907E6"/>
    <w:rsid w:val="00F907F1"/>
    <w:rsid w:val="00F90817"/>
    <w:rsid w:val="00F9085B"/>
    <w:rsid w:val="00F9086B"/>
    <w:rsid w:val="00F9089B"/>
    <w:rsid w:val="00F908AE"/>
    <w:rsid w:val="00F908B0"/>
    <w:rsid w:val="00F908C0"/>
    <w:rsid w:val="00F908C5"/>
    <w:rsid w:val="00F908CB"/>
    <w:rsid w:val="00F90901"/>
    <w:rsid w:val="00F90940"/>
    <w:rsid w:val="00F90989"/>
    <w:rsid w:val="00F909C1"/>
    <w:rsid w:val="00F90A01"/>
    <w:rsid w:val="00F90A3B"/>
    <w:rsid w:val="00F90A96"/>
    <w:rsid w:val="00F90AA1"/>
    <w:rsid w:val="00F90AB1"/>
    <w:rsid w:val="00F90ACB"/>
    <w:rsid w:val="00F90ACC"/>
    <w:rsid w:val="00F90B0B"/>
    <w:rsid w:val="00F90B1D"/>
    <w:rsid w:val="00F90B2A"/>
    <w:rsid w:val="00F90B32"/>
    <w:rsid w:val="00F90B37"/>
    <w:rsid w:val="00F90B3A"/>
    <w:rsid w:val="00F90B8F"/>
    <w:rsid w:val="00F90BF0"/>
    <w:rsid w:val="00F90C0E"/>
    <w:rsid w:val="00F90C17"/>
    <w:rsid w:val="00F90C33"/>
    <w:rsid w:val="00F90CE1"/>
    <w:rsid w:val="00F90CF4"/>
    <w:rsid w:val="00F90CFA"/>
    <w:rsid w:val="00F90D16"/>
    <w:rsid w:val="00F90D2B"/>
    <w:rsid w:val="00F90D32"/>
    <w:rsid w:val="00F90D5B"/>
    <w:rsid w:val="00F90D6B"/>
    <w:rsid w:val="00F90DC9"/>
    <w:rsid w:val="00F90E03"/>
    <w:rsid w:val="00F90E3C"/>
    <w:rsid w:val="00F90E7C"/>
    <w:rsid w:val="00F90E90"/>
    <w:rsid w:val="00F90E9C"/>
    <w:rsid w:val="00F90EDB"/>
    <w:rsid w:val="00F90EEE"/>
    <w:rsid w:val="00F90F32"/>
    <w:rsid w:val="00F90F3C"/>
    <w:rsid w:val="00F90F61"/>
    <w:rsid w:val="00F90F6C"/>
    <w:rsid w:val="00F90FCD"/>
    <w:rsid w:val="00F90FE7"/>
    <w:rsid w:val="00F90FF2"/>
    <w:rsid w:val="00F90FFD"/>
    <w:rsid w:val="00F91015"/>
    <w:rsid w:val="00F9102F"/>
    <w:rsid w:val="00F91040"/>
    <w:rsid w:val="00F9105B"/>
    <w:rsid w:val="00F9106D"/>
    <w:rsid w:val="00F9106F"/>
    <w:rsid w:val="00F91071"/>
    <w:rsid w:val="00F91072"/>
    <w:rsid w:val="00F91078"/>
    <w:rsid w:val="00F910E0"/>
    <w:rsid w:val="00F91156"/>
    <w:rsid w:val="00F91167"/>
    <w:rsid w:val="00F9118D"/>
    <w:rsid w:val="00F911A8"/>
    <w:rsid w:val="00F911B4"/>
    <w:rsid w:val="00F911B8"/>
    <w:rsid w:val="00F911C1"/>
    <w:rsid w:val="00F911C2"/>
    <w:rsid w:val="00F91235"/>
    <w:rsid w:val="00F9127A"/>
    <w:rsid w:val="00F912C8"/>
    <w:rsid w:val="00F912F0"/>
    <w:rsid w:val="00F91323"/>
    <w:rsid w:val="00F91329"/>
    <w:rsid w:val="00F91332"/>
    <w:rsid w:val="00F91360"/>
    <w:rsid w:val="00F9137F"/>
    <w:rsid w:val="00F913AA"/>
    <w:rsid w:val="00F913B2"/>
    <w:rsid w:val="00F913B6"/>
    <w:rsid w:val="00F913BD"/>
    <w:rsid w:val="00F913CB"/>
    <w:rsid w:val="00F91400"/>
    <w:rsid w:val="00F91415"/>
    <w:rsid w:val="00F91462"/>
    <w:rsid w:val="00F914A6"/>
    <w:rsid w:val="00F914D7"/>
    <w:rsid w:val="00F914F4"/>
    <w:rsid w:val="00F914F8"/>
    <w:rsid w:val="00F91531"/>
    <w:rsid w:val="00F91553"/>
    <w:rsid w:val="00F91559"/>
    <w:rsid w:val="00F9155D"/>
    <w:rsid w:val="00F91581"/>
    <w:rsid w:val="00F9158B"/>
    <w:rsid w:val="00F915AA"/>
    <w:rsid w:val="00F915D5"/>
    <w:rsid w:val="00F915E5"/>
    <w:rsid w:val="00F915F3"/>
    <w:rsid w:val="00F91602"/>
    <w:rsid w:val="00F91614"/>
    <w:rsid w:val="00F91615"/>
    <w:rsid w:val="00F91666"/>
    <w:rsid w:val="00F91684"/>
    <w:rsid w:val="00F916BA"/>
    <w:rsid w:val="00F916DB"/>
    <w:rsid w:val="00F916E6"/>
    <w:rsid w:val="00F91710"/>
    <w:rsid w:val="00F91782"/>
    <w:rsid w:val="00F91786"/>
    <w:rsid w:val="00F917B2"/>
    <w:rsid w:val="00F9180E"/>
    <w:rsid w:val="00F9187C"/>
    <w:rsid w:val="00F91887"/>
    <w:rsid w:val="00F918AB"/>
    <w:rsid w:val="00F918BB"/>
    <w:rsid w:val="00F918ED"/>
    <w:rsid w:val="00F918EF"/>
    <w:rsid w:val="00F918FB"/>
    <w:rsid w:val="00F91943"/>
    <w:rsid w:val="00F9194B"/>
    <w:rsid w:val="00F9197B"/>
    <w:rsid w:val="00F919A1"/>
    <w:rsid w:val="00F919B5"/>
    <w:rsid w:val="00F91A1C"/>
    <w:rsid w:val="00F91A36"/>
    <w:rsid w:val="00F91A43"/>
    <w:rsid w:val="00F91A58"/>
    <w:rsid w:val="00F91A71"/>
    <w:rsid w:val="00F91B21"/>
    <w:rsid w:val="00F91B37"/>
    <w:rsid w:val="00F91BAC"/>
    <w:rsid w:val="00F91BB8"/>
    <w:rsid w:val="00F91BD6"/>
    <w:rsid w:val="00F91BF6"/>
    <w:rsid w:val="00F91C08"/>
    <w:rsid w:val="00F91C1C"/>
    <w:rsid w:val="00F91C1F"/>
    <w:rsid w:val="00F91C26"/>
    <w:rsid w:val="00F91C75"/>
    <w:rsid w:val="00F91CC5"/>
    <w:rsid w:val="00F91CD4"/>
    <w:rsid w:val="00F91CD6"/>
    <w:rsid w:val="00F91CEB"/>
    <w:rsid w:val="00F91D04"/>
    <w:rsid w:val="00F91D09"/>
    <w:rsid w:val="00F91D0C"/>
    <w:rsid w:val="00F91DA7"/>
    <w:rsid w:val="00F91DBB"/>
    <w:rsid w:val="00F91E14"/>
    <w:rsid w:val="00F91E54"/>
    <w:rsid w:val="00F91E80"/>
    <w:rsid w:val="00F91E81"/>
    <w:rsid w:val="00F91E85"/>
    <w:rsid w:val="00F91E97"/>
    <w:rsid w:val="00F91EA4"/>
    <w:rsid w:val="00F91EC2"/>
    <w:rsid w:val="00F91EC5"/>
    <w:rsid w:val="00F91EEA"/>
    <w:rsid w:val="00F91F07"/>
    <w:rsid w:val="00F91F08"/>
    <w:rsid w:val="00F91F15"/>
    <w:rsid w:val="00F91F31"/>
    <w:rsid w:val="00F91F53"/>
    <w:rsid w:val="00F91F6F"/>
    <w:rsid w:val="00F91FA9"/>
    <w:rsid w:val="00F91FBF"/>
    <w:rsid w:val="00F91FC1"/>
    <w:rsid w:val="00F91FC6"/>
    <w:rsid w:val="00F91FEE"/>
    <w:rsid w:val="00F92002"/>
    <w:rsid w:val="00F92007"/>
    <w:rsid w:val="00F9201A"/>
    <w:rsid w:val="00F92043"/>
    <w:rsid w:val="00F9208C"/>
    <w:rsid w:val="00F9209E"/>
    <w:rsid w:val="00F920B4"/>
    <w:rsid w:val="00F920BC"/>
    <w:rsid w:val="00F920C1"/>
    <w:rsid w:val="00F920DB"/>
    <w:rsid w:val="00F920E2"/>
    <w:rsid w:val="00F92116"/>
    <w:rsid w:val="00F92126"/>
    <w:rsid w:val="00F9212B"/>
    <w:rsid w:val="00F92131"/>
    <w:rsid w:val="00F9218F"/>
    <w:rsid w:val="00F92202"/>
    <w:rsid w:val="00F9220A"/>
    <w:rsid w:val="00F92240"/>
    <w:rsid w:val="00F92249"/>
    <w:rsid w:val="00F92252"/>
    <w:rsid w:val="00F92269"/>
    <w:rsid w:val="00F92294"/>
    <w:rsid w:val="00F922AB"/>
    <w:rsid w:val="00F922CA"/>
    <w:rsid w:val="00F922D4"/>
    <w:rsid w:val="00F922DA"/>
    <w:rsid w:val="00F92319"/>
    <w:rsid w:val="00F9232E"/>
    <w:rsid w:val="00F9234E"/>
    <w:rsid w:val="00F9236E"/>
    <w:rsid w:val="00F9239B"/>
    <w:rsid w:val="00F923AE"/>
    <w:rsid w:val="00F923FE"/>
    <w:rsid w:val="00F9244B"/>
    <w:rsid w:val="00F924AB"/>
    <w:rsid w:val="00F924B4"/>
    <w:rsid w:val="00F924EA"/>
    <w:rsid w:val="00F92529"/>
    <w:rsid w:val="00F92591"/>
    <w:rsid w:val="00F925AA"/>
    <w:rsid w:val="00F925BB"/>
    <w:rsid w:val="00F925C9"/>
    <w:rsid w:val="00F925D2"/>
    <w:rsid w:val="00F92602"/>
    <w:rsid w:val="00F92610"/>
    <w:rsid w:val="00F9263C"/>
    <w:rsid w:val="00F92686"/>
    <w:rsid w:val="00F926D3"/>
    <w:rsid w:val="00F926EC"/>
    <w:rsid w:val="00F92758"/>
    <w:rsid w:val="00F92768"/>
    <w:rsid w:val="00F92796"/>
    <w:rsid w:val="00F927A3"/>
    <w:rsid w:val="00F927FB"/>
    <w:rsid w:val="00F9282D"/>
    <w:rsid w:val="00F9283F"/>
    <w:rsid w:val="00F9288C"/>
    <w:rsid w:val="00F928B8"/>
    <w:rsid w:val="00F928BA"/>
    <w:rsid w:val="00F928F4"/>
    <w:rsid w:val="00F92928"/>
    <w:rsid w:val="00F92977"/>
    <w:rsid w:val="00F929AF"/>
    <w:rsid w:val="00F929DB"/>
    <w:rsid w:val="00F929EA"/>
    <w:rsid w:val="00F92A18"/>
    <w:rsid w:val="00F92A22"/>
    <w:rsid w:val="00F92A42"/>
    <w:rsid w:val="00F92A57"/>
    <w:rsid w:val="00F92A59"/>
    <w:rsid w:val="00F92A61"/>
    <w:rsid w:val="00F92A88"/>
    <w:rsid w:val="00F92A95"/>
    <w:rsid w:val="00F92AB2"/>
    <w:rsid w:val="00F92AEF"/>
    <w:rsid w:val="00F92B49"/>
    <w:rsid w:val="00F92B78"/>
    <w:rsid w:val="00F92B8C"/>
    <w:rsid w:val="00F92B92"/>
    <w:rsid w:val="00F92BCE"/>
    <w:rsid w:val="00F92BF6"/>
    <w:rsid w:val="00F92BFC"/>
    <w:rsid w:val="00F92C06"/>
    <w:rsid w:val="00F92C5D"/>
    <w:rsid w:val="00F92C63"/>
    <w:rsid w:val="00F92CA6"/>
    <w:rsid w:val="00F92CC7"/>
    <w:rsid w:val="00F92D09"/>
    <w:rsid w:val="00F92D43"/>
    <w:rsid w:val="00F92D4F"/>
    <w:rsid w:val="00F92DA0"/>
    <w:rsid w:val="00F92DBF"/>
    <w:rsid w:val="00F92E0C"/>
    <w:rsid w:val="00F92E28"/>
    <w:rsid w:val="00F92E3D"/>
    <w:rsid w:val="00F92E7D"/>
    <w:rsid w:val="00F92E8C"/>
    <w:rsid w:val="00F92E97"/>
    <w:rsid w:val="00F92E9B"/>
    <w:rsid w:val="00F92EA6"/>
    <w:rsid w:val="00F92EAE"/>
    <w:rsid w:val="00F92EF5"/>
    <w:rsid w:val="00F92EFE"/>
    <w:rsid w:val="00F92F6E"/>
    <w:rsid w:val="00F92F9A"/>
    <w:rsid w:val="00F92FAD"/>
    <w:rsid w:val="00F93023"/>
    <w:rsid w:val="00F9305A"/>
    <w:rsid w:val="00F9306F"/>
    <w:rsid w:val="00F93097"/>
    <w:rsid w:val="00F930B6"/>
    <w:rsid w:val="00F930C1"/>
    <w:rsid w:val="00F930CD"/>
    <w:rsid w:val="00F930EA"/>
    <w:rsid w:val="00F930FF"/>
    <w:rsid w:val="00F93150"/>
    <w:rsid w:val="00F932CE"/>
    <w:rsid w:val="00F932D4"/>
    <w:rsid w:val="00F932E7"/>
    <w:rsid w:val="00F93301"/>
    <w:rsid w:val="00F93356"/>
    <w:rsid w:val="00F93396"/>
    <w:rsid w:val="00F9339E"/>
    <w:rsid w:val="00F933ED"/>
    <w:rsid w:val="00F93402"/>
    <w:rsid w:val="00F93423"/>
    <w:rsid w:val="00F93441"/>
    <w:rsid w:val="00F93466"/>
    <w:rsid w:val="00F9347F"/>
    <w:rsid w:val="00F9348B"/>
    <w:rsid w:val="00F934EB"/>
    <w:rsid w:val="00F93548"/>
    <w:rsid w:val="00F93567"/>
    <w:rsid w:val="00F9359E"/>
    <w:rsid w:val="00F935DB"/>
    <w:rsid w:val="00F935E2"/>
    <w:rsid w:val="00F93626"/>
    <w:rsid w:val="00F9362D"/>
    <w:rsid w:val="00F93693"/>
    <w:rsid w:val="00F936AC"/>
    <w:rsid w:val="00F936B4"/>
    <w:rsid w:val="00F936B8"/>
    <w:rsid w:val="00F936E9"/>
    <w:rsid w:val="00F936FE"/>
    <w:rsid w:val="00F93717"/>
    <w:rsid w:val="00F9372D"/>
    <w:rsid w:val="00F9373C"/>
    <w:rsid w:val="00F9375A"/>
    <w:rsid w:val="00F9377D"/>
    <w:rsid w:val="00F93792"/>
    <w:rsid w:val="00F9379F"/>
    <w:rsid w:val="00F93806"/>
    <w:rsid w:val="00F9381D"/>
    <w:rsid w:val="00F93866"/>
    <w:rsid w:val="00F93884"/>
    <w:rsid w:val="00F93892"/>
    <w:rsid w:val="00F938A1"/>
    <w:rsid w:val="00F938E3"/>
    <w:rsid w:val="00F938E7"/>
    <w:rsid w:val="00F9393C"/>
    <w:rsid w:val="00F9397C"/>
    <w:rsid w:val="00F939A9"/>
    <w:rsid w:val="00F939BE"/>
    <w:rsid w:val="00F939DA"/>
    <w:rsid w:val="00F93A2E"/>
    <w:rsid w:val="00F93A56"/>
    <w:rsid w:val="00F93AE7"/>
    <w:rsid w:val="00F93B0F"/>
    <w:rsid w:val="00F93B15"/>
    <w:rsid w:val="00F93B78"/>
    <w:rsid w:val="00F93BAD"/>
    <w:rsid w:val="00F93C09"/>
    <w:rsid w:val="00F93C2C"/>
    <w:rsid w:val="00F93C57"/>
    <w:rsid w:val="00F93CB2"/>
    <w:rsid w:val="00F93CBF"/>
    <w:rsid w:val="00F93CEF"/>
    <w:rsid w:val="00F93CFA"/>
    <w:rsid w:val="00F93D75"/>
    <w:rsid w:val="00F93D83"/>
    <w:rsid w:val="00F93DBB"/>
    <w:rsid w:val="00F93DF7"/>
    <w:rsid w:val="00F93E7B"/>
    <w:rsid w:val="00F93EA1"/>
    <w:rsid w:val="00F93EC6"/>
    <w:rsid w:val="00F93ED7"/>
    <w:rsid w:val="00F93EF0"/>
    <w:rsid w:val="00F93F09"/>
    <w:rsid w:val="00F93F0B"/>
    <w:rsid w:val="00F93F18"/>
    <w:rsid w:val="00F93F27"/>
    <w:rsid w:val="00F93F48"/>
    <w:rsid w:val="00F93F4D"/>
    <w:rsid w:val="00F93F4E"/>
    <w:rsid w:val="00F93F84"/>
    <w:rsid w:val="00F93FA5"/>
    <w:rsid w:val="00F93FB0"/>
    <w:rsid w:val="00F93FCB"/>
    <w:rsid w:val="00F93FF5"/>
    <w:rsid w:val="00F94014"/>
    <w:rsid w:val="00F9407F"/>
    <w:rsid w:val="00F940A2"/>
    <w:rsid w:val="00F940CB"/>
    <w:rsid w:val="00F940FF"/>
    <w:rsid w:val="00F9412B"/>
    <w:rsid w:val="00F94136"/>
    <w:rsid w:val="00F941AB"/>
    <w:rsid w:val="00F941C5"/>
    <w:rsid w:val="00F941CB"/>
    <w:rsid w:val="00F941ED"/>
    <w:rsid w:val="00F941F3"/>
    <w:rsid w:val="00F9424B"/>
    <w:rsid w:val="00F94280"/>
    <w:rsid w:val="00F94285"/>
    <w:rsid w:val="00F942D2"/>
    <w:rsid w:val="00F94315"/>
    <w:rsid w:val="00F94332"/>
    <w:rsid w:val="00F94344"/>
    <w:rsid w:val="00F94357"/>
    <w:rsid w:val="00F94395"/>
    <w:rsid w:val="00F9439F"/>
    <w:rsid w:val="00F943AF"/>
    <w:rsid w:val="00F943C2"/>
    <w:rsid w:val="00F943D4"/>
    <w:rsid w:val="00F943FA"/>
    <w:rsid w:val="00F943FF"/>
    <w:rsid w:val="00F9442A"/>
    <w:rsid w:val="00F9442B"/>
    <w:rsid w:val="00F94460"/>
    <w:rsid w:val="00F94468"/>
    <w:rsid w:val="00F94478"/>
    <w:rsid w:val="00F94493"/>
    <w:rsid w:val="00F9449F"/>
    <w:rsid w:val="00F944DB"/>
    <w:rsid w:val="00F944ED"/>
    <w:rsid w:val="00F94542"/>
    <w:rsid w:val="00F9454B"/>
    <w:rsid w:val="00F94560"/>
    <w:rsid w:val="00F945EE"/>
    <w:rsid w:val="00F945F9"/>
    <w:rsid w:val="00F9460C"/>
    <w:rsid w:val="00F94612"/>
    <w:rsid w:val="00F94635"/>
    <w:rsid w:val="00F9463F"/>
    <w:rsid w:val="00F946AA"/>
    <w:rsid w:val="00F946B2"/>
    <w:rsid w:val="00F946EE"/>
    <w:rsid w:val="00F94763"/>
    <w:rsid w:val="00F947BC"/>
    <w:rsid w:val="00F947D3"/>
    <w:rsid w:val="00F947F8"/>
    <w:rsid w:val="00F948A3"/>
    <w:rsid w:val="00F948DB"/>
    <w:rsid w:val="00F948EC"/>
    <w:rsid w:val="00F94966"/>
    <w:rsid w:val="00F94969"/>
    <w:rsid w:val="00F94975"/>
    <w:rsid w:val="00F9497F"/>
    <w:rsid w:val="00F94994"/>
    <w:rsid w:val="00F949BA"/>
    <w:rsid w:val="00F949F2"/>
    <w:rsid w:val="00F94A1B"/>
    <w:rsid w:val="00F94ACC"/>
    <w:rsid w:val="00F94ACF"/>
    <w:rsid w:val="00F94B74"/>
    <w:rsid w:val="00F94B7E"/>
    <w:rsid w:val="00F94B90"/>
    <w:rsid w:val="00F94BB1"/>
    <w:rsid w:val="00F94BB5"/>
    <w:rsid w:val="00F94BE1"/>
    <w:rsid w:val="00F94C22"/>
    <w:rsid w:val="00F94C23"/>
    <w:rsid w:val="00F94C27"/>
    <w:rsid w:val="00F94C2D"/>
    <w:rsid w:val="00F94C3B"/>
    <w:rsid w:val="00F94C4B"/>
    <w:rsid w:val="00F94C57"/>
    <w:rsid w:val="00F94C5D"/>
    <w:rsid w:val="00F94CD7"/>
    <w:rsid w:val="00F94D00"/>
    <w:rsid w:val="00F94D28"/>
    <w:rsid w:val="00F94D51"/>
    <w:rsid w:val="00F94D6A"/>
    <w:rsid w:val="00F94D6D"/>
    <w:rsid w:val="00F94D76"/>
    <w:rsid w:val="00F94D9F"/>
    <w:rsid w:val="00F94DC9"/>
    <w:rsid w:val="00F94DCD"/>
    <w:rsid w:val="00F94DEA"/>
    <w:rsid w:val="00F94E19"/>
    <w:rsid w:val="00F94E1B"/>
    <w:rsid w:val="00F94E64"/>
    <w:rsid w:val="00F94E99"/>
    <w:rsid w:val="00F94EB9"/>
    <w:rsid w:val="00F94ECD"/>
    <w:rsid w:val="00F94EFE"/>
    <w:rsid w:val="00F94F3F"/>
    <w:rsid w:val="00F94F6B"/>
    <w:rsid w:val="00F94F8D"/>
    <w:rsid w:val="00F94F9F"/>
    <w:rsid w:val="00F94FA0"/>
    <w:rsid w:val="00F94FBF"/>
    <w:rsid w:val="00F94FD2"/>
    <w:rsid w:val="00F94FFC"/>
    <w:rsid w:val="00F9504F"/>
    <w:rsid w:val="00F95052"/>
    <w:rsid w:val="00F9508E"/>
    <w:rsid w:val="00F950B3"/>
    <w:rsid w:val="00F950CE"/>
    <w:rsid w:val="00F9510C"/>
    <w:rsid w:val="00F951B6"/>
    <w:rsid w:val="00F951BC"/>
    <w:rsid w:val="00F951E9"/>
    <w:rsid w:val="00F95234"/>
    <w:rsid w:val="00F9525D"/>
    <w:rsid w:val="00F9525F"/>
    <w:rsid w:val="00F95269"/>
    <w:rsid w:val="00F952B5"/>
    <w:rsid w:val="00F952EA"/>
    <w:rsid w:val="00F952F8"/>
    <w:rsid w:val="00F95300"/>
    <w:rsid w:val="00F95330"/>
    <w:rsid w:val="00F9539E"/>
    <w:rsid w:val="00F953AA"/>
    <w:rsid w:val="00F953AF"/>
    <w:rsid w:val="00F953D4"/>
    <w:rsid w:val="00F953D7"/>
    <w:rsid w:val="00F953F2"/>
    <w:rsid w:val="00F953F3"/>
    <w:rsid w:val="00F953FE"/>
    <w:rsid w:val="00F9541E"/>
    <w:rsid w:val="00F9542F"/>
    <w:rsid w:val="00F95438"/>
    <w:rsid w:val="00F95446"/>
    <w:rsid w:val="00F9547A"/>
    <w:rsid w:val="00F9548F"/>
    <w:rsid w:val="00F954B8"/>
    <w:rsid w:val="00F954FB"/>
    <w:rsid w:val="00F9551C"/>
    <w:rsid w:val="00F9556B"/>
    <w:rsid w:val="00F9558D"/>
    <w:rsid w:val="00F955BC"/>
    <w:rsid w:val="00F955DD"/>
    <w:rsid w:val="00F955FA"/>
    <w:rsid w:val="00F955FC"/>
    <w:rsid w:val="00F95630"/>
    <w:rsid w:val="00F95643"/>
    <w:rsid w:val="00F95651"/>
    <w:rsid w:val="00F95674"/>
    <w:rsid w:val="00F95690"/>
    <w:rsid w:val="00F956CE"/>
    <w:rsid w:val="00F95748"/>
    <w:rsid w:val="00F9579E"/>
    <w:rsid w:val="00F9588D"/>
    <w:rsid w:val="00F9592A"/>
    <w:rsid w:val="00F95950"/>
    <w:rsid w:val="00F95985"/>
    <w:rsid w:val="00F95986"/>
    <w:rsid w:val="00F9599C"/>
    <w:rsid w:val="00F959AC"/>
    <w:rsid w:val="00F959B9"/>
    <w:rsid w:val="00F959E8"/>
    <w:rsid w:val="00F95A25"/>
    <w:rsid w:val="00F95A29"/>
    <w:rsid w:val="00F95A47"/>
    <w:rsid w:val="00F95A5A"/>
    <w:rsid w:val="00F95A68"/>
    <w:rsid w:val="00F95A74"/>
    <w:rsid w:val="00F95A78"/>
    <w:rsid w:val="00F95A82"/>
    <w:rsid w:val="00F95AAC"/>
    <w:rsid w:val="00F95ADD"/>
    <w:rsid w:val="00F95AE5"/>
    <w:rsid w:val="00F95B14"/>
    <w:rsid w:val="00F95B1C"/>
    <w:rsid w:val="00F95B36"/>
    <w:rsid w:val="00F95B3B"/>
    <w:rsid w:val="00F95B97"/>
    <w:rsid w:val="00F95BA3"/>
    <w:rsid w:val="00F95BB6"/>
    <w:rsid w:val="00F95BE6"/>
    <w:rsid w:val="00F95C34"/>
    <w:rsid w:val="00F95C97"/>
    <w:rsid w:val="00F95CF4"/>
    <w:rsid w:val="00F95D22"/>
    <w:rsid w:val="00F95D29"/>
    <w:rsid w:val="00F95D8C"/>
    <w:rsid w:val="00F95DB6"/>
    <w:rsid w:val="00F95DC3"/>
    <w:rsid w:val="00F95E00"/>
    <w:rsid w:val="00F95E16"/>
    <w:rsid w:val="00F95E2B"/>
    <w:rsid w:val="00F95E30"/>
    <w:rsid w:val="00F95E3A"/>
    <w:rsid w:val="00F95E5A"/>
    <w:rsid w:val="00F95E60"/>
    <w:rsid w:val="00F95E66"/>
    <w:rsid w:val="00F95EC1"/>
    <w:rsid w:val="00F95ECF"/>
    <w:rsid w:val="00F95F23"/>
    <w:rsid w:val="00F95F42"/>
    <w:rsid w:val="00F95F5D"/>
    <w:rsid w:val="00F95F5E"/>
    <w:rsid w:val="00F95F64"/>
    <w:rsid w:val="00F95F67"/>
    <w:rsid w:val="00F95F80"/>
    <w:rsid w:val="00F95FCD"/>
    <w:rsid w:val="00F95FD3"/>
    <w:rsid w:val="00F9601D"/>
    <w:rsid w:val="00F96041"/>
    <w:rsid w:val="00F96042"/>
    <w:rsid w:val="00F96073"/>
    <w:rsid w:val="00F96075"/>
    <w:rsid w:val="00F960BE"/>
    <w:rsid w:val="00F960D2"/>
    <w:rsid w:val="00F960E6"/>
    <w:rsid w:val="00F960E9"/>
    <w:rsid w:val="00F96152"/>
    <w:rsid w:val="00F9616F"/>
    <w:rsid w:val="00F96198"/>
    <w:rsid w:val="00F961C9"/>
    <w:rsid w:val="00F96217"/>
    <w:rsid w:val="00F9622D"/>
    <w:rsid w:val="00F9624B"/>
    <w:rsid w:val="00F96268"/>
    <w:rsid w:val="00F9627D"/>
    <w:rsid w:val="00F962A9"/>
    <w:rsid w:val="00F962AF"/>
    <w:rsid w:val="00F962B9"/>
    <w:rsid w:val="00F9630B"/>
    <w:rsid w:val="00F96314"/>
    <w:rsid w:val="00F9631F"/>
    <w:rsid w:val="00F96352"/>
    <w:rsid w:val="00F9635C"/>
    <w:rsid w:val="00F9637C"/>
    <w:rsid w:val="00F963ED"/>
    <w:rsid w:val="00F963F3"/>
    <w:rsid w:val="00F96460"/>
    <w:rsid w:val="00F96492"/>
    <w:rsid w:val="00F964DF"/>
    <w:rsid w:val="00F964E4"/>
    <w:rsid w:val="00F96514"/>
    <w:rsid w:val="00F96566"/>
    <w:rsid w:val="00F96578"/>
    <w:rsid w:val="00F9659E"/>
    <w:rsid w:val="00F965D7"/>
    <w:rsid w:val="00F965E4"/>
    <w:rsid w:val="00F9663E"/>
    <w:rsid w:val="00F96649"/>
    <w:rsid w:val="00F96660"/>
    <w:rsid w:val="00F96665"/>
    <w:rsid w:val="00F9666B"/>
    <w:rsid w:val="00F96672"/>
    <w:rsid w:val="00F966A8"/>
    <w:rsid w:val="00F966D1"/>
    <w:rsid w:val="00F966D4"/>
    <w:rsid w:val="00F966F4"/>
    <w:rsid w:val="00F96734"/>
    <w:rsid w:val="00F96749"/>
    <w:rsid w:val="00F96782"/>
    <w:rsid w:val="00F9678A"/>
    <w:rsid w:val="00F967F9"/>
    <w:rsid w:val="00F96836"/>
    <w:rsid w:val="00F96842"/>
    <w:rsid w:val="00F9685A"/>
    <w:rsid w:val="00F968AE"/>
    <w:rsid w:val="00F968B7"/>
    <w:rsid w:val="00F968C7"/>
    <w:rsid w:val="00F968F4"/>
    <w:rsid w:val="00F968F9"/>
    <w:rsid w:val="00F968FB"/>
    <w:rsid w:val="00F96938"/>
    <w:rsid w:val="00F96943"/>
    <w:rsid w:val="00F96964"/>
    <w:rsid w:val="00F9696A"/>
    <w:rsid w:val="00F969A4"/>
    <w:rsid w:val="00F96A10"/>
    <w:rsid w:val="00F96A32"/>
    <w:rsid w:val="00F96A87"/>
    <w:rsid w:val="00F96A8E"/>
    <w:rsid w:val="00F96A9E"/>
    <w:rsid w:val="00F96AEC"/>
    <w:rsid w:val="00F96AF8"/>
    <w:rsid w:val="00F96B0B"/>
    <w:rsid w:val="00F96B10"/>
    <w:rsid w:val="00F96B8C"/>
    <w:rsid w:val="00F96B8F"/>
    <w:rsid w:val="00F96BBC"/>
    <w:rsid w:val="00F96BFA"/>
    <w:rsid w:val="00F96C6F"/>
    <w:rsid w:val="00F96C87"/>
    <w:rsid w:val="00F96CA0"/>
    <w:rsid w:val="00F96CDE"/>
    <w:rsid w:val="00F96CE3"/>
    <w:rsid w:val="00F96D09"/>
    <w:rsid w:val="00F96D1D"/>
    <w:rsid w:val="00F96D2B"/>
    <w:rsid w:val="00F96E03"/>
    <w:rsid w:val="00F96E6B"/>
    <w:rsid w:val="00F96E6F"/>
    <w:rsid w:val="00F96E88"/>
    <w:rsid w:val="00F96E8A"/>
    <w:rsid w:val="00F96EC5"/>
    <w:rsid w:val="00F96ECA"/>
    <w:rsid w:val="00F96EE2"/>
    <w:rsid w:val="00F96F13"/>
    <w:rsid w:val="00F96F18"/>
    <w:rsid w:val="00F96F3F"/>
    <w:rsid w:val="00F96FBF"/>
    <w:rsid w:val="00F97005"/>
    <w:rsid w:val="00F9706A"/>
    <w:rsid w:val="00F97079"/>
    <w:rsid w:val="00F97089"/>
    <w:rsid w:val="00F970B4"/>
    <w:rsid w:val="00F970D9"/>
    <w:rsid w:val="00F9711D"/>
    <w:rsid w:val="00F97141"/>
    <w:rsid w:val="00F9719F"/>
    <w:rsid w:val="00F971E0"/>
    <w:rsid w:val="00F97251"/>
    <w:rsid w:val="00F9725E"/>
    <w:rsid w:val="00F972AE"/>
    <w:rsid w:val="00F972DA"/>
    <w:rsid w:val="00F972DE"/>
    <w:rsid w:val="00F9738D"/>
    <w:rsid w:val="00F97398"/>
    <w:rsid w:val="00F973C1"/>
    <w:rsid w:val="00F973C2"/>
    <w:rsid w:val="00F9741A"/>
    <w:rsid w:val="00F974E5"/>
    <w:rsid w:val="00F97513"/>
    <w:rsid w:val="00F9751C"/>
    <w:rsid w:val="00F97533"/>
    <w:rsid w:val="00F9755C"/>
    <w:rsid w:val="00F97567"/>
    <w:rsid w:val="00F97570"/>
    <w:rsid w:val="00F97599"/>
    <w:rsid w:val="00F975BE"/>
    <w:rsid w:val="00F9760C"/>
    <w:rsid w:val="00F9761C"/>
    <w:rsid w:val="00F9763D"/>
    <w:rsid w:val="00F97654"/>
    <w:rsid w:val="00F9769E"/>
    <w:rsid w:val="00F976A2"/>
    <w:rsid w:val="00F976A6"/>
    <w:rsid w:val="00F976BD"/>
    <w:rsid w:val="00F976E2"/>
    <w:rsid w:val="00F9771A"/>
    <w:rsid w:val="00F97727"/>
    <w:rsid w:val="00F97731"/>
    <w:rsid w:val="00F977D3"/>
    <w:rsid w:val="00F9780D"/>
    <w:rsid w:val="00F9785A"/>
    <w:rsid w:val="00F97883"/>
    <w:rsid w:val="00F978B8"/>
    <w:rsid w:val="00F978E4"/>
    <w:rsid w:val="00F97907"/>
    <w:rsid w:val="00F9790C"/>
    <w:rsid w:val="00F97976"/>
    <w:rsid w:val="00F97981"/>
    <w:rsid w:val="00F979B0"/>
    <w:rsid w:val="00F979FD"/>
    <w:rsid w:val="00F97A09"/>
    <w:rsid w:val="00F97A35"/>
    <w:rsid w:val="00F97A4F"/>
    <w:rsid w:val="00F97A6F"/>
    <w:rsid w:val="00F97A8F"/>
    <w:rsid w:val="00F97A97"/>
    <w:rsid w:val="00F97AB0"/>
    <w:rsid w:val="00F97AC8"/>
    <w:rsid w:val="00F97ACA"/>
    <w:rsid w:val="00F97AD5"/>
    <w:rsid w:val="00F97ADF"/>
    <w:rsid w:val="00F97B2F"/>
    <w:rsid w:val="00F97B64"/>
    <w:rsid w:val="00F97BCE"/>
    <w:rsid w:val="00F97BE2"/>
    <w:rsid w:val="00F97BF2"/>
    <w:rsid w:val="00F97C28"/>
    <w:rsid w:val="00F97C9A"/>
    <w:rsid w:val="00F97CCA"/>
    <w:rsid w:val="00F97D23"/>
    <w:rsid w:val="00F97D3F"/>
    <w:rsid w:val="00F97D87"/>
    <w:rsid w:val="00F97D95"/>
    <w:rsid w:val="00F97DC5"/>
    <w:rsid w:val="00F97DF0"/>
    <w:rsid w:val="00F97E54"/>
    <w:rsid w:val="00F97E62"/>
    <w:rsid w:val="00F97E73"/>
    <w:rsid w:val="00F97EAA"/>
    <w:rsid w:val="00F97ECE"/>
    <w:rsid w:val="00F97ED3"/>
    <w:rsid w:val="00F97EFC"/>
    <w:rsid w:val="00F97F46"/>
    <w:rsid w:val="00F97F69"/>
    <w:rsid w:val="00F97F80"/>
    <w:rsid w:val="00F97F87"/>
    <w:rsid w:val="00F97FC5"/>
    <w:rsid w:val="00F97FDD"/>
    <w:rsid w:val="00F97FF9"/>
    <w:rsid w:val="00FA0006"/>
    <w:rsid w:val="00FA000C"/>
    <w:rsid w:val="00FA0017"/>
    <w:rsid w:val="00FA003B"/>
    <w:rsid w:val="00FA00A1"/>
    <w:rsid w:val="00FA00BF"/>
    <w:rsid w:val="00FA00C7"/>
    <w:rsid w:val="00FA0119"/>
    <w:rsid w:val="00FA013E"/>
    <w:rsid w:val="00FA014B"/>
    <w:rsid w:val="00FA01A2"/>
    <w:rsid w:val="00FA01CF"/>
    <w:rsid w:val="00FA01D7"/>
    <w:rsid w:val="00FA01E8"/>
    <w:rsid w:val="00FA01E9"/>
    <w:rsid w:val="00FA01ED"/>
    <w:rsid w:val="00FA01F7"/>
    <w:rsid w:val="00FA01FB"/>
    <w:rsid w:val="00FA0215"/>
    <w:rsid w:val="00FA0217"/>
    <w:rsid w:val="00FA029F"/>
    <w:rsid w:val="00FA02A4"/>
    <w:rsid w:val="00FA02AA"/>
    <w:rsid w:val="00FA02D9"/>
    <w:rsid w:val="00FA02EE"/>
    <w:rsid w:val="00FA02F1"/>
    <w:rsid w:val="00FA0302"/>
    <w:rsid w:val="00FA031E"/>
    <w:rsid w:val="00FA034B"/>
    <w:rsid w:val="00FA0363"/>
    <w:rsid w:val="00FA037E"/>
    <w:rsid w:val="00FA03A9"/>
    <w:rsid w:val="00FA03C3"/>
    <w:rsid w:val="00FA03E3"/>
    <w:rsid w:val="00FA03EE"/>
    <w:rsid w:val="00FA03F7"/>
    <w:rsid w:val="00FA0409"/>
    <w:rsid w:val="00FA0464"/>
    <w:rsid w:val="00FA047F"/>
    <w:rsid w:val="00FA04B2"/>
    <w:rsid w:val="00FA04EF"/>
    <w:rsid w:val="00FA04FC"/>
    <w:rsid w:val="00FA0538"/>
    <w:rsid w:val="00FA053D"/>
    <w:rsid w:val="00FA0540"/>
    <w:rsid w:val="00FA0548"/>
    <w:rsid w:val="00FA0550"/>
    <w:rsid w:val="00FA0556"/>
    <w:rsid w:val="00FA0564"/>
    <w:rsid w:val="00FA056E"/>
    <w:rsid w:val="00FA05B8"/>
    <w:rsid w:val="00FA05BD"/>
    <w:rsid w:val="00FA05D7"/>
    <w:rsid w:val="00FA062A"/>
    <w:rsid w:val="00FA064D"/>
    <w:rsid w:val="00FA0675"/>
    <w:rsid w:val="00FA0698"/>
    <w:rsid w:val="00FA06A2"/>
    <w:rsid w:val="00FA0707"/>
    <w:rsid w:val="00FA0715"/>
    <w:rsid w:val="00FA071D"/>
    <w:rsid w:val="00FA0758"/>
    <w:rsid w:val="00FA07D5"/>
    <w:rsid w:val="00FA0842"/>
    <w:rsid w:val="00FA088E"/>
    <w:rsid w:val="00FA08B6"/>
    <w:rsid w:val="00FA08C6"/>
    <w:rsid w:val="00FA08D0"/>
    <w:rsid w:val="00FA08E9"/>
    <w:rsid w:val="00FA0923"/>
    <w:rsid w:val="00FA094E"/>
    <w:rsid w:val="00FA0988"/>
    <w:rsid w:val="00FA09B3"/>
    <w:rsid w:val="00FA09BD"/>
    <w:rsid w:val="00FA09D7"/>
    <w:rsid w:val="00FA09EB"/>
    <w:rsid w:val="00FA09F1"/>
    <w:rsid w:val="00FA09F9"/>
    <w:rsid w:val="00FA0A05"/>
    <w:rsid w:val="00FA0A20"/>
    <w:rsid w:val="00FA0A23"/>
    <w:rsid w:val="00FA0A2F"/>
    <w:rsid w:val="00FA0A7B"/>
    <w:rsid w:val="00FA0A84"/>
    <w:rsid w:val="00FA0AC3"/>
    <w:rsid w:val="00FA0AC5"/>
    <w:rsid w:val="00FA0AF3"/>
    <w:rsid w:val="00FA0B23"/>
    <w:rsid w:val="00FA0B51"/>
    <w:rsid w:val="00FA0B8F"/>
    <w:rsid w:val="00FA0BBB"/>
    <w:rsid w:val="00FA0BC3"/>
    <w:rsid w:val="00FA0BC8"/>
    <w:rsid w:val="00FA0BFD"/>
    <w:rsid w:val="00FA0C14"/>
    <w:rsid w:val="00FA0C52"/>
    <w:rsid w:val="00FA0C53"/>
    <w:rsid w:val="00FA0C7E"/>
    <w:rsid w:val="00FA0C83"/>
    <w:rsid w:val="00FA0C86"/>
    <w:rsid w:val="00FA0CB7"/>
    <w:rsid w:val="00FA0CBE"/>
    <w:rsid w:val="00FA0CC7"/>
    <w:rsid w:val="00FA0CDA"/>
    <w:rsid w:val="00FA0D07"/>
    <w:rsid w:val="00FA0D2F"/>
    <w:rsid w:val="00FA0D3E"/>
    <w:rsid w:val="00FA0D48"/>
    <w:rsid w:val="00FA0D6C"/>
    <w:rsid w:val="00FA0DBE"/>
    <w:rsid w:val="00FA0DF9"/>
    <w:rsid w:val="00FA0E0C"/>
    <w:rsid w:val="00FA0E0D"/>
    <w:rsid w:val="00FA0E28"/>
    <w:rsid w:val="00FA0E3B"/>
    <w:rsid w:val="00FA0E72"/>
    <w:rsid w:val="00FA0EA8"/>
    <w:rsid w:val="00FA0EB0"/>
    <w:rsid w:val="00FA0EB8"/>
    <w:rsid w:val="00FA0EE3"/>
    <w:rsid w:val="00FA0EE9"/>
    <w:rsid w:val="00FA0F45"/>
    <w:rsid w:val="00FA0F59"/>
    <w:rsid w:val="00FA0F78"/>
    <w:rsid w:val="00FA0FF9"/>
    <w:rsid w:val="00FA1005"/>
    <w:rsid w:val="00FA1013"/>
    <w:rsid w:val="00FA102D"/>
    <w:rsid w:val="00FA1092"/>
    <w:rsid w:val="00FA1107"/>
    <w:rsid w:val="00FA1108"/>
    <w:rsid w:val="00FA110D"/>
    <w:rsid w:val="00FA1121"/>
    <w:rsid w:val="00FA1146"/>
    <w:rsid w:val="00FA115C"/>
    <w:rsid w:val="00FA1163"/>
    <w:rsid w:val="00FA116E"/>
    <w:rsid w:val="00FA11D6"/>
    <w:rsid w:val="00FA11DF"/>
    <w:rsid w:val="00FA1235"/>
    <w:rsid w:val="00FA125A"/>
    <w:rsid w:val="00FA125B"/>
    <w:rsid w:val="00FA12CE"/>
    <w:rsid w:val="00FA12EE"/>
    <w:rsid w:val="00FA12FA"/>
    <w:rsid w:val="00FA1330"/>
    <w:rsid w:val="00FA133D"/>
    <w:rsid w:val="00FA1370"/>
    <w:rsid w:val="00FA1374"/>
    <w:rsid w:val="00FA138A"/>
    <w:rsid w:val="00FA139B"/>
    <w:rsid w:val="00FA13B8"/>
    <w:rsid w:val="00FA13C8"/>
    <w:rsid w:val="00FA13D5"/>
    <w:rsid w:val="00FA1445"/>
    <w:rsid w:val="00FA146D"/>
    <w:rsid w:val="00FA1487"/>
    <w:rsid w:val="00FA14F1"/>
    <w:rsid w:val="00FA1507"/>
    <w:rsid w:val="00FA1539"/>
    <w:rsid w:val="00FA15D3"/>
    <w:rsid w:val="00FA15EC"/>
    <w:rsid w:val="00FA15F8"/>
    <w:rsid w:val="00FA15FC"/>
    <w:rsid w:val="00FA1610"/>
    <w:rsid w:val="00FA1619"/>
    <w:rsid w:val="00FA162B"/>
    <w:rsid w:val="00FA1647"/>
    <w:rsid w:val="00FA165C"/>
    <w:rsid w:val="00FA1683"/>
    <w:rsid w:val="00FA16A3"/>
    <w:rsid w:val="00FA16A4"/>
    <w:rsid w:val="00FA16B4"/>
    <w:rsid w:val="00FA16D2"/>
    <w:rsid w:val="00FA16D8"/>
    <w:rsid w:val="00FA16EE"/>
    <w:rsid w:val="00FA170B"/>
    <w:rsid w:val="00FA170C"/>
    <w:rsid w:val="00FA171E"/>
    <w:rsid w:val="00FA173D"/>
    <w:rsid w:val="00FA1766"/>
    <w:rsid w:val="00FA177E"/>
    <w:rsid w:val="00FA1783"/>
    <w:rsid w:val="00FA179C"/>
    <w:rsid w:val="00FA179D"/>
    <w:rsid w:val="00FA17B2"/>
    <w:rsid w:val="00FA17BB"/>
    <w:rsid w:val="00FA17C2"/>
    <w:rsid w:val="00FA17C9"/>
    <w:rsid w:val="00FA1806"/>
    <w:rsid w:val="00FA1827"/>
    <w:rsid w:val="00FA182D"/>
    <w:rsid w:val="00FA1849"/>
    <w:rsid w:val="00FA184C"/>
    <w:rsid w:val="00FA18A0"/>
    <w:rsid w:val="00FA18C9"/>
    <w:rsid w:val="00FA18D9"/>
    <w:rsid w:val="00FA18E5"/>
    <w:rsid w:val="00FA18FE"/>
    <w:rsid w:val="00FA1900"/>
    <w:rsid w:val="00FA1971"/>
    <w:rsid w:val="00FA1998"/>
    <w:rsid w:val="00FA19AD"/>
    <w:rsid w:val="00FA1A02"/>
    <w:rsid w:val="00FA1A12"/>
    <w:rsid w:val="00FA1A3B"/>
    <w:rsid w:val="00FA1A5D"/>
    <w:rsid w:val="00FA1A80"/>
    <w:rsid w:val="00FA1A9A"/>
    <w:rsid w:val="00FA1AA0"/>
    <w:rsid w:val="00FA1ACA"/>
    <w:rsid w:val="00FA1ADE"/>
    <w:rsid w:val="00FA1AF3"/>
    <w:rsid w:val="00FA1B35"/>
    <w:rsid w:val="00FA1B60"/>
    <w:rsid w:val="00FA1B68"/>
    <w:rsid w:val="00FA1BA4"/>
    <w:rsid w:val="00FA1BB3"/>
    <w:rsid w:val="00FA1BCA"/>
    <w:rsid w:val="00FA1C0D"/>
    <w:rsid w:val="00FA1C5D"/>
    <w:rsid w:val="00FA1C61"/>
    <w:rsid w:val="00FA1C70"/>
    <w:rsid w:val="00FA1CDD"/>
    <w:rsid w:val="00FA1CF7"/>
    <w:rsid w:val="00FA1D01"/>
    <w:rsid w:val="00FA1D0E"/>
    <w:rsid w:val="00FA1D5D"/>
    <w:rsid w:val="00FA1D9C"/>
    <w:rsid w:val="00FA1E31"/>
    <w:rsid w:val="00FA1E4A"/>
    <w:rsid w:val="00FA1E5F"/>
    <w:rsid w:val="00FA1E8D"/>
    <w:rsid w:val="00FA1E98"/>
    <w:rsid w:val="00FA1EAC"/>
    <w:rsid w:val="00FA1EF7"/>
    <w:rsid w:val="00FA1F04"/>
    <w:rsid w:val="00FA1F4C"/>
    <w:rsid w:val="00FA1F6B"/>
    <w:rsid w:val="00FA1FF8"/>
    <w:rsid w:val="00FA201B"/>
    <w:rsid w:val="00FA201F"/>
    <w:rsid w:val="00FA2077"/>
    <w:rsid w:val="00FA208D"/>
    <w:rsid w:val="00FA20BB"/>
    <w:rsid w:val="00FA21B3"/>
    <w:rsid w:val="00FA21F6"/>
    <w:rsid w:val="00FA21FB"/>
    <w:rsid w:val="00FA2208"/>
    <w:rsid w:val="00FA2225"/>
    <w:rsid w:val="00FA2272"/>
    <w:rsid w:val="00FA2289"/>
    <w:rsid w:val="00FA22E2"/>
    <w:rsid w:val="00FA22E7"/>
    <w:rsid w:val="00FA2301"/>
    <w:rsid w:val="00FA2308"/>
    <w:rsid w:val="00FA2385"/>
    <w:rsid w:val="00FA23DE"/>
    <w:rsid w:val="00FA24BF"/>
    <w:rsid w:val="00FA24FF"/>
    <w:rsid w:val="00FA2505"/>
    <w:rsid w:val="00FA2565"/>
    <w:rsid w:val="00FA25AF"/>
    <w:rsid w:val="00FA25DD"/>
    <w:rsid w:val="00FA25E1"/>
    <w:rsid w:val="00FA2606"/>
    <w:rsid w:val="00FA2658"/>
    <w:rsid w:val="00FA268F"/>
    <w:rsid w:val="00FA2692"/>
    <w:rsid w:val="00FA26CE"/>
    <w:rsid w:val="00FA270B"/>
    <w:rsid w:val="00FA2728"/>
    <w:rsid w:val="00FA275D"/>
    <w:rsid w:val="00FA2780"/>
    <w:rsid w:val="00FA2781"/>
    <w:rsid w:val="00FA2786"/>
    <w:rsid w:val="00FA281C"/>
    <w:rsid w:val="00FA285F"/>
    <w:rsid w:val="00FA28C0"/>
    <w:rsid w:val="00FA2905"/>
    <w:rsid w:val="00FA294B"/>
    <w:rsid w:val="00FA295A"/>
    <w:rsid w:val="00FA29E2"/>
    <w:rsid w:val="00FA29EC"/>
    <w:rsid w:val="00FA2A56"/>
    <w:rsid w:val="00FA2A58"/>
    <w:rsid w:val="00FA2AEE"/>
    <w:rsid w:val="00FA2B4B"/>
    <w:rsid w:val="00FA2C52"/>
    <w:rsid w:val="00FA2C5E"/>
    <w:rsid w:val="00FA2C60"/>
    <w:rsid w:val="00FA2C61"/>
    <w:rsid w:val="00FA2C77"/>
    <w:rsid w:val="00FA2C7E"/>
    <w:rsid w:val="00FA2C94"/>
    <w:rsid w:val="00FA2CE0"/>
    <w:rsid w:val="00FA2CEF"/>
    <w:rsid w:val="00FA2CF6"/>
    <w:rsid w:val="00FA2D19"/>
    <w:rsid w:val="00FA2D46"/>
    <w:rsid w:val="00FA2D53"/>
    <w:rsid w:val="00FA2DD3"/>
    <w:rsid w:val="00FA2DE4"/>
    <w:rsid w:val="00FA2E0D"/>
    <w:rsid w:val="00FA2E2B"/>
    <w:rsid w:val="00FA2E51"/>
    <w:rsid w:val="00FA2E5C"/>
    <w:rsid w:val="00FA2E82"/>
    <w:rsid w:val="00FA2E88"/>
    <w:rsid w:val="00FA2E8A"/>
    <w:rsid w:val="00FA2EA7"/>
    <w:rsid w:val="00FA2F30"/>
    <w:rsid w:val="00FA2F34"/>
    <w:rsid w:val="00FA2F6D"/>
    <w:rsid w:val="00FA303B"/>
    <w:rsid w:val="00FA306A"/>
    <w:rsid w:val="00FA309D"/>
    <w:rsid w:val="00FA30CF"/>
    <w:rsid w:val="00FA3124"/>
    <w:rsid w:val="00FA3145"/>
    <w:rsid w:val="00FA3156"/>
    <w:rsid w:val="00FA3187"/>
    <w:rsid w:val="00FA31D8"/>
    <w:rsid w:val="00FA31EB"/>
    <w:rsid w:val="00FA3236"/>
    <w:rsid w:val="00FA323A"/>
    <w:rsid w:val="00FA3246"/>
    <w:rsid w:val="00FA32A2"/>
    <w:rsid w:val="00FA32B1"/>
    <w:rsid w:val="00FA32C8"/>
    <w:rsid w:val="00FA3323"/>
    <w:rsid w:val="00FA332B"/>
    <w:rsid w:val="00FA3332"/>
    <w:rsid w:val="00FA3365"/>
    <w:rsid w:val="00FA33B4"/>
    <w:rsid w:val="00FA33D0"/>
    <w:rsid w:val="00FA33D1"/>
    <w:rsid w:val="00FA340A"/>
    <w:rsid w:val="00FA343B"/>
    <w:rsid w:val="00FA3459"/>
    <w:rsid w:val="00FA3464"/>
    <w:rsid w:val="00FA34AC"/>
    <w:rsid w:val="00FA34C4"/>
    <w:rsid w:val="00FA34EE"/>
    <w:rsid w:val="00FA34F8"/>
    <w:rsid w:val="00FA3525"/>
    <w:rsid w:val="00FA3526"/>
    <w:rsid w:val="00FA353E"/>
    <w:rsid w:val="00FA3572"/>
    <w:rsid w:val="00FA35B1"/>
    <w:rsid w:val="00FA35BA"/>
    <w:rsid w:val="00FA35E3"/>
    <w:rsid w:val="00FA3612"/>
    <w:rsid w:val="00FA361B"/>
    <w:rsid w:val="00FA3651"/>
    <w:rsid w:val="00FA3652"/>
    <w:rsid w:val="00FA3666"/>
    <w:rsid w:val="00FA3672"/>
    <w:rsid w:val="00FA36DD"/>
    <w:rsid w:val="00FA36E5"/>
    <w:rsid w:val="00FA3709"/>
    <w:rsid w:val="00FA370C"/>
    <w:rsid w:val="00FA3727"/>
    <w:rsid w:val="00FA372B"/>
    <w:rsid w:val="00FA372D"/>
    <w:rsid w:val="00FA374D"/>
    <w:rsid w:val="00FA375D"/>
    <w:rsid w:val="00FA3792"/>
    <w:rsid w:val="00FA37AB"/>
    <w:rsid w:val="00FA37BE"/>
    <w:rsid w:val="00FA37C8"/>
    <w:rsid w:val="00FA37DB"/>
    <w:rsid w:val="00FA37EC"/>
    <w:rsid w:val="00FA3825"/>
    <w:rsid w:val="00FA38AD"/>
    <w:rsid w:val="00FA38D9"/>
    <w:rsid w:val="00FA38E5"/>
    <w:rsid w:val="00FA38FF"/>
    <w:rsid w:val="00FA3941"/>
    <w:rsid w:val="00FA3999"/>
    <w:rsid w:val="00FA39A1"/>
    <w:rsid w:val="00FA39B2"/>
    <w:rsid w:val="00FA39C6"/>
    <w:rsid w:val="00FA39D4"/>
    <w:rsid w:val="00FA39F4"/>
    <w:rsid w:val="00FA3A09"/>
    <w:rsid w:val="00FA3A9A"/>
    <w:rsid w:val="00FA3AB0"/>
    <w:rsid w:val="00FA3AFC"/>
    <w:rsid w:val="00FA3B00"/>
    <w:rsid w:val="00FA3B09"/>
    <w:rsid w:val="00FA3B13"/>
    <w:rsid w:val="00FA3B5A"/>
    <w:rsid w:val="00FA3B8C"/>
    <w:rsid w:val="00FA3C11"/>
    <w:rsid w:val="00FA3C4C"/>
    <w:rsid w:val="00FA3C80"/>
    <w:rsid w:val="00FA3CA7"/>
    <w:rsid w:val="00FA3CB8"/>
    <w:rsid w:val="00FA3CBE"/>
    <w:rsid w:val="00FA3CD2"/>
    <w:rsid w:val="00FA3CE4"/>
    <w:rsid w:val="00FA3CF2"/>
    <w:rsid w:val="00FA3D35"/>
    <w:rsid w:val="00FA3D4D"/>
    <w:rsid w:val="00FA3D58"/>
    <w:rsid w:val="00FA3DAC"/>
    <w:rsid w:val="00FA3DD1"/>
    <w:rsid w:val="00FA3DD8"/>
    <w:rsid w:val="00FA3DF3"/>
    <w:rsid w:val="00FA3E03"/>
    <w:rsid w:val="00FA3E5A"/>
    <w:rsid w:val="00FA3E89"/>
    <w:rsid w:val="00FA3E9B"/>
    <w:rsid w:val="00FA3EA1"/>
    <w:rsid w:val="00FA3F0C"/>
    <w:rsid w:val="00FA3F24"/>
    <w:rsid w:val="00FA3F2B"/>
    <w:rsid w:val="00FA3FD5"/>
    <w:rsid w:val="00FA3FDB"/>
    <w:rsid w:val="00FA4038"/>
    <w:rsid w:val="00FA4058"/>
    <w:rsid w:val="00FA40BD"/>
    <w:rsid w:val="00FA40D9"/>
    <w:rsid w:val="00FA40DB"/>
    <w:rsid w:val="00FA40E0"/>
    <w:rsid w:val="00FA4158"/>
    <w:rsid w:val="00FA416B"/>
    <w:rsid w:val="00FA41A4"/>
    <w:rsid w:val="00FA4212"/>
    <w:rsid w:val="00FA4289"/>
    <w:rsid w:val="00FA42A1"/>
    <w:rsid w:val="00FA42E3"/>
    <w:rsid w:val="00FA430A"/>
    <w:rsid w:val="00FA4334"/>
    <w:rsid w:val="00FA4352"/>
    <w:rsid w:val="00FA438E"/>
    <w:rsid w:val="00FA43A2"/>
    <w:rsid w:val="00FA43F8"/>
    <w:rsid w:val="00FA442F"/>
    <w:rsid w:val="00FA443E"/>
    <w:rsid w:val="00FA443F"/>
    <w:rsid w:val="00FA4440"/>
    <w:rsid w:val="00FA4444"/>
    <w:rsid w:val="00FA446C"/>
    <w:rsid w:val="00FA4486"/>
    <w:rsid w:val="00FA4491"/>
    <w:rsid w:val="00FA44A5"/>
    <w:rsid w:val="00FA44B7"/>
    <w:rsid w:val="00FA44C9"/>
    <w:rsid w:val="00FA44CB"/>
    <w:rsid w:val="00FA44EA"/>
    <w:rsid w:val="00FA44F4"/>
    <w:rsid w:val="00FA4501"/>
    <w:rsid w:val="00FA4522"/>
    <w:rsid w:val="00FA458C"/>
    <w:rsid w:val="00FA4598"/>
    <w:rsid w:val="00FA45A5"/>
    <w:rsid w:val="00FA45AF"/>
    <w:rsid w:val="00FA45C7"/>
    <w:rsid w:val="00FA45F2"/>
    <w:rsid w:val="00FA4618"/>
    <w:rsid w:val="00FA4665"/>
    <w:rsid w:val="00FA469B"/>
    <w:rsid w:val="00FA46B0"/>
    <w:rsid w:val="00FA46B6"/>
    <w:rsid w:val="00FA46C4"/>
    <w:rsid w:val="00FA46CE"/>
    <w:rsid w:val="00FA4751"/>
    <w:rsid w:val="00FA475F"/>
    <w:rsid w:val="00FA476B"/>
    <w:rsid w:val="00FA4803"/>
    <w:rsid w:val="00FA481A"/>
    <w:rsid w:val="00FA4829"/>
    <w:rsid w:val="00FA4831"/>
    <w:rsid w:val="00FA4843"/>
    <w:rsid w:val="00FA4857"/>
    <w:rsid w:val="00FA48DD"/>
    <w:rsid w:val="00FA48FA"/>
    <w:rsid w:val="00FA4906"/>
    <w:rsid w:val="00FA4920"/>
    <w:rsid w:val="00FA49DB"/>
    <w:rsid w:val="00FA49DF"/>
    <w:rsid w:val="00FA4A94"/>
    <w:rsid w:val="00FA4ABB"/>
    <w:rsid w:val="00FA4AC1"/>
    <w:rsid w:val="00FA4AEC"/>
    <w:rsid w:val="00FA4B3E"/>
    <w:rsid w:val="00FA4B9D"/>
    <w:rsid w:val="00FA4BA9"/>
    <w:rsid w:val="00FA4BDD"/>
    <w:rsid w:val="00FA4BF1"/>
    <w:rsid w:val="00FA4C0A"/>
    <w:rsid w:val="00FA4C0D"/>
    <w:rsid w:val="00FA4C2B"/>
    <w:rsid w:val="00FA4C79"/>
    <w:rsid w:val="00FA4C8A"/>
    <w:rsid w:val="00FA4D87"/>
    <w:rsid w:val="00FA4D96"/>
    <w:rsid w:val="00FA4DA2"/>
    <w:rsid w:val="00FA4DAF"/>
    <w:rsid w:val="00FA4DF2"/>
    <w:rsid w:val="00FA4E0E"/>
    <w:rsid w:val="00FA4E3C"/>
    <w:rsid w:val="00FA4EB2"/>
    <w:rsid w:val="00FA4EC5"/>
    <w:rsid w:val="00FA4EF5"/>
    <w:rsid w:val="00FA4F7C"/>
    <w:rsid w:val="00FA4F9E"/>
    <w:rsid w:val="00FA4FB0"/>
    <w:rsid w:val="00FA4FBE"/>
    <w:rsid w:val="00FA4FEB"/>
    <w:rsid w:val="00FA4FF8"/>
    <w:rsid w:val="00FA4FFC"/>
    <w:rsid w:val="00FA5021"/>
    <w:rsid w:val="00FA5035"/>
    <w:rsid w:val="00FA506D"/>
    <w:rsid w:val="00FA508B"/>
    <w:rsid w:val="00FA50A6"/>
    <w:rsid w:val="00FA50E6"/>
    <w:rsid w:val="00FA511F"/>
    <w:rsid w:val="00FA5141"/>
    <w:rsid w:val="00FA5177"/>
    <w:rsid w:val="00FA5188"/>
    <w:rsid w:val="00FA519C"/>
    <w:rsid w:val="00FA51A4"/>
    <w:rsid w:val="00FA51C1"/>
    <w:rsid w:val="00FA51F2"/>
    <w:rsid w:val="00FA5216"/>
    <w:rsid w:val="00FA5228"/>
    <w:rsid w:val="00FA5267"/>
    <w:rsid w:val="00FA526F"/>
    <w:rsid w:val="00FA5272"/>
    <w:rsid w:val="00FA527F"/>
    <w:rsid w:val="00FA5324"/>
    <w:rsid w:val="00FA532F"/>
    <w:rsid w:val="00FA535B"/>
    <w:rsid w:val="00FA5390"/>
    <w:rsid w:val="00FA53C8"/>
    <w:rsid w:val="00FA542C"/>
    <w:rsid w:val="00FA5455"/>
    <w:rsid w:val="00FA54AD"/>
    <w:rsid w:val="00FA54BA"/>
    <w:rsid w:val="00FA54D0"/>
    <w:rsid w:val="00FA54EC"/>
    <w:rsid w:val="00FA54F2"/>
    <w:rsid w:val="00FA5536"/>
    <w:rsid w:val="00FA5555"/>
    <w:rsid w:val="00FA5573"/>
    <w:rsid w:val="00FA558F"/>
    <w:rsid w:val="00FA55B4"/>
    <w:rsid w:val="00FA55C2"/>
    <w:rsid w:val="00FA55EF"/>
    <w:rsid w:val="00FA564C"/>
    <w:rsid w:val="00FA567E"/>
    <w:rsid w:val="00FA56B9"/>
    <w:rsid w:val="00FA56C3"/>
    <w:rsid w:val="00FA56D2"/>
    <w:rsid w:val="00FA56F8"/>
    <w:rsid w:val="00FA5716"/>
    <w:rsid w:val="00FA571C"/>
    <w:rsid w:val="00FA5755"/>
    <w:rsid w:val="00FA583C"/>
    <w:rsid w:val="00FA5853"/>
    <w:rsid w:val="00FA587D"/>
    <w:rsid w:val="00FA58B9"/>
    <w:rsid w:val="00FA58CF"/>
    <w:rsid w:val="00FA58DC"/>
    <w:rsid w:val="00FA592E"/>
    <w:rsid w:val="00FA5948"/>
    <w:rsid w:val="00FA595B"/>
    <w:rsid w:val="00FA599A"/>
    <w:rsid w:val="00FA5A2A"/>
    <w:rsid w:val="00FA5ABC"/>
    <w:rsid w:val="00FA5B21"/>
    <w:rsid w:val="00FA5B30"/>
    <w:rsid w:val="00FA5B61"/>
    <w:rsid w:val="00FA5B82"/>
    <w:rsid w:val="00FA5B8D"/>
    <w:rsid w:val="00FA5BB0"/>
    <w:rsid w:val="00FA5BD5"/>
    <w:rsid w:val="00FA5C43"/>
    <w:rsid w:val="00FA5C4D"/>
    <w:rsid w:val="00FA5CA4"/>
    <w:rsid w:val="00FA5CE1"/>
    <w:rsid w:val="00FA5CEF"/>
    <w:rsid w:val="00FA5D08"/>
    <w:rsid w:val="00FA5D23"/>
    <w:rsid w:val="00FA5D2F"/>
    <w:rsid w:val="00FA5DFE"/>
    <w:rsid w:val="00FA5E0C"/>
    <w:rsid w:val="00FA5E4D"/>
    <w:rsid w:val="00FA5E82"/>
    <w:rsid w:val="00FA5EC4"/>
    <w:rsid w:val="00FA5EC7"/>
    <w:rsid w:val="00FA5EEC"/>
    <w:rsid w:val="00FA5F37"/>
    <w:rsid w:val="00FA5F6D"/>
    <w:rsid w:val="00FA5F8C"/>
    <w:rsid w:val="00FA5F9A"/>
    <w:rsid w:val="00FA5FC1"/>
    <w:rsid w:val="00FA5FEF"/>
    <w:rsid w:val="00FA6034"/>
    <w:rsid w:val="00FA603D"/>
    <w:rsid w:val="00FA605E"/>
    <w:rsid w:val="00FA6081"/>
    <w:rsid w:val="00FA60D5"/>
    <w:rsid w:val="00FA60E4"/>
    <w:rsid w:val="00FA60EA"/>
    <w:rsid w:val="00FA60FF"/>
    <w:rsid w:val="00FA6150"/>
    <w:rsid w:val="00FA615B"/>
    <w:rsid w:val="00FA61A0"/>
    <w:rsid w:val="00FA61FF"/>
    <w:rsid w:val="00FA6206"/>
    <w:rsid w:val="00FA6215"/>
    <w:rsid w:val="00FA6219"/>
    <w:rsid w:val="00FA6222"/>
    <w:rsid w:val="00FA6237"/>
    <w:rsid w:val="00FA623C"/>
    <w:rsid w:val="00FA6253"/>
    <w:rsid w:val="00FA6281"/>
    <w:rsid w:val="00FA62C4"/>
    <w:rsid w:val="00FA62FD"/>
    <w:rsid w:val="00FA631F"/>
    <w:rsid w:val="00FA6336"/>
    <w:rsid w:val="00FA6349"/>
    <w:rsid w:val="00FA6362"/>
    <w:rsid w:val="00FA6378"/>
    <w:rsid w:val="00FA639D"/>
    <w:rsid w:val="00FA63C9"/>
    <w:rsid w:val="00FA6437"/>
    <w:rsid w:val="00FA6447"/>
    <w:rsid w:val="00FA6451"/>
    <w:rsid w:val="00FA64A8"/>
    <w:rsid w:val="00FA64C9"/>
    <w:rsid w:val="00FA64CC"/>
    <w:rsid w:val="00FA6541"/>
    <w:rsid w:val="00FA6587"/>
    <w:rsid w:val="00FA65C8"/>
    <w:rsid w:val="00FA65EA"/>
    <w:rsid w:val="00FA6628"/>
    <w:rsid w:val="00FA6638"/>
    <w:rsid w:val="00FA668A"/>
    <w:rsid w:val="00FA66B5"/>
    <w:rsid w:val="00FA66DE"/>
    <w:rsid w:val="00FA66E1"/>
    <w:rsid w:val="00FA6708"/>
    <w:rsid w:val="00FA6717"/>
    <w:rsid w:val="00FA6731"/>
    <w:rsid w:val="00FA6738"/>
    <w:rsid w:val="00FA674A"/>
    <w:rsid w:val="00FA6765"/>
    <w:rsid w:val="00FA676D"/>
    <w:rsid w:val="00FA6784"/>
    <w:rsid w:val="00FA67B7"/>
    <w:rsid w:val="00FA67E0"/>
    <w:rsid w:val="00FA67FF"/>
    <w:rsid w:val="00FA6861"/>
    <w:rsid w:val="00FA6862"/>
    <w:rsid w:val="00FA6872"/>
    <w:rsid w:val="00FA6879"/>
    <w:rsid w:val="00FA6885"/>
    <w:rsid w:val="00FA68A6"/>
    <w:rsid w:val="00FA68B0"/>
    <w:rsid w:val="00FA68D7"/>
    <w:rsid w:val="00FA6908"/>
    <w:rsid w:val="00FA6918"/>
    <w:rsid w:val="00FA691D"/>
    <w:rsid w:val="00FA6961"/>
    <w:rsid w:val="00FA6966"/>
    <w:rsid w:val="00FA6984"/>
    <w:rsid w:val="00FA698A"/>
    <w:rsid w:val="00FA6A20"/>
    <w:rsid w:val="00FA6A42"/>
    <w:rsid w:val="00FA6A48"/>
    <w:rsid w:val="00FA6A6B"/>
    <w:rsid w:val="00FA6ADD"/>
    <w:rsid w:val="00FA6B38"/>
    <w:rsid w:val="00FA6B57"/>
    <w:rsid w:val="00FA6BB6"/>
    <w:rsid w:val="00FA6BF9"/>
    <w:rsid w:val="00FA6C4C"/>
    <w:rsid w:val="00FA6CA5"/>
    <w:rsid w:val="00FA6D76"/>
    <w:rsid w:val="00FA6D92"/>
    <w:rsid w:val="00FA6D94"/>
    <w:rsid w:val="00FA6DB5"/>
    <w:rsid w:val="00FA6DD8"/>
    <w:rsid w:val="00FA6DDD"/>
    <w:rsid w:val="00FA6E81"/>
    <w:rsid w:val="00FA6EA4"/>
    <w:rsid w:val="00FA6EA8"/>
    <w:rsid w:val="00FA6EAB"/>
    <w:rsid w:val="00FA6EAE"/>
    <w:rsid w:val="00FA6EB3"/>
    <w:rsid w:val="00FA6ED6"/>
    <w:rsid w:val="00FA6F11"/>
    <w:rsid w:val="00FA6F72"/>
    <w:rsid w:val="00FA6FC5"/>
    <w:rsid w:val="00FA6FC7"/>
    <w:rsid w:val="00FA6FDF"/>
    <w:rsid w:val="00FA7013"/>
    <w:rsid w:val="00FA7080"/>
    <w:rsid w:val="00FA708B"/>
    <w:rsid w:val="00FA7093"/>
    <w:rsid w:val="00FA70DC"/>
    <w:rsid w:val="00FA7105"/>
    <w:rsid w:val="00FA7112"/>
    <w:rsid w:val="00FA7146"/>
    <w:rsid w:val="00FA716E"/>
    <w:rsid w:val="00FA71D7"/>
    <w:rsid w:val="00FA71DF"/>
    <w:rsid w:val="00FA71E1"/>
    <w:rsid w:val="00FA7209"/>
    <w:rsid w:val="00FA724A"/>
    <w:rsid w:val="00FA7252"/>
    <w:rsid w:val="00FA7255"/>
    <w:rsid w:val="00FA7261"/>
    <w:rsid w:val="00FA728C"/>
    <w:rsid w:val="00FA72B6"/>
    <w:rsid w:val="00FA72C9"/>
    <w:rsid w:val="00FA72F4"/>
    <w:rsid w:val="00FA72F5"/>
    <w:rsid w:val="00FA7350"/>
    <w:rsid w:val="00FA7365"/>
    <w:rsid w:val="00FA7379"/>
    <w:rsid w:val="00FA7396"/>
    <w:rsid w:val="00FA73E4"/>
    <w:rsid w:val="00FA7406"/>
    <w:rsid w:val="00FA742A"/>
    <w:rsid w:val="00FA7444"/>
    <w:rsid w:val="00FA7499"/>
    <w:rsid w:val="00FA74D0"/>
    <w:rsid w:val="00FA74E6"/>
    <w:rsid w:val="00FA750E"/>
    <w:rsid w:val="00FA7531"/>
    <w:rsid w:val="00FA75DD"/>
    <w:rsid w:val="00FA75E8"/>
    <w:rsid w:val="00FA7620"/>
    <w:rsid w:val="00FA7637"/>
    <w:rsid w:val="00FA76E4"/>
    <w:rsid w:val="00FA7708"/>
    <w:rsid w:val="00FA7746"/>
    <w:rsid w:val="00FA774F"/>
    <w:rsid w:val="00FA779A"/>
    <w:rsid w:val="00FA77BD"/>
    <w:rsid w:val="00FA7804"/>
    <w:rsid w:val="00FA7806"/>
    <w:rsid w:val="00FA781A"/>
    <w:rsid w:val="00FA7851"/>
    <w:rsid w:val="00FA786E"/>
    <w:rsid w:val="00FA7875"/>
    <w:rsid w:val="00FA7877"/>
    <w:rsid w:val="00FA7882"/>
    <w:rsid w:val="00FA78D0"/>
    <w:rsid w:val="00FA78F2"/>
    <w:rsid w:val="00FA78FA"/>
    <w:rsid w:val="00FA795D"/>
    <w:rsid w:val="00FA79BB"/>
    <w:rsid w:val="00FA79F6"/>
    <w:rsid w:val="00FA79FB"/>
    <w:rsid w:val="00FA7A05"/>
    <w:rsid w:val="00FA7A1E"/>
    <w:rsid w:val="00FA7AC3"/>
    <w:rsid w:val="00FA7AC9"/>
    <w:rsid w:val="00FA7ACA"/>
    <w:rsid w:val="00FA7B4C"/>
    <w:rsid w:val="00FA7B8D"/>
    <w:rsid w:val="00FA7BC1"/>
    <w:rsid w:val="00FA7BC6"/>
    <w:rsid w:val="00FA7BE5"/>
    <w:rsid w:val="00FA7BF7"/>
    <w:rsid w:val="00FA7C2F"/>
    <w:rsid w:val="00FA7C4F"/>
    <w:rsid w:val="00FA7C5A"/>
    <w:rsid w:val="00FA7C71"/>
    <w:rsid w:val="00FA7C93"/>
    <w:rsid w:val="00FA7CC2"/>
    <w:rsid w:val="00FA7CD4"/>
    <w:rsid w:val="00FA7CE0"/>
    <w:rsid w:val="00FA7D12"/>
    <w:rsid w:val="00FA7D3A"/>
    <w:rsid w:val="00FA7D42"/>
    <w:rsid w:val="00FA7D61"/>
    <w:rsid w:val="00FA7D77"/>
    <w:rsid w:val="00FA7DA1"/>
    <w:rsid w:val="00FA7DC4"/>
    <w:rsid w:val="00FA7DEA"/>
    <w:rsid w:val="00FA7E0B"/>
    <w:rsid w:val="00FA7E30"/>
    <w:rsid w:val="00FA7E64"/>
    <w:rsid w:val="00FA7E7D"/>
    <w:rsid w:val="00FA7E86"/>
    <w:rsid w:val="00FA7EB3"/>
    <w:rsid w:val="00FA7ECA"/>
    <w:rsid w:val="00FA7F0B"/>
    <w:rsid w:val="00FA7F48"/>
    <w:rsid w:val="00FA7FAF"/>
    <w:rsid w:val="00FB0000"/>
    <w:rsid w:val="00FB0076"/>
    <w:rsid w:val="00FB0083"/>
    <w:rsid w:val="00FB00B2"/>
    <w:rsid w:val="00FB0147"/>
    <w:rsid w:val="00FB017A"/>
    <w:rsid w:val="00FB0189"/>
    <w:rsid w:val="00FB0210"/>
    <w:rsid w:val="00FB0257"/>
    <w:rsid w:val="00FB026F"/>
    <w:rsid w:val="00FB027E"/>
    <w:rsid w:val="00FB0296"/>
    <w:rsid w:val="00FB02A5"/>
    <w:rsid w:val="00FB02AA"/>
    <w:rsid w:val="00FB02C0"/>
    <w:rsid w:val="00FB02C9"/>
    <w:rsid w:val="00FB02DE"/>
    <w:rsid w:val="00FB036F"/>
    <w:rsid w:val="00FB037E"/>
    <w:rsid w:val="00FB03BD"/>
    <w:rsid w:val="00FB03D9"/>
    <w:rsid w:val="00FB03F1"/>
    <w:rsid w:val="00FB0428"/>
    <w:rsid w:val="00FB0438"/>
    <w:rsid w:val="00FB0451"/>
    <w:rsid w:val="00FB046F"/>
    <w:rsid w:val="00FB0472"/>
    <w:rsid w:val="00FB0474"/>
    <w:rsid w:val="00FB04A9"/>
    <w:rsid w:val="00FB04EB"/>
    <w:rsid w:val="00FB051A"/>
    <w:rsid w:val="00FB0554"/>
    <w:rsid w:val="00FB0556"/>
    <w:rsid w:val="00FB061A"/>
    <w:rsid w:val="00FB06D1"/>
    <w:rsid w:val="00FB06EB"/>
    <w:rsid w:val="00FB0728"/>
    <w:rsid w:val="00FB0774"/>
    <w:rsid w:val="00FB077B"/>
    <w:rsid w:val="00FB07DB"/>
    <w:rsid w:val="00FB0835"/>
    <w:rsid w:val="00FB086F"/>
    <w:rsid w:val="00FB08E8"/>
    <w:rsid w:val="00FB08EF"/>
    <w:rsid w:val="00FB0925"/>
    <w:rsid w:val="00FB0932"/>
    <w:rsid w:val="00FB0933"/>
    <w:rsid w:val="00FB0941"/>
    <w:rsid w:val="00FB0942"/>
    <w:rsid w:val="00FB094D"/>
    <w:rsid w:val="00FB0952"/>
    <w:rsid w:val="00FB0964"/>
    <w:rsid w:val="00FB0974"/>
    <w:rsid w:val="00FB097F"/>
    <w:rsid w:val="00FB09A6"/>
    <w:rsid w:val="00FB09B6"/>
    <w:rsid w:val="00FB09EB"/>
    <w:rsid w:val="00FB0A2A"/>
    <w:rsid w:val="00FB0A4E"/>
    <w:rsid w:val="00FB0A56"/>
    <w:rsid w:val="00FB0AD0"/>
    <w:rsid w:val="00FB0B7F"/>
    <w:rsid w:val="00FB0B82"/>
    <w:rsid w:val="00FB0BA2"/>
    <w:rsid w:val="00FB0BA4"/>
    <w:rsid w:val="00FB0BEC"/>
    <w:rsid w:val="00FB0BEE"/>
    <w:rsid w:val="00FB0BFC"/>
    <w:rsid w:val="00FB0C1D"/>
    <w:rsid w:val="00FB0C1E"/>
    <w:rsid w:val="00FB0C49"/>
    <w:rsid w:val="00FB0C4E"/>
    <w:rsid w:val="00FB0C63"/>
    <w:rsid w:val="00FB0C72"/>
    <w:rsid w:val="00FB0CA0"/>
    <w:rsid w:val="00FB0CD2"/>
    <w:rsid w:val="00FB0CFD"/>
    <w:rsid w:val="00FB0D3D"/>
    <w:rsid w:val="00FB0D5F"/>
    <w:rsid w:val="00FB0D73"/>
    <w:rsid w:val="00FB0D75"/>
    <w:rsid w:val="00FB0DA0"/>
    <w:rsid w:val="00FB0DBF"/>
    <w:rsid w:val="00FB0DC5"/>
    <w:rsid w:val="00FB0E1D"/>
    <w:rsid w:val="00FB0E27"/>
    <w:rsid w:val="00FB0E31"/>
    <w:rsid w:val="00FB0E45"/>
    <w:rsid w:val="00FB0E5B"/>
    <w:rsid w:val="00FB0E8B"/>
    <w:rsid w:val="00FB0EAC"/>
    <w:rsid w:val="00FB0EAD"/>
    <w:rsid w:val="00FB0EB6"/>
    <w:rsid w:val="00FB0EC6"/>
    <w:rsid w:val="00FB0ECD"/>
    <w:rsid w:val="00FB0ED0"/>
    <w:rsid w:val="00FB0ED3"/>
    <w:rsid w:val="00FB0F1A"/>
    <w:rsid w:val="00FB0F1D"/>
    <w:rsid w:val="00FB0F2D"/>
    <w:rsid w:val="00FB0F4D"/>
    <w:rsid w:val="00FB0F6C"/>
    <w:rsid w:val="00FB0F78"/>
    <w:rsid w:val="00FB0FFB"/>
    <w:rsid w:val="00FB1004"/>
    <w:rsid w:val="00FB1012"/>
    <w:rsid w:val="00FB1015"/>
    <w:rsid w:val="00FB1018"/>
    <w:rsid w:val="00FB102D"/>
    <w:rsid w:val="00FB104C"/>
    <w:rsid w:val="00FB104F"/>
    <w:rsid w:val="00FB10E8"/>
    <w:rsid w:val="00FB10F7"/>
    <w:rsid w:val="00FB111D"/>
    <w:rsid w:val="00FB1125"/>
    <w:rsid w:val="00FB1155"/>
    <w:rsid w:val="00FB1186"/>
    <w:rsid w:val="00FB1199"/>
    <w:rsid w:val="00FB11A7"/>
    <w:rsid w:val="00FB11E9"/>
    <w:rsid w:val="00FB1228"/>
    <w:rsid w:val="00FB1238"/>
    <w:rsid w:val="00FB1241"/>
    <w:rsid w:val="00FB125F"/>
    <w:rsid w:val="00FB1275"/>
    <w:rsid w:val="00FB1284"/>
    <w:rsid w:val="00FB12A6"/>
    <w:rsid w:val="00FB12DC"/>
    <w:rsid w:val="00FB1308"/>
    <w:rsid w:val="00FB1330"/>
    <w:rsid w:val="00FB1380"/>
    <w:rsid w:val="00FB1398"/>
    <w:rsid w:val="00FB13CC"/>
    <w:rsid w:val="00FB13DD"/>
    <w:rsid w:val="00FB13FD"/>
    <w:rsid w:val="00FB1411"/>
    <w:rsid w:val="00FB1428"/>
    <w:rsid w:val="00FB144D"/>
    <w:rsid w:val="00FB1450"/>
    <w:rsid w:val="00FB1491"/>
    <w:rsid w:val="00FB14C0"/>
    <w:rsid w:val="00FB1518"/>
    <w:rsid w:val="00FB152A"/>
    <w:rsid w:val="00FB1550"/>
    <w:rsid w:val="00FB155F"/>
    <w:rsid w:val="00FB156E"/>
    <w:rsid w:val="00FB15AE"/>
    <w:rsid w:val="00FB15D8"/>
    <w:rsid w:val="00FB1611"/>
    <w:rsid w:val="00FB161B"/>
    <w:rsid w:val="00FB1665"/>
    <w:rsid w:val="00FB169D"/>
    <w:rsid w:val="00FB169F"/>
    <w:rsid w:val="00FB16D6"/>
    <w:rsid w:val="00FB16D7"/>
    <w:rsid w:val="00FB16E6"/>
    <w:rsid w:val="00FB16F6"/>
    <w:rsid w:val="00FB1747"/>
    <w:rsid w:val="00FB1777"/>
    <w:rsid w:val="00FB178C"/>
    <w:rsid w:val="00FB179B"/>
    <w:rsid w:val="00FB179E"/>
    <w:rsid w:val="00FB17AB"/>
    <w:rsid w:val="00FB17B6"/>
    <w:rsid w:val="00FB17CC"/>
    <w:rsid w:val="00FB17F0"/>
    <w:rsid w:val="00FB181A"/>
    <w:rsid w:val="00FB1846"/>
    <w:rsid w:val="00FB186A"/>
    <w:rsid w:val="00FB18B3"/>
    <w:rsid w:val="00FB18B7"/>
    <w:rsid w:val="00FB18C4"/>
    <w:rsid w:val="00FB18CB"/>
    <w:rsid w:val="00FB18F3"/>
    <w:rsid w:val="00FB18F7"/>
    <w:rsid w:val="00FB190D"/>
    <w:rsid w:val="00FB1939"/>
    <w:rsid w:val="00FB196B"/>
    <w:rsid w:val="00FB1979"/>
    <w:rsid w:val="00FB19AD"/>
    <w:rsid w:val="00FB19B4"/>
    <w:rsid w:val="00FB19BE"/>
    <w:rsid w:val="00FB19C3"/>
    <w:rsid w:val="00FB19D4"/>
    <w:rsid w:val="00FB1A00"/>
    <w:rsid w:val="00FB1A4B"/>
    <w:rsid w:val="00FB1A7A"/>
    <w:rsid w:val="00FB1A8D"/>
    <w:rsid w:val="00FB1ADC"/>
    <w:rsid w:val="00FB1AF4"/>
    <w:rsid w:val="00FB1B3A"/>
    <w:rsid w:val="00FB1B3E"/>
    <w:rsid w:val="00FB1B57"/>
    <w:rsid w:val="00FB1B60"/>
    <w:rsid w:val="00FB1B72"/>
    <w:rsid w:val="00FB1B73"/>
    <w:rsid w:val="00FB1BB3"/>
    <w:rsid w:val="00FB1C02"/>
    <w:rsid w:val="00FB1C36"/>
    <w:rsid w:val="00FB1C54"/>
    <w:rsid w:val="00FB1C71"/>
    <w:rsid w:val="00FB1C7B"/>
    <w:rsid w:val="00FB1CC3"/>
    <w:rsid w:val="00FB1CD1"/>
    <w:rsid w:val="00FB1CFB"/>
    <w:rsid w:val="00FB1D1E"/>
    <w:rsid w:val="00FB1D27"/>
    <w:rsid w:val="00FB1D69"/>
    <w:rsid w:val="00FB1DD7"/>
    <w:rsid w:val="00FB1E26"/>
    <w:rsid w:val="00FB1E4D"/>
    <w:rsid w:val="00FB1E50"/>
    <w:rsid w:val="00FB1E9C"/>
    <w:rsid w:val="00FB1ECA"/>
    <w:rsid w:val="00FB1ECB"/>
    <w:rsid w:val="00FB1EFF"/>
    <w:rsid w:val="00FB1F19"/>
    <w:rsid w:val="00FB1F2D"/>
    <w:rsid w:val="00FB1F35"/>
    <w:rsid w:val="00FB1F39"/>
    <w:rsid w:val="00FB1F3F"/>
    <w:rsid w:val="00FB1FAD"/>
    <w:rsid w:val="00FB1FC0"/>
    <w:rsid w:val="00FB1FCB"/>
    <w:rsid w:val="00FB1FE6"/>
    <w:rsid w:val="00FB1FFE"/>
    <w:rsid w:val="00FB2020"/>
    <w:rsid w:val="00FB2030"/>
    <w:rsid w:val="00FB2031"/>
    <w:rsid w:val="00FB2049"/>
    <w:rsid w:val="00FB204B"/>
    <w:rsid w:val="00FB2052"/>
    <w:rsid w:val="00FB205F"/>
    <w:rsid w:val="00FB208E"/>
    <w:rsid w:val="00FB20B1"/>
    <w:rsid w:val="00FB20C9"/>
    <w:rsid w:val="00FB20E9"/>
    <w:rsid w:val="00FB2103"/>
    <w:rsid w:val="00FB2156"/>
    <w:rsid w:val="00FB21B2"/>
    <w:rsid w:val="00FB21E2"/>
    <w:rsid w:val="00FB21F3"/>
    <w:rsid w:val="00FB2236"/>
    <w:rsid w:val="00FB225B"/>
    <w:rsid w:val="00FB2260"/>
    <w:rsid w:val="00FB2264"/>
    <w:rsid w:val="00FB2276"/>
    <w:rsid w:val="00FB227B"/>
    <w:rsid w:val="00FB22AA"/>
    <w:rsid w:val="00FB2340"/>
    <w:rsid w:val="00FB2356"/>
    <w:rsid w:val="00FB2366"/>
    <w:rsid w:val="00FB236B"/>
    <w:rsid w:val="00FB23B8"/>
    <w:rsid w:val="00FB2432"/>
    <w:rsid w:val="00FB2494"/>
    <w:rsid w:val="00FB24C3"/>
    <w:rsid w:val="00FB24C9"/>
    <w:rsid w:val="00FB24F0"/>
    <w:rsid w:val="00FB250B"/>
    <w:rsid w:val="00FB251C"/>
    <w:rsid w:val="00FB252B"/>
    <w:rsid w:val="00FB252F"/>
    <w:rsid w:val="00FB253E"/>
    <w:rsid w:val="00FB2548"/>
    <w:rsid w:val="00FB2573"/>
    <w:rsid w:val="00FB2579"/>
    <w:rsid w:val="00FB25B3"/>
    <w:rsid w:val="00FB25CE"/>
    <w:rsid w:val="00FB25D9"/>
    <w:rsid w:val="00FB25FF"/>
    <w:rsid w:val="00FB2623"/>
    <w:rsid w:val="00FB262D"/>
    <w:rsid w:val="00FB2664"/>
    <w:rsid w:val="00FB2672"/>
    <w:rsid w:val="00FB2688"/>
    <w:rsid w:val="00FB2693"/>
    <w:rsid w:val="00FB26AB"/>
    <w:rsid w:val="00FB26B2"/>
    <w:rsid w:val="00FB26CA"/>
    <w:rsid w:val="00FB26CE"/>
    <w:rsid w:val="00FB2707"/>
    <w:rsid w:val="00FB2718"/>
    <w:rsid w:val="00FB2743"/>
    <w:rsid w:val="00FB275F"/>
    <w:rsid w:val="00FB276F"/>
    <w:rsid w:val="00FB278F"/>
    <w:rsid w:val="00FB2791"/>
    <w:rsid w:val="00FB27AA"/>
    <w:rsid w:val="00FB27B0"/>
    <w:rsid w:val="00FB27B9"/>
    <w:rsid w:val="00FB27D7"/>
    <w:rsid w:val="00FB27F7"/>
    <w:rsid w:val="00FB2841"/>
    <w:rsid w:val="00FB289C"/>
    <w:rsid w:val="00FB28B1"/>
    <w:rsid w:val="00FB28C0"/>
    <w:rsid w:val="00FB2941"/>
    <w:rsid w:val="00FB29D0"/>
    <w:rsid w:val="00FB2A81"/>
    <w:rsid w:val="00FB2AA2"/>
    <w:rsid w:val="00FB2AB9"/>
    <w:rsid w:val="00FB2AF5"/>
    <w:rsid w:val="00FB2B43"/>
    <w:rsid w:val="00FB2B5E"/>
    <w:rsid w:val="00FB2BB9"/>
    <w:rsid w:val="00FB2BF1"/>
    <w:rsid w:val="00FB2C17"/>
    <w:rsid w:val="00FB2C4A"/>
    <w:rsid w:val="00FB2CF2"/>
    <w:rsid w:val="00FB2D02"/>
    <w:rsid w:val="00FB2D1A"/>
    <w:rsid w:val="00FB2D7A"/>
    <w:rsid w:val="00FB2DC8"/>
    <w:rsid w:val="00FB2E1B"/>
    <w:rsid w:val="00FB2E1C"/>
    <w:rsid w:val="00FB2E83"/>
    <w:rsid w:val="00FB2ECF"/>
    <w:rsid w:val="00FB2ED2"/>
    <w:rsid w:val="00FB2EDB"/>
    <w:rsid w:val="00FB2EFD"/>
    <w:rsid w:val="00FB2F22"/>
    <w:rsid w:val="00FB2F2A"/>
    <w:rsid w:val="00FB2F41"/>
    <w:rsid w:val="00FB2F60"/>
    <w:rsid w:val="00FB2F75"/>
    <w:rsid w:val="00FB2F88"/>
    <w:rsid w:val="00FB2FA0"/>
    <w:rsid w:val="00FB3001"/>
    <w:rsid w:val="00FB3034"/>
    <w:rsid w:val="00FB307D"/>
    <w:rsid w:val="00FB30CB"/>
    <w:rsid w:val="00FB30F1"/>
    <w:rsid w:val="00FB31CD"/>
    <w:rsid w:val="00FB31E8"/>
    <w:rsid w:val="00FB3206"/>
    <w:rsid w:val="00FB3207"/>
    <w:rsid w:val="00FB3237"/>
    <w:rsid w:val="00FB326D"/>
    <w:rsid w:val="00FB3272"/>
    <w:rsid w:val="00FB3281"/>
    <w:rsid w:val="00FB32A3"/>
    <w:rsid w:val="00FB32BB"/>
    <w:rsid w:val="00FB32D6"/>
    <w:rsid w:val="00FB3301"/>
    <w:rsid w:val="00FB3319"/>
    <w:rsid w:val="00FB3332"/>
    <w:rsid w:val="00FB336F"/>
    <w:rsid w:val="00FB3381"/>
    <w:rsid w:val="00FB33A0"/>
    <w:rsid w:val="00FB33DC"/>
    <w:rsid w:val="00FB3400"/>
    <w:rsid w:val="00FB342E"/>
    <w:rsid w:val="00FB3432"/>
    <w:rsid w:val="00FB3476"/>
    <w:rsid w:val="00FB34E8"/>
    <w:rsid w:val="00FB3510"/>
    <w:rsid w:val="00FB3535"/>
    <w:rsid w:val="00FB353D"/>
    <w:rsid w:val="00FB3592"/>
    <w:rsid w:val="00FB35B4"/>
    <w:rsid w:val="00FB35CC"/>
    <w:rsid w:val="00FB35CF"/>
    <w:rsid w:val="00FB3624"/>
    <w:rsid w:val="00FB3632"/>
    <w:rsid w:val="00FB3638"/>
    <w:rsid w:val="00FB3642"/>
    <w:rsid w:val="00FB3643"/>
    <w:rsid w:val="00FB365A"/>
    <w:rsid w:val="00FB3672"/>
    <w:rsid w:val="00FB3698"/>
    <w:rsid w:val="00FB369C"/>
    <w:rsid w:val="00FB369E"/>
    <w:rsid w:val="00FB36DB"/>
    <w:rsid w:val="00FB36E8"/>
    <w:rsid w:val="00FB372E"/>
    <w:rsid w:val="00FB374D"/>
    <w:rsid w:val="00FB3761"/>
    <w:rsid w:val="00FB377B"/>
    <w:rsid w:val="00FB37B0"/>
    <w:rsid w:val="00FB37B5"/>
    <w:rsid w:val="00FB37D2"/>
    <w:rsid w:val="00FB37DA"/>
    <w:rsid w:val="00FB3814"/>
    <w:rsid w:val="00FB3829"/>
    <w:rsid w:val="00FB3873"/>
    <w:rsid w:val="00FB38A4"/>
    <w:rsid w:val="00FB38DA"/>
    <w:rsid w:val="00FB3911"/>
    <w:rsid w:val="00FB3915"/>
    <w:rsid w:val="00FB3972"/>
    <w:rsid w:val="00FB39FE"/>
    <w:rsid w:val="00FB3A7C"/>
    <w:rsid w:val="00FB3A85"/>
    <w:rsid w:val="00FB3AB2"/>
    <w:rsid w:val="00FB3ABA"/>
    <w:rsid w:val="00FB3AC5"/>
    <w:rsid w:val="00FB3ADD"/>
    <w:rsid w:val="00FB3AF4"/>
    <w:rsid w:val="00FB3B06"/>
    <w:rsid w:val="00FB3B20"/>
    <w:rsid w:val="00FB3B35"/>
    <w:rsid w:val="00FB3B3A"/>
    <w:rsid w:val="00FB3B43"/>
    <w:rsid w:val="00FB3B85"/>
    <w:rsid w:val="00FB3B9C"/>
    <w:rsid w:val="00FB3BB1"/>
    <w:rsid w:val="00FB3BE7"/>
    <w:rsid w:val="00FB3C3F"/>
    <w:rsid w:val="00FB3C58"/>
    <w:rsid w:val="00FB3C78"/>
    <w:rsid w:val="00FB3C8D"/>
    <w:rsid w:val="00FB3CB6"/>
    <w:rsid w:val="00FB3CF8"/>
    <w:rsid w:val="00FB3D1F"/>
    <w:rsid w:val="00FB3D25"/>
    <w:rsid w:val="00FB3D47"/>
    <w:rsid w:val="00FB3D7B"/>
    <w:rsid w:val="00FB3DB6"/>
    <w:rsid w:val="00FB3DC4"/>
    <w:rsid w:val="00FB3DCD"/>
    <w:rsid w:val="00FB3E04"/>
    <w:rsid w:val="00FB3E0D"/>
    <w:rsid w:val="00FB3E5A"/>
    <w:rsid w:val="00FB3E68"/>
    <w:rsid w:val="00FB3E85"/>
    <w:rsid w:val="00FB3EA8"/>
    <w:rsid w:val="00FB3EAD"/>
    <w:rsid w:val="00FB3EBD"/>
    <w:rsid w:val="00FB3F0F"/>
    <w:rsid w:val="00FB3F27"/>
    <w:rsid w:val="00FB3F93"/>
    <w:rsid w:val="00FB3FBF"/>
    <w:rsid w:val="00FB3FC2"/>
    <w:rsid w:val="00FB3FC6"/>
    <w:rsid w:val="00FB4011"/>
    <w:rsid w:val="00FB402C"/>
    <w:rsid w:val="00FB4030"/>
    <w:rsid w:val="00FB4056"/>
    <w:rsid w:val="00FB4067"/>
    <w:rsid w:val="00FB40A6"/>
    <w:rsid w:val="00FB40DF"/>
    <w:rsid w:val="00FB4114"/>
    <w:rsid w:val="00FB4129"/>
    <w:rsid w:val="00FB4137"/>
    <w:rsid w:val="00FB4164"/>
    <w:rsid w:val="00FB41D0"/>
    <w:rsid w:val="00FB423B"/>
    <w:rsid w:val="00FB4249"/>
    <w:rsid w:val="00FB4257"/>
    <w:rsid w:val="00FB4292"/>
    <w:rsid w:val="00FB42DE"/>
    <w:rsid w:val="00FB42EB"/>
    <w:rsid w:val="00FB4300"/>
    <w:rsid w:val="00FB4315"/>
    <w:rsid w:val="00FB431D"/>
    <w:rsid w:val="00FB4361"/>
    <w:rsid w:val="00FB4364"/>
    <w:rsid w:val="00FB438E"/>
    <w:rsid w:val="00FB4397"/>
    <w:rsid w:val="00FB43B5"/>
    <w:rsid w:val="00FB43C3"/>
    <w:rsid w:val="00FB4407"/>
    <w:rsid w:val="00FB4459"/>
    <w:rsid w:val="00FB4470"/>
    <w:rsid w:val="00FB4484"/>
    <w:rsid w:val="00FB448F"/>
    <w:rsid w:val="00FB44B0"/>
    <w:rsid w:val="00FB4539"/>
    <w:rsid w:val="00FB4557"/>
    <w:rsid w:val="00FB455F"/>
    <w:rsid w:val="00FB4579"/>
    <w:rsid w:val="00FB45AB"/>
    <w:rsid w:val="00FB4658"/>
    <w:rsid w:val="00FB46A8"/>
    <w:rsid w:val="00FB46B2"/>
    <w:rsid w:val="00FB46B9"/>
    <w:rsid w:val="00FB46DB"/>
    <w:rsid w:val="00FB46F2"/>
    <w:rsid w:val="00FB4722"/>
    <w:rsid w:val="00FB4730"/>
    <w:rsid w:val="00FB4798"/>
    <w:rsid w:val="00FB47C3"/>
    <w:rsid w:val="00FB47CA"/>
    <w:rsid w:val="00FB47CB"/>
    <w:rsid w:val="00FB4816"/>
    <w:rsid w:val="00FB485F"/>
    <w:rsid w:val="00FB4875"/>
    <w:rsid w:val="00FB488C"/>
    <w:rsid w:val="00FB489F"/>
    <w:rsid w:val="00FB48AB"/>
    <w:rsid w:val="00FB48CA"/>
    <w:rsid w:val="00FB4911"/>
    <w:rsid w:val="00FB4924"/>
    <w:rsid w:val="00FB4937"/>
    <w:rsid w:val="00FB4943"/>
    <w:rsid w:val="00FB4976"/>
    <w:rsid w:val="00FB497D"/>
    <w:rsid w:val="00FB4987"/>
    <w:rsid w:val="00FB4995"/>
    <w:rsid w:val="00FB49D3"/>
    <w:rsid w:val="00FB49EE"/>
    <w:rsid w:val="00FB4A00"/>
    <w:rsid w:val="00FB4A05"/>
    <w:rsid w:val="00FB4A1F"/>
    <w:rsid w:val="00FB4AEB"/>
    <w:rsid w:val="00FB4AEF"/>
    <w:rsid w:val="00FB4B3A"/>
    <w:rsid w:val="00FB4B54"/>
    <w:rsid w:val="00FB4B8B"/>
    <w:rsid w:val="00FB4BD3"/>
    <w:rsid w:val="00FB4BDF"/>
    <w:rsid w:val="00FB4BE1"/>
    <w:rsid w:val="00FB4C3E"/>
    <w:rsid w:val="00FB4C41"/>
    <w:rsid w:val="00FB4C82"/>
    <w:rsid w:val="00FB4CCB"/>
    <w:rsid w:val="00FB4CCD"/>
    <w:rsid w:val="00FB4CEF"/>
    <w:rsid w:val="00FB4D05"/>
    <w:rsid w:val="00FB4D53"/>
    <w:rsid w:val="00FB4D65"/>
    <w:rsid w:val="00FB4D79"/>
    <w:rsid w:val="00FB4DD2"/>
    <w:rsid w:val="00FB4DF6"/>
    <w:rsid w:val="00FB4DF9"/>
    <w:rsid w:val="00FB4E31"/>
    <w:rsid w:val="00FB4E3B"/>
    <w:rsid w:val="00FB4E82"/>
    <w:rsid w:val="00FB4E8B"/>
    <w:rsid w:val="00FB4E9B"/>
    <w:rsid w:val="00FB4ED6"/>
    <w:rsid w:val="00FB4EEE"/>
    <w:rsid w:val="00FB4EFE"/>
    <w:rsid w:val="00FB4F01"/>
    <w:rsid w:val="00FB4F46"/>
    <w:rsid w:val="00FB4FE1"/>
    <w:rsid w:val="00FB4FF3"/>
    <w:rsid w:val="00FB5014"/>
    <w:rsid w:val="00FB506B"/>
    <w:rsid w:val="00FB5089"/>
    <w:rsid w:val="00FB509E"/>
    <w:rsid w:val="00FB50A8"/>
    <w:rsid w:val="00FB50C6"/>
    <w:rsid w:val="00FB5108"/>
    <w:rsid w:val="00FB511C"/>
    <w:rsid w:val="00FB5121"/>
    <w:rsid w:val="00FB512F"/>
    <w:rsid w:val="00FB514F"/>
    <w:rsid w:val="00FB515D"/>
    <w:rsid w:val="00FB51FA"/>
    <w:rsid w:val="00FB5251"/>
    <w:rsid w:val="00FB5261"/>
    <w:rsid w:val="00FB526F"/>
    <w:rsid w:val="00FB52B4"/>
    <w:rsid w:val="00FB5355"/>
    <w:rsid w:val="00FB5459"/>
    <w:rsid w:val="00FB549A"/>
    <w:rsid w:val="00FB54B2"/>
    <w:rsid w:val="00FB54E1"/>
    <w:rsid w:val="00FB54E2"/>
    <w:rsid w:val="00FB54EB"/>
    <w:rsid w:val="00FB555B"/>
    <w:rsid w:val="00FB5580"/>
    <w:rsid w:val="00FB559D"/>
    <w:rsid w:val="00FB559E"/>
    <w:rsid w:val="00FB55AE"/>
    <w:rsid w:val="00FB55E1"/>
    <w:rsid w:val="00FB55F5"/>
    <w:rsid w:val="00FB55F8"/>
    <w:rsid w:val="00FB5626"/>
    <w:rsid w:val="00FB5659"/>
    <w:rsid w:val="00FB566B"/>
    <w:rsid w:val="00FB568B"/>
    <w:rsid w:val="00FB5698"/>
    <w:rsid w:val="00FB56B2"/>
    <w:rsid w:val="00FB56C4"/>
    <w:rsid w:val="00FB56C7"/>
    <w:rsid w:val="00FB56D4"/>
    <w:rsid w:val="00FB570C"/>
    <w:rsid w:val="00FB570E"/>
    <w:rsid w:val="00FB5746"/>
    <w:rsid w:val="00FB5794"/>
    <w:rsid w:val="00FB57B9"/>
    <w:rsid w:val="00FB57F0"/>
    <w:rsid w:val="00FB5800"/>
    <w:rsid w:val="00FB5811"/>
    <w:rsid w:val="00FB584E"/>
    <w:rsid w:val="00FB585D"/>
    <w:rsid w:val="00FB5868"/>
    <w:rsid w:val="00FB5898"/>
    <w:rsid w:val="00FB58EB"/>
    <w:rsid w:val="00FB58FC"/>
    <w:rsid w:val="00FB590C"/>
    <w:rsid w:val="00FB5938"/>
    <w:rsid w:val="00FB59DD"/>
    <w:rsid w:val="00FB59DE"/>
    <w:rsid w:val="00FB59E5"/>
    <w:rsid w:val="00FB59F7"/>
    <w:rsid w:val="00FB59FF"/>
    <w:rsid w:val="00FB5A0D"/>
    <w:rsid w:val="00FB5A98"/>
    <w:rsid w:val="00FB5B3F"/>
    <w:rsid w:val="00FB5B6E"/>
    <w:rsid w:val="00FB5BCE"/>
    <w:rsid w:val="00FB5BDE"/>
    <w:rsid w:val="00FB5C21"/>
    <w:rsid w:val="00FB5C2C"/>
    <w:rsid w:val="00FB5C35"/>
    <w:rsid w:val="00FB5C58"/>
    <w:rsid w:val="00FB5C68"/>
    <w:rsid w:val="00FB5C6A"/>
    <w:rsid w:val="00FB5C97"/>
    <w:rsid w:val="00FB5CDB"/>
    <w:rsid w:val="00FB5D09"/>
    <w:rsid w:val="00FB5D0D"/>
    <w:rsid w:val="00FB5D28"/>
    <w:rsid w:val="00FB5D3D"/>
    <w:rsid w:val="00FB5D57"/>
    <w:rsid w:val="00FB5D5E"/>
    <w:rsid w:val="00FB5D7D"/>
    <w:rsid w:val="00FB5D8A"/>
    <w:rsid w:val="00FB5DA8"/>
    <w:rsid w:val="00FB5DC2"/>
    <w:rsid w:val="00FB5DEB"/>
    <w:rsid w:val="00FB5DF2"/>
    <w:rsid w:val="00FB5E47"/>
    <w:rsid w:val="00FB5EAB"/>
    <w:rsid w:val="00FB5ECA"/>
    <w:rsid w:val="00FB5EE8"/>
    <w:rsid w:val="00FB5EFE"/>
    <w:rsid w:val="00FB5F14"/>
    <w:rsid w:val="00FB5F24"/>
    <w:rsid w:val="00FB5F27"/>
    <w:rsid w:val="00FB5F7F"/>
    <w:rsid w:val="00FB5F8B"/>
    <w:rsid w:val="00FB5FA8"/>
    <w:rsid w:val="00FB5FAC"/>
    <w:rsid w:val="00FB5FC4"/>
    <w:rsid w:val="00FB5FF6"/>
    <w:rsid w:val="00FB6069"/>
    <w:rsid w:val="00FB60B9"/>
    <w:rsid w:val="00FB60E3"/>
    <w:rsid w:val="00FB6107"/>
    <w:rsid w:val="00FB618E"/>
    <w:rsid w:val="00FB619E"/>
    <w:rsid w:val="00FB61BB"/>
    <w:rsid w:val="00FB61BE"/>
    <w:rsid w:val="00FB61D7"/>
    <w:rsid w:val="00FB61E2"/>
    <w:rsid w:val="00FB61F0"/>
    <w:rsid w:val="00FB61F9"/>
    <w:rsid w:val="00FB6205"/>
    <w:rsid w:val="00FB6256"/>
    <w:rsid w:val="00FB6274"/>
    <w:rsid w:val="00FB62F7"/>
    <w:rsid w:val="00FB6304"/>
    <w:rsid w:val="00FB633F"/>
    <w:rsid w:val="00FB6376"/>
    <w:rsid w:val="00FB6379"/>
    <w:rsid w:val="00FB639E"/>
    <w:rsid w:val="00FB640D"/>
    <w:rsid w:val="00FB6440"/>
    <w:rsid w:val="00FB6481"/>
    <w:rsid w:val="00FB64AC"/>
    <w:rsid w:val="00FB64C6"/>
    <w:rsid w:val="00FB64F0"/>
    <w:rsid w:val="00FB652F"/>
    <w:rsid w:val="00FB6537"/>
    <w:rsid w:val="00FB653C"/>
    <w:rsid w:val="00FB654C"/>
    <w:rsid w:val="00FB6596"/>
    <w:rsid w:val="00FB65BC"/>
    <w:rsid w:val="00FB65BD"/>
    <w:rsid w:val="00FB65D6"/>
    <w:rsid w:val="00FB65E3"/>
    <w:rsid w:val="00FB65EB"/>
    <w:rsid w:val="00FB65EC"/>
    <w:rsid w:val="00FB65EE"/>
    <w:rsid w:val="00FB6622"/>
    <w:rsid w:val="00FB664D"/>
    <w:rsid w:val="00FB6669"/>
    <w:rsid w:val="00FB66B4"/>
    <w:rsid w:val="00FB66C0"/>
    <w:rsid w:val="00FB66CA"/>
    <w:rsid w:val="00FB66CC"/>
    <w:rsid w:val="00FB67A4"/>
    <w:rsid w:val="00FB67C1"/>
    <w:rsid w:val="00FB6813"/>
    <w:rsid w:val="00FB6814"/>
    <w:rsid w:val="00FB6846"/>
    <w:rsid w:val="00FB6855"/>
    <w:rsid w:val="00FB68A2"/>
    <w:rsid w:val="00FB68BA"/>
    <w:rsid w:val="00FB68BE"/>
    <w:rsid w:val="00FB6924"/>
    <w:rsid w:val="00FB694C"/>
    <w:rsid w:val="00FB694F"/>
    <w:rsid w:val="00FB69A1"/>
    <w:rsid w:val="00FB6A0D"/>
    <w:rsid w:val="00FB6A59"/>
    <w:rsid w:val="00FB6A72"/>
    <w:rsid w:val="00FB6B20"/>
    <w:rsid w:val="00FB6B69"/>
    <w:rsid w:val="00FB6B83"/>
    <w:rsid w:val="00FB6BD7"/>
    <w:rsid w:val="00FB6BE8"/>
    <w:rsid w:val="00FB6C23"/>
    <w:rsid w:val="00FB6C29"/>
    <w:rsid w:val="00FB6C3C"/>
    <w:rsid w:val="00FB6C42"/>
    <w:rsid w:val="00FB6C5B"/>
    <w:rsid w:val="00FB6C77"/>
    <w:rsid w:val="00FB6C7F"/>
    <w:rsid w:val="00FB6C9C"/>
    <w:rsid w:val="00FB6CCF"/>
    <w:rsid w:val="00FB6CDA"/>
    <w:rsid w:val="00FB6CE6"/>
    <w:rsid w:val="00FB6CF9"/>
    <w:rsid w:val="00FB6D05"/>
    <w:rsid w:val="00FB6D41"/>
    <w:rsid w:val="00FB6D75"/>
    <w:rsid w:val="00FB6D9E"/>
    <w:rsid w:val="00FB6DA3"/>
    <w:rsid w:val="00FB6DBC"/>
    <w:rsid w:val="00FB6DD4"/>
    <w:rsid w:val="00FB6DDD"/>
    <w:rsid w:val="00FB6E09"/>
    <w:rsid w:val="00FB6E75"/>
    <w:rsid w:val="00FB6EA5"/>
    <w:rsid w:val="00FB6FBA"/>
    <w:rsid w:val="00FB6FCA"/>
    <w:rsid w:val="00FB6FD6"/>
    <w:rsid w:val="00FB6FEE"/>
    <w:rsid w:val="00FB6FF8"/>
    <w:rsid w:val="00FB7009"/>
    <w:rsid w:val="00FB703E"/>
    <w:rsid w:val="00FB704B"/>
    <w:rsid w:val="00FB7085"/>
    <w:rsid w:val="00FB70BB"/>
    <w:rsid w:val="00FB70C7"/>
    <w:rsid w:val="00FB7170"/>
    <w:rsid w:val="00FB723A"/>
    <w:rsid w:val="00FB723E"/>
    <w:rsid w:val="00FB7247"/>
    <w:rsid w:val="00FB7270"/>
    <w:rsid w:val="00FB7320"/>
    <w:rsid w:val="00FB7330"/>
    <w:rsid w:val="00FB7370"/>
    <w:rsid w:val="00FB73A4"/>
    <w:rsid w:val="00FB73D1"/>
    <w:rsid w:val="00FB73D2"/>
    <w:rsid w:val="00FB73ED"/>
    <w:rsid w:val="00FB7411"/>
    <w:rsid w:val="00FB742A"/>
    <w:rsid w:val="00FB74F0"/>
    <w:rsid w:val="00FB7575"/>
    <w:rsid w:val="00FB757F"/>
    <w:rsid w:val="00FB75A7"/>
    <w:rsid w:val="00FB75B6"/>
    <w:rsid w:val="00FB75BC"/>
    <w:rsid w:val="00FB75F2"/>
    <w:rsid w:val="00FB7633"/>
    <w:rsid w:val="00FB7637"/>
    <w:rsid w:val="00FB7641"/>
    <w:rsid w:val="00FB76A3"/>
    <w:rsid w:val="00FB76DF"/>
    <w:rsid w:val="00FB76F7"/>
    <w:rsid w:val="00FB7718"/>
    <w:rsid w:val="00FB7759"/>
    <w:rsid w:val="00FB7761"/>
    <w:rsid w:val="00FB777F"/>
    <w:rsid w:val="00FB778F"/>
    <w:rsid w:val="00FB77C7"/>
    <w:rsid w:val="00FB77D2"/>
    <w:rsid w:val="00FB77DF"/>
    <w:rsid w:val="00FB77FF"/>
    <w:rsid w:val="00FB7838"/>
    <w:rsid w:val="00FB7860"/>
    <w:rsid w:val="00FB78A8"/>
    <w:rsid w:val="00FB7908"/>
    <w:rsid w:val="00FB794C"/>
    <w:rsid w:val="00FB7967"/>
    <w:rsid w:val="00FB7983"/>
    <w:rsid w:val="00FB7984"/>
    <w:rsid w:val="00FB7987"/>
    <w:rsid w:val="00FB79D6"/>
    <w:rsid w:val="00FB7A20"/>
    <w:rsid w:val="00FB7A43"/>
    <w:rsid w:val="00FB7A46"/>
    <w:rsid w:val="00FB7A7A"/>
    <w:rsid w:val="00FB7A7D"/>
    <w:rsid w:val="00FB7A91"/>
    <w:rsid w:val="00FB7AB0"/>
    <w:rsid w:val="00FB7ADF"/>
    <w:rsid w:val="00FB7AEB"/>
    <w:rsid w:val="00FB7AF9"/>
    <w:rsid w:val="00FB7B1F"/>
    <w:rsid w:val="00FB7B48"/>
    <w:rsid w:val="00FB7B4F"/>
    <w:rsid w:val="00FB7B5F"/>
    <w:rsid w:val="00FB7B62"/>
    <w:rsid w:val="00FB7BC2"/>
    <w:rsid w:val="00FB7BD9"/>
    <w:rsid w:val="00FB7C43"/>
    <w:rsid w:val="00FB7CBD"/>
    <w:rsid w:val="00FB7CD8"/>
    <w:rsid w:val="00FB7D27"/>
    <w:rsid w:val="00FB7D29"/>
    <w:rsid w:val="00FB7D3E"/>
    <w:rsid w:val="00FB7D46"/>
    <w:rsid w:val="00FB7D76"/>
    <w:rsid w:val="00FB7E00"/>
    <w:rsid w:val="00FB7E27"/>
    <w:rsid w:val="00FB7E3E"/>
    <w:rsid w:val="00FB7E56"/>
    <w:rsid w:val="00FB7E74"/>
    <w:rsid w:val="00FB7E8C"/>
    <w:rsid w:val="00FB7ECA"/>
    <w:rsid w:val="00FB7ED6"/>
    <w:rsid w:val="00FB7EF7"/>
    <w:rsid w:val="00FB7EF9"/>
    <w:rsid w:val="00FB7F16"/>
    <w:rsid w:val="00FB7F4E"/>
    <w:rsid w:val="00FB7FBE"/>
    <w:rsid w:val="00FB7FFA"/>
    <w:rsid w:val="00FC0026"/>
    <w:rsid w:val="00FC0030"/>
    <w:rsid w:val="00FC00B8"/>
    <w:rsid w:val="00FC0126"/>
    <w:rsid w:val="00FC0170"/>
    <w:rsid w:val="00FC017B"/>
    <w:rsid w:val="00FC0295"/>
    <w:rsid w:val="00FC02B5"/>
    <w:rsid w:val="00FC02C9"/>
    <w:rsid w:val="00FC02CE"/>
    <w:rsid w:val="00FC02D5"/>
    <w:rsid w:val="00FC036F"/>
    <w:rsid w:val="00FC03A7"/>
    <w:rsid w:val="00FC03D8"/>
    <w:rsid w:val="00FC0418"/>
    <w:rsid w:val="00FC0423"/>
    <w:rsid w:val="00FC043C"/>
    <w:rsid w:val="00FC0447"/>
    <w:rsid w:val="00FC0471"/>
    <w:rsid w:val="00FC0477"/>
    <w:rsid w:val="00FC04A3"/>
    <w:rsid w:val="00FC04AE"/>
    <w:rsid w:val="00FC04F9"/>
    <w:rsid w:val="00FC0543"/>
    <w:rsid w:val="00FC0598"/>
    <w:rsid w:val="00FC059A"/>
    <w:rsid w:val="00FC059D"/>
    <w:rsid w:val="00FC05C0"/>
    <w:rsid w:val="00FC05EA"/>
    <w:rsid w:val="00FC05FB"/>
    <w:rsid w:val="00FC0600"/>
    <w:rsid w:val="00FC0615"/>
    <w:rsid w:val="00FC0617"/>
    <w:rsid w:val="00FC0629"/>
    <w:rsid w:val="00FC06AD"/>
    <w:rsid w:val="00FC06BD"/>
    <w:rsid w:val="00FC06C3"/>
    <w:rsid w:val="00FC06F6"/>
    <w:rsid w:val="00FC0712"/>
    <w:rsid w:val="00FC0718"/>
    <w:rsid w:val="00FC07AD"/>
    <w:rsid w:val="00FC07B6"/>
    <w:rsid w:val="00FC07CB"/>
    <w:rsid w:val="00FC07EA"/>
    <w:rsid w:val="00FC080C"/>
    <w:rsid w:val="00FC088B"/>
    <w:rsid w:val="00FC08F9"/>
    <w:rsid w:val="00FC08FC"/>
    <w:rsid w:val="00FC08FF"/>
    <w:rsid w:val="00FC0919"/>
    <w:rsid w:val="00FC0935"/>
    <w:rsid w:val="00FC0952"/>
    <w:rsid w:val="00FC0A44"/>
    <w:rsid w:val="00FC0A8A"/>
    <w:rsid w:val="00FC0AFF"/>
    <w:rsid w:val="00FC0B03"/>
    <w:rsid w:val="00FC0B6E"/>
    <w:rsid w:val="00FC0B77"/>
    <w:rsid w:val="00FC0B80"/>
    <w:rsid w:val="00FC0BC9"/>
    <w:rsid w:val="00FC0C2B"/>
    <w:rsid w:val="00FC0C30"/>
    <w:rsid w:val="00FC0C65"/>
    <w:rsid w:val="00FC0C74"/>
    <w:rsid w:val="00FC0CC0"/>
    <w:rsid w:val="00FC0CF0"/>
    <w:rsid w:val="00FC0D1C"/>
    <w:rsid w:val="00FC0D6E"/>
    <w:rsid w:val="00FC0DA7"/>
    <w:rsid w:val="00FC0DBE"/>
    <w:rsid w:val="00FC0E86"/>
    <w:rsid w:val="00FC0EDD"/>
    <w:rsid w:val="00FC0F25"/>
    <w:rsid w:val="00FC0F41"/>
    <w:rsid w:val="00FC0F54"/>
    <w:rsid w:val="00FC0F6D"/>
    <w:rsid w:val="00FC0F7B"/>
    <w:rsid w:val="00FC0F99"/>
    <w:rsid w:val="00FC0FF4"/>
    <w:rsid w:val="00FC0FFD"/>
    <w:rsid w:val="00FC1037"/>
    <w:rsid w:val="00FC10BF"/>
    <w:rsid w:val="00FC10C6"/>
    <w:rsid w:val="00FC10C7"/>
    <w:rsid w:val="00FC1131"/>
    <w:rsid w:val="00FC117F"/>
    <w:rsid w:val="00FC1183"/>
    <w:rsid w:val="00FC11D0"/>
    <w:rsid w:val="00FC11D9"/>
    <w:rsid w:val="00FC11E3"/>
    <w:rsid w:val="00FC11FA"/>
    <w:rsid w:val="00FC1240"/>
    <w:rsid w:val="00FC12A9"/>
    <w:rsid w:val="00FC12AD"/>
    <w:rsid w:val="00FC12D0"/>
    <w:rsid w:val="00FC12D1"/>
    <w:rsid w:val="00FC12DB"/>
    <w:rsid w:val="00FC133A"/>
    <w:rsid w:val="00FC1346"/>
    <w:rsid w:val="00FC1356"/>
    <w:rsid w:val="00FC138B"/>
    <w:rsid w:val="00FC13A0"/>
    <w:rsid w:val="00FC13D5"/>
    <w:rsid w:val="00FC145D"/>
    <w:rsid w:val="00FC1489"/>
    <w:rsid w:val="00FC14B0"/>
    <w:rsid w:val="00FC14C6"/>
    <w:rsid w:val="00FC1525"/>
    <w:rsid w:val="00FC1580"/>
    <w:rsid w:val="00FC159D"/>
    <w:rsid w:val="00FC15AA"/>
    <w:rsid w:val="00FC15C6"/>
    <w:rsid w:val="00FC15EE"/>
    <w:rsid w:val="00FC1629"/>
    <w:rsid w:val="00FC1635"/>
    <w:rsid w:val="00FC168F"/>
    <w:rsid w:val="00FC1692"/>
    <w:rsid w:val="00FC1701"/>
    <w:rsid w:val="00FC175E"/>
    <w:rsid w:val="00FC1771"/>
    <w:rsid w:val="00FC17B0"/>
    <w:rsid w:val="00FC17C3"/>
    <w:rsid w:val="00FC17D0"/>
    <w:rsid w:val="00FC17F8"/>
    <w:rsid w:val="00FC180F"/>
    <w:rsid w:val="00FC1818"/>
    <w:rsid w:val="00FC1822"/>
    <w:rsid w:val="00FC1847"/>
    <w:rsid w:val="00FC184B"/>
    <w:rsid w:val="00FC184E"/>
    <w:rsid w:val="00FC1856"/>
    <w:rsid w:val="00FC186F"/>
    <w:rsid w:val="00FC187B"/>
    <w:rsid w:val="00FC18DB"/>
    <w:rsid w:val="00FC191B"/>
    <w:rsid w:val="00FC1970"/>
    <w:rsid w:val="00FC1979"/>
    <w:rsid w:val="00FC19A3"/>
    <w:rsid w:val="00FC19C6"/>
    <w:rsid w:val="00FC19C7"/>
    <w:rsid w:val="00FC19E4"/>
    <w:rsid w:val="00FC19EF"/>
    <w:rsid w:val="00FC1A16"/>
    <w:rsid w:val="00FC1A20"/>
    <w:rsid w:val="00FC1A2B"/>
    <w:rsid w:val="00FC1A50"/>
    <w:rsid w:val="00FC1A54"/>
    <w:rsid w:val="00FC1A5A"/>
    <w:rsid w:val="00FC1A87"/>
    <w:rsid w:val="00FC1AAF"/>
    <w:rsid w:val="00FC1ABD"/>
    <w:rsid w:val="00FC1AC2"/>
    <w:rsid w:val="00FC1ACE"/>
    <w:rsid w:val="00FC1AD1"/>
    <w:rsid w:val="00FC1B5A"/>
    <w:rsid w:val="00FC1B67"/>
    <w:rsid w:val="00FC1B77"/>
    <w:rsid w:val="00FC1B7C"/>
    <w:rsid w:val="00FC1B98"/>
    <w:rsid w:val="00FC1BAD"/>
    <w:rsid w:val="00FC1C18"/>
    <w:rsid w:val="00FC1C26"/>
    <w:rsid w:val="00FC1C35"/>
    <w:rsid w:val="00FC1CBF"/>
    <w:rsid w:val="00FC1D01"/>
    <w:rsid w:val="00FC1D29"/>
    <w:rsid w:val="00FC1D2F"/>
    <w:rsid w:val="00FC1D45"/>
    <w:rsid w:val="00FC1D56"/>
    <w:rsid w:val="00FC1D6B"/>
    <w:rsid w:val="00FC1DC0"/>
    <w:rsid w:val="00FC1E51"/>
    <w:rsid w:val="00FC1EA1"/>
    <w:rsid w:val="00FC1EDA"/>
    <w:rsid w:val="00FC1EE3"/>
    <w:rsid w:val="00FC1F3C"/>
    <w:rsid w:val="00FC1F52"/>
    <w:rsid w:val="00FC1FC0"/>
    <w:rsid w:val="00FC1FC4"/>
    <w:rsid w:val="00FC1FE7"/>
    <w:rsid w:val="00FC1FF9"/>
    <w:rsid w:val="00FC201E"/>
    <w:rsid w:val="00FC2034"/>
    <w:rsid w:val="00FC20BE"/>
    <w:rsid w:val="00FC20C8"/>
    <w:rsid w:val="00FC210A"/>
    <w:rsid w:val="00FC2139"/>
    <w:rsid w:val="00FC217D"/>
    <w:rsid w:val="00FC2194"/>
    <w:rsid w:val="00FC2198"/>
    <w:rsid w:val="00FC221A"/>
    <w:rsid w:val="00FC2277"/>
    <w:rsid w:val="00FC2278"/>
    <w:rsid w:val="00FC22C3"/>
    <w:rsid w:val="00FC22CB"/>
    <w:rsid w:val="00FC22D2"/>
    <w:rsid w:val="00FC22F9"/>
    <w:rsid w:val="00FC2306"/>
    <w:rsid w:val="00FC23F3"/>
    <w:rsid w:val="00FC2425"/>
    <w:rsid w:val="00FC243B"/>
    <w:rsid w:val="00FC2443"/>
    <w:rsid w:val="00FC2444"/>
    <w:rsid w:val="00FC244F"/>
    <w:rsid w:val="00FC2478"/>
    <w:rsid w:val="00FC248D"/>
    <w:rsid w:val="00FC2490"/>
    <w:rsid w:val="00FC249B"/>
    <w:rsid w:val="00FC250F"/>
    <w:rsid w:val="00FC2525"/>
    <w:rsid w:val="00FC252F"/>
    <w:rsid w:val="00FC2572"/>
    <w:rsid w:val="00FC2594"/>
    <w:rsid w:val="00FC25A8"/>
    <w:rsid w:val="00FC25E6"/>
    <w:rsid w:val="00FC25F2"/>
    <w:rsid w:val="00FC2603"/>
    <w:rsid w:val="00FC2635"/>
    <w:rsid w:val="00FC2656"/>
    <w:rsid w:val="00FC2689"/>
    <w:rsid w:val="00FC26A4"/>
    <w:rsid w:val="00FC270C"/>
    <w:rsid w:val="00FC2736"/>
    <w:rsid w:val="00FC2751"/>
    <w:rsid w:val="00FC2765"/>
    <w:rsid w:val="00FC2798"/>
    <w:rsid w:val="00FC27CB"/>
    <w:rsid w:val="00FC27DF"/>
    <w:rsid w:val="00FC27F3"/>
    <w:rsid w:val="00FC27F9"/>
    <w:rsid w:val="00FC281E"/>
    <w:rsid w:val="00FC2832"/>
    <w:rsid w:val="00FC2856"/>
    <w:rsid w:val="00FC28D8"/>
    <w:rsid w:val="00FC2973"/>
    <w:rsid w:val="00FC2978"/>
    <w:rsid w:val="00FC2A0C"/>
    <w:rsid w:val="00FC2A2C"/>
    <w:rsid w:val="00FC2ABC"/>
    <w:rsid w:val="00FC2ABE"/>
    <w:rsid w:val="00FC2B37"/>
    <w:rsid w:val="00FC2B49"/>
    <w:rsid w:val="00FC2BC5"/>
    <w:rsid w:val="00FC2BF6"/>
    <w:rsid w:val="00FC2C04"/>
    <w:rsid w:val="00FC2C07"/>
    <w:rsid w:val="00FC2C52"/>
    <w:rsid w:val="00FC2CAC"/>
    <w:rsid w:val="00FC2CFC"/>
    <w:rsid w:val="00FC2D12"/>
    <w:rsid w:val="00FC2D26"/>
    <w:rsid w:val="00FC2D2F"/>
    <w:rsid w:val="00FC2D42"/>
    <w:rsid w:val="00FC2D77"/>
    <w:rsid w:val="00FC2D90"/>
    <w:rsid w:val="00FC2DA1"/>
    <w:rsid w:val="00FC2DC6"/>
    <w:rsid w:val="00FC2DD4"/>
    <w:rsid w:val="00FC2DEE"/>
    <w:rsid w:val="00FC2DFB"/>
    <w:rsid w:val="00FC2E1C"/>
    <w:rsid w:val="00FC2E2D"/>
    <w:rsid w:val="00FC2E44"/>
    <w:rsid w:val="00FC2E8A"/>
    <w:rsid w:val="00FC2E8C"/>
    <w:rsid w:val="00FC2ECB"/>
    <w:rsid w:val="00FC2ED8"/>
    <w:rsid w:val="00FC2EE6"/>
    <w:rsid w:val="00FC2EFA"/>
    <w:rsid w:val="00FC2F04"/>
    <w:rsid w:val="00FC2F13"/>
    <w:rsid w:val="00FC2FBE"/>
    <w:rsid w:val="00FC2FDA"/>
    <w:rsid w:val="00FC3033"/>
    <w:rsid w:val="00FC3069"/>
    <w:rsid w:val="00FC30B8"/>
    <w:rsid w:val="00FC30C7"/>
    <w:rsid w:val="00FC30E1"/>
    <w:rsid w:val="00FC30E8"/>
    <w:rsid w:val="00FC312D"/>
    <w:rsid w:val="00FC317D"/>
    <w:rsid w:val="00FC317F"/>
    <w:rsid w:val="00FC3197"/>
    <w:rsid w:val="00FC31FF"/>
    <w:rsid w:val="00FC32BA"/>
    <w:rsid w:val="00FC3335"/>
    <w:rsid w:val="00FC3336"/>
    <w:rsid w:val="00FC3349"/>
    <w:rsid w:val="00FC3360"/>
    <w:rsid w:val="00FC3386"/>
    <w:rsid w:val="00FC33EB"/>
    <w:rsid w:val="00FC33F7"/>
    <w:rsid w:val="00FC3416"/>
    <w:rsid w:val="00FC3430"/>
    <w:rsid w:val="00FC344E"/>
    <w:rsid w:val="00FC3465"/>
    <w:rsid w:val="00FC34A7"/>
    <w:rsid w:val="00FC34CB"/>
    <w:rsid w:val="00FC351E"/>
    <w:rsid w:val="00FC352D"/>
    <w:rsid w:val="00FC355D"/>
    <w:rsid w:val="00FC3588"/>
    <w:rsid w:val="00FC358B"/>
    <w:rsid w:val="00FC35CD"/>
    <w:rsid w:val="00FC35E1"/>
    <w:rsid w:val="00FC35EA"/>
    <w:rsid w:val="00FC35F5"/>
    <w:rsid w:val="00FC3604"/>
    <w:rsid w:val="00FC3615"/>
    <w:rsid w:val="00FC3647"/>
    <w:rsid w:val="00FC364B"/>
    <w:rsid w:val="00FC3678"/>
    <w:rsid w:val="00FC36AA"/>
    <w:rsid w:val="00FC3700"/>
    <w:rsid w:val="00FC370D"/>
    <w:rsid w:val="00FC374F"/>
    <w:rsid w:val="00FC378F"/>
    <w:rsid w:val="00FC380F"/>
    <w:rsid w:val="00FC385E"/>
    <w:rsid w:val="00FC388B"/>
    <w:rsid w:val="00FC38B5"/>
    <w:rsid w:val="00FC38DE"/>
    <w:rsid w:val="00FC38E5"/>
    <w:rsid w:val="00FC38E8"/>
    <w:rsid w:val="00FC38FB"/>
    <w:rsid w:val="00FC3922"/>
    <w:rsid w:val="00FC3930"/>
    <w:rsid w:val="00FC3937"/>
    <w:rsid w:val="00FC393A"/>
    <w:rsid w:val="00FC3951"/>
    <w:rsid w:val="00FC3977"/>
    <w:rsid w:val="00FC397E"/>
    <w:rsid w:val="00FC3985"/>
    <w:rsid w:val="00FC39A0"/>
    <w:rsid w:val="00FC3A17"/>
    <w:rsid w:val="00FC3A3A"/>
    <w:rsid w:val="00FC3AE8"/>
    <w:rsid w:val="00FC3AED"/>
    <w:rsid w:val="00FC3AF2"/>
    <w:rsid w:val="00FC3AFA"/>
    <w:rsid w:val="00FC3B0F"/>
    <w:rsid w:val="00FC3B24"/>
    <w:rsid w:val="00FC3B4A"/>
    <w:rsid w:val="00FC3B6A"/>
    <w:rsid w:val="00FC3B96"/>
    <w:rsid w:val="00FC3BA4"/>
    <w:rsid w:val="00FC3BC4"/>
    <w:rsid w:val="00FC3BDB"/>
    <w:rsid w:val="00FC3C32"/>
    <w:rsid w:val="00FC3C64"/>
    <w:rsid w:val="00FC3C66"/>
    <w:rsid w:val="00FC3C73"/>
    <w:rsid w:val="00FC3C7C"/>
    <w:rsid w:val="00FC3CD1"/>
    <w:rsid w:val="00FC3D00"/>
    <w:rsid w:val="00FC3D25"/>
    <w:rsid w:val="00FC3D56"/>
    <w:rsid w:val="00FC3D70"/>
    <w:rsid w:val="00FC3D8C"/>
    <w:rsid w:val="00FC3D9A"/>
    <w:rsid w:val="00FC3D9F"/>
    <w:rsid w:val="00FC3DAF"/>
    <w:rsid w:val="00FC3E6E"/>
    <w:rsid w:val="00FC3EF1"/>
    <w:rsid w:val="00FC3F01"/>
    <w:rsid w:val="00FC3F30"/>
    <w:rsid w:val="00FC3F73"/>
    <w:rsid w:val="00FC3FC0"/>
    <w:rsid w:val="00FC3FD3"/>
    <w:rsid w:val="00FC3FF1"/>
    <w:rsid w:val="00FC406C"/>
    <w:rsid w:val="00FC40C2"/>
    <w:rsid w:val="00FC4120"/>
    <w:rsid w:val="00FC413C"/>
    <w:rsid w:val="00FC414B"/>
    <w:rsid w:val="00FC41A3"/>
    <w:rsid w:val="00FC41F5"/>
    <w:rsid w:val="00FC4217"/>
    <w:rsid w:val="00FC4233"/>
    <w:rsid w:val="00FC4238"/>
    <w:rsid w:val="00FC42D3"/>
    <w:rsid w:val="00FC432B"/>
    <w:rsid w:val="00FC4335"/>
    <w:rsid w:val="00FC4337"/>
    <w:rsid w:val="00FC43B7"/>
    <w:rsid w:val="00FC43FF"/>
    <w:rsid w:val="00FC4408"/>
    <w:rsid w:val="00FC4438"/>
    <w:rsid w:val="00FC4456"/>
    <w:rsid w:val="00FC4467"/>
    <w:rsid w:val="00FC446A"/>
    <w:rsid w:val="00FC44A3"/>
    <w:rsid w:val="00FC4513"/>
    <w:rsid w:val="00FC4565"/>
    <w:rsid w:val="00FC4575"/>
    <w:rsid w:val="00FC458F"/>
    <w:rsid w:val="00FC459F"/>
    <w:rsid w:val="00FC45A8"/>
    <w:rsid w:val="00FC45B0"/>
    <w:rsid w:val="00FC45B1"/>
    <w:rsid w:val="00FC45B4"/>
    <w:rsid w:val="00FC45C8"/>
    <w:rsid w:val="00FC45E6"/>
    <w:rsid w:val="00FC4612"/>
    <w:rsid w:val="00FC4631"/>
    <w:rsid w:val="00FC4643"/>
    <w:rsid w:val="00FC4654"/>
    <w:rsid w:val="00FC4674"/>
    <w:rsid w:val="00FC468E"/>
    <w:rsid w:val="00FC4690"/>
    <w:rsid w:val="00FC470C"/>
    <w:rsid w:val="00FC473D"/>
    <w:rsid w:val="00FC474A"/>
    <w:rsid w:val="00FC4771"/>
    <w:rsid w:val="00FC4793"/>
    <w:rsid w:val="00FC47C7"/>
    <w:rsid w:val="00FC47FA"/>
    <w:rsid w:val="00FC47FD"/>
    <w:rsid w:val="00FC4880"/>
    <w:rsid w:val="00FC488D"/>
    <w:rsid w:val="00FC48A9"/>
    <w:rsid w:val="00FC48F0"/>
    <w:rsid w:val="00FC48F3"/>
    <w:rsid w:val="00FC4942"/>
    <w:rsid w:val="00FC495E"/>
    <w:rsid w:val="00FC4963"/>
    <w:rsid w:val="00FC4984"/>
    <w:rsid w:val="00FC499C"/>
    <w:rsid w:val="00FC49AE"/>
    <w:rsid w:val="00FC49C5"/>
    <w:rsid w:val="00FC49F3"/>
    <w:rsid w:val="00FC49FB"/>
    <w:rsid w:val="00FC4A0C"/>
    <w:rsid w:val="00FC4A1D"/>
    <w:rsid w:val="00FC4A27"/>
    <w:rsid w:val="00FC4A6A"/>
    <w:rsid w:val="00FC4A85"/>
    <w:rsid w:val="00FC4A9A"/>
    <w:rsid w:val="00FC4AC7"/>
    <w:rsid w:val="00FC4ADD"/>
    <w:rsid w:val="00FC4AF2"/>
    <w:rsid w:val="00FC4B11"/>
    <w:rsid w:val="00FC4B1F"/>
    <w:rsid w:val="00FC4B33"/>
    <w:rsid w:val="00FC4B7F"/>
    <w:rsid w:val="00FC4BB5"/>
    <w:rsid w:val="00FC4C09"/>
    <w:rsid w:val="00FC4C29"/>
    <w:rsid w:val="00FC4C60"/>
    <w:rsid w:val="00FC4C93"/>
    <w:rsid w:val="00FC4C99"/>
    <w:rsid w:val="00FC4C9A"/>
    <w:rsid w:val="00FC4CB1"/>
    <w:rsid w:val="00FC4CBB"/>
    <w:rsid w:val="00FC4CDF"/>
    <w:rsid w:val="00FC4D03"/>
    <w:rsid w:val="00FC4D2A"/>
    <w:rsid w:val="00FC4D33"/>
    <w:rsid w:val="00FC4D84"/>
    <w:rsid w:val="00FC4DC2"/>
    <w:rsid w:val="00FC4DCC"/>
    <w:rsid w:val="00FC4DF1"/>
    <w:rsid w:val="00FC4E0B"/>
    <w:rsid w:val="00FC4E10"/>
    <w:rsid w:val="00FC4E9F"/>
    <w:rsid w:val="00FC4EAA"/>
    <w:rsid w:val="00FC4EF0"/>
    <w:rsid w:val="00FC4F2E"/>
    <w:rsid w:val="00FC4F70"/>
    <w:rsid w:val="00FC4F98"/>
    <w:rsid w:val="00FC4FEC"/>
    <w:rsid w:val="00FC5041"/>
    <w:rsid w:val="00FC5079"/>
    <w:rsid w:val="00FC50D2"/>
    <w:rsid w:val="00FC50F3"/>
    <w:rsid w:val="00FC5107"/>
    <w:rsid w:val="00FC5120"/>
    <w:rsid w:val="00FC5159"/>
    <w:rsid w:val="00FC5198"/>
    <w:rsid w:val="00FC51E3"/>
    <w:rsid w:val="00FC5220"/>
    <w:rsid w:val="00FC5247"/>
    <w:rsid w:val="00FC5260"/>
    <w:rsid w:val="00FC5262"/>
    <w:rsid w:val="00FC5266"/>
    <w:rsid w:val="00FC5269"/>
    <w:rsid w:val="00FC527C"/>
    <w:rsid w:val="00FC5280"/>
    <w:rsid w:val="00FC52EF"/>
    <w:rsid w:val="00FC5314"/>
    <w:rsid w:val="00FC532D"/>
    <w:rsid w:val="00FC5377"/>
    <w:rsid w:val="00FC538D"/>
    <w:rsid w:val="00FC5398"/>
    <w:rsid w:val="00FC53A3"/>
    <w:rsid w:val="00FC53A5"/>
    <w:rsid w:val="00FC53AC"/>
    <w:rsid w:val="00FC53DB"/>
    <w:rsid w:val="00FC53F5"/>
    <w:rsid w:val="00FC53FE"/>
    <w:rsid w:val="00FC5445"/>
    <w:rsid w:val="00FC544B"/>
    <w:rsid w:val="00FC544E"/>
    <w:rsid w:val="00FC546A"/>
    <w:rsid w:val="00FC5473"/>
    <w:rsid w:val="00FC548C"/>
    <w:rsid w:val="00FC5496"/>
    <w:rsid w:val="00FC549D"/>
    <w:rsid w:val="00FC54AA"/>
    <w:rsid w:val="00FC54C2"/>
    <w:rsid w:val="00FC5551"/>
    <w:rsid w:val="00FC558B"/>
    <w:rsid w:val="00FC55BF"/>
    <w:rsid w:val="00FC5616"/>
    <w:rsid w:val="00FC5639"/>
    <w:rsid w:val="00FC563A"/>
    <w:rsid w:val="00FC5642"/>
    <w:rsid w:val="00FC566C"/>
    <w:rsid w:val="00FC5676"/>
    <w:rsid w:val="00FC568B"/>
    <w:rsid w:val="00FC56BD"/>
    <w:rsid w:val="00FC5708"/>
    <w:rsid w:val="00FC57F6"/>
    <w:rsid w:val="00FC57F7"/>
    <w:rsid w:val="00FC5801"/>
    <w:rsid w:val="00FC5884"/>
    <w:rsid w:val="00FC5891"/>
    <w:rsid w:val="00FC58E0"/>
    <w:rsid w:val="00FC58F5"/>
    <w:rsid w:val="00FC590A"/>
    <w:rsid w:val="00FC5928"/>
    <w:rsid w:val="00FC5961"/>
    <w:rsid w:val="00FC5962"/>
    <w:rsid w:val="00FC59D2"/>
    <w:rsid w:val="00FC59D3"/>
    <w:rsid w:val="00FC59DE"/>
    <w:rsid w:val="00FC5A03"/>
    <w:rsid w:val="00FC5A12"/>
    <w:rsid w:val="00FC5A21"/>
    <w:rsid w:val="00FC5A29"/>
    <w:rsid w:val="00FC5A61"/>
    <w:rsid w:val="00FC5AD4"/>
    <w:rsid w:val="00FC5AE5"/>
    <w:rsid w:val="00FC5B2E"/>
    <w:rsid w:val="00FC5B6F"/>
    <w:rsid w:val="00FC5B70"/>
    <w:rsid w:val="00FC5BA8"/>
    <w:rsid w:val="00FC5BAF"/>
    <w:rsid w:val="00FC5BD3"/>
    <w:rsid w:val="00FC5BDD"/>
    <w:rsid w:val="00FC5C0F"/>
    <w:rsid w:val="00FC5C19"/>
    <w:rsid w:val="00FC5C61"/>
    <w:rsid w:val="00FC5CBD"/>
    <w:rsid w:val="00FC5CBF"/>
    <w:rsid w:val="00FC5CFD"/>
    <w:rsid w:val="00FC5D32"/>
    <w:rsid w:val="00FC5D8E"/>
    <w:rsid w:val="00FC5D9E"/>
    <w:rsid w:val="00FC5DF0"/>
    <w:rsid w:val="00FC5DFD"/>
    <w:rsid w:val="00FC5E35"/>
    <w:rsid w:val="00FC5E37"/>
    <w:rsid w:val="00FC5E6C"/>
    <w:rsid w:val="00FC5E74"/>
    <w:rsid w:val="00FC5E8A"/>
    <w:rsid w:val="00FC5EB5"/>
    <w:rsid w:val="00FC5EC2"/>
    <w:rsid w:val="00FC5F22"/>
    <w:rsid w:val="00FC5F24"/>
    <w:rsid w:val="00FC5F96"/>
    <w:rsid w:val="00FC5F9D"/>
    <w:rsid w:val="00FC5FAC"/>
    <w:rsid w:val="00FC5FC3"/>
    <w:rsid w:val="00FC6040"/>
    <w:rsid w:val="00FC604B"/>
    <w:rsid w:val="00FC6075"/>
    <w:rsid w:val="00FC60CD"/>
    <w:rsid w:val="00FC60CE"/>
    <w:rsid w:val="00FC60D5"/>
    <w:rsid w:val="00FC61A9"/>
    <w:rsid w:val="00FC61CF"/>
    <w:rsid w:val="00FC6256"/>
    <w:rsid w:val="00FC6257"/>
    <w:rsid w:val="00FC629B"/>
    <w:rsid w:val="00FC62C8"/>
    <w:rsid w:val="00FC6336"/>
    <w:rsid w:val="00FC6339"/>
    <w:rsid w:val="00FC6358"/>
    <w:rsid w:val="00FC6373"/>
    <w:rsid w:val="00FC6380"/>
    <w:rsid w:val="00FC63A1"/>
    <w:rsid w:val="00FC63A9"/>
    <w:rsid w:val="00FC63C6"/>
    <w:rsid w:val="00FC6416"/>
    <w:rsid w:val="00FC6428"/>
    <w:rsid w:val="00FC6480"/>
    <w:rsid w:val="00FC6492"/>
    <w:rsid w:val="00FC649C"/>
    <w:rsid w:val="00FC64C4"/>
    <w:rsid w:val="00FC64C9"/>
    <w:rsid w:val="00FC64EA"/>
    <w:rsid w:val="00FC6512"/>
    <w:rsid w:val="00FC6524"/>
    <w:rsid w:val="00FC6547"/>
    <w:rsid w:val="00FC65F8"/>
    <w:rsid w:val="00FC661E"/>
    <w:rsid w:val="00FC6641"/>
    <w:rsid w:val="00FC6647"/>
    <w:rsid w:val="00FC66A0"/>
    <w:rsid w:val="00FC66A4"/>
    <w:rsid w:val="00FC66EE"/>
    <w:rsid w:val="00FC6737"/>
    <w:rsid w:val="00FC675B"/>
    <w:rsid w:val="00FC676C"/>
    <w:rsid w:val="00FC677C"/>
    <w:rsid w:val="00FC679F"/>
    <w:rsid w:val="00FC6826"/>
    <w:rsid w:val="00FC682C"/>
    <w:rsid w:val="00FC6876"/>
    <w:rsid w:val="00FC687A"/>
    <w:rsid w:val="00FC688E"/>
    <w:rsid w:val="00FC6899"/>
    <w:rsid w:val="00FC68B6"/>
    <w:rsid w:val="00FC68C4"/>
    <w:rsid w:val="00FC68C5"/>
    <w:rsid w:val="00FC690D"/>
    <w:rsid w:val="00FC695B"/>
    <w:rsid w:val="00FC6965"/>
    <w:rsid w:val="00FC698E"/>
    <w:rsid w:val="00FC6A03"/>
    <w:rsid w:val="00FC6A29"/>
    <w:rsid w:val="00FC6A52"/>
    <w:rsid w:val="00FC6A67"/>
    <w:rsid w:val="00FC6A96"/>
    <w:rsid w:val="00FC6A98"/>
    <w:rsid w:val="00FC6A9C"/>
    <w:rsid w:val="00FC6A9F"/>
    <w:rsid w:val="00FC6AE3"/>
    <w:rsid w:val="00FC6B0E"/>
    <w:rsid w:val="00FC6B9A"/>
    <w:rsid w:val="00FC6BA1"/>
    <w:rsid w:val="00FC6BAD"/>
    <w:rsid w:val="00FC6BCA"/>
    <w:rsid w:val="00FC6BF9"/>
    <w:rsid w:val="00FC6C32"/>
    <w:rsid w:val="00FC6C56"/>
    <w:rsid w:val="00FC6C82"/>
    <w:rsid w:val="00FC6C94"/>
    <w:rsid w:val="00FC6C9B"/>
    <w:rsid w:val="00FC6CF1"/>
    <w:rsid w:val="00FC6D1D"/>
    <w:rsid w:val="00FC6D47"/>
    <w:rsid w:val="00FC6D4F"/>
    <w:rsid w:val="00FC6D7C"/>
    <w:rsid w:val="00FC6D83"/>
    <w:rsid w:val="00FC6D8E"/>
    <w:rsid w:val="00FC6DA0"/>
    <w:rsid w:val="00FC6DE1"/>
    <w:rsid w:val="00FC6E39"/>
    <w:rsid w:val="00FC6E41"/>
    <w:rsid w:val="00FC6E5A"/>
    <w:rsid w:val="00FC6EC5"/>
    <w:rsid w:val="00FC6FCC"/>
    <w:rsid w:val="00FC7009"/>
    <w:rsid w:val="00FC7010"/>
    <w:rsid w:val="00FC7013"/>
    <w:rsid w:val="00FC703B"/>
    <w:rsid w:val="00FC704C"/>
    <w:rsid w:val="00FC70D6"/>
    <w:rsid w:val="00FC7100"/>
    <w:rsid w:val="00FC7172"/>
    <w:rsid w:val="00FC7178"/>
    <w:rsid w:val="00FC717C"/>
    <w:rsid w:val="00FC7180"/>
    <w:rsid w:val="00FC71A7"/>
    <w:rsid w:val="00FC71B3"/>
    <w:rsid w:val="00FC71C7"/>
    <w:rsid w:val="00FC7209"/>
    <w:rsid w:val="00FC7256"/>
    <w:rsid w:val="00FC728F"/>
    <w:rsid w:val="00FC72AA"/>
    <w:rsid w:val="00FC7315"/>
    <w:rsid w:val="00FC733F"/>
    <w:rsid w:val="00FC734E"/>
    <w:rsid w:val="00FC7370"/>
    <w:rsid w:val="00FC7387"/>
    <w:rsid w:val="00FC73A6"/>
    <w:rsid w:val="00FC7400"/>
    <w:rsid w:val="00FC7419"/>
    <w:rsid w:val="00FC743A"/>
    <w:rsid w:val="00FC7475"/>
    <w:rsid w:val="00FC747A"/>
    <w:rsid w:val="00FC749E"/>
    <w:rsid w:val="00FC74BB"/>
    <w:rsid w:val="00FC74BF"/>
    <w:rsid w:val="00FC74C3"/>
    <w:rsid w:val="00FC74D1"/>
    <w:rsid w:val="00FC7504"/>
    <w:rsid w:val="00FC752E"/>
    <w:rsid w:val="00FC7533"/>
    <w:rsid w:val="00FC7597"/>
    <w:rsid w:val="00FC759D"/>
    <w:rsid w:val="00FC75F7"/>
    <w:rsid w:val="00FC7629"/>
    <w:rsid w:val="00FC762C"/>
    <w:rsid w:val="00FC764E"/>
    <w:rsid w:val="00FC7662"/>
    <w:rsid w:val="00FC7670"/>
    <w:rsid w:val="00FC769D"/>
    <w:rsid w:val="00FC76B7"/>
    <w:rsid w:val="00FC76DB"/>
    <w:rsid w:val="00FC7712"/>
    <w:rsid w:val="00FC7737"/>
    <w:rsid w:val="00FC773C"/>
    <w:rsid w:val="00FC7747"/>
    <w:rsid w:val="00FC7770"/>
    <w:rsid w:val="00FC7781"/>
    <w:rsid w:val="00FC77A5"/>
    <w:rsid w:val="00FC77CE"/>
    <w:rsid w:val="00FC77D9"/>
    <w:rsid w:val="00FC780D"/>
    <w:rsid w:val="00FC7826"/>
    <w:rsid w:val="00FC784C"/>
    <w:rsid w:val="00FC784E"/>
    <w:rsid w:val="00FC784F"/>
    <w:rsid w:val="00FC7853"/>
    <w:rsid w:val="00FC786E"/>
    <w:rsid w:val="00FC7877"/>
    <w:rsid w:val="00FC78A0"/>
    <w:rsid w:val="00FC78F5"/>
    <w:rsid w:val="00FC790C"/>
    <w:rsid w:val="00FC7913"/>
    <w:rsid w:val="00FC7930"/>
    <w:rsid w:val="00FC7951"/>
    <w:rsid w:val="00FC796A"/>
    <w:rsid w:val="00FC7975"/>
    <w:rsid w:val="00FC7986"/>
    <w:rsid w:val="00FC79B8"/>
    <w:rsid w:val="00FC79C1"/>
    <w:rsid w:val="00FC79D7"/>
    <w:rsid w:val="00FC79EC"/>
    <w:rsid w:val="00FC7A01"/>
    <w:rsid w:val="00FC7A30"/>
    <w:rsid w:val="00FC7A5B"/>
    <w:rsid w:val="00FC7A86"/>
    <w:rsid w:val="00FC7A93"/>
    <w:rsid w:val="00FC7AAB"/>
    <w:rsid w:val="00FC7ADD"/>
    <w:rsid w:val="00FC7AE7"/>
    <w:rsid w:val="00FC7B13"/>
    <w:rsid w:val="00FC7B14"/>
    <w:rsid w:val="00FC7B19"/>
    <w:rsid w:val="00FC7B1D"/>
    <w:rsid w:val="00FC7B25"/>
    <w:rsid w:val="00FC7B36"/>
    <w:rsid w:val="00FC7B6D"/>
    <w:rsid w:val="00FC7B71"/>
    <w:rsid w:val="00FC7BF4"/>
    <w:rsid w:val="00FC7C09"/>
    <w:rsid w:val="00FC7C23"/>
    <w:rsid w:val="00FC7C58"/>
    <w:rsid w:val="00FC7C5A"/>
    <w:rsid w:val="00FC7C70"/>
    <w:rsid w:val="00FC7C92"/>
    <w:rsid w:val="00FC7D34"/>
    <w:rsid w:val="00FC7D7F"/>
    <w:rsid w:val="00FC7D89"/>
    <w:rsid w:val="00FC7DB2"/>
    <w:rsid w:val="00FC7DF5"/>
    <w:rsid w:val="00FC7E02"/>
    <w:rsid w:val="00FC7E48"/>
    <w:rsid w:val="00FC7E69"/>
    <w:rsid w:val="00FC7E6C"/>
    <w:rsid w:val="00FC7E81"/>
    <w:rsid w:val="00FC7E99"/>
    <w:rsid w:val="00FC7EC5"/>
    <w:rsid w:val="00FC7ED2"/>
    <w:rsid w:val="00FC7EDE"/>
    <w:rsid w:val="00FC7EED"/>
    <w:rsid w:val="00FC7F04"/>
    <w:rsid w:val="00FC7F41"/>
    <w:rsid w:val="00FC7F8D"/>
    <w:rsid w:val="00FC7FC7"/>
    <w:rsid w:val="00FD0053"/>
    <w:rsid w:val="00FD005A"/>
    <w:rsid w:val="00FD00B7"/>
    <w:rsid w:val="00FD00D8"/>
    <w:rsid w:val="00FD0109"/>
    <w:rsid w:val="00FD0139"/>
    <w:rsid w:val="00FD01EE"/>
    <w:rsid w:val="00FD028C"/>
    <w:rsid w:val="00FD029D"/>
    <w:rsid w:val="00FD02AD"/>
    <w:rsid w:val="00FD030B"/>
    <w:rsid w:val="00FD030C"/>
    <w:rsid w:val="00FD0316"/>
    <w:rsid w:val="00FD033B"/>
    <w:rsid w:val="00FD036E"/>
    <w:rsid w:val="00FD038C"/>
    <w:rsid w:val="00FD03A4"/>
    <w:rsid w:val="00FD03B3"/>
    <w:rsid w:val="00FD03B6"/>
    <w:rsid w:val="00FD03C1"/>
    <w:rsid w:val="00FD03D7"/>
    <w:rsid w:val="00FD042B"/>
    <w:rsid w:val="00FD0466"/>
    <w:rsid w:val="00FD047D"/>
    <w:rsid w:val="00FD0481"/>
    <w:rsid w:val="00FD04A3"/>
    <w:rsid w:val="00FD04DC"/>
    <w:rsid w:val="00FD04E6"/>
    <w:rsid w:val="00FD04E8"/>
    <w:rsid w:val="00FD04FC"/>
    <w:rsid w:val="00FD04FD"/>
    <w:rsid w:val="00FD0502"/>
    <w:rsid w:val="00FD054D"/>
    <w:rsid w:val="00FD0554"/>
    <w:rsid w:val="00FD05A8"/>
    <w:rsid w:val="00FD05A9"/>
    <w:rsid w:val="00FD05C1"/>
    <w:rsid w:val="00FD0604"/>
    <w:rsid w:val="00FD0609"/>
    <w:rsid w:val="00FD062B"/>
    <w:rsid w:val="00FD0693"/>
    <w:rsid w:val="00FD06A1"/>
    <w:rsid w:val="00FD06BD"/>
    <w:rsid w:val="00FD06E1"/>
    <w:rsid w:val="00FD0734"/>
    <w:rsid w:val="00FD0750"/>
    <w:rsid w:val="00FD075F"/>
    <w:rsid w:val="00FD0787"/>
    <w:rsid w:val="00FD07AD"/>
    <w:rsid w:val="00FD0815"/>
    <w:rsid w:val="00FD0891"/>
    <w:rsid w:val="00FD08F0"/>
    <w:rsid w:val="00FD08F8"/>
    <w:rsid w:val="00FD0906"/>
    <w:rsid w:val="00FD093A"/>
    <w:rsid w:val="00FD095E"/>
    <w:rsid w:val="00FD0962"/>
    <w:rsid w:val="00FD09A9"/>
    <w:rsid w:val="00FD09CE"/>
    <w:rsid w:val="00FD09D2"/>
    <w:rsid w:val="00FD09FC"/>
    <w:rsid w:val="00FD09FF"/>
    <w:rsid w:val="00FD0A16"/>
    <w:rsid w:val="00FD0A20"/>
    <w:rsid w:val="00FD0A25"/>
    <w:rsid w:val="00FD0A32"/>
    <w:rsid w:val="00FD0A3A"/>
    <w:rsid w:val="00FD0A83"/>
    <w:rsid w:val="00FD0AAC"/>
    <w:rsid w:val="00FD0ACC"/>
    <w:rsid w:val="00FD0AD7"/>
    <w:rsid w:val="00FD0B0B"/>
    <w:rsid w:val="00FD0B37"/>
    <w:rsid w:val="00FD0B77"/>
    <w:rsid w:val="00FD0BAD"/>
    <w:rsid w:val="00FD0BB0"/>
    <w:rsid w:val="00FD0BB1"/>
    <w:rsid w:val="00FD0BBC"/>
    <w:rsid w:val="00FD0BD0"/>
    <w:rsid w:val="00FD0C06"/>
    <w:rsid w:val="00FD0C1E"/>
    <w:rsid w:val="00FD0C7C"/>
    <w:rsid w:val="00FD0C8B"/>
    <w:rsid w:val="00FD0C8F"/>
    <w:rsid w:val="00FD0CBC"/>
    <w:rsid w:val="00FD0CC6"/>
    <w:rsid w:val="00FD0CD7"/>
    <w:rsid w:val="00FD0CE9"/>
    <w:rsid w:val="00FD0D33"/>
    <w:rsid w:val="00FD0D41"/>
    <w:rsid w:val="00FD0D7D"/>
    <w:rsid w:val="00FD0D9D"/>
    <w:rsid w:val="00FD0DA7"/>
    <w:rsid w:val="00FD0DC0"/>
    <w:rsid w:val="00FD0DE6"/>
    <w:rsid w:val="00FD0E3C"/>
    <w:rsid w:val="00FD0E73"/>
    <w:rsid w:val="00FD0E80"/>
    <w:rsid w:val="00FD0E85"/>
    <w:rsid w:val="00FD0ED8"/>
    <w:rsid w:val="00FD0EEB"/>
    <w:rsid w:val="00FD0F07"/>
    <w:rsid w:val="00FD0F33"/>
    <w:rsid w:val="00FD0FFA"/>
    <w:rsid w:val="00FD0FFF"/>
    <w:rsid w:val="00FD102D"/>
    <w:rsid w:val="00FD105F"/>
    <w:rsid w:val="00FD108C"/>
    <w:rsid w:val="00FD10C0"/>
    <w:rsid w:val="00FD10D7"/>
    <w:rsid w:val="00FD10E3"/>
    <w:rsid w:val="00FD113C"/>
    <w:rsid w:val="00FD114F"/>
    <w:rsid w:val="00FD11B8"/>
    <w:rsid w:val="00FD11D5"/>
    <w:rsid w:val="00FD11D7"/>
    <w:rsid w:val="00FD1278"/>
    <w:rsid w:val="00FD128B"/>
    <w:rsid w:val="00FD128F"/>
    <w:rsid w:val="00FD12BE"/>
    <w:rsid w:val="00FD12FB"/>
    <w:rsid w:val="00FD130D"/>
    <w:rsid w:val="00FD1317"/>
    <w:rsid w:val="00FD1343"/>
    <w:rsid w:val="00FD1377"/>
    <w:rsid w:val="00FD1385"/>
    <w:rsid w:val="00FD138D"/>
    <w:rsid w:val="00FD13A5"/>
    <w:rsid w:val="00FD13BF"/>
    <w:rsid w:val="00FD1462"/>
    <w:rsid w:val="00FD14EB"/>
    <w:rsid w:val="00FD1503"/>
    <w:rsid w:val="00FD1506"/>
    <w:rsid w:val="00FD1511"/>
    <w:rsid w:val="00FD152E"/>
    <w:rsid w:val="00FD15B2"/>
    <w:rsid w:val="00FD15B6"/>
    <w:rsid w:val="00FD15FB"/>
    <w:rsid w:val="00FD15FD"/>
    <w:rsid w:val="00FD1601"/>
    <w:rsid w:val="00FD1608"/>
    <w:rsid w:val="00FD1619"/>
    <w:rsid w:val="00FD164E"/>
    <w:rsid w:val="00FD1652"/>
    <w:rsid w:val="00FD169B"/>
    <w:rsid w:val="00FD16CF"/>
    <w:rsid w:val="00FD16D5"/>
    <w:rsid w:val="00FD16D8"/>
    <w:rsid w:val="00FD176A"/>
    <w:rsid w:val="00FD176E"/>
    <w:rsid w:val="00FD17B6"/>
    <w:rsid w:val="00FD17C0"/>
    <w:rsid w:val="00FD1805"/>
    <w:rsid w:val="00FD1835"/>
    <w:rsid w:val="00FD184C"/>
    <w:rsid w:val="00FD1869"/>
    <w:rsid w:val="00FD188D"/>
    <w:rsid w:val="00FD18BA"/>
    <w:rsid w:val="00FD18DB"/>
    <w:rsid w:val="00FD18EA"/>
    <w:rsid w:val="00FD18ED"/>
    <w:rsid w:val="00FD19A5"/>
    <w:rsid w:val="00FD19BC"/>
    <w:rsid w:val="00FD1A4E"/>
    <w:rsid w:val="00FD1A56"/>
    <w:rsid w:val="00FD1A88"/>
    <w:rsid w:val="00FD1ABE"/>
    <w:rsid w:val="00FD1AD4"/>
    <w:rsid w:val="00FD1AD6"/>
    <w:rsid w:val="00FD1AFF"/>
    <w:rsid w:val="00FD1B16"/>
    <w:rsid w:val="00FD1B22"/>
    <w:rsid w:val="00FD1B59"/>
    <w:rsid w:val="00FD1B6A"/>
    <w:rsid w:val="00FD1B8B"/>
    <w:rsid w:val="00FD1BA8"/>
    <w:rsid w:val="00FD1BC0"/>
    <w:rsid w:val="00FD1BD2"/>
    <w:rsid w:val="00FD1BE7"/>
    <w:rsid w:val="00FD1C20"/>
    <w:rsid w:val="00FD1C32"/>
    <w:rsid w:val="00FD1CC7"/>
    <w:rsid w:val="00FD1CF1"/>
    <w:rsid w:val="00FD1D18"/>
    <w:rsid w:val="00FD1D30"/>
    <w:rsid w:val="00FD1D67"/>
    <w:rsid w:val="00FD1D9E"/>
    <w:rsid w:val="00FD1DAD"/>
    <w:rsid w:val="00FD1DEF"/>
    <w:rsid w:val="00FD1DFD"/>
    <w:rsid w:val="00FD1E4F"/>
    <w:rsid w:val="00FD1EF9"/>
    <w:rsid w:val="00FD1F00"/>
    <w:rsid w:val="00FD1F1D"/>
    <w:rsid w:val="00FD1F24"/>
    <w:rsid w:val="00FD1F42"/>
    <w:rsid w:val="00FD1F5C"/>
    <w:rsid w:val="00FD1F71"/>
    <w:rsid w:val="00FD1FE7"/>
    <w:rsid w:val="00FD1FFF"/>
    <w:rsid w:val="00FD2036"/>
    <w:rsid w:val="00FD204B"/>
    <w:rsid w:val="00FD2067"/>
    <w:rsid w:val="00FD207C"/>
    <w:rsid w:val="00FD209F"/>
    <w:rsid w:val="00FD20AB"/>
    <w:rsid w:val="00FD20B7"/>
    <w:rsid w:val="00FD212D"/>
    <w:rsid w:val="00FD2164"/>
    <w:rsid w:val="00FD216B"/>
    <w:rsid w:val="00FD218C"/>
    <w:rsid w:val="00FD21A1"/>
    <w:rsid w:val="00FD21A9"/>
    <w:rsid w:val="00FD21B2"/>
    <w:rsid w:val="00FD21B5"/>
    <w:rsid w:val="00FD21C0"/>
    <w:rsid w:val="00FD21DC"/>
    <w:rsid w:val="00FD21DD"/>
    <w:rsid w:val="00FD222A"/>
    <w:rsid w:val="00FD2239"/>
    <w:rsid w:val="00FD22C5"/>
    <w:rsid w:val="00FD22CE"/>
    <w:rsid w:val="00FD22F1"/>
    <w:rsid w:val="00FD232D"/>
    <w:rsid w:val="00FD235A"/>
    <w:rsid w:val="00FD2364"/>
    <w:rsid w:val="00FD239D"/>
    <w:rsid w:val="00FD23A6"/>
    <w:rsid w:val="00FD23D2"/>
    <w:rsid w:val="00FD240F"/>
    <w:rsid w:val="00FD2418"/>
    <w:rsid w:val="00FD2435"/>
    <w:rsid w:val="00FD24A3"/>
    <w:rsid w:val="00FD24A7"/>
    <w:rsid w:val="00FD24DD"/>
    <w:rsid w:val="00FD24DE"/>
    <w:rsid w:val="00FD2525"/>
    <w:rsid w:val="00FD2544"/>
    <w:rsid w:val="00FD2574"/>
    <w:rsid w:val="00FD2590"/>
    <w:rsid w:val="00FD25AA"/>
    <w:rsid w:val="00FD25B3"/>
    <w:rsid w:val="00FD25D2"/>
    <w:rsid w:val="00FD25DB"/>
    <w:rsid w:val="00FD2645"/>
    <w:rsid w:val="00FD26AE"/>
    <w:rsid w:val="00FD26C5"/>
    <w:rsid w:val="00FD26E1"/>
    <w:rsid w:val="00FD26ED"/>
    <w:rsid w:val="00FD2726"/>
    <w:rsid w:val="00FD272E"/>
    <w:rsid w:val="00FD2740"/>
    <w:rsid w:val="00FD2744"/>
    <w:rsid w:val="00FD275B"/>
    <w:rsid w:val="00FD27A5"/>
    <w:rsid w:val="00FD2815"/>
    <w:rsid w:val="00FD2855"/>
    <w:rsid w:val="00FD2865"/>
    <w:rsid w:val="00FD286D"/>
    <w:rsid w:val="00FD28C4"/>
    <w:rsid w:val="00FD28D2"/>
    <w:rsid w:val="00FD2927"/>
    <w:rsid w:val="00FD2928"/>
    <w:rsid w:val="00FD2936"/>
    <w:rsid w:val="00FD2951"/>
    <w:rsid w:val="00FD2965"/>
    <w:rsid w:val="00FD298F"/>
    <w:rsid w:val="00FD29C4"/>
    <w:rsid w:val="00FD29F1"/>
    <w:rsid w:val="00FD29F3"/>
    <w:rsid w:val="00FD2A14"/>
    <w:rsid w:val="00FD2A15"/>
    <w:rsid w:val="00FD2A3E"/>
    <w:rsid w:val="00FD2AB6"/>
    <w:rsid w:val="00FD2B06"/>
    <w:rsid w:val="00FD2B07"/>
    <w:rsid w:val="00FD2B27"/>
    <w:rsid w:val="00FD2B56"/>
    <w:rsid w:val="00FD2B92"/>
    <w:rsid w:val="00FD2B95"/>
    <w:rsid w:val="00FD2BEC"/>
    <w:rsid w:val="00FD2BFA"/>
    <w:rsid w:val="00FD2BFD"/>
    <w:rsid w:val="00FD2C85"/>
    <w:rsid w:val="00FD2CB3"/>
    <w:rsid w:val="00FD2CD2"/>
    <w:rsid w:val="00FD2D05"/>
    <w:rsid w:val="00FD2D1A"/>
    <w:rsid w:val="00FD2D24"/>
    <w:rsid w:val="00FD2D65"/>
    <w:rsid w:val="00FD2DCE"/>
    <w:rsid w:val="00FD2DE6"/>
    <w:rsid w:val="00FD2EA7"/>
    <w:rsid w:val="00FD2EB8"/>
    <w:rsid w:val="00FD2EBF"/>
    <w:rsid w:val="00FD2EE6"/>
    <w:rsid w:val="00FD2F07"/>
    <w:rsid w:val="00FD2F65"/>
    <w:rsid w:val="00FD2FA7"/>
    <w:rsid w:val="00FD2FAC"/>
    <w:rsid w:val="00FD2FCA"/>
    <w:rsid w:val="00FD2FFA"/>
    <w:rsid w:val="00FD3043"/>
    <w:rsid w:val="00FD3048"/>
    <w:rsid w:val="00FD3078"/>
    <w:rsid w:val="00FD310A"/>
    <w:rsid w:val="00FD3189"/>
    <w:rsid w:val="00FD319D"/>
    <w:rsid w:val="00FD31F9"/>
    <w:rsid w:val="00FD324F"/>
    <w:rsid w:val="00FD328D"/>
    <w:rsid w:val="00FD32A2"/>
    <w:rsid w:val="00FD32ED"/>
    <w:rsid w:val="00FD3349"/>
    <w:rsid w:val="00FD337F"/>
    <w:rsid w:val="00FD33B2"/>
    <w:rsid w:val="00FD33BE"/>
    <w:rsid w:val="00FD33D3"/>
    <w:rsid w:val="00FD344A"/>
    <w:rsid w:val="00FD346D"/>
    <w:rsid w:val="00FD348A"/>
    <w:rsid w:val="00FD34AE"/>
    <w:rsid w:val="00FD3517"/>
    <w:rsid w:val="00FD3524"/>
    <w:rsid w:val="00FD3539"/>
    <w:rsid w:val="00FD3582"/>
    <w:rsid w:val="00FD3594"/>
    <w:rsid w:val="00FD359E"/>
    <w:rsid w:val="00FD35A8"/>
    <w:rsid w:val="00FD35E3"/>
    <w:rsid w:val="00FD3616"/>
    <w:rsid w:val="00FD368C"/>
    <w:rsid w:val="00FD36BC"/>
    <w:rsid w:val="00FD36C0"/>
    <w:rsid w:val="00FD3724"/>
    <w:rsid w:val="00FD3742"/>
    <w:rsid w:val="00FD375D"/>
    <w:rsid w:val="00FD3774"/>
    <w:rsid w:val="00FD377C"/>
    <w:rsid w:val="00FD3794"/>
    <w:rsid w:val="00FD3825"/>
    <w:rsid w:val="00FD38A2"/>
    <w:rsid w:val="00FD38C1"/>
    <w:rsid w:val="00FD3911"/>
    <w:rsid w:val="00FD3937"/>
    <w:rsid w:val="00FD39B3"/>
    <w:rsid w:val="00FD39E0"/>
    <w:rsid w:val="00FD39E7"/>
    <w:rsid w:val="00FD39F8"/>
    <w:rsid w:val="00FD3A1C"/>
    <w:rsid w:val="00FD3A34"/>
    <w:rsid w:val="00FD3A50"/>
    <w:rsid w:val="00FD3AB8"/>
    <w:rsid w:val="00FD3AEC"/>
    <w:rsid w:val="00FD3AF4"/>
    <w:rsid w:val="00FD3AFD"/>
    <w:rsid w:val="00FD3B43"/>
    <w:rsid w:val="00FD3B5A"/>
    <w:rsid w:val="00FD3B8C"/>
    <w:rsid w:val="00FD3B90"/>
    <w:rsid w:val="00FD3B99"/>
    <w:rsid w:val="00FD3BB5"/>
    <w:rsid w:val="00FD3BC7"/>
    <w:rsid w:val="00FD3C47"/>
    <w:rsid w:val="00FD3D4F"/>
    <w:rsid w:val="00FD3D71"/>
    <w:rsid w:val="00FD3DB7"/>
    <w:rsid w:val="00FD3DC5"/>
    <w:rsid w:val="00FD3DCF"/>
    <w:rsid w:val="00FD3DDF"/>
    <w:rsid w:val="00FD3DF6"/>
    <w:rsid w:val="00FD3E4C"/>
    <w:rsid w:val="00FD3E86"/>
    <w:rsid w:val="00FD3EB2"/>
    <w:rsid w:val="00FD3EB5"/>
    <w:rsid w:val="00FD3EE9"/>
    <w:rsid w:val="00FD3F63"/>
    <w:rsid w:val="00FD3F94"/>
    <w:rsid w:val="00FD3F9A"/>
    <w:rsid w:val="00FD3FC2"/>
    <w:rsid w:val="00FD3FD1"/>
    <w:rsid w:val="00FD4019"/>
    <w:rsid w:val="00FD4027"/>
    <w:rsid w:val="00FD4066"/>
    <w:rsid w:val="00FD406B"/>
    <w:rsid w:val="00FD4072"/>
    <w:rsid w:val="00FD40DD"/>
    <w:rsid w:val="00FD413E"/>
    <w:rsid w:val="00FD4165"/>
    <w:rsid w:val="00FD4179"/>
    <w:rsid w:val="00FD417E"/>
    <w:rsid w:val="00FD418B"/>
    <w:rsid w:val="00FD41AE"/>
    <w:rsid w:val="00FD41BB"/>
    <w:rsid w:val="00FD423F"/>
    <w:rsid w:val="00FD427F"/>
    <w:rsid w:val="00FD4292"/>
    <w:rsid w:val="00FD42C2"/>
    <w:rsid w:val="00FD42D0"/>
    <w:rsid w:val="00FD430B"/>
    <w:rsid w:val="00FD435D"/>
    <w:rsid w:val="00FD4366"/>
    <w:rsid w:val="00FD43A7"/>
    <w:rsid w:val="00FD43BA"/>
    <w:rsid w:val="00FD43C2"/>
    <w:rsid w:val="00FD43C9"/>
    <w:rsid w:val="00FD443A"/>
    <w:rsid w:val="00FD443C"/>
    <w:rsid w:val="00FD4463"/>
    <w:rsid w:val="00FD44A5"/>
    <w:rsid w:val="00FD44A7"/>
    <w:rsid w:val="00FD44B0"/>
    <w:rsid w:val="00FD4514"/>
    <w:rsid w:val="00FD451A"/>
    <w:rsid w:val="00FD452C"/>
    <w:rsid w:val="00FD4555"/>
    <w:rsid w:val="00FD4579"/>
    <w:rsid w:val="00FD457B"/>
    <w:rsid w:val="00FD4584"/>
    <w:rsid w:val="00FD45A0"/>
    <w:rsid w:val="00FD45B8"/>
    <w:rsid w:val="00FD4607"/>
    <w:rsid w:val="00FD460E"/>
    <w:rsid w:val="00FD4636"/>
    <w:rsid w:val="00FD4649"/>
    <w:rsid w:val="00FD466B"/>
    <w:rsid w:val="00FD4679"/>
    <w:rsid w:val="00FD4702"/>
    <w:rsid w:val="00FD4717"/>
    <w:rsid w:val="00FD473A"/>
    <w:rsid w:val="00FD4753"/>
    <w:rsid w:val="00FD477F"/>
    <w:rsid w:val="00FD47A2"/>
    <w:rsid w:val="00FD47A9"/>
    <w:rsid w:val="00FD47D8"/>
    <w:rsid w:val="00FD47DC"/>
    <w:rsid w:val="00FD4830"/>
    <w:rsid w:val="00FD484A"/>
    <w:rsid w:val="00FD4853"/>
    <w:rsid w:val="00FD4872"/>
    <w:rsid w:val="00FD4873"/>
    <w:rsid w:val="00FD4875"/>
    <w:rsid w:val="00FD4885"/>
    <w:rsid w:val="00FD488E"/>
    <w:rsid w:val="00FD4899"/>
    <w:rsid w:val="00FD48EC"/>
    <w:rsid w:val="00FD48F6"/>
    <w:rsid w:val="00FD48F9"/>
    <w:rsid w:val="00FD490A"/>
    <w:rsid w:val="00FD494D"/>
    <w:rsid w:val="00FD495C"/>
    <w:rsid w:val="00FD498A"/>
    <w:rsid w:val="00FD4999"/>
    <w:rsid w:val="00FD4A4F"/>
    <w:rsid w:val="00FD4A59"/>
    <w:rsid w:val="00FD4A9C"/>
    <w:rsid w:val="00FD4ADE"/>
    <w:rsid w:val="00FD4AF0"/>
    <w:rsid w:val="00FD4B16"/>
    <w:rsid w:val="00FD4B29"/>
    <w:rsid w:val="00FD4B41"/>
    <w:rsid w:val="00FD4B6B"/>
    <w:rsid w:val="00FD4BB0"/>
    <w:rsid w:val="00FD4BE6"/>
    <w:rsid w:val="00FD4BE7"/>
    <w:rsid w:val="00FD4C2D"/>
    <w:rsid w:val="00FD4C31"/>
    <w:rsid w:val="00FD4C56"/>
    <w:rsid w:val="00FD4CED"/>
    <w:rsid w:val="00FD4CF3"/>
    <w:rsid w:val="00FD4D19"/>
    <w:rsid w:val="00FD4D2C"/>
    <w:rsid w:val="00FD4D38"/>
    <w:rsid w:val="00FD4EB0"/>
    <w:rsid w:val="00FD4EB9"/>
    <w:rsid w:val="00FD4ECD"/>
    <w:rsid w:val="00FD4F20"/>
    <w:rsid w:val="00FD4F26"/>
    <w:rsid w:val="00FD4F31"/>
    <w:rsid w:val="00FD4F5B"/>
    <w:rsid w:val="00FD4F85"/>
    <w:rsid w:val="00FD4FCA"/>
    <w:rsid w:val="00FD4FD3"/>
    <w:rsid w:val="00FD4FD4"/>
    <w:rsid w:val="00FD500E"/>
    <w:rsid w:val="00FD5025"/>
    <w:rsid w:val="00FD508D"/>
    <w:rsid w:val="00FD509A"/>
    <w:rsid w:val="00FD50A0"/>
    <w:rsid w:val="00FD50C6"/>
    <w:rsid w:val="00FD5104"/>
    <w:rsid w:val="00FD510B"/>
    <w:rsid w:val="00FD511D"/>
    <w:rsid w:val="00FD5147"/>
    <w:rsid w:val="00FD5160"/>
    <w:rsid w:val="00FD517C"/>
    <w:rsid w:val="00FD51C8"/>
    <w:rsid w:val="00FD51D3"/>
    <w:rsid w:val="00FD51F8"/>
    <w:rsid w:val="00FD521F"/>
    <w:rsid w:val="00FD522F"/>
    <w:rsid w:val="00FD523C"/>
    <w:rsid w:val="00FD5268"/>
    <w:rsid w:val="00FD526F"/>
    <w:rsid w:val="00FD5278"/>
    <w:rsid w:val="00FD527E"/>
    <w:rsid w:val="00FD52CC"/>
    <w:rsid w:val="00FD5318"/>
    <w:rsid w:val="00FD5326"/>
    <w:rsid w:val="00FD534C"/>
    <w:rsid w:val="00FD5366"/>
    <w:rsid w:val="00FD539D"/>
    <w:rsid w:val="00FD53C0"/>
    <w:rsid w:val="00FD53EB"/>
    <w:rsid w:val="00FD53F1"/>
    <w:rsid w:val="00FD5413"/>
    <w:rsid w:val="00FD545A"/>
    <w:rsid w:val="00FD5471"/>
    <w:rsid w:val="00FD549B"/>
    <w:rsid w:val="00FD54DC"/>
    <w:rsid w:val="00FD5515"/>
    <w:rsid w:val="00FD5530"/>
    <w:rsid w:val="00FD558F"/>
    <w:rsid w:val="00FD562D"/>
    <w:rsid w:val="00FD562E"/>
    <w:rsid w:val="00FD565C"/>
    <w:rsid w:val="00FD566A"/>
    <w:rsid w:val="00FD567C"/>
    <w:rsid w:val="00FD56A8"/>
    <w:rsid w:val="00FD56AD"/>
    <w:rsid w:val="00FD56B7"/>
    <w:rsid w:val="00FD56F4"/>
    <w:rsid w:val="00FD56F9"/>
    <w:rsid w:val="00FD56FC"/>
    <w:rsid w:val="00FD5725"/>
    <w:rsid w:val="00FD573E"/>
    <w:rsid w:val="00FD5749"/>
    <w:rsid w:val="00FD5763"/>
    <w:rsid w:val="00FD578D"/>
    <w:rsid w:val="00FD57C2"/>
    <w:rsid w:val="00FD57EE"/>
    <w:rsid w:val="00FD57F8"/>
    <w:rsid w:val="00FD5824"/>
    <w:rsid w:val="00FD582D"/>
    <w:rsid w:val="00FD5835"/>
    <w:rsid w:val="00FD588C"/>
    <w:rsid w:val="00FD58AC"/>
    <w:rsid w:val="00FD590D"/>
    <w:rsid w:val="00FD5919"/>
    <w:rsid w:val="00FD59A1"/>
    <w:rsid w:val="00FD59B3"/>
    <w:rsid w:val="00FD59C6"/>
    <w:rsid w:val="00FD59E5"/>
    <w:rsid w:val="00FD59F7"/>
    <w:rsid w:val="00FD5A0A"/>
    <w:rsid w:val="00FD5A86"/>
    <w:rsid w:val="00FD5A93"/>
    <w:rsid w:val="00FD5A95"/>
    <w:rsid w:val="00FD5A9D"/>
    <w:rsid w:val="00FD5AA8"/>
    <w:rsid w:val="00FD5AC5"/>
    <w:rsid w:val="00FD5AF2"/>
    <w:rsid w:val="00FD5AF9"/>
    <w:rsid w:val="00FD5B07"/>
    <w:rsid w:val="00FD5B63"/>
    <w:rsid w:val="00FD5B77"/>
    <w:rsid w:val="00FD5BE6"/>
    <w:rsid w:val="00FD5BF2"/>
    <w:rsid w:val="00FD5C16"/>
    <w:rsid w:val="00FD5C2A"/>
    <w:rsid w:val="00FD5C50"/>
    <w:rsid w:val="00FD5C5D"/>
    <w:rsid w:val="00FD5C71"/>
    <w:rsid w:val="00FD5C92"/>
    <w:rsid w:val="00FD5CE8"/>
    <w:rsid w:val="00FD5D06"/>
    <w:rsid w:val="00FD5D0E"/>
    <w:rsid w:val="00FD5D2A"/>
    <w:rsid w:val="00FD5D3E"/>
    <w:rsid w:val="00FD5D7B"/>
    <w:rsid w:val="00FD5D9E"/>
    <w:rsid w:val="00FD5DDA"/>
    <w:rsid w:val="00FD5E0C"/>
    <w:rsid w:val="00FD5E0D"/>
    <w:rsid w:val="00FD5E20"/>
    <w:rsid w:val="00FD5E63"/>
    <w:rsid w:val="00FD5E7C"/>
    <w:rsid w:val="00FD5E92"/>
    <w:rsid w:val="00FD5E94"/>
    <w:rsid w:val="00FD5E95"/>
    <w:rsid w:val="00FD5ECB"/>
    <w:rsid w:val="00FD5EEC"/>
    <w:rsid w:val="00FD5F38"/>
    <w:rsid w:val="00FD5F68"/>
    <w:rsid w:val="00FD5FA2"/>
    <w:rsid w:val="00FD5FA5"/>
    <w:rsid w:val="00FD5FA8"/>
    <w:rsid w:val="00FD5FCF"/>
    <w:rsid w:val="00FD5FD5"/>
    <w:rsid w:val="00FD6001"/>
    <w:rsid w:val="00FD606F"/>
    <w:rsid w:val="00FD6073"/>
    <w:rsid w:val="00FD6088"/>
    <w:rsid w:val="00FD60AA"/>
    <w:rsid w:val="00FD60D4"/>
    <w:rsid w:val="00FD60DB"/>
    <w:rsid w:val="00FD613C"/>
    <w:rsid w:val="00FD6161"/>
    <w:rsid w:val="00FD618D"/>
    <w:rsid w:val="00FD619C"/>
    <w:rsid w:val="00FD61A0"/>
    <w:rsid w:val="00FD6220"/>
    <w:rsid w:val="00FD6229"/>
    <w:rsid w:val="00FD6260"/>
    <w:rsid w:val="00FD62A1"/>
    <w:rsid w:val="00FD62A7"/>
    <w:rsid w:val="00FD62B5"/>
    <w:rsid w:val="00FD62C9"/>
    <w:rsid w:val="00FD6315"/>
    <w:rsid w:val="00FD63CA"/>
    <w:rsid w:val="00FD63DF"/>
    <w:rsid w:val="00FD640A"/>
    <w:rsid w:val="00FD6428"/>
    <w:rsid w:val="00FD642B"/>
    <w:rsid w:val="00FD642E"/>
    <w:rsid w:val="00FD6454"/>
    <w:rsid w:val="00FD647B"/>
    <w:rsid w:val="00FD647D"/>
    <w:rsid w:val="00FD647E"/>
    <w:rsid w:val="00FD6481"/>
    <w:rsid w:val="00FD6498"/>
    <w:rsid w:val="00FD64F7"/>
    <w:rsid w:val="00FD6502"/>
    <w:rsid w:val="00FD6506"/>
    <w:rsid w:val="00FD6530"/>
    <w:rsid w:val="00FD6536"/>
    <w:rsid w:val="00FD6556"/>
    <w:rsid w:val="00FD65AC"/>
    <w:rsid w:val="00FD65B2"/>
    <w:rsid w:val="00FD65C0"/>
    <w:rsid w:val="00FD65DD"/>
    <w:rsid w:val="00FD6664"/>
    <w:rsid w:val="00FD6666"/>
    <w:rsid w:val="00FD6687"/>
    <w:rsid w:val="00FD66CB"/>
    <w:rsid w:val="00FD66D2"/>
    <w:rsid w:val="00FD671C"/>
    <w:rsid w:val="00FD6723"/>
    <w:rsid w:val="00FD675B"/>
    <w:rsid w:val="00FD675F"/>
    <w:rsid w:val="00FD67C1"/>
    <w:rsid w:val="00FD67C6"/>
    <w:rsid w:val="00FD67E9"/>
    <w:rsid w:val="00FD67FE"/>
    <w:rsid w:val="00FD6801"/>
    <w:rsid w:val="00FD681B"/>
    <w:rsid w:val="00FD6828"/>
    <w:rsid w:val="00FD684B"/>
    <w:rsid w:val="00FD685C"/>
    <w:rsid w:val="00FD6878"/>
    <w:rsid w:val="00FD68A4"/>
    <w:rsid w:val="00FD68C6"/>
    <w:rsid w:val="00FD6938"/>
    <w:rsid w:val="00FD6988"/>
    <w:rsid w:val="00FD699D"/>
    <w:rsid w:val="00FD69BF"/>
    <w:rsid w:val="00FD69C9"/>
    <w:rsid w:val="00FD6A38"/>
    <w:rsid w:val="00FD6A3D"/>
    <w:rsid w:val="00FD6A62"/>
    <w:rsid w:val="00FD6A79"/>
    <w:rsid w:val="00FD6AA9"/>
    <w:rsid w:val="00FD6AB9"/>
    <w:rsid w:val="00FD6AC3"/>
    <w:rsid w:val="00FD6AC6"/>
    <w:rsid w:val="00FD6B28"/>
    <w:rsid w:val="00FD6B82"/>
    <w:rsid w:val="00FD6BD8"/>
    <w:rsid w:val="00FD6C13"/>
    <w:rsid w:val="00FD6C34"/>
    <w:rsid w:val="00FD6C48"/>
    <w:rsid w:val="00FD6C4F"/>
    <w:rsid w:val="00FD6C59"/>
    <w:rsid w:val="00FD6C61"/>
    <w:rsid w:val="00FD6C77"/>
    <w:rsid w:val="00FD6C9A"/>
    <w:rsid w:val="00FD6CAF"/>
    <w:rsid w:val="00FD6CE4"/>
    <w:rsid w:val="00FD6D27"/>
    <w:rsid w:val="00FD6D6E"/>
    <w:rsid w:val="00FD6D9B"/>
    <w:rsid w:val="00FD6DC8"/>
    <w:rsid w:val="00FD6DDA"/>
    <w:rsid w:val="00FD6DEA"/>
    <w:rsid w:val="00FD6DF7"/>
    <w:rsid w:val="00FD6DFA"/>
    <w:rsid w:val="00FD6E1C"/>
    <w:rsid w:val="00FD6E4B"/>
    <w:rsid w:val="00FD6E55"/>
    <w:rsid w:val="00FD6E5A"/>
    <w:rsid w:val="00FD6E80"/>
    <w:rsid w:val="00FD6E8B"/>
    <w:rsid w:val="00FD6EB4"/>
    <w:rsid w:val="00FD6ED9"/>
    <w:rsid w:val="00FD6F2E"/>
    <w:rsid w:val="00FD6F32"/>
    <w:rsid w:val="00FD6F3A"/>
    <w:rsid w:val="00FD6F71"/>
    <w:rsid w:val="00FD6F85"/>
    <w:rsid w:val="00FD6FD3"/>
    <w:rsid w:val="00FD6FD6"/>
    <w:rsid w:val="00FD70B2"/>
    <w:rsid w:val="00FD70B4"/>
    <w:rsid w:val="00FD70E1"/>
    <w:rsid w:val="00FD7117"/>
    <w:rsid w:val="00FD713C"/>
    <w:rsid w:val="00FD7160"/>
    <w:rsid w:val="00FD71DD"/>
    <w:rsid w:val="00FD7242"/>
    <w:rsid w:val="00FD72C0"/>
    <w:rsid w:val="00FD72E1"/>
    <w:rsid w:val="00FD72EF"/>
    <w:rsid w:val="00FD7303"/>
    <w:rsid w:val="00FD7313"/>
    <w:rsid w:val="00FD731A"/>
    <w:rsid w:val="00FD7320"/>
    <w:rsid w:val="00FD7324"/>
    <w:rsid w:val="00FD735B"/>
    <w:rsid w:val="00FD7362"/>
    <w:rsid w:val="00FD736F"/>
    <w:rsid w:val="00FD738A"/>
    <w:rsid w:val="00FD73D5"/>
    <w:rsid w:val="00FD7419"/>
    <w:rsid w:val="00FD744B"/>
    <w:rsid w:val="00FD745A"/>
    <w:rsid w:val="00FD7461"/>
    <w:rsid w:val="00FD7479"/>
    <w:rsid w:val="00FD74A8"/>
    <w:rsid w:val="00FD74B5"/>
    <w:rsid w:val="00FD7537"/>
    <w:rsid w:val="00FD75D8"/>
    <w:rsid w:val="00FD75FA"/>
    <w:rsid w:val="00FD7627"/>
    <w:rsid w:val="00FD7677"/>
    <w:rsid w:val="00FD76D2"/>
    <w:rsid w:val="00FD76D7"/>
    <w:rsid w:val="00FD76ED"/>
    <w:rsid w:val="00FD7706"/>
    <w:rsid w:val="00FD771A"/>
    <w:rsid w:val="00FD772F"/>
    <w:rsid w:val="00FD7788"/>
    <w:rsid w:val="00FD779A"/>
    <w:rsid w:val="00FD77C6"/>
    <w:rsid w:val="00FD7802"/>
    <w:rsid w:val="00FD78A1"/>
    <w:rsid w:val="00FD78AF"/>
    <w:rsid w:val="00FD78C1"/>
    <w:rsid w:val="00FD78EA"/>
    <w:rsid w:val="00FD78EF"/>
    <w:rsid w:val="00FD7930"/>
    <w:rsid w:val="00FD7937"/>
    <w:rsid w:val="00FD79AA"/>
    <w:rsid w:val="00FD79DD"/>
    <w:rsid w:val="00FD7A60"/>
    <w:rsid w:val="00FD7A64"/>
    <w:rsid w:val="00FD7A87"/>
    <w:rsid w:val="00FD7ACD"/>
    <w:rsid w:val="00FD7AFC"/>
    <w:rsid w:val="00FD7B11"/>
    <w:rsid w:val="00FD7B7F"/>
    <w:rsid w:val="00FD7BB3"/>
    <w:rsid w:val="00FD7C03"/>
    <w:rsid w:val="00FD7C28"/>
    <w:rsid w:val="00FD7C36"/>
    <w:rsid w:val="00FD7CD5"/>
    <w:rsid w:val="00FD7CEE"/>
    <w:rsid w:val="00FD7D47"/>
    <w:rsid w:val="00FD7D48"/>
    <w:rsid w:val="00FD7D64"/>
    <w:rsid w:val="00FD7DAE"/>
    <w:rsid w:val="00FD7E0F"/>
    <w:rsid w:val="00FD7E28"/>
    <w:rsid w:val="00FD7E54"/>
    <w:rsid w:val="00FD7E5D"/>
    <w:rsid w:val="00FD7E95"/>
    <w:rsid w:val="00FD7F3A"/>
    <w:rsid w:val="00FD7F62"/>
    <w:rsid w:val="00FD7F73"/>
    <w:rsid w:val="00FD7FA4"/>
    <w:rsid w:val="00FD7FD7"/>
    <w:rsid w:val="00FE0023"/>
    <w:rsid w:val="00FE0063"/>
    <w:rsid w:val="00FE0082"/>
    <w:rsid w:val="00FE0084"/>
    <w:rsid w:val="00FE008D"/>
    <w:rsid w:val="00FE00B0"/>
    <w:rsid w:val="00FE00F7"/>
    <w:rsid w:val="00FE012A"/>
    <w:rsid w:val="00FE0132"/>
    <w:rsid w:val="00FE0140"/>
    <w:rsid w:val="00FE0147"/>
    <w:rsid w:val="00FE01A4"/>
    <w:rsid w:val="00FE01B6"/>
    <w:rsid w:val="00FE01C6"/>
    <w:rsid w:val="00FE01D3"/>
    <w:rsid w:val="00FE0209"/>
    <w:rsid w:val="00FE0218"/>
    <w:rsid w:val="00FE024F"/>
    <w:rsid w:val="00FE0263"/>
    <w:rsid w:val="00FE0272"/>
    <w:rsid w:val="00FE0293"/>
    <w:rsid w:val="00FE02A8"/>
    <w:rsid w:val="00FE0311"/>
    <w:rsid w:val="00FE0336"/>
    <w:rsid w:val="00FE033D"/>
    <w:rsid w:val="00FE03DB"/>
    <w:rsid w:val="00FE03DD"/>
    <w:rsid w:val="00FE040E"/>
    <w:rsid w:val="00FE0415"/>
    <w:rsid w:val="00FE0419"/>
    <w:rsid w:val="00FE0435"/>
    <w:rsid w:val="00FE044B"/>
    <w:rsid w:val="00FE045A"/>
    <w:rsid w:val="00FE045B"/>
    <w:rsid w:val="00FE04B3"/>
    <w:rsid w:val="00FE04CD"/>
    <w:rsid w:val="00FE04DD"/>
    <w:rsid w:val="00FE0535"/>
    <w:rsid w:val="00FE055F"/>
    <w:rsid w:val="00FE05BA"/>
    <w:rsid w:val="00FE05BD"/>
    <w:rsid w:val="00FE0607"/>
    <w:rsid w:val="00FE063D"/>
    <w:rsid w:val="00FE064E"/>
    <w:rsid w:val="00FE0667"/>
    <w:rsid w:val="00FE066D"/>
    <w:rsid w:val="00FE06B8"/>
    <w:rsid w:val="00FE06CD"/>
    <w:rsid w:val="00FE06F9"/>
    <w:rsid w:val="00FE070E"/>
    <w:rsid w:val="00FE0754"/>
    <w:rsid w:val="00FE076B"/>
    <w:rsid w:val="00FE07A3"/>
    <w:rsid w:val="00FE07A8"/>
    <w:rsid w:val="00FE07EF"/>
    <w:rsid w:val="00FE07F0"/>
    <w:rsid w:val="00FE0803"/>
    <w:rsid w:val="00FE084A"/>
    <w:rsid w:val="00FE0853"/>
    <w:rsid w:val="00FE08AC"/>
    <w:rsid w:val="00FE08BD"/>
    <w:rsid w:val="00FE08E2"/>
    <w:rsid w:val="00FE093F"/>
    <w:rsid w:val="00FE0949"/>
    <w:rsid w:val="00FE09AD"/>
    <w:rsid w:val="00FE09BA"/>
    <w:rsid w:val="00FE09C4"/>
    <w:rsid w:val="00FE09EA"/>
    <w:rsid w:val="00FE0A9F"/>
    <w:rsid w:val="00FE0B7F"/>
    <w:rsid w:val="00FE0B92"/>
    <w:rsid w:val="00FE0B97"/>
    <w:rsid w:val="00FE0BA7"/>
    <w:rsid w:val="00FE0BE5"/>
    <w:rsid w:val="00FE0BF7"/>
    <w:rsid w:val="00FE0C3B"/>
    <w:rsid w:val="00FE0C5A"/>
    <w:rsid w:val="00FE0C7D"/>
    <w:rsid w:val="00FE0C83"/>
    <w:rsid w:val="00FE0CBC"/>
    <w:rsid w:val="00FE0CD2"/>
    <w:rsid w:val="00FE0CDC"/>
    <w:rsid w:val="00FE0D8C"/>
    <w:rsid w:val="00FE0D8E"/>
    <w:rsid w:val="00FE0DC4"/>
    <w:rsid w:val="00FE0E17"/>
    <w:rsid w:val="00FE0E88"/>
    <w:rsid w:val="00FE0ED8"/>
    <w:rsid w:val="00FE0EDF"/>
    <w:rsid w:val="00FE0EE4"/>
    <w:rsid w:val="00FE0EE8"/>
    <w:rsid w:val="00FE0EF5"/>
    <w:rsid w:val="00FE0F31"/>
    <w:rsid w:val="00FE0F41"/>
    <w:rsid w:val="00FE0F9A"/>
    <w:rsid w:val="00FE0FAD"/>
    <w:rsid w:val="00FE0FCC"/>
    <w:rsid w:val="00FE0FD8"/>
    <w:rsid w:val="00FE0FF2"/>
    <w:rsid w:val="00FE1047"/>
    <w:rsid w:val="00FE1048"/>
    <w:rsid w:val="00FE1099"/>
    <w:rsid w:val="00FE10A3"/>
    <w:rsid w:val="00FE10AF"/>
    <w:rsid w:val="00FE10BB"/>
    <w:rsid w:val="00FE110C"/>
    <w:rsid w:val="00FE1160"/>
    <w:rsid w:val="00FE116D"/>
    <w:rsid w:val="00FE1175"/>
    <w:rsid w:val="00FE119F"/>
    <w:rsid w:val="00FE11C6"/>
    <w:rsid w:val="00FE1228"/>
    <w:rsid w:val="00FE1249"/>
    <w:rsid w:val="00FE1251"/>
    <w:rsid w:val="00FE125E"/>
    <w:rsid w:val="00FE126F"/>
    <w:rsid w:val="00FE128C"/>
    <w:rsid w:val="00FE1293"/>
    <w:rsid w:val="00FE12C5"/>
    <w:rsid w:val="00FE12E6"/>
    <w:rsid w:val="00FE130C"/>
    <w:rsid w:val="00FE133F"/>
    <w:rsid w:val="00FE1344"/>
    <w:rsid w:val="00FE1398"/>
    <w:rsid w:val="00FE139A"/>
    <w:rsid w:val="00FE1401"/>
    <w:rsid w:val="00FE142E"/>
    <w:rsid w:val="00FE1483"/>
    <w:rsid w:val="00FE1486"/>
    <w:rsid w:val="00FE1490"/>
    <w:rsid w:val="00FE14AA"/>
    <w:rsid w:val="00FE14B6"/>
    <w:rsid w:val="00FE14BC"/>
    <w:rsid w:val="00FE14DA"/>
    <w:rsid w:val="00FE14FD"/>
    <w:rsid w:val="00FE1502"/>
    <w:rsid w:val="00FE152F"/>
    <w:rsid w:val="00FE1544"/>
    <w:rsid w:val="00FE1577"/>
    <w:rsid w:val="00FE15BA"/>
    <w:rsid w:val="00FE15DE"/>
    <w:rsid w:val="00FE15F7"/>
    <w:rsid w:val="00FE15FE"/>
    <w:rsid w:val="00FE1603"/>
    <w:rsid w:val="00FE1612"/>
    <w:rsid w:val="00FE1615"/>
    <w:rsid w:val="00FE1621"/>
    <w:rsid w:val="00FE1624"/>
    <w:rsid w:val="00FE1699"/>
    <w:rsid w:val="00FE169E"/>
    <w:rsid w:val="00FE16A9"/>
    <w:rsid w:val="00FE16C5"/>
    <w:rsid w:val="00FE16F4"/>
    <w:rsid w:val="00FE1706"/>
    <w:rsid w:val="00FE1709"/>
    <w:rsid w:val="00FE170E"/>
    <w:rsid w:val="00FE172E"/>
    <w:rsid w:val="00FE1746"/>
    <w:rsid w:val="00FE1763"/>
    <w:rsid w:val="00FE1765"/>
    <w:rsid w:val="00FE1772"/>
    <w:rsid w:val="00FE1784"/>
    <w:rsid w:val="00FE1788"/>
    <w:rsid w:val="00FE17A8"/>
    <w:rsid w:val="00FE17E1"/>
    <w:rsid w:val="00FE1817"/>
    <w:rsid w:val="00FE1831"/>
    <w:rsid w:val="00FE1837"/>
    <w:rsid w:val="00FE1840"/>
    <w:rsid w:val="00FE18A1"/>
    <w:rsid w:val="00FE18B3"/>
    <w:rsid w:val="00FE18C3"/>
    <w:rsid w:val="00FE18DA"/>
    <w:rsid w:val="00FE1914"/>
    <w:rsid w:val="00FE194F"/>
    <w:rsid w:val="00FE196C"/>
    <w:rsid w:val="00FE1974"/>
    <w:rsid w:val="00FE197C"/>
    <w:rsid w:val="00FE1983"/>
    <w:rsid w:val="00FE19B5"/>
    <w:rsid w:val="00FE1A9E"/>
    <w:rsid w:val="00FE1A9F"/>
    <w:rsid w:val="00FE1ABA"/>
    <w:rsid w:val="00FE1AC0"/>
    <w:rsid w:val="00FE1ADD"/>
    <w:rsid w:val="00FE1AE2"/>
    <w:rsid w:val="00FE1B21"/>
    <w:rsid w:val="00FE1B35"/>
    <w:rsid w:val="00FE1B44"/>
    <w:rsid w:val="00FE1B69"/>
    <w:rsid w:val="00FE1BB5"/>
    <w:rsid w:val="00FE1BC6"/>
    <w:rsid w:val="00FE1BDD"/>
    <w:rsid w:val="00FE1C1D"/>
    <w:rsid w:val="00FE1CBF"/>
    <w:rsid w:val="00FE1D54"/>
    <w:rsid w:val="00FE1D63"/>
    <w:rsid w:val="00FE1D70"/>
    <w:rsid w:val="00FE1DBB"/>
    <w:rsid w:val="00FE1DD7"/>
    <w:rsid w:val="00FE1E24"/>
    <w:rsid w:val="00FE1E28"/>
    <w:rsid w:val="00FE1E3D"/>
    <w:rsid w:val="00FE1E49"/>
    <w:rsid w:val="00FE1E4C"/>
    <w:rsid w:val="00FE1E5B"/>
    <w:rsid w:val="00FE1E63"/>
    <w:rsid w:val="00FE1E85"/>
    <w:rsid w:val="00FE1E88"/>
    <w:rsid w:val="00FE1EA2"/>
    <w:rsid w:val="00FE1EA7"/>
    <w:rsid w:val="00FE1EAA"/>
    <w:rsid w:val="00FE1ECF"/>
    <w:rsid w:val="00FE1EEF"/>
    <w:rsid w:val="00FE1EF1"/>
    <w:rsid w:val="00FE1F12"/>
    <w:rsid w:val="00FE1F23"/>
    <w:rsid w:val="00FE1F2C"/>
    <w:rsid w:val="00FE1F51"/>
    <w:rsid w:val="00FE1F74"/>
    <w:rsid w:val="00FE2000"/>
    <w:rsid w:val="00FE201A"/>
    <w:rsid w:val="00FE202F"/>
    <w:rsid w:val="00FE2031"/>
    <w:rsid w:val="00FE2035"/>
    <w:rsid w:val="00FE20BC"/>
    <w:rsid w:val="00FE20BE"/>
    <w:rsid w:val="00FE2128"/>
    <w:rsid w:val="00FE215D"/>
    <w:rsid w:val="00FE21E8"/>
    <w:rsid w:val="00FE2215"/>
    <w:rsid w:val="00FE22AA"/>
    <w:rsid w:val="00FE2308"/>
    <w:rsid w:val="00FE2351"/>
    <w:rsid w:val="00FE2369"/>
    <w:rsid w:val="00FE23A9"/>
    <w:rsid w:val="00FE23C2"/>
    <w:rsid w:val="00FE23C3"/>
    <w:rsid w:val="00FE23D7"/>
    <w:rsid w:val="00FE23EB"/>
    <w:rsid w:val="00FE23F2"/>
    <w:rsid w:val="00FE247C"/>
    <w:rsid w:val="00FE248C"/>
    <w:rsid w:val="00FE24C6"/>
    <w:rsid w:val="00FE24DE"/>
    <w:rsid w:val="00FE257A"/>
    <w:rsid w:val="00FE257C"/>
    <w:rsid w:val="00FE25AB"/>
    <w:rsid w:val="00FE25B7"/>
    <w:rsid w:val="00FE2616"/>
    <w:rsid w:val="00FE2625"/>
    <w:rsid w:val="00FE2639"/>
    <w:rsid w:val="00FE2671"/>
    <w:rsid w:val="00FE2678"/>
    <w:rsid w:val="00FE2697"/>
    <w:rsid w:val="00FE26E7"/>
    <w:rsid w:val="00FE26FC"/>
    <w:rsid w:val="00FE2702"/>
    <w:rsid w:val="00FE2718"/>
    <w:rsid w:val="00FE2728"/>
    <w:rsid w:val="00FE2739"/>
    <w:rsid w:val="00FE2746"/>
    <w:rsid w:val="00FE2788"/>
    <w:rsid w:val="00FE278E"/>
    <w:rsid w:val="00FE27D6"/>
    <w:rsid w:val="00FE27E7"/>
    <w:rsid w:val="00FE2819"/>
    <w:rsid w:val="00FE2870"/>
    <w:rsid w:val="00FE289C"/>
    <w:rsid w:val="00FE28A6"/>
    <w:rsid w:val="00FE28A8"/>
    <w:rsid w:val="00FE28BC"/>
    <w:rsid w:val="00FE28DB"/>
    <w:rsid w:val="00FE28DD"/>
    <w:rsid w:val="00FE28E2"/>
    <w:rsid w:val="00FE2976"/>
    <w:rsid w:val="00FE2989"/>
    <w:rsid w:val="00FE299C"/>
    <w:rsid w:val="00FE29A3"/>
    <w:rsid w:val="00FE2A09"/>
    <w:rsid w:val="00FE2A1D"/>
    <w:rsid w:val="00FE2A44"/>
    <w:rsid w:val="00FE2A9D"/>
    <w:rsid w:val="00FE2B06"/>
    <w:rsid w:val="00FE2B17"/>
    <w:rsid w:val="00FE2B8A"/>
    <w:rsid w:val="00FE2BC2"/>
    <w:rsid w:val="00FE2BC6"/>
    <w:rsid w:val="00FE2BCC"/>
    <w:rsid w:val="00FE2C04"/>
    <w:rsid w:val="00FE2C63"/>
    <w:rsid w:val="00FE2D2B"/>
    <w:rsid w:val="00FE2D41"/>
    <w:rsid w:val="00FE2DBC"/>
    <w:rsid w:val="00FE2E00"/>
    <w:rsid w:val="00FE2E39"/>
    <w:rsid w:val="00FE2E6F"/>
    <w:rsid w:val="00FE2E77"/>
    <w:rsid w:val="00FE2E87"/>
    <w:rsid w:val="00FE2EA9"/>
    <w:rsid w:val="00FE2EBC"/>
    <w:rsid w:val="00FE2EE3"/>
    <w:rsid w:val="00FE2EF4"/>
    <w:rsid w:val="00FE2F05"/>
    <w:rsid w:val="00FE2F5D"/>
    <w:rsid w:val="00FE2FA4"/>
    <w:rsid w:val="00FE2FFB"/>
    <w:rsid w:val="00FE3038"/>
    <w:rsid w:val="00FE303B"/>
    <w:rsid w:val="00FE3044"/>
    <w:rsid w:val="00FE3059"/>
    <w:rsid w:val="00FE30C1"/>
    <w:rsid w:val="00FE30D7"/>
    <w:rsid w:val="00FE30E0"/>
    <w:rsid w:val="00FE3105"/>
    <w:rsid w:val="00FE310B"/>
    <w:rsid w:val="00FE3157"/>
    <w:rsid w:val="00FE3170"/>
    <w:rsid w:val="00FE317A"/>
    <w:rsid w:val="00FE31AD"/>
    <w:rsid w:val="00FE31C6"/>
    <w:rsid w:val="00FE31D5"/>
    <w:rsid w:val="00FE31E6"/>
    <w:rsid w:val="00FE31F5"/>
    <w:rsid w:val="00FE3228"/>
    <w:rsid w:val="00FE324D"/>
    <w:rsid w:val="00FE325E"/>
    <w:rsid w:val="00FE3277"/>
    <w:rsid w:val="00FE327C"/>
    <w:rsid w:val="00FE3283"/>
    <w:rsid w:val="00FE32DD"/>
    <w:rsid w:val="00FE3313"/>
    <w:rsid w:val="00FE331E"/>
    <w:rsid w:val="00FE3394"/>
    <w:rsid w:val="00FE33E4"/>
    <w:rsid w:val="00FE33EF"/>
    <w:rsid w:val="00FE33FD"/>
    <w:rsid w:val="00FE342C"/>
    <w:rsid w:val="00FE342D"/>
    <w:rsid w:val="00FE3444"/>
    <w:rsid w:val="00FE345F"/>
    <w:rsid w:val="00FE3464"/>
    <w:rsid w:val="00FE3475"/>
    <w:rsid w:val="00FE3476"/>
    <w:rsid w:val="00FE3477"/>
    <w:rsid w:val="00FE3483"/>
    <w:rsid w:val="00FE34A5"/>
    <w:rsid w:val="00FE34C7"/>
    <w:rsid w:val="00FE34D6"/>
    <w:rsid w:val="00FE352A"/>
    <w:rsid w:val="00FE3561"/>
    <w:rsid w:val="00FE35AD"/>
    <w:rsid w:val="00FE35BD"/>
    <w:rsid w:val="00FE35CA"/>
    <w:rsid w:val="00FE35EA"/>
    <w:rsid w:val="00FE360E"/>
    <w:rsid w:val="00FE3622"/>
    <w:rsid w:val="00FE3625"/>
    <w:rsid w:val="00FE3628"/>
    <w:rsid w:val="00FE3640"/>
    <w:rsid w:val="00FE3676"/>
    <w:rsid w:val="00FE36A3"/>
    <w:rsid w:val="00FE36F4"/>
    <w:rsid w:val="00FE375B"/>
    <w:rsid w:val="00FE378A"/>
    <w:rsid w:val="00FE378F"/>
    <w:rsid w:val="00FE3799"/>
    <w:rsid w:val="00FE37B3"/>
    <w:rsid w:val="00FE37D4"/>
    <w:rsid w:val="00FE37DD"/>
    <w:rsid w:val="00FE37E6"/>
    <w:rsid w:val="00FE3804"/>
    <w:rsid w:val="00FE3818"/>
    <w:rsid w:val="00FE3876"/>
    <w:rsid w:val="00FE388D"/>
    <w:rsid w:val="00FE38B8"/>
    <w:rsid w:val="00FE38D4"/>
    <w:rsid w:val="00FE38D9"/>
    <w:rsid w:val="00FE390B"/>
    <w:rsid w:val="00FE391A"/>
    <w:rsid w:val="00FE394C"/>
    <w:rsid w:val="00FE396F"/>
    <w:rsid w:val="00FE399D"/>
    <w:rsid w:val="00FE3A71"/>
    <w:rsid w:val="00FE3ABF"/>
    <w:rsid w:val="00FE3ACB"/>
    <w:rsid w:val="00FE3AD5"/>
    <w:rsid w:val="00FE3AF9"/>
    <w:rsid w:val="00FE3B3E"/>
    <w:rsid w:val="00FE3B52"/>
    <w:rsid w:val="00FE3B88"/>
    <w:rsid w:val="00FE3B93"/>
    <w:rsid w:val="00FE3BE4"/>
    <w:rsid w:val="00FE3BEA"/>
    <w:rsid w:val="00FE3BFC"/>
    <w:rsid w:val="00FE3C29"/>
    <w:rsid w:val="00FE3C4B"/>
    <w:rsid w:val="00FE3CC1"/>
    <w:rsid w:val="00FE3D29"/>
    <w:rsid w:val="00FE3D73"/>
    <w:rsid w:val="00FE3D8F"/>
    <w:rsid w:val="00FE3D96"/>
    <w:rsid w:val="00FE3DEA"/>
    <w:rsid w:val="00FE3DF9"/>
    <w:rsid w:val="00FE3DFC"/>
    <w:rsid w:val="00FE3E0C"/>
    <w:rsid w:val="00FE3E1A"/>
    <w:rsid w:val="00FE3E20"/>
    <w:rsid w:val="00FE3E28"/>
    <w:rsid w:val="00FE3E33"/>
    <w:rsid w:val="00FE3EC7"/>
    <w:rsid w:val="00FE3ECD"/>
    <w:rsid w:val="00FE3EDB"/>
    <w:rsid w:val="00FE3EE3"/>
    <w:rsid w:val="00FE3EE7"/>
    <w:rsid w:val="00FE3F06"/>
    <w:rsid w:val="00FE3F27"/>
    <w:rsid w:val="00FE3FA8"/>
    <w:rsid w:val="00FE3FD3"/>
    <w:rsid w:val="00FE40B0"/>
    <w:rsid w:val="00FE40DC"/>
    <w:rsid w:val="00FE40FE"/>
    <w:rsid w:val="00FE4169"/>
    <w:rsid w:val="00FE417A"/>
    <w:rsid w:val="00FE4199"/>
    <w:rsid w:val="00FE41B8"/>
    <w:rsid w:val="00FE41C9"/>
    <w:rsid w:val="00FE4200"/>
    <w:rsid w:val="00FE4232"/>
    <w:rsid w:val="00FE4254"/>
    <w:rsid w:val="00FE426D"/>
    <w:rsid w:val="00FE434E"/>
    <w:rsid w:val="00FE4378"/>
    <w:rsid w:val="00FE43A7"/>
    <w:rsid w:val="00FE43EF"/>
    <w:rsid w:val="00FE4420"/>
    <w:rsid w:val="00FE4486"/>
    <w:rsid w:val="00FE449B"/>
    <w:rsid w:val="00FE44B0"/>
    <w:rsid w:val="00FE44F0"/>
    <w:rsid w:val="00FE4501"/>
    <w:rsid w:val="00FE4561"/>
    <w:rsid w:val="00FE456B"/>
    <w:rsid w:val="00FE4575"/>
    <w:rsid w:val="00FE4594"/>
    <w:rsid w:val="00FE45B9"/>
    <w:rsid w:val="00FE45C8"/>
    <w:rsid w:val="00FE45E1"/>
    <w:rsid w:val="00FE4622"/>
    <w:rsid w:val="00FE4634"/>
    <w:rsid w:val="00FE463E"/>
    <w:rsid w:val="00FE4642"/>
    <w:rsid w:val="00FE4669"/>
    <w:rsid w:val="00FE4688"/>
    <w:rsid w:val="00FE46B2"/>
    <w:rsid w:val="00FE46BC"/>
    <w:rsid w:val="00FE46CF"/>
    <w:rsid w:val="00FE4700"/>
    <w:rsid w:val="00FE475B"/>
    <w:rsid w:val="00FE476E"/>
    <w:rsid w:val="00FE4785"/>
    <w:rsid w:val="00FE47AA"/>
    <w:rsid w:val="00FE47D2"/>
    <w:rsid w:val="00FE47E6"/>
    <w:rsid w:val="00FE47E8"/>
    <w:rsid w:val="00FE47F3"/>
    <w:rsid w:val="00FE4801"/>
    <w:rsid w:val="00FE481C"/>
    <w:rsid w:val="00FE4829"/>
    <w:rsid w:val="00FE4833"/>
    <w:rsid w:val="00FE4890"/>
    <w:rsid w:val="00FE48A7"/>
    <w:rsid w:val="00FE48BA"/>
    <w:rsid w:val="00FE48BF"/>
    <w:rsid w:val="00FE48F0"/>
    <w:rsid w:val="00FE4916"/>
    <w:rsid w:val="00FE4949"/>
    <w:rsid w:val="00FE4993"/>
    <w:rsid w:val="00FE49B1"/>
    <w:rsid w:val="00FE49ED"/>
    <w:rsid w:val="00FE4A2F"/>
    <w:rsid w:val="00FE4A41"/>
    <w:rsid w:val="00FE4A73"/>
    <w:rsid w:val="00FE4A9C"/>
    <w:rsid w:val="00FE4ABB"/>
    <w:rsid w:val="00FE4B0F"/>
    <w:rsid w:val="00FE4B4D"/>
    <w:rsid w:val="00FE4B51"/>
    <w:rsid w:val="00FE4B55"/>
    <w:rsid w:val="00FE4B7D"/>
    <w:rsid w:val="00FE4C25"/>
    <w:rsid w:val="00FE4C2E"/>
    <w:rsid w:val="00FE4C56"/>
    <w:rsid w:val="00FE4C57"/>
    <w:rsid w:val="00FE4C7B"/>
    <w:rsid w:val="00FE4CB1"/>
    <w:rsid w:val="00FE4D5B"/>
    <w:rsid w:val="00FE4D76"/>
    <w:rsid w:val="00FE4E0B"/>
    <w:rsid w:val="00FE4E1D"/>
    <w:rsid w:val="00FE4E35"/>
    <w:rsid w:val="00FE4F1D"/>
    <w:rsid w:val="00FE4F35"/>
    <w:rsid w:val="00FE4F4C"/>
    <w:rsid w:val="00FE4F8E"/>
    <w:rsid w:val="00FE4FF5"/>
    <w:rsid w:val="00FE5010"/>
    <w:rsid w:val="00FE5015"/>
    <w:rsid w:val="00FE5045"/>
    <w:rsid w:val="00FE509A"/>
    <w:rsid w:val="00FE50AA"/>
    <w:rsid w:val="00FE50EA"/>
    <w:rsid w:val="00FE5114"/>
    <w:rsid w:val="00FE5126"/>
    <w:rsid w:val="00FE512F"/>
    <w:rsid w:val="00FE5146"/>
    <w:rsid w:val="00FE5156"/>
    <w:rsid w:val="00FE515C"/>
    <w:rsid w:val="00FE5160"/>
    <w:rsid w:val="00FE518E"/>
    <w:rsid w:val="00FE522F"/>
    <w:rsid w:val="00FE529F"/>
    <w:rsid w:val="00FE534C"/>
    <w:rsid w:val="00FE53F6"/>
    <w:rsid w:val="00FE5420"/>
    <w:rsid w:val="00FE5436"/>
    <w:rsid w:val="00FE544B"/>
    <w:rsid w:val="00FE54B5"/>
    <w:rsid w:val="00FE54FE"/>
    <w:rsid w:val="00FE5518"/>
    <w:rsid w:val="00FE5534"/>
    <w:rsid w:val="00FE5575"/>
    <w:rsid w:val="00FE5580"/>
    <w:rsid w:val="00FE55AE"/>
    <w:rsid w:val="00FE5629"/>
    <w:rsid w:val="00FE5673"/>
    <w:rsid w:val="00FE56B1"/>
    <w:rsid w:val="00FE56C6"/>
    <w:rsid w:val="00FE573E"/>
    <w:rsid w:val="00FE577E"/>
    <w:rsid w:val="00FE57CD"/>
    <w:rsid w:val="00FE57E5"/>
    <w:rsid w:val="00FE58EE"/>
    <w:rsid w:val="00FE5986"/>
    <w:rsid w:val="00FE59C1"/>
    <w:rsid w:val="00FE5A6E"/>
    <w:rsid w:val="00FE5AD6"/>
    <w:rsid w:val="00FE5AE8"/>
    <w:rsid w:val="00FE5B0B"/>
    <w:rsid w:val="00FE5B12"/>
    <w:rsid w:val="00FE5B27"/>
    <w:rsid w:val="00FE5B2C"/>
    <w:rsid w:val="00FE5B77"/>
    <w:rsid w:val="00FE5B93"/>
    <w:rsid w:val="00FE5C26"/>
    <w:rsid w:val="00FE5C5D"/>
    <w:rsid w:val="00FE5CA9"/>
    <w:rsid w:val="00FE5CB7"/>
    <w:rsid w:val="00FE5D46"/>
    <w:rsid w:val="00FE5D49"/>
    <w:rsid w:val="00FE5D4A"/>
    <w:rsid w:val="00FE5D5C"/>
    <w:rsid w:val="00FE5D5D"/>
    <w:rsid w:val="00FE5D72"/>
    <w:rsid w:val="00FE5D93"/>
    <w:rsid w:val="00FE5DA8"/>
    <w:rsid w:val="00FE5DAA"/>
    <w:rsid w:val="00FE5DBA"/>
    <w:rsid w:val="00FE5DCD"/>
    <w:rsid w:val="00FE5E6F"/>
    <w:rsid w:val="00FE5E80"/>
    <w:rsid w:val="00FE5EE6"/>
    <w:rsid w:val="00FE5EFE"/>
    <w:rsid w:val="00FE5F30"/>
    <w:rsid w:val="00FE5F36"/>
    <w:rsid w:val="00FE5FD2"/>
    <w:rsid w:val="00FE601A"/>
    <w:rsid w:val="00FE601D"/>
    <w:rsid w:val="00FE6050"/>
    <w:rsid w:val="00FE60E2"/>
    <w:rsid w:val="00FE6104"/>
    <w:rsid w:val="00FE6111"/>
    <w:rsid w:val="00FE6134"/>
    <w:rsid w:val="00FE6193"/>
    <w:rsid w:val="00FE61A4"/>
    <w:rsid w:val="00FE61B9"/>
    <w:rsid w:val="00FE61BF"/>
    <w:rsid w:val="00FE61C0"/>
    <w:rsid w:val="00FE61C6"/>
    <w:rsid w:val="00FE61D8"/>
    <w:rsid w:val="00FE6242"/>
    <w:rsid w:val="00FE626B"/>
    <w:rsid w:val="00FE6287"/>
    <w:rsid w:val="00FE6292"/>
    <w:rsid w:val="00FE62F9"/>
    <w:rsid w:val="00FE630D"/>
    <w:rsid w:val="00FE6317"/>
    <w:rsid w:val="00FE6333"/>
    <w:rsid w:val="00FE6351"/>
    <w:rsid w:val="00FE6358"/>
    <w:rsid w:val="00FE63AD"/>
    <w:rsid w:val="00FE63CD"/>
    <w:rsid w:val="00FE6404"/>
    <w:rsid w:val="00FE640A"/>
    <w:rsid w:val="00FE643B"/>
    <w:rsid w:val="00FE6476"/>
    <w:rsid w:val="00FE648E"/>
    <w:rsid w:val="00FE6490"/>
    <w:rsid w:val="00FE64B1"/>
    <w:rsid w:val="00FE64C3"/>
    <w:rsid w:val="00FE64C8"/>
    <w:rsid w:val="00FE6553"/>
    <w:rsid w:val="00FE6570"/>
    <w:rsid w:val="00FE6592"/>
    <w:rsid w:val="00FE6594"/>
    <w:rsid w:val="00FE65B2"/>
    <w:rsid w:val="00FE65EC"/>
    <w:rsid w:val="00FE65EF"/>
    <w:rsid w:val="00FE660B"/>
    <w:rsid w:val="00FE6612"/>
    <w:rsid w:val="00FE662D"/>
    <w:rsid w:val="00FE664A"/>
    <w:rsid w:val="00FE6691"/>
    <w:rsid w:val="00FE669B"/>
    <w:rsid w:val="00FE66E3"/>
    <w:rsid w:val="00FE6730"/>
    <w:rsid w:val="00FE6740"/>
    <w:rsid w:val="00FE675E"/>
    <w:rsid w:val="00FE676C"/>
    <w:rsid w:val="00FE6774"/>
    <w:rsid w:val="00FE677A"/>
    <w:rsid w:val="00FE679D"/>
    <w:rsid w:val="00FE67AB"/>
    <w:rsid w:val="00FE67DC"/>
    <w:rsid w:val="00FE6836"/>
    <w:rsid w:val="00FE68F1"/>
    <w:rsid w:val="00FE6912"/>
    <w:rsid w:val="00FE6933"/>
    <w:rsid w:val="00FE693C"/>
    <w:rsid w:val="00FE69B2"/>
    <w:rsid w:val="00FE69E6"/>
    <w:rsid w:val="00FE6A32"/>
    <w:rsid w:val="00FE6A9E"/>
    <w:rsid w:val="00FE6AA5"/>
    <w:rsid w:val="00FE6AA7"/>
    <w:rsid w:val="00FE6AAD"/>
    <w:rsid w:val="00FE6ACA"/>
    <w:rsid w:val="00FE6ADB"/>
    <w:rsid w:val="00FE6ADE"/>
    <w:rsid w:val="00FE6AF0"/>
    <w:rsid w:val="00FE6AF8"/>
    <w:rsid w:val="00FE6B0E"/>
    <w:rsid w:val="00FE6B29"/>
    <w:rsid w:val="00FE6B54"/>
    <w:rsid w:val="00FE6B72"/>
    <w:rsid w:val="00FE6B78"/>
    <w:rsid w:val="00FE6BBE"/>
    <w:rsid w:val="00FE6C36"/>
    <w:rsid w:val="00FE6C72"/>
    <w:rsid w:val="00FE6C98"/>
    <w:rsid w:val="00FE6CA0"/>
    <w:rsid w:val="00FE6CB6"/>
    <w:rsid w:val="00FE6CFC"/>
    <w:rsid w:val="00FE6D02"/>
    <w:rsid w:val="00FE6D0E"/>
    <w:rsid w:val="00FE6D24"/>
    <w:rsid w:val="00FE6D34"/>
    <w:rsid w:val="00FE6D3F"/>
    <w:rsid w:val="00FE6DC6"/>
    <w:rsid w:val="00FE6DCC"/>
    <w:rsid w:val="00FE6DE3"/>
    <w:rsid w:val="00FE6DF5"/>
    <w:rsid w:val="00FE6E5E"/>
    <w:rsid w:val="00FE6E74"/>
    <w:rsid w:val="00FE6E94"/>
    <w:rsid w:val="00FE6EB7"/>
    <w:rsid w:val="00FE6F00"/>
    <w:rsid w:val="00FE6F2D"/>
    <w:rsid w:val="00FE6F33"/>
    <w:rsid w:val="00FE6F55"/>
    <w:rsid w:val="00FE6FCB"/>
    <w:rsid w:val="00FE6FD8"/>
    <w:rsid w:val="00FE7027"/>
    <w:rsid w:val="00FE7045"/>
    <w:rsid w:val="00FE704D"/>
    <w:rsid w:val="00FE707F"/>
    <w:rsid w:val="00FE7114"/>
    <w:rsid w:val="00FE7197"/>
    <w:rsid w:val="00FE71A2"/>
    <w:rsid w:val="00FE71AB"/>
    <w:rsid w:val="00FE71D7"/>
    <w:rsid w:val="00FE71E1"/>
    <w:rsid w:val="00FE71F3"/>
    <w:rsid w:val="00FE71F4"/>
    <w:rsid w:val="00FE71FE"/>
    <w:rsid w:val="00FE7211"/>
    <w:rsid w:val="00FE721F"/>
    <w:rsid w:val="00FE724E"/>
    <w:rsid w:val="00FE7255"/>
    <w:rsid w:val="00FE7256"/>
    <w:rsid w:val="00FE7260"/>
    <w:rsid w:val="00FE7268"/>
    <w:rsid w:val="00FE7271"/>
    <w:rsid w:val="00FE7285"/>
    <w:rsid w:val="00FE7295"/>
    <w:rsid w:val="00FE729F"/>
    <w:rsid w:val="00FE72A7"/>
    <w:rsid w:val="00FE72F0"/>
    <w:rsid w:val="00FE72F2"/>
    <w:rsid w:val="00FE72F5"/>
    <w:rsid w:val="00FE7364"/>
    <w:rsid w:val="00FE739A"/>
    <w:rsid w:val="00FE73F4"/>
    <w:rsid w:val="00FE741E"/>
    <w:rsid w:val="00FE743F"/>
    <w:rsid w:val="00FE7454"/>
    <w:rsid w:val="00FE745A"/>
    <w:rsid w:val="00FE748E"/>
    <w:rsid w:val="00FE74D1"/>
    <w:rsid w:val="00FE753D"/>
    <w:rsid w:val="00FE7545"/>
    <w:rsid w:val="00FE7556"/>
    <w:rsid w:val="00FE755A"/>
    <w:rsid w:val="00FE7575"/>
    <w:rsid w:val="00FE75C4"/>
    <w:rsid w:val="00FE75CF"/>
    <w:rsid w:val="00FE75E3"/>
    <w:rsid w:val="00FE763E"/>
    <w:rsid w:val="00FE7664"/>
    <w:rsid w:val="00FE76A2"/>
    <w:rsid w:val="00FE76A5"/>
    <w:rsid w:val="00FE76B0"/>
    <w:rsid w:val="00FE76BA"/>
    <w:rsid w:val="00FE76E1"/>
    <w:rsid w:val="00FE76F1"/>
    <w:rsid w:val="00FE7705"/>
    <w:rsid w:val="00FE772F"/>
    <w:rsid w:val="00FE7737"/>
    <w:rsid w:val="00FE7768"/>
    <w:rsid w:val="00FE7772"/>
    <w:rsid w:val="00FE7777"/>
    <w:rsid w:val="00FE7780"/>
    <w:rsid w:val="00FE7788"/>
    <w:rsid w:val="00FE7793"/>
    <w:rsid w:val="00FE77AE"/>
    <w:rsid w:val="00FE77FD"/>
    <w:rsid w:val="00FE7870"/>
    <w:rsid w:val="00FE7875"/>
    <w:rsid w:val="00FE78A5"/>
    <w:rsid w:val="00FE78E1"/>
    <w:rsid w:val="00FE78F5"/>
    <w:rsid w:val="00FE7915"/>
    <w:rsid w:val="00FE794F"/>
    <w:rsid w:val="00FE7988"/>
    <w:rsid w:val="00FE79F1"/>
    <w:rsid w:val="00FE7A05"/>
    <w:rsid w:val="00FE7A09"/>
    <w:rsid w:val="00FE7A25"/>
    <w:rsid w:val="00FE7A32"/>
    <w:rsid w:val="00FE7A35"/>
    <w:rsid w:val="00FE7A4E"/>
    <w:rsid w:val="00FE7A98"/>
    <w:rsid w:val="00FE7AAA"/>
    <w:rsid w:val="00FE7B04"/>
    <w:rsid w:val="00FE7B05"/>
    <w:rsid w:val="00FE7B8C"/>
    <w:rsid w:val="00FE7B96"/>
    <w:rsid w:val="00FE7B98"/>
    <w:rsid w:val="00FE7BEB"/>
    <w:rsid w:val="00FE7C13"/>
    <w:rsid w:val="00FE7C24"/>
    <w:rsid w:val="00FE7C27"/>
    <w:rsid w:val="00FE7C2C"/>
    <w:rsid w:val="00FE7C57"/>
    <w:rsid w:val="00FE7C95"/>
    <w:rsid w:val="00FE7C97"/>
    <w:rsid w:val="00FE7CD6"/>
    <w:rsid w:val="00FE7D42"/>
    <w:rsid w:val="00FE7D66"/>
    <w:rsid w:val="00FE7D87"/>
    <w:rsid w:val="00FE7D8F"/>
    <w:rsid w:val="00FE7DD7"/>
    <w:rsid w:val="00FE7DEC"/>
    <w:rsid w:val="00FE7E62"/>
    <w:rsid w:val="00FE7E74"/>
    <w:rsid w:val="00FE7E99"/>
    <w:rsid w:val="00FE7EEB"/>
    <w:rsid w:val="00FE7F0E"/>
    <w:rsid w:val="00FE7F26"/>
    <w:rsid w:val="00FE7F2E"/>
    <w:rsid w:val="00FE7F44"/>
    <w:rsid w:val="00FE7F45"/>
    <w:rsid w:val="00FE7F4F"/>
    <w:rsid w:val="00FE7F97"/>
    <w:rsid w:val="00FE7F9B"/>
    <w:rsid w:val="00FE7FBA"/>
    <w:rsid w:val="00FE7FDE"/>
    <w:rsid w:val="00FF0004"/>
    <w:rsid w:val="00FF009B"/>
    <w:rsid w:val="00FF00B5"/>
    <w:rsid w:val="00FF00D2"/>
    <w:rsid w:val="00FF010B"/>
    <w:rsid w:val="00FF011F"/>
    <w:rsid w:val="00FF013A"/>
    <w:rsid w:val="00FF0144"/>
    <w:rsid w:val="00FF0170"/>
    <w:rsid w:val="00FF01AC"/>
    <w:rsid w:val="00FF023D"/>
    <w:rsid w:val="00FF023F"/>
    <w:rsid w:val="00FF0247"/>
    <w:rsid w:val="00FF0252"/>
    <w:rsid w:val="00FF0256"/>
    <w:rsid w:val="00FF027A"/>
    <w:rsid w:val="00FF0286"/>
    <w:rsid w:val="00FF0320"/>
    <w:rsid w:val="00FF0338"/>
    <w:rsid w:val="00FF0342"/>
    <w:rsid w:val="00FF0361"/>
    <w:rsid w:val="00FF039C"/>
    <w:rsid w:val="00FF03BD"/>
    <w:rsid w:val="00FF03D4"/>
    <w:rsid w:val="00FF03F5"/>
    <w:rsid w:val="00FF0411"/>
    <w:rsid w:val="00FF0430"/>
    <w:rsid w:val="00FF044C"/>
    <w:rsid w:val="00FF0462"/>
    <w:rsid w:val="00FF0485"/>
    <w:rsid w:val="00FF0488"/>
    <w:rsid w:val="00FF0491"/>
    <w:rsid w:val="00FF04DA"/>
    <w:rsid w:val="00FF04DE"/>
    <w:rsid w:val="00FF053F"/>
    <w:rsid w:val="00FF0571"/>
    <w:rsid w:val="00FF0586"/>
    <w:rsid w:val="00FF05A5"/>
    <w:rsid w:val="00FF05FD"/>
    <w:rsid w:val="00FF0636"/>
    <w:rsid w:val="00FF063C"/>
    <w:rsid w:val="00FF064B"/>
    <w:rsid w:val="00FF06B3"/>
    <w:rsid w:val="00FF06C6"/>
    <w:rsid w:val="00FF0701"/>
    <w:rsid w:val="00FF071B"/>
    <w:rsid w:val="00FF073C"/>
    <w:rsid w:val="00FF0740"/>
    <w:rsid w:val="00FF0758"/>
    <w:rsid w:val="00FF0787"/>
    <w:rsid w:val="00FF07AE"/>
    <w:rsid w:val="00FF07BE"/>
    <w:rsid w:val="00FF07FD"/>
    <w:rsid w:val="00FF08B1"/>
    <w:rsid w:val="00FF08C4"/>
    <w:rsid w:val="00FF0902"/>
    <w:rsid w:val="00FF0923"/>
    <w:rsid w:val="00FF0924"/>
    <w:rsid w:val="00FF092F"/>
    <w:rsid w:val="00FF0962"/>
    <w:rsid w:val="00FF09F8"/>
    <w:rsid w:val="00FF0A36"/>
    <w:rsid w:val="00FF0A6B"/>
    <w:rsid w:val="00FF0A80"/>
    <w:rsid w:val="00FF0AA8"/>
    <w:rsid w:val="00FF0ADA"/>
    <w:rsid w:val="00FF0AF9"/>
    <w:rsid w:val="00FF0B34"/>
    <w:rsid w:val="00FF0B57"/>
    <w:rsid w:val="00FF0B59"/>
    <w:rsid w:val="00FF0B64"/>
    <w:rsid w:val="00FF0B84"/>
    <w:rsid w:val="00FF0B93"/>
    <w:rsid w:val="00FF0C44"/>
    <w:rsid w:val="00FF0C67"/>
    <w:rsid w:val="00FF0C8A"/>
    <w:rsid w:val="00FF0CCC"/>
    <w:rsid w:val="00FF0CF2"/>
    <w:rsid w:val="00FF0CF3"/>
    <w:rsid w:val="00FF0D19"/>
    <w:rsid w:val="00FF0D26"/>
    <w:rsid w:val="00FF0D82"/>
    <w:rsid w:val="00FF0D98"/>
    <w:rsid w:val="00FF0DA4"/>
    <w:rsid w:val="00FF0E77"/>
    <w:rsid w:val="00FF0E85"/>
    <w:rsid w:val="00FF0EB2"/>
    <w:rsid w:val="00FF0EDB"/>
    <w:rsid w:val="00FF0F24"/>
    <w:rsid w:val="00FF0F29"/>
    <w:rsid w:val="00FF0F68"/>
    <w:rsid w:val="00FF0F6D"/>
    <w:rsid w:val="00FF102F"/>
    <w:rsid w:val="00FF1031"/>
    <w:rsid w:val="00FF1032"/>
    <w:rsid w:val="00FF103F"/>
    <w:rsid w:val="00FF104B"/>
    <w:rsid w:val="00FF104D"/>
    <w:rsid w:val="00FF106B"/>
    <w:rsid w:val="00FF1096"/>
    <w:rsid w:val="00FF1113"/>
    <w:rsid w:val="00FF1143"/>
    <w:rsid w:val="00FF1189"/>
    <w:rsid w:val="00FF118E"/>
    <w:rsid w:val="00FF11BB"/>
    <w:rsid w:val="00FF11E5"/>
    <w:rsid w:val="00FF1203"/>
    <w:rsid w:val="00FF1205"/>
    <w:rsid w:val="00FF1220"/>
    <w:rsid w:val="00FF1231"/>
    <w:rsid w:val="00FF123C"/>
    <w:rsid w:val="00FF1248"/>
    <w:rsid w:val="00FF12BF"/>
    <w:rsid w:val="00FF12C9"/>
    <w:rsid w:val="00FF12CF"/>
    <w:rsid w:val="00FF12D9"/>
    <w:rsid w:val="00FF12FC"/>
    <w:rsid w:val="00FF1308"/>
    <w:rsid w:val="00FF134C"/>
    <w:rsid w:val="00FF137F"/>
    <w:rsid w:val="00FF13C8"/>
    <w:rsid w:val="00FF140E"/>
    <w:rsid w:val="00FF1463"/>
    <w:rsid w:val="00FF14A2"/>
    <w:rsid w:val="00FF14C5"/>
    <w:rsid w:val="00FF1558"/>
    <w:rsid w:val="00FF1565"/>
    <w:rsid w:val="00FF157A"/>
    <w:rsid w:val="00FF1588"/>
    <w:rsid w:val="00FF15E1"/>
    <w:rsid w:val="00FF15ED"/>
    <w:rsid w:val="00FF1650"/>
    <w:rsid w:val="00FF165B"/>
    <w:rsid w:val="00FF1664"/>
    <w:rsid w:val="00FF16A3"/>
    <w:rsid w:val="00FF1703"/>
    <w:rsid w:val="00FF170B"/>
    <w:rsid w:val="00FF1712"/>
    <w:rsid w:val="00FF171B"/>
    <w:rsid w:val="00FF171D"/>
    <w:rsid w:val="00FF175A"/>
    <w:rsid w:val="00FF1773"/>
    <w:rsid w:val="00FF1776"/>
    <w:rsid w:val="00FF1843"/>
    <w:rsid w:val="00FF185F"/>
    <w:rsid w:val="00FF187C"/>
    <w:rsid w:val="00FF1897"/>
    <w:rsid w:val="00FF18DB"/>
    <w:rsid w:val="00FF18DF"/>
    <w:rsid w:val="00FF1908"/>
    <w:rsid w:val="00FF1917"/>
    <w:rsid w:val="00FF193A"/>
    <w:rsid w:val="00FF1979"/>
    <w:rsid w:val="00FF199B"/>
    <w:rsid w:val="00FF1A0A"/>
    <w:rsid w:val="00FF1A14"/>
    <w:rsid w:val="00FF1A1F"/>
    <w:rsid w:val="00FF1A2A"/>
    <w:rsid w:val="00FF1A37"/>
    <w:rsid w:val="00FF1A4E"/>
    <w:rsid w:val="00FF1A6E"/>
    <w:rsid w:val="00FF1A84"/>
    <w:rsid w:val="00FF1AA2"/>
    <w:rsid w:val="00FF1B28"/>
    <w:rsid w:val="00FF1B7E"/>
    <w:rsid w:val="00FF1B9F"/>
    <w:rsid w:val="00FF1BCF"/>
    <w:rsid w:val="00FF1BF5"/>
    <w:rsid w:val="00FF1C1F"/>
    <w:rsid w:val="00FF1C2B"/>
    <w:rsid w:val="00FF1C5C"/>
    <w:rsid w:val="00FF1C63"/>
    <w:rsid w:val="00FF1CB8"/>
    <w:rsid w:val="00FF1CC5"/>
    <w:rsid w:val="00FF1CD1"/>
    <w:rsid w:val="00FF1CFF"/>
    <w:rsid w:val="00FF1D21"/>
    <w:rsid w:val="00FF1D3B"/>
    <w:rsid w:val="00FF1D67"/>
    <w:rsid w:val="00FF1D7A"/>
    <w:rsid w:val="00FF1DAD"/>
    <w:rsid w:val="00FF1DB5"/>
    <w:rsid w:val="00FF1DCF"/>
    <w:rsid w:val="00FF1DE1"/>
    <w:rsid w:val="00FF1DFC"/>
    <w:rsid w:val="00FF1E03"/>
    <w:rsid w:val="00FF1E41"/>
    <w:rsid w:val="00FF1E43"/>
    <w:rsid w:val="00FF1E68"/>
    <w:rsid w:val="00FF1E6D"/>
    <w:rsid w:val="00FF1E8E"/>
    <w:rsid w:val="00FF1EAF"/>
    <w:rsid w:val="00FF1EC8"/>
    <w:rsid w:val="00FF1F04"/>
    <w:rsid w:val="00FF1F17"/>
    <w:rsid w:val="00FF1F24"/>
    <w:rsid w:val="00FF1F29"/>
    <w:rsid w:val="00FF1F41"/>
    <w:rsid w:val="00FF1F60"/>
    <w:rsid w:val="00FF1F64"/>
    <w:rsid w:val="00FF1F76"/>
    <w:rsid w:val="00FF1F97"/>
    <w:rsid w:val="00FF1FCB"/>
    <w:rsid w:val="00FF200B"/>
    <w:rsid w:val="00FF2040"/>
    <w:rsid w:val="00FF2044"/>
    <w:rsid w:val="00FF2045"/>
    <w:rsid w:val="00FF20B9"/>
    <w:rsid w:val="00FF20CD"/>
    <w:rsid w:val="00FF20E2"/>
    <w:rsid w:val="00FF210D"/>
    <w:rsid w:val="00FF212D"/>
    <w:rsid w:val="00FF215B"/>
    <w:rsid w:val="00FF2192"/>
    <w:rsid w:val="00FF21EA"/>
    <w:rsid w:val="00FF2200"/>
    <w:rsid w:val="00FF223A"/>
    <w:rsid w:val="00FF2284"/>
    <w:rsid w:val="00FF22AA"/>
    <w:rsid w:val="00FF2386"/>
    <w:rsid w:val="00FF243E"/>
    <w:rsid w:val="00FF2444"/>
    <w:rsid w:val="00FF2449"/>
    <w:rsid w:val="00FF247D"/>
    <w:rsid w:val="00FF2481"/>
    <w:rsid w:val="00FF248C"/>
    <w:rsid w:val="00FF2491"/>
    <w:rsid w:val="00FF24A5"/>
    <w:rsid w:val="00FF24BD"/>
    <w:rsid w:val="00FF2519"/>
    <w:rsid w:val="00FF2557"/>
    <w:rsid w:val="00FF2650"/>
    <w:rsid w:val="00FF266C"/>
    <w:rsid w:val="00FF2694"/>
    <w:rsid w:val="00FF26D0"/>
    <w:rsid w:val="00FF2700"/>
    <w:rsid w:val="00FF2757"/>
    <w:rsid w:val="00FF2763"/>
    <w:rsid w:val="00FF2795"/>
    <w:rsid w:val="00FF27C5"/>
    <w:rsid w:val="00FF27E6"/>
    <w:rsid w:val="00FF2838"/>
    <w:rsid w:val="00FF283F"/>
    <w:rsid w:val="00FF28A0"/>
    <w:rsid w:val="00FF28AE"/>
    <w:rsid w:val="00FF28DD"/>
    <w:rsid w:val="00FF2907"/>
    <w:rsid w:val="00FF290A"/>
    <w:rsid w:val="00FF2915"/>
    <w:rsid w:val="00FF291E"/>
    <w:rsid w:val="00FF2924"/>
    <w:rsid w:val="00FF2926"/>
    <w:rsid w:val="00FF2937"/>
    <w:rsid w:val="00FF2998"/>
    <w:rsid w:val="00FF2A2B"/>
    <w:rsid w:val="00FF2A39"/>
    <w:rsid w:val="00FF2A59"/>
    <w:rsid w:val="00FF2A60"/>
    <w:rsid w:val="00FF2A76"/>
    <w:rsid w:val="00FF2A92"/>
    <w:rsid w:val="00FF2AE0"/>
    <w:rsid w:val="00FF2AFA"/>
    <w:rsid w:val="00FF2B37"/>
    <w:rsid w:val="00FF2B65"/>
    <w:rsid w:val="00FF2BC7"/>
    <w:rsid w:val="00FF2BE4"/>
    <w:rsid w:val="00FF2BEA"/>
    <w:rsid w:val="00FF2BF6"/>
    <w:rsid w:val="00FF2C22"/>
    <w:rsid w:val="00FF2C37"/>
    <w:rsid w:val="00FF2C79"/>
    <w:rsid w:val="00FF2C9F"/>
    <w:rsid w:val="00FF2CC4"/>
    <w:rsid w:val="00FF2CCB"/>
    <w:rsid w:val="00FF2CD6"/>
    <w:rsid w:val="00FF2CF3"/>
    <w:rsid w:val="00FF2CF6"/>
    <w:rsid w:val="00FF2D22"/>
    <w:rsid w:val="00FF2D7E"/>
    <w:rsid w:val="00FF2D82"/>
    <w:rsid w:val="00FF2DAD"/>
    <w:rsid w:val="00FF2DB4"/>
    <w:rsid w:val="00FF2DE7"/>
    <w:rsid w:val="00FF2E84"/>
    <w:rsid w:val="00FF2ECC"/>
    <w:rsid w:val="00FF2EE0"/>
    <w:rsid w:val="00FF2F1B"/>
    <w:rsid w:val="00FF2F3F"/>
    <w:rsid w:val="00FF2F50"/>
    <w:rsid w:val="00FF2F84"/>
    <w:rsid w:val="00FF3024"/>
    <w:rsid w:val="00FF302B"/>
    <w:rsid w:val="00FF30A8"/>
    <w:rsid w:val="00FF310C"/>
    <w:rsid w:val="00FF311B"/>
    <w:rsid w:val="00FF3124"/>
    <w:rsid w:val="00FF3148"/>
    <w:rsid w:val="00FF314B"/>
    <w:rsid w:val="00FF317D"/>
    <w:rsid w:val="00FF3197"/>
    <w:rsid w:val="00FF31AC"/>
    <w:rsid w:val="00FF31E0"/>
    <w:rsid w:val="00FF324B"/>
    <w:rsid w:val="00FF3276"/>
    <w:rsid w:val="00FF3294"/>
    <w:rsid w:val="00FF329C"/>
    <w:rsid w:val="00FF32B6"/>
    <w:rsid w:val="00FF32B9"/>
    <w:rsid w:val="00FF32BC"/>
    <w:rsid w:val="00FF32D7"/>
    <w:rsid w:val="00FF32E9"/>
    <w:rsid w:val="00FF32F6"/>
    <w:rsid w:val="00FF330A"/>
    <w:rsid w:val="00FF3313"/>
    <w:rsid w:val="00FF3332"/>
    <w:rsid w:val="00FF3337"/>
    <w:rsid w:val="00FF3378"/>
    <w:rsid w:val="00FF33AB"/>
    <w:rsid w:val="00FF3414"/>
    <w:rsid w:val="00FF3436"/>
    <w:rsid w:val="00FF3492"/>
    <w:rsid w:val="00FF349D"/>
    <w:rsid w:val="00FF34A0"/>
    <w:rsid w:val="00FF34B1"/>
    <w:rsid w:val="00FF34F1"/>
    <w:rsid w:val="00FF34F8"/>
    <w:rsid w:val="00FF3512"/>
    <w:rsid w:val="00FF353C"/>
    <w:rsid w:val="00FF3581"/>
    <w:rsid w:val="00FF35DA"/>
    <w:rsid w:val="00FF3601"/>
    <w:rsid w:val="00FF3655"/>
    <w:rsid w:val="00FF36C3"/>
    <w:rsid w:val="00FF371E"/>
    <w:rsid w:val="00FF3759"/>
    <w:rsid w:val="00FF37B7"/>
    <w:rsid w:val="00FF37F9"/>
    <w:rsid w:val="00FF3853"/>
    <w:rsid w:val="00FF385E"/>
    <w:rsid w:val="00FF3863"/>
    <w:rsid w:val="00FF386B"/>
    <w:rsid w:val="00FF3879"/>
    <w:rsid w:val="00FF3888"/>
    <w:rsid w:val="00FF38AE"/>
    <w:rsid w:val="00FF397E"/>
    <w:rsid w:val="00FF398E"/>
    <w:rsid w:val="00FF3A12"/>
    <w:rsid w:val="00FF3A14"/>
    <w:rsid w:val="00FF3A36"/>
    <w:rsid w:val="00FF3A4A"/>
    <w:rsid w:val="00FF3AF7"/>
    <w:rsid w:val="00FF3AFA"/>
    <w:rsid w:val="00FF3B2B"/>
    <w:rsid w:val="00FF3B4C"/>
    <w:rsid w:val="00FF3B7C"/>
    <w:rsid w:val="00FF3B85"/>
    <w:rsid w:val="00FF3B8B"/>
    <w:rsid w:val="00FF3BDA"/>
    <w:rsid w:val="00FF3BE9"/>
    <w:rsid w:val="00FF3C43"/>
    <w:rsid w:val="00FF3C46"/>
    <w:rsid w:val="00FF3CAD"/>
    <w:rsid w:val="00FF3CF0"/>
    <w:rsid w:val="00FF3D46"/>
    <w:rsid w:val="00FF3D76"/>
    <w:rsid w:val="00FF3E75"/>
    <w:rsid w:val="00FF3E8C"/>
    <w:rsid w:val="00FF3EB8"/>
    <w:rsid w:val="00FF3F09"/>
    <w:rsid w:val="00FF3F36"/>
    <w:rsid w:val="00FF3F86"/>
    <w:rsid w:val="00FF3FB1"/>
    <w:rsid w:val="00FF3FB3"/>
    <w:rsid w:val="00FF3FCB"/>
    <w:rsid w:val="00FF4026"/>
    <w:rsid w:val="00FF4034"/>
    <w:rsid w:val="00FF403F"/>
    <w:rsid w:val="00FF406F"/>
    <w:rsid w:val="00FF40B9"/>
    <w:rsid w:val="00FF40E1"/>
    <w:rsid w:val="00FF4111"/>
    <w:rsid w:val="00FF4148"/>
    <w:rsid w:val="00FF4149"/>
    <w:rsid w:val="00FF4151"/>
    <w:rsid w:val="00FF4180"/>
    <w:rsid w:val="00FF41D8"/>
    <w:rsid w:val="00FF4213"/>
    <w:rsid w:val="00FF4218"/>
    <w:rsid w:val="00FF4220"/>
    <w:rsid w:val="00FF423B"/>
    <w:rsid w:val="00FF423F"/>
    <w:rsid w:val="00FF4278"/>
    <w:rsid w:val="00FF427F"/>
    <w:rsid w:val="00FF4284"/>
    <w:rsid w:val="00FF429C"/>
    <w:rsid w:val="00FF42E5"/>
    <w:rsid w:val="00FF435E"/>
    <w:rsid w:val="00FF43E5"/>
    <w:rsid w:val="00FF43EA"/>
    <w:rsid w:val="00FF43F5"/>
    <w:rsid w:val="00FF43FC"/>
    <w:rsid w:val="00FF4411"/>
    <w:rsid w:val="00FF4414"/>
    <w:rsid w:val="00FF4454"/>
    <w:rsid w:val="00FF445B"/>
    <w:rsid w:val="00FF44A0"/>
    <w:rsid w:val="00FF44CA"/>
    <w:rsid w:val="00FF44D6"/>
    <w:rsid w:val="00FF4501"/>
    <w:rsid w:val="00FF4519"/>
    <w:rsid w:val="00FF4551"/>
    <w:rsid w:val="00FF4552"/>
    <w:rsid w:val="00FF4566"/>
    <w:rsid w:val="00FF45AA"/>
    <w:rsid w:val="00FF45B5"/>
    <w:rsid w:val="00FF45C7"/>
    <w:rsid w:val="00FF460C"/>
    <w:rsid w:val="00FF462A"/>
    <w:rsid w:val="00FF465F"/>
    <w:rsid w:val="00FF46AA"/>
    <w:rsid w:val="00FF472B"/>
    <w:rsid w:val="00FF4733"/>
    <w:rsid w:val="00FF474D"/>
    <w:rsid w:val="00FF477B"/>
    <w:rsid w:val="00FF477E"/>
    <w:rsid w:val="00FF477F"/>
    <w:rsid w:val="00FF4796"/>
    <w:rsid w:val="00FF47D5"/>
    <w:rsid w:val="00FF47DF"/>
    <w:rsid w:val="00FF47F0"/>
    <w:rsid w:val="00FF486D"/>
    <w:rsid w:val="00FF4886"/>
    <w:rsid w:val="00FF48BD"/>
    <w:rsid w:val="00FF48C5"/>
    <w:rsid w:val="00FF48CE"/>
    <w:rsid w:val="00FF4954"/>
    <w:rsid w:val="00FF4977"/>
    <w:rsid w:val="00FF498A"/>
    <w:rsid w:val="00FF4997"/>
    <w:rsid w:val="00FF49B0"/>
    <w:rsid w:val="00FF4A0A"/>
    <w:rsid w:val="00FF4A10"/>
    <w:rsid w:val="00FF4A12"/>
    <w:rsid w:val="00FF4A2E"/>
    <w:rsid w:val="00FF4A44"/>
    <w:rsid w:val="00FF4A4D"/>
    <w:rsid w:val="00FF4A6D"/>
    <w:rsid w:val="00FF4AA7"/>
    <w:rsid w:val="00FF4ACA"/>
    <w:rsid w:val="00FF4AE2"/>
    <w:rsid w:val="00FF4AE5"/>
    <w:rsid w:val="00FF4AF4"/>
    <w:rsid w:val="00FF4B02"/>
    <w:rsid w:val="00FF4B22"/>
    <w:rsid w:val="00FF4B2F"/>
    <w:rsid w:val="00FF4B31"/>
    <w:rsid w:val="00FF4BBA"/>
    <w:rsid w:val="00FF4BC7"/>
    <w:rsid w:val="00FF4BE7"/>
    <w:rsid w:val="00FF4BF0"/>
    <w:rsid w:val="00FF4BF2"/>
    <w:rsid w:val="00FF4C22"/>
    <w:rsid w:val="00FF4C29"/>
    <w:rsid w:val="00FF4C32"/>
    <w:rsid w:val="00FF4C4A"/>
    <w:rsid w:val="00FF4C8C"/>
    <w:rsid w:val="00FF4C94"/>
    <w:rsid w:val="00FF4CA8"/>
    <w:rsid w:val="00FF4CDC"/>
    <w:rsid w:val="00FF4D31"/>
    <w:rsid w:val="00FF4D47"/>
    <w:rsid w:val="00FF4E5D"/>
    <w:rsid w:val="00FF4E6B"/>
    <w:rsid w:val="00FF4E6F"/>
    <w:rsid w:val="00FF4EA7"/>
    <w:rsid w:val="00FF4EBD"/>
    <w:rsid w:val="00FF4ECC"/>
    <w:rsid w:val="00FF4EFB"/>
    <w:rsid w:val="00FF4F1A"/>
    <w:rsid w:val="00FF4F39"/>
    <w:rsid w:val="00FF4F47"/>
    <w:rsid w:val="00FF4F6F"/>
    <w:rsid w:val="00FF4FBA"/>
    <w:rsid w:val="00FF4FF5"/>
    <w:rsid w:val="00FF5007"/>
    <w:rsid w:val="00FF5056"/>
    <w:rsid w:val="00FF50BB"/>
    <w:rsid w:val="00FF50C5"/>
    <w:rsid w:val="00FF5142"/>
    <w:rsid w:val="00FF5184"/>
    <w:rsid w:val="00FF5199"/>
    <w:rsid w:val="00FF519B"/>
    <w:rsid w:val="00FF519E"/>
    <w:rsid w:val="00FF5207"/>
    <w:rsid w:val="00FF523D"/>
    <w:rsid w:val="00FF5274"/>
    <w:rsid w:val="00FF528B"/>
    <w:rsid w:val="00FF5313"/>
    <w:rsid w:val="00FF532E"/>
    <w:rsid w:val="00FF5348"/>
    <w:rsid w:val="00FF537F"/>
    <w:rsid w:val="00FF5399"/>
    <w:rsid w:val="00FF539A"/>
    <w:rsid w:val="00FF53B1"/>
    <w:rsid w:val="00FF53CA"/>
    <w:rsid w:val="00FF53D6"/>
    <w:rsid w:val="00FF53D8"/>
    <w:rsid w:val="00FF5449"/>
    <w:rsid w:val="00FF545E"/>
    <w:rsid w:val="00FF5478"/>
    <w:rsid w:val="00FF548A"/>
    <w:rsid w:val="00FF54B5"/>
    <w:rsid w:val="00FF54C9"/>
    <w:rsid w:val="00FF54FF"/>
    <w:rsid w:val="00FF5519"/>
    <w:rsid w:val="00FF5548"/>
    <w:rsid w:val="00FF5549"/>
    <w:rsid w:val="00FF5564"/>
    <w:rsid w:val="00FF5597"/>
    <w:rsid w:val="00FF55D7"/>
    <w:rsid w:val="00FF562F"/>
    <w:rsid w:val="00FF565E"/>
    <w:rsid w:val="00FF567C"/>
    <w:rsid w:val="00FF5692"/>
    <w:rsid w:val="00FF56CB"/>
    <w:rsid w:val="00FF56E4"/>
    <w:rsid w:val="00FF56F9"/>
    <w:rsid w:val="00FF571C"/>
    <w:rsid w:val="00FF577E"/>
    <w:rsid w:val="00FF57B2"/>
    <w:rsid w:val="00FF5808"/>
    <w:rsid w:val="00FF5861"/>
    <w:rsid w:val="00FF58C8"/>
    <w:rsid w:val="00FF58D2"/>
    <w:rsid w:val="00FF58D6"/>
    <w:rsid w:val="00FF58F2"/>
    <w:rsid w:val="00FF5957"/>
    <w:rsid w:val="00FF59A5"/>
    <w:rsid w:val="00FF59BE"/>
    <w:rsid w:val="00FF59E6"/>
    <w:rsid w:val="00FF5A09"/>
    <w:rsid w:val="00FF5A64"/>
    <w:rsid w:val="00FF5A74"/>
    <w:rsid w:val="00FF5AB3"/>
    <w:rsid w:val="00FF5ADF"/>
    <w:rsid w:val="00FF5AEE"/>
    <w:rsid w:val="00FF5B20"/>
    <w:rsid w:val="00FF5B28"/>
    <w:rsid w:val="00FF5B7E"/>
    <w:rsid w:val="00FF5B9D"/>
    <w:rsid w:val="00FF5BA1"/>
    <w:rsid w:val="00FF5BEB"/>
    <w:rsid w:val="00FF5BF8"/>
    <w:rsid w:val="00FF5C01"/>
    <w:rsid w:val="00FF5C43"/>
    <w:rsid w:val="00FF5CA9"/>
    <w:rsid w:val="00FF5D0E"/>
    <w:rsid w:val="00FF5D5D"/>
    <w:rsid w:val="00FF5D75"/>
    <w:rsid w:val="00FF5D84"/>
    <w:rsid w:val="00FF5DB2"/>
    <w:rsid w:val="00FF5DD8"/>
    <w:rsid w:val="00FF5E0B"/>
    <w:rsid w:val="00FF5E3E"/>
    <w:rsid w:val="00FF5E4E"/>
    <w:rsid w:val="00FF5E60"/>
    <w:rsid w:val="00FF5E97"/>
    <w:rsid w:val="00FF5E9D"/>
    <w:rsid w:val="00FF5EB7"/>
    <w:rsid w:val="00FF5FE9"/>
    <w:rsid w:val="00FF5FF4"/>
    <w:rsid w:val="00FF606F"/>
    <w:rsid w:val="00FF6071"/>
    <w:rsid w:val="00FF607A"/>
    <w:rsid w:val="00FF6084"/>
    <w:rsid w:val="00FF611A"/>
    <w:rsid w:val="00FF6137"/>
    <w:rsid w:val="00FF6171"/>
    <w:rsid w:val="00FF6177"/>
    <w:rsid w:val="00FF617B"/>
    <w:rsid w:val="00FF6186"/>
    <w:rsid w:val="00FF619E"/>
    <w:rsid w:val="00FF61F4"/>
    <w:rsid w:val="00FF6258"/>
    <w:rsid w:val="00FF6280"/>
    <w:rsid w:val="00FF62C2"/>
    <w:rsid w:val="00FF62C6"/>
    <w:rsid w:val="00FF62FA"/>
    <w:rsid w:val="00FF630C"/>
    <w:rsid w:val="00FF631B"/>
    <w:rsid w:val="00FF632F"/>
    <w:rsid w:val="00FF6383"/>
    <w:rsid w:val="00FF6390"/>
    <w:rsid w:val="00FF6395"/>
    <w:rsid w:val="00FF63A8"/>
    <w:rsid w:val="00FF63B2"/>
    <w:rsid w:val="00FF63C8"/>
    <w:rsid w:val="00FF63CD"/>
    <w:rsid w:val="00FF63DF"/>
    <w:rsid w:val="00FF640D"/>
    <w:rsid w:val="00FF6417"/>
    <w:rsid w:val="00FF6419"/>
    <w:rsid w:val="00FF6435"/>
    <w:rsid w:val="00FF6447"/>
    <w:rsid w:val="00FF6449"/>
    <w:rsid w:val="00FF64F0"/>
    <w:rsid w:val="00FF64F7"/>
    <w:rsid w:val="00FF6554"/>
    <w:rsid w:val="00FF657C"/>
    <w:rsid w:val="00FF6585"/>
    <w:rsid w:val="00FF65A0"/>
    <w:rsid w:val="00FF65A8"/>
    <w:rsid w:val="00FF65DA"/>
    <w:rsid w:val="00FF65E3"/>
    <w:rsid w:val="00FF661C"/>
    <w:rsid w:val="00FF6620"/>
    <w:rsid w:val="00FF664B"/>
    <w:rsid w:val="00FF6652"/>
    <w:rsid w:val="00FF66CD"/>
    <w:rsid w:val="00FF66DD"/>
    <w:rsid w:val="00FF66E4"/>
    <w:rsid w:val="00FF671C"/>
    <w:rsid w:val="00FF6725"/>
    <w:rsid w:val="00FF6730"/>
    <w:rsid w:val="00FF6749"/>
    <w:rsid w:val="00FF679D"/>
    <w:rsid w:val="00FF67A4"/>
    <w:rsid w:val="00FF67CF"/>
    <w:rsid w:val="00FF67EA"/>
    <w:rsid w:val="00FF6827"/>
    <w:rsid w:val="00FF682A"/>
    <w:rsid w:val="00FF6858"/>
    <w:rsid w:val="00FF68BA"/>
    <w:rsid w:val="00FF68BF"/>
    <w:rsid w:val="00FF68C8"/>
    <w:rsid w:val="00FF68F3"/>
    <w:rsid w:val="00FF694D"/>
    <w:rsid w:val="00FF6980"/>
    <w:rsid w:val="00FF69AA"/>
    <w:rsid w:val="00FF69F3"/>
    <w:rsid w:val="00FF6A16"/>
    <w:rsid w:val="00FF6A47"/>
    <w:rsid w:val="00FF6A5F"/>
    <w:rsid w:val="00FF6A66"/>
    <w:rsid w:val="00FF6A71"/>
    <w:rsid w:val="00FF6A79"/>
    <w:rsid w:val="00FF6AAB"/>
    <w:rsid w:val="00FF6B11"/>
    <w:rsid w:val="00FF6B29"/>
    <w:rsid w:val="00FF6B5C"/>
    <w:rsid w:val="00FF6B70"/>
    <w:rsid w:val="00FF6B8A"/>
    <w:rsid w:val="00FF6B8D"/>
    <w:rsid w:val="00FF6BA4"/>
    <w:rsid w:val="00FF6BDB"/>
    <w:rsid w:val="00FF6BE3"/>
    <w:rsid w:val="00FF6BEF"/>
    <w:rsid w:val="00FF6BFA"/>
    <w:rsid w:val="00FF6C3B"/>
    <w:rsid w:val="00FF6C3D"/>
    <w:rsid w:val="00FF6C44"/>
    <w:rsid w:val="00FF6CD4"/>
    <w:rsid w:val="00FF6CF2"/>
    <w:rsid w:val="00FF6D2B"/>
    <w:rsid w:val="00FF6D39"/>
    <w:rsid w:val="00FF6D68"/>
    <w:rsid w:val="00FF6D80"/>
    <w:rsid w:val="00FF6D8D"/>
    <w:rsid w:val="00FF6D9F"/>
    <w:rsid w:val="00FF6DB4"/>
    <w:rsid w:val="00FF6DCE"/>
    <w:rsid w:val="00FF6DFB"/>
    <w:rsid w:val="00FF6E22"/>
    <w:rsid w:val="00FF6E31"/>
    <w:rsid w:val="00FF6E37"/>
    <w:rsid w:val="00FF6E4A"/>
    <w:rsid w:val="00FF6E56"/>
    <w:rsid w:val="00FF6E77"/>
    <w:rsid w:val="00FF6EF9"/>
    <w:rsid w:val="00FF6F41"/>
    <w:rsid w:val="00FF6FC3"/>
    <w:rsid w:val="00FF6FD9"/>
    <w:rsid w:val="00FF705F"/>
    <w:rsid w:val="00FF7063"/>
    <w:rsid w:val="00FF70C8"/>
    <w:rsid w:val="00FF713C"/>
    <w:rsid w:val="00FF718D"/>
    <w:rsid w:val="00FF7194"/>
    <w:rsid w:val="00FF71AA"/>
    <w:rsid w:val="00FF71AB"/>
    <w:rsid w:val="00FF71BC"/>
    <w:rsid w:val="00FF7243"/>
    <w:rsid w:val="00FF725F"/>
    <w:rsid w:val="00FF726F"/>
    <w:rsid w:val="00FF729A"/>
    <w:rsid w:val="00FF72C0"/>
    <w:rsid w:val="00FF72CF"/>
    <w:rsid w:val="00FF72D4"/>
    <w:rsid w:val="00FF72F2"/>
    <w:rsid w:val="00FF72FC"/>
    <w:rsid w:val="00FF7325"/>
    <w:rsid w:val="00FF7339"/>
    <w:rsid w:val="00FF733A"/>
    <w:rsid w:val="00FF7350"/>
    <w:rsid w:val="00FF740C"/>
    <w:rsid w:val="00FF7412"/>
    <w:rsid w:val="00FF7435"/>
    <w:rsid w:val="00FF746B"/>
    <w:rsid w:val="00FF7494"/>
    <w:rsid w:val="00FF74E4"/>
    <w:rsid w:val="00FF74FD"/>
    <w:rsid w:val="00FF7511"/>
    <w:rsid w:val="00FF7561"/>
    <w:rsid w:val="00FF7592"/>
    <w:rsid w:val="00FF75EF"/>
    <w:rsid w:val="00FF75F0"/>
    <w:rsid w:val="00FF75F8"/>
    <w:rsid w:val="00FF7615"/>
    <w:rsid w:val="00FF761E"/>
    <w:rsid w:val="00FF7648"/>
    <w:rsid w:val="00FF7671"/>
    <w:rsid w:val="00FF7679"/>
    <w:rsid w:val="00FF76C0"/>
    <w:rsid w:val="00FF779F"/>
    <w:rsid w:val="00FF77B0"/>
    <w:rsid w:val="00FF780D"/>
    <w:rsid w:val="00FF784E"/>
    <w:rsid w:val="00FF7879"/>
    <w:rsid w:val="00FF7882"/>
    <w:rsid w:val="00FF7887"/>
    <w:rsid w:val="00FF78B5"/>
    <w:rsid w:val="00FF7988"/>
    <w:rsid w:val="00FF79D5"/>
    <w:rsid w:val="00FF7A24"/>
    <w:rsid w:val="00FF7A30"/>
    <w:rsid w:val="00FF7ABF"/>
    <w:rsid w:val="00FF7AC2"/>
    <w:rsid w:val="00FF7ACE"/>
    <w:rsid w:val="00FF7B0F"/>
    <w:rsid w:val="00FF7B31"/>
    <w:rsid w:val="00FF7B53"/>
    <w:rsid w:val="00FF7BC0"/>
    <w:rsid w:val="00FF7BCE"/>
    <w:rsid w:val="00FF7C04"/>
    <w:rsid w:val="00FF7C10"/>
    <w:rsid w:val="00FF7C3A"/>
    <w:rsid w:val="00FF7C9E"/>
    <w:rsid w:val="00FF7CBE"/>
    <w:rsid w:val="00FF7D08"/>
    <w:rsid w:val="00FF7D13"/>
    <w:rsid w:val="00FF7D35"/>
    <w:rsid w:val="00FF7D50"/>
    <w:rsid w:val="00FF7D61"/>
    <w:rsid w:val="00FF7D8E"/>
    <w:rsid w:val="00FF7DA8"/>
    <w:rsid w:val="00FF7DEF"/>
    <w:rsid w:val="00FF7DF1"/>
    <w:rsid w:val="00FF7E0B"/>
    <w:rsid w:val="00FF7E29"/>
    <w:rsid w:val="00FF7E50"/>
    <w:rsid w:val="00FF7E65"/>
    <w:rsid w:val="00FF7EA3"/>
    <w:rsid w:val="00FF7EAA"/>
    <w:rsid w:val="00FF7EF2"/>
    <w:rsid w:val="00FF7EFA"/>
    <w:rsid w:val="00FF7F18"/>
    <w:rsid w:val="00FF7F28"/>
    <w:rsid w:val="00FF7F2B"/>
    <w:rsid w:val="00FF7F4A"/>
    <w:rsid w:val="00FF7F73"/>
    <w:rsid w:val="00FF7F91"/>
    <w:rsid w:val="00FF7FDA"/>
    <w:rsid w:val="00FF7FEE"/>
    <w:rsid w:val="0102BF31"/>
    <w:rsid w:val="0107C60B"/>
    <w:rsid w:val="0108C98B"/>
    <w:rsid w:val="0109E2DC"/>
    <w:rsid w:val="010B7284"/>
    <w:rsid w:val="010D633B"/>
    <w:rsid w:val="010DB089"/>
    <w:rsid w:val="010FE30B"/>
    <w:rsid w:val="01109626"/>
    <w:rsid w:val="01129322"/>
    <w:rsid w:val="011385C1"/>
    <w:rsid w:val="0114345D"/>
    <w:rsid w:val="01154FE8"/>
    <w:rsid w:val="0115C44E"/>
    <w:rsid w:val="01175640"/>
    <w:rsid w:val="01181FB4"/>
    <w:rsid w:val="011B3E4C"/>
    <w:rsid w:val="011D2998"/>
    <w:rsid w:val="011E043D"/>
    <w:rsid w:val="012029A7"/>
    <w:rsid w:val="012097AD"/>
    <w:rsid w:val="0122B3E0"/>
    <w:rsid w:val="0123E7CA"/>
    <w:rsid w:val="01249C86"/>
    <w:rsid w:val="0125DBD0"/>
    <w:rsid w:val="0126F278"/>
    <w:rsid w:val="01270BE0"/>
    <w:rsid w:val="0128A8A1"/>
    <w:rsid w:val="012A0F6F"/>
    <w:rsid w:val="012D485F"/>
    <w:rsid w:val="0133A725"/>
    <w:rsid w:val="01344C42"/>
    <w:rsid w:val="0135474C"/>
    <w:rsid w:val="01378AD9"/>
    <w:rsid w:val="013D8CA0"/>
    <w:rsid w:val="0144B992"/>
    <w:rsid w:val="01487B40"/>
    <w:rsid w:val="014C46AB"/>
    <w:rsid w:val="014F6A10"/>
    <w:rsid w:val="014F827D"/>
    <w:rsid w:val="01505D91"/>
    <w:rsid w:val="015137D7"/>
    <w:rsid w:val="01524BAA"/>
    <w:rsid w:val="0154B0EB"/>
    <w:rsid w:val="0156184F"/>
    <w:rsid w:val="01567597"/>
    <w:rsid w:val="0157545A"/>
    <w:rsid w:val="015910E7"/>
    <w:rsid w:val="015A0CC0"/>
    <w:rsid w:val="015C3231"/>
    <w:rsid w:val="015C5106"/>
    <w:rsid w:val="015D7FF9"/>
    <w:rsid w:val="015F5DBF"/>
    <w:rsid w:val="015F69B2"/>
    <w:rsid w:val="015FCF14"/>
    <w:rsid w:val="01656F14"/>
    <w:rsid w:val="016A47EA"/>
    <w:rsid w:val="016B1E12"/>
    <w:rsid w:val="016DA2C9"/>
    <w:rsid w:val="016F4096"/>
    <w:rsid w:val="01741D62"/>
    <w:rsid w:val="0178ED8F"/>
    <w:rsid w:val="0179E88F"/>
    <w:rsid w:val="017C3972"/>
    <w:rsid w:val="017E6E5D"/>
    <w:rsid w:val="01801675"/>
    <w:rsid w:val="01802D6C"/>
    <w:rsid w:val="018114FF"/>
    <w:rsid w:val="018337A7"/>
    <w:rsid w:val="01837CAF"/>
    <w:rsid w:val="0186D69B"/>
    <w:rsid w:val="018707CD"/>
    <w:rsid w:val="01877250"/>
    <w:rsid w:val="01889543"/>
    <w:rsid w:val="018944C7"/>
    <w:rsid w:val="018956D7"/>
    <w:rsid w:val="018AB628"/>
    <w:rsid w:val="018BAC7A"/>
    <w:rsid w:val="0193204E"/>
    <w:rsid w:val="0195FC22"/>
    <w:rsid w:val="01963228"/>
    <w:rsid w:val="01964717"/>
    <w:rsid w:val="019648FA"/>
    <w:rsid w:val="019BD2A0"/>
    <w:rsid w:val="019D9025"/>
    <w:rsid w:val="019D9531"/>
    <w:rsid w:val="019EA765"/>
    <w:rsid w:val="019EF9ED"/>
    <w:rsid w:val="01A2895E"/>
    <w:rsid w:val="01A3F08C"/>
    <w:rsid w:val="01A6A108"/>
    <w:rsid w:val="01A78241"/>
    <w:rsid w:val="01A78BC2"/>
    <w:rsid w:val="01A8638E"/>
    <w:rsid w:val="01AC0326"/>
    <w:rsid w:val="01B22AA5"/>
    <w:rsid w:val="01B3278A"/>
    <w:rsid w:val="01B4CAC6"/>
    <w:rsid w:val="01B5A55A"/>
    <w:rsid w:val="01B83F44"/>
    <w:rsid w:val="01B95562"/>
    <w:rsid w:val="01C1F3DB"/>
    <w:rsid w:val="01C361B8"/>
    <w:rsid w:val="01C6E1A9"/>
    <w:rsid w:val="01CA9EA4"/>
    <w:rsid w:val="01CC4BD5"/>
    <w:rsid w:val="01D19182"/>
    <w:rsid w:val="01D48991"/>
    <w:rsid w:val="01D66167"/>
    <w:rsid w:val="01D90C2D"/>
    <w:rsid w:val="01D99DD8"/>
    <w:rsid w:val="01DA972E"/>
    <w:rsid w:val="01DADD44"/>
    <w:rsid w:val="01DB52F5"/>
    <w:rsid w:val="01DCD79E"/>
    <w:rsid w:val="01DD2F04"/>
    <w:rsid w:val="01DFD2D6"/>
    <w:rsid w:val="01DFD461"/>
    <w:rsid w:val="01E05D70"/>
    <w:rsid w:val="01E16D0D"/>
    <w:rsid w:val="01E18198"/>
    <w:rsid w:val="01E28B4B"/>
    <w:rsid w:val="01E5F499"/>
    <w:rsid w:val="01E69AB3"/>
    <w:rsid w:val="01EBB18F"/>
    <w:rsid w:val="01F16DD5"/>
    <w:rsid w:val="01F2D5E8"/>
    <w:rsid w:val="01F49827"/>
    <w:rsid w:val="01F98F1F"/>
    <w:rsid w:val="01F9B31A"/>
    <w:rsid w:val="01FCE277"/>
    <w:rsid w:val="01FE45E9"/>
    <w:rsid w:val="020308AB"/>
    <w:rsid w:val="0203270D"/>
    <w:rsid w:val="0204DC6C"/>
    <w:rsid w:val="020959A2"/>
    <w:rsid w:val="020CF1BC"/>
    <w:rsid w:val="020D4C69"/>
    <w:rsid w:val="020EF920"/>
    <w:rsid w:val="02101671"/>
    <w:rsid w:val="021B18B4"/>
    <w:rsid w:val="021B2340"/>
    <w:rsid w:val="021CCCBF"/>
    <w:rsid w:val="021EDBF1"/>
    <w:rsid w:val="0221E8AF"/>
    <w:rsid w:val="0222572A"/>
    <w:rsid w:val="02226A51"/>
    <w:rsid w:val="0224AEFA"/>
    <w:rsid w:val="0226AF2C"/>
    <w:rsid w:val="02282B8B"/>
    <w:rsid w:val="02297351"/>
    <w:rsid w:val="022C85C7"/>
    <w:rsid w:val="023177A7"/>
    <w:rsid w:val="0235E57D"/>
    <w:rsid w:val="0237C2CD"/>
    <w:rsid w:val="0239B317"/>
    <w:rsid w:val="023C6C13"/>
    <w:rsid w:val="023C97B6"/>
    <w:rsid w:val="023CF49F"/>
    <w:rsid w:val="023E00A5"/>
    <w:rsid w:val="0241C56F"/>
    <w:rsid w:val="02422949"/>
    <w:rsid w:val="02437EA0"/>
    <w:rsid w:val="02454109"/>
    <w:rsid w:val="02469566"/>
    <w:rsid w:val="0247A183"/>
    <w:rsid w:val="0248332F"/>
    <w:rsid w:val="024B0A3D"/>
    <w:rsid w:val="024C946C"/>
    <w:rsid w:val="024D1FB9"/>
    <w:rsid w:val="024E71C9"/>
    <w:rsid w:val="0250623A"/>
    <w:rsid w:val="0251785F"/>
    <w:rsid w:val="0252C521"/>
    <w:rsid w:val="02538274"/>
    <w:rsid w:val="025AF23C"/>
    <w:rsid w:val="025B4CC1"/>
    <w:rsid w:val="025BD2CE"/>
    <w:rsid w:val="025C793A"/>
    <w:rsid w:val="025CB375"/>
    <w:rsid w:val="02614DBA"/>
    <w:rsid w:val="0263FF30"/>
    <w:rsid w:val="02674DBD"/>
    <w:rsid w:val="026A6890"/>
    <w:rsid w:val="026DF52D"/>
    <w:rsid w:val="026F5982"/>
    <w:rsid w:val="026F92C4"/>
    <w:rsid w:val="02748DE7"/>
    <w:rsid w:val="0274B357"/>
    <w:rsid w:val="0275D559"/>
    <w:rsid w:val="0279BD98"/>
    <w:rsid w:val="027A374A"/>
    <w:rsid w:val="027DB71B"/>
    <w:rsid w:val="02815CAD"/>
    <w:rsid w:val="0281AAA8"/>
    <w:rsid w:val="02888825"/>
    <w:rsid w:val="028C0305"/>
    <w:rsid w:val="028DC33D"/>
    <w:rsid w:val="0294F826"/>
    <w:rsid w:val="029641F2"/>
    <w:rsid w:val="02964DF2"/>
    <w:rsid w:val="0296F43A"/>
    <w:rsid w:val="0298A4A7"/>
    <w:rsid w:val="029909CB"/>
    <w:rsid w:val="029AFDCB"/>
    <w:rsid w:val="029BA333"/>
    <w:rsid w:val="029C4E82"/>
    <w:rsid w:val="029C99F0"/>
    <w:rsid w:val="02A4F036"/>
    <w:rsid w:val="02A72758"/>
    <w:rsid w:val="02A7A2CB"/>
    <w:rsid w:val="02AB483F"/>
    <w:rsid w:val="02ABC035"/>
    <w:rsid w:val="02AC9CBC"/>
    <w:rsid w:val="02ACEDFC"/>
    <w:rsid w:val="02AFF7DF"/>
    <w:rsid w:val="02B3119E"/>
    <w:rsid w:val="02B45A13"/>
    <w:rsid w:val="02B75F71"/>
    <w:rsid w:val="02B7B342"/>
    <w:rsid w:val="02B7BEB5"/>
    <w:rsid w:val="02B8858C"/>
    <w:rsid w:val="02BBC517"/>
    <w:rsid w:val="02BE4D31"/>
    <w:rsid w:val="02BF8C21"/>
    <w:rsid w:val="02C5C631"/>
    <w:rsid w:val="02C6EEF0"/>
    <w:rsid w:val="02CD160D"/>
    <w:rsid w:val="02CE4E54"/>
    <w:rsid w:val="02CEC077"/>
    <w:rsid w:val="02CFEB57"/>
    <w:rsid w:val="02D058CC"/>
    <w:rsid w:val="02D061EE"/>
    <w:rsid w:val="02D1007C"/>
    <w:rsid w:val="02D21241"/>
    <w:rsid w:val="02D28FEA"/>
    <w:rsid w:val="02D30487"/>
    <w:rsid w:val="02D4086A"/>
    <w:rsid w:val="02D45C64"/>
    <w:rsid w:val="02D495D7"/>
    <w:rsid w:val="02D8A58B"/>
    <w:rsid w:val="02D9CDAF"/>
    <w:rsid w:val="02DB6401"/>
    <w:rsid w:val="02DD2625"/>
    <w:rsid w:val="02DD704C"/>
    <w:rsid w:val="02DD97BD"/>
    <w:rsid w:val="02DECDB6"/>
    <w:rsid w:val="02E7C0D6"/>
    <w:rsid w:val="02E99ED5"/>
    <w:rsid w:val="02E9A5AB"/>
    <w:rsid w:val="02EA02FD"/>
    <w:rsid w:val="02ECC093"/>
    <w:rsid w:val="02F02A5F"/>
    <w:rsid w:val="02F20D35"/>
    <w:rsid w:val="02F939B7"/>
    <w:rsid w:val="02F94936"/>
    <w:rsid w:val="02F9E7C4"/>
    <w:rsid w:val="02FAAEA8"/>
    <w:rsid w:val="02FC066C"/>
    <w:rsid w:val="02FD7887"/>
    <w:rsid w:val="02FE7CD1"/>
    <w:rsid w:val="02FF9322"/>
    <w:rsid w:val="0300CFA2"/>
    <w:rsid w:val="03013BE4"/>
    <w:rsid w:val="03086C5B"/>
    <w:rsid w:val="0309E93A"/>
    <w:rsid w:val="0309F192"/>
    <w:rsid w:val="030BF23F"/>
    <w:rsid w:val="030E72EB"/>
    <w:rsid w:val="030F5F93"/>
    <w:rsid w:val="0314A68B"/>
    <w:rsid w:val="0315ED55"/>
    <w:rsid w:val="0316A8C3"/>
    <w:rsid w:val="031A1928"/>
    <w:rsid w:val="031A2BFD"/>
    <w:rsid w:val="031B4C94"/>
    <w:rsid w:val="031BE92E"/>
    <w:rsid w:val="031C98FF"/>
    <w:rsid w:val="031C9FD7"/>
    <w:rsid w:val="031CED9C"/>
    <w:rsid w:val="031D1D25"/>
    <w:rsid w:val="03226AC5"/>
    <w:rsid w:val="0322D9CA"/>
    <w:rsid w:val="032372B8"/>
    <w:rsid w:val="032385B4"/>
    <w:rsid w:val="0326E1B3"/>
    <w:rsid w:val="03292C3F"/>
    <w:rsid w:val="032AA249"/>
    <w:rsid w:val="032D37FE"/>
    <w:rsid w:val="03363151"/>
    <w:rsid w:val="0336DC07"/>
    <w:rsid w:val="03371A02"/>
    <w:rsid w:val="03385B6E"/>
    <w:rsid w:val="033DFB14"/>
    <w:rsid w:val="0340C63E"/>
    <w:rsid w:val="0341D527"/>
    <w:rsid w:val="03452E3C"/>
    <w:rsid w:val="0349A6F2"/>
    <w:rsid w:val="034B7D28"/>
    <w:rsid w:val="034C0DEA"/>
    <w:rsid w:val="034E25F2"/>
    <w:rsid w:val="034EAC3F"/>
    <w:rsid w:val="0350256F"/>
    <w:rsid w:val="035299AC"/>
    <w:rsid w:val="0352FE80"/>
    <w:rsid w:val="035475D4"/>
    <w:rsid w:val="0359AAF2"/>
    <w:rsid w:val="035C9316"/>
    <w:rsid w:val="035EF848"/>
    <w:rsid w:val="036014EA"/>
    <w:rsid w:val="036CE6A2"/>
    <w:rsid w:val="036D4C0D"/>
    <w:rsid w:val="036D6668"/>
    <w:rsid w:val="037010CB"/>
    <w:rsid w:val="03707D8F"/>
    <w:rsid w:val="0373897D"/>
    <w:rsid w:val="037426BB"/>
    <w:rsid w:val="0374F669"/>
    <w:rsid w:val="03757E6C"/>
    <w:rsid w:val="03767E85"/>
    <w:rsid w:val="03769168"/>
    <w:rsid w:val="03789850"/>
    <w:rsid w:val="03790EF8"/>
    <w:rsid w:val="0379E677"/>
    <w:rsid w:val="037B26E7"/>
    <w:rsid w:val="037DEEEA"/>
    <w:rsid w:val="03801CA1"/>
    <w:rsid w:val="03843AB3"/>
    <w:rsid w:val="0387450D"/>
    <w:rsid w:val="038989D6"/>
    <w:rsid w:val="038AB065"/>
    <w:rsid w:val="038E793A"/>
    <w:rsid w:val="0391F421"/>
    <w:rsid w:val="03926A65"/>
    <w:rsid w:val="039647A9"/>
    <w:rsid w:val="03980EB1"/>
    <w:rsid w:val="03987781"/>
    <w:rsid w:val="03992387"/>
    <w:rsid w:val="039969CD"/>
    <w:rsid w:val="039983BA"/>
    <w:rsid w:val="039A187B"/>
    <w:rsid w:val="039B4E33"/>
    <w:rsid w:val="039B5708"/>
    <w:rsid w:val="03A1B6D4"/>
    <w:rsid w:val="03A30B63"/>
    <w:rsid w:val="03A56DB9"/>
    <w:rsid w:val="03A6ED05"/>
    <w:rsid w:val="03A7133D"/>
    <w:rsid w:val="03A8E006"/>
    <w:rsid w:val="03A99143"/>
    <w:rsid w:val="03AA6F0E"/>
    <w:rsid w:val="03AD9A2C"/>
    <w:rsid w:val="03AE5A22"/>
    <w:rsid w:val="03B05089"/>
    <w:rsid w:val="03B0B0BB"/>
    <w:rsid w:val="03B61903"/>
    <w:rsid w:val="03B7669F"/>
    <w:rsid w:val="03BD9BE1"/>
    <w:rsid w:val="03BDCB0A"/>
    <w:rsid w:val="03C19BCA"/>
    <w:rsid w:val="03C231AA"/>
    <w:rsid w:val="03C23FBB"/>
    <w:rsid w:val="03C261AB"/>
    <w:rsid w:val="03C80D7D"/>
    <w:rsid w:val="03C82521"/>
    <w:rsid w:val="03C971A9"/>
    <w:rsid w:val="03CA49C1"/>
    <w:rsid w:val="03CA530C"/>
    <w:rsid w:val="03CC7BA7"/>
    <w:rsid w:val="03CC9B9A"/>
    <w:rsid w:val="03CF7416"/>
    <w:rsid w:val="03D1B59A"/>
    <w:rsid w:val="03D2029F"/>
    <w:rsid w:val="03D36405"/>
    <w:rsid w:val="03D48474"/>
    <w:rsid w:val="03D6DECC"/>
    <w:rsid w:val="03D8DB7C"/>
    <w:rsid w:val="03DC561C"/>
    <w:rsid w:val="03DC9A1D"/>
    <w:rsid w:val="03DFDB65"/>
    <w:rsid w:val="03E64F98"/>
    <w:rsid w:val="03EAD19E"/>
    <w:rsid w:val="03EBF86B"/>
    <w:rsid w:val="03EF7713"/>
    <w:rsid w:val="03F27718"/>
    <w:rsid w:val="03F2773C"/>
    <w:rsid w:val="03F68E4B"/>
    <w:rsid w:val="03F7A5C0"/>
    <w:rsid w:val="03F9C2B4"/>
    <w:rsid w:val="03FB59FA"/>
    <w:rsid w:val="03FB98ED"/>
    <w:rsid w:val="03FFDEB6"/>
    <w:rsid w:val="04011633"/>
    <w:rsid w:val="04080839"/>
    <w:rsid w:val="040AF4E4"/>
    <w:rsid w:val="040B7494"/>
    <w:rsid w:val="040DFC4A"/>
    <w:rsid w:val="040E18FB"/>
    <w:rsid w:val="040E2440"/>
    <w:rsid w:val="040FCD4E"/>
    <w:rsid w:val="041163B8"/>
    <w:rsid w:val="04117A24"/>
    <w:rsid w:val="0412041B"/>
    <w:rsid w:val="0415FA9E"/>
    <w:rsid w:val="0416768E"/>
    <w:rsid w:val="0417C338"/>
    <w:rsid w:val="041C9C88"/>
    <w:rsid w:val="0420368C"/>
    <w:rsid w:val="04204AFD"/>
    <w:rsid w:val="0421ACF0"/>
    <w:rsid w:val="04221ED8"/>
    <w:rsid w:val="0425EC0D"/>
    <w:rsid w:val="042823BC"/>
    <w:rsid w:val="0429BF92"/>
    <w:rsid w:val="042DB25D"/>
    <w:rsid w:val="042E62C7"/>
    <w:rsid w:val="043020E6"/>
    <w:rsid w:val="0430E367"/>
    <w:rsid w:val="0436142B"/>
    <w:rsid w:val="043810CF"/>
    <w:rsid w:val="04385B7E"/>
    <w:rsid w:val="0438A3E2"/>
    <w:rsid w:val="0439BA53"/>
    <w:rsid w:val="0439C0B5"/>
    <w:rsid w:val="043A4E0A"/>
    <w:rsid w:val="043CC531"/>
    <w:rsid w:val="043D0183"/>
    <w:rsid w:val="043D4110"/>
    <w:rsid w:val="0440E5F8"/>
    <w:rsid w:val="04460EF6"/>
    <w:rsid w:val="0448B5CF"/>
    <w:rsid w:val="044DFB3E"/>
    <w:rsid w:val="04507F00"/>
    <w:rsid w:val="04520E0B"/>
    <w:rsid w:val="04538AE7"/>
    <w:rsid w:val="04557D4C"/>
    <w:rsid w:val="0455CF5E"/>
    <w:rsid w:val="04580765"/>
    <w:rsid w:val="0459402B"/>
    <w:rsid w:val="045F3D55"/>
    <w:rsid w:val="045F45AA"/>
    <w:rsid w:val="0465CCA6"/>
    <w:rsid w:val="046B5488"/>
    <w:rsid w:val="046E155B"/>
    <w:rsid w:val="047049D6"/>
    <w:rsid w:val="0474CA5B"/>
    <w:rsid w:val="04750158"/>
    <w:rsid w:val="04755C78"/>
    <w:rsid w:val="0479C0CA"/>
    <w:rsid w:val="047D5E33"/>
    <w:rsid w:val="047F9966"/>
    <w:rsid w:val="04803E46"/>
    <w:rsid w:val="04815624"/>
    <w:rsid w:val="04842B59"/>
    <w:rsid w:val="04847929"/>
    <w:rsid w:val="0486F27B"/>
    <w:rsid w:val="048C623D"/>
    <w:rsid w:val="049126FE"/>
    <w:rsid w:val="0494506F"/>
    <w:rsid w:val="0494DBBB"/>
    <w:rsid w:val="04957EB0"/>
    <w:rsid w:val="0495DF4D"/>
    <w:rsid w:val="049743C0"/>
    <w:rsid w:val="049B7B04"/>
    <w:rsid w:val="049D9A68"/>
    <w:rsid w:val="04A66B02"/>
    <w:rsid w:val="04A6852F"/>
    <w:rsid w:val="04A7CF3A"/>
    <w:rsid w:val="04AA7419"/>
    <w:rsid w:val="04ACD930"/>
    <w:rsid w:val="04AE1513"/>
    <w:rsid w:val="04AEEBF6"/>
    <w:rsid w:val="04B39B2C"/>
    <w:rsid w:val="04BD20C9"/>
    <w:rsid w:val="04C0E163"/>
    <w:rsid w:val="04C212EF"/>
    <w:rsid w:val="04C27B0C"/>
    <w:rsid w:val="04C5E30A"/>
    <w:rsid w:val="04CD2096"/>
    <w:rsid w:val="04D21664"/>
    <w:rsid w:val="04D2C34F"/>
    <w:rsid w:val="04D324C6"/>
    <w:rsid w:val="04D6D44B"/>
    <w:rsid w:val="04DAFBF2"/>
    <w:rsid w:val="04DC1B70"/>
    <w:rsid w:val="04DCD113"/>
    <w:rsid w:val="04E17335"/>
    <w:rsid w:val="04E1BFD6"/>
    <w:rsid w:val="04E37E25"/>
    <w:rsid w:val="04E3DF6C"/>
    <w:rsid w:val="04E66CE0"/>
    <w:rsid w:val="04E6B16A"/>
    <w:rsid w:val="04ECAE9D"/>
    <w:rsid w:val="04ED933D"/>
    <w:rsid w:val="04F004E9"/>
    <w:rsid w:val="04F08FDF"/>
    <w:rsid w:val="04F15572"/>
    <w:rsid w:val="04F294EC"/>
    <w:rsid w:val="04F46164"/>
    <w:rsid w:val="04F566CC"/>
    <w:rsid w:val="04F7022A"/>
    <w:rsid w:val="04F70874"/>
    <w:rsid w:val="04F74D6E"/>
    <w:rsid w:val="04F7B225"/>
    <w:rsid w:val="04F957EC"/>
    <w:rsid w:val="04FA1808"/>
    <w:rsid w:val="04FA819A"/>
    <w:rsid w:val="04FAB26F"/>
    <w:rsid w:val="05020DCC"/>
    <w:rsid w:val="0503D8F3"/>
    <w:rsid w:val="0505FD3C"/>
    <w:rsid w:val="0505FED4"/>
    <w:rsid w:val="050816C6"/>
    <w:rsid w:val="0509930E"/>
    <w:rsid w:val="050B45CD"/>
    <w:rsid w:val="05130C45"/>
    <w:rsid w:val="0516E90D"/>
    <w:rsid w:val="0516EB24"/>
    <w:rsid w:val="0517561B"/>
    <w:rsid w:val="051BB346"/>
    <w:rsid w:val="051C7108"/>
    <w:rsid w:val="051D2823"/>
    <w:rsid w:val="051F4FBA"/>
    <w:rsid w:val="051F9643"/>
    <w:rsid w:val="0520F215"/>
    <w:rsid w:val="0522F8C6"/>
    <w:rsid w:val="05239481"/>
    <w:rsid w:val="05285316"/>
    <w:rsid w:val="0528D5ED"/>
    <w:rsid w:val="052964BF"/>
    <w:rsid w:val="05297932"/>
    <w:rsid w:val="052A79F9"/>
    <w:rsid w:val="052E6976"/>
    <w:rsid w:val="0531D451"/>
    <w:rsid w:val="0535F987"/>
    <w:rsid w:val="053612FC"/>
    <w:rsid w:val="0536C4D1"/>
    <w:rsid w:val="0539CB7A"/>
    <w:rsid w:val="053D4AE9"/>
    <w:rsid w:val="053EB601"/>
    <w:rsid w:val="0541C1FF"/>
    <w:rsid w:val="0546589E"/>
    <w:rsid w:val="054ACF0E"/>
    <w:rsid w:val="054D314C"/>
    <w:rsid w:val="054F4697"/>
    <w:rsid w:val="0555B679"/>
    <w:rsid w:val="0558232F"/>
    <w:rsid w:val="05588C81"/>
    <w:rsid w:val="05593DB4"/>
    <w:rsid w:val="055981EB"/>
    <w:rsid w:val="055BF4D2"/>
    <w:rsid w:val="055C8F14"/>
    <w:rsid w:val="05625EB5"/>
    <w:rsid w:val="0563D299"/>
    <w:rsid w:val="0569BA61"/>
    <w:rsid w:val="0569D581"/>
    <w:rsid w:val="056A7C39"/>
    <w:rsid w:val="056DAF0E"/>
    <w:rsid w:val="057478BF"/>
    <w:rsid w:val="0576E4A1"/>
    <w:rsid w:val="0578318F"/>
    <w:rsid w:val="05796891"/>
    <w:rsid w:val="057D91DD"/>
    <w:rsid w:val="057E7027"/>
    <w:rsid w:val="057F1CB8"/>
    <w:rsid w:val="0580B0FD"/>
    <w:rsid w:val="0582645A"/>
    <w:rsid w:val="05838FD9"/>
    <w:rsid w:val="05850FBF"/>
    <w:rsid w:val="05878518"/>
    <w:rsid w:val="058B3222"/>
    <w:rsid w:val="058EEC37"/>
    <w:rsid w:val="05907746"/>
    <w:rsid w:val="0593EF97"/>
    <w:rsid w:val="059528C3"/>
    <w:rsid w:val="0597E0BC"/>
    <w:rsid w:val="0598497C"/>
    <w:rsid w:val="0598F3E6"/>
    <w:rsid w:val="059A26DC"/>
    <w:rsid w:val="059ADD92"/>
    <w:rsid w:val="059CC26C"/>
    <w:rsid w:val="059EF11D"/>
    <w:rsid w:val="05A897A0"/>
    <w:rsid w:val="05AFF774"/>
    <w:rsid w:val="05B11583"/>
    <w:rsid w:val="05B5926B"/>
    <w:rsid w:val="05B79FA4"/>
    <w:rsid w:val="05B84CAD"/>
    <w:rsid w:val="05B9A466"/>
    <w:rsid w:val="05BB20EA"/>
    <w:rsid w:val="05BCB7C1"/>
    <w:rsid w:val="05BEC0BE"/>
    <w:rsid w:val="05C094E0"/>
    <w:rsid w:val="05C19C00"/>
    <w:rsid w:val="05C280B3"/>
    <w:rsid w:val="05C36EF8"/>
    <w:rsid w:val="05C3A7C0"/>
    <w:rsid w:val="05C62754"/>
    <w:rsid w:val="05CB008E"/>
    <w:rsid w:val="05CBF56C"/>
    <w:rsid w:val="05CC6693"/>
    <w:rsid w:val="05CCA4AB"/>
    <w:rsid w:val="05CE7AB3"/>
    <w:rsid w:val="05CF5EBF"/>
    <w:rsid w:val="05D7097E"/>
    <w:rsid w:val="05D7CE96"/>
    <w:rsid w:val="05D90A16"/>
    <w:rsid w:val="05DAE4E5"/>
    <w:rsid w:val="05DE57F4"/>
    <w:rsid w:val="05E11D1D"/>
    <w:rsid w:val="05E3B8F8"/>
    <w:rsid w:val="05E5715D"/>
    <w:rsid w:val="05E613F2"/>
    <w:rsid w:val="05E61F13"/>
    <w:rsid w:val="05EAA804"/>
    <w:rsid w:val="05ED5113"/>
    <w:rsid w:val="05EEFE16"/>
    <w:rsid w:val="05F07924"/>
    <w:rsid w:val="05F15C49"/>
    <w:rsid w:val="05F33679"/>
    <w:rsid w:val="05FA7B95"/>
    <w:rsid w:val="05FDBFF5"/>
    <w:rsid w:val="05FDE36D"/>
    <w:rsid w:val="05FFD1FA"/>
    <w:rsid w:val="0600F39A"/>
    <w:rsid w:val="06018333"/>
    <w:rsid w:val="060450B4"/>
    <w:rsid w:val="060ADF47"/>
    <w:rsid w:val="060D4359"/>
    <w:rsid w:val="060DE4B6"/>
    <w:rsid w:val="060EFC2D"/>
    <w:rsid w:val="06107E32"/>
    <w:rsid w:val="06108429"/>
    <w:rsid w:val="0614C5C9"/>
    <w:rsid w:val="06168B02"/>
    <w:rsid w:val="06173760"/>
    <w:rsid w:val="0619F278"/>
    <w:rsid w:val="061D04E9"/>
    <w:rsid w:val="061DD393"/>
    <w:rsid w:val="061F4C32"/>
    <w:rsid w:val="06253F43"/>
    <w:rsid w:val="0626C1D8"/>
    <w:rsid w:val="0627399B"/>
    <w:rsid w:val="0627F813"/>
    <w:rsid w:val="062C0480"/>
    <w:rsid w:val="062C88F3"/>
    <w:rsid w:val="062E4CD0"/>
    <w:rsid w:val="06317C8C"/>
    <w:rsid w:val="0636B96E"/>
    <w:rsid w:val="0637B4C6"/>
    <w:rsid w:val="063BA3E5"/>
    <w:rsid w:val="063E3EEF"/>
    <w:rsid w:val="06438AFD"/>
    <w:rsid w:val="064476E5"/>
    <w:rsid w:val="06464A6F"/>
    <w:rsid w:val="0646E8D0"/>
    <w:rsid w:val="064822E3"/>
    <w:rsid w:val="065704E2"/>
    <w:rsid w:val="0657CE6B"/>
    <w:rsid w:val="06589D2E"/>
    <w:rsid w:val="0659397B"/>
    <w:rsid w:val="065D414E"/>
    <w:rsid w:val="065DF3BB"/>
    <w:rsid w:val="065FEAFA"/>
    <w:rsid w:val="066263F6"/>
    <w:rsid w:val="0667CBA3"/>
    <w:rsid w:val="0669EB9B"/>
    <w:rsid w:val="066B5C87"/>
    <w:rsid w:val="066CD972"/>
    <w:rsid w:val="066FA88F"/>
    <w:rsid w:val="066FD794"/>
    <w:rsid w:val="0672DC0A"/>
    <w:rsid w:val="0676F75C"/>
    <w:rsid w:val="0677F0E3"/>
    <w:rsid w:val="0678E70D"/>
    <w:rsid w:val="067AC207"/>
    <w:rsid w:val="067FB1AF"/>
    <w:rsid w:val="067FD88F"/>
    <w:rsid w:val="0680A218"/>
    <w:rsid w:val="06833AD7"/>
    <w:rsid w:val="0685F1EE"/>
    <w:rsid w:val="0689F906"/>
    <w:rsid w:val="068AF75E"/>
    <w:rsid w:val="06924D4E"/>
    <w:rsid w:val="0693EA7D"/>
    <w:rsid w:val="06947099"/>
    <w:rsid w:val="069ABEEA"/>
    <w:rsid w:val="069B563D"/>
    <w:rsid w:val="069B7484"/>
    <w:rsid w:val="06A026E5"/>
    <w:rsid w:val="06A40BDC"/>
    <w:rsid w:val="06A6CF82"/>
    <w:rsid w:val="06AA4E25"/>
    <w:rsid w:val="06AA5A8D"/>
    <w:rsid w:val="06AAE958"/>
    <w:rsid w:val="06AD37A5"/>
    <w:rsid w:val="06ADFEBA"/>
    <w:rsid w:val="06AEE058"/>
    <w:rsid w:val="06B0D241"/>
    <w:rsid w:val="06B18A32"/>
    <w:rsid w:val="06B46DF8"/>
    <w:rsid w:val="06B633B4"/>
    <w:rsid w:val="06B6B946"/>
    <w:rsid w:val="06B93528"/>
    <w:rsid w:val="06BD715F"/>
    <w:rsid w:val="06C219E8"/>
    <w:rsid w:val="06CD2902"/>
    <w:rsid w:val="06CD299E"/>
    <w:rsid w:val="06CE7428"/>
    <w:rsid w:val="06D08567"/>
    <w:rsid w:val="06D09194"/>
    <w:rsid w:val="06D0F6A3"/>
    <w:rsid w:val="06D12EDE"/>
    <w:rsid w:val="06D1ABE4"/>
    <w:rsid w:val="06D3580B"/>
    <w:rsid w:val="06D6398D"/>
    <w:rsid w:val="06D74ADE"/>
    <w:rsid w:val="06DAD566"/>
    <w:rsid w:val="06DCA176"/>
    <w:rsid w:val="06DE9212"/>
    <w:rsid w:val="06DEDBAC"/>
    <w:rsid w:val="06E165BA"/>
    <w:rsid w:val="06E3CD95"/>
    <w:rsid w:val="06E51CB0"/>
    <w:rsid w:val="06E8C2C8"/>
    <w:rsid w:val="06EC6DC3"/>
    <w:rsid w:val="06EFC1F2"/>
    <w:rsid w:val="06F19AEA"/>
    <w:rsid w:val="06F3633F"/>
    <w:rsid w:val="06F50903"/>
    <w:rsid w:val="06F55894"/>
    <w:rsid w:val="06F649A6"/>
    <w:rsid w:val="06F80093"/>
    <w:rsid w:val="06F8F60E"/>
    <w:rsid w:val="06F932E1"/>
    <w:rsid w:val="06F9A9EE"/>
    <w:rsid w:val="06FA8AD5"/>
    <w:rsid w:val="06FAF1EF"/>
    <w:rsid w:val="06FB57B2"/>
    <w:rsid w:val="06FDF953"/>
    <w:rsid w:val="0700E36D"/>
    <w:rsid w:val="07088D7B"/>
    <w:rsid w:val="07090221"/>
    <w:rsid w:val="070DD1BB"/>
    <w:rsid w:val="070E38AB"/>
    <w:rsid w:val="070FD1D6"/>
    <w:rsid w:val="07100815"/>
    <w:rsid w:val="0712132F"/>
    <w:rsid w:val="071229C6"/>
    <w:rsid w:val="0712FA84"/>
    <w:rsid w:val="07147CD6"/>
    <w:rsid w:val="071605E8"/>
    <w:rsid w:val="07167CFF"/>
    <w:rsid w:val="07190115"/>
    <w:rsid w:val="0719217E"/>
    <w:rsid w:val="071D941E"/>
    <w:rsid w:val="071EDECD"/>
    <w:rsid w:val="072001F3"/>
    <w:rsid w:val="07200A3A"/>
    <w:rsid w:val="0720A428"/>
    <w:rsid w:val="0720BACE"/>
    <w:rsid w:val="0720E9FB"/>
    <w:rsid w:val="07217255"/>
    <w:rsid w:val="0721EA13"/>
    <w:rsid w:val="0722ED86"/>
    <w:rsid w:val="0723BDD1"/>
    <w:rsid w:val="07260E01"/>
    <w:rsid w:val="072694FD"/>
    <w:rsid w:val="072792AD"/>
    <w:rsid w:val="072A1B55"/>
    <w:rsid w:val="072B851E"/>
    <w:rsid w:val="072BA423"/>
    <w:rsid w:val="072CB32E"/>
    <w:rsid w:val="072EF538"/>
    <w:rsid w:val="072F0663"/>
    <w:rsid w:val="07316688"/>
    <w:rsid w:val="07397794"/>
    <w:rsid w:val="073C867D"/>
    <w:rsid w:val="073FC208"/>
    <w:rsid w:val="0743D945"/>
    <w:rsid w:val="074673E4"/>
    <w:rsid w:val="074686D9"/>
    <w:rsid w:val="0747EB73"/>
    <w:rsid w:val="074A5460"/>
    <w:rsid w:val="0758BCED"/>
    <w:rsid w:val="075A3397"/>
    <w:rsid w:val="075B95E7"/>
    <w:rsid w:val="075BBE69"/>
    <w:rsid w:val="075F5ABB"/>
    <w:rsid w:val="07602FF0"/>
    <w:rsid w:val="0763D4BD"/>
    <w:rsid w:val="076450A9"/>
    <w:rsid w:val="076721FB"/>
    <w:rsid w:val="076A5320"/>
    <w:rsid w:val="076BA7EE"/>
    <w:rsid w:val="076DBD8D"/>
    <w:rsid w:val="076E28D7"/>
    <w:rsid w:val="07701906"/>
    <w:rsid w:val="07730A00"/>
    <w:rsid w:val="0776D04F"/>
    <w:rsid w:val="0778A7C5"/>
    <w:rsid w:val="0779A855"/>
    <w:rsid w:val="077B1696"/>
    <w:rsid w:val="077CEBFF"/>
    <w:rsid w:val="077D116B"/>
    <w:rsid w:val="077E6C60"/>
    <w:rsid w:val="07821239"/>
    <w:rsid w:val="07837641"/>
    <w:rsid w:val="07858CFE"/>
    <w:rsid w:val="078B22DE"/>
    <w:rsid w:val="078E2776"/>
    <w:rsid w:val="078ECACD"/>
    <w:rsid w:val="078F4BF8"/>
    <w:rsid w:val="0790B949"/>
    <w:rsid w:val="07934584"/>
    <w:rsid w:val="0797ACFD"/>
    <w:rsid w:val="0798A747"/>
    <w:rsid w:val="079A7FF8"/>
    <w:rsid w:val="079C1F36"/>
    <w:rsid w:val="07A157CB"/>
    <w:rsid w:val="07A54790"/>
    <w:rsid w:val="07A6280E"/>
    <w:rsid w:val="07A6F082"/>
    <w:rsid w:val="07A7B479"/>
    <w:rsid w:val="07A910C1"/>
    <w:rsid w:val="07AA7E89"/>
    <w:rsid w:val="07B2AFC8"/>
    <w:rsid w:val="07B73C41"/>
    <w:rsid w:val="07B83517"/>
    <w:rsid w:val="07B896A2"/>
    <w:rsid w:val="07B9A9A4"/>
    <w:rsid w:val="07BC77ED"/>
    <w:rsid w:val="07BF312C"/>
    <w:rsid w:val="07BF6B2B"/>
    <w:rsid w:val="07C3732A"/>
    <w:rsid w:val="07C3C4EE"/>
    <w:rsid w:val="07C4C343"/>
    <w:rsid w:val="07C99065"/>
    <w:rsid w:val="07C9C096"/>
    <w:rsid w:val="07CF5353"/>
    <w:rsid w:val="07CF9958"/>
    <w:rsid w:val="07D02F72"/>
    <w:rsid w:val="07D07EA5"/>
    <w:rsid w:val="07D27E38"/>
    <w:rsid w:val="07D2F8F6"/>
    <w:rsid w:val="07D80E08"/>
    <w:rsid w:val="07DB26E5"/>
    <w:rsid w:val="07DD17A1"/>
    <w:rsid w:val="07DD6C9B"/>
    <w:rsid w:val="07DF5D9F"/>
    <w:rsid w:val="07E1E0F7"/>
    <w:rsid w:val="07E443CA"/>
    <w:rsid w:val="07EA10A3"/>
    <w:rsid w:val="07EC0AAC"/>
    <w:rsid w:val="07EC647E"/>
    <w:rsid w:val="07F41C68"/>
    <w:rsid w:val="07F4A892"/>
    <w:rsid w:val="07F8BB00"/>
    <w:rsid w:val="07FB5051"/>
    <w:rsid w:val="07FDB15C"/>
    <w:rsid w:val="080272DF"/>
    <w:rsid w:val="0805C8C4"/>
    <w:rsid w:val="0807D364"/>
    <w:rsid w:val="0808D51D"/>
    <w:rsid w:val="080E99F2"/>
    <w:rsid w:val="080F5A39"/>
    <w:rsid w:val="08119BF5"/>
    <w:rsid w:val="0812E2A8"/>
    <w:rsid w:val="08159756"/>
    <w:rsid w:val="08160BA0"/>
    <w:rsid w:val="081761E0"/>
    <w:rsid w:val="08181C72"/>
    <w:rsid w:val="081C4C68"/>
    <w:rsid w:val="081CA4FC"/>
    <w:rsid w:val="0821C33F"/>
    <w:rsid w:val="0821CD1F"/>
    <w:rsid w:val="0821D1ED"/>
    <w:rsid w:val="0821F6E1"/>
    <w:rsid w:val="08225050"/>
    <w:rsid w:val="0822A7F7"/>
    <w:rsid w:val="0823C08E"/>
    <w:rsid w:val="0826D252"/>
    <w:rsid w:val="0827FF33"/>
    <w:rsid w:val="0828C4BA"/>
    <w:rsid w:val="0829FD9B"/>
    <w:rsid w:val="082B0870"/>
    <w:rsid w:val="082B9F1E"/>
    <w:rsid w:val="082D7F97"/>
    <w:rsid w:val="082E145D"/>
    <w:rsid w:val="082EC1CC"/>
    <w:rsid w:val="0832DE3B"/>
    <w:rsid w:val="083490CF"/>
    <w:rsid w:val="083490EF"/>
    <w:rsid w:val="0835B74D"/>
    <w:rsid w:val="08363B15"/>
    <w:rsid w:val="08370F9A"/>
    <w:rsid w:val="08378848"/>
    <w:rsid w:val="08390DE7"/>
    <w:rsid w:val="083B4D98"/>
    <w:rsid w:val="083BB85A"/>
    <w:rsid w:val="083ED0FB"/>
    <w:rsid w:val="08400C40"/>
    <w:rsid w:val="0840242E"/>
    <w:rsid w:val="08411A03"/>
    <w:rsid w:val="0841A5CD"/>
    <w:rsid w:val="08421875"/>
    <w:rsid w:val="084429EB"/>
    <w:rsid w:val="0846BC74"/>
    <w:rsid w:val="084A9E6D"/>
    <w:rsid w:val="084B20EB"/>
    <w:rsid w:val="084E6DA7"/>
    <w:rsid w:val="084ED521"/>
    <w:rsid w:val="085155C7"/>
    <w:rsid w:val="0854BCE9"/>
    <w:rsid w:val="085A9463"/>
    <w:rsid w:val="085E4302"/>
    <w:rsid w:val="08601706"/>
    <w:rsid w:val="0861552F"/>
    <w:rsid w:val="086234CA"/>
    <w:rsid w:val="0864F8B1"/>
    <w:rsid w:val="086980B7"/>
    <w:rsid w:val="086A852E"/>
    <w:rsid w:val="086ABEBF"/>
    <w:rsid w:val="086BCC8D"/>
    <w:rsid w:val="08713B19"/>
    <w:rsid w:val="0874752E"/>
    <w:rsid w:val="0875807B"/>
    <w:rsid w:val="0876ABFB"/>
    <w:rsid w:val="08772DD4"/>
    <w:rsid w:val="0878CD8F"/>
    <w:rsid w:val="087CF692"/>
    <w:rsid w:val="087DDF96"/>
    <w:rsid w:val="08812A65"/>
    <w:rsid w:val="088521CC"/>
    <w:rsid w:val="08852A0C"/>
    <w:rsid w:val="0886F2A4"/>
    <w:rsid w:val="0888045E"/>
    <w:rsid w:val="0888B9C8"/>
    <w:rsid w:val="0891C962"/>
    <w:rsid w:val="0897D330"/>
    <w:rsid w:val="08986E88"/>
    <w:rsid w:val="08997F9C"/>
    <w:rsid w:val="089EF0BA"/>
    <w:rsid w:val="08A06A64"/>
    <w:rsid w:val="08A1D6FC"/>
    <w:rsid w:val="08A2CE90"/>
    <w:rsid w:val="08A2F23B"/>
    <w:rsid w:val="08A46E72"/>
    <w:rsid w:val="08A6EFED"/>
    <w:rsid w:val="08A81180"/>
    <w:rsid w:val="08A882F1"/>
    <w:rsid w:val="08A8DC8F"/>
    <w:rsid w:val="08AC1383"/>
    <w:rsid w:val="08B17F4E"/>
    <w:rsid w:val="08B1AA7B"/>
    <w:rsid w:val="08B1F1E6"/>
    <w:rsid w:val="08B46FDF"/>
    <w:rsid w:val="08B6957C"/>
    <w:rsid w:val="08B6CEF9"/>
    <w:rsid w:val="08B87380"/>
    <w:rsid w:val="08BDEAA5"/>
    <w:rsid w:val="08C62F68"/>
    <w:rsid w:val="08C90D04"/>
    <w:rsid w:val="08CE9A4E"/>
    <w:rsid w:val="08CF9071"/>
    <w:rsid w:val="08D06329"/>
    <w:rsid w:val="08D1D7AD"/>
    <w:rsid w:val="08D492D2"/>
    <w:rsid w:val="08D6E24C"/>
    <w:rsid w:val="08D7E0C2"/>
    <w:rsid w:val="08DBC3BF"/>
    <w:rsid w:val="08DD05FB"/>
    <w:rsid w:val="08E21896"/>
    <w:rsid w:val="08E24582"/>
    <w:rsid w:val="08E7F486"/>
    <w:rsid w:val="08E99361"/>
    <w:rsid w:val="08F0B813"/>
    <w:rsid w:val="08F39798"/>
    <w:rsid w:val="08F48493"/>
    <w:rsid w:val="08F515CB"/>
    <w:rsid w:val="08F8AF40"/>
    <w:rsid w:val="08F949ED"/>
    <w:rsid w:val="08FAA7A5"/>
    <w:rsid w:val="08FEA166"/>
    <w:rsid w:val="08FEE81C"/>
    <w:rsid w:val="08FF04C7"/>
    <w:rsid w:val="08FF2B82"/>
    <w:rsid w:val="09009706"/>
    <w:rsid w:val="0902A577"/>
    <w:rsid w:val="090307FF"/>
    <w:rsid w:val="0904AF01"/>
    <w:rsid w:val="0907D835"/>
    <w:rsid w:val="090B1DF3"/>
    <w:rsid w:val="090C3E31"/>
    <w:rsid w:val="090F1772"/>
    <w:rsid w:val="09105F4B"/>
    <w:rsid w:val="0913AFC5"/>
    <w:rsid w:val="091775DA"/>
    <w:rsid w:val="0919DBED"/>
    <w:rsid w:val="091D0875"/>
    <w:rsid w:val="091EC538"/>
    <w:rsid w:val="091F6128"/>
    <w:rsid w:val="091F6E12"/>
    <w:rsid w:val="092115B7"/>
    <w:rsid w:val="092273B5"/>
    <w:rsid w:val="0922DC63"/>
    <w:rsid w:val="09239979"/>
    <w:rsid w:val="09245929"/>
    <w:rsid w:val="092715B8"/>
    <w:rsid w:val="092B09D5"/>
    <w:rsid w:val="093126E9"/>
    <w:rsid w:val="0932C49B"/>
    <w:rsid w:val="093402D9"/>
    <w:rsid w:val="093BA5AB"/>
    <w:rsid w:val="09400423"/>
    <w:rsid w:val="09411514"/>
    <w:rsid w:val="09430AF9"/>
    <w:rsid w:val="0943CD46"/>
    <w:rsid w:val="0945DB0F"/>
    <w:rsid w:val="0947F40B"/>
    <w:rsid w:val="0948CD64"/>
    <w:rsid w:val="0948D50C"/>
    <w:rsid w:val="094A861B"/>
    <w:rsid w:val="094BE99C"/>
    <w:rsid w:val="0952B0C4"/>
    <w:rsid w:val="0952B9A2"/>
    <w:rsid w:val="0956D301"/>
    <w:rsid w:val="095B6F57"/>
    <w:rsid w:val="095C9963"/>
    <w:rsid w:val="095D4819"/>
    <w:rsid w:val="095FE10F"/>
    <w:rsid w:val="0964B215"/>
    <w:rsid w:val="096624A5"/>
    <w:rsid w:val="096960CC"/>
    <w:rsid w:val="096B8908"/>
    <w:rsid w:val="096F8705"/>
    <w:rsid w:val="09709579"/>
    <w:rsid w:val="097409ED"/>
    <w:rsid w:val="0975849A"/>
    <w:rsid w:val="09785211"/>
    <w:rsid w:val="097A4E9C"/>
    <w:rsid w:val="097A9048"/>
    <w:rsid w:val="097B161D"/>
    <w:rsid w:val="097CDFE3"/>
    <w:rsid w:val="097D2D6A"/>
    <w:rsid w:val="097DCC89"/>
    <w:rsid w:val="097E1C09"/>
    <w:rsid w:val="097FE491"/>
    <w:rsid w:val="0983EE03"/>
    <w:rsid w:val="09846BFB"/>
    <w:rsid w:val="0985D060"/>
    <w:rsid w:val="09895720"/>
    <w:rsid w:val="098BE4D0"/>
    <w:rsid w:val="0996FD27"/>
    <w:rsid w:val="0999FCFA"/>
    <w:rsid w:val="099C9963"/>
    <w:rsid w:val="099E8DD5"/>
    <w:rsid w:val="09A0AE52"/>
    <w:rsid w:val="09A14DE4"/>
    <w:rsid w:val="09A23FFF"/>
    <w:rsid w:val="09A30C4B"/>
    <w:rsid w:val="09A34385"/>
    <w:rsid w:val="09A41FB4"/>
    <w:rsid w:val="09AAD637"/>
    <w:rsid w:val="09AC8CB5"/>
    <w:rsid w:val="09B79DE8"/>
    <w:rsid w:val="09B9253D"/>
    <w:rsid w:val="09BAE0BA"/>
    <w:rsid w:val="09BBA77B"/>
    <w:rsid w:val="09BBDCEB"/>
    <w:rsid w:val="09BD6456"/>
    <w:rsid w:val="09BF3EC9"/>
    <w:rsid w:val="09C05D67"/>
    <w:rsid w:val="09C3C545"/>
    <w:rsid w:val="09C5F3FB"/>
    <w:rsid w:val="09C828C5"/>
    <w:rsid w:val="09C9AC0A"/>
    <w:rsid w:val="09CEA1FA"/>
    <w:rsid w:val="09CEACE0"/>
    <w:rsid w:val="09CF88DA"/>
    <w:rsid w:val="09D09D1E"/>
    <w:rsid w:val="09D0E274"/>
    <w:rsid w:val="09D2A432"/>
    <w:rsid w:val="09D39947"/>
    <w:rsid w:val="09D42CF9"/>
    <w:rsid w:val="09D47636"/>
    <w:rsid w:val="09D5475C"/>
    <w:rsid w:val="09D576E5"/>
    <w:rsid w:val="09D61489"/>
    <w:rsid w:val="09D7CF9E"/>
    <w:rsid w:val="09D825C3"/>
    <w:rsid w:val="09DE57F5"/>
    <w:rsid w:val="09DE8A82"/>
    <w:rsid w:val="09E0BBF2"/>
    <w:rsid w:val="09E42E6D"/>
    <w:rsid w:val="09E6BB10"/>
    <w:rsid w:val="09E75985"/>
    <w:rsid w:val="09E7B428"/>
    <w:rsid w:val="09EB2FA9"/>
    <w:rsid w:val="09F15DD0"/>
    <w:rsid w:val="09F5AE8B"/>
    <w:rsid w:val="09FE9E80"/>
    <w:rsid w:val="0A0273B7"/>
    <w:rsid w:val="0A05FC46"/>
    <w:rsid w:val="0A06903A"/>
    <w:rsid w:val="0A06A720"/>
    <w:rsid w:val="0A06EB2B"/>
    <w:rsid w:val="0A07F64A"/>
    <w:rsid w:val="0A0873E2"/>
    <w:rsid w:val="0A0943F1"/>
    <w:rsid w:val="0A0C3ED3"/>
    <w:rsid w:val="0A0CCF71"/>
    <w:rsid w:val="0A0E90B3"/>
    <w:rsid w:val="0A0EF1C4"/>
    <w:rsid w:val="0A105A76"/>
    <w:rsid w:val="0A122827"/>
    <w:rsid w:val="0A1262E7"/>
    <w:rsid w:val="0A15560A"/>
    <w:rsid w:val="0A1632DC"/>
    <w:rsid w:val="0A1835E9"/>
    <w:rsid w:val="0A1936D5"/>
    <w:rsid w:val="0A1A41B3"/>
    <w:rsid w:val="0A1BB1A3"/>
    <w:rsid w:val="0A1D7D2E"/>
    <w:rsid w:val="0A1DB74B"/>
    <w:rsid w:val="0A1E0B98"/>
    <w:rsid w:val="0A1F6184"/>
    <w:rsid w:val="0A24E0F8"/>
    <w:rsid w:val="0A24ED36"/>
    <w:rsid w:val="0A26890C"/>
    <w:rsid w:val="0A2733A1"/>
    <w:rsid w:val="0A2A824C"/>
    <w:rsid w:val="0A2D0650"/>
    <w:rsid w:val="0A2E4248"/>
    <w:rsid w:val="0A31C59F"/>
    <w:rsid w:val="0A329385"/>
    <w:rsid w:val="0A330E72"/>
    <w:rsid w:val="0A379425"/>
    <w:rsid w:val="0A37A1C6"/>
    <w:rsid w:val="0A39236D"/>
    <w:rsid w:val="0A3AAE63"/>
    <w:rsid w:val="0A3AEE2A"/>
    <w:rsid w:val="0A47B7E5"/>
    <w:rsid w:val="0A484071"/>
    <w:rsid w:val="0A4E78C3"/>
    <w:rsid w:val="0A4EE0D7"/>
    <w:rsid w:val="0A4EF969"/>
    <w:rsid w:val="0A4FC597"/>
    <w:rsid w:val="0A5459D4"/>
    <w:rsid w:val="0A55A45D"/>
    <w:rsid w:val="0A59C235"/>
    <w:rsid w:val="0A5AE68E"/>
    <w:rsid w:val="0A5B2663"/>
    <w:rsid w:val="0A5C3E22"/>
    <w:rsid w:val="0A5F4357"/>
    <w:rsid w:val="0A616B50"/>
    <w:rsid w:val="0A61FF0F"/>
    <w:rsid w:val="0A6531A2"/>
    <w:rsid w:val="0A65A06A"/>
    <w:rsid w:val="0A67165E"/>
    <w:rsid w:val="0A67B293"/>
    <w:rsid w:val="0A689D45"/>
    <w:rsid w:val="0A698CD9"/>
    <w:rsid w:val="0A6C05D0"/>
    <w:rsid w:val="0A713767"/>
    <w:rsid w:val="0A72207E"/>
    <w:rsid w:val="0A74A94D"/>
    <w:rsid w:val="0A74B8A9"/>
    <w:rsid w:val="0A78BD0E"/>
    <w:rsid w:val="0A7CDCAD"/>
    <w:rsid w:val="0A7D2001"/>
    <w:rsid w:val="0A7F278C"/>
    <w:rsid w:val="0A8175D5"/>
    <w:rsid w:val="0A88517C"/>
    <w:rsid w:val="0A88F135"/>
    <w:rsid w:val="0A8B5648"/>
    <w:rsid w:val="0A8C56A6"/>
    <w:rsid w:val="0A8D0E93"/>
    <w:rsid w:val="0A98D60F"/>
    <w:rsid w:val="0A9A99AA"/>
    <w:rsid w:val="0A9B59A8"/>
    <w:rsid w:val="0AA0BFD0"/>
    <w:rsid w:val="0AA12CB6"/>
    <w:rsid w:val="0AA34DAB"/>
    <w:rsid w:val="0AA3D3A0"/>
    <w:rsid w:val="0AA47935"/>
    <w:rsid w:val="0AA58BFF"/>
    <w:rsid w:val="0AA650B1"/>
    <w:rsid w:val="0AAA4A5F"/>
    <w:rsid w:val="0AAAFE8F"/>
    <w:rsid w:val="0AAC5831"/>
    <w:rsid w:val="0AB307EC"/>
    <w:rsid w:val="0AB3C52B"/>
    <w:rsid w:val="0AB5F3C7"/>
    <w:rsid w:val="0AB6AC15"/>
    <w:rsid w:val="0ABA61A5"/>
    <w:rsid w:val="0ABDD06C"/>
    <w:rsid w:val="0ABE4A77"/>
    <w:rsid w:val="0ABFDD29"/>
    <w:rsid w:val="0AC21C0F"/>
    <w:rsid w:val="0AC24F1F"/>
    <w:rsid w:val="0AC3157C"/>
    <w:rsid w:val="0AC3C366"/>
    <w:rsid w:val="0AC7C586"/>
    <w:rsid w:val="0AC83AAF"/>
    <w:rsid w:val="0AC9EDB6"/>
    <w:rsid w:val="0ACC412D"/>
    <w:rsid w:val="0ACCA78C"/>
    <w:rsid w:val="0AD50AFA"/>
    <w:rsid w:val="0AD511DD"/>
    <w:rsid w:val="0AD69B82"/>
    <w:rsid w:val="0AD790F0"/>
    <w:rsid w:val="0AD81EC1"/>
    <w:rsid w:val="0AE270D3"/>
    <w:rsid w:val="0AE81967"/>
    <w:rsid w:val="0AE92F22"/>
    <w:rsid w:val="0AEA0FEA"/>
    <w:rsid w:val="0AED711C"/>
    <w:rsid w:val="0AEE8C87"/>
    <w:rsid w:val="0AEF722F"/>
    <w:rsid w:val="0AF00D8D"/>
    <w:rsid w:val="0AF07A74"/>
    <w:rsid w:val="0AF41D76"/>
    <w:rsid w:val="0AF468AE"/>
    <w:rsid w:val="0AF6EF28"/>
    <w:rsid w:val="0AF96841"/>
    <w:rsid w:val="0AF97CF2"/>
    <w:rsid w:val="0AFB5A5D"/>
    <w:rsid w:val="0AFC51A8"/>
    <w:rsid w:val="0B016C07"/>
    <w:rsid w:val="0B017BF0"/>
    <w:rsid w:val="0B06BCCE"/>
    <w:rsid w:val="0B072663"/>
    <w:rsid w:val="0B093446"/>
    <w:rsid w:val="0B0C00C9"/>
    <w:rsid w:val="0B0C4DAB"/>
    <w:rsid w:val="0B0C6C79"/>
    <w:rsid w:val="0B0D36CB"/>
    <w:rsid w:val="0B129606"/>
    <w:rsid w:val="0B130B71"/>
    <w:rsid w:val="0B13C705"/>
    <w:rsid w:val="0B13E252"/>
    <w:rsid w:val="0B14923A"/>
    <w:rsid w:val="0B15248C"/>
    <w:rsid w:val="0B167A6D"/>
    <w:rsid w:val="0B16AB6C"/>
    <w:rsid w:val="0B17AB58"/>
    <w:rsid w:val="0B19D8A2"/>
    <w:rsid w:val="0B1C0844"/>
    <w:rsid w:val="0B1F10AF"/>
    <w:rsid w:val="0B1F8836"/>
    <w:rsid w:val="0B21A152"/>
    <w:rsid w:val="0B220097"/>
    <w:rsid w:val="0B232D95"/>
    <w:rsid w:val="0B257885"/>
    <w:rsid w:val="0B28FB1D"/>
    <w:rsid w:val="0B294767"/>
    <w:rsid w:val="0B2A5148"/>
    <w:rsid w:val="0B2E3694"/>
    <w:rsid w:val="0B2FE27F"/>
    <w:rsid w:val="0B30DF8F"/>
    <w:rsid w:val="0B321977"/>
    <w:rsid w:val="0B3365AA"/>
    <w:rsid w:val="0B352B24"/>
    <w:rsid w:val="0B3DBC30"/>
    <w:rsid w:val="0B3DCADA"/>
    <w:rsid w:val="0B3F6C2D"/>
    <w:rsid w:val="0B40F97E"/>
    <w:rsid w:val="0B454FDE"/>
    <w:rsid w:val="0B45B4BA"/>
    <w:rsid w:val="0B4B5233"/>
    <w:rsid w:val="0B4C1041"/>
    <w:rsid w:val="0B4C7644"/>
    <w:rsid w:val="0B4D2F67"/>
    <w:rsid w:val="0B4EC630"/>
    <w:rsid w:val="0B501234"/>
    <w:rsid w:val="0B519E9C"/>
    <w:rsid w:val="0B52A7AF"/>
    <w:rsid w:val="0B534FF8"/>
    <w:rsid w:val="0B535237"/>
    <w:rsid w:val="0B5516D2"/>
    <w:rsid w:val="0B55C6E9"/>
    <w:rsid w:val="0B563C96"/>
    <w:rsid w:val="0B56A7F0"/>
    <w:rsid w:val="0B56B534"/>
    <w:rsid w:val="0B5D1397"/>
    <w:rsid w:val="0B5DC2F9"/>
    <w:rsid w:val="0B62353B"/>
    <w:rsid w:val="0B62C040"/>
    <w:rsid w:val="0B65432B"/>
    <w:rsid w:val="0B656826"/>
    <w:rsid w:val="0B65D35D"/>
    <w:rsid w:val="0B67E23C"/>
    <w:rsid w:val="0B6849D0"/>
    <w:rsid w:val="0B68ECE7"/>
    <w:rsid w:val="0B68F833"/>
    <w:rsid w:val="0B6FBF9D"/>
    <w:rsid w:val="0B7070C5"/>
    <w:rsid w:val="0B70C9B5"/>
    <w:rsid w:val="0B780CF2"/>
    <w:rsid w:val="0B7FB5AE"/>
    <w:rsid w:val="0B812457"/>
    <w:rsid w:val="0B84720E"/>
    <w:rsid w:val="0B84A733"/>
    <w:rsid w:val="0B86249C"/>
    <w:rsid w:val="0B88C339"/>
    <w:rsid w:val="0B8A239E"/>
    <w:rsid w:val="0B8A4313"/>
    <w:rsid w:val="0B935F2F"/>
    <w:rsid w:val="0B9B6FC7"/>
    <w:rsid w:val="0B9EBDA8"/>
    <w:rsid w:val="0BA13471"/>
    <w:rsid w:val="0BA1A2E6"/>
    <w:rsid w:val="0BA6AE4E"/>
    <w:rsid w:val="0BA752DC"/>
    <w:rsid w:val="0BA7B622"/>
    <w:rsid w:val="0BAD9509"/>
    <w:rsid w:val="0BAFA974"/>
    <w:rsid w:val="0BB4B0A4"/>
    <w:rsid w:val="0BB7A534"/>
    <w:rsid w:val="0BBBC257"/>
    <w:rsid w:val="0BBCA341"/>
    <w:rsid w:val="0BBE1783"/>
    <w:rsid w:val="0BBE50B3"/>
    <w:rsid w:val="0BC25D0B"/>
    <w:rsid w:val="0BC33C8B"/>
    <w:rsid w:val="0BC369A1"/>
    <w:rsid w:val="0BC37F8B"/>
    <w:rsid w:val="0BC5E618"/>
    <w:rsid w:val="0BC76F54"/>
    <w:rsid w:val="0BC8C653"/>
    <w:rsid w:val="0BC95DAB"/>
    <w:rsid w:val="0BCC3F92"/>
    <w:rsid w:val="0BCD7363"/>
    <w:rsid w:val="0BCE0329"/>
    <w:rsid w:val="0BCE9DE2"/>
    <w:rsid w:val="0BCEAD8B"/>
    <w:rsid w:val="0BD1ADA4"/>
    <w:rsid w:val="0BD3EB90"/>
    <w:rsid w:val="0BD41FBE"/>
    <w:rsid w:val="0BD546E6"/>
    <w:rsid w:val="0BD5F498"/>
    <w:rsid w:val="0BD7656E"/>
    <w:rsid w:val="0BD911D5"/>
    <w:rsid w:val="0BDD8DA9"/>
    <w:rsid w:val="0BDED9C3"/>
    <w:rsid w:val="0BEF8717"/>
    <w:rsid w:val="0BEFBFCE"/>
    <w:rsid w:val="0BF1A098"/>
    <w:rsid w:val="0BF1F246"/>
    <w:rsid w:val="0BF3033A"/>
    <w:rsid w:val="0BF4AE00"/>
    <w:rsid w:val="0BF5F60D"/>
    <w:rsid w:val="0BF832CD"/>
    <w:rsid w:val="0BFBF845"/>
    <w:rsid w:val="0BFD3786"/>
    <w:rsid w:val="0BFFD16C"/>
    <w:rsid w:val="0C0330C2"/>
    <w:rsid w:val="0C036AAE"/>
    <w:rsid w:val="0C0383A5"/>
    <w:rsid w:val="0C0385DC"/>
    <w:rsid w:val="0C0399A7"/>
    <w:rsid w:val="0C0436DD"/>
    <w:rsid w:val="0C044935"/>
    <w:rsid w:val="0C0695A0"/>
    <w:rsid w:val="0C0A6753"/>
    <w:rsid w:val="0C0B436B"/>
    <w:rsid w:val="0C0CEA96"/>
    <w:rsid w:val="0C12EA00"/>
    <w:rsid w:val="0C136BE8"/>
    <w:rsid w:val="0C148D7F"/>
    <w:rsid w:val="0C149657"/>
    <w:rsid w:val="0C169402"/>
    <w:rsid w:val="0C18721A"/>
    <w:rsid w:val="0C19360B"/>
    <w:rsid w:val="0C1AAE23"/>
    <w:rsid w:val="0C1AF8CB"/>
    <w:rsid w:val="0C1C5CF5"/>
    <w:rsid w:val="0C1CEEC4"/>
    <w:rsid w:val="0C208152"/>
    <w:rsid w:val="0C209C67"/>
    <w:rsid w:val="0C213602"/>
    <w:rsid w:val="0C23F4B2"/>
    <w:rsid w:val="0C240A82"/>
    <w:rsid w:val="0C24A7E4"/>
    <w:rsid w:val="0C286BAF"/>
    <w:rsid w:val="0C2A5180"/>
    <w:rsid w:val="0C3435AD"/>
    <w:rsid w:val="0C37995A"/>
    <w:rsid w:val="0C38258C"/>
    <w:rsid w:val="0C39A5D3"/>
    <w:rsid w:val="0C3C095B"/>
    <w:rsid w:val="0C3E400A"/>
    <w:rsid w:val="0C3F35BC"/>
    <w:rsid w:val="0C401D32"/>
    <w:rsid w:val="0C451679"/>
    <w:rsid w:val="0C46F432"/>
    <w:rsid w:val="0C496631"/>
    <w:rsid w:val="0C4A2B86"/>
    <w:rsid w:val="0C4CB0CE"/>
    <w:rsid w:val="0C4E9C12"/>
    <w:rsid w:val="0C556EE5"/>
    <w:rsid w:val="0C5640B1"/>
    <w:rsid w:val="0C57513C"/>
    <w:rsid w:val="0C581019"/>
    <w:rsid w:val="0C59FED3"/>
    <w:rsid w:val="0C5A7F4A"/>
    <w:rsid w:val="0C5DC8FE"/>
    <w:rsid w:val="0C633A32"/>
    <w:rsid w:val="0C676C40"/>
    <w:rsid w:val="0C6BBD0B"/>
    <w:rsid w:val="0C6EC114"/>
    <w:rsid w:val="0C6FDD62"/>
    <w:rsid w:val="0C75328B"/>
    <w:rsid w:val="0C7726CC"/>
    <w:rsid w:val="0C78E7F1"/>
    <w:rsid w:val="0C79FA33"/>
    <w:rsid w:val="0C7AE789"/>
    <w:rsid w:val="0C7FBAFA"/>
    <w:rsid w:val="0C80C6E2"/>
    <w:rsid w:val="0C8130B4"/>
    <w:rsid w:val="0C8290BD"/>
    <w:rsid w:val="0C82F93C"/>
    <w:rsid w:val="0C87E767"/>
    <w:rsid w:val="0C890C61"/>
    <w:rsid w:val="0C894571"/>
    <w:rsid w:val="0C89E15E"/>
    <w:rsid w:val="0C8D3000"/>
    <w:rsid w:val="0C8DA163"/>
    <w:rsid w:val="0C91041B"/>
    <w:rsid w:val="0C91EC24"/>
    <w:rsid w:val="0C9631D8"/>
    <w:rsid w:val="0C9A4A66"/>
    <w:rsid w:val="0C9ABD20"/>
    <w:rsid w:val="0C9D172F"/>
    <w:rsid w:val="0C9E9DB5"/>
    <w:rsid w:val="0C9F6EF7"/>
    <w:rsid w:val="0CA0BC7C"/>
    <w:rsid w:val="0CA2B1E3"/>
    <w:rsid w:val="0CA41D57"/>
    <w:rsid w:val="0CA732D1"/>
    <w:rsid w:val="0CABFF4A"/>
    <w:rsid w:val="0CAC1DF4"/>
    <w:rsid w:val="0CAC8137"/>
    <w:rsid w:val="0CADFCC7"/>
    <w:rsid w:val="0CB0B193"/>
    <w:rsid w:val="0CB2F1A3"/>
    <w:rsid w:val="0CB313D5"/>
    <w:rsid w:val="0CB40C0D"/>
    <w:rsid w:val="0CB43EA9"/>
    <w:rsid w:val="0CB480FE"/>
    <w:rsid w:val="0CB64A1F"/>
    <w:rsid w:val="0CB6A130"/>
    <w:rsid w:val="0CBDBA51"/>
    <w:rsid w:val="0CC0BCFC"/>
    <w:rsid w:val="0CC15BB1"/>
    <w:rsid w:val="0CC2DAAD"/>
    <w:rsid w:val="0CC4DC91"/>
    <w:rsid w:val="0CC573E9"/>
    <w:rsid w:val="0CC9732F"/>
    <w:rsid w:val="0CCBB6AF"/>
    <w:rsid w:val="0CCC238D"/>
    <w:rsid w:val="0CCC91C2"/>
    <w:rsid w:val="0CD064F4"/>
    <w:rsid w:val="0CD17C3E"/>
    <w:rsid w:val="0CD2159F"/>
    <w:rsid w:val="0CD45CC0"/>
    <w:rsid w:val="0CD59CD9"/>
    <w:rsid w:val="0CDC51F3"/>
    <w:rsid w:val="0CE1C0CE"/>
    <w:rsid w:val="0CE2AD70"/>
    <w:rsid w:val="0CE60B9F"/>
    <w:rsid w:val="0CE707AA"/>
    <w:rsid w:val="0CE75B99"/>
    <w:rsid w:val="0CEAFC47"/>
    <w:rsid w:val="0CED2286"/>
    <w:rsid w:val="0CF2BE03"/>
    <w:rsid w:val="0CF2EB2D"/>
    <w:rsid w:val="0CF341B6"/>
    <w:rsid w:val="0CF4BA51"/>
    <w:rsid w:val="0CF4D825"/>
    <w:rsid w:val="0CF50848"/>
    <w:rsid w:val="0CF5CC22"/>
    <w:rsid w:val="0CF868B7"/>
    <w:rsid w:val="0CF9BFFC"/>
    <w:rsid w:val="0CFA3425"/>
    <w:rsid w:val="0CFE5FC1"/>
    <w:rsid w:val="0D01756B"/>
    <w:rsid w:val="0D0599D9"/>
    <w:rsid w:val="0D074C7A"/>
    <w:rsid w:val="0D0B7C39"/>
    <w:rsid w:val="0D0CC042"/>
    <w:rsid w:val="0D121E42"/>
    <w:rsid w:val="0D12CB3C"/>
    <w:rsid w:val="0D147A0C"/>
    <w:rsid w:val="0D166CF8"/>
    <w:rsid w:val="0D18149A"/>
    <w:rsid w:val="0D188D54"/>
    <w:rsid w:val="0D19E82D"/>
    <w:rsid w:val="0D1A0617"/>
    <w:rsid w:val="0D1A2C3E"/>
    <w:rsid w:val="0D1C20C1"/>
    <w:rsid w:val="0D1C9217"/>
    <w:rsid w:val="0D1D1829"/>
    <w:rsid w:val="0D1F27E8"/>
    <w:rsid w:val="0D217E3B"/>
    <w:rsid w:val="0D23A34D"/>
    <w:rsid w:val="0D2487B5"/>
    <w:rsid w:val="0D2523AA"/>
    <w:rsid w:val="0D276B43"/>
    <w:rsid w:val="0D2A4E19"/>
    <w:rsid w:val="0D2ACA37"/>
    <w:rsid w:val="0D2B6B7B"/>
    <w:rsid w:val="0D2D5398"/>
    <w:rsid w:val="0D2EB42D"/>
    <w:rsid w:val="0D320EB9"/>
    <w:rsid w:val="0D352DDD"/>
    <w:rsid w:val="0D37745D"/>
    <w:rsid w:val="0D38FD7C"/>
    <w:rsid w:val="0D3A0884"/>
    <w:rsid w:val="0D3D37A1"/>
    <w:rsid w:val="0D3D8D31"/>
    <w:rsid w:val="0D3E0ABD"/>
    <w:rsid w:val="0D3F297F"/>
    <w:rsid w:val="0D3F988F"/>
    <w:rsid w:val="0D4188E5"/>
    <w:rsid w:val="0D4260D3"/>
    <w:rsid w:val="0D438CAC"/>
    <w:rsid w:val="0D439B3F"/>
    <w:rsid w:val="0D49670E"/>
    <w:rsid w:val="0D4D00DD"/>
    <w:rsid w:val="0D4F13F6"/>
    <w:rsid w:val="0D55B0B6"/>
    <w:rsid w:val="0D576FBE"/>
    <w:rsid w:val="0D580729"/>
    <w:rsid w:val="0D5E0F7F"/>
    <w:rsid w:val="0D5F12D7"/>
    <w:rsid w:val="0D603F3F"/>
    <w:rsid w:val="0D61EC89"/>
    <w:rsid w:val="0D6326FE"/>
    <w:rsid w:val="0D65451F"/>
    <w:rsid w:val="0D6772DD"/>
    <w:rsid w:val="0D677814"/>
    <w:rsid w:val="0D68B682"/>
    <w:rsid w:val="0D6A4632"/>
    <w:rsid w:val="0D6A678C"/>
    <w:rsid w:val="0D6DDBF9"/>
    <w:rsid w:val="0D6F6259"/>
    <w:rsid w:val="0D717FB4"/>
    <w:rsid w:val="0D71BDC9"/>
    <w:rsid w:val="0D73B9C9"/>
    <w:rsid w:val="0D77AA3B"/>
    <w:rsid w:val="0D7CAF5F"/>
    <w:rsid w:val="0D7F01DF"/>
    <w:rsid w:val="0D81F1D3"/>
    <w:rsid w:val="0D825372"/>
    <w:rsid w:val="0D8365DF"/>
    <w:rsid w:val="0D83BB26"/>
    <w:rsid w:val="0D86C7E6"/>
    <w:rsid w:val="0D87E7DE"/>
    <w:rsid w:val="0D883808"/>
    <w:rsid w:val="0D897EEF"/>
    <w:rsid w:val="0D8BE294"/>
    <w:rsid w:val="0D8E3195"/>
    <w:rsid w:val="0D8F08B7"/>
    <w:rsid w:val="0D94B206"/>
    <w:rsid w:val="0D96266B"/>
    <w:rsid w:val="0D96E991"/>
    <w:rsid w:val="0D9BB64F"/>
    <w:rsid w:val="0D9BC1C3"/>
    <w:rsid w:val="0D9C645D"/>
    <w:rsid w:val="0DA213BE"/>
    <w:rsid w:val="0DA9A202"/>
    <w:rsid w:val="0DA9B881"/>
    <w:rsid w:val="0DAA7892"/>
    <w:rsid w:val="0DAAA681"/>
    <w:rsid w:val="0DAB5A56"/>
    <w:rsid w:val="0DB631B0"/>
    <w:rsid w:val="0DB98647"/>
    <w:rsid w:val="0DBAB158"/>
    <w:rsid w:val="0DBD3ABC"/>
    <w:rsid w:val="0DBDBE96"/>
    <w:rsid w:val="0DBE2C41"/>
    <w:rsid w:val="0DC20529"/>
    <w:rsid w:val="0DC3B723"/>
    <w:rsid w:val="0DC3F70E"/>
    <w:rsid w:val="0DC42159"/>
    <w:rsid w:val="0DC77F80"/>
    <w:rsid w:val="0DCC6129"/>
    <w:rsid w:val="0DCEAD74"/>
    <w:rsid w:val="0DCF7683"/>
    <w:rsid w:val="0DD28CC4"/>
    <w:rsid w:val="0DD5AD96"/>
    <w:rsid w:val="0DD67EF2"/>
    <w:rsid w:val="0DD8B4B8"/>
    <w:rsid w:val="0DDC5702"/>
    <w:rsid w:val="0DDE0D37"/>
    <w:rsid w:val="0DE0DD48"/>
    <w:rsid w:val="0DE5A57F"/>
    <w:rsid w:val="0DE8C428"/>
    <w:rsid w:val="0DE95AE0"/>
    <w:rsid w:val="0DECBE3D"/>
    <w:rsid w:val="0DECC04B"/>
    <w:rsid w:val="0DEDC9E7"/>
    <w:rsid w:val="0DF07E7B"/>
    <w:rsid w:val="0DFCB1E0"/>
    <w:rsid w:val="0DFF7E7A"/>
    <w:rsid w:val="0DFFD1FC"/>
    <w:rsid w:val="0E0185B3"/>
    <w:rsid w:val="0E09713F"/>
    <w:rsid w:val="0E0CE09D"/>
    <w:rsid w:val="0E103FF1"/>
    <w:rsid w:val="0E11FD0B"/>
    <w:rsid w:val="0E12AD68"/>
    <w:rsid w:val="0E134528"/>
    <w:rsid w:val="0E1568A2"/>
    <w:rsid w:val="0E19E2B3"/>
    <w:rsid w:val="0E1B62C9"/>
    <w:rsid w:val="0E1D8132"/>
    <w:rsid w:val="0E1DB219"/>
    <w:rsid w:val="0E2098F5"/>
    <w:rsid w:val="0E24D6EA"/>
    <w:rsid w:val="0E2AC140"/>
    <w:rsid w:val="0E2D361C"/>
    <w:rsid w:val="0E33C014"/>
    <w:rsid w:val="0E344345"/>
    <w:rsid w:val="0E39804A"/>
    <w:rsid w:val="0E42190F"/>
    <w:rsid w:val="0E462DA3"/>
    <w:rsid w:val="0E4694F3"/>
    <w:rsid w:val="0E47D54D"/>
    <w:rsid w:val="0E49D6FA"/>
    <w:rsid w:val="0E4FA8E3"/>
    <w:rsid w:val="0E4FC590"/>
    <w:rsid w:val="0E51B024"/>
    <w:rsid w:val="0E52137C"/>
    <w:rsid w:val="0E53C619"/>
    <w:rsid w:val="0E5436EC"/>
    <w:rsid w:val="0E5503B7"/>
    <w:rsid w:val="0E552CEF"/>
    <w:rsid w:val="0E5B8830"/>
    <w:rsid w:val="0E5CFAEE"/>
    <w:rsid w:val="0E5D4EF6"/>
    <w:rsid w:val="0E5E7BFC"/>
    <w:rsid w:val="0E61A2AE"/>
    <w:rsid w:val="0E61AD70"/>
    <w:rsid w:val="0E65A906"/>
    <w:rsid w:val="0E670C48"/>
    <w:rsid w:val="0E67D318"/>
    <w:rsid w:val="0E6C1DC6"/>
    <w:rsid w:val="0E6CC4F9"/>
    <w:rsid w:val="0E70CD91"/>
    <w:rsid w:val="0E72AE20"/>
    <w:rsid w:val="0E74A653"/>
    <w:rsid w:val="0E74E8DC"/>
    <w:rsid w:val="0E79A96E"/>
    <w:rsid w:val="0E7FF216"/>
    <w:rsid w:val="0E88ADA7"/>
    <w:rsid w:val="0E8B4151"/>
    <w:rsid w:val="0E8C9C40"/>
    <w:rsid w:val="0E92AEFB"/>
    <w:rsid w:val="0E95876B"/>
    <w:rsid w:val="0E96B3CD"/>
    <w:rsid w:val="0E97DCAB"/>
    <w:rsid w:val="0E99692B"/>
    <w:rsid w:val="0E9B6116"/>
    <w:rsid w:val="0E9B8FFD"/>
    <w:rsid w:val="0EA174E5"/>
    <w:rsid w:val="0EA39E8F"/>
    <w:rsid w:val="0EA4EA22"/>
    <w:rsid w:val="0EA6FDC2"/>
    <w:rsid w:val="0EA74114"/>
    <w:rsid w:val="0EA78986"/>
    <w:rsid w:val="0EAC7B66"/>
    <w:rsid w:val="0EAE0A94"/>
    <w:rsid w:val="0EAF1FEA"/>
    <w:rsid w:val="0EAFAF60"/>
    <w:rsid w:val="0EB07831"/>
    <w:rsid w:val="0EB26E4B"/>
    <w:rsid w:val="0EB841A2"/>
    <w:rsid w:val="0EB88513"/>
    <w:rsid w:val="0EBBC654"/>
    <w:rsid w:val="0EBEF0DD"/>
    <w:rsid w:val="0EC115D4"/>
    <w:rsid w:val="0EC3EC35"/>
    <w:rsid w:val="0EC4AED9"/>
    <w:rsid w:val="0EC8923A"/>
    <w:rsid w:val="0EC8BCF8"/>
    <w:rsid w:val="0ECA3574"/>
    <w:rsid w:val="0ECE27FC"/>
    <w:rsid w:val="0ED133E6"/>
    <w:rsid w:val="0ED30B64"/>
    <w:rsid w:val="0ED52E3F"/>
    <w:rsid w:val="0ED7C736"/>
    <w:rsid w:val="0EDC3E51"/>
    <w:rsid w:val="0EE17C85"/>
    <w:rsid w:val="0EE987B4"/>
    <w:rsid w:val="0EEC5E5B"/>
    <w:rsid w:val="0EEC9DAF"/>
    <w:rsid w:val="0EEDAA5E"/>
    <w:rsid w:val="0EEF158B"/>
    <w:rsid w:val="0EEF6B9F"/>
    <w:rsid w:val="0EF1A5A5"/>
    <w:rsid w:val="0EF39C45"/>
    <w:rsid w:val="0EF43815"/>
    <w:rsid w:val="0EF5958C"/>
    <w:rsid w:val="0EF5D17E"/>
    <w:rsid w:val="0EF614F7"/>
    <w:rsid w:val="0EF6D020"/>
    <w:rsid w:val="0EF94295"/>
    <w:rsid w:val="0EFC5076"/>
    <w:rsid w:val="0EFEBB57"/>
    <w:rsid w:val="0EFFDF9B"/>
    <w:rsid w:val="0F02C1EA"/>
    <w:rsid w:val="0F0461E8"/>
    <w:rsid w:val="0F0673E8"/>
    <w:rsid w:val="0F06B068"/>
    <w:rsid w:val="0F0AEE0E"/>
    <w:rsid w:val="0F0B4A3B"/>
    <w:rsid w:val="0F0D6075"/>
    <w:rsid w:val="0F0E4BE8"/>
    <w:rsid w:val="0F0E7896"/>
    <w:rsid w:val="0F0EFCEC"/>
    <w:rsid w:val="0F0F5010"/>
    <w:rsid w:val="0F0F84F9"/>
    <w:rsid w:val="0F0FBA25"/>
    <w:rsid w:val="0F12505A"/>
    <w:rsid w:val="0F144B32"/>
    <w:rsid w:val="0F159EA0"/>
    <w:rsid w:val="0F1964CE"/>
    <w:rsid w:val="0F1AA2E1"/>
    <w:rsid w:val="0F1AF4DB"/>
    <w:rsid w:val="0F1C449E"/>
    <w:rsid w:val="0F22BBCA"/>
    <w:rsid w:val="0F231A45"/>
    <w:rsid w:val="0F238310"/>
    <w:rsid w:val="0F24C722"/>
    <w:rsid w:val="0F24E460"/>
    <w:rsid w:val="0F2573CC"/>
    <w:rsid w:val="0F28A1F4"/>
    <w:rsid w:val="0F2F0E8B"/>
    <w:rsid w:val="0F31A01B"/>
    <w:rsid w:val="0F321A27"/>
    <w:rsid w:val="0F3ABC98"/>
    <w:rsid w:val="0F403C0A"/>
    <w:rsid w:val="0F428400"/>
    <w:rsid w:val="0F430823"/>
    <w:rsid w:val="0F44C6C3"/>
    <w:rsid w:val="0F474B2B"/>
    <w:rsid w:val="0F48A2FF"/>
    <w:rsid w:val="0F491DE1"/>
    <w:rsid w:val="0F4B2797"/>
    <w:rsid w:val="0F4B38EC"/>
    <w:rsid w:val="0F4C5690"/>
    <w:rsid w:val="0F4E6B39"/>
    <w:rsid w:val="0F4FAEFB"/>
    <w:rsid w:val="0F53F350"/>
    <w:rsid w:val="0F55073C"/>
    <w:rsid w:val="0F560634"/>
    <w:rsid w:val="0F599C18"/>
    <w:rsid w:val="0F59D50F"/>
    <w:rsid w:val="0F5A3978"/>
    <w:rsid w:val="0F5C93C6"/>
    <w:rsid w:val="0F5CFDC5"/>
    <w:rsid w:val="0F5F112A"/>
    <w:rsid w:val="0F6474E3"/>
    <w:rsid w:val="0F65AE10"/>
    <w:rsid w:val="0F66641F"/>
    <w:rsid w:val="0F6A47BF"/>
    <w:rsid w:val="0F6CF0CF"/>
    <w:rsid w:val="0F73A46E"/>
    <w:rsid w:val="0F750B71"/>
    <w:rsid w:val="0F7C7B5B"/>
    <w:rsid w:val="0F7D1464"/>
    <w:rsid w:val="0F7D5648"/>
    <w:rsid w:val="0F7DC3C8"/>
    <w:rsid w:val="0F7E2FF7"/>
    <w:rsid w:val="0F7FBCB7"/>
    <w:rsid w:val="0F8021EA"/>
    <w:rsid w:val="0F8043D6"/>
    <w:rsid w:val="0F806854"/>
    <w:rsid w:val="0F81484C"/>
    <w:rsid w:val="0F816229"/>
    <w:rsid w:val="0F8300B6"/>
    <w:rsid w:val="0F862426"/>
    <w:rsid w:val="0F87617B"/>
    <w:rsid w:val="0F88F74F"/>
    <w:rsid w:val="0F8D9664"/>
    <w:rsid w:val="0F8F2077"/>
    <w:rsid w:val="0F90A215"/>
    <w:rsid w:val="0F90D000"/>
    <w:rsid w:val="0F918D2B"/>
    <w:rsid w:val="0F933121"/>
    <w:rsid w:val="0F941E50"/>
    <w:rsid w:val="0F9C9E75"/>
    <w:rsid w:val="0F9E18D3"/>
    <w:rsid w:val="0F9FF41D"/>
    <w:rsid w:val="0FA2077A"/>
    <w:rsid w:val="0FA5F5FE"/>
    <w:rsid w:val="0FA62104"/>
    <w:rsid w:val="0FA76903"/>
    <w:rsid w:val="0FA7FEF7"/>
    <w:rsid w:val="0FAB7817"/>
    <w:rsid w:val="0FABE18F"/>
    <w:rsid w:val="0FAF2D14"/>
    <w:rsid w:val="0FAF8765"/>
    <w:rsid w:val="0FB2125F"/>
    <w:rsid w:val="0FB278C2"/>
    <w:rsid w:val="0FB2B618"/>
    <w:rsid w:val="0FB46E66"/>
    <w:rsid w:val="0FB80CB5"/>
    <w:rsid w:val="0FBAAFDB"/>
    <w:rsid w:val="0FBD6A6D"/>
    <w:rsid w:val="0FBD89DC"/>
    <w:rsid w:val="0FBDA8C8"/>
    <w:rsid w:val="0FBFD79F"/>
    <w:rsid w:val="0FC00D05"/>
    <w:rsid w:val="0FC09A0B"/>
    <w:rsid w:val="0FC2203A"/>
    <w:rsid w:val="0FC45470"/>
    <w:rsid w:val="0FC5304C"/>
    <w:rsid w:val="0FC6B841"/>
    <w:rsid w:val="0FC8A5ED"/>
    <w:rsid w:val="0FC9B289"/>
    <w:rsid w:val="0FCB02D4"/>
    <w:rsid w:val="0FCD095B"/>
    <w:rsid w:val="0FCEBE39"/>
    <w:rsid w:val="0FD228E2"/>
    <w:rsid w:val="0FD46BE5"/>
    <w:rsid w:val="0FDC898A"/>
    <w:rsid w:val="0FDEB6FF"/>
    <w:rsid w:val="0FE3434A"/>
    <w:rsid w:val="0FE50DE5"/>
    <w:rsid w:val="0FE65972"/>
    <w:rsid w:val="0FE67CE0"/>
    <w:rsid w:val="0FEA8881"/>
    <w:rsid w:val="0FEB04DE"/>
    <w:rsid w:val="0FEC8525"/>
    <w:rsid w:val="0FEEB0EF"/>
    <w:rsid w:val="0FEFCBCB"/>
    <w:rsid w:val="0FF01A6A"/>
    <w:rsid w:val="0FF03F49"/>
    <w:rsid w:val="0FF19453"/>
    <w:rsid w:val="0FF2EE23"/>
    <w:rsid w:val="0FF53A8E"/>
    <w:rsid w:val="0FF93067"/>
    <w:rsid w:val="0FF9DAF0"/>
    <w:rsid w:val="0FFB0561"/>
    <w:rsid w:val="0FFB7D4C"/>
    <w:rsid w:val="0FFFA91C"/>
    <w:rsid w:val="100120C2"/>
    <w:rsid w:val="100355F7"/>
    <w:rsid w:val="10043A60"/>
    <w:rsid w:val="1004C128"/>
    <w:rsid w:val="1008A2CC"/>
    <w:rsid w:val="100CAA4B"/>
    <w:rsid w:val="1011ADE8"/>
    <w:rsid w:val="10122386"/>
    <w:rsid w:val="10135078"/>
    <w:rsid w:val="10169A99"/>
    <w:rsid w:val="10187104"/>
    <w:rsid w:val="101ACF8C"/>
    <w:rsid w:val="101CBCB8"/>
    <w:rsid w:val="101D2517"/>
    <w:rsid w:val="101DC3CC"/>
    <w:rsid w:val="101DE8B9"/>
    <w:rsid w:val="101EF768"/>
    <w:rsid w:val="10205C56"/>
    <w:rsid w:val="1022E1B9"/>
    <w:rsid w:val="1027BB74"/>
    <w:rsid w:val="102833B9"/>
    <w:rsid w:val="102988BF"/>
    <w:rsid w:val="1029C9CB"/>
    <w:rsid w:val="102D89DE"/>
    <w:rsid w:val="102E0AFE"/>
    <w:rsid w:val="102FF9DE"/>
    <w:rsid w:val="1030856F"/>
    <w:rsid w:val="10333619"/>
    <w:rsid w:val="10343947"/>
    <w:rsid w:val="103535CA"/>
    <w:rsid w:val="10385551"/>
    <w:rsid w:val="10393700"/>
    <w:rsid w:val="103B0BFC"/>
    <w:rsid w:val="103CBDE9"/>
    <w:rsid w:val="103D6182"/>
    <w:rsid w:val="103F973E"/>
    <w:rsid w:val="1040EF40"/>
    <w:rsid w:val="104537E4"/>
    <w:rsid w:val="104654EA"/>
    <w:rsid w:val="1049AC05"/>
    <w:rsid w:val="10536113"/>
    <w:rsid w:val="1056B428"/>
    <w:rsid w:val="105778C9"/>
    <w:rsid w:val="1057C3BA"/>
    <w:rsid w:val="10593368"/>
    <w:rsid w:val="105AAA01"/>
    <w:rsid w:val="105D09FC"/>
    <w:rsid w:val="106088E7"/>
    <w:rsid w:val="106141DD"/>
    <w:rsid w:val="1065DB5E"/>
    <w:rsid w:val="106A15D0"/>
    <w:rsid w:val="106B5B6C"/>
    <w:rsid w:val="106BA059"/>
    <w:rsid w:val="106CE3B9"/>
    <w:rsid w:val="106EF73B"/>
    <w:rsid w:val="106FEAAA"/>
    <w:rsid w:val="10713D9A"/>
    <w:rsid w:val="1072DE45"/>
    <w:rsid w:val="10746710"/>
    <w:rsid w:val="1074CFFE"/>
    <w:rsid w:val="107507C2"/>
    <w:rsid w:val="107AEB34"/>
    <w:rsid w:val="107B07BA"/>
    <w:rsid w:val="107D9F3D"/>
    <w:rsid w:val="10802535"/>
    <w:rsid w:val="10838DC0"/>
    <w:rsid w:val="1085026A"/>
    <w:rsid w:val="108506FC"/>
    <w:rsid w:val="10858440"/>
    <w:rsid w:val="1088A8AF"/>
    <w:rsid w:val="108997DC"/>
    <w:rsid w:val="1089C944"/>
    <w:rsid w:val="108BEFE1"/>
    <w:rsid w:val="108C2430"/>
    <w:rsid w:val="1091B2E6"/>
    <w:rsid w:val="109527E4"/>
    <w:rsid w:val="1096847D"/>
    <w:rsid w:val="109B8943"/>
    <w:rsid w:val="109F1282"/>
    <w:rsid w:val="10A107B5"/>
    <w:rsid w:val="10A2408E"/>
    <w:rsid w:val="10A3A0AA"/>
    <w:rsid w:val="10A51419"/>
    <w:rsid w:val="10A7DB4C"/>
    <w:rsid w:val="10A8959E"/>
    <w:rsid w:val="10AB3DEA"/>
    <w:rsid w:val="10B14B20"/>
    <w:rsid w:val="10B294D9"/>
    <w:rsid w:val="10B35E11"/>
    <w:rsid w:val="10B676C5"/>
    <w:rsid w:val="10B708DB"/>
    <w:rsid w:val="10BCEDED"/>
    <w:rsid w:val="10BF2D7D"/>
    <w:rsid w:val="10C0D3A1"/>
    <w:rsid w:val="10C1D4F3"/>
    <w:rsid w:val="10C444B6"/>
    <w:rsid w:val="10C4FC82"/>
    <w:rsid w:val="10C59435"/>
    <w:rsid w:val="10C6DB9D"/>
    <w:rsid w:val="10C85F87"/>
    <w:rsid w:val="10CA6939"/>
    <w:rsid w:val="10CB9129"/>
    <w:rsid w:val="10D11C71"/>
    <w:rsid w:val="10D17F7B"/>
    <w:rsid w:val="10D21709"/>
    <w:rsid w:val="10D23AB6"/>
    <w:rsid w:val="10D2AB67"/>
    <w:rsid w:val="10D3BC97"/>
    <w:rsid w:val="10D3CF20"/>
    <w:rsid w:val="10D4184D"/>
    <w:rsid w:val="10D93F6C"/>
    <w:rsid w:val="10DC3DCE"/>
    <w:rsid w:val="10DCDF09"/>
    <w:rsid w:val="10DECFF0"/>
    <w:rsid w:val="10E0D815"/>
    <w:rsid w:val="10E53A72"/>
    <w:rsid w:val="10EB495B"/>
    <w:rsid w:val="10EB6283"/>
    <w:rsid w:val="10EC4F79"/>
    <w:rsid w:val="10F2C32D"/>
    <w:rsid w:val="10F53A9C"/>
    <w:rsid w:val="10FF6F49"/>
    <w:rsid w:val="1103711E"/>
    <w:rsid w:val="1105443D"/>
    <w:rsid w:val="1107488F"/>
    <w:rsid w:val="1108C7F1"/>
    <w:rsid w:val="11096F05"/>
    <w:rsid w:val="110C58DA"/>
    <w:rsid w:val="11122C3E"/>
    <w:rsid w:val="1119511A"/>
    <w:rsid w:val="1119CC7A"/>
    <w:rsid w:val="111C13FC"/>
    <w:rsid w:val="111DF17B"/>
    <w:rsid w:val="1120148A"/>
    <w:rsid w:val="11225D7C"/>
    <w:rsid w:val="112430F6"/>
    <w:rsid w:val="1125B279"/>
    <w:rsid w:val="11293D18"/>
    <w:rsid w:val="112E6F00"/>
    <w:rsid w:val="113023BF"/>
    <w:rsid w:val="11336FEC"/>
    <w:rsid w:val="11375A74"/>
    <w:rsid w:val="11416A3A"/>
    <w:rsid w:val="11437505"/>
    <w:rsid w:val="11476AE2"/>
    <w:rsid w:val="11479921"/>
    <w:rsid w:val="114C0B96"/>
    <w:rsid w:val="114E676A"/>
    <w:rsid w:val="114E7ED9"/>
    <w:rsid w:val="114ECFD6"/>
    <w:rsid w:val="11533E61"/>
    <w:rsid w:val="11569CF5"/>
    <w:rsid w:val="1158BDCA"/>
    <w:rsid w:val="115E1C66"/>
    <w:rsid w:val="115EE04A"/>
    <w:rsid w:val="1164C0E1"/>
    <w:rsid w:val="11679DD9"/>
    <w:rsid w:val="1168B88B"/>
    <w:rsid w:val="1169293C"/>
    <w:rsid w:val="116B3721"/>
    <w:rsid w:val="116D766C"/>
    <w:rsid w:val="116DB57A"/>
    <w:rsid w:val="116E0CEC"/>
    <w:rsid w:val="1170A206"/>
    <w:rsid w:val="1171FD4C"/>
    <w:rsid w:val="1173EED0"/>
    <w:rsid w:val="1174F62F"/>
    <w:rsid w:val="1176DCFA"/>
    <w:rsid w:val="117B5BA4"/>
    <w:rsid w:val="117D6D64"/>
    <w:rsid w:val="117D9A27"/>
    <w:rsid w:val="117E159C"/>
    <w:rsid w:val="117E9ADB"/>
    <w:rsid w:val="118062BB"/>
    <w:rsid w:val="1180DBF4"/>
    <w:rsid w:val="1182EB0A"/>
    <w:rsid w:val="1188433D"/>
    <w:rsid w:val="1188995E"/>
    <w:rsid w:val="11889991"/>
    <w:rsid w:val="118B6016"/>
    <w:rsid w:val="118B60A9"/>
    <w:rsid w:val="118C963F"/>
    <w:rsid w:val="118DCCA7"/>
    <w:rsid w:val="118EBE5E"/>
    <w:rsid w:val="118F4663"/>
    <w:rsid w:val="118F55D3"/>
    <w:rsid w:val="11936500"/>
    <w:rsid w:val="11989E0F"/>
    <w:rsid w:val="119F846D"/>
    <w:rsid w:val="119F9C01"/>
    <w:rsid w:val="11A1EBAC"/>
    <w:rsid w:val="11A37921"/>
    <w:rsid w:val="11A57E49"/>
    <w:rsid w:val="11A69557"/>
    <w:rsid w:val="11A7CC5A"/>
    <w:rsid w:val="11A82E2E"/>
    <w:rsid w:val="11A9CEE9"/>
    <w:rsid w:val="11ABA1D6"/>
    <w:rsid w:val="11ADC314"/>
    <w:rsid w:val="11AEC99A"/>
    <w:rsid w:val="11AF4B7E"/>
    <w:rsid w:val="11B2968F"/>
    <w:rsid w:val="11B55AE8"/>
    <w:rsid w:val="11B5E630"/>
    <w:rsid w:val="11B7900D"/>
    <w:rsid w:val="11B8B2E8"/>
    <w:rsid w:val="11BFFB22"/>
    <w:rsid w:val="11C026EF"/>
    <w:rsid w:val="11CACFBD"/>
    <w:rsid w:val="11CC6BAD"/>
    <w:rsid w:val="11CD1C34"/>
    <w:rsid w:val="11CDB6D2"/>
    <w:rsid w:val="11CE8206"/>
    <w:rsid w:val="11CF1DFA"/>
    <w:rsid w:val="11CF20A2"/>
    <w:rsid w:val="11CF7311"/>
    <w:rsid w:val="11D0025F"/>
    <w:rsid w:val="11D19078"/>
    <w:rsid w:val="11D7B2EA"/>
    <w:rsid w:val="11D9E06B"/>
    <w:rsid w:val="11DA699C"/>
    <w:rsid w:val="11DC5D3C"/>
    <w:rsid w:val="11DF70AC"/>
    <w:rsid w:val="11E05A38"/>
    <w:rsid w:val="11E0C414"/>
    <w:rsid w:val="11E0D6F2"/>
    <w:rsid w:val="11E26027"/>
    <w:rsid w:val="11E4EAE3"/>
    <w:rsid w:val="11E59657"/>
    <w:rsid w:val="11E6D22E"/>
    <w:rsid w:val="11E8FEF4"/>
    <w:rsid w:val="11ECDA79"/>
    <w:rsid w:val="11ED9243"/>
    <w:rsid w:val="11EE4818"/>
    <w:rsid w:val="11F0F60F"/>
    <w:rsid w:val="11F3F65B"/>
    <w:rsid w:val="11F5940C"/>
    <w:rsid w:val="11F953A6"/>
    <w:rsid w:val="11FD3ABF"/>
    <w:rsid w:val="11FE3567"/>
    <w:rsid w:val="11FE7688"/>
    <w:rsid w:val="12048AB6"/>
    <w:rsid w:val="12061F66"/>
    <w:rsid w:val="120F25BC"/>
    <w:rsid w:val="120FD9A4"/>
    <w:rsid w:val="1212A758"/>
    <w:rsid w:val="121356C7"/>
    <w:rsid w:val="1218005B"/>
    <w:rsid w:val="12180418"/>
    <w:rsid w:val="12186FDF"/>
    <w:rsid w:val="1218B1D8"/>
    <w:rsid w:val="121C0E25"/>
    <w:rsid w:val="121CE711"/>
    <w:rsid w:val="121E50CD"/>
    <w:rsid w:val="1222D9C4"/>
    <w:rsid w:val="122555F3"/>
    <w:rsid w:val="1225B245"/>
    <w:rsid w:val="122725F5"/>
    <w:rsid w:val="1229EB6A"/>
    <w:rsid w:val="122C357C"/>
    <w:rsid w:val="122C875C"/>
    <w:rsid w:val="122D5C86"/>
    <w:rsid w:val="12337444"/>
    <w:rsid w:val="1233BDCD"/>
    <w:rsid w:val="1233C565"/>
    <w:rsid w:val="12396563"/>
    <w:rsid w:val="123C7977"/>
    <w:rsid w:val="124274AA"/>
    <w:rsid w:val="1244D77F"/>
    <w:rsid w:val="1248B280"/>
    <w:rsid w:val="124A5FFF"/>
    <w:rsid w:val="124AD238"/>
    <w:rsid w:val="124AD781"/>
    <w:rsid w:val="1251D72A"/>
    <w:rsid w:val="1251F0A7"/>
    <w:rsid w:val="12532FA9"/>
    <w:rsid w:val="125456E4"/>
    <w:rsid w:val="1255551F"/>
    <w:rsid w:val="125901B9"/>
    <w:rsid w:val="125AC63B"/>
    <w:rsid w:val="125C8D61"/>
    <w:rsid w:val="1263623B"/>
    <w:rsid w:val="1264DBA8"/>
    <w:rsid w:val="1266C70B"/>
    <w:rsid w:val="12672123"/>
    <w:rsid w:val="126CA7E1"/>
    <w:rsid w:val="126CB8F5"/>
    <w:rsid w:val="126DFED9"/>
    <w:rsid w:val="127011C1"/>
    <w:rsid w:val="127103EE"/>
    <w:rsid w:val="12736745"/>
    <w:rsid w:val="127A3F0F"/>
    <w:rsid w:val="127A5B08"/>
    <w:rsid w:val="127D0EFF"/>
    <w:rsid w:val="127D353B"/>
    <w:rsid w:val="127DA81B"/>
    <w:rsid w:val="1284C5FB"/>
    <w:rsid w:val="12886F41"/>
    <w:rsid w:val="1289A66B"/>
    <w:rsid w:val="1289F08A"/>
    <w:rsid w:val="128C9BED"/>
    <w:rsid w:val="128D2060"/>
    <w:rsid w:val="128EC3DA"/>
    <w:rsid w:val="1294AE68"/>
    <w:rsid w:val="12989DF7"/>
    <w:rsid w:val="129909A5"/>
    <w:rsid w:val="129B8030"/>
    <w:rsid w:val="129D155D"/>
    <w:rsid w:val="129ECCDA"/>
    <w:rsid w:val="12A12A98"/>
    <w:rsid w:val="12A2D0C5"/>
    <w:rsid w:val="12A3B1CB"/>
    <w:rsid w:val="12A537EE"/>
    <w:rsid w:val="12A55933"/>
    <w:rsid w:val="12A6BBF1"/>
    <w:rsid w:val="12A7B687"/>
    <w:rsid w:val="12A7F8FB"/>
    <w:rsid w:val="12AA1A74"/>
    <w:rsid w:val="12AC872B"/>
    <w:rsid w:val="12AD2F18"/>
    <w:rsid w:val="12B5743D"/>
    <w:rsid w:val="12B5AA31"/>
    <w:rsid w:val="12B83468"/>
    <w:rsid w:val="12B84075"/>
    <w:rsid w:val="12B93644"/>
    <w:rsid w:val="12B93799"/>
    <w:rsid w:val="12B97E2C"/>
    <w:rsid w:val="12BAB53A"/>
    <w:rsid w:val="12BAB90E"/>
    <w:rsid w:val="12BB5796"/>
    <w:rsid w:val="12BF95D9"/>
    <w:rsid w:val="12BFD2CA"/>
    <w:rsid w:val="12C67A5C"/>
    <w:rsid w:val="12CD0F93"/>
    <w:rsid w:val="12CF2567"/>
    <w:rsid w:val="12CFBB7E"/>
    <w:rsid w:val="12D18BF9"/>
    <w:rsid w:val="12D1D1B4"/>
    <w:rsid w:val="12D38ACA"/>
    <w:rsid w:val="12D946EC"/>
    <w:rsid w:val="12D971C8"/>
    <w:rsid w:val="12DD53F4"/>
    <w:rsid w:val="12DF77EF"/>
    <w:rsid w:val="12E4877A"/>
    <w:rsid w:val="12E762EF"/>
    <w:rsid w:val="12E8ACB1"/>
    <w:rsid w:val="12ED22A7"/>
    <w:rsid w:val="12EF1AF6"/>
    <w:rsid w:val="12F0B5A8"/>
    <w:rsid w:val="12F3721A"/>
    <w:rsid w:val="12F4AD0B"/>
    <w:rsid w:val="12F4EFB1"/>
    <w:rsid w:val="12F4F81C"/>
    <w:rsid w:val="12F591BD"/>
    <w:rsid w:val="12F5EEC5"/>
    <w:rsid w:val="12F66FD5"/>
    <w:rsid w:val="12F78953"/>
    <w:rsid w:val="12F90A32"/>
    <w:rsid w:val="12F9AA31"/>
    <w:rsid w:val="12F9E724"/>
    <w:rsid w:val="12FD6968"/>
    <w:rsid w:val="12FF095B"/>
    <w:rsid w:val="130147E0"/>
    <w:rsid w:val="1302A7BA"/>
    <w:rsid w:val="1304D670"/>
    <w:rsid w:val="1305C620"/>
    <w:rsid w:val="13080361"/>
    <w:rsid w:val="130ACDC8"/>
    <w:rsid w:val="130B6C56"/>
    <w:rsid w:val="130C3FA1"/>
    <w:rsid w:val="13128E96"/>
    <w:rsid w:val="13137E7F"/>
    <w:rsid w:val="1315836A"/>
    <w:rsid w:val="13160502"/>
    <w:rsid w:val="1316D201"/>
    <w:rsid w:val="1319C5EC"/>
    <w:rsid w:val="131F12A5"/>
    <w:rsid w:val="131F4F6D"/>
    <w:rsid w:val="13202F04"/>
    <w:rsid w:val="1321F6FB"/>
    <w:rsid w:val="1323F4A3"/>
    <w:rsid w:val="13266E0E"/>
    <w:rsid w:val="1327BCD1"/>
    <w:rsid w:val="132A9E3C"/>
    <w:rsid w:val="132CC911"/>
    <w:rsid w:val="132D51D0"/>
    <w:rsid w:val="132EA803"/>
    <w:rsid w:val="13306BDA"/>
    <w:rsid w:val="13347887"/>
    <w:rsid w:val="1337AE3B"/>
    <w:rsid w:val="133BDE00"/>
    <w:rsid w:val="133C728B"/>
    <w:rsid w:val="13442ECA"/>
    <w:rsid w:val="134554CB"/>
    <w:rsid w:val="134B63BC"/>
    <w:rsid w:val="134D4E7D"/>
    <w:rsid w:val="135155DD"/>
    <w:rsid w:val="1351BD91"/>
    <w:rsid w:val="1351C060"/>
    <w:rsid w:val="13553547"/>
    <w:rsid w:val="1357306A"/>
    <w:rsid w:val="13589760"/>
    <w:rsid w:val="1359246D"/>
    <w:rsid w:val="13595056"/>
    <w:rsid w:val="135A93FC"/>
    <w:rsid w:val="135C207B"/>
    <w:rsid w:val="135EA0FD"/>
    <w:rsid w:val="135F5331"/>
    <w:rsid w:val="1360013C"/>
    <w:rsid w:val="1360E1EB"/>
    <w:rsid w:val="13621AFD"/>
    <w:rsid w:val="13629205"/>
    <w:rsid w:val="1363F842"/>
    <w:rsid w:val="136A75BF"/>
    <w:rsid w:val="136BC3F7"/>
    <w:rsid w:val="136C110F"/>
    <w:rsid w:val="136D0310"/>
    <w:rsid w:val="136DC513"/>
    <w:rsid w:val="13744779"/>
    <w:rsid w:val="1374F0D1"/>
    <w:rsid w:val="1376EB4E"/>
    <w:rsid w:val="1379E641"/>
    <w:rsid w:val="137A8615"/>
    <w:rsid w:val="137AE8A2"/>
    <w:rsid w:val="137B6035"/>
    <w:rsid w:val="137C245D"/>
    <w:rsid w:val="137DD60D"/>
    <w:rsid w:val="137E771A"/>
    <w:rsid w:val="137EBD26"/>
    <w:rsid w:val="138179CD"/>
    <w:rsid w:val="13821776"/>
    <w:rsid w:val="13862B95"/>
    <w:rsid w:val="1386BA62"/>
    <w:rsid w:val="13897884"/>
    <w:rsid w:val="138AD968"/>
    <w:rsid w:val="138D47C9"/>
    <w:rsid w:val="13900749"/>
    <w:rsid w:val="13904B4F"/>
    <w:rsid w:val="1396BE48"/>
    <w:rsid w:val="139A0CAA"/>
    <w:rsid w:val="139B8660"/>
    <w:rsid w:val="13A22F04"/>
    <w:rsid w:val="13A5FBCA"/>
    <w:rsid w:val="13A6882D"/>
    <w:rsid w:val="13AD8928"/>
    <w:rsid w:val="13B05F20"/>
    <w:rsid w:val="13B5F28F"/>
    <w:rsid w:val="13BABBC9"/>
    <w:rsid w:val="13BB1D9E"/>
    <w:rsid w:val="13BD0531"/>
    <w:rsid w:val="13C27657"/>
    <w:rsid w:val="13C33EE6"/>
    <w:rsid w:val="13C6E2D7"/>
    <w:rsid w:val="13CA0E9E"/>
    <w:rsid w:val="13CB3129"/>
    <w:rsid w:val="13CEC61D"/>
    <w:rsid w:val="13D07DF4"/>
    <w:rsid w:val="13D586AB"/>
    <w:rsid w:val="13D66E8F"/>
    <w:rsid w:val="13DA02CA"/>
    <w:rsid w:val="13DB7146"/>
    <w:rsid w:val="13DE8658"/>
    <w:rsid w:val="13DE9C7D"/>
    <w:rsid w:val="13E271D5"/>
    <w:rsid w:val="13E5668F"/>
    <w:rsid w:val="13E7486C"/>
    <w:rsid w:val="13E9765D"/>
    <w:rsid w:val="13EB333C"/>
    <w:rsid w:val="13EB5493"/>
    <w:rsid w:val="13EDFAF6"/>
    <w:rsid w:val="13F02021"/>
    <w:rsid w:val="13F1480E"/>
    <w:rsid w:val="13F46DAF"/>
    <w:rsid w:val="13F797B4"/>
    <w:rsid w:val="13FD45D0"/>
    <w:rsid w:val="13FD8260"/>
    <w:rsid w:val="13FD9598"/>
    <w:rsid w:val="14008751"/>
    <w:rsid w:val="1402796D"/>
    <w:rsid w:val="1407305C"/>
    <w:rsid w:val="1409B963"/>
    <w:rsid w:val="1409D143"/>
    <w:rsid w:val="140C83AC"/>
    <w:rsid w:val="140CB447"/>
    <w:rsid w:val="1419F65C"/>
    <w:rsid w:val="141A55B2"/>
    <w:rsid w:val="141C5495"/>
    <w:rsid w:val="141D71D0"/>
    <w:rsid w:val="141DCD0D"/>
    <w:rsid w:val="141E4FF9"/>
    <w:rsid w:val="141FA180"/>
    <w:rsid w:val="14221076"/>
    <w:rsid w:val="14261B0E"/>
    <w:rsid w:val="142820A3"/>
    <w:rsid w:val="142A38B6"/>
    <w:rsid w:val="142C8179"/>
    <w:rsid w:val="142CDD41"/>
    <w:rsid w:val="142D983C"/>
    <w:rsid w:val="142E37C9"/>
    <w:rsid w:val="14327068"/>
    <w:rsid w:val="14329F98"/>
    <w:rsid w:val="143438A4"/>
    <w:rsid w:val="1437820F"/>
    <w:rsid w:val="143C9E6B"/>
    <w:rsid w:val="14415E0D"/>
    <w:rsid w:val="1441669B"/>
    <w:rsid w:val="14423917"/>
    <w:rsid w:val="1442976E"/>
    <w:rsid w:val="14448D79"/>
    <w:rsid w:val="1448C66C"/>
    <w:rsid w:val="144BE256"/>
    <w:rsid w:val="144D60A2"/>
    <w:rsid w:val="14518CA8"/>
    <w:rsid w:val="145543EE"/>
    <w:rsid w:val="145A0F19"/>
    <w:rsid w:val="145F1FBB"/>
    <w:rsid w:val="14600B59"/>
    <w:rsid w:val="1461741A"/>
    <w:rsid w:val="1464B47C"/>
    <w:rsid w:val="1465506C"/>
    <w:rsid w:val="1466D157"/>
    <w:rsid w:val="146796D8"/>
    <w:rsid w:val="14683782"/>
    <w:rsid w:val="1469D7A7"/>
    <w:rsid w:val="146E3FDA"/>
    <w:rsid w:val="1470F41F"/>
    <w:rsid w:val="147272F8"/>
    <w:rsid w:val="1472D1AB"/>
    <w:rsid w:val="14740164"/>
    <w:rsid w:val="1474BF00"/>
    <w:rsid w:val="14760638"/>
    <w:rsid w:val="1476505F"/>
    <w:rsid w:val="1479744B"/>
    <w:rsid w:val="147B8B28"/>
    <w:rsid w:val="147CD43E"/>
    <w:rsid w:val="147F3BBE"/>
    <w:rsid w:val="148075A5"/>
    <w:rsid w:val="148641BB"/>
    <w:rsid w:val="14865429"/>
    <w:rsid w:val="14891497"/>
    <w:rsid w:val="14898025"/>
    <w:rsid w:val="14963A70"/>
    <w:rsid w:val="149824A8"/>
    <w:rsid w:val="149E7040"/>
    <w:rsid w:val="149F2E69"/>
    <w:rsid w:val="149F4F78"/>
    <w:rsid w:val="14A253FA"/>
    <w:rsid w:val="14A27A3C"/>
    <w:rsid w:val="14A4AC4C"/>
    <w:rsid w:val="14AFB572"/>
    <w:rsid w:val="14B271D6"/>
    <w:rsid w:val="14B657D6"/>
    <w:rsid w:val="14B7354D"/>
    <w:rsid w:val="14BBBD15"/>
    <w:rsid w:val="14BDB275"/>
    <w:rsid w:val="14C022E5"/>
    <w:rsid w:val="14C0A436"/>
    <w:rsid w:val="14C10B36"/>
    <w:rsid w:val="14C1B493"/>
    <w:rsid w:val="14CBE819"/>
    <w:rsid w:val="14CC3560"/>
    <w:rsid w:val="14CC54A8"/>
    <w:rsid w:val="14CDB2B0"/>
    <w:rsid w:val="14CF6F23"/>
    <w:rsid w:val="14D05042"/>
    <w:rsid w:val="14D073B5"/>
    <w:rsid w:val="14D2CC12"/>
    <w:rsid w:val="14D507D6"/>
    <w:rsid w:val="14D73266"/>
    <w:rsid w:val="14D97455"/>
    <w:rsid w:val="14DB2DD6"/>
    <w:rsid w:val="14DBBA9E"/>
    <w:rsid w:val="14DDA2A6"/>
    <w:rsid w:val="14DDD1DA"/>
    <w:rsid w:val="14DF82C1"/>
    <w:rsid w:val="14E07ACB"/>
    <w:rsid w:val="14E55216"/>
    <w:rsid w:val="14E57733"/>
    <w:rsid w:val="14E78F3D"/>
    <w:rsid w:val="14EAFDF8"/>
    <w:rsid w:val="14ED06BE"/>
    <w:rsid w:val="14EF9F25"/>
    <w:rsid w:val="14F0C5DD"/>
    <w:rsid w:val="14F14DE7"/>
    <w:rsid w:val="14F5F827"/>
    <w:rsid w:val="14F73284"/>
    <w:rsid w:val="14FF2C12"/>
    <w:rsid w:val="14FFA4A5"/>
    <w:rsid w:val="150140F9"/>
    <w:rsid w:val="1502D1EE"/>
    <w:rsid w:val="1502DA9B"/>
    <w:rsid w:val="1503B84E"/>
    <w:rsid w:val="1504323D"/>
    <w:rsid w:val="15044A3C"/>
    <w:rsid w:val="1506A58C"/>
    <w:rsid w:val="15071473"/>
    <w:rsid w:val="1507C6C8"/>
    <w:rsid w:val="150A0242"/>
    <w:rsid w:val="150C238F"/>
    <w:rsid w:val="150D515F"/>
    <w:rsid w:val="150E91B9"/>
    <w:rsid w:val="15159664"/>
    <w:rsid w:val="15164DCB"/>
    <w:rsid w:val="15182AD1"/>
    <w:rsid w:val="1519E09B"/>
    <w:rsid w:val="151DD65E"/>
    <w:rsid w:val="1522B877"/>
    <w:rsid w:val="15230646"/>
    <w:rsid w:val="1524A205"/>
    <w:rsid w:val="1527824E"/>
    <w:rsid w:val="1527C5AC"/>
    <w:rsid w:val="152F451F"/>
    <w:rsid w:val="1539B14E"/>
    <w:rsid w:val="153B5D3C"/>
    <w:rsid w:val="153C46E7"/>
    <w:rsid w:val="153EC478"/>
    <w:rsid w:val="15404DD7"/>
    <w:rsid w:val="1540FA29"/>
    <w:rsid w:val="154124C7"/>
    <w:rsid w:val="15429075"/>
    <w:rsid w:val="1542AACE"/>
    <w:rsid w:val="1542B358"/>
    <w:rsid w:val="1546F96B"/>
    <w:rsid w:val="1551D2B1"/>
    <w:rsid w:val="155487EE"/>
    <w:rsid w:val="1556AA7B"/>
    <w:rsid w:val="155944F9"/>
    <w:rsid w:val="155BC858"/>
    <w:rsid w:val="155CAEE3"/>
    <w:rsid w:val="155DA87E"/>
    <w:rsid w:val="1560DDE6"/>
    <w:rsid w:val="156205E3"/>
    <w:rsid w:val="15628D23"/>
    <w:rsid w:val="1564DAB8"/>
    <w:rsid w:val="156AC13A"/>
    <w:rsid w:val="156BDFAA"/>
    <w:rsid w:val="156D5326"/>
    <w:rsid w:val="156D53FD"/>
    <w:rsid w:val="156D6D70"/>
    <w:rsid w:val="156F5A89"/>
    <w:rsid w:val="157148D7"/>
    <w:rsid w:val="15771ECE"/>
    <w:rsid w:val="15797F90"/>
    <w:rsid w:val="157C609E"/>
    <w:rsid w:val="157CD4C2"/>
    <w:rsid w:val="157E4FF7"/>
    <w:rsid w:val="157F9D93"/>
    <w:rsid w:val="1580CA8A"/>
    <w:rsid w:val="1581A7B2"/>
    <w:rsid w:val="15896E4A"/>
    <w:rsid w:val="1589EFAE"/>
    <w:rsid w:val="1593DF33"/>
    <w:rsid w:val="1597B508"/>
    <w:rsid w:val="1598A6EA"/>
    <w:rsid w:val="15997108"/>
    <w:rsid w:val="159ACCEB"/>
    <w:rsid w:val="159CF4A0"/>
    <w:rsid w:val="159E0454"/>
    <w:rsid w:val="15A10F68"/>
    <w:rsid w:val="15A187B9"/>
    <w:rsid w:val="15A50860"/>
    <w:rsid w:val="15A6C689"/>
    <w:rsid w:val="15A82495"/>
    <w:rsid w:val="15A86AAB"/>
    <w:rsid w:val="15A8EF9B"/>
    <w:rsid w:val="15A95BEE"/>
    <w:rsid w:val="15AA0BBD"/>
    <w:rsid w:val="15B48FB8"/>
    <w:rsid w:val="15B73FFB"/>
    <w:rsid w:val="15BE1C74"/>
    <w:rsid w:val="15BF35BD"/>
    <w:rsid w:val="15BF38CB"/>
    <w:rsid w:val="15BF5CF5"/>
    <w:rsid w:val="15C083AC"/>
    <w:rsid w:val="15C0915F"/>
    <w:rsid w:val="15C25B09"/>
    <w:rsid w:val="15C3AA7A"/>
    <w:rsid w:val="15C4FDF0"/>
    <w:rsid w:val="15C601E9"/>
    <w:rsid w:val="15C75269"/>
    <w:rsid w:val="15C7943F"/>
    <w:rsid w:val="15C93C10"/>
    <w:rsid w:val="15C960D5"/>
    <w:rsid w:val="15C964B6"/>
    <w:rsid w:val="15CB028D"/>
    <w:rsid w:val="15CC0D65"/>
    <w:rsid w:val="15CDE885"/>
    <w:rsid w:val="15CEAD0D"/>
    <w:rsid w:val="15CEB56A"/>
    <w:rsid w:val="15CEC55F"/>
    <w:rsid w:val="15D00DBE"/>
    <w:rsid w:val="15D0EE38"/>
    <w:rsid w:val="15D10806"/>
    <w:rsid w:val="15D3E658"/>
    <w:rsid w:val="15D44824"/>
    <w:rsid w:val="15D72FF1"/>
    <w:rsid w:val="15DBE521"/>
    <w:rsid w:val="15DCEEC8"/>
    <w:rsid w:val="15DDCC5E"/>
    <w:rsid w:val="15DDFCC1"/>
    <w:rsid w:val="15E2DB7A"/>
    <w:rsid w:val="15E6B10E"/>
    <w:rsid w:val="15E6B1A3"/>
    <w:rsid w:val="15E6F6CA"/>
    <w:rsid w:val="15EBF491"/>
    <w:rsid w:val="15F0E950"/>
    <w:rsid w:val="15F0EB54"/>
    <w:rsid w:val="15F1C71E"/>
    <w:rsid w:val="15F8F339"/>
    <w:rsid w:val="15F98B9E"/>
    <w:rsid w:val="15FCC29A"/>
    <w:rsid w:val="15FDE307"/>
    <w:rsid w:val="15FE1C76"/>
    <w:rsid w:val="15FE9ABE"/>
    <w:rsid w:val="16003ADE"/>
    <w:rsid w:val="16017D37"/>
    <w:rsid w:val="160268F1"/>
    <w:rsid w:val="160329F6"/>
    <w:rsid w:val="16038943"/>
    <w:rsid w:val="16062956"/>
    <w:rsid w:val="16073484"/>
    <w:rsid w:val="16086A45"/>
    <w:rsid w:val="160A0C51"/>
    <w:rsid w:val="160A0F35"/>
    <w:rsid w:val="160A5202"/>
    <w:rsid w:val="160C810E"/>
    <w:rsid w:val="160C82F5"/>
    <w:rsid w:val="160DF5D8"/>
    <w:rsid w:val="160F4DDB"/>
    <w:rsid w:val="16134751"/>
    <w:rsid w:val="1614A344"/>
    <w:rsid w:val="1614A789"/>
    <w:rsid w:val="161571D4"/>
    <w:rsid w:val="16178688"/>
    <w:rsid w:val="1618EAF0"/>
    <w:rsid w:val="161B4BA9"/>
    <w:rsid w:val="161CEFD3"/>
    <w:rsid w:val="1620972C"/>
    <w:rsid w:val="1622A7EA"/>
    <w:rsid w:val="1623945D"/>
    <w:rsid w:val="16239A99"/>
    <w:rsid w:val="1628506B"/>
    <w:rsid w:val="162C5235"/>
    <w:rsid w:val="162F9209"/>
    <w:rsid w:val="1631799E"/>
    <w:rsid w:val="1633828C"/>
    <w:rsid w:val="1637123E"/>
    <w:rsid w:val="16397E16"/>
    <w:rsid w:val="163A6369"/>
    <w:rsid w:val="163F0191"/>
    <w:rsid w:val="163FA898"/>
    <w:rsid w:val="164088F3"/>
    <w:rsid w:val="164211A2"/>
    <w:rsid w:val="16431BB4"/>
    <w:rsid w:val="164350B5"/>
    <w:rsid w:val="1643939F"/>
    <w:rsid w:val="16483CEE"/>
    <w:rsid w:val="1648FB98"/>
    <w:rsid w:val="1649D912"/>
    <w:rsid w:val="164F8F92"/>
    <w:rsid w:val="1656BF9A"/>
    <w:rsid w:val="166037D0"/>
    <w:rsid w:val="16624F59"/>
    <w:rsid w:val="166509BB"/>
    <w:rsid w:val="1668550E"/>
    <w:rsid w:val="166FBE02"/>
    <w:rsid w:val="16729BF2"/>
    <w:rsid w:val="16753F48"/>
    <w:rsid w:val="1675DB42"/>
    <w:rsid w:val="1676ABB8"/>
    <w:rsid w:val="1676EF39"/>
    <w:rsid w:val="167992A0"/>
    <w:rsid w:val="167AA442"/>
    <w:rsid w:val="167E87A2"/>
    <w:rsid w:val="168070EF"/>
    <w:rsid w:val="16874352"/>
    <w:rsid w:val="1688F47D"/>
    <w:rsid w:val="168F2809"/>
    <w:rsid w:val="16938CDB"/>
    <w:rsid w:val="1696CBE4"/>
    <w:rsid w:val="1696E858"/>
    <w:rsid w:val="1696F13B"/>
    <w:rsid w:val="169753B5"/>
    <w:rsid w:val="1698096F"/>
    <w:rsid w:val="16985C77"/>
    <w:rsid w:val="16986528"/>
    <w:rsid w:val="1699619E"/>
    <w:rsid w:val="16998B8D"/>
    <w:rsid w:val="16A18C28"/>
    <w:rsid w:val="16A4204F"/>
    <w:rsid w:val="16A7F6E8"/>
    <w:rsid w:val="16A7FFC4"/>
    <w:rsid w:val="16A8CE4A"/>
    <w:rsid w:val="16A9CFA5"/>
    <w:rsid w:val="16ADD286"/>
    <w:rsid w:val="16AE0933"/>
    <w:rsid w:val="16AECD53"/>
    <w:rsid w:val="16B0D6F5"/>
    <w:rsid w:val="16B11A79"/>
    <w:rsid w:val="16B16895"/>
    <w:rsid w:val="16B49598"/>
    <w:rsid w:val="16B62B7F"/>
    <w:rsid w:val="16BAC6D5"/>
    <w:rsid w:val="16BC83B3"/>
    <w:rsid w:val="16BE54FA"/>
    <w:rsid w:val="16C12C70"/>
    <w:rsid w:val="16C4DA4B"/>
    <w:rsid w:val="16C6BA91"/>
    <w:rsid w:val="16C874E6"/>
    <w:rsid w:val="16C9DFD0"/>
    <w:rsid w:val="16CAD456"/>
    <w:rsid w:val="16CC3191"/>
    <w:rsid w:val="16D02469"/>
    <w:rsid w:val="16D283B7"/>
    <w:rsid w:val="16D2BA17"/>
    <w:rsid w:val="16D34271"/>
    <w:rsid w:val="16D50CB9"/>
    <w:rsid w:val="16D8AF0D"/>
    <w:rsid w:val="16DAFB37"/>
    <w:rsid w:val="16DD4E60"/>
    <w:rsid w:val="16E01F5D"/>
    <w:rsid w:val="16E0A9DA"/>
    <w:rsid w:val="16E24732"/>
    <w:rsid w:val="16E4AA39"/>
    <w:rsid w:val="16E55F33"/>
    <w:rsid w:val="16E81D36"/>
    <w:rsid w:val="16E82F16"/>
    <w:rsid w:val="16E953F1"/>
    <w:rsid w:val="16E97048"/>
    <w:rsid w:val="16E9AD90"/>
    <w:rsid w:val="16EED34B"/>
    <w:rsid w:val="16F277CE"/>
    <w:rsid w:val="16F2C14F"/>
    <w:rsid w:val="16F77072"/>
    <w:rsid w:val="16F9BDD1"/>
    <w:rsid w:val="16FE5744"/>
    <w:rsid w:val="17086FFB"/>
    <w:rsid w:val="170A4706"/>
    <w:rsid w:val="17160E9F"/>
    <w:rsid w:val="171692D9"/>
    <w:rsid w:val="17173D3D"/>
    <w:rsid w:val="171871DF"/>
    <w:rsid w:val="1719F97D"/>
    <w:rsid w:val="171A6E02"/>
    <w:rsid w:val="171C357A"/>
    <w:rsid w:val="171EC1C7"/>
    <w:rsid w:val="1720827F"/>
    <w:rsid w:val="17237F3E"/>
    <w:rsid w:val="17239C74"/>
    <w:rsid w:val="1724FCDA"/>
    <w:rsid w:val="172D91EE"/>
    <w:rsid w:val="172D9822"/>
    <w:rsid w:val="17326E56"/>
    <w:rsid w:val="1732A3DB"/>
    <w:rsid w:val="1734D3B1"/>
    <w:rsid w:val="1734F33A"/>
    <w:rsid w:val="1736F5A9"/>
    <w:rsid w:val="1738AF2D"/>
    <w:rsid w:val="173D3147"/>
    <w:rsid w:val="17450A59"/>
    <w:rsid w:val="174B9F6E"/>
    <w:rsid w:val="174D2E24"/>
    <w:rsid w:val="174DAEE0"/>
    <w:rsid w:val="174E23EE"/>
    <w:rsid w:val="1751B9AA"/>
    <w:rsid w:val="17529A3C"/>
    <w:rsid w:val="175571BF"/>
    <w:rsid w:val="17559A85"/>
    <w:rsid w:val="1756C01E"/>
    <w:rsid w:val="175C7419"/>
    <w:rsid w:val="175F80D5"/>
    <w:rsid w:val="1760DAE3"/>
    <w:rsid w:val="1764A46D"/>
    <w:rsid w:val="17658DBC"/>
    <w:rsid w:val="176729DD"/>
    <w:rsid w:val="176788DE"/>
    <w:rsid w:val="17690ABC"/>
    <w:rsid w:val="176AA30D"/>
    <w:rsid w:val="176AD83D"/>
    <w:rsid w:val="176EB864"/>
    <w:rsid w:val="176F1BDB"/>
    <w:rsid w:val="17718215"/>
    <w:rsid w:val="1776E307"/>
    <w:rsid w:val="17775EA1"/>
    <w:rsid w:val="1778CBE1"/>
    <w:rsid w:val="177AC6CC"/>
    <w:rsid w:val="1781B4B7"/>
    <w:rsid w:val="17820EB6"/>
    <w:rsid w:val="178AE26D"/>
    <w:rsid w:val="178B27E4"/>
    <w:rsid w:val="178B73F6"/>
    <w:rsid w:val="178CFE28"/>
    <w:rsid w:val="178D11BF"/>
    <w:rsid w:val="178FD970"/>
    <w:rsid w:val="17930A87"/>
    <w:rsid w:val="1799EC8D"/>
    <w:rsid w:val="179BB74C"/>
    <w:rsid w:val="179BFE42"/>
    <w:rsid w:val="179C12CA"/>
    <w:rsid w:val="17A025F6"/>
    <w:rsid w:val="17A14226"/>
    <w:rsid w:val="17A5FB6D"/>
    <w:rsid w:val="17AF2FC5"/>
    <w:rsid w:val="17B04EBE"/>
    <w:rsid w:val="17B26ED9"/>
    <w:rsid w:val="17B2A40B"/>
    <w:rsid w:val="17B2E6BF"/>
    <w:rsid w:val="17B30518"/>
    <w:rsid w:val="17B98152"/>
    <w:rsid w:val="17BA391E"/>
    <w:rsid w:val="17BB159E"/>
    <w:rsid w:val="17BB8800"/>
    <w:rsid w:val="17BE5011"/>
    <w:rsid w:val="17BEEEC4"/>
    <w:rsid w:val="17C28BAC"/>
    <w:rsid w:val="17C401A3"/>
    <w:rsid w:val="17CB7E4D"/>
    <w:rsid w:val="17D1FA29"/>
    <w:rsid w:val="17D3FFC8"/>
    <w:rsid w:val="17D48D14"/>
    <w:rsid w:val="17D8BFE5"/>
    <w:rsid w:val="17DE6894"/>
    <w:rsid w:val="17DFF0F0"/>
    <w:rsid w:val="17E0A495"/>
    <w:rsid w:val="17E449EA"/>
    <w:rsid w:val="17E5979F"/>
    <w:rsid w:val="17E86A8C"/>
    <w:rsid w:val="17E98EBC"/>
    <w:rsid w:val="17E9C75B"/>
    <w:rsid w:val="17EABAEC"/>
    <w:rsid w:val="17EADF39"/>
    <w:rsid w:val="17F0C74B"/>
    <w:rsid w:val="17F0CB57"/>
    <w:rsid w:val="17F1B73C"/>
    <w:rsid w:val="17F1F45C"/>
    <w:rsid w:val="17F2F8F9"/>
    <w:rsid w:val="17F6925A"/>
    <w:rsid w:val="17F7CFBA"/>
    <w:rsid w:val="17F921E0"/>
    <w:rsid w:val="17F9292A"/>
    <w:rsid w:val="17F97B5F"/>
    <w:rsid w:val="17FB17C1"/>
    <w:rsid w:val="17FD0F16"/>
    <w:rsid w:val="17FD3F56"/>
    <w:rsid w:val="18056EF2"/>
    <w:rsid w:val="1806E9C9"/>
    <w:rsid w:val="1808188B"/>
    <w:rsid w:val="18092EB1"/>
    <w:rsid w:val="1809AC4A"/>
    <w:rsid w:val="181233EF"/>
    <w:rsid w:val="181328F8"/>
    <w:rsid w:val="181AC927"/>
    <w:rsid w:val="181AD58E"/>
    <w:rsid w:val="181BB463"/>
    <w:rsid w:val="181CEE1A"/>
    <w:rsid w:val="181D5AD7"/>
    <w:rsid w:val="182083FA"/>
    <w:rsid w:val="18215F3F"/>
    <w:rsid w:val="18222DF9"/>
    <w:rsid w:val="1826693E"/>
    <w:rsid w:val="182A5D00"/>
    <w:rsid w:val="182A5D3C"/>
    <w:rsid w:val="182BA629"/>
    <w:rsid w:val="182BEEE0"/>
    <w:rsid w:val="182ED8D5"/>
    <w:rsid w:val="182FEED0"/>
    <w:rsid w:val="18328F28"/>
    <w:rsid w:val="183571F5"/>
    <w:rsid w:val="18364807"/>
    <w:rsid w:val="1836A719"/>
    <w:rsid w:val="18390E4C"/>
    <w:rsid w:val="183BBAA4"/>
    <w:rsid w:val="183DA54A"/>
    <w:rsid w:val="183EF0F7"/>
    <w:rsid w:val="1840DA62"/>
    <w:rsid w:val="1841E0FB"/>
    <w:rsid w:val="184207AF"/>
    <w:rsid w:val="18424996"/>
    <w:rsid w:val="1842BB97"/>
    <w:rsid w:val="18447A63"/>
    <w:rsid w:val="18464F90"/>
    <w:rsid w:val="184724BD"/>
    <w:rsid w:val="18474790"/>
    <w:rsid w:val="1849095F"/>
    <w:rsid w:val="18491CA8"/>
    <w:rsid w:val="184F9B57"/>
    <w:rsid w:val="18514160"/>
    <w:rsid w:val="18535138"/>
    <w:rsid w:val="18587208"/>
    <w:rsid w:val="185C3E0B"/>
    <w:rsid w:val="185E70B3"/>
    <w:rsid w:val="186266CB"/>
    <w:rsid w:val="18632E34"/>
    <w:rsid w:val="186C62CA"/>
    <w:rsid w:val="186DB975"/>
    <w:rsid w:val="18701A54"/>
    <w:rsid w:val="187107BD"/>
    <w:rsid w:val="1871F4DD"/>
    <w:rsid w:val="1872F1B3"/>
    <w:rsid w:val="1877A8FE"/>
    <w:rsid w:val="18795EE5"/>
    <w:rsid w:val="1879966A"/>
    <w:rsid w:val="1880B75D"/>
    <w:rsid w:val="1881E1DE"/>
    <w:rsid w:val="18821623"/>
    <w:rsid w:val="18839139"/>
    <w:rsid w:val="1883EF3E"/>
    <w:rsid w:val="1886863A"/>
    <w:rsid w:val="188B5EA8"/>
    <w:rsid w:val="188C9446"/>
    <w:rsid w:val="188CC208"/>
    <w:rsid w:val="188D3774"/>
    <w:rsid w:val="189745CC"/>
    <w:rsid w:val="189755DD"/>
    <w:rsid w:val="1897C8B9"/>
    <w:rsid w:val="1898EAF6"/>
    <w:rsid w:val="189CDECF"/>
    <w:rsid w:val="189D6C3D"/>
    <w:rsid w:val="189E32E8"/>
    <w:rsid w:val="189E4022"/>
    <w:rsid w:val="18A07992"/>
    <w:rsid w:val="18A1CB70"/>
    <w:rsid w:val="18AA4E3C"/>
    <w:rsid w:val="18AA8A9A"/>
    <w:rsid w:val="18ACE4ED"/>
    <w:rsid w:val="18AE9C55"/>
    <w:rsid w:val="18B00EE3"/>
    <w:rsid w:val="18B0EC0C"/>
    <w:rsid w:val="18B0FDF8"/>
    <w:rsid w:val="18B1851E"/>
    <w:rsid w:val="18B4DF80"/>
    <w:rsid w:val="18B549A2"/>
    <w:rsid w:val="18B58BC3"/>
    <w:rsid w:val="18B71775"/>
    <w:rsid w:val="18B9F8F1"/>
    <w:rsid w:val="18BA171A"/>
    <w:rsid w:val="18BCCFAD"/>
    <w:rsid w:val="18BE3D77"/>
    <w:rsid w:val="18BFE03D"/>
    <w:rsid w:val="18C3F289"/>
    <w:rsid w:val="18C61298"/>
    <w:rsid w:val="18C9E20A"/>
    <w:rsid w:val="18CBE3DD"/>
    <w:rsid w:val="18D0526E"/>
    <w:rsid w:val="18D2574E"/>
    <w:rsid w:val="18D3BF86"/>
    <w:rsid w:val="18D45B40"/>
    <w:rsid w:val="18D528E1"/>
    <w:rsid w:val="18D63660"/>
    <w:rsid w:val="18D6D896"/>
    <w:rsid w:val="18D7629B"/>
    <w:rsid w:val="18D93D95"/>
    <w:rsid w:val="18DC47FE"/>
    <w:rsid w:val="18DC9999"/>
    <w:rsid w:val="18DF601B"/>
    <w:rsid w:val="18E0284E"/>
    <w:rsid w:val="18E34836"/>
    <w:rsid w:val="18E420AF"/>
    <w:rsid w:val="18E64A09"/>
    <w:rsid w:val="18E69FC4"/>
    <w:rsid w:val="18E8279F"/>
    <w:rsid w:val="18E90E96"/>
    <w:rsid w:val="18EDB34C"/>
    <w:rsid w:val="18EFA44A"/>
    <w:rsid w:val="18F4575D"/>
    <w:rsid w:val="18F4EB74"/>
    <w:rsid w:val="18F61180"/>
    <w:rsid w:val="18F63048"/>
    <w:rsid w:val="18F8B826"/>
    <w:rsid w:val="18FAA8E1"/>
    <w:rsid w:val="18FF31C9"/>
    <w:rsid w:val="19017FC8"/>
    <w:rsid w:val="1901BA36"/>
    <w:rsid w:val="19088576"/>
    <w:rsid w:val="190A9121"/>
    <w:rsid w:val="190C921F"/>
    <w:rsid w:val="190D71B9"/>
    <w:rsid w:val="190DB6E8"/>
    <w:rsid w:val="190EC6F9"/>
    <w:rsid w:val="19146FAF"/>
    <w:rsid w:val="1914D819"/>
    <w:rsid w:val="1915286A"/>
    <w:rsid w:val="19167DA7"/>
    <w:rsid w:val="191826D9"/>
    <w:rsid w:val="1919F6F8"/>
    <w:rsid w:val="191CC5BD"/>
    <w:rsid w:val="191DB019"/>
    <w:rsid w:val="191E145A"/>
    <w:rsid w:val="1923687E"/>
    <w:rsid w:val="19245869"/>
    <w:rsid w:val="1924D770"/>
    <w:rsid w:val="19252052"/>
    <w:rsid w:val="1927FFCB"/>
    <w:rsid w:val="192A48D3"/>
    <w:rsid w:val="192BCC18"/>
    <w:rsid w:val="192D987A"/>
    <w:rsid w:val="192FCDD3"/>
    <w:rsid w:val="1931AEB7"/>
    <w:rsid w:val="19370CB4"/>
    <w:rsid w:val="1939FE7E"/>
    <w:rsid w:val="193A1024"/>
    <w:rsid w:val="193E6D10"/>
    <w:rsid w:val="19400FE2"/>
    <w:rsid w:val="19410514"/>
    <w:rsid w:val="19467B75"/>
    <w:rsid w:val="19477D88"/>
    <w:rsid w:val="19482A6A"/>
    <w:rsid w:val="194A5FF3"/>
    <w:rsid w:val="194F06AE"/>
    <w:rsid w:val="1950B215"/>
    <w:rsid w:val="195122D8"/>
    <w:rsid w:val="1951D4A4"/>
    <w:rsid w:val="1951E237"/>
    <w:rsid w:val="19531631"/>
    <w:rsid w:val="1955217A"/>
    <w:rsid w:val="195546EC"/>
    <w:rsid w:val="1958C91D"/>
    <w:rsid w:val="195C2D95"/>
    <w:rsid w:val="195D0E62"/>
    <w:rsid w:val="1961BA97"/>
    <w:rsid w:val="1964BA03"/>
    <w:rsid w:val="19678EED"/>
    <w:rsid w:val="196AF326"/>
    <w:rsid w:val="196F2280"/>
    <w:rsid w:val="196F50BF"/>
    <w:rsid w:val="19771A22"/>
    <w:rsid w:val="19781FFE"/>
    <w:rsid w:val="1978F916"/>
    <w:rsid w:val="197A3D8A"/>
    <w:rsid w:val="197B2AC5"/>
    <w:rsid w:val="197B6A77"/>
    <w:rsid w:val="197D4B50"/>
    <w:rsid w:val="197E2039"/>
    <w:rsid w:val="1983B4EF"/>
    <w:rsid w:val="1985E2A6"/>
    <w:rsid w:val="19878B07"/>
    <w:rsid w:val="19880C8E"/>
    <w:rsid w:val="198855F7"/>
    <w:rsid w:val="1988BFFF"/>
    <w:rsid w:val="19893E4C"/>
    <w:rsid w:val="198A4D5A"/>
    <w:rsid w:val="198F7BB4"/>
    <w:rsid w:val="19918F00"/>
    <w:rsid w:val="1991E959"/>
    <w:rsid w:val="19949577"/>
    <w:rsid w:val="1994C298"/>
    <w:rsid w:val="19979C4E"/>
    <w:rsid w:val="199B7830"/>
    <w:rsid w:val="199D9F31"/>
    <w:rsid w:val="199EC9F0"/>
    <w:rsid w:val="199F0943"/>
    <w:rsid w:val="19A2CE8F"/>
    <w:rsid w:val="19A3D164"/>
    <w:rsid w:val="19A43F09"/>
    <w:rsid w:val="19A8A1ED"/>
    <w:rsid w:val="19A9C2D9"/>
    <w:rsid w:val="19A9E670"/>
    <w:rsid w:val="19AA05DF"/>
    <w:rsid w:val="19AC66B8"/>
    <w:rsid w:val="19AEB127"/>
    <w:rsid w:val="19B0A787"/>
    <w:rsid w:val="19B930F7"/>
    <w:rsid w:val="19B9E777"/>
    <w:rsid w:val="19C1187B"/>
    <w:rsid w:val="19C3F62A"/>
    <w:rsid w:val="19C62B10"/>
    <w:rsid w:val="19C886A2"/>
    <w:rsid w:val="19C9A8A7"/>
    <w:rsid w:val="19CA0468"/>
    <w:rsid w:val="19CBCA56"/>
    <w:rsid w:val="19CCB1EE"/>
    <w:rsid w:val="19D239E6"/>
    <w:rsid w:val="19D2457C"/>
    <w:rsid w:val="19D28192"/>
    <w:rsid w:val="19D2868F"/>
    <w:rsid w:val="19D4D165"/>
    <w:rsid w:val="19D9884E"/>
    <w:rsid w:val="19DB0461"/>
    <w:rsid w:val="19DD5C5A"/>
    <w:rsid w:val="19DEEAAF"/>
    <w:rsid w:val="19DF0DCB"/>
    <w:rsid w:val="19DFF46C"/>
    <w:rsid w:val="19E375A9"/>
    <w:rsid w:val="19E46183"/>
    <w:rsid w:val="19E49F1C"/>
    <w:rsid w:val="19E50363"/>
    <w:rsid w:val="19EBEBBE"/>
    <w:rsid w:val="19EDBC01"/>
    <w:rsid w:val="19EDC019"/>
    <w:rsid w:val="19EDE3CC"/>
    <w:rsid w:val="19EDECDB"/>
    <w:rsid w:val="19EF1E55"/>
    <w:rsid w:val="19F0B827"/>
    <w:rsid w:val="19F64051"/>
    <w:rsid w:val="19F9F473"/>
    <w:rsid w:val="19FC10E1"/>
    <w:rsid w:val="19FCE3CE"/>
    <w:rsid w:val="19FEFAFA"/>
    <w:rsid w:val="1A003036"/>
    <w:rsid w:val="1A0189A1"/>
    <w:rsid w:val="1A029D23"/>
    <w:rsid w:val="1A06EDCD"/>
    <w:rsid w:val="1A08DE86"/>
    <w:rsid w:val="1A093AB1"/>
    <w:rsid w:val="1A0E05DA"/>
    <w:rsid w:val="1A10475F"/>
    <w:rsid w:val="1A12BD72"/>
    <w:rsid w:val="1A149875"/>
    <w:rsid w:val="1A1557F3"/>
    <w:rsid w:val="1A161ACF"/>
    <w:rsid w:val="1A17B2FD"/>
    <w:rsid w:val="1A19A1E6"/>
    <w:rsid w:val="1A19FC5B"/>
    <w:rsid w:val="1A1B72D0"/>
    <w:rsid w:val="1A1D6EBF"/>
    <w:rsid w:val="1A1DD307"/>
    <w:rsid w:val="1A215F2B"/>
    <w:rsid w:val="1A234A28"/>
    <w:rsid w:val="1A2AFCD5"/>
    <w:rsid w:val="1A2E4069"/>
    <w:rsid w:val="1A2F32ED"/>
    <w:rsid w:val="1A302CE5"/>
    <w:rsid w:val="1A31EBEE"/>
    <w:rsid w:val="1A32213D"/>
    <w:rsid w:val="1A331B84"/>
    <w:rsid w:val="1A340288"/>
    <w:rsid w:val="1A3BB513"/>
    <w:rsid w:val="1A3F643C"/>
    <w:rsid w:val="1A465DC0"/>
    <w:rsid w:val="1A4B0259"/>
    <w:rsid w:val="1A4B964A"/>
    <w:rsid w:val="1A4BAE0F"/>
    <w:rsid w:val="1A4F66AE"/>
    <w:rsid w:val="1A4F85EC"/>
    <w:rsid w:val="1A52F478"/>
    <w:rsid w:val="1A5674DE"/>
    <w:rsid w:val="1A58E22B"/>
    <w:rsid w:val="1A5B61D2"/>
    <w:rsid w:val="1A5EB002"/>
    <w:rsid w:val="1A5EBB53"/>
    <w:rsid w:val="1A60B95C"/>
    <w:rsid w:val="1A61D031"/>
    <w:rsid w:val="1A65750A"/>
    <w:rsid w:val="1A658A73"/>
    <w:rsid w:val="1A6594C6"/>
    <w:rsid w:val="1A67E52C"/>
    <w:rsid w:val="1A6E8B6D"/>
    <w:rsid w:val="1A7013C6"/>
    <w:rsid w:val="1A714841"/>
    <w:rsid w:val="1A72F1A1"/>
    <w:rsid w:val="1A779F73"/>
    <w:rsid w:val="1A7AFEE0"/>
    <w:rsid w:val="1A7B61BF"/>
    <w:rsid w:val="1A7F035B"/>
    <w:rsid w:val="1A7F2FBF"/>
    <w:rsid w:val="1A827D56"/>
    <w:rsid w:val="1A831592"/>
    <w:rsid w:val="1A84248B"/>
    <w:rsid w:val="1A856ECD"/>
    <w:rsid w:val="1A866EC5"/>
    <w:rsid w:val="1A8773FB"/>
    <w:rsid w:val="1A880F25"/>
    <w:rsid w:val="1A89407C"/>
    <w:rsid w:val="1A89CBA3"/>
    <w:rsid w:val="1A89EFC6"/>
    <w:rsid w:val="1A8BEE71"/>
    <w:rsid w:val="1A8F557E"/>
    <w:rsid w:val="1A8F733A"/>
    <w:rsid w:val="1A90EA9C"/>
    <w:rsid w:val="1A90F25E"/>
    <w:rsid w:val="1A90F8DB"/>
    <w:rsid w:val="1A9413C3"/>
    <w:rsid w:val="1A97369C"/>
    <w:rsid w:val="1A98B698"/>
    <w:rsid w:val="1A9FD43F"/>
    <w:rsid w:val="1AA3CD57"/>
    <w:rsid w:val="1AA57BF1"/>
    <w:rsid w:val="1AA673E5"/>
    <w:rsid w:val="1AA73BC0"/>
    <w:rsid w:val="1AA9C912"/>
    <w:rsid w:val="1AAA9D4F"/>
    <w:rsid w:val="1AACFFB8"/>
    <w:rsid w:val="1AAD554A"/>
    <w:rsid w:val="1AB01D6E"/>
    <w:rsid w:val="1AB5E642"/>
    <w:rsid w:val="1AB7AFC0"/>
    <w:rsid w:val="1AB7BAC5"/>
    <w:rsid w:val="1ABF6712"/>
    <w:rsid w:val="1AC01417"/>
    <w:rsid w:val="1AC514C9"/>
    <w:rsid w:val="1AC6F528"/>
    <w:rsid w:val="1ACC6D5F"/>
    <w:rsid w:val="1ACD73B6"/>
    <w:rsid w:val="1ACFD4B2"/>
    <w:rsid w:val="1AD5BD77"/>
    <w:rsid w:val="1AD69725"/>
    <w:rsid w:val="1AD8EE77"/>
    <w:rsid w:val="1ADA3573"/>
    <w:rsid w:val="1AE398DB"/>
    <w:rsid w:val="1AE514F2"/>
    <w:rsid w:val="1AE7C620"/>
    <w:rsid w:val="1AECA7C7"/>
    <w:rsid w:val="1AEF27A9"/>
    <w:rsid w:val="1AF24F4F"/>
    <w:rsid w:val="1AF2A3FE"/>
    <w:rsid w:val="1AF3A128"/>
    <w:rsid w:val="1AF762E9"/>
    <w:rsid w:val="1AF7881C"/>
    <w:rsid w:val="1AFA9307"/>
    <w:rsid w:val="1AFD641C"/>
    <w:rsid w:val="1AFE3129"/>
    <w:rsid w:val="1B0476C2"/>
    <w:rsid w:val="1B04C1A4"/>
    <w:rsid w:val="1B0A64BD"/>
    <w:rsid w:val="1B0AC2A4"/>
    <w:rsid w:val="1B0D4126"/>
    <w:rsid w:val="1B0D461F"/>
    <w:rsid w:val="1B0EC89A"/>
    <w:rsid w:val="1B0F0E70"/>
    <w:rsid w:val="1B0F6194"/>
    <w:rsid w:val="1B11887C"/>
    <w:rsid w:val="1B1293D9"/>
    <w:rsid w:val="1B19DE00"/>
    <w:rsid w:val="1B1D484D"/>
    <w:rsid w:val="1B20858A"/>
    <w:rsid w:val="1B20917B"/>
    <w:rsid w:val="1B229B94"/>
    <w:rsid w:val="1B24A1E9"/>
    <w:rsid w:val="1B25F92B"/>
    <w:rsid w:val="1B27E33F"/>
    <w:rsid w:val="1B2D39A3"/>
    <w:rsid w:val="1B2EF379"/>
    <w:rsid w:val="1B32956E"/>
    <w:rsid w:val="1B33DF99"/>
    <w:rsid w:val="1B35AEE9"/>
    <w:rsid w:val="1B381CCB"/>
    <w:rsid w:val="1B38785B"/>
    <w:rsid w:val="1B3A9FC2"/>
    <w:rsid w:val="1B3FC9C0"/>
    <w:rsid w:val="1B3FD808"/>
    <w:rsid w:val="1B40CBDC"/>
    <w:rsid w:val="1B40CF70"/>
    <w:rsid w:val="1B42CBCD"/>
    <w:rsid w:val="1B48DF80"/>
    <w:rsid w:val="1B4A8EE5"/>
    <w:rsid w:val="1B52AAAD"/>
    <w:rsid w:val="1B54E571"/>
    <w:rsid w:val="1B54F6EA"/>
    <w:rsid w:val="1B59EA03"/>
    <w:rsid w:val="1B5AAF6E"/>
    <w:rsid w:val="1B5DBABA"/>
    <w:rsid w:val="1B5FC83B"/>
    <w:rsid w:val="1B5FEFBD"/>
    <w:rsid w:val="1B60FA70"/>
    <w:rsid w:val="1B61E7C9"/>
    <w:rsid w:val="1B64E922"/>
    <w:rsid w:val="1B683F4E"/>
    <w:rsid w:val="1B6913AA"/>
    <w:rsid w:val="1B69EBBD"/>
    <w:rsid w:val="1B6A13AB"/>
    <w:rsid w:val="1B72C572"/>
    <w:rsid w:val="1B73C48A"/>
    <w:rsid w:val="1B74C190"/>
    <w:rsid w:val="1B7BF95C"/>
    <w:rsid w:val="1B7C3320"/>
    <w:rsid w:val="1B7E1EC8"/>
    <w:rsid w:val="1B840D01"/>
    <w:rsid w:val="1B86AC60"/>
    <w:rsid w:val="1B8A8CBE"/>
    <w:rsid w:val="1B8B2D59"/>
    <w:rsid w:val="1B90A5A6"/>
    <w:rsid w:val="1B92028C"/>
    <w:rsid w:val="1B925250"/>
    <w:rsid w:val="1B92BCB0"/>
    <w:rsid w:val="1B93A510"/>
    <w:rsid w:val="1B951DB5"/>
    <w:rsid w:val="1B9533E5"/>
    <w:rsid w:val="1B9844E4"/>
    <w:rsid w:val="1B9C8BB8"/>
    <w:rsid w:val="1B9D2EF2"/>
    <w:rsid w:val="1BA5E857"/>
    <w:rsid w:val="1BAB2268"/>
    <w:rsid w:val="1BAD0015"/>
    <w:rsid w:val="1BB11608"/>
    <w:rsid w:val="1BB23105"/>
    <w:rsid w:val="1BB4C4D4"/>
    <w:rsid w:val="1BB5197E"/>
    <w:rsid w:val="1BB6CB5B"/>
    <w:rsid w:val="1BB7FE8E"/>
    <w:rsid w:val="1BBF2BA0"/>
    <w:rsid w:val="1BC1F6C9"/>
    <w:rsid w:val="1BC26B20"/>
    <w:rsid w:val="1BC365D3"/>
    <w:rsid w:val="1BC3AC38"/>
    <w:rsid w:val="1BC3C2A6"/>
    <w:rsid w:val="1BC4AAD4"/>
    <w:rsid w:val="1BC5E730"/>
    <w:rsid w:val="1BC97ADC"/>
    <w:rsid w:val="1BCDE9D3"/>
    <w:rsid w:val="1BD12610"/>
    <w:rsid w:val="1BD1CE56"/>
    <w:rsid w:val="1BD46885"/>
    <w:rsid w:val="1BD86881"/>
    <w:rsid w:val="1BDAD9B2"/>
    <w:rsid w:val="1BDDDC6F"/>
    <w:rsid w:val="1BE0E4D5"/>
    <w:rsid w:val="1BE4C7C8"/>
    <w:rsid w:val="1BE5234A"/>
    <w:rsid w:val="1BE6D986"/>
    <w:rsid w:val="1BE7B6AA"/>
    <w:rsid w:val="1BE94D98"/>
    <w:rsid w:val="1BEC404A"/>
    <w:rsid w:val="1BEDDEA3"/>
    <w:rsid w:val="1BEF8183"/>
    <w:rsid w:val="1BF0FA2C"/>
    <w:rsid w:val="1BF2506B"/>
    <w:rsid w:val="1BF887D5"/>
    <w:rsid w:val="1BFC26CE"/>
    <w:rsid w:val="1BFF302C"/>
    <w:rsid w:val="1C02D166"/>
    <w:rsid w:val="1C03F070"/>
    <w:rsid w:val="1C0A7E89"/>
    <w:rsid w:val="1C0AADA7"/>
    <w:rsid w:val="1C0F0D36"/>
    <w:rsid w:val="1C13545B"/>
    <w:rsid w:val="1C15A63E"/>
    <w:rsid w:val="1C20074F"/>
    <w:rsid w:val="1C20BAE9"/>
    <w:rsid w:val="1C232F9F"/>
    <w:rsid w:val="1C28CB48"/>
    <w:rsid w:val="1C2C0B4C"/>
    <w:rsid w:val="1C2CD2B6"/>
    <w:rsid w:val="1C2FCB45"/>
    <w:rsid w:val="1C301845"/>
    <w:rsid w:val="1C34F99E"/>
    <w:rsid w:val="1C36CDDA"/>
    <w:rsid w:val="1C4070B9"/>
    <w:rsid w:val="1C41C208"/>
    <w:rsid w:val="1C48C613"/>
    <w:rsid w:val="1C4B1402"/>
    <w:rsid w:val="1C516F12"/>
    <w:rsid w:val="1C517819"/>
    <w:rsid w:val="1C523993"/>
    <w:rsid w:val="1C565D3A"/>
    <w:rsid w:val="1C575F09"/>
    <w:rsid w:val="1C592047"/>
    <w:rsid w:val="1C59A219"/>
    <w:rsid w:val="1C5E32C3"/>
    <w:rsid w:val="1C5FB434"/>
    <w:rsid w:val="1C5FC635"/>
    <w:rsid w:val="1C63E608"/>
    <w:rsid w:val="1C643FFD"/>
    <w:rsid w:val="1C6FB20D"/>
    <w:rsid w:val="1C708D43"/>
    <w:rsid w:val="1C72B53D"/>
    <w:rsid w:val="1C789BB0"/>
    <w:rsid w:val="1C796132"/>
    <w:rsid w:val="1C7A2BE9"/>
    <w:rsid w:val="1C7CA845"/>
    <w:rsid w:val="1C7D31D8"/>
    <w:rsid w:val="1C7D3344"/>
    <w:rsid w:val="1C7F5C9C"/>
    <w:rsid w:val="1C7F8476"/>
    <w:rsid w:val="1C802ED9"/>
    <w:rsid w:val="1C804DAF"/>
    <w:rsid w:val="1C84BAD6"/>
    <w:rsid w:val="1C85DE39"/>
    <w:rsid w:val="1C87FDC2"/>
    <w:rsid w:val="1C881744"/>
    <w:rsid w:val="1C8BDB87"/>
    <w:rsid w:val="1C918CE4"/>
    <w:rsid w:val="1C9522C9"/>
    <w:rsid w:val="1C9530FF"/>
    <w:rsid w:val="1C9780CB"/>
    <w:rsid w:val="1C97B61C"/>
    <w:rsid w:val="1C97CF43"/>
    <w:rsid w:val="1C9B06D7"/>
    <w:rsid w:val="1C9EC321"/>
    <w:rsid w:val="1CA39F15"/>
    <w:rsid w:val="1CA3EDDB"/>
    <w:rsid w:val="1CA721D0"/>
    <w:rsid w:val="1CABEC8E"/>
    <w:rsid w:val="1CB1BFE8"/>
    <w:rsid w:val="1CB5020C"/>
    <w:rsid w:val="1CB544DE"/>
    <w:rsid w:val="1CB75BC5"/>
    <w:rsid w:val="1CBA79CD"/>
    <w:rsid w:val="1CBAF915"/>
    <w:rsid w:val="1CBDA680"/>
    <w:rsid w:val="1CBDA89E"/>
    <w:rsid w:val="1CBE30E9"/>
    <w:rsid w:val="1CBFDC61"/>
    <w:rsid w:val="1CC07C88"/>
    <w:rsid w:val="1CC77293"/>
    <w:rsid w:val="1CC88EBB"/>
    <w:rsid w:val="1CD23DA1"/>
    <w:rsid w:val="1CD366EF"/>
    <w:rsid w:val="1CD906AF"/>
    <w:rsid w:val="1CDBF99E"/>
    <w:rsid w:val="1CDDF9E2"/>
    <w:rsid w:val="1CE745A2"/>
    <w:rsid w:val="1CE76A98"/>
    <w:rsid w:val="1CE7BE9D"/>
    <w:rsid w:val="1CE95B90"/>
    <w:rsid w:val="1CEBD87D"/>
    <w:rsid w:val="1CEE3D29"/>
    <w:rsid w:val="1CF251EE"/>
    <w:rsid w:val="1CF512A2"/>
    <w:rsid w:val="1CF5FA36"/>
    <w:rsid w:val="1CFA7677"/>
    <w:rsid w:val="1CFCB44C"/>
    <w:rsid w:val="1CFCD625"/>
    <w:rsid w:val="1CFD8A4C"/>
    <w:rsid w:val="1CFEE488"/>
    <w:rsid w:val="1D00247D"/>
    <w:rsid w:val="1D0054AF"/>
    <w:rsid w:val="1D00FAF5"/>
    <w:rsid w:val="1D02EA19"/>
    <w:rsid w:val="1D04ECBC"/>
    <w:rsid w:val="1D07B34F"/>
    <w:rsid w:val="1D099809"/>
    <w:rsid w:val="1D0B61C2"/>
    <w:rsid w:val="1D0F0853"/>
    <w:rsid w:val="1D0FE5D8"/>
    <w:rsid w:val="1D119AD4"/>
    <w:rsid w:val="1D1221CF"/>
    <w:rsid w:val="1D1A5CD8"/>
    <w:rsid w:val="1D1CFF3C"/>
    <w:rsid w:val="1D1E8DA1"/>
    <w:rsid w:val="1D1F0AB8"/>
    <w:rsid w:val="1D20BE3C"/>
    <w:rsid w:val="1D22252F"/>
    <w:rsid w:val="1D2265D0"/>
    <w:rsid w:val="1D235F18"/>
    <w:rsid w:val="1D23899C"/>
    <w:rsid w:val="1D24E3E4"/>
    <w:rsid w:val="1D294159"/>
    <w:rsid w:val="1D2B5B94"/>
    <w:rsid w:val="1D2EF9A9"/>
    <w:rsid w:val="1D305477"/>
    <w:rsid w:val="1D3072A5"/>
    <w:rsid w:val="1D318811"/>
    <w:rsid w:val="1D35D5CD"/>
    <w:rsid w:val="1D3901C8"/>
    <w:rsid w:val="1D3A308A"/>
    <w:rsid w:val="1D3C8004"/>
    <w:rsid w:val="1D3CD27F"/>
    <w:rsid w:val="1D3D48F9"/>
    <w:rsid w:val="1D3DD89C"/>
    <w:rsid w:val="1D41B991"/>
    <w:rsid w:val="1D42476D"/>
    <w:rsid w:val="1D456DA3"/>
    <w:rsid w:val="1D4801A6"/>
    <w:rsid w:val="1D4A8A70"/>
    <w:rsid w:val="1D4C2193"/>
    <w:rsid w:val="1D4E02E8"/>
    <w:rsid w:val="1D54EF7D"/>
    <w:rsid w:val="1D557B38"/>
    <w:rsid w:val="1D5F9B65"/>
    <w:rsid w:val="1D63EE65"/>
    <w:rsid w:val="1D659FD2"/>
    <w:rsid w:val="1D65F3C0"/>
    <w:rsid w:val="1D670399"/>
    <w:rsid w:val="1D67CE68"/>
    <w:rsid w:val="1D693325"/>
    <w:rsid w:val="1D6F86B8"/>
    <w:rsid w:val="1D73E2B7"/>
    <w:rsid w:val="1D740108"/>
    <w:rsid w:val="1D74634D"/>
    <w:rsid w:val="1D7A4045"/>
    <w:rsid w:val="1D8120F0"/>
    <w:rsid w:val="1D8214EF"/>
    <w:rsid w:val="1D829821"/>
    <w:rsid w:val="1D836D5D"/>
    <w:rsid w:val="1D8992F9"/>
    <w:rsid w:val="1D8C8345"/>
    <w:rsid w:val="1D90CE8C"/>
    <w:rsid w:val="1D924C31"/>
    <w:rsid w:val="1D929DEA"/>
    <w:rsid w:val="1D94CA07"/>
    <w:rsid w:val="1D98DEC9"/>
    <w:rsid w:val="1D9A0631"/>
    <w:rsid w:val="1D9D580C"/>
    <w:rsid w:val="1D9E030E"/>
    <w:rsid w:val="1D9E5AD2"/>
    <w:rsid w:val="1D9E881D"/>
    <w:rsid w:val="1D9EF315"/>
    <w:rsid w:val="1D9F4C05"/>
    <w:rsid w:val="1D9F60A9"/>
    <w:rsid w:val="1DA0796E"/>
    <w:rsid w:val="1DA46D66"/>
    <w:rsid w:val="1DA4F6F9"/>
    <w:rsid w:val="1DA6264D"/>
    <w:rsid w:val="1DAC5CA2"/>
    <w:rsid w:val="1DAEECA7"/>
    <w:rsid w:val="1DAF9C3D"/>
    <w:rsid w:val="1DB0FDA2"/>
    <w:rsid w:val="1DB2D751"/>
    <w:rsid w:val="1DB39376"/>
    <w:rsid w:val="1DB41C84"/>
    <w:rsid w:val="1DB64752"/>
    <w:rsid w:val="1DB8BE22"/>
    <w:rsid w:val="1DB954AE"/>
    <w:rsid w:val="1DBA3A4B"/>
    <w:rsid w:val="1DBDD3B8"/>
    <w:rsid w:val="1DBEC43C"/>
    <w:rsid w:val="1DBEDB0F"/>
    <w:rsid w:val="1DBF3179"/>
    <w:rsid w:val="1DC3AD6E"/>
    <w:rsid w:val="1DC558F5"/>
    <w:rsid w:val="1DC64D4D"/>
    <w:rsid w:val="1DC8D1F7"/>
    <w:rsid w:val="1DCB4014"/>
    <w:rsid w:val="1DCF6983"/>
    <w:rsid w:val="1DD1DA81"/>
    <w:rsid w:val="1DD32C27"/>
    <w:rsid w:val="1DD8224B"/>
    <w:rsid w:val="1DD8DE20"/>
    <w:rsid w:val="1DD9AF33"/>
    <w:rsid w:val="1DDAACB4"/>
    <w:rsid w:val="1DDC3108"/>
    <w:rsid w:val="1DDE2CF1"/>
    <w:rsid w:val="1DE3DA61"/>
    <w:rsid w:val="1DE68D09"/>
    <w:rsid w:val="1DE6F582"/>
    <w:rsid w:val="1DE855C7"/>
    <w:rsid w:val="1DE98359"/>
    <w:rsid w:val="1DE98496"/>
    <w:rsid w:val="1DE9BB5C"/>
    <w:rsid w:val="1DEC525A"/>
    <w:rsid w:val="1DF120C0"/>
    <w:rsid w:val="1DF16CE8"/>
    <w:rsid w:val="1DF2D210"/>
    <w:rsid w:val="1DF2D387"/>
    <w:rsid w:val="1DF48DA7"/>
    <w:rsid w:val="1DF983D7"/>
    <w:rsid w:val="1E003179"/>
    <w:rsid w:val="1E03AC16"/>
    <w:rsid w:val="1E045370"/>
    <w:rsid w:val="1E04B943"/>
    <w:rsid w:val="1E04D790"/>
    <w:rsid w:val="1E06C904"/>
    <w:rsid w:val="1E0869FB"/>
    <w:rsid w:val="1E0C4BE1"/>
    <w:rsid w:val="1E0EBC7D"/>
    <w:rsid w:val="1E0F547A"/>
    <w:rsid w:val="1E10D54B"/>
    <w:rsid w:val="1E15785B"/>
    <w:rsid w:val="1E19A27A"/>
    <w:rsid w:val="1E1B2299"/>
    <w:rsid w:val="1E1BCC70"/>
    <w:rsid w:val="1E1C839C"/>
    <w:rsid w:val="1E1D682B"/>
    <w:rsid w:val="1E202188"/>
    <w:rsid w:val="1E203E2E"/>
    <w:rsid w:val="1E29085F"/>
    <w:rsid w:val="1E2B9AEC"/>
    <w:rsid w:val="1E2C0E7A"/>
    <w:rsid w:val="1E32FE33"/>
    <w:rsid w:val="1E36FF48"/>
    <w:rsid w:val="1E3AE6AD"/>
    <w:rsid w:val="1E40CD7D"/>
    <w:rsid w:val="1E4550CE"/>
    <w:rsid w:val="1E4D9045"/>
    <w:rsid w:val="1E4D93CC"/>
    <w:rsid w:val="1E4DC412"/>
    <w:rsid w:val="1E4DE907"/>
    <w:rsid w:val="1E50D519"/>
    <w:rsid w:val="1E5187EF"/>
    <w:rsid w:val="1E5335BB"/>
    <w:rsid w:val="1E54EBBD"/>
    <w:rsid w:val="1E574E35"/>
    <w:rsid w:val="1E599900"/>
    <w:rsid w:val="1E5A3AD9"/>
    <w:rsid w:val="1E61A567"/>
    <w:rsid w:val="1E623AEE"/>
    <w:rsid w:val="1E63504A"/>
    <w:rsid w:val="1E6458B9"/>
    <w:rsid w:val="1E69CFCF"/>
    <w:rsid w:val="1E6E55AF"/>
    <w:rsid w:val="1E710A84"/>
    <w:rsid w:val="1E72A54B"/>
    <w:rsid w:val="1E746E7A"/>
    <w:rsid w:val="1E755C87"/>
    <w:rsid w:val="1E7B2EF3"/>
    <w:rsid w:val="1E7CB651"/>
    <w:rsid w:val="1E7E83E3"/>
    <w:rsid w:val="1E8005CF"/>
    <w:rsid w:val="1E83788E"/>
    <w:rsid w:val="1E87FC90"/>
    <w:rsid w:val="1E89D87F"/>
    <w:rsid w:val="1E8C21DB"/>
    <w:rsid w:val="1E8D0518"/>
    <w:rsid w:val="1E8D10D2"/>
    <w:rsid w:val="1E9230DE"/>
    <w:rsid w:val="1E94C8C1"/>
    <w:rsid w:val="1E96DB7C"/>
    <w:rsid w:val="1E976E1D"/>
    <w:rsid w:val="1E9ABB29"/>
    <w:rsid w:val="1E9EF428"/>
    <w:rsid w:val="1EA23D49"/>
    <w:rsid w:val="1EA7F1E9"/>
    <w:rsid w:val="1EA812F9"/>
    <w:rsid w:val="1EABB2E4"/>
    <w:rsid w:val="1EB0F44A"/>
    <w:rsid w:val="1EB422CD"/>
    <w:rsid w:val="1EB56E10"/>
    <w:rsid w:val="1EB577FA"/>
    <w:rsid w:val="1EB6455A"/>
    <w:rsid w:val="1EB6FF26"/>
    <w:rsid w:val="1EB7C8C0"/>
    <w:rsid w:val="1EBB1CFA"/>
    <w:rsid w:val="1EBEE610"/>
    <w:rsid w:val="1EBEF93D"/>
    <w:rsid w:val="1EBFAE96"/>
    <w:rsid w:val="1EC111B9"/>
    <w:rsid w:val="1EC931A5"/>
    <w:rsid w:val="1ECA03C7"/>
    <w:rsid w:val="1ED011D2"/>
    <w:rsid w:val="1ED05340"/>
    <w:rsid w:val="1ED116A2"/>
    <w:rsid w:val="1ED6E68A"/>
    <w:rsid w:val="1ED76B39"/>
    <w:rsid w:val="1EDB67D8"/>
    <w:rsid w:val="1EDD65A4"/>
    <w:rsid w:val="1EE01D0A"/>
    <w:rsid w:val="1EE02CA7"/>
    <w:rsid w:val="1EE1D54D"/>
    <w:rsid w:val="1EE24781"/>
    <w:rsid w:val="1EE6F30A"/>
    <w:rsid w:val="1EE798EC"/>
    <w:rsid w:val="1EED0BCC"/>
    <w:rsid w:val="1EED7739"/>
    <w:rsid w:val="1EF11964"/>
    <w:rsid w:val="1EF20E2F"/>
    <w:rsid w:val="1EF21220"/>
    <w:rsid w:val="1EF3C1AA"/>
    <w:rsid w:val="1EF51291"/>
    <w:rsid w:val="1EF51CA6"/>
    <w:rsid w:val="1EF7F140"/>
    <w:rsid w:val="1EFA7F46"/>
    <w:rsid w:val="1F06AD09"/>
    <w:rsid w:val="1F083A51"/>
    <w:rsid w:val="1F0B837F"/>
    <w:rsid w:val="1F0EB300"/>
    <w:rsid w:val="1F0F9BA5"/>
    <w:rsid w:val="1F0FA8AE"/>
    <w:rsid w:val="1F125827"/>
    <w:rsid w:val="1F12ED2F"/>
    <w:rsid w:val="1F1778BF"/>
    <w:rsid w:val="1F199ABC"/>
    <w:rsid w:val="1F1A1EB6"/>
    <w:rsid w:val="1F1AD269"/>
    <w:rsid w:val="1F1EB1F7"/>
    <w:rsid w:val="1F22A379"/>
    <w:rsid w:val="1F2419A5"/>
    <w:rsid w:val="1F264B31"/>
    <w:rsid w:val="1F27805E"/>
    <w:rsid w:val="1F3251CF"/>
    <w:rsid w:val="1F36BB37"/>
    <w:rsid w:val="1F37C9BB"/>
    <w:rsid w:val="1F38BEA1"/>
    <w:rsid w:val="1F3B4B3A"/>
    <w:rsid w:val="1F3B8A4E"/>
    <w:rsid w:val="1F3C992C"/>
    <w:rsid w:val="1F3FB065"/>
    <w:rsid w:val="1F40D2C3"/>
    <w:rsid w:val="1F418C38"/>
    <w:rsid w:val="1F41982E"/>
    <w:rsid w:val="1F421427"/>
    <w:rsid w:val="1F46E55D"/>
    <w:rsid w:val="1F471080"/>
    <w:rsid w:val="1F47C4F2"/>
    <w:rsid w:val="1F49A0A0"/>
    <w:rsid w:val="1F4A2957"/>
    <w:rsid w:val="1F4B0CCD"/>
    <w:rsid w:val="1F4D3E45"/>
    <w:rsid w:val="1F4D59FE"/>
    <w:rsid w:val="1F5368EC"/>
    <w:rsid w:val="1F53D6D4"/>
    <w:rsid w:val="1F5793F3"/>
    <w:rsid w:val="1F596FA4"/>
    <w:rsid w:val="1F5AFFFF"/>
    <w:rsid w:val="1F5B3F90"/>
    <w:rsid w:val="1F5C47C0"/>
    <w:rsid w:val="1F607678"/>
    <w:rsid w:val="1F63F269"/>
    <w:rsid w:val="1F657486"/>
    <w:rsid w:val="1F6854BA"/>
    <w:rsid w:val="1F686BE8"/>
    <w:rsid w:val="1F6A9CB5"/>
    <w:rsid w:val="1F6C1ED8"/>
    <w:rsid w:val="1F6C4C4A"/>
    <w:rsid w:val="1F6D682A"/>
    <w:rsid w:val="1F712C2B"/>
    <w:rsid w:val="1F7273A3"/>
    <w:rsid w:val="1F73602F"/>
    <w:rsid w:val="1F737C92"/>
    <w:rsid w:val="1F779755"/>
    <w:rsid w:val="1F783975"/>
    <w:rsid w:val="1F7877E3"/>
    <w:rsid w:val="1F7E5ACC"/>
    <w:rsid w:val="1F80F505"/>
    <w:rsid w:val="1F821B60"/>
    <w:rsid w:val="1F8681D8"/>
    <w:rsid w:val="1F883D9E"/>
    <w:rsid w:val="1F8ACCCF"/>
    <w:rsid w:val="1F8B2E77"/>
    <w:rsid w:val="1F9446FF"/>
    <w:rsid w:val="1F980B3D"/>
    <w:rsid w:val="1F980BEE"/>
    <w:rsid w:val="1F988E30"/>
    <w:rsid w:val="1F98B702"/>
    <w:rsid w:val="1F993A15"/>
    <w:rsid w:val="1F9A3FE3"/>
    <w:rsid w:val="1F9BEDC2"/>
    <w:rsid w:val="1F9EE95E"/>
    <w:rsid w:val="1FA0A807"/>
    <w:rsid w:val="1FA58C49"/>
    <w:rsid w:val="1FA6DED2"/>
    <w:rsid w:val="1FABEAAA"/>
    <w:rsid w:val="1FAFFCC6"/>
    <w:rsid w:val="1FB0C362"/>
    <w:rsid w:val="1FB728AB"/>
    <w:rsid w:val="1FBB7CE7"/>
    <w:rsid w:val="1FBC9BDC"/>
    <w:rsid w:val="1FC15318"/>
    <w:rsid w:val="1FC1C68A"/>
    <w:rsid w:val="1FC2E86B"/>
    <w:rsid w:val="1FC32043"/>
    <w:rsid w:val="1FC3F15A"/>
    <w:rsid w:val="1FC409DA"/>
    <w:rsid w:val="1FC433BE"/>
    <w:rsid w:val="1FC5257A"/>
    <w:rsid w:val="1FC846CB"/>
    <w:rsid w:val="1FC8738F"/>
    <w:rsid w:val="1FCB1671"/>
    <w:rsid w:val="1FCB9EDF"/>
    <w:rsid w:val="1FD2FFD8"/>
    <w:rsid w:val="1FD3DBA8"/>
    <w:rsid w:val="1FD45362"/>
    <w:rsid w:val="1FD9723E"/>
    <w:rsid w:val="1FDAACDB"/>
    <w:rsid w:val="1FDB3953"/>
    <w:rsid w:val="1FDD2A08"/>
    <w:rsid w:val="1FDDA2A8"/>
    <w:rsid w:val="1FE2B968"/>
    <w:rsid w:val="1FE68167"/>
    <w:rsid w:val="1FE7B1A5"/>
    <w:rsid w:val="1FEAAD83"/>
    <w:rsid w:val="1FEBA8B4"/>
    <w:rsid w:val="1FEF5114"/>
    <w:rsid w:val="1FF10A1A"/>
    <w:rsid w:val="1FF24BE9"/>
    <w:rsid w:val="1FF4F426"/>
    <w:rsid w:val="1FF76F4E"/>
    <w:rsid w:val="1FF99747"/>
    <w:rsid w:val="1FFF4F3F"/>
    <w:rsid w:val="2000B948"/>
    <w:rsid w:val="2000FE67"/>
    <w:rsid w:val="2004C5A9"/>
    <w:rsid w:val="20062315"/>
    <w:rsid w:val="200C1FCE"/>
    <w:rsid w:val="200FBF98"/>
    <w:rsid w:val="20104C88"/>
    <w:rsid w:val="2012E966"/>
    <w:rsid w:val="2013726B"/>
    <w:rsid w:val="20146BAE"/>
    <w:rsid w:val="2018CB68"/>
    <w:rsid w:val="20192779"/>
    <w:rsid w:val="2019E106"/>
    <w:rsid w:val="201A7230"/>
    <w:rsid w:val="201C97FF"/>
    <w:rsid w:val="201D2693"/>
    <w:rsid w:val="201E22D0"/>
    <w:rsid w:val="201EB5CC"/>
    <w:rsid w:val="201F473E"/>
    <w:rsid w:val="202152F3"/>
    <w:rsid w:val="2021F09E"/>
    <w:rsid w:val="20246FB5"/>
    <w:rsid w:val="202850ED"/>
    <w:rsid w:val="202949C4"/>
    <w:rsid w:val="202B4258"/>
    <w:rsid w:val="202BDEF5"/>
    <w:rsid w:val="202D66C2"/>
    <w:rsid w:val="20328676"/>
    <w:rsid w:val="20339314"/>
    <w:rsid w:val="2033E8B7"/>
    <w:rsid w:val="2034B33C"/>
    <w:rsid w:val="2035D9B2"/>
    <w:rsid w:val="2036EF1A"/>
    <w:rsid w:val="2038FCEF"/>
    <w:rsid w:val="20390B61"/>
    <w:rsid w:val="20391FC3"/>
    <w:rsid w:val="2039410A"/>
    <w:rsid w:val="2039F034"/>
    <w:rsid w:val="203CA305"/>
    <w:rsid w:val="203D667B"/>
    <w:rsid w:val="20448EAE"/>
    <w:rsid w:val="2046752C"/>
    <w:rsid w:val="20487524"/>
    <w:rsid w:val="2049E59E"/>
    <w:rsid w:val="204B5A61"/>
    <w:rsid w:val="204F46D5"/>
    <w:rsid w:val="20565A7C"/>
    <w:rsid w:val="205B2392"/>
    <w:rsid w:val="205DDF31"/>
    <w:rsid w:val="205FEE17"/>
    <w:rsid w:val="2060B9A0"/>
    <w:rsid w:val="20633A04"/>
    <w:rsid w:val="2063C0E5"/>
    <w:rsid w:val="2065EEE3"/>
    <w:rsid w:val="20663CB6"/>
    <w:rsid w:val="20713D11"/>
    <w:rsid w:val="2073CC97"/>
    <w:rsid w:val="2077AD2E"/>
    <w:rsid w:val="20780FA6"/>
    <w:rsid w:val="207862C6"/>
    <w:rsid w:val="2078AD56"/>
    <w:rsid w:val="207BF508"/>
    <w:rsid w:val="207C6593"/>
    <w:rsid w:val="20813E93"/>
    <w:rsid w:val="2082581F"/>
    <w:rsid w:val="2082DD1E"/>
    <w:rsid w:val="2083C2E7"/>
    <w:rsid w:val="2088C110"/>
    <w:rsid w:val="208C92E0"/>
    <w:rsid w:val="208F4B5C"/>
    <w:rsid w:val="209395AC"/>
    <w:rsid w:val="209AA53C"/>
    <w:rsid w:val="209BE1B9"/>
    <w:rsid w:val="209DF4D0"/>
    <w:rsid w:val="20A51ED7"/>
    <w:rsid w:val="20A71F31"/>
    <w:rsid w:val="20AEE437"/>
    <w:rsid w:val="20B17DB9"/>
    <w:rsid w:val="20B2943D"/>
    <w:rsid w:val="20B41A0E"/>
    <w:rsid w:val="20B60950"/>
    <w:rsid w:val="20B7E542"/>
    <w:rsid w:val="20B82FB8"/>
    <w:rsid w:val="20BAF49F"/>
    <w:rsid w:val="20BBA4BE"/>
    <w:rsid w:val="20BD3ED7"/>
    <w:rsid w:val="20C43459"/>
    <w:rsid w:val="20C50E1E"/>
    <w:rsid w:val="20C74E4F"/>
    <w:rsid w:val="20C7A020"/>
    <w:rsid w:val="20C8291B"/>
    <w:rsid w:val="20C8A910"/>
    <w:rsid w:val="20C974B4"/>
    <w:rsid w:val="20CC9E1B"/>
    <w:rsid w:val="20CEFC0B"/>
    <w:rsid w:val="20CFBA62"/>
    <w:rsid w:val="20CFD13B"/>
    <w:rsid w:val="20D27742"/>
    <w:rsid w:val="20D29E75"/>
    <w:rsid w:val="20D5147A"/>
    <w:rsid w:val="20D98918"/>
    <w:rsid w:val="20DBFB56"/>
    <w:rsid w:val="20DC34AC"/>
    <w:rsid w:val="20E0DEE3"/>
    <w:rsid w:val="20E15711"/>
    <w:rsid w:val="20E162C5"/>
    <w:rsid w:val="20E1E690"/>
    <w:rsid w:val="20E259BA"/>
    <w:rsid w:val="20E29398"/>
    <w:rsid w:val="20E2E605"/>
    <w:rsid w:val="20E68760"/>
    <w:rsid w:val="20E741A7"/>
    <w:rsid w:val="20EEBF76"/>
    <w:rsid w:val="20EF3DB7"/>
    <w:rsid w:val="20EF413D"/>
    <w:rsid w:val="20F06753"/>
    <w:rsid w:val="20F133E2"/>
    <w:rsid w:val="20F66F90"/>
    <w:rsid w:val="20F72C82"/>
    <w:rsid w:val="20F7A582"/>
    <w:rsid w:val="20F7A82E"/>
    <w:rsid w:val="20FA761D"/>
    <w:rsid w:val="20FACD62"/>
    <w:rsid w:val="20FF5CD6"/>
    <w:rsid w:val="20FFB05D"/>
    <w:rsid w:val="21003FCA"/>
    <w:rsid w:val="21006B41"/>
    <w:rsid w:val="210314B1"/>
    <w:rsid w:val="2108A723"/>
    <w:rsid w:val="2108B0D5"/>
    <w:rsid w:val="2109ED4E"/>
    <w:rsid w:val="210F4360"/>
    <w:rsid w:val="211566D5"/>
    <w:rsid w:val="211B00B8"/>
    <w:rsid w:val="211E596F"/>
    <w:rsid w:val="211EC6CF"/>
    <w:rsid w:val="21203DCD"/>
    <w:rsid w:val="2129B24C"/>
    <w:rsid w:val="212A2400"/>
    <w:rsid w:val="212AB159"/>
    <w:rsid w:val="212AC424"/>
    <w:rsid w:val="212ADCDB"/>
    <w:rsid w:val="212B2A42"/>
    <w:rsid w:val="212CD9CD"/>
    <w:rsid w:val="212E98B7"/>
    <w:rsid w:val="212EC132"/>
    <w:rsid w:val="21322A35"/>
    <w:rsid w:val="213331D0"/>
    <w:rsid w:val="2137AABE"/>
    <w:rsid w:val="2138EAFD"/>
    <w:rsid w:val="21392D35"/>
    <w:rsid w:val="213A8115"/>
    <w:rsid w:val="213DB74D"/>
    <w:rsid w:val="213FBFEB"/>
    <w:rsid w:val="214023E8"/>
    <w:rsid w:val="21425988"/>
    <w:rsid w:val="2145BD56"/>
    <w:rsid w:val="2148445B"/>
    <w:rsid w:val="214B1F98"/>
    <w:rsid w:val="214FDE6C"/>
    <w:rsid w:val="215540AE"/>
    <w:rsid w:val="2156DDAA"/>
    <w:rsid w:val="215A9E56"/>
    <w:rsid w:val="215AD8E3"/>
    <w:rsid w:val="215B5EDA"/>
    <w:rsid w:val="215B9BA7"/>
    <w:rsid w:val="21624B62"/>
    <w:rsid w:val="21658366"/>
    <w:rsid w:val="21672C0F"/>
    <w:rsid w:val="2168658C"/>
    <w:rsid w:val="216929BD"/>
    <w:rsid w:val="216DA2EF"/>
    <w:rsid w:val="216F26B0"/>
    <w:rsid w:val="2170AE81"/>
    <w:rsid w:val="217380DB"/>
    <w:rsid w:val="21739FDB"/>
    <w:rsid w:val="21790349"/>
    <w:rsid w:val="217B2294"/>
    <w:rsid w:val="2181B4D2"/>
    <w:rsid w:val="2182A244"/>
    <w:rsid w:val="21841EEB"/>
    <w:rsid w:val="21848549"/>
    <w:rsid w:val="2186CCCD"/>
    <w:rsid w:val="218B7D8A"/>
    <w:rsid w:val="218BEA21"/>
    <w:rsid w:val="218E45A2"/>
    <w:rsid w:val="218F218D"/>
    <w:rsid w:val="218FA3B3"/>
    <w:rsid w:val="2191885F"/>
    <w:rsid w:val="2196E67A"/>
    <w:rsid w:val="219CC793"/>
    <w:rsid w:val="219FEA0E"/>
    <w:rsid w:val="21A1A7C7"/>
    <w:rsid w:val="21A2CF37"/>
    <w:rsid w:val="21A3DE1E"/>
    <w:rsid w:val="21A45B90"/>
    <w:rsid w:val="21A4D831"/>
    <w:rsid w:val="21A9BF02"/>
    <w:rsid w:val="21AA48A5"/>
    <w:rsid w:val="21AD5A33"/>
    <w:rsid w:val="21AD689A"/>
    <w:rsid w:val="21B30797"/>
    <w:rsid w:val="21B401E1"/>
    <w:rsid w:val="21BF2582"/>
    <w:rsid w:val="21BF9BE4"/>
    <w:rsid w:val="21C0D37B"/>
    <w:rsid w:val="21C3BE35"/>
    <w:rsid w:val="21C4146D"/>
    <w:rsid w:val="21C6D2B6"/>
    <w:rsid w:val="21CEA661"/>
    <w:rsid w:val="21CFABCC"/>
    <w:rsid w:val="21D28348"/>
    <w:rsid w:val="21DAA1E6"/>
    <w:rsid w:val="21DB2C4E"/>
    <w:rsid w:val="21DC25F3"/>
    <w:rsid w:val="21E4F92A"/>
    <w:rsid w:val="21E7CCD3"/>
    <w:rsid w:val="21EB9F4B"/>
    <w:rsid w:val="21F5040A"/>
    <w:rsid w:val="21F51A46"/>
    <w:rsid w:val="21F6C211"/>
    <w:rsid w:val="21F7B2A1"/>
    <w:rsid w:val="21F86077"/>
    <w:rsid w:val="21FA850D"/>
    <w:rsid w:val="21FDD2A5"/>
    <w:rsid w:val="21FF6CB1"/>
    <w:rsid w:val="2202E962"/>
    <w:rsid w:val="22094024"/>
    <w:rsid w:val="220B7D7C"/>
    <w:rsid w:val="220F6711"/>
    <w:rsid w:val="2211A0B4"/>
    <w:rsid w:val="221201B7"/>
    <w:rsid w:val="2213D914"/>
    <w:rsid w:val="2213E9CF"/>
    <w:rsid w:val="2214EF27"/>
    <w:rsid w:val="221A9ADD"/>
    <w:rsid w:val="221C6BF8"/>
    <w:rsid w:val="221F840B"/>
    <w:rsid w:val="2220D9EE"/>
    <w:rsid w:val="2220F69F"/>
    <w:rsid w:val="222329AB"/>
    <w:rsid w:val="2223F889"/>
    <w:rsid w:val="222607D9"/>
    <w:rsid w:val="222DAF2C"/>
    <w:rsid w:val="222E816A"/>
    <w:rsid w:val="2232DCA8"/>
    <w:rsid w:val="22331B2A"/>
    <w:rsid w:val="223EB1BA"/>
    <w:rsid w:val="223F60CE"/>
    <w:rsid w:val="22453A65"/>
    <w:rsid w:val="224EF592"/>
    <w:rsid w:val="22509E46"/>
    <w:rsid w:val="22570C33"/>
    <w:rsid w:val="225981EC"/>
    <w:rsid w:val="225F7A41"/>
    <w:rsid w:val="2263F7F4"/>
    <w:rsid w:val="22643B60"/>
    <w:rsid w:val="22645DD8"/>
    <w:rsid w:val="226519B3"/>
    <w:rsid w:val="226A05DA"/>
    <w:rsid w:val="226C3BED"/>
    <w:rsid w:val="226D2294"/>
    <w:rsid w:val="226D939C"/>
    <w:rsid w:val="227088E4"/>
    <w:rsid w:val="2273FF13"/>
    <w:rsid w:val="22745782"/>
    <w:rsid w:val="227C3391"/>
    <w:rsid w:val="228158FE"/>
    <w:rsid w:val="22842DE4"/>
    <w:rsid w:val="22842E9A"/>
    <w:rsid w:val="22843824"/>
    <w:rsid w:val="22863DCA"/>
    <w:rsid w:val="22871C96"/>
    <w:rsid w:val="2289EE65"/>
    <w:rsid w:val="228A097C"/>
    <w:rsid w:val="228A1363"/>
    <w:rsid w:val="228D713C"/>
    <w:rsid w:val="228E8436"/>
    <w:rsid w:val="228F7DF4"/>
    <w:rsid w:val="22903F3D"/>
    <w:rsid w:val="2295B9AE"/>
    <w:rsid w:val="2296999C"/>
    <w:rsid w:val="22983BCA"/>
    <w:rsid w:val="2299F859"/>
    <w:rsid w:val="229CAB9E"/>
    <w:rsid w:val="229DE540"/>
    <w:rsid w:val="229E9B9C"/>
    <w:rsid w:val="22A0EBAA"/>
    <w:rsid w:val="22A3B007"/>
    <w:rsid w:val="22A4A1BE"/>
    <w:rsid w:val="22A692C1"/>
    <w:rsid w:val="22A7CD61"/>
    <w:rsid w:val="22A83258"/>
    <w:rsid w:val="22AD7821"/>
    <w:rsid w:val="22B19BE8"/>
    <w:rsid w:val="22B4A649"/>
    <w:rsid w:val="22B6079F"/>
    <w:rsid w:val="22B7A33B"/>
    <w:rsid w:val="22B81333"/>
    <w:rsid w:val="22B9394D"/>
    <w:rsid w:val="22BD981E"/>
    <w:rsid w:val="22C22178"/>
    <w:rsid w:val="22C8ADDF"/>
    <w:rsid w:val="22C8F7C7"/>
    <w:rsid w:val="22C994AB"/>
    <w:rsid w:val="22CAA410"/>
    <w:rsid w:val="22CCDB70"/>
    <w:rsid w:val="22CD9E29"/>
    <w:rsid w:val="22CDE354"/>
    <w:rsid w:val="22D054E1"/>
    <w:rsid w:val="22D23BCD"/>
    <w:rsid w:val="22D34B45"/>
    <w:rsid w:val="22D445F3"/>
    <w:rsid w:val="22D44DF9"/>
    <w:rsid w:val="22D4787A"/>
    <w:rsid w:val="22D47F45"/>
    <w:rsid w:val="22D4CD41"/>
    <w:rsid w:val="22D64DC8"/>
    <w:rsid w:val="22D9356A"/>
    <w:rsid w:val="22DA0998"/>
    <w:rsid w:val="22DB4336"/>
    <w:rsid w:val="22DDBE48"/>
    <w:rsid w:val="22DE7F32"/>
    <w:rsid w:val="22E35529"/>
    <w:rsid w:val="22E405FF"/>
    <w:rsid w:val="22E9EE1F"/>
    <w:rsid w:val="22ECF12A"/>
    <w:rsid w:val="22F087C7"/>
    <w:rsid w:val="22F48164"/>
    <w:rsid w:val="22F5B0E4"/>
    <w:rsid w:val="22F6867F"/>
    <w:rsid w:val="22F744EB"/>
    <w:rsid w:val="22FA3D0E"/>
    <w:rsid w:val="22FC83D6"/>
    <w:rsid w:val="23008471"/>
    <w:rsid w:val="23024D7F"/>
    <w:rsid w:val="230438B8"/>
    <w:rsid w:val="230713CA"/>
    <w:rsid w:val="230BB83A"/>
    <w:rsid w:val="230C5B84"/>
    <w:rsid w:val="230F85F1"/>
    <w:rsid w:val="230FC6A6"/>
    <w:rsid w:val="2311BE56"/>
    <w:rsid w:val="2311D6A6"/>
    <w:rsid w:val="23122215"/>
    <w:rsid w:val="2312B7BD"/>
    <w:rsid w:val="23145304"/>
    <w:rsid w:val="231477BC"/>
    <w:rsid w:val="2316B7E0"/>
    <w:rsid w:val="2317693D"/>
    <w:rsid w:val="2317FAF8"/>
    <w:rsid w:val="231906FB"/>
    <w:rsid w:val="231ABB88"/>
    <w:rsid w:val="231BF48B"/>
    <w:rsid w:val="2323788A"/>
    <w:rsid w:val="23240CC7"/>
    <w:rsid w:val="23260C93"/>
    <w:rsid w:val="23266FF0"/>
    <w:rsid w:val="23268581"/>
    <w:rsid w:val="2328B51E"/>
    <w:rsid w:val="232A5FC2"/>
    <w:rsid w:val="232B2F29"/>
    <w:rsid w:val="232FA720"/>
    <w:rsid w:val="233246B7"/>
    <w:rsid w:val="233490FA"/>
    <w:rsid w:val="2335B792"/>
    <w:rsid w:val="2336667F"/>
    <w:rsid w:val="2336E29C"/>
    <w:rsid w:val="233A16FE"/>
    <w:rsid w:val="233A4890"/>
    <w:rsid w:val="233C4E26"/>
    <w:rsid w:val="233D07EF"/>
    <w:rsid w:val="233E7EB6"/>
    <w:rsid w:val="233EF592"/>
    <w:rsid w:val="23402168"/>
    <w:rsid w:val="23417ABA"/>
    <w:rsid w:val="234682B8"/>
    <w:rsid w:val="2348A067"/>
    <w:rsid w:val="23497438"/>
    <w:rsid w:val="234A5BCE"/>
    <w:rsid w:val="234AF932"/>
    <w:rsid w:val="234BEAC7"/>
    <w:rsid w:val="234DF2BF"/>
    <w:rsid w:val="23518B66"/>
    <w:rsid w:val="23543452"/>
    <w:rsid w:val="235B88B1"/>
    <w:rsid w:val="235C02AD"/>
    <w:rsid w:val="235C36CA"/>
    <w:rsid w:val="235DCE41"/>
    <w:rsid w:val="235E1A86"/>
    <w:rsid w:val="2360B31C"/>
    <w:rsid w:val="2365DFD6"/>
    <w:rsid w:val="2367B4A3"/>
    <w:rsid w:val="2369E652"/>
    <w:rsid w:val="236A4C40"/>
    <w:rsid w:val="236F064E"/>
    <w:rsid w:val="23716DB1"/>
    <w:rsid w:val="2371BCC3"/>
    <w:rsid w:val="2375C3C8"/>
    <w:rsid w:val="2377455B"/>
    <w:rsid w:val="23783A63"/>
    <w:rsid w:val="237E1220"/>
    <w:rsid w:val="237F43ED"/>
    <w:rsid w:val="23838C96"/>
    <w:rsid w:val="2384BD00"/>
    <w:rsid w:val="23856F00"/>
    <w:rsid w:val="23860710"/>
    <w:rsid w:val="23863B49"/>
    <w:rsid w:val="2386F8C4"/>
    <w:rsid w:val="2389F867"/>
    <w:rsid w:val="238DAFDE"/>
    <w:rsid w:val="23909FD0"/>
    <w:rsid w:val="23928720"/>
    <w:rsid w:val="2392927B"/>
    <w:rsid w:val="2393616A"/>
    <w:rsid w:val="23943381"/>
    <w:rsid w:val="23979822"/>
    <w:rsid w:val="239B6A97"/>
    <w:rsid w:val="239C091E"/>
    <w:rsid w:val="23A07B8F"/>
    <w:rsid w:val="23A178ED"/>
    <w:rsid w:val="23A1AA83"/>
    <w:rsid w:val="23A24984"/>
    <w:rsid w:val="23A4D739"/>
    <w:rsid w:val="23A88FA2"/>
    <w:rsid w:val="23A97286"/>
    <w:rsid w:val="23ABE5F7"/>
    <w:rsid w:val="23B01539"/>
    <w:rsid w:val="23B1F819"/>
    <w:rsid w:val="23B39A81"/>
    <w:rsid w:val="23B5D8A3"/>
    <w:rsid w:val="23B7A036"/>
    <w:rsid w:val="23B7C050"/>
    <w:rsid w:val="23B97986"/>
    <w:rsid w:val="23BB271D"/>
    <w:rsid w:val="23BB9906"/>
    <w:rsid w:val="23BEC54F"/>
    <w:rsid w:val="23C07088"/>
    <w:rsid w:val="23C12CA2"/>
    <w:rsid w:val="23C27555"/>
    <w:rsid w:val="23C84628"/>
    <w:rsid w:val="23C89F7F"/>
    <w:rsid w:val="23CA055A"/>
    <w:rsid w:val="23CE174D"/>
    <w:rsid w:val="23CEF955"/>
    <w:rsid w:val="23D3DF98"/>
    <w:rsid w:val="23D5197A"/>
    <w:rsid w:val="23DDE012"/>
    <w:rsid w:val="23DE99CA"/>
    <w:rsid w:val="23DEDFD1"/>
    <w:rsid w:val="23E12489"/>
    <w:rsid w:val="23E25C50"/>
    <w:rsid w:val="23E4B543"/>
    <w:rsid w:val="23E9BB23"/>
    <w:rsid w:val="23EA795E"/>
    <w:rsid w:val="23EC6D5D"/>
    <w:rsid w:val="23EDB50E"/>
    <w:rsid w:val="23EE517B"/>
    <w:rsid w:val="23EF5B10"/>
    <w:rsid w:val="23EF6321"/>
    <w:rsid w:val="23FBE8D1"/>
    <w:rsid w:val="23FC313F"/>
    <w:rsid w:val="23FDD9B2"/>
    <w:rsid w:val="23FE7869"/>
    <w:rsid w:val="23FEE99D"/>
    <w:rsid w:val="23FEE9AD"/>
    <w:rsid w:val="2400903C"/>
    <w:rsid w:val="2409C399"/>
    <w:rsid w:val="240CD8F8"/>
    <w:rsid w:val="240D9EFF"/>
    <w:rsid w:val="240E543B"/>
    <w:rsid w:val="2411B030"/>
    <w:rsid w:val="241291EB"/>
    <w:rsid w:val="24139CBE"/>
    <w:rsid w:val="2413F0F7"/>
    <w:rsid w:val="24190D57"/>
    <w:rsid w:val="241946B7"/>
    <w:rsid w:val="241B0228"/>
    <w:rsid w:val="2420EE37"/>
    <w:rsid w:val="24215BFE"/>
    <w:rsid w:val="2421DBD9"/>
    <w:rsid w:val="2423C6BE"/>
    <w:rsid w:val="242467BE"/>
    <w:rsid w:val="24260887"/>
    <w:rsid w:val="24286ACB"/>
    <w:rsid w:val="2428C5F9"/>
    <w:rsid w:val="242A0252"/>
    <w:rsid w:val="242B149B"/>
    <w:rsid w:val="242B7C18"/>
    <w:rsid w:val="242C2B6E"/>
    <w:rsid w:val="242DBC03"/>
    <w:rsid w:val="24396996"/>
    <w:rsid w:val="243AA35F"/>
    <w:rsid w:val="243ACF3D"/>
    <w:rsid w:val="244139E3"/>
    <w:rsid w:val="2441DA8F"/>
    <w:rsid w:val="2444AA85"/>
    <w:rsid w:val="24467B05"/>
    <w:rsid w:val="244706E5"/>
    <w:rsid w:val="24498F11"/>
    <w:rsid w:val="244BC548"/>
    <w:rsid w:val="24533F72"/>
    <w:rsid w:val="2454C54F"/>
    <w:rsid w:val="245578BE"/>
    <w:rsid w:val="245BA427"/>
    <w:rsid w:val="245C0108"/>
    <w:rsid w:val="245EF9C8"/>
    <w:rsid w:val="246094C0"/>
    <w:rsid w:val="246280BF"/>
    <w:rsid w:val="24674088"/>
    <w:rsid w:val="24677377"/>
    <w:rsid w:val="24684F57"/>
    <w:rsid w:val="246A98DE"/>
    <w:rsid w:val="246CB0D0"/>
    <w:rsid w:val="246CB783"/>
    <w:rsid w:val="246DDA9B"/>
    <w:rsid w:val="246F3D1F"/>
    <w:rsid w:val="24701C3E"/>
    <w:rsid w:val="247075DD"/>
    <w:rsid w:val="24707D59"/>
    <w:rsid w:val="2471549D"/>
    <w:rsid w:val="24725DCE"/>
    <w:rsid w:val="2474166D"/>
    <w:rsid w:val="24753D76"/>
    <w:rsid w:val="2475CDF4"/>
    <w:rsid w:val="247F4F77"/>
    <w:rsid w:val="2485EA6E"/>
    <w:rsid w:val="248612F4"/>
    <w:rsid w:val="248698F7"/>
    <w:rsid w:val="24882D08"/>
    <w:rsid w:val="248AD79C"/>
    <w:rsid w:val="248F41EC"/>
    <w:rsid w:val="249372DD"/>
    <w:rsid w:val="2494B4A4"/>
    <w:rsid w:val="2494D35A"/>
    <w:rsid w:val="24961549"/>
    <w:rsid w:val="249D3472"/>
    <w:rsid w:val="24A247A7"/>
    <w:rsid w:val="24A39931"/>
    <w:rsid w:val="24A3CFA3"/>
    <w:rsid w:val="24A7ED6A"/>
    <w:rsid w:val="24A80DFD"/>
    <w:rsid w:val="24AA0F6C"/>
    <w:rsid w:val="24ACAB55"/>
    <w:rsid w:val="24AD86DF"/>
    <w:rsid w:val="24B0D426"/>
    <w:rsid w:val="24B1ED72"/>
    <w:rsid w:val="24B2972E"/>
    <w:rsid w:val="24B50E94"/>
    <w:rsid w:val="24B66B4C"/>
    <w:rsid w:val="24B8DE8B"/>
    <w:rsid w:val="24B8EA8C"/>
    <w:rsid w:val="24B96CB4"/>
    <w:rsid w:val="24B9A154"/>
    <w:rsid w:val="24BADD4D"/>
    <w:rsid w:val="24BC65F0"/>
    <w:rsid w:val="24BD0DA4"/>
    <w:rsid w:val="24C2289D"/>
    <w:rsid w:val="24C2BDDB"/>
    <w:rsid w:val="24C6116D"/>
    <w:rsid w:val="24C75AAB"/>
    <w:rsid w:val="24C7895B"/>
    <w:rsid w:val="24C7E3F0"/>
    <w:rsid w:val="24C83182"/>
    <w:rsid w:val="24D21CF0"/>
    <w:rsid w:val="24D21D64"/>
    <w:rsid w:val="24E00600"/>
    <w:rsid w:val="24E31067"/>
    <w:rsid w:val="24E4F07C"/>
    <w:rsid w:val="24EB65C9"/>
    <w:rsid w:val="24EDA22C"/>
    <w:rsid w:val="24F0533F"/>
    <w:rsid w:val="24F1293D"/>
    <w:rsid w:val="24F12F01"/>
    <w:rsid w:val="24F4531E"/>
    <w:rsid w:val="24F4CA08"/>
    <w:rsid w:val="24F4F120"/>
    <w:rsid w:val="24F84FD0"/>
    <w:rsid w:val="24F88546"/>
    <w:rsid w:val="24F9AC8D"/>
    <w:rsid w:val="24FA0C3D"/>
    <w:rsid w:val="24FAA0A4"/>
    <w:rsid w:val="24FB9DC1"/>
    <w:rsid w:val="24FE3BAF"/>
    <w:rsid w:val="24FF5B6F"/>
    <w:rsid w:val="25015949"/>
    <w:rsid w:val="250642EA"/>
    <w:rsid w:val="250CAA94"/>
    <w:rsid w:val="250D6AC2"/>
    <w:rsid w:val="2513C6DB"/>
    <w:rsid w:val="2514107E"/>
    <w:rsid w:val="2514EEB5"/>
    <w:rsid w:val="25153C91"/>
    <w:rsid w:val="2517206C"/>
    <w:rsid w:val="251935CA"/>
    <w:rsid w:val="2519A542"/>
    <w:rsid w:val="251B397F"/>
    <w:rsid w:val="25267642"/>
    <w:rsid w:val="25288F1E"/>
    <w:rsid w:val="252DC7E8"/>
    <w:rsid w:val="252E5E96"/>
    <w:rsid w:val="2533F7E7"/>
    <w:rsid w:val="2536170C"/>
    <w:rsid w:val="253908C8"/>
    <w:rsid w:val="2539501D"/>
    <w:rsid w:val="253A9C71"/>
    <w:rsid w:val="253EFFA9"/>
    <w:rsid w:val="253FD9D4"/>
    <w:rsid w:val="25441A38"/>
    <w:rsid w:val="2544A504"/>
    <w:rsid w:val="2545BC06"/>
    <w:rsid w:val="2547BE22"/>
    <w:rsid w:val="25492FBC"/>
    <w:rsid w:val="254970FB"/>
    <w:rsid w:val="254984E7"/>
    <w:rsid w:val="254A9486"/>
    <w:rsid w:val="2550DEE9"/>
    <w:rsid w:val="2552C5F9"/>
    <w:rsid w:val="25544647"/>
    <w:rsid w:val="2554A787"/>
    <w:rsid w:val="255B17C9"/>
    <w:rsid w:val="255D0904"/>
    <w:rsid w:val="256083C4"/>
    <w:rsid w:val="2561A574"/>
    <w:rsid w:val="25698CF4"/>
    <w:rsid w:val="256AD70D"/>
    <w:rsid w:val="256B70BC"/>
    <w:rsid w:val="256CCDCC"/>
    <w:rsid w:val="2570A48C"/>
    <w:rsid w:val="2573E846"/>
    <w:rsid w:val="25751262"/>
    <w:rsid w:val="2576648B"/>
    <w:rsid w:val="2577627B"/>
    <w:rsid w:val="257D4836"/>
    <w:rsid w:val="257D5EA7"/>
    <w:rsid w:val="257FA4AF"/>
    <w:rsid w:val="25817E0B"/>
    <w:rsid w:val="25831BFD"/>
    <w:rsid w:val="258694D1"/>
    <w:rsid w:val="2587C579"/>
    <w:rsid w:val="25884A45"/>
    <w:rsid w:val="258A409F"/>
    <w:rsid w:val="258CD10B"/>
    <w:rsid w:val="2590E1A9"/>
    <w:rsid w:val="25962650"/>
    <w:rsid w:val="2597E103"/>
    <w:rsid w:val="259B7B83"/>
    <w:rsid w:val="259B8237"/>
    <w:rsid w:val="259EEF4C"/>
    <w:rsid w:val="259FCC52"/>
    <w:rsid w:val="25A03296"/>
    <w:rsid w:val="25A0D036"/>
    <w:rsid w:val="25A16708"/>
    <w:rsid w:val="25A1CCEA"/>
    <w:rsid w:val="25A296F9"/>
    <w:rsid w:val="25A3BA13"/>
    <w:rsid w:val="25A4AA16"/>
    <w:rsid w:val="25A4DD9C"/>
    <w:rsid w:val="25A6CDC4"/>
    <w:rsid w:val="25AB0BB3"/>
    <w:rsid w:val="25ABE583"/>
    <w:rsid w:val="25AD999D"/>
    <w:rsid w:val="25ADD32B"/>
    <w:rsid w:val="25AF3821"/>
    <w:rsid w:val="25B1628A"/>
    <w:rsid w:val="25B2C829"/>
    <w:rsid w:val="25B710F5"/>
    <w:rsid w:val="25B7579D"/>
    <w:rsid w:val="25B87CBF"/>
    <w:rsid w:val="25BF4086"/>
    <w:rsid w:val="25C14C14"/>
    <w:rsid w:val="25C25337"/>
    <w:rsid w:val="25C26682"/>
    <w:rsid w:val="25C27466"/>
    <w:rsid w:val="25C2F968"/>
    <w:rsid w:val="25C436FA"/>
    <w:rsid w:val="25C8CDD8"/>
    <w:rsid w:val="25CACC05"/>
    <w:rsid w:val="25CB8809"/>
    <w:rsid w:val="25CBAA96"/>
    <w:rsid w:val="25CF2DFA"/>
    <w:rsid w:val="25D1C0DC"/>
    <w:rsid w:val="25D20883"/>
    <w:rsid w:val="25D38B53"/>
    <w:rsid w:val="25D3F962"/>
    <w:rsid w:val="25D6CC14"/>
    <w:rsid w:val="25D80C44"/>
    <w:rsid w:val="25E02DB5"/>
    <w:rsid w:val="25E3CC7D"/>
    <w:rsid w:val="25E58D41"/>
    <w:rsid w:val="25E7902D"/>
    <w:rsid w:val="25E8CDA5"/>
    <w:rsid w:val="25EB2DA2"/>
    <w:rsid w:val="25EB4C8F"/>
    <w:rsid w:val="25EB6C9E"/>
    <w:rsid w:val="25EC6A4B"/>
    <w:rsid w:val="25ED1BB6"/>
    <w:rsid w:val="25F2ABFF"/>
    <w:rsid w:val="25F645AE"/>
    <w:rsid w:val="25F74256"/>
    <w:rsid w:val="25F8EABA"/>
    <w:rsid w:val="25F9B616"/>
    <w:rsid w:val="25FA6305"/>
    <w:rsid w:val="260002BB"/>
    <w:rsid w:val="2600F6BB"/>
    <w:rsid w:val="2604B733"/>
    <w:rsid w:val="26081FE0"/>
    <w:rsid w:val="260E45B7"/>
    <w:rsid w:val="26114F36"/>
    <w:rsid w:val="2612AEA9"/>
    <w:rsid w:val="261334DA"/>
    <w:rsid w:val="26143872"/>
    <w:rsid w:val="26159279"/>
    <w:rsid w:val="26166FB9"/>
    <w:rsid w:val="261941B2"/>
    <w:rsid w:val="261D32E1"/>
    <w:rsid w:val="262007FE"/>
    <w:rsid w:val="26206686"/>
    <w:rsid w:val="2621F0FE"/>
    <w:rsid w:val="2624CE33"/>
    <w:rsid w:val="262538CC"/>
    <w:rsid w:val="262661F8"/>
    <w:rsid w:val="2628417D"/>
    <w:rsid w:val="26290E8C"/>
    <w:rsid w:val="2629B347"/>
    <w:rsid w:val="2629E127"/>
    <w:rsid w:val="262ABC62"/>
    <w:rsid w:val="262E4C9F"/>
    <w:rsid w:val="262EC4DA"/>
    <w:rsid w:val="262F837B"/>
    <w:rsid w:val="262F9A34"/>
    <w:rsid w:val="263083B9"/>
    <w:rsid w:val="2632988D"/>
    <w:rsid w:val="2633CF56"/>
    <w:rsid w:val="26341EB9"/>
    <w:rsid w:val="263471CF"/>
    <w:rsid w:val="2637254D"/>
    <w:rsid w:val="26398365"/>
    <w:rsid w:val="263AA380"/>
    <w:rsid w:val="263B5863"/>
    <w:rsid w:val="263D4B5A"/>
    <w:rsid w:val="263E7B54"/>
    <w:rsid w:val="2641894A"/>
    <w:rsid w:val="26437474"/>
    <w:rsid w:val="2646AEDB"/>
    <w:rsid w:val="26470D39"/>
    <w:rsid w:val="264A4CF6"/>
    <w:rsid w:val="264CDD85"/>
    <w:rsid w:val="264DFDA7"/>
    <w:rsid w:val="264E13C8"/>
    <w:rsid w:val="264EBC7E"/>
    <w:rsid w:val="264F0F16"/>
    <w:rsid w:val="2653AF98"/>
    <w:rsid w:val="2656354E"/>
    <w:rsid w:val="265977D7"/>
    <w:rsid w:val="265A2296"/>
    <w:rsid w:val="265D827C"/>
    <w:rsid w:val="26608B00"/>
    <w:rsid w:val="2662662C"/>
    <w:rsid w:val="266425BF"/>
    <w:rsid w:val="26658EBA"/>
    <w:rsid w:val="266619D4"/>
    <w:rsid w:val="266B1340"/>
    <w:rsid w:val="266D30B0"/>
    <w:rsid w:val="2670489B"/>
    <w:rsid w:val="26723E06"/>
    <w:rsid w:val="26748A5B"/>
    <w:rsid w:val="2676F4AB"/>
    <w:rsid w:val="2679A077"/>
    <w:rsid w:val="2679CFF3"/>
    <w:rsid w:val="267B6AC6"/>
    <w:rsid w:val="267D93BD"/>
    <w:rsid w:val="267F3A3D"/>
    <w:rsid w:val="26813EA0"/>
    <w:rsid w:val="26815873"/>
    <w:rsid w:val="26816AEC"/>
    <w:rsid w:val="2684C12B"/>
    <w:rsid w:val="2688872E"/>
    <w:rsid w:val="2688B521"/>
    <w:rsid w:val="26894104"/>
    <w:rsid w:val="268BD83B"/>
    <w:rsid w:val="268D1BDD"/>
    <w:rsid w:val="268E8E5E"/>
    <w:rsid w:val="26948D50"/>
    <w:rsid w:val="26965C40"/>
    <w:rsid w:val="26970CEF"/>
    <w:rsid w:val="26972E66"/>
    <w:rsid w:val="2698431A"/>
    <w:rsid w:val="2698EDDC"/>
    <w:rsid w:val="26992326"/>
    <w:rsid w:val="269957A3"/>
    <w:rsid w:val="26998D5F"/>
    <w:rsid w:val="269E8ABB"/>
    <w:rsid w:val="26A011C3"/>
    <w:rsid w:val="26A03493"/>
    <w:rsid w:val="26A2950A"/>
    <w:rsid w:val="26AB82F7"/>
    <w:rsid w:val="26ABC036"/>
    <w:rsid w:val="26AC7A79"/>
    <w:rsid w:val="26AE8BE1"/>
    <w:rsid w:val="26AEA35B"/>
    <w:rsid w:val="26B101CE"/>
    <w:rsid w:val="26B507AB"/>
    <w:rsid w:val="26BA2B49"/>
    <w:rsid w:val="26C324EE"/>
    <w:rsid w:val="26C342AA"/>
    <w:rsid w:val="26C77826"/>
    <w:rsid w:val="26CBD5E7"/>
    <w:rsid w:val="26CCAD98"/>
    <w:rsid w:val="26CF6351"/>
    <w:rsid w:val="26D3B012"/>
    <w:rsid w:val="26D49A97"/>
    <w:rsid w:val="26D7AC22"/>
    <w:rsid w:val="26D8E547"/>
    <w:rsid w:val="26DC400A"/>
    <w:rsid w:val="26DDC4C9"/>
    <w:rsid w:val="26E47760"/>
    <w:rsid w:val="26E5C6F9"/>
    <w:rsid w:val="26E7F37E"/>
    <w:rsid w:val="26E8779B"/>
    <w:rsid w:val="26E92CAC"/>
    <w:rsid w:val="26EBCD63"/>
    <w:rsid w:val="26F0C2F8"/>
    <w:rsid w:val="26F3B05F"/>
    <w:rsid w:val="26F59B70"/>
    <w:rsid w:val="26F5FCC9"/>
    <w:rsid w:val="26F7D34E"/>
    <w:rsid w:val="26F999C3"/>
    <w:rsid w:val="26FC9493"/>
    <w:rsid w:val="27077FCA"/>
    <w:rsid w:val="2709F4F0"/>
    <w:rsid w:val="270DEBAA"/>
    <w:rsid w:val="2711921E"/>
    <w:rsid w:val="271234A3"/>
    <w:rsid w:val="2713BF59"/>
    <w:rsid w:val="271624BD"/>
    <w:rsid w:val="27181076"/>
    <w:rsid w:val="271B143E"/>
    <w:rsid w:val="271F7904"/>
    <w:rsid w:val="27224CB4"/>
    <w:rsid w:val="27236100"/>
    <w:rsid w:val="27242BE1"/>
    <w:rsid w:val="27264C0C"/>
    <w:rsid w:val="2726BE3E"/>
    <w:rsid w:val="2726E2A2"/>
    <w:rsid w:val="27271B8C"/>
    <w:rsid w:val="2728811F"/>
    <w:rsid w:val="272B73BF"/>
    <w:rsid w:val="272B7F7C"/>
    <w:rsid w:val="272D4C6E"/>
    <w:rsid w:val="272E092D"/>
    <w:rsid w:val="2730A564"/>
    <w:rsid w:val="27311333"/>
    <w:rsid w:val="27315B7E"/>
    <w:rsid w:val="2733BFE7"/>
    <w:rsid w:val="27351C3C"/>
    <w:rsid w:val="2736768E"/>
    <w:rsid w:val="273AEBB2"/>
    <w:rsid w:val="273BCEFB"/>
    <w:rsid w:val="273C9E33"/>
    <w:rsid w:val="273C9F4A"/>
    <w:rsid w:val="273CBE2C"/>
    <w:rsid w:val="273CD159"/>
    <w:rsid w:val="273E3CA9"/>
    <w:rsid w:val="273E9CB8"/>
    <w:rsid w:val="274083E2"/>
    <w:rsid w:val="2740F838"/>
    <w:rsid w:val="2743341E"/>
    <w:rsid w:val="27474251"/>
    <w:rsid w:val="2747B54B"/>
    <w:rsid w:val="2748368E"/>
    <w:rsid w:val="2748A5C9"/>
    <w:rsid w:val="2749613C"/>
    <w:rsid w:val="2749DBD1"/>
    <w:rsid w:val="274A654F"/>
    <w:rsid w:val="274D0AFA"/>
    <w:rsid w:val="27507BB1"/>
    <w:rsid w:val="2750D1A0"/>
    <w:rsid w:val="2750DEBE"/>
    <w:rsid w:val="275316DB"/>
    <w:rsid w:val="27550E2F"/>
    <w:rsid w:val="27552144"/>
    <w:rsid w:val="2758675B"/>
    <w:rsid w:val="275A6624"/>
    <w:rsid w:val="27645257"/>
    <w:rsid w:val="27662D31"/>
    <w:rsid w:val="2766BFC1"/>
    <w:rsid w:val="2767647A"/>
    <w:rsid w:val="2769D14B"/>
    <w:rsid w:val="276E287A"/>
    <w:rsid w:val="276E61E5"/>
    <w:rsid w:val="27712C1E"/>
    <w:rsid w:val="277218C0"/>
    <w:rsid w:val="27743515"/>
    <w:rsid w:val="27753ACF"/>
    <w:rsid w:val="27774F10"/>
    <w:rsid w:val="2787A32A"/>
    <w:rsid w:val="278B65C9"/>
    <w:rsid w:val="278DD653"/>
    <w:rsid w:val="27904B5E"/>
    <w:rsid w:val="27916941"/>
    <w:rsid w:val="2792EFD0"/>
    <w:rsid w:val="2796762C"/>
    <w:rsid w:val="2796B296"/>
    <w:rsid w:val="27992EEC"/>
    <w:rsid w:val="27A20FD2"/>
    <w:rsid w:val="27A3B948"/>
    <w:rsid w:val="27A6BA2B"/>
    <w:rsid w:val="27A6D910"/>
    <w:rsid w:val="27A794F1"/>
    <w:rsid w:val="27A7C58D"/>
    <w:rsid w:val="27B12C0E"/>
    <w:rsid w:val="27B26941"/>
    <w:rsid w:val="27B31DD8"/>
    <w:rsid w:val="27BECC1B"/>
    <w:rsid w:val="27C00D8F"/>
    <w:rsid w:val="27C48B8A"/>
    <w:rsid w:val="27C9CB3E"/>
    <w:rsid w:val="27D0E3A0"/>
    <w:rsid w:val="27D15E2C"/>
    <w:rsid w:val="27D2103E"/>
    <w:rsid w:val="27D42EF7"/>
    <w:rsid w:val="27DDE0F3"/>
    <w:rsid w:val="27DECEAF"/>
    <w:rsid w:val="27E00C51"/>
    <w:rsid w:val="27E17276"/>
    <w:rsid w:val="27E25D5B"/>
    <w:rsid w:val="27E67257"/>
    <w:rsid w:val="27E6DD00"/>
    <w:rsid w:val="27EB6F7C"/>
    <w:rsid w:val="27EC40AA"/>
    <w:rsid w:val="27EE1551"/>
    <w:rsid w:val="27F01BE9"/>
    <w:rsid w:val="27F175E2"/>
    <w:rsid w:val="27F2DBD1"/>
    <w:rsid w:val="27F403A2"/>
    <w:rsid w:val="27F40AEC"/>
    <w:rsid w:val="27F75925"/>
    <w:rsid w:val="27F86652"/>
    <w:rsid w:val="27F9D376"/>
    <w:rsid w:val="27FB521C"/>
    <w:rsid w:val="27FE269E"/>
    <w:rsid w:val="27FF0DFF"/>
    <w:rsid w:val="28018A3A"/>
    <w:rsid w:val="28038013"/>
    <w:rsid w:val="2803D52D"/>
    <w:rsid w:val="280462AC"/>
    <w:rsid w:val="2805C318"/>
    <w:rsid w:val="2806E640"/>
    <w:rsid w:val="28076467"/>
    <w:rsid w:val="2809C03B"/>
    <w:rsid w:val="280DF7C7"/>
    <w:rsid w:val="280EED1D"/>
    <w:rsid w:val="280F2122"/>
    <w:rsid w:val="280F9125"/>
    <w:rsid w:val="28115D90"/>
    <w:rsid w:val="2814A72E"/>
    <w:rsid w:val="2814F8BD"/>
    <w:rsid w:val="28188E6A"/>
    <w:rsid w:val="2818BD63"/>
    <w:rsid w:val="281B49F7"/>
    <w:rsid w:val="281E0726"/>
    <w:rsid w:val="281F0BD5"/>
    <w:rsid w:val="282044A7"/>
    <w:rsid w:val="2823D529"/>
    <w:rsid w:val="2824BBF9"/>
    <w:rsid w:val="28258457"/>
    <w:rsid w:val="28265051"/>
    <w:rsid w:val="2826B9EB"/>
    <w:rsid w:val="2829A4BD"/>
    <w:rsid w:val="282A3D90"/>
    <w:rsid w:val="282A8EF7"/>
    <w:rsid w:val="282B2C4F"/>
    <w:rsid w:val="282E365F"/>
    <w:rsid w:val="282FD516"/>
    <w:rsid w:val="283045A8"/>
    <w:rsid w:val="2831B2AC"/>
    <w:rsid w:val="2833269F"/>
    <w:rsid w:val="283333A3"/>
    <w:rsid w:val="2833B953"/>
    <w:rsid w:val="28357BB5"/>
    <w:rsid w:val="28372914"/>
    <w:rsid w:val="28398FD9"/>
    <w:rsid w:val="283C48EF"/>
    <w:rsid w:val="283CA21F"/>
    <w:rsid w:val="283F050F"/>
    <w:rsid w:val="2840400B"/>
    <w:rsid w:val="28416328"/>
    <w:rsid w:val="2841DFCA"/>
    <w:rsid w:val="2847D571"/>
    <w:rsid w:val="28483374"/>
    <w:rsid w:val="284C2FDF"/>
    <w:rsid w:val="284D4C48"/>
    <w:rsid w:val="284DE3CB"/>
    <w:rsid w:val="284E4AB2"/>
    <w:rsid w:val="284FD454"/>
    <w:rsid w:val="28522A6C"/>
    <w:rsid w:val="2853CA5E"/>
    <w:rsid w:val="2857BE1A"/>
    <w:rsid w:val="285A9158"/>
    <w:rsid w:val="285B9B54"/>
    <w:rsid w:val="285F0E9A"/>
    <w:rsid w:val="2860D5E7"/>
    <w:rsid w:val="2864CC58"/>
    <w:rsid w:val="28652BE5"/>
    <w:rsid w:val="28653EFB"/>
    <w:rsid w:val="28687AB8"/>
    <w:rsid w:val="286B615D"/>
    <w:rsid w:val="286CE33B"/>
    <w:rsid w:val="28705674"/>
    <w:rsid w:val="2877D1DA"/>
    <w:rsid w:val="28798883"/>
    <w:rsid w:val="287B52A5"/>
    <w:rsid w:val="287F6C2A"/>
    <w:rsid w:val="287F8EB1"/>
    <w:rsid w:val="28812E30"/>
    <w:rsid w:val="288486E6"/>
    <w:rsid w:val="2884AD76"/>
    <w:rsid w:val="288808BC"/>
    <w:rsid w:val="288A2663"/>
    <w:rsid w:val="288C0FC6"/>
    <w:rsid w:val="288ED845"/>
    <w:rsid w:val="288FDAB5"/>
    <w:rsid w:val="2892DEF4"/>
    <w:rsid w:val="28947038"/>
    <w:rsid w:val="28968B8B"/>
    <w:rsid w:val="28999C95"/>
    <w:rsid w:val="289B8252"/>
    <w:rsid w:val="289CB674"/>
    <w:rsid w:val="289F9D83"/>
    <w:rsid w:val="289FB7EA"/>
    <w:rsid w:val="28A0E108"/>
    <w:rsid w:val="28A131B6"/>
    <w:rsid w:val="28A4633E"/>
    <w:rsid w:val="28A66F3C"/>
    <w:rsid w:val="28A80688"/>
    <w:rsid w:val="28A8DFD9"/>
    <w:rsid w:val="28AA6E2E"/>
    <w:rsid w:val="28AD2C80"/>
    <w:rsid w:val="28AD8937"/>
    <w:rsid w:val="28ADBDFF"/>
    <w:rsid w:val="28AFD783"/>
    <w:rsid w:val="28B05818"/>
    <w:rsid w:val="28B524CF"/>
    <w:rsid w:val="28B78290"/>
    <w:rsid w:val="28B970D2"/>
    <w:rsid w:val="28BFC85E"/>
    <w:rsid w:val="28C01A82"/>
    <w:rsid w:val="28C088CF"/>
    <w:rsid w:val="28C29025"/>
    <w:rsid w:val="28C39EBC"/>
    <w:rsid w:val="28C609BD"/>
    <w:rsid w:val="28C6CA15"/>
    <w:rsid w:val="28C7ADA0"/>
    <w:rsid w:val="28CD2FA9"/>
    <w:rsid w:val="28CEA1A3"/>
    <w:rsid w:val="28D0919E"/>
    <w:rsid w:val="28D2F9DE"/>
    <w:rsid w:val="28D2FAD5"/>
    <w:rsid w:val="28D7073F"/>
    <w:rsid w:val="28D94A36"/>
    <w:rsid w:val="28D9FFB9"/>
    <w:rsid w:val="28DBBB84"/>
    <w:rsid w:val="28DD0E95"/>
    <w:rsid w:val="28DD2220"/>
    <w:rsid w:val="28DE2C11"/>
    <w:rsid w:val="28DFC1CA"/>
    <w:rsid w:val="28E33118"/>
    <w:rsid w:val="28E55A11"/>
    <w:rsid w:val="28E6FF20"/>
    <w:rsid w:val="28E8EE41"/>
    <w:rsid w:val="28E95DAB"/>
    <w:rsid w:val="28E9E834"/>
    <w:rsid w:val="28EC3C69"/>
    <w:rsid w:val="28EC5E82"/>
    <w:rsid w:val="28EDDEEA"/>
    <w:rsid w:val="28F3C52E"/>
    <w:rsid w:val="28F4F1B9"/>
    <w:rsid w:val="28F69205"/>
    <w:rsid w:val="28F77641"/>
    <w:rsid w:val="28F7AAA1"/>
    <w:rsid w:val="28FB6952"/>
    <w:rsid w:val="28FE0DCB"/>
    <w:rsid w:val="28FE2663"/>
    <w:rsid w:val="2901EB7F"/>
    <w:rsid w:val="290841AA"/>
    <w:rsid w:val="290A9732"/>
    <w:rsid w:val="290F2D0F"/>
    <w:rsid w:val="29121AD2"/>
    <w:rsid w:val="2917F97F"/>
    <w:rsid w:val="29182DDC"/>
    <w:rsid w:val="2919B1AE"/>
    <w:rsid w:val="291F03A6"/>
    <w:rsid w:val="292572F7"/>
    <w:rsid w:val="292636F3"/>
    <w:rsid w:val="29268D4A"/>
    <w:rsid w:val="29277A1A"/>
    <w:rsid w:val="2928F4A4"/>
    <w:rsid w:val="292A909F"/>
    <w:rsid w:val="292BCC0D"/>
    <w:rsid w:val="292CEAC8"/>
    <w:rsid w:val="292CFF33"/>
    <w:rsid w:val="29343A99"/>
    <w:rsid w:val="2935E11F"/>
    <w:rsid w:val="2936CE4C"/>
    <w:rsid w:val="293AEF0A"/>
    <w:rsid w:val="293D4E11"/>
    <w:rsid w:val="293DE5A3"/>
    <w:rsid w:val="293E0F2A"/>
    <w:rsid w:val="29408384"/>
    <w:rsid w:val="2941762E"/>
    <w:rsid w:val="29464A8E"/>
    <w:rsid w:val="2946D448"/>
    <w:rsid w:val="2947D40F"/>
    <w:rsid w:val="2948E43C"/>
    <w:rsid w:val="294A7A21"/>
    <w:rsid w:val="294AF3FA"/>
    <w:rsid w:val="294D8C11"/>
    <w:rsid w:val="295451D6"/>
    <w:rsid w:val="295AACF3"/>
    <w:rsid w:val="29614F18"/>
    <w:rsid w:val="2964507D"/>
    <w:rsid w:val="296A1B63"/>
    <w:rsid w:val="29700FC2"/>
    <w:rsid w:val="29712486"/>
    <w:rsid w:val="2971D6ED"/>
    <w:rsid w:val="297E1931"/>
    <w:rsid w:val="2986304D"/>
    <w:rsid w:val="29870712"/>
    <w:rsid w:val="29895B95"/>
    <w:rsid w:val="298A1773"/>
    <w:rsid w:val="298A47D8"/>
    <w:rsid w:val="298AF77C"/>
    <w:rsid w:val="298D4001"/>
    <w:rsid w:val="298EF289"/>
    <w:rsid w:val="29915658"/>
    <w:rsid w:val="29931595"/>
    <w:rsid w:val="2994C16B"/>
    <w:rsid w:val="29964441"/>
    <w:rsid w:val="299B17AC"/>
    <w:rsid w:val="29A05E26"/>
    <w:rsid w:val="29A27A22"/>
    <w:rsid w:val="29A393AC"/>
    <w:rsid w:val="29A43B3B"/>
    <w:rsid w:val="29A560FE"/>
    <w:rsid w:val="29A5EAFF"/>
    <w:rsid w:val="29A62CEB"/>
    <w:rsid w:val="29A86AD6"/>
    <w:rsid w:val="29ABD4DC"/>
    <w:rsid w:val="29ACE400"/>
    <w:rsid w:val="29AD16F8"/>
    <w:rsid w:val="29AFC725"/>
    <w:rsid w:val="29AFD31D"/>
    <w:rsid w:val="29B16B68"/>
    <w:rsid w:val="29B3C702"/>
    <w:rsid w:val="29B98CED"/>
    <w:rsid w:val="29B9DFC5"/>
    <w:rsid w:val="29BA4189"/>
    <w:rsid w:val="29BCD33C"/>
    <w:rsid w:val="29BF8002"/>
    <w:rsid w:val="29C10C66"/>
    <w:rsid w:val="29C27C2F"/>
    <w:rsid w:val="29C49178"/>
    <w:rsid w:val="29C61447"/>
    <w:rsid w:val="29C7A6A4"/>
    <w:rsid w:val="29D2B1C5"/>
    <w:rsid w:val="29D3B403"/>
    <w:rsid w:val="29D66778"/>
    <w:rsid w:val="29DAF841"/>
    <w:rsid w:val="29DEAB1A"/>
    <w:rsid w:val="29DF3D9B"/>
    <w:rsid w:val="29E4B496"/>
    <w:rsid w:val="29E65FC9"/>
    <w:rsid w:val="29E6D5B3"/>
    <w:rsid w:val="29E6E0E7"/>
    <w:rsid w:val="29EA21D0"/>
    <w:rsid w:val="29EB1A8F"/>
    <w:rsid w:val="29ECFDFE"/>
    <w:rsid w:val="29EFD831"/>
    <w:rsid w:val="29F10267"/>
    <w:rsid w:val="29F147F3"/>
    <w:rsid w:val="29F320B6"/>
    <w:rsid w:val="29F3BBC6"/>
    <w:rsid w:val="29F62C08"/>
    <w:rsid w:val="29F6FB0E"/>
    <w:rsid w:val="29F73D5E"/>
    <w:rsid w:val="29FA2FF1"/>
    <w:rsid w:val="29FCAED8"/>
    <w:rsid w:val="29FCC636"/>
    <w:rsid w:val="29FD817D"/>
    <w:rsid w:val="29FF2A0E"/>
    <w:rsid w:val="2A01908C"/>
    <w:rsid w:val="2A038AC8"/>
    <w:rsid w:val="2A064635"/>
    <w:rsid w:val="2A07840F"/>
    <w:rsid w:val="2A09BE42"/>
    <w:rsid w:val="2A101707"/>
    <w:rsid w:val="2A11F04A"/>
    <w:rsid w:val="2A163A36"/>
    <w:rsid w:val="2A18B202"/>
    <w:rsid w:val="2A1AC076"/>
    <w:rsid w:val="2A1C34B9"/>
    <w:rsid w:val="2A1C43BD"/>
    <w:rsid w:val="2A1C9B57"/>
    <w:rsid w:val="2A1E5635"/>
    <w:rsid w:val="2A23961B"/>
    <w:rsid w:val="2A23B70F"/>
    <w:rsid w:val="2A243A9C"/>
    <w:rsid w:val="2A268F65"/>
    <w:rsid w:val="2A27959D"/>
    <w:rsid w:val="2A2BE0A9"/>
    <w:rsid w:val="2A33E34D"/>
    <w:rsid w:val="2A35288C"/>
    <w:rsid w:val="2A36A62E"/>
    <w:rsid w:val="2A380923"/>
    <w:rsid w:val="2A3FD107"/>
    <w:rsid w:val="2A43A0F3"/>
    <w:rsid w:val="2A43ECE3"/>
    <w:rsid w:val="2A4598CD"/>
    <w:rsid w:val="2A492F74"/>
    <w:rsid w:val="2A4948AE"/>
    <w:rsid w:val="2A49A0BA"/>
    <w:rsid w:val="2A4AD535"/>
    <w:rsid w:val="2A4B4CF6"/>
    <w:rsid w:val="2A4BF735"/>
    <w:rsid w:val="2A4CC4AF"/>
    <w:rsid w:val="2A4FEF45"/>
    <w:rsid w:val="2A5159C7"/>
    <w:rsid w:val="2A5271A6"/>
    <w:rsid w:val="2A52A6C2"/>
    <w:rsid w:val="2A535881"/>
    <w:rsid w:val="2A55A546"/>
    <w:rsid w:val="2A56F05C"/>
    <w:rsid w:val="2A57E5A3"/>
    <w:rsid w:val="2A59F4B1"/>
    <w:rsid w:val="2A5C41BE"/>
    <w:rsid w:val="2A5C758E"/>
    <w:rsid w:val="2A610560"/>
    <w:rsid w:val="2A61B3A4"/>
    <w:rsid w:val="2A62DF03"/>
    <w:rsid w:val="2A66F908"/>
    <w:rsid w:val="2A6D38CB"/>
    <w:rsid w:val="2A6FE724"/>
    <w:rsid w:val="2A708A0D"/>
    <w:rsid w:val="2A71D4F8"/>
    <w:rsid w:val="2A730D80"/>
    <w:rsid w:val="2A79DE01"/>
    <w:rsid w:val="2A7E212B"/>
    <w:rsid w:val="2A7F7302"/>
    <w:rsid w:val="2A80B7BC"/>
    <w:rsid w:val="2A82C506"/>
    <w:rsid w:val="2A84206A"/>
    <w:rsid w:val="2A895D97"/>
    <w:rsid w:val="2A91220A"/>
    <w:rsid w:val="2A9952AA"/>
    <w:rsid w:val="2A9A95B4"/>
    <w:rsid w:val="2A9AC890"/>
    <w:rsid w:val="2A9F0589"/>
    <w:rsid w:val="2AA2E853"/>
    <w:rsid w:val="2AA35A42"/>
    <w:rsid w:val="2AA49E1F"/>
    <w:rsid w:val="2AAB39CA"/>
    <w:rsid w:val="2AABBD28"/>
    <w:rsid w:val="2AB34599"/>
    <w:rsid w:val="2AB4583E"/>
    <w:rsid w:val="2ABA706C"/>
    <w:rsid w:val="2ABABFE5"/>
    <w:rsid w:val="2ABD3B3D"/>
    <w:rsid w:val="2AC140D7"/>
    <w:rsid w:val="2AC2B6FA"/>
    <w:rsid w:val="2AC3BB74"/>
    <w:rsid w:val="2AC6283B"/>
    <w:rsid w:val="2AC79A60"/>
    <w:rsid w:val="2AC81924"/>
    <w:rsid w:val="2AC8E791"/>
    <w:rsid w:val="2AC9862F"/>
    <w:rsid w:val="2ACBD814"/>
    <w:rsid w:val="2ACCD70C"/>
    <w:rsid w:val="2ACD7F8F"/>
    <w:rsid w:val="2ACE1A32"/>
    <w:rsid w:val="2AD1ADE1"/>
    <w:rsid w:val="2AD3A3E5"/>
    <w:rsid w:val="2AD4123F"/>
    <w:rsid w:val="2AD4C823"/>
    <w:rsid w:val="2AD5249A"/>
    <w:rsid w:val="2ADB2214"/>
    <w:rsid w:val="2ADD683A"/>
    <w:rsid w:val="2ADE01D0"/>
    <w:rsid w:val="2ADF9B4D"/>
    <w:rsid w:val="2AE1C17F"/>
    <w:rsid w:val="2AE4ECCF"/>
    <w:rsid w:val="2AE9DB59"/>
    <w:rsid w:val="2AEAFDF0"/>
    <w:rsid w:val="2AF05D3F"/>
    <w:rsid w:val="2AF37E4D"/>
    <w:rsid w:val="2AF75197"/>
    <w:rsid w:val="2AFA5C8F"/>
    <w:rsid w:val="2AFC6754"/>
    <w:rsid w:val="2AFD5192"/>
    <w:rsid w:val="2AFDD530"/>
    <w:rsid w:val="2AFE1BA6"/>
    <w:rsid w:val="2B02948B"/>
    <w:rsid w:val="2B05244E"/>
    <w:rsid w:val="2B06D3A1"/>
    <w:rsid w:val="2B07C77D"/>
    <w:rsid w:val="2B0BA4B5"/>
    <w:rsid w:val="2B0C98AB"/>
    <w:rsid w:val="2B0DECE0"/>
    <w:rsid w:val="2B0E631D"/>
    <w:rsid w:val="2B0F8839"/>
    <w:rsid w:val="2B111C1B"/>
    <w:rsid w:val="2B13DD93"/>
    <w:rsid w:val="2B155B07"/>
    <w:rsid w:val="2B15A9D8"/>
    <w:rsid w:val="2B15DC14"/>
    <w:rsid w:val="2B170DF6"/>
    <w:rsid w:val="2B194532"/>
    <w:rsid w:val="2B197088"/>
    <w:rsid w:val="2B1B304B"/>
    <w:rsid w:val="2B1D6E4C"/>
    <w:rsid w:val="2B2484B4"/>
    <w:rsid w:val="2B299EE8"/>
    <w:rsid w:val="2B2A6654"/>
    <w:rsid w:val="2B2B4103"/>
    <w:rsid w:val="2B2B4A53"/>
    <w:rsid w:val="2B2C8C72"/>
    <w:rsid w:val="2B2CEAB2"/>
    <w:rsid w:val="2B31DBAA"/>
    <w:rsid w:val="2B34213D"/>
    <w:rsid w:val="2B3770C2"/>
    <w:rsid w:val="2B398754"/>
    <w:rsid w:val="2B3AC3C0"/>
    <w:rsid w:val="2B3BE056"/>
    <w:rsid w:val="2B3C5B82"/>
    <w:rsid w:val="2B3E968A"/>
    <w:rsid w:val="2B47082A"/>
    <w:rsid w:val="2B4CECED"/>
    <w:rsid w:val="2B506158"/>
    <w:rsid w:val="2B51F6D8"/>
    <w:rsid w:val="2B5C2B8A"/>
    <w:rsid w:val="2B62F29E"/>
    <w:rsid w:val="2B63F0FC"/>
    <w:rsid w:val="2B66CEDA"/>
    <w:rsid w:val="2B6BB968"/>
    <w:rsid w:val="2B6C227B"/>
    <w:rsid w:val="2B6D44E5"/>
    <w:rsid w:val="2B6EAFB4"/>
    <w:rsid w:val="2B706D68"/>
    <w:rsid w:val="2B7146D7"/>
    <w:rsid w:val="2B73F728"/>
    <w:rsid w:val="2B76C022"/>
    <w:rsid w:val="2B76C489"/>
    <w:rsid w:val="2B788F28"/>
    <w:rsid w:val="2B7C1A82"/>
    <w:rsid w:val="2B7FCBC1"/>
    <w:rsid w:val="2B82DDDA"/>
    <w:rsid w:val="2B85569F"/>
    <w:rsid w:val="2B89B646"/>
    <w:rsid w:val="2B89CF20"/>
    <w:rsid w:val="2B8A76B4"/>
    <w:rsid w:val="2B8CC40B"/>
    <w:rsid w:val="2B8D69D3"/>
    <w:rsid w:val="2B8ECBA9"/>
    <w:rsid w:val="2B918921"/>
    <w:rsid w:val="2B92740E"/>
    <w:rsid w:val="2B94E1E1"/>
    <w:rsid w:val="2B955295"/>
    <w:rsid w:val="2B9624EB"/>
    <w:rsid w:val="2B9642A8"/>
    <w:rsid w:val="2B9A9ECC"/>
    <w:rsid w:val="2B9DFFF1"/>
    <w:rsid w:val="2B9E1CFE"/>
    <w:rsid w:val="2BA0786C"/>
    <w:rsid w:val="2BA0C6D9"/>
    <w:rsid w:val="2BA20424"/>
    <w:rsid w:val="2BA45146"/>
    <w:rsid w:val="2BA6BA3A"/>
    <w:rsid w:val="2BA82305"/>
    <w:rsid w:val="2BA89DEA"/>
    <w:rsid w:val="2BAA7F4D"/>
    <w:rsid w:val="2BACA5B7"/>
    <w:rsid w:val="2BAD4986"/>
    <w:rsid w:val="2BAE187E"/>
    <w:rsid w:val="2BAE30CD"/>
    <w:rsid w:val="2BB23CC6"/>
    <w:rsid w:val="2BB37A0C"/>
    <w:rsid w:val="2BB52C5D"/>
    <w:rsid w:val="2BB6D1FC"/>
    <w:rsid w:val="2BB7DF1F"/>
    <w:rsid w:val="2BB90A48"/>
    <w:rsid w:val="2BBB0020"/>
    <w:rsid w:val="2BBF7D3F"/>
    <w:rsid w:val="2BC10B8E"/>
    <w:rsid w:val="2BC3F08B"/>
    <w:rsid w:val="2BC41ED3"/>
    <w:rsid w:val="2BC5174A"/>
    <w:rsid w:val="2BC77C39"/>
    <w:rsid w:val="2BC8168B"/>
    <w:rsid w:val="2BC8BFD7"/>
    <w:rsid w:val="2BCA945C"/>
    <w:rsid w:val="2BCBA19A"/>
    <w:rsid w:val="2BCCEE4E"/>
    <w:rsid w:val="2BCE9000"/>
    <w:rsid w:val="2BD3BCDC"/>
    <w:rsid w:val="2BD48FA5"/>
    <w:rsid w:val="2BD72EFB"/>
    <w:rsid w:val="2BD9A4E7"/>
    <w:rsid w:val="2BDB2527"/>
    <w:rsid w:val="2BDE4AB1"/>
    <w:rsid w:val="2BDECDEA"/>
    <w:rsid w:val="2BE2DE4D"/>
    <w:rsid w:val="2BE41099"/>
    <w:rsid w:val="2BE5E428"/>
    <w:rsid w:val="2BE75C98"/>
    <w:rsid w:val="2BEC91F7"/>
    <w:rsid w:val="2BEFFB17"/>
    <w:rsid w:val="2BF000A4"/>
    <w:rsid w:val="2BF06E09"/>
    <w:rsid w:val="2BF13F8A"/>
    <w:rsid w:val="2BF484C2"/>
    <w:rsid w:val="2BF6F3EA"/>
    <w:rsid w:val="2BF9DDF7"/>
    <w:rsid w:val="2BFB3980"/>
    <w:rsid w:val="2BFB61FD"/>
    <w:rsid w:val="2BFC9462"/>
    <w:rsid w:val="2BFD9274"/>
    <w:rsid w:val="2BFE1211"/>
    <w:rsid w:val="2BFEDDD6"/>
    <w:rsid w:val="2C03287C"/>
    <w:rsid w:val="2C055990"/>
    <w:rsid w:val="2C0599F3"/>
    <w:rsid w:val="2C0624E2"/>
    <w:rsid w:val="2C0B6940"/>
    <w:rsid w:val="2C0C5A35"/>
    <w:rsid w:val="2C0CFAB8"/>
    <w:rsid w:val="2C0E56B3"/>
    <w:rsid w:val="2C0F0309"/>
    <w:rsid w:val="2C1CED32"/>
    <w:rsid w:val="2C1D8ED0"/>
    <w:rsid w:val="2C1E6B8E"/>
    <w:rsid w:val="2C205442"/>
    <w:rsid w:val="2C21ED7C"/>
    <w:rsid w:val="2C22B7AE"/>
    <w:rsid w:val="2C2633AF"/>
    <w:rsid w:val="2C2AC3FC"/>
    <w:rsid w:val="2C32806C"/>
    <w:rsid w:val="2C3553D8"/>
    <w:rsid w:val="2C375CE8"/>
    <w:rsid w:val="2C377C0D"/>
    <w:rsid w:val="2C38F652"/>
    <w:rsid w:val="2C3B1000"/>
    <w:rsid w:val="2C3D0B9F"/>
    <w:rsid w:val="2C3F5394"/>
    <w:rsid w:val="2C4145C2"/>
    <w:rsid w:val="2C42C844"/>
    <w:rsid w:val="2C45CA76"/>
    <w:rsid w:val="2C46FF5B"/>
    <w:rsid w:val="2C479521"/>
    <w:rsid w:val="2C48C7C6"/>
    <w:rsid w:val="2C5225DA"/>
    <w:rsid w:val="2C537C0B"/>
    <w:rsid w:val="2C56B730"/>
    <w:rsid w:val="2C57767D"/>
    <w:rsid w:val="2C5779D3"/>
    <w:rsid w:val="2C5BFF92"/>
    <w:rsid w:val="2C5E0415"/>
    <w:rsid w:val="2C651B0D"/>
    <w:rsid w:val="2C67AEE7"/>
    <w:rsid w:val="2C68B434"/>
    <w:rsid w:val="2C691F2E"/>
    <w:rsid w:val="2C70BC9A"/>
    <w:rsid w:val="2C76871C"/>
    <w:rsid w:val="2C7AC316"/>
    <w:rsid w:val="2C7CF403"/>
    <w:rsid w:val="2C7EE75F"/>
    <w:rsid w:val="2C819806"/>
    <w:rsid w:val="2C84678F"/>
    <w:rsid w:val="2C857228"/>
    <w:rsid w:val="2C8791FF"/>
    <w:rsid w:val="2C8A25BB"/>
    <w:rsid w:val="2C8C1C90"/>
    <w:rsid w:val="2C8CD874"/>
    <w:rsid w:val="2C8F5A1A"/>
    <w:rsid w:val="2C901061"/>
    <w:rsid w:val="2C908E4E"/>
    <w:rsid w:val="2C918B70"/>
    <w:rsid w:val="2C9AA964"/>
    <w:rsid w:val="2C9C8E14"/>
    <w:rsid w:val="2C9F9B39"/>
    <w:rsid w:val="2CA1F7C6"/>
    <w:rsid w:val="2CA4EFB2"/>
    <w:rsid w:val="2CA6AADA"/>
    <w:rsid w:val="2CA837AC"/>
    <w:rsid w:val="2CA9E67D"/>
    <w:rsid w:val="2CAAD200"/>
    <w:rsid w:val="2CAEB33D"/>
    <w:rsid w:val="2CAF4F9F"/>
    <w:rsid w:val="2CB4E6E2"/>
    <w:rsid w:val="2CB635B1"/>
    <w:rsid w:val="2CB67209"/>
    <w:rsid w:val="2CB71C7A"/>
    <w:rsid w:val="2CB7F568"/>
    <w:rsid w:val="2CB948AA"/>
    <w:rsid w:val="2CBA78CF"/>
    <w:rsid w:val="2CBD8940"/>
    <w:rsid w:val="2CBFA044"/>
    <w:rsid w:val="2CC3E37B"/>
    <w:rsid w:val="2CC4FE10"/>
    <w:rsid w:val="2CC51880"/>
    <w:rsid w:val="2CC7B63C"/>
    <w:rsid w:val="2CCF2737"/>
    <w:rsid w:val="2CCF5F36"/>
    <w:rsid w:val="2CD0787B"/>
    <w:rsid w:val="2CD51EB3"/>
    <w:rsid w:val="2CD84976"/>
    <w:rsid w:val="2CDA98E4"/>
    <w:rsid w:val="2CDC59C0"/>
    <w:rsid w:val="2CE0BE93"/>
    <w:rsid w:val="2CE7F89E"/>
    <w:rsid w:val="2CE8F5F3"/>
    <w:rsid w:val="2CEB555C"/>
    <w:rsid w:val="2CECB5C4"/>
    <w:rsid w:val="2CECFD0C"/>
    <w:rsid w:val="2CED4B0E"/>
    <w:rsid w:val="2CEDC39F"/>
    <w:rsid w:val="2CF3A869"/>
    <w:rsid w:val="2CF5FBD7"/>
    <w:rsid w:val="2CF8DF17"/>
    <w:rsid w:val="2CF8F2C2"/>
    <w:rsid w:val="2CF996D2"/>
    <w:rsid w:val="2CFEA8F7"/>
    <w:rsid w:val="2CFF8C07"/>
    <w:rsid w:val="2D01D63F"/>
    <w:rsid w:val="2D04760C"/>
    <w:rsid w:val="2D0501FC"/>
    <w:rsid w:val="2D075E67"/>
    <w:rsid w:val="2D0BD385"/>
    <w:rsid w:val="2D0C9622"/>
    <w:rsid w:val="2D0C9AC0"/>
    <w:rsid w:val="2D0F53AB"/>
    <w:rsid w:val="2D0FEDEF"/>
    <w:rsid w:val="2D10978C"/>
    <w:rsid w:val="2D12948D"/>
    <w:rsid w:val="2D136501"/>
    <w:rsid w:val="2D13F5A4"/>
    <w:rsid w:val="2D1B7AAB"/>
    <w:rsid w:val="2D1E2192"/>
    <w:rsid w:val="2D20CBAF"/>
    <w:rsid w:val="2D22B90A"/>
    <w:rsid w:val="2D237204"/>
    <w:rsid w:val="2D242AB8"/>
    <w:rsid w:val="2D2866D0"/>
    <w:rsid w:val="2D2B59F0"/>
    <w:rsid w:val="2D2C4619"/>
    <w:rsid w:val="2D2F3732"/>
    <w:rsid w:val="2D2F5368"/>
    <w:rsid w:val="2D31482F"/>
    <w:rsid w:val="2D33501A"/>
    <w:rsid w:val="2D36ABA3"/>
    <w:rsid w:val="2D4445C4"/>
    <w:rsid w:val="2D444DDE"/>
    <w:rsid w:val="2D45AA41"/>
    <w:rsid w:val="2D4A4F1C"/>
    <w:rsid w:val="2D4ED235"/>
    <w:rsid w:val="2D5565B5"/>
    <w:rsid w:val="2D577385"/>
    <w:rsid w:val="2D577F5F"/>
    <w:rsid w:val="2D5930C5"/>
    <w:rsid w:val="2D5FE185"/>
    <w:rsid w:val="2D604E33"/>
    <w:rsid w:val="2D60BA9B"/>
    <w:rsid w:val="2D611836"/>
    <w:rsid w:val="2D64F543"/>
    <w:rsid w:val="2D68BFB5"/>
    <w:rsid w:val="2D6B4101"/>
    <w:rsid w:val="2D6C4072"/>
    <w:rsid w:val="2D6C6BF4"/>
    <w:rsid w:val="2D6D874C"/>
    <w:rsid w:val="2D6F0F02"/>
    <w:rsid w:val="2D73A786"/>
    <w:rsid w:val="2D73AE05"/>
    <w:rsid w:val="2D77345E"/>
    <w:rsid w:val="2D7975D0"/>
    <w:rsid w:val="2D7B37BD"/>
    <w:rsid w:val="2D7C3CA8"/>
    <w:rsid w:val="2D810DF2"/>
    <w:rsid w:val="2D8180B4"/>
    <w:rsid w:val="2D81AB63"/>
    <w:rsid w:val="2D850EA5"/>
    <w:rsid w:val="2D863374"/>
    <w:rsid w:val="2D8678C1"/>
    <w:rsid w:val="2D87BE2B"/>
    <w:rsid w:val="2D8AB608"/>
    <w:rsid w:val="2D8ACC6C"/>
    <w:rsid w:val="2D8AD364"/>
    <w:rsid w:val="2D8C9723"/>
    <w:rsid w:val="2D8D13A5"/>
    <w:rsid w:val="2D934EC6"/>
    <w:rsid w:val="2D943532"/>
    <w:rsid w:val="2D953F0A"/>
    <w:rsid w:val="2D958A67"/>
    <w:rsid w:val="2D95EA62"/>
    <w:rsid w:val="2D96C7A1"/>
    <w:rsid w:val="2D9A57A9"/>
    <w:rsid w:val="2DA38E32"/>
    <w:rsid w:val="2DA3D2CE"/>
    <w:rsid w:val="2DA7B98C"/>
    <w:rsid w:val="2DB0682B"/>
    <w:rsid w:val="2DB105EE"/>
    <w:rsid w:val="2DBCE856"/>
    <w:rsid w:val="2DC043F8"/>
    <w:rsid w:val="2DC26939"/>
    <w:rsid w:val="2DC4420D"/>
    <w:rsid w:val="2DC58B79"/>
    <w:rsid w:val="2DC6DF31"/>
    <w:rsid w:val="2DC6F14F"/>
    <w:rsid w:val="2DC71132"/>
    <w:rsid w:val="2DC84C52"/>
    <w:rsid w:val="2DCCDBC0"/>
    <w:rsid w:val="2DCD8645"/>
    <w:rsid w:val="2DCE50E5"/>
    <w:rsid w:val="2DCE5E11"/>
    <w:rsid w:val="2DD0D1CF"/>
    <w:rsid w:val="2DD3F469"/>
    <w:rsid w:val="2DD41F07"/>
    <w:rsid w:val="2DD81D17"/>
    <w:rsid w:val="2DDA2E48"/>
    <w:rsid w:val="2DDCDE2E"/>
    <w:rsid w:val="2DDD562F"/>
    <w:rsid w:val="2DDE0C31"/>
    <w:rsid w:val="2DDF4AE6"/>
    <w:rsid w:val="2DE0A33F"/>
    <w:rsid w:val="2DE14136"/>
    <w:rsid w:val="2DE516D3"/>
    <w:rsid w:val="2DE6C4D2"/>
    <w:rsid w:val="2DE94891"/>
    <w:rsid w:val="2DEB1B51"/>
    <w:rsid w:val="2DEB6FC3"/>
    <w:rsid w:val="2DEE77F8"/>
    <w:rsid w:val="2DF080A9"/>
    <w:rsid w:val="2DF84A26"/>
    <w:rsid w:val="2DF99507"/>
    <w:rsid w:val="2DFA845A"/>
    <w:rsid w:val="2DFF256D"/>
    <w:rsid w:val="2E041267"/>
    <w:rsid w:val="2E064C2F"/>
    <w:rsid w:val="2E0678CB"/>
    <w:rsid w:val="2E10C133"/>
    <w:rsid w:val="2E12CAA0"/>
    <w:rsid w:val="2E13D203"/>
    <w:rsid w:val="2E1571F6"/>
    <w:rsid w:val="2E160A83"/>
    <w:rsid w:val="2E196498"/>
    <w:rsid w:val="2E1A310A"/>
    <w:rsid w:val="2E21F8B3"/>
    <w:rsid w:val="2E22068C"/>
    <w:rsid w:val="2E235ED0"/>
    <w:rsid w:val="2E23723C"/>
    <w:rsid w:val="2E23F659"/>
    <w:rsid w:val="2E24A059"/>
    <w:rsid w:val="2E25B775"/>
    <w:rsid w:val="2E2699F8"/>
    <w:rsid w:val="2E26DC33"/>
    <w:rsid w:val="2E2F64FC"/>
    <w:rsid w:val="2E36F556"/>
    <w:rsid w:val="2E37EC38"/>
    <w:rsid w:val="2E39C6A7"/>
    <w:rsid w:val="2E39EE9D"/>
    <w:rsid w:val="2E3D71AA"/>
    <w:rsid w:val="2E3DA32B"/>
    <w:rsid w:val="2E3FEF76"/>
    <w:rsid w:val="2E4391B2"/>
    <w:rsid w:val="2E464244"/>
    <w:rsid w:val="2E4731D5"/>
    <w:rsid w:val="2E48F993"/>
    <w:rsid w:val="2E4A8EFD"/>
    <w:rsid w:val="2E4C7052"/>
    <w:rsid w:val="2E4EBFA5"/>
    <w:rsid w:val="2E51606D"/>
    <w:rsid w:val="2E54B98D"/>
    <w:rsid w:val="2E55B698"/>
    <w:rsid w:val="2E568494"/>
    <w:rsid w:val="2E580A6A"/>
    <w:rsid w:val="2E5A4506"/>
    <w:rsid w:val="2E5CCF15"/>
    <w:rsid w:val="2E5DD7A7"/>
    <w:rsid w:val="2E5E139F"/>
    <w:rsid w:val="2E5F604D"/>
    <w:rsid w:val="2E62FFCF"/>
    <w:rsid w:val="2E637486"/>
    <w:rsid w:val="2E64CE35"/>
    <w:rsid w:val="2E6534B8"/>
    <w:rsid w:val="2E69C858"/>
    <w:rsid w:val="2E6A9B4E"/>
    <w:rsid w:val="2E6B5250"/>
    <w:rsid w:val="2E6BE0A0"/>
    <w:rsid w:val="2E6CD8A1"/>
    <w:rsid w:val="2E712DD7"/>
    <w:rsid w:val="2E71A88C"/>
    <w:rsid w:val="2E723443"/>
    <w:rsid w:val="2E72E1F7"/>
    <w:rsid w:val="2E73574B"/>
    <w:rsid w:val="2E747F41"/>
    <w:rsid w:val="2E75415A"/>
    <w:rsid w:val="2E76669C"/>
    <w:rsid w:val="2E78F775"/>
    <w:rsid w:val="2E7A6E01"/>
    <w:rsid w:val="2E7AF80E"/>
    <w:rsid w:val="2E7B49DA"/>
    <w:rsid w:val="2E7D335B"/>
    <w:rsid w:val="2E7D3673"/>
    <w:rsid w:val="2E8329A2"/>
    <w:rsid w:val="2E83CF5A"/>
    <w:rsid w:val="2E89A269"/>
    <w:rsid w:val="2E89B17A"/>
    <w:rsid w:val="2E8A8BA9"/>
    <w:rsid w:val="2E8B0035"/>
    <w:rsid w:val="2E8BE302"/>
    <w:rsid w:val="2E8E410C"/>
    <w:rsid w:val="2E91B95E"/>
    <w:rsid w:val="2E9314C1"/>
    <w:rsid w:val="2E933127"/>
    <w:rsid w:val="2E947023"/>
    <w:rsid w:val="2E96C2D9"/>
    <w:rsid w:val="2E971EFA"/>
    <w:rsid w:val="2E9DC291"/>
    <w:rsid w:val="2E9EEB4B"/>
    <w:rsid w:val="2E9F62F3"/>
    <w:rsid w:val="2E9FD73D"/>
    <w:rsid w:val="2EA1BA0E"/>
    <w:rsid w:val="2EA74D1A"/>
    <w:rsid w:val="2EA82109"/>
    <w:rsid w:val="2EA82214"/>
    <w:rsid w:val="2EA92861"/>
    <w:rsid w:val="2EB117DA"/>
    <w:rsid w:val="2EB197D9"/>
    <w:rsid w:val="2EB26023"/>
    <w:rsid w:val="2EB37786"/>
    <w:rsid w:val="2EB8A749"/>
    <w:rsid w:val="2EBA70BD"/>
    <w:rsid w:val="2EBDCC47"/>
    <w:rsid w:val="2EBE1496"/>
    <w:rsid w:val="2EC02EE3"/>
    <w:rsid w:val="2EC0E6BA"/>
    <w:rsid w:val="2EC13B0B"/>
    <w:rsid w:val="2EC27D1F"/>
    <w:rsid w:val="2EC2A73F"/>
    <w:rsid w:val="2EC4271C"/>
    <w:rsid w:val="2EC49F4D"/>
    <w:rsid w:val="2EC8BBBC"/>
    <w:rsid w:val="2ECBB7A1"/>
    <w:rsid w:val="2ECE4030"/>
    <w:rsid w:val="2ECE4EB0"/>
    <w:rsid w:val="2ECF8571"/>
    <w:rsid w:val="2ED3811F"/>
    <w:rsid w:val="2ED73C4F"/>
    <w:rsid w:val="2ED74A8E"/>
    <w:rsid w:val="2EDACE21"/>
    <w:rsid w:val="2EDB252D"/>
    <w:rsid w:val="2EE2EAD8"/>
    <w:rsid w:val="2EE494B9"/>
    <w:rsid w:val="2EE6B66C"/>
    <w:rsid w:val="2EE6DC3F"/>
    <w:rsid w:val="2EE8E850"/>
    <w:rsid w:val="2EEBF5BF"/>
    <w:rsid w:val="2EF5CB7A"/>
    <w:rsid w:val="2EF9911F"/>
    <w:rsid w:val="2EFA84E1"/>
    <w:rsid w:val="2EFDCC0B"/>
    <w:rsid w:val="2F01CA64"/>
    <w:rsid w:val="2F03BB32"/>
    <w:rsid w:val="2F0B2AC8"/>
    <w:rsid w:val="2F0BB271"/>
    <w:rsid w:val="2F0F2401"/>
    <w:rsid w:val="2F15E70B"/>
    <w:rsid w:val="2F17F6F0"/>
    <w:rsid w:val="2F1D83C6"/>
    <w:rsid w:val="2F1DD089"/>
    <w:rsid w:val="2F1F50A6"/>
    <w:rsid w:val="2F222EF7"/>
    <w:rsid w:val="2F26C1C7"/>
    <w:rsid w:val="2F27531A"/>
    <w:rsid w:val="2F28BD4B"/>
    <w:rsid w:val="2F28D92C"/>
    <w:rsid w:val="2F29244A"/>
    <w:rsid w:val="2F2A0DAE"/>
    <w:rsid w:val="2F2A9623"/>
    <w:rsid w:val="2F2C5F3B"/>
    <w:rsid w:val="2F2CA3A6"/>
    <w:rsid w:val="2F2D091C"/>
    <w:rsid w:val="2F309942"/>
    <w:rsid w:val="2F334B37"/>
    <w:rsid w:val="2F3451F0"/>
    <w:rsid w:val="2F348F1F"/>
    <w:rsid w:val="2F35848C"/>
    <w:rsid w:val="2F381354"/>
    <w:rsid w:val="2F385676"/>
    <w:rsid w:val="2F398C62"/>
    <w:rsid w:val="2F3C9008"/>
    <w:rsid w:val="2F3DA49E"/>
    <w:rsid w:val="2F3E2855"/>
    <w:rsid w:val="2F3E2D85"/>
    <w:rsid w:val="2F3FF000"/>
    <w:rsid w:val="2F411259"/>
    <w:rsid w:val="2F4575C7"/>
    <w:rsid w:val="2F45C188"/>
    <w:rsid w:val="2F45CF72"/>
    <w:rsid w:val="2F47EF98"/>
    <w:rsid w:val="2F48AC6A"/>
    <w:rsid w:val="2F4B3D09"/>
    <w:rsid w:val="2F4FAE07"/>
    <w:rsid w:val="2F52219C"/>
    <w:rsid w:val="2F540642"/>
    <w:rsid w:val="2F57FE10"/>
    <w:rsid w:val="2F5903CD"/>
    <w:rsid w:val="2F5A11C0"/>
    <w:rsid w:val="2F5E830F"/>
    <w:rsid w:val="2F5EC54C"/>
    <w:rsid w:val="2F5F2372"/>
    <w:rsid w:val="2F615939"/>
    <w:rsid w:val="2F61C5DB"/>
    <w:rsid w:val="2F640519"/>
    <w:rsid w:val="2F65B5AA"/>
    <w:rsid w:val="2F664C71"/>
    <w:rsid w:val="2F66C0D5"/>
    <w:rsid w:val="2F67BCCB"/>
    <w:rsid w:val="2F6C6886"/>
    <w:rsid w:val="2F6D1635"/>
    <w:rsid w:val="2F6E0DEB"/>
    <w:rsid w:val="2F78D3FD"/>
    <w:rsid w:val="2F7A910C"/>
    <w:rsid w:val="2F7AC48E"/>
    <w:rsid w:val="2F7B5BB4"/>
    <w:rsid w:val="2F7C9A25"/>
    <w:rsid w:val="2F7DF3DE"/>
    <w:rsid w:val="2F841FD3"/>
    <w:rsid w:val="2F85CDBC"/>
    <w:rsid w:val="2F875D6B"/>
    <w:rsid w:val="2F87CA5A"/>
    <w:rsid w:val="2F899803"/>
    <w:rsid w:val="2F8F2FD8"/>
    <w:rsid w:val="2F9306A1"/>
    <w:rsid w:val="2F94497F"/>
    <w:rsid w:val="2F946A63"/>
    <w:rsid w:val="2F972534"/>
    <w:rsid w:val="2F97A2C0"/>
    <w:rsid w:val="2F9C60AF"/>
    <w:rsid w:val="2F9E31A0"/>
    <w:rsid w:val="2F9F32EC"/>
    <w:rsid w:val="2F9FCDCA"/>
    <w:rsid w:val="2FA08AF0"/>
    <w:rsid w:val="2FA43F38"/>
    <w:rsid w:val="2FA43FB6"/>
    <w:rsid w:val="2FA681D8"/>
    <w:rsid w:val="2FA922FF"/>
    <w:rsid w:val="2FAC7B1E"/>
    <w:rsid w:val="2FB1A094"/>
    <w:rsid w:val="2FB35346"/>
    <w:rsid w:val="2FB42259"/>
    <w:rsid w:val="2FB6C571"/>
    <w:rsid w:val="2FBD6CFE"/>
    <w:rsid w:val="2FC3B2E6"/>
    <w:rsid w:val="2FC3DA01"/>
    <w:rsid w:val="2FCA70F6"/>
    <w:rsid w:val="2FCB7693"/>
    <w:rsid w:val="2FCE3274"/>
    <w:rsid w:val="2FCED01B"/>
    <w:rsid w:val="2FCF82E6"/>
    <w:rsid w:val="2FD1AC88"/>
    <w:rsid w:val="2FD8875F"/>
    <w:rsid w:val="2FDC422F"/>
    <w:rsid w:val="2FDC75D4"/>
    <w:rsid w:val="2FDD5D25"/>
    <w:rsid w:val="2FE0A962"/>
    <w:rsid w:val="2FE0EEF6"/>
    <w:rsid w:val="2FE10C15"/>
    <w:rsid w:val="2FE63931"/>
    <w:rsid w:val="2FEACA05"/>
    <w:rsid w:val="2FECCEA0"/>
    <w:rsid w:val="2FF708F4"/>
    <w:rsid w:val="2FF8B5A0"/>
    <w:rsid w:val="2FF8E98D"/>
    <w:rsid w:val="2FF9E1E1"/>
    <w:rsid w:val="2FFA06B4"/>
    <w:rsid w:val="2FFE1F97"/>
    <w:rsid w:val="2FFF1FEF"/>
    <w:rsid w:val="30030BFE"/>
    <w:rsid w:val="30037AB2"/>
    <w:rsid w:val="300544F8"/>
    <w:rsid w:val="30058C6D"/>
    <w:rsid w:val="30076841"/>
    <w:rsid w:val="3007930B"/>
    <w:rsid w:val="3009ED04"/>
    <w:rsid w:val="3009EDF3"/>
    <w:rsid w:val="300D0700"/>
    <w:rsid w:val="300D09AA"/>
    <w:rsid w:val="30105FAD"/>
    <w:rsid w:val="301209C9"/>
    <w:rsid w:val="3013B4E6"/>
    <w:rsid w:val="30150E07"/>
    <w:rsid w:val="3015485B"/>
    <w:rsid w:val="30167551"/>
    <w:rsid w:val="30174591"/>
    <w:rsid w:val="30188B78"/>
    <w:rsid w:val="301A02A4"/>
    <w:rsid w:val="30223364"/>
    <w:rsid w:val="3023E959"/>
    <w:rsid w:val="3026760E"/>
    <w:rsid w:val="3027FE33"/>
    <w:rsid w:val="30288FE1"/>
    <w:rsid w:val="3029A725"/>
    <w:rsid w:val="302A9190"/>
    <w:rsid w:val="302AAFE6"/>
    <w:rsid w:val="302B6521"/>
    <w:rsid w:val="302D1867"/>
    <w:rsid w:val="302D7104"/>
    <w:rsid w:val="302F0A12"/>
    <w:rsid w:val="3030362B"/>
    <w:rsid w:val="3032DD5D"/>
    <w:rsid w:val="3036668C"/>
    <w:rsid w:val="303733A9"/>
    <w:rsid w:val="303A8CD9"/>
    <w:rsid w:val="303C1C02"/>
    <w:rsid w:val="303D021B"/>
    <w:rsid w:val="304276B6"/>
    <w:rsid w:val="3042B1B6"/>
    <w:rsid w:val="3044F087"/>
    <w:rsid w:val="304873FB"/>
    <w:rsid w:val="30515212"/>
    <w:rsid w:val="3051FFBD"/>
    <w:rsid w:val="30524E8D"/>
    <w:rsid w:val="3056D641"/>
    <w:rsid w:val="3057FECE"/>
    <w:rsid w:val="3058FCEF"/>
    <w:rsid w:val="305BC767"/>
    <w:rsid w:val="305BF02D"/>
    <w:rsid w:val="3062F653"/>
    <w:rsid w:val="30631B9D"/>
    <w:rsid w:val="30648233"/>
    <w:rsid w:val="3064D214"/>
    <w:rsid w:val="306B55D2"/>
    <w:rsid w:val="306CBAA2"/>
    <w:rsid w:val="306D2FA1"/>
    <w:rsid w:val="306F4740"/>
    <w:rsid w:val="30700D9D"/>
    <w:rsid w:val="307295F7"/>
    <w:rsid w:val="30775CB0"/>
    <w:rsid w:val="3078CCC6"/>
    <w:rsid w:val="307AAA98"/>
    <w:rsid w:val="307E801B"/>
    <w:rsid w:val="3082CE3D"/>
    <w:rsid w:val="3084A6DA"/>
    <w:rsid w:val="3084D00E"/>
    <w:rsid w:val="308562A9"/>
    <w:rsid w:val="308B9BFF"/>
    <w:rsid w:val="308E4509"/>
    <w:rsid w:val="308F1D29"/>
    <w:rsid w:val="308F86CF"/>
    <w:rsid w:val="3090B8E5"/>
    <w:rsid w:val="3091C218"/>
    <w:rsid w:val="30923876"/>
    <w:rsid w:val="30925C62"/>
    <w:rsid w:val="30946364"/>
    <w:rsid w:val="30950667"/>
    <w:rsid w:val="3095254A"/>
    <w:rsid w:val="3096285A"/>
    <w:rsid w:val="30972481"/>
    <w:rsid w:val="30976C7B"/>
    <w:rsid w:val="309B0285"/>
    <w:rsid w:val="309B346E"/>
    <w:rsid w:val="309C7C0B"/>
    <w:rsid w:val="309D0668"/>
    <w:rsid w:val="30A1A75F"/>
    <w:rsid w:val="30A6AE5A"/>
    <w:rsid w:val="30B27367"/>
    <w:rsid w:val="30B57705"/>
    <w:rsid w:val="30B9489E"/>
    <w:rsid w:val="30BAF2C9"/>
    <w:rsid w:val="30BFEE89"/>
    <w:rsid w:val="30C16A5F"/>
    <w:rsid w:val="30C34C6B"/>
    <w:rsid w:val="30C61480"/>
    <w:rsid w:val="30C69217"/>
    <w:rsid w:val="30CA6BC5"/>
    <w:rsid w:val="30D37B2D"/>
    <w:rsid w:val="30D6089E"/>
    <w:rsid w:val="30DA13C3"/>
    <w:rsid w:val="30E145A0"/>
    <w:rsid w:val="30E4B0D9"/>
    <w:rsid w:val="30E54A6A"/>
    <w:rsid w:val="30E6CF84"/>
    <w:rsid w:val="30E6FE2B"/>
    <w:rsid w:val="30E76F55"/>
    <w:rsid w:val="30E8AF85"/>
    <w:rsid w:val="30EBCE49"/>
    <w:rsid w:val="30F29CAC"/>
    <w:rsid w:val="30F2CEC5"/>
    <w:rsid w:val="30F35E4A"/>
    <w:rsid w:val="30F3E94C"/>
    <w:rsid w:val="30F45FF3"/>
    <w:rsid w:val="30F77090"/>
    <w:rsid w:val="30FA6843"/>
    <w:rsid w:val="30FE9D8A"/>
    <w:rsid w:val="310104E2"/>
    <w:rsid w:val="3101E3B2"/>
    <w:rsid w:val="310476ED"/>
    <w:rsid w:val="310793CB"/>
    <w:rsid w:val="3108C23F"/>
    <w:rsid w:val="310B736E"/>
    <w:rsid w:val="3114B29E"/>
    <w:rsid w:val="31167F37"/>
    <w:rsid w:val="31171313"/>
    <w:rsid w:val="3118A7F2"/>
    <w:rsid w:val="31194E92"/>
    <w:rsid w:val="311B92B3"/>
    <w:rsid w:val="311BBAF3"/>
    <w:rsid w:val="311D8E53"/>
    <w:rsid w:val="3120A07E"/>
    <w:rsid w:val="31216BA3"/>
    <w:rsid w:val="31229FA6"/>
    <w:rsid w:val="3124DBFB"/>
    <w:rsid w:val="31269680"/>
    <w:rsid w:val="312BD5A5"/>
    <w:rsid w:val="31301071"/>
    <w:rsid w:val="313038D2"/>
    <w:rsid w:val="3130B253"/>
    <w:rsid w:val="31341135"/>
    <w:rsid w:val="31381745"/>
    <w:rsid w:val="313CE196"/>
    <w:rsid w:val="313E24A9"/>
    <w:rsid w:val="31400551"/>
    <w:rsid w:val="314362DE"/>
    <w:rsid w:val="3143AD98"/>
    <w:rsid w:val="3144166D"/>
    <w:rsid w:val="31448CE9"/>
    <w:rsid w:val="31451ED8"/>
    <w:rsid w:val="31472AC1"/>
    <w:rsid w:val="31483606"/>
    <w:rsid w:val="314AA53A"/>
    <w:rsid w:val="314DE168"/>
    <w:rsid w:val="31523BDB"/>
    <w:rsid w:val="31599AD3"/>
    <w:rsid w:val="315AB01F"/>
    <w:rsid w:val="315D399A"/>
    <w:rsid w:val="31625F1F"/>
    <w:rsid w:val="3162733E"/>
    <w:rsid w:val="31634FC7"/>
    <w:rsid w:val="31663371"/>
    <w:rsid w:val="3169CA1E"/>
    <w:rsid w:val="316B31C4"/>
    <w:rsid w:val="316B5B66"/>
    <w:rsid w:val="316EBA4A"/>
    <w:rsid w:val="317248A0"/>
    <w:rsid w:val="31742DB3"/>
    <w:rsid w:val="31759E97"/>
    <w:rsid w:val="31769638"/>
    <w:rsid w:val="317AD09F"/>
    <w:rsid w:val="317BEBC0"/>
    <w:rsid w:val="317D8A61"/>
    <w:rsid w:val="317FB8C4"/>
    <w:rsid w:val="3180EFD7"/>
    <w:rsid w:val="3181980E"/>
    <w:rsid w:val="3182089F"/>
    <w:rsid w:val="3185DE46"/>
    <w:rsid w:val="31871A5C"/>
    <w:rsid w:val="318F2EA5"/>
    <w:rsid w:val="31942BFB"/>
    <w:rsid w:val="31948BF5"/>
    <w:rsid w:val="3196168E"/>
    <w:rsid w:val="319A15EA"/>
    <w:rsid w:val="319AB7CE"/>
    <w:rsid w:val="319CBC03"/>
    <w:rsid w:val="319D37F8"/>
    <w:rsid w:val="319F28B4"/>
    <w:rsid w:val="31A27C05"/>
    <w:rsid w:val="31A66638"/>
    <w:rsid w:val="31A6E073"/>
    <w:rsid w:val="31A6F00C"/>
    <w:rsid w:val="31A78712"/>
    <w:rsid w:val="31A8E033"/>
    <w:rsid w:val="31AD8B75"/>
    <w:rsid w:val="31AE4C7D"/>
    <w:rsid w:val="31AF88B5"/>
    <w:rsid w:val="31B31A5E"/>
    <w:rsid w:val="31B3D128"/>
    <w:rsid w:val="31B9095B"/>
    <w:rsid w:val="31BAB3BF"/>
    <w:rsid w:val="31BC012C"/>
    <w:rsid w:val="31BCD10F"/>
    <w:rsid w:val="31BD1DF5"/>
    <w:rsid w:val="31BD8927"/>
    <w:rsid w:val="31BEEEA6"/>
    <w:rsid w:val="31C15D94"/>
    <w:rsid w:val="31C2D5D0"/>
    <w:rsid w:val="31C4A23E"/>
    <w:rsid w:val="31C53F29"/>
    <w:rsid w:val="31C56743"/>
    <w:rsid w:val="31C63122"/>
    <w:rsid w:val="31C6D864"/>
    <w:rsid w:val="31CACD54"/>
    <w:rsid w:val="31CC3467"/>
    <w:rsid w:val="31CC3B02"/>
    <w:rsid w:val="31CDD220"/>
    <w:rsid w:val="31CE9785"/>
    <w:rsid w:val="31D0FC25"/>
    <w:rsid w:val="31D2567B"/>
    <w:rsid w:val="31D84A77"/>
    <w:rsid w:val="31D8BAC7"/>
    <w:rsid w:val="31D9D4DE"/>
    <w:rsid w:val="31DB217A"/>
    <w:rsid w:val="31DD04B4"/>
    <w:rsid w:val="31DE8F60"/>
    <w:rsid w:val="31E5E73C"/>
    <w:rsid w:val="31E660E7"/>
    <w:rsid w:val="31E6FAA8"/>
    <w:rsid w:val="31E94EFE"/>
    <w:rsid w:val="31E99E55"/>
    <w:rsid w:val="31F57A51"/>
    <w:rsid w:val="31F6BD4A"/>
    <w:rsid w:val="31F792BE"/>
    <w:rsid w:val="31FB383F"/>
    <w:rsid w:val="31FBC409"/>
    <w:rsid w:val="31FE087A"/>
    <w:rsid w:val="3201217D"/>
    <w:rsid w:val="32045008"/>
    <w:rsid w:val="320733AC"/>
    <w:rsid w:val="32073DCA"/>
    <w:rsid w:val="3208BDF5"/>
    <w:rsid w:val="32093F29"/>
    <w:rsid w:val="3209B024"/>
    <w:rsid w:val="320D7A16"/>
    <w:rsid w:val="320DCA15"/>
    <w:rsid w:val="3211617F"/>
    <w:rsid w:val="32130CDD"/>
    <w:rsid w:val="3214847B"/>
    <w:rsid w:val="321F8F9D"/>
    <w:rsid w:val="32203172"/>
    <w:rsid w:val="32222B40"/>
    <w:rsid w:val="32240EDE"/>
    <w:rsid w:val="322430BE"/>
    <w:rsid w:val="3226ED07"/>
    <w:rsid w:val="322B063F"/>
    <w:rsid w:val="322B06D3"/>
    <w:rsid w:val="322BFF1C"/>
    <w:rsid w:val="322C76E5"/>
    <w:rsid w:val="322FBC80"/>
    <w:rsid w:val="32325BA4"/>
    <w:rsid w:val="3235B7ED"/>
    <w:rsid w:val="3235C736"/>
    <w:rsid w:val="3236BD7D"/>
    <w:rsid w:val="3238D086"/>
    <w:rsid w:val="3239D9DC"/>
    <w:rsid w:val="323BEC79"/>
    <w:rsid w:val="323CA164"/>
    <w:rsid w:val="323DBA53"/>
    <w:rsid w:val="323E82C7"/>
    <w:rsid w:val="323FDE85"/>
    <w:rsid w:val="3245C792"/>
    <w:rsid w:val="324D5E3C"/>
    <w:rsid w:val="325733A9"/>
    <w:rsid w:val="3258D3E4"/>
    <w:rsid w:val="32599C4D"/>
    <w:rsid w:val="325A00BE"/>
    <w:rsid w:val="325B880F"/>
    <w:rsid w:val="32600B4A"/>
    <w:rsid w:val="32639BD0"/>
    <w:rsid w:val="3265819B"/>
    <w:rsid w:val="3265AB4A"/>
    <w:rsid w:val="326CB995"/>
    <w:rsid w:val="326E6B57"/>
    <w:rsid w:val="326F3209"/>
    <w:rsid w:val="32704945"/>
    <w:rsid w:val="32710969"/>
    <w:rsid w:val="3276B75A"/>
    <w:rsid w:val="3278E04B"/>
    <w:rsid w:val="3280E568"/>
    <w:rsid w:val="32820729"/>
    <w:rsid w:val="3282A89A"/>
    <w:rsid w:val="3283094B"/>
    <w:rsid w:val="32852243"/>
    <w:rsid w:val="32852B67"/>
    <w:rsid w:val="32859129"/>
    <w:rsid w:val="3286E908"/>
    <w:rsid w:val="328AFA5A"/>
    <w:rsid w:val="328D7001"/>
    <w:rsid w:val="328D7F14"/>
    <w:rsid w:val="328E6CB4"/>
    <w:rsid w:val="328F14FB"/>
    <w:rsid w:val="32909047"/>
    <w:rsid w:val="32912DCE"/>
    <w:rsid w:val="3293DAAE"/>
    <w:rsid w:val="32961215"/>
    <w:rsid w:val="329A55AA"/>
    <w:rsid w:val="329D17A4"/>
    <w:rsid w:val="329DF560"/>
    <w:rsid w:val="32A06E23"/>
    <w:rsid w:val="32A2F020"/>
    <w:rsid w:val="32A6481C"/>
    <w:rsid w:val="32AD04EF"/>
    <w:rsid w:val="32B068B3"/>
    <w:rsid w:val="32B567F0"/>
    <w:rsid w:val="32B70CCC"/>
    <w:rsid w:val="32B71B6B"/>
    <w:rsid w:val="32B95241"/>
    <w:rsid w:val="32BB7AC8"/>
    <w:rsid w:val="32BC9047"/>
    <w:rsid w:val="32C3D24F"/>
    <w:rsid w:val="32D02D14"/>
    <w:rsid w:val="32D04958"/>
    <w:rsid w:val="32D0E612"/>
    <w:rsid w:val="32D2C784"/>
    <w:rsid w:val="32D3190B"/>
    <w:rsid w:val="32D60E36"/>
    <w:rsid w:val="32D61CA6"/>
    <w:rsid w:val="32D6C016"/>
    <w:rsid w:val="32DB3220"/>
    <w:rsid w:val="32E08893"/>
    <w:rsid w:val="32E5CAF0"/>
    <w:rsid w:val="32E69D8F"/>
    <w:rsid w:val="32E80C82"/>
    <w:rsid w:val="32EA45EC"/>
    <w:rsid w:val="32EC8A98"/>
    <w:rsid w:val="32EF531B"/>
    <w:rsid w:val="32EF7A8C"/>
    <w:rsid w:val="32EFCAAA"/>
    <w:rsid w:val="32F449D5"/>
    <w:rsid w:val="32F4C7BC"/>
    <w:rsid w:val="32F98CC8"/>
    <w:rsid w:val="32FBF372"/>
    <w:rsid w:val="32FEC818"/>
    <w:rsid w:val="3308148A"/>
    <w:rsid w:val="3308C136"/>
    <w:rsid w:val="330A551B"/>
    <w:rsid w:val="330C8A52"/>
    <w:rsid w:val="330D240F"/>
    <w:rsid w:val="330F72D0"/>
    <w:rsid w:val="330FA149"/>
    <w:rsid w:val="33103820"/>
    <w:rsid w:val="331341A9"/>
    <w:rsid w:val="33134E5F"/>
    <w:rsid w:val="3314EC7F"/>
    <w:rsid w:val="33161B05"/>
    <w:rsid w:val="3317B0D7"/>
    <w:rsid w:val="3318A767"/>
    <w:rsid w:val="331BA7D2"/>
    <w:rsid w:val="331BB782"/>
    <w:rsid w:val="331C3F6A"/>
    <w:rsid w:val="331D80C4"/>
    <w:rsid w:val="331DBC42"/>
    <w:rsid w:val="331DBEFE"/>
    <w:rsid w:val="33218498"/>
    <w:rsid w:val="33292BB7"/>
    <w:rsid w:val="332EC286"/>
    <w:rsid w:val="332F1E1D"/>
    <w:rsid w:val="3331421E"/>
    <w:rsid w:val="3331E4EC"/>
    <w:rsid w:val="33333100"/>
    <w:rsid w:val="33356AD9"/>
    <w:rsid w:val="3335BE52"/>
    <w:rsid w:val="3336915A"/>
    <w:rsid w:val="3337485B"/>
    <w:rsid w:val="333BA81E"/>
    <w:rsid w:val="333CC208"/>
    <w:rsid w:val="3340E091"/>
    <w:rsid w:val="33467BB5"/>
    <w:rsid w:val="33494AC9"/>
    <w:rsid w:val="334DAB64"/>
    <w:rsid w:val="335257CC"/>
    <w:rsid w:val="33554530"/>
    <w:rsid w:val="33558EBF"/>
    <w:rsid w:val="3355B3B0"/>
    <w:rsid w:val="3359E55B"/>
    <w:rsid w:val="335AB68A"/>
    <w:rsid w:val="335C1833"/>
    <w:rsid w:val="335C4015"/>
    <w:rsid w:val="335E1086"/>
    <w:rsid w:val="335EE4B5"/>
    <w:rsid w:val="335F3B07"/>
    <w:rsid w:val="3360E1C7"/>
    <w:rsid w:val="3360FD47"/>
    <w:rsid w:val="33648AE5"/>
    <w:rsid w:val="336834FC"/>
    <w:rsid w:val="3368C30B"/>
    <w:rsid w:val="336D1F82"/>
    <w:rsid w:val="336E6643"/>
    <w:rsid w:val="33713179"/>
    <w:rsid w:val="33720F97"/>
    <w:rsid w:val="337249AE"/>
    <w:rsid w:val="3376A444"/>
    <w:rsid w:val="3376D1DD"/>
    <w:rsid w:val="337AA240"/>
    <w:rsid w:val="337B7021"/>
    <w:rsid w:val="337C0F75"/>
    <w:rsid w:val="33827676"/>
    <w:rsid w:val="3383D7CE"/>
    <w:rsid w:val="33842D4A"/>
    <w:rsid w:val="33866F9F"/>
    <w:rsid w:val="3388B249"/>
    <w:rsid w:val="3389E29B"/>
    <w:rsid w:val="338CD5B2"/>
    <w:rsid w:val="338E5DE4"/>
    <w:rsid w:val="338F9585"/>
    <w:rsid w:val="3391120E"/>
    <w:rsid w:val="33922E99"/>
    <w:rsid w:val="33952D70"/>
    <w:rsid w:val="33989CD4"/>
    <w:rsid w:val="339943F8"/>
    <w:rsid w:val="339BB0CC"/>
    <w:rsid w:val="339C0A70"/>
    <w:rsid w:val="339C1D93"/>
    <w:rsid w:val="339C9209"/>
    <w:rsid w:val="339CD129"/>
    <w:rsid w:val="339CD204"/>
    <w:rsid w:val="339FB7DB"/>
    <w:rsid w:val="339FCCEB"/>
    <w:rsid w:val="339FE30E"/>
    <w:rsid w:val="33A0323B"/>
    <w:rsid w:val="33A28022"/>
    <w:rsid w:val="33A5047A"/>
    <w:rsid w:val="33A5A6F4"/>
    <w:rsid w:val="33AAD542"/>
    <w:rsid w:val="33AF0DB4"/>
    <w:rsid w:val="33B391C9"/>
    <w:rsid w:val="33B48271"/>
    <w:rsid w:val="33B49E2C"/>
    <w:rsid w:val="33B7DAC9"/>
    <w:rsid w:val="33B7FF74"/>
    <w:rsid w:val="33BC52C8"/>
    <w:rsid w:val="33BE5514"/>
    <w:rsid w:val="33BEE3ED"/>
    <w:rsid w:val="33C251E1"/>
    <w:rsid w:val="33C29E2C"/>
    <w:rsid w:val="33C7191D"/>
    <w:rsid w:val="33C99AE9"/>
    <w:rsid w:val="33CBBF4C"/>
    <w:rsid w:val="33CC58B4"/>
    <w:rsid w:val="33CE127E"/>
    <w:rsid w:val="33CE5042"/>
    <w:rsid w:val="33CF95AD"/>
    <w:rsid w:val="33D13141"/>
    <w:rsid w:val="33D6666B"/>
    <w:rsid w:val="33D674E2"/>
    <w:rsid w:val="33D6E61B"/>
    <w:rsid w:val="33D85071"/>
    <w:rsid w:val="33DA6090"/>
    <w:rsid w:val="33E31301"/>
    <w:rsid w:val="33E48FF6"/>
    <w:rsid w:val="33E800E2"/>
    <w:rsid w:val="33EBCC0F"/>
    <w:rsid w:val="33ED3849"/>
    <w:rsid w:val="33EFB356"/>
    <w:rsid w:val="33F19F4E"/>
    <w:rsid w:val="33F2E10E"/>
    <w:rsid w:val="33F43326"/>
    <w:rsid w:val="33F84B1E"/>
    <w:rsid w:val="33FB83F7"/>
    <w:rsid w:val="33FEFEB0"/>
    <w:rsid w:val="34042AEA"/>
    <w:rsid w:val="3405D733"/>
    <w:rsid w:val="34088564"/>
    <w:rsid w:val="340948AA"/>
    <w:rsid w:val="340B3D0E"/>
    <w:rsid w:val="340C0E6B"/>
    <w:rsid w:val="340C72E8"/>
    <w:rsid w:val="340F292E"/>
    <w:rsid w:val="340F42C9"/>
    <w:rsid w:val="340FF71C"/>
    <w:rsid w:val="3412EAD7"/>
    <w:rsid w:val="3414093B"/>
    <w:rsid w:val="3414DA04"/>
    <w:rsid w:val="34169200"/>
    <w:rsid w:val="34183790"/>
    <w:rsid w:val="341EAB6F"/>
    <w:rsid w:val="341F2782"/>
    <w:rsid w:val="3421F5A8"/>
    <w:rsid w:val="34242D24"/>
    <w:rsid w:val="342579AA"/>
    <w:rsid w:val="342B1564"/>
    <w:rsid w:val="342BA00D"/>
    <w:rsid w:val="342E824E"/>
    <w:rsid w:val="342E897A"/>
    <w:rsid w:val="342FFB45"/>
    <w:rsid w:val="3435E674"/>
    <w:rsid w:val="34384CF8"/>
    <w:rsid w:val="34387967"/>
    <w:rsid w:val="3439E6FC"/>
    <w:rsid w:val="343C504A"/>
    <w:rsid w:val="343DE071"/>
    <w:rsid w:val="3440809F"/>
    <w:rsid w:val="3441C050"/>
    <w:rsid w:val="3447A0E1"/>
    <w:rsid w:val="3448FB3F"/>
    <w:rsid w:val="3449960C"/>
    <w:rsid w:val="3449AED5"/>
    <w:rsid w:val="344AC17F"/>
    <w:rsid w:val="344C5FA2"/>
    <w:rsid w:val="34563574"/>
    <w:rsid w:val="3457894D"/>
    <w:rsid w:val="34597F14"/>
    <w:rsid w:val="345A7B96"/>
    <w:rsid w:val="345FD60B"/>
    <w:rsid w:val="3460F058"/>
    <w:rsid w:val="34620801"/>
    <w:rsid w:val="3462AF22"/>
    <w:rsid w:val="34647B46"/>
    <w:rsid w:val="3467C2C7"/>
    <w:rsid w:val="34687BEC"/>
    <w:rsid w:val="346A71A3"/>
    <w:rsid w:val="346CAA5D"/>
    <w:rsid w:val="346CBFD9"/>
    <w:rsid w:val="346CF110"/>
    <w:rsid w:val="346DC56E"/>
    <w:rsid w:val="3472C970"/>
    <w:rsid w:val="34755DAC"/>
    <w:rsid w:val="347595BB"/>
    <w:rsid w:val="34766F1A"/>
    <w:rsid w:val="3479307A"/>
    <w:rsid w:val="3483F12F"/>
    <w:rsid w:val="3484AA15"/>
    <w:rsid w:val="348BDA00"/>
    <w:rsid w:val="348CDA11"/>
    <w:rsid w:val="348D0A6E"/>
    <w:rsid w:val="348D493F"/>
    <w:rsid w:val="34916D2A"/>
    <w:rsid w:val="349C4581"/>
    <w:rsid w:val="349E3C8E"/>
    <w:rsid w:val="349E5A61"/>
    <w:rsid w:val="34A0E8BC"/>
    <w:rsid w:val="34A2A941"/>
    <w:rsid w:val="34A2E158"/>
    <w:rsid w:val="34A3CB32"/>
    <w:rsid w:val="34A3D7F8"/>
    <w:rsid w:val="34A92ED4"/>
    <w:rsid w:val="34AB02A1"/>
    <w:rsid w:val="34ABF710"/>
    <w:rsid w:val="34AC0D2A"/>
    <w:rsid w:val="34AC577E"/>
    <w:rsid w:val="34AE2072"/>
    <w:rsid w:val="34AE94A2"/>
    <w:rsid w:val="34B18482"/>
    <w:rsid w:val="34B562A1"/>
    <w:rsid w:val="34B63709"/>
    <w:rsid w:val="34B63BF7"/>
    <w:rsid w:val="34C216CC"/>
    <w:rsid w:val="34C3503C"/>
    <w:rsid w:val="34C4D80B"/>
    <w:rsid w:val="34C56202"/>
    <w:rsid w:val="34C6341D"/>
    <w:rsid w:val="34C74407"/>
    <w:rsid w:val="34C83706"/>
    <w:rsid w:val="34C8EBEF"/>
    <w:rsid w:val="34CB4708"/>
    <w:rsid w:val="34CCB4BB"/>
    <w:rsid w:val="34CF32D8"/>
    <w:rsid w:val="34CF4191"/>
    <w:rsid w:val="34CFE22F"/>
    <w:rsid w:val="34D02AE3"/>
    <w:rsid w:val="34D06B08"/>
    <w:rsid w:val="34D1DDC5"/>
    <w:rsid w:val="34D291FB"/>
    <w:rsid w:val="34D30911"/>
    <w:rsid w:val="34D7426B"/>
    <w:rsid w:val="34D7F051"/>
    <w:rsid w:val="34D9A507"/>
    <w:rsid w:val="34DB96A6"/>
    <w:rsid w:val="34DB9A97"/>
    <w:rsid w:val="34DD00FD"/>
    <w:rsid w:val="34DD186F"/>
    <w:rsid w:val="34DD9039"/>
    <w:rsid w:val="34DFB82F"/>
    <w:rsid w:val="34E144E5"/>
    <w:rsid w:val="34E1DB28"/>
    <w:rsid w:val="34E47C53"/>
    <w:rsid w:val="34E724C5"/>
    <w:rsid w:val="34E77248"/>
    <w:rsid w:val="34E7BBC4"/>
    <w:rsid w:val="34EB71D8"/>
    <w:rsid w:val="34EBFB92"/>
    <w:rsid w:val="34EF945D"/>
    <w:rsid w:val="34EFC21F"/>
    <w:rsid w:val="34F292E2"/>
    <w:rsid w:val="34F303BD"/>
    <w:rsid w:val="34F43DC9"/>
    <w:rsid w:val="34F5A630"/>
    <w:rsid w:val="34F9C787"/>
    <w:rsid w:val="34FC2805"/>
    <w:rsid w:val="34FC5AC8"/>
    <w:rsid w:val="34FDABC8"/>
    <w:rsid w:val="34FEF1EA"/>
    <w:rsid w:val="34FFE8B2"/>
    <w:rsid w:val="350447C5"/>
    <w:rsid w:val="35062432"/>
    <w:rsid w:val="3508AE32"/>
    <w:rsid w:val="350A670A"/>
    <w:rsid w:val="350B6B38"/>
    <w:rsid w:val="350E28C9"/>
    <w:rsid w:val="35105E7A"/>
    <w:rsid w:val="3511B6FC"/>
    <w:rsid w:val="351679B7"/>
    <w:rsid w:val="351DE7AD"/>
    <w:rsid w:val="351F2E74"/>
    <w:rsid w:val="3520ECDD"/>
    <w:rsid w:val="35220A22"/>
    <w:rsid w:val="3522FF9F"/>
    <w:rsid w:val="3524961B"/>
    <w:rsid w:val="3524C458"/>
    <w:rsid w:val="3527A9EB"/>
    <w:rsid w:val="352F706D"/>
    <w:rsid w:val="35311FBA"/>
    <w:rsid w:val="3535DEDE"/>
    <w:rsid w:val="35375836"/>
    <w:rsid w:val="353F9B59"/>
    <w:rsid w:val="35459679"/>
    <w:rsid w:val="35460614"/>
    <w:rsid w:val="354BDE57"/>
    <w:rsid w:val="354FB8CE"/>
    <w:rsid w:val="35563623"/>
    <w:rsid w:val="3557E306"/>
    <w:rsid w:val="35580157"/>
    <w:rsid w:val="355841F1"/>
    <w:rsid w:val="35596D19"/>
    <w:rsid w:val="355FA4B0"/>
    <w:rsid w:val="356044CE"/>
    <w:rsid w:val="3561812F"/>
    <w:rsid w:val="35645563"/>
    <w:rsid w:val="3568B6C7"/>
    <w:rsid w:val="35694982"/>
    <w:rsid w:val="3570A6AA"/>
    <w:rsid w:val="3575064B"/>
    <w:rsid w:val="357AEABA"/>
    <w:rsid w:val="357D2D2B"/>
    <w:rsid w:val="35805D1F"/>
    <w:rsid w:val="358184A8"/>
    <w:rsid w:val="3582D6F4"/>
    <w:rsid w:val="35853BC2"/>
    <w:rsid w:val="3589D06E"/>
    <w:rsid w:val="358C7C88"/>
    <w:rsid w:val="358DCBE1"/>
    <w:rsid w:val="35937E5D"/>
    <w:rsid w:val="35951CD4"/>
    <w:rsid w:val="3599F65A"/>
    <w:rsid w:val="359A0EDF"/>
    <w:rsid w:val="359B8300"/>
    <w:rsid w:val="359BAA0B"/>
    <w:rsid w:val="359DD72B"/>
    <w:rsid w:val="359DE1BA"/>
    <w:rsid w:val="35A01077"/>
    <w:rsid w:val="35A7B78C"/>
    <w:rsid w:val="35A97334"/>
    <w:rsid w:val="35ABF8B0"/>
    <w:rsid w:val="35ADF2A4"/>
    <w:rsid w:val="35B426CE"/>
    <w:rsid w:val="35B53036"/>
    <w:rsid w:val="35BB43EA"/>
    <w:rsid w:val="35BF13F9"/>
    <w:rsid w:val="35BFCFDC"/>
    <w:rsid w:val="35C1CA63"/>
    <w:rsid w:val="35C66A9B"/>
    <w:rsid w:val="35CB983E"/>
    <w:rsid w:val="35CBB94E"/>
    <w:rsid w:val="35D48BED"/>
    <w:rsid w:val="35D493B2"/>
    <w:rsid w:val="35D5B2B1"/>
    <w:rsid w:val="35D8FD72"/>
    <w:rsid w:val="35D9EBA9"/>
    <w:rsid w:val="35DA1634"/>
    <w:rsid w:val="35DBAB13"/>
    <w:rsid w:val="35DBEFAB"/>
    <w:rsid w:val="35DCA88B"/>
    <w:rsid w:val="35DF1DC9"/>
    <w:rsid w:val="35E0ED95"/>
    <w:rsid w:val="35E43390"/>
    <w:rsid w:val="35E623D0"/>
    <w:rsid w:val="35EC4B46"/>
    <w:rsid w:val="35F16758"/>
    <w:rsid w:val="35F3749A"/>
    <w:rsid w:val="35F66876"/>
    <w:rsid w:val="35FB1324"/>
    <w:rsid w:val="35FB36AF"/>
    <w:rsid w:val="35FC05F1"/>
    <w:rsid w:val="35FC2199"/>
    <w:rsid w:val="35FD2DB0"/>
    <w:rsid w:val="35FE2520"/>
    <w:rsid w:val="35FEFE81"/>
    <w:rsid w:val="3608AC95"/>
    <w:rsid w:val="360AC5AF"/>
    <w:rsid w:val="360B2BBB"/>
    <w:rsid w:val="360FA1AB"/>
    <w:rsid w:val="36120684"/>
    <w:rsid w:val="3614B9F3"/>
    <w:rsid w:val="36179F07"/>
    <w:rsid w:val="361BE17C"/>
    <w:rsid w:val="361C9ADD"/>
    <w:rsid w:val="361EEE3C"/>
    <w:rsid w:val="3621696D"/>
    <w:rsid w:val="3622A5C7"/>
    <w:rsid w:val="3623860D"/>
    <w:rsid w:val="362992AF"/>
    <w:rsid w:val="362B6A9D"/>
    <w:rsid w:val="362CEF47"/>
    <w:rsid w:val="3632E246"/>
    <w:rsid w:val="3637D5ED"/>
    <w:rsid w:val="36389733"/>
    <w:rsid w:val="363BCCF5"/>
    <w:rsid w:val="363C0184"/>
    <w:rsid w:val="363C3794"/>
    <w:rsid w:val="363E1BB2"/>
    <w:rsid w:val="364383F2"/>
    <w:rsid w:val="3643F505"/>
    <w:rsid w:val="3646DEB9"/>
    <w:rsid w:val="36488C90"/>
    <w:rsid w:val="364D55B2"/>
    <w:rsid w:val="3651805B"/>
    <w:rsid w:val="3652A131"/>
    <w:rsid w:val="36590217"/>
    <w:rsid w:val="365D7963"/>
    <w:rsid w:val="365E7822"/>
    <w:rsid w:val="365EDD35"/>
    <w:rsid w:val="36642923"/>
    <w:rsid w:val="36649D41"/>
    <w:rsid w:val="3664E802"/>
    <w:rsid w:val="3666C779"/>
    <w:rsid w:val="36679799"/>
    <w:rsid w:val="366B933D"/>
    <w:rsid w:val="366BDCF7"/>
    <w:rsid w:val="366CD811"/>
    <w:rsid w:val="366F5170"/>
    <w:rsid w:val="36731186"/>
    <w:rsid w:val="3677383E"/>
    <w:rsid w:val="36774E9C"/>
    <w:rsid w:val="3677AC02"/>
    <w:rsid w:val="3679674F"/>
    <w:rsid w:val="3679C9FD"/>
    <w:rsid w:val="3679EF4D"/>
    <w:rsid w:val="367BB203"/>
    <w:rsid w:val="367BF6DF"/>
    <w:rsid w:val="36810EF0"/>
    <w:rsid w:val="3681EBC2"/>
    <w:rsid w:val="368214CA"/>
    <w:rsid w:val="3684268E"/>
    <w:rsid w:val="36853049"/>
    <w:rsid w:val="3685A7A4"/>
    <w:rsid w:val="3687C036"/>
    <w:rsid w:val="3688A8E0"/>
    <w:rsid w:val="36892EE8"/>
    <w:rsid w:val="3689C04D"/>
    <w:rsid w:val="368B1D34"/>
    <w:rsid w:val="368DFA3A"/>
    <w:rsid w:val="36910C9E"/>
    <w:rsid w:val="3692AE91"/>
    <w:rsid w:val="36958187"/>
    <w:rsid w:val="3695DC69"/>
    <w:rsid w:val="36973020"/>
    <w:rsid w:val="36979A71"/>
    <w:rsid w:val="369827FE"/>
    <w:rsid w:val="369B823E"/>
    <w:rsid w:val="369E041A"/>
    <w:rsid w:val="36A09C31"/>
    <w:rsid w:val="36A25FE4"/>
    <w:rsid w:val="36A2A2D0"/>
    <w:rsid w:val="36A36F6E"/>
    <w:rsid w:val="36A4CFE0"/>
    <w:rsid w:val="36A5DDD5"/>
    <w:rsid w:val="36A71392"/>
    <w:rsid w:val="36A948E6"/>
    <w:rsid w:val="36AD24CC"/>
    <w:rsid w:val="36AFBABD"/>
    <w:rsid w:val="36B14803"/>
    <w:rsid w:val="36B19758"/>
    <w:rsid w:val="36B2F6F0"/>
    <w:rsid w:val="36B3D95B"/>
    <w:rsid w:val="36B7E79A"/>
    <w:rsid w:val="36BAD570"/>
    <w:rsid w:val="36C2D069"/>
    <w:rsid w:val="36C33061"/>
    <w:rsid w:val="36C4EF28"/>
    <w:rsid w:val="36D5ADB4"/>
    <w:rsid w:val="36D7D41B"/>
    <w:rsid w:val="36D84B52"/>
    <w:rsid w:val="36DF7F4E"/>
    <w:rsid w:val="36E06AA5"/>
    <w:rsid w:val="36E2B9A5"/>
    <w:rsid w:val="36E30DA8"/>
    <w:rsid w:val="36E36B82"/>
    <w:rsid w:val="36E55FFE"/>
    <w:rsid w:val="36E798C7"/>
    <w:rsid w:val="36E7D6DC"/>
    <w:rsid w:val="36E9AF40"/>
    <w:rsid w:val="36EFD586"/>
    <w:rsid w:val="36F0323F"/>
    <w:rsid w:val="36F29E63"/>
    <w:rsid w:val="36F6B943"/>
    <w:rsid w:val="36FA9D2D"/>
    <w:rsid w:val="36FC7E20"/>
    <w:rsid w:val="36FD566A"/>
    <w:rsid w:val="36FE64B6"/>
    <w:rsid w:val="37017F61"/>
    <w:rsid w:val="37026D11"/>
    <w:rsid w:val="3702E616"/>
    <w:rsid w:val="3704A433"/>
    <w:rsid w:val="370590D3"/>
    <w:rsid w:val="3707427A"/>
    <w:rsid w:val="37085B95"/>
    <w:rsid w:val="37086454"/>
    <w:rsid w:val="3709D558"/>
    <w:rsid w:val="3709F688"/>
    <w:rsid w:val="370ECA56"/>
    <w:rsid w:val="37111ED2"/>
    <w:rsid w:val="371196E7"/>
    <w:rsid w:val="3711CFBE"/>
    <w:rsid w:val="3712D09D"/>
    <w:rsid w:val="37168E4C"/>
    <w:rsid w:val="371A5C68"/>
    <w:rsid w:val="371C1704"/>
    <w:rsid w:val="371D4BC4"/>
    <w:rsid w:val="371F61BA"/>
    <w:rsid w:val="3720AD8B"/>
    <w:rsid w:val="3721EE2D"/>
    <w:rsid w:val="37280F85"/>
    <w:rsid w:val="372C8EFA"/>
    <w:rsid w:val="372E6B28"/>
    <w:rsid w:val="373526BF"/>
    <w:rsid w:val="373A0EA2"/>
    <w:rsid w:val="373AB409"/>
    <w:rsid w:val="373E6A02"/>
    <w:rsid w:val="373E97E4"/>
    <w:rsid w:val="3741247D"/>
    <w:rsid w:val="3745C7FD"/>
    <w:rsid w:val="374F9231"/>
    <w:rsid w:val="3750CBD5"/>
    <w:rsid w:val="37552616"/>
    <w:rsid w:val="3758221C"/>
    <w:rsid w:val="3758B037"/>
    <w:rsid w:val="3759190B"/>
    <w:rsid w:val="375C676D"/>
    <w:rsid w:val="375D45A5"/>
    <w:rsid w:val="375DAF8F"/>
    <w:rsid w:val="375E839E"/>
    <w:rsid w:val="376325AB"/>
    <w:rsid w:val="37632E07"/>
    <w:rsid w:val="3763B526"/>
    <w:rsid w:val="3764EC7B"/>
    <w:rsid w:val="37675DF9"/>
    <w:rsid w:val="3768D279"/>
    <w:rsid w:val="376A6E12"/>
    <w:rsid w:val="376B8C42"/>
    <w:rsid w:val="376E014F"/>
    <w:rsid w:val="376EBE2B"/>
    <w:rsid w:val="376EF7A3"/>
    <w:rsid w:val="3772B6C0"/>
    <w:rsid w:val="3776B6E9"/>
    <w:rsid w:val="3778E41A"/>
    <w:rsid w:val="37794348"/>
    <w:rsid w:val="377A5145"/>
    <w:rsid w:val="377ED59E"/>
    <w:rsid w:val="378003EA"/>
    <w:rsid w:val="378506B6"/>
    <w:rsid w:val="3786F4EA"/>
    <w:rsid w:val="3787857A"/>
    <w:rsid w:val="3787C28A"/>
    <w:rsid w:val="3788826A"/>
    <w:rsid w:val="3789186B"/>
    <w:rsid w:val="378A4F77"/>
    <w:rsid w:val="378B9166"/>
    <w:rsid w:val="378BE1ED"/>
    <w:rsid w:val="378FF768"/>
    <w:rsid w:val="37901CFB"/>
    <w:rsid w:val="37918D34"/>
    <w:rsid w:val="37940FB4"/>
    <w:rsid w:val="37948724"/>
    <w:rsid w:val="37951F5A"/>
    <w:rsid w:val="3796C1E1"/>
    <w:rsid w:val="379844F8"/>
    <w:rsid w:val="37988E2F"/>
    <w:rsid w:val="3798B592"/>
    <w:rsid w:val="3799F420"/>
    <w:rsid w:val="379D18EA"/>
    <w:rsid w:val="379E16BB"/>
    <w:rsid w:val="379FB5F9"/>
    <w:rsid w:val="37A3EFFC"/>
    <w:rsid w:val="37A4EEE1"/>
    <w:rsid w:val="37A6AFFC"/>
    <w:rsid w:val="37A7524C"/>
    <w:rsid w:val="37A96E58"/>
    <w:rsid w:val="37AF3B11"/>
    <w:rsid w:val="37B0D4E8"/>
    <w:rsid w:val="37B258D3"/>
    <w:rsid w:val="37B41A13"/>
    <w:rsid w:val="37B52BF8"/>
    <w:rsid w:val="37B5D451"/>
    <w:rsid w:val="37B97C34"/>
    <w:rsid w:val="37BB0A2E"/>
    <w:rsid w:val="37BBA549"/>
    <w:rsid w:val="37BC2E97"/>
    <w:rsid w:val="37BD1F16"/>
    <w:rsid w:val="37BE23D3"/>
    <w:rsid w:val="37C545EF"/>
    <w:rsid w:val="37C6B4B2"/>
    <w:rsid w:val="37C73B86"/>
    <w:rsid w:val="37C8A792"/>
    <w:rsid w:val="37C99309"/>
    <w:rsid w:val="37CECE6A"/>
    <w:rsid w:val="37CFDC4D"/>
    <w:rsid w:val="37D12A48"/>
    <w:rsid w:val="37D26AFB"/>
    <w:rsid w:val="37D3C87F"/>
    <w:rsid w:val="37D4C4B3"/>
    <w:rsid w:val="37D5A263"/>
    <w:rsid w:val="37D95256"/>
    <w:rsid w:val="37DAD8C1"/>
    <w:rsid w:val="37DBEC4D"/>
    <w:rsid w:val="37DDD746"/>
    <w:rsid w:val="37DE92DF"/>
    <w:rsid w:val="37DF48DD"/>
    <w:rsid w:val="37E113FB"/>
    <w:rsid w:val="37E3E615"/>
    <w:rsid w:val="37E4BE6D"/>
    <w:rsid w:val="37E80AD5"/>
    <w:rsid w:val="37ED84CC"/>
    <w:rsid w:val="37F0A414"/>
    <w:rsid w:val="37F0B2A5"/>
    <w:rsid w:val="37F29BED"/>
    <w:rsid w:val="37F4DD7C"/>
    <w:rsid w:val="37F5F246"/>
    <w:rsid w:val="37F74E4A"/>
    <w:rsid w:val="37FD7F71"/>
    <w:rsid w:val="3801582C"/>
    <w:rsid w:val="38016362"/>
    <w:rsid w:val="38019454"/>
    <w:rsid w:val="3804BE5B"/>
    <w:rsid w:val="38068A98"/>
    <w:rsid w:val="38072FD7"/>
    <w:rsid w:val="380B86BF"/>
    <w:rsid w:val="380D9B0C"/>
    <w:rsid w:val="38103C87"/>
    <w:rsid w:val="381156B6"/>
    <w:rsid w:val="3812BE5E"/>
    <w:rsid w:val="38167309"/>
    <w:rsid w:val="381A61A8"/>
    <w:rsid w:val="381B6429"/>
    <w:rsid w:val="381CAD12"/>
    <w:rsid w:val="381CB99F"/>
    <w:rsid w:val="38258D00"/>
    <w:rsid w:val="38260929"/>
    <w:rsid w:val="382833B6"/>
    <w:rsid w:val="382A9F67"/>
    <w:rsid w:val="382CA2B2"/>
    <w:rsid w:val="382CFBE5"/>
    <w:rsid w:val="382F9FE7"/>
    <w:rsid w:val="3830037D"/>
    <w:rsid w:val="38362441"/>
    <w:rsid w:val="38390F6A"/>
    <w:rsid w:val="383A2BDB"/>
    <w:rsid w:val="383D147D"/>
    <w:rsid w:val="38407F18"/>
    <w:rsid w:val="38498CDD"/>
    <w:rsid w:val="384A8DB4"/>
    <w:rsid w:val="384C8186"/>
    <w:rsid w:val="3851CD0D"/>
    <w:rsid w:val="38548F48"/>
    <w:rsid w:val="3856980D"/>
    <w:rsid w:val="3858A7B1"/>
    <w:rsid w:val="385A02D2"/>
    <w:rsid w:val="385E38EB"/>
    <w:rsid w:val="385EBE84"/>
    <w:rsid w:val="3860D638"/>
    <w:rsid w:val="38640CE1"/>
    <w:rsid w:val="38671820"/>
    <w:rsid w:val="386724F6"/>
    <w:rsid w:val="386B032A"/>
    <w:rsid w:val="386B5DE6"/>
    <w:rsid w:val="386D61CA"/>
    <w:rsid w:val="387831E5"/>
    <w:rsid w:val="38784A25"/>
    <w:rsid w:val="387A3EF0"/>
    <w:rsid w:val="387CFDD0"/>
    <w:rsid w:val="387D32ED"/>
    <w:rsid w:val="387D38B9"/>
    <w:rsid w:val="387EB461"/>
    <w:rsid w:val="387F6D99"/>
    <w:rsid w:val="387F7029"/>
    <w:rsid w:val="388052C9"/>
    <w:rsid w:val="388524C4"/>
    <w:rsid w:val="38859B8B"/>
    <w:rsid w:val="388CDA2C"/>
    <w:rsid w:val="388E62F2"/>
    <w:rsid w:val="389090F3"/>
    <w:rsid w:val="38938CBB"/>
    <w:rsid w:val="3893B28F"/>
    <w:rsid w:val="3895C1AD"/>
    <w:rsid w:val="389B74A0"/>
    <w:rsid w:val="389BB4D1"/>
    <w:rsid w:val="389E527B"/>
    <w:rsid w:val="38A084E1"/>
    <w:rsid w:val="38A09EB6"/>
    <w:rsid w:val="38A34FC4"/>
    <w:rsid w:val="38A44496"/>
    <w:rsid w:val="38A99337"/>
    <w:rsid w:val="38AA7436"/>
    <w:rsid w:val="38AAE8B5"/>
    <w:rsid w:val="38AB1802"/>
    <w:rsid w:val="38ABEC6C"/>
    <w:rsid w:val="38AC0A38"/>
    <w:rsid w:val="38AD2EC1"/>
    <w:rsid w:val="38AD3C78"/>
    <w:rsid w:val="38AED1BE"/>
    <w:rsid w:val="38B22F60"/>
    <w:rsid w:val="38B6923D"/>
    <w:rsid w:val="38B69EED"/>
    <w:rsid w:val="38B89BF9"/>
    <w:rsid w:val="38B9E9C8"/>
    <w:rsid w:val="38C4D039"/>
    <w:rsid w:val="38C97F79"/>
    <w:rsid w:val="38CBE7D5"/>
    <w:rsid w:val="38CC2F7D"/>
    <w:rsid w:val="38CCB58D"/>
    <w:rsid w:val="38D10166"/>
    <w:rsid w:val="38D18265"/>
    <w:rsid w:val="38D1B54C"/>
    <w:rsid w:val="38D36B8A"/>
    <w:rsid w:val="38D9FFAE"/>
    <w:rsid w:val="38DA2C0B"/>
    <w:rsid w:val="38DA9EA7"/>
    <w:rsid w:val="38DAEAF1"/>
    <w:rsid w:val="38DC7854"/>
    <w:rsid w:val="38DD037D"/>
    <w:rsid w:val="38DD330F"/>
    <w:rsid w:val="38DE5C7B"/>
    <w:rsid w:val="38DE7DFF"/>
    <w:rsid w:val="38E2AA0A"/>
    <w:rsid w:val="38E9F84C"/>
    <w:rsid w:val="38EAD622"/>
    <w:rsid w:val="38ED0058"/>
    <w:rsid w:val="38EFBE4C"/>
    <w:rsid w:val="38F01242"/>
    <w:rsid w:val="38F130F3"/>
    <w:rsid w:val="38F134D1"/>
    <w:rsid w:val="38F1C56E"/>
    <w:rsid w:val="38F4EEB5"/>
    <w:rsid w:val="38F772BC"/>
    <w:rsid w:val="38F8A601"/>
    <w:rsid w:val="38FFC1DD"/>
    <w:rsid w:val="3900E8D7"/>
    <w:rsid w:val="39013E3F"/>
    <w:rsid w:val="3901F6F3"/>
    <w:rsid w:val="39033F05"/>
    <w:rsid w:val="3903C23A"/>
    <w:rsid w:val="39067121"/>
    <w:rsid w:val="39080C06"/>
    <w:rsid w:val="39090659"/>
    <w:rsid w:val="390A4B26"/>
    <w:rsid w:val="390A7353"/>
    <w:rsid w:val="390BD32C"/>
    <w:rsid w:val="390D07A0"/>
    <w:rsid w:val="391793C0"/>
    <w:rsid w:val="3918645A"/>
    <w:rsid w:val="391A4810"/>
    <w:rsid w:val="391A9C5D"/>
    <w:rsid w:val="391F9066"/>
    <w:rsid w:val="3920A48E"/>
    <w:rsid w:val="3920E4AF"/>
    <w:rsid w:val="3921A8C9"/>
    <w:rsid w:val="392485E1"/>
    <w:rsid w:val="3924B79B"/>
    <w:rsid w:val="3924BFCB"/>
    <w:rsid w:val="3927A3A6"/>
    <w:rsid w:val="392849DB"/>
    <w:rsid w:val="39289619"/>
    <w:rsid w:val="392AD69E"/>
    <w:rsid w:val="39303E0F"/>
    <w:rsid w:val="39344506"/>
    <w:rsid w:val="39361281"/>
    <w:rsid w:val="39362BB9"/>
    <w:rsid w:val="3936B272"/>
    <w:rsid w:val="39387097"/>
    <w:rsid w:val="3938B614"/>
    <w:rsid w:val="393920C4"/>
    <w:rsid w:val="393AC488"/>
    <w:rsid w:val="393E5E73"/>
    <w:rsid w:val="393EC1A2"/>
    <w:rsid w:val="393F383B"/>
    <w:rsid w:val="39437528"/>
    <w:rsid w:val="394451BA"/>
    <w:rsid w:val="39465A8B"/>
    <w:rsid w:val="3947F3E5"/>
    <w:rsid w:val="39483213"/>
    <w:rsid w:val="394A2FAE"/>
    <w:rsid w:val="394BDC95"/>
    <w:rsid w:val="395317A6"/>
    <w:rsid w:val="39542372"/>
    <w:rsid w:val="39581980"/>
    <w:rsid w:val="395AA0B8"/>
    <w:rsid w:val="39633CD2"/>
    <w:rsid w:val="3963BDD6"/>
    <w:rsid w:val="3965C959"/>
    <w:rsid w:val="39673E7D"/>
    <w:rsid w:val="39699AAC"/>
    <w:rsid w:val="396AB74A"/>
    <w:rsid w:val="396F5A75"/>
    <w:rsid w:val="396F75E9"/>
    <w:rsid w:val="39715419"/>
    <w:rsid w:val="3973F8C6"/>
    <w:rsid w:val="397A145E"/>
    <w:rsid w:val="397F4955"/>
    <w:rsid w:val="3982C81E"/>
    <w:rsid w:val="39847243"/>
    <w:rsid w:val="3984E145"/>
    <w:rsid w:val="39862769"/>
    <w:rsid w:val="398804BF"/>
    <w:rsid w:val="3988E17A"/>
    <w:rsid w:val="3989955D"/>
    <w:rsid w:val="39899B07"/>
    <w:rsid w:val="3990AFFA"/>
    <w:rsid w:val="3993512A"/>
    <w:rsid w:val="3994A110"/>
    <w:rsid w:val="3994DBD1"/>
    <w:rsid w:val="399B8CFA"/>
    <w:rsid w:val="399DC8BB"/>
    <w:rsid w:val="399FDB3C"/>
    <w:rsid w:val="39A01162"/>
    <w:rsid w:val="39A06CBB"/>
    <w:rsid w:val="39A10F4B"/>
    <w:rsid w:val="39A2CA73"/>
    <w:rsid w:val="39A96363"/>
    <w:rsid w:val="39AA4CC1"/>
    <w:rsid w:val="39AE9340"/>
    <w:rsid w:val="39B412BB"/>
    <w:rsid w:val="39B6462C"/>
    <w:rsid w:val="39B6FED2"/>
    <w:rsid w:val="39B86C7C"/>
    <w:rsid w:val="39B8B8EC"/>
    <w:rsid w:val="39C11598"/>
    <w:rsid w:val="39C2EEAA"/>
    <w:rsid w:val="39C4A48F"/>
    <w:rsid w:val="39C78AE5"/>
    <w:rsid w:val="39C833A1"/>
    <w:rsid w:val="39CBCA92"/>
    <w:rsid w:val="39CC303C"/>
    <w:rsid w:val="39D4A3F3"/>
    <w:rsid w:val="39D637FD"/>
    <w:rsid w:val="39D88A2E"/>
    <w:rsid w:val="39D90174"/>
    <w:rsid w:val="39DA8E9D"/>
    <w:rsid w:val="39DB57CE"/>
    <w:rsid w:val="39DF4749"/>
    <w:rsid w:val="39E39CAC"/>
    <w:rsid w:val="39E3B934"/>
    <w:rsid w:val="39E8FA72"/>
    <w:rsid w:val="39EBAFE2"/>
    <w:rsid w:val="39ECCEFD"/>
    <w:rsid w:val="39EEDBF7"/>
    <w:rsid w:val="39EFC520"/>
    <w:rsid w:val="39F41FC1"/>
    <w:rsid w:val="39F5FCA3"/>
    <w:rsid w:val="39F89D1F"/>
    <w:rsid w:val="39F9F8F5"/>
    <w:rsid w:val="39FA16C4"/>
    <w:rsid w:val="39FAF5E2"/>
    <w:rsid w:val="39FBAB86"/>
    <w:rsid w:val="39FBE7D6"/>
    <w:rsid w:val="3A0049CA"/>
    <w:rsid w:val="3A020671"/>
    <w:rsid w:val="3A0907F6"/>
    <w:rsid w:val="3A0978CD"/>
    <w:rsid w:val="3A0DAB4C"/>
    <w:rsid w:val="3A105844"/>
    <w:rsid w:val="3A10E94F"/>
    <w:rsid w:val="3A117DBA"/>
    <w:rsid w:val="3A13588A"/>
    <w:rsid w:val="3A13C4E6"/>
    <w:rsid w:val="3A1A4C0D"/>
    <w:rsid w:val="3A1D92AB"/>
    <w:rsid w:val="3A1F5474"/>
    <w:rsid w:val="3A21D980"/>
    <w:rsid w:val="3A227F5C"/>
    <w:rsid w:val="3A229334"/>
    <w:rsid w:val="3A23B4EE"/>
    <w:rsid w:val="3A241F31"/>
    <w:rsid w:val="3A29EA10"/>
    <w:rsid w:val="3A2A67AF"/>
    <w:rsid w:val="3A2C07CA"/>
    <w:rsid w:val="3A2E0F44"/>
    <w:rsid w:val="3A2E533F"/>
    <w:rsid w:val="3A2E598D"/>
    <w:rsid w:val="3A2E89A2"/>
    <w:rsid w:val="3A2FD0AB"/>
    <w:rsid w:val="3A3411A8"/>
    <w:rsid w:val="3A359A5C"/>
    <w:rsid w:val="3A360033"/>
    <w:rsid w:val="3A36DC63"/>
    <w:rsid w:val="3A3741F2"/>
    <w:rsid w:val="3A380A0C"/>
    <w:rsid w:val="3A381A44"/>
    <w:rsid w:val="3A39E75B"/>
    <w:rsid w:val="3A3A1015"/>
    <w:rsid w:val="3A3BAFEE"/>
    <w:rsid w:val="3A3C10CC"/>
    <w:rsid w:val="3A3F818B"/>
    <w:rsid w:val="3A4294B0"/>
    <w:rsid w:val="3A430C4D"/>
    <w:rsid w:val="3A453FF6"/>
    <w:rsid w:val="3A47C16B"/>
    <w:rsid w:val="3A482A55"/>
    <w:rsid w:val="3A4B01F0"/>
    <w:rsid w:val="3A4B7E84"/>
    <w:rsid w:val="3A516BD4"/>
    <w:rsid w:val="3A521AB4"/>
    <w:rsid w:val="3A54EEA3"/>
    <w:rsid w:val="3A55335F"/>
    <w:rsid w:val="3A57B2B8"/>
    <w:rsid w:val="3A5AB814"/>
    <w:rsid w:val="3A5BE900"/>
    <w:rsid w:val="3A5C8B71"/>
    <w:rsid w:val="3A5C8D22"/>
    <w:rsid w:val="3A602824"/>
    <w:rsid w:val="3A633CDC"/>
    <w:rsid w:val="3A63BDF2"/>
    <w:rsid w:val="3A655161"/>
    <w:rsid w:val="3A67682C"/>
    <w:rsid w:val="3A67B34D"/>
    <w:rsid w:val="3A692CC9"/>
    <w:rsid w:val="3A698856"/>
    <w:rsid w:val="3A6B742B"/>
    <w:rsid w:val="3A6E8B4B"/>
    <w:rsid w:val="3A6EAEF5"/>
    <w:rsid w:val="3A6F6D2D"/>
    <w:rsid w:val="3A7189DF"/>
    <w:rsid w:val="3A73AF9C"/>
    <w:rsid w:val="3A748717"/>
    <w:rsid w:val="3A78F057"/>
    <w:rsid w:val="3A793199"/>
    <w:rsid w:val="3A7ACE30"/>
    <w:rsid w:val="3A7CD62E"/>
    <w:rsid w:val="3A7D1B83"/>
    <w:rsid w:val="3A7ED579"/>
    <w:rsid w:val="3A7FF4AB"/>
    <w:rsid w:val="3A80A747"/>
    <w:rsid w:val="3A813C1D"/>
    <w:rsid w:val="3A8302BC"/>
    <w:rsid w:val="3A84348D"/>
    <w:rsid w:val="3A85BF5B"/>
    <w:rsid w:val="3A886AB0"/>
    <w:rsid w:val="3A897E3E"/>
    <w:rsid w:val="3A9289A0"/>
    <w:rsid w:val="3A940A6C"/>
    <w:rsid w:val="3A960ED2"/>
    <w:rsid w:val="3A973531"/>
    <w:rsid w:val="3A9A99DE"/>
    <w:rsid w:val="3A9AA96D"/>
    <w:rsid w:val="3A9B119F"/>
    <w:rsid w:val="3A9B9134"/>
    <w:rsid w:val="3A9E287B"/>
    <w:rsid w:val="3A9F030A"/>
    <w:rsid w:val="3A9F6784"/>
    <w:rsid w:val="3AA148D7"/>
    <w:rsid w:val="3AA1F17F"/>
    <w:rsid w:val="3AA2896E"/>
    <w:rsid w:val="3AA32CBF"/>
    <w:rsid w:val="3AA347B0"/>
    <w:rsid w:val="3AA3503F"/>
    <w:rsid w:val="3AA39BA4"/>
    <w:rsid w:val="3AA3A4A2"/>
    <w:rsid w:val="3AA412D3"/>
    <w:rsid w:val="3AA8F9D1"/>
    <w:rsid w:val="3AA914ED"/>
    <w:rsid w:val="3AA94C17"/>
    <w:rsid w:val="3AAAE4D6"/>
    <w:rsid w:val="3AAC37F2"/>
    <w:rsid w:val="3AACD0FF"/>
    <w:rsid w:val="3AAF13A3"/>
    <w:rsid w:val="3AAFE830"/>
    <w:rsid w:val="3AB49AD8"/>
    <w:rsid w:val="3AB6C4C1"/>
    <w:rsid w:val="3ABE217B"/>
    <w:rsid w:val="3AC4E928"/>
    <w:rsid w:val="3AC76FBC"/>
    <w:rsid w:val="3AC792A2"/>
    <w:rsid w:val="3AC7986E"/>
    <w:rsid w:val="3AC804F9"/>
    <w:rsid w:val="3ACA2AC7"/>
    <w:rsid w:val="3ACB018F"/>
    <w:rsid w:val="3ACC10A9"/>
    <w:rsid w:val="3ACC21FD"/>
    <w:rsid w:val="3AD0F8CA"/>
    <w:rsid w:val="3AD8180F"/>
    <w:rsid w:val="3AD9A30B"/>
    <w:rsid w:val="3ADAA890"/>
    <w:rsid w:val="3ADED2E9"/>
    <w:rsid w:val="3AE12E4A"/>
    <w:rsid w:val="3AE247BC"/>
    <w:rsid w:val="3AE27854"/>
    <w:rsid w:val="3AE57E9B"/>
    <w:rsid w:val="3AE7CB4E"/>
    <w:rsid w:val="3AE9142E"/>
    <w:rsid w:val="3AEC0C75"/>
    <w:rsid w:val="3AF68936"/>
    <w:rsid w:val="3AFA3EA1"/>
    <w:rsid w:val="3AFBA223"/>
    <w:rsid w:val="3AFF91E8"/>
    <w:rsid w:val="3B00A3B2"/>
    <w:rsid w:val="3B016239"/>
    <w:rsid w:val="3B0222AC"/>
    <w:rsid w:val="3B0436F0"/>
    <w:rsid w:val="3B04DE7C"/>
    <w:rsid w:val="3B09D530"/>
    <w:rsid w:val="3B0EB296"/>
    <w:rsid w:val="3B0F16F6"/>
    <w:rsid w:val="3B108736"/>
    <w:rsid w:val="3B1217F8"/>
    <w:rsid w:val="3B14DDA9"/>
    <w:rsid w:val="3B17A434"/>
    <w:rsid w:val="3B17CDE5"/>
    <w:rsid w:val="3B1D9E31"/>
    <w:rsid w:val="3B1F0CCB"/>
    <w:rsid w:val="3B20A2B6"/>
    <w:rsid w:val="3B223A73"/>
    <w:rsid w:val="3B23943C"/>
    <w:rsid w:val="3B27D3A3"/>
    <w:rsid w:val="3B27DB05"/>
    <w:rsid w:val="3B283992"/>
    <w:rsid w:val="3B29D4E3"/>
    <w:rsid w:val="3B2C2CA8"/>
    <w:rsid w:val="3B2E1773"/>
    <w:rsid w:val="3B2E68C0"/>
    <w:rsid w:val="3B2F0627"/>
    <w:rsid w:val="3B2F0EBB"/>
    <w:rsid w:val="3B3290BB"/>
    <w:rsid w:val="3B32A445"/>
    <w:rsid w:val="3B33CA4F"/>
    <w:rsid w:val="3B3644C8"/>
    <w:rsid w:val="3B3901F7"/>
    <w:rsid w:val="3B3B4821"/>
    <w:rsid w:val="3B3BE020"/>
    <w:rsid w:val="3B3BED13"/>
    <w:rsid w:val="3B3F38FA"/>
    <w:rsid w:val="3B3FA48C"/>
    <w:rsid w:val="3B4172E1"/>
    <w:rsid w:val="3B421CAF"/>
    <w:rsid w:val="3B42938B"/>
    <w:rsid w:val="3B463111"/>
    <w:rsid w:val="3B4640C1"/>
    <w:rsid w:val="3B491795"/>
    <w:rsid w:val="3B4DE244"/>
    <w:rsid w:val="3B4FEDD4"/>
    <w:rsid w:val="3B50FE59"/>
    <w:rsid w:val="3B528252"/>
    <w:rsid w:val="3B52B026"/>
    <w:rsid w:val="3B54C4DD"/>
    <w:rsid w:val="3B552146"/>
    <w:rsid w:val="3B575C74"/>
    <w:rsid w:val="3B5839D8"/>
    <w:rsid w:val="3B58B3F0"/>
    <w:rsid w:val="3B5BE7A0"/>
    <w:rsid w:val="3B5D3237"/>
    <w:rsid w:val="3B5EB3BF"/>
    <w:rsid w:val="3B6195A3"/>
    <w:rsid w:val="3B65605B"/>
    <w:rsid w:val="3B65DFA0"/>
    <w:rsid w:val="3B67D2A7"/>
    <w:rsid w:val="3B69CE36"/>
    <w:rsid w:val="3B6AF77E"/>
    <w:rsid w:val="3B6CF0C2"/>
    <w:rsid w:val="3B6D24B3"/>
    <w:rsid w:val="3B736A16"/>
    <w:rsid w:val="3B7702B4"/>
    <w:rsid w:val="3B80845F"/>
    <w:rsid w:val="3B821E8A"/>
    <w:rsid w:val="3B89EB85"/>
    <w:rsid w:val="3B8A0039"/>
    <w:rsid w:val="3B8BF4DF"/>
    <w:rsid w:val="3B8E1B9B"/>
    <w:rsid w:val="3B9040F7"/>
    <w:rsid w:val="3B909EC9"/>
    <w:rsid w:val="3B90BA51"/>
    <w:rsid w:val="3B922546"/>
    <w:rsid w:val="3B927DEF"/>
    <w:rsid w:val="3B94258C"/>
    <w:rsid w:val="3B982E88"/>
    <w:rsid w:val="3B9BEE57"/>
    <w:rsid w:val="3B9E2581"/>
    <w:rsid w:val="3B9ED064"/>
    <w:rsid w:val="3BA05318"/>
    <w:rsid w:val="3BA1E8A6"/>
    <w:rsid w:val="3BA207D5"/>
    <w:rsid w:val="3BA9AE21"/>
    <w:rsid w:val="3BAB773D"/>
    <w:rsid w:val="3BAC234D"/>
    <w:rsid w:val="3BADB45F"/>
    <w:rsid w:val="3BAE14B3"/>
    <w:rsid w:val="3BAECE6E"/>
    <w:rsid w:val="3BB4A3A8"/>
    <w:rsid w:val="3BC273A4"/>
    <w:rsid w:val="3BC37959"/>
    <w:rsid w:val="3BC5949C"/>
    <w:rsid w:val="3BC8D4D5"/>
    <w:rsid w:val="3BCE4BA7"/>
    <w:rsid w:val="3BCF92CD"/>
    <w:rsid w:val="3BD3B735"/>
    <w:rsid w:val="3BD4215D"/>
    <w:rsid w:val="3BD676F3"/>
    <w:rsid w:val="3BDA43F4"/>
    <w:rsid w:val="3BDC2B39"/>
    <w:rsid w:val="3BDC53C0"/>
    <w:rsid w:val="3BDC7F34"/>
    <w:rsid w:val="3BDE7505"/>
    <w:rsid w:val="3BDEB460"/>
    <w:rsid w:val="3BDF5DEB"/>
    <w:rsid w:val="3BE02F0C"/>
    <w:rsid w:val="3BE21E93"/>
    <w:rsid w:val="3BE3365B"/>
    <w:rsid w:val="3BE596C1"/>
    <w:rsid w:val="3BE6A10B"/>
    <w:rsid w:val="3BE6B7CA"/>
    <w:rsid w:val="3BEA97FC"/>
    <w:rsid w:val="3BF3F67E"/>
    <w:rsid w:val="3BF57E49"/>
    <w:rsid w:val="3BFAFD3E"/>
    <w:rsid w:val="3BFE824F"/>
    <w:rsid w:val="3C010B3D"/>
    <w:rsid w:val="3C018ED2"/>
    <w:rsid w:val="3C0A0E5A"/>
    <w:rsid w:val="3C0B5EEC"/>
    <w:rsid w:val="3C0C2F25"/>
    <w:rsid w:val="3C0E75E6"/>
    <w:rsid w:val="3C1AFC97"/>
    <w:rsid w:val="3C1B0F23"/>
    <w:rsid w:val="3C1C0CCE"/>
    <w:rsid w:val="3C1C5D52"/>
    <w:rsid w:val="3C1CF30D"/>
    <w:rsid w:val="3C208E03"/>
    <w:rsid w:val="3C222B27"/>
    <w:rsid w:val="3C22A6D0"/>
    <w:rsid w:val="3C2323A4"/>
    <w:rsid w:val="3C24E677"/>
    <w:rsid w:val="3C27CBE2"/>
    <w:rsid w:val="3C284037"/>
    <w:rsid w:val="3C2A620C"/>
    <w:rsid w:val="3C2AC5D8"/>
    <w:rsid w:val="3C32AF9C"/>
    <w:rsid w:val="3C3755F4"/>
    <w:rsid w:val="3C378243"/>
    <w:rsid w:val="3C384946"/>
    <w:rsid w:val="3C3A1657"/>
    <w:rsid w:val="3C4354EE"/>
    <w:rsid w:val="3C43B968"/>
    <w:rsid w:val="3C4786D4"/>
    <w:rsid w:val="3C496FF2"/>
    <w:rsid w:val="3C4B49D4"/>
    <w:rsid w:val="3C4C75F7"/>
    <w:rsid w:val="3C4CC69A"/>
    <w:rsid w:val="3C55C828"/>
    <w:rsid w:val="3C58ED05"/>
    <w:rsid w:val="3C698190"/>
    <w:rsid w:val="3C6BB60B"/>
    <w:rsid w:val="3C6E0DE0"/>
    <w:rsid w:val="3C704C9E"/>
    <w:rsid w:val="3C72B539"/>
    <w:rsid w:val="3C72CC17"/>
    <w:rsid w:val="3C739056"/>
    <w:rsid w:val="3C7492AB"/>
    <w:rsid w:val="3C74A965"/>
    <w:rsid w:val="3C74F4A7"/>
    <w:rsid w:val="3C754499"/>
    <w:rsid w:val="3C75E4BC"/>
    <w:rsid w:val="3C76B1FA"/>
    <w:rsid w:val="3C785330"/>
    <w:rsid w:val="3C78C682"/>
    <w:rsid w:val="3C78FAA3"/>
    <w:rsid w:val="3C796F38"/>
    <w:rsid w:val="3C7AEFDE"/>
    <w:rsid w:val="3C7E8E4E"/>
    <w:rsid w:val="3C8098E8"/>
    <w:rsid w:val="3C8308C5"/>
    <w:rsid w:val="3C8554F2"/>
    <w:rsid w:val="3C864015"/>
    <w:rsid w:val="3C86A251"/>
    <w:rsid w:val="3C8C3786"/>
    <w:rsid w:val="3C8E01A4"/>
    <w:rsid w:val="3C8E7BD8"/>
    <w:rsid w:val="3C8F3A0F"/>
    <w:rsid w:val="3C9141FB"/>
    <w:rsid w:val="3C9197C8"/>
    <w:rsid w:val="3C91E29C"/>
    <w:rsid w:val="3C939D62"/>
    <w:rsid w:val="3C94B3A4"/>
    <w:rsid w:val="3C9597BD"/>
    <w:rsid w:val="3C97DAEB"/>
    <w:rsid w:val="3C9888FB"/>
    <w:rsid w:val="3C98B285"/>
    <w:rsid w:val="3C992518"/>
    <w:rsid w:val="3C9C8FF2"/>
    <w:rsid w:val="3C9CC598"/>
    <w:rsid w:val="3C9E23EF"/>
    <w:rsid w:val="3CA51811"/>
    <w:rsid w:val="3CA7F671"/>
    <w:rsid w:val="3CA834A4"/>
    <w:rsid w:val="3CA8808C"/>
    <w:rsid w:val="3CA9F7AC"/>
    <w:rsid w:val="3CACF44E"/>
    <w:rsid w:val="3CB2EA39"/>
    <w:rsid w:val="3CB4D052"/>
    <w:rsid w:val="3CBD32CF"/>
    <w:rsid w:val="3CBE419A"/>
    <w:rsid w:val="3CC09A43"/>
    <w:rsid w:val="3CC12801"/>
    <w:rsid w:val="3CC495E7"/>
    <w:rsid w:val="3CC80EF5"/>
    <w:rsid w:val="3CCA6202"/>
    <w:rsid w:val="3CCBBE88"/>
    <w:rsid w:val="3CCF10C3"/>
    <w:rsid w:val="3CD0E4E0"/>
    <w:rsid w:val="3CD5CF9F"/>
    <w:rsid w:val="3CD77720"/>
    <w:rsid w:val="3CD8E90D"/>
    <w:rsid w:val="3CD94935"/>
    <w:rsid w:val="3CDAC783"/>
    <w:rsid w:val="3CDAFAD4"/>
    <w:rsid w:val="3CDD2A71"/>
    <w:rsid w:val="3CE0D936"/>
    <w:rsid w:val="3CE11193"/>
    <w:rsid w:val="3CE1F698"/>
    <w:rsid w:val="3CE9C5E5"/>
    <w:rsid w:val="3CEC748D"/>
    <w:rsid w:val="3CEE45AB"/>
    <w:rsid w:val="3CF2BA95"/>
    <w:rsid w:val="3CF428F1"/>
    <w:rsid w:val="3CF456BE"/>
    <w:rsid w:val="3CFA155C"/>
    <w:rsid w:val="3CFC1E38"/>
    <w:rsid w:val="3CFC418A"/>
    <w:rsid w:val="3CFFC242"/>
    <w:rsid w:val="3D016E70"/>
    <w:rsid w:val="3D0246C3"/>
    <w:rsid w:val="3D02B0D6"/>
    <w:rsid w:val="3D0456D1"/>
    <w:rsid w:val="3D058024"/>
    <w:rsid w:val="3D0618CF"/>
    <w:rsid w:val="3D06C08A"/>
    <w:rsid w:val="3D06E28F"/>
    <w:rsid w:val="3D07DE43"/>
    <w:rsid w:val="3D0B74E8"/>
    <w:rsid w:val="3D0BAF92"/>
    <w:rsid w:val="3D10855C"/>
    <w:rsid w:val="3D1160A6"/>
    <w:rsid w:val="3D14ECAF"/>
    <w:rsid w:val="3D16A64B"/>
    <w:rsid w:val="3D195007"/>
    <w:rsid w:val="3D1BCBED"/>
    <w:rsid w:val="3D1C12E4"/>
    <w:rsid w:val="3D21DFCD"/>
    <w:rsid w:val="3D22197D"/>
    <w:rsid w:val="3D227B07"/>
    <w:rsid w:val="3D248571"/>
    <w:rsid w:val="3D266127"/>
    <w:rsid w:val="3D2D301B"/>
    <w:rsid w:val="3D2E590B"/>
    <w:rsid w:val="3D2E66A9"/>
    <w:rsid w:val="3D315156"/>
    <w:rsid w:val="3D31F1AB"/>
    <w:rsid w:val="3D3684FC"/>
    <w:rsid w:val="3D380C6B"/>
    <w:rsid w:val="3D38F14A"/>
    <w:rsid w:val="3D3E47B9"/>
    <w:rsid w:val="3D40AC0B"/>
    <w:rsid w:val="3D40D6AB"/>
    <w:rsid w:val="3D415EAC"/>
    <w:rsid w:val="3D42C6C7"/>
    <w:rsid w:val="3D46F65A"/>
    <w:rsid w:val="3D4733F5"/>
    <w:rsid w:val="3D504BD9"/>
    <w:rsid w:val="3D53D44D"/>
    <w:rsid w:val="3D54A1A4"/>
    <w:rsid w:val="3D557B36"/>
    <w:rsid w:val="3D55910A"/>
    <w:rsid w:val="3D58B9AE"/>
    <w:rsid w:val="3D5A508A"/>
    <w:rsid w:val="3D5B52D9"/>
    <w:rsid w:val="3D5DE6C6"/>
    <w:rsid w:val="3D5E22EC"/>
    <w:rsid w:val="3D5FC598"/>
    <w:rsid w:val="3D603DAD"/>
    <w:rsid w:val="3D60A09F"/>
    <w:rsid w:val="3D618688"/>
    <w:rsid w:val="3D648F16"/>
    <w:rsid w:val="3D663368"/>
    <w:rsid w:val="3D66C3F7"/>
    <w:rsid w:val="3D677EEC"/>
    <w:rsid w:val="3D69A6CB"/>
    <w:rsid w:val="3D69B194"/>
    <w:rsid w:val="3D6A6722"/>
    <w:rsid w:val="3D6BF575"/>
    <w:rsid w:val="3D6C08B8"/>
    <w:rsid w:val="3D6D3829"/>
    <w:rsid w:val="3D707195"/>
    <w:rsid w:val="3D70F4FF"/>
    <w:rsid w:val="3D73148C"/>
    <w:rsid w:val="3D753855"/>
    <w:rsid w:val="3D7A6945"/>
    <w:rsid w:val="3D7CC45D"/>
    <w:rsid w:val="3D7E87DF"/>
    <w:rsid w:val="3D827C26"/>
    <w:rsid w:val="3D869001"/>
    <w:rsid w:val="3D87B553"/>
    <w:rsid w:val="3D88D5B2"/>
    <w:rsid w:val="3D891E63"/>
    <w:rsid w:val="3D89C708"/>
    <w:rsid w:val="3D91B935"/>
    <w:rsid w:val="3D92621F"/>
    <w:rsid w:val="3D92BFCF"/>
    <w:rsid w:val="3D92FDC4"/>
    <w:rsid w:val="3D9724E4"/>
    <w:rsid w:val="3D99603F"/>
    <w:rsid w:val="3D99E70A"/>
    <w:rsid w:val="3DA0360C"/>
    <w:rsid w:val="3DA126CA"/>
    <w:rsid w:val="3DA1B6EB"/>
    <w:rsid w:val="3DA24600"/>
    <w:rsid w:val="3DA7C74F"/>
    <w:rsid w:val="3DB20A05"/>
    <w:rsid w:val="3DB24826"/>
    <w:rsid w:val="3DB2AD0C"/>
    <w:rsid w:val="3DB30772"/>
    <w:rsid w:val="3DB591C4"/>
    <w:rsid w:val="3DB96C7A"/>
    <w:rsid w:val="3DB9C41C"/>
    <w:rsid w:val="3DBE9D26"/>
    <w:rsid w:val="3DC52469"/>
    <w:rsid w:val="3DC79ABB"/>
    <w:rsid w:val="3DC840CF"/>
    <w:rsid w:val="3DC8BF06"/>
    <w:rsid w:val="3DC8FE29"/>
    <w:rsid w:val="3DD0A987"/>
    <w:rsid w:val="3DD303D8"/>
    <w:rsid w:val="3DD65CD2"/>
    <w:rsid w:val="3DD6E2CE"/>
    <w:rsid w:val="3DD8D922"/>
    <w:rsid w:val="3DDA2042"/>
    <w:rsid w:val="3DDC158D"/>
    <w:rsid w:val="3DDC7DAE"/>
    <w:rsid w:val="3DDD0542"/>
    <w:rsid w:val="3DE71018"/>
    <w:rsid w:val="3DE75C28"/>
    <w:rsid w:val="3DE83FD3"/>
    <w:rsid w:val="3DE8AF5B"/>
    <w:rsid w:val="3DE8F4EF"/>
    <w:rsid w:val="3DE941FF"/>
    <w:rsid w:val="3DEBF87C"/>
    <w:rsid w:val="3DECDB12"/>
    <w:rsid w:val="3DEE334F"/>
    <w:rsid w:val="3DF6B409"/>
    <w:rsid w:val="3DF75C03"/>
    <w:rsid w:val="3DF7BC5F"/>
    <w:rsid w:val="3DF7CD78"/>
    <w:rsid w:val="3DFC025C"/>
    <w:rsid w:val="3DFD6882"/>
    <w:rsid w:val="3E02643E"/>
    <w:rsid w:val="3E04B642"/>
    <w:rsid w:val="3E05198F"/>
    <w:rsid w:val="3E08260A"/>
    <w:rsid w:val="3E0CEC49"/>
    <w:rsid w:val="3E0D2A57"/>
    <w:rsid w:val="3E0D435A"/>
    <w:rsid w:val="3E0E3484"/>
    <w:rsid w:val="3E106E4E"/>
    <w:rsid w:val="3E119056"/>
    <w:rsid w:val="3E13C648"/>
    <w:rsid w:val="3E175492"/>
    <w:rsid w:val="3E17E343"/>
    <w:rsid w:val="3E17F3B8"/>
    <w:rsid w:val="3E1D8A1A"/>
    <w:rsid w:val="3E1DF4D8"/>
    <w:rsid w:val="3E1E159D"/>
    <w:rsid w:val="3E212E2A"/>
    <w:rsid w:val="3E21407A"/>
    <w:rsid w:val="3E239B73"/>
    <w:rsid w:val="3E24A81C"/>
    <w:rsid w:val="3E24A9EB"/>
    <w:rsid w:val="3E28BD48"/>
    <w:rsid w:val="3E2BFF4F"/>
    <w:rsid w:val="3E2C0022"/>
    <w:rsid w:val="3E308DCE"/>
    <w:rsid w:val="3E3663F7"/>
    <w:rsid w:val="3E368610"/>
    <w:rsid w:val="3E391169"/>
    <w:rsid w:val="3E3A6E10"/>
    <w:rsid w:val="3E3A8C72"/>
    <w:rsid w:val="3E3B0739"/>
    <w:rsid w:val="3E436BC6"/>
    <w:rsid w:val="3E47EBA9"/>
    <w:rsid w:val="3E4A6357"/>
    <w:rsid w:val="3E4B1C29"/>
    <w:rsid w:val="3E4BED00"/>
    <w:rsid w:val="3E4D5FB6"/>
    <w:rsid w:val="3E504421"/>
    <w:rsid w:val="3E5113C2"/>
    <w:rsid w:val="3E511AFA"/>
    <w:rsid w:val="3E5199E9"/>
    <w:rsid w:val="3E53F93F"/>
    <w:rsid w:val="3E543ADB"/>
    <w:rsid w:val="3E5A0DA6"/>
    <w:rsid w:val="3E6086A3"/>
    <w:rsid w:val="3E64DE88"/>
    <w:rsid w:val="3E659B1E"/>
    <w:rsid w:val="3E6719A4"/>
    <w:rsid w:val="3E684B8F"/>
    <w:rsid w:val="3E6A0BB5"/>
    <w:rsid w:val="3E6ACC0E"/>
    <w:rsid w:val="3E6B3DE1"/>
    <w:rsid w:val="3E6B5025"/>
    <w:rsid w:val="3E71D0DD"/>
    <w:rsid w:val="3E7695AB"/>
    <w:rsid w:val="3E79C203"/>
    <w:rsid w:val="3E7A1A90"/>
    <w:rsid w:val="3E818174"/>
    <w:rsid w:val="3E82F3E7"/>
    <w:rsid w:val="3E83482A"/>
    <w:rsid w:val="3E893601"/>
    <w:rsid w:val="3E8B8AEA"/>
    <w:rsid w:val="3E8F82C9"/>
    <w:rsid w:val="3E9C13BD"/>
    <w:rsid w:val="3E9C5A54"/>
    <w:rsid w:val="3EA0E504"/>
    <w:rsid w:val="3EA459EE"/>
    <w:rsid w:val="3EA5041C"/>
    <w:rsid w:val="3EA6B33B"/>
    <w:rsid w:val="3EAD7734"/>
    <w:rsid w:val="3EAF12C4"/>
    <w:rsid w:val="3EAF4DCF"/>
    <w:rsid w:val="3EB00460"/>
    <w:rsid w:val="3EB3F806"/>
    <w:rsid w:val="3EB7CF27"/>
    <w:rsid w:val="3EBC31DA"/>
    <w:rsid w:val="3EBCCE4F"/>
    <w:rsid w:val="3EBDA168"/>
    <w:rsid w:val="3EC0FC80"/>
    <w:rsid w:val="3EC166E1"/>
    <w:rsid w:val="3ECC57DE"/>
    <w:rsid w:val="3ECF11C4"/>
    <w:rsid w:val="3ED14821"/>
    <w:rsid w:val="3ED4D27E"/>
    <w:rsid w:val="3ED5AD26"/>
    <w:rsid w:val="3EDA9D01"/>
    <w:rsid w:val="3EDEE3AA"/>
    <w:rsid w:val="3EE0BBC0"/>
    <w:rsid w:val="3EE23E60"/>
    <w:rsid w:val="3EE2F21B"/>
    <w:rsid w:val="3EE636D3"/>
    <w:rsid w:val="3EE7CADE"/>
    <w:rsid w:val="3EEB06D7"/>
    <w:rsid w:val="3EF313E7"/>
    <w:rsid w:val="3EF3DCC2"/>
    <w:rsid w:val="3EF60285"/>
    <w:rsid w:val="3EF73A62"/>
    <w:rsid w:val="3EF8C421"/>
    <w:rsid w:val="3EFA260E"/>
    <w:rsid w:val="3EFC08EE"/>
    <w:rsid w:val="3EFDC407"/>
    <w:rsid w:val="3F0373A8"/>
    <w:rsid w:val="3F068099"/>
    <w:rsid w:val="3F0A2831"/>
    <w:rsid w:val="3F0A71AE"/>
    <w:rsid w:val="3F0EA1C9"/>
    <w:rsid w:val="3F10DFE9"/>
    <w:rsid w:val="3F12B0F4"/>
    <w:rsid w:val="3F13E1F9"/>
    <w:rsid w:val="3F1567B1"/>
    <w:rsid w:val="3F160589"/>
    <w:rsid w:val="3F1702DF"/>
    <w:rsid w:val="3F1793E0"/>
    <w:rsid w:val="3F1987F0"/>
    <w:rsid w:val="3F1E8139"/>
    <w:rsid w:val="3F20378A"/>
    <w:rsid w:val="3F20F8D9"/>
    <w:rsid w:val="3F231F43"/>
    <w:rsid w:val="3F23A223"/>
    <w:rsid w:val="3F24B0ED"/>
    <w:rsid w:val="3F258A7D"/>
    <w:rsid w:val="3F269A74"/>
    <w:rsid w:val="3F2DC230"/>
    <w:rsid w:val="3F2DC96A"/>
    <w:rsid w:val="3F305880"/>
    <w:rsid w:val="3F323F3D"/>
    <w:rsid w:val="3F3503D1"/>
    <w:rsid w:val="3F35ECB1"/>
    <w:rsid w:val="3F3A53D6"/>
    <w:rsid w:val="3F3AE10E"/>
    <w:rsid w:val="3F3B48B9"/>
    <w:rsid w:val="3F3BE683"/>
    <w:rsid w:val="3F3D4F4F"/>
    <w:rsid w:val="3F3D651A"/>
    <w:rsid w:val="3F3DAAF5"/>
    <w:rsid w:val="3F3F639F"/>
    <w:rsid w:val="3F407D06"/>
    <w:rsid w:val="3F41A9D4"/>
    <w:rsid w:val="3F41BE68"/>
    <w:rsid w:val="3F42FBCC"/>
    <w:rsid w:val="3F43004B"/>
    <w:rsid w:val="3F43C121"/>
    <w:rsid w:val="3F4A7B71"/>
    <w:rsid w:val="3F4AA57A"/>
    <w:rsid w:val="3F4B3CE8"/>
    <w:rsid w:val="3F4B7D3F"/>
    <w:rsid w:val="3F4E2256"/>
    <w:rsid w:val="3F4E3EFD"/>
    <w:rsid w:val="3F539473"/>
    <w:rsid w:val="3F554000"/>
    <w:rsid w:val="3F590204"/>
    <w:rsid w:val="3F5D5511"/>
    <w:rsid w:val="3F61613D"/>
    <w:rsid w:val="3F626713"/>
    <w:rsid w:val="3F65CA20"/>
    <w:rsid w:val="3F65FC58"/>
    <w:rsid w:val="3F69B914"/>
    <w:rsid w:val="3F6EAB60"/>
    <w:rsid w:val="3F6F5021"/>
    <w:rsid w:val="3F6F9895"/>
    <w:rsid w:val="3F712920"/>
    <w:rsid w:val="3F79FD7C"/>
    <w:rsid w:val="3F7B6BF8"/>
    <w:rsid w:val="3F7BFEC8"/>
    <w:rsid w:val="3F7CB33C"/>
    <w:rsid w:val="3F7CBFB3"/>
    <w:rsid w:val="3F7D08C0"/>
    <w:rsid w:val="3F7F6AC3"/>
    <w:rsid w:val="3F80072C"/>
    <w:rsid w:val="3F808823"/>
    <w:rsid w:val="3F81F31F"/>
    <w:rsid w:val="3F839F81"/>
    <w:rsid w:val="3F8683CB"/>
    <w:rsid w:val="3F8D9E0C"/>
    <w:rsid w:val="3F8E42A4"/>
    <w:rsid w:val="3F905C1C"/>
    <w:rsid w:val="3F92C3AB"/>
    <w:rsid w:val="3F96013E"/>
    <w:rsid w:val="3F9A5888"/>
    <w:rsid w:val="3FA29F65"/>
    <w:rsid w:val="3FA676A0"/>
    <w:rsid w:val="3FA8BD12"/>
    <w:rsid w:val="3FAA87E3"/>
    <w:rsid w:val="3FADAC96"/>
    <w:rsid w:val="3FADF037"/>
    <w:rsid w:val="3FAE3603"/>
    <w:rsid w:val="3FB33723"/>
    <w:rsid w:val="3FB4B4C5"/>
    <w:rsid w:val="3FB57CFD"/>
    <w:rsid w:val="3FB7DB2E"/>
    <w:rsid w:val="3FB7DCEE"/>
    <w:rsid w:val="3FB85AB7"/>
    <w:rsid w:val="3FBEF5D8"/>
    <w:rsid w:val="3FBFD0DD"/>
    <w:rsid w:val="3FC1680F"/>
    <w:rsid w:val="3FC3698E"/>
    <w:rsid w:val="3FC4BBF7"/>
    <w:rsid w:val="3FC500E4"/>
    <w:rsid w:val="3FCA15AF"/>
    <w:rsid w:val="3FD2C10C"/>
    <w:rsid w:val="3FDCA48C"/>
    <w:rsid w:val="3FDCFE51"/>
    <w:rsid w:val="3FDDB73F"/>
    <w:rsid w:val="3FDE4B9B"/>
    <w:rsid w:val="3FE17230"/>
    <w:rsid w:val="3FE28F98"/>
    <w:rsid w:val="3FE35495"/>
    <w:rsid w:val="3FE42292"/>
    <w:rsid w:val="3FE46E3A"/>
    <w:rsid w:val="3FE4F677"/>
    <w:rsid w:val="3FE63C38"/>
    <w:rsid w:val="3FE71AFE"/>
    <w:rsid w:val="3FE7280D"/>
    <w:rsid w:val="3FE8EE27"/>
    <w:rsid w:val="3FEB69B1"/>
    <w:rsid w:val="3FEF3732"/>
    <w:rsid w:val="3FEF76D6"/>
    <w:rsid w:val="3FF0C8B6"/>
    <w:rsid w:val="3FFCDB10"/>
    <w:rsid w:val="4004C580"/>
    <w:rsid w:val="40082D20"/>
    <w:rsid w:val="40085192"/>
    <w:rsid w:val="4009894A"/>
    <w:rsid w:val="400C55D7"/>
    <w:rsid w:val="400CFA21"/>
    <w:rsid w:val="400D2268"/>
    <w:rsid w:val="400E8715"/>
    <w:rsid w:val="40150281"/>
    <w:rsid w:val="40156F5F"/>
    <w:rsid w:val="401930DF"/>
    <w:rsid w:val="401A06CF"/>
    <w:rsid w:val="401CB0AF"/>
    <w:rsid w:val="401F4E2E"/>
    <w:rsid w:val="40277F8C"/>
    <w:rsid w:val="4028EBB2"/>
    <w:rsid w:val="4028F3E1"/>
    <w:rsid w:val="402C13B2"/>
    <w:rsid w:val="402D1624"/>
    <w:rsid w:val="403166DA"/>
    <w:rsid w:val="4032310C"/>
    <w:rsid w:val="403358A3"/>
    <w:rsid w:val="40341782"/>
    <w:rsid w:val="4034FF6E"/>
    <w:rsid w:val="4037FEB2"/>
    <w:rsid w:val="403F0EC4"/>
    <w:rsid w:val="403F4482"/>
    <w:rsid w:val="4042575A"/>
    <w:rsid w:val="40425F55"/>
    <w:rsid w:val="40453CF7"/>
    <w:rsid w:val="404545BC"/>
    <w:rsid w:val="404925C4"/>
    <w:rsid w:val="404A2157"/>
    <w:rsid w:val="404E11A5"/>
    <w:rsid w:val="4050564D"/>
    <w:rsid w:val="4050AFAE"/>
    <w:rsid w:val="40522DC7"/>
    <w:rsid w:val="40562436"/>
    <w:rsid w:val="4057B8D3"/>
    <w:rsid w:val="405C30EE"/>
    <w:rsid w:val="405CAA01"/>
    <w:rsid w:val="405CC3D1"/>
    <w:rsid w:val="405D0B43"/>
    <w:rsid w:val="405EEE17"/>
    <w:rsid w:val="40602782"/>
    <w:rsid w:val="4065B274"/>
    <w:rsid w:val="4067ECF3"/>
    <w:rsid w:val="4069C54F"/>
    <w:rsid w:val="4069D1FF"/>
    <w:rsid w:val="40746737"/>
    <w:rsid w:val="40791D61"/>
    <w:rsid w:val="407F9268"/>
    <w:rsid w:val="40809279"/>
    <w:rsid w:val="4081BF73"/>
    <w:rsid w:val="4081F141"/>
    <w:rsid w:val="4085DED4"/>
    <w:rsid w:val="408708F8"/>
    <w:rsid w:val="4087CDE3"/>
    <w:rsid w:val="408EE0A0"/>
    <w:rsid w:val="408F7591"/>
    <w:rsid w:val="409D2CCA"/>
    <w:rsid w:val="409DA347"/>
    <w:rsid w:val="409F54E6"/>
    <w:rsid w:val="40A77EAE"/>
    <w:rsid w:val="40A79C91"/>
    <w:rsid w:val="40A83B9B"/>
    <w:rsid w:val="40AA714C"/>
    <w:rsid w:val="40AD023E"/>
    <w:rsid w:val="40AED1A2"/>
    <w:rsid w:val="40AF3950"/>
    <w:rsid w:val="40B3DB9C"/>
    <w:rsid w:val="40B62D20"/>
    <w:rsid w:val="40B7D12D"/>
    <w:rsid w:val="40B85A69"/>
    <w:rsid w:val="40B96525"/>
    <w:rsid w:val="40BC85BB"/>
    <w:rsid w:val="40C05834"/>
    <w:rsid w:val="40C10204"/>
    <w:rsid w:val="40C17EDE"/>
    <w:rsid w:val="40C47DD4"/>
    <w:rsid w:val="40C63EF2"/>
    <w:rsid w:val="40C769F4"/>
    <w:rsid w:val="40C7EFB9"/>
    <w:rsid w:val="40CBBD37"/>
    <w:rsid w:val="40CD51BF"/>
    <w:rsid w:val="40CF579E"/>
    <w:rsid w:val="40D120E1"/>
    <w:rsid w:val="40D6649C"/>
    <w:rsid w:val="40D9BFFC"/>
    <w:rsid w:val="40D9CF31"/>
    <w:rsid w:val="40DA3E2C"/>
    <w:rsid w:val="40DBC23B"/>
    <w:rsid w:val="40DC5050"/>
    <w:rsid w:val="40DDE02E"/>
    <w:rsid w:val="40DE2036"/>
    <w:rsid w:val="40DFA4D8"/>
    <w:rsid w:val="40E1A2DC"/>
    <w:rsid w:val="40E2473D"/>
    <w:rsid w:val="40E2E7E4"/>
    <w:rsid w:val="40E40E59"/>
    <w:rsid w:val="40E4ABAC"/>
    <w:rsid w:val="40E935A7"/>
    <w:rsid w:val="40EB87F1"/>
    <w:rsid w:val="40EBEF88"/>
    <w:rsid w:val="40F3036D"/>
    <w:rsid w:val="40F5018B"/>
    <w:rsid w:val="40F86E3F"/>
    <w:rsid w:val="40FB2442"/>
    <w:rsid w:val="40FC7D4E"/>
    <w:rsid w:val="4100F9A1"/>
    <w:rsid w:val="4106EB5B"/>
    <w:rsid w:val="41072976"/>
    <w:rsid w:val="41073E81"/>
    <w:rsid w:val="4108A91B"/>
    <w:rsid w:val="410A76FE"/>
    <w:rsid w:val="410E6D04"/>
    <w:rsid w:val="41120B13"/>
    <w:rsid w:val="4112E6B4"/>
    <w:rsid w:val="4115011B"/>
    <w:rsid w:val="41155FE6"/>
    <w:rsid w:val="4115B6DB"/>
    <w:rsid w:val="411660D3"/>
    <w:rsid w:val="4118DC1C"/>
    <w:rsid w:val="411993B7"/>
    <w:rsid w:val="411A9167"/>
    <w:rsid w:val="411AD679"/>
    <w:rsid w:val="411B1322"/>
    <w:rsid w:val="411BD466"/>
    <w:rsid w:val="411D1F15"/>
    <w:rsid w:val="411FDF09"/>
    <w:rsid w:val="411FFA72"/>
    <w:rsid w:val="4121F7B8"/>
    <w:rsid w:val="41220D74"/>
    <w:rsid w:val="41256CE8"/>
    <w:rsid w:val="4126CBD0"/>
    <w:rsid w:val="41273CA0"/>
    <w:rsid w:val="4130A50B"/>
    <w:rsid w:val="413498AB"/>
    <w:rsid w:val="413754BE"/>
    <w:rsid w:val="413916A7"/>
    <w:rsid w:val="413D94E2"/>
    <w:rsid w:val="41408268"/>
    <w:rsid w:val="4142AB3E"/>
    <w:rsid w:val="414324CF"/>
    <w:rsid w:val="414387F9"/>
    <w:rsid w:val="414641FB"/>
    <w:rsid w:val="41482B9F"/>
    <w:rsid w:val="4149EC33"/>
    <w:rsid w:val="415040A1"/>
    <w:rsid w:val="41574BF9"/>
    <w:rsid w:val="41586238"/>
    <w:rsid w:val="415A404A"/>
    <w:rsid w:val="415C2346"/>
    <w:rsid w:val="415D4B6D"/>
    <w:rsid w:val="415F7498"/>
    <w:rsid w:val="4161FB6C"/>
    <w:rsid w:val="4164F96D"/>
    <w:rsid w:val="41665E57"/>
    <w:rsid w:val="416CA313"/>
    <w:rsid w:val="416CD724"/>
    <w:rsid w:val="4171943A"/>
    <w:rsid w:val="417365BF"/>
    <w:rsid w:val="4174AB69"/>
    <w:rsid w:val="4178371C"/>
    <w:rsid w:val="41787AC3"/>
    <w:rsid w:val="4178EEF4"/>
    <w:rsid w:val="417A1AC4"/>
    <w:rsid w:val="4180232D"/>
    <w:rsid w:val="4185EE5E"/>
    <w:rsid w:val="41896C6B"/>
    <w:rsid w:val="41968AFD"/>
    <w:rsid w:val="41972220"/>
    <w:rsid w:val="419A1480"/>
    <w:rsid w:val="419C28B1"/>
    <w:rsid w:val="419DA6D2"/>
    <w:rsid w:val="419EB6CD"/>
    <w:rsid w:val="419EE6EC"/>
    <w:rsid w:val="419FE686"/>
    <w:rsid w:val="41A22226"/>
    <w:rsid w:val="41A25875"/>
    <w:rsid w:val="41A34564"/>
    <w:rsid w:val="41A5A92F"/>
    <w:rsid w:val="41A623A9"/>
    <w:rsid w:val="41AAE326"/>
    <w:rsid w:val="41AC478F"/>
    <w:rsid w:val="41AE4DDF"/>
    <w:rsid w:val="41B13DEA"/>
    <w:rsid w:val="41B4E7DD"/>
    <w:rsid w:val="41B5EBF1"/>
    <w:rsid w:val="41B74BC6"/>
    <w:rsid w:val="41B8BC08"/>
    <w:rsid w:val="41B96818"/>
    <w:rsid w:val="41B9AC34"/>
    <w:rsid w:val="41BC3942"/>
    <w:rsid w:val="41BC6068"/>
    <w:rsid w:val="41BCE922"/>
    <w:rsid w:val="41BDF639"/>
    <w:rsid w:val="41BFB918"/>
    <w:rsid w:val="41C055B9"/>
    <w:rsid w:val="41C16236"/>
    <w:rsid w:val="41C19AB0"/>
    <w:rsid w:val="41C3E941"/>
    <w:rsid w:val="41C6C8D9"/>
    <w:rsid w:val="41CA2617"/>
    <w:rsid w:val="41CAF084"/>
    <w:rsid w:val="41CF681F"/>
    <w:rsid w:val="41D01F8E"/>
    <w:rsid w:val="41D193D6"/>
    <w:rsid w:val="41D2449E"/>
    <w:rsid w:val="41D33780"/>
    <w:rsid w:val="41D6387A"/>
    <w:rsid w:val="41D7A1AB"/>
    <w:rsid w:val="41DC212D"/>
    <w:rsid w:val="41E215F2"/>
    <w:rsid w:val="41E42877"/>
    <w:rsid w:val="41E4518C"/>
    <w:rsid w:val="41E5BF56"/>
    <w:rsid w:val="41E62153"/>
    <w:rsid w:val="41E8BA4C"/>
    <w:rsid w:val="41EAF8FC"/>
    <w:rsid w:val="41EE7DE8"/>
    <w:rsid w:val="41EF54A2"/>
    <w:rsid w:val="41F46551"/>
    <w:rsid w:val="41F4C151"/>
    <w:rsid w:val="41FC2361"/>
    <w:rsid w:val="41FC5BC1"/>
    <w:rsid w:val="41FD1F34"/>
    <w:rsid w:val="41FDD90A"/>
    <w:rsid w:val="41FEADD6"/>
    <w:rsid w:val="41FFF1F0"/>
    <w:rsid w:val="4201676C"/>
    <w:rsid w:val="42019E6E"/>
    <w:rsid w:val="42043A26"/>
    <w:rsid w:val="420644AB"/>
    <w:rsid w:val="4207B30B"/>
    <w:rsid w:val="42094C6F"/>
    <w:rsid w:val="420B5083"/>
    <w:rsid w:val="420E9623"/>
    <w:rsid w:val="420F0F6F"/>
    <w:rsid w:val="420F5FDD"/>
    <w:rsid w:val="420F8F98"/>
    <w:rsid w:val="42100FBD"/>
    <w:rsid w:val="42172BF4"/>
    <w:rsid w:val="421BE8A3"/>
    <w:rsid w:val="421C9979"/>
    <w:rsid w:val="421CCA55"/>
    <w:rsid w:val="421DD9CE"/>
    <w:rsid w:val="42211EF9"/>
    <w:rsid w:val="422A58D3"/>
    <w:rsid w:val="422A8D30"/>
    <w:rsid w:val="422B5FC2"/>
    <w:rsid w:val="422D52DF"/>
    <w:rsid w:val="422F836F"/>
    <w:rsid w:val="422FD668"/>
    <w:rsid w:val="42393324"/>
    <w:rsid w:val="4239F30F"/>
    <w:rsid w:val="423AFC5C"/>
    <w:rsid w:val="423C4656"/>
    <w:rsid w:val="424084FE"/>
    <w:rsid w:val="42418271"/>
    <w:rsid w:val="4241C868"/>
    <w:rsid w:val="424232E4"/>
    <w:rsid w:val="424257B0"/>
    <w:rsid w:val="42486C89"/>
    <w:rsid w:val="4249F72D"/>
    <w:rsid w:val="424ACE98"/>
    <w:rsid w:val="424ADA70"/>
    <w:rsid w:val="424B743D"/>
    <w:rsid w:val="424E7DB7"/>
    <w:rsid w:val="424F2581"/>
    <w:rsid w:val="424F5B77"/>
    <w:rsid w:val="425424EA"/>
    <w:rsid w:val="42542C6E"/>
    <w:rsid w:val="425F12D4"/>
    <w:rsid w:val="425FED31"/>
    <w:rsid w:val="4260373C"/>
    <w:rsid w:val="426366EA"/>
    <w:rsid w:val="42644925"/>
    <w:rsid w:val="4265DF38"/>
    <w:rsid w:val="42660BE0"/>
    <w:rsid w:val="426748A0"/>
    <w:rsid w:val="42677B79"/>
    <w:rsid w:val="42678F85"/>
    <w:rsid w:val="42694489"/>
    <w:rsid w:val="42695227"/>
    <w:rsid w:val="42697356"/>
    <w:rsid w:val="426AC92F"/>
    <w:rsid w:val="426DFFB3"/>
    <w:rsid w:val="42703952"/>
    <w:rsid w:val="427068D4"/>
    <w:rsid w:val="4273E510"/>
    <w:rsid w:val="427407CE"/>
    <w:rsid w:val="42748AFF"/>
    <w:rsid w:val="4279F931"/>
    <w:rsid w:val="427C44D6"/>
    <w:rsid w:val="427DA7FA"/>
    <w:rsid w:val="427FF8E0"/>
    <w:rsid w:val="4281B15C"/>
    <w:rsid w:val="42828A63"/>
    <w:rsid w:val="42877F56"/>
    <w:rsid w:val="428845B1"/>
    <w:rsid w:val="428A03E6"/>
    <w:rsid w:val="428CE403"/>
    <w:rsid w:val="428D4AB7"/>
    <w:rsid w:val="428E47E4"/>
    <w:rsid w:val="4290BBBD"/>
    <w:rsid w:val="4293858B"/>
    <w:rsid w:val="4293EBE6"/>
    <w:rsid w:val="42941DE7"/>
    <w:rsid w:val="42972787"/>
    <w:rsid w:val="429A8D9C"/>
    <w:rsid w:val="42A021B9"/>
    <w:rsid w:val="42A44638"/>
    <w:rsid w:val="42A6D715"/>
    <w:rsid w:val="42A71329"/>
    <w:rsid w:val="42AB0359"/>
    <w:rsid w:val="42B41A09"/>
    <w:rsid w:val="42B5052F"/>
    <w:rsid w:val="42B56158"/>
    <w:rsid w:val="42B65D38"/>
    <w:rsid w:val="42B689A6"/>
    <w:rsid w:val="42BA3272"/>
    <w:rsid w:val="42BB5E67"/>
    <w:rsid w:val="42BBFBE1"/>
    <w:rsid w:val="42BC189E"/>
    <w:rsid w:val="42BCCD57"/>
    <w:rsid w:val="42BDA4E6"/>
    <w:rsid w:val="42C080AE"/>
    <w:rsid w:val="42C29306"/>
    <w:rsid w:val="42C39E38"/>
    <w:rsid w:val="42C3DCAD"/>
    <w:rsid w:val="42C5E3A0"/>
    <w:rsid w:val="42C75C21"/>
    <w:rsid w:val="42C8C71E"/>
    <w:rsid w:val="42C9822C"/>
    <w:rsid w:val="42CA7B9F"/>
    <w:rsid w:val="42D179D7"/>
    <w:rsid w:val="42D51A18"/>
    <w:rsid w:val="42D5E0D3"/>
    <w:rsid w:val="42D70D1C"/>
    <w:rsid w:val="42D7456B"/>
    <w:rsid w:val="42D8E973"/>
    <w:rsid w:val="42D9A012"/>
    <w:rsid w:val="42D9CFA1"/>
    <w:rsid w:val="42DC1650"/>
    <w:rsid w:val="42DC6199"/>
    <w:rsid w:val="42E4FD79"/>
    <w:rsid w:val="42E575D7"/>
    <w:rsid w:val="42E5CD77"/>
    <w:rsid w:val="42E62960"/>
    <w:rsid w:val="42ECC6CF"/>
    <w:rsid w:val="42EE20B9"/>
    <w:rsid w:val="42EE714A"/>
    <w:rsid w:val="42F13435"/>
    <w:rsid w:val="42F3B821"/>
    <w:rsid w:val="42F83B55"/>
    <w:rsid w:val="42F8B69A"/>
    <w:rsid w:val="42FA5EA5"/>
    <w:rsid w:val="42FB285B"/>
    <w:rsid w:val="42FF358B"/>
    <w:rsid w:val="42FF7CB5"/>
    <w:rsid w:val="430531CA"/>
    <w:rsid w:val="43057F85"/>
    <w:rsid w:val="4306F77C"/>
    <w:rsid w:val="43077113"/>
    <w:rsid w:val="4309385F"/>
    <w:rsid w:val="4309E26A"/>
    <w:rsid w:val="430E4078"/>
    <w:rsid w:val="4311656A"/>
    <w:rsid w:val="431271B5"/>
    <w:rsid w:val="4312DE44"/>
    <w:rsid w:val="43137707"/>
    <w:rsid w:val="43138370"/>
    <w:rsid w:val="4315F933"/>
    <w:rsid w:val="4317836F"/>
    <w:rsid w:val="431D4EFE"/>
    <w:rsid w:val="431ED665"/>
    <w:rsid w:val="43237C2B"/>
    <w:rsid w:val="43248DF4"/>
    <w:rsid w:val="432562D4"/>
    <w:rsid w:val="4329BD73"/>
    <w:rsid w:val="432AA73E"/>
    <w:rsid w:val="432AB1B0"/>
    <w:rsid w:val="432B031B"/>
    <w:rsid w:val="432B4344"/>
    <w:rsid w:val="432E66FE"/>
    <w:rsid w:val="432EF8DA"/>
    <w:rsid w:val="432EFC05"/>
    <w:rsid w:val="433101FF"/>
    <w:rsid w:val="433308AD"/>
    <w:rsid w:val="43363E45"/>
    <w:rsid w:val="433735BB"/>
    <w:rsid w:val="433C1314"/>
    <w:rsid w:val="4341B387"/>
    <w:rsid w:val="43426B7C"/>
    <w:rsid w:val="4342A5BE"/>
    <w:rsid w:val="4342E076"/>
    <w:rsid w:val="4346D51A"/>
    <w:rsid w:val="43473B68"/>
    <w:rsid w:val="43481C83"/>
    <w:rsid w:val="43483DDD"/>
    <w:rsid w:val="4349A205"/>
    <w:rsid w:val="434B92DD"/>
    <w:rsid w:val="434C06AA"/>
    <w:rsid w:val="434E184D"/>
    <w:rsid w:val="434F0827"/>
    <w:rsid w:val="435579F5"/>
    <w:rsid w:val="4356639A"/>
    <w:rsid w:val="43584B6F"/>
    <w:rsid w:val="435AA809"/>
    <w:rsid w:val="435B95E4"/>
    <w:rsid w:val="435BAE74"/>
    <w:rsid w:val="435CF373"/>
    <w:rsid w:val="435E4540"/>
    <w:rsid w:val="435F27E3"/>
    <w:rsid w:val="435F6D69"/>
    <w:rsid w:val="436110DA"/>
    <w:rsid w:val="4361C3F1"/>
    <w:rsid w:val="43634C5D"/>
    <w:rsid w:val="43689DF9"/>
    <w:rsid w:val="4369366A"/>
    <w:rsid w:val="43696B22"/>
    <w:rsid w:val="436A2624"/>
    <w:rsid w:val="436B55BA"/>
    <w:rsid w:val="43719326"/>
    <w:rsid w:val="437402DA"/>
    <w:rsid w:val="4376AFFD"/>
    <w:rsid w:val="437752AB"/>
    <w:rsid w:val="43798314"/>
    <w:rsid w:val="437AA5CB"/>
    <w:rsid w:val="437CC484"/>
    <w:rsid w:val="437D02AD"/>
    <w:rsid w:val="437FDAE7"/>
    <w:rsid w:val="4382D0EB"/>
    <w:rsid w:val="438534B3"/>
    <w:rsid w:val="438A2B66"/>
    <w:rsid w:val="438A2C92"/>
    <w:rsid w:val="438A6776"/>
    <w:rsid w:val="438C15A4"/>
    <w:rsid w:val="43914465"/>
    <w:rsid w:val="4391F0B5"/>
    <w:rsid w:val="4394C38D"/>
    <w:rsid w:val="43990FFC"/>
    <w:rsid w:val="439D1CE9"/>
    <w:rsid w:val="439F2BE2"/>
    <w:rsid w:val="43A60751"/>
    <w:rsid w:val="43A8E1AB"/>
    <w:rsid w:val="43A9B0F3"/>
    <w:rsid w:val="43AB8765"/>
    <w:rsid w:val="43B26FDB"/>
    <w:rsid w:val="43B54B08"/>
    <w:rsid w:val="43B6CEA2"/>
    <w:rsid w:val="43BA7576"/>
    <w:rsid w:val="43BB591D"/>
    <w:rsid w:val="43BF7100"/>
    <w:rsid w:val="43C45124"/>
    <w:rsid w:val="43C52C85"/>
    <w:rsid w:val="43C7B668"/>
    <w:rsid w:val="43CA6D3C"/>
    <w:rsid w:val="43CA7110"/>
    <w:rsid w:val="43CBEBCE"/>
    <w:rsid w:val="43CD8D52"/>
    <w:rsid w:val="43CF9CF7"/>
    <w:rsid w:val="43D20F14"/>
    <w:rsid w:val="43D40B7B"/>
    <w:rsid w:val="43D9C31F"/>
    <w:rsid w:val="43E0FAE8"/>
    <w:rsid w:val="43E1AA01"/>
    <w:rsid w:val="43E44F36"/>
    <w:rsid w:val="43E919B3"/>
    <w:rsid w:val="43EA27D9"/>
    <w:rsid w:val="43EC75FD"/>
    <w:rsid w:val="43F04F8B"/>
    <w:rsid w:val="43F09392"/>
    <w:rsid w:val="43F098BF"/>
    <w:rsid w:val="43F4C63D"/>
    <w:rsid w:val="43F50B8A"/>
    <w:rsid w:val="43F88807"/>
    <w:rsid w:val="43FA07EC"/>
    <w:rsid w:val="43FF9A86"/>
    <w:rsid w:val="4401BB40"/>
    <w:rsid w:val="4401E557"/>
    <w:rsid w:val="440329BF"/>
    <w:rsid w:val="44034572"/>
    <w:rsid w:val="4406A75C"/>
    <w:rsid w:val="440B8F52"/>
    <w:rsid w:val="440E8E3D"/>
    <w:rsid w:val="440EC6B6"/>
    <w:rsid w:val="440F0099"/>
    <w:rsid w:val="441075BC"/>
    <w:rsid w:val="441B569D"/>
    <w:rsid w:val="4428973B"/>
    <w:rsid w:val="4428D149"/>
    <w:rsid w:val="4429FBE0"/>
    <w:rsid w:val="442A38BE"/>
    <w:rsid w:val="442E5694"/>
    <w:rsid w:val="442ECD09"/>
    <w:rsid w:val="44307DFA"/>
    <w:rsid w:val="4433B603"/>
    <w:rsid w:val="4433B9BD"/>
    <w:rsid w:val="443762BD"/>
    <w:rsid w:val="443ADFFB"/>
    <w:rsid w:val="443BEC10"/>
    <w:rsid w:val="443D4626"/>
    <w:rsid w:val="4440DC2A"/>
    <w:rsid w:val="4442A1C9"/>
    <w:rsid w:val="44464A67"/>
    <w:rsid w:val="444FDB33"/>
    <w:rsid w:val="4456756A"/>
    <w:rsid w:val="44581777"/>
    <w:rsid w:val="44587377"/>
    <w:rsid w:val="44588746"/>
    <w:rsid w:val="445A5B66"/>
    <w:rsid w:val="445B6201"/>
    <w:rsid w:val="4460D093"/>
    <w:rsid w:val="44685565"/>
    <w:rsid w:val="446A20BE"/>
    <w:rsid w:val="446E7B4A"/>
    <w:rsid w:val="446F4198"/>
    <w:rsid w:val="44759BC7"/>
    <w:rsid w:val="447984AA"/>
    <w:rsid w:val="4479ED32"/>
    <w:rsid w:val="44802FC2"/>
    <w:rsid w:val="4483F12B"/>
    <w:rsid w:val="4484E72C"/>
    <w:rsid w:val="448BAA5A"/>
    <w:rsid w:val="448D9191"/>
    <w:rsid w:val="448FDFC2"/>
    <w:rsid w:val="44919FFD"/>
    <w:rsid w:val="4491F452"/>
    <w:rsid w:val="4492D520"/>
    <w:rsid w:val="4493F842"/>
    <w:rsid w:val="4495E764"/>
    <w:rsid w:val="449AD11C"/>
    <w:rsid w:val="44A10964"/>
    <w:rsid w:val="44A34146"/>
    <w:rsid w:val="44A43754"/>
    <w:rsid w:val="44A68674"/>
    <w:rsid w:val="44A7A0E9"/>
    <w:rsid w:val="44A8ADDA"/>
    <w:rsid w:val="44AA445F"/>
    <w:rsid w:val="44AB5958"/>
    <w:rsid w:val="44AB5E41"/>
    <w:rsid w:val="44ACA4D5"/>
    <w:rsid w:val="44B03EBD"/>
    <w:rsid w:val="44B320C8"/>
    <w:rsid w:val="44B379B6"/>
    <w:rsid w:val="44B6597E"/>
    <w:rsid w:val="44BAEB95"/>
    <w:rsid w:val="44BB2E74"/>
    <w:rsid w:val="44BB8CB7"/>
    <w:rsid w:val="44BC170D"/>
    <w:rsid w:val="44BFC0ED"/>
    <w:rsid w:val="44C80A3C"/>
    <w:rsid w:val="44CF0761"/>
    <w:rsid w:val="44D1F39B"/>
    <w:rsid w:val="44D394B1"/>
    <w:rsid w:val="44D58036"/>
    <w:rsid w:val="44DA607D"/>
    <w:rsid w:val="44DDE027"/>
    <w:rsid w:val="44E0B615"/>
    <w:rsid w:val="44E2D238"/>
    <w:rsid w:val="44E98EFD"/>
    <w:rsid w:val="44EA6418"/>
    <w:rsid w:val="44EBBF71"/>
    <w:rsid w:val="44EE8418"/>
    <w:rsid w:val="44EFBBFF"/>
    <w:rsid w:val="44F5F30C"/>
    <w:rsid w:val="44F72DFD"/>
    <w:rsid w:val="44F9F421"/>
    <w:rsid w:val="44FBB897"/>
    <w:rsid w:val="44FCA9AF"/>
    <w:rsid w:val="44FEBAE2"/>
    <w:rsid w:val="44FF7255"/>
    <w:rsid w:val="44FFC341"/>
    <w:rsid w:val="4500C2B9"/>
    <w:rsid w:val="4501526B"/>
    <w:rsid w:val="45033748"/>
    <w:rsid w:val="4509BB85"/>
    <w:rsid w:val="450C3DFF"/>
    <w:rsid w:val="450D39D8"/>
    <w:rsid w:val="450E4983"/>
    <w:rsid w:val="451102B5"/>
    <w:rsid w:val="45112A50"/>
    <w:rsid w:val="45118F9E"/>
    <w:rsid w:val="4517AEF2"/>
    <w:rsid w:val="451CD981"/>
    <w:rsid w:val="451DC995"/>
    <w:rsid w:val="452252DB"/>
    <w:rsid w:val="4523573D"/>
    <w:rsid w:val="452A232D"/>
    <w:rsid w:val="452A2C36"/>
    <w:rsid w:val="452A3586"/>
    <w:rsid w:val="452B162C"/>
    <w:rsid w:val="452BAF4F"/>
    <w:rsid w:val="453108BD"/>
    <w:rsid w:val="453264E7"/>
    <w:rsid w:val="4532B63A"/>
    <w:rsid w:val="453426D3"/>
    <w:rsid w:val="4535B8FF"/>
    <w:rsid w:val="45366E6E"/>
    <w:rsid w:val="453690CC"/>
    <w:rsid w:val="4537AC38"/>
    <w:rsid w:val="453903B9"/>
    <w:rsid w:val="453A24AB"/>
    <w:rsid w:val="453AEAED"/>
    <w:rsid w:val="453B4C10"/>
    <w:rsid w:val="453BD93C"/>
    <w:rsid w:val="453E850B"/>
    <w:rsid w:val="4540A03C"/>
    <w:rsid w:val="4544D67B"/>
    <w:rsid w:val="45457D2C"/>
    <w:rsid w:val="45458C4F"/>
    <w:rsid w:val="454AA737"/>
    <w:rsid w:val="454FD74E"/>
    <w:rsid w:val="455143DA"/>
    <w:rsid w:val="4551D564"/>
    <w:rsid w:val="45522A87"/>
    <w:rsid w:val="4552E7FB"/>
    <w:rsid w:val="45543912"/>
    <w:rsid w:val="45547AA4"/>
    <w:rsid w:val="455910A4"/>
    <w:rsid w:val="455D8F1F"/>
    <w:rsid w:val="455FE9D6"/>
    <w:rsid w:val="45608EA0"/>
    <w:rsid w:val="4561D5C1"/>
    <w:rsid w:val="45646EEF"/>
    <w:rsid w:val="4567AB3D"/>
    <w:rsid w:val="456BF8B7"/>
    <w:rsid w:val="4573F8B2"/>
    <w:rsid w:val="457425FC"/>
    <w:rsid w:val="4576E1E2"/>
    <w:rsid w:val="4579EFE4"/>
    <w:rsid w:val="457DAAE0"/>
    <w:rsid w:val="457F57A4"/>
    <w:rsid w:val="4585329C"/>
    <w:rsid w:val="4587318D"/>
    <w:rsid w:val="458ADB79"/>
    <w:rsid w:val="458B9C7E"/>
    <w:rsid w:val="458DB26A"/>
    <w:rsid w:val="4590AADA"/>
    <w:rsid w:val="4593BA20"/>
    <w:rsid w:val="45964644"/>
    <w:rsid w:val="459D196A"/>
    <w:rsid w:val="45A13E79"/>
    <w:rsid w:val="45A1AB35"/>
    <w:rsid w:val="45A1C50F"/>
    <w:rsid w:val="45A60790"/>
    <w:rsid w:val="45A672D0"/>
    <w:rsid w:val="45A806F4"/>
    <w:rsid w:val="45AA9F09"/>
    <w:rsid w:val="45ACD00C"/>
    <w:rsid w:val="45AEC6EE"/>
    <w:rsid w:val="45AF8107"/>
    <w:rsid w:val="45B1C5B6"/>
    <w:rsid w:val="45B5A13D"/>
    <w:rsid w:val="45B87DC0"/>
    <w:rsid w:val="45BC1DE5"/>
    <w:rsid w:val="45BFAF6D"/>
    <w:rsid w:val="45C80A24"/>
    <w:rsid w:val="45CB3D58"/>
    <w:rsid w:val="45CF4060"/>
    <w:rsid w:val="45D57E00"/>
    <w:rsid w:val="45DAC34C"/>
    <w:rsid w:val="45DBED1C"/>
    <w:rsid w:val="45DC74E2"/>
    <w:rsid w:val="45DD7796"/>
    <w:rsid w:val="45DEB067"/>
    <w:rsid w:val="45E1CEA0"/>
    <w:rsid w:val="45E1FF11"/>
    <w:rsid w:val="45E4C47A"/>
    <w:rsid w:val="45E7333C"/>
    <w:rsid w:val="45E8B359"/>
    <w:rsid w:val="45E979B7"/>
    <w:rsid w:val="45EA5FAC"/>
    <w:rsid w:val="45ECDE44"/>
    <w:rsid w:val="45EDB61C"/>
    <w:rsid w:val="45EDC81B"/>
    <w:rsid w:val="45F5FA07"/>
    <w:rsid w:val="45F96F44"/>
    <w:rsid w:val="45FC54DF"/>
    <w:rsid w:val="45FC8F79"/>
    <w:rsid w:val="45FCF414"/>
    <w:rsid w:val="45FD0EEC"/>
    <w:rsid w:val="45FD8CD0"/>
    <w:rsid w:val="45FDEE8B"/>
    <w:rsid w:val="45FFB222"/>
    <w:rsid w:val="460260C5"/>
    <w:rsid w:val="4606762A"/>
    <w:rsid w:val="4608BAE9"/>
    <w:rsid w:val="460AEA75"/>
    <w:rsid w:val="460B9297"/>
    <w:rsid w:val="4613380B"/>
    <w:rsid w:val="4613B211"/>
    <w:rsid w:val="46181CA5"/>
    <w:rsid w:val="461B1395"/>
    <w:rsid w:val="461C37BE"/>
    <w:rsid w:val="461CE403"/>
    <w:rsid w:val="461DEDCF"/>
    <w:rsid w:val="461E1F8E"/>
    <w:rsid w:val="46246459"/>
    <w:rsid w:val="462843D7"/>
    <w:rsid w:val="462B3050"/>
    <w:rsid w:val="462BC509"/>
    <w:rsid w:val="462DBC61"/>
    <w:rsid w:val="46359097"/>
    <w:rsid w:val="4636E527"/>
    <w:rsid w:val="46378097"/>
    <w:rsid w:val="463C0D89"/>
    <w:rsid w:val="463CE995"/>
    <w:rsid w:val="463D2D9F"/>
    <w:rsid w:val="463E4ABE"/>
    <w:rsid w:val="463ED534"/>
    <w:rsid w:val="4641404E"/>
    <w:rsid w:val="4647F493"/>
    <w:rsid w:val="464A29A5"/>
    <w:rsid w:val="464CAC33"/>
    <w:rsid w:val="46555A71"/>
    <w:rsid w:val="4656066C"/>
    <w:rsid w:val="4659CF02"/>
    <w:rsid w:val="465EF038"/>
    <w:rsid w:val="4660739A"/>
    <w:rsid w:val="4663C2C9"/>
    <w:rsid w:val="4663CBAA"/>
    <w:rsid w:val="4664F41E"/>
    <w:rsid w:val="4669E34F"/>
    <w:rsid w:val="466A3FE3"/>
    <w:rsid w:val="46707584"/>
    <w:rsid w:val="46728C40"/>
    <w:rsid w:val="46736611"/>
    <w:rsid w:val="4674B482"/>
    <w:rsid w:val="467556CF"/>
    <w:rsid w:val="4679FE53"/>
    <w:rsid w:val="467B5368"/>
    <w:rsid w:val="467BC846"/>
    <w:rsid w:val="467CC79F"/>
    <w:rsid w:val="46820747"/>
    <w:rsid w:val="468220FF"/>
    <w:rsid w:val="46840069"/>
    <w:rsid w:val="4685A2C6"/>
    <w:rsid w:val="46877491"/>
    <w:rsid w:val="468DD746"/>
    <w:rsid w:val="46904F0D"/>
    <w:rsid w:val="469107FB"/>
    <w:rsid w:val="46914707"/>
    <w:rsid w:val="4696A6EB"/>
    <w:rsid w:val="469797B5"/>
    <w:rsid w:val="469A0887"/>
    <w:rsid w:val="469AF7FB"/>
    <w:rsid w:val="469B8A1D"/>
    <w:rsid w:val="469CCC19"/>
    <w:rsid w:val="469CFE22"/>
    <w:rsid w:val="469D92D8"/>
    <w:rsid w:val="46A65BA5"/>
    <w:rsid w:val="46A9BBF7"/>
    <w:rsid w:val="46AB31EF"/>
    <w:rsid w:val="46AD12BF"/>
    <w:rsid w:val="46AE8177"/>
    <w:rsid w:val="46B209B7"/>
    <w:rsid w:val="46B2F1E6"/>
    <w:rsid w:val="46B6B5D5"/>
    <w:rsid w:val="46B77AE6"/>
    <w:rsid w:val="46B78BBA"/>
    <w:rsid w:val="46B8102C"/>
    <w:rsid w:val="46BCEAA2"/>
    <w:rsid w:val="46BD414C"/>
    <w:rsid w:val="46BE1AF0"/>
    <w:rsid w:val="46BEB29F"/>
    <w:rsid w:val="46C2854C"/>
    <w:rsid w:val="46C30702"/>
    <w:rsid w:val="46C409CD"/>
    <w:rsid w:val="46C8A50A"/>
    <w:rsid w:val="46CBAE02"/>
    <w:rsid w:val="46CC76F8"/>
    <w:rsid w:val="46CCE0FA"/>
    <w:rsid w:val="46CF85F0"/>
    <w:rsid w:val="46D27DC3"/>
    <w:rsid w:val="46DA2D90"/>
    <w:rsid w:val="46DA899C"/>
    <w:rsid w:val="46DD42B2"/>
    <w:rsid w:val="46DFCA33"/>
    <w:rsid w:val="46E0917F"/>
    <w:rsid w:val="46E14997"/>
    <w:rsid w:val="46E5981F"/>
    <w:rsid w:val="46E719D6"/>
    <w:rsid w:val="46E7C8F4"/>
    <w:rsid w:val="46E7EDC4"/>
    <w:rsid w:val="46EA8F93"/>
    <w:rsid w:val="46EB43E6"/>
    <w:rsid w:val="46EDC0AC"/>
    <w:rsid w:val="46F2B39E"/>
    <w:rsid w:val="46F4ED56"/>
    <w:rsid w:val="46FDF485"/>
    <w:rsid w:val="46FEC7CE"/>
    <w:rsid w:val="46FED1F2"/>
    <w:rsid w:val="470169BB"/>
    <w:rsid w:val="4704CF65"/>
    <w:rsid w:val="470535F0"/>
    <w:rsid w:val="4706A001"/>
    <w:rsid w:val="470BC448"/>
    <w:rsid w:val="470D5920"/>
    <w:rsid w:val="470FD60B"/>
    <w:rsid w:val="47103D4E"/>
    <w:rsid w:val="47147CF6"/>
    <w:rsid w:val="47162152"/>
    <w:rsid w:val="4718344E"/>
    <w:rsid w:val="4718ED47"/>
    <w:rsid w:val="471D1DDA"/>
    <w:rsid w:val="471ED62D"/>
    <w:rsid w:val="4722C237"/>
    <w:rsid w:val="472513EF"/>
    <w:rsid w:val="47266EDE"/>
    <w:rsid w:val="47268AAE"/>
    <w:rsid w:val="4728D612"/>
    <w:rsid w:val="4728F7BF"/>
    <w:rsid w:val="47291356"/>
    <w:rsid w:val="4729B0AF"/>
    <w:rsid w:val="472B6D4A"/>
    <w:rsid w:val="472C9046"/>
    <w:rsid w:val="472F8E8C"/>
    <w:rsid w:val="472FD73E"/>
    <w:rsid w:val="47301DBE"/>
    <w:rsid w:val="473373A4"/>
    <w:rsid w:val="4733A367"/>
    <w:rsid w:val="473461A5"/>
    <w:rsid w:val="473A0C68"/>
    <w:rsid w:val="47436C83"/>
    <w:rsid w:val="474A1C62"/>
    <w:rsid w:val="474A9B5C"/>
    <w:rsid w:val="474AC421"/>
    <w:rsid w:val="474CBC1D"/>
    <w:rsid w:val="4750B373"/>
    <w:rsid w:val="475A231C"/>
    <w:rsid w:val="475B1488"/>
    <w:rsid w:val="475BA129"/>
    <w:rsid w:val="475BA78A"/>
    <w:rsid w:val="475CDFA2"/>
    <w:rsid w:val="475D59FC"/>
    <w:rsid w:val="475DA058"/>
    <w:rsid w:val="475DCCB9"/>
    <w:rsid w:val="4760AE0A"/>
    <w:rsid w:val="47627E9A"/>
    <w:rsid w:val="476569C8"/>
    <w:rsid w:val="47661D4A"/>
    <w:rsid w:val="476B543A"/>
    <w:rsid w:val="476E56F0"/>
    <w:rsid w:val="477290D4"/>
    <w:rsid w:val="47737CE3"/>
    <w:rsid w:val="4773B2C2"/>
    <w:rsid w:val="47746E67"/>
    <w:rsid w:val="477CF306"/>
    <w:rsid w:val="477D0078"/>
    <w:rsid w:val="477EE2DC"/>
    <w:rsid w:val="477F54A8"/>
    <w:rsid w:val="477FEF52"/>
    <w:rsid w:val="47807B6A"/>
    <w:rsid w:val="4781F4C0"/>
    <w:rsid w:val="478645A0"/>
    <w:rsid w:val="4788389A"/>
    <w:rsid w:val="478A6BA1"/>
    <w:rsid w:val="478AF8CD"/>
    <w:rsid w:val="478C410B"/>
    <w:rsid w:val="478F80E6"/>
    <w:rsid w:val="47919B93"/>
    <w:rsid w:val="47931CD4"/>
    <w:rsid w:val="479A2C7C"/>
    <w:rsid w:val="479B4A9F"/>
    <w:rsid w:val="479DECFF"/>
    <w:rsid w:val="479DF452"/>
    <w:rsid w:val="479E8AEC"/>
    <w:rsid w:val="479F0A9A"/>
    <w:rsid w:val="479F35E8"/>
    <w:rsid w:val="47A16055"/>
    <w:rsid w:val="47A3EF3E"/>
    <w:rsid w:val="47A5CB8E"/>
    <w:rsid w:val="47A6CBEA"/>
    <w:rsid w:val="47A78040"/>
    <w:rsid w:val="47A83EF8"/>
    <w:rsid w:val="47A9B655"/>
    <w:rsid w:val="47AC358C"/>
    <w:rsid w:val="47AC873E"/>
    <w:rsid w:val="47ACDDD1"/>
    <w:rsid w:val="47B4A6B4"/>
    <w:rsid w:val="47B5181E"/>
    <w:rsid w:val="47B91329"/>
    <w:rsid w:val="47B9DB84"/>
    <w:rsid w:val="47BD9175"/>
    <w:rsid w:val="47C44EB0"/>
    <w:rsid w:val="47C55399"/>
    <w:rsid w:val="47C57441"/>
    <w:rsid w:val="47C90CBC"/>
    <w:rsid w:val="47CA5FD5"/>
    <w:rsid w:val="47CBC943"/>
    <w:rsid w:val="47CBE547"/>
    <w:rsid w:val="47D1C1F9"/>
    <w:rsid w:val="47D2AEBB"/>
    <w:rsid w:val="47D7C404"/>
    <w:rsid w:val="47DB8796"/>
    <w:rsid w:val="47DBE45E"/>
    <w:rsid w:val="47DCF05E"/>
    <w:rsid w:val="47DDF98B"/>
    <w:rsid w:val="47DE1A2D"/>
    <w:rsid w:val="47DF8824"/>
    <w:rsid w:val="47E1E60F"/>
    <w:rsid w:val="47E34419"/>
    <w:rsid w:val="47E37E9A"/>
    <w:rsid w:val="47E3A741"/>
    <w:rsid w:val="47E7694F"/>
    <w:rsid w:val="47E77533"/>
    <w:rsid w:val="47E8643C"/>
    <w:rsid w:val="47E97EE6"/>
    <w:rsid w:val="47F091BD"/>
    <w:rsid w:val="47F332B6"/>
    <w:rsid w:val="47F659A4"/>
    <w:rsid w:val="47F68696"/>
    <w:rsid w:val="47F726A5"/>
    <w:rsid w:val="47FB0CF6"/>
    <w:rsid w:val="48000B86"/>
    <w:rsid w:val="48015897"/>
    <w:rsid w:val="48063443"/>
    <w:rsid w:val="4808A734"/>
    <w:rsid w:val="48096384"/>
    <w:rsid w:val="4809AFF2"/>
    <w:rsid w:val="480A4BFC"/>
    <w:rsid w:val="480DE64E"/>
    <w:rsid w:val="48123C5D"/>
    <w:rsid w:val="48163BB0"/>
    <w:rsid w:val="481A18A1"/>
    <w:rsid w:val="481A5C87"/>
    <w:rsid w:val="482133C8"/>
    <w:rsid w:val="4821C001"/>
    <w:rsid w:val="4822AC48"/>
    <w:rsid w:val="48232E2D"/>
    <w:rsid w:val="4823B207"/>
    <w:rsid w:val="48242CAE"/>
    <w:rsid w:val="4829F17F"/>
    <w:rsid w:val="482B0170"/>
    <w:rsid w:val="482BE692"/>
    <w:rsid w:val="482EB448"/>
    <w:rsid w:val="48356FA8"/>
    <w:rsid w:val="48363B2F"/>
    <w:rsid w:val="48404855"/>
    <w:rsid w:val="4845BF4E"/>
    <w:rsid w:val="48466D14"/>
    <w:rsid w:val="48471809"/>
    <w:rsid w:val="4847A0A4"/>
    <w:rsid w:val="48505CC7"/>
    <w:rsid w:val="4853A92E"/>
    <w:rsid w:val="4854BC54"/>
    <w:rsid w:val="48554323"/>
    <w:rsid w:val="485738AF"/>
    <w:rsid w:val="485EB7B3"/>
    <w:rsid w:val="485EC971"/>
    <w:rsid w:val="485EE92E"/>
    <w:rsid w:val="48610B21"/>
    <w:rsid w:val="486353CE"/>
    <w:rsid w:val="4865C4A8"/>
    <w:rsid w:val="4866EC3F"/>
    <w:rsid w:val="48674D7D"/>
    <w:rsid w:val="486B1009"/>
    <w:rsid w:val="486B6B16"/>
    <w:rsid w:val="486D5F08"/>
    <w:rsid w:val="48749B1C"/>
    <w:rsid w:val="4877EA60"/>
    <w:rsid w:val="487A59FE"/>
    <w:rsid w:val="487A9716"/>
    <w:rsid w:val="487BB60E"/>
    <w:rsid w:val="48821F3D"/>
    <w:rsid w:val="48832E3C"/>
    <w:rsid w:val="488617A1"/>
    <w:rsid w:val="488684D4"/>
    <w:rsid w:val="4886DAE1"/>
    <w:rsid w:val="4889F303"/>
    <w:rsid w:val="488D80FB"/>
    <w:rsid w:val="488ECA01"/>
    <w:rsid w:val="4890C575"/>
    <w:rsid w:val="4893307E"/>
    <w:rsid w:val="48995953"/>
    <w:rsid w:val="489CC33D"/>
    <w:rsid w:val="48A58E8E"/>
    <w:rsid w:val="48A70ED0"/>
    <w:rsid w:val="48AA9B76"/>
    <w:rsid w:val="48ACE467"/>
    <w:rsid w:val="48AD63CF"/>
    <w:rsid w:val="48AE02F3"/>
    <w:rsid w:val="48AEA036"/>
    <w:rsid w:val="48AEC743"/>
    <w:rsid w:val="48AFF6C4"/>
    <w:rsid w:val="48B04342"/>
    <w:rsid w:val="48B4946D"/>
    <w:rsid w:val="48B5F1FE"/>
    <w:rsid w:val="48B67847"/>
    <w:rsid w:val="48B9C283"/>
    <w:rsid w:val="48B9F95A"/>
    <w:rsid w:val="48C4FB87"/>
    <w:rsid w:val="48C71DE1"/>
    <w:rsid w:val="48C7F716"/>
    <w:rsid w:val="48CBEE73"/>
    <w:rsid w:val="48CF2D18"/>
    <w:rsid w:val="48CFC1CF"/>
    <w:rsid w:val="48D195A8"/>
    <w:rsid w:val="48D2ED06"/>
    <w:rsid w:val="48D339E9"/>
    <w:rsid w:val="48D528E3"/>
    <w:rsid w:val="48D53A49"/>
    <w:rsid w:val="48D56DEC"/>
    <w:rsid w:val="48D82A63"/>
    <w:rsid w:val="48DF1E3B"/>
    <w:rsid w:val="48DF4540"/>
    <w:rsid w:val="48DF7321"/>
    <w:rsid w:val="48E076FF"/>
    <w:rsid w:val="48E333E4"/>
    <w:rsid w:val="48E4FD18"/>
    <w:rsid w:val="48E647BF"/>
    <w:rsid w:val="48E6C4B3"/>
    <w:rsid w:val="48E7FB66"/>
    <w:rsid w:val="48EB6951"/>
    <w:rsid w:val="48EBE8A9"/>
    <w:rsid w:val="48ECA564"/>
    <w:rsid w:val="48ED586D"/>
    <w:rsid w:val="48EDE7E0"/>
    <w:rsid w:val="48EE1D93"/>
    <w:rsid w:val="48F40C2A"/>
    <w:rsid w:val="48F635A5"/>
    <w:rsid w:val="48F6C8FB"/>
    <w:rsid w:val="48F8B554"/>
    <w:rsid w:val="48F8F3F0"/>
    <w:rsid w:val="48FC2F4E"/>
    <w:rsid w:val="48FC9537"/>
    <w:rsid w:val="48FCD60D"/>
    <w:rsid w:val="48FE0E5A"/>
    <w:rsid w:val="48FE277D"/>
    <w:rsid w:val="48FF3DF5"/>
    <w:rsid w:val="4900BE0C"/>
    <w:rsid w:val="4902DD81"/>
    <w:rsid w:val="49034614"/>
    <w:rsid w:val="4903C4C5"/>
    <w:rsid w:val="49054B27"/>
    <w:rsid w:val="490830DF"/>
    <w:rsid w:val="4909CF06"/>
    <w:rsid w:val="490AF741"/>
    <w:rsid w:val="490CDBFD"/>
    <w:rsid w:val="490D24DF"/>
    <w:rsid w:val="490FE37B"/>
    <w:rsid w:val="491370DC"/>
    <w:rsid w:val="4917C228"/>
    <w:rsid w:val="49183A0C"/>
    <w:rsid w:val="491991A7"/>
    <w:rsid w:val="491AC2A8"/>
    <w:rsid w:val="491C5388"/>
    <w:rsid w:val="491D419C"/>
    <w:rsid w:val="4925F259"/>
    <w:rsid w:val="4929A457"/>
    <w:rsid w:val="4929E81F"/>
    <w:rsid w:val="492A7240"/>
    <w:rsid w:val="492C535B"/>
    <w:rsid w:val="492EE15E"/>
    <w:rsid w:val="492F51A1"/>
    <w:rsid w:val="49303827"/>
    <w:rsid w:val="4936BE3D"/>
    <w:rsid w:val="493C68AB"/>
    <w:rsid w:val="4942C39E"/>
    <w:rsid w:val="494456B1"/>
    <w:rsid w:val="494759B7"/>
    <w:rsid w:val="494B91D8"/>
    <w:rsid w:val="494D4461"/>
    <w:rsid w:val="494DA7D7"/>
    <w:rsid w:val="494E9264"/>
    <w:rsid w:val="494FDC9E"/>
    <w:rsid w:val="4956BBD1"/>
    <w:rsid w:val="49575D8A"/>
    <w:rsid w:val="495B5DE5"/>
    <w:rsid w:val="495D507B"/>
    <w:rsid w:val="496074A1"/>
    <w:rsid w:val="4961E76A"/>
    <w:rsid w:val="4963D648"/>
    <w:rsid w:val="4963D904"/>
    <w:rsid w:val="49671CBB"/>
    <w:rsid w:val="4967C778"/>
    <w:rsid w:val="496A0070"/>
    <w:rsid w:val="496A8344"/>
    <w:rsid w:val="496C1584"/>
    <w:rsid w:val="496E99F2"/>
    <w:rsid w:val="496F3215"/>
    <w:rsid w:val="49715164"/>
    <w:rsid w:val="4981A9CD"/>
    <w:rsid w:val="49829BE7"/>
    <w:rsid w:val="4986D4BD"/>
    <w:rsid w:val="4989D546"/>
    <w:rsid w:val="498BDF55"/>
    <w:rsid w:val="498D64BC"/>
    <w:rsid w:val="498E625B"/>
    <w:rsid w:val="4992885E"/>
    <w:rsid w:val="4995DB6A"/>
    <w:rsid w:val="4998EB1E"/>
    <w:rsid w:val="499988CD"/>
    <w:rsid w:val="499B6DA6"/>
    <w:rsid w:val="49A5C305"/>
    <w:rsid w:val="49A5C47F"/>
    <w:rsid w:val="49A6E3C8"/>
    <w:rsid w:val="49A7F28A"/>
    <w:rsid w:val="49AC2662"/>
    <w:rsid w:val="49ACB520"/>
    <w:rsid w:val="49AFA30D"/>
    <w:rsid w:val="49B04AF5"/>
    <w:rsid w:val="49B0E61F"/>
    <w:rsid w:val="49B289E9"/>
    <w:rsid w:val="49B61B4B"/>
    <w:rsid w:val="49B70DB1"/>
    <w:rsid w:val="49B8E750"/>
    <w:rsid w:val="49BBF79D"/>
    <w:rsid w:val="49BE807B"/>
    <w:rsid w:val="49C0297A"/>
    <w:rsid w:val="49C4B8BB"/>
    <w:rsid w:val="49C55A38"/>
    <w:rsid w:val="49CF6028"/>
    <w:rsid w:val="49D58840"/>
    <w:rsid w:val="49D8267B"/>
    <w:rsid w:val="49DB8ACC"/>
    <w:rsid w:val="49DC1811"/>
    <w:rsid w:val="49DE8C8C"/>
    <w:rsid w:val="49DF608D"/>
    <w:rsid w:val="49E45473"/>
    <w:rsid w:val="49E599FA"/>
    <w:rsid w:val="49E8913B"/>
    <w:rsid w:val="49E8D0A1"/>
    <w:rsid w:val="49ECBEA5"/>
    <w:rsid w:val="49ECDC3C"/>
    <w:rsid w:val="49ED6F69"/>
    <w:rsid w:val="49F269EF"/>
    <w:rsid w:val="49F50C1A"/>
    <w:rsid w:val="49F62167"/>
    <w:rsid w:val="49F6B2ED"/>
    <w:rsid w:val="49F771AF"/>
    <w:rsid w:val="49F95B55"/>
    <w:rsid w:val="49F9AF52"/>
    <w:rsid w:val="49FCE27B"/>
    <w:rsid w:val="49FDC72F"/>
    <w:rsid w:val="49FE9CB6"/>
    <w:rsid w:val="49FF84AC"/>
    <w:rsid w:val="4A02D2C5"/>
    <w:rsid w:val="4A048CCD"/>
    <w:rsid w:val="4A07E974"/>
    <w:rsid w:val="4A0891C1"/>
    <w:rsid w:val="4A09025A"/>
    <w:rsid w:val="4A0A402B"/>
    <w:rsid w:val="4A0BABF4"/>
    <w:rsid w:val="4A0ED0F0"/>
    <w:rsid w:val="4A1378B7"/>
    <w:rsid w:val="4A18F470"/>
    <w:rsid w:val="4A197479"/>
    <w:rsid w:val="4A1A41F2"/>
    <w:rsid w:val="4A1C057F"/>
    <w:rsid w:val="4A1F75DD"/>
    <w:rsid w:val="4A21216B"/>
    <w:rsid w:val="4A2816E4"/>
    <w:rsid w:val="4A2A0B1D"/>
    <w:rsid w:val="4A2BACA0"/>
    <w:rsid w:val="4A2D6AB9"/>
    <w:rsid w:val="4A2E9407"/>
    <w:rsid w:val="4A30E297"/>
    <w:rsid w:val="4A30EEF9"/>
    <w:rsid w:val="4A35A08F"/>
    <w:rsid w:val="4A368816"/>
    <w:rsid w:val="4A3A6390"/>
    <w:rsid w:val="4A3BE91D"/>
    <w:rsid w:val="4A3C24B6"/>
    <w:rsid w:val="4A3D1EC1"/>
    <w:rsid w:val="4A3EFED3"/>
    <w:rsid w:val="4A3FC2B6"/>
    <w:rsid w:val="4A407B22"/>
    <w:rsid w:val="4A428150"/>
    <w:rsid w:val="4A45F966"/>
    <w:rsid w:val="4A4620CD"/>
    <w:rsid w:val="4A491965"/>
    <w:rsid w:val="4A4D5319"/>
    <w:rsid w:val="4A4E1F4E"/>
    <w:rsid w:val="4A4EA2EA"/>
    <w:rsid w:val="4A4F9FEB"/>
    <w:rsid w:val="4A4FA020"/>
    <w:rsid w:val="4A54E940"/>
    <w:rsid w:val="4A582A54"/>
    <w:rsid w:val="4A584354"/>
    <w:rsid w:val="4A59B455"/>
    <w:rsid w:val="4A5A440D"/>
    <w:rsid w:val="4A5A4541"/>
    <w:rsid w:val="4A5F8A46"/>
    <w:rsid w:val="4A624A04"/>
    <w:rsid w:val="4A658ADA"/>
    <w:rsid w:val="4A6991A5"/>
    <w:rsid w:val="4A6A55D4"/>
    <w:rsid w:val="4A6B03A0"/>
    <w:rsid w:val="4A6F0F48"/>
    <w:rsid w:val="4A740194"/>
    <w:rsid w:val="4A74D1A2"/>
    <w:rsid w:val="4A75D5C3"/>
    <w:rsid w:val="4A772E7A"/>
    <w:rsid w:val="4A786659"/>
    <w:rsid w:val="4A787F53"/>
    <w:rsid w:val="4A7882A9"/>
    <w:rsid w:val="4A79438D"/>
    <w:rsid w:val="4A79B504"/>
    <w:rsid w:val="4A7B7DC8"/>
    <w:rsid w:val="4A7EE671"/>
    <w:rsid w:val="4A80A562"/>
    <w:rsid w:val="4A893DAC"/>
    <w:rsid w:val="4A894C51"/>
    <w:rsid w:val="4A8AAF69"/>
    <w:rsid w:val="4A8CD4C8"/>
    <w:rsid w:val="4A8D37E9"/>
    <w:rsid w:val="4A8D7F46"/>
    <w:rsid w:val="4A8D94B6"/>
    <w:rsid w:val="4A8DC8DC"/>
    <w:rsid w:val="4A91FC19"/>
    <w:rsid w:val="4A972682"/>
    <w:rsid w:val="4A988076"/>
    <w:rsid w:val="4A98F504"/>
    <w:rsid w:val="4A9AB04A"/>
    <w:rsid w:val="4A9C8F5A"/>
    <w:rsid w:val="4A9D9B76"/>
    <w:rsid w:val="4AA24D05"/>
    <w:rsid w:val="4AA507B4"/>
    <w:rsid w:val="4AA65EBD"/>
    <w:rsid w:val="4AA6B569"/>
    <w:rsid w:val="4AA84A73"/>
    <w:rsid w:val="4AA9EA58"/>
    <w:rsid w:val="4AAADC9B"/>
    <w:rsid w:val="4AAE1D56"/>
    <w:rsid w:val="4AAE46E0"/>
    <w:rsid w:val="4AB1D6A0"/>
    <w:rsid w:val="4ABC08EE"/>
    <w:rsid w:val="4ABF3D45"/>
    <w:rsid w:val="4ABF8033"/>
    <w:rsid w:val="4AC18BC6"/>
    <w:rsid w:val="4AC3058E"/>
    <w:rsid w:val="4AC7163C"/>
    <w:rsid w:val="4AC99772"/>
    <w:rsid w:val="4ACD2F05"/>
    <w:rsid w:val="4ACEA3A0"/>
    <w:rsid w:val="4AD734B1"/>
    <w:rsid w:val="4AD86FD7"/>
    <w:rsid w:val="4AD91ACC"/>
    <w:rsid w:val="4AD93F1F"/>
    <w:rsid w:val="4AD9DF66"/>
    <w:rsid w:val="4ADD946F"/>
    <w:rsid w:val="4AE52701"/>
    <w:rsid w:val="4AE782FF"/>
    <w:rsid w:val="4AE9E4FA"/>
    <w:rsid w:val="4AECAA26"/>
    <w:rsid w:val="4AED1A2E"/>
    <w:rsid w:val="4AEEF0CE"/>
    <w:rsid w:val="4AEF2438"/>
    <w:rsid w:val="4AF2B99B"/>
    <w:rsid w:val="4AF40FBA"/>
    <w:rsid w:val="4AF69CBB"/>
    <w:rsid w:val="4AF934AE"/>
    <w:rsid w:val="4AFA32F6"/>
    <w:rsid w:val="4B0589D1"/>
    <w:rsid w:val="4B0B8D23"/>
    <w:rsid w:val="4B0BA3C3"/>
    <w:rsid w:val="4B0CBF26"/>
    <w:rsid w:val="4B0E7EEE"/>
    <w:rsid w:val="4B119A6E"/>
    <w:rsid w:val="4B11DAD1"/>
    <w:rsid w:val="4B12E417"/>
    <w:rsid w:val="4B13007D"/>
    <w:rsid w:val="4B144E5A"/>
    <w:rsid w:val="4B16167B"/>
    <w:rsid w:val="4B16DF32"/>
    <w:rsid w:val="4B17B688"/>
    <w:rsid w:val="4B17FD1D"/>
    <w:rsid w:val="4B18EBA5"/>
    <w:rsid w:val="4B1A5E6B"/>
    <w:rsid w:val="4B1AC0F6"/>
    <w:rsid w:val="4B1AF6AE"/>
    <w:rsid w:val="4B1C622F"/>
    <w:rsid w:val="4B1CC070"/>
    <w:rsid w:val="4B1D8594"/>
    <w:rsid w:val="4B1E1D06"/>
    <w:rsid w:val="4B21D153"/>
    <w:rsid w:val="4B2256F4"/>
    <w:rsid w:val="4B28931C"/>
    <w:rsid w:val="4B28F97B"/>
    <w:rsid w:val="4B2DECFA"/>
    <w:rsid w:val="4B3111B8"/>
    <w:rsid w:val="4B31E68F"/>
    <w:rsid w:val="4B325E12"/>
    <w:rsid w:val="4B338307"/>
    <w:rsid w:val="4B339D3C"/>
    <w:rsid w:val="4B34C910"/>
    <w:rsid w:val="4B39AF42"/>
    <w:rsid w:val="4B3B7AB5"/>
    <w:rsid w:val="4B3D84E8"/>
    <w:rsid w:val="4B3F285F"/>
    <w:rsid w:val="4B4183C6"/>
    <w:rsid w:val="4B418B47"/>
    <w:rsid w:val="4B465F64"/>
    <w:rsid w:val="4B482897"/>
    <w:rsid w:val="4B4BF3EA"/>
    <w:rsid w:val="4B4D9704"/>
    <w:rsid w:val="4B4DF695"/>
    <w:rsid w:val="4B4F8B6A"/>
    <w:rsid w:val="4B55B495"/>
    <w:rsid w:val="4B5A00A8"/>
    <w:rsid w:val="4B5C6925"/>
    <w:rsid w:val="4B5C78FE"/>
    <w:rsid w:val="4B5F3CE4"/>
    <w:rsid w:val="4B5FBE65"/>
    <w:rsid w:val="4B61F946"/>
    <w:rsid w:val="4B6519D3"/>
    <w:rsid w:val="4B65CD4A"/>
    <w:rsid w:val="4B65FD59"/>
    <w:rsid w:val="4B679B5D"/>
    <w:rsid w:val="4B67EA5E"/>
    <w:rsid w:val="4B6ACE60"/>
    <w:rsid w:val="4B6B2604"/>
    <w:rsid w:val="4B6EF732"/>
    <w:rsid w:val="4B70BC89"/>
    <w:rsid w:val="4B70C89F"/>
    <w:rsid w:val="4B714C14"/>
    <w:rsid w:val="4B73638A"/>
    <w:rsid w:val="4B755DF5"/>
    <w:rsid w:val="4B76E9F1"/>
    <w:rsid w:val="4B7AA408"/>
    <w:rsid w:val="4B7E880C"/>
    <w:rsid w:val="4B807EEB"/>
    <w:rsid w:val="4B8222DC"/>
    <w:rsid w:val="4B83F87B"/>
    <w:rsid w:val="4B842D36"/>
    <w:rsid w:val="4B88C412"/>
    <w:rsid w:val="4B8AEE35"/>
    <w:rsid w:val="4B8DCAEC"/>
    <w:rsid w:val="4B902C1C"/>
    <w:rsid w:val="4B92D135"/>
    <w:rsid w:val="4B9306CC"/>
    <w:rsid w:val="4B99A581"/>
    <w:rsid w:val="4B9A96A0"/>
    <w:rsid w:val="4BA128B1"/>
    <w:rsid w:val="4BA3C459"/>
    <w:rsid w:val="4BA45B85"/>
    <w:rsid w:val="4BAA5319"/>
    <w:rsid w:val="4BAABD63"/>
    <w:rsid w:val="4BAB0343"/>
    <w:rsid w:val="4BB37754"/>
    <w:rsid w:val="4BB38777"/>
    <w:rsid w:val="4BB3E40B"/>
    <w:rsid w:val="4BB44755"/>
    <w:rsid w:val="4BB5715C"/>
    <w:rsid w:val="4BB6971A"/>
    <w:rsid w:val="4BB8D236"/>
    <w:rsid w:val="4BB8F45A"/>
    <w:rsid w:val="4BB99F38"/>
    <w:rsid w:val="4BBC5169"/>
    <w:rsid w:val="4BBC73E4"/>
    <w:rsid w:val="4BBF9117"/>
    <w:rsid w:val="4BC101E1"/>
    <w:rsid w:val="4BC16C5C"/>
    <w:rsid w:val="4BC323CA"/>
    <w:rsid w:val="4BC428B1"/>
    <w:rsid w:val="4BC46056"/>
    <w:rsid w:val="4BC65A15"/>
    <w:rsid w:val="4BC68926"/>
    <w:rsid w:val="4BC73711"/>
    <w:rsid w:val="4BC814F6"/>
    <w:rsid w:val="4BC9CCBD"/>
    <w:rsid w:val="4BCC3278"/>
    <w:rsid w:val="4BD38713"/>
    <w:rsid w:val="4BD38ADA"/>
    <w:rsid w:val="4BD7B264"/>
    <w:rsid w:val="4BD810C4"/>
    <w:rsid w:val="4BD83DFA"/>
    <w:rsid w:val="4BD903A1"/>
    <w:rsid w:val="4BDC0236"/>
    <w:rsid w:val="4BDC8D1B"/>
    <w:rsid w:val="4BDCD463"/>
    <w:rsid w:val="4BDD10AB"/>
    <w:rsid w:val="4BE02470"/>
    <w:rsid w:val="4BE20C64"/>
    <w:rsid w:val="4BE3E346"/>
    <w:rsid w:val="4BE6D68B"/>
    <w:rsid w:val="4BEA0256"/>
    <w:rsid w:val="4BEA2780"/>
    <w:rsid w:val="4BEAE6C0"/>
    <w:rsid w:val="4BEB1657"/>
    <w:rsid w:val="4BEB6EE9"/>
    <w:rsid w:val="4BECD6D6"/>
    <w:rsid w:val="4BEF224E"/>
    <w:rsid w:val="4BF03C1F"/>
    <w:rsid w:val="4BF0E1B6"/>
    <w:rsid w:val="4BF2A2DD"/>
    <w:rsid w:val="4BF40CEC"/>
    <w:rsid w:val="4BF683EA"/>
    <w:rsid w:val="4BFAAF30"/>
    <w:rsid w:val="4BFB74AF"/>
    <w:rsid w:val="4BFD5728"/>
    <w:rsid w:val="4C025C02"/>
    <w:rsid w:val="4C03C3B0"/>
    <w:rsid w:val="4C091242"/>
    <w:rsid w:val="4C09EEAA"/>
    <w:rsid w:val="4C0A3CA3"/>
    <w:rsid w:val="4C0ABA83"/>
    <w:rsid w:val="4C0D0B68"/>
    <w:rsid w:val="4C0EC33E"/>
    <w:rsid w:val="4C144A9C"/>
    <w:rsid w:val="4C144BEA"/>
    <w:rsid w:val="4C161889"/>
    <w:rsid w:val="4C183060"/>
    <w:rsid w:val="4C18428F"/>
    <w:rsid w:val="4C18ED01"/>
    <w:rsid w:val="4C1C2783"/>
    <w:rsid w:val="4C211ED3"/>
    <w:rsid w:val="4C261557"/>
    <w:rsid w:val="4C2D9419"/>
    <w:rsid w:val="4C2DAC0B"/>
    <w:rsid w:val="4C2E68E8"/>
    <w:rsid w:val="4C321E4D"/>
    <w:rsid w:val="4C32FBD0"/>
    <w:rsid w:val="4C33C077"/>
    <w:rsid w:val="4C35F294"/>
    <w:rsid w:val="4C369C65"/>
    <w:rsid w:val="4C37AF2B"/>
    <w:rsid w:val="4C3AE838"/>
    <w:rsid w:val="4C3B7EE2"/>
    <w:rsid w:val="4C3C683C"/>
    <w:rsid w:val="4C3E0888"/>
    <w:rsid w:val="4C4273CA"/>
    <w:rsid w:val="4C48B414"/>
    <w:rsid w:val="4C4A3D92"/>
    <w:rsid w:val="4C4B62F0"/>
    <w:rsid w:val="4C4BD560"/>
    <w:rsid w:val="4C4F54C9"/>
    <w:rsid w:val="4C549D87"/>
    <w:rsid w:val="4C561C51"/>
    <w:rsid w:val="4C56599E"/>
    <w:rsid w:val="4C56D689"/>
    <w:rsid w:val="4C5799C7"/>
    <w:rsid w:val="4C58B550"/>
    <w:rsid w:val="4C5A28CA"/>
    <w:rsid w:val="4C5DDF2D"/>
    <w:rsid w:val="4C5E5923"/>
    <w:rsid w:val="4C601755"/>
    <w:rsid w:val="4C63B17D"/>
    <w:rsid w:val="4C6794FB"/>
    <w:rsid w:val="4C684A8D"/>
    <w:rsid w:val="4C687DB0"/>
    <w:rsid w:val="4C6F56A3"/>
    <w:rsid w:val="4C75974E"/>
    <w:rsid w:val="4C76B109"/>
    <w:rsid w:val="4C7B57A8"/>
    <w:rsid w:val="4C81AFD5"/>
    <w:rsid w:val="4C885C9B"/>
    <w:rsid w:val="4C94AE06"/>
    <w:rsid w:val="4C953CCB"/>
    <w:rsid w:val="4C955326"/>
    <w:rsid w:val="4C968D26"/>
    <w:rsid w:val="4C96A680"/>
    <w:rsid w:val="4C982D24"/>
    <w:rsid w:val="4C9849FC"/>
    <w:rsid w:val="4C986013"/>
    <w:rsid w:val="4C99E15C"/>
    <w:rsid w:val="4CA4CB21"/>
    <w:rsid w:val="4CA5A170"/>
    <w:rsid w:val="4CAA0FBF"/>
    <w:rsid w:val="4CAB4CC2"/>
    <w:rsid w:val="4CAB7984"/>
    <w:rsid w:val="4CAC6F04"/>
    <w:rsid w:val="4CAE4756"/>
    <w:rsid w:val="4CB03248"/>
    <w:rsid w:val="4CB373C4"/>
    <w:rsid w:val="4CB3F0C9"/>
    <w:rsid w:val="4CB59708"/>
    <w:rsid w:val="4CB65494"/>
    <w:rsid w:val="4CB6CCD7"/>
    <w:rsid w:val="4CB7B84E"/>
    <w:rsid w:val="4CBA859B"/>
    <w:rsid w:val="4CBB6C82"/>
    <w:rsid w:val="4CBC0BC0"/>
    <w:rsid w:val="4CC00B04"/>
    <w:rsid w:val="4CC11733"/>
    <w:rsid w:val="4CC494DC"/>
    <w:rsid w:val="4CC569A7"/>
    <w:rsid w:val="4CC73CF9"/>
    <w:rsid w:val="4CC73FD4"/>
    <w:rsid w:val="4CCAAA7B"/>
    <w:rsid w:val="4CCC33EB"/>
    <w:rsid w:val="4CD0A5C4"/>
    <w:rsid w:val="4CD7C095"/>
    <w:rsid w:val="4CD89B9F"/>
    <w:rsid w:val="4CDEE944"/>
    <w:rsid w:val="4CE2D7E1"/>
    <w:rsid w:val="4CEDCDDD"/>
    <w:rsid w:val="4CEDEE24"/>
    <w:rsid w:val="4CEF39EF"/>
    <w:rsid w:val="4CEFE8FA"/>
    <w:rsid w:val="4CF1FB5E"/>
    <w:rsid w:val="4CF28CA3"/>
    <w:rsid w:val="4CF41369"/>
    <w:rsid w:val="4CF91CCA"/>
    <w:rsid w:val="4CFBA9AB"/>
    <w:rsid w:val="4CFC267F"/>
    <w:rsid w:val="4CFD1F57"/>
    <w:rsid w:val="4CFE9FB0"/>
    <w:rsid w:val="4D00070E"/>
    <w:rsid w:val="4D00230D"/>
    <w:rsid w:val="4D01DBB5"/>
    <w:rsid w:val="4D0222DC"/>
    <w:rsid w:val="4D024CAD"/>
    <w:rsid w:val="4D02D0FA"/>
    <w:rsid w:val="4D05A000"/>
    <w:rsid w:val="4D0611A5"/>
    <w:rsid w:val="4D0A3B36"/>
    <w:rsid w:val="4D0B6DF0"/>
    <w:rsid w:val="4D0C2D54"/>
    <w:rsid w:val="4D0E7EB2"/>
    <w:rsid w:val="4D0EEBC0"/>
    <w:rsid w:val="4D1023BB"/>
    <w:rsid w:val="4D122EBE"/>
    <w:rsid w:val="4D123EFB"/>
    <w:rsid w:val="4D14C7FC"/>
    <w:rsid w:val="4D1D0A33"/>
    <w:rsid w:val="4D20962E"/>
    <w:rsid w:val="4D20BB35"/>
    <w:rsid w:val="4D20FC4A"/>
    <w:rsid w:val="4D2775DC"/>
    <w:rsid w:val="4D2A302C"/>
    <w:rsid w:val="4D301200"/>
    <w:rsid w:val="4D386E31"/>
    <w:rsid w:val="4D3C9817"/>
    <w:rsid w:val="4D405D85"/>
    <w:rsid w:val="4D42C89A"/>
    <w:rsid w:val="4D45C012"/>
    <w:rsid w:val="4D45D739"/>
    <w:rsid w:val="4D4955D6"/>
    <w:rsid w:val="4D49627C"/>
    <w:rsid w:val="4D4AB2B0"/>
    <w:rsid w:val="4D4CB8B4"/>
    <w:rsid w:val="4D4CCA05"/>
    <w:rsid w:val="4D4CF403"/>
    <w:rsid w:val="4D4D5B29"/>
    <w:rsid w:val="4D4E0996"/>
    <w:rsid w:val="4D59D163"/>
    <w:rsid w:val="4D5D89A9"/>
    <w:rsid w:val="4D5EA0B8"/>
    <w:rsid w:val="4D5EE6D8"/>
    <w:rsid w:val="4D5F1A0E"/>
    <w:rsid w:val="4D60559A"/>
    <w:rsid w:val="4D60FF69"/>
    <w:rsid w:val="4D6126C8"/>
    <w:rsid w:val="4D6B99DA"/>
    <w:rsid w:val="4D6BED88"/>
    <w:rsid w:val="4D6DEA5B"/>
    <w:rsid w:val="4D709558"/>
    <w:rsid w:val="4D74AA07"/>
    <w:rsid w:val="4D76E9E2"/>
    <w:rsid w:val="4D78596F"/>
    <w:rsid w:val="4D789656"/>
    <w:rsid w:val="4D7A2489"/>
    <w:rsid w:val="4D7CE004"/>
    <w:rsid w:val="4D7E27DC"/>
    <w:rsid w:val="4D854938"/>
    <w:rsid w:val="4D8A05AA"/>
    <w:rsid w:val="4D8C38FD"/>
    <w:rsid w:val="4D8DEB08"/>
    <w:rsid w:val="4D8E0913"/>
    <w:rsid w:val="4D92A5A5"/>
    <w:rsid w:val="4D939ECC"/>
    <w:rsid w:val="4D963222"/>
    <w:rsid w:val="4D9B0336"/>
    <w:rsid w:val="4DA12843"/>
    <w:rsid w:val="4DA1440C"/>
    <w:rsid w:val="4DA7148C"/>
    <w:rsid w:val="4DA8EBA0"/>
    <w:rsid w:val="4DA973E5"/>
    <w:rsid w:val="4DAAB3EB"/>
    <w:rsid w:val="4DAB675E"/>
    <w:rsid w:val="4DABD580"/>
    <w:rsid w:val="4DABE988"/>
    <w:rsid w:val="4DACB8FB"/>
    <w:rsid w:val="4DAD4B17"/>
    <w:rsid w:val="4DB05E38"/>
    <w:rsid w:val="4DB178DB"/>
    <w:rsid w:val="4DB372AA"/>
    <w:rsid w:val="4DB4B71A"/>
    <w:rsid w:val="4DB4E452"/>
    <w:rsid w:val="4DB5BF46"/>
    <w:rsid w:val="4DB5E8C3"/>
    <w:rsid w:val="4DB60617"/>
    <w:rsid w:val="4DB8894A"/>
    <w:rsid w:val="4DBF8592"/>
    <w:rsid w:val="4DBF8717"/>
    <w:rsid w:val="4DC14104"/>
    <w:rsid w:val="4DC1FD04"/>
    <w:rsid w:val="4DC6E69B"/>
    <w:rsid w:val="4DC789BE"/>
    <w:rsid w:val="4DC8437B"/>
    <w:rsid w:val="4DCA1663"/>
    <w:rsid w:val="4DCC838F"/>
    <w:rsid w:val="4DCCCDAB"/>
    <w:rsid w:val="4DCF077E"/>
    <w:rsid w:val="4DD0037D"/>
    <w:rsid w:val="4DD46923"/>
    <w:rsid w:val="4DD4C15B"/>
    <w:rsid w:val="4DD5DF65"/>
    <w:rsid w:val="4DDB8525"/>
    <w:rsid w:val="4DDC234E"/>
    <w:rsid w:val="4DDD44CA"/>
    <w:rsid w:val="4DDE9BDB"/>
    <w:rsid w:val="4DE22253"/>
    <w:rsid w:val="4DE24645"/>
    <w:rsid w:val="4DE4599A"/>
    <w:rsid w:val="4DE4DC2F"/>
    <w:rsid w:val="4DE517A9"/>
    <w:rsid w:val="4DE6381B"/>
    <w:rsid w:val="4DE70013"/>
    <w:rsid w:val="4DE72117"/>
    <w:rsid w:val="4DEE94CF"/>
    <w:rsid w:val="4DF3879E"/>
    <w:rsid w:val="4DF5A575"/>
    <w:rsid w:val="4DF72E65"/>
    <w:rsid w:val="4DF8567E"/>
    <w:rsid w:val="4E01D8D7"/>
    <w:rsid w:val="4E01EB77"/>
    <w:rsid w:val="4E042D57"/>
    <w:rsid w:val="4E050692"/>
    <w:rsid w:val="4E06883A"/>
    <w:rsid w:val="4E07B8D1"/>
    <w:rsid w:val="4E09285A"/>
    <w:rsid w:val="4E09431F"/>
    <w:rsid w:val="4E117A58"/>
    <w:rsid w:val="4E171123"/>
    <w:rsid w:val="4E1747AA"/>
    <w:rsid w:val="4E1C89D4"/>
    <w:rsid w:val="4E2010E1"/>
    <w:rsid w:val="4E24656D"/>
    <w:rsid w:val="4E27AC8A"/>
    <w:rsid w:val="4E280F0C"/>
    <w:rsid w:val="4E28F9D7"/>
    <w:rsid w:val="4E2943AD"/>
    <w:rsid w:val="4E2D0416"/>
    <w:rsid w:val="4E2F694D"/>
    <w:rsid w:val="4E3F2027"/>
    <w:rsid w:val="4E3F5532"/>
    <w:rsid w:val="4E409B32"/>
    <w:rsid w:val="4E4920C0"/>
    <w:rsid w:val="4E4AC42B"/>
    <w:rsid w:val="4E4AE89F"/>
    <w:rsid w:val="4E4C3B95"/>
    <w:rsid w:val="4E4CED45"/>
    <w:rsid w:val="4E4E3253"/>
    <w:rsid w:val="4E4E9DE2"/>
    <w:rsid w:val="4E4F4A24"/>
    <w:rsid w:val="4E50AE6F"/>
    <w:rsid w:val="4E510CFC"/>
    <w:rsid w:val="4E556A57"/>
    <w:rsid w:val="4E57C59E"/>
    <w:rsid w:val="4E59879E"/>
    <w:rsid w:val="4E5E09D0"/>
    <w:rsid w:val="4E5FEF43"/>
    <w:rsid w:val="4E65C6B4"/>
    <w:rsid w:val="4E662972"/>
    <w:rsid w:val="4E6A4B88"/>
    <w:rsid w:val="4E6E6B23"/>
    <w:rsid w:val="4E6E6E16"/>
    <w:rsid w:val="4E6ED8D6"/>
    <w:rsid w:val="4E7233B0"/>
    <w:rsid w:val="4E73C4A1"/>
    <w:rsid w:val="4E75660E"/>
    <w:rsid w:val="4E75D13E"/>
    <w:rsid w:val="4E777297"/>
    <w:rsid w:val="4E788172"/>
    <w:rsid w:val="4E796E0A"/>
    <w:rsid w:val="4E7C41E3"/>
    <w:rsid w:val="4E7CF73A"/>
    <w:rsid w:val="4E7D4F4C"/>
    <w:rsid w:val="4E804B89"/>
    <w:rsid w:val="4E80B675"/>
    <w:rsid w:val="4E82AC20"/>
    <w:rsid w:val="4E849F08"/>
    <w:rsid w:val="4E85C1E3"/>
    <w:rsid w:val="4E8AD05C"/>
    <w:rsid w:val="4E8B78F1"/>
    <w:rsid w:val="4E8BB530"/>
    <w:rsid w:val="4E8C24DB"/>
    <w:rsid w:val="4E8C3A55"/>
    <w:rsid w:val="4E8DF829"/>
    <w:rsid w:val="4E8E3595"/>
    <w:rsid w:val="4E95E1EC"/>
    <w:rsid w:val="4E972F0E"/>
    <w:rsid w:val="4E9797AC"/>
    <w:rsid w:val="4E983BF4"/>
    <w:rsid w:val="4E98495C"/>
    <w:rsid w:val="4EA0A2D9"/>
    <w:rsid w:val="4EA28399"/>
    <w:rsid w:val="4EA2851F"/>
    <w:rsid w:val="4EA5FCA3"/>
    <w:rsid w:val="4EA7AB72"/>
    <w:rsid w:val="4EA88AAD"/>
    <w:rsid w:val="4EA93325"/>
    <w:rsid w:val="4EAA1F03"/>
    <w:rsid w:val="4EAB0E50"/>
    <w:rsid w:val="4EAB4AA0"/>
    <w:rsid w:val="4EACF5E3"/>
    <w:rsid w:val="4EB720B7"/>
    <w:rsid w:val="4EBC901A"/>
    <w:rsid w:val="4EC114F5"/>
    <w:rsid w:val="4EC2BC5E"/>
    <w:rsid w:val="4EC3C287"/>
    <w:rsid w:val="4EC54E3E"/>
    <w:rsid w:val="4ECC1706"/>
    <w:rsid w:val="4ECD1C42"/>
    <w:rsid w:val="4ECE3543"/>
    <w:rsid w:val="4ECFE409"/>
    <w:rsid w:val="4ED1B107"/>
    <w:rsid w:val="4ED290E2"/>
    <w:rsid w:val="4ED41470"/>
    <w:rsid w:val="4ED432B1"/>
    <w:rsid w:val="4ED88AC8"/>
    <w:rsid w:val="4EDE58DC"/>
    <w:rsid w:val="4EE18735"/>
    <w:rsid w:val="4EE18F20"/>
    <w:rsid w:val="4EE2C3CC"/>
    <w:rsid w:val="4EE42A81"/>
    <w:rsid w:val="4EE5E723"/>
    <w:rsid w:val="4EE6FFA5"/>
    <w:rsid w:val="4EE8A45C"/>
    <w:rsid w:val="4EE918E5"/>
    <w:rsid w:val="4EE9EABF"/>
    <w:rsid w:val="4EEDD1CF"/>
    <w:rsid w:val="4EEE3F43"/>
    <w:rsid w:val="4EF2010F"/>
    <w:rsid w:val="4EF36108"/>
    <w:rsid w:val="4EF52AD5"/>
    <w:rsid w:val="4EF70E7D"/>
    <w:rsid w:val="4EF7AE23"/>
    <w:rsid w:val="4EF8EA40"/>
    <w:rsid w:val="4EFC850D"/>
    <w:rsid w:val="4EFE8309"/>
    <w:rsid w:val="4EFE9ABB"/>
    <w:rsid w:val="4F01A925"/>
    <w:rsid w:val="4F042E30"/>
    <w:rsid w:val="4F0589B0"/>
    <w:rsid w:val="4F07F89F"/>
    <w:rsid w:val="4F08C3E8"/>
    <w:rsid w:val="4F09DD54"/>
    <w:rsid w:val="4F0C1ECB"/>
    <w:rsid w:val="4F0EA124"/>
    <w:rsid w:val="4F11C4A7"/>
    <w:rsid w:val="4F11DF4A"/>
    <w:rsid w:val="4F14C799"/>
    <w:rsid w:val="4F184C92"/>
    <w:rsid w:val="4F1B2F11"/>
    <w:rsid w:val="4F1E0FC1"/>
    <w:rsid w:val="4F20F17C"/>
    <w:rsid w:val="4F227E34"/>
    <w:rsid w:val="4F287AB3"/>
    <w:rsid w:val="4F2C760B"/>
    <w:rsid w:val="4F2CD8FC"/>
    <w:rsid w:val="4F2D37F2"/>
    <w:rsid w:val="4F2E2B53"/>
    <w:rsid w:val="4F2EF367"/>
    <w:rsid w:val="4F2F13B6"/>
    <w:rsid w:val="4F32BE54"/>
    <w:rsid w:val="4F331923"/>
    <w:rsid w:val="4F33A7EF"/>
    <w:rsid w:val="4F36B452"/>
    <w:rsid w:val="4F382769"/>
    <w:rsid w:val="4F3CC9B6"/>
    <w:rsid w:val="4F40DA2F"/>
    <w:rsid w:val="4F4451C9"/>
    <w:rsid w:val="4F46E2FF"/>
    <w:rsid w:val="4F479320"/>
    <w:rsid w:val="4F4C4FF3"/>
    <w:rsid w:val="4F4CD1C3"/>
    <w:rsid w:val="4F4E21A9"/>
    <w:rsid w:val="4F52A748"/>
    <w:rsid w:val="4F52B090"/>
    <w:rsid w:val="4F5A1145"/>
    <w:rsid w:val="4F61B8D3"/>
    <w:rsid w:val="4F639ED2"/>
    <w:rsid w:val="4F63E65A"/>
    <w:rsid w:val="4F64D9C0"/>
    <w:rsid w:val="4F6A87FE"/>
    <w:rsid w:val="4F6CD8D6"/>
    <w:rsid w:val="4F7278E2"/>
    <w:rsid w:val="4F7330C0"/>
    <w:rsid w:val="4F742759"/>
    <w:rsid w:val="4F74E092"/>
    <w:rsid w:val="4F762FB8"/>
    <w:rsid w:val="4F7988C9"/>
    <w:rsid w:val="4F7A6EA1"/>
    <w:rsid w:val="4F7B6C1C"/>
    <w:rsid w:val="4F7CE7D2"/>
    <w:rsid w:val="4F804DB3"/>
    <w:rsid w:val="4F82AA9D"/>
    <w:rsid w:val="4F88B8A6"/>
    <w:rsid w:val="4F8CCC7A"/>
    <w:rsid w:val="4F8F5526"/>
    <w:rsid w:val="4F95372D"/>
    <w:rsid w:val="4F97F8A6"/>
    <w:rsid w:val="4F9BFFE4"/>
    <w:rsid w:val="4F9CE300"/>
    <w:rsid w:val="4FA0A951"/>
    <w:rsid w:val="4FA1DBE6"/>
    <w:rsid w:val="4FA23F93"/>
    <w:rsid w:val="4FA5A8C5"/>
    <w:rsid w:val="4FA75506"/>
    <w:rsid w:val="4FA97B4F"/>
    <w:rsid w:val="4FB286B2"/>
    <w:rsid w:val="4FB871F7"/>
    <w:rsid w:val="4FBA3B79"/>
    <w:rsid w:val="4FBB43C2"/>
    <w:rsid w:val="4FC0FECA"/>
    <w:rsid w:val="4FC38062"/>
    <w:rsid w:val="4FC57723"/>
    <w:rsid w:val="4FC5DF72"/>
    <w:rsid w:val="4FC6CE67"/>
    <w:rsid w:val="4FC854F5"/>
    <w:rsid w:val="4FC8DDE9"/>
    <w:rsid w:val="4FC9A322"/>
    <w:rsid w:val="4FCB5741"/>
    <w:rsid w:val="4FCBFD44"/>
    <w:rsid w:val="4FCC72A9"/>
    <w:rsid w:val="4FCF9220"/>
    <w:rsid w:val="4FD1C30C"/>
    <w:rsid w:val="4FD54804"/>
    <w:rsid w:val="4FD8D271"/>
    <w:rsid w:val="4FD9443C"/>
    <w:rsid w:val="4FD9550C"/>
    <w:rsid w:val="4FDB61B9"/>
    <w:rsid w:val="4FDC090E"/>
    <w:rsid w:val="4FDC2B83"/>
    <w:rsid w:val="4FDEB92B"/>
    <w:rsid w:val="4FE11357"/>
    <w:rsid w:val="4FE1DCDE"/>
    <w:rsid w:val="4FE20EA7"/>
    <w:rsid w:val="4FE30E02"/>
    <w:rsid w:val="4FE4C003"/>
    <w:rsid w:val="4FE5480A"/>
    <w:rsid w:val="4FE69B46"/>
    <w:rsid w:val="4FE72548"/>
    <w:rsid w:val="4FE77842"/>
    <w:rsid w:val="4FE909F2"/>
    <w:rsid w:val="4FEC2B25"/>
    <w:rsid w:val="4FF0A42E"/>
    <w:rsid w:val="4FF16FD7"/>
    <w:rsid w:val="4FF97369"/>
    <w:rsid w:val="4FFB6EBC"/>
    <w:rsid w:val="4FFD3A38"/>
    <w:rsid w:val="4FFE1277"/>
    <w:rsid w:val="4FFFD6DC"/>
    <w:rsid w:val="50039B2E"/>
    <w:rsid w:val="5006878E"/>
    <w:rsid w:val="50068EF1"/>
    <w:rsid w:val="5009C346"/>
    <w:rsid w:val="5009F686"/>
    <w:rsid w:val="500FE0FB"/>
    <w:rsid w:val="50109814"/>
    <w:rsid w:val="5015F0F8"/>
    <w:rsid w:val="50172C50"/>
    <w:rsid w:val="501A1FEE"/>
    <w:rsid w:val="501A2717"/>
    <w:rsid w:val="501C6FC1"/>
    <w:rsid w:val="501D53B5"/>
    <w:rsid w:val="501D6185"/>
    <w:rsid w:val="501E76B3"/>
    <w:rsid w:val="501F878C"/>
    <w:rsid w:val="5020A2E9"/>
    <w:rsid w:val="5020D364"/>
    <w:rsid w:val="50213745"/>
    <w:rsid w:val="50237E14"/>
    <w:rsid w:val="502817E9"/>
    <w:rsid w:val="502F44B1"/>
    <w:rsid w:val="50341D45"/>
    <w:rsid w:val="503BAE68"/>
    <w:rsid w:val="503E9772"/>
    <w:rsid w:val="503F2235"/>
    <w:rsid w:val="5040421F"/>
    <w:rsid w:val="5041D8BB"/>
    <w:rsid w:val="50493BCD"/>
    <w:rsid w:val="504A0320"/>
    <w:rsid w:val="50574F74"/>
    <w:rsid w:val="5058E071"/>
    <w:rsid w:val="5058EC6F"/>
    <w:rsid w:val="505B7AA0"/>
    <w:rsid w:val="5060DD70"/>
    <w:rsid w:val="50623B72"/>
    <w:rsid w:val="5062DA5B"/>
    <w:rsid w:val="5065E322"/>
    <w:rsid w:val="50693A62"/>
    <w:rsid w:val="506A2AD1"/>
    <w:rsid w:val="507047AE"/>
    <w:rsid w:val="50718E17"/>
    <w:rsid w:val="50741675"/>
    <w:rsid w:val="5075A8C3"/>
    <w:rsid w:val="507646CF"/>
    <w:rsid w:val="5078E12E"/>
    <w:rsid w:val="507B3648"/>
    <w:rsid w:val="507CADB9"/>
    <w:rsid w:val="507DBE50"/>
    <w:rsid w:val="507EC04F"/>
    <w:rsid w:val="507FEF58"/>
    <w:rsid w:val="5081BBD7"/>
    <w:rsid w:val="508675EF"/>
    <w:rsid w:val="5089D9B4"/>
    <w:rsid w:val="508A8F58"/>
    <w:rsid w:val="508ACEDB"/>
    <w:rsid w:val="508BE35E"/>
    <w:rsid w:val="508DD0B3"/>
    <w:rsid w:val="50936601"/>
    <w:rsid w:val="5094D97B"/>
    <w:rsid w:val="509800F5"/>
    <w:rsid w:val="509BC8B5"/>
    <w:rsid w:val="509D1C3E"/>
    <w:rsid w:val="50A056FF"/>
    <w:rsid w:val="50A067FA"/>
    <w:rsid w:val="50A13AC6"/>
    <w:rsid w:val="50A4EA66"/>
    <w:rsid w:val="50A5F278"/>
    <w:rsid w:val="50A73AB3"/>
    <w:rsid w:val="50A95BD4"/>
    <w:rsid w:val="50ADBA1B"/>
    <w:rsid w:val="50AFCD5A"/>
    <w:rsid w:val="50B0856F"/>
    <w:rsid w:val="50B10395"/>
    <w:rsid w:val="50B19C43"/>
    <w:rsid w:val="50B288C8"/>
    <w:rsid w:val="50B2D77D"/>
    <w:rsid w:val="50B2DC0B"/>
    <w:rsid w:val="50B43B49"/>
    <w:rsid w:val="50B6D6F9"/>
    <w:rsid w:val="50B730CA"/>
    <w:rsid w:val="50B7C3B2"/>
    <w:rsid w:val="50BCEFAD"/>
    <w:rsid w:val="50BF65E0"/>
    <w:rsid w:val="50C218CB"/>
    <w:rsid w:val="50C30C18"/>
    <w:rsid w:val="50C3AFFD"/>
    <w:rsid w:val="50C7FA5C"/>
    <w:rsid w:val="50C82ED8"/>
    <w:rsid w:val="50C8D7ED"/>
    <w:rsid w:val="50CA89B0"/>
    <w:rsid w:val="50CF11D4"/>
    <w:rsid w:val="50D014D8"/>
    <w:rsid w:val="50D10337"/>
    <w:rsid w:val="50D4076A"/>
    <w:rsid w:val="50D6618A"/>
    <w:rsid w:val="50DD4C39"/>
    <w:rsid w:val="50DE5000"/>
    <w:rsid w:val="50DF3458"/>
    <w:rsid w:val="50E28649"/>
    <w:rsid w:val="50E362E8"/>
    <w:rsid w:val="50E3EFBC"/>
    <w:rsid w:val="50E4472D"/>
    <w:rsid w:val="50E8DE62"/>
    <w:rsid w:val="50EABD65"/>
    <w:rsid w:val="50EAEC6E"/>
    <w:rsid w:val="50EC1791"/>
    <w:rsid w:val="50EE24E0"/>
    <w:rsid w:val="50EEAB66"/>
    <w:rsid w:val="50F045B8"/>
    <w:rsid w:val="50F2258B"/>
    <w:rsid w:val="50F4A899"/>
    <w:rsid w:val="50F4E723"/>
    <w:rsid w:val="50F64679"/>
    <w:rsid w:val="50FB0727"/>
    <w:rsid w:val="50FB9CBE"/>
    <w:rsid w:val="50FEC6D1"/>
    <w:rsid w:val="50FF4BC3"/>
    <w:rsid w:val="5101A5ED"/>
    <w:rsid w:val="51020AB5"/>
    <w:rsid w:val="51056151"/>
    <w:rsid w:val="5109290F"/>
    <w:rsid w:val="510954E5"/>
    <w:rsid w:val="5109CBF3"/>
    <w:rsid w:val="510C0886"/>
    <w:rsid w:val="510F5659"/>
    <w:rsid w:val="510FA38B"/>
    <w:rsid w:val="5110263F"/>
    <w:rsid w:val="511041FE"/>
    <w:rsid w:val="511354B2"/>
    <w:rsid w:val="511AA675"/>
    <w:rsid w:val="511BF36A"/>
    <w:rsid w:val="511DB218"/>
    <w:rsid w:val="511E528A"/>
    <w:rsid w:val="51210050"/>
    <w:rsid w:val="51237F91"/>
    <w:rsid w:val="51252117"/>
    <w:rsid w:val="5126E263"/>
    <w:rsid w:val="512B29D1"/>
    <w:rsid w:val="512C6D4D"/>
    <w:rsid w:val="512C7EE7"/>
    <w:rsid w:val="512C9BD6"/>
    <w:rsid w:val="5131BD9D"/>
    <w:rsid w:val="5131BEB9"/>
    <w:rsid w:val="5135B99E"/>
    <w:rsid w:val="51364085"/>
    <w:rsid w:val="513690D9"/>
    <w:rsid w:val="5138B97F"/>
    <w:rsid w:val="51393393"/>
    <w:rsid w:val="513A5AF6"/>
    <w:rsid w:val="513D6A5C"/>
    <w:rsid w:val="513E8472"/>
    <w:rsid w:val="513EFFE6"/>
    <w:rsid w:val="513F9B35"/>
    <w:rsid w:val="513F9FAA"/>
    <w:rsid w:val="513FEA70"/>
    <w:rsid w:val="5140F7D5"/>
    <w:rsid w:val="5141256F"/>
    <w:rsid w:val="5142904E"/>
    <w:rsid w:val="51446A0D"/>
    <w:rsid w:val="51447870"/>
    <w:rsid w:val="5144F8D3"/>
    <w:rsid w:val="514666D0"/>
    <w:rsid w:val="5149473D"/>
    <w:rsid w:val="514EA20B"/>
    <w:rsid w:val="51505B02"/>
    <w:rsid w:val="51507BF5"/>
    <w:rsid w:val="5150B586"/>
    <w:rsid w:val="51561260"/>
    <w:rsid w:val="515AB585"/>
    <w:rsid w:val="515BFAC0"/>
    <w:rsid w:val="515CCBB8"/>
    <w:rsid w:val="515D66F0"/>
    <w:rsid w:val="515DEFC2"/>
    <w:rsid w:val="515F7478"/>
    <w:rsid w:val="51600FE5"/>
    <w:rsid w:val="5161B52E"/>
    <w:rsid w:val="5161DE6C"/>
    <w:rsid w:val="5161EB98"/>
    <w:rsid w:val="5166254E"/>
    <w:rsid w:val="5166D8B6"/>
    <w:rsid w:val="5169516F"/>
    <w:rsid w:val="5169E9C0"/>
    <w:rsid w:val="516A0C30"/>
    <w:rsid w:val="516AC638"/>
    <w:rsid w:val="516ED8A9"/>
    <w:rsid w:val="5174D49A"/>
    <w:rsid w:val="51799027"/>
    <w:rsid w:val="5179FC91"/>
    <w:rsid w:val="517B1B07"/>
    <w:rsid w:val="517CEF5A"/>
    <w:rsid w:val="5181A8F0"/>
    <w:rsid w:val="51831F5C"/>
    <w:rsid w:val="51898A63"/>
    <w:rsid w:val="518D25FD"/>
    <w:rsid w:val="51901BDF"/>
    <w:rsid w:val="5195D7D9"/>
    <w:rsid w:val="51978E60"/>
    <w:rsid w:val="519C2E56"/>
    <w:rsid w:val="519CBC6C"/>
    <w:rsid w:val="51A0B463"/>
    <w:rsid w:val="51A4ECC4"/>
    <w:rsid w:val="51A934B3"/>
    <w:rsid w:val="51ABAC0B"/>
    <w:rsid w:val="51ABD1BE"/>
    <w:rsid w:val="51AE7CB5"/>
    <w:rsid w:val="51B2DD95"/>
    <w:rsid w:val="51B58714"/>
    <w:rsid w:val="51B73143"/>
    <w:rsid w:val="51B79710"/>
    <w:rsid w:val="51BA01BD"/>
    <w:rsid w:val="51BAA1C3"/>
    <w:rsid w:val="51BF1AAE"/>
    <w:rsid w:val="51C46B3E"/>
    <w:rsid w:val="51C5A07F"/>
    <w:rsid w:val="51C79A6E"/>
    <w:rsid w:val="51C81BE8"/>
    <w:rsid w:val="51C879E5"/>
    <w:rsid w:val="51C9C2C9"/>
    <w:rsid w:val="51C9D782"/>
    <w:rsid w:val="51CCD424"/>
    <w:rsid w:val="51CF61AA"/>
    <w:rsid w:val="51CFA9A3"/>
    <w:rsid w:val="51D0DDF6"/>
    <w:rsid w:val="51D12DAD"/>
    <w:rsid w:val="51D740DC"/>
    <w:rsid w:val="51DA758C"/>
    <w:rsid w:val="51DB9ED5"/>
    <w:rsid w:val="51DFB396"/>
    <w:rsid w:val="51E18F8B"/>
    <w:rsid w:val="51E26C26"/>
    <w:rsid w:val="51E43E87"/>
    <w:rsid w:val="51E51904"/>
    <w:rsid w:val="51EA64CB"/>
    <w:rsid w:val="51EC32DE"/>
    <w:rsid w:val="51EC41AC"/>
    <w:rsid w:val="51EE4E46"/>
    <w:rsid w:val="51EE502D"/>
    <w:rsid w:val="51F0D353"/>
    <w:rsid w:val="51F31649"/>
    <w:rsid w:val="51F33B9D"/>
    <w:rsid w:val="51F60A7F"/>
    <w:rsid w:val="51F6A2E8"/>
    <w:rsid w:val="52024215"/>
    <w:rsid w:val="5205ADC7"/>
    <w:rsid w:val="5205DA3D"/>
    <w:rsid w:val="52060DA8"/>
    <w:rsid w:val="520926B0"/>
    <w:rsid w:val="520B2D3E"/>
    <w:rsid w:val="520C07BF"/>
    <w:rsid w:val="520C6AD3"/>
    <w:rsid w:val="520CA175"/>
    <w:rsid w:val="520D2925"/>
    <w:rsid w:val="520D7024"/>
    <w:rsid w:val="52159F0A"/>
    <w:rsid w:val="5215EA93"/>
    <w:rsid w:val="521A4684"/>
    <w:rsid w:val="521AD63D"/>
    <w:rsid w:val="521CA071"/>
    <w:rsid w:val="521D0413"/>
    <w:rsid w:val="521E7AFA"/>
    <w:rsid w:val="521F0A4B"/>
    <w:rsid w:val="521FC44B"/>
    <w:rsid w:val="52232E63"/>
    <w:rsid w:val="5223ABBF"/>
    <w:rsid w:val="5225F5C2"/>
    <w:rsid w:val="5228089E"/>
    <w:rsid w:val="522ADBC1"/>
    <w:rsid w:val="522BB1F3"/>
    <w:rsid w:val="522DE5B6"/>
    <w:rsid w:val="52302A11"/>
    <w:rsid w:val="5230C654"/>
    <w:rsid w:val="5232D04C"/>
    <w:rsid w:val="5234DE96"/>
    <w:rsid w:val="523E3958"/>
    <w:rsid w:val="523E8507"/>
    <w:rsid w:val="523EC007"/>
    <w:rsid w:val="523EC8B7"/>
    <w:rsid w:val="523EE6DF"/>
    <w:rsid w:val="524161B0"/>
    <w:rsid w:val="52421025"/>
    <w:rsid w:val="524275ED"/>
    <w:rsid w:val="5243FCC5"/>
    <w:rsid w:val="52455835"/>
    <w:rsid w:val="524663A3"/>
    <w:rsid w:val="5246B7A5"/>
    <w:rsid w:val="524721AD"/>
    <w:rsid w:val="52482579"/>
    <w:rsid w:val="52488593"/>
    <w:rsid w:val="524E52C0"/>
    <w:rsid w:val="5254E3E3"/>
    <w:rsid w:val="525CC5CB"/>
    <w:rsid w:val="525EB600"/>
    <w:rsid w:val="5266583E"/>
    <w:rsid w:val="52669EA5"/>
    <w:rsid w:val="5267EED1"/>
    <w:rsid w:val="5268DFC0"/>
    <w:rsid w:val="526A1F4A"/>
    <w:rsid w:val="526B7759"/>
    <w:rsid w:val="526BB8CE"/>
    <w:rsid w:val="526F7E72"/>
    <w:rsid w:val="52703CDE"/>
    <w:rsid w:val="52717108"/>
    <w:rsid w:val="52727F8B"/>
    <w:rsid w:val="52781EA2"/>
    <w:rsid w:val="5278C59D"/>
    <w:rsid w:val="527EFFBA"/>
    <w:rsid w:val="5281FCD1"/>
    <w:rsid w:val="52873D4B"/>
    <w:rsid w:val="528A20FB"/>
    <w:rsid w:val="528A7B82"/>
    <w:rsid w:val="528BA5E2"/>
    <w:rsid w:val="528C15C9"/>
    <w:rsid w:val="528CCA46"/>
    <w:rsid w:val="528E1371"/>
    <w:rsid w:val="52907201"/>
    <w:rsid w:val="52936E19"/>
    <w:rsid w:val="5297C3CD"/>
    <w:rsid w:val="529802C8"/>
    <w:rsid w:val="529C77CA"/>
    <w:rsid w:val="52A0D499"/>
    <w:rsid w:val="52A2802A"/>
    <w:rsid w:val="52A2ED7C"/>
    <w:rsid w:val="52A47A00"/>
    <w:rsid w:val="52A5262D"/>
    <w:rsid w:val="52A6A13B"/>
    <w:rsid w:val="52AE7302"/>
    <w:rsid w:val="52AF0C3C"/>
    <w:rsid w:val="52B13521"/>
    <w:rsid w:val="52B537E3"/>
    <w:rsid w:val="52B9909F"/>
    <w:rsid w:val="52BA6F2B"/>
    <w:rsid w:val="52BB660D"/>
    <w:rsid w:val="52BF7DC1"/>
    <w:rsid w:val="52C14669"/>
    <w:rsid w:val="52C1CDD4"/>
    <w:rsid w:val="52C2E2BF"/>
    <w:rsid w:val="52C6EEDC"/>
    <w:rsid w:val="52CE82EB"/>
    <w:rsid w:val="52D50CED"/>
    <w:rsid w:val="52E0C704"/>
    <w:rsid w:val="52E44C6D"/>
    <w:rsid w:val="52E61C10"/>
    <w:rsid w:val="52E7C727"/>
    <w:rsid w:val="52EA6AA5"/>
    <w:rsid w:val="52ED22EF"/>
    <w:rsid w:val="52F03B1A"/>
    <w:rsid w:val="52F77787"/>
    <w:rsid w:val="52F83723"/>
    <w:rsid w:val="52F9A7C1"/>
    <w:rsid w:val="52FDBFBD"/>
    <w:rsid w:val="53000607"/>
    <w:rsid w:val="5305384B"/>
    <w:rsid w:val="53077EFB"/>
    <w:rsid w:val="5307FC9E"/>
    <w:rsid w:val="5308670A"/>
    <w:rsid w:val="530981AD"/>
    <w:rsid w:val="530E71C5"/>
    <w:rsid w:val="530F1B7A"/>
    <w:rsid w:val="531474EE"/>
    <w:rsid w:val="5316A576"/>
    <w:rsid w:val="53189D1C"/>
    <w:rsid w:val="531D7B9C"/>
    <w:rsid w:val="53212B21"/>
    <w:rsid w:val="53224549"/>
    <w:rsid w:val="532745D4"/>
    <w:rsid w:val="5329C250"/>
    <w:rsid w:val="532A1033"/>
    <w:rsid w:val="532D617D"/>
    <w:rsid w:val="5330D3B8"/>
    <w:rsid w:val="5332DBDD"/>
    <w:rsid w:val="5334928D"/>
    <w:rsid w:val="5334A312"/>
    <w:rsid w:val="5334DCE2"/>
    <w:rsid w:val="533521C5"/>
    <w:rsid w:val="5336928A"/>
    <w:rsid w:val="533DC86A"/>
    <w:rsid w:val="5341C0AD"/>
    <w:rsid w:val="53455FF7"/>
    <w:rsid w:val="53479F85"/>
    <w:rsid w:val="5347AE0B"/>
    <w:rsid w:val="5349A7C6"/>
    <w:rsid w:val="534CA467"/>
    <w:rsid w:val="534FBB73"/>
    <w:rsid w:val="5353719F"/>
    <w:rsid w:val="5354B280"/>
    <w:rsid w:val="53556EAD"/>
    <w:rsid w:val="53558309"/>
    <w:rsid w:val="53565E97"/>
    <w:rsid w:val="5357FD7F"/>
    <w:rsid w:val="5358B452"/>
    <w:rsid w:val="5358EB9D"/>
    <w:rsid w:val="535B19F0"/>
    <w:rsid w:val="535BF041"/>
    <w:rsid w:val="535C3639"/>
    <w:rsid w:val="535F6038"/>
    <w:rsid w:val="5361A451"/>
    <w:rsid w:val="5364C832"/>
    <w:rsid w:val="53667850"/>
    <w:rsid w:val="5367FD76"/>
    <w:rsid w:val="536C5CF8"/>
    <w:rsid w:val="536F4AC2"/>
    <w:rsid w:val="537129AB"/>
    <w:rsid w:val="53759C77"/>
    <w:rsid w:val="5379B95F"/>
    <w:rsid w:val="538283E9"/>
    <w:rsid w:val="53828677"/>
    <w:rsid w:val="5384A318"/>
    <w:rsid w:val="538597C1"/>
    <w:rsid w:val="5388B3D2"/>
    <w:rsid w:val="538D099C"/>
    <w:rsid w:val="538E6FEF"/>
    <w:rsid w:val="53982A8A"/>
    <w:rsid w:val="53992CEF"/>
    <w:rsid w:val="539BC921"/>
    <w:rsid w:val="539D5C3B"/>
    <w:rsid w:val="539DD962"/>
    <w:rsid w:val="53A06C57"/>
    <w:rsid w:val="53A3DB3B"/>
    <w:rsid w:val="53AD0494"/>
    <w:rsid w:val="53AD9C03"/>
    <w:rsid w:val="53AEBCF8"/>
    <w:rsid w:val="53AEFA42"/>
    <w:rsid w:val="53AF33A2"/>
    <w:rsid w:val="53AFE464"/>
    <w:rsid w:val="53B22A8B"/>
    <w:rsid w:val="53B373D1"/>
    <w:rsid w:val="53B5C463"/>
    <w:rsid w:val="53B9B7AD"/>
    <w:rsid w:val="53B9C121"/>
    <w:rsid w:val="53BB8AD0"/>
    <w:rsid w:val="53BE081C"/>
    <w:rsid w:val="53C1F35E"/>
    <w:rsid w:val="53C2551D"/>
    <w:rsid w:val="53C645BD"/>
    <w:rsid w:val="53CAD6ED"/>
    <w:rsid w:val="53CC0DF6"/>
    <w:rsid w:val="53CD0872"/>
    <w:rsid w:val="53CDBBEE"/>
    <w:rsid w:val="53CEC22F"/>
    <w:rsid w:val="53CECD3B"/>
    <w:rsid w:val="53D118C8"/>
    <w:rsid w:val="53D243CD"/>
    <w:rsid w:val="53D63633"/>
    <w:rsid w:val="53D63C36"/>
    <w:rsid w:val="53D64997"/>
    <w:rsid w:val="53D65140"/>
    <w:rsid w:val="53D67968"/>
    <w:rsid w:val="53DD3CC5"/>
    <w:rsid w:val="53DDC758"/>
    <w:rsid w:val="53E40FD0"/>
    <w:rsid w:val="53E96F66"/>
    <w:rsid w:val="53EA2630"/>
    <w:rsid w:val="53EA39F2"/>
    <w:rsid w:val="53ECCD67"/>
    <w:rsid w:val="53EE01E6"/>
    <w:rsid w:val="53EE220C"/>
    <w:rsid w:val="53F1F9AB"/>
    <w:rsid w:val="53F6605B"/>
    <w:rsid w:val="53F7891F"/>
    <w:rsid w:val="53FD106E"/>
    <w:rsid w:val="53FD575A"/>
    <w:rsid w:val="53FFA8F5"/>
    <w:rsid w:val="54010EE3"/>
    <w:rsid w:val="5401213F"/>
    <w:rsid w:val="5404D7F1"/>
    <w:rsid w:val="5407A248"/>
    <w:rsid w:val="540ADADB"/>
    <w:rsid w:val="540B5E0A"/>
    <w:rsid w:val="540CDA1D"/>
    <w:rsid w:val="540D20D1"/>
    <w:rsid w:val="540D8360"/>
    <w:rsid w:val="540E0E91"/>
    <w:rsid w:val="540E9029"/>
    <w:rsid w:val="540FF292"/>
    <w:rsid w:val="540FFFDA"/>
    <w:rsid w:val="5414526B"/>
    <w:rsid w:val="5415EB15"/>
    <w:rsid w:val="541615BA"/>
    <w:rsid w:val="54173F4E"/>
    <w:rsid w:val="54187D89"/>
    <w:rsid w:val="541F6048"/>
    <w:rsid w:val="541F70C9"/>
    <w:rsid w:val="54271E1C"/>
    <w:rsid w:val="54286A58"/>
    <w:rsid w:val="542D7960"/>
    <w:rsid w:val="5436430E"/>
    <w:rsid w:val="543661BA"/>
    <w:rsid w:val="54371E7E"/>
    <w:rsid w:val="5438AE29"/>
    <w:rsid w:val="543C9D96"/>
    <w:rsid w:val="543E3A40"/>
    <w:rsid w:val="5443A228"/>
    <w:rsid w:val="544CCB87"/>
    <w:rsid w:val="544D0557"/>
    <w:rsid w:val="544E092E"/>
    <w:rsid w:val="5453671A"/>
    <w:rsid w:val="545397CF"/>
    <w:rsid w:val="5453F868"/>
    <w:rsid w:val="54550D41"/>
    <w:rsid w:val="5457AA35"/>
    <w:rsid w:val="54596023"/>
    <w:rsid w:val="5459C097"/>
    <w:rsid w:val="545C7EC0"/>
    <w:rsid w:val="545CEC40"/>
    <w:rsid w:val="545EE087"/>
    <w:rsid w:val="545F5184"/>
    <w:rsid w:val="545FEB7C"/>
    <w:rsid w:val="54602833"/>
    <w:rsid w:val="54615CAE"/>
    <w:rsid w:val="54616AC3"/>
    <w:rsid w:val="54688B80"/>
    <w:rsid w:val="54707242"/>
    <w:rsid w:val="547224F0"/>
    <w:rsid w:val="54778E92"/>
    <w:rsid w:val="54779294"/>
    <w:rsid w:val="547A96F5"/>
    <w:rsid w:val="547ADFBA"/>
    <w:rsid w:val="547AE54C"/>
    <w:rsid w:val="547C510C"/>
    <w:rsid w:val="547D40A4"/>
    <w:rsid w:val="54803E48"/>
    <w:rsid w:val="548095A5"/>
    <w:rsid w:val="54845E4B"/>
    <w:rsid w:val="54893382"/>
    <w:rsid w:val="548F60C7"/>
    <w:rsid w:val="549093F6"/>
    <w:rsid w:val="5490B67D"/>
    <w:rsid w:val="549170E2"/>
    <w:rsid w:val="5492B5EA"/>
    <w:rsid w:val="54930AF2"/>
    <w:rsid w:val="5493E821"/>
    <w:rsid w:val="5495BE88"/>
    <w:rsid w:val="54969B54"/>
    <w:rsid w:val="549DB958"/>
    <w:rsid w:val="54A74852"/>
    <w:rsid w:val="54AC9CF0"/>
    <w:rsid w:val="54ACB7D9"/>
    <w:rsid w:val="54AE4E33"/>
    <w:rsid w:val="54B10CD3"/>
    <w:rsid w:val="54B47CCD"/>
    <w:rsid w:val="54B8D658"/>
    <w:rsid w:val="54B903CF"/>
    <w:rsid w:val="54BA6F8A"/>
    <w:rsid w:val="54BD8DE2"/>
    <w:rsid w:val="54BDD5F6"/>
    <w:rsid w:val="54C10FA5"/>
    <w:rsid w:val="54C3422E"/>
    <w:rsid w:val="54C39983"/>
    <w:rsid w:val="54C8029E"/>
    <w:rsid w:val="54C8CF05"/>
    <w:rsid w:val="54CA2DF3"/>
    <w:rsid w:val="54CBD3D1"/>
    <w:rsid w:val="54CF790C"/>
    <w:rsid w:val="54D09F1C"/>
    <w:rsid w:val="54D13B77"/>
    <w:rsid w:val="54D14AED"/>
    <w:rsid w:val="54D436D1"/>
    <w:rsid w:val="54D6E5EF"/>
    <w:rsid w:val="54D8FE08"/>
    <w:rsid w:val="54E09C2C"/>
    <w:rsid w:val="54E613DD"/>
    <w:rsid w:val="54E895CD"/>
    <w:rsid w:val="54E8FC9E"/>
    <w:rsid w:val="54EBF00B"/>
    <w:rsid w:val="54ED04D5"/>
    <w:rsid w:val="54EF0A6B"/>
    <w:rsid w:val="54F07E25"/>
    <w:rsid w:val="54F39E72"/>
    <w:rsid w:val="54F7F841"/>
    <w:rsid w:val="54F93F03"/>
    <w:rsid w:val="54FB7FEC"/>
    <w:rsid w:val="54FC6259"/>
    <w:rsid w:val="54FD667B"/>
    <w:rsid w:val="54FF6BE9"/>
    <w:rsid w:val="54FF85BC"/>
    <w:rsid w:val="55005614"/>
    <w:rsid w:val="55007E90"/>
    <w:rsid w:val="55032F66"/>
    <w:rsid w:val="5503FDF4"/>
    <w:rsid w:val="5504F90D"/>
    <w:rsid w:val="5505E02E"/>
    <w:rsid w:val="5505F23E"/>
    <w:rsid w:val="5509504B"/>
    <w:rsid w:val="5509ED18"/>
    <w:rsid w:val="550BC0DB"/>
    <w:rsid w:val="550F9B2F"/>
    <w:rsid w:val="5510D66C"/>
    <w:rsid w:val="55112B61"/>
    <w:rsid w:val="55116903"/>
    <w:rsid w:val="5512A6C3"/>
    <w:rsid w:val="55130D93"/>
    <w:rsid w:val="55139CCC"/>
    <w:rsid w:val="551401F6"/>
    <w:rsid w:val="5519ED25"/>
    <w:rsid w:val="551BB4E8"/>
    <w:rsid w:val="551BDD97"/>
    <w:rsid w:val="551CF405"/>
    <w:rsid w:val="551DD424"/>
    <w:rsid w:val="551ECBC0"/>
    <w:rsid w:val="55269A96"/>
    <w:rsid w:val="55277782"/>
    <w:rsid w:val="5527F592"/>
    <w:rsid w:val="552AD89A"/>
    <w:rsid w:val="552D7375"/>
    <w:rsid w:val="55319792"/>
    <w:rsid w:val="55343000"/>
    <w:rsid w:val="5535CB4B"/>
    <w:rsid w:val="5535D1BF"/>
    <w:rsid w:val="553A7BA2"/>
    <w:rsid w:val="553AF6B8"/>
    <w:rsid w:val="553B1061"/>
    <w:rsid w:val="55454CC2"/>
    <w:rsid w:val="554627C9"/>
    <w:rsid w:val="5548F32E"/>
    <w:rsid w:val="55494AAA"/>
    <w:rsid w:val="5549BDD9"/>
    <w:rsid w:val="554A74D2"/>
    <w:rsid w:val="554B2DE7"/>
    <w:rsid w:val="554B58CA"/>
    <w:rsid w:val="554BFA3A"/>
    <w:rsid w:val="554D99A3"/>
    <w:rsid w:val="555220BF"/>
    <w:rsid w:val="5552ABCB"/>
    <w:rsid w:val="5552B823"/>
    <w:rsid w:val="5555BC45"/>
    <w:rsid w:val="5555C4AD"/>
    <w:rsid w:val="5556B07D"/>
    <w:rsid w:val="55588D94"/>
    <w:rsid w:val="555C7EA7"/>
    <w:rsid w:val="555F6176"/>
    <w:rsid w:val="55634900"/>
    <w:rsid w:val="556397E4"/>
    <w:rsid w:val="5565A731"/>
    <w:rsid w:val="55699864"/>
    <w:rsid w:val="556A2ACB"/>
    <w:rsid w:val="556BCC6E"/>
    <w:rsid w:val="556CBCE9"/>
    <w:rsid w:val="556E1B56"/>
    <w:rsid w:val="556F6924"/>
    <w:rsid w:val="55719519"/>
    <w:rsid w:val="55732905"/>
    <w:rsid w:val="557509C8"/>
    <w:rsid w:val="5578845F"/>
    <w:rsid w:val="5578EFF3"/>
    <w:rsid w:val="5579A2E6"/>
    <w:rsid w:val="557A92D5"/>
    <w:rsid w:val="557BD1CD"/>
    <w:rsid w:val="557DF3F4"/>
    <w:rsid w:val="557E78DC"/>
    <w:rsid w:val="557F26F6"/>
    <w:rsid w:val="557FC44F"/>
    <w:rsid w:val="5580C95C"/>
    <w:rsid w:val="5583CF35"/>
    <w:rsid w:val="5585ABFE"/>
    <w:rsid w:val="55865003"/>
    <w:rsid w:val="5586825E"/>
    <w:rsid w:val="5586E9D5"/>
    <w:rsid w:val="558C5901"/>
    <w:rsid w:val="558CADDC"/>
    <w:rsid w:val="558E8DF1"/>
    <w:rsid w:val="5590370D"/>
    <w:rsid w:val="55916525"/>
    <w:rsid w:val="5591DC36"/>
    <w:rsid w:val="55934DED"/>
    <w:rsid w:val="55943BCA"/>
    <w:rsid w:val="55965C00"/>
    <w:rsid w:val="559E85CE"/>
    <w:rsid w:val="55A14A4C"/>
    <w:rsid w:val="55A626E3"/>
    <w:rsid w:val="55A9A2EF"/>
    <w:rsid w:val="55A9D61F"/>
    <w:rsid w:val="55AD1312"/>
    <w:rsid w:val="55B31CD4"/>
    <w:rsid w:val="55B4E133"/>
    <w:rsid w:val="55B7F909"/>
    <w:rsid w:val="55BBFBB6"/>
    <w:rsid w:val="55BC3F2A"/>
    <w:rsid w:val="55BCCCF4"/>
    <w:rsid w:val="55BEE7A9"/>
    <w:rsid w:val="55BF6665"/>
    <w:rsid w:val="55C13598"/>
    <w:rsid w:val="55C195B1"/>
    <w:rsid w:val="55C35357"/>
    <w:rsid w:val="55C81175"/>
    <w:rsid w:val="55CA366D"/>
    <w:rsid w:val="55D3A935"/>
    <w:rsid w:val="55D3D703"/>
    <w:rsid w:val="55D4587C"/>
    <w:rsid w:val="55D462B1"/>
    <w:rsid w:val="55D66D34"/>
    <w:rsid w:val="55DC676E"/>
    <w:rsid w:val="55E03897"/>
    <w:rsid w:val="55E8F61F"/>
    <w:rsid w:val="55E9D9DB"/>
    <w:rsid w:val="55EB6A6A"/>
    <w:rsid w:val="55ED2013"/>
    <w:rsid w:val="55F3740E"/>
    <w:rsid w:val="55F395C9"/>
    <w:rsid w:val="55FBAEA8"/>
    <w:rsid w:val="55FF875B"/>
    <w:rsid w:val="55FFFE80"/>
    <w:rsid w:val="560294E2"/>
    <w:rsid w:val="56032359"/>
    <w:rsid w:val="5605A892"/>
    <w:rsid w:val="5605E2FA"/>
    <w:rsid w:val="5605F701"/>
    <w:rsid w:val="560716F3"/>
    <w:rsid w:val="560D2523"/>
    <w:rsid w:val="560EFCC1"/>
    <w:rsid w:val="5610EB92"/>
    <w:rsid w:val="5610FA42"/>
    <w:rsid w:val="5611B15C"/>
    <w:rsid w:val="5612304A"/>
    <w:rsid w:val="56125801"/>
    <w:rsid w:val="5617B554"/>
    <w:rsid w:val="56183912"/>
    <w:rsid w:val="561C95BF"/>
    <w:rsid w:val="561DC994"/>
    <w:rsid w:val="561F70A3"/>
    <w:rsid w:val="561FCBB0"/>
    <w:rsid w:val="56225094"/>
    <w:rsid w:val="5622942C"/>
    <w:rsid w:val="562372A3"/>
    <w:rsid w:val="5625527E"/>
    <w:rsid w:val="5626CE4D"/>
    <w:rsid w:val="562749F9"/>
    <w:rsid w:val="562A3BB3"/>
    <w:rsid w:val="562B263F"/>
    <w:rsid w:val="562BEC50"/>
    <w:rsid w:val="562DA6E7"/>
    <w:rsid w:val="562DCE56"/>
    <w:rsid w:val="5632DFCA"/>
    <w:rsid w:val="56363820"/>
    <w:rsid w:val="56382B93"/>
    <w:rsid w:val="5638B314"/>
    <w:rsid w:val="5639D92B"/>
    <w:rsid w:val="563C47E9"/>
    <w:rsid w:val="563E2A86"/>
    <w:rsid w:val="563E7CC9"/>
    <w:rsid w:val="56404B69"/>
    <w:rsid w:val="56412C99"/>
    <w:rsid w:val="564173E1"/>
    <w:rsid w:val="56433A4E"/>
    <w:rsid w:val="56451FA7"/>
    <w:rsid w:val="564A0CF7"/>
    <w:rsid w:val="5653C6E6"/>
    <w:rsid w:val="5655CAC6"/>
    <w:rsid w:val="565DB882"/>
    <w:rsid w:val="565F7687"/>
    <w:rsid w:val="56618B0C"/>
    <w:rsid w:val="56653394"/>
    <w:rsid w:val="5666C34D"/>
    <w:rsid w:val="566B0C92"/>
    <w:rsid w:val="566EF2FE"/>
    <w:rsid w:val="5670FDCF"/>
    <w:rsid w:val="5672F989"/>
    <w:rsid w:val="5673791F"/>
    <w:rsid w:val="5673A867"/>
    <w:rsid w:val="5674DE7A"/>
    <w:rsid w:val="56752108"/>
    <w:rsid w:val="5675DDED"/>
    <w:rsid w:val="56762EF0"/>
    <w:rsid w:val="5678457C"/>
    <w:rsid w:val="567A32B8"/>
    <w:rsid w:val="567C1A0C"/>
    <w:rsid w:val="567FDA7D"/>
    <w:rsid w:val="56866DDE"/>
    <w:rsid w:val="5686D51F"/>
    <w:rsid w:val="56875417"/>
    <w:rsid w:val="568911EA"/>
    <w:rsid w:val="568C278C"/>
    <w:rsid w:val="568D6571"/>
    <w:rsid w:val="568E82B4"/>
    <w:rsid w:val="5690E3A5"/>
    <w:rsid w:val="5692638C"/>
    <w:rsid w:val="56926B5D"/>
    <w:rsid w:val="5692E375"/>
    <w:rsid w:val="569A0808"/>
    <w:rsid w:val="569B68EB"/>
    <w:rsid w:val="569FB00D"/>
    <w:rsid w:val="56A304A8"/>
    <w:rsid w:val="56A3BB15"/>
    <w:rsid w:val="56A51A78"/>
    <w:rsid w:val="56A82EEE"/>
    <w:rsid w:val="56AAFA70"/>
    <w:rsid w:val="56AB0556"/>
    <w:rsid w:val="56AB441D"/>
    <w:rsid w:val="56AB4B40"/>
    <w:rsid w:val="56ABD786"/>
    <w:rsid w:val="56AC047A"/>
    <w:rsid w:val="56AC4CE6"/>
    <w:rsid w:val="56BB9A28"/>
    <w:rsid w:val="56BCBCFF"/>
    <w:rsid w:val="56BEE2AE"/>
    <w:rsid w:val="56BF55D6"/>
    <w:rsid w:val="56C06764"/>
    <w:rsid w:val="56C1F04E"/>
    <w:rsid w:val="56C27214"/>
    <w:rsid w:val="56C6FCC0"/>
    <w:rsid w:val="56C76BC3"/>
    <w:rsid w:val="56C8616D"/>
    <w:rsid w:val="56CB70FD"/>
    <w:rsid w:val="56CC7335"/>
    <w:rsid w:val="56CF9E05"/>
    <w:rsid w:val="56D08F21"/>
    <w:rsid w:val="56D0B1A9"/>
    <w:rsid w:val="56D271B3"/>
    <w:rsid w:val="56D39631"/>
    <w:rsid w:val="56D9E1EA"/>
    <w:rsid w:val="56DBE7DB"/>
    <w:rsid w:val="56DD7DE9"/>
    <w:rsid w:val="56DFCE7C"/>
    <w:rsid w:val="56E0A4A3"/>
    <w:rsid w:val="56E2CE62"/>
    <w:rsid w:val="56E508D7"/>
    <w:rsid w:val="56E5C5BD"/>
    <w:rsid w:val="56E5DF33"/>
    <w:rsid w:val="56E7611C"/>
    <w:rsid w:val="56E78B3F"/>
    <w:rsid w:val="56ECB14B"/>
    <w:rsid w:val="56EF1FEC"/>
    <w:rsid w:val="56EF4BA8"/>
    <w:rsid w:val="56EFABDA"/>
    <w:rsid w:val="56F011E5"/>
    <w:rsid w:val="56F106DB"/>
    <w:rsid w:val="56F5E445"/>
    <w:rsid w:val="56F70D9C"/>
    <w:rsid w:val="56FCD444"/>
    <w:rsid w:val="56FD8320"/>
    <w:rsid w:val="56FD93B1"/>
    <w:rsid w:val="56FDEE49"/>
    <w:rsid w:val="56FFD183"/>
    <w:rsid w:val="57005865"/>
    <w:rsid w:val="570217CD"/>
    <w:rsid w:val="57030444"/>
    <w:rsid w:val="570430DB"/>
    <w:rsid w:val="5705E2FD"/>
    <w:rsid w:val="57067AD8"/>
    <w:rsid w:val="57073D53"/>
    <w:rsid w:val="570856B4"/>
    <w:rsid w:val="5709A734"/>
    <w:rsid w:val="570AE45A"/>
    <w:rsid w:val="570C730C"/>
    <w:rsid w:val="570D5522"/>
    <w:rsid w:val="570F5B0B"/>
    <w:rsid w:val="570F7032"/>
    <w:rsid w:val="57100669"/>
    <w:rsid w:val="57109C20"/>
    <w:rsid w:val="5711015A"/>
    <w:rsid w:val="57154EA0"/>
    <w:rsid w:val="5716C24C"/>
    <w:rsid w:val="5717605F"/>
    <w:rsid w:val="571D1BC6"/>
    <w:rsid w:val="572044A5"/>
    <w:rsid w:val="57220CB3"/>
    <w:rsid w:val="57252ACA"/>
    <w:rsid w:val="57274CC4"/>
    <w:rsid w:val="5729D95F"/>
    <w:rsid w:val="572A754E"/>
    <w:rsid w:val="572B79A8"/>
    <w:rsid w:val="572E5B08"/>
    <w:rsid w:val="572F06B4"/>
    <w:rsid w:val="5730A7BC"/>
    <w:rsid w:val="57318C21"/>
    <w:rsid w:val="573713F4"/>
    <w:rsid w:val="57383270"/>
    <w:rsid w:val="5739BB1F"/>
    <w:rsid w:val="573B6F7F"/>
    <w:rsid w:val="573BF002"/>
    <w:rsid w:val="573D7FE8"/>
    <w:rsid w:val="573E5778"/>
    <w:rsid w:val="573E8917"/>
    <w:rsid w:val="573F24A4"/>
    <w:rsid w:val="57411681"/>
    <w:rsid w:val="5741A6F8"/>
    <w:rsid w:val="5742D10A"/>
    <w:rsid w:val="574312FC"/>
    <w:rsid w:val="57444983"/>
    <w:rsid w:val="57480373"/>
    <w:rsid w:val="5748BD30"/>
    <w:rsid w:val="5749CD60"/>
    <w:rsid w:val="5749CDBE"/>
    <w:rsid w:val="574B1382"/>
    <w:rsid w:val="574B4DDC"/>
    <w:rsid w:val="574D0C36"/>
    <w:rsid w:val="574D4068"/>
    <w:rsid w:val="574D6E29"/>
    <w:rsid w:val="574DBA4F"/>
    <w:rsid w:val="574EE930"/>
    <w:rsid w:val="574F9F6B"/>
    <w:rsid w:val="574FB689"/>
    <w:rsid w:val="57503B1C"/>
    <w:rsid w:val="57509943"/>
    <w:rsid w:val="5750C06C"/>
    <w:rsid w:val="57528705"/>
    <w:rsid w:val="575370B5"/>
    <w:rsid w:val="575660DC"/>
    <w:rsid w:val="5757196D"/>
    <w:rsid w:val="57577DB6"/>
    <w:rsid w:val="575D0BB3"/>
    <w:rsid w:val="575E1990"/>
    <w:rsid w:val="575F0741"/>
    <w:rsid w:val="575F8B0E"/>
    <w:rsid w:val="57600E17"/>
    <w:rsid w:val="5760D04B"/>
    <w:rsid w:val="57667793"/>
    <w:rsid w:val="57697FF4"/>
    <w:rsid w:val="5769B042"/>
    <w:rsid w:val="576FAE9D"/>
    <w:rsid w:val="57713475"/>
    <w:rsid w:val="5772BEC1"/>
    <w:rsid w:val="57750C0B"/>
    <w:rsid w:val="5778D42D"/>
    <w:rsid w:val="577A0A18"/>
    <w:rsid w:val="577B6127"/>
    <w:rsid w:val="577BFD0F"/>
    <w:rsid w:val="5785C25C"/>
    <w:rsid w:val="57869DFA"/>
    <w:rsid w:val="57877347"/>
    <w:rsid w:val="5789952D"/>
    <w:rsid w:val="578B1645"/>
    <w:rsid w:val="578D76A6"/>
    <w:rsid w:val="578ECA1A"/>
    <w:rsid w:val="5790E589"/>
    <w:rsid w:val="57928D88"/>
    <w:rsid w:val="5792BED8"/>
    <w:rsid w:val="5797324C"/>
    <w:rsid w:val="579AB9DC"/>
    <w:rsid w:val="579E0A35"/>
    <w:rsid w:val="579F9628"/>
    <w:rsid w:val="579FCF77"/>
    <w:rsid w:val="57A43B62"/>
    <w:rsid w:val="57A58484"/>
    <w:rsid w:val="57A73781"/>
    <w:rsid w:val="57A82C93"/>
    <w:rsid w:val="57A94232"/>
    <w:rsid w:val="57AFEB04"/>
    <w:rsid w:val="57B0374A"/>
    <w:rsid w:val="57B51251"/>
    <w:rsid w:val="57B57E83"/>
    <w:rsid w:val="57B5C593"/>
    <w:rsid w:val="57B7EB52"/>
    <w:rsid w:val="57C27FB8"/>
    <w:rsid w:val="57C5DAAB"/>
    <w:rsid w:val="57C6220F"/>
    <w:rsid w:val="57C7D962"/>
    <w:rsid w:val="57C82D27"/>
    <w:rsid w:val="57CA553E"/>
    <w:rsid w:val="57CB808F"/>
    <w:rsid w:val="57CCE8E0"/>
    <w:rsid w:val="57CDCA66"/>
    <w:rsid w:val="57CED8B0"/>
    <w:rsid w:val="57CF9620"/>
    <w:rsid w:val="57D4394B"/>
    <w:rsid w:val="57D64634"/>
    <w:rsid w:val="57D867FE"/>
    <w:rsid w:val="57D87B84"/>
    <w:rsid w:val="57D8B5B0"/>
    <w:rsid w:val="57DF6B10"/>
    <w:rsid w:val="57DF8F80"/>
    <w:rsid w:val="57E49D7D"/>
    <w:rsid w:val="57E72E80"/>
    <w:rsid w:val="57E96648"/>
    <w:rsid w:val="57E9BECD"/>
    <w:rsid w:val="57F0BEEA"/>
    <w:rsid w:val="57F10827"/>
    <w:rsid w:val="57F4C08B"/>
    <w:rsid w:val="57F50D8A"/>
    <w:rsid w:val="57F5D20A"/>
    <w:rsid w:val="57F64BD6"/>
    <w:rsid w:val="57F68B93"/>
    <w:rsid w:val="57F8F3FA"/>
    <w:rsid w:val="57FAF9F9"/>
    <w:rsid w:val="57FBE5B7"/>
    <w:rsid w:val="57FD5B97"/>
    <w:rsid w:val="57FE0428"/>
    <w:rsid w:val="57FE366E"/>
    <w:rsid w:val="57FE54B9"/>
    <w:rsid w:val="580061E0"/>
    <w:rsid w:val="58013C18"/>
    <w:rsid w:val="580212EE"/>
    <w:rsid w:val="580AB876"/>
    <w:rsid w:val="58105113"/>
    <w:rsid w:val="5813F298"/>
    <w:rsid w:val="581A5593"/>
    <w:rsid w:val="5821E4B3"/>
    <w:rsid w:val="5824098A"/>
    <w:rsid w:val="58271956"/>
    <w:rsid w:val="58291C14"/>
    <w:rsid w:val="582C20C2"/>
    <w:rsid w:val="5831FDBB"/>
    <w:rsid w:val="5833A614"/>
    <w:rsid w:val="5835B0E3"/>
    <w:rsid w:val="5838B3B8"/>
    <w:rsid w:val="5838B68F"/>
    <w:rsid w:val="5839D2B6"/>
    <w:rsid w:val="583BEAE9"/>
    <w:rsid w:val="583C9E67"/>
    <w:rsid w:val="5843ABB8"/>
    <w:rsid w:val="5843F976"/>
    <w:rsid w:val="584759D4"/>
    <w:rsid w:val="5847C6F5"/>
    <w:rsid w:val="5847DA0B"/>
    <w:rsid w:val="5848DF85"/>
    <w:rsid w:val="584A753A"/>
    <w:rsid w:val="584AB844"/>
    <w:rsid w:val="584B0900"/>
    <w:rsid w:val="584D243D"/>
    <w:rsid w:val="584DCF1E"/>
    <w:rsid w:val="5850FC00"/>
    <w:rsid w:val="58518F37"/>
    <w:rsid w:val="585245D5"/>
    <w:rsid w:val="5852C29C"/>
    <w:rsid w:val="5853EAA3"/>
    <w:rsid w:val="58548A85"/>
    <w:rsid w:val="58549B4D"/>
    <w:rsid w:val="58550D92"/>
    <w:rsid w:val="5855F4F7"/>
    <w:rsid w:val="58560F26"/>
    <w:rsid w:val="585629F2"/>
    <w:rsid w:val="58564789"/>
    <w:rsid w:val="5857063C"/>
    <w:rsid w:val="5857E4FA"/>
    <w:rsid w:val="58587087"/>
    <w:rsid w:val="585A411C"/>
    <w:rsid w:val="585C0284"/>
    <w:rsid w:val="585CD46B"/>
    <w:rsid w:val="586276DB"/>
    <w:rsid w:val="586BEA48"/>
    <w:rsid w:val="58702655"/>
    <w:rsid w:val="5872E930"/>
    <w:rsid w:val="58731677"/>
    <w:rsid w:val="5873B1D7"/>
    <w:rsid w:val="58746B81"/>
    <w:rsid w:val="5874F8FF"/>
    <w:rsid w:val="5875024F"/>
    <w:rsid w:val="58765BC3"/>
    <w:rsid w:val="587764FD"/>
    <w:rsid w:val="58799567"/>
    <w:rsid w:val="5879F297"/>
    <w:rsid w:val="587AEB43"/>
    <w:rsid w:val="587D325D"/>
    <w:rsid w:val="587D3BBE"/>
    <w:rsid w:val="5885FE9F"/>
    <w:rsid w:val="5888E1E6"/>
    <w:rsid w:val="5889AFBA"/>
    <w:rsid w:val="589177E6"/>
    <w:rsid w:val="589194A2"/>
    <w:rsid w:val="5891CC03"/>
    <w:rsid w:val="58924A83"/>
    <w:rsid w:val="5892EBBD"/>
    <w:rsid w:val="5894BF23"/>
    <w:rsid w:val="589DF172"/>
    <w:rsid w:val="589F0495"/>
    <w:rsid w:val="58A0142E"/>
    <w:rsid w:val="58A1153E"/>
    <w:rsid w:val="58A1C90A"/>
    <w:rsid w:val="58A2399C"/>
    <w:rsid w:val="58A29E88"/>
    <w:rsid w:val="58A32925"/>
    <w:rsid w:val="58A6F452"/>
    <w:rsid w:val="58A74C2B"/>
    <w:rsid w:val="58A98227"/>
    <w:rsid w:val="58AC5F72"/>
    <w:rsid w:val="58ADEFAE"/>
    <w:rsid w:val="58AE2EEB"/>
    <w:rsid w:val="58AFE702"/>
    <w:rsid w:val="58B21521"/>
    <w:rsid w:val="58B2E908"/>
    <w:rsid w:val="58B717B9"/>
    <w:rsid w:val="58BAC192"/>
    <w:rsid w:val="58BE1ED2"/>
    <w:rsid w:val="58BF4899"/>
    <w:rsid w:val="58BFADA5"/>
    <w:rsid w:val="58C13DBF"/>
    <w:rsid w:val="58C5C1ED"/>
    <w:rsid w:val="58CC6006"/>
    <w:rsid w:val="58CF4A01"/>
    <w:rsid w:val="58CF65DA"/>
    <w:rsid w:val="58D08FF7"/>
    <w:rsid w:val="58D2929B"/>
    <w:rsid w:val="58D2EC14"/>
    <w:rsid w:val="58D377B4"/>
    <w:rsid w:val="58D48180"/>
    <w:rsid w:val="58D4D3AA"/>
    <w:rsid w:val="58D85C27"/>
    <w:rsid w:val="58D8A6C4"/>
    <w:rsid w:val="58D9A4B8"/>
    <w:rsid w:val="58DAD5EA"/>
    <w:rsid w:val="58DB4295"/>
    <w:rsid w:val="58E2CED6"/>
    <w:rsid w:val="58EAFEC2"/>
    <w:rsid w:val="58ED3E8E"/>
    <w:rsid w:val="58EE16C6"/>
    <w:rsid w:val="58F517F3"/>
    <w:rsid w:val="58F5E45E"/>
    <w:rsid w:val="58F68C1A"/>
    <w:rsid w:val="58F7BE5E"/>
    <w:rsid w:val="58FAF964"/>
    <w:rsid w:val="5901E514"/>
    <w:rsid w:val="59048202"/>
    <w:rsid w:val="5904C96C"/>
    <w:rsid w:val="59052C73"/>
    <w:rsid w:val="59060C90"/>
    <w:rsid w:val="59072699"/>
    <w:rsid w:val="59097D18"/>
    <w:rsid w:val="5909D57A"/>
    <w:rsid w:val="590ADF18"/>
    <w:rsid w:val="590F20C9"/>
    <w:rsid w:val="591051EE"/>
    <w:rsid w:val="59111E89"/>
    <w:rsid w:val="591304EE"/>
    <w:rsid w:val="59138617"/>
    <w:rsid w:val="591395A2"/>
    <w:rsid w:val="59147E87"/>
    <w:rsid w:val="5914DB55"/>
    <w:rsid w:val="5919F34A"/>
    <w:rsid w:val="591E2A3B"/>
    <w:rsid w:val="5920A1F5"/>
    <w:rsid w:val="5925EA27"/>
    <w:rsid w:val="5926C0DC"/>
    <w:rsid w:val="59278D43"/>
    <w:rsid w:val="5927F168"/>
    <w:rsid w:val="592AEAFB"/>
    <w:rsid w:val="592B37C9"/>
    <w:rsid w:val="592C8C8B"/>
    <w:rsid w:val="5931AB76"/>
    <w:rsid w:val="59329F79"/>
    <w:rsid w:val="5932F618"/>
    <w:rsid w:val="593321CC"/>
    <w:rsid w:val="59349C85"/>
    <w:rsid w:val="5936508D"/>
    <w:rsid w:val="59367B7B"/>
    <w:rsid w:val="593C7C80"/>
    <w:rsid w:val="593CBC36"/>
    <w:rsid w:val="593EBCC2"/>
    <w:rsid w:val="593EE9AB"/>
    <w:rsid w:val="5940B5A7"/>
    <w:rsid w:val="59428047"/>
    <w:rsid w:val="59452580"/>
    <w:rsid w:val="594C80A0"/>
    <w:rsid w:val="594CD79D"/>
    <w:rsid w:val="594D3B18"/>
    <w:rsid w:val="594E82F1"/>
    <w:rsid w:val="59533AC6"/>
    <w:rsid w:val="595B7AA8"/>
    <w:rsid w:val="5960A962"/>
    <w:rsid w:val="59614136"/>
    <w:rsid w:val="59684143"/>
    <w:rsid w:val="596B436A"/>
    <w:rsid w:val="596CA5B7"/>
    <w:rsid w:val="596D6797"/>
    <w:rsid w:val="596F4E71"/>
    <w:rsid w:val="597130ED"/>
    <w:rsid w:val="5971A958"/>
    <w:rsid w:val="5977146D"/>
    <w:rsid w:val="5978C8B6"/>
    <w:rsid w:val="5982DDCC"/>
    <w:rsid w:val="59842EE9"/>
    <w:rsid w:val="598586F9"/>
    <w:rsid w:val="5987B4FB"/>
    <w:rsid w:val="5989ED0D"/>
    <w:rsid w:val="5989EFA0"/>
    <w:rsid w:val="5990E15C"/>
    <w:rsid w:val="5990F825"/>
    <w:rsid w:val="5991FF6D"/>
    <w:rsid w:val="59921CC9"/>
    <w:rsid w:val="59927BD7"/>
    <w:rsid w:val="5992AB99"/>
    <w:rsid w:val="599879AD"/>
    <w:rsid w:val="5998E47E"/>
    <w:rsid w:val="599EE632"/>
    <w:rsid w:val="599F9932"/>
    <w:rsid w:val="59A065FD"/>
    <w:rsid w:val="59A08FA8"/>
    <w:rsid w:val="59A11BBB"/>
    <w:rsid w:val="59A128DC"/>
    <w:rsid w:val="59A416F5"/>
    <w:rsid w:val="59A7B201"/>
    <w:rsid w:val="59A89173"/>
    <w:rsid w:val="59ABEC7A"/>
    <w:rsid w:val="59B1698B"/>
    <w:rsid w:val="59B338AF"/>
    <w:rsid w:val="59B4BE8F"/>
    <w:rsid w:val="59B4F8F3"/>
    <w:rsid w:val="59C55D7E"/>
    <w:rsid w:val="59C5C2E5"/>
    <w:rsid w:val="59C744C9"/>
    <w:rsid w:val="59CB5C2F"/>
    <w:rsid w:val="59CB6F99"/>
    <w:rsid w:val="59CBE956"/>
    <w:rsid w:val="59CEC3E3"/>
    <w:rsid w:val="59DC2A03"/>
    <w:rsid w:val="59DD068F"/>
    <w:rsid w:val="59DD3250"/>
    <w:rsid w:val="59E1501E"/>
    <w:rsid w:val="59E20DEA"/>
    <w:rsid w:val="59E5AD6E"/>
    <w:rsid w:val="59ED3FA5"/>
    <w:rsid w:val="59ED9CA1"/>
    <w:rsid w:val="59EED3D8"/>
    <w:rsid w:val="59EF23F7"/>
    <w:rsid w:val="59F02F1D"/>
    <w:rsid w:val="59F0EAB4"/>
    <w:rsid w:val="59F2E3C8"/>
    <w:rsid w:val="59F375F1"/>
    <w:rsid w:val="59FAAEC1"/>
    <w:rsid w:val="59FB569D"/>
    <w:rsid w:val="59FBADD1"/>
    <w:rsid w:val="59FBDBA4"/>
    <w:rsid w:val="5A006876"/>
    <w:rsid w:val="5A0172D1"/>
    <w:rsid w:val="5A02B40B"/>
    <w:rsid w:val="5A08DFD7"/>
    <w:rsid w:val="5A097FA7"/>
    <w:rsid w:val="5A0B7E0C"/>
    <w:rsid w:val="5A0DBA2C"/>
    <w:rsid w:val="5A0FA2C9"/>
    <w:rsid w:val="5A0FC511"/>
    <w:rsid w:val="5A0FF485"/>
    <w:rsid w:val="5A123A47"/>
    <w:rsid w:val="5A12A8E9"/>
    <w:rsid w:val="5A1382DA"/>
    <w:rsid w:val="5A197F89"/>
    <w:rsid w:val="5A1F3E14"/>
    <w:rsid w:val="5A1FE84B"/>
    <w:rsid w:val="5A22576E"/>
    <w:rsid w:val="5A22AB2A"/>
    <w:rsid w:val="5A22E065"/>
    <w:rsid w:val="5A234358"/>
    <w:rsid w:val="5A23698B"/>
    <w:rsid w:val="5A2BEF96"/>
    <w:rsid w:val="5A2CF482"/>
    <w:rsid w:val="5A2E09DA"/>
    <w:rsid w:val="5A37E5BC"/>
    <w:rsid w:val="5A3928BF"/>
    <w:rsid w:val="5A3D7C0E"/>
    <w:rsid w:val="5A3E69EF"/>
    <w:rsid w:val="5A41ED41"/>
    <w:rsid w:val="5A47642B"/>
    <w:rsid w:val="5A4CE553"/>
    <w:rsid w:val="5A4E1C9B"/>
    <w:rsid w:val="5A4F46BD"/>
    <w:rsid w:val="5A522805"/>
    <w:rsid w:val="5A5228FB"/>
    <w:rsid w:val="5A53AAE9"/>
    <w:rsid w:val="5A56D5E1"/>
    <w:rsid w:val="5A62406A"/>
    <w:rsid w:val="5A63211C"/>
    <w:rsid w:val="5A69DF86"/>
    <w:rsid w:val="5A7039C5"/>
    <w:rsid w:val="5A72F549"/>
    <w:rsid w:val="5A734F14"/>
    <w:rsid w:val="5A74B47B"/>
    <w:rsid w:val="5A773A10"/>
    <w:rsid w:val="5A7DFC88"/>
    <w:rsid w:val="5A7F34AB"/>
    <w:rsid w:val="5A813133"/>
    <w:rsid w:val="5A81A6D6"/>
    <w:rsid w:val="5A825E5D"/>
    <w:rsid w:val="5A83DC5D"/>
    <w:rsid w:val="5A86B2FF"/>
    <w:rsid w:val="5A86B3FF"/>
    <w:rsid w:val="5A8A5237"/>
    <w:rsid w:val="5A8AD2F5"/>
    <w:rsid w:val="5A90AB7A"/>
    <w:rsid w:val="5A91594B"/>
    <w:rsid w:val="5A93C4FA"/>
    <w:rsid w:val="5A93F004"/>
    <w:rsid w:val="5A970709"/>
    <w:rsid w:val="5A98CE45"/>
    <w:rsid w:val="5A99649B"/>
    <w:rsid w:val="5A9E743F"/>
    <w:rsid w:val="5AA127F4"/>
    <w:rsid w:val="5AA2D684"/>
    <w:rsid w:val="5AA2ED05"/>
    <w:rsid w:val="5AA56F3D"/>
    <w:rsid w:val="5AA84A8C"/>
    <w:rsid w:val="5AACC683"/>
    <w:rsid w:val="5AAD4385"/>
    <w:rsid w:val="5AB06995"/>
    <w:rsid w:val="5AB4C888"/>
    <w:rsid w:val="5AB5F8C7"/>
    <w:rsid w:val="5AB69E68"/>
    <w:rsid w:val="5AB86D4B"/>
    <w:rsid w:val="5AB98730"/>
    <w:rsid w:val="5ABD04E0"/>
    <w:rsid w:val="5ABE83B2"/>
    <w:rsid w:val="5AC10A73"/>
    <w:rsid w:val="5AC13C6E"/>
    <w:rsid w:val="5AC1B863"/>
    <w:rsid w:val="5AC24CF2"/>
    <w:rsid w:val="5AC4C36B"/>
    <w:rsid w:val="5AC4E8AC"/>
    <w:rsid w:val="5AC510FC"/>
    <w:rsid w:val="5AC53AB9"/>
    <w:rsid w:val="5ACA5C2F"/>
    <w:rsid w:val="5ACDC81F"/>
    <w:rsid w:val="5ACF6947"/>
    <w:rsid w:val="5AD0F5AB"/>
    <w:rsid w:val="5AD3875E"/>
    <w:rsid w:val="5AD5AFAC"/>
    <w:rsid w:val="5AD60014"/>
    <w:rsid w:val="5AD86D47"/>
    <w:rsid w:val="5AD9F068"/>
    <w:rsid w:val="5ADC78D4"/>
    <w:rsid w:val="5ADD566D"/>
    <w:rsid w:val="5ADE0637"/>
    <w:rsid w:val="5ADF0F92"/>
    <w:rsid w:val="5AE19DF0"/>
    <w:rsid w:val="5AE82DBC"/>
    <w:rsid w:val="5AE881D3"/>
    <w:rsid w:val="5AEAEA53"/>
    <w:rsid w:val="5AED4ED0"/>
    <w:rsid w:val="5AF65867"/>
    <w:rsid w:val="5AF8065F"/>
    <w:rsid w:val="5AF82EDA"/>
    <w:rsid w:val="5AFC6557"/>
    <w:rsid w:val="5AFD2CCF"/>
    <w:rsid w:val="5AFFA56D"/>
    <w:rsid w:val="5B00CB70"/>
    <w:rsid w:val="5B01A6C2"/>
    <w:rsid w:val="5B04B5AF"/>
    <w:rsid w:val="5B058F99"/>
    <w:rsid w:val="5B059DA0"/>
    <w:rsid w:val="5B061253"/>
    <w:rsid w:val="5B136B60"/>
    <w:rsid w:val="5B16D3CE"/>
    <w:rsid w:val="5B174658"/>
    <w:rsid w:val="5B17707B"/>
    <w:rsid w:val="5B1B3926"/>
    <w:rsid w:val="5B1E38A9"/>
    <w:rsid w:val="5B1E40EF"/>
    <w:rsid w:val="5B1E96CC"/>
    <w:rsid w:val="5B22A461"/>
    <w:rsid w:val="5B23564C"/>
    <w:rsid w:val="5B242D78"/>
    <w:rsid w:val="5B255500"/>
    <w:rsid w:val="5B25576F"/>
    <w:rsid w:val="5B266BCB"/>
    <w:rsid w:val="5B2986CF"/>
    <w:rsid w:val="5B2E6E0E"/>
    <w:rsid w:val="5B328D18"/>
    <w:rsid w:val="5B33F563"/>
    <w:rsid w:val="5B3806F2"/>
    <w:rsid w:val="5B38A496"/>
    <w:rsid w:val="5B3953FC"/>
    <w:rsid w:val="5B397523"/>
    <w:rsid w:val="5B3C951F"/>
    <w:rsid w:val="5B3EFC65"/>
    <w:rsid w:val="5B4004E5"/>
    <w:rsid w:val="5B409C15"/>
    <w:rsid w:val="5B43D97F"/>
    <w:rsid w:val="5B44C554"/>
    <w:rsid w:val="5B454A5A"/>
    <w:rsid w:val="5B483B9B"/>
    <w:rsid w:val="5B48516B"/>
    <w:rsid w:val="5B48C1BC"/>
    <w:rsid w:val="5B4BD8F4"/>
    <w:rsid w:val="5B52C3EE"/>
    <w:rsid w:val="5B568A44"/>
    <w:rsid w:val="5B588661"/>
    <w:rsid w:val="5B59264D"/>
    <w:rsid w:val="5B595C78"/>
    <w:rsid w:val="5B5C5142"/>
    <w:rsid w:val="5B5CCF75"/>
    <w:rsid w:val="5B5F078C"/>
    <w:rsid w:val="5B602AEB"/>
    <w:rsid w:val="5B623E71"/>
    <w:rsid w:val="5B641272"/>
    <w:rsid w:val="5B64C3D3"/>
    <w:rsid w:val="5B66C2AF"/>
    <w:rsid w:val="5B671EC0"/>
    <w:rsid w:val="5B6EA713"/>
    <w:rsid w:val="5B6F68CF"/>
    <w:rsid w:val="5B6F7D1D"/>
    <w:rsid w:val="5B70CE43"/>
    <w:rsid w:val="5B71C619"/>
    <w:rsid w:val="5B72698E"/>
    <w:rsid w:val="5B73EF12"/>
    <w:rsid w:val="5B745A1C"/>
    <w:rsid w:val="5B74AB7B"/>
    <w:rsid w:val="5B7633AA"/>
    <w:rsid w:val="5B78659F"/>
    <w:rsid w:val="5B7B5968"/>
    <w:rsid w:val="5B7C7EF3"/>
    <w:rsid w:val="5B7D181D"/>
    <w:rsid w:val="5B825175"/>
    <w:rsid w:val="5B843ACF"/>
    <w:rsid w:val="5B86EB42"/>
    <w:rsid w:val="5B89B5B6"/>
    <w:rsid w:val="5B8BEBDE"/>
    <w:rsid w:val="5B930CC2"/>
    <w:rsid w:val="5B93DCE8"/>
    <w:rsid w:val="5B95B659"/>
    <w:rsid w:val="5B9BAC8A"/>
    <w:rsid w:val="5B9D0141"/>
    <w:rsid w:val="5B9F3DAD"/>
    <w:rsid w:val="5BA1F370"/>
    <w:rsid w:val="5BA4525B"/>
    <w:rsid w:val="5BA7E24F"/>
    <w:rsid w:val="5BA8C462"/>
    <w:rsid w:val="5BAAF701"/>
    <w:rsid w:val="5BAB293F"/>
    <w:rsid w:val="5BAB4D68"/>
    <w:rsid w:val="5BABE1DA"/>
    <w:rsid w:val="5BACED9D"/>
    <w:rsid w:val="5BAED397"/>
    <w:rsid w:val="5BB078C2"/>
    <w:rsid w:val="5BB710E5"/>
    <w:rsid w:val="5BB86055"/>
    <w:rsid w:val="5BBADA23"/>
    <w:rsid w:val="5BBCD598"/>
    <w:rsid w:val="5BBF3578"/>
    <w:rsid w:val="5BC09DE4"/>
    <w:rsid w:val="5BC1112C"/>
    <w:rsid w:val="5BC5572F"/>
    <w:rsid w:val="5BC56844"/>
    <w:rsid w:val="5BC60EF6"/>
    <w:rsid w:val="5BC718E9"/>
    <w:rsid w:val="5BC84EE2"/>
    <w:rsid w:val="5BC9AB8D"/>
    <w:rsid w:val="5BCAFB39"/>
    <w:rsid w:val="5BCD6A49"/>
    <w:rsid w:val="5BCE5101"/>
    <w:rsid w:val="5BD15AAE"/>
    <w:rsid w:val="5BD26767"/>
    <w:rsid w:val="5BD53035"/>
    <w:rsid w:val="5BD7FAB8"/>
    <w:rsid w:val="5BD88F59"/>
    <w:rsid w:val="5BD8EF2F"/>
    <w:rsid w:val="5BDC526E"/>
    <w:rsid w:val="5BDDA8D7"/>
    <w:rsid w:val="5BDE24A7"/>
    <w:rsid w:val="5BDFF17F"/>
    <w:rsid w:val="5BE320CC"/>
    <w:rsid w:val="5BE3E474"/>
    <w:rsid w:val="5BE448B5"/>
    <w:rsid w:val="5BE64E6F"/>
    <w:rsid w:val="5BE8172B"/>
    <w:rsid w:val="5BE83F99"/>
    <w:rsid w:val="5BE8A6CA"/>
    <w:rsid w:val="5BEBE395"/>
    <w:rsid w:val="5BEDAC1A"/>
    <w:rsid w:val="5BF217EF"/>
    <w:rsid w:val="5BF9B240"/>
    <w:rsid w:val="5BFAA2A2"/>
    <w:rsid w:val="5BFABCEA"/>
    <w:rsid w:val="5BFBF47F"/>
    <w:rsid w:val="5BFDE239"/>
    <w:rsid w:val="5BFF1C8E"/>
    <w:rsid w:val="5BFF72D5"/>
    <w:rsid w:val="5C011493"/>
    <w:rsid w:val="5C08B1E4"/>
    <w:rsid w:val="5C0C24D1"/>
    <w:rsid w:val="5C0F6DFC"/>
    <w:rsid w:val="5C0FA51F"/>
    <w:rsid w:val="5C135253"/>
    <w:rsid w:val="5C1361C2"/>
    <w:rsid w:val="5C14610E"/>
    <w:rsid w:val="5C151F3B"/>
    <w:rsid w:val="5C1697B5"/>
    <w:rsid w:val="5C1749BF"/>
    <w:rsid w:val="5C178831"/>
    <w:rsid w:val="5C17F7A2"/>
    <w:rsid w:val="5C191D13"/>
    <w:rsid w:val="5C195C96"/>
    <w:rsid w:val="5C1B39FA"/>
    <w:rsid w:val="5C1C8413"/>
    <w:rsid w:val="5C1FC005"/>
    <w:rsid w:val="5C2407DD"/>
    <w:rsid w:val="5C254AE2"/>
    <w:rsid w:val="5C259A63"/>
    <w:rsid w:val="5C278CA0"/>
    <w:rsid w:val="5C284AC4"/>
    <w:rsid w:val="5C2A8DBF"/>
    <w:rsid w:val="5C2F1A1E"/>
    <w:rsid w:val="5C349CD9"/>
    <w:rsid w:val="5C40C926"/>
    <w:rsid w:val="5C42A064"/>
    <w:rsid w:val="5C4C9883"/>
    <w:rsid w:val="5C500A88"/>
    <w:rsid w:val="5C539FFA"/>
    <w:rsid w:val="5C57E673"/>
    <w:rsid w:val="5C5A279E"/>
    <w:rsid w:val="5C5C702D"/>
    <w:rsid w:val="5C5FAA27"/>
    <w:rsid w:val="5C67ACA7"/>
    <w:rsid w:val="5C6A2F4B"/>
    <w:rsid w:val="5C6A9777"/>
    <w:rsid w:val="5C6AF6CE"/>
    <w:rsid w:val="5C7F392B"/>
    <w:rsid w:val="5C80F592"/>
    <w:rsid w:val="5C846ECF"/>
    <w:rsid w:val="5C853885"/>
    <w:rsid w:val="5C85C3F6"/>
    <w:rsid w:val="5C886E7E"/>
    <w:rsid w:val="5C8A7D69"/>
    <w:rsid w:val="5C8C0578"/>
    <w:rsid w:val="5C8D217B"/>
    <w:rsid w:val="5C8DE592"/>
    <w:rsid w:val="5C93445F"/>
    <w:rsid w:val="5C94349A"/>
    <w:rsid w:val="5C9484D2"/>
    <w:rsid w:val="5C94AFA9"/>
    <w:rsid w:val="5C968EDB"/>
    <w:rsid w:val="5C996583"/>
    <w:rsid w:val="5C99D6F9"/>
    <w:rsid w:val="5CA1BF4C"/>
    <w:rsid w:val="5CA337F5"/>
    <w:rsid w:val="5CA38816"/>
    <w:rsid w:val="5CA5C535"/>
    <w:rsid w:val="5CA5D91E"/>
    <w:rsid w:val="5CA5F87B"/>
    <w:rsid w:val="5CA6C8E2"/>
    <w:rsid w:val="5CA7A096"/>
    <w:rsid w:val="5CA7FF94"/>
    <w:rsid w:val="5CA848EC"/>
    <w:rsid w:val="5CACEA85"/>
    <w:rsid w:val="5CAEB655"/>
    <w:rsid w:val="5CB1CD7D"/>
    <w:rsid w:val="5CB25BE9"/>
    <w:rsid w:val="5CB343AF"/>
    <w:rsid w:val="5CB404C8"/>
    <w:rsid w:val="5CB5C11D"/>
    <w:rsid w:val="5CB742C0"/>
    <w:rsid w:val="5CB7C9BE"/>
    <w:rsid w:val="5CB8473F"/>
    <w:rsid w:val="5CB9F9B4"/>
    <w:rsid w:val="5CBE7704"/>
    <w:rsid w:val="5CBF5515"/>
    <w:rsid w:val="5CC19EAF"/>
    <w:rsid w:val="5CC266AD"/>
    <w:rsid w:val="5CC5F62B"/>
    <w:rsid w:val="5CCB7C1D"/>
    <w:rsid w:val="5CCBE765"/>
    <w:rsid w:val="5CCC9074"/>
    <w:rsid w:val="5CCFCD3E"/>
    <w:rsid w:val="5CD29016"/>
    <w:rsid w:val="5CD6D996"/>
    <w:rsid w:val="5CD9A09D"/>
    <w:rsid w:val="5CDB6BEF"/>
    <w:rsid w:val="5CDC34B2"/>
    <w:rsid w:val="5CDD2976"/>
    <w:rsid w:val="5CDF36E4"/>
    <w:rsid w:val="5CE8A08D"/>
    <w:rsid w:val="5CEBAEEA"/>
    <w:rsid w:val="5CED7BCA"/>
    <w:rsid w:val="5CEF511D"/>
    <w:rsid w:val="5CF33822"/>
    <w:rsid w:val="5CF8AA5C"/>
    <w:rsid w:val="5CFA0572"/>
    <w:rsid w:val="5CFBDD9B"/>
    <w:rsid w:val="5D01FDA3"/>
    <w:rsid w:val="5D0298F7"/>
    <w:rsid w:val="5D031895"/>
    <w:rsid w:val="5D046CA7"/>
    <w:rsid w:val="5D053BFA"/>
    <w:rsid w:val="5D0E2750"/>
    <w:rsid w:val="5D0F538C"/>
    <w:rsid w:val="5D129D0E"/>
    <w:rsid w:val="5D12ACB7"/>
    <w:rsid w:val="5D156469"/>
    <w:rsid w:val="5D178C56"/>
    <w:rsid w:val="5D18E2B7"/>
    <w:rsid w:val="5D1BCC5B"/>
    <w:rsid w:val="5D1F3041"/>
    <w:rsid w:val="5D2046E3"/>
    <w:rsid w:val="5D231D89"/>
    <w:rsid w:val="5D2320D5"/>
    <w:rsid w:val="5D27AAFE"/>
    <w:rsid w:val="5D2B205A"/>
    <w:rsid w:val="5D2CAB7C"/>
    <w:rsid w:val="5D2E650E"/>
    <w:rsid w:val="5D2F39F9"/>
    <w:rsid w:val="5D305010"/>
    <w:rsid w:val="5D30B62F"/>
    <w:rsid w:val="5D347DFE"/>
    <w:rsid w:val="5D36502F"/>
    <w:rsid w:val="5D374D94"/>
    <w:rsid w:val="5D37B285"/>
    <w:rsid w:val="5D388EDE"/>
    <w:rsid w:val="5D3926D1"/>
    <w:rsid w:val="5D3B7B45"/>
    <w:rsid w:val="5D4040CC"/>
    <w:rsid w:val="5D41B1AE"/>
    <w:rsid w:val="5D41D4B0"/>
    <w:rsid w:val="5D444D4B"/>
    <w:rsid w:val="5D4A2EF5"/>
    <w:rsid w:val="5D4F2AF6"/>
    <w:rsid w:val="5D4F6177"/>
    <w:rsid w:val="5D4F70E7"/>
    <w:rsid w:val="5D50BCB5"/>
    <w:rsid w:val="5D530158"/>
    <w:rsid w:val="5D54C3AA"/>
    <w:rsid w:val="5D553402"/>
    <w:rsid w:val="5D55FD2F"/>
    <w:rsid w:val="5D589C39"/>
    <w:rsid w:val="5D5A8F90"/>
    <w:rsid w:val="5D5C7BB8"/>
    <w:rsid w:val="5D5CC9C7"/>
    <w:rsid w:val="5D5CE550"/>
    <w:rsid w:val="5D5D8BF3"/>
    <w:rsid w:val="5D6654E9"/>
    <w:rsid w:val="5D676A9B"/>
    <w:rsid w:val="5D67C9D2"/>
    <w:rsid w:val="5D6BAAD4"/>
    <w:rsid w:val="5D760E8F"/>
    <w:rsid w:val="5D76CAAA"/>
    <w:rsid w:val="5D7D0A92"/>
    <w:rsid w:val="5D824EEE"/>
    <w:rsid w:val="5D84F07A"/>
    <w:rsid w:val="5D868E37"/>
    <w:rsid w:val="5D8936A7"/>
    <w:rsid w:val="5D8A237B"/>
    <w:rsid w:val="5D8BE281"/>
    <w:rsid w:val="5D8D70CD"/>
    <w:rsid w:val="5D8DB180"/>
    <w:rsid w:val="5D90E2FE"/>
    <w:rsid w:val="5D95D1EC"/>
    <w:rsid w:val="5D968A14"/>
    <w:rsid w:val="5D98BA69"/>
    <w:rsid w:val="5D98DAC4"/>
    <w:rsid w:val="5D99C999"/>
    <w:rsid w:val="5D9ECBD6"/>
    <w:rsid w:val="5D9F11B3"/>
    <w:rsid w:val="5D9F6E69"/>
    <w:rsid w:val="5DA21C89"/>
    <w:rsid w:val="5DA24936"/>
    <w:rsid w:val="5DA2E267"/>
    <w:rsid w:val="5DA527F2"/>
    <w:rsid w:val="5DA63959"/>
    <w:rsid w:val="5DA64A32"/>
    <w:rsid w:val="5DAECC10"/>
    <w:rsid w:val="5DB03D60"/>
    <w:rsid w:val="5DB2CCC8"/>
    <w:rsid w:val="5DB40735"/>
    <w:rsid w:val="5DB69C68"/>
    <w:rsid w:val="5DB822B2"/>
    <w:rsid w:val="5DBABF7D"/>
    <w:rsid w:val="5DBBF8F7"/>
    <w:rsid w:val="5DBCC68A"/>
    <w:rsid w:val="5DC27939"/>
    <w:rsid w:val="5DC6F7B5"/>
    <w:rsid w:val="5DC832DD"/>
    <w:rsid w:val="5DCB334C"/>
    <w:rsid w:val="5DCE159F"/>
    <w:rsid w:val="5DD09488"/>
    <w:rsid w:val="5DDA1037"/>
    <w:rsid w:val="5DDBD679"/>
    <w:rsid w:val="5DDF6618"/>
    <w:rsid w:val="5DE0AE0D"/>
    <w:rsid w:val="5DE12DE8"/>
    <w:rsid w:val="5DE2A472"/>
    <w:rsid w:val="5DE7343C"/>
    <w:rsid w:val="5DE80129"/>
    <w:rsid w:val="5DE80CE4"/>
    <w:rsid w:val="5DE8426E"/>
    <w:rsid w:val="5DEC010B"/>
    <w:rsid w:val="5DEE1097"/>
    <w:rsid w:val="5DEEB0FD"/>
    <w:rsid w:val="5DF28C8C"/>
    <w:rsid w:val="5DF6E485"/>
    <w:rsid w:val="5DFA4AA3"/>
    <w:rsid w:val="5DFA8BE6"/>
    <w:rsid w:val="5DFFECCD"/>
    <w:rsid w:val="5E015A11"/>
    <w:rsid w:val="5E036413"/>
    <w:rsid w:val="5E039021"/>
    <w:rsid w:val="5E03CFBF"/>
    <w:rsid w:val="5E0F3CDC"/>
    <w:rsid w:val="5E0F5389"/>
    <w:rsid w:val="5E11E7EB"/>
    <w:rsid w:val="5E168222"/>
    <w:rsid w:val="5E17987C"/>
    <w:rsid w:val="5E197865"/>
    <w:rsid w:val="5E1DBCD2"/>
    <w:rsid w:val="5E1E2FDA"/>
    <w:rsid w:val="5E220F51"/>
    <w:rsid w:val="5E22DFA7"/>
    <w:rsid w:val="5E2315C2"/>
    <w:rsid w:val="5E256DEF"/>
    <w:rsid w:val="5E27CF37"/>
    <w:rsid w:val="5E2A3018"/>
    <w:rsid w:val="5E2B1926"/>
    <w:rsid w:val="5E2C036B"/>
    <w:rsid w:val="5E34829C"/>
    <w:rsid w:val="5E373C7E"/>
    <w:rsid w:val="5E375C11"/>
    <w:rsid w:val="5E37A12C"/>
    <w:rsid w:val="5E3E0274"/>
    <w:rsid w:val="5E3E455F"/>
    <w:rsid w:val="5E41C6DB"/>
    <w:rsid w:val="5E446495"/>
    <w:rsid w:val="5E4591AC"/>
    <w:rsid w:val="5E4725E1"/>
    <w:rsid w:val="5E47B82D"/>
    <w:rsid w:val="5E485BA8"/>
    <w:rsid w:val="5E49E0CC"/>
    <w:rsid w:val="5E4B0F3C"/>
    <w:rsid w:val="5E4B58AB"/>
    <w:rsid w:val="5E504ED4"/>
    <w:rsid w:val="5E5098AD"/>
    <w:rsid w:val="5E51402E"/>
    <w:rsid w:val="5E524496"/>
    <w:rsid w:val="5E53FE9B"/>
    <w:rsid w:val="5E566668"/>
    <w:rsid w:val="5E5995A8"/>
    <w:rsid w:val="5E5C70B0"/>
    <w:rsid w:val="5E5F26AD"/>
    <w:rsid w:val="5E5F7364"/>
    <w:rsid w:val="5E60796F"/>
    <w:rsid w:val="5E616974"/>
    <w:rsid w:val="5E61888B"/>
    <w:rsid w:val="5E6333BC"/>
    <w:rsid w:val="5E636320"/>
    <w:rsid w:val="5E657978"/>
    <w:rsid w:val="5E6B4B9A"/>
    <w:rsid w:val="5E6C6707"/>
    <w:rsid w:val="5E701BEF"/>
    <w:rsid w:val="5E702548"/>
    <w:rsid w:val="5E71B0EC"/>
    <w:rsid w:val="5E72E409"/>
    <w:rsid w:val="5E7323EC"/>
    <w:rsid w:val="5E73C82D"/>
    <w:rsid w:val="5E751AB7"/>
    <w:rsid w:val="5E79ED37"/>
    <w:rsid w:val="5E7A5ED5"/>
    <w:rsid w:val="5E7AC6B4"/>
    <w:rsid w:val="5E7E5508"/>
    <w:rsid w:val="5E7E9CF3"/>
    <w:rsid w:val="5E80C0BB"/>
    <w:rsid w:val="5E81083C"/>
    <w:rsid w:val="5E84E789"/>
    <w:rsid w:val="5E868863"/>
    <w:rsid w:val="5E87889A"/>
    <w:rsid w:val="5E88EEA7"/>
    <w:rsid w:val="5E8A9B37"/>
    <w:rsid w:val="5E8CC46C"/>
    <w:rsid w:val="5E8FB60F"/>
    <w:rsid w:val="5E902E0D"/>
    <w:rsid w:val="5E92210B"/>
    <w:rsid w:val="5E9241A8"/>
    <w:rsid w:val="5E938DE8"/>
    <w:rsid w:val="5E95073E"/>
    <w:rsid w:val="5E95E8C1"/>
    <w:rsid w:val="5E9BE913"/>
    <w:rsid w:val="5EA1750B"/>
    <w:rsid w:val="5EA21083"/>
    <w:rsid w:val="5EA4417C"/>
    <w:rsid w:val="5EA5B38E"/>
    <w:rsid w:val="5EA7FB8B"/>
    <w:rsid w:val="5EA94E63"/>
    <w:rsid w:val="5EAA9D3F"/>
    <w:rsid w:val="5EABD295"/>
    <w:rsid w:val="5EAC9940"/>
    <w:rsid w:val="5EAE6C1B"/>
    <w:rsid w:val="5EAECC94"/>
    <w:rsid w:val="5EAEF627"/>
    <w:rsid w:val="5EAF6E24"/>
    <w:rsid w:val="5EAFA61F"/>
    <w:rsid w:val="5EB01B94"/>
    <w:rsid w:val="5EB1E379"/>
    <w:rsid w:val="5EB38288"/>
    <w:rsid w:val="5EB3ACC5"/>
    <w:rsid w:val="5EB7280F"/>
    <w:rsid w:val="5EB7330B"/>
    <w:rsid w:val="5EB73D1A"/>
    <w:rsid w:val="5EB79669"/>
    <w:rsid w:val="5EB89E3E"/>
    <w:rsid w:val="5EB8DE49"/>
    <w:rsid w:val="5EB8FDDC"/>
    <w:rsid w:val="5EBAD0BF"/>
    <w:rsid w:val="5EBB15BA"/>
    <w:rsid w:val="5EBD5AC3"/>
    <w:rsid w:val="5EC4E494"/>
    <w:rsid w:val="5EC70718"/>
    <w:rsid w:val="5ECCD164"/>
    <w:rsid w:val="5ECF4543"/>
    <w:rsid w:val="5ED316FA"/>
    <w:rsid w:val="5ED3A7D5"/>
    <w:rsid w:val="5EDF448B"/>
    <w:rsid w:val="5EDF8685"/>
    <w:rsid w:val="5EE02EC2"/>
    <w:rsid w:val="5EE26AA7"/>
    <w:rsid w:val="5EE43806"/>
    <w:rsid w:val="5EE8938F"/>
    <w:rsid w:val="5EE98A95"/>
    <w:rsid w:val="5EE9E643"/>
    <w:rsid w:val="5EECC1B7"/>
    <w:rsid w:val="5EEF1CCD"/>
    <w:rsid w:val="5EF06D5B"/>
    <w:rsid w:val="5EF11D5D"/>
    <w:rsid w:val="5EF2454C"/>
    <w:rsid w:val="5EF50F5C"/>
    <w:rsid w:val="5EF73066"/>
    <w:rsid w:val="5EF8C034"/>
    <w:rsid w:val="5EFA3129"/>
    <w:rsid w:val="5EFF699F"/>
    <w:rsid w:val="5F011377"/>
    <w:rsid w:val="5F045487"/>
    <w:rsid w:val="5F054C37"/>
    <w:rsid w:val="5F05DD2F"/>
    <w:rsid w:val="5F0AAD9A"/>
    <w:rsid w:val="5F159553"/>
    <w:rsid w:val="5F19DEA5"/>
    <w:rsid w:val="5F1A8E5D"/>
    <w:rsid w:val="5F1C4F18"/>
    <w:rsid w:val="5F1E20AD"/>
    <w:rsid w:val="5F1EE4F9"/>
    <w:rsid w:val="5F218327"/>
    <w:rsid w:val="5F21EDC0"/>
    <w:rsid w:val="5F28A779"/>
    <w:rsid w:val="5F295399"/>
    <w:rsid w:val="5F2D6A3C"/>
    <w:rsid w:val="5F2F52C5"/>
    <w:rsid w:val="5F34BA7C"/>
    <w:rsid w:val="5F350E7E"/>
    <w:rsid w:val="5F380D5E"/>
    <w:rsid w:val="5F3C97AB"/>
    <w:rsid w:val="5F3E8108"/>
    <w:rsid w:val="5F3ED305"/>
    <w:rsid w:val="5F43C1D3"/>
    <w:rsid w:val="5F47D3F6"/>
    <w:rsid w:val="5F4B3C10"/>
    <w:rsid w:val="5F4B7FCB"/>
    <w:rsid w:val="5F4C5449"/>
    <w:rsid w:val="5F4ED47D"/>
    <w:rsid w:val="5F51DD65"/>
    <w:rsid w:val="5F552816"/>
    <w:rsid w:val="5F5672CF"/>
    <w:rsid w:val="5F575D71"/>
    <w:rsid w:val="5F577803"/>
    <w:rsid w:val="5F5952B2"/>
    <w:rsid w:val="5F5C1575"/>
    <w:rsid w:val="5F5CC367"/>
    <w:rsid w:val="5F5D4545"/>
    <w:rsid w:val="5F5E4BC6"/>
    <w:rsid w:val="5F621EB3"/>
    <w:rsid w:val="5F66E8FE"/>
    <w:rsid w:val="5F67D420"/>
    <w:rsid w:val="5F68B8E1"/>
    <w:rsid w:val="5F70DCED"/>
    <w:rsid w:val="5F758565"/>
    <w:rsid w:val="5F759864"/>
    <w:rsid w:val="5F788D32"/>
    <w:rsid w:val="5F797FDE"/>
    <w:rsid w:val="5F7A8A59"/>
    <w:rsid w:val="5F7B67F2"/>
    <w:rsid w:val="5F7C21CE"/>
    <w:rsid w:val="5F7D11FE"/>
    <w:rsid w:val="5F7DCAB6"/>
    <w:rsid w:val="5F7EAF43"/>
    <w:rsid w:val="5F7FB567"/>
    <w:rsid w:val="5F7FD04C"/>
    <w:rsid w:val="5F81BC1C"/>
    <w:rsid w:val="5F8319BA"/>
    <w:rsid w:val="5F83D778"/>
    <w:rsid w:val="5F840D16"/>
    <w:rsid w:val="5F87AD3A"/>
    <w:rsid w:val="5F87F5D0"/>
    <w:rsid w:val="5F88D644"/>
    <w:rsid w:val="5F8A7A1B"/>
    <w:rsid w:val="5F8AE504"/>
    <w:rsid w:val="5F8B26CE"/>
    <w:rsid w:val="5F8D29F8"/>
    <w:rsid w:val="5F8DAC31"/>
    <w:rsid w:val="5F8F9F07"/>
    <w:rsid w:val="5F942EE1"/>
    <w:rsid w:val="5F9644B1"/>
    <w:rsid w:val="5F995823"/>
    <w:rsid w:val="5F9C5B47"/>
    <w:rsid w:val="5F9CE45F"/>
    <w:rsid w:val="5F9DECC3"/>
    <w:rsid w:val="5F9ED9F2"/>
    <w:rsid w:val="5FA0AFD7"/>
    <w:rsid w:val="5FA184B5"/>
    <w:rsid w:val="5FA2C37F"/>
    <w:rsid w:val="5FA7D26F"/>
    <w:rsid w:val="5FA9A83F"/>
    <w:rsid w:val="5FAB1F4E"/>
    <w:rsid w:val="5FAD4103"/>
    <w:rsid w:val="5FB30885"/>
    <w:rsid w:val="5FB45CCD"/>
    <w:rsid w:val="5FB4C219"/>
    <w:rsid w:val="5FB537EC"/>
    <w:rsid w:val="5FB66F8C"/>
    <w:rsid w:val="5FB6B897"/>
    <w:rsid w:val="5FBA69B3"/>
    <w:rsid w:val="5FBE2E09"/>
    <w:rsid w:val="5FBE942D"/>
    <w:rsid w:val="5FC02F32"/>
    <w:rsid w:val="5FC3EC89"/>
    <w:rsid w:val="5FC59649"/>
    <w:rsid w:val="5FCC536E"/>
    <w:rsid w:val="5FCE7BC5"/>
    <w:rsid w:val="5FCFC226"/>
    <w:rsid w:val="5FD10FCB"/>
    <w:rsid w:val="5FD26ABE"/>
    <w:rsid w:val="5FD89DDF"/>
    <w:rsid w:val="5FD9F81C"/>
    <w:rsid w:val="5FDF4D26"/>
    <w:rsid w:val="5FE8A5CC"/>
    <w:rsid w:val="5FE8ED47"/>
    <w:rsid w:val="5FE9864D"/>
    <w:rsid w:val="5FEE3E75"/>
    <w:rsid w:val="5FF1F352"/>
    <w:rsid w:val="5FF284EE"/>
    <w:rsid w:val="5FF44A6D"/>
    <w:rsid w:val="5FF45E69"/>
    <w:rsid w:val="5FF7C210"/>
    <w:rsid w:val="5FFA7655"/>
    <w:rsid w:val="5FFCBFC2"/>
    <w:rsid w:val="5FFD6805"/>
    <w:rsid w:val="5FFD6E61"/>
    <w:rsid w:val="5FFF6642"/>
    <w:rsid w:val="600359DD"/>
    <w:rsid w:val="6004DFD2"/>
    <w:rsid w:val="6008A527"/>
    <w:rsid w:val="6009A86D"/>
    <w:rsid w:val="6009D348"/>
    <w:rsid w:val="600A77F5"/>
    <w:rsid w:val="600AEC78"/>
    <w:rsid w:val="600C26E2"/>
    <w:rsid w:val="600E4372"/>
    <w:rsid w:val="6010124D"/>
    <w:rsid w:val="6010A7D0"/>
    <w:rsid w:val="601396DF"/>
    <w:rsid w:val="6016D0E1"/>
    <w:rsid w:val="6016DF38"/>
    <w:rsid w:val="60184622"/>
    <w:rsid w:val="601D2A06"/>
    <w:rsid w:val="601D34FE"/>
    <w:rsid w:val="601DB101"/>
    <w:rsid w:val="601E58FE"/>
    <w:rsid w:val="6020AAA4"/>
    <w:rsid w:val="6024DD2E"/>
    <w:rsid w:val="60294ADE"/>
    <w:rsid w:val="602F2F17"/>
    <w:rsid w:val="6031E503"/>
    <w:rsid w:val="603255E8"/>
    <w:rsid w:val="60350E17"/>
    <w:rsid w:val="60370541"/>
    <w:rsid w:val="6038DEF8"/>
    <w:rsid w:val="6043F036"/>
    <w:rsid w:val="604A9277"/>
    <w:rsid w:val="604FDA97"/>
    <w:rsid w:val="60502746"/>
    <w:rsid w:val="6052935F"/>
    <w:rsid w:val="605345C3"/>
    <w:rsid w:val="6053DE68"/>
    <w:rsid w:val="60554BDC"/>
    <w:rsid w:val="60561333"/>
    <w:rsid w:val="6059B0D4"/>
    <w:rsid w:val="605A0A9F"/>
    <w:rsid w:val="605A3B88"/>
    <w:rsid w:val="605E29AD"/>
    <w:rsid w:val="6062AE28"/>
    <w:rsid w:val="6067F0F4"/>
    <w:rsid w:val="6067F84D"/>
    <w:rsid w:val="60690454"/>
    <w:rsid w:val="606AE40D"/>
    <w:rsid w:val="606C0F68"/>
    <w:rsid w:val="606E5E27"/>
    <w:rsid w:val="606EA5E6"/>
    <w:rsid w:val="606EB410"/>
    <w:rsid w:val="60736337"/>
    <w:rsid w:val="6076A3AA"/>
    <w:rsid w:val="607905E3"/>
    <w:rsid w:val="607DD1D9"/>
    <w:rsid w:val="607E4E7A"/>
    <w:rsid w:val="6081339D"/>
    <w:rsid w:val="60851C8D"/>
    <w:rsid w:val="60851F75"/>
    <w:rsid w:val="608582C5"/>
    <w:rsid w:val="6086FC84"/>
    <w:rsid w:val="60871193"/>
    <w:rsid w:val="60875389"/>
    <w:rsid w:val="6087B533"/>
    <w:rsid w:val="6087D481"/>
    <w:rsid w:val="608AC03F"/>
    <w:rsid w:val="608AD97B"/>
    <w:rsid w:val="608CC8A2"/>
    <w:rsid w:val="608D3296"/>
    <w:rsid w:val="608ECE2B"/>
    <w:rsid w:val="6090B3DD"/>
    <w:rsid w:val="6091EC91"/>
    <w:rsid w:val="6092F4C5"/>
    <w:rsid w:val="60955D6D"/>
    <w:rsid w:val="60976935"/>
    <w:rsid w:val="609AD562"/>
    <w:rsid w:val="609F26B1"/>
    <w:rsid w:val="60A1201D"/>
    <w:rsid w:val="60A2535B"/>
    <w:rsid w:val="60A27839"/>
    <w:rsid w:val="60A44D43"/>
    <w:rsid w:val="60ABA0D5"/>
    <w:rsid w:val="60B09562"/>
    <w:rsid w:val="60B0DF45"/>
    <w:rsid w:val="60B272CB"/>
    <w:rsid w:val="60B63AAD"/>
    <w:rsid w:val="60B772A8"/>
    <w:rsid w:val="60B867F6"/>
    <w:rsid w:val="60BC7524"/>
    <w:rsid w:val="60BCECCE"/>
    <w:rsid w:val="60BE5C2A"/>
    <w:rsid w:val="60BEDD9C"/>
    <w:rsid w:val="60C153E4"/>
    <w:rsid w:val="60C26902"/>
    <w:rsid w:val="60C4143F"/>
    <w:rsid w:val="60C66479"/>
    <w:rsid w:val="60C73AE4"/>
    <w:rsid w:val="60C8CF8D"/>
    <w:rsid w:val="60CA234F"/>
    <w:rsid w:val="60CA6BAF"/>
    <w:rsid w:val="60CAF853"/>
    <w:rsid w:val="60CC7451"/>
    <w:rsid w:val="60CDE9DF"/>
    <w:rsid w:val="60CE3115"/>
    <w:rsid w:val="60D43542"/>
    <w:rsid w:val="60D4E304"/>
    <w:rsid w:val="60D4EBA0"/>
    <w:rsid w:val="60D6F1C1"/>
    <w:rsid w:val="60D73147"/>
    <w:rsid w:val="60D7694B"/>
    <w:rsid w:val="60DA01F4"/>
    <w:rsid w:val="60DE45DB"/>
    <w:rsid w:val="60E131F3"/>
    <w:rsid w:val="60E2CF7F"/>
    <w:rsid w:val="60E3085D"/>
    <w:rsid w:val="60E484FA"/>
    <w:rsid w:val="60E74F81"/>
    <w:rsid w:val="60E8AE4C"/>
    <w:rsid w:val="60EA5904"/>
    <w:rsid w:val="60ECAA8A"/>
    <w:rsid w:val="60ED3654"/>
    <w:rsid w:val="60ED5BE9"/>
    <w:rsid w:val="60F2B902"/>
    <w:rsid w:val="60F6FE56"/>
    <w:rsid w:val="61044B3B"/>
    <w:rsid w:val="610D929A"/>
    <w:rsid w:val="610FFD46"/>
    <w:rsid w:val="61101DDB"/>
    <w:rsid w:val="6116232F"/>
    <w:rsid w:val="6116A59E"/>
    <w:rsid w:val="611A1AFA"/>
    <w:rsid w:val="611DF810"/>
    <w:rsid w:val="611F00E6"/>
    <w:rsid w:val="61206B1E"/>
    <w:rsid w:val="612102E5"/>
    <w:rsid w:val="61214ABE"/>
    <w:rsid w:val="61240859"/>
    <w:rsid w:val="61252CA4"/>
    <w:rsid w:val="61273854"/>
    <w:rsid w:val="6127D372"/>
    <w:rsid w:val="612EA253"/>
    <w:rsid w:val="612F6488"/>
    <w:rsid w:val="61305B3C"/>
    <w:rsid w:val="6130AC9D"/>
    <w:rsid w:val="613770EC"/>
    <w:rsid w:val="61377B1E"/>
    <w:rsid w:val="613DB5BB"/>
    <w:rsid w:val="613EC91F"/>
    <w:rsid w:val="613FA298"/>
    <w:rsid w:val="61402D2E"/>
    <w:rsid w:val="614060C2"/>
    <w:rsid w:val="6141947E"/>
    <w:rsid w:val="6141B501"/>
    <w:rsid w:val="6147257F"/>
    <w:rsid w:val="6149D837"/>
    <w:rsid w:val="614B1695"/>
    <w:rsid w:val="614DDC01"/>
    <w:rsid w:val="614F4C1F"/>
    <w:rsid w:val="614F89AB"/>
    <w:rsid w:val="6152BB38"/>
    <w:rsid w:val="6158138A"/>
    <w:rsid w:val="615AF45A"/>
    <w:rsid w:val="615CE105"/>
    <w:rsid w:val="615DA470"/>
    <w:rsid w:val="616105F1"/>
    <w:rsid w:val="6162D1C4"/>
    <w:rsid w:val="6164362E"/>
    <w:rsid w:val="6165C98F"/>
    <w:rsid w:val="61669B15"/>
    <w:rsid w:val="616C65EE"/>
    <w:rsid w:val="616F29B6"/>
    <w:rsid w:val="61702D15"/>
    <w:rsid w:val="61707691"/>
    <w:rsid w:val="6170FAC2"/>
    <w:rsid w:val="61748F72"/>
    <w:rsid w:val="6175880E"/>
    <w:rsid w:val="6176B362"/>
    <w:rsid w:val="61784ECB"/>
    <w:rsid w:val="6179DF04"/>
    <w:rsid w:val="61825425"/>
    <w:rsid w:val="6187DF3A"/>
    <w:rsid w:val="6189F91B"/>
    <w:rsid w:val="618A975C"/>
    <w:rsid w:val="618C02C4"/>
    <w:rsid w:val="618CD4B7"/>
    <w:rsid w:val="618E4C55"/>
    <w:rsid w:val="6194ADCA"/>
    <w:rsid w:val="6196043D"/>
    <w:rsid w:val="61975E35"/>
    <w:rsid w:val="619B5D4D"/>
    <w:rsid w:val="619BD59B"/>
    <w:rsid w:val="619C1381"/>
    <w:rsid w:val="619DBC2B"/>
    <w:rsid w:val="61A171B5"/>
    <w:rsid w:val="61A49A29"/>
    <w:rsid w:val="61A79159"/>
    <w:rsid w:val="61AAB56D"/>
    <w:rsid w:val="61AC3F3B"/>
    <w:rsid w:val="61B14780"/>
    <w:rsid w:val="61B71FF7"/>
    <w:rsid w:val="61B72EF2"/>
    <w:rsid w:val="61B8AB7C"/>
    <w:rsid w:val="61BA7F77"/>
    <w:rsid w:val="61BE2DB5"/>
    <w:rsid w:val="61BEAE56"/>
    <w:rsid w:val="61BF64AC"/>
    <w:rsid w:val="61BFF3A8"/>
    <w:rsid w:val="61C49297"/>
    <w:rsid w:val="61C64F4B"/>
    <w:rsid w:val="61CD4015"/>
    <w:rsid w:val="61D67395"/>
    <w:rsid w:val="61D6778E"/>
    <w:rsid w:val="61DA4618"/>
    <w:rsid w:val="61DB811F"/>
    <w:rsid w:val="61DD4E29"/>
    <w:rsid w:val="61DEFBC7"/>
    <w:rsid w:val="61DF05E6"/>
    <w:rsid w:val="61DFA00E"/>
    <w:rsid w:val="61E00951"/>
    <w:rsid w:val="61E4EEE8"/>
    <w:rsid w:val="61F4E9B0"/>
    <w:rsid w:val="61F53289"/>
    <w:rsid w:val="61F58856"/>
    <w:rsid w:val="61F6CFD2"/>
    <w:rsid w:val="61F7D4DC"/>
    <w:rsid w:val="61F8C738"/>
    <w:rsid w:val="61F983C5"/>
    <w:rsid w:val="61FAF528"/>
    <w:rsid w:val="61FB9AB7"/>
    <w:rsid w:val="61FE19FE"/>
    <w:rsid w:val="6200B529"/>
    <w:rsid w:val="62013A4C"/>
    <w:rsid w:val="6201BBFF"/>
    <w:rsid w:val="6205CE24"/>
    <w:rsid w:val="6207AC73"/>
    <w:rsid w:val="6207FE29"/>
    <w:rsid w:val="620B45A3"/>
    <w:rsid w:val="620DD5DF"/>
    <w:rsid w:val="62121C02"/>
    <w:rsid w:val="6215022C"/>
    <w:rsid w:val="6215CC61"/>
    <w:rsid w:val="6216C7A5"/>
    <w:rsid w:val="621B8E7E"/>
    <w:rsid w:val="621F4512"/>
    <w:rsid w:val="621F4674"/>
    <w:rsid w:val="622772FB"/>
    <w:rsid w:val="622785E0"/>
    <w:rsid w:val="6228A6EC"/>
    <w:rsid w:val="62290663"/>
    <w:rsid w:val="622D06C0"/>
    <w:rsid w:val="622FE251"/>
    <w:rsid w:val="6234AB93"/>
    <w:rsid w:val="6236EB3E"/>
    <w:rsid w:val="62388C25"/>
    <w:rsid w:val="6238C2E5"/>
    <w:rsid w:val="623A3387"/>
    <w:rsid w:val="623AB1B1"/>
    <w:rsid w:val="623B9F21"/>
    <w:rsid w:val="6246B939"/>
    <w:rsid w:val="6249B5D4"/>
    <w:rsid w:val="624AEC52"/>
    <w:rsid w:val="624B5187"/>
    <w:rsid w:val="624BAE4C"/>
    <w:rsid w:val="624C0A29"/>
    <w:rsid w:val="624D6C7F"/>
    <w:rsid w:val="624E1328"/>
    <w:rsid w:val="624F228F"/>
    <w:rsid w:val="624FED62"/>
    <w:rsid w:val="62531324"/>
    <w:rsid w:val="62534CE7"/>
    <w:rsid w:val="6259900C"/>
    <w:rsid w:val="625A6F00"/>
    <w:rsid w:val="625B2B6E"/>
    <w:rsid w:val="625C08AC"/>
    <w:rsid w:val="625D0C31"/>
    <w:rsid w:val="625FC0D3"/>
    <w:rsid w:val="6261DB9E"/>
    <w:rsid w:val="626544EB"/>
    <w:rsid w:val="626573A4"/>
    <w:rsid w:val="626ADB60"/>
    <w:rsid w:val="626CB66F"/>
    <w:rsid w:val="626E2FA2"/>
    <w:rsid w:val="6270F415"/>
    <w:rsid w:val="62736DD4"/>
    <w:rsid w:val="627974F1"/>
    <w:rsid w:val="627BA95D"/>
    <w:rsid w:val="627C7C61"/>
    <w:rsid w:val="627E37AE"/>
    <w:rsid w:val="628BF53E"/>
    <w:rsid w:val="628DC55E"/>
    <w:rsid w:val="628E0663"/>
    <w:rsid w:val="6290CB14"/>
    <w:rsid w:val="62910B33"/>
    <w:rsid w:val="629A17F4"/>
    <w:rsid w:val="629AE8B2"/>
    <w:rsid w:val="629B9FF6"/>
    <w:rsid w:val="629CCEDE"/>
    <w:rsid w:val="629E2480"/>
    <w:rsid w:val="62A1F267"/>
    <w:rsid w:val="62A2197B"/>
    <w:rsid w:val="62A36B50"/>
    <w:rsid w:val="62A4B533"/>
    <w:rsid w:val="62A584E3"/>
    <w:rsid w:val="62A59A29"/>
    <w:rsid w:val="62A5EC5C"/>
    <w:rsid w:val="62A875B7"/>
    <w:rsid w:val="62AF73F4"/>
    <w:rsid w:val="62B03E9C"/>
    <w:rsid w:val="62B36FC8"/>
    <w:rsid w:val="62B58D9D"/>
    <w:rsid w:val="62B61E09"/>
    <w:rsid w:val="62BC5CA9"/>
    <w:rsid w:val="62BF7D05"/>
    <w:rsid w:val="62C02E69"/>
    <w:rsid w:val="62C0C6C7"/>
    <w:rsid w:val="62C1C20E"/>
    <w:rsid w:val="62C598C8"/>
    <w:rsid w:val="62C71F57"/>
    <w:rsid w:val="62C72844"/>
    <w:rsid w:val="62CC878F"/>
    <w:rsid w:val="62CF4308"/>
    <w:rsid w:val="62D0987E"/>
    <w:rsid w:val="62D1D36A"/>
    <w:rsid w:val="62D6E4C0"/>
    <w:rsid w:val="62DBC798"/>
    <w:rsid w:val="62E11B94"/>
    <w:rsid w:val="62E17E43"/>
    <w:rsid w:val="62E192C5"/>
    <w:rsid w:val="62E268F3"/>
    <w:rsid w:val="62E8A699"/>
    <w:rsid w:val="62E98457"/>
    <w:rsid w:val="62EA3428"/>
    <w:rsid w:val="62EBFDAF"/>
    <w:rsid w:val="62EDCC91"/>
    <w:rsid w:val="62F3D74B"/>
    <w:rsid w:val="62F45D1A"/>
    <w:rsid w:val="62F538DD"/>
    <w:rsid w:val="62F56BAC"/>
    <w:rsid w:val="62F9BC5C"/>
    <w:rsid w:val="62FA72F6"/>
    <w:rsid w:val="62FAF8B0"/>
    <w:rsid w:val="62FB225B"/>
    <w:rsid w:val="62FD55C6"/>
    <w:rsid w:val="62FD6186"/>
    <w:rsid w:val="62FFA6D6"/>
    <w:rsid w:val="63027F54"/>
    <w:rsid w:val="63065408"/>
    <w:rsid w:val="63079B63"/>
    <w:rsid w:val="630A8F00"/>
    <w:rsid w:val="630BC1E7"/>
    <w:rsid w:val="630D7C27"/>
    <w:rsid w:val="630D85BF"/>
    <w:rsid w:val="63104F5C"/>
    <w:rsid w:val="631A6FA6"/>
    <w:rsid w:val="631A8C64"/>
    <w:rsid w:val="631CC3C2"/>
    <w:rsid w:val="631D7DFB"/>
    <w:rsid w:val="631DA971"/>
    <w:rsid w:val="631E0F40"/>
    <w:rsid w:val="631E71BA"/>
    <w:rsid w:val="6322B1F5"/>
    <w:rsid w:val="6323F76A"/>
    <w:rsid w:val="6325B1CB"/>
    <w:rsid w:val="6325C0E3"/>
    <w:rsid w:val="63274A10"/>
    <w:rsid w:val="632776B9"/>
    <w:rsid w:val="6328C55A"/>
    <w:rsid w:val="632AF3FF"/>
    <w:rsid w:val="632DB90C"/>
    <w:rsid w:val="632F5915"/>
    <w:rsid w:val="632FBA7C"/>
    <w:rsid w:val="6332C71C"/>
    <w:rsid w:val="633552A6"/>
    <w:rsid w:val="633EB7F5"/>
    <w:rsid w:val="633F7082"/>
    <w:rsid w:val="633FB85E"/>
    <w:rsid w:val="6344F3EC"/>
    <w:rsid w:val="6346DEA3"/>
    <w:rsid w:val="6348D54C"/>
    <w:rsid w:val="6348E8A2"/>
    <w:rsid w:val="634A86B3"/>
    <w:rsid w:val="634DDA9B"/>
    <w:rsid w:val="6356A485"/>
    <w:rsid w:val="6356C48F"/>
    <w:rsid w:val="635B598B"/>
    <w:rsid w:val="635D7409"/>
    <w:rsid w:val="635E0E8D"/>
    <w:rsid w:val="635EA8DD"/>
    <w:rsid w:val="635FB9FD"/>
    <w:rsid w:val="63605EF1"/>
    <w:rsid w:val="63610AC3"/>
    <w:rsid w:val="6362F927"/>
    <w:rsid w:val="636318C0"/>
    <w:rsid w:val="636B036A"/>
    <w:rsid w:val="636B8243"/>
    <w:rsid w:val="63731342"/>
    <w:rsid w:val="6374DC90"/>
    <w:rsid w:val="63763DCC"/>
    <w:rsid w:val="637BA87F"/>
    <w:rsid w:val="638560E8"/>
    <w:rsid w:val="6385A738"/>
    <w:rsid w:val="638A08F7"/>
    <w:rsid w:val="638BB725"/>
    <w:rsid w:val="638D1A89"/>
    <w:rsid w:val="638DDB96"/>
    <w:rsid w:val="638EBDFD"/>
    <w:rsid w:val="639330F8"/>
    <w:rsid w:val="639C7157"/>
    <w:rsid w:val="639D160C"/>
    <w:rsid w:val="639D9B28"/>
    <w:rsid w:val="63A3B9C1"/>
    <w:rsid w:val="63A7D244"/>
    <w:rsid w:val="63A7D66B"/>
    <w:rsid w:val="63AFC970"/>
    <w:rsid w:val="63B4F592"/>
    <w:rsid w:val="63B904E1"/>
    <w:rsid w:val="63B93A91"/>
    <w:rsid w:val="63BB2186"/>
    <w:rsid w:val="63BE5785"/>
    <w:rsid w:val="63C1759C"/>
    <w:rsid w:val="63C22EA0"/>
    <w:rsid w:val="63C572EE"/>
    <w:rsid w:val="63C742EB"/>
    <w:rsid w:val="63D04551"/>
    <w:rsid w:val="63D1CE49"/>
    <w:rsid w:val="63D2BB95"/>
    <w:rsid w:val="63D556AC"/>
    <w:rsid w:val="63D5A64E"/>
    <w:rsid w:val="63D65145"/>
    <w:rsid w:val="63D6D5DE"/>
    <w:rsid w:val="63D97251"/>
    <w:rsid w:val="63DF7DE4"/>
    <w:rsid w:val="63E103BD"/>
    <w:rsid w:val="63E22831"/>
    <w:rsid w:val="63E5D0DE"/>
    <w:rsid w:val="63E8616F"/>
    <w:rsid w:val="63EA3D45"/>
    <w:rsid w:val="63EA4BC9"/>
    <w:rsid w:val="63EAFAD5"/>
    <w:rsid w:val="63EFFF34"/>
    <w:rsid w:val="63F1138D"/>
    <w:rsid w:val="63F1580B"/>
    <w:rsid w:val="63F4728A"/>
    <w:rsid w:val="63F4F569"/>
    <w:rsid w:val="63F4FEA8"/>
    <w:rsid w:val="63F60003"/>
    <w:rsid w:val="63F716BE"/>
    <w:rsid w:val="63FA3100"/>
    <w:rsid w:val="63FB13C0"/>
    <w:rsid w:val="63FBA2A7"/>
    <w:rsid w:val="63FD6901"/>
    <w:rsid w:val="63FF5B9F"/>
    <w:rsid w:val="63FF6097"/>
    <w:rsid w:val="63FF73B3"/>
    <w:rsid w:val="64027547"/>
    <w:rsid w:val="64088DBE"/>
    <w:rsid w:val="6409D549"/>
    <w:rsid w:val="640A5D1E"/>
    <w:rsid w:val="640C3D7A"/>
    <w:rsid w:val="640C9DA4"/>
    <w:rsid w:val="640DC652"/>
    <w:rsid w:val="640F086C"/>
    <w:rsid w:val="640F19D6"/>
    <w:rsid w:val="6414E7C6"/>
    <w:rsid w:val="64157275"/>
    <w:rsid w:val="6416DE6C"/>
    <w:rsid w:val="6419F270"/>
    <w:rsid w:val="641A19C7"/>
    <w:rsid w:val="641E6E11"/>
    <w:rsid w:val="641FC6E2"/>
    <w:rsid w:val="64216C91"/>
    <w:rsid w:val="6424C690"/>
    <w:rsid w:val="6426658A"/>
    <w:rsid w:val="6428829F"/>
    <w:rsid w:val="642B3E1D"/>
    <w:rsid w:val="642B5487"/>
    <w:rsid w:val="642C88AA"/>
    <w:rsid w:val="643120AD"/>
    <w:rsid w:val="643161F8"/>
    <w:rsid w:val="64361757"/>
    <w:rsid w:val="6438779F"/>
    <w:rsid w:val="6438A50B"/>
    <w:rsid w:val="644067A9"/>
    <w:rsid w:val="64407D4A"/>
    <w:rsid w:val="64418574"/>
    <w:rsid w:val="6442EE64"/>
    <w:rsid w:val="6443B952"/>
    <w:rsid w:val="6443CE30"/>
    <w:rsid w:val="644D6591"/>
    <w:rsid w:val="644EFD7A"/>
    <w:rsid w:val="644F4D49"/>
    <w:rsid w:val="64545809"/>
    <w:rsid w:val="6454E03E"/>
    <w:rsid w:val="64557228"/>
    <w:rsid w:val="64561337"/>
    <w:rsid w:val="64569E6B"/>
    <w:rsid w:val="645899CD"/>
    <w:rsid w:val="6459DFEC"/>
    <w:rsid w:val="64677365"/>
    <w:rsid w:val="6468A7EB"/>
    <w:rsid w:val="646B3491"/>
    <w:rsid w:val="646CDE15"/>
    <w:rsid w:val="646E539A"/>
    <w:rsid w:val="64705E25"/>
    <w:rsid w:val="64724472"/>
    <w:rsid w:val="64731A80"/>
    <w:rsid w:val="6475838C"/>
    <w:rsid w:val="6475E8F5"/>
    <w:rsid w:val="6476E9DF"/>
    <w:rsid w:val="647F9A87"/>
    <w:rsid w:val="64804E0D"/>
    <w:rsid w:val="6480FB1F"/>
    <w:rsid w:val="648222B7"/>
    <w:rsid w:val="6482961B"/>
    <w:rsid w:val="6483B474"/>
    <w:rsid w:val="6488212B"/>
    <w:rsid w:val="6488AEB8"/>
    <w:rsid w:val="6489C295"/>
    <w:rsid w:val="648D1CF0"/>
    <w:rsid w:val="648E3922"/>
    <w:rsid w:val="648E4FA1"/>
    <w:rsid w:val="6490752F"/>
    <w:rsid w:val="6490CFB2"/>
    <w:rsid w:val="64936877"/>
    <w:rsid w:val="6494C8CA"/>
    <w:rsid w:val="6498FF34"/>
    <w:rsid w:val="649B86E5"/>
    <w:rsid w:val="649C0DBC"/>
    <w:rsid w:val="649F7EDD"/>
    <w:rsid w:val="64A5719C"/>
    <w:rsid w:val="64A5B21B"/>
    <w:rsid w:val="64A6B6C2"/>
    <w:rsid w:val="64AD1E07"/>
    <w:rsid w:val="64AE851F"/>
    <w:rsid w:val="64AEDF46"/>
    <w:rsid w:val="64B1C40F"/>
    <w:rsid w:val="64B5C951"/>
    <w:rsid w:val="64B67068"/>
    <w:rsid w:val="64B701EA"/>
    <w:rsid w:val="64B74B10"/>
    <w:rsid w:val="64B8A634"/>
    <w:rsid w:val="64BB99FD"/>
    <w:rsid w:val="64BBA0D2"/>
    <w:rsid w:val="64C263A1"/>
    <w:rsid w:val="64C4B2C7"/>
    <w:rsid w:val="64C57388"/>
    <w:rsid w:val="64C5DAB6"/>
    <w:rsid w:val="64CD842C"/>
    <w:rsid w:val="64CE480E"/>
    <w:rsid w:val="64D0598A"/>
    <w:rsid w:val="64D0C0CC"/>
    <w:rsid w:val="64D4B2F8"/>
    <w:rsid w:val="64D6E33D"/>
    <w:rsid w:val="64D7154C"/>
    <w:rsid w:val="64D83407"/>
    <w:rsid w:val="64E02029"/>
    <w:rsid w:val="64E04A20"/>
    <w:rsid w:val="64E3576E"/>
    <w:rsid w:val="64E3B1D9"/>
    <w:rsid w:val="64E70845"/>
    <w:rsid w:val="64E7794B"/>
    <w:rsid w:val="64E7CF39"/>
    <w:rsid w:val="64E8BBB7"/>
    <w:rsid w:val="64E923C2"/>
    <w:rsid w:val="64EB3897"/>
    <w:rsid w:val="64F08651"/>
    <w:rsid w:val="64F14465"/>
    <w:rsid w:val="64F16601"/>
    <w:rsid w:val="64F1D0B3"/>
    <w:rsid w:val="64F22B3C"/>
    <w:rsid w:val="64F29A23"/>
    <w:rsid w:val="64F3F8B2"/>
    <w:rsid w:val="64F44CC1"/>
    <w:rsid w:val="64F558C2"/>
    <w:rsid w:val="64F8A1D2"/>
    <w:rsid w:val="64FB0E0D"/>
    <w:rsid w:val="64FB44C9"/>
    <w:rsid w:val="6504AB29"/>
    <w:rsid w:val="65088E76"/>
    <w:rsid w:val="650932E8"/>
    <w:rsid w:val="650BB078"/>
    <w:rsid w:val="6516729F"/>
    <w:rsid w:val="651A98AB"/>
    <w:rsid w:val="651B0693"/>
    <w:rsid w:val="651C6A06"/>
    <w:rsid w:val="651D572B"/>
    <w:rsid w:val="651DDA66"/>
    <w:rsid w:val="651F0076"/>
    <w:rsid w:val="651FCF9B"/>
    <w:rsid w:val="6522F8BE"/>
    <w:rsid w:val="652421CF"/>
    <w:rsid w:val="6524DC9D"/>
    <w:rsid w:val="6527A1C2"/>
    <w:rsid w:val="6528518D"/>
    <w:rsid w:val="652C1E8F"/>
    <w:rsid w:val="652E6EE1"/>
    <w:rsid w:val="6535275E"/>
    <w:rsid w:val="653916AE"/>
    <w:rsid w:val="653A653B"/>
    <w:rsid w:val="653C094C"/>
    <w:rsid w:val="653C0E25"/>
    <w:rsid w:val="653E55DC"/>
    <w:rsid w:val="653FD7E6"/>
    <w:rsid w:val="65452E3A"/>
    <w:rsid w:val="65473CF5"/>
    <w:rsid w:val="654F60D8"/>
    <w:rsid w:val="6550AD32"/>
    <w:rsid w:val="655152A7"/>
    <w:rsid w:val="655324C5"/>
    <w:rsid w:val="6553A9EB"/>
    <w:rsid w:val="655416D8"/>
    <w:rsid w:val="6556EDAB"/>
    <w:rsid w:val="65570837"/>
    <w:rsid w:val="655DCF0B"/>
    <w:rsid w:val="655E2F2F"/>
    <w:rsid w:val="656055AF"/>
    <w:rsid w:val="656153AC"/>
    <w:rsid w:val="65623B2A"/>
    <w:rsid w:val="65633731"/>
    <w:rsid w:val="6567AF55"/>
    <w:rsid w:val="65684739"/>
    <w:rsid w:val="65693B1B"/>
    <w:rsid w:val="656A8ACA"/>
    <w:rsid w:val="656DB082"/>
    <w:rsid w:val="656FC725"/>
    <w:rsid w:val="65759718"/>
    <w:rsid w:val="65761AB6"/>
    <w:rsid w:val="6578954F"/>
    <w:rsid w:val="6579A19D"/>
    <w:rsid w:val="657F61FF"/>
    <w:rsid w:val="658501F2"/>
    <w:rsid w:val="6585B5C6"/>
    <w:rsid w:val="6587163A"/>
    <w:rsid w:val="6587B6C6"/>
    <w:rsid w:val="658BFE21"/>
    <w:rsid w:val="658E544F"/>
    <w:rsid w:val="658F40FC"/>
    <w:rsid w:val="658F8516"/>
    <w:rsid w:val="65919A57"/>
    <w:rsid w:val="6591F3F9"/>
    <w:rsid w:val="65927DCE"/>
    <w:rsid w:val="6596EF8E"/>
    <w:rsid w:val="659D1BC4"/>
    <w:rsid w:val="659EEF87"/>
    <w:rsid w:val="65A112D3"/>
    <w:rsid w:val="65A28DCD"/>
    <w:rsid w:val="65A5080D"/>
    <w:rsid w:val="65A72FD4"/>
    <w:rsid w:val="65A7F76A"/>
    <w:rsid w:val="65AD504F"/>
    <w:rsid w:val="65B16794"/>
    <w:rsid w:val="65B16E9E"/>
    <w:rsid w:val="65B24AE0"/>
    <w:rsid w:val="65B66070"/>
    <w:rsid w:val="65BADA85"/>
    <w:rsid w:val="65BB7AA1"/>
    <w:rsid w:val="65C09496"/>
    <w:rsid w:val="65C22405"/>
    <w:rsid w:val="65C31C1B"/>
    <w:rsid w:val="65C6CB11"/>
    <w:rsid w:val="65C90525"/>
    <w:rsid w:val="65CCA58B"/>
    <w:rsid w:val="65CD3437"/>
    <w:rsid w:val="65CDF344"/>
    <w:rsid w:val="65CE2BBB"/>
    <w:rsid w:val="65CE357F"/>
    <w:rsid w:val="65D049AF"/>
    <w:rsid w:val="65D14E9A"/>
    <w:rsid w:val="65D17F64"/>
    <w:rsid w:val="65D7C0B3"/>
    <w:rsid w:val="65D8CE17"/>
    <w:rsid w:val="65DD7020"/>
    <w:rsid w:val="65DDD93E"/>
    <w:rsid w:val="65DDFE3D"/>
    <w:rsid w:val="65E045F9"/>
    <w:rsid w:val="65E0E9DA"/>
    <w:rsid w:val="65E25DA0"/>
    <w:rsid w:val="65EABAE6"/>
    <w:rsid w:val="65EB0AFA"/>
    <w:rsid w:val="65F92E3C"/>
    <w:rsid w:val="65FBE148"/>
    <w:rsid w:val="65FE725B"/>
    <w:rsid w:val="65FF9F02"/>
    <w:rsid w:val="66015744"/>
    <w:rsid w:val="66023FEE"/>
    <w:rsid w:val="66044ED8"/>
    <w:rsid w:val="66053990"/>
    <w:rsid w:val="66068A2E"/>
    <w:rsid w:val="660833DB"/>
    <w:rsid w:val="66091F26"/>
    <w:rsid w:val="6609214E"/>
    <w:rsid w:val="6609B937"/>
    <w:rsid w:val="660A10BC"/>
    <w:rsid w:val="660A70B2"/>
    <w:rsid w:val="660C6D0E"/>
    <w:rsid w:val="660C9981"/>
    <w:rsid w:val="660D8D99"/>
    <w:rsid w:val="660D9B0F"/>
    <w:rsid w:val="660DC726"/>
    <w:rsid w:val="661012ED"/>
    <w:rsid w:val="6610554A"/>
    <w:rsid w:val="6611B096"/>
    <w:rsid w:val="6614B03C"/>
    <w:rsid w:val="66165E28"/>
    <w:rsid w:val="661B316D"/>
    <w:rsid w:val="662030BE"/>
    <w:rsid w:val="6623B05B"/>
    <w:rsid w:val="6623CFED"/>
    <w:rsid w:val="6624E163"/>
    <w:rsid w:val="66264177"/>
    <w:rsid w:val="6626E308"/>
    <w:rsid w:val="662B1E91"/>
    <w:rsid w:val="662EA991"/>
    <w:rsid w:val="662EC3FA"/>
    <w:rsid w:val="66306324"/>
    <w:rsid w:val="66306936"/>
    <w:rsid w:val="66334B8C"/>
    <w:rsid w:val="6636602E"/>
    <w:rsid w:val="66374C65"/>
    <w:rsid w:val="6637DCFC"/>
    <w:rsid w:val="66392143"/>
    <w:rsid w:val="663A8A4E"/>
    <w:rsid w:val="663C2177"/>
    <w:rsid w:val="663F6EA2"/>
    <w:rsid w:val="6640096E"/>
    <w:rsid w:val="664482A1"/>
    <w:rsid w:val="66457FE6"/>
    <w:rsid w:val="6645C715"/>
    <w:rsid w:val="664662C7"/>
    <w:rsid w:val="6646BA88"/>
    <w:rsid w:val="664720B2"/>
    <w:rsid w:val="66481CBE"/>
    <w:rsid w:val="664831AC"/>
    <w:rsid w:val="664A83F0"/>
    <w:rsid w:val="664C7171"/>
    <w:rsid w:val="664CAC74"/>
    <w:rsid w:val="664DE18A"/>
    <w:rsid w:val="6655B351"/>
    <w:rsid w:val="66565613"/>
    <w:rsid w:val="665F0CC3"/>
    <w:rsid w:val="6660863C"/>
    <w:rsid w:val="6664903F"/>
    <w:rsid w:val="66679D18"/>
    <w:rsid w:val="666B93FB"/>
    <w:rsid w:val="666D695F"/>
    <w:rsid w:val="666D785A"/>
    <w:rsid w:val="666E8C62"/>
    <w:rsid w:val="666E9024"/>
    <w:rsid w:val="66705162"/>
    <w:rsid w:val="66706101"/>
    <w:rsid w:val="6670DC19"/>
    <w:rsid w:val="6672CC88"/>
    <w:rsid w:val="66783C11"/>
    <w:rsid w:val="66789768"/>
    <w:rsid w:val="667A1B3D"/>
    <w:rsid w:val="667ECFA9"/>
    <w:rsid w:val="667FA011"/>
    <w:rsid w:val="66826457"/>
    <w:rsid w:val="6683BAD8"/>
    <w:rsid w:val="66848F7E"/>
    <w:rsid w:val="66865104"/>
    <w:rsid w:val="6687AD21"/>
    <w:rsid w:val="668C83BB"/>
    <w:rsid w:val="668E4D2A"/>
    <w:rsid w:val="66910EFA"/>
    <w:rsid w:val="6694E1A3"/>
    <w:rsid w:val="669AB887"/>
    <w:rsid w:val="669CFC52"/>
    <w:rsid w:val="66A7A392"/>
    <w:rsid w:val="66A867A8"/>
    <w:rsid w:val="66A8B12F"/>
    <w:rsid w:val="66AAEA7C"/>
    <w:rsid w:val="66B00E75"/>
    <w:rsid w:val="66B23EB3"/>
    <w:rsid w:val="66B273AE"/>
    <w:rsid w:val="66B314D7"/>
    <w:rsid w:val="66B44007"/>
    <w:rsid w:val="66B51DAA"/>
    <w:rsid w:val="66BBDBAA"/>
    <w:rsid w:val="66BC1947"/>
    <w:rsid w:val="66BC2B84"/>
    <w:rsid w:val="66BE9A7A"/>
    <w:rsid w:val="66BF2F29"/>
    <w:rsid w:val="66C15278"/>
    <w:rsid w:val="66C2C21E"/>
    <w:rsid w:val="66C56907"/>
    <w:rsid w:val="66C62C90"/>
    <w:rsid w:val="66CA0257"/>
    <w:rsid w:val="66CB2DAF"/>
    <w:rsid w:val="66CB3A38"/>
    <w:rsid w:val="66CBAEBB"/>
    <w:rsid w:val="66CCF4AF"/>
    <w:rsid w:val="66CF4854"/>
    <w:rsid w:val="66CFA76A"/>
    <w:rsid w:val="66D0A6FF"/>
    <w:rsid w:val="66D6393C"/>
    <w:rsid w:val="66D931E2"/>
    <w:rsid w:val="66E48426"/>
    <w:rsid w:val="66E67B39"/>
    <w:rsid w:val="66EAE57A"/>
    <w:rsid w:val="66F21B79"/>
    <w:rsid w:val="66F5378F"/>
    <w:rsid w:val="66F878DB"/>
    <w:rsid w:val="66F9A67A"/>
    <w:rsid w:val="66FA36AF"/>
    <w:rsid w:val="66FBD948"/>
    <w:rsid w:val="66FBE842"/>
    <w:rsid w:val="66FCAEB4"/>
    <w:rsid w:val="66FDCEF9"/>
    <w:rsid w:val="66FE2C49"/>
    <w:rsid w:val="67034917"/>
    <w:rsid w:val="6704D0F1"/>
    <w:rsid w:val="67055BCD"/>
    <w:rsid w:val="670A48B0"/>
    <w:rsid w:val="670AD800"/>
    <w:rsid w:val="670B37FB"/>
    <w:rsid w:val="670CEDF8"/>
    <w:rsid w:val="670DC1B7"/>
    <w:rsid w:val="670DE082"/>
    <w:rsid w:val="670F4315"/>
    <w:rsid w:val="6710D341"/>
    <w:rsid w:val="6711AE60"/>
    <w:rsid w:val="6712CD5C"/>
    <w:rsid w:val="6714B382"/>
    <w:rsid w:val="67163D9A"/>
    <w:rsid w:val="67185146"/>
    <w:rsid w:val="67197AA8"/>
    <w:rsid w:val="671B057C"/>
    <w:rsid w:val="671D088A"/>
    <w:rsid w:val="6720D272"/>
    <w:rsid w:val="6725FD8C"/>
    <w:rsid w:val="67270F17"/>
    <w:rsid w:val="672844ED"/>
    <w:rsid w:val="67286077"/>
    <w:rsid w:val="672B71BB"/>
    <w:rsid w:val="672FAE8C"/>
    <w:rsid w:val="67311946"/>
    <w:rsid w:val="6733C7D8"/>
    <w:rsid w:val="673A8233"/>
    <w:rsid w:val="6742EAFC"/>
    <w:rsid w:val="6742FC07"/>
    <w:rsid w:val="6744C840"/>
    <w:rsid w:val="6745196D"/>
    <w:rsid w:val="67497302"/>
    <w:rsid w:val="674DD7E8"/>
    <w:rsid w:val="674ECEB8"/>
    <w:rsid w:val="67530865"/>
    <w:rsid w:val="6758491C"/>
    <w:rsid w:val="675B9CA5"/>
    <w:rsid w:val="675CAC8A"/>
    <w:rsid w:val="675E56DA"/>
    <w:rsid w:val="675EFAD5"/>
    <w:rsid w:val="6762FB51"/>
    <w:rsid w:val="6763D29A"/>
    <w:rsid w:val="676508CD"/>
    <w:rsid w:val="6769E927"/>
    <w:rsid w:val="676D21DF"/>
    <w:rsid w:val="676D4906"/>
    <w:rsid w:val="6773E2CB"/>
    <w:rsid w:val="6778440E"/>
    <w:rsid w:val="6779AE68"/>
    <w:rsid w:val="677C63AF"/>
    <w:rsid w:val="677D569F"/>
    <w:rsid w:val="6780ED12"/>
    <w:rsid w:val="6785A036"/>
    <w:rsid w:val="67882394"/>
    <w:rsid w:val="678D9420"/>
    <w:rsid w:val="678EBA6F"/>
    <w:rsid w:val="6790239F"/>
    <w:rsid w:val="6794200C"/>
    <w:rsid w:val="67966F1D"/>
    <w:rsid w:val="6797221D"/>
    <w:rsid w:val="6797ADDB"/>
    <w:rsid w:val="6798579B"/>
    <w:rsid w:val="679B4D63"/>
    <w:rsid w:val="679CFCA4"/>
    <w:rsid w:val="67A03FDB"/>
    <w:rsid w:val="67A0624C"/>
    <w:rsid w:val="67A0EF86"/>
    <w:rsid w:val="67A132EC"/>
    <w:rsid w:val="67A2C3EA"/>
    <w:rsid w:val="67A422EF"/>
    <w:rsid w:val="67A9F807"/>
    <w:rsid w:val="67ACCF2C"/>
    <w:rsid w:val="67AD4904"/>
    <w:rsid w:val="67ADF892"/>
    <w:rsid w:val="67AE3C41"/>
    <w:rsid w:val="67B0B75D"/>
    <w:rsid w:val="67B14863"/>
    <w:rsid w:val="67B2A95D"/>
    <w:rsid w:val="67B43197"/>
    <w:rsid w:val="67B4A9A4"/>
    <w:rsid w:val="67B5F217"/>
    <w:rsid w:val="67BA3FB5"/>
    <w:rsid w:val="67BD34FB"/>
    <w:rsid w:val="67BE05AD"/>
    <w:rsid w:val="67BE8DD9"/>
    <w:rsid w:val="67C11903"/>
    <w:rsid w:val="67C4D014"/>
    <w:rsid w:val="67C709EC"/>
    <w:rsid w:val="67C9646E"/>
    <w:rsid w:val="67C9A67C"/>
    <w:rsid w:val="67D039A2"/>
    <w:rsid w:val="67D20488"/>
    <w:rsid w:val="67D2345D"/>
    <w:rsid w:val="67D857C5"/>
    <w:rsid w:val="67D93334"/>
    <w:rsid w:val="67DBC182"/>
    <w:rsid w:val="67DEC67A"/>
    <w:rsid w:val="67DFC168"/>
    <w:rsid w:val="67E0820B"/>
    <w:rsid w:val="67E0E410"/>
    <w:rsid w:val="67E139CD"/>
    <w:rsid w:val="67E43B42"/>
    <w:rsid w:val="67E49A15"/>
    <w:rsid w:val="67E62BDE"/>
    <w:rsid w:val="67E6BE09"/>
    <w:rsid w:val="67E89134"/>
    <w:rsid w:val="67EE474D"/>
    <w:rsid w:val="67EFD689"/>
    <w:rsid w:val="67F641C8"/>
    <w:rsid w:val="67F8DC74"/>
    <w:rsid w:val="67F97B53"/>
    <w:rsid w:val="67FCD68B"/>
    <w:rsid w:val="67FCE5F1"/>
    <w:rsid w:val="67FE1856"/>
    <w:rsid w:val="67FF82C0"/>
    <w:rsid w:val="68008FCD"/>
    <w:rsid w:val="68037590"/>
    <w:rsid w:val="6804ED9D"/>
    <w:rsid w:val="68111FDA"/>
    <w:rsid w:val="6811A2A1"/>
    <w:rsid w:val="68165490"/>
    <w:rsid w:val="6817BE9D"/>
    <w:rsid w:val="6818354A"/>
    <w:rsid w:val="681E35F5"/>
    <w:rsid w:val="681EDB45"/>
    <w:rsid w:val="68233B0F"/>
    <w:rsid w:val="682A8A36"/>
    <w:rsid w:val="682B9E9B"/>
    <w:rsid w:val="682EA8B2"/>
    <w:rsid w:val="6830443B"/>
    <w:rsid w:val="6830831D"/>
    <w:rsid w:val="6832F3FE"/>
    <w:rsid w:val="683320E5"/>
    <w:rsid w:val="68332390"/>
    <w:rsid w:val="68339BCB"/>
    <w:rsid w:val="6838EEB0"/>
    <w:rsid w:val="68396F8E"/>
    <w:rsid w:val="683B16BB"/>
    <w:rsid w:val="683D7595"/>
    <w:rsid w:val="683E6FC0"/>
    <w:rsid w:val="683E9ACE"/>
    <w:rsid w:val="68470835"/>
    <w:rsid w:val="68475820"/>
    <w:rsid w:val="684AC5E4"/>
    <w:rsid w:val="684AE536"/>
    <w:rsid w:val="684BAFBB"/>
    <w:rsid w:val="684C65CC"/>
    <w:rsid w:val="684F17C8"/>
    <w:rsid w:val="6852EB41"/>
    <w:rsid w:val="6856B0B6"/>
    <w:rsid w:val="685A1C05"/>
    <w:rsid w:val="685A6555"/>
    <w:rsid w:val="685EAF7D"/>
    <w:rsid w:val="6861FB97"/>
    <w:rsid w:val="68642456"/>
    <w:rsid w:val="6865FFE6"/>
    <w:rsid w:val="68672323"/>
    <w:rsid w:val="6867F2BC"/>
    <w:rsid w:val="68686B82"/>
    <w:rsid w:val="686B9D45"/>
    <w:rsid w:val="686D40F5"/>
    <w:rsid w:val="6871D8A3"/>
    <w:rsid w:val="68774216"/>
    <w:rsid w:val="6877D95A"/>
    <w:rsid w:val="687ED9BB"/>
    <w:rsid w:val="687EF3DB"/>
    <w:rsid w:val="687FD629"/>
    <w:rsid w:val="68827860"/>
    <w:rsid w:val="6889C58C"/>
    <w:rsid w:val="689137F7"/>
    <w:rsid w:val="68953677"/>
    <w:rsid w:val="6895D762"/>
    <w:rsid w:val="68977361"/>
    <w:rsid w:val="68987145"/>
    <w:rsid w:val="689EB6E7"/>
    <w:rsid w:val="68A624D7"/>
    <w:rsid w:val="68A68E42"/>
    <w:rsid w:val="68AAAC24"/>
    <w:rsid w:val="68AD4DAE"/>
    <w:rsid w:val="68B0B802"/>
    <w:rsid w:val="68B4BE7F"/>
    <w:rsid w:val="68B96C49"/>
    <w:rsid w:val="68BBD8B7"/>
    <w:rsid w:val="68BD0A63"/>
    <w:rsid w:val="68BD2ECC"/>
    <w:rsid w:val="68C18BB5"/>
    <w:rsid w:val="68C69068"/>
    <w:rsid w:val="68CA2B5F"/>
    <w:rsid w:val="68CF2023"/>
    <w:rsid w:val="68CF6350"/>
    <w:rsid w:val="68D02779"/>
    <w:rsid w:val="68D298DE"/>
    <w:rsid w:val="68D34B3A"/>
    <w:rsid w:val="68D4DB26"/>
    <w:rsid w:val="68D64EBF"/>
    <w:rsid w:val="68D6B814"/>
    <w:rsid w:val="68DB1719"/>
    <w:rsid w:val="68DC1039"/>
    <w:rsid w:val="68DD083D"/>
    <w:rsid w:val="68DDE480"/>
    <w:rsid w:val="68DE97C6"/>
    <w:rsid w:val="68E2F2E8"/>
    <w:rsid w:val="68E78A25"/>
    <w:rsid w:val="68E78CE2"/>
    <w:rsid w:val="68E947AC"/>
    <w:rsid w:val="68E96CB9"/>
    <w:rsid w:val="68EE1F72"/>
    <w:rsid w:val="68EE21E9"/>
    <w:rsid w:val="68EF00D9"/>
    <w:rsid w:val="68EF7844"/>
    <w:rsid w:val="68EFC157"/>
    <w:rsid w:val="68F07980"/>
    <w:rsid w:val="68F47732"/>
    <w:rsid w:val="68F88E98"/>
    <w:rsid w:val="68FA5F79"/>
    <w:rsid w:val="68FDF6FD"/>
    <w:rsid w:val="690625A7"/>
    <w:rsid w:val="690A9F8D"/>
    <w:rsid w:val="690ACA33"/>
    <w:rsid w:val="690F84EF"/>
    <w:rsid w:val="69172EA0"/>
    <w:rsid w:val="691734C3"/>
    <w:rsid w:val="6919E5BC"/>
    <w:rsid w:val="691BBC2C"/>
    <w:rsid w:val="691C63BA"/>
    <w:rsid w:val="691F683F"/>
    <w:rsid w:val="6924DCC6"/>
    <w:rsid w:val="6929EED1"/>
    <w:rsid w:val="692AD589"/>
    <w:rsid w:val="692F9E83"/>
    <w:rsid w:val="69304234"/>
    <w:rsid w:val="69314C94"/>
    <w:rsid w:val="693381F7"/>
    <w:rsid w:val="693384EF"/>
    <w:rsid w:val="6934989E"/>
    <w:rsid w:val="69364C49"/>
    <w:rsid w:val="693A92F7"/>
    <w:rsid w:val="693C8672"/>
    <w:rsid w:val="693CB5D2"/>
    <w:rsid w:val="693D2046"/>
    <w:rsid w:val="6942412F"/>
    <w:rsid w:val="6942A80B"/>
    <w:rsid w:val="694475AA"/>
    <w:rsid w:val="6944C4BC"/>
    <w:rsid w:val="6944D396"/>
    <w:rsid w:val="6945D5E3"/>
    <w:rsid w:val="694926AA"/>
    <w:rsid w:val="694E2F58"/>
    <w:rsid w:val="694E7718"/>
    <w:rsid w:val="69502441"/>
    <w:rsid w:val="6952B9D0"/>
    <w:rsid w:val="6956C889"/>
    <w:rsid w:val="6956DB45"/>
    <w:rsid w:val="69578E01"/>
    <w:rsid w:val="69582BDA"/>
    <w:rsid w:val="695AFB33"/>
    <w:rsid w:val="695BC2D1"/>
    <w:rsid w:val="695E1E17"/>
    <w:rsid w:val="69609DBC"/>
    <w:rsid w:val="69646E7A"/>
    <w:rsid w:val="69647322"/>
    <w:rsid w:val="6967A48E"/>
    <w:rsid w:val="696BB029"/>
    <w:rsid w:val="696BB54D"/>
    <w:rsid w:val="696CD3F4"/>
    <w:rsid w:val="696DEA2B"/>
    <w:rsid w:val="6970502A"/>
    <w:rsid w:val="69720A2B"/>
    <w:rsid w:val="6973A87C"/>
    <w:rsid w:val="697407A1"/>
    <w:rsid w:val="6976B934"/>
    <w:rsid w:val="69798590"/>
    <w:rsid w:val="697A8EF3"/>
    <w:rsid w:val="697AC8BC"/>
    <w:rsid w:val="697DE0E6"/>
    <w:rsid w:val="697F3F8C"/>
    <w:rsid w:val="697FDCC5"/>
    <w:rsid w:val="69814430"/>
    <w:rsid w:val="698510E4"/>
    <w:rsid w:val="69882BB5"/>
    <w:rsid w:val="69890ADD"/>
    <w:rsid w:val="698B76AD"/>
    <w:rsid w:val="698D73DB"/>
    <w:rsid w:val="6990FFC7"/>
    <w:rsid w:val="69911F7B"/>
    <w:rsid w:val="69912CA0"/>
    <w:rsid w:val="69915C09"/>
    <w:rsid w:val="699222B4"/>
    <w:rsid w:val="69953A18"/>
    <w:rsid w:val="69991348"/>
    <w:rsid w:val="699A8C8B"/>
    <w:rsid w:val="699AEBA9"/>
    <w:rsid w:val="699F6555"/>
    <w:rsid w:val="699FB699"/>
    <w:rsid w:val="69A34D40"/>
    <w:rsid w:val="69A57F74"/>
    <w:rsid w:val="69A7DBCB"/>
    <w:rsid w:val="69A81E9B"/>
    <w:rsid w:val="69ACB121"/>
    <w:rsid w:val="69ADDB00"/>
    <w:rsid w:val="69AF437C"/>
    <w:rsid w:val="69B0D94B"/>
    <w:rsid w:val="69B14393"/>
    <w:rsid w:val="69B4C806"/>
    <w:rsid w:val="69B6A7E6"/>
    <w:rsid w:val="69BC15A9"/>
    <w:rsid w:val="69BC5CBE"/>
    <w:rsid w:val="69BE16FE"/>
    <w:rsid w:val="69BF974B"/>
    <w:rsid w:val="69BFB7D4"/>
    <w:rsid w:val="69C14F86"/>
    <w:rsid w:val="69C18F0B"/>
    <w:rsid w:val="69C503D9"/>
    <w:rsid w:val="69C8CEB0"/>
    <w:rsid w:val="69CBF57F"/>
    <w:rsid w:val="69CCF246"/>
    <w:rsid w:val="69CD4839"/>
    <w:rsid w:val="69CF3E5D"/>
    <w:rsid w:val="69D180C1"/>
    <w:rsid w:val="69D1CC57"/>
    <w:rsid w:val="69D32635"/>
    <w:rsid w:val="69D97A49"/>
    <w:rsid w:val="69DBBC95"/>
    <w:rsid w:val="69DE694E"/>
    <w:rsid w:val="69DE7AA0"/>
    <w:rsid w:val="69DEA0C6"/>
    <w:rsid w:val="69DFEDF5"/>
    <w:rsid w:val="69E44A9B"/>
    <w:rsid w:val="69EBC8BF"/>
    <w:rsid w:val="69EC040E"/>
    <w:rsid w:val="69ED0C47"/>
    <w:rsid w:val="69EDD8AB"/>
    <w:rsid w:val="69EEADF9"/>
    <w:rsid w:val="69F1B4B1"/>
    <w:rsid w:val="69F46780"/>
    <w:rsid w:val="69F58AF8"/>
    <w:rsid w:val="69F65EF8"/>
    <w:rsid w:val="69F982E5"/>
    <w:rsid w:val="69FA3239"/>
    <w:rsid w:val="69FBB148"/>
    <w:rsid w:val="69FFA74F"/>
    <w:rsid w:val="6A001229"/>
    <w:rsid w:val="6A02B8EB"/>
    <w:rsid w:val="6A03445F"/>
    <w:rsid w:val="6A05DB4A"/>
    <w:rsid w:val="6A08CAE6"/>
    <w:rsid w:val="6A09854E"/>
    <w:rsid w:val="6A0B9377"/>
    <w:rsid w:val="6A0C9570"/>
    <w:rsid w:val="6A0EAC7A"/>
    <w:rsid w:val="6A103639"/>
    <w:rsid w:val="6A106000"/>
    <w:rsid w:val="6A1095BD"/>
    <w:rsid w:val="6A13B286"/>
    <w:rsid w:val="6A149268"/>
    <w:rsid w:val="6A158D1E"/>
    <w:rsid w:val="6A178FC6"/>
    <w:rsid w:val="6A1B14BF"/>
    <w:rsid w:val="6A1DC4A5"/>
    <w:rsid w:val="6A1FE6D5"/>
    <w:rsid w:val="6A213A1B"/>
    <w:rsid w:val="6A25B452"/>
    <w:rsid w:val="6A279006"/>
    <w:rsid w:val="6A2943FB"/>
    <w:rsid w:val="6A30634A"/>
    <w:rsid w:val="6A30B158"/>
    <w:rsid w:val="6A365F7F"/>
    <w:rsid w:val="6A3748F2"/>
    <w:rsid w:val="6A37599C"/>
    <w:rsid w:val="6A3897AD"/>
    <w:rsid w:val="6A391248"/>
    <w:rsid w:val="6A39219F"/>
    <w:rsid w:val="6A3A543C"/>
    <w:rsid w:val="6A3E8269"/>
    <w:rsid w:val="6A40C9FC"/>
    <w:rsid w:val="6A433CB8"/>
    <w:rsid w:val="6A44BFBE"/>
    <w:rsid w:val="6A44CDAD"/>
    <w:rsid w:val="6A463785"/>
    <w:rsid w:val="6A4C6F55"/>
    <w:rsid w:val="6A4C8ADA"/>
    <w:rsid w:val="6A52798D"/>
    <w:rsid w:val="6A5422BF"/>
    <w:rsid w:val="6A5507B1"/>
    <w:rsid w:val="6A583C6E"/>
    <w:rsid w:val="6A5908D5"/>
    <w:rsid w:val="6A59A72F"/>
    <w:rsid w:val="6A63DFF9"/>
    <w:rsid w:val="6A65F46D"/>
    <w:rsid w:val="6A662715"/>
    <w:rsid w:val="6A6800F0"/>
    <w:rsid w:val="6A68B6C5"/>
    <w:rsid w:val="6A69F69C"/>
    <w:rsid w:val="6A6AF7C1"/>
    <w:rsid w:val="6A6DD797"/>
    <w:rsid w:val="6A6E595D"/>
    <w:rsid w:val="6A706ABC"/>
    <w:rsid w:val="6A707010"/>
    <w:rsid w:val="6A721E26"/>
    <w:rsid w:val="6A764558"/>
    <w:rsid w:val="6A7686C8"/>
    <w:rsid w:val="6A76F290"/>
    <w:rsid w:val="6A7BFB9F"/>
    <w:rsid w:val="6A7FAD75"/>
    <w:rsid w:val="6A7FCBF1"/>
    <w:rsid w:val="6A897655"/>
    <w:rsid w:val="6A8A61DF"/>
    <w:rsid w:val="6A8AC7FA"/>
    <w:rsid w:val="6A8C2B5F"/>
    <w:rsid w:val="6A8C5D3A"/>
    <w:rsid w:val="6A8CB92A"/>
    <w:rsid w:val="6A8F0D0C"/>
    <w:rsid w:val="6A92F0C8"/>
    <w:rsid w:val="6A936260"/>
    <w:rsid w:val="6A952300"/>
    <w:rsid w:val="6A9AB7DD"/>
    <w:rsid w:val="6A9AF789"/>
    <w:rsid w:val="6A9CB83A"/>
    <w:rsid w:val="6A9F1868"/>
    <w:rsid w:val="6AA0A32A"/>
    <w:rsid w:val="6AA11B49"/>
    <w:rsid w:val="6AA17730"/>
    <w:rsid w:val="6AA194B7"/>
    <w:rsid w:val="6AA1A74F"/>
    <w:rsid w:val="6AA1BABC"/>
    <w:rsid w:val="6AA1FE19"/>
    <w:rsid w:val="6AA4CBEA"/>
    <w:rsid w:val="6AA8A5E4"/>
    <w:rsid w:val="6AA9BA79"/>
    <w:rsid w:val="6AACA4F4"/>
    <w:rsid w:val="6AADA236"/>
    <w:rsid w:val="6AADAFDE"/>
    <w:rsid w:val="6AB49892"/>
    <w:rsid w:val="6AB9E2AE"/>
    <w:rsid w:val="6ABA276D"/>
    <w:rsid w:val="6ABC6CB4"/>
    <w:rsid w:val="6AC17764"/>
    <w:rsid w:val="6AC2938C"/>
    <w:rsid w:val="6AC3A049"/>
    <w:rsid w:val="6AC57996"/>
    <w:rsid w:val="6AC6E398"/>
    <w:rsid w:val="6AC72021"/>
    <w:rsid w:val="6AC8E559"/>
    <w:rsid w:val="6ACABFC5"/>
    <w:rsid w:val="6ACB6FB4"/>
    <w:rsid w:val="6ACE9A7B"/>
    <w:rsid w:val="6ACFF714"/>
    <w:rsid w:val="6AD60C5F"/>
    <w:rsid w:val="6AD86017"/>
    <w:rsid w:val="6ADD46AD"/>
    <w:rsid w:val="6AE2A35B"/>
    <w:rsid w:val="6AE3A368"/>
    <w:rsid w:val="6AE59114"/>
    <w:rsid w:val="6AE608AA"/>
    <w:rsid w:val="6AE8BB0D"/>
    <w:rsid w:val="6AE92FD1"/>
    <w:rsid w:val="6AEAF874"/>
    <w:rsid w:val="6AEB85D5"/>
    <w:rsid w:val="6AEB9FA5"/>
    <w:rsid w:val="6AED4A42"/>
    <w:rsid w:val="6AEE54AA"/>
    <w:rsid w:val="6AF28A89"/>
    <w:rsid w:val="6AF2F342"/>
    <w:rsid w:val="6AF367C9"/>
    <w:rsid w:val="6AF6AA59"/>
    <w:rsid w:val="6AF7A53A"/>
    <w:rsid w:val="6AF89F2E"/>
    <w:rsid w:val="6AFBD53C"/>
    <w:rsid w:val="6AFFC9AA"/>
    <w:rsid w:val="6B040153"/>
    <w:rsid w:val="6B07AB0F"/>
    <w:rsid w:val="6B08B58A"/>
    <w:rsid w:val="6B0E43FD"/>
    <w:rsid w:val="6B0EDB0B"/>
    <w:rsid w:val="6B1163B9"/>
    <w:rsid w:val="6B11E4B4"/>
    <w:rsid w:val="6B132C22"/>
    <w:rsid w:val="6B141426"/>
    <w:rsid w:val="6B14E7E5"/>
    <w:rsid w:val="6B15C1A1"/>
    <w:rsid w:val="6B170223"/>
    <w:rsid w:val="6B1913BD"/>
    <w:rsid w:val="6B191D20"/>
    <w:rsid w:val="6B1BBA96"/>
    <w:rsid w:val="6B1C549F"/>
    <w:rsid w:val="6B1E8E38"/>
    <w:rsid w:val="6B1F7536"/>
    <w:rsid w:val="6B1F77A7"/>
    <w:rsid w:val="6B1FB7CF"/>
    <w:rsid w:val="6B21E3E2"/>
    <w:rsid w:val="6B258588"/>
    <w:rsid w:val="6B28F7B2"/>
    <w:rsid w:val="6B28FD2E"/>
    <w:rsid w:val="6B2FDC79"/>
    <w:rsid w:val="6B2FF506"/>
    <w:rsid w:val="6B32A5D4"/>
    <w:rsid w:val="6B334F1A"/>
    <w:rsid w:val="6B351C7E"/>
    <w:rsid w:val="6B3648C6"/>
    <w:rsid w:val="6B37007D"/>
    <w:rsid w:val="6B3BA276"/>
    <w:rsid w:val="6B3F65B8"/>
    <w:rsid w:val="6B409488"/>
    <w:rsid w:val="6B413A11"/>
    <w:rsid w:val="6B4230D0"/>
    <w:rsid w:val="6B4852A1"/>
    <w:rsid w:val="6B49CF10"/>
    <w:rsid w:val="6B4C4E12"/>
    <w:rsid w:val="6B4FF1E8"/>
    <w:rsid w:val="6B524BB8"/>
    <w:rsid w:val="6B53BAC4"/>
    <w:rsid w:val="6B54CA26"/>
    <w:rsid w:val="6B57315D"/>
    <w:rsid w:val="6B57B31C"/>
    <w:rsid w:val="6B634BB8"/>
    <w:rsid w:val="6B643121"/>
    <w:rsid w:val="6B6639F8"/>
    <w:rsid w:val="6B66F92F"/>
    <w:rsid w:val="6B67635E"/>
    <w:rsid w:val="6B68F27D"/>
    <w:rsid w:val="6B696EA0"/>
    <w:rsid w:val="6B6ADE92"/>
    <w:rsid w:val="6B70FBC5"/>
    <w:rsid w:val="6B73B8EF"/>
    <w:rsid w:val="6B76F4D2"/>
    <w:rsid w:val="6B779747"/>
    <w:rsid w:val="6B7B85C5"/>
    <w:rsid w:val="6B7B9AFF"/>
    <w:rsid w:val="6B7CA997"/>
    <w:rsid w:val="6B7D34CA"/>
    <w:rsid w:val="6B7D85D1"/>
    <w:rsid w:val="6B7D95E0"/>
    <w:rsid w:val="6B7E7320"/>
    <w:rsid w:val="6B809380"/>
    <w:rsid w:val="6B81BE23"/>
    <w:rsid w:val="6B84DFF9"/>
    <w:rsid w:val="6B86EEDC"/>
    <w:rsid w:val="6B89CA72"/>
    <w:rsid w:val="6B8A283C"/>
    <w:rsid w:val="6B8ABCD9"/>
    <w:rsid w:val="6B8DA7D6"/>
    <w:rsid w:val="6B8DD580"/>
    <w:rsid w:val="6B8FC9C8"/>
    <w:rsid w:val="6B8FE3F8"/>
    <w:rsid w:val="6B902E87"/>
    <w:rsid w:val="6B928769"/>
    <w:rsid w:val="6B93A30A"/>
    <w:rsid w:val="6B996580"/>
    <w:rsid w:val="6B9BC834"/>
    <w:rsid w:val="6B9C4BA6"/>
    <w:rsid w:val="6B9ED99B"/>
    <w:rsid w:val="6BA1F904"/>
    <w:rsid w:val="6BA269BE"/>
    <w:rsid w:val="6BA6A11D"/>
    <w:rsid w:val="6BA6D1CF"/>
    <w:rsid w:val="6BA776A2"/>
    <w:rsid w:val="6BA94AC7"/>
    <w:rsid w:val="6BAC0361"/>
    <w:rsid w:val="6BAE047D"/>
    <w:rsid w:val="6BAFD4A1"/>
    <w:rsid w:val="6BB33F51"/>
    <w:rsid w:val="6BB39379"/>
    <w:rsid w:val="6BB3F9E7"/>
    <w:rsid w:val="6BB40251"/>
    <w:rsid w:val="6BB52F4C"/>
    <w:rsid w:val="6BB86BB2"/>
    <w:rsid w:val="6BC102FF"/>
    <w:rsid w:val="6BC4CCAB"/>
    <w:rsid w:val="6BC59274"/>
    <w:rsid w:val="6BC7E624"/>
    <w:rsid w:val="6BCA8DDA"/>
    <w:rsid w:val="6BCADB37"/>
    <w:rsid w:val="6BCDBA6D"/>
    <w:rsid w:val="6BD3104A"/>
    <w:rsid w:val="6BD33784"/>
    <w:rsid w:val="6BD36DF6"/>
    <w:rsid w:val="6BD6A725"/>
    <w:rsid w:val="6BD81465"/>
    <w:rsid w:val="6BD8E480"/>
    <w:rsid w:val="6BDB3041"/>
    <w:rsid w:val="6BDD662F"/>
    <w:rsid w:val="6BDE77FE"/>
    <w:rsid w:val="6BE1CCB6"/>
    <w:rsid w:val="6BE39AFE"/>
    <w:rsid w:val="6BE45C9B"/>
    <w:rsid w:val="6BE85611"/>
    <w:rsid w:val="6BEA0F93"/>
    <w:rsid w:val="6BEA2CC8"/>
    <w:rsid w:val="6BECB1EB"/>
    <w:rsid w:val="6BED4ECD"/>
    <w:rsid w:val="6BF2A5ED"/>
    <w:rsid w:val="6BF4F972"/>
    <w:rsid w:val="6BF5150E"/>
    <w:rsid w:val="6BF7B7EE"/>
    <w:rsid w:val="6BF8CCCB"/>
    <w:rsid w:val="6BFC702B"/>
    <w:rsid w:val="6BFEB6A6"/>
    <w:rsid w:val="6C046698"/>
    <w:rsid w:val="6C07509F"/>
    <w:rsid w:val="6C0864DE"/>
    <w:rsid w:val="6C08888D"/>
    <w:rsid w:val="6C08FC86"/>
    <w:rsid w:val="6C097B56"/>
    <w:rsid w:val="6C0C87B4"/>
    <w:rsid w:val="6C0E0633"/>
    <w:rsid w:val="6C11D080"/>
    <w:rsid w:val="6C11E196"/>
    <w:rsid w:val="6C184426"/>
    <w:rsid w:val="6C1CBCC7"/>
    <w:rsid w:val="6C27592E"/>
    <w:rsid w:val="6C283C76"/>
    <w:rsid w:val="6C286851"/>
    <w:rsid w:val="6C292EF5"/>
    <w:rsid w:val="6C296E91"/>
    <w:rsid w:val="6C2C2A5D"/>
    <w:rsid w:val="6C30B5AE"/>
    <w:rsid w:val="6C311DA2"/>
    <w:rsid w:val="6C346037"/>
    <w:rsid w:val="6C346813"/>
    <w:rsid w:val="6C3486DE"/>
    <w:rsid w:val="6C35AD87"/>
    <w:rsid w:val="6C35F770"/>
    <w:rsid w:val="6C397C71"/>
    <w:rsid w:val="6C39C9F4"/>
    <w:rsid w:val="6C3D29A4"/>
    <w:rsid w:val="6C402B57"/>
    <w:rsid w:val="6C420CC5"/>
    <w:rsid w:val="6C42E361"/>
    <w:rsid w:val="6C480B35"/>
    <w:rsid w:val="6C4AC402"/>
    <w:rsid w:val="6C4B658D"/>
    <w:rsid w:val="6C4B7A7F"/>
    <w:rsid w:val="6C4BB7CE"/>
    <w:rsid w:val="6C4DB9BD"/>
    <w:rsid w:val="6C4F556F"/>
    <w:rsid w:val="6C508301"/>
    <w:rsid w:val="6C53E924"/>
    <w:rsid w:val="6C5454AD"/>
    <w:rsid w:val="6C54ED49"/>
    <w:rsid w:val="6C58AF2A"/>
    <w:rsid w:val="6C59E718"/>
    <w:rsid w:val="6C5F002A"/>
    <w:rsid w:val="6C642D93"/>
    <w:rsid w:val="6C64E06A"/>
    <w:rsid w:val="6C652F2E"/>
    <w:rsid w:val="6C6732BF"/>
    <w:rsid w:val="6C695A98"/>
    <w:rsid w:val="6C6D4EF2"/>
    <w:rsid w:val="6C71F55C"/>
    <w:rsid w:val="6C721C73"/>
    <w:rsid w:val="6C7355C7"/>
    <w:rsid w:val="6C748B25"/>
    <w:rsid w:val="6C784125"/>
    <w:rsid w:val="6C7A0F68"/>
    <w:rsid w:val="6C7C4BCB"/>
    <w:rsid w:val="6C7D2386"/>
    <w:rsid w:val="6C7D270D"/>
    <w:rsid w:val="6C7F0B0C"/>
    <w:rsid w:val="6C7F5290"/>
    <w:rsid w:val="6C7FCA0F"/>
    <w:rsid w:val="6C814F16"/>
    <w:rsid w:val="6C820F36"/>
    <w:rsid w:val="6C825F58"/>
    <w:rsid w:val="6C83B356"/>
    <w:rsid w:val="6C86FC38"/>
    <w:rsid w:val="6C87436F"/>
    <w:rsid w:val="6C8A0E4A"/>
    <w:rsid w:val="6C8B1998"/>
    <w:rsid w:val="6C8F99CF"/>
    <w:rsid w:val="6C8FBDA1"/>
    <w:rsid w:val="6C901241"/>
    <w:rsid w:val="6C9300B3"/>
    <w:rsid w:val="6C991C68"/>
    <w:rsid w:val="6C99C9AB"/>
    <w:rsid w:val="6C9C74F1"/>
    <w:rsid w:val="6C9D12BF"/>
    <w:rsid w:val="6CA16EA0"/>
    <w:rsid w:val="6CA53B56"/>
    <w:rsid w:val="6CA59FA8"/>
    <w:rsid w:val="6CA6C4F0"/>
    <w:rsid w:val="6CAB364A"/>
    <w:rsid w:val="6CAC64EA"/>
    <w:rsid w:val="6CAF1648"/>
    <w:rsid w:val="6CB1F2FA"/>
    <w:rsid w:val="6CB6531F"/>
    <w:rsid w:val="6CB691B3"/>
    <w:rsid w:val="6CB70711"/>
    <w:rsid w:val="6CB73B1E"/>
    <w:rsid w:val="6CB7BBC7"/>
    <w:rsid w:val="6CB887B6"/>
    <w:rsid w:val="6CBAA9AB"/>
    <w:rsid w:val="6CBBC47B"/>
    <w:rsid w:val="6CBC528D"/>
    <w:rsid w:val="6CBCB7D3"/>
    <w:rsid w:val="6CBE065B"/>
    <w:rsid w:val="6CBE0929"/>
    <w:rsid w:val="6CBF19AF"/>
    <w:rsid w:val="6CC1B115"/>
    <w:rsid w:val="6CC68AC9"/>
    <w:rsid w:val="6CC7BFC2"/>
    <w:rsid w:val="6CC9196D"/>
    <w:rsid w:val="6CCA9687"/>
    <w:rsid w:val="6CCD0E0F"/>
    <w:rsid w:val="6CD72DB5"/>
    <w:rsid w:val="6CD78BFB"/>
    <w:rsid w:val="6CD92606"/>
    <w:rsid w:val="6CDA5117"/>
    <w:rsid w:val="6CDA7411"/>
    <w:rsid w:val="6CDC2B1D"/>
    <w:rsid w:val="6CDE5583"/>
    <w:rsid w:val="6CE07489"/>
    <w:rsid w:val="6CE1E95E"/>
    <w:rsid w:val="6CE2DFD2"/>
    <w:rsid w:val="6CE5B9CB"/>
    <w:rsid w:val="6CE704EE"/>
    <w:rsid w:val="6CE74F8F"/>
    <w:rsid w:val="6CE78B4C"/>
    <w:rsid w:val="6CE8AD98"/>
    <w:rsid w:val="6CE8F3C4"/>
    <w:rsid w:val="6CEBE34C"/>
    <w:rsid w:val="6CF0162A"/>
    <w:rsid w:val="6CF38795"/>
    <w:rsid w:val="6CF9B1EF"/>
    <w:rsid w:val="6CFACED8"/>
    <w:rsid w:val="6CFE40B6"/>
    <w:rsid w:val="6CFE5963"/>
    <w:rsid w:val="6D017B9F"/>
    <w:rsid w:val="6D055DE2"/>
    <w:rsid w:val="6D08931E"/>
    <w:rsid w:val="6D092FE1"/>
    <w:rsid w:val="6D128DCC"/>
    <w:rsid w:val="6D166FC5"/>
    <w:rsid w:val="6D184EA3"/>
    <w:rsid w:val="6D19E0F5"/>
    <w:rsid w:val="6D1AE17E"/>
    <w:rsid w:val="6D1C4C11"/>
    <w:rsid w:val="6D1D49A5"/>
    <w:rsid w:val="6D21CB38"/>
    <w:rsid w:val="6D23E77E"/>
    <w:rsid w:val="6D252272"/>
    <w:rsid w:val="6D2563FB"/>
    <w:rsid w:val="6D283339"/>
    <w:rsid w:val="6D28DF6F"/>
    <w:rsid w:val="6D2905EB"/>
    <w:rsid w:val="6D29FFEA"/>
    <w:rsid w:val="6D34C357"/>
    <w:rsid w:val="6D3512A0"/>
    <w:rsid w:val="6D3548E1"/>
    <w:rsid w:val="6D37E406"/>
    <w:rsid w:val="6D396F57"/>
    <w:rsid w:val="6D3CF4D2"/>
    <w:rsid w:val="6D43B657"/>
    <w:rsid w:val="6D4465A7"/>
    <w:rsid w:val="6D44AD51"/>
    <w:rsid w:val="6D46B2DC"/>
    <w:rsid w:val="6D47898F"/>
    <w:rsid w:val="6D488810"/>
    <w:rsid w:val="6D49F749"/>
    <w:rsid w:val="6D4A23BF"/>
    <w:rsid w:val="6D4A7C86"/>
    <w:rsid w:val="6D4AEAF6"/>
    <w:rsid w:val="6D4FE6B8"/>
    <w:rsid w:val="6D4FEC5C"/>
    <w:rsid w:val="6D536CEB"/>
    <w:rsid w:val="6D54A2C2"/>
    <w:rsid w:val="6D581FCE"/>
    <w:rsid w:val="6D5A1BEE"/>
    <w:rsid w:val="6D5AFCE4"/>
    <w:rsid w:val="6D5DAB2A"/>
    <w:rsid w:val="6D6175CB"/>
    <w:rsid w:val="6D637A74"/>
    <w:rsid w:val="6D64C359"/>
    <w:rsid w:val="6D653B61"/>
    <w:rsid w:val="6D66A42A"/>
    <w:rsid w:val="6D6805DE"/>
    <w:rsid w:val="6D6850AC"/>
    <w:rsid w:val="6D68D6D2"/>
    <w:rsid w:val="6D6E2A3B"/>
    <w:rsid w:val="6D6E6499"/>
    <w:rsid w:val="6D704B9F"/>
    <w:rsid w:val="6D741A72"/>
    <w:rsid w:val="6D7BE2BC"/>
    <w:rsid w:val="6D7BE62A"/>
    <w:rsid w:val="6D7CA8D4"/>
    <w:rsid w:val="6D7D789E"/>
    <w:rsid w:val="6D81F6AD"/>
    <w:rsid w:val="6D820D85"/>
    <w:rsid w:val="6D854725"/>
    <w:rsid w:val="6D86CFF0"/>
    <w:rsid w:val="6D8A2583"/>
    <w:rsid w:val="6D8D0263"/>
    <w:rsid w:val="6D8DDE62"/>
    <w:rsid w:val="6D8E3CA2"/>
    <w:rsid w:val="6D8EB9ED"/>
    <w:rsid w:val="6D8FA0CA"/>
    <w:rsid w:val="6D9093C5"/>
    <w:rsid w:val="6D92F012"/>
    <w:rsid w:val="6D952B8E"/>
    <w:rsid w:val="6D967A04"/>
    <w:rsid w:val="6D972B16"/>
    <w:rsid w:val="6D98E8F4"/>
    <w:rsid w:val="6D9914B9"/>
    <w:rsid w:val="6D9E6260"/>
    <w:rsid w:val="6DA0282B"/>
    <w:rsid w:val="6DA0E5AA"/>
    <w:rsid w:val="6DA3D54C"/>
    <w:rsid w:val="6DA4FC4A"/>
    <w:rsid w:val="6DA8A7D9"/>
    <w:rsid w:val="6DAC9494"/>
    <w:rsid w:val="6DADA122"/>
    <w:rsid w:val="6DAF64A6"/>
    <w:rsid w:val="6DB148D4"/>
    <w:rsid w:val="6DBB4979"/>
    <w:rsid w:val="6DBB6B8F"/>
    <w:rsid w:val="6DBC216B"/>
    <w:rsid w:val="6DBDD33E"/>
    <w:rsid w:val="6DC0032F"/>
    <w:rsid w:val="6DC2CF5B"/>
    <w:rsid w:val="6DC307B8"/>
    <w:rsid w:val="6DC680B7"/>
    <w:rsid w:val="6DC6D68E"/>
    <w:rsid w:val="6DC8E8F1"/>
    <w:rsid w:val="6DCA4DAF"/>
    <w:rsid w:val="6DCF941E"/>
    <w:rsid w:val="6DD1A7DA"/>
    <w:rsid w:val="6DD1D9F2"/>
    <w:rsid w:val="6DD5C107"/>
    <w:rsid w:val="6DD635DA"/>
    <w:rsid w:val="6DD9ABB1"/>
    <w:rsid w:val="6DDE2BC4"/>
    <w:rsid w:val="6DDF2A0F"/>
    <w:rsid w:val="6DE26688"/>
    <w:rsid w:val="6DE53FB6"/>
    <w:rsid w:val="6DEA9D3D"/>
    <w:rsid w:val="6DEE27B3"/>
    <w:rsid w:val="6DF22BAE"/>
    <w:rsid w:val="6DF51E77"/>
    <w:rsid w:val="6DF65EB5"/>
    <w:rsid w:val="6DF97EBA"/>
    <w:rsid w:val="6DFCFD88"/>
    <w:rsid w:val="6E0528A7"/>
    <w:rsid w:val="6E055559"/>
    <w:rsid w:val="6E0634BE"/>
    <w:rsid w:val="6E089239"/>
    <w:rsid w:val="6E097F20"/>
    <w:rsid w:val="6E0E2739"/>
    <w:rsid w:val="6E0FC708"/>
    <w:rsid w:val="6E1BAA79"/>
    <w:rsid w:val="6E1C5337"/>
    <w:rsid w:val="6E1E0B08"/>
    <w:rsid w:val="6E1E6813"/>
    <w:rsid w:val="6E1F665D"/>
    <w:rsid w:val="6E23024D"/>
    <w:rsid w:val="6E2652A8"/>
    <w:rsid w:val="6E270E12"/>
    <w:rsid w:val="6E28323D"/>
    <w:rsid w:val="6E28D772"/>
    <w:rsid w:val="6E316EA9"/>
    <w:rsid w:val="6E33A0D2"/>
    <w:rsid w:val="6E35CBBE"/>
    <w:rsid w:val="6E38ABC9"/>
    <w:rsid w:val="6E39EFF0"/>
    <w:rsid w:val="6E3F3955"/>
    <w:rsid w:val="6E407ABD"/>
    <w:rsid w:val="6E41AF94"/>
    <w:rsid w:val="6E422727"/>
    <w:rsid w:val="6E44DA6A"/>
    <w:rsid w:val="6E4534D1"/>
    <w:rsid w:val="6E46C8A2"/>
    <w:rsid w:val="6E492DE6"/>
    <w:rsid w:val="6E4A09C5"/>
    <w:rsid w:val="6E4AA9CC"/>
    <w:rsid w:val="6E4B65B4"/>
    <w:rsid w:val="6E4FC2D3"/>
    <w:rsid w:val="6E52B71F"/>
    <w:rsid w:val="6E533664"/>
    <w:rsid w:val="6E54D480"/>
    <w:rsid w:val="6E553909"/>
    <w:rsid w:val="6E56AA63"/>
    <w:rsid w:val="6E56E1EE"/>
    <w:rsid w:val="6E5D78BB"/>
    <w:rsid w:val="6E612C48"/>
    <w:rsid w:val="6E673DDD"/>
    <w:rsid w:val="6E6A4E7F"/>
    <w:rsid w:val="6E6DF6FC"/>
    <w:rsid w:val="6E6F2BD4"/>
    <w:rsid w:val="6E70EEBF"/>
    <w:rsid w:val="6E72010A"/>
    <w:rsid w:val="6E72B252"/>
    <w:rsid w:val="6E73A7AD"/>
    <w:rsid w:val="6E748053"/>
    <w:rsid w:val="6E765BBE"/>
    <w:rsid w:val="6E79B800"/>
    <w:rsid w:val="6E7D1739"/>
    <w:rsid w:val="6E7DD8C6"/>
    <w:rsid w:val="6E7EE72F"/>
    <w:rsid w:val="6E812175"/>
    <w:rsid w:val="6E898ED2"/>
    <w:rsid w:val="6E8B1387"/>
    <w:rsid w:val="6E8BA28A"/>
    <w:rsid w:val="6E8CEC2B"/>
    <w:rsid w:val="6E8F0D88"/>
    <w:rsid w:val="6E8FF486"/>
    <w:rsid w:val="6E91C505"/>
    <w:rsid w:val="6E922D43"/>
    <w:rsid w:val="6E928628"/>
    <w:rsid w:val="6E946375"/>
    <w:rsid w:val="6E95DDE0"/>
    <w:rsid w:val="6E974D7C"/>
    <w:rsid w:val="6E9DCA23"/>
    <w:rsid w:val="6E9DF8E0"/>
    <w:rsid w:val="6E9F4810"/>
    <w:rsid w:val="6EA5C282"/>
    <w:rsid w:val="6EAA22D9"/>
    <w:rsid w:val="6EAB51B7"/>
    <w:rsid w:val="6EACA0AC"/>
    <w:rsid w:val="6EACADF6"/>
    <w:rsid w:val="6EAE3FE9"/>
    <w:rsid w:val="6EB0E531"/>
    <w:rsid w:val="6EB35805"/>
    <w:rsid w:val="6EB7DE03"/>
    <w:rsid w:val="6EB7FF28"/>
    <w:rsid w:val="6EB80E99"/>
    <w:rsid w:val="6EB8F61D"/>
    <w:rsid w:val="6EBB62F3"/>
    <w:rsid w:val="6EBC243E"/>
    <w:rsid w:val="6EBD16F1"/>
    <w:rsid w:val="6EBDFE5F"/>
    <w:rsid w:val="6EBE512F"/>
    <w:rsid w:val="6EBF5A95"/>
    <w:rsid w:val="6EC1A46D"/>
    <w:rsid w:val="6EC1F2E4"/>
    <w:rsid w:val="6EC3ADDD"/>
    <w:rsid w:val="6EC5089A"/>
    <w:rsid w:val="6EC64FFC"/>
    <w:rsid w:val="6EC681B3"/>
    <w:rsid w:val="6EC904AB"/>
    <w:rsid w:val="6EC960D4"/>
    <w:rsid w:val="6EC97147"/>
    <w:rsid w:val="6ECA2715"/>
    <w:rsid w:val="6ECB3E75"/>
    <w:rsid w:val="6ECD9EA3"/>
    <w:rsid w:val="6ECDCE6F"/>
    <w:rsid w:val="6ECE3941"/>
    <w:rsid w:val="6ECFBDA8"/>
    <w:rsid w:val="6ED1C304"/>
    <w:rsid w:val="6ED5891E"/>
    <w:rsid w:val="6ED615AC"/>
    <w:rsid w:val="6ED78E58"/>
    <w:rsid w:val="6ED834AD"/>
    <w:rsid w:val="6EDB492B"/>
    <w:rsid w:val="6EDCCE3A"/>
    <w:rsid w:val="6EDE5592"/>
    <w:rsid w:val="6EDF4955"/>
    <w:rsid w:val="6EE06BB0"/>
    <w:rsid w:val="6EE2A924"/>
    <w:rsid w:val="6EE2ACE7"/>
    <w:rsid w:val="6EE39AF7"/>
    <w:rsid w:val="6EE7869C"/>
    <w:rsid w:val="6EE86965"/>
    <w:rsid w:val="6EEA5511"/>
    <w:rsid w:val="6EEB00A0"/>
    <w:rsid w:val="6EEB1E84"/>
    <w:rsid w:val="6EEB7F3E"/>
    <w:rsid w:val="6EEBAE8A"/>
    <w:rsid w:val="6EEE99BA"/>
    <w:rsid w:val="6EEF7DA6"/>
    <w:rsid w:val="6EF2BB61"/>
    <w:rsid w:val="6EF485FD"/>
    <w:rsid w:val="6EFEE27A"/>
    <w:rsid w:val="6EFF5834"/>
    <w:rsid w:val="6F0092B2"/>
    <w:rsid w:val="6F027BBC"/>
    <w:rsid w:val="6F03E0AC"/>
    <w:rsid w:val="6F06F6BA"/>
    <w:rsid w:val="6F0AC95D"/>
    <w:rsid w:val="6F0B5BC2"/>
    <w:rsid w:val="6F0D051C"/>
    <w:rsid w:val="6F118B36"/>
    <w:rsid w:val="6F11C797"/>
    <w:rsid w:val="6F11D4B5"/>
    <w:rsid w:val="6F18FD9A"/>
    <w:rsid w:val="6F2559C1"/>
    <w:rsid w:val="6F27C319"/>
    <w:rsid w:val="6F297064"/>
    <w:rsid w:val="6F29FDF2"/>
    <w:rsid w:val="6F2A6459"/>
    <w:rsid w:val="6F2B6866"/>
    <w:rsid w:val="6F2BFDD6"/>
    <w:rsid w:val="6F30DD8D"/>
    <w:rsid w:val="6F318DE6"/>
    <w:rsid w:val="6F32303A"/>
    <w:rsid w:val="6F3712CC"/>
    <w:rsid w:val="6F39D810"/>
    <w:rsid w:val="6F3A1D0D"/>
    <w:rsid w:val="6F3A7817"/>
    <w:rsid w:val="6F3D280E"/>
    <w:rsid w:val="6F41BCF6"/>
    <w:rsid w:val="6F4299AE"/>
    <w:rsid w:val="6F42F380"/>
    <w:rsid w:val="6F4B4314"/>
    <w:rsid w:val="6F53094E"/>
    <w:rsid w:val="6F54CAD1"/>
    <w:rsid w:val="6F56260F"/>
    <w:rsid w:val="6F594A04"/>
    <w:rsid w:val="6F59E9A5"/>
    <w:rsid w:val="6F5A9ACA"/>
    <w:rsid w:val="6F5BAB42"/>
    <w:rsid w:val="6F619A93"/>
    <w:rsid w:val="6F630CDB"/>
    <w:rsid w:val="6F657B11"/>
    <w:rsid w:val="6F658301"/>
    <w:rsid w:val="6F677F37"/>
    <w:rsid w:val="6F6785AB"/>
    <w:rsid w:val="6F68D460"/>
    <w:rsid w:val="6F6A3385"/>
    <w:rsid w:val="6F6A5E3F"/>
    <w:rsid w:val="6F6B7CBF"/>
    <w:rsid w:val="6F6BF9FA"/>
    <w:rsid w:val="6F712FFA"/>
    <w:rsid w:val="6F7422AF"/>
    <w:rsid w:val="6F78F5C7"/>
    <w:rsid w:val="6F7A9C8E"/>
    <w:rsid w:val="6F7CE43B"/>
    <w:rsid w:val="6F7DABDF"/>
    <w:rsid w:val="6F7E03E9"/>
    <w:rsid w:val="6F7E3517"/>
    <w:rsid w:val="6F7EBBAE"/>
    <w:rsid w:val="6F7EE67F"/>
    <w:rsid w:val="6F878BB9"/>
    <w:rsid w:val="6F8E7001"/>
    <w:rsid w:val="6F8F5B9B"/>
    <w:rsid w:val="6F90E35D"/>
    <w:rsid w:val="6F91F3AD"/>
    <w:rsid w:val="6F9290E8"/>
    <w:rsid w:val="6F934F4F"/>
    <w:rsid w:val="6F944EB1"/>
    <w:rsid w:val="6F95D12A"/>
    <w:rsid w:val="6F9757D2"/>
    <w:rsid w:val="6F9B9573"/>
    <w:rsid w:val="6F9BEFD3"/>
    <w:rsid w:val="6F9D19ED"/>
    <w:rsid w:val="6F9E874B"/>
    <w:rsid w:val="6FA13F7F"/>
    <w:rsid w:val="6FA1C774"/>
    <w:rsid w:val="6FA32346"/>
    <w:rsid w:val="6FA32EA6"/>
    <w:rsid w:val="6FA50C77"/>
    <w:rsid w:val="6FA51ACF"/>
    <w:rsid w:val="6FA9AD83"/>
    <w:rsid w:val="6FACFB03"/>
    <w:rsid w:val="6FAD331F"/>
    <w:rsid w:val="6FAE3670"/>
    <w:rsid w:val="6FAEF6C6"/>
    <w:rsid w:val="6FB37CB6"/>
    <w:rsid w:val="6FB3A7CF"/>
    <w:rsid w:val="6FB7AE99"/>
    <w:rsid w:val="6FB8BB8B"/>
    <w:rsid w:val="6FBD50F7"/>
    <w:rsid w:val="6FBF27AF"/>
    <w:rsid w:val="6FC03456"/>
    <w:rsid w:val="6FC04F4D"/>
    <w:rsid w:val="6FC24FC6"/>
    <w:rsid w:val="6FC3BBE9"/>
    <w:rsid w:val="6FC3E5F6"/>
    <w:rsid w:val="6FC67CFF"/>
    <w:rsid w:val="6FC90607"/>
    <w:rsid w:val="6FC92D57"/>
    <w:rsid w:val="6FCAA192"/>
    <w:rsid w:val="6FCD34BA"/>
    <w:rsid w:val="6FCE059A"/>
    <w:rsid w:val="6FCE99C9"/>
    <w:rsid w:val="6FD028F9"/>
    <w:rsid w:val="6FD04B8C"/>
    <w:rsid w:val="6FD08980"/>
    <w:rsid w:val="6FD31007"/>
    <w:rsid w:val="6FD37FDC"/>
    <w:rsid w:val="6FD466D5"/>
    <w:rsid w:val="6FD5051B"/>
    <w:rsid w:val="6FD5DA27"/>
    <w:rsid w:val="6FDBD756"/>
    <w:rsid w:val="6FDF9F6E"/>
    <w:rsid w:val="6FDFDEF3"/>
    <w:rsid w:val="6FE1F5EE"/>
    <w:rsid w:val="6FE30F4F"/>
    <w:rsid w:val="6FE4878E"/>
    <w:rsid w:val="6FE5B953"/>
    <w:rsid w:val="6FE6E9B5"/>
    <w:rsid w:val="6FE9E193"/>
    <w:rsid w:val="6FEB34ED"/>
    <w:rsid w:val="6FEE77DB"/>
    <w:rsid w:val="6FEF2F6B"/>
    <w:rsid w:val="6FF1EE83"/>
    <w:rsid w:val="6FF891E9"/>
    <w:rsid w:val="6FFDA3CE"/>
    <w:rsid w:val="6FFE4F82"/>
    <w:rsid w:val="6FFEC007"/>
    <w:rsid w:val="6FFFEAE9"/>
    <w:rsid w:val="70043ADE"/>
    <w:rsid w:val="7006A005"/>
    <w:rsid w:val="7006BBB6"/>
    <w:rsid w:val="7006FDA3"/>
    <w:rsid w:val="70080200"/>
    <w:rsid w:val="700B1C04"/>
    <w:rsid w:val="700BEF45"/>
    <w:rsid w:val="700C2EEF"/>
    <w:rsid w:val="700DCEC5"/>
    <w:rsid w:val="70114BFB"/>
    <w:rsid w:val="701401F7"/>
    <w:rsid w:val="701A226E"/>
    <w:rsid w:val="701A24B0"/>
    <w:rsid w:val="701A8F89"/>
    <w:rsid w:val="701DEF17"/>
    <w:rsid w:val="701E90BB"/>
    <w:rsid w:val="702171EF"/>
    <w:rsid w:val="70251283"/>
    <w:rsid w:val="7025C562"/>
    <w:rsid w:val="702AEF25"/>
    <w:rsid w:val="702D05D4"/>
    <w:rsid w:val="702D6983"/>
    <w:rsid w:val="702F1283"/>
    <w:rsid w:val="70322695"/>
    <w:rsid w:val="7033BEA5"/>
    <w:rsid w:val="7033DFED"/>
    <w:rsid w:val="70364105"/>
    <w:rsid w:val="70378F3A"/>
    <w:rsid w:val="7038D5D7"/>
    <w:rsid w:val="70390AAA"/>
    <w:rsid w:val="703A3396"/>
    <w:rsid w:val="703EC16B"/>
    <w:rsid w:val="703F718A"/>
    <w:rsid w:val="704084C2"/>
    <w:rsid w:val="7040D238"/>
    <w:rsid w:val="704409CD"/>
    <w:rsid w:val="70445451"/>
    <w:rsid w:val="70454703"/>
    <w:rsid w:val="7046A503"/>
    <w:rsid w:val="7048C634"/>
    <w:rsid w:val="704C0CE4"/>
    <w:rsid w:val="704C4D64"/>
    <w:rsid w:val="704D5871"/>
    <w:rsid w:val="704DDAC3"/>
    <w:rsid w:val="704F6F58"/>
    <w:rsid w:val="704F983D"/>
    <w:rsid w:val="7051A49C"/>
    <w:rsid w:val="70521137"/>
    <w:rsid w:val="705580F6"/>
    <w:rsid w:val="70569D54"/>
    <w:rsid w:val="705740F5"/>
    <w:rsid w:val="7059F2E6"/>
    <w:rsid w:val="705C87EF"/>
    <w:rsid w:val="705CF1AC"/>
    <w:rsid w:val="705EE5CC"/>
    <w:rsid w:val="7062BE5E"/>
    <w:rsid w:val="706402F7"/>
    <w:rsid w:val="706E780C"/>
    <w:rsid w:val="706EA1EB"/>
    <w:rsid w:val="706F6B04"/>
    <w:rsid w:val="7072B98D"/>
    <w:rsid w:val="7072BD1C"/>
    <w:rsid w:val="707CDDDB"/>
    <w:rsid w:val="707D387E"/>
    <w:rsid w:val="707D390A"/>
    <w:rsid w:val="707E6252"/>
    <w:rsid w:val="7082F7FD"/>
    <w:rsid w:val="7084527B"/>
    <w:rsid w:val="70857478"/>
    <w:rsid w:val="7085BC0E"/>
    <w:rsid w:val="708633E0"/>
    <w:rsid w:val="7090F804"/>
    <w:rsid w:val="709696AA"/>
    <w:rsid w:val="70988E2B"/>
    <w:rsid w:val="709D3E0F"/>
    <w:rsid w:val="709DE3AC"/>
    <w:rsid w:val="709F6847"/>
    <w:rsid w:val="70A1D355"/>
    <w:rsid w:val="70A3B690"/>
    <w:rsid w:val="70A42E62"/>
    <w:rsid w:val="70A5FEA8"/>
    <w:rsid w:val="70A9DCE7"/>
    <w:rsid w:val="70AA45E2"/>
    <w:rsid w:val="70AA4DC4"/>
    <w:rsid w:val="70ACAFE1"/>
    <w:rsid w:val="70AD106C"/>
    <w:rsid w:val="70AD49EB"/>
    <w:rsid w:val="70AD656E"/>
    <w:rsid w:val="70AECC47"/>
    <w:rsid w:val="70AF4212"/>
    <w:rsid w:val="70B01C3C"/>
    <w:rsid w:val="70B1DA5A"/>
    <w:rsid w:val="70B2D29C"/>
    <w:rsid w:val="70B3DDA2"/>
    <w:rsid w:val="70B4BAD0"/>
    <w:rsid w:val="70B77984"/>
    <w:rsid w:val="70B9DDF9"/>
    <w:rsid w:val="70BA41A5"/>
    <w:rsid w:val="70BE46C6"/>
    <w:rsid w:val="70C09823"/>
    <w:rsid w:val="70C3728E"/>
    <w:rsid w:val="70CA7957"/>
    <w:rsid w:val="70CBD4AF"/>
    <w:rsid w:val="70CDA124"/>
    <w:rsid w:val="70CF165D"/>
    <w:rsid w:val="70D0F3D8"/>
    <w:rsid w:val="70D17391"/>
    <w:rsid w:val="70D22988"/>
    <w:rsid w:val="70D33C62"/>
    <w:rsid w:val="70D49A85"/>
    <w:rsid w:val="70D94505"/>
    <w:rsid w:val="70DC1057"/>
    <w:rsid w:val="70E12042"/>
    <w:rsid w:val="70E2A8BB"/>
    <w:rsid w:val="70E33C4E"/>
    <w:rsid w:val="70E3D1CA"/>
    <w:rsid w:val="70E6755F"/>
    <w:rsid w:val="70E72A34"/>
    <w:rsid w:val="70E836A1"/>
    <w:rsid w:val="70EB3B30"/>
    <w:rsid w:val="70EC544F"/>
    <w:rsid w:val="70EC5FBE"/>
    <w:rsid w:val="70F0C4E8"/>
    <w:rsid w:val="70F24609"/>
    <w:rsid w:val="70F389D9"/>
    <w:rsid w:val="70F5C327"/>
    <w:rsid w:val="70F60113"/>
    <w:rsid w:val="70F78A0D"/>
    <w:rsid w:val="70F89AA5"/>
    <w:rsid w:val="70F9F37F"/>
    <w:rsid w:val="70FBE344"/>
    <w:rsid w:val="70FCB47F"/>
    <w:rsid w:val="70FD4357"/>
    <w:rsid w:val="70FE5D2C"/>
    <w:rsid w:val="70FE7431"/>
    <w:rsid w:val="70FF10D7"/>
    <w:rsid w:val="70FF1842"/>
    <w:rsid w:val="71001F02"/>
    <w:rsid w:val="71004689"/>
    <w:rsid w:val="710A3266"/>
    <w:rsid w:val="710B05CF"/>
    <w:rsid w:val="7113BED8"/>
    <w:rsid w:val="71178AA9"/>
    <w:rsid w:val="7117E8F3"/>
    <w:rsid w:val="711878E0"/>
    <w:rsid w:val="711DFB19"/>
    <w:rsid w:val="711E1286"/>
    <w:rsid w:val="711F0834"/>
    <w:rsid w:val="71200CB3"/>
    <w:rsid w:val="71216FC9"/>
    <w:rsid w:val="71335ADB"/>
    <w:rsid w:val="7136DB8A"/>
    <w:rsid w:val="7138FF2B"/>
    <w:rsid w:val="713C2589"/>
    <w:rsid w:val="713CFB39"/>
    <w:rsid w:val="713E19B0"/>
    <w:rsid w:val="71406929"/>
    <w:rsid w:val="714259BC"/>
    <w:rsid w:val="7145AB93"/>
    <w:rsid w:val="7145D7DF"/>
    <w:rsid w:val="71467E12"/>
    <w:rsid w:val="7146D7D3"/>
    <w:rsid w:val="71489160"/>
    <w:rsid w:val="714B2A65"/>
    <w:rsid w:val="714CB68A"/>
    <w:rsid w:val="714D4389"/>
    <w:rsid w:val="71583FDD"/>
    <w:rsid w:val="7158F513"/>
    <w:rsid w:val="71594EC2"/>
    <w:rsid w:val="7159FE93"/>
    <w:rsid w:val="715A3050"/>
    <w:rsid w:val="715BAC8C"/>
    <w:rsid w:val="715C3648"/>
    <w:rsid w:val="715E287F"/>
    <w:rsid w:val="715EE779"/>
    <w:rsid w:val="715EF84F"/>
    <w:rsid w:val="71613F28"/>
    <w:rsid w:val="7163CDE8"/>
    <w:rsid w:val="7165F3CF"/>
    <w:rsid w:val="71667855"/>
    <w:rsid w:val="716A8D07"/>
    <w:rsid w:val="716AF9F2"/>
    <w:rsid w:val="716C85A2"/>
    <w:rsid w:val="716E165B"/>
    <w:rsid w:val="716E3328"/>
    <w:rsid w:val="71774717"/>
    <w:rsid w:val="717C2A9C"/>
    <w:rsid w:val="717E4BCA"/>
    <w:rsid w:val="717E80AF"/>
    <w:rsid w:val="7181485C"/>
    <w:rsid w:val="71816F30"/>
    <w:rsid w:val="7184C03E"/>
    <w:rsid w:val="7185E81A"/>
    <w:rsid w:val="718CEA12"/>
    <w:rsid w:val="718D543A"/>
    <w:rsid w:val="719B9B50"/>
    <w:rsid w:val="719CE5B2"/>
    <w:rsid w:val="71A56897"/>
    <w:rsid w:val="71A6ED70"/>
    <w:rsid w:val="71A7DD08"/>
    <w:rsid w:val="71A853C8"/>
    <w:rsid w:val="71A88155"/>
    <w:rsid w:val="71AC653D"/>
    <w:rsid w:val="71AD2276"/>
    <w:rsid w:val="71ADAD05"/>
    <w:rsid w:val="71AE0867"/>
    <w:rsid w:val="71B00190"/>
    <w:rsid w:val="71B3CC98"/>
    <w:rsid w:val="71B6AB21"/>
    <w:rsid w:val="71B799C8"/>
    <w:rsid w:val="71B9EC79"/>
    <w:rsid w:val="71BB51BD"/>
    <w:rsid w:val="71BC9A9F"/>
    <w:rsid w:val="71BCFE0C"/>
    <w:rsid w:val="71BDB9B4"/>
    <w:rsid w:val="71C24FBA"/>
    <w:rsid w:val="71C36402"/>
    <w:rsid w:val="71C46DA2"/>
    <w:rsid w:val="71C4D5C3"/>
    <w:rsid w:val="71C52DE5"/>
    <w:rsid w:val="71C5AE37"/>
    <w:rsid w:val="71CB551A"/>
    <w:rsid w:val="71CCA9B3"/>
    <w:rsid w:val="71D12D17"/>
    <w:rsid w:val="71D2AC50"/>
    <w:rsid w:val="71D2B262"/>
    <w:rsid w:val="71D55CC6"/>
    <w:rsid w:val="71D61F0F"/>
    <w:rsid w:val="71D7633F"/>
    <w:rsid w:val="71D91589"/>
    <w:rsid w:val="71D92446"/>
    <w:rsid w:val="71DEBC65"/>
    <w:rsid w:val="71DF20DD"/>
    <w:rsid w:val="71E12ABE"/>
    <w:rsid w:val="71E18AFB"/>
    <w:rsid w:val="71E18F33"/>
    <w:rsid w:val="71E39F4E"/>
    <w:rsid w:val="71E5E821"/>
    <w:rsid w:val="71E8B25E"/>
    <w:rsid w:val="71EAF97D"/>
    <w:rsid w:val="71EC69DF"/>
    <w:rsid w:val="71EFA253"/>
    <w:rsid w:val="71F1FB96"/>
    <w:rsid w:val="71F2B763"/>
    <w:rsid w:val="71F2F30E"/>
    <w:rsid w:val="71F476CD"/>
    <w:rsid w:val="71F52E9E"/>
    <w:rsid w:val="71F67CFF"/>
    <w:rsid w:val="71F6F838"/>
    <w:rsid w:val="71FBB543"/>
    <w:rsid w:val="71FCC842"/>
    <w:rsid w:val="71FE2153"/>
    <w:rsid w:val="72015677"/>
    <w:rsid w:val="72024046"/>
    <w:rsid w:val="72036F93"/>
    <w:rsid w:val="7205F782"/>
    <w:rsid w:val="72094E85"/>
    <w:rsid w:val="720A55D0"/>
    <w:rsid w:val="720AC854"/>
    <w:rsid w:val="720F650F"/>
    <w:rsid w:val="720FE3F7"/>
    <w:rsid w:val="7211E504"/>
    <w:rsid w:val="721F064B"/>
    <w:rsid w:val="721F9A81"/>
    <w:rsid w:val="722026B3"/>
    <w:rsid w:val="72267A59"/>
    <w:rsid w:val="722738B8"/>
    <w:rsid w:val="72279A36"/>
    <w:rsid w:val="722BB54A"/>
    <w:rsid w:val="722E3058"/>
    <w:rsid w:val="72308F51"/>
    <w:rsid w:val="7230AA5B"/>
    <w:rsid w:val="7231C879"/>
    <w:rsid w:val="7233FDE4"/>
    <w:rsid w:val="72349298"/>
    <w:rsid w:val="7236DC91"/>
    <w:rsid w:val="7236FA0C"/>
    <w:rsid w:val="7238FA99"/>
    <w:rsid w:val="723B1EF1"/>
    <w:rsid w:val="723E92C9"/>
    <w:rsid w:val="7240EB94"/>
    <w:rsid w:val="724382DB"/>
    <w:rsid w:val="7245063A"/>
    <w:rsid w:val="72477F2E"/>
    <w:rsid w:val="7247A5DC"/>
    <w:rsid w:val="72497895"/>
    <w:rsid w:val="7249F380"/>
    <w:rsid w:val="724EABF9"/>
    <w:rsid w:val="725027C2"/>
    <w:rsid w:val="72522279"/>
    <w:rsid w:val="7252FD33"/>
    <w:rsid w:val="725B1E95"/>
    <w:rsid w:val="725C919E"/>
    <w:rsid w:val="72600BDC"/>
    <w:rsid w:val="7260F97D"/>
    <w:rsid w:val="7260FC4B"/>
    <w:rsid w:val="72616F65"/>
    <w:rsid w:val="7261B6CC"/>
    <w:rsid w:val="7264B183"/>
    <w:rsid w:val="7266A46B"/>
    <w:rsid w:val="7268CD29"/>
    <w:rsid w:val="726962C2"/>
    <w:rsid w:val="726BBAB3"/>
    <w:rsid w:val="726D44BB"/>
    <w:rsid w:val="726DD179"/>
    <w:rsid w:val="72763417"/>
    <w:rsid w:val="72763B96"/>
    <w:rsid w:val="7277CE16"/>
    <w:rsid w:val="7279E208"/>
    <w:rsid w:val="727E27AE"/>
    <w:rsid w:val="727E5448"/>
    <w:rsid w:val="7280158F"/>
    <w:rsid w:val="7280BD3A"/>
    <w:rsid w:val="72818A11"/>
    <w:rsid w:val="7282A508"/>
    <w:rsid w:val="72835C8E"/>
    <w:rsid w:val="72877DA3"/>
    <w:rsid w:val="7289019A"/>
    <w:rsid w:val="728902AB"/>
    <w:rsid w:val="728B1AE5"/>
    <w:rsid w:val="728B95AA"/>
    <w:rsid w:val="728E1271"/>
    <w:rsid w:val="72939094"/>
    <w:rsid w:val="72942158"/>
    <w:rsid w:val="72946417"/>
    <w:rsid w:val="7295E655"/>
    <w:rsid w:val="7296CD7B"/>
    <w:rsid w:val="7298834B"/>
    <w:rsid w:val="729C89E1"/>
    <w:rsid w:val="729CDBB9"/>
    <w:rsid w:val="72A063B6"/>
    <w:rsid w:val="72A867D1"/>
    <w:rsid w:val="72AD6C98"/>
    <w:rsid w:val="72B0D703"/>
    <w:rsid w:val="72B5E324"/>
    <w:rsid w:val="72B69993"/>
    <w:rsid w:val="72B95D5C"/>
    <w:rsid w:val="72BAD08A"/>
    <w:rsid w:val="72BE24E4"/>
    <w:rsid w:val="72BFB799"/>
    <w:rsid w:val="72C11A4E"/>
    <w:rsid w:val="72C14C66"/>
    <w:rsid w:val="72C409F4"/>
    <w:rsid w:val="72C50D83"/>
    <w:rsid w:val="72C52E0F"/>
    <w:rsid w:val="72C5D9BF"/>
    <w:rsid w:val="72C749A7"/>
    <w:rsid w:val="72CD8EFC"/>
    <w:rsid w:val="72CE5D53"/>
    <w:rsid w:val="72D039DF"/>
    <w:rsid w:val="72D7E59A"/>
    <w:rsid w:val="72D7E9DC"/>
    <w:rsid w:val="72D84DE4"/>
    <w:rsid w:val="72DA6D5C"/>
    <w:rsid w:val="72DA82D8"/>
    <w:rsid w:val="72DE43C9"/>
    <w:rsid w:val="72DF0F3F"/>
    <w:rsid w:val="72DF50D4"/>
    <w:rsid w:val="72DF7DFF"/>
    <w:rsid w:val="72E14167"/>
    <w:rsid w:val="72E189AB"/>
    <w:rsid w:val="72E3C9EF"/>
    <w:rsid w:val="72E7A33F"/>
    <w:rsid w:val="72EBD462"/>
    <w:rsid w:val="72ED25BB"/>
    <w:rsid w:val="72EFE6E4"/>
    <w:rsid w:val="72F20B60"/>
    <w:rsid w:val="72F43D49"/>
    <w:rsid w:val="72F65B6F"/>
    <w:rsid w:val="72F7B166"/>
    <w:rsid w:val="72F8641C"/>
    <w:rsid w:val="72F88568"/>
    <w:rsid w:val="72F89886"/>
    <w:rsid w:val="72F91033"/>
    <w:rsid w:val="72F92629"/>
    <w:rsid w:val="72FCB7D0"/>
    <w:rsid w:val="73020CF1"/>
    <w:rsid w:val="73042F7C"/>
    <w:rsid w:val="7305452B"/>
    <w:rsid w:val="73071171"/>
    <w:rsid w:val="730A5BAF"/>
    <w:rsid w:val="730B0A72"/>
    <w:rsid w:val="730B5AD5"/>
    <w:rsid w:val="730BCD37"/>
    <w:rsid w:val="730D52FB"/>
    <w:rsid w:val="7311745A"/>
    <w:rsid w:val="7312D894"/>
    <w:rsid w:val="73148874"/>
    <w:rsid w:val="7318972C"/>
    <w:rsid w:val="731C86BD"/>
    <w:rsid w:val="731D6936"/>
    <w:rsid w:val="7323FEE5"/>
    <w:rsid w:val="73244776"/>
    <w:rsid w:val="7325A197"/>
    <w:rsid w:val="732666A9"/>
    <w:rsid w:val="7326D415"/>
    <w:rsid w:val="7327F462"/>
    <w:rsid w:val="732B27E6"/>
    <w:rsid w:val="732DE977"/>
    <w:rsid w:val="732E3C66"/>
    <w:rsid w:val="732E9E95"/>
    <w:rsid w:val="733206E9"/>
    <w:rsid w:val="73382DD1"/>
    <w:rsid w:val="733A6C5A"/>
    <w:rsid w:val="733C6A0D"/>
    <w:rsid w:val="73408CFA"/>
    <w:rsid w:val="7341B2D2"/>
    <w:rsid w:val="7346000D"/>
    <w:rsid w:val="73482A24"/>
    <w:rsid w:val="7349D0C9"/>
    <w:rsid w:val="734B0D09"/>
    <w:rsid w:val="7350F8EB"/>
    <w:rsid w:val="7355E43A"/>
    <w:rsid w:val="7356541E"/>
    <w:rsid w:val="73570FA3"/>
    <w:rsid w:val="73593712"/>
    <w:rsid w:val="735E54C2"/>
    <w:rsid w:val="735E7052"/>
    <w:rsid w:val="73608D45"/>
    <w:rsid w:val="7365A96A"/>
    <w:rsid w:val="7365E938"/>
    <w:rsid w:val="7368331A"/>
    <w:rsid w:val="7369998B"/>
    <w:rsid w:val="736A0400"/>
    <w:rsid w:val="736DEA68"/>
    <w:rsid w:val="7370A090"/>
    <w:rsid w:val="737263CC"/>
    <w:rsid w:val="73744219"/>
    <w:rsid w:val="73777E11"/>
    <w:rsid w:val="73798880"/>
    <w:rsid w:val="737A6474"/>
    <w:rsid w:val="737B615C"/>
    <w:rsid w:val="737BC981"/>
    <w:rsid w:val="737CF328"/>
    <w:rsid w:val="737D22ED"/>
    <w:rsid w:val="737E438B"/>
    <w:rsid w:val="737FC450"/>
    <w:rsid w:val="73817CA6"/>
    <w:rsid w:val="7383758B"/>
    <w:rsid w:val="73838544"/>
    <w:rsid w:val="73839005"/>
    <w:rsid w:val="73859AED"/>
    <w:rsid w:val="73862214"/>
    <w:rsid w:val="7386C0A2"/>
    <w:rsid w:val="7389F253"/>
    <w:rsid w:val="738A8A4E"/>
    <w:rsid w:val="738AE972"/>
    <w:rsid w:val="738E4603"/>
    <w:rsid w:val="738EA2CD"/>
    <w:rsid w:val="73944721"/>
    <w:rsid w:val="73965987"/>
    <w:rsid w:val="7398CF57"/>
    <w:rsid w:val="739C3EC9"/>
    <w:rsid w:val="73A19395"/>
    <w:rsid w:val="73A29E23"/>
    <w:rsid w:val="73A4EEEB"/>
    <w:rsid w:val="73A59D0B"/>
    <w:rsid w:val="73A67BA6"/>
    <w:rsid w:val="73A757AC"/>
    <w:rsid w:val="73A9FC9D"/>
    <w:rsid w:val="73AA0C81"/>
    <w:rsid w:val="73B5B871"/>
    <w:rsid w:val="73B5C27B"/>
    <w:rsid w:val="73B7F049"/>
    <w:rsid w:val="73B98595"/>
    <w:rsid w:val="73BD159F"/>
    <w:rsid w:val="73BE9DCB"/>
    <w:rsid w:val="73BFAD01"/>
    <w:rsid w:val="73C17CDD"/>
    <w:rsid w:val="73C18C2D"/>
    <w:rsid w:val="73C21511"/>
    <w:rsid w:val="73C360EC"/>
    <w:rsid w:val="73C67746"/>
    <w:rsid w:val="73CB3AC2"/>
    <w:rsid w:val="73CD445E"/>
    <w:rsid w:val="73D16C53"/>
    <w:rsid w:val="73D317A8"/>
    <w:rsid w:val="73D744C1"/>
    <w:rsid w:val="73D83C99"/>
    <w:rsid w:val="73D944AA"/>
    <w:rsid w:val="73DAFA67"/>
    <w:rsid w:val="73DC9DF1"/>
    <w:rsid w:val="73DCE814"/>
    <w:rsid w:val="73E039A2"/>
    <w:rsid w:val="73E05A56"/>
    <w:rsid w:val="73E46CBD"/>
    <w:rsid w:val="73EB3F3D"/>
    <w:rsid w:val="73EB955A"/>
    <w:rsid w:val="73ECF987"/>
    <w:rsid w:val="73EF3579"/>
    <w:rsid w:val="73EF52D6"/>
    <w:rsid w:val="73F0614F"/>
    <w:rsid w:val="73F3A2A0"/>
    <w:rsid w:val="73F5259A"/>
    <w:rsid w:val="73F5DD6A"/>
    <w:rsid w:val="73F82D66"/>
    <w:rsid w:val="73FBF816"/>
    <w:rsid w:val="740034F8"/>
    <w:rsid w:val="7403ACE4"/>
    <w:rsid w:val="74044260"/>
    <w:rsid w:val="7405E817"/>
    <w:rsid w:val="7407E550"/>
    <w:rsid w:val="740AEF7C"/>
    <w:rsid w:val="740D97AA"/>
    <w:rsid w:val="74127413"/>
    <w:rsid w:val="741300CE"/>
    <w:rsid w:val="741BE2A7"/>
    <w:rsid w:val="741C568D"/>
    <w:rsid w:val="741DC8F5"/>
    <w:rsid w:val="7421707E"/>
    <w:rsid w:val="74273C4F"/>
    <w:rsid w:val="742B087B"/>
    <w:rsid w:val="742D25E6"/>
    <w:rsid w:val="742D517F"/>
    <w:rsid w:val="742D6400"/>
    <w:rsid w:val="7432ACEE"/>
    <w:rsid w:val="743758DB"/>
    <w:rsid w:val="7438124B"/>
    <w:rsid w:val="7438AEDC"/>
    <w:rsid w:val="7439952C"/>
    <w:rsid w:val="743AE8E6"/>
    <w:rsid w:val="743C40B2"/>
    <w:rsid w:val="743E4164"/>
    <w:rsid w:val="743F84CE"/>
    <w:rsid w:val="7443C8AE"/>
    <w:rsid w:val="74444473"/>
    <w:rsid w:val="7446D5BF"/>
    <w:rsid w:val="744915FC"/>
    <w:rsid w:val="744ACC9D"/>
    <w:rsid w:val="744AF5C1"/>
    <w:rsid w:val="744C04C1"/>
    <w:rsid w:val="744EE2EE"/>
    <w:rsid w:val="74509C95"/>
    <w:rsid w:val="74521704"/>
    <w:rsid w:val="74528944"/>
    <w:rsid w:val="7452EBE9"/>
    <w:rsid w:val="7454BEFA"/>
    <w:rsid w:val="7456655B"/>
    <w:rsid w:val="74594FF2"/>
    <w:rsid w:val="745E877A"/>
    <w:rsid w:val="745EC666"/>
    <w:rsid w:val="74622179"/>
    <w:rsid w:val="7464B34A"/>
    <w:rsid w:val="7466FE2D"/>
    <w:rsid w:val="7467C019"/>
    <w:rsid w:val="746C9FB1"/>
    <w:rsid w:val="746ECE05"/>
    <w:rsid w:val="747011E5"/>
    <w:rsid w:val="74758FA7"/>
    <w:rsid w:val="74768274"/>
    <w:rsid w:val="747CEBDC"/>
    <w:rsid w:val="747E5448"/>
    <w:rsid w:val="74829EFE"/>
    <w:rsid w:val="7483AC95"/>
    <w:rsid w:val="748469CD"/>
    <w:rsid w:val="74872453"/>
    <w:rsid w:val="7489B649"/>
    <w:rsid w:val="748A07D4"/>
    <w:rsid w:val="748C3D3B"/>
    <w:rsid w:val="74907CEE"/>
    <w:rsid w:val="749089A5"/>
    <w:rsid w:val="7493CF2F"/>
    <w:rsid w:val="74998497"/>
    <w:rsid w:val="749DC426"/>
    <w:rsid w:val="749EC7C0"/>
    <w:rsid w:val="749F8A20"/>
    <w:rsid w:val="74A1BF9A"/>
    <w:rsid w:val="74A59A57"/>
    <w:rsid w:val="74A6C618"/>
    <w:rsid w:val="74A7BAB2"/>
    <w:rsid w:val="74AA12A0"/>
    <w:rsid w:val="74AD4728"/>
    <w:rsid w:val="74AE348D"/>
    <w:rsid w:val="74AF064D"/>
    <w:rsid w:val="74AFD631"/>
    <w:rsid w:val="74B3034C"/>
    <w:rsid w:val="74B371E7"/>
    <w:rsid w:val="74B4EDAD"/>
    <w:rsid w:val="74B77FFB"/>
    <w:rsid w:val="74BAED7D"/>
    <w:rsid w:val="74C0A482"/>
    <w:rsid w:val="74C54630"/>
    <w:rsid w:val="74C59B35"/>
    <w:rsid w:val="74C8249F"/>
    <w:rsid w:val="74C8A610"/>
    <w:rsid w:val="74CD8CB0"/>
    <w:rsid w:val="74CDDA60"/>
    <w:rsid w:val="74CE1F8C"/>
    <w:rsid w:val="74CF9A8A"/>
    <w:rsid w:val="74CFA915"/>
    <w:rsid w:val="74D07EB6"/>
    <w:rsid w:val="74D238A6"/>
    <w:rsid w:val="74D51424"/>
    <w:rsid w:val="74D6B284"/>
    <w:rsid w:val="74DC961E"/>
    <w:rsid w:val="74DF358B"/>
    <w:rsid w:val="74E5EC65"/>
    <w:rsid w:val="74E6D29A"/>
    <w:rsid w:val="74E745B3"/>
    <w:rsid w:val="74E7FC60"/>
    <w:rsid w:val="74EB3917"/>
    <w:rsid w:val="74EDA601"/>
    <w:rsid w:val="74F0256A"/>
    <w:rsid w:val="74F0D386"/>
    <w:rsid w:val="74F1370C"/>
    <w:rsid w:val="74F933C3"/>
    <w:rsid w:val="74FC5453"/>
    <w:rsid w:val="74FE8ADC"/>
    <w:rsid w:val="7501FA1F"/>
    <w:rsid w:val="75026F83"/>
    <w:rsid w:val="750276A4"/>
    <w:rsid w:val="750820C6"/>
    <w:rsid w:val="7508B331"/>
    <w:rsid w:val="750DFA5A"/>
    <w:rsid w:val="750E0ED2"/>
    <w:rsid w:val="75106F59"/>
    <w:rsid w:val="75126745"/>
    <w:rsid w:val="751528EF"/>
    <w:rsid w:val="751AECA8"/>
    <w:rsid w:val="751BEB51"/>
    <w:rsid w:val="751D9FFF"/>
    <w:rsid w:val="751EF567"/>
    <w:rsid w:val="7522AD49"/>
    <w:rsid w:val="7522DE9C"/>
    <w:rsid w:val="7523C81C"/>
    <w:rsid w:val="75270BE2"/>
    <w:rsid w:val="75278CE3"/>
    <w:rsid w:val="75281B59"/>
    <w:rsid w:val="752B81D2"/>
    <w:rsid w:val="752C3F48"/>
    <w:rsid w:val="752D9557"/>
    <w:rsid w:val="752E0FC2"/>
    <w:rsid w:val="752F759A"/>
    <w:rsid w:val="75315990"/>
    <w:rsid w:val="75322571"/>
    <w:rsid w:val="75327610"/>
    <w:rsid w:val="75348199"/>
    <w:rsid w:val="7537AC97"/>
    <w:rsid w:val="75380130"/>
    <w:rsid w:val="753B3B29"/>
    <w:rsid w:val="753FE6FC"/>
    <w:rsid w:val="75442C0D"/>
    <w:rsid w:val="75449BDA"/>
    <w:rsid w:val="75453EE7"/>
    <w:rsid w:val="7545C2E9"/>
    <w:rsid w:val="75471B74"/>
    <w:rsid w:val="75480B46"/>
    <w:rsid w:val="754998DE"/>
    <w:rsid w:val="754BADBE"/>
    <w:rsid w:val="754BC742"/>
    <w:rsid w:val="754C0CF1"/>
    <w:rsid w:val="754DA845"/>
    <w:rsid w:val="754DC659"/>
    <w:rsid w:val="75516355"/>
    <w:rsid w:val="7553EBD3"/>
    <w:rsid w:val="75543E92"/>
    <w:rsid w:val="75546D7C"/>
    <w:rsid w:val="755D26A3"/>
    <w:rsid w:val="755D5E63"/>
    <w:rsid w:val="75610CE9"/>
    <w:rsid w:val="7561DBDC"/>
    <w:rsid w:val="75627896"/>
    <w:rsid w:val="75655E5F"/>
    <w:rsid w:val="75683BB3"/>
    <w:rsid w:val="75694263"/>
    <w:rsid w:val="756BED72"/>
    <w:rsid w:val="756C379A"/>
    <w:rsid w:val="75720FAF"/>
    <w:rsid w:val="7574038B"/>
    <w:rsid w:val="7574A43D"/>
    <w:rsid w:val="7574DE13"/>
    <w:rsid w:val="7576556A"/>
    <w:rsid w:val="757677AE"/>
    <w:rsid w:val="75782B9E"/>
    <w:rsid w:val="757831B9"/>
    <w:rsid w:val="75786D44"/>
    <w:rsid w:val="7578F918"/>
    <w:rsid w:val="75793AEC"/>
    <w:rsid w:val="7579854B"/>
    <w:rsid w:val="7579A6B9"/>
    <w:rsid w:val="757EEA9E"/>
    <w:rsid w:val="75800493"/>
    <w:rsid w:val="7580B22E"/>
    <w:rsid w:val="7580E2C8"/>
    <w:rsid w:val="7581EE98"/>
    <w:rsid w:val="75873FE9"/>
    <w:rsid w:val="758B1FBF"/>
    <w:rsid w:val="758D182C"/>
    <w:rsid w:val="758E10C7"/>
    <w:rsid w:val="758F3B8F"/>
    <w:rsid w:val="75944033"/>
    <w:rsid w:val="7595C796"/>
    <w:rsid w:val="7595D8BE"/>
    <w:rsid w:val="759ACA4A"/>
    <w:rsid w:val="759FFA16"/>
    <w:rsid w:val="75A013ED"/>
    <w:rsid w:val="75A2F0F7"/>
    <w:rsid w:val="75A47F58"/>
    <w:rsid w:val="75A67E7C"/>
    <w:rsid w:val="75A6FDC7"/>
    <w:rsid w:val="75A7E3DF"/>
    <w:rsid w:val="75AC3BE4"/>
    <w:rsid w:val="75AC53D7"/>
    <w:rsid w:val="75ADE0C5"/>
    <w:rsid w:val="75AF0F19"/>
    <w:rsid w:val="75B0812E"/>
    <w:rsid w:val="75B3AB69"/>
    <w:rsid w:val="75B6CA2D"/>
    <w:rsid w:val="75B729BB"/>
    <w:rsid w:val="75C16A68"/>
    <w:rsid w:val="75C7768A"/>
    <w:rsid w:val="75CA6FE6"/>
    <w:rsid w:val="75CCA025"/>
    <w:rsid w:val="75CE2FA3"/>
    <w:rsid w:val="75D15161"/>
    <w:rsid w:val="75D35AD5"/>
    <w:rsid w:val="75D444F8"/>
    <w:rsid w:val="75D5CE92"/>
    <w:rsid w:val="75D71F02"/>
    <w:rsid w:val="75DB8502"/>
    <w:rsid w:val="75DDC6BE"/>
    <w:rsid w:val="75DF496E"/>
    <w:rsid w:val="75E197F5"/>
    <w:rsid w:val="75E1FBD0"/>
    <w:rsid w:val="75E40CCC"/>
    <w:rsid w:val="75E67599"/>
    <w:rsid w:val="75E774AE"/>
    <w:rsid w:val="75E7DD67"/>
    <w:rsid w:val="75E88B9D"/>
    <w:rsid w:val="75EAAB31"/>
    <w:rsid w:val="75EBE31F"/>
    <w:rsid w:val="75EC8A1D"/>
    <w:rsid w:val="75F2B946"/>
    <w:rsid w:val="75FA6394"/>
    <w:rsid w:val="76008FEE"/>
    <w:rsid w:val="7602BDC4"/>
    <w:rsid w:val="760303F0"/>
    <w:rsid w:val="7604C2F5"/>
    <w:rsid w:val="76052A0F"/>
    <w:rsid w:val="760936CD"/>
    <w:rsid w:val="760E3102"/>
    <w:rsid w:val="760EFFB2"/>
    <w:rsid w:val="7610624E"/>
    <w:rsid w:val="761105A2"/>
    <w:rsid w:val="76155883"/>
    <w:rsid w:val="76175917"/>
    <w:rsid w:val="761907B0"/>
    <w:rsid w:val="761CC1BA"/>
    <w:rsid w:val="761CF56F"/>
    <w:rsid w:val="761D1BA8"/>
    <w:rsid w:val="761EBD57"/>
    <w:rsid w:val="7622101A"/>
    <w:rsid w:val="7623668D"/>
    <w:rsid w:val="7624ACE9"/>
    <w:rsid w:val="7626B5CD"/>
    <w:rsid w:val="7626C73D"/>
    <w:rsid w:val="76277AD7"/>
    <w:rsid w:val="7627F35B"/>
    <w:rsid w:val="762CC229"/>
    <w:rsid w:val="762E3E94"/>
    <w:rsid w:val="762E74AC"/>
    <w:rsid w:val="763078F7"/>
    <w:rsid w:val="76310714"/>
    <w:rsid w:val="7632B8F1"/>
    <w:rsid w:val="7636F728"/>
    <w:rsid w:val="7637DFEB"/>
    <w:rsid w:val="763E4738"/>
    <w:rsid w:val="763E7706"/>
    <w:rsid w:val="763EE620"/>
    <w:rsid w:val="764182EC"/>
    <w:rsid w:val="76437FE9"/>
    <w:rsid w:val="764663E2"/>
    <w:rsid w:val="765220F7"/>
    <w:rsid w:val="7654FA6A"/>
    <w:rsid w:val="7658C75B"/>
    <w:rsid w:val="765A049C"/>
    <w:rsid w:val="765B0D2E"/>
    <w:rsid w:val="76629CFA"/>
    <w:rsid w:val="76640173"/>
    <w:rsid w:val="76640DE4"/>
    <w:rsid w:val="76665B09"/>
    <w:rsid w:val="7666EFA1"/>
    <w:rsid w:val="7667CB27"/>
    <w:rsid w:val="76680AF7"/>
    <w:rsid w:val="7669C20E"/>
    <w:rsid w:val="766DADF9"/>
    <w:rsid w:val="766ED98D"/>
    <w:rsid w:val="76703317"/>
    <w:rsid w:val="7670404A"/>
    <w:rsid w:val="7671FC31"/>
    <w:rsid w:val="767225DB"/>
    <w:rsid w:val="7673DCAA"/>
    <w:rsid w:val="7677CB1E"/>
    <w:rsid w:val="7679386A"/>
    <w:rsid w:val="767A1594"/>
    <w:rsid w:val="768041A5"/>
    <w:rsid w:val="7682E95B"/>
    <w:rsid w:val="76831E71"/>
    <w:rsid w:val="7684224F"/>
    <w:rsid w:val="768B6EF7"/>
    <w:rsid w:val="768CA0E7"/>
    <w:rsid w:val="768E1BFF"/>
    <w:rsid w:val="768FE3AB"/>
    <w:rsid w:val="7691C767"/>
    <w:rsid w:val="7696B2B5"/>
    <w:rsid w:val="76973694"/>
    <w:rsid w:val="769D151A"/>
    <w:rsid w:val="76A3035A"/>
    <w:rsid w:val="76A5B754"/>
    <w:rsid w:val="76A70B0A"/>
    <w:rsid w:val="76AB6ACD"/>
    <w:rsid w:val="76AE0270"/>
    <w:rsid w:val="76AFA414"/>
    <w:rsid w:val="76AFB84A"/>
    <w:rsid w:val="76B6A6BA"/>
    <w:rsid w:val="76BAF08B"/>
    <w:rsid w:val="76BB7B21"/>
    <w:rsid w:val="76BBCDC1"/>
    <w:rsid w:val="76BCDC90"/>
    <w:rsid w:val="76BD4783"/>
    <w:rsid w:val="76C1A319"/>
    <w:rsid w:val="76C4D7C3"/>
    <w:rsid w:val="76C53EA1"/>
    <w:rsid w:val="76C57E22"/>
    <w:rsid w:val="76C5F02F"/>
    <w:rsid w:val="76C6CCEA"/>
    <w:rsid w:val="76C92DEE"/>
    <w:rsid w:val="76C9961E"/>
    <w:rsid w:val="76D00BBC"/>
    <w:rsid w:val="76D0D984"/>
    <w:rsid w:val="76D17F96"/>
    <w:rsid w:val="76D1B600"/>
    <w:rsid w:val="76D50940"/>
    <w:rsid w:val="76D6755F"/>
    <w:rsid w:val="76D6B67E"/>
    <w:rsid w:val="76DD1EC6"/>
    <w:rsid w:val="76DDC311"/>
    <w:rsid w:val="76DEDB39"/>
    <w:rsid w:val="76E2D480"/>
    <w:rsid w:val="76E51280"/>
    <w:rsid w:val="76E9755D"/>
    <w:rsid w:val="76EBBB84"/>
    <w:rsid w:val="76EC662E"/>
    <w:rsid w:val="76F0E599"/>
    <w:rsid w:val="76F3E12D"/>
    <w:rsid w:val="76F4F83E"/>
    <w:rsid w:val="76F77E50"/>
    <w:rsid w:val="76F951EE"/>
    <w:rsid w:val="76F972F7"/>
    <w:rsid w:val="76FA1502"/>
    <w:rsid w:val="76FD1FD9"/>
    <w:rsid w:val="76FFA5C3"/>
    <w:rsid w:val="76FFEBD9"/>
    <w:rsid w:val="76FFF4F5"/>
    <w:rsid w:val="770008BF"/>
    <w:rsid w:val="7703F296"/>
    <w:rsid w:val="7706BB09"/>
    <w:rsid w:val="7706CFA2"/>
    <w:rsid w:val="7708539B"/>
    <w:rsid w:val="770917E7"/>
    <w:rsid w:val="770B3E0F"/>
    <w:rsid w:val="770B98E4"/>
    <w:rsid w:val="770E8898"/>
    <w:rsid w:val="770E9267"/>
    <w:rsid w:val="770ECDB7"/>
    <w:rsid w:val="77103811"/>
    <w:rsid w:val="7710F584"/>
    <w:rsid w:val="7712A600"/>
    <w:rsid w:val="7712C1AD"/>
    <w:rsid w:val="771420FF"/>
    <w:rsid w:val="77149CC7"/>
    <w:rsid w:val="7717B9FA"/>
    <w:rsid w:val="77183D83"/>
    <w:rsid w:val="7719584E"/>
    <w:rsid w:val="771AB49A"/>
    <w:rsid w:val="771DB7EF"/>
    <w:rsid w:val="771E75FF"/>
    <w:rsid w:val="771E809D"/>
    <w:rsid w:val="77212C58"/>
    <w:rsid w:val="7724091D"/>
    <w:rsid w:val="772463CE"/>
    <w:rsid w:val="77272D78"/>
    <w:rsid w:val="772998E2"/>
    <w:rsid w:val="772E2222"/>
    <w:rsid w:val="772E924A"/>
    <w:rsid w:val="772ECA1F"/>
    <w:rsid w:val="772F65CC"/>
    <w:rsid w:val="772F8415"/>
    <w:rsid w:val="772FD721"/>
    <w:rsid w:val="7730CBB0"/>
    <w:rsid w:val="77315A45"/>
    <w:rsid w:val="77348FC3"/>
    <w:rsid w:val="7734F578"/>
    <w:rsid w:val="77371F0B"/>
    <w:rsid w:val="773892B4"/>
    <w:rsid w:val="7738A497"/>
    <w:rsid w:val="7740F3DF"/>
    <w:rsid w:val="7742F354"/>
    <w:rsid w:val="774365AE"/>
    <w:rsid w:val="7743FE96"/>
    <w:rsid w:val="7746D43E"/>
    <w:rsid w:val="774C0D3B"/>
    <w:rsid w:val="774D8237"/>
    <w:rsid w:val="774E6820"/>
    <w:rsid w:val="774FCA34"/>
    <w:rsid w:val="775297F1"/>
    <w:rsid w:val="7754E741"/>
    <w:rsid w:val="7755CD53"/>
    <w:rsid w:val="77561EF5"/>
    <w:rsid w:val="7756FE4B"/>
    <w:rsid w:val="775A7CC0"/>
    <w:rsid w:val="775BD616"/>
    <w:rsid w:val="775EDE58"/>
    <w:rsid w:val="775F8E6E"/>
    <w:rsid w:val="775FEC93"/>
    <w:rsid w:val="7760B553"/>
    <w:rsid w:val="7762C91B"/>
    <w:rsid w:val="77654D58"/>
    <w:rsid w:val="776604D4"/>
    <w:rsid w:val="7767FDC1"/>
    <w:rsid w:val="776DCF91"/>
    <w:rsid w:val="776ECD89"/>
    <w:rsid w:val="777081CF"/>
    <w:rsid w:val="7772A2E0"/>
    <w:rsid w:val="77779531"/>
    <w:rsid w:val="777A1F22"/>
    <w:rsid w:val="777A26B5"/>
    <w:rsid w:val="777B68EE"/>
    <w:rsid w:val="777B6B2C"/>
    <w:rsid w:val="777C88B3"/>
    <w:rsid w:val="777F44AF"/>
    <w:rsid w:val="777FD5C3"/>
    <w:rsid w:val="7784B4A1"/>
    <w:rsid w:val="77891D30"/>
    <w:rsid w:val="778941F7"/>
    <w:rsid w:val="778BD41E"/>
    <w:rsid w:val="778E2CAF"/>
    <w:rsid w:val="7790C933"/>
    <w:rsid w:val="7790F2E4"/>
    <w:rsid w:val="7794A683"/>
    <w:rsid w:val="779672FC"/>
    <w:rsid w:val="7797FAC6"/>
    <w:rsid w:val="779CAA07"/>
    <w:rsid w:val="779F2A9F"/>
    <w:rsid w:val="77A63F4A"/>
    <w:rsid w:val="77A6B262"/>
    <w:rsid w:val="77A8E01E"/>
    <w:rsid w:val="77AED632"/>
    <w:rsid w:val="77B00709"/>
    <w:rsid w:val="77B01D03"/>
    <w:rsid w:val="77B090B5"/>
    <w:rsid w:val="77B48BB2"/>
    <w:rsid w:val="77B61A65"/>
    <w:rsid w:val="77B64763"/>
    <w:rsid w:val="77B83B07"/>
    <w:rsid w:val="77BA6C2E"/>
    <w:rsid w:val="77BB4BFC"/>
    <w:rsid w:val="77C1E645"/>
    <w:rsid w:val="77C546B7"/>
    <w:rsid w:val="77C578A6"/>
    <w:rsid w:val="77C6CF78"/>
    <w:rsid w:val="77C8A08F"/>
    <w:rsid w:val="77CD2E09"/>
    <w:rsid w:val="77D1BFC3"/>
    <w:rsid w:val="77D6EF60"/>
    <w:rsid w:val="77D81949"/>
    <w:rsid w:val="77E4A05E"/>
    <w:rsid w:val="77E9E67A"/>
    <w:rsid w:val="77EA932B"/>
    <w:rsid w:val="77EB26A0"/>
    <w:rsid w:val="77EBAB66"/>
    <w:rsid w:val="77EBFC09"/>
    <w:rsid w:val="77EC8327"/>
    <w:rsid w:val="77EF8B96"/>
    <w:rsid w:val="77F006A1"/>
    <w:rsid w:val="77F55038"/>
    <w:rsid w:val="77F61EF5"/>
    <w:rsid w:val="77F8124A"/>
    <w:rsid w:val="77F825B2"/>
    <w:rsid w:val="77F876B1"/>
    <w:rsid w:val="77FBB6DD"/>
    <w:rsid w:val="77FE1253"/>
    <w:rsid w:val="77FEAE51"/>
    <w:rsid w:val="77FFB22E"/>
    <w:rsid w:val="780074C2"/>
    <w:rsid w:val="78010AC7"/>
    <w:rsid w:val="7804C60B"/>
    <w:rsid w:val="78075D97"/>
    <w:rsid w:val="78093139"/>
    <w:rsid w:val="780A0B49"/>
    <w:rsid w:val="780B2A6B"/>
    <w:rsid w:val="780BE492"/>
    <w:rsid w:val="780C0F4A"/>
    <w:rsid w:val="780C4BC1"/>
    <w:rsid w:val="780CD746"/>
    <w:rsid w:val="780D18FA"/>
    <w:rsid w:val="780D2EC7"/>
    <w:rsid w:val="780FF8C7"/>
    <w:rsid w:val="78104868"/>
    <w:rsid w:val="7814A7D6"/>
    <w:rsid w:val="7814E528"/>
    <w:rsid w:val="781562B3"/>
    <w:rsid w:val="7818C909"/>
    <w:rsid w:val="781999C9"/>
    <w:rsid w:val="781A2E0E"/>
    <w:rsid w:val="781BE10F"/>
    <w:rsid w:val="781D9F71"/>
    <w:rsid w:val="781E37AE"/>
    <w:rsid w:val="781FE523"/>
    <w:rsid w:val="78226BC6"/>
    <w:rsid w:val="78264D44"/>
    <w:rsid w:val="7827A3FC"/>
    <w:rsid w:val="78293A56"/>
    <w:rsid w:val="782A6A4C"/>
    <w:rsid w:val="782A8917"/>
    <w:rsid w:val="782BCA86"/>
    <w:rsid w:val="78300E5A"/>
    <w:rsid w:val="7831C291"/>
    <w:rsid w:val="7833A017"/>
    <w:rsid w:val="783626EB"/>
    <w:rsid w:val="78384C65"/>
    <w:rsid w:val="7838A5C0"/>
    <w:rsid w:val="783A0A4A"/>
    <w:rsid w:val="783C4979"/>
    <w:rsid w:val="783ED9B8"/>
    <w:rsid w:val="78409391"/>
    <w:rsid w:val="7841C8AD"/>
    <w:rsid w:val="7842244F"/>
    <w:rsid w:val="78430248"/>
    <w:rsid w:val="78433AB0"/>
    <w:rsid w:val="78462E19"/>
    <w:rsid w:val="78469A5B"/>
    <w:rsid w:val="7846D795"/>
    <w:rsid w:val="7849A124"/>
    <w:rsid w:val="784A431E"/>
    <w:rsid w:val="784BA312"/>
    <w:rsid w:val="784CFD09"/>
    <w:rsid w:val="784F30D2"/>
    <w:rsid w:val="7850BB4E"/>
    <w:rsid w:val="78553E8B"/>
    <w:rsid w:val="7856D642"/>
    <w:rsid w:val="78590432"/>
    <w:rsid w:val="785D608B"/>
    <w:rsid w:val="785D728F"/>
    <w:rsid w:val="78619E90"/>
    <w:rsid w:val="7862E8AC"/>
    <w:rsid w:val="7862FE53"/>
    <w:rsid w:val="7864E7D9"/>
    <w:rsid w:val="786A0250"/>
    <w:rsid w:val="786D2EA7"/>
    <w:rsid w:val="78714CBE"/>
    <w:rsid w:val="787206C1"/>
    <w:rsid w:val="787352CC"/>
    <w:rsid w:val="7879CBDC"/>
    <w:rsid w:val="7879D39D"/>
    <w:rsid w:val="787C5C42"/>
    <w:rsid w:val="787CC728"/>
    <w:rsid w:val="7880976B"/>
    <w:rsid w:val="7882F0B5"/>
    <w:rsid w:val="788365D5"/>
    <w:rsid w:val="7885208D"/>
    <w:rsid w:val="7885899C"/>
    <w:rsid w:val="7886C519"/>
    <w:rsid w:val="788E1794"/>
    <w:rsid w:val="788F6DF4"/>
    <w:rsid w:val="78905BD0"/>
    <w:rsid w:val="789299AC"/>
    <w:rsid w:val="78944BCF"/>
    <w:rsid w:val="7896D9DE"/>
    <w:rsid w:val="7898BC28"/>
    <w:rsid w:val="78992F25"/>
    <w:rsid w:val="7899512A"/>
    <w:rsid w:val="789A76F0"/>
    <w:rsid w:val="789B968B"/>
    <w:rsid w:val="789BD316"/>
    <w:rsid w:val="789DAC5E"/>
    <w:rsid w:val="78A2D723"/>
    <w:rsid w:val="78A8865D"/>
    <w:rsid w:val="78A8C486"/>
    <w:rsid w:val="78A99B8A"/>
    <w:rsid w:val="78AA7ED4"/>
    <w:rsid w:val="78AA99DE"/>
    <w:rsid w:val="78AAE48F"/>
    <w:rsid w:val="78AB540A"/>
    <w:rsid w:val="78AC7BB0"/>
    <w:rsid w:val="78AF26D7"/>
    <w:rsid w:val="78AF8CD7"/>
    <w:rsid w:val="78B5AF31"/>
    <w:rsid w:val="78BAE215"/>
    <w:rsid w:val="78BE1091"/>
    <w:rsid w:val="78BF0A97"/>
    <w:rsid w:val="78BF6EE4"/>
    <w:rsid w:val="78C0FA4D"/>
    <w:rsid w:val="78C2F55A"/>
    <w:rsid w:val="78C5DE69"/>
    <w:rsid w:val="78CAA40F"/>
    <w:rsid w:val="78CBD144"/>
    <w:rsid w:val="78CDB1FF"/>
    <w:rsid w:val="78D13B07"/>
    <w:rsid w:val="78D2FC3D"/>
    <w:rsid w:val="78D6C0F4"/>
    <w:rsid w:val="78D6DF78"/>
    <w:rsid w:val="78D9C82E"/>
    <w:rsid w:val="78D9F401"/>
    <w:rsid w:val="78E0553B"/>
    <w:rsid w:val="78E2586F"/>
    <w:rsid w:val="78E4F171"/>
    <w:rsid w:val="78E98C35"/>
    <w:rsid w:val="78EA06B1"/>
    <w:rsid w:val="78EA4DC3"/>
    <w:rsid w:val="78EC9817"/>
    <w:rsid w:val="78F45092"/>
    <w:rsid w:val="78F564F8"/>
    <w:rsid w:val="78F7FA02"/>
    <w:rsid w:val="78F9E2EC"/>
    <w:rsid w:val="78FB630F"/>
    <w:rsid w:val="78FBEB53"/>
    <w:rsid w:val="78FDCC7F"/>
    <w:rsid w:val="78FF7FF5"/>
    <w:rsid w:val="7902C3F1"/>
    <w:rsid w:val="7902D62C"/>
    <w:rsid w:val="79058375"/>
    <w:rsid w:val="7908EDEC"/>
    <w:rsid w:val="79095E6E"/>
    <w:rsid w:val="790D9178"/>
    <w:rsid w:val="79112D66"/>
    <w:rsid w:val="79114225"/>
    <w:rsid w:val="7916F17F"/>
    <w:rsid w:val="79175E4D"/>
    <w:rsid w:val="791B45EA"/>
    <w:rsid w:val="791C300B"/>
    <w:rsid w:val="791EBBE4"/>
    <w:rsid w:val="7922208E"/>
    <w:rsid w:val="7922680C"/>
    <w:rsid w:val="7922DD64"/>
    <w:rsid w:val="7922E862"/>
    <w:rsid w:val="7930523A"/>
    <w:rsid w:val="793135F1"/>
    <w:rsid w:val="793337B4"/>
    <w:rsid w:val="79335AA4"/>
    <w:rsid w:val="79338787"/>
    <w:rsid w:val="7939FEC9"/>
    <w:rsid w:val="793B185A"/>
    <w:rsid w:val="793B954C"/>
    <w:rsid w:val="79404F1E"/>
    <w:rsid w:val="7943547F"/>
    <w:rsid w:val="79474060"/>
    <w:rsid w:val="7949CFBD"/>
    <w:rsid w:val="794E23C8"/>
    <w:rsid w:val="794F6582"/>
    <w:rsid w:val="794FBF56"/>
    <w:rsid w:val="79526716"/>
    <w:rsid w:val="7952F053"/>
    <w:rsid w:val="795B678E"/>
    <w:rsid w:val="795C256D"/>
    <w:rsid w:val="795C7AB4"/>
    <w:rsid w:val="795DB687"/>
    <w:rsid w:val="795ED412"/>
    <w:rsid w:val="79629B48"/>
    <w:rsid w:val="7964AF63"/>
    <w:rsid w:val="796535F9"/>
    <w:rsid w:val="79674790"/>
    <w:rsid w:val="796C3CD8"/>
    <w:rsid w:val="796F756C"/>
    <w:rsid w:val="79734FF8"/>
    <w:rsid w:val="79748CD8"/>
    <w:rsid w:val="7974CE75"/>
    <w:rsid w:val="7974F2B8"/>
    <w:rsid w:val="797899E5"/>
    <w:rsid w:val="79790AD3"/>
    <w:rsid w:val="797A7B19"/>
    <w:rsid w:val="797B37AC"/>
    <w:rsid w:val="797BFFA7"/>
    <w:rsid w:val="797C1E7E"/>
    <w:rsid w:val="797E5195"/>
    <w:rsid w:val="797F5925"/>
    <w:rsid w:val="797F8BA4"/>
    <w:rsid w:val="79848693"/>
    <w:rsid w:val="7988EE01"/>
    <w:rsid w:val="79892EF6"/>
    <w:rsid w:val="7989EC2D"/>
    <w:rsid w:val="798FF5BA"/>
    <w:rsid w:val="7990972C"/>
    <w:rsid w:val="7990D726"/>
    <w:rsid w:val="79950C0B"/>
    <w:rsid w:val="79954914"/>
    <w:rsid w:val="7996C070"/>
    <w:rsid w:val="799773FD"/>
    <w:rsid w:val="79989694"/>
    <w:rsid w:val="7998EFC8"/>
    <w:rsid w:val="799A5FD3"/>
    <w:rsid w:val="799FB443"/>
    <w:rsid w:val="79A06366"/>
    <w:rsid w:val="79A3EAE5"/>
    <w:rsid w:val="79A3F9DC"/>
    <w:rsid w:val="79A8DAA1"/>
    <w:rsid w:val="79AA1D8A"/>
    <w:rsid w:val="79AAD2E5"/>
    <w:rsid w:val="79AC4AEF"/>
    <w:rsid w:val="79AC9EAA"/>
    <w:rsid w:val="79AD3960"/>
    <w:rsid w:val="79ADBA24"/>
    <w:rsid w:val="79B07C84"/>
    <w:rsid w:val="79B449C1"/>
    <w:rsid w:val="79BC9F17"/>
    <w:rsid w:val="79BD9E3B"/>
    <w:rsid w:val="79C15CF0"/>
    <w:rsid w:val="79C3610B"/>
    <w:rsid w:val="79C8295F"/>
    <w:rsid w:val="79C84065"/>
    <w:rsid w:val="79C87536"/>
    <w:rsid w:val="79C87B9F"/>
    <w:rsid w:val="79C97E29"/>
    <w:rsid w:val="79D156C4"/>
    <w:rsid w:val="79D15D63"/>
    <w:rsid w:val="79D6839F"/>
    <w:rsid w:val="79D79A85"/>
    <w:rsid w:val="79D7BD11"/>
    <w:rsid w:val="79D8D4F9"/>
    <w:rsid w:val="79DA0EEA"/>
    <w:rsid w:val="79DA2E6A"/>
    <w:rsid w:val="79DF0020"/>
    <w:rsid w:val="79E75B0F"/>
    <w:rsid w:val="79EA8176"/>
    <w:rsid w:val="79ED023D"/>
    <w:rsid w:val="79F1A8AA"/>
    <w:rsid w:val="79F20C3C"/>
    <w:rsid w:val="79F2114D"/>
    <w:rsid w:val="79F70076"/>
    <w:rsid w:val="79F7B9D2"/>
    <w:rsid w:val="79F7D990"/>
    <w:rsid w:val="79F90B30"/>
    <w:rsid w:val="79FA1243"/>
    <w:rsid w:val="79FAB9D0"/>
    <w:rsid w:val="79FBB0EA"/>
    <w:rsid w:val="79FBC8D6"/>
    <w:rsid w:val="79FCFF53"/>
    <w:rsid w:val="7A020583"/>
    <w:rsid w:val="7A02067F"/>
    <w:rsid w:val="7A0244DE"/>
    <w:rsid w:val="7A037AAE"/>
    <w:rsid w:val="7A05220A"/>
    <w:rsid w:val="7A06C2BA"/>
    <w:rsid w:val="7A07DC18"/>
    <w:rsid w:val="7A085F42"/>
    <w:rsid w:val="7A0990BA"/>
    <w:rsid w:val="7A0DBD32"/>
    <w:rsid w:val="7A0E0D0B"/>
    <w:rsid w:val="7A12B44D"/>
    <w:rsid w:val="7A146233"/>
    <w:rsid w:val="7A16EE0C"/>
    <w:rsid w:val="7A188675"/>
    <w:rsid w:val="7A200069"/>
    <w:rsid w:val="7A218355"/>
    <w:rsid w:val="7A2190CD"/>
    <w:rsid w:val="7A254E6A"/>
    <w:rsid w:val="7A25E6E0"/>
    <w:rsid w:val="7A25F677"/>
    <w:rsid w:val="7A277532"/>
    <w:rsid w:val="7A2791B5"/>
    <w:rsid w:val="7A27BAB2"/>
    <w:rsid w:val="7A2C1E76"/>
    <w:rsid w:val="7A30A772"/>
    <w:rsid w:val="7A31E9A5"/>
    <w:rsid w:val="7A32FB97"/>
    <w:rsid w:val="7A333800"/>
    <w:rsid w:val="7A349A90"/>
    <w:rsid w:val="7A34C5FE"/>
    <w:rsid w:val="7A37B405"/>
    <w:rsid w:val="7A39A6F3"/>
    <w:rsid w:val="7A3A40E1"/>
    <w:rsid w:val="7A3B0B49"/>
    <w:rsid w:val="7A3BD9FE"/>
    <w:rsid w:val="7A3C4C50"/>
    <w:rsid w:val="7A3CDA00"/>
    <w:rsid w:val="7A43B7BD"/>
    <w:rsid w:val="7A444AAE"/>
    <w:rsid w:val="7A457DF6"/>
    <w:rsid w:val="7A46A9DC"/>
    <w:rsid w:val="7A4823AB"/>
    <w:rsid w:val="7A4A3917"/>
    <w:rsid w:val="7A4E25C3"/>
    <w:rsid w:val="7A52690F"/>
    <w:rsid w:val="7A590D69"/>
    <w:rsid w:val="7A595598"/>
    <w:rsid w:val="7A5A0787"/>
    <w:rsid w:val="7A5A2472"/>
    <w:rsid w:val="7A5BB987"/>
    <w:rsid w:val="7A5D34EE"/>
    <w:rsid w:val="7A5F763A"/>
    <w:rsid w:val="7A5F8462"/>
    <w:rsid w:val="7A628D92"/>
    <w:rsid w:val="7A66CE1D"/>
    <w:rsid w:val="7A691911"/>
    <w:rsid w:val="7A6ACB48"/>
    <w:rsid w:val="7A6D6407"/>
    <w:rsid w:val="7A739CEB"/>
    <w:rsid w:val="7A7482F7"/>
    <w:rsid w:val="7A750407"/>
    <w:rsid w:val="7A772895"/>
    <w:rsid w:val="7A7796E4"/>
    <w:rsid w:val="7A7C6D6D"/>
    <w:rsid w:val="7A7F4EB0"/>
    <w:rsid w:val="7A810668"/>
    <w:rsid w:val="7A822163"/>
    <w:rsid w:val="7A825647"/>
    <w:rsid w:val="7A82CCA7"/>
    <w:rsid w:val="7A84E9A7"/>
    <w:rsid w:val="7A864ABE"/>
    <w:rsid w:val="7A86D375"/>
    <w:rsid w:val="7A87D3B3"/>
    <w:rsid w:val="7A895B16"/>
    <w:rsid w:val="7A89C246"/>
    <w:rsid w:val="7A8C94D0"/>
    <w:rsid w:val="7A8E5A61"/>
    <w:rsid w:val="7A8E6FC0"/>
    <w:rsid w:val="7A8F4A9B"/>
    <w:rsid w:val="7A8FA010"/>
    <w:rsid w:val="7A924E1C"/>
    <w:rsid w:val="7A95427E"/>
    <w:rsid w:val="7A9778F6"/>
    <w:rsid w:val="7A984A7A"/>
    <w:rsid w:val="7A9974FD"/>
    <w:rsid w:val="7A998E2F"/>
    <w:rsid w:val="7A9A29A4"/>
    <w:rsid w:val="7A9A37A7"/>
    <w:rsid w:val="7A9B9A01"/>
    <w:rsid w:val="7A9BC885"/>
    <w:rsid w:val="7AA26780"/>
    <w:rsid w:val="7AA4E278"/>
    <w:rsid w:val="7AA541A5"/>
    <w:rsid w:val="7AA640F8"/>
    <w:rsid w:val="7AA90063"/>
    <w:rsid w:val="7AB13F63"/>
    <w:rsid w:val="7AB57217"/>
    <w:rsid w:val="7AB679C1"/>
    <w:rsid w:val="7ABB381A"/>
    <w:rsid w:val="7ABB449E"/>
    <w:rsid w:val="7ABBD7D7"/>
    <w:rsid w:val="7ABEE580"/>
    <w:rsid w:val="7AC79944"/>
    <w:rsid w:val="7AD2C511"/>
    <w:rsid w:val="7AD8FB1C"/>
    <w:rsid w:val="7ADBBD06"/>
    <w:rsid w:val="7ADD3100"/>
    <w:rsid w:val="7AE3AD9F"/>
    <w:rsid w:val="7AE5C3E2"/>
    <w:rsid w:val="7AE7B711"/>
    <w:rsid w:val="7AEB7380"/>
    <w:rsid w:val="7AEE51C7"/>
    <w:rsid w:val="7AEE99BC"/>
    <w:rsid w:val="7AEF34A7"/>
    <w:rsid w:val="7AF010E0"/>
    <w:rsid w:val="7AF11A1F"/>
    <w:rsid w:val="7AF16C58"/>
    <w:rsid w:val="7AF1CC59"/>
    <w:rsid w:val="7AF39043"/>
    <w:rsid w:val="7AF66687"/>
    <w:rsid w:val="7AF67152"/>
    <w:rsid w:val="7AF9A627"/>
    <w:rsid w:val="7AFA8AFF"/>
    <w:rsid w:val="7AFF5293"/>
    <w:rsid w:val="7B0111E7"/>
    <w:rsid w:val="7B044B94"/>
    <w:rsid w:val="7B058139"/>
    <w:rsid w:val="7B083632"/>
    <w:rsid w:val="7B095A18"/>
    <w:rsid w:val="7B0F9C60"/>
    <w:rsid w:val="7B10A5A8"/>
    <w:rsid w:val="7B11149E"/>
    <w:rsid w:val="7B176351"/>
    <w:rsid w:val="7B191BC3"/>
    <w:rsid w:val="7B1B1598"/>
    <w:rsid w:val="7B1B3F4D"/>
    <w:rsid w:val="7B1CF3A3"/>
    <w:rsid w:val="7B1CFDF4"/>
    <w:rsid w:val="7B1D785F"/>
    <w:rsid w:val="7B1E7D26"/>
    <w:rsid w:val="7B201A7D"/>
    <w:rsid w:val="7B23118A"/>
    <w:rsid w:val="7B232EC0"/>
    <w:rsid w:val="7B284809"/>
    <w:rsid w:val="7B298AA5"/>
    <w:rsid w:val="7B2C8B08"/>
    <w:rsid w:val="7B2CA41E"/>
    <w:rsid w:val="7B2E84B5"/>
    <w:rsid w:val="7B3342AE"/>
    <w:rsid w:val="7B34D4D6"/>
    <w:rsid w:val="7B385A20"/>
    <w:rsid w:val="7B3AB87B"/>
    <w:rsid w:val="7B4238EB"/>
    <w:rsid w:val="7B43A3BE"/>
    <w:rsid w:val="7B445728"/>
    <w:rsid w:val="7B451E13"/>
    <w:rsid w:val="7B461300"/>
    <w:rsid w:val="7B4656F5"/>
    <w:rsid w:val="7B46E9BD"/>
    <w:rsid w:val="7B4808D8"/>
    <w:rsid w:val="7B48CBAD"/>
    <w:rsid w:val="7B4999D7"/>
    <w:rsid w:val="7B49FE5E"/>
    <w:rsid w:val="7B5141DD"/>
    <w:rsid w:val="7B532E45"/>
    <w:rsid w:val="7B54339B"/>
    <w:rsid w:val="7B55AFE3"/>
    <w:rsid w:val="7B5A1BA9"/>
    <w:rsid w:val="7B5B8257"/>
    <w:rsid w:val="7B5FF5AF"/>
    <w:rsid w:val="7B6005D0"/>
    <w:rsid w:val="7B63E81B"/>
    <w:rsid w:val="7B6462E9"/>
    <w:rsid w:val="7B67AA98"/>
    <w:rsid w:val="7B6B02B6"/>
    <w:rsid w:val="7B6D175B"/>
    <w:rsid w:val="7B6F73A1"/>
    <w:rsid w:val="7B717FEC"/>
    <w:rsid w:val="7B71C611"/>
    <w:rsid w:val="7B7422A7"/>
    <w:rsid w:val="7B756812"/>
    <w:rsid w:val="7B75C957"/>
    <w:rsid w:val="7B76267C"/>
    <w:rsid w:val="7B76C4B4"/>
    <w:rsid w:val="7B79705D"/>
    <w:rsid w:val="7B797BA9"/>
    <w:rsid w:val="7B7ABCF7"/>
    <w:rsid w:val="7B7B92CA"/>
    <w:rsid w:val="7B7FFF58"/>
    <w:rsid w:val="7B805078"/>
    <w:rsid w:val="7B809C60"/>
    <w:rsid w:val="7B8144B3"/>
    <w:rsid w:val="7B830E5F"/>
    <w:rsid w:val="7B83B40F"/>
    <w:rsid w:val="7B8788D9"/>
    <w:rsid w:val="7B899089"/>
    <w:rsid w:val="7B8A5BC1"/>
    <w:rsid w:val="7B8BEAE4"/>
    <w:rsid w:val="7B8D6760"/>
    <w:rsid w:val="7B8DE8B4"/>
    <w:rsid w:val="7B91DCA9"/>
    <w:rsid w:val="7B93A444"/>
    <w:rsid w:val="7B9530A6"/>
    <w:rsid w:val="7B95487F"/>
    <w:rsid w:val="7B96E926"/>
    <w:rsid w:val="7B972E8E"/>
    <w:rsid w:val="7B99A361"/>
    <w:rsid w:val="7B9BD1A6"/>
    <w:rsid w:val="7B9DDBFE"/>
    <w:rsid w:val="7B9F4646"/>
    <w:rsid w:val="7B9F6AA5"/>
    <w:rsid w:val="7BA7260B"/>
    <w:rsid w:val="7BA75CEE"/>
    <w:rsid w:val="7BA79F98"/>
    <w:rsid w:val="7BA88BD9"/>
    <w:rsid w:val="7BA8EF5E"/>
    <w:rsid w:val="7BA9B82E"/>
    <w:rsid w:val="7BB19BFB"/>
    <w:rsid w:val="7BB204A8"/>
    <w:rsid w:val="7BB2FA15"/>
    <w:rsid w:val="7BB300B6"/>
    <w:rsid w:val="7BB40B6C"/>
    <w:rsid w:val="7BB4F37D"/>
    <w:rsid w:val="7BB5CF54"/>
    <w:rsid w:val="7BB6E5EB"/>
    <w:rsid w:val="7BB81791"/>
    <w:rsid w:val="7BBAE7B0"/>
    <w:rsid w:val="7BBE4B24"/>
    <w:rsid w:val="7BBEED3F"/>
    <w:rsid w:val="7BBF7FD9"/>
    <w:rsid w:val="7BC33C4B"/>
    <w:rsid w:val="7BC454D2"/>
    <w:rsid w:val="7BC4BB8B"/>
    <w:rsid w:val="7BC76C0A"/>
    <w:rsid w:val="7BC837B0"/>
    <w:rsid w:val="7BC983B2"/>
    <w:rsid w:val="7BC9C68C"/>
    <w:rsid w:val="7BCA6EA8"/>
    <w:rsid w:val="7BCF2139"/>
    <w:rsid w:val="7BD33659"/>
    <w:rsid w:val="7BD6B739"/>
    <w:rsid w:val="7BD6D523"/>
    <w:rsid w:val="7BD7DFB8"/>
    <w:rsid w:val="7BD95EFF"/>
    <w:rsid w:val="7BD9FCE8"/>
    <w:rsid w:val="7BDB8370"/>
    <w:rsid w:val="7BDBB757"/>
    <w:rsid w:val="7BDCFBE5"/>
    <w:rsid w:val="7BDEA4FC"/>
    <w:rsid w:val="7BE1CE96"/>
    <w:rsid w:val="7BE3051F"/>
    <w:rsid w:val="7BE41390"/>
    <w:rsid w:val="7BE807E0"/>
    <w:rsid w:val="7BEF39CB"/>
    <w:rsid w:val="7BF02EE2"/>
    <w:rsid w:val="7BF1218D"/>
    <w:rsid w:val="7BF646DB"/>
    <w:rsid w:val="7BF6697E"/>
    <w:rsid w:val="7BF68EE0"/>
    <w:rsid w:val="7BFAE9FC"/>
    <w:rsid w:val="7BFB8B12"/>
    <w:rsid w:val="7C074783"/>
    <w:rsid w:val="7C09DD84"/>
    <w:rsid w:val="7C0A31D8"/>
    <w:rsid w:val="7C0A5FF3"/>
    <w:rsid w:val="7C0B54DE"/>
    <w:rsid w:val="7C0C335C"/>
    <w:rsid w:val="7C0D303C"/>
    <w:rsid w:val="7C0E2EA2"/>
    <w:rsid w:val="7C1007FF"/>
    <w:rsid w:val="7C14ED08"/>
    <w:rsid w:val="7C1657BA"/>
    <w:rsid w:val="7C195BF4"/>
    <w:rsid w:val="7C1BB75F"/>
    <w:rsid w:val="7C1D4F9D"/>
    <w:rsid w:val="7C222729"/>
    <w:rsid w:val="7C250897"/>
    <w:rsid w:val="7C26AF9A"/>
    <w:rsid w:val="7C26F358"/>
    <w:rsid w:val="7C279880"/>
    <w:rsid w:val="7C298FAE"/>
    <w:rsid w:val="7C314F06"/>
    <w:rsid w:val="7C37221B"/>
    <w:rsid w:val="7C373D65"/>
    <w:rsid w:val="7C3757FC"/>
    <w:rsid w:val="7C37BAA4"/>
    <w:rsid w:val="7C37F02A"/>
    <w:rsid w:val="7C39E120"/>
    <w:rsid w:val="7C3C61F9"/>
    <w:rsid w:val="7C3DA56E"/>
    <w:rsid w:val="7C3F68A0"/>
    <w:rsid w:val="7C3F9939"/>
    <w:rsid w:val="7C44FC06"/>
    <w:rsid w:val="7C483DC0"/>
    <w:rsid w:val="7C49D13A"/>
    <w:rsid w:val="7C4D0C85"/>
    <w:rsid w:val="7C52D7D8"/>
    <w:rsid w:val="7C549656"/>
    <w:rsid w:val="7C56A32B"/>
    <w:rsid w:val="7C5C59AD"/>
    <w:rsid w:val="7C600F65"/>
    <w:rsid w:val="7C63E2FB"/>
    <w:rsid w:val="7C641C07"/>
    <w:rsid w:val="7C674718"/>
    <w:rsid w:val="7C683A78"/>
    <w:rsid w:val="7C6D9B2B"/>
    <w:rsid w:val="7C6DA8D2"/>
    <w:rsid w:val="7C7159C7"/>
    <w:rsid w:val="7C7A8265"/>
    <w:rsid w:val="7C7D22DE"/>
    <w:rsid w:val="7C829663"/>
    <w:rsid w:val="7C846456"/>
    <w:rsid w:val="7C8502A0"/>
    <w:rsid w:val="7C863085"/>
    <w:rsid w:val="7C87974C"/>
    <w:rsid w:val="7C87B64D"/>
    <w:rsid w:val="7C87D213"/>
    <w:rsid w:val="7C8BA9EC"/>
    <w:rsid w:val="7C8BE5D6"/>
    <w:rsid w:val="7C8CEB72"/>
    <w:rsid w:val="7C8D6F6F"/>
    <w:rsid w:val="7C8DF13C"/>
    <w:rsid w:val="7C8E8085"/>
    <w:rsid w:val="7C92D5F6"/>
    <w:rsid w:val="7C956830"/>
    <w:rsid w:val="7C962304"/>
    <w:rsid w:val="7C9DF2D5"/>
    <w:rsid w:val="7CA76B01"/>
    <w:rsid w:val="7CA9A1FB"/>
    <w:rsid w:val="7CA9E86F"/>
    <w:rsid w:val="7CABA683"/>
    <w:rsid w:val="7CAC2A1B"/>
    <w:rsid w:val="7CADE116"/>
    <w:rsid w:val="7CAF04EE"/>
    <w:rsid w:val="7CAF3BD1"/>
    <w:rsid w:val="7CAFF355"/>
    <w:rsid w:val="7CB109CF"/>
    <w:rsid w:val="7CB1D267"/>
    <w:rsid w:val="7CB7E5C6"/>
    <w:rsid w:val="7CB8E5C6"/>
    <w:rsid w:val="7CBB4799"/>
    <w:rsid w:val="7CBCD1CB"/>
    <w:rsid w:val="7CC37BCC"/>
    <w:rsid w:val="7CC43701"/>
    <w:rsid w:val="7CCA4E32"/>
    <w:rsid w:val="7CD11F15"/>
    <w:rsid w:val="7CD27273"/>
    <w:rsid w:val="7CD2BDAD"/>
    <w:rsid w:val="7CD3BB2F"/>
    <w:rsid w:val="7CD3DE23"/>
    <w:rsid w:val="7CD3E46C"/>
    <w:rsid w:val="7CD6FF6C"/>
    <w:rsid w:val="7CD91273"/>
    <w:rsid w:val="7CD99D7E"/>
    <w:rsid w:val="7CDBCD11"/>
    <w:rsid w:val="7CDFC66E"/>
    <w:rsid w:val="7CE24A26"/>
    <w:rsid w:val="7CE33877"/>
    <w:rsid w:val="7CE56EC3"/>
    <w:rsid w:val="7CECC961"/>
    <w:rsid w:val="7CED0EC7"/>
    <w:rsid w:val="7CEE8FCD"/>
    <w:rsid w:val="7CF12416"/>
    <w:rsid w:val="7CFA52ED"/>
    <w:rsid w:val="7CFB396A"/>
    <w:rsid w:val="7CFD5112"/>
    <w:rsid w:val="7D009FF6"/>
    <w:rsid w:val="7D02FCD6"/>
    <w:rsid w:val="7D07A30E"/>
    <w:rsid w:val="7D08CF22"/>
    <w:rsid w:val="7D092AF2"/>
    <w:rsid w:val="7D0A7212"/>
    <w:rsid w:val="7D0BCEB0"/>
    <w:rsid w:val="7D102928"/>
    <w:rsid w:val="7D15C5DD"/>
    <w:rsid w:val="7D17B803"/>
    <w:rsid w:val="7D188A39"/>
    <w:rsid w:val="7D1DD0CD"/>
    <w:rsid w:val="7D21A762"/>
    <w:rsid w:val="7D240CF7"/>
    <w:rsid w:val="7D2495ED"/>
    <w:rsid w:val="7D253C74"/>
    <w:rsid w:val="7D25DEC3"/>
    <w:rsid w:val="7D26631E"/>
    <w:rsid w:val="7D280C6F"/>
    <w:rsid w:val="7D288A28"/>
    <w:rsid w:val="7D2912ED"/>
    <w:rsid w:val="7D292C4A"/>
    <w:rsid w:val="7D2BAA61"/>
    <w:rsid w:val="7D2C62BF"/>
    <w:rsid w:val="7D2C9181"/>
    <w:rsid w:val="7D2F0EB8"/>
    <w:rsid w:val="7D3285D9"/>
    <w:rsid w:val="7D343A64"/>
    <w:rsid w:val="7D34FF43"/>
    <w:rsid w:val="7D36E817"/>
    <w:rsid w:val="7D38157B"/>
    <w:rsid w:val="7D38B3E0"/>
    <w:rsid w:val="7D38EF0B"/>
    <w:rsid w:val="7D3DAE90"/>
    <w:rsid w:val="7D3E2427"/>
    <w:rsid w:val="7D410994"/>
    <w:rsid w:val="7D42EB6A"/>
    <w:rsid w:val="7D45337A"/>
    <w:rsid w:val="7D455D3F"/>
    <w:rsid w:val="7D46604E"/>
    <w:rsid w:val="7D473FF7"/>
    <w:rsid w:val="7D482CDF"/>
    <w:rsid w:val="7D48FFAA"/>
    <w:rsid w:val="7D49E229"/>
    <w:rsid w:val="7D4C3FBA"/>
    <w:rsid w:val="7D51D434"/>
    <w:rsid w:val="7D5266E8"/>
    <w:rsid w:val="7D57A575"/>
    <w:rsid w:val="7D593364"/>
    <w:rsid w:val="7D5C7AB0"/>
    <w:rsid w:val="7D5FB8DB"/>
    <w:rsid w:val="7D648D4C"/>
    <w:rsid w:val="7D65397A"/>
    <w:rsid w:val="7D69527F"/>
    <w:rsid w:val="7D69B578"/>
    <w:rsid w:val="7D6C7486"/>
    <w:rsid w:val="7D6CC567"/>
    <w:rsid w:val="7D6ECD1F"/>
    <w:rsid w:val="7D71E2FE"/>
    <w:rsid w:val="7D7342FC"/>
    <w:rsid w:val="7D7454A4"/>
    <w:rsid w:val="7D748752"/>
    <w:rsid w:val="7D75E8AD"/>
    <w:rsid w:val="7D774C3C"/>
    <w:rsid w:val="7D790691"/>
    <w:rsid w:val="7D790DBA"/>
    <w:rsid w:val="7D794849"/>
    <w:rsid w:val="7D797B7C"/>
    <w:rsid w:val="7D7980F7"/>
    <w:rsid w:val="7D7ACFBC"/>
    <w:rsid w:val="7D7ADF2F"/>
    <w:rsid w:val="7D820C2B"/>
    <w:rsid w:val="7D855BF7"/>
    <w:rsid w:val="7D8B503E"/>
    <w:rsid w:val="7D8E7AC1"/>
    <w:rsid w:val="7D9125BB"/>
    <w:rsid w:val="7D96809D"/>
    <w:rsid w:val="7D9732EB"/>
    <w:rsid w:val="7D9A2C10"/>
    <w:rsid w:val="7D9AD28B"/>
    <w:rsid w:val="7D9B408B"/>
    <w:rsid w:val="7D9FF26F"/>
    <w:rsid w:val="7DA17BEE"/>
    <w:rsid w:val="7DA23F47"/>
    <w:rsid w:val="7DA6A774"/>
    <w:rsid w:val="7DA722B5"/>
    <w:rsid w:val="7DACA1EC"/>
    <w:rsid w:val="7DACFF64"/>
    <w:rsid w:val="7DB00207"/>
    <w:rsid w:val="7DB0BE32"/>
    <w:rsid w:val="7DB386D9"/>
    <w:rsid w:val="7DB48F2D"/>
    <w:rsid w:val="7DB4E497"/>
    <w:rsid w:val="7DB58E1F"/>
    <w:rsid w:val="7DB5969F"/>
    <w:rsid w:val="7DBA2AF1"/>
    <w:rsid w:val="7DBAC92C"/>
    <w:rsid w:val="7DBB678E"/>
    <w:rsid w:val="7DBE0F62"/>
    <w:rsid w:val="7DC2BDFF"/>
    <w:rsid w:val="7DC3C6A7"/>
    <w:rsid w:val="7DC76FE1"/>
    <w:rsid w:val="7DC923D4"/>
    <w:rsid w:val="7DCAAD63"/>
    <w:rsid w:val="7DCB68B4"/>
    <w:rsid w:val="7DCC8478"/>
    <w:rsid w:val="7DCFD00F"/>
    <w:rsid w:val="7DD15645"/>
    <w:rsid w:val="7DD69398"/>
    <w:rsid w:val="7DD78CEE"/>
    <w:rsid w:val="7DD84B36"/>
    <w:rsid w:val="7DD9E65B"/>
    <w:rsid w:val="7DDC00F1"/>
    <w:rsid w:val="7DDC706C"/>
    <w:rsid w:val="7DDFE89C"/>
    <w:rsid w:val="7DE0A5D7"/>
    <w:rsid w:val="7DE107CA"/>
    <w:rsid w:val="7DE169DB"/>
    <w:rsid w:val="7DE3182E"/>
    <w:rsid w:val="7DE37C9E"/>
    <w:rsid w:val="7DE787F4"/>
    <w:rsid w:val="7DE916CD"/>
    <w:rsid w:val="7DEB5637"/>
    <w:rsid w:val="7DED09C8"/>
    <w:rsid w:val="7DEFA9C0"/>
    <w:rsid w:val="7DF2E192"/>
    <w:rsid w:val="7DF79D30"/>
    <w:rsid w:val="7DF8F79F"/>
    <w:rsid w:val="7DFA295E"/>
    <w:rsid w:val="7DFBCE30"/>
    <w:rsid w:val="7DFF93EB"/>
    <w:rsid w:val="7E026815"/>
    <w:rsid w:val="7E082200"/>
    <w:rsid w:val="7E0C6F07"/>
    <w:rsid w:val="7E0F25C8"/>
    <w:rsid w:val="7E133634"/>
    <w:rsid w:val="7E13DA66"/>
    <w:rsid w:val="7E13F302"/>
    <w:rsid w:val="7E142C96"/>
    <w:rsid w:val="7E16CFC8"/>
    <w:rsid w:val="7E172180"/>
    <w:rsid w:val="7E17418E"/>
    <w:rsid w:val="7E1B18C7"/>
    <w:rsid w:val="7E1B8816"/>
    <w:rsid w:val="7E1B94C7"/>
    <w:rsid w:val="7E1F321A"/>
    <w:rsid w:val="7E23CB0F"/>
    <w:rsid w:val="7E244692"/>
    <w:rsid w:val="7E248749"/>
    <w:rsid w:val="7E26CC08"/>
    <w:rsid w:val="7E2735B0"/>
    <w:rsid w:val="7E2796BC"/>
    <w:rsid w:val="7E281AD2"/>
    <w:rsid w:val="7E299FBF"/>
    <w:rsid w:val="7E2B34AD"/>
    <w:rsid w:val="7E2DC389"/>
    <w:rsid w:val="7E31919C"/>
    <w:rsid w:val="7E326E46"/>
    <w:rsid w:val="7E32EF9C"/>
    <w:rsid w:val="7E35CD8E"/>
    <w:rsid w:val="7E3743AE"/>
    <w:rsid w:val="7E37F63C"/>
    <w:rsid w:val="7E39368F"/>
    <w:rsid w:val="7E3D176E"/>
    <w:rsid w:val="7E3EEC2A"/>
    <w:rsid w:val="7E3F6D7D"/>
    <w:rsid w:val="7E3F6FDD"/>
    <w:rsid w:val="7E3FB2C2"/>
    <w:rsid w:val="7E48D054"/>
    <w:rsid w:val="7E49070B"/>
    <w:rsid w:val="7E4A5650"/>
    <w:rsid w:val="7E4ACE63"/>
    <w:rsid w:val="7E4B43CB"/>
    <w:rsid w:val="7E4D3DF9"/>
    <w:rsid w:val="7E4D5269"/>
    <w:rsid w:val="7E4F0B63"/>
    <w:rsid w:val="7E51203B"/>
    <w:rsid w:val="7E55FA95"/>
    <w:rsid w:val="7E56A7D1"/>
    <w:rsid w:val="7E5890F7"/>
    <w:rsid w:val="7E58B769"/>
    <w:rsid w:val="7E58EC61"/>
    <w:rsid w:val="7E605829"/>
    <w:rsid w:val="7E635865"/>
    <w:rsid w:val="7E6366DB"/>
    <w:rsid w:val="7E645318"/>
    <w:rsid w:val="7E65F8E2"/>
    <w:rsid w:val="7E70BC2C"/>
    <w:rsid w:val="7E74FF3A"/>
    <w:rsid w:val="7E75663A"/>
    <w:rsid w:val="7E75FF5E"/>
    <w:rsid w:val="7E76755A"/>
    <w:rsid w:val="7E7809CF"/>
    <w:rsid w:val="7E7B3509"/>
    <w:rsid w:val="7E804A40"/>
    <w:rsid w:val="7E80B192"/>
    <w:rsid w:val="7E80CD5D"/>
    <w:rsid w:val="7E80FFA2"/>
    <w:rsid w:val="7E85D4E7"/>
    <w:rsid w:val="7E8C7918"/>
    <w:rsid w:val="7E8D6209"/>
    <w:rsid w:val="7E8EA68D"/>
    <w:rsid w:val="7E903144"/>
    <w:rsid w:val="7E94D2B4"/>
    <w:rsid w:val="7E96ABB3"/>
    <w:rsid w:val="7E98AE34"/>
    <w:rsid w:val="7E98BB15"/>
    <w:rsid w:val="7E996D42"/>
    <w:rsid w:val="7E9A0171"/>
    <w:rsid w:val="7E9AEDCB"/>
    <w:rsid w:val="7EAA31A7"/>
    <w:rsid w:val="7EAACDB9"/>
    <w:rsid w:val="7EAB9205"/>
    <w:rsid w:val="7EADE243"/>
    <w:rsid w:val="7EB19AFD"/>
    <w:rsid w:val="7EB2AE31"/>
    <w:rsid w:val="7EB54225"/>
    <w:rsid w:val="7EB73CCE"/>
    <w:rsid w:val="7EB84911"/>
    <w:rsid w:val="7EB94F3E"/>
    <w:rsid w:val="7EB9933E"/>
    <w:rsid w:val="7EBC6649"/>
    <w:rsid w:val="7EBE7E00"/>
    <w:rsid w:val="7EC0B5B9"/>
    <w:rsid w:val="7EC41F60"/>
    <w:rsid w:val="7EC58D31"/>
    <w:rsid w:val="7EC6994A"/>
    <w:rsid w:val="7ECA14F5"/>
    <w:rsid w:val="7ECA7438"/>
    <w:rsid w:val="7ECB612F"/>
    <w:rsid w:val="7ECB911F"/>
    <w:rsid w:val="7ECBD4C2"/>
    <w:rsid w:val="7ECBE9AA"/>
    <w:rsid w:val="7ECD282D"/>
    <w:rsid w:val="7ECD8984"/>
    <w:rsid w:val="7ECDAB8B"/>
    <w:rsid w:val="7ECFCE3D"/>
    <w:rsid w:val="7ED10969"/>
    <w:rsid w:val="7ED1CFC6"/>
    <w:rsid w:val="7ED2C59E"/>
    <w:rsid w:val="7ED8A788"/>
    <w:rsid w:val="7EDBF128"/>
    <w:rsid w:val="7EDD7623"/>
    <w:rsid w:val="7EDE2FA3"/>
    <w:rsid w:val="7EDF5617"/>
    <w:rsid w:val="7EE83873"/>
    <w:rsid w:val="7EEAF2BF"/>
    <w:rsid w:val="7EEB44CB"/>
    <w:rsid w:val="7EEEB73F"/>
    <w:rsid w:val="7EF083E0"/>
    <w:rsid w:val="7EF3227C"/>
    <w:rsid w:val="7EF4386F"/>
    <w:rsid w:val="7EFAF1D1"/>
    <w:rsid w:val="7EFEE89F"/>
    <w:rsid w:val="7F016712"/>
    <w:rsid w:val="7F07220C"/>
    <w:rsid w:val="7F078963"/>
    <w:rsid w:val="7F0BCA9B"/>
    <w:rsid w:val="7F0CB5C2"/>
    <w:rsid w:val="7F1209CB"/>
    <w:rsid w:val="7F127431"/>
    <w:rsid w:val="7F127D7C"/>
    <w:rsid w:val="7F1743F3"/>
    <w:rsid w:val="7F198230"/>
    <w:rsid w:val="7F1EE033"/>
    <w:rsid w:val="7F20A69E"/>
    <w:rsid w:val="7F226FCA"/>
    <w:rsid w:val="7F23D65F"/>
    <w:rsid w:val="7F252B47"/>
    <w:rsid w:val="7F280B55"/>
    <w:rsid w:val="7F28C2BC"/>
    <w:rsid w:val="7F2E9A6D"/>
    <w:rsid w:val="7F304E25"/>
    <w:rsid w:val="7F31D29C"/>
    <w:rsid w:val="7F338D67"/>
    <w:rsid w:val="7F33AAD6"/>
    <w:rsid w:val="7F3462DD"/>
    <w:rsid w:val="7F34DEC6"/>
    <w:rsid w:val="7F36EBFC"/>
    <w:rsid w:val="7F37A07E"/>
    <w:rsid w:val="7F396859"/>
    <w:rsid w:val="7F3978A1"/>
    <w:rsid w:val="7F3DDA77"/>
    <w:rsid w:val="7F3FF749"/>
    <w:rsid w:val="7F415BFD"/>
    <w:rsid w:val="7F419BBE"/>
    <w:rsid w:val="7F45654A"/>
    <w:rsid w:val="7F47B0CD"/>
    <w:rsid w:val="7F50F02E"/>
    <w:rsid w:val="7F515293"/>
    <w:rsid w:val="7F5379DA"/>
    <w:rsid w:val="7F5B68D2"/>
    <w:rsid w:val="7F5D919D"/>
    <w:rsid w:val="7F609636"/>
    <w:rsid w:val="7F613D56"/>
    <w:rsid w:val="7F65873D"/>
    <w:rsid w:val="7F662D20"/>
    <w:rsid w:val="7F667E6F"/>
    <w:rsid w:val="7F6CF739"/>
    <w:rsid w:val="7F70AF67"/>
    <w:rsid w:val="7F7188DC"/>
    <w:rsid w:val="7F71C8CF"/>
    <w:rsid w:val="7F7A8A7E"/>
    <w:rsid w:val="7F7B587F"/>
    <w:rsid w:val="7F7D8B58"/>
    <w:rsid w:val="7F7D93AA"/>
    <w:rsid w:val="7F81C094"/>
    <w:rsid w:val="7F85B885"/>
    <w:rsid w:val="7F863E6A"/>
    <w:rsid w:val="7F87322A"/>
    <w:rsid w:val="7F8813EB"/>
    <w:rsid w:val="7F8C54A2"/>
    <w:rsid w:val="7F8CB5DA"/>
    <w:rsid w:val="7F8CF215"/>
    <w:rsid w:val="7F8D9776"/>
    <w:rsid w:val="7F94274B"/>
    <w:rsid w:val="7F94E319"/>
    <w:rsid w:val="7F94FFA0"/>
    <w:rsid w:val="7F950969"/>
    <w:rsid w:val="7F9647E4"/>
    <w:rsid w:val="7F97AB53"/>
    <w:rsid w:val="7F9DAAE2"/>
    <w:rsid w:val="7F9E284C"/>
    <w:rsid w:val="7FA10FAA"/>
    <w:rsid w:val="7FA4FCB7"/>
    <w:rsid w:val="7FAF6345"/>
    <w:rsid w:val="7FB04DAD"/>
    <w:rsid w:val="7FB07A95"/>
    <w:rsid w:val="7FB366A8"/>
    <w:rsid w:val="7FB4FE28"/>
    <w:rsid w:val="7FB5DAB8"/>
    <w:rsid w:val="7FB9406B"/>
    <w:rsid w:val="7FBED6DE"/>
    <w:rsid w:val="7FBFDEC3"/>
    <w:rsid w:val="7FC0D7B8"/>
    <w:rsid w:val="7FC0EA7D"/>
    <w:rsid w:val="7FC2F692"/>
    <w:rsid w:val="7FC4A04B"/>
    <w:rsid w:val="7FCFDD84"/>
    <w:rsid w:val="7FD004D3"/>
    <w:rsid w:val="7FD1E6CF"/>
    <w:rsid w:val="7FD251DD"/>
    <w:rsid w:val="7FD57DE1"/>
    <w:rsid w:val="7FD8252A"/>
    <w:rsid w:val="7FDA6320"/>
    <w:rsid w:val="7FDA778B"/>
    <w:rsid w:val="7FDAB058"/>
    <w:rsid w:val="7FDDE503"/>
    <w:rsid w:val="7FE2452C"/>
    <w:rsid w:val="7FE2786D"/>
    <w:rsid w:val="7FE64419"/>
    <w:rsid w:val="7FE664A5"/>
    <w:rsid w:val="7FE66AD5"/>
    <w:rsid w:val="7FE7F87A"/>
    <w:rsid w:val="7FE80371"/>
    <w:rsid w:val="7FE809D5"/>
    <w:rsid w:val="7FE877FC"/>
    <w:rsid w:val="7FE98D62"/>
    <w:rsid w:val="7FEF3AA3"/>
    <w:rsid w:val="7FF4BE46"/>
    <w:rsid w:val="7FF5EEC6"/>
    <w:rsid w:val="7FF901A5"/>
    <w:rsid w:val="7FFBEA59"/>
    <w:rsid w:val="7FFDC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 w:unhideWhenUsed="1" w:qFormat="1"/>
    <w:lsdException w:name="List Bullet" w:semiHidden="1" w:uiPriority="0" w:unhideWhenUsed="1" w:qFormat="1"/>
    <w:lsdException w:name="List Number" w:semiHidden="1" w:uiPriority="20" w:unhideWhenUsed="1" w:qFormat="1"/>
    <w:lsdException w:name="List 2" w:semiHidden="1" w:uiPriority="6" w:unhideWhenUsed="1" w:qFormat="1"/>
    <w:lsdException w:name="List 3" w:semiHidden="1" w:uiPriority="13" w:unhideWhenUsed="1" w:qFormat="1"/>
    <w:lsdException w:name="List 4" w:semiHidden="1" w:uiPriority="15"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0" w:unhideWhenUsed="1" w:qFormat="1"/>
    <w:lsdException w:name="List Number 3" w:semiHidden="1" w:uiPriority="2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qFormat="1"/>
    <w:lsdException w:name="Subtle Reference" w:uiPriority="59" w:qFormat="1"/>
    <w:lsdException w:name="Intense Reference" w:uiPriority="32" w:qFormat="1"/>
    <w:lsdException w:name="Book Title" w:uiPriority="5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626"/>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uiPriority w:val="9"/>
    <w:qFormat/>
    <w:rsid w:val="006B087E"/>
    <w:pPr>
      <w:keepNext/>
      <w:spacing w:before="240"/>
      <w:outlineLvl w:val="0"/>
    </w:pPr>
    <w:rPr>
      <w:rFonts w:eastAsia="Times New Roman"/>
      <w:b/>
      <w:smallCaps/>
      <w:szCs w:val="20"/>
    </w:rPr>
  </w:style>
  <w:style w:type="paragraph" w:styleId="Heading2">
    <w:name w:val="heading 2"/>
    <w:basedOn w:val="Normal"/>
    <w:next w:val="Text2"/>
    <w:link w:val="Heading2Char"/>
    <w:uiPriority w:val="9"/>
    <w:qFormat/>
    <w:rsid w:val="006A7573"/>
    <w:pPr>
      <w:keepNext/>
      <w:spacing w:after="120"/>
      <w:outlineLvl w:val="1"/>
    </w:pPr>
    <w:rPr>
      <w:rFonts w:eastAsia="Times New Roman"/>
      <w:b/>
      <w:szCs w:val="20"/>
    </w:rPr>
  </w:style>
  <w:style w:type="paragraph" w:styleId="Heading3">
    <w:name w:val="heading 3"/>
    <w:basedOn w:val="Normal"/>
    <w:next w:val="Normal"/>
    <w:link w:val="Heading3Char"/>
    <w:uiPriority w:val="9"/>
    <w:qFormat/>
    <w:rsid w:val="0057120C"/>
    <w:pPr>
      <w:keepNext/>
      <w:ind w:left="720" w:hanging="720"/>
      <w:outlineLvl w:val="2"/>
    </w:pPr>
    <w:rPr>
      <w:rFonts w:eastAsia="Times New Roman"/>
      <w:i/>
      <w:szCs w:val="20"/>
      <w:lang w:val="en-IE"/>
    </w:rPr>
  </w:style>
  <w:style w:type="paragraph" w:styleId="Heading4">
    <w:name w:val="heading 4"/>
    <w:basedOn w:val="Normal"/>
    <w:next w:val="Normal"/>
    <w:link w:val="Heading4Char"/>
    <w:qFormat/>
    <w:rsid w:val="006B087E"/>
    <w:pPr>
      <w:keepNext/>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D247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17193A"/>
    <w:pPr>
      <w:keepNext/>
      <w:keepLines/>
      <w:spacing w:before="40" w:after="0"/>
      <w:outlineLvl w:val="6"/>
    </w:pPr>
    <w:rPr>
      <w:rFonts w:eastAsiaTheme="majorEastAsia"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unhideWhenUsed/>
    <w:qFormat/>
    <w:rsid w:val="0017193A"/>
    <w:pPr>
      <w:keepNext/>
      <w:keepLines/>
      <w:spacing w:after="0"/>
      <w:outlineLvl w:val="7"/>
    </w:pPr>
    <w:rPr>
      <w:rFonts w:eastAsiaTheme="majorEastAsia"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unhideWhenUsed/>
    <w:qFormat/>
    <w:rsid w:val="0017193A"/>
    <w:pPr>
      <w:keepNext/>
      <w:keepLines/>
      <w:spacing w:after="0"/>
      <w:outlineLvl w:val="8"/>
    </w:pPr>
    <w:rPr>
      <w:rFonts w:eastAsiaTheme="majorEastAsia" w:cstheme="majorBidi"/>
      <w:color w:val="272727" w:themeColor="text1" w:themeTint="D8"/>
      <w:kern w:val="2"/>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906A12"/>
    <w:rPr>
      <w:rFonts w:ascii="Times New Roman" w:eastAsia="Times New Roman" w:hAnsi="Times New Roman" w:cs="Times New Roman"/>
      <w:i/>
      <w:sz w:val="24"/>
      <w:szCs w:val="20"/>
      <w:lang w:val="en-IE"/>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aliases w:val="First Tier Bullet,résumé,UL,List Bullet2,List Bullet 1,List Bullet Char,List Bullet Char1 Char,List Bullet Char Char Char,List Bullet Char1 Char Char Char,List Bullet Char Char Char Char Char,List Bullet Char Char1,rÈsumÈ,Char1, Char1,r»sum»"/>
    <w:basedOn w:val="Normal"/>
    <w:qFormat/>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HTG"/>
    <w:basedOn w:val="TableNormal"/>
    <w:uiPriority w:val="59"/>
    <w:rsid w:val="006B087E"/>
    <w:pPr>
      <w:spacing w:after="0" w:line="240" w:lineRule="auto"/>
    </w:pPr>
    <w:rPr>
      <w:rFonts w:ascii="Times New Roman" w:eastAsia="Times New Roman" w:hAnsi="Times New Roman" w:cs="Times New Roman"/>
      <w:sz w:val="20"/>
      <w:szCs w:val="20"/>
      <w:lang w:eastAsia="en-GB"/>
    </w:rPr>
    <w:tblPr/>
  </w:style>
  <w:style w:type="paragraph" w:customStyle="1" w:styleId="AnnexTitle">
    <w:name w:val="Annex Title"/>
    <w:basedOn w:val="Heading1"/>
    <w:next w:val="Normal"/>
    <w:link w:val="AnnexTitleChar"/>
    <w:autoRedefine/>
    <w:qFormat/>
    <w:rsid w:val="00C02BCC"/>
    <w:pPr>
      <w:pageBreakBefore/>
    </w:pPr>
    <w:rPr>
      <w:sz w:val="32"/>
    </w:rPr>
  </w:style>
  <w:style w:type="character" w:customStyle="1" w:styleId="AnnexTitleChar">
    <w:name w:val="Annex Title Char"/>
    <w:basedOn w:val="DefaultParagraphFont"/>
    <w:link w:val="AnnexTitle"/>
    <w:rsid w:val="00E918FC"/>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qFormat/>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CE1D7A"/>
    <w:pPr>
      <w:spacing w:after="0"/>
    </w:pPr>
    <w:rPr>
      <w:rFonts w:eastAsiaTheme="minorEastAsia"/>
      <w:sz w:val="18"/>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cs="Times New Roman"/>
      <w:sz w:val="18"/>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19"/>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99"/>
    <w:unhideWhenUsed/>
    <w:rsid w:val="002252CF"/>
    <w:rPr>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19"/>
    <w:qFormat/>
    <w:locked/>
    <w:rsid w:val="00995F32"/>
    <w:rPr>
      <w:rFonts w:ascii="Times New Roman" w:hAnsi="Times New Roman" w:cs="Times New Roman"/>
      <w:sz w:val="24"/>
      <w:szCs w:val="24"/>
    </w:rPr>
  </w:style>
  <w:style w:type="character" w:customStyle="1" w:styleId="Mention1">
    <w:name w:val="Mention1"/>
    <w:basedOn w:val="DefaultParagraphFont"/>
    <w:uiPriority w:val="99"/>
    <w:unhideWhenUsed/>
    <w:rsid w:val="0035184C"/>
    <w:rPr>
      <w:color w:val="2B579A"/>
      <w:shd w:val="clear" w:color="auto" w:fill="E1DFDD"/>
    </w:rPr>
  </w:style>
  <w:style w:type="paragraph" w:styleId="NormalWeb">
    <w:name w:val="Normal (Web)"/>
    <w:basedOn w:val="Normal"/>
    <w:uiPriority w:val="99"/>
    <w:unhideWhenUsed/>
    <w:rsid w:val="00FA0B51"/>
  </w:style>
  <w:style w:type="paragraph" w:styleId="Caption">
    <w:name w:val="caption"/>
    <w:aliases w:val="Caption - Centre Graphic,Char Char Char,Caption1 Char Char Char Char Char Char Char Char,Caption1 Char Char Char Char Char Char Char Char Tegn Tegn Tegn Tegn Tegn,Caption1 Char Char Char Char Char Char Char Char Tegn Tegn Tegn,Char Car,Ch,E"/>
    <w:basedOn w:val="Normal"/>
    <w:next w:val="Normal"/>
    <w:uiPriority w:val="43"/>
    <w:unhideWhenUsed/>
    <w:qFormat/>
    <w:rsid w:val="00021DA2"/>
    <w:pPr>
      <w:spacing w:before="120" w:after="120"/>
      <w:jc w:val="center"/>
    </w:pPr>
    <w:rPr>
      <w:b/>
      <w:iCs/>
      <w:color w:val="000000" w:themeColor="text1"/>
      <w:sz w:val="20"/>
      <w:szCs w:val="18"/>
      <w:lang w:val="en-IE"/>
    </w:rPr>
  </w:style>
  <w:style w:type="table" w:styleId="TableGridLight">
    <w:name w:val="Grid Table Light"/>
    <w:basedOn w:val="TableNormal"/>
    <w:uiPriority w:val="40"/>
    <w:rsid w:val="00744F64"/>
    <w:pPr>
      <w:spacing w:after="0" w:line="240" w:lineRule="auto"/>
    </w:pPr>
    <w:tblPr/>
  </w:style>
  <w:style w:type="paragraph" w:styleId="TOC3">
    <w:name w:val="toc 3"/>
    <w:basedOn w:val="Normal"/>
    <w:next w:val="Normal"/>
    <w:autoRedefine/>
    <w:uiPriority w:val="39"/>
    <w:unhideWhenUsed/>
    <w:rsid w:val="00EF196E"/>
    <w:pPr>
      <w:spacing w:after="100"/>
      <w:ind w:left="480"/>
    </w:pPr>
  </w:style>
  <w:style w:type="character" w:customStyle="1" w:styleId="Bodytext1">
    <w:name w:val="Body text|1_"/>
    <w:basedOn w:val="DefaultParagraphFont"/>
    <w:link w:val="Bodytext10"/>
    <w:rsid w:val="00B9316C"/>
    <w:rPr>
      <w:color w:val="404040"/>
      <w:sz w:val="20"/>
      <w:szCs w:val="20"/>
    </w:rPr>
  </w:style>
  <w:style w:type="paragraph" w:customStyle="1" w:styleId="Bodytext10">
    <w:name w:val="Body text|1"/>
    <w:basedOn w:val="Normal"/>
    <w:link w:val="Bodytext1"/>
    <w:rsid w:val="00B9316C"/>
    <w:pPr>
      <w:widowControl w:val="0"/>
      <w:spacing w:after="140" w:line="302" w:lineRule="auto"/>
      <w:jc w:val="left"/>
    </w:pPr>
    <w:rPr>
      <w:rFonts w:asciiTheme="minorHAnsi" w:hAnsiTheme="minorHAnsi" w:cstheme="minorBidi"/>
      <w:color w:val="404040"/>
      <w:szCs w:val="20"/>
    </w:rPr>
  </w:style>
  <w:style w:type="table" w:styleId="GridTable4-Accent1">
    <w:name w:val="Grid Table 4 Accent 1"/>
    <w:basedOn w:val="TableNormal"/>
    <w:uiPriority w:val="49"/>
    <w:rsid w:val="00981243"/>
    <w:pPr>
      <w:spacing w:after="0" w:line="240" w:lineRule="auto"/>
    </w:pPr>
    <w:rPr>
      <w:kern w:val="2"/>
      <w:lang w:val="en-I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rsid w:val="00A30028"/>
    <w:pPr>
      <w:spacing w:after="0" w:line="240" w:lineRule="auto"/>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paragraph" w:styleId="Subtitle">
    <w:name w:val="Subtitle"/>
    <w:basedOn w:val="Normal"/>
    <w:next w:val="Normal"/>
    <w:link w:val="SubtitleChar"/>
    <w:uiPriority w:val="11"/>
    <w:qFormat/>
    <w:rsid w:val="00CE1BE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E1BE0"/>
    <w:rPr>
      <w:rFonts w:eastAsiaTheme="minorEastAsia"/>
      <w:color w:val="5A5A5A" w:themeColor="text1" w:themeTint="A5"/>
      <w:spacing w:val="15"/>
    </w:rPr>
  </w:style>
  <w:style w:type="character" w:styleId="PlaceholderText">
    <w:name w:val="Placeholder Text"/>
    <w:basedOn w:val="DefaultParagraphFont"/>
    <w:uiPriority w:val="99"/>
    <w:semiHidden/>
    <w:rsid w:val="00872522"/>
    <w:rPr>
      <w:color w:val="666666"/>
    </w:rPr>
  </w:style>
  <w:style w:type="table" w:styleId="GridTable7Colorful-Accent1">
    <w:name w:val="Grid Table 7 Colorful Accent 1"/>
    <w:basedOn w:val="TableNormal"/>
    <w:uiPriority w:val="52"/>
    <w:rsid w:val="008E660C"/>
    <w:pPr>
      <w:spacing w:after="0" w:line="240" w:lineRule="auto"/>
    </w:pPr>
    <w:rPr>
      <w:color w:val="365F91" w:themeColor="accent1" w:themeShade="BF"/>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ListTable7Colorful-Accent1">
    <w:name w:val="List Table 7 Colorful Accent 1"/>
    <w:basedOn w:val="TableNormal"/>
    <w:uiPriority w:val="52"/>
    <w:rsid w:val="008E660C"/>
    <w:pPr>
      <w:spacing w:after="0" w:line="240" w:lineRule="auto"/>
    </w:pPr>
    <w:rPr>
      <w:color w:val="365F91" w:themeColor="accent1" w:themeShade="BF"/>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3-Accent5">
    <w:name w:val="List Table 3 Accent 5"/>
    <w:basedOn w:val="TableNormal"/>
    <w:uiPriority w:val="48"/>
    <w:rsid w:val="0075048F"/>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Heading6Char">
    <w:name w:val="Heading 6 Char"/>
    <w:basedOn w:val="DefaultParagraphFont"/>
    <w:link w:val="Heading6"/>
    <w:uiPriority w:val="9"/>
    <w:rsid w:val="007D247A"/>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373EF1"/>
  </w:style>
  <w:style w:type="character" w:customStyle="1" w:styleId="eop">
    <w:name w:val="eop"/>
    <w:basedOn w:val="DefaultParagraphFont"/>
    <w:rsid w:val="00373EF1"/>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7D77B3"/>
    <w:pPr>
      <w:tabs>
        <w:tab w:val="left" w:pos="907"/>
      </w:tabs>
      <w:spacing w:before="60" w:after="160" w:line="240" w:lineRule="exact"/>
    </w:pPr>
    <w:rPr>
      <w:rFonts w:asciiTheme="minorHAnsi" w:hAnsiTheme="minorHAnsi" w:cstheme="minorBidi"/>
      <w:sz w:val="16"/>
      <w:szCs w:val="16"/>
      <w:vertAlign w:val="superscript"/>
      <w:lang w:val="en-US"/>
    </w:rPr>
  </w:style>
  <w:style w:type="table" w:styleId="PlainTable3">
    <w:name w:val="Plain Table 3"/>
    <w:basedOn w:val="TableNormal"/>
    <w:uiPriority w:val="43"/>
    <w:rsid w:val="00926C59"/>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paragraph" w:styleId="EndnoteText">
    <w:name w:val="endnote text"/>
    <w:basedOn w:val="Normal"/>
    <w:link w:val="EndnoteTextChar"/>
    <w:uiPriority w:val="99"/>
    <w:unhideWhenUsed/>
    <w:rsid w:val="008F648F"/>
    <w:pPr>
      <w:spacing w:after="0"/>
    </w:pPr>
    <w:rPr>
      <w:szCs w:val="20"/>
    </w:rPr>
  </w:style>
  <w:style w:type="character" w:customStyle="1" w:styleId="EndnoteTextChar">
    <w:name w:val="Endnote Text Char"/>
    <w:basedOn w:val="DefaultParagraphFont"/>
    <w:link w:val="EndnoteText"/>
    <w:uiPriority w:val="99"/>
    <w:rsid w:val="008F648F"/>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8F648F"/>
    <w:rPr>
      <w:vertAlign w:val="superscript"/>
    </w:rPr>
  </w:style>
  <w:style w:type="table" w:styleId="GridTable1Light">
    <w:name w:val="Grid Table 1 Light"/>
    <w:basedOn w:val="TableNormal"/>
    <w:uiPriority w:val="46"/>
    <w:rsid w:val="001A5D7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BodyText">
    <w:name w:val="Body Text"/>
    <w:aliases w:val="Body Text Ch, Car,Car,b.,b,b...,- T,Body Text template style,Corpo testo-n,Corpo del testo-n,Body,body,text,Body single,RFQ Text,NoticeText-List,B&amp;B Body Text,Body Text2 Char Char Char,Body Text2 Char Char Char Char Char, (Norm),Ca,Text ,- "/>
    <w:basedOn w:val="Normal"/>
    <w:link w:val="BodyTextChar"/>
    <w:uiPriority w:val="99"/>
    <w:unhideWhenUsed/>
    <w:qFormat/>
    <w:rsid w:val="00153128"/>
    <w:pPr>
      <w:spacing w:after="120"/>
    </w:pPr>
  </w:style>
  <w:style w:type="character" w:customStyle="1" w:styleId="BodyTextChar">
    <w:name w:val="Body Text Char"/>
    <w:aliases w:val="Body Text Ch Char, Car Char,Car Char,b. Char,b Char,b... Char,- T Char,Body Text template style Char,Corpo testo-n Char,Corpo del testo-n Char,Body Char,body Char,text Char,Body single Char,RFQ Text Char,NoticeText-List Char, (Norm) Char"/>
    <w:basedOn w:val="DefaultParagraphFont"/>
    <w:link w:val="BodyText"/>
    <w:uiPriority w:val="99"/>
    <w:rsid w:val="00153128"/>
    <w:rPr>
      <w:rFonts w:ascii="Times New Roman" w:hAnsi="Times New Roman" w:cs="Times New Roman"/>
      <w:sz w:val="24"/>
      <w:szCs w:val="24"/>
    </w:rPr>
  </w:style>
  <w:style w:type="paragraph" w:customStyle="1" w:styleId="ParagraphRiskAssessment">
    <w:name w:val="Paragraph_RiskAssessment"/>
    <w:basedOn w:val="ListBullet"/>
    <w:link w:val="ParagraphRiskAssessmentChar"/>
    <w:qFormat/>
    <w:rsid w:val="00840755"/>
    <w:pPr>
      <w:numPr>
        <w:numId w:val="0"/>
      </w:numPr>
      <w:tabs>
        <w:tab w:val="left" w:pos="360"/>
      </w:tabs>
      <w:spacing w:before="120" w:after="120" w:line="275" w:lineRule="auto"/>
      <w:contextualSpacing/>
    </w:pPr>
    <w:rPr>
      <w:rFonts w:ascii="Arial" w:eastAsia="Calibri" w:hAnsi="Arial"/>
      <w:color w:val="4D4D4D"/>
      <w:sz w:val="22"/>
      <w:szCs w:val="22"/>
    </w:rPr>
  </w:style>
  <w:style w:type="character" w:customStyle="1" w:styleId="ParagraphRiskAssessmentChar">
    <w:name w:val="Paragraph_RiskAssessment Char"/>
    <w:basedOn w:val="DefaultParagraphFont"/>
    <w:link w:val="ParagraphRiskAssessment"/>
    <w:rsid w:val="00934EF5"/>
    <w:rPr>
      <w:rFonts w:ascii="Arial" w:eastAsia="Calibri" w:hAnsi="Arial" w:cs="Times New Roman"/>
      <w:color w:val="4D4D4D"/>
    </w:rPr>
  </w:style>
  <w:style w:type="table" w:styleId="ListTable3-Accent1">
    <w:name w:val="List Table 3 Accent 1"/>
    <w:basedOn w:val="TableNormal"/>
    <w:uiPriority w:val="48"/>
    <w:rsid w:val="00B81D2F"/>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3">
    <w:name w:val="Grid Table 3 Accent 3"/>
    <w:basedOn w:val="TableNormal"/>
    <w:uiPriority w:val="48"/>
    <w:rsid w:val="00B81D2F"/>
    <w:pPr>
      <w:spacing w:after="0" w:line="240" w:lineRule="auto"/>
    </w:p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2-Accent5">
    <w:name w:val="Grid Table 2 Accent 5"/>
    <w:basedOn w:val="TableNormal"/>
    <w:uiPriority w:val="47"/>
    <w:rsid w:val="00B81D2F"/>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352291"/>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0C18F3"/>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
    <w:name w:val="Grid Table 6 Colorful"/>
    <w:basedOn w:val="TableNormal"/>
    <w:uiPriority w:val="51"/>
    <w:rsid w:val="000C18F3"/>
    <w:pPr>
      <w:spacing w:after="0" w:line="240" w:lineRule="auto"/>
    </w:pPr>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Languesfaisantfoi">
    <w:name w:val="Langues faisant foi"/>
    <w:basedOn w:val="Normal"/>
    <w:next w:val="Normal"/>
    <w:rsid w:val="000C18F3"/>
    <w:pPr>
      <w:spacing w:before="360"/>
      <w:jc w:val="center"/>
    </w:pPr>
    <w:rPr>
      <w:szCs w:val="22"/>
    </w:rPr>
  </w:style>
  <w:style w:type="paragraph" w:customStyle="1" w:styleId="LanguesfaisantfoiPagedecouverture">
    <w:name w:val="Langues faisant foi (Page de couverture)"/>
    <w:basedOn w:val="Normal"/>
    <w:next w:val="Normal"/>
    <w:rsid w:val="000C18F3"/>
    <w:pPr>
      <w:spacing w:before="360"/>
      <w:jc w:val="center"/>
    </w:pPr>
    <w:rPr>
      <w:szCs w:val="22"/>
    </w:rPr>
  </w:style>
  <w:style w:type="paragraph" w:customStyle="1" w:styleId="IntrtEEE">
    <w:name w:val="Intérêt EEE"/>
    <w:basedOn w:val="Languesfaisantfoi"/>
    <w:next w:val="Normal"/>
    <w:rsid w:val="000C18F3"/>
    <w:pPr>
      <w:spacing w:after="0"/>
    </w:pPr>
  </w:style>
  <w:style w:type="paragraph" w:customStyle="1" w:styleId="IntrtEEEPagedecouverture">
    <w:name w:val="Intérêt EEE (Page de couverture)"/>
    <w:basedOn w:val="IntrtEEE"/>
    <w:next w:val="Normal"/>
    <w:rsid w:val="000C18F3"/>
  </w:style>
  <w:style w:type="table" w:styleId="ListTable4-Accent1">
    <w:name w:val="List Table 4 Accent 1"/>
    <w:basedOn w:val="TableNormal"/>
    <w:uiPriority w:val="49"/>
    <w:rsid w:val="000C18F3"/>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0C18F3"/>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0C18F3"/>
    <w:pPr>
      <w:spacing w:after="0" w:line="240" w:lineRule="auto"/>
    </w:pPr>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0C18F3"/>
    <w:pPr>
      <w:spacing w:after="0" w:line="240" w:lineRule="auto"/>
    </w:p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PlainTable4">
    <w:name w:val="Plain Table 4"/>
    <w:basedOn w:val="TableNormal"/>
    <w:uiPriority w:val="44"/>
    <w:rsid w:val="000C18F3"/>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0C18F3"/>
    <w:pPr>
      <w:spacing w:after="0" w:line="240" w:lineRule="auto"/>
    </w:pPr>
    <w:rPr>
      <w:color w:val="000000" w:themeColor="text1"/>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GridTable7Colorful">
    <w:name w:val="Grid Table 7 Colorful"/>
    <w:basedOn w:val="TableNormal"/>
    <w:uiPriority w:val="52"/>
    <w:rsid w:val="000C18F3"/>
    <w:pPr>
      <w:spacing w:after="0" w:line="240" w:lineRule="auto"/>
    </w:pPr>
    <w:rPr>
      <w:color w:val="000000" w:themeColor="text1"/>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ListTable1Light">
    <w:name w:val="List Table 1 Light"/>
    <w:basedOn w:val="TableNormal"/>
    <w:uiPriority w:val="46"/>
    <w:rsid w:val="000C18F3"/>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0C18F3"/>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DE7D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bullet1">
    <w:name w:val="Table bullet 1"/>
    <w:basedOn w:val="ListParagraph"/>
    <w:link w:val="Tablebullet1Char"/>
    <w:uiPriority w:val="41"/>
    <w:qFormat/>
    <w:rsid w:val="00464BCF"/>
    <w:pPr>
      <w:numPr>
        <w:numId w:val="77"/>
      </w:numPr>
      <w:spacing w:before="60" w:after="80"/>
      <w:contextualSpacing w:val="0"/>
    </w:pPr>
    <w:rPr>
      <w:rFonts w:cstheme="minorBidi"/>
      <w:kern w:val="16"/>
      <w:sz w:val="16"/>
      <w:szCs w:val="20"/>
    </w:rPr>
  </w:style>
  <w:style w:type="character" w:customStyle="1" w:styleId="Tablebullet1Char">
    <w:name w:val="Table bullet 1 Char"/>
    <w:basedOn w:val="DefaultParagraphFont"/>
    <w:link w:val="Tablebullet1"/>
    <w:uiPriority w:val="41"/>
    <w:rsid w:val="00464BCF"/>
    <w:rPr>
      <w:rFonts w:ascii="Times New Roman" w:hAnsi="Times New Roman"/>
      <w:kern w:val="16"/>
      <w:sz w:val="16"/>
      <w:szCs w:val="20"/>
    </w:rPr>
  </w:style>
  <w:style w:type="table" w:styleId="GridTable2-Accent1">
    <w:name w:val="Grid Table 2 Accent 1"/>
    <w:basedOn w:val="TableNormal"/>
    <w:uiPriority w:val="47"/>
    <w:rsid w:val="00464BCF"/>
    <w:pPr>
      <w:spacing w:after="0" w:line="240" w:lineRule="auto"/>
    </w:pPr>
    <w:rPr>
      <w:kern w:val="2"/>
      <w:sz w:val="24"/>
      <w:szCs w:val="24"/>
      <w:lang w:val="en-IE"/>
      <w14:ligatures w14:val="standardContextual"/>
    </w:rPr>
    <w:tblPr>
      <w:tblStyleRowBandSize w:val="1"/>
      <w:tblStyleColBandSize w:val="1"/>
    </w:tblPr>
    <w:tcPr>
      <w:shd w:val="clear" w:color="auto" w:fill="DBE5F1" w:themeFill="accent1" w:themeFillTint="33"/>
    </w:tc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character" w:customStyle="1" w:styleId="Heading7Char">
    <w:name w:val="Heading 7 Char"/>
    <w:basedOn w:val="DefaultParagraphFont"/>
    <w:link w:val="Heading7"/>
    <w:uiPriority w:val="9"/>
    <w:rsid w:val="0017193A"/>
    <w:rPr>
      <w:rFonts w:ascii="Times New Roman" w:eastAsiaTheme="majorEastAsia" w:hAnsi="Times New Roman" w:cstheme="majorBidi"/>
      <w:color w:val="595959" w:themeColor="text1" w:themeTint="A6"/>
      <w:kern w:val="2"/>
      <w:sz w:val="24"/>
      <w:szCs w:val="24"/>
      <w:lang w:val="en-IE"/>
      <w14:ligatures w14:val="standardContextual"/>
    </w:rPr>
  </w:style>
  <w:style w:type="character" w:customStyle="1" w:styleId="Heading8Char">
    <w:name w:val="Heading 8 Char"/>
    <w:basedOn w:val="DefaultParagraphFont"/>
    <w:link w:val="Heading8"/>
    <w:uiPriority w:val="9"/>
    <w:rsid w:val="0017193A"/>
    <w:rPr>
      <w:rFonts w:ascii="Times New Roman" w:eastAsiaTheme="majorEastAsia" w:hAnsi="Times New Roman"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uiPriority w:val="9"/>
    <w:rsid w:val="0017193A"/>
    <w:rPr>
      <w:rFonts w:ascii="Times New Roman" w:eastAsiaTheme="majorEastAsia" w:hAnsi="Times New Roman" w:cstheme="majorBidi"/>
      <w:color w:val="272727" w:themeColor="text1" w:themeTint="D8"/>
      <w:kern w:val="2"/>
      <w:sz w:val="24"/>
      <w:szCs w:val="24"/>
      <w:lang w:val="en-IE"/>
      <w14:ligatures w14:val="standardContextual"/>
    </w:rPr>
  </w:style>
  <w:style w:type="paragraph" w:styleId="Quote">
    <w:name w:val="Quote"/>
    <w:basedOn w:val="Normal"/>
    <w:next w:val="Normal"/>
    <w:link w:val="QuoteChar"/>
    <w:uiPriority w:val="29"/>
    <w:qFormat/>
    <w:rsid w:val="0017193A"/>
    <w:pPr>
      <w:spacing w:before="160" w:after="160"/>
      <w:jc w:val="center"/>
    </w:pPr>
    <w:rPr>
      <w:rFonts w:cstheme="minorBidi"/>
      <w:i/>
      <w:iCs/>
      <w:color w:val="404040" w:themeColor="text1" w:themeTint="BF"/>
      <w:kern w:val="2"/>
      <w:lang w:val="en-IE"/>
      <w14:ligatures w14:val="standardContextual"/>
    </w:rPr>
  </w:style>
  <w:style w:type="character" w:customStyle="1" w:styleId="QuoteChar">
    <w:name w:val="Quote Char"/>
    <w:basedOn w:val="DefaultParagraphFont"/>
    <w:link w:val="Quote"/>
    <w:uiPriority w:val="29"/>
    <w:rsid w:val="0017193A"/>
    <w:rPr>
      <w:rFonts w:ascii="Times New Roman" w:hAnsi="Times New Roman"/>
      <w:i/>
      <w:iCs/>
      <w:color w:val="404040" w:themeColor="text1" w:themeTint="BF"/>
      <w:kern w:val="2"/>
      <w:sz w:val="24"/>
      <w:szCs w:val="24"/>
      <w:lang w:val="en-IE"/>
      <w14:ligatures w14:val="standardContextual"/>
    </w:rPr>
  </w:style>
  <w:style w:type="character" w:styleId="IntenseEmphasis">
    <w:name w:val="Intense Emphasis"/>
    <w:basedOn w:val="DefaultParagraphFont"/>
    <w:uiPriority w:val="21"/>
    <w:qFormat/>
    <w:rsid w:val="0017193A"/>
    <w:rPr>
      <w:i/>
      <w:iCs/>
      <w:color w:val="365F91" w:themeColor="accent1" w:themeShade="BF"/>
    </w:rPr>
  </w:style>
  <w:style w:type="paragraph" w:styleId="IntenseQuote">
    <w:name w:val="Intense Quote"/>
    <w:basedOn w:val="Normal"/>
    <w:next w:val="Normal"/>
    <w:link w:val="IntenseQuoteChar"/>
    <w:uiPriority w:val="30"/>
    <w:qFormat/>
    <w:rsid w:val="0017193A"/>
    <w:pPr>
      <w:pBdr>
        <w:top w:val="single" w:sz="4" w:space="10" w:color="365F91" w:themeColor="accent1" w:themeShade="BF"/>
        <w:bottom w:val="single" w:sz="4" w:space="10" w:color="365F91" w:themeColor="accent1" w:themeShade="BF"/>
      </w:pBdr>
      <w:spacing w:before="360" w:after="360"/>
      <w:ind w:left="864" w:right="864"/>
      <w:jc w:val="center"/>
    </w:pPr>
    <w:rPr>
      <w:rFonts w:cstheme="minorBidi"/>
      <w:i/>
      <w:iCs/>
      <w:color w:val="365F91" w:themeColor="accent1" w:themeShade="BF"/>
      <w:kern w:val="2"/>
      <w:lang w:val="en-IE"/>
      <w14:ligatures w14:val="standardContextual"/>
    </w:rPr>
  </w:style>
  <w:style w:type="character" w:customStyle="1" w:styleId="IntenseQuoteChar">
    <w:name w:val="Intense Quote Char"/>
    <w:basedOn w:val="DefaultParagraphFont"/>
    <w:link w:val="IntenseQuote"/>
    <w:uiPriority w:val="30"/>
    <w:rsid w:val="0017193A"/>
    <w:rPr>
      <w:rFonts w:ascii="Times New Roman" w:hAnsi="Times New Roman"/>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sid w:val="0017193A"/>
    <w:rPr>
      <w:b/>
      <w:bCs/>
      <w:smallCaps/>
      <w:color w:val="365F91" w:themeColor="accent1" w:themeShade="BF"/>
      <w:spacing w:val="5"/>
    </w:rPr>
  </w:style>
  <w:style w:type="paragraph" w:customStyle="1" w:styleId="Tabletext">
    <w:name w:val="Table text"/>
    <w:aliases w:val="ttx,F12 Table and Box Text"/>
    <w:basedOn w:val="BodyText"/>
    <w:link w:val="TabletextChar"/>
    <w:uiPriority w:val="39"/>
    <w:qFormat/>
    <w:rsid w:val="0017193A"/>
    <w:pPr>
      <w:spacing w:after="0"/>
      <w:jc w:val="left"/>
    </w:pPr>
    <w:rPr>
      <w:rFonts w:eastAsia="Times New Roman"/>
      <w:kern w:val="2"/>
      <w:sz w:val="16"/>
      <w:lang w:val="en-US"/>
      <w14:ligatures w14:val="standardContextual"/>
    </w:rPr>
  </w:style>
  <w:style w:type="table" w:customStyle="1" w:styleId="TechnopolisTable1">
    <w:name w:val="Technopolis Table1"/>
    <w:basedOn w:val="TableNormal"/>
    <w:uiPriority w:val="99"/>
    <w:rsid w:val="0017193A"/>
    <w:pPr>
      <w:spacing w:before="60" w:after="0" w:line="240" w:lineRule="auto"/>
    </w:pPr>
    <w:rPr>
      <w:rFonts w:asciiTheme="majorHAnsi" w:hAnsiTheme="majorHAnsi"/>
      <w:sz w:val="16"/>
      <w:szCs w:val="16"/>
      <w:lang w:val="en-US"/>
    </w:rPr>
    <w:tblPr>
      <w:tblStyleRowBandSize w:val="1"/>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type="firstRow">
      <w:pPr>
        <w:wordWrap/>
        <w:jc w:val="left"/>
      </w:pPr>
      <w:rPr>
        <w:b/>
        <w:i w:val="0"/>
      </w:rPr>
    </w:tblStylePr>
  </w:style>
  <w:style w:type="paragraph" w:customStyle="1" w:styleId="Bullet1IA">
    <w:name w:val="Bullet 1_IA"/>
    <w:basedOn w:val="ListParagraph"/>
    <w:link w:val="Bullet1IAChar"/>
    <w:uiPriority w:val="41"/>
    <w:qFormat/>
    <w:rsid w:val="0017193A"/>
    <w:pPr>
      <w:spacing w:before="60" w:after="80"/>
      <w:ind w:left="340" w:hanging="283"/>
      <w:contextualSpacing w:val="0"/>
    </w:pPr>
    <w:rPr>
      <w:rFonts w:cstheme="minorBidi"/>
      <w:kern w:val="16"/>
      <w:szCs w:val="20"/>
    </w:rPr>
  </w:style>
  <w:style w:type="character" w:customStyle="1" w:styleId="Bullet1IAChar">
    <w:name w:val="Bullet 1_IA Char"/>
    <w:basedOn w:val="DefaultParagraphFont"/>
    <w:link w:val="Bullet1IA"/>
    <w:uiPriority w:val="41"/>
    <w:rsid w:val="0017193A"/>
    <w:rPr>
      <w:rFonts w:ascii="Times New Roman" w:hAnsi="Times New Roman"/>
      <w:kern w:val="16"/>
      <w:sz w:val="24"/>
      <w:szCs w:val="20"/>
    </w:rPr>
  </w:style>
  <w:style w:type="numbering" w:customStyle="1" w:styleId="NumListBullet">
    <w:name w:val="NumListBullet"/>
    <w:uiPriority w:val="99"/>
    <w:rsid w:val="00A30438"/>
  </w:style>
  <w:style w:type="numbering" w:customStyle="1" w:styleId="NumbListAppendix">
    <w:name w:val="NumbListAppendix"/>
    <w:uiPriority w:val="99"/>
    <w:rsid w:val="0017193A"/>
  </w:style>
  <w:style w:type="numbering" w:customStyle="1" w:styleId="NumLstTableBullet">
    <w:name w:val="NumLstTableBullet"/>
    <w:uiPriority w:val="99"/>
    <w:rsid w:val="00A30438"/>
    <w:pPr>
      <w:numPr>
        <w:numId w:val="65"/>
      </w:numPr>
    </w:pPr>
  </w:style>
  <w:style w:type="numbering" w:customStyle="1" w:styleId="NumbListNumb">
    <w:name w:val="NumbListNumb"/>
    <w:uiPriority w:val="99"/>
    <w:rsid w:val="00A30438"/>
  </w:style>
  <w:style w:type="numbering" w:customStyle="1" w:styleId="NumbListMain">
    <w:name w:val="NumbListMain"/>
    <w:uiPriority w:val="99"/>
    <w:rsid w:val="0017193A"/>
  </w:style>
  <w:style w:type="numbering" w:customStyle="1" w:styleId="NumLstTableNum">
    <w:name w:val="NumLstTableNum"/>
    <w:uiPriority w:val="99"/>
    <w:rsid w:val="0017193A"/>
  </w:style>
  <w:style w:type="paragraph" w:customStyle="1" w:styleId="Tablenumber3">
    <w:name w:val="Table number 3"/>
    <w:basedOn w:val="Tablenumber2"/>
    <w:link w:val="Tablenumber3Char"/>
    <w:uiPriority w:val="41"/>
    <w:qFormat/>
    <w:rsid w:val="0017193A"/>
    <w:pPr>
      <w:tabs>
        <w:tab w:val="clear" w:pos="340"/>
        <w:tab w:val="num" w:pos="227"/>
        <w:tab w:val="num" w:pos="454"/>
      </w:tabs>
      <w:ind w:left="227"/>
    </w:pPr>
  </w:style>
  <w:style w:type="paragraph" w:styleId="TableofFigures">
    <w:name w:val="table of figures"/>
    <w:basedOn w:val="Normal"/>
    <w:next w:val="Normal"/>
    <w:uiPriority w:val="99"/>
    <w:rsid w:val="0017193A"/>
    <w:pPr>
      <w:tabs>
        <w:tab w:val="right" w:leader="underscore" w:pos="9072"/>
      </w:tabs>
      <w:spacing w:before="120" w:after="120" w:line="259" w:lineRule="auto"/>
      <w:ind w:left="1247" w:right="284" w:hanging="1247"/>
      <w:jc w:val="left"/>
    </w:pPr>
    <w:rPr>
      <w:rFonts w:cstheme="minorBidi"/>
      <w:sz w:val="18"/>
      <w:szCs w:val="16"/>
    </w:rPr>
  </w:style>
  <w:style w:type="paragraph" w:styleId="List">
    <w:name w:val="List"/>
    <w:aliases w:val="Numbered list Level 1"/>
    <w:basedOn w:val="Normal"/>
    <w:uiPriority w:val="4"/>
    <w:unhideWhenUsed/>
    <w:qFormat/>
    <w:rsid w:val="0017193A"/>
    <w:pPr>
      <w:spacing w:after="160" w:line="259" w:lineRule="auto"/>
      <w:ind w:left="283" w:hanging="283"/>
      <w:contextualSpacing/>
      <w:jc w:val="left"/>
    </w:pPr>
    <w:rPr>
      <w:rFonts w:cstheme="minorBidi"/>
      <w:sz w:val="16"/>
      <w:szCs w:val="16"/>
    </w:rPr>
  </w:style>
  <w:style w:type="paragraph" w:styleId="ListNumber">
    <w:name w:val="List Number"/>
    <w:basedOn w:val="Bullet3"/>
    <w:uiPriority w:val="20"/>
    <w:unhideWhenUsed/>
    <w:qFormat/>
    <w:rsid w:val="0017193A"/>
    <w:pPr>
      <w:ind w:left="360" w:hanging="360"/>
    </w:pPr>
  </w:style>
  <w:style w:type="paragraph" w:styleId="ListNumber2">
    <w:name w:val="List Number 2"/>
    <w:basedOn w:val="Bullet3"/>
    <w:uiPriority w:val="20"/>
    <w:unhideWhenUsed/>
    <w:qFormat/>
    <w:rsid w:val="0017193A"/>
    <w:pPr>
      <w:ind w:left="1080" w:hanging="360"/>
    </w:pPr>
  </w:style>
  <w:style w:type="paragraph" w:styleId="ListNumber3">
    <w:name w:val="List Number 3"/>
    <w:basedOn w:val="Bullet3"/>
    <w:uiPriority w:val="20"/>
    <w:unhideWhenUsed/>
    <w:qFormat/>
    <w:rsid w:val="0017193A"/>
    <w:pPr>
      <w:ind w:left="1800" w:hanging="360"/>
    </w:pPr>
  </w:style>
  <w:style w:type="paragraph" w:customStyle="1" w:styleId="Bullet2">
    <w:name w:val="Bullet 2"/>
    <w:aliases w:val="Bullet2"/>
    <w:basedOn w:val="Normal"/>
    <w:link w:val="Bullet2Char"/>
    <w:uiPriority w:val="19"/>
    <w:qFormat/>
    <w:rsid w:val="0017193A"/>
    <w:pPr>
      <w:spacing w:after="80" w:line="259" w:lineRule="auto"/>
      <w:ind w:left="680" w:hanging="340"/>
    </w:pPr>
    <w:rPr>
      <w:rFonts w:cstheme="minorBidi"/>
      <w:szCs w:val="20"/>
    </w:rPr>
  </w:style>
  <w:style w:type="paragraph" w:customStyle="1" w:styleId="Bullet3">
    <w:name w:val="Bullet 3"/>
    <w:aliases w:val="Bullet3"/>
    <w:basedOn w:val="Normal"/>
    <w:link w:val="Bullet3Char"/>
    <w:uiPriority w:val="19"/>
    <w:qFormat/>
    <w:rsid w:val="0017193A"/>
    <w:pPr>
      <w:spacing w:after="80" w:line="259" w:lineRule="auto"/>
      <w:ind w:left="1021" w:hanging="341"/>
    </w:pPr>
    <w:rPr>
      <w:rFonts w:cstheme="minorBidi"/>
      <w:szCs w:val="20"/>
    </w:rPr>
  </w:style>
  <w:style w:type="character" w:customStyle="1" w:styleId="Bullet2Char">
    <w:name w:val="Bullet 2 Char"/>
    <w:basedOn w:val="DefaultParagraphFont"/>
    <w:link w:val="Bullet2"/>
    <w:uiPriority w:val="19"/>
    <w:rsid w:val="0017193A"/>
    <w:rPr>
      <w:rFonts w:ascii="Times New Roman" w:hAnsi="Times New Roman"/>
      <w:sz w:val="20"/>
      <w:szCs w:val="20"/>
    </w:rPr>
  </w:style>
  <w:style w:type="character" w:customStyle="1" w:styleId="Bullet3Char">
    <w:name w:val="Bullet 3 Char"/>
    <w:basedOn w:val="DefaultParagraphFont"/>
    <w:link w:val="Bullet3"/>
    <w:uiPriority w:val="19"/>
    <w:rsid w:val="0017193A"/>
    <w:rPr>
      <w:rFonts w:ascii="Times New Roman" w:hAnsi="Times New Roman"/>
      <w:sz w:val="20"/>
      <w:szCs w:val="20"/>
    </w:rPr>
  </w:style>
  <w:style w:type="paragraph" w:customStyle="1" w:styleId="AppendixHeading1">
    <w:name w:val="Appendix Heading 1"/>
    <w:basedOn w:val="Heading1"/>
    <w:next w:val="BodyText"/>
    <w:link w:val="AppendixHeading1Char"/>
    <w:uiPriority w:val="39"/>
    <w:qFormat/>
    <w:rsid w:val="0017193A"/>
    <w:pPr>
      <w:keepNext w:val="0"/>
      <w:pageBreakBefore/>
      <w:pBdr>
        <w:bottom w:val="single" w:sz="4" w:space="1" w:color="1F497D" w:themeColor="text2"/>
      </w:pBdr>
      <w:tabs>
        <w:tab w:val="num" w:pos="526"/>
        <w:tab w:val="num" w:pos="643"/>
        <w:tab w:val="num" w:pos="720"/>
      </w:tabs>
      <w:spacing w:before="0" w:line="259" w:lineRule="auto"/>
      <w:ind w:left="643" w:hanging="360"/>
    </w:pPr>
    <w:rPr>
      <w:rFonts w:asciiTheme="majorHAnsi" w:eastAsiaTheme="majorEastAsia" w:hAnsiTheme="majorHAnsi" w:cstheme="majorBidi"/>
      <w:b w:val="0"/>
      <w:smallCaps w:val="0"/>
      <w:sz w:val="28"/>
      <w:szCs w:val="32"/>
    </w:rPr>
  </w:style>
  <w:style w:type="character" w:customStyle="1" w:styleId="AppendixHeading1Char">
    <w:name w:val="Appendix Heading 1 Char"/>
    <w:basedOn w:val="DefaultParagraphFont"/>
    <w:link w:val="AppendixHeading1"/>
    <w:uiPriority w:val="39"/>
    <w:rsid w:val="0017193A"/>
    <w:rPr>
      <w:rFonts w:asciiTheme="majorHAnsi" w:eastAsiaTheme="majorEastAsia" w:hAnsiTheme="majorHAnsi" w:cstheme="majorBidi"/>
      <w:sz w:val="28"/>
      <w:szCs w:val="32"/>
    </w:rPr>
  </w:style>
  <w:style w:type="paragraph" w:customStyle="1" w:styleId="AppendixHeading2">
    <w:name w:val="Appendix Heading 2"/>
    <w:basedOn w:val="Heading2"/>
    <w:next w:val="BodyText"/>
    <w:link w:val="AppendixHeading2Char"/>
    <w:uiPriority w:val="39"/>
    <w:qFormat/>
    <w:rsid w:val="0017193A"/>
    <w:pPr>
      <w:numPr>
        <w:ilvl w:val="1"/>
      </w:numPr>
      <w:tabs>
        <w:tab w:val="num" w:pos="340"/>
        <w:tab w:val="num" w:pos="526"/>
        <w:tab w:val="num" w:pos="907"/>
      </w:tabs>
      <w:spacing w:before="240" w:after="80" w:line="259" w:lineRule="auto"/>
      <w:ind w:left="907" w:hanging="907"/>
      <w:jc w:val="left"/>
    </w:pPr>
    <w:rPr>
      <w:rFonts w:asciiTheme="majorHAnsi" w:eastAsiaTheme="majorEastAsia" w:hAnsiTheme="majorHAnsi" w:cstheme="majorBidi"/>
      <w:b w:val="0"/>
      <w:color w:val="1F497D" w:themeColor="text2"/>
      <w:sz w:val="28"/>
      <w:szCs w:val="26"/>
    </w:rPr>
  </w:style>
  <w:style w:type="character" w:customStyle="1" w:styleId="AppendixHeading2Char">
    <w:name w:val="Appendix Heading 2 Char"/>
    <w:basedOn w:val="AppendixHeading1Char"/>
    <w:link w:val="AppendixHeading2"/>
    <w:uiPriority w:val="39"/>
    <w:rsid w:val="0017193A"/>
    <w:rPr>
      <w:rFonts w:asciiTheme="majorHAnsi" w:eastAsiaTheme="majorEastAsia" w:hAnsiTheme="majorHAnsi" w:cstheme="majorBidi"/>
      <w:color w:val="1F497D" w:themeColor="text2"/>
      <w:sz w:val="28"/>
      <w:szCs w:val="26"/>
    </w:rPr>
  </w:style>
  <w:style w:type="paragraph" w:customStyle="1" w:styleId="AppendixHeading3">
    <w:name w:val="Appendix Heading 3"/>
    <w:basedOn w:val="BodyText"/>
    <w:next w:val="BodyText"/>
    <w:uiPriority w:val="39"/>
    <w:qFormat/>
    <w:rsid w:val="0017193A"/>
    <w:pPr>
      <w:keepNext/>
      <w:tabs>
        <w:tab w:val="num" w:pos="454"/>
        <w:tab w:val="num" w:pos="526"/>
        <w:tab w:val="num" w:pos="907"/>
      </w:tabs>
      <w:spacing w:before="240" w:after="60" w:line="259" w:lineRule="auto"/>
      <w:ind w:left="907" w:hanging="907"/>
      <w:outlineLvl w:val="2"/>
    </w:pPr>
    <w:rPr>
      <w:rFonts w:asciiTheme="majorHAnsi" w:eastAsia="Times New Roman" w:hAnsiTheme="majorHAnsi" w:cstheme="majorHAnsi"/>
      <w:i/>
      <w:color w:val="000000"/>
    </w:rPr>
  </w:style>
  <w:style w:type="paragraph" w:customStyle="1" w:styleId="AppendixHeading4">
    <w:name w:val="Appendix Heading 4"/>
    <w:basedOn w:val="Heading4"/>
    <w:next w:val="BodyText"/>
    <w:uiPriority w:val="39"/>
    <w:qFormat/>
    <w:rsid w:val="0017193A"/>
    <w:pPr>
      <w:keepLines/>
      <w:numPr>
        <w:ilvl w:val="3"/>
      </w:numPr>
      <w:tabs>
        <w:tab w:val="num" w:pos="454"/>
        <w:tab w:val="num" w:pos="526"/>
        <w:tab w:val="num" w:pos="907"/>
      </w:tabs>
      <w:spacing w:before="240" w:after="60" w:line="259" w:lineRule="auto"/>
      <w:ind w:left="907" w:hanging="907"/>
    </w:pPr>
    <w:rPr>
      <w:rFonts w:asciiTheme="majorHAnsi" w:eastAsiaTheme="majorEastAsia" w:hAnsiTheme="majorHAnsi" w:cstheme="majorBidi"/>
      <w:iCs/>
      <w:color w:val="EEECE1" w:themeColor="background2"/>
      <w:szCs w:val="16"/>
    </w:rPr>
  </w:style>
  <w:style w:type="paragraph" w:styleId="BodyText2">
    <w:name w:val="Body Text 2"/>
    <w:basedOn w:val="Normal"/>
    <w:link w:val="BodyText2Char"/>
    <w:uiPriority w:val="99"/>
    <w:semiHidden/>
    <w:unhideWhenUsed/>
    <w:rsid w:val="0017193A"/>
    <w:pPr>
      <w:spacing w:after="120" w:line="480" w:lineRule="auto"/>
      <w:jc w:val="left"/>
    </w:pPr>
    <w:rPr>
      <w:rFonts w:cstheme="minorBidi"/>
      <w:szCs w:val="16"/>
    </w:rPr>
  </w:style>
  <w:style w:type="character" w:customStyle="1" w:styleId="BodyText2Char">
    <w:name w:val="Body Text 2 Char"/>
    <w:basedOn w:val="DefaultParagraphFont"/>
    <w:link w:val="BodyText2"/>
    <w:uiPriority w:val="99"/>
    <w:semiHidden/>
    <w:rsid w:val="0017193A"/>
    <w:rPr>
      <w:rFonts w:ascii="Times New Roman" w:hAnsi="Times New Roman"/>
      <w:sz w:val="20"/>
      <w:szCs w:val="16"/>
    </w:rPr>
  </w:style>
  <w:style w:type="paragraph" w:styleId="BodyText3">
    <w:name w:val="Body Text 3"/>
    <w:basedOn w:val="Normal"/>
    <w:link w:val="BodyText3Char"/>
    <w:uiPriority w:val="99"/>
    <w:semiHidden/>
    <w:unhideWhenUsed/>
    <w:rsid w:val="0017193A"/>
    <w:pPr>
      <w:spacing w:after="120" w:line="259" w:lineRule="auto"/>
      <w:jc w:val="left"/>
    </w:pPr>
    <w:rPr>
      <w:rFonts w:cstheme="minorBidi"/>
      <w:szCs w:val="16"/>
    </w:rPr>
  </w:style>
  <w:style w:type="character" w:customStyle="1" w:styleId="BodyText3Char">
    <w:name w:val="Body Text 3 Char"/>
    <w:basedOn w:val="DefaultParagraphFont"/>
    <w:link w:val="BodyText3"/>
    <w:uiPriority w:val="99"/>
    <w:semiHidden/>
    <w:rsid w:val="0017193A"/>
    <w:rPr>
      <w:rFonts w:ascii="Times New Roman" w:hAnsi="Times New Roman"/>
      <w:sz w:val="20"/>
      <w:szCs w:val="16"/>
    </w:rPr>
  </w:style>
  <w:style w:type="paragraph" w:styleId="BodyTextFirstIndent">
    <w:name w:val="Body Text First Indent"/>
    <w:basedOn w:val="BodyText"/>
    <w:link w:val="BodyTextFirstIndentChar"/>
    <w:uiPriority w:val="99"/>
    <w:semiHidden/>
    <w:unhideWhenUsed/>
    <w:rsid w:val="0017193A"/>
    <w:pPr>
      <w:spacing w:after="160" w:line="259" w:lineRule="auto"/>
      <w:ind w:firstLine="360"/>
    </w:pPr>
    <w:rPr>
      <w:rFonts w:cstheme="minorBidi"/>
      <w:szCs w:val="16"/>
    </w:rPr>
  </w:style>
  <w:style w:type="character" w:customStyle="1" w:styleId="BodyTextFirstIndentChar">
    <w:name w:val="Body Text First Indent Char"/>
    <w:basedOn w:val="BodyTextChar"/>
    <w:link w:val="BodyTextFirstIndent"/>
    <w:uiPriority w:val="99"/>
    <w:semiHidden/>
    <w:rsid w:val="0017193A"/>
    <w:rPr>
      <w:rFonts w:ascii="Times New Roman" w:hAnsi="Times New Roman" w:cs="Times New Roman"/>
      <w:sz w:val="20"/>
      <w:szCs w:val="16"/>
    </w:rPr>
  </w:style>
  <w:style w:type="paragraph" w:styleId="BodyTextIndent">
    <w:name w:val="Body Text Indent"/>
    <w:basedOn w:val="Normal"/>
    <w:link w:val="BodyTextIndentChar"/>
    <w:uiPriority w:val="99"/>
    <w:semiHidden/>
    <w:unhideWhenUsed/>
    <w:rsid w:val="0017193A"/>
    <w:pPr>
      <w:spacing w:after="120" w:line="259" w:lineRule="auto"/>
      <w:ind w:left="283"/>
      <w:jc w:val="left"/>
    </w:pPr>
    <w:rPr>
      <w:rFonts w:cstheme="minorBidi"/>
      <w:szCs w:val="16"/>
    </w:rPr>
  </w:style>
  <w:style w:type="character" w:customStyle="1" w:styleId="BodyTextIndentChar">
    <w:name w:val="Body Text Indent Char"/>
    <w:basedOn w:val="DefaultParagraphFont"/>
    <w:link w:val="BodyTextIndent"/>
    <w:uiPriority w:val="99"/>
    <w:semiHidden/>
    <w:rsid w:val="0017193A"/>
    <w:rPr>
      <w:rFonts w:ascii="Times New Roman" w:hAnsi="Times New Roman"/>
      <w:sz w:val="20"/>
      <w:szCs w:val="16"/>
    </w:rPr>
  </w:style>
  <w:style w:type="paragraph" w:styleId="BodyTextFirstIndent2">
    <w:name w:val="Body Text First Indent 2"/>
    <w:basedOn w:val="BodyTextIndent"/>
    <w:link w:val="BodyTextFirstIndent2Char"/>
    <w:uiPriority w:val="99"/>
    <w:semiHidden/>
    <w:unhideWhenUsed/>
    <w:rsid w:val="0017193A"/>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17193A"/>
    <w:rPr>
      <w:rFonts w:ascii="Times New Roman" w:hAnsi="Times New Roman"/>
      <w:sz w:val="20"/>
      <w:szCs w:val="16"/>
    </w:rPr>
  </w:style>
  <w:style w:type="paragraph" w:styleId="BodyTextIndent2">
    <w:name w:val="Body Text Indent 2"/>
    <w:basedOn w:val="Normal"/>
    <w:link w:val="BodyTextIndent2Char"/>
    <w:uiPriority w:val="99"/>
    <w:semiHidden/>
    <w:unhideWhenUsed/>
    <w:rsid w:val="0017193A"/>
    <w:pPr>
      <w:spacing w:after="120" w:line="480" w:lineRule="auto"/>
      <w:ind w:left="283"/>
      <w:jc w:val="left"/>
    </w:pPr>
    <w:rPr>
      <w:rFonts w:cstheme="minorBidi"/>
      <w:szCs w:val="16"/>
    </w:rPr>
  </w:style>
  <w:style w:type="character" w:customStyle="1" w:styleId="BodyTextIndent2Char">
    <w:name w:val="Body Text Indent 2 Char"/>
    <w:basedOn w:val="DefaultParagraphFont"/>
    <w:link w:val="BodyTextIndent2"/>
    <w:uiPriority w:val="99"/>
    <w:semiHidden/>
    <w:rsid w:val="0017193A"/>
    <w:rPr>
      <w:rFonts w:ascii="Times New Roman" w:hAnsi="Times New Roman"/>
      <w:sz w:val="20"/>
      <w:szCs w:val="16"/>
    </w:rPr>
  </w:style>
  <w:style w:type="paragraph" w:styleId="BodyTextIndent3">
    <w:name w:val="Body Text Indent 3"/>
    <w:basedOn w:val="Normal"/>
    <w:link w:val="BodyTextIndent3Char"/>
    <w:uiPriority w:val="99"/>
    <w:semiHidden/>
    <w:unhideWhenUsed/>
    <w:rsid w:val="0017193A"/>
    <w:pPr>
      <w:spacing w:after="120" w:line="259" w:lineRule="auto"/>
      <w:ind w:left="283"/>
      <w:jc w:val="left"/>
    </w:pPr>
    <w:rPr>
      <w:rFonts w:cstheme="minorBidi"/>
      <w:szCs w:val="16"/>
    </w:rPr>
  </w:style>
  <w:style w:type="character" w:customStyle="1" w:styleId="BodyTextIndent3Char">
    <w:name w:val="Body Text Indent 3 Char"/>
    <w:basedOn w:val="DefaultParagraphFont"/>
    <w:link w:val="BodyTextIndent3"/>
    <w:uiPriority w:val="99"/>
    <w:semiHidden/>
    <w:rsid w:val="0017193A"/>
    <w:rPr>
      <w:rFonts w:ascii="Times New Roman" w:hAnsi="Times New Roman"/>
      <w:sz w:val="20"/>
      <w:szCs w:val="16"/>
    </w:rPr>
  </w:style>
  <w:style w:type="paragraph" w:customStyle="1" w:styleId="BodytextNospace">
    <w:name w:val="Body text No space"/>
    <w:basedOn w:val="NoSpacing"/>
    <w:rsid w:val="0017193A"/>
    <w:pPr>
      <w:jc w:val="both"/>
    </w:pPr>
    <w:rPr>
      <w:rFonts w:ascii="Times New Roman" w:eastAsiaTheme="minorHAnsi" w:hAnsi="Times New Roman"/>
      <w:noProof/>
      <w:sz w:val="20"/>
      <w:szCs w:val="16"/>
      <w:lang w:val="nl-NL"/>
    </w:rPr>
  </w:style>
  <w:style w:type="character" w:styleId="BookTitle">
    <w:name w:val="Book Title"/>
    <w:basedOn w:val="DefaultParagraphFont"/>
    <w:uiPriority w:val="59"/>
    <w:rsid w:val="0017193A"/>
    <w:rPr>
      <w:b/>
      <w:bCs/>
      <w:i/>
      <w:iCs/>
      <w:spacing w:val="5"/>
    </w:rPr>
  </w:style>
  <w:style w:type="character" w:styleId="Emphasis">
    <w:name w:val="Emphasis"/>
    <w:basedOn w:val="DefaultParagraphFont"/>
    <w:uiPriority w:val="20"/>
    <w:qFormat/>
    <w:rsid w:val="0017193A"/>
    <w:rPr>
      <w:i/>
      <w:iCs/>
    </w:rPr>
  </w:style>
  <w:style w:type="paragraph" w:customStyle="1" w:styleId="Headline">
    <w:name w:val="Headline"/>
    <w:basedOn w:val="Normal"/>
    <w:next w:val="BodyText"/>
    <w:link w:val="HeadlineChar"/>
    <w:uiPriority w:val="29"/>
    <w:qFormat/>
    <w:rsid w:val="0017193A"/>
    <w:pPr>
      <w:spacing w:before="200" w:after="160" w:line="259" w:lineRule="auto"/>
      <w:jc w:val="left"/>
    </w:pPr>
    <w:rPr>
      <w:rFonts w:cstheme="minorBidi"/>
      <w:b/>
      <w:szCs w:val="16"/>
    </w:rPr>
  </w:style>
  <w:style w:type="character" w:customStyle="1" w:styleId="HeadlineChar">
    <w:name w:val="Headline Char"/>
    <w:basedOn w:val="DefaultParagraphFont"/>
    <w:link w:val="Headline"/>
    <w:uiPriority w:val="29"/>
    <w:rsid w:val="0017193A"/>
    <w:rPr>
      <w:rFonts w:ascii="Times New Roman" w:hAnsi="Times New Roman"/>
      <w:b/>
      <w:sz w:val="24"/>
      <w:szCs w:val="16"/>
    </w:rPr>
  </w:style>
  <w:style w:type="paragraph" w:styleId="ListBullet2">
    <w:name w:val="List Bullet 2"/>
    <w:basedOn w:val="Normal"/>
    <w:uiPriority w:val="99"/>
    <w:semiHidden/>
    <w:unhideWhenUsed/>
    <w:rsid w:val="0017193A"/>
    <w:pPr>
      <w:tabs>
        <w:tab w:val="num" w:pos="643"/>
      </w:tabs>
      <w:spacing w:after="160" w:line="259" w:lineRule="auto"/>
      <w:ind w:left="643" w:hanging="360"/>
      <w:contextualSpacing/>
      <w:jc w:val="left"/>
    </w:pPr>
    <w:rPr>
      <w:rFonts w:cstheme="minorBidi"/>
      <w:sz w:val="16"/>
      <w:szCs w:val="16"/>
    </w:rPr>
  </w:style>
  <w:style w:type="paragraph" w:styleId="ListBullet3">
    <w:name w:val="List Bullet 3"/>
    <w:basedOn w:val="Normal"/>
    <w:uiPriority w:val="99"/>
    <w:semiHidden/>
    <w:unhideWhenUsed/>
    <w:rsid w:val="0017193A"/>
    <w:pPr>
      <w:tabs>
        <w:tab w:val="num" w:pos="1985"/>
      </w:tabs>
      <w:spacing w:after="160" w:line="259" w:lineRule="auto"/>
      <w:ind w:left="1985" w:hanging="1985"/>
      <w:contextualSpacing/>
      <w:jc w:val="left"/>
    </w:pPr>
    <w:rPr>
      <w:rFonts w:cstheme="minorBidi"/>
      <w:sz w:val="16"/>
      <w:szCs w:val="16"/>
    </w:rPr>
  </w:style>
  <w:style w:type="character" w:styleId="PageNumber">
    <w:name w:val="page number"/>
    <w:basedOn w:val="DefaultParagraphFont"/>
    <w:uiPriority w:val="99"/>
    <w:semiHidden/>
    <w:unhideWhenUsed/>
    <w:rsid w:val="0017193A"/>
  </w:style>
  <w:style w:type="table" w:customStyle="1" w:styleId="PlainTable21">
    <w:name w:val="Plain Table 21"/>
    <w:basedOn w:val="TableNormal"/>
    <w:uiPriority w:val="99"/>
    <w:rsid w:val="0017193A"/>
    <w:pPr>
      <w:spacing w:after="0" w:line="240" w:lineRule="auto"/>
    </w:pPr>
    <w:rPr>
      <w:sz w:val="16"/>
      <w:szCs w:val="16"/>
      <w:lang w:val="en-US"/>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Source">
    <w:name w:val="Source"/>
    <w:basedOn w:val="BodyText"/>
    <w:next w:val="BodyText"/>
    <w:link w:val="SourceChar"/>
    <w:qFormat/>
    <w:rsid w:val="0017193A"/>
    <w:pPr>
      <w:spacing w:after="360"/>
    </w:pPr>
    <w:rPr>
      <w:color w:val="1F497D" w:themeColor="text2"/>
      <w:sz w:val="18"/>
      <w:szCs w:val="16"/>
    </w:rPr>
  </w:style>
  <w:style w:type="character" w:customStyle="1" w:styleId="SourceChar">
    <w:name w:val="Source Char"/>
    <w:basedOn w:val="BodyTextChar"/>
    <w:link w:val="Source"/>
    <w:rsid w:val="0017193A"/>
    <w:rPr>
      <w:rFonts w:ascii="Times New Roman" w:hAnsi="Times New Roman" w:cs="Times New Roman"/>
      <w:color w:val="1F497D" w:themeColor="text2"/>
      <w:sz w:val="18"/>
      <w:szCs w:val="16"/>
    </w:rPr>
  </w:style>
  <w:style w:type="character" w:styleId="Strong">
    <w:name w:val="Strong"/>
    <w:basedOn w:val="DefaultParagraphFont"/>
    <w:uiPriority w:val="22"/>
    <w:qFormat/>
    <w:rsid w:val="0017193A"/>
    <w:rPr>
      <w:b/>
      <w:bCs/>
    </w:rPr>
  </w:style>
  <w:style w:type="table" w:customStyle="1" w:styleId="Style2">
    <w:name w:val="Style2"/>
    <w:basedOn w:val="TableNormal"/>
    <w:uiPriority w:val="99"/>
    <w:rsid w:val="0017193A"/>
    <w:pPr>
      <w:spacing w:after="0" w:line="240" w:lineRule="auto"/>
    </w:pPr>
    <w:rPr>
      <w:sz w:val="16"/>
      <w:szCs w:val="16"/>
    </w:rPr>
    <w:tblPr>
      <w:tblInd w:w="0" w:type="nil"/>
      <w:tblCellMar>
        <w:left w:w="0" w:type="dxa"/>
        <w:right w:w="0" w:type="dxa"/>
      </w:tblCellMar>
    </w:tblPr>
  </w:style>
  <w:style w:type="character" w:styleId="SubtleEmphasis">
    <w:name w:val="Subtle Emphasis"/>
    <w:basedOn w:val="DefaultParagraphFont"/>
    <w:uiPriority w:val="21"/>
    <w:rsid w:val="0017193A"/>
    <w:rPr>
      <w:i/>
      <w:iCs/>
      <w:color w:val="404040" w:themeColor="text1" w:themeTint="BF"/>
    </w:rPr>
  </w:style>
  <w:style w:type="character" w:styleId="SubtleReference">
    <w:name w:val="Subtle Reference"/>
    <w:basedOn w:val="DefaultParagraphFont"/>
    <w:uiPriority w:val="59"/>
    <w:rsid w:val="0017193A"/>
    <w:rPr>
      <w:caps/>
      <w:smallCaps w:val="0"/>
      <w:color w:val="5A5A5A" w:themeColor="text1" w:themeTint="A5"/>
    </w:rPr>
  </w:style>
  <w:style w:type="paragraph" w:customStyle="1" w:styleId="Tablebullet2">
    <w:name w:val="Table bullet 2"/>
    <w:basedOn w:val="Bullet2"/>
    <w:link w:val="Tablebullet2Char"/>
    <w:uiPriority w:val="41"/>
    <w:qFormat/>
    <w:rsid w:val="0017193A"/>
    <w:pPr>
      <w:spacing w:before="60" w:line="240" w:lineRule="auto"/>
      <w:ind w:left="432" w:hanging="432"/>
      <w:jc w:val="left"/>
    </w:pPr>
    <w:rPr>
      <w:kern w:val="16"/>
    </w:rPr>
  </w:style>
  <w:style w:type="character" w:customStyle="1" w:styleId="Tablebullet2Char">
    <w:name w:val="Table bullet 2 Char"/>
    <w:basedOn w:val="Bullet2Char"/>
    <w:link w:val="Tablebullet2"/>
    <w:uiPriority w:val="41"/>
    <w:rsid w:val="0017193A"/>
    <w:rPr>
      <w:rFonts w:ascii="Times New Roman" w:hAnsi="Times New Roman"/>
      <w:kern w:val="16"/>
      <w:sz w:val="20"/>
      <w:szCs w:val="20"/>
    </w:rPr>
  </w:style>
  <w:style w:type="paragraph" w:customStyle="1" w:styleId="Tablebullet3">
    <w:name w:val="Table bullet 3"/>
    <w:basedOn w:val="Bullet3"/>
    <w:link w:val="Tablebullet3Char"/>
    <w:uiPriority w:val="41"/>
    <w:qFormat/>
    <w:rsid w:val="0017193A"/>
    <w:pPr>
      <w:tabs>
        <w:tab w:val="num" w:pos="227"/>
        <w:tab w:val="num" w:pos="643"/>
      </w:tabs>
      <w:spacing w:before="60" w:line="240" w:lineRule="auto"/>
      <w:ind w:left="643" w:hanging="360"/>
      <w:jc w:val="left"/>
    </w:pPr>
    <w:rPr>
      <w:kern w:val="16"/>
    </w:rPr>
  </w:style>
  <w:style w:type="character" w:customStyle="1" w:styleId="Tablebullet3Char">
    <w:name w:val="Table bullet 3 Char"/>
    <w:basedOn w:val="Bullet3Char"/>
    <w:link w:val="Tablebullet3"/>
    <w:uiPriority w:val="41"/>
    <w:rsid w:val="0017193A"/>
    <w:rPr>
      <w:rFonts w:ascii="Times New Roman" w:hAnsi="Times New Roman"/>
      <w:kern w:val="16"/>
      <w:sz w:val="20"/>
      <w:szCs w:val="20"/>
    </w:rPr>
  </w:style>
  <w:style w:type="paragraph" w:customStyle="1" w:styleId="Tablecolumnheader">
    <w:name w:val="Table column header"/>
    <w:basedOn w:val="BodyText"/>
    <w:rsid w:val="0017193A"/>
    <w:pPr>
      <w:spacing w:before="60" w:after="0"/>
    </w:pPr>
    <w:rPr>
      <w:rFonts w:asciiTheme="majorHAnsi" w:eastAsia="Times New Roman" w:hAnsiTheme="majorHAnsi"/>
      <w:sz w:val="16"/>
    </w:rPr>
  </w:style>
  <w:style w:type="table" w:customStyle="1" w:styleId="TableGrid1">
    <w:name w:val="Table Grid1"/>
    <w:basedOn w:val="TableNormal"/>
    <w:next w:val="TableGrid"/>
    <w:uiPriority w:val="39"/>
    <w:rsid w:val="0017193A"/>
    <w:pPr>
      <w:spacing w:after="0" w:line="240" w:lineRule="auto"/>
    </w:pPr>
    <w:rPr>
      <w:sz w:val="16"/>
      <w:szCs w:val="16"/>
      <w:lang w:val="en-US"/>
    </w:rPr>
    <w:tblPr>
      <w:tblInd w:w="0" w:type="nil"/>
      <w:tblCellMar>
        <w:left w:w="0" w:type="dxa"/>
        <w:right w:w="0" w:type="dxa"/>
      </w:tblCellMar>
    </w:tblPr>
  </w:style>
  <w:style w:type="paragraph" w:customStyle="1" w:styleId="Tablenumber1">
    <w:name w:val="Table number 1"/>
    <w:basedOn w:val="Normal"/>
    <w:link w:val="Tablenumber1Char"/>
    <w:autoRedefine/>
    <w:uiPriority w:val="41"/>
    <w:qFormat/>
    <w:rsid w:val="0017193A"/>
    <w:pPr>
      <w:spacing w:before="60" w:after="0"/>
      <w:ind w:left="227" w:hanging="227"/>
      <w:jc w:val="left"/>
    </w:pPr>
    <w:rPr>
      <w:rFonts w:asciiTheme="majorHAnsi" w:hAnsiTheme="majorHAnsi" w:cstheme="minorBidi"/>
      <w:kern w:val="16"/>
      <w:sz w:val="14"/>
      <w:szCs w:val="14"/>
    </w:rPr>
  </w:style>
  <w:style w:type="character" w:customStyle="1" w:styleId="Tablenumber1Char">
    <w:name w:val="Table number 1 Char"/>
    <w:basedOn w:val="DefaultParagraphFont"/>
    <w:link w:val="Tablenumber1"/>
    <w:uiPriority w:val="41"/>
    <w:rsid w:val="0017193A"/>
    <w:rPr>
      <w:rFonts w:asciiTheme="majorHAnsi" w:hAnsiTheme="majorHAnsi"/>
      <w:kern w:val="16"/>
      <w:sz w:val="14"/>
      <w:szCs w:val="14"/>
    </w:rPr>
  </w:style>
  <w:style w:type="paragraph" w:customStyle="1" w:styleId="Tablenumber2">
    <w:name w:val="Table number 2"/>
    <w:basedOn w:val="Tablenumber1"/>
    <w:link w:val="Tablenumber2Char"/>
    <w:uiPriority w:val="41"/>
    <w:qFormat/>
    <w:rsid w:val="0017193A"/>
    <w:pPr>
      <w:tabs>
        <w:tab w:val="num" w:pos="340"/>
      </w:tabs>
      <w:ind w:left="340"/>
    </w:pPr>
  </w:style>
  <w:style w:type="character" w:customStyle="1" w:styleId="Tablenumber2Char">
    <w:name w:val="Table number 2 Char"/>
    <w:basedOn w:val="Tablenumber1Char"/>
    <w:link w:val="Tablenumber2"/>
    <w:uiPriority w:val="41"/>
    <w:rsid w:val="0017193A"/>
    <w:rPr>
      <w:rFonts w:asciiTheme="majorHAnsi" w:hAnsiTheme="majorHAnsi"/>
      <w:kern w:val="16"/>
      <w:sz w:val="14"/>
      <w:szCs w:val="14"/>
    </w:rPr>
  </w:style>
  <w:style w:type="character" w:customStyle="1" w:styleId="Tablenumber3Char">
    <w:name w:val="Table number 3 Char"/>
    <w:basedOn w:val="Tablenumber2Char"/>
    <w:link w:val="Tablenumber3"/>
    <w:uiPriority w:val="41"/>
    <w:rsid w:val="0017193A"/>
    <w:rPr>
      <w:rFonts w:asciiTheme="majorHAnsi" w:hAnsiTheme="majorHAnsi"/>
      <w:kern w:val="16"/>
      <w:sz w:val="14"/>
      <w:szCs w:val="14"/>
    </w:rPr>
  </w:style>
  <w:style w:type="paragraph" w:customStyle="1" w:styleId="Tablerowheader">
    <w:name w:val="Table row header"/>
    <w:basedOn w:val="Tablecolumnheader"/>
    <w:uiPriority w:val="40"/>
    <w:rsid w:val="0017193A"/>
    <w:rPr>
      <w:color w:val="000000"/>
    </w:rPr>
  </w:style>
  <w:style w:type="table" w:customStyle="1" w:styleId="TechnopolisLight">
    <w:name w:val="Technopolis Light"/>
    <w:basedOn w:val="TableNormal"/>
    <w:uiPriority w:val="99"/>
    <w:rsid w:val="0017193A"/>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b/>
        <w:i w:val="0"/>
      </w:rPr>
    </w:tblStylePr>
  </w:style>
  <w:style w:type="table" w:customStyle="1" w:styleId="TechnopolisLight1">
    <w:name w:val="Technopolis Light1"/>
    <w:basedOn w:val="TableNormal"/>
    <w:uiPriority w:val="99"/>
    <w:rsid w:val="0017193A"/>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i/>
      </w:rPr>
    </w:tblStylePr>
  </w:style>
  <w:style w:type="table" w:customStyle="1" w:styleId="TechnopolisTable">
    <w:name w:val="Technopolis Table"/>
    <w:basedOn w:val="TechnopolisLight"/>
    <w:uiPriority w:val="99"/>
    <w:rsid w:val="0017193A"/>
    <w:tblPr/>
    <w:tblStylePr w:type="firstRow">
      <w:pPr>
        <w:wordWrap/>
        <w:jc w:val="left"/>
      </w:pPr>
      <w:rPr>
        <w:b/>
        <w:i w:val="0"/>
      </w:rPr>
    </w:tblStylePr>
  </w:style>
  <w:style w:type="table" w:customStyle="1" w:styleId="Technopolistable2">
    <w:name w:val="Technopolis table 2"/>
    <w:basedOn w:val="TableNormal"/>
    <w:uiPriority w:val="99"/>
    <w:rsid w:val="0017193A"/>
    <w:pPr>
      <w:spacing w:after="0" w:line="240" w:lineRule="auto"/>
    </w:pPr>
    <w:rPr>
      <w:rFonts w:ascii="Georgia" w:hAnsi="Georgia"/>
      <w:color w:val="00B050"/>
      <w:sz w:val="16"/>
      <w:szCs w:val="16"/>
      <w:lang w:val="en-US"/>
    </w:rPr>
    <w:tblPr>
      <w:tblInd w:w="0" w:type="nil"/>
      <w:tblCellMar>
        <w:left w:w="0" w:type="dxa"/>
        <w:right w:w="0" w:type="dxa"/>
      </w:tblCellMar>
    </w:tblPr>
    <w:tblStylePr w:type="firstRow">
      <w:rPr>
        <w:sz w:val="16"/>
      </w:rPr>
    </w:tblStylePr>
  </w:style>
  <w:style w:type="table" w:customStyle="1" w:styleId="TechnopolisTEST2">
    <w:name w:val="Technopolis TEST 2"/>
    <w:basedOn w:val="TableNormal"/>
    <w:uiPriority w:val="99"/>
    <w:rsid w:val="0017193A"/>
    <w:pPr>
      <w:spacing w:after="0" w:line="240" w:lineRule="auto"/>
    </w:pPr>
    <w:rPr>
      <w:sz w:val="16"/>
      <w:szCs w:val="16"/>
      <w:lang w:val="en-US"/>
    </w:rPr>
    <w:tblPr>
      <w:tblInd w:w="0" w:type="nil"/>
      <w:tblCellMar>
        <w:left w:w="0" w:type="dxa"/>
        <w:right w:w="0" w:type="dxa"/>
      </w:tblCellMar>
    </w:tblPr>
    <w:tblStylePr w:type="firstRow">
      <w:rPr>
        <w:sz w:val="16"/>
      </w:rPr>
    </w:tblStylePr>
    <w:tblStylePr w:type="lastRow">
      <w:rPr>
        <w:sz w:val="16"/>
      </w:rPr>
    </w:tblStylePr>
    <w:tblStylePr w:type="firstCol">
      <w:rPr>
        <w:sz w:val="16"/>
      </w:rPr>
    </w:tblStylePr>
    <w:tblStylePr w:type="lastCol">
      <w:rPr>
        <w:sz w:val="16"/>
      </w:rPr>
    </w:tblStylePr>
    <w:tblStylePr w:type="band1Vert">
      <w:rPr>
        <w:sz w:val="16"/>
      </w:rPr>
    </w:tblStylePr>
    <w:tblStylePr w:type="band2Vert">
      <w:rPr>
        <w:sz w:val="16"/>
      </w:rPr>
    </w:tblStylePr>
    <w:tblStylePr w:type="band1Horz">
      <w:rPr>
        <w:sz w:val="16"/>
      </w:rPr>
    </w:tblStylePr>
    <w:tblStylePr w:type="band2Horz">
      <w:rPr>
        <w:sz w:val="16"/>
      </w:rPr>
    </w:tblStylePr>
    <w:tblStylePr w:type="neCell">
      <w:rPr>
        <w:sz w:val="16"/>
      </w:rPr>
    </w:tblStylePr>
    <w:tblStylePr w:type="nwCell">
      <w:rPr>
        <w:sz w:val="16"/>
      </w:rPr>
    </w:tblStylePr>
    <w:tblStylePr w:type="seCell">
      <w:rPr>
        <w:sz w:val="16"/>
      </w:rPr>
    </w:tblStylePr>
    <w:tblStylePr w:type="swCell">
      <w:rPr>
        <w:sz w:val="16"/>
      </w:rPr>
    </w:tblStylePr>
  </w:style>
  <w:style w:type="paragraph" w:styleId="TOC4">
    <w:name w:val="toc 4"/>
    <w:basedOn w:val="TOC1"/>
    <w:next w:val="Normal"/>
    <w:autoRedefine/>
    <w:uiPriority w:val="39"/>
    <w:rsid w:val="0017193A"/>
    <w:pPr>
      <w:tabs>
        <w:tab w:val="clear" w:pos="8640"/>
        <w:tab w:val="right" w:leader="underscore" w:pos="9061"/>
      </w:tabs>
      <w:spacing w:line="259" w:lineRule="auto"/>
      <w:ind w:left="1247" w:right="284" w:hanging="1247"/>
      <w:jc w:val="left"/>
    </w:pPr>
    <w:rPr>
      <w:rFonts w:eastAsiaTheme="minorHAnsi" w:cstheme="minorBidi"/>
      <w:caps w:val="0"/>
      <w:noProof/>
      <w:color w:val="000000" w:themeColor="text1"/>
      <w:szCs w:val="16"/>
    </w:rPr>
  </w:style>
  <w:style w:type="paragraph" w:styleId="TOC5">
    <w:name w:val="toc 5"/>
    <w:basedOn w:val="TOC4"/>
    <w:next w:val="Normal"/>
    <w:autoRedefine/>
    <w:uiPriority w:val="39"/>
    <w:rsid w:val="0017193A"/>
    <w:pPr>
      <w:ind w:left="851" w:hanging="851"/>
    </w:pPr>
  </w:style>
  <w:style w:type="paragraph" w:styleId="TOC6">
    <w:name w:val="toc 6"/>
    <w:basedOn w:val="Normal"/>
    <w:next w:val="Normal"/>
    <w:autoRedefine/>
    <w:uiPriority w:val="39"/>
    <w:rsid w:val="0017193A"/>
    <w:pPr>
      <w:spacing w:after="0" w:line="259" w:lineRule="auto"/>
      <w:ind w:left="1000"/>
      <w:jc w:val="left"/>
    </w:pPr>
    <w:rPr>
      <w:rFonts w:cstheme="minorBidi"/>
      <w:sz w:val="16"/>
      <w:szCs w:val="20"/>
    </w:rPr>
  </w:style>
  <w:style w:type="paragraph" w:styleId="TOC7">
    <w:name w:val="toc 7"/>
    <w:basedOn w:val="Normal"/>
    <w:next w:val="Normal"/>
    <w:autoRedefine/>
    <w:uiPriority w:val="39"/>
    <w:rsid w:val="0017193A"/>
    <w:pPr>
      <w:spacing w:after="0" w:line="259" w:lineRule="auto"/>
      <w:ind w:left="1200"/>
      <w:jc w:val="left"/>
    </w:pPr>
    <w:rPr>
      <w:rFonts w:cstheme="minorBidi"/>
      <w:sz w:val="16"/>
      <w:szCs w:val="20"/>
    </w:rPr>
  </w:style>
  <w:style w:type="paragraph" w:styleId="TOC8">
    <w:name w:val="toc 8"/>
    <w:basedOn w:val="Normal"/>
    <w:next w:val="Normal"/>
    <w:autoRedefine/>
    <w:uiPriority w:val="39"/>
    <w:rsid w:val="0017193A"/>
    <w:pPr>
      <w:spacing w:after="0" w:line="259" w:lineRule="auto"/>
      <w:ind w:left="1400"/>
      <w:jc w:val="left"/>
    </w:pPr>
    <w:rPr>
      <w:rFonts w:cstheme="minorBidi"/>
      <w:sz w:val="16"/>
      <w:szCs w:val="20"/>
    </w:rPr>
  </w:style>
  <w:style w:type="paragraph" w:styleId="TOC9">
    <w:name w:val="toc 9"/>
    <w:basedOn w:val="Normal"/>
    <w:next w:val="Normal"/>
    <w:autoRedefine/>
    <w:uiPriority w:val="39"/>
    <w:rsid w:val="0017193A"/>
    <w:pPr>
      <w:spacing w:after="0" w:line="259" w:lineRule="auto"/>
      <w:ind w:left="1600"/>
      <w:jc w:val="left"/>
    </w:pPr>
    <w:rPr>
      <w:rFonts w:cstheme="minorBidi"/>
      <w:sz w:val="16"/>
      <w:szCs w:val="20"/>
    </w:rPr>
  </w:style>
  <w:style w:type="paragraph" w:customStyle="1" w:styleId="Version">
    <w:name w:val="Version"/>
    <w:basedOn w:val="Title"/>
    <w:next w:val="BodyText"/>
    <w:uiPriority w:val="44"/>
    <w:rsid w:val="0017193A"/>
    <w:pPr>
      <w:pBdr>
        <w:bottom w:val="dotted" w:sz="48" w:space="1" w:color="FFFFFF" w:themeColor="background1"/>
      </w:pBdr>
      <w:spacing w:line="259" w:lineRule="auto"/>
      <w:jc w:val="left"/>
    </w:pPr>
    <w:rPr>
      <w:bCs/>
      <w:iCs/>
      <w:color w:val="000000" w:themeColor="text1"/>
      <w:sz w:val="28"/>
    </w:rPr>
  </w:style>
  <w:style w:type="paragraph" w:styleId="Date">
    <w:name w:val="Date"/>
    <w:basedOn w:val="Normal"/>
    <w:next w:val="Normal"/>
    <w:link w:val="DateChar"/>
    <w:uiPriority w:val="99"/>
    <w:unhideWhenUsed/>
    <w:rsid w:val="0017193A"/>
    <w:pPr>
      <w:spacing w:after="160"/>
      <w:jc w:val="left"/>
    </w:pPr>
    <w:rPr>
      <w:rFonts w:cstheme="minorBidi"/>
      <w:i/>
      <w:color w:val="FFFFFF" w:themeColor="background1"/>
      <w:sz w:val="26"/>
      <w:szCs w:val="16"/>
    </w:rPr>
  </w:style>
  <w:style w:type="character" w:customStyle="1" w:styleId="DateChar">
    <w:name w:val="Date Char"/>
    <w:basedOn w:val="DefaultParagraphFont"/>
    <w:link w:val="Date"/>
    <w:uiPriority w:val="99"/>
    <w:rsid w:val="0017193A"/>
    <w:rPr>
      <w:rFonts w:ascii="Times New Roman" w:hAnsi="Times New Roman"/>
      <w:i/>
      <w:color w:val="FFFFFF" w:themeColor="background1"/>
      <w:sz w:val="26"/>
      <w:szCs w:val="16"/>
    </w:rPr>
  </w:style>
  <w:style w:type="paragraph" w:customStyle="1" w:styleId="Teammembers">
    <w:name w:val="Team members"/>
    <w:basedOn w:val="BodyText"/>
    <w:uiPriority w:val="69"/>
    <w:rsid w:val="0017193A"/>
    <w:pPr>
      <w:spacing w:line="259" w:lineRule="auto"/>
    </w:pPr>
    <w:rPr>
      <w:rFonts w:cstheme="minorBidi"/>
      <w:szCs w:val="16"/>
    </w:rPr>
  </w:style>
  <w:style w:type="paragraph" w:customStyle="1" w:styleId="Titlerepeat">
    <w:name w:val="Title repeat"/>
    <w:basedOn w:val="Normal"/>
    <w:next w:val="Subtitle"/>
    <w:uiPriority w:val="69"/>
    <w:rsid w:val="0017193A"/>
    <w:pPr>
      <w:spacing w:after="200" w:line="259" w:lineRule="auto"/>
      <w:jc w:val="left"/>
    </w:pPr>
    <w:rPr>
      <w:rFonts w:cstheme="minorBidi"/>
      <w:b/>
      <w:color w:val="1F497D" w:themeColor="text2"/>
      <w:sz w:val="32"/>
      <w:szCs w:val="32"/>
    </w:rPr>
  </w:style>
  <w:style w:type="paragraph" w:customStyle="1" w:styleId="Subtitlerepeat">
    <w:name w:val="Subtitle repeat"/>
    <w:basedOn w:val="Subtitle"/>
    <w:next w:val="Normal"/>
    <w:uiPriority w:val="69"/>
    <w:rsid w:val="0017193A"/>
    <w:pPr>
      <w:pBdr>
        <w:bottom w:val="single" w:sz="4" w:space="24" w:color="1F497D" w:themeColor="text2"/>
      </w:pBdr>
      <w:spacing w:after="120"/>
      <w:jc w:val="left"/>
    </w:pPr>
    <w:rPr>
      <w:rFonts w:asciiTheme="majorHAnsi" w:eastAsiaTheme="majorEastAsia" w:hAnsiTheme="majorHAnsi" w:cstheme="majorBidi"/>
      <w:b/>
      <w:color w:val="000000" w:themeColor="text1"/>
      <w:spacing w:val="-10"/>
      <w:kern w:val="28"/>
      <w:sz w:val="32"/>
      <w:szCs w:val="36"/>
    </w:rPr>
  </w:style>
  <w:style w:type="character" w:customStyle="1" w:styleId="NoSpacingChar">
    <w:name w:val="No Spacing Char"/>
    <w:basedOn w:val="DefaultParagraphFont"/>
    <w:link w:val="NoSpacing"/>
    <w:uiPriority w:val="9"/>
    <w:rsid w:val="0017193A"/>
    <w:rPr>
      <w:rFonts w:eastAsiaTheme="minorEastAsia"/>
    </w:rPr>
  </w:style>
  <w:style w:type="paragraph" w:customStyle="1" w:styleId="BodyText0">
    <w:name w:val="BodyText"/>
    <w:aliases w:val="Document,Doc,Body Text2,doc,Standard paragraph,(Norm),Body Text 12,bt,gl,uvlaka 2,heading3,Body Text - Level 2,1body,BodText,body text,Body Txt,Body Text-10,Body Text Char2,Text Char1,Τίτλος Μελέτης,- TF,-,??t??? ?e??t??,Základní text,Text,Te"/>
    <w:basedOn w:val="Normal"/>
    <w:link w:val="BodyTextChar0"/>
    <w:qFormat/>
    <w:rsid w:val="0017193A"/>
    <w:pPr>
      <w:spacing w:after="160" w:line="259" w:lineRule="auto"/>
    </w:pPr>
    <w:rPr>
      <w:rFonts w:cstheme="minorBidi"/>
      <w:szCs w:val="22"/>
    </w:rPr>
  </w:style>
  <w:style w:type="character" w:customStyle="1" w:styleId="BodyTextChar0">
    <w:name w:val="BodyText Char"/>
    <w:aliases w:val="Základní text Char,Document Char,Doc Char,Body Text2 Char,doc Char,Standard paragraph Char,(Norm) Char,Body Text 12 Char,bt Char,gl Char,uvlaka 2 Char,heading3 Char,Body Text - Level 2 Char,1body Char,BodText Char,body text Char,- TF Char"/>
    <w:basedOn w:val="DefaultParagraphFont"/>
    <w:link w:val="BodyText0"/>
    <w:rsid w:val="0017193A"/>
    <w:rPr>
      <w:rFonts w:ascii="Times New Roman" w:hAnsi="Times New Roman"/>
      <w:sz w:val="20"/>
    </w:rPr>
  </w:style>
  <w:style w:type="paragraph" w:customStyle="1" w:styleId="TableListBullet">
    <w:name w:val="Table List Bullet"/>
    <w:basedOn w:val="BodyText"/>
    <w:rsid w:val="0017193A"/>
    <w:pPr>
      <w:spacing w:after="60"/>
      <w:ind w:left="360" w:hanging="360"/>
      <w:jc w:val="left"/>
    </w:pPr>
    <w:rPr>
      <w:rFonts w:ascii="Georgia" w:eastAsia="Times New Roman" w:hAnsi="Georgia"/>
      <w:sz w:val="16"/>
    </w:rPr>
  </w:style>
  <w:style w:type="paragraph" w:customStyle="1" w:styleId="InsertFigure">
    <w:name w:val="InsertFigure"/>
    <w:basedOn w:val="BodyText"/>
    <w:rsid w:val="0017193A"/>
    <w:pPr>
      <w:jc w:val="center"/>
    </w:pPr>
    <w:rPr>
      <w:rFonts w:ascii="Georgia" w:eastAsia="Times New Roman" w:hAnsi="Georgia"/>
      <w:color w:val="333333"/>
      <w:sz w:val="18"/>
      <w:lang w:val="de-DE"/>
    </w:rPr>
  </w:style>
  <w:style w:type="character" w:customStyle="1" w:styleId="BulletlistChar1">
    <w:name w:val="Bullet list Char1"/>
    <w:basedOn w:val="DefaultParagraphFont"/>
    <w:link w:val="Bulletlist"/>
    <w:locked/>
    <w:rsid w:val="0017193A"/>
    <w:rPr>
      <w:sz w:val="20"/>
    </w:rPr>
  </w:style>
  <w:style w:type="paragraph" w:customStyle="1" w:styleId="Bulletlist">
    <w:name w:val="Bullet list"/>
    <w:basedOn w:val="BodyText"/>
    <w:link w:val="BulletlistChar1"/>
    <w:qFormat/>
    <w:rsid w:val="0017193A"/>
    <w:pPr>
      <w:spacing w:after="80" w:line="256" w:lineRule="auto"/>
      <w:ind w:left="360" w:hanging="360"/>
    </w:pPr>
    <w:rPr>
      <w:rFonts w:asciiTheme="minorHAnsi" w:hAnsiTheme="minorHAnsi" w:cstheme="minorBidi"/>
      <w:szCs w:val="22"/>
    </w:rPr>
  </w:style>
  <w:style w:type="paragraph" w:customStyle="1" w:styleId="Table">
    <w:name w:val="Table"/>
    <w:basedOn w:val="BodyText"/>
    <w:link w:val="TableChar"/>
    <w:qFormat/>
    <w:rsid w:val="0017193A"/>
    <w:pPr>
      <w:spacing w:before="60"/>
    </w:pPr>
    <w:rPr>
      <w:rFonts w:asciiTheme="majorHAnsi" w:hAnsiTheme="majorHAnsi" w:cstheme="minorBidi"/>
      <w:sz w:val="16"/>
      <w:szCs w:val="16"/>
    </w:rPr>
  </w:style>
  <w:style w:type="character" w:customStyle="1" w:styleId="TableChar">
    <w:name w:val="Table Char"/>
    <w:basedOn w:val="DefaultParagraphFont"/>
    <w:link w:val="Table"/>
    <w:locked/>
    <w:rsid w:val="0017193A"/>
    <w:rPr>
      <w:rFonts w:asciiTheme="majorHAnsi" w:hAnsiTheme="majorHAnsi"/>
      <w:sz w:val="16"/>
      <w:szCs w:val="16"/>
    </w:rPr>
  </w:style>
  <w:style w:type="table" w:customStyle="1" w:styleId="TipikTable">
    <w:name w:val="Tipik Table"/>
    <w:basedOn w:val="TableNormal"/>
    <w:uiPriority w:val="99"/>
    <w:rsid w:val="0017193A"/>
    <w:pPr>
      <w:widowControl w:val="0"/>
      <w:spacing w:after="0" w:line="264" w:lineRule="auto"/>
    </w:pPr>
    <w:rPr>
      <w:sz w:val="16"/>
      <w:szCs w:val="18"/>
      <w:lang w:val="en-US"/>
    </w:rPr>
    <w:tblPr>
      <w:tblInd w:w="0" w:type="nil"/>
      <w:tblCellMar>
        <w:left w:w="0" w:type="dxa"/>
        <w:right w:w="0" w:type="dxa"/>
      </w:tblCellMar>
    </w:tblPr>
    <w:tblStylePr w:type="firstRow">
      <w:pPr>
        <w:wordWrap/>
        <w:spacing w:beforeLines="0" w:before="100" w:beforeAutospacing="1" w:afterLines="0" w:after="100" w:afterAutospacing="1" w:line="264" w:lineRule="auto"/>
        <w:ind w:leftChars="0" w:left="0" w:rightChars="0" w:right="0" w:firstLineChars="0" w:firstLine="0"/>
        <w:mirrorIndents w:val="0"/>
        <w:jc w:val="left"/>
        <w:outlineLvl w:val="9"/>
      </w:pPr>
      <w:rPr>
        <w:rFonts w:asciiTheme="majorHAnsi" w:hAnsiTheme="majorHAnsi" w:hint="default"/>
        <w:b/>
        <w:color w:val="FFFFFF" w:themeColor="background1"/>
        <w:sz w:val="18"/>
        <w:szCs w:val="18"/>
      </w:rPr>
    </w:tblStylePr>
    <w:tblStylePr w:type="lastRow">
      <w:rPr>
        <w:rFonts w:asciiTheme="minorHAnsi" w:hAnsiTheme="minorHAnsi" w:hint="default"/>
        <w:b/>
        <w:color w:val="FFFFFF" w:themeColor="background1"/>
        <w:sz w:val="18"/>
        <w:szCs w:val="18"/>
      </w:rPr>
    </w:tblStylePr>
    <w:tblStylePr w:type="firstCol">
      <w:rPr>
        <w:b/>
        <w:sz w:val="18"/>
        <w:szCs w:val="18"/>
      </w:rPr>
    </w:tblStylePr>
    <w:tblStylePr w:type="lastCol">
      <w:rPr>
        <w:b/>
        <w:sz w:val="18"/>
        <w:szCs w:val="18"/>
      </w:rPr>
    </w:tblStylePr>
    <w:tblStylePr w:type="band2Horz">
      <w:pPr>
        <w:jc w:val="left"/>
      </w:pPr>
    </w:tblStylePr>
  </w:style>
  <w:style w:type="character" w:customStyle="1" w:styleId="TabletextChar">
    <w:name w:val="Table text Char"/>
    <w:aliases w:val="ttx Char"/>
    <w:basedOn w:val="DefaultParagraphFont"/>
    <w:link w:val="Tabletext"/>
    <w:uiPriority w:val="39"/>
    <w:rsid w:val="0017193A"/>
    <w:rPr>
      <w:rFonts w:ascii="Times New Roman" w:eastAsia="Times New Roman" w:hAnsi="Times New Roman" w:cs="Times New Roman"/>
      <w:kern w:val="2"/>
      <w:sz w:val="16"/>
      <w:szCs w:val="24"/>
      <w:lang w:val="en-US"/>
      <w14:ligatures w14:val="standardContextual"/>
    </w:rPr>
  </w:style>
  <w:style w:type="paragraph" w:customStyle="1" w:styleId="BTBullet1">
    <w:name w:val="BTBullet1"/>
    <w:basedOn w:val="Normal"/>
    <w:uiPriority w:val="6"/>
    <w:qFormat/>
    <w:rsid w:val="0017193A"/>
    <w:pPr>
      <w:spacing w:before="60" w:after="80"/>
      <w:ind w:left="720" w:hanging="360"/>
    </w:pPr>
    <w:rPr>
      <w:rFonts w:asciiTheme="majorHAnsi" w:hAnsiTheme="majorHAnsi" w:cstheme="minorBidi"/>
      <w:sz w:val="16"/>
      <w:szCs w:val="16"/>
      <w:lang w:val="fr-FR" w:eastAsia="en-GB"/>
    </w:rPr>
  </w:style>
  <w:style w:type="numbering" w:customStyle="1" w:styleId="StandardEinzuegeListe">
    <w:name w:val="StandardEinzuegeListe"/>
    <w:basedOn w:val="NoList"/>
    <w:rsid w:val="0017193A"/>
  </w:style>
  <w:style w:type="paragraph" w:customStyle="1" w:styleId="ABody">
    <w:name w:val="A Body"/>
    <w:basedOn w:val="Normal"/>
    <w:link w:val="ABodyChar"/>
    <w:qFormat/>
    <w:rsid w:val="0017193A"/>
    <w:pPr>
      <w:spacing w:before="120" w:after="120" w:line="259" w:lineRule="auto"/>
    </w:pPr>
    <w:rPr>
      <w:rFonts w:ascii="Century Gothic" w:hAnsi="Century Gothic" w:cstheme="minorBidi"/>
      <w:color w:val="000000"/>
      <w:szCs w:val="20"/>
    </w:rPr>
  </w:style>
  <w:style w:type="character" w:customStyle="1" w:styleId="ABodyChar">
    <w:name w:val="A Body Char"/>
    <w:link w:val="ABody"/>
    <w:rsid w:val="0017193A"/>
    <w:rPr>
      <w:rFonts w:ascii="Century Gothic" w:hAnsi="Century Gothic"/>
      <w:color w:val="000000"/>
      <w:sz w:val="20"/>
      <w:szCs w:val="20"/>
    </w:rPr>
  </w:style>
  <w:style w:type="numbering" w:customStyle="1" w:styleId="CurrentList6">
    <w:name w:val="Current List6"/>
    <w:uiPriority w:val="99"/>
    <w:rsid w:val="00A30438"/>
  </w:style>
  <w:style w:type="numbering" w:customStyle="1" w:styleId="ListNumbering">
    <w:name w:val="List Numbering"/>
    <w:basedOn w:val="NoList"/>
    <w:uiPriority w:val="99"/>
    <w:rsid w:val="00A30438"/>
    <w:pPr>
      <w:numPr>
        <w:numId w:val="59"/>
      </w:numPr>
    </w:pPr>
  </w:style>
  <w:style w:type="numbering" w:customStyle="1" w:styleId="CurrentList7">
    <w:name w:val="Current List7"/>
    <w:uiPriority w:val="99"/>
    <w:rsid w:val="00A30438"/>
    <w:pPr>
      <w:numPr>
        <w:numId w:val="57"/>
      </w:numPr>
    </w:pPr>
  </w:style>
  <w:style w:type="numbering" w:customStyle="1" w:styleId="CurrentList10">
    <w:name w:val="Current List10"/>
    <w:uiPriority w:val="99"/>
    <w:rsid w:val="0017193A"/>
  </w:style>
  <w:style w:type="paragraph" w:customStyle="1" w:styleId="msonormal0">
    <w:name w:val="msonormal"/>
    <w:basedOn w:val="Normal"/>
    <w:rsid w:val="0017193A"/>
    <w:pPr>
      <w:spacing w:before="100" w:beforeAutospacing="1" w:after="100" w:afterAutospacing="1"/>
      <w:jc w:val="left"/>
    </w:pPr>
    <w:rPr>
      <w:rFonts w:eastAsia="Times New Roman"/>
      <w:lang w:val="en-US" w:eastAsia="en-GB"/>
    </w:rPr>
  </w:style>
  <w:style w:type="paragraph" w:customStyle="1" w:styleId="xl63">
    <w:name w:val="xl63"/>
    <w:basedOn w:val="Normal"/>
    <w:rsid w:val="0017193A"/>
    <w:pPr>
      <w:pBdr>
        <w:top w:val="single" w:sz="4" w:space="0" w:color="auto"/>
        <w:bottom w:val="single" w:sz="4" w:space="0" w:color="auto"/>
        <w:right w:val="single" w:sz="4" w:space="0" w:color="auto"/>
      </w:pBdr>
      <w:shd w:val="clear" w:color="000000" w:fill="C73C3A"/>
      <w:spacing w:before="100" w:beforeAutospacing="1" w:after="100" w:afterAutospacing="1"/>
      <w:jc w:val="left"/>
      <w:textAlignment w:val="top"/>
    </w:pPr>
    <w:rPr>
      <w:rFonts w:ascii="Century Gothic" w:eastAsia="Times New Roman" w:hAnsi="Century Gothic"/>
      <w:color w:val="FFFFFF"/>
      <w:szCs w:val="20"/>
      <w:lang w:val="en-US" w:eastAsia="en-GB"/>
    </w:rPr>
  </w:style>
  <w:style w:type="paragraph" w:customStyle="1" w:styleId="xl64">
    <w:name w:val="xl64"/>
    <w:basedOn w:val="Normal"/>
    <w:rsid w:val="0017193A"/>
    <w:pPr>
      <w:pBdr>
        <w:top w:val="single" w:sz="4" w:space="0" w:color="auto"/>
        <w:bottom w:val="single" w:sz="4" w:space="0" w:color="auto"/>
        <w:right w:val="single" w:sz="4" w:space="0" w:color="auto"/>
      </w:pBdr>
      <w:shd w:val="clear" w:color="000000" w:fill="C73C3A"/>
      <w:spacing w:before="100" w:beforeAutospacing="1" w:after="100" w:afterAutospacing="1"/>
      <w:jc w:val="left"/>
      <w:textAlignment w:val="top"/>
    </w:pPr>
    <w:rPr>
      <w:rFonts w:ascii="Century Gothic" w:eastAsia="Times New Roman" w:hAnsi="Century Gothic"/>
      <w:color w:val="FFFFFF"/>
      <w:szCs w:val="20"/>
      <w:lang w:val="en-US" w:eastAsia="en-GB"/>
    </w:rPr>
  </w:style>
  <w:style w:type="paragraph" w:customStyle="1" w:styleId="xl65">
    <w:name w:val="xl65"/>
    <w:basedOn w:val="Normal"/>
    <w:rsid w:val="0017193A"/>
    <w:pPr>
      <w:pBdr>
        <w:top w:val="single" w:sz="4" w:space="0" w:color="auto"/>
        <w:bottom w:val="single" w:sz="4" w:space="0" w:color="auto"/>
        <w:right w:val="single" w:sz="4" w:space="0" w:color="auto"/>
      </w:pBdr>
      <w:shd w:val="clear" w:color="000000" w:fill="BAD7DA"/>
      <w:spacing w:before="100" w:beforeAutospacing="1" w:after="100" w:afterAutospacing="1"/>
      <w:jc w:val="left"/>
      <w:textAlignment w:val="top"/>
    </w:pPr>
    <w:rPr>
      <w:rFonts w:ascii="Century Gothic" w:eastAsia="Times New Roman" w:hAnsi="Century Gothic"/>
      <w:color w:val="000000"/>
      <w:szCs w:val="20"/>
      <w:lang w:val="en-US" w:eastAsia="en-GB"/>
    </w:rPr>
  </w:style>
  <w:style w:type="paragraph" w:customStyle="1" w:styleId="xl66">
    <w:name w:val="xl66"/>
    <w:basedOn w:val="Normal"/>
    <w:rsid w:val="0017193A"/>
    <w:pPr>
      <w:pBdr>
        <w:bottom w:val="single" w:sz="4" w:space="0" w:color="auto"/>
        <w:right w:val="single" w:sz="4" w:space="0" w:color="auto"/>
      </w:pBdr>
      <w:spacing w:before="100" w:beforeAutospacing="1" w:after="100" w:afterAutospacing="1"/>
      <w:jc w:val="left"/>
    </w:pPr>
    <w:rPr>
      <w:rFonts w:ascii="Century Gothic" w:eastAsia="Times New Roman" w:hAnsi="Century Gothic"/>
      <w:color w:val="000000"/>
      <w:szCs w:val="20"/>
      <w:lang w:val="en-US" w:eastAsia="en-GB"/>
    </w:rPr>
  </w:style>
  <w:style w:type="numbering" w:customStyle="1" w:styleId="BulletPoints">
    <w:name w:val="Bullet Points"/>
    <w:basedOn w:val="NoList"/>
    <w:rsid w:val="00A30438"/>
    <w:pPr>
      <w:numPr>
        <w:numId w:val="58"/>
      </w:numPr>
    </w:pPr>
  </w:style>
  <w:style w:type="numbering" w:customStyle="1" w:styleId="CurrentList13">
    <w:name w:val="Current List13"/>
    <w:uiPriority w:val="99"/>
    <w:rsid w:val="0017193A"/>
  </w:style>
  <w:style w:type="numbering" w:customStyle="1" w:styleId="CurrentList14">
    <w:name w:val="Current List14"/>
    <w:uiPriority w:val="99"/>
    <w:rsid w:val="00A30438"/>
    <w:pPr>
      <w:numPr>
        <w:numId w:val="66"/>
      </w:numPr>
    </w:pPr>
  </w:style>
  <w:style w:type="paragraph" w:customStyle="1" w:styleId="paragraph">
    <w:name w:val="paragraph"/>
    <w:basedOn w:val="Normal"/>
    <w:rsid w:val="0017193A"/>
    <w:pPr>
      <w:spacing w:before="100" w:beforeAutospacing="1" w:after="100" w:afterAutospacing="1"/>
      <w:jc w:val="left"/>
    </w:pPr>
    <w:rPr>
      <w:rFonts w:eastAsia="Times New Roman"/>
      <w:lang w:val="en-US" w:eastAsia="en-GB"/>
    </w:rPr>
  </w:style>
  <w:style w:type="paragraph" w:customStyle="1" w:styleId="pf1">
    <w:name w:val="pf1"/>
    <w:basedOn w:val="Normal"/>
    <w:rsid w:val="0017193A"/>
    <w:pPr>
      <w:spacing w:before="100" w:beforeAutospacing="1" w:after="100" w:afterAutospacing="1"/>
      <w:jc w:val="left"/>
    </w:pPr>
    <w:rPr>
      <w:rFonts w:eastAsia="Times New Roman"/>
      <w:lang w:val="en-US"/>
    </w:rPr>
  </w:style>
  <w:style w:type="paragraph" w:customStyle="1" w:styleId="pf0">
    <w:name w:val="pf0"/>
    <w:basedOn w:val="Normal"/>
    <w:rsid w:val="0017193A"/>
    <w:pPr>
      <w:spacing w:before="100" w:beforeAutospacing="1" w:after="100" w:afterAutospacing="1"/>
      <w:jc w:val="left"/>
    </w:pPr>
    <w:rPr>
      <w:rFonts w:eastAsia="Times New Roman"/>
      <w:lang w:val="en-US"/>
    </w:rPr>
  </w:style>
  <w:style w:type="character" w:customStyle="1" w:styleId="cf01">
    <w:name w:val="cf01"/>
    <w:basedOn w:val="DefaultParagraphFont"/>
    <w:rsid w:val="0017193A"/>
    <w:rPr>
      <w:rFonts w:ascii="Segoe UI" w:hAnsi="Segoe UI" w:cs="Segoe UI" w:hint="default"/>
      <w:sz w:val="18"/>
      <w:szCs w:val="18"/>
    </w:rPr>
  </w:style>
  <w:style w:type="character" w:customStyle="1" w:styleId="cf11">
    <w:name w:val="cf11"/>
    <w:basedOn w:val="DefaultParagraphFont"/>
    <w:rsid w:val="0017193A"/>
    <w:rPr>
      <w:rFonts w:ascii="Segoe UI" w:hAnsi="Segoe UI" w:cs="Segoe UI" w:hint="default"/>
      <w:b/>
      <w:bCs/>
      <w:sz w:val="18"/>
      <w:szCs w:val="18"/>
    </w:rPr>
  </w:style>
  <w:style w:type="numbering" w:customStyle="1" w:styleId="CurrentList3">
    <w:name w:val="Current List3"/>
    <w:uiPriority w:val="99"/>
    <w:rsid w:val="00A30438"/>
    <w:pPr>
      <w:numPr>
        <w:numId w:val="61"/>
      </w:numPr>
    </w:pPr>
  </w:style>
  <w:style w:type="table" w:customStyle="1" w:styleId="TechnopolisTable11">
    <w:name w:val="Technopolis Table11"/>
    <w:basedOn w:val="TableNormal"/>
    <w:uiPriority w:val="99"/>
    <w:rsid w:val="0017193A"/>
    <w:pPr>
      <w:spacing w:before="60" w:after="0" w:line="240" w:lineRule="auto"/>
    </w:pPr>
    <w:rPr>
      <w:rFonts w:asciiTheme="majorHAnsi" w:hAnsiTheme="majorHAnsi"/>
      <w:sz w:val="16"/>
      <w:szCs w:val="16"/>
      <w:lang w:val="en-US"/>
    </w:rPr>
    <w:tblPr>
      <w:tblInd w:w="0" w:type="nil"/>
      <w:tblCellMar>
        <w:left w:w="0" w:type="dxa"/>
        <w:right w:w="0" w:type="dxa"/>
      </w:tblCellMar>
    </w:tblPr>
    <w:tblStylePr w:type="firstRow">
      <w:pPr>
        <w:wordWrap/>
        <w:jc w:val="left"/>
      </w:pPr>
      <w:rPr>
        <w:b/>
        <w:i w:val="0"/>
      </w:rPr>
    </w:tblStylePr>
  </w:style>
  <w:style w:type="numbering" w:customStyle="1" w:styleId="CurrentList2">
    <w:name w:val="Current List2"/>
    <w:uiPriority w:val="99"/>
    <w:rsid w:val="0017193A"/>
  </w:style>
  <w:style w:type="numbering" w:customStyle="1" w:styleId="CurrentList11">
    <w:name w:val="Current List11"/>
    <w:uiPriority w:val="99"/>
    <w:rsid w:val="00A30438"/>
    <w:pPr>
      <w:numPr>
        <w:numId w:val="62"/>
      </w:numPr>
    </w:pPr>
  </w:style>
  <w:style w:type="numbering" w:customStyle="1" w:styleId="CurrentList15">
    <w:name w:val="Current List15"/>
    <w:uiPriority w:val="99"/>
    <w:rsid w:val="00A30438"/>
    <w:pPr>
      <w:numPr>
        <w:numId w:val="21"/>
      </w:numPr>
    </w:pPr>
  </w:style>
  <w:style w:type="character" w:customStyle="1" w:styleId="BulletlistChar">
    <w:name w:val="Bullet list Char"/>
    <w:basedOn w:val="DefaultParagraphFont"/>
    <w:locked/>
    <w:rsid w:val="0017193A"/>
    <w:rPr>
      <w:sz w:val="20"/>
      <w:lang w:val="en-GB"/>
    </w:rPr>
  </w:style>
  <w:style w:type="numbering" w:customStyle="1" w:styleId="CurrentList1">
    <w:name w:val="Current List1"/>
    <w:uiPriority w:val="99"/>
    <w:rsid w:val="00A30438"/>
    <w:pPr>
      <w:numPr>
        <w:numId w:val="64"/>
      </w:numPr>
    </w:p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uiPriority w:val="99"/>
    <w:rsid w:val="0017193A"/>
    <w:pPr>
      <w:spacing w:after="160" w:line="240" w:lineRule="exact"/>
      <w:ind w:left="357" w:hanging="357"/>
      <w:jc w:val="left"/>
    </w:pPr>
    <w:rPr>
      <w:rFonts w:cstheme="minorBidi"/>
      <w:sz w:val="16"/>
      <w:szCs w:val="16"/>
      <w:vertAlign w:val="superscript"/>
      <w:lang w:val="en-US"/>
    </w:rPr>
  </w:style>
  <w:style w:type="paragraph" w:customStyle="1" w:styleId="xl67">
    <w:name w:val="xl67"/>
    <w:basedOn w:val="Normal"/>
    <w:rsid w:val="0017193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lang w:val="en-US" w:eastAsia="en-GB"/>
    </w:rPr>
  </w:style>
  <w:style w:type="paragraph" w:customStyle="1" w:styleId="xl68">
    <w:name w:val="xl68"/>
    <w:basedOn w:val="Normal"/>
    <w:rsid w:val="0017193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b/>
      <w:bCs/>
      <w:lang w:val="en-US" w:eastAsia="en-GB"/>
    </w:rPr>
  </w:style>
  <w:style w:type="paragraph" w:customStyle="1" w:styleId="xl69">
    <w:name w:val="xl69"/>
    <w:basedOn w:val="Normal"/>
    <w:rsid w:val="0017193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70">
    <w:name w:val="xl70"/>
    <w:basedOn w:val="Normal"/>
    <w:rsid w:val="0017193A"/>
    <w:pPr>
      <w:pBdr>
        <w:top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lang w:val="en-US" w:eastAsia="en-GB"/>
    </w:rPr>
  </w:style>
  <w:style w:type="paragraph" w:customStyle="1" w:styleId="xl71">
    <w:name w:val="xl71"/>
    <w:basedOn w:val="Normal"/>
    <w:rsid w:val="0017193A"/>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72">
    <w:name w:val="xl72"/>
    <w:basedOn w:val="Normal"/>
    <w:rsid w:val="0017193A"/>
    <w:pPr>
      <w:pBdr>
        <w:bottom w:val="single" w:sz="4" w:space="0" w:color="auto"/>
        <w:right w:val="single" w:sz="4" w:space="0" w:color="auto"/>
      </w:pBdr>
      <w:spacing w:before="100" w:beforeAutospacing="1" w:after="100" w:afterAutospacing="1"/>
      <w:jc w:val="left"/>
    </w:pPr>
    <w:rPr>
      <w:rFonts w:ascii="Century Gothic" w:eastAsia="Times New Roman" w:hAnsi="Century Gothic"/>
      <w:lang w:val="en-US" w:eastAsia="en-GB"/>
    </w:rPr>
  </w:style>
  <w:style w:type="paragraph" w:customStyle="1" w:styleId="xl73">
    <w:name w:val="xl73"/>
    <w:basedOn w:val="Normal"/>
    <w:rsid w:val="0017193A"/>
    <w:pPr>
      <w:pBdr>
        <w:bottom w:val="single" w:sz="4" w:space="0" w:color="auto"/>
        <w:right w:val="single" w:sz="4" w:space="0" w:color="auto"/>
      </w:pBdr>
      <w:spacing w:before="100" w:beforeAutospacing="1" w:after="100" w:afterAutospacing="1"/>
      <w:jc w:val="left"/>
    </w:pPr>
    <w:rPr>
      <w:rFonts w:ascii="Century Gothic" w:eastAsia="Times New Roman" w:hAnsi="Century Gothic"/>
      <w:b/>
      <w:bCs/>
      <w:lang w:val="en-US" w:eastAsia="en-GB"/>
    </w:rPr>
  </w:style>
  <w:style w:type="paragraph" w:customStyle="1" w:styleId="xl74">
    <w:name w:val="xl74"/>
    <w:basedOn w:val="Normal"/>
    <w:rsid w:val="0017193A"/>
    <w:pPr>
      <w:pBdr>
        <w:bottom w:val="single" w:sz="4" w:space="0" w:color="auto"/>
        <w:right w:val="single" w:sz="4" w:space="0" w:color="auto"/>
      </w:pBdr>
      <w:spacing w:before="100" w:beforeAutospacing="1" w:after="100" w:afterAutospacing="1"/>
      <w:jc w:val="left"/>
    </w:pPr>
    <w:rPr>
      <w:rFonts w:ascii="Century Gothic" w:eastAsia="Times New Roman" w:hAnsi="Century Gothic"/>
      <w:b/>
      <w:bCs/>
      <w:lang w:val="en-US" w:eastAsia="en-GB"/>
    </w:rPr>
  </w:style>
  <w:style w:type="paragraph" w:customStyle="1" w:styleId="xl75">
    <w:name w:val="xl75"/>
    <w:basedOn w:val="Normal"/>
    <w:rsid w:val="0017193A"/>
    <w:pPr>
      <w:pBdr>
        <w:bottom w:val="single" w:sz="4" w:space="0" w:color="auto"/>
        <w:right w:val="single" w:sz="4" w:space="0" w:color="auto"/>
      </w:pBdr>
      <w:spacing w:before="100" w:beforeAutospacing="1" w:after="100" w:afterAutospacing="1"/>
      <w:jc w:val="left"/>
      <w:textAlignment w:val="center"/>
    </w:pPr>
    <w:rPr>
      <w:rFonts w:ascii="Century Gothic" w:eastAsia="Times New Roman" w:hAnsi="Century Gothic"/>
      <w:lang w:val="en-US" w:eastAsia="en-GB"/>
    </w:rPr>
  </w:style>
  <w:style w:type="paragraph" w:customStyle="1" w:styleId="xl76">
    <w:name w:val="xl76"/>
    <w:basedOn w:val="Normal"/>
    <w:rsid w:val="0017193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entury Gothic" w:eastAsia="Times New Roman" w:hAnsi="Century Gothic"/>
      <w:lang w:val="en-US" w:eastAsia="en-GB"/>
    </w:rPr>
  </w:style>
  <w:style w:type="paragraph" w:customStyle="1" w:styleId="xl77">
    <w:name w:val="xl77"/>
    <w:basedOn w:val="Normal"/>
    <w:rsid w:val="0017193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lang w:val="en-US" w:eastAsia="en-GB"/>
    </w:rPr>
  </w:style>
  <w:style w:type="paragraph" w:customStyle="1" w:styleId="xl78">
    <w:name w:val="xl78"/>
    <w:basedOn w:val="Normal"/>
    <w:rsid w:val="0017193A"/>
    <w:pPr>
      <w:pBdr>
        <w:bottom w:val="single" w:sz="4" w:space="0" w:color="auto"/>
        <w:right w:val="single" w:sz="4" w:space="0" w:color="auto"/>
      </w:pBdr>
      <w:shd w:val="clear" w:color="000000" w:fill="E2EFDA"/>
      <w:spacing w:before="100" w:beforeAutospacing="1" w:after="100" w:afterAutospacing="1"/>
      <w:jc w:val="left"/>
    </w:pPr>
    <w:rPr>
      <w:rFonts w:ascii="Century Gothic" w:eastAsia="Times New Roman" w:hAnsi="Century Gothic"/>
      <w:lang w:val="en-US" w:eastAsia="en-GB"/>
    </w:rPr>
  </w:style>
  <w:style w:type="paragraph" w:customStyle="1" w:styleId="xl79">
    <w:name w:val="xl79"/>
    <w:basedOn w:val="Normal"/>
    <w:rsid w:val="0017193A"/>
    <w:pPr>
      <w:pBdr>
        <w:bottom w:val="single" w:sz="4" w:space="0" w:color="auto"/>
        <w:right w:val="single" w:sz="4" w:space="0" w:color="auto"/>
      </w:pBdr>
      <w:shd w:val="clear" w:color="000000" w:fill="FFF2CC"/>
      <w:spacing w:before="100" w:beforeAutospacing="1" w:after="100" w:afterAutospacing="1"/>
      <w:jc w:val="left"/>
    </w:pPr>
    <w:rPr>
      <w:rFonts w:ascii="Century Gothic" w:eastAsia="Times New Roman" w:hAnsi="Century Gothic"/>
      <w:lang w:val="en-US" w:eastAsia="en-GB"/>
    </w:rPr>
  </w:style>
  <w:style w:type="paragraph" w:customStyle="1" w:styleId="xl80">
    <w:name w:val="xl80"/>
    <w:basedOn w:val="Normal"/>
    <w:rsid w:val="0017193A"/>
    <w:pPr>
      <w:pBdr>
        <w:bottom w:val="single" w:sz="4" w:space="0" w:color="auto"/>
        <w:right w:val="single" w:sz="4" w:space="0" w:color="auto"/>
      </w:pBdr>
      <w:shd w:val="clear" w:color="000000" w:fill="FCE4D6"/>
      <w:spacing w:before="100" w:beforeAutospacing="1" w:after="100" w:afterAutospacing="1"/>
      <w:jc w:val="left"/>
    </w:pPr>
    <w:rPr>
      <w:rFonts w:ascii="Century Gothic" w:eastAsia="Times New Roman" w:hAnsi="Century Gothic"/>
      <w:lang w:val="en-US" w:eastAsia="en-GB"/>
    </w:rPr>
  </w:style>
  <w:style w:type="paragraph" w:customStyle="1" w:styleId="xl81">
    <w:name w:val="xl81"/>
    <w:basedOn w:val="Normal"/>
    <w:rsid w:val="0017193A"/>
    <w:pPr>
      <w:pBdr>
        <w:bottom w:val="single" w:sz="4" w:space="0" w:color="auto"/>
        <w:right w:val="single" w:sz="4" w:space="0" w:color="auto"/>
      </w:pBdr>
      <w:shd w:val="clear" w:color="000000" w:fill="D6DCE4"/>
      <w:spacing w:before="100" w:beforeAutospacing="1" w:after="100" w:afterAutospacing="1"/>
      <w:jc w:val="left"/>
    </w:pPr>
    <w:rPr>
      <w:rFonts w:ascii="Century Gothic" w:eastAsia="Times New Roman" w:hAnsi="Century Gothic"/>
      <w:lang w:val="en-US" w:eastAsia="en-GB"/>
    </w:rPr>
  </w:style>
  <w:style w:type="paragraph" w:customStyle="1" w:styleId="xl82">
    <w:name w:val="xl82"/>
    <w:basedOn w:val="Normal"/>
    <w:rsid w:val="0017193A"/>
    <w:pPr>
      <w:pBdr>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lang w:val="en-US" w:eastAsia="en-GB"/>
    </w:rPr>
  </w:style>
  <w:style w:type="paragraph" w:customStyle="1" w:styleId="xl83">
    <w:name w:val="xl83"/>
    <w:basedOn w:val="Normal"/>
    <w:rsid w:val="0017193A"/>
    <w:pPr>
      <w:pBdr>
        <w:bottom w:val="single" w:sz="4" w:space="0" w:color="auto"/>
        <w:right w:val="single" w:sz="4" w:space="0" w:color="auto"/>
      </w:pBdr>
      <w:shd w:val="clear" w:color="000000" w:fill="D9E1F2"/>
      <w:spacing w:before="100" w:beforeAutospacing="1" w:after="100" w:afterAutospacing="1"/>
      <w:jc w:val="left"/>
    </w:pPr>
    <w:rPr>
      <w:rFonts w:ascii="Century Gothic" w:eastAsia="Times New Roman" w:hAnsi="Century Gothic"/>
      <w:lang w:val="en-US" w:eastAsia="en-GB"/>
    </w:rPr>
  </w:style>
  <w:style w:type="paragraph" w:customStyle="1" w:styleId="xl84">
    <w:name w:val="xl84"/>
    <w:basedOn w:val="Normal"/>
    <w:rsid w:val="0017193A"/>
    <w:pPr>
      <w:pBdr>
        <w:bottom w:val="single" w:sz="4" w:space="0" w:color="auto"/>
        <w:right w:val="single" w:sz="4" w:space="0" w:color="auto"/>
      </w:pBdr>
      <w:shd w:val="clear" w:color="000000" w:fill="FFFFFF"/>
      <w:spacing w:before="100" w:beforeAutospacing="1" w:after="100" w:afterAutospacing="1"/>
      <w:jc w:val="left"/>
    </w:pPr>
    <w:rPr>
      <w:rFonts w:ascii="Century Gothic" w:eastAsia="Times New Roman" w:hAnsi="Century Gothic"/>
      <w:lang w:val="en-US" w:eastAsia="en-GB"/>
    </w:rPr>
  </w:style>
  <w:style w:type="paragraph" w:customStyle="1" w:styleId="xl85">
    <w:name w:val="xl85"/>
    <w:basedOn w:val="Normal"/>
    <w:rsid w:val="0017193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86">
    <w:name w:val="xl86"/>
    <w:basedOn w:val="Normal"/>
    <w:rsid w:val="0017193A"/>
    <w:pPr>
      <w:pBdr>
        <w:top w:val="single" w:sz="4" w:space="0" w:color="auto"/>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87">
    <w:name w:val="xl87"/>
    <w:basedOn w:val="Normal"/>
    <w:rsid w:val="0017193A"/>
    <w:pPr>
      <w:pBdr>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88">
    <w:name w:val="xl88"/>
    <w:basedOn w:val="Normal"/>
    <w:rsid w:val="0017193A"/>
    <w:pPr>
      <w:pBdr>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89">
    <w:name w:val="xl89"/>
    <w:basedOn w:val="Normal"/>
    <w:rsid w:val="0017193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90">
    <w:name w:val="xl90"/>
    <w:basedOn w:val="Normal"/>
    <w:rsid w:val="0017193A"/>
    <w:pPr>
      <w:pBdr>
        <w:left w:val="single" w:sz="4" w:space="0" w:color="auto"/>
        <w:bottom w:val="single" w:sz="4" w:space="0" w:color="000000"/>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font5">
    <w:name w:val="font5"/>
    <w:basedOn w:val="Normal"/>
    <w:rsid w:val="0017193A"/>
    <w:pPr>
      <w:spacing w:before="100" w:beforeAutospacing="1" w:after="100" w:afterAutospacing="1"/>
      <w:jc w:val="left"/>
    </w:pPr>
    <w:rPr>
      <w:rFonts w:ascii="Century Gothic" w:eastAsia="Times New Roman" w:hAnsi="Century Gothic"/>
      <w:szCs w:val="20"/>
      <w:lang w:val="en-US" w:eastAsia="en-GB"/>
    </w:rPr>
  </w:style>
  <w:style w:type="paragraph" w:customStyle="1" w:styleId="font6">
    <w:name w:val="font6"/>
    <w:basedOn w:val="Normal"/>
    <w:rsid w:val="0017193A"/>
    <w:pPr>
      <w:spacing w:before="100" w:beforeAutospacing="1" w:after="100" w:afterAutospacing="1"/>
      <w:jc w:val="left"/>
    </w:pPr>
    <w:rPr>
      <w:rFonts w:ascii="Century Gothic" w:eastAsia="Times New Roman" w:hAnsi="Century Gothic"/>
      <w:b/>
      <w:bCs/>
      <w:szCs w:val="20"/>
      <w:lang w:val="en-US" w:eastAsia="en-GB"/>
    </w:rPr>
  </w:style>
  <w:style w:type="paragraph" w:customStyle="1" w:styleId="font7">
    <w:name w:val="font7"/>
    <w:basedOn w:val="Normal"/>
    <w:rsid w:val="0017193A"/>
    <w:pPr>
      <w:spacing w:before="100" w:beforeAutospacing="1" w:after="100" w:afterAutospacing="1"/>
      <w:jc w:val="left"/>
    </w:pPr>
    <w:rPr>
      <w:rFonts w:ascii="Century Gothic" w:eastAsia="Times New Roman" w:hAnsi="Century Gothic"/>
      <w:szCs w:val="20"/>
      <w:u w:val="single"/>
      <w:lang w:val="en-US" w:eastAsia="en-GB"/>
    </w:rPr>
  </w:style>
  <w:style w:type="paragraph" w:customStyle="1" w:styleId="xl91">
    <w:name w:val="xl91"/>
    <w:basedOn w:val="Normal"/>
    <w:rsid w:val="0017193A"/>
    <w:pPr>
      <w:pBdr>
        <w:bottom w:val="single" w:sz="4" w:space="0" w:color="auto"/>
        <w:right w:val="single" w:sz="4" w:space="0" w:color="auto"/>
      </w:pBdr>
      <w:shd w:val="clear" w:color="000000" w:fill="DDEBF7"/>
      <w:spacing w:before="100" w:beforeAutospacing="1" w:after="100" w:afterAutospacing="1"/>
      <w:jc w:val="left"/>
    </w:pPr>
    <w:rPr>
      <w:rFonts w:ascii="Century Gothic" w:eastAsia="Times New Roman" w:hAnsi="Century Gothic"/>
      <w:lang w:val="en-US" w:eastAsia="en-GB"/>
    </w:rPr>
  </w:style>
  <w:style w:type="paragraph" w:customStyle="1" w:styleId="xl92">
    <w:name w:val="xl92"/>
    <w:basedOn w:val="Normal"/>
    <w:rsid w:val="0017193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Century Gothic" w:eastAsia="Times New Roman" w:hAnsi="Century Gothic"/>
      <w:lang w:val="en-US" w:eastAsia="en-GB"/>
    </w:rPr>
  </w:style>
  <w:style w:type="paragraph" w:customStyle="1" w:styleId="xl93">
    <w:name w:val="xl93"/>
    <w:basedOn w:val="Normal"/>
    <w:rsid w:val="0017193A"/>
    <w:pPr>
      <w:pBdr>
        <w:top w:val="single" w:sz="4" w:space="0" w:color="auto"/>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lang w:val="en-US" w:eastAsia="en-GB"/>
    </w:rPr>
  </w:style>
  <w:style w:type="paragraph" w:customStyle="1" w:styleId="xl94">
    <w:name w:val="xl94"/>
    <w:basedOn w:val="Normal"/>
    <w:rsid w:val="0017193A"/>
    <w:pPr>
      <w:pBdr>
        <w:left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95">
    <w:name w:val="xl95"/>
    <w:basedOn w:val="Normal"/>
    <w:rsid w:val="0017193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96">
    <w:name w:val="xl96"/>
    <w:basedOn w:val="Normal"/>
    <w:rsid w:val="0017193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97">
    <w:name w:val="xl97"/>
    <w:basedOn w:val="Normal"/>
    <w:rsid w:val="0017193A"/>
    <w:pPr>
      <w:shd w:val="clear" w:color="000000" w:fill="FFC000"/>
      <w:spacing w:before="100" w:beforeAutospacing="1" w:after="100" w:afterAutospacing="1"/>
      <w:jc w:val="center"/>
    </w:pPr>
    <w:rPr>
      <w:rFonts w:ascii="Century Gothic" w:eastAsia="Times New Roman" w:hAnsi="Century Gothic"/>
      <w:lang w:val="en-US" w:eastAsia="en-GB"/>
    </w:rPr>
  </w:style>
  <w:style w:type="paragraph" w:customStyle="1" w:styleId="xl98">
    <w:name w:val="xl98"/>
    <w:basedOn w:val="Normal"/>
    <w:rsid w:val="0017193A"/>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lang w:val="en-US" w:eastAsia="en-GB"/>
    </w:rPr>
  </w:style>
  <w:style w:type="paragraph" w:customStyle="1" w:styleId="xl99">
    <w:name w:val="xl99"/>
    <w:basedOn w:val="Normal"/>
    <w:rsid w:val="0017193A"/>
    <w:pPr>
      <w:pBdr>
        <w:top w:val="single" w:sz="4" w:space="0" w:color="auto"/>
        <w:left w:val="single" w:sz="4" w:space="0" w:color="auto"/>
        <w:bottom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100">
    <w:name w:val="xl100"/>
    <w:basedOn w:val="Normal"/>
    <w:rsid w:val="0017193A"/>
    <w:pPr>
      <w:pBdr>
        <w:top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101">
    <w:name w:val="xl101"/>
    <w:basedOn w:val="Normal"/>
    <w:rsid w:val="0017193A"/>
    <w:pPr>
      <w:pBdr>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lang w:val="en-US" w:eastAsia="en-GB"/>
    </w:rPr>
  </w:style>
  <w:style w:type="paragraph" w:customStyle="1" w:styleId="xl102">
    <w:name w:val="xl102"/>
    <w:basedOn w:val="Normal"/>
    <w:rsid w:val="0017193A"/>
    <w:pPr>
      <w:pBdr>
        <w:bottom w:val="single" w:sz="4" w:space="0" w:color="auto"/>
        <w:right w:val="single" w:sz="4" w:space="0" w:color="auto"/>
      </w:pBdr>
      <w:shd w:val="clear" w:color="000000" w:fill="FFF2CC"/>
      <w:spacing w:before="100" w:beforeAutospacing="1" w:after="100" w:afterAutospacing="1"/>
      <w:jc w:val="left"/>
      <w:textAlignment w:val="top"/>
    </w:pPr>
    <w:rPr>
      <w:rFonts w:ascii="Century Gothic" w:eastAsia="Times New Roman" w:hAnsi="Century Gothic"/>
      <w:lang w:val="en-US" w:eastAsia="en-GB"/>
    </w:rPr>
  </w:style>
  <w:style w:type="paragraph" w:customStyle="1" w:styleId="xl103">
    <w:name w:val="xl103"/>
    <w:basedOn w:val="Normal"/>
    <w:rsid w:val="0017193A"/>
    <w:pPr>
      <w:pBdr>
        <w:bottom w:val="single" w:sz="4" w:space="0" w:color="auto"/>
        <w:right w:val="single" w:sz="4" w:space="0" w:color="auto"/>
      </w:pBdr>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104">
    <w:name w:val="xl104"/>
    <w:basedOn w:val="Normal"/>
    <w:rsid w:val="0017193A"/>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lang w:val="en-US" w:eastAsia="en-GB"/>
    </w:rPr>
  </w:style>
  <w:style w:type="paragraph" w:customStyle="1" w:styleId="xl105">
    <w:name w:val="xl105"/>
    <w:basedOn w:val="Normal"/>
    <w:rsid w:val="0017193A"/>
    <w:pPr>
      <w:pBdr>
        <w:left w:val="single" w:sz="4" w:space="0" w:color="auto"/>
        <w:right w:val="single" w:sz="4" w:space="0" w:color="auto"/>
      </w:pBdr>
      <w:shd w:val="clear" w:color="000000" w:fill="F2F2F2"/>
      <w:spacing w:before="100" w:beforeAutospacing="1" w:after="100" w:afterAutospacing="1"/>
      <w:jc w:val="center"/>
      <w:textAlignment w:val="top"/>
    </w:pPr>
    <w:rPr>
      <w:rFonts w:ascii="Century Gothic" w:eastAsia="Times New Roman" w:hAnsi="Century Gothic"/>
      <w:b/>
      <w:bCs/>
      <w:lang w:val="en-US" w:eastAsia="en-GB"/>
    </w:rPr>
  </w:style>
  <w:style w:type="paragraph" w:customStyle="1" w:styleId="xl106">
    <w:name w:val="xl106"/>
    <w:basedOn w:val="Normal"/>
    <w:rsid w:val="0017193A"/>
    <w:pPr>
      <w:shd w:val="clear" w:color="000000" w:fill="FFFFFF"/>
      <w:spacing w:before="100" w:beforeAutospacing="1" w:after="100" w:afterAutospacing="1"/>
      <w:jc w:val="left"/>
      <w:textAlignment w:val="top"/>
    </w:pPr>
    <w:rPr>
      <w:rFonts w:ascii="Century Gothic" w:eastAsia="Times New Roman" w:hAnsi="Century Gothic"/>
      <w:b/>
      <w:bCs/>
      <w:lang w:val="en-US" w:eastAsia="en-GB"/>
    </w:rPr>
  </w:style>
  <w:style w:type="paragraph" w:customStyle="1" w:styleId="xl107">
    <w:name w:val="xl107"/>
    <w:basedOn w:val="Normal"/>
    <w:rsid w:val="0017193A"/>
    <w:pPr>
      <w:shd w:val="clear" w:color="000000" w:fill="FFFFFF"/>
      <w:spacing w:before="100" w:beforeAutospacing="1" w:after="100" w:afterAutospacing="1"/>
      <w:jc w:val="left"/>
      <w:textAlignment w:val="center"/>
    </w:pPr>
    <w:rPr>
      <w:rFonts w:ascii="Century Gothic" w:eastAsia="Times New Roman" w:hAnsi="Century Gothic"/>
      <w:lang w:val="en-US" w:eastAsia="en-GB"/>
    </w:rPr>
  </w:style>
  <w:style w:type="paragraph" w:customStyle="1" w:styleId="xl108">
    <w:name w:val="xl108"/>
    <w:basedOn w:val="Normal"/>
    <w:rsid w:val="0017193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top"/>
    </w:pPr>
    <w:rPr>
      <w:rFonts w:ascii="Century Gothic" w:eastAsia="Times New Roman" w:hAnsi="Century Gothic"/>
      <w:lang w:val="en-US" w:eastAsia="en-GB"/>
    </w:rPr>
  </w:style>
  <w:style w:type="paragraph" w:customStyle="1" w:styleId="xl109">
    <w:name w:val="xl109"/>
    <w:basedOn w:val="Normal"/>
    <w:rsid w:val="0017193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entury Gothic" w:eastAsia="Times New Roman" w:hAnsi="Century Gothic"/>
      <w:b/>
      <w:bCs/>
      <w:lang w:val="en-US" w:eastAsia="en-GB"/>
    </w:rPr>
  </w:style>
  <w:style w:type="paragraph" w:customStyle="1" w:styleId="xl110">
    <w:name w:val="xl110"/>
    <w:basedOn w:val="Normal"/>
    <w:rsid w:val="0017193A"/>
    <w:pPr>
      <w:pBdr>
        <w:bottom w:val="single" w:sz="4" w:space="0" w:color="auto"/>
        <w:right w:val="single" w:sz="4" w:space="0" w:color="auto"/>
      </w:pBdr>
      <w:shd w:val="clear" w:color="000000" w:fill="8EA9DB"/>
      <w:spacing w:before="100" w:beforeAutospacing="1" w:after="100" w:afterAutospacing="1"/>
      <w:jc w:val="left"/>
    </w:pPr>
    <w:rPr>
      <w:rFonts w:ascii="Century Gothic" w:eastAsia="Times New Roman" w:hAnsi="Century Gothic"/>
      <w:lang w:val="en-US" w:eastAsia="en-GB"/>
    </w:rPr>
  </w:style>
  <w:style w:type="numbering" w:customStyle="1" w:styleId="CurrentList12">
    <w:name w:val="Current List12"/>
    <w:uiPriority w:val="99"/>
    <w:rsid w:val="00A30438"/>
  </w:style>
  <w:style w:type="paragraph" w:customStyle="1" w:styleId="p1">
    <w:name w:val="p1"/>
    <w:basedOn w:val="Normal"/>
    <w:rsid w:val="0017193A"/>
    <w:pPr>
      <w:spacing w:after="0"/>
      <w:jc w:val="left"/>
    </w:pPr>
    <w:rPr>
      <w:rFonts w:eastAsia="Times New Roman"/>
      <w:color w:val="000000"/>
      <w:sz w:val="18"/>
      <w:szCs w:val="18"/>
      <w:lang w:val="en-US" w:eastAsia="en-GB"/>
    </w:rPr>
  </w:style>
  <w:style w:type="character" w:customStyle="1" w:styleId="s1">
    <w:name w:val="s1"/>
    <w:basedOn w:val="DefaultParagraphFont"/>
    <w:rsid w:val="0017193A"/>
    <w:rPr>
      <w:rFonts w:ascii="Helvetica" w:hAnsi="Helvetica" w:hint="default"/>
      <w:sz w:val="18"/>
      <w:szCs w:val="18"/>
    </w:rPr>
  </w:style>
  <w:style w:type="character" w:customStyle="1" w:styleId="s2">
    <w:name w:val="s2"/>
    <w:basedOn w:val="DefaultParagraphFont"/>
    <w:rsid w:val="0017193A"/>
    <w:rPr>
      <w:rFonts w:ascii="Arial" w:hAnsi="Arial" w:cs="Arial" w:hint="default"/>
      <w:sz w:val="18"/>
      <w:szCs w:val="18"/>
    </w:rPr>
  </w:style>
  <w:style w:type="character" w:customStyle="1" w:styleId="apple-converted-space">
    <w:name w:val="apple-converted-space"/>
    <w:basedOn w:val="DefaultParagraphFont"/>
    <w:rsid w:val="0017193A"/>
  </w:style>
  <w:style w:type="paragraph" w:styleId="List2">
    <w:name w:val="List 2"/>
    <w:aliases w:val="Numbered list Level 2"/>
    <w:basedOn w:val="Normal"/>
    <w:next w:val="Normal"/>
    <w:uiPriority w:val="6"/>
    <w:qFormat/>
    <w:rsid w:val="0017193A"/>
    <w:pPr>
      <w:spacing w:before="80" w:after="160"/>
      <w:ind w:left="1253" w:hanging="360"/>
    </w:pPr>
    <w:rPr>
      <w:rFonts w:ascii="Aptos Light" w:hAnsi="Aptos Light" w:cstheme="minorBidi"/>
      <w:kern w:val="2"/>
      <w:sz w:val="22"/>
      <w:szCs w:val="22"/>
      <w:lang w:val="fr-FR"/>
      <w14:ligatures w14:val="standardContextual"/>
    </w:rPr>
  </w:style>
  <w:style w:type="paragraph" w:styleId="List3">
    <w:name w:val="List 3"/>
    <w:aliases w:val="Numbered list Level 3"/>
    <w:basedOn w:val="BodyText"/>
    <w:uiPriority w:val="13"/>
    <w:qFormat/>
    <w:rsid w:val="0017193A"/>
    <w:pPr>
      <w:spacing w:line="259" w:lineRule="auto"/>
      <w:ind w:left="720" w:hanging="360"/>
    </w:pPr>
    <w:rPr>
      <w:rFonts w:cstheme="minorBidi"/>
      <w:szCs w:val="16"/>
    </w:rPr>
  </w:style>
  <w:style w:type="paragraph" w:styleId="List4">
    <w:name w:val="List 4"/>
    <w:aliases w:val="Numbered list Level 4"/>
    <w:basedOn w:val="Normal"/>
    <w:next w:val="Normal"/>
    <w:uiPriority w:val="15"/>
    <w:qFormat/>
    <w:rsid w:val="0017193A"/>
    <w:pPr>
      <w:spacing w:before="80" w:after="160"/>
      <w:ind w:left="1973" w:hanging="360"/>
    </w:pPr>
    <w:rPr>
      <w:rFonts w:ascii="Aptos Light" w:hAnsi="Aptos Light" w:cstheme="minorBidi"/>
      <w:kern w:val="2"/>
      <w:sz w:val="22"/>
      <w:szCs w:val="22"/>
      <w:lang w:val="fr-FR"/>
      <w14:ligatures w14:val="standardContextual"/>
    </w:rPr>
  </w:style>
  <w:style w:type="numbering" w:customStyle="1" w:styleId="CurrentList4">
    <w:name w:val="Current List4"/>
    <w:uiPriority w:val="99"/>
    <w:rsid w:val="00A30438"/>
    <w:pPr>
      <w:numPr>
        <w:numId w:val="43"/>
      </w:numPr>
    </w:pPr>
  </w:style>
  <w:style w:type="numbering" w:customStyle="1" w:styleId="CurrentList5">
    <w:name w:val="Current List5"/>
    <w:uiPriority w:val="99"/>
    <w:rsid w:val="00A3043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17193A"/>
    <w:pPr>
      <w:pBdr>
        <w:top w:val="nil"/>
        <w:left w:val="nil"/>
        <w:bottom w:val="nil"/>
        <w:right w:val="nil"/>
        <w:between w:val="nil"/>
        <w:bar w:val="nil"/>
      </w:pBdr>
      <w:spacing w:after="160" w:line="240" w:lineRule="exact"/>
    </w:pPr>
    <w:rPr>
      <w:rFonts w:eastAsia="Times New Roman"/>
      <w:szCs w:val="20"/>
      <w:vertAlign w:val="superscript"/>
      <w:lang w:val="nl-BE" w:eastAsia="nl-BE"/>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uiPriority w:val="3"/>
    <w:qFormat/>
    <w:locked/>
    <w:rsid w:val="0017193A"/>
    <w:rPr>
      <w:rFonts w:ascii="Verdana" w:hAnsi="Verdana"/>
      <w:b/>
      <w:lang w:val="en-GB" w:eastAsia="en-US"/>
    </w:rPr>
  </w:style>
  <w:style w:type="table" w:customStyle="1" w:styleId="RicardoTable">
    <w:name w:val="Ricardo Table"/>
    <w:basedOn w:val="TableNormal"/>
    <w:uiPriority w:val="99"/>
    <w:unhideWhenUsed/>
    <w:rsid w:val="0017193A"/>
    <w:pPr>
      <w:spacing w:before="60" w:after="60" w:line="259" w:lineRule="auto"/>
      <w:jc w:val="both"/>
    </w:pPr>
    <w:rPr>
      <w:rFonts w:ascii="Arial" w:eastAsiaTheme="minorEastAsia" w:hAnsi="Arial"/>
      <w:color w:val="000000" w:themeColor="text1"/>
      <w:sz w:val="20"/>
      <w:szCs w:val="20"/>
      <w:lang w:eastAsia="en-GB"/>
    </w:rPr>
    <w:tblPr>
      <w:tblInd w:w="0" w:type="nil"/>
      <w:tblCellMar>
        <w:left w:w="0" w:type="dxa"/>
        <w:right w:w="0" w:type="dxa"/>
      </w:tblCellMar>
    </w:tblPr>
    <w:tblStylePr w:type="firstRow">
      <w:pPr>
        <w:keepNext/>
        <w:wordWrap/>
        <w:jc w:val="left"/>
      </w:pPr>
      <w:rPr>
        <w:rFonts w:ascii="Arial" w:hAnsi="Arial"/>
        <w:b/>
        <w:color w:val="FFFFFF" w:themeColor="background1"/>
        <w:sz w:val="20"/>
      </w:rPr>
    </w:tblStylePr>
  </w:style>
  <w:style w:type="paragraph" w:customStyle="1" w:styleId="my-0">
    <w:name w:val="my-0"/>
    <w:basedOn w:val="Normal"/>
    <w:rsid w:val="0017193A"/>
    <w:pPr>
      <w:spacing w:before="100" w:beforeAutospacing="1" w:after="100" w:afterAutospacing="1"/>
      <w:jc w:val="left"/>
    </w:pPr>
    <w:rPr>
      <w:rFonts w:eastAsia="Times New Roman"/>
      <w:lang w:val="en-US"/>
    </w:rPr>
  </w:style>
  <w:style w:type="table" w:styleId="GridTable3-Accent1">
    <w:name w:val="Grid Table 3 Accent 1"/>
    <w:basedOn w:val="TableNormal"/>
    <w:uiPriority w:val="48"/>
    <w:rsid w:val="0017193A"/>
    <w:pPr>
      <w:spacing w:after="0" w:line="240" w:lineRule="auto"/>
    </w:pPr>
    <w:rPr>
      <w:sz w:val="16"/>
      <w:szCs w:val="16"/>
      <w:lang w:val="en-US"/>
    </w:rPr>
    <w:tblPr>
      <w:tblInd w:w="0" w:type="nil"/>
      <w:tblCellMar>
        <w:left w:w="0" w:type="dxa"/>
        <w:right w:w="0" w:type="dxa"/>
      </w:tblCellMar>
    </w:tblPr>
    <w:tblStylePr w:type="firstRow">
      <w:rPr>
        <w:b/>
        <w:bCs/>
      </w:rPr>
    </w:tblStylePr>
    <w:tblStylePr w:type="lastRow">
      <w:rPr>
        <w:b/>
        <w:bCs/>
      </w:rPr>
    </w:tblStylePr>
    <w:tblStylePr w:type="firstCol">
      <w:pPr>
        <w:jc w:val="right"/>
      </w:pPr>
      <w:rPr>
        <w:i/>
        <w:iCs/>
      </w:rPr>
    </w:tblStylePr>
    <w:tblStylePr w:type="lastCol">
      <w:rPr>
        <w:i/>
        <w:iCs/>
      </w:rPr>
    </w:tblStylePr>
  </w:style>
  <w:style w:type="character" w:customStyle="1" w:styleId="citation-24">
    <w:name w:val="citation-24"/>
    <w:basedOn w:val="DefaultParagraphFont"/>
    <w:rsid w:val="0017193A"/>
  </w:style>
  <w:style w:type="character" w:customStyle="1" w:styleId="citation-23">
    <w:name w:val="citation-23"/>
    <w:basedOn w:val="DefaultParagraphFont"/>
    <w:rsid w:val="0017193A"/>
  </w:style>
  <w:style w:type="character" w:customStyle="1" w:styleId="citation-22">
    <w:name w:val="citation-22"/>
    <w:basedOn w:val="DefaultParagraphFont"/>
    <w:rsid w:val="0017193A"/>
  </w:style>
  <w:style w:type="character" w:customStyle="1" w:styleId="bold">
    <w:name w:val="bold"/>
    <w:basedOn w:val="DefaultParagraphFont"/>
    <w:rsid w:val="0017193A"/>
  </w:style>
  <w:style w:type="character" w:customStyle="1" w:styleId="ng-star-inserted">
    <w:name w:val="ng-star-inserted"/>
    <w:basedOn w:val="DefaultParagraphFont"/>
    <w:rsid w:val="0017193A"/>
  </w:style>
  <w:style w:type="character" w:customStyle="1" w:styleId="hoverbg-super">
    <w:name w:val="hover:bg-super"/>
    <w:basedOn w:val="DefaultParagraphFont"/>
    <w:rsid w:val="0017193A"/>
  </w:style>
  <w:style w:type="character" w:customStyle="1" w:styleId="whitespace-nowrap">
    <w:name w:val="whitespace-nowrap"/>
    <w:basedOn w:val="DefaultParagraphFont"/>
    <w:rsid w:val="0017193A"/>
  </w:style>
  <w:style w:type="numbering" w:customStyle="1" w:styleId="NumbListNumb1">
    <w:name w:val="NumbListNumb1"/>
    <w:uiPriority w:val="99"/>
    <w:rsid w:val="0017193A"/>
  </w:style>
  <w:style w:type="numbering" w:customStyle="1" w:styleId="CurrentList71">
    <w:name w:val="Current List71"/>
    <w:uiPriority w:val="99"/>
    <w:rsid w:val="00A30438"/>
  </w:style>
  <w:style w:type="numbering" w:customStyle="1" w:styleId="CurrentList131">
    <w:name w:val="Current List131"/>
    <w:uiPriority w:val="99"/>
    <w:rsid w:val="00A30438"/>
  </w:style>
  <w:style w:type="numbering" w:customStyle="1" w:styleId="CurrentList141">
    <w:name w:val="Current List141"/>
    <w:uiPriority w:val="99"/>
    <w:rsid w:val="00A30438"/>
    <w:pPr>
      <w:numPr>
        <w:numId w:val="70"/>
      </w:numPr>
    </w:pPr>
  </w:style>
  <w:style w:type="numbering" w:customStyle="1" w:styleId="CurrentList21">
    <w:name w:val="Current List21"/>
    <w:uiPriority w:val="99"/>
    <w:rsid w:val="00A30438"/>
    <w:pPr>
      <w:numPr>
        <w:numId w:val="25"/>
      </w:numPr>
    </w:pPr>
  </w:style>
  <w:style w:type="numbering" w:customStyle="1" w:styleId="CurrentList151">
    <w:name w:val="Current List151"/>
    <w:uiPriority w:val="99"/>
    <w:rsid w:val="00A30438"/>
    <w:pPr>
      <w:numPr>
        <w:numId w:val="24"/>
      </w:numPr>
    </w:pPr>
  </w:style>
  <w:style w:type="numbering" w:customStyle="1" w:styleId="CurrentList16">
    <w:name w:val="Current List16"/>
    <w:uiPriority w:val="99"/>
    <w:rsid w:val="00A30438"/>
    <w:pPr>
      <w:numPr>
        <w:numId w:val="63"/>
      </w:numPr>
    </w:pPr>
  </w:style>
  <w:style w:type="numbering" w:customStyle="1" w:styleId="CurrentList121">
    <w:name w:val="Current List121"/>
    <w:uiPriority w:val="99"/>
    <w:rsid w:val="00A30438"/>
    <w:pPr>
      <w:numPr>
        <w:numId w:val="71"/>
      </w:numPr>
    </w:pPr>
  </w:style>
  <w:style w:type="numbering" w:customStyle="1" w:styleId="CurrentList51">
    <w:name w:val="Current List51"/>
    <w:uiPriority w:val="99"/>
    <w:rsid w:val="00A30438"/>
    <w:pPr>
      <w:numPr>
        <w:numId w:val="60"/>
      </w:numPr>
    </w:pPr>
  </w:style>
  <w:style w:type="character" w:customStyle="1" w:styleId="Hyperlink1">
    <w:name w:val="Hyperlink1"/>
    <w:basedOn w:val="DefaultParagraphFont"/>
    <w:uiPriority w:val="99"/>
    <w:unhideWhenUsed/>
    <w:qFormat/>
    <w:rsid w:val="0017193A"/>
    <w:rPr>
      <w:color w:val="C73C3A"/>
      <w:u w:val="single"/>
    </w:rPr>
  </w:style>
  <w:style w:type="numbering" w:customStyle="1" w:styleId="CurrentList8">
    <w:name w:val="Current List8"/>
    <w:uiPriority w:val="99"/>
    <w:rsid w:val="00A30438"/>
    <w:pPr>
      <w:numPr>
        <w:numId w:val="23"/>
      </w:numPr>
    </w:pPr>
  </w:style>
  <w:style w:type="paragraph" w:customStyle="1" w:styleId="List-bullets">
    <w:name w:val="List-bullets"/>
    <w:basedOn w:val="Normal"/>
    <w:rsid w:val="0017193A"/>
    <w:pPr>
      <w:tabs>
        <w:tab w:val="num" w:pos="720"/>
      </w:tabs>
      <w:spacing w:after="160" w:line="259" w:lineRule="auto"/>
      <w:ind w:left="1080" w:hanging="360"/>
      <w:jc w:val="left"/>
    </w:pPr>
    <w:rPr>
      <w:rFonts w:cstheme="minorBidi"/>
      <w:sz w:val="16"/>
      <w:szCs w:val="16"/>
    </w:rPr>
  </w:style>
  <w:style w:type="character" w:customStyle="1" w:styleId="mentionstylementiondq5xl">
    <w:name w:val="mentionstyle_mention__dq5xl"/>
    <w:basedOn w:val="DefaultParagraphFont"/>
    <w:rsid w:val="0017193A"/>
  </w:style>
  <w:style w:type="table" w:customStyle="1" w:styleId="GridTable5Dark-Accent11">
    <w:name w:val="Grid Table 5 Dark - Accent 11"/>
    <w:basedOn w:val="TableNormal"/>
    <w:next w:val="GridTable5Dark-Accent1"/>
    <w:uiPriority w:val="50"/>
    <w:rsid w:val="0017193A"/>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numbering" w:customStyle="1" w:styleId="CurrentList9">
    <w:name w:val="Current List9"/>
    <w:uiPriority w:val="99"/>
    <w:rsid w:val="00A30438"/>
    <w:pPr>
      <w:numPr>
        <w:numId w:val="26"/>
      </w:numPr>
    </w:pPr>
  </w:style>
  <w:style w:type="table" w:styleId="ListTable4-Accent6">
    <w:name w:val="List Table 4 Accent 6"/>
    <w:basedOn w:val="TableNormal"/>
    <w:uiPriority w:val="49"/>
    <w:rsid w:val="0017193A"/>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17193A"/>
    <w:pPr>
      <w:spacing w:after="0" w:line="240" w:lineRule="auto"/>
    </w:pPr>
    <w:rPr>
      <w:sz w:val="16"/>
      <w:szCs w:val="16"/>
      <w:lang w:val="en-US"/>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2">
    <w:name w:val="Grid Table 4 Accent 2"/>
    <w:basedOn w:val="TableNormal"/>
    <w:uiPriority w:val="49"/>
    <w:rsid w:val="0017193A"/>
    <w:pPr>
      <w:spacing w:after="0" w:line="240" w:lineRule="auto"/>
    </w:pPr>
    <w:rPr>
      <w:kern w:val="2"/>
      <w:sz w:val="24"/>
      <w:szCs w:val="24"/>
      <w:lang w:val="en-IE"/>
      <w14:ligatures w14:val="standardContextual"/>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4">
    <w:name w:val="Grid Table 3 Accent 4"/>
    <w:basedOn w:val="TableNormal"/>
    <w:uiPriority w:val="48"/>
    <w:rsid w:val="0017193A"/>
    <w:pPr>
      <w:spacing w:after="0" w:line="240" w:lineRule="auto"/>
    </w:pPr>
    <w:rPr>
      <w:kern w:val="2"/>
      <w:sz w:val="24"/>
      <w:szCs w:val="24"/>
      <w:lang w:val="en-IE"/>
      <w14:ligatures w14:val="standardContextual"/>
    </w:rPr>
    <w:tblPr>
      <w:tblStyleRowBandSize w:val="1"/>
      <w:tblStyleColBandSize w:val="1"/>
      <w:tblInd w:w="0" w:type="nil"/>
      <w:tblCellMar>
        <w:left w:w="0" w:type="dxa"/>
        <w:right w:w="0" w:type="dxa"/>
      </w:tblCellMar>
    </w:tblPr>
    <w:tcPr>
      <w:tcBorders>
        <w:top w:val="nil"/>
        <w:left w:val="none" w:sz="23" w:space="0" w:color="3A5658"/>
        <w:bottom w:val="nil"/>
        <w:right w:val="nil"/>
      </w:tcBorders>
      <w:shd w:val="clear" w:color="auto" w:fill="E5DFEC" w:themeFill="accent4" w:themeFillTint="33"/>
    </w:tcPr>
    <w:tblStylePr w:type="firstRow">
      <w:rPr>
        <w:b/>
        <w:bCs/>
      </w:rPr>
      <w:tblPr/>
      <w:tcPr>
        <w:tcBorders>
          <w:top w:val="nil"/>
          <w:left w:val="nil"/>
          <w:bottom w:val="single" w:sz="12" w:space="0" w:color="B2A1C7" w:themeColor="accent4" w:themeTint="99"/>
          <w:right w:val="nil"/>
          <w:insideH w:val="nil"/>
          <w:insideV w:val="nil"/>
        </w:tcBorders>
        <w:shd w:val="clear" w:color="auto" w:fill="FFFFFF" w:themeFill="background1"/>
      </w:tcPr>
    </w:tblStylePr>
    <w:tblStylePr w:type="lastRow">
      <w:rPr>
        <w:b/>
        <w:bCs/>
      </w:rPr>
      <w:tblPr/>
      <w:tcPr>
        <w:tcBorders>
          <w:top w:val="double" w:sz="2" w:space="0" w:color="B2A1C7" w:themeColor="accent4" w:themeTint="99"/>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ListTable2-Accent1">
    <w:name w:val="List Table 2 Accent 1"/>
    <w:basedOn w:val="TableNormal"/>
    <w:uiPriority w:val="47"/>
    <w:rsid w:val="0017193A"/>
    <w:pPr>
      <w:spacing w:after="0" w:line="240" w:lineRule="auto"/>
    </w:pPr>
    <w:rPr>
      <w:kern w:val="2"/>
      <w:sz w:val="24"/>
      <w:szCs w:val="24"/>
      <w:lang w:val="en-IE"/>
      <w14:ligatures w14:val="standardContextual"/>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4">
    <w:name w:val="Grid Table 2 Accent 4"/>
    <w:basedOn w:val="TableNormal"/>
    <w:uiPriority w:val="47"/>
    <w:rsid w:val="0017193A"/>
    <w:pPr>
      <w:spacing w:after="0" w:line="240" w:lineRule="auto"/>
    </w:pPr>
    <w:rPr>
      <w:kern w:val="2"/>
      <w:sz w:val="24"/>
      <w:szCs w:val="24"/>
      <w:lang w:val="en-IE"/>
      <w14:ligatures w14:val="standardContextual"/>
    </w:rPr>
    <w:tblPr>
      <w:tblStyleRowBandSize w:val="1"/>
      <w:tblStyleColBandSize w:val="1"/>
      <w:tblInd w:w="0" w:type="nil"/>
      <w:tblCellMar>
        <w:left w:w="0" w:type="dxa"/>
        <w:right w:w="0" w:type="dxa"/>
      </w:tblCellMar>
    </w:tblPr>
    <w:tcPr>
      <w:tcBorders>
        <w:top w:val="double" w:sz="2" w:space="0" w:color="B2A1C7" w:themeColor="accent4" w:themeTint="99"/>
        <w:bottom w:val="nil"/>
      </w:tcBorders>
      <w:shd w:val="clear" w:color="auto" w:fill="FFFFFF" w:themeFill="background1"/>
    </w:tc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HTG1">
    <w:name w:val="HTG1"/>
    <w:basedOn w:val="TableNormal"/>
    <w:next w:val="TableGrid"/>
    <w:uiPriority w:val="39"/>
    <w:rsid w:val="0017193A"/>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table" w:styleId="GridTable4-Accent5">
    <w:name w:val="Grid Table 4 Accent 5"/>
    <w:basedOn w:val="TableNormal"/>
    <w:uiPriority w:val="49"/>
    <w:rsid w:val="004D5C5E"/>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
    <w:name w:val="Grid Table 4"/>
    <w:basedOn w:val="TableNormal"/>
    <w:uiPriority w:val="49"/>
    <w:rsid w:val="00161E1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ply">
    <w:name w:val="Reply"/>
    <w:basedOn w:val="ListParagraph"/>
    <w:link w:val="ReplyChar"/>
    <w:qFormat/>
    <w:rsid w:val="004B1854"/>
    <w:pPr>
      <w:spacing w:before="60" w:after="60" w:line="264" w:lineRule="auto"/>
      <w:ind w:left="0"/>
      <w:contextualSpacing w:val="0"/>
    </w:pPr>
    <w:rPr>
      <w:bCs/>
      <w:iCs/>
      <w:kern w:val="2"/>
      <w14:ligatures w14:val="standardContextual"/>
    </w:rPr>
  </w:style>
  <w:style w:type="character" w:customStyle="1" w:styleId="ReplyChar">
    <w:name w:val="Reply Char"/>
    <w:basedOn w:val="DefaultParagraphFont"/>
    <w:link w:val="Reply"/>
    <w:rsid w:val="004B1854"/>
    <w:rPr>
      <w:rFonts w:ascii="Times New Roman" w:hAnsi="Times New Roman" w:cs="Times New Roman"/>
      <w:bCs/>
      <w:iCs/>
      <w:kern w:val="2"/>
      <w:sz w:val="24"/>
      <w:szCs w:val="24"/>
      <w14:ligatures w14:val="standardContextual"/>
    </w:rPr>
  </w:style>
  <w:style w:type="table" w:styleId="ListTable1Light-Accent1">
    <w:name w:val="List Table 1 Light Accent 1"/>
    <w:basedOn w:val="TableNormal"/>
    <w:uiPriority w:val="46"/>
    <w:rsid w:val="0099462A"/>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nnexChar">
    <w:name w:val="Annex Char"/>
    <w:basedOn w:val="DefaultParagraphFont"/>
    <w:link w:val="Annex"/>
    <w:locked/>
    <w:rsid w:val="00AE2A3B"/>
    <w:rPr>
      <w:rFonts w:ascii="Times New Roman" w:hAnsi="Times New Roman" w:cs="Times New Roman"/>
      <w:b/>
      <w:bCs/>
      <w:u w:val="single"/>
    </w:rPr>
  </w:style>
  <w:style w:type="paragraph" w:customStyle="1" w:styleId="Annex">
    <w:name w:val="Annex"/>
    <w:basedOn w:val="Normal"/>
    <w:link w:val="AnnexChar"/>
    <w:qFormat/>
    <w:rsid w:val="00AE2A3B"/>
    <w:pPr>
      <w:spacing w:before="240" w:after="120"/>
    </w:pPr>
    <w:rPr>
      <w:b/>
      <w:bCs/>
      <w:sz w:val="22"/>
      <w:szCs w:val="22"/>
      <w:u w:val="single"/>
    </w:rPr>
  </w:style>
  <w:style w:type="character" w:customStyle="1" w:styleId="UnresolvedMention">
    <w:name w:val="Unresolved Mention"/>
    <w:basedOn w:val="DefaultParagraphFont"/>
    <w:uiPriority w:val="99"/>
    <w:semiHidden/>
    <w:unhideWhenUsed/>
    <w:rsid w:val="00E16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4862">
      <w:bodyDiv w:val="1"/>
      <w:marLeft w:val="0"/>
      <w:marRight w:val="0"/>
      <w:marTop w:val="0"/>
      <w:marBottom w:val="0"/>
      <w:divBdr>
        <w:top w:val="none" w:sz="0" w:space="0" w:color="auto"/>
        <w:left w:val="none" w:sz="0" w:space="0" w:color="auto"/>
        <w:bottom w:val="none" w:sz="0" w:space="0" w:color="auto"/>
        <w:right w:val="none" w:sz="0" w:space="0" w:color="auto"/>
      </w:divBdr>
      <w:divsChild>
        <w:div w:id="403650507">
          <w:marLeft w:val="0"/>
          <w:marRight w:val="0"/>
          <w:marTop w:val="0"/>
          <w:marBottom w:val="0"/>
          <w:divBdr>
            <w:top w:val="none" w:sz="0" w:space="0" w:color="auto"/>
            <w:left w:val="none" w:sz="0" w:space="0" w:color="auto"/>
            <w:bottom w:val="none" w:sz="0" w:space="0" w:color="auto"/>
            <w:right w:val="none" w:sz="0" w:space="0" w:color="auto"/>
          </w:divBdr>
          <w:divsChild>
            <w:div w:id="1016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53">
      <w:bodyDiv w:val="1"/>
      <w:marLeft w:val="0"/>
      <w:marRight w:val="0"/>
      <w:marTop w:val="0"/>
      <w:marBottom w:val="0"/>
      <w:divBdr>
        <w:top w:val="none" w:sz="0" w:space="0" w:color="auto"/>
        <w:left w:val="none" w:sz="0" w:space="0" w:color="auto"/>
        <w:bottom w:val="none" w:sz="0" w:space="0" w:color="auto"/>
        <w:right w:val="none" w:sz="0" w:space="0" w:color="auto"/>
      </w:divBdr>
      <w:divsChild>
        <w:div w:id="776877383">
          <w:marLeft w:val="0"/>
          <w:marRight w:val="0"/>
          <w:marTop w:val="0"/>
          <w:marBottom w:val="0"/>
          <w:divBdr>
            <w:top w:val="none" w:sz="0" w:space="0" w:color="auto"/>
            <w:left w:val="none" w:sz="0" w:space="0" w:color="auto"/>
            <w:bottom w:val="none" w:sz="0" w:space="0" w:color="auto"/>
            <w:right w:val="none" w:sz="0" w:space="0" w:color="auto"/>
          </w:divBdr>
        </w:div>
      </w:divsChild>
    </w:div>
    <w:div w:id="14969644">
      <w:bodyDiv w:val="1"/>
      <w:marLeft w:val="0"/>
      <w:marRight w:val="0"/>
      <w:marTop w:val="0"/>
      <w:marBottom w:val="0"/>
      <w:divBdr>
        <w:top w:val="none" w:sz="0" w:space="0" w:color="auto"/>
        <w:left w:val="none" w:sz="0" w:space="0" w:color="auto"/>
        <w:bottom w:val="none" w:sz="0" w:space="0" w:color="auto"/>
        <w:right w:val="none" w:sz="0" w:space="0" w:color="auto"/>
      </w:divBdr>
      <w:divsChild>
        <w:div w:id="210505329">
          <w:marLeft w:val="0"/>
          <w:marRight w:val="0"/>
          <w:marTop w:val="0"/>
          <w:marBottom w:val="0"/>
          <w:divBdr>
            <w:top w:val="none" w:sz="0" w:space="0" w:color="auto"/>
            <w:left w:val="none" w:sz="0" w:space="0" w:color="auto"/>
            <w:bottom w:val="none" w:sz="0" w:space="0" w:color="auto"/>
            <w:right w:val="none" w:sz="0" w:space="0" w:color="auto"/>
          </w:divBdr>
        </w:div>
      </w:divsChild>
    </w:div>
    <w:div w:id="15741439">
      <w:bodyDiv w:val="1"/>
      <w:marLeft w:val="0"/>
      <w:marRight w:val="0"/>
      <w:marTop w:val="0"/>
      <w:marBottom w:val="0"/>
      <w:divBdr>
        <w:top w:val="none" w:sz="0" w:space="0" w:color="auto"/>
        <w:left w:val="none" w:sz="0" w:space="0" w:color="auto"/>
        <w:bottom w:val="none" w:sz="0" w:space="0" w:color="auto"/>
        <w:right w:val="none" w:sz="0" w:space="0" w:color="auto"/>
      </w:divBdr>
    </w:div>
    <w:div w:id="17439434">
      <w:bodyDiv w:val="1"/>
      <w:marLeft w:val="0"/>
      <w:marRight w:val="0"/>
      <w:marTop w:val="0"/>
      <w:marBottom w:val="0"/>
      <w:divBdr>
        <w:top w:val="none" w:sz="0" w:space="0" w:color="auto"/>
        <w:left w:val="none" w:sz="0" w:space="0" w:color="auto"/>
        <w:bottom w:val="none" w:sz="0" w:space="0" w:color="auto"/>
        <w:right w:val="none" w:sz="0" w:space="0" w:color="auto"/>
      </w:divBdr>
    </w:div>
    <w:div w:id="24061318">
      <w:bodyDiv w:val="1"/>
      <w:marLeft w:val="0"/>
      <w:marRight w:val="0"/>
      <w:marTop w:val="0"/>
      <w:marBottom w:val="0"/>
      <w:divBdr>
        <w:top w:val="none" w:sz="0" w:space="0" w:color="auto"/>
        <w:left w:val="none" w:sz="0" w:space="0" w:color="auto"/>
        <w:bottom w:val="none" w:sz="0" w:space="0" w:color="auto"/>
        <w:right w:val="none" w:sz="0" w:space="0" w:color="auto"/>
      </w:divBdr>
    </w:div>
    <w:div w:id="42097084">
      <w:bodyDiv w:val="1"/>
      <w:marLeft w:val="0"/>
      <w:marRight w:val="0"/>
      <w:marTop w:val="0"/>
      <w:marBottom w:val="0"/>
      <w:divBdr>
        <w:top w:val="none" w:sz="0" w:space="0" w:color="auto"/>
        <w:left w:val="none" w:sz="0" w:space="0" w:color="auto"/>
        <w:bottom w:val="none" w:sz="0" w:space="0" w:color="auto"/>
        <w:right w:val="none" w:sz="0" w:space="0" w:color="auto"/>
      </w:divBdr>
    </w:div>
    <w:div w:id="74597392">
      <w:bodyDiv w:val="1"/>
      <w:marLeft w:val="0"/>
      <w:marRight w:val="0"/>
      <w:marTop w:val="0"/>
      <w:marBottom w:val="0"/>
      <w:divBdr>
        <w:top w:val="none" w:sz="0" w:space="0" w:color="auto"/>
        <w:left w:val="none" w:sz="0" w:space="0" w:color="auto"/>
        <w:bottom w:val="none" w:sz="0" w:space="0" w:color="auto"/>
        <w:right w:val="none" w:sz="0" w:space="0" w:color="auto"/>
      </w:divBdr>
    </w:div>
    <w:div w:id="76443604">
      <w:bodyDiv w:val="1"/>
      <w:marLeft w:val="0"/>
      <w:marRight w:val="0"/>
      <w:marTop w:val="0"/>
      <w:marBottom w:val="0"/>
      <w:divBdr>
        <w:top w:val="none" w:sz="0" w:space="0" w:color="auto"/>
        <w:left w:val="none" w:sz="0" w:space="0" w:color="auto"/>
        <w:bottom w:val="none" w:sz="0" w:space="0" w:color="auto"/>
        <w:right w:val="none" w:sz="0" w:space="0" w:color="auto"/>
      </w:divBdr>
    </w:div>
    <w:div w:id="76948960">
      <w:bodyDiv w:val="1"/>
      <w:marLeft w:val="0"/>
      <w:marRight w:val="0"/>
      <w:marTop w:val="0"/>
      <w:marBottom w:val="0"/>
      <w:divBdr>
        <w:top w:val="none" w:sz="0" w:space="0" w:color="auto"/>
        <w:left w:val="none" w:sz="0" w:space="0" w:color="auto"/>
        <w:bottom w:val="none" w:sz="0" w:space="0" w:color="auto"/>
        <w:right w:val="none" w:sz="0" w:space="0" w:color="auto"/>
      </w:divBdr>
    </w:div>
    <w:div w:id="81412840">
      <w:bodyDiv w:val="1"/>
      <w:marLeft w:val="0"/>
      <w:marRight w:val="0"/>
      <w:marTop w:val="0"/>
      <w:marBottom w:val="0"/>
      <w:divBdr>
        <w:top w:val="none" w:sz="0" w:space="0" w:color="auto"/>
        <w:left w:val="none" w:sz="0" w:space="0" w:color="auto"/>
        <w:bottom w:val="none" w:sz="0" w:space="0" w:color="auto"/>
        <w:right w:val="none" w:sz="0" w:space="0" w:color="auto"/>
      </w:divBdr>
    </w:div>
    <w:div w:id="82457369">
      <w:bodyDiv w:val="1"/>
      <w:marLeft w:val="0"/>
      <w:marRight w:val="0"/>
      <w:marTop w:val="0"/>
      <w:marBottom w:val="0"/>
      <w:divBdr>
        <w:top w:val="none" w:sz="0" w:space="0" w:color="auto"/>
        <w:left w:val="none" w:sz="0" w:space="0" w:color="auto"/>
        <w:bottom w:val="none" w:sz="0" w:space="0" w:color="auto"/>
        <w:right w:val="none" w:sz="0" w:space="0" w:color="auto"/>
      </w:divBdr>
    </w:div>
    <w:div w:id="83765879">
      <w:bodyDiv w:val="1"/>
      <w:marLeft w:val="0"/>
      <w:marRight w:val="0"/>
      <w:marTop w:val="0"/>
      <w:marBottom w:val="0"/>
      <w:divBdr>
        <w:top w:val="none" w:sz="0" w:space="0" w:color="auto"/>
        <w:left w:val="none" w:sz="0" w:space="0" w:color="auto"/>
        <w:bottom w:val="none" w:sz="0" w:space="0" w:color="auto"/>
        <w:right w:val="none" w:sz="0" w:space="0" w:color="auto"/>
      </w:divBdr>
      <w:divsChild>
        <w:div w:id="536621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906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544362">
      <w:bodyDiv w:val="1"/>
      <w:marLeft w:val="0"/>
      <w:marRight w:val="0"/>
      <w:marTop w:val="0"/>
      <w:marBottom w:val="0"/>
      <w:divBdr>
        <w:top w:val="none" w:sz="0" w:space="0" w:color="auto"/>
        <w:left w:val="none" w:sz="0" w:space="0" w:color="auto"/>
        <w:bottom w:val="none" w:sz="0" w:space="0" w:color="auto"/>
        <w:right w:val="none" w:sz="0" w:space="0" w:color="auto"/>
      </w:divBdr>
    </w:div>
    <w:div w:id="89813437">
      <w:bodyDiv w:val="1"/>
      <w:marLeft w:val="0"/>
      <w:marRight w:val="0"/>
      <w:marTop w:val="0"/>
      <w:marBottom w:val="0"/>
      <w:divBdr>
        <w:top w:val="none" w:sz="0" w:space="0" w:color="auto"/>
        <w:left w:val="none" w:sz="0" w:space="0" w:color="auto"/>
        <w:bottom w:val="none" w:sz="0" w:space="0" w:color="auto"/>
        <w:right w:val="none" w:sz="0" w:space="0" w:color="auto"/>
      </w:divBdr>
    </w:div>
    <w:div w:id="91584686">
      <w:bodyDiv w:val="1"/>
      <w:marLeft w:val="0"/>
      <w:marRight w:val="0"/>
      <w:marTop w:val="0"/>
      <w:marBottom w:val="0"/>
      <w:divBdr>
        <w:top w:val="none" w:sz="0" w:space="0" w:color="auto"/>
        <w:left w:val="none" w:sz="0" w:space="0" w:color="auto"/>
        <w:bottom w:val="none" w:sz="0" w:space="0" w:color="auto"/>
        <w:right w:val="none" w:sz="0" w:space="0" w:color="auto"/>
      </w:divBdr>
    </w:div>
    <w:div w:id="91753624">
      <w:bodyDiv w:val="1"/>
      <w:marLeft w:val="0"/>
      <w:marRight w:val="0"/>
      <w:marTop w:val="0"/>
      <w:marBottom w:val="0"/>
      <w:divBdr>
        <w:top w:val="none" w:sz="0" w:space="0" w:color="auto"/>
        <w:left w:val="none" w:sz="0" w:space="0" w:color="auto"/>
        <w:bottom w:val="none" w:sz="0" w:space="0" w:color="auto"/>
        <w:right w:val="none" w:sz="0" w:space="0" w:color="auto"/>
      </w:divBdr>
    </w:div>
    <w:div w:id="92476197">
      <w:bodyDiv w:val="1"/>
      <w:marLeft w:val="0"/>
      <w:marRight w:val="0"/>
      <w:marTop w:val="0"/>
      <w:marBottom w:val="0"/>
      <w:divBdr>
        <w:top w:val="none" w:sz="0" w:space="0" w:color="auto"/>
        <w:left w:val="none" w:sz="0" w:space="0" w:color="auto"/>
        <w:bottom w:val="none" w:sz="0" w:space="0" w:color="auto"/>
        <w:right w:val="none" w:sz="0" w:space="0" w:color="auto"/>
      </w:divBdr>
    </w:div>
    <w:div w:id="100297783">
      <w:bodyDiv w:val="1"/>
      <w:marLeft w:val="0"/>
      <w:marRight w:val="0"/>
      <w:marTop w:val="0"/>
      <w:marBottom w:val="0"/>
      <w:divBdr>
        <w:top w:val="none" w:sz="0" w:space="0" w:color="auto"/>
        <w:left w:val="none" w:sz="0" w:space="0" w:color="auto"/>
        <w:bottom w:val="none" w:sz="0" w:space="0" w:color="auto"/>
        <w:right w:val="none" w:sz="0" w:space="0" w:color="auto"/>
      </w:divBdr>
    </w:div>
    <w:div w:id="102770804">
      <w:bodyDiv w:val="1"/>
      <w:marLeft w:val="0"/>
      <w:marRight w:val="0"/>
      <w:marTop w:val="0"/>
      <w:marBottom w:val="0"/>
      <w:divBdr>
        <w:top w:val="none" w:sz="0" w:space="0" w:color="auto"/>
        <w:left w:val="none" w:sz="0" w:space="0" w:color="auto"/>
        <w:bottom w:val="none" w:sz="0" w:space="0" w:color="auto"/>
        <w:right w:val="none" w:sz="0" w:space="0" w:color="auto"/>
      </w:divBdr>
    </w:div>
    <w:div w:id="107433041">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0850547">
      <w:bodyDiv w:val="1"/>
      <w:marLeft w:val="0"/>
      <w:marRight w:val="0"/>
      <w:marTop w:val="0"/>
      <w:marBottom w:val="0"/>
      <w:divBdr>
        <w:top w:val="none" w:sz="0" w:space="0" w:color="auto"/>
        <w:left w:val="none" w:sz="0" w:space="0" w:color="auto"/>
        <w:bottom w:val="none" w:sz="0" w:space="0" w:color="auto"/>
        <w:right w:val="none" w:sz="0" w:space="0" w:color="auto"/>
      </w:divBdr>
    </w:div>
    <w:div w:id="126513159">
      <w:bodyDiv w:val="1"/>
      <w:marLeft w:val="0"/>
      <w:marRight w:val="0"/>
      <w:marTop w:val="0"/>
      <w:marBottom w:val="0"/>
      <w:divBdr>
        <w:top w:val="none" w:sz="0" w:space="0" w:color="auto"/>
        <w:left w:val="none" w:sz="0" w:space="0" w:color="auto"/>
        <w:bottom w:val="none" w:sz="0" w:space="0" w:color="auto"/>
        <w:right w:val="none" w:sz="0" w:space="0" w:color="auto"/>
      </w:divBdr>
    </w:div>
    <w:div w:id="130907154">
      <w:bodyDiv w:val="1"/>
      <w:marLeft w:val="0"/>
      <w:marRight w:val="0"/>
      <w:marTop w:val="0"/>
      <w:marBottom w:val="0"/>
      <w:divBdr>
        <w:top w:val="none" w:sz="0" w:space="0" w:color="auto"/>
        <w:left w:val="none" w:sz="0" w:space="0" w:color="auto"/>
        <w:bottom w:val="none" w:sz="0" w:space="0" w:color="auto"/>
        <w:right w:val="none" w:sz="0" w:space="0" w:color="auto"/>
      </w:divBdr>
    </w:div>
    <w:div w:id="134496460">
      <w:bodyDiv w:val="1"/>
      <w:marLeft w:val="0"/>
      <w:marRight w:val="0"/>
      <w:marTop w:val="0"/>
      <w:marBottom w:val="0"/>
      <w:divBdr>
        <w:top w:val="none" w:sz="0" w:space="0" w:color="auto"/>
        <w:left w:val="none" w:sz="0" w:space="0" w:color="auto"/>
        <w:bottom w:val="none" w:sz="0" w:space="0" w:color="auto"/>
        <w:right w:val="none" w:sz="0" w:space="0" w:color="auto"/>
      </w:divBdr>
    </w:div>
    <w:div w:id="141896615">
      <w:bodyDiv w:val="1"/>
      <w:marLeft w:val="0"/>
      <w:marRight w:val="0"/>
      <w:marTop w:val="0"/>
      <w:marBottom w:val="0"/>
      <w:divBdr>
        <w:top w:val="none" w:sz="0" w:space="0" w:color="auto"/>
        <w:left w:val="none" w:sz="0" w:space="0" w:color="auto"/>
        <w:bottom w:val="none" w:sz="0" w:space="0" w:color="auto"/>
        <w:right w:val="none" w:sz="0" w:space="0" w:color="auto"/>
      </w:divBdr>
    </w:div>
    <w:div w:id="143742345">
      <w:bodyDiv w:val="1"/>
      <w:marLeft w:val="0"/>
      <w:marRight w:val="0"/>
      <w:marTop w:val="0"/>
      <w:marBottom w:val="0"/>
      <w:divBdr>
        <w:top w:val="none" w:sz="0" w:space="0" w:color="auto"/>
        <w:left w:val="none" w:sz="0" w:space="0" w:color="auto"/>
        <w:bottom w:val="none" w:sz="0" w:space="0" w:color="auto"/>
        <w:right w:val="none" w:sz="0" w:space="0" w:color="auto"/>
      </w:divBdr>
    </w:div>
    <w:div w:id="144855800">
      <w:bodyDiv w:val="1"/>
      <w:marLeft w:val="0"/>
      <w:marRight w:val="0"/>
      <w:marTop w:val="0"/>
      <w:marBottom w:val="0"/>
      <w:divBdr>
        <w:top w:val="none" w:sz="0" w:space="0" w:color="auto"/>
        <w:left w:val="none" w:sz="0" w:space="0" w:color="auto"/>
        <w:bottom w:val="none" w:sz="0" w:space="0" w:color="auto"/>
        <w:right w:val="none" w:sz="0" w:space="0" w:color="auto"/>
      </w:divBdr>
    </w:div>
    <w:div w:id="145780800">
      <w:bodyDiv w:val="1"/>
      <w:marLeft w:val="0"/>
      <w:marRight w:val="0"/>
      <w:marTop w:val="0"/>
      <w:marBottom w:val="0"/>
      <w:divBdr>
        <w:top w:val="none" w:sz="0" w:space="0" w:color="auto"/>
        <w:left w:val="none" w:sz="0" w:space="0" w:color="auto"/>
        <w:bottom w:val="none" w:sz="0" w:space="0" w:color="auto"/>
        <w:right w:val="none" w:sz="0" w:space="0" w:color="auto"/>
      </w:divBdr>
    </w:div>
    <w:div w:id="147864978">
      <w:bodyDiv w:val="1"/>
      <w:marLeft w:val="0"/>
      <w:marRight w:val="0"/>
      <w:marTop w:val="0"/>
      <w:marBottom w:val="0"/>
      <w:divBdr>
        <w:top w:val="none" w:sz="0" w:space="0" w:color="auto"/>
        <w:left w:val="none" w:sz="0" w:space="0" w:color="auto"/>
        <w:bottom w:val="none" w:sz="0" w:space="0" w:color="auto"/>
        <w:right w:val="none" w:sz="0" w:space="0" w:color="auto"/>
      </w:divBdr>
    </w:div>
    <w:div w:id="151721447">
      <w:bodyDiv w:val="1"/>
      <w:marLeft w:val="0"/>
      <w:marRight w:val="0"/>
      <w:marTop w:val="0"/>
      <w:marBottom w:val="0"/>
      <w:divBdr>
        <w:top w:val="none" w:sz="0" w:space="0" w:color="auto"/>
        <w:left w:val="none" w:sz="0" w:space="0" w:color="auto"/>
        <w:bottom w:val="none" w:sz="0" w:space="0" w:color="auto"/>
        <w:right w:val="none" w:sz="0" w:space="0" w:color="auto"/>
      </w:divBdr>
    </w:div>
    <w:div w:id="156114971">
      <w:bodyDiv w:val="1"/>
      <w:marLeft w:val="0"/>
      <w:marRight w:val="0"/>
      <w:marTop w:val="0"/>
      <w:marBottom w:val="0"/>
      <w:divBdr>
        <w:top w:val="none" w:sz="0" w:space="0" w:color="auto"/>
        <w:left w:val="none" w:sz="0" w:space="0" w:color="auto"/>
        <w:bottom w:val="none" w:sz="0" w:space="0" w:color="auto"/>
        <w:right w:val="none" w:sz="0" w:space="0" w:color="auto"/>
      </w:divBdr>
    </w:div>
    <w:div w:id="163670366">
      <w:bodyDiv w:val="1"/>
      <w:marLeft w:val="0"/>
      <w:marRight w:val="0"/>
      <w:marTop w:val="0"/>
      <w:marBottom w:val="0"/>
      <w:divBdr>
        <w:top w:val="none" w:sz="0" w:space="0" w:color="auto"/>
        <w:left w:val="none" w:sz="0" w:space="0" w:color="auto"/>
        <w:bottom w:val="none" w:sz="0" w:space="0" w:color="auto"/>
        <w:right w:val="none" w:sz="0" w:space="0" w:color="auto"/>
      </w:divBdr>
    </w:div>
    <w:div w:id="175926010">
      <w:bodyDiv w:val="1"/>
      <w:marLeft w:val="0"/>
      <w:marRight w:val="0"/>
      <w:marTop w:val="0"/>
      <w:marBottom w:val="0"/>
      <w:divBdr>
        <w:top w:val="none" w:sz="0" w:space="0" w:color="auto"/>
        <w:left w:val="none" w:sz="0" w:space="0" w:color="auto"/>
        <w:bottom w:val="none" w:sz="0" w:space="0" w:color="auto"/>
        <w:right w:val="none" w:sz="0" w:space="0" w:color="auto"/>
      </w:divBdr>
    </w:div>
    <w:div w:id="179702719">
      <w:bodyDiv w:val="1"/>
      <w:marLeft w:val="0"/>
      <w:marRight w:val="0"/>
      <w:marTop w:val="0"/>
      <w:marBottom w:val="0"/>
      <w:divBdr>
        <w:top w:val="none" w:sz="0" w:space="0" w:color="auto"/>
        <w:left w:val="none" w:sz="0" w:space="0" w:color="auto"/>
        <w:bottom w:val="none" w:sz="0" w:space="0" w:color="auto"/>
        <w:right w:val="none" w:sz="0" w:space="0" w:color="auto"/>
      </w:divBdr>
    </w:div>
    <w:div w:id="179898368">
      <w:bodyDiv w:val="1"/>
      <w:marLeft w:val="0"/>
      <w:marRight w:val="0"/>
      <w:marTop w:val="0"/>
      <w:marBottom w:val="0"/>
      <w:divBdr>
        <w:top w:val="none" w:sz="0" w:space="0" w:color="auto"/>
        <w:left w:val="none" w:sz="0" w:space="0" w:color="auto"/>
        <w:bottom w:val="none" w:sz="0" w:space="0" w:color="auto"/>
        <w:right w:val="none" w:sz="0" w:space="0" w:color="auto"/>
      </w:divBdr>
    </w:div>
    <w:div w:id="180095243">
      <w:bodyDiv w:val="1"/>
      <w:marLeft w:val="0"/>
      <w:marRight w:val="0"/>
      <w:marTop w:val="0"/>
      <w:marBottom w:val="0"/>
      <w:divBdr>
        <w:top w:val="none" w:sz="0" w:space="0" w:color="auto"/>
        <w:left w:val="none" w:sz="0" w:space="0" w:color="auto"/>
        <w:bottom w:val="none" w:sz="0" w:space="0" w:color="auto"/>
        <w:right w:val="none" w:sz="0" w:space="0" w:color="auto"/>
      </w:divBdr>
    </w:div>
    <w:div w:id="180898567">
      <w:bodyDiv w:val="1"/>
      <w:marLeft w:val="0"/>
      <w:marRight w:val="0"/>
      <w:marTop w:val="0"/>
      <w:marBottom w:val="0"/>
      <w:divBdr>
        <w:top w:val="none" w:sz="0" w:space="0" w:color="auto"/>
        <w:left w:val="none" w:sz="0" w:space="0" w:color="auto"/>
        <w:bottom w:val="none" w:sz="0" w:space="0" w:color="auto"/>
        <w:right w:val="none" w:sz="0" w:space="0" w:color="auto"/>
      </w:divBdr>
    </w:div>
    <w:div w:id="181748966">
      <w:bodyDiv w:val="1"/>
      <w:marLeft w:val="0"/>
      <w:marRight w:val="0"/>
      <w:marTop w:val="0"/>
      <w:marBottom w:val="0"/>
      <w:divBdr>
        <w:top w:val="none" w:sz="0" w:space="0" w:color="auto"/>
        <w:left w:val="none" w:sz="0" w:space="0" w:color="auto"/>
        <w:bottom w:val="none" w:sz="0" w:space="0" w:color="auto"/>
        <w:right w:val="none" w:sz="0" w:space="0" w:color="auto"/>
      </w:divBdr>
    </w:div>
    <w:div w:id="185414042">
      <w:bodyDiv w:val="1"/>
      <w:marLeft w:val="0"/>
      <w:marRight w:val="0"/>
      <w:marTop w:val="0"/>
      <w:marBottom w:val="0"/>
      <w:divBdr>
        <w:top w:val="none" w:sz="0" w:space="0" w:color="auto"/>
        <w:left w:val="none" w:sz="0" w:space="0" w:color="auto"/>
        <w:bottom w:val="none" w:sz="0" w:space="0" w:color="auto"/>
        <w:right w:val="none" w:sz="0" w:space="0" w:color="auto"/>
      </w:divBdr>
    </w:div>
    <w:div w:id="186989541">
      <w:bodyDiv w:val="1"/>
      <w:marLeft w:val="0"/>
      <w:marRight w:val="0"/>
      <w:marTop w:val="0"/>
      <w:marBottom w:val="0"/>
      <w:divBdr>
        <w:top w:val="none" w:sz="0" w:space="0" w:color="auto"/>
        <w:left w:val="none" w:sz="0" w:space="0" w:color="auto"/>
        <w:bottom w:val="none" w:sz="0" w:space="0" w:color="auto"/>
        <w:right w:val="none" w:sz="0" w:space="0" w:color="auto"/>
      </w:divBdr>
    </w:div>
    <w:div w:id="195194687">
      <w:bodyDiv w:val="1"/>
      <w:marLeft w:val="0"/>
      <w:marRight w:val="0"/>
      <w:marTop w:val="0"/>
      <w:marBottom w:val="0"/>
      <w:divBdr>
        <w:top w:val="none" w:sz="0" w:space="0" w:color="auto"/>
        <w:left w:val="none" w:sz="0" w:space="0" w:color="auto"/>
        <w:bottom w:val="none" w:sz="0" w:space="0" w:color="auto"/>
        <w:right w:val="none" w:sz="0" w:space="0" w:color="auto"/>
      </w:divBdr>
    </w:div>
    <w:div w:id="195235263">
      <w:bodyDiv w:val="1"/>
      <w:marLeft w:val="0"/>
      <w:marRight w:val="0"/>
      <w:marTop w:val="0"/>
      <w:marBottom w:val="0"/>
      <w:divBdr>
        <w:top w:val="none" w:sz="0" w:space="0" w:color="auto"/>
        <w:left w:val="none" w:sz="0" w:space="0" w:color="auto"/>
        <w:bottom w:val="none" w:sz="0" w:space="0" w:color="auto"/>
        <w:right w:val="none" w:sz="0" w:space="0" w:color="auto"/>
      </w:divBdr>
    </w:div>
    <w:div w:id="202444180">
      <w:bodyDiv w:val="1"/>
      <w:marLeft w:val="0"/>
      <w:marRight w:val="0"/>
      <w:marTop w:val="0"/>
      <w:marBottom w:val="0"/>
      <w:divBdr>
        <w:top w:val="none" w:sz="0" w:space="0" w:color="auto"/>
        <w:left w:val="none" w:sz="0" w:space="0" w:color="auto"/>
        <w:bottom w:val="none" w:sz="0" w:space="0" w:color="auto"/>
        <w:right w:val="none" w:sz="0" w:space="0" w:color="auto"/>
      </w:divBdr>
    </w:div>
    <w:div w:id="205803584">
      <w:bodyDiv w:val="1"/>
      <w:marLeft w:val="0"/>
      <w:marRight w:val="0"/>
      <w:marTop w:val="0"/>
      <w:marBottom w:val="0"/>
      <w:divBdr>
        <w:top w:val="none" w:sz="0" w:space="0" w:color="auto"/>
        <w:left w:val="none" w:sz="0" w:space="0" w:color="auto"/>
        <w:bottom w:val="none" w:sz="0" w:space="0" w:color="auto"/>
        <w:right w:val="none" w:sz="0" w:space="0" w:color="auto"/>
      </w:divBdr>
    </w:div>
    <w:div w:id="205992783">
      <w:bodyDiv w:val="1"/>
      <w:marLeft w:val="0"/>
      <w:marRight w:val="0"/>
      <w:marTop w:val="0"/>
      <w:marBottom w:val="0"/>
      <w:divBdr>
        <w:top w:val="none" w:sz="0" w:space="0" w:color="auto"/>
        <w:left w:val="none" w:sz="0" w:space="0" w:color="auto"/>
        <w:bottom w:val="none" w:sz="0" w:space="0" w:color="auto"/>
        <w:right w:val="none" w:sz="0" w:space="0" w:color="auto"/>
      </w:divBdr>
    </w:div>
    <w:div w:id="208226155">
      <w:bodyDiv w:val="1"/>
      <w:marLeft w:val="0"/>
      <w:marRight w:val="0"/>
      <w:marTop w:val="0"/>
      <w:marBottom w:val="0"/>
      <w:divBdr>
        <w:top w:val="none" w:sz="0" w:space="0" w:color="auto"/>
        <w:left w:val="none" w:sz="0" w:space="0" w:color="auto"/>
        <w:bottom w:val="none" w:sz="0" w:space="0" w:color="auto"/>
        <w:right w:val="none" w:sz="0" w:space="0" w:color="auto"/>
      </w:divBdr>
    </w:div>
    <w:div w:id="212816214">
      <w:bodyDiv w:val="1"/>
      <w:marLeft w:val="0"/>
      <w:marRight w:val="0"/>
      <w:marTop w:val="0"/>
      <w:marBottom w:val="0"/>
      <w:divBdr>
        <w:top w:val="none" w:sz="0" w:space="0" w:color="auto"/>
        <w:left w:val="none" w:sz="0" w:space="0" w:color="auto"/>
        <w:bottom w:val="none" w:sz="0" w:space="0" w:color="auto"/>
        <w:right w:val="none" w:sz="0" w:space="0" w:color="auto"/>
      </w:divBdr>
    </w:div>
    <w:div w:id="215090009">
      <w:bodyDiv w:val="1"/>
      <w:marLeft w:val="0"/>
      <w:marRight w:val="0"/>
      <w:marTop w:val="0"/>
      <w:marBottom w:val="0"/>
      <w:divBdr>
        <w:top w:val="none" w:sz="0" w:space="0" w:color="auto"/>
        <w:left w:val="none" w:sz="0" w:space="0" w:color="auto"/>
        <w:bottom w:val="none" w:sz="0" w:space="0" w:color="auto"/>
        <w:right w:val="none" w:sz="0" w:space="0" w:color="auto"/>
      </w:divBdr>
    </w:div>
    <w:div w:id="220101853">
      <w:bodyDiv w:val="1"/>
      <w:marLeft w:val="0"/>
      <w:marRight w:val="0"/>
      <w:marTop w:val="0"/>
      <w:marBottom w:val="0"/>
      <w:divBdr>
        <w:top w:val="none" w:sz="0" w:space="0" w:color="auto"/>
        <w:left w:val="none" w:sz="0" w:space="0" w:color="auto"/>
        <w:bottom w:val="none" w:sz="0" w:space="0" w:color="auto"/>
        <w:right w:val="none" w:sz="0" w:space="0" w:color="auto"/>
      </w:divBdr>
    </w:div>
    <w:div w:id="224923013">
      <w:bodyDiv w:val="1"/>
      <w:marLeft w:val="0"/>
      <w:marRight w:val="0"/>
      <w:marTop w:val="0"/>
      <w:marBottom w:val="0"/>
      <w:divBdr>
        <w:top w:val="none" w:sz="0" w:space="0" w:color="auto"/>
        <w:left w:val="none" w:sz="0" w:space="0" w:color="auto"/>
        <w:bottom w:val="none" w:sz="0" w:space="0" w:color="auto"/>
        <w:right w:val="none" w:sz="0" w:space="0" w:color="auto"/>
      </w:divBdr>
    </w:div>
    <w:div w:id="227040171">
      <w:bodyDiv w:val="1"/>
      <w:marLeft w:val="0"/>
      <w:marRight w:val="0"/>
      <w:marTop w:val="0"/>
      <w:marBottom w:val="0"/>
      <w:divBdr>
        <w:top w:val="none" w:sz="0" w:space="0" w:color="auto"/>
        <w:left w:val="none" w:sz="0" w:space="0" w:color="auto"/>
        <w:bottom w:val="none" w:sz="0" w:space="0" w:color="auto"/>
        <w:right w:val="none" w:sz="0" w:space="0" w:color="auto"/>
      </w:divBdr>
    </w:div>
    <w:div w:id="229657294">
      <w:bodyDiv w:val="1"/>
      <w:marLeft w:val="0"/>
      <w:marRight w:val="0"/>
      <w:marTop w:val="0"/>
      <w:marBottom w:val="0"/>
      <w:divBdr>
        <w:top w:val="none" w:sz="0" w:space="0" w:color="auto"/>
        <w:left w:val="none" w:sz="0" w:space="0" w:color="auto"/>
        <w:bottom w:val="none" w:sz="0" w:space="0" w:color="auto"/>
        <w:right w:val="none" w:sz="0" w:space="0" w:color="auto"/>
      </w:divBdr>
    </w:div>
    <w:div w:id="251160731">
      <w:bodyDiv w:val="1"/>
      <w:marLeft w:val="0"/>
      <w:marRight w:val="0"/>
      <w:marTop w:val="0"/>
      <w:marBottom w:val="0"/>
      <w:divBdr>
        <w:top w:val="none" w:sz="0" w:space="0" w:color="auto"/>
        <w:left w:val="none" w:sz="0" w:space="0" w:color="auto"/>
        <w:bottom w:val="none" w:sz="0" w:space="0" w:color="auto"/>
        <w:right w:val="none" w:sz="0" w:space="0" w:color="auto"/>
      </w:divBdr>
    </w:div>
    <w:div w:id="252403043">
      <w:bodyDiv w:val="1"/>
      <w:marLeft w:val="0"/>
      <w:marRight w:val="0"/>
      <w:marTop w:val="0"/>
      <w:marBottom w:val="0"/>
      <w:divBdr>
        <w:top w:val="none" w:sz="0" w:space="0" w:color="auto"/>
        <w:left w:val="none" w:sz="0" w:space="0" w:color="auto"/>
        <w:bottom w:val="none" w:sz="0" w:space="0" w:color="auto"/>
        <w:right w:val="none" w:sz="0" w:space="0" w:color="auto"/>
      </w:divBdr>
    </w:div>
    <w:div w:id="255552554">
      <w:bodyDiv w:val="1"/>
      <w:marLeft w:val="0"/>
      <w:marRight w:val="0"/>
      <w:marTop w:val="0"/>
      <w:marBottom w:val="0"/>
      <w:divBdr>
        <w:top w:val="none" w:sz="0" w:space="0" w:color="auto"/>
        <w:left w:val="none" w:sz="0" w:space="0" w:color="auto"/>
        <w:bottom w:val="none" w:sz="0" w:space="0" w:color="auto"/>
        <w:right w:val="none" w:sz="0" w:space="0" w:color="auto"/>
      </w:divBdr>
    </w:div>
    <w:div w:id="261452725">
      <w:bodyDiv w:val="1"/>
      <w:marLeft w:val="0"/>
      <w:marRight w:val="0"/>
      <w:marTop w:val="0"/>
      <w:marBottom w:val="0"/>
      <w:divBdr>
        <w:top w:val="none" w:sz="0" w:space="0" w:color="auto"/>
        <w:left w:val="none" w:sz="0" w:space="0" w:color="auto"/>
        <w:bottom w:val="none" w:sz="0" w:space="0" w:color="auto"/>
        <w:right w:val="none" w:sz="0" w:space="0" w:color="auto"/>
      </w:divBdr>
    </w:div>
    <w:div w:id="263921713">
      <w:bodyDiv w:val="1"/>
      <w:marLeft w:val="0"/>
      <w:marRight w:val="0"/>
      <w:marTop w:val="0"/>
      <w:marBottom w:val="0"/>
      <w:divBdr>
        <w:top w:val="none" w:sz="0" w:space="0" w:color="auto"/>
        <w:left w:val="none" w:sz="0" w:space="0" w:color="auto"/>
        <w:bottom w:val="none" w:sz="0" w:space="0" w:color="auto"/>
        <w:right w:val="none" w:sz="0" w:space="0" w:color="auto"/>
      </w:divBdr>
    </w:div>
    <w:div w:id="265163280">
      <w:bodyDiv w:val="1"/>
      <w:marLeft w:val="0"/>
      <w:marRight w:val="0"/>
      <w:marTop w:val="0"/>
      <w:marBottom w:val="0"/>
      <w:divBdr>
        <w:top w:val="none" w:sz="0" w:space="0" w:color="auto"/>
        <w:left w:val="none" w:sz="0" w:space="0" w:color="auto"/>
        <w:bottom w:val="none" w:sz="0" w:space="0" w:color="auto"/>
        <w:right w:val="none" w:sz="0" w:space="0" w:color="auto"/>
      </w:divBdr>
    </w:div>
    <w:div w:id="266695979">
      <w:bodyDiv w:val="1"/>
      <w:marLeft w:val="0"/>
      <w:marRight w:val="0"/>
      <w:marTop w:val="0"/>
      <w:marBottom w:val="0"/>
      <w:divBdr>
        <w:top w:val="none" w:sz="0" w:space="0" w:color="auto"/>
        <w:left w:val="none" w:sz="0" w:space="0" w:color="auto"/>
        <w:bottom w:val="none" w:sz="0" w:space="0" w:color="auto"/>
        <w:right w:val="none" w:sz="0" w:space="0" w:color="auto"/>
      </w:divBdr>
    </w:div>
    <w:div w:id="273364542">
      <w:bodyDiv w:val="1"/>
      <w:marLeft w:val="0"/>
      <w:marRight w:val="0"/>
      <w:marTop w:val="0"/>
      <w:marBottom w:val="0"/>
      <w:divBdr>
        <w:top w:val="none" w:sz="0" w:space="0" w:color="auto"/>
        <w:left w:val="none" w:sz="0" w:space="0" w:color="auto"/>
        <w:bottom w:val="none" w:sz="0" w:space="0" w:color="auto"/>
        <w:right w:val="none" w:sz="0" w:space="0" w:color="auto"/>
      </w:divBdr>
    </w:div>
    <w:div w:id="280495053">
      <w:bodyDiv w:val="1"/>
      <w:marLeft w:val="0"/>
      <w:marRight w:val="0"/>
      <w:marTop w:val="0"/>
      <w:marBottom w:val="0"/>
      <w:divBdr>
        <w:top w:val="none" w:sz="0" w:space="0" w:color="auto"/>
        <w:left w:val="none" w:sz="0" w:space="0" w:color="auto"/>
        <w:bottom w:val="none" w:sz="0" w:space="0" w:color="auto"/>
        <w:right w:val="none" w:sz="0" w:space="0" w:color="auto"/>
      </w:divBdr>
    </w:div>
    <w:div w:id="281884398">
      <w:bodyDiv w:val="1"/>
      <w:marLeft w:val="0"/>
      <w:marRight w:val="0"/>
      <w:marTop w:val="0"/>
      <w:marBottom w:val="0"/>
      <w:divBdr>
        <w:top w:val="none" w:sz="0" w:space="0" w:color="auto"/>
        <w:left w:val="none" w:sz="0" w:space="0" w:color="auto"/>
        <w:bottom w:val="none" w:sz="0" w:space="0" w:color="auto"/>
        <w:right w:val="none" w:sz="0" w:space="0" w:color="auto"/>
      </w:divBdr>
    </w:div>
    <w:div w:id="282619071">
      <w:bodyDiv w:val="1"/>
      <w:marLeft w:val="0"/>
      <w:marRight w:val="0"/>
      <w:marTop w:val="0"/>
      <w:marBottom w:val="0"/>
      <w:divBdr>
        <w:top w:val="none" w:sz="0" w:space="0" w:color="auto"/>
        <w:left w:val="none" w:sz="0" w:space="0" w:color="auto"/>
        <w:bottom w:val="none" w:sz="0" w:space="0" w:color="auto"/>
        <w:right w:val="none" w:sz="0" w:space="0" w:color="auto"/>
      </w:divBdr>
    </w:div>
    <w:div w:id="284896246">
      <w:bodyDiv w:val="1"/>
      <w:marLeft w:val="0"/>
      <w:marRight w:val="0"/>
      <w:marTop w:val="0"/>
      <w:marBottom w:val="0"/>
      <w:divBdr>
        <w:top w:val="none" w:sz="0" w:space="0" w:color="auto"/>
        <w:left w:val="none" w:sz="0" w:space="0" w:color="auto"/>
        <w:bottom w:val="none" w:sz="0" w:space="0" w:color="auto"/>
        <w:right w:val="none" w:sz="0" w:space="0" w:color="auto"/>
      </w:divBdr>
    </w:div>
    <w:div w:id="290984746">
      <w:bodyDiv w:val="1"/>
      <w:marLeft w:val="0"/>
      <w:marRight w:val="0"/>
      <w:marTop w:val="0"/>
      <w:marBottom w:val="0"/>
      <w:divBdr>
        <w:top w:val="none" w:sz="0" w:space="0" w:color="auto"/>
        <w:left w:val="none" w:sz="0" w:space="0" w:color="auto"/>
        <w:bottom w:val="none" w:sz="0" w:space="0" w:color="auto"/>
        <w:right w:val="none" w:sz="0" w:space="0" w:color="auto"/>
      </w:divBdr>
    </w:div>
    <w:div w:id="299768780">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16807223">
      <w:bodyDiv w:val="1"/>
      <w:marLeft w:val="0"/>
      <w:marRight w:val="0"/>
      <w:marTop w:val="0"/>
      <w:marBottom w:val="0"/>
      <w:divBdr>
        <w:top w:val="none" w:sz="0" w:space="0" w:color="auto"/>
        <w:left w:val="none" w:sz="0" w:space="0" w:color="auto"/>
        <w:bottom w:val="none" w:sz="0" w:space="0" w:color="auto"/>
        <w:right w:val="none" w:sz="0" w:space="0" w:color="auto"/>
      </w:divBdr>
      <w:divsChild>
        <w:div w:id="1231845717">
          <w:marLeft w:val="0"/>
          <w:marRight w:val="0"/>
          <w:marTop w:val="0"/>
          <w:marBottom w:val="0"/>
          <w:divBdr>
            <w:top w:val="none" w:sz="0" w:space="0" w:color="auto"/>
            <w:left w:val="none" w:sz="0" w:space="0" w:color="auto"/>
            <w:bottom w:val="none" w:sz="0" w:space="0" w:color="auto"/>
            <w:right w:val="none" w:sz="0" w:space="0" w:color="auto"/>
          </w:divBdr>
        </w:div>
        <w:div w:id="1376810680">
          <w:marLeft w:val="0"/>
          <w:marRight w:val="0"/>
          <w:marTop w:val="0"/>
          <w:marBottom w:val="0"/>
          <w:divBdr>
            <w:top w:val="none" w:sz="0" w:space="0" w:color="auto"/>
            <w:left w:val="none" w:sz="0" w:space="0" w:color="auto"/>
            <w:bottom w:val="none" w:sz="0" w:space="0" w:color="auto"/>
            <w:right w:val="none" w:sz="0" w:space="0" w:color="auto"/>
          </w:divBdr>
        </w:div>
        <w:div w:id="2037269250">
          <w:marLeft w:val="0"/>
          <w:marRight w:val="0"/>
          <w:marTop w:val="0"/>
          <w:marBottom w:val="0"/>
          <w:divBdr>
            <w:top w:val="none" w:sz="0" w:space="0" w:color="auto"/>
            <w:left w:val="none" w:sz="0" w:space="0" w:color="auto"/>
            <w:bottom w:val="none" w:sz="0" w:space="0" w:color="auto"/>
            <w:right w:val="none" w:sz="0" w:space="0" w:color="auto"/>
          </w:divBdr>
        </w:div>
      </w:divsChild>
    </w:div>
    <w:div w:id="323314073">
      <w:bodyDiv w:val="1"/>
      <w:marLeft w:val="0"/>
      <w:marRight w:val="0"/>
      <w:marTop w:val="0"/>
      <w:marBottom w:val="0"/>
      <w:divBdr>
        <w:top w:val="none" w:sz="0" w:space="0" w:color="auto"/>
        <w:left w:val="none" w:sz="0" w:space="0" w:color="auto"/>
        <w:bottom w:val="none" w:sz="0" w:space="0" w:color="auto"/>
        <w:right w:val="none" w:sz="0" w:space="0" w:color="auto"/>
      </w:divBdr>
      <w:divsChild>
        <w:div w:id="851533890">
          <w:marLeft w:val="0"/>
          <w:marRight w:val="0"/>
          <w:marTop w:val="0"/>
          <w:marBottom w:val="0"/>
          <w:divBdr>
            <w:top w:val="none" w:sz="0" w:space="0" w:color="auto"/>
            <w:left w:val="none" w:sz="0" w:space="0" w:color="auto"/>
            <w:bottom w:val="none" w:sz="0" w:space="0" w:color="auto"/>
            <w:right w:val="none" w:sz="0" w:space="0" w:color="auto"/>
          </w:divBdr>
          <w:divsChild>
            <w:div w:id="1351183746">
              <w:marLeft w:val="0"/>
              <w:marRight w:val="0"/>
              <w:marTop w:val="0"/>
              <w:marBottom w:val="0"/>
              <w:divBdr>
                <w:top w:val="none" w:sz="0" w:space="0" w:color="auto"/>
                <w:left w:val="none" w:sz="0" w:space="0" w:color="auto"/>
                <w:bottom w:val="none" w:sz="0" w:space="0" w:color="auto"/>
                <w:right w:val="none" w:sz="0" w:space="0" w:color="auto"/>
              </w:divBdr>
              <w:divsChild>
                <w:div w:id="1258174940">
                  <w:marLeft w:val="0"/>
                  <w:marRight w:val="0"/>
                  <w:marTop w:val="0"/>
                  <w:marBottom w:val="0"/>
                  <w:divBdr>
                    <w:top w:val="none" w:sz="0" w:space="0" w:color="auto"/>
                    <w:left w:val="none" w:sz="0" w:space="0" w:color="auto"/>
                    <w:bottom w:val="none" w:sz="0" w:space="0" w:color="auto"/>
                    <w:right w:val="none" w:sz="0" w:space="0" w:color="auto"/>
                  </w:divBdr>
                  <w:divsChild>
                    <w:div w:id="805587171">
                      <w:marLeft w:val="0"/>
                      <w:marRight w:val="0"/>
                      <w:marTop w:val="0"/>
                      <w:marBottom w:val="0"/>
                      <w:divBdr>
                        <w:top w:val="none" w:sz="0" w:space="0" w:color="auto"/>
                        <w:left w:val="none" w:sz="0" w:space="0" w:color="auto"/>
                        <w:bottom w:val="none" w:sz="0" w:space="0" w:color="auto"/>
                        <w:right w:val="none" w:sz="0" w:space="0" w:color="auto"/>
                      </w:divBdr>
                      <w:divsChild>
                        <w:div w:id="3286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539231">
          <w:marLeft w:val="0"/>
          <w:marRight w:val="0"/>
          <w:marTop w:val="0"/>
          <w:marBottom w:val="0"/>
          <w:divBdr>
            <w:top w:val="none" w:sz="0" w:space="0" w:color="auto"/>
            <w:left w:val="none" w:sz="0" w:space="0" w:color="auto"/>
            <w:bottom w:val="none" w:sz="0" w:space="0" w:color="auto"/>
            <w:right w:val="none" w:sz="0" w:space="0" w:color="auto"/>
          </w:divBdr>
          <w:divsChild>
            <w:div w:id="1216357761">
              <w:marLeft w:val="0"/>
              <w:marRight w:val="0"/>
              <w:marTop w:val="0"/>
              <w:marBottom w:val="0"/>
              <w:divBdr>
                <w:top w:val="none" w:sz="0" w:space="0" w:color="auto"/>
                <w:left w:val="none" w:sz="0" w:space="0" w:color="auto"/>
                <w:bottom w:val="none" w:sz="0" w:space="0" w:color="auto"/>
                <w:right w:val="none" w:sz="0" w:space="0" w:color="auto"/>
              </w:divBdr>
              <w:divsChild>
                <w:div w:id="19858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434304">
      <w:bodyDiv w:val="1"/>
      <w:marLeft w:val="0"/>
      <w:marRight w:val="0"/>
      <w:marTop w:val="0"/>
      <w:marBottom w:val="0"/>
      <w:divBdr>
        <w:top w:val="none" w:sz="0" w:space="0" w:color="auto"/>
        <w:left w:val="none" w:sz="0" w:space="0" w:color="auto"/>
        <w:bottom w:val="none" w:sz="0" w:space="0" w:color="auto"/>
        <w:right w:val="none" w:sz="0" w:space="0" w:color="auto"/>
      </w:divBdr>
    </w:div>
    <w:div w:id="324938063">
      <w:bodyDiv w:val="1"/>
      <w:marLeft w:val="0"/>
      <w:marRight w:val="0"/>
      <w:marTop w:val="0"/>
      <w:marBottom w:val="0"/>
      <w:divBdr>
        <w:top w:val="none" w:sz="0" w:space="0" w:color="auto"/>
        <w:left w:val="none" w:sz="0" w:space="0" w:color="auto"/>
        <w:bottom w:val="none" w:sz="0" w:space="0" w:color="auto"/>
        <w:right w:val="none" w:sz="0" w:space="0" w:color="auto"/>
      </w:divBdr>
    </w:div>
    <w:div w:id="336225703">
      <w:bodyDiv w:val="1"/>
      <w:marLeft w:val="0"/>
      <w:marRight w:val="0"/>
      <w:marTop w:val="0"/>
      <w:marBottom w:val="0"/>
      <w:divBdr>
        <w:top w:val="none" w:sz="0" w:space="0" w:color="auto"/>
        <w:left w:val="none" w:sz="0" w:space="0" w:color="auto"/>
        <w:bottom w:val="none" w:sz="0" w:space="0" w:color="auto"/>
        <w:right w:val="none" w:sz="0" w:space="0" w:color="auto"/>
      </w:divBdr>
    </w:div>
    <w:div w:id="338001037">
      <w:bodyDiv w:val="1"/>
      <w:marLeft w:val="0"/>
      <w:marRight w:val="0"/>
      <w:marTop w:val="0"/>
      <w:marBottom w:val="0"/>
      <w:divBdr>
        <w:top w:val="none" w:sz="0" w:space="0" w:color="auto"/>
        <w:left w:val="none" w:sz="0" w:space="0" w:color="auto"/>
        <w:bottom w:val="none" w:sz="0" w:space="0" w:color="auto"/>
        <w:right w:val="none" w:sz="0" w:space="0" w:color="auto"/>
      </w:divBdr>
    </w:div>
    <w:div w:id="340475134">
      <w:bodyDiv w:val="1"/>
      <w:marLeft w:val="0"/>
      <w:marRight w:val="0"/>
      <w:marTop w:val="0"/>
      <w:marBottom w:val="0"/>
      <w:divBdr>
        <w:top w:val="none" w:sz="0" w:space="0" w:color="auto"/>
        <w:left w:val="none" w:sz="0" w:space="0" w:color="auto"/>
        <w:bottom w:val="none" w:sz="0" w:space="0" w:color="auto"/>
        <w:right w:val="none" w:sz="0" w:space="0" w:color="auto"/>
      </w:divBdr>
    </w:div>
    <w:div w:id="341586780">
      <w:bodyDiv w:val="1"/>
      <w:marLeft w:val="0"/>
      <w:marRight w:val="0"/>
      <w:marTop w:val="0"/>
      <w:marBottom w:val="0"/>
      <w:divBdr>
        <w:top w:val="none" w:sz="0" w:space="0" w:color="auto"/>
        <w:left w:val="none" w:sz="0" w:space="0" w:color="auto"/>
        <w:bottom w:val="none" w:sz="0" w:space="0" w:color="auto"/>
        <w:right w:val="none" w:sz="0" w:space="0" w:color="auto"/>
      </w:divBdr>
    </w:div>
    <w:div w:id="343168631">
      <w:bodyDiv w:val="1"/>
      <w:marLeft w:val="0"/>
      <w:marRight w:val="0"/>
      <w:marTop w:val="0"/>
      <w:marBottom w:val="0"/>
      <w:divBdr>
        <w:top w:val="none" w:sz="0" w:space="0" w:color="auto"/>
        <w:left w:val="none" w:sz="0" w:space="0" w:color="auto"/>
        <w:bottom w:val="none" w:sz="0" w:space="0" w:color="auto"/>
        <w:right w:val="none" w:sz="0" w:space="0" w:color="auto"/>
      </w:divBdr>
    </w:div>
    <w:div w:id="344596885">
      <w:bodyDiv w:val="1"/>
      <w:marLeft w:val="0"/>
      <w:marRight w:val="0"/>
      <w:marTop w:val="0"/>
      <w:marBottom w:val="0"/>
      <w:divBdr>
        <w:top w:val="none" w:sz="0" w:space="0" w:color="auto"/>
        <w:left w:val="none" w:sz="0" w:space="0" w:color="auto"/>
        <w:bottom w:val="none" w:sz="0" w:space="0" w:color="auto"/>
        <w:right w:val="none" w:sz="0" w:space="0" w:color="auto"/>
      </w:divBdr>
    </w:div>
    <w:div w:id="348262785">
      <w:bodyDiv w:val="1"/>
      <w:marLeft w:val="0"/>
      <w:marRight w:val="0"/>
      <w:marTop w:val="0"/>
      <w:marBottom w:val="0"/>
      <w:divBdr>
        <w:top w:val="none" w:sz="0" w:space="0" w:color="auto"/>
        <w:left w:val="none" w:sz="0" w:space="0" w:color="auto"/>
        <w:bottom w:val="none" w:sz="0" w:space="0" w:color="auto"/>
        <w:right w:val="none" w:sz="0" w:space="0" w:color="auto"/>
      </w:divBdr>
    </w:div>
    <w:div w:id="357662411">
      <w:bodyDiv w:val="1"/>
      <w:marLeft w:val="0"/>
      <w:marRight w:val="0"/>
      <w:marTop w:val="0"/>
      <w:marBottom w:val="0"/>
      <w:divBdr>
        <w:top w:val="none" w:sz="0" w:space="0" w:color="auto"/>
        <w:left w:val="none" w:sz="0" w:space="0" w:color="auto"/>
        <w:bottom w:val="none" w:sz="0" w:space="0" w:color="auto"/>
        <w:right w:val="none" w:sz="0" w:space="0" w:color="auto"/>
      </w:divBdr>
    </w:div>
    <w:div w:id="360059466">
      <w:bodyDiv w:val="1"/>
      <w:marLeft w:val="0"/>
      <w:marRight w:val="0"/>
      <w:marTop w:val="0"/>
      <w:marBottom w:val="0"/>
      <w:divBdr>
        <w:top w:val="none" w:sz="0" w:space="0" w:color="auto"/>
        <w:left w:val="none" w:sz="0" w:space="0" w:color="auto"/>
        <w:bottom w:val="none" w:sz="0" w:space="0" w:color="auto"/>
        <w:right w:val="none" w:sz="0" w:space="0" w:color="auto"/>
      </w:divBdr>
    </w:div>
    <w:div w:id="369768397">
      <w:bodyDiv w:val="1"/>
      <w:marLeft w:val="0"/>
      <w:marRight w:val="0"/>
      <w:marTop w:val="0"/>
      <w:marBottom w:val="0"/>
      <w:divBdr>
        <w:top w:val="none" w:sz="0" w:space="0" w:color="auto"/>
        <w:left w:val="none" w:sz="0" w:space="0" w:color="auto"/>
        <w:bottom w:val="none" w:sz="0" w:space="0" w:color="auto"/>
        <w:right w:val="none" w:sz="0" w:space="0" w:color="auto"/>
      </w:divBdr>
    </w:div>
    <w:div w:id="371540977">
      <w:bodyDiv w:val="1"/>
      <w:marLeft w:val="0"/>
      <w:marRight w:val="0"/>
      <w:marTop w:val="0"/>
      <w:marBottom w:val="0"/>
      <w:divBdr>
        <w:top w:val="none" w:sz="0" w:space="0" w:color="auto"/>
        <w:left w:val="none" w:sz="0" w:space="0" w:color="auto"/>
        <w:bottom w:val="none" w:sz="0" w:space="0" w:color="auto"/>
        <w:right w:val="none" w:sz="0" w:space="0" w:color="auto"/>
      </w:divBdr>
    </w:div>
    <w:div w:id="378019829">
      <w:bodyDiv w:val="1"/>
      <w:marLeft w:val="0"/>
      <w:marRight w:val="0"/>
      <w:marTop w:val="0"/>
      <w:marBottom w:val="0"/>
      <w:divBdr>
        <w:top w:val="none" w:sz="0" w:space="0" w:color="auto"/>
        <w:left w:val="none" w:sz="0" w:space="0" w:color="auto"/>
        <w:bottom w:val="none" w:sz="0" w:space="0" w:color="auto"/>
        <w:right w:val="none" w:sz="0" w:space="0" w:color="auto"/>
      </w:divBdr>
    </w:div>
    <w:div w:id="380058146">
      <w:bodyDiv w:val="1"/>
      <w:marLeft w:val="0"/>
      <w:marRight w:val="0"/>
      <w:marTop w:val="0"/>
      <w:marBottom w:val="0"/>
      <w:divBdr>
        <w:top w:val="none" w:sz="0" w:space="0" w:color="auto"/>
        <w:left w:val="none" w:sz="0" w:space="0" w:color="auto"/>
        <w:bottom w:val="none" w:sz="0" w:space="0" w:color="auto"/>
        <w:right w:val="none" w:sz="0" w:space="0" w:color="auto"/>
      </w:divBdr>
    </w:div>
    <w:div w:id="385421834">
      <w:bodyDiv w:val="1"/>
      <w:marLeft w:val="0"/>
      <w:marRight w:val="0"/>
      <w:marTop w:val="0"/>
      <w:marBottom w:val="0"/>
      <w:divBdr>
        <w:top w:val="none" w:sz="0" w:space="0" w:color="auto"/>
        <w:left w:val="none" w:sz="0" w:space="0" w:color="auto"/>
        <w:bottom w:val="none" w:sz="0" w:space="0" w:color="auto"/>
        <w:right w:val="none" w:sz="0" w:space="0" w:color="auto"/>
      </w:divBdr>
    </w:div>
    <w:div w:id="387339106">
      <w:bodyDiv w:val="1"/>
      <w:marLeft w:val="0"/>
      <w:marRight w:val="0"/>
      <w:marTop w:val="0"/>
      <w:marBottom w:val="0"/>
      <w:divBdr>
        <w:top w:val="none" w:sz="0" w:space="0" w:color="auto"/>
        <w:left w:val="none" w:sz="0" w:space="0" w:color="auto"/>
        <w:bottom w:val="none" w:sz="0" w:space="0" w:color="auto"/>
        <w:right w:val="none" w:sz="0" w:space="0" w:color="auto"/>
      </w:divBdr>
    </w:div>
    <w:div w:id="391777749">
      <w:bodyDiv w:val="1"/>
      <w:marLeft w:val="0"/>
      <w:marRight w:val="0"/>
      <w:marTop w:val="0"/>
      <w:marBottom w:val="0"/>
      <w:divBdr>
        <w:top w:val="none" w:sz="0" w:space="0" w:color="auto"/>
        <w:left w:val="none" w:sz="0" w:space="0" w:color="auto"/>
        <w:bottom w:val="none" w:sz="0" w:space="0" w:color="auto"/>
        <w:right w:val="none" w:sz="0" w:space="0" w:color="auto"/>
      </w:divBdr>
    </w:div>
    <w:div w:id="392386253">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6829070">
      <w:bodyDiv w:val="1"/>
      <w:marLeft w:val="0"/>
      <w:marRight w:val="0"/>
      <w:marTop w:val="0"/>
      <w:marBottom w:val="0"/>
      <w:divBdr>
        <w:top w:val="none" w:sz="0" w:space="0" w:color="auto"/>
        <w:left w:val="none" w:sz="0" w:space="0" w:color="auto"/>
        <w:bottom w:val="none" w:sz="0" w:space="0" w:color="auto"/>
        <w:right w:val="none" w:sz="0" w:space="0" w:color="auto"/>
      </w:divBdr>
    </w:div>
    <w:div w:id="406996798">
      <w:bodyDiv w:val="1"/>
      <w:marLeft w:val="0"/>
      <w:marRight w:val="0"/>
      <w:marTop w:val="0"/>
      <w:marBottom w:val="0"/>
      <w:divBdr>
        <w:top w:val="none" w:sz="0" w:space="0" w:color="auto"/>
        <w:left w:val="none" w:sz="0" w:space="0" w:color="auto"/>
        <w:bottom w:val="none" w:sz="0" w:space="0" w:color="auto"/>
        <w:right w:val="none" w:sz="0" w:space="0" w:color="auto"/>
      </w:divBdr>
    </w:div>
    <w:div w:id="407574923">
      <w:bodyDiv w:val="1"/>
      <w:marLeft w:val="0"/>
      <w:marRight w:val="0"/>
      <w:marTop w:val="0"/>
      <w:marBottom w:val="0"/>
      <w:divBdr>
        <w:top w:val="none" w:sz="0" w:space="0" w:color="auto"/>
        <w:left w:val="none" w:sz="0" w:space="0" w:color="auto"/>
        <w:bottom w:val="none" w:sz="0" w:space="0" w:color="auto"/>
        <w:right w:val="none" w:sz="0" w:space="0" w:color="auto"/>
      </w:divBdr>
    </w:div>
    <w:div w:id="423384515">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8544694">
      <w:bodyDiv w:val="1"/>
      <w:marLeft w:val="0"/>
      <w:marRight w:val="0"/>
      <w:marTop w:val="0"/>
      <w:marBottom w:val="0"/>
      <w:divBdr>
        <w:top w:val="none" w:sz="0" w:space="0" w:color="auto"/>
        <w:left w:val="none" w:sz="0" w:space="0" w:color="auto"/>
        <w:bottom w:val="none" w:sz="0" w:space="0" w:color="auto"/>
        <w:right w:val="none" w:sz="0" w:space="0" w:color="auto"/>
      </w:divBdr>
    </w:div>
    <w:div w:id="429471306">
      <w:bodyDiv w:val="1"/>
      <w:marLeft w:val="0"/>
      <w:marRight w:val="0"/>
      <w:marTop w:val="0"/>
      <w:marBottom w:val="0"/>
      <w:divBdr>
        <w:top w:val="none" w:sz="0" w:space="0" w:color="auto"/>
        <w:left w:val="none" w:sz="0" w:space="0" w:color="auto"/>
        <w:bottom w:val="none" w:sz="0" w:space="0" w:color="auto"/>
        <w:right w:val="none" w:sz="0" w:space="0" w:color="auto"/>
      </w:divBdr>
    </w:div>
    <w:div w:id="434639372">
      <w:bodyDiv w:val="1"/>
      <w:marLeft w:val="0"/>
      <w:marRight w:val="0"/>
      <w:marTop w:val="0"/>
      <w:marBottom w:val="0"/>
      <w:divBdr>
        <w:top w:val="none" w:sz="0" w:space="0" w:color="auto"/>
        <w:left w:val="none" w:sz="0" w:space="0" w:color="auto"/>
        <w:bottom w:val="none" w:sz="0" w:space="0" w:color="auto"/>
        <w:right w:val="none" w:sz="0" w:space="0" w:color="auto"/>
      </w:divBdr>
    </w:div>
    <w:div w:id="435634113">
      <w:bodyDiv w:val="1"/>
      <w:marLeft w:val="0"/>
      <w:marRight w:val="0"/>
      <w:marTop w:val="0"/>
      <w:marBottom w:val="0"/>
      <w:divBdr>
        <w:top w:val="none" w:sz="0" w:space="0" w:color="auto"/>
        <w:left w:val="none" w:sz="0" w:space="0" w:color="auto"/>
        <w:bottom w:val="none" w:sz="0" w:space="0" w:color="auto"/>
        <w:right w:val="none" w:sz="0" w:space="0" w:color="auto"/>
      </w:divBdr>
    </w:div>
    <w:div w:id="435948227">
      <w:bodyDiv w:val="1"/>
      <w:marLeft w:val="0"/>
      <w:marRight w:val="0"/>
      <w:marTop w:val="0"/>
      <w:marBottom w:val="0"/>
      <w:divBdr>
        <w:top w:val="none" w:sz="0" w:space="0" w:color="auto"/>
        <w:left w:val="none" w:sz="0" w:space="0" w:color="auto"/>
        <w:bottom w:val="none" w:sz="0" w:space="0" w:color="auto"/>
        <w:right w:val="none" w:sz="0" w:space="0" w:color="auto"/>
      </w:divBdr>
    </w:div>
    <w:div w:id="437065654">
      <w:bodyDiv w:val="1"/>
      <w:marLeft w:val="0"/>
      <w:marRight w:val="0"/>
      <w:marTop w:val="0"/>
      <w:marBottom w:val="0"/>
      <w:divBdr>
        <w:top w:val="none" w:sz="0" w:space="0" w:color="auto"/>
        <w:left w:val="none" w:sz="0" w:space="0" w:color="auto"/>
        <w:bottom w:val="none" w:sz="0" w:space="0" w:color="auto"/>
        <w:right w:val="none" w:sz="0" w:space="0" w:color="auto"/>
      </w:divBdr>
    </w:div>
    <w:div w:id="439451130">
      <w:bodyDiv w:val="1"/>
      <w:marLeft w:val="0"/>
      <w:marRight w:val="0"/>
      <w:marTop w:val="0"/>
      <w:marBottom w:val="0"/>
      <w:divBdr>
        <w:top w:val="none" w:sz="0" w:space="0" w:color="auto"/>
        <w:left w:val="none" w:sz="0" w:space="0" w:color="auto"/>
        <w:bottom w:val="none" w:sz="0" w:space="0" w:color="auto"/>
        <w:right w:val="none" w:sz="0" w:space="0" w:color="auto"/>
      </w:divBdr>
    </w:div>
    <w:div w:id="440150778">
      <w:bodyDiv w:val="1"/>
      <w:marLeft w:val="0"/>
      <w:marRight w:val="0"/>
      <w:marTop w:val="0"/>
      <w:marBottom w:val="0"/>
      <w:divBdr>
        <w:top w:val="none" w:sz="0" w:space="0" w:color="auto"/>
        <w:left w:val="none" w:sz="0" w:space="0" w:color="auto"/>
        <w:bottom w:val="none" w:sz="0" w:space="0" w:color="auto"/>
        <w:right w:val="none" w:sz="0" w:space="0" w:color="auto"/>
      </w:divBdr>
    </w:div>
    <w:div w:id="445730851">
      <w:bodyDiv w:val="1"/>
      <w:marLeft w:val="0"/>
      <w:marRight w:val="0"/>
      <w:marTop w:val="0"/>
      <w:marBottom w:val="0"/>
      <w:divBdr>
        <w:top w:val="none" w:sz="0" w:space="0" w:color="auto"/>
        <w:left w:val="none" w:sz="0" w:space="0" w:color="auto"/>
        <w:bottom w:val="none" w:sz="0" w:space="0" w:color="auto"/>
        <w:right w:val="none" w:sz="0" w:space="0" w:color="auto"/>
      </w:divBdr>
    </w:div>
    <w:div w:id="462233210">
      <w:bodyDiv w:val="1"/>
      <w:marLeft w:val="0"/>
      <w:marRight w:val="0"/>
      <w:marTop w:val="0"/>
      <w:marBottom w:val="0"/>
      <w:divBdr>
        <w:top w:val="none" w:sz="0" w:space="0" w:color="auto"/>
        <w:left w:val="none" w:sz="0" w:space="0" w:color="auto"/>
        <w:bottom w:val="none" w:sz="0" w:space="0" w:color="auto"/>
        <w:right w:val="none" w:sz="0" w:space="0" w:color="auto"/>
      </w:divBdr>
    </w:div>
    <w:div w:id="463351099">
      <w:bodyDiv w:val="1"/>
      <w:marLeft w:val="0"/>
      <w:marRight w:val="0"/>
      <w:marTop w:val="0"/>
      <w:marBottom w:val="0"/>
      <w:divBdr>
        <w:top w:val="none" w:sz="0" w:space="0" w:color="auto"/>
        <w:left w:val="none" w:sz="0" w:space="0" w:color="auto"/>
        <w:bottom w:val="none" w:sz="0" w:space="0" w:color="auto"/>
        <w:right w:val="none" w:sz="0" w:space="0" w:color="auto"/>
      </w:divBdr>
    </w:div>
    <w:div w:id="467094250">
      <w:bodyDiv w:val="1"/>
      <w:marLeft w:val="0"/>
      <w:marRight w:val="0"/>
      <w:marTop w:val="0"/>
      <w:marBottom w:val="0"/>
      <w:divBdr>
        <w:top w:val="none" w:sz="0" w:space="0" w:color="auto"/>
        <w:left w:val="none" w:sz="0" w:space="0" w:color="auto"/>
        <w:bottom w:val="none" w:sz="0" w:space="0" w:color="auto"/>
        <w:right w:val="none" w:sz="0" w:space="0" w:color="auto"/>
      </w:divBdr>
    </w:div>
    <w:div w:id="469787030">
      <w:bodyDiv w:val="1"/>
      <w:marLeft w:val="0"/>
      <w:marRight w:val="0"/>
      <w:marTop w:val="0"/>
      <w:marBottom w:val="0"/>
      <w:divBdr>
        <w:top w:val="none" w:sz="0" w:space="0" w:color="auto"/>
        <w:left w:val="none" w:sz="0" w:space="0" w:color="auto"/>
        <w:bottom w:val="none" w:sz="0" w:space="0" w:color="auto"/>
        <w:right w:val="none" w:sz="0" w:space="0" w:color="auto"/>
      </w:divBdr>
    </w:div>
    <w:div w:id="473331899">
      <w:bodyDiv w:val="1"/>
      <w:marLeft w:val="0"/>
      <w:marRight w:val="0"/>
      <w:marTop w:val="0"/>
      <w:marBottom w:val="0"/>
      <w:divBdr>
        <w:top w:val="none" w:sz="0" w:space="0" w:color="auto"/>
        <w:left w:val="none" w:sz="0" w:space="0" w:color="auto"/>
        <w:bottom w:val="none" w:sz="0" w:space="0" w:color="auto"/>
        <w:right w:val="none" w:sz="0" w:space="0" w:color="auto"/>
      </w:divBdr>
    </w:div>
    <w:div w:id="475680799">
      <w:bodyDiv w:val="1"/>
      <w:marLeft w:val="0"/>
      <w:marRight w:val="0"/>
      <w:marTop w:val="0"/>
      <w:marBottom w:val="0"/>
      <w:divBdr>
        <w:top w:val="none" w:sz="0" w:space="0" w:color="auto"/>
        <w:left w:val="none" w:sz="0" w:space="0" w:color="auto"/>
        <w:bottom w:val="none" w:sz="0" w:space="0" w:color="auto"/>
        <w:right w:val="none" w:sz="0" w:space="0" w:color="auto"/>
      </w:divBdr>
    </w:div>
    <w:div w:id="476801272">
      <w:bodyDiv w:val="1"/>
      <w:marLeft w:val="0"/>
      <w:marRight w:val="0"/>
      <w:marTop w:val="0"/>
      <w:marBottom w:val="0"/>
      <w:divBdr>
        <w:top w:val="none" w:sz="0" w:space="0" w:color="auto"/>
        <w:left w:val="none" w:sz="0" w:space="0" w:color="auto"/>
        <w:bottom w:val="none" w:sz="0" w:space="0" w:color="auto"/>
        <w:right w:val="none" w:sz="0" w:space="0" w:color="auto"/>
      </w:divBdr>
    </w:div>
    <w:div w:id="478424137">
      <w:bodyDiv w:val="1"/>
      <w:marLeft w:val="0"/>
      <w:marRight w:val="0"/>
      <w:marTop w:val="0"/>
      <w:marBottom w:val="0"/>
      <w:divBdr>
        <w:top w:val="none" w:sz="0" w:space="0" w:color="auto"/>
        <w:left w:val="none" w:sz="0" w:space="0" w:color="auto"/>
        <w:bottom w:val="none" w:sz="0" w:space="0" w:color="auto"/>
        <w:right w:val="none" w:sz="0" w:space="0" w:color="auto"/>
      </w:divBdr>
    </w:div>
    <w:div w:id="480343025">
      <w:bodyDiv w:val="1"/>
      <w:marLeft w:val="0"/>
      <w:marRight w:val="0"/>
      <w:marTop w:val="0"/>
      <w:marBottom w:val="0"/>
      <w:divBdr>
        <w:top w:val="none" w:sz="0" w:space="0" w:color="auto"/>
        <w:left w:val="none" w:sz="0" w:space="0" w:color="auto"/>
        <w:bottom w:val="none" w:sz="0" w:space="0" w:color="auto"/>
        <w:right w:val="none" w:sz="0" w:space="0" w:color="auto"/>
      </w:divBdr>
    </w:div>
    <w:div w:id="480929250">
      <w:bodyDiv w:val="1"/>
      <w:marLeft w:val="0"/>
      <w:marRight w:val="0"/>
      <w:marTop w:val="0"/>
      <w:marBottom w:val="0"/>
      <w:divBdr>
        <w:top w:val="none" w:sz="0" w:space="0" w:color="auto"/>
        <w:left w:val="none" w:sz="0" w:space="0" w:color="auto"/>
        <w:bottom w:val="none" w:sz="0" w:space="0" w:color="auto"/>
        <w:right w:val="none" w:sz="0" w:space="0" w:color="auto"/>
      </w:divBdr>
    </w:div>
    <w:div w:id="481968224">
      <w:bodyDiv w:val="1"/>
      <w:marLeft w:val="0"/>
      <w:marRight w:val="0"/>
      <w:marTop w:val="0"/>
      <w:marBottom w:val="0"/>
      <w:divBdr>
        <w:top w:val="none" w:sz="0" w:space="0" w:color="auto"/>
        <w:left w:val="none" w:sz="0" w:space="0" w:color="auto"/>
        <w:bottom w:val="none" w:sz="0" w:space="0" w:color="auto"/>
        <w:right w:val="none" w:sz="0" w:space="0" w:color="auto"/>
      </w:divBdr>
    </w:div>
    <w:div w:id="486557466">
      <w:bodyDiv w:val="1"/>
      <w:marLeft w:val="0"/>
      <w:marRight w:val="0"/>
      <w:marTop w:val="0"/>
      <w:marBottom w:val="0"/>
      <w:divBdr>
        <w:top w:val="none" w:sz="0" w:space="0" w:color="auto"/>
        <w:left w:val="none" w:sz="0" w:space="0" w:color="auto"/>
        <w:bottom w:val="none" w:sz="0" w:space="0" w:color="auto"/>
        <w:right w:val="none" w:sz="0" w:space="0" w:color="auto"/>
      </w:divBdr>
    </w:div>
    <w:div w:id="491720667">
      <w:bodyDiv w:val="1"/>
      <w:marLeft w:val="0"/>
      <w:marRight w:val="0"/>
      <w:marTop w:val="0"/>
      <w:marBottom w:val="0"/>
      <w:divBdr>
        <w:top w:val="none" w:sz="0" w:space="0" w:color="auto"/>
        <w:left w:val="none" w:sz="0" w:space="0" w:color="auto"/>
        <w:bottom w:val="none" w:sz="0" w:space="0" w:color="auto"/>
        <w:right w:val="none" w:sz="0" w:space="0" w:color="auto"/>
      </w:divBdr>
    </w:div>
    <w:div w:id="491800014">
      <w:bodyDiv w:val="1"/>
      <w:marLeft w:val="0"/>
      <w:marRight w:val="0"/>
      <w:marTop w:val="0"/>
      <w:marBottom w:val="0"/>
      <w:divBdr>
        <w:top w:val="none" w:sz="0" w:space="0" w:color="auto"/>
        <w:left w:val="none" w:sz="0" w:space="0" w:color="auto"/>
        <w:bottom w:val="none" w:sz="0" w:space="0" w:color="auto"/>
        <w:right w:val="none" w:sz="0" w:space="0" w:color="auto"/>
      </w:divBdr>
    </w:div>
    <w:div w:id="492571404">
      <w:bodyDiv w:val="1"/>
      <w:marLeft w:val="0"/>
      <w:marRight w:val="0"/>
      <w:marTop w:val="0"/>
      <w:marBottom w:val="0"/>
      <w:divBdr>
        <w:top w:val="none" w:sz="0" w:space="0" w:color="auto"/>
        <w:left w:val="none" w:sz="0" w:space="0" w:color="auto"/>
        <w:bottom w:val="none" w:sz="0" w:space="0" w:color="auto"/>
        <w:right w:val="none" w:sz="0" w:space="0" w:color="auto"/>
      </w:divBdr>
    </w:div>
    <w:div w:id="494224325">
      <w:bodyDiv w:val="1"/>
      <w:marLeft w:val="0"/>
      <w:marRight w:val="0"/>
      <w:marTop w:val="0"/>
      <w:marBottom w:val="0"/>
      <w:divBdr>
        <w:top w:val="none" w:sz="0" w:space="0" w:color="auto"/>
        <w:left w:val="none" w:sz="0" w:space="0" w:color="auto"/>
        <w:bottom w:val="none" w:sz="0" w:space="0" w:color="auto"/>
        <w:right w:val="none" w:sz="0" w:space="0" w:color="auto"/>
      </w:divBdr>
    </w:div>
    <w:div w:id="494567402">
      <w:bodyDiv w:val="1"/>
      <w:marLeft w:val="0"/>
      <w:marRight w:val="0"/>
      <w:marTop w:val="0"/>
      <w:marBottom w:val="0"/>
      <w:divBdr>
        <w:top w:val="none" w:sz="0" w:space="0" w:color="auto"/>
        <w:left w:val="none" w:sz="0" w:space="0" w:color="auto"/>
        <w:bottom w:val="none" w:sz="0" w:space="0" w:color="auto"/>
        <w:right w:val="none" w:sz="0" w:space="0" w:color="auto"/>
      </w:divBdr>
    </w:div>
    <w:div w:id="496655125">
      <w:bodyDiv w:val="1"/>
      <w:marLeft w:val="0"/>
      <w:marRight w:val="0"/>
      <w:marTop w:val="0"/>
      <w:marBottom w:val="0"/>
      <w:divBdr>
        <w:top w:val="none" w:sz="0" w:space="0" w:color="auto"/>
        <w:left w:val="none" w:sz="0" w:space="0" w:color="auto"/>
        <w:bottom w:val="none" w:sz="0" w:space="0" w:color="auto"/>
        <w:right w:val="none" w:sz="0" w:space="0" w:color="auto"/>
      </w:divBdr>
    </w:div>
    <w:div w:id="500850560">
      <w:bodyDiv w:val="1"/>
      <w:marLeft w:val="0"/>
      <w:marRight w:val="0"/>
      <w:marTop w:val="0"/>
      <w:marBottom w:val="0"/>
      <w:divBdr>
        <w:top w:val="none" w:sz="0" w:space="0" w:color="auto"/>
        <w:left w:val="none" w:sz="0" w:space="0" w:color="auto"/>
        <w:bottom w:val="none" w:sz="0" w:space="0" w:color="auto"/>
        <w:right w:val="none" w:sz="0" w:space="0" w:color="auto"/>
      </w:divBdr>
    </w:div>
    <w:div w:id="503782798">
      <w:bodyDiv w:val="1"/>
      <w:marLeft w:val="0"/>
      <w:marRight w:val="0"/>
      <w:marTop w:val="0"/>
      <w:marBottom w:val="0"/>
      <w:divBdr>
        <w:top w:val="none" w:sz="0" w:space="0" w:color="auto"/>
        <w:left w:val="none" w:sz="0" w:space="0" w:color="auto"/>
        <w:bottom w:val="none" w:sz="0" w:space="0" w:color="auto"/>
        <w:right w:val="none" w:sz="0" w:space="0" w:color="auto"/>
      </w:divBdr>
    </w:div>
    <w:div w:id="510879410">
      <w:bodyDiv w:val="1"/>
      <w:marLeft w:val="0"/>
      <w:marRight w:val="0"/>
      <w:marTop w:val="0"/>
      <w:marBottom w:val="0"/>
      <w:divBdr>
        <w:top w:val="none" w:sz="0" w:space="0" w:color="auto"/>
        <w:left w:val="none" w:sz="0" w:space="0" w:color="auto"/>
        <w:bottom w:val="none" w:sz="0" w:space="0" w:color="auto"/>
        <w:right w:val="none" w:sz="0" w:space="0" w:color="auto"/>
      </w:divBdr>
    </w:div>
    <w:div w:id="516114356">
      <w:bodyDiv w:val="1"/>
      <w:marLeft w:val="0"/>
      <w:marRight w:val="0"/>
      <w:marTop w:val="0"/>
      <w:marBottom w:val="0"/>
      <w:divBdr>
        <w:top w:val="none" w:sz="0" w:space="0" w:color="auto"/>
        <w:left w:val="none" w:sz="0" w:space="0" w:color="auto"/>
        <w:bottom w:val="none" w:sz="0" w:space="0" w:color="auto"/>
        <w:right w:val="none" w:sz="0" w:space="0" w:color="auto"/>
      </w:divBdr>
    </w:div>
    <w:div w:id="519053687">
      <w:bodyDiv w:val="1"/>
      <w:marLeft w:val="0"/>
      <w:marRight w:val="0"/>
      <w:marTop w:val="0"/>
      <w:marBottom w:val="0"/>
      <w:divBdr>
        <w:top w:val="none" w:sz="0" w:space="0" w:color="auto"/>
        <w:left w:val="none" w:sz="0" w:space="0" w:color="auto"/>
        <w:bottom w:val="none" w:sz="0" w:space="0" w:color="auto"/>
        <w:right w:val="none" w:sz="0" w:space="0" w:color="auto"/>
      </w:divBdr>
    </w:div>
    <w:div w:id="523205167">
      <w:bodyDiv w:val="1"/>
      <w:marLeft w:val="0"/>
      <w:marRight w:val="0"/>
      <w:marTop w:val="0"/>
      <w:marBottom w:val="0"/>
      <w:divBdr>
        <w:top w:val="none" w:sz="0" w:space="0" w:color="auto"/>
        <w:left w:val="none" w:sz="0" w:space="0" w:color="auto"/>
        <w:bottom w:val="none" w:sz="0" w:space="0" w:color="auto"/>
        <w:right w:val="none" w:sz="0" w:space="0" w:color="auto"/>
      </w:divBdr>
    </w:div>
    <w:div w:id="532228233">
      <w:bodyDiv w:val="1"/>
      <w:marLeft w:val="0"/>
      <w:marRight w:val="0"/>
      <w:marTop w:val="0"/>
      <w:marBottom w:val="0"/>
      <w:divBdr>
        <w:top w:val="none" w:sz="0" w:space="0" w:color="auto"/>
        <w:left w:val="none" w:sz="0" w:space="0" w:color="auto"/>
        <w:bottom w:val="none" w:sz="0" w:space="0" w:color="auto"/>
        <w:right w:val="none" w:sz="0" w:space="0" w:color="auto"/>
      </w:divBdr>
    </w:div>
    <w:div w:id="532616872">
      <w:bodyDiv w:val="1"/>
      <w:marLeft w:val="0"/>
      <w:marRight w:val="0"/>
      <w:marTop w:val="0"/>
      <w:marBottom w:val="0"/>
      <w:divBdr>
        <w:top w:val="none" w:sz="0" w:space="0" w:color="auto"/>
        <w:left w:val="none" w:sz="0" w:space="0" w:color="auto"/>
        <w:bottom w:val="none" w:sz="0" w:space="0" w:color="auto"/>
        <w:right w:val="none" w:sz="0" w:space="0" w:color="auto"/>
      </w:divBdr>
    </w:div>
    <w:div w:id="536428765">
      <w:bodyDiv w:val="1"/>
      <w:marLeft w:val="0"/>
      <w:marRight w:val="0"/>
      <w:marTop w:val="0"/>
      <w:marBottom w:val="0"/>
      <w:divBdr>
        <w:top w:val="none" w:sz="0" w:space="0" w:color="auto"/>
        <w:left w:val="none" w:sz="0" w:space="0" w:color="auto"/>
        <w:bottom w:val="none" w:sz="0" w:space="0" w:color="auto"/>
        <w:right w:val="none" w:sz="0" w:space="0" w:color="auto"/>
      </w:divBdr>
    </w:div>
    <w:div w:id="544214840">
      <w:bodyDiv w:val="1"/>
      <w:marLeft w:val="0"/>
      <w:marRight w:val="0"/>
      <w:marTop w:val="0"/>
      <w:marBottom w:val="0"/>
      <w:divBdr>
        <w:top w:val="none" w:sz="0" w:space="0" w:color="auto"/>
        <w:left w:val="none" w:sz="0" w:space="0" w:color="auto"/>
        <w:bottom w:val="none" w:sz="0" w:space="0" w:color="auto"/>
        <w:right w:val="none" w:sz="0" w:space="0" w:color="auto"/>
      </w:divBdr>
    </w:div>
    <w:div w:id="555090051">
      <w:bodyDiv w:val="1"/>
      <w:marLeft w:val="0"/>
      <w:marRight w:val="0"/>
      <w:marTop w:val="0"/>
      <w:marBottom w:val="0"/>
      <w:divBdr>
        <w:top w:val="none" w:sz="0" w:space="0" w:color="auto"/>
        <w:left w:val="none" w:sz="0" w:space="0" w:color="auto"/>
        <w:bottom w:val="none" w:sz="0" w:space="0" w:color="auto"/>
        <w:right w:val="none" w:sz="0" w:space="0" w:color="auto"/>
      </w:divBdr>
    </w:div>
    <w:div w:id="560941143">
      <w:bodyDiv w:val="1"/>
      <w:marLeft w:val="0"/>
      <w:marRight w:val="0"/>
      <w:marTop w:val="0"/>
      <w:marBottom w:val="0"/>
      <w:divBdr>
        <w:top w:val="none" w:sz="0" w:space="0" w:color="auto"/>
        <w:left w:val="none" w:sz="0" w:space="0" w:color="auto"/>
        <w:bottom w:val="none" w:sz="0" w:space="0" w:color="auto"/>
        <w:right w:val="none" w:sz="0" w:space="0" w:color="auto"/>
      </w:divBdr>
    </w:div>
    <w:div w:id="565797128">
      <w:bodyDiv w:val="1"/>
      <w:marLeft w:val="0"/>
      <w:marRight w:val="0"/>
      <w:marTop w:val="0"/>
      <w:marBottom w:val="0"/>
      <w:divBdr>
        <w:top w:val="none" w:sz="0" w:space="0" w:color="auto"/>
        <w:left w:val="none" w:sz="0" w:space="0" w:color="auto"/>
        <w:bottom w:val="none" w:sz="0" w:space="0" w:color="auto"/>
        <w:right w:val="none" w:sz="0" w:space="0" w:color="auto"/>
      </w:divBdr>
    </w:div>
    <w:div w:id="567107913">
      <w:bodyDiv w:val="1"/>
      <w:marLeft w:val="0"/>
      <w:marRight w:val="0"/>
      <w:marTop w:val="0"/>
      <w:marBottom w:val="0"/>
      <w:divBdr>
        <w:top w:val="none" w:sz="0" w:space="0" w:color="auto"/>
        <w:left w:val="none" w:sz="0" w:space="0" w:color="auto"/>
        <w:bottom w:val="none" w:sz="0" w:space="0" w:color="auto"/>
        <w:right w:val="none" w:sz="0" w:space="0" w:color="auto"/>
      </w:divBdr>
    </w:div>
    <w:div w:id="568003270">
      <w:bodyDiv w:val="1"/>
      <w:marLeft w:val="0"/>
      <w:marRight w:val="0"/>
      <w:marTop w:val="0"/>
      <w:marBottom w:val="0"/>
      <w:divBdr>
        <w:top w:val="none" w:sz="0" w:space="0" w:color="auto"/>
        <w:left w:val="none" w:sz="0" w:space="0" w:color="auto"/>
        <w:bottom w:val="none" w:sz="0" w:space="0" w:color="auto"/>
        <w:right w:val="none" w:sz="0" w:space="0" w:color="auto"/>
      </w:divBdr>
    </w:div>
    <w:div w:id="568004544">
      <w:bodyDiv w:val="1"/>
      <w:marLeft w:val="0"/>
      <w:marRight w:val="0"/>
      <w:marTop w:val="0"/>
      <w:marBottom w:val="0"/>
      <w:divBdr>
        <w:top w:val="none" w:sz="0" w:space="0" w:color="auto"/>
        <w:left w:val="none" w:sz="0" w:space="0" w:color="auto"/>
        <w:bottom w:val="none" w:sz="0" w:space="0" w:color="auto"/>
        <w:right w:val="none" w:sz="0" w:space="0" w:color="auto"/>
      </w:divBdr>
    </w:div>
    <w:div w:id="568855299">
      <w:bodyDiv w:val="1"/>
      <w:marLeft w:val="0"/>
      <w:marRight w:val="0"/>
      <w:marTop w:val="0"/>
      <w:marBottom w:val="0"/>
      <w:divBdr>
        <w:top w:val="none" w:sz="0" w:space="0" w:color="auto"/>
        <w:left w:val="none" w:sz="0" w:space="0" w:color="auto"/>
        <w:bottom w:val="none" w:sz="0" w:space="0" w:color="auto"/>
        <w:right w:val="none" w:sz="0" w:space="0" w:color="auto"/>
      </w:divBdr>
    </w:div>
    <w:div w:id="569850533">
      <w:bodyDiv w:val="1"/>
      <w:marLeft w:val="0"/>
      <w:marRight w:val="0"/>
      <w:marTop w:val="0"/>
      <w:marBottom w:val="0"/>
      <w:divBdr>
        <w:top w:val="none" w:sz="0" w:space="0" w:color="auto"/>
        <w:left w:val="none" w:sz="0" w:space="0" w:color="auto"/>
        <w:bottom w:val="none" w:sz="0" w:space="0" w:color="auto"/>
        <w:right w:val="none" w:sz="0" w:space="0" w:color="auto"/>
      </w:divBdr>
    </w:div>
    <w:div w:id="579563251">
      <w:bodyDiv w:val="1"/>
      <w:marLeft w:val="0"/>
      <w:marRight w:val="0"/>
      <w:marTop w:val="0"/>
      <w:marBottom w:val="0"/>
      <w:divBdr>
        <w:top w:val="none" w:sz="0" w:space="0" w:color="auto"/>
        <w:left w:val="none" w:sz="0" w:space="0" w:color="auto"/>
        <w:bottom w:val="none" w:sz="0" w:space="0" w:color="auto"/>
        <w:right w:val="none" w:sz="0" w:space="0" w:color="auto"/>
      </w:divBdr>
    </w:div>
    <w:div w:id="579607457">
      <w:bodyDiv w:val="1"/>
      <w:marLeft w:val="0"/>
      <w:marRight w:val="0"/>
      <w:marTop w:val="0"/>
      <w:marBottom w:val="0"/>
      <w:divBdr>
        <w:top w:val="none" w:sz="0" w:space="0" w:color="auto"/>
        <w:left w:val="none" w:sz="0" w:space="0" w:color="auto"/>
        <w:bottom w:val="none" w:sz="0" w:space="0" w:color="auto"/>
        <w:right w:val="none" w:sz="0" w:space="0" w:color="auto"/>
      </w:divBdr>
    </w:div>
    <w:div w:id="597180412">
      <w:bodyDiv w:val="1"/>
      <w:marLeft w:val="0"/>
      <w:marRight w:val="0"/>
      <w:marTop w:val="0"/>
      <w:marBottom w:val="0"/>
      <w:divBdr>
        <w:top w:val="none" w:sz="0" w:space="0" w:color="auto"/>
        <w:left w:val="none" w:sz="0" w:space="0" w:color="auto"/>
        <w:bottom w:val="none" w:sz="0" w:space="0" w:color="auto"/>
        <w:right w:val="none" w:sz="0" w:space="0" w:color="auto"/>
      </w:divBdr>
    </w:div>
    <w:div w:id="599685900">
      <w:bodyDiv w:val="1"/>
      <w:marLeft w:val="0"/>
      <w:marRight w:val="0"/>
      <w:marTop w:val="0"/>
      <w:marBottom w:val="0"/>
      <w:divBdr>
        <w:top w:val="none" w:sz="0" w:space="0" w:color="auto"/>
        <w:left w:val="none" w:sz="0" w:space="0" w:color="auto"/>
        <w:bottom w:val="none" w:sz="0" w:space="0" w:color="auto"/>
        <w:right w:val="none" w:sz="0" w:space="0" w:color="auto"/>
      </w:divBdr>
    </w:div>
    <w:div w:id="608665316">
      <w:bodyDiv w:val="1"/>
      <w:marLeft w:val="0"/>
      <w:marRight w:val="0"/>
      <w:marTop w:val="0"/>
      <w:marBottom w:val="0"/>
      <w:divBdr>
        <w:top w:val="none" w:sz="0" w:space="0" w:color="auto"/>
        <w:left w:val="none" w:sz="0" w:space="0" w:color="auto"/>
        <w:bottom w:val="none" w:sz="0" w:space="0" w:color="auto"/>
        <w:right w:val="none" w:sz="0" w:space="0" w:color="auto"/>
      </w:divBdr>
    </w:div>
    <w:div w:id="608853407">
      <w:bodyDiv w:val="1"/>
      <w:marLeft w:val="0"/>
      <w:marRight w:val="0"/>
      <w:marTop w:val="0"/>
      <w:marBottom w:val="0"/>
      <w:divBdr>
        <w:top w:val="none" w:sz="0" w:space="0" w:color="auto"/>
        <w:left w:val="none" w:sz="0" w:space="0" w:color="auto"/>
        <w:bottom w:val="none" w:sz="0" w:space="0" w:color="auto"/>
        <w:right w:val="none" w:sz="0" w:space="0" w:color="auto"/>
      </w:divBdr>
    </w:div>
    <w:div w:id="613096359">
      <w:bodyDiv w:val="1"/>
      <w:marLeft w:val="0"/>
      <w:marRight w:val="0"/>
      <w:marTop w:val="0"/>
      <w:marBottom w:val="0"/>
      <w:divBdr>
        <w:top w:val="none" w:sz="0" w:space="0" w:color="auto"/>
        <w:left w:val="none" w:sz="0" w:space="0" w:color="auto"/>
        <w:bottom w:val="none" w:sz="0" w:space="0" w:color="auto"/>
        <w:right w:val="none" w:sz="0" w:space="0" w:color="auto"/>
      </w:divBdr>
    </w:div>
    <w:div w:id="615991319">
      <w:bodyDiv w:val="1"/>
      <w:marLeft w:val="0"/>
      <w:marRight w:val="0"/>
      <w:marTop w:val="0"/>
      <w:marBottom w:val="0"/>
      <w:divBdr>
        <w:top w:val="none" w:sz="0" w:space="0" w:color="auto"/>
        <w:left w:val="none" w:sz="0" w:space="0" w:color="auto"/>
        <w:bottom w:val="none" w:sz="0" w:space="0" w:color="auto"/>
        <w:right w:val="none" w:sz="0" w:space="0" w:color="auto"/>
      </w:divBdr>
    </w:div>
    <w:div w:id="624121910">
      <w:bodyDiv w:val="1"/>
      <w:marLeft w:val="0"/>
      <w:marRight w:val="0"/>
      <w:marTop w:val="0"/>
      <w:marBottom w:val="0"/>
      <w:divBdr>
        <w:top w:val="none" w:sz="0" w:space="0" w:color="auto"/>
        <w:left w:val="none" w:sz="0" w:space="0" w:color="auto"/>
        <w:bottom w:val="none" w:sz="0" w:space="0" w:color="auto"/>
        <w:right w:val="none" w:sz="0" w:space="0" w:color="auto"/>
      </w:divBdr>
    </w:div>
    <w:div w:id="626009547">
      <w:bodyDiv w:val="1"/>
      <w:marLeft w:val="0"/>
      <w:marRight w:val="0"/>
      <w:marTop w:val="0"/>
      <w:marBottom w:val="0"/>
      <w:divBdr>
        <w:top w:val="none" w:sz="0" w:space="0" w:color="auto"/>
        <w:left w:val="none" w:sz="0" w:space="0" w:color="auto"/>
        <w:bottom w:val="none" w:sz="0" w:space="0" w:color="auto"/>
        <w:right w:val="none" w:sz="0" w:space="0" w:color="auto"/>
      </w:divBdr>
    </w:div>
    <w:div w:id="637495491">
      <w:bodyDiv w:val="1"/>
      <w:marLeft w:val="0"/>
      <w:marRight w:val="0"/>
      <w:marTop w:val="0"/>
      <w:marBottom w:val="0"/>
      <w:divBdr>
        <w:top w:val="none" w:sz="0" w:space="0" w:color="auto"/>
        <w:left w:val="none" w:sz="0" w:space="0" w:color="auto"/>
        <w:bottom w:val="none" w:sz="0" w:space="0" w:color="auto"/>
        <w:right w:val="none" w:sz="0" w:space="0" w:color="auto"/>
      </w:divBdr>
    </w:div>
    <w:div w:id="646515523">
      <w:bodyDiv w:val="1"/>
      <w:marLeft w:val="0"/>
      <w:marRight w:val="0"/>
      <w:marTop w:val="0"/>
      <w:marBottom w:val="0"/>
      <w:divBdr>
        <w:top w:val="none" w:sz="0" w:space="0" w:color="auto"/>
        <w:left w:val="none" w:sz="0" w:space="0" w:color="auto"/>
        <w:bottom w:val="none" w:sz="0" w:space="0" w:color="auto"/>
        <w:right w:val="none" w:sz="0" w:space="0" w:color="auto"/>
      </w:divBdr>
    </w:div>
    <w:div w:id="651560819">
      <w:bodyDiv w:val="1"/>
      <w:marLeft w:val="0"/>
      <w:marRight w:val="0"/>
      <w:marTop w:val="0"/>
      <w:marBottom w:val="0"/>
      <w:divBdr>
        <w:top w:val="none" w:sz="0" w:space="0" w:color="auto"/>
        <w:left w:val="none" w:sz="0" w:space="0" w:color="auto"/>
        <w:bottom w:val="none" w:sz="0" w:space="0" w:color="auto"/>
        <w:right w:val="none" w:sz="0" w:space="0" w:color="auto"/>
      </w:divBdr>
    </w:div>
    <w:div w:id="653800806">
      <w:bodyDiv w:val="1"/>
      <w:marLeft w:val="0"/>
      <w:marRight w:val="0"/>
      <w:marTop w:val="0"/>
      <w:marBottom w:val="0"/>
      <w:divBdr>
        <w:top w:val="none" w:sz="0" w:space="0" w:color="auto"/>
        <w:left w:val="none" w:sz="0" w:space="0" w:color="auto"/>
        <w:bottom w:val="none" w:sz="0" w:space="0" w:color="auto"/>
        <w:right w:val="none" w:sz="0" w:space="0" w:color="auto"/>
      </w:divBdr>
    </w:div>
    <w:div w:id="655497436">
      <w:bodyDiv w:val="1"/>
      <w:marLeft w:val="0"/>
      <w:marRight w:val="0"/>
      <w:marTop w:val="0"/>
      <w:marBottom w:val="0"/>
      <w:divBdr>
        <w:top w:val="none" w:sz="0" w:space="0" w:color="auto"/>
        <w:left w:val="none" w:sz="0" w:space="0" w:color="auto"/>
        <w:bottom w:val="none" w:sz="0" w:space="0" w:color="auto"/>
        <w:right w:val="none" w:sz="0" w:space="0" w:color="auto"/>
      </w:divBdr>
    </w:div>
    <w:div w:id="656960975">
      <w:bodyDiv w:val="1"/>
      <w:marLeft w:val="0"/>
      <w:marRight w:val="0"/>
      <w:marTop w:val="0"/>
      <w:marBottom w:val="0"/>
      <w:divBdr>
        <w:top w:val="none" w:sz="0" w:space="0" w:color="auto"/>
        <w:left w:val="none" w:sz="0" w:space="0" w:color="auto"/>
        <w:bottom w:val="none" w:sz="0" w:space="0" w:color="auto"/>
        <w:right w:val="none" w:sz="0" w:space="0" w:color="auto"/>
      </w:divBdr>
    </w:div>
    <w:div w:id="663900120">
      <w:bodyDiv w:val="1"/>
      <w:marLeft w:val="0"/>
      <w:marRight w:val="0"/>
      <w:marTop w:val="0"/>
      <w:marBottom w:val="0"/>
      <w:divBdr>
        <w:top w:val="none" w:sz="0" w:space="0" w:color="auto"/>
        <w:left w:val="none" w:sz="0" w:space="0" w:color="auto"/>
        <w:bottom w:val="none" w:sz="0" w:space="0" w:color="auto"/>
        <w:right w:val="none" w:sz="0" w:space="0" w:color="auto"/>
      </w:divBdr>
    </w:div>
    <w:div w:id="667371290">
      <w:bodyDiv w:val="1"/>
      <w:marLeft w:val="0"/>
      <w:marRight w:val="0"/>
      <w:marTop w:val="0"/>
      <w:marBottom w:val="0"/>
      <w:divBdr>
        <w:top w:val="none" w:sz="0" w:space="0" w:color="auto"/>
        <w:left w:val="none" w:sz="0" w:space="0" w:color="auto"/>
        <w:bottom w:val="none" w:sz="0" w:space="0" w:color="auto"/>
        <w:right w:val="none" w:sz="0" w:space="0" w:color="auto"/>
      </w:divBdr>
    </w:div>
    <w:div w:id="669917543">
      <w:bodyDiv w:val="1"/>
      <w:marLeft w:val="0"/>
      <w:marRight w:val="0"/>
      <w:marTop w:val="0"/>
      <w:marBottom w:val="0"/>
      <w:divBdr>
        <w:top w:val="none" w:sz="0" w:space="0" w:color="auto"/>
        <w:left w:val="none" w:sz="0" w:space="0" w:color="auto"/>
        <w:bottom w:val="none" w:sz="0" w:space="0" w:color="auto"/>
        <w:right w:val="none" w:sz="0" w:space="0" w:color="auto"/>
      </w:divBdr>
    </w:div>
    <w:div w:id="679892257">
      <w:bodyDiv w:val="1"/>
      <w:marLeft w:val="0"/>
      <w:marRight w:val="0"/>
      <w:marTop w:val="0"/>
      <w:marBottom w:val="0"/>
      <w:divBdr>
        <w:top w:val="none" w:sz="0" w:space="0" w:color="auto"/>
        <w:left w:val="none" w:sz="0" w:space="0" w:color="auto"/>
        <w:bottom w:val="none" w:sz="0" w:space="0" w:color="auto"/>
        <w:right w:val="none" w:sz="0" w:space="0" w:color="auto"/>
      </w:divBdr>
    </w:div>
    <w:div w:id="686492496">
      <w:bodyDiv w:val="1"/>
      <w:marLeft w:val="0"/>
      <w:marRight w:val="0"/>
      <w:marTop w:val="0"/>
      <w:marBottom w:val="0"/>
      <w:divBdr>
        <w:top w:val="none" w:sz="0" w:space="0" w:color="auto"/>
        <w:left w:val="none" w:sz="0" w:space="0" w:color="auto"/>
        <w:bottom w:val="none" w:sz="0" w:space="0" w:color="auto"/>
        <w:right w:val="none" w:sz="0" w:space="0" w:color="auto"/>
      </w:divBdr>
    </w:div>
    <w:div w:id="689061629">
      <w:bodyDiv w:val="1"/>
      <w:marLeft w:val="0"/>
      <w:marRight w:val="0"/>
      <w:marTop w:val="0"/>
      <w:marBottom w:val="0"/>
      <w:divBdr>
        <w:top w:val="none" w:sz="0" w:space="0" w:color="auto"/>
        <w:left w:val="none" w:sz="0" w:space="0" w:color="auto"/>
        <w:bottom w:val="none" w:sz="0" w:space="0" w:color="auto"/>
        <w:right w:val="none" w:sz="0" w:space="0" w:color="auto"/>
      </w:divBdr>
    </w:div>
    <w:div w:id="689986654">
      <w:bodyDiv w:val="1"/>
      <w:marLeft w:val="0"/>
      <w:marRight w:val="0"/>
      <w:marTop w:val="0"/>
      <w:marBottom w:val="0"/>
      <w:divBdr>
        <w:top w:val="none" w:sz="0" w:space="0" w:color="auto"/>
        <w:left w:val="none" w:sz="0" w:space="0" w:color="auto"/>
        <w:bottom w:val="none" w:sz="0" w:space="0" w:color="auto"/>
        <w:right w:val="none" w:sz="0" w:space="0" w:color="auto"/>
      </w:divBdr>
    </w:div>
    <w:div w:id="692148117">
      <w:bodyDiv w:val="1"/>
      <w:marLeft w:val="0"/>
      <w:marRight w:val="0"/>
      <w:marTop w:val="0"/>
      <w:marBottom w:val="0"/>
      <w:divBdr>
        <w:top w:val="none" w:sz="0" w:space="0" w:color="auto"/>
        <w:left w:val="none" w:sz="0" w:space="0" w:color="auto"/>
        <w:bottom w:val="none" w:sz="0" w:space="0" w:color="auto"/>
        <w:right w:val="none" w:sz="0" w:space="0" w:color="auto"/>
      </w:divBdr>
    </w:div>
    <w:div w:id="693074647">
      <w:bodyDiv w:val="1"/>
      <w:marLeft w:val="0"/>
      <w:marRight w:val="0"/>
      <w:marTop w:val="0"/>
      <w:marBottom w:val="0"/>
      <w:divBdr>
        <w:top w:val="none" w:sz="0" w:space="0" w:color="auto"/>
        <w:left w:val="none" w:sz="0" w:space="0" w:color="auto"/>
        <w:bottom w:val="none" w:sz="0" w:space="0" w:color="auto"/>
        <w:right w:val="none" w:sz="0" w:space="0" w:color="auto"/>
      </w:divBdr>
    </w:div>
    <w:div w:id="693848258">
      <w:bodyDiv w:val="1"/>
      <w:marLeft w:val="0"/>
      <w:marRight w:val="0"/>
      <w:marTop w:val="0"/>
      <w:marBottom w:val="0"/>
      <w:divBdr>
        <w:top w:val="none" w:sz="0" w:space="0" w:color="auto"/>
        <w:left w:val="none" w:sz="0" w:space="0" w:color="auto"/>
        <w:bottom w:val="none" w:sz="0" w:space="0" w:color="auto"/>
        <w:right w:val="none" w:sz="0" w:space="0" w:color="auto"/>
      </w:divBdr>
    </w:div>
    <w:div w:id="696349101">
      <w:bodyDiv w:val="1"/>
      <w:marLeft w:val="0"/>
      <w:marRight w:val="0"/>
      <w:marTop w:val="0"/>
      <w:marBottom w:val="0"/>
      <w:divBdr>
        <w:top w:val="none" w:sz="0" w:space="0" w:color="auto"/>
        <w:left w:val="none" w:sz="0" w:space="0" w:color="auto"/>
        <w:bottom w:val="none" w:sz="0" w:space="0" w:color="auto"/>
        <w:right w:val="none" w:sz="0" w:space="0" w:color="auto"/>
      </w:divBdr>
    </w:div>
    <w:div w:id="701201017">
      <w:bodyDiv w:val="1"/>
      <w:marLeft w:val="0"/>
      <w:marRight w:val="0"/>
      <w:marTop w:val="0"/>
      <w:marBottom w:val="0"/>
      <w:divBdr>
        <w:top w:val="none" w:sz="0" w:space="0" w:color="auto"/>
        <w:left w:val="none" w:sz="0" w:space="0" w:color="auto"/>
        <w:bottom w:val="none" w:sz="0" w:space="0" w:color="auto"/>
        <w:right w:val="none" w:sz="0" w:space="0" w:color="auto"/>
      </w:divBdr>
    </w:div>
    <w:div w:id="710571290">
      <w:bodyDiv w:val="1"/>
      <w:marLeft w:val="0"/>
      <w:marRight w:val="0"/>
      <w:marTop w:val="0"/>
      <w:marBottom w:val="0"/>
      <w:divBdr>
        <w:top w:val="none" w:sz="0" w:space="0" w:color="auto"/>
        <w:left w:val="none" w:sz="0" w:space="0" w:color="auto"/>
        <w:bottom w:val="none" w:sz="0" w:space="0" w:color="auto"/>
        <w:right w:val="none" w:sz="0" w:space="0" w:color="auto"/>
      </w:divBdr>
    </w:div>
    <w:div w:id="715465763">
      <w:bodyDiv w:val="1"/>
      <w:marLeft w:val="0"/>
      <w:marRight w:val="0"/>
      <w:marTop w:val="0"/>
      <w:marBottom w:val="0"/>
      <w:divBdr>
        <w:top w:val="none" w:sz="0" w:space="0" w:color="auto"/>
        <w:left w:val="none" w:sz="0" w:space="0" w:color="auto"/>
        <w:bottom w:val="none" w:sz="0" w:space="0" w:color="auto"/>
        <w:right w:val="none" w:sz="0" w:space="0" w:color="auto"/>
      </w:divBdr>
    </w:div>
    <w:div w:id="718943488">
      <w:bodyDiv w:val="1"/>
      <w:marLeft w:val="0"/>
      <w:marRight w:val="0"/>
      <w:marTop w:val="0"/>
      <w:marBottom w:val="0"/>
      <w:divBdr>
        <w:top w:val="none" w:sz="0" w:space="0" w:color="auto"/>
        <w:left w:val="none" w:sz="0" w:space="0" w:color="auto"/>
        <w:bottom w:val="none" w:sz="0" w:space="0" w:color="auto"/>
        <w:right w:val="none" w:sz="0" w:space="0" w:color="auto"/>
      </w:divBdr>
    </w:div>
    <w:div w:id="726222496">
      <w:bodyDiv w:val="1"/>
      <w:marLeft w:val="0"/>
      <w:marRight w:val="0"/>
      <w:marTop w:val="0"/>
      <w:marBottom w:val="0"/>
      <w:divBdr>
        <w:top w:val="none" w:sz="0" w:space="0" w:color="auto"/>
        <w:left w:val="none" w:sz="0" w:space="0" w:color="auto"/>
        <w:bottom w:val="none" w:sz="0" w:space="0" w:color="auto"/>
        <w:right w:val="none" w:sz="0" w:space="0" w:color="auto"/>
      </w:divBdr>
    </w:div>
    <w:div w:id="731663188">
      <w:bodyDiv w:val="1"/>
      <w:marLeft w:val="0"/>
      <w:marRight w:val="0"/>
      <w:marTop w:val="0"/>
      <w:marBottom w:val="0"/>
      <w:divBdr>
        <w:top w:val="none" w:sz="0" w:space="0" w:color="auto"/>
        <w:left w:val="none" w:sz="0" w:space="0" w:color="auto"/>
        <w:bottom w:val="none" w:sz="0" w:space="0" w:color="auto"/>
        <w:right w:val="none" w:sz="0" w:space="0" w:color="auto"/>
      </w:divBdr>
    </w:div>
    <w:div w:id="733090210">
      <w:bodyDiv w:val="1"/>
      <w:marLeft w:val="0"/>
      <w:marRight w:val="0"/>
      <w:marTop w:val="0"/>
      <w:marBottom w:val="0"/>
      <w:divBdr>
        <w:top w:val="none" w:sz="0" w:space="0" w:color="auto"/>
        <w:left w:val="none" w:sz="0" w:space="0" w:color="auto"/>
        <w:bottom w:val="none" w:sz="0" w:space="0" w:color="auto"/>
        <w:right w:val="none" w:sz="0" w:space="0" w:color="auto"/>
      </w:divBdr>
    </w:div>
    <w:div w:id="748312487">
      <w:bodyDiv w:val="1"/>
      <w:marLeft w:val="0"/>
      <w:marRight w:val="0"/>
      <w:marTop w:val="0"/>
      <w:marBottom w:val="0"/>
      <w:divBdr>
        <w:top w:val="none" w:sz="0" w:space="0" w:color="auto"/>
        <w:left w:val="none" w:sz="0" w:space="0" w:color="auto"/>
        <w:bottom w:val="none" w:sz="0" w:space="0" w:color="auto"/>
        <w:right w:val="none" w:sz="0" w:space="0" w:color="auto"/>
      </w:divBdr>
    </w:div>
    <w:div w:id="748381592">
      <w:bodyDiv w:val="1"/>
      <w:marLeft w:val="0"/>
      <w:marRight w:val="0"/>
      <w:marTop w:val="0"/>
      <w:marBottom w:val="0"/>
      <w:divBdr>
        <w:top w:val="none" w:sz="0" w:space="0" w:color="auto"/>
        <w:left w:val="none" w:sz="0" w:space="0" w:color="auto"/>
        <w:bottom w:val="none" w:sz="0" w:space="0" w:color="auto"/>
        <w:right w:val="none" w:sz="0" w:space="0" w:color="auto"/>
      </w:divBdr>
    </w:div>
    <w:div w:id="752049465">
      <w:bodyDiv w:val="1"/>
      <w:marLeft w:val="0"/>
      <w:marRight w:val="0"/>
      <w:marTop w:val="0"/>
      <w:marBottom w:val="0"/>
      <w:divBdr>
        <w:top w:val="none" w:sz="0" w:space="0" w:color="auto"/>
        <w:left w:val="none" w:sz="0" w:space="0" w:color="auto"/>
        <w:bottom w:val="none" w:sz="0" w:space="0" w:color="auto"/>
        <w:right w:val="none" w:sz="0" w:space="0" w:color="auto"/>
      </w:divBdr>
    </w:div>
    <w:div w:id="762261380">
      <w:bodyDiv w:val="1"/>
      <w:marLeft w:val="0"/>
      <w:marRight w:val="0"/>
      <w:marTop w:val="0"/>
      <w:marBottom w:val="0"/>
      <w:divBdr>
        <w:top w:val="none" w:sz="0" w:space="0" w:color="auto"/>
        <w:left w:val="none" w:sz="0" w:space="0" w:color="auto"/>
        <w:bottom w:val="none" w:sz="0" w:space="0" w:color="auto"/>
        <w:right w:val="none" w:sz="0" w:space="0" w:color="auto"/>
      </w:divBdr>
    </w:div>
    <w:div w:id="762261463">
      <w:bodyDiv w:val="1"/>
      <w:marLeft w:val="0"/>
      <w:marRight w:val="0"/>
      <w:marTop w:val="0"/>
      <w:marBottom w:val="0"/>
      <w:divBdr>
        <w:top w:val="none" w:sz="0" w:space="0" w:color="auto"/>
        <w:left w:val="none" w:sz="0" w:space="0" w:color="auto"/>
        <w:bottom w:val="none" w:sz="0" w:space="0" w:color="auto"/>
        <w:right w:val="none" w:sz="0" w:space="0" w:color="auto"/>
      </w:divBdr>
    </w:div>
    <w:div w:id="765347977">
      <w:bodyDiv w:val="1"/>
      <w:marLeft w:val="0"/>
      <w:marRight w:val="0"/>
      <w:marTop w:val="0"/>
      <w:marBottom w:val="0"/>
      <w:divBdr>
        <w:top w:val="none" w:sz="0" w:space="0" w:color="auto"/>
        <w:left w:val="none" w:sz="0" w:space="0" w:color="auto"/>
        <w:bottom w:val="none" w:sz="0" w:space="0" w:color="auto"/>
        <w:right w:val="none" w:sz="0" w:space="0" w:color="auto"/>
      </w:divBdr>
    </w:div>
    <w:div w:id="774135948">
      <w:bodyDiv w:val="1"/>
      <w:marLeft w:val="0"/>
      <w:marRight w:val="0"/>
      <w:marTop w:val="0"/>
      <w:marBottom w:val="0"/>
      <w:divBdr>
        <w:top w:val="none" w:sz="0" w:space="0" w:color="auto"/>
        <w:left w:val="none" w:sz="0" w:space="0" w:color="auto"/>
        <w:bottom w:val="none" w:sz="0" w:space="0" w:color="auto"/>
        <w:right w:val="none" w:sz="0" w:space="0" w:color="auto"/>
      </w:divBdr>
      <w:divsChild>
        <w:div w:id="430707811">
          <w:marLeft w:val="0"/>
          <w:marRight w:val="0"/>
          <w:marTop w:val="0"/>
          <w:marBottom w:val="240"/>
          <w:divBdr>
            <w:top w:val="none" w:sz="0" w:space="0" w:color="auto"/>
            <w:left w:val="none" w:sz="0" w:space="0" w:color="auto"/>
            <w:bottom w:val="none" w:sz="0" w:space="0" w:color="auto"/>
            <w:right w:val="none" w:sz="0" w:space="0" w:color="auto"/>
          </w:divBdr>
        </w:div>
        <w:div w:id="618876091">
          <w:marLeft w:val="0"/>
          <w:marRight w:val="0"/>
          <w:marTop w:val="0"/>
          <w:marBottom w:val="240"/>
          <w:divBdr>
            <w:top w:val="none" w:sz="0" w:space="0" w:color="auto"/>
            <w:left w:val="none" w:sz="0" w:space="0" w:color="auto"/>
            <w:bottom w:val="none" w:sz="0" w:space="0" w:color="auto"/>
            <w:right w:val="none" w:sz="0" w:space="0" w:color="auto"/>
          </w:divBdr>
        </w:div>
        <w:div w:id="1102843098">
          <w:marLeft w:val="0"/>
          <w:marRight w:val="0"/>
          <w:marTop w:val="0"/>
          <w:marBottom w:val="240"/>
          <w:divBdr>
            <w:top w:val="none" w:sz="0" w:space="0" w:color="auto"/>
            <w:left w:val="none" w:sz="0" w:space="0" w:color="auto"/>
            <w:bottom w:val="none" w:sz="0" w:space="0" w:color="auto"/>
            <w:right w:val="none" w:sz="0" w:space="0" w:color="auto"/>
          </w:divBdr>
        </w:div>
        <w:div w:id="1669747736">
          <w:marLeft w:val="0"/>
          <w:marRight w:val="0"/>
          <w:marTop w:val="0"/>
          <w:marBottom w:val="240"/>
          <w:divBdr>
            <w:top w:val="none" w:sz="0" w:space="0" w:color="auto"/>
            <w:left w:val="none" w:sz="0" w:space="0" w:color="auto"/>
            <w:bottom w:val="none" w:sz="0" w:space="0" w:color="auto"/>
            <w:right w:val="none" w:sz="0" w:space="0" w:color="auto"/>
          </w:divBdr>
        </w:div>
      </w:divsChild>
    </w:div>
    <w:div w:id="777070132">
      <w:bodyDiv w:val="1"/>
      <w:marLeft w:val="0"/>
      <w:marRight w:val="0"/>
      <w:marTop w:val="0"/>
      <w:marBottom w:val="0"/>
      <w:divBdr>
        <w:top w:val="none" w:sz="0" w:space="0" w:color="auto"/>
        <w:left w:val="none" w:sz="0" w:space="0" w:color="auto"/>
        <w:bottom w:val="none" w:sz="0" w:space="0" w:color="auto"/>
        <w:right w:val="none" w:sz="0" w:space="0" w:color="auto"/>
      </w:divBdr>
    </w:div>
    <w:div w:id="798961842">
      <w:bodyDiv w:val="1"/>
      <w:marLeft w:val="0"/>
      <w:marRight w:val="0"/>
      <w:marTop w:val="0"/>
      <w:marBottom w:val="0"/>
      <w:divBdr>
        <w:top w:val="none" w:sz="0" w:space="0" w:color="auto"/>
        <w:left w:val="none" w:sz="0" w:space="0" w:color="auto"/>
        <w:bottom w:val="none" w:sz="0" w:space="0" w:color="auto"/>
        <w:right w:val="none" w:sz="0" w:space="0" w:color="auto"/>
      </w:divBdr>
    </w:div>
    <w:div w:id="802043666">
      <w:bodyDiv w:val="1"/>
      <w:marLeft w:val="0"/>
      <w:marRight w:val="0"/>
      <w:marTop w:val="0"/>
      <w:marBottom w:val="0"/>
      <w:divBdr>
        <w:top w:val="none" w:sz="0" w:space="0" w:color="auto"/>
        <w:left w:val="none" w:sz="0" w:space="0" w:color="auto"/>
        <w:bottom w:val="none" w:sz="0" w:space="0" w:color="auto"/>
        <w:right w:val="none" w:sz="0" w:space="0" w:color="auto"/>
      </w:divBdr>
    </w:div>
    <w:div w:id="802115005">
      <w:bodyDiv w:val="1"/>
      <w:marLeft w:val="0"/>
      <w:marRight w:val="0"/>
      <w:marTop w:val="0"/>
      <w:marBottom w:val="0"/>
      <w:divBdr>
        <w:top w:val="none" w:sz="0" w:space="0" w:color="auto"/>
        <w:left w:val="none" w:sz="0" w:space="0" w:color="auto"/>
        <w:bottom w:val="none" w:sz="0" w:space="0" w:color="auto"/>
        <w:right w:val="none" w:sz="0" w:space="0" w:color="auto"/>
      </w:divBdr>
    </w:div>
    <w:div w:id="803737026">
      <w:bodyDiv w:val="1"/>
      <w:marLeft w:val="0"/>
      <w:marRight w:val="0"/>
      <w:marTop w:val="0"/>
      <w:marBottom w:val="0"/>
      <w:divBdr>
        <w:top w:val="none" w:sz="0" w:space="0" w:color="auto"/>
        <w:left w:val="none" w:sz="0" w:space="0" w:color="auto"/>
        <w:bottom w:val="none" w:sz="0" w:space="0" w:color="auto"/>
        <w:right w:val="none" w:sz="0" w:space="0" w:color="auto"/>
      </w:divBdr>
      <w:divsChild>
        <w:div w:id="1850632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925782">
      <w:bodyDiv w:val="1"/>
      <w:marLeft w:val="0"/>
      <w:marRight w:val="0"/>
      <w:marTop w:val="0"/>
      <w:marBottom w:val="0"/>
      <w:divBdr>
        <w:top w:val="none" w:sz="0" w:space="0" w:color="auto"/>
        <w:left w:val="none" w:sz="0" w:space="0" w:color="auto"/>
        <w:bottom w:val="none" w:sz="0" w:space="0" w:color="auto"/>
        <w:right w:val="none" w:sz="0" w:space="0" w:color="auto"/>
      </w:divBdr>
    </w:div>
    <w:div w:id="807362749">
      <w:bodyDiv w:val="1"/>
      <w:marLeft w:val="0"/>
      <w:marRight w:val="0"/>
      <w:marTop w:val="0"/>
      <w:marBottom w:val="0"/>
      <w:divBdr>
        <w:top w:val="none" w:sz="0" w:space="0" w:color="auto"/>
        <w:left w:val="none" w:sz="0" w:space="0" w:color="auto"/>
        <w:bottom w:val="none" w:sz="0" w:space="0" w:color="auto"/>
        <w:right w:val="none" w:sz="0" w:space="0" w:color="auto"/>
      </w:divBdr>
    </w:div>
    <w:div w:id="815728723">
      <w:bodyDiv w:val="1"/>
      <w:marLeft w:val="0"/>
      <w:marRight w:val="0"/>
      <w:marTop w:val="0"/>
      <w:marBottom w:val="0"/>
      <w:divBdr>
        <w:top w:val="none" w:sz="0" w:space="0" w:color="auto"/>
        <w:left w:val="none" w:sz="0" w:space="0" w:color="auto"/>
        <w:bottom w:val="none" w:sz="0" w:space="0" w:color="auto"/>
        <w:right w:val="none" w:sz="0" w:space="0" w:color="auto"/>
      </w:divBdr>
    </w:div>
    <w:div w:id="816073745">
      <w:bodyDiv w:val="1"/>
      <w:marLeft w:val="0"/>
      <w:marRight w:val="0"/>
      <w:marTop w:val="0"/>
      <w:marBottom w:val="0"/>
      <w:divBdr>
        <w:top w:val="none" w:sz="0" w:space="0" w:color="auto"/>
        <w:left w:val="none" w:sz="0" w:space="0" w:color="auto"/>
        <w:bottom w:val="none" w:sz="0" w:space="0" w:color="auto"/>
        <w:right w:val="none" w:sz="0" w:space="0" w:color="auto"/>
      </w:divBdr>
    </w:div>
    <w:div w:id="821429113">
      <w:bodyDiv w:val="1"/>
      <w:marLeft w:val="0"/>
      <w:marRight w:val="0"/>
      <w:marTop w:val="0"/>
      <w:marBottom w:val="0"/>
      <w:divBdr>
        <w:top w:val="none" w:sz="0" w:space="0" w:color="auto"/>
        <w:left w:val="none" w:sz="0" w:space="0" w:color="auto"/>
        <w:bottom w:val="none" w:sz="0" w:space="0" w:color="auto"/>
        <w:right w:val="none" w:sz="0" w:space="0" w:color="auto"/>
      </w:divBdr>
    </w:div>
    <w:div w:id="821696787">
      <w:bodyDiv w:val="1"/>
      <w:marLeft w:val="0"/>
      <w:marRight w:val="0"/>
      <w:marTop w:val="0"/>
      <w:marBottom w:val="0"/>
      <w:divBdr>
        <w:top w:val="none" w:sz="0" w:space="0" w:color="auto"/>
        <w:left w:val="none" w:sz="0" w:space="0" w:color="auto"/>
        <w:bottom w:val="none" w:sz="0" w:space="0" w:color="auto"/>
        <w:right w:val="none" w:sz="0" w:space="0" w:color="auto"/>
      </w:divBdr>
    </w:div>
    <w:div w:id="821773383">
      <w:bodyDiv w:val="1"/>
      <w:marLeft w:val="0"/>
      <w:marRight w:val="0"/>
      <w:marTop w:val="0"/>
      <w:marBottom w:val="0"/>
      <w:divBdr>
        <w:top w:val="none" w:sz="0" w:space="0" w:color="auto"/>
        <w:left w:val="none" w:sz="0" w:space="0" w:color="auto"/>
        <w:bottom w:val="none" w:sz="0" w:space="0" w:color="auto"/>
        <w:right w:val="none" w:sz="0" w:space="0" w:color="auto"/>
      </w:divBdr>
    </w:div>
    <w:div w:id="833376035">
      <w:bodyDiv w:val="1"/>
      <w:marLeft w:val="0"/>
      <w:marRight w:val="0"/>
      <w:marTop w:val="0"/>
      <w:marBottom w:val="0"/>
      <w:divBdr>
        <w:top w:val="none" w:sz="0" w:space="0" w:color="auto"/>
        <w:left w:val="none" w:sz="0" w:space="0" w:color="auto"/>
        <w:bottom w:val="none" w:sz="0" w:space="0" w:color="auto"/>
        <w:right w:val="none" w:sz="0" w:space="0" w:color="auto"/>
      </w:divBdr>
    </w:div>
    <w:div w:id="850143290">
      <w:bodyDiv w:val="1"/>
      <w:marLeft w:val="0"/>
      <w:marRight w:val="0"/>
      <w:marTop w:val="0"/>
      <w:marBottom w:val="0"/>
      <w:divBdr>
        <w:top w:val="none" w:sz="0" w:space="0" w:color="auto"/>
        <w:left w:val="none" w:sz="0" w:space="0" w:color="auto"/>
        <w:bottom w:val="none" w:sz="0" w:space="0" w:color="auto"/>
        <w:right w:val="none" w:sz="0" w:space="0" w:color="auto"/>
      </w:divBdr>
    </w:div>
    <w:div w:id="854417346">
      <w:bodyDiv w:val="1"/>
      <w:marLeft w:val="0"/>
      <w:marRight w:val="0"/>
      <w:marTop w:val="0"/>
      <w:marBottom w:val="0"/>
      <w:divBdr>
        <w:top w:val="none" w:sz="0" w:space="0" w:color="auto"/>
        <w:left w:val="none" w:sz="0" w:space="0" w:color="auto"/>
        <w:bottom w:val="none" w:sz="0" w:space="0" w:color="auto"/>
        <w:right w:val="none" w:sz="0" w:space="0" w:color="auto"/>
      </w:divBdr>
    </w:div>
    <w:div w:id="858272457">
      <w:bodyDiv w:val="1"/>
      <w:marLeft w:val="0"/>
      <w:marRight w:val="0"/>
      <w:marTop w:val="0"/>
      <w:marBottom w:val="0"/>
      <w:divBdr>
        <w:top w:val="none" w:sz="0" w:space="0" w:color="auto"/>
        <w:left w:val="none" w:sz="0" w:space="0" w:color="auto"/>
        <w:bottom w:val="none" w:sz="0" w:space="0" w:color="auto"/>
        <w:right w:val="none" w:sz="0" w:space="0" w:color="auto"/>
      </w:divBdr>
    </w:div>
    <w:div w:id="859389924">
      <w:bodyDiv w:val="1"/>
      <w:marLeft w:val="0"/>
      <w:marRight w:val="0"/>
      <w:marTop w:val="0"/>
      <w:marBottom w:val="0"/>
      <w:divBdr>
        <w:top w:val="none" w:sz="0" w:space="0" w:color="auto"/>
        <w:left w:val="none" w:sz="0" w:space="0" w:color="auto"/>
        <w:bottom w:val="none" w:sz="0" w:space="0" w:color="auto"/>
        <w:right w:val="none" w:sz="0" w:space="0" w:color="auto"/>
      </w:divBdr>
    </w:div>
    <w:div w:id="862674933">
      <w:bodyDiv w:val="1"/>
      <w:marLeft w:val="0"/>
      <w:marRight w:val="0"/>
      <w:marTop w:val="0"/>
      <w:marBottom w:val="0"/>
      <w:divBdr>
        <w:top w:val="none" w:sz="0" w:space="0" w:color="auto"/>
        <w:left w:val="none" w:sz="0" w:space="0" w:color="auto"/>
        <w:bottom w:val="none" w:sz="0" w:space="0" w:color="auto"/>
        <w:right w:val="none" w:sz="0" w:space="0" w:color="auto"/>
      </w:divBdr>
    </w:div>
    <w:div w:id="862741479">
      <w:bodyDiv w:val="1"/>
      <w:marLeft w:val="0"/>
      <w:marRight w:val="0"/>
      <w:marTop w:val="0"/>
      <w:marBottom w:val="0"/>
      <w:divBdr>
        <w:top w:val="none" w:sz="0" w:space="0" w:color="auto"/>
        <w:left w:val="none" w:sz="0" w:space="0" w:color="auto"/>
        <w:bottom w:val="none" w:sz="0" w:space="0" w:color="auto"/>
        <w:right w:val="none" w:sz="0" w:space="0" w:color="auto"/>
      </w:divBdr>
    </w:div>
    <w:div w:id="865479999">
      <w:bodyDiv w:val="1"/>
      <w:marLeft w:val="0"/>
      <w:marRight w:val="0"/>
      <w:marTop w:val="0"/>
      <w:marBottom w:val="0"/>
      <w:divBdr>
        <w:top w:val="none" w:sz="0" w:space="0" w:color="auto"/>
        <w:left w:val="none" w:sz="0" w:space="0" w:color="auto"/>
        <w:bottom w:val="none" w:sz="0" w:space="0" w:color="auto"/>
        <w:right w:val="none" w:sz="0" w:space="0" w:color="auto"/>
      </w:divBdr>
    </w:div>
    <w:div w:id="867375380">
      <w:bodyDiv w:val="1"/>
      <w:marLeft w:val="0"/>
      <w:marRight w:val="0"/>
      <w:marTop w:val="0"/>
      <w:marBottom w:val="0"/>
      <w:divBdr>
        <w:top w:val="none" w:sz="0" w:space="0" w:color="auto"/>
        <w:left w:val="none" w:sz="0" w:space="0" w:color="auto"/>
        <w:bottom w:val="none" w:sz="0" w:space="0" w:color="auto"/>
        <w:right w:val="none" w:sz="0" w:space="0" w:color="auto"/>
      </w:divBdr>
    </w:div>
    <w:div w:id="872037507">
      <w:bodyDiv w:val="1"/>
      <w:marLeft w:val="0"/>
      <w:marRight w:val="0"/>
      <w:marTop w:val="0"/>
      <w:marBottom w:val="0"/>
      <w:divBdr>
        <w:top w:val="none" w:sz="0" w:space="0" w:color="auto"/>
        <w:left w:val="none" w:sz="0" w:space="0" w:color="auto"/>
        <w:bottom w:val="none" w:sz="0" w:space="0" w:color="auto"/>
        <w:right w:val="none" w:sz="0" w:space="0" w:color="auto"/>
      </w:divBdr>
    </w:div>
    <w:div w:id="873037461">
      <w:bodyDiv w:val="1"/>
      <w:marLeft w:val="0"/>
      <w:marRight w:val="0"/>
      <w:marTop w:val="0"/>
      <w:marBottom w:val="0"/>
      <w:divBdr>
        <w:top w:val="none" w:sz="0" w:space="0" w:color="auto"/>
        <w:left w:val="none" w:sz="0" w:space="0" w:color="auto"/>
        <w:bottom w:val="none" w:sz="0" w:space="0" w:color="auto"/>
        <w:right w:val="none" w:sz="0" w:space="0" w:color="auto"/>
      </w:divBdr>
    </w:div>
    <w:div w:id="874733403">
      <w:bodyDiv w:val="1"/>
      <w:marLeft w:val="0"/>
      <w:marRight w:val="0"/>
      <w:marTop w:val="0"/>
      <w:marBottom w:val="0"/>
      <w:divBdr>
        <w:top w:val="none" w:sz="0" w:space="0" w:color="auto"/>
        <w:left w:val="none" w:sz="0" w:space="0" w:color="auto"/>
        <w:bottom w:val="none" w:sz="0" w:space="0" w:color="auto"/>
        <w:right w:val="none" w:sz="0" w:space="0" w:color="auto"/>
      </w:divBdr>
    </w:div>
    <w:div w:id="876356349">
      <w:bodyDiv w:val="1"/>
      <w:marLeft w:val="0"/>
      <w:marRight w:val="0"/>
      <w:marTop w:val="0"/>
      <w:marBottom w:val="0"/>
      <w:divBdr>
        <w:top w:val="none" w:sz="0" w:space="0" w:color="auto"/>
        <w:left w:val="none" w:sz="0" w:space="0" w:color="auto"/>
        <w:bottom w:val="none" w:sz="0" w:space="0" w:color="auto"/>
        <w:right w:val="none" w:sz="0" w:space="0" w:color="auto"/>
      </w:divBdr>
    </w:div>
    <w:div w:id="885214595">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1893254">
      <w:bodyDiv w:val="1"/>
      <w:marLeft w:val="0"/>
      <w:marRight w:val="0"/>
      <w:marTop w:val="0"/>
      <w:marBottom w:val="0"/>
      <w:divBdr>
        <w:top w:val="none" w:sz="0" w:space="0" w:color="auto"/>
        <w:left w:val="none" w:sz="0" w:space="0" w:color="auto"/>
        <w:bottom w:val="none" w:sz="0" w:space="0" w:color="auto"/>
        <w:right w:val="none" w:sz="0" w:space="0" w:color="auto"/>
      </w:divBdr>
    </w:div>
    <w:div w:id="892152559">
      <w:bodyDiv w:val="1"/>
      <w:marLeft w:val="0"/>
      <w:marRight w:val="0"/>
      <w:marTop w:val="0"/>
      <w:marBottom w:val="0"/>
      <w:divBdr>
        <w:top w:val="none" w:sz="0" w:space="0" w:color="auto"/>
        <w:left w:val="none" w:sz="0" w:space="0" w:color="auto"/>
        <w:bottom w:val="none" w:sz="0" w:space="0" w:color="auto"/>
        <w:right w:val="none" w:sz="0" w:space="0" w:color="auto"/>
      </w:divBdr>
    </w:div>
    <w:div w:id="896890957">
      <w:bodyDiv w:val="1"/>
      <w:marLeft w:val="0"/>
      <w:marRight w:val="0"/>
      <w:marTop w:val="0"/>
      <w:marBottom w:val="0"/>
      <w:divBdr>
        <w:top w:val="none" w:sz="0" w:space="0" w:color="auto"/>
        <w:left w:val="none" w:sz="0" w:space="0" w:color="auto"/>
        <w:bottom w:val="none" w:sz="0" w:space="0" w:color="auto"/>
        <w:right w:val="none" w:sz="0" w:space="0" w:color="auto"/>
      </w:divBdr>
    </w:div>
    <w:div w:id="898514073">
      <w:bodyDiv w:val="1"/>
      <w:marLeft w:val="0"/>
      <w:marRight w:val="0"/>
      <w:marTop w:val="0"/>
      <w:marBottom w:val="0"/>
      <w:divBdr>
        <w:top w:val="none" w:sz="0" w:space="0" w:color="auto"/>
        <w:left w:val="none" w:sz="0" w:space="0" w:color="auto"/>
        <w:bottom w:val="none" w:sz="0" w:space="0" w:color="auto"/>
        <w:right w:val="none" w:sz="0" w:space="0" w:color="auto"/>
      </w:divBdr>
    </w:div>
    <w:div w:id="913324136">
      <w:bodyDiv w:val="1"/>
      <w:marLeft w:val="0"/>
      <w:marRight w:val="0"/>
      <w:marTop w:val="0"/>
      <w:marBottom w:val="0"/>
      <w:divBdr>
        <w:top w:val="none" w:sz="0" w:space="0" w:color="auto"/>
        <w:left w:val="none" w:sz="0" w:space="0" w:color="auto"/>
        <w:bottom w:val="none" w:sz="0" w:space="0" w:color="auto"/>
        <w:right w:val="none" w:sz="0" w:space="0" w:color="auto"/>
      </w:divBdr>
    </w:div>
    <w:div w:id="916746387">
      <w:bodyDiv w:val="1"/>
      <w:marLeft w:val="0"/>
      <w:marRight w:val="0"/>
      <w:marTop w:val="0"/>
      <w:marBottom w:val="0"/>
      <w:divBdr>
        <w:top w:val="none" w:sz="0" w:space="0" w:color="auto"/>
        <w:left w:val="none" w:sz="0" w:space="0" w:color="auto"/>
        <w:bottom w:val="none" w:sz="0" w:space="0" w:color="auto"/>
        <w:right w:val="none" w:sz="0" w:space="0" w:color="auto"/>
      </w:divBdr>
    </w:div>
    <w:div w:id="918561756">
      <w:bodyDiv w:val="1"/>
      <w:marLeft w:val="0"/>
      <w:marRight w:val="0"/>
      <w:marTop w:val="0"/>
      <w:marBottom w:val="0"/>
      <w:divBdr>
        <w:top w:val="none" w:sz="0" w:space="0" w:color="auto"/>
        <w:left w:val="none" w:sz="0" w:space="0" w:color="auto"/>
        <w:bottom w:val="none" w:sz="0" w:space="0" w:color="auto"/>
        <w:right w:val="none" w:sz="0" w:space="0" w:color="auto"/>
      </w:divBdr>
    </w:div>
    <w:div w:id="922374889">
      <w:bodyDiv w:val="1"/>
      <w:marLeft w:val="0"/>
      <w:marRight w:val="0"/>
      <w:marTop w:val="0"/>
      <w:marBottom w:val="0"/>
      <w:divBdr>
        <w:top w:val="none" w:sz="0" w:space="0" w:color="auto"/>
        <w:left w:val="none" w:sz="0" w:space="0" w:color="auto"/>
        <w:bottom w:val="none" w:sz="0" w:space="0" w:color="auto"/>
        <w:right w:val="none" w:sz="0" w:space="0" w:color="auto"/>
      </w:divBdr>
    </w:div>
    <w:div w:id="932250897">
      <w:bodyDiv w:val="1"/>
      <w:marLeft w:val="0"/>
      <w:marRight w:val="0"/>
      <w:marTop w:val="0"/>
      <w:marBottom w:val="0"/>
      <w:divBdr>
        <w:top w:val="none" w:sz="0" w:space="0" w:color="auto"/>
        <w:left w:val="none" w:sz="0" w:space="0" w:color="auto"/>
        <w:bottom w:val="none" w:sz="0" w:space="0" w:color="auto"/>
        <w:right w:val="none" w:sz="0" w:space="0" w:color="auto"/>
      </w:divBdr>
    </w:div>
    <w:div w:id="932401400">
      <w:bodyDiv w:val="1"/>
      <w:marLeft w:val="0"/>
      <w:marRight w:val="0"/>
      <w:marTop w:val="0"/>
      <w:marBottom w:val="0"/>
      <w:divBdr>
        <w:top w:val="none" w:sz="0" w:space="0" w:color="auto"/>
        <w:left w:val="none" w:sz="0" w:space="0" w:color="auto"/>
        <w:bottom w:val="none" w:sz="0" w:space="0" w:color="auto"/>
        <w:right w:val="none" w:sz="0" w:space="0" w:color="auto"/>
      </w:divBdr>
      <w:divsChild>
        <w:div w:id="13971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8218076">
      <w:bodyDiv w:val="1"/>
      <w:marLeft w:val="0"/>
      <w:marRight w:val="0"/>
      <w:marTop w:val="0"/>
      <w:marBottom w:val="0"/>
      <w:divBdr>
        <w:top w:val="none" w:sz="0" w:space="0" w:color="auto"/>
        <w:left w:val="none" w:sz="0" w:space="0" w:color="auto"/>
        <w:bottom w:val="none" w:sz="0" w:space="0" w:color="auto"/>
        <w:right w:val="none" w:sz="0" w:space="0" w:color="auto"/>
      </w:divBdr>
    </w:div>
    <w:div w:id="943466324">
      <w:bodyDiv w:val="1"/>
      <w:marLeft w:val="0"/>
      <w:marRight w:val="0"/>
      <w:marTop w:val="0"/>
      <w:marBottom w:val="0"/>
      <w:divBdr>
        <w:top w:val="none" w:sz="0" w:space="0" w:color="auto"/>
        <w:left w:val="none" w:sz="0" w:space="0" w:color="auto"/>
        <w:bottom w:val="none" w:sz="0" w:space="0" w:color="auto"/>
        <w:right w:val="none" w:sz="0" w:space="0" w:color="auto"/>
      </w:divBdr>
    </w:div>
    <w:div w:id="954292828">
      <w:bodyDiv w:val="1"/>
      <w:marLeft w:val="0"/>
      <w:marRight w:val="0"/>
      <w:marTop w:val="0"/>
      <w:marBottom w:val="0"/>
      <w:divBdr>
        <w:top w:val="none" w:sz="0" w:space="0" w:color="auto"/>
        <w:left w:val="none" w:sz="0" w:space="0" w:color="auto"/>
        <w:bottom w:val="none" w:sz="0" w:space="0" w:color="auto"/>
        <w:right w:val="none" w:sz="0" w:space="0" w:color="auto"/>
      </w:divBdr>
    </w:div>
    <w:div w:id="957644634">
      <w:bodyDiv w:val="1"/>
      <w:marLeft w:val="0"/>
      <w:marRight w:val="0"/>
      <w:marTop w:val="0"/>
      <w:marBottom w:val="0"/>
      <w:divBdr>
        <w:top w:val="none" w:sz="0" w:space="0" w:color="auto"/>
        <w:left w:val="none" w:sz="0" w:space="0" w:color="auto"/>
        <w:bottom w:val="none" w:sz="0" w:space="0" w:color="auto"/>
        <w:right w:val="none" w:sz="0" w:space="0" w:color="auto"/>
      </w:divBdr>
    </w:div>
    <w:div w:id="968436899">
      <w:bodyDiv w:val="1"/>
      <w:marLeft w:val="0"/>
      <w:marRight w:val="0"/>
      <w:marTop w:val="0"/>
      <w:marBottom w:val="0"/>
      <w:divBdr>
        <w:top w:val="none" w:sz="0" w:space="0" w:color="auto"/>
        <w:left w:val="none" w:sz="0" w:space="0" w:color="auto"/>
        <w:bottom w:val="none" w:sz="0" w:space="0" w:color="auto"/>
        <w:right w:val="none" w:sz="0" w:space="0" w:color="auto"/>
      </w:divBdr>
    </w:div>
    <w:div w:id="980574992">
      <w:bodyDiv w:val="1"/>
      <w:marLeft w:val="0"/>
      <w:marRight w:val="0"/>
      <w:marTop w:val="0"/>
      <w:marBottom w:val="0"/>
      <w:divBdr>
        <w:top w:val="none" w:sz="0" w:space="0" w:color="auto"/>
        <w:left w:val="none" w:sz="0" w:space="0" w:color="auto"/>
        <w:bottom w:val="none" w:sz="0" w:space="0" w:color="auto"/>
        <w:right w:val="none" w:sz="0" w:space="0" w:color="auto"/>
      </w:divBdr>
    </w:div>
    <w:div w:id="991645145">
      <w:bodyDiv w:val="1"/>
      <w:marLeft w:val="0"/>
      <w:marRight w:val="0"/>
      <w:marTop w:val="0"/>
      <w:marBottom w:val="0"/>
      <w:divBdr>
        <w:top w:val="none" w:sz="0" w:space="0" w:color="auto"/>
        <w:left w:val="none" w:sz="0" w:space="0" w:color="auto"/>
        <w:bottom w:val="none" w:sz="0" w:space="0" w:color="auto"/>
        <w:right w:val="none" w:sz="0" w:space="0" w:color="auto"/>
      </w:divBdr>
    </w:div>
    <w:div w:id="1004044056">
      <w:bodyDiv w:val="1"/>
      <w:marLeft w:val="0"/>
      <w:marRight w:val="0"/>
      <w:marTop w:val="0"/>
      <w:marBottom w:val="0"/>
      <w:divBdr>
        <w:top w:val="none" w:sz="0" w:space="0" w:color="auto"/>
        <w:left w:val="none" w:sz="0" w:space="0" w:color="auto"/>
        <w:bottom w:val="none" w:sz="0" w:space="0" w:color="auto"/>
        <w:right w:val="none" w:sz="0" w:space="0" w:color="auto"/>
      </w:divBdr>
    </w:div>
    <w:div w:id="1009412090">
      <w:bodyDiv w:val="1"/>
      <w:marLeft w:val="0"/>
      <w:marRight w:val="0"/>
      <w:marTop w:val="0"/>
      <w:marBottom w:val="0"/>
      <w:divBdr>
        <w:top w:val="none" w:sz="0" w:space="0" w:color="auto"/>
        <w:left w:val="none" w:sz="0" w:space="0" w:color="auto"/>
        <w:bottom w:val="none" w:sz="0" w:space="0" w:color="auto"/>
        <w:right w:val="none" w:sz="0" w:space="0" w:color="auto"/>
      </w:divBdr>
    </w:div>
    <w:div w:id="1015112809">
      <w:bodyDiv w:val="1"/>
      <w:marLeft w:val="0"/>
      <w:marRight w:val="0"/>
      <w:marTop w:val="0"/>
      <w:marBottom w:val="0"/>
      <w:divBdr>
        <w:top w:val="none" w:sz="0" w:space="0" w:color="auto"/>
        <w:left w:val="none" w:sz="0" w:space="0" w:color="auto"/>
        <w:bottom w:val="none" w:sz="0" w:space="0" w:color="auto"/>
        <w:right w:val="none" w:sz="0" w:space="0" w:color="auto"/>
      </w:divBdr>
      <w:divsChild>
        <w:div w:id="225069730">
          <w:marLeft w:val="0"/>
          <w:marRight w:val="0"/>
          <w:marTop w:val="0"/>
          <w:marBottom w:val="0"/>
          <w:divBdr>
            <w:top w:val="none" w:sz="0" w:space="0" w:color="auto"/>
            <w:left w:val="none" w:sz="0" w:space="0" w:color="auto"/>
            <w:bottom w:val="none" w:sz="0" w:space="0" w:color="auto"/>
            <w:right w:val="none" w:sz="0" w:space="0" w:color="auto"/>
          </w:divBdr>
        </w:div>
        <w:div w:id="669524101">
          <w:marLeft w:val="0"/>
          <w:marRight w:val="0"/>
          <w:marTop w:val="0"/>
          <w:marBottom w:val="0"/>
          <w:divBdr>
            <w:top w:val="none" w:sz="0" w:space="0" w:color="auto"/>
            <w:left w:val="none" w:sz="0" w:space="0" w:color="auto"/>
            <w:bottom w:val="none" w:sz="0" w:space="0" w:color="auto"/>
            <w:right w:val="none" w:sz="0" w:space="0" w:color="auto"/>
          </w:divBdr>
        </w:div>
        <w:div w:id="1178927155">
          <w:marLeft w:val="0"/>
          <w:marRight w:val="0"/>
          <w:marTop w:val="0"/>
          <w:marBottom w:val="0"/>
          <w:divBdr>
            <w:top w:val="none" w:sz="0" w:space="0" w:color="auto"/>
            <w:left w:val="none" w:sz="0" w:space="0" w:color="auto"/>
            <w:bottom w:val="none" w:sz="0" w:space="0" w:color="auto"/>
            <w:right w:val="none" w:sz="0" w:space="0" w:color="auto"/>
          </w:divBdr>
        </w:div>
      </w:divsChild>
    </w:div>
    <w:div w:id="1017579054">
      <w:bodyDiv w:val="1"/>
      <w:marLeft w:val="0"/>
      <w:marRight w:val="0"/>
      <w:marTop w:val="0"/>
      <w:marBottom w:val="0"/>
      <w:divBdr>
        <w:top w:val="none" w:sz="0" w:space="0" w:color="auto"/>
        <w:left w:val="none" w:sz="0" w:space="0" w:color="auto"/>
        <w:bottom w:val="none" w:sz="0" w:space="0" w:color="auto"/>
        <w:right w:val="none" w:sz="0" w:space="0" w:color="auto"/>
      </w:divBdr>
    </w:div>
    <w:div w:id="1019350380">
      <w:bodyDiv w:val="1"/>
      <w:marLeft w:val="0"/>
      <w:marRight w:val="0"/>
      <w:marTop w:val="0"/>
      <w:marBottom w:val="0"/>
      <w:divBdr>
        <w:top w:val="none" w:sz="0" w:space="0" w:color="auto"/>
        <w:left w:val="none" w:sz="0" w:space="0" w:color="auto"/>
        <w:bottom w:val="none" w:sz="0" w:space="0" w:color="auto"/>
        <w:right w:val="none" w:sz="0" w:space="0" w:color="auto"/>
      </w:divBdr>
    </w:div>
    <w:div w:id="1025911134">
      <w:bodyDiv w:val="1"/>
      <w:marLeft w:val="0"/>
      <w:marRight w:val="0"/>
      <w:marTop w:val="0"/>
      <w:marBottom w:val="0"/>
      <w:divBdr>
        <w:top w:val="none" w:sz="0" w:space="0" w:color="auto"/>
        <w:left w:val="none" w:sz="0" w:space="0" w:color="auto"/>
        <w:bottom w:val="none" w:sz="0" w:space="0" w:color="auto"/>
        <w:right w:val="none" w:sz="0" w:space="0" w:color="auto"/>
      </w:divBdr>
    </w:div>
    <w:div w:id="1029570970">
      <w:bodyDiv w:val="1"/>
      <w:marLeft w:val="0"/>
      <w:marRight w:val="0"/>
      <w:marTop w:val="0"/>
      <w:marBottom w:val="0"/>
      <w:divBdr>
        <w:top w:val="none" w:sz="0" w:space="0" w:color="auto"/>
        <w:left w:val="none" w:sz="0" w:space="0" w:color="auto"/>
        <w:bottom w:val="none" w:sz="0" w:space="0" w:color="auto"/>
        <w:right w:val="none" w:sz="0" w:space="0" w:color="auto"/>
      </w:divBdr>
    </w:div>
    <w:div w:id="1034623865">
      <w:bodyDiv w:val="1"/>
      <w:marLeft w:val="0"/>
      <w:marRight w:val="0"/>
      <w:marTop w:val="0"/>
      <w:marBottom w:val="0"/>
      <w:divBdr>
        <w:top w:val="none" w:sz="0" w:space="0" w:color="auto"/>
        <w:left w:val="none" w:sz="0" w:space="0" w:color="auto"/>
        <w:bottom w:val="none" w:sz="0" w:space="0" w:color="auto"/>
        <w:right w:val="none" w:sz="0" w:space="0" w:color="auto"/>
      </w:divBdr>
    </w:div>
    <w:div w:id="1037386922">
      <w:bodyDiv w:val="1"/>
      <w:marLeft w:val="0"/>
      <w:marRight w:val="0"/>
      <w:marTop w:val="0"/>
      <w:marBottom w:val="0"/>
      <w:divBdr>
        <w:top w:val="none" w:sz="0" w:space="0" w:color="auto"/>
        <w:left w:val="none" w:sz="0" w:space="0" w:color="auto"/>
        <w:bottom w:val="none" w:sz="0" w:space="0" w:color="auto"/>
        <w:right w:val="none" w:sz="0" w:space="0" w:color="auto"/>
      </w:divBdr>
    </w:div>
    <w:div w:id="1040202212">
      <w:bodyDiv w:val="1"/>
      <w:marLeft w:val="0"/>
      <w:marRight w:val="0"/>
      <w:marTop w:val="0"/>
      <w:marBottom w:val="0"/>
      <w:divBdr>
        <w:top w:val="none" w:sz="0" w:space="0" w:color="auto"/>
        <w:left w:val="none" w:sz="0" w:space="0" w:color="auto"/>
        <w:bottom w:val="none" w:sz="0" w:space="0" w:color="auto"/>
        <w:right w:val="none" w:sz="0" w:space="0" w:color="auto"/>
      </w:divBdr>
    </w:div>
    <w:div w:id="1046224625">
      <w:bodyDiv w:val="1"/>
      <w:marLeft w:val="0"/>
      <w:marRight w:val="0"/>
      <w:marTop w:val="0"/>
      <w:marBottom w:val="0"/>
      <w:divBdr>
        <w:top w:val="none" w:sz="0" w:space="0" w:color="auto"/>
        <w:left w:val="none" w:sz="0" w:space="0" w:color="auto"/>
        <w:bottom w:val="none" w:sz="0" w:space="0" w:color="auto"/>
        <w:right w:val="none" w:sz="0" w:space="0" w:color="auto"/>
      </w:divBdr>
    </w:div>
    <w:div w:id="1049498969">
      <w:bodyDiv w:val="1"/>
      <w:marLeft w:val="0"/>
      <w:marRight w:val="0"/>
      <w:marTop w:val="0"/>
      <w:marBottom w:val="0"/>
      <w:divBdr>
        <w:top w:val="none" w:sz="0" w:space="0" w:color="auto"/>
        <w:left w:val="none" w:sz="0" w:space="0" w:color="auto"/>
        <w:bottom w:val="none" w:sz="0" w:space="0" w:color="auto"/>
        <w:right w:val="none" w:sz="0" w:space="0" w:color="auto"/>
      </w:divBdr>
    </w:div>
    <w:div w:id="1057121303">
      <w:bodyDiv w:val="1"/>
      <w:marLeft w:val="0"/>
      <w:marRight w:val="0"/>
      <w:marTop w:val="0"/>
      <w:marBottom w:val="0"/>
      <w:divBdr>
        <w:top w:val="none" w:sz="0" w:space="0" w:color="auto"/>
        <w:left w:val="none" w:sz="0" w:space="0" w:color="auto"/>
        <w:bottom w:val="none" w:sz="0" w:space="0" w:color="auto"/>
        <w:right w:val="none" w:sz="0" w:space="0" w:color="auto"/>
      </w:divBdr>
    </w:div>
    <w:div w:id="1060061750">
      <w:bodyDiv w:val="1"/>
      <w:marLeft w:val="0"/>
      <w:marRight w:val="0"/>
      <w:marTop w:val="0"/>
      <w:marBottom w:val="0"/>
      <w:divBdr>
        <w:top w:val="none" w:sz="0" w:space="0" w:color="auto"/>
        <w:left w:val="none" w:sz="0" w:space="0" w:color="auto"/>
        <w:bottom w:val="none" w:sz="0" w:space="0" w:color="auto"/>
        <w:right w:val="none" w:sz="0" w:space="0" w:color="auto"/>
      </w:divBdr>
    </w:div>
    <w:div w:id="1060635740">
      <w:bodyDiv w:val="1"/>
      <w:marLeft w:val="0"/>
      <w:marRight w:val="0"/>
      <w:marTop w:val="0"/>
      <w:marBottom w:val="0"/>
      <w:divBdr>
        <w:top w:val="none" w:sz="0" w:space="0" w:color="auto"/>
        <w:left w:val="none" w:sz="0" w:space="0" w:color="auto"/>
        <w:bottom w:val="none" w:sz="0" w:space="0" w:color="auto"/>
        <w:right w:val="none" w:sz="0" w:space="0" w:color="auto"/>
      </w:divBdr>
    </w:div>
    <w:div w:id="1063260025">
      <w:bodyDiv w:val="1"/>
      <w:marLeft w:val="0"/>
      <w:marRight w:val="0"/>
      <w:marTop w:val="0"/>
      <w:marBottom w:val="0"/>
      <w:divBdr>
        <w:top w:val="none" w:sz="0" w:space="0" w:color="auto"/>
        <w:left w:val="none" w:sz="0" w:space="0" w:color="auto"/>
        <w:bottom w:val="none" w:sz="0" w:space="0" w:color="auto"/>
        <w:right w:val="none" w:sz="0" w:space="0" w:color="auto"/>
      </w:divBdr>
    </w:div>
    <w:div w:id="1070541971">
      <w:bodyDiv w:val="1"/>
      <w:marLeft w:val="0"/>
      <w:marRight w:val="0"/>
      <w:marTop w:val="0"/>
      <w:marBottom w:val="0"/>
      <w:divBdr>
        <w:top w:val="none" w:sz="0" w:space="0" w:color="auto"/>
        <w:left w:val="none" w:sz="0" w:space="0" w:color="auto"/>
        <w:bottom w:val="none" w:sz="0" w:space="0" w:color="auto"/>
        <w:right w:val="none" w:sz="0" w:space="0" w:color="auto"/>
      </w:divBdr>
    </w:div>
    <w:div w:id="1078211928">
      <w:bodyDiv w:val="1"/>
      <w:marLeft w:val="0"/>
      <w:marRight w:val="0"/>
      <w:marTop w:val="0"/>
      <w:marBottom w:val="0"/>
      <w:divBdr>
        <w:top w:val="none" w:sz="0" w:space="0" w:color="auto"/>
        <w:left w:val="none" w:sz="0" w:space="0" w:color="auto"/>
        <w:bottom w:val="none" w:sz="0" w:space="0" w:color="auto"/>
        <w:right w:val="none" w:sz="0" w:space="0" w:color="auto"/>
      </w:divBdr>
    </w:div>
    <w:div w:id="1081834670">
      <w:bodyDiv w:val="1"/>
      <w:marLeft w:val="0"/>
      <w:marRight w:val="0"/>
      <w:marTop w:val="0"/>
      <w:marBottom w:val="0"/>
      <w:divBdr>
        <w:top w:val="none" w:sz="0" w:space="0" w:color="auto"/>
        <w:left w:val="none" w:sz="0" w:space="0" w:color="auto"/>
        <w:bottom w:val="none" w:sz="0" w:space="0" w:color="auto"/>
        <w:right w:val="none" w:sz="0" w:space="0" w:color="auto"/>
      </w:divBdr>
    </w:div>
    <w:div w:id="1081951069">
      <w:bodyDiv w:val="1"/>
      <w:marLeft w:val="0"/>
      <w:marRight w:val="0"/>
      <w:marTop w:val="0"/>
      <w:marBottom w:val="0"/>
      <w:divBdr>
        <w:top w:val="none" w:sz="0" w:space="0" w:color="auto"/>
        <w:left w:val="none" w:sz="0" w:space="0" w:color="auto"/>
        <w:bottom w:val="none" w:sz="0" w:space="0" w:color="auto"/>
        <w:right w:val="none" w:sz="0" w:space="0" w:color="auto"/>
      </w:divBdr>
    </w:div>
    <w:div w:id="1082333519">
      <w:bodyDiv w:val="1"/>
      <w:marLeft w:val="0"/>
      <w:marRight w:val="0"/>
      <w:marTop w:val="0"/>
      <w:marBottom w:val="0"/>
      <w:divBdr>
        <w:top w:val="none" w:sz="0" w:space="0" w:color="auto"/>
        <w:left w:val="none" w:sz="0" w:space="0" w:color="auto"/>
        <w:bottom w:val="none" w:sz="0" w:space="0" w:color="auto"/>
        <w:right w:val="none" w:sz="0" w:space="0" w:color="auto"/>
      </w:divBdr>
    </w:div>
    <w:div w:id="1082877189">
      <w:bodyDiv w:val="1"/>
      <w:marLeft w:val="0"/>
      <w:marRight w:val="0"/>
      <w:marTop w:val="0"/>
      <w:marBottom w:val="0"/>
      <w:divBdr>
        <w:top w:val="none" w:sz="0" w:space="0" w:color="auto"/>
        <w:left w:val="none" w:sz="0" w:space="0" w:color="auto"/>
        <w:bottom w:val="none" w:sz="0" w:space="0" w:color="auto"/>
        <w:right w:val="none" w:sz="0" w:space="0" w:color="auto"/>
      </w:divBdr>
    </w:div>
    <w:div w:id="1084451190">
      <w:bodyDiv w:val="1"/>
      <w:marLeft w:val="0"/>
      <w:marRight w:val="0"/>
      <w:marTop w:val="0"/>
      <w:marBottom w:val="0"/>
      <w:divBdr>
        <w:top w:val="none" w:sz="0" w:space="0" w:color="auto"/>
        <w:left w:val="none" w:sz="0" w:space="0" w:color="auto"/>
        <w:bottom w:val="none" w:sz="0" w:space="0" w:color="auto"/>
        <w:right w:val="none" w:sz="0" w:space="0" w:color="auto"/>
      </w:divBdr>
    </w:div>
    <w:div w:id="1084764232">
      <w:bodyDiv w:val="1"/>
      <w:marLeft w:val="0"/>
      <w:marRight w:val="0"/>
      <w:marTop w:val="0"/>
      <w:marBottom w:val="0"/>
      <w:divBdr>
        <w:top w:val="none" w:sz="0" w:space="0" w:color="auto"/>
        <w:left w:val="none" w:sz="0" w:space="0" w:color="auto"/>
        <w:bottom w:val="none" w:sz="0" w:space="0" w:color="auto"/>
        <w:right w:val="none" w:sz="0" w:space="0" w:color="auto"/>
      </w:divBdr>
    </w:div>
    <w:div w:id="1094714397">
      <w:bodyDiv w:val="1"/>
      <w:marLeft w:val="0"/>
      <w:marRight w:val="0"/>
      <w:marTop w:val="0"/>
      <w:marBottom w:val="0"/>
      <w:divBdr>
        <w:top w:val="none" w:sz="0" w:space="0" w:color="auto"/>
        <w:left w:val="none" w:sz="0" w:space="0" w:color="auto"/>
        <w:bottom w:val="none" w:sz="0" w:space="0" w:color="auto"/>
        <w:right w:val="none" w:sz="0" w:space="0" w:color="auto"/>
      </w:divBdr>
    </w:div>
    <w:div w:id="1094782999">
      <w:bodyDiv w:val="1"/>
      <w:marLeft w:val="0"/>
      <w:marRight w:val="0"/>
      <w:marTop w:val="0"/>
      <w:marBottom w:val="0"/>
      <w:divBdr>
        <w:top w:val="none" w:sz="0" w:space="0" w:color="auto"/>
        <w:left w:val="none" w:sz="0" w:space="0" w:color="auto"/>
        <w:bottom w:val="none" w:sz="0" w:space="0" w:color="auto"/>
        <w:right w:val="none" w:sz="0" w:space="0" w:color="auto"/>
      </w:divBdr>
    </w:div>
    <w:div w:id="1099374936">
      <w:bodyDiv w:val="1"/>
      <w:marLeft w:val="0"/>
      <w:marRight w:val="0"/>
      <w:marTop w:val="0"/>
      <w:marBottom w:val="0"/>
      <w:divBdr>
        <w:top w:val="none" w:sz="0" w:space="0" w:color="auto"/>
        <w:left w:val="none" w:sz="0" w:space="0" w:color="auto"/>
        <w:bottom w:val="none" w:sz="0" w:space="0" w:color="auto"/>
        <w:right w:val="none" w:sz="0" w:space="0" w:color="auto"/>
      </w:divBdr>
    </w:div>
    <w:div w:id="1100024122">
      <w:bodyDiv w:val="1"/>
      <w:marLeft w:val="0"/>
      <w:marRight w:val="0"/>
      <w:marTop w:val="0"/>
      <w:marBottom w:val="0"/>
      <w:divBdr>
        <w:top w:val="none" w:sz="0" w:space="0" w:color="auto"/>
        <w:left w:val="none" w:sz="0" w:space="0" w:color="auto"/>
        <w:bottom w:val="none" w:sz="0" w:space="0" w:color="auto"/>
        <w:right w:val="none" w:sz="0" w:space="0" w:color="auto"/>
      </w:divBdr>
    </w:div>
    <w:div w:id="1105543232">
      <w:bodyDiv w:val="1"/>
      <w:marLeft w:val="0"/>
      <w:marRight w:val="0"/>
      <w:marTop w:val="0"/>
      <w:marBottom w:val="0"/>
      <w:divBdr>
        <w:top w:val="none" w:sz="0" w:space="0" w:color="auto"/>
        <w:left w:val="none" w:sz="0" w:space="0" w:color="auto"/>
        <w:bottom w:val="none" w:sz="0" w:space="0" w:color="auto"/>
        <w:right w:val="none" w:sz="0" w:space="0" w:color="auto"/>
      </w:divBdr>
    </w:div>
    <w:div w:id="1106924121">
      <w:bodyDiv w:val="1"/>
      <w:marLeft w:val="0"/>
      <w:marRight w:val="0"/>
      <w:marTop w:val="0"/>
      <w:marBottom w:val="0"/>
      <w:divBdr>
        <w:top w:val="none" w:sz="0" w:space="0" w:color="auto"/>
        <w:left w:val="none" w:sz="0" w:space="0" w:color="auto"/>
        <w:bottom w:val="none" w:sz="0" w:space="0" w:color="auto"/>
        <w:right w:val="none" w:sz="0" w:space="0" w:color="auto"/>
      </w:divBdr>
    </w:div>
    <w:div w:id="1108819467">
      <w:bodyDiv w:val="1"/>
      <w:marLeft w:val="0"/>
      <w:marRight w:val="0"/>
      <w:marTop w:val="0"/>
      <w:marBottom w:val="0"/>
      <w:divBdr>
        <w:top w:val="none" w:sz="0" w:space="0" w:color="auto"/>
        <w:left w:val="none" w:sz="0" w:space="0" w:color="auto"/>
        <w:bottom w:val="none" w:sz="0" w:space="0" w:color="auto"/>
        <w:right w:val="none" w:sz="0" w:space="0" w:color="auto"/>
      </w:divBdr>
    </w:div>
    <w:div w:id="1113596825">
      <w:bodyDiv w:val="1"/>
      <w:marLeft w:val="0"/>
      <w:marRight w:val="0"/>
      <w:marTop w:val="0"/>
      <w:marBottom w:val="0"/>
      <w:divBdr>
        <w:top w:val="none" w:sz="0" w:space="0" w:color="auto"/>
        <w:left w:val="none" w:sz="0" w:space="0" w:color="auto"/>
        <w:bottom w:val="none" w:sz="0" w:space="0" w:color="auto"/>
        <w:right w:val="none" w:sz="0" w:space="0" w:color="auto"/>
      </w:divBdr>
    </w:div>
    <w:div w:id="1115901484">
      <w:bodyDiv w:val="1"/>
      <w:marLeft w:val="0"/>
      <w:marRight w:val="0"/>
      <w:marTop w:val="0"/>
      <w:marBottom w:val="0"/>
      <w:divBdr>
        <w:top w:val="none" w:sz="0" w:space="0" w:color="auto"/>
        <w:left w:val="none" w:sz="0" w:space="0" w:color="auto"/>
        <w:bottom w:val="none" w:sz="0" w:space="0" w:color="auto"/>
        <w:right w:val="none" w:sz="0" w:space="0" w:color="auto"/>
      </w:divBdr>
    </w:div>
    <w:div w:id="1117527498">
      <w:bodyDiv w:val="1"/>
      <w:marLeft w:val="0"/>
      <w:marRight w:val="0"/>
      <w:marTop w:val="0"/>
      <w:marBottom w:val="0"/>
      <w:divBdr>
        <w:top w:val="none" w:sz="0" w:space="0" w:color="auto"/>
        <w:left w:val="none" w:sz="0" w:space="0" w:color="auto"/>
        <w:bottom w:val="none" w:sz="0" w:space="0" w:color="auto"/>
        <w:right w:val="none" w:sz="0" w:space="0" w:color="auto"/>
      </w:divBdr>
    </w:div>
    <w:div w:id="1124231037">
      <w:bodyDiv w:val="1"/>
      <w:marLeft w:val="0"/>
      <w:marRight w:val="0"/>
      <w:marTop w:val="0"/>
      <w:marBottom w:val="0"/>
      <w:divBdr>
        <w:top w:val="none" w:sz="0" w:space="0" w:color="auto"/>
        <w:left w:val="none" w:sz="0" w:space="0" w:color="auto"/>
        <w:bottom w:val="none" w:sz="0" w:space="0" w:color="auto"/>
        <w:right w:val="none" w:sz="0" w:space="0" w:color="auto"/>
      </w:divBdr>
    </w:div>
    <w:div w:id="1127817917">
      <w:bodyDiv w:val="1"/>
      <w:marLeft w:val="0"/>
      <w:marRight w:val="0"/>
      <w:marTop w:val="0"/>
      <w:marBottom w:val="0"/>
      <w:divBdr>
        <w:top w:val="none" w:sz="0" w:space="0" w:color="auto"/>
        <w:left w:val="none" w:sz="0" w:space="0" w:color="auto"/>
        <w:bottom w:val="none" w:sz="0" w:space="0" w:color="auto"/>
        <w:right w:val="none" w:sz="0" w:space="0" w:color="auto"/>
      </w:divBdr>
    </w:div>
    <w:div w:id="1132600150">
      <w:bodyDiv w:val="1"/>
      <w:marLeft w:val="0"/>
      <w:marRight w:val="0"/>
      <w:marTop w:val="0"/>
      <w:marBottom w:val="0"/>
      <w:divBdr>
        <w:top w:val="none" w:sz="0" w:space="0" w:color="auto"/>
        <w:left w:val="none" w:sz="0" w:space="0" w:color="auto"/>
        <w:bottom w:val="none" w:sz="0" w:space="0" w:color="auto"/>
        <w:right w:val="none" w:sz="0" w:space="0" w:color="auto"/>
      </w:divBdr>
    </w:div>
    <w:div w:id="1138693784">
      <w:bodyDiv w:val="1"/>
      <w:marLeft w:val="0"/>
      <w:marRight w:val="0"/>
      <w:marTop w:val="0"/>
      <w:marBottom w:val="0"/>
      <w:divBdr>
        <w:top w:val="none" w:sz="0" w:space="0" w:color="auto"/>
        <w:left w:val="none" w:sz="0" w:space="0" w:color="auto"/>
        <w:bottom w:val="none" w:sz="0" w:space="0" w:color="auto"/>
        <w:right w:val="none" w:sz="0" w:space="0" w:color="auto"/>
      </w:divBdr>
    </w:div>
    <w:div w:id="1140536960">
      <w:bodyDiv w:val="1"/>
      <w:marLeft w:val="0"/>
      <w:marRight w:val="0"/>
      <w:marTop w:val="0"/>
      <w:marBottom w:val="0"/>
      <w:divBdr>
        <w:top w:val="none" w:sz="0" w:space="0" w:color="auto"/>
        <w:left w:val="none" w:sz="0" w:space="0" w:color="auto"/>
        <w:bottom w:val="none" w:sz="0" w:space="0" w:color="auto"/>
        <w:right w:val="none" w:sz="0" w:space="0" w:color="auto"/>
      </w:divBdr>
    </w:div>
    <w:div w:id="1144855943">
      <w:bodyDiv w:val="1"/>
      <w:marLeft w:val="0"/>
      <w:marRight w:val="0"/>
      <w:marTop w:val="0"/>
      <w:marBottom w:val="0"/>
      <w:divBdr>
        <w:top w:val="none" w:sz="0" w:space="0" w:color="auto"/>
        <w:left w:val="none" w:sz="0" w:space="0" w:color="auto"/>
        <w:bottom w:val="none" w:sz="0" w:space="0" w:color="auto"/>
        <w:right w:val="none" w:sz="0" w:space="0" w:color="auto"/>
      </w:divBdr>
      <w:divsChild>
        <w:div w:id="186522911">
          <w:marLeft w:val="0"/>
          <w:marRight w:val="0"/>
          <w:marTop w:val="0"/>
          <w:marBottom w:val="0"/>
          <w:divBdr>
            <w:top w:val="none" w:sz="0" w:space="0" w:color="auto"/>
            <w:left w:val="none" w:sz="0" w:space="0" w:color="auto"/>
            <w:bottom w:val="none" w:sz="0" w:space="0" w:color="auto"/>
            <w:right w:val="none" w:sz="0" w:space="0" w:color="auto"/>
          </w:divBdr>
          <w:divsChild>
            <w:div w:id="21005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22708">
      <w:bodyDiv w:val="1"/>
      <w:marLeft w:val="0"/>
      <w:marRight w:val="0"/>
      <w:marTop w:val="0"/>
      <w:marBottom w:val="0"/>
      <w:divBdr>
        <w:top w:val="none" w:sz="0" w:space="0" w:color="auto"/>
        <w:left w:val="none" w:sz="0" w:space="0" w:color="auto"/>
        <w:bottom w:val="none" w:sz="0" w:space="0" w:color="auto"/>
        <w:right w:val="none" w:sz="0" w:space="0" w:color="auto"/>
      </w:divBdr>
    </w:div>
    <w:div w:id="1160119009">
      <w:bodyDiv w:val="1"/>
      <w:marLeft w:val="0"/>
      <w:marRight w:val="0"/>
      <w:marTop w:val="0"/>
      <w:marBottom w:val="0"/>
      <w:divBdr>
        <w:top w:val="none" w:sz="0" w:space="0" w:color="auto"/>
        <w:left w:val="none" w:sz="0" w:space="0" w:color="auto"/>
        <w:bottom w:val="none" w:sz="0" w:space="0" w:color="auto"/>
        <w:right w:val="none" w:sz="0" w:space="0" w:color="auto"/>
      </w:divBdr>
    </w:div>
    <w:div w:id="1167939711">
      <w:bodyDiv w:val="1"/>
      <w:marLeft w:val="0"/>
      <w:marRight w:val="0"/>
      <w:marTop w:val="0"/>
      <w:marBottom w:val="0"/>
      <w:divBdr>
        <w:top w:val="none" w:sz="0" w:space="0" w:color="auto"/>
        <w:left w:val="none" w:sz="0" w:space="0" w:color="auto"/>
        <w:bottom w:val="none" w:sz="0" w:space="0" w:color="auto"/>
        <w:right w:val="none" w:sz="0" w:space="0" w:color="auto"/>
      </w:divBdr>
    </w:div>
    <w:div w:id="1170370569">
      <w:bodyDiv w:val="1"/>
      <w:marLeft w:val="0"/>
      <w:marRight w:val="0"/>
      <w:marTop w:val="0"/>
      <w:marBottom w:val="0"/>
      <w:divBdr>
        <w:top w:val="none" w:sz="0" w:space="0" w:color="auto"/>
        <w:left w:val="none" w:sz="0" w:space="0" w:color="auto"/>
        <w:bottom w:val="none" w:sz="0" w:space="0" w:color="auto"/>
        <w:right w:val="none" w:sz="0" w:space="0" w:color="auto"/>
      </w:divBdr>
    </w:div>
    <w:div w:id="1171140635">
      <w:bodyDiv w:val="1"/>
      <w:marLeft w:val="0"/>
      <w:marRight w:val="0"/>
      <w:marTop w:val="0"/>
      <w:marBottom w:val="0"/>
      <w:divBdr>
        <w:top w:val="none" w:sz="0" w:space="0" w:color="auto"/>
        <w:left w:val="none" w:sz="0" w:space="0" w:color="auto"/>
        <w:bottom w:val="none" w:sz="0" w:space="0" w:color="auto"/>
        <w:right w:val="none" w:sz="0" w:space="0" w:color="auto"/>
      </w:divBdr>
    </w:div>
    <w:div w:id="1171332108">
      <w:bodyDiv w:val="1"/>
      <w:marLeft w:val="0"/>
      <w:marRight w:val="0"/>
      <w:marTop w:val="0"/>
      <w:marBottom w:val="0"/>
      <w:divBdr>
        <w:top w:val="none" w:sz="0" w:space="0" w:color="auto"/>
        <w:left w:val="none" w:sz="0" w:space="0" w:color="auto"/>
        <w:bottom w:val="none" w:sz="0" w:space="0" w:color="auto"/>
        <w:right w:val="none" w:sz="0" w:space="0" w:color="auto"/>
      </w:divBdr>
    </w:div>
    <w:div w:id="1171407838">
      <w:bodyDiv w:val="1"/>
      <w:marLeft w:val="0"/>
      <w:marRight w:val="0"/>
      <w:marTop w:val="0"/>
      <w:marBottom w:val="0"/>
      <w:divBdr>
        <w:top w:val="none" w:sz="0" w:space="0" w:color="auto"/>
        <w:left w:val="none" w:sz="0" w:space="0" w:color="auto"/>
        <w:bottom w:val="none" w:sz="0" w:space="0" w:color="auto"/>
        <w:right w:val="none" w:sz="0" w:space="0" w:color="auto"/>
      </w:divBdr>
    </w:div>
    <w:div w:id="1174804880">
      <w:bodyDiv w:val="1"/>
      <w:marLeft w:val="0"/>
      <w:marRight w:val="0"/>
      <w:marTop w:val="0"/>
      <w:marBottom w:val="0"/>
      <w:divBdr>
        <w:top w:val="none" w:sz="0" w:space="0" w:color="auto"/>
        <w:left w:val="none" w:sz="0" w:space="0" w:color="auto"/>
        <w:bottom w:val="none" w:sz="0" w:space="0" w:color="auto"/>
        <w:right w:val="none" w:sz="0" w:space="0" w:color="auto"/>
      </w:divBdr>
      <w:divsChild>
        <w:div w:id="1020662577">
          <w:marLeft w:val="0"/>
          <w:marRight w:val="0"/>
          <w:marTop w:val="0"/>
          <w:marBottom w:val="0"/>
          <w:divBdr>
            <w:top w:val="none" w:sz="0" w:space="0" w:color="auto"/>
            <w:left w:val="none" w:sz="0" w:space="0" w:color="auto"/>
            <w:bottom w:val="none" w:sz="0" w:space="0" w:color="auto"/>
            <w:right w:val="none" w:sz="0" w:space="0" w:color="auto"/>
          </w:divBdr>
        </w:div>
      </w:divsChild>
    </w:div>
    <w:div w:id="1175071316">
      <w:bodyDiv w:val="1"/>
      <w:marLeft w:val="0"/>
      <w:marRight w:val="0"/>
      <w:marTop w:val="0"/>
      <w:marBottom w:val="0"/>
      <w:divBdr>
        <w:top w:val="none" w:sz="0" w:space="0" w:color="auto"/>
        <w:left w:val="none" w:sz="0" w:space="0" w:color="auto"/>
        <w:bottom w:val="none" w:sz="0" w:space="0" w:color="auto"/>
        <w:right w:val="none" w:sz="0" w:space="0" w:color="auto"/>
      </w:divBdr>
    </w:div>
    <w:div w:id="1200556941">
      <w:bodyDiv w:val="1"/>
      <w:marLeft w:val="0"/>
      <w:marRight w:val="0"/>
      <w:marTop w:val="0"/>
      <w:marBottom w:val="0"/>
      <w:divBdr>
        <w:top w:val="none" w:sz="0" w:space="0" w:color="auto"/>
        <w:left w:val="none" w:sz="0" w:space="0" w:color="auto"/>
        <w:bottom w:val="none" w:sz="0" w:space="0" w:color="auto"/>
        <w:right w:val="none" w:sz="0" w:space="0" w:color="auto"/>
      </w:divBdr>
    </w:div>
    <w:div w:id="1207521022">
      <w:bodyDiv w:val="1"/>
      <w:marLeft w:val="0"/>
      <w:marRight w:val="0"/>
      <w:marTop w:val="0"/>
      <w:marBottom w:val="0"/>
      <w:divBdr>
        <w:top w:val="none" w:sz="0" w:space="0" w:color="auto"/>
        <w:left w:val="none" w:sz="0" w:space="0" w:color="auto"/>
        <w:bottom w:val="none" w:sz="0" w:space="0" w:color="auto"/>
        <w:right w:val="none" w:sz="0" w:space="0" w:color="auto"/>
      </w:divBdr>
    </w:div>
    <w:div w:id="1208180707">
      <w:bodyDiv w:val="1"/>
      <w:marLeft w:val="0"/>
      <w:marRight w:val="0"/>
      <w:marTop w:val="0"/>
      <w:marBottom w:val="0"/>
      <w:divBdr>
        <w:top w:val="none" w:sz="0" w:space="0" w:color="auto"/>
        <w:left w:val="none" w:sz="0" w:space="0" w:color="auto"/>
        <w:bottom w:val="none" w:sz="0" w:space="0" w:color="auto"/>
        <w:right w:val="none" w:sz="0" w:space="0" w:color="auto"/>
      </w:divBdr>
    </w:div>
    <w:div w:id="1236087007">
      <w:bodyDiv w:val="1"/>
      <w:marLeft w:val="0"/>
      <w:marRight w:val="0"/>
      <w:marTop w:val="0"/>
      <w:marBottom w:val="0"/>
      <w:divBdr>
        <w:top w:val="none" w:sz="0" w:space="0" w:color="auto"/>
        <w:left w:val="none" w:sz="0" w:space="0" w:color="auto"/>
        <w:bottom w:val="none" w:sz="0" w:space="0" w:color="auto"/>
        <w:right w:val="none" w:sz="0" w:space="0" w:color="auto"/>
      </w:divBdr>
    </w:div>
    <w:div w:id="1239562635">
      <w:bodyDiv w:val="1"/>
      <w:marLeft w:val="0"/>
      <w:marRight w:val="0"/>
      <w:marTop w:val="0"/>
      <w:marBottom w:val="0"/>
      <w:divBdr>
        <w:top w:val="none" w:sz="0" w:space="0" w:color="auto"/>
        <w:left w:val="none" w:sz="0" w:space="0" w:color="auto"/>
        <w:bottom w:val="none" w:sz="0" w:space="0" w:color="auto"/>
        <w:right w:val="none" w:sz="0" w:space="0" w:color="auto"/>
      </w:divBdr>
    </w:div>
    <w:div w:id="1244487275">
      <w:bodyDiv w:val="1"/>
      <w:marLeft w:val="0"/>
      <w:marRight w:val="0"/>
      <w:marTop w:val="0"/>
      <w:marBottom w:val="0"/>
      <w:divBdr>
        <w:top w:val="none" w:sz="0" w:space="0" w:color="auto"/>
        <w:left w:val="none" w:sz="0" w:space="0" w:color="auto"/>
        <w:bottom w:val="none" w:sz="0" w:space="0" w:color="auto"/>
        <w:right w:val="none" w:sz="0" w:space="0" w:color="auto"/>
      </w:divBdr>
    </w:div>
    <w:div w:id="1246377224">
      <w:bodyDiv w:val="1"/>
      <w:marLeft w:val="0"/>
      <w:marRight w:val="0"/>
      <w:marTop w:val="0"/>
      <w:marBottom w:val="0"/>
      <w:divBdr>
        <w:top w:val="none" w:sz="0" w:space="0" w:color="auto"/>
        <w:left w:val="none" w:sz="0" w:space="0" w:color="auto"/>
        <w:bottom w:val="none" w:sz="0" w:space="0" w:color="auto"/>
        <w:right w:val="none" w:sz="0" w:space="0" w:color="auto"/>
      </w:divBdr>
    </w:div>
    <w:div w:id="1256551882">
      <w:bodyDiv w:val="1"/>
      <w:marLeft w:val="0"/>
      <w:marRight w:val="0"/>
      <w:marTop w:val="0"/>
      <w:marBottom w:val="0"/>
      <w:divBdr>
        <w:top w:val="none" w:sz="0" w:space="0" w:color="auto"/>
        <w:left w:val="none" w:sz="0" w:space="0" w:color="auto"/>
        <w:bottom w:val="none" w:sz="0" w:space="0" w:color="auto"/>
        <w:right w:val="none" w:sz="0" w:space="0" w:color="auto"/>
      </w:divBdr>
    </w:div>
    <w:div w:id="1258365991">
      <w:bodyDiv w:val="1"/>
      <w:marLeft w:val="0"/>
      <w:marRight w:val="0"/>
      <w:marTop w:val="0"/>
      <w:marBottom w:val="0"/>
      <w:divBdr>
        <w:top w:val="none" w:sz="0" w:space="0" w:color="auto"/>
        <w:left w:val="none" w:sz="0" w:space="0" w:color="auto"/>
        <w:bottom w:val="none" w:sz="0" w:space="0" w:color="auto"/>
        <w:right w:val="none" w:sz="0" w:space="0" w:color="auto"/>
      </w:divBdr>
    </w:div>
    <w:div w:id="1269119723">
      <w:bodyDiv w:val="1"/>
      <w:marLeft w:val="0"/>
      <w:marRight w:val="0"/>
      <w:marTop w:val="0"/>
      <w:marBottom w:val="0"/>
      <w:divBdr>
        <w:top w:val="none" w:sz="0" w:space="0" w:color="auto"/>
        <w:left w:val="none" w:sz="0" w:space="0" w:color="auto"/>
        <w:bottom w:val="none" w:sz="0" w:space="0" w:color="auto"/>
        <w:right w:val="none" w:sz="0" w:space="0" w:color="auto"/>
      </w:divBdr>
    </w:div>
    <w:div w:id="1270234456">
      <w:bodyDiv w:val="1"/>
      <w:marLeft w:val="0"/>
      <w:marRight w:val="0"/>
      <w:marTop w:val="0"/>
      <w:marBottom w:val="0"/>
      <w:divBdr>
        <w:top w:val="none" w:sz="0" w:space="0" w:color="auto"/>
        <w:left w:val="none" w:sz="0" w:space="0" w:color="auto"/>
        <w:bottom w:val="none" w:sz="0" w:space="0" w:color="auto"/>
        <w:right w:val="none" w:sz="0" w:space="0" w:color="auto"/>
      </w:divBdr>
    </w:div>
    <w:div w:id="1271930456">
      <w:bodyDiv w:val="1"/>
      <w:marLeft w:val="0"/>
      <w:marRight w:val="0"/>
      <w:marTop w:val="0"/>
      <w:marBottom w:val="0"/>
      <w:divBdr>
        <w:top w:val="none" w:sz="0" w:space="0" w:color="auto"/>
        <w:left w:val="none" w:sz="0" w:space="0" w:color="auto"/>
        <w:bottom w:val="none" w:sz="0" w:space="0" w:color="auto"/>
        <w:right w:val="none" w:sz="0" w:space="0" w:color="auto"/>
      </w:divBdr>
    </w:div>
    <w:div w:id="1273438981">
      <w:bodyDiv w:val="1"/>
      <w:marLeft w:val="0"/>
      <w:marRight w:val="0"/>
      <w:marTop w:val="0"/>
      <w:marBottom w:val="0"/>
      <w:divBdr>
        <w:top w:val="none" w:sz="0" w:space="0" w:color="auto"/>
        <w:left w:val="none" w:sz="0" w:space="0" w:color="auto"/>
        <w:bottom w:val="none" w:sz="0" w:space="0" w:color="auto"/>
        <w:right w:val="none" w:sz="0" w:space="0" w:color="auto"/>
      </w:divBdr>
    </w:div>
    <w:div w:id="1276791551">
      <w:bodyDiv w:val="1"/>
      <w:marLeft w:val="0"/>
      <w:marRight w:val="0"/>
      <w:marTop w:val="0"/>
      <w:marBottom w:val="0"/>
      <w:divBdr>
        <w:top w:val="none" w:sz="0" w:space="0" w:color="auto"/>
        <w:left w:val="none" w:sz="0" w:space="0" w:color="auto"/>
        <w:bottom w:val="none" w:sz="0" w:space="0" w:color="auto"/>
        <w:right w:val="none" w:sz="0" w:space="0" w:color="auto"/>
      </w:divBdr>
    </w:div>
    <w:div w:id="1279215661">
      <w:bodyDiv w:val="1"/>
      <w:marLeft w:val="0"/>
      <w:marRight w:val="0"/>
      <w:marTop w:val="0"/>
      <w:marBottom w:val="0"/>
      <w:divBdr>
        <w:top w:val="none" w:sz="0" w:space="0" w:color="auto"/>
        <w:left w:val="none" w:sz="0" w:space="0" w:color="auto"/>
        <w:bottom w:val="none" w:sz="0" w:space="0" w:color="auto"/>
        <w:right w:val="none" w:sz="0" w:space="0" w:color="auto"/>
      </w:divBdr>
    </w:div>
    <w:div w:id="1279799099">
      <w:bodyDiv w:val="1"/>
      <w:marLeft w:val="0"/>
      <w:marRight w:val="0"/>
      <w:marTop w:val="0"/>
      <w:marBottom w:val="0"/>
      <w:divBdr>
        <w:top w:val="none" w:sz="0" w:space="0" w:color="auto"/>
        <w:left w:val="none" w:sz="0" w:space="0" w:color="auto"/>
        <w:bottom w:val="none" w:sz="0" w:space="0" w:color="auto"/>
        <w:right w:val="none" w:sz="0" w:space="0" w:color="auto"/>
      </w:divBdr>
    </w:div>
    <w:div w:id="1285229178">
      <w:bodyDiv w:val="1"/>
      <w:marLeft w:val="0"/>
      <w:marRight w:val="0"/>
      <w:marTop w:val="0"/>
      <w:marBottom w:val="0"/>
      <w:divBdr>
        <w:top w:val="none" w:sz="0" w:space="0" w:color="auto"/>
        <w:left w:val="none" w:sz="0" w:space="0" w:color="auto"/>
        <w:bottom w:val="none" w:sz="0" w:space="0" w:color="auto"/>
        <w:right w:val="none" w:sz="0" w:space="0" w:color="auto"/>
      </w:divBdr>
    </w:div>
    <w:div w:id="1289167285">
      <w:bodyDiv w:val="1"/>
      <w:marLeft w:val="0"/>
      <w:marRight w:val="0"/>
      <w:marTop w:val="0"/>
      <w:marBottom w:val="0"/>
      <w:divBdr>
        <w:top w:val="none" w:sz="0" w:space="0" w:color="auto"/>
        <w:left w:val="none" w:sz="0" w:space="0" w:color="auto"/>
        <w:bottom w:val="none" w:sz="0" w:space="0" w:color="auto"/>
        <w:right w:val="none" w:sz="0" w:space="0" w:color="auto"/>
      </w:divBdr>
    </w:div>
    <w:div w:id="1291479104">
      <w:bodyDiv w:val="1"/>
      <w:marLeft w:val="0"/>
      <w:marRight w:val="0"/>
      <w:marTop w:val="0"/>
      <w:marBottom w:val="0"/>
      <w:divBdr>
        <w:top w:val="none" w:sz="0" w:space="0" w:color="auto"/>
        <w:left w:val="none" w:sz="0" w:space="0" w:color="auto"/>
        <w:bottom w:val="none" w:sz="0" w:space="0" w:color="auto"/>
        <w:right w:val="none" w:sz="0" w:space="0" w:color="auto"/>
      </w:divBdr>
    </w:div>
    <w:div w:id="1292858815">
      <w:bodyDiv w:val="1"/>
      <w:marLeft w:val="0"/>
      <w:marRight w:val="0"/>
      <w:marTop w:val="0"/>
      <w:marBottom w:val="0"/>
      <w:divBdr>
        <w:top w:val="none" w:sz="0" w:space="0" w:color="auto"/>
        <w:left w:val="none" w:sz="0" w:space="0" w:color="auto"/>
        <w:bottom w:val="none" w:sz="0" w:space="0" w:color="auto"/>
        <w:right w:val="none" w:sz="0" w:space="0" w:color="auto"/>
      </w:divBdr>
    </w:div>
    <w:div w:id="1303578587">
      <w:bodyDiv w:val="1"/>
      <w:marLeft w:val="0"/>
      <w:marRight w:val="0"/>
      <w:marTop w:val="0"/>
      <w:marBottom w:val="0"/>
      <w:divBdr>
        <w:top w:val="none" w:sz="0" w:space="0" w:color="auto"/>
        <w:left w:val="none" w:sz="0" w:space="0" w:color="auto"/>
        <w:bottom w:val="none" w:sz="0" w:space="0" w:color="auto"/>
        <w:right w:val="none" w:sz="0" w:space="0" w:color="auto"/>
      </w:divBdr>
    </w:div>
    <w:div w:id="1304117413">
      <w:bodyDiv w:val="1"/>
      <w:marLeft w:val="0"/>
      <w:marRight w:val="0"/>
      <w:marTop w:val="0"/>
      <w:marBottom w:val="0"/>
      <w:divBdr>
        <w:top w:val="none" w:sz="0" w:space="0" w:color="auto"/>
        <w:left w:val="none" w:sz="0" w:space="0" w:color="auto"/>
        <w:bottom w:val="none" w:sz="0" w:space="0" w:color="auto"/>
        <w:right w:val="none" w:sz="0" w:space="0" w:color="auto"/>
      </w:divBdr>
    </w:div>
    <w:div w:id="1305280583">
      <w:bodyDiv w:val="1"/>
      <w:marLeft w:val="0"/>
      <w:marRight w:val="0"/>
      <w:marTop w:val="0"/>
      <w:marBottom w:val="0"/>
      <w:divBdr>
        <w:top w:val="none" w:sz="0" w:space="0" w:color="auto"/>
        <w:left w:val="none" w:sz="0" w:space="0" w:color="auto"/>
        <w:bottom w:val="none" w:sz="0" w:space="0" w:color="auto"/>
        <w:right w:val="none" w:sz="0" w:space="0" w:color="auto"/>
      </w:divBdr>
    </w:div>
    <w:div w:id="1306661686">
      <w:bodyDiv w:val="1"/>
      <w:marLeft w:val="0"/>
      <w:marRight w:val="0"/>
      <w:marTop w:val="0"/>
      <w:marBottom w:val="0"/>
      <w:divBdr>
        <w:top w:val="none" w:sz="0" w:space="0" w:color="auto"/>
        <w:left w:val="none" w:sz="0" w:space="0" w:color="auto"/>
        <w:bottom w:val="none" w:sz="0" w:space="0" w:color="auto"/>
        <w:right w:val="none" w:sz="0" w:space="0" w:color="auto"/>
      </w:divBdr>
    </w:div>
    <w:div w:id="1314677662">
      <w:bodyDiv w:val="1"/>
      <w:marLeft w:val="0"/>
      <w:marRight w:val="0"/>
      <w:marTop w:val="0"/>
      <w:marBottom w:val="0"/>
      <w:divBdr>
        <w:top w:val="none" w:sz="0" w:space="0" w:color="auto"/>
        <w:left w:val="none" w:sz="0" w:space="0" w:color="auto"/>
        <w:bottom w:val="none" w:sz="0" w:space="0" w:color="auto"/>
        <w:right w:val="none" w:sz="0" w:space="0" w:color="auto"/>
      </w:divBdr>
    </w:div>
    <w:div w:id="1316492339">
      <w:bodyDiv w:val="1"/>
      <w:marLeft w:val="0"/>
      <w:marRight w:val="0"/>
      <w:marTop w:val="0"/>
      <w:marBottom w:val="0"/>
      <w:divBdr>
        <w:top w:val="none" w:sz="0" w:space="0" w:color="auto"/>
        <w:left w:val="none" w:sz="0" w:space="0" w:color="auto"/>
        <w:bottom w:val="none" w:sz="0" w:space="0" w:color="auto"/>
        <w:right w:val="none" w:sz="0" w:space="0" w:color="auto"/>
      </w:divBdr>
    </w:div>
    <w:div w:id="1317802422">
      <w:bodyDiv w:val="1"/>
      <w:marLeft w:val="0"/>
      <w:marRight w:val="0"/>
      <w:marTop w:val="0"/>
      <w:marBottom w:val="0"/>
      <w:divBdr>
        <w:top w:val="none" w:sz="0" w:space="0" w:color="auto"/>
        <w:left w:val="none" w:sz="0" w:space="0" w:color="auto"/>
        <w:bottom w:val="none" w:sz="0" w:space="0" w:color="auto"/>
        <w:right w:val="none" w:sz="0" w:space="0" w:color="auto"/>
      </w:divBdr>
    </w:div>
    <w:div w:id="1328022955">
      <w:bodyDiv w:val="1"/>
      <w:marLeft w:val="0"/>
      <w:marRight w:val="0"/>
      <w:marTop w:val="0"/>
      <w:marBottom w:val="0"/>
      <w:divBdr>
        <w:top w:val="none" w:sz="0" w:space="0" w:color="auto"/>
        <w:left w:val="none" w:sz="0" w:space="0" w:color="auto"/>
        <w:bottom w:val="none" w:sz="0" w:space="0" w:color="auto"/>
        <w:right w:val="none" w:sz="0" w:space="0" w:color="auto"/>
      </w:divBdr>
    </w:div>
    <w:div w:id="1333337535">
      <w:bodyDiv w:val="1"/>
      <w:marLeft w:val="0"/>
      <w:marRight w:val="0"/>
      <w:marTop w:val="0"/>
      <w:marBottom w:val="0"/>
      <w:divBdr>
        <w:top w:val="none" w:sz="0" w:space="0" w:color="auto"/>
        <w:left w:val="none" w:sz="0" w:space="0" w:color="auto"/>
        <w:bottom w:val="none" w:sz="0" w:space="0" w:color="auto"/>
        <w:right w:val="none" w:sz="0" w:space="0" w:color="auto"/>
      </w:divBdr>
    </w:div>
    <w:div w:id="1333527806">
      <w:bodyDiv w:val="1"/>
      <w:marLeft w:val="0"/>
      <w:marRight w:val="0"/>
      <w:marTop w:val="0"/>
      <w:marBottom w:val="0"/>
      <w:divBdr>
        <w:top w:val="none" w:sz="0" w:space="0" w:color="auto"/>
        <w:left w:val="none" w:sz="0" w:space="0" w:color="auto"/>
        <w:bottom w:val="none" w:sz="0" w:space="0" w:color="auto"/>
        <w:right w:val="none" w:sz="0" w:space="0" w:color="auto"/>
      </w:divBdr>
    </w:div>
    <w:div w:id="1333607441">
      <w:bodyDiv w:val="1"/>
      <w:marLeft w:val="0"/>
      <w:marRight w:val="0"/>
      <w:marTop w:val="0"/>
      <w:marBottom w:val="0"/>
      <w:divBdr>
        <w:top w:val="none" w:sz="0" w:space="0" w:color="auto"/>
        <w:left w:val="none" w:sz="0" w:space="0" w:color="auto"/>
        <w:bottom w:val="none" w:sz="0" w:space="0" w:color="auto"/>
        <w:right w:val="none" w:sz="0" w:space="0" w:color="auto"/>
      </w:divBdr>
    </w:div>
    <w:div w:id="1338844416">
      <w:bodyDiv w:val="1"/>
      <w:marLeft w:val="0"/>
      <w:marRight w:val="0"/>
      <w:marTop w:val="0"/>
      <w:marBottom w:val="0"/>
      <w:divBdr>
        <w:top w:val="none" w:sz="0" w:space="0" w:color="auto"/>
        <w:left w:val="none" w:sz="0" w:space="0" w:color="auto"/>
        <w:bottom w:val="none" w:sz="0" w:space="0" w:color="auto"/>
        <w:right w:val="none" w:sz="0" w:space="0" w:color="auto"/>
      </w:divBdr>
    </w:div>
    <w:div w:id="1342780883">
      <w:bodyDiv w:val="1"/>
      <w:marLeft w:val="0"/>
      <w:marRight w:val="0"/>
      <w:marTop w:val="0"/>
      <w:marBottom w:val="0"/>
      <w:divBdr>
        <w:top w:val="none" w:sz="0" w:space="0" w:color="auto"/>
        <w:left w:val="none" w:sz="0" w:space="0" w:color="auto"/>
        <w:bottom w:val="none" w:sz="0" w:space="0" w:color="auto"/>
        <w:right w:val="none" w:sz="0" w:space="0" w:color="auto"/>
      </w:divBdr>
    </w:div>
    <w:div w:id="1344631141">
      <w:bodyDiv w:val="1"/>
      <w:marLeft w:val="0"/>
      <w:marRight w:val="0"/>
      <w:marTop w:val="0"/>
      <w:marBottom w:val="0"/>
      <w:divBdr>
        <w:top w:val="none" w:sz="0" w:space="0" w:color="auto"/>
        <w:left w:val="none" w:sz="0" w:space="0" w:color="auto"/>
        <w:bottom w:val="none" w:sz="0" w:space="0" w:color="auto"/>
        <w:right w:val="none" w:sz="0" w:space="0" w:color="auto"/>
      </w:divBdr>
    </w:div>
    <w:div w:id="1345478281">
      <w:bodyDiv w:val="1"/>
      <w:marLeft w:val="0"/>
      <w:marRight w:val="0"/>
      <w:marTop w:val="0"/>
      <w:marBottom w:val="0"/>
      <w:divBdr>
        <w:top w:val="none" w:sz="0" w:space="0" w:color="auto"/>
        <w:left w:val="none" w:sz="0" w:space="0" w:color="auto"/>
        <w:bottom w:val="none" w:sz="0" w:space="0" w:color="auto"/>
        <w:right w:val="none" w:sz="0" w:space="0" w:color="auto"/>
      </w:divBdr>
    </w:div>
    <w:div w:id="1347056316">
      <w:bodyDiv w:val="1"/>
      <w:marLeft w:val="0"/>
      <w:marRight w:val="0"/>
      <w:marTop w:val="0"/>
      <w:marBottom w:val="0"/>
      <w:divBdr>
        <w:top w:val="none" w:sz="0" w:space="0" w:color="auto"/>
        <w:left w:val="none" w:sz="0" w:space="0" w:color="auto"/>
        <w:bottom w:val="none" w:sz="0" w:space="0" w:color="auto"/>
        <w:right w:val="none" w:sz="0" w:space="0" w:color="auto"/>
      </w:divBdr>
    </w:div>
    <w:div w:id="1359236233">
      <w:bodyDiv w:val="1"/>
      <w:marLeft w:val="0"/>
      <w:marRight w:val="0"/>
      <w:marTop w:val="0"/>
      <w:marBottom w:val="0"/>
      <w:divBdr>
        <w:top w:val="none" w:sz="0" w:space="0" w:color="auto"/>
        <w:left w:val="none" w:sz="0" w:space="0" w:color="auto"/>
        <w:bottom w:val="none" w:sz="0" w:space="0" w:color="auto"/>
        <w:right w:val="none" w:sz="0" w:space="0" w:color="auto"/>
      </w:divBdr>
    </w:div>
    <w:div w:id="1359890494">
      <w:bodyDiv w:val="1"/>
      <w:marLeft w:val="0"/>
      <w:marRight w:val="0"/>
      <w:marTop w:val="0"/>
      <w:marBottom w:val="0"/>
      <w:divBdr>
        <w:top w:val="none" w:sz="0" w:space="0" w:color="auto"/>
        <w:left w:val="none" w:sz="0" w:space="0" w:color="auto"/>
        <w:bottom w:val="none" w:sz="0" w:space="0" w:color="auto"/>
        <w:right w:val="none" w:sz="0" w:space="0" w:color="auto"/>
      </w:divBdr>
    </w:div>
    <w:div w:id="1367179137">
      <w:bodyDiv w:val="1"/>
      <w:marLeft w:val="0"/>
      <w:marRight w:val="0"/>
      <w:marTop w:val="0"/>
      <w:marBottom w:val="0"/>
      <w:divBdr>
        <w:top w:val="none" w:sz="0" w:space="0" w:color="auto"/>
        <w:left w:val="none" w:sz="0" w:space="0" w:color="auto"/>
        <w:bottom w:val="none" w:sz="0" w:space="0" w:color="auto"/>
        <w:right w:val="none" w:sz="0" w:space="0" w:color="auto"/>
      </w:divBdr>
    </w:div>
    <w:div w:id="1378554402">
      <w:bodyDiv w:val="1"/>
      <w:marLeft w:val="0"/>
      <w:marRight w:val="0"/>
      <w:marTop w:val="0"/>
      <w:marBottom w:val="0"/>
      <w:divBdr>
        <w:top w:val="none" w:sz="0" w:space="0" w:color="auto"/>
        <w:left w:val="none" w:sz="0" w:space="0" w:color="auto"/>
        <w:bottom w:val="none" w:sz="0" w:space="0" w:color="auto"/>
        <w:right w:val="none" w:sz="0" w:space="0" w:color="auto"/>
      </w:divBdr>
    </w:div>
    <w:div w:id="1379937343">
      <w:bodyDiv w:val="1"/>
      <w:marLeft w:val="0"/>
      <w:marRight w:val="0"/>
      <w:marTop w:val="0"/>
      <w:marBottom w:val="0"/>
      <w:divBdr>
        <w:top w:val="none" w:sz="0" w:space="0" w:color="auto"/>
        <w:left w:val="none" w:sz="0" w:space="0" w:color="auto"/>
        <w:bottom w:val="none" w:sz="0" w:space="0" w:color="auto"/>
        <w:right w:val="none" w:sz="0" w:space="0" w:color="auto"/>
      </w:divBdr>
    </w:div>
    <w:div w:id="1385715753">
      <w:bodyDiv w:val="1"/>
      <w:marLeft w:val="0"/>
      <w:marRight w:val="0"/>
      <w:marTop w:val="0"/>
      <w:marBottom w:val="0"/>
      <w:divBdr>
        <w:top w:val="none" w:sz="0" w:space="0" w:color="auto"/>
        <w:left w:val="none" w:sz="0" w:space="0" w:color="auto"/>
        <w:bottom w:val="none" w:sz="0" w:space="0" w:color="auto"/>
        <w:right w:val="none" w:sz="0" w:space="0" w:color="auto"/>
      </w:divBdr>
    </w:div>
    <w:div w:id="1385786663">
      <w:bodyDiv w:val="1"/>
      <w:marLeft w:val="0"/>
      <w:marRight w:val="0"/>
      <w:marTop w:val="0"/>
      <w:marBottom w:val="0"/>
      <w:divBdr>
        <w:top w:val="none" w:sz="0" w:space="0" w:color="auto"/>
        <w:left w:val="none" w:sz="0" w:space="0" w:color="auto"/>
        <w:bottom w:val="none" w:sz="0" w:space="0" w:color="auto"/>
        <w:right w:val="none" w:sz="0" w:space="0" w:color="auto"/>
      </w:divBdr>
    </w:div>
    <w:div w:id="1388845048">
      <w:bodyDiv w:val="1"/>
      <w:marLeft w:val="0"/>
      <w:marRight w:val="0"/>
      <w:marTop w:val="0"/>
      <w:marBottom w:val="0"/>
      <w:divBdr>
        <w:top w:val="none" w:sz="0" w:space="0" w:color="auto"/>
        <w:left w:val="none" w:sz="0" w:space="0" w:color="auto"/>
        <w:bottom w:val="none" w:sz="0" w:space="0" w:color="auto"/>
        <w:right w:val="none" w:sz="0" w:space="0" w:color="auto"/>
      </w:divBdr>
    </w:div>
    <w:div w:id="1394960737">
      <w:bodyDiv w:val="1"/>
      <w:marLeft w:val="0"/>
      <w:marRight w:val="0"/>
      <w:marTop w:val="0"/>
      <w:marBottom w:val="0"/>
      <w:divBdr>
        <w:top w:val="none" w:sz="0" w:space="0" w:color="auto"/>
        <w:left w:val="none" w:sz="0" w:space="0" w:color="auto"/>
        <w:bottom w:val="none" w:sz="0" w:space="0" w:color="auto"/>
        <w:right w:val="none" w:sz="0" w:space="0" w:color="auto"/>
      </w:divBdr>
    </w:div>
    <w:div w:id="1398747766">
      <w:bodyDiv w:val="1"/>
      <w:marLeft w:val="0"/>
      <w:marRight w:val="0"/>
      <w:marTop w:val="0"/>
      <w:marBottom w:val="0"/>
      <w:divBdr>
        <w:top w:val="none" w:sz="0" w:space="0" w:color="auto"/>
        <w:left w:val="none" w:sz="0" w:space="0" w:color="auto"/>
        <w:bottom w:val="none" w:sz="0" w:space="0" w:color="auto"/>
        <w:right w:val="none" w:sz="0" w:space="0" w:color="auto"/>
      </w:divBdr>
    </w:div>
    <w:div w:id="1400521518">
      <w:bodyDiv w:val="1"/>
      <w:marLeft w:val="0"/>
      <w:marRight w:val="0"/>
      <w:marTop w:val="0"/>
      <w:marBottom w:val="0"/>
      <w:divBdr>
        <w:top w:val="none" w:sz="0" w:space="0" w:color="auto"/>
        <w:left w:val="none" w:sz="0" w:space="0" w:color="auto"/>
        <w:bottom w:val="none" w:sz="0" w:space="0" w:color="auto"/>
        <w:right w:val="none" w:sz="0" w:space="0" w:color="auto"/>
      </w:divBdr>
      <w:divsChild>
        <w:div w:id="188028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584271">
      <w:bodyDiv w:val="1"/>
      <w:marLeft w:val="0"/>
      <w:marRight w:val="0"/>
      <w:marTop w:val="0"/>
      <w:marBottom w:val="0"/>
      <w:divBdr>
        <w:top w:val="none" w:sz="0" w:space="0" w:color="auto"/>
        <w:left w:val="none" w:sz="0" w:space="0" w:color="auto"/>
        <w:bottom w:val="none" w:sz="0" w:space="0" w:color="auto"/>
        <w:right w:val="none" w:sz="0" w:space="0" w:color="auto"/>
      </w:divBdr>
    </w:div>
    <w:div w:id="1415860606">
      <w:bodyDiv w:val="1"/>
      <w:marLeft w:val="0"/>
      <w:marRight w:val="0"/>
      <w:marTop w:val="0"/>
      <w:marBottom w:val="0"/>
      <w:divBdr>
        <w:top w:val="none" w:sz="0" w:space="0" w:color="auto"/>
        <w:left w:val="none" w:sz="0" w:space="0" w:color="auto"/>
        <w:bottom w:val="none" w:sz="0" w:space="0" w:color="auto"/>
        <w:right w:val="none" w:sz="0" w:space="0" w:color="auto"/>
      </w:divBdr>
    </w:div>
    <w:div w:id="1424111270">
      <w:bodyDiv w:val="1"/>
      <w:marLeft w:val="0"/>
      <w:marRight w:val="0"/>
      <w:marTop w:val="0"/>
      <w:marBottom w:val="0"/>
      <w:divBdr>
        <w:top w:val="none" w:sz="0" w:space="0" w:color="auto"/>
        <w:left w:val="none" w:sz="0" w:space="0" w:color="auto"/>
        <w:bottom w:val="none" w:sz="0" w:space="0" w:color="auto"/>
        <w:right w:val="none" w:sz="0" w:space="0" w:color="auto"/>
      </w:divBdr>
    </w:div>
    <w:div w:id="1427919592">
      <w:bodyDiv w:val="1"/>
      <w:marLeft w:val="0"/>
      <w:marRight w:val="0"/>
      <w:marTop w:val="0"/>
      <w:marBottom w:val="0"/>
      <w:divBdr>
        <w:top w:val="none" w:sz="0" w:space="0" w:color="auto"/>
        <w:left w:val="none" w:sz="0" w:space="0" w:color="auto"/>
        <w:bottom w:val="none" w:sz="0" w:space="0" w:color="auto"/>
        <w:right w:val="none" w:sz="0" w:space="0" w:color="auto"/>
      </w:divBdr>
    </w:div>
    <w:div w:id="1443764956">
      <w:bodyDiv w:val="1"/>
      <w:marLeft w:val="0"/>
      <w:marRight w:val="0"/>
      <w:marTop w:val="0"/>
      <w:marBottom w:val="0"/>
      <w:divBdr>
        <w:top w:val="none" w:sz="0" w:space="0" w:color="auto"/>
        <w:left w:val="none" w:sz="0" w:space="0" w:color="auto"/>
        <w:bottom w:val="none" w:sz="0" w:space="0" w:color="auto"/>
        <w:right w:val="none" w:sz="0" w:space="0" w:color="auto"/>
      </w:divBdr>
    </w:div>
    <w:div w:id="1455366768">
      <w:bodyDiv w:val="1"/>
      <w:marLeft w:val="0"/>
      <w:marRight w:val="0"/>
      <w:marTop w:val="0"/>
      <w:marBottom w:val="0"/>
      <w:divBdr>
        <w:top w:val="none" w:sz="0" w:space="0" w:color="auto"/>
        <w:left w:val="none" w:sz="0" w:space="0" w:color="auto"/>
        <w:bottom w:val="none" w:sz="0" w:space="0" w:color="auto"/>
        <w:right w:val="none" w:sz="0" w:space="0" w:color="auto"/>
      </w:divBdr>
    </w:div>
    <w:div w:id="1478303162">
      <w:bodyDiv w:val="1"/>
      <w:marLeft w:val="0"/>
      <w:marRight w:val="0"/>
      <w:marTop w:val="0"/>
      <w:marBottom w:val="0"/>
      <w:divBdr>
        <w:top w:val="none" w:sz="0" w:space="0" w:color="auto"/>
        <w:left w:val="none" w:sz="0" w:space="0" w:color="auto"/>
        <w:bottom w:val="none" w:sz="0" w:space="0" w:color="auto"/>
        <w:right w:val="none" w:sz="0" w:space="0" w:color="auto"/>
      </w:divBdr>
    </w:div>
    <w:div w:id="1483430762">
      <w:bodyDiv w:val="1"/>
      <w:marLeft w:val="0"/>
      <w:marRight w:val="0"/>
      <w:marTop w:val="0"/>
      <w:marBottom w:val="0"/>
      <w:divBdr>
        <w:top w:val="none" w:sz="0" w:space="0" w:color="auto"/>
        <w:left w:val="none" w:sz="0" w:space="0" w:color="auto"/>
        <w:bottom w:val="none" w:sz="0" w:space="0" w:color="auto"/>
        <w:right w:val="none" w:sz="0" w:space="0" w:color="auto"/>
      </w:divBdr>
    </w:div>
    <w:div w:id="1486900650">
      <w:bodyDiv w:val="1"/>
      <w:marLeft w:val="0"/>
      <w:marRight w:val="0"/>
      <w:marTop w:val="0"/>
      <w:marBottom w:val="0"/>
      <w:divBdr>
        <w:top w:val="none" w:sz="0" w:space="0" w:color="auto"/>
        <w:left w:val="none" w:sz="0" w:space="0" w:color="auto"/>
        <w:bottom w:val="none" w:sz="0" w:space="0" w:color="auto"/>
        <w:right w:val="none" w:sz="0" w:space="0" w:color="auto"/>
      </w:divBdr>
    </w:div>
    <w:div w:id="1487816772">
      <w:bodyDiv w:val="1"/>
      <w:marLeft w:val="0"/>
      <w:marRight w:val="0"/>
      <w:marTop w:val="0"/>
      <w:marBottom w:val="0"/>
      <w:divBdr>
        <w:top w:val="none" w:sz="0" w:space="0" w:color="auto"/>
        <w:left w:val="none" w:sz="0" w:space="0" w:color="auto"/>
        <w:bottom w:val="none" w:sz="0" w:space="0" w:color="auto"/>
        <w:right w:val="none" w:sz="0" w:space="0" w:color="auto"/>
      </w:divBdr>
    </w:div>
    <w:div w:id="1491403868">
      <w:bodyDiv w:val="1"/>
      <w:marLeft w:val="0"/>
      <w:marRight w:val="0"/>
      <w:marTop w:val="0"/>
      <w:marBottom w:val="0"/>
      <w:divBdr>
        <w:top w:val="none" w:sz="0" w:space="0" w:color="auto"/>
        <w:left w:val="none" w:sz="0" w:space="0" w:color="auto"/>
        <w:bottom w:val="none" w:sz="0" w:space="0" w:color="auto"/>
        <w:right w:val="none" w:sz="0" w:space="0" w:color="auto"/>
      </w:divBdr>
    </w:div>
    <w:div w:id="1496915145">
      <w:bodyDiv w:val="1"/>
      <w:marLeft w:val="0"/>
      <w:marRight w:val="0"/>
      <w:marTop w:val="0"/>
      <w:marBottom w:val="0"/>
      <w:divBdr>
        <w:top w:val="none" w:sz="0" w:space="0" w:color="auto"/>
        <w:left w:val="none" w:sz="0" w:space="0" w:color="auto"/>
        <w:bottom w:val="none" w:sz="0" w:space="0" w:color="auto"/>
        <w:right w:val="none" w:sz="0" w:space="0" w:color="auto"/>
      </w:divBdr>
    </w:div>
    <w:div w:id="1497963372">
      <w:bodyDiv w:val="1"/>
      <w:marLeft w:val="0"/>
      <w:marRight w:val="0"/>
      <w:marTop w:val="0"/>
      <w:marBottom w:val="0"/>
      <w:divBdr>
        <w:top w:val="none" w:sz="0" w:space="0" w:color="auto"/>
        <w:left w:val="none" w:sz="0" w:space="0" w:color="auto"/>
        <w:bottom w:val="none" w:sz="0" w:space="0" w:color="auto"/>
        <w:right w:val="none" w:sz="0" w:space="0" w:color="auto"/>
      </w:divBdr>
    </w:div>
    <w:div w:id="1499075101">
      <w:bodyDiv w:val="1"/>
      <w:marLeft w:val="0"/>
      <w:marRight w:val="0"/>
      <w:marTop w:val="0"/>
      <w:marBottom w:val="0"/>
      <w:divBdr>
        <w:top w:val="none" w:sz="0" w:space="0" w:color="auto"/>
        <w:left w:val="none" w:sz="0" w:space="0" w:color="auto"/>
        <w:bottom w:val="none" w:sz="0" w:space="0" w:color="auto"/>
        <w:right w:val="none" w:sz="0" w:space="0" w:color="auto"/>
      </w:divBdr>
    </w:div>
    <w:div w:id="1507090445">
      <w:bodyDiv w:val="1"/>
      <w:marLeft w:val="0"/>
      <w:marRight w:val="0"/>
      <w:marTop w:val="0"/>
      <w:marBottom w:val="0"/>
      <w:divBdr>
        <w:top w:val="none" w:sz="0" w:space="0" w:color="auto"/>
        <w:left w:val="none" w:sz="0" w:space="0" w:color="auto"/>
        <w:bottom w:val="none" w:sz="0" w:space="0" w:color="auto"/>
        <w:right w:val="none" w:sz="0" w:space="0" w:color="auto"/>
      </w:divBdr>
    </w:div>
    <w:div w:id="1510026471">
      <w:bodyDiv w:val="1"/>
      <w:marLeft w:val="0"/>
      <w:marRight w:val="0"/>
      <w:marTop w:val="0"/>
      <w:marBottom w:val="0"/>
      <w:divBdr>
        <w:top w:val="none" w:sz="0" w:space="0" w:color="auto"/>
        <w:left w:val="none" w:sz="0" w:space="0" w:color="auto"/>
        <w:bottom w:val="none" w:sz="0" w:space="0" w:color="auto"/>
        <w:right w:val="none" w:sz="0" w:space="0" w:color="auto"/>
      </w:divBdr>
    </w:div>
    <w:div w:id="1518501065">
      <w:bodyDiv w:val="1"/>
      <w:marLeft w:val="0"/>
      <w:marRight w:val="0"/>
      <w:marTop w:val="0"/>
      <w:marBottom w:val="0"/>
      <w:divBdr>
        <w:top w:val="none" w:sz="0" w:space="0" w:color="auto"/>
        <w:left w:val="none" w:sz="0" w:space="0" w:color="auto"/>
        <w:bottom w:val="none" w:sz="0" w:space="0" w:color="auto"/>
        <w:right w:val="none" w:sz="0" w:space="0" w:color="auto"/>
      </w:divBdr>
    </w:div>
    <w:div w:id="1528789919">
      <w:bodyDiv w:val="1"/>
      <w:marLeft w:val="0"/>
      <w:marRight w:val="0"/>
      <w:marTop w:val="0"/>
      <w:marBottom w:val="0"/>
      <w:divBdr>
        <w:top w:val="none" w:sz="0" w:space="0" w:color="auto"/>
        <w:left w:val="none" w:sz="0" w:space="0" w:color="auto"/>
        <w:bottom w:val="none" w:sz="0" w:space="0" w:color="auto"/>
        <w:right w:val="none" w:sz="0" w:space="0" w:color="auto"/>
      </w:divBdr>
    </w:div>
    <w:div w:id="1529834492">
      <w:bodyDiv w:val="1"/>
      <w:marLeft w:val="0"/>
      <w:marRight w:val="0"/>
      <w:marTop w:val="0"/>
      <w:marBottom w:val="0"/>
      <w:divBdr>
        <w:top w:val="none" w:sz="0" w:space="0" w:color="auto"/>
        <w:left w:val="none" w:sz="0" w:space="0" w:color="auto"/>
        <w:bottom w:val="none" w:sz="0" w:space="0" w:color="auto"/>
        <w:right w:val="none" w:sz="0" w:space="0" w:color="auto"/>
      </w:divBdr>
    </w:div>
    <w:div w:id="1531139175">
      <w:bodyDiv w:val="1"/>
      <w:marLeft w:val="0"/>
      <w:marRight w:val="0"/>
      <w:marTop w:val="0"/>
      <w:marBottom w:val="0"/>
      <w:divBdr>
        <w:top w:val="none" w:sz="0" w:space="0" w:color="auto"/>
        <w:left w:val="none" w:sz="0" w:space="0" w:color="auto"/>
        <w:bottom w:val="none" w:sz="0" w:space="0" w:color="auto"/>
        <w:right w:val="none" w:sz="0" w:space="0" w:color="auto"/>
      </w:divBdr>
    </w:div>
    <w:div w:id="1541045285">
      <w:bodyDiv w:val="1"/>
      <w:marLeft w:val="0"/>
      <w:marRight w:val="0"/>
      <w:marTop w:val="0"/>
      <w:marBottom w:val="0"/>
      <w:divBdr>
        <w:top w:val="none" w:sz="0" w:space="0" w:color="auto"/>
        <w:left w:val="none" w:sz="0" w:space="0" w:color="auto"/>
        <w:bottom w:val="none" w:sz="0" w:space="0" w:color="auto"/>
        <w:right w:val="none" w:sz="0" w:space="0" w:color="auto"/>
      </w:divBdr>
      <w:divsChild>
        <w:div w:id="1477575793">
          <w:marLeft w:val="547"/>
          <w:marRight w:val="0"/>
          <w:marTop w:val="0"/>
          <w:marBottom w:val="0"/>
          <w:divBdr>
            <w:top w:val="none" w:sz="0" w:space="0" w:color="auto"/>
            <w:left w:val="none" w:sz="0" w:space="0" w:color="auto"/>
            <w:bottom w:val="none" w:sz="0" w:space="0" w:color="auto"/>
            <w:right w:val="none" w:sz="0" w:space="0" w:color="auto"/>
          </w:divBdr>
        </w:div>
      </w:divsChild>
    </w:div>
    <w:div w:id="1545484135">
      <w:bodyDiv w:val="1"/>
      <w:marLeft w:val="0"/>
      <w:marRight w:val="0"/>
      <w:marTop w:val="0"/>
      <w:marBottom w:val="0"/>
      <w:divBdr>
        <w:top w:val="none" w:sz="0" w:space="0" w:color="auto"/>
        <w:left w:val="none" w:sz="0" w:space="0" w:color="auto"/>
        <w:bottom w:val="none" w:sz="0" w:space="0" w:color="auto"/>
        <w:right w:val="none" w:sz="0" w:space="0" w:color="auto"/>
      </w:divBdr>
    </w:div>
    <w:div w:id="1567841911">
      <w:bodyDiv w:val="1"/>
      <w:marLeft w:val="0"/>
      <w:marRight w:val="0"/>
      <w:marTop w:val="0"/>
      <w:marBottom w:val="0"/>
      <w:divBdr>
        <w:top w:val="none" w:sz="0" w:space="0" w:color="auto"/>
        <w:left w:val="none" w:sz="0" w:space="0" w:color="auto"/>
        <w:bottom w:val="none" w:sz="0" w:space="0" w:color="auto"/>
        <w:right w:val="none" w:sz="0" w:space="0" w:color="auto"/>
      </w:divBdr>
    </w:div>
    <w:div w:id="1569076537">
      <w:bodyDiv w:val="1"/>
      <w:marLeft w:val="0"/>
      <w:marRight w:val="0"/>
      <w:marTop w:val="0"/>
      <w:marBottom w:val="0"/>
      <w:divBdr>
        <w:top w:val="none" w:sz="0" w:space="0" w:color="auto"/>
        <w:left w:val="none" w:sz="0" w:space="0" w:color="auto"/>
        <w:bottom w:val="none" w:sz="0" w:space="0" w:color="auto"/>
        <w:right w:val="none" w:sz="0" w:space="0" w:color="auto"/>
      </w:divBdr>
    </w:div>
    <w:div w:id="1575624317">
      <w:bodyDiv w:val="1"/>
      <w:marLeft w:val="0"/>
      <w:marRight w:val="0"/>
      <w:marTop w:val="0"/>
      <w:marBottom w:val="0"/>
      <w:divBdr>
        <w:top w:val="none" w:sz="0" w:space="0" w:color="auto"/>
        <w:left w:val="none" w:sz="0" w:space="0" w:color="auto"/>
        <w:bottom w:val="none" w:sz="0" w:space="0" w:color="auto"/>
        <w:right w:val="none" w:sz="0" w:space="0" w:color="auto"/>
      </w:divBdr>
    </w:div>
    <w:div w:id="1581982428">
      <w:bodyDiv w:val="1"/>
      <w:marLeft w:val="0"/>
      <w:marRight w:val="0"/>
      <w:marTop w:val="0"/>
      <w:marBottom w:val="0"/>
      <w:divBdr>
        <w:top w:val="none" w:sz="0" w:space="0" w:color="auto"/>
        <w:left w:val="none" w:sz="0" w:space="0" w:color="auto"/>
        <w:bottom w:val="none" w:sz="0" w:space="0" w:color="auto"/>
        <w:right w:val="none" w:sz="0" w:space="0" w:color="auto"/>
      </w:divBdr>
    </w:div>
    <w:div w:id="1585259536">
      <w:bodyDiv w:val="1"/>
      <w:marLeft w:val="0"/>
      <w:marRight w:val="0"/>
      <w:marTop w:val="0"/>
      <w:marBottom w:val="0"/>
      <w:divBdr>
        <w:top w:val="none" w:sz="0" w:space="0" w:color="auto"/>
        <w:left w:val="none" w:sz="0" w:space="0" w:color="auto"/>
        <w:bottom w:val="none" w:sz="0" w:space="0" w:color="auto"/>
        <w:right w:val="none" w:sz="0" w:space="0" w:color="auto"/>
      </w:divBdr>
    </w:div>
    <w:div w:id="1588922790">
      <w:bodyDiv w:val="1"/>
      <w:marLeft w:val="0"/>
      <w:marRight w:val="0"/>
      <w:marTop w:val="0"/>
      <w:marBottom w:val="0"/>
      <w:divBdr>
        <w:top w:val="none" w:sz="0" w:space="0" w:color="auto"/>
        <w:left w:val="none" w:sz="0" w:space="0" w:color="auto"/>
        <w:bottom w:val="none" w:sz="0" w:space="0" w:color="auto"/>
        <w:right w:val="none" w:sz="0" w:space="0" w:color="auto"/>
      </w:divBdr>
    </w:div>
    <w:div w:id="1593010786">
      <w:bodyDiv w:val="1"/>
      <w:marLeft w:val="0"/>
      <w:marRight w:val="0"/>
      <w:marTop w:val="0"/>
      <w:marBottom w:val="0"/>
      <w:divBdr>
        <w:top w:val="none" w:sz="0" w:space="0" w:color="auto"/>
        <w:left w:val="none" w:sz="0" w:space="0" w:color="auto"/>
        <w:bottom w:val="none" w:sz="0" w:space="0" w:color="auto"/>
        <w:right w:val="none" w:sz="0" w:space="0" w:color="auto"/>
      </w:divBdr>
    </w:div>
    <w:div w:id="1597598294">
      <w:bodyDiv w:val="1"/>
      <w:marLeft w:val="0"/>
      <w:marRight w:val="0"/>
      <w:marTop w:val="0"/>
      <w:marBottom w:val="0"/>
      <w:divBdr>
        <w:top w:val="none" w:sz="0" w:space="0" w:color="auto"/>
        <w:left w:val="none" w:sz="0" w:space="0" w:color="auto"/>
        <w:bottom w:val="none" w:sz="0" w:space="0" w:color="auto"/>
        <w:right w:val="none" w:sz="0" w:space="0" w:color="auto"/>
      </w:divBdr>
    </w:div>
    <w:div w:id="1603299004">
      <w:bodyDiv w:val="1"/>
      <w:marLeft w:val="0"/>
      <w:marRight w:val="0"/>
      <w:marTop w:val="0"/>
      <w:marBottom w:val="0"/>
      <w:divBdr>
        <w:top w:val="none" w:sz="0" w:space="0" w:color="auto"/>
        <w:left w:val="none" w:sz="0" w:space="0" w:color="auto"/>
        <w:bottom w:val="none" w:sz="0" w:space="0" w:color="auto"/>
        <w:right w:val="none" w:sz="0" w:space="0" w:color="auto"/>
      </w:divBdr>
    </w:div>
    <w:div w:id="1611934571">
      <w:bodyDiv w:val="1"/>
      <w:marLeft w:val="0"/>
      <w:marRight w:val="0"/>
      <w:marTop w:val="0"/>
      <w:marBottom w:val="0"/>
      <w:divBdr>
        <w:top w:val="none" w:sz="0" w:space="0" w:color="auto"/>
        <w:left w:val="none" w:sz="0" w:space="0" w:color="auto"/>
        <w:bottom w:val="none" w:sz="0" w:space="0" w:color="auto"/>
        <w:right w:val="none" w:sz="0" w:space="0" w:color="auto"/>
      </w:divBdr>
    </w:div>
    <w:div w:id="1612863049">
      <w:bodyDiv w:val="1"/>
      <w:marLeft w:val="0"/>
      <w:marRight w:val="0"/>
      <w:marTop w:val="0"/>
      <w:marBottom w:val="0"/>
      <w:divBdr>
        <w:top w:val="none" w:sz="0" w:space="0" w:color="auto"/>
        <w:left w:val="none" w:sz="0" w:space="0" w:color="auto"/>
        <w:bottom w:val="none" w:sz="0" w:space="0" w:color="auto"/>
        <w:right w:val="none" w:sz="0" w:space="0" w:color="auto"/>
      </w:divBdr>
    </w:div>
    <w:div w:id="1615672341">
      <w:bodyDiv w:val="1"/>
      <w:marLeft w:val="0"/>
      <w:marRight w:val="0"/>
      <w:marTop w:val="0"/>
      <w:marBottom w:val="0"/>
      <w:divBdr>
        <w:top w:val="none" w:sz="0" w:space="0" w:color="auto"/>
        <w:left w:val="none" w:sz="0" w:space="0" w:color="auto"/>
        <w:bottom w:val="none" w:sz="0" w:space="0" w:color="auto"/>
        <w:right w:val="none" w:sz="0" w:space="0" w:color="auto"/>
      </w:divBdr>
    </w:div>
    <w:div w:id="1616592617">
      <w:bodyDiv w:val="1"/>
      <w:marLeft w:val="0"/>
      <w:marRight w:val="0"/>
      <w:marTop w:val="0"/>
      <w:marBottom w:val="0"/>
      <w:divBdr>
        <w:top w:val="none" w:sz="0" w:space="0" w:color="auto"/>
        <w:left w:val="none" w:sz="0" w:space="0" w:color="auto"/>
        <w:bottom w:val="none" w:sz="0" w:space="0" w:color="auto"/>
        <w:right w:val="none" w:sz="0" w:space="0" w:color="auto"/>
      </w:divBdr>
    </w:div>
    <w:div w:id="1620985560">
      <w:bodyDiv w:val="1"/>
      <w:marLeft w:val="0"/>
      <w:marRight w:val="0"/>
      <w:marTop w:val="0"/>
      <w:marBottom w:val="0"/>
      <w:divBdr>
        <w:top w:val="none" w:sz="0" w:space="0" w:color="auto"/>
        <w:left w:val="none" w:sz="0" w:space="0" w:color="auto"/>
        <w:bottom w:val="none" w:sz="0" w:space="0" w:color="auto"/>
        <w:right w:val="none" w:sz="0" w:space="0" w:color="auto"/>
      </w:divBdr>
    </w:div>
    <w:div w:id="1622610805">
      <w:bodyDiv w:val="1"/>
      <w:marLeft w:val="0"/>
      <w:marRight w:val="0"/>
      <w:marTop w:val="0"/>
      <w:marBottom w:val="0"/>
      <w:divBdr>
        <w:top w:val="none" w:sz="0" w:space="0" w:color="auto"/>
        <w:left w:val="none" w:sz="0" w:space="0" w:color="auto"/>
        <w:bottom w:val="none" w:sz="0" w:space="0" w:color="auto"/>
        <w:right w:val="none" w:sz="0" w:space="0" w:color="auto"/>
      </w:divBdr>
    </w:div>
    <w:div w:id="1623731138">
      <w:bodyDiv w:val="1"/>
      <w:marLeft w:val="0"/>
      <w:marRight w:val="0"/>
      <w:marTop w:val="0"/>
      <w:marBottom w:val="0"/>
      <w:divBdr>
        <w:top w:val="none" w:sz="0" w:space="0" w:color="auto"/>
        <w:left w:val="none" w:sz="0" w:space="0" w:color="auto"/>
        <w:bottom w:val="none" w:sz="0" w:space="0" w:color="auto"/>
        <w:right w:val="none" w:sz="0" w:space="0" w:color="auto"/>
      </w:divBdr>
    </w:div>
    <w:div w:id="1631550664">
      <w:bodyDiv w:val="1"/>
      <w:marLeft w:val="0"/>
      <w:marRight w:val="0"/>
      <w:marTop w:val="0"/>
      <w:marBottom w:val="0"/>
      <w:divBdr>
        <w:top w:val="none" w:sz="0" w:space="0" w:color="auto"/>
        <w:left w:val="none" w:sz="0" w:space="0" w:color="auto"/>
        <w:bottom w:val="none" w:sz="0" w:space="0" w:color="auto"/>
        <w:right w:val="none" w:sz="0" w:space="0" w:color="auto"/>
      </w:divBdr>
    </w:div>
    <w:div w:id="1632324608">
      <w:bodyDiv w:val="1"/>
      <w:marLeft w:val="0"/>
      <w:marRight w:val="0"/>
      <w:marTop w:val="0"/>
      <w:marBottom w:val="0"/>
      <w:divBdr>
        <w:top w:val="none" w:sz="0" w:space="0" w:color="auto"/>
        <w:left w:val="none" w:sz="0" w:space="0" w:color="auto"/>
        <w:bottom w:val="none" w:sz="0" w:space="0" w:color="auto"/>
        <w:right w:val="none" w:sz="0" w:space="0" w:color="auto"/>
      </w:divBdr>
    </w:div>
    <w:div w:id="1640109582">
      <w:bodyDiv w:val="1"/>
      <w:marLeft w:val="0"/>
      <w:marRight w:val="0"/>
      <w:marTop w:val="0"/>
      <w:marBottom w:val="0"/>
      <w:divBdr>
        <w:top w:val="none" w:sz="0" w:space="0" w:color="auto"/>
        <w:left w:val="none" w:sz="0" w:space="0" w:color="auto"/>
        <w:bottom w:val="none" w:sz="0" w:space="0" w:color="auto"/>
        <w:right w:val="none" w:sz="0" w:space="0" w:color="auto"/>
      </w:divBdr>
    </w:div>
    <w:div w:id="1640571552">
      <w:bodyDiv w:val="1"/>
      <w:marLeft w:val="0"/>
      <w:marRight w:val="0"/>
      <w:marTop w:val="0"/>
      <w:marBottom w:val="0"/>
      <w:divBdr>
        <w:top w:val="none" w:sz="0" w:space="0" w:color="auto"/>
        <w:left w:val="none" w:sz="0" w:space="0" w:color="auto"/>
        <w:bottom w:val="none" w:sz="0" w:space="0" w:color="auto"/>
        <w:right w:val="none" w:sz="0" w:space="0" w:color="auto"/>
      </w:divBdr>
    </w:div>
    <w:div w:id="1644308248">
      <w:bodyDiv w:val="1"/>
      <w:marLeft w:val="0"/>
      <w:marRight w:val="0"/>
      <w:marTop w:val="0"/>
      <w:marBottom w:val="0"/>
      <w:divBdr>
        <w:top w:val="none" w:sz="0" w:space="0" w:color="auto"/>
        <w:left w:val="none" w:sz="0" w:space="0" w:color="auto"/>
        <w:bottom w:val="none" w:sz="0" w:space="0" w:color="auto"/>
        <w:right w:val="none" w:sz="0" w:space="0" w:color="auto"/>
      </w:divBdr>
    </w:div>
    <w:div w:id="1647514404">
      <w:bodyDiv w:val="1"/>
      <w:marLeft w:val="0"/>
      <w:marRight w:val="0"/>
      <w:marTop w:val="0"/>
      <w:marBottom w:val="0"/>
      <w:divBdr>
        <w:top w:val="none" w:sz="0" w:space="0" w:color="auto"/>
        <w:left w:val="none" w:sz="0" w:space="0" w:color="auto"/>
        <w:bottom w:val="none" w:sz="0" w:space="0" w:color="auto"/>
        <w:right w:val="none" w:sz="0" w:space="0" w:color="auto"/>
      </w:divBdr>
    </w:div>
    <w:div w:id="1648895168">
      <w:bodyDiv w:val="1"/>
      <w:marLeft w:val="0"/>
      <w:marRight w:val="0"/>
      <w:marTop w:val="0"/>
      <w:marBottom w:val="0"/>
      <w:divBdr>
        <w:top w:val="none" w:sz="0" w:space="0" w:color="auto"/>
        <w:left w:val="none" w:sz="0" w:space="0" w:color="auto"/>
        <w:bottom w:val="none" w:sz="0" w:space="0" w:color="auto"/>
        <w:right w:val="none" w:sz="0" w:space="0" w:color="auto"/>
      </w:divBdr>
      <w:divsChild>
        <w:div w:id="1240166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5447043">
      <w:bodyDiv w:val="1"/>
      <w:marLeft w:val="0"/>
      <w:marRight w:val="0"/>
      <w:marTop w:val="0"/>
      <w:marBottom w:val="0"/>
      <w:divBdr>
        <w:top w:val="none" w:sz="0" w:space="0" w:color="auto"/>
        <w:left w:val="none" w:sz="0" w:space="0" w:color="auto"/>
        <w:bottom w:val="none" w:sz="0" w:space="0" w:color="auto"/>
        <w:right w:val="none" w:sz="0" w:space="0" w:color="auto"/>
      </w:divBdr>
    </w:div>
    <w:div w:id="1656913334">
      <w:bodyDiv w:val="1"/>
      <w:marLeft w:val="0"/>
      <w:marRight w:val="0"/>
      <w:marTop w:val="0"/>
      <w:marBottom w:val="0"/>
      <w:divBdr>
        <w:top w:val="none" w:sz="0" w:space="0" w:color="auto"/>
        <w:left w:val="none" w:sz="0" w:space="0" w:color="auto"/>
        <w:bottom w:val="none" w:sz="0" w:space="0" w:color="auto"/>
        <w:right w:val="none" w:sz="0" w:space="0" w:color="auto"/>
      </w:divBdr>
    </w:div>
    <w:div w:id="1663510982">
      <w:bodyDiv w:val="1"/>
      <w:marLeft w:val="0"/>
      <w:marRight w:val="0"/>
      <w:marTop w:val="0"/>
      <w:marBottom w:val="0"/>
      <w:divBdr>
        <w:top w:val="none" w:sz="0" w:space="0" w:color="auto"/>
        <w:left w:val="none" w:sz="0" w:space="0" w:color="auto"/>
        <w:bottom w:val="none" w:sz="0" w:space="0" w:color="auto"/>
        <w:right w:val="none" w:sz="0" w:space="0" w:color="auto"/>
      </w:divBdr>
    </w:div>
    <w:div w:id="1669168782">
      <w:bodyDiv w:val="1"/>
      <w:marLeft w:val="0"/>
      <w:marRight w:val="0"/>
      <w:marTop w:val="0"/>
      <w:marBottom w:val="0"/>
      <w:divBdr>
        <w:top w:val="none" w:sz="0" w:space="0" w:color="auto"/>
        <w:left w:val="none" w:sz="0" w:space="0" w:color="auto"/>
        <w:bottom w:val="none" w:sz="0" w:space="0" w:color="auto"/>
        <w:right w:val="none" w:sz="0" w:space="0" w:color="auto"/>
      </w:divBdr>
    </w:div>
    <w:div w:id="1676103861">
      <w:bodyDiv w:val="1"/>
      <w:marLeft w:val="0"/>
      <w:marRight w:val="0"/>
      <w:marTop w:val="0"/>
      <w:marBottom w:val="0"/>
      <w:divBdr>
        <w:top w:val="none" w:sz="0" w:space="0" w:color="auto"/>
        <w:left w:val="none" w:sz="0" w:space="0" w:color="auto"/>
        <w:bottom w:val="none" w:sz="0" w:space="0" w:color="auto"/>
        <w:right w:val="none" w:sz="0" w:space="0" w:color="auto"/>
      </w:divBdr>
    </w:div>
    <w:div w:id="1679649908">
      <w:bodyDiv w:val="1"/>
      <w:marLeft w:val="0"/>
      <w:marRight w:val="0"/>
      <w:marTop w:val="0"/>
      <w:marBottom w:val="0"/>
      <w:divBdr>
        <w:top w:val="none" w:sz="0" w:space="0" w:color="auto"/>
        <w:left w:val="none" w:sz="0" w:space="0" w:color="auto"/>
        <w:bottom w:val="none" w:sz="0" w:space="0" w:color="auto"/>
        <w:right w:val="none" w:sz="0" w:space="0" w:color="auto"/>
      </w:divBdr>
    </w:div>
    <w:div w:id="1680547686">
      <w:bodyDiv w:val="1"/>
      <w:marLeft w:val="0"/>
      <w:marRight w:val="0"/>
      <w:marTop w:val="0"/>
      <w:marBottom w:val="0"/>
      <w:divBdr>
        <w:top w:val="none" w:sz="0" w:space="0" w:color="auto"/>
        <w:left w:val="none" w:sz="0" w:space="0" w:color="auto"/>
        <w:bottom w:val="none" w:sz="0" w:space="0" w:color="auto"/>
        <w:right w:val="none" w:sz="0" w:space="0" w:color="auto"/>
      </w:divBdr>
    </w:div>
    <w:div w:id="1689066882">
      <w:bodyDiv w:val="1"/>
      <w:marLeft w:val="0"/>
      <w:marRight w:val="0"/>
      <w:marTop w:val="0"/>
      <w:marBottom w:val="0"/>
      <w:divBdr>
        <w:top w:val="none" w:sz="0" w:space="0" w:color="auto"/>
        <w:left w:val="none" w:sz="0" w:space="0" w:color="auto"/>
        <w:bottom w:val="none" w:sz="0" w:space="0" w:color="auto"/>
        <w:right w:val="none" w:sz="0" w:space="0" w:color="auto"/>
      </w:divBdr>
    </w:div>
    <w:div w:id="1694066456">
      <w:bodyDiv w:val="1"/>
      <w:marLeft w:val="0"/>
      <w:marRight w:val="0"/>
      <w:marTop w:val="0"/>
      <w:marBottom w:val="0"/>
      <w:divBdr>
        <w:top w:val="none" w:sz="0" w:space="0" w:color="auto"/>
        <w:left w:val="none" w:sz="0" w:space="0" w:color="auto"/>
        <w:bottom w:val="none" w:sz="0" w:space="0" w:color="auto"/>
        <w:right w:val="none" w:sz="0" w:space="0" w:color="auto"/>
      </w:divBdr>
    </w:div>
    <w:div w:id="1698700923">
      <w:bodyDiv w:val="1"/>
      <w:marLeft w:val="0"/>
      <w:marRight w:val="0"/>
      <w:marTop w:val="0"/>
      <w:marBottom w:val="0"/>
      <w:divBdr>
        <w:top w:val="none" w:sz="0" w:space="0" w:color="auto"/>
        <w:left w:val="none" w:sz="0" w:space="0" w:color="auto"/>
        <w:bottom w:val="none" w:sz="0" w:space="0" w:color="auto"/>
        <w:right w:val="none" w:sz="0" w:space="0" w:color="auto"/>
      </w:divBdr>
    </w:div>
    <w:div w:id="1699349983">
      <w:bodyDiv w:val="1"/>
      <w:marLeft w:val="0"/>
      <w:marRight w:val="0"/>
      <w:marTop w:val="0"/>
      <w:marBottom w:val="0"/>
      <w:divBdr>
        <w:top w:val="none" w:sz="0" w:space="0" w:color="auto"/>
        <w:left w:val="none" w:sz="0" w:space="0" w:color="auto"/>
        <w:bottom w:val="none" w:sz="0" w:space="0" w:color="auto"/>
        <w:right w:val="none" w:sz="0" w:space="0" w:color="auto"/>
      </w:divBdr>
    </w:div>
    <w:div w:id="1701203450">
      <w:bodyDiv w:val="1"/>
      <w:marLeft w:val="0"/>
      <w:marRight w:val="0"/>
      <w:marTop w:val="0"/>
      <w:marBottom w:val="0"/>
      <w:divBdr>
        <w:top w:val="none" w:sz="0" w:space="0" w:color="auto"/>
        <w:left w:val="none" w:sz="0" w:space="0" w:color="auto"/>
        <w:bottom w:val="none" w:sz="0" w:space="0" w:color="auto"/>
        <w:right w:val="none" w:sz="0" w:space="0" w:color="auto"/>
      </w:divBdr>
    </w:div>
    <w:div w:id="1707752264">
      <w:bodyDiv w:val="1"/>
      <w:marLeft w:val="0"/>
      <w:marRight w:val="0"/>
      <w:marTop w:val="0"/>
      <w:marBottom w:val="0"/>
      <w:divBdr>
        <w:top w:val="none" w:sz="0" w:space="0" w:color="auto"/>
        <w:left w:val="none" w:sz="0" w:space="0" w:color="auto"/>
        <w:bottom w:val="none" w:sz="0" w:space="0" w:color="auto"/>
        <w:right w:val="none" w:sz="0" w:space="0" w:color="auto"/>
      </w:divBdr>
    </w:div>
    <w:div w:id="1710376675">
      <w:bodyDiv w:val="1"/>
      <w:marLeft w:val="0"/>
      <w:marRight w:val="0"/>
      <w:marTop w:val="0"/>
      <w:marBottom w:val="0"/>
      <w:divBdr>
        <w:top w:val="none" w:sz="0" w:space="0" w:color="auto"/>
        <w:left w:val="none" w:sz="0" w:space="0" w:color="auto"/>
        <w:bottom w:val="none" w:sz="0" w:space="0" w:color="auto"/>
        <w:right w:val="none" w:sz="0" w:space="0" w:color="auto"/>
      </w:divBdr>
      <w:divsChild>
        <w:div w:id="13311641">
          <w:marLeft w:val="0"/>
          <w:marRight w:val="0"/>
          <w:marTop w:val="0"/>
          <w:marBottom w:val="0"/>
          <w:divBdr>
            <w:top w:val="none" w:sz="0" w:space="0" w:color="auto"/>
            <w:left w:val="none" w:sz="0" w:space="0" w:color="auto"/>
            <w:bottom w:val="none" w:sz="0" w:space="0" w:color="auto"/>
            <w:right w:val="none" w:sz="0" w:space="0" w:color="auto"/>
          </w:divBdr>
          <w:divsChild>
            <w:div w:id="1184049665">
              <w:marLeft w:val="0"/>
              <w:marRight w:val="0"/>
              <w:marTop w:val="0"/>
              <w:marBottom w:val="0"/>
              <w:divBdr>
                <w:top w:val="none" w:sz="0" w:space="0" w:color="auto"/>
                <w:left w:val="none" w:sz="0" w:space="0" w:color="auto"/>
                <w:bottom w:val="none" w:sz="0" w:space="0" w:color="auto"/>
                <w:right w:val="none" w:sz="0" w:space="0" w:color="auto"/>
              </w:divBdr>
            </w:div>
          </w:divsChild>
        </w:div>
        <w:div w:id="26108527">
          <w:marLeft w:val="0"/>
          <w:marRight w:val="0"/>
          <w:marTop w:val="0"/>
          <w:marBottom w:val="0"/>
          <w:divBdr>
            <w:top w:val="none" w:sz="0" w:space="0" w:color="auto"/>
            <w:left w:val="none" w:sz="0" w:space="0" w:color="auto"/>
            <w:bottom w:val="none" w:sz="0" w:space="0" w:color="auto"/>
            <w:right w:val="none" w:sz="0" w:space="0" w:color="auto"/>
          </w:divBdr>
          <w:divsChild>
            <w:div w:id="1430006120">
              <w:marLeft w:val="0"/>
              <w:marRight w:val="0"/>
              <w:marTop w:val="0"/>
              <w:marBottom w:val="0"/>
              <w:divBdr>
                <w:top w:val="none" w:sz="0" w:space="0" w:color="auto"/>
                <w:left w:val="none" w:sz="0" w:space="0" w:color="auto"/>
                <w:bottom w:val="none" w:sz="0" w:space="0" w:color="auto"/>
                <w:right w:val="none" w:sz="0" w:space="0" w:color="auto"/>
              </w:divBdr>
            </w:div>
          </w:divsChild>
        </w:div>
        <w:div w:id="38944550">
          <w:marLeft w:val="0"/>
          <w:marRight w:val="0"/>
          <w:marTop w:val="0"/>
          <w:marBottom w:val="0"/>
          <w:divBdr>
            <w:top w:val="none" w:sz="0" w:space="0" w:color="auto"/>
            <w:left w:val="none" w:sz="0" w:space="0" w:color="auto"/>
            <w:bottom w:val="none" w:sz="0" w:space="0" w:color="auto"/>
            <w:right w:val="none" w:sz="0" w:space="0" w:color="auto"/>
          </w:divBdr>
          <w:divsChild>
            <w:div w:id="309140976">
              <w:marLeft w:val="0"/>
              <w:marRight w:val="0"/>
              <w:marTop w:val="0"/>
              <w:marBottom w:val="0"/>
              <w:divBdr>
                <w:top w:val="none" w:sz="0" w:space="0" w:color="auto"/>
                <w:left w:val="none" w:sz="0" w:space="0" w:color="auto"/>
                <w:bottom w:val="none" w:sz="0" w:space="0" w:color="auto"/>
                <w:right w:val="none" w:sz="0" w:space="0" w:color="auto"/>
              </w:divBdr>
            </w:div>
          </w:divsChild>
        </w:div>
        <w:div w:id="58214739">
          <w:marLeft w:val="0"/>
          <w:marRight w:val="0"/>
          <w:marTop w:val="0"/>
          <w:marBottom w:val="0"/>
          <w:divBdr>
            <w:top w:val="none" w:sz="0" w:space="0" w:color="auto"/>
            <w:left w:val="none" w:sz="0" w:space="0" w:color="auto"/>
            <w:bottom w:val="none" w:sz="0" w:space="0" w:color="auto"/>
            <w:right w:val="none" w:sz="0" w:space="0" w:color="auto"/>
          </w:divBdr>
          <w:divsChild>
            <w:div w:id="2063943989">
              <w:marLeft w:val="0"/>
              <w:marRight w:val="0"/>
              <w:marTop w:val="0"/>
              <w:marBottom w:val="0"/>
              <w:divBdr>
                <w:top w:val="none" w:sz="0" w:space="0" w:color="auto"/>
                <w:left w:val="none" w:sz="0" w:space="0" w:color="auto"/>
                <w:bottom w:val="none" w:sz="0" w:space="0" w:color="auto"/>
                <w:right w:val="none" w:sz="0" w:space="0" w:color="auto"/>
              </w:divBdr>
            </w:div>
          </w:divsChild>
        </w:div>
        <w:div w:id="75903519">
          <w:marLeft w:val="0"/>
          <w:marRight w:val="0"/>
          <w:marTop w:val="0"/>
          <w:marBottom w:val="0"/>
          <w:divBdr>
            <w:top w:val="none" w:sz="0" w:space="0" w:color="auto"/>
            <w:left w:val="none" w:sz="0" w:space="0" w:color="auto"/>
            <w:bottom w:val="none" w:sz="0" w:space="0" w:color="auto"/>
            <w:right w:val="none" w:sz="0" w:space="0" w:color="auto"/>
          </w:divBdr>
          <w:divsChild>
            <w:div w:id="1542208336">
              <w:marLeft w:val="0"/>
              <w:marRight w:val="0"/>
              <w:marTop w:val="0"/>
              <w:marBottom w:val="0"/>
              <w:divBdr>
                <w:top w:val="none" w:sz="0" w:space="0" w:color="auto"/>
                <w:left w:val="none" w:sz="0" w:space="0" w:color="auto"/>
                <w:bottom w:val="none" w:sz="0" w:space="0" w:color="auto"/>
                <w:right w:val="none" w:sz="0" w:space="0" w:color="auto"/>
              </w:divBdr>
            </w:div>
          </w:divsChild>
        </w:div>
        <w:div w:id="84613378">
          <w:marLeft w:val="0"/>
          <w:marRight w:val="0"/>
          <w:marTop w:val="0"/>
          <w:marBottom w:val="0"/>
          <w:divBdr>
            <w:top w:val="none" w:sz="0" w:space="0" w:color="auto"/>
            <w:left w:val="none" w:sz="0" w:space="0" w:color="auto"/>
            <w:bottom w:val="none" w:sz="0" w:space="0" w:color="auto"/>
            <w:right w:val="none" w:sz="0" w:space="0" w:color="auto"/>
          </w:divBdr>
          <w:divsChild>
            <w:div w:id="457190593">
              <w:marLeft w:val="0"/>
              <w:marRight w:val="0"/>
              <w:marTop w:val="0"/>
              <w:marBottom w:val="0"/>
              <w:divBdr>
                <w:top w:val="none" w:sz="0" w:space="0" w:color="auto"/>
                <w:left w:val="none" w:sz="0" w:space="0" w:color="auto"/>
                <w:bottom w:val="none" w:sz="0" w:space="0" w:color="auto"/>
                <w:right w:val="none" w:sz="0" w:space="0" w:color="auto"/>
              </w:divBdr>
            </w:div>
          </w:divsChild>
        </w:div>
        <w:div w:id="85884196">
          <w:marLeft w:val="0"/>
          <w:marRight w:val="0"/>
          <w:marTop w:val="0"/>
          <w:marBottom w:val="0"/>
          <w:divBdr>
            <w:top w:val="none" w:sz="0" w:space="0" w:color="auto"/>
            <w:left w:val="none" w:sz="0" w:space="0" w:color="auto"/>
            <w:bottom w:val="none" w:sz="0" w:space="0" w:color="auto"/>
            <w:right w:val="none" w:sz="0" w:space="0" w:color="auto"/>
          </w:divBdr>
          <w:divsChild>
            <w:div w:id="408817582">
              <w:marLeft w:val="0"/>
              <w:marRight w:val="0"/>
              <w:marTop w:val="0"/>
              <w:marBottom w:val="0"/>
              <w:divBdr>
                <w:top w:val="none" w:sz="0" w:space="0" w:color="auto"/>
                <w:left w:val="none" w:sz="0" w:space="0" w:color="auto"/>
                <w:bottom w:val="none" w:sz="0" w:space="0" w:color="auto"/>
                <w:right w:val="none" w:sz="0" w:space="0" w:color="auto"/>
              </w:divBdr>
            </w:div>
          </w:divsChild>
        </w:div>
        <w:div w:id="85923937">
          <w:marLeft w:val="0"/>
          <w:marRight w:val="0"/>
          <w:marTop w:val="0"/>
          <w:marBottom w:val="0"/>
          <w:divBdr>
            <w:top w:val="none" w:sz="0" w:space="0" w:color="auto"/>
            <w:left w:val="none" w:sz="0" w:space="0" w:color="auto"/>
            <w:bottom w:val="none" w:sz="0" w:space="0" w:color="auto"/>
            <w:right w:val="none" w:sz="0" w:space="0" w:color="auto"/>
          </w:divBdr>
          <w:divsChild>
            <w:div w:id="2137675919">
              <w:marLeft w:val="0"/>
              <w:marRight w:val="0"/>
              <w:marTop w:val="0"/>
              <w:marBottom w:val="0"/>
              <w:divBdr>
                <w:top w:val="none" w:sz="0" w:space="0" w:color="auto"/>
                <w:left w:val="none" w:sz="0" w:space="0" w:color="auto"/>
                <w:bottom w:val="none" w:sz="0" w:space="0" w:color="auto"/>
                <w:right w:val="none" w:sz="0" w:space="0" w:color="auto"/>
              </w:divBdr>
            </w:div>
          </w:divsChild>
        </w:div>
        <w:div w:id="104277518">
          <w:marLeft w:val="0"/>
          <w:marRight w:val="0"/>
          <w:marTop w:val="0"/>
          <w:marBottom w:val="0"/>
          <w:divBdr>
            <w:top w:val="none" w:sz="0" w:space="0" w:color="auto"/>
            <w:left w:val="none" w:sz="0" w:space="0" w:color="auto"/>
            <w:bottom w:val="none" w:sz="0" w:space="0" w:color="auto"/>
            <w:right w:val="none" w:sz="0" w:space="0" w:color="auto"/>
          </w:divBdr>
          <w:divsChild>
            <w:div w:id="48262452">
              <w:marLeft w:val="0"/>
              <w:marRight w:val="0"/>
              <w:marTop w:val="0"/>
              <w:marBottom w:val="0"/>
              <w:divBdr>
                <w:top w:val="none" w:sz="0" w:space="0" w:color="auto"/>
                <w:left w:val="none" w:sz="0" w:space="0" w:color="auto"/>
                <w:bottom w:val="none" w:sz="0" w:space="0" w:color="auto"/>
                <w:right w:val="none" w:sz="0" w:space="0" w:color="auto"/>
              </w:divBdr>
            </w:div>
          </w:divsChild>
        </w:div>
        <w:div w:id="106313083">
          <w:marLeft w:val="0"/>
          <w:marRight w:val="0"/>
          <w:marTop w:val="0"/>
          <w:marBottom w:val="0"/>
          <w:divBdr>
            <w:top w:val="none" w:sz="0" w:space="0" w:color="auto"/>
            <w:left w:val="none" w:sz="0" w:space="0" w:color="auto"/>
            <w:bottom w:val="none" w:sz="0" w:space="0" w:color="auto"/>
            <w:right w:val="none" w:sz="0" w:space="0" w:color="auto"/>
          </w:divBdr>
          <w:divsChild>
            <w:div w:id="1792554979">
              <w:marLeft w:val="0"/>
              <w:marRight w:val="0"/>
              <w:marTop w:val="0"/>
              <w:marBottom w:val="0"/>
              <w:divBdr>
                <w:top w:val="none" w:sz="0" w:space="0" w:color="auto"/>
                <w:left w:val="none" w:sz="0" w:space="0" w:color="auto"/>
                <w:bottom w:val="none" w:sz="0" w:space="0" w:color="auto"/>
                <w:right w:val="none" w:sz="0" w:space="0" w:color="auto"/>
              </w:divBdr>
            </w:div>
          </w:divsChild>
        </w:div>
        <w:div w:id="121727657">
          <w:marLeft w:val="0"/>
          <w:marRight w:val="0"/>
          <w:marTop w:val="0"/>
          <w:marBottom w:val="0"/>
          <w:divBdr>
            <w:top w:val="none" w:sz="0" w:space="0" w:color="auto"/>
            <w:left w:val="none" w:sz="0" w:space="0" w:color="auto"/>
            <w:bottom w:val="none" w:sz="0" w:space="0" w:color="auto"/>
            <w:right w:val="none" w:sz="0" w:space="0" w:color="auto"/>
          </w:divBdr>
          <w:divsChild>
            <w:div w:id="1576430900">
              <w:marLeft w:val="0"/>
              <w:marRight w:val="0"/>
              <w:marTop w:val="0"/>
              <w:marBottom w:val="0"/>
              <w:divBdr>
                <w:top w:val="none" w:sz="0" w:space="0" w:color="auto"/>
                <w:left w:val="none" w:sz="0" w:space="0" w:color="auto"/>
                <w:bottom w:val="none" w:sz="0" w:space="0" w:color="auto"/>
                <w:right w:val="none" w:sz="0" w:space="0" w:color="auto"/>
              </w:divBdr>
            </w:div>
          </w:divsChild>
        </w:div>
        <w:div w:id="139807310">
          <w:marLeft w:val="0"/>
          <w:marRight w:val="0"/>
          <w:marTop w:val="0"/>
          <w:marBottom w:val="0"/>
          <w:divBdr>
            <w:top w:val="none" w:sz="0" w:space="0" w:color="auto"/>
            <w:left w:val="none" w:sz="0" w:space="0" w:color="auto"/>
            <w:bottom w:val="none" w:sz="0" w:space="0" w:color="auto"/>
            <w:right w:val="none" w:sz="0" w:space="0" w:color="auto"/>
          </w:divBdr>
          <w:divsChild>
            <w:div w:id="1185092499">
              <w:marLeft w:val="0"/>
              <w:marRight w:val="0"/>
              <w:marTop w:val="0"/>
              <w:marBottom w:val="0"/>
              <w:divBdr>
                <w:top w:val="none" w:sz="0" w:space="0" w:color="auto"/>
                <w:left w:val="none" w:sz="0" w:space="0" w:color="auto"/>
                <w:bottom w:val="none" w:sz="0" w:space="0" w:color="auto"/>
                <w:right w:val="none" w:sz="0" w:space="0" w:color="auto"/>
              </w:divBdr>
            </w:div>
          </w:divsChild>
        </w:div>
        <w:div w:id="158429810">
          <w:marLeft w:val="0"/>
          <w:marRight w:val="0"/>
          <w:marTop w:val="0"/>
          <w:marBottom w:val="0"/>
          <w:divBdr>
            <w:top w:val="none" w:sz="0" w:space="0" w:color="auto"/>
            <w:left w:val="none" w:sz="0" w:space="0" w:color="auto"/>
            <w:bottom w:val="none" w:sz="0" w:space="0" w:color="auto"/>
            <w:right w:val="none" w:sz="0" w:space="0" w:color="auto"/>
          </w:divBdr>
          <w:divsChild>
            <w:div w:id="1108744417">
              <w:marLeft w:val="0"/>
              <w:marRight w:val="0"/>
              <w:marTop w:val="0"/>
              <w:marBottom w:val="0"/>
              <w:divBdr>
                <w:top w:val="none" w:sz="0" w:space="0" w:color="auto"/>
                <w:left w:val="none" w:sz="0" w:space="0" w:color="auto"/>
                <w:bottom w:val="none" w:sz="0" w:space="0" w:color="auto"/>
                <w:right w:val="none" w:sz="0" w:space="0" w:color="auto"/>
              </w:divBdr>
            </w:div>
          </w:divsChild>
        </w:div>
        <w:div w:id="162400709">
          <w:marLeft w:val="0"/>
          <w:marRight w:val="0"/>
          <w:marTop w:val="0"/>
          <w:marBottom w:val="0"/>
          <w:divBdr>
            <w:top w:val="none" w:sz="0" w:space="0" w:color="auto"/>
            <w:left w:val="none" w:sz="0" w:space="0" w:color="auto"/>
            <w:bottom w:val="none" w:sz="0" w:space="0" w:color="auto"/>
            <w:right w:val="none" w:sz="0" w:space="0" w:color="auto"/>
          </w:divBdr>
          <w:divsChild>
            <w:div w:id="910457561">
              <w:marLeft w:val="0"/>
              <w:marRight w:val="0"/>
              <w:marTop w:val="0"/>
              <w:marBottom w:val="0"/>
              <w:divBdr>
                <w:top w:val="none" w:sz="0" w:space="0" w:color="auto"/>
                <w:left w:val="none" w:sz="0" w:space="0" w:color="auto"/>
                <w:bottom w:val="none" w:sz="0" w:space="0" w:color="auto"/>
                <w:right w:val="none" w:sz="0" w:space="0" w:color="auto"/>
              </w:divBdr>
            </w:div>
          </w:divsChild>
        </w:div>
        <w:div w:id="172837591">
          <w:marLeft w:val="0"/>
          <w:marRight w:val="0"/>
          <w:marTop w:val="0"/>
          <w:marBottom w:val="0"/>
          <w:divBdr>
            <w:top w:val="none" w:sz="0" w:space="0" w:color="auto"/>
            <w:left w:val="none" w:sz="0" w:space="0" w:color="auto"/>
            <w:bottom w:val="none" w:sz="0" w:space="0" w:color="auto"/>
            <w:right w:val="none" w:sz="0" w:space="0" w:color="auto"/>
          </w:divBdr>
          <w:divsChild>
            <w:div w:id="656420494">
              <w:marLeft w:val="0"/>
              <w:marRight w:val="0"/>
              <w:marTop w:val="0"/>
              <w:marBottom w:val="0"/>
              <w:divBdr>
                <w:top w:val="none" w:sz="0" w:space="0" w:color="auto"/>
                <w:left w:val="none" w:sz="0" w:space="0" w:color="auto"/>
                <w:bottom w:val="none" w:sz="0" w:space="0" w:color="auto"/>
                <w:right w:val="none" w:sz="0" w:space="0" w:color="auto"/>
              </w:divBdr>
            </w:div>
          </w:divsChild>
        </w:div>
        <w:div w:id="205457339">
          <w:marLeft w:val="0"/>
          <w:marRight w:val="0"/>
          <w:marTop w:val="0"/>
          <w:marBottom w:val="0"/>
          <w:divBdr>
            <w:top w:val="none" w:sz="0" w:space="0" w:color="auto"/>
            <w:left w:val="none" w:sz="0" w:space="0" w:color="auto"/>
            <w:bottom w:val="none" w:sz="0" w:space="0" w:color="auto"/>
            <w:right w:val="none" w:sz="0" w:space="0" w:color="auto"/>
          </w:divBdr>
          <w:divsChild>
            <w:div w:id="32658415">
              <w:marLeft w:val="0"/>
              <w:marRight w:val="0"/>
              <w:marTop w:val="0"/>
              <w:marBottom w:val="0"/>
              <w:divBdr>
                <w:top w:val="none" w:sz="0" w:space="0" w:color="auto"/>
                <w:left w:val="none" w:sz="0" w:space="0" w:color="auto"/>
                <w:bottom w:val="none" w:sz="0" w:space="0" w:color="auto"/>
                <w:right w:val="none" w:sz="0" w:space="0" w:color="auto"/>
              </w:divBdr>
            </w:div>
          </w:divsChild>
        </w:div>
        <w:div w:id="207304241">
          <w:marLeft w:val="0"/>
          <w:marRight w:val="0"/>
          <w:marTop w:val="0"/>
          <w:marBottom w:val="0"/>
          <w:divBdr>
            <w:top w:val="none" w:sz="0" w:space="0" w:color="auto"/>
            <w:left w:val="none" w:sz="0" w:space="0" w:color="auto"/>
            <w:bottom w:val="none" w:sz="0" w:space="0" w:color="auto"/>
            <w:right w:val="none" w:sz="0" w:space="0" w:color="auto"/>
          </w:divBdr>
          <w:divsChild>
            <w:div w:id="905840654">
              <w:marLeft w:val="0"/>
              <w:marRight w:val="0"/>
              <w:marTop w:val="0"/>
              <w:marBottom w:val="0"/>
              <w:divBdr>
                <w:top w:val="none" w:sz="0" w:space="0" w:color="auto"/>
                <w:left w:val="none" w:sz="0" w:space="0" w:color="auto"/>
                <w:bottom w:val="none" w:sz="0" w:space="0" w:color="auto"/>
                <w:right w:val="none" w:sz="0" w:space="0" w:color="auto"/>
              </w:divBdr>
            </w:div>
          </w:divsChild>
        </w:div>
        <w:div w:id="226112734">
          <w:marLeft w:val="0"/>
          <w:marRight w:val="0"/>
          <w:marTop w:val="0"/>
          <w:marBottom w:val="0"/>
          <w:divBdr>
            <w:top w:val="none" w:sz="0" w:space="0" w:color="auto"/>
            <w:left w:val="none" w:sz="0" w:space="0" w:color="auto"/>
            <w:bottom w:val="none" w:sz="0" w:space="0" w:color="auto"/>
            <w:right w:val="none" w:sz="0" w:space="0" w:color="auto"/>
          </w:divBdr>
          <w:divsChild>
            <w:div w:id="1492409401">
              <w:marLeft w:val="0"/>
              <w:marRight w:val="0"/>
              <w:marTop w:val="0"/>
              <w:marBottom w:val="0"/>
              <w:divBdr>
                <w:top w:val="none" w:sz="0" w:space="0" w:color="auto"/>
                <w:left w:val="none" w:sz="0" w:space="0" w:color="auto"/>
                <w:bottom w:val="none" w:sz="0" w:space="0" w:color="auto"/>
                <w:right w:val="none" w:sz="0" w:space="0" w:color="auto"/>
              </w:divBdr>
            </w:div>
          </w:divsChild>
        </w:div>
        <w:div w:id="229005515">
          <w:marLeft w:val="0"/>
          <w:marRight w:val="0"/>
          <w:marTop w:val="0"/>
          <w:marBottom w:val="0"/>
          <w:divBdr>
            <w:top w:val="none" w:sz="0" w:space="0" w:color="auto"/>
            <w:left w:val="none" w:sz="0" w:space="0" w:color="auto"/>
            <w:bottom w:val="none" w:sz="0" w:space="0" w:color="auto"/>
            <w:right w:val="none" w:sz="0" w:space="0" w:color="auto"/>
          </w:divBdr>
          <w:divsChild>
            <w:div w:id="1880361715">
              <w:marLeft w:val="0"/>
              <w:marRight w:val="0"/>
              <w:marTop w:val="0"/>
              <w:marBottom w:val="0"/>
              <w:divBdr>
                <w:top w:val="none" w:sz="0" w:space="0" w:color="auto"/>
                <w:left w:val="none" w:sz="0" w:space="0" w:color="auto"/>
                <w:bottom w:val="none" w:sz="0" w:space="0" w:color="auto"/>
                <w:right w:val="none" w:sz="0" w:space="0" w:color="auto"/>
              </w:divBdr>
            </w:div>
          </w:divsChild>
        </w:div>
        <w:div w:id="244075627">
          <w:marLeft w:val="0"/>
          <w:marRight w:val="0"/>
          <w:marTop w:val="0"/>
          <w:marBottom w:val="0"/>
          <w:divBdr>
            <w:top w:val="none" w:sz="0" w:space="0" w:color="auto"/>
            <w:left w:val="none" w:sz="0" w:space="0" w:color="auto"/>
            <w:bottom w:val="none" w:sz="0" w:space="0" w:color="auto"/>
            <w:right w:val="none" w:sz="0" w:space="0" w:color="auto"/>
          </w:divBdr>
          <w:divsChild>
            <w:div w:id="529614329">
              <w:marLeft w:val="0"/>
              <w:marRight w:val="0"/>
              <w:marTop w:val="0"/>
              <w:marBottom w:val="0"/>
              <w:divBdr>
                <w:top w:val="none" w:sz="0" w:space="0" w:color="auto"/>
                <w:left w:val="none" w:sz="0" w:space="0" w:color="auto"/>
                <w:bottom w:val="none" w:sz="0" w:space="0" w:color="auto"/>
                <w:right w:val="none" w:sz="0" w:space="0" w:color="auto"/>
              </w:divBdr>
            </w:div>
          </w:divsChild>
        </w:div>
        <w:div w:id="248778700">
          <w:marLeft w:val="0"/>
          <w:marRight w:val="0"/>
          <w:marTop w:val="0"/>
          <w:marBottom w:val="0"/>
          <w:divBdr>
            <w:top w:val="none" w:sz="0" w:space="0" w:color="auto"/>
            <w:left w:val="none" w:sz="0" w:space="0" w:color="auto"/>
            <w:bottom w:val="none" w:sz="0" w:space="0" w:color="auto"/>
            <w:right w:val="none" w:sz="0" w:space="0" w:color="auto"/>
          </w:divBdr>
          <w:divsChild>
            <w:div w:id="390076655">
              <w:marLeft w:val="0"/>
              <w:marRight w:val="0"/>
              <w:marTop w:val="0"/>
              <w:marBottom w:val="0"/>
              <w:divBdr>
                <w:top w:val="none" w:sz="0" w:space="0" w:color="auto"/>
                <w:left w:val="none" w:sz="0" w:space="0" w:color="auto"/>
                <w:bottom w:val="none" w:sz="0" w:space="0" w:color="auto"/>
                <w:right w:val="none" w:sz="0" w:space="0" w:color="auto"/>
              </w:divBdr>
            </w:div>
          </w:divsChild>
        </w:div>
        <w:div w:id="265845243">
          <w:marLeft w:val="0"/>
          <w:marRight w:val="0"/>
          <w:marTop w:val="0"/>
          <w:marBottom w:val="0"/>
          <w:divBdr>
            <w:top w:val="none" w:sz="0" w:space="0" w:color="auto"/>
            <w:left w:val="none" w:sz="0" w:space="0" w:color="auto"/>
            <w:bottom w:val="none" w:sz="0" w:space="0" w:color="auto"/>
            <w:right w:val="none" w:sz="0" w:space="0" w:color="auto"/>
          </w:divBdr>
          <w:divsChild>
            <w:div w:id="388698324">
              <w:marLeft w:val="0"/>
              <w:marRight w:val="0"/>
              <w:marTop w:val="0"/>
              <w:marBottom w:val="0"/>
              <w:divBdr>
                <w:top w:val="none" w:sz="0" w:space="0" w:color="auto"/>
                <w:left w:val="none" w:sz="0" w:space="0" w:color="auto"/>
                <w:bottom w:val="none" w:sz="0" w:space="0" w:color="auto"/>
                <w:right w:val="none" w:sz="0" w:space="0" w:color="auto"/>
              </w:divBdr>
            </w:div>
          </w:divsChild>
        </w:div>
        <w:div w:id="302202035">
          <w:marLeft w:val="0"/>
          <w:marRight w:val="0"/>
          <w:marTop w:val="0"/>
          <w:marBottom w:val="0"/>
          <w:divBdr>
            <w:top w:val="none" w:sz="0" w:space="0" w:color="auto"/>
            <w:left w:val="none" w:sz="0" w:space="0" w:color="auto"/>
            <w:bottom w:val="none" w:sz="0" w:space="0" w:color="auto"/>
            <w:right w:val="none" w:sz="0" w:space="0" w:color="auto"/>
          </w:divBdr>
          <w:divsChild>
            <w:div w:id="789401506">
              <w:marLeft w:val="0"/>
              <w:marRight w:val="0"/>
              <w:marTop w:val="0"/>
              <w:marBottom w:val="0"/>
              <w:divBdr>
                <w:top w:val="none" w:sz="0" w:space="0" w:color="auto"/>
                <w:left w:val="none" w:sz="0" w:space="0" w:color="auto"/>
                <w:bottom w:val="none" w:sz="0" w:space="0" w:color="auto"/>
                <w:right w:val="none" w:sz="0" w:space="0" w:color="auto"/>
              </w:divBdr>
            </w:div>
          </w:divsChild>
        </w:div>
        <w:div w:id="315376099">
          <w:marLeft w:val="0"/>
          <w:marRight w:val="0"/>
          <w:marTop w:val="0"/>
          <w:marBottom w:val="0"/>
          <w:divBdr>
            <w:top w:val="none" w:sz="0" w:space="0" w:color="auto"/>
            <w:left w:val="none" w:sz="0" w:space="0" w:color="auto"/>
            <w:bottom w:val="none" w:sz="0" w:space="0" w:color="auto"/>
            <w:right w:val="none" w:sz="0" w:space="0" w:color="auto"/>
          </w:divBdr>
          <w:divsChild>
            <w:div w:id="1037659968">
              <w:marLeft w:val="0"/>
              <w:marRight w:val="0"/>
              <w:marTop w:val="0"/>
              <w:marBottom w:val="0"/>
              <w:divBdr>
                <w:top w:val="none" w:sz="0" w:space="0" w:color="auto"/>
                <w:left w:val="none" w:sz="0" w:space="0" w:color="auto"/>
                <w:bottom w:val="none" w:sz="0" w:space="0" w:color="auto"/>
                <w:right w:val="none" w:sz="0" w:space="0" w:color="auto"/>
              </w:divBdr>
            </w:div>
          </w:divsChild>
        </w:div>
        <w:div w:id="346908733">
          <w:marLeft w:val="0"/>
          <w:marRight w:val="0"/>
          <w:marTop w:val="0"/>
          <w:marBottom w:val="0"/>
          <w:divBdr>
            <w:top w:val="none" w:sz="0" w:space="0" w:color="auto"/>
            <w:left w:val="none" w:sz="0" w:space="0" w:color="auto"/>
            <w:bottom w:val="none" w:sz="0" w:space="0" w:color="auto"/>
            <w:right w:val="none" w:sz="0" w:space="0" w:color="auto"/>
          </w:divBdr>
          <w:divsChild>
            <w:div w:id="982546334">
              <w:marLeft w:val="0"/>
              <w:marRight w:val="0"/>
              <w:marTop w:val="0"/>
              <w:marBottom w:val="0"/>
              <w:divBdr>
                <w:top w:val="none" w:sz="0" w:space="0" w:color="auto"/>
                <w:left w:val="none" w:sz="0" w:space="0" w:color="auto"/>
                <w:bottom w:val="none" w:sz="0" w:space="0" w:color="auto"/>
                <w:right w:val="none" w:sz="0" w:space="0" w:color="auto"/>
              </w:divBdr>
            </w:div>
          </w:divsChild>
        </w:div>
        <w:div w:id="351539963">
          <w:marLeft w:val="0"/>
          <w:marRight w:val="0"/>
          <w:marTop w:val="0"/>
          <w:marBottom w:val="0"/>
          <w:divBdr>
            <w:top w:val="none" w:sz="0" w:space="0" w:color="auto"/>
            <w:left w:val="none" w:sz="0" w:space="0" w:color="auto"/>
            <w:bottom w:val="none" w:sz="0" w:space="0" w:color="auto"/>
            <w:right w:val="none" w:sz="0" w:space="0" w:color="auto"/>
          </w:divBdr>
          <w:divsChild>
            <w:div w:id="1378429455">
              <w:marLeft w:val="0"/>
              <w:marRight w:val="0"/>
              <w:marTop w:val="0"/>
              <w:marBottom w:val="0"/>
              <w:divBdr>
                <w:top w:val="none" w:sz="0" w:space="0" w:color="auto"/>
                <w:left w:val="none" w:sz="0" w:space="0" w:color="auto"/>
                <w:bottom w:val="none" w:sz="0" w:space="0" w:color="auto"/>
                <w:right w:val="none" w:sz="0" w:space="0" w:color="auto"/>
              </w:divBdr>
            </w:div>
          </w:divsChild>
        </w:div>
        <w:div w:id="374736392">
          <w:marLeft w:val="0"/>
          <w:marRight w:val="0"/>
          <w:marTop w:val="0"/>
          <w:marBottom w:val="0"/>
          <w:divBdr>
            <w:top w:val="none" w:sz="0" w:space="0" w:color="auto"/>
            <w:left w:val="none" w:sz="0" w:space="0" w:color="auto"/>
            <w:bottom w:val="none" w:sz="0" w:space="0" w:color="auto"/>
            <w:right w:val="none" w:sz="0" w:space="0" w:color="auto"/>
          </w:divBdr>
          <w:divsChild>
            <w:div w:id="1896357337">
              <w:marLeft w:val="0"/>
              <w:marRight w:val="0"/>
              <w:marTop w:val="0"/>
              <w:marBottom w:val="0"/>
              <w:divBdr>
                <w:top w:val="none" w:sz="0" w:space="0" w:color="auto"/>
                <w:left w:val="none" w:sz="0" w:space="0" w:color="auto"/>
                <w:bottom w:val="none" w:sz="0" w:space="0" w:color="auto"/>
                <w:right w:val="none" w:sz="0" w:space="0" w:color="auto"/>
              </w:divBdr>
            </w:div>
          </w:divsChild>
        </w:div>
        <w:div w:id="391999579">
          <w:marLeft w:val="0"/>
          <w:marRight w:val="0"/>
          <w:marTop w:val="0"/>
          <w:marBottom w:val="0"/>
          <w:divBdr>
            <w:top w:val="none" w:sz="0" w:space="0" w:color="auto"/>
            <w:left w:val="none" w:sz="0" w:space="0" w:color="auto"/>
            <w:bottom w:val="none" w:sz="0" w:space="0" w:color="auto"/>
            <w:right w:val="none" w:sz="0" w:space="0" w:color="auto"/>
          </w:divBdr>
          <w:divsChild>
            <w:div w:id="138966115">
              <w:marLeft w:val="0"/>
              <w:marRight w:val="0"/>
              <w:marTop w:val="0"/>
              <w:marBottom w:val="0"/>
              <w:divBdr>
                <w:top w:val="none" w:sz="0" w:space="0" w:color="auto"/>
                <w:left w:val="none" w:sz="0" w:space="0" w:color="auto"/>
                <w:bottom w:val="none" w:sz="0" w:space="0" w:color="auto"/>
                <w:right w:val="none" w:sz="0" w:space="0" w:color="auto"/>
              </w:divBdr>
            </w:div>
          </w:divsChild>
        </w:div>
        <w:div w:id="410197305">
          <w:marLeft w:val="0"/>
          <w:marRight w:val="0"/>
          <w:marTop w:val="0"/>
          <w:marBottom w:val="0"/>
          <w:divBdr>
            <w:top w:val="none" w:sz="0" w:space="0" w:color="auto"/>
            <w:left w:val="none" w:sz="0" w:space="0" w:color="auto"/>
            <w:bottom w:val="none" w:sz="0" w:space="0" w:color="auto"/>
            <w:right w:val="none" w:sz="0" w:space="0" w:color="auto"/>
          </w:divBdr>
          <w:divsChild>
            <w:div w:id="1607230632">
              <w:marLeft w:val="0"/>
              <w:marRight w:val="0"/>
              <w:marTop w:val="0"/>
              <w:marBottom w:val="0"/>
              <w:divBdr>
                <w:top w:val="none" w:sz="0" w:space="0" w:color="auto"/>
                <w:left w:val="none" w:sz="0" w:space="0" w:color="auto"/>
                <w:bottom w:val="none" w:sz="0" w:space="0" w:color="auto"/>
                <w:right w:val="none" w:sz="0" w:space="0" w:color="auto"/>
              </w:divBdr>
            </w:div>
          </w:divsChild>
        </w:div>
        <w:div w:id="416826279">
          <w:marLeft w:val="0"/>
          <w:marRight w:val="0"/>
          <w:marTop w:val="0"/>
          <w:marBottom w:val="0"/>
          <w:divBdr>
            <w:top w:val="none" w:sz="0" w:space="0" w:color="auto"/>
            <w:left w:val="none" w:sz="0" w:space="0" w:color="auto"/>
            <w:bottom w:val="none" w:sz="0" w:space="0" w:color="auto"/>
            <w:right w:val="none" w:sz="0" w:space="0" w:color="auto"/>
          </w:divBdr>
          <w:divsChild>
            <w:div w:id="1154682254">
              <w:marLeft w:val="0"/>
              <w:marRight w:val="0"/>
              <w:marTop w:val="0"/>
              <w:marBottom w:val="0"/>
              <w:divBdr>
                <w:top w:val="none" w:sz="0" w:space="0" w:color="auto"/>
                <w:left w:val="none" w:sz="0" w:space="0" w:color="auto"/>
                <w:bottom w:val="none" w:sz="0" w:space="0" w:color="auto"/>
                <w:right w:val="none" w:sz="0" w:space="0" w:color="auto"/>
              </w:divBdr>
            </w:div>
          </w:divsChild>
        </w:div>
        <w:div w:id="428284169">
          <w:marLeft w:val="0"/>
          <w:marRight w:val="0"/>
          <w:marTop w:val="0"/>
          <w:marBottom w:val="0"/>
          <w:divBdr>
            <w:top w:val="none" w:sz="0" w:space="0" w:color="auto"/>
            <w:left w:val="none" w:sz="0" w:space="0" w:color="auto"/>
            <w:bottom w:val="none" w:sz="0" w:space="0" w:color="auto"/>
            <w:right w:val="none" w:sz="0" w:space="0" w:color="auto"/>
          </w:divBdr>
          <w:divsChild>
            <w:div w:id="903416059">
              <w:marLeft w:val="0"/>
              <w:marRight w:val="0"/>
              <w:marTop w:val="0"/>
              <w:marBottom w:val="0"/>
              <w:divBdr>
                <w:top w:val="none" w:sz="0" w:space="0" w:color="auto"/>
                <w:left w:val="none" w:sz="0" w:space="0" w:color="auto"/>
                <w:bottom w:val="none" w:sz="0" w:space="0" w:color="auto"/>
                <w:right w:val="none" w:sz="0" w:space="0" w:color="auto"/>
              </w:divBdr>
            </w:div>
          </w:divsChild>
        </w:div>
        <w:div w:id="464275786">
          <w:marLeft w:val="0"/>
          <w:marRight w:val="0"/>
          <w:marTop w:val="0"/>
          <w:marBottom w:val="0"/>
          <w:divBdr>
            <w:top w:val="none" w:sz="0" w:space="0" w:color="auto"/>
            <w:left w:val="none" w:sz="0" w:space="0" w:color="auto"/>
            <w:bottom w:val="none" w:sz="0" w:space="0" w:color="auto"/>
            <w:right w:val="none" w:sz="0" w:space="0" w:color="auto"/>
          </w:divBdr>
          <w:divsChild>
            <w:div w:id="1778255920">
              <w:marLeft w:val="0"/>
              <w:marRight w:val="0"/>
              <w:marTop w:val="0"/>
              <w:marBottom w:val="0"/>
              <w:divBdr>
                <w:top w:val="none" w:sz="0" w:space="0" w:color="auto"/>
                <w:left w:val="none" w:sz="0" w:space="0" w:color="auto"/>
                <w:bottom w:val="none" w:sz="0" w:space="0" w:color="auto"/>
                <w:right w:val="none" w:sz="0" w:space="0" w:color="auto"/>
              </w:divBdr>
            </w:div>
          </w:divsChild>
        </w:div>
        <w:div w:id="486242255">
          <w:marLeft w:val="0"/>
          <w:marRight w:val="0"/>
          <w:marTop w:val="0"/>
          <w:marBottom w:val="0"/>
          <w:divBdr>
            <w:top w:val="none" w:sz="0" w:space="0" w:color="auto"/>
            <w:left w:val="none" w:sz="0" w:space="0" w:color="auto"/>
            <w:bottom w:val="none" w:sz="0" w:space="0" w:color="auto"/>
            <w:right w:val="none" w:sz="0" w:space="0" w:color="auto"/>
          </w:divBdr>
          <w:divsChild>
            <w:div w:id="563026873">
              <w:marLeft w:val="0"/>
              <w:marRight w:val="0"/>
              <w:marTop w:val="0"/>
              <w:marBottom w:val="0"/>
              <w:divBdr>
                <w:top w:val="none" w:sz="0" w:space="0" w:color="auto"/>
                <w:left w:val="none" w:sz="0" w:space="0" w:color="auto"/>
                <w:bottom w:val="none" w:sz="0" w:space="0" w:color="auto"/>
                <w:right w:val="none" w:sz="0" w:space="0" w:color="auto"/>
              </w:divBdr>
            </w:div>
          </w:divsChild>
        </w:div>
        <w:div w:id="489717550">
          <w:marLeft w:val="0"/>
          <w:marRight w:val="0"/>
          <w:marTop w:val="0"/>
          <w:marBottom w:val="0"/>
          <w:divBdr>
            <w:top w:val="none" w:sz="0" w:space="0" w:color="auto"/>
            <w:left w:val="none" w:sz="0" w:space="0" w:color="auto"/>
            <w:bottom w:val="none" w:sz="0" w:space="0" w:color="auto"/>
            <w:right w:val="none" w:sz="0" w:space="0" w:color="auto"/>
          </w:divBdr>
          <w:divsChild>
            <w:div w:id="1809936246">
              <w:marLeft w:val="0"/>
              <w:marRight w:val="0"/>
              <w:marTop w:val="0"/>
              <w:marBottom w:val="0"/>
              <w:divBdr>
                <w:top w:val="none" w:sz="0" w:space="0" w:color="auto"/>
                <w:left w:val="none" w:sz="0" w:space="0" w:color="auto"/>
                <w:bottom w:val="none" w:sz="0" w:space="0" w:color="auto"/>
                <w:right w:val="none" w:sz="0" w:space="0" w:color="auto"/>
              </w:divBdr>
            </w:div>
          </w:divsChild>
        </w:div>
        <w:div w:id="491529548">
          <w:marLeft w:val="0"/>
          <w:marRight w:val="0"/>
          <w:marTop w:val="0"/>
          <w:marBottom w:val="0"/>
          <w:divBdr>
            <w:top w:val="none" w:sz="0" w:space="0" w:color="auto"/>
            <w:left w:val="none" w:sz="0" w:space="0" w:color="auto"/>
            <w:bottom w:val="none" w:sz="0" w:space="0" w:color="auto"/>
            <w:right w:val="none" w:sz="0" w:space="0" w:color="auto"/>
          </w:divBdr>
          <w:divsChild>
            <w:div w:id="1433166058">
              <w:marLeft w:val="0"/>
              <w:marRight w:val="0"/>
              <w:marTop w:val="0"/>
              <w:marBottom w:val="0"/>
              <w:divBdr>
                <w:top w:val="none" w:sz="0" w:space="0" w:color="auto"/>
                <w:left w:val="none" w:sz="0" w:space="0" w:color="auto"/>
                <w:bottom w:val="none" w:sz="0" w:space="0" w:color="auto"/>
                <w:right w:val="none" w:sz="0" w:space="0" w:color="auto"/>
              </w:divBdr>
            </w:div>
          </w:divsChild>
        </w:div>
        <w:div w:id="498428497">
          <w:marLeft w:val="0"/>
          <w:marRight w:val="0"/>
          <w:marTop w:val="0"/>
          <w:marBottom w:val="0"/>
          <w:divBdr>
            <w:top w:val="none" w:sz="0" w:space="0" w:color="auto"/>
            <w:left w:val="none" w:sz="0" w:space="0" w:color="auto"/>
            <w:bottom w:val="none" w:sz="0" w:space="0" w:color="auto"/>
            <w:right w:val="none" w:sz="0" w:space="0" w:color="auto"/>
          </w:divBdr>
          <w:divsChild>
            <w:div w:id="1184321272">
              <w:marLeft w:val="0"/>
              <w:marRight w:val="0"/>
              <w:marTop w:val="0"/>
              <w:marBottom w:val="0"/>
              <w:divBdr>
                <w:top w:val="none" w:sz="0" w:space="0" w:color="auto"/>
                <w:left w:val="none" w:sz="0" w:space="0" w:color="auto"/>
                <w:bottom w:val="none" w:sz="0" w:space="0" w:color="auto"/>
                <w:right w:val="none" w:sz="0" w:space="0" w:color="auto"/>
              </w:divBdr>
            </w:div>
          </w:divsChild>
        </w:div>
        <w:div w:id="519205454">
          <w:marLeft w:val="0"/>
          <w:marRight w:val="0"/>
          <w:marTop w:val="0"/>
          <w:marBottom w:val="0"/>
          <w:divBdr>
            <w:top w:val="none" w:sz="0" w:space="0" w:color="auto"/>
            <w:left w:val="none" w:sz="0" w:space="0" w:color="auto"/>
            <w:bottom w:val="none" w:sz="0" w:space="0" w:color="auto"/>
            <w:right w:val="none" w:sz="0" w:space="0" w:color="auto"/>
          </w:divBdr>
          <w:divsChild>
            <w:div w:id="1335066327">
              <w:marLeft w:val="0"/>
              <w:marRight w:val="0"/>
              <w:marTop w:val="0"/>
              <w:marBottom w:val="0"/>
              <w:divBdr>
                <w:top w:val="none" w:sz="0" w:space="0" w:color="auto"/>
                <w:left w:val="none" w:sz="0" w:space="0" w:color="auto"/>
                <w:bottom w:val="none" w:sz="0" w:space="0" w:color="auto"/>
                <w:right w:val="none" w:sz="0" w:space="0" w:color="auto"/>
              </w:divBdr>
            </w:div>
          </w:divsChild>
        </w:div>
        <w:div w:id="523787860">
          <w:marLeft w:val="0"/>
          <w:marRight w:val="0"/>
          <w:marTop w:val="0"/>
          <w:marBottom w:val="0"/>
          <w:divBdr>
            <w:top w:val="none" w:sz="0" w:space="0" w:color="auto"/>
            <w:left w:val="none" w:sz="0" w:space="0" w:color="auto"/>
            <w:bottom w:val="none" w:sz="0" w:space="0" w:color="auto"/>
            <w:right w:val="none" w:sz="0" w:space="0" w:color="auto"/>
          </w:divBdr>
          <w:divsChild>
            <w:div w:id="1756391235">
              <w:marLeft w:val="0"/>
              <w:marRight w:val="0"/>
              <w:marTop w:val="0"/>
              <w:marBottom w:val="0"/>
              <w:divBdr>
                <w:top w:val="none" w:sz="0" w:space="0" w:color="auto"/>
                <w:left w:val="none" w:sz="0" w:space="0" w:color="auto"/>
                <w:bottom w:val="none" w:sz="0" w:space="0" w:color="auto"/>
                <w:right w:val="none" w:sz="0" w:space="0" w:color="auto"/>
              </w:divBdr>
            </w:div>
          </w:divsChild>
        </w:div>
        <w:div w:id="527714921">
          <w:marLeft w:val="0"/>
          <w:marRight w:val="0"/>
          <w:marTop w:val="0"/>
          <w:marBottom w:val="0"/>
          <w:divBdr>
            <w:top w:val="none" w:sz="0" w:space="0" w:color="auto"/>
            <w:left w:val="none" w:sz="0" w:space="0" w:color="auto"/>
            <w:bottom w:val="none" w:sz="0" w:space="0" w:color="auto"/>
            <w:right w:val="none" w:sz="0" w:space="0" w:color="auto"/>
          </w:divBdr>
          <w:divsChild>
            <w:div w:id="1389382268">
              <w:marLeft w:val="0"/>
              <w:marRight w:val="0"/>
              <w:marTop w:val="0"/>
              <w:marBottom w:val="0"/>
              <w:divBdr>
                <w:top w:val="none" w:sz="0" w:space="0" w:color="auto"/>
                <w:left w:val="none" w:sz="0" w:space="0" w:color="auto"/>
                <w:bottom w:val="none" w:sz="0" w:space="0" w:color="auto"/>
                <w:right w:val="none" w:sz="0" w:space="0" w:color="auto"/>
              </w:divBdr>
            </w:div>
          </w:divsChild>
        </w:div>
        <w:div w:id="532496570">
          <w:marLeft w:val="0"/>
          <w:marRight w:val="0"/>
          <w:marTop w:val="0"/>
          <w:marBottom w:val="0"/>
          <w:divBdr>
            <w:top w:val="none" w:sz="0" w:space="0" w:color="auto"/>
            <w:left w:val="none" w:sz="0" w:space="0" w:color="auto"/>
            <w:bottom w:val="none" w:sz="0" w:space="0" w:color="auto"/>
            <w:right w:val="none" w:sz="0" w:space="0" w:color="auto"/>
          </w:divBdr>
          <w:divsChild>
            <w:div w:id="1256402064">
              <w:marLeft w:val="0"/>
              <w:marRight w:val="0"/>
              <w:marTop w:val="0"/>
              <w:marBottom w:val="0"/>
              <w:divBdr>
                <w:top w:val="none" w:sz="0" w:space="0" w:color="auto"/>
                <w:left w:val="none" w:sz="0" w:space="0" w:color="auto"/>
                <w:bottom w:val="none" w:sz="0" w:space="0" w:color="auto"/>
                <w:right w:val="none" w:sz="0" w:space="0" w:color="auto"/>
              </w:divBdr>
            </w:div>
          </w:divsChild>
        </w:div>
        <w:div w:id="539585764">
          <w:marLeft w:val="0"/>
          <w:marRight w:val="0"/>
          <w:marTop w:val="0"/>
          <w:marBottom w:val="0"/>
          <w:divBdr>
            <w:top w:val="none" w:sz="0" w:space="0" w:color="auto"/>
            <w:left w:val="none" w:sz="0" w:space="0" w:color="auto"/>
            <w:bottom w:val="none" w:sz="0" w:space="0" w:color="auto"/>
            <w:right w:val="none" w:sz="0" w:space="0" w:color="auto"/>
          </w:divBdr>
          <w:divsChild>
            <w:div w:id="686056309">
              <w:marLeft w:val="0"/>
              <w:marRight w:val="0"/>
              <w:marTop w:val="0"/>
              <w:marBottom w:val="0"/>
              <w:divBdr>
                <w:top w:val="none" w:sz="0" w:space="0" w:color="auto"/>
                <w:left w:val="none" w:sz="0" w:space="0" w:color="auto"/>
                <w:bottom w:val="none" w:sz="0" w:space="0" w:color="auto"/>
                <w:right w:val="none" w:sz="0" w:space="0" w:color="auto"/>
              </w:divBdr>
            </w:div>
          </w:divsChild>
        </w:div>
        <w:div w:id="603851438">
          <w:marLeft w:val="0"/>
          <w:marRight w:val="0"/>
          <w:marTop w:val="0"/>
          <w:marBottom w:val="0"/>
          <w:divBdr>
            <w:top w:val="none" w:sz="0" w:space="0" w:color="auto"/>
            <w:left w:val="none" w:sz="0" w:space="0" w:color="auto"/>
            <w:bottom w:val="none" w:sz="0" w:space="0" w:color="auto"/>
            <w:right w:val="none" w:sz="0" w:space="0" w:color="auto"/>
          </w:divBdr>
          <w:divsChild>
            <w:div w:id="1575309949">
              <w:marLeft w:val="0"/>
              <w:marRight w:val="0"/>
              <w:marTop w:val="0"/>
              <w:marBottom w:val="0"/>
              <w:divBdr>
                <w:top w:val="none" w:sz="0" w:space="0" w:color="auto"/>
                <w:left w:val="none" w:sz="0" w:space="0" w:color="auto"/>
                <w:bottom w:val="none" w:sz="0" w:space="0" w:color="auto"/>
                <w:right w:val="none" w:sz="0" w:space="0" w:color="auto"/>
              </w:divBdr>
            </w:div>
          </w:divsChild>
        </w:div>
        <w:div w:id="610624669">
          <w:marLeft w:val="0"/>
          <w:marRight w:val="0"/>
          <w:marTop w:val="0"/>
          <w:marBottom w:val="0"/>
          <w:divBdr>
            <w:top w:val="none" w:sz="0" w:space="0" w:color="auto"/>
            <w:left w:val="none" w:sz="0" w:space="0" w:color="auto"/>
            <w:bottom w:val="none" w:sz="0" w:space="0" w:color="auto"/>
            <w:right w:val="none" w:sz="0" w:space="0" w:color="auto"/>
          </w:divBdr>
          <w:divsChild>
            <w:div w:id="943538311">
              <w:marLeft w:val="0"/>
              <w:marRight w:val="0"/>
              <w:marTop w:val="0"/>
              <w:marBottom w:val="0"/>
              <w:divBdr>
                <w:top w:val="none" w:sz="0" w:space="0" w:color="auto"/>
                <w:left w:val="none" w:sz="0" w:space="0" w:color="auto"/>
                <w:bottom w:val="none" w:sz="0" w:space="0" w:color="auto"/>
                <w:right w:val="none" w:sz="0" w:space="0" w:color="auto"/>
              </w:divBdr>
            </w:div>
          </w:divsChild>
        </w:div>
        <w:div w:id="626204086">
          <w:marLeft w:val="0"/>
          <w:marRight w:val="0"/>
          <w:marTop w:val="0"/>
          <w:marBottom w:val="0"/>
          <w:divBdr>
            <w:top w:val="none" w:sz="0" w:space="0" w:color="auto"/>
            <w:left w:val="none" w:sz="0" w:space="0" w:color="auto"/>
            <w:bottom w:val="none" w:sz="0" w:space="0" w:color="auto"/>
            <w:right w:val="none" w:sz="0" w:space="0" w:color="auto"/>
          </w:divBdr>
          <w:divsChild>
            <w:div w:id="46883181">
              <w:marLeft w:val="0"/>
              <w:marRight w:val="0"/>
              <w:marTop w:val="0"/>
              <w:marBottom w:val="0"/>
              <w:divBdr>
                <w:top w:val="none" w:sz="0" w:space="0" w:color="auto"/>
                <w:left w:val="none" w:sz="0" w:space="0" w:color="auto"/>
                <w:bottom w:val="none" w:sz="0" w:space="0" w:color="auto"/>
                <w:right w:val="none" w:sz="0" w:space="0" w:color="auto"/>
              </w:divBdr>
            </w:div>
          </w:divsChild>
        </w:div>
        <w:div w:id="660306292">
          <w:marLeft w:val="0"/>
          <w:marRight w:val="0"/>
          <w:marTop w:val="0"/>
          <w:marBottom w:val="0"/>
          <w:divBdr>
            <w:top w:val="none" w:sz="0" w:space="0" w:color="auto"/>
            <w:left w:val="none" w:sz="0" w:space="0" w:color="auto"/>
            <w:bottom w:val="none" w:sz="0" w:space="0" w:color="auto"/>
            <w:right w:val="none" w:sz="0" w:space="0" w:color="auto"/>
          </w:divBdr>
          <w:divsChild>
            <w:div w:id="919022643">
              <w:marLeft w:val="0"/>
              <w:marRight w:val="0"/>
              <w:marTop w:val="0"/>
              <w:marBottom w:val="0"/>
              <w:divBdr>
                <w:top w:val="none" w:sz="0" w:space="0" w:color="auto"/>
                <w:left w:val="none" w:sz="0" w:space="0" w:color="auto"/>
                <w:bottom w:val="none" w:sz="0" w:space="0" w:color="auto"/>
                <w:right w:val="none" w:sz="0" w:space="0" w:color="auto"/>
              </w:divBdr>
            </w:div>
          </w:divsChild>
        </w:div>
        <w:div w:id="661356272">
          <w:marLeft w:val="0"/>
          <w:marRight w:val="0"/>
          <w:marTop w:val="0"/>
          <w:marBottom w:val="0"/>
          <w:divBdr>
            <w:top w:val="none" w:sz="0" w:space="0" w:color="auto"/>
            <w:left w:val="none" w:sz="0" w:space="0" w:color="auto"/>
            <w:bottom w:val="none" w:sz="0" w:space="0" w:color="auto"/>
            <w:right w:val="none" w:sz="0" w:space="0" w:color="auto"/>
          </w:divBdr>
          <w:divsChild>
            <w:div w:id="894245927">
              <w:marLeft w:val="0"/>
              <w:marRight w:val="0"/>
              <w:marTop w:val="0"/>
              <w:marBottom w:val="0"/>
              <w:divBdr>
                <w:top w:val="none" w:sz="0" w:space="0" w:color="auto"/>
                <w:left w:val="none" w:sz="0" w:space="0" w:color="auto"/>
                <w:bottom w:val="none" w:sz="0" w:space="0" w:color="auto"/>
                <w:right w:val="none" w:sz="0" w:space="0" w:color="auto"/>
              </w:divBdr>
            </w:div>
          </w:divsChild>
        </w:div>
        <w:div w:id="687217254">
          <w:marLeft w:val="0"/>
          <w:marRight w:val="0"/>
          <w:marTop w:val="0"/>
          <w:marBottom w:val="0"/>
          <w:divBdr>
            <w:top w:val="none" w:sz="0" w:space="0" w:color="auto"/>
            <w:left w:val="none" w:sz="0" w:space="0" w:color="auto"/>
            <w:bottom w:val="none" w:sz="0" w:space="0" w:color="auto"/>
            <w:right w:val="none" w:sz="0" w:space="0" w:color="auto"/>
          </w:divBdr>
          <w:divsChild>
            <w:div w:id="1858617326">
              <w:marLeft w:val="0"/>
              <w:marRight w:val="0"/>
              <w:marTop w:val="0"/>
              <w:marBottom w:val="0"/>
              <w:divBdr>
                <w:top w:val="none" w:sz="0" w:space="0" w:color="auto"/>
                <w:left w:val="none" w:sz="0" w:space="0" w:color="auto"/>
                <w:bottom w:val="none" w:sz="0" w:space="0" w:color="auto"/>
                <w:right w:val="none" w:sz="0" w:space="0" w:color="auto"/>
              </w:divBdr>
            </w:div>
          </w:divsChild>
        </w:div>
        <w:div w:id="736439314">
          <w:marLeft w:val="0"/>
          <w:marRight w:val="0"/>
          <w:marTop w:val="0"/>
          <w:marBottom w:val="0"/>
          <w:divBdr>
            <w:top w:val="none" w:sz="0" w:space="0" w:color="auto"/>
            <w:left w:val="none" w:sz="0" w:space="0" w:color="auto"/>
            <w:bottom w:val="none" w:sz="0" w:space="0" w:color="auto"/>
            <w:right w:val="none" w:sz="0" w:space="0" w:color="auto"/>
          </w:divBdr>
          <w:divsChild>
            <w:div w:id="921909243">
              <w:marLeft w:val="0"/>
              <w:marRight w:val="0"/>
              <w:marTop w:val="0"/>
              <w:marBottom w:val="0"/>
              <w:divBdr>
                <w:top w:val="none" w:sz="0" w:space="0" w:color="auto"/>
                <w:left w:val="none" w:sz="0" w:space="0" w:color="auto"/>
                <w:bottom w:val="none" w:sz="0" w:space="0" w:color="auto"/>
                <w:right w:val="none" w:sz="0" w:space="0" w:color="auto"/>
              </w:divBdr>
            </w:div>
          </w:divsChild>
        </w:div>
        <w:div w:id="746461273">
          <w:marLeft w:val="0"/>
          <w:marRight w:val="0"/>
          <w:marTop w:val="0"/>
          <w:marBottom w:val="0"/>
          <w:divBdr>
            <w:top w:val="none" w:sz="0" w:space="0" w:color="auto"/>
            <w:left w:val="none" w:sz="0" w:space="0" w:color="auto"/>
            <w:bottom w:val="none" w:sz="0" w:space="0" w:color="auto"/>
            <w:right w:val="none" w:sz="0" w:space="0" w:color="auto"/>
          </w:divBdr>
          <w:divsChild>
            <w:div w:id="873691049">
              <w:marLeft w:val="0"/>
              <w:marRight w:val="0"/>
              <w:marTop w:val="0"/>
              <w:marBottom w:val="0"/>
              <w:divBdr>
                <w:top w:val="none" w:sz="0" w:space="0" w:color="auto"/>
                <w:left w:val="none" w:sz="0" w:space="0" w:color="auto"/>
                <w:bottom w:val="none" w:sz="0" w:space="0" w:color="auto"/>
                <w:right w:val="none" w:sz="0" w:space="0" w:color="auto"/>
              </w:divBdr>
            </w:div>
          </w:divsChild>
        </w:div>
        <w:div w:id="749162269">
          <w:marLeft w:val="0"/>
          <w:marRight w:val="0"/>
          <w:marTop w:val="0"/>
          <w:marBottom w:val="0"/>
          <w:divBdr>
            <w:top w:val="none" w:sz="0" w:space="0" w:color="auto"/>
            <w:left w:val="none" w:sz="0" w:space="0" w:color="auto"/>
            <w:bottom w:val="none" w:sz="0" w:space="0" w:color="auto"/>
            <w:right w:val="none" w:sz="0" w:space="0" w:color="auto"/>
          </w:divBdr>
          <w:divsChild>
            <w:div w:id="118843287">
              <w:marLeft w:val="0"/>
              <w:marRight w:val="0"/>
              <w:marTop w:val="0"/>
              <w:marBottom w:val="0"/>
              <w:divBdr>
                <w:top w:val="none" w:sz="0" w:space="0" w:color="auto"/>
                <w:left w:val="none" w:sz="0" w:space="0" w:color="auto"/>
                <w:bottom w:val="none" w:sz="0" w:space="0" w:color="auto"/>
                <w:right w:val="none" w:sz="0" w:space="0" w:color="auto"/>
              </w:divBdr>
            </w:div>
          </w:divsChild>
        </w:div>
        <w:div w:id="752892734">
          <w:marLeft w:val="0"/>
          <w:marRight w:val="0"/>
          <w:marTop w:val="0"/>
          <w:marBottom w:val="0"/>
          <w:divBdr>
            <w:top w:val="none" w:sz="0" w:space="0" w:color="auto"/>
            <w:left w:val="none" w:sz="0" w:space="0" w:color="auto"/>
            <w:bottom w:val="none" w:sz="0" w:space="0" w:color="auto"/>
            <w:right w:val="none" w:sz="0" w:space="0" w:color="auto"/>
          </w:divBdr>
          <w:divsChild>
            <w:div w:id="1428888432">
              <w:marLeft w:val="0"/>
              <w:marRight w:val="0"/>
              <w:marTop w:val="0"/>
              <w:marBottom w:val="0"/>
              <w:divBdr>
                <w:top w:val="none" w:sz="0" w:space="0" w:color="auto"/>
                <w:left w:val="none" w:sz="0" w:space="0" w:color="auto"/>
                <w:bottom w:val="none" w:sz="0" w:space="0" w:color="auto"/>
                <w:right w:val="none" w:sz="0" w:space="0" w:color="auto"/>
              </w:divBdr>
            </w:div>
          </w:divsChild>
        </w:div>
        <w:div w:id="769815265">
          <w:marLeft w:val="0"/>
          <w:marRight w:val="0"/>
          <w:marTop w:val="0"/>
          <w:marBottom w:val="0"/>
          <w:divBdr>
            <w:top w:val="none" w:sz="0" w:space="0" w:color="auto"/>
            <w:left w:val="none" w:sz="0" w:space="0" w:color="auto"/>
            <w:bottom w:val="none" w:sz="0" w:space="0" w:color="auto"/>
            <w:right w:val="none" w:sz="0" w:space="0" w:color="auto"/>
          </w:divBdr>
          <w:divsChild>
            <w:div w:id="1695229839">
              <w:marLeft w:val="0"/>
              <w:marRight w:val="0"/>
              <w:marTop w:val="0"/>
              <w:marBottom w:val="0"/>
              <w:divBdr>
                <w:top w:val="none" w:sz="0" w:space="0" w:color="auto"/>
                <w:left w:val="none" w:sz="0" w:space="0" w:color="auto"/>
                <w:bottom w:val="none" w:sz="0" w:space="0" w:color="auto"/>
                <w:right w:val="none" w:sz="0" w:space="0" w:color="auto"/>
              </w:divBdr>
            </w:div>
          </w:divsChild>
        </w:div>
        <w:div w:id="774911446">
          <w:marLeft w:val="0"/>
          <w:marRight w:val="0"/>
          <w:marTop w:val="0"/>
          <w:marBottom w:val="0"/>
          <w:divBdr>
            <w:top w:val="none" w:sz="0" w:space="0" w:color="auto"/>
            <w:left w:val="none" w:sz="0" w:space="0" w:color="auto"/>
            <w:bottom w:val="none" w:sz="0" w:space="0" w:color="auto"/>
            <w:right w:val="none" w:sz="0" w:space="0" w:color="auto"/>
          </w:divBdr>
          <w:divsChild>
            <w:div w:id="1025595393">
              <w:marLeft w:val="0"/>
              <w:marRight w:val="0"/>
              <w:marTop w:val="0"/>
              <w:marBottom w:val="0"/>
              <w:divBdr>
                <w:top w:val="none" w:sz="0" w:space="0" w:color="auto"/>
                <w:left w:val="none" w:sz="0" w:space="0" w:color="auto"/>
                <w:bottom w:val="none" w:sz="0" w:space="0" w:color="auto"/>
                <w:right w:val="none" w:sz="0" w:space="0" w:color="auto"/>
              </w:divBdr>
            </w:div>
          </w:divsChild>
        </w:div>
        <w:div w:id="782924494">
          <w:marLeft w:val="0"/>
          <w:marRight w:val="0"/>
          <w:marTop w:val="0"/>
          <w:marBottom w:val="0"/>
          <w:divBdr>
            <w:top w:val="none" w:sz="0" w:space="0" w:color="auto"/>
            <w:left w:val="none" w:sz="0" w:space="0" w:color="auto"/>
            <w:bottom w:val="none" w:sz="0" w:space="0" w:color="auto"/>
            <w:right w:val="none" w:sz="0" w:space="0" w:color="auto"/>
          </w:divBdr>
          <w:divsChild>
            <w:div w:id="1278214462">
              <w:marLeft w:val="0"/>
              <w:marRight w:val="0"/>
              <w:marTop w:val="0"/>
              <w:marBottom w:val="0"/>
              <w:divBdr>
                <w:top w:val="none" w:sz="0" w:space="0" w:color="auto"/>
                <w:left w:val="none" w:sz="0" w:space="0" w:color="auto"/>
                <w:bottom w:val="none" w:sz="0" w:space="0" w:color="auto"/>
                <w:right w:val="none" w:sz="0" w:space="0" w:color="auto"/>
              </w:divBdr>
            </w:div>
          </w:divsChild>
        </w:div>
        <w:div w:id="806703407">
          <w:marLeft w:val="0"/>
          <w:marRight w:val="0"/>
          <w:marTop w:val="0"/>
          <w:marBottom w:val="0"/>
          <w:divBdr>
            <w:top w:val="none" w:sz="0" w:space="0" w:color="auto"/>
            <w:left w:val="none" w:sz="0" w:space="0" w:color="auto"/>
            <w:bottom w:val="none" w:sz="0" w:space="0" w:color="auto"/>
            <w:right w:val="none" w:sz="0" w:space="0" w:color="auto"/>
          </w:divBdr>
          <w:divsChild>
            <w:div w:id="1994215944">
              <w:marLeft w:val="0"/>
              <w:marRight w:val="0"/>
              <w:marTop w:val="0"/>
              <w:marBottom w:val="0"/>
              <w:divBdr>
                <w:top w:val="none" w:sz="0" w:space="0" w:color="auto"/>
                <w:left w:val="none" w:sz="0" w:space="0" w:color="auto"/>
                <w:bottom w:val="none" w:sz="0" w:space="0" w:color="auto"/>
                <w:right w:val="none" w:sz="0" w:space="0" w:color="auto"/>
              </w:divBdr>
            </w:div>
          </w:divsChild>
        </w:div>
        <w:div w:id="851531437">
          <w:marLeft w:val="0"/>
          <w:marRight w:val="0"/>
          <w:marTop w:val="0"/>
          <w:marBottom w:val="0"/>
          <w:divBdr>
            <w:top w:val="none" w:sz="0" w:space="0" w:color="auto"/>
            <w:left w:val="none" w:sz="0" w:space="0" w:color="auto"/>
            <w:bottom w:val="none" w:sz="0" w:space="0" w:color="auto"/>
            <w:right w:val="none" w:sz="0" w:space="0" w:color="auto"/>
          </w:divBdr>
          <w:divsChild>
            <w:div w:id="87820160">
              <w:marLeft w:val="0"/>
              <w:marRight w:val="0"/>
              <w:marTop w:val="0"/>
              <w:marBottom w:val="0"/>
              <w:divBdr>
                <w:top w:val="none" w:sz="0" w:space="0" w:color="auto"/>
                <w:left w:val="none" w:sz="0" w:space="0" w:color="auto"/>
                <w:bottom w:val="none" w:sz="0" w:space="0" w:color="auto"/>
                <w:right w:val="none" w:sz="0" w:space="0" w:color="auto"/>
              </w:divBdr>
            </w:div>
          </w:divsChild>
        </w:div>
        <w:div w:id="883950697">
          <w:marLeft w:val="0"/>
          <w:marRight w:val="0"/>
          <w:marTop w:val="0"/>
          <w:marBottom w:val="0"/>
          <w:divBdr>
            <w:top w:val="none" w:sz="0" w:space="0" w:color="auto"/>
            <w:left w:val="none" w:sz="0" w:space="0" w:color="auto"/>
            <w:bottom w:val="none" w:sz="0" w:space="0" w:color="auto"/>
            <w:right w:val="none" w:sz="0" w:space="0" w:color="auto"/>
          </w:divBdr>
          <w:divsChild>
            <w:div w:id="180241748">
              <w:marLeft w:val="0"/>
              <w:marRight w:val="0"/>
              <w:marTop w:val="0"/>
              <w:marBottom w:val="0"/>
              <w:divBdr>
                <w:top w:val="none" w:sz="0" w:space="0" w:color="auto"/>
                <w:left w:val="none" w:sz="0" w:space="0" w:color="auto"/>
                <w:bottom w:val="none" w:sz="0" w:space="0" w:color="auto"/>
                <w:right w:val="none" w:sz="0" w:space="0" w:color="auto"/>
              </w:divBdr>
            </w:div>
          </w:divsChild>
        </w:div>
        <w:div w:id="897786619">
          <w:marLeft w:val="0"/>
          <w:marRight w:val="0"/>
          <w:marTop w:val="0"/>
          <w:marBottom w:val="0"/>
          <w:divBdr>
            <w:top w:val="none" w:sz="0" w:space="0" w:color="auto"/>
            <w:left w:val="none" w:sz="0" w:space="0" w:color="auto"/>
            <w:bottom w:val="none" w:sz="0" w:space="0" w:color="auto"/>
            <w:right w:val="none" w:sz="0" w:space="0" w:color="auto"/>
          </w:divBdr>
          <w:divsChild>
            <w:div w:id="1675374466">
              <w:marLeft w:val="0"/>
              <w:marRight w:val="0"/>
              <w:marTop w:val="0"/>
              <w:marBottom w:val="0"/>
              <w:divBdr>
                <w:top w:val="none" w:sz="0" w:space="0" w:color="auto"/>
                <w:left w:val="none" w:sz="0" w:space="0" w:color="auto"/>
                <w:bottom w:val="none" w:sz="0" w:space="0" w:color="auto"/>
                <w:right w:val="none" w:sz="0" w:space="0" w:color="auto"/>
              </w:divBdr>
            </w:div>
          </w:divsChild>
        </w:div>
        <w:div w:id="897790594">
          <w:marLeft w:val="0"/>
          <w:marRight w:val="0"/>
          <w:marTop w:val="0"/>
          <w:marBottom w:val="0"/>
          <w:divBdr>
            <w:top w:val="none" w:sz="0" w:space="0" w:color="auto"/>
            <w:left w:val="none" w:sz="0" w:space="0" w:color="auto"/>
            <w:bottom w:val="none" w:sz="0" w:space="0" w:color="auto"/>
            <w:right w:val="none" w:sz="0" w:space="0" w:color="auto"/>
          </w:divBdr>
          <w:divsChild>
            <w:div w:id="1684210049">
              <w:marLeft w:val="0"/>
              <w:marRight w:val="0"/>
              <w:marTop w:val="0"/>
              <w:marBottom w:val="0"/>
              <w:divBdr>
                <w:top w:val="none" w:sz="0" w:space="0" w:color="auto"/>
                <w:left w:val="none" w:sz="0" w:space="0" w:color="auto"/>
                <w:bottom w:val="none" w:sz="0" w:space="0" w:color="auto"/>
                <w:right w:val="none" w:sz="0" w:space="0" w:color="auto"/>
              </w:divBdr>
            </w:div>
          </w:divsChild>
        </w:div>
        <w:div w:id="905339101">
          <w:marLeft w:val="0"/>
          <w:marRight w:val="0"/>
          <w:marTop w:val="0"/>
          <w:marBottom w:val="0"/>
          <w:divBdr>
            <w:top w:val="none" w:sz="0" w:space="0" w:color="auto"/>
            <w:left w:val="none" w:sz="0" w:space="0" w:color="auto"/>
            <w:bottom w:val="none" w:sz="0" w:space="0" w:color="auto"/>
            <w:right w:val="none" w:sz="0" w:space="0" w:color="auto"/>
          </w:divBdr>
          <w:divsChild>
            <w:div w:id="794644333">
              <w:marLeft w:val="0"/>
              <w:marRight w:val="0"/>
              <w:marTop w:val="0"/>
              <w:marBottom w:val="0"/>
              <w:divBdr>
                <w:top w:val="none" w:sz="0" w:space="0" w:color="auto"/>
                <w:left w:val="none" w:sz="0" w:space="0" w:color="auto"/>
                <w:bottom w:val="none" w:sz="0" w:space="0" w:color="auto"/>
                <w:right w:val="none" w:sz="0" w:space="0" w:color="auto"/>
              </w:divBdr>
            </w:div>
          </w:divsChild>
        </w:div>
        <w:div w:id="962929899">
          <w:marLeft w:val="0"/>
          <w:marRight w:val="0"/>
          <w:marTop w:val="0"/>
          <w:marBottom w:val="0"/>
          <w:divBdr>
            <w:top w:val="none" w:sz="0" w:space="0" w:color="auto"/>
            <w:left w:val="none" w:sz="0" w:space="0" w:color="auto"/>
            <w:bottom w:val="none" w:sz="0" w:space="0" w:color="auto"/>
            <w:right w:val="none" w:sz="0" w:space="0" w:color="auto"/>
          </w:divBdr>
          <w:divsChild>
            <w:div w:id="101918327">
              <w:marLeft w:val="0"/>
              <w:marRight w:val="0"/>
              <w:marTop w:val="0"/>
              <w:marBottom w:val="0"/>
              <w:divBdr>
                <w:top w:val="none" w:sz="0" w:space="0" w:color="auto"/>
                <w:left w:val="none" w:sz="0" w:space="0" w:color="auto"/>
                <w:bottom w:val="none" w:sz="0" w:space="0" w:color="auto"/>
                <w:right w:val="none" w:sz="0" w:space="0" w:color="auto"/>
              </w:divBdr>
            </w:div>
          </w:divsChild>
        </w:div>
        <w:div w:id="1006638670">
          <w:marLeft w:val="0"/>
          <w:marRight w:val="0"/>
          <w:marTop w:val="0"/>
          <w:marBottom w:val="0"/>
          <w:divBdr>
            <w:top w:val="none" w:sz="0" w:space="0" w:color="auto"/>
            <w:left w:val="none" w:sz="0" w:space="0" w:color="auto"/>
            <w:bottom w:val="none" w:sz="0" w:space="0" w:color="auto"/>
            <w:right w:val="none" w:sz="0" w:space="0" w:color="auto"/>
          </w:divBdr>
          <w:divsChild>
            <w:div w:id="997424538">
              <w:marLeft w:val="0"/>
              <w:marRight w:val="0"/>
              <w:marTop w:val="0"/>
              <w:marBottom w:val="0"/>
              <w:divBdr>
                <w:top w:val="none" w:sz="0" w:space="0" w:color="auto"/>
                <w:left w:val="none" w:sz="0" w:space="0" w:color="auto"/>
                <w:bottom w:val="none" w:sz="0" w:space="0" w:color="auto"/>
                <w:right w:val="none" w:sz="0" w:space="0" w:color="auto"/>
              </w:divBdr>
            </w:div>
          </w:divsChild>
        </w:div>
        <w:div w:id="1020395657">
          <w:marLeft w:val="0"/>
          <w:marRight w:val="0"/>
          <w:marTop w:val="0"/>
          <w:marBottom w:val="0"/>
          <w:divBdr>
            <w:top w:val="none" w:sz="0" w:space="0" w:color="auto"/>
            <w:left w:val="none" w:sz="0" w:space="0" w:color="auto"/>
            <w:bottom w:val="none" w:sz="0" w:space="0" w:color="auto"/>
            <w:right w:val="none" w:sz="0" w:space="0" w:color="auto"/>
          </w:divBdr>
          <w:divsChild>
            <w:div w:id="922756937">
              <w:marLeft w:val="0"/>
              <w:marRight w:val="0"/>
              <w:marTop w:val="0"/>
              <w:marBottom w:val="0"/>
              <w:divBdr>
                <w:top w:val="none" w:sz="0" w:space="0" w:color="auto"/>
                <w:left w:val="none" w:sz="0" w:space="0" w:color="auto"/>
                <w:bottom w:val="none" w:sz="0" w:space="0" w:color="auto"/>
                <w:right w:val="none" w:sz="0" w:space="0" w:color="auto"/>
              </w:divBdr>
            </w:div>
          </w:divsChild>
        </w:div>
        <w:div w:id="1021321071">
          <w:marLeft w:val="0"/>
          <w:marRight w:val="0"/>
          <w:marTop w:val="0"/>
          <w:marBottom w:val="0"/>
          <w:divBdr>
            <w:top w:val="none" w:sz="0" w:space="0" w:color="auto"/>
            <w:left w:val="none" w:sz="0" w:space="0" w:color="auto"/>
            <w:bottom w:val="none" w:sz="0" w:space="0" w:color="auto"/>
            <w:right w:val="none" w:sz="0" w:space="0" w:color="auto"/>
          </w:divBdr>
          <w:divsChild>
            <w:div w:id="1553804326">
              <w:marLeft w:val="0"/>
              <w:marRight w:val="0"/>
              <w:marTop w:val="0"/>
              <w:marBottom w:val="0"/>
              <w:divBdr>
                <w:top w:val="none" w:sz="0" w:space="0" w:color="auto"/>
                <w:left w:val="none" w:sz="0" w:space="0" w:color="auto"/>
                <w:bottom w:val="none" w:sz="0" w:space="0" w:color="auto"/>
                <w:right w:val="none" w:sz="0" w:space="0" w:color="auto"/>
              </w:divBdr>
            </w:div>
          </w:divsChild>
        </w:div>
        <w:div w:id="1027215274">
          <w:marLeft w:val="0"/>
          <w:marRight w:val="0"/>
          <w:marTop w:val="0"/>
          <w:marBottom w:val="0"/>
          <w:divBdr>
            <w:top w:val="none" w:sz="0" w:space="0" w:color="auto"/>
            <w:left w:val="none" w:sz="0" w:space="0" w:color="auto"/>
            <w:bottom w:val="none" w:sz="0" w:space="0" w:color="auto"/>
            <w:right w:val="none" w:sz="0" w:space="0" w:color="auto"/>
          </w:divBdr>
          <w:divsChild>
            <w:div w:id="1855224892">
              <w:marLeft w:val="0"/>
              <w:marRight w:val="0"/>
              <w:marTop w:val="0"/>
              <w:marBottom w:val="0"/>
              <w:divBdr>
                <w:top w:val="none" w:sz="0" w:space="0" w:color="auto"/>
                <w:left w:val="none" w:sz="0" w:space="0" w:color="auto"/>
                <w:bottom w:val="none" w:sz="0" w:space="0" w:color="auto"/>
                <w:right w:val="none" w:sz="0" w:space="0" w:color="auto"/>
              </w:divBdr>
            </w:div>
          </w:divsChild>
        </w:div>
        <w:div w:id="1078751128">
          <w:marLeft w:val="0"/>
          <w:marRight w:val="0"/>
          <w:marTop w:val="0"/>
          <w:marBottom w:val="0"/>
          <w:divBdr>
            <w:top w:val="none" w:sz="0" w:space="0" w:color="auto"/>
            <w:left w:val="none" w:sz="0" w:space="0" w:color="auto"/>
            <w:bottom w:val="none" w:sz="0" w:space="0" w:color="auto"/>
            <w:right w:val="none" w:sz="0" w:space="0" w:color="auto"/>
          </w:divBdr>
          <w:divsChild>
            <w:div w:id="1284656996">
              <w:marLeft w:val="0"/>
              <w:marRight w:val="0"/>
              <w:marTop w:val="0"/>
              <w:marBottom w:val="0"/>
              <w:divBdr>
                <w:top w:val="none" w:sz="0" w:space="0" w:color="auto"/>
                <w:left w:val="none" w:sz="0" w:space="0" w:color="auto"/>
                <w:bottom w:val="none" w:sz="0" w:space="0" w:color="auto"/>
                <w:right w:val="none" w:sz="0" w:space="0" w:color="auto"/>
              </w:divBdr>
            </w:div>
          </w:divsChild>
        </w:div>
        <w:div w:id="1094090407">
          <w:marLeft w:val="0"/>
          <w:marRight w:val="0"/>
          <w:marTop w:val="0"/>
          <w:marBottom w:val="0"/>
          <w:divBdr>
            <w:top w:val="none" w:sz="0" w:space="0" w:color="auto"/>
            <w:left w:val="none" w:sz="0" w:space="0" w:color="auto"/>
            <w:bottom w:val="none" w:sz="0" w:space="0" w:color="auto"/>
            <w:right w:val="none" w:sz="0" w:space="0" w:color="auto"/>
          </w:divBdr>
          <w:divsChild>
            <w:div w:id="1087966224">
              <w:marLeft w:val="0"/>
              <w:marRight w:val="0"/>
              <w:marTop w:val="0"/>
              <w:marBottom w:val="0"/>
              <w:divBdr>
                <w:top w:val="none" w:sz="0" w:space="0" w:color="auto"/>
                <w:left w:val="none" w:sz="0" w:space="0" w:color="auto"/>
                <w:bottom w:val="none" w:sz="0" w:space="0" w:color="auto"/>
                <w:right w:val="none" w:sz="0" w:space="0" w:color="auto"/>
              </w:divBdr>
            </w:div>
          </w:divsChild>
        </w:div>
        <w:div w:id="1151218771">
          <w:marLeft w:val="0"/>
          <w:marRight w:val="0"/>
          <w:marTop w:val="0"/>
          <w:marBottom w:val="0"/>
          <w:divBdr>
            <w:top w:val="none" w:sz="0" w:space="0" w:color="auto"/>
            <w:left w:val="none" w:sz="0" w:space="0" w:color="auto"/>
            <w:bottom w:val="none" w:sz="0" w:space="0" w:color="auto"/>
            <w:right w:val="none" w:sz="0" w:space="0" w:color="auto"/>
          </w:divBdr>
          <w:divsChild>
            <w:div w:id="490023303">
              <w:marLeft w:val="0"/>
              <w:marRight w:val="0"/>
              <w:marTop w:val="0"/>
              <w:marBottom w:val="0"/>
              <w:divBdr>
                <w:top w:val="none" w:sz="0" w:space="0" w:color="auto"/>
                <w:left w:val="none" w:sz="0" w:space="0" w:color="auto"/>
                <w:bottom w:val="none" w:sz="0" w:space="0" w:color="auto"/>
                <w:right w:val="none" w:sz="0" w:space="0" w:color="auto"/>
              </w:divBdr>
            </w:div>
          </w:divsChild>
        </w:div>
        <w:div w:id="1152789724">
          <w:marLeft w:val="0"/>
          <w:marRight w:val="0"/>
          <w:marTop w:val="0"/>
          <w:marBottom w:val="0"/>
          <w:divBdr>
            <w:top w:val="none" w:sz="0" w:space="0" w:color="auto"/>
            <w:left w:val="none" w:sz="0" w:space="0" w:color="auto"/>
            <w:bottom w:val="none" w:sz="0" w:space="0" w:color="auto"/>
            <w:right w:val="none" w:sz="0" w:space="0" w:color="auto"/>
          </w:divBdr>
          <w:divsChild>
            <w:div w:id="1307779396">
              <w:marLeft w:val="0"/>
              <w:marRight w:val="0"/>
              <w:marTop w:val="0"/>
              <w:marBottom w:val="0"/>
              <w:divBdr>
                <w:top w:val="none" w:sz="0" w:space="0" w:color="auto"/>
                <w:left w:val="none" w:sz="0" w:space="0" w:color="auto"/>
                <w:bottom w:val="none" w:sz="0" w:space="0" w:color="auto"/>
                <w:right w:val="none" w:sz="0" w:space="0" w:color="auto"/>
              </w:divBdr>
            </w:div>
          </w:divsChild>
        </w:div>
        <w:div w:id="1184904885">
          <w:marLeft w:val="0"/>
          <w:marRight w:val="0"/>
          <w:marTop w:val="0"/>
          <w:marBottom w:val="0"/>
          <w:divBdr>
            <w:top w:val="none" w:sz="0" w:space="0" w:color="auto"/>
            <w:left w:val="none" w:sz="0" w:space="0" w:color="auto"/>
            <w:bottom w:val="none" w:sz="0" w:space="0" w:color="auto"/>
            <w:right w:val="none" w:sz="0" w:space="0" w:color="auto"/>
          </w:divBdr>
          <w:divsChild>
            <w:div w:id="1541821034">
              <w:marLeft w:val="0"/>
              <w:marRight w:val="0"/>
              <w:marTop w:val="0"/>
              <w:marBottom w:val="0"/>
              <w:divBdr>
                <w:top w:val="none" w:sz="0" w:space="0" w:color="auto"/>
                <w:left w:val="none" w:sz="0" w:space="0" w:color="auto"/>
                <w:bottom w:val="none" w:sz="0" w:space="0" w:color="auto"/>
                <w:right w:val="none" w:sz="0" w:space="0" w:color="auto"/>
              </w:divBdr>
            </w:div>
          </w:divsChild>
        </w:div>
        <w:div w:id="1230379716">
          <w:marLeft w:val="0"/>
          <w:marRight w:val="0"/>
          <w:marTop w:val="0"/>
          <w:marBottom w:val="0"/>
          <w:divBdr>
            <w:top w:val="none" w:sz="0" w:space="0" w:color="auto"/>
            <w:left w:val="none" w:sz="0" w:space="0" w:color="auto"/>
            <w:bottom w:val="none" w:sz="0" w:space="0" w:color="auto"/>
            <w:right w:val="none" w:sz="0" w:space="0" w:color="auto"/>
          </w:divBdr>
          <w:divsChild>
            <w:div w:id="1777821215">
              <w:marLeft w:val="0"/>
              <w:marRight w:val="0"/>
              <w:marTop w:val="0"/>
              <w:marBottom w:val="0"/>
              <w:divBdr>
                <w:top w:val="none" w:sz="0" w:space="0" w:color="auto"/>
                <w:left w:val="none" w:sz="0" w:space="0" w:color="auto"/>
                <w:bottom w:val="none" w:sz="0" w:space="0" w:color="auto"/>
                <w:right w:val="none" w:sz="0" w:space="0" w:color="auto"/>
              </w:divBdr>
            </w:div>
          </w:divsChild>
        </w:div>
        <w:div w:id="1232815034">
          <w:marLeft w:val="0"/>
          <w:marRight w:val="0"/>
          <w:marTop w:val="0"/>
          <w:marBottom w:val="0"/>
          <w:divBdr>
            <w:top w:val="none" w:sz="0" w:space="0" w:color="auto"/>
            <w:left w:val="none" w:sz="0" w:space="0" w:color="auto"/>
            <w:bottom w:val="none" w:sz="0" w:space="0" w:color="auto"/>
            <w:right w:val="none" w:sz="0" w:space="0" w:color="auto"/>
          </w:divBdr>
          <w:divsChild>
            <w:div w:id="1316225593">
              <w:marLeft w:val="0"/>
              <w:marRight w:val="0"/>
              <w:marTop w:val="0"/>
              <w:marBottom w:val="0"/>
              <w:divBdr>
                <w:top w:val="none" w:sz="0" w:space="0" w:color="auto"/>
                <w:left w:val="none" w:sz="0" w:space="0" w:color="auto"/>
                <w:bottom w:val="none" w:sz="0" w:space="0" w:color="auto"/>
                <w:right w:val="none" w:sz="0" w:space="0" w:color="auto"/>
              </w:divBdr>
            </w:div>
          </w:divsChild>
        </w:div>
        <w:div w:id="1240750024">
          <w:marLeft w:val="0"/>
          <w:marRight w:val="0"/>
          <w:marTop w:val="0"/>
          <w:marBottom w:val="0"/>
          <w:divBdr>
            <w:top w:val="none" w:sz="0" w:space="0" w:color="auto"/>
            <w:left w:val="none" w:sz="0" w:space="0" w:color="auto"/>
            <w:bottom w:val="none" w:sz="0" w:space="0" w:color="auto"/>
            <w:right w:val="none" w:sz="0" w:space="0" w:color="auto"/>
          </w:divBdr>
          <w:divsChild>
            <w:div w:id="1818255936">
              <w:marLeft w:val="0"/>
              <w:marRight w:val="0"/>
              <w:marTop w:val="0"/>
              <w:marBottom w:val="0"/>
              <w:divBdr>
                <w:top w:val="none" w:sz="0" w:space="0" w:color="auto"/>
                <w:left w:val="none" w:sz="0" w:space="0" w:color="auto"/>
                <w:bottom w:val="none" w:sz="0" w:space="0" w:color="auto"/>
                <w:right w:val="none" w:sz="0" w:space="0" w:color="auto"/>
              </w:divBdr>
            </w:div>
          </w:divsChild>
        </w:div>
        <w:div w:id="1244023525">
          <w:marLeft w:val="0"/>
          <w:marRight w:val="0"/>
          <w:marTop w:val="0"/>
          <w:marBottom w:val="0"/>
          <w:divBdr>
            <w:top w:val="none" w:sz="0" w:space="0" w:color="auto"/>
            <w:left w:val="none" w:sz="0" w:space="0" w:color="auto"/>
            <w:bottom w:val="none" w:sz="0" w:space="0" w:color="auto"/>
            <w:right w:val="none" w:sz="0" w:space="0" w:color="auto"/>
          </w:divBdr>
          <w:divsChild>
            <w:div w:id="761337639">
              <w:marLeft w:val="0"/>
              <w:marRight w:val="0"/>
              <w:marTop w:val="0"/>
              <w:marBottom w:val="0"/>
              <w:divBdr>
                <w:top w:val="none" w:sz="0" w:space="0" w:color="auto"/>
                <w:left w:val="none" w:sz="0" w:space="0" w:color="auto"/>
                <w:bottom w:val="none" w:sz="0" w:space="0" w:color="auto"/>
                <w:right w:val="none" w:sz="0" w:space="0" w:color="auto"/>
              </w:divBdr>
            </w:div>
          </w:divsChild>
        </w:div>
        <w:div w:id="1251961386">
          <w:marLeft w:val="0"/>
          <w:marRight w:val="0"/>
          <w:marTop w:val="0"/>
          <w:marBottom w:val="0"/>
          <w:divBdr>
            <w:top w:val="none" w:sz="0" w:space="0" w:color="auto"/>
            <w:left w:val="none" w:sz="0" w:space="0" w:color="auto"/>
            <w:bottom w:val="none" w:sz="0" w:space="0" w:color="auto"/>
            <w:right w:val="none" w:sz="0" w:space="0" w:color="auto"/>
          </w:divBdr>
          <w:divsChild>
            <w:div w:id="1822042417">
              <w:marLeft w:val="0"/>
              <w:marRight w:val="0"/>
              <w:marTop w:val="0"/>
              <w:marBottom w:val="0"/>
              <w:divBdr>
                <w:top w:val="none" w:sz="0" w:space="0" w:color="auto"/>
                <w:left w:val="none" w:sz="0" w:space="0" w:color="auto"/>
                <w:bottom w:val="none" w:sz="0" w:space="0" w:color="auto"/>
                <w:right w:val="none" w:sz="0" w:space="0" w:color="auto"/>
              </w:divBdr>
            </w:div>
          </w:divsChild>
        </w:div>
        <w:div w:id="1283733019">
          <w:marLeft w:val="0"/>
          <w:marRight w:val="0"/>
          <w:marTop w:val="0"/>
          <w:marBottom w:val="0"/>
          <w:divBdr>
            <w:top w:val="none" w:sz="0" w:space="0" w:color="auto"/>
            <w:left w:val="none" w:sz="0" w:space="0" w:color="auto"/>
            <w:bottom w:val="none" w:sz="0" w:space="0" w:color="auto"/>
            <w:right w:val="none" w:sz="0" w:space="0" w:color="auto"/>
          </w:divBdr>
          <w:divsChild>
            <w:div w:id="915045343">
              <w:marLeft w:val="0"/>
              <w:marRight w:val="0"/>
              <w:marTop w:val="0"/>
              <w:marBottom w:val="0"/>
              <w:divBdr>
                <w:top w:val="none" w:sz="0" w:space="0" w:color="auto"/>
                <w:left w:val="none" w:sz="0" w:space="0" w:color="auto"/>
                <w:bottom w:val="none" w:sz="0" w:space="0" w:color="auto"/>
                <w:right w:val="none" w:sz="0" w:space="0" w:color="auto"/>
              </w:divBdr>
            </w:div>
          </w:divsChild>
        </w:div>
        <w:div w:id="1286085392">
          <w:marLeft w:val="0"/>
          <w:marRight w:val="0"/>
          <w:marTop w:val="0"/>
          <w:marBottom w:val="0"/>
          <w:divBdr>
            <w:top w:val="none" w:sz="0" w:space="0" w:color="auto"/>
            <w:left w:val="none" w:sz="0" w:space="0" w:color="auto"/>
            <w:bottom w:val="none" w:sz="0" w:space="0" w:color="auto"/>
            <w:right w:val="none" w:sz="0" w:space="0" w:color="auto"/>
          </w:divBdr>
          <w:divsChild>
            <w:div w:id="1358847014">
              <w:marLeft w:val="0"/>
              <w:marRight w:val="0"/>
              <w:marTop w:val="0"/>
              <w:marBottom w:val="0"/>
              <w:divBdr>
                <w:top w:val="none" w:sz="0" w:space="0" w:color="auto"/>
                <w:left w:val="none" w:sz="0" w:space="0" w:color="auto"/>
                <w:bottom w:val="none" w:sz="0" w:space="0" w:color="auto"/>
                <w:right w:val="none" w:sz="0" w:space="0" w:color="auto"/>
              </w:divBdr>
            </w:div>
          </w:divsChild>
        </w:div>
        <w:div w:id="1306470746">
          <w:marLeft w:val="0"/>
          <w:marRight w:val="0"/>
          <w:marTop w:val="0"/>
          <w:marBottom w:val="0"/>
          <w:divBdr>
            <w:top w:val="none" w:sz="0" w:space="0" w:color="auto"/>
            <w:left w:val="none" w:sz="0" w:space="0" w:color="auto"/>
            <w:bottom w:val="none" w:sz="0" w:space="0" w:color="auto"/>
            <w:right w:val="none" w:sz="0" w:space="0" w:color="auto"/>
          </w:divBdr>
          <w:divsChild>
            <w:div w:id="1464545816">
              <w:marLeft w:val="0"/>
              <w:marRight w:val="0"/>
              <w:marTop w:val="0"/>
              <w:marBottom w:val="0"/>
              <w:divBdr>
                <w:top w:val="none" w:sz="0" w:space="0" w:color="auto"/>
                <w:left w:val="none" w:sz="0" w:space="0" w:color="auto"/>
                <w:bottom w:val="none" w:sz="0" w:space="0" w:color="auto"/>
                <w:right w:val="none" w:sz="0" w:space="0" w:color="auto"/>
              </w:divBdr>
            </w:div>
          </w:divsChild>
        </w:div>
        <w:div w:id="1341933873">
          <w:marLeft w:val="0"/>
          <w:marRight w:val="0"/>
          <w:marTop w:val="0"/>
          <w:marBottom w:val="0"/>
          <w:divBdr>
            <w:top w:val="none" w:sz="0" w:space="0" w:color="auto"/>
            <w:left w:val="none" w:sz="0" w:space="0" w:color="auto"/>
            <w:bottom w:val="none" w:sz="0" w:space="0" w:color="auto"/>
            <w:right w:val="none" w:sz="0" w:space="0" w:color="auto"/>
          </w:divBdr>
          <w:divsChild>
            <w:div w:id="1083179867">
              <w:marLeft w:val="0"/>
              <w:marRight w:val="0"/>
              <w:marTop w:val="0"/>
              <w:marBottom w:val="0"/>
              <w:divBdr>
                <w:top w:val="none" w:sz="0" w:space="0" w:color="auto"/>
                <w:left w:val="none" w:sz="0" w:space="0" w:color="auto"/>
                <w:bottom w:val="none" w:sz="0" w:space="0" w:color="auto"/>
                <w:right w:val="none" w:sz="0" w:space="0" w:color="auto"/>
              </w:divBdr>
            </w:div>
          </w:divsChild>
        </w:div>
        <w:div w:id="1350643095">
          <w:marLeft w:val="0"/>
          <w:marRight w:val="0"/>
          <w:marTop w:val="0"/>
          <w:marBottom w:val="0"/>
          <w:divBdr>
            <w:top w:val="none" w:sz="0" w:space="0" w:color="auto"/>
            <w:left w:val="none" w:sz="0" w:space="0" w:color="auto"/>
            <w:bottom w:val="none" w:sz="0" w:space="0" w:color="auto"/>
            <w:right w:val="none" w:sz="0" w:space="0" w:color="auto"/>
          </w:divBdr>
          <w:divsChild>
            <w:div w:id="2131237748">
              <w:marLeft w:val="0"/>
              <w:marRight w:val="0"/>
              <w:marTop w:val="0"/>
              <w:marBottom w:val="0"/>
              <w:divBdr>
                <w:top w:val="none" w:sz="0" w:space="0" w:color="auto"/>
                <w:left w:val="none" w:sz="0" w:space="0" w:color="auto"/>
                <w:bottom w:val="none" w:sz="0" w:space="0" w:color="auto"/>
                <w:right w:val="none" w:sz="0" w:space="0" w:color="auto"/>
              </w:divBdr>
            </w:div>
          </w:divsChild>
        </w:div>
        <w:div w:id="1394619764">
          <w:marLeft w:val="0"/>
          <w:marRight w:val="0"/>
          <w:marTop w:val="0"/>
          <w:marBottom w:val="0"/>
          <w:divBdr>
            <w:top w:val="none" w:sz="0" w:space="0" w:color="auto"/>
            <w:left w:val="none" w:sz="0" w:space="0" w:color="auto"/>
            <w:bottom w:val="none" w:sz="0" w:space="0" w:color="auto"/>
            <w:right w:val="none" w:sz="0" w:space="0" w:color="auto"/>
          </w:divBdr>
          <w:divsChild>
            <w:div w:id="499465759">
              <w:marLeft w:val="0"/>
              <w:marRight w:val="0"/>
              <w:marTop w:val="0"/>
              <w:marBottom w:val="0"/>
              <w:divBdr>
                <w:top w:val="none" w:sz="0" w:space="0" w:color="auto"/>
                <w:left w:val="none" w:sz="0" w:space="0" w:color="auto"/>
                <w:bottom w:val="none" w:sz="0" w:space="0" w:color="auto"/>
                <w:right w:val="none" w:sz="0" w:space="0" w:color="auto"/>
              </w:divBdr>
            </w:div>
          </w:divsChild>
        </w:div>
        <w:div w:id="1403675804">
          <w:marLeft w:val="0"/>
          <w:marRight w:val="0"/>
          <w:marTop w:val="0"/>
          <w:marBottom w:val="0"/>
          <w:divBdr>
            <w:top w:val="none" w:sz="0" w:space="0" w:color="auto"/>
            <w:left w:val="none" w:sz="0" w:space="0" w:color="auto"/>
            <w:bottom w:val="none" w:sz="0" w:space="0" w:color="auto"/>
            <w:right w:val="none" w:sz="0" w:space="0" w:color="auto"/>
          </w:divBdr>
          <w:divsChild>
            <w:div w:id="591547029">
              <w:marLeft w:val="0"/>
              <w:marRight w:val="0"/>
              <w:marTop w:val="0"/>
              <w:marBottom w:val="0"/>
              <w:divBdr>
                <w:top w:val="none" w:sz="0" w:space="0" w:color="auto"/>
                <w:left w:val="none" w:sz="0" w:space="0" w:color="auto"/>
                <w:bottom w:val="none" w:sz="0" w:space="0" w:color="auto"/>
                <w:right w:val="none" w:sz="0" w:space="0" w:color="auto"/>
              </w:divBdr>
            </w:div>
          </w:divsChild>
        </w:div>
        <w:div w:id="1406686823">
          <w:marLeft w:val="0"/>
          <w:marRight w:val="0"/>
          <w:marTop w:val="0"/>
          <w:marBottom w:val="0"/>
          <w:divBdr>
            <w:top w:val="none" w:sz="0" w:space="0" w:color="auto"/>
            <w:left w:val="none" w:sz="0" w:space="0" w:color="auto"/>
            <w:bottom w:val="none" w:sz="0" w:space="0" w:color="auto"/>
            <w:right w:val="none" w:sz="0" w:space="0" w:color="auto"/>
          </w:divBdr>
          <w:divsChild>
            <w:div w:id="506406700">
              <w:marLeft w:val="0"/>
              <w:marRight w:val="0"/>
              <w:marTop w:val="0"/>
              <w:marBottom w:val="0"/>
              <w:divBdr>
                <w:top w:val="none" w:sz="0" w:space="0" w:color="auto"/>
                <w:left w:val="none" w:sz="0" w:space="0" w:color="auto"/>
                <w:bottom w:val="none" w:sz="0" w:space="0" w:color="auto"/>
                <w:right w:val="none" w:sz="0" w:space="0" w:color="auto"/>
              </w:divBdr>
            </w:div>
          </w:divsChild>
        </w:div>
        <w:div w:id="1410812222">
          <w:marLeft w:val="0"/>
          <w:marRight w:val="0"/>
          <w:marTop w:val="0"/>
          <w:marBottom w:val="0"/>
          <w:divBdr>
            <w:top w:val="none" w:sz="0" w:space="0" w:color="auto"/>
            <w:left w:val="none" w:sz="0" w:space="0" w:color="auto"/>
            <w:bottom w:val="none" w:sz="0" w:space="0" w:color="auto"/>
            <w:right w:val="none" w:sz="0" w:space="0" w:color="auto"/>
          </w:divBdr>
          <w:divsChild>
            <w:div w:id="1916351130">
              <w:marLeft w:val="0"/>
              <w:marRight w:val="0"/>
              <w:marTop w:val="0"/>
              <w:marBottom w:val="0"/>
              <w:divBdr>
                <w:top w:val="none" w:sz="0" w:space="0" w:color="auto"/>
                <w:left w:val="none" w:sz="0" w:space="0" w:color="auto"/>
                <w:bottom w:val="none" w:sz="0" w:space="0" w:color="auto"/>
                <w:right w:val="none" w:sz="0" w:space="0" w:color="auto"/>
              </w:divBdr>
            </w:div>
          </w:divsChild>
        </w:div>
        <w:div w:id="1464694769">
          <w:marLeft w:val="0"/>
          <w:marRight w:val="0"/>
          <w:marTop w:val="0"/>
          <w:marBottom w:val="0"/>
          <w:divBdr>
            <w:top w:val="none" w:sz="0" w:space="0" w:color="auto"/>
            <w:left w:val="none" w:sz="0" w:space="0" w:color="auto"/>
            <w:bottom w:val="none" w:sz="0" w:space="0" w:color="auto"/>
            <w:right w:val="none" w:sz="0" w:space="0" w:color="auto"/>
          </w:divBdr>
          <w:divsChild>
            <w:div w:id="381253569">
              <w:marLeft w:val="0"/>
              <w:marRight w:val="0"/>
              <w:marTop w:val="0"/>
              <w:marBottom w:val="0"/>
              <w:divBdr>
                <w:top w:val="none" w:sz="0" w:space="0" w:color="auto"/>
                <w:left w:val="none" w:sz="0" w:space="0" w:color="auto"/>
                <w:bottom w:val="none" w:sz="0" w:space="0" w:color="auto"/>
                <w:right w:val="none" w:sz="0" w:space="0" w:color="auto"/>
              </w:divBdr>
            </w:div>
          </w:divsChild>
        </w:div>
        <w:div w:id="1473063941">
          <w:marLeft w:val="0"/>
          <w:marRight w:val="0"/>
          <w:marTop w:val="0"/>
          <w:marBottom w:val="0"/>
          <w:divBdr>
            <w:top w:val="none" w:sz="0" w:space="0" w:color="auto"/>
            <w:left w:val="none" w:sz="0" w:space="0" w:color="auto"/>
            <w:bottom w:val="none" w:sz="0" w:space="0" w:color="auto"/>
            <w:right w:val="none" w:sz="0" w:space="0" w:color="auto"/>
          </w:divBdr>
          <w:divsChild>
            <w:div w:id="599143823">
              <w:marLeft w:val="0"/>
              <w:marRight w:val="0"/>
              <w:marTop w:val="0"/>
              <w:marBottom w:val="0"/>
              <w:divBdr>
                <w:top w:val="none" w:sz="0" w:space="0" w:color="auto"/>
                <w:left w:val="none" w:sz="0" w:space="0" w:color="auto"/>
                <w:bottom w:val="none" w:sz="0" w:space="0" w:color="auto"/>
                <w:right w:val="none" w:sz="0" w:space="0" w:color="auto"/>
              </w:divBdr>
            </w:div>
          </w:divsChild>
        </w:div>
        <w:div w:id="1478112619">
          <w:marLeft w:val="0"/>
          <w:marRight w:val="0"/>
          <w:marTop w:val="0"/>
          <w:marBottom w:val="0"/>
          <w:divBdr>
            <w:top w:val="none" w:sz="0" w:space="0" w:color="auto"/>
            <w:left w:val="none" w:sz="0" w:space="0" w:color="auto"/>
            <w:bottom w:val="none" w:sz="0" w:space="0" w:color="auto"/>
            <w:right w:val="none" w:sz="0" w:space="0" w:color="auto"/>
          </w:divBdr>
          <w:divsChild>
            <w:div w:id="1531186192">
              <w:marLeft w:val="0"/>
              <w:marRight w:val="0"/>
              <w:marTop w:val="0"/>
              <w:marBottom w:val="0"/>
              <w:divBdr>
                <w:top w:val="none" w:sz="0" w:space="0" w:color="auto"/>
                <w:left w:val="none" w:sz="0" w:space="0" w:color="auto"/>
                <w:bottom w:val="none" w:sz="0" w:space="0" w:color="auto"/>
                <w:right w:val="none" w:sz="0" w:space="0" w:color="auto"/>
              </w:divBdr>
            </w:div>
          </w:divsChild>
        </w:div>
        <w:div w:id="1479031829">
          <w:marLeft w:val="0"/>
          <w:marRight w:val="0"/>
          <w:marTop w:val="0"/>
          <w:marBottom w:val="0"/>
          <w:divBdr>
            <w:top w:val="none" w:sz="0" w:space="0" w:color="auto"/>
            <w:left w:val="none" w:sz="0" w:space="0" w:color="auto"/>
            <w:bottom w:val="none" w:sz="0" w:space="0" w:color="auto"/>
            <w:right w:val="none" w:sz="0" w:space="0" w:color="auto"/>
          </w:divBdr>
          <w:divsChild>
            <w:div w:id="1093551708">
              <w:marLeft w:val="0"/>
              <w:marRight w:val="0"/>
              <w:marTop w:val="0"/>
              <w:marBottom w:val="0"/>
              <w:divBdr>
                <w:top w:val="none" w:sz="0" w:space="0" w:color="auto"/>
                <w:left w:val="none" w:sz="0" w:space="0" w:color="auto"/>
                <w:bottom w:val="none" w:sz="0" w:space="0" w:color="auto"/>
                <w:right w:val="none" w:sz="0" w:space="0" w:color="auto"/>
              </w:divBdr>
            </w:div>
          </w:divsChild>
        </w:div>
        <w:div w:id="1479299266">
          <w:marLeft w:val="0"/>
          <w:marRight w:val="0"/>
          <w:marTop w:val="0"/>
          <w:marBottom w:val="0"/>
          <w:divBdr>
            <w:top w:val="none" w:sz="0" w:space="0" w:color="auto"/>
            <w:left w:val="none" w:sz="0" w:space="0" w:color="auto"/>
            <w:bottom w:val="none" w:sz="0" w:space="0" w:color="auto"/>
            <w:right w:val="none" w:sz="0" w:space="0" w:color="auto"/>
          </w:divBdr>
          <w:divsChild>
            <w:div w:id="1409352826">
              <w:marLeft w:val="0"/>
              <w:marRight w:val="0"/>
              <w:marTop w:val="0"/>
              <w:marBottom w:val="0"/>
              <w:divBdr>
                <w:top w:val="none" w:sz="0" w:space="0" w:color="auto"/>
                <w:left w:val="none" w:sz="0" w:space="0" w:color="auto"/>
                <w:bottom w:val="none" w:sz="0" w:space="0" w:color="auto"/>
                <w:right w:val="none" w:sz="0" w:space="0" w:color="auto"/>
              </w:divBdr>
            </w:div>
          </w:divsChild>
        </w:div>
        <w:div w:id="1489248123">
          <w:marLeft w:val="0"/>
          <w:marRight w:val="0"/>
          <w:marTop w:val="0"/>
          <w:marBottom w:val="0"/>
          <w:divBdr>
            <w:top w:val="none" w:sz="0" w:space="0" w:color="auto"/>
            <w:left w:val="none" w:sz="0" w:space="0" w:color="auto"/>
            <w:bottom w:val="none" w:sz="0" w:space="0" w:color="auto"/>
            <w:right w:val="none" w:sz="0" w:space="0" w:color="auto"/>
          </w:divBdr>
          <w:divsChild>
            <w:div w:id="580482852">
              <w:marLeft w:val="0"/>
              <w:marRight w:val="0"/>
              <w:marTop w:val="0"/>
              <w:marBottom w:val="0"/>
              <w:divBdr>
                <w:top w:val="none" w:sz="0" w:space="0" w:color="auto"/>
                <w:left w:val="none" w:sz="0" w:space="0" w:color="auto"/>
                <w:bottom w:val="none" w:sz="0" w:space="0" w:color="auto"/>
                <w:right w:val="none" w:sz="0" w:space="0" w:color="auto"/>
              </w:divBdr>
            </w:div>
          </w:divsChild>
        </w:div>
        <w:div w:id="1496799231">
          <w:marLeft w:val="0"/>
          <w:marRight w:val="0"/>
          <w:marTop w:val="0"/>
          <w:marBottom w:val="0"/>
          <w:divBdr>
            <w:top w:val="none" w:sz="0" w:space="0" w:color="auto"/>
            <w:left w:val="none" w:sz="0" w:space="0" w:color="auto"/>
            <w:bottom w:val="none" w:sz="0" w:space="0" w:color="auto"/>
            <w:right w:val="none" w:sz="0" w:space="0" w:color="auto"/>
          </w:divBdr>
          <w:divsChild>
            <w:div w:id="1454863087">
              <w:marLeft w:val="0"/>
              <w:marRight w:val="0"/>
              <w:marTop w:val="0"/>
              <w:marBottom w:val="0"/>
              <w:divBdr>
                <w:top w:val="none" w:sz="0" w:space="0" w:color="auto"/>
                <w:left w:val="none" w:sz="0" w:space="0" w:color="auto"/>
                <w:bottom w:val="none" w:sz="0" w:space="0" w:color="auto"/>
                <w:right w:val="none" w:sz="0" w:space="0" w:color="auto"/>
              </w:divBdr>
            </w:div>
          </w:divsChild>
        </w:div>
        <w:div w:id="1516072603">
          <w:marLeft w:val="0"/>
          <w:marRight w:val="0"/>
          <w:marTop w:val="0"/>
          <w:marBottom w:val="0"/>
          <w:divBdr>
            <w:top w:val="none" w:sz="0" w:space="0" w:color="auto"/>
            <w:left w:val="none" w:sz="0" w:space="0" w:color="auto"/>
            <w:bottom w:val="none" w:sz="0" w:space="0" w:color="auto"/>
            <w:right w:val="none" w:sz="0" w:space="0" w:color="auto"/>
          </w:divBdr>
          <w:divsChild>
            <w:div w:id="685330703">
              <w:marLeft w:val="0"/>
              <w:marRight w:val="0"/>
              <w:marTop w:val="0"/>
              <w:marBottom w:val="0"/>
              <w:divBdr>
                <w:top w:val="none" w:sz="0" w:space="0" w:color="auto"/>
                <w:left w:val="none" w:sz="0" w:space="0" w:color="auto"/>
                <w:bottom w:val="none" w:sz="0" w:space="0" w:color="auto"/>
                <w:right w:val="none" w:sz="0" w:space="0" w:color="auto"/>
              </w:divBdr>
            </w:div>
          </w:divsChild>
        </w:div>
        <w:div w:id="1516922066">
          <w:marLeft w:val="0"/>
          <w:marRight w:val="0"/>
          <w:marTop w:val="0"/>
          <w:marBottom w:val="0"/>
          <w:divBdr>
            <w:top w:val="none" w:sz="0" w:space="0" w:color="auto"/>
            <w:left w:val="none" w:sz="0" w:space="0" w:color="auto"/>
            <w:bottom w:val="none" w:sz="0" w:space="0" w:color="auto"/>
            <w:right w:val="none" w:sz="0" w:space="0" w:color="auto"/>
          </w:divBdr>
          <w:divsChild>
            <w:div w:id="333073786">
              <w:marLeft w:val="0"/>
              <w:marRight w:val="0"/>
              <w:marTop w:val="0"/>
              <w:marBottom w:val="0"/>
              <w:divBdr>
                <w:top w:val="none" w:sz="0" w:space="0" w:color="auto"/>
                <w:left w:val="none" w:sz="0" w:space="0" w:color="auto"/>
                <w:bottom w:val="none" w:sz="0" w:space="0" w:color="auto"/>
                <w:right w:val="none" w:sz="0" w:space="0" w:color="auto"/>
              </w:divBdr>
            </w:div>
          </w:divsChild>
        </w:div>
        <w:div w:id="1517427706">
          <w:marLeft w:val="0"/>
          <w:marRight w:val="0"/>
          <w:marTop w:val="0"/>
          <w:marBottom w:val="0"/>
          <w:divBdr>
            <w:top w:val="none" w:sz="0" w:space="0" w:color="auto"/>
            <w:left w:val="none" w:sz="0" w:space="0" w:color="auto"/>
            <w:bottom w:val="none" w:sz="0" w:space="0" w:color="auto"/>
            <w:right w:val="none" w:sz="0" w:space="0" w:color="auto"/>
          </w:divBdr>
          <w:divsChild>
            <w:div w:id="1324968850">
              <w:marLeft w:val="0"/>
              <w:marRight w:val="0"/>
              <w:marTop w:val="0"/>
              <w:marBottom w:val="0"/>
              <w:divBdr>
                <w:top w:val="none" w:sz="0" w:space="0" w:color="auto"/>
                <w:left w:val="none" w:sz="0" w:space="0" w:color="auto"/>
                <w:bottom w:val="none" w:sz="0" w:space="0" w:color="auto"/>
                <w:right w:val="none" w:sz="0" w:space="0" w:color="auto"/>
              </w:divBdr>
            </w:div>
          </w:divsChild>
        </w:div>
        <w:div w:id="1537352261">
          <w:marLeft w:val="0"/>
          <w:marRight w:val="0"/>
          <w:marTop w:val="0"/>
          <w:marBottom w:val="0"/>
          <w:divBdr>
            <w:top w:val="none" w:sz="0" w:space="0" w:color="auto"/>
            <w:left w:val="none" w:sz="0" w:space="0" w:color="auto"/>
            <w:bottom w:val="none" w:sz="0" w:space="0" w:color="auto"/>
            <w:right w:val="none" w:sz="0" w:space="0" w:color="auto"/>
          </w:divBdr>
          <w:divsChild>
            <w:div w:id="1969511026">
              <w:marLeft w:val="0"/>
              <w:marRight w:val="0"/>
              <w:marTop w:val="0"/>
              <w:marBottom w:val="0"/>
              <w:divBdr>
                <w:top w:val="none" w:sz="0" w:space="0" w:color="auto"/>
                <w:left w:val="none" w:sz="0" w:space="0" w:color="auto"/>
                <w:bottom w:val="none" w:sz="0" w:space="0" w:color="auto"/>
                <w:right w:val="none" w:sz="0" w:space="0" w:color="auto"/>
              </w:divBdr>
            </w:div>
          </w:divsChild>
        </w:div>
        <w:div w:id="1537809410">
          <w:marLeft w:val="0"/>
          <w:marRight w:val="0"/>
          <w:marTop w:val="0"/>
          <w:marBottom w:val="0"/>
          <w:divBdr>
            <w:top w:val="none" w:sz="0" w:space="0" w:color="auto"/>
            <w:left w:val="none" w:sz="0" w:space="0" w:color="auto"/>
            <w:bottom w:val="none" w:sz="0" w:space="0" w:color="auto"/>
            <w:right w:val="none" w:sz="0" w:space="0" w:color="auto"/>
          </w:divBdr>
          <w:divsChild>
            <w:div w:id="1558055298">
              <w:marLeft w:val="0"/>
              <w:marRight w:val="0"/>
              <w:marTop w:val="0"/>
              <w:marBottom w:val="0"/>
              <w:divBdr>
                <w:top w:val="none" w:sz="0" w:space="0" w:color="auto"/>
                <w:left w:val="none" w:sz="0" w:space="0" w:color="auto"/>
                <w:bottom w:val="none" w:sz="0" w:space="0" w:color="auto"/>
                <w:right w:val="none" w:sz="0" w:space="0" w:color="auto"/>
              </w:divBdr>
            </w:div>
          </w:divsChild>
        </w:div>
        <w:div w:id="1543977709">
          <w:marLeft w:val="0"/>
          <w:marRight w:val="0"/>
          <w:marTop w:val="0"/>
          <w:marBottom w:val="0"/>
          <w:divBdr>
            <w:top w:val="none" w:sz="0" w:space="0" w:color="auto"/>
            <w:left w:val="none" w:sz="0" w:space="0" w:color="auto"/>
            <w:bottom w:val="none" w:sz="0" w:space="0" w:color="auto"/>
            <w:right w:val="none" w:sz="0" w:space="0" w:color="auto"/>
          </w:divBdr>
          <w:divsChild>
            <w:div w:id="1080829009">
              <w:marLeft w:val="0"/>
              <w:marRight w:val="0"/>
              <w:marTop w:val="0"/>
              <w:marBottom w:val="0"/>
              <w:divBdr>
                <w:top w:val="none" w:sz="0" w:space="0" w:color="auto"/>
                <w:left w:val="none" w:sz="0" w:space="0" w:color="auto"/>
                <w:bottom w:val="none" w:sz="0" w:space="0" w:color="auto"/>
                <w:right w:val="none" w:sz="0" w:space="0" w:color="auto"/>
              </w:divBdr>
            </w:div>
          </w:divsChild>
        </w:div>
        <w:div w:id="1546600182">
          <w:marLeft w:val="0"/>
          <w:marRight w:val="0"/>
          <w:marTop w:val="0"/>
          <w:marBottom w:val="0"/>
          <w:divBdr>
            <w:top w:val="none" w:sz="0" w:space="0" w:color="auto"/>
            <w:left w:val="none" w:sz="0" w:space="0" w:color="auto"/>
            <w:bottom w:val="none" w:sz="0" w:space="0" w:color="auto"/>
            <w:right w:val="none" w:sz="0" w:space="0" w:color="auto"/>
          </w:divBdr>
          <w:divsChild>
            <w:div w:id="1822849629">
              <w:marLeft w:val="0"/>
              <w:marRight w:val="0"/>
              <w:marTop w:val="0"/>
              <w:marBottom w:val="0"/>
              <w:divBdr>
                <w:top w:val="none" w:sz="0" w:space="0" w:color="auto"/>
                <w:left w:val="none" w:sz="0" w:space="0" w:color="auto"/>
                <w:bottom w:val="none" w:sz="0" w:space="0" w:color="auto"/>
                <w:right w:val="none" w:sz="0" w:space="0" w:color="auto"/>
              </w:divBdr>
            </w:div>
          </w:divsChild>
        </w:div>
        <w:div w:id="1575361124">
          <w:marLeft w:val="0"/>
          <w:marRight w:val="0"/>
          <w:marTop w:val="0"/>
          <w:marBottom w:val="0"/>
          <w:divBdr>
            <w:top w:val="none" w:sz="0" w:space="0" w:color="auto"/>
            <w:left w:val="none" w:sz="0" w:space="0" w:color="auto"/>
            <w:bottom w:val="none" w:sz="0" w:space="0" w:color="auto"/>
            <w:right w:val="none" w:sz="0" w:space="0" w:color="auto"/>
          </w:divBdr>
          <w:divsChild>
            <w:div w:id="1485897790">
              <w:marLeft w:val="0"/>
              <w:marRight w:val="0"/>
              <w:marTop w:val="0"/>
              <w:marBottom w:val="0"/>
              <w:divBdr>
                <w:top w:val="none" w:sz="0" w:space="0" w:color="auto"/>
                <w:left w:val="none" w:sz="0" w:space="0" w:color="auto"/>
                <w:bottom w:val="none" w:sz="0" w:space="0" w:color="auto"/>
                <w:right w:val="none" w:sz="0" w:space="0" w:color="auto"/>
              </w:divBdr>
            </w:div>
          </w:divsChild>
        </w:div>
        <w:div w:id="1583635756">
          <w:marLeft w:val="0"/>
          <w:marRight w:val="0"/>
          <w:marTop w:val="0"/>
          <w:marBottom w:val="0"/>
          <w:divBdr>
            <w:top w:val="none" w:sz="0" w:space="0" w:color="auto"/>
            <w:left w:val="none" w:sz="0" w:space="0" w:color="auto"/>
            <w:bottom w:val="none" w:sz="0" w:space="0" w:color="auto"/>
            <w:right w:val="none" w:sz="0" w:space="0" w:color="auto"/>
          </w:divBdr>
          <w:divsChild>
            <w:div w:id="229006755">
              <w:marLeft w:val="0"/>
              <w:marRight w:val="0"/>
              <w:marTop w:val="0"/>
              <w:marBottom w:val="0"/>
              <w:divBdr>
                <w:top w:val="none" w:sz="0" w:space="0" w:color="auto"/>
                <w:left w:val="none" w:sz="0" w:space="0" w:color="auto"/>
                <w:bottom w:val="none" w:sz="0" w:space="0" w:color="auto"/>
                <w:right w:val="none" w:sz="0" w:space="0" w:color="auto"/>
              </w:divBdr>
            </w:div>
          </w:divsChild>
        </w:div>
        <w:div w:id="1588804504">
          <w:marLeft w:val="0"/>
          <w:marRight w:val="0"/>
          <w:marTop w:val="0"/>
          <w:marBottom w:val="0"/>
          <w:divBdr>
            <w:top w:val="none" w:sz="0" w:space="0" w:color="auto"/>
            <w:left w:val="none" w:sz="0" w:space="0" w:color="auto"/>
            <w:bottom w:val="none" w:sz="0" w:space="0" w:color="auto"/>
            <w:right w:val="none" w:sz="0" w:space="0" w:color="auto"/>
          </w:divBdr>
          <w:divsChild>
            <w:div w:id="1009984850">
              <w:marLeft w:val="0"/>
              <w:marRight w:val="0"/>
              <w:marTop w:val="0"/>
              <w:marBottom w:val="0"/>
              <w:divBdr>
                <w:top w:val="none" w:sz="0" w:space="0" w:color="auto"/>
                <w:left w:val="none" w:sz="0" w:space="0" w:color="auto"/>
                <w:bottom w:val="none" w:sz="0" w:space="0" w:color="auto"/>
                <w:right w:val="none" w:sz="0" w:space="0" w:color="auto"/>
              </w:divBdr>
            </w:div>
          </w:divsChild>
        </w:div>
        <w:div w:id="1597786048">
          <w:marLeft w:val="0"/>
          <w:marRight w:val="0"/>
          <w:marTop w:val="0"/>
          <w:marBottom w:val="0"/>
          <w:divBdr>
            <w:top w:val="none" w:sz="0" w:space="0" w:color="auto"/>
            <w:left w:val="none" w:sz="0" w:space="0" w:color="auto"/>
            <w:bottom w:val="none" w:sz="0" w:space="0" w:color="auto"/>
            <w:right w:val="none" w:sz="0" w:space="0" w:color="auto"/>
          </w:divBdr>
          <w:divsChild>
            <w:div w:id="1499418111">
              <w:marLeft w:val="0"/>
              <w:marRight w:val="0"/>
              <w:marTop w:val="0"/>
              <w:marBottom w:val="0"/>
              <w:divBdr>
                <w:top w:val="none" w:sz="0" w:space="0" w:color="auto"/>
                <w:left w:val="none" w:sz="0" w:space="0" w:color="auto"/>
                <w:bottom w:val="none" w:sz="0" w:space="0" w:color="auto"/>
                <w:right w:val="none" w:sz="0" w:space="0" w:color="auto"/>
              </w:divBdr>
            </w:div>
          </w:divsChild>
        </w:div>
        <w:div w:id="1606036000">
          <w:marLeft w:val="0"/>
          <w:marRight w:val="0"/>
          <w:marTop w:val="0"/>
          <w:marBottom w:val="0"/>
          <w:divBdr>
            <w:top w:val="none" w:sz="0" w:space="0" w:color="auto"/>
            <w:left w:val="none" w:sz="0" w:space="0" w:color="auto"/>
            <w:bottom w:val="none" w:sz="0" w:space="0" w:color="auto"/>
            <w:right w:val="none" w:sz="0" w:space="0" w:color="auto"/>
          </w:divBdr>
          <w:divsChild>
            <w:div w:id="2030837915">
              <w:marLeft w:val="0"/>
              <w:marRight w:val="0"/>
              <w:marTop w:val="0"/>
              <w:marBottom w:val="0"/>
              <w:divBdr>
                <w:top w:val="none" w:sz="0" w:space="0" w:color="auto"/>
                <w:left w:val="none" w:sz="0" w:space="0" w:color="auto"/>
                <w:bottom w:val="none" w:sz="0" w:space="0" w:color="auto"/>
                <w:right w:val="none" w:sz="0" w:space="0" w:color="auto"/>
              </w:divBdr>
            </w:div>
          </w:divsChild>
        </w:div>
        <w:div w:id="1616130215">
          <w:marLeft w:val="0"/>
          <w:marRight w:val="0"/>
          <w:marTop w:val="0"/>
          <w:marBottom w:val="0"/>
          <w:divBdr>
            <w:top w:val="none" w:sz="0" w:space="0" w:color="auto"/>
            <w:left w:val="none" w:sz="0" w:space="0" w:color="auto"/>
            <w:bottom w:val="none" w:sz="0" w:space="0" w:color="auto"/>
            <w:right w:val="none" w:sz="0" w:space="0" w:color="auto"/>
          </w:divBdr>
          <w:divsChild>
            <w:div w:id="675884414">
              <w:marLeft w:val="0"/>
              <w:marRight w:val="0"/>
              <w:marTop w:val="0"/>
              <w:marBottom w:val="0"/>
              <w:divBdr>
                <w:top w:val="none" w:sz="0" w:space="0" w:color="auto"/>
                <w:left w:val="none" w:sz="0" w:space="0" w:color="auto"/>
                <w:bottom w:val="none" w:sz="0" w:space="0" w:color="auto"/>
                <w:right w:val="none" w:sz="0" w:space="0" w:color="auto"/>
              </w:divBdr>
            </w:div>
          </w:divsChild>
        </w:div>
        <w:div w:id="1617254736">
          <w:marLeft w:val="0"/>
          <w:marRight w:val="0"/>
          <w:marTop w:val="0"/>
          <w:marBottom w:val="0"/>
          <w:divBdr>
            <w:top w:val="none" w:sz="0" w:space="0" w:color="auto"/>
            <w:left w:val="none" w:sz="0" w:space="0" w:color="auto"/>
            <w:bottom w:val="none" w:sz="0" w:space="0" w:color="auto"/>
            <w:right w:val="none" w:sz="0" w:space="0" w:color="auto"/>
          </w:divBdr>
          <w:divsChild>
            <w:div w:id="1000625150">
              <w:marLeft w:val="0"/>
              <w:marRight w:val="0"/>
              <w:marTop w:val="0"/>
              <w:marBottom w:val="0"/>
              <w:divBdr>
                <w:top w:val="none" w:sz="0" w:space="0" w:color="auto"/>
                <w:left w:val="none" w:sz="0" w:space="0" w:color="auto"/>
                <w:bottom w:val="none" w:sz="0" w:space="0" w:color="auto"/>
                <w:right w:val="none" w:sz="0" w:space="0" w:color="auto"/>
              </w:divBdr>
            </w:div>
          </w:divsChild>
        </w:div>
        <w:div w:id="1620528596">
          <w:marLeft w:val="0"/>
          <w:marRight w:val="0"/>
          <w:marTop w:val="0"/>
          <w:marBottom w:val="0"/>
          <w:divBdr>
            <w:top w:val="none" w:sz="0" w:space="0" w:color="auto"/>
            <w:left w:val="none" w:sz="0" w:space="0" w:color="auto"/>
            <w:bottom w:val="none" w:sz="0" w:space="0" w:color="auto"/>
            <w:right w:val="none" w:sz="0" w:space="0" w:color="auto"/>
          </w:divBdr>
          <w:divsChild>
            <w:div w:id="1857885558">
              <w:marLeft w:val="0"/>
              <w:marRight w:val="0"/>
              <w:marTop w:val="0"/>
              <w:marBottom w:val="0"/>
              <w:divBdr>
                <w:top w:val="none" w:sz="0" w:space="0" w:color="auto"/>
                <w:left w:val="none" w:sz="0" w:space="0" w:color="auto"/>
                <w:bottom w:val="none" w:sz="0" w:space="0" w:color="auto"/>
                <w:right w:val="none" w:sz="0" w:space="0" w:color="auto"/>
              </w:divBdr>
            </w:div>
          </w:divsChild>
        </w:div>
        <w:div w:id="1630746527">
          <w:marLeft w:val="0"/>
          <w:marRight w:val="0"/>
          <w:marTop w:val="0"/>
          <w:marBottom w:val="0"/>
          <w:divBdr>
            <w:top w:val="none" w:sz="0" w:space="0" w:color="auto"/>
            <w:left w:val="none" w:sz="0" w:space="0" w:color="auto"/>
            <w:bottom w:val="none" w:sz="0" w:space="0" w:color="auto"/>
            <w:right w:val="none" w:sz="0" w:space="0" w:color="auto"/>
          </w:divBdr>
          <w:divsChild>
            <w:div w:id="25831356">
              <w:marLeft w:val="0"/>
              <w:marRight w:val="0"/>
              <w:marTop w:val="0"/>
              <w:marBottom w:val="0"/>
              <w:divBdr>
                <w:top w:val="none" w:sz="0" w:space="0" w:color="auto"/>
                <w:left w:val="none" w:sz="0" w:space="0" w:color="auto"/>
                <w:bottom w:val="none" w:sz="0" w:space="0" w:color="auto"/>
                <w:right w:val="none" w:sz="0" w:space="0" w:color="auto"/>
              </w:divBdr>
            </w:div>
          </w:divsChild>
        </w:div>
        <w:div w:id="1640306790">
          <w:marLeft w:val="0"/>
          <w:marRight w:val="0"/>
          <w:marTop w:val="0"/>
          <w:marBottom w:val="0"/>
          <w:divBdr>
            <w:top w:val="none" w:sz="0" w:space="0" w:color="auto"/>
            <w:left w:val="none" w:sz="0" w:space="0" w:color="auto"/>
            <w:bottom w:val="none" w:sz="0" w:space="0" w:color="auto"/>
            <w:right w:val="none" w:sz="0" w:space="0" w:color="auto"/>
          </w:divBdr>
          <w:divsChild>
            <w:div w:id="119538961">
              <w:marLeft w:val="0"/>
              <w:marRight w:val="0"/>
              <w:marTop w:val="0"/>
              <w:marBottom w:val="0"/>
              <w:divBdr>
                <w:top w:val="none" w:sz="0" w:space="0" w:color="auto"/>
                <w:left w:val="none" w:sz="0" w:space="0" w:color="auto"/>
                <w:bottom w:val="none" w:sz="0" w:space="0" w:color="auto"/>
                <w:right w:val="none" w:sz="0" w:space="0" w:color="auto"/>
              </w:divBdr>
            </w:div>
          </w:divsChild>
        </w:div>
        <w:div w:id="1663653129">
          <w:marLeft w:val="0"/>
          <w:marRight w:val="0"/>
          <w:marTop w:val="0"/>
          <w:marBottom w:val="0"/>
          <w:divBdr>
            <w:top w:val="none" w:sz="0" w:space="0" w:color="auto"/>
            <w:left w:val="none" w:sz="0" w:space="0" w:color="auto"/>
            <w:bottom w:val="none" w:sz="0" w:space="0" w:color="auto"/>
            <w:right w:val="none" w:sz="0" w:space="0" w:color="auto"/>
          </w:divBdr>
          <w:divsChild>
            <w:div w:id="1970356238">
              <w:marLeft w:val="0"/>
              <w:marRight w:val="0"/>
              <w:marTop w:val="0"/>
              <w:marBottom w:val="0"/>
              <w:divBdr>
                <w:top w:val="none" w:sz="0" w:space="0" w:color="auto"/>
                <w:left w:val="none" w:sz="0" w:space="0" w:color="auto"/>
                <w:bottom w:val="none" w:sz="0" w:space="0" w:color="auto"/>
                <w:right w:val="none" w:sz="0" w:space="0" w:color="auto"/>
              </w:divBdr>
            </w:div>
          </w:divsChild>
        </w:div>
        <w:div w:id="1704213389">
          <w:marLeft w:val="0"/>
          <w:marRight w:val="0"/>
          <w:marTop w:val="0"/>
          <w:marBottom w:val="0"/>
          <w:divBdr>
            <w:top w:val="none" w:sz="0" w:space="0" w:color="auto"/>
            <w:left w:val="none" w:sz="0" w:space="0" w:color="auto"/>
            <w:bottom w:val="none" w:sz="0" w:space="0" w:color="auto"/>
            <w:right w:val="none" w:sz="0" w:space="0" w:color="auto"/>
          </w:divBdr>
          <w:divsChild>
            <w:div w:id="471756230">
              <w:marLeft w:val="0"/>
              <w:marRight w:val="0"/>
              <w:marTop w:val="0"/>
              <w:marBottom w:val="0"/>
              <w:divBdr>
                <w:top w:val="none" w:sz="0" w:space="0" w:color="auto"/>
                <w:left w:val="none" w:sz="0" w:space="0" w:color="auto"/>
                <w:bottom w:val="none" w:sz="0" w:space="0" w:color="auto"/>
                <w:right w:val="none" w:sz="0" w:space="0" w:color="auto"/>
              </w:divBdr>
            </w:div>
          </w:divsChild>
        </w:div>
        <w:div w:id="1713653162">
          <w:marLeft w:val="0"/>
          <w:marRight w:val="0"/>
          <w:marTop w:val="0"/>
          <w:marBottom w:val="0"/>
          <w:divBdr>
            <w:top w:val="none" w:sz="0" w:space="0" w:color="auto"/>
            <w:left w:val="none" w:sz="0" w:space="0" w:color="auto"/>
            <w:bottom w:val="none" w:sz="0" w:space="0" w:color="auto"/>
            <w:right w:val="none" w:sz="0" w:space="0" w:color="auto"/>
          </w:divBdr>
          <w:divsChild>
            <w:div w:id="1373192870">
              <w:marLeft w:val="0"/>
              <w:marRight w:val="0"/>
              <w:marTop w:val="0"/>
              <w:marBottom w:val="0"/>
              <w:divBdr>
                <w:top w:val="none" w:sz="0" w:space="0" w:color="auto"/>
                <w:left w:val="none" w:sz="0" w:space="0" w:color="auto"/>
                <w:bottom w:val="none" w:sz="0" w:space="0" w:color="auto"/>
                <w:right w:val="none" w:sz="0" w:space="0" w:color="auto"/>
              </w:divBdr>
            </w:div>
          </w:divsChild>
        </w:div>
        <w:div w:id="1719474160">
          <w:marLeft w:val="0"/>
          <w:marRight w:val="0"/>
          <w:marTop w:val="0"/>
          <w:marBottom w:val="0"/>
          <w:divBdr>
            <w:top w:val="none" w:sz="0" w:space="0" w:color="auto"/>
            <w:left w:val="none" w:sz="0" w:space="0" w:color="auto"/>
            <w:bottom w:val="none" w:sz="0" w:space="0" w:color="auto"/>
            <w:right w:val="none" w:sz="0" w:space="0" w:color="auto"/>
          </w:divBdr>
          <w:divsChild>
            <w:div w:id="392891112">
              <w:marLeft w:val="0"/>
              <w:marRight w:val="0"/>
              <w:marTop w:val="0"/>
              <w:marBottom w:val="0"/>
              <w:divBdr>
                <w:top w:val="none" w:sz="0" w:space="0" w:color="auto"/>
                <w:left w:val="none" w:sz="0" w:space="0" w:color="auto"/>
                <w:bottom w:val="none" w:sz="0" w:space="0" w:color="auto"/>
                <w:right w:val="none" w:sz="0" w:space="0" w:color="auto"/>
              </w:divBdr>
            </w:div>
          </w:divsChild>
        </w:div>
        <w:div w:id="1728650351">
          <w:marLeft w:val="0"/>
          <w:marRight w:val="0"/>
          <w:marTop w:val="0"/>
          <w:marBottom w:val="0"/>
          <w:divBdr>
            <w:top w:val="none" w:sz="0" w:space="0" w:color="auto"/>
            <w:left w:val="none" w:sz="0" w:space="0" w:color="auto"/>
            <w:bottom w:val="none" w:sz="0" w:space="0" w:color="auto"/>
            <w:right w:val="none" w:sz="0" w:space="0" w:color="auto"/>
          </w:divBdr>
          <w:divsChild>
            <w:div w:id="1186600213">
              <w:marLeft w:val="0"/>
              <w:marRight w:val="0"/>
              <w:marTop w:val="0"/>
              <w:marBottom w:val="0"/>
              <w:divBdr>
                <w:top w:val="none" w:sz="0" w:space="0" w:color="auto"/>
                <w:left w:val="none" w:sz="0" w:space="0" w:color="auto"/>
                <w:bottom w:val="none" w:sz="0" w:space="0" w:color="auto"/>
                <w:right w:val="none" w:sz="0" w:space="0" w:color="auto"/>
              </w:divBdr>
            </w:div>
          </w:divsChild>
        </w:div>
        <w:div w:id="1729959423">
          <w:marLeft w:val="0"/>
          <w:marRight w:val="0"/>
          <w:marTop w:val="0"/>
          <w:marBottom w:val="0"/>
          <w:divBdr>
            <w:top w:val="none" w:sz="0" w:space="0" w:color="auto"/>
            <w:left w:val="none" w:sz="0" w:space="0" w:color="auto"/>
            <w:bottom w:val="none" w:sz="0" w:space="0" w:color="auto"/>
            <w:right w:val="none" w:sz="0" w:space="0" w:color="auto"/>
          </w:divBdr>
          <w:divsChild>
            <w:div w:id="105197430">
              <w:marLeft w:val="0"/>
              <w:marRight w:val="0"/>
              <w:marTop w:val="0"/>
              <w:marBottom w:val="0"/>
              <w:divBdr>
                <w:top w:val="none" w:sz="0" w:space="0" w:color="auto"/>
                <w:left w:val="none" w:sz="0" w:space="0" w:color="auto"/>
                <w:bottom w:val="none" w:sz="0" w:space="0" w:color="auto"/>
                <w:right w:val="none" w:sz="0" w:space="0" w:color="auto"/>
              </w:divBdr>
            </w:div>
          </w:divsChild>
        </w:div>
        <w:div w:id="1749108977">
          <w:marLeft w:val="0"/>
          <w:marRight w:val="0"/>
          <w:marTop w:val="0"/>
          <w:marBottom w:val="0"/>
          <w:divBdr>
            <w:top w:val="none" w:sz="0" w:space="0" w:color="auto"/>
            <w:left w:val="none" w:sz="0" w:space="0" w:color="auto"/>
            <w:bottom w:val="none" w:sz="0" w:space="0" w:color="auto"/>
            <w:right w:val="none" w:sz="0" w:space="0" w:color="auto"/>
          </w:divBdr>
          <w:divsChild>
            <w:div w:id="1361862272">
              <w:marLeft w:val="0"/>
              <w:marRight w:val="0"/>
              <w:marTop w:val="0"/>
              <w:marBottom w:val="0"/>
              <w:divBdr>
                <w:top w:val="none" w:sz="0" w:space="0" w:color="auto"/>
                <w:left w:val="none" w:sz="0" w:space="0" w:color="auto"/>
                <w:bottom w:val="none" w:sz="0" w:space="0" w:color="auto"/>
                <w:right w:val="none" w:sz="0" w:space="0" w:color="auto"/>
              </w:divBdr>
            </w:div>
          </w:divsChild>
        </w:div>
        <w:div w:id="1749769711">
          <w:marLeft w:val="0"/>
          <w:marRight w:val="0"/>
          <w:marTop w:val="0"/>
          <w:marBottom w:val="0"/>
          <w:divBdr>
            <w:top w:val="none" w:sz="0" w:space="0" w:color="auto"/>
            <w:left w:val="none" w:sz="0" w:space="0" w:color="auto"/>
            <w:bottom w:val="none" w:sz="0" w:space="0" w:color="auto"/>
            <w:right w:val="none" w:sz="0" w:space="0" w:color="auto"/>
          </w:divBdr>
          <w:divsChild>
            <w:div w:id="2024746290">
              <w:marLeft w:val="0"/>
              <w:marRight w:val="0"/>
              <w:marTop w:val="0"/>
              <w:marBottom w:val="0"/>
              <w:divBdr>
                <w:top w:val="none" w:sz="0" w:space="0" w:color="auto"/>
                <w:left w:val="none" w:sz="0" w:space="0" w:color="auto"/>
                <w:bottom w:val="none" w:sz="0" w:space="0" w:color="auto"/>
                <w:right w:val="none" w:sz="0" w:space="0" w:color="auto"/>
              </w:divBdr>
            </w:div>
          </w:divsChild>
        </w:div>
        <w:div w:id="1756199655">
          <w:marLeft w:val="0"/>
          <w:marRight w:val="0"/>
          <w:marTop w:val="0"/>
          <w:marBottom w:val="0"/>
          <w:divBdr>
            <w:top w:val="none" w:sz="0" w:space="0" w:color="auto"/>
            <w:left w:val="none" w:sz="0" w:space="0" w:color="auto"/>
            <w:bottom w:val="none" w:sz="0" w:space="0" w:color="auto"/>
            <w:right w:val="none" w:sz="0" w:space="0" w:color="auto"/>
          </w:divBdr>
          <w:divsChild>
            <w:div w:id="455683071">
              <w:marLeft w:val="0"/>
              <w:marRight w:val="0"/>
              <w:marTop w:val="0"/>
              <w:marBottom w:val="0"/>
              <w:divBdr>
                <w:top w:val="none" w:sz="0" w:space="0" w:color="auto"/>
                <w:left w:val="none" w:sz="0" w:space="0" w:color="auto"/>
                <w:bottom w:val="none" w:sz="0" w:space="0" w:color="auto"/>
                <w:right w:val="none" w:sz="0" w:space="0" w:color="auto"/>
              </w:divBdr>
            </w:div>
          </w:divsChild>
        </w:div>
        <w:div w:id="1763259333">
          <w:marLeft w:val="0"/>
          <w:marRight w:val="0"/>
          <w:marTop w:val="0"/>
          <w:marBottom w:val="0"/>
          <w:divBdr>
            <w:top w:val="none" w:sz="0" w:space="0" w:color="auto"/>
            <w:left w:val="none" w:sz="0" w:space="0" w:color="auto"/>
            <w:bottom w:val="none" w:sz="0" w:space="0" w:color="auto"/>
            <w:right w:val="none" w:sz="0" w:space="0" w:color="auto"/>
          </w:divBdr>
          <w:divsChild>
            <w:div w:id="1863006965">
              <w:marLeft w:val="0"/>
              <w:marRight w:val="0"/>
              <w:marTop w:val="0"/>
              <w:marBottom w:val="0"/>
              <w:divBdr>
                <w:top w:val="none" w:sz="0" w:space="0" w:color="auto"/>
                <w:left w:val="none" w:sz="0" w:space="0" w:color="auto"/>
                <w:bottom w:val="none" w:sz="0" w:space="0" w:color="auto"/>
                <w:right w:val="none" w:sz="0" w:space="0" w:color="auto"/>
              </w:divBdr>
            </w:div>
          </w:divsChild>
        </w:div>
        <w:div w:id="1787769963">
          <w:marLeft w:val="0"/>
          <w:marRight w:val="0"/>
          <w:marTop w:val="0"/>
          <w:marBottom w:val="0"/>
          <w:divBdr>
            <w:top w:val="none" w:sz="0" w:space="0" w:color="auto"/>
            <w:left w:val="none" w:sz="0" w:space="0" w:color="auto"/>
            <w:bottom w:val="none" w:sz="0" w:space="0" w:color="auto"/>
            <w:right w:val="none" w:sz="0" w:space="0" w:color="auto"/>
          </w:divBdr>
          <w:divsChild>
            <w:div w:id="170796501">
              <w:marLeft w:val="0"/>
              <w:marRight w:val="0"/>
              <w:marTop w:val="0"/>
              <w:marBottom w:val="0"/>
              <w:divBdr>
                <w:top w:val="none" w:sz="0" w:space="0" w:color="auto"/>
                <w:left w:val="none" w:sz="0" w:space="0" w:color="auto"/>
                <w:bottom w:val="none" w:sz="0" w:space="0" w:color="auto"/>
                <w:right w:val="none" w:sz="0" w:space="0" w:color="auto"/>
              </w:divBdr>
            </w:div>
          </w:divsChild>
        </w:div>
        <w:div w:id="1795127972">
          <w:marLeft w:val="0"/>
          <w:marRight w:val="0"/>
          <w:marTop w:val="0"/>
          <w:marBottom w:val="0"/>
          <w:divBdr>
            <w:top w:val="none" w:sz="0" w:space="0" w:color="auto"/>
            <w:left w:val="none" w:sz="0" w:space="0" w:color="auto"/>
            <w:bottom w:val="none" w:sz="0" w:space="0" w:color="auto"/>
            <w:right w:val="none" w:sz="0" w:space="0" w:color="auto"/>
          </w:divBdr>
          <w:divsChild>
            <w:div w:id="272635334">
              <w:marLeft w:val="0"/>
              <w:marRight w:val="0"/>
              <w:marTop w:val="0"/>
              <w:marBottom w:val="0"/>
              <w:divBdr>
                <w:top w:val="none" w:sz="0" w:space="0" w:color="auto"/>
                <w:left w:val="none" w:sz="0" w:space="0" w:color="auto"/>
                <w:bottom w:val="none" w:sz="0" w:space="0" w:color="auto"/>
                <w:right w:val="none" w:sz="0" w:space="0" w:color="auto"/>
              </w:divBdr>
            </w:div>
          </w:divsChild>
        </w:div>
        <w:div w:id="1797411139">
          <w:marLeft w:val="0"/>
          <w:marRight w:val="0"/>
          <w:marTop w:val="0"/>
          <w:marBottom w:val="0"/>
          <w:divBdr>
            <w:top w:val="none" w:sz="0" w:space="0" w:color="auto"/>
            <w:left w:val="none" w:sz="0" w:space="0" w:color="auto"/>
            <w:bottom w:val="none" w:sz="0" w:space="0" w:color="auto"/>
            <w:right w:val="none" w:sz="0" w:space="0" w:color="auto"/>
          </w:divBdr>
          <w:divsChild>
            <w:div w:id="583033082">
              <w:marLeft w:val="0"/>
              <w:marRight w:val="0"/>
              <w:marTop w:val="0"/>
              <w:marBottom w:val="0"/>
              <w:divBdr>
                <w:top w:val="none" w:sz="0" w:space="0" w:color="auto"/>
                <w:left w:val="none" w:sz="0" w:space="0" w:color="auto"/>
                <w:bottom w:val="none" w:sz="0" w:space="0" w:color="auto"/>
                <w:right w:val="none" w:sz="0" w:space="0" w:color="auto"/>
              </w:divBdr>
            </w:div>
          </w:divsChild>
        </w:div>
        <w:div w:id="1820147126">
          <w:marLeft w:val="0"/>
          <w:marRight w:val="0"/>
          <w:marTop w:val="0"/>
          <w:marBottom w:val="0"/>
          <w:divBdr>
            <w:top w:val="none" w:sz="0" w:space="0" w:color="auto"/>
            <w:left w:val="none" w:sz="0" w:space="0" w:color="auto"/>
            <w:bottom w:val="none" w:sz="0" w:space="0" w:color="auto"/>
            <w:right w:val="none" w:sz="0" w:space="0" w:color="auto"/>
          </w:divBdr>
          <w:divsChild>
            <w:div w:id="1303776516">
              <w:marLeft w:val="0"/>
              <w:marRight w:val="0"/>
              <w:marTop w:val="0"/>
              <w:marBottom w:val="0"/>
              <w:divBdr>
                <w:top w:val="none" w:sz="0" w:space="0" w:color="auto"/>
                <w:left w:val="none" w:sz="0" w:space="0" w:color="auto"/>
                <w:bottom w:val="none" w:sz="0" w:space="0" w:color="auto"/>
                <w:right w:val="none" w:sz="0" w:space="0" w:color="auto"/>
              </w:divBdr>
            </w:div>
          </w:divsChild>
        </w:div>
        <w:div w:id="1848250658">
          <w:marLeft w:val="0"/>
          <w:marRight w:val="0"/>
          <w:marTop w:val="0"/>
          <w:marBottom w:val="0"/>
          <w:divBdr>
            <w:top w:val="none" w:sz="0" w:space="0" w:color="auto"/>
            <w:left w:val="none" w:sz="0" w:space="0" w:color="auto"/>
            <w:bottom w:val="none" w:sz="0" w:space="0" w:color="auto"/>
            <w:right w:val="none" w:sz="0" w:space="0" w:color="auto"/>
          </w:divBdr>
          <w:divsChild>
            <w:div w:id="1688091999">
              <w:marLeft w:val="0"/>
              <w:marRight w:val="0"/>
              <w:marTop w:val="0"/>
              <w:marBottom w:val="0"/>
              <w:divBdr>
                <w:top w:val="none" w:sz="0" w:space="0" w:color="auto"/>
                <w:left w:val="none" w:sz="0" w:space="0" w:color="auto"/>
                <w:bottom w:val="none" w:sz="0" w:space="0" w:color="auto"/>
                <w:right w:val="none" w:sz="0" w:space="0" w:color="auto"/>
              </w:divBdr>
            </w:div>
          </w:divsChild>
        </w:div>
        <w:div w:id="1859004468">
          <w:marLeft w:val="0"/>
          <w:marRight w:val="0"/>
          <w:marTop w:val="0"/>
          <w:marBottom w:val="0"/>
          <w:divBdr>
            <w:top w:val="none" w:sz="0" w:space="0" w:color="auto"/>
            <w:left w:val="none" w:sz="0" w:space="0" w:color="auto"/>
            <w:bottom w:val="none" w:sz="0" w:space="0" w:color="auto"/>
            <w:right w:val="none" w:sz="0" w:space="0" w:color="auto"/>
          </w:divBdr>
          <w:divsChild>
            <w:div w:id="1340354473">
              <w:marLeft w:val="0"/>
              <w:marRight w:val="0"/>
              <w:marTop w:val="0"/>
              <w:marBottom w:val="0"/>
              <w:divBdr>
                <w:top w:val="none" w:sz="0" w:space="0" w:color="auto"/>
                <w:left w:val="none" w:sz="0" w:space="0" w:color="auto"/>
                <w:bottom w:val="none" w:sz="0" w:space="0" w:color="auto"/>
                <w:right w:val="none" w:sz="0" w:space="0" w:color="auto"/>
              </w:divBdr>
            </w:div>
          </w:divsChild>
        </w:div>
        <w:div w:id="1879121449">
          <w:marLeft w:val="0"/>
          <w:marRight w:val="0"/>
          <w:marTop w:val="0"/>
          <w:marBottom w:val="0"/>
          <w:divBdr>
            <w:top w:val="none" w:sz="0" w:space="0" w:color="auto"/>
            <w:left w:val="none" w:sz="0" w:space="0" w:color="auto"/>
            <w:bottom w:val="none" w:sz="0" w:space="0" w:color="auto"/>
            <w:right w:val="none" w:sz="0" w:space="0" w:color="auto"/>
          </w:divBdr>
          <w:divsChild>
            <w:div w:id="1532837805">
              <w:marLeft w:val="0"/>
              <w:marRight w:val="0"/>
              <w:marTop w:val="0"/>
              <w:marBottom w:val="0"/>
              <w:divBdr>
                <w:top w:val="none" w:sz="0" w:space="0" w:color="auto"/>
                <w:left w:val="none" w:sz="0" w:space="0" w:color="auto"/>
                <w:bottom w:val="none" w:sz="0" w:space="0" w:color="auto"/>
                <w:right w:val="none" w:sz="0" w:space="0" w:color="auto"/>
              </w:divBdr>
            </w:div>
          </w:divsChild>
        </w:div>
        <w:div w:id="1883595248">
          <w:marLeft w:val="0"/>
          <w:marRight w:val="0"/>
          <w:marTop w:val="0"/>
          <w:marBottom w:val="0"/>
          <w:divBdr>
            <w:top w:val="none" w:sz="0" w:space="0" w:color="auto"/>
            <w:left w:val="none" w:sz="0" w:space="0" w:color="auto"/>
            <w:bottom w:val="none" w:sz="0" w:space="0" w:color="auto"/>
            <w:right w:val="none" w:sz="0" w:space="0" w:color="auto"/>
          </w:divBdr>
          <w:divsChild>
            <w:div w:id="793904765">
              <w:marLeft w:val="0"/>
              <w:marRight w:val="0"/>
              <w:marTop w:val="0"/>
              <w:marBottom w:val="0"/>
              <w:divBdr>
                <w:top w:val="none" w:sz="0" w:space="0" w:color="auto"/>
                <w:left w:val="none" w:sz="0" w:space="0" w:color="auto"/>
                <w:bottom w:val="none" w:sz="0" w:space="0" w:color="auto"/>
                <w:right w:val="none" w:sz="0" w:space="0" w:color="auto"/>
              </w:divBdr>
            </w:div>
          </w:divsChild>
        </w:div>
        <w:div w:id="1890262931">
          <w:marLeft w:val="0"/>
          <w:marRight w:val="0"/>
          <w:marTop w:val="0"/>
          <w:marBottom w:val="0"/>
          <w:divBdr>
            <w:top w:val="none" w:sz="0" w:space="0" w:color="auto"/>
            <w:left w:val="none" w:sz="0" w:space="0" w:color="auto"/>
            <w:bottom w:val="none" w:sz="0" w:space="0" w:color="auto"/>
            <w:right w:val="none" w:sz="0" w:space="0" w:color="auto"/>
          </w:divBdr>
          <w:divsChild>
            <w:div w:id="1299721489">
              <w:marLeft w:val="0"/>
              <w:marRight w:val="0"/>
              <w:marTop w:val="0"/>
              <w:marBottom w:val="0"/>
              <w:divBdr>
                <w:top w:val="none" w:sz="0" w:space="0" w:color="auto"/>
                <w:left w:val="none" w:sz="0" w:space="0" w:color="auto"/>
                <w:bottom w:val="none" w:sz="0" w:space="0" w:color="auto"/>
                <w:right w:val="none" w:sz="0" w:space="0" w:color="auto"/>
              </w:divBdr>
            </w:div>
          </w:divsChild>
        </w:div>
        <w:div w:id="1898739082">
          <w:marLeft w:val="0"/>
          <w:marRight w:val="0"/>
          <w:marTop w:val="0"/>
          <w:marBottom w:val="0"/>
          <w:divBdr>
            <w:top w:val="none" w:sz="0" w:space="0" w:color="auto"/>
            <w:left w:val="none" w:sz="0" w:space="0" w:color="auto"/>
            <w:bottom w:val="none" w:sz="0" w:space="0" w:color="auto"/>
            <w:right w:val="none" w:sz="0" w:space="0" w:color="auto"/>
          </w:divBdr>
          <w:divsChild>
            <w:div w:id="1847328991">
              <w:marLeft w:val="0"/>
              <w:marRight w:val="0"/>
              <w:marTop w:val="0"/>
              <w:marBottom w:val="0"/>
              <w:divBdr>
                <w:top w:val="none" w:sz="0" w:space="0" w:color="auto"/>
                <w:left w:val="none" w:sz="0" w:space="0" w:color="auto"/>
                <w:bottom w:val="none" w:sz="0" w:space="0" w:color="auto"/>
                <w:right w:val="none" w:sz="0" w:space="0" w:color="auto"/>
              </w:divBdr>
            </w:div>
          </w:divsChild>
        </w:div>
        <w:div w:id="1901093999">
          <w:marLeft w:val="0"/>
          <w:marRight w:val="0"/>
          <w:marTop w:val="0"/>
          <w:marBottom w:val="0"/>
          <w:divBdr>
            <w:top w:val="none" w:sz="0" w:space="0" w:color="auto"/>
            <w:left w:val="none" w:sz="0" w:space="0" w:color="auto"/>
            <w:bottom w:val="none" w:sz="0" w:space="0" w:color="auto"/>
            <w:right w:val="none" w:sz="0" w:space="0" w:color="auto"/>
          </w:divBdr>
          <w:divsChild>
            <w:div w:id="1587496087">
              <w:marLeft w:val="0"/>
              <w:marRight w:val="0"/>
              <w:marTop w:val="0"/>
              <w:marBottom w:val="0"/>
              <w:divBdr>
                <w:top w:val="none" w:sz="0" w:space="0" w:color="auto"/>
                <w:left w:val="none" w:sz="0" w:space="0" w:color="auto"/>
                <w:bottom w:val="none" w:sz="0" w:space="0" w:color="auto"/>
                <w:right w:val="none" w:sz="0" w:space="0" w:color="auto"/>
              </w:divBdr>
            </w:div>
          </w:divsChild>
        </w:div>
        <w:div w:id="1907838128">
          <w:marLeft w:val="0"/>
          <w:marRight w:val="0"/>
          <w:marTop w:val="0"/>
          <w:marBottom w:val="0"/>
          <w:divBdr>
            <w:top w:val="none" w:sz="0" w:space="0" w:color="auto"/>
            <w:left w:val="none" w:sz="0" w:space="0" w:color="auto"/>
            <w:bottom w:val="none" w:sz="0" w:space="0" w:color="auto"/>
            <w:right w:val="none" w:sz="0" w:space="0" w:color="auto"/>
          </w:divBdr>
          <w:divsChild>
            <w:div w:id="440689781">
              <w:marLeft w:val="0"/>
              <w:marRight w:val="0"/>
              <w:marTop w:val="0"/>
              <w:marBottom w:val="0"/>
              <w:divBdr>
                <w:top w:val="none" w:sz="0" w:space="0" w:color="auto"/>
                <w:left w:val="none" w:sz="0" w:space="0" w:color="auto"/>
                <w:bottom w:val="none" w:sz="0" w:space="0" w:color="auto"/>
                <w:right w:val="none" w:sz="0" w:space="0" w:color="auto"/>
              </w:divBdr>
            </w:div>
          </w:divsChild>
        </w:div>
        <w:div w:id="1912226840">
          <w:marLeft w:val="0"/>
          <w:marRight w:val="0"/>
          <w:marTop w:val="0"/>
          <w:marBottom w:val="0"/>
          <w:divBdr>
            <w:top w:val="none" w:sz="0" w:space="0" w:color="auto"/>
            <w:left w:val="none" w:sz="0" w:space="0" w:color="auto"/>
            <w:bottom w:val="none" w:sz="0" w:space="0" w:color="auto"/>
            <w:right w:val="none" w:sz="0" w:space="0" w:color="auto"/>
          </w:divBdr>
          <w:divsChild>
            <w:div w:id="1983534703">
              <w:marLeft w:val="0"/>
              <w:marRight w:val="0"/>
              <w:marTop w:val="0"/>
              <w:marBottom w:val="0"/>
              <w:divBdr>
                <w:top w:val="none" w:sz="0" w:space="0" w:color="auto"/>
                <w:left w:val="none" w:sz="0" w:space="0" w:color="auto"/>
                <w:bottom w:val="none" w:sz="0" w:space="0" w:color="auto"/>
                <w:right w:val="none" w:sz="0" w:space="0" w:color="auto"/>
              </w:divBdr>
            </w:div>
          </w:divsChild>
        </w:div>
        <w:div w:id="1924143091">
          <w:marLeft w:val="0"/>
          <w:marRight w:val="0"/>
          <w:marTop w:val="0"/>
          <w:marBottom w:val="0"/>
          <w:divBdr>
            <w:top w:val="none" w:sz="0" w:space="0" w:color="auto"/>
            <w:left w:val="none" w:sz="0" w:space="0" w:color="auto"/>
            <w:bottom w:val="none" w:sz="0" w:space="0" w:color="auto"/>
            <w:right w:val="none" w:sz="0" w:space="0" w:color="auto"/>
          </w:divBdr>
          <w:divsChild>
            <w:div w:id="1963074912">
              <w:marLeft w:val="0"/>
              <w:marRight w:val="0"/>
              <w:marTop w:val="0"/>
              <w:marBottom w:val="0"/>
              <w:divBdr>
                <w:top w:val="none" w:sz="0" w:space="0" w:color="auto"/>
                <w:left w:val="none" w:sz="0" w:space="0" w:color="auto"/>
                <w:bottom w:val="none" w:sz="0" w:space="0" w:color="auto"/>
                <w:right w:val="none" w:sz="0" w:space="0" w:color="auto"/>
              </w:divBdr>
            </w:div>
          </w:divsChild>
        </w:div>
        <w:div w:id="1934122573">
          <w:marLeft w:val="0"/>
          <w:marRight w:val="0"/>
          <w:marTop w:val="0"/>
          <w:marBottom w:val="0"/>
          <w:divBdr>
            <w:top w:val="none" w:sz="0" w:space="0" w:color="auto"/>
            <w:left w:val="none" w:sz="0" w:space="0" w:color="auto"/>
            <w:bottom w:val="none" w:sz="0" w:space="0" w:color="auto"/>
            <w:right w:val="none" w:sz="0" w:space="0" w:color="auto"/>
          </w:divBdr>
          <w:divsChild>
            <w:div w:id="132869781">
              <w:marLeft w:val="0"/>
              <w:marRight w:val="0"/>
              <w:marTop w:val="0"/>
              <w:marBottom w:val="0"/>
              <w:divBdr>
                <w:top w:val="none" w:sz="0" w:space="0" w:color="auto"/>
                <w:left w:val="none" w:sz="0" w:space="0" w:color="auto"/>
                <w:bottom w:val="none" w:sz="0" w:space="0" w:color="auto"/>
                <w:right w:val="none" w:sz="0" w:space="0" w:color="auto"/>
              </w:divBdr>
            </w:div>
          </w:divsChild>
        </w:div>
        <w:div w:id="2006785976">
          <w:marLeft w:val="0"/>
          <w:marRight w:val="0"/>
          <w:marTop w:val="0"/>
          <w:marBottom w:val="0"/>
          <w:divBdr>
            <w:top w:val="none" w:sz="0" w:space="0" w:color="auto"/>
            <w:left w:val="none" w:sz="0" w:space="0" w:color="auto"/>
            <w:bottom w:val="none" w:sz="0" w:space="0" w:color="auto"/>
            <w:right w:val="none" w:sz="0" w:space="0" w:color="auto"/>
          </w:divBdr>
          <w:divsChild>
            <w:div w:id="1902594473">
              <w:marLeft w:val="0"/>
              <w:marRight w:val="0"/>
              <w:marTop w:val="0"/>
              <w:marBottom w:val="0"/>
              <w:divBdr>
                <w:top w:val="none" w:sz="0" w:space="0" w:color="auto"/>
                <w:left w:val="none" w:sz="0" w:space="0" w:color="auto"/>
                <w:bottom w:val="none" w:sz="0" w:space="0" w:color="auto"/>
                <w:right w:val="none" w:sz="0" w:space="0" w:color="auto"/>
              </w:divBdr>
            </w:div>
          </w:divsChild>
        </w:div>
        <w:div w:id="2008097033">
          <w:marLeft w:val="0"/>
          <w:marRight w:val="0"/>
          <w:marTop w:val="0"/>
          <w:marBottom w:val="0"/>
          <w:divBdr>
            <w:top w:val="none" w:sz="0" w:space="0" w:color="auto"/>
            <w:left w:val="none" w:sz="0" w:space="0" w:color="auto"/>
            <w:bottom w:val="none" w:sz="0" w:space="0" w:color="auto"/>
            <w:right w:val="none" w:sz="0" w:space="0" w:color="auto"/>
          </w:divBdr>
          <w:divsChild>
            <w:div w:id="1487866170">
              <w:marLeft w:val="0"/>
              <w:marRight w:val="0"/>
              <w:marTop w:val="0"/>
              <w:marBottom w:val="0"/>
              <w:divBdr>
                <w:top w:val="none" w:sz="0" w:space="0" w:color="auto"/>
                <w:left w:val="none" w:sz="0" w:space="0" w:color="auto"/>
                <w:bottom w:val="none" w:sz="0" w:space="0" w:color="auto"/>
                <w:right w:val="none" w:sz="0" w:space="0" w:color="auto"/>
              </w:divBdr>
            </w:div>
          </w:divsChild>
        </w:div>
        <w:div w:id="2011521169">
          <w:marLeft w:val="0"/>
          <w:marRight w:val="0"/>
          <w:marTop w:val="0"/>
          <w:marBottom w:val="0"/>
          <w:divBdr>
            <w:top w:val="none" w:sz="0" w:space="0" w:color="auto"/>
            <w:left w:val="none" w:sz="0" w:space="0" w:color="auto"/>
            <w:bottom w:val="none" w:sz="0" w:space="0" w:color="auto"/>
            <w:right w:val="none" w:sz="0" w:space="0" w:color="auto"/>
          </w:divBdr>
          <w:divsChild>
            <w:div w:id="1246768584">
              <w:marLeft w:val="0"/>
              <w:marRight w:val="0"/>
              <w:marTop w:val="0"/>
              <w:marBottom w:val="0"/>
              <w:divBdr>
                <w:top w:val="none" w:sz="0" w:space="0" w:color="auto"/>
                <w:left w:val="none" w:sz="0" w:space="0" w:color="auto"/>
                <w:bottom w:val="none" w:sz="0" w:space="0" w:color="auto"/>
                <w:right w:val="none" w:sz="0" w:space="0" w:color="auto"/>
              </w:divBdr>
            </w:div>
          </w:divsChild>
        </w:div>
        <w:div w:id="2013295395">
          <w:marLeft w:val="0"/>
          <w:marRight w:val="0"/>
          <w:marTop w:val="0"/>
          <w:marBottom w:val="0"/>
          <w:divBdr>
            <w:top w:val="none" w:sz="0" w:space="0" w:color="auto"/>
            <w:left w:val="none" w:sz="0" w:space="0" w:color="auto"/>
            <w:bottom w:val="none" w:sz="0" w:space="0" w:color="auto"/>
            <w:right w:val="none" w:sz="0" w:space="0" w:color="auto"/>
          </w:divBdr>
          <w:divsChild>
            <w:div w:id="1058625682">
              <w:marLeft w:val="0"/>
              <w:marRight w:val="0"/>
              <w:marTop w:val="0"/>
              <w:marBottom w:val="0"/>
              <w:divBdr>
                <w:top w:val="none" w:sz="0" w:space="0" w:color="auto"/>
                <w:left w:val="none" w:sz="0" w:space="0" w:color="auto"/>
                <w:bottom w:val="none" w:sz="0" w:space="0" w:color="auto"/>
                <w:right w:val="none" w:sz="0" w:space="0" w:color="auto"/>
              </w:divBdr>
            </w:div>
          </w:divsChild>
        </w:div>
        <w:div w:id="2013683915">
          <w:marLeft w:val="0"/>
          <w:marRight w:val="0"/>
          <w:marTop w:val="0"/>
          <w:marBottom w:val="0"/>
          <w:divBdr>
            <w:top w:val="none" w:sz="0" w:space="0" w:color="auto"/>
            <w:left w:val="none" w:sz="0" w:space="0" w:color="auto"/>
            <w:bottom w:val="none" w:sz="0" w:space="0" w:color="auto"/>
            <w:right w:val="none" w:sz="0" w:space="0" w:color="auto"/>
          </w:divBdr>
          <w:divsChild>
            <w:div w:id="42408238">
              <w:marLeft w:val="0"/>
              <w:marRight w:val="0"/>
              <w:marTop w:val="0"/>
              <w:marBottom w:val="0"/>
              <w:divBdr>
                <w:top w:val="none" w:sz="0" w:space="0" w:color="auto"/>
                <w:left w:val="none" w:sz="0" w:space="0" w:color="auto"/>
                <w:bottom w:val="none" w:sz="0" w:space="0" w:color="auto"/>
                <w:right w:val="none" w:sz="0" w:space="0" w:color="auto"/>
              </w:divBdr>
            </w:div>
          </w:divsChild>
        </w:div>
        <w:div w:id="2020421519">
          <w:marLeft w:val="0"/>
          <w:marRight w:val="0"/>
          <w:marTop w:val="0"/>
          <w:marBottom w:val="0"/>
          <w:divBdr>
            <w:top w:val="none" w:sz="0" w:space="0" w:color="auto"/>
            <w:left w:val="none" w:sz="0" w:space="0" w:color="auto"/>
            <w:bottom w:val="none" w:sz="0" w:space="0" w:color="auto"/>
            <w:right w:val="none" w:sz="0" w:space="0" w:color="auto"/>
          </w:divBdr>
          <w:divsChild>
            <w:div w:id="1405836404">
              <w:marLeft w:val="0"/>
              <w:marRight w:val="0"/>
              <w:marTop w:val="0"/>
              <w:marBottom w:val="0"/>
              <w:divBdr>
                <w:top w:val="none" w:sz="0" w:space="0" w:color="auto"/>
                <w:left w:val="none" w:sz="0" w:space="0" w:color="auto"/>
                <w:bottom w:val="none" w:sz="0" w:space="0" w:color="auto"/>
                <w:right w:val="none" w:sz="0" w:space="0" w:color="auto"/>
              </w:divBdr>
            </w:div>
          </w:divsChild>
        </w:div>
        <w:div w:id="2034182672">
          <w:marLeft w:val="0"/>
          <w:marRight w:val="0"/>
          <w:marTop w:val="0"/>
          <w:marBottom w:val="0"/>
          <w:divBdr>
            <w:top w:val="none" w:sz="0" w:space="0" w:color="auto"/>
            <w:left w:val="none" w:sz="0" w:space="0" w:color="auto"/>
            <w:bottom w:val="none" w:sz="0" w:space="0" w:color="auto"/>
            <w:right w:val="none" w:sz="0" w:space="0" w:color="auto"/>
          </w:divBdr>
          <w:divsChild>
            <w:div w:id="539322115">
              <w:marLeft w:val="0"/>
              <w:marRight w:val="0"/>
              <w:marTop w:val="0"/>
              <w:marBottom w:val="0"/>
              <w:divBdr>
                <w:top w:val="none" w:sz="0" w:space="0" w:color="auto"/>
                <w:left w:val="none" w:sz="0" w:space="0" w:color="auto"/>
                <w:bottom w:val="none" w:sz="0" w:space="0" w:color="auto"/>
                <w:right w:val="none" w:sz="0" w:space="0" w:color="auto"/>
              </w:divBdr>
            </w:div>
          </w:divsChild>
        </w:div>
        <w:div w:id="2038508609">
          <w:marLeft w:val="0"/>
          <w:marRight w:val="0"/>
          <w:marTop w:val="0"/>
          <w:marBottom w:val="0"/>
          <w:divBdr>
            <w:top w:val="none" w:sz="0" w:space="0" w:color="auto"/>
            <w:left w:val="none" w:sz="0" w:space="0" w:color="auto"/>
            <w:bottom w:val="none" w:sz="0" w:space="0" w:color="auto"/>
            <w:right w:val="none" w:sz="0" w:space="0" w:color="auto"/>
          </w:divBdr>
          <w:divsChild>
            <w:div w:id="1450011165">
              <w:marLeft w:val="0"/>
              <w:marRight w:val="0"/>
              <w:marTop w:val="0"/>
              <w:marBottom w:val="0"/>
              <w:divBdr>
                <w:top w:val="none" w:sz="0" w:space="0" w:color="auto"/>
                <w:left w:val="none" w:sz="0" w:space="0" w:color="auto"/>
                <w:bottom w:val="none" w:sz="0" w:space="0" w:color="auto"/>
                <w:right w:val="none" w:sz="0" w:space="0" w:color="auto"/>
              </w:divBdr>
            </w:div>
          </w:divsChild>
        </w:div>
        <w:div w:id="2039309340">
          <w:marLeft w:val="0"/>
          <w:marRight w:val="0"/>
          <w:marTop w:val="0"/>
          <w:marBottom w:val="0"/>
          <w:divBdr>
            <w:top w:val="none" w:sz="0" w:space="0" w:color="auto"/>
            <w:left w:val="none" w:sz="0" w:space="0" w:color="auto"/>
            <w:bottom w:val="none" w:sz="0" w:space="0" w:color="auto"/>
            <w:right w:val="none" w:sz="0" w:space="0" w:color="auto"/>
          </w:divBdr>
          <w:divsChild>
            <w:div w:id="952249594">
              <w:marLeft w:val="0"/>
              <w:marRight w:val="0"/>
              <w:marTop w:val="0"/>
              <w:marBottom w:val="0"/>
              <w:divBdr>
                <w:top w:val="none" w:sz="0" w:space="0" w:color="auto"/>
                <w:left w:val="none" w:sz="0" w:space="0" w:color="auto"/>
                <w:bottom w:val="none" w:sz="0" w:space="0" w:color="auto"/>
                <w:right w:val="none" w:sz="0" w:space="0" w:color="auto"/>
              </w:divBdr>
            </w:div>
          </w:divsChild>
        </w:div>
        <w:div w:id="2042241365">
          <w:marLeft w:val="0"/>
          <w:marRight w:val="0"/>
          <w:marTop w:val="0"/>
          <w:marBottom w:val="0"/>
          <w:divBdr>
            <w:top w:val="none" w:sz="0" w:space="0" w:color="auto"/>
            <w:left w:val="none" w:sz="0" w:space="0" w:color="auto"/>
            <w:bottom w:val="none" w:sz="0" w:space="0" w:color="auto"/>
            <w:right w:val="none" w:sz="0" w:space="0" w:color="auto"/>
          </w:divBdr>
          <w:divsChild>
            <w:div w:id="1110667889">
              <w:marLeft w:val="0"/>
              <w:marRight w:val="0"/>
              <w:marTop w:val="0"/>
              <w:marBottom w:val="0"/>
              <w:divBdr>
                <w:top w:val="none" w:sz="0" w:space="0" w:color="auto"/>
                <w:left w:val="none" w:sz="0" w:space="0" w:color="auto"/>
                <w:bottom w:val="none" w:sz="0" w:space="0" w:color="auto"/>
                <w:right w:val="none" w:sz="0" w:space="0" w:color="auto"/>
              </w:divBdr>
            </w:div>
          </w:divsChild>
        </w:div>
        <w:div w:id="2064791981">
          <w:marLeft w:val="0"/>
          <w:marRight w:val="0"/>
          <w:marTop w:val="0"/>
          <w:marBottom w:val="0"/>
          <w:divBdr>
            <w:top w:val="none" w:sz="0" w:space="0" w:color="auto"/>
            <w:left w:val="none" w:sz="0" w:space="0" w:color="auto"/>
            <w:bottom w:val="none" w:sz="0" w:space="0" w:color="auto"/>
            <w:right w:val="none" w:sz="0" w:space="0" w:color="auto"/>
          </w:divBdr>
          <w:divsChild>
            <w:div w:id="1725986077">
              <w:marLeft w:val="0"/>
              <w:marRight w:val="0"/>
              <w:marTop w:val="0"/>
              <w:marBottom w:val="0"/>
              <w:divBdr>
                <w:top w:val="none" w:sz="0" w:space="0" w:color="auto"/>
                <w:left w:val="none" w:sz="0" w:space="0" w:color="auto"/>
                <w:bottom w:val="none" w:sz="0" w:space="0" w:color="auto"/>
                <w:right w:val="none" w:sz="0" w:space="0" w:color="auto"/>
              </w:divBdr>
            </w:div>
          </w:divsChild>
        </w:div>
        <w:div w:id="2065911705">
          <w:marLeft w:val="0"/>
          <w:marRight w:val="0"/>
          <w:marTop w:val="0"/>
          <w:marBottom w:val="0"/>
          <w:divBdr>
            <w:top w:val="none" w:sz="0" w:space="0" w:color="auto"/>
            <w:left w:val="none" w:sz="0" w:space="0" w:color="auto"/>
            <w:bottom w:val="none" w:sz="0" w:space="0" w:color="auto"/>
            <w:right w:val="none" w:sz="0" w:space="0" w:color="auto"/>
          </w:divBdr>
          <w:divsChild>
            <w:div w:id="1124541806">
              <w:marLeft w:val="0"/>
              <w:marRight w:val="0"/>
              <w:marTop w:val="0"/>
              <w:marBottom w:val="0"/>
              <w:divBdr>
                <w:top w:val="none" w:sz="0" w:space="0" w:color="auto"/>
                <w:left w:val="none" w:sz="0" w:space="0" w:color="auto"/>
                <w:bottom w:val="none" w:sz="0" w:space="0" w:color="auto"/>
                <w:right w:val="none" w:sz="0" w:space="0" w:color="auto"/>
              </w:divBdr>
            </w:div>
          </w:divsChild>
        </w:div>
        <w:div w:id="2072849588">
          <w:marLeft w:val="0"/>
          <w:marRight w:val="0"/>
          <w:marTop w:val="0"/>
          <w:marBottom w:val="0"/>
          <w:divBdr>
            <w:top w:val="none" w:sz="0" w:space="0" w:color="auto"/>
            <w:left w:val="none" w:sz="0" w:space="0" w:color="auto"/>
            <w:bottom w:val="none" w:sz="0" w:space="0" w:color="auto"/>
            <w:right w:val="none" w:sz="0" w:space="0" w:color="auto"/>
          </w:divBdr>
          <w:divsChild>
            <w:div w:id="1059478367">
              <w:marLeft w:val="0"/>
              <w:marRight w:val="0"/>
              <w:marTop w:val="0"/>
              <w:marBottom w:val="0"/>
              <w:divBdr>
                <w:top w:val="none" w:sz="0" w:space="0" w:color="auto"/>
                <w:left w:val="none" w:sz="0" w:space="0" w:color="auto"/>
                <w:bottom w:val="none" w:sz="0" w:space="0" w:color="auto"/>
                <w:right w:val="none" w:sz="0" w:space="0" w:color="auto"/>
              </w:divBdr>
            </w:div>
          </w:divsChild>
        </w:div>
        <w:div w:id="2088528793">
          <w:marLeft w:val="0"/>
          <w:marRight w:val="0"/>
          <w:marTop w:val="0"/>
          <w:marBottom w:val="0"/>
          <w:divBdr>
            <w:top w:val="none" w:sz="0" w:space="0" w:color="auto"/>
            <w:left w:val="none" w:sz="0" w:space="0" w:color="auto"/>
            <w:bottom w:val="none" w:sz="0" w:space="0" w:color="auto"/>
            <w:right w:val="none" w:sz="0" w:space="0" w:color="auto"/>
          </w:divBdr>
          <w:divsChild>
            <w:div w:id="1945913516">
              <w:marLeft w:val="0"/>
              <w:marRight w:val="0"/>
              <w:marTop w:val="0"/>
              <w:marBottom w:val="0"/>
              <w:divBdr>
                <w:top w:val="none" w:sz="0" w:space="0" w:color="auto"/>
                <w:left w:val="none" w:sz="0" w:space="0" w:color="auto"/>
                <w:bottom w:val="none" w:sz="0" w:space="0" w:color="auto"/>
                <w:right w:val="none" w:sz="0" w:space="0" w:color="auto"/>
              </w:divBdr>
            </w:div>
          </w:divsChild>
        </w:div>
        <w:div w:id="2126265061">
          <w:marLeft w:val="0"/>
          <w:marRight w:val="0"/>
          <w:marTop w:val="0"/>
          <w:marBottom w:val="0"/>
          <w:divBdr>
            <w:top w:val="none" w:sz="0" w:space="0" w:color="auto"/>
            <w:left w:val="none" w:sz="0" w:space="0" w:color="auto"/>
            <w:bottom w:val="none" w:sz="0" w:space="0" w:color="auto"/>
            <w:right w:val="none" w:sz="0" w:space="0" w:color="auto"/>
          </w:divBdr>
          <w:divsChild>
            <w:div w:id="20198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56683">
      <w:bodyDiv w:val="1"/>
      <w:marLeft w:val="0"/>
      <w:marRight w:val="0"/>
      <w:marTop w:val="0"/>
      <w:marBottom w:val="0"/>
      <w:divBdr>
        <w:top w:val="none" w:sz="0" w:space="0" w:color="auto"/>
        <w:left w:val="none" w:sz="0" w:space="0" w:color="auto"/>
        <w:bottom w:val="none" w:sz="0" w:space="0" w:color="auto"/>
        <w:right w:val="none" w:sz="0" w:space="0" w:color="auto"/>
      </w:divBdr>
    </w:div>
    <w:div w:id="1712530487">
      <w:bodyDiv w:val="1"/>
      <w:marLeft w:val="0"/>
      <w:marRight w:val="0"/>
      <w:marTop w:val="0"/>
      <w:marBottom w:val="0"/>
      <w:divBdr>
        <w:top w:val="none" w:sz="0" w:space="0" w:color="auto"/>
        <w:left w:val="none" w:sz="0" w:space="0" w:color="auto"/>
        <w:bottom w:val="none" w:sz="0" w:space="0" w:color="auto"/>
        <w:right w:val="none" w:sz="0" w:space="0" w:color="auto"/>
      </w:divBdr>
    </w:div>
    <w:div w:id="1714884833">
      <w:bodyDiv w:val="1"/>
      <w:marLeft w:val="0"/>
      <w:marRight w:val="0"/>
      <w:marTop w:val="0"/>
      <w:marBottom w:val="0"/>
      <w:divBdr>
        <w:top w:val="none" w:sz="0" w:space="0" w:color="auto"/>
        <w:left w:val="none" w:sz="0" w:space="0" w:color="auto"/>
        <w:bottom w:val="none" w:sz="0" w:space="0" w:color="auto"/>
        <w:right w:val="none" w:sz="0" w:space="0" w:color="auto"/>
      </w:divBdr>
    </w:div>
    <w:div w:id="1715806732">
      <w:bodyDiv w:val="1"/>
      <w:marLeft w:val="0"/>
      <w:marRight w:val="0"/>
      <w:marTop w:val="0"/>
      <w:marBottom w:val="0"/>
      <w:divBdr>
        <w:top w:val="none" w:sz="0" w:space="0" w:color="auto"/>
        <w:left w:val="none" w:sz="0" w:space="0" w:color="auto"/>
        <w:bottom w:val="none" w:sz="0" w:space="0" w:color="auto"/>
        <w:right w:val="none" w:sz="0" w:space="0" w:color="auto"/>
      </w:divBdr>
      <w:divsChild>
        <w:div w:id="42099341">
          <w:marLeft w:val="0"/>
          <w:marRight w:val="0"/>
          <w:marTop w:val="0"/>
          <w:marBottom w:val="0"/>
          <w:divBdr>
            <w:top w:val="none" w:sz="0" w:space="0" w:color="auto"/>
            <w:left w:val="none" w:sz="0" w:space="0" w:color="auto"/>
            <w:bottom w:val="none" w:sz="0" w:space="0" w:color="auto"/>
            <w:right w:val="none" w:sz="0" w:space="0" w:color="auto"/>
          </w:divBdr>
        </w:div>
        <w:div w:id="1064985113">
          <w:marLeft w:val="0"/>
          <w:marRight w:val="0"/>
          <w:marTop w:val="0"/>
          <w:marBottom w:val="0"/>
          <w:divBdr>
            <w:top w:val="none" w:sz="0" w:space="0" w:color="auto"/>
            <w:left w:val="none" w:sz="0" w:space="0" w:color="auto"/>
            <w:bottom w:val="none" w:sz="0" w:space="0" w:color="auto"/>
            <w:right w:val="none" w:sz="0" w:space="0" w:color="auto"/>
          </w:divBdr>
        </w:div>
        <w:div w:id="1368870650">
          <w:marLeft w:val="0"/>
          <w:marRight w:val="0"/>
          <w:marTop w:val="0"/>
          <w:marBottom w:val="0"/>
          <w:divBdr>
            <w:top w:val="none" w:sz="0" w:space="0" w:color="auto"/>
            <w:left w:val="none" w:sz="0" w:space="0" w:color="auto"/>
            <w:bottom w:val="none" w:sz="0" w:space="0" w:color="auto"/>
            <w:right w:val="none" w:sz="0" w:space="0" w:color="auto"/>
          </w:divBdr>
        </w:div>
      </w:divsChild>
    </w:div>
    <w:div w:id="1722514012">
      <w:bodyDiv w:val="1"/>
      <w:marLeft w:val="0"/>
      <w:marRight w:val="0"/>
      <w:marTop w:val="0"/>
      <w:marBottom w:val="0"/>
      <w:divBdr>
        <w:top w:val="none" w:sz="0" w:space="0" w:color="auto"/>
        <w:left w:val="none" w:sz="0" w:space="0" w:color="auto"/>
        <w:bottom w:val="none" w:sz="0" w:space="0" w:color="auto"/>
        <w:right w:val="none" w:sz="0" w:space="0" w:color="auto"/>
      </w:divBdr>
    </w:div>
    <w:div w:id="1725762566">
      <w:bodyDiv w:val="1"/>
      <w:marLeft w:val="0"/>
      <w:marRight w:val="0"/>
      <w:marTop w:val="0"/>
      <w:marBottom w:val="0"/>
      <w:divBdr>
        <w:top w:val="none" w:sz="0" w:space="0" w:color="auto"/>
        <w:left w:val="none" w:sz="0" w:space="0" w:color="auto"/>
        <w:bottom w:val="none" w:sz="0" w:space="0" w:color="auto"/>
        <w:right w:val="none" w:sz="0" w:space="0" w:color="auto"/>
      </w:divBdr>
    </w:div>
    <w:div w:id="1727101893">
      <w:bodyDiv w:val="1"/>
      <w:marLeft w:val="0"/>
      <w:marRight w:val="0"/>
      <w:marTop w:val="0"/>
      <w:marBottom w:val="0"/>
      <w:divBdr>
        <w:top w:val="none" w:sz="0" w:space="0" w:color="auto"/>
        <w:left w:val="none" w:sz="0" w:space="0" w:color="auto"/>
        <w:bottom w:val="none" w:sz="0" w:space="0" w:color="auto"/>
        <w:right w:val="none" w:sz="0" w:space="0" w:color="auto"/>
      </w:divBdr>
    </w:div>
    <w:div w:id="1728258839">
      <w:bodyDiv w:val="1"/>
      <w:marLeft w:val="0"/>
      <w:marRight w:val="0"/>
      <w:marTop w:val="0"/>
      <w:marBottom w:val="0"/>
      <w:divBdr>
        <w:top w:val="none" w:sz="0" w:space="0" w:color="auto"/>
        <w:left w:val="none" w:sz="0" w:space="0" w:color="auto"/>
        <w:bottom w:val="none" w:sz="0" w:space="0" w:color="auto"/>
        <w:right w:val="none" w:sz="0" w:space="0" w:color="auto"/>
      </w:divBdr>
      <w:divsChild>
        <w:div w:id="2084377304">
          <w:marLeft w:val="0"/>
          <w:marRight w:val="0"/>
          <w:marTop w:val="0"/>
          <w:marBottom w:val="0"/>
          <w:divBdr>
            <w:top w:val="none" w:sz="0" w:space="0" w:color="auto"/>
            <w:left w:val="none" w:sz="0" w:space="0" w:color="auto"/>
            <w:bottom w:val="none" w:sz="0" w:space="0" w:color="auto"/>
            <w:right w:val="none" w:sz="0" w:space="0" w:color="auto"/>
          </w:divBdr>
          <w:divsChild>
            <w:div w:id="71423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5675">
      <w:bodyDiv w:val="1"/>
      <w:marLeft w:val="0"/>
      <w:marRight w:val="0"/>
      <w:marTop w:val="0"/>
      <w:marBottom w:val="0"/>
      <w:divBdr>
        <w:top w:val="none" w:sz="0" w:space="0" w:color="auto"/>
        <w:left w:val="none" w:sz="0" w:space="0" w:color="auto"/>
        <w:bottom w:val="none" w:sz="0" w:space="0" w:color="auto"/>
        <w:right w:val="none" w:sz="0" w:space="0" w:color="auto"/>
      </w:divBdr>
    </w:div>
    <w:div w:id="1730575566">
      <w:bodyDiv w:val="1"/>
      <w:marLeft w:val="0"/>
      <w:marRight w:val="0"/>
      <w:marTop w:val="0"/>
      <w:marBottom w:val="0"/>
      <w:divBdr>
        <w:top w:val="none" w:sz="0" w:space="0" w:color="auto"/>
        <w:left w:val="none" w:sz="0" w:space="0" w:color="auto"/>
        <w:bottom w:val="none" w:sz="0" w:space="0" w:color="auto"/>
        <w:right w:val="none" w:sz="0" w:space="0" w:color="auto"/>
      </w:divBdr>
    </w:div>
    <w:div w:id="1734349098">
      <w:bodyDiv w:val="1"/>
      <w:marLeft w:val="0"/>
      <w:marRight w:val="0"/>
      <w:marTop w:val="0"/>
      <w:marBottom w:val="0"/>
      <w:divBdr>
        <w:top w:val="none" w:sz="0" w:space="0" w:color="auto"/>
        <w:left w:val="none" w:sz="0" w:space="0" w:color="auto"/>
        <w:bottom w:val="none" w:sz="0" w:space="0" w:color="auto"/>
        <w:right w:val="none" w:sz="0" w:space="0" w:color="auto"/>
      </w:divBdr>
    </w:div>
    <w:div w:id="1737434329">
      <w:bodyDiv w:val="1"/>
      <w:marLeft w:val="0"/>
      <w:marRight w:val="0"/>
      <w:marTop w:val="0"/>
      <w:marBottom w:val="0"/>
      <w:divBdr>
        <w:top w:val="none" w:sz="0" w:space="0" w:color="auto"/>
        <w:left w:val="none" w:sz="0" w:space="0" w:color="auto"/>
        <w:bottom w:val="none" w:sz="0" w:space="0" w:color="auto"/>
        <w:right w:val="none" w:sz="0" w:space="0" w:color="auto"/>
      </w:divBdr>
    </w:div>
    <w:div w:id="1739398890">
      <w:bodyDiv w:val="1"/>
      <w:marLeft w:val="0"/>
      <w:marRight w:val="0"/>
      <w:marTop w:val="0"/>
      <w:marBottom w:val="0"/>
      <w:divBdr>
        <w:top w:val="none" w:sz="0" w:space="0" w:color="auto"/>
        <w:left w:val="none" w:sz="0" w:space="0" w:color="auto"/>
        <w:bottom w:val="none" w:sz="0" w:space="0" w:color="auto"/>
        <w:right w:val="none" w:sz="0" w:space="0" w:color="auto"/>
      </w:divBdr>
      <w:divsChild>
        <w:div w:id="1447577664">
          <w:marLeft w:val="0"/>
          <w:marRight w:val="0"/>
          <w:marTop w:val="0"/>
          <w:marBottom w:val="0"/>
          <w:divBdr>
            <w:top w:val="none" w:sz="0" w:space="0" w:color="auto"/>
            <w:left w:val="none" w:sz="0" w:space="0" w:color="auto"/>
            <w:bottom w:val="none" w:sz="0" w:space="0" w:color="auto"/>
            <w:right w:val="none" w:sz="0" w:space="0" w:color="auto"/>
          </w:divBdr>
        </w:div>
      </w:divsChild>
    </w:div>
    <w:div w:id="1744255260">
      <w:bodyDiv w:val="1"/>
      <w:marLeft w:val="0"/>
      <w:marRight w:val="0"/>
      <w:marTop w:val="0"/>
      <w:marBottom w:val="0"/>
      <w:divBdr>
        <w:top w:val="none" w:sz="0" w:space="0" w:color="auto"/>
        <w:left w:val="none" w:sz="0" w:space="0" w:color="auto"/>
        <w:bottom w:val="none" w:sz="0" w:space="0" w:color="auto"/>
        <w:right w:val="none" w:sz="0" w:space="0" w:color="auto"/>
      </w:divBdr>
    </w:div>
    <w:div w:id="1750299703">
      <w:bodyDiv w:val="1"/>
      <w:marLeft w:val="0"/>
      <w:marRight w:val="0"/>
      <w:marTop w:val="0"/>
      <w:marBottom w:val="0"/>
      <w:divBdr>
        <w:top w:val="none" w:sz="0" w:space="0" w:color="auto"/>
        <w:left w:val="none" w:sz="0" w:space="0" w:color="auto"/>
        <w:bottom w:val="none" w:sz="0" w:space="0" w:color="auto"/>
        <w:right w:val="none" w:sz="0" w:space="0" w:color="auto"/>
      </w:divBdr>
    </w:div>
    <w:div w:id="1754546603">
      <w:bodyDiv w:val="1"/>
      <w:marLeft w:val="0"/>
      <w:marRight w:val="0"/>
      <w:marTop w:val="0"/>
      <w:marBottom w:val="0"/>
      <w:divBdr>
        <w:top w:val="none" w:sz="0" w:space="0" w:color="auto"/>
        <w:left w:val="none" w:sz="0" w:space="0" w:color="auto"/>
        <w:bottom w:val="none" w:sz="0" w:space="0" w:color="auto"/>
        <w:right w:val="none" w:sz="0" w:space="0" w:color="auto"/>
      </w:divBdr>
    </w:div>
    <w:div w:id="1754861365">
      <w:bodyDiv w:val="1"/>
      <w:marLeft w:val="0"/>
      <w:marRight w:val="0"/>
      <w:marTop w:val="0"/>
      <w:marBottom w:val="0"/>
      <w:divBdr>
        <w:top w:val="none" w:sz="0" w:space="0" w:color="auto"/>
        <w:left w:val="none" w:sz="0" w:space="0" w:color="auto"/>
        <w:bottom w:val="none" w:sz="0" w:space="0" w:color="auto"/>
        <w:right w:val="none" w:sz="0" w:space="0" w:color="auto"/>
      </w:divBdr>
    </w:div>
    <w:div w:id="1755391459">
      <w:bodyDiv w:val="1"/>
      <w:marLeft w:val="0"/>
      <w:marRight w:val="0"/>
      <w:marTop w:val="0"/>
      <w:marBottom w:val="0"/>
      <w:divBdr>
        <w:top w:val="none" w:sz="0" w:space="0" w:color="auto"/>
        <w:left w:val="none" w:sz="0" w:space="0" w:color="auto"/>
        <w:bottom w:val="none" w:sz="0" w:space="0" w:color="auto"/>
        <w:right w:val="none" w:sz="0" w:space="0" w:color="auto"/>
      </w:divBdr>
    </w:div>
    <w:div w:id="1757440348">
      <w:bodyDiv w:val="1"/>
      <w:marLeft w:val="0"/>
      <w:marRight w:val="0"/>
      <w:marTop w:val="0"/>
      <w:marBottom w:val="0"/>
      <w:divBdr>
        <w:top w:val="none" w:sz="0" w:space="0" w:color="auto"/>
        <w:left w:val="none" w:sz="0" w:space="0" w:color="auto"/>
        <w:bottom w:val="none" w:sz="0" w:space="0" w:color="auto"/>
        <w:right w:val="none" w:sz="0" w:space="0" w:color="auto"/>
      </w:divBdr>
    </w:div>
    <w:div w:id="1761564944">
      <w:bodyDiv w:val="1"/>
      <w:marLeft w:val="0"/>
      <w:marRight w:val="0"/>
      <w:marTop w:val="0"/>
      <w:marBottom w:val="0"/>
      <w:divBdr>
        <w:top w:val="none" w:sz="0" w:space="0" w:color="auto"/>
        <w:left w:val="none" w:sz="0" w:space="0" w:color="auto"/>
        <w:bottom w:val="none" w:sz="0" w:space="0" w:color="auto"/>
        <w:right w:val="none" w:sz="0" w:space="0" w:color="auto"/>
      </w:divBdr>
    </w:div>
    <w:div w:id="1762332190">
      <w:bodyDiv w:val="1"/>
      <w:marLeft w:val="0"/>
      <w:marRight w:val="0"/>
      <w:marTop w:val="0"/>
      <w:marBottom w:val="0"/>
      <w:divBdr>
        <w:top w:val="none" w:sz="0" w:space="0" w:color="auto"/>
        <w:left w:val="none" w:sz="0" w:space="0" w:color="auto"/>
        <w:bottom w:val="none" w:sz="0" w:space="0" w:color="auto"/>
        <w:right w:val="none" w:sz="0" w:space="0" w:color="auto"/>
      </w:divBdr>
    </w:div>
    <w:div w:id="1766146461">
      <w:bodyDiv w:val="1"/>
      <w:marLeft w:val="0"/>
      <w:marRight w:val="0"/>
      <w:marTop w:val="0"/>
      <w:marBottom w:val="0"/>
      <w:divBdr>
        <w:top w:val="none" w:sz="0" w:space="0" w:color="auto"/>
        <w:left w:val="none" w:sz="0" w:space="0" w:color="auto"/>
        <w:bottom w:val="none" w:sz="0" w:space="0" w:color="auto"/>
        <w:right w:val="none" w:sz="0" w:space="0" w:color="auto"/>
      </w:divBdr>
    </w:div>
    <w:div w:id="1766219533">
      <w:bodyDiv w:val="1"/>
      <w:marLeft w:val="0"/>
      <w:marRight w:val="0"/>
      <w:marTop w:val="0"/>
      <w:marBottom w:val="0"/>
      <w:divBdr>
        <w:top w:val="none" w:sz="0" w:space="0" w:color="auto"/>
        <w:left w:val="none" w:sz="0" w:space="0" w:color="auto"/>
        <w:bottom w:val="none" w:sz="0" w:space="0" w:color="auto"/>
        <w:right w:val="none" w:sz="0" w:space="0" w:color="auto"/>
      </w:divBdr>
    </w:div>
    <w:div w:id="1768111328">
      <w:bodyDiv w:val="1"/>
      <w:marLeft w:val="0"/>
      <w:marRight w:val="0"/>
      <w:marTop w:val="0"/>
      <w:marBottom w:val="0"/>
      <w:divBdr>
        <w:top w:val="none" w:sz="0" w:space="0" w:color="auto"/>
        <w:left w:val="none" w:sz="0" w:space="0" w:color="auto"/>
        <w:bottom w:val="none" w:sz="0" w:space="0" w:color="auto"/>
        <w:right w:val="none" w:sz="0" w:space="0" w:color="auto"/>
      </w:divBdr>
    </w:div>
    <w:div w:id="1768311142">
      <w:bodyDiv w:val="1"/>
      <w:marLeft w:val="0"/>
      <w:marRight w:val="0"/>
      <w:marTop w:val="0"/>
      <w:marBottom w:val="0"/>
      <w:divBdr>
        <w:top w:val="none" w:sz="0" w:space="0" w:color="auto"/>
        <w:left w:val="none" w:sz="0" w:space="0" w:color="auto"/>
        <w:bottom w:val="none" w:sz="0" w:space="0" w:color="auto"/>
        <w:right w:val="none" w:sz="0" w:space="0" w:color="auto"/>
      </w:divBdr>
    </w:div>
    <w:div w:id="1771465437">
      <w:bodyDiv w:val="1"/>
      <w:marLeft w:val="0"/>
      <w:marRight w:val="0"/>
      <w:marTop w:val="0"/>
      <w:marBottom w:val="0"/>
      <w:divBdr>
        <w:top w:val="none" w:sz="0" w:space="0" w:color="auto"/>
        <w:left w:val="none" w:sz="0" w:space="0" w:color="auto"/>
        <w:bottom w:val="none" w:sz="0" w:space="0" w:color="auto"/>
        <w:right w:val="none" w:sz="0" w:space="0" w:color="auto"/>
      </w:divBdr>
    </w:div>
    <w:div w:id="1774738956">
      <w:bodyDiv w:val="1"/>
      <w:marLeft w:val="0"/>
      <w:marRight w:val="0"/>
      <w:marTop w:val="0"/>
      <w:marBottom w:val="0"/>
      <w:divBdr>
        <w:top w:val="none" w:sz="0" w:space="0" w:color="auto"/>
        <w:left w:val="none" w:sz="0" w:space="0" w:color="auto"/>
        <w:bottom w:val="none" w:sz="0" w:space="0" w:color="auto"/>
        <w:right w:val="none" w:sz="0" w:space="0" w:color="auto"/>
      </w:divBdr>
    </w:div>
    <w:div w:id="1779136510">
      <w:bodyDiv w:val="1"/>
      <w:marLeft w:val="0"/>
      <w:marRight w:val="0"/>
      <w:marTop w:val="0"/>
      <w:marBottom w:val="0"/>
      <w:divBdr>
        <w:top w:val="none" w:sz="0" w:space="0" w:color="auto"/>
        <w:left w:val="none" w:sz="0" w:space="0" w:color="auto"/>
        <w:bottom w:val="none" w:sz="0" w:space="0" w:color="auto"/>
        <w:right w:val="none" w:sz="0" w:space="0" w:color="auto"/>
      </w:divBdr>
    </w:div>
    <w:div w:id="1786537834">
      <w:bodyDiv w:val="1"/>
      <w:marLeft w:val="0"/>
      <w:marRight w:val="0"/>
      <w:marTop w:val="0"/>
      <w:marBottom w:val="0"/>
      <w:divBdr>
        <w:top w:val="none" w:sz="0" w:space="0" w:color="auto"/>
        <w:left w:val="none" w:sz="0" w:space="0" w:color="auto"/>
        <w:bottom w:val="none" w:sz="0" w:space="0" w:color="auto"/>
        <w:right w:val="none" w:sz="0" w:space="0" w:color="auto"/>
      </w:divBdr>
    </w:div>
    <w:div w:id="1792282746">
      <w:bodyDiv w:val="1"/>
      <w:marLeft w:val="0"/>
      <w:marRight w:val="0"/>
      <w:marTop w:val="0"/>
      <w:marBottom w:val="0"/>
      <w:divBdr>
        <w:top w:val="none" w:sz="0" w:space="0" w:color="auto"/>
        <w:left w:val="none" w:sz="0" w:space="0" w:color="auto"/>
        <w:bottom w:val="none" w:sz="0" w:space="0" w:color="auto"/>
        <w:right w:val="none" w:sz="0" w:space="0" w:color="auto"/>
      </w:divBdr>
    </w:div>
    <w:div w:id="1805152495">
      <w:bodyDiv w:val="1"/>
      <w:marLeft w:val="0"/>
      <w:marRight w:val="0"/>
      <w:marTop w:val="0"/>
      <w:marBottom w:val="0"/>
      <w:divBdr>
        <w:top w:val="none" w:sz="0" w:space="0" w:color="auto"/>
        <w:left w:val="none" w:sz="0" w:space="0" w:color="auto"/>
        <w:bottom w:val="none" w:sz="0" w:space="0" w:color="auto"/>
        <w:right w:val="none" w:sz="0" w:space="0" w:color="auto"/>
      </w:divBdr>
    </w:div>
    <w:div w:id="1808157884">
      <w:bodyDiv w:val="1"/>
      <w:marLeft w:val="0"/>
      <w:marRight w:val="0"/>
      <w:marTop w:val="0"/>
      <w:marBottom w:val="0"/>
      <w:divBdr>
        <w:top w:val="none" w:sz="0" w:space="0" w:color="auto"/>
        <w:left w:val="none" w:sz="0" w:space="0" w:color="auto"/>
        <w:bottom w:val="none" w:sz="0" w:space="0" w:color="auto"/>
        <w:right w:val="none" w:sz="0" w:space="0" w:color="auto"/>
      </w:divBdr>
    </w:div>
    <w:div w:id="1813792310">
      <w:bodyDiv w:val="1"/>
      <w:marLeft w:val="0"/>
      <w:marRight w:val="0"/>
      <w:marTop w:val="0"/>
      <w:marBottom w:val="0"/>
      <w:divBdr>
        <w:top w:val="none" w:sz="0" w:space="0" w:color="auto"/>
        <w:left w:val="none" w:sz="0" w:space="0" w:color="auto"/>
        <w:bottom w:val="none" w:sz="0" w:space="0" w:color="auto"/>
        <w:right w:val="none" w:sz="0" w:space="0" w:color="auto"/>
      </w:divBdr>
    </w:div>
    <w:div w:id="1819420535">
      <w:bodyDiv w:val="1"/>
      <w:marLeft w:val="0"/>
      <w:marRight w:val="0"/>
      <w:marTop w:val="0"/>
      <w:marBottom w:val="0"/>
      <w:divBdr>
        <w:top w:val="none" w:sz="0" w:space="0" w:color="auto"/>
        <w:left w:val="none" w:sz="0" w:space="0" w:color="auto"/>
        <w:bottom w:val="none" w:sz="0" w:space="0" w:color="auto"/>
        <w:right w:val="none" w:sz="0" w:space="0" w:color="auto"/>
      </w:divBdr>
    </w:div>
    <w:div w:id="1820682218">
      <w:bodyDiv w:val="1"/>
      <w:marLeft w:val="0"/>
      <w:marRight w:val="0"/>
      <w:marTop w:val="0"/>
      <w:marBottom w:val="0"/>
      <w:divBdr>
        <w:top w:val="none" w:sz="0" w:space="0" w:color="auto"/>
        <w:left w:val="none" w:sz="0" w:space="0" w:color="auto"/>
        <w:bottom w:val="none" w:sz="0" w:space="0" w:color="auto"/>
        <w:right w:val="none" w:sz="0" w:space="0" w:color="auto"/>
      </w:divBdr>
    </w:div>
    <w:div w:id="1823696339">
      <w:bodyDiv w:val="1"/>
      <w:marLeft w:val="0"/>
      <w:marRight w:val="0"/>
      <w:marTop w:val="0"/>
      <w:marBottom w:val="0"/>
      <w:divBdr>
        <w:top w:val="none" w:sz="0" w:space="0" w:color="auto"/>
        <w:left w:val="none" w:sz="0" w:space="0" w:color="auto"/>
        <w:bottom w:val="none" w:sz="0" w:space="0" w:color="auto"/>
        <w:right w:val="none" w:sz="0" w:space="0" w:color="auto"/>
      </w:divBdr>
    </w:div>
    <w:div w:id="1827698309">
      <w:bodyDiv w:val="1"/>
      <w:marLeft w:val="0"/>
      <w:marRight w:val="0"/>
      <w:marTop w:val="0"/>
      <w:marBottom w:val="0"/>
      <w:divBdr>
        <w:top w:val="none" w:sz="0" w:space="0" w:color="auto"/>
        <w:left w:val="none" w:sz="0" w:space="0" w:color="auto"/>
        <w:bottom w:val="none" w:sz="0" w:space="0" w:color="auto"/>
        <w:right w:val="none" w:sz="0" w:space="0" w:color="auto"/>
      </w:divBdr>
    </w:div>
    <w:div w:id="1839418732">
      <w:bodyDiv w:val="1"/>
      <w:marLeft w:val="0"/>
      <w:marRight w:val="0"/>
      <w:marTop w:val="0"/>
      <w:marBottom w:val="0"/>
      <w:divBdr>
        <w:top w:val="none" w:sz="0" w:space="0" w:color="auto"/>
        <w:left w:val="none" w:sz="0" w:space="0" w:color="auto"/>
        <w:bottom w:val="none" w:sz="0" w:space="0" w:color="auto"/>
        <w:right w:val="none" w:sz="0" w:space="0" w:color="auto"/>
      </w:divBdr>
    </w:div>
    <w:div w:id="1841047247">
      <w:bodyDiv w:val="1"/>
      <w:marLeft w:val="0"/>
      <w:marRight w:val="0"/>
      <w:marTop w:val="0"/>
      <w:marBottom w:val="0"/>
      <w:divBdr>
        <w:top w:val="none" w:sz="0" w:space="0" w:color="auto"/>
        <w:left w:val="none" w:sz="0" w:space="0" w:color="auto"/>
        <w:bottom w:val="none" w:sz="0" w:space="0" w:color="auto"/>
        <w:right w:val="none" w:sz="0" w:space="0" w:color="auto"/>
      </w:divBdr>
    </w:div>
    <w:div w:id="1844667526">
      <w:bodyDiv w:val="1"/>
      <w:marLeft w:val="0"/>
      <w:marRight w:val="0"/>
      <w:marTop w:val="0"/>
      <w:marBottom w:val="0"/>
      <w:divBdr>
        <w:top w:val="none" w:sz="0" w:space="0" w:color="auto"/>
        <w:left w:val="none" w:sz="0" w:space="0" w:color="auto"/>
        <w:bottom w:val="none" w:sz="0" w:space="0" w:color="auto"/>
        <w:right w:val="none" w:sz="0" w:space="0" w:color="auto"/>
      </w:divBdr>
    </w:div>
    <w:div w:id="1849363168">
      <w:bodyDiv w:val="1"/>
      <w:marLeft w:val="0"/>
      <w:marRight w:val="0"/>
      <w:marTop w:val="0"/>
      <w:marBottom w:val="0"/>
      <w:divBdr>
        <w:top w:val="none" w:sz="0" w:space="0" w:color="auto"/>
        <w:left w:val="none" w:sz="0" w:space="0" w:color="auto"/>
        <w:bottom w:val="none" w:sz="0" w:space="0" w:color="auto"/>
        <w:right w:val="none" w:sz="0" w:space="0" w:color="auto"/>
      </w:divBdr>
    </w:div>
    <w:div w:id="1854879838">
      <w:bodyDiv w:val="1"/>
      <w:marLeft w:val="0"/>
      <w:marRight w:val="0"/>
      <w:marTop w:val="0"/>
      <w:marBottom w:val="0"/>
      <w:divBdr>
        <w:top w:val="none" w:sz="0" w:space="0" w:color="auto"/>
        <w:left w:val="none" w:sz="0" w:space="0" w:color="auto"/>
        <w:bottom w:val="none" w:sz="0" w:space="0" w:color="auto"/>
        <w:right w:val="none" w:sz="0" w:space="0" w:color="auto"/>
      </w:divBdr>
    </w:div>
    <w:div w:id="1870098744">
      <w:bodyDiv w:val="1"/>
      <w:marLeft w:val="0"/>
      <w:marRight w:val="0"/>
      <w:marTop w:val="0"/>
      <w:marBottom w:val="0"/>
      <w:divBdr>
        <w:top w:val="none" w:sz="0" w:space="0" w:color="auto"/>
        <w:left w:val="none" w:sz="0" w:space="0" w:color="auto"/>
        <w:bottom w:val="none" w:sz="0" w:space="0" w:color="auto"/>
        <w:right w:val="none" w:sz="0" w:space="0" w:color="auto"/>
      </w:divBdr>
    </w:div>
    <w:div w:id="1885630797">
      <w:bodyDiv w:val="1"/>
      <w:marLeft w:val="0"/>
      <w:marRight w:val="0"/>
      <w:marTop w:val="0"/>
      <w:marBottom w:val="0"/>
      <w:divBdr>
        <w:top w:val="none" w:sz="0" w:space="0" w:color="auto"/>
        <w:left w:val="none" w:sz="0" w:space="0" w:color="auto"/>
        <w:bottom w:val="none" w:sz="0" w:space="0" w:color="auto"/>
        <w:right w:val="none" w:sz="0" w:space="0" w:color="auto"/>
      </w:divBdr>
    </w:div>
    <w:div w:id="1887831230">
      <w:bodyDiv w:val="1"/>
      <w:marLeft w:val="0"/>
      <w:marRight w:val="0"/>
      <w:marTop w:val="0"/>
      <w:marBottom w:val="0"/>
      <w:divBdr>
        <w:top w:val="none" w:sz="0" w:space="0" w:color="auto"/>
        <w:left w:val="none" w:sz="0" w:space="0" w:color="auto"/>
        <w:bottom w:val="none" w:sz="0" w:space="0" w:color="auto"/>
        <w:right w:val="none" w:sz="0" w:space="0" w:color="auto"/>
      </w:divBdr>
    </w:div>
    <w:div w:id="1891767120">
      <w:bodyDiv w:val="1"/>
      <w:marLeft w:val="0"/>
      <w:marRight w:val="0"/>
      <w:marTop w:val="0"/>
      <w:marBottom w:val="0"/>
      <w:divBdr>
        <w:top w:val="none" w:sz="0" w:space="0" w:color="auto"/>
        <w:left w:val="none" w:sz="0" w:space="0" w:color="auto"/>
        <w:bottom w:val="none" w:sz="0" w:space="0" w:color="auto"/>
        <w:right w:val="none" w:sz="0" w:space="0" w:color="auto"/>
      </w:divBdr>
    </w:div>
    <w:div w:id="1896502673">
      <w:bodyDiv w:val="1"/>
      <w:marLeft w:val="0"/>
      <w:marRight w:val="0"/>
      <w:marTop w:val="0"/>
      <w:marBottom w:val="0"/>
      <w:divBdr>
        <w:top w:val="none" w:sz="0" w:space="0" w:color="auto"/>
        <w:left w:val="none" w:sz="0" w:space="0" w:color="auto"/>
        <w:bottom w:val="none" w:sz="0" w:space="0" w:color="auto"/>
        <w:right w:val="none" w:sz="0" w:space="0" w:color="auto"/>
      </w:divBdr>
    </w:div>
    <w:div w:id="1900434568">
      <w:bodyDiv w:val="1"/>
      <w:marLeft w:val="0"/>
      <w:marRight w:val="0"/>
      <w:marTop w:val="0"/>
      <w:marBottom w:val="0"/>
      <w:divBdr>
        <w:top w:val="none" w:sz="0" w:space="0" w:color="auto"/>
        <w:left w:val="none" w:sz="0" w:space="0" w:color="auto"/>
        <w:bottom w:val="none" w:sz="0" w:space="0" w:color="auto"/>
        <w:right w:val="none" w:sz="0" w:space="0" w:color="auto"/>
      </w:divBdr>
    </w:div>
    <w:div w:id="1909149879">
      <w:bodyDiv w:val="1"/>
      <w:marLeft w:val="0"/>
      <w:marRight w:val="0"/>
      <w:marTop w:val="0"/>
      <w:marBottom w:val="0"/>
      <w:divBdr>
        <w:top w:val="none" w:sz="0" w:space="0" w:color="auto"/>
        <w:left w:val="none" w:sz="0" w:space="0" w:color="auto"/>
        <w:bottom w:val="none" w:sz="0" w:space="0" w:color="auto"/>
        <w:right w:val="none" w:sz="0" w:space="0" w:color="auto"/>
      </w:divBdr>
    </w:div>
    <w:div w:id="1914468390">
      <w:bodyDiv w:val="1"/>
      <w:marLeft w:val="0"/>
      <w:marRight w:val="0"/>
      <w:marTop w:val="0"/>
      <w:marBottom w:val="0"/>
      <w:divBdr>
        <w:top w:val="none" w:sz="0" w:space="0" w:color="auto"/>
        <w:left w:val="none" w:sz="0" w:space="0" w:color="auto"/>
        <w:bottom w:val="none" w:sz="0" w:space="0" w:color="auto"/>
        <w:right w:val="none" w:sz="0" w:space="0" w:color="auto"/>
      </w:divBdr>
    </w:div>
    <w:div w:id="1927105223">
      <w:bodyDiv w:val="1"/>
      <w:marLeft w:val="0"/>
      <w:marRight w:val="0"/>
      <w:marTop w:val="0"/>
      <w:marBottom w:val="0"/>
      <w:divBdr>
        <w:top w:val="none" w:sz="0" w:space="0" w:color="auto"/>
        <w:left w:val="none" w:sz="0" w:space="0" w:color="auto"/>
        <w:bottom w:val="none" w:sz="0" w:space="0" w:color="auto"/>
        <w:right w:val="none" w:sz="0" w:space="0" w:color="auto"/>
      </w:divBdr>
      <w:divsChild>
        <w:div w:id="830684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079687">
      <w:bodyDiv w:val="1"/>
      <w:marLeft w:val="0"/>
      <w:marRight w:val="0"/>
      <w:marTop w:val="0"/>
      <w:marBottom w:val="0"/>
      <w:divBdr>
        <w:top w:val="none" w:sz="0" w:space="0" w:color="auto"/>
        <w:left w:val="none" w:sz="0" w:space="0" w:color="auto"/>
        <w:bottom w:val="none" w:sz="0" w:space="0" w:color="auto"/>
        <w:right w:val="none" w:sz="0" w:space="0" w:color="auto"/>
      </w:divBdr>
    </w:div>
    <w:div w:id="1933929333">
      <w:bodyDiv w:val="1"/>
      <w:marLeft w:val="0"/>
      <w:marRight w:val="0"/>
      <w:marTop w:val="0"/>
      <w:marBottom w:val="0"/>
      <w:divBdr>
        <w:top w:val="none" w:sz="0" w:space="0" w:color="auto"/>
        <w:left w:val="none" w:sz="0" w:space="0" w:color="auto"/>
        <w:bottom w:val="none" w:sz="0" w:space="0" w:color="auto"/>
        <w:right w:val="none" w:sz="0" w:space="0" w:color="auto"/>
      </w:divBdr>
    </w:div>
    <w:div w:id="1938829031">
      <w:bodyDiv w:val="1"/>
      <w:marLeft w:val="0"/>
      <w:marRight w:val="0"/>
      <w:marTop w:val="0"/>
      <w:marBottom w:val="0"/>
      <w:divBdr>
        <w:top w:val="none" w:sz="0" w:space="0" w:color="auto"/>
        <w:left w:val="none" w:sz="0" w:space="0" w:color="auto"/>
        <w:bottom w:val="none" w:sz="0" w:space="0" w:color="auto"/>
        <w:right w:val="none" w:sz="0" w:space="0" w:color="auto"/>
      </w:divBdr>
    </w:div>
    <w:div w:id="1941134913">
      <w:bodyDiv w:val="1"/>
      <w:marLeft w:val="0"/>
      <w:marRight w:val="0"/>
      <w:marTop w:val="0"/>
      <w:marBottom w:val="0"/>
      <w:divBdr>
        <w:top w:val="none" w:sz="0" w:space="0" w:color="auto"/>
        <w:left w:val="none" w:sz="0" w:space="0" w:color="auto"/>
        <w:bottom w:val="none" w:sz="0" w:space="0" w:color="auto"/>
        <w:right w:val="none" w:sz="0" w:space="0" w:color="auto"/>
      </w:divBdr>
    </w:div>
    <w:div w:id="1945843211">
      <w:bodyDiv w:val="1"/>
      <w:marLeft w:val="0"/>
      <w:marRight w:val="0"/>
      <w:marTop w:val="0"/>
      <w:marBottom w:val="0"/>
      <w:divBdr>
        <w:top w:val="none" w:sz="0" w:space="0" w:color="auto"/>
        <w:left w:val="none" w:sz="0" w:space="0" w:color="auto"/>
        <w:bottom w:val="none" w:sz="0" w:space="0" w:color="auto"/>
        <w:right w:val="none" w:sz="0" w:space="0" w:color="auto"/>
      </w:divBdr>
    </w:div>
    <w:div w:id="1948465933">
      <w:bodyDiv w:val="1"/>
      <w:marLeft w:val="0"/>
      <w:marRight w:val="0"/>
      <w:marTop w:val="0"/>
      <w:marBottom w:val="0"/>
      <w:divBdr>
        <w:top w:val="none" w:sz="0" w:space="0" w:color="auto"/>
        <w:left w:val="none" w:sz="0" w:space="0" w:color="auto"/>
        <w:bottom w:val="none" w:sz="0" w:space="0" w:color="auto"/>
        <w:right w:val="none" w:sz="0" w:space="0" w:color="auto"/>
      </w:divBdr>
    </w:div>
    <w:div w:id="1948539946">
      <w:bodyDiv w:val="1"/>
      <w:marLeft w:val="0"/>
      <w:marRight w:val="0"/>
      <w:marTop w:val="0"/>
      <w:marBottom w:val="0"/>
      <w:divBdr>
        <w:top w:val="none" w:sz="0" w:space="0" w:color="auto"/>
        <w:left w:val="none" w:sz="0" w:space="0" w:color="auto"/>
        <w:bottom w:val="none" w:sz="0" w:space="0" w:color="auto"/>
        <w:right w:val="none" w:sz="0" w:space="0" w:color="auto"/>
      </w:divBdr>
    </w:div>
    <w:div w:id="1948612657">
      <w:bodyDiv w:val="1"/>
      <w:marLeft w:val="0"/>
      <w:marRight w:val="0"/>
      <w:marTop w:val="0"/>
      <w:marBottom w:val="0"/>
      <w:divBdr>
        <w:top w:val="none" w:sz="0" w:space="0" w:color="auto"/>
        <w:left w:val="none" w:sz="0" w:space="0" w:color="auto"/>
        <w:bottom w:val="none" w:sz="0" w:space="0" w:color="auto"/>
        <w:right w:val="none" w:sz="0" w:space="0" w:color="auto"/>
      </w:divBdr>
    </w:div>
    <w:div w:id="1955478997">
      <w:bodyDiv w:val="1"/>
      <w:marLeft w:val="0"/>
      <w:marRight w:val="0"/>
      <w:marTop w:val="0"/>
      <w:marBottom w:val="0"/>
      <w:divBdr>
        <w:top w:val="none" w:sz="0" w:space="0" w:color="auto"/>
        <w:left w:val="none" w:sz="0" w:space="0" w:color="auto"/>
        <w:bottom w:val="none" w:sz="0" w:space="0" w:color="auto"/>
        <w:right w:val="none" w:sz="0" w:space="0" w:color="auto"/>
      </w:divBdr>
    </w:div>
    <w:div w:id="1957830781">
      <w:bodyDiv w:val="1"/>
      <w:marLeft w:val="0"/>
      <w:marRight w:val="0"/>
      <w:marTop w:val="0"/>
      <w:marBottom w:val="0"/>
      <w:divBdr>
        <w:top w:val="none" w:sz="0" w:space="0" w:color="auto"/>
        <w:left w:val="none" w:sz="0" w:space="0" w:color="auto"/>
        <w:bottom w:val="none" w:sz="0" w:space="0" w:color="auto"/>
        <w:right w:val="none" w:sz="0" w:space="0" w:color="auto"/>
      </w:divBdr>
    </w:div>
    <w:div w:id="1968658926">
      <w:bodyDiv w:val="1"/>
      <w:marLeft w:val="0"/>
      <w:marRight w:val="0"/>
      <w:marTop w:val="0"/>
      <w:marBottom w:val="0"/>
      <w:divBdr>
        <w:top w:val="none" w:sz="0" w:space="0" w:color="auto"/>
        <w:left w:val="none" w:sz="0" w:space="0" w:color="auto"/>
        <w:bottom w:val="none" w:sz="0" w:space="0" w:color="auto"/>
        <w:right w:val="none" w:sz="0" w:space="0" w:color="auto"/>
      </w:divBdr>
    </w:div>
    <w:div w:id="1969818243">
      <w:bodyDiv w:val="1"/>
      <w:marLeft w:val="0"/>
      <w:marRight w:val="0"/>
      <w:marTop w:val="0"/>
      <w:marBottom w:val="0"/>
      <w:divBdr>
        <w:top w:val="none" w:sz="0" w:space="0" w:color="auto"/>
        <w:left w:val="none" w:sz="0" w:space="0" w:color="auto"/>
        <w:bottom w:val="none" w:sz="0" w:space="0" w:color="auto"/>
        <w:right w:val="none" w:sz="0" w:space="0" w:color="auto"/>
      </w:divBdr>
    </w:div>
    <w:div w:id="1971979725">
      <w:bodyDiv w:val="1"/>
      <w:marLeft w:val="0"/>
      <w:marRight w:val="0"/>
      <w:marTop w:val="0"/>
      <w:marBottom w:val="0"/>
      <w:divBdr>
        <w:top w:val="none" w:sz="0" w:space="0" w:color="auto"/>
        <w:left w:val="none" w:sz="0" w:space="0" w:color="auto"/>
        <w:bottom w:val="none" w:sz="0" w:space="0" w:color="auto"/>
        <w:right w:val="none" w:sz="0" w:space="0" w:color="auto"/>
      </w:divBdr>
      <w:divsChild>
        <w:div w:id="1003819833">
          <w:marLeft w:val="0"/>
          <w:marRight w:val="0"/>
          <w:marTop w:val="0"/>
          <w:marBottom w:val="240"/>
          <w:divBdr>
            <w:top w:val="none" w:sz="0" w:space="0" w:color="auto"/>
            <w:left w:val="none" w:sz="0" w:space="0" w:color="auto"/>
            <w:bottom w:val="none" w:sz="0" w:space="0" w:color="auto"/>
            <w:right w:val="none" w:sz="0" w:space="0" w:color="auto"/>
          </w:divBdr>
        </w:div>
        <w:div w:id="1628319917">
          <w:marLeft w:val="0"/>
          <w:marRight w:val="0"/>
          <w:marTop w:val="0"/>
          <w:marBottom w:val="240"/>
          <w:divBdr>
            <w:top w:val="none" w:sz="0" w:space="0" w:color="auto"/>
            <w:left w:val="none" w:sz="0" w:space="0" w:color="auto"/>
            <w:bottom w:val="none" w:sz="0" w:space="0" w:color="auto"/>
            <w:right w:val="none" w:sz="0" w:space="0" w:color="auto"/>
          </w:divBdr>
        </w:div>
        <w:div w:id="1783919876">
          <w:marLeft w:val="0"/>
          <w:marRight w:val="0"/>
          <w:marTop w:val="0"/>
          <w:marBottom w:val="240"/>
          <w:divBdr>
            <w:top w:val="none" w:sz="0" w:space="0" w:color="auto"/>
            <w:left w:val="none" w:sz="0" w:space="0" w:color="auto"/>
            <w:bottom w:val="none" w:sz="0" w:space="0" w:color="auto"/>
            <w:right w:val="none" w:sz="0" w:space="0" w:color="auto"/>
          </w:divBdr>
        </w:div>
        <w:div w:id="1901749548">
          <w:marLeft w:val="0"/>
          <w:marRight w:val="0"/>
          <w:marTop w:val="0"/>
          <w:marBottom w:val="240"/>
          <w:divBdr>
            <w:top w:val="none" w:sz="0" w:space="0" w:color="auto"/>
            <w:left w:val="none" w:sz="0" w:space="0" w:color="auto"/>
            <w:bottom w:val="none" w:sz="0" w:space="0" w:color="auto"/>
            <w:right w:val="none" w:sz="0" w:space="0" w:color="auto"/>
          </w:divBdr>
        </w:div>
      </w:divsChild>
    </w:div>
    <w:div w:id="1972010350">
      <w:bodyDiv w:val="1"/>
      <w:marLeft w:val="0"/>
      <w:marRight w:val="0"/>
      <w:marTop w:val="0"/>
      <w:marBottom w:val="0"/>
      <w:divBdr>
        <w:top w:val="none" w:sz="0" w:space="0" w:color="auto"/>
        <w:left w:val="none" w:sz="0" w:space="0" w:color="auto"/>
        <w:bottom w:val="none" w:sz="0" w:space="0" w:color="auto"/>
        <w:right w:val="none" w:sz="0" w:space="0" w:color="auto"/>
      </w:divBdr>
    </w:div>
    <w:div w:id="1976987651">
      <w:bodyDiv w:val="1"/>
      <w:marLeft w:val="0"/>
      <w:marRight w:val="0"/>
      <w:marTop w:val="0"/>
      <w:marBottom w:val="0"/>
      <w:divBdr>
        <w:top w:val="none" w:sz="0" w:space="0" w:color="auto"/>
        <w:left w:val="none" w:sz="0" w:space="0" w:color="auto"/>
        <w:bottom w:val="none" w:sz="0" w:space="0" w:color="auto"/>
        <w:right w:val="none" w:sz="0" w:space="0" w:color="auto"/>
      </w:divBdr>
      <w:divsChild>
        <w:div w:id="1446193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860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7030771">
      <w:bodyDiv w:val="1"/>
      <w:marLeft w:val="0"/>
      <w:marRight w:val="0"/>
      <w:marTop w:val="0"/>
      <w:marBottom w:val="0"/>
      <w:divBdr>
        <w:top w:val="none" w:sz="0" w:space="0" w:color="auto"/>
        <w:left w:val="none" w:sz="0" w:space="0" w:color="auto"/>
        <w:bottom w:val="none" w:sz="0" w:space="0" w:color="auto"/>
        <w:right w:val="none" w:sz="0" w:space="0" w:color="auto"/>
      </w:divBdr>
      <w:divsChild>
        <w:div w:id="160395111">
          <w:marLeft w:val="0"/>
          <w:marRight w:val="0"/>
          <w:marTop w:val="0"/>
          <w:marBottom w:val="0"/>
          <w:divBdr>
            <w:top w:val="none" w:sz="0" w:space="0" w:color="auto"/>
            <w:left w:val="none" w:sz="0" w:space="0" w:color="auto"/>
            <w:bottom w:val="none" w:sz="0" w:space="0" w:color="auto"/>
            <w:right w:val="none" w:sz="0" w:space="0" w:color="auto"/>
          </w:divBdr>
          <w:divsChild>
            <w:div w:id="788670290">
              <w:marLeft w:val="0"/>
              <w:marRight w:val="0"/>
              <w:marTop w:val="0"/>
              <w:marBottom w:val="0"/>
              <w:divBdr>
                <w:top w:val="none" w:sz="0" w:space="0" w:color="auto"/>
                <w:left w:val="none" w:sz="0" w:space="0" w:color="auto"/>
                <w:bottom w:val="none" w:sz="0" w:space="0" w:color="auto"/>
                <w:right w:val="none" w:sz="0" w:space="0" w:color="auto"/>
              </w:divBdr>
              <w:divsChild>
                <w:div w:id="75513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849797">
          <w:marLeft w:val="0"/>
          <w:marRight w:val="0"/>
          <w:marTop w:val="0"/>
          <w:marBottom w:val="0"/>
          <w:divBdr>
            <w:top w:val="none" w:sz="0" w:space="0" w:color="auto"/>
            <w:left w:val="none" w:sz="0" w:space="0" w:color="auto"/>
            <w:bottom w:val="none" w:sz="0" w:space="0" w:color="auto"/>
            <w:right w:val="none" w:sz="0" w:space="0" w:color="auto"/>
          </w:divBdr>
          <w:divsChild>
            <w:div w:id="1717965550">
              <w:marLeft w:val="0"/>
              <w:marRight w:val="0"/>
              <w:marTop w:val="0"/>
              <w:marBottom w:val="0"/>
              <w:divBdr>
                <w:top w:val="none" w:sz="0" w:space="0" w:color="auto"/>
                <w:left w:val="none" w:sz="0" w:space="0" w:color="auto"/>
                <w:bottom w:val="none" w:sz="0" w:space="0" w:color="auto"/>
                <w:right w:val="none" w:sz="0" w:space="0" w:color="auto"/>
              </w:divBdr>
              <w:divsChild>
                <w:div w:id="1027829170">
                  <w:marLeft w:val="0"/>
                  <w:marRight w:val="0"/>
                  <w:marTop w:val="0"/>
                  <w:marBottom w:val="0"/>
                  <w:divBdr>
                    <w:top w:val="none" w:sz="0" w:space="0" w:color="auto"/>
                    <w:left w:val="none" w:sz="0" w:space="0" w:color="auto"/>
                    <w:bottom w:val="none" w:sz="0" w:space="0" w:color="auto"/>
                    <w:right w:val="none" w:sz="0" w:space="0" w:color="auto"/>
                  </w:divBdr>
                  <w:divsChild>
                    <w:div w:id="2030131925">
                      <w:marLeft w:val="0"/>
                      <w:marRight w:val="0"/>
                      <w:marTop w:val="0"/>
                      <w:marBottom w:val="0"/>
                      <w:divBdr>
                        <w:top w:val="none" w:sz="0" w:space="0" w:color="auto"/>
                        <w:left w:val="none" w:sz="0" w:space="0" w:color="auto"/>
                        <w:bottom w:val="none" w:sz="0" w:space="0" w:color="auto"/>
                        <w:right w:val="none" w:sz="0" w:space="0" w:color="auto"/>
                      </w:divBdr>
                      <w:divsChild>
                        <w:div w:id="11376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022613">
      <w:bodyDiv w:val="1"/>
      <w:marLeft w:val="0"/>
      <w:marRight w:val="0"/>
      <w:marTop w:val="0"/>
      <w:marBottom w:val="0"/>
      <w:divBdr>
        <w:top w:val="none" w:sz="0" w:space="0" w:color="auto"/>
        <w:left w:val="none" w:sz="0" w:space="0" w:color="auto"/>
        <w:bottom w:val="none" w:sz="0" w:space="0" w:color="auto"/>
        <w:right w:val="none" w:sz="0" w:space="0" w:color="auto"/>
      </w:divBdr>
    </w:div>
    <w:div w:id="1980261024">
      <w:bodyDiv w:val="1"/>
      <w:marLeft w:val="0"/>
      <w:marRight w:val="0"/>
      <w:marTop w:val="0"/>
      <w:marBottom w:val="0"/>
      <w:divBdr>
        <w:top w:val="none" w:sz="0" w:space="0" w:color="auto"/>
        <w:left w:val="none" w:sz="0" w:space="0" w:color="auto"/>
        <w:bottom w:val="none" w:sz="0" w:space="0" w:color="auto"/>
        <w:right w:val="none" w:sz="0" w:space="0" w:color="auto"/>
      </w:divBdr>
      <w:divsChild>
        <w:div w:id="17317967">
          <w:marLeft w:val="0"/>
          <w:marRight w:val="0"/>
          <w:marTop w:val="0"/>
          <w:marBottom w:val="0"/>
          <w:divBdr>
            <w:top w:val="none" w:sz="0" w:space="0" w:color="auto"/>
            <w:left w:val="none" w:sz="0" w:space="0" w:color="auto"/>
            <w:bottom w:val="none" w:sz="0" w:space="0" w:color="auto"/>
            <w:right w:val="none" w:sz="0" w:space="0" w:color="auto"/>
          </w:divBdr>
          <w:divsChild>
            <w:div w:id="843016089">
              <w:marLeft w:val="0"/>
              <w:marRight w:val="0"/>
              <w:marTop w:val="0"/>
              <w:marBottom w:val="0"/>
              <w:divBdr>
                <w:top w:val="none" w:sz="0" w:space="0" w:color="auto"/>
                <w:left w:val="none" w:sz="0" w:space="0" w:color="auto"/>
                <w:bottom w:val="none" w:sz="0" w:space="0" w:color="auto"/>
                <w:right w:val="none" w:sz="0" w:space="0" w:color="auto"/>
              </w:divBdr>
            </w:div>
          </w:divsChild>
        </w:div>
        <w:div w:id="20478047">
          <w:marLeft w:val="0"/>
          <w:marRight w:val="0"/>
          <w:marTop w:val="0"/>
          <w:marBottom w:val="0"/>
          <w:divBdr>
            <w:top w:val="none" w:sz="0" w:space="0" w:color="auto"/>
            <w:left w:val="none" w:sz="0" w:space="0" w:color="auto"/>
            <w:bottom w:val="none" w:sz="0" w:space="0" w:color="auto"/>
            <w:right w:val="none" w:sz="0" w:space="0" w:color="auto"/>
          </w:divBdr>
          <w:divsChild>
            <w:div w:id="721372498">
              <w:marLeft w:val="0"/>
              <w:marRight w:val="0"/>
              <w:marTop w:val="0"/>
              <w:marBottom w:val="0"/>
              <w:divBdr>
                <w:top w:val="none" w:sz="0" w:space="0" w:color="auto"/>
                <w:left w:val="none" w:sz="0" w:space="0" w:color="auto"/>
                <w:bottom w:val="none" w:sz="0" w:space="0" w:color="auto"/>
                <w:right w:val="none" w:sz="0" w:space="0" w:color="auto"/>
              </w:divBdr>
            </w:div>
          </w:divsChild>
        </w:div>
        <w:div w:id="49157371">
          <w:marLeft w:val="0"/>
          <w:marRight w:val="0"/>
          <w:marTop w:val="0"/>
          <w:marBottom w:val="0"/>
          <w:divBdr>
            <w:top w:val="none" w:sz="0" w:space="0" w:color="auto"/>
            <w:left w:val="none" w:sz="0" w:space="0" w:color="auto"/>
            <w:bottom w:val="none" w:sz="0" w:space="0" w:color="auto"/>
            <w:right w:val="none" w:sz="0" w:space="0" w:color="auto"/>
          </w:divBdr>
          <w:divsChild>
            <w:div w:id="1895772137">
              <w:marLeft w:val="0"/>
              <w:marRight w:val="0"/>
              <w:marTop w:val="0"/>
              <w:marBottom w:val="0"/>
              <w:divBdr>
                <w:top w:val="none" w:sz="0" w:space="0" w:color="auto"/>
                <w:left w:val="none" w:sz="0" w:space="0" w:color="auto"/>
                <w:bottom w:val="none" w:sz="0" w:space="0" w:color="auto"/>
                <w:right w:val="none" w:sz="0" w:space="0" w:color="auto"/>
              </w:divBdr>
            </w:div>
          </w:divsChild>
        </w:div>
        <w:div w:id="65420621">
          <w:marLeft w:val="0"/>
          <w:marRight w:val="0"/>
          <w:marTop w:val="0"/>
          <w:marBottom w:val="0"/>
          <w:divBdr>
            <w:top w:val="none" w:sz="0" w:space="0" w:color="auto"/>
            <w:left w:val="none" w:sz="0" w:space="0" w:color="auto"/>
            <w:bottom w:val="none" w:sz="0" w:space="0" w:color="auto"/>
            <w:right w:val="none" w:sz="0" w:space="0" w:color="auto"/>
          </w:divBdr>
          <w:divsChild>
            <w:div w:id="1542789472">
              <w:marLeft w:val="0"/>
              <w:marRight w:val="0"/>
              <w:marTop w:val="0"/>
              <w:marBottom w:val="0"/>
              <w:divBdr>
                <w:top w:val="none" w:sz="0" w:space="0" w:color="auto"/>
                <w:left w:val="none" w:sz="0" w:space="0" w:color="auto"/>
                <w:bottom w:val="none" w:sz="0" w:space="0" w:color="auto"/>
                <w:right w:val="none" w:sz="0" w:space="0" w:color="auto"/>
              </w:divBdr>
            </w:div>
          </w:divsChild>
        </w:div>
        <w:div w:id="92673380">
          <w:marLeft w:val="0"/>
          <w:marRight w:val="0"/>
          <w:marTop w:val="0"/>
          <w:marBottom w:val="0"/>
          <w:divBdr>
            <w:top w:val="none" w:sz="0" w:space="0" w:color="auto"/>
            <w:left w:val="none" w:sz="0" w:space="0" w:color="auto"/>
            <w:bottom w:val="none" w:sz="0" w:space="0" w:color="auto"/>
            <w:right w:val="none" w:sz="0" w:space="0" w:color="auto"/>
          </w:divBdr>
          <w:divsChild>
            <w:div w:id="2062631360">
              <w:marLeft w:val="0"/>
              <w:marRight w:val="0"/>
              <w:marTop w:val="0"/>
              <w:marBottom w:val="0"/>
              <w:divBdr>
                <w:top w:val="none" w:sz="0" w:space="0" w:color="auto"/>
                <w:left w:val="none" w:sz="0" w:space="0" w:color="auto"/>
                <w:bottom w:val="none" w:sz="0" w:space="0" w:color="auto"/>
                <w:right w:val="none" w:sz="0" w:space="0" w:color="auto"/>
              </w:divBdr>
            </w:div>
          </w:divsChild>
        </w:div>
        <w:div w:id="98988058">
          <w:marLeft w:val="0"/>
          <w:marRight w:val="0"/>
          <w:marTop w:val="0"/>
          <w:marBottom w:val="0"/>
          <w:divBdr>
            <w:top w:val="none" w:sz="0" w:space="0" w:color="auto"/>
            <w:left w:val="none" w:sz="0" w:space="0" w:color="auto"/>
            <w:bottom w:val="none" w:sz="0" w:space="0" w:color="auto"/>
            <w:right w:val="none" w:sz="0" w:space="0" w:color="auto"/>
          </w:divBdr>
          <w:divsChild>
            <w:div w:id="721056406">
              <w:marLeft w:val="0"/>
              <w:marRight w:val="0"/>
              <w:marTop w:val="0"/>
              <w:marBottom w:val="0"/>
              <w:divBdr>
                <w:top w:val="none" w:sz="0" w:space="0" w:color="auto"/>
                <w:left w:val="none" w:sz="0" w:space="0" w:color="auto"/>
                <w:bottom w:val="none" w:sz="0" w:space="0" w:color="auto"/>
                <w:right w:val="none" w:sz="0" w:space="0" w:color="auto"/>
              </w:divBdr>
            </w:div>
          </w:divsChild>
        </w:div>
        <w:div w:id="109132875">
          <w:marLeft w:val="0"/>
          <w:marRight w:val="0"/>
          <w:marTop w:val="0"/>
          <w:marBottom w:val="0"/>
          <w:divBdr>
            <w:top w:val="none" w:sz="0" w:space="0" w:color="auto"/>
            <w:left w:val="none" w:sz="0" w:space="0" w:color="auto"/>
            <w:bottom w:val="none" w:sz="0" w:space="0" w:color="auto"/>
            <w:right w:val="none" w:sz="0" w:space="0" w:color="auto"/>
          </w:divBdr>
          <w:divsChild>
            <w:div w:id="1180437228">
              <w:marLeft w:val="0"/>
              <w:marRight w:val="0"/>
              <w:marTop w:val="0"/>
              <w:marBottom w:val="0"/>
              <w:divBdr>
                <w:top w:val="none" w:sz="0" w:space="0" w:color="auto"/>
                <w:left w:val="none" w:sz="0" w:space="0" w:color="auto"/>
                <w:bottom w:val="none" w:sz="0" w:space="0" w:color="auto"/>
                <w:right w:val="none" w:sz="0" w:space="0" w:color="auto"/>
              </w:divBdr>
            </w:div>
          </w:divsChild>
        </w:div>
        <w:div w:id="178856120">
          <w:marLeft w:val="0"/>
          <w:marRight w:val="0"/>
          <w:marTop w:val="0"/>
          <w:marBottom w:val="0"/>
          <w:divBdr>
            <w:top w:val="none" w:sz="0" w:space="0" w:color="auto"/>
            <w:left w:val="none" w:sz="0" w:space="0" w:color="auto"/>
            <w:bottom w:val="none" w:sz="0" w:space="0" w:color="auto"/>
            <w:right w:val="none" w:sz="0" w:space="0" w:color="auto"/>
          </w:divBdr>
          <w:divsChild>
            <w:div w:id="1361856631">
              <w:marLeft w:val="0"/>
              <w:marRight w:val="0"/>
              <w:marTop w:val="0"/>
              <w:marBottom w:val="0"/>
              <w:divBdr>
                <w:top w:val="none" w:sz="0" w:space="0" w:color="auto"/>
                <w:left w:val="none" w:sz="0" w:space="0" w:color="auto"/>
                <w:bottom w:val="none" w:sz="0" w:space="0" w:color="auto"/>
                <w:right w:val="none" w:sz="0" w:space="0" w:color="auto"/>
              </w:divBdr>
            </w:div>
          </w:divsChild>
        </w:div>
        <w:div w:id="180363836">
          <w:marLeft w:val="0"/>
          <w:marRight w:val="0"/>
          <w:marTop w:val="0"/>
          <w:marBottom w:val="0"/>
          <w:divBdr>
            <w:top w:val="none" w:sz="0" w:space="0" w:color="auto"/>
            <w:left w:val="none" w:sz="0" w:space="0" w:color="auto"/>
            <w:bottom w:val="none" w:sz="0" w:space="0" w:color="auto"/>
            <w:right w:val="none" w:sz="0" w:space="0" w:color="auto"/>
          </w:divBdr>
          <w:divsChild>
            <w:div w:id="1693535848">
              <w:marLeft w:val="0"/>
              <w:marRight w:val="0"/>
              <w:marTop w:val="0"/>
              <w:marBottom w:val="0"/>
              <w:divBdr>
                <w:top w:val="none" w:sz="0" w:space="0" w:color="auto"/>
                <w:left w:val="none" w:sz="0" w:space="0" w:color="auto"/>
                <w:bottom w:val="none" w:sz="0" w:space="0" w:color="auto"/>
                <w:right w:val="none" w:sz="0" w:space="0" w:color="auto"/>
              </w:divBdr>
            </w:div>
          </w:divsChild>
        </w:div>
        <w:div w:id="186723346">
          <w:marLeft w:val="0"/>
          <w:marRight w:val="0"/>
          <w:marTop w:val="0"/>
          <w:marBottom w:val="0"/>
          <w:divBdr>
            <w:top w:val="none" w:sz="0" w:space="0" w:color="auto"/>
            <w:left w:val="none" w:sz="0" w:space="0" w:color="auto"/>
            <w:bottom w:val="none" w:sz="0" w:space="0" w:color="auto"/>
            <w:right w:val="none" w:sz="0" w:space="0" w:color="auto"/>
          </w:divBdr>
          <w:divsChild>
            <w:div w:id="553928669">
              <w:marLeft w:val="0"/>
              <w:marRight w:val="0"/>
              <w:marTop w:val="0"/>
              <w:marBottom w:val="0"/>
              <w:divBdr>
                <w:top w:val="none" w:sz="0" w:space="0" w:color="auto"/>
                <w:left w:val="none" w:sz="0" w:space="0" w:color="auto"/>
                <w:bottom w:val="none" w:sz="0" w:space="0" w:color="auto"/>
                <w:right w:val="none" w:sz="0" w:space="0" w:color="auto"/>
              </w:divBdr>
            </w:div>
          </w:divsChild>
        </w:div>
        <w:div w:id="196818636">
          <w:marLeft w:val="0"/>
          <w:marRight w:val="0"/>
          <w:marTop w:val="0"/>
          <w:marBottom w:val="0"/>
          <w:divBdr>
            <w:top w:val="none" w:sz="0" w:space="0" w:color="auto"/>
            <w:left w:val="none" w:sz="0" w:space="0" w:color="auto"/>
            <w:bottom w:val="none" w:sz="0" w:space="0" w:color="auto"/>
            <w:right w:val="none" w:sz="0" w:space="0" w:color="auto"/>
          </w:divBdr>
          <w:divsChild>
            <w:div w:id="1046299773">
              <w:marLeft w:val="0"/>
              <w:marRight w:val="0"/>
              <w:marTop w:val="0"/>
              <w:marBottom w:val="0"/>
              <w:divBdr>
                <w:top w:val="none" w:sz="0" w:space="0" w:color="auto"/>
                <w:left w:val="none" w:sz="0" w:space="0" w:color="auto"/>
                <w:bottom w:val="none" w:sz="0" w:space="0" w:color="auto"/>
                <w:right w:val="none" w:sz="0" w:space="0" w:color="auto"/>
              </w:divBdr>
            </w:div>
          </w:divsChild>
        </w:div>
        <w:div w:id="198275072">
          <w:marLeft w:val="0"/>
          <w:marRight w:val="0"/>
          <w:marTop w:val="0"/>
          <w:marBottom w:val="0"/>
          <w:divBdr>
            <w:top w:val="none" w:sz="0" w:space="0" w:color="auto"/>
            <w:left w:val="none" w:sz="0" w:space="0" w:color="auto"/>
            <w:bottom w:val="none" w:sz="0" w:space="0" w:color="auto"/>
            <w:right w:val="none" w:sz="0" w:space="0" w:color="auto"/>
          </w:divBdr>
          <w:divsChild>
            <w:div w:id="2026787803">
              <w:marLeft w:val="0"/>
              <w:marRight w:val="0"/>
              <w:marTop w:val="0"/>
              <w:marBottom w:val="0"/>
              <w:divBdr>
                <w:top w:val="none" w:sz="0" w:space="0" w:color="auto"/>
                <w:left w:val="none" w:sz="0" w:space="0" w:color="auto"/>
                <w:bottom w:val="none" w:sz="0" w:space="0" w:color="auto"/>
                <w:right w:val="none" w:sz="0" w:space="0" w:color="auto"/>
              </w:divBdr>
            </w:div>
          </w:divsChild>
        </w:div>
        <w:div w:id="204215905">
          <w:marLeft w:val="0"/>
          <w:marRight w:val="0"/>
          <w:marTop w:val="0"/>
          <w:marBottom w:val="0"/>
          <w:divBdr>
            <w:top w:val="none" w:sz="0" w:space="0" w:color="auto"/>
            <w:left w:val="none" w:sz="0" w:space="0" w:color="auto"/>
            <w:bottom w:val="none" w:sz="0" w:space="0" w:color="auto"/>
            <w:right w:val="none" w:sz="0" w:space="0" w:color="auto"/>
          </w:divBdr>
          <w:divsChild>
            <w:div w:id="1614706893">
              <w:marLeft w:val="0"/>
              <w:marRight w:val="0"/>
              <w:marTop w:val="0"/>
              <w:marBottom w:val="0"/>
              <w:divBdr>
                <w:top w:val="none" w:sz="0" w:space="0" w:color="auto"/>
                <w:left w:val="none" w:sz="0" w:space="0" w:color="auto"/>
                <w:bottom w:val="none" w:sz="0" w:space="0" w:color="auto"/>
                <w:right w:val="none" w:sz="0" w:space="0" w:color="auto"/>
              </w:divBdr>
            </w:div>
          </w:divsChild>
        </w:div>
        <w:div w:id="221447284">
          <w:marLeft w:val="0"/>
          <w:marRight w:val="0"/>
          <w:marTop w:val="0"/>
          <w:marBottom w:val="0"/>
          <w:divBdr>
            <w:top w:val="none" w:sz="0" w:space="0" w:color="auto"/>
            <w:left w:val="none" w:sz="0" w:space="0" w:color="auto"/>
            <w:bottom w:val="none" w:sz="0" w:space="0" w:color="auto"/>
            <w:right w:val="none" w:sz="0" w:space="0" w:color="auto"/>
          </w:divBdr>
          <w:divsChild>
            <w:div w:id="1223566682">
              <w:marLeft w:val="0"/>
              <w:marRight w:val="0"/>
              <w:marTop w:val="0"/>
              <w:marBottom w:val="0"/>
              <w:divBdr>
                <w:top w:val="none" w:sz="0" w:space="0" w:color="auto"/>
                <w:left w:val="none" w:sz="0" w:space="0" w:color="auto"/>
                <w:bottom w:val="none" w:sz="0" w:space="0" w:color="auto"/>
                <w:right w:val="none" w:sz="0" w:space="0" w:color="auto"/>
              </w:divBdr>
            </w:div>
          </w:divsChild>
        </w:div>
        <w:div w:id="232084336">
          <w:marLeft w:val="0"/>
          <w:marRight w:val="0"/>
          <w:marTop w:val="0"/>
          <w:marBottom w:val="0"/>
          <w:divBdr>
            <w:top w:val="none" w:sz="0" w:space="0" w:color="auto"/>
            <w:left w:val="none" w:sz="0" w:space="0" w:color="auto"/>
            <w:bottom w:val="none" w:sz="0" w:space="0" w:color="auto"/>
            <w:right w:val="none" w:sz="0" w:space="0" w:color="auto"/>
          </w:divBdr>
          <w:divsChild>
            <w:div w:id="1688168602">
              <w:marLeft w:val="0"/>
              <w:marRight w:val="0"/>
              <w:marTop w:val="0"/>
              <w:marBottom w:val="0"/>
              <w:divBdr>
                <w:top w:val="none" w:sz="0" w:space="0" w:color="auto"/>
                <w:left w:val="none" w:sz="0" w:space="0" w:color="auto"/>
                <w:bottom w:val="none" w:sz="0" w:space="0" w:color="auto"/>
                <w:right w:val="none" w:sz="0" w:space="0" w:color="auto"/>
              </w:divBdr>
            </w:div>
          </w:divsChild>
        </w:div>
        <w:div w:id="243612128">
          <w:marLeft w:val="0"/>
          <w:marRight w:val="0"/>
          <w:marTop w:val="0"/>
          <w:marBottom w:val="0"/>
          <w:divBdr>
            <w:top w:val="none" w:sz="0" w:space="0" w:color="auto"/>
            <w:left w:val="none" w:sz="0" w:space="0" w:color="auto"/>
            <w:bottom w:val="none" w:sz="0" w:space="0" w:color="auto"/>
            <w:right w:val="none" w:sz="0" w:space="0" w:color="auto"/>
          </w:divBdr>
          <w:divsChild>
            <w:div w:id="1314068996">
              <w:marLeft w:val="0"/>
              <w:marRight w:val="0"/>
              <w:marTop w:val="0"/>
              <w:marBottom w:val="0"/>
              <w:divBdr>
                <w:top w:val="none" w:sz="0" w:space="0" w:color="auto"/>
                <w:left w:val="none" w:sz="0" w:space="0" w:color="auto"/>
                <w:bottom w:val="none" w:sz="0" w:space="0" w:color="auto"/>
                <w:right w:val="none" w:sz="0" w:space="0" w:color="auto"/>
              </w:divBdr>
            </w:div>
          </w:divsChild>
        </w:div>
        <w:div w:id="264966674">
          <w:marLeft w:val="0"/>
          <w:marRight w:val="0"/>
          <w:marTop w:val="0"/>
          <w:marBottom w:val="0"/>
          <w:divBdr>
            <w:top w:val="none" w:sz="0" w:space="0" w:color="auto"/>
            <w:left w:val="none" w:sz="0" w:space="0" w:color="auto"/>
            <w:bottom w:val="none" w:sz="0" w:space="0" w:color="auto"/>
            <w:right w:val="none" w:sz="0" w:space="0" w:color="auto"/>
          </w:divBdr>
          <w:divsChild>
            <w:div w:id="405610365">
              <w:marLeft w:val="0"/>
              <w:marRight w:val="0"/>
              <w:marTop w:val="0"/>
              <w:marBottom w:val="0"/>
              <w:divBdr>
                <w:top w:val="none" w:sz="0" w:space="0" w:color="auto"/>
                <w:left w:val="none" w:sz="0" w:space="0" w:color="auto"/>
                <w:bottom w:val="none" w:sz="0" w:space="0" w:color="auto"/>
                <w:right w:val="none" w:sz="0" w:space="0" w:color="auto"/>
              </w:divBdr>
            </w:div>
          </w:divsChild>
        </w:div>
        <w:div w:id="307252026">
          <w:marLeft w:val="0"/>
          <w:marRight w:val="0"/>
          <w:marTop w:val="0"/>
          <w:marBottom w:val="0"/>
          <w:divBdr>
            <w:top w:val="none" w:sz="0" w:space="0" w:color="auto"/>
            <w:left w:val="none" w:sz="0" w:space="0" w:color="auto"/>
            <w:bottom w:val="none" w:sz="0" w:space="0" w:color="auto"/>
            <w:right w:val="none" w:sz="0" w:space="0" w:color="auto"/>
          </w:divBdr>
          <w:divsChild>
            <w:div w:id="76367791">
              <w:marLeft w:val="0"/>
              <w:marRight w:val="0"/>
              <w:marTop w:val="0"/>
              <w:marBottom w:val="0"/>
              <w:divBdr>
                <w:top w:val="none" w:sz="0" w:space="0" w:color="auto"/>
                <w:left w:val="none" w:sz="0" w:space="0" w:color="auto"/>
                <w:bottom w:val="none" w:sz="0" w:space="0" w:color="auto"/>
                <w:right w:val="none" w:sz="0" w:space="0" w:color="auto"/>
              </w:divBdr>
            </w:div>
          </w:divsChild>
        </w:div>
        <w:div w:id="307369943">
          <w:marLeft w:val="0"/>
          <w:marRight w:val="0"/>
          <w:marTop w:val="0"/>
          <w:marBottom w:val="0"/>
          <w:divBdr>
            <w:top w:val="none" w:sz="0" w:space="0" w:color="auto"/>
            <w:left w:val="none" w:sz="0" w:space="0" w:color="auto"/>
            <w:bottom w:val="none" w:sz="0" w:space="0" w:color="auto"/>
            <w:right w:val="none" w:sz="0" w:space="0" w:color="auto"/>
          </w:divBdr>
          <w:divsChild>
            <w:div w:id="108011242">
              <w:marLeft w:val="0"/>
              <w:marRight w:val="0"/>
              <w:marTop w:val="0"/>
              <w:marBottom w:val="0"/>
              <w:divBdr>
                <w:top w:val="none" w:sz="0" w:space="0" w:color="auto"/>
                <w:left w:val="none" w:sz="0" w:space="0" w:color="auto"/>
                <w:bottom w:val="none" w:sz="0" w:space="0" w:color="auto"/>
                <w:right w:val="none" w:sz="0" w:space="0" w:color="auto"/>
              </w:divBdr>
            </w:div>
          </w:divsChild>
        </w:div>
        <w:div w:id="320156519">
          <w:marLeft w:val="0"/>
          <w:marRight w:val="0"/>
          <w:marTop w:val="0"/>
          <w:marBottom w:val="0"/>
          <w:divBdr>
            <w:top w:val="none" w:sz="0" w:space="0" w:color="auto"/>
            <w:left w:val="none" w:sz="0" w:space="0" w:color="auto"/>
            <w:bottom w:val="none" w:sz="0" w:space="0" w:color="auto"/>
            <w:right w:val="none" w:sz="0" w:space="0" w:color="auto"/>
          </w:divBdr>
          <w:divsChild>
            <w:div w:id="1354301590">
              <w:marLeft w:val="0"/>
              <w:marRight w:val="0"/>
              <w:marTop w:val="0"/>
              <w:marBottom w:val="0"/>
              <w:divBdr>
                <w:top w:val="none" w:sz="0" w:space="0" w:color="auto"/>
                <w:left w:val="none" w:sz="0" w:space="0" w:color="auto"/>
                <w:bottom w:val="none" w:sz="0" w:space="0" w:color="auto"/>
                <w:right w:val="none" w:sz="0" w:space="0" w:color="auto"/>
              </w:divBdr>
            </w:div>
          </w:divsChild>
        </w:div>
        <w:div w:id="333534870">
          <w:marLeft w:val="0"/>
          <w:marRight w:val="0"/>
          <w:marTop w:val="0"/>
          <w:marBottom w:val="0"/>
          <w:divBdr>
            <w:top w:val="none" w:sz="0" w:space="0" w:color="auto"/>
            <w:left w:val="none" w:sz="0" w:space="0" w:color="auto"/>
            <w:bottom w:val="none" w:sz="0" w:space="0" w:color="auto"/>
            <w:right w:val="none" w:sz="0" w:space="0" w:color="auto"/>
          </w:divBdr>
          <w:divsChild>
            <w:div w:id="1545867109">
              <w:marLeft w:val="0"/>
              <w:marRight w:val="0"/>
              <w:marTop w:val="0"/>
              <w:marBottom w:val="0"/>
              <w:divBdr>
                <w:top w:val="none" w:sz="0" w:space="0" w:color="auto"/>
                <w:left w:val="none" w:sz="0" w:space="0" w:color="auto"/>
                <w:bottom w:val="none" w:sz="0" w:space="0" w:color="auto"/>
                <w:right w:val="none" w:sz="0" w:space="0" w:color="auto"/>
              </w:divBdr>
            </w:div>
          </w:divsChild>
        </w:div>
        <w:div w:id="343164775">
          <w:marLeft w:val="0"/>
          <w:marRight w:val="0"/>
          <w:marTop w:val="0"/>
          <w:marBottom w:val="0"/>
          <w:divBdr>
            <w:top w:val="none" w:sz="0" w:space="0" w:color="auto"/>
            <w:left w:val="none" w:sz="0" w:space="0" w:color="auto"/>
            <w:bottom w:val="none" w:sz="0" w:space="0" w:color="auto"/>
            <w:right w:val="none" w:sz="0" w:space="0" w:color="auto"/>
          </w:divBdr>
          <w:divsChild>
            <w:div w:id="1545143257">
              <w:marLeft w:val="0"/>
              <w:marRight w:val="0"/>
              <w:marTop w:val="0"/>
              <w:marBottom w:val="0"/>
              <w:divBdr>
                <w:top w:val="none" w:sz="0" w:space="0" w:color="auto"/>
                <w:left w:val="none" w:sz="0" w:space="0" w:color="auto"/>
                <w:bottom w:val="none" w:sz="0" w:space="0" w:color="auto"/>
                <w:right w:val="none" w:sz="0" w:space="0" w:color="auto"/>
              </w:divBdr>
            </w:div>
          </w:divsChild>
        </w:div>
        <w:div w:id="368336228">
          <w:marLeft w:val="0"/>
          <w:marRight w:val="0"/>
          <w:marTop w:val="0"/>
          <w:marBottom w:val="0"/>
          <w:divBdr>
            <w:top w:val="none" w:sz="0" w:space="0" w:color="auto"/>
            <w:left w:val="none" w:sz="0" w:space="0" w:color="auto"/>
            <w:bottom w:val="none" w:sz="0" w:space="0" w:color="auto"/>
            <w:right w:val="none" w:sz="0" w:space="0" w:color="auto"/>
          </w:divBdr>
          <w:divsChild>
            <w:div w:id="316498861">
              <w:marLeft w:val="0"/>
              <w:marRight w:val="0"/>
              <w:marTop w:val="0"/>
              <w:marBottom w:val="0"/>
              <w:divBdr>
                <w:top w:val="none" w:sz="0" w:space="0" w:color="auto"/>
                <w:left w:val="none" w:sz="0" w:space="0" w:color="auto"/>
                <w:bottom w:val="none" w:sz="0" w:space="0" w:color="auto"/>
                <w:right w:val="none" w:sz="0" w:space="0" w:color="auto"/>
              </w:divBdr>
            </w:div>
          </w:divsChild>
        </w:div>
        <w:div w:id="371881510">
          <w:marLeft w:val="0"/>
          <w:marRight w:val="0"/>
          <w:marTop w:val="0"/>
          <w:marBottom w:val="0"/>
          <w:divBdr>
            <w:top w:val="none" w:sz="0" w:space="0" w:color="auto"/>
            <w:left w:val="none" w:sz="0" w:space="0" w:color="auto"/>
            <w:bottom w:val="none" w:sz="0" w:space="0" w:color="auto"/>
            <w:right w:val="none" w:sz="0" w:space="0" w:color="auto"/>
          </w:divBdr>
          <w:divsChild>
            <w:div w:id="1898202120">
              <w:marLeft w:val="0"/>
              <w:marRight w:val="0"/>
              <w:marTop w:val="0"/>
              <w:marBottom w:val="0"/>
              <w:divBdr>
                <w:top w:val="none" w:sz="0" w:space="0" w:color="auto"/>
                <w:left w:val="none" w:sz="0" w:space="0" w:color="auto"/>
                <w:bottom w:val="none" w:sz="0" w:space="0" w:color="auto"/>
                <w:right w:val="none" w:sz="0" w:space="0" w:color="auto"/>
              </w:divBdr>
            </w:div>
          </w:divsChild>
        </w:div>
        <w:div w:id="377626924">
          <w:marLeft w:val="0"/>
          <w:marRight w:val="0"/>
          <w:marTop w:val="0"/>
          <w:marBottom w:val="0"/>
          <w:divBdr>
            <w:top w:val="none" w:sz="0" w:space="0" w:color="auto"/>
            <w:left w:val="none" w:sz="0" w:space="0" w:color="auto"/>
            <w:bottom w:val="none" w:sz="0" w:space="0" w:color="auto"/>
            <w:right w:val="none" w:sz="0" w:space="0" w:color="auto"/>
          </w:divBdr>
          <w:divsChild>
            <w:div w:id="1735353972">
              <w:marLeft w:val="0"/>
              <w:marRight w:val="0"/>
              <w:marTop w:val="0"/>
              <w:marBottom w:val="0"/>
              <w:divBdr>
                <w:top w:val="none" w:sz="0" w:space="0" w:color="auto"/>
                <w:left w:val="none" w:sz="0" w:space="0" w:color="auto"/>
                <w:bottom w:val="none" w:sz="0" w:space="0" w:color="auto"/>
                <w:right w:val="none" w:sz="0" w:space="0" w:color="auto"/>
              </w:divBdr>
            </w:div>
          </w:divsChild>
        </w:div>
        <w:div w:id="383145299">
          <w:marLeft w:val="0"/>
          <w:marRight w:val="0"/>
          <w:marTop w:val="0"/>
          <w:marBottom w:val="0"/>
          <w:divBdr>
            <w:top w:val="none" w:sz="0" w:space="0" w:color="auto"/>
            <w:left w:val="none" w:sz="0" w:space="0" w:color="auto"/>
            <w:bottom w:val="none" w:sz="0" w:space="0" w:color="auto"/>
            <w:right w:val="none" w:sz="0" w:space="0" w:color="auto"/>
          </w:divBdr>
          <w:divsChild>
            <w:div w:id="2005667505">
              <w:marLeft w:val="0"/>
              <w:marRight w:val="0"/>
              <w:marTop w:val="0"/>
              <w:marBottom w:val="0"/>
              <w:divBdr>
                <w:top w:val="none" w:sz="0" w:space="0" w:color="auto"/>
                <w:left w:val="none" w:sz="0" w:space="0" w:color="auto"/>
                <w:bottom w:val="none" w:sz="0" w:space="0" w:color="auto"/>
                <w:right w:val="none" w:sz="0" w:space="0" w:color="auto"/>
              </w:divBdr>
            </w:div>
          </w:divsChild>
        </w:div>
        <w:div w:id="396251051">
          <w:marLeft w:val="0"/>
          <w:marRight w:val="0"/>
          <w:marTop w:val="0"/>
          <w:marBottom w:val="0"/>
          <w:divBdr>
            <w:top w:val="none" w:sz="0" w:space="0" w:color="auto"/>
            <w:left w:val="none" w:sz="0" w:space="0" w:color="auto"/>
            <w:bottom w:val="none" w:sz="0" w:space="0" w:color="auto"/>
            <w:right w:val="none" w:sz="0" w:space="0" w:color="auto"/>
          </w:divBdr>
          <w:divsChild>
            <w:div w:id="1989699395">
              <w:marLeft w:val="0"/>
              <w:marRight w:val="0"/>
              <w:marTop w:val="0"/>
              <w:marBottom w:val="0"/>
              <w:divBdr>
                <w:top w:val="none" w:sz="0" w:space="0" w:color="auto"/>
                <w:left w:val="none" w:sz="0" w:space="0" w:color="auto"/>
                <w:bottom w:val="none" w:sz="0" w:space="0" w:color="auto"/>
                <w:right w:val="none" w:sz="0" w:space="0" w:color="auto"/>
              </w:divBdr>
            </w:div>
          </w:divsChild>
        </w:div>
        <w:div w:id="438716623">
          <w:marLeft w:val="0"/>
          <w:marRight w:val="0"/>
          <w:marTop w:val="0"/>
          <w:marBottom w:val="0"/>
          <w:divBdr>
            <w:top w:val="none" w:sz="0" w:space="0" w:color="auto"/>
            <w:left w:val="none" w:sz="0" w:space="0" w:color="auto"/>
            <w:bottom w:val="none" w:sz="0" w:space="0" w:color="auto"/>
            <w:right w:val="none" w:sz="0" w:space="0" w:color="auto"/>
          </w:divBdr>
          <w:divsChild>
            <w:div w:id="1750156166">
              <w:marLeft w:val="0"/>
              <w:marRight w:val="0"/>
              <w:marTop w:val="0"/>
              <w:marBottom w:val="0"/>
              <w:divBdr>
                <w:top w:val="none" w:sz="0" w:space="0" w:color="auto"/>
                <w:left w:val="none" w:sz="0" w:space="0" w:color="auto"/>
                <w:bottom w:val="none" w:sz="0" w:space="0" w:color="auto"/>
                <w:right w:val="none" w:sz="0" w:space="0" w:color="auto"/>
              </w:divBdr>
            </w:div>
          </w:divsChild>
        </w:div>
        <w:div w:id="455952326">
          <w:marLeft w:val="0"/>
          <w:marRight w:val="0"/>
          <w:marTop w:val="0"/>
          <w:marBottom w:val="0"/>
          <w:divBdr>
            <w:top w:val="none" w:sz="0" w:space="0" w:color="auto"/>
            <w:left w:val="none" w:sz="0" w:space="0" w:color="auto"/>
            <w:bottom w:val="none" w:sz="0" w:space="0" w:color="auto"/>
            <w:right w:val="none" w:sz="0" w:space="0" w:color="auto"/>
          </w:divBdr>
          <w:divsChild>
            <w:div w:id="47799353">
              <w:marLeft w:val="0"/>
              <w:marRight w:val="0"/>
              <w:marTop w:val="0"/>
              <w:marBottom w:val="0"/>
              <w:divBdr>
                <w:top w:val="none" w:sz="0" w:space="0" w:color="auto"/>
                <w:left w:val="none" w:sz="0" w:space="0" w:color="auto"/>
                <w:bottom w:val="none" w:sz="0" w:space="0" w:color="auto"/>
                <w:right w:val="none" w:sz="0" w:space="0" w:color="auto"/>
              </w:divBdr>
            </w:div>
          </w:divsChild>
        </w:div>
        <w:div w:id="459424322">
          <w:marLeft w:val="0"/>
          <w:marRight w:val="0"/>
          <w:marTop w:val="0"/>
          <w:marBottom w:val="0"/>
          <w:divBdr>
            <w:top w:val="none" w:sz="0" w:space="0" w:color="auto"/>
            <w:left w:val="none" w:sz="0" w:space="0" w:color="auto"/>
            <w:bottom w:val="none" w:sz="0" w:space="0" w:color="auto"/>
            <w:right w:val="none" w:sz="0" w:space="0" w:color="auto"/>
          </w:divBdr>
          <w:divsChild>
            <w:div w:id="2092577516">
              <w:marLeft w:val="0"/>
              <w:marRight w:val="0"/>
              <w:marTop w:val="0"/>
              <w:marBottom w:val="0"/>
              <w:divBdr>
                <w:top w:val="none" w:sz="0" w:space="0" w:color="auto"/>
                <w:left w:val="none" w:sz="0" w:space="0" w:color="auto"/>
                <w:bottom w:val="none" w:sz="0" w:space="0" w:color="auto"/>
                <w:right w:val="none" w:sz="0" w:space="0" w:color="auto"/>
              </w:divBdr>
            </w:div>
          </w:divsChild>
        </w:div>
        <w:div w:id="465240194">
          <w:marLeft w:val="0"/>
          <w:marRight w:val="0"/>
          <w:marTop w:val="0"/>
          <w:marBottom w:val="0"/>
          <w:divBdr>
            <w:top w:val="none" w:sz="0" w:space="0" w:color="auto"/>
            <w:left w:val="none" w:sz="0" w:space="0" w:color="auto"/>
            <w:bottom w:val="none" w:sz="0" w:space="0" w:color="auto"/>
            <w:right w:val="none" w:sz="0" w:space="0" w:color="auto"/>
          </w:divBdr>
          <w:divsChild>
            <w:div w:id="1351295693">
              <w:marLeft w:val="0"/>
              <w:marRight w:val="0"/>
              <w:marTop w:val="0"/>
              <w:marBottom w:val="0"/>
              <w:divBdr>
                <w:top w:val="none" w:sz="0" w:space="0" w:color="auto"/>
                <w:left w:val="none" w:sz="0" w:space="0" w:color="auto"/>
                <w:bottom w:val="none" w:sz="0" w:space="0" w:color="auto"/>
                <w:right w:val="none" w:sz="0" w:space="0" w:color="auto"/>
              </w:divBdr>
            </w:div>
          </w:divsChild>
        </w:div>
        <w:div w:id="503788474">
          <w:marLeft w:val="0"/>
          <w:marRight w:val="0"/>
          <w:marTop w:val="0"/>
          <w:marBottom w:val="0"/>
          <w:divBdr>
            <w:top w:val="none" w:sz="0" w:space="0" w:color="auto"/>
            <w:left w:val="none" w:sz="0" w:space="0" w:color="auto"/>
            <w:bottom w:val="none" w:sz="0" w:space="0" w:color="auto"/>
            <w:right w:val="none" w:sz="0" w:space="0" w:color="auto"/>
          </w:divBdr>
          <w:divsChild>
            <w:div w:id="125321982">
              <w:marLeft w:val="0"/>
              <w:marRight w:val="0"/>
              <w:marTop w:val="0"/>
              <w:marBottom w:val="0"/>
              <w:divBdr>
                <w:top w:val="none" w:sz="0" w:space="0" w:color="auto"/>
                <w:left w:val="none" w:sz="0" w:space="0" w:color="auto"/>
                <w:bottom w:val="none" w:sz="0" w:space="0" w:color="auto"/>
                <w:right w:val="none" w:sz="0" w:space="0" w:color="auto"/>
              </w:divBdr>
            </w:div>
          </w:divsChild>
        </w:div>
        <w:div w:id="523908807">
          <w:marLeft w:val="0"/>
          <w:marRight w:val="0"/>
          <w:marTop w:val="0"/>
          <w:marBottom w:val="0"/>
          <w:divBdr>
            <w:top w:val="none" w:sz="0" w:space="0" w:color="auto"/>
            <w:left w:val="none" w:sz="0" w:space="0" w:color="auto"/>
            <w:bottom w:val="none" w:sz="0" w:space="0" w:color="auto"/>
            <w:right w:val="none" w:sz="0" w:space="0" w:color="auto"/>
          </w:divBdr>
          <w:divsChild>
            <w:div w:id="1250115496">
              <w:marLeft w:val="0"/>
              <w:marRight w:val="0"/>
              <w:marTop w:val="0"/>
              <w:marBottom w:val="0"/>
              <w:divBdr>
                <w:top w:val="none" w:sz="0" w:space="0" w:color="auto"/>
                <w:left w:val="none" w:sz="0" w:space="0" w:color="auto"/>
                <w:bottom w:val="none" w:sz="0" w:space="0" w:color="auto"/>
                <w:right w:val="none" w:sz="0" w:space="0" w:color="auto"/>
              </w:divBdr>
            </w:div>
          </w:divsChild>
        </w:div>
        <w:div w:id="544563953">
          <w:marLeft w:val="0"/>
          <w:marRight w:val="0"/>
          <w:marTop w:val="0"/>
          <w:marBottom w:val="0"/>
          <w:divBdr>
            <w:top w:val="none" w:sz="0" w:space="0" w:color="auto"/>
            <w:left w:val="none" w:sz="0" w:space="0" w:color="auto"/>
            <w:bottom w:val="none" w:sz="0" w:space="0" w:color="auto"/>
            <w:right w:val="none" w:sz="0" w:space="0" w:color="auto"/>
          </w:divBdr>
          <w:divsChild>
            <w:div w:id="56242994">
              <w:marLeft w:val="0"/>
              <w:marRight w:val="0"/>
              <w:marTop w:val="0"/>
              <w:marBottom w:val="0"/>
              <w:divBdr>
                <w:top w:val="none" w:sz="0" w:space="0" w:color="auto"/>
                <w:left w:val="none" w:sz="0" w:space="0" w:color="auto"/>
                <w:bottom w:val="none" w:sz="0" w:space="0" w:color="auto"/>
                <w:right w:val="none" w:sz="0" w:space="0" w:color="auto"/>
              </w:divBdr>
            </w:div>
          </w:divsChild>
        </w:div>
        <w:div w:id="553738596">
          <w:marLeft w:val="0"/>
          <w:marRight w:val="0"/>
          <w:marTop w:val="0"/>
          <w:marBottom w:val="0"/>
          <w:divBdr>
            <w:top w:val="none" w:sz="0" w:space="0" w:color="auto"/>
            <w:left w:val="none" w:sz="0" w:space="0" w:color="auto"/>
            <w:bottom w:val="none" w:sz="0" w:space="0" w:color="auto"/>
            <w:right w:val="none" w:sz="0" w:space="0" w:color="auto"/>
          </w:divBdr>
          <w:divsChild>
            <w:div w:id="630868181">
              <w:marLeft w:val="0"/>
              <w:marRight w:val="0"/>
              <w:marTop w:val="0"/>
              <w:marBottom w:val="0"/>
              <w:divBdr>
                <w:top w:val="none" w:sz="0" w:space="0" w:color="auto"/>
                <w:left w:val="none" w:sz="0" w:space="0" w:color="auto"/>
                <w:bottom w:val="none" w:sz="0" w:space="0" w:color="auto"/>
                <w:right w:val="none" w:sz="0" w:space="0" w:color="auto"/>
              </w:divBdr>
            </w:div>
          </w:divsChild>
        </w:div>
        <w:div w:id="555434849">
          <w:marLeft w:val="0"/>
          <w:marRight w:val="0"/>
          <w:marTop w:val="0"/>
          <w:marBottom w:val="0"/>
          <w:divBdr>
            <w:top w:val="none" w:sz="0" w:space="0" w:color="auto"/>
            <w:left w:val="none" w:sz="0" w:space="0" w:color="auto"/>
            <w:bottom w:val="none" w:sz="0" w:space="0" w:color="auto"/>
            <w:right w:val="none" w:sz="0" w:space="0" w:color="auto"/>
          </w:divBdr>
          <w:divsChild>
            <w:div w:id="1025983183">
              <w:marLeft w:val="0"/>
              <w:marRight w:val="0"/>
              <w:marTop w:val="0"/>
              <w:marBottom w:val="0"/>
              <w:divBdr>
                <w:top w:val="none" w:sz="0" w:space="0" w:color="auto"/>
                <w:left w:val="none" w:sz="0" w:space="0" w:color="auto"/>
                <w:bottom w:val="none" w:sz="0" w:space="0" w:color="auto"/>
                <w:right w:val="none" w:sz="0" w:space="0" w:color="auto"/>
              </w:divBdr>
            </w:div>
          </w:divsChild>
        </w:div>
        <w:div w:id="582836417">
          <w:marLeft w:val="0"/>
          <w:marRight w:val="0"/>
          <w:marTop w:val="0"/>
          <w:marBottom w:val="0"/>
          <w:divBdr>
            <w:top w:val="none" w:sz="0" w:space="0" w:color="auto"/>
            <w:left w:val="none" w:sz="0" w:space="0" w:color="auto"/>
            <w:bottom w:val="none" w:sz="0" w:space="0" w:color="auto"/>
            <w:right w:val="none" w:sz="0" w:space="0" w:color="auto"/>
          </w:divBdr>
          <w:divsChild>
            <w:div w:id="1922792751">
              <w:marLeft w:val="0"/>
              <w:marRight w:val="0"/>
              <w:marTop w:val="0"/>
              <w:marBottom w:val="0"/>
              <w:divBdr>
                <w:top w:val="none" w:sz="0" w:space="0" w:color="auto"/>
                <w:left w:val="none" w:sz="0" w:space="0" w:color="auto"/>
                <w:bottom w:val="none" w:sz="0" w:space="0" w:color="auto"/>
                <w:right w:val="none" w:sz="0" w:space="0" w:color="auto"/>
              </w:divBdr>
            </w:div>
          </w:divsChild>
        </w:div>
        <w:div w:id="607657826">
          <w:marLeft w:val="0"/>
          <w:marRight w:val="0"/>
          <w:marTop w:val="0"/>
          <w:marBottom w:val="0"/>
          <w:divBdr>
            <w:top w:val="none" w:sz="0" w:space="0" w:color="auto"/>
            <w:left w:val="none" w:sz="0" w:space="0" w:color="auto"/>
            <w:bottom w:val="none" w:sz="0" w:space="0" w:color="auto"/>
            <w:right w:val="none" w:sz="0" w:space="0" w:color="auto"/>
          </w:divBdr>
          <w:divsChild>
            <w:div w:id="1110009010">
              <w:marLeft w:val="0"/>
              <w:marRight w:val="0"/>
              <w:marTop w:val="0"/>
              <w:marBottom w:val="0"/>
              <w:divBdr>
                <w:top w:val="none" w:sz="0" w:space="0" w:color="auto"/>
                <w:left w:val="none" w:sz="0" w:space="0" w:color="auto"/>
                <w:bottom w:val="none" w:sz="0" w:space="0" w:color="auto"/>
                <w:right w:val="none" w:sz="0" w:space="0" w:color="auto"/>
              </w:divBdr>
            </w:div>
          </w:divsChild>
        </w:div>
        <w:div w:id="628708669">
          <w:marLeft w:val="0"/>
          <w:marRight w:val="0"/>
          <w:marTop w:val="0"/>
          <w:marBottom w:val="0"/>
          <w:divBdr>
            <w:top w:val="none" w:sz="0" w:space="0" w:color="auto"/>
            <w:left w:val="none" w:sz="0" w:space="0" w:color="auto"/>
            <w:bottom w:val="none" w:sz="0" w:space="0" w:color="auto"/>
            <w:right w:val="none" w:sz="0" w:space="0" w:color="auto"/>
          </w:divBdr>
          <w:divsChild>
            <w:div w:id="666248466">
              <w:marLeft w:val="0"/>
              <w:marRight w:val="0"/>
              <w:marTop w:val="0"/>
              <w:marBottom w:val="0"/>
              <w:divBdr>
                <w:top w:val="none" w:sz="0" w:space="0" w:color="auto"/>
                <w:left w:val="none" w:sz="0" w:space="0" w:color="auto"/>
                <w:bottom w:val="none" w:sz="0" w:space="0" w:color="auto"/>
                <w:right w:val="none" w:sz="0" w:space="0" w:color="auto"/>
              </w:divBdr>
            </w:div>
          </w:divsChild>
        </w:div>
        <w:div w:id="634019101">
          <w:marLeft w:val="0"/>
          <w:marRight w:val="0"/>
          <w:marTop w:val="0"/>
          <w:marBottom w:val="0"/>
          <w:divBdr>
            <w:top w:val="none" w:sz="0" w:space="0" w:color="auto"/>
            <w:left w:val="none" w:sz="0" w:space="0" w:color="auto"/>
            <w:bottom w:val="none" w:sz="0" w:space="0" w:color="auto"/>
            <w:right w:val="none" w:sz="0" w:space="0" w:color="auto"/>
          </w:divBdr>
          <w:divsChild>
            <w:div w:id="1465542114">
              <w:marLeft w:val="0"/>
              <w:marRight w:val="0"/>
              <w:marTop w:val="0"/>
              <w:marBottom w:val="0"/>
              <w:divBdr>
                <w:top w:val="none" w:sz="0" w:space="0" w:color="auto"/>
                <w:left w:val="none" w:sz="0" w:space="0" w:color="auto"/>
                <w:bottom w:val="none" w:sz="0" w:space="0" w:color="auto"/>
                <w:right w:val="none" w:sz="0" w:space="0" w:color="auto"/>
              </w:divBdr>
            </w:div>
          </w:divsChild>
        </w:div>
        <w:div w:id="648553976">
          <w:marLeft w:val="0"/>
          <w:marRight w:val="0"/>
          <w:marTop w:val="0"/>
          <w:marBottom w:val="0"/>
          <w:divBdr>
            <w:top w:val="none" w:sz="0" w:space="0" w:color="auto"/>
            <w:left w:val="none" w:sz="0" w:space="0" w:color="auto"/>
            <w:bottom w:val="none" w:sz="0" w:space="0" w:color="auto"/>
            <w:right w:val="none" w:sz="0" w:space="0" w:color="auto"/>
          </w:divBdr>
          <w:divsChild>
            <w:div w:id="35737633">
              <w:marLeft w:val="0"/>
              <w:marRight w:val="0"/>
              <w:marTop w:val="0"/>
              <w:marBottom w:val="0"/>
              <w:divBdr>
                <w:top w:val="none" w:sz="0" w:space="0" w:color="auto"/>
                <w:left w:val="none" w:sz="0" w:space="0" w:color="auto"/>
                <w:bottom w:val="none" w:sz="0" w:space="0" w:color="auto"/>
                <w:right w:val="none" w:sz="0" w:space="0" w:color="auto"/>
              </w:divBdr>
            </w:div>
          </w:divsChild>
        </w:div>
        <w:div w:id="662006626">
          <w:marLeft w:val="0"/>
          <w:marRight w:val="0"/>
          <w:marTop w:val="0"/>
          <w:marBottom w:val="0"/>
          <w:divBdr>
            <w:top w:val="none" w:sz="0" w:space="0" w:color="auto"/>
            <w:left w:val="none" w:sz="0" w:space="0" w:color="auto"/>
            <w:bottom w:val="none" w:sz="0" w:space="0" w:color="auto"/>
            <w:right w:val="none" w:sz="0" w:space="0" w:color="auto"/>
          </w:divBdr>
          <w:divsChild>
            <w:div w:id="678891295">
              <w:marLeft w:val="0"/>
              <w:marRight w:val="0"/>
              <w:marTop w:val="0"/>
              <w:marBottom w:val="0"/>
              <w:divBdr>
                <w:top w:val="none" w:sz="0" w:space="0" w:color="auto"/>
                <w:left w:val="none" w:sz="0" w:space="0" w:color="auto"/>
                <w:bottom w:val="none" w:sz="0" w:space="0" w:color="auto"/>
                <w:right w:val="none" w:sz="0" w:space="0" w:color="auto"/>
              </w:divBdr>
            </w:div>
          </w:divsChild>
        </w:div>
        <w:div w:id="670062744">
          <w:marLeft w:val="0"/>
          <w:marRight w:val="0"/>
          <w:marTop w:val="0"/>
          <w:marBottom w:val="0"/>
          <w:divBdr>
            <w:top w:val="none" w:sz="0" w:space="0" w:color="auto"/>
            <w:left w:val="none" w:sz="0" w:space="0" w:color="auto"/>
            <w:bottom w:val="none" w:sz="0" w:space="0" w:color="auto"/>
            <w:right w:val="none" w:sz="0" w:space="0" w:color="auto"/>
          </w:divBdr>
          <w:divsChild>
            <w:div w:id="1425566468">
              <w:marLeft w:val="0"/>
              <w:marRight w:val="0"/>
              <w:marTop w:val="0"/>
              <w:marBottom w:val="0"/>
              <w:divBdr>
                <w:top w:val="none" w:sz="0" w:space="0" w:color="auto"/>
                <w:left w:val="none" w:sz="0" w:space="0" w:color="auto"/>
                <w:bottom w:val="none" w:sz="0" w:space="0" w:color="auto"/>
                <w:right w:val="none" w:sz="0" w:space="0" w:color="auto"/>
              </w:divBdr>
            </w:div>
          </w:divsChild>
        </w:div>
        <w:div w:id="692347017">
          <w:marLeft w:val="0"/>
          <w:marRight w:val="0"/>
          <w:marTop w:val="0"/>
          <w:marBottom w:val="0"/>
          <w:divBdr>
            <w:top w:val="none" w:sz="0" w:space="0" w:color="auto"/>
            <w:left w:val="none" w:sz="0" w:space="0" w:color="auto"/>
            <w:bottom w:val="none" w:sz="0" w:space="0" w:color="auto"/>
            <w:right w:val="none" w:sz="0" w:space="0" w:color="auto"/>
          </w:divBdr>
          <w:divsChild>
            <w:div w:id="957445616">
              <w:marLeft w:val="0"/>
              <w:marRight w:val="0"/>
              <w:marTop w:val="0"/>
              <w:marBottom w:val="0"/>
              <w:divBdr>
                <w:top w:val="none" w:sz="0" w:space="0" w:color="auto"/>
                <w:left w:val="none" w:sz="0" w:space="0" w:color="auto"/>
                <w:bottom w:val="none" w:sz="0" w:space="0" w:color="auto"/>
                <w:right w:val="none" w:sz="0" w:space="0" w:color="auto"/>
              </w:divBdr>
            </w:div>
          </w:divsChild>
        </w:div>
        <w:div w:id="711153149">
          <w:marLeft w:val="0"/>
          <w:marRight w:val="0"/>
          <w:marTop w:val="0"/>
          <w:marBottom w:val="0"/>
          <w:divBdr>
            <w:top w:val="none" w:sz="0" w:space="0" w:color="auto"/>
            <w:left w:val="none" w:sz="0" w:space="0" w:color="auto"/>
            <w:bottom w:val="none" w:sz="0" w:space="0" w:color="auto"/>
            <w:right w:val="none" w:sz="0" w:space="0" w:color="auto"/>
          </w:divBdr>
          <w:divsChild>
            <w:div w:id="281615850">
              <w:marLeft w:val="0"/>
              <w:marRight w:val="0"/>
              <w:marTop w:val="0"/>
              <w:marBottom w:val="0"/>
              <w:divBdr>
                <w:top w:val="none" w:sz="0" w:space="0" w:color="auto"/>
                <w:left w:val="none" w:sz="0" w:space="0" w:color="auto"/>
                <w:bottom w:val="none" w:sz="0" w:space="0" w:color="auto"/>
                <w:right w:val="none" w:sz="0" w:space="0" w:color="auto"/>
              </w:divBdr>
            </w:div>
          </w:divsChild>
        </w:div>
        <w:div w:id="715004455">
          <w:marLeft w:val="0"/>
          <w:marRight w:val="0"/>
          <w:marTop w:val="0"/>
          <w:marBottom w:val="0"/>
          <w:divBdr>
            <w:top w:val="none" w:sz="0" w:space="0" w:color="auto"/>
            <w:left w:val="none" w:sz="0" w:space="0" w:color="auto"/>
            <w:bottom w:val="none" w:sz="0" w:space="0" w:color="auto"/>
            <w:right w:val="none" w:sz="0" w:space="0" w:color="auto"/>
          </w:divBdr>
          <w:divsChild>
            <w:div w:id="1715302048">
              <w:marLeft w:val="0"/>
              <w:marRight w:val="0"/>
              <w:marTop w:val="0"/>
              <w:marBottom w:val="0"/>
              <w:divBdr>
                <w:top w:val="none" w:sz="0" w:space="0" w:color="auto"/>
                <w:left w:val="none" w:sz="0" w:space="0" w:color="auto"/>
                <w:bottom w:val="none" w:sz="0" w:space="0" w:color="auto"/>
                <w:right w:val="none" w:sz="0" w:space="0" w:color="auto"/>
              </w:divBdr>
            </w:div>
          </w:divsChild>
        </w:div>
        <w:div w:id="717320071">
          <w:marLeft w:val="0"/>
          <w:marRight w:val="0"/>
          <w:marTop w:val="0"/>
          <w:marBottom w:val="0"/>
          <w:divBdr>
            <w:top w:val="none" w:sz="0" w:space="0" w:color="auto"/>
            <w:left w:val="none" w:sz="0" w:space="0" w:color="auto"/>
            <w:bottom w:val="none" w:sz="0" w:space="0" w:color="auto"/>
            <w:right w:val="none" w:sz="0" w:space="0" w:color="auto"/>
          </w:divBdr>
          <w:divsChild>
            <w:div w:id="328362906">
              <w:marLeft w:val="0"/>
              <w:marRight w:val="0"/>
              <w:marTop w:val="0"/>
              <w:marBottom w:val="0"/>
              <w:divBdr>
                <w:top w:val="none" w:sz="0" w:space="0" w:color="auto"/>
                <w:left w:val="none" w:sz="0" w:space="0" w:color="auto"/>
                <w:bottom w:val="none" w:sz="0" w:space="0" w:color="auto"/>
                <w:right w:val="none" w:sz="0" w:space="0" w:color="auto"/>
              </w:divBdr>
            </w:div>
          </w:divsChild>
        </w:div>
        <w:div w:id="725955326">
          <w:marLeft w:val="0"/>
          <w:marRight w:val="0"/>
          <w:marTop w:val="0"/>
          <w:marBottom w:val="0"/>
          <w:divBdr>
            <w:top w:val="none" w:sz="0" w:space="0" w:color="auto"/>
            <w:left w:val="none" w:sz="0" w:space="0" w:color="auto"/>
            <w:bottom w:val="none" w:sz="0" w:space="0" w:color="auto"/>
            <w:right w:val="none" w:sz="0" w:space="0" w:color="auto"/>
          </w:divBdr>
          <w:divsChild>
            <w:div w:id="397825925">
              <w:marLeft w:val="0"/>
              <w:marRight w:val="0"/>
              <w:marTop w:val="0"/>
              <w:marBottom w:val="0"/>
              <w:divBdr>
                <w:top w:val="none" w:sz="0" w:space="0" w:color="auto"/>
                <w:left w:val="none" w:sz="0" w:space="0" w:color="auto"/>
                <w:bottom w:val="none" w:sz="0" w:space="0" w:color="auto"/>
                <w:right w:val="none" w:sz="0" w:space="0" w:color="auto"/>
              </w:divBdr>
            </w:div>
          </w:divsChild>
        </w:div>
        <w:div w:id="737900619">
          <w:marLeft w:val="0"/>
          <w:marRight w:val="0"/>
          <w:marTop w:val="0"/>
          <w:marBottom w:val="0"/>
          <w:divBdr>
            <w:top w:val="none" w:sz="0" w:space="0" w:color="auto"/>
            <w:left w:val="none" w:sz="0" w:space="0" w:color="auto"/>
            <w:bottom w:val="none" w:sz="0" w:space="0" w:color="auto"/>
            <w:right w:val="none" w:sz="0" w:space="0" w:color="auto"/>
          </w:divBdr>
          <w:divsChild>
            <w:div w:id="51464749">
              <w:marLeft w:val="0"/>
              <w:marRight w:val="0"/>
              <w:marTop w:val="0"/>
              <w:marBottom w:val="0"/>
              <w:divBdr>
                <w:top w:val="none" w:sz="0" w:space="0" w:color="auto"/>
                <w:left w:val="none" w:sz="0" w:space="0" w:color="auto"/>
                <w:bottom w:val="none" w:sz="0" w:space="0" w:color="auto"/>
                <w:right w:val="none" w:sz="0" w:space="0" w:color="auto"/>
              </w:divBdr>
            </w:div>
          </w:divsChild>
        </w:div>
        <w:div w:id="746608221">
          <w:marLeft w:val="0"/>
          <w:marRight w:val="0"/>
          <w:marTop w:val="0"/>
          <w:marBottom w:val="0"/>
          <w:divBdr>
            <w:top w:val="none" w:sz="0" w:space="0" w:color="auto"/>
            <w:left w:val="none" w:sz="0" w:space="0" w:color="auto"/>
            <w:bottom w:val="none" w:sz="0" w:space="0" w:color="auto"/>
            <w:right w:val="none" w:sz="0" w:space="0" w:color="auto"/>
          </w:divBdr>
          <w:divsChild>
            <w:div w:id="482048116">
              <w:marLeft w:val="0"/>
              <w:marRight w:val="0"/>
              <w:marTop w:val="0"/>
              <w:marBottom w:val="0"/>
              <w:divBdr>
                <w:top w:val="none" w:sz="0" w:space="0" w:color="auto"/>
                <w:left w:val="none" w:sz="0" w:space="0" w:color="auto"/>
                <w:bottom w:val="none" w:sz="0" w:space="0" w:color="auto"/>
                <w:right w:val="none" w:sz="0" w:space="0" w:color="auto"/>
              </w:divBdr>
            </w:div>
          </w:divsChild>
        </w:div>
        <w:div w:id="868686529">
          <w:marLeft w:val="0"/>
          <w:marRight w:val="0"/>
          <w:marTop w:val="0"/>
          <w:marBottom w:val="0"/>
          <w:divBdr>
            <w:top w:val="none" w:sz="0" w:space="0" w:color="auto"/>
            <w:left w:val="none" w:sz="0" w:space="0" w:color="auto"/>
            <w:bottom w:val="none" w:sz="0" w:space="0" w:color="auto"/>
            <w:right w:val="none" w:sz="0" w:space="0" w:color="auto"/>
          </w:divBdr>
          <w:divsChild>
            <w:div w:id="801926560">
              <w:marLeft w:val="0"/>
              <w:marRight w:val="0"/>
              <w:marTop w:val="0"/>
              <w:marBottom w:val="0"/>
              <w:divBdr>
                <w:top w:val="none" w:sz="0" w:space="0" w:color="auto"/>
                <w:left w:val="none" w:sz="0" w:space="0" w:color="auto"/>
                <w:bottom w:val="none" w:sz="0" w:space="0" w:color="auto"/>
                <w:right w:val="none" w:sz="0" w:space="0" w:color="auto"/>
              </w:divBdr>
            </w:div>
          </w:divsChild>
        </w:div>
        <w:div w:id="888885107">
          <w:marLeft w:val="0"/>
          <w:marRight w:val="0"/>
          <w:marTop w:val="0"/>
          <w:marBottom w:val="0"/>
          <w:divBdr>
            <w:top w:val="none" w:sz="0" w:space="0" w:color="auto"/>
            <w:left w:val="none" w:sz="0" w:space="0" w:color="auto"/>
            <w:bottom w:val="none" w:sz="0" w:space="0" w:color="auto"/>
            <w:right w:val="none" w:sz="0" w:space="0" w:color="auto"/>
          </w:divBdr>
          <w:divsChild>
            <w:div w:id="2069181562">
              <w:marLeft w:val="0"/>
              <w:marRight w:val="0"/>
              <w:marTop w:val="0"/>
              <w:marBottom w:val="0"/>
              <w:divBdr>
                <w:top w:val="none" w:sz="0" w:space="0" w:color="auto"/>
                <w:left w:val="none" w:sz="0" w:space="0" w:color="auto"/>
                <w:bottom w:val="none" w:sz="0" w:space="0" w:color="auto"/>
                <w:right w:val="none" w:sz="0" w:space="0" w:color="auto"/>
              </w:divBdr>
            </w:div>
          </w:divsChild>
        </w:div>
        <w:div w:id="908420963">
          <w:marLeft w:val="0"/>
          <w:marRight w:val="0"/>
          <w:marTop w:val="0"/>
          <w:marBottom w:val="0"/>
          <w:divBdr>
            <w:top w:val="none" w:sz="0" w:space="0" w:color="auto"/>
            <w:left w:val="none" w:sz="0" w:space="0" w:color="auto"/>
            <w:bottom w:val="none" w:sz="0" w:space="0" w:color="auto"/>
            <w:right w:val="none" w:sz="0" w:space="0" w:color="auto"/>
          </w:divBdr>
          <w:divsChild>
            <w:div w:id="2078362070">
              <w:marLeft w:val="0"/>
              <w:marRight w:val="0"/>
              <w:marTop w:val="0"/>
              <w:marBottom w:val="0"/>
              <w:divBdr>
                <w:top w:val="none" w:sz="0" w:space="0" w:color="auto"/>
                <w:left w:val="none" w:sz="0" w:space="0" w:color="auto"/>
                <w:bottom w:val="none" w:sz="0" w:space="0" w:color="auto"/>
                <w:right w:val="none" w:sz="0" w:space="0" w:color="auto"/>
              </w:divBdr>
            </w:div>
          </w:divsChild>
        </w:div>
        <w:div w:id="939142721">
          <w:marLeft w:val="0"/>
          <w:marRight w:val="0"/>
          <w:marTop w:val="0"/>
          <w:marBottom w:val="0"/>
          <w:divBdr>
            <w:top w:val="none" w:sz="0" w:space="0" w:color="auto"/>
            <w:left w:val="none" w:sz="0" w:space="0" w:color="auto"/>
            <w:bottom w:val="none" w:sz="0" w:space="0" w:color="auto"/>
            <w:right w:val="none" w:sz="0" w:space="0" w:color="auto"/>
          </w:divBdr>
          <w:divsChild>
            <w:div w:id="437913085">
              <w:marLeft w:val="0"/>
              <w:marRight w:val="0"/>
              <w:marTop w:val="0"/>
              <w:marBottom w:val="0"/>
              <w:divBdr>
                <w:top w:val="none" w:sz="0" w:space="0" w:color="auto"/>
                <w:left w:val="none" w:sz="0" w:space="0" w:color="auto"/>
                <w:bottom w:val="none" w:sz="0" w:space="0" w:color="auto"/>
                <w:right w:val="none" w:sz="0" w:space="0" w:color="auto"/>
              </w:divBdr>
            </w:div>
          </w:divsChild>
        </w:div>
        <w:div w:id="997270014">
          <w:marLeft w:val="0"/>
          <w:marRight w:val="0"/>
          <w:marTop w:val="0"/>
          <w:marBottom w:val="0"/>
          <w:divBdr>
            <w:top w:val="none" w:sz="0" w:space="0" w:color="auto"/>
            <w:left w:val="none" w:sz="0" w:space="0" w:color="auto"/>
            <w:bottom w:val="none" w:sz="0" w:space="0" w:color="auto"/>
            <w:right w:val="none" w:sz="0" w:space="0" w:color="auto"/>
          </w:divBdr>
          <w:divsChild>
            <w:div w:id="1887447425">
              <w:marLeft w:val="0"/>
              <w:marRight w:val="0"/>
              <w:marTop w:val="0"/>
              <w:marBottom w:val="0"/>
              <w:divBdr>
                <w:top w:val="none" w:sz="0" w:space="0" w:color="auto"/>
                <w:left w:val="none" w:sz="0" w:space="0" w:color="auto"/>
                <w:bottom w:val="none" w:sz="0" w:space="0" w:color="auto"/>
                <w:right w:val="none" w:sz="0" w:space="0" w:color="auto"/>
              </w:divBdr>
            </w:div>
          </w:divsChild>
        </w:div>
        <w:div w:id="1001929564">
          <w:marLeft w:val="0"/>
          <w:marRight w:val="0"/>
          <w:marTop w:val="0"/>
          <w:marBottom w:val="0"/>
          <w:divBdr>
            <w:top w:val="none" w:sz="0" w:space="0" w:color="auto"/>
            <w:left w:val="none" w:sz="0" w:space="0" w:color="auto"/>
            <w:bottom w:val="none" w:sz="0" w:space="0" w:color="auto"/>
            <w:right w:val="none" w:sz="0" w:space="0" w:color="auto"/>
          </w:divBdr>
          <w:divsChild>
            <w:div w:id="1611477080">
              <w:marLeft w:val="0"/>
              <w:marRight w:val="0"/>
              <w:marTop w:val="0"/>
              <w:marBottom w:val="0"/>
              <w:divBdr>
                <w:top w:val="none" w:sz="0" w:space="0" w:color="auto"/>
                <w:left w:val="none" w:sz="0" w:space="0" w:color="auto"/>
                <w:bottom w:val="none" w:sz="0" w:space="0" w:color="auto"/>
                <w:right w:val="none" w:sz="0" w:space="0" w:color="auto"/>
              </w:divBdr>
            </w:div>
          </w:divsChild>
        </w:div>
        <w:div w:id="1020207826">
          <w:marLeft w:val="0"/>
          <w:marRight w:val="0"/>
          <w:marTop w:val="0"/>
          <w:marBottom w:val="0"/>
          <w:divBdr>
            <w:top w:val="none" w:sz="0" w:space="0" w:color="auto"/>
            <w:left w:val="none" w:sz="0" w:space="0" w:color="auto"/>
            <w:bottom w:val="none" w:sz="0" w:space="0" w:color="auto"/>
            <w:right w:val="none" w:sz="0" w:space="0" w:color="auto"/>
          </w:divBdr>
          <w:divsChild>
            <w:div w:id="553734555">
              <w:marLeft w:val="0"/>
              <w:marRight w:val="0"/>
              <w:marTop w:val="0"/>
              <w:marBottom w:val="0"/>
              <w:divBdr>
                <w:top w:val="none" w:sz="0" w:space="0" w:color="auto"/>
                <w:left w:val="none" w:sz="0" w:space="0" w:color="auto"/>
                <w:bottom w:val="none" w:sz="0" w:space="0" w:color="auto"/>
                <w:right w:val="none" w:sz="0" w:space="0" w:color="auto"/>
              </w:divBdr>
            </w:div>
          </w:divsChild>
        </w:div>
        <w:div w:id="1021202555">
          <w:marLeft w:val="0"/>
          <w:marRight w:val="0"/>
          <w:marTop w:val="0"/>
          <w:marBottom w:val="0"/>
          <w:divBdr>
            <w:top w:val="none" w:sz="0" w:space="0" w:color="auto"/>
            <w:left w:val="none" w:sz="0" w:space="0" w:color="auto"/>
            <w:bottom w:val="none" w:sz="0" w:space="0" w:color="auto"/>
            <w:right w:val="none" w:sz="0" w:space="0" w:color="auto"/>
          </w:divBdr>
          <w:divsChild>
            <w:div w:id="1806001975">
              <w:marLeft w:val="0"/>
              <w:marRight w:val="0"/>
              <w:marTop w:val="0"/>
              <w:marBottom w:val="0"/>
              <w:divBdr>
                <w:top w:val="none" w:sz="0" w:space="0" w:color="auto"/>
                <w:left w:val="none" w:sz="0" w:space="0" w:color="auto"/>
                <w:bottom w:val="none" w:sz="0" w:space="0" w:color="auto"/>
                <w:right w:val="none" w:sz="0" w:space="0" w:color="auto"/>
              </w:divBdr>
            </w:div>
          </w:divsChild>
        </w:div>
        <w:div w:id="1039670072">
          <w:marLeft w:val="0"/>
          <w:marRight w:val="0"/>
          <w:marTop w:val="0"/>
          <w:marBottom w:val="0"/>
          <w:divBdr>
            <w:top w:val="none" w:sz="0" w:space="0" w:color="auto"/>
            <w:left w:val="none" w:sz="0" w:space="0" w:color="auto"/>
            <w:bottom w:val="none" w:sz="0" w:space="0" w:color="auto"/>
            <w:right w:val="none" w:sz="0" w:space="0" w:color="auto"/>
          </w:divBdr>
          <w:divsChild>
            <w:div w:id="1028024769">
              <w:marLeft w:val="0"/>
              <w:marRight w:val="0"/>
              <w:marTop w:val="0"/>
              <w:marBottom w:val="0"/>
              <w:divBdr>
                <w:top w:val="none" w:sz="0" w:space="0" w:color="auto"/>
                <w:left w:val="none" w:sz="0" w:space="0" w:color="auto"/>
                <w:bottom w:val="none" w:sz="0" w:space="0" w:color="auto"/>
                <w:right w:val="none" w:sz="0" w:space="0" w:color="auto"/>
              </w:divBdr>
            </w:div>
          </w:divsChild>
        </w:div>
        <w:div w:id="1047492010">
          <w:marLeft w:val="0"/>
          <w:marRight w:val="0"/>
          <w:marTop w:val="0"/>
          <w:marBottom w:val="0"/>
          <w:divBdr>
            <w:top w:val="none" w:sz="0" w:space="0" w:color="auto"/>
            <w:left w:val="none" w:sz="0" w:space="0" w:color="auto"/>
            <w:bottom w:val="none" w:sz="0" w:space="0" w:color="auto"/>
            <w:right w:val="none" w:sz="0" w:space="0" w:color="auto"/>
          </w:divBdr>
          <w:divsChild>
            <w:div w:id="1237135125">
              <w:marLeft w:val="0"/>
              <w:marRight w:val="0"/>
              <w:marTop w:val="0"/>
              <w:marBottom w:val="0"/>
              <w:divBdr>
                <w:top w:val="none" w:sz="0" w:space="0" w:color="auto"/>
                <w:left w:val="none" w:sz="0" w:space="0" w:color="auto"/>
                <w:bottom w:val="none" w:sz="0" w:space="0" w:color="auto"/>
                <w:right w:val="none" w:sz="0" w:space="0" w:color="auto"/>
              </w:divBdr>
            </w:div>
          </w:divsChild>
        </w:div>
        <w:div w:id="1051925274">
          <w:marLeft w:val="0"/>
          <w:marRight w:val="0"/>
          <w:marTop w:val="0"/>
          <w:marBottom w:val="0"/>
          <w:divBdr>
            <w:top w:val="none" w:sz="0" w:space="0" w:color="auto"/>
            <w:left w:val="none" w:sz="0" w:space="0" w:color="auto"/>
            <w:bottom w:val="none" w:sz="0" w:space="0" w:color="auto"/>
            <w:right w:val="none" w:sz="0" w:space="0" w:color="auto"/>
          </w:divBdr>
          <w:divsChild>
            <w:div w:id="2082674484">
              <w:marLeft w:val="0"/>
              <w:marRight w:val="0"/>
              <w:marTop w:val="0"/>
              <w:marBottom w:val="0"/>
              <w:divBdr>
                <w:top w:val="none" w:sz="0" w:space="0" w:color="auto"/>
                <w:left w:val="none" w:sz="0" w:space="0" w:color="auto"/>
                <w:bottom w:val="none" w:sz="0" w:space="0" w:color="auto"/>
                <w:right w:val="none" w:sz="0" w:space="0" w:color="auto"/>
              </w:divBdr>
            </w:div>
          </w:divsChild>
        </w:div>
        <w:div w:id="1055859744">
          <w:marLeft w:val="0"/>
          <w:marRight w:val="0"/>
          <w:marTop w:val="0"/>
          <w:marBottom w:val="0"/>
          <w:divBdr>
            <w:top w:val="none" w:sz="0" w:space="0" w:color="auto"/>
            <w:left w:val="none" w:sz="0" w:space="0" w:color="auto"/>
            <w:bottom w:val="none" w:sz="0" w:space="0" w:color="auto"/>
            <w:right w:val="none" w:sz="0" w:space="0" w:color="auto"/>
          </w:divBdr>
          <w:divsChild>
            <w:div w:id="93477195">
              <w:marLeft w:val="0"/>
              <w:marRight w:val="0"/>
              <w:marTop w:val="0"/>
              <w:marBottom w:val="0"/>
              <w:divBdr>
                <w:top w:val="none" w:sz="0" w:space="0" w:color="auto"/>
                <w:left w:val="none" w:sz="0" w:space="0" w:color="auto"/>
                <w:bottom w:val="none" w:sz="0" w:space="0" w:color="auto"/>
                <w:right w:val="none" w:sz="0" w:space="0" w:color="auto"/>
              </w:divBdr>
            </w:div>
          </w:divsChild>
        </w:div>
        <w:div w:id="1059788461">
          <w:marLeft w:val="0"/>
          <w:marRight w:val="0"/>
          <w:marTop w:val="0"/>
          <w:marBottom w:val="0"/>
          <w:divBdr>
            <w:top w:val="none" w:sz="0" w:space="0" w:color="auto"/>
            <w:left w:val="none" w:sz="0" w:space="0" w:color="auto"/>
            <w:bottom w:val="none" w:sz="0" w:space="0" w:color="auto"/>
            <w:right w:val="none" w:sz="0" w:space="0" w:color="auto"/>
          </w:divBdr>
          <w:divsChild>
            <w:div w:id="1042707085">
              <w:marLeft w:val="0"/>
              <w:marRight w:val="0"/>
              <w:marTop w:val="0"/>
              <w:marBottom w:val="0"/>
              <w:divBdr>
                <w:top w:val="none" w:sz="0" w:space="0" w:color="auto"/>
                <w:left w:val="none" w:sz="0" w:space="0" w:color="auto"/>
                <w:bottom w:val="none" w:sz="0" w:space="0" w:color="auto"/>
                <w:right w:val="none" w:sz="0" w:space="0" w:color="auto"/>
              </w:divBdr>
            </w:div>
          </w:divsChild>
        </w:div>
        <w:div w:id="1084911197">
          <w:marLeft w:val="0"/>
          <w:marRight w:val="0"/>
          <w:marTop w:val="0"/>
          <w:marBottom w:val="0"/>
          <w:divBdr>
            <w:top w:val="none" w:sz="0" w:space="0" w:color="auto"/>
            <w:left w:val="none" w:sz="0" w:space="0" w:color="auto"/>
            <w:bottom w:val="none" w:sz="0" w:space="0" w:color="auto"/>
            <w:right w:val="none" w:sz="0" w:space="0" w:color="auto"/>
          </w:divBdr>
          <w:divsChild>
            <w:div w:id="1440755714">
              <w:marLeft w:val="0"/>
              <w:marRight w:val="0"/>
              <w:marTop w:val="0"/>
              <w:marBottom w:val="0"/>
              <w:divBdr>
                <w:top w:val="none" w:sz="0" w:space="0" w:color="auto"/>
                <w:left w:val="none" w:sz="0" w:space="0" w:color="auto"/>
                <w:bottom w:val="none" w:sz="0" w:space="0" w:color="auto"/>
                <w:right w:val="none" w:sz="0" w:space="0" w:color="auto"/>
              </w:divBdr>
            </w:div>
          </w:divsChild>
        </w:div>
        <w:div w:id="1137605760">
          <w:marLeft w:val="0"/>
          <w:marRight w:val="0"/>
          <w:marTop w:val="0"/>
          <w:marBottom w:val="0"/>
          <w:divBdr>
            <w:top w:val="none" w:sz="0" w:space="0" w:color="auto"/>
            <w:left w:val="none" w:sz="0" w:space="0" w:color="auto"/>
            <w:bottom w:val="none" w:sz="0" w:space="0" w:color="auto"/>
            <w:right w:val="none" w:sz="0" w:space="0" w:color="auto"/>
          </w:divBdr>
          <w:divsChild>
            <w:div w:id="1675650847">
              <w:marLeft w:val="0"/>
              <w:marRight w:val="0"/>
              <w:marTop w:val="0"/>
              <w:marBottom w:val="0"/>
              <w:divBdr>
                <w:top w:val="none" w:sz="0" w:space="0" w:color="auto"/>
                <w:left w:val="none" w:sz="0" w:space="0" w:color="auto"/>
                <w:bottom w:val="none" w:sz="0" w:space="0" w:color="auto"/>
                <w:right w:val="none" w:sz="0" w:space="0" w:color="auto"/>
              </w:divBdr>
            </w:div>
          </w:divsChild>
        </w:div>
        <w:div w:id="1147894110">
          <w:marLeft w:val="0"/>
          <w:marRight w:val="0"/>
          <w:marTop w:val="0"/>
          <w:marBottom w:val="0"/>
          <w:divBdr>
            <w:top w:val="none" w:sz="0" w:space="0" w:color="auto"/>
            <w:left w:val="none" w:sz="0" w:space="0" w:color="auto"/>
            <w:bottom w:val="none" w:sz="0" w:space="0" w:color="auto"/>
            <w:right w:val="none" w:sz="0" w:space="0" w:color="auto"/>
          </w:divBdr>
          <w:divsChild>
            <w:div w:id="1214390599">
              <w:marLeft w:val="0"/>
              <w:marRight w:val="0"/>
              <w:marTop w:val="0"/>
              <w:marBottom w:val="0"/>
              <w:divBdr>
                <w:top w:val="none" w:sz="0" w:space="0" w:color="auto"/>
                <w:left w:val="none" w:sz="0" w:space="0" w:color="auto"/>
                <w:bottom w:val="none" w:sz="0" w:space="0" w:color="auto"/>
                <w:right w:val="none" w:sz="0" w:space="0" w:color="auto"/>
              </w:divBdr>
            </w:div>
          </w:divsChild>
        </w:div>
        <w:div w:id="1166702686">
          <w:marLeft w:val="0"/>
          <w:marRight w:val="0"/>
          <w:marTop w:val="0"/>
          <w:marBottom w:val="0"/>
          <w:divBdr>
            <w:top w:val="none" w:sz="0" w:space="0" w:color="auto"/>
            <w:left w:val="none" w:sz="0" w:space="0" w:color="auto"/>
            <w:bottom w:val="none" w:sz="0" w:space="0" w:color="auto"/>
            <w:right w:val="none" w:sz="0" w:space="0" w:color="auto"/>
          </w:divBdr>
          <w:divsChild>
            <w:div w:id="1954510501">
              <w:marLeft w:val="0"/>
              <w:marRight w:val="0"/>
              <w:marTop w:val="0"/>
              <w:marBottom w:val="0"/>
              <w:divBdr>
                <w:top w:val="none" w:sz="0" w:space="0" w:color="auto"/>
                <w:left w:val="none" w:sz="0" w:space="0" w:color="auto"/>
                <w:bottom w:val="none" w:sz="0" w:space="0" w:color="auto"/>
                <w:right w:val="none" w:sz="0" w:space="0" w:color="auto"/>
              </w:divBdr>
            </w:div>
          </w:divsChild>
        </w:div>
        <w:div w:id="1169371794">
          <w:marLeft w:val="0"/>
          <w:marRight w:val="0"/>
          <w:marTop w:val="0"/>
          <w:marBottom w:val="0"/>
          <w:divBdr>
            <w:top w:val="none" w:sz="0" w:space="0" w:color="auto"/>
            <w:left w:val="none" w:sz="0" w:space="0" w:color="auto"/>
            <w:bottom w:val="none" w:sz="0" w:space="0" w:color="auto"/>
            <w:right w:val="none" w:sz="0" w:space="0" w:color="auto"/>
          </w:divBdr>
          <w:divsChild>
            <w:div w:id="449856952">
              <w:marLeft w:val="0"/>
              <w:marRight w:val="0"/>
              <w:marTop w:val="0"/>
              <w:marBottom w:val="0"/>
              <w:divBdr>
                <w:top w:val="none" w:sz="0" w:space="0" w:color="auto"/>
                <w:left w:val="none" w:sz="0" w:space="0" w:color="auto"/>
                <w:bottom w:val="none" w:sz="0" w:space="0" w:color="auto"/>
                <w:right w:val="none" w:sz="0" w:space="0" w:color="auto"/>
              </w:divBdr>
            </w:div>
          </w:divsChild>
        </w:div>
        <w:div w:id="1190950109">
          <w:marLeft w:val="0"/>
          <w:marRight w:val="0"/>
          <w:marTop w:val="0"/>
          <w:marBottom w:val="0"/>
          <w:divBdr>
            <w:top w:val="none" w:sz="0" w:space="0" w:color="auto"/>
            <w:left w:val="none" w:sz="0" w:space="0" w:color="auto"/>
            <w:bottom w:val="none" w:sz="0" w:space="0" w:color="auto"/>
            <w:right w:val="none" w:sz="0" w:space="0" w:color="auto"/>
          </w:divBdr>
          <w:divsChild>
            <w:div w:id="1168209019">
              <w:marLeft w:val="0"/>
              <w:marRight w:val="0"/>
              <w:marTop w:val="0"/>
              <w:marBottom w:val="0"/>
              <w:divBdr>
                <w:top w:val="none" w:sz="0" w:space="0" w:color="auto"/>
                <w:left w:val="none" w:sz="0" w:space="0" w:color="auto"/>
                <w:bottom w:val="none" w:sz="0" w:space="0" w:color="auto"/>
                <w:right w:val="none" w:sz="0" w:space="0" w:color="auto"/>
              </w:divBdr>
            </w:div>
          </w:divsChild>
        </w:div>
        <w:div w:id="1193374356">
          <w:marLeft w:val="0"/>
          <w:marRight w:val="0"/>
          <w:marTop w:val="0"/>
          <w:marBottom w:val="0"/>
          <w:divBdr>
            <w:top w:val="none" w:sz="0" w:space="0" w:color="auto"/>
            <w:left w:val="none" w:sz="0" w:space="0" w:color="auto"/>
            <w:bottom w:val="none" w:sz="0" w:space="0" w:color="auto"/>
            <w:right w:val="none" w:sz="0" w:space="0" w:color="auto"/>
          </w:divBdr>
          <w:divsChild>
            <w:div w:id="32733211">
              <w:marLeft w:val="0"/>
              <w:marRight w:val="0"/>
              <w:marTop w:val="0"/>
              <w:marBottom w:val="0"/>
              <w:divBdr>
                <w:top w:val="none" w:sz="0" w:space="0" w:color="auto"/>
                <w:left w:val="none" w:sz="0" w:space="0" w:color="auto"/>
                <w:bottom w:val="none" w:sz="0" w:space="0" w:color="auto"/>
                <w:right w:val="none" w:sz="0" w:space="0" w:color="auto"/>
              </w:divBdr>
            </w:div>
          </w:divsChild>
        </w:div>
        <w:div w:id="1196507242">
          <w:marLeft w:val="0"/>
          <w:marRight w:val="0"/>
          <w:marTop w:val="0"/>
          <w:marBottom w:val="0"/>
          <w:divBdr>
            <w:top w:val="none" w:sz="0" w:space="0" w:color="auto"/>
            <w:left w:val="none" w:sz="0" w:space="0" w:color="auto"/>
            <w:bottom w:val="none" w:sz="0" w:space="0" w:color="auto"/>
            <w:right w:val="none" w:sz="0" w:space="0" w:color="auto"/>
          </w:divBdr>
          <w:divsChild>
            <w:div w:id="918902241">
              <w:marLeft w:val="0"/>
              <w:marRight w:val="0"/>
              <w:marTop w:val="0"/>
              <w:marBottom w:val="0"/>
              <w:divBdr>
                <w:top w:val="none" w:sz="0" w:space="0" w:color="auto"/>
                <w:left w:val="none" w:sz="0" w:space="0" w:color="auto"/>
                <w:bottom w:val="none" w:sz="0" w:space="0" w:color="auto"/>
                <w:right w:val="none" w:sz="0" w:space="0" w:color="auto"/>
              </w:divBdr>
            </w:div>
          </w:divsChild>
        </w:div>
        <w:div w:id="1218054851">
          <w:marLeft w:val="0"/>
          <w:marRight w:val="0"/>
          <w:marTop w:val="0"/>
          <w:marBottom w:val="0"/>
          <w:divBdr>
            <w:top w:val="none" w:sz="0" w:space="0" w:color="auto"/>
            <w:left w:val="none" w:sz="0" w:space="0" w:color="auto"/>
            <w:bottom w:val="none" w:sz="0" w:space="0" w:color="auto"/>
            <w:right w:val="none" w:sz="0" w:space="0" w:color="auto"/>
          </w:divBdr>
          <w:divsChild>
            <w:div w:id="806238911">
              <w:marLeft w:val="0"/>
              <w:marRight w:val="0"/>
              <w:marTop w:val="0"/>
              <w:marBottom w:val="0"/>
              <w:divBdr>
                <w:top w:val="none" w:sz="0" w:space="0" w:color="auto"/>
                <w:left w:val="none" w:sz="0" w:space="0" w:color="auto"/>
                <w:bottom w:val="none" w:sz="0" w:space="0" w:color="auto"/>
                <w:right w:val="none" w:sz="0" w:space="0" w:color="auto"/>
              </w:divBdr>
            </w:div>
          </w:divsChild>
        </w:div>
        <w:div w:id="1232808818">
          <w:marLeft w:val="0"/>
          <w:marRight w:val="0"/>
          <w:marTop w:val="0"/>
          <w:marBottom w:val="0"/>
          <w:divBdr>
            <w:top w:val="none" w:sz="0" w:space="0" w:color="auto"/>
            <w:left w:val="none" w:sz="0" w:space="0" w:color="auto"/>
            <w:bottom w:val="none" w:sz="0" w:space="0" w:color="auto"/>
            <w:right w:val="none" w:sz="0" w:space="0" w:color="auto"/>
          </w:divBdr>
          <w:divsChild>
            <w:div w:id="857238908">
              <w:marLeft w:val="0"/>
              <w:marRight w:val="0"/>
              <w:marTop w:val="0"/>
              <w:marBottom w:val="0"/>
              <w:divBdr>
                <w:top w:val="none" w:sz="0" w:space="0" w:color="auto"/>
                <w:left w:val="none" w:sz="0" w:space="0" w:color="auto"/>
                <w:bottom w:val="none" w:sz="0" w:space="0" w:color="auto"/>
                <w:right w:val="none" w:sz="0" w:space="0" w:color="auto"/>
              </w:divBdr>
            </w:div>
          </w:divsChild>
        </w:div>
        <w:div w:id="1233005194">
          <w:marLeft w:val="0"/>
          <w:marRight w:val="0"/>
          <w:marTop w:val="0"/>
          <w:marBottom w:val="0"/>
          <w:divBdr>
            <w:top w:val="none" w:sz="0" w:space="0" w:color="auto"/>
            <w:left w:val="none" w:sz="0" w:space="0" w:color="auto"/>
            <w:bottom w:val="none" w:sz="0" w:space="0" w:color="auto"/>
            <w:right w:val="none" w:sz="0" w:space="0" w:color="auto"/>
          </w:divBdr>
          <w:divsChild>
            <w:div w:id="2020885107">
              <w:marLeft w:val="0"/>
              <w:marRight w:val="0"/>
              <w:marTop w:val="0"/>
              <w:marBottom w:val="0"/>
              <w:divBdr>
                <w:top w:val="none" w:sz="0" w:space="0" w:color="auto"/>
                <w:left w:val="none" w:sz="0" w:space="0" w:color="auto"/>
                <w:bottom w:val="none" w:sz="0" w:space="0" w:color="auto"/>
                <w:right w:val="none" w:sz="0" w:space="0" w:color="auto"/>
              </w:divBdr>
            </w:div>
          </w:divsChild>
        </w:div>
        <w:div w:id="1240208696">
          <w:marLeft w:val="0"/>
          <w:marRight w:val="0"/>
          <w:marTop w:val="0"/>
          <w:marBottom w:val="0"/>
          <w:divBdr>
            <w:top w:val="none" w:sz="0" w:space="0" w:color="auto"/>
            <w:left w:val="none" w:sz="0" w:space="0" w:color="auto"/>
            <w:bottom w:val="none" w:sz="0" w:space="0" w:color="auto"/>
            <w:right w:val="none" w:sz="0" w:space="0" w:color="auto"/>
          </w:divBdr>
          <w:divsChild>
            <w:div w:id="773936479">
              <w:marLeft w:val="0"/>
              <w:marRight w:val="0"/>
              <w:marTop w:val="0"/>
              <w:marBottom w:val="0"/>
              <w:divBdr>
                <w:top w:val="none" w:sz="0" w:space="0" w:color="auto"/>
                <w:left w:val="none" w:sz="0" w:space="0" w:color="auto"/>
                <w:bottom w:val="none" w:sz="0" w:space="0" w:color="auto"/>
                <w:right w:val="none" w:sz="0" w:space="0" w:color="auto"/>
              </w:divBdr>
            </w:div>
          </w:divsChild>
        </w:div>
        <w:div w:id="1265990421">
          <w:marLeft w:val="0"/>
          <w:marRight w:val="0"/>
          <w:marTop w:val="0"/>
          <w:marBottom w:val="0"/>
          <w:divBdr>
            <w:top w:val="none" w:sz="0" w:space="0" w:color="auto"/>
            <w:left w:val="none" w:sz="0" w:space="0" w:color="auto"/>
            <w:bottom w:val="none" w:sz="0" w:space="0" w:color="auto"/>
            <w:right w:val="none" w:sz="0" w:space="0" w:color="auto"/>
          </w:divBdr>
          <w:divsChild>
            <w:div w:id="2024823646">
              <w:marLeft w:val="0"/>
              <w:marRight w:val="0"/>
              <w:marTop w:val="0"/>
              <w:marBottom w:val="0"/>
              <w:divBdr>
                <w:top w:val="none" w:sz="0" w:space="0" w:color="auto"/>
                <w:left w:val="none" w:sz="0" w:space="0" w:color="auto"/>
                <w:bottom w:val="none" w:sz="0" w:space="0" w:color="auto"/>
                <w:right w:val="none" w:sz="0" w:space="0" w:color="auto"/>
              </w:divBdr>
            </w:div>
          </w:divsChild>
        </w:div>
        <w:div w:id="1281954539">
          <w:marLeft w:val="0"/>
          <w:marRight w:val="0"/>
          <w:marTop w:val="0"/>
          <w:marBottom w:val="0"/>
          <w:divBdr>
            <w:top w:val="none" w:sz="0" w:space="0" w:color="auto"/>
            <w:left w:val="none" w:sz="0" w:space="0" w:color="auto"/>
            <w:bottom w:val="none" w:sz="0" w:space="0" w:color="auto"/>
            <w:right w:val="none" w:sz="0" w:space="0" w:color="auto"/>
          </w:divBdr>
          <w:divsChild>
            <w:div w:id="354623042">
              <w:marLeft w:val="0"/>
              <w:marRight w:val="0"/>
              <w:marTop w:val="0"/>
              <w:marBottom w:val="0"/>
              <w:divBdr>
                <w:top w:val="none" w:sz="0" w:space="0" w:color="auto"/>
                <w:left w:val="none" w:sz="0" w:space="0" w:color="auto"/>
                <w:bottom w:val="none" w:sz="0" w:space="0" w:color="auto"/>
                <w:right w:val="none" w:sz="0" w:space="0" w:color="auto"/>
              </w:divBdr>
            </w:div>
          </w:divsChild>
        </w:div>
        <w:div w:id="1288395298">
          <w:marLeft w:val="0"/>
          <w:marRight w:val="0"/>
          <w:marTop w:val="0"/>
          <w:marBottom w:val="0"/>
          <w:divBdr>
            <w:top w:val="none" w:sz="0" w:space="0" w:color="auto"/>
            <w:left w:val="none" w:sz="0" w:space="0" w:color="auto"/>
            <w:bottom w:val="none" w:sz="0" w:space="0" w:color="auto"/>
            <w:right w:val="none" w:sz="0" w:space="0" w:color="auto"/>
          </w:divBdr>
          <w:divsChild>
            <w:div w:id="1857846219">
              <w:marLeft w:val="0"/>
              <w:marRight w:val="0"/>
              <w:marTop w:val="0"/>
              <w:marBottom w:val="0"/>
              <w:divBdr>
                <w:top w:val="none" w:sz="0" w:space="0" w:color="auto"/>
                <w:left w:val="none" w:sz="0" w:space="0" w:color="auto"/>
                <w:bottom w:val="none" w:sz="0" w:space="0" w:color="auto"/>
                <w:right w:val="none" w:sz="0" w:space="0" w:color="auto"/>
              </w:divBdr>
            </w:div>
          </w:divsChild>
        </w:div>
        <w:div w:id="1304894287">
          <w:marLeft w:val="0"/>
          <w:marRight w:val="0"/>
          <w:marTop w:val="0"/>
          <w:marBottom w:val="0"/>
          <w:divBdr>
            <w:top w:val="none" w:sz="0" w:space="0" w:color="auto"/>
            <w:left w:val="none" w:sz="0" w:space="0" w:color="auto"/>
            <w:bottom w:val="none" w:sz="0" w:space="0" w:color="auto"/>
            <w:right w:val="none" w:sz="0" w:space="0" w:color="auto"/>
          </w:divBdr>
          <w:divsChild>
            <w:div w:id="388922509">
              <w:marLeft w:val="0"/>
              <w:marRight w:val="0"/>
              <w:marTop w:val="0"/>
              <w:marBottom w:val="0"/>
              <w:divBdr>
                <w:top w:val="none" w:sz="0" w:space="0" w:color="auto"/>
                <w:left w:val="none" w:sz="0" w:space="0" w:color="auto"/>
                <w:bottom w:val="none" w:sz="0" w:space="0" w:color="auto"/>
                <w:right w:val="none" w:sz="0" w:space="0" w:color="auto"/>
              </w:divBdr>
            </w:div>
          </w:divsChild>
        </w:div>
        <w:div w:id="1307706064">
          <w:marLeft w:val="0"/>
          <w:marRight w:val="0"/>
          <w:marTop w:val="0"/>
          <w:marBottom w:val="0"/>
          <w:divBdr>
            <w:top w:val="none" w:sz="0" w:space="0" w:color="auto"/>
            <w:left w:val="none" w:sz="0" w:space="0" w:color="auto"/>
            <w:bottom w:val="none" w:sz="0" w:space="0" w:color="auto"/>
            <w:right w:val="none" w:sz="0" w:space="0" w:color="auto"/>
          </w:divBdr>
          <w:divsChild>
            <w:div w:id="934097709">
              <w:marLeft w:val="0"/>
              <w:marRight w:val="0"/>
              <w:marTop w:val="0"/>
              <w:marBottom w:val="0"/>
              <w:divBdr>
                <w:top w:val="none" w:sz="0" w:space="0" w:color="auto"/>
                <w:left w:val="none" w:sz="0" w:space="0" w:color="auto"/>
                <w:bottom w:val="none" w:sz="0" w:space="0" w:color="auto"/>
                <w:right w:val="none" w:sz="0" w:space="0" w:color="auto"/>
              </w:divBdr>
            </w:div>
          </w:divsChild>
        </w:div>
        <w:div w:id="1307927362">
          <w:marLeft w:val="0"/>
          <w:marRight w:val="0"/>
          <w:marTop w:val="0"/>
          <w:marBottom w:val="0"/>
          <w:divBdr>
            <w:top w:val="none" w:sz="0" w:space="0" w:color="auto"/>
            <w:left w:val="none" w:sz="0" w:space="0" w:color="auto"/>
            <w:bottom w:val="none" w:sz="0" w:space="0" w:color="auto"/>
            <w:right w:val="none" w:sz="0" w:space="0" w:color="auto"/>
          </w:divBdr>
          <w:divsChild>
            <w:div w:id="1299841173">
              <w:marLeft w:val="0"/>
              <w:marRight w:val="0"/>
              <w:marTop w:val="0"/>
              <w:marBottom w:val="0"/>
              <w:divBdr>
                <w:top w:val="none" w:sz="0" w:space="0" w:color="auto"/>
                <w:left w:val="none" w:sz="0" w:space="0" w:color="auto"/>
                <w:bottom w:val="none" w:sz="0" w:space="0" w:color="auto"/>
                <w:right w:val="none" w:sz="0" w:space="0" w:color="auto"/>
              </w:divBdr>
            </w:div>
          </w:divsChild>
        </w:div>
        <w:div w:id="1323239341">
          <w:marLeft w:val="0"/>
          <w:marRight w:val="0"/>
          <w:marTop w:val="0"/>
          <w:marBottom w:val="0"/>
          <w:divBdr>
            <w:top w:val="none" w:sz="0" w:space="0" w:color="auto"/>
            <w:left w:val="none" w:sz="0" w:space="0" w:color="auto"/>
            <w:bottom w:val="none" w:sz="0" w:space="0" w:color="auto"/>
            <w:right w:val="none" w:sz="0" w:space="0" w:color="auto"/>
          </w:divBdr>
          <w:divsChild>
            <w:div w:id="1411736885">
              <w:marLeft w:val="0"/>
              <w:marRight w:val="0"/>
              <w:marTop w:val="0"/>
              <w:marBottom w:val="0"/>
              <w:divBdr>
                <w:top w:val="none" w:sz="0" w:space="0" w:color="auto"/>
                <w:left w:val="none" w:sz="0" w:space="0" w:color="auto"/>
                <w:bottom w:val="none" w:sz="0" w:space="0" w:color="auto"/>
                <w:right w:val="none" w:sz="0" w:space="0" w:color="auto"/>
              </w:divBdr>
            </w:div>
          </w:divsChild>
        </w:div>
        <w:div w:id="1359551280">
          <w:marLeft w:val="0"/>
          <w:marRight w:val="0"/>
          <w:marTop w:val="0"/>
          <w:marBottom w:val="0"/>
          <w:divBdr>
            <w:top w:val="none" w:sz="0" w:space="0" w:color="auto"/>
            <w:left w:val="none" w:sz="0" w:space="0" w:color="auto"/>
            <w:bottom w:val="none" w:sz="0" w:space="0" w:color="auto"/>
            <w:right w:val="none" w:sz="0" w:space="0" w:color="auto"/>
          </w:divBdr>
          <w:divsChild>
            <w:div w:id="775365797">
              <w:marLeft w:val="0"/>
              <w:marRight w:val="0"/>
              <w:marTop w:val="0"/>
              <w:marBottom w:val="0"/>
              <w:divBdr>
                <w:top w:val="none" w:sz="0" w:space="0" w:color="auto"/>
                <w:left w:val="none" w:sz="0" w:space="0" w:color="auto"/>
                <w:bottom w:val="none" w:sz="0" w:space="0" w:color="auto"/>
                <w:right w:val="none" w:sz="0" w:space="0" w:color="auto"/>
              </w:divBdr>
            </w:div>
          </w:divsChild>
        </w:div>
        <w:div w:id="1366566176">
          <w:marLeft w:val="0"/>
          <w:marRight w:val="0"/>
          <w:marTop w:val="0"/>
          <w:marBottom w:val="0"/>
          <w:divBdr>
            <w:top w:val="none" w:sz="0" w:space="0" w:color="auto"/>
            <w:left w:val="none" w:sz="0" w:space="0" w:color="auto"/>
            <w:bottom w:val="none" w:sz="0" w:space="0" w:color="auto"/>
            <w:right w:val="none" w:sz="0" w:space="0" w:color="auto"/>
          </w:divBdr>
          <w:divsChild>
            <w:div w:id="347414882">
              <w:marLeft w:val="0"/>
              <w:marRight w:val="0"/>
              <w:marTop w:val="0"/>
              <w:marBottom w:val="0"/>
              <w:divBdr>
                <w:top w:val="none" w:sz="0" w:space="0" w:color="auto"/>
                <w:left w:val="none" w:sz="0" w:space="0" w:color="auto"/>
                <w:bottom w:val="none" w:sz="0" w:space="0" w:color="auto"/>
                <w:right w:val="none" w:sz="0" w:space="0" w:color="auto"/>
              </w:divBdr>
            </w:div>
          </w:divsChild>
        </w:div>
        <w:div w:id="1406755629">
          <w:marLeft w:val="0"/>
          <w:marRight w:val="0"/>
          <w:marTop w:val="0"/>
          <w:marBottom w:val="0"/>
          <w:divBdr>
            <w:top w:val="none" w:sz="0" w:space="0" w:color="auto"/>
            <w:left w:val="none" w:sz="0" w:space="0" w:color="auto"/>
            <w:bottom w:val="none" w:sz="0" w:space="0" w:color="auto"/>
            <w:right w:val="none" w:sz="0" w:space="0" w:color="auto"/>
          </w:divBdr>
          <w:divsChild>
            <w:div w:id="27612368">
              <w:marLeft w:val="0"/>
              <w:marRight w:val="0"/>
              <w:marTop w:val="0"/>
              <w:marBottom w:val="0"/>
              <w:divBdr>
                <w:top w:val="none" w:sz="0" w:space="0" w:color="auto"/>
                <w:left w:val="none" w:sz="0" w:space="0" w:color="auto"/>
                <w:bottom w:val="none" w:sz="0" w:space="0" w:color="auto"/>
                <w:right w:val="none" w:sz="0" w:space="0" w:color="auto"/>
              </w:divBdr>
            </w:div>
          </w:divsChild>
        </w:div>
        <w:div w:id="1411927805">
          <w:marLeft w:val="0"/>
          <w:marRight w:val="0"/>
          <w:marTop w:val="0"/>
          <w:marBottom w:val="0"/>
          <w:divBdr>
            <w:top w:val="none" w:sz="0" w:space="0" w:color="auto"/>
            <w:left w:val="none" w:sz="0" w:space="0" w:color="auto"/>
            <w:bottom w:val="none" w:sz="0" w:space="0" w:color="auto"/>
            <w:right w:val="none" w:sz="0" w:space="0" w:color="auto"/>
          </w:divBdr>
          <w:divsChild>
            <w:div w:id="63534704">
              <w:marLeft w:val="0"/>
              <w:marRight w:val="0"/>
              <w:marTop w:val="0"/>
              <w:marBottom w:val="0"/>
              <w:divBdr>
                <w:top w:val="none" w:sz="0" w:space="0" w:color="auto"/>
                <w:left w:val="none" w:sz="0" w:space="0" w:color="auto"/>
                <w:bottom w:val="none" w:sz="0" w:space="0" w:color="auto"/>
                <w:right w:val="none" w:sz="0" w:space="0" w:color="auto"/>
              </w:divBdr>
            </w:div>
          </w:divsChild>
        </w:div>
        <w:div w:id="1414428287">
          <w:marLeft w:val="0"/>
          <w:marRight w:val="0"/>
          <w:marTop w:val="0"/>
          <w:marBottom w:val="0"/>
          <w:divBdr>
            <w:top w:val="none" w:sz="0" w:space="0" w:color="auto"/>
            <w:left w:val="none" w:sz="0" w:space="0" w:color="auto"/>
            <w:bottom w:val="none" w:sz="0" w:space="0" w:color="auto"/>
            <w:right w:val="none" w:sz="0" w:space="0" w:color="auto"/>
          </w:divBdr>
          <w:divsChild>
            <w:div w:id="445318930">
              <w:marLeft w:val="0"/>
              <w:marRight w:val="0"/>
              <w:marTop w:val="0"/>
              <w:marBottom w:val="0"/>
              <w:divBdr>
                <w:top w:val="none" w:sz="0" w:space="0" w:color="auto"/>
                <w:left w:val="none" w:sz="0" w:space="0" w:color="auto"/>
                <w:bottom w:val="none" w:sz="0" w:space="0" w:color="auto"/>
                <w:right w:val="none" w:sz="0" w:space="0" w:color="auto"/>
              </w:divBdr>
            </w:div>
          </w:divsChild>
        </w:div>
        <w:div w:id="1414933170">
          <w:marLeft w:val="0"/>
          <w:marRight w:val="0"/>
          <w:marTop w:val="0"/>
          <w:marBottom w:val="0"/>
          <w:divBdr>
            <w:top w:val="none" w:sz="0" w:space="0" w:color="auto"/>
            <w:left w:val="none" w:sz="0" w:space="0" w:color="auto"/>
            <w:bottom w:val="none" w:sz="0" w:space="0" w:color="auto"/>
            <w:right w:val="none" w:sz="0" w:space="0" w:color="auto"/>
          </w:divBdr>
          <w:divsChild>
            <w:div w:id="1894003277">
              <w:marLeft w:val="0"/>
              <w:marRight w:val="0"/>
              <w:marTop w:val="0"/>
              <w:marBottom w:val="0"/>
              <w:divBdr>
                <w:top w:val="none" w:sz="0" w:space="0" w:color="auto"/>
                <w:left w:val="none" w:sz="0" w:space="0" w:color="auto"/>
                <w:bottom w:val="none" w:sz="0" w:space="0" w:color="auto"/>
                <w:right w:val="none" w:sz="0" w:space="0" w:color="auto"/>
              </w:divBdr>
            </w:div>
          </w:divsChild>
        </w:div>
        <w:div w:id="1430540592">
          <w:marLeft w:val="0"/>
          <w:marRight w:val="0"/>
          <w:marTop w:val="0"/>
          <w:marBottom w:val="0"/>
          <w:divBdr>
            <w:top w:val="none" w:sz="0" w:space="0" w:color="auto"/>
            <w:left w:val="none" w:sz="0" w:space="0" w:color="auto"/>
            <w:bottom w:val="none" w:sz="0" w:space="0" w:color="auto"/>
            <w:right w:val="none" w:sz="0" w:space="0" w:color="auto"/>
          </w:divBdr>
          <w:divsChild>
            <w:div w:id="1482847389">
              <w:marLeft w:val="0"/>
              <w:marRight w:val="0"/>
              <w:marTop w:val="0"/>
              <w:marBottom w:val="0"/>
              <w:divBdr>
                <w:top w:val="none" w:sz="0" w:space="0" w:color="auto"/>
                <w:left w:val="none" w:sz="0" w:space="0" w:color="auto"/>
                <w:bottom w:val="none" w:sz="0" w:space="0" w:color="auto"/>
                <w:right w:val="none" w:sz="0" w:space="0" w:color="auto"/>
              </w:divBdr>
            </w:div>
          </w:divsChild>
        </w:div>
        <w:div w:id="1431194519">
          <w:marLeft w:val="0"/>
          <w:marRight w:val="0"/>
          <w:marTop w:val="0"/>
          <w:marBottom w:val="0"/>
          <w:divBdr>
            <w:top w:val="none" w:sz="0" w:space="0" w:color="auto"/>
            <w:left w:val="none" w:sz="0" w:space="0" w:color="auto"/>
            <w:bottom w:val="none" w:sz="0" w:space="0" w:color="auto"/>
            <w:right w:val="none" w:sz="0" w:space="0" w:color="auto"/>
          </w:divBdr>
          <w:divsChild>
            <w:div w:id="739250980">
              <w:marLeft w:val="0"/>
              <w:marRight w:val="0"/>
              <w:marTop w:val="0"/>
              <w:marBottom w:val="0"/>
              <w:divBdr>
                <w:top w:val="none" w:sz="0" w:space="0" w:color="auto"/>
                <w:left w:val="none" w:sz="0" w:space="0" w:color="auto"/>
                <w:bottom w:val="none" w:sz="0" w:space="0" w:color="auto"/>
                <w:right w:val="none" w:sz="0" w:space="0" w:color="auto"/>
              </w:divBdr>
            </w:div>
          </w:divsChild>
        </w:div>
        <w:div w:id="1442873160">
          <w:marLeft w:val="0"/>
          <w:marRight w:val="0"/>
          <w:marTop w:val="0"/>
          <w:marBottom w:val="0"/>
          <w:divBdr>
            <w:top w:val="none" w:sz="0" w:space="0" w:color="auto"/>
            <w:left w:val="none" w:sz="0" w:space="0" w:color="auto"/>
            <w:bottom w:val="none" w:sz="0" w:space="0" w:color="auto"/>
            <w:right w:val="none" w:sz="0" w:space="0" w:color="auto"/>
          </w:divBdr>
          <w:divsChild>
            <w:div w:id="1112434464">
              <w:marLeft w:val="0"/>
              <w:marRight w:val="0"/>
              <w:marTop w:val="0"/>
              <w:marBottom w:val="0"/>
              <w:divBdr>
                <w:top w:val="none" w:sz="0" w:space="0" w:color="auto"/>
                <w:left w:val="none" w:sz="0" w:space="0" w:color="auto"/>
                <w:bottom w:val="none" w:sz="0" w:space="0" w:color="auto"/>
                <w:right w:val="none" w:sz="0" w:space="0" w:color="auto"/>
              </w:divBdr>
            </w:div>
          </w:divsChild>
        </w:div>
        <w:div w:id="1448811434">
          <w:marLeft w:val="0"/>
          <w:marRight w:val="0"/>
          <w:marTop w:val="0"/>
          <w:marBottom w:val="0"/>
          <w:divBdr>
            <w:top w:val="none" w:sz="0" w:space="0" w:color="auto"/>
            <w:left w:val="none" w:sz="0" w:space="0" w:color="auto"/>
            <w:bottom w:val="none" w:sz="0" w:space="0" w:color="auto"/>
            <w:right w:val="none" w:sz="0" w:space="0" w:color="auto"/>
          </w:divBdr>
          <w:divsChild>
            <w:div w:id="1375691565">
              <w:marLeft w:val="0"/>
              <w:marRight w:val="0"/>
              <w:marTop w:val="0"/>
              <w:marBottom w:val="0"/>
              <w:divBdr>
                <w:top w:val="none" w:sz="0" w:space="0" w:color="auto"/>
                <w:left w:val="none" w:sz="0" w:space="0" w:color="auto"/>
                <w:bottom w:val="none" w:sz="0" w:space="0" w:color="auto"/>
                <w:right w:val="none" w:sz="0" w:space="0" w:color="auto"/>
              </w:divBdr>
            </w:div>
          </w:divsChild>
        </w:div>
        <w:div w:id="1457485598">
          <w:marLeft w:val="0"/>
          <w:marRight w:val="0"/>
          <w:marTop w:val="0"/>
          <w:marBottom w:val="0"/>
          <w:divBdr>
            <w:top w:val="none" w:sz="0" w:space="0" w:color="auto"/>
            <w:left w:val="none" w:sz="0" w:space="0" w:color="auto"/>
            <w:bottom w:val="none" w:sz="0" w:space="0" w:color="auto"/>
            <w:right w:val="none" w:sz="0" w:space="0" w:color="auto"/>
          </w:divBdr>
          <w:divsChild>
            <w:div w:id="1618415179">
              <w:marLeft w:val="0"/>
              <w:marRight w:val="0"/>
              <w:marTop w:val="0"/>
              <w:marBottom w:val="0"/>
              <w:divBdr>
                <w:top w:val="none" w:sz="0" w:space="0" w:color="auto"/>
                <w:left w:val="none" w:sz="0" w:space="0" w:color="auto"/>
                <w:bottom w:val="none" w:sz="0" w:space="0" w:color="auto"/>
                <w:right w:val="none" w:sz="0" w:space="0" w:color="auto"/>
              </w:divBdr>
            </w:div>
          </w:divsChild>
        </w:div>
        <w:div w:id="1457870947">
          <w:marLeft w:val="0"/>
          <w:marRight w:val="0"/>
          <w:marTop w:val="0"/>
          <w:marBottom w:val="0"/>
          <w:divBdr>
            <w:top w:val="none" w:sz="0" w:space="0" w:color="auto"/>
            <w:left w:val="none" w:sz="0" w:space="0" w:color="auto"/>
            <w:bottom w:val="none" w:sz="0" w:space="0" w:color="auto"/>
            <w:right w:val="none" w:sz="0" w:space="0" w:color="auto"/>
          </w:divBdr>
          <w:divsChild>
            <w:div w:id="226036642">
              <w:marLeft w:val="0"/>
              <w:marRight w:val="0"/>
              <w:marTop w:val="0"/>
              <w:marBottom w:val="0"/>
              <w:divBdr>
                <w:top w:val="none" w:sz="0" w:space="0" w:color="auto"/>
                <w:left w:val="none" w:sz="0" w:space="0" w:color="auto"/>
                <w:bottom w:val="none" w:sz="0" w:space="0" w:color="auto"/>
                <w:right w:val="none" w:sz="0" w:space="0" w:color="auto"/>
              </w:divBdr>
            </w:div>
          </w:divsChild>
        </w:div>
        <w:div w:id="1503930148">
          <w:marLeft w:val="0"/>
          <w:marRight w:val="0"/>
          <w:marTop w:val="0"/>
          <w:marBottom w:val="0"/>
          <w:divBdr>
            <w:top w:val="none" w:sz="0" w:space="0" w:color="auto"/>
            <w:left w:val="none" w:sz="0" w:space="0" w:color="auto"/>
            <w:bottom w:val="none" w:sz="0" w:space="0" w:color="auto"/>
            <w:right w:val="none" w:sz="0" w:space="0" w:color="auto"/>
          </w:divBdr>
          <w:divsChild>
            <w:div w:id="1357389498">
              <w:marLeft w:val="0"/>
              <w:marRight w:val="0"/>
              <w:marTop w:val="0"/>
              <w:marBottom w:val="0"/>
              <w:divBdr>
                <w:top w:val="none" w:sz="0" w:space="0" w:color="auto"/>
                <w:left w:val="none" w:sz="0" w:space="0" w:color="auto"/>
                <w:bottom w:val="none" w:sz="0" w:space="0" w:color="auto"/>
                <w:right w:val="none" w:sz="0" w:space="0" w:color="auto"/>
              </w:divBdr>
            </w:div>
          </w:divsChild>
        </w:div>
        <w:div w:id="1513256910">
          <w:marLeft w:val="0"/>
          <w:marRight w:val="0"/>
          <w:marTop w:val="0"/>
          <w:marBottom w:val="0"/>
          <w:divBdr>
            <w:top w:val="none" w:sz="0" w:space="0" w:color="auto"/>
            <w:left w:val="none" w:sz="0" w:space="0" w:color="auto"/>
            <w:bottom w:val="none" w:sz="0" w:space="0" w:color="auto"/>
            <w:right w:val="none" w:sz="0" w:space="0" w:color="auto"/>
          </w:divBdr>
          <w:divsChild>
            <w:div w:id="293290004">
              <w:marLeft w:val="0"/>
              <w:marRight w:val="0"/>
              <w:marTop w:val="0"/>
              <w:marBottom w:val="0"/>
              <w:divBdr>
                <w:top w:val="none" w:sz="0" w:space="0" w:color="auto"/>
                <w:left w:val="none" w:sz="0" w:space="0" w:color="auto"/>
                <w:bottom w:val="none" w:sz="0" w:space="0" w:color="auto"/>
                <w:right w:val="none" w:sz="0" w:space="0" w:color="auto"/>
              </w:divBdr>
            </w:div>
          </w:divsChild>
        </w:div>
        <w:div w:id="1523278457">
          <w:marLeft w:val="0"/>
          <w:marRight w:val="0"/>
          <w:marTop w:val="0"/>
          <w:marBottom w:val="0"/>
          <w:divBdr>
            <w:top w:val="none" w:sz="0" w:space="0" w:color="auto"/>
            <w:left w:val="none" w:sz="0" w:space="0" w:color="auto"/>
            <w:bottom w:val="none" w:sz="0" w:space="0" w:color="auto"/>
            <w:right w:val="none" w:sz="0" w:space="0" w:color="auto"/>
          </w:divBdr>
          <w:divsChild>
            <w:div w:id="1708068484">
              <w:marLeft w:val="0"/>
              <w:marRight w:val="0"/>
              <w:marTop w:val="0"/>
              <w:marBottom w:val="0"/>
              <w:divBdr>
                <w:top w:val="none" w:sz="0" w:space="0" w:color="auto"/>
                <w:left w:val="none" w:sz="0" w:space="0" w:color="auto"/>
                <w:bottom w:val="none" w:sz="0" w:space="0" w:color="auto"/>
                <w:right w:val="none" w:sz="0" w:space="0" w:color="auto"/>
              </w:divBdr>
            </w:div>
          </w:divsChild>
        </w:div>
        <w:div w:id="1546334751">
          <w:marLeft w:val="0"/>
          <w:marRight w:val="0"/>
          <w:marTop w:val="0"/>
          <w:marBottom w:val="0"/>
          <w:divBdr>
            <w:top w:val="none" w:sz="0" w:space="0" w:color="auto"/>
            <w:left w:val="none" w:sz="0" w:space="0" w:color="auto"/>
            <w:bottom w:val="none" w:sz="0" w:space="0" w:color="auto"/>
            <w:right w:val="none" w:sz="0" w:space="0" w:color="auto"/>
          </w:divBdr>
          <w:divsChild>
            <w:div w:id="628778317">
              <w:marLeft w:val="0"/>
              <w:marRight w:val="0"/>
              <w:marTop w:val="0"/>
              <w:marBottom w:val="0"/>
              <w:divBdr>
                <w:top w:val="none" w:sz="0" w:space="0" w:color="auto"/>
                <w:left w:val="none" w:sz="0" w:space="0" w:color="auto"/>
                <w:bottom w:val="none" w:sz="0" w:space="0" w:color="auto"/>
                <w:right w:val="none" w:sz="0" w:space="0" w:color="auto"/>
              </w:divBdr>
            </w:div>
          </w:divsChild>
        </w:div>
        <w:div w:id="1555697892">
          <w:marLeft w:val="0"/>
          <w:marRight w:val="0"/>
          <w:marTop w:val="0"/>
          <w:marBottom w:val="0"/>
          <w:divBdr>
            <w:top w:val="none" w:sz="0" w:space="0" w:color="auto"/>
            <w:left w:val="none" w:sz="0" w:space="0" w:color="auto"/>
            <w:bottom w:val="none" w:sz="0" w:space="0" w:color="auto"/>
            <w:right w:val="none" w:sz="0" w:space="0" w:color="auto"/>
          </w:divBdr>
          <w:divsChild>
            <w:div w:id="1557621506">
              <w:marLeft w:val="0"/>
              <w:marRight w:val="0"/>
              <w:marTop w:val="0"/>
              <w:marBottom w:val="0"/>
              <w:divBdr>
                <w:top w:val="none" w:sz="0" w:space="0" w:color="auto"/>
                <w:left w:val="none" w:sz="0" w:space="0" w:color="auto"/>
                <w:bottom w:val="none" w:sz="0" w:space="0" w:color="auto"/>
                <w:right w:val="none" w:sz="0" w:space="0" w:color="auto"/>
              </w:divBdr>
            </w:div>
          </w:divsChild>
        </w:div>
        <w:div w:id="1566188193">
          <w:marLeft w:val="0"/>
          <w:marRight w:val="0"/>
          <w:marTop w:val="0"/>
          <w:marBottom w:val="0"/>
          <w:divBdr>
            <w:top w:val="none" w:sz="0" w:space="0" w:color="auto"/>
            <w:left w:val="none" w:sz="0" w:space="0" w:color="auto"/>
            <w:bottom w:val="none" w:sz="0" w:space="0" w:color="auto"/>
            <w:right w:val="none" w:sz="0" w:space="0" w:color="auto"/>
          </w:divBdr>
          <w:divsChild>
            <w:div w:id="1495801870">
              <w:marLeft w:val="0"/>
              <w:marRight w:val="0"/>
              <w:marTop w:val="0"/>
              <w:marBottom w:val="0"/>
              <w:divBdr>
                <w:top w:val="none" w:sz="0" w:space="0" w:color="auto"/>
                <w:left w:val="none" w:sz="0" w:space="0" w:color="auto"/>
                <w:bottom w:val="none" w:sz="0" w:space="0" w:color="auto"/>
                <w:right w:val="none" w:sz="0" w:space="0" w:color="auto"/>
              </w:divBdr>
            </w:div>
          </w:divsChild>
        </w:div>
        <w:div w:id="1582521015">
          <w:marLeft w:val="0"/>
          <w:marRight w:val="0"/>
          <w:marTop w:val="0"/>
          <w:marBottom w:val="0"/>
          <w:divBdr>
            <w:top w:val="none" w:sz="0" w:space="0" w:color="auto"/>
            <w:left w:val="none" w:sz="0" w:space="0" w:color="auto"/>
            <w:bottom w:val="none" w:sz="0" w:space="0" w:color="auto"/>
            <w:right w:val="none" w:sz="0" w:space="0" w:color="auto"/>
          </w:divBdr>
          <w:divsChild>
            <w:div w:id="193613024">
              <w:marLeft w:val="0"/>
              <w:marRight w:val="0"/>
              <w:marTop w:val="0"/>
              <w:marBottom w:val="0"/>
              <w:divBdr>
                <w:top w:val="none" w:sz="0" w:space="0" w:color="auto"/>
                <w:left w:val="none" w:sz="0" w:space="0" w:color="auto"/>
                <w:bottom w:val="none" w:sz="0" w:space="0" w:color="auto"/>
                <w:right w:val="none" w:sz="0" w:space="0" w:color="auto"/>
              </w:divBdr>
            </w:div>
          </w:divsChild>
        </w:div>
        <w:div w:id="1613248133">
          <w:marLeft w:val="0"/>
          <w:marRight w:val="0"/>
          <w:marTop w:val="0"/>
          <w:marBottom w:val="0"/>
          <w:divBdr>
            <w:top w:val="none" w:sz="0" w:space="0" w:color="auto"/>
            <w:left w:val="none" w:sz="0" w:space="0" w:color="auto"/>
            <w:bottom w:val="none" w:sz="0" w:space="0" w:color="auto"/>
            <w:right w:val="none" w:sz="0" w:space="0" w:color="auto"/>
          </w:divBdr>
          <w:divsChild>
            <w:div w:id="1908613235">
              <w:marLeft w:val="0"/>
              <w:marRight w:val="0"/>
              <w:marTop w:val="0"/>
              <w:marBottom w:val="0"/>
              <w:divBdr>
                <w:top w:val="none" w:sz="0" w:space="0" w:color="auto"/>
                <w:left w:val="none" w:sz="0" w:space="0" w:color="auto"/>
                <w:bottom w:val="none" w:sz="0" w:space="0" w:color="auto"/>
                <w:right w:val="none" w:sz="0" w:space="0" w:color="auto"/>
              </w:divBdr>
            </w:div>
          </w:divsChild>
        </w:div>
        <w:div w:id="1617911823">
          <w:marLeft w:val="0"/>
          <w:marRight w:val="0"/>
          <w:marTop w:val="0"/>
          <w:marBottom w:val="0"/>
          <w:divBdr>
            <w:top w:val="none" w:sz="0" w:space="0" w:color="auto"/>
            <w:left w:val="none" w:sz="0" w:space="0" w:color="auto"/>
            <w:bottom w:val="none" w:sz="0" w:space="0" w:color="auto"/>
            <w:right w:val="none" w:sz="0" w:space="0" w:color="auto"/>
          </w:divBdr>
          <w:divsChild>
            <w:div w:id="713849270">
              <w:marLeft w:val="0"/>
              <w:marRight w:val="0"/>
              <w:marTop w:val="0"/>
              <w:marBottom w:val="0"/>
              <w:divBdr>
                <w:top w:val="none" w:sz="0" w:space="0" w:color="auto"/>
                <w:left w:val="none" w:sz="0" w:space="0" w:color="auto"/>
                <w:bottom w:val="none" w:sz="0" w:space="0" w:color="auto"/>
                <w:right w:val="none" w:sz="0" w:space="0" w:color="auto"/>
              </w:divBdr>
            </w:div>
          </w:divsChild>
        </w:div>
        <w:div w:id="1633631642">
          <w:marLeft w:val="0"/>
          <w:marRight w:val="0"/>
          <w:marTop w:val="0"/>
          <w:marBottom w:val="0"/>
          <w:divBdr>
            <w:top w:val="none" w:sz="0" w:space="0" w:color="auto"/>
            <w:left w:val="none" w:sz="0" w:space="0" w:color="auto"/>
            <w:bottom w:val="none" w:sz="0" w:space="0" w:color="auto"/>
            <w:right w:val="none" w:sz="0" w:space="0" w:color="auto"/>
          </w:divBdr>
          <w:divsChild>
            <w:div w:id="1518688531">
              <w:marLeft w:val="0"/>
              <w:marRight w:val="0"/>
              <w:marTop w:val="0"/>
              <w:marBottom w:val="0"/>
              <w:divBdr>
                <w:top w:val="none" w:sz="0" w:space="0" w:color="auto"/>
                <w:left w:val="none" w:sz="0" w:space="0" w:color="auto"/>
                <w:bottom w:val="none" w:sz="0" w:space="0" w:color="auto"/>
                <w:right w:val="none" w:sz="0" w:space="0" w:color="auto"/>
              </w:divBdr>
            </w:div>
          </w:divsChild>
        </w:div>
        <w:div w:id="1637680646">
          <w:marLeft w:val="0"/>
          <w:marRight w:val="0"/>
          <w:marTop w:val="0"/>
          <w:marBottom w:val="0"/>
          <w:divBdr>
            <w:top w:val="none" w:sz="0" w:space="0" w:color="auto"/>
            <w:left w:val="none" w:sz="0" w:space="0" w:color="auto"/>
            <w:bottom w:val="none" w:sz="0" w:space="0" w:color="auto"/>
            <w:right w:val="none" w:sz="0" w:space="0" w:color="auto"/>
          </w:divBdr>
          <w:divsChild>
            <w:div w:id="2136675268">
              <w:marLeft w:val="0"/>
              <w:marRight w:val="0"/>
              <w:marTop w:val="0"/>
              <w:marBottom w:val="0"/>
              <w:divBdr>
                <w:top w:val="none" w:sz="0" w:space="0" w:color="auto"/>
                <w:left w:val="none" w:sz="0" w:space="0" w:color="auto"/>
                <w:bottom w:val="none" w:sz="0" w:space="0" w:color="auto"/>
                <w:right w:val="none" w:sz="0" w:space="0" w:color="auto"/>
              </w:divBdr>
            </w:div>
          </w:divsChild>
        </w:div>
        <w:div w:id="1644312609">
          <w:marLeft w:val="0"/>
          <w:marRight w:val="0"/>
          <w:marTop w:val="0"/>
          <w:marBottom w:val="0"/>
          <w:divBdr>
            <w:top w:val="none" w:sz="0" w:space="0" w:color="auto"/>
            <w:left w:val="none" w:sz="0" w:space="0" w:color="auto"/>
            <w:bottom w:val="none" w:sz="0" w:space="0" w:color="auto"/>
            <w:right w:val="none" w:sz="0" w:space="0" w:color="auto"/>
          </w:divBdr>
          <w:divsChild>
            <w:div w:id="232400304">
              <w:marLeft w:val="0"/>
              <w:marRight w:val="0"/>
              <w:marTop w:val="0"/>
              <w:marBottom w:val="0"/>
              <w:divBdr>
                <w:top w:val="none" w:sz="0" w:space="0" w:color="auto"/>
                <w:left w:val="none" w:sz="0" w:space="0" w:color="auto"/>
                <w:bottom w:val="none" w:sz="0" w:space="0" w:color="auto"/>
                <w:right w:val="none" w:sz="0" w:space="0" w:color="auto"/>
              </w:divBdr>
            </w:div>
          </w:divsChild>
        </w:div>
        <w:div w:id="1668511364">
          <w:marLeft w:val="0"/>
          <w:marRight w:val="0"/>
          <w:marTop w:val="0"/>
          <w:marBottom w:val="0"/>
          <w:divBdr>
            <w:top w:val="none" w:sz="0" w:space="0" w:color="auto"/>
            <w:left w:val="none" w:sz="0" w:space="0" w:color="auto"/>
            <w:bottom w:val="none" w:sz="0" w:space="0" w:color="auto"/>
            <w:right w:val="none" w:sz="0" w:space="0" w:color="auto"/>
          </w:divBdr>
          <w:divsChild>
            <w:div w:id="1242568648">
              <w:marLeft w:val="0"/>
              <w:marRight w:val="0"/>
              <w:marTop w:val="0"/>
              <w:marBottom w:val="0"/>
              <w:divBdr>
                <w:top w:val="none" w:sz="0" w:space="0" w:color="auto"/>
                <w:left w:val="none" w:sz="0" w:space="0" w:color="auto"/>
                <w:bottom w:val="none" w:sz="0" w:space="0" w:color="auto"/>
                <w:right w:val="none" w:sz="0" w:space="0" w:color="auto"/>
              </w:divBdr>
            </w:div>
          </w:divsChild>
        </w:div>
        <w:div w:id="1690720494">
          <w:marLeft w:val="0"/>
          <w:marRight w:val="0"/>
          <w:marTop w:val="0"/>
          <w:marBottom w:val="0"/>
          <w:divBdr>
            <w:top w:val="none" w:sz="0" w:space="0" w:color="auto"/>
            <w:left w:val="none" w:sz="0" w:space="0" w:color="auto"/>
            <w:bottom w:val="none" w:sz="0" w:space="0" w:color="auto"/>
            <w:right w:val="none" w:sz="0" w:space="0" w:color="auto"/>
          </w:divBdr>
          <w:divsChild>
            <w:div w:id="1120606412">
              <w:marLeft w:val="0"/>
              <w:marRight w:val="0"/>
              <w:marTop w:val="0"/>
              <w:marBottom w:val="0"/>
              <w:divBdr>
                <w:top w:val="none" w:sz="0" w:space="0" w:color="auto"/>
                <w:left w:val="none" w:sz="0" w:space="0" w:color="auto"/>
                <w:bottom w:val="none" w:sz="0" w:space="0" w:color="auto"/>
                <w:right w:val="none" w:sz="0" w:space="0" w:color="auto"/>
              </w:divBdr>
            </w:div>
          </w:divsChild>
        </w:div>
        <w:div w:id="1691485998">
          <w:marLeft w:val="0"/>
          <w:marRight w:val="0"/>
          <w:marTop w:val="0"/>
          <w:marBottom w:val="0"/>
          <w:divBdr>
            <w:top w:val="none" w:sz="0" w:space="0" w:color="auto"/>
            <w:left w:val="none" w:sz="0" w:space="0" w:color="auto"/>
            <w:bottom w:val="none" w:sz="0" w:space="0" w:color="auto"/>
            <w:right w:val="none" w:sz="0" w:space="0" w:color="auto"/>
          </w:divBdr>
          <w:divsChild>
            <w:div w:id="619411670">
              <w:marLeft w:val="0"/>
              <w:marRight w:val="0"/>
              <w:marTop w:val="0"/>
              <w:marBottom w:val="0"/>
              <w:divBdr>
                <w:top w:val="none" w:sz="0" w:space="0" w:color="auto"/>
                <w:left w:val="none" w:sz="0" w:space="0" w:color="auto"/>
                <w:bottom w:val="none" w:sz="0" w:space="0" w:color="auto"/>
                <w:right w:val="none" w:sz="0" w:space="0" w:color="auto"/>
              </w:divBdr>
            </w:div>
          </w:divsChild>
        </w:div>
        <w:div w:id="1693799926">
          <w:marLeft w:val="0"/>
          <w:marRight w:val="0"/>
          <w:marTop w:val="0"/>
          <w:marBottom w:val="0"/>
          <w:divBdr>
            <w:top w:val="none" w:sz="0" w:space="0" w:color="auto"/>
            <w:left w:val="none" w:sz="0" w:space="0" w:color="auto"/>
            <w:bottom w:val="none" w:sz="0" w:space="0" w:color="auto"/>
            <w:right w:val="none" w:sz="0" w:space="0" w:color="auto"/>
          </w:divBdr>
          <w:divsChild>
            <w:div w:id="1962609033">
              <w:marLeft w:val="0"/>
              <w:marRight w:val="0"/>
              <w:marTop w:val="0"/>
              <w:marBottom w:val="0"/>
              <w:divBdr>
                <w:top w:val="none" w:sz="0" w:space="0" w:color="auto"/>
                <w:left w:val="none" w:sz="0" w:space="0" w:color="auto"/>
                <w:bottom w:val="none" w:sz="0" w:space="0" w:color="auto"/>
                <w:right w:val="none" w:sz="0" w:space="0" w:color="auto"/>
              </w:divBdr>
            </w:div>
          </w:divsChild>
        </w:div>
        <w:div w:id="1720780321">
          <w:marLeft w:val="0"/>
          <w:marRight w:val="0"/>
          <w:marTop w:val="0"/>
          <w:marBottom w:val="0"/>
          <w:divBdr>
            <w:top w:val="none" w:sz="0" w:space="0" w:color="auto"/>
            <w:left w:val="none" w:sz="0" w:space="0" w:color="auto"/>
            <w:bottom w:val="none" w:sz="0" w:space="0" w:color="auto"/>
            <w:right w:val="none" w:sz="0" w:space="0" w:color="auto"/>
          </w:divBdr>
          <w:divsChild>
            <w:div w:id="755173206">
              <w:marLeft w:val="0"/>
              <w:marRight w:val="0"/>
              <w:marTop w:val="0"/>
              <w:marBottom w:val="0"/>
              <w:divBdr>
                <w:top w:val="none" w:sz="0" w:space="0" w:color="auto"/>
                <w:left w:val="none" w:sz="0" w:space="0" w:color="auto"/>
                <w:bottom w:val="none" w:sz="0" w:space="0" w:color="auto"/>
                <w:right w:val="none" w:sz="0" w:space="0" w:color="auto"/>
              </w:divBdr>
            </w:div>
          </w:divsChild>
        </w:div>
        <w:div w:id="1730106567">
          <w:marLeft w:val="0"/>
          <w:marRight w:val="0"/>
          <w:marTop w:val="0"/>
          <w:marBottom w:val="0"/>
          <w:divBdr>
            <w:top w:val="none" w:sz="0" w:space="0" w:color="auto"/>
            <w:left w:val="none" w:sz="0" w:space="0" w:color="auto"/>
            <w:bottom w:val="none" w:sz="0" w:space="0" w:color="auto"/>
            <w:right w:val="none" w:sz="0" w:space="0" w:color="auto"/>
          </w:divBdr>
          <w:divsChild>
            <w:div w:id="439224583">
              <w:marLeft w:val="0"/>
              <w:marRight w:val="0"/>
              <w:marTop w:val="0"/>
              <w:marBottom w:val="0"/>
              <w:divBdr>
                <w:top w:val="none" w:sz="0" w:space="0" w:color="auto"/>
                <w:left w:val="none" w:sz="0" w:space="0" w:color="auto"/>
                <w:bottom w:val="none" w:sz="0" w:space="0" w:color="auto"/>
                <w:right w:val="none" w:sz="0" w:space="0" w:color="auto"/>
              </w:divBdr>
            </w:div>
          </w:divsChild>
        </w:div>
        <w:div w:id="1753812624">
          <w:marLeft w:val="0"/>
          <w:marRight w:val="0"/>
          <w:marTop w:val="0"/>
          <w:marBottom w:val="0"/>
          <w:divBdr>
            <w:top w:val="none" w:sz="0" w:space="0" w:color="auto"/>
            <w:left w:val="none" w:sz="0" w:space="0" w:color="auto"/>
            <w:bottom w:val="none" w:sz="0" w:space="0" w:color="auto"/>
            <w:right w:val="none" w:sz="0" w:space="0" w:color="auto"/>
          </w:divBdr>
          <w:divsChild>
            <w:div w:id="860823443">
              <w:marLeft w:val="0"/>
              <w:marRight w:val="0"/>
              <w:marTop w:val="0"/>
              <w:marBottom w:val="0"/>
              <w:divBdr>
                <w:top w:val="none" w:sz="0" w:space="0" w:color="auto"/>
                <w:left w:val="none" w:sz="0" w:space="0" w:color="auto"/>
                <w:bottom w:val="none" w:sz="0" w:space="0" w:color="auto"/>
                <w:right w:val="none" w:sz="0" w:space="0" w:color="auto"/>
              </w:divBdr>
            </w:div>
          </w:divsChild>
        </w:div>
        <w:div w:id="1763529868">
          <w:marLeft w:val="0"/>
          <w:marRight w:val="0"/>
          <w:marTop w:val="0"/>
          <w:marBottom w:val="0"/>
          <w:divBdr>
            <w:top w:val="none" w:sz="0" w:space="0" w:color="auto"/>
            <w:left w:val="none" w:sz="0" w:space="0" w:color="auto"/>
            <w:bottom w:val="none" w:sz="0" w:space="0" w:color="auto"/>
            <w:right w:val="none" w:sz="0" w:space="0" w:color="auto"/>
          </w:divBdr>
          <w:divsChild>
            <w:div w:id="25374239">
              <w:marLeft w:val="0"/>
              <w:marRight w:val="0"/>
              <w:marTop w:val="0"/>
              <w:marBottom w:val="0"/>
              <w:divBdr>
                <w:top w:val="none" w:sz="0" w:space="0" w:color="auto"/>
                <w:left w:val="none" w:sz="0" w:space="0" w:color="auto"/>
                <w:bottom w:val="none" w:sz="0" w:space="0" w:color="auto"/>
                <w:right w:val="none" w:sz="0" w:space="0" w:color="auto"/>
              </w:divBdr>
            </w:div>
          </w:divsChild>
        </w:div>
        <w:div w:id="1769159862">
          <w:marLeft w:val="0"/>
          <w:marRight w:val="0"/>
          <w:marTop w:val="0"/>
          <w:marBottom w:val="0"/>
          <w:divBdr>
            <w:top w:val="none" w:sz="0" w:space="0" w:color="auto"/>
            <w:left w:val="none" w:sz="0" w:space="0" w:color="auto"/>
            <w:bottom w:val="none" w:sz="0" w:space="0" w:color="auto"/>
            <w:right w:val="none" w:sz="0" w:space="0" w:color="auto"/>
          </w:divBdr>
          <w:divsChild>
            <w:div w:id="1367221503">
              <w:marLeft w:val="0"/>
              <w:marRight w:val="0"/>
              <w:marTop w:val="0"/>
              <w:marBottom w:val="0"/>
              <w:divBdr>
                <w:top w:val="none" w:sz="0" w:space="0" w:color="auto"/>
                <w:left w:val="none" w:sz="0" w:space="0" w:color="auto"/>
                <w:bottom w:val="none" w:sz="0" w:space="0" w:color="auto"/>
                <w:right w:val="none" w:sz="0" w:space="0" w:color="auto"/>
              </w:divBdr>
            </w:div>
          </w:divsChild>
        </w:div>
        <w:div w:id="1793014161">
          <w:marLeft w:val="0"/>
          <w:marRight w:val="0"/>
          <w:marTop w:val="0"/>
          <w:marBottom w:val="0"/>
          <w:divBdr>
            <w:top w:val="none" w:sz="0" w:space="0" w:color="auto"/>
            <w:left w:val="none" w:sz="0" w:space="0" w:color="auto"/>
            <w:bottom w:val="none" w:sz="0" w:space="0" w:color="auto"/>
            <w:right w:val="none" w:sz="0" w:space="0" w:color="auto"/>
          </w:divBdr>
          <w:divsChild>
            <w:div w:id="1857502268">
              <w:marLeft w:val="0"/>
              <w:marRight w:val="0"/>
              <w:marTop w:val="0"/>
              <w:marBottom w:val="0"/>
              <w:divBdr>
                <w:top w:val="none" w:sz="0" w:space="0" w:color="auto"/>
                <w:left w:val="none" w:sz="0" w:space="0" w:color="auto"/>
                <w:bottom w:val="none" w:sz="0" w:space="0" w:color="auto"/>
                <w:right w:val="none" w:sz="0" w:space="0" w:color="auto"/>
              </w:divBdr>
            </w:div>
          </w:divsChild>
        </w:div>
        <w:div w:id="1860927033">
          <w:marLeft w:val="0"/>
          <w:marRight w:val="0"/>
          <w:marTop w:val="0"/>
          <w:marBottom w:val="0"/>
          <w:divBdr>
            <w:top w:val="none" w:sz="0" w:space="0" w:color="auto"/>
            <w:left w:val="none" w:sz="0" w:space="0" w:color="auto"/>
            <w:bottom w:val="none" w:sz="0" w:space="0" w:color="auto"/>
            <w:right w:val="none" w:sz="0" w:space="0" w:color="auto"/>
          </w:divBdr>
          <w:divsChild>
            <w:div w:id="2144620235">
              <w:marLeft w:val="0"/>
              <w:marRight w:val="0"/>
              <w:marTop w:val="0"/>
              <w:marBottom w:val="0"/>
              <w:divBdr>
                <w:top w:val="none" w:sz="0" w:space="0" w:color="auto"/>
                <w:left w:val="none" w:sz="0" w:space="0" w:color="auto"/>
                <w:bottom w:val="none" w:sz="0" w:space="0" w:color="auto"/>
                <w:right w:val="none" w:sz="0" w:space="0" w:color="auto"/>
              </w:divBdr>
            </w:div>
          </w:divsChild>
        </w:div>
        <w:div w:id="1861236260">
          <w:marLeft w:val="0"/>
          <w:marRight w:val="0"/>
          <w:marTop w:val="0"/>
          <w:marBottom w:val="0"/>
          <w:divBdr>
            <w:top w:val="none" w:sz="0" w:space="0" w:color="auto"/>
            <w:left w:val="none" w:sz="0" w:space="0" w:color="auto"/>
            <w:bottom w:val="none" w:sz="0" w:space="0" w:color="auto"/>
            <w:right w:val="none" w:sz="0" w:space="0" w:color="auto"/>
          </w:divBdr>
          <w:divsChild>
            <w:div w:id="1610311907">
              <w:marLeft w:val="0"/>
              <w:marRight w:val="0"/>
              <w:marTop w:val="0"/>
              <w:marBottom w:val="0"/>
              <w:divBdr>
                <w:top w:val="none" w:sz="0" w:space="0" w:color="auto"/>
                <w:left w:val="none" w:sz="0" w:space="0" w:color="auto"/>
                <w:bottom w:val="none" w:sz="0" w:space="0" w:color="auto"/>
                <w:right w:val="none" w:sz="0" w:space="0" w:color="auto"/>
              </w:divBdr>
            </w:div>
          </w:divsChild>
        </w:div>
        <w:div w:id="1863010120">
          <w:marLeft w:val="0"/>
          <w:marRight w:val="0"/>
          <w:marTop w:val="0"/>
          <w:marBottom w:val="0"/>
          <w:divBdr>
            <w:top w:val="none" w:sz="0" w:space="0" w:color="auto"/>
            <w:left w:val="none" w:sz="0" w:space="0" w:color="auto"/>
            <w:bottom w:val="none" w:sz="0" w:space="0" w:color="auto"/>
            <w:right w:val="none" w:sz="0" w:space="0" w:color="auto"/>
          </w:divBdr>
          <w:divsChild>
            <w:div w:id="1739746201">
              <w:marLeft w:val="0"/>
              <w:marRight w:val="0"/>
              <w:marTop w:val="0"/>
              <w:marBottom w:val="0"/>
              <w:divBdr>
                <w:top w:val="none" w:sz="0" w:space="0" w:color="auto"/>
                <w:left w:val="none" w:sz="0" w:space="0" w:color="auto"/>
                <w:bottom w:val="none" w:sz="0" w:space="0" w:color="auto"/>
                <w:right w:val="none" w:sz="0" w:space="0" w:color="auto"/>
              </w:divBdr>
            </w:div>
          </w:divsChild>
        </w:div>
        <w:div w:id="1894388748">
          <w:marLeft w:val="0"/>
          <w:marRight w:val="0"/>
          <w:marTop w:val="0"/>
          <w:marBottom w:val="0"/>
          <w:divBdr>
            <w:top w:val="none" w:sz="0" w:space="0" w:color="auto"/>
            <w:left w:val="none" w:sz="0" w:space="0" w:color="auto"/>
            <w:bottom w:val="none" w:sz="0" w:space="0" w:color="auto"/>
            <w:right w:val="none" w:sz="0" w:space="0" w:color="auto"/>
          </w:divBdr>
          <w:divsChild>
            <w:div w:id="1269309198">
              <w:marLeft w:val="0"/>
              <w:marRight w:val="0"/>
              <w:marTop w:val="0"/>
              <w:marBottom w:val="0"/>
              <w:divBdr>
                <w:top w:val="none" w:sz="0" w:space="0" w:color="auto"/>
                <w:left w:val="none" w:sz="0" w:space="0" w:color="auto"/>
                <w:bottom w:val="none" w:sz="0" w:space="0" w:color="auto"/>
                <w:right w:val="none" w:sz="0" w:space="0" w:color="auto"/>
              </w:divBdr>
            </w:div>
          </w:divsChild>
        </w:div>
        <w:div w:id="1905792279">
          <w:marLeft w:val="0"/>
          <w:marRight w:val="0"/>
          <w:marTop w:val="0"/>
          <w:marBottom w:val="0"/>
          <w:divBdr>
            <w:top w:val="none" w:sz="0" w:space="0" w:color="auto"/>
            <w:left w:val="none" w:sz="0" w:space="0" w:color="auto"/>
            <w:bottom w:val="none" w:sz="0" w:space="0" w:color="auto"/>
            <w:right w:val="none" w:sz="0" w:space="0" w:color="auto"/>
          </w:divBdr>
          <w:divsChild>
            <w:div w:id="1286496969">
              <w:marLeft w:val="0"/>
              <w:marRight w:val="0"/>
              <w:marTop w:val="0"/>
              <w:marBottom w:val="0"/>
              <w:divBdr>
                <w:top w:val="none" w:sz="0" w:space="0" w:color="auto"/>
                <w:left w:val="none" w:sz="0" w:space="0" w:color="auto"/>
                <w:bottom w:val="none" w:sz="0" w:space="0" w:color="auto"/>
                <w:right w:val="none" w:sz="0" w:space="0" w:color="auto"/>
              </w:divBdr>
            </w:div>
          </w:divsChild>
        </w:div>
        <w:div w:id="1909146230">
          <w:marLeft w:val="0"/>
          <w:marRight w:val="0"/>
          <w:marTop w:val="0"/>
          <w:marBottom w:val="0"/>
          <w:divBdr>
            <w:top w:val="none" w:sz="0" w:space="0" w:color="auto"/>
            <w:left w:val="none" w:sz="0" w:space="0" w:color="auto"/>
            <w:bottom w:val="none" w:sz="0" w:space="0" w:color="auto"/>
            <w:right w:val="none" w:sz="0" w:space="0" w:color="auto"/>
          </w:divBdr>
          <w:divsChild>
            <w:div w:id="1824467060">
              <w:marLeft w:val="0"/>
              <w:marRight w:val="0"/>
              <w:marTop w:val="0"/>
              <w:marBottom w:val="0"/>
              <w:divBdr>
                <w:top w:val="none" w:sz="0" w:space="0" w:color="auto"/>
                <w:left w:val="none" w:sz="0" w:space="0" w:color="auto"/>
                <w:bottom w:val="none" w:sz="0" w:space="0" w:color="auto"/>
                <w:right w:val="none" w:sz="0" w:space="0" w:color="auto"/>
              </w:divBdr>
            </w:div>
          </w:divsChild>
        </w:div>
        <w:div w:id="1909924662">
          <w:marLeft w:val="0"/>
          <w:marRight w:val="0"/>
          <w:marTop w:val="0"/>
          <w:marBottom w:val="0"/>
          <w:divBdr>
            <w:top w:val="none" w:sz="0" w:space="0" w:color="auto"/>
            <w:left w:val="none" w:sz="0" w:space="0" w:color="auto"/>
            <w:bottom w:val="none" w:sz="0" w:space="0" w:color="auto"/>
            <w:right w:val="none" w:sz="0" w:space="0" w:color="auto"/>
          </w:divBdr>
          <w:divsChild>
            <w:div w:id="1654723104">
              <w:marLeft w:val="0"/>
              <w:marRight w:val="0"/>
              <w:marTop w:val="0"/>
              <w:marBottom w:val="0"/>
              <w:divBdr>
                <w:top w:val="none" w:sz="0" w:space="0" w:color="auto"/>
                <w:left w:val="none" w:sz="0" w:space="0" w:color="auto"/>
                <w:bottom w:val="none" w:sz="0" w:space="0" w:color="auto"/>
                <w:right w:val="none" w:sz="0" w:space="0" w:color="auto"/>
              </w:divBdr>
            </w:div>
          </w:divsChild>
        </w:div>
        <w:div w:id="1911307622">
          <w:marLeft w:val="0"/>
          <w:marRight w:val="0"/>
          <w:marTop w:val="0"/>
          <w:marBottom w:val="0"/>
          <w:divBdr>
            <w:top w:val="none" w:sz="0" w:space="0" w:color="auto"/>
            <w:left w:val="none" w:sz="0" w:space="0" w:color="auto"/>
            <w:bottom w:val="none" w:sz="0" w:space="0" w:color="auto"/>
            <w:right w:val="none" w:sz="0" w:space="0" w:color="auto"/>
          </w:divBdr>
          <w:divsChild>
            <w:div w:id="2023509504">
              <w:marLeft w:val="0"/>
              <w:marRight w:val="0"/>
              <w:marTop w:val="0"/>
              <w:marBottom w:val="0"/>
              <w:divBdr>
                <w:top w:val="none" w:sz="0" w:space="0" w:color="auto"/>
                <w:left w:val="none" w:sz="0" w:space="0" w:color="auto"/>
                <w:bottom w:val="none" w:sz="0" w:space="0" w:color="auto"/>
                <w:right w:val="none" w:sz="0" w:space="0" w:color="auto"/>
              </w:divBdr>
            </w:div>
          </w:divsChild>
        </w:div>
        <w:div w:id="1923875329">
          <w:marLeft w:val="0"/>
          <w:marRight w:val="0"/>
          <w:marTop w:val="0"/>
          <w:marBottom w:val="0"/>
          <w:divBdr>
            <w:top w:val="none" w:sz="0" w:space="0" w:color="auto"/>
            <w:left w:val="none" w:sz="0" w:space="0" w:color="auto"/>
            <w:bottom w:val="none" w:sz="0" w:space="0" w:color="auto"/>
            <w:right w:val="none" w:sz="0" w:space="0" w:color="auto"/>
          </w:divBdr>
          <w:divsChild>
            <w:div w:id="1382049402">
              <w:marLeft w:val="0"/>
              <w:marRight w:val="0"/>
              <w:marTop w:val="0"/>
              <w:marBottom w:val="0"/>
              <w:divBdr>
                <w:top w:val="none" w:sz="0" w:space="0" w:color="auto"/>
                <w:left w:val="none" w:sz="0" w:space="0" w:color="auto"/>
                <w:bottom w:val="none" w:sz="0" w:space="0" w:color="auto"/>
                <w:right w:val="none" w:sz="0" w:space="0" w:color="auto"/>
              </w:divBdr>
            </w:div>
          </w:divsChild>
        </w:div>
        <w:div w:id="1932274225">
          <w:marLeft w:val="0"/>
          <w:marRight w:val="0"/>
          <w:marTop w:val="0"/>
          <w:marBottom w:val="0"/>
          <w:divBdr>
            <w:top w:val="none" w:sz="0" w:space="0" w:color="auto"/>
            <w:left w:val="none" w:sz="0" w:space="0" w:color="auto"/>
            <w:bottom w:val="none" w:sz="0" w:space="0" w:color="auto"/>
            <w:right w:val="none" w:sz="0" w:space="0" w:color="auto"/>
          </w:divBdr>
          <w:divsChild>
            <w:div w:id="132912212">
              <w:marLeft w:val="0"/>
              <w:marRight w:val="0"/>
              <w:marTop w:val="0"/>
              <w:marBottom w:val="0"/>
              <w:divBdr>
                <w:top w:val="none" w:sz="0" w:space="0" w:color="auto"/>
                <w:left w:val="none" w:sz="0" w:space="0" w:color="auto"/>
                <w:bottom w:val="none" w:sz="0" w:space="0" w:color="auto"/>
                <w:right w:val="none" w:sz="0" w:space="0" w:color="auto"/>
              </w:divBdr>
            </w:div>
          </w:divsChild>
        </w:div>
        <w:div w:id="1936593410">
          <w:marLeft w:val="0"/>
          <w:marRight w:val="0"/>
          <w:marTop w:val="0"/>
          <w:marBottom w:val="0"/>
          <w:divBdr>
            <w:top w:val="none" w:sz="0" w:space="0" w:color="auto"/>
            <w:left w:val="none" w:sz="0" w:space="0" w:color="auto"/>
            <w:bottom w:val="none" w:sz="0" w:space="0" w:color="auto"/>
            <w:right w:val="none" w:sz="0" w:space="0" w:color="auto"/>
          </w:divBdr>
          <w:divsChild>
            <w:div w:id="1192913910">
              <w:marLeft w:val="0"/>
              <w:marRight w:val="0"/>
              <w:marTop w:val="0"/>
              <w:marBottom w:val="0"/>
              <w:divBdr>
                <w:top w:val="none" w:sz="0" w:space="0" w:color="auto"/>
                <w:left w:val="none" w:sz="0" w:space="0" w:color="auto"/>
                <w:bottom w:val="none" w:sz="0" w:space="0" w:color="auto"/>
                <w:right w:val="none" w:sz="0" w:space="0" w:color="auto"/>
              </w:divBdr>
            </w:div>
          </w:divsChild>
        </w:div>
        <w:div w:id="1941907010">
          <w:marLeft w:val="0"/>
          <w:marRight w:val="0"/>
          <w:marTop w:val="0"/>
          <w:marBottom w:val="0"/>
          <w:divBdr>
            <w:top w:val="none" w:sz="0" w:space="0" w:color="auto"/>
            <w:left w:val="none" w:sz="0" w:space="0" w:color="auto"/>
            <w:bottom w:val="none" w:sz="0" w:space="0" w:color="auto"/>
            <w:right w:val="none" w:sz="0" w:space="0" w:color="auto"/>
          </w:divBdr>
          <w:divsChild>
            <w:div w:id="691346580">
              <w:marLeft w:val="0"/>
              <w:marRight w:val="0"/>
              <w:marTop w:val="0"/>
              <w:marBottom w:val="0"/>
              <w:divBdr>
                <w:top w:val="none" w:sz="0" w:space="0" w:color="auto"/>
                <w:left w:val="none" w:sz="0" w:space="0" w:color="auto"/>
                <w:bottom w:val="none" w:sz="0" w:space="0" w:color="auto"/>
                <w:right w:val="none" w:sz="0" w:space="0" w:color="auto"/>
              </w:divBdr>
            </w:div>
          </w:divsChild>
        </w:div>
        <w:div w:id="1947735586">
          <w:marLeft w:val="0"/>
          <w:marRight w:val="0"/>
          <w:marTop w:val="0"/>
          <w:marBottom w:val="0"/>
          <w:divBdr>
            <w:top w:val="none" w:sz="0" w:space="0" w:color="auto"/>
            <w:left w:val="none" w:sz="0" w:space="0" w:color="auto"/>
            <w:bottom w:val="none" w:sz="0" w:space="0" w:color="auto"/>
            <w:right w:val="none" w:sz="0" w:space="0" w:color="auto"/>
          </w:divBdr>
          <w:divsChild>
            <w:div w:id="399058443">
              <w:marLeft w:val="0"/>
              <w:marRight w:val="0"/>
              <w:marTop w:val="0"/>
              <w:marBottom w:val="0"/>
              <w:divBdr>
                <w:top w:val="none" w:sz="0" w:space="0" w:color="auto"/>
                <w:left w:val="none" w:sz="0" w:space="0" w:color="auto"/>
                <w:bottom w:val="none" w:sz="0" w:space="0" w:color="auto"/>
                <w:right w:val="none" w:sz="0" w:space="0" w:color="auto"/>
              </w:divBdr>
            </w:div>
          </w:divsChild>
        </w:div>
        <w:div w:id="1948734873">
          <w:marLeft w:val="0"/>
          <w:marRight w:val="0"/>
          <w:marTop w:val="0"/>
          <w:marBottom w:val="0"/>
          <w:divBdr>
            <w:top w:val="none" w:sz="0" w:space="0" w:color="auto"/>
            <w:left w:val="none" w:sz="0" w:space="0" w:color="auto"/>
            <w:bottom w:val="none" w:sz="0" w:space="0" w:color="auto"/>
            <w:right w:val="none" w:sz="0" w:space="0" w:color="auto"/>
          </w:divBdr>
          <w:divsChild>
            <w:div w:id="793059847">
              <w:marLeft w:val="0"/>
              <w:marRight w:val="0"/>
              <w:marTop w:val="0"/>
              <w:marBottom w:val="0"/>
              <w:divBdr>
                <w:top w:val="none" w:sz="0" w:space="0" w:color="auto"/>
                <w:left w:val="none" w:sz="0" w:space="0" w:color="auto"/>
                <w:bottom w:val="none" w:sz="0" w:space="0" w:color="auto"/>
                <w:right w:val="none" w:sz="0" w:space="0" w:color="auto"/>
              </w:divBdr>
            </w:div>
          </w:divsChild>
        </w:div>
        <w:div w:id="1961497634">
          <w:marLeft w:val="0"/>
          <w:marRight w:val="0"/>
          <w:marTop w:val="0"/>
          <w:marBottom w:val="0"/>
          <w:divBdr>
            <w:top w:val="none" w:sz="0" w:space="0" w:color="auto"/>
            <w:left w:val="none" w:sz="0" w:space="0" w:color="auto"/>
            <w:bottom w:val="none" w:sz="0" w:space="0" w:color="auto"/>
            <w:right w:val="none" w:sz="0" w:space="0" w:color="auto"/>
          </w:divBdr>
          <w:divsChild>
            <w:div w:id="637684404">
              <w:marLeft w:val="0"/>
              <w:marRight w:val="0"/>
              <w:marTop w:val="0"/>
              <w:marBottom w:val="0"/>
              <w:divBdr>
                <w:top w:val="none" w:sz="0" w:space="0" w:color="auto"/>
                <w:left w:val="none" w:sz="0" w:space="0" w:color="auto"/>
                <w:bottom w:val="none" w:sz="0" w:space="0" w:color="auto"/>
                <w:right w:val="none" w:sz="0" w:space="0" w:color="auto"/>
              </w:divBdr>
            </w:div>
          </w:divsChild>
        </w:div>
        <w:div w:id="1995572805">
          <w:marLeft w:val="0"/>
          <w:marRight w:val="0"/>
          <w:marTop w:val="0"/>
          <w:marBottom w:val="0"/>
          <w:divBdr>
            <w:top w:val="none" w:sz="0" w:space="0" w:color="auto"/>
            <w:left w:val="none" w:sz="0" w:space="0" w:color="auto"/>
            <w:bottom w:val="none" w:sz="0" w:space="0" w:color="auto"/>
            <w:right w:val="none" w:sz="0" w:space="0" w:color="auto"/>
          </w:divBdr>
          <w:divsChild>
            <w:div w:id="2134010707">
              <w:marLeft w:val="0"/>
              <w:marRight w:val="0"/>
              <w:marTop w:val="0"/>
              <w:marBottom w:val="0"/>
              <w:divBdr>
                <w:top w:val="none" w:sz="0" w:space="0" w:color="auto"/>
                <w:left w:val="none" w:sz="0" w:space="0" w:color="auto"/>
                <w:bottom w:val="none" w:sz="0" w:space="0" w:color="auto"/>
                <w:right w:val="none" w:sz="0" w:space="0" w:color="auto"/>
              </w:divBdr>
            </w:div>
          </w:divsChild>
        </w:div>
        <w:div w:id="1995913614">
          <w:marLeft w:val="0"/>
          <w:marRight w:val="0"/>
          <w:marTop w:val="0"/>
          <w:marBottom w:val="0"/>
          <w:divBdr>
            <w:top w:val="none" w:sz="0" w:space="0" w:color="auto"/>
            <w:left w:val="none" w:sz="0" w:space="0" w:color="auto"/>
            <w:bottom w:val="none" w:sz="0" w:space="0" w:color="auto"/>
            <w:right w:val="none" w:sz="0" w:space="0" w:color="auto"/>
          </w:divBdr>
          <w:divsChild>
            <w:div w:id="1952930598">
              <w:marLeft w:val="0"/>
              <w:marRight w:val="0"/>
              <w:marTop w:val="0"/>
              <w:marBottom w:val="0"/>
              <w:divBdr>
                <w:top w:val="none" w:sz="0" w:space="0" w:color="auto"/>
                <w:left w:val="none" w:sz="0" w:space="0" w:color="auto"/>
                <w:bottom w:val="none" w:sz="0" w:space="0" w:color="auto"/>
                <w:right w:val="none" w:sz="0" w:space="0" w:color="auto"/>
              </w:divBdr>
            </w:div>
          </w:divsChild>
        </w:div>
        <w:div w:id="2005935071">
          <w:marLeft w:val="0"/>
          <w:marRight w:val="0"/>
          <w:marTop w:val="0"/>
          <w:marBottom w:val="0"/>
          <w:divBdr>
            <w:top w:val="none" w:sz="0" w:space="0" w:color="auto"/>
            <w:left w:val="none" w:sz="0" w:space="0" w:color="auto"/>
            <w:bottom w:val="none" w:sz="0" w:space="0" w:color="auto"/>
            <w:right w:val="none" w:sz="0" w:space="0" w:color="auto"/>
          </w:divBdr>
          <w:divsChild>
            <w:div w:id="2060745806">
              <w:marLeft w:val="0"/>
              <w:marRight w:val="0"/>
              <w:marTop w:val="0"/>
              <w:marBottom w:val="0"/>
              <w:divBdr>
                <w:top w:val="none" w:sz="0" w:space="0" w:color="auto"/>
                <w:left w:val="none" w:sz="0" w:space="0" w:color="auto"/>
                <w:bottom w:val="none" w:sz="0" w:space="0" w:color="auto"/>
                <w:right w:val="none" w:sz="0" w:space="0" w:color="auto"/>
              </w:divBdr>
            </w:div>
          </w:divsChild>
        </w:div>
        <w:div w:id="2012758137">
          <w:marLeft w:val="0"/>
          <w:marRight w:val="0"/>
          <w:marTop w:val="0"/>
          <w:marBottom w:val="0"/>
          <w:divBdr>
            <w:top w:val="none" w:sz="0" w:space="0" w:color="auto"/>
            <w:left w:val="none" w:sz="0" w:space="0" w:color="auto"/>
            <w:bottom w:val="none" w:sz="0" w:space="0" w:color="auto"/>
            <w:right w:val="none" w:sz="0" w:space="0" w:color="auto"/>
          </w:divBdr>
          <w:divsChild>
            <w:div w:id="1154642688">
              <w:marLeft w:val="0"/>
              <w:marRight w:val="0"/>
              <w:marTop w:val="0"/>
              <w:marBottom w:val="0"/>
              <w:divBdr>
                <w:top w:val="none" w:sz="0" w:space="0" w:color="auto"/>
                <w:left w:val="none" w:sz="0" w:space="0" w:color="auto"/>
                <w:bottom w:val="none" w:sz="0" w:space="0" w:color="auto"/>
                <w:right w:val="none" w:sz="0" w:space="0" w:color="auto"/>
              </w:divBdr>
            </w:div>
          </w:divsChild>
        </w:div>
        <w:div w:id="2014068896">
          <w:marLeft w:val="0"/>
          <w:marRight w:val="0"/>
          <w:marTop w:val="0"/>
          <w:marBottom w:val="0"/>
          <w:divBdr>
            <w:top w:val="none" w:sz="0" w:space="0" w:color="auto"/>
            <w:left w:val="none" w:sz="0" w:space="0" w:color="auto"/>
            <w:bottom w:val="none" w:sz="0" w:space="0" w:color="auto"/>
            <w:right w:val="none" w:sz="0" w:space="0" w:color="auto"/>
          </w:divBdr>
          <w:divsChild>
            <w:div w:id="14384166">
              <w:marLeft w:val="0"/>
              <w:marRight w:val="0"/>
              <w:marTop w:val="0"/>
              <w:marBottom w:val="0"/>
              <w:divBdr>
                <w:top w:val="none" w:sz="0" w:space="0" w:color="auto"/>
                <w:left w:val="none" w:sz="0" w:space="0" w:color="auto"/>
                <w:bottom w:val="none" w:sz="0" w:space="0" w:color="auto"/>
                <w:right w:val="none" w:sz="0" w:space="0" w:color="auto"/>
              </w:divBdr>
            </w:div>
          </w:divsChild>
        </w:div>
        <w:div w:id="2026125976">
          <w:marLeft w:val="0"/>
          <w:marRight w:val="0"/>
          <w:marTop w:val="0"/>
          <w:marBottom w:val="0"/>
          <w:divBdr>
            <w:top w:val="none" w:sz="0" w:space="0" w:color="auto"/>
            <w:left w:val="none" w:sz="0" w:space="0" w:color="auto"/>
            <w:bottom w:val="none" w:sz="0" w:space="0" w:color="auto"/>
            <w:right w:val="none" w:sz="0" w:space="0" w:color="auto"/>
          </w:divBdr>
          <w:divsChild>
            <w:div w:id="338774358">
              <w:marLeft w:val="0"/>
              <w:marRight w:val="0"/>
              <w:marTop w:val="0"/>
              <w:marBottom w:val="0"/>
              <w:divBdr>
                <w:top w:val="none" w:sz="0" w:space="0" w:color="auto"/>
                <w:left w:val="none" w:sz="0" w:space="0" w:color="auto"/>
                <w:bottom w:val="none" w:sz="0" w:space="0" w:color="auto"/>
                <w:right w:val="none" w:sz="0" w:space="0" w:color="auto"/>
              </w:divBdr>
            </w:div>
          </w:divsChild>
        </w:div>
        <w:div w:id="2043094982">
          <w:marLeft w:val="0"/>
          <w:marRight w:val="0"/>
          <w:marTop w:val="0"/>
          <w:marBottom w:val="0"/>
          <w:divBdr>
            <w:top w:val="none" w:sz="0" w:space="0" w:color="auto"/>
            <w:left w:val="none" w:sz="0" w:space="0" w:color="auto"/>
            <w:bottom w:val="none" w:sz="0" w:space="0" w:color="auto"/>
            <w:right w:val="none" w:sz="0" w:space="0" w:color="auto"/>
          </w:divBdr>
          <w:divsChild>
            <w:div w:id="1553998403">
              <w:marLeft w:val="0"/>
              <w:marRight w:val="0"/>
              <w:marTop w:val="0"/>
              <w:marBottom w:val="0"/>
              <w:divBdr>
                <w:top w:val="none" w:sz="0" w:space="0" w:color="auto"/>
                <w:left w:val="none" w:sz="0" w:space="0" w:color="auto"/>
                <w:bottom w:val="none" w:sz="0" w:space="0" w:color="auto"/>
                <w:right w:val="none" w:sz="0" w:space="0" w:color="auto"/>
              </w:divBdr>
            </w:div>
          </w:divsChild>
        </w:div>
        <w:div w:id="2080052953">
          <w:marLeft w:val="0"/>
          <w:marRight w:val="0"/>
          <w:marTop w:val="0"/>
          <w:marBottom w:val="0"/>
          <w:divBdr>
            <w:top w:val="none" w:sz="0" w:space="0" w:color="auto"/>
            <w:left w:val="none" w:sz="0" w:space="0" w:color="auto"/>
            <w:bottom w:val="none" w:sz="0" w:space="0" w:color="auto"/>
            <w:right w:val="none" w:sz="0" w:space="0" w:color="auto"/>
          </w:divBdr>
          <w:divsChild>
            <w:div w:id="976683528">
              <w:marLeft w:val="0"/>
              <w:marRight w:val="0"/>
              <w:marTop w:val="0"/>
              <w:marBottom w:val="0"/>
              <w:divBdr>
                <w:top w:val="none" w:sz="0" w:space="0" w:color="auto"/>
                <w:left w:val="none" w:sz="0" w:space="0" w:color="auto"/>
                <w:bottom w:val="none" w:sz="0" w:space="0" w:color="auto"/>
                <w:right w:val="none" w:sz="0" w:space="0" w:color="auto"/>
              </w:divBdr>
            </w:div>
          </w:divsChild>
        </w:div>
        <w:div w:id="2080397059">
          <w:marLeft w:val="0"/>
          <w:marRight w:val="0"/>
          <w:marTop w:val="0"/>
          <w:marBottom w:val="0"/>
          <w:divBdr>
            <w:top w:val="none" w:sz="0" w:space="0" w:color="auto"/>
            <w:left w:val="none" w:sz="0" w:space="0" w:color="auto"/>
            <w:bottom w:val="none" w:sz="0" w:space="0" w:color="auto"/>
            <w:right w:val="none" w:sz="0" w:space="0" w:color="auto"/>
          </w:divBdr>
          <w:divsChild>
            <w:div w:id="1336423291">
              <w:marLeft w:val="0"/>
              <w:marRight w:val="0"/>
              <w:marTop w:val="0"/>
              <w:marBottom w:val="0"/>
              <w:divBdr>
                <w:top w:val="none" w:sz="0" w:space="0" w:color="auto"/>
                <w:left w:val="none" w:sz="0" w:space="0" w:color="auto"/>
                <w:bottom w:val="none" w:sz="0" w:space="0" w:color="auto"/>
                <w:right w:val="none" w:sz="0" w:space="0" w:color="auto"/>
              </w:divBdr>
            </w:div>
          </w:divsChild>
        </w:div>
        <w:div w:id="2080401535">
          <w:marLeft w:val="0"/>
          <w:marRight w:val="0"/>
          <w:marTop w:val="0"/>
          <w:marBottom w:val="0"/>
          <w:divBdr>
            <w:top w:val="none" w:sz="0" w:space="0" w:color="auto"/>
            <w:left w:val="none" w:sz="0" w:space="0" w:color="auto"/>
            <w:bottom w:val="none" w:sz="0" w:space="0" w:color="auto"/>
            <w:right w:val="none" w:sz="0" w:space="0" w:color="auto"/>
          </w:divBdr>
          <w:divsChild>
            <w:div w:id="888221239">
              <w:marLeft w:val="0"/>
              <w:marRight w:val="0"/>
              <w:marTop w:val="0"/>
              <w:marBottom w:val="0"/>
              <w:divBdr>
                <w:top w:val="none" w:sz="0" w:space="0" w:color="auto"/>
                <w:left w:val="none" w:sz="0" w:space="0" w:color="auto"/>
                <w:bottom w:val="none" w:sz="0" w:space="0" w:color="auto"/>
                <w:right w:val="none" w:sz="0" w:space="0" w:color="auto"/>
              </w:divBdr>
            </w:div>
          </w:divsChild>
        </w:div>
        <w:div w:id="2084986319">
          <w:marLeft w:val="0"/>
          <w:marRight w:val="0"/>
          <w:marTop w:val="0"/>
          <w:marBottom w:val="0"/>
          <w:divBdr>
            <w:top w:val="none" w:sz="0" w:space="0" w:color="auto"/>
            <w:left w:val="none" w:sz="0" w:space="0" w:color="auto"/>
            <w:bottom w:val="none" w:sz="0" w:space="0" w:color="auto"/>
            <w:right w:val="none" w:sz="0" w:space="0" w:color="auto"/>
          </w:divBdr>
          <w:divsChild>
            <w:div w:id="1062412033">
              <w:marLeft w:val="0"/>
              <w:marRight w:val="0"/>
              <w:marTop w:val="0"/>
              <w:marBottom w:val="0"/>
              <w:divBdr>
                <w:top w:val="none" w:sz="0" w:space="0" w:color="auto"/>
                <w:left w:val="none" w:sz="0" w:space="0" w:color="auto"/>
                <w:bottom w:val="none" w:sz="0" w:space="0" w:color="auto"/>
                <w:right w:val="none" w:sz="0" w:space="0" w:color="auto"/>
              </w:divBdr>
            </w:div>
          </w:divsChild>
        </w:div>
        <w:div w:id="2089841432">
          <w:marLeft w:val="0"/>
          <w:marRight w:val="0"/>
          <w:marTop w:val="0"/>
          <w:marBottom w:val="0"/>
          <w:divBdr>
            <w:top w:val="none" w:sz="0" w:space="0" w:color="auto"/>
            <w:left w:val="none" w:sz="0" w:space="0" w:color="auto"/>
            <w:bottom w:val="none" w:sz="0" w:space="0" w:color="auto"/>
            <w:right w:val="none" w:sz="0" w:space="0" w:color="auto"/>
          </w:divBdr>
          <w:divsChild>
            <w:div w:id="640959459">
              <w:marLeft w:val="0"/>
              <w:marRight w:val="0"/>
              <w:marTop w:val="0"/>
              <w:marBottom w:val="0"/>
              <w:divBdr>
                <w:top w:val="none" w:sz="0" w:space="0" w:color="auto"/>
                <w:left w:val="none" w:sz="0" w:space="0" w:color="auto"/>
                <w:bottom w:val="none" w:sz="0" w:space="0" w:color="auto"/>
                <w:right w:val="none" w:sz="0" w:space="0" w:color="auto"/>
              </w:divBdr>
            </w:div>
          </w:divsChild>
        </w:div>
        <w:div w:id="2102217055">
          <w:marLeft w:val="0"/>
          <w:marRight w:val="0"/>
          <w:marTop w:val="0"/>
          <w:marBottom w:val="0"/>
          <w:divBdr>
            <w:top w:val="none" w:sz="0" w:space="0" w:color="auto"/>
            <w:left w:val="none" w:sz="0" w:space="0" w:color="auto"/>
            <w:bottom w:val="none" w:sz="0" w:space="0" w:color="auto"/>
            <w:right w:val="none" w:sz="0" w:space="0" w:color="auto"/>
          </w:divBdr>
          <w:divsChild>
            <w:div w:id="1646855612">
              <w:marLeft w:val="0"/>
              <w:marRight w:val="0"/>
              <w:marTop w:val="0"/>
              <w:marBottom w:val="0"/>
              <w:divBdr>
                <w:top w:val="none" w:sz="0" w:space="0" w:color="auto"/>
                <w:left w:val="none" w:sz="0" w:space="0" w:color="auto"/>
                <w:bottom w:val="none" w:sz="0" w:space="0" w:color="auto"/>
                <w:right w:val="none" w:sz="0" w:space="0" w:color="auto"/>
              </w:divBdr>
            </w:div>
          </w:divsChild>
        </w:div>
        <w:div w:id="2112047290">
          <w:marLeft w:val="0"/>
          <w:marRight w:val="0"/>
          <w:marTop w:val="0"/>
          <w:marBottom w:val="0"/>
          <w:divBdr>
            <w:top w:val="none" w:sz="0" w:space="0" w:color="auto"/>
            <w:left w:val="none" w:sz="0" w:space="0" w:color="auto"/>
            <w:bottom w:val="none" w:sz="0" w:space="0" w:color="auto"/>
            <w:right w:val="none" w:sz="0" w:space="0" w:color="auto"/>
          </w:divBdr>
          <w:divsChild>
            <w:div w:id="1284968893">
              <w:marLeft w:val="0"/>
              <w:marRight w:val="0"/>
              <w:marTop w:val="0"/>
              <w:marBottom w:val="0"/>
              <w:divBdr>
                <w:top w:val="none" w:sz="0" w:space="0" w:color="auto"/>
                <w:left w:val="none" w:sz="0" w:space="0" w:color="auto"/>
                <w:bottom w:val="none" w:sz="0" w:space="0" w:color="auto"/>
                <w:right w:val="none" w:sz="0" w:space="0" w:color="auto"/>
              </w:divBdr>
            </w:div>
          </w:divsChild>
        </w:div>
        <w:div w:id="2112704257">
          <w:marLeft w:val="0"/>
          <w:marRight w:val="0"/>
          <w:marTop w:val="0"/>
          <w:marBottom w:val="0"/>
          <w:divBdr>
            <w:top w:val="none" w:sz="0" w:space="0" w:color="auto"/>
            <w:left w:val="none" w:sz="0" w:space="0" w:color="auto"/>
            <w:bottom w:val="none" w:sz="0" w:space="0" w:color="auto"/>
            <w:right w:val="none" w:sz="0" w:space="0" w:color="auto"/>
          </w:divBdr>
          <w:divsChild>
            <w:div w:id="297564669">
              <w:marLeft w:val="0"/>
              <w:marRight w:val="0"/>
              <w:marTop w:val="0"/>
              <w:marBottom w:val="0"/>
              <w:divBdr>
                <w:top w:val="none" w:sz="0" w:space="0" w:color="auto"/>
                <w:left w:val="none" w:sz="0" w:space="0" w:color="auto"/>
                <w:bottom w:val="none" w:sz="0" w:space="0" w:color="auto"/>
                <w:right w:val="none" w:sz="0" w:space="0" w:color="auto"/>
              </w:divBdr>
            </w:div>
          </w:divsChild>
        </w:div>
        <w:div w:id="2117363701">
          <w:marLeft w:val="0"/>
          <w:marRight w:val="0"/>
          <w:marTop w:val="0"/>
          <w:marBottom w:val="0"/>
          <w:divBdr>
            <w:top w:val="none" w:sz="0" w:space="0" w:color="auto"/>
            <w:left w:val="none" w:sz="0" w:space="0" w:color="auto"/>
            <w:bottom w:val="none" w:sz="0" w:space="0" w:color="auto"/>
            <w:right w:val="none" w:sz="0" w:space="0" w:color="auto"/>
          </w:divBdr>
          <w:divsChild>
            <w:div w:id="1965579340">
              <w:marLeft w:val="0"/>
              <w:marRight w:val="0"/>
              <w:marTop w:val="0"/>
              <w:marBottom w:val="0"/>
              <w:divBdr>
                <w:top w:val="none" w:sz="0" w:space="0" w:color="auto"/>
                <w:left w:val="none" w:sz="0" w:space="0" w:color="auto"/>
                <w:bottom w:val="none" w:sz="0" w:space="0" w:color="auto"/>
                <w:right w:val="none" w:sz="0" w:space="0" w:color="auto"/>
              </w:divBdr>
            </w:div>
          </w:divsChild>
        </w:div>
        <w:div w:id="2128429141">
          <w:marLeft w:val="0"/>
          <w:marRight w:val="0"/>
          <w:marTop w:val="0"/>
          <w:marBottom w:val="0"/>
          <w:divBdr>
            <w:top w:val="none" w:sz="0" w:space="0" w:color="auto"/>
            <w:left w:val="none" w:sz="0" w:space="0" w:color="auto"/>
            <w:bottom w:val="none" w:sz="0" w:space="0" w:color="auto"/>
            <w:right w:val="none" w:sz="0" w:space="0" w:color="auto"/>
          </w:divBdr>
          <w:divsChild>
            <w:div w:id="166828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633491">
      <w:bodyDiv w:val="1"/>
      <w:marLeft w:val="0"/>
      <w:marRight w:val="0"/>
      <w:marTop w:val="0"/>
      <w:marBottom w:val="0"/>
      <w:divBdr>
        <w:top w:val="none" w:sz="0" w:space="0" w:color="auto"/>
        <w:left w:val="none" w:sz="0" w:space="0" w:color="auto"/>
        <w:bottom w:val="none" w:sz="0" w:space="0" w:color="auto"/>
        <w:right w:val="none" w:sz="0" w:space="0" w:color="auto"/>
      </w:divBdr>
    </w:div>
    <w:div w:id="1988821843">
      <w:bodyDiv w:val="1"/>
      <w:marLeft w:val="0"/>
      <w:marRight w:val="0"/>
      <w:marTop w:val="0"/>
      <w:marBottom w:val="0"/>
      <w:divBdr>
        <w:top w:val="none" w:sz="0" w:space="0" w:color="auto"/>
        <w:left w:val="none" w:sz="0" w:space="0" w:color="auto"/>
        <w:bottom w:val="none" w:sz="0" w:space="0" w:color="auto"/>
        <w:right w:val="none" w:sz="0" w:space="0" w:color="auto"/>
      </w:divBdr>
    </w:div>
    <w:div w:id="1988902242">
      <w:bodyDiv w:val="1"/>
      <w:marLeft w:val="0"/>
      <w:marRight w:val="0"/>
      <w:marTop w:val="0"/>
      <w:marBottom w:val="0"/>
      <w:divBdr>
        <w:top w:val="none" w:sz="0" w:space="0" w:color="auto"/>
        <w:left w:val="none" w:sz="0" w:space="0" w:color="auto"/>
        <w:bottom w:val="none" w:sz="0" w:space="0" w:color="auto"/>
        <w:right w:val="none" w:sz="0" w:space="0" w:color="auto"/>
      </w:divBdr>
    </w:div>
    <w:div w:id="1990472761">
      <w:bodyDiv w:val="1"/>
      <w:marLeft w:val="0"/>
      <w:marRight w:val="0"/>
      <w:marTop w:val="0"/>
      <w:marBottom w:val="0"/>
      <w:divBdr>
        <w:top w:val="none" w:sz="0" w:space="0" w:color="auto"/>
        <w:left w:val="none" w:sz="0" w:space="0" w:color="auto"/>
        <w:bottom w:val="none" w:sz="0" w:space="0" w:color="auto"/>
        <w:right w:val="none" w:sz="0" w:space="0" w:color="auto"/>
      </w:divBdr>
    </w:div>
    <w:div w:id="1997415975">
      <w:bodyDiv w:val="1"/>
      <w:marLeft w:val="0"/>
      <w:marRight w:val="0"/>
      <w:marTop w:val="0"/>
      <w:marBottom w:val="0"/>
      <w:divBdr>
        <w:top w:val="none" w:sz="0" w:space="0" w:color="auto"/>
        <w:left w:val="none" w:sz="0" w:space="0" w:color="auto"/>
        <w:bottom w:val="none" w:sz="0" w:space="0" w:color="auto"/>
        <w:right w:val="none" w:sz="0" w:space="0" w:color="auto"/>
      </w:divBdr>
    </w:div>
    <w:div w:id="2013755078">
      <w:bodyDiv w:val="1"/>
      <w:marLeft w:val="0"/>
      <w:marRight w:val="0"/>
      <w:marTop w:val="0"/>
      <w:marBottom w:val="0"/>
      <w:divBdr>
        <w:top w:val="none" w:sz="0" w:space="0" w:color="auto"/>
        <w:left w:val="none" w:sz="0" w:space="0" w:color="auto"/>
        <w:bottom w:val="none" w:sz="0" w:space="0" w:color="auto"/>
        <w:right w:val="none" w:sz="0" w:space="0" w:color="auto"/>
      </w:divBdr>
    </w:div>
    <w:div w:id="2016571454">
      <w:bodyDiv w:val="1"/>
      <w:marLeft w:val="0"/>
      <w:marRight w:val="0"/>
      <w:marTop w:val="0"/>
      <w:marBottom w:val="0"/>
      <w:divBdr>
        <w:top w:val="none" w:sz="0" w:space="0" w:color="auto"/>
        <w:left w:val="none" w:sz="0" w:space="0" w:color="auto"/>
        <w:bottom w:val="none" w:sz="0" w:space="0" w:color="auto"/>
        <w:right w:val="none" w:sz="0" w:space="0" w:color="auto"/>
      </w:divBdr>
    </w:div>
    <w:div w:id="2021542254">
      <w:bodyDiv w:val="1"/>
      <w:marLeft w:val="0"/>
      <w:marRight w:val="0"/>
      <w:marTop w:val="0"/>
      <w:marBottom w:val="0"/>
      <w:divBdr>
        <w:top w:val="none" w:sz="0" w:space="0" w:color="auto"/>
        <w:left w:val="none" w:sz="0" w:space="0" w:color="auto"/>
        <w:bottom w:val="none" w:sz="0" w:space="0" w:color="auto"/>
        <w:right w:val="none" w:sz="0" w:space="0" w:color="auto"/>
      </w:divBdr>
    </w:div>
    <w:div w:id="2024897694">
      <w:bodyDiv w:val="1"/>
      <w:marLeft w:val="0"/>
      <w:marRight w:val="0"/>
      <w:marTop w:val="0"/>
      <w:marBottom w:val="0"/>
      <w:divBdr>
        <w:top w:val="none" w:sz="0" w:space="0" w:color="auto"/>
        <w:left w:val="none" w:sz="0" w:space="0" w:color="auto"/>
        <w:bottom w:val="none" w:sz="0" w:space="0" w:color="auto"/>
        <w:right w:val="none" w:sz="0" w:space="0" w:color="auto"/>
      </w:divBdr>
    </w:div>
    <w:div w:id="2030982242">
      <w:bodyDiv w:val="1"/>
      <w:marLeft w:val="0"/>
      <w:marRight w:val="0"/>
      <w:marTop w:val="0"/>
      <w:marBottom w:val="0"/>
      <w:divBdr>
        <w:top w:val="none" w:sz="0" w:space="0" w:color="auto"/>
        <w:left w:val="none" w:sz="0" w:space="0" w:color="auto"/>
        <w:bottom w:val="none" w:sz="0" w:space="0" w:color="auto"/>
        <w:right w:val="none" w:sz="0" w:space="0" w:color="auto"/>
      </w:divBdr>
    </w:div>
    <w:div w:id="2034727172">
      <w:bodyDiv w:val="1"/>
      <w:marLeft w:val="0"/>
      <w:marRight w:val="0"/>
      <w:marTop w:val="0"/>
      <w:marBottom w:val="0"/>
      <w:divBdr>
        <w:top w:val="none" w:sz="0" w:space="0" w:color="auto"/>
        <w:left w:val="none" w:sz="0" w:space="0" w:color="auto"/>
        <w:bottom w:val="none" w:sz="0" w:space="0" w:color="auto"/>
        <w:right w:val="none" w:sz="0" w:space="0" w:color="auto"/>
      </w:divBdr>
    </w:div>
    <w:div w:id="2037348916">
      <w:bodyDiv w:val="1"/>
      <w:marLeft w:val="0"/>
      <w:marRight w:val="0"/>
      <w:marTop w:val="0"/>
      <w:marBottom w:val="0"/>
      <w:divBdr>
        <w:top w:val="none" w:sz="0" w:space="0" w:color="auto"/>
        <w:left w:val="none" w:sz="0" w:space="0" w:color="auto"/>
        <w:bottom w:val="none" w:sz="0" w:space="0" w:color="auto"/>
        <w:right w:val="none" w:sz="0" w:space="0" w:color="auto"/>
      </w:divBdr>
    </w:div>
    <w:div w:id="2038509424">
      <w:bodyDiv w:val="1"/>
      <w:marLeft w:val="0"/>
      <w:marRight w:val="0"/>
      <w:marTop w:val="0"/>
      <w:marBottom w:val="0"/>
      <w:divBdr>
        <w:top w:val="none" w:sz="0" w:space="0" w:color="auto"/>
        <w:left w:val="none" w:sz="0" w:space="0" w:color="auto"/>
        <w:bottom w:val="none" w:sz="0" w:space="0" w:color="auto"/>
        <w:right w:val="none" w:sz="0" w:space="0" w:color="auto"/>
      </w:divBdr>
    </w:div>
    <w:div w:id="2054650381">
      <w:bodyDiv w:val="1"/>
      <w:marLeft w:val="0"/>
      <w:marRight w:val="0"/>
      <w:marTop w:val="0"/>
      <w:marBottom w:val="0"/>
      <w:divBdr>
        <w:top w:val="none" w:sz="0" w:space="0" w:color="auto"/>
        <w:left w:val="none" w:sz="0" w:space="0" w:color="auto"/>
        <w:bottom w:val="none" w:sz="0" w:space="0" w:color="auto"/>
        <w:right w:val="none" w:sz="0" w:space="0" w:color="auto"/>
      </w:divBdr>
    </w:div>
    <w:div w:id="2059429489">
      <w:bodyDiv w:val="1"/>
      <w:marLeft w:val="0"/>
      <w:marRight w:val="0"/>
      <w:marTop w:val="0"/>
      <w:marBottom w:val="0"/>
      <w:divBdr>
        <w:top w:val="none" w:sz="0" w:space="0" w:color="auto"/>
        <w:left w:val="none" w:sz="0" w:space="0" w:color="auto"/>
        <w:bottom w:val="none" w:sz="0" w:space="0" w:color="auto"/>
        <w:right w:val="none" w:sz="0" w:space="0" w:color="auto"/>
      </w:divBdr>
    </w:div>
    <w:div w:id="2066681780">
      <w:bodyDiv w:val="1"/>
      <w:marLeft w:val="0"/>
      <w:marRight w:val="0"/>
      <w:marTop w:val="0"/>
      <w:marBottom w:val="0"/>
      <w:divBdr>
        <w:top w:val="none" w:sz="0" w:space="0" w:color="auto"/>
        <w:left w:val="none" w:sz="0" w:space="0" w:color="auto"/>
        <w:bottom w:val="none" w:sz="0" w:space="0" w:color="auto"/>
        <w:right w:val="none" w:sz="0" w:space="0" w:color="auto"/>
      </w:divBdr>
    </w:div>
    <w:div w:id="2066760579">
      <w:bodyDiv w:val="1"/>
      <w:marLeft w:val="0"/>
      <w:marRight w:val="0"/>
      <w:marTop w:val="0"/>
      <w:marBottom w:val="0"/>
      <w:divBdr>
        <w:top w:val="none" w:sz="0" w:space="0" w:color="auto"/>
        <w:left w:val="none" w:sz="0" w:space="0" w:color="auto"/>
        <w:bottom w:val="none" w:sz="0" w:space="0" w:color="auto"/>
        <w:right w:val="none" w:sz="0" w:space="0" w:color="auto"/>
      </w:divBdr>
    </w:div>
    <w:div w:id="2068256891">
      <w:bodyDiv w:val="1"/>
      <w:marLeft w:val="0"/>
      <w:marRight w:val="0"/>
      <w:marTop w:val="0"/>
      <w:marBottom w:val="0"/>
      <w:divBdr>
        <w:top w:val="none" w:sz="0" w:space="0" w:color="auto"/>
        <w:left w:val="none" w:sz="0" w:space="0" w:color="auto"/>
        <w:bottom w:val="none" w:sz="0" w:space="0" w:color="auto"/>
        <w:right w:val="none" w:sz="0" w:space="0" w:color="auto"/>
      </w:divBdr>
    </w:div>
    <w:div w:id="2075620210">
      <w:bodyDiv w:val="1"/>
      <w:marLeft w:val="0"/>
      <w:marRight w:val="0"/>
      <w:marTop w:val="0"/>
      <w:marBottom w:val="0"/>
      <w:divBdr>
        <w:top w:val="none" w:sz="0" w:space="0" w:color="auto"/>
        <w:left w:val="none" w:sz="0" w:space="0" w:color="auto"/>
        <w:bottom w:val="none" w:sz="0" w:space="0" w:color="auto"/>
        <w:right w:val="none" w:sz="0" w:space="0" w:color="auto"/>
      </w:divBdr>
    </w:div>
    <w:div w:id="2078089467">
      <w:bodyDiv w:val="1"/>
      <w:marLeft w:val="0"/>
      <w:marRight w:val="0"/>
      <w:marTop w:val="0"/>
      <w:marBottom w:val="0"/>
      <w:divBdr>
        <w:top w:val="none" w:sz="0" w:space="0" w:color="auto"/>
        <w:left w:val="none" w:sz="0" w:space="0" w:color="auto"/>
        <w:bottom w:val="none" w:sz="0" w:space="0" w:color="auto"/>
        <w:right w:val="none" w:sz="0" w:space="0" w:color="auto"/>
      </w:divBdr>
    </w:div>
    <w:div w:id="2089762424">
      <w:bodyDiv w:val="1"/>
      <w:marLeft w:val="0"/>
      <w:marRight w:val="0"/>
      <w:marTop w:val="0"/>
      <w:marBottom w:val="0"/>
      <w:divBdr>
        <w:top w:val="none" w:sz="0" w:space="0" w:color="auto"/>
        <w:left w:val="none" w:sz="0" w:space="0" w:color="auto"/>
        <w:bottom w:val="none" w:sz="0" w:space="0" w:color="auto"/>
        <w:right w:val="none" w:sz="0" w:space="0" w:color="auto"/>
      </w:divBdr>
    </w:div>
    <w:div w:id="2091996552">
      <w:bodyDiv w:val="1"/>
      <w:marLeft w:val="0"/>
      <w:marRight w:val="0"/>
      <w:marTop w:val="0"/>
      <w:marBottom w:val="0"/>
      <w:divBdr>
        <w:top w:val="none" w:sz="0" w:space="0" w:color="auto"/>
        <w:left w:val="none" w:sz="0" w:space="0" w:color="auto"/>
        <w:bottom w:val="none" w:sz="0" w:space="0" w:color="auto"/>
        <w:right w:val="none" w:sz="0" w:space="0" w:color="auto"/>
      </w:divBdr>
    </w:div>
    <w:div w:id="2117863236">
      <w:bodyDiv w:val="1"/>
      <w:marLeft w:val="0"/>
      <w:marRight w:val="0"/>
      <w:marTop w:val="0"/>
      <w:marBottom w:val="0"/>
      <w:divBdr>
        <w:top w:val="none" w:sz="0" w:space="0" w:color="auto"/>
        <w:left w:val="none" w:sz="0" w:space="0" w:color="auto"/>
        <w:bottom w:val="none" w:sz="0" w:space="0" w:color="auto"/>
        <w:right w:val="none" w:sz="0" w:space="0" w:color="auto"/>
      </w:divBdr>
      <w:divsChild>
        <w:div w:id="8260612">
          <w:marLeft w:val="0"/>
          <w:marRight w:val="0"/>
          <w:marTop w:val="0"/>
          <w:marBottom w:val="0"/>
          <w:divBdr>
            <w:top w:val="none" w:sz="0" w:space="0" w:color="auto"/>
            <w:left w:val="none" w:sz="0" w:space="0" w:color="auto"/>
            <w:bottom w:val="none" w:sz="0" w:space="0" w:color="auto"/>
            <w:right w:val="none" w:sz="0" w:space="0" w:color="auto"/>
          </w:divBdr>
          <w:divsChild>
            <w:div w:id="568923441">
              <w:marLeft w:val="0"/>
              <w:marRight w:val="0"/>
              <w:marTop w:val="0"/>
              <w:marBottom w:val="0"/>
              <w:divBdr>
                <w:top w:val="none" w:sz="0" w:space="0" w:color="auto"/>
                <w:left w:val="none" w:sz="0" w:space="0" w:color="auto"/>
                <w:bottom w:val="none" w:sz="0" w:space="0" w:color="auto"/>
                <w:right w:val="none" w:sz="0" w:space="0" w:color="auto"/>
              </w:divBdr>
            </w:div>
          </w:divsChild>
        </w:div>
        <w:div w:id="20397547">
          <w:marLeft w:val="0"/>
          <w:marRight w:val="0"/>
          <w:marTop w:val="0"/>
          <w:marBottom w:val="0"/>
          <w:divBdr>
            <w:top w:val="none" w:sz="0" w:space="0" w:color="auto"/>
            <w:left w:val="none" w:sz="0" w:space="0" w:color="auto"/>
            <w:bottom w:val="none" w:sz="0" w:space="0" w:color="auto"/>
            <w:right w:val="none" w:sz="0" w:space="0" w:color="auto"/>
          </w:divBdr>
          <w:divsChild>
            <w:div w:id="1741512931">
              <w:marLeft w:val="0"/>
              <w:marRight w:val="0"/>
              <w:marTop w:val="0"/>
              <w:marBottom w:val="0"/>
              <w:divBdr>
                <w:top w:val="none" w:sz="0" w:space="0" w:color="auto"/>
                <w:left w:val="none" w:sz="0" w:space="0" w:color="auto"/>
                <w:bottom w:val="none" w:sz="0" w:space="0" w:color="auto"/>
                <w:right w:val="none" w:sz="0" w:space="0" w:color="auto"/>
              </w:divBdr>
            </w:div>
          </w:divsChild>
        </w:div>
        <w:div w:id="23361808">
          <w:marLeft w:val="0"/>
          <w:marRight w:val="0"/>
          <w:marTop w:val="0"/>
          <w:marBottom w:val="0"/>
          <w:divBdr>
            <w:top w:val="none" w:sz="0" w:space="0" w:color="auto"/>
            <w:left w:val="none" w:sz="0" w:space="0" w:color="auto"/>
            <w:bottom w:val="none" w:sz="0" w:space="0" w:color="auto"/>
            <w:right w:val="none" w:sz="0" w:space="0" w:color="auto"/>
          </w:divBdr>
          <w:divsChild>
            <w:div w:id="133304735">
              <w:marLeft w:val="0"/>
              <w:marRight w:val="0"/>
              <w:marTop w:val="0"/>
              <w:marBottom w:val="0"/>
              <w:divBdr>
                <w:top w:val="none" w:sz="0" w:space="0" w:color="auto"/>
                <w:left w:val="none" w:sz="0" w:space="0" w:color="auto"/>
                <w:bottom w:val="none" w:sz="0" w:space="0" w:color="auto"/>
                <w:right w:val="none" w:sz="0" w:space="0" w:color="auto"/>
              </w:divBdr>
            </w:div>
          </w:divsChild>
        </w:div>
        <w:div w:id="25915411">
          <w:marLeft w:val="0"/>
          <w:marRight w:val="0"/>
          <w:marTop w:val="0"/>
          <w:marBottom w:val="0"/>
          <w:divBdr>
            <w:top w:val="none" w:sz="0" w:space="0" w:color="auto"/>
            <w:left w:val="none" w:sz="0" w:space="0" w:color="auto"/>
            <w:bottom w:val="none" w:sz="0" w:space="0" w:color="auto"/>
            <w:right w:val="none" w:sz="0" w:space="0" w:color="auto"/>
          </w:divBdr>
          <w:divsChild>
            <w:div w:id="1055082985">
              <w:marLeft w:val="0"/>
              <w:marRight w:val="0"/>
              <w:marTop w:val="0"/>
              <w:marBottom w:val="0"/>
              <w:divBdr>
                <w:top w:val="none" w:sz="0" w:space="0" w:color="auto"/>
                <w:left w:val="none" w:sz="0" w:space="0" w:color="auto"/>
                <w:bottom w:val="none" w:sz="0" w:space="0" w:color="auto"/>
                <w:right w:val="none" w:sz="0" w:space="0" w:color="auto"/>
              </w:divBdr>
            </w:div>
          </w:divsChild>
        </w:div>
        <w:div w:id="34082108">
          <w:marLeft w:val="0"/>
          <w:marRight w:val="0"/>
          <w:marTop w:val="0"/>
          <w:marBottom w:val="0"/>
          <w:divBdr>
            <w:top w:val="none" w:sz="0" w:space="0" w:color="auto"/>
            <w:left w:val="none" w:sz="0" w:space="0" w:color="auto"/>
            <w:bottom w:val="none" w:sz="0" w:space="0" w:color="auto"/>
            <w:right w:val="none" w:sz="0" w:space="0" w:color="auto"/>
          </w:divBdr>
          <w:divsChild>
            <w:div w:id="926841024">
              <w:marLeft w:val="0"/>
              <w:marRight w:val="0"/>
              <w:marTop w:val="0"/>
              <w:marBottom w:val="0"/>
              <w:divBdr>
                <w:top w:val="none" w:sz="0" w:space="0" w:color="auto"/>
                <w:left w:val="none" w:sz="0" w:space="0" w:color="auto"/>
                <w:bottom w:val="none" w:sz="0" w:space="0" w:color="auto"/>
                <w:right w:val="none" w:sz="0" w:space="0" w:color="auto"/>
              </w:divBdr>
            </w:div>
          </w:divsChild>
        </w:div>
        <w:div w:id="39399309">
          <w:marLeft w:val="0"/>
          <w:marRight w:val="0"/>
          <w:marTop w:val="0"/>
          <w:marBottom w:val="0"/>
          <w:divBdr>
            <w:top w:val="none" w:sz="0" w:space="0" w:color="auto"/>
            <w:left w:val="none" w:sz="0" w:space="0" w:color="auto"/>
            <w:bottom w:val="none" w:sz="0" w:space="0" w:color="auto"/>
            <w:right w:val="none" w:sz="0" w:space="0" w:color="auto"/>
          </w:divBdr>
          <w:divsChild>
            <w:div w:id="573583964">
              <w:marLeft w:val="0"/>
              <w:marRight w:val="0"/>
              <w:marTop w:val="0"/>
              <w:marBottom w:val="0"/>
              <w:divBdr>
                <w:top w:val="none" w:sz="0" w:space="0" w:color="auto"/>
                <w:left w:val="none" w:sz="0" w:space="0" w:color="auto"/>
                <w:bottom w:val="none" w:sz="0" w:space="0" w:color="auto"/>
                <w:right w:val="none" w:sz="0" w:space="0" w:color="auto"/>
              </w:divBdr>
            </w:div>
          </w:divsChild>
        </w:div>
        <w:div w:id="102959595">
          <w:marLeft w:val="0"/>
          <w:marRight w:val="0"/>
          <w:marTop w:val="0"/>
          <w:marBottom w:val="0"/>
          <w:divBdr>
            <w:top w:val="none" w:sz="0" w:space="0" w:color="auto"/>
            <w:left w:val="none" w:sz="0" w:space="0" w:color="auto"/>
            <w:bottom w:val="none" w:sz="0" w:space="0" w:color="auto"/>
            <w:right w:val="none" w:sz="0" w:space="0" w:color="auto"/>
          </w:divBdr>
          <w:divsChild>
            <w:div w:id="592007591">
              <w:marLeft w:val="0"/>
              <w:marRight w:val="0"/>
              <w:marTop w:val="0"/>
              <w:marBottom w:val="0"/>
              <w:divBdr>
                <w:top w:val="none" w:sz="0" w:space="0" w:color="auto"/>
                <w:left w:val="none" w:sz="0" w:space="0" w:color="auto"/>
                <w:bottom w:val="none" w:sz="0" w:space="0" w:color="auto"/>
                <w:right w:val="none" w:sz="0" w:space="0" w:color="auto"/>
              </w:divBdr>
            </w:div>
          </w:divsChild>
        </w:div>
        <w:div w:id="119081819">
          <w:marLeft w:val="0"/>
          <w:marRight w:val="0"/>
          <w:marTop w:val="0"/>
          <w:marBottom w:val="0"/>
          <w:divBdr>
            <w:top w:val="none" w:sz="0" w:space="0" w:color="auto"/>
            <w:left w:val="none" w:sz="0" w:space="0" w:color="auto"/>
            <w:bottom w:val="none" w:sz="0" w:space="0" w:color="auto"/>
            <w:right w:val="none" w:sz="0" w:space="0" w:color="auto"/>
          </w:divBdr>
          <w:divsChild>
            <w:div w:id="1346394962">
              <w:marLeft w:val="0"/>
              <w:marRight w:val="0"/>
              <w:marTop w:val="0"/>
              <w:marBottom w:val="0"/>
              <w:divBdr>
                <w:top w:val="none" w:sz="0" w:space="0" w:color="auto"/>
                <w:left w:val="none" w:sz="0" w:space="0" w:color="auto"/>
                <w:bottom w:val="none" w:sz="0" w:space="0" w:color="auto"/>
                <w:right w:val="none" w:sz="0" w:space="0" w:color="auto"/>
              </w:divBdr>
            </w:div>
          </w:divsChild>
        </w:div>
        <w:div w:id="168371129">
          <w:marLeft w:val="0"/>
          <w:marRight w:val="0"/>
          <w:marTop w:val="0"/>
          <w:marBottom w:val="0"/>
          <w:divBdr>
            <w:top w:val="none" w:sz="0" w:space="0" w:color="auto"/>
            <w:left w:val="none" w:sz="0" w:space="0" w:color="auto"/>
            <w:bottom w:val="none" w:sz="0" w:space="0" w:color="auto"/>
            <w:right w:val="none" w:sz="0" w:space="0" w:color="auto"/>
          </w:divBdr>
          <w:divsChild>
            <w:div w:id="2095392624">
              <w:marLeft w:val="0"/>
              <w:marRight w:val="0"/>
              <w:marTop w:val="0"/>
              <w:marBottom w:val="0"/>
              <w:divBdr>
                <w:top w:val="none" w:sz="0" w:space="0" w:color="auto"/>
                <w:left w:val="none" w:sz="0" w:space="0" w:color="auto"/>
                <w:bottom w:val="none" w:sz="0" w:space="0" w:color="auto"/>
                <w:right w:val="none" w:sz="0" w:space="0" w:color="auto"/>
              </w:divBdr>
            </w:div>
          </w:divsChild>
        </w:div>
        <w:div w:id="172495670">
          <w:marLeft w:val="0"/>
          <w:marRight w:val="0"/>
          <w:marTop w:val="0"/>
          <w:marBottom w:val="0"/>
          <w:divBdr>
            <w:top w:val="none" w:sz="0" w:space="0" w:color="auto"/>
            <w:left w:val="none" w:sz="0" w:space="0" w:color="auto"/>
            <w:bottom w:val="none" w:sz="0" w:space="0" w:color="auto"/>
            <w:right w:val="none" w:sz="0" w:space="0" w:color="auto"/>
          </w:divBdr>
          <w:divsChild>
            <w:div w:id="1876889695">
              <w:marLeft w:val="0"/>
              <w:marRight w:val="0"/>
              <w:marTop w:val="0"/>
              <w:marBottom w:val="0"/>
              <w:divBdr>
                <w:top w:val="none" w:sz="0" w:space="0" w:color="auto"/>
                <w:left w:val="none" w:sz="0" w:space="0" w:color="auto"/>
                <w:bottom w:val="none" w:sz="0" w:space="0" w:color="auto"/>
                <w:right w:val="none" w:sz="0" w:space="0" w:color="auto"/>
              </w:divBdr>
            </w:div>
          </w:divsChild>
        </w:div>
        <w:div w:id="194856241">
          <w:marLeft w:val="0"/>
          <w:marRight w:val="0"/>
          <w:marTop w:val="0"/>
          <w:marBottom w:val="0"/>
          <w:divBdr>
            <w:top w:val="none" w:sz="0" w:space="0" w:color="auto"/>
            <w:left w:val="none" w:sz="0" w:space="0" w:color="auto"/>
            <w:bottom w:val="none" w:sz="0" w:space="0" w:color="auto"/>
            <w:right w:val="none" w:sz="0" w:space="0" w:color="auto"/>
          </w:divBdr>
          <w:divsChild>
            <w:div w:id="1807117517">
              <w:marLeft w:val="0"/>
              <w:marRight w:val="0"/>
              <w:marTop w:val="0"/>
              <w:marBottom w:val="0"/>
              <w:divBdr>
                <w:top w:val="none" w:sz="0" w:space="0" w:color="auto"/>
                <w:left w:val="none" w:sz="0" w:space="0" w:color="auto"/>
                <w:bottom w:val="none" w:sz="0" w:space="0" w:color="auto"/>
                <w:right w:val="none" w:sz="0" w:space="0" w:color="auto"/>
              </w:divBdr>
            </w:div>
          </w:divsChild>
        </w:div>
        <w:div w:id="233584229">
          <w:marLeft w:val="0"/>
          <w:marRight w:val="0"/>
          <w:marTop w:val="0"/>
          <w:marBottom w:val="0"/>
          <w:divBdr>
            <w:top w:val="none" w:sz="0" w:space="0" w:color="auto"/>
            <w:left w:val="none" w:sz="0" w:space="0" w:color="auto"/>
            <w:bottom w:val="none" w:sz="0" w:space="0" w:color="auto"/>
            <w:right w:val="none" w:sz="0" w:space="0" w:color="auto"/>
          </w:divBdr>
          <w:divsChild>
            <w:div w:id="1056011299">
              <w:marLeft w:val="0"/>
              <w:marRight w:val="0"/>
              <w:marTop w:val="0"/>
              <w:marBottom w:val="0"/>
              <w:divBdr>
                <w:top w:val="none" w:sz="0" w:space="0" w:color="auto"/>
                <w:left w:val="none" w:sz="0" w:space="0" w:color="auto"/>
                <w:bottom w:val="none" w:sz="0" w:space="0" w:color="auto"/>
                <w:right w:val="none" w:sz="0" w:space="0" w:color="auto"/>
              </w:divBdr>
            </w:div>
          </w:divsChild>
        </w:div>
        <w:div w:id="241451301">
          <w:marLeft w:val="0"/>
          <w:marRight w:val="0"/>
          <w:marTop w:val="0"/>
          <w:marBottom w:val="0"/>
          <w:divBdr>
            <w:top w:val="none" w:sz="0" w:space="0" w:color="auto"/>
            <w:left w:val="none" w:sz="0" w:space="0" w:color="auto"/>
            <w:bottom w:val="none" w:sz="0" w:space="0" w:color="auto"/>
            <w:right w:val="none" w:sz="0" w:space="0" w:color="auto"/>
          </w:divBdr>
          <w:divsChild>
            <w:div w:id="93940303">
              <w:marLeft w:val="0"/>
              <w:marRight w:val="0"/>
              <w:marTop w:val="0"/>
              <w:marBottom w:val="0"/>
              <w:divBdr>
                <w:top w:val="none" w:sz="0" w:space="0" w:color="auto"/>
                <w:left w:val="none" w:sz="0" w:space="0" w:color="auto"/>
                <w:bottom w:val="none" w:sz="0" w:space="0" w:color="auto"/>
                <w:right w:val="none" w:sz="0" w:space="0" w:color="auto"/>
              </w:divBdr>
            </w:div>
          </w:divsChild>
        </w:div>
        <w:div w:id="264852734">
          <w:marLeft w:val="0"/>
          <w:marRight w:val="0"/>
          <w:marTop w:val="0"/>
          <w:marBottom w:val="0"/>
          <w:divBdr>
            <w:top w:val="none" w:sz="0" w:space="0" w:color="auto"/>
            <w:left w:val="none" w:sz="0" w:space="0" w:color="auto"/>
            <w:bottom w:val="none" w:sz="0" w:space="0" w:color="auto"/>
            <w:right w:val="none" w:sz="0" w:space="0" w:color="auto"/>
          </w:divBdr>
          <w:divsChild>
            <w:div w:id="2056855284">
              <w:marLeft w:val="0"/>
              <w:marRight w:val="0"/>
              <w:marTop w:val="0"/>
              <w:marBottom w:val="0"/>
              <w:divBdr>
                <w:top w:val="none" w:sz="0" w:space="0" w:color="auto"/>
                <w:left w:val="none" w:sz="0" w:space="0" w:color="auto"/>
                <w:bottom w:val="none" w:sz="0" w:space="0" w:color="auto"/>
                <w:right w:val="none" w:sz="0" w:space="0" w:color="auto"/>
              </w:divBdr>
            </w:div>
          </w:divsChild>
        </w:div>
        <w:div w:id="269901934">
          <w:marLeft w:val="0"/>
          <w:marRight w:val="0"/>
          <w:marTop w:val="0"/>
          <w:marBottom w:val="0"/>
          <w:divBdr>
            <w:top w:val="none" w:sz="0" w:space="0" w:color="auto"/>
            <w:left w:val="none" w:sz="0" w:space="0" w:color="auto"/>
            <w:bottom w:val="none" w:sz="0" w:space="0" w:color="auto"/>
            <w:right w:val="none" w:sz="0" w:space="0" w:color="auto"/>
          </w:divBdr>
          <w:divsChild>
            <w:div w:id="1100485717">
              <w:marLeft w:val="0"/>
              <w:marRight w:val="0"/>
              <w:marTop w:val="0"/>
              <w:marBottom w:val="0"/>
              <w:divBdr>
                <w:top w:val="none" w:sz="0" w:space="0" w:color="auto"/>
                <w:left w:val="none" w:sz="0" w:space="0" w:color="auto"/>
                <w:bottom w:val="none" w:sz="0" w:space="0" w:color="auto"/>
                <w:right w:val="none" w:sz="0" w:space="0" w:color="auto"/>
              </w:divBdr>
            </w:div>
          </w:divsChild>
        </w:div>
        <w:div w:id="281108704">
          <w:marLeft w:val="0"/>
          <w:marRight w:val="0"/>
          <w:marTop w:val="0"/>
          <w:marBottom w:val="0"/>
          <w:divBdr>
            <w:top w:val="none" w:sz="0" w:space="0" w:color="auto"/>
            <w:left w:val="none" w:sz="0" w:space="0" w:color="auto"/>
            <w:bottom w:val="none" w:sz="0" w:space="0" w:color="auto"/>
            <w:right w:val="none" w:sz="0" w:space="0" w:color="auto"/>
          </w:divBdr>
          <w:divsChild>
            <w:div w:id="334764301">
              <w:marLeft w:val="0"/>
              <w:marRight w:val="0"/>
              <w:marTop w:val="0"/>
              <w:marBottom w:val="0"/>
              <w:divBdr>
                <w:top w:val="none" w:sz="0" w:space="0" w:color="auto"/>
                <w:left w:val="none" w:sz="0" w:space="0" w:color="auto"/>
                <w:bottom w:val="none" w:sz="0" w:space="0" w:color="auto"/>
                <w:right w:val="none" w:sz="0" w:space="0" w:color="auto"/>
              </w:divBdr>
            </w:div>
          </w:divsChild>
        </w:div>
        <w:div w:id="284969120">
          <w:marLeft w:val="0"/>
          <w:marRight w:val="0"/>
          <w:marTop w:val="0"/>
          <w:marBottom w:val="0"/>
          <w:divBdr>
            <w:top w:val="none" w:sz="0" w:space="0" w:color="auto"/>
            <w:left w:val="none" w:sz="0" w:space="0" w:color="auto"/>
            <w:bottom w:val="none" w:sz="0" w:space="0" w:color="auto"/>
            <w:right w:val="none" w:sz="0" w:space="0" w:color="auto"/>
          </w:divBdr>
          <w:divsChild>
            <w:div w:id="1489709273">
              <w:marLeft w:val="0"/>
              <w:marRight w:val="0"/>
              <w:marTop w:val="0"/>
              <w:marBottom w:val="0"/>
              <w:divBdr>
                <w:top w:val="none" w:sz="0" w:space="0" w:color="auto"/>
                <w:left w:val="none" w:sz="0" w:space="0" w:color="auto"/>
                <w:bottom w:val="none" w:sz="0" w:space="0" w:color="auto"/>
                <w:right w:val="none" w:sz="0" w:space="0" w:color="auto"/>
              </w:divBdr>
            </w:div>
          </w:divsChild>
        </w:div>
        <w:div w:id="335348653">
          <w:marLeft w:val="0"/>
          <w:marRight w:val="0"/>
          <w:marTop w:val="0"/>
          <w:marBottom w:val="0"/>
          <w:divBdr>
            <w:top w:val="none" w:sz="0" w:space="0" w:color="auto"/>
            <w:left w:val="none" w:sz="0" w:space="0" w:color="auto"/>
            <w:bottom w:val="none" w:sz="0" w:space="0" w:color="auto"/>
            <w:right w:val="none" w:sz="0" w:space="0" w:color="auto"/>
          </w:divBdr>
          <w:divsChild>
            <w:div w:id="274602813">
              <w:marLeft w:val="0"/>
              <w:marRight w:val="0"/>
              <w:marTop w:val="0"/>
              <w:marBottom w:val="0"/>
              <w:divBdr>
                <w:top w:val="none" w:sz="0" w:space="0" w:color="auto"/>
                <w:left w:val="none" w:sz="0" w:space="0" w:color="auto"/>
                <w:bottom w:val="none" w:sz="0" w:space="0" w:color="auto"/>
                <w:right w:val="none" w:sz="0" w:space="0" w:color="auto"/>
              </w:divBdr>
            </w:div>
          </w:divsChild>
        </w:div>
        <w:div w:id="349069928">
          <w:marLeft w:val="0"/>
          <w:marRight w:val="0"/>
          <w:marTop w:val="0"/>
          <w:marBottom w:val="0"/>
          <w:divBdr>
            <w:top w:val="none" w:sz="0" w:space="0" w:color="auto"/>
            <w:left w:val="none" w:sz="0" w:space="0" w:color="auto"/>
            <w:bottom w:val="none" w:sz="0" w:space="0" w:color="auto"/>
            <w:right w:val="none" w:sz="0" w:space="0" w:color="auto"/>
          </w:divBdr>
          <w:divsChild>
            <w:div w:id="111174817">
              <w:marLeft w:val="0"/>
              <w:marRight w:val="0"/>
              <w:marTop w:val="0"/>
              <w:marBottom w:val="0"/>
              <w:divBdr>
                <w:top w:val="none" w:sz="0" w:space="0" w:color="auto"/>
                <w:left w:val="none" w:sz="0" w:space="0" w:color="auto"/>
                <w:bottom w:val="none" w:sz="0" w:space="0" w:color="auto"/>
                <w:right w:val="none" w:sz="0" w:space="0" w:color="auto"/>
              </w:divBdr>
            </w:div>
          </w:divsChild>
        </w:div>
        <w:div w:id="399451419">
          <w:marLeft w:val="0"/>
          <w:marRight w:val="0"/>
          <w:marTop w:val="0"/>
          <w:marBottom w:val="0"/>
          <w:divBdr>
            <w:top w:val="none" w:sz="0" w:space="0" w:color="auto"/>
            <w:left w:val="none" w:sz="0" w:space="0" w:color="auto"/>
            <w:bottom w:val="none" w:sz="0" w:space="0" w:color="auto"/>
            <w:right w:val="none" w:sz="0" w:space="0" w:color="auto"/>
          </w:divBdr>
          <w:divsChild>
            <w:div w:id="1421870781">
              <w:marLeft w:val="0"/>
              <w:marRight w:val="0"/>
              <w:marTop w:val="0"/>
              <w:marBottom w:val="0"/>
              <w:divBdr>
                <w:top w:val="none" w:sz="0" w:space="0" w:color="auto"/>
                <w:left w:val="none" w:sz="0" w:space="0" w:color="auto"/>
                <w:bottom w:val="none" w:sz="0" w:space="0" w:color="auto"/>
                <w:right w:val="none" w:sz="0" w:space="0" w:color="auto"/>
              </w:divBdr>
            </w:div>
          </w:divsChild>
        </w:div>
        <w:div w:id="421880528">
          <w:marLeft w:val="0"/>
          <w:marRight w:val="0"/>
          <w:marTop w:val="0"/>
          <w:marBottom w:val="0"/>
          <w:divBdr>
            <w:top w:val="none" w:sz="0" w:space="0" w:color="auto"/>
            <w:left w:val="none" w:sz="0" w:space="0" w:color="auto"/>
            <w:bottom w:val="none" w:sz="0" w:space="0" w:color="auto"/>
            <w:right w:val="none" w:sz="0" w:space="0" w:color="auto"/>
          </w:divBdr>
          <w:divsChild>
            <w:div w:id="134834481">
              <w:marLeft w:val="0"/>
              <w:marRight w:val="0"/>
              <w:marTop w:val="0"/>
              <w:marBottom w:val="0"/>
              <w:divBdr>
                <w:top w:val="none" w:sz="0" w:space="0" w:color="auto"/>
                <w:left w:val="none" w:sz="0" w:space="0" w:color="auto"/>
                <w:bottom w:val="none" w:sz="0" w:space="0" w:color="auto"/>
                <w:right w:val="none" w:sz="0" w:space="0" w:color="auto"/>
              </w:divBdr>
            </w:div>
          </w:divsChild>
        </w:div>
        <w:div w:id="424039283">
          <w:marLeft w:val="0"/>
          <w:marRight w:val="0"/>
          <w:marTop w:val="0"/>
          <w:marBottom w:val="0"/>
          <w:divBdr>
            <w:top w:val="none" w:sz="0" w:space="0" w:color="auto"/>
            <w:left w:val="none" w:sz="0" w:space="0" w:color="auto"/>
            <w:bottom w:val="none" w:sz="0" w:space="0" w:color="auto"/>
            <w:right w:val="none" w:sz="0" w:space="0" w:color="auto"/>
          </w:divBdr>
          <w:divsChild>
            <w:div w:id="1043406741">
              <w:marLeft w:val="0"/>
              <w:marRight w:val="0"/>
              <w:marTop w:val="0"/>
              <w:marBottom w:val="0"/>
              <w:divBdr>
                <w:top w:val="none" w:sz="0" w:space="0" w:color="auto"/>
                <w:left w:val="none" w:sz="0" w:space="0" w:color="auto"/>
                <w:bottom w:val="none" w:sz="0" w:space="0" w:color="auto"/>
                <w:right w:val="none" w:sz="0" w:space="0" w:color="auto"/>
              </w:divBdr>
            </w:div>
          </w:divsChild>
        </w:div>
        <w:div w:id="440687271">
          <w:marLeft w:val="0"/>
          <w:marRight w:val="0"/>
          <w:marTop w:val="0"/>
          <w:marBottom w:val="0"/>
          <w:divBdr>
            <w:top w:val="none" w:sz="0" w:space="0" w:color="auto"/>
            <w:left w:val="none" w:sz="0" w:space="0" w:color="auto"/>
            <w:bottom w:val="none" w:sz="0" w:space="0" w:color="auto"/>
            <w:right w:val="none" w:sz="0" w:space="0" w:color="auto"/>
          </w:divBdr>
          <w:divsChild>
            <w:div w:id="2084180630">
              <w:marLeft w:val="0"/>
              <w:marRight w:val="0"/>
              <w:marTop w:val="0"/>
              <w:marBottom w:val="0"/>
              <w:divBdr>
                <w:top w:val="none" w:sz="0" w:space="0" w:color="auto"/>
                <w:left w:val="none" w:sz="0" w:space="0" w:color="auto"/>
                <w:bottom w:val="none" w:sz="0" w:space="0" w:color="auto"/>
                <w:right w:val="none" w:sz="0" w:space="0" w:color="auto"/>
              </w:divBdr>
            </w:div>
          </w:divsChild>
        </w:div>
        <w:div w:id="443576154">
          <w:marLeft w:val="0"/>
          <w:marRight w:val="0"/>
          <w:marTop w:val="0"/>
          <w:marBottom w:val="0"/>
          <w:divBdr>
            <w:top w:val="none" w:sz="0" w:space="0" w:color="auto"/>
            <w:left w:val="none" w:sz="0" w:space="0" w:color="auto"/>
            <w:bottom w:val="none" w:sz="0" w:space="0" w:color="auto"/>
            <w:right w:val="none" w:sz="0" w:space="0" w:color="auto"/>
          </w:divBdr>
          <w:divsChild>
            <w:div w:id="2120559403">
              <w:marLeft w:val="0"/>
              <w:marRight w:val="0"/>
              <w:marTop w:val="0"/>
              <w:marBottom w:val="0"/>
              <w:divBdr>
                <w:top w:val="none" w:sz="0" w:space="0" w:color="auto"/>
                <w:left w:val="none" w:sz="0" w:space="0" w:color="auto"/>
                <w:bottom w:val="none" w:sz="0" w:space="0" w:color="auto"/>
                <w:right w:val="none" w:sz="0" w:space="0" w:color="auto"/>
              </w:divBdr>
            </w:div>
          </w:divsChild>
        </w:div>
        <w:div w:id="451438732">
          <w:marLeft w:val="0"/>
          <w:marRight w:val="0"/>
          <w:marTop w:val="0"/>
          <w:marBottom w:val="0"/>
          <w:divBdr>
            <w:top w:val="none" w:sz="0" w:space="0" w:color="auto"/>
            <w:left w:val="none" w:sz="0" w:space="0" w:color="auto"/>
            <w:bottom w:val="none" w:sz="0" w:space="0" w:color="auto"/>
            <w:right w:val="none" w:sz="0" w:space="0" w:color="auto"/>
          </w:divBdr>
          <w:divsChild>
            <w:div w:id="1937059103">
              <w:marLeft w:val="0"/>
              <w:marRight w:val="0"/>
              <w:marTop w:val="0"/>
              <w:marBottom w:val="0"/>
              <w:divBdr>
                <w:top w:val="none" w:sz="0" w:space="0" w:color="auto"/>
                <w:left w:val="none" w:sz="0" w:space="0" w:color="auto"/>
                <w:bottom w:val="none" w:sz="0" w:space="0" w:color="auto"/>
                <w:right w:val="none" w:sz="0" w:space="0" w:color="auto"/>
              </w:divBdr>
            </w:div>
          </w:divsChild>
        </w:div>
        <w:div w:id="468786262">
          <w:marLeft w:val="0"/>
          <w:marRight w:val="0"/>
          <w:marTop w:val="0"/>
          <w:marBottom w:val="0"/>
          <w:divBdr>
            <w:top w:val="none" w:sz="0" w:space="0" w:color="auto"/>
            <w:left w:val="none" w:sz="0" w:space="0" w:color="auto"/>
            <w:bottom w:val="none" w:sz="0" w:space="0" w:color="auto"/>
            <w:right w:val="none" w:sz="0" w:space="0" w:color="auto"/>
          </w:divBdr>
          <w:divsChild>
            <w:div w:id="596908188">
              <w:marLeft w:val="0"/>
              <w:marRight w:val="0"/>
              <w:marTop w:val="0"/>
              <w:marBottom w:val="0"/>
              <w:divBdr>
                <w:top w:val="none" w:sz="0" w:space="0" w:color="auto"/>
                <w:left w:val="none" w:sz="0" w:space="0" w:color="auto"/>
                <w:bottom w:val="none" w:sz="0" w:space="0" w:color="auto"/>
                <w:right w:val="none" w:sz="0" w:space="0" w:color="auto"/>
              </w:divBdr>
            </w:div>
          </w:divsChild>
        </w:div>
        <w:div w:id="488522936">
          <w:marLeft w:val="0"/>
          <w:marRight w:val="0"/>
          <w:marTop w:val="0"/>
          <w:marBottom w:val="0"/>
          <w:divBdr>
            <w:top w:val="none" w:sz="0" w:space="0" w:color="auto"/>
            <w:left w:val="none" w:sz="0" w:space="0" w:color="auto"/>
            <w:bottom w:val="none" w:sz="0" w:space="0" w:color="auto"/>
            <w:right w:val="none" w:sz="0" w:space="0" w:color="auto"/>
          </w:divBdr>
          <w:divsChild>
            <w:div w:id="1289971897">
              <w:marLeft w:val="0"/>
              <w:marRight w:val="0"/>
              <w:marTop w:val="0"/>
              <w:marBottom w:val="0"/>
              <w:divBdr>
                <w:top w:val="none" w:sz="0" w:space="0" w:color="auto"/>
                <w:left w:val="none" w:sz="0" w:space="0" w:color="auto"/>
                <w:bottom w:val="none" w:sz="0" w:space="0" w:color="auto"/>
                <w:right w:val="none" w:sz="0" w:space="0" w:color="auto"/>
              </w:divBdr>
            </w:div>
          </w:divsChild>
        </w:div>
        <w:div w:id="488642966">
          <w:marLeft w:val="0"/>
          <w:marRight w:val="0"/>
          <w:marTop w:val="0"/>
          <w:marBottom w:val="0"/>
          <w:divBdr>
            <w:top w:val="none" w:sz="0" w:space="0" w:color="auto"/>
            <w:left w:val="none" w:sz="0" w:space="0" w:color="auto"/>
            <w:bottom w:val="none" w:sz="0" w:space="0" w:color="auto"/>
            <w:right w:val="none" w:sz="0" w:space="0" w:color="auto"/>
          </w:divBdr>
          <w:divsChild>
            <w:div w:id="1749763655">
              <w:marLeft w:val="0"/>
              <w:marRight w:val="0"/>
              <w:marTop w:val="0"/>
              <w:marBottom w:val="0"/>
              <w:divBdr>
                <w:top w:val="none" w:sz="0" w:space="0" w:color="auto"/>
                <w:left w:val="none" w:sz="0" w:space="0" w:color="auto"/>
                <w:bottom w:val="none" w:sz="0" w:space="0" w:color="auto"/>
                <w:right w:val="none" w:sz="0" w:space="0" w:color="auto"/>
              </w:divBdr>
            </w:div>
          </w:divsChild>
        </w:div>
        <w:div w:id="507907501">
          <w:marLeft w:val="0"/>
          <w:marRight w:val="0"/>
          <w:marTop w:val="0"/>
          <w:marBottom w:val="0"/>
          <w:divBdr>
            <w:top w:val="none" w:sz="0" w:space="0" w:color="auto"/>
            <w:left w:val="none" w:sz="0" w:space="0" w:color="auto"/>
            <w:bottom w:val="none" w:sz="0" w:space="0" w:color="auto"/>
            <w:right w:val="none" w:sz="0" w:space="0" w:color="auto"/>
          </w:divBdr>
          <w:divsChild>
            <w:div w:id="853302212">
              <w:marLeft w:val="0"/>
              <w:marRight w:val="0"/>
              <w:marTop w:val="0"/>
              <w:marBottom w:val="0"/>
              <w:divBdr>
                <w:top w:val="none" w:sz="0" w:space="0" w:color="auto"/>
                <w:left w:val="none" w:sz="0" w:space="0" w:color="auto"/>
                <w:bottom w:val="none" w:sz="0" w:space="0" w:color="auto"/>
                <w:right w:val="none" w:sz="0" w:space="0" w:color="auto"/>
              </w:divBdr>
            </w:div>
          </w:divsChild>
        </w:div>
        <w:div w:id="508329489">
          <w:marLeft w:val="0"/>
          <w:marRight w:val="0"/>
          <w:marTop w:val="0"/>
          <w:marBottom w:val="0"/>
          <w:divBdr>
            <w:top w:val="none" w:sz="0" w:space="0" w:color="auto"/>
            <w:left w:val="none" w:sz="0" w:space="0" w:color="auto"/>
            <w:bottom w:val="none" w:sz="0" w:space="0" w:color="auto"/>
            <w:right w:val="none" w:sz="0" w:space="0" w:color="auto"/>
          </w:divBdr>
          <w:divsChild>
            <w:div w:id="811874132">
              <w:marLeft w:val="0"/>
              <w:marRight w:val="0"/>
              <w:marTop w:val="0"/>
              <w:marBottom w:val="0"/>
              <w:divBdr>
                <w:top w:val="none" w:sz="0" w:space="0" w:color="auto"/>
                <w:left w:val="none" w:sz="0" w:space="0" w:color="auto"/>
                <w:bottom w:val="none" w:sz="0" w:space="0" w:color="auto"/>
                <w:right w:val="none" w:sz="0" w:space="0" w:color="auto"/>
              </w:divBdr>
            </w:div>
          </w:divsChild>
        </w:div>
        <w:div w:id="511341070">
          <w:marLeft w:val="0"/>
          <w:marRight w:val="0"/>
          <w:marTop w:val="0"/>
          <w:marBottom w:val="0"/>
          <w:divBdr>
            <w:top w:val="none" w:sz="0" w:space="0" w:color="auto"/>
            <w:left w:val="none" w:sz="0" w:space="0" w:color="auto"/>
            <w:bottom w:val="none" w:sz="0" w:space="0" w:color="auto"/>
            <w:right w:val="none" w:sz="0" w:space="0" w:color="auto"/>
          </w:divBdr>
          <w:divsChild>
            <w:div w:id="930577427">
              <w:marLeft w:val="0"/>
              <w:marRight w:val="0"/>
              <w:marTop w:val="0"/>
              <w:marBottom w:val="0"/>
              <w:divBdr>
                <w:top w:val="none" w:sz="0" w:space="0" w:color="auto"/>
                <w:left w:val="none" w:sz="0" w:space="0" w:color="auto"/>
                <w:bottom w:val="none" w:sz="0" w:space="0" w:color="auto"/>
                <w:right w:val="none" w:sz="0" w:space="0" w:color="auto"/>
              </w:divBdr>
            </w:div>
          </w:divsChild>
        </w:div>
        <w:div w:id="551355804">
          <w:marLeft w:val="0"/>
          <w:marRight w:val="0"/>
          <w:marTop w:val="0"/>
          <w:marBottom w:val="0"/>
          <w:divBdr>
            <w:top w:val="none" w:sz="0" w:space="0" w:color="auto"/>
            <w:left w:val="none" w:sz="0" w:space="0" w:color="auto"/>
            <w:bottom w:val="none" w:sz="0" w:space="0" w:color="auto"/>
            <w:right w:val="none" w:sz="0" w:space="0" w:color="auto"/>
          </w:divBdr>
          <w:divsChild>
            <w:div w:id="249897670">
              <w:marLeft w:val="0"/>
              <w:marRight w:val="0"/>
              <w:marTop w:val="0"/>
              <w:marBottom w:val="0"/>
              <w:divBdr>
                <w:top w:val="none" w:sz="0" w:space="0" w:color="auto"/>
                <w:left w:val="none" w:sz="0" w:space="0" w:color="auto"/>
                <w:bottom w:val="none" w:sz="0" w:space="0" w:color="auto"/>
                <w:right w:val="none" w:sz="0" w:space="0" w:color="auto"/>
              </w:divBdr>
            </w:div>
          </w:divsChild>
        </w:div>
        <w:div w:id="552424558">
          <w:marLeft w:val="0"/>
          <w:marRight w:val="0"/>
          <w:marTop w:val="0"/>
          <w:marBottom w:val="0"/>
          <w:divBdr>
            <w:top w:val="none" w:sz="0" w:space="0" w:color="auto"/>
            <w:left w:val="none" w:sz="0" w:space="0" w:color="auto"/>
            <w:bottom w:val="none" w:sz="0" w:space="0" w:color="auto"/>
            <w:right w:val="none" w:sz="0" w:space="0" w:color="auto"/>
          </w:divBdr>
          <w:divsChild>
            <w:div w:id="1345206894">
              <w:marLeft w:val="0"/>
              <w:marRight w:val="0"/>
              <w:marTop w:val="0"/>
              <w:marBottom w:val="0"/>
              <w:divBdr>
                <w:top w:val="none" w:sz="0" w:space="0" w:color="auto"/>
                <w:left w:val="none" w:sz="0" w:space="0" w:color="auto"/>
                <w:bottom w:val="none" w:sz="0" w:space="0" w:color="auto"/>
                <w:right w:val="none" w:sz="0" w:space="0" w:color="auto"/>
              </w:divBdr>
            </w:div>
          </w:divsChild>
        </w:div>
        <w:div w:id="566188632">
          <w:marLeft w:val="0"/>
          <w:marRight w:val="0"/>
          <w:marTop w:val="0"/>
          <w:marBottom w:val="0"/>
          <w:divBdr>
            <w:top w:val="none" w:sz="0" w:space="0" w:color="auto"/>
            <w:left w:val="none" w:sz="0" w:space="0" w:color="auto"/>
            <w:bottom w:val="none" w:sz="0" w:space="0" w:color="auto"/>
            <w:right w:val="none" w:sz="0" w:space="0" w:color="auto"/>
          </w:divBdr>
          <w:divsChild>
            <w:div w:id="834539705">
              <w:marLeft w:val="0"/>
              <w:marRight w:val="0"/>
              <w:marTop w:val="0"/>
              <w:marBottom w:val="0"/>
              <w:divBdr>
                <w:top w:val="none" w:sz="0" w:space="0" w:color="auto"/>
                <w:left w:val="none" w:sz="0" w:space="0" w:color="auto"/>
                <w:bottom w:val="none" w:sz="0" w:space="0" w:color="auto"/>
                <w:right w:val="none" w:sz="0" w:space="0" w:color="auto"/>
              </w:divBdr>
            </w:div>
          </w:divsChild>
        </w:div>
        <w:div w:id="588736078">
          <w:marLeft w:val="0"/>
          <w:marRight w:val="0"/>
          <w:marTop w:val="0"/>
          <w:marBottom w:val="0"/>
          <w:divBdr>
            <w:top w:val="none" w:sz="0" w:space="0" w:color="auto"/>
            <w:left w:val="none" w:sz="0" w:space="0" w:color="auto"/>
            <w:bottom w:val="none" w:sz="0" w:space="0" w:color="auto"/>
            <w:right w:val="none" w:sz="0" w:space="0" w:color="auto"/>
          </w:divBdr>
          <w:divsChild>
            <w:div w:id="332993288">
              <w:marLeft w:val="0"/>
              <w:marRight w:val="0"/>
              <w:marTop w:val="0"/>
              <w:marBottom w:val="0"/>
              <w:divBdr>
                <w:top w:val="none" w:sz="0" w:space="0" w:color="auto"/>
                <w:left w:val="none" w:sz="0" w:space="0" w:color="auto"/>
                <w:bottom w:val="none" w:sz="0" w:space="0" w:color="auto"/>
                <w:right w:val="none" w:sz="0" w:space="0" w:color="auto"/>
              </w:divBdr>
            </w:div>
          </w:divsChild>
        </w:div>
        <w:div w:id="590162166">
          <w:marLeft w:val="0"/>
          <w:marRight w:val="0"/>
          <w:marTop w:val="0"/>
          <w:marBottom w:val="0"/>
          <w:divBdr>
            <w:top w:val="none" w:sz="0" w:space="0" w:color="auto"/>
            <w:left w:val="none" w:sz="0" w:space="0" w:color="auto"/>
            <w:bottom w:val="none" w:sz="0" w:space="0" w:color="auto"/>
            <w:right w:val="none" w:sz="0" w:space="0" w:color="auto"/>
          </w:divBdr>
          <w:divsChild>
            <w:div w:id="1932660491">
              <w:marLeft w:val="0"/>
              <w:marRight w:val="0"/>
              <w:marTop w:val="0"/>
              <w:marBottom w:val="0"/>
              <w:divBdr>
                <w:top w:val="none" w:sz="0" w:space="0" w:color="auto"/>
                <w:left w:val="none" w:sz="0" w:space="0" w:color="auto"/>
                <w:bottom w:val="none" w:sz="0" w:space="0" w:color="auto"/>
                <w:right w:val="none" w:sz="0" w:space="0" w:color="auto"/>
              </w:divBdr>
            </w:div>
          </w:divsChild>
        </w:div>
        <w:div w:id="600533486">
          <w:marLeft w:val="0"/>
          <w:marRight w:val="0"/>
          <w:marTop w:val="0"/>
          <w:marBottom w:val="0"/>
          <w:divBdr>
            <w:top w:val="none" w:sz="0" w:space="0" w:color="auto"/>
            <w:left w:val="none" w:sz="0" w:space="0" w:color="auto"/>
            <w:bottom w:val="none" w:sz="0" w:space="0" w:color="auto"/>
            <w:right w:val="none" w:sz="0" w:space="0" w:color="auto"/>
          </w:divBdr>
          <w:divsChild>
            <w:div w:id="1298102271">
              <w:marLeft w:val="0"/>
              <w:marRight w:val="0"/>
              <w:marTop w:val="0"/>
              <w:marBottom w:val="0"/>
              <w:divBdr>
                <w:top w:val="none" w:sz="0" w:space="0" w:color="auto"/>
                <w:left w:val="none" w:sz="0" w:space="0" w:color="auto"/>
                <w:bottom w:val="none" w:sz="0" w:space="0" w:color="auto"/>
                <w:right w:val="none" w:sz="0" w:space="0" w:color="auto"/>
              </w:divBdr>
            </w:div>
          </w:divsChild>
        </w:div>
        <w:div w:id="602492913">
          <w:marLeft w:val="0"/>
          <w:marRight w:val="0"/>
          <w:marTop w:val="0"/>
          <w:marBottom w:val="0"/>
          <w:divBdr>
            <w:top w:val="none" w:sz="0" w:space="0" w:color="auto"/>
            <w:left w:val="none" w:sz="0" w:space="0" w:color="auto"/>
            <w:bottom w:val="none" w:sz="0" w:space="0" w:color="auto"/>
            <w:right w:val="none" w:sz="0" w:space="0" w:color="auto"/>
          </w:divBdr>
          <w:divsChild>
            <w:div w:id="171604534">
              <w:marLeft w:val="0"/>
              <w:marRight w:val="0"/>
              <w:marTop w:val="0"/>
              <w:marBottom w:val="0"/>
              <w:divBdr>
                <w:top w:val="none" w:sz="0" w:space="0" w:color="auto"/>
                <w:left w:val="none" w:sz="0" w:space="0" w:color="auto"/>
                <w:bottom w:val="none" w:sz="0" w:space="0" w:color="auto"/>
                <w:right w:val="none" w:sz="0" w:space="0" w:color="auto"/>
              </w:divBdr>
            </w:div>
          </w:divsChild>
        </w:div>
        <w:div w:id="607591240">
          <w:marLeft w:val="0"/>
          <w:marRight w:val="0"/>
          <w:marTop w:val="0"/>
          <w:marBottom w:val="0"/>
          <w:divBdr>
            <w:top w:val="none" w:sz="0" w:space="0" w:color="auto"/>
            <w:left w:val="none" w:sz="0" w:space="0" w:color="auto"/>
            <w:bottom w:val="none" w:sz="0" w:space="0" w:color="auto"/>
            <w:right w:val="none" w:sz="0" w:space="0" w:color="auto"/>
          </w:divBdr>
          <w:divsChild>
            <w:div w:id="2144956191">
              <w:marLeft w:val="0"/>
              <w:marRight w:val="0"/>
              <w:marTop w:val="0"/>
              <w:marBottom w:val="0"/>
              <w:divBdr>
                <w:top w:val="none" w:sz="0" w:space="0" w:color="auto"/>
                <w:left w:val="none" w:sz="0" w:space="0" w:color="auto"/>
                <w:bottom w:val="none" w:sz="0" w:space="0" w:color="auto"/>
                <w:right w:val="none" w:sz="0" w:space="0" w:color="auto"/>
              </w:divBdr>
            </w:div>
          </w:divsChild>
        </w:div>
        <w:div w:id="614796038">
          <w:marLeft w:val="0"/>
          <w:marRight w:val="0"/>
          <w:marTop w:val="0"/>
          <w:marBottom w:val="0"/>
          <w:divBdr>
            <w:top w:val="none" w:sz="0" w:space="0" w:color="auto"/>
            <w:left w:val="none" w:sz="0" w:space="0" w:color="auto"/>
            <w:bottom w:val="none" w:sz="0" w:space="0" w:color="auto"/>
            <w:right w:val="none" w:sz="0" w:space="0" w:color="auto"/>
          </w:divBdr>
          <w:divsChild>
            <w:div w:id="775095724">
              <w:marLeft w:val="0"/>
              <w:marRight w:val="0"/>
              <w:marTop w:val="0"/>
              <w:marBottom w:val="0"/>
              <w:divBdr>
                <w:top w:val="none" w:sz="0" w:space="0" w:color="auto"/>
                <w:left w:val="none" w:sz="0" w:space="0" w:color="auto"/>
                <w:bottom w:val="none" w:sz="0" w:space="0" w:color="auto"/>
                <w:right w:val="none" w:sz="0" w:space="0" w:color="auto"/>
              </w:divBdr>
            </w:div>
          </w:divsChild>
        </w:div>
        <w:div w:id="625939306">
          <w:marLeft w:val="0"/>
          <w:marRight w:val="0"/>
          <w:marTop w:val="0"/>
          <w:marBottom w:val="0"/>
          <w:divBdr>
            <w:top w:val="none" w:sz="0" w:space="0" w:color="auto"/>
            <w:left w:val="none" w:sz="0" w:space="0" w:color="auto"/>
            <w:bottom w:val="none" w:sz="0" w:space="0" w:color="auto"/>
            <w:right w:val="none" w:sz="0" w:space="0" w:color="auto"/>
          </w:divBdr>
          <w:divsChild>
            <w:div w:id="1701321043">
              <w:marLeft w:val="0"/>
              <w:marRight w:val="0"/>
              <w:marTop w:val="0"/>
              <w:marBottom w:val="0"/>
              <w:divBdr>
                <w:top w:val="none" w:sz="0" w:space="0" w:color="auto"/>
                <w:left w:val="none" w:sz="0" w:space="0" w:color="auto"/>
                <w:bottom w:val="none" w:sz="0" w:space="0" w:color="auto"/>
                <w:right w:val="none" w:sz="0" w:space="0" w:color="auto"/>
              </w:divBdr>
            </w:div>
          </w:divsChild>
        </w:div>
        <w:div w:id="681862057">
          <w:marLeft w:val="0"/>
          <w:marRight w:val="0"/>
          <w:marTop w:val="0"/>
          <w:marBottom w:val="0"/>
          <w:divBdr>
            <w:top w:val="none" w:sz="0" w:space="0" w:color="auto"/>
            <w:left w:val="none" w:sz="0" w:space="0" w:color="auto"/>
            <w:bottom w:val="none" w:sz="0" w:space="0" w:color="auto"/>
            <w:right w:val="none" w:sz="0" w:space="0" w:color="auto"/>
          </w:divBdr>
          <w:divsChild>
            <w:div w:id="981424846">
              <w:marLeft w:val="0"/>
              <w:marRight w:val="0"/>
              <w:marTop w:val="0"/>
              <w:marBottom w:val="0"/>
              <w:divBdr>
                <w:top w:val="none" w:sz="0" w:space="0" w:color="auto"/>
                <w:left w:val="none" w:sz="0" w:space="0" w:color="auto"/>
                <w:bottom w:val="none" w:sz="0" w:space="0" w:color="auto"/>
                <w:right w:val="none" w:sz="0" w:space="0" w:color="auto"/>
              </w:divBdr>
            </w:div>
          </w:divsChild>
        </w:div>
        <w:div w:id="724137467">
          <w:marLeft w:val="0"/>
          <w:marRight w:val="0"/>
          <w:marTop w:val="0"/>
          <w:marBottom w:val="0"/>
          <w:divBdr>
            <w:top w:val="none" w:sz="0" w:space="0" w:color="auto"/>
            <w:left w:val="none" w:sz="0" w:space="0" w:color="auto"/>
            <w:bottom w:val="none" w:sz="0" w:space="0" w:color="auto"/>
            <w:right w:val="none" w:sz="0" w:space="0" w:color="auto"/>
          </w:divBdr>
          <w:divsChild>
            <w:div w:id="253822554">
              <w:marLeft w:val="0"/>
              <w:marRight w:val="0"/>
              <w:marTop w:val="0"/>
              <w:marBottom w:val="0"/>
              <w:divBdr>
                <w:top w:val="none" w:sz="0" w:space="0" w:color="auto"/>
                <w:left w:val="none" w:sz="0" w:space="0" w:color="auto"/>
                <w:bottom w:val="none" w:sz="0" w:space="0" w:color="auto"/>
                <w:right w:val="none" w:sz="0" w:space="0" w:color="auto"/>
              </w:divBdr>
            </w:div>
          </w:divsChild>
        </w:div>
        <w:div w:id="747381125">
          <w:marLeft w:val="0"/>
          <w:marRight w:val="0"/>
          <w:marTop w:val="0"/>
          <w:marBottom w:val="0"/>
          <w:divBdr>
            <w:top w:val="none" w:sz="0" w:space="0" w:color="auto"/>
            <w:left w:val="none" w:sz="0" w:space="0" w:color="auto"/>
            <w:bottom w:val="none" w:sz="0" w:space="0" w:color="auto"/>
            <w:right w:val="none" w:sz="0" w:space="0" w:color="auto"/>
          </w:divBdr>
          <w:divsChild>
            <w:div w:id="1053387378">
              <w:marLeft w:val="0"/>
              <w:marRight w:val="0"/>
              <w:marTop w:val="0"/>
              <w:marBottom w:val="0"/>
              <w:divBdr>
                <w:top w:val="none" w:sz="0" w:space="0" w:color="auto"/>
                <w:left w:val="none" w:sz="0" w:space="0" w:color="auto"/>
                <w:bottom w:val="none" w:sz="0" w:space="0" w:color="auto"/>
                <w:right w:val="none" w:sz="0" w:space="0" w:color="auto"/>
              </w:divBdr>
            </w:div>
          </w:divsChild>
        </w:div>
        <w:div w:id="758597003">
          <w:marLeft w:val="0"/>
          <w:marRight w:val="0"/>
          <w:marTop w:val="0"/>
          <w:marBottom w:val="0"/>
          <w:divBdr>
            <w:top w:val="none" w:sz="0" w:space="0" w:color="auto"/>
            <w:left w:val="none" w:sz="0" w:space="0" w:color="auto"/>
            <w:bottom w:val="none" w:sz="0" w:space="0" w:color="auto"/>
            <w:right w:val="none" w:sz="0" w:space="0" w:color="auto"/>
          </w:divBdr>
          <w:divsChild>
            <w:div w:id="1872573024">
              <w:marLeft w:val="0"/>
              <w:marRight w:val="0"/>
              <w:marTop w:val="0"/>
              <w:marBottom w:val="0"/>
              <w:divBdr>
                <w:top w:val="none" w:sz="0" w:space="0" w:color="auto"/>
                <w:left w:val="none" w:sz="0" w:space="0" w:color="auto"/>
                <w:bottom w:val="none" w:sz="0" w:space="0" w:color="auto"/>
                <w:right w:val="none" w:sz="0" w:space="0" w:color="auto"/>
              </w:divBdr>
            </w:div>
          </w:divsChild>
        </w:div>
        <w:div w:id="765419544">
          <w:marLeft w:val="0"/>
          <w:marRight w:val="0"/>
          <w:marTop w:val="0"/>
          <w:marBottom w:val="0"/>
          <w:divBdr>
            <w:top w:val="none" w:sz="0" w:space="0" w:color="auto"/>
            <w:left w:val="none" w:sz="0" w:space="0" w:color="auto"/>
            <w:bottom w:val="none" w:sz="0" w:space="0" w:color="auto"/>
            <w:right w:val="none" w:sz="0" w:space="0" w:color="auto"/>
          </w:divBdr>
          <w:divsChild>
            <w:div w:id="763109309">
              <w:marLeft w:val="0"/>
              <w:marRight w:val="0"/>
              <w:marTop w:val="0"/>
              <w:marBottom w:val="0"/>
              <w:divBdr>
                <w:top w:val="none" w:sz="0" w:space="0" w:color="auto"/>
                <w:left w:val="none" w:sz="0" w:space="0" w:color="auto"/>
                <w:bottom w:val="none" w:sz="0" w:space="0" w:color="auto"/>
                <w:right w:val="none" w:sz="0" w:space="0" w:color="auto"/>
              </w:divBdr>
            </w:div>
          </w:divsChild>
        </w:div>
        <w:div w:id="768504007">
          <w:marLeft w:val="0"/>
          <w:marRight w:val="0"/>
          <w:marTop w:val="0"/>
          <w:marBottom w:val="0"/>
          <w:divBdr>
            <w:top w:val="none" w:sz="0" w:space="0" w:color="auto"/>
            <w:left w:val="none" w:sz="0" w:space="0" w:color="auto"/>
            <w:bottom w:val="none" w:sz="0" w:space="0" w:color="auto"/>
            <w:right w:val="none" w:sz="0" w:space="0" w:color="auto"/>
          </w:divBdr>
          <w:divsChild>
            <w:div w:id="638075346">
              <w:marLeft w:val="0"/>
              <w:marRight w:val="0"/>
              <w:marTop w:val="0"/>
              <w:marBottom w:val="0"/>
              <w:divBdr>
                <w:top w:val="none" w:sz="0" w:space="0" w:color="auto"/>
                <w:left w:val="none" w:sz="0" w:space="0" w:color="auto"/>
                <w:bottom w:val="none" w:sz="0" w:space="0" w:color="auto"/>
                <w:right w:val="none" w:sz="0" w:space="0" w:color="auto"/>
              </w:divBdr>
            </w:div>
          </w:divsChild>
        </w:div>
        <w:div w:id="776099130">
          <w:marLeft w:val="0"/>
          <w:marRight w:val="0"/>
          <w:marTop w:val="0"/>
          <w:marBottom w:val="0"/>
          <w:divBdr>
            <w:top w:val="none" w:sz="0" w:space="0" w:color="auto"/>
            <w:left w:val="none" w:sz="0" w:space="0" w:color="auto"/>
            <w:bottom w:val="none" w:sz="0" w:space="0" w:color="auto"/>
            <w:right w:val="none" w:sz="0" w:space="0" w:color="auto"/>
          </w:divBdr>
          <w:divsChild>
            <w:div w:id="901599212">
              <w:marLeft w:val="0"/>
              <w:marRight w:val="0"/>
              <w:marTop w:val="0"/>
              <w:marBottom w:val="0"/>
              <w:divBdr>
                <w:top w:val="none" w:sz="0" w:space="0" w:color="auto"/>
                <w:left w:val="none" w:sz="0" w:space="0" w:color="auto"/>
                <w:bottom w:val="none" w:sz="0" w:space="0" w:color="auto"/>
                <w:right w:val="none" w:sz="0" w:space="0" w:color="auto"/>
              </w:divBdr>
            </w:div>
          </w:divsChild>
        </w:div>
        <w:div w:id="803304580">
          <w:marLeft w:val="0"/>
          <w:marRight w:val="0"/>
          <w:marTop w:val="0"/>
          <w:marBottom w:val="0"/>
          <w:divBdr>
            <w:top w:val="none" w:sz="0" w:space="0" w:color="auto"/>
            <w:left w:val="none" w:sz="0" w:space="0" w:color="auto"/>
            <w:bottom w:val="none" w:sz="0" w:space="0" w:color="auto"/>
            <w:right w:val="none" w:sz="0" w:space="0" w:color="auto"/>
          </w:divBdr>
          <w:divsChild>
            <w:div w:id="1816332233">
              <w:marLeft w:val="0"/>
              <w:marRight w:val="0"/>
              <w:marTop w:val="0"/>
              <w:marBottom w:val="0"/>
              <w:divBdr>
                <w:top w:val="none" w:sz="0" w:space="0" w:color="auto"/>
                <w:left w:val="none" w:sz="0" w:space="0" w:color="auto"/>
                <w:bottom w:val="none" w:sz="0" w:space="0" w:color="auto"/>
                <w:right w:val="none" w:sz="0" w:space="0" w:color="auto"/>
              </w:divBdr>
            </w:div>
          </w:divsChild>
        </w:div>
        <w:div w:id="823474473">
          <w:marLeft w:val="0"/>
          <w:marRight w:val="0"/>
          <w:marTop w:val="0"/>
          <w:marBottom w:val="0"/>
          <w:divBdr>
            <w:top w:val="none" w:sz="0" w:space="0" w:color="auto"/>
            <w:left w:val="none" w:sz="0" w:space="0" w:color="auto"/>
            <w:bottom w:val="none" w:sz="0" w:space="0" w:color="auto"/>
            <w:right w:val="none" w:sz="0" w:space="0" w:color="auto"/>
          </w:divBdr>
          <w:divsChild>
            <w:div w:id="2051033915">
              <w:marLeft w:val="0"/>
              <w:marRight w:val="0"/>
              <w:marTop w:val="0"/>
              <w:marBottom w:val="0"/>
              <w:divBdr>
                <w:top w:val="none" w:sz="0" w:space="0" w:color="auto"/>
                <w:left w:val="none" w:sz="0" w:space="0" w:color="auto"/>
                <w:bottom w:val="none" w:sz="0" w:space="0" w:color="auto"/>
                <w:right w:val="none" w:sz="0" w:space="0" w:color="auto"/>
              </w:divBdr>
            </w:div>
          </w:divsChild>
        </w:div>
        <w:div w:id="827214649">
          <w:marLeft w:val="0"/>
          <w:marRight w:val="0"/>
          <w:marTop w:val="0"/>
          <w:marBottom w:val="0"/>
          <w:divBdr>
            <w:top w:val="none" w:sz="0" w:space="0" w:color="auto"/>
            <w:left w:val="none" w:sz="0" w:space="0" w:color="auto"/>
            <w:bottom w:val="none" w:sz="0" w:space="0" w:color="auto"/>
            <w:right w:val="none" w:sz="0" w:space="0" w:color="auto"/>
          </w:divBdr>
          <w:divsChild>
            <w:div w:id="574510217">
              <w:marLeft w:val="0"/>
              <w:marRight w:val="0"/>
              <w:marTop w:val="0"/>
              <w:marBottom w:val="0"/>
              <w:divBdr>
                <w:top w:val="none" w:sz="0" w:space="0" w:color="auto"/>
                <w:left w:val="none" w:sz="0" w:space="0" w:color="auto"/>
                <w:bottom w:val="none" w:sz="0" w:space="0" w:color="auto"/>
                <w:right w:val="none" w:sz="0" w:space="0" w:color="auto"/>
              </w:divBdr>
            </w:div>
          </w:divsChild>
        </w:div>
        <w:div w:id="834610574">
          <w:marLeft w:val="0"/>
          <w:marRight w:val="0"/>
          <w:marTop w:val="0"/>
          <w:marBottom w:val="0"/>
          <w:divBdr>
            <w:top w:val="none" w:sz="0" w:space="0" w:color="auto"/>
            <w:left w:val="none" w:sz="0" w:space="0" w:color="auto"/>
            <w:bottom w:val="none" w:sz="0" w:space="0" w:color="auto"/>
            <w:right w:val="none" w:sz="0" w:space="0" w:color="auto"/>
          </w:divBdr>
          <w:divsChild>
            <w:div w:id="1353845805">
              <w:marLeft w:val="0"/>
              <w:marRight w:val="0"/>
              <w:marTop w:val="0"/>
              <w:marBottom w:val="0"/>
              <w:divBdr>
                <w:top w:val="none" w:sz="0" w:space="0" w:color="auto"/>
                <w:left w:val="none" w:sz="0" w:space="0" w:color="auto"/>
                <w:bottom w:val="none" w:sz="0" w:space="0" w:color="auto"/>
                <w:right w:val="none" w:sz="0" w:space="0" w:color="auto"/>
              </w:divBdr>
            </w:div>
          </w:divsChild>
        </w:div>
        <w:div w:id="835078317">
          <w:marLeft w:val="0"/>
          <w:marRight w:val="0"/>
          <w:marTop w:val="0"/>
          <w:marBottom w:val="0"/>
          <w:divBdr>
            <w:top w:val="none" w:sz="0" w:space="0" w:color="auto"/>
            <w:left w:val="none" w:sz="0" w:space="0" w:color="auto"/>
            <w:bottom w:val="none" w:sz="0" w:space="0" w:color="auto"/>
            <w:right w:val="none" w:sz="0" w:space="0" w:color="auto"/>
          </w:divBdr>
          <w:divsChild>
            <w:div w:id="1338844257">
              <w:marLeft w:val="0"/>
              <w:marRight w:val="0"/>
              <w:marTop w:val="0"/>
              <w:marBottom w:val="0"/>
              <w:divBdr>
                <w:top w:val="none" w:sz="0" w:space="0" w:color="auto"/>
                <w:left w:val="none" w:sz="0" w:space="0" w:color="auto"/>
                <w:bottom w:val="none" w:sz="0" w:space="0" w:color="auto"/>
                <w:right w:val="none" w:sz="0" w:space="0" w:color="auto"/>
              </w:divBdr>
            </w:div>
          </w:divsChild>
        </w:div>
        <w:div w:id="857932210">
          <w:marLeft w:val="0"/>
          <w:marRight w:val="0"/>
          <w:marTop w:val="0"/>
          <w:marBottom w:val="0"/>
          <w:divBdr>
            <w:top w:val="none" w:sz="0" w:space="0" w:color="auto"/>
            <w:left w:val="none" w:sz="0" w:space="0" w:color="auto"/>
            <w:bottom w:val="none" w:sz="0" w:space="0" w:color="auto"/>
            <w:right w:val="none" w:sz="0" w:space="0" w:color="auto"/>
          </w:divBdr>
          <w:divsChild>
            <w:div w:id="161900035">
              <w:marLeft w:val="0"/>
              <w:marRight w:val="0"/>
              <w:marTop w:val="0"/>
              <w:marBottom w:val="0"/>
              <w:divBdr>
                <w:top w:val="none" w:sz="0" w:space="0" w:color="auto"/>
                <w:left w:val="none" w:sz="0" w:space="0" w:color="auto"/>
                <w:bottom w:val="none" w:sz="0" w:space="0" w:color="auto"/>
                <w:right w:val="none" w:sz="0" w:space="0" w:color="auto"/>
              </w:divBdr>
            </w:div>
          </w:divsChild>
        </w:div>
        <w:div w:id="862477614">
          <w:marLeft w:val="0"/>
          <w:marRight w:val="0"/>
          <w:marTop w:val="0"/>
          <w:marBottom w:val="0"/>
          <w:divBdr>
            <w:top w:val="none" w:sz="0" w:space="0" w:color="auto"/>
            <w:left w:val="none" w:sz="0" w:space="0" w:color="auto"/>
            <w:bottom w:val="none" w:sz="0" w:space="0" w:color="auto"/>
            <w:right w:val="none" w:sz="0" w:space="0" w:color="auto"/>
          </w:divBdr>
          <w:divsChild>
            <w:div w:id="99182907">
              <w:marLeft w:val="0"/>
              <w:marRight w:val="0"/>
              <w:marTop w:val="0"/>
              <w:marBottom w:val="0"/>
              <w:divBdr>
                <w:top w:val="none" w:sz="0" w:space="0" w:color="auto"/>
                <w:left w:val="none" w:sz="0" w:space="0" w:color="auto"/>
                <w:bottom w:val="none" w:sz="0" w:space="0" w:color="auto"/>
                <w:right w:val="none" w:sz="0" w:space="0" w:color="auto"/>
              </w:divBdr>
            </w:div>
          </w:divsChild>
        </w:div>
        <w:div w:id="863176459">
          <w:marLeft w:val="0"/>
          <w:marRight w:val="0"/>
          <w:marTop w:val="0"/>
          <w:marBottom w:val="0"/>
          <w:divBdr>
            <w:top w:val="none" w:sz="0" w:space="0" w:color="auto"/>
            <w:left w:val="none" w:sz="0" w:space="0" w:color="auto"/>
            <w:bottom w:val="none" w:sz="0" w:space="0" w:color="auto"/>
            <w:right w:val="none" w:sz="0" w:space="0" w:color="auto"/>
          </w:divBdr>
          <w:divsChild>
            <w:div w:id="1139571358">
              <w:marLeft w:val="0"/>
              <w:marRight w:val="0"/>
              <w:marTop w:val="0"/>
              <w:marBottom w:val="0"/>
              <w:divBdr>
                <w:top w:val="none" w:sz="0" w:space="0" w:color="auto"/>
                <w:left w:val="none" w:sz="0" w:space="0" w:color="auto"/>
                <w:bottom w:val="none" w:sz="0" w:space="0" w:color="auto"/>
                <w:right w:val="none" w:sz="0" w:space="0" w:color="auto"/>
              </w:divBdr>
            </w:div>
          </w:divsChild>
        </w:div>
        <w:div w:id="869493431">
          <w:marLeft w:val="0"/>
          <w:marRight w:val="0"/>
          <w:marTop w:val="0"/>
          <w:marBottom w:val="0"/>
          <w:divBdr>
            <w:top w:val="none" w:sz="0" w:space="0" w:color="auto"/>
            <w:left w:val="none" w:sz="0" w:space="0" w:color="auto"/>
            <w:bottom w:val="none" w:sz="0" w:space="0" w:color="auto"/>
            <w:right w:val="none" w:sz="0" w:space="0" w:color="auto"/>
          </w:divBdr>
          <w:divsChild>
            <w:div w:id="2072070260">
              <w:marLeft w:val="0"/>
              <w:marRight w:val="0"/>
              <w:marTop w:val="0"/>
              <w:marBottom w:val="0"/>
              <w:divBdr>
                <w:top w:val="none" w:sz="0" w:space="0" w:color="auto"/>
                <w:left w:val="none" w:sz="0" w:space="0" w:color="auto"/>
                <w:bottom w:val="none" w:sz="0" w:space="0" w:color="auto"/>
                <w:right w:val="none" w:sz="0" w:space="0" w:color="auto"/>
              </w:divBdr>
            </w:div>
          </w:divsChild>
        </w:div>
        <w:div w:id="870416036">
          <w:marLeft w:val="0"/>
          <w:marRight w:val="0"/>
          <w:marTop w:val="0"/>
          <w:marBottom w:val="0"/>
          <w:divBdr>
            <w:top w:val="none" w:sz="0" w:space="0" w:color="auto"/>
            <w:left w:val="none" w:sz="0" w:space="0" w:color="auto"/>
            <w:bottom w:val="none" w:sz="0" w:space="0" w:color="auto"/>
            <w:right w:val="none" w:sz="0" w:space="0" w:color="auto"/>
          </w:divBdr>
          <w:divsChild>
            <w:div w:id="2071221285">
              <w:marLeft w:val="0"/>
              <w:marRight w:val="0"/>
              <w:marTop w:val="0"/>
              <w:marBottom w:val="0"/>
              <w:divBdr>
                <w:top w:val="none" w:sz="0" w:space="0" w:color="auto"/>
                <w:left w:val="none" w:sz="0" w:space="0" w:color="auto"/>
                <w:bottom w:val="none" w:sz="0" w:space="0" w:color="auto"/>
                <w:right w:val="none" w:sz="0" w:space="0" w:color="auto"/>
              </w:divBdr>
            </w:div>
          </w:divsChild>
        </w:div>
        <w:div w:id="875583335">
          <w:marLeft w:val="0"/>
          <w:marRight w:val="0"/>
          <w:marTop w:val="0"/>
          <w:marBottom w:val="0"/>
          <w:divBdr>
            <w:top w:val="none" w:sz="0" w:space="0" w:color="auto"/>
            <w:left w:val="none" w:sz="0" w:space="0" w:color="auto"/>
            <w:bottom w:val="none" w:sz="0" w:space="0" w:color="auto"/>
            <w:right w:val="none" w:sz="0" w:space="0" w:color="auto"/>
          </w:divBdr>
          <w:divsChild>
            <w:div w:id="740716563">
              <w:marLeft w:val="0"/>
              <w:marRight w:val="0"/>
              <w:marTop w:val="0"/>
              <w:marBottom w:val="0"/>
              <w:divBdr>
                <w:top w:val="none" w:sz="0" w:space="0" w:color="auto"/>
                <w:left w:val="none" w:sz="0" w:space="0" w:color="auto"/>
                <w:bottom w:val="none" w:sz="0" w:space="0" w:color="auto"/>
                <w:right w:val="none" w:sz="0" w:space="0" w:color="auto"/>
              </w:divBdr>
            </w:div>
          </w:divsChild>
        </w:div>
        <w:div w:id="876432397">
          <w:marLeft w:val="0"/>
          <w:marRight w:val="0"/>
          <w:marTop w:val="0"/>
          <w:marBottom w:val="0"/>
          <w:divBdr>
            <w:top w:val="none" w:sz="0" w:space="0" w:color="auto"/>
            <w:left w:val="none" w:sz="0" w:space="0" w:color="auto"/>
            <w:bottom w:val="none" w:sz="0" w:space="0" w:color="auto"/>
            <w:right w:val="none" w:sz="0" w:space="0" w:color="auto"/>
          </w:divBdr>
          <w:divsChild>
            <w:div w:id="490755309">
              <w:marLeft w:val="0"/>
              <w:marRight w:val="0"/>
              <w:marTop w:val="0"/>
              <w:marBottom w:val="0"/>
              <w:divBdr>
                <w:top w:val="none" w:sz="0" w:space="0" w:color="auto"/>
                <w:left w:val="none" w:sz="0" w:space="0" w:color="auto"/>
                <w:bottom w:val="none" w:sz="0" w:space="0" w:color="auto"/>
                <w:right w:val="none" w:sz="0" w:space="0" w:color="auto"/>
              </w:divBdr>
            </w:div>
          </w:divsChild>
        </w:div>
        <w:div w:id="882399446">
          <w:marLeft w:val="0"/>
          <w:marRight w:val="0"/>
          <w:marTop w:val="0"/>
          <w:marBottom w:val="0"/>
          <w:divBdr>
            <w:top w:val="none" w:sz="0" w:space="0" w:color="auto"/>
            <w:left w:val="none" w:sz="0" w:space="0" w:color="auto"/>
            <w:bottom w:val="none" w:sz="0" w:space="0" w:color="auto"/>
            <w:right w:val="none" w:sz="0" w:space="0" w:color="auto"/>
          </w:divBdr>
          <w:divsChild>
            <w:div w:id="1301812850">
              <w:marLeft w:val="0"/>
              <w:marRight w:val="0"/>
              <w:marTop w:val="0"/>
              <w:marBottom w:val="0"/>
              <w:divBdr>
                <w:top w:val="none" w:sz="0" w:space="0" w:color="auto"/>
                <w:left w:val="none" w:sz="0" w:space="0" w:color="auto"/>
                <w:bottom w:val="none" w:sz="0" w:space="0" w:color="auto"/>
                <w:right w:val="none" w:sz="0" w:space="0" w:color="auto"/>
              </w:divBdr>
            </w:div>
          </w:divsChild>
        </w:div>
        <w:div w:id="885678665">
          <w:marLeft w:val="0"/>
          <w:marRight w:val="0"/>
          <w:marTop w:val="0"/>
          <w:marBottom w:val="0"/>
          <w:divBdr>
            <w:top w:val="none" w:sz="0" w:space="0" w:color="auto"/>
            <w:left w:val="none" w:sz="0" w:space="0" w:color="auto"/>
            <w:bottom w:val="none" w:sz="0" w:space="0" w:color="auto"/>
            <w:right w:val="none" w:sz="0" w:space="0" w:color="auto"/>
          </w:divBdr>
          <w:divsChild>
            <w:div w:id="746804692">
              <w:marLeft w:val="0"/>
              <w:marRight w:val="0"/>
              <w:marTop w:val="0"/>
              <w:marBottom w:val="0"/>
              <w:divBdr>
                <w:top w:val="none" w:sz="0" w:space="0" w:color="auto"/>
                <w:left w:val="none" w:sz="0" w:space="0" w:color="auto"/>
                <w:bottom w:val="none" w:sz="0" w:space="0" w:color="auto"/>
                <w:right w:val="none" w:sz="0" w:space="0" w:color="auto"/>
              </w:divBdr>
            </w:div>
          </w:divsChild>
        </w:div>
        <w:div w:id="890506415">
          <w:marLeft w:val="0"/>
          <w:marRight w:val="0"/>
          <w:marTop w:val="0"/>
          <w:marBottom w:val="0"/>
          <w:divBdr>
            <w:top w:val="none" w:sz="0" w:space="0" w:color="auto"/>
            <w:left w:val="none" w:sz="0" w:space="0" w:color="auto"/>
            <w:bottom w:val="none" w:sz="0" w:space="0" w:color="auto"/>
            <w:right w:val="none" w:sz="0" w:space="0" w:color="auto"/>
          </w:divBdr>
          <w:divsChild>
            <w:div w:id="746652296">
              <w:marLeft w:val="0"/>
              <w:marRight w:val="0"/>
              <w:marTop w:val="0"/>
              <w:marBottom w:val="0"/>
              <w:divBdr>
                <w:top w:val="none" w:sz="0" w:space="0" w:color="auto"/>
                <w:left w:val="none" w:sz="0" w:space="0" w:color="auto"/>
                <w:bottom w:val="none" w:sz="0" w:space="0" w:color="auto"/>
                <w:right w:val="none" w:sz="0" w:space="0" w:color="auto"/>
              </w:divBdr>
            </w:div>
          </w:divsChild>
        </w:div>
        <w:div w:id="911619446">
          <w:marLeft w:val="0"/>
          <w:marRight w:val="0"/>
          <w:marTop w:val="0"/>
          <w:marBottom w:val="0"/>
          <w:divBdr>
            <w:top w:val="none" w:sz="0" w:space="0" w:color="auto"/>
            <w:left w:val="none" w:sz="0" w:space="0" w:color="auto"/>
            <w:bottom w:val="none" w:sz="0" w:space="0" w:color="auto"/>
            <w:right w:val="none" w:sz="0" w:space="0" w:color="auto"/>
          </w:divBdr>
          <w:divsChild>
            <w:div w:id="2102602916">
              <w:marLeft w:val="0"/>
              <w:marRight w:val="0"/>
              <w:marTop w:val="0"/>
              <w:marBottom w:val="0"/>
              <w:divBdr>
                <w:top w:val="none" w:sz="0" w:space="0" w:color="auto"/>
                <w:left w:val="none" w:sz="0" w:space="0" w:color="auto"/>
                <w:bottom w:val="none" w:sz="0" w:space="0" w:color="auto"/>
                <w:right w:val="none" w:sz="0" w:space="0" w:color="auto"/>
              </w:divBdr>
            </w:div>
          </w:divsChild>
        </w:div>
        <w:div w:id="926377795">
          <w:marLeft w:val="0"/>
          <w:marRight w:val="0"/>
          <w:marTop w:val="0"/>
          <w:marBottom w:val="0"/>
          <w:divBdr>
            <w:top w:val="none" w:sz="0" w:space="0" w:color="auto"/>
            <w:left w:val="none" w:sz="0" w:space="0" w:color="auto"/>
            <w:bottom w:val="none" w:sz="0" w:space="0" w:color="auto"/>
            <w:right w:val="none" w:sz="0" w:space="0" w:color="auto"/>
          </w:divBdr>
          <w:divsChild>
            <w:div w:id="101344912">
              <w:marLeft w:val="0"/>
              <w:marRight w:val="0"/>
              <w:marTop w:val="0"/>
              <w:marBottom w:val="0"/>
              <w:divBdr>
                <w:top w:val="none" w:sz="0" w:space="0" w:color="auto"/>
                <w:left w:val="none" w:sz="0" w:space="0" w:color="auto"/>
                <w:bottom w:val="none" w:sz="0" w:space="0" w:color="auto"/>
                <w:right w:val="none" w:sz="0" w:space="0" w:color="auto"/>
              </w:divBdr>
            </w:div>
          </w:divsChild>
        </w:div>
        <w:div w:id="929310915">
          <w:marLeft w:val="0"/>
          <w:marRight w:val="0"/>
          <w:marTop w:val="0"/>
          <w:marBottom w:val="0"/>
          <w:divBdr>
            <w:top w:val="none" w:sz="0" w:space="0" w:color="auto"/>
            <w:left w:val="none" w:sz="0" w:space="0" w:color="auto"/>
            <w:bottom w:val="none" w:sz="0" w:space="0" w:color="auto"/>
            <w:right w:val="none" w:sz="0" w:space="0" w:color="auto"/>
          </w:divBdr>
          <w:divsChild>
            <w:div w:id="1374304908">
              <w:marLeft w:val="0"/>
              <w:marRight w:val="0"/>
              <w:marTop w:val="0"/>
              <w:marBottom w:val="0"/>
              <w:divBdr>
                <w:top w:val="none" w:sz="0" w:space="0" w:color="auto"/>
                <w:left w:val="none" w:sz="0" w:space="0" w:color="auto"/>
                <w:bottom w:val="none" w:sz="0" w:space="0" w:color="auto"/>
                <w:right w:val="none" w:sz="0" w:space="0" w:color="auto"/>
              </w:divBdr>
            </w:div>
          </w:divsChild>
        </w:div>
        <w:div w:id="932207472">
          <w:marLeft w:val="0"/>
          <w:marRight w:val="0"/>
          <w:marTop w:val="0"/>
          <w:marBottom w:val="0"/>
          <w:divBdr>
            <w:top w:val="none" w:sz="0" w:space="0" w:color="auto"/>
            <w:left w:val="none" w:sz="0" w:space="0" w:color="auto"/>
            <w:bottom w:val="none" w:sz="0" w:space="0" w:color="auto"/>
            <w:right w:val="none" w:sz="0" w:space="0" w:color="auto"/>
          </w:divBdr>
          <w:divsChild>
            <w:div w:id="199786476">
              <w:marLeft w:val="0"/>
              <w:marRight w:val="0"/>
              <w:marTop w:val="0"/>
              <w:marBottom w:val="0"/>
              <w:divBdr>
                <w:top w:val="none" w:sz="0" w:space="0" w:color="auto"/>
                <w:left w:val="none" w:sz="0" w:space="0" w:color="auto"/>
                <w:bottom w:val="none" w:sz="0" w:space="0" w:color="auto"/>
                <w:right w:val="none" w:sz="0" w:space="0" w:color="auto"/>
              </w:divBdr>
            </w:div>
          </w:divsChild>
        </w:div>
        <w:div w:id="958756658">
          <w:marLeft w:val="0"/>
          <w:marRight w:val="0"/>
          <w:marTop w:val="0"/>
          <w:marBottom w:val="0"/>
          <w:divBdr>
            <w:top w:val="none" w:sz="0" w:space="0" w:color="auto"/>
            <w:left w:val="none" w:sz="0" w:space="0" w:color="auto"/>
            <w:bottom w:val="none" w:sz="0" w:space="0" w:color="auto"/>
            <w:right w:val="none" w:sz="0" w:space="0" w:color="auto"/>
          </w:divBdr>
          <w:divsChild>
            <w:div w:id="890535639">
              <w:marLeft w:val="0"/>
              <w:marRight w:val="0"/>
              <w:marTop w:val="0"/>
              <w:marBottom w:val="0"/>
              <w:divBdr>
                <w:top w:val="none" w:sz="0" w:space="0" w:color="auto"/>
                <w:left w:val="none" w:sz="0" w:space="0" w:color="auto"/>
                <w:bottom w:val="none" w:sz="0" w:space="0" w:color="auto"/>
                <w:right w:val="none" w:sz="0" w:space="0" w:color="auto"/>
              </w:divBdr>
            </w:div>
          </w:divsChild>
        </w:div>
        <w:div w:id="982388006">
          <w:marLeft w:val="0"/>
          <w:marRight w:val="0"/>
          <w:marTop w:val="0"/>
          <w:marBottom w:val="0"/>
          <w:divBdr>
            <w:top w:val="none" w:sz="0" w:space="0" w:color="auto"/>
            <w:left w:val="none" w:sz="0" w:space="0" w:color="auto"/>
            <w:bottom w:val="none" w:sz="0" w:space="0" w:color="auto"/>
            <w:right w:val="none" w:sz="0" w:space="0" w:color="auto"/>
          </w:divBdr>
          <w:divsChild>
            <w:div w:id="2111466108">
              <w:marLeft w:val="0"/>
              <w:marRight w:val="0"/>
              <w:marTop w:val="0"/>
              <w:marBottom w:val="0"/>
              <w:divBdr>
                <w:top w:val="none" w:sz="0" w:space="0" w:color="auto"/>
                <w:left w:val="none" w:sz="0" w:space="0" w:color="auto"/>
                <w:bottom w:val="none" w:sz="0" w:space="0" w:color="auto"/>
                <w:right w:val="none" w:sz="0" w:space="0" w:color="auto"/>
              </w:divBdr>
            </w:div>
          </w:divsChild>
        </w:div>
        <w:div w:id="1009523123">
          <w:marLeft w:val="0"/>
          <w:marRight w:val="0"/>
          <w:marTop w:val="0"/>
          <w:marBottom w:val="0"/>
          <w:divBdr>
            <w:top w:val="none" w:sz="0" w:space="0" w:color="auto"/>
            <w:left w:val="none" w:sz="0" w:space="0" w:color="auto"/>
            <w:bottom w:val="none" w:sz="0" w:space="0" w:color="auto"/>
            <w:right w:val="none" w:sz="0" w:space="0" w:color="auto"/>
          </w:divBdr>
          <w:divsChild>
            <w:div w:id="343366934">
              <w:marLeft w:val="0"/>
              <w:marRight w:val="0"/>
              <w:marTop w:val="0"/>
              <w:marBottom w:val="0"/>
              <w:divBdr>
                <w:top w:val="none" w:sz="0" w:space="0" w:color="auto"/>
                <w:left w:val="none" w:sz="0" w:space="0" w:color="auto"/>
                <w:bottom w:val="none" w:sz="0" w:space="0" w:color="auto"/>
                <w:right w:val="none" w:sz="0" w:space="0" w:color="auto"/>
              </w:divBdr>
            </w:div>
          </w:divsChild>
        </w:div>
        <w:div w:id="1030035170">
          <w:marLeft w:val="0"/>
          <w:marRight w:val="0"/>
          <w:marTop w:val="0"/>
          <w:marBottom w:val="0"/>
          <w:divBdr>
            <w:top w:val="none" w:sz="0" w:space="0" w:color="auto"/>
            <w:left w:val="none" w:sz="0" w:space="0" w:color="auto"/>
            <w:bottom w:val="none" w:sz="0" w:space="0" w:color="auto"/>
            <w:right w:val="none" w:sz="0" w:space="0" w:color="auto"/>
          </w:divBdr>
          <w:divsChild>
            <w:div w:id="144009325">
              <w:marLeft w:val="0"/>
              <w:marRight w:val="0"/>
              <w:marTop w:val="0"/>
              <w:marBottom w:val="0"/>
              <w:divBdr>
                <w:top w:val="none" w:sz="0" w:space="0" w:color="auto"/>
                <w:left w:val="none" w:sz="0" w:space="0" w:color="auto"/>
                <w:bottom w:val="none" w:sz="0" w:space="0" w:color="auto"/>
                <w:right w:val="none" w:sz="0" w:space="0" w:color="auto"/>
              </w:divBdr>
            </w:div>
          </w:divsChild>
        </w:div>
        <w:div w:id="1050689712">
          <w:marLeft w:val="0"/>
          <w:marRight w:val="0"/>
          <w:marTop w:val="0"/>
          <w:marBottom w:val="0"/>
          <w:divBdr>
            <w:top w:val="none" w:sz="0" w:space="0" w:color="auto"/>
            <w:left w:val="none" w:sz="0" w:space="0" w:color="auto"/>
            <w:bottom w:val="none" w:sz="0" w:space="0" w:color="auto"/>
            <w:right w:val="none" w:sz="0" w:space="0" w:color="auto"/>
          </w:divBdr>
          <w:divsChild>
            <w:div w:id="399181059">
              <w:marLeft w:val="0"/>
              <w:marRight w:val="0"/>
              <w:marTop w:val="0"/>
              <w:marBottom w:val="0"/>
              <w:divBdr>
                <w:top w:val="none" w:sz="0" w:space="0" w:color="auto"/>
                <w:left w:val="none" w:sz="0" w:space="0" w:color="auto"/>
                <w:bottom w:val="none" w:sz="0" w:space="0" w:color="auto"/>
                <w:right w:val="none" w:sz="0" w:space="0" w:color="auto"/>
              </w:divBdr>
            </w:div>
          </w:divsChild>
        </w:div>
        <w:div w:id="1071348796">
          <w:marLeft w:val="0"/>
          <w:marRight w:val="0"/>
          <w:marTop w:val="0"/>
          <w:marBottom w:val="0"/>
          <w:divBdr>
            <w:top w:val="none" w:sz="0" w:space="0" w:color="auto"/>
            <w:left w:val="none" w:sz="0" w:space="0" w:color="auto"/>
            <w:bottom w:val="none" w:sz="0" w:space="0" w:color="auto"/>
            <w:right w:val="none" w:sz="0" w:space="0" w:color="auto"/>
          </w:divBdr>
          <w:divsChild>
            <w:div w:id="1242180376">
              <w:marLeft w:val="0"/>
              <w:marRight w:val="0"/>
              <w:marTop w:val="0"/>
              <w:marBottom w:val="0"/>
              <w:divBdr>
                <w:top w:val="none" w:sz="0" w:space="0" w:color="auto"/>
                <w:left w:val="none" w:sz="0" w:space="0" w:color="auto"/>
                <w:bottom w:val="none" w:sz="0" w:space="0" w:color="auto"/>
                <w:right w:val="none" w:sz="0" w:space="0" w:color="auto"/>
              </w:divBdr>
            </w:div>
          </w:divsChild>
        </w:div>
        <w:div w:id="1074743532">
          <w:marLeft w:val="0"/>
          <w:marRight w:val="0"/>
          <w:marTop w:val="0"/>
          <w:marBottom w:val="0"/>
          <w:divBdr>
            <w:top w:val="none" w:sz="0" w:space="0" w:color="auto"/>
            <w:left w:val="none" w:sz="0" w:space="0" w:color="auto"/>
            <w:bottom w:val="none" w:sz="0" w:space="0" w:color="auto"/>
            <w:right w:val="none" w:sz="0" w:space="0" w:color="auto"/>
          </w:divBdr>
          <w:divsChild>
            <w:div w:id="1807046640">
              <w:marLeft w:val="0"/>
              <w:marRight w:val="0"/>
              <w:marTop w:val="0"/>
              <w:marBottom w:val="0"/>
              <w:divBdr>
                <w:top w:val="none" w:sz="0" w:space="0" w:color="auto"/>
                <w:left w:val="none" w:sz="0" w:space="0" w:color="auto"/>
                <w:bottom w:val="none" w:sz="0" w:space="0" w:color="auto"/>
                <w:right w:val="none" w:sz="0" w:space="0" w:color="auto"/>
              </w:divBdr>
            </w:div>
          </w:divsChild>
        </w:div>
        <w:div w:id="1104806717">
          <w:marLeft w:val="0"/>
          <w:marRight w:val="0"/>
          <w:marTop w:val="0"/>
          <w:marBottom w:val="0"/>
          <w:divBdr>
            <w:top w:val="none" w:sz="0" w:space="0" w:color="auto"/>
            <w:left w:val="none" w:sz="0" w:space="0" w:color="auto"/>
            <w:bottom w:val="none" w:sz="0" w:space="0" w:color="auto"/>
            <w:right w:val="none" w:sz="0" w:space="0" w:color="auto"/>
          </w:divBdr>
          <w:divsChild>
            <w:div w:id="1776944617">
              <w:marLeft w:val="0"/>
              <w:marRight w:val="0"/>
              <w:marTop w:val="0"/>
              <w:marBottom w:val="0"/>
              <w:divBdr>
                <w:top w:val="none" w:sz="0" w:space="0" w:color="auto"/>
                <w:left w:val="none" w:sz="0" w:space="0" w:color="auto"/>
                <w:bottom w:val="none" w:sz="0" w:space="0" w:color="auto"/>
                <w:right w:val="none" w:sz="0" w:space="0" w:color="auto"/>
              </w:divBdr>
            </w:div>
          </w:divsChild>
        </w:div>
        <w:div w:id="1111588062">
          <w:marLeft w:val="0"/>
          <w:marRight w:val="0"/>
          <w:marTop w:val="0"/>
          <w:marBottom w:val="0"/>
          <w:divBdr>
            <w:top w:val="none" w:sz="0" w:space="0" w:color="auto"/>
            <w:left w:val="none" w:sz="0" w:space="0" w:color="auto"/>
            <w:bottom w:val="none" w:sz="0" w:space="0" w:color="auto"/>
            <w:right w:val="none" w:sz="0" w:space="0" w:color="auto"/>
          </w:divBdr>
          <w:divsChild>
            <w:div w:id="1937205814">
              <w:marLeft w:val="0"/>
              <w:marRight w:val="0"/>
              <w:marTop w:val="0"/>
              <w:marBottom w:val="0"/>
              <w:divBdr>
                <w:top w:val="none" w:sz="0" w:space="0" w:color="auto"/>
                <w:left w:val="none" w:sz="0" w:space="0" w:color="auto"/>
                <w:bottom w:val="none" w:sz="0" w:space="0" w:color="auto"/>
                <w:right w:val="none" w:sz="0" w:space="0" w:color="auto"/>
              </w:divBdr>
            </w:div>
          </w:divsChild>
        </w:div>
        <w:div w:id="1138642767">
          <w:marLeft w:val="0"/>
          <w:marRight w:val="0"/>
          <w:marTop w:val="0"/>
          <w:marBottom w:val="0"/>
          <w:divBdr>
            <w:top w:val="none" w:sz="0" w:space="0" w:color="auto"/>
            <w:left w:val="none" w:sz="0" w:space="0" w:color="auto"/>
            <w:bottom w:val="none" w:sz="0" w:space="0" w:color="auto"/>
            <w:right w:val="none" w:sz="0" w:space="0" w:color="auto"/>
          </w:divBdr>
          <w:divsChild>
            <w:div w:id="1301810736">
              <w:marLeft w:val="0"/>
              <w:marRight w:val="0"/>
              <w:marTop w:val="0"/>
              <w:marBottom w:val="0"/>
              <w:divBdr>
                <w:top w:val="none" w:sz="0" w:space="0" w:color="auto"/>
                <w:left w:val="none" w:sz="0" w:space="0" w:color="auto"/>
                <w:bottom w:val="none" w:sz="0" w:space="0" w:color="auto"/>
                <w:right w:val="none" w:sz="0" w:space="0" w:color="auto"/>
              </w:divBdr>
            </w:div>
          </w:divsChild>
        </w:div>
        <w:div w:id="1152720339">
          <w:marLeft w:val="0"/>
          <w:marRight w:val="0"/>
          <w:marTop w:val="0"/>
          <w:marBottom w:val="0"/>
          <w:divBdr>
            <w:top w:val="none" w:sz="0" w:space="0" w:color="auto"/>
            <w:left w:val="none" w:sz="0" w:space="0" w:color="auto"/>
            <w:bottom w:val="none" w:sz="0" w:space="0" w:color="auto"/>
            <w:right w:val="none" w:sz="0" w:space="0" w:color="auto"/>
          </w:divBdr>
          <w:divsChild>
            <w:div w:id="59518564">
              <w:marLeft w:val="0"/>
              <w:marRight w:val="0"/>
              <w:marTop w:val="0"/>
              <w:marBottom w:val="0"/>
              <w:divBdr>
                <w:top w:val="none" w:sz="0" w:space="0" w:color="auto"/>
                <w:left w:val="none" w:sz="0" w:space="0" w:color="auto"/>
                <w:bottom w:val="none" w:sz="0" w:space="0" w:color="auto"/>
                <w:right w:val="none" w:sz="0" w:space="0" w:color="auto"/>
              </w:divBdr>
            </w:div>
          </w:divsChild>
        </w:div>
        <w:div w:id="1171530845">
          <w:marLeft w:val="0"/>
          <w:marRight w:val="0"/>
          <w:marTop w:val="0"/>
          <w:marBottom w:val="0"/>
          <w:divBdr>
            <w:top w:val="none" w:sz="0" w:space="0" w:color="auto"/>
            <w:left w:val="none" w:sz="0" w:space="0" w:color="auto"/>
            <w:bottom w:val="none" w:sz="0" w:space="0" w:color="auto"/>
            <w:right w:val="none" w:sz="0" w:space="0" w:color="auto"/>
          </w:divBdr>
          <w:divsChild>
            <w:div w:id="1532263518">
              <w:marLeft w:val="0"/>
              <w:marRight w:val="0"/>
              <w:marTop w:val="0"/>
              <w:marBottom w:val="0"/>
              <w:divBdr>
                <w:top w:val="none" w:sz="0" w:space="0" w:color="auto"/>
                <w:left w:val="none" w:sz="0" w:space="0" w:color="auto"/>
                <w:bottom w:val="none" w:sz="0" w:space="0" w:color="auto"/>
                <w:right w:val="none" w:sz="0" w:space="0" w:color="auto"/>
              </w:divBdr>
            </w:div>
          </w:divsChild>
        </w:div>
        <w:div w:id="1182548811">
          <w:marLeft w:val="0"/>
          <w:marRight w:val="0"/>
          <w:marTop w:val="0"/>
          <w:marBottom w:val="0"/>
          <w:divBdr>
            <w:top w:val="none" w:sz="0" w:space="0" w:color="auto"/>
            <w:left w:val="none" w:sz="0" w:space="0" w:color="auto"/>
            <w:bottom w:val="none" w:sz="0" w:space="0" w:color="auto"/>
            <w:right w:val="none" w:sz="0" w:space="0" w:color="auto"/>
          </w:divBdr>
          <w:divsChild>
            <w:div w:id="1243829266">
              <w:marLeft w:val="0"/>
              <w:marRight w:val="0"/>
              <w:marTop w:val="0"/>
              <w:marBottom w:val="0"/>
              <w:divBdr>
                <w:top w:val="none" w:sz="0" w:space="0" w:color="auto"/>
                <w:left w:val="none" w:sz="0" w:space="0" w:color="auto"/>
                <w:bottom w:val="none" w:sz="0" w:space="0" w:color="auto"/>
                <w:right w:val="none" w:sz="0" w:space="0" w:color="auto"/>
              </w:divBdr>
            </w:div>
          </w:divsChild>
        </w:div>
        <w:div w:id="1184444193">
          <w:marLeft w:val="0"/>
          <w:marRight w:val="0"/>
          <w:marTop w:val="0"/>
          <w:marBottom w:val="0"/>
          <w:divBdr>
            <w:top w:val="none" w:sz="0" w:space="0" w:color="auto"/>
            <w:left w:val="none" w:sz="0" w:space="0" w:color="auto"/>
            <w:bottom w:val="none" w:sz="0" w:space="0" w:color="auto"/>
            <w:right w:val="none" w:sz="0" w:space="0" w:color="auto"/>
          </w:divBdr>
          <w:divsChild>
            <w:div w:id="34043744">
              <w:marLeft w:val="0"/>
              <w:marRight w:val="0"/>
              <w:marTop w:val="0"/>
              <w:marBottom w:val="0"/>
              <w:divBdr>
                <w:top w:val="none" w:sz="0" w:space="0" w:color="auto"/>
                <w:left w:val="none" w:sz="0" w:space="0" w:color="auto"/>
                <w:bottom w:val="none" w:sz="0" w:space="0" w:color="auto"/>
                <w:right w:val="none" w:sz="0" w:space="0" w:color="auto"/>
              </w:divBdr>
            </w:div>
          </w:divsChild>
        </w:div>
        <w:div w:id="1207065835">
          <w:marLeft w:val="0"/>
          <w:marRight w:val="0"/>
          <w:marTop w:val="0"/>
          <w:marBottom w:val="0"/>
          <w:divBdr>
            <w:top w:val="none" w:sz="0" w:space="0" w:color="auto"/>
            <w:left w:val="none" w:sz="0" w:space="0" w:color="auto"/>
            <w:bottom w:val="none" w:sz="0" w:space="0" w:color="auto"/>
            <w:right w:val="none" w:sz="0" w:space="0" w:color="auto"/>
          </w:divBdr>
          <w:divsChild>
            <w:div w:id="1771117508">
              <w:marLeft w:val="0"/>
              <w:marRight w:val="0"/>
              <w:marTop w:val="0"/>
              <w:marBottom w:val="0"/>
              <w:divBdr>
                <w:top w:val="none" w:sz="0" w:space="0" w:color="auto"/>
                <w:left w:val="none" w:sz="0" w:space="0" w:color="auto"/>
                <w:bottom w:val="none" w:sz="0" w:space="0" w:color="auto"/>
                <w:right w:val="none" w:sz="0" w:space="0" w:color="auto"/>
              </w:divBdr>
            </w:div>
          </w:divsChild>
        </w:div>
        <w:div w:id="1235703372">
          <w:marLeft w:val="0"/>
          <w:marRight w:val="0"/>
          <w:marTop w:val="0"/>
          <w:marBottom w:val="0"/>
          <w:divBdr>
            <w:top w:val="none" w:sz="0" w:space="0" w:color="auto"/>
            <w:left w:val="none" w:sz="0" w:space="0" w:color="auto"/>
            <w:bottom w:val="none" w:sz="0" w:space="0" w:color="auto"/>
            <w:right w:val="none" w:sz="0" w:space="0" w:color="auto"/>
          </w:divBdr>
          <w:divsChild>
            <w:div w:id="80374470">
              <w:marLeft w:val="0"/>
              <w:marRight w:val="0"/>
              <w:marTop w:val="0"/>
              <w:marBottom w:val="0"/>
              <w:divBdr>
                <w:top w:val="none" w:sz="0" w:space="0" w:color="auto"/>
                <w:left w:val="none" w:sz="0" w:space="0" w:color="auto"/>
                <w:bottom w:val="none" w:sz="0" w:space="0" w:color="auto"/>
                <w:right w:val="none" w:sz="0" w:space="0" w:color="auto"/>
              </w:divBdr>
            </w:div>
          </w:divsChild>
        </w:div>
        <w:div w:id="1236740933">
          <w:marLeft w:val="0"/>
          <w:marRight w:val="0"/>
          <w:marTop w:val="0"/>
          <w:marBottom w:val="0"/>
          <w:divBdr>
            <w:top w:val="none" w:sz="0" w:space="0" w:color="auto"/>
            <w:left w:val="none" w:sz="0" w:space="0" w:color="auto"/>
            <w:bottom w:val="none" w:sz="0" w:space="0" w:color="auto"/>
            <w:right w:val="none" w:sz="0" w:space="0" w:color="auto"/>
          </w:divBdr>
          <w:divsChild>
            <w:div w:id="1357996671">
              <w:marLeft w:val="0"/>
              <w:marRight w:val="0"/>
              <w:marTop w:val="0"/>
              <w:marBottom w:val="0"/>
              <w:divBdr>
                <w:top w:val="none" w:sz="0" w:space="0" w:color="auto"/>
                <w:left w:val="none" w:sz="0" w:space="0" w:color="auto"/>
                <w:bottom w:val="none" w:sz="0" w:space="0" w:color="auto"/>
                <w:right w:val="none" w:sz="0" w:space="0" w:color="auto"/>
              </w:divBdr>
            </w:div>
          </w:divsChild>
        </w:div>
        <w:div w:id="1250699657">
          <w:marLeft w:val="0"/>
          <w:marRight w:val="0"/>
          <w:marTop w:val="0"/>
          <w:marBottom w:val="0"/>
          <w:divBdr>
            <w:top w:val="none" w:sz="0" w:space="0" w:color="auto"/>
            <w:left w:val="none" w:sz="0" w:space="0" w:color="auto"/>
            <w:bottom w:val="none" w:sz="0" w:space="0" w:color="auto"/>
            <w:right w:val="none" w:sz="0" w:space="0" w:color="auto"/>
          </w:divBdr>
          <w:divsChild>
            <w:div w:id="935674193">
              <w:marLeft w:val="0"/>
              <w:marRight w:val="0"/>
              <w:marTop w:val="0"/>
              <w:marBottom w:val="0"/>
              <w:divBdr>
                <w:top w:val="none" w:sz="0" w:space="0" w:color="auto"/>
                <w:left w:val="none" w:sz="0" w:space="0" w:color="auto"/>
                <w:bottom w:val="none" w:sz="0" w:space="0" w:color="auto"/>
                <w:right w:val="none" w:sz="0" w:space="0" w:color="auto"/>
              </w:divBdr>
            </w:div>
          </w:divsChild>
        </w:div>
        <w:div w:id="1261527882">
          <w:marLeft w:val="0"/>
          <w:marRight w:val="0"/>
          <w:marTop w:val="0"/>
          <w:marBottom w:val="0"/>
          <w:divBdr>
            <w:top w:val="none" w:sz="0" w:space="0" w:color="auto"/>
            <w:left w:val="none" w:sz="0" w:space="0" w:color="auto"/>
            <w:bottom w:val="none" w:sz="0" w:space="0" w:color="auto"/>
            <w:right w:val="none" w:sz="0" w:space="0" w:color="auto"/>
          </w:divBdr>
          <w:divsChild>
            <w:div w:id="1496914724">
              <w:marLeft w:val="0"/>
              <w:marRight w:val="0"/>
              <w:marTop w:val="0"/>
              <w:marBottom w:val="0"/>
              <w:divBdr>
                <w:top w:val="none" w:sz="0" w:space="0" w:color="auto"/>
                <w:left w:val="none" w:sz="0" w:space="0" w:color="auto"/>
                <w:bottom w:val="none" w:sz="0" w:space="0" w:color="auto"/>
                <w:right w:val="none" w:sz="0" w:space="0" w:color="auto"/>
              </w:divBdr>
            </w:div>
          </w:divsChild>
        </w:div>
        <w:div w:id="1261835075">
          <w:marLeft w:val="0"/>
          <w:marRight w:val="0"/>
          <w:marTop w:val="0"/>
          <w:marBottom w:val="0"/>
          <w:divBdr>
            <w:top w:val="none" w:sz="0" w:space="0" w:color="auto"/>
            <w:left w:val="none" w:sz="0" w:space="0" w:color="auto"/>
            <w:bottom w:val="none" w:sz="0" w:space="0" w:color="auto"/>
            <w:right w:val="none" w:sz="0" w:space="0" w:color="auto"/>
          </w:divBdr>
          <w:divsChild>
            <w:div w:id="159394671">
              <w:marLeft w:val="0"/>
              <w:marRight w:val="0"/>
              <w:marTop w:val="0"/>
              <w:marBottom w:val="0"/>
              <w:divBdr>
                <w:top w:val="none" w:sz="0" w:space="0" w:color="auto"/>
                <w:left w:val="none" w:sz="0" w:space="0" w:color="auto"/>
                <w:bottom w:val="none" w:sz="0" w:space="0" w:color="auto"/>
                <w:right w:val="none" w:sz="0" w:space="0" w:color="auto"/>
              </w:divBdr>
            </w:div>
          </w:divsChild>
        </w:div>
        <w:div w:id="1295865541">
          <w:marLeft w:val="0"/>
          <w:marRight w:val="0"/>
          <w:marTop w:val="0"/>
          <w:marBottom w:val="0"/>
          <w:divBdr>
            <w:top w:val="none" w:sz="0" w:space="0" w:color="auto"/>
            <w:left w:val="none" w:sz="0" w:space="0" w:color="auto"/>
            <w:bottom w:val="none" w:sz="0" w:space="0" w:color="auto"/>
            <w:right w:val="none" w:sz="0" w:space="0" w:color="auto"/>
          </w:divBdr>
          <w:divsChild>
            <w:div w:id="1454324068">
              <w:marLeft w:val="0"/>
              <w:marRight w:val="0"/>
              <w:marTop w:val="0"/>
              <w:marBottom w:val="0"/>
              <w:divBdr>
                <w:top w:val="none" w:sz="0" w:space="0" w:color="auto"/>
                <w:left w:val="none" w:sz="0" w:space="0" w:color="auto"/>
                <w:bottom w:val="none" w:sz="0" w:space="0" w:color="auto"/>
                <w:right w:val="none" w:sz="0" w:space="0" w:color="auto"/>
              </w:divBdr>
            </w:div>
          </w:divsChild>
        </w:div>
        <w:div w:id="1306011198">
          <w:marLeft w:val="0"/>
          <w:marRight w:val="0"/>
          <w:marTop w:val="0"/>
          <w:marBottom w:val="0"/>
          <w:divBdr>
            <w:top w:val="none" w:sz="0" w:space="0" w:color="auto"/>
            <w:left w:val="none" w:sz="0" w:space="0" w:color="auto"/>
            <w:bottom w:val="none" w:sz="0" w:space="0" w:color="auto"/>
            <w:right w:val="none" w:sz="0" w:space="0" w:color="auto"/>
          </w:divBdr>
          <w:divsChild>
            <w:div w:id="1399473542">
              <w:marLeft w:val="0"/>
              <w:marRight w:val="0"/>
              <w:marTop w:val="0"/>
              <w:marBottom w:val="0"/>
              <w:divBdr>
                <w:top w:val="none" w:sz="0" w:space="0" w:color="auto"/>
                <w:left w:val="none" w:sz="0" w:space="0" w:color="auto"/>
                <w:bottom w:val="none" w:sz="0" w:space="0" w:color="auto"/>
                <w:right w:val="none" w:sz="0" w:space="0" w:color="auto"/>
              </w:divBdr>
            </w:div>
          </w:divsChild>
        </w:div>
        <w:div w:id="1306155569">
          <w:marLeft w:val="0"/>
          <w:marRight w:val="0"/>
          <w:marTop w:val="0"/>
          <w:marBottom w:val="0"/>
          <w:divBdr>
            <w:top w:val="none" w:sz="0" w:space="0" w:color="auto"/>
            <w:left w:val="none" w:sz="0" w:space="0" w:color="auto"/>
            <w:bottom w:val="none" w:sz="0" w:space="0" w:color="auto"/>
            <w:right w:val="none" w:sz="0" w:space="0" w:color="auto"/>
          </w:divBdr>
          <w:divsChild>
            <w:div w:id="1438065135">
              <w:marLeft w:val="0"/>
              <w:marRight w:val="0"/>
              <w:marTop w:val="0"/>
              <w:marBottom w:val="0"/>
              <w:divBdr>
                <w:top w:val="none" w:sz="0" w:space="0" w:color="auto"/>
                <w:left w:val="none" w:sz="0" w:space="0" w:color="auto"/>
                <w:bottom w:val="none" w:sz="0" w:space="0" w:color="auto"/>
                <w:right w:val="none" w:sz="0" w:space="0" w:color="auto"/>
              </w:divBdr>
            </w:div>
          </w:divsChild>
        </w:div>
        <w:div w:id="1316642528">
          <w:marLeft w:val="0"/>
          <w:marRight w:val="0"/>
          <w:marTop w:val="0"/>
          <w:marBottom w:val="0"/>
          <w:divBdr>
            <w:top w:val="none" w:sz="0" w:space="0" w:color="auto"/>
            <w:left w:val="none" w:sz="0" w:space="0" w:color="auto"/>
            <w:bottom w:val="none" w:sz="0" w:space="0" w:color="auto"/>
            <w:right w:val="none" w:sz="0" w:space="0" w:color="auto"/>
          </w:divBdr>
          <w:divsChild>
            <w:div w:id="2005694177">
              <w:marLeft w:val="0"/>
              <w:marRight w:val="0"/>
              <w:marTop w:val="0"/>
              <w:marBottom w:val="0"/>
              <w:divBdr>
                <w:top w:val="none" w:sz="0" w:space="0" w:color="auto"/>
                <w:left w:val="none" w:sz="0" w:space="0" w:color="auto"/>
                <w:bottom w:val="none" w:sz="0" w:space="0" w:color="auto"/>
                <w:right w:val="none" w:sz="0" w:space="0" w:color="auto"/>
              </w:divBdr>
            </w:div>
          </w:divsChild>
        </w:div>
        <w:div w:id="1329677547">
          <w:marLeft w:val="0"/>
          <w:marRight w:val="0"/>
          <w:marTop w:val="0"/>
          <w:marBottom w:val="0"/>
          <w:divBdr>
            <w:top w:val="none" w:sz="0" w:space="0" w:color="auto"/>
            <w:left w:val="none" w:sz="0" w:space="0" w:color="auto"/>
            <w:bottom w:val="none" w:sz="0" w:space="0" w:color="auto"/>
            <w:right w:val="none" w:sz="0" w:space="0" w:color="auto"/>
          </w:divBdr>
          <w:divsChild>
            <w:div w:id="1578859237">
              <w:marLeft w:val="0"/>
              <w:marRight w:val="0"/>
              <w:marTop w:val="0"/>
              <w:marBottom w:val="0"/>
              <w:divBdr>
                <w:top w:val="none" w:sz="0" w:space="0" w:color="auto"/>
                <w:left w:val="none" w:sz="0" w:space="0" w:color="auto"/>
                <w:bottom w:val="none" w:sz="0" w:space="0" w:color="auto"/>
                <w:right w:val="none" w:sz="0" w:space="0" w:color="auto"/>
              </w:divBdr>
            </w:div>
          </w:divsChild>
        </w:div>
        <w:div w:id="1333297007">
          <w:marLeft w:val="0"/>
          <w:marRight w:val="0"/>
          <w:marTop w:val="0"/>
          <w:marBottom w:val="0"/>
          <w:divBdr>
            <w:top w:val="none" w:sz="0" w:space="0" w:color="auto"/>
            <w:left w:val="none" w:sz="0" w:space="0" w:color="auto"/>
            <w:bottom w:val="none" w:sz="0" w:space="0" w:color="auto"/>
            <w:right w:val="none" w:sz="0" w:space="0" w:color="auto"/>
          </w:divBdr>
          <w:divsChild>
            <w:div w:id="433138279">
              <w:marLeft w:val="0"/>
              <w:marRight w:val="0"/>
              <w:marTop w:val="0"/>
              <w:marBottom w:val="0"/>
              <w:divBdr>
                <w:top w:val="none" w:sz="0" w:space="0" w:color="auto"/>
                <w:left w:val="none" w:sz="0" w:space="0" w:color="auto"/>
                <w:bottom w:val="none" w:sz="0" w:space="0" w:color="auto"/>
                <w:right w:val="none" w:sz="0" w:space="0" w:color="auto"/>
              </w:divBdr>
            </w:div>
          </w:divsChild>
        </w:div>
        <w:div w:id="1335185061">
          <w:marLeft w:val="0"/>
          <w:marRight w:val="0"/>
          <w:marTop w:val="0"/>
          <w:marBottom w:val="0"/>
          <w:divBdr>
            <w:top w:val="none" w:sz="0" w:space="0" w:color="auto"/>
            <w:left w:val="none" w:sz="0" w:space="0" w:color="auto"/>
            <w:bottom w:val="none" w:sz="0" w:space="0" w:color="auto"/>
            <w:right w:val="none" w:sz="0" w:space="0" w:color="auto"/>
          </w:divBdr>
          <w:divsChild>
            <w:div w:id="1825589262">
              <w:marLeft w:val="0"/>
              <w:marRight w:val="0"/>
              <w:marTop w:val="0"/>
              <w:marBottom w:val="0"/>
              <w:divBdr>
                <w:top w:val="none" w:sz="0" w:space="0" w:color="auto"/>
                <w:left w:val="none" w:sz="0" w:space="0" w:color="auto"/>
                <w:bottom w:val="none" w:sz="0" w:space="0" w:color="auto"/>
                <w:right w:val="none" w:sz="0" w:space="0" w:color="auto"/>
              </w:divBdr>
            </w:div>
          </w:divsChild>
        </w:div>
        <w:div w:id="1351831006">
          <w:marLeft w:val="0"/>
          <w:marRight w:val="0"/>
          <w:marTop w:val="0"/>
          <w:marBottom w:val="0"/>
          <w:divBdr>
            <w:top w:val="none" w:sz="0" w:space="0" w:color="auto"/>
            <w:left w:val="none" w:sz="0" w:space="0" w:color="auto"/>
            <w:bottom w:val="none" w:sz="0" w:space="0" w:color="auto"/>
            <w:right w:val="none" w:sz="0" w:space="0" w:color="auto"/>
          </w:divBdr>
          <w:divsChild>
            <w:div w:id="548692717">
              <w:marLeft w:val="0"/>
              <w:marRight w:val="0"/>
              <w:marTop w:val="0"/>
              <w:marBottom w:val="0"/>
              <w:divBdr>
                <w:top w:val="none" w:sz="0" w:space="0" w:color="auto"/>
                <w:left w:val="none" w:sz="0" w:space="0" w:color="auto"/>
                <w:bottom w:val="none" w:sz="0" w:space="0" w:color="auto"/>
                <w:right w:val="none" w:sz="0" w:space="0" w:color="auto"/>
              </w:divBdr>
            </w:div>
          </w:divsChild>
        </w:div>
        <w:div w:id="1387756571">
          <w:marLeft w:val="0"/>
          <w:marRight w:val="0"/>
          <w:marTop w:val="0"/>
          <w:marBottom w:val="0"/>
          <w:divBdr>
            <w:top w:val="none" w:sz="0" w:space="0" w:color="auto"/>
            <w:left w:val="none" w:sz="0" w:space="0" w:color="auto"/>
            <w:bottom w:val="none" w:sz="0" w:space="0" w:color="auto"/>
            <w:right w:val="none" w:sz="0" w:space="0" w:color="auto"/>
          </w:divBdr>
          <w:divsChild>
            <w:div w:id="569849522">
              <w:marLeft w:val="0"/>
              <w:marRight w:val="0"/>
              <w:marTop w:val="0"/>
              <w:marBottom w:val="0"/>
              <w:divBdr>
                <w:top w:val="none" w:sz="0" w:space="0" w:color="auto"/>
                <w:left w:val="none" w:sz="0" w:space="0" w:color="auto"/>
                <w:bottom w:val="none" w:sz="0" w:space="0" w:color="auto"/>
                <w:right w:val="none" w:sz="0" w:space="0" w:color="auto"/>
              </w:divBdr>
            </w:div>
          </w:divsChild>
        </w:div>
        <w:div w:id="1391461888">
          <w:marLeft w:val="0"/>
          <w:marRight w:val="0"/>
          <w:marTop w:val="0"/>
          <w:marBottom w:val="0"/>
          <w:divBdr>
            <w:top w:val="none" w:sz="0" w:space="0" w:color="auto"/>
            <w:left w:val="none" w:sz="0" w:space="0" w:color="auto"/>
            <w:bottom w:val="none" w:sz="0" w:space="0" w:color="auto"/>
            <w:right w:val="none" w:sz="0" w:space="0" w:color="auto"/>
          </w:divBdr>
          <w:divsChild>
            <w:div w:id="649945307">
              <w:marLeft w:val="0"/>
              <w:marRight w:val="0"/>
              <w:marTop w:val="0"/>
              <w:marBottom w:val="0"/>
              <w:divBdr>
                <w:top w:val="none" w:sz="0" w:space="0" w:color="auto"/>
                <w:left w:val="none" w:sz="0" w:space="0" w:color="auto"/>
                <w:bottom w:val="none" w:sz="0" w:space="0" w:color="auto"/>
                <w:right w:val="none" w:sz="0" w:space="0" w:color="auto"/>
              </w:divBdr>
            </w:div>
          </w:divsChild>
        </w:div>
        <w:div w:id="1397362958">
          <w:marLeft w:val="0"/>
          <w:marRight w:val="0"/>
          <w:marTop w:val="0"/>
          <w:marBottom w:val="0"/>
          <w:divBdr>
            <w:top w:val="none" w:sz="0" w:space="0" w:color="auto"/>
            <w:left w:val="none" w:sz="0" w:space="0" w:color="auto"/>
            <w:bottom w:val="none" w:sz="0" w:space="0" w:color="auto"/>
            <w:right w:val="none" w:sz="0" w:space="0" w:color="auto"/>
          </w:divBdr>
          <w:divsChild>
            <w:div w:id="904952085">
              <w:marLeft w:val="0"/>
              <w:marRight w:val="0"/>
              <w:marTop w:val="0"/>
              <w:marBottom w:val="0"/>
              <w:divBdr>
                <w:top w:val="none" w:sz="0" w:space="0" w:color="auto"/>
                <w:left w:val="none" w:sz="0" w:space="0" w:color="auto"/>
                <w:bottom w:val="none" w:sz="0" w:space="0" w:color="auto"/>
                <w:right w:val="none" w:sz="0" w:space="0" w:color="auto"/>
              </w:divBdr>
            </w:div>
          </w:divsChild>
        </w:div>
        <w:div w:id="1399934269">
          <w:marLeft w:val="0"/>
          <w:marRight w:val="0"/>
          <w:marTop w:val="0"/>
          <w:marBottom w:val="0"/>
          <w:divBdr>
            <w:top w:val="none" w:sz="0" w:space="0" w:color="auto"/>
            <w:left w:val="none" w:sz="0" w:space="0" w:color="auto"/>
            <w:bottom w:val="none" w:sz="0" w:space="0" w:color="auto"/>
            <w:right w:val="none" w:sz="0" w:space="0" w:color="auto"/>
          </w:divBdr>
          <w:divsChild>
            <w:div w:id="132406050">
              <w:marLeft w:val="0"/>
              <w:marRight w:val="0"/>
              <w:marTop w:val="0"/>
              <w:marBottom w:val="0"/>
              <w:divBdr>
                <w:top w:val="none" w:sz="0" w:space="0" w:color="auto"/>
                <w:left w:val="none" w:sz="0" w:space="0" w:color="auto"/>
                <w:bottom w:val="none" w:sz="0" w:space="0" w:color="auto"/>
                <w:right w:val="none" w:sz="0" w:space="0" w:color="auto"/>
              </w:divBdr>
            </w:div>
          </w:divsChild>
        </w:div>
        <w:div w:id="1451128603">
          <w:marLeft w:val="0"/>
          <w:marRight w:val="0"/>
          <w:marTop w:val="0"/>
          <w:marBottom w:val="0"/>
          <w:divBdr>
            <w:top w:val="none" w:sz="0" w:space="0" w:color="auto"/>
            <w:left w:val="none" w:sz="0" w:space="0" w:color="auto"/>
            <w:bottom w:val="none" w:sz="0" w:space="0" w:color="auto"/>
            <w:right w:val="none" w:sz="0" w:space="0" w:color="auto"/>
          </w:divBdr>
          <w:divsChild>
            <w:div w:id="1731805868">
              <w:marLeft w:val="0"/>
              <w:marRight w:val="0"/>
              <w:marTop w:val="0"/>
              <w:marBottom w:val="0"/>
              <w:divBdr>
                <w:top w:val="none" w:sz="0" w:space="0" w:color="auto"/>
                <w:left w:val="none" w:sz="0" w:space="0" w:color="auto"/>
                <w:bottom w:val="none" w:sz="0" w:space="0" w:color="auto"/>
                <w:right w:val="none" w:sz="0" w:space="0" w:color="auto"/>
              </w:divBdr>
            </w:div>
          </w:divsChild>
        </w:div>
        <w:div w:id="1455058703">
          <w:marLeft w:val="0"/>
          <w:marRight w:val="0"/>
          <w:marTop w:val="0"/>
          <w:marBottom w:val="0"/>
          <w:divBdr>
            <w:top w:val="none" w:sz="0" w:space="0" w:color="auto"/>
            <w:left w:val="none" w:sz="0" w:space="0" w:color="auto"/>
            <w:bottom w:val="none" w:sz="0" w:space="0" w:color="auto"/>
            <w:right w:val="none" w:sz="0" w:space="0" w:color="auto"/>
          </w:divBdr>
          <w:divsChild>
            <w:div w:id="1969512193">
              <w:marLeft w:val="0"/>
              <w:marRight w:val="0"/>
              <w:marTop w:val="0"/>
              <w:marBottom w:val="0"/>
              <w:divBdr>
                <w:top w:val="none" w:sz="0" w:space="0" w:color="auto"/>
                <w:left w:val="none" w:sz="0" w:space="0" w:color="auto"/>
                <w:bottom w:val="none" w:sz="0" w:space="0" w:color="auto"/>
                <w:right w:val="none" w:sz="0" w:space="0" w:color="auto"/>
              </w:divBdr>
            </w:div>
          </w:divsChild>
        </w:div>
        <w:div w:id="1493255805">
          <w:marLeft w:val="0"/>
          <w:marRight w:val="0"/>
          <w:marTop w:val="0"/>
          <w:marBottom w:val="0"/>
          <w:divBdr>
            <w:top w:val="none" w:sz="0" w:space="0" w:color="auto"/>
            <w:left w:val="none" w:sz="0" w:space="0" w:color="auto"/>
            <w:bottom w:val="none" w:sz="0" w:space="0" w:color="auto"/>
            <w:right w:val="none" w:sz="0" w:space="0" w:color="auto"/>
          </w:divBdr>
          <w:divsChild>
            <w:div w:id="1036739640">
              <w:marLeft w:val="0"/>
              <w:marRight w:val="0"/>
              <w:marTop w:val="0"/>
              <w:marBottom w:val="0"/>
              <w:divBdr>
                <w:top w:val="none" w:sz="0" w:space="0" w:color="auto"/>
                <w:left w:val="none" w:sz="0" w:space="0" w:color="auto"/>
                <w:bottom w:val="none" w:sz="0" w:space="0" w:color="auto"/>
                <w:right w:val="none" w:sz="0" w:space="0" w:color="auto"/>
              </w:divBdr>
            </w:div>
          </w:divsChild>
        </w:div>
        <w:div w:id="1497719883">
          <w:marLeft w:val="0"/>
          <w:marRight w:val="0"/>
          <w:marTop w:val="0"/>
          <w:marBottom w:val="0"/>
          <w:divBdr>
            <w:top w:val="none" w:sz="0" w:space="0" w:color="auto"/>
            <w:left w:val="none" w:sz="0" w:space="0" w:color="auto"/>
            <w:bottom w:val="none" w:sz="0" w:space="0" w:color="auto"/>
            <w:right w:val="none" w:sz="0" w:space="0" w:color="auto"/>
          </w:divBdr>
          <w:divsChild>
            <w:div w:id="1396932119">
              <w:marLeft w:val="0"/>
              <w:marRight w:val="0"/>
              <w:marTop w:val="0"/>
              <w:marBottom w:val="0"/>
              <w:divBdr>
                <w:top w:val="none" w:sz="0" w:space="0" w:color="auto"/>
                <w:left w:val="none" w:sz="0" w:space="0" w:color="auto"/>
                <w:bottom w:val="none" w:sz="0" w:space="0" w:color="auto"/>
                <w:right w:val="none" w:sz="0" w:space="0" w:color="auto"/>
              </w:divBdr>
            </w:div>
          </w:divsChild>
        </w:div>
        <w:div w:id="1505626221">
          <w:marLeft w:val="0"/>
          <w:marRight w:val="0"/>
          <w:marTop w:val="0"/>
          <w:marBottom w:val="0"/>
          <w:divBdr>
            <w:top w:val="none" w:sz="0" w:space="0" w:color="auto"/>
            <w:left w:val="none" w:sz="0" w:space="0" w:color="auto"/>
            <w:bottom w:val="none" w:sz="0" w:space="0" w:color="auto"/>
            <w:right w:val="none" w:sz="0" w:space="0" w:color="auto"/>
          </w:divBdr>
          <w:divsChild>
            <w:div w:id="850295529">
              <w:marLeft w:val="0"/>
              <w:marRight w:val="0"/>
              <w:marTop w:val="0"/>
              <w:marBottom w:val="0"/>
              <w:divBdr>
                <w:top w:val="none" w:sz="0" w:space="0" w:color="auto"/>
                <w:left w:val="none" w:sz="0" w:space="0" w:color="auto"/>
                <w:bottom w:val="none" w:sz="0" w:space="0" w:color="auto"/>
                <w:right w:val="none" w:sz="0" w:space="0" w:color="auto"/>
              </w:divBdr>
            </w:div>
          </w:divsChild>
        </w:div>
        <w:div w:id="1523981746">
          <w:marLeft w:val="0"/>
          <w:marRight w:val="0"/>
          <w:marTop w:val="0"/>
          <w:marBottom w:val="0"/>
          <w:divBdr>
            <w:top w:val="none" w:sz="0" w:space="0" w:color="auto"/>
            <w:left w:val="none" w:sz="0" w:space="0" w:color="auto"/>
            <w:bottom w:val="none" w:sz="0" w:space="0" w:color="auto"/>
            <w:right w:val="none" w:sz="0" w:space="0" w:color="auto"/>
          </w:divBdr>
          <w:divsChild>
            <w:div w:id="220099708">
              <w:marLeft w:val="0"/>
              <w:marRight w:val="0"/>
              <w:marTop w:val="0"/>
              <w:marBottom w:val="0"/>
              <w:divBdr>
                <w:top w:val="none" w:sz="0" w:space="0" w:color="auto"/>
                <w:left w:val="none" w:sz="0" w:space="0" w:color="auto"/>
                <w:bottom w:val="none" w:sz="0" w:space="0" w:color="auto"/>
                <w:right w:val="none" w:sz="0" w:space="0" w:color="auto"/>
              </w:divBdr>
            </w:div>
          </w:divsChild>
        </w:div>
        <w:div w:id="1529493177">
          <w:marLeft w:val="0"/>
          <w:marRight w:val="0"/>
          <w:marTop w:val="0"/>
          <w:marBottom w:val="0"/>
          <w:divBdr>
            <w:top w:val="none" w:sz="0" w:space="0" w:color="auto"/>
            <w:left w:val="none" w:sz="0" w:space="0" w:color="auto"/>
            <w:bottom w:val="none" w:sz="0" w:space="0" w:color="auto"/>
            <w:right w:val="none" w:sz="0" w:space="0" w:color="auto"/>
          </w:divBdr>
          <w:divsChild>
            <w:div w:id="1871797707">
              <w:marLeft w:val="0"/>
              <w:marRight w:val="0"/>
              <w:marTop w:val="0"/>
              <w:marBottom w:val="0"/>
              <w:divBdr>
                <w:top w:val="none" w:sz="0" w:space="0" w:color="auto"/>
                <w:left w:val="none" w:sz="0" w:space="0" w:color="auto"/>
                <w:bottom w:val="none" w:sz="0" w:space="0" w:color="auto"/>
                <w:right w:val="none" w:sz="0" w:space="0" w:color="auto"/>
              </w:divBdr>
            </w:div>
          </w:divsChild>
        </w:div>
        <w:div w:id="1530101285">
          <w:marLeft w:val="0"/>
          <w:marRight w:val="0"/>
          <w:marTop w:val="0"/>
          <w:marBottom w:val="0"/>
          <w:divBdr>
            <w:top w:val="none" w:sz="0" w:space="0" w:color="auto"/>
            <w:left w:val="none" w:sz="0" w:space="0" w:color="auto"/>
            <w:bottom w:val="none" w:sz="0" w:space="0" w:color="auto"/>
            <w:right w:val="none" w:sz="0" w:space="0" w:color="auto"/>
          </w:divBdr>
          <w:divsChild>
            <w:div w:id="103501692">
              <w:marLeft w:val="0"/>
              <w:marRight w:val="0"/>
              <w:marTop w:val="0"/>
              <w:marBottom w:val="0"/>
              <w:divBdr>
                <w:top w:val="none" w:sz="0" w:space="0" w:color="auto"/>
                <w:left w:val="none" w:sz="0" w:space="0" w:color="auto"/>
                <w:bottom w:val="none" w:sz="0" w:space="0" w:color="auto"/>
                <w:right w:val="none" w:sz="0" w:space="0" w:color="auto"/>
              </w:divBdr>
            </w:div>
          </w:divsChild>
        </w:div>
        <w:div w:id="1536963410">
          <w:marLeft w:val="0"/>
          <w:marRight w:val="0"/>
          <w:marTop w:val="0"/>
          <w:marBottom w:val="0"/>
          <w:divBdr>
            <w:top w:val="none" w:sz="0" w:space="0" w:color="auto"/>
            <w:left w:val="none" w:sz="0" w:space="0" w:color="auto"/>
            <w:bottom w:val="none" w:sz="0" w:space="0" w:color="auto"/>
            <w:right w:val="none" w:sz="0" w:space="0" w:color="auto"/>
          </w:divBdr>
          <w:divsChild>
            <w:div w:id="517281856">
              <w:marLeft w:val="0"/>
              <w:marRight w:val="0"/>
              <w:marTop w:val="0"/>
              <w:marBottom w:val="0"/>
              <w:divBdr>
                <w:top w:val="none" w:sz="0" w:space="0" w:color="auto"/>
                <w:left w:val="none" w:sz="0" w:space="0" w:color="auto"/>
                <w:bottom w:val="none" w:sz="0" w:space="0" w:color="auto"/>
                <w:right w:val="none" w:sz="0" w:space="0" w:color="auto"/>
              </w:divBdr>
            </w:div>
          </w:divsChild>
        </w:div>
        <w:div w:id="1587298271">
          <w:marLeft w:val="0"/>
          <w:marRight w:val="0"/>
          <w:marTop w:val="0"/>
          <w:marBottom w:val="0"/>
          <w:divBdr>
            <w:top w:val="none" w:sz="0" w:space="0" w:color="auto"/>
            <w:left w:val="none" w:sz="0" w:space="0" w:color="auto"/>
            <w:bottom w:val="none" w:sz="0" w:space="0" w:color="auto"/>
            <w:right w:val="none" w:sz="0" w:space="0" w:color="auto"/>
          </w:divBdr>
          <w:divsChild>
            <w:div w:id="1018119315">
              <w:marLeft w:val="0"/>
              <w:marRight w:val="0"/>
              <w:marTop w:val="0"/>
              <w:marBottom w:val="0"/>
              <w:divBdr>
                <w:top w:val="none" w:sz="0" w:space="0" w:color="auto"/>
                <w:left w:val="none" w:sz="0" w:space="0" w:color="auto"/>
                <w:bottom w:val="none" w:sz="0" w:space="0" w:color="auto"/>
                <w:right w:val="none" w:sz="0" w:space="0" w:color="auto"/>
              </w:divBdr>
            </w:div>
          </w:divsChild>
        </w:div>
        <w:div w:id="1600718260">
          <w:marLeft w:val="0"/>
          <w:marRight w:val="0"/>
          <w:marTop w:val="0"/>
          <w:marBottom w:val="0"/>
          <w:divBdr>
            <w:top w:val="none" w:sz="0" w:space="0" w:color="auto"/>
            <w:left w:val="none" w:sz="0" w:space="0" w:color="auto"/>
            <w:bottom w:val="none" w:sz="0" w:space="0" w:color="auto"/>
            <w:right w:val="none" w:sz="0" w:space="0" w:color="auto"/>
          </w:divBdr>
          <w:divsChild>
            <w:div w:id="1293638688">
              <w:marLeft w:val="0"/>
              <w:marRight w:val="0"/>
              <w:marTop w:val="0"/>
              <w:marBottom w:val="0"/>
              <w:divBdr>
                <w:top w:val="none" w:sz="0" w:space="0" w:color="auto"/>
                <w:left w:val="none" w:sz="0" w:space="0" w:color="auto"/>
                <w:bottom w:val="none" w:sz="0" w:space="0" w:color="auto"/>
                <w:right w:val="none" w:sz="0" w:space="0" w:color="auto"/>
              </w:divBdr>
            </w:div>
          </w:divsChild>
        </w:div>
        <w:div w:id="1603149347">
          <w:marLeft w:val="0"/>
          <w:marRight w:val="0"/>
          <w:marTop w:val="0"/>
          <w:marBottom w:val="0"/>
          <w:divBdr>
            <w:top w:val="none" w:sz="0" w:space="0" w:color="auto"/>
            <w:left w:val="none" w:sz="0" w:space="0" w:color="auto"/>
            <w:bottom w:val="none" w:sz="0" w:space="0" w:color="auto"/>
            <w:right w:val="none" w:sz="0" w:space="0" w:color="auto"/>
          </w:divBdr>
          <w:divsChild>
            <w:div w:id="1169783942">
              <w:marLeft w:val="0"/>
              <w:marRight w:val="0"/>
              <w:marTop w:val="0"/>
              <w:marBottom w:val="0"/>
              <w:divBdr>
                <w:top w:val="none" w:sz="0" w:space="0" w:color="auto"/>
                <w:left w:val="none" w:sz="0" w:space="0" w:color="auto"/>
                <w:bottom w:val="none" w:sz="0" w:space="0" w:color="auto"/>
                <w:right w:val="none" w:sz="0" w:space="0" w:color="auto"/>
              </w:divBdr>
            </w:div>
          </w:divsChild>
        </w:div>
        <w:div w:id="1610237076">
          <w:marLeft w:val="0"/>
          <w:marRight w:val="0"/>
          <w:marTop w:val="0"/>
          <w:marBottom w:val="0"/>
          <w:divBdr>
            <w:top w:val="none" w:sz="0" w:space="0" w:color="auto"/>
            <w:left w:val="none" w:sz="0" w:space="0" w:color="auto"/>
            <w:bottom w:val="none" w:sz="0" w:space="0" w:color="auto"/>
            <w:right w:val="none" w:sz="0" w:space="0" w:color="auto"/>
          </w:divBdr>
          <w:divsChild>
            <w:div w:id="1693728281">
              <w:marLeft w:val="0"/>
              <w:marRight w:val="0"/>
              <w:marTop w:val="0"/>
              <w:marBottom w:val="0"/>
              <w:divBdr>
                <w:top w:val="none" w:sz="0" w:space="0" w:color="auto"/>
                <w:left w:val="none" w:sz="0" w:space="0" w:color="auto"/>
                <w:bottom w:val="none" w:sz="0" w:space="0" w:color="auto"/>
                <w:right w:val="none" w:sz="0" w:space="0" w:color="auto"/>
              </w:divBdr>
            </w:div>
          </w:divsChild>
        </w:div>
        <w:div w:id="1620407188">
          <w:marLeft w:val="0"/>
          <w:marRight w:val="0"/>
          <w:marTop w:val="0"/>
          <w:marBottom w:val="0"/>
          <w:divBdr>
            <w:top w:val="none" w:sz="0" w:space="0" w:color="auto"/>
            <w:left w:val="none" w:sz="0" w:space="0" w:color="auto"/>
            <w:bottom w:val="none" w:sz="0" w:space="0" w:color="auto"/>
            <w:right w:val="none" w:sz="0" w:space="0" w:color="auto"/>
          </w:divBdr>
          <w:divsChild>
            <w:div w:id="1455100271">
              <w:marLeft w:val="0"/>
              <w:marRight w:val="0"/>
              <w:marTop w:val="0"/>
              <w:marBottom w:val="0"/>
              <w:divBdr>
                <w:top w:val="none" w:sz="0" w:space="0" w:color="auto"/>
                <w:left w:val="none" w:sz="0" w:space="0" w:color="auto"/>
                <w:bottom w:val="none" w:sz="0" w:space="0" w:color="auto"/>
                <w:right w:val="none" w:sz="0" w:space="0" w:color="auto"/>
              </w:divBdr>
            </w:div>
          </w:divsChild>
        </w:div>
        <w:div w:id="1626305613">
          <w:marLeft w:val="0"/>
          <w:marRight w:val="0"/>
          <w:marTop w:val="0"/>
          <w:marBottom w:val="0"/>
          <w:divBdr>
            <w:top w:val="none" w:sz="0" w:space="0" w:color="auto"/>
            <w:left w:val="none" w:sz="0" w:space="0" w:color="auto"/>
            <w:bottom w:val="none" w:sz="0" w:space="0" w:color="auto"/>
            <w:right w:val="none" w:sz="0" w:space="0" w:color="auto"/>
          </w:divBdr>
          <w:divsChild>
            <w:div w:id="2029326363">
              <w:marLeft w:val="0"/>
              <w:marRight w:val="0"/>
              <w:marTop w:val="0"/>
              <w:marBottom w:val="0"/>
              <w:divBdr>
                <w:top w:val="none" w:sz="0" w:space="0" w:color="auto"/>
                <w:left w:val="none" w:sz="0" w:space="0" w:color="auto"/>
                <w:bottom w:val="none" w:sz="0" w:space="0" w:color="auto"/>
                <w:right w:val="none" w:sz="0" w:space="0" w:color="auto"/>
              </w:divBdr>
            </w:div>
          </w:divsChild>
        </w:div>
        <w:div w:id="1635938440">
          <w:marLeft w:val="0"/>
          <w:marRight w:val="0"/>
          <w:marTop w:val="0"/>
          <w:marBottom w:val="0"/>
          <w:divBdr>
            <w:top w:val="none" w:sz="0" w:space="0" w:color="auto"/>
            <w:left w:val="none" w:sz="0" w:space="0" w:color="auto"/>
            <w:bottom w:val="none" w:sz="0" w:space="0" w:color="auto"/>
            <w:right w:val="none" w:sz="0" w:space="0" w:color="auto"/>
          </w:divBdr>
          <w:divsChild>
            <w:div w:id="784932972">
              <w:marLeft w:val="0"/>
              <w:marRight w:val="0"/>
              <w:marTop w:val="0"/>
              <w:marBottom w:val="0"/>
              <w:divBdr>
                <w:top w:val="none" w:sz="0" w:space="0" w:color="auto"/>
                <w:left w:val="none" w:sz="0" w:space="0" w:color="auto"/>
                <w:bottom w:val="none" w:sz="0" w:space="0" w:color="auto"/>
                <w:right w:val="none" w:sz="0" w:space="0" w:color="auto"/>
              </w:divBdr>
            </w:div>
          </w:divsChild>
        </w:div>
        <w:div w:id="1642341914">
          <w:marLeft w:val="0"/>
          <w:marRight w:val="0"/>
          <w:marTop w:val="0"/>
          <w:marBottom w:val="0"/>
          <w:divBdr>
            <w:top w:val="none" w:sz="0" w:space="0" w:color="auto"/>
            <w:left w:val="none" w:sz="0" w:space="0" w:color="auto"/>
            <w:bottom w:val="none" w:sz="0" w:space="0" w:color="auto"/>
            <w:right w:val="none" w:sz="0" w:space="0" w:color="auto"/>
          </w:divBdr>
          <w:divsChild>
            <w:div w:id="181091161">
              <w:marLeft w:val="0"/>
              <w:marRight w:val="0"/>
              <w:marTop w:val="0"/>
              <w:marBottom w:val="0"/>
              <w:divBdr>
                <w:top w:val="none" w:sz="0" w:space="0" w:color="auto"/>
                <w:left w:val="none" w:sz="0" w:space="0" w:color="auto"/>
                <w:bottom w:val="none" w:sz="0" w:space="0" w:color="auto"/>
                <w:right w:val="none" w:sz="0" w:space="0" w:color="auto"/>
              </w:divBdr>
            </w:div>
          </w:divsChild>
        </w:div>
        <w:div w:id="1651131387">
          <w:marLeft w:val="0"/>
          <w:marRight w:val="0"/>
          <w:marTop w:val="0"/>
          <w:marBottom w:val="0"/>
          <w:divBdr>
            <w:top w:val="none" w:sz="0" w:space="0" w:color="auto"/>
            <w:left w:val="none" w:sz="0" w:space="0" w:color="auto"/>
            <w:bottom w:val="none" w:sz="0" w:space="0" w:color="auto"/>
            <w:right w:val="none" w:sz="0" w:space="0" w:color="auto"/>
          </w:divBdr>
          <w:divsChild>
            <w:div w:id="455493659">
              <w:marLeft w:val="0"/>
              <w:marRight w:val="0"/>
              <w:marTop w:val="0"/>
              <w:marBottom w:val="0"/>
              <w:divBdr>
                <w:top w:val="none" w:sz="0" w:space="0" w:color="auto"/>
                <w:left w:val="none" w:sz="0" w:space="0" w:color="auto"/>
                <w:bottom w:val="none" w:sz="0" w:space="0" w:color="auto"/>
                <w:right w:val="none" w:sz="0" w:space="0" w:color="auto"/>
              </w:divBdr>
            </w:div>
          </w:divsChild>
        </w:div>
        <w:div w:id="1653171722">
          <w:marLeft w:val="0"/>
          <w:marRight w:val="0"/>
          <w:marTop w:val="0"/>
          <w:marBottom w:val="0"/>
          <w:divBdr>
            <w:top w:val="none" w:sz="0" w:space="0" w:color="auto"/>
            <w:left w:val="none" w:sz="0" w:space="0" w:color="auto"/>
            <w:bottom w:val="none" w:sz="0" w:space="0" w:color="auto"/>
            <w:right w:val="none" w:sz="0" w:space="0" w:color="auto"/>
          </w:divBdr>
          <w:divsChild>
            <w:div w:id="1259408167">
              <w:marLeft w:val="0"/>
              <w:marRight w:val="0"/>
              <w:marTop w:val="0"/>
              <w:marBottom w:val="0"/>
              <w:divBdr>
                <w:top w:val="none" w:sz="0" w:space="0" w:color="auto"/>
                <w:left w:val="none" w:sz="0" w:space="0" w:color="auto"/>
                <w:bottom w:val="none" w:sz="0" w:space="0" w:color="auto"/>
                <w:right w:val="none" w:sz="0" w:space="0" w:color="auto"/>
              </w:divBdr>
            </w:div>
          </w:divsChild>
        </w:div>
        <w:div w:id="1671710948">
          <w:marLeft w:val="0"/>
          <w:marRight w:val="0"/>
          <w:marTop w:val="0"/>
          <w:marBottom w:val="0"/>
          <w:divBdr>
            <w:top w:val="none" w:sz="0" w:space="0" w:color="auto"/>
            <w:left w:val="none" w:sz="0" w:space="0" w:color="auto"/>
            <w:bottom w:val="none" w:sz="0" w:space="0" w:color="auto"/>
            <w:right w:val="none" w:sz="0" w:space="0" w:color="auto"/>
          </w:divBdr>
          <w:divsChild>
            <w:div w:id="1385710960">
              <w:marLeft w:val="0"/>
              <w:marRight w:val="0"/>
              <w:marTop w:val="0"/>
              <w:marBottom w:val="0"/>
              <w:divBdr>
                <w:top w:val="none" w:sz="0" w:space="0" w:color="auto"/>
                <w:left w:val="none" w:sz="0" w:space="0" w:color="auto"/>
                <w:bottom w:val="none" w:sz="0" w:space="0" w:color="auto"/>
                <w:right w:val="none" w:sz="0" w:space="0" w:color="auto"/>
              </w:divBdr>
            </w:div>
          </w:divsChild>
        </w:div>
        <w:div w:id="1673100975">
          <w:marLeft w:val="0"/>
          <w:marRight w:val="0"/>
          <w:marTop w:val="0"/>
          <w:marBottom w:val="0"/>
          <w:divBdr>
            <w:top w:val="none" w:sz="0" w:space="0" w:color="auto"/>
            <w:left w:val="none" w:sz="0" w:space="0" w:color="auto"/>
            <w:bottom w:val="none" w:sz="0" w:space="0" w:color="auto"/>
            <w:right w:val="none" w:sz="0" w:space="0" w:color="auto"/>
          </w:divBdr>
          <w:divsChild>
            <w:div w:id="2004550325">
              <w:marLeft w:val="0"/>
              <w:marRight w:val="0"/>
              <w:marTop w:val="0"/>
              <w:marBottom w:val="0"/>
              <w:divBdr>
                <w:top w:val="none" w:sz="0" w:space="0" w:color="auto"/>
                <w:left w:val="none" w:sz="0" w:space="0" w:color="auto"/>
                <w:bottom w:val="none" w:sz="0" w:space="0" w:color="auto"/>
                <w:right w:val="none" w:sz="0" w:space="0" w:color="auto"/>
              </w:divBdr>
            </w:div>
          </w:divsChild>
        </w:div>
        <w:div w:id="1732268473">
          <w:marLeft w:val="0"/>
          <w:marRight w:val="0"/>
          <w:marTop w:val="0"/>
          <w:marBottom w:val="0"/>
          <w:divBdr>
            <w:top w:val="none" w:sz="0" w:space="0" w:color="auto"/>
            <w:left w:val="none" w:sz="0" w:space="0" w:color="auto"/>
            <w:bottom w:val="none" w:sz="0" w:space="0" w:color="auto"/>
            <w:right w:val="none" w:sz="0" w:space="0" w:color="auto"/>
          </w:divBdr>
          <w:divsChild>
            <w:div w:id="2081441850">
              <w:marLeft w:val="0"/>
              <w:marRight w:val="0"/>
              <w:marTop w:val="0"/>
              <w:marBottom w:val="0"/>
              <w:divBdr>
                <w:top w:val="none" w:sz="0" w:space="0" w:color="auto"/>
                <w:left w:val="none" w:sz="0" w:space="0" w:color="auto"/>
                <w:bottom w:val="none" w:sz="0" w:space="0" w:color="auto"/>
                <w:right w:val="none" w:sz="0" w:space="0" w:color="auto"/>
              </w:divBdr>
            </w:div>
          </w:divsChild>
        </w:div>
        <w:div w:id="1733038675">
          <w:marLeft w:val="0"/>
          <w:marRight w:val="0"/>
          <w:marTop w:val="0"/>
          <w:marBottom w:val="0"/>
          <w:divBdr>
            <w:top w:val="none" w:sz="0" w:space="0" w:color="auto"/>
            <w:left w:val="none" w:sz="0" w:space="0" w:color="auto"/>
            <w:bottom w:val="none" w:sz="0" w:space="0" w:color="auto"/>
            <w:right w:val="none" w:sz="0" w:space="0" w:color="auto"/>
          </w:divBdr>
          <w:divsChild>
            <w:div w:id="1225293228">
              <w:marLeft w:val="0"/>
              <w:marRight w:val="0"/>
              <w:marTop w:val="0"/>
              <w:marBottom w:val="0"/>
              <w:divBdr>
                <w:top w:val="none" w:sz="0" w:space="0" w:color="auto"/>
                <w:left w:val="none" w:sz="0" w:space="0" w:color="auto"/>
                <w:bottom w:val="none" w:sz="0" w:space="0" w:color="auto"/>
                <w:right w:val="none" w:sz="0" w:space="0" w:color="auto"/>
              </w:divBdr>
            </w:div>
          </w:divsChild>
        </w:div>
        <w:div w:id="1756199973">
          <w:marLeft w:val="0"/>
          <w:marRight w:val="0"/>
          <w:marTop w:val="0"/>
          <w:marBottom w:val="0"/>
          <w:divBdr>
            <w:top w:val="none" w:sz="0" w:space="0" w:color="auto"/>
            <w:left w:val="none" w:sz="0" w:space="0" w:color="auto"/>
            <w:bottom w:val="none" w:sz="0" w:space="0" w:color="auto"/>
            <w:right w:val="none" w:sz="0" w:space="0" w:color="auto"/>
          </w:divBdr>
          <w:divsChild>
            <w:div w:id="961350126">
              <w:marLeft w:val="0"/>
              <w:marRight w:val="0"/>
              <w:marTop w:val="0"/>
              <w:marBottom w:val="0"/>
              <w:divBdr>
                <w:top w:val="none" w:sz="0" w:space="0" w:color="auto"/>
                <w:left w:val="none" w:sz="0" w:space="0" w:color="auto"/>
                <w:bottom w:val="none" w:sz="0" w:space="0" w:color="auto"/>
                <w:right w:val="none" w:sz="0" w:space="0" w:color="auto"/>
              </w:divBdr>
            </w:div>
          </w:divsChild>
        </w:div>
        <w:div w:id="1807090467">
          <w:marLeft w:val="0"/>
          <w:marRight w:val="0"/>
          <w:marTop w:val="0"/>
          <w:marBottom w:val="0"/>
          <w:divBdr>
            <w:top w:val="none" w:sz="0" w:space="0" w:color="auto"/>
            <w:left w:val="none" w:sz="0" w:space="0" w:color="auto"/>
            <w:bottom w:val="none" w:sz="0" w:space="0" w:color="auto"/>
            <w:right w:val="none" w:sz="0" w:space="0" w:color="auto"/>
          </w:divBdr>
          <w:divsChild>
            <w:div w:id="910844390">
              <w:marLeft w:val="0"/>
              <w:marRight w:val="0"/>
              <w:marTop w:val="0"/>
              <w:marBottom w:val="0"/>
              <w:divBdr>
                <w:top w:val="none" w:sz="0" w:space="0" w:color="auto"/>
                <w:left w:val="none" w:sz="0" w:space="0" w:color="auto"/>
                <w:bottom w:val="none" w:sz="0" w:space="0" w:color="auto"/>
                <w:right w:val="none" w:sz="0" w:space="0" w:color="auto"/>
              </w:divBdr>
            </w:div>
          </w:divsChild>
        </w:div>
        <w:div w:id="1816337309">
          <w:marLeft w:val="0"/>
          <w:marRight w:val="0"/>
          <w:marTop w:val="0"/>
          <w:marBottom w:val="0"/>
          <w:divBdr>
            <w:top w:val="none" w:sz="0" w:space="0" w:color="auto"/>
            <w:left w:val="none" w:sz="0" w:space="0" w:color="auto"/>
            <w:bottom w:val="none" w:sz="0" w:space="0" w:color="auto"/>
            <w:right w:val="none" w:sz="0" w:space="0" w:color="auto"/>
          </w:divBdr>
          <w:divsChild>
            <w:div w:id="1940797920">
              <w:marLeft w:val="0"/>
              <w:marRight w:val="0"/>
              <w:marTop w:val="0"/>
              <w:marBottom w:val="0"/>
              <w:divBdr>
                <w:top w:val="none" w:sz="0" w:space="0" w:color="auto"/>
                <w:left w:val="none" w:sz="0" w:space="0" w:color="auto"/>
                <w:bottom w:val="none" w:sz="0" w:space="0" w:color="auto"/>
                <w:right w:val="none" w:sz="0" w:space="0" w:color="auto"/>
              </w:divBdr>
            </w:div>
          </w:divsChild>
        </w:div>
        <w:div w:id="1872189027">
          <w:marLeft w:val="0"/>
          <w:marRight w:val="0"/>
          <w:marTop w:val="0"/>
          <w:marBottom w:val="0"/>
          <w:divBdr>
            <w:top w:val="none" w:sz="0" w:space="0" w:color="auto"/>
            <w:left w:val="none" w:sz="0" w:space="0" w:color="auto"/>
            <w:bottom w:val="none" w:sz="0" w:space="0" w:color="auto"/>
            <w:right w:val="none" w:sz="0" w:space="0" w:color="auto"/>
          </w:divBdr>
          <w:divsChild>
            <w:div w:id="1950233897">
              <w:marLeft w:val="0"/>
              <w:marRight w:val="0"/>
              <w:marTop w:val="0"/>
              <w:marBottom w:val="0"/>
              <w:divBdr>
                <w:top w:val="none" w:sz="0" w:space="0" w:color="auto"/>
                <w:left w:val="none" w:sz="0" w:space="0" w:color="auto"/>
                <w:bottom w:val="none" w:sz="0" w:space="0" w:color="auto"/>
                <w:right w:val="none" w:sz="0" w:space="0" w:color="auto"/>
              </w:divBdr>
            </w:div>
          </w:divsChild>
        </w:div>
        <w:div w:id="1874728503">
          <w:marLeft w:val="0"/>
          <w:marRight w:val="0"/>
          <w:marTop w:val="0"/>
          <w:marBottom w:val="0"/>
          <w:divBdr>
            <w:top w:val="none" w:sz="0" w:space="0" w:color="auto"/>
            <w:left w:val="none" w:sz="0" w:space="0" w:color="auto"/>
            <w:bottom w:val="none" w:sz="0" w:space="0" w:color="auto"/>
            <w:right w:val="none" w:sz="0" w:space="0" w:color="auto"/>
          </w:divBdr>
          <w:divsChild>
            <w:div w:id="750354324">
              <w:marLeft w:val="0"/>
              <w:marRight w:val="0"/>
              <w:marTop w:val="0"/>
              <w:marBottom w:val="0"/>
              <w:divBdr>
                <w:top w:val="none" w:sz="0" w:space="0" w:color="auto"/>
                <w:left w:val="none" w:sz="0" w:space="0" w:color="auto"/>
                <w:bottom w:val="none" w:sz="0" w:space="0" w:color="auto"/>
                <w:right w:val="none" w:sz="0" w:space="0" w:color="auto"/>
              </w:divBdr>
            </w:div>
          </w:divsChild>
        </w:div>
        <w:div w:id="1882397673">
          <w:marLeft w:val="0"/>
          <w:marRight w:val="0"/>
          <w:marTop w:val="0"/>
          <w:marBottom w:val="0"/>
          <w:divBdr>
            <w:top w:val="none" w:sz="0" w:space="0" w:color="auto"/>
            <w:left w:val="none" w:sz="0" w:space="0" w:color="auto"/>
            <w:bottom w:val="none" w:sz="0" w:space="0" w:color="auto"/>
            <w:right w:val="none" w:sz="0" w:space="0" w:color="auto"/>
          </w:divBdr>
          <w:divsChild>
            <w:div w:id="1403144070">
              <w:marLeft w:val="0"/>
              <w:marRight w:val="0"/>
              <w:marTop w:val="0"/>
              <w:marBottom w:val="0"/>
              <w:divBdr>
                <w:top w:val="none" w:sz="0" w:space="0" w:color="auto"/>
                <w:left w:val="none" w:sz="0" w:space="0" w:color="auto"/>
                <w:bottom w:val="none" w:sz="0" w:space="0" w:color="auto"/>
                <w:right w:val="none" w:sz="0" w:space="0" w:color="auto"/>
              </w:divBdr>
            </w:div>
          </w:divsChild>
        </w:div>
        <w:div w:id="1889367691">
          <w:marLeft w:val="0"/>
          <w:marRight w:val="0"/>
          <w:marTop w:val="0"/>
          <w:marBottom w:val="0"/>
          <w:divBdr>
            <w:top w:val="none" w:sz="0" w:space="0" w:color="auto"/>
            <w:left w:val="none" w:sz="0" w:space="0" w:color="auto"/>
            <w:bottom w:val="none" w:sz="0" w:space="0" w:color="auto"/>
            <w:right w:val="none" w:sz="0" w:space="0" w:color="auto"/>
          </w:divBdr>
          <w:divsChild>
            <w:div w:id="1684044341">
              <w:marLeft w:val="0"/>
              <w:marRight w:val="0"/>
              <w:marTop w:val="0"/>
              <w:marBottom w:val="0"/>
              <w:divBdr>
                <w:top w:val="none" w:sz="0" w:space="0" w:color="auto"/>
                <w:left w:val="none" w:sz="0" w:space="0" w:color="auto"/>
                <w:bottom w:val="none" w:sz="0" w:space="0" w:color="auto"/>
                <w:right w:val="none" w:sz="0" w:space="0" w:color="auto"/>
              </w:divBdr>
            </w:div>
          </w:divsChild>
        </w:div>
        <w:div w:id="1906916642">
          <w:marLeft w:val="0"/>
          <w:marRight w:val="0"/>
          <w:marTop w:val="0"/>
          <w:marBottom w:val="0"/>
          <w:divBdr>
            <w:top w:val="none" w:sz="0" w:space="0" w:color="auto"/>
            <w:left w:val="none" w:sz="0" w:space="0" w:color="auto"/>
            <w:bottom w:val="none" w:sz="0" w:space="0" w:color="auto"/>
            <w:right w:val="none" w:sz="0" w:space="0" w:color="auto"/>
          </w:divBdr>
          <w:divsChild>
            <w:div w:id="1194658473">
              <w:marLeft w:val="0"/>
              <w:marRight w:val="0"/>
              <w:marTop w:val="0"/>
              <w:marBottom w:val="0"/>
              <w:divBdr>
                <w:top w:val="none" w:sz="0" w:space="0" w:color="auto"/>
                <w:left w:val="none" w:sz="0" w:space="0" w:color="auto"/>
                <w:bottom w:val="none" w:sz="0" w:space="0" w:color="auto"/>
                <w:right w:val="none" w:sz="0" w:space="0" w:color="auto"/>
              </w:divBdr>
            </w:div>
          </w:divsChild>
        </w:div>
        <w:div w:id="1912886726">
          <w:marLeft w:val="0"/>
          <w:marRight w:val="0"/>
          <w:marTop w:val="0"/>
          <w:marBottom w:val="0"/>
          <w:divBdr>
            <w:top w:val="none" w:sz="0" w:space="0" w:color="auto"/>
            <w:left w:val="none" w:sz="0" w:space="0" w:color="auto"/>
            <w:bottom w:val="none" w:sz="0" w:space="0" w:color="auto"/>
            <w:right w:val="none" w:sz="0" w:space="0" w:color="auto"/>
          </w:divBdr>
          <w:divsChild>
            <w:div w:id="1090782174">
              <w:marLeft w:val="0"/>
              <w:marRight w:val="0"/>
              <w:marTop w:val="0"/>
              <w:marBottom w:val="0"/>
              <w:divBdr>
                <w:top w:val="none" w:sz="0" w:space="0" w:color="auto"/>
                <w:left w:val="none" w:sz="0" w:space="0" w:color="auto"/>
                <w:bottom w:val="none" w:sz="0" w:space="0" w:color="auto"/>
                <w:right w:val="none" w:sz="0" w:space="0" w:color="auto"/>
              </w:divBdr>
            </w:div>
          </w:divsChild>
        </w:div>
        <w:div w:id="1914050296">
          <w:marLeft w:val="0"/>
          <w:marRight w:val="0"/>
          <w:marTop w:val="0"/>
          <w:marBottom w:val="0"/>
          <w:divBdr>
            <w:top w:val="none" w:sz="0" w:space="0" w:color="auto"/>
            <w:left w:val="none" w:sz="0" w:space="0" w:color="auto"/>
            <w:bottom w:val="none" w:sz="0" w:space="0" w:color="auto"/>
            <w:right w:val="none" w:sz="0" w:space="0" w:color="auto"/>
          </w:divBdr>
          <w:divsChild>
            <w:div w:id="496070820">
              <w:marLeft w:val="0"/>
              <w:marRight w:val="0"/>
              <w:marTop w:val="0"/>
              <w:marBottom w:val="0"/>
              <w:divBdr>
                <w:top w:val="none" w:sz="0" w:space="0" w:color="auto"/>
                <w:left w:val="none" w:sz="0" w:space="0" w:color="auto"/>
                <w:bottom w:val="none" w:sz="0" w:space="0" w:color="auto"/>
                <w:right w:val="none" w:sz="0" w:space="0" w:color="auto"/>
              </w:divBdr>
            </w:div>
          </w:divsChild>
        </w:div>
        <w:div w:id="1916284614">
          <w:marLeft w:val="0"/>
          <w:marRight w:val="0"/>
          <w:marTop w:val="0"/>
          <w:marBottom w:val="0"/>
          <w:divBdr>
            <w:top w:val="none" w:sz="0" w:space="0" w:color="auto"/>
            <w:left w:val="none" w:sz="0" w:space="0" w:color="auto"/>
            <w:bottom w:val="none" w:sz="0" w:space="0" w:color="auto"/>
            <w:right w:val="none" w:sz="0" w:space="0" w:color="auto"/>
          </w:divBdr>
          <w:divsChild>
            <w:div w:id="2006008996">
              <w:marLeft w:val="0"/>
              <w:marRight w:val="0"/>
              <w:marTop w:val="0"/>
              <w:marBottom w:val="0"/>
              <w:divBdr>
                <w:top w:val="none" w:sz="0" w:space="0" w:color="auto"/>
                <w:left w:val="none" w:sz="0" w:space="0" w:color="auto"/>
                <w:bottom w:val="none" w:sz="0" w:space="0" w:color="auto"/>
                <w:right w:val="none" w:sz="0" w:space="0" w:color="auto"/>
              </w:divBdr>
            </w:div>
          </w:divsChild>
        </w:div>
        <w:div w:id="1925340874">
          <w:marLeft w:val="0"/>
          <w:marRight w:val="0"/>
          <w:marTop w:val="0"/>
          <w:marBottom w:val="0"/>
          <w:divBdr>
            <w:top w:val="none" w:sz="0" w:space="0" w:color="auto"/>
            <w:left w:val="none" w:sz="0" w:space="0" w:color="auto"/>
            <w:bottom w:val="none" w:sz="0" w:space="0" w:color="auto"/>
            <w:right w:val="none" w:sz="0" w:space="0" w:color="auto"/>
          </w:divBdr>
          <w:divsChild>
            <w:div w:id="1436710800">
              <w:marLeft w:val="0"/>
              <w:marRight w:val="0"/>
              <w:marTop w:val="0"/>
              <w:marBottom w:val="0"/>
              <w:divBdr>
                <w:top w:val="none" w:sz="0" w:space="0" w:color="auto"/>
                <w:left w:val="none" w:sz="0" w:space="0" w:color="auto"/>
                <w:bottom w:val="none" w:sz="0" w:space="0" w:color="auto"/>
                <w:right w:val="none" w:sz="0" w:space="0" w:color="auto"/>
              </w:divBdr>
            </w:div>
          </w:divsChild>
        </w:div>
        <w:div w:id="1935891349">
          <w:marLeft w:val="0"/>
          <w:marRight w:val="0"/>
          <w:marTop w:val="0"/>
          <w:marBottom w:val="0"/>
          <w:divBdr>
            <w:top w:val="none" w:sz="0" w:space="0" w:color="auto"/>
            <w:left w:val="none" w:sz="0" w:space="0" w:color="auto"/>
            <w:bottom w:val="none" w:sz="0" w:space="0" w:color="auto"/>
            <w:right w:val="none" w:sz="0" w:space="0" w:color="auto"/>
          </w:divBdr>
          <w:divsChild>
            <w:div w:id="1181625440">
              <w:marLeft w:val="0"/>
              <w:marRight w:val="0"/>
              <w:marTop w:val="0"/>
              <w:marBottom w:val="0"/>
              <w:divBdr>
                <w:top w:val="none" w:sz="0" w:space="0" w:color="auto"/>
                <w:left w:val="none" w:sz="0" w:space="0" w:color="auto"/>
                <w:bottom w:val="none" w:sz="0" w:space="0" w:color="auto"/>
                <w:right w:val="none" w:sz="0" w:space="0" w:color="auto"/>
              </w:divBdr>
            </w:div>
          </w:divsChild>
        </w:div>
        <w:div w:id="1971663575">
          <w:marLeft w:val="0"/>
          <w:marRight w:val="0"/>
          <w:marTop w:val="0"/>
          <w:marBottom w:val="0"/>
          <w:divBdr>
            <w:top w:val="none" w:sz="0" w:space="0" w:color="auto"/>
            <w:left w:val="none" w:sz="0" w:space="0" w:color="auto"/>
            <w:bottom w:val="none" w:sz="0" w:space="0" w:color="auto"/>
            <w:right w:val="none" w:sz="0" w:space="0" w:color="auto"/>
          </w:divBdr>
          <w:divsChild>
            <w:div w:id="1569681599">
              <w:marLeft w:val="0"/>
              <w:marRight w:val="0"/>
              <w:marTop w:val="0"/>
              <w:marBottom w:val="0"/>
              <w:divBdr>
                <w:top w:val="none" w:sz="0" w:space="0" w:color="auto"/>
                <w:left w:val="none" w:sz="0" w:space="0" w:color="auto"/>
                <w:bottom w:val="none" w:sz="0" w:space="0" w:color="auto"/>
                <w:right w:val="none" w:sz="0" w:space="0" w:color="auto"/>
              </w:divBdr>
            </w:div>
          </w:divsChild>
        </w:div>
        <w:div w:id="1993872311">
          <w:marLeft w:val="0"/>
          <w:marRight w:val="0"/>
          <w:marTop w:val="0"/>
          <w:marBottom w:val="0"/>
          <w:divBdr>
            <w:top w:val="none" w:sz="0" w:space="0" w:color="auto"/>
            <w:left w:val="none" w:sz="0" w:space="0" w:color="auto"/>
            <w:bottom w:val="none" w:sz="0" w:space="0" w:color="auto"/>
            <w:right w:val="none" w:sz="0" w:space="0" w:color="auto"/>
          </w:divBdr>
          <w:divsChild>
            <w:div w:id="654529311">
              <w:marLeft w:val="0"/>
              <w:marRight w:val="0"/>
              <w:marTop w:val="0"/>
              <w:marBottom w:val="0"/>
              <w:divBdr>
                <w:top w:val="none" w:sz="0" w:space="0" w:color="auto"/>
                <w:left w:val="none" w:sz="0" w:space="0" w:color="auto"/>
                <w:bottom w:val="none" w:sz="0" w:space="0" w:color="auto"/>
                <w:right w:val="none" w:sz="0" w:space="0" w:color="auto"/>
              </w:divBdr>
            </w:div>
          </w:divsChild>
        </w:div>
        <w:div w:id="1998144133">
          <w:marLeft w:val="0"/>
          <w:marRight w:val="0"/>
          <w:marTop w:val="0"/>
          <w:marBottom w:val="0"/>
          <w:divBdr>
            <w:top w:val="none" w:sz="0" w:space="0" w:color="auto"/>
            <w:left w:val="none" w:sz="0" w:space="0" w:color="auto"/>
            <w:bottom w:val="none" w:sz="0" w:space="0" w:color="auto"/>
            <w:right w:val="none" w:sz="0" w:space="0" w:color="auto"/>
          </w:divBdr>
          <w:divsChild>
            <w:div w:id="516164989">
              <w:marLeft w:val="0"/>
              <w:marRight w:val="0"/>
              <w:marTop w:val="0"/>
              <w:marBottom w:val="0"/>
              <w:divBdr>
                <w:top w:val="none" w:sz="0" w:space="0" w:color="auto"/>
                <w:left w:val="none" w:sz="0" w:space="0" w:color="auto"/>
                <w:bottom w:val="none" w:sz="0" w:space="0" w:color="auto"/>
                <w:right w:val="none" w:sz="0" w:space="0" w:color="auto"/>
              </w:divBdr>
            </w:div>
          </w:divsChild>
        </w:div>
        <w:div w:id="2005621789">
          <w:marLeft w:val="0"/>
          <w:marRight w:val="0"/>
          <w:marTop w:val="0"/>
          <w:marBottom w:val="0"/>
          <w:divBdr>
            <w:top w:val="none" w:sz="0" w:space="0" w:color="auto"/>
            <w:left w:val="none" w:sz="0" w:space="0" w:color="auto"/>
            <w:bottom w:val="none" w:sz="0" w:space="0" w:color="auto"/>
            <w:right w:val="none" w:sz="0" w:space="0" w:color="auto"/>
          </w:divBdr>
          <w:divsChild>
            <w:div w:id="700862079">
              <w:marLeft w:val="0"/>
              <w:marRight w:val="0"/>
              <w:marTop w:val="0"/>
              <w:marBottom w:val="0"/>
              <w:divBdr>
                <w:top w:val="none" w:sz="0" w:space="0" w:color="auto"/>
                <w:left w:val="none" w:sz="0" w:space="0" w:color="auto"/>
                <w:bottom w:val="none" w:sz="0" w:space="0" w:color="auto"/>
                <w:right w:val="none" w:sz="0" w:space="0" w:color="auto"/>
              </w:divBdr>
            </w:div>
          </w:divsChild>
        </w:div>
        <w:div w:id="2048021346">
          <w:marLeft w:val="0"/>
          <w:marRight w:val="0"/>
          <w:marTop w:val="0"/>
          <w:marBottom w:val="0"/>
          <w:divBdr>
            <w:top w:val="none" w:sz="0" w:space="0" w:color="auto"/>
            <w:left w:val="none" w:sz="0" w:space="0" w:color="auto"/>
            <w:bottom w:val="none" w:sz="0" w:space="0" w:color="auto"/>
            <w:right w:val="none" w:sz="0" w:space="0" w:color="auto"/>
          </w:divBdr>
          <w:divsChild>
            <w:div w:id="2134201977">
              <w:marLeft w:val="0"/>
              <w:marRight w:val="0"/>
              <w:marTop w:val="0"/>
              <w:marBottom w:val="0"/>
              <w:divBdr>
                <w:top w:val="none" w:sz="0" w:space="0" w:color="auto"/>
                <w:left w:val="none" w:sz="0" w:space="0" w:color="auto"/>
                <w:bottom w:val="none" w:sz="0" w:space="0" w:color="auto"/>
                <w:right w:val="none" w:sz="0" w:space="0" w:color="auto"/>
              </w:divBdr>
            </w:div>
          </w:divsChild>
        </w:div>
        <w:div w:id="2054841780">
          <w:marLeft w:val="0"/>
          <w:marRight w:val="0"/>
          <w:marTop w:val="0"/>
          <w:marBottom w:val="0"/>
          <w:divBdr>
            <w:top w:val="none" w:sz="0" w:space="0" w:color="auto"/>
            <w:left w:val="none" w:sz="0" w:space="0" w:color="auto"/>
            <w:bottom w:val="none" w:sz="0" w:space="0" w:color="auto"/>
            <w:right w:val="none" w:sz="0" w:space="0" w:color="auto"/>
          </w:divBdr>
          <w:divsChild>
            <w:div w:id="1852331774">
              <w:marLeft w:val="0"/>
              <w:marRight w:val="0"/>
              <w:marTop w:val="0"/>
              <w:marBottom w:val="0"/>
              <w:divBdr>
                <w:top w:val="none" w:sz="0" w:space="0" w:color="auto"/>
                <w:left w:val="none" w:sz="0" w:space="0" w:color="auto"/>
                <w:bottom w:val="none" w:sz="0" w:space="0" w:color="auto"/>
                <w:right w:val="none" w:sz="0" w:space="0" w:color="auto"/>
              </w:divBdr>
            </w:div>
          </w:divsChild>
        </w:div>
        <w:div w:id="2061662709">
          <w:marLeft w:val="0"/>
          <w:marRight w:val="0"/>
          <w:marTop w:val="0"/>
          <w:marBottom w:val="0"/>
          <w:divBdr>
            <w:top w:val="none" w:sz="0" w:space="0" w:color="auto"/>
            <w:left w:val="none" w:sz="0" w:space="0" w:color="auto"/>
            <w:bottom w:val="none" w:sz="0" w:space="0" w:color="auto"/>
            <w:right w:val="none" w:sz="0" w:space="0" w:color="auto"/>
          </w:divBdr>
          <w:divsChild>
            <w:div w:id="1129931142">
              <w:marLeft w:val="0"/>
              <w:marRight w:val="0"/>
              <w:marTop w:val="0"/>
              <w:marBottom w:val="0"/>
              <w:divBdr>
                <w:top w:val="none" w:sz="0" w:space="0" w:color="auto"/>
                <w:left w:val="none" w:sz="0" w:space="0" w:color="auto"/>
                <w:bottom w:val="none" w:sz="0" w:space="0" w:color="auto"/>
                <w:right w:val="none" w:sz="0" w:space="0" w:color="auto"/>
              </w:divBdr>
            </w:div>
          </w:divsChild>
        </w:div>
        <w:div w:id="2062318434">
          <w:marLeft w:val="0"/>
          <w:marRight w:val="0"/>
          <w:marTop w:val="0"/>
          <w:marBottom w:val="0"/>
          <w:divBdr>
            <w:top w:val="none" w:sz="0" w:space="0" w:color="auto"/>
            <w:left w:val="none" w:sz="0" w:space="0" w:color="auto"/>
            <w:bottom w:val="none" w:sz="0" w:space="0" w:color="auto"/>
            <w:right w:val="none" w:sz="0" w:space="0" w:color="auto"/>
          </w:divBdr>
          <w:divsChild>
            <w:div w:id="1717657743">
              <w:marLeft w:val="0"/>
              <w:marRight w:val="0"/>
              <w:marTop w:val="0"/>
              <w:marBottom w:val="0"/>
              <w:divBdr>
                <w:top w:val="none" w:sz="0" w:space="0" w:color="auto"/>
                <w:left w:val="none" w:sz="0" w:space="0" w:color="auto"/>
                <w:bottom w:val="none" w:sz="0" w:space="0" w:color="auto"/>
                <w:right w:val="none" w:sz="0" w:space="0" w:color="auto"/>
              </w:divBdr>
            </w:div>
          </w:divsChild>
        </w:div>
        <w:div w:id="2070107525">
          <w:marLeft w:val="0"/>
          <w:marRight w:val="0"/>
          <w:marTop w:val="0"/>
          <w:marBottom w:val="0"/>
          <w:divBdr>
            <w:top w:val="none" w:sz="0" w:space="0" w:color="auto"/>
            <w:left w:val="none" w:sz="0" w:space="0" w:color="auto"/>
            <w:bottom w:val="none" w:sz="0" w:space="0" w:color="auto"/>
            <w:right w:val="none" w:sz="0" w:space="0" w:color="auto"/>
          </w:divBdr>
          <w:divsChild>
            <w:div w:id="2045521760">
              <w:marLeft w:val="0"/>
              <w:marRight w:val="0"/>
              <w:marTop w:val="0"/>
              <w:marBottom w:val="0"/>
              <w:divBdr>
                <w:top w:val="none" w:sz="0" w:space="0" w:color="auto"/>
                <w:left w:val="none" w:sz="0" w:space="0" w:color="auto"/>
                <w:bottom w:val="none" w:sz="0" w:space="0" w:color="auto"/>
                <w:right w:val="none" w:sz="0" w:space="0" w:color="auto"/>
              </w:divBdr>
            </w:div>
          </w:divsChild>
        </w:div>
        <w:div w:id="2102487694">
          <w:marLeft w:val="0"/>
          <w:marRight w:val="0"/>
          <w:marTop w:val="0"/>
          <w:marBottom w:val="0"/>
          <w:divBdr>
            <w:top w:val="none" w:sz="0" w:space="0" w:color="auto"/>
            <w:left w:val="none" w:sz="0" w:space="0" w:color="auto"/>
            <w:bottom w:val="none" w:sz="0" w:space="0" w:color="auto"/>
            <w:right w:val="none" w:sz="0" w:space="0" w:color="auto"/>
          </w:divBdr>
          <w:divsChild>
            <w:div w:id="1019164946">
              <w:marLeft w:val="0"/>
              <w:marRight w:val="0"/>
              <w:marTop w:val="0"/>
              <w:marBottom w:val="0"/>
              <w:divBdr>
                <w:top w:val="none" w:sz="0" w:space="0" w:color="auto"/>
                <w:left w:val="none" w:sz="0" w:space="0" w:color="auto"/>
                <w:bottom w:val="none" w:sz="0" w:space="0" w:color="auto"/>
                <w:right w:val="none" w:sz="0" w:space="0" w:color="auto"/>
              </w:divBdr>
            </w:div>
          </w:divsChild>
        </w:div>
        <w:div w:id="2114591359">
          <w:marLeft w:val="0"/>
          <w:marRight w:val="0"/>
          <w:marTop w:val="0"/>
          <w:marBottom w:val="0"/>
          <w:divBdr>
            <w:top w:val="none" w:sz="0" w:space="0" w:color="auto"/>
            <w:left w:val="none" w:sz="0" w:space="0" w:color="auto"/>
            <w:bottom w:val="none" w:sz="0" w:space="0" w:color="auto"/>
            <w:right w:val="none" w:sz="0" w:space="0" w:color="auto"/>
          </w:divBdr>
          <w:divsChild>
            <w:div w:id="1680043309">
              <w:marLeft w:val="0"/>
              <w:marRight w:val="0"/>
              <w:marTop w:val="0"/>
              <w:marBottom w:val="0"/>
              <w:divBdr>
                <w:top w:val="none" w:sz="0" w:space="0" w:color="auto"/>
                <w:left w:val="none" w:sz="0" w:space="0" w:color="auto"/>
                <w:bottom w:val="none" w:sz="0" w:space="0" w:color="auto"/>
                <w:right w:val="none" w:sz="0" w:space="0" w:color="auto"/>
              </w:divBdr>
            </w:div>
          </w:divsChild>
        </w:div>
        <w:div w:id="2132895094">
          <w:marLeft w:val="0"/>
          <w:marRight w:val="0"/>
          <w:marTop w:val="0"/>
          <w:marBottom w:val="0"/>
          <w:divBdr>
            <w:top w:val="none" w:sz="0" w:space="0" w:color="auto"/>
            <w:left w:val="none" w:sz="0" w:space="0" w:color="auto"/>
            <w:bottom w:val="none" w:sz="0" w:space="0" w:color="auto"/>
            <w:right w:val="none" w:sz="0" w:space="0" w:color="auto"/>
          </w:divBdr>
          <w:divsChild>
            <w:div w:id="1803421409">
              <w:marLeft w:val="0"/>
              <w:marRight w:val="0"/>
              <w:marTop w:val="0"/>
              <w:marBottom w:val="0"/>
              <w:divBdr>
                <w:top w:val="none" w:sz="0" w:space="0" w:color="auto"/>
                <w:left w:val="none" w:sz="0" w:space="0" w:color="auto"/>
                <w:bottom w:val="none" w:sz="0" w:space="0" w:color="auto"/>
                <w:right w:val="none" w:sz="0" w:space="0" w:color="auto"/>
              </w:divBdr>
            </w:div>
          </w:divsChild>
        </w:div>
        <w:div w:id="2136829798">
          <w:marLeft w:val="0"/>
          <w:marRight w:val="0"/>
          <w:marTop w:val="0"/>
          <w:marBottom w:val="0"/>
          <w:divBdr>
            <w:top w:val="none" w:sz="0" w:space="0" w:color="auto"/>
            <w:left w:val="none" w:sz="0" w:space="0" w:color="auto"/>
            <w:bottom w:val="none" w:sz="0" w:space="0" w:color="auto"/>
            <w:right w:val="none" w:sz="0" w:space="0" w:color="auto"/>
          </w:divBdr>
          <w:divsChild>
            <w:div w:id="20889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89691">
      <w:bodyDiv w:val="1"/>
      <w:marLeft w:val="0"/>
      <w:marRight w:val="0"/>
      <w:marTop w:val="0"/>
      <w:marBottom w:val="0"/>
      <w:divBdr>
        <w:top w:val="none" w:sz="0" w:space="0" w:color="auto"/>
        <w:left w:val="none" w:sz="0" w:space="0" w:color="auto"/>
        <w:bottom w:val="none" w:sz="0" w:space="0" w:color="auto"/>
        <w:right w:val="none" w:sz="0" w:space="0" w:color="auto"/>
      </w:divBdr>
      <w:divsChild>
        <w:div w:id="1282345004">
          <w:marLeft w:val="0"/>
          <w:marRight w:val="0"/>
          <w:marTop w:val="0"/>
          <w:marBottom w:val="0"/>
          <w:divBdr>
            <w:top w:val="none" w:sz="0" w:space="0" w:color="auto"/>
            <w:left w:val="none" w:sz="0" w:space="0" w:color="auto"/>
            <w:bottom w:val="none" w:sz="0" w:space="0" w:color="auto"/>
            <w:right w:val="none" w:sz="0" w:space="0" w:color="auto"/>
          </w:divBdr>
        </w:div>
      </w:divsChild>
    </w:div>
    <w:div w:id="2124181553">
      <w:bodyDiv w:val="1"/>
      <w:marLeft w:val="0"/>
      <w:marRight w:val="0"/>
      <w:marTop w:val="0"/>
      <w:marBottom w:val="0"/>
      <w:divBdr>
        <w:top w:val="none" w:sz="0" w:space="0" w:color="auto"/>
        <w:left w:val="none" w:sz="0" w:space="0" w:color="auto"/>
        <w:bottom w:val="none" w:sz="0" w:space="0" w:color="auto"/>
        <w:right w:val="none" w:sz="0" w:space="0" w:color="auto"/>
      </w:divBdr>
    </w:div>
    <w:div w:id="2125151635">
      <w:bodyDiv w:val="1"/>
      <w:marLeft w:val="0"/>
      <w:marRight w:val="0"/>
      <w:marTop w:val="0"/>
      <w:marBottom w:val="0"/>
      <w:divBdr>
        <w:top w:val="none" w:sz="0" w:space="0" w:color="auto"/>
        <w:left w:val="none" w:sz="0" w:space="0" w:color="auto"/>
        <w:bottom w:val="none" w:sz="0" w:space="0" w:color="auto"/>
        <w:right w:val="none" w:sz="0" w:space="0" w:color="auto"/>
      </w:divBdr>
    </w:div>
    <w:div w:id="2127036498">
      <w:bodyDiv w:val="1"/>
      <w:marLeft w:val="0"/>
      <w:marRight w:val="0"/>
      <w:marTop w:val="0"/>
      <w:marBottom w:val="0"/>
      <w:divBdr>
        <w:top w:val="none" w:sz="0" w:space="0" w:color="auto"/>
        <w:left w:val="none" w:sz="0" w:space="0" w:color="auto"/>
        <w:bottom w:val="none" w:sz="0" w:space="0" w:color="auto"/>
        <w:right w:val="none" w:sz="0" w:space="0" w:color="auto"/>
      </w:divBdr>
    </w:div>
    <w:div w:id="2133551094">
      <w:bodyDiv w:val="1"/>
      <w:marLeft w:val="0"/>
      <w:marRight w:val="0"/>
      <w:marTop w:val="0"/>
      <w:marBottom w:val="0"/>
      <w:divBdr>
        <w:top w:val="none" w:sz="0" w:space="0" w:color="auto"/>
        <w:left w:val="none" w:sz="0" w:space="0" w:color="auto"/>
        <w:bottom w:val="none" w:sz="0" w:space="0" w:color="auto"/>
        <w:right w:val="none" w:sz="0" w:space="0" w:color="auto"/>
      </w:divBdr>
    </w:div>
    <w:div w:id="2137484388">
      <w:bodyDiv w:val="1"/>
      <w:marLeft w:val="0"/>
      <w:marRight w:val="0"/>
      <w:marTop w:val="0"/>
      <w:marBottom w:val="0"/>
      <w:divBdr>
        <w:top w:val="none" w:sz="0" w:space="0" w:color="auto"/>
        <w:left w:val="none" w:sz="0" w:space="0" w:color="auto"/>
        <w:bottom w:val="none" w:sz="0" w:space="0" w:color="auto"/>
        <w:right w:val="none" w:sz="0" w:space="0" w:color="auto"/>
      </w:divBdr>
    </w:div>
    <w:div w:id="2137795805">
      <w:bodyDiv w:val="1"/>
      <w:marLeft w:val="0"/>
      <w:marRight w:val="0"/>
      <w:marTop w:val="0"/>
      <w:marBottom w:val="0"/>
      <w:divBdr>
        <w:top w:val="none" w:sz="0" w:space="0" w:color="auto"/>
        <w:left w:val="none" w:sz="0" w:space="0" w:color="auto"/>
        <w:bottom w:val="none" w:sz="0" w:space="0" w:color="auto"/>
        <w:right w:val="none" w:sz="0" w:space="0" w:color="auto"/>
      </w:divBdr>
    </w:div>
    <w:div w:id="2141219141">
      <w:bodyDiv w:val="1"/>
      <w:marLeft w:val="0"/>
      <w:marRight w:val="0"/>
      <w:marTop w:val="0"/>
      <w:marBottom w:val="0"/>
      <w:divBdr>
        <w:top w:val="none" w:sz="0" w:space="0" w:color="auto"/>
        <w:left w:val="none" w:sz="0" w:space="0" w:color="auto"/>
        <w:bottom w:val="none" w:sz="0" w:space="0" w:color="auto"/>
        <w:right w:val="none" w:sz="0" w:space="0" w:color="auto"/>
      </w:divBdr>
    </w:div>
    <w:div w:id="2143957156">
      <w:bodyDiv w:val="1"/>
      <w:marLeft w:val="0"/>
      <w:marRight w:val="0"/>
      <w:marTop w:val="0"/>
      <w:marBottom w:val="0"/>
      <w:divBdr>
        <w:top w:val="none" w:sz="0" w:space="0" w:color="auto"/>
        <w:left w:val="none" w:sz="0" w:space="0" w:color="auto"/>
        <w:bottom w:val="none" w:sz="0" w:space="0" w:color="auto"/>
        <w:right w:val="none" w:sz="0" w:space="0" w:color="auto"/>
      </w:divBdr>
    </w:div>
    <w:div w:id="2146459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header" Target="header12.xml"/><Relationship Id="rId21" Type="http://schemas.openxmlformats.org/officeDocument/2006/relationships/footer" Target="footer5.xml"/><Relationship Id="rId34" Type="http://schemas.openxmlformats.org/officeDocument/2006/relationships/footer" Target="footer9.xml"/><Relationship Id="rId42" Type="http://schemas.openxmlformats.org/officeDocument/2006/relationships/footer" Target="footer13.xml"/><Relationship Id="rId47" Type="http://schemas.openxmlformats.org/officeDocument/2006/relationships/header" Target="header16.xml"/><Relationship Id="rId50" Type="http://schemas.openxmlformats.org/officeDocument/2006/relationships/image" Target="media/image8.png"/><Relationship Id="rId55" Type="http://schemas.openxmlformats.org/officeDocument/2006/relationships/footer" Target="footer17.xml"/><Relationship Id="rId63" Type="http://schemas.openxmlformats.org/officeDocument/2006/relationships/header" Target="header2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5.xml"/><Relationship Id="rId53" Type="http://schemas.openxmlformats.org/officeDocument/2006/relationships/image" Target="media/image11.png"/><Relationship Id="rId58" Type="http://schemas.openxmlformats.org/officeDocument/2006/relationships/image" Target="media/image12.png"/><Relationship Id="rId66" Type="http://schemas.openxmlformats.org/officeDocument/2006/relationships/footer" Target="footer2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footer" Target="footer10.xml"/><Relationship Id="rId49" Type="http://schemas.openxmlformats.org/officeDocument/2006/relationships/image" Target="media/image7.png"/><Relationship Id="rId57" Type="http://schemas.openxmlformats.org/officeDocument/2006/relationships/footer" Target="footer18.xml"/><Relationship Id="rId61"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7.xml"/><Relationship Id="rId44" Type="http://schemas.openxmlformats.org/officeDocument/2006/relationships/footer" Target="footer14.xml"/><Relationship Id="rId52" Type="http://schemas.openxmlformats.org/officeDocument/2006/relationships/image" Target="media/image10.png"/><Relationship Id="rId60" Type="http://schemas.openxmlformats.org/officeDocument/2006/relationships/footer" Target="footer19.xml"/><Relationship Id="rId65" Type="http://schemas.openxmlformats.org/officeDocument/2006/relationships/header" Target="header2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footer" Target="footer16.xml"/><Relationship Id="rId56" Type="http://schemas.openxmlformats.org/officeDocument/2006/relationships/header" Target="header18.xml"/><Relationship Id="rId64" Type="http://schemas.openxmlformats.org/officeDocument/2006/relationships/footer" Target="footer21.xml"/><Relationship Id="rId8" Type="http://schemas.openxmlformats.org/officeDocument/2006/relationships/webSettings" Target="webSettings.xml"/><Relationship Id="rId51"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footer" Target="footer15.xml"/><Relationship Id="rId59" Type="http://schemas.openxmlformats.org/officeDocument/2006/relationships/header" Target="header19.xml"/><Relationship Id="rId67"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footer" Target="footer12.xml"/><Relationship Id="rId54" Type="http://schemas.openxmlformats.org/officeDocument/2006/relationships/header" Target="header17.xml"/><Relationship Id="rId62" Type="http://schemas.openxmlformats.org/officeDocument/2006/relationships/footer" Target="footer20.xml"/></Relationships>
</file>

<file path=word/_rels/footnotes.xml.rels><?xml version="1.0" encoding="UTF-8" standalone="yes"?>
<Relationships xmlns="http://schemas.openxmlformats.org/package/2006/relationships"><Relationship Id="rId26" Type="http://schemas.openxmlformats.org/officeDocument/2006/relationships/hyperlink" Target="https://docs.ted.europa.eu/api/latest/index.html" TargetMode="External"/><Relationship Id="rId21" Type="http://schemas.openxmlformats.org/officeDocument/2006/relationships/hyperlink" Target="https://www.cbre.com/insights/books/european-real-estate-market-outlook-2025/data-centres" TargetMode="External"/><Relationship Id="rId42" Type="http://schemas.openxmlformats.org/officeDocument/2006/relationships/hyperlink" Target="https://grow.google/intl/europe/courses-and-tools/?category=career&amp;topic=cloud-computing" TargetMode="External"/><Relationship Id="rId47" Type="http://schemas.openxmlformats.org/officeDocument/2006/relationships/hyperlink" Target="https://opentelemetry.io/" TargetMode="External"/><Relationship Id="rId63" Type="http://schemas.openxmlformats.org/officeDocument/2006/relationships/hyperlink" Target="https://digital-strategy.ec.europa.eu/en/policies/cloud-computing" TargetMode="External"/><Relationship Id="rId68" Type="http://schemas.openxmlformats.org/officeDocument/2006/relationships/hyperlink" Target="https://ec.europa.eu/eurostat/statistics-explained/index.php?title=Businesses_in_the_information_and_communication_services_sector" TargetMode="External"/><Relationship Id="rId84" Type="http://schemas.openxmlformats.org/officeDocument/2006/relationships/hyperlink" Target="https://www.mimit.gov.it/images/stories/documenti/ATTRAZIONE_DEI_DATA_CENTER_2025.pdf" TargetMode="External"/><Relationship Id="rId89" Type="http://schemas.openxmlformats.org/officeDocument/2006/relationships/hyperlink" Target="https://hdl.handle.net/10803/398024" TargetMode="External"/><Relationship Id="rId112" Type="http://schemas.openxmlformats.org/officeDocument/2006/relationships/hyperlink" Target="https://www.ovhcloud.com/en/public-cloud/" TargetMode="External"/><Relationship Id="rId2" Type="http://schemas.openxmlformats.org/officeDocument/2006/relationships/hyperlink" Target="https://www.iea.org/commentaries/overcoming-energy-constraints-is-key-to-delivering-on-europe-s-data-centre-goals" TargetMode="External"/><Relationship Id="rId16" Type="http://schemas.openxmlformats.org/officeDocument/2006/relationships/hyperlink" Target="https://www.mckinsey.com/industries/technology-media-and-telecommunications/our-insights/ai-power-expanding-data-center-capacity-to-meet-growing-demand" TargetMode="External"/><Relationship Id="rId29" Type="http://schemas.openxmlformats.org/officeDocument/2006/relationships/hyperlink" Target="https://eceuropaeu.sharepoint.com/teams/GRP-CNECT.E.29-DRAFTE2restricted/Crosscutting%20activities/Cloud%20and%20AI%20Development%20Act/Impact%20Assessment/RSB%20and%20ISSG%20meetings/RSB%20hearing/IA%20Resubmission/Docs%20to%20share/OECD%20Compendium%20of%20Productivity%20Indicators%202025" TargetMode="External"/><Relationship Id="rId107" Type="http://schemas.openxmlformats.org/officeDocument/2006/relationships/hyperlink" Target="https://european.cloud/2025/06/a-basic-look-at-pricing-of-european-cloud-vendors/" TargetMode="External"/><Relationship Id="rId11" Type="http://schemas.openxmlformats.org/officeDocument/2006/relationships/hyperlink" Target="https://www.rolandberger.com/en/Insights/Publications/State-of-the-European-data-centre-market.html" TargetMode="External"/><Relationship Id="rId24" Type="http://schemas.openxmlformats.org/officeDocument/2006/relationships/hyperlink" Target="https://ec.europa.eu/eurostat/web/nuts" TargetMode="External"/><Relationship Id="rId32" Type="http://schemas.openxmlformats.org/officeDocument/2006/relationships/hyperlink" Target="https://www.heise.de/en/news/Canadian-Court-OVHcloud-from-France-must-hand-over-user-data-11092029.html" TargetMode="External"/><Relationship Id="rId37" Type="http://schemas.openxmlformats.org/officeDocument/2006/relationships/hyperlink" Target="https://calculator.aws/" TargetMode="External"/><Relationship Id="rId40" Type="http://schemas.openxmlformats.org/officeDocument/2006/relationships/hyperlink" Target="https://aws.amazon.com/certification/" TargetMode="External"/><Relationship Id="rId45" Type="http://schemas.openxmlformats.org/officeDocument/2006/relationships/hyperlink" Target="https://destcert.com/resources/ccsp-certification-statistics" TargetMode="External"/><Relationship Id="rId53" Type="http://schemas.openxmlformats.org/officeDocument/2006/relationships/hyperlink" Target="https://assets.innovazione.gov.it/1631016901-strategiaclouditalia2021presentazione.pdf" TargetMode="External"/><Relationship Id="rId58" Type="http://schemas.openxmlformats.org/officeDocument/2006/relationships/hyperlink" Target="https://www.banquedesterritoires.fr/cybersecurite-la-transposition-de-la-directive-nis-2-examinee-le-11-mars-au-senat" TargetMode="External"/><Relationship Id="rId66" Type="http://schemas.openxmlformats.org/officeDocument/2006/relationships/hyperlink" Target="https://www.theregister.com/2025/12/19/airbus_sovereign_cloud/" TargetMode="External"/><Relationship Id="rId74" Type="http://schemas.openxmlformats.org/officeDocument/2006/relationships/hyperlink" Target="https://www.rdworldonline.com/how-much-does-amazon-invest-in-rd-heres-an-estimate/" TargetMode="External"/><Relationship Id="rId79" Type="http://schemas.openxmlformats.org/officeDocument/2006/relationships/hyperlink" Target="https://www.srgresearch.com/articles/european-cloud-providers-local-market-share-now-holds-steady-at-15" TargetMode="External"/><Relationship Id="rId87" Type="http://schemas.openxmlformats.org/officeDocument/2006/relationships/hyperlink" Target="https://julkaisut.valtioneuvosto.fi/items/454158c4-1f2e-4ea6-8f04-6313838ef553" TargetMode="External"/><Relationship Id="rId102" Type="http://schemas.openxmlformats.org/officeDocument/2006/relationships/hyperlink" Target="https://softwaremodernizationservices.com/costs/" TargetMode="External"/><Relationship Id="rId110" Type="http://schemas.openxmlformats.org/officeDocument/2006/relationships/hyperlink" Target="https://www.bcg.com/publications/2025/cloud-cover-price-sovereignty-demands-waste" TargetMode="External"/><Relationship Id="rId5" Type="http://schemas.openxmlformats.org/officeDocument/2006/relationships/hyperlink" Target="https://fortune.com/2025/10/07/data-centers-gdp-growth-zero-first-half-2025-jason-furman-harvard-economist/" TargetMode="External"/><Relationship Id="rId61" Type="http://schemas.openxmlformats.org/officeDocument/2006/relationships/hyperlink" Target="https://ec.europa.eu/info/funding-tenders/opportunities/portal/screen/opportunities/tender-details/14888" TargetMode="External"/><Relationship Id="rId82" Type="http://schemas.openxmlformats.org/officeDocument/2006/relationships/hyperlink" Target="https://www.entreprises.gouv.fr/files/files/Publications/2025/Guide/25112025__Guide%20Datacenters.pdf" TargetMode="External"/><Relationship Id="rId90" Type="http://schemas.openxmlformats.org/officeDocument/2006/relationships/hyperlink" Target="https://www.ibm.com/think/insights/7-rs-cloud-migration" TargetMode="External"/><Relationship Id="rId95" Type="http://schemas.openxmlformats.org/officeDocument/2006/relationships/hyperlink" Target="https://s3.eu-west-par.io.cloud.ovh.net/numerique-gouv-website/numerique-gouv-website/documents/Bilan_de_la_doctrine_cloud_au_centre_2025_JkBUfPZ.pdf?X-Amz-Algorithm=AWS4-HMAC-SHA256&amp;X-Amz-Credential=83d53d2d1ca64211b6b9581adffa67ce%2F20260331%2Feu-west-par%2Fs3%2Faws4_request&amp;X-Amz-Date=20260331T135237Z&amp;X-Amz-Expires=3600&amp;X-Amz-SignedHeaders=host&amp;X-Amz-Signature=5bf223398e89097727f0e59b1dad38a4cf53041af5bd96f524b369f9bd9fe817" TargetMode="External"/><Relationship Id="rId19" Type="http://schemas.openxmlformats.org/officeDocument/2006/relationships/hyperlink" Target="https://www.datacentermap.com/" TargetMode="External"/><Relationship Id="rId14" Type="http://schemas.openxmlformats.org/officeDocument/2006/relationships/hyperlink" Target="https://www.savills.co.uk/insight-and-opinion/savills-news/362723-0/european-data-centre-power-capacity-projected-to-rise-to-approximately-13-100-mw-by-2027" TargetMode="External"/><Relationship Id="rId22" Type="http://schemas.openxmlformats.org/officeDocument/2006/relationships/hyperlink" Target="https://taxsummaries.pwc.com/quick-charts/corporate-income-tax-cit-rates" TargetMode="External"/><Relationship Id="rId27" Type="http://schemas.openxmlformats.org/officeDocument/2006/relationships/hyperlink" Target="https://marketplace.fedramp.gov/products" TargetMode="External"/><Relationship Id="rId30" Type="http://schemas.openxmlformats.org/officeDocument/2006/relationships/hyperlink" Target="https://ec.europa.eu/commission/presscorner/api/files/document/print/en/ip_25_1115/IP_25_1115_EN.pdf" TargetMode="External"/><Relationship Id="rId35" Type="http://schemas.openxmlformats.org/officeDocument/2006/relationships/hyperlink" Target="https://www.researchgate.net/publication/324141982_The_Benefits_of_Cloud_Computing" TargetMode="External"/><Relationship Id="rId43" Type="http://schemas.openxmlformats.org/officeDocument/2006/relationships/hyperlink" Target="https://www.isc2.org/certifications/ccsp" TargetMode="External"/><Relationship Id="rId48" Type="http://schemas.openxmlformats.org/officeDocument/2006/relationships/hyperlink" Target="https://aws-otel.github.io/" TargetMode="External"/><Relationship Id="rId56" Type="http://schemas.openxmlformats.org/officeDocument/2006/relationships/hyperlink" Target="https://www.geekwire.com/2025/amazon-web-services-profits-squeezed-as-ai-arms-race-drives-spending-surge/" TargetMode="External"/><Relationship Id="rId64" Type="http://schemas.openxmlformats.org/officeDocument/2006/relationships/hyperlink" Target="https://my.idc.com/getdoc.jsp?containerId=prEUR253190125" TargetMode="External"/><Relationship Id="rId69" Type="http://schemas.openxmlformats.org/officeDocument/2006/relationships/hyperlink" Target="https://single-market-economy.ec.europa.eu/smes/sme-strategy-and-sme-friendly-business-conditions/sme-performance-review_en" TargetMode="External"/><Relationship Id="rId77" Type="http://schemas.openxmlformats.org/officeDocument/2006/relationships/hyperlink" Target="https://escholarship.org/uc/item/32d6m0d1" TargetMode="External"/><Relationship Id="rId100" Type="http://schemas.openxmlformats.org/officeDocument/2006/relationships/hyperlink" Target="https://www.groenewold-it.solutions/en/costs/cloud-migration" TargetMode="External"/><Relationship Id="rId105" Type="http://schemas.openxmlformats.org/officeDocument/2006/relationships/hyperlink" Target="https://www.ibm.com/think/insights/reimagining-application-modernization-migration-agentic" TargetMode="External"/><Relationship Id="rId113" Type="http://schemas.openxmlformats.org/officeDocument/2006/relationships/hyperlink" Target="https://www.ionos.com/" TargetMode="External"/><Relationship Id="rId8" Type="http://schemas.openxmlformats.org/officeDocument/2006/relationships/hyperlink" Target="https://ec.europa.eu/eurostat/statistics-explained/index.php?title=ICT_specialists_in_employment" TargetMode="External"/><Relationship Id="rId51" Type="http://schemas.openxmlformats.org/officeDocument/2006/relationships/hyperlink" Target="http://hbr.org/product/Free-and-Open-Source-Soft/an/724380-PDF-ENG" TargetMode="External"/><Relationship Id="rId72" Type="http://schemas.openxmlformats.org/officeDocument/2006/relationships/hyperlink" Target="https://www.acecloudhosting.com/blog/cloud-in-healthcare-industry-benefits-and-use-cases/" TargetMode="External"/><Relationship Id="rId80" Type="http://schemas.openxmlformats.org/officeDocument/2006/relationships/hyperlink" Target="https://www.statista.com/forecasts/963858/cloud-services-revenue-in-europe" TargetMode="External"/><Relationship Id="rId85" Type="http://schemas.openxmlformats.org/officeDocument/2006/relationships/hyperlink" Target="https://expresso.pt/economia/administracao-publica/2025-11-03-governo-anuncia-estrategia-nacional-de-centros-de-dados-para-alimentar-procura-por-inteligencia-artificial-e6b46575" TargetMode="External"/><Relationship Id="rId93" Type="http://schemas.openxmlformats.org/officeDocument/2006/relationships/hyperlink" Target="https://www.eulisa.europa.eu/sites/default/files/documents/ir-2024-06-spanishministry.pdf" TargetMode="External"/><Relationship Id="rId98" Type="http://schemas.openxmlformats.org/officeDocument/2006/relationships/hyperlink" Target="https://app.powerbi.com/view?r=eyJrIjoiNjhlYmE2M2EtZWFiMy00ZDc4LWE2MWMtOTQ2NDlmZTQ5YjExIiwidCI6IjlmOGMwZDc5LTNlODctNGNkMy05Nzk5LWMzNDQzMTQ2ZWE1ZSIsImMiOjh9" TargetMode="External"/><Relationship Id="rId3" Type="http://schemas.openxmlformats.org/officeDocument/2006/relationships/hyperlink" Target="https://www.acer.europa.eu/sites/default/files/documents/Publications/ACER-Monitoring-Report-2025-crosszonal-electricity-trade-capacities.pdf" TargetMode="External"/><Relationship Id="rId12" Type="http://schemas.openxmlformats.org/officeDocument/2006/relationships/hyperlink" Target="https://pdf.euro.savills.co.uk/european/european-commercial-markets/spotlight-eu-data-centre---november-2022-.pdf" TargetMode="External"/><Relationship Id="rId17" Type="http://schemas.openxmlformats.org/officeDocument/2006/relationships/hyperlink" Target="https://www.icis.com/explore/resources/data-centres-hungry-for-power/" TargetMode="External"/><Relationship Id="rId25" Type="http://schemas.openxmlformats.org/officeDocument/2006/relationships/hyperlink" Target="https://docs.ted.europa.eu/api/latest/index.html" TargetMode="External"/><Relationship Id="rId33" Type="http://schemas.openxmlformats.org/officeDocument/2006/relationships/hyperlink" Target="https://chmura.gov.pl/zuch/static/media/Cloud%20in%20Government%20Services_Final%20%5BENG%5D.pdf?" TargetMode="External"/><Relationship Id="rId38" Type="http://schemas.openxmlformats.org/officeDocument/2006/relationships/hyperlink" Target="https://escholarship.org/uc/item/32d6m0d1" TargetMode="External"/><Relationship Id="rId46" Type="http://schemas.openxmlformats.org/officeDocument/2006/relationships/hyperlink" Target="https://aws.amazon.com/certification/" TargetMode="External"/><Relationship Id="rId59" Type="http://schemas.openxmlformats.org/officeDocument/2006/relationships/hyperlink" Target="https://www.public-procurement-data-space.europa.eu/en" TargetMode="External"/><Relationship Id="rId67" Type="http://schemas.openxmlformats.org/officeDocument/2006/relationships/hyperlink" Target="https://www.gminsights.com/industry-analysis/europe-cloud-computing-market" TargetMode="External"/><Relationship Id="rId103" Type="http://schemas.openxmlformats.org/officeDocument/2006/relationships/hyperlink" Target="file:///C:\Users\busutna\Downloads\cloudaware.com\blog\cloud-migration-costs" TargetMode="External"/><Relationship Id="rId108" Type="http://schemas.openxmlformats.org/officeDocument/2006/relationships/hyperlink" Target="https://www.dataminded.com/resources/cloud-independence-testing-a-european-cloud-provider-against-the-giants" TargetMode="External"/><Relationship Id="rId20" Type="http://schemas.openxmlformats.org/officeDocument/2006/relationships/hyperlink" Target="https://www.cbre.com/insights/reports/global-data-center-trends-2025" TargetMode="External"/><Relationship Id="rId41" Type="http://schemas.openxmlformats.org/officeDocument/2006/relationships/hyperlink" Target="https://learn.microsoft.com/en-us/credentials/browse/?credential_types=certification&amp;products=azure" TargetMode="External"/><Relationship Id="rId54" Type="http://schemas.openxmlformats.org/officeDocument/2006/relationships/hyperlink" Target="https://digital-strategy.ec.europa.eu/en/policies/simpl" TargetMode="External"/><Relationship Id="rId62" Type="http://schemas.openxmlformats.org/officeDocument/2006/relationships/hyperlink" Target="https://www.eea.europa.eu/en/analysis/indicators/greenhouse-gas-emission-intensity-of-1" TargetMode="External"/><Relationship Id="rId70" Type="http://schemas.openxmlformats.org/officeDocument/2006/relationships/hyperlink" Target="https://arxiv.org/abs/2509.14532?utm" TargetMode="External"/><Relationship Id="rId75" Type="http://schemas.openxmlformats.org/officeDocument/2006/relationships/hyperlink" Target="https://cordis.europa.eu/project/id/644666" TargetMode="External"/><Relationship Id="rId83" Type="http://schemas.openxmlformats.org/officeDocument/2006/relationships/hyperlink" Target="https://bmds.bund.de/themen/digitale-wirtschaft/nationale-rechenzentrumsstrategie" TargetMode="External"/><Relationship Id="rId88" Type="http://schemas.openxmlformats.org/officeDocument/2006/relationships/hyperlink" Target="https://portal.mineco.gob.es/es-es/digitalizacionIA/Documents/Estrategia_IA_2024.pdf" TargetMode="External"/><Relationship Id="rId91" Type="http://schemas.openxmlformats.org/officeDocument/2006/relationships/hyperlink" Target="https://doi.org/10.1186/s13677-022-00367-6" TargetMode="External"/><Relationship Id="rId96" Type="http://schemas.openxmlformats.org/officeDocument/2006/relationships/hyperlink" Target="https://espanadigital.gob.es/sites/espanadigital/files/2025-06/Espa&#241;a%20Digital%202026.pdf" TargetMode="External"/><Relationship Id="rId111" Type="http://schemas.openxmlformats.org/officeDocument/2006/relationships/hyperlink" Target="https://ec.europa.eu/eurostat/web/products-eurostat-news/w/ddn-20260203-1" TargetMode="External"/><Relationship Id="rId1" Type="http://schemas.openxmlformats.org/officeDocument/2006/relationships/hyperlink" Target="https://ec.europa.eu/info/law/better-regulation/have-your-say/initiatives/14628-AI-Continent-new-cloud-and-AI-development-act_en" TargetMode="External"/><Relationship Id="rId6" Type="http://schemas.openxmlformats.org/officeDocument/2006/relationships/hyperlink" Target="https://ec.europa.eu/eurostat/web/products-eurostat-news/w/ddn-20250328-1" TargetMode="External"/><Relationship Id="rId15" Type="http://schemas.openxmlformats.org/officeDocument/2006/relationships/hyperlink" Target="https://www.jll.com/en-uk/insights/emea-data-centre-report" TargetMode="External"/><Relationship Id="rId23" Type="http://schemas.openxmlformats.org/officeDocument/2006/relationships/hyperlink" Target="https://www.berec.europa.eu/en/all-documents/berec/reports/berec-report-on-wacc-parameter-calculations-according-to-the-european-commissions-wacc-notice-of-6th-november-2019-wacc-parameters-report-2025" TargetMode="External"/><Relationship Id="rId28" Type="http://schemas.openxmlformats.org/officeDocument/2006/relationships/hyperlink" Target="https://cyber.gouv.fr/sites/default/files/document/catalogue-produits-services-qualifies-agrees-certifies-anssi_0.pdf" TargetMode="External"/><Relationship Id="rId36" Type="http://schemas.openxmlformats.org/officeDocument/2006/relationships/hyperlink" Target="https://www.geekwire.com/2025/amazon-web-services-profits-squeezed-as-ai-arms-race-drives-spending-surge/" TargetMode="External"/><Relationship Id="rId49" Type="http://schemas.openxmlformats.org/officeDocument/2006/relationships/hyperlink" Target="https://github.com/orgs/italia/repositories" TargetMode="External"/><Relationship Id="rId57" Type="http://schemas.openxmlformats.org/officeDocument/2006/relationships/hyperlink" Target="https://eur-lex.europa.eu/LexUriServ/LexUriServ.do?uri=SWD:2025:0836:FIN:EN:PDF" TargetMode="External"/><Relationship Id="rId106" Type="http://schemas.openxmlformats.org/officeDocument/2006/relationships/hyperlink" Target="https://www.ibm.com/think/topics/low-code-vs-no-code" TargetMode="External"/><Relationship Id="rId114" Type="http://schemas.openxmlformats.org/officeDocument/2006/relationships/hyperlink" Target="https://stackit.com/en/products" TargetMode="External"/><Relationship Id="rId10" Type="http://schemas.openxmlformats.org/officeDocument/2006/relationships/hyperlink" Target="https://ec.europa.eu/eurostat/databrowser/view/lc_lci_lev__custom_20086615/default/table" TargetMode="External"/><Relationship Id="rId31" Type="http://schemas.openxmlformats.org/officeDocument/2006/relationships/hyperlink" Target="https://ec.europa.eu/info/funding-tenders/opportunities/docs/2021-2027/horizon/other/comm/ls-assessment-report-2024_en.pdf" TargetMode="External"/><Relationship Id="rId44" Type="http://schemas.openxmlformats.org/officeDocument/2006/relationships/hyperlink" Target="https://www.comptia.org/en-us/certifications/cloud/" TargetMode="External"/><Relationship Id="rId52" Type="http://schemas.openxmlformats.org/officeDocument/2006/relationships/hyperlink" Target="https://chmura.gov.pl/zuch/static/media/Cloud%20in%20Government%20Services_Final%20%5BENG%5D.pdf?" TargetMode="External"/><Relationship Id="rId60" Type="http://schemas.openxmlformats.org/officeDocument/2006/relationships/hyperlink" Target="https://digital-strategy.ec.europa.eu/en/policies/simpl" TargetMode="External"/><Relationship Id="rId65" Type="http://schemas.openxmlformats.org/officeDocument/2006/relationships/hyperlink" Target="https://dimensionmarketresearch.com/report/europe-cloud-computing-market/" TargetMode="External"/><Relationship Id="rId73" Type="http://schemas.openxmlformats.org/officeDocument/2006/relationships/hyperlink" Target="https://www.researchgate.net/publication/392073614_The_Impact_of_AI_on_SME_Financial_Decision-Making_Processes?" TargetMode="External"/><Relationship Id="rId78" Type="http://schemas.openxmlformats.org/officeDocument/2006/relationships/hyperlink" Target="https://www.iea.org/reports/energy-and-ai" TargetMode="External"/><Relationship Id="rId81" Type="http://schemas.openxmlformats.org/officeDocument/2006/relationships/hyperlink" Target="https://www.mobileeurope.co.uk/european-cloud-providers-tread-water-in-growing-market/" TargetMode="External"/><Relationship Id="rId86" Type="http://schemas.openxmlformats.org/officeDocument/2006/relationships/hyperlink" Target="https://open.overheid.nl/documenten/ronl-ee990385-1965-44fa-9bf1-a99262e46890/pdf" TargetMode="External"/><Relationship Id="rId94" Type="http://schemas.openxmlformats.org/officeDocument/2006/relationships/hyperlink" Target="https://avance.digital.gob.es/es-es/espana_digital/EspanaDigital_2026.pdf" TargetMode="External"/><Relationship Id="rId99" Type="http://schemas.openxmlformats.org/officeDocument/2006/relationships/hyperlink" Target="https://hdl.handle.net/10803/398024" TargetMode="External"/><Relationship Id="rId101" Type="http://schemas.openxmlformats.org/officeDocument/2006/relationships/hyperlink" Target="https://opsiocloud.com/blogs/cloud-migration-cost-analysis/" TargetMode="External"/><Relationship Id="rId4" Type="http://schemas.openxmlformats.org/officeDocument/2006/relationships/hyperlink" Target="https://julkaisut.valtioneuvosto.fi/server/api/core/bitstreams/057514dd-ba36-4fa4-b000-fce8f83e5183/content" TargetMode="External"/><Relationship Id="rId9" Type="http://schemas.openxmlformats.org/officeDocument/2006/relationships/hyperlink" Target="https://www.pwc.com/gx/en/issues/artificial-intelligence/ai-jobs-barometer.html" TargetMode="External"/><Relationship Id="rId13" Type="http://schemas.openxmlformats.org/officeDocument/2006/relationships/hyperlink" Target="https://pdf.euro.savills.co.uk/european/european-commercial-markets/spotlight-eu-data-centre---may-2024---final.pdf" TargetMode="External"/><Relationship Id="rId18" Type="http://schemas.openxmlformats.org/officeDocument/2006/relationships/hyperlink" Target="https://www.berec.europa.eu/system/files/2024-07/BoR%20(24)%20102%20BEREC_WACC%20parameters%20Report_2024_1.pdf.pdf" TargetMode="External"/><Relationship Id="rId39" Type="http://schemas.openxmlformats.org/officeDocument/2006/relationships/hyperlink" Target="https://ec.europa.eu/eurostat/web/nuts" TargetMode="External"/><Relationship Id="rId109" Type="http://schemas.openxmlformats.org/officeDocument/2006/relationships/hyperlink" Target="https://www.fromeuropewithlove.eu/en/blog/european-cloud-providers-vs-aws-comparison-2026" TargetMode="External"/><Relationship Id="rId34" Type="http://schemas.openxmlformats.org/officeDocument/2006/relationships/hyperlink" Target="https://assets.innovazione.gov.it/1631016901-strategiaclouditalia2021presentazione.pdf" TargetMode="External"/><Relationship Id="rId50" Type="http://schemas.openxmlformats.org/officeDocument/2006/relationships/hyperlink" Target="https://www.legifrance.gouv.fr/circulaire/id/35837" TargetMode="External"/><Relationship Id="rId55" Type="http://schemas.openxmlformats.org/officeDocument/2006/relationships/hyperlink" Target="https://www.researchgate.net/publication/324141982_The_Benefits_of_Cloud_Computing" TargetMode="External"/><Relationship Id="rId76" Type="http://schemas.openxmlformats.org/officeDocument/2006/relationships/hyperlink" Target="https://www.consilium.europa.eu/en/policies/path-to-the-digital-decade-the-eu-s-plan-to-achieve-a-digital-europe-by-2030/" TargetMode="External"/><Relationship Id="rId97" Type="http://schemas.openxmlformats.org/officeDocument/2006/relationships/hyperlink" Target="https://www.boe.es/diario_boe/txt.php?id=BOE-A-2026-4603" TargetMode="External"/><Relationship Id="rId104" Type="http://schemas.openxmlformats.org/officeDocument/2006/relationships/hyperlink" Target="https://opsiocloud.com/pl/blogs/cloud-migration-cost-analysis/" TargetMode="External"/><Relationship Id="rId7" Type="http://schemas.openxmlformats.org/officeDocument/2006/relationships/hyperlink" Target="https://ec.europa.eu/eurostat/databrowser/view/lc_lci_lev__custom_18030700/default/table" TargetMode="External"/><Relationship Id="rId71" Type="http://schemas.openxmlformats.org/officeDocument/2006/relationships/hyperlink" Target="https://www.sciencedirect.com/science/article/pii/S026840122400029X?utm" TargetMode="External"/><Relationship Id="rId92" Type="http://schemas.openxmlformats.org/officeDocument/2006/relationships/hyperlink" Target="https://s3.eu-west-par.io.cloud.ovh.net/numerique-gouv-website/numerique-gouv-website/documents/Bilan_de_la_doctrine_cloud_au_centre_2025_JkBUfPZ.pdf?X-Amz-Algorithm=AWS4-HMAC-SHA256&amp;X-Amz-Credential=83d53d2d1ca64211b6b9581adffa67ce%2F20260331%2Feu-west-par%2Fs3%2Faws4_request&amp;X-Amz-Date=20260331T135237Z&amp;X-Amz-Expires=3600&amp;X-Amz-SignedHeaders=host&amp;X-Amz-Signature=5bf223398e89097727f0e59b1dad38a4cf53041af5bd96f524b369f9bd9fe8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BB1AD-0C10-4DEB-AB45-717D8B5A8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8A7631-15C5-4247-A8A0-91BE011DA975}">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686B9AF6-07D9-4C8C-9DD1-80300EF47D12}">
  <ds:schemaRefs>
    <ds:schemaRef ds:uri="http://schemas.microsoft.com/sharepoint/v3/contenttype/forms"/>
  </ds:schemaRefs>
</ds:datastoreItem>
</file>

<file path=customXml/itemProps4.xml><?xml version="1.0" encoding="utf-8"?>
<ds:datastoreItem xmlns:ds="http://schemas.openxmlformats.org/officeDocument/2006/customXml" ds:itemID="{B6AD8DC6-6779-4203-9AA2-146FF5F58AD9}">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101844</Words>
  <Characters>580511</Characters>
  <Application>Microsoft Office Word</Application>
  <DocSecurity>0</DocSecurity>
  <Lines>4837</Lines>
  <Paragraphs>1361</Paragraphs>
  <ScaleCrop>false</ScaleCrop>
  <Manager/>
  <Company/>
  <LinksUpToDate>false</LinksUpToDate>
  <CharactersWithSpaces>680994</CharactersWithSpaces>
  <SharedDoc>false</SharedDoc>
  <HLinks>
    <vt:vector size="1248" baseType="variant">
      <vt:variant>
        <vt:i4>1441847</vt:i4>
      </vt:variant>
      <vt:variant>
        <vt:i4>560</vt:i4>
      </vt:variant>
      <vt:variant>
        <vt:i4>0</vt:i4>
      </vt:variant>
      <vt:variant>
        <vt:i4>5</vt:i4>
      </vt:variant>
      <vt:variant>
        <vt:lpwstr/>
      </vt:variant>
      <vt:variant>
        <vt:lpwstr>_Toc228346969</vt:lpwstr>
      </vt:variant>
      <vt:variant>
        <vt:i4>1441847</vt:i4>
      </vt:variant>
      <vt:variant>
        <vt:i4>554</vt:i4>
      </vt:variant>
      <vt:variant>
        <vt:i4>0</vt:i4>
      </vt:variant>
      <vt:variant>
        <vt:i4>5</vt:i4>
      </vt:variant>
      <vt:variant>
        <vt:lpwstr/>
      </vt:variant>
      <vt:variant>
        <vt:lpwstr>_Toc228346968</vt:lpwstr>
      </vt:variant>
      <vt:variant>
        <vt:i4>1441847</vt:i4>
      </vt:variant>
      <vt:variant>
        <vt:i4>548</vt:i4>
      </vt:variant>
      <vt:variant>
        <vt:i4>0</vt:i4>
      </vt:variant>
      <vt:variant>
        <vt:i4>5</vt:i4>
      </vt:variant>
      <vt:variant>
        <vt:lpwstr/>
      </vt:variant>
      <vt:variant>
        <vt:lpwstr>_Toc228346967</vt:lpwstr>
      </vt:variant>
      <vt:variant>
        <vt:i4>1441847</vt:i4>
      </vt:variant>
      <vt:variant>
        <vt:i4>542</vt:i4>
      </vt:variant>
      <vt:variant>
        <vt:i4>0</vt:i4>
      </vt:variant>
      <vt:variant>
        <vt:i4>5</vt:i4>
      </vt:variant>
      <vt:variant>
        <vt:lpwstr/>
      </vt:variant>
      <vt:variant>
        <vt:lpwstr>_Toc228346966</vt:lpwstr>
      </vt:variant>
      <vt:variant>
        <vt:i4>1441847</vt:i4>
      </vt:variant>
      <vt:variant>
        <vt:i4>536</vt:i4>
      </vt:variant>
      <vt:variant>
        <vt:i4>0</vt:i4>
      </vt:variant>
      <vt:variant>
        <vt:i4>5</vt:i4>
      </vt:variant>
      <vt:variant>
        <vt:lpwstr/>
      </vt:variant>
      <vt:variant>
        <vt:lpwstr>_Toc228346965</vt:lpwstr>
      </vt:variant>
      <vt:variant>
        <vt:i4>1441847</vt:i4>
      </vt:variant>
      <vt:variant>
        <vt:i4>530</vt:i4>
      </vt:variant>
      <vt:variant>
        <vt:i4>0</vt:i4>
      </vt:variant>
      <vt:variant>
        <vt:i4>5</vt:i4>
      </vt:variant>
      <vt:variant>
        <vt:lpwstr/>
      </vt:variant>
      <vt:variant>
        <vt:lpwstr>_Toc228346964</vt:lpwstr>
      </vt:variant>
      <vt:variant>
        <vt:i4>1441847</vt:i4>
      </vt:variant>
      <vt:variant>
        <vt:i4>524</vt:i4>
      </vt:variant>
      <vt:variant>
        <vt:i4>0</vt:i4>
      </vt:variant>
      <vt:variant>
        <vt:i4>5</vt:i4>
      </vt:variant>
      <vt:variant>
        <vt:lpwstr/>
      </vt:variant>
      <vt:variant>
        <vt:lpwstr>_Toc228346963</vt:lpwstr>
      </vt:variant>
      <vt:variant>
        <vt:i4>1441847</vt:i4>
      </vt:variant>
      <vt:variant>
        <vt:i4>518</vt:i4>
      </vt:variant>
      <vt:variant>
        <vt:i4>0</vt:i4>
      </vt:variant>
      <vt:variant>
        <vt:i4>5</vt:i4>
      </vt:variant>
      <vt:variant>
        <vt:lpwstr/>
      </vt:variant>
      <vt:variant>
        <vt:lpwstr>_Toc228346962</vt:lpwstr>
      </vt:variant>
      <vt:variant>
        <vt:i4>1441847</vt:i4>
      </vt:variant>
      <vt:variant>
        <vt:i4>512</vt:i4>
      </vt:variant>
      <vt:variant>
        <vt:i4>0</vt:i4>
      </vt:variant>
      <vt:variant>
        <vt:i4>5</vt:i4>
      </vt:variant>
      <vt:variant>
        <vt:lpwstr/>
      </vt:variant>
      <vt:variant>
        <vt:lpwstr>_Toc228346961</vt:lpwstr>
      </vt:variant>
      <vt:variant>
        <vt:i4>1441847</vt:i4>
      </vt:variant>
      <vt:variant>
        <vt:i4>506</vt:i4>
      </vt:variant>
      <vt:variant>
        <vt:i4>0</vt:i4>
      </vt:variant>
      <vt:variant>
        <vt:i4>5</vt:i4>
      </vt:variant>
      <vt:variant>
        <vt:lpwstr/>
      </vt:variant>
      <vt:variant>
        <vt:lpwstr>_Toc228346960</vt:lpwstr>
      </vt:variant>
      <vt:variant>
        <vt:i4>1376311</vt:i4>
      </vt:variant>
      <vt:variant>
        <vt:i4>500</vt:i4>
      </vt:variant>
      <vt:variant>
        <vt:i4>0</vt:i4>
      </vt:variant>
      <vt:variant>
        <vt:i4>5</vt:i4>
      </vt:variant>
      <vt:variant>
        <vt:lpwstr/>
      </vt:variant>
      <vt:variant>
        <vt:lpwstr>_Toc228346959</vt:lpwstr>
      </vt:variant>
      <vt:variant>
        <vt:i4>1376311</vt:i4>
      </vt:variant>
      <vt:variant>
        <vt:i4>494</vt:i4>
      </vt:variant>
      <vt:variant>
        <vt:i4>0</vt:i4>
      </vt:variant>
      <vt:variant>
        <vt:i4>5</vt:i4>
      </vt:variant>
      <vt:variant>
        <vt:lpwstr/>
      </vt:variant>
      <vt:variant>
        <vt:lpwstr>_Toc228346958</vt:lpwstr>
      </vt:variant>
      <vt:variant>
        <vt:i4>1376311</vt:i4>
      </vt:variant>
      <vt:variant>
        <vt:i4>488</vt:i4>
      </vt:variant>
      <vt:variant>
        <vt:i4>0</vt:i4>
      </vt:variant>
      <vt:variant>
        <vt:i4>5</vt:i4>
      </vt:variant>
      <vt:variant>
        <vt:lpwstr/>
      </vt:variant>
      <vt:variant>
        <vt:lpwstr>_Toc228346957</vt:lpwstr>
      </vt:variant>
      <vt:variant>
        <vt:i4>1376311</vt:i4>
      </vt:variant>
      <vt:variant>
        <vt:i4>482</vt:i4>
      </vt:variant>
      <vt:variant>
        <vt:i4>0</vt:i4>
      </vt:variant>
      <vt:variant>
        <vt:i4>5</vt:i4>
      </vt:variant>
      <vt:variant>
        <vt:lpwstr/>
      </vt:variant>
      <vt:variant>
        <vt:lpwstr>_Toc228346956</vt:lpwstr>
      </vt:variant>
      <vt:variant>
        <vt:i4>1376311</vt:i4>
      </vt:variant>
      <vt:variant>
        <vt:i4>476</vt:i4>
      </vt:variant>
      <vt:variant>
        <vt:i4>0</vt:i4>
      </vt:variant>
      <vt:variant>
        <vt:i4>5</vt:i4>
      </vt:variant>
      <vt:variant>
        <vt:lpwstr/>
      </vt:variant>
      <vt:variant>
        <vt:lpwstr>_Toc228346955</vt:lpwstr>
      </vt:variant>
      <vt:variant>
        <vt:i4>1376311</vt:i4>
      </vt:variant>
      <vt:variant>
        <vt:i4>470</vt:i4>
      </vt:variant>
      <vt:variant>
        <vt:i4>0</vt:i4>
      </vt:variant>
      <vt:variant>
        <vt:i4>5</vt:i4>
      </vt:variant>
      <vt:variant>
        <vt:lpwstr/>
      </vt:variant>
      <vt:variant>
        <vt:lpwstr>_Toc228346954</vt:lpwstr>
      </vt:variant>
      <vt:variant>
        <vt:i4>1376311</vt:i4>
      </vt:variant>
      <vt:variant>
        <vt:i4>464</vt:i4>
      </vt:variant>
      <vt:variant>
        <vt:i4>0</vt:i4>
      </vt:variant>
      <vt:variant>
        <vt:i4>5</vt:i4>
      </vt:variant>
      <vt:variant>
        <vt:lpwstr/>
      </vt:variant>
      <vt:variant>
        <vt:lpwstr>_Toc228346953</vt:lpwstr>
      </vt:variant>
      <vt:variant>
        <vt:i4>1376311</vt:i4>
      </vt:variant>
      <vt:variant>
        <vt:i4>458</vt:i4>
      </vt:variant>
      <vt:variant>
        <vt:i4>0</vt:i4>
      </vt:variant>
      <vt:variant>
        <vt:i4>5</vt:i4>
      </vt:variant>
      <vt:variant>
        <vt:lpwstr/>
      </vt:variant>
      <vt:variant>
        <vt:lpwstr>_Toc228346952</vt:lpwstr>
      </vt:variant>
      <vt:variant>
        <vt:i4>1376311</vt:i4>
      </vt:variant>
      <vt:variant>
        <vt:i4>452</vt:i4>
      </vt:variant>
      <vt:variant>
        <vt:i4>0</vt:i4>
      </vt:variant>
      <vt:variant>
        <vt:i4>5</vt:i4>
      </vt:variant>
      <vt:variant>
        <vt:lpwstr/>
      </vt:variant>
      <vt:variant>
        <vt:lpwstr>_Toc228346951</vt:lpwstr>
      </vt:variant>
      <vt:variant>
        <vt:i4>1376311</vt:i4>
      </vt:variant>
      <vt:variant>
        <vt:i4>446</vt:i4>
      </vt:variant>
      <vt:variant>
        <vt:i4>0</vt:i4>
      </vt:variant>
      <vt:variant>
        <vt:i4>5</vt:i4>
      </vt:variant>
      <vt:variant>
        <vt:lpwstr/>
      </vt:variant>
      <vt:variant>
        <vt:lpwstr>_Toc228346950</vt:lpwstr>
      </vt:variant>
      <vt:variant>
        <vt:i4>1310775</vt:i4>
      </vt:variant>
      <vt:variant>
        <vt:i4>440</vt:i4>
      </vt:variant>
      <vt:variant>
        <vt:i4>0</vt:i4>
      </vt:variant>
      <vt:variant>
        <vt:i4>5</vt:i4>
      </vt:variant>
      <vt:variant>
        <vt:lpwstr/>
      </vt:variant>
      <vt:variant>
        <vt:lpwstr>_Toc228346949</vt:lpwstr>
      </vt:variant>
      <vt:variant>
        <vt:i4>1310775</vt:i4>
      </vt:variant>
      <vt:variant>
        <vt:i4>434</vt:i4>
      </vt:variant>
      <vt:variant>
        <vt:i4>0</vt:i4>
      </vt:variant>
      <vt:variant>
        <vt:i4>5</vt:i4>
      </vt:variant>
      <vt:variant>
        <vt:lpwstr/>
      </vt:variant>
      <vt:variant>
        <vt:lpwstr>_Toc228346948</vt:lpwstr>
      </vt:variant>
      <vt:variant>
        <vt:i4>1310775</vt:i4>
      </vt:variant>
      <vt:variant>
        <vt:i4>428</vt:i4>
      </vt:variant>
      <vt:variant>
        <vt:i4>0</vt:i4>
      </vt:variant>
      <vt:variant>
        <vt:i4>5</vt:i4>
      </vt:variant>
      <vt:variant>
        <vt:lpwstr/>
      </vt:variant>
      <vt:variant>
        <vt:lpwstr>_Toc228346947</vt:lpwstr>
      </vt:variant>
      <vt:variant>
        <vt:i4>1310775</vt:i4>
      </vt:variant>
      <vt:variant>
        <vt:i4>422</vt:i4>
      </vt:variant>
      <vt:variant>
        <vt:i4>0</vt:i4>
      </vt:variant>
      <vt:variant>
        <vt:i4>5</vt:i4>
      </vt:variant>
      <vt:variant>
        <vt:lpwstr/>
      </vt:variant>
      <vt:variant>
        <vt:lpwstr>_Toc228346946</vt:lpwstr>
      </vt:variant>
      <vt:variant>
        <vt:i4>1310775</vt:i4>
      </vt:variant>
      <vt:variant>
        <vt:i4>416</vt:i4>
      </vt:variant>
      <vt:variant>
        <vt:i4>0</vt:i4>
      </vt:variant>
      <vt:variant>
        <vt:i4>5</vt:i4>
      </vt:variant>
      <vt:variant>
        <vt:lpwstr/>
      </vt:variant>
      <vt:variant>
        <vt:lpwstr>_Toc228346945</vt:lpwstr>
      </vt:variant>
      <vt:variant>
        <vt:i4>1310775</vt:i4>
      </vt:variant>
      <vt:variant>
        <vt:i4>410</vt:i4>
      </vt:variant>
      <vt:variant>
        <vt:i4>0</vt:i4>
      </vt:variant>
      <vt:variant>
        <vt:i4>5</vt:i4>
      </vt:variant>
      <vt:variant>
        <vt:lpwstr/>
      </vt:variant>
      <vt:variant>
        <vt:lpwstr>_Toc228346944</vt:lpwstr>
      </vt:variant>
      <vt:variant>
        <vt:i4>1310775</vt:i4>
      </vt:variant>
      <vt:variant>
        <vt:i4>404</vt:i4>
      </vt:variant>
      <vt:variant>
        <vt:i4>0</vt:i4>
      </vt:variant>
      <vt:variant>
        <vt:i4>5</vt:i4>
      </vt:variant>
      <vt:variant>
        <vt:lpwstr/>
      </vt:variant>
      <vt:variant>
        <vt:lpwstr>_Toc228346943</vt:lpwstr>
      </vt:variant>
      <vt:variant>
        <vt:i4>1310775</vt:i4>
      </vt:variant>
      <vt:variant>
        <vt:i4>398</vt:i4>
      </vt:variant>
      <vt:variant>
        <vt:i4>0</vt:i4>
      </vt:variant>
      <vt:variant>
        <vt:i4>5</vt:i4>
      </vt:variant>
      <vt:variant>
        <vt:lpwstr/>
      </vt:variant>
      <vt:variant>
        <vt:lpwstr>_Toc228346942</vt:lpwstr>
      </vt:variant>
      <vt:variant>
        <vt:i4>1310775</vt:i4>
      </vt:variant>
      <vt:variant>
        <vt:i4>392</vt:i4>
      </vt:variant>
      <vt:variant>
        <vt:i4>0</vt:i4>
      </vt:variant>
      <vt:variant>
        <vt:i4>5</vt:i4>
      </vt:variant>
      <vt:variant>
        <vt:lpwstr/>
      </vt:variant>
      <vt:variant>
        <vt:lpwstr>_Toc228346941</vt:lpwstr>
      </vt:variant>
      <vt:variant>
        <vt:i4>1310775</vt:i4>
      </vt:variant>
      <vt:variant>
        <vt:i4>386</vt:i4>
      </vt:variant>
      <vt:variant>
        <vt:i4>0</vt:i4>
      </vt:variant>
      <vt:variant>
        <vt:i4>5</vt:i4>
      </vt:variant>
      <vt:variant>
        <vt:lpwstr/>
      </vt:variant>
      <vt:variant>
        <vt:lpwstr>_Toc228346940</vt:lpwstr>
      </vt:variant>
      <vt:variant>
        <vt:i4>1245239</vt:i4>
      </vt:variant>
      <vt:variant>
        <vt:i4>380</vt:i4>
      </vt:variant>
      <vt:variant>
        <vt:i4>0</vt:i4>
      </vt:variant>
      <vt:variant>
        <vt:i4>5</vt:i4>
      </vt:variant>
      <vt:variant>
        <vt:lpwstr/>
      </vt:variant>
      <vt:variant>
        <vt:lpwstr>_Toc228346939</vt:lpwstr>
      </vt:variant>
      <vt:variant>
        <vt:i4>1245239</vt:i4>
      </vt:variant>
      <vt:variant>
        <vt:i4>374</vt:i4>
      </vt:variant>
      <vt:variant>
        <vt:i4>0</vt:i4>
      </vt:variant>
      <vt:variant>
        <vt:i4>5</vt:i4>
      </vt:variant>
      <vt:variant>
        <vt:lpwstr/>
      </vt:variant>
      <vt:variant>
        <vt:lpwstr>_Toc228346938</vt:lpwstr>
      </vt:variant>
      <vt:variant>
        <vt:i4>1245239</vt:i4>
      </vt:variant>
      <vt:variant>
        <vt:i4>368</vt:i4>
      </vt:variant>
      <vt:variant>
        <vt:i4>0</vt:i4>
      </vt:variant>
      <vt:variant>
        <vt:i4>5</vt:i4>
      </vt:variant>
      <vt:variant>
        <vt:lpwstr/>
      </vt:variant>
      <vt:variant>
        <vt:lpwstr>_Toc228346937</vt:lpwstr>
      </vt:variant>
      <vt:variant>
        <vt:i4>1245239</vt:i4>
      </vt:variant>
      <vt:variant>
        <vt:i4>362</vt:i4>
      </vt:variant>
      <vt:variant>
        <vt:i4>0</vt:i4>
      </vt:variant>
      <vt:variant>
        <vt:i4>5</vt:i4>
      </vt:variant>
      <vt:variant>
        <vt:lpwstr/>
      </vt:variant>
      <vt:variant>
        <vt:lpwstr>_Toc228346936</vt:lpwstr>
      </vt:variant>
      <vt:variant>
        <vt:i4>1245239</vt:i4>
      </vt:variant>
      <vt:variant>
        <vt:i4>356</vt:i4>
      </vt:variant>
      <vt:variant>
        <vt:i4>0</vt:i4>
      </vt:variant>
      <vt:variant>
        <vt:i4>5</vt:i4>
      </vt:variant>
      <vt:variant>
        <vt:lpwstr/>
      </vt:variant>
      <vt:variant>
        <vt:lpwstr>_Toc228346935</vt:lpwstr>
      </vt:variant>
      <vt:variant>
        <vt:i4>1245239</vt:i4>
      </vt:variant>
      <vt:variant>
        <vt:i4>350</vt:i4>
      </vt:variant>
      <vt:variant>
        <vt:i4>0</vt:i4>
      </vt:variant>
      <vt:variant>
        <vt:i4>5</vt:i4>
      </vt:variant>
      <vt:variant>
        <vt:lpwstr/>
      </vt:variant>
      <vt:variant>
        <vt:lpwstr>_Toc228346934</vt:lpwstr>
      </vt:variant>
      <vt:variant>
        <vt:i4>1245239</vt:i4>
      </vt:variant>
      <vt:variant>
        <vt:i4>344</vt:i4>
      </vt:variant>
      <vt:variant>
        <vt:i4>0</vt:i4>
      </vt:variant>
      <vt:variant>
        <vt:i4>5</vt:i4>
      </vt:variant>
      <vt:variant>
        <vt:lpwstr/>
      </vt:variant>
      <vt:variant>
        <vt:lpwstr>_Toc228346933</vt:lpwstr>
      </vt:variant>
      <vt:variant>
        <vt:i4>1245239</vt:i4>
      </vt:variant>
      <vt:variant>
        <vt:i4>338</vt:i4>
      </vt:variant>
      <vt:variant>
        <vt:i4>0</vt:i4>
      </vt:variant>
      <vt:variant>
        <vt:i4>5</vt:i4>
      </vt:variant>
      <vt:variant>
        <vt:lpwstr/>
      </vt:variant>
      <vt:variant>
        <vt:lpwstr>_Toc228346932</vt:lpwstr>
      </vt:variant>
      <vt:variant>
        <vt:i4>1245239</vt:i4>
      </vt:variant>
      <vt:variant>
        <vt:i4>332</vt:i4>
      </vt:variant>
      <vt:variant>
        <vt:i4>0</vt:i4>
      </vt:variant>
      <vt:variant>
        <vt:i4>5</vt:i4>
      </vt:variant>
      <vt:variant>
        <vt:lpwstr/>
      </vt:variant>
      <vt:variant>
        <vt:lpwstr>_Toc228346931</vt:lpwstr>
      </vt:variant>
      <vt:variant>
        <vt:i4>1245239</vt:i4>
      </vt:variant>
      <vt:variant>
        <vt:i4>326</vt:i4>
      </vt:variant>
      <vt:variant>
        <vt:i4>0</vt:i4>
      </vt:variant>
      <vt:variant>
        <vt:i4>5</vt:i4>
      </vt:variant>
      <vt:variant>
        <vt:lpwstr/>
      </vt:variant>
      <vt:variant>
        <vt:lpwstr>_Toc228346930</vt:lpwstr>
      </vt:variant>
      <vt:variant>
        <vt:i4>1179703</vt:i4>
      </vt:variant>
      <vt:variant>
        <vt:i4>320</vt:i4>
      </vt:variant>
      <vt:variant>
        <vt:i4>0</vt:i4>
      </vt:variant>
      <vt:variant>
        <vt:i4>5</vt:i4>
      </vt:variant>
      <vt:variant>
        <vt:lpwstr/>
      </vt:variant>
      <vt:variant>
        <vt:lpwstr>_Toc228346929</vt:lpwstr>
      </vt:variant>
      <vt:variant>
        <vt:i4>1179703</vt:i4>
      </vt:variant>
      <vt:variant>
        <vt:i4>314</vt:i4>
      </vt:variant>
      <vt:variant>
        <vt:i4>0</vt:i4>
      </vt:variant>
      <vt:variant>
        <vt:i4>5</vt:i4>
      </vt:variant>
      <vt:variant>
        <vt:lpwstr/>
      </vt:variant>
      <vt:variant>
        <vt:lpwstr>_Toc228346928</vt:lpwstr>
      </vt:variant>
      <vt:variant>
        <vt:i4>1179703</vt:i4>
      </vt:variant>
      <vt:variant>
        <vt:i4>308</vt:i4>
      </vt:variant>
      <vt:variant>
        <vt:i4>0</vt:i4>
      </vt:variant>
      <vt:variant>
        <vt:i4>5</vt:i4>
      </vt:variant>
      <vt:variant>
        <vt:lpwstr/>
      </vt:variant>
      <vt:variant>
        <vt:lpwstr>_Toc228346927</vt:lpwstr>
      </vt:variant>
      <vt:variant>
        <vt:i4>1179703</vt:i4>
      </vt:variant>
      <vt:variant>
        <vt:i4>302</vt:i4>
      </vt:variant>
      <vt:variant>
        <vt:i4>0</vt:i4>
      </vt:variant>
      <vt:variant>
        <vt:i4>5</vt:i4>
      </vt:variant>
      <vt:variant>
        <vt:lpwstr/>
      </vt:variant>
      <vt:variant>
        <vt:lpwstr>_Toc228346926</vt:lpwstr>
      </vt:variant>
      <vt:variant>
        <vt:i4>1179703</vt:i4>
      </vt:variant>
      <vt:variant>
        <vt:i4>296</vt:i4>
      </vt:variant>
      <vt:variant>
        <vt:i4>0</vt:i4>
      </vt:variant>
      <vt:variant>
        <vt:i4>5</vt:i4>
      </vt:variant>
      <vt:variant>
        <vt:lpwstr/>
      </vt:variant>
      <vt:variant>
        <vt:lpwstr>_Toc228346925</vt:lpwstr>
      </vt:variant>
      <vt:variant>
        <vt:i4>1179703</vt:i4>
      </vt:variant>
      <vt:variant>
        <vt:i4>290</vt:i4>
      </vt:variant>
      <vt:variant>
        <vt:i4>0</vt:i4>
      </vt:variant>
      <vt:variant>
        <vt:i4>5</vt:i4>
      </vt:variant>
      <vt:variant>
        <vt:lpwstr/>
      </vt:variant>
      <vt:variant>
        <vt:lpwstr>_Toc228346924</vt:lpwstr>
      </vt:variant>
      <vt:variant>
        <vt:i4>1179703</vt:i4>
      </vt:variant>
      <vt:variant>
        <vt:i4>284</vt:i4>
      </vt:variant>
      <vt:variant>
        <vt:i4>0</vt:i4>
      </vt:variant>
      <vt:variant>
        <vt:i4>5</vt:i4>
      </vt:variant>
      <vt:variant>
        <vt:lpwstr/>
      </vt:variant>
      <vt:variant>
        <vt:lpwstr>_Toc228346923</vt:lpwstr>
      </vt:variant>
      <vt:variant>
        <vt:i4>1179703</vt:i4>
      </vt:variant>
      <vt:variant>
        <vt:i4>278</vt:i4>
      </vt:variant>
      <vt:variant>
        <vt:i4>0</vt:i4>
      </vt:variant>
      <vt:variant>
        <vt:i4>5</vt:i4>
      </vt:variant>
      <vt:variant>
        <vt:lpwstr/>
      </vt:variant>
      <vt:variant>
        <vt:lpwstr>_Toc228346922</vt:lpwstr>
      </vt:variant>
      <vt:variant>
        <vt:i4>1179703</vt:i4>
      </vt:variant>
      <vt:variant>
        <vt:i4>272</vt:i4>
      </vt:variant>
      <vt:variant>
        <vt:i4>0</vt:i4>
      </vt:variant>
      <vt:variant>
        <vt:i4>5</vt:i4>
      </vt:variant>
      <vt:variant>
        <vt:lpwstr/>
      </vt:variant>
      <vt:variant>
        <vt:lpwstr>_Toc228346921</vt:lpwstr>
      </vt:variant>
      <vt:variant>
        <vt:i4>1179703</vt:i4>
      </vt:variant>
      <vt:variant>
        <vt:i4>266</vt:i4>
      </vt:variant>
      <vt:variant>
        <vt:i4>0</vt:i4>
      </vt:variant>
      <vt:variant>
        <vt:i4>5</vt:i4>
      </vt:variant>
      <vt:variant>
        <vt:lpwstr/>
      </vt:variant>
      <vt:variant>
        <vt:lpwstr>_Toc228346920</vt:lpwstr>
      </vt:variant>
      <vt:variant>
        <vt:i4>1114167</vt:i4>
      </vt:variant>
      <vt:variant>
        <vt:i4>260</vt:i4>
      </vt:variant>
      <vt:variant>
        <vt:i4>0</vt:i4>
      </vt:variant>
      <vt:variant>
        <vt:i4>5</vt:i4>
      </vt:variant>
      <vt:variant>
        <vt:lpwstr/>
      </vt:variant>
      <vt:variant>
        <vt:lpwstr>_Toc228346919</vt:lpwstr>
      </vt:variant>
      <vt:variant>
        <vt:i4>1114167</vt:i4>
      </vt:variant>
      <vt:variant>
        <vt:i4>254</vt:i4>
      </vt:variant>
      <vt:variant>
        <vt:i4>0</vt:i4>
      </vt:variant>
      <vt:variant>
        <vt:i4>5</vt:i4>
      </vt:variant>
      <vt:variant>
        <vt:lpwstr/>
      </vt:variant>
      <vt:variant>
        <vt:lpwstr>_Toc228346918</vt:lpwstr>
      </vt:variant>
      <vt:variant>
        <vt:i4>1114167</vt:i4>
      </vt:variant>
      <vt:variant>
        <vt:i4>248</vt:i4>
      </vt:variant>
      <vt:variant>
        <vt:i4>0</vt:i4>
      </vt:variant>
      <vt:variant>
        <vt:i4>5</vt:i4>
      </vt:variant>
      <vt:variant>
        <vt:lpwstr/>
      </vt:variant>
      <vt:variant>
        <vt:lpwstr>_Toc228346917</vt:lpwstr>
      </vt:variant>
      <vt:variant>
        <vt:i4>1114167</vt:i4>
      </vt:variant>
      <vt:variant>
        <vt:i4>242</vt:i4>
      </vt:variant>
      <vt:variant>
        <vt:i4>0</vt:i4>
      </vt:variant>
      <vt:variant>
        <vt:i4>5</vt:i4>
      </vt:variant>
      <vt:variant>
        <vt:lpwstr/>
      </vt:variant>
      <vt:variant>
        <vt:lpwstr>_Toc228346916</vt:lpwstr>
      </vt:variant>
      <vt:variant>
        <vt:i4>1114167</vt:i4>
      </vt:variant>
      <vt:variant>
        <vt:i4>236</vt:i4>
      </vt:variant>
      <vt:variant>
        <vt:i4>0</vt:i4>
      </vt:variant>
      <vt:variant>
        <vt:i4>5</vt:i4>
      </vt:variant>
      <vt:variant>
        <vt:lpwstr/>
      </vt:variant>
      <vt:variant>
        <vt:lpwstr>_Toc228346915</vt:lpwstr>
      </vt:variant>
      <vt:variant>
        <vt:i4>1114167</vt:i4>
      </vt:variant>
      <vt:variant>
        <vt:i4>230</vt:i4>
      </vt:variant>
      <vt:variant>
        <vt:i4>0</vt:i4>
      </vt:variant>
      <vt:variant>
        <vt:i4>5</vt:i4>
      </vt:variant>
      <vt:variant>
        <vt:lpwstr/>
      </vt:variant>
      <vt:variant>
        <vt:lpwstr>_Toc228346914</vt:lpwstr>
      </vt:variant>
      <vt:variant>
        <vt:i4>1114167</vt:i4>
      </vt:variant>
      <vt:variant>
        <vt:i4>224</vt:i4>
      </vt:variant>
      <vt:variant>
        <vt:i4>0</vt:i4>
      </vt:variant>
      <vt:variant>
        <vt:i4>5</vt:i4>
      </vt:variant>
      <vt:variant>
        <vt:lpwstr/>
      </vt:variant>
      <vt:variant>
        <vt:lpwstr>_Toc228346913</vt:lpwstr>
      </vt:variant>
      <vt:variant>
        <vt:i4>1114167</vt:i4>
      </vt:variant>
      <vt:variant>
        <vt:i4>218</vt:i4>
      </vt:variant>
      <vt:variant>
        <vt:i4>0</vt:i4>
      </vt:variant>
      <vt:variant>
        <vt:i4>5</vt:i4>
      </vt:variant>
      <vt:variant>
        <vt:lpwstr/>
      </vt:variant>
      <vt:variant>
        <vt:lpwstr>_Toc228346912</vt:lpwstr>
      </vt:variant>
      <vt:variant>
        <vt:i4>1114167</vt:i4>
      </vt:variant>
      <vt:variant>
        <vt:i4>212</vt:i4>
      </vt:variant>
      <vt:variant>
        <vt:i4>0</vt:i4>
      </vt:variant>
      <vt:variant>
        <vt:i4>5</vt:i4>
      </vt:variant>
      <vt:variant>
        <vt:lpwstr/>
      </vt:variant>
      <vt:variant>
        <vt:lpwstr>_Toc228346911</vt:lpwstr>
      </vt:variant>
      <vt:variant>
        <vt:i4>1114167</vt:i4>
      </vt:variant>
      <vt:variant>
        <vt:i4>206</vt:i4>
      </vt:variant>
      <vt:variant>
        <vt:i4>0</vt:i4>
      </vt:variant>
      <vt:variant>
        <vt:i4>5</vt:i4>
      </vt:variant>
      <vt:variant>
        <vt:lpwstr/>
      </vt:variant>
      <vt:variant>
        <vt:lpwstr>_Toc228346910</vt:lpwstr>
      </vt:variant>
      <vt:variant>
        <vt:i4>1048631</vt:i4>
      </vt:variant>
      <vt:variant>
        <vt:i4>200</vt:i4>
      </vt:variant>
      <vt:variant>
        <vt:i4>0</vt:i4>
      </vt:variant>
      <vt:variant>
        <vt:i4>5</vt:i4>
      </vt:variant>
      <vt:variant>
        <vt:lpwstr/>
      </vt:variant>
      <vt:variant>
        <vt:lpwstr>_Toc228346909</vt:lpwstr>
      </vt:variant>
      <vt:variant>
        <vt:i4>1048631</vt:i4>
      </vt:variant>
      <vt:variant>
        <vt:i4>194</vt:i4>
      </vt:variant>
      <vt:variant>
        <vt:i4>0</vt:i4>
      </vt:variant>
      <vt:variant>
        <vt:i4>5</vt:i4>
      </vt:variant>
      <vt:variant>
        <vt:lpwstr/>
      </vt:variant>
      <vt:variant>
        <vt:lpwstr>_Toc228346908</vt:lpwstr>
      </vt:variant>
      <vt:variant>
        <vt:i4>1048631</vt:i4>
      </vt:variant>
      <vt:variant>
        <vt:i4>188</vt:i4>
      </vt:variant>
      <vt:variant>
        <vt:i4>0</vt:i4>
      </vt:variant>
      <vt:variant>
        <vt:i4>5</vt:i4>
      </vt:variant>
      <vt:variant>
        <vt:lpwstr/>
      </vt:variant>
      <vt:variant>
        <vt:lpwstr>_Toc228346907</vt:lpwstr>
      </vt:variant>
      <vt:variant>
        <vt:i4>1048631</vt:i4>
      </vt:variant>
      <vt:variant>
        <vt:i4>182</vt:i4>
      </vt:variant>
      <vt:variant>
        <vt:i4>0</vt:i4>
      </vt:variant>
      <vt:variant>
        <vt:i4>5</vt:i4>
      </vt:variant>
      <vt:variant>
        <vt:lpwstr/>
      </vt:variant>
      <vt:variant>
        <vt:lpwstr>_Toc228346906</vt:lpwstr>
      </vt:variant>
      <vt:variant>
        <vt:i4>1048631</vt:i4>
      </vt:variant>
      <vt:variant>
        <vt:i4>176</vt:i4>
      </vt:variant>
      <vt:variant>
        <vt:i4>0</vt:i4>
      </vt:variant>
      <vt:variant>
        <vt:i4>5</vt:i4>
      </vt:variant>
      <vt:variant>
        <vt:lpwstr/>
      </vt:variant>
      <vt:variant>
        <vt:lpwstr>_Toc228346905</vt:lpwstr>
      </vt:variant>
      <vt:variant>
        <vt:i4>1048631</vt:i4>
      </vt:variant>
      <vt:variant>
        <vt:i4>170</vt:i4>
      </vt:variant>
      <vt:variant>
        <vt:i4>0</vt:i4>
      </vt:variant>
      <vt:variant>
        <vt:i4>5</vt:i4>
      </vt:variant>
      <vt:variant>
        <vt:lpwstr/>
      </vt:variant>
      <vt:variant>
        <vt:lpwstr>_Toc228346904</vt:lpwstr>
      </vt:variant>
      <vt:variant>
        <vt:i4>1048631</vt:i4>
      </vt:variant>
      <vt:variant>
        <vt:i4>164</vt:i4>
      </vt:variant>
      <vt:variant>
        <vt:i4>0</vt:i4>
      </vt:variant>
      <vt:variant>
        <vt:i4>5</vt:i4>
      </vt:variant>
      <vt:variant>
        <vt:lpwstr/>
      </vt:variant>
      <vt:variant>
        <vt:lpwstr>_Toc228346903</vt:lpwstr>
      </vt:variant>
      <vt:variant>
        <vt:i4>1048631</vt:i4>
      </vt:variant>
      <vt:variant>
        <vt:i4>158</vt:i4>
      </vt:variant>
      <vt:variant>
        <vt:i4>0</vt:i4>
      </vt:variant>
      <vt:variant>
        <vt:i4>5</vt:i4>
      </vt:variant>
      <vt:variant>
        <vt:lpwstr/>
      </vt:variant>
      <vt:variant>
        <vt:lpwstr>_Toc228346902</vt:lpwstr>
      </vt:variant>
      <vt:variant>
        <vt:i4>1048631</vt:i4>
      </vt:variant>
      <vt:variant>
        <vt:i4>152</vt:i4>
      </vt:variant>
      <vt:variant>
        <vt:i4>0</vt:i4>
      </vt:variant>
      <vt:variant>
        <vt:i4>5</vt:i4>
      </vt:variant>
      <vt:variant>
        <vt:lpwstr/>
      </vt:variant>
      <vt:variant>
        <vt:lpwstr>_Toc228346901</vt:lpwstr>
      </vt:variant>
      <vt:variant>
        <vt:i4>1048631</vt:i4>
      </vt:variant>
      <vt:variant>
        <vt:i4>146</vt:i4>
      </vt:variant>
      <vt:variant>
        <vt:i4>0</vt:i4>
      </vt:variant>
      <vt:variant>
        <vt:i4>5</vt:i4>
      </vt:variant>
      <vt:variant>
        <vt:lpwstr/>
      </vt:variant>
      <vt:variant>
        <vt:lpwstr>_Toc228346900</vt:lpwstr>
      </vt:variant>
      <vt:variant>
        <vt:i4>1638454</vt:i4>
      </vt:variant>
      <vt:variant>
        <vt:i4>140</vt:i4>
      </vt:variant>
      <vt:variant>
        <vt:i4>0</vt:i4>
      </vt:variant>
      <vt:variant>
        <vt:i4>5</vt:i4>
      </vt:variant>
      <vt:variant>
        <vt:lpwstr/>
      </vt:variant>
      <vt:variant>
        <vt:lpwstr>_Toc228346899</vt:lpwstr>
      </vt:variant>
      <vt:variant>
        <vt:i4>1638454</vt:i4>
      </vt:variant>
      <vt:variant>
        <vt:i4>134</vt:i4>
      </vt:variant>
      <vt:variant>
        <vt:i4>0</vt:i4>
      </vt:variant>
      <vt:variant>
        <vt:i4>5</vt:i4>
      </vt:variant>
      <vt:variant>
        <vt:lpwstr/>
      </vt:variant>
      <vt:variant>
        <vt:lpwstr>_Toc228346898</vt:lpwstr>
      </vt:variant>
      <vt:variant>
        <vt:i4>1638454</vt:i4>
      </vt:variant>
      <vt:variant>
        <vt:i4>128</vt:i4>
      </vt:variant>
      <vt:variant>
        <vt:i4>0</vt:i4>
      </vt:variant>
      <vt:variant>
        <vt:i4>5</vt:i4>
      </vt:variant>
      <vt:variant>
        <vt:lpwstr/>
      </vt:variant>
      <vt:variant>
        <vt:lpwstr>_Toc228346897</vt:lpwstr>
      </vt:variant>
      <vt:variant>
        <vt:i4>1638454</vt:i4>
      </vt:variant>
      <vt:variant>
        <vt:i4>122</vt:i4>
      </vt:variant>
      <vt:variant>
        <vt:i4>0</vt:i4>
      </vt:variant>
      <vt:variant>
        <vt:i4>5</vt:i4>
      </vt:variant>
      <vt:variant>
        <vt:lpwstr/>
      </vt:variant>
      <vt:variant>
        <vt:lpwstr>_Toc228346896</vt:lpwstr>
      </vt:variant>
      <vt:variant>
        <vt:i4>1638454</vt:i4>
      </vt:variant>
      <vt:variant>
        <vt:i4>116</vt:i4>
      </vt:variant>
      <vt:variant>
        <vt:i4>0</vt:i4>
      </vt:variant>
      <vt:variant>
        <vt:i4>5</vt:i4>
      </vt:variant>
      <vt:variant>
        <vt:lpwstr/>
      </vt:variant>
      <vt:variant>
        <vt:lpwstr>_Toc228346895</vt:lpwstr>
      </vt:variant>
      <vt:variant>
        <vt:i4>1638454</vt:i4>
      </vt:variant>
      <vt:variant>
        <vt:i4>110</vt:i4>
      </vt:variant>
      <vt:variant>
        <vt:i4>0</vt:i4>
      </vt:variant>
      <vt:variant>
        <vt:i4>5</vt:i4>
      </vt:variant>
      <vt:variant>
        <vt:lpwstr/>
      </vt:variant>
      <vt:variant>
        <vt:lpwstr>_Toc228346894</vt:lpwstr>
      </vt:variant>
      <vt:variant>
        <vt:i4>1638454</vt:i4>
      </vt:variant>
      <vt:variant>
        <vt:i4>104</vt:i4>
      </vt:variant>
      <vt:variant>
        <vt:i4>0</vt:i4>
      </vt:variant>
      <vt:variant>
        <vt:i4>5</vt:i4>
      </vt:variant>
      <vt:variant>
        <vt:lpwstr/>
      </vt:variant>
      <vt:variant>
        <vt:lpwstr>_Toc228346893</vt:lpwstr>
      </vt:variant>
      <vt:variant>
        <vt:i4>1638454</vt:i4>
      </vt:variant>
      <vt:variant>
        <vt:i4>98</vt:i4>
      </vt:variant>
      <vt:variant>
        <vt:i4>0</vt:i4>
      </vt:variant>
      <vt:variant>
        <vt:i4>5</vt:i4>
      </vt:variant>
      <vt:variant>
        <vt:lpwstr/>
      </vt:variant>
      <vt:variant>
        <vt:lpwstr>_Toc228346892</vt:lpwstr>
      </vt:variant>
      <vt:variant>
        <vt:i4>1638454</vt:i4>
      </vt:variant>
      <vt:variant>
        <vt:i4>92</vt:i4>
      </vt:variant>
      <vt:variant>
        <vt:i4>0</vt:i4>
      </vt:variant>
      <vt:variant>
        <vt:i4>5</vt:i4>
      </vt:variant>
      <vt:variant>
        <vt:lpwstr/>
      </vt:variant>
      <vt:variant>
        <vt:lpwstr>_Toc228346891</vt:lpwstr>
      </vt:variant>
      <vt:variant>
        <vt:i4>1638454</vt:i4>
      </vt:variant>
      <vt:variant>
        <vt:i4>86</vt:i4>
      </vt:variant>
      <vt:variant>
        <vt:i4>0</vt:i4>
      </vt:variant>
      <vt:variant>
        <vt:i4>5</vt:i4>
      </vt:variant>
      <vt:variant>
        <vt:lpwstr/>
      </vt:variant>
      <vt:variant>
        <vt:lpwstr>_Toc228346890</vt:lpwstr>
      </vt:variant>
      <vt:variant>
        <vt:i4>1572918</vt:i4>
      </vt:variant>
      <vt:variant>
        <vt:i4>80</vt:i4>
      </vt:variant>
      <vt:variant>
        <vt:i4>0</vt:i4>
      </vt:variant>
      <vt:variant>
        <vt:i4>5</vt:i4>
      </vt:variant>
      <vt:variant>
        <vt:lpwstr/>
      </vt:variant>
      <vt:variant>
        <vt:lpwstr>_Toc228346889</vt:lpwstr>
      </vt:variant>
      <vt:variant>
        <vt:i4>1572918</vt:i4>
      </vt:variant>
      <vt:variant>
        <vt:i4>74</vt:i4>
      </vt:variant>
      <vt:variant>
        <vt:i4>0</vt:i4>
      </vt:variant>
      <vt:variant>
        <vt:i4>5</vt:i4>
      </vt:variant>
      <vt:variant>
        <vt:lpwstr/>
      </vt:variant>
      <vt:variant>
        <vt:lpwstr>_Toc228346888</vt:lpwstr>
      </vt:variant>
      <vt:variant>
        <vt:i4>1572918</vt:i4>
      </vt:variant>
      <vt:variant>
        <vt:i4>68</vt:i4>
      </vt:variant>
      <vt:variant>
        <vt:i4>0</vt:i4>
      </vt:variant>
      <vt:variant>
        <vt:i4>5</vt:i4>
      </vt:variant>
      <vt:variant>
        <vt:lpwstr/>
      </vt:variant>
      <vt:variant>
        <vt:lpwstr>_Toc228346887</vt:lpwstr>
      </vt:variant>
      <vt:variant>
        <vt:i4>1572918</vt:i4>
      </vt:variant>
      <vt:variant>
        <vt:i4>62</vt:i4>
      </vt:variant>
      <vt:variant>
        <vt:i4>0</vt:i4>
      </vt:variant>
      <vt:variant>
        <vt:i4>5</vt:i4>
      </vt:variant>
      <vt:variant>
        <vt:lpwstr/>
      </vt:variant>
      <vt:variant>
        <vt:lpwstr>_Toc228346886</vt:lpwstr>
      </vt:variant>
      <vt:variant>
        <vt:i4>1572918</vt:i4>
      </vt:variant>
      <vt:variant>
        <vt:i4>56</vt:i4>
      </vt:variant>
      <vt:variant>
        <vt:i4>0</vt:i4>
      </vt:variant>
      <vt:variant>
        <vt:i4>5</vt:i4>
      </vt:variant>
      <vt:variant>
        <vt:lpwstr/>
      </vt:variant>
      <vt:variant>
        <vt:lpwstr>_Toc228346885</vt:lpwstr>
      </vt:variant>
      <vt:variant>
        <vt:i4>1572918</vt:i4>
      </vt:variant>
      <vt:variant>
        <vt:i4>50</vt:i4>
      </vt:variant>
      <vt:variant>
        <vt:i4>0</vt:i4>
      </vt:variant>
      <vt:variant>
        <vt:i4>5</vt:i4>
      </vt:variant>
      <vt:variant>
        <vt:lpwstr/>
      </vt:variant>
      <vt:variant>
        <vt:lpwstr>_Toc228346884</vt:lpwstr>
      </vt:variant>
      <vt:variant>
        <vt:i4>1572918</vt:i4>
      </vt:variant>
      <vt:variant>
        <vt:i4>44</vt:i4>
      </vt:variant>
      <vt:variant>
        <vt:i4>0</vt:i4>
      </vt:variant>
      <vt:variant>
        <vt:i4>5</vt:i4>
      </vt:variant>
      <vt:variant>
        <vt:lpwstr/>
      </vt:variant>
      <vt:variant>
        <vt:lpwstr>_Toc228346883</vt:lpwstr>
      </vt:variant>
      <vt:variant>
        <vt:i4>1572918</vt:i4>
      </vt:variant>
      <vt:variant>
        <vt:i4>38</vt:i4>
      </vt:variant>
      <vt:variant>
        <vt:i4>0</vt:i4>
      </vt:variant>
      <vt:variant>
        <vt:i4>5</vt:i4>
      </vt:variant>
      <vt:variant>
        <vt:lpwstr/>
      </vt:variant>
      <vt:variant>
        <vt:lpwstr>_Toc228346882</vt:lpwstr>
      </vt:variant>
      <vt:variant>
        <vt:i4>1572918</vt:i4>
      </vt:variant>
      <vt:variant>
        <vt:i4>32</vt:i4>
      </vt:variant>
      <vt:variant>
        <vt:i4>0</vt:i4>
      </vt:variant>
      <vt:variant>
        <vt:i4>5</vt:i4>
      </vt:variant>
      <vt:variant>
        <vt:lpwstr/>
      </vt:variant>
      <vt:variant>
        <vt:lpwstr>_Toc228346881</vt:lpwstr>
      </vt:variant>
      <vt:variant>
        <vt:i4>1572918</vt:i4>
      </vt:variant>
      <vt:variant>
        <vt:i4>26</vt:i4>
      </vt:variant>
      <vt:variant>
        <vt:i4>0</vt:i4>
      </vt:variant>
      <vt:variant>
        <vt:i4>5</vt:i4>
      </vt:variant>
      <vt:variant>
        <vt:lpwstr/>
      </vt:variant>
      <vt:variant>
        <vt:lpwstr>_Toc228346880</vt:lpwstr>
      </vt:variant>
      <vt:variant>
        <vt:i4>1507382</vt:i4>
      </vt:variant>
      <vt:variant>
        <vt:i4>20</vt:i4>
      </vt:variant>
      <vt:variant>
        <vt:i4>0</vt:i4>
      </vt:variant>
      <vt:variant>
        <vt:i4>5</vt:i4>
      </vt:variant>
      <vt:variant>
        <vt:lpwstr/>
      </vt:variant>
      <vt:variant>
        <vt:lpwstr>_Toc228346879</vt:lpwstr>
      </vt:variant>
      <vt:variant>
        <vt:i4>1507382</vt:i4>
      </vt:variant>
      <vt:variant>
        <vt:i4>14</vt:i4>
      </vt:variant>
      <vt:variant>
        <vt:i4>0</vt:i4>
      </vt:variant>
      <vt:variant>
        <vt:i4>5</vt:i4>
      </vt:variant>
      <vt:variant>
        <vt:lpwstr/>
      </vt:variant>
      <vt:variant>
        <vt:lpwstr>_Toc228346878</vt:lpwstr>
      </vt:variant>
      <vt:variant>
        <vt:i4>1507382</vt:i4>
      </vt:variant>
      <vt:variant>
        <vt:i4>8</vt:i4>
      </vt:variant>
      <vt:variant>
        <vt:i4>0</vt:i4>
      </vt:variant>
      <vt:variant>
        <vt:i4>5</vt:i4>
      </vt:variant>
      <vt:variant>
        <vt:lpwstr/>
      </vt:variant>
      <vt:variant>
        <vt:lpwstr>_Toc228346877</vt:lpwstr>
      </vt:variant>
      <vt:variant>
        <vt:i4>1507382</vt:i4>
      </vt:variant>
      <vt:variant>
        <vt:i4>2</vt:i4>
      </vt:variant>
      <vt:variant>
        <vt:i4>0</vt:i4>
      </vt:variant>
      <vt:variant>
        <vt:i4>5</vt:i4>
      </vt:variant>
      <vt:variant>
        <vt:lpwstr/>
      </vt:variant>
      <vt:variant>
        <vt:lpwstr>_Toc228346876</vt:lpwstr>
      </vt:variant>
      <vt:variant>
        <vt:i4>7405692</vt:i4>
      </vt:variant>
      <vt:variant>
        <vt:i4>339</vt:i4>
      </vt:variant>
      <vt:variant>
        <vt:i4>0</vt:i4>
      </vt:variant>
      <vt:variant>
        <vt:i4>5</vt:i4>
      </vt:variant>
      <vt:variant>
        <vt:lpwstr>https://stackit.com/en/products</vt:lpwstr>
      </vt:variant>
      <vt:variant>
        <vt:lpwstr/>
      </vt:variant>
      <vt:variant>
        <vt:i4>2490426</vt:i4>
      </vt:variant>
      <vt:variant>
        <vt:i4>336</vt:i4>
      </vt:variant>
      <vt:variant>
        <vt:i4>0</vt:i4>
      </vt:variant>
      <vt:variant>
        <vt:i4>5</vt:i4>
      </vt:variant>
      <vt:variant>
        <vt:lpwstr>https://www.ionos.com/</vt:lpwstr>
      </vt:variant>
      <vt:variant>
        <vt:lpwstr/>
      </vt:variant>
      <vt:variant>
        <vt:i4>17</vt:i4>
      </vt:variant>
      <vt:variant>
        <vt:i4>333</vt:i4>
      </vt:variant>
      <vt:variant>
        <vt:i4>0</vt:i4>
      </vt:variant>
      <vt:variant>
        <vt:i4>5</vt:i4>
      </vt:variant>
      <vt:variant>
        <vt:lpwstr>https://www.ovhcloud.com/en/public-cloud/</vt:lpwstr>
      </vt:variant>
      <vt:variant>
        <vt:lpwstr/>
      </vt:variant>
      <vt:variant>
        <vt:i4>4587595</vt:i4>
      </vt:variant>
      <vt:variant>
        <vt:i4>330</vt:i4>
      </vt:variant>
      <vt:variant>
        <vt:i4>0</vt:i4>
      </vt:variant>
      <vt:variant>
        <vt:i4>5</vt:i4>
      </vt:variant>
      <vt:variant>
        <vt:lpwstr>https://ec.europa.eu/eurostat/web/products-eurostat-news/w/ddn-20260203-1</vt:lpwstr>
      </vt:variant>
      <vt:variant>
        <vt:lpwstr/>
      </vt:variant>
      <vt:variant>
        <vt:i4>6160406</vt:i4>
      </vt:variant>
      <vt:variant>
        <vt:i4>327</vt:i4>
      </vt:variant>
      <vt:variant>
        <vt:i4>0</vt:i4>
      </vt:variant>
      <vt:variant>
        <vt:i4>5</vt:i4>
      </vt:variant>
      <vt:variant>
        <vt:lpwstr>https://www.bcg.com/publications/2025/cloud-cover-price-sovereignty-demands-waste</vt:lpwstr>
      </vt:variant>
      <vt:variant>
        <vt:lpwstr/>
      </vt:variant>
      <vt:variant>
        <vt:i4>5046296</vt:i4>
      </vt:variant>
      <vt:variant>
        <vt:i4>324</vt:i4>
      </vt:variant>
      <vt:variant>
        <vt:i4>0</vt:i4>
      </vt:variant>
      <vt:variant>
        <vt:i4>5</vt:i4>
      </vt:variant>
      <vt:variant>
        <vt:lpwstr>https://www.fromeuropewithlove.eu/en/blog/european-cloud-providers-vs-aws-comparison-2026</vt:lpwstr>
      </vt:variant>
      <vt:variant>
        <vt:lpwstr/>
      </vt:variant>
      <vt:variant>
        <vt:i4>4325443</vt:i4>
      </vt:variant>
      <vt:variant>
        <vt:i4>321</vt:i4>
      </vt:variant>
      <vt:variant>
        <vt:i4>0</vt:i4>
      </vt:variant>
      <vt:variant>
        <vt:i4>5</vt:i4>
      </vt:variant>
      <vt:variant>
        <vt:lpwstr>https://www.dataminded.com/resources/cloud-independence-testing-a-european-cloud-provider-against-the-giants</vt:lpwstr>
      </vt:variant>
      <vt:variant>
        <vt:lpwstr/>
      </vt:variant>
      <vt:variant>
        <vt:i4>1048668</vt:i4>
      </vt:variant>
      <vt:variant>
        <vt:i4>318</vt:i4>
      </vt:variant>
      <vt:variant>
        <vt:i4>0</vt:i4>
      </vt:variant>
      <vt:variant>
        <vt:i4>5</vt:i4>
      </vt:variant>
      <vt:variant>
        <vt:lpwstr>https://european.cloud/2025/06/a-basic-look-at-pricing-of-european-cloud-vendors/</vt:lpwstr>
      </vt:variant>
      <vt:variant>
        <vt:lpwstr/>
      </vt:variant>
      <vt:variant>
        <vt:i4>1245199</vt:i4>
      </vt:variant>
      <vt:variant>
        <vt:i4>315</vt:i4>
      </vt:variant>
      <vt:variant>
        <vt:i4>0</vt:i4>
      </vt:variant>
      <vt:variant>
        <vt:i4>5</vt:i4>
      </vt:variant>
      <vt:variant>
        <vt:lpwstr>https://www.ibm.com/think/topics/low-code-vs-no-code</vt:lpwstr>
      </vt:variant>
      <vt:variant>
        <vt:lpwstr/>
      </vt:variant>
      <vt:variant>
        <vt:i4>7929982</vt:i4>
      </vt:variant>
      <vt:variant>
        <vt:i4>312</vt:i4>
      </vt:variant>
      <vt:variant>
        <vt:i4>0</vt:i4>
      </vt:variant>
      <vt:variant>
        <vt:i4>5</vt:i4>
      </vt:variant>
      <vt:variant>
        <vt:lpwstr>https://www.ibm.com/think/insights/reimagining-application-modernization-migration-agentic</vt:lpwstr>
      </vt:variant>
      <vt:variant>
        <vt:lpwstr>:~:text=Agentic%20AI%20takes%20pushes%20AI,is%20aligned%20with%20business%20outcomes.</vt:lpwstr>
      </vt:variant>
      <vt:variant>
        <vt:i4>2621549</vt:i4>
      </vt:variant>
      <vt:variant>
        <vt:i4>309</vt:i4>
      </vt:variant>
      <vt:variant>
        <vt:i4>0</vt:i4>
      </vt:variant>
      <vt:variant>
        <vt:i4>5</vt:i4>
      </vt:variant>
      <vt:variant>
        <vt:lpwstr>https://opsiocloud.com/pl/blogs/cloud-migration-cost-analysis/</vt:lpwstr>
      </vt:variant>
      <vt:variant>
        <vt:lpwstr/>
      </vt:variant>
      <vt:variant>
        <vt:i4>2883623</vt:i4>
      </vt:variant>
      <vt:variant>
        <vt:i4>306</vt:i4>
      </vt:variant>
      <vt:variant>
        <vt:i4>0</vt:i4>
      </vt:variant>
      <vt:variant>
        <vt:i4>5</vt:i4>
      </vt:variant>
      <vt:variant>
        <vt:lpwstr>C:\Users\busutna\Downloads\cloudaware.com\blog\cloud-migration-costs</vt:lpwstr>
      </vt:variant>
      <vt:variant>
        <vt:lpwstr/>
      </vt:variant>
      <vt:variant>
        <vt:i4>6160478</vt:i4>
      </vt:variant>
      <vt:variant>
        <vt:i4>303</vt:i4>
      </vt:variant>
      <vt:variant>
        <vt:i4>0</vt:i4>
      </vt:variant>
      <vt:variant>
        <vt:i4>5</vt:i4>
      </vt:variant>
      <vt:variant>
        <vt:lpwstr>https://softwaremodernizationservices.com/costs/</vt:lpwstr>
      </vt:variant>
      <vt:variant>
        <vt:lpwstr>cloud-migration-costs</vt:lpwstr>
      </vt:variant>
      <vt:variant>
        <vt:i4>2818162</vt:i4>
      </vt:variant>
      <vt:variant>
        <vt:i4>300</vt:i4>
      </vt:variant>
      <vt:variant>
        <vt:i4>0</vt:i4>
      </vt:variant>
      <vt:variant>
        <vt:i4>5</vt:i4>
      </vt:variant>
      <vt:variant>
        <vt:lpwstr>https://opsiocloud.com/blogs/cloud-migration-cost-analysis/</vt:lpwstr>
      </vt:variant>
      <vt:variant>
        <vt:lpwstr/>
      </vt:variant>
      <vt:variant>
        <vt:i4>5046361</vt:i4>
      </vt:variant>
      <vt:variant>
        <vt:i4>297</vt:i4>
      </vt:variant>
      <vt:variant>
        <vt:i4>0</vt:i4>
      </vt:variant>
      <vt:variant>
        <vt:i4>5</vt:i4>
      </vt:variant>
      <vt:variant>
        <vt:lpwstr>https://www.groenewold-it.solutions/en/costs/cloud-migration</vt:lpwstr>
      </vt:variant>
      <vt:variant>
        <vt:lpwstr/>
      </vt:variant>
      <vt:variant>
        <vt:i4>2228332</vt:i4>
      </vt:variant>
      <vt:variant>
        <vt:i4>294</vt:i4>
      </vt:variant>
      <vt:variant>
        <vt:i4>0</vt:i4>
      </vt:variant>
      <vt:variant>
        <vt:i4>5</vt:i4>
      </vt:variant>
      <vt:variant>
        <vt:lpwstr>https://hdl.handle.net/10803/398024</vt:lpwstr>
      </vt:variant>
      <vt:variant>
        <vt:lpwstr/>
      </vt:variant>
      <vt:variant>
        <vt:i4>3276913</vt:i4>
      </vt:variant>
      <vt:variant>
        <vt:i4>291</vt:i4>
      </vt:variant>
      <vt:variant>
        <vt:i4>0</vt:i4>
      </vt:variant>
      <vt:variant>
        <vt:i4>5</vt:i4>
      </vt:variant>
      <vt:variant>
        <vt:lpwstr>https://app.powerbi.com/view?r=eyJrIjoiNjhlYmE2M2EtZWFiMy00ZDc4LWE2MWMtOTQ2NDlmZTQ5YjExIiwidCI6IjlmOGMwZDc5LTNlODctNGNkMy05Nzk5LWMzNDQzMTQ2ZWE1ZSIsImMiOjh9</vt:lpwstr>
      </vt:variant>
      <vt:variant>
        <vt:lpwstr/>
      </vt:variant>
      <vt:variant>
        <vt:i4>2228295</vt:i4>
      </vt:variant>
      <vt:variant>
        <vt:i4>288</vt:i4>
      </vt:variant>
      <vt:variant>
        <vt:i4>0</vt:i4>
      </vt:variant>
      <vt:variant>
        <vt:i4>5</vt:i4>
      </vt:variant>
      <vt:variant>
        <vt:lpwstr>https://www.boe.es/diario_boe/txt.php?id=BOE-A-2026-4603</vt:lpwstr>
      </vt:variant>
      <vt:variant>
        <vt:lpwstr/>
      </vt:variant>
      <vt:variant>
        <vt:i4>16515178</vt:i4>
      </vt:variant>
      <vt:variant>
        <vt:i4>285</vt:i4>
      </vt:variant>
      <vt:variant>
        <vt:i4>0</vt:i4>
      </vt:variant>
      <vt:variant>
        <vt:i4>5</vt:i4>
      </vt:variant>
      <vt:variant>
        <vt:lpwstr>https://espanadigital.gob.es/sites/espanadigital/files/2025-06/España Digital 2026.pdf</vt:lpwstr>
      </vt:variant>
      <vt:variant>
        <vt:lpwstr/>
      </vt:variant>
      <vt:variant>
        <vt:i4>7667814</vt:i4>
      </vt:variant>
      <vt:variant>
        <vt:i4>282</vt:i4>
      </vt:variant>
      <vt:variant>
        <vt:i4>0</vt:i4>
      </vt:variant>
      <vt:variant>
        <vt:i4>5</vt:i4>
      </vt:variant>
      <vt:variant>
        <vt:lpwstr>https://s3.eu-west-par.io.cloud.ovh.net/numerique-gouv-website/numerique-gouv-website/documents/Bilan_de_la_doctrine_cloud_au_centre_2025_JkBUfPZ.pdf?X-Amz-Algorithm=AWS4-HMAC-SHA256&amp;X-Amz-Credential=83d53d2d1ca64211b6b9581adffa67ce%2F20260331%2Feu-west-par%2Fs3%2Faws4_request&amp;X-Amz-Date=20260331T135237Z&amp;X-Amz-Expires=3600&amp;X-Amz-SignedHeaders=host&amp;X-Amz-Signature=5bf223398e89097727f0e59b1dad38a4cf53041af5bd96f524b369f9bd9fe817</vt:lpwstr>
      </vt:variant>
      <vt:variant>
        <vt:lpwstr/>
      </vt:variant>
      <vt:variant>
        <vt:i4>4390938</vt:i4>
      </vt:variant>
      <vt:variant>
        <vt:i4>279</vt:i4>
      </vt:variant>
      <vt:variant>
        <vt:i4>0</vt:i4>
      </vt:variant>
      <vt:variant>
        <vt:i4>5</vt:i4>
      </vt:variant>
      <vt:variant>
        <vt:lpwstr>https://avance.digital.gob.es/es-es/espana_digital/EspanaDigital_2026.pdf</vt:lpwstr>
      </vt:variant>
      <vt:variant>
        <vt:lpwstr/>
      </vt:variant>
      <vt:variant>
        <vt:i4>524353</vt:i4>
      </vt:variant>
      <vt:variant>
        <vt:i4>276</vt:i4>
      </vt:variant>
      <vt:variant>
        <vt:i4>0</vt:i4>
      </vt:variant>
      <vt:variant>
        <vt:i4>5</vt:i4>
      </vt:variant>
      <vt:variant>
        <vt:lpwstr>https://www.eulisa.europa.eu/sites/default/files/documents/ir-2024-06-spanishministry.pdf</vt:lpwstr>
      </vt:variant>
      <vt:variant>
        <vt:lpwstr/>
      </vt:variant>
      <vt:variant>
        <vt:i4>7667814</vt:i4>
      </vt:variant>
      <vt:variant>
        <vt:i4>273</vt:i4>
      </vt:variant>
      <vt:variant>
        <vt:i4>0</vt:i4>
      </vt:variant>
      <vt:variant>
        <vt:i4>5</vt:i4>
      </vt:variant>
      <vt:variant>
        <vt:lpwstr>https://s3.eu-west-par.io.cloud.ovh.net/numerique-gouv-website/numerique-gouv-website/documents/Bilan_de_la_doctrine_cloud_au_centre_2025_JkBUfPZ.pdf?X-Amz-Algorithm=AWS4-HMAC-SHA256&amp;X-Amz-Credential=83d53d2d1ca64211b6b9581adffa67ce%2F20260331%2Feu-west-par%2Fs3%2Faws4_request&amp;X-Amz-Date=20260331T135237Z&amp;X-Amz-Expires=3600&amp;X-Amz-SignedHeaders=host&amp;X-Amz-Signature=5bf223398e89097727f0e59b1dad38a4cf53041af5bd96f524b369f9bd9fe817</vt:lpwstr>
      </vt:variant>
      <vt:variant>
        <vt:lpwstr/>
      </vt:variant>
      <vt:variant>
        <vt:i4>2818099</vt:i4>
      </vt:variant>
      <vt:variant>
        <vt:i4>270</vt:i4>
      </vt:variant>
      <vt:variant>
        <vt:i4>0</vt:i4>
      </vt:variant>
      <vt:variant>
        <vt:i4>5</vt:i4>
      </vt:variant>
      <vt:variant>
        <vt:lpwstr>https://doi.org/10.1186/s13677-022-00367-6</vt:lpwstr>
      </vt:variant>
      <vt:variant>
        <vt:lpwstr/>
      </vt:variant>
      <vt:variant>
        <vt:i4>4063341</vt:i4>
      </vt:variant>
      <vt:variant>
        <vt:i4>267</vt:i4>
      </vt:variant>
      <vt:variant>
        <vt:i4>0</vt:i4>
      </vt:variant>
      <vt:variant>
        <vt:i4>5</vt:i4>
      </vt:variant>
      <vt:variant>
        <vt:lpwstr>https://www.ibm.com/think/insights/7-rs-cloud-migration</vt:lpwstr>
      </vt:variant>
      <vt:variant>
        <vt:lpwstr>:~:text=The%207%20R's%20evolved%20from,others%20move%20to%20the%20cloud.</vt:lpwstr>
      </vt:variant>
      <vt:variant>
        <vt:i4>2228332</vt:i4>
      </vt:variant>
      <vt:variant>
        <vt:i4>264</vt:i4>
      </vt:variant>
      <vt:variant>
        <vt:i4>0</vt:i4>
      </vt:variant>
      <vt:variant>
        <vt:i4>5</vt:i4>
      </vt:variant>
      <vt:variant>
        <vt:lpwstr>https://hdl.handle.net/10803/398024</vt:lpwstr>
      </vt:variant>
      <vt:variant>
        <vt:lpwstr/>
      </vt:variant>
      <vt:variant>
        <vt:i4>7929960</vt:i4>
      </vt:variant>
      <vt:variant>
        <vt:i4>261</vt:i4>
      </vt:variant>
      <vt:variant>
        <vt:i4>0</vt:i4>
      </vt:variant>
      <vt:variant>
        <vt:i4>5</vt:i4>
      </vt:variant>
      <vt:variant>
        <vt:lpwstr>https://portal.mineco.gob.es/es-es/digitalizacionIA/Documents/Estrategia_IA_2024.pdf</vt:lpwstr>
      </vt:variant>
      <vt:variant>
        <vt:lpwstr/>
      </vt:variant>
      <vt:variant>
        <vt:i4>3604589</vt:i4>
      </vt:variant>
      <vt:variant>
        <vt:i4>258</vt:i4>
      </vt:variant>
      <vt:variant>
        <vt:i4>0</vt:i4>
      </vt:variant>
      <vt:variant>
        <vt:i4>5</vt:i4>
      </vt:variant>
      <vt:variant>
        <vt:lpwstr>https://julkaisut.valtioneuvosto.fi/items/454158c4-1f2e-4ea6-8f04-6313838ef553</vt:lpwstr>
      </vt:variant>
      <vt:variant>
        <vt:lpwstr/>
      </vt:variant>
      <vt:variant>
        <vt:i4>1900630</vt:i4>
      </vt:variant>
      <vt:variant>
        <vt:i4>255</vt:i4>
      </vt:variant>
      <vt:variant>
        <vt:i4>0</vt:i4>
      </vt:variant>
      <vt:variant>
        <vt:i4>5</vt:i4>
      </vt:variant>
      <vt:variant>
        <vt:lpwstr>https://open.overheid.nl/documenten/ronl-ee990385-1965-44fa-9bf1-a99262e46890/pdf</vt:lpwstr>
      </vt:variant>
      <vt:variant>
        <vt:lpwstr/>
      </vt:variant>
      <vt:variant>
        <vt:i4>5308507</vt:i4>
      </vt:variant>
      <vt:variant>
        <vt:i4>252</vt:i4>
      </vt:variant>
      <vt:variant>
        <vt:i4>0</vt:i4>
      </vt:variant>
      <vt:variant>
        <vt:i4>5</vt:i4>
      </vt:variant>
      <vt:variant>
        <vt:lpwstr>https://expresso.pt/economia/administracao-publica/2025-11-03-governo-anuncia-estrategia-nacional-de-centros-de-dados-para-alimentar-procura-por-inteligencia-artificial-e6b46575</vt:lpwstr>
      </vt:variant>
      <vt:variant>
        <vt:lpwstr/>
      </vt:variant>
      <vt:variant>
        <vt:i4>6553637</vt:i4>
      </vt:variant>
      <vt:variant>
        <vt:i4>249</vt:i4>
      </vt:variant>
      <vt:variant>
        <vt:i4>0</vt:i4>
      </vt:variant>
      <vt:variant>
        <vt:i4>5</vt:i4>
      </vt:variant>
      <vt:variant>
        <vt:lpwstr>https://www.mimit.gov.it/images/stories/documenti/ATTRAZIONE_DEI_DATA_CENTER_2025.pdf</vt:lpwstr>
      </vt:variant>
      <vt:variant>
        <vt:lpwstr/>
      </vt:variant>
      <vt:variant>
        <vt:i4>655384</vt:i4>
      </vt:variant>
      <vt:variant>
        <vt:i4>246</vt:i4>
      </vt:variant>
      <vt:variant>
        <vt:i4>0</vt:i4>
      </vt:variant>
      <vt:variant>
        <vt:i4>5</vt:i4>
      </vt:variant>
      <vt:variant>
        <vt:lpwstr>https://bmds.bund.de/themen/digitale-wirtschaft/nationale-rechenzentrumsstrategie</vt:lpwstr>
      </vt:variant>
      <vt:variant>
        <vt:lpwstr/>
      </vt:variant>
      <vt:variant>
        <vt:i4>1245208</vt:i4>
      </vt:variant>
      <vt:variant>
        <vt:i4>243</vt:i4>
      </vt:variant>
      <vt:variant>
        <vt:i4>0</vt:i4>
      </vt:variant>
      <vt:variant>
        <vt:i4>5</vt:i4>
      </vt:variant>
      <vt:variant>
        <vt:lpwstr>https://www.entreprises.gouv.fr/files/files/Publications/2025/Guide/25112025__Guide Datacenters.pdf</vt:lpwstr>
      </vt:variant>
      <vt:variant>
        <vt:lpwstr/>
      </vt:variant>
      <vt:variant>
        <vt:i4>7864382</vt:i4>
      </vt:variant>
      <vt:variant>
        <vt:i4>240</vt:i4>
      </vt:variant>
      <vt:variant>
        <vt:i4>0</vt:i4>
      </vt:variant>
      <vt:variant>
        <vt:i4>5</vt:i4>
      </vt:variant>
      <vt:variant>
        <vt:lpwstr>https://www.mobileeurope.co.uk/european-cloud-providers-tread-water-in-growing-market/</vt:lpwstr>
      </vt:variant>
      <vt:variant>
        <vt:lpwstr/>
      </vt:variant>
      <vt:variant>
        <vt:i4>3145790</vt:i4>
      </vt:variant>
      <vt:variant>
        <vt:i4>237</vt:i4>
      </vt:variant>
      <vt:variant>
        <vt:i4>0</vt:i4>
      </vt:variant>
      <vt:variant>
        <vt:i4>5</vt:i4>
      </vt:variant>
      <vt:variant>
        <vt:lpwstr>https://www.statista.com/forecasts/963858/cloud-services-revenue-in-europe</vt:lpwstr>
      </vt:variant>
      <vt:variant>
        <vt:lpwstr/>
      </vt:variant>
      <vt:variant>
        <vt:i4>2949154</vt:i4>
      </vt:variant>
      <vt:variant>
        <vt:i4>234</vt:i4>
      </vt:variant>
      <vt:variant>
        <vt:i4>0</vt:i4>
      </vt:variant>
      <vt:variant>
        <vt:i4>5</vt:i4>
      </vt:variant>
      <vt:variant>
        <vt:lpwstr>https://www.srgresearch.com/articles/european-cloud-providers-local-market-share-now-holds-steady-at-15</vt:lpwstr>
      </vt:variant>
      <vt:variant>
        <vt:lpwstr/>
      </vt:variant>
      <vt:variant>
        <vt:i4>917578</vt:i4>
      </vt:variant>
      <vt:variant>
        <vt:i4>231</vt:i4>
      </vt:variant>
      <vt:variant>
        <vt:i4>0</vt:i4>
      </vt:variant>
      <vt:variant>
        <vt:i4>5</vt:i4>
      </vt:variant>
      <vt:variant>
        <vt:lpwstr>https://www.iea.org/reports/energy-and-ai</vt:lpwstr>
      </vt:variant>
      <vt:variant>
        <vt:lpwstr/>
      </vt:variant>
      <vt:variant>
        <vt:i4>1638485</vt:i4>
      </vt:variant>
      <vt:variant>
        <vt:i4>228</vt:i4>
      </vt:variant>
      <vt:variant>
        <vt:i4>0</vt:i4>
      </vt:variant>
      <vt:variant>
        <vt:i4>5</vt:i4>
      </vt:variant>
      <vt:variant>
        <vt:lpwstr>https://escholarship.org/uc/item/32d6m0d1</vt:lpwstr>
      </vt:variant>
      <vt:variant>
        <vt:lpwstr/>
      </vt:variant>
      <vt:variant>
        <vt:i4>1966105</vt:i4>
      </vt:variant>
      <vt:variant>
        <vt:i4>225</vt:i4>
      </vt:variant>
      <vt:variant>
        <vt:i4>0</vt:i4>
      </vt:variant>
      <vt:variant>
        <vt:i4>5</vt:i4>
      </vt:variant>
      <vt:variant>
        <vt:lpwstr>https://www.consilium.europa.eu/en/policies/path-to-the-digital-decade-the-eu-s-plan-to-achieve-a-digital-europe-by-2030/</vt:lpwstr>
      </vt:variant>
      <vt:variant>
        <vt:lpwstr/>
      </vt:variant>
      <vt:variant>
        <vt:i4>2687011</vt:i4>
      </vt:variant>
      <vt:variant>
        <vt:i4>222</vt:i4>
      </vt:variant>
      <vt:variant>
        <vt:i4>0</vt:i4>
      </vt:variant>
      <vt:variant>
        <vt:i4>5</vt:i4>
      </vt:variant>
      <vt:variant>
        <vt:lpwstr>https://cordis.europa.eu/project/id/644666</vt:lpwstr>
      </vt:variant>
      <vt:variant>
        <vt:lpwstr/>
      </vt:variant>
      <vt:variant>
        <vt:i4>3276857</vt:i4>
      </vt:variant>
      <vt:variant>
        <vt:i4>219</vt:i4>
      </vt:variant>
      <vt:variant>
        <vt:i4>0</vt:i4>
      </vt:variant>
      <vt:variant>
        <vt:i4>5</vt:i4>
      </vt:variant>
      <vt:variant>
        <vt:lpwstr>https://www.rdworldonline.com/how-much-does-amazon-invest-in-rd-heres-an-estimate/</vt:lpwstr>
      </vt:variant>
      <vt:variant>
        <vt:lpwstr/>
      </vt:variant>
      <vt:variant>
        <vt:i4>3211348</vt:i4>
      </vt:variant>
      <vt:variant>
        <vt:i4>216</vt:i4>
      </vt:variant>
      <vt:variant>
        <vt:i4>0</vt:i4>
      </vt:variant>
      <vt:variant>
        <vt:i4>5</vt:i4>
      </vt:variant>
      <vt:variant>
        <vt:lpwstr>https://www.researchgate.net/publication/392073614_The_Impact_of_AI_on_SME_Financial_Decision-Making_Processes?</vt:lpwstr>
      </vt:variant>
      <vt:variant>
        <vt:lpwstr/>
      </vt:variant>
      <vt:variant>
        <vt:i4>5701699</vt:i4>
      </vt:variant>
      <vt:variant>
        <vt:i4>213</vt:i4>
      </vt:variant>
      <vt:variant>
        <vt:i4>0</vt:i4>
      </vt:variant>
      <vt:variant>
        <vt:i4>5</vt:i4>
      </vt:variant>
      <vt:variant>
        <vt:lpwstr>https://www.acecloudhosting.com/blog/cloud-in-healthcare-industry-benefits-and-use-cases/</vt:lpwstr>
      </vt:variant>
      <vt:variant>
        <vt:lpwstr/>
      </vt:variant>
      <vt:variant>
        <vt:i4>2162812</vt:i4>
      </vt:variant>
      <vt:variant>
        <vt:i4>210</vt:i4>
      </vt:variant>
      <vt:variant>
        <vt:i4>0</vt:i4>
      </vt:variant>
      <vt:variant>
        <vt:i4>5</vt:i4>
      </vt:variant>
      <vt:variant>
        <vt:lpwstr>https://www.sciencedirect.com/science/article/pii/S026840122400029X?utm</vt:lpwstr>
      </vt:variant>
      <vt:variant>
        <vt:lpwstr/>
      </vt:variant>
      <vt:variant>
        <vt:i4>1441877</vt:i4>
      </vt:variant>
      <vt:variant>
        <vt:i4>207</vt:i4>
      </vt:variant>
      <vt:variant>
        <vt:i4>0</vt:i4>
      </vt:variant>
      <vt:variant>
        <vt:i4>5</vt:i4>
      </vt:variant>
      <vt:variant>
        <vt:lpwstr>https://arxiv.org/abs/2509.14532?utm</vt:lpwstr>
      </vt:variant>
      <vt:variant>
        <vt:lpwstr/>
      </vt:variant>
      <vt:variant>
        <vt:i4>3735643</vt:i4>
      </vt:variant>
      <vt:variant>
        <vt:i4>204</vt:i4>
      </vt:variant>
      <vt:variant>
        <vt:i4>0</vt:i4>
      </vt:variant>
      <vt:variant>
        <vt:i4>5</vt:i4>
      </vt:variant>
      <vt:variant>
        <vt:lpwstr>https://single-market-economy.ec.europa.eu/smes/sme-strategy-and-sme-friendly-business-conditions/sme-performance-review_en</vt:lpwstr>
      </vt:variant>
      <vt:variant>
        <vt:lpwstr/>
      </vt:variant>
      <vt:variant>
        <vt:i4>7405642</vt:i4>
      </vt:variant>
      <vt:variant>
        <vt:i4>201</vt:i4>
      </vt:variant>
      <vt:variant>
        <vt:i4>0</vt:i4>
      </vt:variant>
      <vt:variant>
        <vt:i4>5</vt:i4>
      </vt:variant>
      <vt:variant>
        <vt:lpwstr>https://ec.europa.eu/eurostat/statistics-explained/index.php?title=Businesses_in_the_information_and_communication_services_sector</vt:lpwstr>
      </vt:variant>
      <vt:variant>
        <vt:lpwstr/>
      </vt:variant>
      <vt:variant>
        <vt:i4>3932273</vt:i4>
      </vt:variant>
      <vt:variant>
        <vt:i4>198</vt:i4>
      </vt:variant>
      <vt:variant>
        <vt:i4>0</vt:i4>
      </vt:variant>
      <vt:variant>
        <vt:i4>5</vt:i4>
      </vt:variant>
      <vt:variant>
        <vt:lpwstr>https://www.gminsights.com/industry-analysis/europe-cloud-computing-market</vt:lpwstr>
      </vt:variant>
      <vt:variant>
        <vt:lpwstr/>
      </vt:variant>
      <vt:variant>
        <vt:i4>3604534</vt:i4>
      </vt:variant>
      <vt:variant>
        <vt:i4>195</vt:i4>
      </vt:variant>
      <vt:variant>
        <vt:i4>0</vt:i4>
      </vt:variant>
      <vt:variant>
        <vt:i4>5</vt:i4>
      </vt:variant>
      <vt:variant>
        <vt:lpwstr>https://www.theregister.com/2025/12/19/airbus_sovereign_cloud/</vt:lpwstr>
      </vt:variant>
      <vt:variant>
        <vt:lpwstr/>
      </vt:variant>
      <vt:variant>
        <vt:i4>4194317</vt:i4>
      </vt:variant>
      <vt:variant>
        <vt:i4>192</vt:i4>
      </vt:variant>
      <vt:variant>
        <vt:i4>0</vt:i4>
      </vt:variant>
      <vt:variant>
        <vt:i4>5</vt:i4>
      </vt:variant>
      <vt:variant>
        <vt:lpwstr>https://dimensionmarketresearch.com/report/europe-cloud-computing-market/</vt:lpwstr>
      </vt:variant>
      <vt:variant>
        <vt:lpwstr/>
      </vt:variant>
      <vt:variant>
        <vt:i4>655364</vt:i4>
      </vt:variant>
      <vt:variant>
        <vt:i4>189</vt:i4>
      </vt:variant>
      <vt:variant>
        <vt:i4>0</vt:i4>
      </vt:variant>
      <vt:variant>
        <vt:i4>5</vt:i4>
      </vt:variant>
      <vt:variant>
        <vt:lpwstr>https://my.idc.com/getdoc.jsp?containerId=prEUR253190125</vt:lpwstr>
      </vt:variant>
      <vt:variant>
        <vt:lpwstr/>
      </vt:variant>
      <vt:variant>
        <vt:i4>4456468</vt:i4>
      </vt:variant>
      <vt:variant>
        <vt:i4>186</vt:i4>
      </vt:variant>
      <vt:variant>
        <vt:i4>0</vt:i4>
      </vt:variant>
      <vt:variant>
        <vt:i4>5</vt:i4>
      </vt:variant>
      <vt:variant>
        <vt:lpwstr>https://digital-strategy.ec.europa.eu/en/policies/cloud-computing</vt:lpwstr>
      </vt:variant>
      <vt:variant>
        <vt:lpwstr/>
      </vt:variant>
      <vt:variant>
        <vt:i4>3145846</vt:i4>
      </vt:variant>
      <vt:variant>
        <vt:i4>183</vt:i4>
      </vt:variant>
      <vt:variant>
        <vt:i4>0</vt:i4>
      </vt:variant>
      <vt:variant>
        <vt:i4>5</vt:i4>
      </vt:variant>
      <vt:variant>
        <vt:lpwstr>https://www.eea.europa.eu/en/analysis/indicators/greenhouse-gas-emission-intensity-of-1</vt:lpwstr>
      </vt:variant>
      <vt:variant>
        <vt:lpwstr/>
      </vt:variant>
      <vt:variant>
        <vt:i4>1310732</vt:i4>
      </vt:variant>
      <vt:variant>
        <vt:i4>180</vt:i4>
      </vt:variant>
      <vt:variant>
        <vt:i4>0</vt:i4>
      </vt:variant>
      <vt:variant>
        <vt:i4>5</vt:i4>
      </vt:variant>
      <vt:variant>
        <vt:lpwstr>https://ec.europa.eu/info/funding-tenders/opportunities/portal/screen/opportunities/tender-details/14888</vt:lpwstr>
      </vt:variant>
      <vt:variant>
        <vt:lpwstr/>
      </vt:variant>
      <vt:variant>
        <vt:i4>5046348</vt:i4>
      </vt:variant>
      <vt:variant>
        <vt:i4>177</vt:i4>
      </vt:variant>
      <vt:variant>
        <vt:i4>0</vt:i4>
      </vt:variant>
      <vt:variant>
        <vt:i4>5</vt:i4>
      </vt:variant>
      <vt:variant>
        <vt:lpwstr>https://digital-strategy.ec.europa.eu/en/policies/simpl</vt:lpwstr>
      </vt:variant>
      <vt:variant>
        <vt:lpwstr>1712822729753-2</vt:lpwstr>
      </vt:variant>
      <vt:variant>
        <vt:i4>7536757</vt:i4>
      </vt:variant>
      <vt:variant>
        <vt:i4>174</vt:i4>
      </vt:variant>
      <vt:variant>
        <vt:i4>0</vt:i4>
      </vt:variant>
      <vt:variant>
        <vt:i4>5</vt:i4>
      </vt:variant>
      <vt:variant>
        <vt:lpwstr>https://www.public-procurement-data-space.europa.eu/en</vt:lpwstr>
      </vt:variant>
      <vt:variant>
        <vt:lpwstr/>
      </vt:variant>
      <vt:variant>
        <vt:i4>4784192</vt:i4>
      </vt:variant>
      <vt:variant>
        <vt:i4>171</vt:i4>
      </vt:variant>
      <vt:variant>
        <vt:i4>0</vt:i4>
      </vt:variant>
      <vt:variant>
        <vt:i4>5</vt:i4>
      </vt:variant>
      <vt:variant>
        <vt:lpwstr>https://www.banquedesterritoires.fr/cybersecurite-la-transposition-de-la-directive-nis-2-examinee-le-11-mars-au-senat</vt:lpwstr>
      </vt:variant>
      <vt:variant>
        <vt:lpwstr/>
      </vt:variant>
      <vt:variant>
        <vt:i4>7536757</vt:i4>
      </vt:variant>
      <vt:variant>
        <vt:i4>168</vt:i4>
      </vt:variant>
      <vt:variant>
        <vt:i4>0</vt:i4>
      </vt:variant>
      <vt:variant>
        <vt:i4>5</vt:i4>
      </vt:variant>
      <vt:variant>
        <vt:lpwstr>https://eur-lex.europa.eu/LexUriServ/LexUriServ.do?uri=SWD:2025:0836:FIN:EN:PDF</vt:lpwstr>
      </vt:variant>
      <vt:variant>
        <vt:lpwstr/>
      </vt:variant>
      <vt:variant>
        <vt:i4>5308509</vt:i4>
      </vt:variant>
      <vt:variant>
        <vt:i4>165</vt:i4>
      </vt:variant>
      <vt:variant>
        <vt:i4>0</vt:i4>
      </vt:variant>
      <vt:variant>
        <vt:i4>5</vt:i4>
      </vt:variant>
      <vt:variant>
        <vt:lpwstr>https://www.geekwire.com/2025/amazon-web-services-profits-squeezed-as-ai-arms-race-drives-spending-surge/</vt:lpwstr>
      </vt:variant>
      <vt:variant>
        <vt:lpwstr/>
      </vt:variant>
      <vt:variant>
        <vt:i4>4325489</vt:i4>
      </vt:variant>
      <vt:variant>
        <vt:i4>162</vt:i4>
      </vt:variant>
      <vt:variant>
        <vt:i4>0</vt:i4>
      </vt:variant>
      <vt:variant>
        <vt:i4>5</vt:i4>
      </vt:variant>
      <vt:variant>
        <vt:lpwstr>https://www.researchgate.net/publication/324141982_The_Benefits_of_Cloud_Computing</vt:lpwstr>
      </vt:variant>
      <vt:variant>
        <vt:lpwstr/>
      </vt:variant>
      <vt:variant>
        <vt:i4>7078000</vt:i4>
      </vt:variant>
      <vt:variant>
        <vt:i4>159</vt:i4>
      </vt:variant>
      <vt:variant>
        <vt:i4>0</vt:i4>
      </vt:variant>
      <vt:variant>
        <vt:i4>5</vt:i4>
      </vt:variant>
      <vt:variant>
        <vt:lpwstr>https://digital-strategy.ec.europa.eu/en/policies/simpl</vt:lpwstr>
      </vt:variant>
      <vt:variant>
        <vt:lpwstr/>
      </vt:variant>
      <vt:variant>
        <vt:i4>7667751</vt:i4>
      </vt:variant>
      <vt:variant>
        <vt:i4>156</vt:i4>
      </vt:variant>
      <vt:variant>
        <vt:i4>0</vt:i4>
      </vt:variant>
      <vt:variant>
        <vt:i4>5</vt:i4>
      </vt:variant>
      <vt:variant>
        <vt:lpwstr>https://assets.innovazione.gov.it/1631016901-strategiaclouditalia2021presentazione.pdf</vt:lpwstr>
      </vt:variant>
      <vt:variant>
        <vt:lpwstr/>
      </vt:variant>
      <vt:variant>
        <vt:i4>4653156</vt:i4>
      </vt:variant>
      <vt:variant>
        <vt:i4>153</vt:i4>
      </vt:variant>
      <vt:variant>
        <vt:i4>0</vt:i4>
      </vt:variant>
      <vt:variant>
        <vt:i4>5</vt:i4>
      </vt:variant>
      <vt:variant>
        <vt:lpwstr>https://chmura.gov.pl/zuch/static/media/Cloud in Government Services_Final %5BENG%5D.pdf?</vt:lpwstr>
      </vt:variant>
      <vt:variant>
        <vt:lpwstr/>
      </vt:variant>
      <vt:variant>
        <vt:i4>7077994</vt:i4>
      </vt:variant>
      <vt:variant>
        <vt:i4>150</vt:i4>
      </vt:variant>
      <vt:variant>
        <vt:i4>0</vt:i4>
      </vt:variant>
      <vt:variant>
        <vt:i4>5</vt:i4>
      </vt:variant>
      <vt:variant>
        <vt:lpwstr>http://hbr.org/product/Free-and-Open-Source-Soft/an/724380-PDF-ENG</vt:lpwstr>
      </vt:variant>
      <vt:variant>
        <vt:lpwstr/>
      </vt:variant>
      <vt:variant>
        <vt:i4>7536763</vt:i4>
      </vt:variant>
      <vt:variant>
        <vt:i4>147</vt:i4>
      </vt:variant>
      <vt:variant>
        <vt:i4>0</vt:i4>
      </vt:variant>
      <vt:variant>
        <vt:i4>5</vt:i4>
      </vt:variant>
      <vt:variant>
        <vt:lpwstr>https://www.legifrance.gouv.fr/circulaire/id/35837</vt:lpwstr>
      </vt:variant>
      <vt:variant>
        <vt:lpwstr/>
      </vt:variant>
      <vt:variant>
        <vt:i4>3145826</vt:i4>
      </vt:variant>
      <vt:variant>
        <vt:i4>144</vt:i4>
      </vt:variant>
      <vt:variant>
        <vt:i4>0</vt:i4>
      </vt:variant>
      <vt:variant>
        <vt:i4>5</vt:i4>
      </vt:variant>
      <vt:variant>
        <vt:lpwstr>https://github.com/orgs/italia/repositories</vt:lpwstr>
      </vt:variant>
      <vt:variant>
        <vt:lpwstr/>
      </vt:variant>
      <vt:variant>
        <vt:i4>7602300</vt:i4>
      </vt:variant>
      <vt:variant>
        <vt:i4>141</vt:i4>
      </vt:variant>
      <vt:variant>
        <vt:i4>0</vt:i4>
      </vt:variant>
      <vt:variant>
        <vt:i4>5</vt:i4>
      </vt:variant>
      <vt:variant>
        <vt:lpwstr>https://aws-otel.github.io/</vt:lpwstr>
      </vt:variant>
      <vt:variant>
        <vt:lpwstr/>
      </vt:variant>
      <vt:variant>
        <vt:i4>5832795</vt:i4>
      </vt:variant>
      <vt:variant>
        <vt:i4>138</vt:i4>
      </vt:variant>
      <vt:variant>
        <vt:i4>0</vt:i4>
      </vt:variant>
      <vt:variant>
        <vt:i4>5</vt:i4>
      </vt:variant>
      <vt:variant>
        <vt:lpwstr>https://opentelemetry.io/</vt:lpwstr>
      </vt:variant>
      <vt:variant>
        <vt:lpwstr/>
      </vt:variant>
      <vt:variant>
        <vt:i4>4718684</vt:i4>
      </vt:variant>
      <vt:variant>
        <vt:i4>135</vt:i4>
      </vt:variant>
      <vt:variant>
        <vt:i4>0</vt:i4>
      </vt:variant>
      <vt:variant>
        <vt:i4>5</vt:i4>
      </vt:variant>
      <vt:variant>
        <vt:lpwstr>https://aws.amazon.com/certification/</vt:lpwstr>
      </vt:variant>
      <vt:variant>
        <vt:lpwstr/>
      </vt:variant>
      <vt:variant>
        <vt:i4>851986</vt:i4>
      </vt:variant>
      <vt:variant>
        <vt:i4>132</vt:i4>
      </vt:variant>
      <vt:variant>
        <vt:i4>0</vt:i4>
      </vt:variant>
      <vt:variant>
        <vt:i4>5</vt:i4>
      </vt:variant>
      <vt:variant>
        <vt:lpwstr>https://destcert.com/resources/ccsp-certification-statistics</vt:lpwstr>
      </vt:variant>
      <vt:variant>
        <vt:lpwstr/>
      </vt:variant>
      <vt:variant>
        <vt:i4>7143465</vt:i4>
      </vt:variant>
      <vt:variant>
        <vt:i4>129</vt:i4>
      </vt:variant>
      <vt:variant>
        <vt:i4>0</vt:i4>
      </vt:variant>
      <vt:variant>
        <vt:i4>5</vt:i4>
      </vt:variant>
      <vt:variant>
        <vt:lpwstr>https://www.comptia.org/en-us/certifications/cloud/</vt:lpwstr>
      </vt:variant>
      <vt:variant>
        <vt:lpwstr/>
      </vt:variant>
      <vt:variant>
        <vt:i4>4849749</vt:i4>
      </vt:variant>
      <vt:variant>
        <vt:i4>126</vt:i4>
      </vt:variant>
      <vt:variant>
        <vt:i4>0</vt:i4>
      </vt:variant>
      <vt:variant>
        <vt:i4>5</vt:i4>
      </vt:variant>
      <vt:variant>
        <vt:lpwstr>https://www.isc2.org/certifications/ccsp</vt:lpwstr>
      </vt:variant>
      <vt:variant>
        <vt:lpwstr/>
      </vt:variant>
      <vt:variant>
        <vt:i4>1835080</vt:i4>
      </vt:variant>
      <vt:variant>
        <vt:i4>123</vt:i4>
      </vt:variant>
      <vt:variant>
        <vt:i4>0</vt:i4>
      </vt:variant>
      <vt:variant>
        <vt:i4>5</vt:i4>
      </vt:variant>
      <vt:variant>
        <vt:lpwstr>https://grow.google/intl/europe/courses-and-tools/?category=career&amp;topic=cloud-computing</vt:lpwstr>
      </vt:variant>
      <vt:variant>
        <vt:lpwstr/>
      </vt:variant>
      <vt:variant>
        <vt:i4>2555915</vt:i4>
      </vt:variant>
      <vt:variant>
        <vt:i4>120</vt:i4>
      </vt:variant>
      <vt:variant>
        <vt:i4>0</vt:i4>
      </vt:variant>
      <vt:variant>
        <vt:i4>5</vt:i4>
      </vt:variant>
      <vt:variant>
        <vt:lpwstr>https://learn.microsoft.com/en-us/credentials/browse/?credential_types=certification&amp;products=azure</vt:lpwstr>
      </vt:variant>
      <vt:variant>
        <vt:lpwstr/>
      </vt:variant>
      <vt:variant>
        <vt:i4>4718684</vt:i4>
      </vt:variant>
      <vt:variant>
        <vt:i4>117</vt:i4>
      </vt:variant>
      <vt:variant>
        <vt:i4>0</vt:i4>
      </vt:variant>
      <vt:variant>
        <vt:i4>5</vt:i4>
      </vt:variant>
      <vt:variant>
        <vt:lpwstr>https://aws.amazon.com/certification/</vt:lpwstr>
      </vt:variant>
      <vt:variant>
        <vt:lpwstr/>
      </vt:variant>
      <vt:variant>
        <vt:i4>2621487</vt:i4>
      </vt:variant>
      <vt:variant>
        <vt:i4>114</vt:i4>
      </vt:variant>
      <vt:variant>
        <vt:i4>0</vt:i4>
      </vt:variant>
      <vt:variant>
        <vt:i4>5</vt:i4>
      </vt:variant>
      <vt:variant>
        <vt:lpwstr>https://ec.europa.eu/eurostat/web/nuts</vt:lpwstr>
      </vt:variant>
      <vt:variant>
        <vt:lpwstr/>
      </vt:variant>
      <vt:variant>
        <vt:i4>1638485</vt:i4>
      </vt:variant>
      <vt:variant>
        <vt:i4>111</vt:i4>
      </vt:variant>
      <vt:variant>
        <vt:i4>0</vt:i4>
      </vt:variant>
      <vt:variant>
        <vt:i4>5</vt:i4>
      </vt:variant>
      <vt:variant>
        <vt:lpwstr>https://escholarship.org/uc/item/32d6m0d1</vt:lpwstr>
      </vt:variant>
      <vt:variant>
        <vt:lpwstr/>
      </vt:variant>
      <vt:variant>
        <vt:i4>6488168</vt:i4>
      </vt:variant>
      <vt:variant>
        <vt:i4>108</vt:i4>
      </vt:variant>
      <vt:variant>
        <vt:i4>0</vt:i4>
      </vt:variant>
      <vt:variant>
        <vt:i4>5</vt:i4>
      </vt:variant>
      <vt:variant>
        <vt:lpwstr>https://calculator.aws/</vt:lpwstr>
      </vt:variant>
      <vt:variant>
        <vt:lpwstr>/createCalculator/ec2-enhancement</vt:lpwstr>
      </vt:variant>
      <vt:variant>
        <vt:i4>5308509</vt:i4>
      </vt:variant>
      <vt:variant>
        <vt:i4>105</vt:i4>
      </vt:variant>
      <vt:variant>
        <vt:i4>0</vt:i4>
      </vt:variant>
      <vt:variant>
        <vt:i4>5</vt:i4>
      </vt:variant>
      <vt:variant>
        <vt:lpwstr>https://www.geekwire.com/2025/amazon-web-services-profits-squeezed-as-ai-arms-race-drives-spending-surge/</vt:lpwstr>
      </vt:variant>
      <vt:variant>
        <vt:lpwstr/>
      </vt:variant>
      <vt:variant>
        <vt:i4>4325489</vt:i4>
      </vt:variant>
      <vt:variant>
        <vt:i4>102</vt:i4>
      </vt:variant>
      <vt:variant>
        <vt:i4>0</vt:i4>
      </vt:variant>
      <vt:variant>
        <vt:i4>5</vt:i4>
      </vt:variant>
      <vt:variant>
        <vt:lpwstr>https://www.researchgate.net/publication/324141982_The_Benefits_of_Cloud_Computing</vt:lpwstr>
      </vt:variant>
      <vt:variant>
        <vt:lpwstr/>
      </vt:variant>
      <vt:variant>
        <vt:i4>7667751</vt:i4>
      </vt:variant>
      <vt:variant>
        <vt:i4>99</vt:i4>
      </vt:variant>
      <vt:variant>
        <vt:i4>0</vt:i4>
      </vt:variant>
      <vt:variant>
        <vt:i4>5</vt:i4>
      </vt:variant>
      <vt:variant>
        <vt:lpwstr>https://assets.innovazione.gov.it/1631016901-strategiaclouditalia2021presentazione.pdf</vt:lpwstr>
      </vt:variant>
      <vt:variant>
        <vt:lpwstr/>
      </vt:variant>
      <vt:variant>
        <vt:i4>4653156</vt:i4>
      </vt:variant>
      <vt:variant>
        <vt:i4>96</vt:i4>
      </vt:variant>
      <vt:variant>
        <vt:i4>0</vt:i4>
      </vt:variant>
      <vt:variant>
        <vt:i4>5</vt:i4>
      </vt:variant>
      <vt:variant>
        <vt:lpwstr>https://chmura.gov.pl/zuch/static/media/Cloud in Government Services_Final %5BENG%5D.pdf?</vt:lpwstr>
      </vt:variant>
      <vt:variant>
        <vt:lpwstr/>
      </vt:variant>
      <vt:variant>
        <vt:i4>3539071</vt:i4>
      </vt:variant>
      <vt:variant>
        <vt:i4>93</vt:i4>
      </vt:variant>
      <vt:variant>
        <vt:i4>0</vt:i4>
      </vt:variant>
      <vt:variant>
        <vt:i4>5</vt:i4>
      </vt:variant>
      <vt:variant>
        <vt:lpwstr>https://www.heise.de/en/news/Canadian-Court-OVHcloud-from-France-must-hand-over-user-data-11092029.html</vt:lpwstr>
      </vt:variant>
      <vt:variant>
        <vt:lpwstr/>
      </vt:variant>
      <vt:variant>
        <vt:i4>5374053</vt:i4>
      </vt:variant>
      <vt:variant>
        <vt:i4>90</vt:i4>
      </vt:variant>
      <vt:variant>
        <vt:i4>0</vt:i4>
      </vt:variant>
      <vt:variant>
        <vt:i4>5</vt:i4>
      </vt:variant>
      <vt:variant>
        <vt:lpwstr>https://ec.europa.eu/info/funding-tenders/opportunities/docs/2021-2027/horizon/other/comm/ls-assessment-report-2024_en.pdf</vt:lpwstr>
      </vt:variant>
      <vt:variant>
        <vt:lpwstr/>
      </vt:variant>
      <vt:variant>
        <vt:i4>2949188</vt:i4>
      </vt:variant>
      <vt:variant>
        <vt:i4>87</vt:i4>
      </vt:variant>
      <vt:variant>
        <vt:i4>0</vt:i4>
      </vt:variant>
      <vt:variant>
        <vt:i4>5</vt:i4>
      </vt:variant>
      <vt:variant>
        <vt:lpwstr>https://ec.europa.eu/commission/presscorner/api/files/document/print/en/ip_25_1115/IP_25_1115_EN.pdf</vt:lpwstr>
      </vt:variant>
      <vt:variant>
        <vt:lpwstr/>
      </vt:variant>
      <vt:variant>
        <vt:i4>2621556</vt:i4>
      </vt:variant>
      <vt:variant>
        <vt:i4>84</vt:i4>
      </vt:variant>
      <vt:variant>
        <vt:i4>0</vt:i4>
      </vt:variant>
      <vt:variant>
        <vt:i4>5</vt:i4>
      </vt:variant>
      <vt:variant>
        <vt:lpwstr>https://eceuropaeu.sharepoint.com/teams/GRP-CNECT.E.29-DRAFTE2restricted/Crosscutting activities/Cloud and AI Development Act/Impact Assessment/RSB and ISSG meetings/RSB hearing/IA Resubmission/Docs to share/OECD Compendium of Productivity Indicators 2025</vt:lpwstr>
      </vt:variant>
      <vt:variant>
        <vt:lpwstr/>
      </vt:variant>
      <vt:variant>
        <vt:i4>7929948</vt:i4>
      </vt:variant>
      <vt:variant>
        <vt:i4>81</vt:i4>
      </vt:variant>
      <vt:variant>
        <vt:i4>0</vt:i4>
      </vt:variant>
      <vt:variant>
        <vt:i4>5</vt:i4>
      </vt:variant>
      <vt:variant>
        <vt:lpwstr>https://cyber.gouv.fr/sites/default/files/document/catalogue-produits-services-qualifies-agrees-certifies-anssi_0.pdf</vt:lpwstr>
      </vt:variant>
      <vt:variant>
        <vt:lpwstr/>
      </vt:variant>
      <vt:variant>
        <vt:i4>6029394</vt:i4>
      </vt:variant>
      <vt:variant>
        <vt:i4>78</vt:i4>
      </vt:variant>
      <vt:variant>
        <vt:i4>0</vt:i4>
      </vt:variant>
      <vt:variant>
        <vt:i4>5</vt:i4>
      </vt:variant>
      <vt:variant>
        <vt:lpwstr>https://marketplace.fedramp.gov/products</vt:lpwstr>
      </vt:variant>
      <vt:variant>
        <vt:lpwstr/>
      </vt:variant>
      <vt:variant>
        <vt:i4>5242956</vt:i4>
      </vt:variant>
      <vt:variant>
        <vt:i4>75</vt:i4>
      </vt:variant>
      <vt:variant>
        <vt:i4>0</vt:i4>
      </vt:variant>
      <vt:variant>
        <vt:i4>5</vt:i4>
      </vt:variant>
      <vt:variant>
        <vt:lpwstr>https://docs.ted.europa.eu/api/latest/index.html</vt:lpwstr>
      </vt:variant>
      <vt:variant>
        <vt:lpwstr/>
      </vt:variant>
      <vt:variant>
        <vt:i4>5242956</vt:i4>
      </vt:variant>
      <vt:variant>
        <vt:i4>72</vt:i4>
      </vt:variant>
      <vt:variant>
        <vt:i4>0</vt:i4>
      </vt:variant>
      <vt:variant>
        <vt:i4>5</vt:i4>
      </vt:variant>
      <vt:variant>
        <vt:lpwstr>https://docs.ted.europa.eu/api/latest/index.html</vt:lpwstr>
      </vt:variant>
      <vt:variant>
        <vt:lpwstr/>
      </vt:variant>
      <vt:variant>
        <vt:i4>2621487</vt:i4>
      </vt:variant>
      <vt:variant>
        <vt:i4>69</vt:i4>
      </vt:variant>
      <vt:variant>
        <vt:i4>0</vt:i4>
      </vt:variant>
      <vt:variant>
        <vt:i4>5</vt:i4>
      </vt:variant>
      <vt:variant>
        <vt:lpwstr>https://ec.europa.eu/eurostat/web/nuts</vt:lpwstr>
      </vt:variant>
      <vt:variant>
        <vt:lpwstr/>
      </vt:variant>
      <vt:variant>
        <vt:i4>5701709</vt:i4>
      </vt:variant>
      <vt:variant>
        <vt:i4>66</vt:i4>
      </vt:variant>
      <vt:variant>
        <vt:i4>0</vt:i4>
      </vt:variant>
      <vt:variant>
        <vt:i4>5</vt:i4>
      </vt:variant>
      <vt:variant>
        <vt:lpwstr>https://www.berec.europa.eu/en/all-documents/berec/reports/berec-report-on-wacc-parameter-calculations-according-to-the-european-commissions-wacc-notice-of-6th-november-2019-wacc-parameters-report-2025</vt:lpwstr>
      </vt:variant>
      <vt:variant>
        <vt:lpwstr/>
      </vt:variant>
      <vt:variant>
        <vt:i4>1835034</vt:i4>
      </vt:variant>
      <vt:variant>
        <vt:i4>63</vt:i4>
      </vt:variant>
      <vt:variant>
        <vt:i4>0</vt:i4>
      </vt:variant>
      <vt:variant>
        <vt:i4>5</vt:i4>
      </vt:variant>
      <vt:variant>
        <vt:lpwstr>https://taxsummaries.pwc.com/quick-charts/corporate-income-tax-cit-rates</vt:lpwstr>
      </vt:variant>
      <vt:variant>
        <vt:lpwstr/>
      </vt:variant>
      <vt:variant>
        <vt:i4>5505030</vt:i4>
      </vt:variant>
      <vt:variant>
        <vt:i4>60</vt:i4>
      </vt:variant>
      <vt:variant>
        <vt:i4>0</vt:i4>
      </vt:variant>
      <vt:variant>
        <vt:i4>5</vt:i4>
      </vt:variant>
      <vt:variant>
        <vt:lpwstr>https://www.cbre.com/insights/books/european-real-estate-market-outlook-2025/data-centres</vt:lpwstr>
      </vt:variant>
      <vt:variant>
        <vt:lpwstr/>
      </vt:variant>
      <vt:variant>
        <vt:i4>5701710</vt:i4>
      </vt:variant>
      <vt:variant>
        <vt:i4>57</vt:i4>
      </vt:variant>
      <vt:variant>
        <vt:i4>0</vt:i4>
      </vt:variant>
      <vt:variant>
        <vt:i4>5</vt:i4>
      </vt:variant>
      <vt:variant>
        <vt:lpwstr>https://www.cbre.com/insights/reports/global-data-center-trends-2025</vt:lpwstr>
      </vt:variant>
      <vt:variant>
        <vt:lpwstr/>
      </vt:variant>
      <vt:variant>
        <vt:i4>2359339</vt:i4>
      </vt:variant>
      <vt:variant>
        <vt:i4>54</vt:i4>
      </vt:variant>
      <vt:variant>
        <vt:i4>0</vt:i4>
      </vt:variant>
      <vt:variant>
        <vt:i4>5</vt:i4>
      </vt:variant>
      <vt:variant>
        <vt:lpwstr>https://www.datacentermap.com/</vt:lpwstr>
      </vt:variant>
      <vt:variant>
        <vt:lpwstr/>
      </vt:variant>
      <vt:variant>
        <vt:i4>6094946</vt:i4>
      </vt:variant>
      <vt:variant>
        <vt:i4>51</vt:i4>
      </vt:variant>
      <vt:variant>
        <vt:i4>0</vt:i4>
      </vt:variant>
      <vt:variant>
        <vt:i4>5</vt:i4>
      </vt:variant>
      <vt:variant>
        <vt:lpwstr>https://www.berec.europa.eu/system/files/2024-07/BoR (24) 102 BEREC_WACC parameters Report_2024_1.pdf.pdf</vt:lpwstr>
      </vt:variant>
      <vt:variant>
        <vt:lpwstr/>
      </vt:variant>
      <vt:variant>
        <vt:i4>4390984</vt:i4>
      </vt:variant>
      <vt:variant>
        <vt:i4>48</vt:i4>
      </vt:variant>
      <vt:variant>
        <vt:i4>0</vt:i4>
      </vt:variant>
      <vt:variant>
        <vt:i4>5</vt:i4>
      </vt:variant>
      <vt:variant>
        <vt:lpwstr>https://www.icis.com/explore/resources/data-centres-hungry-for-power/</vt:lpwstr>
      </vt:variant>
      <vt:variant>
        <vt:lpwstr/>
      </vt:variant>
      <vt:variant>
        <vt:i4>3604513</vt:i4>
      </vt:variant>
      <vt:variant>
        <vt:i4>45</vt:i4>
      </vt:variant>
      <vt:variant>
        <vt:i4>0</vt:i4>
      </vt:variant>
      <vt:variant>
        <vt:i4>5</vt:i4>
      </vt:variant>
      <vt:variant>
        <vt:lpwstr>https://www.mckinsey.com/industries/technology-media-and-telecommunications/our-insights/ai-power-expanding-data-center-capacity-to-meet-growing-demand</vt:lpwstr>
      </vt:variant>
      <vt:variant>
        <vt:lpwstr/>
      </vt:variant>
      <vt:variant>
        <vt:i4>6488184</vt:i4>
      </vt:variant>
      <vt:variant>
        <vt:i4>42</vt:i4>
      </vt:variant>
      <vt:variant>
        <vt:i4>0</vt:i4>
      </vt:variant>
      <vt:variant>
        <vt:i4>5</vt:i4>
      </vt:variant>
      <vt:variant>
        <vt:lpwstr>https://www.jll.com/en-uk/insights/emea-data-centre-report</vt:lpwstr>
      </vt:variant>
      <vt:variant>
        <vt:lpwstr/>
      </vt:variant>
      <vt:variant>
        <vt:i4>4784222</vt:i4>
      </vt:variant>
      <vt:variant>
        <vt:i4>39</vt:i4>
      </vt:variant>
      <vt:variant>
        <vt:i4>0</vt:i4>
      </vt:variant>
      <vt:variant>
        <vt:i4>5</vt:i4>
      </vt:variant>
      <vt:variant>
        <vt:lpwstr>https://www.savills.co.uk/insight-and-opinion/savills-news/362723-0/european-data-centre-power-capacity-projected-to-rise-to-approximately-13-100-mw-by-2027</vt:lpwstr>
      </vt:variant>
      <vt:variant>
        <vt:lpwstr/>
      </vt:variant>
      <vt:variant>
        <vt:i4>4128883</vt:i4>
      </vt:variant>
      <vt:variant>
        <vt:i4>36</vt:i4>
      </vt:variant>
      <vt:variant>
        <vt:i4>0</vt:i4>
      </vt:variant>
      <vt:variant>
        <vt:i4>5</vt:i4>
      </vt:variant>
      <vt:variant>
        <vt:lpwstr>https://pdf.euro.savills.co.uk/european/european-commercial-markets/spotlight-eu-data-centre---may-2024---final.pdf</vt:lpwstr>
      </vt:variant>
      <vt:variant>
        <vt:lpwstr/>
      </vt:variant>
      <vt:variant>
        <vt:i4>1835077</vt:i4>
      </vt:variant>
      <vt:variant>
        <vt:i4>33</vt:i4>
      </vt:variant>
      <vt:variant>
        <vt:i4>0</vt:i4>
      </vt:variant>
      <vt:variant>
        <vt:i4>5</vt:i4>
      </vt:variant>
      <vt:variant>
        <vt:lpwstr>https://pdf.euro.savills.co.uk/european/european-commercial-markets/spotlight-eu-data-centre---november-2022-.pdf</vt:lpwstr>
      </vt:variant>
      <vt:variant>
        <vt:lpwstr/>
      </vt:variant>
      <vt:variant>
        <vt:i4>6291577</vt:i4>
      </vt:variant>
      <vt:variant>
        <vt:i4>30</vt:i4>
      </vt:variant>
      <vt:variant>
        <vt:i4>0</vt:i4>
      </vt:variant>
      <vt:variant>
        <vt:i4>5</vt:i4>
      </vt:variant>
      <vt:variant>
        <vt:lpwstr>https://www.rolandberger.com/en/Insights/Publications/State-of-the-European-data-centre-market.html</vt:lpwstr>
      </vt:variant>
      <vt:variant>
        <vt:lpwstr/>
      </vt:variant>
      <vt:variant>
        <vt:i4>5963823</vt:i4>
      </vt:variant>
      <vt:variant>
        <vt:i4>27</vt:i4>
      </vt:variant>
      <vt:variant>
        <vt:i4>0</vt:i4>
      </vt:variant>
      <vt:variant>
        <vt:i4>5</vt:i4>
      </vt:variant>
      <vt:variant>
        <vt:lpwstr>https://ec.europa.eu/eurostat/databrowser/view/lc_lci_lev__custom_20086615/default/table</vt:lpwstr>
      </vt:variant>
      <vt:variant>
        <vt:lpwstr/>
      </vt:variant>
      <vt:variant>
        <vt:i4>7274613</vt:i4>
      </vt:variant>
      <vt:variant>
        <vt:i4>24</vt:i4>
      </vt:variant>
      <vt:variant>
        <vt:i4>0</vt:i4>
      </vt:variant>
      <vt:variant>
        <vt:i4>5</vt:i4>
      </vt:variant>
      <vt:variant>
        <vt:lpwstr>https://www.pwc.com/gx/en/issues/artificial-intelligence/ai-jobs-barometer.html</vt:lpwstr>
      </vt:variant>
      <vt:variant>
        <vt:lpwstr/>
      </vt:variant>
      <vt:variant>
        <vt:i4>3276807</vt:i4>
      </vt:variant>
      <vt:variant>
        <vt:i4>21</vt:i4>
      </vt:variant>
      <vt:variant>
        <vt:i4>0</vt:i4>
      </vt:variant>
      <vt:variant>
        <vt:i4>5</vt:i4>
      </vt:variant>
      <vt:variant>
        <vt:lpwstr>https://ec.europa.eu/eurostat/statistics-explained/index.php?title=ICT_specialists_in_employment</vt:lpwstr>
      </vt:variant>
      <vt:variant>
        <vt:lpwstr/>
      </vt:variant>
      <vt:variant>
        <vt:i4>6029355</vt:i4>
      </vt:variant>
      <vt:variant>
        <vt:i4>18</vt:i4>
      </vt:variant>
      <vt:variant>
        <vt:i4>0</vt:i4>
      </vt:variant>
      <vt:variant>
        <vt:i4>5</vt:i4>
      </vt:variant>
      <vt:variant>
        <vt:lpwstr>https://ec.europa.eu/eurostat/databrowser/view/lc_lci_lev__custom_18030700/default/table</vt:lpwstr>
      </vt:variant>
      <vt:variant>
        <vt:lpwstr/>
      </vt:variant>
      <vt:variant>
        <vt:i4>4456514</vt:i4>
      </vt:variant>
      <vt:variant>
        <vt:i4>15</vt:i4>
      </vt:variant>
      <vt:variant>
        <vt:i4>0</vt:i4>
      </vt:variant>
      <vt:variant>
        <vt:i4>5</vt:i4>
      </vt:variant>
      <vt:variant>
        <vt:lpwstr>https://ec.europa.eu/eurostat/web/products-eurostat-news/w/ddn-20250328-1</vt:lpwstr>
      </vt:variant>
      <vt:variant>
        <vt:lpwstr/>
      </vt:variant>
      <vt:variant>
        <vt:i4>8060965</vt:i4>
      </vt:variant>
      <vt:variant>
        <vt:i4>12</vt:i4>
      </vt:variant>
      <vt:variant>
        <vt:i4>0</vt:i4>
      </vt:variant>
      <vt:variant>
        <vt:i4>5</vt:i4>
      </vt:variant>
      <vt:variant>
        <vt:lpwstr>https://fortune.com/2025/10/07/data-centers-gdp-growth-zero-first-half-2025-jason-furman-harvard-economist/</vt:lpwstr>
      </vt:variant>
      <vt:variant>
        <vt:lpwstr/>
      </vt:variant>
      <vt:variant>
        <vt:i4>8192034</vt:i4>
      </vt:variant>
      <vt:variant>
        <vt:i4>9</vt:i4>
      </vt:variant>
      <vt:variant>
        <vt:i4>0</vt:i4>
      </vt:variant>
      <vt:variant>
        <vt:i4>5</vt:i4>
      </vt:variant>
      <vt:variant>
        <vt:lpwstr>https://julkaisut.valtioneuvosto.fi/server/api/core/bitstreams/057514dd-ba36-4fa4-b000-fce8f83e5183/content</vt:lpwstr>
      </vt:variant>
      <vt:variant>
        <vt:lpwstr/>
      </vt:variant>
      <vt:variant>
        <vt:i4>327711</vt:i4>
      </vt:variant>
      <vt:variant>
        <vt:i4>6</vt:i4>
      </vt:variant>
      <vt:variant>
        <vt:i4>0</vt:i4>
      </vt:variant>
      <vt:variant>
        <vt:i4>5</vt:i4>
      </vt:variant>
      <vt:variant>
        <vt:lpwstr>https://www.acer.europa.eu/sites/default/files/documents/Publications/ACER-Monitoring-Report-2025-crosszonal-electricity-trade-capacities.pdf</vt:lpwstr>
      </vt:variant>
      <vt:variant>
        <vt:lpwstr/>
      </vt:variant>
      <vt:variant>
        <vt:i4>1704008</vt:i4>
      </vt:variant>
      <vt:variant>
        <vt:i4>3</vt:i4>
      </vt:variant>
      <vt:variant>
        <vt:i4>0</vt:i4>
      </vt:variant>
      <vt:variant>
        <vt:i4>5</vt:i4>
      </vt:variant>
      <vt:variant>
        <vt:lpwstr>https://www.iea.org/commentaries/overcoming-energy-constraints-is-key-to-delivering-on-europe-s-data-centre-goals</vt:lpwstr>
      </vt:variant>
      <vt:variant>
        <vt:lpwstr/>
      </vt:variant>
      <vt:variant>
        <vt:i4>2162760</vt:i4>
      </vt:variant>
      <vt:variant>
        <vt:i4>0</vt:i4>
      </vt:variant>
      <vt:variant>
        <vt:i4>0</vt:i4>
      </vt:variant>
      <vt:variant>
        <vt:i4>5</vt:i4>
      </vt:variant>
      <vt:variant>
        <vt:lpwstr>https://ec.europa.eu/info/law/better-regulation/have-your-say/initiatives/14628-AI-Continent-new-cloud-and-AI-development-act_en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2026-02-28T22:21:00Z</cp:lastPrinted>
  <dcterms:created xsi:type="dcterms:W3CDTF">2026-06-02T14:51:00Z</dcterms:created>
  <dcterms:modified xsi:type="dcterms:W3CDTF">2026-06-02T15:09:00Z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TemplateID">
    <vt:lpwstr>CP-026</vt:lpwstr>
  </property>
  <property fmtid="{D5CDD505-2E9C-101B-9397-08002B2CF9AE}" pid="3" name="Created using">
    <vt:lpwstr>LW 7.0.1, Build 20190916</vt:lpwstr>
  </property>
  <property fmtid="{D5CDD505-2E9C-101B-9397-08002B2CF9AE}" pid="4" name="MSIP_Label_6bd9ddd1-4d20-43f6-abfa-fc3c07406f94_Enabled">
    <vt:lpwstr>true</vt:lpwstr>
  </property>
  <property fmtid="{D5CDD505-2E9C-101B-9397-08002B2CF9AE}" pid="5" name="MSIP_Label_6bd9ddd1-4d20-43f6-abfa-fc3c07406f94_SetDate">
    <vt:lpwstr>2023-01-13T16:09:08Z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7e673b8e-6dd8-49f6-a98b-2979beb59a23</vt:lpwstr>
  </property>
  <property fmtid="{D5CDD505-2E9C-101B-9397-08002B2CF9AE}" pid="10" name="MSIP_Label_6bd9ddd1-4d20-43f6-abfa-fc3c07406f94_ContentBits">
    <vt:lpwstr>0</vt:lpwstr>
  </property>
  <property fmtid="{D5CDD505-2E9C-101B-9397-08002B2CF9AE}" pid="11" name="TaxKeyword">
    <vt:lpwstr/>
  </property>
  <property fmtid="{D5CDD505-2E9C-101B-9397-08002B2CF9AE}" pid="12" name="MediaServiceImageTags">
    <vt:lpwstr/>
  </property>
  <property fmtid="{D5CDD505-2E9C-101B-9397-08002B2CF9AE}" pid="13" name="Responsible unit">
    <vt:lpwstr>65;#SG.A.2|3cb8bfc5-e669-4eb4-a8d3-5922786e2056</vt:lpwstr>
  </property>
  <property fmtid="{D5CDD505-2E9C-101B-9397-08002B2CF9AE}" pid="14" name="Order">
    <vt:r8>127900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Status">
    <vt:lpwstr>Green</vt:lpwstr>
  </property>
  <property fmtid="{D5CDD505-2E9C-101B-9397-08002B2CF9AE}" pid="22" name="ContentTypeId">
    <vt:lpwstr>0x0101003DFB1343310BFA4D9CEC2870274C3C1F</vt:lpwstr>
  </property>
  <property fmtid="{D5CDD505-2E9C-101B-9397-08002B2CF9AE}" pid="23" name="Last edited using">
    <vt:lpwstr>LW 9.2, Build 20250828</vt:lpwstr>
  </property>
  <property fmtid="{D5CDD505-2E9C-101B-9397-08002B2CF9AE}" pid="24" name="Level of sensitivity">
    <vt:lpwstr>Standard treatment</vt:lpwstr>
  </property>
  <property fmtid="{D5CDD505-2E9C-101B-9397-08002B2CF9AE}" pid="25" name="Part">
    <vt:lpwstr>2</vt:lpwstr>
  </property>
  <property fmtid="{D5CDD505-2E9C-101B-9397-08002B2CF9AE}" pid="26" name="Total parts">
    <vt:lpwstr>2</vt:lpwstr>
  </property>
</Properties>
</file>